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045C31" w14:textId="6B685473" w:rsidR="002C5291" w:rsidRPr="00BC4624" w:rsidRDefault="005956D6" w:rsidP="002C5291">
      <w:pPr>
        <w:jc w:val="center"/>
        <w:rPr>
          <w:rFonts w:ascii="Arial" w:hAnsi="Arial" w:cs="Arial"/>
          <w:b/>
          <w:bCs/>
          <w:iCs/>
          <w:sz w:val="96"/>
          <w:szCs w:val="96"/>
        </w:rPr>
      </w:pPr>
      <w:bookmarkStart w:id="0" w:name="_GoBack"/>
      <w:bookmarkEnd w:id="0"/>
      <w:r>
        <w:rPr>
          <w:noProof/>
          <w:lang w:eastAsia="pt-BR"/>
        </w:rPr>
        <w:drawing>
          <wp:anchor distT="0" distB="0" distL="114300" distR="114300" simplePos="0" relativeHeight="251659264" behindDoc="0" locked="0" layoutInCell="1" allowOverlap="1" wp14:anchorId="1C7CB052" wp14:editId="175E38FD">
            <wp:simplePos x="0" y="0"/>
            <wp:positionH relativeFrom="page">
              <wp:posOffset>1914525</wp:posOffset>
            </wp:positionH>
            <wp:positionV relativeFrom="paragraph">
              <wp:posOffset>0</wp:posOffset>
            </wp:positionV>
            <wp:extent cx="3714750" cy="1257935"/>
            <wp:effectExtent l="0" t="0" r="0" b="0"/>
            <wp:wrapSquare wrapText="bothSides"/>
            <wp:docPr id="4" name="Imagem 4" descr="https://www.tcees.tc.br/intranet/wp-content/uploads/sites/2/2020/01/Logo-Horizont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tcees.tc.br/intranet/wp-content/uploads/sites/2/2020/01/Logo-Horizontal.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14750" cy="12579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C519A32" w14:textId="77777777" w:rsidR="002C5291" w:rsidRDefault="002C5291" w:rsidP="002C5291">
      <w:pPr>
        <w:jc w:val="center"/>
        <w:rPr>
          <w:rFonts w:ascii="Arial" w:hAnsi="Arial" w:cs="Arial"/>
          <w:b/>
          <w:bCs/>
          <w:iCs/>
          <w:sz w:val="96"/>
          <w:szCs w:val="96"/>
        </w:rPr>
      </w:pPr>
    </w:p>
    <w:p w14:paraId="21953433" w14:textId="05129F5E" w:rsidR="002C5291" w:rsidRPr="004F3177" w:rsidRDefault="002C5291" w:rsidP="002C5291">
      <w:pPr>
        <w:jc w:val="center"/>
        <w:rPr>
          <w:rFonts w:ascii="Arial" w:hAnsi="Arial" w:cs="Arial"/>
          <w:b/>
          <w:bCs/>
          <w:iCs/>
          <w:sz w:val="72"/>
          <w:szCs w:val="72"/>
        </w:rPr>
      </w:pPr>
      <w:r w:rsidRPr="004F3177">
        <w:rPr>
          <w:rFonts w:ascii="Arial" w:hAnsi="Arial" w:cs="Arial"/>
          <w:b/>
          <w:bCs/>
          <w:iCs/>
          <w:sz w:val="72"/>
          <w:szCs w:val="72"/>
        </w:rPr>
        <w:t xml:space="preserve">IN </w:t>
      </w:r>
      <w:r w:rsidR="0092116D">
        <w:rPr>
          <w:rFonts w:ascii="Arial" w:hAnsi="Arial" w:cs="Arial"/>
          <w:b/>
          <w:bCs/>
          <w:iCs/>
          <w:sz w:val="72"/>
          <w:szCs w:val="72"/>
        </w:rPr>
        <w:t>68</w:t>
      </w:r>
      <w:r w:rsidR="00267AE2">
        <w:rPr>
          <w:rFonts w:ascii="Arial" w:hAnsi="Arial" w:cs="Arial"/>
          <w:b/>
          <w:bCs/>
          <w:iCs/>
          <w:sz w:val="72"/>
          <w:szCs w:val="72"/>
        </w:rPr>
        <w:t>/2020</w:t>
      </w:r>
    </w:p>
    <w:p w14:paraId="74005FAB" w14:textId="77777777" w:rsidR="0074367D" w:rsidRDefault="0074367D" w:rsidP="002C5291">
      <w:pPr>
        <w:jc w:val="center"/>
        <w:rPr>
          <w:rFonts w:ascii="Arial" w:hAnsi="Arial" w:cs="Arial"/>
          <w:b/>
          <w:bCs/>
          <w:iCs/>
          <w:sz w:val="72"/>
          <w:szCs w:val="72"/>
        </w:rPr>
      </w:pPr>
    </w:p>
    <w:p w14:paraId="4D63067A" w14:textId="77777777" w:rsidR="002C5291" w:rsidRPr="004F3177" w:rsidRDefault="002C5291" w:rsidP="002C5291">
      <w:pPr>
        <w:jc w:val="center"/>
        <w:rPr>
          <w:rFonts w:ascii="Arial" w:hAnsi="Arial" w:cs="Arial"/>
          <w:b/>
          <w:bCs/>
          <w:iCs/>
          <w:sz w:val="72"/>
          <w:szCs w:val="72"/>
        </w:rPr>
      </w:pPr>
      <w:r w:rsidRPr="004F3177">
        <w:rPr>
          <w:rFonts w:ascii="Arial" w:hAnsi="Arial" w:cs="Arial"/>
          <w:b/>
          <w:bCs/>
          <w:iCs/>
          <w:sz w:val="72"/>
          <w:szCs w:val="72"/>
        </w:rPr>
        <w:t>ANEXO II</w:t>
      </w:r>
      <w:r w:rsidR="004F3177" w:rsidRPr="004F3177">
        <w:rPr>
          <w:rFonts w:ascii="Arial" w:hAnsi="Arial" w:cs="Arial"/>
          <w:b/>
          <w:bCs/>
          <w:iCs/>
          <w:sz w:val="72"/>
          <w:szCs w:val="72"/>
        </w:rPr>
        <w:t>I</w:t>
      </w:r>
    </w:p>
    <w:p w14:paraId="6AFC4AC3" w14:textId="77777777" w:rsidR="002C5291" w:rsidRPr="00E32FEB" w:rsidRDefault="002C5291" w:rsidP="002C5291">
      <w:pPr>
        <w:jc w:val="center"/>
        <w:rPr>
          <w:rFonts w:ascii="Arial" w:hAnsi="Arial" w:cs="Arial"/>
          <w:b/>
          <w:bCs/>
          <w:iCs/>
          <w:sz w:val="56"/>
          <w:szCs w:val="56"/>
        </w:rPr>
      </w:pPr>
      <w:r w:rsidRPr="00E32FEB">
        <w:rPr>
          <w:rFonts w:ascii="Arial" w:hAnsi="Arial" w:cs="Arial"/>
          <w:b/>
          <w:bCs/>
          <w:iCs/>
          <w:sz w:val="56"/>
          <w:szCs w:val="56"/>
        </w:rPr>
        <w:t>P</w:t>
      </w:r>
      <w:r w:rsidR="004F3177" w:rsidRPr="00E32FEB">
        <w:rPr>
          <w:rFonts w:ascii="Arial" w:hAnsi="Arial" w:cs="Arial"/>
          <w:b/>
          <w:bCs/>
          <w:iCs/>
          <w:sz w:val="56"/>
          <w:szCs w:val="56"/>
        </w:rPr>
        <w:t>restação de Contas Anual</w:t>
      </w:r>
      <w:r w:rsidR="00E32FEB" w:rsidRPr="00E32FEB">
        <w:rPr>
          <w:rFonts w:ascii="Arial" w:hAnsi="Arial" w:cs="Arial"/>
          <w:b/>
          <w:bCs/>
          <w:iCs/>
          <w:sz w:val="56"/>
          <w:szCs w:val="56"/>
        </w:rPr>
        <w:t xml:space="preserve"> de Prefeito e </w:t>
      </w:r>
      <w:r w:rsidR="0081003F">
        <w:rPr>
          <w:rFonts w:ascii="Arial" w:hAnsi="Arial" w:cs="Arial"/>
          <w:b/>
          <w:bCs/>
          <w:iCs/>
          <w:sz w:val="56"/>
          <w:szCs w:val="56"/>
        </w:rPr>
        <w:t>d</w:t>
      </w:r>
      <w:r w:rsidR="00E32FEB" w:rsidRPr="00E32FEB">
        <w:rPr>
          <w:rFonts w:ascii="Arial" w:hAnsi="Arial" w:cs="Arial"/>
          <w:b/>
          <w:bCs/>
          <w:iCs/>
          <w:sz w:val="56"/>
          <w:szCs w:val="56"/>
        </w:rPr>
        <w:t>emais Ordenadores</w:t>
      </w:r>
    </w:p>
    <w:p w14:paraId="6BCD0FE0" w14:textId="77777777" w:rsidR="00A9200D" w:rsidRDefault="00A9200D" w:rsidP="002C5291">
      <w:pPr>
        <w:jc w:val="center"/>
        <w:rPr>
          <w:rFonts w:ascii="Arial" w:hAnsi="Arial" w:cs="Arial"/>
          <w:b/>
          <w:bCs/>
          <w:iCs/>
          <w:sz w:val="36"/>
          <w:szCs w:val="36"/>
        </w:rPr>
      </w:pPr>
    </w:p>
    <w:p w14:paraId="34E6FA17" w14:textId="77777777" w:rsidR="002C5291" w:rsidRPr="004F3177" w:rsidRDefault="002C5291" w:rsidP="002C5291">
      <w:pPr>
        <w:jc w:val="center"/>
        <w:rPr>
          <w:rFonts w:ascii="Arial" w:hAnsi="Arial" w:cs="Arial"/>
          <w:b/>
          <w:bCs/>
          <w:iCs/>
          <w:sz w:val="36"/>
          <w:szCs w:val="36"/>
        </w:rPr>
      </w:pPr>
    </w:p>
    <w:p w14:paraId="1C15059F" w14:textId="77777777" w:rsidR="002C5291" w:rsidRPr="004F3177" w:rsidRDefault="002C5291" w:rsidP="002C5291">
      <w:pPr>
        <w:jc w:val="center"/>
        <w:rPr>
          <w:rFonts w:ascii="Arial" w:hAnsi="Arial" w:cs="Arial"/>
          <w:b/>
          <w:bCs/>
          <w:iCs/>
          <w:sz w:val="36"/>
          <w:szCs w:val="36"/>
        </w:rPr>
      </w:pPr>
    </w:p>
    <w:p w14:paraId="6D856041" w14:textId="77777777" w:rsidR="002C5291" w:rsidRPr="004F3177" w:rsidRDefault="002C5291" w:rsidP="002C5291">
      <w:pPr>
        <w:jc w:val="center"/>
        <w:rPr>
          <w:rFonts w:ascii="Arial" w:hAnsi="Arial" w:cs="Arial"/>
          <w:b/>
          <w:bCs/>
          <w:i/>
          <w:iCs/>
          <w:sz w:val="36"/>
          <w:szCs w:val="36"/>
        </w:rPr>
      </w:pPr>
    </w:p>
    <w:p w14:paraId="30CA7FFF" w14:textId="77777777" w:rsidR="002C5291" w:rsidRPr="004F3177" w:rsidRDefault="002C5291" w:rsidP="002C5291">
      <w:pPr>
        <w:jc w:val="center"/>
        <w:rPr>
          <w:rFonts w:ascii="Arial" w:hAnsi="Arial" w:cs="Arial"/>
          <w:b/>
          <w:bCs/>
          <w:i/>
          <w:iCs/>
          <w:sz w:val="36"/>
          <w:szCs w:val="36"/>
        </w:rPr>
      </w:pPr>
    </w:p>
    <w:p w14:paraId="639D2024" w14:textId="77777777" w:rsidR="002C5291" w:rsidRPr="004F3177" w:rsidRDefault="002C5291" w:rsidP="002C5291">
      <w:pPr>
        <w:jc w:val="center"/>
        <w:rPr>
          <w:rFonts w:ascii="Arial" w:hAnsi="Arial" w:cs="Arial"/>
          <w:b/>
          <w:bCs/>
          <w:i/>
          <w:iCs/>
          <w:sz w:val="36"/>
          <w:szCs w:val="36"/>
        </w:rPr>
      </w:pPr>
    </w:p>
    <w:p w14:paraId="1DE7025C" w14:textId="77777777" w:rsidR="002C5291" w:rsidRPr="004F3177" w:rsidRDefault="002C5291" w:rsidP="002C5291">
      <w:pPr>
        <w:jc w:val="center"/>
        <w:rPr>
          <w:rFonts w:ascii="Arial" w:hAnsi="Arial" w:cs="Arial"/>
          <w:b/>
          <w:bCs/>
          <w:i/>
          <w:iCs/>
          <w:sz w:val="36"/>
          <w:szCs w:val="36"/>
        </w:rPr>
      </w:pPr>
    </w:p>
    <w:p w14:paraId="425251DF" w14:textId="77777777" w:rsidR="00A5490A" w:rsidRPr="00A5490A" w:rsidRDefault="00A5490A" w:rsidP="00A5490A">
      <w:pPr>
        <w:spacing w:after="0" w:line="240" w:lineRule="auto"/>
        <w:jc w:val="center"/>
        <w:rPr>
          <w:rFonts w:ascii="Arial" w:eastAsia="Times New Roman" w:hAnsi="Arial" w:cs="Arial"/>
          <w:b/>
          <w:lang w:eastAsia="pt-BR"/>
        </w:rPr>
      </w:pPr>
    </w:p>
    <w:p w14:paraId="6B1BB8AB" w14:textId="77777777" w:rsidR="00267AE2" w:rsidRDefault="00267AE2" w:rsidP="006C7DEF">
      <w:pPr>
        <w:spacing w:after="0" w:line="240" w:lineRule="auto"/>
        <w:rPr>
          <w:rFonts w:ascii="Arial" w:eastAsia="Times New Roman" w:hAnsi="Arial" w:cs="Arial"/>
          <w:b/>
          <w:sz w:val="28"/>
          <w:szCs w:val="28"/>
          <w:lang w:eastAsia="pt-BR"/>
        </w:rPr>
      </w:pPr>
    </w:p>
    <w:p w14:paraId="21885E1A" w14:textId="77777777" w:rsidR="00267AE2" w:rsidRDefault="00267AE2" w:rsidP="006C7DEF">
      <w:pPr>
        <w:spacing w:after="0" w:line="240" w:lineRule="auto"/>
        <w:rPr>
          <w:rFonts w:ascii="Arial" w:eastAsia="Times New Roman" w:hAnsi="Arial" w:cs="Arial"/>
          <w:b/>
          <w:sz w:val="28"/>
          <w:szCs w:val="28"/>
          <w:lang w:eastAsia="pt-BR"/>
        </w:rPr>
      </w:pPr>
    </w:p>
    <w:p w14:paraId="078EC72B" w14:textId="77777777" w:rsidR="00267AE2" w:rsidRDefault="00267AE2" w:rsidP="006C7DEF">
      <w:pPr>
        <w:spacing w:after="0" w:line="240" w:lineRule="auto"/>
        <w:rPr>
          <w:rFonts w:ascii="Arial" w:eastAsia="Times New Roman" w:hAnsi="Arial" w:cs="Arial"/>
          <w:b/>
          <w:sz w:val="28"/>
          <w:szCs w:val="28"/>
          <w:lang w:eastAsia="pt-BR"/>
        </w:rPr>
      </w:pPr>
    </w:p>
    <w:sdt>
      <w:sdtPr>
        <w:rPr>
          <w:rFonts w:asciiTheme="minorHAnsi" w:eastAsiaTheme="minorHAnsi" w:hAnsiTheme="minorHAnsi" w:cstheme="minorBidi"/>
          <w:color w:val="auto"/>
          <w:sz w:val="22"/>
          <w:szCs w:val="22"/>
          <w:lang w:eastAsia="en-US"/>
        </w:rPr>
        <w:id w:val="723180419"/>
        <w:docPartObj>
          <w:docPartGallery w:val="Table of Contents"/>
          <w:docPartUnique/>
        </w:docPartObj>
      </w:sdtPr>
      <w:sdtEndPr>
        <w:rPr>
          <w:b/>
          <w:bCs/>
        </w:rPr>
      </w:sdtEndPr>
      <w:sdtContent>
        <w:p w14:paraId="3E778FE0" w14:textId="626D48C4" w:rsidR="00DC4F11" w:rsidRDefault="00DC4F11">
          <w:pPr>
            <w:pStyle w:val="CabealhodoSumrio"/>
          </w:pPr>
          <w:r>
            <w:t>Sumário</w:t>
          </w:r>
        </w:p>
        <w:p w14:paraId="1D01DC5C" w14:textId="6C795915" w:rsidR="009C5325" w:rsidRDefault="00DC4F11">
          <w:pPr>
            <w:pStyle w:val="Sumrio1"/>
            <w:tabs>
              <w:tab w:val="left" w:pos="440"/>
              <w:tab w:val="right" w:leader="dot" w:pos="9062"/>
            </w:tabs>
            <w:rPr>
              <w:rFonts w:eastAsiaTheme="minorEastAsia"/>
              <w:b w:val="0"/>
              <w:bCs w:val="0"/>
              <w:i w:val="0"/>
              <w:iCs w:val="0"/>
              <w:noProof/>
              <w:sz w:val="22"/>
              <w:szCs w:val="22"/>
              <w:lang w:eastAsia="pt-BR"/>
            </w:rPr>
          </w:pPr>
          <w:r>
            <w:fldChar w:fldCharType="begin"/>
          </w:r>
          <w:r>
            <w:instrText xml:space="preserve"> TOC \o "1-3" \h \z \u </w:instrText>
          </w:r>
          <w:r>
            <w:fldChar w:fldCharType="separate"/>
          </w:r>
          <w:hyperlink w:anchor="_Toc94806285" w:history="1">
            <w:r w:rsidR="009C5325" w:rsidRPr="006879E3">
              <w:rPr>
                <w:rStyle w:val="Hyperlink"/>
                <w:noProof/>
              </w:rPr>
              <w:t>1</w:t>
            </w:r>
            <w:r w:rsidR="009C5325">
              <w:rPr>
                <w:rFonts w:eastAsiaTheme="minorEastAsia"/>
                <w:b w:val="0"/>
                <w:bCs w:val="0"/>
                <w:i w:val="0"/>
                <w:iCs w:val="0"/>
                <w:noProof/>
                <w:sz w:val="22"/>
                <w:szCs w:val="22"/>
                <w:lang w:eastAsia="pt-BR"/>
              </w:rPr>
              <w:tab/>
            </w:r>
            <w:r w:rsidR="009C5325" w:rsidRPr="006879E3">
              <w:rPr>
                <w:rStyle w:val="Hyperlink"/>
                <w:noProof/>
              </w:rPr>
              <w:t>DEFINIÇÕES</w:t>
            </w:r>
            <w:r w:rsidR="009C5325">
              <w:rPr>
                <w:noProof/>
                <w:webHidden/>
              </w:rPr>
              <w:tab/>
            </w:r>
            <w:r w:rsidR="009C5325">
              <w:rPr>
                <w:noProof/>
                <w:webHidden/>
              </w:rPr>
              <w:fldChar w:fldCharType="begin"/>
            </w:r>
            <w:r w:rsidR="009C5325">
              <w:rPr>
                <w:noProof/>
                <w:webHidden/>
              </w:rPr>
              <w:instrText xml:space="preserve"> PAGEREF _Toc94806285 \h </w:instrText>
            </w:r>
            <w:r w:rsidR="009C5325">
              <w:rPr>
                <w:noProof/>
                <w:webHidden/>
              </w:rPr>
            </w:r>
            <w:r w:rsidR="009C5325">
              <w:rPr>
                <w:noProof/>
                <w:webHidden/>
              </w:rPr>
              <w:fldChar w:fldCharType="separate"/>
            </w:r>
            <w:r w:rsidR="009C5325">
              <w:rPr>
                <w:noProof/>
                <w:webHidden/>
              </w:rPr>
              <w:t>6</w:t>
            </w:r>
            <w:r w:rsidR="009C5325">
              <w:rPr>
                <w:noProof/>
                <w:webHidden/>
              </w:rPr>
              <w:fldChar w:fldCharType="end"/>
            </w:r>
          </w:hyperlink>
        </w:p>
        <w:p w14:paraId="6B6F793B" w14:textId="34AC082D" w:rsidR="009C5325" w:rsidRDefault="009C5325">
          <w:pPr>
            <w:pStyle w:val="Sumrio2"/>
            <w:tabs>
              <w:tab w:val="left" w:pos="880"/>
              <w:tab w:val="right" w:leader="dot" w:pos="9062"/>
            </w:tabs>
            <w:rPr>
              <w:rFonts w:eastAsiaTheme="minorEastAsia"/>
              <w:b w:val="0"/>
              <w:bCs w:val="0"/>
              <w:noProof/>
              <w:lang w:eastAsia="pt-BR"/>
            </w:rPr>
          </w:pPr>
          <w:hyperlink w:anchor="_Toc94806286" w:history="1">
            <w:r w:rsidRPr="006879E3">
              <w:rPr>
                <w:rStyle w:val="Hyperlink"/>
                <w:noProof/>
              </w:rPr>
              <w:t>1.1</w:t>
            </w:r>
            <w:r>
              <w:rPr>
                <w:rFonts w:eastAsiaTheme="minorEastAsia"/>
                <w:b w:val="0"/>
                <w:bCs w:val="0"/>
                <w:noProof/>
                <w:lang w:eastAsia="pt-BR"/>
              </w:rPr>
              <w:tab/>
            </w:r>
            <w:r w:rsidRPr="006879E3">
              <w:rPr>
                <w:rStyle w:val="Hyperlink"/>
                <w:noProof/>
              </w:rPr>
              <w:t>Obrigatoriedade</w:t>
            </w:r>
            <w:r>
              <w:rPr>
                <w:noProof/>
                <w:webHidden/>
              </w:rPr>
              <w:tab/>
            </w:r>
            <w:r>
              <w:rPr>
                <w:noProof/>
                <w:webHidden/>
              </w:rPr>
              <w:fldChar w:fldCharType="begin"/>
            </w:r>
            <w:r>
              <w:rPr>
                <w:noProof/>
                <w:webHidden/>
              </w:rPr>
              <w:instrText xml:space="preserve"> PAGEREF _Toc94806286 \h </w:instrText>
            </w:r>
            <w:r>
              <w:rPr>
                <w:noProof/>
                <w:webHidden/>
              </w:rPr>
            </w:r>
            <w:r>
              <w:rPr>
                <w:noProof/>
                <w:webHidden/>
              </w:rPr>
              <w:fldChar w:fldCharType="separate"/>
            </w:r>
            <w:r>
              <w:rPr>
                <w:noProof/>
                <w:webHidden/>
              </w:rPr>
              <w:t>6</w:t>
            </w:r>
            <w:r>
              <w:rPr>
                <w:noProof/>
                <w:webHidden/>
              </w:rPr>
              <w:fldChar w:fldCharType="end"/>
            </w:r>
          </w:hyperlink>
        </w:p>
        <w:p w14:paraId="2E8AB509" w14:textId="0CB9F025" w:rsidR="009C5325" w:rsidRDefault="009C5325">
          <w:pPr>
            <w:pStyle w:val="Sumrio2"/>
            <w:tabs>
              <w:tab w:val="left" w:pos="880"/>
              <w:tab w:val="right" w:leader="dot" w:pos="9062"/>
            </w:tabs>
            <w:rPr>
              <w:rFonts w:eastAsiaTheme="minorEastAsia"/>
              <w:b w:val="0"/>
              <w:bCs w:val="0"/>
              <w:noProof/>
              <w:lang w:eastAsia="pt-BR"/>
            </w:rPr>
          </w:pPr>
          <w:hyperlink w:anchor="_Toc94806287" w:history="1">
            <w:r w:rsidRPr="006879E3">
              <w:rPr>
                <w:rStyle w:val="Hyperlink"/>
                <w:noProof/>
                <w:lang w:eastAsia="pt-BR"/>
              </w:rPr>
              <w:t>1.2</w:t>
            </w:r>
            <w:r>
              <w:rPr>
                <w:rFonts w:eastAsiaTheme="minorEastAsia"/>
                <w:b w:val="0"/>
                <w:bCs w:val="0"/>
                <w:noProof/>
                <w:lang w:eastAsia="pt-BR"/>
              </w:rPr>
              <w:tab/>
            </w:r>
            <w:r w:rsidRPr="006879E3">
              <w:rPr>
                <w:rStyle w:val="Hyperlink"/>
                <w:noProof/>
              </w:rPr>
              <w:t>Envio e Homologação</w:t>
            </w:r>
            <w:r>
              <w:rPr>
                <w:noProof/>
                <w:webHidden/>
              </w:rPr>
              <w:tab/>
            </w:r>
            <w:r>
              <w:rPr>
                <w:noProof/>
                <w:webHidden/>
              </w:rPr>
              <w:fldChar w:fldCharType="begin"/>
            </w:r>
            <w:r>
              <w:rPr>
                <w:noProof/>
                <w:webHidden/>
              </w:rPr>
              <w:instrText xml:space="preserve"> PAGEREF _Toc94806287 \h </w:instrText>
            </w:r>
            <w:r>
              <w:rPr>
                <w:noProof/>
                <w:webHidden/>
              </w:rPr>
            </w:r>
            <w:r>
              <w:rPr>
                <w:noProof/>
                <w:webHidden/>
              </w:rPr>
              <w:fldChar w:fldCharType="separate"/>
            </w:r>
            <w:r>
              <w:rPr>
                <w:noProof/>
                <w:webHidden/>
              </w:rPr>
              <w:t>6</w:t>
            </w:r>
            <w:r>
              <w:rPr>
                <w:noProof/>
                <w:webHidden/>
              </w:rPr>
              <w:fldChar w:fldCharType="end"/>
            </w:r>
          </w:hyperlink>
        </w:p>
        <w:p w14:paraId="1A4FE3A1" w14:textId="581F6E11" w:rsidR="009C5325" w:rsidRDefault="009C5325">
          <w:pPr>
            <w:pStyle w:val="Sumrio2"/>
            <w:tabs>
              <w:tab w:val="left" w:pos="880"/>
              <w:tab w:val="right" w:leader="dot" w:pos="9062"/>
            </w:tabs>
            <w:rPr>
              <w:rFonts w:eastAsiaTheme="minorEastAsia"/>
              <w:b w:val="0"/>
              <w:bCs w:val="0"/>
              <w:noProof/>
              <w:lang w:eastAsia="pt-BR"/>
            </w:rPr>
          </w:pPr>
          <w:hyperlink w:anchor="_Toc94806288" w:history="1">
            <w:r w:rsidRPr="006879E3">
              <w:rPr>
                <w:rStyle w:val="Hyperlink"/>
                <w:noProof/>
                <w:lang w:eastAsia="pt-BR"/>
              </w:rPr>
              <w:t>1.3</w:t>
            </w:r>
            <w:r>
              <w:rPr>
                <w:rFonts w:eastAsiaTheme="minorEastAsia"/>
                <w:b w:val="0"/>
                <w:bCs w:val="0"/>
                <w:noProof/>
                <w:lang w:eastAsia="pt-BR"/>
              </w:rPr>
              <w:tab/>
            </w:r>
            <w:r w:rsidRPr="006879E3">
              <w:rPr>
                <w:rStyle w:val="Hyperlink"/>
                <w:noProof/>
              </w:rPr>
              <w:t>Retificação</w:t>
            </w:r>
            <w:r>
              <w:rPr>
                <w:noProof/>
                <w:webHidden/>
              </w:rPr>
              <w:tab/>
            </w:r>
            <w:r>
              <w:rPr>
                <w:noProof/>
                <w:webHidden/>
              </w:rPr>
              <w:fldChar w:fldCharType="begin"/>
            </w:r>
            <w:r>
              <w:rPr>
                <w:noProof/>
                <w:webHidden/>
              </w:rPr>
              <w:instrText xml:space="preserve"> PAGEREF _Toc94806288 \h </w:instrText>
            </w:r>
            <w:r>
              <w:rPr>
                <w:noProof/>
                <w:webHidden/>
              </w:rPr>
            </w:r>
            <w:r>
              <w:rPr>
                <w:noProof/>
                <w:webHidden/>
              </w:rPr>
              <w:fldChar w:fldCharType="separate"/>
            </w:r>
            <w:r>
              <w:rPr>
                <w:noProof/>
                <w:webHidden/>
              </w:rPr>
              <w:t>6</w:t>
            </w:r>
            <w:r>
              <w:rPr>
                <w:noProof/>
                <w:webHidden/>
              </w:rPr>
              <w:fldChar w:fldCharType="end"/>
            </w:r>
          </w:hyperlink>
        </w:p>
        <w:p w14:paraId="05DC444D" w14:textId="3799D4DF" w:rsidR="009C5325" w:rsidRDefault="009C5325">
          <w:pPr>
            <w:pStyle w:val="Sumrio1"/>
            <w:tabs>
              <w:tab w:val="left" w:pos="440"/>
              <w:tab w:val="right" w:leader="dot" w:pos="9062"/>
            </w:tabs>
            <w:rPr>
              <w:rFonts w:eastAsiaTheme="minorEastAsia"/>
              <w:b w:val="0"/>
              <w:bCs w:val="0"/>
              <w:i w:val="0"/>
              <w:iCs w:val="0"/>
              <w:noProof/>
              <w:sz w:val="22"/>
              <w:szCs w:val="22"/>
              <w:lang w:eastAsia="pt-BR"/>
            </w:rPr>
          </w:pPr>
          <w:hyperlink w:anchor="_Toc94806289" w:history="1">
            <w:r w:rsidRPr="006879E3">
              <w:rPr>
                <w:rStyle w:val="Hyperlink"/>
                <w:noProof/>
              </w:rPr>
              <w:t>2</w:t>
            </w:r>
            <w:r>
              <w:rPr>
                <w:rFonts w:eastAsiaTheme="minorEastAsia"/>
                <w:b w:val="0"/>
                <w:bCs w:val="0"/>
                <w:i w:val="0"/>
                <w:iCs w:val="0"/>
                <w:noProof/>
                <w:sz w:val="22"/>
                <w:szCs w:val="22"/>
                <w:lang w:eastAsia="pt-BR"/>
              </w:rPr>
              <w:tab/>
            </w:r>
            <w:r w:rsidRPr="006879E3">
              <w:rPr>
                <w:rStyle w:val="Hyperlink"/>
                <w:noProof/>
              </w:rPr>
              <w:t>COMPOSIÇÃO DA REMESSA</w:t>
            </w:r>
            <w:r>
              <w:rPr>
                <w:noProof/>
                <w:webHidden/>
              </w:rPr>
              <w:tab/>
            </w:r>
            <w:r>
              <w:rPr>
                <w:noProof/>
                <w:webHidden/>
              </w:rPr>
              <w:fldChar w:fldCharType="begin"/>
            </w:r>
            <w:r>
              <w:rPr>
                <w:noProof/>
                <w:webHidden/>
              </w:rPr>
              <w:instrText xml:space="preserve"> PAGEREF _Toc94806289 \h </w:instrText>
            </w:r>
            <w:r>
              <w:rPr>
                <w:noProof/>
                <w:webHidden/>
              </w:rPr>
            </w:r>
            <w:r>
              <w:rPr>
                <w:noProof/>
                <w:webHidden/>
              </w:rPr>
              <w:fldChar w:fldCharType="separate"/>
            </w:r>
            <w:r>
              <w:rPr>
                <w:noProof/>
                <w:webHidden/>
              </w:rPr>
              <w:t>7</w:t>
            </w:r>
            <w:r>
              <w:rPr>
                <w:noProof/>
                <w:webHidden/>
              </w:rPr>
              <w:fldChar w:fldCharType="end"/>
            </w:r>
          </w:hyperlink>
        </w:p>
        <w:p w14:paraId="6E34E2E9" w14:textId="164D524E" w:rsidR="009C5325" w:rsidRDefault="009C5325">
          <w:pPr>
            <w:pStyle w:val="Sumrio2"/>
            <w:tabs>
              <w:tab w:val="left" w:pos="880"/>
              <w:tab w:val="right" w:leader="dot" w:pos="9062"/>
            </w:tabs>
            <w:rPr>
              <w:rFonts w:eastAsiaTheme="minorEastAsia"/>
              <w:b w:val="0"/>
              <w:bCs w:val="0"/>
              <w:noProof/>
              <w:lang w:eastAsia="pt-BR"/>
            </w:rPr>
          </w:pPr>
          <w:hyperlink w:anchor="_Toc94806290" w:history="1">
            <w:r w:rsidRPr="006879E3">
              <w:rPr>
                <w:rStyle w:val="Hyperlink"/>
                <w:noProof/>
                <w:lang w:eastAsia="pt-BR"/>
              </w:rPr>
              <w:t>2.1</w:t>
            </w:r>
            <w:r>
              <w:rPr>
                <w:rFonts w:eastAsiaTheme="minorEastAsia"/>
                <w:b w:val="0"/>
                <w:bCs w:val="0"/>
                <w:noProof/>
                <w:lang w:eastAsia="pt-BR"/>
              </w:rPr>
              <w:tab/>
            </w:r>
            <w:r w:rsidRPr="006879E3">
              <w:rPr>
                <w:rStyle w:val="Hyperlink"/>
                <w:noProof/>
                <w:lang w:eastAsia="pt-BR"/>
              </w:rPr>
              <w:t>CONTAS DE PREFEITO</w:t>
            </w:r>
            <w:r>
              <w:rPr>
                <w:noProof/>
                <w:webHidden/>
              </w:rPr>
              <w:tab/>
            </w:r>
            <w:r>
              <w:rPr>
                <w:noProof/>
                <w:webHidden/>
              </w:rPr>
              <w:fldChar w:fldCharType="begin"/>
            </w:r>
            <w:r>
              <w:rPr>
                <w:noProof/>
                <w:webHidden/>
              </w:rPr>
              <w:instrText xml:space="preserve"> PAGEREF _Toc94806290 \h </w:instrText>
            </w:r>
            <w:r>
              <w:rPr>
                <w:noProof/>
                <w:webHidden/>
              </w:rPr>
            </w:r>
            <w:r>
              <w:rPr>
                <w:noProof/>
                <w:webHidden/>
              </w:rPr>
              <w:fldChar w:fldCharType="separate"/>
            </w:r>
            <w:r>
              <w:rPr>
                <w:noProof/>
                <w:webHidden/>
              </w:rPr>
              <w:t>7</w:t>
            </w:r>
            <w:r>
              <w:rPr>
                <w:noProof/>
                <w:webHidden/>
              </w:rPr>
              <w:fldChar w:fldCharType="end"/>
            </w:r>
          </w:hyperlink>
        </w:p>
        <w:p w14:paraId="7DF1F389" w14:textId="620CA2BA" w:rsidR="009C5325" w:rsidRDefault="009C5325">
          <w:pPr>
            <w:pStyle w:val="Sumrio2"/>
            <w:tabs>
              <w:tab w:val="left" w:pos="880"/>
              <w:tab w:val="right" w:leader="dot" w:pos="9062"/>
            </w:tabs>
            <w:rPr>
              <w:rFonts w:eastAsiaTheme="minorEastAsia"/>
              <w:b w:val="0"/>
              <w:bCs w:val="0"/>
              <w:noProof/>
              <w:lang w:eastAsia="pt-BR"/>
            </w:rPr>
          </w:pPr>
          <w:hyperlink w:anchor="_Toc94806291" w:history="1">
            <w:r w:rsidRPr="006879E3">
              <w:rPr>
                <w:rStyle w:val="Hyperlink"/>
                <w:noProof/>
                <w:lang w:eastAsia="pt-BR"/>
              </w:rPr>
              <w:t>2.2</w:t>
            </w:r>
            <w:r>
              <w:rPr>
                <w:rFonts w:eastAsiaTheme="minorEastAsia"/>
                <w:b w:val="0"/>
                <w:bCs w:val="0"/>
                <w:noProof/>
                <w:lang w:eastAsia="pt-BR"/>
              </w:rPr>
              <w:tab/>
            </w:r>
            <w:r w:rsidRPr="006879E3">
              <w:rPr>
                <w:rStyle w:val="Hyperlink"/>
                <w:noProof/>
                <w:lang w:eastAsia="pt-BR"/>
              </w:rPr>
              <w:t>CONTAS DOS ORDENADORES DE DESPESAS DAS ADMINISTRAÇÕES DIRETAS E INDIRETAS DOS PODERES EXECUTIVOS MUNICIPAIS, EXCETO INSTITUTOS PRÓPRIOS DE PREVIDÊNCIA SOCIAL</w:t>
            </w:r>
            <w:r>
              <w:rPr>
                <w:noProof/>
                <w:webHidden/>
              </w:rPr>
              <w:tab/>
            </w:r>
            <w:r>
              <w:rPr>
                <w:noProof/>
                <w:webHidden/>
              </w:rPr>
              <w:fldChar w:fldCharType="begin"/>
            </w:r>
            <w:r>
              <w:rPr>
                <w:noProof/>
                <w:webHidden/>
              </w:rPr>
              <w:instrText xml:space="preserve"> PAGEREF _Toc94806291 \h </w:instrText>
            </w:r>
            <w:r>
              <w:rPr>
                <w:noProof/>
                <w:webHidden/>
              </w:rPr>
            </w:r>
            <w:r>
              <w:rPr>
                <w:noProof/>
                <w:webHidden/>
              </w:rPr>
              <w:fldChar w:fldCharType="separate"/>
            </w:r>
            <w:r>
              <w:rPr>
                <w:noProof/>
                <w:webHidden/>
              </w:rPr>
              <w:t>13</w:t>
            </w:r>
            <w:r>
              <w:rPr>
                <w:noProof/>
                <w:webHidden/>
              </w:rPr>
              <w:fldChar w:fldCharType="end"/>
            </w:r>
          </w:hyperlink>
        </w:p>
        <w:p w14:paraId="4618C861" w14:textId="5955AF50" w:rsidR="009C5325" w:rsidRDefault="009C5325">
          <w:pPr>
            <w:pStyle w:val="Sumrio2"/>
            <w:tabs>
              <w:tab w:val="left" w:pos="880"/>
              <w:tab w:val="right" w:leader="dot" w:pos="9062"/>
            </w:tabs>
            <w:rPr>
              <w:rFonts w:eastAsiaTheme="minorEastAsia"/>
              <w:b w:val="0"/>
              <w:bCs w:val="0"/>
              <w:noProof/>
              <w:lang w:eastAsia="pt-BR"/>
            </w:rPr>
          </w:pPr>
          <w:hyperlink w:anchor="_Toc94806292" w:history="1">
            <w:r w:rsidRPr="006879E3">
              <w:rPr>
                <w:rStyle w:val="Hyperlink"/>
                <w:noProof/>
                <w:lang w:eastAsia="pt-BR"/>
              </w:rPr>
              <w:t>2.3</w:t>
            </w:r>
            <w:r>
              <w:rPr>
                <w:rFonts w:eastAsiaTheme="minorEastAsia"/>
                <w:b w:val="0"/>
                <w:bCs w:val="0"/>
                <w:noProof/>
                <w:lang w:eastAsia="pt-BR"/>
              </w:rPr>
              <w:tab/>
            </w:r>
            <w:r w:rsidRPr="006879E3">
              <w:rPr>
                <w:rStyle w:val="Hyperlink"/>
                <w:noProof/>
                <w:lang w:eastAsia="pt-BR"/>
              </w:rPr>
              <w:t>CONTAS DOS ORDENADORES DE DESPESAS DAS ADMINISTRAÇÕES DIRETAS E INDIRETAS DO PODER EXECUTIVO ESTADUAL, EXCETO INSTITUTOS PRÓPRIOS DE PREVIDÊNCIA SOCIAL.</w:t>
            </w:r>
            <w:r>
              <w:rPr>
                <w:noProof/>
                <w:webHidden/>
              </w:rPr>
              <w:tab/>
            </w:r>
            <w:r>
              <w:rPr>
                <w:noProof/>
                <w:webHidden/>
              </w:rPr>
              <w:fldChar w:fldCharType="begin"/>
            </w:r>
            <w:r>
              <w:rPr>
                <w:noProof/>
                <w:webHidden/>
              </w:rPr>
              <w:instrText xml:space="preserve"> PAGEREF _Toc94806292 \h </w:instrText>
            </w:r>
            <w:r>
              <w:rPr>
                <w:noProof/>
                <w:webHidden/>
              </w:rPr>
            </w:r>
            <w:r>
              <w:rPr>
                <w:noProof/>
                <w:webHidden/>
              </w:rPr>
              <w:fldChar w:fldCharType="separate"/>
            </w:r>
            <w:r>
              <w:rPr>
                <w:noProof/>
                <w:webHidden/>
              </w:rPr>
              <w:t>17</w:t>
            </w:r>
            <w:r>
              <w:rPr>
                <w:noProof/>
                <w:webHidden/>
              </w:rPr>
              <w:fldChar w:fldCharType="end"/>
            </w:r>
          </w:hyperlink>
        </w:p>
        <w:p w14:paraId="3FCC0396" w14:textId="26F71342" w:rsidR="009C5325" w:rsidRDefault="009C5325">
          <w:pPr>
            <w:pStyle w:val="Sumrio2"/>
            <w:tabs>
              <w:tab w:val="left" w:pos="880"/>
              <w:tab w:val="right" w:leader="dot" w:pos="9062"/>
            </w:tabs>
            <w:rPr>
              <w:rFonts w:eastAsiaTheme="minorEastAsia"/>
              <w:b w:val="0"/>
              <w:bCs w:val="0"/>
              <w:noProof/>
              <w:lang w:eastAsia="pt-BR"/>
            </w:rPr>
          </w:pPr>
          <w:hyperlink w:anchor="_Toc94806293" w:history="1">
            <w:r w:rsidRPr="006879E3">
              <w:rPr>
                <w:rStyle w:val="Hyperlink"/>
                <w:noProof/>
                <w:lang w:eastAsia="pt-BR"/>
              </w:rPr>
              <w:t>2.4</w:t>
            </w:r>
            <w:r>
              <w:rPr>
                <w:rFonts w:eastAsiaTheme="minorEastAsia"/>
                <w:b w:val="0"/>
                <w:bCs w:val="0"/>
                <w:noProof/>
                <w:lang w:eastAsia="pt-BR"/>
              </w:rPr>
              <w:tab/>
            </w:r>
            <w:r w:rsidRPr="006879E3">
              <w:rPr>
                <w:rStyle w:val="Hyperlink"/>
                <w:noProof/>
                <w:lang w:eastAsia="pt-BR"/>
              </w:rPr>
              <w:t>CONTAS DAS MESAS DIRETORAS DAS CÂMARAS MUNICIPAIS</w:t>
            </w:r>
            <w:r>
              <w:rPr>
                <w:noProof/>
                <w:webHidden/>
              </w:rPr>
              <w:tab/>
            </w:r>
            <w:r>
              <w:rPr>
                <w:noProof/>
                <w:webHidden/>
              </w:rPr>
              <w:fldChar w:fldCharType="begin"/>
            </w:r>
            <w:r>
              <w:rPr>
                <w:noProof/>
                <w:webHidden/>
              </w:rPr>
              <w:instrText xml:space="preserve"> PAGEREF _Toc94806293 \h </w:instrText>
            </w:r>
            <w:r>
              <w:rPr>
                <w:noProof/>
                <w:webHidden/>
              </w:rPr>
            </w:r>
            <w:r>
              <w:rPr>
                <w:noProof/>
                <w:webHidden/>
              </w:rPr>
              <w:fldChar w:fldCharType="separate"/>
            </w:r>
            <w:r>
              <w:rPr>
                <w:noProof/>
                <w:webHidden/>
              </w:rPr>
              <w:t>22</w:t>
            </w:r>
            <w:r>
              <w:rPr>
                <w:noProof/>
                <w:webHidden/>
              </w:rPr>
              <w:fldChar w:fldCharType="end"/>
            </w:r>
          </w:hyperlink>
        </w:p>
        <w:p w14:paraId="10B25CE0" w14:textId="062E520A" w:rsidR="009C5325" w:rsidRDefault="009C5325">
          <w:pPr>
            <w:pStyle w:val="Sumrio2"/>
            <w:tabs>
              <w:tab w:val="left" w:pos="880"/>
              <w:tab w:val="right" w:leader="dot" w:pos="9062"/>
            </w:tabs>
            <w:rPr>
              <w:rFonts w:eastAsiaTheme="minorEastAsia"/>
              <w:b w:val="0"/>
              <w:bCs w:val="0"/>
              <w:noProof/>
              <w:lang w:eastAsia="pt-BR"/>
            </w:rPr>
          </w:pPr>
          <w:hyperlink w:anchor="_Toc94806294" w:history="1">
            <w:r w:rsidRPr="006879E3">
              <w:rPr>
                <w:rStyle w:val="Hyperlink"/>
                <w:noProof/>
                <w:lang w:eastAsia="pt-BR"/>
              </w:rPr>
              <w:t>2.5</w:t>
            </w:r>
            <w:r>
              <w:rPr>
                <w:rFonts w:eastAsiaTheme="minorEastAsia"/>
                <w:b w:val="0"/>
                <w:bCs w:val="0"/>
                <w:noProof/>
                <w:lang w:eastAsia="pt-BR"/>
              </w:rPr>
              <w:tab/>
            </w:r>
            <w:r w:rsidRPr="006879E3">
              <w:rPr>
                <w:rStyle w:val="Hyperlink"/>
                <w:noProof/>
                <w:lang w:eastAsia="pt-BR"/>
              </w:rPr>
              <w:t>CONTAS DA MESA DIRETORA DA ASSEMBLEIA LEGISLATIVA</w:t>
            </w:r>
            <w:r>
              <w:rPr>
                <w:noProof/>
                <w:webHidden/>
              </w:rPr>
              <w:tab/>
            </w:r>
            <w:r>
              <w:rPr>
                <w:noProof/>
                <w:webHidden/>
              </w:rPr>
              <w:fldChar w:fldCharType="begin"/>
            </w:r>
            <w:r>
              <w:rPr>
                <w:noProof/>
                <w:webHidden/>
              </w:rPr>
              <w:instrText xml:space="preserve"> PAGEREF _Toc94806294 \h </w:instrText>
            </w:r>
            <w:r>
              <w:rPr>
                <w:noProof/>
                <w:webHidden/>
              </w:rPr>
            </w:r>
            <w:r>
              <w:rPr>
                <w:noProof/>
                <w:webHidden/>
              </w:rPr>
              <w:fldChar w:fldCharType="separate"/>
            </w:r>
            <w:r>
              <w:rPr>
                <w:noProof/>
                <w:webHidden/>
              </w:rPr>
              <w:t>25</w:t>
            </w:r>
            <w:r>
              <w:rPr>
                <w:noProof/>
                <w:webHidden/>
              </w:rPr>
              <w:fldChar w:fldCharType="end"/>
            </w:r>
          </w:hyperlink>
        </w:p>
        <w:p w14:paraId="25A1A683" w14:textId="389B72A4" w:rsidR="009C5325" w:rsidRDefault="009C5325">
          <w:pPr>
            <w:pStyle w:val="Sumrio2"/>
            <w:tabs>
              <w:tab w:val="left" w:pos="880"/>
              <w:tab w:val="right" w:leader="dot" w:pos="9062"/>
            </w:tabs>
            <w:rPr>
              <w:rFonts w:eastAsiaTheme="minorEastAsia"/>
              <w:b w:val="0"/>
              <w:bCs w:val="0"/>
              <w:noProof/>
              <w:lang w:eastAsia="pt-BR"/>
            </w:rPr>
          </w:pPr>
          <w:hyperlink w:anchor="_Toc94806295" w:history="1">
            <w:r w:rsidRPr="006879E3">
              <w:rPr>
                <w:rStyle w:val="Hyperlink"/>
                <w:noProof/>
                <w:lang w:eastAsia="pt-BR"/>
              </w:rPr>
              <w:t>2.6</w:t>
            </w:r>
            <w:r>
              <w:rPr>
                <w:rFonts w:eastAsiaTheme="minorEastAsia"/>
                <w:b w:val="0"/>
                <w:bCs w:val="0"/>
                <w:noProof/>
                <w:lang w:eastAsia="pt-BR"/>
              </w:rPr>
              <w:tab/>
            </w:r>
            <w:r w:rsidRPr="006879E3">
              <w:rPr>
                <w:rStyle w:val="Hyperlink"/>
                <w:noProof/>
                <w:lang w:eastAsia="pt-BR"/>
              </w:rPr>
              <w:t>CONTAS DOS ORDENADORES DE DESPESAS DO MINISTÉRIO PÚBLICO, DO TRIBUNAL DE JUSTIÇA, DO TRIBUNAL DE CONTAS E DA DEFENSORIA PÚBLICA</w:t>
            </w:r>
            <w:r>
              <w:rPr>
                <w:noProof/>
                <w:webHidden/>
              </w:rPr>
              <w:tab/>
            </w:r>
            <w:r>
              <w:rPr>
                <w:noProof/>
                <w:webHidden/>
              </w:rPr>
              <w:fldChar w:fldCharType="begin"/>
            </w:r>
            <w:r>
              <w:rPr>
                <w:noProof/>
                <w:webHidden/>
              </w:rPr>
              <w:instrText xml:space="preserve"> PAGEREF _Toc94806295 \h </w:instrText>
            </w:r>
            <w:r>
              <w:rPr>
                <w:noProof/>
                <w:webHidden/>
              </w:rPr>
            </w:r>
            <w:r>
              <w:rPr>
                <w:noProof/>
                <w:webHidden/>
              </w:rPr>
              <w:fldChar w:fldCharType="separate"/>
            </w:r>
            <w:r>
              <w:rPr>
                <w:noProof/>
                <w:webHidden/>
              </w:rPr>
              <w:t>30</w:t>
            </w:r>
            <w:r>
              <w:rPr>
                <w:noProof/>
                <w:webHidden/>
              </w:rPr>
              <w:fldChar w:fldCharType="end"/>
            </w:r>
          </w:hyperlink>
        </w:p>
        <w:p w14:paraId="457DBEB7" w14:textId="3136A001" w:rsidR="009C5325" w:rsidRDefault="009C5325">
          <w:pPr>
            <w:pStyle w:val="Sumrio2"/>
            <w:tabs>
              <w:tab w:val="left" w:pos="880"/>
              <w:tab w:val="right" w:leader="dot" w:pos="9062"/>
            </w:tabs>
            <w:rPr>
              <w:rFonts w:eastAsiaTheme="minorEastAsia"/>
              <w:b w:val="0"/>
              <w:bCs w:val="0"/>
              <w:noProof/>
              <w:lang w:eastAsia="pt-BR"/>
            </w:rPr>
          </w:pPr>
          <w:hyperlink w:anchor="_Toc94806296" w:history="1">
            <w:r w:rsidRPr="006879E3">
              <w:rPr>
                <w:rStyle w:val="Hyperlink"/>
                <w:noProof/>
                <w:lang w:eastAsia="pt-BR"/>
              </w:rPr>
              <w:t>2.7</w:t>
            </w:r>
            <w:r>
              <w:rPr>
                <w:rFonts w:eastAsiaTheme="minorEastAsia"/>
                <w:b w:val="0"/>
                <w:bCs w:val="0"/>
                <w:noProof/>
                <w:lang w:eastAsia="pt-BR"/>
              </w:rPr>
              <w:tab/>
            </w:r>
            <w:r w:rsidRPr="006879E3">
              <w:rPr>
                <w:rStyle w:val="Hyperlink"/>
                <w:noProof/>
                <w:lang w:eastAsia="pt-BR"/>
              </w:rPr>
              <w:t>CONTAS DOS ORDENADORES DE DESPESAS DAS UNIDADES GESTORAS DE SENTENÇAS JUDICIÁRIAS – PRECATÓRIOS ESTADUAIS, PRECATÓRIOS MUNICIPAIS E PENAS PECUNIÁRIAS</w:t>
            </w:r>
            <w:r>
              <w:rPr>
                <w:noProof/>
                <w:webHidden/>
              </w:rPr>
              <w:tab/>
            </w:r>
            <w:r>
              <w:rPr>
                <w:noProof/>
                <w:webHidden/>
              </w:rPr>
              <w:fldChar w:fldCharType="begin"/>
            </w:r>
            <w:r>
              <w:rPr>
                <w:noProof/>
                <w:webHidden/>
              </w:rPr>
              <w:instrText xml:space="preserve"> PAGEREF _Toc94806296 \h </w:instrText>
            </w:r>
            <w:r>
              <w:rPr>
                <w:noProof/>
                <w:webHidden/>
              </w:rPr>
            </w:r>
            <w:r>
              <w:rPr>
                <w:noProof/>
                <w:webHidden/>
              </w:rPr>
              <w:fldChar w:fldCharType="separate"/>
            </w:r>
            <w:r>
              <w:rPr>
                <w:noProof/>
                <w:webHidden/>
              </w:rPr>
              <w:t>35</w:t>
            </w:r>
            <w:r>
              <w:rPr>
                <w:noProof/>
                <w:webHidden/>
              </w:rPr>
              <w:fldChar w:fldCharType="end"/>
            </w:r>
          </w:hyperlink>
        </w:p>
        <w:p w14:paraId="040A4521" w14:textId="1DCB5F08" w:rsidR="009C5325" w:rsidRDefault="009C5325">
          <w:pPr>
            <w:pStyle w:val="Sumrio2"/>
            <w:tabs>
              <w:tab w:val="left" w:pos="880"/>
              <w:tab w:val="right" w:leader="dot" w:pos="9062"/>
            </w:tabs>
            <w:rPr>
              <w:rFonts w:eastAsiaTheme="minorEastAsia"/>
              <w:b w:val="0"/>
              <w:bCs w:val="0"/>
              <w:noProof/>
              <w:lang w:eastAsia="pt-BR"/>
            </w:rPr>
          </w:pPr>
          <w:hyperlink w:anchor="_Toc94806297" w:history="1">
            <w:r w:rsidRPr="006879E3">
              <w:rPr>
                <w:rStyle w:val="Hyperlink"/>
                <w:noProof/>
                <w:lang w:eastAsia="pt-BR"/>
              </w:rPr>
              <w:t>2.8</w:t>
            </w:r>
            <w:r>
              <w:rPr>
                <w:rFonts w:eastAsiaTheme="minorEastAsia"/>
                <w:b w:val="0"/>
                <w:bCs w:val="0"/>
                <w:noProof/>
                <w:lang w:eastAsia="pt-BR"/>
              </w:rPr>
              <w:tab/>
            </w:r>
            <w:r w:rsidRPr="006879E3">
              <w:rPr>
                <w:rStyle w:val="Hyperlink"/>
                <w:noProof/>
                <w:lang w:eastAsia="pt-BR"/>
              </w:rPr>
              <w:t>CONTAS DOS ORDENADORES DE DESPESAS DOS INSTITUTOS PRÓPRIOS DE PREVIDÊNCIA MUNICIPAIS (RPPS EM ATIVIDADE E OS EM EXTINÇÃO)</w:t>
            </w:r>
            <w:r>
              <w:rPr>
                <w:noProof/>
                <w:webHidden/>
              </w:rPr>
              <w:tab/>
            </w:r>
            <w:r>
              <w:rPr>
                <w:noProof/>
                <w:webHidden/>
              </w:rPr>
              <w:fldChar w:fldCharType="begin"/>
            </w:r>
            <w:r>
              <w:rPr>
                <w:noProof/>
                <w:webHidden/>
              </w:rPr>
              <w:instrText xml:space="preserve"> PAGEREF _Toc94806297 \h </w:instrText>
            </w:r>
            <w:r>
              <w:rPr>
                <w:noProof/>
                <w:webHidden/>
              </w:rPr>
            </w:r>
            <w:r>
              <w:rPr>
                <w:noProof/>
                <w:webHidden/>
              </w:rPr>
              <w:fldChar w:fldCharType="separate"/>
            </w:r>
            <w:r>
              <w:rPr>
                <w:noProof/>
                <w:webHidden/>
              </w:rPr>
              <w:t>37</w:t>
            </w:r>
            <w:r>
              <w:rPr>
                <w:noProof/>
                <w:webHidden/>
              </w:rPr>
              <w:fldChar w:fldCharType="end"/>
            </w:r>
          </w:hyperlink>
        </w:p>
        <w:p w14:paraId="190AC3E1" w14:textId="6A19A1CD" w:rsidR="009C5325" w:rsidRDefault="009C5325">
          <w:pPr>
            <w:pStyle w:val="Sumrio2"/>
            <w:tabs>
              <w:tab w:val="left" w:pos="880"/>
              <w:tab w:val="right" w:leader="dot" w:pos="9062"/>
            </w:tabs>
            <w:rPr>
              <w:rFonts w:eastAsiaTheme="minorEastAsia"/>
              <w:b w:val="0"/>
              <w:bCs w:val="0"/>
              <w:noProof/>
              <w:lang w:eastAsia="pt-BR"/>
            </w:rPr>
          </w:pPr>
          <w:hyperlink w:anchor="_Toc94806298" w:history="1">
            <w:r w:rsidRPr="006879E3">
              <w:rPr>
                <w:rStyle w:val="Hyperlink"/>
                <w:noProof/>
                <w:lang w:eastAsia="pt-BR"/>
              </w:rPr>
              <w:t>2.9</w:t>
            </w:r>
            <w:r>
              <w:rPr>
                <w:rFonts w:eastAsiaTheme="minorEastAsia"/>
                <w:b w:val="0"/>
                <w:bCs w:val="0"/>
                <w:noProof/>
                <w:lang w:eastAsia="pt-BR"/>
              </w:rPr>
              <w:tab/>
            </w:r>
            <w:r w:rsidRPr="006879E3">
              <w:rPr>
                <w:rStyle w:val="Hyperlink"/>
                <w:noProof/>
                <w:lang w:eastAsia="pt-BR"/>
              </w:rPr>
              <w:t>CONTAS DOS ORDENADORES DE DESPESAS DO INSTITUTO PRÓPRIO DE PREVIDÊNCIA ESTADUAL</w:t>
            </w:r>
            <w:r>
              <w:rPr>
                <w:noProof/>
                <w:webHidden/>
              </w:rPr>
              <w:tab/>
            </w:r>
            <w:r>
              <w:rPr>
                <w:noProof/>
                <w:webHidden/>
              </w:rPr>
              <w:fldChar w:fldCharType="begin"/>
            </w:r>
            <w:r>
              <w:rPr>
                <w:noProof/>
                <w:webHidden/>
              </w:rPr>
              <w:instrText xml:space="preserve"> PAGEREF _Toc94806298 \h </w:instrText>
            </w:r>
            <w:r>
              <w:rPr>
                <w:noProof/>
                <w:webHidden/>
              </w:rPr>
            </w:r>
            <w:r>
              <w:rPr>
                <w:noProof/>
                <w:webHidden/>
              </w:rPr>
              <w:fldChar w:fldCharType="separate"/>
            </w:r>
            <w:r>
              <w:rPr>
                <w:noProof/>
                <w:webHidden/>
              </w:rPr>
              <w:t>50</w:t>
            </w:r>
            <w:r>
              <w:rPr>
                <w:noProof/>
                <w:webHidden/>
              </w:rPr>
              <w:fldChar w:fldCharType="end"/>
            </w:r>
          </w:hyperlink>
        </w:p>
        <w:p w14:paraId="4D094DC1" w14:textId="2F9F1158" w:rsidR="009C5325" w:rsidRDefault="009C5325">
          <w:pPr>
            <w:pStyle w:val="Sumrio2"/>
            <w:tabs>
              <w:tab w:val="left" w:pos="880"/>
              <w:tab w:val="right" w:leader="dot" w:pos="9062"/>
            </w:tabs>
            <w:rPr>
              <w:rFonts w:eastAsiaTheme="minorEastAsia"/>
              <w:b w:val="0"/>
              <w:bCs w:val="0"/>
              <w:noProof/>
              <w:lang w:eastAsia="pt-BR"/>
            </w:rPr>
          </w:pPr>
          <w:hyperlink w:anchor="_Toc94806299" w:history="1">
            <w:r w:rsidRPr="006879E3">
              <w:rPr>
                <w:rStyle w:val="Hyperlink"/>
                <w:noProof/>
                <w:lang w:eastAsia="pt-BR"/>
              </w:rPr>
              <w:t>2.10</w:t>
            </w:r>
            <w:r>
              <w:rPr>
                <w:rFonts w:eastAsiaTheme="minorEastAsia"/>
                <w:b w:val="0"/>
                <w:bCs w:val="0"/>
                <w:noProof/>
                <w:lang w:eastAsia="pt-BR"/>
              </w:rPr>
              <w:tab/>
            </w:r>
            <w:r w:rsidRPr="006879E3">
              <w:rPr>
                <w:rStyle w:val="Hyperlink"/>
                <w:noProof/>
                <w:lang w:eastAsia="pt-BR"/>
              </w:rPr>
              <w:t>CONTAS DOS TITULARES DAS PESSOAS JURÍDICAS DE DIREITO PRIVADO, INCLUSIVE DAS QUE SE ENCONTRAM EM PROCESSO DE LIQUIDAÇÃO (EMPRESAS ESTATAIS NÃO DEPENDENTES - EEND E EMPRESAS ESTATAIS DEPENDENTES - EED)</w:t>
            </w:r>
            <w:r>
              <w:rPr>
                <w:noProof/>
                <w:webHidden/>
              </w:rPr>
              <w:tab/>
            </w:r>
            <w:r>
              <w:rPr>
                <w:noProof/>
                <w:webHidden/>
              </w:rPr>
              <w:fldChar w:fldCharType="begin"/>
            </w:r>
            <w:r>
              <w:rPr>
                <w:noProof/>
                <w:webHidden/>
              </w:rPr>
              <w:instrText xml:space="preserve"> PAGEREF _Toc94806299 \h </w:instrText>
            </w:r>
            <w:r>
              <w:rPr>
                <w:noProof/>
                <w:webHidden/>
              </w:rPr>
            </w:r>
            <w:r>
              <w:rPr>
                <w:noProof/>
                <w:webHidden/>
              </w:rPr>
              <w:fldChar w:fldCharType="separate"/>
            </w:r>
            <w:r>
              <w:rPr>
                <w:noProof/>
                <w:webHidden/>
              </w:rPr>
              <w:t>66</w:t>
            </w:r>
            <w:r>
              <w:rPr>
                <w:noProof/>
                <w:webHidden/>
              </w:rPr>
              <w:fldChar w:fldCharType="end"/>
            </w:r>
          </w:hyperlink>
        </w:p>
        <w:p w14:paraId="78F8B5BC" w14:textId="53778A8D" w:rsidR="009C5325" w:rsidRDefault="009C5325">
          <w:pPr>
            <w:pStyle w:val="Sumrio2"/>
            <w:tabs>
              <w:tab w:val="left" w:pos="880"/>
              <w:tab w:val="right" w:leader="dot" w:pos="9062"/>
            </w:tabs>
            <w:rPr>
              <w:rFonts w:eastAsiaTheme="minorEastAsia"/>
              <w:b w:val="0"/>
              <w:bCs w:val="0"/>
              <w:noProof/>
              <w:lang w:eastAsia="pt-BR"/>
            </w:rPr>
          </w:pPr>
          <w:hyperlink w:anchor="_Toc94806300" w:history="1">
            <w:r w:rsidRPr="006879E3">
              <w:rPr>
                <w:rStyle w:val="Hyperlink"/>
                <w:noProof/>
                <w:lang w:eastAsia="pt-BR"/>
              </w:rPr>
              <w:t>2.11</w:t>
            </w:r>
            <w:r>
              <w:rPr>
                <w:rFonts w:eastAsiaTheme="minorEastAsia"/>
                <w:b w:val="0"/>
                <w:bCs w:val="0"/>
                <w:noProof/>
                <w:lang w:eastAsia="pt-BR"/>
              </w:rPr>
              <w:tab/>
            </w:r>
            <w:r w:rsidRPr="006879E3">
              <w:rPr>
                <w:rStyle w:val="Hyperlink"/>
                <w:noProof/>
                <w:lang w:eastAsia="pt-BR"/>
              </w:rPr>
              <w:t>CONTAS DOS TITULARES DE ENTIDADES FECHADAS DE PREVIDÊNCIA COMPLEMENTAR (ESTRUTURADAS NA FORMA DE FUNDAÇÕES DE DIREITO PRIVADO)</w:t>
            </w:r>
            <w:r>
              <w:rPr>
                <w:noProof/>
                <w:webHidden/>
              </w:rPr>
              <w:tab/>
            </w:r>
            <w:r>
              <w:rPr>
                <w:noProof/>
                <w:webHidden/>
              </w:rPr>
              <w:fldChar w:fldCharType="begin"/>
            </w:r>
            <w:r>
              <w:rPr>
                <w:noProof/>
                <w:webHidden/>
              </w:rPr>
              <w:instrText xml:space="preserve"> PAGEREF _Toc94806300 \h </w:instrText>
            </w:r>
            <w:r>
              <w:rPr>
                <w:noProof/>
                <w:webHidden/>
              </w:rPr>
            </w:r>
            <w:r>
              <w:rPr>
                <w:noProof/>
                <w:webHidden/>
              </w:rPr>
              <w:fldChar w:fldCharType="separate"/>
            </w:r>
            <w:r>
              <w:rPr>
                <w:noProof/>
                <w:webHidden/>
              </w:rPr>
              <w:t>79</w:t>
            </w:r>
            <w:r>
              <w:rPr>
                <w:noProof/>
                <w:webHidden/>
              </w:rPr>
              <w:fldChar w:fldCharType="end"/>
            </w:r>
          </w:hyperlink>
        </w:p>
        <w:p w14:paraId="7860D837" w14:textId="421BB653" w:rsidR="009C5325" w:rsidRDefault="009C5325">
          <w:pPr>
            <w:pStyle w:val="Sumrio2"/>
            <w:tabs>
              <w:tab w:val="left" w:pos="880"/>
              <w:tab w:val="right" w:leader="dot" w:pos="9062"/>
            </w:tabs>
            <w:rPr>
              <w:rFonts w:eastAsiaTheme="minorEastAsia"/>
              <w:b w:val="0"/>
              <w:bCs w:val="0"/>
              <w:noProof/>
              <w:lang w:eastAsia="pt-BR"/>
            </w:rPr>
          </w:pPr>
          <w:hyperlink w:anchor="_Toc94806301" w:history="1">
            <w:r w:rsidRPr="006879E3">
              <w:rPr>
                <w:rStyle w:val="Hyperlink"/>
                <w:noProof/>
                <w:lang w:eastAsia="pt-BR"/>
              </w:rPr>
              <w:t>2.12</w:t>
            </w:r>
            <w:r>
              <w:rPr>
                <w:rFonts w:eastAsiaTheme="minorEastAsia"/>
                <w:b w:val="0"/>
                <w:bCs w:val="0"/>
                <w:noProof/>
                <w:lang w:eastAsia="pt-BR"/>
              </w:rPr>
              <w:tab/>
            </w:r>
            <w:r w:rsidRPr="006879E3">
              <w:rPr>
                <w:rStyle w:val="Hyperlink"/>
                <w:noProof/>
                <w:lang w:eastAsia="pt-BR"/>
              </w:rPr>
              <w:t>CONTAS DOS ORDENADORES DE DESPESAS DOS CONSÓRCIOS PÚBLICOS</w:t>
            </w:r>
            <w:r>
              <w:rPr>
                <w:noProof/>
                <w:webHidden/>
              </w:rPr>
              <w:tab/>
            </w:r>
            <w:r>
              <w:rPr>
                <w:noProof/>
                <w:webHidden/>
              </w:rPr>
              <w:fldChar w:fldCharType="begin"/>
            </w:r>
            <w:r>
              <w:rPr>
                <w:noProof/>
                <w:webHidden/>
              </w:rPr>
              <w:instrText xml:space="preserve"> PAGEREF _Toc94806301 \h </w:instrText>
            </w:r>
            <w:r>
              <w:rPr>
                <w:noProof/>
                <w:webHidden/>
              </w:rPr>
            </w:r>
            <w:r>
              <w:rPr>
                <w:noProof/>
                <w:webHidden/>
              </w:rPr>
              <w:fldChar w:fldCharType="separate"/>
            </w:r>
            <w:r>
              <w:rPr>
                <w:noProof/>
                <w:webHidden/>
              </w:rPr>
              <w:t>83</w:t>
            </w:r>
            <w:r>
              <w:rPr>
                <w:noProof/>
                <w:webHidden/>
              </w:rPr>
              <w:fldChar w:fldCharType="end"/>
            </w:r>
          </w:hyperlink>
        </w:p>
        <w:p w14:paraId="3653BDFA" w14:textId="3E6D9FA7" w:rsidR="009C5325" w:rsidRDefault="009C5325">
          <w:pPr>
            <w:pStyle w:val="Sumrio2"/>
            <w:tabs>
              <w:tab w:val="left" w:pos="880"/>
              <w:tab w:val="right" w:leader="dot" w:pos="9062"/>
            </w:tabs>
            <w:rPr>
              <w:rFonts w:eastAsiaTheme="minorEastAsia"/>
              <w:b w:val="0"/>
              <w:bCs w:val="0"/>
              <w:noProof/>
              <w:lang w:eastAsia="pt-BR"/>
            </w:rPr>
          </w:pPr>
          <w:hyperlink w:anchor="_Toc94806302" w:history="1">
            <w:r w:rsidRPr="006879E3">
              <w:rPr>
                <w:rStyle w:val="Hyperlink"/>
                <w:noProof/>
              </w:rPr>
              <w:t>2.13</w:t>
            </w:r>
            <w:r>
              <w:rPr>
                <w:rFonts w:eastAsiaTheme="minorEastAsia"/>
                <w:b w:val="0"/>
                <w:bCs w:val="0"/>
                <w:noProof/>
                <w:lang w:eastAsia="pt-BR"/>
              </w:rPr>
              <w:tab/>
            </w:r>
            <w:r w:rsidRPr="006879E3">
              <w:rPr>
                <w:rStyle w:val="Hyperlink"/>
                <w:noProof/>
              </w:rPr>
              <w:t>FUNDOS DE DESENVOLVIMENTO COM NATUREZA JURÍDICA DE DIREITO PRIVADO.</w:t>
            </w:r>
            <w:r>
              <w:rPr>
                <w:noProof/>
                <w:webHidden/>
              </w:rPr>
              <w:tab/>
            </w:r>
            <w:r>
              <w:rPr>
                <w:noProof/>
                <w:webHidden/>
              </w:rPr>
              <w:fldChar w:fldCharType="begin"/>
            </w:r>
            <w:r>
              <w:rPr>
                <w:noProof/>
                <w:webHidden/>
              </w:rPr>
              <w:instrText xml:space="preserve"> PAGEREF _Toc94806302 \h </w:instrText>
            </w:r>
            <w:r>
              <w:rPr>
                <w:noProof/>
                <w:webHidden/>
              </w:rPr>
            </w:r>
            <w:r>
              <w:rPr>
                <w:noProof/>
                <w:webHidden/>
              </w:rPr>
              <w:fldChar w:fldCharType="separate"/>
            </w:r>
            <w:r>
              <w:rPr>
                <w:noProof/>
                <w:webHidden/>
              </w:rPr>
              <w:t>89</w:t>
            </w:r>
            <w:r>
              <w:rPr>
                <w:noProof/>
                <w:webHidden/>
              </w:rPr>
              <w:fldChar w:fldCharType="end"/>
            </w:r>
          </w:hyperlink>
        </w:p>
        <w:p w14:paraId="45ABED5F" w14:textId="59D36B17" w:rsidR="009C5325" w:rsidRDefault="009C5325">
          <w:pPr>
            <w:pStyle w:val="Sumrio2"/>
            <w:tabs>
              <w:tab w:val="left" w:pos="880"/>
              <w:tab w:val="right" w:leader="dot" w:pos="9062"/>
            </w:tabs>
            <w:rPr>
              <w:rFonts w:eastAsiaTheme="minorEastAsia"/>
              <w:b w:val="0"/>
              <w:bCs w:val="0"/>
              <w:noProof/>
              <w:lang w:eastAsia="pt-BR"/>
            </w:rPr>
          </w:pPr>
          <w:hyperlink w:anchor="_Toc94806303" w:history="1">
            <w:r w:rsidRPr="006879E3">
              <w:rPr>
                <w:rStyle w:val="Hyperlink"/>
                <w:noProof/>
                <w:lang w:eastAsia="pt-BR"/>
              </w:rPr>
              <w:t>2.14</w:t>
            </w:r>
            <w:r>
              <w:rPr>
                <w:rFonts w:eastAsiaTheme="minorEastAsia"/>
                <w:b w:val="0"/>
                <w:bCs w:val="0"/>
                <w:noProof/>
                <w:lang w:eastAsia="pt-BR"/>
              </w:rPr>
              <w:tab/>
            </w:r>
            <w:r w:rsidRPr="006879E3">
              <w:rPr>
                <w:rStyle w:val="Hyperlink"/>
                <w:noProof/>
                <w:lang w:eastAsia="pt-BR"/>
              </w:rPr>
              <w:t>Das Assinaturas</w:t>
            </w:r>
            <w:r>
              <w:rPr>
                <w:noProof/>
                <w:webHidden/>
              </w:rPr>
              <w:tab/>
            </w:r>
            <w:r>
              <w:rPr>
                <w:noProof/>
                <w:webHidden/>
              </w:rPr>
              <w:fldChar w:fldCharType="begin"/>
            </w:r>
            <w:r>
              <w:rPr>
                <w:noProof/>
                <w:webHidden/>
              </w:rPr>
              <w:instrText xml:space="preserve"> PAGEREF _Toc94806303 \h </w:instrText>
            </w:r>
            <w:r>
              <w:rPr>
                <w:noProof/>
                <w:webHidden/>
              </w:rPr>
            </w:r>
            <w:r>
              <w:rPr>
                <w:noProof/>
                <w:webHidden/>
              </w:rPr>
              <w:fldChar w:fldCharType="separate"/>
            </w:r>
            <w:r>
              <w:rPr>
                <w:noProof/>
                <w:webHidden/>
              </w:rPr>
              <w:t>92</w:t>
            </w:r>
            <w:r>
              <w:rPr>
                <w:noProof/>
                <w:webHidden/>
              </w:rPr>
              <w:fldChar w:fldCharType="end"/>
            </w:r>
          </w:hyperlink>
        </w:p>
        <w:p w14:paraId="6FBE2F46" w14:textId="2F2BC234" w:rsidR="009C5325" w:rsidRDefault="009C5325">
          <w:pPr>
            <w:pStyle w:val="Sumrio3"/>
            <w:tabs>
              <w:tab w:val="left" w:pos="1320"/>
              <w:tab w:val="right" w:leader="dot" w:pos="9062"/>
            </w:tabs>
            <w:rPr>
              <w:rFonts w:eastAsiaTheme="minorEastAsia"/>
              <w:noProof/>
              <w:sz w:val="22"/>
              <w:szCs w:val="22"/>
              <w:lang w:eastAsia="pt-BR"/>
            </w:rPr>
          </w:pPr>
          <w:hyperlink w:anchor="_Toc94806304" w:history="1">
            <w:r w:rsidRPr="006879E3">
              <w:rPr>
                <w:rStyle w:val="Hyperlink"/>
                <w:b/>
                <w:bCs/>
                <w:noProof/>
              </w:rPr>
              <w:t>2.14.1</w:t>
            </w:r>
            <w:r>
              <w:rPr>
                <w:rFonts w:eastAsiaTheme="minorEastAsia"/>
                <w:noProof/>
                <w:sz w:val="22"/>
                <w:szCs w:val="22"/>
                <w:lang w:eastAsia="pt-BR"/>
              </w:rPr>
              <w:tab/>
            </w:r>
            <w:r w:rsidRPr="006879E3">
              <w:rPr>
                <w:rStyle w:val="Hyperlink"/>
                <w:noProof/>
              </w:rPr>
              <w:t>Dos Documentos Não Estruturados</w:t>
            </w:r>
            <w:r>
              <w:rPr>
                <w:noProof/>
                <w:webHidden/>
              </w:rPr>
              <w:tab/>
            </w:r>
            <w:r>
              <w:rPr>
                <w:noProof/>
                <w:webHidden/>
              </w:rPr>
              <w:fldChar w:fldCharType="begin"/>
            </w:r>
            <w:r>
              <w:rPr>
                <w:noProof/>
                <w:webHidden/>
              </w:rPr>
              <w:instrText xml:space="preserve"> PAGEREF _Toc94806304 \h </w:instrText>
            </w:r>
            <w:r>
              <w:rPr>
                <w:noProof/>
                <w:webHidden/>
              </w:rPr>
            </w:r>
            <w:r>
              <w:rPr>
                <w:noProof/>
                <w:webHidden/>
              </w:rPr>
              <w:fldChar w:fldCharType="separate"/>
            </w:r>
            <w:r>
              <w:rPr>
                <w:noProof/>
                <w:webHidden/>
              </w:rPr>
              <w:t>92</w:t>
            </w:r>
            <w:r>
              <w:rPr>
                <w:noProof/>
                <w:webHidden/>
              </w:rPr>
              <w:fldChar w:fldCharType="end"/>
            </w:r>
          </w:hyperlink>
        </w:p>
        <w:p w14:paraId="6E28817E" w14:textId="4EA1A59D" w:rsidR="009C5325" w:rsidRDefault="009C5325">
          <w:pPr>
            <w:pStyle w:val="Sumrio3"/>
            <w:tabs>
              <w:tab w:val="left" w:pos="1320"/>
              <w:tab w:val="right" w:leader="dot" w:pos="9062"/>
            </w:tabs>
            <w:rPr>
              <w:rFonts w:eastAsiaTheme="minorEastAsia"/>
              <w:noProof/>
              <w:sz w:val="22"/>
              <w:szCs w:val="22"/>
              <w:lang w:eastAsia="pt-BR"/>
            </w:rPr>
          </w:pPr>
          <w:hyperlink w:anchor="_Toc94806305" w:history="1">
            <w:r w:rsidRPr="006879E3">
              <w:rPr>
                <w:rStyle w:val="Hyperlink"/>
                <w:b/>
                <w:bCs/>
                <w:noProof/>
              </w:rPr>
              <w:t>2.14.2</w:t>
            </w:r>
            <w:r>
              <w:rPr>
                <w:rFonts w:eastAsiaTheme="minorEastAsia"/>
                <w:noProof/>
                <w:sz w:val="22"/>
                <w:szCs w:val="22"/>
                <w:lang w:eastAsia="pt-BR"/>
              </w:rPr>
              <w:tab/>
            </w:r>
            <w:r w:rsidRPr="006879E3">
              <w:rPr>
                <w:rStyle w:val="Hyperlink"/>
                <w:noProof/>
              </w:rPr>
              <w:t>Dos Documentos Estruturados</w:t>
            </w:r>
            <w:r>
              <w:rPr>
                <w:noProof/>
                <w:webHidden/>
              </w:rPr>
              <w:tab/>
            </w:r>
            <w:r>
              <w:rPr>
                <w:noProof/>
                <w:webHidden/>
              </w:rPr>
              <w:fldChar w:fldCharType="begin"/>
            </w:r>
            <w:r>
              <w:rPr>
                <w:noProof/>
                <w:webHidden/>
              </w:rPr>
              <w:instrText xml:space="preserve"> PAGEREF _Toc94806305 \h </w:instrText>
            </w:r>
            <w:r>
              <w:rPr>
                <w:noProof/>
                <w:webHidden/>
              </w:rPr>
            </w:r>
            <w:r>
              <w:rPr>
                <w:noProof/>
                <w:webHidden/>
              </w:rPr>
              <w:fldChar w:fldCharType="separate"/>
            </w:r>
            <w:r>
              <w:rPr>
                <w:noProof/>
                <w:webHidden/>
              </w:rPr>
              <w:t>92</w:t>
            </w:r>
            <w:r>
              <w:rPr>
                <w:noProof/>
                <w:webHidden/>
              </w:rPr>
              <w:fldChar w:fldCharType="end"/>
            </w:r>
          </w:hyperlink>
        </w:p>
        <w:p w14:paraId="22FCC2B9" w14:textId="5BCD3B19" w:rsidR="009C5325" w:rsidRDefault="009C5325">
          <w:pPr>
            <w:pStyle w:val="Sumrio1"/>
            <w:tabs>
              <w:tab w:val="left" w:pos="440"/>
              <w:tab w:val="right" w:leader="dot" w:pos="9062"/>
            </w:tabs>
            <w:rPr>
              <w:rFonts w:eastAsiaTheme="minorEastAsia"/>
              <w:b w:val="0"/>
              <w:bCs w:val="0"/>
              <w:i w:val="0"/>
              <w:iCs w:val="0"/>
              <w:noProof/>
              <w:sz w:val="22"/>
              <w:szCs w:val="22"/>
              <w:lang w:eastAsia="pt-BR"/>
            </w:rPr>
          </w:pPr>
          <w:hyperlink w:anchor="_Toc94806306" w:history="1">
            <w:r w:rsidRPr="006879E3">
              <w:rPr>
                <w:rStyle w:val="Hyperlink"/>
                <w:noProof/>
              </w:rPr>
              <w:t>3</w:t>
            </w:r>
            <w:r>
              <w:rPr>
                <w:rFonts w:eastAsiaTheme="minorEastAsia"/>
                <w:b w:val="0"/>
                <w:bCs w:val="0"/>
                <w:i w:val="0"/>
                <w:iCs w:val="0"/>
                <w:noProof/>
                <w:sz w:val="22"/>
                <w:szCs w:val="22"/>
                <w:lang w:eastAsia="pt-BR"/>
              </w:rPr>
              <w:tab/>
            </w:r>
            <w:r w:rsidRPr="006879E3">
              <w:rPr>
                <w:rStyle w:val="Hyperlink"/>
                <w:noProof/>
              </w:rPr>
              <w:t>ESTRUTURA E MODELO DOS ARQUIVOS</w:t>
            </w:r>
            <w:r>
              <w:rPr>
                <w:noProof/>
                <w:webHidden/>
              </w:rPr>
              <w:tab/>
            </w:r>
            <w:r>
              <w:rPr>
                <w:noProof/>
                <w:webHidden/>
              </w:rPr>
              <w:fldChar w:fldCharType="begin"/>
            </w:r>
            <w:r>
              <w:rPr>
                <w:noProof/>
                <w:webHidden/>
              </w:rPr>
              <w:instrText xml:space="preserve"> PAGEREF _Toc94806306 \h </w:instrText>
            </w:r>
            <w:r>
              <w:rPr>
                <w:noProof/>
                <w:webHidden/>
              </w:rPr>
            </w:r>
            <w:r>
              <w:rPr>
                <w:noProof/>
                <w:webHidden/>
              </w:rPr>
              <w:fldChar w:fldCharType="separate"/>
            </w:r>
            <w:r>
              <w:rPr>
                <w:noProof/>
                <w:webHidden/>
              </w:rPr>
              <w:t>93</w:t>
            </w:r>
            <w:r>
              <w:rPr>
                <w:noProof/>
                <w:webHidden/>
              </w:rPr>
              <w:fldChar w:fldCharType="end"/>
            </w:r>
          </w:hyperlink>
        </w:p>
        <w:p w14:paraId="55C7081A" w14:textId="04117A34" w:rsidR="009C5325" w:rsidRDefault="009C5325">
          <w:pPr>
            <w:pStyle w:val="Sumrio2"/>
            <w:tabs>
              <w:tab w:val="left" w:pos="880"/>
              <w:tab w:val="right" w:leader="dot" w:pos="9062"/>
            </w:tabs>
            <w:rPr>
              <w:rFonts w:eastAsiaTheme="minorEastAsia"/>
              <w:b w:val="0"/>
              <w:bCs w:val="0"/>
              <w:noProof/>
              <w:lang w:eastAsia="pt-BR"/>
            </w:rPr>
          </w:pPr>
          <w:hyperlink w:anchor="_Toc94806307" w:history="1">
            <w:r w:rsidRPr="006879E3">
              <w:rPr>
                <w:rStyle w:val="Hyperlink"/>
                <w:noProof/>
              </w:rPr>
              <w:t>3.1</w:t>
            </w:r>
            <w:r>
              <w:rPr>
                <w:rFonts w:eastAsiaTheme="minorEastAsia"/>
                <w:b w:val="0"/>
                <w:bCs w:val="0"/>
                <w:noProof/>
                <w:lang w:eastAsia="pt-BR"/>
              </w:rPr>
              <w:tab/>
            </w:r>
            <w:r w:rsidRPr="006879E3">
              <w:rPr>
                <w:rStyle w:val="Hyperlink"/>
                <w:noProof/>
              </w:rPr>
              <w:t>Arquivos Estruturados</w:t>
            </w:r>
            <w:r>
              <w:rPr>
                <w:noProof/>
                <w:webHidden/>
              </w:rPr>
              <w:tab/>
            </w:r>
            <w:r>
              <w:rPr>
                <w:noProof/>
                <w:webHidden/>
              </w:rPr>
              <w:fldChar w:fldCharType="begin"/>
            </w:r>
            <w:r>
              <w:rPr>
                <w:noProof/>
                <w:webHidden/>
              </w:rPr>
              <w:instrText xml:space="preserve"> PAGEREF _Toc94806307 \h </w:instrText>
            </w:r>
            <w:r>
              <w:rPr>
                <w:noProof/>
                <w:webHidden/>
              </w:rPr>
            </w:r>
            <w:r>
              <w:rPr>
                <w:noProof/>
                <w:webHidden/>
              </w:rPr>
              <w:fldChar w:fldCharType="separate"/>
            </w:r>
            <w:r>
              <w:rPr>
                <w:noProof/>
                <w:webHidden/>
              </w:rPr>
              <w:t>94</w:t>
            </w:r>
            <w:r>
              <w:rPr>
                <w:noProof/>
                <w:webHidden/>
              </w:rPr>
              <w:fldChar w:fldCharType="end"/>
            </w:r>
          </w:hyperlink>
        </w:p>
        <w:p w14:paraId="4F8E9F91" w14:textId="0CF80559" w:rsidR="009C5325" w:rsidRDefault="009C5325">
          <w:pPr>
            <w:pStyle w:val="Sumrio3"/>
            <w:tabs>
              <w:tab w:val="left" w:pos="1100"/>
              <w:tab w:val="right" w:leader="dot" w:pos="9062"/>
            </w:tabs>
            <w:rPr>
              <w:rFonts w:eastAsiaTheme="minorEastAsia"/>
              <w:noProof/>
              <w:sz w:val="22"/>
              <w:szCs w:val="22"/>
              <w:lang w:eastAsia="pt-BR"/>
            </w:rPr>
          </w:pPr>
          <w:hyperlink w:anchor="_Toc94806308" w:history="1">
            <w:r w:rsidRPr="006879E3">
              <w:rPr>
                <w:rStyle w:val="Hyperlink"/>
                <w:b/>
                <w:bCs/>
                <w:noProof/>
              </w:rPr>
              <w:t>3.1.1</w:t>
            </w:r>
            <w:r>
              <w:rPr>
                <w:rFonts w:eastAsiaTheme="minorEastAsia"/>
                <w:noProof/>
                <w:sz w:val="22"/>
                <w:szCs w:val="22"/>
                <w:lang w:eastAsia="pt-BR"/>
              </w:rPr>
              <w:tab/>
            </w:r>
            <w:r w:rsidRPr="006879E3">
              <w:rPr>
                <w:rStyle w:val="Hyperlink"/>
                <w:noProof/>
              </w:rPr>
              <w:t>BALORC.XML (ou BalancoOrcamentario.xml)</w:t>
            </w:r>
            <w:r>
              <w:rPr>
                <w:noProof/>
                <w:webHidden/>
              </w:rPr>
              <w:tab/>
            </w:r>
            <w:r>
              <w:rPr>
                <w:noProof/>
                <w:webHidden/>
              </w:rPr>
              <w:fldChar w:fldCharType="begin"/>
            </w:r>
            <w:r>
              <w:rPr>
                <w:noProof/>
                <w:webHidden/>
              </w:rPr>
              <w:instrText xml:space="preserve"> PAGEREF _Toc94806308 \h </w:instrText>
            </w:r>
            <w:r>
              <w:rPr>
                <w:noProof/>
                <w:webHidden/>
              </w:rPr>
            </w:r>
            <w:r>
              <w:rPr>
                <w:noProof/>
                <w:webHidden/>
              </w:rPr>
              <w:fldChar w:fldCharType="separate"/>
            </w:r>
            <w:r>
              <w:rPr>
                <w:noProof/>
                <w:webHidden/>
              </w:rPr>
              <w:t>94</w:t>
            </w:r>
            <w:r>
              <w:rPr>
                <w:noProof/>
                <w:webHidden/>
              </w:rPr>
              <w:fldChar w:fldCharType="end"/>
            </w:r>
          </w:hyperlink>
        </w:p>
        <w:p w14:paraId="2D8C5A83" w14:textId="55F60715" w:rsidR="009C5325" w:rsidRDefault="009C5325">
          <w:pPr>
            <w:pStyle w:val="Sumrio3"/>
            <w:tabs>
              <w:tab w:val="left" w:pos="1100"/>
              <w:tab w:val="right" w:leader="dot" w:pos="9062"/>
            </w:tabs>
            <w:rPr>
              <w:rFonts w:eastAsiaTheme="minorEastAsia"/>
              <w:noProof/>
              <w:sz w:val="22"/>
              <w:szCs w:val="22"/>
              <w:lang w:eastAsia="pt-BR"/>
            </w:rPr>
          </w:pPr>
          <w:hyperlink w:anchor="_Toc94806309" w:history="1">
            <w:r w:rsidRPr="006879E3">
              <w:rPr>
                <w:rStyle w:val="Hyperlink"/>
                <w:b/>
                <w:bCs/>
                <w:noProof/>
              </w:rPr>
              <w:t>3.1.2</w:t>
            </w:r>
            <w:r>
              <w:rPr>
                <w:rFonts w:eastAsiaTheme="minorEastAsia"/>
                <w:noProof/>
                <w:sz w:val="22"/>
                <w:szCs w:val="22"/>
                <w:lang w:eastAsia="pt-BR"/>
              </w:rPr>
              <w:tab/>
            </w:r>
            <w:r w:rsidRPr="006879E3">
              <w:rPr>
                <w:rStyle w:val="Hyperlink"/>
                <w:noProof/>
              </w:rPr>
              <w:t>BALPAT.XML (ou BalancoPatrimonial.xml)</w:t>
            </w:r>
            <w:r>
              <w:rPr>
                <w:noProof/>
                <w:webHidden/>
              </w:rPr>
              <w:tab/>
            </w:r>
            <w:r>
              <w:rPr>
                <w:noProof/>
                <w:webHidden/>
              </w:rPr>
              <w:fldChar w:fldCharType="begin"/>
            </w:r>
            <w:r>
              <w:rPr>
                <w:noProof/>
                <w:webHidden/>
              </w:rPr>
              <w:instrText xml:space="preserve"> PAGEREF _Toc94806309 \h </w:instrText>
            </w:r>
            <w:r>
              <w:rPr>
                <w:noProof/>
                <w:webHidden/>
              </w:rPr>
            </w:r>
            <w:r>
              <w:rPr>
                <w:noProof/>
                <w:webHidden/>
              </w:rPr>
              <w:fldChar w:fldCharType="separate"/>
            </w:r>
            <w:r>
              <w:rPr>
                <w:noProof/>
                <w:webHidden/>
              </w:rPr>
              <w:t>105</w:t>
            </w:r>
            <w:r>
              <w:rPr>
                <w:noProof/>
                <w:webHidden/>
              </w:rPr>
              <w:fldChar w:fldCharType="end"/>
            </w:r>
          </w:hyperlink>
        </w:p>
        <w:p w14:paraId="7C792F73" w14:textId="6710867F" w:rsidR="009C5325" w:rsidRDefault="009C5325">
          <w:pPr>
            <w:pStyle w:val="Sumrio3"/>
            <w:tabs>
              <w:tab w:val="left" w:pos="1100"/>
              <w:tab w:val="right" w:leader="dot" w:pos="9062"/>
            </w:tabs>
            <w:rPr>
              <w:rFonts w:eastAsiaTheme="minorEastAsia"/>
              <w:noProof/>
              <w:sz w:val="22"/>
              <w:szCs w:val="22"/>
              <w:lang w:eastAsia="pt-BR"/>
            </w:rPr>
          </w:pPr>
          <w:hyperlink w:anchor="_Toc94806310" w:history="1">
            <w:r w:rsidRPr="006879E3">
              <w:rPr>
                <w:rStyle w:val="Hyperlink"/>
                <w:b/>
                <w:bCs/>
                <w:noProof/>
              </w:rPr>
              <w:t>3.1.3</w:t>
            </w:r>
            <w:r>
              <w:rPr>
                <w:rFonts w:eastAsiaTheme="minorEastAsia"/>
                <w:noProof/>
                <w:sz w:val="22"/>
                <w:szCs w:val="22"/>
                <w:lang w:eastAsia="pt-BR"/>
              </w:rPr>
              <w:tab/>
            </w:r>
            <w:r w:rsidRPr="006879E3">
              <w:rPr>
                <w:rStyle w:val="Hyperlink"/>
                <w:noProof/>
              </w:rPr>
              <w:t>DEMVAP.XML (ou DemonstrativoVariacaoPatrimonial.xml)</w:t>
            </w:r>
            <w:r>
              <w:rPr>
                <w:noProof/>
                <w:webHidden/>
              </w:rPr>
              <w:tab/>
            </w:r>
            <w:r>
              <w:rPr>
                <w:noProof/>
                <w:webHidden/>
              </w:rPr>
              <w:fldChar w:fldCharType="begin"/>
            </w:r>
            <w:r>
              <w:rPr>
                <w:noProof/>
                <w:webHidden/>
              </w:rPr>
              <w:instrText xml:space="preserve"> PAGEREF _Toc94806310 \h </w:instrText>
            </w:r>
            <w:r>
              <w:rPr>
                <w:noProof/>
                <w:webHidden/>
              </w:rPr>
            </w:r>
            <w:r>
              <w:rPr>
                <w:noProof/>
                <w:webHidden/>
              </w:rPr>
              <w:fldChar w:fldCharType="separate"/>
            </w:r>
            <w:r>
              <w:rPr>
                <w:noProof/>
                <w:webHidden/>
              </w:rPr>
              <w:t>121</w:t>
            </w:r>
            <w:r>
              <w:rPr>
                <w:noProof/>
                <w:webHidden/>
              </w:rPr>
              <w:fldChar w:fldCharType="end"/>
            </w:r>
          </w:hyperlink>
        </w:p>
        <w:p w14:paraId="501E4324" w14:textId="7A21BA10" w:rsidR="009C5325" w:rsidRDefault="009C5325">
          <w:pPr>
            <w:pStyle w:val="Sumrio3"/>
            <w:tabs>
              <w:tab w:val="left" w:pos="1100"/>
              <w:tab w:val="right" w:leader="dot" w:pos="9062"/>
            </w:tabs>
            <w:rPr>
              <w:rFonts w:eastAsiaTheme="minorEastAsia"/>
              <w:noProof/>
              <w:sz w:val="22"/>
              <w:szCs w:val="22"/>
              <w:lang w:eastAsia="pt-BR"/>
            </w:rPr>
          </w:pPr>
          <w:hyperlink w:anchor="_Toc94806311" w:history="1">
            <w:r w:rsidRPr="006879E3">
              <w:rPr>
                <w:rStyle w:val="Hyperlink"/>
                <w:b/>
                <w:bCs/>
                <w:noProof/>
              </w:rPr>
              <w:t>3.1.4</w:t>
            </w:r>
            <w:r>
              <w:rPr>
                <w:rFonts w:eastAsiaTheme="minorEastAsia"/>
                <w:noProof/>
                <w:sz w:val="22"/>
                <w:szCs w:val="22"/>
                <w:lang w:eastAsia="pt-BR"/>
              </w:rPr>
              <w:tab/>
            </w:r>
            <w:r w:rsidRPr="006879E3">
              <w:rPr>
                <w:rStyle w:val="Hyperlink"/>
                <w:noProof/>
              </w:rPr>
              <w:t>BALFIN.XML (ou BalancoFinanceiro.xml)</w:t>
            </w:r>
            <w:r>
              <w:rPr>
                <w:noProof/>
                <w:webHidden/>
              </w:rPr>
              <w:tab/>
            </w:r>
            <w:r>
              <w:rPr>
                <w:noProof/>
                <w:webHidden/>
              </w:rPr>
              <w:fldChar w:fldCharType="begin"/>
            </w:r>
            <w:r>
              <w:rPr>
                <w:noProof/>
                <w:webHidden/>
              </w:rPr>
              <w:instrText xml:space="preserve"> PAGEREF _Toc94806311 \h </w:instrText>
            </w:r>
            <w:r>
              <w:rPr>
                <w:noProof/>
                <w:webHidden/>
              </w:rPr>
            </w:r>
            <w:r>
              <w:rPr>
                <w:noProof/>
                <w:webHidden/>
              </w:rPr>
              <w:fldChar w:fldCharType="separate"/>
            </w:r>
            <w:r>
              <w:rPr>
                <w:noProof/>
                <w:webHidden/>
              </w:rPr>
              <w:t>127</w:t>
            </w:r>
            <w:r>
              <w:rPr>
                <w:noProof/>
                <w:webHidden/>
              </w:rPr>
              <w:fldChar w:fldCharType="end"/>
            </w:r>
          </w:hyperlink>
        </w:p>
        <w:p w14:paraId="3402995D" w14:textId="7F3ACDFB" w:rsidR="009C5325" w:rsidRDefault="009C5325">
          <w:pPr>
            <w:pStyle w:val="Sumrio3"/>
            <w:tabs>
              <w:tab w:val="left" w:pos="1100"/>
              <w:tab w:val="right" w:leader="dot" w:pos="9062"/>
            </w:tabs>
            <w:rPr>
              <w:rFonts w:eastAsiaTheme="minorEastAsia"/>
              <w:noProof/>
              <w:sz w:val="22"/>
              <w:szCs w:val="22"/>
              <w:lang w:eastAsia="pt-BR"/>
            </w:rPr>
          </w:pPr>
          <w:hyperlink w:anchor="_Toc94806312" w:history="1">
            <w:r w:rsidRPr="006879E3">
              <w:rPr>
                <w:rStyle w:val="Hyperlink"/>
                <w:b/>
                <w:bCs/>
                <w:noProof/>
              </w:rPr>
              <w:t>3.1.5</w:t>
            </w:r>
            <w:r>
              <w:rPr>
                <w:rFonts w:eastAsiaTheme="minorEastAsia"/>
                <w:noProof/>
                <w:sz w:val="22"/>
                <w:szCs w:val="22"/>
                <w:lang w:eastAsia="pt-BR"/>
              </w:rPr>
              <w:tab/>
            </w:r>
            <w:r w:rsidRPr="006879E3">
              <w:rPr>
                <w:rStyle w:val="Hyperlink"/>
                <w:noProof/>
              </w:rPr>
              <w:t>RELPRE.XML (ou RelacaoConsolidadaPrecatorios.xml)</w:t>
            </w:r>
            <w:r>
              <w:rPr>
                <w:noProof/>
                <w:webHidden/>
              </w:rPr>
              <w:tab/>
            </w:r>
            <w:r>
              <w:rPr>
                <w:noProof/>
                <w:webHidden/>
              </w:rPr>
              <w:fldChar w:fldCharType="begin"/>
            </w:r>
            <w:r>
              <w:rPr>
                <w:noProof/>
                <w:webHidden/>
              </w:rPr>
              <w:instrText xml:space="preserve"> PAGEREF _Toc94806312 \h </w:instrText>
            </w:r>
            <w:r>
              <w:rPr>
                <w:noProof/>
                <w:webHidden/>
              </w:rPr>
            </w:r>
            <w:r>
              <w:rPr>
                <w:noProof/>
                <w:webHidden/>
              </w:rPr>
              <w:fldChar w:fldCharType="separate"/>
            </w:r>
            <w:r>
              <w:rPr>
                <w:noProof/>
                <w:webHidden/>
              </w:rPr>
              <w:t>146</w:t>
            </w:r>
            <w:r>
              <w:rPr>
                <w:noProof/>
                <w:webHidden/>
              </w:rPr>
              <w:fldChar w:fldCharType="end"/>
            </w:r>
          </w:hyperlink>
        </w:p>
        <w:p w14:paraId="62C26418" w14:textId="4601F292" w:rsidR="009C5325" w:rsidRDefault="009C5325">
          <w:pPr>
            <w:pStyle w:val="Sumrio3"/>
            <w:tabs>
              <w:tab w:val="left" w:pos="1100"/>
              <w:tab w:val="right" w:leader="dot" w:pos="9062"/>
            </w:tabs>
            <w:rPr>
              <w:rFonts w:eastAsiaTheme="minorEastAsia"/>
              <w:noProof/>
              <w:sz w:val="22"/>
              <w:szCs w:val="22"/>
              <w:lang w:eastAsia="pt-BR"/>
            </w:rPr>
          </w:pPr>
          <w:hyperlink w:anchor="_Toc94806313" w:history="1">
            <w:r w:rsidRPr="006879E3">
              <w:rPr>
                <w:rStyle w:val="Hyperlink"/>
                <w:b/>
                <w:bCs/>
                <w:noProof/>
              </w:rPr>
              <w:t>3.1.6</w:t>
            </w:r>
            <w:r>
              <w:rPr>
                <w:rFonts w:eastAsiaTheme="minorEastAsia"/>
                <w:noProof/>
                <w:sz w:val="22"/>
                <w:szCs w:val="22"/>
                <w:lang w:eastAsia="pt-BR"/>
              </w:rPr>
              <w:tab/>
            </w:r>
            <w:r w:rsidRPr="006879E3">
              <w:rPr>
                <w:rStyle w:val="Hyperlink"/>
                <w:noProof/>
              </w:rPr>
              <w:t>DEMCAD.XML (ou DemonstrativoCreditosAdicionais.xml)</w:t>
            </w:r>
            <w:r>
              <w:rPr>
                <w:noProof/>
                <w:webHidden/>
              </w:rPr>
              <w:tab/>
            </w:r>
            <w:r>
              <w:rPr>
                <w:noProof/>
                <w:webHidden/>
              </w:rPr>
              <w:fldChar w:fldCharType="begin"/>
            </w:r>
            <w:r>
              <w:rPr>
                <w:noProof/>
                <w:webHidden/>
              </w:rPr>
              <w:instrText xml:space="preserve"> PAGEREF _Toc94806313 \h </w:instrText>
            </w:r>
            <w:r>
              <w:rPr>
                <w:noProof/>
                <w:webHidden/>
              </w:rPr>
            </w:r>
            <w:r>
              <w:rPr>
                <w:noProof/>
                <w:webHidden/>
              </w:rPr>
              <w:fldChar w:fldCharType="separate"/>
            </w:r>
            <w:r>
              <w:rPr>
                <w:noProof/>
                <w:webHidden/>
              </w:rPr>
              <w:t>148</w:t>
            </w:r>
            <w:r>
              <w:rPr>
                <w:noProof/>
                <w:webHidden/>
              </w:rPr>
              <w:fldChar w:fldCharType="end"/>
            </w:r>
          </w:hyperlink>
        </w:p>
        <w:p w14:paraId="5686C85B" w14:textId="76BA2917" w:rsidR="009C5325" w:rsidRDefault="009C5325">
          <w:pPr>
            <w:pStyle w:val="Sumrio3"/>
            <w:tabs>
              <w:tab w:val="left" w:pos="1100"/>
              <w:tab w:val="right" w:leader="dot" w:pos="9062"/>
            </w:tabs>
            <w:rPr>
              <w:rFonts w:eastAsiaTheme="minorEastAsia"/>
              <w:noProof/>
              <w:sz w:val="22"/>
              <w:szCs w:val="22"/>
              <w:lang w:eastAsia="pt-BR"/>
            </w:rPr>
          </w:pPr>
          <w:hyperlink w:anchor="_Toc94806314" w:history="1">
            <w:r w:rsidRPr="006879E3">
              <w:rPr>
                <w:rStyle w:val="Hyperlink"/>
                <w:b/>
                <w:bCs/>
                <w:noProof/>
              </w:rPr>
              <w:t>3.1.7</w:t>
            </w:r>
            <w:r>
              <w:rPr>
                <w:rFonts w:eastAsiaTheme="minorEastAsia"/>
                <w:noProof/>
                <w:sz w:val="22"/>
                <w:szCs w:val="22"/>
                <w:lang w:eastAsia="pt-BR"/>
              </w:rPr>
              <w:tab/>
            </w:r>
            <w:r w:rsidRPr="006879E3">
              <w:rPr>
                <w:rStyle w:val="Hyperlink"/>
                <w:noProof/>
              </w:rPr>
              <w:t>INVIMO.XML (ou InventarioBensImoveis.xml)</w:t>
            </w:r>
            <w:r>
              <w:rPr>
                <w:noProof/>
                <w:webHidden/>
              </w:rPr>
              <w:tab/>
            </w:r>
            <w:r>
              <w:rPr>
                <w:noProof/>
                <w:webHidden/>
              </w:rPr>
              <w:fldChar w:fldCharType="begin"/>
            </w:r>
            <w:r>
              <w:rPr>
                <w:noProof/>
                <w:webHidden/>
              </w:rPr>
              <w:instrText xml:space="preserve"> PAGEREF _Toc94806314 \h </w:instrText>
            </w:r>
            <w:r>
              <w:rPr>
                <w:noProof/>
                <w:webHidden/>
              </w:rPr>
            </w:r>
            <w:r>
              <w:rPr>
                <w:noProof/>
                <w:webHidden/>
              </w:rPr>
              <w:fldChar w:fldCharType="separate"/>
            </w:r>
            <w:r>
              <w:rPr>
                <w:noProof/>
                <w:webHidden/>
              </w:rPr>
              <w:t>151</w:t>
            </w:r>
            <w:r>
              <w:rPr>
                <w:noProof/>
                <w:webHidden/>
              </w:rPr>
              <w:fldChar w:fldCharType="end"/>
            </w:r>
          </w:hyperlink>
        </w:p>
        <w:p w14:paraId="0BC12A85" w14:textId="5E0395A2" w:rsidR="009C5325" w:rsidRDefault="009C5325">
          <w:pPr>
            <w:pStyle w:val="Sumrio3"/>
            <w:tabs>
              <w:tab w:val="left" w:pos="1100"/>
              <w:tab w:val="right" w:leader="dot" w:pos="9062"/>
            </w:tabs>
            <w:rPr>
              <w:rFonts w:eastAsiaTheme="minorEastAsia"/>
              <w:noProof/>
              <w:sz w:val="22"/>
              <w:szCs w:val="22"/>
              <w:lang w:eastAsia="pt-BR"/>
            </w:rPr>
          </w:pPr>
          <w:hyperlink w:anchor="_Toc94806315" w:history="1">
            <w:r w:rsidRPr="006879E3">
              <w:rPr>
                <w:rStyle w:val="Hyperlink"/>
                <w:b/>
                <w:bCs/>
                <w:noProof/>
              </w:rPr>
              <w:t>3.1.8</w:t>
            </w:r>
            <w:r>
              <w:rPr>
                <w:rFonts w:eastAsiaTheme="minorEastAsia"/>
                <w:noProof/>
                <w:sz w:val="22"/>
                <w:szCs w:val="22"/>
                <w:lang w:eastAsia="pt-BR"/>
              </w:rPr>
              <w:tab/>
            </w:r>
            <w:r w:rsidRPr="006879E3">
              <w:rPr>
                <w:rStyle w:val="Hyperlink"/>
                <w:noProof/>
              </w:rPr>
              <w:t>INVMOV.XML (ou InventarioBensMoveis.xml)</w:t>
            </w:r>
            <w:r>
              <w:rPr>
                <w:noProof/>
                <w:webHidden/>
              </w:rPr>
              <w:tab/>
            </w:r>
            <w:r>
              <w:rPr>
                <w:noProof/>
                <w:webHidden/>
              </w:rPr>
              <w:fldChar w:fldCharType="begin"/>
            </w:r>
            <w:r>
              <w:rPr>
                <w:noProof/>
                <w:webHidden/>
              </w:rPr>
              <w:instrText xml:space="preserve"> PAGEREF _Toc94806315 \h </w:instrText>
            </w:r>
            <w:r>
              <w:rPr>
                <w:noProof/>
                <w:webHidden/>
              </w:rPr>
            </w:r>
            <w:r>
              <w:rPr>
                <w:noProof/>
                <w:webHidden/>
              </w:rPr>
              <w:fldChar w:fldCharType="separate"/>
            </w:r>
            <w:r>
              <w:rPr>
                <w:noProof/>
                <w:webHidden/>
              </w:rPr>
              <w:t>152</w:t>
            </w:r>
            <w:r>
              <w:rPr>
                <w:noProof/>
                <w:webHidden/>
              </w:rPr>
              <w:fldChar w:fldCharType="end"/>
            </w:r>
          </w:hyperlink>
        </w:p>
        <w:p w14:paraId="0C88F388" w14:textId="3EDAA158" w:rsidR="009C5325" w:rsidRDefault="009C5325">
          <w:pPr>
            <w:pStyle w:val="Sumrio3"/>
            <w:tabs>
              <w:tab w:val="left" w:pos="1100"/>
              <w:tab w:val="right" w:leader="dot" w:pos="9062"/>
            </w:tabs>
            <w:rPr>
              <w:rFonts w:eastAsiaTheme="minorEastAsia"/>
              <w:noProof/>
              <w:sz w:val="22"/>
              <w:szCs w:val="22"/>
              <w:lang w:eastAsia="pt-BR"/>
            </w:rPr>
          </w:pPr>
          <w:hyperlink w:anchor="_Toc94806316" w:history="1">
            <w:r w:rsidRPr="006879E3">
              <w:rPr>
                <w:rStyle w:val="Hyperlink"/>
                <w:b/>
                <w:bCs/>
                <w:noProof/>
              </w:rPr>
              <w:t>3.1.9</w:t>
            </w:r>
            <w:r>
              <w:rPr>
                <w:rFonts w:eastAsiaTheme="minorEastAsia"/>
                <w:noProof/>
                <w:sz w:val="22"/>
                <w:szCs w:val="22"/>
                <w:lang w:eastAsia="pt-BR"/>
              </w:rPr>
              <w:tab/>
            </w:r>
            <w:r w:rsidRPr="006879E3">
              <w:rPr>
                <w:rStyle w:val="Hyperlink"/>
                <w:noProof/>
              </w:rPr>
              <w:t>INVINT.XML (ou InventarioBensIntangiveis.xml)</w:t>
            </w:r>
            <w:r>
              <w:rPr>
                <w:noProof/>
                <w:webHidden/>
              </w:rPr>
              <w:tab/>
            </w:r>
            <w:r>
              <w:rPr>
                <w:noProof/>
                <w:webHidden/>
              </w:rPr>
              <w:fldChar w:fldCharType="begin"/>
            </w:r>
            <w:r>
              <w:rPr>
                <w:noProof/>
                <w:webHidden/>
              </w:rPr>
              <w:instrText xml:space="preserve"> PAGEREF _Toc94806316 \h </w:instrText>
            </w:r>
            <w:r>
              <w:rPr>
                <w:noProof/>
                <w:webHidden/>
              </w:rPr>
            </w:r>
            <w:r>
              <w:rPr>
                <w:noProof/>
                <w:webHidden/>
              </w:rPr>
              <w:fldChar w:fldCharType="separate"/>
            </w:r>
            <w:r>
              <w:rPr>
                <w:noProof/>
                <w:webHidden/>
              </w:rPr>
              <w:t>153</w:t>
            </w:r>
            <w:r>
              <w:rPr>
                <w:noProof/>
                <w:webHidden/>
              </w:rPr>
              <w:fldChar w:fldCharType="end"/>
            </w:r>
          </w:hyperlink>
        </w:p>
        <w:p w14:paraId="7CF35942" w14:textId="256E6CA1" w:rsidR="009C5325" w:rsidRDefault="009C5325">
          <w:pPr>
            <w:pStyle w:val="Sumrio3"/>
            <w:tabs>
              <w:tab w:val="left" w:pos="1320"/>
              <w:tab w:val="right" w:leader="dot" w:pos="9062"/>
            </w:tabs>
            <w:rPr>
              <w:rFonts w:eastAsiaTheme="minorEastAsia"/>
              <w:noProof/>
              <w:sz w:val="22"/>
              <w:szCs w:val="22"/>
              <w:lang w:eastAsia="pt-BR"/>
            </w:rPr>
          </w:pPr>
          <w:hyperlink w:anchor="_Toc94806317" w:history="1">
            <w:r w:rsidRPr="006879E3">
              <w:rPr>
                <w:rStyle w:val="Hyperlink"/>
                <w:b/>
                <w:bCs/>
                <w:noProof/>
              </w:rPr>
              <w:t>3.1.10</w:t>
            </w:r>
            <w:r>
              <w:rPr>
                <w:rFonts w:eastAsiaTheme="minorEastAsia"/>
                <w:noProof/>
                <w:sz w:val="22"/>
                <w:szCs w:val="22"/>
                <w:lang w:eastAsia="pt-BR"/>
              </w:rPr>
              <w:tab/>
            </w:r>
            <w:r w:rsidRPr="006879E3">
              <w:rPr>
                <w:rStyle w:val="Hyperlink"/>
                <w:noProof/>
              </w:rPr>
              <w:t>INVALM.XML (ou InventarioBensAlmoxarifado.xml)</w:t>
            </w:r>
            <w:r>
              <w:rPr>
                <w:noProof/>
                <w:webHidden/>
              </w:rPr>
              <w:tab/>
            </w:r>
            <w:r>
              <w:rPr>
                <w:noProof/>
                <w:webHidden/>
              </w:rPr>
              <w:fldChar w:fldCharType="begin"/>
            </w:r>
            <w:r>
              <w:rPr>
                <w:noProof/>
                <w:webHidden/>
              </w:rPr>
              <w:instrText xml:space="preserve"> PAGEREF _Toc94806317 \h </w:instrText>
            </w:r>
            <w:r>
              <w:rPr>
                <w:noProof/>
                <w:webHidden/>
              </w:rPr>
            </w:r>
            <w:r>
              <w:rPr>
                <w:noProof/>
                <w:webHidden/>
              </w:rPr>
              <w:fldChar w:fldCharType="separate"/>
            </w:r>
            <w:r>
              <w:rPr>
                <w:noProof/>
                <w:webHidden/>
              </w:rPr>
              <w:t>155</w:t>
            </w:r>
            <w:r>
              <w:rPr>
                <w:noProof/>
                <w:webHidden/>
              </w:rPr>
              <w:fldChar w:fldCharType="end"/>
            </w:r>
          </w:hyperlink>
        </w:p>
        <w:p w14:paraId="1EB4234D" w14:textId="7ADF8485" w:rsidR="009C5325" w:rsidRDefault="009C5325">
          <w:pPr>
            <w:pStyle w:val="Sumrio3"/>
            <w:tabs>
              <w:tab w:val="left" w:pos="1320"/>
              <w:tab w:val="right" w:leader="dot" w:pos="9062"/>
            </w:tabs>
            <w:rPr>
              <w:rFonts w:eastAsiaTheme="minorEastAsia"/>
              <w:noProof/>
              <w:sz w:val="22"/>
              <w:szCs w:val="22"/>
              <w:lang w:eastAsia="pt-BR"/>
            </w:rPr>
          </w:pPr>
          <w:hyperlink w:anchor="_Toc94806318" w:history="1">
            <w:r w:rsidRPr="006879E3">
              <w:rPr>
                <w:rStyle w:val="Hyperlink"/>
                <w:b/>
                <w:bCs/>
                <w:noProof/>
              </w:rPr>
              <w:t>3.1.11</w:t>
            </w:r>
            <w:r>
              <w:rPr>
                <w:rFonts w:eastAsiaTheme="minorEastAsia"/>
                <w:noProof/>
                <w:sz w:val="22"/>
                <w:szCs w:val="22"/>
                <w:lang w:eastAsia="pt-BR"/>
              </w:rPr>
              <w:tab/>
            </w:r>
            <w:r w:rsidRPr="006879E3">
              <w:rPr>
                <w:rStyle w:val="Hyperlink"/>
                <w:noProof/>
              </w:rPr>
              <w:t>DEMDAT.XML (ou DemonstrativoDividaAtiva.xml)</w:t>
            </w:r>
            <w:r>
              <w:rPr>
                <w:noProof/>
                <w:webHidden/>
              </w:rPr>
              <w:tab/>
            </w:r>
            <w:r>
              <w:rPr>
                <w:noProof/>
                <w:webHidden/>
              </w:rPr>
              <w:fldChar w:fldCharType="begin"/>
            </w:r>
            <w:r>
              <w:rPr>
                <w:noProof/>
                <w:webHidden/>
              </w:rPr>
              <w:instrText xml:space="preserve"> PAGEREF _Toc94806318 \h </w:instrText>
            </w:r>
            <w:r>
              <w:rPr>
                <w:noProof/>
                <w:webHidden/>
              </w:rPr>
            </w:r>
            <w:r>
              <w:rPr>
                <w:noProof/>
                <w:webHidden/>
              </w:rPr>
              <w:fldChar w:fldCharType="separate"/>
            </w:r>
            <w:r>
              <w:rPr>
                <w:noProof/>
                <w:webHidden/>
              </w:rPr>
              <w:t>156</w:t>
            </w:r>
            <w:r>
              <w:rPr>
                <w:noProof/>
                <w:webHidden/>
              </w:rPr>
              <w:fldChar w:fldCharType="end"/>
            </w:r>
          </w:hyperlink>
        </w:p>
        <w:p w14:paraId="7FBB1138" w14:textId="47312488" w:rsidR="009C5325" w:rsidRDefault="009C5325">
          <w:pPr>
            <w:pStyle w:val="Sumrio3"/>
            <w:tabs>
              <w:tab w:val="left" w:pos="1320"/>
              <w:tab w:val="right" w:leader="dot" w:pos="9062"/>
            </w:tabs>
            <w:rPr>
              <w:rFonts w:eastAsiaTheme="minorEastAsia"/>
              <w:noProof/>
              <w:sz w:val="22"/>
              <w:szCs w:val="22"/>
              <w:lang w:eastAsia="pt-BR"/>
            </w:rPr>
          </w:pPr>
          <w:hyperlink w:anchor="_Toc94806319" w:history="1">
            <w:r w:rsidRPr="006879E3">
              <w:rPr>
                <w:rStyle w:val="Hyperlink"/>
                <w:b/>
                <w:bCs/>
                <w:noProof/>
              </w:rPr>
              <w:t>3.1.12</w:t>
            </w:r>
            <w:r>
              <w:rPr>
                <w:rFonts w:eastAsiaTheme="minorEastAsia"/>
                <w:noProof/>
                <w:sz w:val="22"/>
                <w:szCs w:val="22"/>
                <w:lang w:eastAsia="pt-BR"/>
              </w:rPr>
              <w:tab/>
            </w:r>
            <w:r w:rsidRPr="006879E3">
              <w:rPr>
                <w:rStyle w:val="Hyperlink"/>
                <w:noProof/>
              </w:rPr>
              <w:t>DEMRAP.XML (ou DemonstrativoRestosPagar.xml)</w:t>
            </w:r>
            <w:r>
              <w:rPr>
                <w:noProof/>
                <w:webHidden/>
              </w:rPr>
              <w:tab/>
            </w:r>
            <w:r>
              <w:rPr>
                <w:noProof/>
                <w:webHidden/>
              </w:rPr>
              <w:fldChar w:fldCharType="begin"/>
            </w:r>
            <w:r>
              <w:rPr>
                <w:noProof/>
                <w:webHidden/>
              </w:rPr>
              <w:instrText xml:space="preserve"> PAGEREF _Toc94806319 \h </w:instrText>
            </w:r>
            <w:r>
              <w:rPr>
                <w:noProof/>
                <w:webHidden/>
              </w:rPr>
            </w:r>
            <w:r>
              <w:rPr>
                <w:noProof/>
                <w:webHidden/>
              </w:rPr>
              <w:fldChar w:fldCharType="separate"/>
            </w:r>
            <w:r>
              <w:rPr>
                <w:noProof/>
                <w:webHidden/>
              </w:rPr>
              <w:t>158</w:t>
            </w:r>
            <w:r>
              <w:rPr>
                <w:noProof/>
                <w:webHidden/>
              </w:rPr>
              <w:fldChar w:fldCharType="end"/>
            </w:r>
          </w:hyperlink>
        </w:p>
        <w:p w14:paraId="46907FCA" w14:textId="1DE08786" w:rsidR="009C5325" w:rsidRDefault="009C5325">
          <w:pPr>
            <w:pStyle w:val="Sumrio3"/>
            <w:tabs>
              <w:tab w:val="left" w:pos="1320"/>
              <w:tab w:val="right" w:leader="dot" w:pos="9062"/>
            </w:tabs>
            <w:rPr>
              <w:rFonts w:eastAsiaTheme="minorEastAsia"/>
              <w:noProof/>
              <w:sz w:val="22"/>
              <w:szCs w:val="22"/>
              <w:lang w:eastAsia="pt-BR"/>
            </w:rPr>
          </w:pPr>
          <w:hyperlink w:anchor="_Toc94806320" w:history="1">
            <w:r w:rsidRPr="006879E3">
              <w:rPr>
                <w:rStyle w:val="Hyperlink"/>
                <w:b/>
                <w:bCs/>
                <w:noProof/>
              </w:rPr>
              <w:t>3.1.13</w:t>
            </w:r>
            <w:r>
              <w:rPr>
                <w:rFonts w:eastAsiaTheme="minorEastAsia"/>
                <w:noProof/>
                <w:sz w:val="22"/>
                <w:szCs w:val="22"/>
                <w:lang w:eastAsia="pt-BR"/>
              </w:rPr>
              <w:tab/>
            </w:r>
            <w:r w:rsidRPr="006879E3">
              <w:rPr>
                <w:rStyle w:val="Hyperlink"/>
                <w:noProof/>
              </w:rPr>
              <w:t>TVDISP.XML (ou TermoVerificacaoDisponibilidade.xml)</w:t>
            </w:r>
            <w:r>
              <w:rPr>
                <w:noProof/>
                <w:webHidden/>
              </w:rPr>
              <w:tab/>
            </w:r>
            <w:r>
              <w:rPr>
                <w:noProof/>
                <w:webHidden/>
              </w:rPr>
              <w:fldChar w:fldCharType="begin"/>
            </w:r>
            <w:r>
              <w:rPr>
                <w:noProof/>
                <w:webHidden/>
              </w:rPr>
              <w:instrText xml:space="preserve"> PAGEREF _Toc94806320 \h </w:instrText>
            </w:r>
            <w:r>
              <w:rPr>
                <w:noProof/>
                <w:webHidden/>
              </w:rPr>
            </w:r>
            <w:r>
              <w:rPr>
                <w:noProof/>
                <w:webHidden/>
              </w:rPr>
              <w:fldChar w:fldCharType="separate"/>
            </w:r>
            <w:r>
              <w:rPr>
                <w:noProof/>
                <w:webHidden/>
              </w:rPr>
              <w:t>161</w:t>
            </w:r>
            <w:r>
              <w:rPr>
                <w:noProof/>
                <w:webHidden/>
              </w:rPr>
              <w:fldChar w:fldCharType="end"/>
            </w:r>
          </w:hyperlink>
        </w:p>
        <w:p w14:paraId="30833855" w14:textId="129314A1" w:rsidR="009C5325" w:rsidRDefault="009C5325">
          <w:pPr>
            <w:pStyle w:val="Sumrio3"/>
            <w:tabs>
              <w:tab w:val="left" w:pos="1320"/>
              <w:tab w:val="right" w:leader="dot" w:pos="9062"/>
            </w:tabs>
            <w:rPr>
              <w:rFonts w:eastAsiaTheme="minorEastAsia"/>
              <w:noProof/>
              <w:sz w:val="22"/>
              <w:szCs w:val="22"/>
              <w:lang w:eastAsia="pt-BR"/>
            </w:rPr>
          </w:pPr>
          <w:hyperlink w:anchor="_Toc94806321" w:history="1">
            <w:r w:rsidRPr="006879E3">
              <w:rPr>
                <w:rStyle w:val="Hyperlink"/>
                <w:b/>
                <w:bCs/>
                <w:noProof/>
              </w:rPr>
              <w:t>3.1.14</w:t>
            </w:r>
            <w:r>
              <w:rPr>
                <w:rFonts w:eastAsiaTheme="minorEastAsia"/>
                <w:noProof/>
                <w:sz w:val="22"/>
                <w:szCs w:val="22"/>
                <w:lang w:eastAsia="pt-BR"/>
              </w:rPr>
              <w:tab/>
            </w:r>
            <w:r w:rsidRPr="006879E3">
              <w:rPr>
                <w:rStyle w:val="Hyperlink"/>
                <w:noProof/>
              </w:rPr>
              <w:t>DOCSPCA.XML (ou DocumentoPCA.xml)</w:t>
            </w:r>
            <w:r>
              <w:rPr>
                <w:noProof/>
                <w:webHidden/>
              </w:rPr>
              <w:tab/>
            </w:r>
            <w:r>
              <w:rPr>
                <w:noProof/>
                <w:webHidden/>
              </w:rPr>
              <w:fldChar w:fldCharType="begin"/>
            </w:r>
            <w:r>
              <w:rPr>
                <w:noProof/>
                <w:webHidden/>
              </w:rPr>
              <w:instrText xml:space="preserve"> PAGEREF _Toc94806321 \h </w:instrText>
            </w:r>
            <w:r>
              <w:rPr>
                <w:noProof/>
                <w:webHidden/>
              </w:rPr>
            </w:r>
            <w:r>
              <w:rPr>
                <w:noProof/>
                <w:webHidden/>
              </w:rPr>
              <w:fldChar w:fldCharType="separate"/>
            </w:r>
            <w:r>
              <w:rPr>
                <w:noProof/>
                <w:webHidden/>
              </w:rPr>
              <w:t>168</w:t>
            </w:r>
            <w:r>
              <w:rPr>
                <w:noProof/>
                <w:webHidden/>
              </w:rPr>
              <w:fldChar w:fldCharType="end"/>
            </w:r>
          </w:hyperlink>
        </w:p>
        <w:p w14:paraId="3514E773" w14:textId="64323820" w:rsidR="009C5325" w:rsidRDefault="009C5325">
          <w:pPr>
            <w:pStyle w:val="Sumrio3"/>
            <w:tabs>
              <w:tab w:val="left" w:pos="1320"/>
              <w:tab w:val="right" w:leader="dot" w:pos="9062"/>
            </w:tabs>
            <w:rPr>
              <w:rFonts w:eastAsiaTheme="minorEastAsia"/>
              <w:noProof/>
              <w:sz w:val="22"/>
              <w:szCs w:val="22"/>
              <w:lang w:eastAsia="pt-BR"/>
            </w:rPr>
          </w:pPr>
          <w:hyperlink w:anchor="_Toc94806322" w:history="1">
            <w:r w:rsidRPr="006879E3">
              <w:rPr>
                <w:rStyle w:val="Hyperlink"/>
                <w:b/>
                <w:bCs/>
                <w:noProof/>
              </w:rPr>
              <w:t>3.1.15</w:t>
            </w:r>
            <w:r>
              <w:rPr>
                <w:rFonts w:eastAsiaTheme="minorEastAsia"/>
                <w:noProof/>
                <w:sz w:val="22"/>
                <w:szCs w:val="22"/>
                <w:lang w:eastAsia="pt-BR"/>
              </w:rPr>
              <w:tab/>
            </w:r>
            <w:r w:rsidRPr="006879E3">
              <w:rPr>
                <w:rStyle w:val="Hyperlink"/>
                <w:noProof/>
              </w:rPr>
              <w:t>BALVERF.XML (ou BalanceteVerificacao.xml)</w:t>
            </w:r>
            <w:r>
              <w:rPr>
                <w:noProof/>
                <w:webHidden/>
              </w:rPr>
              <w:tab/>
            </w:r>
            <w:r>
              <w:rPr>
                <w:noProof/>
                <w:webHidden/>
              </w:rPr>
              <w:fldChar w:fldCharType="begin"/>
            </w:r>
            <w:r>
              <w:rPr>
                <w:noProof/>
                <w:webHidden/>
              </w:rPr>
              <w:instrText xml:space="preserve"> PAGEREF _Toc94806322 \h </w:instrText>
            </w:r>
            <w:r>
              <w:rPr>
                <w:noProof/>
                <w:webHidden/>
              </w:rPr>
            </w:r>
            <w:r>
              <w:rPr>
                <w:noProof/>
                <w:webHidden/>
              </w:rPr>
              <w:fldChar w:fldCharType="separate"/>
            </w:r>
            <w:r>
              <w:rPr>
                <w:noProof/>
                <w:webHidden/>
              </w:rPr>
              <w:t>170</w:t>
            </w:r>
            <w:r>
              <w:rPr>
                <w:noProof/>
                <w:webHidden/>
              </w:rPr>
              <w:fldChar w:fldCharType="end"/>
            </w:r>
          </w:hyperlink>
        </w:p>
        <w:p w14:paraId="7E00070F" w14:textId="64783AEA" w:rsidR="009C5325" w:rsidRDefault="009C5325">
          <w:pPr>
            <w:pStyle w:val="Sumrio3"/>
            <w:tabs>
              <w:tab w:val="left" w:pos="1320"/>
              <w:tab w:val="right" w:leader="dot" w:pos="9062"/>
            </w:tabs>
            <w:rPr>
              <w:rFonts w:eastAsiaTheme="minorEastAsia"/>
              <w:noProof/>
              <w:sz w:val="22"/>
              <w:szCs w:val="22"/>
              <w:lang w:eastAsia="pt-BR"/>
            </w:rPr>
          </w:pPr>
          <w:hyperlink w:anchor="_Toc94806323" w:history="1">
            <w:r w:rsidRPr="006879E3">
              <w:rPr>
                <w:rStyle w:val="Hyperlink"/>
                <w:b/>
                <w:bCs/>
                <w:noProof/>
              </w:rPr>
              <w:t>3.1.16</w:t>
            </w:r>
            <w:r>
              <w:rPr>
                <w:rFonts w:eastAsiaTheme="minorEastAsia"/>
                <w:noProof/>
                <w:sz w:val="22"/>
                <w:szCs w:val="22"/>
                <w:lang w:eastAsia="pt-BR"/>
              </w:rPr>
              <w:tab/>
            </w:r>
            <w:r w:rsidRPr="006879E3">
              <w:rPr>
                <w:rStyle w:val="Hyperlink"/>
                <w:noProof/>
              </w:rPr>
              <w:t>BALVERF_E.XML (ou BalanceteVerificacaoEstado.xml)</w:t>
            </w:r>
            <w:r>
              <w:rPr>
                <w:noProof/>
                <w:webHidden/>
              </w:rPr>
              <w:tab/>
            </w:r>
            <w:r>
              <w:rPr>
                <w:noProof/>
                <w:webHidden/>
              </w:rPr>
              <w:fldChar w:fldCharType="begin"/>
            </w:r>
            <w:r>
              <w:rPr>
                <w:noProof/>
                <w:webHidden/>
              </w:rPr>
              <w:instrText xml:space="preserve"> PAGEREF _Toc94806323 \h </w:instrText>
            </w:r>
            <w:r>
              <w:rPr>
                <w:noProof/>
                <w:webHidden/>
              </w:rPr>
            </w:r>
            <w:r>
              <w:rPr>
                <w:noProof/>
                <w:webHidden/>
              </w:rPr>
              <w:fldChar w:fldCharType="separate"/>
            </w:r>
            <w:r>
              <w:rPr>
                <w:noProof/>
                <w:webHidden/>
              </w:rPr>
              <w:t>171</w:t>
            </w:r>
            <w:r>
              <w:rPr>
                <w:noProof/>
                <w:webHidden/>
              </w:rPr>
              <w:fldChar w:fldCharType="end"/>
            </w:r>
          </w:hyperlink>
        </w:p>
        <w:p w14:paraId="621BB3F2" w14:textId="276744A2" w:rsidR="009C5325" w:rsidRDefault="009C5325">
          <w:pPr>
            <w:pStyle w:val="Sumrio3"/>
            <w:tabs>
              <w:tab w:val="left" w:pos="1320"/>
              <w:tab w:val="right" w:leader="dot" w:pos="9062"/>
            </w:tabs>
            <w:rPr>
              <w:rFonts w:eastAsiaTheme="minorEastAsia"/>
              <w:noProof/>
              <w:sz w:val="22"/>
              <w:szCs w:val="22"/>
              <w:lang w:eastAsia="pt-BR"/>
            </w:rPr>
          </w:pPr>
          <w:hyperlink w:anchor="_Toc94806324" w:history="1">
            <w:r w:rsidRPr="006879E3">
              <w:rPr>
                <w:rStyle w:val="Hyperlink"/>
                <w:b/>
                <w:bCs/>
                <w:noProof/>
              </w:rPr>
              <w:t>3.1.17</w:t>
            </w:r>
            <w:r>
              <w:rPr>
                <w:rFonts w:eastAsiaTheme="minorEastAsia"/>
                <w:noProof/>
                <w:sz w:val="22"/>
                <w:szCs w:val="22"/>
                <w:lang w:eastAsia="pt-BR"/>
              </w:rPr>
              <w:tab/>
            </w:r>
            <w:r w:rsidRPr="006879E3">
              <w:rPr>
                <w:rStyle w:val="Hyperlink"/>
                <w:noProof/>
              </w:rPr>
              <w:t>BALEXOD.XML (ou BalanceteExecucaoOrcamentariaDespesa.xml)</w:t>
            </w:r>
            <w:r>
              <w:rPr>
                <w:noProof/>
                <w:webHidden/>
              </w:rPr>
              <w:tab/>
            </w:r>
            <w:r>
              <w:rPr>
                <w:noProof/>
                <w:webHidden/>
              </w:rPr>
              <w:fldChar w:fldCharType="begin"/>
            </w:r>
            <w:r>
              <w:rPr>
                <w:noProof/>
                <w:webHidden/>
              </w:rPr>
              <w:instrText xml:space="preserve"> PAGEREF _Toc94806324 \h </w:instrText>
            </w:r>
            <w:r>
              <w:rPr>
                <w:noProof/>
                <w:webHidden/>
              </w:rPr>
            </w:r>
            <w:r>
              <w:rPr>
                <w:noProof/>
                <w:webHidden/>
              </w:rPr>
              <w:fldChar w:fldCharType="separate"/>
            </w:r>
            <w:r>
              <w:rPr>
                <w:noProof/>
                <w:webHidden/>
              </w:rPr>
              <w:t>172</w:t>
            </w:r>
            <w:r>
              <w:rPr>
                <w:noProof/>
                <w:webHidden/>
              </w:rPr>
              <w:fldChar w:fldCharType="end"/>
            </w:r>
          </w:hyperlink>
        </w:p>
        <w:p w14:paraId="5BD34186" w14:textId="1F201A13" w:rsidR="009C5325" w:rsidRDefault="009C5325">
          <w:pPr>
            <w:pStyle w:val="Sumrio3"/>
            <w:tabs>
              <w:tab w:val="left" w:pos="1320"/>
              <w:tab w:val="right" w:leader="dot" w:pos="9062"/>
            </w:tabs>
            <w:rPr>
              <w:rFonts w:eastAsiaTheme="minorEastAsia"/>
              <w:noProof/>
              <w:sz w:val="22"/>
              <w:szCs w:val="22"/>
              <w:lang w:eastAsia="pt-BR"/>
            </w:rPr>
          </w:pPr>
          <w:hyperlink w:anchor="_Toc94806325" w:history="1">
            <w:r w:rsidRPr="006879E3">
              <w:rPr>
                <w:rStyle w:val="Hyperlink"/>
                <w:b/>
                <w:bCs/>
                <w:noProof/>
              </w:rPr>
              <w:t>3.1.18</w:t>
            </w:r>
            <w:r>
              <w:rPr>
                <w:rFonts w:eastAsiaTheme="minorEastAsia"/>
                <w:noProof/>
                <w:sz w:val="22"/>
                <w:szCs w:val="22"/>
                <w:lang w:eastAsia="pt-BR"/>
              </w:rPr>
              <w:tab/>
            </w:r>
            <w:r w:rsidRPr="006879E3">
              <w:rPr>
                <w:rStyle w:val="Hyperlink"/>
                <w:noProof/>
              </w:rPr>
              <w:t>BALEXOD_E.XML (ou BalanceteExecucaoOrcamentariaDespesaEstado.xml)</w:t>
            </w:r>
            <w:r>
              <w:rPr>
                <w:noProof/>
                <w:webHidden/>
              </w:rPr>
              <w:tab/>
            </w:r>
            <w:r>
              <w:rPr>
                <w:noProof/>
                <w:webHidden/>
              </w:rPr>
              <w:fldChar w:fldCharType="begin"/>
            </w:r>
            <w:r>
              <w:rPr>
                <w:noProof/>
                <w:webHidden/>
              </w:rPr>
              <w:instrText xml:space="preserve"> PAGEREF _Toc94806325 \h </w:instrText>
            </w:r>
            <w:r>
              <w:rPr>
                <w:noProof/>
                <w:webHidden/>
              </w:rPr>
            </w:r>
            <w:r>
              <w:rPr>
                <w:noProof/>
                <w:webHidden/>
              </w:rPr>
              <w:fldChar w:fldCharType="separate"/>
            </w:r>
            <w:r>
              <w:rPr>
                <w:noProof/>
                <w:webHidden/>
              </w:rPr>
              <w:t>174</w:t>
            </w:r>
            <w:r>
              <w:rPr>
                <w:noProof/>
                <w:webHidden/>
              </w:rPr>
              <w:fldChar w:fldCharType="end"/>
            </w:r>
          </w:hyperlink>
        </w:p>
        <w:p w14:paraId="5285A020" w14:textId="001AC390" w:rsidR="009C5325" w:rsidRDefault="009C5325">
          <w:pPr>
            <w:pStyle w:val="Sumrio3"/>
            <w:tabs>
              <w:tab w:val="left" w:pos="1320"/>
              <w:tab w:val="right" w:leader="dot" w:pos="9062"/>
            </w:tabs>
            <w:rPr>
              <w:rFonts w:eastAsiaTheme="minorEastAsia"/>
              <w:noProof/>
              <w:sz w:val="22"/>
              <w:szCs w:val="22"/>
              <w:lang w:eastAsia="pt-BR"/>
            </w:rPr>
          </w:pPr>
          <w:hyperlink w:anchor="_Toc94806326" w:history="1">
            <w:r w:rsidRPr="006879E3">
              <w:rPr>
                <w:rStyle w:val="Hyperlink"/>
                <w:b/>
                <w:bCs/>
                <w:noProof/>
              </w:rPr>
              <w:t>3.1.19</w:t>
            </w:r>
            <w:r>
              <w:rPr>
                <w:rFonts w:eastAsiaTheme="minorEastAsia"/>
                <w:noProof/>
                <w:sz w:val="22"/>
                <w:szCs w:val="22"/>
                <w:lang w:eastAsia="pt-BR"/>
              </w:rPr>
              <w:tab/>
            </w:r>
            <w:r w:rsidRPr="006879E3">
              <w:rPr>
                <w:rStyle w:val="Hyperlink"/>
                <w:noProof/>
              </w:rPr>
              <w:t>BALEXOR.XML (ou BalanceteExecucaoOrcamentariaReceita.xml)</w:t>
            </w:r>
            <w:r>
              <w:rPr>
                <w:noProof/>
                <w:webHidden/>
              </w:rPr>
              <w:tab/>
            </w:r>
            <w:r>
              <w:rPr>
                <w:noProof/>
                <w:webHidden/>
              </w:rPr>
              <w:fldChar w:fldCharType="begin"/>
            </w:r>
            <w:r>
              <w:rPr>
                <w:noProof/>
                <w:webHidden/>
              </w:rPr>
              <w:instrText xml:space="preserve"> PAGEREF _Toc94806326 \h </w:instrText>
            </w:r>
            <w:r>
              <w:rPr>
                <w:noProof/>
                <w:webHidden/>
              </w:rPr>
            </w:r>
            <w:r>
              <w:rPr>
                <w:noProof/>
                <w:webHidden/>
              </w:rPr>
              <w:fldChar w:fldCharType="separate"/>
            </w:r>
            <w:r>
              <w:rPr>
                <w:noProof/>
                <w:webHidden/>
              </w:rPr>
              <w:t>176</w:t>
            </w:r>
            <w:r>
              <w:rPr>
                <w:noProof/>
                <w:webHidden/>
              </w:rPr>
              <w:fldChar w:fldCharType="end"/>
            </w:r>
          </w:hyperlink>
        </w:p>
        <w:p w14:paraId="6B5CBB6C" w14:textId="26D4017A" w:rsidR="009C5325" w:rsidRDefault="009C5325">
          <w:pPr>
            <w:pStyle w:val="Sumrio3"/>
            <w:tabs>
              <w:tab w:val="left" w:pos="1320"/>
              <w:tab w:val="right" w:leader="dot" w:pos="9062"/>
            </w:tabs>
            <w:rPr>
              <w:rFonts w:eastAsiaTheme="minorEastAsia"/>
              <w:noProof/>
              <w:sz w:val="22"/>
              <w:szCs w:val="22"/>
              <w:lang w:eastAsia="pt-BR"/>
            </w:rPr>
          </w:pPr>
          <w:hyperlink w:anchor="_Toc94806327" w:history="1">
            <w:r w:rsidRPr="006879E3">
              <w:rPr>
                <w:rStyle w:val="Hyperlink"/>
                <w:b/>
                <w:bCs/>
                <w:noProof/>
              </w:rPr>
              <w:t>3.1.20</w:t>
            </w:r>
            <w:r>
              <w:rPr>
                <w:rFonts w:eastAsiaTheme="minorEastAsia"/>
                <w:noProof/>
                <w:sz w:val="22"/>
                <w:szCs w:val="22"/>
                <w:lang w:eastAsia="pt-BR"/>
              </w:rPr>
              <w:tab/>
            </w:r>
            <w:r w:rsidRPr="006879E3">
              <w:rPr>
                <w:rStyle w:val="Hyperlink"/>
                <w:noProof/>
              </w:rPr>
              <w:t>BALEXOR_E.XML (ou BalanceteExecucaoOrcamentariaReceitaEstado.xml)</w:t>
            </w:r>
            <w:r>
              <w:rPr>
                <w:noProof/>
                <w:webHidden/>
              </w:rPr>
              <w:tab/>
            </w:r>
            <w:r>
              <w:rPr>
                <w:noProof/>
                <w:webHidden/>
              </w:rPr>
              <w:fldChar w:fldCharType="begin"/>
            </w:r>
            <w:r>
              <w:rPr>
                <w:noProof/>
                <w:webHidden/>
              </w:rPr>
              <w:instrText xml:space="preserve"> PAGEREF _Toc94806327 \h </w:instrText>
            </w:r>
            <w:r>
              <w:rPr>
                <w:noProof/>
                <w:webHidden/>
              </w:rPr>
            </w:r>
            <w:r>
              <w:rPr>
                <w:noProof/>
                <w:webHidden/>
              </w:rPr>
              <w:fldChar w:fldCharType="separate"/>
            </w:r>
            <w:r>
              <w:rPr>
                <w:noProof/>
                <w:webHidden/>
              </w:rPr>
              <w:t>178</w:t>
            </w:r>
            <w:r>
              <w:rPr>
                <w:noProof/>
                <w:webHidden/>
              </w:rPr>
              <w:fldChar w:fldCharType="end"/>
            </w:r>
          </w:hyperlink>
        </w:p>
        <w:p w14:paraId="5F8F093B" w14:textId="608ACD0D" w:rsidR="009C5325" w:rsidRDefault="009C5325">
          <w:pPr>
            <w:pStyle w:val="Sumrio3"/>
            <w:tabs>
              <w:tab w:val="left" w:pos="1320"/>
              <w:tab w:val="right" w:leader="dot" w:pos="9062"/>
            </w:tabs>
            <w:rPr>
              <w:rFonts w:eastAsiaTheme="minorEastAsia"/>
              <w:noProof/>
              <w:sz w:val="22"/>
              <w:szCs w:val="22"/>
              <w:lang w:eastAsia="pt-BR"/>
            </w:rPr>
          </w:pPr>
          <w:hyperlink w:anchor="_Toc94806328" w:history="1">
            <w:r w:rsidRPr="006879E3">
              <w:rPr>
                <w:rStyle w:val="Hyperlink"/>
                <w:b/>
                <w:bCs/>
                <w:noProof/>
              </w:rPr>
              <w:t>3.1.21</w:t>
            </w:r>
            <w:r>
              <w:rPr>
                <w:rFonts w:eastAsiaTheme="minorEastAsia"/>
                <w:noProof/>
                <w:sz w:val="22"/>
                <w:szCs w:val="22"/>
                <w:lang w:eastAsia="pt-BR"/>
              </w:rPr>
              <w:tab/>
            </w:r>
            <w:r w:rsidRPr="006879E3">
              <w:rPr>
                <w:rStyle w:val="Hyperlink"/>
                <w:noProof/>
              </w:rPr>
              <w:t>BALEXOC.XML (ou BalanceteExecucaoOrcamentariaConsorcio.xml)</w:t>
            </w:r>
            <w:r>
              <w:rPr>
                <w:noProof/>
                <w:webHidden/>
              </w:rPr>
              <w:tab/>
            </w:r>
            <w:r>
              <w:rPr>
                <w:noProof/>
                <w:webHidden/>
              </w:rPr>
              <w:fldChar w:fldCharType="begin"/>
            </w:r>
            <w:r>
              <w:rPr>
                <w:noProof/>
                <w:webHidden/>
              </w:rPr>
              <w:instrText xml:space="preserve"> PAGEREF _Toc94806328 \h </w:instrText>
            </w:r>
            <w:r>
              <w:rPr>
                <w:noProof/>
                <w:webHidden/>
              </w:rPr>
            </w:r>
            <w:r>
              <w:rPr>
                <w:noProof/>
                <w:webHidden/>
              </w:rPr>
              <w:fldChar w:fldCharType="separate"/>
            </w:r>
            <w:r>
              <w:rPr>
                <w:noProof/>
                <w:webHidden/>
              </w:rPr>
              <w:t>180</w:t>
            </w:r>
            <w:r>
              <w:rPr>
                <w:noProof/>
                <w:webHidden/>
              </w:rPr>
              <w:fldChar w:fldCharType="end"/>
            </w:r>
          </w:hyperlink>
        </w:p>
        <w:p w14:paraId="0D6204F6" w14:textId="25E55F80" w:rsidR="009C5325" w:rsidRDefault="009C5325">
          <w:pPr>
            <w:pStyle w:val="Sumrio3"/>
            <w:tabs>
              <w:tab w:val="left" w:pos="1320"/>
              <w:tab w:val="right" w:leader="dot" w:pos="9062"/>
            </w:tabs>
            <w:rPr>
              <w:rFonts w:eastAsiaTheme="minorEastAsia"/>
              <w:noProof/>
              <w:sz w:val="22"/>
              <w:szCs w:val="22"/>
              <w:lang w:eastAsia="pt-BR"/>
            </w:rPr>
          </w:pPr>
          <w:hyperlink w:anchor="_Toc94806329" w:history="1">
            <w:r w:rsidRPr="006879E3">
              <w:rPr>
                <w:rStyle w:val="Hyperlink"/>
                <w:b/>
                <w:bCs/>
                <w:noProof/>
              </w:rPr>
              <w:t>3.1.22</w:t>
            </w:r>
            <w:r>
              <w:rPr>
                <w:rFonts w:eastAsiaTheme="minorEastAsia"/>
                <w:noProof/>
                <w:sz w:val="22"/>
                <w:szCs w:val="22"/>
                <w:lang w:eastAsia="pt-BR"/>
              </w:rPr>
              <w:tab/>
            </w:r>
            <w:r w:rsidRPr="006879E3">
              <w:rPr>
                <w:rStyle w:val="Hyperlink"/>
                <w:noProof/>
              </w:rPr>
              <w:t>DEMDFLT.XML (ou DemonstrativoDividaFlutuante.xml)</w:t>
            </w:r>
            <w:r>
              <w:rPr>
                <w:noProof/>
                <w:webHidden/>
              </w:rPr>
              <w:tab/>
            </w:r>
            <w:r>
              <w:rPr>
                <w:noProof/>
                <w:webHidden/>
              </w:rPr>
              <w:fldChar w:fldCharType="begin"/>
            </w:r>
            <w:r>
              <w:rPr>
                <w:noProof/>
                <w:webHidden/>
              </w:rPr>
              <w:instrText xml:space="preserve"> PAGEREF _Toc94806329 \h </w:instrText>
            </w:r>
            <w:r>
              <w:rPr>
                <w:noProof/>
                <w:webHidden/>
              </w:rPr>
            </w:r>
            <w:r>
              <w:rPr>
                <w:noProof/>
                <w:webHidden/>
              </w:rPr>
              <w:fldChar w:fldCharType="separate"/>
            </w:r>
            <w:r>
              <w:rPr>
                <w:noProof/>
                <w:webHidden/>
              </w:rPr>
              <w:t>183</w:t>
            </w:r>
            <w:r>
              <w:rPr>
                <w:noProof/>
                <w:webHidden/>
              </w:rPr>
              <w:fldChar w:fldCharType="end"/>
            </w:r>
          </w:hyperlink>
        </w:p>
        <w:p w14:paraId="046513C2" w14:textId="60D84DCE" w:rsidR="009C5325" w:rsidRDefault="009C5325">
          <w:pPr>
            <w:pStyle w:val="Sumrio3"/>
            <w:tabs>
              <w:tab w:val="left" w:pos="1320"/>
              <w:tab w:val="right" w:leader="dot" w:pos="9062"/>
            </w:tabs>
            <w:rPr>
              <w:rFonts w:eastAsiaTheme="minorEastAsia"/>
              <w:noProof/>
              <w:sz w:val="22"/>
              <w:szCs w:val="22"/>
              <w:lang w:eastAsia="pt-BR"/>
            </w:rPr>
          </w:pPr>
          <w:hyperlink w:anchor="_Toc94806330" w:history="1">
            <w:r w:rsidRPr="006879E3">
              <w:rPr>
                <w:rStyle w:val="Hyperlink"/>
                <w:b/>
                <w:bCs/>
                <w:noProof/>
              </w:rPr>
              <w:t>3.1.23</w:t>
            </w:r>
            <w:r>
              <w:rPr>
                <w:rFonts w:eastAsiaTheme="minorEastAsia"/>
                <w:noProof/>
                <w:sz w:val="22"/>
                <w:szCs w:val="22"/>
                <w:lang w:eastAsia="pt-BR"/>
              </w:rPr>
              <w:tab/>
            </w:r>
            <w:r w:rsidRPr="006879E3">
              <w:rPr>
                <w:rStyle w:val="Hyperlink"/>
                <w:noProof/>
              </w:rPr>
              <w:t>DEMDIFD.XML (ou DemonstrativoDividaFundada.xml)</w:t>
            </w:r>
            <w:r>
              <w:rPr>
                <w:noProof/>
                <w:webHidden/>
              </w:rPr>
              <w:tab/>
            </w:r>
            <w:r>
              <w:rPr>
                <w:noProof/>
                <w:webHidden/>
              </w:rPr>
              <w:fldChar w:fldCharType="begin"/>
            </w:r>
            <w:r>
              <w:rPr>
                <w:noProof/>
                <w:webHidden/>
              </w:rPr>
              <w:instrText xml:space="preserve"> PAGEREF _Toc94806330 \h </w:instrText>
            </w:r>
            <w:r>
              <w:rPr>
                <w:noProof/>
                <w:webHidden/>
              </w:rPr>
            </w:r>
            <w:r>
              <w:rPr>
                <w:noProof/>
                <w:webHidden/>
              </w:rPr>
              <w:fldChar w:fldCharType="separate"/>
            </w:r>
            <w:r>
              <w:rPr>
                <w:noProof/>
                <w:webHidden/>
              </w:rPr>
              <w:t>184</w:t>
            </w:r>
            <w:r>
              <w:rPr>
                <w:noProof/>
                <w:webHidden/>
              </w:rPr>
              <w:fldChar w:fldCharType="end"/>
            </w:r>
          </w:hyperlink>
        </w:p>
        <w:p w14:paraId="34B3AA68" w14:textId="0158B49F" w:rsidR="009C5325" w:rsidRDefault="009C5325">
          <w:pPr>
            <w:pStyle w:val="Sumrio3"/>
            <w:tabs>
              <w:tab w:val="left" w:pos="1320"/>
              <w:tab w:val="right" w:leader="dot" w:pos="9062"/>
            </w:tabs>
            <w:rPr>
              <w:rFonts w:eastAsiaTheme="minorEastAsia"/>
              <w:noProof/>
              <w:sz w:val="22"/>
              <w:szCs w:val="22"/>
              <w:lang w:eastAsia="pt-BR"/>
            </w:rPr>
          </w:pPr>
          <w:hyperlink w:anchor="_Toc94806331" w:history="1">
            <w:r w:rsidRPr="006879E3">
              <w:rPr>
                <w:rStyle w:val="Hyperlink"/>
                <w:rFonts w:eastAsia="Calibri"/>
                <w:b/>
                <w:bCs/>
                <w:noProof/>
              </w:rPr>
              <w:t>3.1.24</w:t>
            </w:r>
            <w:r>
              <w:rPr>
                <w:rFonts w:eastAsiaTheme="minorEastAsia"/>
                <w:noProof/>
                <w:sz w:val="22"/>
                <w:szCs w:val="22"/>
                <w:lang w:eastAsia="pt-BR"/>
              </w:rPr>
              <w:tab/>
            </w:r>
            <w:r w:rsidRPr="006879E3">
              <w:rPr>
                <w:rStyle w:val="Hyperlink"/>
                <w:rFonts w:eastAsia="Calibri"/>
                <w:noProof/>
              </w:rPr>
              <w:t>DEMREC.XML (ou DemonstrativoReceitaContribuicaoRPPS.xml)</w:t>
            </w:r>
            <w:r>
              <w:rPr>
                <w:noProof/>
                <w:webHidden/>
              </w:rPr>
              <w:tab/>
            </w:r>
            <w:r>
              <w:rPr>
                <w:noProof/>
                <w:webHidden/>
              </w:rPr>
              <w:fldChar w:fldCharType="begin"/>
            </w:r>
            <w:r>
              <w:rPr>
                <w:noProof/>
                <w:webHidden/>
              </w:rPr>
              <w:instrText xml:space="preserve"> PAGEREF _Toc94806331 \h </w:instrText>
            </w:r>
            <w:r>
              <w:rPr>
                <w:noProof/>
                <w:webHidden/>
              </w:rPr>
            </w:r>
            <w:r>
              <w:rPr>
                <w:noProof/>
                <w:webHidden/>
              </w:rPr>
              <w:fldChar w:fldCharType="separate"/>
            </w:r>
            <w:r>
              <w:rPr>
                <w:noProof/>
                <w:webHidden/>
              </w:rPr>
              <w:t>187</w:t>
            </w:r>
            <w:r>
              <w:rPr>
                <w:noProof/>
                <w:webHidden/>
              </w:rPr>
              <w:fldChar w:fldCharType="end"/>
            </w:r>
          </w:hyperlink>
        </w:p>
        <w:p w14:paraId="6B9D22B5" w14:textId="6CB2B8F4" w:rsidR="009C5325" w:rsidRDefault="009C5325">
          <w:pPr>
            <w:pStyle w:val="Sumrio3"/>
            <w:tabs>
              <w:tab w:val="left" w:pos="1320"/>
              <w:tab w:val="right" w:leader="dot" w:pos="9062"/>
            </w:tabs>
            <w:rPr>
              <w:rFonts w:eastAsiaTheme="minorEastAsia"/>
              <w:noProof/>
              <w:sz w:val="22"/>
              <w:szCs w:val="22"/>
              <w:lang w:eastAsia="pt-BR"/>
            </w:rPr>
          </w:pPr>
          <w:hyperlink w:anchor="_Toc94806332" w:history="1">
            <w:r w:rsidRPr="006879E3">
              <w:rPr>
                <w:rStyle w:val="Hyperlink"/>
                <w:rFonts w:eastAsia="Calibri"/>
                <w:b/>
                <w:bCs/>
                <w:noProof/>
              </w:rPr>
              <w:t>3.1.25</w:t>
            </w:r>
            <w:r>
              <w:rPr>
                <w:rFonts w:eastAsiaTheme="minorEastAsia"/>
                <w:noProof/>
                <w:sz w:val="22"/>
                <w:szCs w:val="22"/>
                <w:lang w:eastAsia="pt-BR"/>
              </w:rPr>
              <w:tab/>
            </w:r>
            <w:r w:rsidRPr="006879E3">
              <w:rPr>
                <w:rStyle w:val="Hyperlink"/>
                <w:rFonts w:eastAsia="Calibri"/>
                <w:noProof/>
              </w:rPr>
              <w:t>PROATU.XML (ou ProjeçãoAtuarialRPPS.xml)</w:t>
            </w:r>
            <w:r>
              <w:rPr>
                <w:noProof/>
                <w:webHidden/>
              </w:rPr>
              <w:tab/>
            </w:r>
            <w:r>
              <w:rPr>
                <w:noProof/>
                <w:webHidden/>
              </w:rPr>
              <w:fldChar w:fldCharType="begin"/>
            </w:r>
            <w:r>
              <w:rPr>
                <w:noProof/>
                <w:webHidden/>
              </w:rPr>
              <w:instrText xml:space="preserve"> PAGEREF _Toc94806332 \h </w:instrText>
            </w:r>
            <w:r>
              <w:rPr>
                <w:noProof/>
                <w:webHidden/>
              </w:rPr>
            </w:r>
            <w:r>
              <w:rPr>
                <w:noProof/>
                <w:webHidden/>
              </w:rPr>
              <w:fldChar w:fldCharType="separate"/>
            </w:r>
            <w:r>
              <w:rPr>
                <w:noProof/>
                <w:webHidden/>
              </w:rPr>
              <w:t>191</w:t>
            </w:r>
            <w:r>
              <w:rPr>
                <w:noProof/>
                <w:webHidden/>
              </w:rPr>
              <w:fldChar w:fldCharType="end"/>
            </w:r>
          </w:hyperlink>
        </w:p>
        <w:p w14:paraId="06496C2C" w14:textId="2C87F632" w:rsidR="009C5325" w:rsidRDefault="009C5325">
          <w:pPr>
            <w:pStyle w:val="Sumrio3"/>
            <w:tabs>
              <w:tab w:val="left" w:pos="1320"/>
              <w:tab w:val="right" w:leader="dot" w:pos="9062"/>
            </w:tabs>
            <w:rPr>
              <w:rFonts w:eastAsiaTheme="minorEastAsia"/>
              <w:noProof/>
              <w:sz w:val="22"/>
              <w:szCs w:val="22"/>
              <w:lang w:eastAsia="pt-BR"/>
            </w:rPr>
          </w:pPr>
          <w:hyperlink w:anchor="_Toc94806333" w:history="1">
            <w:r w:rsidRPr="006879E3">
              <w:rPr>
                <w:rStyle w:val="Hyperlink"/>
                <w:rFonts w:eastAsia="Calibri"/>
                <w:b/>
                <w:bCs/>
                <w:noProof/>
              </w:rPr>
              <w:t>3.1.26</w:t>
            </w:r>
            <w:r>
              <w:rPr>
                <w:rFonts w:eastAsiaTheme="minorEastAsia"/>
                <w:noProof/>
                <w:sz w:val="22"/>
                <w:szCs w:val="22"/>
                <w:lang w:eastAsia="pt-BR"/>
              </w:rPr>
              <w:tab/>
            </w:r>
            <w:r w:rsidRPr="006879E3">
              <w:rPr>
                <w:rStyle w:val="Hyperlink"/>
                <w:rFonts w:eastAsia="Calibri"/>
                <w:noProof/>
              </w:rPr>
              <w:t>DEMDAD.XML (ou DemonstrativoDespesaAdministrativaRPPS.xml)</w:t>
            </w:r>
            <w:r>
              <w:rPr>
                <w:noProof/>
                <w:webHidden/>
              </w:rPr>
              <w:tab/>
            </w:r>
            <w:r>
              <w:rPr>
                <w:noProof/>
                <w:webHidden/>
              </w:rPr>
              <w:fldChar w:fldCharType="begin"/>
            </w:r>
            <w:r>
              <w:rPr>
                <w:noProof/>
                <w:webHidden/>
              </w:rPr>
              <w:instrText xml:space="preserve"> PAGEREF _Toc94806333 \h </w:instrText>
            </w:r>
            <w:r>
              <w:rPr>
                <w:noProof/>
                <w:webHidden/>
              </w:rPr>
            </w:r>
            <w:r>
              <w:rPr>
                <w:noProof/>
                <w:webHidden/>
              </w:rPr>
              <w:fldChar w:fldCharType="separate"/>
            </w:r>
            <w:r>
              <w:rPr>
                <w:noProof/>
                <w:webHidden/>
              </w:rPr>
              <w:t>193</w:t>
            </w:r>
            <w:r>
              <w:rPr>
                <w:noProof/>
                <w:webHidden/>
              </w:rPr>
              <w:fldChar w:fldCharType="end"/>
            </w:r>
          </w:hyperlink>
        </w:p>
        <w:p w14:paraId="49C7958C" w14:textId="16B4E1C0" w:rsidR="009C5325" w:rsidRDefault="009C5325">
          <w:pPr>
            <w:pStyle w:val="Sumrio3"/>
            <w:tabs>
              <w:tab w:val="left" w:pos="1320"/>
              <w:tab w:val="right" w:leader="dot" w:pos="9062"/>
            </w:tabs>
            <w:rPr>
              <w:rFonts w:eastAsiaTheme="minorEastAsia"/>
              <w:noProof/>
              <w:sz w:val="22"/>
              <w:szCs w:val="22"/>
              <w:lang w:eastAsia="pt-BR"/>
            </w:rPr>
          </w:pPr>
          <w:hyperlink w:anchor="_Toc94806334" w:history="1">
            <w:r w:rsidRPr="006879E3">
              <w:rPr>
                <w:rStyle w:val="Hyperlink"/>
                <w:rFonts w:eastAsia="Calibri"/>
                <w:b/>
                <w:bCs/>
                <w:noProof/>
              </w:rPr>
              <w:t>3.1.27</w:t>
            </w:r>
            <w:r>
              <w:rPr>
                <w:rFonts w:eastAsiaTheme="minorEastAsia"/>
                <w:noProof/>
                <w:sz w:val="22"/>
                <w:szCs w:val="22"/>
                <w:lang w:eastAsia="pt-BR"/>
              </w:rPr>
              <w:tab/>
            </w:r>
            <w:r w:rsidRPr="006879E3">
              <w:rPr>
                <w:rStyle w:val="Hyperlink"/>
                <w:rFonts w:eastAsia="Calibri"/>
                <w:noProof/>
              </w:rPr>
              <w:t>APROPAT.XML (ou ParticipacaoPatrimonioLiquido.xml)</w:t>
            </w:r>
            <w:r>
              <w:rPr>
                <w:noProof/>
                <w:webHidden/>
              </w:rPr>
              <w:tab/>
            </w:r>
            <w:r>
              <w:rPr>
                <w:noProof/>
                <w:webHidden/>
              </w:rPr>
              <w:fldChar w:fldCharType="begin"/>
            </w:r>
            <w:r>
              <w:rPr>
                <w:noProof/>
                <w:webHidden/>
              </w:rPr>
              <w:instrText xml:space="preserve"> PAGEREF _Toc94806334 \h </w:instrText>
            </w:r>
            <w:r>
              <w:rPr>
                <w:noProof/>
                <w:webHidden/>
              </w:rPr>
            </w:r>
            <w:r>
              <w:rPr>
                <w:noProof/>
                <w:webHidden/>
              </w:rPr>
              <w:fldChar w:fldCharType="separate"/>
            </w:r>
            <w:r>
              <w:rPr>
                <w:noProof/>
                <w:webHidden/>
              </w:rPr>
              <w:t>195</w:t>
            </w:r>
            <w:r>
              <w:rPr>
                <w:noProof/>
                <w:webHidden/>
              </w:rPr>
              <w:fldChar w:fldCharType="end"/>
            </w:r>
          </w:hyperlink>
        </w:p>
        <w:p w14:paraId="08C0F33B" w14:textId="4F30430B" w:rsidR="009C5325" w:rsidRDefault="009C5325">
          <w:pPr>
            <w:pStyle w:val="Sumrio3"/>
            <w:tabs>
              <w:tab w:val="left" w:pos="1320"/>
              <w:tab w:val="right" w:leader="dot" w:pos="9062"/>
            </w:tabs>
            <w:rPr>
              <w:rFonts w:eastAsiaTheme="minorEastAsia"/>
              <w:noProof/>
              <w:sz w:val="22"/>
              <w:szCs w:val="22"/>
              <w:lang w:eastAsia="pt-BR"/>
            </w:rPr>
          </w:pPr>
          <w:hyperlink w:anchor="_Toc94806335" w:history="1">
            <w:r w:rsidRPr="006879E3">
              <w:rPr>
                <w:rStyle w:val="Hyperlink"/>
                <w:rFonts w:eastAsia="Calibri"/>
                <w:b/>
                <w:bCs/>
                <w:noProof/>
              </w:rPr>
              <w:t>3.1.28</w:t>
            </w:r>
            <w:r>
              <w:rPr>
                <w:rFonts w:eastAsiaTheme="minorEastAsia"/>
                <w:noProof/>
                <w:sz w:val="22"/>
                <w:szCs w:val="22"/>
                <w:lang w:eastAsia="pt-BR"/>
              </w:rPr>
              <w:tab/>
            </w:r>
            <w:r w:rsidRPr="006879E3">
              <w:rPr>
                <w:rStyle w:val="Hyperlink"/>
                <w:rFonts w:eastAsia="Calibri"/>
                <w:bCs/>
                <w:noProof/>
              </w:rPr>
              <w:t>NOTAEXP.XML (ou NotaExplicativa.xml)</w:t>
            </w:r>
            <w:r>
              <w:rPr>
                <w:noProof/>
                <w:webHidden/>
              </w:rPr>
              <w:tab/>
            </w:r>
            <w:r>
              <w:rPr>
                <w:noProof/>
                <w:webHidden/>
              </w:rPr>
              <w:fldChar w:fldCharType="begin"/>
            </w:r>
            <w:r>
              <w:rPr>
                <w:noProof/>
                <w:webHidden/>
              </w:rPr>
              <w:instrText xml:space="preserve"> PAGEREF _Toc94806335 \h </w:instrText>
            </w:r>
            <w:r>
              <w:rPr>
                <w:noProof/>
                <w:webHidden/>
              </w:rPr>
            </w:r>
            <w:r>
              <w:rPr>
                <w:noProof/>
                <w:webHidden/>
              </w:rPr>
              <w:fldChar w:fldCharType="separate"/>
            </w:r>
            <w:r>
              <w:rPr>
                <w:noProof/>
                <w:webHidden/>
              </w:rPr>
              <w:t>197</w:t>
            </w:r>
            <w:r>
              <w:rPr>
                <w:noProof/>
                <w:webHidden/>
              </w:rPr>
              <w:fldChar w:fldCharType="end"/>
            </w:r>
          </w:hyperlink>
        </w:p>
        <w:p w14:paraId="6D3FC9F7" w14:textId="48AAFA07" w:rsidR="009C5325" w:rsidRDefault="009C5325">
          <w:pPr>
            <w:pStyle w:val="Sumrio3"/>
            <w:tabs>
              <w:tab w:val="left" w:pos="1320"/>
              <w:tab w:val="right" w:leader="dot" w:pos="9062"/>
            </w:tabs>
            <w:rPr>
              <w:rFonts w:eastAsiaTheme="minorEastAsia"/>
              <w:noProof/>
              <w:sz w:val="22"/>
              <w:szCs w:val="22"/>
              <w:lang w:eastAsia="pt-BR"/>
            </w:rPr>
          </w:pPr>
          <w:hyperlink w:anchor="_Toc94806336" w:history="1">
            <w:r w:rsidRPr="006879E3">
              <w:rPr>
                <w:rStyle w:val="Hyperlink"/>
                <w:b/>
                <w:bCs/>
                <w:noProof/>
              </w:rPr>
              <w:t>3.1.29</w:t>
            </w:r>
            <w:r>
              <w:rPr>
                <w:rFonts w:eastAsiaTheme="minorEastAsia"/>
                <w:noProof/>
                <w:sz w:val="22"/>
                <w:szCs w:val="22"/>
                <w:lang w:eastAsia="pt-BR"/>
              </w:rPr>
              <w:tab/>
            </w:r>
            <w:r w:rsidRPr="006879E3">
              <w:rPr>
                <w:rStyle w:val="Hyperlink"/>
                <w:noProof/>
              </w:rPr>
              <w:t>ESTPREC.XML (ou EstoquePrecatorios.xml)</w:t>
            </w:r>
            <w:r>
              <w:rPr>
                <w:noProof/>
                <w:webHidden/>
              </w:rPr>
              <w:tab/>
            </w:r>
            <w:r>
              <w:rPr>
                <w:noProof/>
                <w:webHidden/>
              </w:rPr>
              <w:fldChar w:fldCharType="begin"/>
            </w:r>
            <w:r>
              <w:rPr>
                <w:noProof/>
                <w:webHidden/>
              </w:rPr>
              <w:instrText xml:space="preserve"> PAGEREF _Toc94806336 \h </w:instrText>
            </w:r>
            <w:r>
              <w:rPr>
                <w:noProof/>
                <w:webHidden/>
              </w:rPr>
            </w:r>
            <w:r>
              <w:rPr>
                <w:noProof/>
                <w:webHidden/>
              </w:rPr>
              <w:fldChar w:fldCharType="separate"/>
            </w:r>
            <w:r>
              <w:rPr>
                <w:noProof/>
                <w:webHidden/>
              </w:rPr>
              <w:t>198</w:t>
            </w:r>
            <w:r>
              <w:rPr>
                <w:noProof/>
                <w:webHidden/>
              </w:rPr>
              <w:fldChar w:fldCharType="end"/>
            </w:r>
          </w:hyperlink>
        </w:p>
        <w:p w14:paraId="4333F706" w14:textId="4A0451A9" w:rsidR="009C5325" w:rsidRDefault="009C5325">
          <w:pPr>
            <w:pStyle w:val="Sumrio3"/>
            <w:tabs>
              <w:tab w:val="left" w:pos="1320"/>
              <w:tab w:val="right" w:leader="dot" w:pos="9062"/>
            </w:tabs>
            <w:rPr>
              <w:rFonts w:eastAsiaTheme="minorEastAsia"/>
              <w:noProof/>
              <w:sz w:val="22"/>
              <w:szCs w:val="22"/>
              <w:lang w:eastAsia="pt-BR"/>
            </w:rPr>
          </w:pPr>
          <w:hyperlink w:anchor="_Toc94806337" w:history="1">
            <w:r w:rsidRPr="006879E3">
              <w:rPr>
                <w:rStyle w:val="Hyperlink"/>
                <w:b/>
                <w:bCs/>
                <w:noProof/>
              </w:rPr>
              <w:t>3.1.30</w:t>
            </w:r>
            <w:r>
              <w:rPr>
                <w:rFonts w:eastAsiaTheme="minorEastAsia"/>
                <w:noProof/>
                <w:sz w:val="22"/>
                <w:szCs w:val="22"/>
                <w:lang w:eastAsia="pt-BR"/>
              </w:rPr>
              <w:tab/>
            </w:r>
            <w:r w:rsidRPr="006879E3">
              <w:rPr>
                <w:rStyle w:val="Hyperlink"/>
                <w:noProof/>
              </w:rPr>
              <w:t>RELPCP.XML (ou RelatorioPrecatoriosPagos.XML)</w:t>
            </w:r>
            <w:r>
              <w:rPr>
                <w:noProof/>
                <w:webHidden/>
              </w:rPr>
              <w:tab/>
            </w:r>
            <w:r>
              <w:rPr>
                <w:noProof/>
                <w:webHidden/>
              </w:rPr>
              <w:fldChar w:fldCharType="begin"/>
            </w:r>
            <w:r>
              <w:rPr>
                <w:noProof/>
                <w:webHidden/>
              </w:rPr>
              <w:instrText xml:space="preserve"> PAGEREF _Toc94806337 \h </w:instrText>
            </w:r>
            <w:r>
              <w:rPr>
                <w:noProof/>
                <w:webHidden/>
              </w:rPr>
            </w:r>
            <w:r>
              <w:rPr>
                <w:noProof/>
                <w:webHidden/>
              </w:rPr>
              <w:fldChar w:fldCharType="separate"/>
            </w:r>
            <w:r>
              <w:rPr>
                <w:noProof/>
                <w:webHidden/>
              </w:rPr>
              <w:t>199</w:t>
            </w:r>
            <w:r>
              <w:rPr>
                <w:noProof/>
                <w:webHidden/>
              </w:rPr>
              <w:fldChar w:fldCharType="end"/>
            </w:r>
          </w:hyperlink>
        </w:p>
        <w:p w14:paraId="3B988968" w14:textId="00434D3D" w:rsidR="009C5325" w:rsidRDefault="009C5325">
          <w:pPr>
            <w:pStyle w:val="Sumrio3"/>
            <w:tabs>
              <w:tab w:val="left" w:pos="1320"/>
              <w:tab w:val="right" w:leader="dot" w:pos="9062"/>
            </w:tabs>
            <w:rPr>
              <w:rFonts w:eastAsiaTheme="minorEastAsia"/>
              <w:noProof/>
              <w:sz w:val="22"/>
              <w:szCs w:val="22"/>
              <w:lang w:eastAsia="pt-BR"/>
            </w:rPr>
          </w:pPr>
          <w:hyperlink w:anchor="_Toc94806338" w:history="1">
            <w:r w:rsidRPr="006879E3">
              <w:rPr>
                <w:rStyle w:val="Hyperlink"/>
                <w:b/>
                <w:bCs/>
                <w:noProof/>
              </w:rPr>
              <w:t>3.1.31</w:t>
            </w:r>
            <w:r>
              <w:rPr>
                <w:rFonts w:eastAsiaTheme="minorEastAsia"/>
                <w:noProof/>
                <w:sz w:val="22"/>
                <w:szCs w:val="22"/>
                <w:lang w:eastAsia="pt-BR"/>
              </w:rPr>
              <w:tab/>
            </w:r>
            <w:r w:rsidRPr="006879E3">
              <w:rPr>
                <w:rStyle w:val="Hyperlink"/>
                <w:b/>
                <w:bCs/>
                <w:noProof/>
              </w:rPr>
              <w:t>INFOCI.XML ((ou InformacoesControleInterno.xml)</w:t>
            </w:r>
            <w:r>
              <w:rPr>
                <w:noProof/>
                <w:webHidden/>
              </w:rPr>
              <w:tab/>
            </w:r>
            <w:r>
              <w:rPr>
                <w:noProof/>
                <w:webHidden/>
              </w:rPr>
              <w:fldChar w:fldCharType="begin"/>
            </w:r>
            <w:r>
              <w:rPr>
                <w:noProof/>
                <w:webHidden/>
              </w:rPr>
              <w:instrText xml:space="preserve"> PAGEREF _Toc94806338 \h </w:instrText>
            </w:r>
            <w:r>
              <w:rPr>
                <w:noProof/>
                <w:webHidden/>
              </w:rPr>
            </w:r>
            <w:r>
              <w:rPr>
                <w:noProof/>
                <w:webHidden/>
              </w:rPr>
              <w:fldChar w:fldCharType="separate"/>
            </w:r>
            <w:r>
              <w:rPr>
                <w:noProof/>
                <w:webHidden/>
              </w:rPr>
              <w:t>201</w:t>
            </w:r>
            <w:r>
              <w:rPr>
                <w:noProof/>
                <w:webHidden/>
              </w:rPr>
              <w:fldChar w:fldCharType="end"/>
            </w:r>
          </w:hyperlink>
        </w:p>
        <w:p w14:paraId="65DC27A8" w14:textId="1C5C9695" w:rsidR="009C5325" w:rsidRDefault="009C5325">
          <w:pPr>
            <w:pStyle w:val="Sumrio2"/>
            <w:tabs>
              <w:tab w:val="left" w:pos="880"/>
              <w:tab w:val="right" w:leader="dot" w:pos="9062"/>
            </w:tabs>
            <w:rPr>
              <w:rFonts w:eastAsiaTheme="minorEastAsia"/>
              <w:b w:val="0"/>
              <w:bCs w:val="0"/>
              <w:noProof/>
              <w:lang w:eastAsia="pt-BR"/>
            </w:rPr>
          </w:pPr>
          <w:hyperlink w:anchor="_Toc94806339" w:history="1">
            <w:r w:rsidRPr="006879E3">
              <w:rPr>
                <w:rStyle w:val="Hyperlink"/>
                <w:noProof/>
              </w:rPr>
              <w:t>3.2</w:t>
            </w:r>
            <w:r>
              <w:rPr>
                <w:rFonts w:eastAsiaTheme="minorEastAsia"/>
                <w:b w:val="0"/>
                <w:bCs w:val="0"/>
                <w:noProof/>
                <w:lang w:eastAsia="pt-BR"/>
              </w:rPr>
              <w:tab/>
            </w:r>
            <w:r w:rsidRPr="006879E3">
              <w:rPr>
                <w:rStyle w:val="Hyperlink"/>
                <w:noProof/>
              </w:rPr>
              <w:t>Modelo de Arquivos Não Estruturados</w:t>
            </w:r>
            <w:r>
              <w:rPr>
                <w:noProof/>
                <w:webHidden/>
              </w:rPr>
              <w:tab/>
            </w:r>
            <w:r>
              <w:rPr>
                <w:noProof/>
                <w:webHidden/>
              </w:rPr>
              <w:fldChar w:fldCharType="begin"/>
            </w:r>
            <w:r>
              <w:rPr>
                <w:noProof/>
                <w:webHidden/>
              </w:rPr>
              <w:instrText xml:space="preserve"> PAGEREF _Toc94806339 \h </w:instrText>
            </w:r>
            <w:r>
              <w:rPr>
                <w:noProof/>
                <w:webHidden/>
              </w:rPr>
            </w:r>
            <w:r>
              <w:rPr>
                <w:noProof/>
                <w:webHidden/>
              </w:rPr>
              <w:fldChar w:fldCharType="separate"/>
            </w:r>
            <w:r>
              <w:rPr>
                <w:noProof/>
                <w:webHidden/>
              </w:rPr>
              <w:t>208</w:t>
            </w:r>
            <w:r>
              <w:rPr>
                <w:noProof/>
                <w:webHidden/>
              </w:rPr>
              <w:fldChar w:fldCharType="end"/>
            </w:r>
          </w:hyperlink>
        </w:p>
        <w:p w14:paraId="49EA3FCF" w14:textId="07019AD9" w:rsidR="009C5325" w:rsidRDefault="009C5325">
          <w:pPr>
            <w:pStyle w:val="Sumrio3"/>
            <w:tabs>
              <w:tab w:val="left" w:pos="1100"/>
              <w:tab w:val="right" w:leader="dot" w:pos="9062"/>
            </w:tabs>
            <w:rPr>
              <w:rFonts w:eastAsiaTheme="minorEastAsia"/>
              <w:noProof/>
              <w:sz w:val="22"/>
              <w:szCs w:val="22"/>
              <w:lang w:eastAsia="pt-BR"/>
            </w:rPr>
          </w:pPr>
          <w:hyperlink w:anchor="_Toc94806340" w:history="1">
            <w:r w:rsidRPr="006879E3">
              <w:rPr>
                <w:rStyle w:val="Hyperlink"/>
                <w:b/>
                <w:bCs/>
                <w:noProof/>
              </w:rPr>
              <w:t>3.2.1</w:t>
            </w:r>
            <w:r>
              <w:rPr>
                <w:rFonts w:eastAsiaTheme="minorEastAsia"/>
                <w:noProof/>
                <w:sz w:val="22"/>
                <w:szCs w:val="22"/>
                <w:lang w:eastAsia="pt-BR"/>
              </w:rPr>
              <w:tab/>
            </w:r>
            <w:r w:rsidRPr="006879E3">
              <w:rPr>
                <w:rStyle w:val="Hyperlink"/>
                <w:noProof/>
              </w:rPr>
              <w:t>RELOCI</w:t>
            </w:r>
            <w:r>
              <w:rPr>
                <w:noProof/>
                <w:webHidden/>
              </w:rPr>
              <w:tab/>
            </w:r>
            <w:r>
              <w:rPr>
                <w:noProof/>
                <w:webHidden/>
              </w:rPr>
              <w:fldChar w:fldCharType="begin"/>
            </w:r>
            <w:r>
              <w:rPr>
                <w:noProof/>
                <w:webHidden/>
              </w:rPr>
              <w:instrText xml:space="preserve"> PAGEREF _Toc94806340 \h </w:instrText>
            </w:r>
            <w:r>
              <w:rPr>
                <w:noProof/>
                <w:webHidden/>
              </w:rPr>
            </w:r>
            <w:r>
              <w:rPr>
                <w:noProof/>
                <w:webHidden/>
              </w:rPr>
              <w:fldChar w:fldCharType="separate"/>
            </w:r>
            <w:r>
              <w:rPr>
                <w:noProof/>
                <w:webHidden/>
              </w:rPr>
              <w:t>208</w:t>
            </w:r>
            <w:r>
              <w:rPr>
                <w:noProof/>
                <w:webHidden/>
              </w:rPr>
              <w:fldChar w:fldCharType="end"/>
            </w:r>
          </w:hyperlink>
        </w:p>
        <w:p w14:paraId="3A9EB1A1" w14:textId="2AC36CEF" w:rsidR="009C5325" w:rsidRDefault="009C5325">
          <w:pPr>
            <w:pStyle w:val="Sumrio3"/>
            <w:tabs>
              <w:tab w:val="left" w:pos="1100"/>
              <w:tab w:val="right" w:leader="dot" w:pos="9062"/>
            </w:tabs>
            <w:rPr>
              <w:rFonts w:eastAsiaTheme="minorEastAsia"/>
              <w:noProof/>
              <w:sz w:val="22"/>
              <w:szCs w:val="22"/>
              <w:lang w:eastAsia="pt-BR"/>
            </w:rPr>
          </w:pPr>
          <w:hyperlink w:anchor="_Toc94806341" w:history="1">
            <w:r w:rsidRPr="006879E3">
              <w:rPr>
                <w:rStyle w:val="Hyperlink"/>
                <w:b/>
                <w:bCs/>
                <w:noProof/>
              </w:rPr>
              <w:t>3.2.2</w:t>
            </w:r>
            <w:r>
              <w:rPr>
                <w:rFonts w:eastAsiaTheme="minorEastAsia"/>
                <w:noProof/>
                <w:sz w:val="22"/>
                <w:szCs w:val="22"/>
                <w:lang w:eastAsia="pt-BR"/>
              </w:rPr>
              <w:tab/>
            </w:r>
            <w:r w:rsidRPr="006879E3">
              <w:rPr>
                <w:rStyle w:val="Hyperlink"/>
                <w:noProof/>
              </w:rPr>
              <w:t>RELUCI</w:t>
            </w:r>
            <w:r>
              <w:rPr>
                <w:noProof/>
                <w:webHidden/>
              </w:rPr>
              <w:tab/>
            </w:r>
            <w:r>
              <w:rPr>
                <w:noProof/>
                <w:webHidden/>
              </w:rPr>
              <w:fldChar w:fldCharType="begin"/>
            </w:r>
            <w:r>
              <w:rPr>
                <w:noProof/>
                <w:webHidden/>
              </w:rPr>
              <w:instrText xml:space="preserve"> PAGEREF _Toc94806341 \h </w:instrText>
            </w:r>
            <w:r>
              <w:rPr>
                <w:noProof/>
                <w:webHidden/>
              </w:rPr>
            </w:r>
            <w:r>
              <w:rPr>
                <w:noProof/>
                <w:webHidden/>
              </w:rPr>
              <w:fldChar w:fldCharType="separate"/>
            </w:r>
            <w:r>
              <w:rPr>
                <w:noProof/>
                <w:webHidden/>
              </w:rPr>
              <w:t>211</w:t>
            </w:r>
            <w:r>
              <w:rPr>
                <w:noProof/>
                <w:webHidden/>
              </w:rPr>
              <w:fldChar w:fldCharType="end"/>
            </w:r>
          </w:hyperlink>
        </w:p>
        <w:p w14:paraId="751147A0" w14:textId="33588ADB" w:rsidR="009C5325" w:rsidRDefault="009C5325">
          <w:pPr>
            <w:pStyle w:val="Sumrio3"/>
            <w:tabs>
              <w:tab w:val="left" w:pos="1100"/>
              <w:tab w:val="right" w:leader="dot" w:pos="9062"/>
            </w:tabs>
            <w:rPr>
              <w:rFonts w:eastAsiaTheme="minorEastAsia"/>
              <w:noProof/>
              <w:sz w:val="22"/>
              <w:szCs w:val="22"/>
              <w:lang w:eastAsia="pt-BR"/>
            </w:rPr>
          </w:pPr>
          <w:hyperlink w:anchor="_Toc94806342" w:history="1">
            <w:r w:rsidRPr="006879E3">
              <w:rPr>
                <w:rStyle w:val="Hyperlink"/>
                <w:b/>
                <w:bCs/>
                <w:noProof/>
              </w:rPr>
              <w:t>3.2.3</w:t>
            </w:r>
            <w:r>
              <w:rPr>
                <w:rFonts w:eastAsiaTheme="minorEastAsia"/>
                <w:noProof/>
                <w:sz w:val="22"/>
                <w:szCs w:val="22"/>
                <w:lang w:eastAsia="pt-BR"/>
              </w:rPr>
              <w:tab/>
            </w:r>
            <w:r w:rsidRPr="006879E3">
              <w:rPr>
                <w:rStyle w:val="Hyperlink"/>
                <w:noProof/>
              </w:rPr>
              <w:t>RELUCI - Poderes</w:t>
            </w:r>
            <w:r>
              <w:rPr>
                <w:noProof/>
                <w:webHidden/>
              </w:rPr>
              <w:tab/>
            </w:r>
            <w:r>
              <w:rPr>
                <w:noProof/>
                <w:webHidden/>
              </w:rPr>
              <w:fldChar w:fldCharType="begin"/>
            </w:r>
            <w:r>
              <w:rPr>
                <w:noProof/>
                <w:webHidden/>
              </w:rPr>
              <w:instrText xml:space="preserve"> PAGEREF _Toc94806342 \h </w:instrText>
            </w:r>
            <w:r>
              <w:rPr>
                <w:noProof/>
                <w:webHidden/>
              </w:rPr>
            </w:r>
            <w:r>
              <w:rPr>
                <w:noProof/>
                <w:webHidden/>
              </w:rPr>
              <w:fldChar w:fldCharType="separate"/>
            </w:r>
            <w:r>
              <w:rPr>
                <w:noProof/>
                <w:webHidden/>
              </w:rPr>
              <w:t>213</w:t>
            </w:r>
            <w:r>
              <w:rPr>
                <w:noProof/>
                <w:webHidden/>
              </w:rPr>
              <w:fldChar w:fldCharType="end"/>
            </w:r>
          </w:hyperlink>
        </w:p>
        <w:p w14:paraId="32F5B2AC" w14:textId="24FD5556" w:rsidR="009C5325" w:rsidRDefault="009C5325">
          <w:pPr>
            <w:pStyle w:val="Sumrio3"/>
            <w:tabs>
              <w:tab w:val="left" w:pos="1100"/>
              <w:tab w:val="right" w:leader="dot" w:pos="9062"/>
            </w:tabs>
            <w:rPr>
              <w:rFonts w:eastAsiaTheme="minorEastAsia"/>
              <w:noProof/>
              <w:sz w:val="22"/>
              <w:szCs w:val="22"/>
              <w:lang w:eastAsia="pt-BR"/>
            </w:rPr>
          </w:pPr>
          <w:hyperlink w:anchor="_Toc94806343" w:history="1">
            <w:r w:rsidRPr="006879E3">
              <w:rPr>
                <w:rStyle w:val="Hyperlink"/>
                <w:b/>
                <w:bCs/>
                <w:noProof/>
              </w:rPr>
              <w:t>3.2.4</w:t>
            </w:r>
            <w:r>
              <w:rPr>
                <w:rFonts w:eastAsiaTheme="minorEastAsia"/>
                <w:noProof/>
                <w:sz w:val="22"/>
                <w:szCs w:val="22"/>
                <w:lang w:eastAsia="pt-BR"/>
              </w:rPr>
              <w:tab/>
            </w:r>
            <w:r w:rsidRPr="006879E3">
              <w:rPr>
                <w:rStyle w:val="Hyperlink"/>
                <w:noProof/>
              </w:rPr>
              <w:t>DEMCADC</w:t>
            </w:r>
            <w:r>
              <w:rPr>
                <w:noProof/>
                <w:webHidden/>
              </w:rPr>
              <w:tab/>
            </w:r>
            <w:r>
              <w:rPr>
                <w:noProof/>
                <w:webHidden/>
              </w:rPr>
              <w:fldChar w:fldCharType="begin"/>
            </w:r>
            <w:r>
              <w:rPr>
                <w:noProof/>
                <w:webHidden/>
              </w:rPr>
              <w:instrText xml:space="preserve"> PAGEREF _Toc94806343 \h </w:instrText>
            </w:r>
            <w:r>
              <w:rPr>
                <w:noProof/>
                <w:webHidden/>
              </w:rPr>
            </w:r>
            <w:r>
              <w:rPr>
                <w:noProof/>
                <w:webHidden/>
              </w:rPr>
              <w:fldChar w:fldCharType="separate"/>
            </w:r>
            <w:r>
              <w:rPr>
                <w:noProof/>
                <w:webHidden/>
              </w:rPr>
              <w:t>235</w:t>
            </w:r>
            <w:r>
              <w:rPr>
                <w:noProof/>
                <w:webHidden/>
              </w:rPr>
              <w:fldChar w:fldCharType="end"/>
            </w:r>
          </w:hyperlink>
        </w:p>
        <w:p w14:paraId="16D4398B" w14:textId="1901BEAB" w:rsidR="009C5325" w:rsidRDefault="009C5325">
          <w:pPr>
            <w:pStyle w:val="Sumrio3"/>
            <w:tabs>
              <w:tab w:val="left" w:pos="1100"/>
              <w:tab w:val="right" w:leader="dot" w:pos="9062"/>
            </w:tabs>
            <w:rPr>
              <w:rFonts w:eastAsiaTheme="minorEastAsia"/>
              <w:noProof/>
              <w:sz w:val="22"/>
              <w:szCs w:val="22"/>
              <w:lang w:eastAsia="pt-BR"/>
            </w:rPr>
          </w:pPr>
          <w:hyperlink w:anchor="_Toc94806344" w:history="1">
            <w:r w:rsidRPr="006879E3">
              <w:rPr>
                <w:rStyle w:val="Hyperlink"/>
                <w:b/>
                <w:bCs/>
                <w:noProof/>
              </w:rPr>
              <w:t>3.2.5</w:t>
            </w:r>
            <w:r>
              <w:rPr>
                <w:rFonts w:eastAsiaTheme="minorEastAsia"/>
                <w:noProof/>
                <w:sz w:val="22"/>
                <w:szCs w:val="22"/>
                <w:lang w:eastAsia="pt-BR"/>
              </w:rPr>
              <w:tab/>
            </w:r>
            <w:r w:rsidRPr="006879E3">
              <w:rPr>
                <w:rStyle w:val="Hyperlink"/>
                <w:noProof/>
              </w:rPr>
              <w:t>DEMRE</w:t>
            </w:r>
            <w:r>
              <w:rPr>
                <w:noProof/>
                <w:webHidden/>
              </w:rPr>
              <w:tab/>
            </w:r>
            <w:r>
              <w:rPr>
                <w:noProof/>
                <w:webHidden/>
              </w:rPr>
              <w:fldChar w:fldCharType="begin"/>
            </w:r>
            <w:r>
              <w:rPr>
                <w:noProof/>
                <w:webHidden/>
              </w:rPr>
              <w:instrText xml:space="preserve"> PAGEREF _Toc94806344 \h </w:instrText>
            </w:r>
            <w:r>
              <w:rPr>
                <w:noProof/>
                <w:webHidden/>
              </w:rPr>
            </w:r>
            <w:r>
              <w:rPr>
                <w:noProof/>
                <w:webHidden/>
              </w:rPr>
              <w:fldChar w:fldCharType="separate"/>
            </w:r>
            <w:r>
              <w:rPr>
                <w:noProof/>
                <w:webHidden/>
              </w:rPr>
              <w:t>236</w:t>
            </w:r>
            <w:r>
              <w:rPr>
                <w:noProof/>
                <w:webHidden/>
              </w:rPr>
              <w:fldChar w:fldCharType="end"/>
            </w:r>
          </w:hyperlink>
        </w:p>
        <w:p w14:paraId="66B040CB" w14:textId="002DA34A" w:rsidR="009C5325" w:rsidRDefault="009C5325">
          <w:pPr>
            <w:pStyle w:val="Sumrio3"/>
            <w:tabs>
              <w:tab w:val="left" w:pos="1100"/>
              <w:tab w:val="right" w:leader="dot" w:pos="9062"/>
            </w:tabs>
            <w:rPr>
              <w:rFonts w:eastAsiaTheme="minorEastAsia"/>
              <w:noProof/>
              <w:sz w:val="22"/>
              <w:szCs w:val="22"/>
              <w:lang w:eastAsia="pt-BR"/>
            </w:rPr>
          </w:pPr>
          <w:hyperlink w:anchor="_Toc94806345" w:history="1">
            <w:r w:rsidRPr="006879E3">
              <w:rPr>
                <w:rStyle w:val="Hyperlink"/>
                <w:b/>
                <w:bCs/>
                <w:noProof/>
              </w:rPr>
              <w:t>3.2.6</w:t>
            </w:r>
            <w:r>
              <w:rPr>
                <w:rFonts w:eastAsiaTheme="minorEastAsia"/>
                <w:noProof/>
                <w:sz w:val="22"/>
                <w:szCs w:val="22"/>
                <w:lang w:eastAsia="pt-BR"/>
              </w:rPr>
              <w:tab/>
            </w:r>
            <w:r w:rsidRPr="006879E3">
              <w:rPr>
                <w:rStyle w:val="Hyperlink"/>
                <w:noProof/>
              </w:rPr>
              <w:t>DEIMU</w:t>
            </w:r>
            <w:r>
              <w:rPr>
                <w:noProof/>
                <w:webHidden/>
              </w:rPr>
              <w:tab/>
            </w:r>
            <w:r>
              <w:rPr>
                <w:noProof/>
                <w:webHidden/>
              </w:rPr>
              <w:fldChar w:fldCharType="begin"/>
            </w:r>
            <w:r>
              <w:rPr>
                <w:noProof/>
                <w:webHidden/>
              </w:rPr>
              <w:instrText xml:space="preserve"> PAGEREF _Toc94806345 \h </w:instrText>
            </w:r>
            <w:r>
              <w:rPr>
                <w:noProof/>
                <w:webHidden/>
              </w:rPr>
            </w:r>
            <w:r>
              <w:rPr>
                <w:noProof/>
                <w:webHidden/>
              </w:rPr>
              <w:fldChar w:fldCharType="separate"/>
            </w:r>
            <w:r>
              <w:rPr>
                <w:noProof/>
                <w:webHidden/>
              </w:rPr>
              <w:t>237</w:t>
            </w:r>
            <w:r>
              <w:rPr>
                <w:noProof/>
                <w:webHidden/>
              </w:rPr>
              <w:fldChar w:fldCharType="end"/>
            </w:r>
          </w:hyperlink>
        </w:p>
        <w:p w14:paraId="12B28789" w14:textId="450EF28C" w:rsidR="009C5325" w:rsidRDefault="009C5325">
          <w:pPr>
            <w:pStyle w:val="Sumrio3"/>
            <w:tabs>
              <w:tab w:val="left" w:pos="1100"/>
              <w:tab w:val="right" w:leader="dot" w:pos="9062"/>
            </w:tabs>
            <w:rPr>
              <w:rFonts w:eastAsiaTheme="minorEastAsia"/>
              <w:noProof/>
              <w:sz w:val="22"/>
              <w:szCs w:val="22"/>
              <w:lang w:eastAsia="pt-BR"/>
            </w:rPr>
          </w:pPr>
          <w:hyperlink w:anchor="_Toc94806346" w:history="1">
            <w:r w:rsidRPr="006879E3">
              <w:rPr>
                <w:rStyle w:val="Hyperlink"/>
                <w:b/>
                <w:bCs/>
                <w:noProof/>
              </w:rPr>
              <w:t>3.2.7</w:t>
            </w:r>
            <w:r>
              <w:rPr>
                <w:rFonts w:eastAsiaTheme="minorEastAsia"/>
                <w:noProof/>
                <w:sz w:val="22"/>
                <w:szCs w:val="22"/>
                <w:lang w:eastAsia="pt-BR"/>
              </w:rPr>
              <w:tab/>
            </w:r>
            <w:r w:rsidRPr="006879E3">
              <w:rPr>
                <w:rStyle w:val="Hyperlink"/>
                <w:noProof/>
              </w:rPr>
              <w:t>DELREPI</w:t>
            </w:r>
            <w:r>
              <w:rPr>
                <w:noProof/>
                <w:webHidden/>
              </w:rPr>
              <w:tab/>
            </w:r>
            <w:r>
              <w:rPr>
                <w:noProof/>
                <w:webHidden/>
              </w:rPr>
              <w:fldChar w:fldCharType="begin"/>
            </w:r>
            <w:r>
              <w:rPr>
                <w:noProof/>
                <w:webHidden/>
              </w:rPr>
              <w:instrText xml:space="preserve"> PAGEREF _Toc94806346 \h </w:instrText>
            </w:r>
            <w:r>
              <w:rPr>
                <w:noProof/>
                <w:webHidden/>
              </w:rPr>
            </w:r>
            <w:r>
              <w:rPr>
                <w:noProof/>
                <w:webHidden/>
              </w:rPr>
              <w:fldChar w:fldCharType="separate"/>
            </w:r>
            <w:r>
              <w:rPr>
                <w:noProof/>
                <w:webHidden/>
              </w:rPr>
              <w:t>239</w:t>
            </w:r>
            <w:r>
              <w:rPr>
                <w:noProof/>
                <w:webHidden/>
              </w:rPr>
              <w:fldChar w:fldCharType="end"/>
            </w:r>
          </w:hyperlink>
        </w:p>
        <w:p w14:paraId="660659CD" w14:textId="52E18275" w:rsidR="009C5325" w:rsidRDefault="009C5325">
          <w:pPr>
            <w:pStyle w:val="Sumrio3"/>
            <w:tabs>
              <w:tab w:val="left" w:pos="1100"/>
              <w:tab w:val="right" w:leader="dot" w:pos="9062"/>
            </w:tabs>
            <w:rPr>
              <w:rFonts w:eastAsiaTheme="minorEastAsia"/>
              <w:noProof/>
              <w:sz w:val="22"/>
              <w:szCs w:val="22"/>
              <w:lang w:eastAsia="pt-BR"/>
            </w:rPr>
          </w:pPr>
          <w:hyperlink w:anchor="_Toc94806347" w:history="1">
            <w:r w:rsidRPr="006879E3">
              <w:rPr>
                <w:rStyle w:val="Hyperlink"/>
                <w:b/>
                <w:bCs/>
                <w:noProof/>
              </w:rPr>
              <w:t>3.2.8</w:t>
            </w:r>
            <w:r>
              <w:rPr>
                <w:rFonts w:eastAsiaTheme="minorEastAsia"/>
                <w:noProof/>
                <w:sz w:val="22"/>
                <w:szCs w:val="22"/>
                <w:lang w:eastAsia="pt-BR"/>
              </w:rPr>
              <w:tab/>
            </w:r>
            <w:r w:rsidRPr="006879E3">
              <w:rPr>
                <w:rStyle w:val="Hyperlink"/>
                <w:noProof/>
              </w:rPr>
              <w:t>DELPROG</w:t>
            </w:r>
            <w:r>
              <w:rPr>
                <w:noProof/>
                <w:webHidden/>
              </w:rPr>
              <w:tab/>
            </w:r>
            <w:r>
              <w:rPr>
                <w:noProof/>
                <w:webHidden/>
              </w:rPr>
              <w:fldChar w:fldCharType="begin"/>
            </w:r>
            <w:r>
              <w:rPr>
                <w:noProof/>
                <w:webHidden/>
              </w:rPr>
              <w:instrText xml:space="preserve"> PAGEREF _Toc94806347 \h </w:instrText>
            </w:r>
            <w:r>
              <w:rPr>
                <w:noProof/>
                <w:webHidden/>
              </w:rPr>
            </w:r>
            <w:r>
              <w:rPr>
                <w:noProof/>
                <w:webHidden/>
              </w:rPr>
              <w:fldChar w:fldCharType="separate"/>
            </w:r>
            <w:r>
              <w:rPr>
                <w:noProof/>
                <w:webHidden/>
              </w:rPr>
              <w:t>240</w:t>
            </w:r>
            <w:r>
              <w:rPr>
                <w:noProof/>
                <w:webHidden/>
              </w:rPr>
              <w:fldChar w:fldCharType="end"/>
            </w:r>
          </w:hyperlink>
        </w:p>
        <w:p w14:paraId="1CAFEECF" w14:textId="20181D79" w:rsidR="009C5325" w:rsidRDefault="009C5325">
          <w:pPr>
            <w:pStyle w:val="Sumrio3"/>
            <w:tabs>
              <w:tab w:val="left" w:pos="1100"/>
              <w:tab w:val="right" w:leader="dot" w:pos="9062"/>
            </w:tabs>
            <w:rPr>
              <w:rFonts w:eastAsiaTheme="minorEastAsia"/>
              <w:noProof/>
              <w:sz w:val="22"/>
              <w:szCs w:val="22"/>
              <w:lang w:eastAsia="pt-BR"/>
            </w:rPr>
          </w:pPr>
          <w:hyperlink w:anchor="_Toc94806348" w:history="1">
            <w:r w:rsidRPr="006879E3">
              <w:rPr>
                <w:rStyle w:val="Hyperlink"/>
                <w:b/>
                <w:bCs/>
                <w:noProof/>
              </w:rPr>
              <w:t>3.2.9</w:t>
            </w:r>
            <w:r>
              <w:rPr>
                <w:rFonts w:eastAsiaTheme="minorEastAsia"/>
                <w:noProof/>
                <w:sz w:val="22"/>
                <w:szCs w:val="22"/>
                <w:lang w:eastAsia="pt-BR"/>
              </w:rPr>
              <w:tab/>
            </w:r>
            <w:r w:rsidRPr="006879E3">
              <w:rPr>
                <w:rStyle w:val="Hyperlink"/>
                <w:noProof/>
              </w:rPr>
              <w:t>PESS</w:t>
            </w:r>
            <w:r>
              <w:rPr>
                <w:noProof/>
                <w:webHidden/>
              </w:rPr>
              <w:tab/>
            </w:r>
            <w:r>
              <w:rPr>
                <w:noProof/>
                <w:webHidden/>
              </w:rPr>
              <w:fldChar w:fldCharType="begin"/>
            </w:r>
            <w:r>
              <w:rPr>
                <w:noProof/>
                <w:webHidden/>
              </w:rPr>
              <w:instrText xml:space="preserve"> PAGEREF _Toc94806348 \h </w:instrText>
            </w:r>
            <w:r>
              <w:rPr>
                <w:noProof/>
                <w:webHidden/>
              </w:rPr>
            </w:r>
            <w:r>
              <w:rPr>
                <w:noProof/>
                <w:webHidden/>
              </w:rPr>
              <w:fldChar w:fldCharType="separate"/>
            </w:r>
            <w:r>
              <w:rPr>
                <w:noProof/>
                <w:webHidden/>
              </w:rPr>
              <w:t>241</w:t>
            </w:r>
            <w:r>
              <w:rPr>
                <w:noProof/>
                <w:webHidden/>
              </w:rPr>
              <w:fldChar w:fldCharType="end"/>
            </w:r>
          </w:hyperlink>
        </w:p>
        <w:p w14:paraId="24692CCE" w14:textId="1342F563" w:rsidR="009C5325" w:rsidRDefault="009C5325">
          <w:pPr>
            <w:pStyle w:val="Sumrio3"/>
            <w:tabs>
              <w:tab w:val="left" w:pos="1320"/>
              <w:tab w:val="right" w:leader="dot" w:pos="9062"/>
            </w:tabs>
            <w:rPr>
              <w:rFonts w:eastAsiaTheme="minorEastAsia"/>
              <w:noProof/>
              <w:sz w:val="22"/>
              <w:szCs w:val="22"/>
              <w:lang w:eastAsia="pt-BR"/>
            </w:rPr>
          </w:pPr>
          <w:hyperlink w:anchor="_Toc94806349" w:history="1">
            <w:r w:rsidRPr="006879E3">
              <w:rPr>
                <w:rStyle w:val="Hyperlink"/>
                <w:b/>
                <w:bCs/>
                <w:noProof/>
              </w:rPr>
              <w:t>3.2.10</w:t>
            </w:r>
            <w:r>
              <w:rPr>
                <w:rFonts w:eastAsiaTheme="minorEastAsia"/>
                <w:noProof/>
                <w:sz w:val="22"/>
                <w:szCs w:val="22"/>
                <w:lang w:eastAsia="pt-BR"/>
              </w:rPr>
              <w:tab/>
            </w:r>
            <w:r w:rsidRPr="006879E3">
              <w:rPr>
                <w:rStyle w:val="Hyperlink"/>
                <w:noProof/>
              </w:rPr>
              <w:t>RELCENS</w:t>
            </w:r>
            <w:r>
              <w:rPr>
                <w:noProof/>
                <w:webHidden/>
              </w:rPr>
              <w:tab/>
            </w:r>
            <w:r>
              <w:rPr>
                <w:noProof/>
                <w:webHidden/>
              </w:rPr>
              <w:fldChar w:fldCharType="begin"/>
            </w:r>
            <w:r>
              <w:rPr>
                <w:noProof/>
                <w:webHidden/>
              </w:rPr>
              <w:instrText xml:space="preserve"> PAGEREF _Toc94806349 \h </w:instrText>
            </w:r>
            <w:r>
              <w:rPr>
                <w:noProof/>
                <w:webHidden/>
              </w:rPr>
            </w:r>
            <w:r>
              <w:rPr>
                <w:noProof/>
                <w:webHidden/>
              </w:rPr>
              <w:fldChar w:fldCharType="separate"/>
            </w:r>
            <w:r>
              <w:rPr>
                <w:noProof/>
                <w:webHidden/>
              </w:rPr>
              <w:t>243</w:t>
            </w:r>
            <w:r>
              <w:rPr>
                <w:noProof/>
                <w:webHidden/>
              </w:rPr>
              <w:fldChar w:fldCharType="end"/>
            </w:r>
          </w:hyperlink>
        </w:p>
        <w:p w14:paraId="71E897C0" w14:textId="63E4DBE8" w:rsidR="009C5325" w:rsidRDefault="009C5325">
          <w:pPr>
            <w:pStyle w:val="Sumrio3"/>
            <w:tabs>
              <w:tab w:val="left" w:pos="1320"/>
              <w:tab w:val="right" w:leader="dot" w:pos="9062"/>
            </w:tabs>
            <w:rPr>
              <w:rFonts w:eastAsiaTheme="minorEastAsia"/>
              <w:noProof/>
              <w:sz w:val="22"/>
              <w:szCs w:val="22"/>
              <w:lang w:eastAsia="pt-BR"/>
            </w:rPr>
          </w:pPr>
          <w:hyperlink w:anchor="_Toc94806350" w:history="1">
            <w:r w:rsidRPr="006879E3">
              <w:rPr>
                <w:rStyle w:val="Hyperlink"/>
                <w:b/>
                <w:bCs/>
                <w:noProof/>
              </w:rPr>
              <w:t>3.2.11</w:t>
            </w:r>
            <w:r>
              <w:rPr>
                <w:rFonts w:eastAsiaTheme="minorEastAsia"/>
                <w:noProof/>
                <w:sz w:val="22"/>
                <w:szCs w:val="22"/>
                <w:lang w:eastAsia="pt-BR"/>
              </w:rPr>
              <w:tab/>
            </w:r>
            <w:r w:rsidRPr="006879E3">
              <w:rPr>
                <w:rStyle w:val="Hyperlink"/>
                <w:noProof/>
              </w:rPr>
              <w:t>TVDISPN</w:t>
            </w:r>
            <w:r>
              <w:rPr>
                <w:noProof/>
                <w:webHidden/>
              </w:rPr>
              <w:tab/>
            </w:r>
            <w:r>
              <w:rPr>
                <w:noProof/>
                <w:webHidden/>
              </w:rPr>
              <w:fldChar w:fldCharType="begin"/>
            </w:r>
            <w:r>
              <w:rPr>
                <w:noProof/>
                <w:webHidden/>
              </w:rPr>
              <w:instrText xml:space="preserve"> PAGEREF _Toc94806350 \h </w:instrText>
            </w:r>
            <w:r>
              <w:rPr>
                <w:noProof/>
                <w:webHidden/>
              </w:rPr>
            </w:r>
            <w:r>
              <w:rPr>
                <w:noProof/>
                <w:webHidden/>
              </w:rPr>
              <w:fldChar w:fldCharType="separate"/>
            </w:r>
            <w:r>
              <w:rPr>
                <w:noProof/>
                <w:webHidden/>
              </w:rPr>
              <w:t>244</w:t>
            </w:r>
            <w:r>
              <w:rPr>
                <w:noProof/>
                <w:webHidden/>
              </w:rPr>
              <w:fldChar w:fldCharType="end"/>
            </w:r>
          </w:hyperlink>
        </w:p>
        <w:p w14:paraId="03129471" w14:textId="318B51B9" w:rsidR="009C5325" w:rsidRDefault="009C5325">
          <w:pPr>
            <w:pStyle w:val="Sumrio3"/>
            <w:tabs>
              <w:tab w:val="left" w:pos="1320"/>
              <w:tab w:val="right" w:leader="dot" w:pos="9062"/>
            </w:tabs>
            <w:rPr>
              <w:rFonts w:eastAsiaTheme="minorEastAsia"/>
              <w:noProof/>
              <w:sz w:val="22"/>
              <w:szCs w:val="22"/>
              <w:lang w:eastAsia="pt-BR"/>
            </w:rPr>
          </w:pPr>
          <w:hyperlink w:anchor="_Toc94806351" w:history="1">
            <w:r w:rsidRPr="006879E3">
              <w:rPr>
                <w:rStyle w:val="Hyperlink"/>
                <w:b/>
                <w:bCs/>
                <w:noProof/>
              </w:rPr>
              <w:t>3.2.12</w:t>
            </w:r>
            <w:r>
              <w:rPr>
                <w:rFonts w:eastAsiaTheme="minorEastAsia"/>
                <w:noProof/>
                <w:sz w:val="22"/>
                <w:szCs w:val="22"/>
                <w:lang w:eastAsia="pt-BR"/>
              </w:rPr>
              <w:tab/>
            </w:r>
            <w:r w:rsidRPr="006879E3">
              <w:rPr>
                <w:rStyle w:val="Hyperlink"/>
                <w:noProof/>
              </w:rPr>
              <w:t>FOLRGPS</w:t>
            </w:r>
            <w:r>
              <w:rPr>
                <w:noProof/>
                <w:webHidden/>
              </w:rPr>
              <w:tab/>
            </w:r>
            <w:r>
              <w:rPr>
                <w:noProof/>
                <w:webHidden/>
              </w:rPr>
              <w:fldChar w:fldCharType="begin"/>
            </w:r>
            <w:r>
              <w:rPr>
                <w:noProof/>
                <w:webHidden/>
              </w:rPr>
              <w:instrText xml:space="preserve"> PAGEREF _Toc94806351 \h </w:instrText>
            </w:r>
            <w:r>
              <w:rPr>
                <w:noProof/>
                <w:webHidden/>
              </w:rPr>
            </w:r>
            <w:r>
              <w:rPr>
                <w:noProof/>
                <w:webHidden/>
              </w:rPr>
              <w:fldChar w:fldCharType="separate"/>
            </w:r>
            <w:r>
              <w:rPr>
                <w:noProof/>
                <w:webHidden/>
              </w:rPr>
              <w:t>245</w:t>
            </w:r>
            <w:r>
              <w:rPr>
                <w:noProof/>
                <w:webHidden/>
              </w:rPr>
              <w:fldChar w:fldCharType="end"/>
            </w:r>
          </w:hyperlink>
        </w:p>
        <w:p w14:paraId="7AD577E8" w14:textId="2B597889" w:rsidR="009C5325" w:rsidRDefault="009C5325">
          <w:pPr>
            <w:pStyle w:val="Sumrio3"/>
            <w:tabs>
              <w:tab w:val="left" w:pos="1320"/>
              <w:tab w:val="right" w:leader="dot" w:pos="9062"/>
            </w:tabs>
            <w:rPr>
              <w:rFonts w:eastAsiaTheme="minorEastAsia"/>
              <w:noProof/>
              <w:sz w:val="22"/>
              <w:szCs w:val="22"/>
              <w:lang w:eastAsia="pt-BR"/>
            </w:rPr>
          </w:pPr>
          <w:hyperlink w:anchor="_Toc94806352" w:history="1">
            <w:r w:rsidRPr="006879E3">
              <w:rPr>
                <w:rStyle w:val="Hyperlink"/>
                <w:b/>
                <w:bCs/>
                <w:noProof/>
              </w:rPr>
              <w:t>3.2.13</w:t>
            </w:r>
            <w:r>
              <w:rPr>
                <w:rFonts w:eastAsiaTheme="minorEastAsia"/>
                <w:noProof/>
                <w:sz w:val="22"/>
                <w:szCs w:val="22"/>
                <w:lang w:eastAsia="pt-BR"/>
              </w:rPr>
              <w:tab/>
            </w:r>
            <w:r w:rsidRPr="006879E3">
              <w:rPr>
                <w:rStyle w:val="Hyperlink"/>
                <w:noProof/>
              </w:rPr>
              <w:t>DEMCPA</w:t>
            </w:r>
            <w:r>
              <w:rPr>
                <w:noProof/>
                <w:webHidden/>
              </w:rPr>
              <w:tab/>
            </w:r>
            <w:r>
              <w:rPr>
                <w:noProof/>
                <w:webHidden/>
              </w:rPr>
              <w:fldChar w:fldCharType="begin"/>
            </w:r>
            <w:r>
              <w:rPr>
                <w:noProof/>
                <w:webHidden/>
              </w:rPr>
              <w:instrText xml:space="preserve"> PAGEREF _Toc94806352 \h </w:instrText>
            </w:r>
            <w:r>
              <w:rPr>
                <w:noProof/>
                <w:webHidden/>
              </w:rPr>
            </w:r>
            <w:r>
              <w:rPr>
                <w:noProof/>
                <w:webHidden/>
              </w:rPr>
              <w:fldChar w:fldCharType="separate"/>
            </w:r>
            <w:r>
              <w:rPr>
                <w:noProof/>
                <w:webHidden/>
              </w:rPr>
              <w:t>246</w:t>
            </w:r>
            <w:r>
              <w:rPr>
                <w:noProof/>
                <w:webHidden/>
              </w:rPr>
              <w:fldChar w:fldCharType="end"/>
            </w:r>
          </w:hyperlink>
        </w:p>
        <w:p w14:paraId="6A65FCB6" w14:textId="38EC74DD" w:rsidR="009C5325" w:rsidRDefault="009C5325">
          <w:pPr>
            <w:pStyle w:val="Sumrio3"/>
            <w:tabs>
              <w:tab w:val="left" w:pos="1320"/>
              <w:tab w:val="right" w:leader="dot" w:pos="9062"/>
            </w:tabs>
            <w:rPr>
              <w:rFonts w:eastAsiaTheme="minorEastAsia"/>
              <w:noProof/>
              <w:sz w:val="22"/>
              <w:szCs w:val="22"/>
              <w:lang w:eastAsia="pt-BR"/>
            </w:rPr>
          </w:pPr>
          <w:hyperlink w:anchor="_Toc94806353" w:history="1">
            <w:r w:rsidRPr="006879E3">
              <w:rPr>
                <w:rStyle w:val="Hyperlink"/>
                <w:b/>
                <w:bCs/>
                <w:noProof/>
              </w:rPr>
              <w:t>3.2.14</w:t>
            </w:r>
            <w:r>
              <w:rPr>
                <w:rFonts w:eastAsiaTheme="minorEastAsia"/>
                <w:noProof/>
                <w:sz w:val="22"/>
                <w:szCs w:val="22"/>
                <w:lang w:eastAsia="pt-BR"/>
              </w:rPr>
              <w:tab/>
            </w:r>
            <w:r w:rsidRPr="006879E3">
              <w:rPr>
                <w:rStyle w:val="Hyperlink"/>
                <w:noProof/>
              </w:rPr>
              <w:t>DEMCSE</w:t>
            </w:r>
            <w:r>
              <w:rPr>
                <w:noProof/>
                <w:webHidden/>
              </w:rPr>
              <w:tab/>
            </w:r>
            <w:r>
              <w:rPr>
                <w:noProof/>
                <w:webHidden/>
              </w:rPr>
              <w:fldChar w:fldCharType="begin"/>
            </w:r>
            <w:r>
              <w:rPr>
                <w:noProof/>
                <w:webHidden/>
              </w:rPr>
              <w:instrText xml:space="preserve"> PAGEREF _Toc94806353 \h </w:instrText>
            </w:r>
            <w:r>
              <w:rPr>
                <w:noProof/>
                <w:webHidden/>
              </w:rPr>
            </w:r>
            <w:r>
              <w:rPr>
                <w:noProof/>
                <w:webHidden/>
              </w:rPr>
              <w:fldChar w:fldCharType="separate"/>
            </w:r>
            <w:r>
              <w:rPr>
                <w:noProof/>
                <w:webHidden/>
              </w:rPr>
              <w:t>247</w:t>
            </w:r>
            <w:r>
              <w:rPr>
                <w:noProof/>
                <w:webHidden/>
              </w:rPr>
              <w:fldChar w:fldCharType="end"/>
            </w:r>
          </w:hyperlink>
        </w:p>
        <w:p w14:paraId="659CC594" w14:textId="20990829" w:rsidR="009C5325" w:rsidRDefault="009C5325">
          <w:pPr>
            <w:pStyle w:val="Sumrio3"/>
            <w:tabs>
              <w:tab w:val="left" w:pos="1320"/>
              <w:tab w:val="right" w:leader="dot" w:pos="9062"/>
            </w:tabs>
            <w:rPr>
              <w:rFonts w:eastAsiaTheme="minorEastAsia"/>
              <w:noProof/>
              <w:sz w:val="22"/>
              <w:szCs w:val="22"/>
              <w:lang w:eastAsia="pt-BR"/>
            </w:rPr>
          </w:pPr>
          <w:hyperlink w:anchor="_Toc94806354" w:history="1">
            <w:r w:rsidRPr="006879E3">
              <w:rPr>
                <w:rStyle w:val="Hyperlink"/>
                <w:b/>
                <w:bCs/>
                <w:noProof/>
              </w:rPr>
              <w:t>3.2.15</w:t>
            </w:r>
            <w:r>
              <w:rPr>
                <w:rFonts w:eastAsiaTheme="minorEastAsia"/>
                <w:noProof/>
                <w:sz w:val="22"/>
                <w:szCs w:val="22"/>
                <w:lang w:eastAsia="pt-BR"/>
              </w:rPr>
              <w:tab/>
            </w:r>
            <w:r w:rsidRPr="006879E3">
              <w:rPr>
                <w:rStyle w:val="Hyperlink"/>
                <w:noProof/>
              </w:rPr>
              <w:t>RELCUST</w:t>
            </w:r>
            <w:r>
              <w:rPr>
                <w:noProof/>
                <w:webHidden/>
              </w:rPr>
              <w:tab/>
            </w:r>
            <w:r>
              <w:rPr>
                <w:noProof/>
                <w:webHidden/>
              </w:rPr>
              <w:fldChar w:fldCharType="begin"/>
            </w:r>
            <w:r>
              <w:rPr>
                <w:noProof/>
                <w:webHidden/>
              </w:rPr>
              <w:instrText xml:space="preserve"> PAGEREF _Toc94806354 \h </w:instrText>
            </w:r>
            <w:r>
              <w:rPr>
                <w:noProof/>
                <w:webHidden/>
              </w:rPr>
            </w:r>
            <w:r>
              <w:rPr>
                <w:noProof/>
                <w:webHidden/>
              </w:rPr>
              <w:fldChar w:fldCharType="separate"/>
            </w:r>
            <w:r>
              <w:rPr>
                <w:noProof/>
                <w:webHidden/>
              </w:rPr>
              <w:t>248</w:t>
            </w:r>
            <w:r>
              <w:rPr>
                <w:noProof/>
                <w:webHidden/>
              </w:rPr>
              <w:fldChar w:fldCharType="end"/>
            </w:r>
          </w:hyperlink>
        </w:p>
        <w:p w14:paraId="4A54BB72" w14:textId="734655AD" w:rsidR="009C5325" w:rsidRDefault="009C5325">
          <w:pPr>
            <w:pStyle w:val="Sumrio3"/>
            <w:tabs>
              <w:tab w:val="left" w:pos="1320"/>
              <w:tab w:val="right" w:leader="dot" w:pos="9062"/>
            </w:tabs>
            <w:rPr>
              <w:rFonts w:eastAsiaTheme="minorEastAsia"/>
              <w:noProof/>
              <w:sz w:val="22"/>
              <w:szCs w:val="22"/>
              <w:lang w:eastAsia="pt-BR"/>
            </w:rPr>
          </w:pPr>
          <w:hyperlink w:anchor="_Toc94806355" w:history="1">
            <w:r w:rsidRPr="006879E3">
              <w:rPr>
                <w:rStyle w:val="Hyperlink"/>
                <w:b/>
                <w:bCs/>
                <w:noProof/>
              </w:rPr>
              <w:t>3.2.16</w:t>
            </w:r>
            <w:r>
              <w:rPr>
                <w:rFonts w:eastAsiaTheme="minorEastAsia"/>
                <w:noProof/>
                <w:sz w:val="22"/>
                <w:szCs w:val="22"/>
                <w:lang w:eastAsia="pt-BR"/>
              </w:rPr>
              <w:tab/>
            </w:r>
            <w:r w:rsidRPr="006879E3">
              <w:rPr>
                <w:rStyle w:val="Hyperlink"/>
                <w:noProof/>
              </w:rPr>
              <w:t>RELPAD</w:t>
            </w:r>
            <w:r>
              <w:rPr>
                <w:noProof/>
                <w:webHidden/>
              </w:rPr>
              <w:tab/>
            </w:r>
            <w:r>
              <w:rPr>
                <w:noProof/>
                <w:webHidden/>
              </w:rPr>
              <w:fldChar w:fldCharType="begin"/>
            </w:r>
            <w:r>
              <w:rPr>
                <w:noProof/>
                <w:webHidden/>
              </w:rPr>
              <w:instrText xml:space="preserve"> PAGEREF _Toc94806355 \h </w:instrText>
            </w:r>
            <w:r>
              <w:rPr>
                <w:noProof/>
                <w:webHidden/>
              </w:rPr>
            </w:r>
            <w:r>
              <w:rPr>
                <w:noProof/>
                <w:webHidden/>
              </w:rPr>
              <w:fldChar w:fldCharType="separate"/>
            </w:r>
            <w:r>
              <w:rPr>
                <w:noProof/>
                <w:webHidden/>
              </w:rPr>
              <w:t>249</w:t>
            </w:r>
            <w:r>
              <w:rPr>
                <w:noProof/>
                <w:webHidden/>
              </w:rPr>
              <w:fldChar w:fldCharType="end"/>
            </w:r>
          </w:hyperlink>
        </w:p>
        <w:p w14:paraId="2FA7E7D8" w14:textId="0C2887A3" w:rsidR="009C5325" w:rsidRDefault="009C5325">
          <w:pPr>
            <w:pStyle w:val="Sumrio3"/>
            <w:tabs>
              <w:tab w:val="left" w:pos="1320"/>
              <w:tab w:val="right" w:leader="dot" w:pos="9062"/>
            </w:tabs>
            <w:rPr>
              <w:rFonts w:eastAsiaTheme="minorEastAsia"/>
              <w:noProof/>
              <w:sz w:val="22"/>
              <w:szCs w:val="22"/>
              <w:lang w:eastAsia="pt-BR"/>
            </w:rPr>
          </w:pPr>
          <w:hyperlink w:anchor="_Toc94806356" w:history="1">
            <w:r w:rsidRPr="006879E3">
              <w:rPr>
                <w:rStyle w:val="Hyperlink"/>
                <w:b/>
                <w:bCs/>
                <w:noProof/>
              </w:rPr>
              <w:t>3.2.17</w:t>
            </w:r>
            <w:r>
              <w:rPr>
                <w:rFonts w:eastAsiaTheme="minorEastAsia"/>
                <w:noProof/>
                <w:sz w:val="22"/>
                <w:szCs w:val="22"/>
                <w:lang w:eastAsia="pt-BR"/>
              </w:rPr>
              <w:tab/>
            </w:r>
            <w:r w:rsidRPr="006879E3">
              <w:rPr>
                <w:rStyle w:val="Hyperlink"/>
                <w:noProof/>
              </w:rPr>
              <w:t>DELQUIT</w:t>
            </w:r>
            <w:r>
              <w:rPr>
                <w:noProof/>
                <w:webHidden/>
              </w:rPr>
              <w:tab/>
            </w:r>
            <w:r>
              <w:rPr>
                <w:noProof/>
                <w:webHidden/>
              </w:rPr>
              <w:fldChar w:fldCharType="begin"/>
            </w:r>
            <w:r>
              <w:rPr>
                <w:noProof/>
                <w:webHidden/>
              </w:rPr>
              <w:instrText xml:space="preserve"> PAGEREF _Toc94806356 \h </w:instrText>
            </w:r>
            <w:r>
              <w:rPr>
                <w:noProof/>
                <w:webHidden/>
              </w:rPr>
            </w:r>
            <w:r>
              <w:rPr>
                <w:noProof/>
                <w:webHidden/>
              </w:rPr>
              <w:fldChar w:fldCharType="separate"/>
            </w:r>
            <w:r>
              <w:rPr>
                <w:noProof/>
                <w:webHidden/>
              </w:rPr>
              <w:t>251</w:t>
            </w:r>
            <w:r>
              <w:rPr>
                <w:noProof/>
                <w:webHidden/>
              </w:rPr>
              <w:fldChar w:fldCharType="end"/>
            </w:r>
          </w:hyperlink>
        </w:p>
        <w:p w14:paraId="577624BB" w14:textId="5BECBECB" w:rsidR="009C5325" w:rsidRDefault="009C5325">
          <w:pPr>
            <w:pStyle w:val="Sumrio3"/>
            <w:tabs>
              <w:tab w:val="left" w:pos="1320"/>
              <w:tab w:val="right" w:leader="dot" w:pos="9062"/>
            </w:tabs>
            <w:rPr>
              <w:rFonts w:eastAsiaTheme="minorEastAsia"/>
              <w:noProof/>
              <w:sz w:val="22"/>
              <w:szCs w:val="22"/>
              <w:lang w:eastAsia="pt-BR"/>
            </w:rPr>
          </w:pPr>
          <w:hyperlink w:anchor="_Toc94806357" w:history="1">
            <w:r w:rsidRPr="006879E3">
              <w:rPr>
                <w:rStyle w:val="Hyperlink"/>
                <w:b/>
                <w:bCs/>
                <w:noProof/>
              </w:rPr>
              <w:t>3.2.18</w:t>
            </w:r>
            <w:r>
              <w:rPr>
                <w:rFonts w:eastAsiaTheme="minorEastAsia"/>
                <w:noProof/>
                <w:sz w:val="22"/>
                <w:szCs w:val="22"/>
                <w:lang w:eastAsia="pt-BR"/>
              </w:rPr>
              <w:tab/>
            </w:r>
            <w:r w:rsidRPr="006879E3">
              <w:rPr>
                <w:rStyle w:val="Hyperlink"/>
                <w:noProof/>
              </w:rPr>
              <w:t>RELPAR</w:t>
            </w:r>
            <w:r>
              <w:rPr>
                <w:noProof/>
                <w:webHidden/>
              </w:rPr>
              <w:tab/>
            </w:r>
            <w:r>
              <w:rPr>
                <w:noProof/>
                <w:webHidden/>
              </w:rPr>
              <w:fldChar w:fldCharType="begin"/>
            </w:r>
            <w:r>
              <w:rPr>
                <w:noProof/>
                <w:webHidden/>
              </w:rPr>
              <w:instrText xml:space="preserve"> PAGEREF _Toc94806357 \h </w:instrText>
            </w:r>
            <w:r>
              <w:rPr>
                <w:noProof/>
                <w:webHidden/>
              </w:rPr>
            </w:r>
            <w:r>
              <w:rPr>
                <w:noProof/>
                <w:webHidden/>
              </w:rPr>
              <w:fldChar w:fldCharType="separate"/>
            </w:r>
            <w:r>
              <w:rPr>
                <w:noProof/>
                <w:webHidden/>
              </w:rPr>
              <w:t>253</w:t>
            </w:r>
            <w:r>
              <w:rPr>
                <w:noProof/>
                <w:webHidden/>
              </w:rPr>
              <w:fldChar w:fldCharType="end"/>
            </w:r>
          </w:hyperlink>
        </w:p>
        <w:p w14:paraId="6A6BFCE9" w14:textId="5F8C298F" w:rsidR="009C5325" w:rsidRDefault="009C5325">
          <w:pPr>
            <w:pStyle w:val="Sumrio3"/>
            <w:tabs>
              <w:tab w:val="left" w:pos="1320"/>
              <w:tab w:val="right" w:leader="dot" w:pos="9062"/>
            </w:tabs>
            <w:rPr>
              <w:rFonts w:eastAsiaTheme="minorEastAsia"/>
              <w:noProof/>
              <w:sz w:val="22"/>
              <w:szCs w:val="22"/>
              <w:lang w:eastAsia="pt-BR"/>
            </w:rPr>
          </w:pPr>
          <w:hyperlink w:anchor="_Toc94806358" w:history="1">
            <w:r w:rsidRPr="006879E3">
              <w:rPr>
                <w:rStyle w:val="Hyperlink"/>
                <w:b/>
                <w:bCs/>
                <w:noProof/>
              </w:rPr>
              <w:t>3.2.19</w:t>
            </w:r>
            <w:r>
              <w:rPr>
                <w:rFonts w:eastAsiaTheme="minorEastAsia"/>
                <w:noProof/>
                <w:sz w:val="22"/>
                <w:szCs w:val="22"/>
                <w:lang w:eastAsia="pt-BR"/>
              </w:rPr>
              <w:tab/>
            </w:r>
            <w:r w:rsidRPr="006879E3">
              <w:rPr>
                <w:rStyle w:val="Hyperlink"/>
                <w:noProof/>
              </w:rPr>
              <w:t>DECINAT</w:t>
            </w:r>
            <w:r>
              <w:rPr>
                <w:noProof/>
                <w:webHidden/>
              </w:rPr>
              <w:tab/>
            </w:r>
            <w:r>
              <w:rPr>
                <w:noProof/>
                <w:webHidden/>
              </w:rPr>
              <w:fldChar w:fldCharType="begin"/>
            </w:r>
            <w:r>
              <w:rPr>
                <w:noProof/>
                <w:webHidden/>
              </w:rPr>
              <w:instrText xml:space="preserve"> PAGEREF _Toc94806358 \h </w:instrText>
            </w:r>
            <w:r>
              <w:rPr>
                <w:noProof/>
                <w:webHidden/>
              </w:rPr>
            </w:r>
            <w:r>
              <w:rPr>
                <w:noProof/>
                <w:webHidden/>
              </w:rPr>
              <w:fldChar w:fldCharType="separate"/>
            </w:r>
            <w:r>
              <w:rPr>
                <w:noProof/>
                <w:webHidden/>
              </w:rPr>
              <w:t>255</w:t>
            </w:r>
            <w:r>
              <w:rPr>
                <w:noProof/>
                <w:webHidden/>
              </w:rPr>
              <w:fldChar w:fldCharType="end"/>
            </w:r>
          </w:hyperlink>
        </w:p>
        <w:p w14:paraId="4BD274D3" w14:textId="13C2A07F" w:rsidR="009C5325" w:rsidRDefault="009C5325">
          <w:pPr>
            <w:pStyle w:val="Sumrio3"/>
            <w:tabs>
              <w:tab w:val="left" w:pos="1320"/>
              <w:tab w:val="right" w:leader="dot" w:pos="9062"/>
            </w:tabs>
            <w:rPr>
              <w:rFonts w:eastAsiaTheme="minorEastAsia"/>
              <w:noProof/>
              <w:sz w:val="22"/>
              <w:szCs w:val="22"/>
              <w:lang w:eastAsia="pt-BR"/>
            </w:rPr>
          </w:pPr>
          <w:hyperlink w:anchor="_Toc94806359" w:history="1">
            <w:r w:rsidRPr="006879E3">
              <w:rPr>
                <w:rStyle w:val="Hyperlink"/>
                <w:b/>
                <w:bCs/>
                <w:noProof/>
              </w:rPr>
              <w:t>3.2.20</w:t>
            </w:r>
            <w:r>
              <w:rPr>
                <w:rFonts w:eastAsiaTheme="minorEastAsia"/>
                <w:noProof/>
                <w:sz w:val="22"/>
                <w:szCs w:val="22"/>
                <w:lang w:eastAsia="pt-BR"/>
              </w:rPr>
              <w:tab/>
            </w:r>
            <w:r w:rsidRPr="006879E3">
              <w:rPr>
                <w:rStyle w:val="Hyperlink"/>
                <w:noProof/>
              </w:rPr>
              <w:t>DELREP</w:t>
            </w:r>
            <w:r>
              <w:rPr>
                <w:noProof/>
                <w:webHidden/>
              </w:rPr>
              <w:tab/>
            </w:r>
            <w:r>
              <w:rPr>
                <w:noProof/>
                <w:webHidden/>
              </w:rPr>
              <w:fldChar w:fldCharType="begin"/>
            </w:r>
            <w:r>
              <w:rPr>
                <w:noProof/>
                <w:webHidden/>
              </w:rPr>
              <w:instrText xml:space="preserve"> PAGEREF _Toc94806359 \h </w:instrText>
            </w:r>
            <w:r>
              <w:rPr>
                <w:noProof/>
                <w:webHidden/>
              </w:rPr>
            </w:r>
            <w:r>
              <w:rPr>
                <w:noProof/>
                <w:webHidden/>
              </w:rPr>
              <w:fldChar w:fldCharType="separate"/>
            </w:r>
            <w:r>
              <w:rPr>
                <w:noProof/>
                <w:webHidden/>
              </w:rPr>
              <w:t>256</w:t>
            </w:r>
            <w:r>
              <w:rPr>
                <w:noProof/>
                <w:webHidden/>
              </w:rPr>
              <w:fldChar w:fldCharType="end"/>
            </w:r>
          </w:hyperlink>
        </w:p>
        <w:p w14:paraId="63D897FE" w14:textId="23DB05B0" w:rsidR="009C5325" w:rsidRDefault="009C5325">
          <w:pPr>
            <w:pStyle w:val="Sumrio3"/>
            <w:tabs>
              <w:tab w:val="left" w:pos="1320"/>
              <w:tab w:val="right" w:leader="dot" w:pos="9062"/>
            </w:tabs>
            <w:rPr>
              <w:rFonts w:eastAsiaTheme="minorEastAsia"/>
              <w:noProof/>
              <w:sz w:val="22"/>
              <w:szCs w:val="22"/>
              <w:lang w:eastAsia="pt-BR"/>
            </w:rPr>
          </w:pPr>
          <w:hyperlink w:anchor="_Toc94806360" w:history="1">
            <w:r w:rsidRPr="006879E3">
              <w:rPr>
                <w:rStyle w:val="Hyperlink"/>
                <w:b/>
                <w:bCs/>
                <w:noProof/>
              </w:rPr>
              <w:t>3.2.21</w:t>
            </w:r>
            <w:r>
              <w:rPr>
                <w:rFonts w:eastAsiaTheme="minorEastAsia"/>
                <w:noProof/>
                <w:sz w:val="22"/>
                <w:szCs w:val="22"/>
                <w:lang w:eastAsia="pt-BR"/>
              </w:rPr>
              <w:tab/>
            </w:r>
            <w:r w:rsidRPr="006879E3">
              <w:rPr>
                <w:rStyle w:val="Hyperlink"/>
                <w:noProof/>
              </w:rPr>
              <w:t>DELCEDI</w:t>
            </w:r>
            <w:r>
              <w:rPr>
                <w:noProof/>
                <w:webHidden/>
              </w:rPr>
              <w:tab/>
            </w:r>
            <w:r>
              <w:rPr>
                <w:noProof/>
                <w:webHidden/>
              </w:rPr>
              <w:fldChar w:fldCharType="begin"/>
            </w:r>
            <w:r>
              <w:rPr>
                <w:noProof/>
                <w:webHidden/>
              </w:rPr>
              <w:instrText xml:space="preserve"> PAGEREF _Toc94806360 \h </w:instrText>
            </w:r>
            <w:r>
              <w:rPr>
                <w:noProof/>
                <w:webHidden/>
              </w:rPr>
            </w:r>
            <w:r>
              <w:rPr>
                <w:noProof/>
                <w:webHidden/>
              </w:rPr>
              <w:fldChar w:fldCharType="separate"/>
            </w:r>
            <w:r>
              <w:rPr>
                <w:noProof/>
                <w:webHidden/>
              </w:rPr>
              <w:t>257</w:t>
            </w:r>
            <w:r>
              <w:rPr>
                <w:noProof/>
                <w:webHidden/>
              </w:rPr>
              <w:fldChar w:fldCharType="end"/>
            </w:r>
          </w:hyperlink>
        </w:p>
        <w:p w14:paraId="074BE735" w14:textId="153016FD" w:rsidR="009C5325" w:rsidRDefault="009C5325">
          <w:pPr>
            <w:pStyle w:val="Sumrio3"/>
            <w:tabs>
              <w:tab w:val="left" w:pos="1320"/>
              <w:tab w:val="right" w:leader="dot" w:pos="9062"/>
            </w:tabs>
            <w:rPr>
              <w:rFonts w:eastAsiaTheme="minorEastAsia"/>
              <w:noProof/>
              <w:sz w:val="22"/>
              <w:szCs w:val="22"/>
              <w:lang w:eastAsia="pt-BR"/>
            </w:rPr>
          </w:pPr>
          <w:hyperlink w:anchor="_Toc94806361" w:history="1">
            <w:r w:rsidRPr="006879E3">
              <w:rPr>
                <w:rStyle w:val="Hyperlink"/>
                <w:b/>
                <w:bCs/>
                <w:noProof/>
              </w:rPr>
              <w:t>3.2.22</w:t>
            </w:r>
            <w:r>
              <w:rPr>
                <w:rFonts w:eastAsiaTheme="minorEastAsia"/>
                <w:noProof/>
                <w:sz w:val="22"/>
                <w:szCs w:val="22"/>
                <w:lang w:eastAsia="pt-BR"/>
              </w:rPr>
              <w:tab/>
            </w:r>
            <w:r w:rsidRPr="006879E3">
              <w:rPr>
                <w:rStyle w:val="Hyperlink"/>
                <w:noProof/>
              </w:rPr>
              <w:t>DECAMOR</w:t>
            </w:r>
            <w:r>
              <w:rPr>
                <w:noProof/>
                <w:webHidden/>
              </w:rPr>
              <w:tab/>
            </w:r>
            <w:r>
              <w:rPr>
                <w:noProof/>
                <w:webHidden/>
              </w:rPr>
              <w:fldChar w:fldCharType="begin"/>
            </w:r>
            <w:r>
              <w:rPr>
                <w:noProof/>
                <w:webHidden/>
              </w:rPr>
              <w:instrText xml:space="preserve"> PAGEREF _Toc94806361 \h </w:instrText>
            </w:r>
            <w:r>
              <w:rPr>
                <w:noProof/>
                <w:webHidden/>
              </w:rPr>
            </w:r>
            <w:r>
              <w:rPr>
                <w:noProof/>
                <w:webHidden/>
              </w:rPr>
              <w:fldChar w:fldCharType="separate"/>
            </w:r>
            <w:r>
              <w:rPr>
                <w:noProof/>
                <w:webHidden/>
              </w:rPr>
              <w:t>258</w:t>
            </w:r>
            <w:r>
              <w:rPr>
                <w:noProof/>
                <w:webHidden/>
              </w:rPr>
              <w:fldChar w:fldCharType="end"/>
            </w:r>
          </w:hyperlink>
        </w:p>
        <w:p w14:paraId="05F1A05E" w14:textId="0A577126" w:rsidR="009C5325" w:rsidRDefault="009C5325">
          <w:pPr>
            <w:pStyle w:val="Sumrio3"/>
            <w:tabs>
              <w:tab w:val="left" w:pos="1320"/>
              <w:tab w:val="right" w:leader="dot" w:pos="9062"/>
            </w:tabs>
            <w:rPr>
              <w:rFonts w:eastAsiaTheme="minorEastAsia"/>
              <w:noProof/>
              <w:sz w:val="22"/>
              <w:szCs w:val="22"/>
              <w:lang w:eastAsia="pt-BR"/>
            </w:rPr>
          </w:pPr>
          <w:hyperlink w:anchor="_Toc94806362" w:history="1">
            <w:r w:rsidRPr="006879E3">
              <w:rPr>
                <w:rStyle w:val="Hyperlink"/>
                <w:b/>
                <w:bCs/>
                <w:noProof/>
              </w:rPr>
              <w:t>3.2.23</w:t>
            </w:r>
            <w:r>
              <w:rPr>
                <w:rFonts w:eastAsiaTheme="minorEastAsia"/>
                <w:noProof/>
                <w:sz w:val="22"/>
                <w:szCs w:val="22"/>
                <w:lang w:eastAsia="pt-BR"/>
              </w:rPr>
              <w:tab/>
            </w:r>
            <w:r w:rsidRPr="006879E3">
              <w:rPr>
                <w:rStyle w:val="Hyperlink"/>
                <w:noProof/>
              </w:rPr>
              <w:t>DECAMO</w:t>
            </w:r>
            <w:r>
              <w:rPr>
                <w:noProof/>
                <w:webHidden/>
              </w:rPr>
              <w:tab/>
            </w:r>
            <w:r>
              <w:rPr>
                <w:noProof/>
                <w:webHidden/>
              </w:rPr>
              <w:fldChar w:fldCharType="begin"/>
            </w:r>
            <w:r>
              <w:rPr>
                <w:noProof/>
                <w:webHidden/>
              </w:rPr>
              <w:instrText xml:space="preserve"> PAGEREF _Toc94806362 \h </w:instrText>
            </w:r>
            <w:r>
              <w:rPr>
                <w:noProof/>
                <w:webHidden/>
              </w:rPr>
            </w:r>
            <w:r>
              <w:rPr>
                <w:noProof/>
                <w:webHidden/>
              </w:rPr>
              <w:fldChar w:fldCharType="separate"/>
            </w:r>
            <w:r>
              <w:rPr>
                <w:noProof/>
                <w:webHidden/>
              </w:rPr>
              <w:t>259</w:t>
            </w:r>
            <w:r>
              <w:rPr>
                <w:noProof/>
                <w:webHidden/>
              </w:rPr>
              <w:fldChar w:fldCharType="end"/>
            </w:r>
          </w:hyperlink>
        </w:p>
        <w:p w14:paraId="21A1EDE6" w14:textId="66BBFCFF" w:rsidR="009C5325" w:rsidRDefault="009C5325">
          <w:pPr>
            <w:pStyle w:val="Sumrio3"/>
            <w:tabs>
              <w:tab w:val="left" w:pos="1320"/>
              <w:tab w:val="right" w:leader="dot" w:pos="9062"/>
            </w:tabs>
            <w:rPr>
              <w:rFonts w:eastAsiaTheme="minorEastAsia"/>
              <w:noProof/>
              <w:sz w:val="22"/>
              <w:szCs w:val="22"/>
              <w:lang w:eastAsia="pt-BR"/>
            </w:rPr>
          </w:pPr>
          <w:hyperlink w:anchor="_Toc94806363" w:history="1">
            <w:r w:rsidRPr="006879E3">
              <w:rPr>
                <w:rStyle w:val="Hyperlink"/>
                <w:b/>
                <w:bCs/>
                <w:noProof/>
              </w:rPr>
              <w:t>3.2.24</w:t>
            </w:r>
            <w:r>
              <w:rPr>
                <w:rFonts w:eastAsiaTheme="minorEastAsia"/>
                <w:noProof/>
                <w:sz w:val="22"/>
                <w:szCs w:val="22"/>
                <w:lang w:eastAsia="pt-BR"/>
              </w:rPr>
              <w:tab/>
            </w:r>
            <w:r w:rsidRPr="006879E3">
              <w:rPr>
                <w:rStyle w:val="Hyperlink"/>
                <w:noProof/>
              </w:rPr>
              <w:t>RELACI</w:t>
            </w:r>
            <w:r>
              <w:rPr>
                <w:noProof/>
                <w:webHidden/>
              </w:rPr>
              <w:tab/>
            </w:r>
            <w:r>
              <w:rPr>
                <w:noProof/>
                <w:webHidden/>
              </w:rPr>
              <w:fldChar w:fldCharType="begin"/>
            </w:r>
            <w:r>
              <w:rPr>
                <w:noProof/>
                <w:webHidden/>
              </w:rPr>
              <w:instrText xml:space="preserve"> PAGEREF _Toc94806363 \h </w:instrText>
            </w:r>
            <w:r>
              <w:rPr>
                <w:noProof/>
                <w:webHidden/>
              </w:rPr>
            </w:r>
            <w:r>
              <w:rPr>
                <w:noProof/>
                <w:webHidden/>
              </w:rPr>
              <w:fldChar w:fldCharType="separate"/>
            </w:r>
            <w:r>
              <w:rPr>
                <w:noProof/>
                <w:webHidden/>
              </w:rPr>
              <w:t>260</w:t>
            </w:r>
            <w:r>
              <w:rPr>
                <w:noProof/>
                <w:webHidden/>
              </w:rPr>
              <w:fldChar w:fldCharType="end"/>
            </w:r>
          </w:hyperlink>
        </w:p>
        <w:p w14:paraId="5C30496D" w14:textId="5C59CF9E" w:rsidR="009C5325" w:rsidRDefault="009C5325">
          <w:pPr>
            <w:pStyle w:val="Sumrio3"/>
            <w:tabs>
              <w:tab w:val="left" w:pos="1320"/>
              <w:tab w:val="right" w:leader="dot" w:pos="9062"/>
            </w:tabs>
            <w:rPr>
              <w:rFonts w:eastAsiaTheme="minorEastAsia"/>
              <w:noProof/>
              <w:sz w:val="22"/>
              <w:szCs w:val="22"/>
              <w:lang w:eastAsia="pt-BR"/>
            </w:rPr>
          </w:pPr>
          <w:hyperlink w:anchor="_Toc94806364" w:history="1">
            <w:r w:rsidRPr="006879E3">
              <w:rPr>
                <w:rStyle w:val="Hyperlink"/>
                <w:b/>
                <w:bCs/>
                <w:noProof/>
              </w:rPr>
              <w:t>3.2.25</w:t>
            </w:r>
            <w:r>
              <w:rPr>
                <w:rFonts w:eastAsiaTheme="minorEastAsia"/>
                <w:noProof/>
                <w:sz w:val="22"/>
                <w:szCs w:val="22"/>
                <w:lang w:eastAsia="pt-BR"/>
              </w:rPr>
              <w:tab/>
            </w:r>
            <w:r w:rsidRPr="006879E3">
              <w:rPr>
                <w:rStyle w:val="Hyperlink"/>
                <w:noProof/>
              </w:rPr>
              <w:t>TERMOV / TERIMO / TERALM / TERINT</w:t>
            </w:r>
            <w:r>
              <w:rPr>
                <w:noProof/>
                <w:webHidden/>
              </w:rPr>
              <w:tab/>
            </w:r>
            <w:r>
              <w:rPr>
                <w:noProof/>
                <w:webHidden/>
              </w:rPr>
              <w:fldChar w:fldCharType="begin"/>
            </w:r>
            <w:r>
              <w:rPr>
                <w:noProof/>
                <w:webHidden/>
              </w:rPr>
              <w:instrText xml:space="preserve"> PAGEREF _Toc94806364 \h </w:instrText>
            </w:r>
            <w:r>
              <w:rPr>
                <w:noProof/>
                <w:webHidden/>
              </w:rPr>
            </w:r>
            <w:r>
              <w:rPr>
                <w:noProof/>
                <w:webHidden/>
              </w:rPr>
              <w:fldChar w:fldCharType="separate"/>
            </w:r>
            <w:r>
              <w:rPr>
                <w:noProof/>
                <w:webHidden/>
              </w:rPr>
              <w:t>262</w:t>
            </w:r>
            <w:r>
              <w:rPr>
                <w:noProof/>
                <w:webHidden/>
              </w:rPr>
              <w:fldChar w:fldCharType="end"/>
            </w:r>
          </w:hyperlink>
        </w:p>
        <w:p w14:paraId="437DAF44" w14:textId="78AC8456" w:rsidR="009C5325" w:rsidRDefault="009C5325">
          <w:pPr>
            <w:pStyle w:val="Sumrio3"/>
            <w:tabs>
              <w:tab w:val="left" w:pos="1320"/>
              <w:tab w:val="right" w:leader="dot" w:pos="9062"/>
            </w:tabs>
            <w:rPr>
              <w:rFonts w:eastAsiaTheme="minorEastAsia"/>
              <w:noProof/>
              <w:sz w:val="22"/>
              <w:szCs w:val="22"/>
              <w:lang w:eastAsia="pt-BR"/>
            </w:rPr>
          </w:pPr>
          <w:hyperlink w:anchor="_Toc94806365" w:history="1">
            <w:r w:rsidRPr="006879E3">
              <w:rPr>
                <w:rStyle w:val="Hyperlink"/>
                <w:b/>
                <w:bCs/>
                <w:noProof/>
              </w:rPr>
              <w:t>3.2.26</w:t>
            </w:r>
            <w:r>
              <w:rPr>
                <w:rFonts w:eastAsiaTheme="minorEastAsia"/>
                <w:noProof/>
                <w:sz w:val="22"/>
                <w:szCs w:val="22"/>
                <w:lang w:eastAsia="pt-BR"/>
              </w:rPr>
              <w:tab/>
            </w:r>
            <w:r w:rsidRPr="006879E3">
              <w:rPr>
                <w:rStyle w:val="Hyperlink"/>
                <w:b/>
                <w:bCs/>
                <w:noProof/>
              </w:rPr>
              <w:t>RECRERE</w:t>
            </w:r>
            <w:r>
              <w:rPr>
                <w:noProof/>
                <w:webHidden/>
              </w:rPr>
              <w:tab/>
            </w:r>
            <w:r>
              <w:rPr>
                <w:noProof/>
                <w:webHidden/>
              </w:rPr>
              <w:fldChar w:fldCharType="begin"/>
            </w:r>
            <w:r>
              <w:rPr>
                <w:noProof/>
                <w:webHidden/>
              </w:rPr>
              <w:instrText xml:space="preserve"> PAGEREF _Toc94806365 \h </w:instrText>
            </w:r>
            <w:r>
              <w:rPr>
                <w:noProof/>
                <w:webHidden/>
              </w:rPr>
            </w:r>
            <w:r>
              <w:rPr>
                <w:noProof/>
                <w:webHidden/>
              </w:rPr>
              <w:fldChar w:fldCharType="separate"/>
            </w:r>
            <w:r>
              <w:rPr>
                <w:noProof/>
                <w:webHidden/>
              </w:rPr>
              <w:t>263</w:t>
            </w:r>
            <w:r>
              <w:rPr>
                <w:noProof/>
                <w:webHidden/>
              </w:rPr>
              <w:fldChar w:fldCharType="end"/>
            </w:r>
          </w:hyperlink>
        </w:p>
        <w:p w14:paraId="47B9A748" w14:textId="2114AC33" w:rsidR="009C5325" w:rsidRDefault="009C5325">
          <w:pPr>
            <w:pStyle w:val="Sumrio3"/>
            <w:tabs>
              <w:tab w:val="left" w:pos="1320"/>
              <w:tab w:val="right" w:leader="dot" w:pos="9062"/>
            </w:tabs>
            <w:rPr>
              <w:rFonts w:eastAsiaTheme="minorEastAsia"/>
              <w:noProof/>
              <w:sz w:val="22"/>
              <w:szCs w:val="22"/>
              <w:lang w:eastAsia="pt-BR"/>
            </w:rPr>
          </w:pPr>
          <w:hyperlink w:anchor="_Toc94806366" w:history="1">
            <w:r w:rsidRPr="006879E3">
              <w:rPr>
                <w:rStyle w:val="Hyperlink"/>
                <w:b/>
                <w:bCs/>
                <w:noProof/>
              </w:rPr>
              <w:t>3.2.27</w:t>
            </w:r>
            <w:r>
              <w:rPr>
                <w:rFonts w:eastAsiaTheme="minorEastAsia"/>
                <w:noProof/>
                <w:sz w:val="22"/>
                <w:szCs w:val="22"/>
                <w:lang w:eastAsia="pt-BR"/>
              </w:rPr>
              <w:tab/>
            </w:r>
            <w:r w:rsidRPr="006879E3">
              <w:rPr>
                <w:rStyle w:val="Hyperlink"/>
                <w:b/>
                <w:bCs/>
                <w:noProof/>
              </w:rPr>
              <w:t>REOBRIG</w:t>
            </w:r>
            <w:r>
              <w:rPr>
                <w:noProof/>
                <w:webHidden/>
              </w:rPr>
              <w:tab/>
            </w:r>
            <w:r>
              <w:rPr>
                <w:noProof/>
                <w:webHidden/>
              </w:rPr>
              <w:fldChar w:fldCharType="begin"/>
            </w:r>
            <w:r>
              <w:rPr>
                <w:noProof/>
                <w:webHidden/>
              </w:rPr>
              <w:instrText xml:space="preserve"> PAGEREF _Toc94806366 \h </w:instrText>
            </w:r>
            <w:r>
              <w:rPr>
                <w:noProof/>
                <w:webHidden/>
              </w:rPr>
            </w:r>
            <w:r>
              <w:rPr>
                <w:noProof/>
                <w:webHidden/>
              </w:rPr>
              <w:fldChar w:fldCharType="separate"/>
            </w:r>
            <w:r>
              <w:rPr>
                <w:noProof/>
                <w:webHidden/>
              </w:rPr>
              <w:t>263</w:t>
            </w:r>
            <w:r>
              <w:rPr>
                <w:noProof/>
                <w:webHidden/>
              </w:rPr>
              <w:fldChar w:fldCharType="end"/>
            </w:r>
          </w:hyperlink>
        </w:p>
        <w:p w14:paraId="38535E5B" w14:textId="33EEE82A" w:rsidR="009C5325" w:rsidRDefault="009C5325">
          <w:pPr>
            <w:pStyle w:val="Sumrio3"/>
            <w:tabs>
              <w:tab w:val="left" w:pos="1320"/>
              <w:tab w:val="right" w:leader="dot" w:pos="9062"/>
            </w:tabs>
            <w:rPr>
              <w:rFonts w:eastAsiaTheme="minorEastAsia"/>
              <w:noProof/>
              <w:sz w:val="22"/>
              <w:szCs w:val="22"/>
              <w:lang w:eastAsia="pt-BR"/>
            </w:rPr>
          </w:pPr>
          <w:hyperlink w:anchor="_Toc94806367" w:history="1">
            <w:r w:rsidRPr="006879E3">
              <w:rPr>
                <w:rStyle w:val="Hyperlink"/>
                <w:b/>
                <w:bCs/>
                <w:noProof/>
              </w:rPr>
              <w:t>3.2.28</w:t>
            </w:r>
            <w:r>
              <w:rPr>
                <w:rFonts w:eastAsiaTheme="minorEastAsia"/>
                <w:noProof/>
                <w:sz w:val="22"/>
                <w:szCs w:val="22"/>
                <w:lang w:eastAsia="pt-BR"/>
              </w:rPr>
              <w:tab/>
            </w:r>
            <w:r w:rsidRPr="006879E3">
              <w:rPr>
                <w:rStyle w:val="Hyperlink"/>
                <w:b/>
                <w:bCs/>
                <w:noProof/>
              </w:rPr>
              <w:t>RFPREC</w:t>
            </w:r>
            <w:r>
              <w:rPr>
                <w:noProof/>
                <w:webHidden/>
              </w:rPr>
              <w:tab/>
            </w:r>
            <w:r>
              <w:rPr>
                <w:noProof/>
                <w:webHidden/>
              </w:rPr>
              <w:fldChar w:fldCharType="begin"/>
            </w:r>
            <w:r>
              <w:rPr>
                <w:noProof/>
                <w:webHidden/>
              </w:rPr>
              <w:instrText xml:space="preserve"> PAGEREF _Toc94806367 \h </w:instrText>
            </w:r>
            <w:r>
              <w:rPr>
                <w:noProof/>
                <w:webHidden/>
              </w:rPr>
            </w:r>
            <w:r>
              <w:rPr>
                <w:noProof/>
                <w:webHidden/>
              </w:rPr>
              <w:fldChar w:fldCharType="separate"/>
            </w:r>
            <w:r>
              <w:rPr>
                <w:noProof/>
                <w:webHidden/>
              </w:rPr>
              <w:t>264</w:t>
            </w:r>
            <w:r>
              <w:rPr>
                <w:noProof/>
                <w:webHidden/>
              </w:rPr>
              <w:fldChar w:fldCharType="end"/>
            </w:r>
          </w:hyperlink>
        </w:p>
        <w:p w14:paraId="7157A3CB" w14:textId="608FDD7B" w:rsidR="009C5325" w:rsidRDefault="009C5325">
          <w:pPr>
            <w:pStyle w:val="Sumrio1"/>
            <w:tabs>
              <w:tab w:val="left" w:pos="440"/>
              <w:tab w:val="right" w:leader="dot" w:pos="9062"/>
            </w:tabs>
            <w:rPr>
              <w:rFonts w:eastAsiaTheme="minorEastAsia"/>
              <w:b w:val="0"/>
              <w:bCs w:val="0"/>
              <w:i w:val="0"/>
              <w:iCs w:val="0"/>
              <w:noProof/>
              <w:sz w:val="22"/>
              <w:szCs w:val="22"/>
              <w:lang w:eastAsia="pt-BR"/>
            </w:rPr>
          </w:pPr>
          <w:hyperlink w:anchor="_Toc94806368" w:history="1">
            <w:r w:rsidRPr="006879E3">
              <w:rPr>
                <w:rStyle w:val="Hyperlink"/>
                <w:rFonts w:eastAsia="Calibri"/>
                <w:noProof/>
              </w:rPr>
              <w:t>4</w:t>
            </w:r>
            <w:r>
              <w:rPr>
                <w:rFonts w:eastAsiaTheme="minorEastAsia"/>
                <w:b w:val="0"/>
                <w:bCs w:val="0"/>
                <w:i w:val="0"/>
                <w:iCs w:val="0"/>
                <w:noProof/>
                <w:sz w:val="22"/>
                <w:szCs w:val="22"/>
                <w:lang w:eastAsia="pt-BR"/>
              </w:rPr>
              <w:tab/>
            </w:r>
            <w:r w:rsidRPr="006879E3">
              <w:rPr>
                <w:rStyle w:val="Hyperlink"/>
                <w:rFonts w:eastAsia="Calibri"/>
                <w:noProof/>
              </w:rPr>
              <w:t>Histórico de alterações</w:t>
            </w:r>
            <w:r>
              <w:rPr>
                <w:noProof/>
                <w:webHidden/>
              </w:rPr>
              <w:tab/>
            </w:r>
            <w:r>
              <w:rPr>
                <w:noProof/>
                <w:webHidden/>
              </w:rPr>
              <w:fldChar w:fldCharType="begin"/>
            </w:r>
            <w:r>
              <w:rPr>
                <w:noProof/>
                <w:webHidden/>
              </w:rPr>
              <w:instrText xml:space="preserve"> PAGEREF _Toc94806368 \h </w:instrText>
            </w:r>
            <w:r>
              <w:rPr>
                <w:noProof/>
                <w:webHidden/>
              </w:rPr>
            </w:r>
            <w:r>
              <w:rPr>
                <w:noProof/>
                <w:webHidden/>
              </w:rPr>
              <w:fldChar w:fldCharType="separate"/>
            </w:r>
            <w:r>
              <w:rPr>
                <w:noProof/>
                <w:webHidden/>
              </w:rPr>
              <w:t>265</w:t>
            </w:r>
            <w:r>
              <w:rPr>
                <w:noProof/>
                <w:webHidden/>
              </w:rPr>
              <w:fldChar w:fldCharType="end"/>
            </w:r>
          </w:hyperlink>
        </w:p>
        <w:p w14:paraId="4A33A1AD" w14:textId="62156D0B" w:rsidR="009C5325" w:rsidRDefault="009C5325">
          <w:pPr>
            <w:pStyle w:val="Sumrio2"/>
            <w:tabs>
              <w:tab w:val="left" w:pos="880"/>
              <w:tab w:val="right" w:leader="dot" w:pos="9062"/>
            </w:tabs>
            <w:rPr>
              <w:rFonts w:eastAsiaTheme="minorEastAsia"/>
              <w:b w:val="0"/>
              <w:bCs w:val="0"/>
              <w:noProof/>
              <w:lang w:eastAsia="pt-BR"/>
            </w:rPr>
          </w:pPr>
          <w:hyperlink w:anchor="_Toc94806369" w:history="1">
            <w:r w:rsidRPr="006879E3">
              <w:rPr>
                <w:rStyle w:val="Hyperlink"/>
                <w:noProof/>
              </w:rPr>
              <w:t>4.1</w:t>
            </w:r>
            <w:r>
              <w:rPr>
                <w:rFonts w:eastAsiaTheme="minorEastAsia"/>
                <w:b w:val="0"/>
                <w:bCs w:val="0"/>
                <w:noProof/>
                <w:lang w:eastAsia="pt-BR"/>
              </w:rPr>
              <w:tab/>
            </w:r>
            <w:r w:rsidRPr="006879E3">
              <w:rPr>
                <w:rStyle w:val="Hyperlink"/>
                <w:noProof/>
              </w:rPr>
              <w:t>Incluiu o Rol de Documentos FUNDOS DE DESENVOLVIMENTO COM NATUREZA JURÍDICA DE DIREITO PRIVADO.</w:t>
            </w:r>
            <w:r>
              <w:rPr>
                <w:noProof/>
                <w:webHidden/>
              </w:rPr>
              <w:tab/>
            </w:r>
            <w:r>
              <w:rPr>
                <w:noProof/>
                <w:webHidden/>
              </w:rPr>
              <w:fldChar w:fldCharType="begin"/>
            </w:r>
            <w:r>
              <w:rPr>
                <w:noProof/>
                <w:webHidden/>
              </w:rPr>
              <w:instrText xml:space="preserve"> PAGEREF _Toc94806369 \h </w:instrText>
            </w:r>
            <w:r>
              <w:rPr>
                <w:noProof/>
                <w:webHidden/>
              </w:rPr>
            </w:r>
            <w:r>
              <w:rPr>
                <w:noProof/>
                <w:webHidden/>
              </w:rPr>
              <w:fldChar w:fldCharType="separate"/>
            </w:r>
            <w:r>
              <w:rPr>
                <w:noProof/>
                <w:webHidden/>
              </w:rPr>
              <w:t>265</w:t>
            </w:r>
            <w:r>
              <w:rPr>
                <w:noProof/>
                <w:webHidden/>
              </w:rPr>
              <w:fldChar w:fldCharType="end"/>
            </w:r>
          </w:hyperlink>
        </w:p>
        <w:p w14:paraId="39CE384C" w14:textId="0AC2D8BD" w:rsidR="009C5325" w:rsidRDefault="009C5325">
          <w:pPr>
            <w:pStyle w:val="Sumrio2"/>
            <w:tabs>
              <w:tab w:val="left" w:pos="880"/>
              <w:tab w:val="right" w:leader="dot" w:pos="9062"/>
            </w:tabs>
            <w:rPr>
              <w:rFonts w:eastAsiaTheme="minorEastAsia"/>
              <w:b w:val="0"/>
              <w:bCs w:val="0"/>
              <w:noProof/>
              <w:lang w:eastAsia="pt-BR"/>
            </w:rPr>
          </w:pPr>
          <w:hyperlink w:anchor="_Toc94806370" w:history="1">
            <w:r w:rsidRPr="006879E3">
              <w:rPr>
                <w:rStyle w:val="Hyperlink"/>
                <w:noProof/>
              </w:rPr>
              <w:t>4.2</w:t>
            </w:r>
            <w:r>
              <w:rPr>
                <w:rFonts w:eastAsiaTheme="minorEastAsia"/>
                <w:b w:val="0"/>
                <w:bCs w:val="0"/>
                <w:noProof/>
                <w:lang w:eastAsia="pt-BR"/>
              </w:rPr>
              <w:tab/>
            </w:r>
            <w:r w:rsidRPr="006879E3">
              <w:rPr>
                <w:rStyle w:val="Hyperlink"/>
                <w:noProof/>
              </w:rPr>
              <w:t>Alterou o Rol de Documentos CONTAS DE PREFEITO</w:t>
            </w:r>
            <w:r>
              <w:rPr>
                <w:noProof/>
                <w:webHidden/>
              </w:rPr>
              <w:tab/>
            </w:r>
            <w:r>
              <w:rPr>
                <w:noProof/>
                <w:webHidden/>
              </w:rPr>
              <w:fldChar w:fldCharType="begin"/>
            </w:r>
            <w:r>
              <w:rPr>
                <w:noProof/>
                <w:webHidden/>
              </w:rPr>
              <w:instrText xml:space="preserve"> PAGEREF _Toc94806370 \h </w:instrText>
            </w:r>
            <w:r>
              <w:rPr>
                <w:noProof/>
                <w:webHidden/>
              </w:rPr>
            </w:r>
            <w:r>
              <w:rPr>
                <w:noProof/>
                <w:webHidden/>
              </w:rPr>
              <w:fldChar w:fldCharType="separate"/>
            </w:r>
            <w:r>
              <w:rPr>
                <w:noProof/>
                <w:webHidden/>
              </w:rPr>
              <w:t>268</w:t>
            </w:r>
            <w:r>
              <w:rPr>
                <w:noProof/>
                <w:webHidden/>
              </w:rPr>
              <w:fldChar w:fldCharType="end"/>
            </w:r>
          </w:hyperlink>
        </w:p>
        <w:p w14:paraId="37529C45" w14:textId="231F76A8" w:rsidR="009C5325" w:rsidRDefault="009C5325">
          <w:pPr>
            <w:pStyle w:val="Sumrio2"/>
            <w:tabs>
              <w:tab w:val="left" w:pos="880"/>
              <w:tab w:val="right" w:leader="dot" w:pos="9062"/>
            </w:tabs>
            <w:rPr>
              <w:rFonts w:eastAsiaTheme="minorEastAsia"/>
              <w:b w:val="0"/>
              <w:bCs w:val="0"/>
              <w:noProof/>
              <w:lang w:eastAsia="pt-BR"/>
            </w:rPr>
          </w:pPr>
          <w:hyperlink w:anchor="_Toc94806371" w:history="1">
            <w:r w:rsidRPr="006879E3">
              <w:rPr>
                <w:rStyle w:val="Hyperlink"/>
                <w:noProof/>
              </w:rPr>
              <w:t>4.3</w:t>
            </w:r>
            <w:r>
              <w:rPr>
                <w:rFonts w:eastAsiaTheme="minorEastAsia"/>
                <w:b w:val="0"/>
                <w:bCs w:val="0"/>
                <w:noProof/>
                <w:lang w:eastAsia="pt-BR"/>
              </w:rPr>
              <w:tab/>
            </w:r>
            <w:r w:rsidRPr="006879E3">
              <w:rPr>
                <w:rStyle w:val="Hyperlink"/>
                <w:noProof/>
              </w:rPr>
              <w:t>Alterou o Rol de Documentos CONTAS DOS DOS ORDENADORES DE DESPESAS DAS ADMINISTRAÇÕES DIRETAS E INDIRETAS DOS PODERES EXECUTIVOS MUNICIPAIS, EXCETO INSTITUTOS PRÓPRIOS DE PREVIDÊNCIA SOCIAL.</w:t>
            </w:r>
            <w:r>
              <w:rPr>
                <w:noProof/>
                <w:webHidden/>
              </w:rPr>
              <w:tab/>
            </w:r>
            <w:r>
              <w:rPr>
                <w:noProof/>
                <w:webHidden/>
              </w:rPr>
              <w:fldChar w:fldCharType="begin"/>
            </w:r>
            <w:r>
              <w:rPr>
                <w:noProof/>
                <w:webHidden/>
              </w:rPr>
              <w:instrText xml:space="preserve"> PAGEREF _Toc94806371 \h </w:instrText>
            </w:r>
            <w:r>
              <w:rPr>
                <w:noProof/>
                <w:webHidden/>
              </w:rPr>
            </w:r>
            <w:r>
              <w:rPr>
                <w:noProof/>
                <w:webHidden/>
              </w:rPr>
              <w:fldChar w:fldCharType="separate"/>
            </w:r>
            <w:r>
              <w:rPr>
                <w:noProof/>
                <w:webHidden/>
              </w:rPr>
              <w:t>269</w:t>
            </w:r>
            <w:r>
              <w:rPr>
                <w:noProof/>
                <w:webHidden/>
              </w:rPr>
              <w:fldChar w:fldCharType="end"/>
            </w:r>
          </w:hyperlink>
        </w:p>
        <w:p w14:paraId="7741C2AD" w14:textId="46B5B5CF" w:rsidR="009C5325" w:rsidRDefault="009C5325">
          <w:pPr>
            <w:pStyle w:val="Sumrio2"/>
            <w:tabs>
              <w:tab w:val="left" w:pos="880"/>
              <w:tab w:val="right" w:leader="dot" w:pos="9062"/>
            </w:tabs>
            <w:rPr>
              <w:rFonts w:eastAsiaTheme="minorEastAsia"/>
              <w:b w:val="0"/>
              <w:bCs w:val="0"/>
              <w:noProof/>
              <w:lang w:eastAsia="pt-BR"/>
            </w:rPr>
          </w:pPr>
          <w:hyperlink w:anchor="_Toc94806372" w:history="1">
            <w:r w:rsidRPr="006879E3">
              <w:rPr>
                <w:rStyle w:val="Hyperlink"/>
                <w:noProof/>
              </w:rPr>
              <w:t>4.4</w:t>
            </w:r>
            <w:r>
              <w:rPr>
                <w:rFonts w:eastAsiaTheme="minorEastAsia"/>
                <w:b w:val="0"/>
                <w:bCs w:val="0"/>
                <w:noProof/>
                <w:lang w:eastAsia="pt-BR"/>
              </w:rPr>
              <w:tab/>
            </w:r>
            <w:r w:rsidRPr="006879E3">
              <w:rPr>
                <w:rStyle w:val="Hyperlink"/>
                <w:noProof/>
              </w:rPr>
              <w:t>Alterou o Rol de Documentos CONTAS DOS ORDENADORES DE DESPESAS DAS ADMINISTRAÇÕES DIRETAS E INDIRETAS DO PODER EXECUTIVO ESTADUAL, EXCETO INSTITUTOS PRÓPRIOS DE PREVIDÊNCIA SOCIAL.</w:t>
            </w:r>
            <w:r>
              <w:rPr>
                <w:noProof/>
                <w:webHidden/>
              </w:rPr>
              <w:tab/>
            </w:r>
            <w:r>
              <w:rPr>
                <w:noProof/>
                <w:webHidden/>
              </w:rPr>
              <w:fldChar w:fldCharType="begin"/>
            </w:r>
            <w:r>
              <w:rPr>
                <w:noProof/>
                <w:webHidden/>
              </w:rPr>
              <w:instrText xml:space="preserve"> PAGEREF _Toc94806372 \h </w:instrText>
            </w:r>
            <w:r>
              <w:rPr>
                <w:noProof/>
                <w:webHidden/>
              </w:rPr>
            </w:r>
            <w:r>
              <w:rPr>
                <w:noProof/>
                <w:webHidden/>
              </w:rPr>
              <w:fldChar w:fldCharType="separate"/>
            </w:r>
            <w:r>
              <w:rPr>
                <w:noProof/>
                <w:webHidden/>
              </w:rPr>
              <w:t>269</w:t>
            </w:r>
            <w:r>
              <w:rPr>
                <w:noProof/>
                <w:webHidden/>
              </w:rPr>
              <w:fldChar w:fldCharType="end"/>
            </w:r>
          </w:hyperlink>
        </w:p>
        <w:p w14:paraId="30D66F38" w14:textId="7B8F66B3" w:rsidR="009C5325" w:rsidRDefault="009C5325">
          <w:pPr>
            <w:pStyle w:val="Sumrio2"/>
            <w:tabs>
              <w:tab w:val="left" w:pos="880"/>
              <w:tab w:val="right" w:leader="dot" w:pos="9062"/>
            </w:tabs>
            <w:rPr>
              <w:rFonts w:eastAsiaTheme="minorEastAsia"/>
              <w:b w:val="0"/>
              <w:bCs w:val="0"/>
              <w:noProof/>
              <w:lang w:eastAsia="pt-BR"/>
            </w:rPr>
          </w:pPr>
          <w:hyperlink w:anchor="_Toc94806373" w:history="1">
            <w:r w:rsidRPr="006879E3">
              <w:rPr>
                <w:rStyle w:val="Hyperlink"/>
                <w:noProof/>
              </w:rPr>
              <w:t>4.5</w:t>
            </w:r>
            <w:r>
              <w:rPr>
                <w:rFonts w:eastAsiaTheme="minorEastAsia"/>
                <w:b w:val="0"/>
                <w:bCs w:val="0"/>
                <w:noProof/>
                <w:lang w:eastAsia="pt-BR"/>
              </w:rPr>
              <w:tab/>
            </w:r>
            <w:r w:rsidRPr="006879E3">
              <w:rPr>
                <w:rStyle w:val="Hyperlink"/>
                <w:noProof/>
              </w:rPr>
              <w:t>Alterou o Rol de Documentos CONTAS DAS MESAS DIRETORAS DAS CÂMARAS MUNICIPAIS</w:t>
            </w:r>
            <w:r>
              <w:rPr>
                <w:noProof/>
                <w:webHidden/>
              </w:rPr>
              <w:tab/>
            </w:r>
            <w:r>
              <w:rPr>
                <w:noProof/>
                <w:webHidden/>
              </w:rPr>
              <w:fldChar w:fldCharType="begin"/>
            </w:r>
            <w:r>
              <w:rPr>
                <w:noProof/>
                <w:webHidden/>
              </w:rPr>
              <w:instrText xml:space="preserve"> PAGEREF _Toc94806373 \h </w:instrText>
            </w:r>
            <w:r>
              <w:rPr>
                <w:noProof/>
                <w:webHidden/>
              </w:rPr>
            </w:r>
            <w:r>
              <w:rPr>
                <w:noProof/>
                <w:webHidden/>
              </w:rPr>
              <w:fldChar w:fldCharType="separate"/>
            </w:r>
            <w:r>
              <w:rPr>
                <w:noProof/>
                <w:webHidden/>
              </w:rPr>
              <w:t>269</w:t>
            </w:r>
            <w:r>
              <w:rPr>
                <w:noProof/>
                <w:webHidden/>
              </w:rPr>
              <w:fldChar w:fldCharType="end"/>
            </w:r>
          </w:hyperlink>
        </w:p>
        <w:p w14:paraId="2D75814D" w14:textId="07378C89" w:rsidR="009C5325" w:rsidRDefault="009C5325">
          <w:pPr>
            <w:pStyle w:val="Sumrio2"/>
            <w:tabs>
              <w:tab w:val="left" w:pos="880"/>
              <w:tab w:val="right" w:leader="dot" w:pos="9062"/>
            </w:tabs>
            <w:rPr>
              <w:rFonts w:eastAsiaTheme="minorEastAsia"/>
              <w:b w:val="0"/>
              <w:bCs w:val="0"/>
              <w:noProof/>
              <w:lang w:eastAsia="pt-BR"/>
            </w:rPr>
          </w:pPr>
          <w:hyperlink w:anchor="_Toc94806374" w:history="1">
            <w:r w:rsidRPr="006879E3">
              <w:rPr>
                <w:rStyle w:val="Hyperlink"/>
                <w:noProof/>
              </w:rPr>
              <w:t>4.6</w:t>
            </w:r>
            <w:r>
              <w:rPr>
                <w:rFonts w:eastAsiaTheme="minorEastAsia"/>
                <w:b w:val="0"/>
                <w:bCs w:val="0"/>
                <w:noProof/>
                <w:lang w:eastAsia="pt-BR"/>
              </w:rPr>
              <w:tab/>
            </w:r>
            <w:r w:rsidRPr="006879E3">
              <w:rPr>
                <w:rStyle w:val="Hyperlink"/>
                <w:noProof/>
              </w:rPr>
              <w:t>Alterou o Rol de Documentos CONTAS DA MESA DIRETORA DA ASSEMBÉIA LEGISLATIVA</w:t>
            </w:r>
            <w:r>
              <w:rPr>
                <w:noProof/>
                <w:webHidden/>
              </w:rPr>
              <w:tab/>
            </w:r>
            <w:r>
              <w:rPr>
                <w:noProof/>
                <w:webHidden/>
              </w:rPr>
              <w:fldChar w:fldCharType="begin"/>
            </w:r>
            <w:r>
              <w:rPr>
                <w:noProof/>
                <w:webHidden/>
              </w:rPr>
              <w:instrText xml:space="preserve"> PAGEREF _Toc94806374 \h </w:instrText>
            </w:r>
            <w:r>
              <w:rPr>
                <w:noProof/>
                <w:webHidden/>
              </w:rPr>
            </w:r>
            <w:r>
              <w:rPr>
                <w:noProof/>
                <w:webHidden/>
              </w:rPr>
              <w:fldChar w:fldCharType="separate"/>
            </w:r>
            <w:r>
              <w:rPr>
                <w:noProof/>
                <w:webHidden/>
              </w:rPr>
              <w:t>269</w:t>
            </w:r>
            <w:r>
              <w:rPr>
                <w:noProof/>
                <w:webHidden/>
              </w:rPr>
              <w:fldChar w:fldCharType="end"/>
            </w:r>
          </w:hyperlink>
        </w:p>
        <w:p w14:paraId="0FEE252B" w14:textId="28680003" w:rsidR="009C5325" w:rsidRDefault="009C5325">
          <w:pPr>
            <w:pStyle w:val="Sumrio2"/>
            <w:tabs>
              <w:tab w:val="left" w:pos="880"/>
              <w:tab w:val="right" w:leader="dot" w:pos="9062"/>
            </w:tabs>
            <w:rPr>
              <w:rFonts w:eastAsiaTheme="minorEastAsia"/>
              <w:b w:val="0"/>
              <w:bCs w:val="0"/>
              <w:noProof/>
              <w:lang w:eastAsia="pt-BR"/>
            </w:rPr>
          </w:pPr>
          <w:hyperlink w:anchor="_Toc94806375" w:history="1">
            <w:r w:rsidRPr="006879E3">
              <w:rPr>
                <w:rStyle w:val="Hyperlink"/>
                <w:noProof/>
              </w:rPr>
              <w:t>4.7</w:t>
            </w:r>
            <w:r>
              <w:rPr>
                <w:rFonts w:eastAsiaTheme="minorEastAsia"/>
                <w:b w:val="0"/>
                <w:bCs w:val="0"/>
                <w:noProof/>
                <w:lang w:eastAsia="pt-BR"/>
              </w:rPr>
              <w:tab/>
            </w:r>
            <w:r w:rsidRPr="006879E3">
              <w:rPr>
                <w:rStyle w:val="Hyperlink"/>
                <w:noProof/>
              </w:rPr>
              <w:t>Alterou o Rol de Documentos CONTAS DOS ORDENADORES DE DEPESAS DO MINISTÉRIO PÚBLICO, DO TRIBUNAL DE JUSTIÇA, DO TRIBUNAL DE CONTAS E DA DEFENSORIA PÚBLICA</w:t>
            </w:r>
            <w:r>
              <w:rPr>
                <w:noProof/>
                <w:webHidden/>
              </w:rPr>
              <w:tab/>
            </w:r>
            <w:r>
              <w:rPr>
                <w:noProof/>
                <w:webHidden/>
              </w:rPr>
              <w:fldChar w:fldCharType="begin"/>
            </w:r>
            <w:r>
              <w:rPr>
                <w:noProof/>
                <w:webHidden/>
              </w:rPr>
              <w:instrText xml:space="preserve"> PAGEREF _Toc94806375 \h </w:instrText>
            </w:r>
            <w:r>
              <w:rPr>
                <w:noProof/>
                <w:webHidden/>
              </w:rPr>
            </w:r>
            <w:r>
              <w:rPr>
                <w:noProof/>
                <w:webHidden/>
              </w:rPr>
              <w:fldChar w:fldCharType="separate"/>
            </w:r>
            <w:r>
              <w:rPr>
                <w:noProof/>
                <w:webHidden/>
              </w:rPr>
              <w:t>270</w:t>
            </w:r>
            <w:r>
              <w:rPr>
                <w:noProof/>
                <w:webHidden/>
              </w:rPr>
              <w:fldChar w:fldCharType="end"/>
            </w:r>
          </w:hyperlink>
        </w:p>
        <w:p w14:paraId="3E148CF5" w14:textId="5289A8C0" w:rsidR="009C5325" w:rsidRDefault="009C5325">
          <w:pPr>
            <w:pStyle w:val="Sumrio2"/>
            <w:tabs>
              <w:tab w:val="left" w:pos="880"/>
              <w:tab w:val="right" w:leader="dot" w:pos="9062"/>
            </w:tabs>
            <w:rPr>
              <w:rFonts w:eastAsiaTheme="minorEastAsia"/>
              <w:b w:val="0"/>
              <w:bCs w:val="0"/>
              <w:noProof/>
              <w:lang w:eastAsia="pt-BR"/>
            </w:rPr>
          </w:pPr>
          <w:hyperlink w:anchor="_Toc94806376" w:history="1">
            <w:r w:rsidRPr="006879E3">
              <w:rPr>
                <w:rStyle w:val="Hyperlink"/>
                <w:noProof/>
              </w:rPr>
              <w:t>4.8</w:t>
            </w:r>
            <w:r>
              <w:rPr>
                <w:rFonts w:eastAsiaTheme="minorEastAsia"/>
                <w:b w:val="0"/>
                <w:bCs w:val="0"/>
                <w:noProof/>
                <w:lang w:eastAsia="pt-BR"/>
              </w:rPr>
              <w:tab/>
            </w:r>
            <w:r w:rsidRPr="006879E3">
              <w:rPr>
                <w:rStyle w:val="Hyperlink"/>
                <w:noProof/>
              </w:rPr>
              <w:t>Alterou o Rol do Documentos CONTAS DOS ORDENADORES DE DESPESAS DOS INSTITUTOS PRÓPRIOS DE PREVIDÊNCIA MUNICIPAIS (RPPS EM ATIVIDADE E OS EM EXTINÇÃO)</w:t>
            </w:r>
            <w:r>
              <w:rPr>
                <w:noProof/>
                <w:webHidden/>
              </w:rPr>
              <w:tab/>
            </w:r>
            <w:r>
              <w:rPr>
                <w:noProof/>
                <w:webHidden/>
              </w:rPr>
              <w:fldChar w:fldCharType="begin"/>
            </w:r>
            <w:r>
              <w:rPr>
                <w:noProof/>
                <w:webHidden/>
              </w:rPr>
              <w:instrText xml:space="preserve"> PAGEREF _Toc94806376 \h </w:instrText>
            </w:r>
            <w:r>
              <w:rPr>
                <w:noProof/>
                <w:webHidden/>
              </w:rPr>
            </w:r>
            <w:r>
              <w:rPr>
                <w:noProof/>
                <w:webHidden/>
              </w:rPr>
              <w:fldChar w:fldCharType="separate"/>
            </w:r>
            <w:r>
              <w:rPr>
                <w:noProof/>
                <w:webHidden/>
              </w:rPr>
              <w:t>271</w:t>
            </w:r>
            <w:r>
              <w:rPr>
                <w:noProof/>
                <w:webHidden/>
              </w:rPr>
              <w:fldChar w:fldCharType="end"/>
            </w:r>
          </w:hyperlink>
        </w:p>
        <w:p w14:paraId="35705E88" w14:textId="35414D74" w:rsidR="009C5325" w:rsidRDefault="009C5325">
          <w:pPr>
            <w:pStyle w:val="Sumrio2"/>
            <w:tabs>
              <w:tab w:val="left" w:pos="880"/>
              <w:tab w:val="right" w:leader="dot" w:pos="9062"/>
            </w:tabs>
            <w:rPr>
              <w:rFonts w:eastAsiaTheme="minorEastAsia"/>
              <w:b w:val="0"/>
              <w:bCs w:val="0"/>
              <w:noProof/>
              <w:lang w:eastAsia="pt-BR"/>
            </w:rPr>
          </w:pPr>
          <w:hyperlink w:anchor="_Toc94806377" w:history="1">
            <w:r w:rsidRPr="006879E3">
              <w:rPr>
                <w:rStyle w:val="Hyperlink"/>
                <w:noProof/>
              </w:rPr>
              <w:t>4.9</w:t>
            </w:r>
            <w:r>
              <w:rPr>
                <w:rFonts w:eastAsiaTheme="minorEastAsia"/>
                <w:b w:val="0"/>
                <w:bCs w:val="0"/>
                <w:noProof/>
                <w:lang w:eastAsia="pt-BR"/>
              </w:rPr>
              <w:tab/>
            </w:r>
            <w:r w:rsidRPr="006879E3">
              <w:rPr>
                <w:rStyle w:val="Hyperlink"/>
                <w:noProof/>
              </w:rPr>
              <w:t>Alterou o Rol do Documentos CONTAS DOS ORDENADORES DE DESPESAS DO INSTITUTO PRÓPRIO DE PREVIDÊNCIA ESTADUAL</w:t>
            </w:r>
            <w:r>
              <w:rPr>
                <w:noProof/>
                <w:webHidden/>
              </w:rPr>
              <w:tab/>
            </w:r>
            <w:r>
              <w:rPr>
                <w:noProof/>
                <w:webHidden/>
              </w:rPr>
              <w:fldChar w:fldCharType="begin"/>
            </w:r>
            <w:r>
              <w:rPr>
                <w:noProof/>
                <w:webHidden/>
              </w:rPr>
              <w:instrText xml:space="preserve"> PAGEREF _Toc94806377 \h </w:instrText>
            </w:r>
            <w:r>
              <w:rPr>
                <w:noProof/>
                <w:webHidden/>
              </w:rPr>
            </w:r>
            <w:r>
              <w:rPr>
                <w:noProof/>
                <w:webHidden/>
              </w:rPr>
              <w:fldChar w:fldCharType="separate"/>
            </w:r>
            <w:r>
              <w:rPr>
                <w:noProof/>
                <w:webHidden/>
              </w:rPr>
              <w:t>271</w:t>
            </w:r>
            <w:r>
              <w:rPr>
                <w:noProof/>
                <w:webHidden/>
              </w:rPr>
              <w:fldChar w:fldCharType="end"/>
            </w:r>
          </w:hyperlink>
        </w:p>
        <w:p w14:paraId="32E764D8" w14:textId="4C6C5FA7" w:rsidR="009C5325" w:rsidRDefault="009C5325">
          <w:pPr>
            <w:pStyle w:val="Sumrio2"/>
            <w:tabs>
              <w:tab w:val="left" w:pos="880"/>
              <w:tab w:val="right" w:leader="dot" w:pos="9062"/>
            </w:tabs>
            <w:rPr>
              <w:rFonts w:eastAsiaTheme="minorEastAsia"/>
              <w:b w:val="0"/>
              <w:bCs w:val="0"/>
              <w:noProof/>
              <w:lang w:eastAsia="pt-BR"/>
            </w:rPr>
          </w:pPr>
          <w:hyperlink w:anchor="_Toc94806378" w:history="1">
            <w:r w:rsidRPr="006879E3">
              <w:rPr>
                <w:rStyle w:val="Hyperlink"/>
                <w:noProof/>
              </w:rPr>
              <w:t>4.10</w:t>
            </w:r>
            <w:r>
              <w:rPr>
                <w:rFonts w:eastAsiaTheme="minorEastAsia"/>
                <w:b w:val="0"/>
                <w:bCs w:val="0"/>
                <w:noProof/>
                <w:lang w:eastAsia="pt-BR"/>
              </w:rPr>
              <w:tab/>
            </w:r>
            <w:r w:rsidRPr="006879E3">
              <w:rPr>
                <w:rStyle w:val="Hyperlink"/>
                <w:noProof/>
              </w:rPr>
              <w:t>Alterou o Rol de Documentos CONTAS DOS TITULARES DAS PESSOAS JURÍDICAS DE DIREITO PRIVADO, INCLUSIVE DAS QUE SE ENCONTRAM EM PROCESSO DE LIQUIDAÇÃO (EMPRESAS ESTATAIS NÃO DEPENDENTES - EEND E EMPRESAS ESTATAIS DEPENDENTES - EED).</w:t>
            </w:r>
            <w:r>
              <w:rPr>
                <w:noProof/>
                <w:webHidden/>
              </w:rPr>
              <w:tab/>
            </w:r>
            <w:r>
              <w:rPr>
                <w:noProof/>
                <w:webHidden/>
              </w:rPr>
              <w:fldChar w:fldCharType="begin"/>
            </w:r>
            <w:r>
              <w:rPr>
                <w:noProof/>
                <w:webHidden/>
              </w:rPr>
              <w:instrText xml:space="preserve"> PAGEREF _Toc94806378 \h </w:instrText>
            </w:r>
            <w:r>
              <w:rPr>
                <w:noProof/>
                <w:webHidden/>
              </w:rPr>
            </w:r>
            <w:r>
              <w:rPr>
                <w:noProof/>
                <w:webHidden/>
              </w:rPr>
              <w:fldChar w:fldCharType="separate"/>
            </w:r>
            <w:r>
              <w:rPr>
                <w:noProof/>
                <w:webHidden/>
              </w:rPr>
              <w:t>272</w:t>
            </w:r>
            <w:r>
              <w:rPr>
                <w:noProof/>
                <w:webHidden/>
              </w:rPr>
              <w:fldChar w:fldCharType="end"/>
            </w:r>
          </w:hyperlink>
        </w:p>
        <w:p w14:paraId="72147959" w14:textId="047A606B" w:rsidR="009C5325" w:rsidRDefault="009C5325">
          <w:pPr>
            <w:pStyle w:val="Sumrio2"/>
            <w:tabs>
              <w:tab w:val="left" w:pos="880"/>
              <w:tab w:val="right" w:leader="dot" w:pos="9062"/>
            </w:tabs>
            <w:rPr>
              <w:rFonts w:eastAsiaTheme="minorEastAsia"/>
              <w:b w:val="0"/>
              <w:bCs w:val="0"/>
              <w:noProof/>
              <w:lang w:eastAsia="pt-BR"/>
            </w:rPr>
          </w:pPr>
          <w:hyperlink w:anchor="_Toc94806379" w:history="1">
            <w:r w:rsidRPr="006879E3">
              <w:rPr>
                <w:rStyle w:val="Hyperlink"/>
                <w:noProof/>
              </w:rPr>
              <w:t>4.11</w:t>
            </w:r>
            <w:r>
              <w:rPr>
                <w:rFonts w:eastAsiaTheme="minorEastAsia"/>
                <w:b w:val="0"/>
                <w:bCs w:val="0"/>
                <w:noProof/>
                <w:lang w:eastAsia="pt-BR"/>
              </w:rPr>
              <w:tab/>
            </w:r>
            <w:r w:rsidRPr="006879E3">
              <w:rPr>
                <w:rStyle w:val="Hyperlink"/>
                <w:noProof/>
              </w:rPr>
              <w:t>Alterou o Rol de Documentos CONTAS DOS ORDENADORES DE DESPESAS DAS UNIDADES GESTORAS DE SENTENÇAS JUDICIÁRIAS – PRECATÓRIOS ESTADUAIS, PRECATÓRIOS MUNICIPAIS E PENAS PECUNIÁRIAS</w:t>
            </w:r>
            <w:r>
              <w:rPr>
                <w:noProof/>
                <w:webHidden/>
              </w:rPr>
              <w:tab/>
            </w:r>
            <w:r>
              <w:rPr>
                <w:noProof/>
                <w:webHidden/>
              </w:rPr>
              <w:fldChar w:fldCharType="begin"/>
            </w:r>
            <w:r>
              <w:rPr>
                <w:noProof/>
                <w:webHidden/>
              </w:rPr>
              <w:instrText xml:space="preserve"> PAGEREF _Toc94806379 \h </w:instrText>
            </w:r>
            <w:r>
              <w:rPr>
                <w:noProof/>
                <w:webHidden/>
              </w:rPr>
            </w:r>
            <w:r>
              <w:rPr>
                <w:noProof/>
                <w:webHidden/>
              </w:rPr>
              <w:fldChar w:fldCharType="separate"/>
            </w:r>
            <w:r>
              <w:rPr>
                <w:noProof/>
                <w:webHidden/>
              </w:rPr>
              <w:t>272</w:t>
            </w:r>
            <w:r>
              <w:rPr>
                <w:noProof/>
                <w:webHidden/>
              </w:rPr>
              <w:fldChar w:fldCharType="end"/>
            </w:r>
          </w:hyperlink>
        </w:p>
        <w:p w14:paraId="16804518" w14:textId="2B6F2C8B" w:rsidR="009C5325" w:rsidRDefault="009C5325">
          <w:pPr>
            <w:pStyle w:val="Sumrio2"/>
            <w:tabs>
              <w:tab w:val="left" w:pos="880"/>
              <w:tab w:val="right" w:leader="dot" w:pos="9062"/>
            </w:tabs>
            <w:rPr>
              <w:rFonts w:eastAsiaTheme="minorEastAsia"/>
              <w:b w:val="0"/>
              <w:bCs w:val="0"/>
              <w:noProof/>
              <w:lang w:eastAsia="pt-BR"/>
            </w:rPr>
          </w:pPr>
          <w:hyperlink w:anchor="_Toc94806380" w:history="1">
            <w:r w:rsidRPr="006879E3">
              <w:rPr>
                <w:rStyle w:val="Hyperlink"/>
                <w:noProof/>
              </w:rPr>
              <w:t>4.12</w:t>
            </w:r>
            <w:r>
              <w:rPr>
                <w:rFonts w:eastAsiaTheme="minorEastAsia"/>
                <w:b w:val="0"/>
                <w:bCs w:val="0"/>
                <w:noProof/>
                <w:lang w:eastAsia="pt-BR"/>
              </w:rPr>
              <w:tab/>
            </w:r>
            <w:r w:rsidRPr="006879E3">
              <w:rPr>
                <w:rStyle w:val="Hyperlink"/>
                <w:rFonts w:cs="Arial"/>
                <w:noProof/>
              </w:rPr>
              <w:t>Alterou a Tabela 2 – Balanço Patrimonial para Municípios/Consórcios</w:t>
            </w:r>
            <w:r>
              <w:rPr>
                <w:noProof/>
                <w:webHidden/>
              </w:rPr>
              <w:tab/>
            </w:r>
            <w:r>
              <w:rPr>
                <w:noProof/>
                <w:webHidden/>
              </w:rPr>
              <w:fldChar w:fldCharType="begin"/>
            </w:r>
            <w:r>
              <w:rPr>
                <w:noProof/>
                <w:webHidden/>
              </w:rPr>
              <w:instrText xml:space="preserve"> PAGEREF _Toc94806380 \h </w:instrText>
            </w:r>
            <w:r>
              <w:rPr>
                <w:noProof/>
                <w:webHidden/>
              </w:rPr>
            </w:r>
            <w:r>
              <w:rPr>
                <w:noProof/>
                <w:webHidden/>
              </w:rPr>
              <w:fldChar w:fldCharType="separate"/>
            </w:r>
            <w:r>
              <w:rPr>
                <w:noProof/>
                <w:webHidden/>
              </w:rPr>
              <w:t>273</w:t>
            </w:r>
            <w:r>
              <w:rPr>
                <w:noProof/>
                <w:webHidden/>
              </w:rPr>
              <w:fldChar w:fldCharType="end"/>
            </w:r>
          </w:hyperlink>
        </w:p>
        <w:p w14:paraId="51E763A3" w14:textId="28C7BC1E" w:rsidR="009C5325" w:rsidRDefault="009C5325">
          <w:pPr>
            <w:pStyle w:val="Sumrio2"/>
            <w:tabs>
              <w:tab w:val="left" w:pos="880"/>
              <w:tab w:val="right" w:leader="dot" w:pos="9062"/>
            </w:tabs>
            <w:rPr>
              <w:rFonts w:eastAsiaTheme="minorEastAsia"/>
              <w:b w:val="0"/>
              <w:bCs w:val="0"/>
              <w:noProof/>
              <w:lang w:eastAsia="pt-BR"/>
            </w:rPr>
          </w:pPr>
          <w:hyperlink w:anchor="_Toc94806381" w:history="1">
            <w:r w:rsidRPr="006879E3">
              <w:rPr>
                <w:rStyle w:val="Hyperlink"/>
                <w:noProof/>
              </w:rPr>
              <w:t>4.13</w:t>
            </w:r>
            <w:r>
              <w:rPr>
                <w:rFonts w:eastAsiaTheme="minorEastAsia"/>
                <w:b w:val="0"/>
                <w:bCs w:val="0"/>
                <w:noProof/>
                <w:lang w:eastAsia="pt-BR"/>
              </w:rPr>
              <w:tab/>
            </w:r>
            <w:r w:rsidRPr="006879E3">
              <w:rPr>
                <w:rStyle w:val="Hyperlink"/>
                <w:rFonts w:cs="Arial"/>
                <w:noProof/>
              </w:rPr>
              <w:t>Alterou a Tabela 2 – Balanço Patrimonial para Estado</w:t>
            </w:r>
            <w:r>
              <w:rPr>
                <w:noProof/>
                <w:webHidden/>
              </w:rPr>
              <w:tab/>
            </w:r>
            <w:r>
              <w:rPr>
                <w:noProof/>
                <w:webHidden/>
              </w:rPr>
              <w:fldChar w:fldCharType="begin"/>
            </w:r>
            <w:r>
              <w:rPr>
                <w:noProof/>
                <w:webHidden/>
              </w:rPr>
              <w:instrText xml:space="preserve"> PAGEREF _Toc94806381 \h </w:instrText>
            </w:r>
            <w:r>
              <w:rPr>
                <w:noProof/>
                <w:webHidden/>
              </w:rPr>
            </w:r>
            <w:r>
              <w:rPr>
                <w:noProof/>
                <w:webHidden/>
              </w:rPr>
              <w:fldChar w:fldCharType="separate"/>
            </w:r>
            <w:r>
              <w:rPr>
                <w:noProof/>
                <w:webHidden/>
              </w:rPr>
              <w:t>275</w:t>
            </w:r>
            <w:r>
              <w:rPr>
                <w:noProof/>
                <w:webHidden/>
              </w:rPr>
              <w:fldChar w:fldCharType="end"/>
            </w:r>
          </w:hyperlink>
        </w:p>
        <w:p w14:paraId="34E64DB7" w14:textId="6BA29632" w:rsidR="009C5325" w:rsidRDefault="009C5325">
          <w:pPr>
            <w:pStyle w:val="Sumrio2"/>
            <w:tabs>
              <w:tab w:val="left" w:pos="880"/>
              <w:tab w:val="right" w:leader="dot" w:pos="9062"/>
            </w:tabs>
            <w:rPr>
              <w:rFonts w:eastAsiaTheme="minorEastAsia"/>
              <w:b w:val="0"/>
              <w:bCs w:val="0"/>
              <w:noProof/>
              <w:lang w:eastAsia="pt-BR"/>
            </w:rPr>
          </w:pPr>
          <w:hyperlink w:anchor="_Toc94806382" w:history="1">
            <w:r w:rsidRPr="006879E3">
              <w:rPr>
                <w:rStyle w:val="Hyperlink"/>
                <w:noProof/>
              </w:rPr>
              <w:t>4.14</w:t>
            </w:r>
            <w:r>
              <w:rPr>
                <w:rFonts w:eastAsiaTheme="minorEastAsia"/>
                <w:b w:val="0"/>
                <w:bCs w:val="0"/>
                <w:noProof/>
                <w:lang w:eastAsia="pt-BR"/>
              </w:rPr>
              <w:tab/>
            </w:r>
            <w:r w:rsidRPr="006879E3">
              <w:rPr>
                <w:rStyle w:val="Hyperlink"/>
                <w:rFonts w:cs="Arial"/>
                <w:noProof/>
              </w:rPr>
              <w:t>Alterou o Demonstrativo do Superávit/Déficit Financeiro Apurado no Balanço Patrimonial para Municípios/Consórcios</w:t>
            </w:r>
            <w:r>
              <w:rPr>
                <w:noProof/>
                <w:webHidden/>
              </w:rPr>
              <w:tab/>
            </w:r>
            <w:r>
              <w:rPr>
                <w:noProof/>
                <w:webHidden/>
              </w:rPr>
              <w:fldChar w:fldCharType="begin"/>
            </w:r>
            <w:r>
              <w:rPr>
                <w:noProof/>
                <w:webHidden/>
              </w:rPr>
              <w:instrText xml:space="preserve"> PAGEREF _Toc94806382 \h </w:instrText>
            </w:r>
            <w:r>
              <w:rPr>
                <w:noProof/>
                <w:webHidden/>
              </w:rPr>
            </w:r>
            <w:r>
              <w:rPr>
                <w:noProof/>
                <w:webHidden/>
              </w:rPr>
              <w:fldChar w:fldCharType="separate"/>
            </w:r>
            <w:r>
              <w:rPr>
                <w:noProof/>
                <w:webHidden/>
              </w:rPr>
              <w:t>278</w:t>
            </w:r>
            <w:r>
              <w:rPr>
                <w:noProof/>
                <w:webHidden/>
              </w:rPr>
              <w:fldChar w:fldCharType="end"/>
            </w:r>
          </w:hyperlink>
        </w:p>
        <w:p w14:paraId="024035BC" w14:textId="1CC12532" w:rsidR="009C5325" w:rsidRDefault="009C5325">
          <w:pPr>
            <w:pStyle w:val="Sumrio2"/>
            <w:tabs>
              <w:tab w:val="left" w:pos="880"/>
              <w:tab w:val="right" w:leader="dot" w:pos="9062"/>
            </w:tabs>
            <w:rPr>
              <w:rFonts w:eastAsiaTheme="minorEastAsia"/>
              <w:b w:val="0"/>
              <w:bCs w:val="0"/>
              <w:noProof/>
              <w:lang w:eastAsia="pt-BR"/>
            </w:rPr>
          </w:pPr>
          <w:hyperlink w:anchor="_Toc94806383" w:history="1">
            <w:r w:rsidRPr="006879E3">
              <w:rPr>
                <w:rStyle w:val="Hyperlink"/>
                <w:noProof/>
              </w:rPr>
              <w:t>4.15</w:t>
            </w:r>
            <w:r>
              <w:rPr>
                <w:rFonts w:eastAsiaTheme="minorEastAsia"/>
                <w:b w:val="0"/>
                <w:bCs w:val="0"/>
                <w:noProof/>
                <w:lang w:eastAsia="pt-BR"/>
              </w:rPr>
              <w:tab/>
            </w:r>
            <w:r w:rsidRPr="006879E3">
              <w:rPr>
                <w:rStyle w:val="Hyperlink"/>
                <w:rFonts w:cs="Arial"/>
                <w:noProof/>
              </w:rPr>
              <w:t>Alterou o Demonstrativo do Superávit/Déficit Financeiro Apurado no Balanço Patrimonial para Estado</w:t>
            </w:r>
            <w:r>
              <w:rPr>
                <w:noProof/>
                <w:webHidden/>
              </w:rPr>
              <w:tab/>
            </w:r>
            <w:r>
              <w:rPr>
                <w:noProof/>
                <w:webHidden/>
              </w:rPr>
              <w:fldChar w:fldCharType="begin"/>
            </w:r>
            <w:r>
              <w:rPr>
                <w:noProof/>
                <w:webHidden/>
              </w:rPr>
              <w:instrText xml:space="preserve"> PAGEREF _Toc94806383 \h </w:instrText>
            </w:r>
            <w:r>
              <w:rPr>
                <w:noProof/>
                <w:webHidden/>
              </w:rPr>
            </w:r>
            <w:r>
              <w:rPr>
                <w:noProof/>
                <w:webHidden/>
              </w:rPr>
              <w:fldChar w:fldCharType="separate"/>
            </w:r>
            <w:r>
              <w:rPr>
                <w:noProof/>
                <w:webHidden/>
              </w:rPr>
              <w:t>281</w:t>
            </w:r>
            <w:r>
              <w:rPr>
                <w:noProof/>
                <w:webHidden/>
              </w:rPr>
              <w:fldChar w:fldCharType="end"/>
            </w:r>
          </w:hyperlink>
        </w:p>
        <w:p w14:paraId="745A0F03" w14:textId="48C353E5" w:rsidR="009C5325" w:rsidRDefault="009C5325">
          <w:pPr>
            <w:pStyle w:val="Sumrio2"/>
            <w:tabs>
              <w:tab w:val="left" w:pos="880"/>
              <w:tab w:val="right" w:leader="dot" w:pos="9062"/>
            </w:tabs>
            <w:rPr>
              <w:rFonts w:eastAsiaTheme="minorEastAsia"/>
              <w:b w:val="0"/>
              <w:bCs w:val="0"/>
              <w:noProof/>
              <w:lang w:eastAsia="pt-BR"/>
            </w:rPr>
          </w:pPr>
          <w:hyperlink w:anchor="_Toc94806384" w:history="1">
            <w:r w:rsidRPr="006879E3">
              <w:rPr>
                <w:rStyle w:val="Hyperlink"/>
                <w:rFonts w:cs="Arial"/>
                <w:noProof/>
              </w:rPr>
              <w:t>4.16</w:t>
            </w:r>
            <w:r>
              <w:rPr>
                <w:rFonts w:eastAsiaTheme="minorEastAsia"/>
                <w:b w:val="0"/>
                <w:bCs w:val="0"/>
                <w:noProof/>
                <w:lang w:eastAsia="pt-BR"/>
              </w:rPr>
              <w:tab/>
            </w:r>
            <w:r w:rsidRPr="006879E3">
              <w:rPr>
                <w:rStyle w:val="Hyperlink"/>
                <w:rFonts w:cs="Arial"/>
                <w:noProof/>
              </w:rPr>
              <w:t>Alterou a tabela 3 - Demonstração das Variações Patrimoniais (Anexo 15 - Lei nº 4.320/64) - Municípios e Consórcios.</w:t>
            </w:r>
            <w:r>
              <w:rPr>
                <w:noProof/>
                <w:webHidden/>
              </w:rPr>
              <w:tab/>
            </w:r>
            <w:r>
              <w:rPr>
                <w:noProof/>
                <w:webHidden/>
              </w:rPr>
              <w:fldChar w:fldCharType="begin"/>
            </w:r>
            <w:r>
              <w:rPr>
                <w:noProof/>
                <w:webHidden/>
              </w:rPr>
              <w:instrText xml:space="preserve"> PAGEREF _Toc94806384 \h </w:instrText>
            </w:r>
            <w:r>
              <w:rPr>
                <w:noProof/>
                <w:webHidden/>
              </w:rPr>
            </w:r>
            <w:r>
              <w:rPr>
                <w:noProof/>
                <w:webHidden/>
              </w:rPr>
              <w:fldChar w:fldCharType="separate"/>
            </w:r>
            <w:r>
              <w:rPr>
                <w:noProof/>
                <w:webHidden/>
              </w:rPr>
              <w:t>285</w:t>
            </w:r>
            <w:r>
              <w:rPr>
                <w:noProof/>
                <w:webHidden/>
              </w:rPr>
              <w:fldChar w:fldCharType="end"/>
            </w:r>
          </w:hyperlink>
        </w:p>
        <w:p w14:paraId="3DFEDC41" w14:textId="30E4682F" w:rsidR="009C5325" w:rsidRDefault="009C5325">
          <w:pPr>
            <w:pStyle w:val="Sumrio2"/>
            <w:tabs>
              <w:tab w:val="left" w:pos="880"/>
              <w:tab w:val="right" w:leader="dot" w:pos="9062"/>
            </w:tabs>
            <w:rPr>
              <w:rFonts w:eastAsiaTheme="minorEastAsia"/>
              <w:b w:val="0"/>
              <w:bCs w:val="0"/>
              <w:noProof/>
              <w:lang w:eastAsia="pt-BR"/>
            </w:rPr>
          </w:pPr>
          <w:hyperlink w:anchor="_Toc94806385" w:history="1">
            <w:r w:rsidRPr="006879E3">
              <w:rPr>
                <w:rStyle w:val="Hyperlink"/>
                <w:noProof/>
              </w:rPr>
              <w:t>4.17</w:t>
            </w:r>
            <w:r>
              <w:rPr>
                <w:rFonts w:eastAsiaTheme="minorEastAsia"/>
                <w:b w:val="0"/>
                <w:bCs w:val="0"/>
                <w:noProof/>
                <w:lang w:eastAsia="pt-BR"/>
              </w:rPr>
              <w:tab/>
            </w:r>
            <w:r w:rsidRPr="006879E3">
              <w:rPr>
                <w:rStyle w:val="Hyperlink"/>
                <w:noProof/>
              </w:rPr>
              <w:t>Alterou a tabela 3 - Demonstração das Variações Patrimoniais (Anexo 15 - Lei nº 4.320/64) -Estado.</w:t>
            </w:r>
            <w:r>
              <w:rPr>
                <w:noProof/>
                <w:webHidden/>
              </w:rPr>
              <w:tab/>
            </w:r>
            <w:r>
              <w:rPr>
                <w:noProof/>
                <w:webHidden/>
              </w:rPr>
              <w:fldChar w:fldCharType="begin"/>
            </w:r>
            <w:r>
              <w:rPr>
                <w:noProof/>
                <w:webHidden/>
              </w:rPr>
              <w:instrText xml:space="preserve"> PAGEREF _Toc94806385 \h </w:instrText>
            </w:r>
            <w:r>
              <w:rPr>
                <w:noProof/>
                <w:webHidden/>
              </w:rPr>
            </w:r>
            <w:r>
              <w:rPr>
                <w:noProof/>
                <w:webHidden/>
              </w:rPr>
              <w:fldChar w:fldCharType="separate"/>
            </w:r>
            <w:r>
              <w:rPr>
                <w:noProof/>
                <w:webHidden/>
              </w:rPr>
              <w:t>287</w:t>
            </w:r>
            <w:r>
              <w:rPr>
                <w:noProof/>
                <w:webHidden/>
              </w:rPr>
              <w:fldChar w:fldCharType="end"/>
            </w:r>
          </w:hyperlink>
        </w:p>
        <w:p w14:paraId="7554853F" w14:textId="6EC0AB33" w:rsidR="009C5325" w:rsidRDefault="009C5325">
          <w:pPr>
            <w:pStyle w:val="Sumrio2"/>
            <w:tabs>
              <w:tab w:val="left" w:pos="880"/>
              <w:tab w:val="right" w:leader="dot" w:pos="9062"/>
            </w:tabs>
            <w:rPr>
              <w:rFonts w:eastAsiaTheme="minorEastAsia"/>
              <w:b w:val="0"/>
              <w:bCs w:val="0"/>
              <w:noProof/>
              <w:lang w:eastAsia="pt-BR"/>
            </w:rPr>
          </w:pPr>
          <w:hyperlink w:anchor="_Toc94806386" w:history="1">
            <w:r w:rsidRPr="006879E3">
              <w:rPr>
                <w:rStyle w:val="Hyperlink"/>
                <w:noProof/>
              </w:rPr>
              <w:t>4.18</w:t>
            </w:r>
            <w:r>
              <w:rPr>
                <w:rFonts w:eastAsiaTheme="minorEastAsia"/>
                <w:b w:val="0"/>
                <w:bCs w:val="0"/>
                <w:noProof/>
                <w:lang w:eastAsia="pt-BR"/>
              </w:rPr>
              <w:tab/>
            </w:r>
            <w:r w:rsidRPr="006879E3">
              <w:rPr>
                <w:rStyle w:val="Hyperlink"/>
                <w:noProof/>
              </w:rPr>
              <w:t>Alterou a tabela 4 -  Balanço Financeiro (Anexo 13 - Lei nº 4.320/64) e o Quadro Anexo ao Balanço Financeiro, para Municípios/Consórcios.</w:t>
            </w:r>
            <w:r>
              <w:rPr>
                <w:noProof/>
                <w:webHidden/>
              </w:rPr>
              <w:tab/>
            </w:r>
            <w:r>
              <w:rPr>
                <w:noProof/>
                <w:webHidden/>
              </w:rPr>
              <w:fldChar w:fldCharType="begin"/>
            </w:r>
            <w:r>
              <w:rPr>
                <w:noProof/>
                <w:webHidden/>
              </w:rPr>
              <w:instrText xml:space="preserve"> PAGEREF _Toc94806386 \h </w:instrText>
            </w:r>
            <w:r>
              <w:rPr>
                <w:noProof/>
                <w:webHidden/>
              </w:rPr>
            </w:r>
            <w:r>
              <w:rPr>
                <w:noProof/>
                <w:webHidden/>
              </w:rPr>
              <w:fldChar w:fldCharType="separate"/>
            </w:r>
            <w:r>
              <w:rPr>
                <w:noProof/>
                <w:webHidden/>
              </w:rPr>
              <w:t>289</w:t>
            </w:r>
            <w:r>
              <w:rPr>
                <w:noProof/>
                <w:webHidden/>
              </w:rPr>
              <w:fldChar w:fldCharType="end"/>
            </w:r>
          </w:hyperlink>
        </w:p>
        <w:p w14:paraId="4688C7B5" w14:textId="296569B7" w:rsidR="009C5325" w:rsidRDefault="009C5325">
          <w:pPr>
            <w:pStyle w:val="Sumrio2"/>
            <w:tabs>
              <w:tab w:val="left" w:pos="880"/>
              <w:tab w:val="right" w:leader="dot" w:pos="9062"/>
            </w:tabs>
            <w:rPr>
              <w:rFonts w:eastAsiaTheme="minorEastAsia"/>
              <w:b w:val="0"/>
              <w:bCs w:val="0"/>
              <w:noProof/>
              <w:lang w:eastAsia="pt-BR"/>
            </w:rPr>
          </w:pPr>
          <w:hyperlink w:anchor="_Toc94806387" w:history="1">
            <w:r w:rsidRPr="006879E3">
              <w:rPr>
                <w:rStyle w:val="Hyperlink"/>
                <w:noProof/>
              </w:rPr>
              <w:t>4.19</w:t>
            </w:r>
            <w:r>
              <w:rPr>
                <w:rFonts w:eastAsiaTheme="minorEastAsia"/>
                <w:b w:val="0"/>
                <w:bCs w:val="0"/>
                <w:noProof/>
                <w:lang w:eastAsia="pt-BR"/>
              </w:rPr>
              <w:tab/>
            </w:r>
            <w:r w:rsidRPr="006879E3">
              <w:rPr>
                <w:rStyle w:val="Hyperlink"/>
                <w:noProof/>
              </w:rPr>
              <w:t>Alterou a tabela 4 -  Balanço Financeiro (Anexo 13 - Lei nº 4.320/64) e o Quadro Anexo ao Balanço Financeiro – Estado.</w:t>
            </w:r>
            <w:r>
              <w:rPr>
                <w:noProof/>
                <w:webHidden/>
              </w:rPr>
              <w:tab/>
            </w:r>
            <w:r>
              <w:rPr>
                <w:noProof/>
                <w:webHidden/>
              </w:rPr>
              <w:fldChar w:fldCharType="begin"/>
            </w:r>
            <w:r>
              <w:rPr>
                <w:noProof/>
                <w:webHidden/>
              </w:rPr>
              <w:instrText xml:space="preserve"> PAGEREF _Toc94806387 \h </w:instrText>
            </w:r>
            <w:r>
              <w:rPr>
                <w:noProof/>
                <w:webHidden/>
              </w:rPr>
            </w:r>
            <w:r>
              <w:rPr>
                <w:noProof/>
                <w:webHidden/>
              </w:rPr>
              <w:fldChar w:fldCharType="separate"/>
            </w:r>
            <w:r>
              <w:rPr>
                <w:noProof/>
                <w:webHidden/>
              </w:rPr>
              <w:t>295</w:t>
            </w:r>
            <w:r>
              <w:rPr>
                <w:noProof/>
                <w:webHidden/>
              </w:rPr>
              <w:fldChar w:fldCharType="end"/>
            </w:r>
          </w:hyperlink>
        </w:p>
        <w:p w14:paraId="0862547B" w14:textId="405946E3" w:rsidR="009C5325" w:rsidRDefault="009C5325">
          <w:pPr>
            <w:pStyle w:val="Sumrio2"/>
            <w:tabs>
              <w:tab w:val="left" w:pos="880"/>
              <w:tab w:val="right" w:leader="dot" w:pos="9062"/>
            </w:tabs>
            <w:rPr>
              <w:rFonts w:eastAsiaTheme="minorEastAsia"/>
              <w:b w:val="0"/>
              <w:bCs w:val="0"/>
              <w:noProof/>
              <w:lang w:eastAsia="pt-BR"/>
            </w:rPr>
          </w:pPr>
          <w:hyperlink w:anchor="_Toc94806388" w:history="1">
            <w:r w:rsidRPr="006879E3">
              <w:rPr>
                <w:rStyle w:val="Hyperlink"/>
                <w:noProof/>
              </w:rPr>
              <w:t>4.20</w:t>
            </w:r>
            <w:r>
              <w:rPr>
                <w:rFonts w:eastAsiaTheme="minorEastAsia"/>
                <w:b w:val="0"/>
                <w:bCs w:val="0"/>
                <w:noProof/>
                <w:lang w:eastAsia="pt-BR"/>
              </w:rPr>
              <w:tab/>
            </w:r>
            <w:r w:rsidRPr="006879E3">
              <w:rPr>
                <w:rStyle w:val="Hyperlink"/>
                <w:rFonts w:cs="Arial"/>
                <w:noProof/>
              </w:rPr>
              <w:t>Alterou o arquivo</w:t>
            </w:r>
            <w:r w:rsidRPr="006879E3">
              <w:rPr>
                <w:rStyle w:val="Hyperlink"/>
                <w:noProof/>
              </w:rPr>
              <w:t xml:space="preserve"> </w:t>
            </w:r>
            <w:r w:rsidRPr="006879E3">
              <w:rPr>
                <w:rStyle w:val="Hyperlink"/>
                <w:rFonts w:cs="Arial"/>
                <w:noProof/>
              </w:rPr>
              <w:t>DEMCAD.XML (ou DemonstrativoCreditosAdicionais.xml):</w:t>
            </w:r>
            <w:r>
              <w:rPr>
                <w:noProof/>
                <w:webHidden/>
              </w:rPr>
              <w:tab/>
            </w:r>
            <w:r>
              <w:rPr>
                <w:noProof/>
                <w:webHidden/>
              </w:rPr>
              <w:fldChar w:fldCharType="begin"/>
            </w:r>
            <w:r>
              <w:rPr>
                <w:noProof/>
                <w:webHidden/>
              </w:rPr>
              <w:instrText xml:space="preserve"> PAGEREF _Toc94806388 \h </w:instrText>
            </w:r>
            <w:r>
              <w:rPr>
                <w:noProof/>
                <w:webHidden/>
              </w:rPr>
            </w:r>
            <w:r>
              <w:rPr>
                <w:noProof/>
                <w:webHidden/>
              </w:rPr>
              <w:fldChar w:fldCharType="separate"/>
            </w:r>
            <w:r>
              <w:rPr>
                <w:noProof/>
                <w:webHidden/>
              </w:rPr>
              <w:t>305</w:t>
            </w:r>
            <w:r>
              <w:rPr>
                <w:noProof/>
                <w:webHidden/>
              </w:rPr>
              <w:fldChar w:fldCharType="end"/>
            </w:r>
          </w:hyperlink>
        </w:p>
        <w:p w14:paraId="3F4FB179" w14:textId="64CD03DC" w:rsidR="009C5325" w:rsidRDefault="009C5325">
          <w:pPr>
            <w:pStyle w:val="Sumrio2"/>
            <w:tabs>
              <w:tab w:val="left" w:pos="880"/>
              <w:tab w:val="right" w:leader="dot" w:pos="9062"/>
            </w:tabs>
            <w:rPr>
              <w:rFonts w:eastAsiaTheme="minorEastAsia"/>
              <w:b w:val="0"/>
              <w:bCs w:val="0"/>
              <w:noProof/>
              <w:lang w:eastAsia="pt-BR"/>
            </w:rPr>
          </w:pPr>
          <w:hyperlink w:anchor="_Toc94806389" w:history="1">
            <w:r w:rsidRPr="006879E3">
              <w:rPr>
                <w:rStyle w:val="Hyperlink"/>
                <w:noProof/>
              </w:rPr>
              <w:t>4.21</w:t>
            </w:r>
            <w:r>
              <w:rPr>
                <w:rFonts w:eastAsiaTheme="minorEastAsia"/>
                <w:b w:val="0"/>
                <w:bCs w:val="0"/>
                <w:noProof/>
                <w:lang w:eastAsia="pt-BR"/>
              </w:rPr>
              <w:tab/>
            </w:r>
            <w:r w:rsidRPr="006879E3">
              <w:rPr>
                <w:rStyle w:val="Hyperlink"/>
                <w:noProof/>
              </w:rPr>
              <w:t>Incluído o arquivo INFOCI.XML (ou InformacoesControleInterno.xml).</w:t>
            </w:r>
            <w:r>
              <w:rPr>
                <w:noProof/>
                <w:webHidden/>
              </w:rPr>
              <w:tab/>
            </w:r>
            <w:r>
              <w:rPr>
                <w:noProof/>
                <w:webHidden/>
              </w:rPr>
              <w:fldChar w:fldCharType="begin"/>
            </w:r>
            <w:r>
              <w:rPr>
                <w:noProof/>
                <w:webHidden/>
              </w:rPr>
              <w:instrText xml:space="preserve"> PAGEREF _Toc94806389 \h </w:instrText>
            </w:r>
            <w:r>
              <w:rPr>
                <w:noProof/>
                <w:webHidden/>
              </w:rPr>
            </w:r>
            <w:r>
              <w:rPr>
                <w:noProof/>
                <w:webHidden/>
              </w:rPr>
              <w:fldChar w:fldCharType="separate"/>
            </w:r>
            <w:r>
              <w:rPr>
                <w:noProof/>
                <w:webHidden/>
              </w:rPr>
              <w:t>307</w:t>
            </w:r>
            <w:r>
              <w:rPr>
                <w:noProof/>
                <w:webHidden/>
              </w:rPr>
              <w:fldChar w:fldCharType="end"/>
            </w:r>
          </w:hyperlink>
        </w:p>
        <w:p w14:paraId="6F585109" w14:textId="2DBAC02A" w:rsidR="009C5325" w:rsidRDefault="009C5325">
          <w:pPr>
            <w:pStyle w:val="Sumrio2"/>
            <w:tabs>
              <w:tab w:val="left" w:pos="880"/>
              <w:tab w:val="right" w:leader="dot" w:pos="9062"/>
            </w:tabs>
            <w:rPr>
              <w:rFonts w:eastAsiaTheme="minorEastAsia"/>
              <w:b w:val="0"/>
              <w:bCs w:val="0"/>
              <w:noProof/>
              <w:lang w:eastAsia="pt-BR"/>
            </w:rPr>
          </w:pPr>
          <w:hyperlink w:anchor="_Toc94806390" w:history="1">
            <w:r w:rsidRPr="006879E3">
              <w:rPr>
                <w:rStyle w:val="Hyperlink"/>
                <w:noProof/>
              </w:rPr>
              <w:t>4.22</w:t>
            </w:r>
            <w:r>
              <w:rPr>
                <w:rFonts w:eastAsiaTheme="minorEastAsia"/>
                <w:b w:val="0"/>
                <w:bCs w:val="0"/>
                <w:noProof/>
                <w:lang w:eastAsia="pt-BR"/>
              </w:rPr>
              <w:tab/>
            </w:r>
            <w:r w:rsidRPr="006879E3">
              <w:rPr>
                <w:rStyle w:val="Hyperlink"/>
                <w:noProof/>
              </w:rPr>
              <w:t>Alterado item Das Assinaturas, a seguir:</w:t>
            </w:r>
            <w:r>
              <w:rPr>
                <w:noProof/>
                <w:webHidden/>
              </w:rPr>
              <w:tab/>
            </w:r>
            <w:r>
              <w:rPr>
                <w:noProof/>
                <w:webHidden/>
              </w:rPr>
              <w:fldChar w:fldCharType="begin"/>
            </w:r>
            <w:r>
              <w:rPr>
                <w:noProof/>
                <w:webHidden/>
              </w:rPr>
              <w:instrText xml:space="preserve"> PAGEREF _Toc94806390 \h </w:instrText>
            </w:r>
            <w:r>
              <w:rPr>
                <w:noProof/>
                <w:webHidden/>
              </w:rPr>
            </w:r>
            <w:r>
              <w:rPr>
                <w:noProof/>
                <w:webHidden/>
              </w:rPr>
              <w:fldChar w:fldCharType="separate"/>
            </w:r>
            <w:r>
              <w:rPr>
                <w:noProof/>
                <w:webHidden/>
              </w:rPr>
              <w:t>313</w:t>
            </w:r>
            <w:r>
              <w:rPr>
                <w:noProof/>
                <w:webHidden/>
              </w:rPr>
              <w:fldChar w:fldCharType="end"/>
            </w:r>
          </w:hyperlink>
        </w:p>
        <w:p w14:paraId="2A29BD8F" w14:textId="2C454EA3" w:rsidR="009C5325" w:rsidRDefault="009C5325">
          <w:pPr>
            <w:pStyle w:val="Sumrio3"/>
            <w:tabs>
              <w:tab w:val="left" w:pos="1320"/>
              <w:tab w:val="right" w:leader="dot" w:pos="9062"/>
            </w:tabs>
            <w:rPr>
              <w:rFonts w:eastAsiaTheme="minorEastAsia"/>
              <w:noProof/>
              <w:sz w:val="22"/>
              <w:szCs w:val="22"/>
              <w:lang w:eastAsia="pt-BR"/>
            </w:rPr>
          </w:pPr>
          <w:hyperlink w:anchor="_Toc94806391" w:history="1">
            <w:r w:rsidRPr="006879E3">
              <w:rPr>
                <w:rStyle w:val="Hyperlink"/>
                <w:b/>
                <w:bCs/>
                <w:noProof/>
              </w:rPr>
              <w:t>4.22.1</w:t>
            </w:r>
            <w:r>
              <w:rPr>
                <w:rFonts w:eastAsiaTheme="minorEastAsia"/>
                <w:noProof/>
                <w:sz w:val="22"/>
                <w:szCs w:val="22"/>
                <w:lang w:eastAsia="pt-BR"/>
              </w:rPr>
              <w:tab/>
            </w:r>
            <w:r w:rsidRPr="006879E3">
              <w:rPr>
                <w:rStyle w:val="Hyperlink"/>
                <w:noProof/>
              </w:rPr>
              <w:t>Dos Documentos Não Estruturados</w:t>
            </w:r>
            <w:r>
              <w:rPr>
                <w:noProof/>
                <w:webHidden/>
              </w:rPr>
              <w:tab/>
            </w:r>
            <w:r>
              <w:rPr>
                <w:noProof/>
                <w:webHidden/>
              </w:rPr>
              <w:fldChar w:fldCharType="begin"/>
            </w:r>
            <w:r>
              <w:rPr>
                <w:noProof/>
                <w:webHidden/>
              </w:rPr>
              <w:instrText xml:space="preserve"> PAGEREF _Toc94806391 \h </w:instrText>
            </w:r>
            <w:r>
              <w:rPr>
                <w:noProof/>
                <w:webHidden/>
              </w:rPr>
            </w:r>
            <w:r>
              <w:rPr>
                <w:noProof/>
                <w:webHidden/>
              </w:rPr>
              <w:fldChar w:fldCharType="separate"/>
            </w:r>
            <w:r>
              <w:rPr>
                <w:noProof/>
                <w:webHidden/>
              </w:rPr>
              <w:t>313</w:t>
            </w:r>
            <w:r>
              <w:rPr>
                <w:noProof/>
                <w:webHidden/>
              </w:rPr>
              <w:fldChar w:fldCharType="end"/>
            </w:r>
          </w:hyperlink>
        </w:p>
        <w:p w14:paraId="1E59D105" w14:textId="0C6C7D8D" w:rsidR="009C5325" w:rsidRDefault="009C5325">
          <w:pPr>
            <w:pStyle w:val="Sumrio3"/>
            <w:tabs>
              <w:tab w:val="left" w:pos="1320"/>
              <w:tab w:val="right" w:leader="dot" w:pos="9062"/>
            </w:tabs>
            <w:rPr>
              <w:rFonts w:eastAsiaTheme="minorEastAsia"/>
              <w:noProof/>
              <w:sz w:val="22"/>
              <w:szCs w:val="22"/>
              <w:lang w:eastAsia="pt-BR"/>
            </w:rPr>
          </w:pPr>
          <w:hyperlink w:anchor="_Toc94806392" w:history="1">
            <w:r w:rsidRPr="006879E3">
              <w:rPr>
                <w:rStyle w:val="Hyperlink"/>
                <w:b/>
                <w:bCs/>
                <w:noProof/>
              </w:rPr>
              <w:t>4.22.2</w:t>
            </w:r>
            <w:r>
              <w:rPr>
                <w:rFonts w:eastAsiaTheme="minorEastAsia"/>
                <w:noProof/>
                <w:sz w:val="22"/>
                <w:szCs w:val="22"/>
                <w:lang w:eastAsia="pt-BR"/>
              </w:rPr>
              <w:tab/>
            </w:r>
            <w:r w:rsidRPr="006879E3">
              <w:rPr>
                <w:rStyle w:val="Hyperlink"/>
                <w:noProof/>
              </w:rPr>
              <w:t>Dos Documentos Estruturados</w:t>
            </w:r>
            <w:r>
              <w:rPr>
                <w:noProof/>
                <w:webHidden/>
              </w:rPr>
              <w:tab/>
            </w:r>
            <w:r>
              <w:rPr>
                <w:noProof/>
                <w:webHidden/>
              </w:rPr>
              <w:fldChar w:fldCharType="begin"/>
            </w:r>
            <w:r>
              <w:rPr>
                <w:noProof/>
                <w:webHidden/>
              </w:rPr>
              <w:instrText xml:space="preserve"> PAGEREF _Toc94806392 \h </w:instrText>
            </w:r>
            <w:r>
              <w:rPr>
                <w:noProof/>
                <w:webHidden/>
              </w:rPr>
            </w:r>
            <w:r>
              <w:rPr>
                <w:noProof/>
                <w:webHidden/>
              </w:rPr>
              <w:fldChar w:fldCharType="separate"/>
            </w:r>
            <w:r>
              <w:rPr>
                <w:noProof/>
                <w:webHidden/>
              </w:rPr>
              <w:t>314</w:t>
            </w:r>
            <w:r>
              <w:rPr>
                <w:noProof/>
                <w:webHidden/>
              </w:rPr>
              <w:fldChar w:fldCharType="end"/>
            </w:r>
          </w:hyperlink>
        </w:p>
        <w:p w14:paraId="76B47DE3" w14:textId="018A5531" w:rsidR="009C5325" w:rsidRDefault="009C5325">
          <w:pPr>
            <w:pStyle w:val="Sumrio2"/>
            <w:tabs>
              <w:tab w:val="left" w:pos="880"/>
              <w:tab w:val="right" w:leader="dot" w:pos="9062"/>
            </w:tabs>
            <w:rPr>
              <w:rFonts w:eastAsiaTheme="minorEastAsia"/>
              <w:b w:val="0"/>
              <w:bCs w:val="0"/>
              <w:noProof/>
              <w:lang w:eastAsia="pt-BR"/>
            </w:rPr>
          </w:pPr>
          <w:hyperlink w:anchor="_Toc94806393" w:history="1">
            <w:r w:rsidRPr="006879E3">
              <w:rPr>
                <w:rStyle w:val="Hyperlink"/>
                <w:noProof/>
              </w:rPr>
              <w:t>4.23</w:t>
            </w:r>
            <w:r>
              <w:rPr>
                <w:rFonts w:eastAsiaTheme="minorEastAsia"/>
                <w:b w:val="0"/>
                <w:bCs w:val="0"/>
                <w:noProof/>
                <w:lang w:eastAsia="pt-BR"/>
              </w:rPr>
              <w:tab/>
            </w:r>
            <w:r w:rsidRPr="006879E3">
              <w:rPr>
                <w:rStyle w:val="Hyperlink"/>
                <w:noProof/>
              </w:rPr>
              <w:t>Incluído o Modelo de Arquivo Não Estruturado RECRERE</w:t>
            </w:r>
            <w:r>
              <w:rPr>
                <w:noProof/>
                <w:webHidden/>
              </w:rPr>
              <w:tab/>
            </w:r>
            <w:r>
              <w:rPr>
                <w:noProof/>
                <w:webHidden/>
              </w:rPr>
              <w:fldChar w:fldCharType="begin"/>
            </w:r>
            <w:r>
              <w:rPr>
                <w:noProof/>
                <w:webHidden/>
              </w:rPr>
              <w:instrText xml:space="preserve"> PAGEREF _Toc94806393 \h </w:instrText>
            </w:r>
            <w:r>
              <w:rPr>
                <w:noProof/>
                <w:webHidden/>
              </w:rPr>
            </w:r>
            <w:r>
              <w:rPr>
                <w:noProof/>
                <w:webHidden/>
              </w:rPr>
              <w:fldChar w:fldCharType="separate"/>
            </w:r>
            <w:r>
              <w:rPr>
                <w:noProof/>
                <w:webHidden/>
              </w:rPr>
              <w:t>314</w:t>
            </w:r>
            <w:r>
              <w:rPr>
                <w:noProof/>
                <w:webHidden/>
              </w:rPr>
              <w:fldChar w:fldCharType="end"/>
            </w:r>
          </w:hyperlink>
        </w:p>
        <w:p w14:paraId="054E5BD7" w14:textId="591CFA63" w:rsidR="009C5325" w:rsidRDefault="009C5325">
          <w:pPr>
            <w:pStyle w:val="Sumrio2"/>
            <w:tabs>
              <w:tab w:val="left" w:pos="880"/>
              <w:tab w:val="right" w:leader="dot" w:pos="9062"/>
            </w:tabs>
            <w:rPr>
              <w:rFonts w:eastAsiaTheme="minorEastAsia"/>
              <w:b w:val="0"/>
              <w:bCs w:val="0"/>
              <w:noProof/>
              <w:lang w:eastAsia="pt-BR"/>
            </w:rPr>
          </w:pPr>
          <w:hyperlink w:anchor="_Toc94806394" w:history="1">
            <w:r w:rsidRPr="006879E3">
              <w:rPr>
                <w:rStyle w:val="Hyperlink"/>
                <w:noProof/>
              </w:rPr>
              <w:t>4.24</w:t>
            </w:r>
            <w:r>
              <w:rPr>
                <w:rFonts w:eastAsiaTheme="minorEastAsia"/>
                <w:b w:val="0"/>
                <w:bCs w:val="0"/>
                <w:noProof/>
                <w:lang w:eastAsia="pt-BR"/>
              </w:rPr>
              <w:tab/>
            </w:r>
            <w:r w:rsidRPr="006879E3">
              <w:rPr>
                <w:rStyle w:val="Hyperlink"/>
                <w:noProof/>
              </w:rPr>
              <w:t xml:space="preserve">Incluído o Modelo de Arquivo Não Estruturado </w:t>
            </w:r>
            <w:r w:rsidRPr="006879E3">
              <w:rPr>
                <w:rStyle w:val="Hyperlink"/>
                <w:rFonts w:cs="Arial"/>
                <w:noProof/>
              </w:rPr>
              <w:t>REOBRIG.</w:t>
            </w:r>
            <w:r>
              <w:rPr>
                <w:noProof/>
                <w:webHidden/>
              </w:rPr>
              <w:tab/>
            </w:r>
            <w:r>
              <w:rPr>
                <w:noProof/>
                <w:webHidden/>
              </w:rPr>
              <w:fldChar w:fldCharType="begin"/>
            </w:r>
            <w:r>
              <w:rPr>
                <w:noProof/>
                <w:webHidden/>
              </w:rPr>
              <w:instrText xml:space="preserve"> PAGEREF _Toc94806394 \h </w:instrText>
            </w:r>
            <w:r>
              <w:rPr>
                <w:noProof/>
                <w:webHidden/>
              </w:rPr>
            </w:r>
            <w:r>
              <w:rPr>
                <w:noProof/>
                <w:webHidden/>
              </w:rPr>
              <w:fldChar w:fldCharType="separate"/>
            </w:r>
            <w:r>
              <w:rPr>
                <w:noProof/>
                <w:webHidden/>
              </w:rPr>
              <w:t>315</w:t>
            </w:r>
            <w:r>
              <w:rPr>
                <w:noProof/>
                <w:webHidden/>
              </w:rPr>
              <w:fldChar w:fldCharType="end"/>
            </w:r>
          </w:hyperlink>
        </w:p>
        <w:p w14:paraId="2A25E9A6" w14:textId="0BB0A80B" w:rsidR="009C5325" w:rsidRDefault="009C5325">
          <w:pPr>
            <w:pStyle w:val="Sumrio2"/>
            <w:tabs>
              <w:tab w:val="left" w:pos="880"/>
              <w:tab w:val="right" w:leader="dot" w:pos="9062"/>
            </w:tabs>
            <w:rPr>
              <w:rFonts w:eastAsiaTheme="minorEastAsia"/>
              <w:b w:val="0"/>
              <w:bCs w:val="0"/>
              <w:noProof/>
              <w:lang w:eastAsia="pt-BR"/>
            </w:rPr>
          </w:pPr>
          <w:hyperlink w:anchor="_Toc94806395" w:history="1">
            <w:r w:rsidRPr="006879E3">
              <w:rPr>
                <w:rStyle w:val="Hyperlink"/>
                <w:noProof/>
              </w:rPr>
              <w:t>4.25</w:t>
            </w:r>
            <w:r>
              <w:rPr>
                <w:rFonts w:eastAsiaTheme="minorEastAsia"/>
                <w:b w:val="0"/>
                <w:bCs w:val="0"/>
                <w:noProof/>
                <w:lang w:eastAsia="pt-BR"/>
              </w:rPr>
              <w:tab/>
            </w:r>
            <w:r w:rsidRPr="006879E3">
              <w:rPr>
                <w:rStyle w:val="Hyperlink"/>
                <w:noProof/>
              </w:rPr>
              <w:t>Incluído o Modelo de Arquivo Não Estruturado RFPREC.</w:t>
            </w:r>
            <w:r>
              <w:rPr>
                <w:noProof/>
                <w:webHidden/>
              </w:rPr>
              <w:tab/>
            </w:r>
            <w:r>
              <w:rPr>
                <w:noProof/>
                <w:webHidden/>
              </w:rPr>
              <w:fldChar w:fldCharType="begin"/>
            </w:r>
            <w:r>
              <w:rPr>
                <w:noProof/>
                <w:webHidden/>
              </w:rPr>
              <w:instrText xml:space="preserve"> PAGEREF _Toc94806395 \h </w:instrText>
            </w:r>
            <w:r>
              <w:rPr>
                <w:noProof/>
                <w:webHidden/>
              </w:rPr>
            </w:r>
            <w:r>
              <w:rPr>
                <w:noProof/>
                <w:webHidden/>
              </w:rPr>
              <w:fldChar w:fldCharType="separate"/>
            </w:r>
            <w:r>
              <w:rPr>
                <w:noProof/>
                <w:webHidden/>
              </w:rPr>
              <w:t>315</w:t>
            </w:r>
            <w:r>
              <w:rPr>
                <w:noProof/>
                <w:webHidden/>
              </w:rPr>
              <w:fldChar w:fldCharType="end"/>
            </w:r>
          </w:hyperlink>
        </w:p>
        <w:p w14:paraId="0B815508" w14:textId="5450CCE1" w:rsidR="009C5325" w:rsidRDefault="009C5325">
          <w:pPr>
            <w:pStyle w:val="Sumrio2"/>
            <w:tabs>
              <w:tab w:val="left" w:pos="880"/>
              <w:tab w:val="right" w:leader="dot" w:pos="9062"/>
            </w:tabs>
            <w:rPr>
              <w:rFonts w:eastAsiaTheme="minorEastAsia"/>
              <w:b w:val="0"/>
              <w:bCs w:val="0"/>
              <w:noProof/>
              <w:lang w:eastAsia="pt-BR"/>
            </w:rPr>
          </w:pPr>
          <w:hyperlink w:anchor="_Toc94806396" w:history="1">
            <w:r w:rsidRPr="006879E3">
              <w:rPr>
                <w:rStyle w:val="Hyperlink"/>
                <w:noProof/>
              </w:rPr>
              <w:t>4.26</w:t>
            </w:r>
            <w:r>
              <w:rPr>
                <w:rFonts w:eastAsiaTheme="minorEastAsia"/>
                <w:b w:val="0"/>
                <w:bCs w:val="0"/>
                <w:noProof/>
                <w:lang w:eastAsia="pt-BR"/>
              </w:rPr>
              <w:tab/>
            </w:r>
            <w:r w:rsidRPr="006879E3">
              <w:rPr>
                <w:rStyle w:val="Hyperlink"/>
                <w:noProof/>
              </w:rPr>
              <w:t xml:space="preserve">Alterações promovidas pela Portaria </w:t>
            </w:r>
            <w:r w:rsidRPr="006879E3">
              <w:rPr>
                <w:rStyle w:val="Hyperlink"/>
                <w:noProof/>
              </w:rPr>
              <w:t>0</w:t>
            </w:r>
            <w:r w:rsidRPr="006879E3">
              <w:rPr>
                <w:rStyle w:val="Hyperlink"/>
                <w:noProof/>
              </w:rPr>
              <w:t>5/2022:</w:t>
            </w:r>
            <w:r>
              <w:rPr>
                <w:noProof/>
                <w:webHidden/>
              </w:rPr>
              <w:tab/>
            </w:r>
            <w:r>
              <w:rPr>
                <w:noProof/>
                <w:webHidden/>
              </w:rPr>
              <w:fldChar w:fldCharType="begin"/>
            </w:r>
            <w:r>
              <w:rPr>
                <w:noProof/>
                <w:webHidden/>
              </w:rPr>
              <w:instrText xml:space="preserve"> PAGEREF _Toc94806396 \h </w:instrText>
            </w:r>
            <w:r>
              <w:rPr>
                <w:noProof/>
                <w:webHidden/>
              </w:rPr>
            </w:r>
            <w:r>
              <w:rPr>
                <w:noProof/>
                <w:webHidden/>
              </w:rPr>
              <w:fldChar w:fldCharType="separate"/>
            </w:r>
            <w:r>
              <w:rPr>
                <w:noProof/>
                <w:webHidden/>
              </w:rPr>
              <w:t>315</w:t>
            </w:r>
            <w:r>
              <w:rPr>
                <w:noProof/>
                <w:webHidden/>
              </w:rPr>
              <w:fldChar w:fldCharType="end"/>
            </w:r>
          </w:hyperlink>
        </w:p>
        <w:p w14:paraId="0BD75A06" w14:textId="4F3E1D96" w:rsidR="00DC4F11" w:rsidRDefault="00DC4F11">
          <w:r>
            <w:rPr>
              <w:b/>
              <w:bCs/>
            </w:rPr>
            <w:fldChar w:fldCharType="end"/>
          </w:r>
        </w:p>
      </w:sdtContent>
    </w:sdt>
    <w:p w14:paraId="12700F85" w14:textId="77777777" w:rsidR="00697756" w:rsidRDefault="00697756">
      <w:pPr>
        <w:rPr>
          <w:rFonts w:ascii="Arial" w:eastAsia="Times New Roman" w:hAnsi="Arial" w:cs="Times New Roman"/>
          <w:b/>
          <w:bCs/>
          <w:kern w:val="32"/>
          <w:sz w:val="28"/>
          <w:szCs w:val="32"/>
          <w:lang w:val="x-none" w:eastAsia="x-none"/>
        </w:rPr>
      </w:pPr>
      <w:r>
        <w:br w:type="page"/>
      </w:r>
    </w:p>
    <w:p w14:paraId="586DCC83" w14:textId="475B3E41" w:rsidR="00267AE2" w:rsidRDefault="00267AE2" w:rsidP="00267AE2">
      <w:pPr>
        <w:pStyle w:val="Ttulo1"/>
      </w:pPr>
      <w:bookmarkStart w:id="1" w:name="_Toc94806285"/>
      <w:r w:rsidRPr="00267AE2">
        <w:lastRenderedPageBreak/>
        <w:t>DEFINIÇÕES</w:t>
      </w:r>
      <w:bookmarkEnd w:id="1"/>
    </w:p>
    <w:p w14:paraId="074BABF7" w14:textId="77777777" w:rsidR="00267AE2" w:rsidRDefault="00267AE2" w:rsidP="00267AE2">
      <w:pPr>
        <w:spacing w:after="0" w:line="240" w:lineRule="auto"/>
        <w:rPr>
          <w:rFonts w:ascii="Arial" w:eastAsia="Times New Roman" w:hAnsi="Arial" w:cs="Arial"/>
          <w:b/>
          <w:sz w:val="28"/>
          <w:szCs w:val="28"/>
          <w:lang w:eastAsia="pt-BR"/>
        </w:rPr>
      </w:pPr>
    </w:p>
    <w:p w14:paraId="7D10C532" w14:textId="77777777" w:rsidR="00267AE2" w:rsidRDefault="00267AE2" w:rsidP="00601804">
      <w:pPr>
        <w:pStyle w:val="Ttulo2"/>
      </w:pPr>
      <w:bookmarkStart w:id="2" w:name="_Toc94806286"/>
      <w:r w:rsidRPr="00267AE2">
        <w:t>Obrigatoriedade</w:t>
      </w:r>
      <w:bookmarkEnd w:id="2"/>
    </w:p>
    <w:p w14:paraId="0769FE49" w14:textId="77777777" w:rsidR="00267AE2" w:rsidRDefault="00267AE2" w:rsidP="006C7DEF">
      <w:pPr>
        <w:spacing w:after="0" w:line="240" w:lineRule="auto"/>
        <w:rPr>
          <w:rFonts w:ascii="Arial" w:eastAsia="Times New Roman" w:hAnsi="Arial" w:cs="Arial"/>
          <w:b/>
          <w:sz w:val="28"/>
          <w:szCs w:val="28"/>
          <w:lang w:eastAsia="pt-BR"/>
        </w:rPr>
      </w:pPr>
    </w:p>
    <w:p w14:paraId="084CF863" w14:textId="77777777" w:rsidR="00267AE2" w:rsidRPr="0082387F" w:rsidRDefault="00267AE2" w:rsidP="00267AE2">
      <w:pPr>
        <w:autoSpaceDE w:val="0"/>
        <w:autoSpaceDN w:val="0"/>
        <w:adjustRightInd w:val="0"/>
        <w:spacing w:after="120" w:line="360" w:lineRule="auto"/>
        <w:jc w:val="both"/>
        <w:rPr>
          <w:rFonts w:ascii="Arial" w:hAnsi="Arial" w:cs="Arial"/>
        </w:rPr>
      </w:pPr>
      <w:r w:rsidRPr="0082387F">
        <w:rPr>
          <w:rFonts w:ascii="Arial" w:hAnsi="Arial" w:cs="Arial"/>
        </w:rPr>
        <w:t>Subordinam-se a este Anexo as entidades e órgãos públicos mencionados no artigo 3º desta Instrução Normativa.</w:t>
      </w:r>
      <w:r w:rsidR="00601804">
        <w:rPr>
          <w:rFonts w:ascii="Arial" w:hAnsi="Arial" w:cs="Arial"/>
        </w:rPr>
        <w:tab/>
      </w:r>
    </w:p>
    <w:p w14:paraId="0BE1947B" w14:textId="77777777" w:rsidR="00267AE2" w:rsidRDefault="00267AE2" w:rsidP="006C7DEF">
      <w:pPr>
        <w:spacing w:after="0" w:line="240" w:lineRule="auto"/>
        <w:rPr>
          <w:rFonts w:ascii="Arial" w:eastAsia="Times New Roman" w:hAnsi="Arial" w:cs="Arial"/>
          <w:b/>
          <w:sz w:val="28"/>
          <w:szCs w:val="28"/>
          <w:lang w:eastAsia="pt-BR"/>
        </w:rPr>
      </w:pPr>
    </w:p>
    <w:p w14:paraId="6809F418" w14:textId="77777777" w:rsidR="00601804" w:rsidRDefault="00601804" w:rsidP="00601804">
      <w:pPr>
        <w:pStyle w:val="Ttulo2"/>
        <w:rPr>
          <w:lang w:eastAsia="pt-BR"/>
        </w:rPr>
      </w:pPr>
      <w:bookmarkStart w:id="3" w:name="_Toc94806287"/>
      <w:r>
        <w:t>Envio e Homologação</w:t>
      </w:r>
      <w:bookmarkEnd w:id="3"/>
    </w:p>
    <w:p w14:paraId="60E62C83" w14:textId="77777777" w:rsidR="00601804" w:rsidRDefault="00601804" w:rsidP="006C7DEF">
      <w:pPr>
        <w:spacing w:after="0" w:line="240" w:lineRule="auto"/>
        <w:rPr>
          <w:rFonts w:ascii="Arial" w:eastAsia="Times New Roman" w:hAnsi="Arial" w:cs="Arial"/>
          <w:b/>
          <w:sz w:val="28"/>
          <w:szCs w:val="28"/>
          <w:lang w:eastAsia="pt-BR"/>
        </w:rPr>
      </w:pPr>
    </w:p>
    <w:p w14:paraId="794677BA" w14:textId="1571D36F" w:rsidR="00534E36" w:rsidRPr="0058337D" w:rsidRDefault="00534E36" w:rsidP="00534E36">
      <w:pPr>
        <w:spacing w:after="0" w:line="240" w:lineRule="auto"/>
        <w:jc w:val="both"/>
        <w:rPr>
          <w:rFonts w:ascii="Arial" w:hAnsi="Arial" w:cs="Arial"/>
          <w:sz w:val="24"/>
          <w:szCs w:val="24"/>
        </w:rPr>
      </w:pPr>
      <w:r w:rsidRPr="0058337D">
        <w:rPr>
          <w:rFonts w:ascii="Arial" w:hAnsi="Arial" w:cs="Arial"/>
          <w:sz w:val="24"/>
          <w:szCs w:val="24"/>
        </w:rPr>
        <w:t xml:space="preserve">Os arquivos integrantes da PCA </w:t>
      </w:r>
      <w:r>
        <w:rPr>
          <w:rFonts w:ascii="Arial" w:hAnsi="Arial" w:cs="Arial"/>
          <w:sz w:val="24"/>
          <w:szCs w:val="24"/>
        </w:rPr>
        <w:t xml:space="preserve">de prefeito e demais ordenadores </w:t>
      </w:r>
      <w:r w:rsidRPr="0058337D">
        <w:rPr>
          <w:rFonts w:ascii="Arial" w:hAnsi="Arial" w:cs="Arial"/>
          <w:sz w:val="24"/>
          <w:szCs w:val="24"/>
        </w:rPr>
        <w:t xml:space="preserve">serão encaminhados conforme o </w:t>
      </w:r>
      <w:r>
        <w:rPr>
          <w:rFonts w:ascii="Arial" w:hAnsi="Arial" w:cs="Arial"/>
          <w:sz w:val="24"/>
          <w:szCs w:val="24"/>
        </w:rPr>
        <w:t xml:space="preserve">presente </w:t>
      </w:r>
      <w:r w:rsidRPr="00E374F3">
        <w:rPr>
          <w:rFonts w:ascii="Arial" w:hAnsi="Arial" w:cs="Arial"/>
          <w:sz w:val="24"/>
          <w:szCs w:val="24"/>
        </w:rPr>
        <w:t>Anexo</w:t>
      </w:r>
      <w:r w:rsidRPr="0058337D">
        <w:rPr>
          <w:rFonts w:ascii="Arial" w:hAnsi="Arial" w:cs="Arial"/>
          <w:sz w:val="24"/>
          <w:szCs w:val="24"/>
        </w:rPr>
        <w:t xml:space="preserve"> desta Instrução Normativa</w:t>
      </w:r>
      <w:r>
        <w:rPr>
          <w:rFonts w:ascii="Arial" w:hAnsi="Arial" w:cs="Arial"/>
          <w:sz w:val="24"/>
          <w:szCs w:val="24"/>
        </w:rPr>
        <w:t>.</w:t>
      </w:r>
    </w:p>
    <w:p w14:paraId="1F6C081E" w14:textId="77777777" w:rsidR="00534E36" w:rsidRPr="0058337D" w:rsidRDefault="00534E36" w:rsidP="00534E36">
      <w:pPr>
        <w:spacing w:after="0" w:line="240" w:lineRule="auto"/>
        <w:jc w:val="both"/>
        <w:rPr>
          <w:rFonts w:ascii="Arial" w:hAnsi="Arial" w:cs="Arial"/>
          <w:sz w:val="24"/>
          <w:szCs w:val="24"/>
        </w:rPr>
      </w:pPr>
    </w:p>
    <w:p w14:paraId="0E802FF5" w14:textId="77777777" w:rsidR="00534E36" w:rsidRPr="0058337D" w:rsidRDefault="00534E36" w:rsidP="00534E36">
      <w:pPr>
        <w:spacing w:after="0" w:line="240" w:lineRule="auto"/>
        <w:jc w:val="both"/>
        <w:rPr>
          <w:rFonts w:ascii="Arial" w:hAnsi="Arial" w:cs="Arial"/>
          <w:sz w:val="24"/>
          <w:szCs w:val="24"/>
        </w:rPr>
      </w:pPr>
      <w:r w:rsidRPr="0058337D">
        <w:rPr>
          <w:rFonts w:ascii="Arial" w:hAnsi="Arial" w:cs="Arial"/>
          <w:sz w:val="24"/>
          <w:szCs w:val="24"/>
        </w:rPr>
        <w:t>O não envio de quaisquer dos arquivos não estruturados constantes d</w:t>
      </w:r>
      <w:r>
        <w:rPr>
          <w:rFonts w:ascii="Arial" w:hAnsi="Arial" w:cs="Arial"/>
          <w:sz w:val="24"/>
          <w:szCs w:val="24"/>
        </w:rPr>
        <w:t>este</w:t>
      </w:r>
      <w:r w:rsidRPr="0058337D">
        <w:rPr>
          <w:rFonts w:ascii="Arial" w:hAnsi="Arial" w:cs="Arial"/>
          <w:sz w:val="24"/>
          <w:szCs w:val="24"/>
        </w:rPr>
        <w:t xml:space="preserve"> </w:t>
      </w:r>
      <w:r w:rsidRPr="00E374F3">
        <w:rPr>
          <w:rFonts w:ascii="Arial" w:hAnsi="Arial" w:cs="Arial"/>
          <w:sz w:val="24"/>
          <w:szCs w:val="24"/>
        </w:rPr>
        <w:t>Anexo</w:t>
      </w:r>
      <w:r w:rsidRPr="0058337D">
        <w:rPr>
          <w:rFonts w:ascii="Arial" w:hAnsi="Arial" w:cs="Arial"/>
          <w:sz w:val="24"/>
          <w:szCs w:val="24"/>
        </w:rPr>
        <w:t xml:space="preserve"> deverá ser justificado, sob pena de imp</w:t>
      </w:r>
      <w:r>
        <w:rPr>
          <w:rFonts w:ascii="Arial" w:hAnsi="Arial" w:cs="Arial"/>
          <w:sz w:val="24"/>
          <w:szCs w:val="24"/>
        </w:rPr>
        <w:t>edimento do recebimento da PCA.</w:t>
      </w:r>
    </w:p>
    <w:p w14:paraId="66BC814D" w14:textId="77777777" w:rsidR="00534E36" w:rsidRPr="0058337D" w:rsidRDefault="00534E36" w:rsidP="00534E36">
      <w:pPr>
        <w:spacing w:after="0" w:line="240" w:lineRule="auto"/>
        <w:jc w:val="both"/>
        <w:rPr>
          <w:rFonts w:ascii="Arial" w:hAnsi="Arial" w:cs="Arial"/>
          <w:sz w:val="24"/>
          <w:szCs w:val="24"/>
        </w:rPr>
      </w:pPr>
    </w:p>
    <w:p w14:paraId="68B942C2" w14:textId="77777777" w:rsidR="00534E36" w:rsidRDefault="00534E36" w:rsidP="00534E36">
      <w:pPr>
        <w:spacing w:after="0" w:line="240" w:lineRule="auto"/>
        <w:jc w:val="both"/>
        <w:rPr>
          <w:rFonts w:ascii="Arial" w:hAnsi="Arial" w:cs="Arial"/>
          <w:sz w:val="24"/>
          <w:szCs w:val="24"/>
        </w:rPr>
      </w:pPr>
      <w:r w:rsidRPr="0058337D">
        <w:rPr>
          <w:rFonts w:ascii="Arial" w:hAnsi="Arial" w:cs="Arial"/>
          <w:sz w:val="24"/>
          <w:szCs w:val="24"/>
        </w:rPr>
        <w:t>Os dados referentes à PCA deverão ser enviados ao TCEES exclusivamente por meio do Cid</w:t>
      </w:r>
      <w:r>
        <w:rPr>
          <w:rFonts w:ascii="Arial" w:hAnsi="Arial" w:cs="Arial"/>
          <w:sz w:val="24"/>
          <w:szCs w:val="24"/>
        </w:rPr>
        <w:t xml:space="preserve">adES, nos prazos estabelecidos </w:t>
      </w:r>
      <w:r w:rsidRPr="0058337D">
        <w:rPr>
          <w:rFonts w:ascii="Arial" w:hAnsi="Arial" w:cs="Arial"/>
          <w:sz w:val="24"/>
          <w:szCs w:val="24"/>
        </w:rPr>
        <w:t xml:space="preserve">para Contas de </w:t>
      </w:r>
      <w:r>
        <w:rPr>
          <w:rFonts w:ascii="Arial" w:hAnsi="Arial" w:cs="Arial"/>
          <w:sz w:val="24"/>
          <w:szCs w:val="24"/>
        </w:rPr>
        <w:t>Chefe de Poder Executivo, equivalentes às</w:t>
      </w:r>
      <w:r w:rsidRPr="0058337D">
        <w:rPr>
          <w:rFonts w:ascii="Arial" w:hAnsi="Arial" w:cs="Arial"/>
          <w:sz w:val="24"/>
          <w:szCs w:val="24"/>
        </w:rPr>
        <w:t xml:space="preserve"> contas consolidadas do P</w:t>
      </w:r>
      <w:r>
        <w:rPr>
          <w:rFonts w:ascii="Arial" w:hAnsi="Arial" w:cs="Arial"/>
          <w:sz w:val="24"/>
          <w:szCs w:val="24"/>
        </w:rPr>
        <w:t>r</w:t>
      </w:r>
      <w:r w:rsidRPr="0058337D">
        <w:rPr>
          <w:rFonts w:ascii="Arial" w:hAnsi="Arial" w:cs="Arial"/>
          <w:sz w:val="24"/>
          <w:szCs w:val="24"/>
        </w:rPr>
        <w:t>e</w:t>
      </w:r>
      <w:r>
        <w:rPr>
          <w:rFonts w:ascii="Arial" w:hAnsi="Arial" w:cs="Arial"/>
          <w:sz w:val="24"/>
          <w:szCs w:val="24"/>
        </w:rPr>
        <w:t>feito</w:t>
      </w:r>
      <w:r w:rsidRPr="0058337D">
        <w:rPr>
          <w:rFonts w:ascii="Arial" w:hAnsi="Arial" w:cs="Arial"/>
          <w:sz w:val="24"/>
          <w:szCs w:val="24"/>
        </w:rPr>
        <w:t xml:space="preserve"> municipal, e par</w:t>
      </w:r>
      <w:r>
        <w:rPr>
          <w:rFonts w:ascii="Arial" w:hAnsi="Arial" w:cs="Arial"/>
          <w:sz w:val="24"/>
          <w:szCs w:val="24"/>
        </w:rPr>
        <w:t>a Contas de Gestão, referentes às</w:t>
      </w:r>
      <w:r w:rsidRPr="0058337D">
        <w:rPr>
          <w:rFonts w:ascii="Arial" w:hAnsi="Arial" w:cs="Arial"/>
          <w:sz w:val="24"/>
          <w:szCs w:val="24"/>
        </w:rPr>
        <w:t xml:space="preserve"> contas dos administradores e demais responsáveis pelos jurisdicionados definidos no artigo </w:t>
      </w:r>
      <w:r>
        <w:rPr>
          <w:rFonts w:ascii="Arial" w:hAnsi="Arial" w:cs="Arial"/>
          <w:sz w:val="24"/>
          <w:szCs w:val="24"/>
        </w:rPr>
        <w:t>3º desta Instrução Normativa.</w:t>
      </w:r>
    </w:p>
    <w:p w14:paraId="2642F9E0" w14:textId="77777777" w:rsidR="00601804" w:rsidRDefault="00601804" w:rsidP="006C7DEF">
      <w:pPr>
        <w:spacing w:after="0" w:line="240" w:lineRule="auto"/>
        <w:rPr>
          <w:rFonts w:ascii="Arial" w:eastAsia="Times New Roman" w:hAnsi="Arial" w:cs="Arial"/>
          <w:b/>
          <w:sz w:val="28"/>
          <w:szCs w:val="28"/>
          <w:lang w:eastAsia="pt-BR"/>
        </w:rPr>
      </w:pPr>
    </w:p>
    <w:p w14:paraId="7278C157" w14:textId="77777777" w:rsidR="00534E36" w:rsidRDefault="00534E36" w:rsidP="00534E36">
      <w:pPr>
        <w:spacing w:after="0" w:line="240" w:lineRule="auto"/>
        <w:jc w:val="both"/>
        <w:rPr>
          <w:rFonts w:ascii="Arial" w:hAnsi="Arial" w:cs="Arial"/>
          <w:sz w:val="24"/>
          <w:szCs w:val="24"/>
        </w:rPr>
      </w:pPr>
      <w:r w:rsidRPr="003F6EDE">
        <w:rPr>
          <w:rFonts w:ascii="Arial" w:hAnsi="Arial" w:cs="Arial"/>
          <w:sz w:val="24"/>
          <w:szCs w:val="24"/>
        </w:rPr>
        <w:t>A homologação da PCA referente às Contas de Chefe de Poder Executivo, equivalentes às contas consolidadas do Prefeito municipal, só poderá ocorrer após a homologação de todas as PCAs referentes às Contas de Gestão do jurisdicionado.</w:t>
      </w:r>
    </w:p>
    <w:p w14:paraId="1D9E24F0" w14:textId="77777777" w:rsidR="00534E36" w:rsidRDefault="00534E36" w:rsidP="006C7DEF">
      <w:pPr>
        <w:spacing w:after="0" w:line="240" w:lineRule="auto"/>
        <w:rPr>
          <w:rFonts w:ascii="Arial" w:eastAsia="Times New Roman" w:hAnsi="Arial" w:cs="Arial"/>
          <w:b/>
          <w:sz w:val="28"/>
          <w:szCs w:val="28"/>
          <w:lang w:eastAsia="pt-BR"/>
        </w:rPr>
      </w:pPr>
    </w:p>
    <w:p w14:paraId="56FBC841" w14:textId="77777777" w:rsidR="00534E36" w:rsidRDefault="00534E36" w:rsidP="00534E36">
      <w:pPr>
        <w:pStyle w:val="Ttulo2"/>
        <w:rPr>
          <w:lang w:eastAsia="pt-BR"/>
        </w:rPr>
      </w:pPr>
      <w:bookmarkStart w:id="4" w:name="_Toc94806288"/>
      <w:r>
        <w:t>Retificação</w:t>
      </w:r>
      <w:bookmarkEnd w:id="4"/>
    </w:p>
    <w:p w14:paraId="143E40E1" w14:textId="77777777" w:rsidR="00534E36" w:rsidRDefault="00534E36" w:rsidP="006C7DEF">
      <w:pPr>
        <w:spacing w:after="0" w:line="240" w:lineRule="auto"/>
        <w:rPr>
          <w:rFonts w:ascii="Arial" w:eastAsia="Times New Roman" w:hAnsi="Arial" w:cs="Arial"/>
          <w:b/>
          <w:sz w:val="28"/>
          <w:szCs w:val="28"/>
          <w:lang w:eastAsia="pt-BR"/>
        </w:rPr>
      </w:pPr>
    </w:p>
    <w:p w14:paraId="334BB45B" w14:textId="77777777" w:rsidR="00534E36" w:rsidRDefault="00534E36" w:rsidP="00534E36">
      <w:pPr>
        <w:spacing w:after="0" w:line="240" w:lineRule="auto"/>
        <w:jc w:val="both"/>
        <w:rPr>
          <w:rFonts w:ascii="Arial" w:hAnsi="Arial" w:cs="Arial"/>
          <w:sz w:val="24"/>
          <w:szCs w:val="24"/>
        </w:rPr>
      </w:pPr>
      <w:r w:rsidRPr="00157302">
        <w:rPr>
          <w:rFonts w:ascii="Arial" w:hAnsi="Arial" w:cs="Arial"/>
          <w:sz w:val="24"/>
          <w:szCs w:val="24"/>
        </w:rPr>
        <w:t xml:space="preserve">Após a homologação dos documentos gerados, </w:t>
      </w:r>
      <w:r>
        <w:rPr>
          <w:rFonts w:ascii="Arial" w:hAnsi="Arial" w:cs="Arial"/>
          <w:sz w:val="24"/>
          <w:szCs w:val="24"/>
        </w:rPr>
        <w:t xml:space="preserve">nos termos do artigo 8º desta Instrução Normativa, </w:t>
      </w:r>
      <w:r w:rsidRPr="00157302">
        <w:rPr>
          <w:rFonts w:ascii="Arial" w:hAnsi="Arial" w:cs="Arial"/>
          <w:sz w:val="24"/>
          <w:szCs w:val="24"/>
        </w:rPr>
        <w:t>a PCA será considerada entregue e apta para análise, não podendo ser substituída.</w:t>
      </w:r>
      <w:r>
        <w:rPr>
          <w:rFonts w:ascii="Arial" w:hAnsi="Arial" w:cs="Arial"/>
          <w:sz w:val="24"/>
          <w:szCs w:val="24"/>
        </w:rPr>
        <w:t xml:space="preserve"> </w:t>
      </w:r>
      <w:r w:rsidRPr="00516C91">
        <w:rPr>
          <w:rFonts w:ascii="Arial" w:hAnsi="Arial" w:cs="Arial"/>
          <w:sz w:val="24"/>
          <w:szCs w:val="24"/>
        </w:rPr>
        <w:t>A UG somente poderá homologar a PCA de um exercício após a homologação da PCM das remessas de encerramento ou do último mês em que esteve ativa no respectivo exercício.</w:t>
      </w:r>
    </w:p>
    <w:p w14:paraId="7A52DEDF" w14:textId="77777777" w:rsidR="00534E36" w:rsidRDefault="00534E36" w:rsidP="00534E36">
      <w:pPr>
        <w:spacing w:after="0" w:line="240" w:lineRule="auto"/>
        <w:jc w:val="both"/>
        <w:rPr>
          <w:rFonts w:ascii="Arial" w:hAnsi="Arial" w:cs="Arial"/>
          <w:sz w:val="24"/>
          <w:szCs w:val="24"/>
        </w:rPr>
      </w:pPr>
    </w:p>
    <w:p w14:paraId="583D0CB8" w14:textId="77777777" w:rsidR="00534E36" w:rsidRPr="0058337D" w:rsidRDefault="00534E36" w:rsidP="00534E36">
      <w:pPr>
        <w:spacing w:after="0" w:line="240" w:lineRule="auto"/>
        <w:jc w:val="both"/>
        <w:rPr>
          <w:rFonts w:ascii="Arial" w:hAnsi="Arial" w:cs="Arial"/>
          <w:sz w:val="24"/>
          <w:szCs w:val="24"/>
        </w:rPr>
      </w:pPr>
      <w:r>
        <w:rPr>
          <w:rFonts w:ascii="Arial" w:hAnsi="Arial" w:cs="Arial"/>
          <w:sz w:val="24"/>
          <w:szCs w:val="24"/>
        </w:rPr>
        <w:t>C</w:t>
      </w:r>
      <w:r w:rsidRPr="0058337D">
        <w:rPr>
          <w:rFonts w:ascii="Arial" w:hAnsi="Arial" w:cs="Arial"/>
          <w:sz w:val="24"/>
          <w:szCs w:val="24"/>
        </w:rPr>
        <w:t>aso sejam identificados arquivos não estruturados passíveis de correção, o TCEES cientificará o responsável pelo envio da PCA, por meio de termo de notificação eletrônico, sobr</w:t>
      </w:r>
      <w:r>
        <w:rPr>
          <w:rFonts w:ascii="Arial" w:hAnsi="Arial" w:cs="Arial"/>
          <w:sz w:val="24"/>
          <w:szCs w:val="24"/>
        </w:rPr>
        <w:t>e a necessidade de retificação.</w:t>
      </w:r>
    </w:p>
    <w:p w14:paraId="391DC47D" w14:textId="77777777" w:rsidR="00534E36" w:rsidRPr="0058337D" w:rsidRDefault="00534E36" w:rsidP="00534E36">
      <w:pPr>
        <w:spacing w:after="0" w:line="240" w:lineRule="auto"/>
        <w:jc w:val="both"/>
        <w:rPr>
          <w:rFonts w:ascii="Arial" w:hAnsi="Arial" w:cs="Arial"/>
          <w:sz w:val="24"/>
          <w:szCs w:val="24"/>
        </w:rPr>
      </w:pPr>
    </w:p>
    <w:p w14:paraId="4607BA7D" w14:textId="77777777" w:rsidR="00534E36" w:rsidRPr="0058337D" w:rsidRDefault="00534E36" w:rsidP="00534E36">
      <w:pPr>
        <w:spacing w:after="0" w:line="240" w:lineRule="auto"/>
        <w:jc w:val="both"/>
        <w:rPr>
          <w:rFonts w:ascii="Arial" w:hAnsi="Arial" w:cs="Arial"/>
          <w:sz w:val="24"/>
          <w:szCs w:val="24"/>
        </w:rPr>
      </w:pPr>
      <w:r w:rsidRPr="0058337D">
        <w:rPr>
          <w:rFonts w:ascii="Arial" w:hAnsi="Arial" w:cs="Arial"/>
          <w:sz w:val="24"/>
          <w:szCs w:val="24"/>
        </w:rPr>
        <w:t xml:space="preserve">Na hipótese de solicitação de retificação, o CidadES estará disponível para recebimento somente dos arquivos identificados pelo TCEES como passíveis de correção. </w:t>
      </w:r>
    </w:p>
    <w:p w14:paraId="318A2766" w14:textId="77777777" w:rsidR="00534E36" w:rsidRPr="0058337D" w:rsidRDefault="00534E36" w:rsidP="00534E36">
      <w:pPr>
        <w:spacing w:after="0" w:line="240" w:lineRule="auto"/>
        <w:jc w:val="both"/>
        <w:rPr>
          <w:rFonts w:ascii="Arial" w:hAnsi="Arial" w:cs="Arial"/>
          <w:sz w:val="24"/>
          <w:szCs w:val="24"/>
        </w:rPr>
      </w:pPr>
    </w:p>
    <w:p w14:paraId="1C1653AA" w14:textId="2533C057" w:rsidR="00534E36" w:rsidRPr="0058337D" w:rsidRDefault="00534E36" w:rsidP="00DE0064">
      <w:pPr>
        <w:spacing w:after="0" w:line="240" w:lineRule="auto"/>
        <w:jc w:val="both"/>
        <w:rPr>
          <w:rFonts w:ascii="Arial" w:hAnsi="Arial" w:cs="Arial"/>
          <w:sz w:val="24"/>
          <w:szCs w:val="24"/>
        </w:rPr>
      </w:pPr>
      <w:r w:rsidRPr="0058337D">
        <w:rPr>
          <w:rFonts w:ascii="Arial" w:hAnsi="Arial" w:cs="Arial"/>
          <w:sz w:val="24"/>
          <w:szCs w:val="24"/>
        </w:rPr>
        <w:t xml:space="preserve">O prazo para atendimento da solicitação de retificação </w:t>
      </w:r>
      <w:r w:rsidR="00DE0064">
        <w:rPr>
          <w:rFonts w:ascii="Arial" w:hAnsi="Arial" w:cs="Arial"/>
          <w:sz w:val="24"/>
          <w:szCs w:val="24"/>
        </w:rPr>
        <w:t xml:space="preserve">será o estabelecido no art 25, </w:t>
      </w:r>
      <w:r w:rsidR="00DE0064" w:rsidRPr="00DE0064">
        <w:rPr>
          <w:rFonts w:ascii="Arial" w:hAnsi="Arial" w:cs="Arial"/>
          <w:sz w:val="24"/>
          <w:szCs w:val="24"/>
        </w:rPr>
        <w:t>§ 1º</w:t>
      </w:r>
      <w:r w:rsidR="00DE0064">
        <w:rPr>
          <w:rFonts w:ascii="Arial" w:hAnsi="Arial" w:cs="Arial"/>
          <w:sz w:val="24"/>
          <w:szCs w:val="24"/>
        </w:rPr>
        <w:t xml:space="preserve"> desta Instrução Normativa</w:t>
      </w:r>
      <w:r w:rsidRPr="0058337D">
        <w:rPr>
          <w:rFonts w:ascii="Arial" w:hAnsi="Arial" w:cs="Arial"/>
          <w:sz w:val="24"/>
          <w:szCs w:val="24"/>
        </w:rPr>
        <w:t>.</w:t>
      </w:r>
    </w:p>
    <w:p w14:paraId="1F9471E8" w14:textId="77777777" w:rsidR="00534E36" w:rsidRPr="0058337D" w:rsidRDefault="00534E36" w:rsidP="00534E36">
      <w:pPr>
        <w:spacing w:after="0" w:line="240" w:lineRule="auto"/>
        <w:jc w:val="both"/>
        <w:rPr>
          <w:rFonts w:ascii="Arial" w:hAnsi="Arial" w:cs="Arial"/>
          <w:sz w:val="24"/>
          <w:szCs w:val="24"/>
        </w:rPr>
      </w:pPr>
    </w:p>
    <w:p w14:paraId="1CE2A042" w14:textId="77777777" w:rsidR="00534E36" w:rsidRDefault="00534E36" w:rsidP="00534E36">
      <w:pPr>
        <w:spacing w:after="0" w:line="240" w:lineRule="auto"/>
        <w:rPr>
          <w:rFonts w:ascii="Arial" w:hAnsi="Arial" w:cs="Arial"/>
          <w:sz w:val="24"/>
          <w:szCs w:val="24"/>
        </w:rPr>
      </w:pPr>
      <w:r w:rsidRPr="0058337D">
        <w:rPr>
          <w:rFonts w:ascii="Arial" w:hAnsi="Arial" w:cs="Arial"/>
          <w:sz w:val="24"/>
          <w:szCs w:val="24"/>
        </w:rPr>
        <w:lastRenderedPageBreak/>
        <w:t>Os arquivos estruturados homologad</w:t>
      </w:r>
      <w:r>
        <w:rPr>
          <w:rFonts w:ascii="Arial" w:hAnsi="Arial" w:cs="Arial"/>
          <w:sz w:val="24"/>
          <w:szCs w:val="24"/>
        </w:rPr>
        <w:t>os não poderão ser retificados.</w:t>
      </w:r>
    </w:p>
    <w:p w14:paraId="3D2AC8B0" w14:textId="77777777" w:rsidR="00534E36" w:rsidRDefault="00534E36" w:rsidP="00534E36">
      <w:pPr>
        <w:spacing w:after="0" w:line="240" w:lineRule="auto"/>
        <w:rPr>
          <w:rFonts w:ascii="Arial" w:hAnsi="Arial" w:cs="Arial"/>
          <w:sz w:val="24"/>
          <w:szCs w:val="24"/>
        </w:rPr>
      </w:pPr>
    </w:p>
    <w:p w14:paraId="2D61D112" w14:textId="63E14651" w:rsidR="00534E36" w:rsidRDefault="00534E36" w:rsidP="00534E36">
      <w:pPr>
        <w:pStyle w:val="Ttulo1"/>
      </w:pPr>
      <w:bookmarkStart w:id="5" w:name="_Toc94806289"/>
      <w:r>
        <w:rPr>
          <w:lang w:val="pt-BR"/>
        </w:rPr>
        <w:t xml:space="preserve">COMPOSIÇÃO DA </w:t>
      </w:r>
      <w:r w:rsidR="008D1C83">
        <w:rPr>
          <w:lang w:val="pt-BR"/>
        </w:rPr>
        <w:t>REMESSA</w:t>
      </w:r>
      <w:bookmarkEnd w:id="5"/>
    </w:p>
    <w:p w14:paraId="1C9E5DCF" w14:textId="77777777" w:rsidR="00534E36" w:rsidRDefault="00534E36" w:rsidP="00534E36">
      <w:pPr>
        <w:spacing w:after="0" w:line="240" w:lineRule="auto"/>
        <w:rPr>
          <w:rFonts w:ascii="Arial" w:eastAsia="Times New Roman" w:hAnsi="Arial" w:cs="Arial"/>
          <w:b/>
          <w:sz w:val="28"/>
          <w:szCs w:val="28"/>
          <w:lang w:eastAsia="pt-BR"/>
        </w:rPr>
      </w:pPr>
    </w:p>
    <w:p w14:paraId="02817F82" w14:textId="77777777" w:rsidR="00A5490A" w:rsidRPr="00A5490A" w:rsidRDefault="00A5490A" w:rsidP="002B6F62">
      <w:pPr>
        <w:pStyle w:val="Ttulo2"/>
        <w:rPr>
          <w:lang w:eastAsia="pt-BR"/>
        </w:rPr>
      </w:pPr>
      <w:bookmarkStart w:id="6" w:name="_Toc94806290"/>
      <w:r w:rsidRPr="00A5490A">
        <w:rPr>
          <w:lang w:eastAsia="pt-BR"/>
        </w:rPr>
        <w:t>CONTAS DE PREFEITO</w:t>
      </w:r>
      <w:bookmarkEnd w:id="6"/>
    </w:p>
    <w:p w14:paraId="3D053F45" w14:textId="77777777" w:rsidR="00A5490A" w:rsidRPr="00A5490A" w:rsidRDefault="00A5490A" w:rsidP="00A5490A">
      <w:pPr>
        <w:spacing w:after="0" w:line="240" w:lineRule="auto"/>
        <w:jc w:val="center"/>
        <w:rPr>
          <w:rFonts w:ascii="Arial" w:eastAsia="Times New Roman" w:hAnsi="Arial" w:cs="Arial"/>
          <w:lang w:eastAsia="pt-BR"/>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8"/>
        <w:gridCol w:w="6930"/>
        <w:gridCol w:w="992"/>
      </w:tblGrid>
      <w:tr w:rsidR="00CB7C58" w:rsidRPr="00A5490A" w14:paraId="65ED764F" w14:textId="77777777" w:rsidTr="00CB7C58">
        <w:tc>
          <w:tcPr>
            <w:tcW w:w="1258" w:type="dxa"/>
            <w:vAlign w:val="center"/>
          </w:tcPr>
          <w:p w14:paraId="0D5917E2" w14:textId="77777777" w:rsidR="00CB7C58" w:rsidRPr="00A5490A" w:rsidRDefault="00CB7C58" w:rsidP="00A5490A">
            <w:pPr>
              <w:spacing w:after="0" w:line="240" w:lineRule="auto"/>
              <w:jc w:val="center"/>
              <w:rPr>
                <w:rFonts w:ascii="Arial" w:eastAsia="Times New Roman" w:hAnsi="Arial" w:cs="Arial"/>
                <w:sz w:val="18"/>
                <w:szCs w:val="18"/>
                <w:lang w:eastAsia="pt-BR"/>
              </w:rPr>
            </w:pPr>
            <w:r>
              <w:rPr>
                <w:rFonts w:ascii="Arial" w:eastAsia="Times New Roman" w:hAnsi="Arial" w:cs="Arial"/>
                <w:sz w:val="18"/>
                <w:szCs w:val="18"/>
                <w:lang w:eastAsia="pt-BR"/>
              </w:rPr>
              <w:t>Código</w:t>
            </w:r>
          </w:p>
        </w:tc>
        <w:tc>
          <w:tcPr>
            <w:tcW w:w="6930" w:type="dxa"/>
            <w:shd w:val="clear" w:color="auto" w:fill="auto"/>
            <w:vAlign w:val="center"/>
          </w:tcPr>
          <w:p w14:paraId="2DF5ED1A" w14:textId="77777777" w:rsidR="00CB7C58" w:rsidRPr="00A5490A" w:rsidRDefault="00CB7C58" w:rsidP="006C7DEF">
            <w:pPr>
              <w:spacing w:before="120" w:after="12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Descrição</w:t>
            </w:r>
          </w:p>
        </w:tc>
        <w:tc>
          <w:tcPr>
            <w:tcW w:w="992" w:type="dxa"/>
            <w:shd w:val="clear" w:color="auto" w:fill="auto"/>
            <w:vAlign w:val="center"/>
          </w:tcPr>
          <w:p w14:paraId="4E95DA88" w14:textId="77777777" w:rsidR="00CB7C58" w:rsidRPr="00A5490A" w:rsidRDefault="00CB7C58" w:rsidP="00A5490A">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Formato</w:t>
            </w:r>
          </w:p>
        </w:tc>
      </w:tr>
      <w:tr w:rsidR="00CB7C58" w:rsidRPr="00A5490A" w14:paraId="543906C0" w14:textId="77777777" w:rsidTr="00CB7C58">
        <w:tc>
          <w:tcPr>
            <w:tcW w:w="1258" w:type="dxa"/>
            <w:vAlign w:val="center"/>
          </w:tcPr>
          <w:p w14:paraId="61E0ABE9" w14:textId="77777777" w:rsidR="00CB7C58" w:rsidRPr="00A5490A" w:rsidRDefault="00CB7C58" w:rsidP="00A5490A">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RELGES</w:t>
            </w:r>
          </w:p>
        </w:tc>
        <w:tc>
          <w:tcPr>
            <w:tcW w:w="6930" w:type="dxa"/>
            <w:shd w:val="clear" w:color="auto" w:fill="auto"/>
            <w:vAlign w:val="center"/>
          </w:tcPr>
          <w:p w14:paraId="032FE31D" w14:textId="77777777" w:rsidR="00CB7C58" w:rsidRPr="00A5490A" w:rsidRDefault="00CB7C58" w:rsidP="006C7DEF">
            <w:pPr>
              <w:spacing w:before="120" w:after="120" w:line="240" w:lineRule="auto"/>
              <w:jc w:val="both"/>
              <w:rPr>
                <w:rFonts w:ascii="Arial" w:eastAsia="Times New Roman" w:hAnsi="Arial" w:cs="Arial"/>
                <w:bCs/>
                <w:sz w:val="18"/>
                <w:szCs w:val="18"/>
                <w:lang w:eastAsia="pt-BR"/>
              </w:rPr>
            </w:pPr>
            <w:r w:rsidRPr="00A5490A">
              <w:rPr>
                <w:rFonts w:ascii="Arial" w:eastAsia="Times New Roman" w:hAnsi="Arial" w:cs="Arial"/>
                <w:sz w:val="18"/>
                <w:szCs w:val="18"/>
                <w:lang w:eastAsia="pt-BR"/>
              </w:rPr>
              <w:t>Relatório de gestão abordando aspectos de natureza</w:t>
            </w:r>
            <w:r w:rsidRPr="00A5490A">
              <w:rPr>
                <w:rFonts w:ascii="Arial" w:eastAsia="Times New Roman" w:hAnsi="Arial" w:cs="Arial"/>
                <w:bCs/>
                <w:sz w:val="18"/>
                <w:szCs w:val="18"/>
                <w:lang w:eastAsia="pt-BR"/>
              </w:rPr>
              <w:t xml:space="preserve"> orçamentária, financeira, fiscal, operacional e patrimonial, organizado de forma que permita uma visão sistêmica do desempenho e da conformidade da gestão do município durante o exercício financeiro a que se refere a prestação de contas, em relação às diretrizes orçamentárias estabelecidas para aquele exercício e à legislação em vigor.</w:t>
            </w:r>
          </w:p>
          <w:p w14:paraId="5F287E5D" w14:textId="77777777" w:rsidR="00CB7C58" w:rsidRPr="00A5490A" w:rsidRDefault="00CB7C58" w:rsidP="006C7DEF">
            <w:pPr>
              <w:autoSpaceDE w:val="0"/>
              <w:autoSpaceDN w:val="0"/>
              <w:adjustRightInd w:val="0"/>
              <w:spacing w:before="120" w:after="120" w:line="240" w:lineRule="auto"/>
              <w:jc w:val="both"/>
              <w:rPr>
                <w:rFonts w:ascii="Arial" w:eastAsia="Times New Roman" w:hAnsi="Arial" w:cs="Arial"/>
                <w:bCs/>
                <w:sz w:val="18"/>
                <w:szCs w:val="18"/>
                <w:lang w:eastAsia="pt-BR"/>
              </w:rPr>
            </w:pPr>
            <w:r w:rsidRPr="00A5490A">
              <w:rPr>
                <w:rFonts w:ascii="Arial" w:eastAsia="Times New Roman" w:hAnsi="Arial" w:cs="Arial"/>
                <w:bCs/>
                <w:sz w:val="18"/>
                <w:szCs w:val="18"/>
                <w:lang w:eastAsia="pt-BR"/>
              </w:rPr>
              <w:t>O relatório de gestão deverá destacar, dentre outros aspectos:</w:t>
            </w:r>
          </w:p>
          <w:p w14:paraId="2F84A3C9" w14:textId="77777777" w:rsidR="00CB7C58" w:rsidRPr="00A5490A" w:rsidRDefault="00CB7C58" w:rsidP="00101E2D">
            <w:pPr>
              <w:numPr>
                <w:ilvl w:val="0"/>
                <w:numId w:val="6"/>
              </w:numPr>
              <w:autoSpaceDE w:val="0"/>
              <w:autoSpaceDN w:val="0"/>
              <w:adjustRightInd w:val="0"/>
              <w:spacing w:before="120" w:after="120" w:line="240" w:lineRule="auto"/>
              <w:ind w:left="420" w:hanging="284"/>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O atendimento aos limites constitucionais para realização de despesas em ações e serviços públicos de saúde, na manutenção e no desenvolvimento do ensino, remuneração dos profissionais do magistério, pertinência dos recursos aplicados em saúde e educação, transferências para o Poder Legislativo, dentre outros limites impostos pela Constituição Federal;</w:t>
            </w:r>
          </w:p>
          <w:p w14:paraId="0E8C1304" w14:textId="77777777" w:rsidR="00CB7C58" w:rsidRPr="00A5490A" w:rsidRDefault="00CB7C58" w:rsidP="00101E2D">
            <w:pPr>
              <w:numPr>
                <w:ilvl w:val="0"/>
                <w:numId w:val="6"/>
              </w:numPr>
              <w:autoSpaceDE w:val="0"/>
              <w:autoSpaceDN w:val="0"/>
              <w:adjustRightInd w:val="0"/>
              <w:spacing w:before="120" w:after="120" w:line="240" w:lineRule="auto"/>
              <w:ind w:left="420" w:hanging="284"/>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O atendimento aos limites estabelecidos pela LRF para despesas com pessoal, endividamento, operações de crédito, inclusive por antecipação de receitas orçamentárias, concessão de garantias e contragarantias, obrigações contraídas no último ano de mandato, dentre outros limites impostos pela Lei de Responsabilidade Fiscal;</w:t>
            </w:r>
          </w:p>
          <w:p w14:paraId="2EC22E63" w14:textId="77777777" w:rsidR="00CB7C58" w:rsidRPr="00A5490A" w:rsidRDefault="00CB7C58" w:rsidP="00101E2D">
            <w:pPr>
              <w:numPr>
                <w:ilvl w:val="0"/>
                <w:numId w:val="6"/>
              </w:numPr>
              <w:autoSpaceDE w:val="0"/>
              <w:autoSpaceDN w:val="0"/>
              <w:adjustRightInd w:val="0"/>
              <w:spacing w:before="120" w:after="120" w:line="240" w:lineRule="auto"/>
              <w:ind w:left="420" w:hanging="284"/>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As medidas adotadas para o retorno da despesa total com pessoal, se excedente ao respectivo limite, quando for o caso;</w:t>
            </w:r>
          </w:p>
          <w:p w14:paraId="6A7A4CB3" w14:textId="77777777" w:rsidR="00CB7C58" w:rsidRPr="00A5490A" w:rsidRDefault="00CB7C58" w:rsidP="00101E2D">
            <w:pPr>
              <w:numPr>
                <w:ilvl w:val="0"/>
                <w:numId w:val="6"/>
              </w:numPr>
              <w:autoSpaceDE w:val="0"/>
              <w:autoSpaceDN w:val="0"/>
              <w:adjustRightInd w:val="0"/>
              <w:spacing w:before="120" w:after="120" w:line="240" w:lineRule="auto"/>
              <w:ind w:left="420" w:hanging="284"/>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O cumprimento das metas estabelecidas na LDO;</w:t>
            </w:r>
          </w:p>
          <w:p w14:paraId="70DD6CD4" w14:textId="77777777" w:rsidR="00CB7C58" w:rsidRPr="00A5490A" w:rsidRDefault="00CB7C58" w:rsidP="00101E2D">
            <w:pPr>
              <w:numPr>
                <w:ilvl w:val="0"/>
                <w:numId w:val="6"/>
              </w:numPr>
              <w:autoSpaceDE w:val="0"/>
              <w:autoSpaceDN w:val="0"/>
              <w:adjustRightInd w:val="0"/>
              <w:spacing w:before="120" w:after="120" w:line="240" w:lineRule="auto"/>
              <w:ind w:left="420" w:hanging="284"/>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O reflexo da renúncia de receitas no desenvolvimento econômico e social do município, considerando, inclusive, o reflexo nas contas públicas municipais;</w:t>
            </w:r>
          </w:p>
          <w:p w14:paraId="79A5003E" w14:textId="77777777" w:rsidR="00CB7C58" w:rsidRPr="00A5490A" w:rsidRDefault="00CB7C58" w:rsidP="00101E2D">
            <w:pPr>
              <w:numPr>
                <w:ilvl w:val="0"/>
                <w:numId w:val="6"/>
              </w:numPr>
              <w:autoSpaceDE w:val="0"/>
              <w:autoSpaceDN w:val="0"/>
              <w:adjustRightInd w:val="0"/>
              <w:spacing w:before="120" w:after="120" w:line="240" w:lineRule="auto"/>
              <w:ind w:left="420" w:hanging="284"/>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A adoção de medidas de compensação para a renúncia de receitas;</w:t>
            </w:r>
          </w:p>
          <w:p w14:paraId="4A0734D9" w14:textId="77777777" w:rsidR="00CB7C58" w:rsidRPr="00A5490A" w:rsidRDefault="00CB7C58" w:rsidP="00101E2D">
            <w:pPr>
              <w:numPr>
                <w:ilvl w:val="0"/>
                <w:numId w:val="6"/>
              </w:numPr>
              <w:autoSpaceDE w:val="0"/>
              <w:autoSpaceDN w:val="0"/>
              <w:adjustRightInd w:val="0"/>
              <w:spacing w:before="120" w:after="120" w:line="240" w:lineRule="auto"/>
              <w:ind w:left="420" w:hanging="284"/>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O cumprimento dos programas previstos na LOA e sua consonância com a LDO e com o PPA, descrevendo de forma analítica as atividades dos órgãos e entidades do Poder Executivo, a execução dos programas incluídos na LOA, com indicação das metas físicas e financeiras previstas e executadas;</w:t>
            </w:r>
          </w:p>
          <w:p w14:paraId="11833915" w14:textId="77777777" w:rsidR="00CB7C58" w:rsidRPr="00A5490A" w:rsidRDefault="00CB7C58" w:rsidP="00101E2D">
            <w:pPr>
              <w:numPr>
                <w:ilvl w:val="0"/>
                <w:numId w:val="6"/>
              </w:numPr>
              <w:autoSpaceDE w:val="0"/>
              <w:autoSpaceDN w:val="0"/>
              <w:adjustRightInd w:val="0"/>
              <w:spacing w:before="120" w:after="120" w:line="240" w:lineRule="auto"/>
              <w:ind w:left="420" w:hanging="284"/>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A inscrição, a baixa e os pagamentos de precatórios, evidenciando a política adotada pelo governo do município para o pagamento da dívida, na forma das disposições contidas no artigo 100 da CRFB/88;</w:t>
            </w:r>
          </w:p>
          <w:p w14:paraId="7231A2B5" w14:textId="77777777" w:rsidR="00CB7C58" w:rsidRPr="00A5490A" w:rsidRDefault="00CB7C58" w:rsidP="00101E2D">
            <w:pPr>
              <w:numPr>
                <w:ilvl w:val="0"/>
                <w:numId w:val="6"/>
              </w:numPr>
              <w:autoSpaceDE w:val="0"/>
              <w:autoSpaceDN w:val="0"/>
              <w:adjustRightInd w:val="0"/>
              <w:spacing w:before="120" w:after="120" w:line="240" w:lineRule="auto"/>
              <w:ind w:left="420" w:hanging="284"/>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 xml:space="preserve">O montante dos gastos com publicidade dos órgãos e entidades da Administração Pública, inclusive as empresas </w:t>
            </w:r>
            <w:r>
              <w:rPr>
                <w:rFonts w:ascii="Arial" w:eastAsia="Times New Roman" w:hAnsi="Arial" w:cs="Arial"/>
                <w:sz w:val="18"/>
                <w:szCs w:val="18"/>
                <w:lang w:eastAsia="pt-BR"/>
              </w:rPr>
              <w:t xml:space="preserve">públicas </w:t>
            </w:r>
            <w:r w:rsidRPr="00A5490A">
              <w:rPr>
                <w:rFonts w:ascii="Arial" w:eastAsia="Times New Roman" w:hAnsi="Arial" w:cs="Arial"/>
                <w:sz w:val="18"/>
                <w:szCs w:val="18"/>
                <w:lang w:eastAsia="pt-BR"/>
              </w:rPr>
              <w:t>e sociedades de economia mista municipais;</w:t>
            </w:r>
          </w:p>
          <w:p w14:paraId="753BEFEA" w14:textId="77777777" w:rsidR="00CB7C58" w:rsidRPr="00A5490A" w:rsidRDefault="00CB7C58" w:rsidP="00101E2D">
            <w:pPr>
              <w:numPr>
                <w:ilvl w:val="0"/>
                <w:numId w:val="6"/>
              </w:numPr>
              <w:autoSpaceDE w:val="0"/>
              <w:autoSpaceDN w:val="0"/>
              <w:adjustRightInd w:val="0"/>
              <w:spacing w:before="120" w:after="120" w:line="240" w:lineRule="auto"/>
              <w:ind w:left="420" w:hanging="284"/>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As estratégias operacionais adotadas pela Procuradoria Geral do Município no que se refere à recuperação dos créditos tributários municipais;</w:t>
            </w:r>
          </w:p>
          <w:p w14:paraId="176FCF15" w14:textId="77777777" w:rsidR="00CB7C58" w:rsidRPr="00A5490A" w:rsidRDefault="00CB7C58" w:rsidP="00101E2D">
            <w:pPr>
              <w:numPr>
                <w:ilvl w:val="0"/>
                <w:numId w:val="6"/>
              </w:numPr>
              <w:autoSpaceDE w:val="0"/>
              <w:autoSpaceDN w:val="0"/>
              <w:adjustRightInd w:val="0"/>
              <w:spacing w:before="120" w:after="120" w:line="240" w:lineRule="auto"/>
              <w:ind w:left="420" w:hanging="284"/>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O atendimento das recomendações e/ou determinações contidas nos Pareceres Prévios emitidos pelo TCEES;</w:t>
            </w:r>
          </w:p>
          <w:p w14:paraId="376821D6" w14:textId="77777777" w:rsidR="00CB7C58" w:rsidRDefault="00CB7C58" w:rsidP="00101E2D">
            <w:pPr>
              <w:numPr>
                <w:ilvl w:val="0"/>
                <w:numId w:val="6"/>
              </w:numPr>
              <w:autoSpaceDE w:val="0"/>
              <w:autoSpaceDN w:val="0"/>
              <w:adjustRightInd w:val="0"/>
              <w:spacing w:before="120" w:after="120" w:line="240" w:lineRule="auto"/>
              <w:ind w:left="420" w:hanging="284"/>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O desempenho da arrecadação das receitas municipais, destacando as providências adotadas no âmbito da fiscalização das receitas e combate à sonegação, bem como as demais ações voltadas para o incremento das receitas de competência do Município;</w:t>
            </w:r>
          </w:p>
          <w:p w14:paraId="30E6D3FA" w14:textId="77777777" w:rsidR="00CB7C58" w:rsidRPr="00A5490A" w:rsidRDefault="00CB7C58" w:rsidP="00101E2D">
            <w:pPr>
              <w:numPr>
                <w:ilvl w:val="0"/>
                <w:numId w:val="6"/>
              </w:numPr>
              <w:autoSpaceDE w:val="0"/>
              <w:autoSpaceDN w:val="0"/>
              <w:adjustRightInd w:val="0"/>
              <w:spacing w:before="120" w:after="120" w:line="240" w:lineRule="auto"/>
              <w:ind w:left="420" w:hanging="284"/>
              <w:jc w:val="both"/>
              <w:rPr>
                <w:rFonts w:ascii="Arial" w:eastAsia="Times New Roman" w:hAnsi="Arial" w:cs="Arial"/>
                <w:sz w:val="18"/>
                <w:szCs w:val="18"/>
                <w:lang w:eastAsia="pt-BR"/>
              </w:rPr>
            </w:pPr>
            <w:r>
              <w:rPr>
                <w:rFonts w:ascii="Arial" w:eastAsia="Times New Roman" w:hAnsi="Arial" w:cs="Arial"/>
                <w:sz w:val="18"/>
                <w:szCs w:val="18"/>
                <w:lang w:eastAsia="pt-BR"/>
              </w:rPr>
              <w:t>A política de recuperação dos créditos inscritos em Dívida Ativa, bem como, os provisionamentos para perdas registradas em contas de ajustes da Dívida Ativa.</w:t>
            </w:r>
          </w:p>
          <w:p w14:paraId="225EF15E" w14:textId="77777777" w:rsidR="00CB7C58" w:rsidRPr="00A5490A" w:rsidRDefault="00CB7C58" w:rsidP="00101E2D">
            <w:pPr>
              <w:numPr>
                <w:ilvl w:val="0"/>
                <w:numId w:val="6"/>
              </w:numPr>
              <w:autoSpaceDE w:val="0"/>
              <w:autoSpaceDN w:val="0"/>
              <w:adjustRightInd w:val="0"/>
              <w:spacing w:before="120" w:after="120" w:line="240" w:lineRule="auto"/>
              <w:ind w:left="420" w:hanging="284"/>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lastRenderedPageBreak/>
              <w:t>A participação acionária do Município, em 31 de dezembro, nas empresas públicas e sociedades de economia mista, com indicação dos resultados obtidos no exercício sob análise.</w:t>
            </w:r>
          </w:p>
        </w:tc>
        <w:tc>
          <w:tcPr>
            <w:tcW w:w="992" w:type="dxa"/>
            <w:shd w:val="clear" w:color="auto" w:fill="auto"/>
            <w:vAlign w:val="center"/>
          </w:tcPr>
          <w:p w14:paraId="2F5E6AEE" w14:textId="77777777" w:rsidR="00CB7C58" w:rsidRPr="00A5490A" w:rsidRDefault="00532985" w:rsidP="00A5490A">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lastRenderedPageBreak/>
              <w:t>PDF</w:t>
            </w:r>
          </w:p>
        </w:tc>
      </w:tr>
      <w:tr w:rsidR="00CB7C58" w:rsidRPr="00A5490A" w14:paraId="24507AC7" w14:textId="77777777" w:rsidTr="00CB7C58">
        <w:tc>
          <w:tcPr>
            <w:tcW w:w="1258" w:type="dxa"/>
            <w:vAlign w:val="center"/>
          </w:tcPr>
          <w:p w14:paraId="2AC4C8DF" w14:textId="6DA7B602" w:rsidR="00CB7C58" w:rsidRPr="00A5490A" w:rsidRDefault="00CB7C58" w:rsidP="00A5490A">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lastRenderedPageBreak/>
              <w:t>BALORC</w:t>
            </w:r>
            <w:r w:rsidR="00B94677">
              <w:rPr>
                <w:rFonts w:ascii="Arial" w:eastAsia="Times New Roman" w:hAnsi="Arial" w:cs="Arial"/>
                <w:sz w:val="18"/>
                <w:szCs w:val="18"/>
                <w:lang w:eastAsia="pt-BR"/>
              </w:rPr>
              <w:t>-CONS</w:t>
            </w:r>
          </w:p>
        </w:tc>
        <w:tc>
          <w:tcPr>
            <w:tcW w:w="6930" w:type="dxa"/>
            <w:shd w:val="clear" w:color="auto" w:fill="auto"/>
            <w:vAlign w:val="center"/>
          </w:tcPr>
          <w:p w14:paraId="5A5AD3AC" w14:textId="0259E22D" w:rsidR="00CB7C58" w:rsidRPr="00A5490A" w:rsidRDefault="00CB7C58" w:rsidP="0043750D">
            <w:p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Balanço Orçamentário (Anexo 12 Lei 4.320/1964) consolidado e outros quadros elucidativos que se fizerem necessários (Artigo 101 da Lei Federal nº 4.320/64)</w:t>
            </w:r>
            <w:r>
              <w:rPr>
                <w:rFonts w:ascii="Arial" w:eastAsia="Times New Roman" w:hAnsi="Arial" w:cs="Arial"/>
                <w:sz w:val="18"/>
                <w:szCs w:val="18"/>
                <w:lang w:eastAsia="pt-BR"/>
              </w:rPr>
              <w:t xml:space="preserve">. </w:t>
            </w:r>
            <w:r w:rsidR="0043750D" w:rsidRPr="0043750D">
              <w:rPr>
                <w:rFonts w:ascii="Arial" w:eastAsia="Times New Roman" w:hAnsi="Arial" w:cs="Arial"/>
                <w:sz w:val="18"/>
                <w:szCs w:val="18"/>
                <w:lang w:eastAsia="pt-BR"/>
              </w:rPr>
              <w:t>Este demonstrativo compõe a PCA e será gerado a partir da remessa do mês 13 da prestaçã</w:t>
            </w:r>
            <w:r w:rsidR="00732462">
              <w:rPr>
                <w:rFonts w:ascii="Arial" w:eastAsia="Times New Roman" w:hAnsi="Arial" w:cs="Arial"/>
                <w:sz w:val="18"/>
                <w:szCs w:val="18"/>
                <w:lang w:eastAsia="pt-BR"/>
              </w:rPr>
              <w:t>o de contas mensal e homologado</w:t>
            </w:r>
            <w:r w:rsidR="0043750D" w:rsidRPr="0043750D">
              <w:rPr>
                <w:rFonts w:ascii="Arial" w:eastAsia="Times New Roman" w:hAnsi="Arial" w:cs="Arial"/>
                <w:sz w:val="18"/>
                <w:szCs w:val="18"/>
                <w:lang w:eastAsia="pt-BR"/>
              </w:rPr>
              <w:t xml:space="preserve"> na PCA.</w:t>
            </w:r>
          </w:p>
        </w:tc>
        <w:tc>
          <w:tcPr>
            <w:tcW w:w="992" w:type="dxa"/>
            <w:shd w:val="clear" w:color="auto" w:fill="auto"/>
            <w:vAlign w:val="center"/>
          </w:tcPr>
          <w:p w14:paraId="69776452" w14:textId="77777777" w:rsidR="00CB7C58" w:rsidRPr="00A5490A" w:rsidRDefault="0043750D" w:rsidP="00A5490A">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w:t>
            </w:r>
          </w:p>
        </w:tc>
      </w:tr>
      <w:tr w:rsidR="00CB7C58" w:rsidRPr="00A5490A" w14:paraId="192B15A4" w14:textId="77777777" w:rsidTr="00CB7C58">
        <w:tc>
          <w:tcPr>
            <w:tcW w:w="1258" w:type="dxa"/>
            <w:vAlign w:val="center"/>
          </w:tcPr>
          <w:p w14:paraId="3E82E7BB" w14:textId="6E654696" w:rsidR="00CB7C58" w:rsidRPr="00A5490A" w:rsidRDefault="00CB7C58" w:rsidP="00A5490A">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BALFIN</w:t>
            </w:r>
            <w:r w:rsidR="00732462">
              <w:rPr>
                <w:rFonts w:ascii="Arial" w:eastAsia="Times New Roman" w:hAnsi="Arial" w:cs="Arial"/>
                <w:sz w:val="18"/>
                <w:szCs w:val="18"/>
                <w:lang w:eastAsia="pt-BR"/>
              </w:rPr>
              <w:t>-CONS</w:t>
            </w:r>
          </w:p>
        </w:tc>
        <w:tc>
          <w:tcPr>
            <w:tcW w:w="6930" w:type="dxa"/>
            <w:shd w:val="clear" w:color="auto" w:fill="auto"/>
            <w:vAlign w:val="center"/>
          </w:tcPr>
          <w:p w14:paraId="3F00B6B1" w14:textId="1A0D3146" w:rsidR="00CB7C58" w:rsidRPr="00A5490A" w:rsidRDefault="00CB7C58" w:rsidP="00192DCF">
            <w:p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Balanço Financeiro (Anexo 13 Lei 4.320/1964) consolidado</w:t>
            </w:r>
            <w:r w:rsidR="0043750D" w:rsidRPr="00A5490A">
              <w:rPr>
                <w:rFonts w:ascii="Arial" w:eastAsia="Times New Roman" w:hAnsi="Arial" w:cs="Arial"/>
                <w:sz w:val="18"/>
                <w:szCs w:val="18"/>
                <w:lang w:eastAsia="pt-BR"/>
              </w:rPr>
              <w:t xml:space="preserve"> e outros quadros elucidativos que se fizerem necessários (Artigo 101 da Lei Federal nº 4.320/64)</w:t>
            </w:r>
            <w:r w:rsidR="0043750D">
              <w:rPr>
                <w:rFonts w:ascii="Arial" w:eastAsia="Times New Roman" w:hAnsi="Arial" w:cs="Arial"/>
                <w:sz w:val="18"/>
                <w:szCs w:val="18"/>
                <w:lang w:eastAsia="pt-BR"/>
              </w:rPr>
              <w:t xml:space="preserve">. </w:t>
            </w:r>
            <w:r w:rsidR="0043750D" w:rsidRPr="0043750D">
              <w:rPr>
                <w:rFonts w:ascii="Arial" w:eastAsia="Times New Roman" w:hAnsi="Arial" w:cs="Arial"/>
                <w:sz w:val="18"/>
                <w:szCs w:val="18"/>
                <w:lang w:eastAsia="pt-BR"/>
              </w:rPr>
              <w:t>Este demonstrativo compõe a PCA e será gerado a partir da remessa do mês 13 da prestaçã</w:t>
            </w:r>
            <w:r w:rsidR="00732462">
              <w:rPr>
                <w:rFonts w:ascii="Arial" w:eastAsia="Times New Roman" w:hAnsi="Arial" w:cs="Arial"/>
                <w:sz w:val="18"/>
                <w:szCs w:val="18"/>
                <w:lang w:eastAsia="pt-BR"/>
              </w:rPr>
              <w:t>o de contas mensal e homologado</w:t>
            </w:r>
            <w:r w:rsidR="0043750D" w:rsidRPr="0043750D">
              <w:rPr>
                <w:rFonts w:ascii="Arial" w:eastAsia="Times New Roman" w:hAnsi="Arial" w:cs="Arial"/>
                <w:sz w:val="18"/>
                <w:szCs w:val="18"/>
                <w:lang w:eastAsia="pt-BR"/>
              </w:rPr>
              <w:t xml:space="preserve"> na PCA.</w:t>
            </w:r>
          </w:p>
        </w:tc>
        <w:tc>
          <w:tcPr>
            <w:tcW w:w="992" w:type="dxa"/>
            <w:shd w:val="clear" w:color="auto" w:fill="auto"/>
            <w:vAlign w:val="center"/>
          </w:tcPr>
          <w:p w14:paraId="196D8243" w14:textId="77777777" w:rsidR="00CB7C58" w:rsidRPr="00A5490A" w:rsidRDefault="0043750D" w:rsidP="00A5490A">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w:t>
            </w:r>
          </w:p>
        </w:tc>
      </w:tr>
      <w:tr w:rsidR="00CB7C58" w:rsidRPr="00A5490A" w14:paraId="3ECC8C30" w14:textId="77777777" w:rsidTr="00CB7C58">
        <w:tc>
          <w:tcPr>
            <w:tcW w:w="1258" w:type="dxa"/>
            <w:vAlign w:val="center"/>
          </w:tcPr>
          <w:p w14:paraId="24E9EB21" w14:textId="56FEAF52" w:rsidR="00CB7C58" w:rsidRPr="00A5490A" w:rsidRDefault="00CB7C58" w:rsidP="00A5490A">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BALPAT</w:t>
            </w:r>
            <w:r w:rsidR="00732462">
              <w:rPr>
                <w:rFonts w:ascii="Arial" w:eastAsia="Times New Roman" w:hAnsi="Arial" w:cs="Arial"/>
                <w:sz w:val="18"/>
                <w:szCs w:val="18"/>
                <w:lang w:eastAsia="pt-BR"/>
              </w:rPr>
              <w:t>-CONS</w:t>
            </w:r>
          </w:p>
        </w:tc>
        <w:tc>
          <w:tcPr>
            <w:tcW w:w="6930" w:type="dxa"/>
            <w:shd w:val="clear" w:color="auto" w:fill="auto"/>
            <w:vAlign w:val="center"/>
          </w:tcPr>
          <w:p w14:paraId="3CEE0D75" w14:textId="197E5292" w:rsidR="00CB7C58" w:rsidRPr="00A5490A" w:rsidRDefault="00CB7C58" w:rsidP="00192DCF">
            <w:p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Balanço Patrimonial (Anexo 14 Lei 4.320/1964) consolidado</w:t>
            </w:r>
            <w:r w:rsidR="0043750D" w:rsidRPr="00A5490A">
              <w:rPr>
                <w:rFonts w:ascii="Arial" w:eastAsia="Times New Roman" w:hAnsi="Arial" w:cs="Arial"/>
                <w:sz w:val="18"/>
                <w:szCs w:val="18"/>
                <w:lang w:eastAsia="pt-BR"/>
              </w:rPr>
              <w:t xml:space="preserve"> e outros quadros elucidativos que se fizerem necessários (Artigo 101 da Lei Federal nº 4.320/64)</w:t>
            </w:r>
            <w:r w:rsidR="0043750D">
              <w:rPr>
                <w:rFonts w:ascii="Arial" w:eastAsia="Times New Roman" w:hAnsi="Arial" w:cs="Arial"/>
                <w:sz w:val="18"/>
                <w:szCs w:val="18"/>
                <w:lang w:eastAsia="pt-BR"/>
              </w:rPr>
              <w:t xml:space="preserve">. </w:t>
            </w:r>
            <w:r w:rsidR="0043750D" w:rsidRPr="0043750D">
              <w:rPr>
                <w:rFonts w:ascii="Arial" w:eastAsia="Times New Roman" w:hAnsi="Arial" w:cs="Arial"/>
                <w:sz w:val="18"/>
                <w:szCs w:val="18"/>
                <w:lang w:eastAsia="pt-BR"/>
              </w:rPr>
              <w:t>Este demonstrativo compõe a PCA e será gerado a partir da remessa do mês 13 da prestaçã</w:t>
            </w:r>
            <w:r w:rsidR="00732462">
              <w:rPr>
                <w:rFonts w:ascii="Arial" w:eastAsia="Times New Roman" w:hAnsi="Arial" w:cs="Arial"/>
                <w:sz w:val="18"/>
                <w:szCs w:val="18"/>
                <w:lang w:eastAsia="pt-BR"/>
              </w:rPr>
              <w:t>o de contas mensal e homologado</w:t>
            </w:r>
            <w:r w:rsidR="0043750D" w:rsidRPr="0043750D">
              <w:rPr>
                <w:rFonts w:ascii="Arial" w:eastAsia="Times New Roman" w:hAnsi="Arial" w:cs="Arial"/>
                <w:sz w:val="18"/>
                <w:szCs w:val="18"/>
                <w:lang w:eastAsia="pt-BR"/>
              </w:rPr>
              <w:t xml:space="preserve"> na PCA.</w:t>
            </w:r>
          </w:p>
        </w:tc>
        <w:tc>
          <w:tcPr>
            <w:tcW w:w="992" w:type="dxa"/>
            <w:shd w:val="clear" w:color="auto" w:fill="auto"/>
            <w:vAlign w:val="center"/>
          </w:tcPr>
          <w:p w14:paraId="13870B63" w14:textId="77777777" w:rsidR="00CB7C58" w:rsidRPr="00A5490A" w:rsidRDefault="0043750D" w:rsidP="00A5490A">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w:t>
            </w:r>
          </w:p>
        </w:tc>
      </w:tr>
      <w:tr w:rsidR="00CB7C58" w:rsidRPr="00A5490A" w14:paraId="5A3F3A66" w14:textId="77777777" w:rsidTr="00CB7C58">
        <w:tc>
          <w:tcPr>
            <w:tcW w:w="1258" w:type="dxa"/>
            <w:vAlign w:val="center"/>
          </w:tcPr>
          <w:p w14:paraId="482AE242" w14:textId="65F12174" w:rsidR="00CB7C58" w:rsidRPr="00A5490A" w:rsidRDefault="00CB7C58" w:rsidP="00A5490A">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DEMVAP</w:t>
            </w:r>
            <w:r w:rsidR="00732462">
              <w:rPr>
                <w:rFonts w:ascii="Arial" w:eastAsia="Times New Roman" w:hAnsi="Arial" w:cs="Arial"/>
                <w:sz w:val="18"/>
                <w:szCs w:val="18"/>
                <w:lang w:eastAsia="pt-BR"/>
              </w:rPr>
              <w:t>-CONS</w:t>
            </w:r>
          </w:p>
        </w:tc>
        <w:tc>
          <w:tcPr>
            <w:tcW w:w="6930" w:type="dxa"/>
            <w:shd w:val="clear" w:color="auto" w:fill="auto"/>
            <w:vAlign w:val="center"/>
          </w:tcPr>
          <w:p w14:paraId="3036C922" w14:textId="50E08FE3" w:rsidR="00CB7C58" w:rsidRPr="00A5490A" w:rsidRDefault="00CB7C58" w:rsidP="00192DCF">
            <w:p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Demonstração das Variações Patrimoniais (Anexo 15 Lei 4.320/1964) consolidada</w:t>
            </w:r>
            <w:r w:rsidR="0043750D" w:rsidRPr="00A5490A">
              <w:rPr>
                <w:rFonts w:ascii="Arial" w:eastAsia="Times New Roman" w:hAnsi="Arial" w:cs="Arial"/>
                <w:sz w:val="18"/>
                <w:szCs w:val="18"/>
                <w:lang w:eastAsia="pt-BR"/>
              </w:rPr>
              <w:t xml:space="preserve"> e outros quadros elucidativos que se fizerem necessários (Artigo 101 da Lei Federal nº 4.320/64)</w:t>
            </w:r>
            <w:r w:rsidR="0043750D">
              <w:rPr>
                <w:rFonts w:ascii="Arial" w:eastAsia="Times New Roman" w:hAnsi="Arial" w:cs="Arial"/>
                <w:sz w:val="18"/>
                <w:szCs w:val="18"/>
                <w:lang w:eastAsia="pt-BR"/>
              </w:rPr>
              <w:t xml:space="preserve">. </w:t>
            </w:r>
            <w:r w:rsidR="0043750D" w:rsidRPr="0043750D">
              <w:rPr>
                <w:rFonts w:ascii="Arial" w:eastAsia="Times New Roman" w:hAnsi="Arial" w:cs="Arial"/>
                <w:sz w:val="18"/>
                <w:szCs w:val="18"/>
                <w:lang w:eastAsia="pt-BR"/>
              </w:rPr>
              <w:t>Este demonstrativo compõe a PCA e será gerado a partir da remessa do mês 13 da prestaçã</w:t>
            </w:r>
            <w:r w:rsidR="00732462">
              <w:rPr>
                <w:rFonts w:ascii="Arial" w:eastAsia="Times New Roman" w:hAnsi="Arial" w:cs="Arial"/>
                <w:sz w:val="18"/>
                <w:szCs w:val="18"/>
                <w:lang w:eastAsia="pt-BR"/>
              </w:rPr>
              <w:t>o de contas mensal e homologado</w:t>
            </w:r>
            <w:r w:rsidR="0043750D" w:rsidRPr="0043750D">
              <w:rPr>
                <w:rFonts w:ascii="Arial" w:eastAsia="Times New Roman" w:hAnsi="Arial" w:cs="Arial"/>
                <w:sz w:val="18"/>
                <w:szCs w:val="18"/>
                <w:lang w:eastAsia="pt-BR"/>
              </w:rPr>
              <w:t xml:space="preserve"> na PCA.</w:t>
            </w:r>
          </w:p>
        </w:tc>
        <w:tc>
          <w:tcPr>
            <w:tcW w:w="992" w:type="dxa"/>
            <w:shd w:val="clear" w:color="auto" w:fill="auto"/>
            <w:vAlign w:val="center"/>
          </w:tcPr>
          <w:p w14:paraId="40CED7F2" w14:textId="77777777" w:rsidR="00CB7C58" w:rsidRPr="00A5490A" w:rsidRDefault="0043750D" w:rsidP="00A5490A">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w:t>
            </w:r>
          </w:p>
        </w:tc>
      </w:tr>
      <w:tr w:rsidR="00FC4387" w:rsidRPr="00E4542B" w14:paraId="26DF358F" w14:textId="77777777" w:rsidTr="00CB7C58">
        <w:tc>
          <w:tcPr>
            <w:tcW w:w="1258" w:type="dxa"/>
            <w:vAlign w:val="center"/>
          </w:tcPr>
          <w:p w14:paraId="5DCE5C3C" w14:textId="740C999B" w:rsidR="00FC4387" w:rsidRPr="00FC4387" w:rsidRDefault="00FC4387" w:rsidP="00FC4387">
            <w:pPr>
              <w:spacing w:after="0" w:line="240" w:lineRule="auto"/>
              <w:jc w:val="center"/>
              <w:rPr>
                <w:rFonts w:ascii="Arial" w:eastAsia="Times New Roman" w:hAnsi="Arial" w:cs="Arial"/>
                <w:sz w:val="18"/>
                <w:szCs w:val="18"/>
                <w:lang w:eastAsia="pt-BR"/>
              </w:rPr>
            </w:pPr>
            <w:r w:rsidRPr="00FC4387">
              <w:rPr>
                <w:rFonts w:ascii="Arial" w:eastAsia="Times New Roman" w:hAnsi="Arial" w:cs="Arial"/>
                <w:sz w:val="18"/>
                <w:szCs w:val="18"/>
                <w:lang w:eastAsia="pt-BR"/>
              </w:rPr>
              <w:t>BALVER-ANUAL-CONS</w:t>
            </w:r>
          </w:p>
        </w:tc>
        <w:tc>
          <w:tcPr>
            <w:tcW w:w="6930" w:type="dxa"/>
            <w:shd w:val="clear" w:color="auto" w:fill="auto"/>
            <w:vAlign w:val="center"/>
          </w:tcPr>
          <w:p w14:paraId="50B5406A" w14:textId="226DCEEA" w:rsidR="00FC4387" w:rsidRPr="00FC4387" w:rsidRDefault="00FC4387" w:rsidP="00FC4387">
            <w:pPr>
              <w:spacing w:before="120" w:after="120" w:line="240" w:lineRule="auto"/>
              <w:jc w:val="both"/>
              <w:rPr>
                <w:rFonts w:ascii="Arial" w:eastAsia="Times New Roman" w:hAnsi="Arial" w:cs="Arial"/>
                <w:sz w:val="18"/>
                <w:szCs w:val="18"/>
                <w:lang w:eastAsia="pt-BR"/>
              </w:rPr>
            </w:pPr>
            <w:r w:rsidRPr="00FC4387">
              <w:rPr>
                <w:rFonts w:ascii="Arial" w:eastAsia="Times New Roman" w:hAnsi="Arial" w:cs="Arial"/>
                <w:sz w:val="18"/>
                <w:szCs w:val="18"/>
                <w:lang w:eastAsia="pt-BR"/>
              </w:rPr>
              <w:t>Balancete de veri</w:t>
            </w:r>
            <w:r w:rsidRPr="00FC4387">
              <w:rPr>
                <w:rFonts w:ascii="Arial" w:hAnsi="Arial" w:cs="Arial"/>
                <w:sz w:val="18"/>
                <w:szCs w:val="18"/>
              </w:rPr>
              <w:t>ficação</w:t>
            </w:r>
            <w:r w:rsidRPr="00FC4387">
              <w:rPr>
                <w:rFonts w:ascii="Arial" w:hAnsi="Arial" w:cs="Arial"/>
                <w:b/>
                <w:sz w:val="20"/>
                <w:szCs w:val="20"/>
              </w:rPr>
              <w:t xml:space="preserve"> </w:t>
            </w:r>
            <w:r w:rsidRPr="00FC4387">
              <w:rPr>
                <w:rFonts w:ascii="Arial" w:eastAsia="Times New Roman" w:hAnsi="Arial" w:cs="Arial"/>
                <w:sz w:val="18"/>
                <w:szCs w:val="18"/>
                <w:lang w:eastAsia="pt-BR"/>
              </w:rPr>
              <w:t>consolidado, com saldos acumulados no exercício, detalhado até o nível de conta contábil de lançamento, abrangendo todas as contas contábeis com movimentação no exercício, segregadas por natureza da informação patrimonial, orçamentária e de controle, informando o saldo anterior, o total a débito, o total a crédito e o saldo final. Este balancete será gerado a partir das remessas individuais das UGs do município e homologado no mês 13 da prestação de contas mensal.</w:t>
            </w:r>
          </w:p>
        </w:tc>
        <w:tc>
          <w:tcPr>
            <w:tcW w:w="992" w:type="dxa"/>
            <w:shd w:val="clear" w:color="auto" w:fill="auto"/>
            <w:vAlign w:val="center"/>
          </w:tcPr>
          <w:p w14:paraId="5474FB72" w14:textId="69A7A75E" w:rsidR="00FC4387" w:rsidRPr="00FC4387" w:rsidRDefault="00FC4387" w:rsidP="00FC4387">
            <w:pPr>
              <w:spacing w:after="0" w:line="240" w:lineRule="auto"/>
              <w:jc w:val="center"/>
              <w:rPr>
                <w:rFonts w:ascii="Arial" w:eastAsia="Times New Roman" w:hAnsi="Arial" w:cs="Arial"/>
                <w:sz w:val="14"/>
                <w:szCs w:val="14"/>
                <w:lang w:eastAsia="pt-BR"/>
              </w:rPr>
            </w:pPr>
            <w:r w:rsidRPr="00FC4387">
              <w:rPr>
                <w:rFonts w:ascii="Arial" w:eastAsia="Times New Roman" w:hAnsi="Arial" w:cs="Arial"/>
                <w:sz w:val="14"/>
                <w:szCs w:val="14"/>
                <w:lang w:eastAsia="pt-BR"/>
              </w:rPr>
              <w:t>-</w:t>
            </w:r>
          </w:p>
        </w:tc>
      </w:tr>
      <w:tr w:rsidR="00FC4387" w:rsidRPr="00FC4387" w14:paraId="677FFD96" w14:textId="77777777" w:rsidTr="00CB7C58">
        <w:tc>
          <w:tcPr>
            <w:tcW w:w="1258" w:type="dxa"/>
            <w:vAlign w:val="center"/>
          </w:tcPr>
          <w:p w14:paraId="1C051B0D" w14:textId="240E388A" w:rsidR="00FC4387" w:rsidRPr="00FC4387" w:rsidRDefault="00FC4387" w:rsidP="00FC4387">
            <w:pPr>
              <w:spacing w:after="0" w:line="240" w:lineRule="auto"/>
              <w:jc w:val="center"/>
              <w:rPr>
                <w:rFonts w:ascii="Arial" w:eastAsia="Times New Roman" w:hAnsi="Arial" w:cs="Arial"/>
                <w:sz w:val="18"/>
                <w:szCs w:val="18"/>
                <w:lang w:eastAsia="pt-BR"/>
              </w:rPr>
            </w:pPr>
            <w:r w:rsidRPr="00FC4387">
              <w:rPr>
                <w:rFonts w:ascii="Arial" w:eastAsia="Times New Roman" w:hAnsi="Arial" w:cs="Arial"/>
                <w:sz w:val="18"/>
                <w:szCs w:val="18"/>
                <w:lang w:eastAsia="pt-BR"/>
              </w:rPr>
              <w:t>BALEXOR-CONS</w:t>
            </w:r>
          </w:p>
        </w:tc>
        <w:tc>
          <w:tcPr>
            <w:tcW w:w="6930" w:type="dxa"/>
            <w:shd w:val="clear" w:color="auto" w:fill="auto"/>
            <w:vAlign w:val="center"/>
          </w:tcPr>
          <w:p w14:paraId="0AEB70A2" w14:textId="58F16C05" w:rsidR="00FC4387" w:rsidRPr="00FC4387" w:rsidRDefault="00CB76B6" w:rsidP="00FC4387">
            <w:pPr>
              <w:spacing w:before="120" w:after="120" w:line="240" w:lineRule="auto"/>
              <w:jc w:val="both"/>
              <w:rPr>
                <w:rFonts w:ascii="Arial" w:eastAsia="Times New Roman" w:hAnsi="Arial" w:cs="Arial"/>
                <w:sz w:val="18"/>
                <w:szCs w:val="18"/>
                <w:lang w:eastAsia="pt-BR"/>
              </w:rPr>
            </w:pPr>
            <w:r w:rsidRPr="00FC4387">
              <w:rPr>
                <w:rFonts w:ascii="Arial" w:eastAsia="Times New Roman" w:hAnsi="Arial" w:cs="Arial"/>
                <w:sz w:val="18"/>
                <w:szCs w:val="18"/>
                <w:lang w:eastAsia="pt-BR"/>
              </w:rPr>
              <w:t>Balancete da execução orçamentária da receita, consolidado e acumulado até o mês de dezembro, demonstrando a previsão inicial, a previsão atualizada, a arrecadação orçamentária e a fonte de recursos. Este balancete será gerado a partir das remessas individuais das UGs do município e homologado no mês 12 da prestação de contas mensal.</w:t>
            </w:r>
          </w:p>
        </w:tc>
        <w:tc>
          <w:tcPr>
            <w:tcW w:w="992" w:type="dxa"/>
            <w:shd w:val="clear" w:color="auto" w:fill="auto"/>
            <w:vAlign w:val="center"/>
          </w:tcPr>
          <w:p w14:paraId="054C9F18" w14:textId="05C6F253" w:rsidR="00FC4387" w:rsidRPr="00FC4387" w:rsidRDefault="00FC4387" w:rsidP="00FC4387">
            <w:pPr>
              <w:spacing w:after="0" w:line="240" w:lineRule="auto"/>
              <w:jc w:val="center"/>
              <w:rPr>
                <w:rFonts w:ascii="Arial" w:eastAsia="Times New Roman" w:hAnsi="Arial" w:cs="Arial"/>
                <w:sz w:val="14"/>
                <w:szCs w:val="14"/>
                <w:lang w:eastAsia="pt-BR"/>
              </w:rPr>
            </w:pPr>
            <w:r w:rsidRPr="00FC4387">
              <w:rPr>
                <w:rFonts w:ascii="Arial" w:eastAsia="Times New Roman" w:hAnsi="Arial" w:cs="Arial"/>
                <w:sz w:val="14"/>
                <w:szCs w:val="14"/>
                <w:lang w:eastAsia="pt-BR"/>
              </w:rPr>
              <w:t>-</w:t>
            </w:r>
          </w:p>
        </w:tc>
      </w:tr>
      <w:tr w:rsidR="00FC4387" w:rsidRPr="00FC4387" w14:paraId="37C0CF10" w14:textId="77777777" w:rsidTr="00CB7C58">
        <w:tc>
          <w:tcPr>
            <w:tcW w:w="1258" w:type="dxa"/>
            <w:vAlign w:val="center"/>
          </w:tcPr>
          <w:p w14:paraId="04788CAF" w14:textId="536C7B5D" w:rsidR="00FC4387" w:rsidRPr="00FC4387" w:rsidRDefault="00FC4387" w:rsidP="00FC4387">
            <w:pPr>
              <w:spacing w:after="0" w:line="240" w:lineRule="auto"/>
              <w:jc w:val="center"/>
              <w:rPr>
                <w:rFonts w:ascii="Arial" w:eastAsia="Times New Roman" w:hAnsi="Arial" w:cs="Arial"/>
                <w:sz w:val="18"/>
                <w:szCs w:val="18"/>
                <w:lang w:eastAsia="pt-BR"/>
              </w:rPr>
            </w:pPr>
            <w:r w:rsidRPr="00FC4387">
              <w:rPr>
                <w:rFonts w:ascii="Arial" w:eastAsia="Times New Roman" w:hAnsi="Arial" w:cs="Arial"/>
                <w:sz w:val="18"/>
                <w:szCs w:val="18"/>
                <w:lang w:eastAsia="pt-BR"/>
              </w:rPr>
              <w:t>BALEXOD-CONS</w:t>
            </w:r>
          </w:p>
        </w:tc>
        <w:tc>
          <w:tcPr>
            <w:tcW w:w="6930" w:type="dxa"/>
            <w:shd w:val="clear" w:color="auto" w:fill="auto"/>
            <w:vAlign w:val="center"/>
          </w:tcPr>
          <w:p w14:paraId="1FB9C395" w14:textId="67E39BC3" w:rsidR="00FC4387" w:rsidRPr="00FC4387" w:rsidRDefault="00CB76B6" w:rsidP="00FC4387">
            <w:pPr>
              <w:spacing w:before="120" w:after="120" w:line="240" w:lineRule="auto"/>
              <w:jc w:val="both"/>
              <w:rPr>
                <w:rFonts w:ascii="Arial" w:eastAsia="Times New Roman" w:hAnsi="Arial" w:cs="Arial"/>
                <w:sz w:val="18"/>
                <w:szCs w:val="18"/>
                <w:lang w:eastAsia="pt-BR"/>
              </w:rPr>
            </w:pPr>
            <w:r w:rsidRPr="00FC4387">
              <w:rPr>
                <w:rFonts w:ascii="Arial" w:eastAsia="Times New Roman" w:hAnsi="Arial" w:cs="Arial"/>
                <w:sz w:val="18"/>
                <w:szCs w:val="18"/>
                <w:lang w:eastAsia="pt-BR"/>
              </w:rPr>
              <w:t>Balancete da execução orçamentária da despesa, consolidado e acumulado até o mês de dezembro, demonstrando a fixação orçamentária da despesa, a movimentação dos créditos adicionais, os valores empenhados, liquidados e pagos, e a fonte de recursos. Este balancete será gerado a partir das remessas individuais das UGs do município e homologado no mês 12 da prestação de contas mensal.</w:t>
            </w:r>
          </w:p>
        </w:tc>
        <w:tc>
          <w:tcPr>
            <w:tcW w:w="992" w:type="dxa"/>
            <w:shd w:val="clear" w:color="auto" w:fill="auto"/>
            <w:vAlign w:val="center"/>
          </w:tcPr>
          <w:p w14:paraId="3490F2D6" w14:textId="4CF01E6C" w:rsidR="00FC4387" w:rsidRPr="00FC4387" w:rsidRDefault="00FC4387" w:rsidP="00FC4387">
            <w:pPr>
              <w:spacing w:after="0" w:line="240" w:lineRule="auto"/>
              <w:jc w:val="center"/>
              <w:rPr>
                <w:rFonts w:ascii="Arial" w:eastAsia="Times New Roman" w:hAnsi="Arial" w:cs="Arial"/>
                <w:sz w:val="14"/>
                <w:szCs w:val="14"/>
                <w:lang w:eastAsia="pt-BR"/>
              </w:rPr>
            </w:pPr>
            <w:r w:rsidRPr="00FC4387">
              <w:rPr>
                <w:rFonts w:ascii="Arial" w:eastAsia="Times New Roman" w:hAnsi="Arial" w:cs="Arial"/>
                <w:sz w:val="14"/>
                <w:szCs w:val="14"/>
                <w:lang w:eastAsia="pt-BR"/>
              </w:rPr>
              <w:t>-</w:t>
            </w:r>
          </w:p>
        </w:tc>
      </w:tr>
      <w:tr w:rsidR="008B43DA" w:rsidRPr="00E4542B" w14:paraId="4E6F5D59" w14:textId="77777777" w:rsidTr="00CB7C58">
        <w:tc>
          <w:tcPr>
            <w:tcW w:w="1258" w:type="dxa"/>
            <w:vAlign w:val="center"/>
          </w:tcPr>
          <w:p w14:paraId="4AF5BECF" w14:textId="09358A2F" w:rsidR="008B43DA" w:rsidRPr="00453FEF" w:rsidRDefault="008B43DA" w:rsidP="008B43DA">
            <w:pPr>
              <w:spacing w:after="0" w:line="240" w:lineRule="auto"/>
              <w:jc w:val="center"/>
              <w:rPr>
                <w:rFonts w:ascii="Arial" w:eastAsia="Times New Roman" w:hAnsi="Arial" w:cs="Arial"/>
                <w:sz w:val="18"/>
                <w:szCs w:val="18"/>
                <w:lang w:eastAsia="pt-BR"/>
              </w:rPr>
            </w:pPr>
            <w:r w:rsidRPr="00453FEF">
              <w:rPr>
                <w:rFonts w:ascii="Arial" w:eastAsia="Times New Roman" w:hAnsi="Arial" w:cs="Arial"/>
                <w:sz w:val="18"/>
                <w:szCs w:val="18"/>
                <w:lang w:eastAsia="pt-BR"/>
              </w:rPr>
              <w:t>BALEXOC</w:t>
            </w:r>
          </w:p>
        </w:tc>
        <w:tc>
          <w:tcPr>
            <w:tcW w:w="6930" w:type="dxa"/>
            <w:shd w:val="clear" w:color="auto" w:fill="auto"/>
            <w:vAlign w:val="center"/>
          </w:tcPr>
          <w:p w14:paraId="50A5DE72" w14:textId="120BB388" w:rsidR="008B43DA" w:rsidRPr="00453FEF" w:rsidRDefault="008B43DA" w:rsidP="0099420C">
            <w:pPr>
              <w:spacing w:before="120" w:after="120" w:line="240" w:lineRule="auto"/>
              <w:jc w:val="both"/>
              <w:rPr>
                <w:rFonts w:ascii="Arial" w:eastAsia="Times New Roman" w:hAnsi="Arial" w:cs="Arial"/>
                <w:sz w:val="18"/>
                <w:szCs w:val="18"/>
                <w:lang w:eastAsia="pt-BR"/>
              </w:rPr>
            </w:pPr>
            <w:r w:rsidRPr="00453FEF">
              <w:rPr>
                <w:rFonts w:ascii="Arial" w:eastAsia="Times New Roman" w:hAnsi="Arial" w:cs="Arial"/>
                <w:sz w:val="18"/>
                <w:szCs w:val="18"/>
                <w:lang w:eastAsia="pt-BR"/>
              </w:rPr>
              <w:t xml:space="preserve">Balancete da execução orçamentária da despesa dos consórcios públicos, acumulado até o mês de dezembro, demonstrando os valores empenhados, liquidados e pagos, os cancelamentos de restos a pagar por fonte de recursos e a insuficiência de caixa todos por fonte de recursos. Estrutura e layout constantes do item </w:t>
            </w:r>
            <w:r w:rsidR="0099420C">
              <w:rPr>
                <w:rFonts w:ascii="Arial" w:eastAsia="Times New Roman" w:hAnsi="Arial" w:cs="Arial"/>
                <w:sz w:val="18"/>
                <w:szCs w:val="18"/>
                <w:lang w:eastAsia="pt-BR"/>
              </w:rPr>
              <w:t>3.1</w:t>
            </w:r>
            <w:r w:rsidRPr="00453FEF">
              <w:rPr>
                <w:rFonts w:ascii="Arial" w:eastAsia="Times New Roman" w:hAnsi="Arial" w:cs="Arial"/>
                <w:sz w:val="18"/>
                <w:szCs w:val="18"/>
                <w:lang w:eastAsia="pt-BR"/>
              </w:rPr>
              <w:t xml:space="preserve"> deste Anexo.</w:t>
            </w:r>
          </w:p>
        </w:tc>
        <w:tc>
          <w:tcPr>
            <w:tcW w:w="992" w:type="dxa"/>
            <w:shd w:val="clear" w:color="auto" w:fill="auto"/>
            <w:vAlign w:val="center"/>
          </w:tcPr>
          <w:p w14:paraId="06538DB0" w14:textId="18DD4258" w:rsidR="008B43DA" w:rsidRPr="00453FEF" w:rsidRDefault="008B43DA" w:rsidP="008B43DA">
            <w:pPr>
              <w:spacing w:after="0" w:line="240" w:lineRule="auto"/>
              <w:jc w:val="center"/>
              <w:rPr>
                <w:rFonts w:ascii="Arial" w:eastAsia="Times New Roman" w:hAnsi="Arial" w:cs="Arial"/>
                <w:sz w:val="14"/>
                <w:szCs w:val="14"/>
                <w:lang w:eastAsia="pt-BR"/>
              </w:rPr>
            </w:pPr>
            <w:r w:rsidRPr="00453FEF">
              <w:rPr>
                <w:rFonts w:ascii="Arial" w:eastAsia="Times New Roman" w:hAnsi="Arial" w:cs="Arial"/>
                <w:sz w:val="14"/>
                <w:szCs w:val="14"/>
                <w:lang w:eastAsia="pt-BR"/>
              </w:rPr>
              <w:t>XML</w:t>
            </w:r>
          </w:p>
        </w:tc>
      </w:tr>
      <w:tr w:rsidR="00FC4387" w:rsidRPr="00E4542B" w14:paraId="6039CD88" w14:textId="77777777" w:rsidTr="00CB7C58">
        <w:tc>
          <w:tcPr>
            <w:tcW w:w="1258" w:type="dxa"/>
            <w:vAlign w:val="center"/>
          </w:tcPr>
          <w:p w14:paraId="46B052F1" w14:textId="77777777" w:rsidR="00FC4387" w:rsidRPr="00453FEF" w:rsidRDefault="00FC4387" w:rsidP="00FC4387">
            <w:pPr>
              <w:spacing w:after="0" w:line="240" w:lineRule="auto"/>
              <w:jc w:val="center"/>
              <w:rPr>
                <w:rFonts w:ascii="Arial" w:eastAsia="Times New Roman" w:hAnsi="Arial" w:cs="Arial"/>
                <w:sz w:val="18"/>
                <w:szCs w:val="18"/>
                <w:lang w:eastAsia="pt-BR"/>
              </w:rPr>
            </w:pPr>
            <w:r w:rsidRPr="00453FEF">
              <w:rPr>
                <w:rFonts w:ascii="Arial" w:eastAsia="Times New Roman" w:hAnsi="Arial" w:cs="Arial"/>
                <w:sz w:val="18"/>
                <w:szCs w:val="18"/>
                <w:lang w:eastAsia="pt-BR"/>
              </w:rPr>
              <w:t>DEMDIFD</w:t>
            </w:r>
          </w:p>
        </w:tc>
        <w:tc>
          <w:tcPr>
            <w:tcW w:w="6930" w:type="dxa"/>
            <w:shd w:val="clear" w:color="auto" w:fill="auto"/>
            <w:vAlign w:val="center"/>
          </w:tcPr>
          <w:p w14:paraId="756AB300" w14:textId="3A28124F" w:rsidR="00FC4387" w:rsidRPr="00453FEF" w:rsidRDefault="00FC4387" w:rsidP="0099420C">
            <w:pPr>
              <w:spacing w:before="120" w:after="120" w:line="240" w:lineRule="auto"/>
              <w:jc w:val="both"/>
              <w:rPr>
                <w:rFonts w:ascii="Arial" w:eastAsia="Times New Roman" w:hAnsi="Arial" w:cs="Arial"/>
                <w:sz w:val="18"/>
                <w:szCs w:val="18"/>
                <w:lang w:eastAsia="pt-BR"/>
              </w:rPr>
            </w:pPr>
            <w:r w:rsidRPr="00453FEF">
              <w:rPr>
                <w:rFonts w:ascii="Arial" w:eastAsia="Times New Roman" w:hAnsi="Arial" w:cs="Arial"/>
                <w:sz w:val="18"/>
                <w:szCs w:val="18"/>
                <w:lang w:eastAsia="pt-BR"/>
              </w:rPr>
              <w:t xml:space="preserve">Demonstrativo da Dívida Fundada (Anexo 16 Lei 4.320/1964) consolidado, acompanhado de notas explicativas e outros quadros elucidativos que se fizerem necessários. (Artigo 101 da Lei Federal nº 4.320/64). Estrutura e layout constantes do item </w:t>
            </w:r>
            <w:r w:rsidR="0099420C">
              <w:rPr>
                <w:rFonts w:ascii="Arial" w:eastAsia="Times New Roman" w:hAnsi="Arial" w:cs="Arial"/>
                <w:sz w:val="18"/>
                <w:szCs w:val="18"/>
                <w:lang w:eastAsia="pt-BR"/>
              </w:rPr>
              <w:t>3.1</w:t>
            </w:r>
            <w:r w:rsidRPr="00453FEF">
              <w:rPr>
                <w:rFonts w:ascii="Arial" w:eastAsia="Times New Roman" w:hAnsi="Arial" w:cs="Arial"/>
                <w:sz w:val="18"/>
                <w:szCs w:val="18"/>
                <w:lang w:eastAsia="pt-BR"/>
              </w:rPr>
              <w:t xml:space="preserve"> deste Anexo.</w:t>
            </w:r>
          </w:p>
        </w:tc>
        <w:tc>
          <w:tcPr>
            <w:tcW w:w="992" w:type="dxa"/>
            <w:shd w:val="clear" w:color="auto" w:fill="auto"/>
            <w:vAlign w:val="center"/>
          </w:tcPr>
          <w:p w14:paraId="196203D5" w14:textId="77777777" w:rsidR="00FC4387" w:rsidRPr="00453FEF" w:rsidRDefault="00FC4387" w:rsidP="00FC4387">
            <w:pPr>
              <w:spacing w:after="0" w:line="240" w:lineRule="auto"/>
              <w:jc w:val="center"/>
              <w:rPr>
                <w:rFonts w:ascii="Arial" w:eastAsia="Times New Roman" w:hAnsi="Arial" w:cs="Arial"/>
                <w:sz w:val="14"/>
                <w:szCs w:val="14"/>
                <w:lang w:eastAsia="pt-BR"/>
              </w:rPr>
            </w:pPr>
            <w:r w:rsidRPr="00453FEF">
              <w:rPr>
                <w:rFonts w:ascii="Arial" w:eastAsia="Times New Roman" w:hAnsi="Arial" w:cs="Arial"/>
                <w:sz w:val="14"/>
                <w:szCs w:val="14"/>
                <w:lang w:eastAsia="pt-BR"/>
              </w:rPr>
              <w:t>XML</w:t>
            </w:r>
          </w:p>
        </w:tc>
      </w:tr>
      <w:tr w:rsidR="00FC4387" w:rsidRPr="00E4542B" w14:paraId="4706BC18" w14:textId="77777777" w:rsidTr="00CB7C58">
        <w:tc>
          <w:tcPr>
            <w:tcW w:w="1258" w:type="dxa"/>
            <w:vAlign w:val="center"/>
          </w:tcPr>
          <w:p w14:paraId="248EBB5E" w14:textId="77777777" w:rsidR="00FC4387" w:rsidRPr="00453FEF" w:rsidRDefault="00FC4387" w:rsidP="00FC4387">
            <w:pPr>
              <w:spacing w:after="0" w:line="240" w:lineRule="auto"/>
              <w:jc w:val="center"/>
              <w:rPr>
                <w:rFonts w:ascii="Arial" w:eastAsia="Times New Roman" w:hAnsi="Arial" w:cs="Arial"/>
                <w:sz w:val="18"/>
                <w:szCs w:val="18"/>
                <w:lang w:eastAsia="pt-BR"/>
              </w:rPr>
            </w:pPr>
            <w:r w:rsidRPr="00453FEF">
              <w:rPr>
                <w:rFonts w:ascii="Arial" w:eastAsia="Times New Roman" w:hAnsi="Arial" w:cs="Arial"/>
                <w:sz w:val="18"/>
                <w:szCs w:val="18"/>
                <w:lang w:eastAsia="pt-BR"/>
              </w:rPr>
              <w:t>DEMDFLT</w:t>
            </w:r>
          </w:p>
        </w:tc>
        <w:tc>
          <w:tcPr>
            <w:tcW w:w="6930" w:type="dxa"/>
            <w:shd w:val="clear" w:color="auto" w:fill="auto"/>
            <w:vAlign w:val="center"/>
          </w:tcPr>
          <w:p w14:paraId="12B6BA47" w14:textId="4F7342CB" w:rsidR="00FC4387" w:rsidRPr="00453FEF" w:rsidRDefault="00FC4387" w:rsidP="0099420C">
            <w:pPr>
              <w:spacing w:before="120" w:after="120" w:line="240" w:lineRule="auto"/>
              <w:jc w:val="both"/>
              <w:rPr>
                <w:rFonts w:ascii="Arial" w:eastAsia="Times New Roman" w:hAnsi="Arial" w:cs="Arial"/>
                <w:sz w:val="18"/>
                <w:szCs w:val="18"/>
                <w:lang w:eastAsia="pt-BR"/>
              </w:rPr>
            </w:pPr>
            <w:r w:rsidRPr="00453FEF">
              <w:rPr>
                <w:rFonts w:ascii="Arial" w:eastAsia="Times New Roman" w:hAnsi="Arial" w:cs="Arial"/>
                <w:sz w:val="18"/>
                <w:szCs w:val="18"/>
                <w:lang w:eastAsia="pt-BR"/>
              </w:rPr>
              <w:t xml:space="preserve">Demonstrativo da Dívida Flutuante (Anexo 17 Lei 4.320/1964) consolidado, acompanhado de notas explicativas e outros quadros elucidativos que se fizerem necessários. (Artigo 101 da Lei Federal nº 4.320/64). Estrutura e layout constantes do item </w:t>
            </w:r>
            <w:r w:rsidR="0099420C">
              <w:rPr>
                <w:rFonts w:ascii="Arial" w:eastAsia="Times New Roman" w:hAnsi="Arial" w:cs="Arial"/>
                <w:sz w:val="18"/>
                <w:szCs w:val="18"/>
                <w:lang w:eastAsia="pt-BR"/>
              </w:rPr>
              <w:t>3.1</w:t>
            </w:r>
            <w:r w:rsidRPr="00453FEF">
              <w:rPr>
                <w:rFonts w:ascii="Arial" w:eastAsia="Times New Roman" w:hAnsi="Arial" w:cs="Arial"/>
                <w:sz w:val="18"/>
                <w:szCs w:val="18"/>
                <w:lang w:eastAsia="pt-BR"/>
              </w:rPr>
              <w:t xml:space="preserve"> deste Anexo.</w:t>
            </w:r>
          </w:p>
        </w:tc>
        <w:tc>
          <w:tcPr>
            <w:tcW w:w="992" w:type="dxa"/>
            <w:shd w:val="clear" w:color="auto" w:fill="auto"/>
            <w:vAlign w:val="center"/>
          </w:tcPr>
          <w:p w14:paraId="0714E0F5" w14:textId="77777777" w:rsidR="00FC4387" w:rsidRPr="00453FEF" w:rsidRDefault="00FC4387" w:rsidP="00FC4387">
            <w:pPr>
              <w:spacing w:after="0" w:line="240" w:lineRule="auto"/>
              <w:jc w:val="center"/>
              <w:rPr>
                <w:rFonts w:ascii="Arial" w:eastAsia="Times New Roman" w:hAnsi="Arial" w:cs="Arial"/>
                <w:sz w:val="14"/>
                <w:szCs w:val="14"/>
                <w:lang w:eastAsia="pt-BR"/>
              </w:rPr>
            </w:pPr>
            <w:r w:rsidRPr="00453FEF">
              <w:rPr>
                <w:rFonts w:ascii="Arial" w:eastAsia="Times New Roman" w:hAnsi="Arial" w:cs="Arial"/>
                <w:sz w:val="14"/>
                <w:szCs w:val="14"/>
                <w:lang w:eastAsia="pt-BR"/>
              </w:rPr>
              <w:t>XML</w:t>
            </w:r>
          </w:p>
        </w:tc>
      </w:tr>
      <w:tr w:rsidR="00FC4387" w:rsidRPr="00A5490A" w14:paraId="74959344" w14:textId="77777777" w:rsidTr="00CB7C58">
        <w:tc>
          <w:tcPr>
            <w:tcW w:w="1258" w:type="dxa"/>
            <w:vAlign w:val="center"/>
          </w:tcPr>
          <w:p w14:paraId="686ABB2F" w14:textId="77777777" w:rsidR="00FC4387" w:rsidRPr="00A5490A" w:rsidRDefault="00FC4387" w:rsidP="00FC4387">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DEMFCA</w:t>
            </w:r>
          </w:p>
        </w:tc>
        <w:tc>
          <w:tcPr>
            <w:tcW w:w="6930" w:type="dxa"/>
            <w:shd w:val="clear" w:color="auto" w:fill="auto"/>
            <w:vAlign w:val="center"/>
          </w:tcPr>
          <w:p w14:paraId="619BEB70" w14:textId="77777777" w:rsidR="00FC4387" w:rsidRPr="00A5490A" w:rsidRDefault="00FC4387" w:rsidP="00FC4387">
            <w:p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Demonstração dos Fluxos de Caixa – DFC consolidada (Parte V do Manual de Contabilidade Aplicado ao Setor Público – MCASP)</w:t>
            </w:r>
            <w:r>
              <w:rPr>
                <w:rFonts w:ascii="Arial" w:eastAsia="Times New Roman" w:hAnsi="Arial" w:cs="Arial"/>
                <w:sz w:val="18"/>
                <w:szCs w:val="18"/>
                <w:lang w:eastAsia="pt-BR"/>
              </w:rPr>
              <w:t>,</w:t>
            </w:r>
            <w:r w:rsidRPr="00A5490A">
              <w:rPr>
                <w:rFonts w:ascii="Arial" w:eastAsia="Times New Roman" w:hAnsi="Arial" w:cs="Arial"/>
                <w:sz w:val="18"/>
                <w:szCs w:val="18"/>
                <w:lang w:eastAsia="pt-BR"/>
              </w:rPr>
              <w:t xml:space="preserve"> acompanhad</w:t>
            </w:r>
            <w:r>
              <w:rPr>
                <w:rFonts w:ascii="Arial" w:eastAsia="Times New Roman" w:hAnsi="Arial" w:cs="Arial"/>
                <w:sz w:val="18"/>
                <w:szCs w:val="18"/>
                <w:lang w:eastAsia="pt-BR"/>
              </w:rPr>
              <w:t>a</w:t>
            </w:r>
            <w:r w:rsidRPr="00A5490A">
              <w:rPr>
                <w:rFonts w:ascii="Arial" w:eastAsia="Times New Roman" w:hAnsi="Arial" w:cs="Arial"/>
                <w:sz w:val="18"/>
                <w:szCs w:val="18"/>
                <w:lang w:eastAsia="pt-BR"/>
              </w:rPr>
              <w:t xml:space="preserve"> de notas explicativas e outros quadros elucidativos que se fizerem necessários. (Resolução CFC nº 1.1</w:t>
            </w:r>
            <w:r>
              <w:rPr>
                <w:rFonts w:ascii="Arial" w:eastAsia="Times New Roman" w:hAnsi="Arial" w:cs="Arial"/>
                <w:sz w:val="18"/>
                <w:szCs w:val="18"/>
                <w:lang w:eastAsia="pt-BR"/>
              </w:rPr>
              <w:t>33</w:t>
            </w:r>
            <w:r w:rsidRPr="00A5490A">
              <w:rPr>
                <w:rFonts w:ascii="Arial" w:eastAsia="Times New Roman" w:hAnsi="Arial" w:cs="Arial"/>
                <w:sz w:val="18"/>
                <w:szCs w:val="18"/>
                <w:lang w:eastAsia="pt-BR"/>
              </w:rPr>
              <w:t>/2008 - NBC T 16</w:t>
            </w:r>
            <w:r>
              <w:rPr>
                <w:rFonts w:ascii="Arial" w:eastAsia="Times New Roman" w:hAnsi="Arial" w:cs="Arial"/>
                <w:sz w:val="18"/>
                <w:szCs w:val="18"/>
                <w:lang w:eastAsia="pt-BR"/>
              </w:rPr>
              <w:t>.6</w:t>
            </w:r>
            <w:r w:rsidRPr="00A5490A">
              <w:rPr>
                <w:rFonts w:ascii="Arial" w:eastAsia="Times New Roman" w:hAnsi="Arial" w:cs="Arial"/>
                <w:sz w:val="18"/>
                <w:szCs w:val="18"/>
                <w:lang w:eastAsia="pt-BR"/>
              </w:rPr>
              <w:t xml:space="preserve"> c/c Portaria STN nº 7</w:t>
            </w:r>
            <w:r>
              <w:rPr>
                <w:rFonts w:ascii="Arial" w:eastAsia="Times New Roman" w:hAnsi="Arial" w:cs="Arial"/>
                <w:sz w:val="18"/>
                <w:szCs w:val="18"/>
                <w:lang w:eastAsia="pt-BR"/>
              </w:rPr>
              <w:t>00</w:t>
            </w:r>
            <w:r w:rsidRPr="00A5490A">
              <w:rPr>
                <w:rFonts w:ascii="Arial" w:eastAsia="Times New Roman" w:hAnsi="Arial" w:cs="Arial"/>
                <w:sz w:val="18"/>
                <w:szCs w:val="18"/>
                <w:lang w:eastAsia="pt-BR"/>
              </w:rPr>
              <w:t>/201</w:t>
            </w:r>
            <w:r>
              <w:rPr>
                <w:rFonts w:ascii="Arial" w:eastAsia="Times New Roman" w:hAnsi="Arial" w:cs="Arial"/>
                <w:sz w:val="18"/>
                <w:szCs w:val="18"/>
                <w:lang w:eastAsia="pt-BR"/>
              </w:rPr>
              <w:t>4</w:t>
            </w:r>
            <w:r w:rsidRPr="00A5490A">
              <w:rPr>
                <w:rFonts w:ascii="Arial" w:eastAsia="Times New Roman" w:hAnsi="Arial" w:cs="Arial"/>
                <w:sz w:val="18"/>
                <w:szCs w:val="18"/>
                <w:lang w:eastAsia="pt-BR"/>
              </w:rPr>
              <w:t>)</w:t>
            </w:r>
          </w:p>
        </w:tc>
        <w:tc>
          <w:tcPr>
            <w:tcW w:w="992" w:type="dxa"/>
            <w:shd w:val="clear" w:color="auto" w:fill="auto"/>
            <w:vAlign w:val="center"/>
          </w:tcPr>
          <w:p w14:paraId="35A42113" w14:textId="77777777" w:rsidR="00FC4387" w:rsidRPr="00A5490A" w:rsidRDefault="00FC4387" w:rsidP="00FC4387">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FC4387" w:rsidRPr="00A5490A" w14:paraId="34CB5E61" w14:textId="77777777" w:rsidTr="00CB7C58">
        <w:tc>
          <w:tcPr>
            <w:tcW w:w="1258" w:type="dxa"/>
            <w:vAlign w:val="center"/>
          </w:tcPr>
          <w:p w14:paraId="293F8ED7" w14:textId="77777777" w:rsidR="00FC4387" w:rsidRPr="00A5490A" w:rsidRDefault="00FC4387" w:rsidP="00FC4387">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lastRenderedPageBreak/>
              <w:t>DEMPLI</w:t>
            </w:r>
          </w:p>
        </w:tc>
        <w:tc>
          <w:tcPr>
            <w:tcW w:w="6930" w:type="dxa"/>
            <w:shd w:val="clear" w:color="auto" w:fill="auto"/>
            <w:vAlign w:val="center"/>
          </w:tcPr>
          <w:p w14:paraId="0657A0C1" w14:textId="77777777" w:rsidR="00FC4387" w:rsidRPr="00A5490A" w:rsidRDefault="00FC4387" w:rsidP="00FC4387">
            <w:p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Demonstração das Mutações do Patrimônio Líquido – DMPL consolidada (Parte V do Manual de Contabilidade Aplicado ao Setor Público – MCASP)</w:t>
            </w:r>
            <w:r>
              <w:rPr>
                <w:rFonts w:ascii="Arial" w:eastAsia="Times New Roman" w:hAnsi="Arial" w:cs="Arial"/>
                <w:sz w:val="18"/>
                <w:szCs w:val="18"/>
                <w:lang w:eastAsia="pt-BR"/>
              </w:rPr>
              <w:t xml:space="preserve">, </w:t>
            </w:r>
            <w:r w:rsidRPr="00A5490A">
              <w:rPr>
                <w:rFonts w:ascii="Arial" w:eastAsia="Times New Roman" w:hAnsi="Arial" w:cs="Arial"/>
                <w:sz w:val="18"/>
                <w:szCs w:val="18"/>
                <w:lang w:eastAsia="pt-BR"/>
              </w:rPr>
              <w:t>acompanhad</w:t>
            </w:r>
            <w:r>
              <w:rPr>
                <w:rFonts w:ascii="Arial" w:eastAsia="Times New Roman" w:hAnsi="Arial" w:cs="Arial"/>
                <w:sz w:val="18"/>
                <w:szCs w:val="18"/>
                <w:lang w:eastAsia="pt-BR"/>
              </w:rPr>
              <w:t>a</w:t>
            </w:r>
            <w:r w:rsidRPr="00A5490A">
              <w:rPr>
                <w:rFonts w:ascii="Arial" w:eastAsia="Times New Roman" w:hAnsi="Arial" w:cs="Arial"/>
                <w:sz w:val="18"/>
                <w:szCs w:val="18"/>
                <w:lang w:eastAsia="pt-BR"/>
              </w:rPr>
              <w:t xml:space="preserve"> de notas explicativas e outros quadros elucidativos que se fizerem necessários. (Resolução CFC nº 1.1</w:t>
            </w:r>
            <w:r>
              <w:rPr>
                <w:rFonts w:ascii="Arial" w:eastAsia="Times New Roman" w:hAnsi="Arial" w:cs="Arial"/>
                <w:sz w:val="18"/>
                <w:szCs w:val="18"/>
                <w:lang w:eastAsia="pt-BR"/>
              </w:rPr>
              <w:t>33</w:t>
            </w:r>
            <w:r w:rsidRPr="00A5490A">
              <w:rPr>
                <w:rFonts w:ascii="Arial" w:eastAsia="Times New Roman" w:hAnsi="Arial" w:cs="Arial"/>
                <w:sz w:val="18"/>
                <w:szCs w:val="18"/>
                <w:lang w:eastAsia="pt-BR"/>
              </w:rPr>
              <w:t>/2008 - NBC T 16</w:t>
            </w:r>
            <w:r>
              <w:rPr>
                <w:rFonts w:ascii="Arial" w:eastAsia="Times New Roman" w:hAnsi="Arial" w:cs="Arial"/>
                <w:sz w:val="18"/>
                <w:szCs w:val="18"/>
                <w:lang w:eastAsia="pt-BR"/>
              </w:rPr>
              <w:t>.6</w:t>
            </w:r>
            <w:r w:rsidRPr="00A5490A">
              <w:rPr>
                <w:rFonts w:ascii="Arial" w:eastAsia="Times New Roman" w:hAnsi="Arial" w:cs="Arial"/>
                <w:sz w:val="18"/>
                <w:szCs w:val="18"/>
                <w:lang w:eastAsia="pt-BR"/>
              </w:rPr>
              <w:t xml:space="preserve"> c/c Portaria STN nº 7</w:t>
            </w:r>
            <w:r>
              <w:rPr>
                <w:rFonts w:ascii="Arial" w:eastAsia="Times New Roman" w:hAnsi="Arial" w:cs="Arial"/>
                <w:sz w:val="18"/>
                <w:szCs w:val="18"/>
                <w:lang w:eastAsia="pt-BR"/>
              </w:rPr>
              <w:t>00</w:t>
            </w:r>
            <w:r w:rsidRPr="00A5490A">
              <w:rPr>
                <w:rFonts w:ascii="Arial" w:eastAsia="Times New Roman" w:hAnsi="Arial" w:cs="Arial"/>
                <w:sz w:val="18"/>
                <w:szCs w:val="18"/>
                <w:lang w:eastAsia="pt-BR"/>
              </w:rPr>
              <w:t>/201</w:t>
            </w:r>
            <w:r>
              <w:rPr>
                <w:rFonts w:ascii="Arial" w:eastAsia="Times New Roman" w:hAnsi="Arial" w:cs="Arial"/>
                <w:sz w:val="18"/>
                <w:szCs w:val="18"/>
                <w:lang w:eastAsia="pt-BR"/>
              </w:rPr>
              <w:t>4</w:t>
            </w:r>
            <w:r w:rsidRPr="00A5490A">
              <w:rPr>
                <w:rFonts w:ascii="Arial" w:eastAsia="Times New Roman" w:hAnsi="Arial" w:cs="Arial"/>
                <w:sz w:val="18"/>
                <w:szCs w:val="18"/>
                <w:lang w:eastAsia="pt-BR"/>
              </w:rPr>
              <w:t>)</w:t>
            </w:r>
          </w:p>
        </w:tc>
        <w:tc>
          <w:tcPr>
            <w:tcW w:w="992" w:type="dxa"/>
            <w:shd w:val="clear" w:color="auto" w:fill="auto"/>
            <w:vAlign w:val="center"/>
          </w:tcPr>
          <w:p w14:paraId="6ABECD00" w14:textId="77777777" w:rsidR="00FC4387" w:rsidRPr="00A5490A" w:rsidRDefault="00FC4387" w:rsidP="00FC4387">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FC4387" w:rsidRPr="00A5490A" w14:paraId="36E11AEF" w14:textId="77777777" w:rsidTr="00CB7C58">
        <w:tc>
          <w:tcPr>
            <w:tcW w:w="1258" w:type="dxa"/>
            <w:vAlign w:val="center"/>
          </w:tcPr>
          <w:p w14:paraId="04961EB0" w14:textId="77777777" w:rsidR="00FC4387" w:rsidRPr="00A5490A" w:rsidRDefault="00FC4387" w:rsidP="00FC4387">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PCFUND</w:t>
            </w:r>
          </w:p>
        </w:tc>
        <w:tc>
          <w:tcPr>
            <w:tcW w:w="6930" w:type="dxa"/>
            <w:shd w:val="clear" w:color="auto" w:fill="auto"/>
            <w:vAlign w:val="center"/>
          </w:tcPr>
          <w:p w14:paraId="0E240063" w14:textId="77777777" w:rsidR="00FC4387" w:rsidRPr="00A5490A" w:rsidRDefault="00FC4387" w:rsidP="00FC4387">
            <w:p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Parecer do Conselho de Fiscalização sobre a prestação de contas dos recursos do FUNDEB. (artigo 27 da Lei Federal nº 11.494/2006).</w:t>
            </w:r>
          </w:p>
        </w:tc>
        <w:tc>
          <w:tcPr>
            <w:tcW w:w="992" w:type="dxa"/>
            <w:shd w:val="clear" w:color="auto" w:fill="auto"/>
            <w:vAlign w:val="center"/>
          </w:tcPr>
          <w:p w14:paraId="162F7D28" w14:textId="77777777" w:rsidR="00FC4387" w:rsidRPr="00A5490A" w:rsidRDefault="00FC4387" w:rsidP="00FC4387">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FC4387" w:rsidRPr="00A5490A" w14:paraId="0A9851F7" w14:textId="77777777" w:rsidTr="00CB7C58">
        <w:tc>
          <w:tcPr>
            <w:tcW w:w="1258" w:type="dxa"/>
            <w:vAlign w:val="center"/>
          </w:tcPr>
          <w:p w14:paraId="74D30D86" w14:textId="77777777" w:rsidR="00FC4387" w:rsidRPr="00A5490A" w:rsidRDefault="00FC4387" w:rsidP="00FC4387">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PCFSAU</w:t>
            </w:r>
          </w:p>
        </w:tc>
        <w:tc>
          <w:tcPr>
            <w:tcW w:w="6930" w:type="dxa"/>
            <w:shd w:val="clear" w:color="auto" w:fill="auto"/>
            <w:vAlign w:val="center"/>
          </w:tcPr>
          <w:p w14:paraId="5FBAD18D" w14:textId="77777777" w:rsidR="00FC4387" w:rsidRPr="00B6188E" w:rsidRDefault="00FC4387" w:rsidP="00FC4387">
            <w:pPr>
              <w:spacing w:before="120" w:after="120" w:line="240" w:lineRule="auto"/>
              <w:jc w:val="both"/>
              <w:rPr>
                <w:rFonts w:ascii="Arial" w:eastAsia="Times New Roman" w:hAnsi="Arial" w:cs="Arial"/>
                <w:sz w:val="18"/>
                <w:szCs w:val="18"/>
                <w:lang w:eastAsia="pt-BR"/>
              </w:rPr>
            </w:pPr>
            <w:r w:rsidRPr="00B6188E">
              <w:rPr>
                <w:rFonts w:ascii="Arial" w:eastAsia="Times New Roman" w:hAnsi="Arial" w:cs="Arial"/>
                <w:sz w:val="18"/>
                <w:szCs w:val="18"/>
                <w:lang w:eastAsia="pt-BR"/>
              </w:rPr>
              <w:t>Parecer do Conselho de Fiscalização sobre a prestação de contas dos recursos aplicados em Ações e Serviços Públicos de Saúde (arts. 34 a 37 da Lei Complementar Federal nº 141/2012)</w:t>
            </w:r>
          </w:p>
        </w:tc>
        <w:tc>
          <w:tcPr>
            <w:tcW w:w="992" w:type="dxa"/>
            <w:shd w:val="clear" w:color="auto" w:fill="auto"/>
            <w:vAlign w:val="center"/>
          </w:tcPr>
          <w:p w14:paraId="1D060270" w14:textId="77777777" w:rsidR="00FC4387" w:rsidRPr="00A5490A" w:rsidRDefault="00FC4387" w:rsidP="00FC4387">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FC4387" w:rsidRPr="00A5490A" w14:paraId="69BB8AE2" w14:textId="77777777" w:rsidTr="00CB7C58">
        <w:tc>
          <w:tcPr>
            <w:tcW w:w="1258" w:type="dxa"/>
            <w:vAlign w:val="center"/>
          </w:tcPr>
          <w:p w14:paraId="108D2AF4" w14:textId="77777777" w:rsidR="00FC4387" w:rsidRPr="00A5490A" w:rsidRDefault="00FC4387" w:rsidP="00FC4387">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RELPRE</w:t>
            </w:r>
          </w:p>
        </w:tc>
        <w:tc>
          <w:tcPr>
            <w:tcW w:w="6930" w:type="dxa"/>
            <w:shd w:val="clear" w:color="auto" w:fill="auto"/>
            <w:vAlign w:val="center"/>
          </w:tcPr>
          <w:p w14:paraId="12B58B4A" w14:textId="2FF378C1" w:rsidR="00FC4387" w:rsidRPr="00B6188E" w:rsidRDefault="00FC4387" w:rsidP="0099420C">
            <w:pPr>
              <w:spacing w:before="120" w:after="120" w:line="240" w:lineRule="auto"/>
              <w:jc w:val="both"/>
              <w:rPr>
                <w:rFonts w:ascii="Arial" w:eastAsia="Times New Roman" w:hAnsi="Arial" w:cs="Arial"/>
                <w:sz w:val="18"/>
                <w:szCs w:val="18"/>
                <w:lang w:eastAsia="pt-BR"/>
              </w:rPr>
            </w:pPr>
            <w:r w:rsidRPr="00B6188E">
              <w:rPr>
                <w:rFonts w:ascii="Arial" w:eastAsia="Times New Roman" w:hAnsi="Arial" w:cs="Arial"/>
                <w:sz w:val="18"/>
                <w:szCs w:val="18"/>
                <w:lang w:eastAsia="pt-BR"/>
              </w:rPr>
              <w:t xml:space="preserve">Relação consolidada dos precatórios judiciais, conforme layout constante do </w:t>
            </w:r>
            <w:r>
              <w:rPr>
                <w:rFonts w:ascii="Arial" w:eastAsia="Times New Roman" w:hAnsi="Arial" w:cs="Arial"/>
                <w:sz w:val="18"/>
                <w:szCs w:val="18"/>
                <w:lang w:eastAsia="pt-BR"/>
              </w:rPr>
              <w:t xml:space="preserve">item </w:t>
            </w:r>
            <w:r w:rsidR="0099420C">
              <w:rPr>
                <w:rFonts w:ascii="Arial" w:eastAsia="Times New Roman" w:hAnsi="Arial" w:cs="Arial"/>
                <w:sz w:val="18"/>
                <w:szCs w:val="18"/>
                <w:lang w:eastAsia="pt-BR"/>
              </w:rPr>
              <w:t>3.1</w:t>
            </w:r>
            <w:r>
              <w:rPr>
                <w:rFonts w:ascii="Arial" w:eastAsia="Times New Roman" w:hAnsi="Arial" w:cs="Arial"/>
                <w:sz w:val="18"/>
                <w:szCs w:val="18"/>
                <w:lang w:eastAsia="pt-BR"/>
              </w:rPr>
              <w:t xml:space="preserve"> deste </w:t>
            </w:r>
            <w:r w:rsidRPr="00B6188E">
              <w:rPr>
                <w:rFonts w:ascii="Arial" w:eastAsia="Times New Roman" w:hAnsi="Arial" w:cs="Arial"/>
                <w:sz w:val="18"/>
                <w:szCs w:val="18"/>
                <w:lang w:eastAsia="pt-BR"/>
              </w:rPr>
              <w:t>Anexo.</w:t>
            </w:r>
          </w:p>
        </w:tc>
        <w:tc>
          <w:tcPr>
            <w:tcW w:w="992" w:type="dxa"/>
            <w:shd w:val="clear" w:color="auto" w:fill="auto"/>
            <w:vAlign w:val="center"/>
          </w:tcPr>
          <w:p w14:paraId="59AD55A5" w14:textId="77777777" w:rsidR="00FC4387" w:rsidRPr="009449AA" w:rsidRDefault="00FC4387" w:rsidP="00FC4387">
            <w:pPr>
              <w:spacing w:after="0" w:line="240" w:lineRule="auto"/>
              <w:jc w:val="center"/>
              <w:rPr>
                <w:rFonts w:ascii="Arial" w:eastAsia="Times New Roman" w:hAnsi="Arial" w:cs="Arial"/>
                <w:sz w:val="14"/>
                <w:szCs w:val="14"/>
                <w:lang w:eastAsia="pt-BR"/>
              </w:rPr>
            </w:pPr>
            <w:r w:rsidRPr="009449AA">
              <w:rPr>
                <w:rFonts w:ascii="Arial" w:eastAsia="Times New Roman" w:hAnsi="Arial" w:cs="Arial"/>
                <w:sz w:val="14"/>
                <w:szCs w:val="14"/>
                <w:lang w:eastAsia="pt-BR"/>
              </w:rPr>
              <w:t>XML</w:t>
            </w:r>
          </w:p>
        </w:tc>
      </w:tr>
      <w:tr w:rsidR="00FC4387" w:rsidRPr="00A5490A" w14:paraId="3EB34BD5" w14:textId="77777777" w:rsidTr="00CB7C58">
        <w:tc>
          <w:tcPr>
            <w:tcW w:w="1258" w:type="dxa"/>
            <w:vAlign w:val="center"/>
          </w:tcPr>
          <w:p w14:paraId="5ACBE82D" w14:textId="77777777" w:rsidR="00FC4387" w:rsidRPr="00A5490A" w:rsidRDefault="00FC4387" w:rsidP="00FC4387">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DEMCAD</w:t>
            </w:r>
          </w:p>
        </w:tc>
        <w:tc>
          <w:tcPr>
            <w:tcW w:w="6930" w:type="dxa"/>
            <w:shd w:val="clear" w:color="auto" w:fill="auto"/>
            <w:vAlign w:val="center"/>
          </w:tcPr>
          <w:p w14:paraId="5B96EBA6" w14:textId="7234DB31" w:rsidR="00FC4387" w:rsidRPr="00B6188E" w:rsidRDefault="00FC4387" w:rsidP="0099420C">
            <w:pPr>
              <w:spacing w:before="120" w:after="120" w:line="240" w:lineRule="auto"/>
              <w:jc w:val="both"/>
              <w:rPr>
                <w:rFonts w:ascii="Arial" w:eastAsia="Times New Roman" w:hAnsi="Arial" w:cs="Arial"/>
                <w:sz w:val="18"/>
                <w:szCs w:val="18"/>
                <w:lang w:eastAsia="pt-BR"/>
              </w:rPr>
            </w:pPr>
            <w:r w:rsidRPr="00B6188E">
              <w:rPr>
                <w:rFonts w:ascii="Arial" w:eastAsia="Times New Roman" w:hAnsi="Arial" w:cs="Arial"/>
                <w:sz w:val="18"/>
                <w:szCs w:val="18"/>
                <w:lang w:eastAsia="pt-BR"/>
              </w:rPr>
              <w:t xml:space="preserve">Demonstrativo consolidado dos créditos adicionais contendo informações sobre os créditos abertos no exercício, conforme layout constante do </w:t>
            </w:r>
            <w:r>
              <w:rPr>
                <w:rFonts w:ascii="Arial" w:eastAsia="Times New Roman" w:hAnsi="Arial" w:cs="Arial"/>
                <w:sz w:val="18"/>
                <w:szCs w:val="18"/>
                <w:lang w:eastAsia="pt-BR"/>
              </w:rPr>
              <w:t xml:space="preserve">item </w:t>
            </w:r>
            <w:r w:rsidR="0099420C">
              <w:rPr>
                <w:rFonts w:ascii="Arial" w:eastAsia="Times New Roman" w:hAnsi="Arial" w:cs="Arial"/>
                <w:sz w:val="18"/>
                <w:szCs w:val="18"/>
                <w:lang w:eastAsia="pt-BR"/>
              </w:rPr>
              <w:t>3.1</w:t>
            </w:r>
            <w:r>
              <w:rPr>
                <w:rFonts w:ascii="Arial" w:eastAsia="Times New Roman" w:hAnsi="Arial" w:cs="Arial"/>
                <w:sz w:val="18"/>
                <w:szCs w:val="18"/>
                <w:lang w:eastAsia="pt-BR"/>
              </w:rPr>
              <w:t xml:space="preserve"> deste </w:t>
            </w:r>
            <w:r w:rsidRPr="00B6188E">
              <w:rPr>
                <w:rFonts w:ascii="Arial" w:eastAsia="Times New Roman" w:hAnsi="Arial" w:cs="Arial"/>
                <w:sz w:val="18"/>
                <w:szCs w:val="18"/>
                <w:lang w:eastAsia="pt-BR"/>
              </w:rPr>
              <w:t>Anexo.</w:t>
            </w:r>
          </w:p>
        </w:tc>
        <w:tc>
          <w:tcPr>
            <w:tcW w:w="992" w:type="dxa"/>
            <w:shd w:val="clear" w:color="auto" w:fill="auto"/>
            <w:vAlign w:val="center"/>
          </w:tcPr>
          <w:p w14:paraId="47DB2F53" w14:textId="77777777" w:rsidR="00FC4387" w:rsidRPr="009449AA" w:rsidRDefault="00FC4387" w:rsidP="00FC4387">
            <w:pPr>
              <w:spacing w:after="0" w:line="240" w:lineRule="auto"/>
              <w:jc w:val="center"/>
              <w:rPr>
                <w:rFonts w:ascii="Arial" w:eastAsia="Times New Roman" w:hAnsi="Arial" w:cs="Arial"/>
                <w:sz w:val="14"/>
                <w:szCs w:val="14"/>
                <w:lang w:eastAsia="pt-BR"/>
              </w:rPr>
            </w:pPr>
            <w:r w:rsidRPr="009449AA">
              <w:rPr>
                <w:rFonts w:ascii="Arial" w:eastAsia="Times New Roman" w:hAnsi="Arial" w:cs="Arial"/>
                <w:sz w:val="14"/>
                <w:szCs w:val="14"/>
                <w:lang w:eastAsia="pt-BR"/>
              </w:rPr>
              <w:t>XML</w:t>
            </w:r>
          </w:p>
        </w:tc>
      </w:tr>
      <w:tr w:rsidR="00FC4387" w:rsidRPr="00A5490A" w14:paraId="7C0CC490" w14:textId="77777777" w:rsidTr="00CB7C58">
        <w:tc>
          <w:tcPr>
            <w:tcW w:w="1258" w:type="dxa"/>
            <w:vAlign w:val="center"/>
          </w:tcPr>
          <w:p w14:paraId="7F710B8F" w14:textId="77777777" w:rsidR="00FC4387" w:rsidRPr="00B6188E" w:rsidRDefault="00FC4387" w:rsidP="00FC4387">
            <w:pPr>
              <w:spacing w:after="0" w:line="240" w:lineRule="auto"/>
              <w:jc w:val="center"/>
              <w:rPr>
                <w:rFonts w:ascii="Arial" w:eastAsia="Times New Roman" w:hAnsi="Arial" w:cs="Arial"/>
                <w:sz w:val="18"/>
                <w:szCs w:val="18"/>
                <w:lang w:eastAsia="pt-BR"/>
              </w:rPr>
            </w:pPr>
            <w:r w:rsidRPr="00B6188E">
              <w:rPr>
                <w:rFonts w:ascii="Arial" w:eastAsia="Times New Roman" w:hAnsi="Arial" w:cs="Arial"/>
                <w:sz w:val="18"/>
                <w:szCs w:val="18"/>
                <w:lang w:eastAsia="pt-BR"/>
              </w:rPr>
              <w:t>DEMRAP</w:t>
            </w:r>
          </w:p>
        </w:tc>
        <w:tc>
          <w:tcPr>
            <w:tcW w:w="6930" w:type="dxa"/>
            <w:shd w:val="clear" w:color="auto" w:fill="auto"/>
            <w:vAlign w:val="center"/>
          </w:tcPr>
          <w:p w14:paraId="2ED55D58" w14:textId="1E012290" w:rsidR="00FC4387" w:rsidRPr="00B6188E" w:rsidRDefault="00FC4387" w:rsidP="0099420C">
            <w:pPr>
              <w:spacing w:before="120" w:after="120" w:line="240" w:lineRule="auto"/>
              <w:ind w:left="42"/>
              <w:jc w:val="both"/>
              <w:rPr>
                <w:rFonts w:ascii="Arial" w:eastAsia="Times New Roman" w:hAnsi="Arial" w:cs="Arial"/>
                <w:sz w:val="18"/>
                <w:szCs w:val="18"/>
                <w:lang w:eastAsia="pt-BR"/>
              </w:rPr>
            </w:pPr>
            <w:r w:rsidRPr="00B6188E">
              <w:rPr>
                <w:rFonts w:ascii="Arial" w:eastAsia="Times New Roman" w:hAnsi="Arial" w:cs="Arial"/>
                <w:sz w:val="18"/>
                <w:szCs w:val="18"/>
                <w:lang w:eastAsia="pt-BR"/>
              </w:rPr>
              <w:t>Demonstrativo de Restos a Pagar</w:t>
            </w:r>
            <w:r>
              <w:rPr>
                <w:rFonts w:ascii="Arial" w:eastAsia="Times New Roman" w:hAnsi="Arial" w:cs="Arial"/>
                <w:sz w:val="18"/>
                <w:szCs w:val="18"/>
                <w:lang w:eastAsia="pt-BR"/>
              </w:rPr>
              <w:t xml:space="preserve"> consolidado</w:t>
            </w:r>
            <w:r w:rsidRPr="00B6188E">
              <w:rPr>
                <w:rFonts w:ascii="Arial" w:eastAsia="Times New Roman" w:hAnsi="Arial" w:cs="Arial"/>
                <w:sz w:val="18"/>
                <w:szCs w:val="18"/>
                <w:lang w:eastAsia="pt-BR"/>
              </w:rPr>
              <w:t xml:space="preserve">, conforme layout constante do </w:t>
            </w:r>
            <w:r>
              <w:rPr>
                <w:rFonts w:ascii="Arial" w:eastAsia="Times New Roman" w:hAnsi="Arial" w:cs="Arial"/>
                <w:sz w:val="18"/>
                <w:szCs w:val="18"/>
                <w:lang w:eastAsia="pt-BR"/>
              </w:rPr>
              <w:t xml:space="preserve">item </w:t>
            </w:r>
            <w:r w:rsidR="0099420C">
              <w:rPr>
                <w:rFonts w:ascii="Arial" w:eastAsia="Times New Roman" w:hAnsi="Arial" w:cs="Arial"/>
                <w:sz w:val="18"/>
                <w:szCs w:val="18"/>
                <w:lang w:eastAsia="pt-BR"/>
              </w:rPr>
              <w:t>3.1</w:t>
            </w:r>
            <w:r>
              <w:rPr>
                <w:rFonts w:ascii="Arial" w:eastAsia="Times New Roman" w:hAnsi="Arial" w:cs="Arial"/>
                <w:sz w:val="18"/>
                <w:szCs w:val="18"/>
                <w:lang w:eastAsia="pt-BR"/>
              </w:rPr>
              <w:t xml:space="preserve"> deste </w:t>
            </w:r>
            <w:r w:rsidRPr="00B6188E">
              <w:rPr>
                <w:rFonts w:ascii="Arial" w:eastAsia="Times New Roman" w:hAnsi="Arial" w:cs="Arial"/>
                <w:sz w:val="18"/>
                <w:szCs w:val="18"/>
                <w:lang w:eastAsia="pt-BR"/>
              </w:rPr>
              <w:t>Anexo.</w:t>
            </w:r>
          </w:p>
        </w:tc>
        <w:tc>
          <w:tcPr>
            <w:tcW w:w="992" w:type="dxa"/>
            <w:shd w:val="clear" w:color="auto" w:fill="auto"/>
            <w:vAlign w:val="center"/>
          </w:tcPr>
          <w:p w14:paraId="4A6ABE21" w14:textId="77777777" w:rsidR="00FC4387" w:rsidRPr="00B6188E" w:rsidRDefault="00FC4387" w:rsidP="00FC4387">
            <w:pPr>
              <w:spacing w:after="0" w:line="240" w:lineRule="auto"/>
              <w:jc w:val="center"/>
              <w:rPr>
                <w:rFonts w:ascii="Arial" w:eastAsia="Times New Roman" w:hAnsi="Arial" w:cs="Arial"/>
                <w:sz w:val="14"/>
                <w:szCs w:val="14"/>
                <w:lang w:eastAsia="pt-BR"/>
              </w:rPr>
            </w:pPr>
            <w:r w:rsidRPr="00B6188E">
              <w:rPr>
                <w:rFonts w:ascii="Arial" w:eastAsia="Times New Roman" w:hAnsi="Arial" w:cs="Arial"/>
                <w:sz w:val="14"/>
                <w:szCs w:val="14"/>
                <w:lang w:eastAsia="pt-BR"/>
              </w:rPr>
              <w:t>XML</w:t>
            </w:r>
          </w:p>
        </w:tc>
      </w:tr>
      <w:tr w:rsidR="00FC4387" w:rsidRPr="00A5490A" w14:paraId="6CC96A5A" w14:textId="77777777" w:rsidTr="00CB7C58">
        <w:tc>
          <w:tcPr>
            <w:tcW w:w="1258" w:type="dxa"/>
            <w:vAlign w:val="center"/>
          </w:tcPr>
          <w:p w14:paraId="10DDBA95" w14:textId="77777777" w:rsidR="00FC4387" w:rsidRPr="00A5490A" w:rsidRDefault="00FC4387" w:rsidP="00FC4387">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RRERDP</w:t>
            </w:r>
          </w:p>
        </w:tc>
        <w:tc>
          <w:tcPr>
            <w:tcW w:w="6930" w:type="dxa"/>
            <w:shd w:val="clear" w:color="auto" w:fill="auto"/>
            <w:vAlign w:val="center"/>
          </w:tcPr>
          <w:p w14:paraId="254B99C2" w14:textId="77777777" w:rsidR="00FC4387" w:rsidRPr="00A5490A" w:rsidRDefault="00FC4387" w:rsidP="00FC4387">
            <w:p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Relatório Resumido da Execução Orçamentária – Demonstrativo das Receitas e Despesas Previdenciárias (ANEXO 4 do Manual de Demonstrativos Fiscais editado pela STN), relativo ao sexto bimestre ou segundo semestre do exercício a que se refere a prestação de contas.</w:t>
            </w:r>
          </w:p>
        </w:tc>
        <w:tc>
          <w:tcPr>
            <w:tcW w:w="992" w:type="dxa"/>
            <w:shd w:val="clear" w:color="auto" w:fill="auto"/>
            <w:vAlign w:val="center"/>
          </w:tcPr>
          <w:p w14:paraId="605660B8" w14:textId="77777777" w:rsidR="00FC4387" w:rsidRPr="00A5490A" w:rsidRDefault="00FC4387" w:rsidP="00FC4387">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87114F" w:rsidRPr="00A5490A" w14:paraId="658BDB40" w14:textId="77777777" w:rsidTr="00CB7C58">
        <w:tc>
          <w:tcPr>
            <w:tcW w:w="1258" w:type="dxa"/>
            <w:vAlign w:val="center"/>
          </w:tcPr>
          <w:p w14:paraId="51905774" w14:textId="32596C99" w:rsidR="0087114F" w:rsidRPr="0087114F" w:rsidRDefault="0087114F" w:rsidP="0087114F">
            <w:pPr>
              <w:spacing w:after="0" w:line="240" w:lineRule="auto"/>
              <w:jc w:val="center"/>
              <w:rPr>
                <w:rFonts w:ascii="Arial" w:eastAsia="Times New Roman" w:hAnsi="Arial" w:cs="Arial"/>
                <w:sz w:val="18"/>
                <w:szCs w:val="18"/>
                <w:lang w:eastAsia="pt-BR"/>
              </w:rPr>
            </w:pPr>
            <w:r w:rsidRPr="0087114F">
              <w:rPr>
                <w:rFonts w:ascii="Arial" w:eastAsia="Times New Roman" w:hAnsi="Arial" w:cs="Arial"/>
                <w:sz w:val="18"/>
                <w:szCs w:val="18"/>
                <w:lang w:eastAsia="pt-BR"/>
              </w:rPr>
              <w:t>RREO</w:t>
            </w:r>
          </w:p>
        </w:tc>
        <w:tc>
          <w:tcPr>
            <w:tcW w:w="6930" w:type="dxa"/>
            <w:shd w:val="clear" w:color="auto" w:fill="auto"/>
            <w:vAlign w:val="center"/>
          </w:tcPr>
          <w:p w14:paraId="2977E897" w14:textId="2BA7FE54" w:rsidR="0087114F" w:rsidRPr="0087114F" w:rsidRDefault="0087114F" w:rsidP="0087114F">
            <w:pPr>
              <w:spacing w:before="120" w:after="120" w:line="240" w:lineRule="auto"/>
              <w:jc w:val="both"/>
              <w:rPr>
                <w:rFonts w:ascii="Arial" w:eastAsia="Times New Roman" w:hAnsi="Arial" w:cs="Arial"/>
                <w:sz w:val="18"/>
                <w:szCs w:val="18"/>
                <w:lang w:eastAsia="pt-BR"/>
              </w:rPr>
            </w:pPr>
            <w:r w:rsidRPr="0087114F">
              <w:rPr>
                <w:rFonts w:ascii="Arial" w:eastAsia="Times New Roman" w:hAnsi="Arial" w:cs="Arial"/>
                <w:sz w:val="18"/>
                <w:szCs w:val="18"/>
                <w:lang w:eastAsia="pt-BR"/>
              </w:rPr>
              <w:t>Relatórios Resumidos da Execução Orçamentária, gerados a partir das remessas da prestação de contas mensal e homologados na PCA.</w:t>
            </w:r>
          </w:p>
        </w:tc>
        <w:tc>
          <w:tcPr>
            <w:tcW w:w="992" w:type="dxa"/>
            <w:shd w:val="clear" w:color="auto" w:fill="auto"/>
            <w:vAlign w:val="center"/>
          </w:tcPr>
          <w:p w14:paraId="7822AE76" w14:textId="66D4A0B3" w:rsidR="0087114F" w:rsidRPr="0087114F" w:rsidRDefault="0087114F" w:rsidP="0087114F">
            <w:pPr>
              <w:spacing w:after="0" w:line="240" w:lineRule="auto"/>
              <w:jc w:val="center"/>
              <w:rPr>
                <w:rFonts w:ascii="Arial" w:eastAsia="Times New Roman" w:hAnsi="Arial" w:cs="Arial"/>
                <w:sz w:val="14"/>
                <w:szCs w:val="14"/>
                <w:lang w:eastAsia="pt-BR"/>
              </w:rPr>
            </w:pPr>
            <w:r w:rsidRPr="0087114F">
              <w:rPr>
                <w:rFonts w:ascii="Arial" w:eastAsia="Times New Roman" w:hAnsi="Arial" w:cs="Arial"/>
                <w:sz w:val="14"/>
                <w:szCs w:val="14"/>
                <w:lang w:eastAsia="pt-BR"/>
              </w:rPr>
              <w:t>-</w:t>
            </w:r>
          </w:p>
        </w:tc>
      </w:tr>
      <w:tr w:rsidR="0087114F" w:rsidRPr="00A5490A" w14:paraId="766DB2DA" w14:textId="77777777" w:rsidTr="00CB7C58">
        <w:tc>
          <w:tcPr>
            <w:tcW w:w="1258" w:type="dxa"/>
            <w:vAlign w:val="center"/>
          </w:tcPr>
          <w:p w14:paraId="4718CBF7" w14:textId="0625D81C" w:rsidR="0087114F" w:rsidRPr="0087114F" w:rsidRDefault="0087114F" w:rsidP="0087114F">
            <w:pPr>
              <w:spacing w:after="0" w:line="240" w:lineRule="auto"/>
              <w:jc w:val="center"/>
              <w:rPr>
                <w:rFonts w:ascii="Arial" w:eastAsia="Times New Roman" w:hAnsi="Arial" w:cs="Arial"/>
                <w:sz w:val="18"/>
                <w:szCs w:val="18"/>
                <w:lang w:eastAsia="pt-BR"/>
              </w:rPr>
            </w:pPr>
            <w:r w:rsidRPr="0087114F">
              <w:rPr>
                <w:rFonts w:ascii="Arial" w:eastAsia="Times New Roman" w:hAnsi="Arial" w:cs="Arial"/>
                <w:sz w:val="18"/>
                <w:szCs w:val="18"/>
                <w:lang w:eastAsia="pt-BR"/>
              </w:rPr>
              <w:t>RGF</w:t>
            </w:r>
          </w:p>
        </w:tc>
        <w:tc>
          <w:tcPr>
            <w:tcW w:w="6930" w:type="dxa"/>
            <w:shd w:val="clear" w:color="auto" w:fill="auto"/>
            <w:vAlign w:val="center"/>
          </w:tcPr>
          <w:p w14:paraId="1D55A69D" w14:textId="74E05EEB" w:rsidR="0087114F" w:rsidRPr="0087114F" w:rsidRDefault="0087114F" w:rsidP="0087114F">
            <w:pPr>
              <w:spacing w:before="120" w:after="120" w:line="240" w:lineRule="auto"/>
              <w:jc w:val="both"/>
              <w:rPr>
                <w:rFonts w:ascii="Arial" w:eastAsia="Times New Roman" w:hAnsi="Arial" w:cs="Arial"/>
                <w:sz w:val="18"/>
                <w:szCs w:val="18"/>
                <w:lang w:eastAsia="pt-BR"/>
              </w:rPr>
            </w:pPr>
            <w:r w:rsidRPr="0087114F">
              <w:rPr>
                <w:rFonts w:ascii="Arial" w:eastAsia="Times New Roman" w:hAnsi="Arial" w:cs="Arial"/>
                <w:sz w:val="18"/>
                <w:szCs w:val="18"/>
                <w:lang w:eastAsia="pt-BR"/>
              </w:rPr>
              <w:t>Relatórios de Gestão Fiscal, gerados a partir das remessas da prestação de contas mensal e homologados na PCA.</w:t>
            </w:r>
          </w:p>
        </w:tc>
        <w:tc>
          <w:tcPr>
            <w:tcW w:w="992" w:type="dxa"/>
            <w:shd w:val="clear" w:color="auto" w:fill="auto"/>
            <w:vAlign w:val="center"/>
          </w:tcPr>
          <w:p w14:paraId="79E58D61" w14:textId="5EA658C7" w:rsidR="0087114F" w:rsidRPr="0087114F" w:rsidRDefault="0087114F" w:rsidP="0087114F">
            <w:pPr>
              <w:spacing w:after="0" w:line="240" w:lineRule="auto"/>
              <w:jc w:val="center"/>
              <w:rPr>
                <w:rFonts w:ascii="Arial" w:eastAsia="Times New Roman" w:hAnsi="Arial" w:cs="Arial"/>
                <w:sz w:val="14"/>
                <w:szCs w:val="14"/>
                <w:lang w:eastAsia="pt-BR"/>
              </w:rPr>
            </w:pPr>
            <w:r w:rsidRPr="0087114F">
              <w:rPr>
                <w:rFonts w:ascii="Arial" w:eastAsia="Times New Roman" w:hAnsi="Arial" w:cs="Arial"/>
                <w:sz w:val="14"/>
                <w:szCs w:val="14"/>
                <w:lang w:eastAsia="pt-BR"/>
              </w:rPr>
              <w:t>-</w:t>
            </w:r>
          </w:p>
        </w:tc>
      </w:tr>
      <w:tr w:rsidR="00A55C82" w:rsidRPr="00A55C82" w14:paraId="11B3ACA7" w14:textId="77777777" w:rsidTr="00CB7C58">
        <w:tc>
          <w:tcPr>
            <w:tcW w:w="1258" w:type="dxa"/>
            <w:vAlign w:val="center"/>
          </w:tcPr>
          <w:p w14:paraId="17CDD3B5" w14:textId="251F1948" w:rsidR="00A55C82" w:rsidRPr="00A55C82" w:rsidRDefault="00A55C82" w:rsidP="00A55C82">
            <w:pPr>
              <w:spacing w:after="0" w:line="240" w:lineRule="auto"/>
              <w:jc w:val="center"/>
              <w:rPr>
                <w:rFonts w:ascii="Arial" w:eastAsia="Times New Roman" w:hAnsi="Arial" w:cs="Arial"/>
                <w:sz w:val="18"/>
                <w:szCs w:val="18"/>
                <w:lang w:eastAsia="pt-BR"/>
              </w:rPr>
            </w:pPr>
            <w:r w:rsidRPr="00A55C82">
              <w:rPr>
                <w:rFonts w:ascii="Arial" w:eastAsia="Times New Roman" w:hAnsi="Arial" w:cs="Arial"/>
                <w:sz w:val="18"/>
                <w:szCs w:val="18"/>
                <w:lang w:eastAsia="pt-BR"/>
              </w:rPr>
              <w:t>PROATU</w:t>
            </w:r>
          </w:p>
        </w:tc>
        <w:tc>
          <w:tcPr>
            <w:tcW w:w="6930" w:type="dxa"/>
            <w:shd w:val="clear" w:color="auto" w:fill="auto"/>
            <w:vAlign w:val="center"/>
          </w:tcPr>
          <w:p w14:paraId="4E3F75CF" w14:textId="3519A1C5" w:rsidR="00A55C82" w:rsidRPr="00A55C82" w:rsidRDefault="00A55C82" w:rsidP="00A55C82">
            <w:pPr>
              <w:spacing w:before="120" w:after="120" w:line="240" w:lineRule="auto"/>
              <w:jc w:val="both"/>
              <w:rPr>
                <w:rFonts w:ascii="Arial" w:eastAsia="Times New Roman" w:hAnsi="Arial" w:cs="Arial"/>
                <w:sz w:val="18"/>
                <w:szCs w:val="18"/>
                <w:lang w:eastAsia="pt-BR"/>
              </w:rPr>
            </w:pPr>
            <w:r w:rsidRPr="00A55C82">
              <w:rPr>
                <w:rFonts w:ascii="Arial" w:eastAsia="Times New Roman" w:hAnsi="Arial" w:cs="Arial"/>
                <w:b/>
                <w:sz w:val="18"/>
                <w:szCs w:val="18"/>
                <w:lang w:eastAsia="pt-BR"/>
              </w:rPr>
              <w:t xml:space="preserve">Projeção Atuarial (Receitas, Despesas, Resultado Previdenciário e Saldo Financeiro) </w:t>
            </w:r>
            <w:r w:rsidRPr="00A55C82">
              <w:rPr>
                <w:rFonts w:ascii="Arial" w:eastAsia="Times New Roman" w:hAnsi="Arial" w:cs="Arial"/>
                <w:sz w:val="18"/>
                <w:szCs w:val="18"/>
                <w:lang w:eastAsia="pt-BR"/>
              </w:rPr>
              <w:t xml:space="preserve">do RPPS (único ou dos Planos Previdenciário e Financeiro, no caso de segregação de massa), </w:t>
            </w:r>
            <w:r w:rsidRPr="00A55C82">
              <w:rPr>
                <w:rFonts w:ascii="Arial" w:eastAsia="Times New Roman" w:hAnsi="Arial" w:cs="Arial"/>
                <w:b/>
                <w:sz w:val="18"/>
                <w:szCs w:val="18"/>
                <w:lang w:eastAsia="pt-BR"/>
              </w:rPr>
              <w:t>dos próximos 75 anos</w:t>
            </w:r>
            <w:r w:rsidRPr="00A55C82">
              <w:rPr>
                <w:rFonts w:ascii="Arial" w:eastAsia="Times New Roman" w:hAnsi="Arial" w:cs="Arial"/>
                <w:sz w:val="18"/>
                <w:szCs w:val="18"/>
                <w:lang w:eastAsia="pt-BR"/>
              </w:rPr>
              <w:t xml:space="preserve"> que compõe a avaliação atuarial do exercício de competência da prestação de contas com data de cálculo 31/12 e Data-Base com dados posicionados entre julho a dezembro, ambos do exercício de competência da PCA, conforme layout constante do item 3.1 deste Anexo.</w:t>
            </w:r>
          </w:p>
        </w:tc>
        <w:tc>
          <w:tcPr>
            <w:tcW w:w="992" w:type="dxa"/>
            <w:shd w:val="clear" w:color="auto" w:fill="auto"/>
            <w:vAlign w:val="center"/>
          </w:tcPr>
          <w:p w14:paraId="739762BC" w14:textId="335FC867" w:rsidR="00A55C82" w:rsidRPr="00A55C82" w:rsidRDefault="00A55C82" w:rsidP="00A55C82">
            <w:pPr>
              <w:spacing w:after="0" w:line="240" w:lineRule="auto"/>
              <w:jc w:val="center"/>
              <w:rPr>
                <w:rFonts w:ascii="Arial" w:eastAsia="Times New Roman" w:hAnsi="Arial" w:cs="Arial"/>
                <w:sz w:val="14"/>
                <w:szCs w:val="14"/>
                <w:lang w:eastAsia="pt-BR"/>
              </w:rPr>
            </w:pPr>
            <w:r w:rsidRPr="00A55C82">
              <w:rPr>
                <w:rFonts w:ascii="Arial" w:eastAsia="Times New Roman" w:hAnsi="Arial" w:cs="Arial"/>
                <w:sz w:val="14"/>
                <w:szCs w:val="14"/>
                <w:lang w:eastAsia="pt-BR"/>
              </w:rPr>
              <w:t>XML</w:t>
            </w:r>
          </w:p>
        </w:tc>
      </w:tr>
      <w:tr w:rsidR="00A55C82" w:rsidRPr="00A5490A" w14:paraId="68DC5766" w14:textId="77777777" w:rsidTr="00CB7C58">
        <w:tc>
          <w:tcPr>
            <w:tcW w:w="1258" w:type="dxa"/>
            <w:vAlign w:val="center"/>
          </w:tcPr>
          <w:p w14:paraId="34662685" w14:textId="77777777" w:rsidR="00A55C82" w:rsidRPr="00A5490A" w:rsidRDefault="00A55C82" w:rsidP="00A55C82">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RREPPP</w:t>
            </w:r>
          </w:p>
        </w:tc>
        <w:tc>
          <w:tcPr>
            <w:tcW w:w="6930" w:type="dxa"/>
            <w:shd w:val="clear" w:color="auto" w:fill="auto"/>
            <w:vAlign w:val="center"/>
          </w:tcPr>
          <w:p w14:paraId="4DE08D2A" w14:textId="77777777" w:rsidR="00A55C82" w:rsidRPr="00A5490A" w:rsidRDefault="00A55C82" w:rsidP="00A55C82">
            <w:p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Relatório Resumido da Execução Orçamentária – Demonstrativo das Parcerias Público-privadas (ANEXO 13 do Manual de Demonstrativos Fiscais editado pela STN), relativo ao sexto bimestre do exercício a que se refere a prestação de contas.</w:t>
            </w:r>
          </w:p>
        </w:tc>
        <w:tc>
          <w:tcPr>
            <w:tcW w:w="992" w:type="dxa"/>
            <w:shd w:val="clear" w:color="auto" w:fill="auto"/>
            <w:vAlign w:val="center"/>
          </w:tcPr>
          <w:p w14:paraId="3A945DB9" w14:textId="77777777" w:rsidR="00A55C82" w:rsidRPr="00A5490A" w:rsidRDefault="00A55C82" w:rsidP="00A55C82">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A55C82" w:rsidRPr="00A76D50" w14:paraId="78C8BDDD" w14:textId="77777777" w:rsidTr="00CB7C58">
        <w:tc>
          <w:tcPr>
            <w:tcW w:w="1258" w:type="dxa"/>
            <w:vAlign w:val="center"/>
          </w:tcPr>
          <w:p w14:paraId="7340D7EE" w14:textId="6C5DEA05" w:rsidR="00A55C82" w:rsidRPr="00A76D50" w:rsidRDefault="00A55C82" w:rsidP="00A55C82">
            <w:pPr>
              <w:spacing w:after="0" w:line="240" w:lineRule="auto"/>
              <w:jc w:val="center"/>
              <w:rPr>
                <w:rFonts w:ascii="Arial" w:eastAsia="Times New Roman" w:hAnsi="Arial" w:cs="Arial"/>
                <w:sz w:val="18"/>
                <w:szCs w:val="18"/>
                <w:lang w:eastAsia="pt-BR"/>
              </w:rPr>
            </w:pPr>
            <w:r w:rsidRPr="00A76D50">
              <w:rPr>
                <w:rFonts w:ascii="Arial" w:eastAsia="Times New Roman" w:hAnsi="Arial" w:cs="Arial"/>
                <w:sz w:val="18"/>
                <w:szCs w:val="18"/>
                <w:lang w:eastAsia="pt-BR"/>
              </w:rPr>
              <w:t>DEMRE</w:t>
            </w:r>
          </w:p>
        </w:tc>
        <w:tc>
          <w:tcPr>
            <w:tcW w:w="6930" w:type="dxa"/>
            <w:shd w:val="clear" w:color="auto" w:fill="auto"/>
            <w:vAlign w:val="center"/>
          </w:tcPr>
          <w:p w14:paraId="19A8C3F1" w14:textId="69E7B32E" w:rsidR="00A55C82" w:rsidRPr="00A76D50" w:rsidRDefault="00A55C82" w:rsidP="00A55C82">
            <w:pPr>
              <w:spacing w:before="120" w:after="120" w:line="240" w:lineRule="auto"/>
              <w:jc w:val="both"/>
              <w:rPr>
                <w:rFonts w:ascii="Arial" w:eastAsia="Times New Roman" w:hAnsi="Arial" w:cs="Arial"/>
                <w:sz w:val="18"/>
                <w:szCs w:val="18"/>
                <w:lang w:eastAsia="pt-BR"/>
              </w:rPr>
            </w:pPr>
            <w:r w:rsidRPr="00A76D50">
              <w:rPr>
                <w:rFonts w:ascii="Arial" w:eastAsia="Times New Roman" w:hAnsi="Arial" w:cs="Arial"/>
                <w:sz w:val="18"/>
                <w:szCs w:val="18"/>
                <w:lang w:eastAsia="pt-BR"/>
              </w:rPr>
              <w:t>Demonstrativo de Renúncia de Receitas, na forma do item 3.2 deste Anexo</w:t>
            </w:r>
          </w:p>
        </w:tc>
        <w:tc>
          <w:tcPr>
            <w:tcW w:w="992" w:type="dxa"/>
            <w:shd w:val="clear" w:color="auto" w:fill="auto"/>
            <w:vAlign w:val="center"/>
          </w:tcPr>
          <w:p w14:paraId="7A71BF67" w14:textId="78D1E52B" w:rsidR="00A55C82" w:rsidRPr="00A76D50" w:rsidRDefault="00A55C82" w:rsidP="00A55C82">
            <w:pPr>
              <w:spacing w:after="0" w:line="240" w:lineRule="auto"/>
              <w:jc w:val="center"/>
              <w:rPr>
                <w:rFonts w:ascii="Arial" w:eastAsia="Times New Roman" w:hAnsi="Arial" w:cs="Arial"/>
                <w:sz w:val="14"/>
                <w:szCs w:val="14"/>
                <w:lang w:eastAsia="pt-BR"/>
              </w:rPr>
            </w:pPr>
            <w:r w:rsidRPr="00A76D50">
              <w:rPr>
                <w:rFonts w:ascii="Arial" w:eastAsia="Times New Roman" w:hAnsi="Arial" w:cs="Arial"/>
                <w:sz w:val="14"/>
                <w:szCs w:val="14"/>
                <w:lang w:eastAsia="pt-BR"/>
              </w:rPr>
              <w:t>PDF</w:t>
            </w:r>
          </w:p>
        </w:tc>
      </w:tr>
      <w:tr w:rsidR="00A76D50" w:rsidRPr="00A76D50" w14:paraId="2426CCB8" w14:textId="77777777" w:rsidTr="00C21F69">
        <w:tc>
          <w:tcPr>
            <w:tcW w:w="1258" w:type="dxa"/>
            <w:vAlign w:val="center"/>
          </w:tcPr>
          <w:p w14:paraId="06D63EF7" w14:textId="77777777" w:rsidR="00A55C82" w:rsidRPr="00A76D50" w:rsidRDefault="00A55C82" w:rsidP="00C21F69">
            <w:pPr>
              <w:spacing w:before="120" w:after="120" w:line="240" w:lineRule="auto"/>
              <w:jc w:val="center"/>
              <w:rPr>
                <w:rFonts w:ascii="Arial" w:eastAsia="Times New Roman" w:hAnsi="Arial" w:cs="Arial"/>
                <w:sz w:val="18"/>
                <w:szCs w:val="18"/>
                <w:lang w:eastAsia="pt-BR"/>
              </w:rPr>
            </w:pPr>
            <w:r w:rsidRPr="00A76D50">
              <w:rPr>
                <w:rFonts w:ascii="Arial" w:eastAsia="Times New Roman" w:hAnsi="Arial" w:cs="Arial"/>
                <w:sz w:val="18"/>
                <w:szCs w:val="18"/>
                <w:lang w:eastAsia="pt-BR"/>
              </w:rPr>
              <w:t>DEIMU</w:t>
            </w:r>
          </w:p>
        </w:tc>
        <w:tc>
          <w:tcPr>
            <w:tcW w:w="6930" w:type="dxa"/>
            <w:shd w:val="clear" w:color="auto" w:fill="auto"/>
            <w:vAlign w:val="center"/>
          </w:tcPr>
          <w:p w14:paraId="643A503C" w14:textId="77777777" w:rsidR="00A55C82" w:rsidRPr="00A76D50" w:rsidRDefault="00A55C82" w:rsidP="00C21F69">
            <w:pPr>
              <w:spacing w:before="120" w:after="120" w:line="240" w:lineRule="auto"/>
              <w:jc w:val="both"/>
              <w:rPr>
                <w:rFonts w:ascii="Arial" w:eastAsia="Times New Roman" w:hAnsi="Arial" w:cs="Arial"/>
                <w:sz w:val="18"/>
                <w:szCs w:val="18"/>
                <w:lang w:eastAsia="pt-BR"/>
              </w:rPr>
            </w:pPr>
            <w:r w:rsidRPr="00A76D50">
              <w:rPr>
                <w:rFonts w:ascii="Arial" w:eastAsia="Times New Roman" w:hAnsi="Arial" w:cs="Arial"/>
                <w:sz w:val="18"/>
                <w:szCs w:val="18"/>
                <w:lang w:eastAsia="pt-BR"/>
              </w:rPr>
              <w:t>Demonstrativo de Imunidades tributárias, na forma do item 3.2 deste Anexo</w:t>
            </w:r>
          </w:p>
        </w:tc>
        <w:tc>
          <w:tcPr>
            <w:tcW w:w="992" w:type="dxa"/>
            <w:shd w:val="clear" w:color="auto" w:fill="auto"/>
            <w:vAlign w:val="center"/>
          </w:tcPr>
          <w:p w14:paraId="2C250B14" w14:textId="77777777" w:rsidR="00A55C82" w:rsidRPr="00A76D50" w:rsidRDefault="00A55C82" w:rsidP="00C21F69">
            <w:pPr>
              <w:spacing w:after="0" w:line="240" w:lineRule="auto"/>
              <w:jc w:val="center"/>
              <w:rPr>
                <w:rFonts w:ascii="Arial" w:eastAsia="Times New Roman" w:hAnsi="Arial" w:cs="Arial"/>
                <w:sz w:val="14"/>
                <w:szCs w:val="14"/>
                <w:lang w:eastAsia="pt-BR"/>
              </w:rPr>
            </w:pPr>
            <w:r w:rsidRPr="00A76D50">
              <w:rPr>
                <w:rFonts w:ascii="Arial" w:eastAsia="Times New Roman" w:hAnsi="Arial" w:cs="Arial"/>
                <w:sz w:val="14"/>
                <w:szCs w:val="14"/>
                <w:lang w:eastAsia="pt-BR"/>
              </w:rPr>
              <w:t>PDF</w:t>
            </w:r>
          </w:p>
        </w:tc>
      </w:tr>
      <w:tr w:rsidR="00A76D50" w:rsidRPr="00A76D50" w14:paraId="6E609986" w14:textId="77777777" w:rsidTr="00C21F69">
        <w:tc>
          <w:tcPr>
            <w:tcW w:w="1258" w:type="dxa"/>
            <w:vAlign w:val="center"/>
          </w:tcPr>
          <w:p w14:paraId="7F886922" w14:textId="77777777" w:rsidR="00A55C82" w:rsidRPr="00A76D50" w:rsidRDefault="00A55C82" w:rsidP="00C21F69">
            <w:pPr>
              <w:spacing w:before="120" w:after="120" w:line="240" w:lineRule="auto"/>
              <w:jc w:val="center"/>
              <w:rPr>
                <w:rFonts w:ascii="Arial" w:eastAsia="Times New Roman" w:hAnsi="Arial" w:cs="Arial"/>
                <w:sz w:val="18"/>
                <w:szCs w:val="18"/>
                <w:lang w:eastAsia="pt-BR"/>
              </w:rPr>
            </w:pPr>
            <w:r w:rsidRPr="00A76D50">
              <w:rPr>
                <w:rFonts w:ascii="Arial" w:eastAsia="Times New Roman" w:hAnsi="Arial" w:cs="Arial"/>
                <w:sz w:val="18"/>
                <w:szCs w:val="18"/>
                <w:lang w:eastAsia="pt-BR"/>
              </w:rPr>
              <w:t>LCARE</w:t>
            </w:r>
          </w:p>
        </w:tc>
        <w:tc>
          <w:tcPr>
            <w:tcW w:w="6930" w:type="dxa"/>
            <w:shd w:val="clear" w:color="auto" w:fill="auto"/>
            <w:vAlign w:val="center"/>
          </w:tcPr>
          <w:p w14:paraId="2F3649B2" w14:textId="199EFF14" w:rsidR="00A55C82" w:rsidRPr="00A76D50" w:rsidRDefault="00400056" w:rsidP="00400056">
            <w:pPr>
              <w:spacing w:before="120" w:after="120" w:line="240" w:lineRule="auto"/>
              <w:jc w:val="both"/>
              <w:rPr>
                <w:rFonts w:ascii="Arial" w:eastAsia="Times New Roman" w:hAnsi="Arial" w:cs="Arial"/>
                <w:sz w:val="18"/>
                <w:szCs w:val="18"/>
                <w:lang w:eastAsia="pt-BR"/>
              </w:rPr>
            </w:pPr>
            <w:r w:rsidRPr="00400056">
              <w:rPr>
                <w:rFonts w:ascii="Arial" w:eastAsia="Times New Roman" w:hAnsi="Arial" w:cs="Arial"/>
                <w:sz w:val="18"/>
                <w:szCs w:val="18"/>
                <w:lang w:eastAsia="pt-BR"/>
              </w:rPr>
              <w:t>Cópias dos projetos de lei, incluindo a mensagem de encaminhamento ao Legislativo e, consequentemente, das leis aprovadas que concederam ou ampliaram incentivo ou benefício de natureza tributária, da qual decorra renúncia de receita no exercício. Deverá estar acompanhada do projeto de lei a estimativa do impacto orçamentário-financeiro no exercício em que deva iniciar sua vigência e nos dois seguintes, e/ou correspondente estudo elaborado pelo proponente do projeto para fins de atendimento da Lei de Responsabilidade Fiscal.</w:t>
            </w:r>
          </w:p>
        </w:tc>
        <w:tc>
          <w:tcPr>
            <w:tcW w:w="992" w:type="dxa"/>
            <w:shd w:val="clear" w:color="auto" w:fill="auto"/>
            <w:vAlign w:val="center"/>
          </w:tcPr>
          <w:p w14:paraId="50B5ED62" w14:textId="77777777" w:rsidR="00A55C82" w:rsidRPr="00A76D50" w:rsidRDefault="00A55C82" w:rsidP="00C21F69">
            <w:pPr>
              <w:spacing w:after="0" w:line="240" w:lineRule="auto"/>
              <w:jc w:val="center"/>
              <w:rPr>
                <w:rFonts w:ascii="Arial" w:eastAsia="Times New Roman" w:hAnsi="Arial" w:cs="Arial"/>
                <w:sz w:val="14"/>
                <w:szCs w:val="14"/>
                <w:lang w:eastAsia="pt-BR"/>
              </w:rPr>
            </w:pPr>
            <w:r w:rsidRPr="00A76D50">
              <w:rPr>
                <w:rFonts w:ascii="Arial" w:eastAsia="Times New Roman" w:hAnsi="Arial" w:cs="Arial"/>
                <w:sz w:val="14"/>
                <w:szCs w:val="14"/>
                <w:lang w:eastAsia="pt-BR"/>
              </w:rPr>
              <w:t>PDF</w:t>
            </w:r>
          </w:p>
        </w:tc>
      </w:tr>
      <w:tr w:rsidR="00A76D50" w:rsidRPr="00A76D50" w14:paraId="16B6B116" w14:textId="77777777" w:rsidTr="00C21F69">
        <w:tc>
          <w:tcPr>
            <w:tcW w:w="1258" w:type="dxa"/>
            <w:vAlign w:val="center"/>
          </w:tcPr>
          <w:p w14:paraId="0AEE8A1E" w14:textId="77777777" w:rsidR="00A55C82" w:rsidRPr="00A76D50" w:rsidRDefault="00A55C82" w:rsidP="00C21F69">
            <w:pPr>
              <w:spacing w:after="0" w:line="240" w:lineRule="auto"/>
              <w:jc w:val="center"/>
              <w:rPr>
                <w:rFonts w:ascii="Arial" w:eastAsia="Times New Roman" w:hAnsi="Arial" w:cs="Arial"/>
                <w:sz w:val="18"/>
                <w:szCs w:val="18"/>
                <w:lang w:eastAsia="pt-BR"/>
              </w:rPr>
            </w:pPr>
            <w:r w:rsidRPr="00A76D50">
              <w:rPr>
                <w:rFonts w:ascii="Arial" w:hAnsi="Arial" w:cs="Arial"/>
                <w:sz w:val="18"/>
                <w:szCs w:val="18"/>
              </w:rPr>
              <w:t xml:space="preserve">CRP </w:t>
            </w:r>
          </w:p>
        </w:tc>
        <w:tc>
          <w:tcPr>
            <w:tcW w:w="6930" w:type="dxa"/>
            <w:shd w:val="clear" w:color="auto" w:fill="auto"/>
            <w:vAlign w:val="center"/>
          </w:tcPr>
          <w:p w14:paraId="7C354BAE" w14:textId="77777777" w:rsidR="00A55C82" w:rsidRPr="00A76D50" w:rsidRDefault="00A55C82" w:rsidP="00C21F69">
            <w:pPr>
              <w:spacing w:before="120" w:after="120" w:line="240" w:lineRule="auto"/>
              <w:jc w:val="both"/>
              <w:rPr>
                <w:rFonts w:ascii="Arial" w:eastAsia="Times New Roman" w:hAnsi="Arial" w:cs="Arial"/>
                <w:sz w:val="18"/>
                <w:szCs w:val="18"/>
                <w:lang w:eastAsia="pt-BR"/>
              </w:rPr>
            </w:pPr>
            <w:r w:rsidRPr="00A76D50">
              <w:rPr>
                <w:rFonts w:ascii="Arial" w:eastAsia="Times New Roman" w:hAnsi="Arial" w:cs="Arial"/>
                <w:sz w:val="18"/>
                <w:szCs w:val="18"/>
                <w:lang w:eastAsia="pt-BR"/>
              </w:rPr>
              <w:t>Certificado de Regularidade Previdenciária (CRP) válido em dezembro do exercício da prestação de contas anual. No caso do certificado ter sido emitido em razão de decisão judicial, apresentar as motivações e as informações acerca do processo judicial. Na ausência do certificado, encaminhar as justificativas e motivações da negativa ao certificado e apresentar as ações que estão sendo desenvolvidas para regularizar o CRP.</w:t>
            </w:r>
          </w:p>
        </w:tc>
        <w:tc>
          <w:tcPr>
            <w:tcW w:w="992" w:type="dxa"/>
            <w:shd w:val="clear" w:color="auto" w:fill="auto"/>
            <w:vAlign w:val="center"/>
          </w:tcPr>
          <w:p w14:paraId="23A5478D" w14:textId="77777777" w:rsidR="00A55C82" w:rsidRPr="00A76D50" w:rsidRDefault="00A55C82" w:rsidP="00C21F69">
            <w:pPr>
              <w:spacing w:after="0" w:line="240" w:lineRule="auto"/>
              <w:jc w:val="center"/>
              <w:rPr>
                <w:rFonts w:ascii="Arial" w:eastAsia="Times New Roman" w:hAnsi="Arial" w:cs="Arial"/>
                <w:sz w:val="14"/>
                <w:szCs w:val="14"/>
                <w:lang w:eastAsia="pt-BR"/>
              </w:rPr>
            </w:pPr>
            <w:r w:rsidRPr="00A76D50">
              <w:rPr>
                <w:rFonts w:ascii="Arial" w:eastAsia="Times New Roman" w:hAnsi="Arial" w:cs="Arial"/>
                <w:sz w:val="14"/>
                <w:szCs w:val="14"/>
                <w:lang w:eastAsia="pt-BR"/>
              </w:rPr>
              <w:t>PDF</w:t>
            </w:r>
          </w:p>
        </w:tc>
      </w:tr>
      <w:tr w:rsidR="00A76D50" w:rsidRPr="00A76D50" w14:paraId="1EB2C66D" w14:textId="77777777" w:rsidTr="00C21F69">
        <w:tc>
          <w:tcPr>
            <w:tcW w:w="1258" w:type="dxa"/>
            <w:vAlign w:val="center"/>
          </w:tcPr>
          <w:p w14:paraId="0F9BF20F" w14:textId="77777777" w:rsidR="00A55C82" w:rsidRPr="00A76D50" w:rsidRDefault="00A55C82" w:rsidP="00C21F69">
            <w:pPr>
              <w:spacing w:after="0" w:line="240" w:lineRule="auto"/>
              <w:jc w:val="center"/>
              <w:rPr>
                <w:rFonts w:ascii="Arial" w:eastAsia="Times New Roman" w:hAnsi="Arial" w:cs="Arial"/>
                <w:sz w:val="18"/>
                <w:szCs w:val="18"/>
                <w:lang w:eastAsia="pt-BR"/>
              </w:rPr>
            </w:pPr>
            <w:r w:rsidRPr="00A76D50">
              <w:rPr>
                <w:rFonts w:ascii="Arial" w:hAnsi="Arial" w:cs="Arial"/>
                <w:sz w:val="18"/>
                <w:szCs w:val="18"/>
              </w:rPr>
              <w:lastRenderedPageBreak/>
              <w:t xml:space="preserve">DELREPI </w:t>
            </w:r>
          </w:p>
        </w:tc>
        <w:tc>
          <w:tcPr>
            <w:tcW w:w="6930" w:type="dxa"/>
            <w:shd w:val="clear" w:color="auto" w:fill="auto"/>
            <w:vAlign w:val="center"/>
          </w:tcPr>
          <w:p w14:paraId="6CA1DDF9" w14:textId="77777777" w:rsidR="00A55C82" w:rsidRPr="00A76D50" w:rsidRDefault="00A55C82" w:rsidP="00C21F69">
            <w:pPr>
              <w:spacing w:before="120" w:after="120" w:line="240" w:lineRule="auto"/>
              <w:jc w:val="both"/>
              <w:rPr>
                <w:rFonts w:ascii="Arial" w:eastAsia="Times New Roman" w:hAnsi="Arial" w:cs="Arial"/>
                <w:sz w:val="18"/>
                <w:szCs w:val="18"/>
                <w:lang w:eastAsia="pt-BR"/>
              </w:rPr>
            </w:pPr>
            <w:r w:rsidRPr="00A76D50">
              <w:rPr>
                <w:rFonts w:ascii="Arial" w:eastAsia="Times New Roman" w:hAnsi="Arial" w:cs="Arial"/>
                <w:sz w:val="18"/>
                <w:szCs w:val="18"/>
                <w:lang w:eastAsia="pt-BR"/>
              </w:rPr>
              <w:t>Declaração do Chefe o Poder Executivo acerca do repasse integral de contribuições previdenciárias, aportes e parcelamentos devidos no exercício financeiro, acrescido dos encargos financeiros em caso de atrasos, na forma do item 3.2 deste Anexo.</w:t>
            </w:r>
          </w:p>
        </w:tc>
        <w:tc>
          <w:tcPr>
            <w:tcW w:w="992" w:type="dxa"/>
            <w:shd w:val="clear" w:color="auto" w:fill="auto"/>
            <w:vAlign w:val="center"/>
          </w:tcPr>
          <w:p w14:paraId="18CD7FF6" w14:textId="77777777" w:rsidR="00A55C82" w:rsidRPr="00A76D50" w:rsidRDefault="00A55C82" w:rsidP="00C21F69">
            <w:pPr>
              <w:spacing w:after="0" w:line="240" w:lineRule="auto"/>
              <w:jc w:val="center"/>
              <w:rPr>
                <w:rFonts w:ascii="Arial" w:eastAsia="Times New Roman" w:hAnsi="Arial" w:cs="Arial"/>
                <w:sz w:val="14"/>
                <w:szCs w:val="14"/>
                <w:lang w:eastAsia="pt-BR"/>
              </w:rPr>
            </w:pPr>
            <w:r w:rsidRPr="00A76D50">
              <w:rPr>
                <w:rFonts w:ascii="Arial" w:eastAsia="Times New Roman" w:hAnsi="Arial" w:cs="Arial"/>
                <w:sz w:val="14"/>
                <w:szCs w:val="14"/>
                <w:lang w:eastAsia="pt-BR"/>
              </w:rPr>
              <w:t>PDF</w:t>
            </w:r>
          </w:p>
        </w:tc>
      </w:tr>
      <w:tr w:rsidR="00A76D50" w:rsidRPr="00A76D50" w14:paraId="2965AD8E" w14:textId="77777777" w:rsidTr="00C21F69">
        <w:tc>
          <w:tcPr>
            <w:tcW w:w="1258" w:type="dxa"/>
            <w:vAlign w:val="center"/>
          </w:tcPr>
          <w:p w14:paraId="4B731711" w14:textId="77777777" w:rsidR="00A55C82" w:rsidRPr="00A76D50" w:rsidRDefault="00A55C82" w:rsidP="00C21F69">
            <w:pPr>
              <w:spacing w:after="0" w:line="240" w:lineRule="auto"/>
              <w:jc w:val="center"/>
              <w:rPr>
                <w:rFonts w:ascii="Arial" w:eastAsia="Times New Roman" w:hAnsi="Arial" w:cs="Arial"/>
                <w:sz w:val="18"/>
                <w:szCs w:val="18"/>
                <w:lang w:eastAsia="pt-BR"/>
              </w:rPr>
            </w:pPr>
            <w:r w:rsidRPr="00A76D50">
              <w:rPr>
                <w:rFonts w:ascii="Arial" w:hAnsi="Arial" w:cs="Arial"/>
                <w:sz w:val="18"/>
                <w:szCs w:val="18"/>
              </w:rPr>
              <w:t>DELPROG</w:t>
            </w:r>
          </w:p>
        </w:tc>
        <w:tc>
          <w:tcPr>
            <w:tcW w:w="6930" w:type="dxa"/>
            <w:shd w:val="clear" w:color="auto" w:fill="auto"/>
            <w:vAlign w:val="center"/>
          </w:tcPr>
          <w:p w14:paraId="1948CE5B" w14:textId="673556B8" w:rsidR="00A55C82" w:rsidRPr="00A76D50" w:rsidRDefault="00A55C82" w:rsidP="00C21F69">
            <w:pPr>
              <w:spacing w:before="120" w:after="120" w:line="240" w:lineRule="auto"/>
              <w:jc w:val="both"/>
              <w:rPr>
                <w:rFonts w:ascii="Arial" w:eastAsia="Times New Roman" w:hAnsi="Arial" w:cs="Arial"/>
                <w:sz w:val="18"/>
                <w:szCs w:val="18"/>
                <w:lang w:eastAsia="pt-BR"/>
              </w:rPr>
            </w:pPr>
            <w:r w:rsidRPr="00A76D50">
              <w:rPr>
                <w:rFonts w:ascii="Arial" w:eastAsia="Times New Roman" w:hAnsi="Arial" w:cs="Arial"/>
                <w:sz w:val="18"/>
                <w:szCs w:val="18"/>
                <w:lang w:eastAsia="pt-BR"/>
              </w:rPr>
              <w:t>Declaração do Chefe o Poder Executivo, caso instituído o plano de amortização do déficit atuarial, acerca da existência de programação orçamentária prevista nos instrumentos de planejamento (PPA/LDO/LOA), abrangendo a fixação de metas financeiras anuais para amortização do déficit atuarial em conformidade com a lei vigente do ente federativo, além de meta anual para o acompanhamento do índice de cobertura das provisões matemáticas previdenciárias, possibilitando averiguar a efetividade da política pública de gestão previdenciária, na forma do item 3.2 deste Anexo.</w:t>
            </w:r>
            <w:r w:rsidR="00400056">
              <w:rPr>
                <w:rFonts w:ascii="Arial" w:eastAsia="Times New Roman" w:hAnsi="Arial" w:cs="Arial"/>
                <w:sz w:val="18"/>
                <w:szCs w:val="18"/>
                <w:lang w:eastAsia="pt-BR"/>
              </w:rPr>
              <w:t xml:space="preserve"> Arquivo facultativo para a PCA relativa o exercício de 2020 e obrigatório para os exercícios posteriores.</w:t>
            </w:r>
          </w:p>
        </w:tc>
        <w:tc>
          <w:tcPr>
            <w:tcW w:w="992" w:type="dxa"/>
            <w:shd w:val="clear" w:color="auto" w:fill="auto"/>
            <w:vAlign w:val="center"/>
          </w:tcPr>
          <w:p w14:paraId="1921311C" w14:textId="77777777" w:rsidR="00A55C82" w:rsidRPr="00A76D50" w:rsidRDefault="00A55C82" w:rsidP="00C21F69">
            <w:pPr>
              <w:spacing w:after="0" w:line="240" w:lineRule="auto"/>
              <w:jc w:val="center"/>
              <w:rPr>
                <w:rFonts w:ascii="Arial" w:eastAsia="Times New Roman" w:hAnsi="Arial" w:cs="Arial"/>
                <w:sz w:val="14"/>
                <w:szCs w:val="14"/>
                <w:lang w:eastAsia="pt-BR"/>
              </w:rPr>
            </w:pPr>
            <w:r w:rsidRPr="00A76D50">
              <w:rPr>
                <w:rFonts w:ascii="Arial" w:eastAsia="Times New Roman" w:hAnsi="Arial" w:cs="Arial"/>
                <w:sz w:val="14"/>
                <w:szCs w:val="14"/>
                <w:lang w:eastAsia="pt-BR"/>
              </w:rPr>
              <w:t>PDF</w:t>
            </w:r>
          </w:p>
        </w:tc>
      </w:tr>
      <w:tr w:rsidR="00A76D50" w:rsidRPr="00A76D50" w14:paraId="4C42BD21" w14:textId="77777777" w:rsidTr="00C21F69">
        <w:tc>
          <w:tcPr>
            <w:tcW w:w="1258" w:type="dxa"/>
            <w:vAlign w:val="center"/>
          </w:tcPr>
          <w:p w14:paraId="3CBFE4C5" w14:textId="77777777" w:rsidR="00A55C82" w:rsidRPr="00A76D50" w:rsidRDefault="00A55C82" w:rsidP="00C21F69">
            <w:pPr>
              <w:spacing w:after="0" w:line="240" w:lineRule="auto"/>
              <w:jc w:val="center"/>
              <w:rPr>
                <w:rFonts w:ascii="Arial" w:hAnsi="Arial" w:cs="Arial"/>
                <w:sz w:val="18"/>
                <w:szCs w:val="18"/>
              </w:rPr>
            </w:pPr>
            <w:r w:rsidRPr="00A76D50">
              <w:rPr>
                <w:rFonts w:ascii="Arial" w:hAnsi="Arial" w:cs="Arial"/>
                <w:sz w:val="18"/>
                <w:szCs w:val="18"/>
              </w:rPr>
              <w:t>DEMAAT</w:t>
            </w:r>
          </w:p>
        </w:tc>
        <w:tc>
          <w:tcPr>
            <w:tcW w:w="6930" w:type="dxa"/>
            <w:shd w:val="clear" w:color="auto" w:fill="auto"/>
            <w:vAlign w:val="center"/>
          </w:tcPr>
          <w:p w14:paraId="28B83EA5" w14:textId="77777777" w:rsidR="00A55C82" w:rsidRPr="00A76D50" w:rsidRDefault="00A55C82" w:rsidP="00C21F69">
            <w:pPr>
              <w:spacing w:before="120" w:after="120" w:line="240" w:lineRule="auto"/>
              <w:jc w:val="both"/>
              <w:rPr>
                <w:rFonts w:ascii="Arial" w:eastAsia="Times New Roman" w:hAnsi="Arial" w:cs="Arial"/>
                <w:sz w:val="18"/>
                <w:szCs w:val="18"/>
                <w:lang w:eastAsia="pt-BR"/>
              </w:rPr>
            </w:pPr>
            <w:r w:rsidRPr="00A76D50">
              <w:rPr>
                <w:rFonts w:ascii="Arial" w:eastAsia="Times New Roman" w:hAnsi="Arial" w:cs="Arial"/>
                <w:sz w:val="18"/>
                <w:szCs w:val="18"/>
                <w:lang w:eastAsia="pt-BR"/>
              </w:rPr>
              <w:t>Avaliação Atuarial Anual para verificação do equilíbrio financeiro e atuarial do RPPS (Planos Previdenciário e Financeiro), realizado por entidade independente e legalmente habilitada junto ao Instituto Brasileiro de Atuária (IBA), observados os parâmetros gerais para a organização e revisão do plano de custeio e benefícios, com data de cálculo posicionado em 31/12 e data-base com dados posicionados entre julho a dezembro, ambos do exercício de competência da PCA. O estudo deve estar devidamente acompanhado de parecer atuarial, projeções atuariais e provisões matemáticas previdenciárias.</w:t>
            </w:r>
          </w:p>
        </w:tc>
        <w:tc>
          <w:tcPr>
            <w:tcW w:w="992" w:type="dxa"/>
            <w:shd w:val="clear" w:color="auto" w:fill="auto"/>
            <w:vAlign w:val="center"/>
          </w:tcPr>
          <w:p w14:paraId="3F481B0E" w14:textId="77777777" w:rsidR="00A55C82" w:rsidRPr="00A76D50" w:rsidRDefault="00A55C82" w:rsidP="00C21F69">
            <w:pPr>
              <w:spacing w:after="0" w:line="240" w:lineRule="auto"/>
              <w:jc w:val="center"/>
              <w:rPr>
                <w:rFonts w:ascii="Arial" w:eastAsia="Times New Roman" w:hAnsi="Arial" w:cs="Arial"/>
                <w:sz w:val="14"/>
                <w:szCs w:val="14"/>
                <w:lang w:eastAsia="pt-BR"/>
              </w:rPr>
            </w:pPr>
            <w:r w:rsidRPr="00A76D50">
              <w:rPr>
                <w:rFonts w:ascii="Arial" w:eastAsia="Times New Roman" w:hAnsi="Arial" w:cs="Arial"/>
                <w:sz w:val="14"/>
                <w:szCs w:val="14"/>
                <w:lang w:eastAsia="pt-BR"/>
              </w:rPr>
              <w:t>PDF</w:t>
            </w:r>
          </w:p>
        </w:tc>
      </w:tr>
      <w:tr w:rsidR="00A76D50" w:rsidRPr="00A76D50" w14:paraId="72AA72CC" w14:textId="77777777" w:rsidTr="00C21F69">
        <w:tc>
          <w:tcPr>
            <w:tcW w:w="1258" w:type="dxa"/>
            <w:vAlign w:val="center"/>
          </w:tcPr>
          <w:p w14:paraId="17B24B1B" w14:textId="77777777" w:rsidR="00A55C82" w:rsidRPr="00A76D50" w:rsidRDefault="00A55C82" w:rsidP="00C21F69">
            <w:pPr>
              <w:spacing w:after="0" w:line="240" w:lineRule="auto"/>
              <w:jc w:val="center"/>
              <w:rPr>
                <w:rFonts w:ascii="Arial" w:hAnsi="Arial" w:cs="Arial"/>
                <w:sz w:val="18"/>
                <w:szCs w:val="18"/>
              </w:rPr>
            </w:pPr>
            <w:r w:rsidRPr="00A76D50">
              <w:rPr>
                <w:rFonts w:ascii="Arial" w:hAnsi="Arial" w:cs="Arial"/>
                <w:sz w:val="18"/>
                <w:szCs w:val="18"/>
              </w:rPr>
              <w:t>DELATU</w:t>
            </w:r>
          </w:p>
        </w:tc>
        <w:tc>
          <w:tcPr>
            <w:tcW w:w="6930" w:type="dxa"/>
            <w:shd w:val="clear" w:color="auto" w:fill="auto"/>
            <w:vAlign w:val="center"/>
          </w:tcPr>
          <w:p w14:paraId="2DF7FBD0" w14:textId="77777777" w:rsidR="00A55C82" w:rsidRPr="00A76D50" w:rsidRDefault="00A55C82" w:rsidP="00C21F69">
            <w:pPr>
              <w:spacing w:before="120" w:after="120" w:line="240" w:lineRule="auto"/>
              <w:jc w:val="both"/>
              <w:rPr>
                <w:rFonts w:ascii="Arial" w:eastAsia="Times New Roman" w:hAnsi="Arial" w:cs="Arial"/>
                <w:sz w:val="18"/>
                <w:szCs w:val="18"/>
                <w:lang w:eastAsia="pt-BR"/>
              </w:rPr>
            </w:pPr>
            <w:r w:rsidRPr="00A76D50">
              <w:rPr>
                <w:rFonts w:ascii="Arial" w:eastAsia="Times New Roman" w:hAnsi="Arial" w:cs="Arial"/>
                <w:sz w:val="18"/>
                <w:szCs w:val="18"/>
                <w:lang w:eastAsia="pt-BR"/>
              </w:rPr>
              <w:t>Declaração do Chefe do Poder Executivo de que tomou ciência de que a unidade gestora do RPPS e o atuário responsável pela elaboração da avaliação atuarial elegeram conjuntamente as hipóteses biométricas, demográficas, econômicas e financeiras adequadas às características da massa de segurados e de seus dependentes para o correto dimensionamento dos compromissos futuros do RPPS.</w:t>
            </w:r>
          </w:p>
        </w:tc>
        <w:tc>
          <w:tcPr>
            <w:tcW w:w="992" w:type="dxa"/>
            <w:shd w:val="clear" w:color="auto" w:fill="auto"/>
            <w:vAlign w:val="center"/>
          </w:tcPr>
          <w:p w14:paraId="1D842C76" w14:textId="77777777" w:rsidR="00A55C82" w:rsidRPr="00A76D50" w:rsidRDefault="00A55C82" w:rsidP="00C21F69">
            <w:pPr>
              <w:spacing w:after="0" w:line="240" w:lineRule="auto"/>
              <w:jc w:val="center"/>
              <w:rPr>
                <w:rFonts w:ascii="Arial" w:eastAsia="Times New Roman" w:hAnsi="Arial" w:cs="Arial"/>
                <w:sz w:val="14"/>
                <w:szCs w:val="14"/>
                <w:lang w:eastAsia="pt-BR"/>
              </w:rPr>
            </w:pPr>
            <w:r w:rsidRPr="00A76D50">
              <w:rPr>
                <w:rFonts w:ascii="Arial" w:eastAsia="Times New Roman" w:hAnsi="Arial" w:cs="Arial"/>
                <w:sz w:val="14"/>
                <w:szCs w:val="14"/>
                <w:lang w:eastAsia="pt-BR"/>
              </w:rPr>
              <w:t>PDF</w:t>
            </w:r>
          </w:p>
        </w:tc>
      </w:tr>
      <w:tr w:rsidR="00A76D50" w:rsidRPr="00A76D50" w14:paraId="002CD22C" w14:textId="77777777" w:rsidTr="00C21F69">
        <w:tc>
          <w:tcPr>
            <w:tcW w:w="1258" w:type="dxa"/>
            <w:vAlign w:val="center"/>
          </w:tcPr>
          <w:p w14:paraId="1002E456" w14:textId="77777777" w:rsidR="00A55C82" w:rsidRPr="00A76D50" w:rsidRDefault="00A55C82" w:rsidP="00C21F69">
            <w:pPr>
              <w:spacing w:after="0" w:line="240" w:lineRule="auto"/>
              <w:jc w:val="center"/>
              <w:rPr>
                <w:rFonts w:ascii="Arial" w:hAnsi="Arial" w:cs="Arial"/>
              </w:rPr>
            </w:pPr>
            <w:r w:rsidRPr="00A76D50">
              <w:rPr>
                <w:rFonts w:ascii="Arial" w:hAnsi="Arial" w:cs="Arial"/>
                <w:sz w:val="18"/>
                <w:szCs w:val="18"/>
              </w:rPr>
              <w:t>SUSTEN</w:t>
            </w:r>
          </w:p>
        </w:tc>
        <w:tc>
          <w:tcPr>
            <w:tcW w:w="6930" w:type="dxa"/>
            <w:shd w:val="clear" w:color="auto" w:fill="auto"/>
            <w:vAlign w:val="center"/>
          </w:tcPr>
          <w:p w14:paraId="59FE8431" w14:textId="77777777" w:rsidR="00A55C82" w:rsidRPr="00A76D50" w:rsidRDefault="00A55C82" w:rsidP="00C21F69">
            <w:pPr>
              <w:spacing w:before="120" w:after="120" w:line="240" w:lineRule="auto"/>
              <w:jc w:val="both"/>
              <w:rPr>
                <w:rFonts w:ascii="Arial" w:eastAsia="Times New Roman" w:hAnsi="Arial" w:cs="Arial"/>
                <w:sz w:val="18"/>
                <w:szCs w:val="18"/>
                <w:lang w:eastAsia="pt-BR"/>
              </w:rPr>
            </w:pPr>
            <w:r w:rsidRPr="00A76D50">
              <w:rPr>
                <w:rFonts w:ascii="Arial" w:eastAsia="Times New Roman" w:hAnsi="Arial" w:cs="Arial"/>
                <w:sz w:val="18"/>
                <w:szCs w:val="18"/>
                <w:lang w:eastAsia="pt-BR"/>
              </w:rPr>
              <w:t>Demonstrativo de Viabilidade do Plano de Custeio</w:t>
            </w:r>
            <w:r w:rsidRPr="00A76D50">
              <w:t xml:space="preserve"> </w:t>
            </w:r>
            <w:r w:rsidRPr="00A76D50">
              <w:rPr>
                <w:rFonts w:ascii="Arial" w:eastAsia="Times New Roman" w:hAnsi="Arial" w:cs="Arial"/>
                <w:sz w:val="18"/>
                <w:szCs w:val="18"/>
                <w:lang w:eastAsia="pt-BR"/>
              </w:rPr>
              <w:t>do RPPS (único ou dos Planos Previdenciário e Financeiro, no caso de segregação de massa) evidenciando que o plano de custeio adotado pelo ente, abrangendo plano de amortização, vigente no exercício da prestação de contas, possui viabilidade orçamentária e financeira, e que respeita os limites de gastos com pessoal impostos pela Lei de Responsabilidade Fiscal, durante todo seu período de vigência. Na elaboração deste demonstrativo previsto no inciso VII do art. 68 da Portaria MF nº 464/2018 deverão ser observados os prazos previstos no § 1º do art. 6º da Instrução Normativa SPREV nº 10, de 21 de dezembro de 2018.</w:t>
            </w:r>
          </w:p>
        </w:tc>
        <w:tc>
          <w:tcPr>
            <w:tcW w:w="992" w:type="dxa"/>
            <w:shd w:val="clear" w:color="auto" w:fill="auto"/>
            <w:vAlign w:val="center"/>
          </w:tcPr>
          <w:p w14:paraId="14223A8C" w14:textId="77777777" w:rsidR="00A55C82" w:rsidRPr="00A76D50" w:rsidRDefault="00A55C82" w:rsidP="00C21F69">
            <w:pPr>
              <w:spacing w:after="0" w:line="240" w:lineRule="auto"/>
              <w:jc w:val="center"/>
              <w:rPr>
                <w:rFonts w:ascii="Arial" w:eastAsia="Times New Roman" w:hAnsi="Arial" w:cs="Arial"/>
                <w:sz w:val="14"/>
                <w:szCs w:val="14"/>
                <w:lang w:eastAsia="pt-BR"/>
              </w:rPr>
            </w:pPr>
            <w:r w:rsidRPr="00A76D50">
              <w:rPr>
                <w:rFonts w:ascii="Arial" w:eastAsia="Times New Roman" w:hAnsi="Arial" w:cs="Arial"/>
                <w:sz w:val="14"/>
                <w:szCs w:val="14"/>
                <w:lang w:eastAsia="pt-BR"/>
              </w:rPr>
              <w:t>PDF</w:t>
            </w:r>
          </w:p>
        </w:tc>
      </w:tr>
      <w:tr w:rsidR="00A76D50" w:rsidRPr="00A76D50" w14:paraId="37B00FE6" w14:textId="77777777" w:rsidTr="00C21F69">
        <w:tc>
          <w:tcPr>
            <w:tcW w:w="1258" w:type="dxa"/>
            <w:vAlign w:val="center"/>
          </w:tcPr>
          <w:p w14:paraId="52879622" w14:textId="77777777" w:rsidR="00A55C82" w:rsidRPr="00A76D50" w:rsidRDefault="00A55C82" w:rsidP="00C21F69">
            <w:pPr>
              <w:spacing w:after="0" w:line="240" w:lineRule="auto"/>
              <w:jc w:val="center"/>
              <w:rPr>
                <w:rFonts w:ascii="Arial" w:eastAsia="Arial" w:hAnsi="Arial" w:cs="Arial"/>
                <w:sz w:val="18"/>
              </w:rPr>
            </w:pPr>
            <w:r w:rsidRPr="00A76D50">
              <w:rPr>
                <w:rFonts w:ascii="Arial" w:eastAsia="Arial" w:hAnsi="Arial" w:cs="Arial"/>
                <w:sz w:val="18"/>
              </w:rPr>
              <w:t>TERPAR</w:t>
            </w:r>
          </w:p>
        </w:tc>
        <w:tc>
          <w:tcPr>
            <w:tcW w:w="6930" w:type="dxa"/>
            <w:shd w:val="clear" w:color="auto" w:fill="auto"/>
            <w:vAlign w:val="center"/>
          </w:tcPr>
          <w:p w14:paraId="36978061" w14:textId="77777777" w:rsidR="00A55C82" w:rsidRPr="00A76D50" w:rsidRDefault="00A55C82" w:rsidP="00C21F69">
            <w:pPr>
              <w:spacing w:before="120" w:after="120" w:line="240" w:lineRule="auto"/>
              <w:jc w:val="both"/>
              <w:rPr>
                <w:rFonts w:ascii="Arial" w:eastAsia="Times New Roman" w:hAnsi="Arial" w:cs="Arial"/>
                <w:sz w:val="18"/>
                <w:szCs w:val="18"/>
                <w:lang w:eastAsia="pt-BR"/>
              </w:rPr>
            </w:pPr>
            <w:r w:rsidRPr="00A76D50">
              <w:rPr>
                <w:rFonts w:ascii="Arial" w:eastAsia="Times New Roman" w:hAnsi="Arial" w:cs="Arial"/>
                <w:sz w:val="18"/>
                <w:szCs w:val="18"/>
                <w:lang w:eastAsia="pt-BR"/>
              </w:rPr>
              <w:t>Cópia dos termos de parcelamentos relativos a contribuições previdenciárias (RPPS e/ou RGPS) vigentes no exercício da prestação de contas.</w:t>
            </w:r>
          </w:p>
        </w:tc>
        <w:tc>
          <w:tcPr>
            <w:tcW w:w="992" w:type="dxa"/>
            <w:shd w:val="clear" w:color="auto" w:fill="auto"/>
            <w:vAlign w:val="center"/>
          </w:tcPr>
          <w:p w14:paraId="6D24CBEC" w14:textId="77777777" w:rsidR="00A55C82" w:rsidRPr="00A76D50" w:rsidRDefault="00A55C82" w:rsidP="00C21F69">
            <w:pPr>
              <w:spacing w:after="0" w:line="240" w:lineRule="auto"/>
              <w:jc w:val="center"/>
              <w:rPr>
                <w:rFonts w:ascii="Arial" w:eastAsia="Times New Roman" w:hAnsi="Arial" w:cs="Arial"/>
                <w:sz w:val="14"/>
                <w:szCs w:val="14"/>
                <w:lang w:eastAsia="pt-BR"/>
              </w:rPr>
            </w:pPr>
            <w:r w:rsidRPr="00A76D50">
              <w:rPr>
                <w:rFonts w:ascii="Arial" w:eastAsia="Times New Roman" w:hAnsi="Arial" w:cs="Arial"/>
                <w:sz w:val="14"/>
                <w:szCs w:val="14"/>
                <w:lang w:eastAsia="pt-BR"/>
              </w:rPr>
              <w:t>PDF</w:t>
            </w:r>
          </w:p>
        </w:tc>
      </w:tr>
      <w:tr w:rsidR="00A76D50" w:rsidRPr="00A76D50" w14:paraId="083482DC" w14:textId="77777777" w:rsidTr="00C21F69">
        <w:tc>
          <w:tcPr>
            <w:tcW w:w="1258" w:type="dxa"/>
            <w:vAlign w:val="center"/>
          </w:tcPr>
          <w:p w14:paraId="38BE9AD9" w14:textId="77777777" w:rsidR="00A55C82" w:rsidRPr="00A76D50" w:rsidRDefault="00A55C82" w:rsidP="00C21F69">
            <w:pPr>
              <w:spacing w:after="0" w:line="240" w:lineRule="auto"/>
              <w:jc w:val="center"/>
              <w:rPr>
                <w:rFonts w:ascii="Arial" w:eastAsia="Arial" w:hAnsi="Arial" w:cs="Arial"/>
                <w:sz w:val="18"/>
              </w:rPr>
            </w:pPr>
            <w:r w:rsidRPr="00A76D50">
              <w:rPr>
                <w:rFonts w:ascii="Arial" w:eastAsia="Arial" w:hAnsi="Arial" w:cs="Arial"/>
                <w:sz w:val="18"/>
              </w:rPr>
              <w:t>AUTPAR</w:t>
            </w:r>
          </w:p>
        </w:tc>
        <w:tc>
          <w:tcPr>
            <w:tcW w:w="6930" w:type="dxa"/>
            <w:shd w:val="clear" w:color="auto" w:fill="auto"/>
            <w:vAlign w:val="center"/>
          </w:tcPr>
          <w:p w14:paraId="0347492F" w14:textId="77777777" w:rsidR="00A55C82" w:rsidRPr="00A76D50" w:rsidRDefault="00A55C82" w:rsidP="00C21F69">
            <w:pPr>
              <w:spacing w:before="120" w:after="120" w:line="240" w:lineRule="auto"/>
              <w:jc w:val="both"/>
              <w:rPr>
                <w:rFonts w:ascii="Arial" w:eastAsia="Times New Roman" w:hAnsi="Arial" w:cs="Arial"/>
                <w:sz w:val="18"/>
                <w:szCs w:val="18"/>
                <w:lang w:eastAsia="pt-BR"/>
              </w:rPr>
            </w:pPr>
            <w:r w:rsidRPr="00A76D50">
              <w:rPr>
                <w:rFonts w:ascii="Arial" w:eastAsia="Times New Roman" w:hAnsi="Arial" w:cs="Arial"/>
                <w:sz w:val="18"/>
                <w:szCs w:val="18"/>
                <w:lang w:eastAsia="pt-BR"/>
              </w:rPr>
              <w:t>Leis que autorizaram os parcelamentos relativos a contribuições previdenciárias (RPPS e/ou RGPS) vigentes no exercício da prestação de contas</w:t>
            </w:r>
          </w:p>
        </w:tc>
        <w:tc>
          <w:tcPr>
            <w:tcW w:w="992" w:type="dxa"/>
            <w:shd w:val="clear" w:color="auto" w:fill="auto"/>
            <w:vAlign w:val="center"/>
          </w:tcPr>
          <w:p w14:paraId="60CF3516" w14:textId="77777777" w:rsidR="00A55C82" w:rsidRPr="00A76D50" w:rsidRDefault="00A55C82" w:rsidP="00C21F69">
            <w:pPr>
              <w:spacing w:after="0" w:line="240" w:lineRule="auto"/>
              <w:jc w:val="center"/>
              <w:rPr>
                <w:rFonts w:ascii="Arial" w:eastAsia="Times New Roman" w:hAnsi="Arial" w:cs="Arial"/>
                <w:sz w:val="14"/>
                <w:szCs w:val="14"/>
                <w:lang w:eastAsia="pt-BR"/>
              </w:rPr>
            </w:pPr>
            <w:r w:rsidRPr="00A76D50">
              <w:rPr>
                <w:rFonts w:ascii="Arial" w:eastAsia="Times New Roman" w:hAnsi="Arial" w:cs="Arial"/>
                <w:sz w:val="14"/>
                <w:szCs w:val="14"/>
                <w:lang w:eastAsia="pt-BR"/>
              </w:rPr>
              <w:t>PDF</w:t>
            </w:r>
          </w:p>
        </w:tc>
      </w:tr>
      <w:tr w:rsidR="00A76D50" w:rsidRPr="00A76D50" w14:paraId="491AC7EC" w14:textId="77777777" w:rsidTr="00C21F69">
        <w:tc>
          <w:tcPr>
            <w:tcW w:w="1258" w:type="dxa"/>
            <w:vAlign w:val="center"/>
          </w:tcPr>
          <w:p w14:paraId="618CF1AF" w14:textId="77777777" w:rsidR="00A55C82" w:rsidRPr="00A76D50" w:rsidRDefault="00A55C82" w:rsidP="00C21F69">
            <w:pPr>
              <w:spacing w:after="0" w:line="240" w:lineRule="auto"/>
              <w:jc w:val="center"/>
              <w:rPr>
                <w:rFonts w:ascii="Arial" w:eastAsia="Arial" w:hAnsi="Arial" w:cs="Arial"/>
                <w:sz w:val="18"/>
              </w:rPr>
            </w:pPr>
            <w:r w:rsidRPr="00A76D50">
              <w:rPr>
                <w:rFonts w:ascii="Arial" w:eastAsia="Arial" w:hAnsi="Arial" w:cs="Arial"/>
                <w:sz w:val="18"/>
              </w:rPr>
              <w:t>SUSPEN</w:t>
            </w:r>
          </w:p>
        </w:tc>
        <w:tc>
          <w:tcPr>
            <w:tcW w:w="6930" w:type="dxa"/>
            <w:shd w:val="clear" w:color="auto" w:fill="auto"/>
            <w:vAlign w:val="center"/>
          </w:tcPr>
          <w:p w14:paraId="7720B684" w14:textId="77777777" w:rsidR="00A55C82" w:rsidRPr="00A76D50" w:rsidRDefault="00A55C82" w:rsidP="00C21F69">
            <w:pPr>
              <w:spacing w:before="120" w:after="120" w:line="240" w:lineRule="auto"/>
              <w:jc w:val="both"/>
              <w:rPr>
                <w:rFonts w:ascii="Arial" w:eastAsia="Times New Roman" w:hAnsi="Arial" w:cs="Arial"/>
                <w:sz w:val="18"/>
                <w:szCs w:val="18"/>
                <w:lang w:eastAsia="pt-BR"/>
              </w:rPr>
            </w:pPr>
            <w:r w:rsidRPr="00A76D50">
              <w:rPr>
                <w:rFonts w:ascii="Arial" w:eastAsia="Times New Roman" w:hAnsi="Arial" w:cs="Arial"/>
                <w:sz w:val="18"/>
                <w:szCs w:val="18"/>
                <w:lang w:eastAsia="pt-BR"/>
              </w:rPr>
              <w:t>Lei que autorizou a suspensão das contribuições previdenciárias patronais do RPPS, nos termos do art. 9º da LC 173/2020. As leis devem vir acompanhadas do projeto de lei que evidencia a motivação e essencialidade desta medida para o enfrentamento ao coronavírus e a comprovação de que esses valores foram efetivamente aplicados no combate à pandemia, enquanto vigente seus efeitos.</w:t>
            </w:r>
          </w:p>
        </w:tc>
        <w:tc>
          <w:tcPr>
            <w:tcW w:w="992" w:type="dxa"/>
            <w:shd w:val="clear" w:color="auto" w:fill="auto"/>
            <w:vAlign w:val="center"/>
          </w:tcPr>
          <w:p w14:paraId="3D06CE07" w14:textId="77777777" w:rsidR="00A55C82" w:rsidRPr="00A76D50" w:rsidRDefault="00A55C82" w:rsidP="00C21F69">
            <w:pPr>
              <w:spacing w:after="0" w:line="240" w:lineRule="auto"/>
              <w:jc w:val="center"/>
              <w:rPr>
                <w:rFonts w:ascii="Arial" w:eastAsia="Times New Roman" w:hAnsi="Arial" w:cs="Arial"/>
                <w:sz w:val="14"/>
                <w:szCs w:val="14"/>
                <w:lang w:eastAsia="pt-BR"/>
              </w:rPr>
            </w:pPr>
            <w:r w:rsidRPr="00A76D50">
              <w:rPr>
                <w:rFonts w:ascii="Arial" w:eastAsia="Times New Roman" w:hAnsi="Arial" w:cs="Arial"/>
                <w:sz w:val="14"/>
                <w:szCs w:val="14"/>
                <w:lang w:eastAsia="pt-BR"/>
              </w:rPr>
              <w:t>PDF</w:t>
            </w:r>
          </w:p>
        </w:tc>
      </w:tr>
      <w:tr w:rsidR="00A76D50" w:rsidRPr="00A76D50" w14:paraId="7AF51787" w14:textId="77777777" w:rsidTr="00C21F69">
        <w:tc>
          <w:tcPr>
            <w:tcW w:w="1258" w:type="dxa"/>
            <w:vAlign w:val="center"/>
          </w:tcPr>
          <w:p w14:paraId="2374795C" w14:textId="77777777" w:rsidR="00A55C82" w:rsidRPr="00A76D50" w:rsidRDefault="00A55C82" w:rsidP="00C21F69">
            <w:pPr>
              <w:spacing w:after="0" w:line="240" w:lineRule="auto"/>
              <w:jc w:val="center"/>
              <w:rPr>
                <w:rFonts w:ascii="Arial" w:hAnsi="Arial" w:cs="Arial"/>
              </w:rPr>
            </w:pPr>
            <w:r w:rsidRPr="00A76D50">
              <w:rPr>
                <w:rFonts w:ascii="Arial" w:eastAsia="Arial" w:hAnsi="Arial" w:cs="Arial"/>
                <w:sz w:val="18"/>
              </w:rPr>
              <w:t>DECPRO</w:t>
            </w:r>
          </w:p>
        </w:tc>
        <w:tc>
          <w:tcPr>
            <w:tcW w:w="6930" w:type="dxa"/>
            <w:shd w:val="clear" w:color="auto" w:fill="auto"/>
            <w:vAlign w:val="center"/>
          </w:tcPr>
          <w:p w14:paraId="466082FB" w14:textId="77777777" w:rsidR="00A55C82" w:rsidRPr="00A76D50" w:rsidRDefault="00A55C82" w:rsidP="00C21F69">
            <w:pPr>
              <w:spacing w:before="120" w:after="120" w:line="240" w:lineRule="auto"/>
              <w:jc w:val="both"/>
              <w:rPr>
                <w:rFonts w:ascii="Arial" w:eastAsia="Times New Roman" w:hAnsi="Arial" w:cs="Arial"/>
                <w:sz w:val="18"/>
                <w:szCs w:val="18"/>
                <w:lang w:eastAsia="pt-BR"/>
              </w:rPr>
            </w:pPr>
            <w:r w:rsidRPr="00A76D50">
              <w:rPr>
                <w:rFonts w:ascii="Arial" w:eastAsia="Times New Roman" w:hAnsi="Arial" w:cs="Arial"/>
                <w:sz w:val="18"/>
                <w:szCs w:val="18"/>
                <w:lang w:eastAsia="pt-BR"/>
              </w:rPr>
              <w:t>Ato(s) normativo(s) do Chefe do Poder Executivo estabelecendo a programação financeira e o cronograma de execução mensal de desembolso, referente ao exercício da prestação de contas.</w:t>
            </w:r>
          </w:p>
        </w:tc>
        <w:tc>
          <w:tcPr>
            <w:tcW w:w="992" w:type="dxa"/>
            <w:shd w:val="clear" w:color="auto" w:fill="auto"/>
            <w:vAlign w:val="center"/>
          </w:tcPr>
          <w:p w14:paraId="7F8DB8BD" w14:textId="77777777" w:rsidR="00A55C82" w:rsidRPr="00A76D50" w:rsidRDefault="00A55C82" w:rsidP="00C21F69">
            <w:pPr>
              <w:spacing w:after="0" w:line="240" w:lineRule="auto"/>
              <w:jc w:val="center"/>
              <w:rPr>
                <w:rFonts w:ascii="Arial" w:eastAsia="Times New Roman" w:hAnsi="Arial" w:cs="Arial"/>
                <w:sz w:val="14"/>
                <w:szCs w:val="14"/>
                <w:lang w:eastAsia="pt-BR"/>
              </w:rPr>
            </w:pPr>
            <w:r w:rsidRPr="00A76D50">
              <w:rPr>
                <w:rFonts w:ascii="Arial" w:eastAsia="Times New Roman" w:hAnsi="Arial" w:cs="Arial"/>
                <w:sz w:val="14"/>
                <w:szCs w:val="14"/>
                <w:lang w:eastAsia="pt-BR"/>
              </w:rPr>
              <w:t>PDF</w:t>
            </w:r>
          </w:p>
        </w:tc>
      </w:tr>
      <w:tr w:rsidR="00A76D50" w:rsidRPr="00A76D50" w14:paraId="78AFF14B" w14:textId="77777777" w:rsidTr="00C21F69">
        <w:tc>
          <w:tcPr>
            <w:tcW w:w="1258" w:type="dxa"/>
            <w:vAlign w:val="center"/>
          </w:tcPr>
          <w:p w14:paraId="35B98560" w14:textId="77777777" w:rsidR="007C357B" w:rsidRPr="00A76D50" w:rsidRDefault="007C357B" w:rsidP="00C21F69">
            <w:pPr>
              <w:spacing w:after="0" w:line="240" w:lineRule="auto"/>
              <w:jc w:val="center"/>
              <w:rPr>
                <w:rFonts w:ascii="Arial" w:eastAsia="Arial" w:hAnsi="Arial" w:cs="Arial"/>
                <w:sz w:val="18"/>
              </w:rPr>
            </w:pPr>
            <w:r w:rsidRPr="00A76D50">
              <w:rPr>
                <w:rFonts w:ascii="Arial" w:eastAsia="Arial" w:hAnsi="Arial" w:cs="Arial"/>
                <w:sz w:val="18"/>
              </w:rPr>
              <w:t>LIMITA</w:t>
            </w:r>
          </w:p>
        </w:tc>
        <w:tc>
          <w:tcPr>
            <w:tcW w:w="6930" w:type="dxa"/>
            <w:shd w:val="clear" w:color="auto" w:fill="auto"/>
            <w:vAlign w:val="center"/>
          </w:tcPr>
          <w:p w14:paraId="293E748A" w14:textId="77777777" w:rsidR="007C357B" w:rsidRPr="00A76D50" w:rsidRDefault="007C357B" w:rsidP="00C21F69">
            <w:pPr>
              <w:spacing w:after="0" w:line="240" w:lineRule="auto"/>
              <w:jc w:val="both"/>
              <w:rPr>
                <w:rFonts w:ascii="Arial" w:eastAsia="Arial" w:hAnsi="Arial" w:cs="Arial"/>
                <w:sz w:val="18"/>
              </w:rPr>
            </w:pPr>
            <w:r w:rsidRPr="00A76D50">
              <w:rPr>
                <w:rFonts w:ascii="Arial" w:eastAsia="Arial" w:hAnsi="Arial" w:cs="Arial"/>
                <w:sz w:val="18"/>
              </w:rPr>
              <w:t>Atos da autoridade competente expedidos no exercício da prestação de contas, promovendo a limitação de empenho e movimentação financeira, quando foi constatado que a realização da receita não comportou o cumprimento das metas de resultado primário ou nominal estabelecidas no Anexo de Metas Fiscais.</w:t>
            </w:r>
          </w:p>
        </w:tc>
        <w:tc>
          <w:tcPr>
            <w:tcW w:w="992" w:type="dxa"/>
            <w:shd w:val="clear" w:color="auto" w:fill="auto"/>
            <w:vAlign w:val="center"/>
          </w:tcPr>
          <w:p w14:paraId="5C09A29B" w14:textId="77777777" w:rsidR="007C357B" w:rsidRPr="00A76D50" w:rsidRDefault="007C357B" w:rsidP="00C21F69">
            <w:pPr>
              <w:spacing w:after="0" w:line="240" w:lineRule="auto"/>
              <w:jc w:val="center"/>
              <w:rPr>
                <w:rFonts w:ascii="Arial" w:eastAsia="Arial" w:hAnsi="Arial" w:cs="Arial"/>
                <w:sz w:val="14"/>
                <w:szCs w:val="14"/>
              </w:rPr>
            </w:pPr>
            <w:r w:rsidRPr="00A76D50">
              <w:rPr>
                <w:rFonts w:ascii="Arial" w:eastAsia="Arial" w:hAnsi="Arial" w:cs="Arial"/>
                <w:sz w:val="14"/>
                <w:szCs w:val="14"/>
              </w:rPr>
              <w:t>PDF</w:t>
            </w:r>
          </w:p>
        </w:tc>
      </w:tr>
      <w:tr w:rsidR="00A76D50" w:rsidRPr="00A76D50" w14:paraId="6EEA5B5E" w14:textId="77777777" w:rsidTr="00C21F69">
        <w:tc>
          <w:tcPr>
            <w:tcW w:w="1258" w:type="dxa"/>
            <w:vAlign w:val="center"/>
          </w:tcPr>
          <w:p w14:paraId="10C8B40C" w14:textId="77777777" w:rsidR="007C357B" w:rsidRPr="00A76D50" w:rsidRDefault="007C357B" w:rsidP="00C21F69">
            <w:pPr>
              <w:spacing w:after="0" w:line="240" w:lineRule="auto"/>
              <w:jc w:val="center"/>
              <w:rPr>
                <w:rFonts w:ascii="Arial" w:eastAsia="Arial" w:hAnsi="Arial" w:cs="Arial"/>
                <w:sz w:val="18"/>
              </w:rPr>
            </w:pPr>
            <w:r w:rsidRPr="00A76D50">
              <w:rPr>
                <w:rFonts w:ascii="Arial" w:eastAsia="Arial" w:hAnsi="Arial" w:cs="Arial"/>
                <w:sz w:val="18"/>
              </w:rPr>
              <w:t>AVALIA</w:t>
            </w:r>
          </w:p>
        </w:tc>
        <w:tc>
          <w:tcPr>
            <w:tcW w:w="6930" w:type="dxa"/>
            <w:shd w:val="clear" w:color="auto" w:fill="auto"/>
            <w:vAlign w:val="center"/>
          </w:tcPr>
          <w:p w14:paraId="7EAFF61D" w14:textId="77777777" w:rsidR="007C357B" w:rsidRPr="00A76D50" w:rsidRDefault="007C357B" w:rsidP="00C21F69">
            <w:pPr>
              <w:spacing w:after="0" w:line="240" w:lineRule="auto"/>
              <w:jc w:val="both"/>
              <w:rPr>
                <w:rFonts w:ascii="Arial" w:eastAsia="Arial" w:hAnsi="Arial" w:cs="Arial"/>
                <w:sz w:val="18"/>
              </w:rPr>
            </w:pPr>
            <w:r w:rsidRPr="00A76D50">
              <w:rPr>
                <w:rFonts w:ascii="Arial" w:eastAsia="Arial" w:hAnsi="Arial" w:cs="Arial"/>
                <w:sz w:val="18"/>
              </w:rPr>
              <w:t>Comprovante de realização pelo Poder Executivo que no final dos meses de maio, setembro e fevereiro, promoveu audiência pública nas comissões de finanças ou equivalentes na Câmara Municipal, demonstrando e avaliando o cumprimento das metas fiscais de cada quadrimestre do exercício da prestação de contas.</w:t>
            </w:r>
          </w:p>
        </w:tc>
        <w:tc>
          <w:tcPr>
            <w:tcW w:w="992" w:type="dxa"/>
            <w:shd w:val="clear" w:color="auto" w:fill="auto"/>
            <w:vAlign w:val="center"/>
          </w:tcPr>
          <w:p w14:paraId="3F81BADC" w14:textId="77777777" w:rsidR="007C357B" w:rsidRPr="00A76D50" w:rsidRDefault="007C357B" w:rsidP="00C21F69">
            <w:pPr>
              <w:spacing w:after="0" w:line="240" w:lineRule="auto"/>
              <w:jc w:val="center"/>
              <w:rPr>
                <w:rFonts w:ascii="Arial" w:eastAsia="Arial" w:hAnsi="Arial" w:cs="Arial"/>
                <w:sz w:val="14"/>
                <w:szCs w:val="14"/>
              </w:rPr>
            </w:pPr>
            <w:r w:rsidRPr="00A76D50">
              <w:rPr>
                <w:rFonts w:ascii="Arial" w:eastAsia="Arial" w:hAnsi="Arial" w:cs="Arial"/>
                <w:sz w:val="14"/>
                <w:szCs w:val="14"/>
              </w:rPr>
              <w:t>PDF</w:t>
            </w:r>
          </w:p>
        </w:tc>
      </w:tr>
      <w:tr w:rsidR="00A76D50" w:rsidRPr="00A76D50" w14:paraId="13E1D081" w14:textId="77777777" w:rsidTr="00C21F69">
        <w:tc>
          <w:tcPr>
            <w:tcW w:w="1258" w:type="dxa"/>
            <w:vAlign w:val="center"/>
          </w:tcPr>
          <w:p w14:paraId="2FC00FFF" w14:textId="77777777" w:rsidR="007C357B" w:rsidRPr="00A76D50" w:rsidRDefault="007C357B" w:rsidP="00C21F69">
            <w:pPr>
              <w:spacing w:after="0" w:line="240" w:lineRule="auto"/>
              <w:jc w:val="center"/>
              <w:rPr>
                <w:rFonts w:ascii="Arial" w:eastAsia="Arial" w:hAnsi="Arial" w:cs="Arial"/>
                <w:sz w:val="18"/>
              </w:rPr>
            </w:pPr>
            <w:r w:rsidRPr="00A76D50">
              <w:rPr>
                <w:rFonts w:ascii="Arial" w:eastAsia="Arial" w:hAnsi="Arial" w:cs="Arial"/>
                <w:sz w:val="18"/>
              </w:rPr>
              <w:lastRenderedPageBreak/>
              <w:t>INCENTIVA</w:t>
            </w:r>
          </w:p>
        </w:tc>
        <w:tc>
          <w:tcPr>
            <w:tcW w:w="6930" w:type="dxa"/>
            <w:shd w:val="clear" w:color="auto" w:fill="auto"/>
            <w:vAlign w:val="center"/>
          </w:tcPr>
          <w:p w14:paraId="7632845F" w14:textId="77777777" w:rsidR="007C357B" w:rsidRPr="00A76D50" w:rsidRDefault="007C357B" w:rsidP="00C21F69">
            <w:pPr>
              <w:spacing w:after="0" w:line="240" w:lineRule="auto"/>
              <w:jc w:val="both"/>
              <w:rPr>
                <w:rFonts w:ascii="Arial" w:eastAsia="Arial" w:hAnsi="Arial" w:cs="Arial"/>
                <w:sz w:val="18"/>
              </w:rPr>
            </w:pPr>
            <w:r w:rsidRPr="00A76D50">
              <w:rPr>
                <w:rFonts w:ascii="Arial" w:eastAsia="Arial" w:hAnsi="Arial" w:cs="Arial"/>
                <w:sz w:val="18"/>
              </w:rPr>
              <w:t>Comprovante de efetivação ao incentivo à participação popular e da realização de audiências públicas, durante os processos de elaboração e discussão do plano plurianual, lei de diretrizes orçamentárias e lei orçamentária.</w:t>
            </w:r>
          </w:p>
        </w:tc>
        <w:tc>
          <w:tcPr>
            <w:tcW w:w="992" w:type="dxa"/>
            <w:shd w:val="clear" w:color="auto" w:fill="auto"/>
            <w:vAlign w:val="center"/>
          </w:tcPr>
          <w:p w14:paraId="0B0D2F72" w14:textId="77777777" w:rsidR="007C357B" w:rsidRPr="00A76D50" w:rsidRDefault="007C357B" w:rsidP="00C21F69">
            <w:pPr>
              <w:spacing w:after="0" w:line="240" w:lineRule="auto"/>
              <w:jc w:val="center"/>
              <w:rPr>
                <w:rFonts w:ascii="Arial" w:eastAsia="Arial" w:hAnsi="Arial" w:cs="Arial"/>
                <w:sz w:val="14"/>
                <w:szCs w:val="14"/>
              </w:rPr>
            </w:pPr>
            <w:r w:rsidRPr="00A76D50">
              <w:rPr>
                <w:rFonts w:ascii="Arial" w:eastAsia="Arial" w:hAnsi="Arial" w:cs="Arial"/>
                <w:sz w:val="14"/>
                <w:szCs w:val="14"/>
              </w:rPr>
              <w:t>PDF</w:t>
            </w:r>
          </w:p>
        </w:tc>
      </w:tr>
      <w:tr w:rsidR="00A76D50" w:rsidRPr="00A76D50" w14:paraId="0EFED288" w14:textId="77777777" w:rsidTr="00C21F69">
        <w:tc>
          <w:tcPr>
            <w:tcW w:w="1258" w:type="dxa"/>
            <w:vAlign w:val="center"/>
          </w:tcPr>
          <w:p w14:paraId="4D40A515" w14:textId="77777777" w:rsidR="007C357B" w:rsidRPr="00A76D50" w:rsidRDefault="007C357B" w:rsidP="00C21F69">
            <w:pPr>
              <w:spacing w:after="0" w:line="240" w:lineRule="auto"/>
              <w:jc w:val="center"/>
              <w:rPr>
                <w:rFonts w:ascii="Arial" w:eastAsia="Arial" w:hAnsi="Arial" w:cs="Arial"/>
                <w:sz w:val="18"/>
              </w:rPr>
            </w:pPr>
            <w:r w:rsidRPr="00A76D50">
              <w:rPr>
                <w:rFonts w:ascii="Arial" w:eastAsia="Arial" w:hAnsi="Arial" w:cs="Arial"/>
                <w:sz w:val="18"/>
              </w:rPr>
              <w:t>CRONOS</w:t>
            </w:r>
          </w:p>
        </w:tc>
        <w:tc>
          <w:tcPr>
            <w:tcW w:w="6930" w:type="dxa"/>
            <w:shd w:val="clear" w:color="auto" w:fill="auto"/>
            <w:vAlign w:val="center"/>
          </w:tcPr>
          <w:p w14:paraId="4409EB5F" w14:textId="77777777" w:rsidR="007C357B" w:rsidRPr="00A76D50" w:rsidRDefault="007C357B" w:rsidP="00C21F69">
            <w:pPr>
              <w:spacing w:before="120" w:after="120" w:line="240" w:lineRule="auto"/>
              <w:jc w:val="both"/>
              <w:rPr>
                <w:rFonts w:ascii="Arial" w:eastAsia="Times New Roman" w:hAnsi="Arial" w:cs="Arial"/>
                <w:sz w:val="18"/>
                <w:szCs w:val="18"/>
                <w:lang w:eastAsia="pt-BR"/>
              </w:rPr>
            </w:pPr>
            <w:r w:rsidRPr="00A76D50">
              <w:rPr>
                <w:rFonts w:ascii="Arial" w:eastAsia="Times New Roman" w:hAnsi="Arial" w:cs="Arial"/>
                <w:sz w:val="18"/>
                <w:szCs w:val="18"/>
                <w:lang w:eastAsia="pt-BR"/>
              </w:rPr>
              <w:t>Ato(s) normativo(s) da autoridade competente regulamentando a ordem cronológica dos pagamentos, nos termos do art. 5º da Lei Federal nº 8666/93.</w:t>
            </w:r>
          </w:p>
        </w:tc>
        <w:tc>
          <w:tcPr>
            <w:tcW w:w="992" w:type="dxa"/>
            <w:shd w:val="clear" w:color="auto" w:fill="auto"/>
            <w:vAlign w:val="center"/>
          </w:tcPr>
          <w:p w14:paraId="4B97860F" w14:textId="77777777" w:rsidR="007C357B" w:rsidRPr="00A76D50" w:rsidRDefault="007C357B" w:rsidP="00C21F69">
            <w:pPr>
              <w:spacing w:after="0" w:line="240" w:lineRule="auto"/>
              <w:jc w:val="center"/>
              <w:rPr>
                <w:rFonts w:ascii="Arial" w:eastAsia="Times New Roman" w:hAnsi="Arial" w:cs="Arial"/>
                <w:sz w:val="14"/>
                <w:szCs w:val="14"/>
                <w:lang w:eastAsia="pt-BR"/>
              </w:rPr>
            </w:pPr>
            <w:r w:rsidRPr="00A76D50">
              <w:rPr>
                <w:rFonts w:ascii="Arial" w:eastAsia="Times New Roman" w:hAnsi="Arial" w:cs="Arial"/>
                <w:sz w:val="14"/>
                <w:szCs w:val="14"/>
                <w:lang w:eastAsia="pt-BR"/>
              </w:rPr>
              <w:t>PDF</w:t>
            </w:r>
          </w:p>
        </w:tc>
      </w:tr>
      <w:tr w:rsidR="00A76D50" w:rsidRPr="00A76D50" w14:paraId="4101F99D" w14:textId="77777777" w:rsidTr="00C21F69">
        <w:tc>
          <w:tcPr>
            <w:tcW w:w="1258" w:type="dxa"/>
            <w:vAlign w:val="center"/>
          </w:tcPr>
          <w:p w14:paraId="60DF6027" w14:textId="77777777" w:rsidR="007C357B" w:rsidRPr="00A76D50" w:rsidRDefault="007C357B" w:rsidP="00C21F69">
            <w:pPr>
              <w:spacing w:after="0" w:line="240" w:lineRule="auto"/>
              <w:jc w:val="center"/>
              <w:rPr>
                <w:rFonts w:ascii="Arial" w:eastAsia="Arial" w:hAnsi="Arial" w:cs="Arial"/>
                <w:sz w:val="18"/>
              </w:rPr>
            </w:pPr>
            <w:r w:rsidRPr="00A76D50">
              <w:rPr>
                <w:rFonts w:ascii="Arial" w:eastAsia="Arial" w:hAnsi="Arial" w:cs="Arial"/>
                <w:sz w:val="18"/>
              </w:rPr>
              <w:t>PESS</w:t>
            </w:r>
          </w:p>
        </w:tc>
        <w:tc>
          <w:tcPr>
            <w:tcW w:w="6930" w:type="dxa"/>
            <w:shd w:val="clear" w:color="auto" w:fill="auto"/>
            <w:vAlign w:val="center"/>
          </w:tcPr>
          <w:p w14:paraId="7478B392" w14:textId="77777777" w:rsidR="007C357B" w:rsidRPr="00A76D50" w:rsidRDefault="007C357B" w:rsidP="00C21F69">
            <w:pPr>
              <w:spacing w:before="120" w:after="120" w:line="240" w:lineRule="auto"/>
              <w:jc w:val="both"/>
              <w:rPr>
                <w:rFonts w:ascii="Arial" w:eastAsia="Times New Roman" w:hAnsi="Arial" w:cs="Arial"/>
                <w:sz w:val="18"/>
                <w:szCs w:val="18"/>
                <w:lang w:eastAsia="pt-BR"/>
              </w:rPr>
            </w:pPr>
            <w:r w:rsidRPr="00A76D50">
              <w:rPr>
                <w:rFonts w:ascii="Arial" w:eastAsia="Times New Roman" w:hAnsi="Arial" w:cs="Arial"/>
                <w:sz w:val="18"/>
                <w:szCs w:val="18"/>
                <w:lang w:eastAsia="pt-BR"/>
              </w:rPr>
              <w:t>Declaração do Chefe do Poder assegurando o atendimento ao artigo 21 da Lei de Responsabilidade Fiscal  e ao artigo 8º da Lei Complementar 173/2020, na forma do item 3.2 deste Anexo.</w:t>
            </w:r>
          </w:p>
        </w:tc>
        <w:tc>
          <w:tcPr>
            <w:tcW w:w="992" w:type="dxa"/>
            <w:shd w:val="clear" w:color="auto" w:fill="auto"/>
            <w:vAlign w:val="center"/>
          </w:tcPr>
          <w:p w14:paraId="558DEE76" w14:textId="77777777" w:rsidR="007C357B" w:rsidRPr="00A76D50" w:rsidRDefault="007C357B" w:rsidP="00C21F69">
            <w:pPr>
              <w:spacing w:after="0" w:line="240" w:lineRule="auto"/>
              <w:jc w:val="center"/>
              <w:rPr>
                <w:rFonts w:ascii="Arial" w:eastAsia="Times New Roman" w:hAnsi="Arial" w:cs="Arial"/>
                <w:sz w:val="14"/>
                <w:szCs w:val="14"/>
                <w:lang w:eastAsia="pt-BR"/>
              </w:rPr>
            </w:pPr>
            <w:r w:rsidRPr="00A76D50">
              <w:rPr>
                <w:rFonts w:ascii="Arial" w:eastAsia="Times New Roman" w:hAnsi="Arial" w:cs="Arial"/>
                <w:sz w:val="14"/>
                <w:szCs w:val="14"/>
                <w:lang w:eastAsia="pt-BR"/>
              </w:rPr>
              <w:t>PDF</w:t>
            </w:r>
          </w:p>
        </w:tc>
      </w:tr>
      <w:tr w:rsidR="00A76D50" w:rsidRPr="00A76D50" w14:paraId="66D6DE60" w14:textId="77777777" w:rsidTr="00C21F69">
        <w:tc>
          <w:tcPr>
            <w:tcW w:w="1258" w:type="dxa"/>
            <w:vAlign w:val="center"/>
          </w:tcPr>
          <w:p w14:paraId="03D1C039" w14:textId="77777777" w:rsidR="007C357B" w:rsidRPr="00A76D50" w:rsidRDefault="007C357B" w:rsidP="00C21F69">
            <w:pPr>
              <w:spacing w:after="0" w:line="240" w:lineRule="auto"/>
              <w:jc w:val="center"/>
              <w:rPr>
                <w:rFonts w:ascii="Arial" w:eastAsia="Arial" w:hAnsi="Arial" w:cs="Arial"/>
                <w:sz w:val="18"/>
              </w:rPr>
            </w:pPr>
            <w:r w:rsidRPr="00A76D50">
              <w:rPr>
                <w:rFonts w:ascii="Arial" w:eastAsia="Arial" w:hAnsi="Arial" w:cs="Arial"/>
                <w:sz w:val="18"/>
              </w:rPr>
              <w:t>LEIPESS</w:t>
            </w:r>
          </w:p>
        </w:tc>
        <w:tc>
          <w:tcPr>
            <w:tcW w:w="6930" w:type="dxa"/>
            <w:shd w:val="clear" w:color="auto" w:fill="auto"/>
            <w:vAlign w:val="center"/>
          </w:tcPr>
          <w:p w14:paraId="20C8096D" w14:textId="77777777" w:rsidR="007C357B" w:rsidRPr="00A76D50" w:rsidRDefault="007C357B" w:rsidP="00C21F69">
            <w:pPr>
              <w:spacing w:before="120" w:after="120" w:line="240" w:lineRule="auto"/>
              <w:jc w:val="both"/>
              <w:rPr>
                <w:rFonts w:ascii="Arial" w:eastAsia="Times New Roman" w:hAnsi="Arial" w:cs="Arial"/>
                <w:sz w:val="18"/>
                <w:szCs w:val="18"/>
                <w:lang w:eastAsia="pt-BR"/>
              </w:rPr>
            </w:pPr>
            <w:r w:rsidRPr="00A76D50">
              <w:rPr>
                <w:rFonts w:ascii="Arial" w:eastAsia="Times New Roman" w:hAnsi="Arial" w:cs="Arial"/>
                <w:sz w:val="18"/>
                <w:szCs w:val="18"/>
                <w:lang w:eastAsia="pt-BR"/>
              </w:rPr>
              <w:t>Cópia das leis e/ou norma(s) legal(is) contendo qualquer criação, alteração, reestruturação de cargos, carreiras, empregos públicos, funções, vantagens, adicionais, auxílios, reajustes salariais e revisão geral anual concedidas, editadas, sancionadas e/ou aprovadas no exercício da prestação de contas.</w:t>
            </w:r>
          </w:p>
        </w:tc>
        <w:tc>
          <w:tcPr>
            <w:tcW w:w="992" w:type="dxa"/>
            <w:shd w:val="clear" w:color="auto" w:fill="auto"/>
            <w:vAlign w:val="center"/>
          </w:tcPr>
          <w:p w14:paraId="351E4F59" w14:textId="77777777" w:rsidR="007C357B" w:rsidRPr="00A76D50" w:rsidRDefault="007C357B" w:rsidP="00C21F69">
            <w:pPr>
              <w:spacing w:after="0" w:line="240" w:lineRule="auto"/>
              <w:jc w:val="center"/>
              <w:rPr>
                <w:rFonts w:ascii="Arial" w:eastAsia="Times New Roman" w:hAnsi="Arial" w:cs="Arial"/>
                <w:sz w:val="14"/>
                <w:szCs w:val="14"/>
                <w:lang w:eastAsia="pt-BR"/>
              </w:rPr>
            </w:pPr>
            <w:r w:rsidRPr="00A76D50">
              <w:rPr>
                <w:rFonts w:ascii="Arial" w:eastAsia="Times New Roman" w:hAnsi="Arial" w:cs="Arial"/>
                <w:sz w:val="14"/>
                <w:szCs w:val="14"/>
                <w:lang w:eastAsia="pt-BR"/>
              </w:rPr>
              <w:t>PDF</w:t>
            </w:r>
          </w:p>
        </w:tc>
      </w:tr>
      <w:tr w:rsidR="00A55C82" w:rsidRPr="00A5490A" w14:paraId="71D01F9D" w14:textId="77777777" w:rsidTr="00CB7C58">
        <w:tc>
          <w:tcPr>
            <w:tcW w:w="1258" w:type="dxa"/>
            <w:vAlign w:val="center"/>
          </w:tcPr>
          <w:p w14:paraId="6811D20C" w14:textId="77777777" w:rsidR="00A55C82" w:rsidRPr="00A5490A" w:rsidRDefault="00A55C82" w:rsidP="00A55C82">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LEIDES</w:t>
            </w:r>
          </w:p>
        </w:tc>
        <w:tc>
          <w:tcPr>
            <w:tcW w:w="6930" w:type="dxa"/>
            <w:shd w:val="clear" w:color="auto" w:fill="auto"/>
            <w:vAlign w:val="center"/>
          </w:tcPr>
          <w:p w14:paraId="0EB40914" w14:textId="77777777" w:rsidR="00A55C82" w:rsidRPr="00A5490A" w:rsidRDefault="00A55C82" w:rsidP="00A55C82">
            <w:p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Cópia da lei de desconcentração administrativa, no caso dos municípios onde a gestão dos recursos públicos no Poder Executivo Municipal tenha sido objeto de outorga aos Secretários e demais gestores.</w:t>
            </w:r>
          </w:p>
        </w:tc>
        <w:tc>
          <w:tcPr>
            <w:tcW w:w="992" w:type="dxa"/>
            <w:shd w:val="clear" w:color="auto" w:fill="auto"/>
            <w:vAlign w:val="center"/>
          </w:tcPr>
          <w:p w14:paraId="2BCCFB44" w14:textId="77777777" w:rsidR="00A55C82" w:rsidRPr="00A5490A" w:rsidRDefault="00A55C82" w:rsidP="00A55C82">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A55C82" w:rsidRPr="00A5490A" w14:paraId="5BF72081" w14:textId="77777777" w:rsidTr="00CB7C58">
        <w:tc>
          <w:tcPr>
            <w:tcW w:w="1258" w:type="dxa"/>
            <w:vAlign w:val="center"/>
          </w:tcPr>
          <w:p w14:paraId="5859C7EA" w14:textId="77777777" w:rsidR="00A55C82" w:rsidRPr="00A55C82" w:rsidRDefault="00A55C82" w:rsidP="00A55C82">
            <w:pPr>
              <w:spacing w:after="0" w:line="240" w:lineRule="auto"/>
              <w:jc w:val="center"/>
              <w:rPr>
                <w:rFonts w:ascii="Arial" w:eastAsia="Times New Roman" w:hAnsi="Arial" w:cs="Arial"/>
                <w:sz w:val="18"/>
                <w:szCs w:val="18"/>
                <w:lang w:eastAsia="pt-BR"/>
              </w:rPr>
            </w:pPr>
            <w:r w:rsidRPr="00A55C82">
              <w:rPr>
                <w:rFonts w:ascii="Arial" w:eastAsia="Times New Roman" w:hAnsi="Arial" w:cs="Arial"/>
                <w:sz w:val="18"/>
                <w:szCs w:val="18"/>
                <w:lang w:eastAsia="pt-BR"/>
              </w:rPr>
              <w:t>RELOCI</w:t>
            </w:r>
          </w:p>
        </w:tc>
        <w:tc>
          <w:tcPr>
            <w:tcW w:w="6930" w:type="dxa"/>
            <w:shd w:val="clear" w:color="auto" w:fill="auto"/>
            <w:vAlign w:val="center"/>
          </w:tcPr>
          <w:p w14:paraId="07573BD8" w14:textId="71A76BF6" w:rsidR="00A55C82" w:rsidRPr="00A55C82" w:rsidRDefault="00A55C82" w:rsidP="00A55C82">
            <w:pPr>
              <w:spacing w:before="120" w:after="120" w:line="240" w:lineRule="auto"/>
              <w:jc w:val="both"/>
              <w:rPr>
                <w:rFonts w:ascii="Arial" w:eastAsia="Times New Roman" w:hAnsi="Arial" w:cs="Arial"/>
                <w:sz w:val="18"/>
                <w:szCs w:val="18"/>
                <w:lang w:eastAsia="pt-BR"/>
              </w:rPr>
            </w:pPr>
            <w:r w:rsidRPr="00A55C82">
              <w:rPr>
                <w:rFonts w:ascii="Arial" w:eastAsia="Times New Roman" w:hAnsi="Arial" w:cs="Arial"/>
                <w:sz w:val="18"/>
                <w:szCs w:val="18"/>
                <w:lang w:eastAsia="pt-BR"/>
              </w:rPr>
              <w:t>Relatório e parecer conclusivo emitido pelo órgão central do sistema de controle interno, assinado por seu responsável, contendo os elementos previstos no item 3.1 desta Instrução Normativa. (Art. 76, § 3º da LC nº 621/2012 c/c artigo 122, § 5º do RITCEES, aprovado pela Resolução TC nº 261/2013 e c/c artigo 4º da Resolução TC nº 227/2011).</w:t>
            </w:r>
          </w:p>
        </w:tc>
        <w:tc>
          <w:tcPr>
            <w:tcW w:w="992" w:type="dxa"/>
            <w:shd w:val="clear" w:color="auto" w:fill="auto"/>
            <w:vAlign w:val="center"/>
          </w:tcPr>
          <w:p w14:paraId="389F8D29" w14:textId="77777777" w:rsidR="00A55C82" w:rsidRPr="00A55C82" w:rsidRDefault="00A55C82" w:rsidP="00A55C82">
            <w:pPr>
              <w:spacing w:after="0" w:line="240" w:lineRule="auto"/>
              <w:jc w:val="center"/>
              <w:rPr>
                <w:rFonts w:ascii="Arial" w:eastAsia="Times New Roman" w:hAnsi="Arial" w:cs="Arial"/>
                <w:sz w:val="14"/>
                <w:szCs w:val="14"/>
                <w:lang w:eastAsia="pt-BR"/>
              </w:rPr>
            </w:pPr>
            <w:r w:rsidRPr="00A55C82">
              <w:rPr>
                <w:rFonts w:ascii="Arial" w:eastAsia="Times New Roman" w:hAnsi="Arial" w:cs="Arial"/>
                <w:sz w:val="14"/>
                <w:szCs w:val="14"/>
                <w:lang w:eastAsia="pt-BR"/>
              </w:rPr>
              <w:t>PDF</w:t>
            </w:r>
          </w:p>
        </w:tc>
      </w:tr>
      <w:tr w:rsidR="00A55C82" w:rsidRPr="00A5490A" w14:paraId="1B50A6CC" w14:textId="77777777" w:rsidTr="00CB7C58">
        <w:tc>
          <w:tcPr>
            <w:tcW w:w="1258" w:type="dxa"/>
            <w:vAlign w:val="center"/>
          </w:tcPr>
          <w:p w14:paraId="32A6E110" w14:textId="77777777" w:rsidR="00A55C82" w:rsidRPr="002324F8" w:rsidRDefault="00A55C82" w:rsidP="00A55C82">
            <w:pPr>
              <w:spacing w:after="0" w:line="240" w:lineRule="auto"/>
              <w:jc w:val="center"/>
              <w:rPr>
                <w:rFonts w:ascii="Arial" w:eastAsia="Times New Roman" w:hAnsi="Arial" w:cs="Arial"/>
                <w:sz w:val="18"/>
                <w:szCs w:val="18"/>
                <w:lang w:eastAsia="pt-BR"/>
              </w:rPr>
            </w:pPr>
            <w:r w:rsidRPr="002324F8">
              <w:rPr>
                <w:rFonts w:ascii="Arial" w:eastAsia="Times New Roman" w:hAnsi="Arial" w:cs="Arial"/>
                <w:sz w:val="18"/>
                <w:szCs w:val="18"/>
                <w:lang w:eastAsia="pt-BR"/>
              </w:rPr>
              <w:t>RELACI</w:t>
            </w:r>
          </w:p>
        </w:tc>
        <w:tc>
          <w:tcPr>
            <w:tcW w:w="6930" w:type="dxa"/>
            <w:shd w:val="clear" w:color="auto" w:fill="auto"/>
            <w:vAlign w:val="center"/>
          </w:tcPr>
          <w:p w14:paraId="4714E161" w14:textId="13C264D1" w:rsidR="00A55C82" w:rsidRPr="002324F8" w:rsidRDefault="00A55C82" w:rsidP="00A55C82">
            <w:pPr>
              <w:spacing w:before="120" w:after="120" w:line="240" w:lineRule="auto"/>
              <w:jc w:val="both"/>
              <w:rPr>
                <w:rFonts w:ascii="Arial" w:eastAsia="Times New Roman" w:hAnsi="Arial" w:cs="Arial"/>
                <w:sz w:val="18"/>
                <w:szCs w:val="18"/>
                <w:lang w:eastAsia="pt-BR"/>
              </w:rPr>
            </w:pPr>
            <w:r w:rsidRPr="002324F8">
              <w:rPr>
                <w:rFonts w:ascii="Arial" w:eastAsia="Times New Roman" w:hAnsi="Arial" w:cs="Arial"/>
                <w:sz w:val="18"/>
                <w:szCs w:val="18"/>
                <w:lang w:eastAsia="pt-BR"/>
              </w:rPr>
              <w:t xml:space="preserve">Relatório de atividades realizadas pela Unidade de Controle Interno contendo informações acerca dos procedimentos relativos ao Plano Anual de Auditorias </w:t>
            </w:r>
            <w:r w:rsidRPr="0087114F">
              <w:rPr>
                <w:rFonts w:ascii="Arial" w:eastAsia="Times New Roman" w:hAnsi="Arial" w:cs="Arial"/>
                <w:sz w:val="18"/>
                <w:szCs w:val="18"/>
                <w:lang w:eastAsia="pt-BR"/>
              </w:rPr>
              <w:t>Internas – PAAI, executadas no exercício, com os elementos sugeridos no item 3.2 deste Anexo.</w:t>
            </w:r>
          </w:p>
        </w:tc>
        <w:tc>
          <w:tcPr>
            <w:tcW w:w="992" w:type="dxa"/>
            <w:shd w:val="clear" w:color="auto" w:fill="auto"/>
            <w:vAlign w:val="center"/>
          </w:tcPr>
          <w:p w14:paraId="0717136B" w14:textId="77777777" w:rsidR="00A55C82" w:rsidRPr="002324F8" w:rsidRDefault="00A55C82" w:rsidP="00A55C82">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792F95" w:rsidRPr="00792F95" w14:paraId="3AFEA556" w14:textId="77777777" w:rsidTr="00CB7C58">
        <w:tc>
          <w:tcPr>
            <w:tcW w:w="1258" w:type="dxa"/>
            <w:vAlign w:val="center"/>
          </w:tcPr>
          <w:p w14:paraId="009539FA" w14:textId="3841B69E" w:rsidR="00792F95" w:rsidRPr="00792F95" w:rsidRDefault="00792F95" w:rsidP="00792F95">
            <w:pPr>
              <w:spacing w:after="0" w:line="240" w:lineRule="auto"/>
              <w:jc w:val="center"/>
              <w:rPr>
                <w:rFonts w:ascii="Arial" w:eastAsia="Times New Roman" w:hAnsi="Arial" w:cs="Arial"/>
                <w:sz w:val="18"/>
                <w:szCs w:val="18"/>
                <w:lang w:eastAsia="pt-BR"/>
              </w:rPr>
            </w:pPr>
            <w:r w:rsidRPr="00792F95">
              <w:rPr>
                <w:rFonts w:ascii="Arial" w:eastAsia="Times New Roman" w:hAnsi="Arial" w:cs="Arial"/>
                <w:sz w:val="18"/>
                <w:szCs w:val="18"/>
                <w:lang w:eastAsia="pt-BR"/>
              </w:rPr>
              <w:t>INFOCI</w:t>
            </w:r>
          </w:p>
        </w:tc>
        <w:tc>
          <w:tcPr>
            <w:tcW w:w="6930" w:type="dxa"/>
            <w:shd w:val="clear" w:color="auto" w:fill="auto"/>
            <w:vAlign w:val="center"/>
          </w:tcPr>
          <w:p w14:paraId="77DDE07E" w14:textId="7BAF3AE2" w:rsidR="00792F95" w:rsidRPr="00792F95" w:rsidRDefault="00462640" w:rsidP="00792F95">
            <w:pPr>
              <w:spacing w:before="120" w:after="120" w:line="240" w:lineRule="auto"/>
              <w:jc w:val="both"/>
              <w:rPr>
                <w:rFonts w:ascii="Arial" w:eastAsia="Times New Roman" w:hAnsi="Arial" w:cs="Arial"/>
                <w:sz w:val="18"/>
                <w:szCs w:val="18"/>
                <w:lang w:eastAsia="pt-BR"/>
              </w:rPr>
            </w:pPr>
            <w:r>
              <w:rPr>
                <w:rFonts w:ascii="Arial" w:eastAsia="Calibri" w:hAnsi="Arial" w:cs="Times New Roman"/>
                <w:sz w:val="18"/>
                <w:szCs w:val="18"/>
              </w:rPr>
              <w:t>I</w:t>
            </w:r>
            <w:r w:rsidRPr="00462640">
              <w:rPr>
                <w:rFonts w:ascii="Arial" w:eastAsia="Calibri" w:hAnsi="Arial" w:cs="Times New Roman"/>
                <w:sz w:val="18"/>
                <w:szCs w:val="18"/>
              </w:rPr>
              <w:t>nformações da unidade de Controle Interno, bem como as informações sobre a atuação do Controle Interno na verificação dos pontos de controle destinados à emissão do parecer sobre as Prestações de Contas Anuais</w:t>
            </w:r>
            <w:r w:rsidR="00792F95" w:rsidRPr="00792F95">
              <w:rPr>
                <w:rFonts w:ascii="Arial" w:eastAsia="Calibri" w:hAnsi="Arial" w:cs="Times New Roman"/>
                <w:sz w:val="18"/>
                <w:szCs w:val="18"/>
              </w:rPr>
              <w:t>, conforme layout constante do item 3.1 deste Anexo.</w:t>
            </w:r>
          </w:p>
        </w:tc>
        <w:tc>
          <w:tcPr>
            <w:tcW w:w="992" w:type="dxa"/>
            <w:shd w:val="clear" w:color="auto" w:fill="auto"/>
            <w:vAlign w:val="center"/>
          </w:tcPr>
          <w:p w14:paraId="15FA3637" w14:textId="5DCDB626" w:rsidR="00792F95" w:rsidRPr="00792F95" w:rsidRDefault="00792F95" w:rsidP="00792F95">
            <w:pPr>
              <w:spacing w:after="0" w:line="240" w:lineRule="auto"/>
              <w:jc w:val="center"/>
              <w:rPr>
                <w:rFonts w:ascii="Arial" w:eastAsia="Times New Roman" w:hAnsi="Arial" w:cs="Arial"/>
                <w:sz w:val="14"/>
                <w:szCs w:val="14"/>
                <w:lang w:eastAsia="pt-BR"/>
              </w:rPr>
            </w:pPr>
            <w:r w:rsidRPr="00792F95">
              <w:rPr>
                <w:rFonts w:ascii="Arial" w:eastAsia="Times New Roman" w:hAnsi="Arial" w:cs="Arial"/>
                <w:sz w:val="14"/>
                <w:szCs w:val="14"/>
                <w:lang w:eastAsia="pt-BR"/>
              </w:rPr>
              <w:t>XML</w:t>
            </w:r>
          </w:p>
        </w:tc>
      </w:tr>
      <w:tr w:rsidR="00A55C82" w:rsidRPr="00A5490A" w14:paraId="7F693AB7" w14:textId="77777777" w:rsidTr="00CB7C58">
        <w:tc>
          <w:tcPr>
            <w:tcW w:w="1258" w:type="dxa"/>
            <w:vAlign w:val="center"/>
          </w:tcPr>
          <w:p w14:paraId="001B990F" w14:textId="77777777" w:rsidR="00A55C82" w:rsidRPr="00B6188E" w:rsidRDefault="00A55C82" w:rsidP="00A55C82">
            <w:pPr>
              <w:spacing w:after="0" w:line="240" w:lineRule="auto"/>
              <w:jc w:val="center"/>
              <w:rPr>
                <w:rFonts w:ascii="Arial" w:eastAsia="Times New Roman" w:hAnsi="Arial" w:cs="Arial"/>
                <w:sz w:val="18"/>
                <w:szCs w:val="18"/>
                <w:lang w:eastAsia="pt-BR"/>
              </w:rPr>
            </w:pPr>
            <w:r w:rsidRPr="00B6188E">
              <w:rPr>
                <w:rFonts w:ascii="Arial" w:eastAsia="Times New Roman" w:hAnsi="Arial" w:cs="Arial"/>
                <w:sz w:val="18"/>
                <w:szCs w:val="18"/>
                <w:lang w:eastAsia="pt-BR"/>
              </w:rPr>
              <w:t>PROEXE</w:t>
            </w:r>
          </w:p>
        </w:tc>
        <w:tc>
          <w:tcPr>
            <w:tcW w:w="6930" w:type="dxa"/>
            <w:shd w:val="clear" w:color="auto" w:fill="auto"/>
            <w:vAlign w:val="center"/>
          </w:tcPr>
          <w:p w14:paraId="3DCB89B9" w14:textId="77777777" w:rsidR="00A55C82" w:rsidRPr="00B6188E" w:rsidRDefault="00A55C82" w:rsidP="00A55C82">
            <w:pPr>
              <w:spacing w:before="120" w:after="120" w:line="240" w:lineRule="auto"/>
              <w:jc w:val="both"/>
              <w:rPr>
                <w:rFonts w:ascii="Arial" w:eastAsia="Times New Roman" w:hAnsi="Arial" w:cs="Arial"/>
                <w:sz w:val="18"/>
                <w:szCs w:val="18"/>
                <w:lang w:eastAsia="pt-BR"/>
              </w:rPr>
            </w:pPr>
            <w:r w:rsidRPr="00B6188E">
              <w:rPr>
                <w:rFonts w:ascii="Arial" w:eastAsia="Times New Roman" w:hAnsi="Arial" w:cs="Arial"/>
                <w:sz w:val="18"/>
                <w:szCs w:val="18"/>
                <w:lang w:eastAsia="pt-BR"/>
              </w:rPr>
              <w:t>Pronunciamento expresso do chefe do</w:t>
            </w:r>
            <w:r w:rsidRPr="00B6188E">
              <w:rPr>
                <w:rFonts w:ascii="Arial" w:eastAsia="Times New Roman" w:hAnsi="Arial" w:cs="Arial"/>
                <w:b/>
                <w:bCs/>
                <w:sz w:val="18"/>
                <w:szCs w:val="18"/>
                <w:lang w:eastAsia="pt-BR"/>
              </w:rPr>
              <w:t xml:space="preserve"> </w:t>
            </w:r>
            <w:r w:rsidRPr="00B6188E">
              <w:rPr>
                <w:rFonts w:ascii="Arial" w:eastAsia="Times New Roman" w:hAnsi="Arial" w:cs="Arial"/>
                <w:sz w:val="18"/>
                <w:szCs w:val="18"/>
                <w:lang w:eastAsia="pt-BR"/>
              </w:rPr>
              <w:t>poder atestando ter tomado conhecimento das conclusões contidas no parecer conclusivo emitido pelo órgão central do sistema de controle interno, a que se refere o parágrafo único, do artigo 4º, da Resolução TC nº 227/2011.</w:t>
            </w:r>
          </w:p>
        </w:tc>
        <w:tc>
          <w:tcPr>
            <w:tcW w:w="992" w:type="dxa"/>
            <w:shd w:val="clear" w:color="auto" w:fill="auto"/>
            <w:vAlign w:val="center"/>
          </w:tcPr>
          <w:p w14:paraId="446F5DAB" w14:textId="77777777" w:rsidR="00A55C82" w:rsidRPr="00A5490A" w:rsidRDefault="00A55C82" w:rsidP="00A55C82">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A55C82" w:rsidRPr="00A5490A" w14:paraId="0FD88007" w14:textId="77777777" w:rsidTr="00CB7C58">
        <w:tc>
          <w:tcPr>
            <w:tcW w:w="1258" w:type="dxa"/>
            <w:vAlign w:val="center"/>
          </w:tcPr>
          <w:p w14:paraId="02FE7745" w14:textId="77777777" w:rsidR="00A55C82" w:rsidRPr="00B6188E" w:rsidRDefault="00A55C82" w:rsidP="00A55C82">
            <w:pPr>
              <w:spacing w:after="0" w:line="240" w:lineRule="auto"/>
              <w:jc w:val="center"/>
              <w:rPr>
                <w:rFonts w:ascii="Arial" w:eastAsia="Times New Roman" w:hAnsi="Arial" w:cs="Arial"/>
                <w:sz w:val="18"/>
                <w:szCs w:val="18"/>
                <w:lang w:eastAsia="pt-BR"/>
              </w:rPr>
            </w:pPr>
            <w:r w:rsidRPr="00B6188E">
              <w:rPr>
                <w:rFonts w:ascii="Arial" w:eastAsia="Times New Roman" w:hAnsi="Arial" w:cs="Arial"/>
                <w:sz w:val="18"/>
                <w:szCs w:val="18"/>
                <w:lang w:eastAsia="pt-BR"/>
              </w:rPr>
              <w:t xml:space="preserve">DECAMOR </w:t>
            </w:r>
          </w:p>
        </w:tc>
        <w:tc>
          <w:tcPr>
            <w:tcW w:w="6930" w:type="dxa"/>
            <w:shd w:val="clear" w:color="auto" w:fill="auto"/>
            <w:vAlign w:val="center"/>
          </w:tcPr>
          <w:p w14:paraId="77323E0C" w14:textId="6F1F4DC1" w:rsidR="00A55C82" w:rsidRPr="00B6188E" w:rsidRDefault="00A55C82" w:rsidP="00A55C82">
            <w:pPr>
              <w:spacing w:before="120" w:after="120" w:line="240" w:lineRule="auto"/>
              <w:jc w:val="both"/>
              <w:rPr>
                <w:rFonts w:ascii="Arial" w:hAnsi="Arial" w:cs="Arial"/>
              </w:rPr>
            </w:pPr>
            <w:r w:rsidRPr="00B6188E">
              <w:rPr>
                <w:rFonts w:ascii="Arial" w:eastAsia="Times New Roman" w:hAnsi="Arial" w:cs="Arial"/>
                <w:sz w:val="18"/>
                <w:szCs w:val="18"/>
                <w:lang w:eastAsia="pt-BR"/>
              </w:rPr>
              <w:t xml:space="preserve">Declaração do Chefe do Executivo Municipal do ente que instituiu Regime Próprio de Previdência Social, acerca da compatibilidade do plano de custeio e do plano de amortização do déficit atuarial vigente no exercício financeiro, adotado por meio de lei pelo ente, com aqueles sugeridos no último Relatório de Avaliação Atuarial, com justificativas fundamentadas em documentos/estudos técnicos no caso da não adoção das medidas sugeridas naquele relatório, na forma </w:t>
            </w:r>
            <w:r w:rsidRPr="0087114F">
              <w:rPr>
                <w:rFonts w:ascii="Arial" w:eastAsia="Times New Roman" w:hAnsi="Arial" w:cs="Arial"/>
                <w:sz w:val="18"/>
                <w:szCs w:val="18"/>
                <w:lang w:eastAsia="pt-BR"/>
              </w:rPr>
              <w:t>do item 3.2 deste Anexo.</w:t>
            </w:r>
            <w:r w:rsidRPr="0087114F">
              <w:rPr>
                <w:rFonts w:ascii="Arial" w:hAnsi="Arial" w:cs="Arial"/>
              </w:rPr>
              <w:t xml:space="preserve"> </w:t>
            </w:r>
          </w:p>
        </w:tc>
        <w:tc>
          <w:tcPr>
            <w:tcW w:w="992" w:type="dxa"/>
            <w:shd w:val="clear" w:color="auto" w:fill="auto"/>
            <w:vAlign w:val="center"/>
          </w:tcPr>
          <w:p w14:paraId="5D83441A" w14:textId="77777777" w:rsidR="00A55C82" w:rsidRPr="00B6188E" w:rsidRDefault="00A55C82" w:rsidP="00A55C82">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A55C82" w:rsidRPr="00A5490A" w14:paraId="72DEB0E5" w14:textId="77777777" w:rsidTr="00CB7C58">
        <w:tc>
          <w:tcPr>
            <w:tcW w:w="1258" w:type="dxa"/>
            <w:vAlign w:val="center"/>
          </w:tcPr>
          <w:p w14:paraId="7FB43334" w14:textId="77777777" w:rsidR="00A55C82" w:rsidRPr="00B6188E" w:rsidRDefault="00A55C82" w:rsidP="00A55C82">
            <w:pPr>
              <w:spacing w:before="120" w:after="120" w:line="240" w:lineRule="auto"/>
              <w:jc w:val="center"/>
              <w:rPr>
                <w:rFonts w:ascii="Arial" w:eastAsia="Times New Roman" w:hAnsi="Arial" w:cs="Arial"/>
                <w:sz w:val="18"/>
                <w:szCs w:val="18"/>
                <w:lang w:eastAsia="pt-BR"/>
              </w:rPr>
            </w:pPr>
            <w:r w:rsidRPr="00B6188E">
              <w:rPr>
                <w:rFonts w:ascii="Arial" w:eastAsia="Times New Roman" w:hAnsi="Arial" w:cs="Arial"/>
                <w:sz w:val="18"/>
                <w:szCs w:val="18"/>
                <w:lang w:eastAsia="pt-BR"/>
              </w:rPr>
              <w:t>DECINAT</w:t>
            </w:r>
          </w:p>
        </w:tc>
        <w:tc>
          <w:tcPr>
            <w:tcW w:w="6930" w:type="dxa"/>
            <w:shd w:val="clear" w:color="auto" w:fill="auto"/>
            <w:vAlign w:val="center"/>
          </w:tcPr>
          <w:p w14:paraId="3F1D479A" w14:textId="31F43202" w:rsidR="00A55C82" w:rsidRPr="00B6188E" w:rsidRDefault="00A55C82" w:rsidP="00A55C82">
            <w:pPr>
              <w:spacing w:before="120" w:after="120" w:line="240" w:lineRule="auto"/>
              <w:jc w:val="both"/>
              <w:rPr>
                <w:rFonts w:ascii="Arial" w:eastAsia="Times New Roman" w:hAnsi="Arial" w:cs="Arial"/>
                <w:sz w:val="18"/>
                <w:szCs w:val="18"/>
                <w:lang w:eastAsia="pt-BR"/>
              </w:rPr>
            </w:pPr>
            <w:r w:rsidRPr="00B6188E">
              <w:rPr>
                <w:rFonts w:ascii="Arial" w:eastAsia="Times New Roman" w:hAnsi="Arial" w:cs="Arial"/>
                <w:sz w:val="18"/>
                <w:szCs w:val="18"/>
                <w:lang w:eastAsia="pt-BR"/>
              </w:rPr>
              <w:t>Declaração do Chefe do Executivo informando se há pagamento de aposentadorias e pensões sendo realizados de forma direta pela entidade, e, caso ocorra, que informe o suporte legal para tal procedimento, além de planilha adicional informando o nome do beneficiário, o tipo de benefício, sua base legal de concessão, cargo que ocupava na atividade, a data e o número do ato concessão do benefício, o valor original e atualizado do benefício recebido, na forma d</w:t>
            </w:r>
            <w:r>
              <w:rPr>
                <w:rFonts w:ascii="Arial" w:eastAsia="Times New Roman" w:hAnsi="Arial" w:cs="Arial"/>
                <w:sz w:val="18"/>
                <w:szCs w:val="18"/>
                <w:lang w:eastAsia="pt-BR"/>
              </w:rPr>
              <w:t xml:space="preserve">o </w:t>
            </w:r>
            <w:r w:rsidRPr="0087114F">
              <w:rPr>
                <w:rFonts w:ascii="Arial" w:eastAsia="Times New Roman" w:hAnsi="Arial" w:cs="Arial"/>
                <w:sz w:val="18"/>
                <w:szCs w:val="18"/>
                <w:lang w:eastAsia="pt-BR"/>
              </w:rPr>
              <w:t>item 3.2 deste Anexo.</w:t>
            </w:r>
          </w:p>
        </w:tc>
        <w:tc>
          <w:tcPr>
            <w:tcW w:w="992" w:type="dxa"/>
            <w:shd w:val="clear" w:color="auto" w:fill="auto"/>
            <w:vAlign w:val="center"/>
          </w:tcPr>
          <w:p w14:paraId="6150C692" w14:textId="77777777" w:rsidR="00A55C82" w:rsidRPr="00B6188E" w:rsidRDefault="00A55C82" w:rsidP="00A55C82">
            <w:pPr>
              <w:spacing w:before="120" w:after="12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A55C82" w:rsidRPr="0087114F" w14:paraId="29B29E74" w14:textId="77777777" w:rsidTr="00CB7C58">
        <w:tc>
          <w:tcPr>
            <w:tcW w:w="1258" w:type="dxa"/>
            <w:vAlign w:val="center"/>
          </w:tcPr>
          <w:p w14:paraId="64352392" w14:textId="2E3D64FE" w:rsidR="00A55C82" w:rsidRPr="0087114F" w:rsidRDefault="00A55C82" w:rsidP="00A55C82">
            <w:pPr>
              <w:spacing w:after="0" w:line="240" w:lineRule="auto"/>
              <w:jc w:val="center"/>
              <w:rPr>
                <w:rFonts w:ascii="Arial" w:eastAsia="Times New Roman" w:hAnsi="Arial" w:cs="Arial"/>
                <w:sz w:val="18"/>
                <w:szCs w:val="18"/>
                <w:lang w:eastAsia="pt-BR"/>
              </w:rPr>
            </w:pPr>
            <w:r w:rsidRPr="0087114F">
              <w:rPr>
                <w:rFonts w:ascii="Arial" w:eastAsia="Times New Roman" w:hAnsi="Arial" w:cs="Arial"/>
                <w:sz w:val="18"/>
                <w:szCs w:val="18"/>
                <w:lang w:eastAsia="pt-BR"/>
              </w:rPr>
              <w:t>NOTAEXP</w:t>
            </w:r>
          </w:p>
        </w:tc>
        <w:tc>
          <w:tcPr>
            <w:tcW w:w="6930" w:type="dxa"/>
            <w:shd w:val="clear" w:color="auto" w:fill="auto"/>
            <w:vAlign w:val="center"/>
          </w:tcPr>
          <w:p w14:paraId="3F38533F" w14:textId="77777777" w:rsidR="00A55C82" w:rsidRPr="0087114F" w:rsidRDefault="00A55C82" w:rsidP="00A55C82">
            <w:pPr>
              <w:pStyle w:val="TableParagraph"/>
              <w:spacing w:before="120" w:after="120"/>
              <w:ind w:left="102" w:right="111"/>
              <w:jc w:val="both"/>
              <w:rPr>
                <w:rFonts w:ascii="Arial" w:hAnsi="Arial" w:cs="Arial"/>
                <w:sz w:val="18"/>
                <w:szCs w:val="18"/>
                <w:lang w:val="pt-BR"/>
              </w:rPr>
            </w:pPr>
            <w:r w:rsidRPr="0087114F">
              <w:rPr>
                <w:rFonts w:ascii="Arial" w:hAnsi="Arial" w:cs="Arial"/>
                <w:sz w:val="18"/>
                <w:szCs w:val="18"/>
                <w:lang w:val="pt-BR"/>
              </w:rPr>
              <w:t>Notas Explicativas às Demonstrações Contábeis, conforme layout constante do item 3.1 deste Anexo, contendo:</w:t>
            </w:r>
          </w:p>
          <w:p w14:paraId="6EDE7FE3" w14:textId="77777777" w:rsidR="00A55C82" w:rsidRPr="0087114F" w:rsidRDefault="00A55C82" w:rsidP="005C719B">
            <w:pPr>
              <w:pStyle w:val="PargrafodaLista"/>
              <w:numPr>
                <w:ilvl w:val="0"/>
                <w:numId w:val="35"/>
              </w:numPr>
              <w:spacing w:before="120" w:after="120" w:line="240" w:lineRule="auto"/>
              <w:ind w:left="822"/>
              <w:contextualSpacing w:val="0"/>
              <w:jc w:val="both"/>
              <w:rPr>
                <w:rFonts w:ascii="Arial" w:hAnsi="Arial" w:cs="Arial"/>
                <w:sz w:val="18"/>
                <w:szCs w:val="18"/>
              </w:rPr>
            </w:pPr>
            <w:r w:rsidRPr="0087114F">
              <w:rPr>
                <w:rFonts w:ascii="Arial" w:hAnsi="Arial" w:cs="Arial"/>
                <w:sz w:val="18"/>
                <w:szCs w:val="18"/>
              </w:rPr>
              <w:t>Informações gerais da entidade: natureza jurídica, natureza das operações, atividades desempenhadas, lei de instituição, conforme o caso, e declaração de conformidade com leis e normas de contabilidade aplicáveis;</w:t>
            </w:r>
          </w:p>
          <w:p w14:paraId="68DD1143" w14:textId="77777777" w:rsidR="00A55C82" w:rsidRPr="0087114F" w:rsidRDefault="00A55C82" w:rsidP="005C719B">
            <w:pPr>
              <w:pStyle w:val="PargrafodaLista"/>
              <w:numPr>
                <w:ilvl w:val="0"/>
                <w:numId w:val="35"/>
              </w:numPr>
              <w:spacing w:before="120" w:after="120" w:line="240" w:lineRule="auto"/>
              <w:ind w:left="822"/>
              <w:contextualSpacing w:val="0"/>
              <w:jc w:val="both"/>
              <w:rPr>
                <w:rFonts w:ascii="Arial" w:hAnsi="Arial" w:cs="Arial"/>
                <w:sz w:val="18"/>
                <w:szCs w:val="18"/>
              </w:rPr>
            </w:pPr>
            <w:r w:rsidRPr="0087114F">
              <w:rPr>
                <w:rFonts w:ascii="Arial" w:hAnsi="Arial" w:cs="Arial"/>
                <w:sz w:val="18"/>
                <w:szCs w:val="18"/>
              </w:rPr>
              <w:t>Resumo das Políticas Contábeis relevantes: base de mensuração utilizada, adoção de novas políticas contábeis;</w:t>
            </w:r>
          </w:p>
          <w:p w14:paraId="03EC2377" w14:textId="77777777" w:rsidR="00A55C82" w:rsidRPr="0087114F" w:rsidRDefault="00A55C82" w:rsidP="005C719B">
            <w:pPr>
              <w:pStyle w:val="PargrafodaLista"/>
              <w:numPr>
                <w:ilvl w:val="0"/>
                <w:numId w:val="35"/>
              </w:numPr>
              <w:spacing w:before="120" w:after="120" w:line="240" w:lineRule="auto"/>
              <w:ind w:left="822"/>
              <w:contextualSpacing w:val="0"/>
              <w:jc w:val="both"/>
              <w:rPr>
                <w:rFonts w:ascii="Arial" w:hAnsi="Arial" w:cs="Arial"/>
                <w:sz w:val="18"/>
                <w:szCs w:val="18"/>
              </w:rPr>
            </w:pPr>
            <w:r w:rsidRPr="0087114F">
              <w:rPr>
                <w:rFonts w:ascii="Arial" w:hAnsi="Arial" w:cs="Arial"/>
                <w:sz w:val="18"/>
                <w:szCs w:val="18"/>
              </w:rPr>
              <w:lastRenderedPageBreak/>
              <w:t>Detalhamento de informações relevantes contidas nos Demonstrativos Contábeis;</w:t>
            </w:r>
          </w:p>
          <w:p w14:paraId="4DFA7E1D" w14:textId="151943D5" w:rsidR="00A55C82" w:rsidRPr="0087114F" w:rsidRDefault="00A55C82" w:rsidP="005C719B">
            <w:pPr>
              <w:pStyle w:val="PargrafodaLista"/>
              <w:numPr>
                <w:ilvl w:val="0"/>
                <w:numId w:val="35"/>
              </w:numPr>
              <w:spacing w:before="120" w:after="120" w:line="240" w:lineRule="auto"/>
              <w:ind w:left="822"/>
              <w:contextualSpacing w:val="0"/>
              <w:jc w:val="both"/>
              <w:rPr>
                <w:rFonts w:ascii="Arial" w:eastAsia="Times New Roman" w:hAnsi="Arial" w:cs="Arial"/>
                <w:sz w:val="18"/>
                <w:szCs w:val="18"/>
                <w:lang w:eastAsia="pt-BR"/>
              </w:rPr>
            </w:pPr>
            <w:r w:rsidRPr="0087114F">
              <w:rPr>
                <w:rFonts w:ascii="Arial" w:hAnsi="Arial" w:cs="Arial"/>
                <w:sz w:val="18"/>
                <w:szCs w:val="18"/>
              </w:rPr>
              <w:t>Demais informações relevantes: passivos contingentes e compromissos contratuais não reconhecidos; ajustes decorrentes de erros, etc.</w:t>
            </w:r>
          </w:p>
        </w:tc>
        <w:tc>
          <w:tcPr>
            <w:tcW w:w="992" w:type="dxa"/>
            <w:shd w:val="clear" w:color="auto" w:fill="auto"/>
            <w:vAlign w:val="center"/>
          </w:tcPr>
          <w:p w14:paraId="1DC5008B" w14:textId="5E704517" w:rsidR="00A55C82" w:rsidRPr="0087114F" w:rsidRDefault="00A55C82" w:rsidP="00A55C82">
            <w:pPr>
              <w:spacing w:after="0" w:line="240" w:lineRule="auto"/>
              <w:jc w:val="center"/>
              <w:rPr>
                <w:rFonts w:ascii="Arial" w:eastAsia="Times New Roman" w:hAnsi="Arial" w:cs="Arial"/>
                <w:sz w:val="14"/>
                <w:szCs w:val="14"/>
                <w:lang w:eastAsia="pt-BR"/>
              </w:rPr>
            </w:pPr>
            <w:r w:rsidRPr="0087114F">
              <w:rPr>
                <w:rFonts w:ascii="Arial" w:eastAsia="Times New Roman" w:hAnsi="Arial" w:cs="Arial"/>
                <w:sz w:val="14"/>
                <w:szCs w:val="14"/>
                <w:lang w:eastAsia="pt-BR"/>
              </w:rPr>
              <w:lastRenderedPageBreak/>
              <w:t>XML</w:t>
            </w:r>
          </w:p>
        </w:tc>
      </w:tr>
      <w:tr w:rsidR="00A55C82" w:rsidRPr="00A5490A" w14:paraId="17E6E2AF" w14:textId="77777777" w:rsidTr="00CB7C58">
        <w:tc>
          <w:tcPr>
            <w:tcW w:w="1258" w:type="dxa"/>
            <w:vAlign w:val="center"/>
          </w:tcPr>
          <w:p w14:paraId="44758655" w14:textId="77777777" w:rsidR="00A55C82" w:rsidRPr="00A5490A" w:rsidRDefault="00A55C82" w:rsidP="00A55C82">
            <w:pPr>
              <w:spacing w:after="0" w:line="240" w:lineRule="auto"/>
              <w:jc w:val="center"/>
              <w:rPr>
                <w:rFonts w:ascii="Arial" w:eastAsia="Times New Roman" w:hAnsi="Arial" w:cs="Arial"/>
                <w:sz w:val="18"/>
                <w:szCs w:val="18"/>
                <w:lang w:eastAsia="pt-BR"/>
              </w:rPr>
            </w:pPr>
            <w:r>
              <w:rPr>
                <w:rFonts w:ascii="Arial" w:eastAsia="Times New Roman" w:hAnsi="Arial" w:cs="Arial"/>
                <w:sz w:val="18"/>
                <w:szCs w:val="18"/>
                <w:lang w:eastAsia="pt-BR"/>
              </w:rPr>
              <w:lastRenderedPageBreak/>
              <w:t>DOCSPCA</w:t>
            </w:r>
          </w:p>
        </w:tc>
        <w:tc>
          <w:tcPr>
            <w:tcW w:w="6930" w:type="dxa"/>
            <w:shd w:val="clear" w:color="auto" w:fill="auto"/>
            <w:vAlign w:val="center"/>
          </w:tcPr>
          <w:p w14:paraId="6BAF3B93" w14:textId="68B6DD3F" w:rsidR="00A55C82" w:rsidRPr="00A5490A" w:rsidRDefault="00A55C82" w:rsidP="0099420C">
            <w:pPr>
              <w:spacing w:before="120" w:after="120" w:line="240" w:lineRule="auto"/>
              <w:jc w:val="both"/>
              <w:rPr>
                <w:rFonts w:ascii="Arial" w:eastAsia="Times New Roman" w:hAnsi="Arial" w:cs="Arial"/>
                <w:sz w:val="18"/>
                <w:szCs w:val="18"/>
                <w:lang w:eastAsia="pt-BR"/>
              </w:rPr>
            </w:pPr>
            <w:r>
              <w:rPr>
                <w:rFonts w:ascii="Arial" w:eastAsia="Times New Roman" w:hAnsi="Arial" w:cs="Arial"/>
                <w:sz w:val="18"/>
                <w:szCs w:val="18"/>
                <w:lang w:eastAsia="pt-BR"/>
              </w:rPr>
              <w:t>R</w:t>
            </w:r>
            <w:r w:rsidRPr="00D46CF1">
              <w:rPr>
                <w:rFonts w:ascii="Arial" w:eastAsia="Times New Roman" w:hAnsi="Arial" w:cs="Arial"/>
                <w:sz w:val="18"/>
                <w:szCs w:val="18"/>
                <w:lang w:eastAsia="pt-BR"/>
              </w:rPr>
              <w:t>eferência aos documentos não estruturados</w:t>
            </w:r>
            <w:r>
              <w:rPr>
                <w:rFonts w:ascii="Arial" w:eastAsia="Times New Roman" w:hAnsi="Arial" w:cs="Arial"/>
                <w:sz w:val="18"/>
                <w:szCs w:val="18"/>
                <w:lang w:eastAsia="pt-BR"/>
              </w:rPr>
              <w:t>, constantes neste Anexo</w:t>
            </w:r>
            <w:r w:rsidRPr="00D46CF1">
              <w:rPr>
                <w:rFonts w:ascii="Arial" w:eastAsia="Times New Roman" w:hAnsi="Arial" w:cs="Arial"/>
                <w:sz w:val="18"/>
                <w:szCs w:val="18"/>
                <w:lang w:eastAsia="pt-BR"/>
              </w:rPr>
              <w:t>, bem como a justificativa de ausência para os arquivos não enviados.</w:t>
            </w:r>
            <w:r>
              <w:rPr>
                <w:rFonts w:ascii="Arial" w:eastAsia="Times New Roman" w:hAnsi="Arial" w:cs="Arial"/>
                <w:sz w:val="18"/>
                <w:szCs w:val="18"/>
                <w:lang w:eastAsia="pt-BR"/>
              </w:rPr>
              <w:t xml:space="preserve"> Estrutura e layout constantes do item </w:t>
            </w:r>
            <w:r w:rsidR="0099420C">
              <w:rPr>
                <w:rFonts w:ascii="Arial" w:eastAsia="Times New Roman" w:hAnsi="Arial" w:cs="Arial"/>
                <w:sz w:val="18"/>
                <w:szCs w:val="18"/>
                <w:lang w:eastAsia="pt-BR"/>
              </w:rPr>
              <w:t>3.1</w:t>
            </w:r>
            <w:r>
              <w:rPr>
                <w:rFonts w:ascii="Arial" w:eastAsia="Times New Roman" w:hAnsi="Arial" w:cs="Arial"/>
                <w:sz w:val="18"/>
                <w:szCs w:val="18"/>
                <w:lang w:eastAsia="pt-BR"/>
              </w:rPr>
              <w:t xml:space="preserve"> deste Anexo.</w:t>
            </w:r>
          </w:p>
        </w:tc>
        <w:tc>
          <w:tcPr>
            <w:tcW w:w="992" w:type="dxa"/>
            <w:shd w:val="clear" w:color="auto" w:fill="auto"/>
            <w:vAlign w:val="center"/>
          </w:tcPr>
          <w:p w14:paraId="3C8D684B" w14:textId="77777777" w:rsidR="00A55C82" w:rsidRPr="00A5490A" w:rsidRDefault="00A55C82" w:rsidP="00A55C82">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XML</w:t>
            </w:r>
          </w:p>
        </w:tc>
      </w:tr>
    </w:tbl>
    <w:p w14:paraId="0F931A76" w14:textId="77777777" w:rsidR="00A5490A" w:rsidRPr="00A5490A" w:rsidRDefault="00A5490A" w:rsidP="00E5197A">
      <w:pPr>
        <w:autoSpaceDE w:val="0"/>
        <w:autoSpaceDN w:val="0"/>
        <w:adjustRightInd w:val="0"/>
        <w:spacing w:after="0" w:line="360" w:lineRule="auto"/>
        <w:jc w:val="both"/>
        <w:rPr>
          <w:rFonts w:ascii="Arial" w:eastAsia="Times New Roman" w:hAnsi="Arial" w:cs="Arial"/>
          <w:b/>
          <w:bCs/>
          <w:lang w:eastAsia="pt-BR"/>
        </w:rPr>
      </w:pPr>
    </w:p>
    <w:p w14:paraId="196ACDE7" w14:textId="375853DC" w:rsidR="00A5490A" w:rsidRPr="005B7FCC" w:rsidRDefault="00E5197A" w:rsidP="000F0A16">
      <w:pPr>
        <w:pStyle w:val="Ttulo2"/>
        <w:rPr>
          <w:lang w:val="pt-BR" w:eastAsia="pt-BR"/>
        </w:rPr>
      </w:pPr>
      <w:r w:rsidRPr="005B7FCC">
        <w:rPr>
          <w:lang w:val="pt-BR" w:eastAsia="pt-BR"/>
        </w:rPr>
        <w:br w:type="page"/>
      </w:r>
      <w:bookmarkStart w:id="7" w:name="_Toc94806291"/>
      <w:r w:rsidR="00A5490A" w:rsidRPr="005B7FCC">
        <w:rPr>
          <w:lang w:val="pt-BR" w:eastAsia="pt-BR"/>
        </w:rPr>
        <w:lastRenderedPageBreak/>
        <w:t>CONTAS DOS ORDENADORES DE DESPESAS DAS ADMINISTRAÇÕES DIRETAS E INDIRETAS DOS PODERES EXECUTIVOS MUNICIPAIS</w:t>
      </w:r>
      <w:r w:rsidR="006052E1" w:rsidRPr="005B7FCC">
        <w:rPr>
          <w:lang w:val="pt-BR" w:eastAsia="pt-BR"/>
        </w:rPr>
        <w:t xml:space="preserve">, </w:t>
      </w:r>
      <w:r w:rsidR="00A5490A" w:rsidRPr="005B7FCC">
        <w:rPr>
          <w:lang w:val="pt-BR" w:eastAsia="pt-BR"/>
        </w:rPr>
        <w:t>EXCETO INSTITUTOS PRÓPRIOS DE PREVIDÊNCIA SOCIAL</w:t>
      </w:r>
      <w:bookmarkEnd w:id="7"/>
    </w:p>
    <w:p w14:paraId="3169D0C4" w14:textId="77777777" w:rsidR="00A5490A" w:rsidRPr="00A5490A" w:rsidRDefault="00A5490A" w:rsidP="00A5490A">
      <w:pPr>
        <w:spacing w:after="0" w:line="240" w:lineRule="auto"/>
        <w:jc w:val="both"/>
        <w:rPr>
          <w:rFonts w:ascii="Arial" w:eastAsia="Times New Roman" w:hAnsi="Arial" w:cs="Arial"/>
          <w:lang w:eastAsia="pt-BR"/>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6946"/>
        <w:gridCol w:w="992"/>
      </w:tblGrid>
      <w:tr w:rsidR="00CB7C58" w:rsidRPr="00A5490A" w14:paraId="32A8B085" w14:textId="77777777" w:rsidTr="00CB7C58">
        <w:tc>
          <w:tcPr>
            <w:tcW w:w="1242" w:type="dxa"/>
            <w:vAlign w:val="center"/>
          </w:tcPr>
          <w:p w14:paraId="437AAB5F" w14:textId="77777777" w:rsidR="00CB7C58" w:rsidRPr="00A5490A" w:rsidRDefault="00CB7C58" w:rsidP="00A5490A">
            <w:pPr>
              <w:spacing w:after="0" w:line="240" w:lineRule="auto"/>
              <w:jc w:val="center"/>
              <w:rPr>
                <w:rFonts w:ascii="Arial" w:eastAsia="Times New Roman" w:hAnsi="Arial" w:cs="Arial"/>
                <w:sz w:val="18"/>
                <w:szCs w:val="18"/>
                <w:lang w:eastAsia="pt-BR"/>
              </w:rPr>
            </w:pPr>
            <w:r>
              <w:rPr>
                <w:rFonts w:ascii="Arial" w:eastAsia="Times New Roman" w:hAnsi="Arial" w:cs="Arial"/>
                <w:sz w:val="18"/>
                <w:szCs w:val="18"/>
                <w:lang w:eastAsia="pt-BR"/>
              </w:rPr>
              <w:t>Código</w:t>
            </w:r>
          </w:p>
        </w:tc>
        <w:tc>
          <w:tcPr>
            <w:tcW w:w="6946" w:type="dxa"/>
            <w:shd w:val="clear" w:color="auto" w:fill="auto"/>
            <w:vAlign w:val="center"/>
          </w:tcPr>
          <w:p w14:paraId="540D2FE1" w14:textId="77777777" w:rsidR="00CB7C58" w:rsidRPr="00A5490A" w:rsidRDefault="00CB7C58" w:rsidP="00485139">
            <w:p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Descrição</w:t>
            </w:r>
          </w:p>
        </w:tc>
        <w:tc>
          <w:tcPr>
            <w:tcW w:w="992" w:type="dxa"/>
            <w:shd w:val="clear" w:color="auto" w:fill="auto"/>
            <w:vAlign w:val="center"/>
          </w:tcPr>
          <w:p w14:paraId="18F2B8D0" w14:textId="77777777" w:rsidR="00CB7C58" w:rsidRPr="00A5490A" w:rsidRDefault="00CB7C58" w:rsidP="00A5490A">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Formato</w:t>
            </w:r>
          </w:p>
        </w:tc>
      </w:tr>
      <w:tr w:rsidR="00CB7C58" w:rsidRPr="00A5490A" w14:paraId="734D92D5" w14:textId="77777777" w:rsidTr="00CB7C58">
        <w:tc>
          <w:tcPr>
            <w:tcW w:w="1242" w:type="dxa"/>
            <w:vAlign w:val="center"/>
          </w:tcPr>
          <w:p w14:paraId="0C88B78F" w14:textId="77777777" w:rsidR="00CB7C58" w:rsidRPr="00A5490A" w:rsidRDefault="00CB7C58" w:rsidP="00A5490A">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RELGES</w:t>
            </w:r>
          </w:p>
        </w:tc>
        <w:tc>
          <w:tcPr>
            <w:tcW w:w="6946" w:type="dxa"/>
            <w:shd w:val="clear" w:color="auto" w:fill="auto"/>
            <w:vAlign w:val="center"/>
          </w:tcPr>
          <w:p w14:paraId="73F6A93C" w14:textId="77777777" w:rsidR="00CB7C58" w:rsidRPr="00B6188E" w:rsidRDefault="00CB7C58" w:rsidP="00485139">
            <w:pPr>
              <w:spacing w:before="120" w:after="120" w:line="240" w:lineRule="auto"/>
              <w:jc w:val="both"/>
              <w:rPr>
                <w:rFonts w:ascii="Arial" w:eastAsia="Times New Roman" w:hAnsi="Arial" w:cs="Arial"/>
                <w:sz w:val="18"/>
                <w:szCs w:val="18"/>
                <w:lang w:eastAsia="pt-BR"/>
              </w:rPr>
            </w:pPr>
            <w:r w:rsidRPr="00B6188E">
              <w:rPr>
                <w:rFonts w:ascii="Arial" w:eastAsia="Times New Roman" w:hAnsi="Arial" w:cs="Arial"/>
                <w:sz w:val="18"/>
                <w:szCs w:val="18"/>
                <w:lang w:eastAsia="pt-BR"/>
              </w:rPr>
              <w:t>Relatório de gestão abordando aspectos de natureza</w:t>
            </w:r>
            <w:r w:rsidRPr="00B6188E">
              <w:rPr>
                <w:rFonts w:ascii="Arial" w:eastAsia="Times New Roman" w:hAnsi="Arial" w:cs="Arial"/>
                <w:bCs/>
                <w:sz w:val="18"/>
                <w:szCs w:val="18"/>
                <w:lang w:eastAsia="pt-BR"/>
              </w:rPr>
              <w:t xml:space="preserve"> orçamentária, financeira, fiscal, operacional e patrimonial, organizado de forma que permita uma visão de conformidade e desempenho dos atos de gestão praticados pelos ordenadores de despesa, evidenciando os resultados dos programas desenvolvidos no âmbito de cada órgão.</w:t>
            </w:r>
            <w:r w:rsidRPr="00B6188E">
              <w:rPr>
                <w:rFonts w:ascii="Arial" w:eastAsia="Times New Roman" w:hAnsi="Arial" w:cs="Arial"/>
                <w:sz w:val="18"/>
                <w:szCs w:val="18"/>
                <w:lang w:eastAsia="pt-BR"/>
              </w:rPr>
              <w:t xml:space="preserve"> (Artigo 137, II, do RITCEES, aprovado pela Resolução TC nº 261/2013)</w:t>
            </w:r>
          </w:p>
        </w:tc>
        <w:tc>
          <w:tcPr>
            <w:tcW w:w="992" w:type="dxa"/>
            <w:shd w:val="clear" w:color="auto" w:fill="auto"/>
            <w:vAlign w:val="center"/>
          </w:tcPr>
          <w:p w14:paraId="58C75D27" w14:textId="77777777" w:rsidR="00CB7C58" w:rsidRPr="00A5490A" w:rsidRDefault="00532985" w:rsidP="00A5490A">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CB7C58" w:rsidRPr="00A5490A" w14:paraId="3C1F27AD" w14:textId="77777777" w:rsidTr="00CB7C58">
        <w:tc>
          <w:tcPr>
            <w:tcW w:w="1242" w:type="dxa"/>
            <w:vAlign w:val="center"/>
          </w:tcPr>
          <w:p w14:paraId="0206E447" w14:textId="77777777" w:rsidR="00CB7C58" w:rsidRPr="00A5490A" w:rsidRDefault="00CB7C58" w:rsidP="00A5490A">
            <w:pPr>
              <w:spacing w:after="0" w:line="240" w:lineRule="auto"/>
              <w:jc w:val="center"/>
              <w:rPr>
                <w:rFonts w:ascii="Arial" w:eastAsia="Times New Roman" w:hAnsi="Arial" w:cs="Arial"/>
                <w:bCs/>
                <w:sz w:val="18"/>
                <w:szCs w:val="18"/>
                <w:lang w:eastAsia="pt-BR"/>
              </w:rPr>
            </w:pPr>
            <w:r w:rsidRPr="00A5490A">
              <w:rPr>
                <w:rFonts w:ascii="Arial" w:eastAsia="Times New Roman" w:hAnsi="Arial" w:cs="Arial"/>
                <w:bCs/>
                <w:sz w:val="18"/>
                <w:szCs w:val="18"/>
                <w:lang w:eastAsia="pt-BR"/>
              </w:rPr>
              <w:t>RELUCI</w:t>
            </w:r>
          </w:p>
        </w:tc>
        <w:tc>
          <w:tcPr>
            <w:tcW w:w="6946" w:type="dxa"/>
            <w:shd w:val="clear" w:color="auto" w:fill="auto"/>
            <w:vAlign w:val="center"/>
          </w:tcPr>
          <w:p w14:paraId="5D7024AC" w14:textId="7695883C" w:rsidR="00CB7C58" w:rsidRPr="00B6188E" w:rsidRDefault="00CB7C58" w:rsidP="00CE57CA">
            <w:pPr>
              <w:spacing w:before="120" w:after="120" w:line="240" w:lineRule="auto"/>
              <w:jc w:val="both"/>
              <w:rPr>
                <w:rFonts w:ascii="Arial" w:eastAsia="Times New Roman" w:hAnsi="Arial" w:cs="Arial"/>
                <w:sz w:val="18"/>
                <w:szCs w:val="18"/>
                <w:lang w:eastAsia="pt-BR"/>
              </w:rPr>
            </w:pPr>
            <w:r w:rsidRPr="00B6188E">
              <w:rPr>
                <w:rFonts w:ascii="Arial" w:eastAsia="Times New Roman" w:hAnsi="Arial" w:cs="Arial"/>
                <w:bCs/>
                <w:sz w:val="18"/>
                <w:szCs w:val="18"/>
                <w:lang w:eastAsia="pt-BR"/>
              </w:rPr>
              <w:t xml:space="preserve">Relatório e parecer conclusivo emitido </w:t>
            </w:r>
            <w:r w:rsidRPr="00B6188E">
              <w:rPr>
                <w:rFonts w:ascii="Arial" w:eastAsia="Times New Roman" w:hAnsi="Arial" w:cs="Arial"/>
                <w:sz w:val="18"/>
                <w:szCs w:val="18"/>
                <w:lang w:eastAsia="pt-BR"/>
              </w:rPr>
              <w:t xml:space="preserve">pelo controle interno contendo os elementos </w:t>
            </w:r>
            <w:r w:rsidR="00532985" w:rsidRPr="00A76D50">
              <w:rPr>
                <w:rFonts w:ascii="Arial" w:eastAsia="Times New Roman" w:hAnsi="Arial" w:cs="Arial"/>
                <w:sz w:val="18"/>
                <w:szCs w:val="18"/>
                <w:lang w:eastAsia="pt-BR"/>
              </w:rPr>
              <w:t>sugeridos</w:t>
            </w:r>
            <w:r w:rsidRPr="00A76D50">
              <w:rPr>
                <w:rFonts w:ascii="Arial" w:eastAsia="Times New Roman" w:hAnsi="Arial" w:cs="Arial"/>
                <w:sz w:val="18"/>
                <w:szCs w:val="18"/>
                <w:lang w:eastAsia="pt-BR"/>
              </w:rPr>
              <w:t xml:space="preserve"> </w:t>
            </w:r>
            <w:r w:rsidR="00A76D50" w:rsidRPr="00A76D50">
              <w:rPr>
                <w:rFonts w:ascii="Arial" w:eastAsia="Times New Roman" w:hAnsi="Arial" w:cs="Arial"/>
                <w:sz w:val="18"/>
                <w:szCs w:val="18"/>
                <w:lang w:eastAsia="pt-BR"/>
              </w:rPr>
              <w:t xml:space="preserve">no item 3.2 </w:t>
            </w:r>
            <w:r w:rsidR="00CE57CA" w:rsidRPr="00A76D50">
              <w:rPr>
                <w:rFonts w:ascii="Arial" w:eastAsia="Times New Roman" w:hAnsi="Arial" w:cs="Arial"/>
                <w:sz w:val="18"/>
                <w:szCs w:val="18"/>
                <w:lang w:eastAsia="pt-BR"/>
              </w:rPr>
              <w:t xml:space="preserve">deste </w:t>
            </w:r>
            <w:r w:rsidR="00CE57CA">
              <w:rPr>
                <w:rFonts w:ascii="Arial" w:eastAsia="Times New Roman" w:hAnsi="Arial" w:cs="Arial"/>
                <w:sz w:val="18"/>
                <w:szCs w:val="18"/>
                <w:lang w:eastAsia="pt-BR"/>
              </w:rPr>
              <w:t>Anexo</w:t>
            </w:r>
            <w:r w:rsidRPr="00B6188E">
              <w:rPr>
                <w:rFonts w:ascii="Arial" w:eastAsia="Times New Roman" w:hAnsi="Arial" w:cs="Arial"/>
                <w:sz w:val="18"/>
                <w:szCs w:val="18"/>
                <w:lang w:eastAsia="pt-BR"/>
              </w:rPr>
              <w:t>.</w:t>
            </w:r>
            <w:r w:rsidRPr="00B6188E">
              <w:rPr>
                <w:rFonts w:ascii="Arial" w:eastAsia="Times New Roman" w:hAnsi="Arial" w:cs="Arial"/>
                <w:bCs/>
                <w:sz w:val="18"/>
                <w:szCs w:val="18"/>
                <w:lang w:eastAsia="pt-BR"/>
              </w:rPr>
              <w:t xml:space="preserve"> (Artigo 135, § 4º</w:t>
            </w:r>
            <w:r w:rsidRPr="00B6188E">
              <w:rPr>
                <w:rFonts w:ascii="Arial" w:eastAsia="Times New Roman" w:hAnsi="Arial" w:cs="Arial"/>
                <w:sz w:val="18"/>
                <w:szCs w:val="18"/>
                <w:lang w:eastAsia="pt-BR"/>
              </w:rPr>
              <w:t xml:space="preserve"> c/c artigo 137, IV do RITCEES, aprovado pela Resolução TC nº 261/2013</w:t>
            </w:r>
            <w:r w:rsidRPr="00B6188E">
              <w:rPr>
                <w:rFonts w:ascii="Arial" w:eastAsia="Times New Roman" w:hAnsi="Arial" w:cs="Arial"/>
                <w:bCs/>
                <w:sz w:val="18"/>
                <w:szCs w:val="18"/>
                <w:lang w:eastAsia="pt-BR"/>
              </w:rPr>
              <w:t>)</w:t>
            </w:r>
          </w:p>
        </w:tc>
        <w:tc>
          <w:tcPr>
            <w:tcW w:w="992" w:type="dxa"/>
            <w:shd w:val="clear" w:color="auto" w:fill="auto"/>
            <w:vAlign w:val="center"/>
          </w:tcPr>
          <w:p w14:paraId="323BD31F" w14:textId="77777777" w:rsidR="00CB7C58" w:rsidRPr="00A5490A" w:rsidRDefault="00532985" w:rsidP="00A5490A">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2038E7" w:rsidRPr="002038E7" w14:paraId="09888AAD" w14:textId="77777777" w:rsidTr="00CB7C58">
        <w:tc>
          <w:tcPr>
            <w:tcW w:w="1242" w:type="dxa"/>
            <w:vAlign w:val="center"/>
          </w:tcPr>
          <w:p w14:paraId="1241E268" w14:textId="77777777" w:rsidR="003D269C" w:rsidRPr="002038E7" w:rsidRDefault="002324F8" w:rsidP="00736BC5">
            <w:pPr>
              <w:spacing w:after="0" w:line="240" w:lineRule="auto"/>
              <w:jc w:val="center"/>
              <w:rPr>
                <w:rFonts w:ascii="Arial" w:eastAsia="Times New Roman" w:hAnsi="Arial" w:cs="Arial"/>
                <w:sz w:val="18"/>
                <w:szCs w:val="18"/>
                <w:lang w:eastAsia="pt-BR"/>
              </w:rPr>
            </w:pPr>
            <w:r w:rsidRPr="002038E7">
              <w:rPr>
                <w:rFonts w:ascii="Arial" w:eastAsia="Times New Roman" w:hAnsi="Arial" w:cs="Arial"/>
                <w:sz w:val="18"/>
                <w:szCs w:val="18"/>
                <w:lang w:eastAsia="pt-BR"/>
              </w:rPr>
              <w:t>RELACI</w:t>
            </w:r>
          </w:p>
        </w:tc>
        <w:tc>
          <w:tcPr>
            <w:tcW w:w="6946" w:type="dxa"/>
            <w:shd w:val="clear" w:color="auto" w:fill="auto"/>
            <w:vAlign w:val="center"/>
          </w:tcPr>
          <w:p w14:paraId="049758FF" w14:textId="5024215F" w:rsidR="003D269C" w:rsidRPr="002038E7" w:rsidRDefault="003D269C" w:rsidP="002324F8">
            <w:pPr>
              <w:spacing w:before="120" w:after="120" w:line="240" w:lineRule="auto"/>
              <w:jc w:val="both"/>
              <w:rPr>
                <w:rFonts w:ascii="Arial" w:eastAsia="Times New Roman" w:hAnsi="Arial" w:cs="Arial"/>
                <w:sz w:val="18"/>
                <w:szCs w:val="18"/>
                <w:lang w:eastAsia="pt-BR"/>
              </w:rPr>
            </w:pPr>
            <w:r w:rsidRPr="002038E7">
              <w:rPr>
                <w:rFonts w:ascii="Arial" w:eastAsia="Times New Roman" w:hAnsi="Arial" w:cs="Arial"/>
                <w:sz w:val="18"/>
                <w:szCs w:val="18"/>
                <w:lang w:eastAsia="pt-BR"/>
              </w:rPr>
              <w:t xml:space="preserve">Relatório de atividades realizadas pela Unidade de Controle Interno </w:t>
            </w:r>
            <w:r w:rsidR="00DA26B4" w:rsidRPr="002038E7">
              <w:rPr>
                <w:rFonts w:ascii="Arial" w:eastAsia="Times New Roman" w:hAnsi="Arial" w:cs="Arial"/>
                <w:sz w:val="18"/>
                <w:szCs w:val="18"/>
                <w:lang w:eastAsia="pt-BR"/>
              </w:rPr>
              <w:t>n</w:t>
            </w:r>
            <w:r w:rsidRPr="002038E7">
              <w:rPr>
                <w:rFonts w:ascii="Arial" w:eastAsia="Times New Roman" w:hAnsi="Arial" w:cs="Arial"/>
                <w:sz w:val="18"/>
                <w:szCs w:val="18"/>
                <w:lang w:eastAsia="pt-BR"/>
              </w:rPr>
              <w:t xml:space="preserve">a UG, contendo informações acerca dos procedimentos relativos ao Plano Anual de Auditorias Internas – PAAI, executadas no exercício, com os elementos </w:t>
            </w:r>
            <w:r w:rsidR="00532985" w:rsidRPr="002038E7">
              <w:rPr>
                <w:rFonts w:ascii="Arial" w:eastAsia="Times New Roman" w:hAnsi="Arial" w:cs="Arial"/>
                <w:sz w:val="18"/>
                <w:szCs w:val="18"/>
                <w:lang w:eastAsia="pt-BR"/>
              </w:rPr>
              <w:t>sugeridos</w:t>
            </w:r>
            <w:r w:rsidR="002038E7" w:rsidRPr="002038E7">
              <w:rPr>
                <w:rFonts w:ascii="Arial" w:eastAsia="Times New Roman" w:hAnsi="Arial" w:cs="Arial"/>
                <w:sz w:val="18"/>
                <w:szCs w:val="18"/>
                <w:lang w:eastAsia="pt-BR"/>
              </w:rPr>
              <w:t xml:space="preserve"> no</w:t>
            </w:r>
            <w:r w:rsidR="00532985" w:rsidRPr="002038E7">
              <w:rPr>
                <w:rFonts w:ascii="Arial" w:eastAsia="Times New Roman" w:hAnsi="Arial" w:cs="Arial"/>
                <w:sz w:val="18"/>
                <w:szCs w:val="18"/>
                <w:lang w:eastAsia="pt-BR"/>
              </w:rPr>
              <w:t xml:space="preserve"> </w:t>
            </w:r>
            <w:r w:rsidR="002038E7" w:rsidRPr="002038E7">
              <w:rPr>
                <w:rFonts w:ascii="Arial" w:eastAsia="Times New Roman" w:hAnsi="Arial" w:cs="Arial"/>
                <w:sz w:val="18"/>
                <w:szCs w:val="18"/>
                <w:lang w:eastAsia="pt-BR"/>
              </w:rPr>
              <w:t>item 3.2 deste Anexo.</w:t>
            </w:r>
          </w:p>
        </w:tc>
        <w:tc>
          <w:tcPr>
            <w:tcW w:w="992" w:type="dxa"/>
            <w:shd w:val="clear" w:color="auto" w:fill="auto"/>
            <w:vAlign w:val="center"/>
          </w:tcPr>
          <w:p w14:paraId="3D3DDE5E" w14:textId="77777777" w:rsidR="003D269C" w:rsidRPr="002038E7" w:rsidRDefault="00532985" w:rsidP="00736BC5">
            <w:pPr>
              <w:spacing w:after="0" w:line="240" w:lineRule="auto"/>
              <w:jc w:val="center"/>
              <w:rPr>
                <w:rFonts w:ascii="Arial" w:eastAsia="Times New Roman" w:hAnsi="Arial" w:cs="Arial"/>
                <w:sz w:val="14"/>
                <w:szCs w:val="14"/>
                <w:lang w:eastAsia="pt-BR"/>
              </w:rPr>
            </w:pPr>
            <w:r w:rsidRPr="002038E7">
              <w:rPr>
                <w:rFonts w:ascii="Arial" w:eastAsia="Times New Roman" w:hAnsi="Arial" w:cs="Arial"/>
                <w:sz w:val="14"/>
                <w:szCs w:val="14"/>
                <w:lang w:eastAsia="pt-BR"/>
              </w:rPr>
              <w:t>PDF</w:t>
            </w:r>
          </w:p>
        </w:tc>
      </w:tr>
      <w:tr w:rsidR="005173FE" w:rsidRPr="00F2087C" w14:paraId="6E6F3573" w14:textId="77777777" w:rsidTr="00CB7C58">
        <w:tc>
          <w:tcPr>
            <w:tcW w:w="1242" w:type="dxa"/>
            <w:vAlign w:val="center"/>
          </w:tcPr>
          <w:p w14:paraId="29928CF0" w14:textId="14C5C574" w:rsidR="005173FE" w:rsidRPr="00F2087C" w:rsidRDefault="005173FE" w:rsidP="005173FE">
            <w:pPr>
              <w:spacing w:after="0" w:line="240" w:lineRule="auto"/>
              <w:jc w:val="center"/>
              <w:rPr>
                <w:rFonts w:ascii="Arial" w:eastAsia="Times New Roman" w:hAnsi="Arial" w:cs="Arial"/>
                <w:sz w:val="18"/>
                <w:szCs w:val="18"/>
                <w:lang w:eastAsia="pt-BR"/>
              </w:rPr>
            </w:pPr>
            <w:r w:rsidRPr="005173FE">
              <w:rPr>
                <w:rFonts w:ascii="Arial" w:eastAsia="Times New Roman" w:hAnsi="Arial" w:cs="Arial"/>
                <w:sz w:val="18"/>
                <w:szCs w:val="18"/>
                <w:lang w:eastAsia="pt-BR"/>
              </w:rPr>
              <w:t>INFOCI</w:t>
            </w:r>
          </w:p>
        </w:tc>
        <w:tc>
          <w:tcPr>
            <w:tcW w:w="6946" w:type="dxa"/>
            <w:shd w:val="clear" w:color="auto" w:fill="auto"/>
            <w:vAlign w:val="center"/>
          </w:tcPr>
          <w:p w14:paraId="7635A588" w14:textId="3A169F7E" w:rsidR="005173FE" w:rsidRPr="00F2087C" w:rsidRDefault="00AA77C8" w:rsidP="005173FE">
            <w:pPr>
              <w:spacing w:before="120" w:after="120" w:line="240" w:lineRule="auto"/>
              <w:jc w:val="both"/>
              <w:rPr>
                <w:rFonts w:ascii="Arial" w:eastAsia="Times New Roman" w:hAnsi="Arial" w:cs="Arial"/>
                <w:sz w:val="18"/>
                <w:szCs w:val="18"/>
                <w:lang w:eastAsia="pt-BR"/>
              </w:rPr>
            </w:pPr>
            <w:r>
              <w:rPr>
                <w:rFonts w:ascii="Arial" w:eastAsia="Calibri" w:hAnsi="Arial" w:cs="Times New Roman"/>
                <w:sz w:val="18"/>
                <w:szCs w:val="18"/>
              </w:rPr>
              <w:t>I</w:t>
            </w:r>
            <w:r w:rsidRPr="00462640">
              <w:rPr>
                <w:rFonts w:ascii="Arial" w:eastAsia="Calibri" w:hAnsi="Arial" w:cs="Times New Roman"/>
                <w:sz w:val="18"/>
                <w:szCs w:val="18"/>
              </w:rPr>
              <w:t>nformações da unidade de Controle Interno, bem como as informações sobre a atuação do Controle Interno na verificação dos pontos de controle destinados à emissão do parecer sobre as Prestações de Contas Anuais</w:t>
            </w:r>
            <w:r w:rsidRPr="00792F95">
              <w:rPr>
                <w:rFonts w:ascii="Arial" w:eastAsia="Calibri" w:hAnsi="Arial" w:cs="Times New Roman"/>
                <w:sz w:val="18"/>
                <w:szCs w:val="18"/>
              </w:rPr>
              <w:t>, conforme layout constante do item 3.1 deste Anexo.</w:t>
            </w:r>
          </w:p>
        </w:tc>
        <w:tc>
          <w:tcPr>
            <w:tcW w:w="992" w:type="dxa"/>
            <w:shd w:val="clear" w:color="auto" w:fill="auto"/>
            <w:vAlign w:val="center"/>
          </w:tcPr>
          <w:p w14:paraId="031C4427" w14:textId="550BC0AA" w:rsidR="005173FE" w:rsidRPr="00F2087C" w:rsidRDefault="005173FE" w:rsidP="005173FE">
            <w:pPr>
              <w:spacing w:after="0" w:line="240" w:lineRule="auto"/>
              <w:jc w:val="center"/>
              <w:rPr>
                <w:rFonts w:ascii="Arial" w:eastAsia="Times New Roman" w:hAnsi="Arial" w:cs="Arial"/>
                <w:sz w:val="14"/>
                <w:szCs w:val="14"/>
                <w:lang w:eastAsia="pt-BR"/>
              </w:rPr>
            </w:pPr>
            <w:r w:rsidRPr="005173FE">
              <w:rPr>
                <w:rFonts w:ascii="Arial" w:eastAsia="Times New Roman" w:hAnsi="Arial" w:cs="Arial"/>
                <w:sz w:val="14"/>
                <w:szCs w:val="14"/>
                <w:lang w:eastAsia="pt-BR"/>
              </w:rPr>
              <w:t>XML</w:t>
            </w:r>
          </w:p>
        </w:tc>
      </w:tr>
      <w:tr w:rsidR="00723215" w:rsidRPr="002038E7" w14:paraId="3000BD22" w14:textId="77777777" w:rsidTr="00CB7C58">
        <w:tc>
          <w:tcPr>
            <w:tcW w:w="1242" w:type="dxa"/>
            <w:vAlign w:val="center"/>
          </w:tcPr>
          <w:p w14:paraId="5155F7E7" w14:textId="17278C41" w:rsidR="00723215" w:rsidRPr="002038E7" w:rsidRDefault="00723215" w:rsidP="00723215">
            <w:pPr>
              <w:spacing w:after="0" w:line="240" w:lineRule="auto"/>
              <w:jc w:val="center"/>
              <w:rPr>
                <w:rFonts w:ascii="Arial" w:eastAsia="Times New Roman" w:hAnsi="Arial" w:cs="Arial"/>
                <w:sz w:val="18"/>
                <w:szCs w:val="18"/>
                <w:lang w:eastAsia="pt-BR"/>
              </w:rPr>
            </w:pPr>
            <w:r w:rsidRPr="00A76D50">
              <w:rPr>
                <w:rFonts w:ascii="Arial" w:eastAsia="Times New Roman" w:hAnsi="Arial" w:cs="Arial"/>
                <w:sz w:val="18"/>
                <w:szCs w:val="18"/>
                <w:lang w:eastAsia="pt-BR"/>
              </w:rPr>
              <w:t>CRIA</w:t>
            </w:r>
          </w:p>
        </w:tc>
        <w:tc>
          <w:tcPr>
            <w:tcW w:w="6946" w:type="dxa"/>
            <w:shd w:val="clear" w:color="auto" w:fill="auto"/>
            <w:vAlign w:val="center"/>
          </w:tcPr>
          <w:p w14:paraId="6A14300F" w14:textId="633C5C13" w:rsidR="00723215" w:rsidRPr="002038E7" w:rsidRDefault="00723215" w:rsidP="00723215">
            <w:pPr>
              <w:spacing w:before="120" w:after="120" w:line="240" w:lineRule="auto"/>
              <w:jc w:val="both"/>
              <w:rPr>
                <w:rFonts w:ascii="Arial" w:eastAsia="Times New Roman" w:hAnsi="Arial" w:cs="Arial"/>
                <w:sz w:val="18"/>
                <w:szCs w:val="18"/>
                <w:lang w:eastAsia="pt-BR"/>
              </w:rPr>
            </w:pPr>
            <w:r w:rsidRPr="00A76D50">
              <w:rPr>
                <w:rFonts w:ascii="Arial" w:eastAsia="Times New Roman" w:hAnsi="Arial" w:cs="Arial"/>
                <w:bCs/>
                <w:sz w:val="18"/>
                <w:szCs w:val="18"/>
                <w:lang w:eastAsia="pt-BR"/>
              </w:rPr>
              <w:t>Demonstrativo especificando a lei de criação da entidade e  suas alterações, evidenciando seus objetivos e atribuições.</w:t>
            </w:r>
          </w:p>
        </w:tc>
        <w:tc>
          <w:tcPr>
            <w:tcW w:w="992" w:type="dxa"/>
            <w:shd w:val="clear" w:color="auto" w:fill="auto"/>
            <w:vAlign w:val="center"/>
          </w:tcPr>
          <w:p w14:paraId="238492CE" w14:textId="1DA5232A" w:rsidR="00723215" w:rsidRPr="002038E7" w:rsidRDefault="00723215" w:rsidP="00723215">
            <w:pPr>
              <w:spacing w:after="0" w:line="240" w:lineRule="auto"/>
              <w:jc w:val="center"/>
              <w:rPr>
                <w:rFonts w:ascii="Arial" w:eastAsia="Times New Roman" w:hAnsi="Arial" w:cs="Arial"/>
                <w:sz w:val="14"/>
                <w:szCs w:val="14"/>
                <w:lang w:eastAsia="pt-BR"/>
              </w:rPr>
            </w:pPr>
            <w:r w:rsidRPr="00A76D50">
              <w:rPr>
                <w:rFonts w:ascii="Arial" w:eastAsia="Times New Roman" w:hAnsi="Arial" w:cs="Arial"/>
                <w:sz w:val="14"/>
                <w:szCs w:val="14"/>
                <w:lang w:eastAsia="pt-BR"/>
              </w:rPr>
              <w:t>PDF</w:t>
            </w:r>
          </w:p>
        </w:tc>
      </w:tr>
      <w:tr w:rsidR="003D269C" w:rsidRPr="00A5490A" w14:paraId="6A70849A" w14:textId="77777777" w:rsidTr="00CB7C58">
        <w:tc>
          <w:tcPr>
            <w:tcW w:w="1242" w:type="dxa"/>
            <w:vAlign w:val="center"/>
          </w:tcPr>
          <w:p w14:paraId="563CD01C" w14:textId="77777777" w:rsidR="003D269C" w:rsidRPr="00A5490A" w:rsidRDefault="003D269C" w:rsidP="00A5490A">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PROEXE</w:t>
            </w:r>
          </w:p>
        </w:tc>
        <w:tc>
          <w:tcPr>
            <w:tcW w:w="6946" w:type="dxa"/>
            <w:shd w:val="clear" w:color="auto" w:fill="auto"/>
            <w:vAlign w:val="center"/>
          </w:tcPr>
          <w:p w14:paraId="7608A406" w14:textId="77777777" w:rsidR="003D269C" w:rsidRPr="00A5490A" w:rsidRDefault="003D269C" w:rsidP="00485139">
            <w:p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Pronunciamento expresso do chefe do</w:t>
            </w:r>
            <w:r w:rsidRPr="00A5490A">
              <w:rPr>
                <w:rFonts w:ascii="Arial" w:eastAsia="Times New Roman" w:hAnsi="Arial" w:cs="Arial"/>
                <w:b/>
                <w:bCs/>
                <w:sz w:val="18"/>
                <w:szCs w:val="18"/>
                <w:lang w:eastAsia="pt-BR"/>
              </w:rPr>
              <w:t xml:space="preserve"> </w:t>
            </w:r>
            <w:r w:rsidRPr="00A5490A">
              <w:rPr>
                <w:rFonts w:ascii="Arial" w:eastAsia="Times New Roman" w:hAnsi="Arial" w:cs="Arial"/>
                <w:bCs/>
                <w:sz w:val="18"/>
                <w:szCs w:val="18"/>
                <w:lang w:eastAsia="pt-BR"/>
              </w:rPr>
              <w:t>ó</w:t>
            </w:r>
            <w:r w:rsidRPr="00A5490A">
              <w:rPr>
                <w:rFonts w:ascii="Arial" w:eastAsia="Times New Roman" w:hAnsi="Arial" w:cs="Arial"/>
                <w:sz w:val="18"/>
                <w:szCs w:val="18"/>
                <w:lang w:eastAsia="pt-BR"/>
              </w:rPr>
              <w:t>rgão atestando ter tomado conhecimento das conclusões contidas no parecer conclusivo emitido pelo controle interno.</w:t>
            </w:r>
          </w:p>
        </w:tc>
        <w:tc>
          <w:tcPr>
            <w:tcW w:w="992" w:type="dxa"/>
            <w:shd w:val="clear" w:color="auto" w:fill="auto"/>
            <w:vAlign w:val="center"/>
          </w:tcPr>
          <w:p w14:paraId="448982ED" w14:textId="77777777" w:rsidR="003D269C" w:rsidRPr="00A5490A" w:rsidRDefault="00532985" w:rsidP="00A5490A">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3D269C" w:rsidRPr="00A5490A" w14:paraId="1B4BBC62" w14:textId="77777777" w:rsidTr="00CB7C58">
        <w:tc>
          <w:tcPr>
            <w:tcW w:w="1242" w:type="dxa"/>
            <w:vAlign w:val="center"/>
          </w:tcPr>
          <w:p w14:paraId="799C0539" w14:textId="77777777" w:rsidR="003D269C" w:rsidRPr="00A5490A" w:rsidRDefault="003D269C" w:rsidP="00A5490A">
            <w:pPr>
              <w:spacing w:after="0" w:line="240" w:lineRule="auto"/>
              <w:jc w:val="center"/>
              <w:rPr>
                <w:rFonts w:ascii="Arial" w:eastAsia="Times New Roman" w:hAnsi="Arial" w:cs="Arial"/>
                <w:bCs/>
                <w:sz w:val="18"/>
                <w:szCs w:val="18"/>
                <w:lang w:eastAsia="pt-BR"/>
              </w:rPr>
            </w:pPr>
            <w:r w:rsidRPr="00A5490A">
              <w:rPr>
                <w:rFonts w:ascii="Arial" w:eastAsia="Times New Roman" w:hAnsi="Arial" w:cs="Arial"/>
                <w:bCs/>
                <w:sz w:val="18"/>
                <w:szCs w:val="18"/>
                <w:lang w:eastAsia="pt-BR"/>
              </w:rPr>
              <w:t>DEMREN</w:t>
            </w:r>
          </w:p>
        </w:tc>
        <w:tc>
          <w:tcPr>
            <w:tcW w:w="6946" w:type="dxa"/>
            <w:shd w:val="clear" w:color="auto" w:fill="auto"/>
            <w:vAlign w:val="center"/>
          </w:tcPr>
          <w:p w14:paraId="71815084" w14:textId="77777777" w:rsidR="003D269C" w:rsidRPr="00A5490A" w:rsidRDefault="003D269C" w:rsidP="00485139">
            <w:pPr>
              <w:spacing w:before="120" w:after="120" w:line="240" w:lineRule="auto"/>
              <w:jc w:val="both"/>
              <w:rPr>
                <w:rFonts w:ascii="Arial" w:eastAsia="Times New Roman" w:hAnsi="Arial" w:cs="Arial"/>
                <w:bCs/>
                <w:sz w:val="18"/>
                <w:szCs w:val="18"/>
                <w:lang w:eastAsia="pt-BR"/>
              </w:rPr>
            </w:pPr>
            <w:r w:rsidRPr="00A5490A">
              <w:rPr>
                <w:rFonts w:ascii="Arial" w:eastAsia="Times New Roman" w:hAnsi="Arial" w:cs="Arial"/>
                <w:bCs/>
                <w:sz w:val="18"/>
                <w:szCs w:val="18"/>
                <w:lang w:eastAsia="pt-BR"/>
              </w:rPr>
              <w:t>Demonstrativos que expressem as situações dos projetos e instituições beneficiadas por renúncia de receitas, bem como do impacto socioeconômico de suas atividades. (Artigo 136</w:t>
            </w:r>
            <w:r w:rsidRPr="00A5490A">
              <w:rPr>
                <w:rFonts w:ascii="Arial" w:eastAsia="Times New Roman" w:hAnsi="Arial" w:cs="Arial"/>
                <w:sz w:val="18"/>
                <w:szCs w:val="18"/>
                <w:lang w:eastAsia="pt-BR"/>
              </w:rPr>
              <w:t xml:space="preserve"> do RITCEES, aprovado pela Resolução TC nº 261/2013</w:t>
            </w:r>
            <w:r w:rsidRPr="00A5490A">
              <w:rPr>
                <w:rFonts w:ascii="Arial" w:eastAsia="Times New Roman" w:hAnsi="Arial" w:cs="Arial"/>
                <w:bCs/>
                <w:sz w:val="18"/>
                <w:szCs w:val="18"/>
                <w:lang w:eastAsia="pt-BR"/>
              </w:rPr>
              <w:t>)</w:t>
            </w:r>
          </w:p>
        </w:tc>
        <w:tc>
          <w:tcPr>
            <w:tcW w:w="992" w:type="dxa"/>
            <w:shd w:val="clear" w:color="auto" w:fill="auto"/>
            <w:vAlign w:val="center"/>
          </w:tcPr>
          <w:p w14:paraId="08FADF0D" w14:textId="77777777" w:rsidR="003D269C" w:rsidRPr="00A5490A" w:rsidRDefault="00532985" w:rsidP="00A5490A">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3D269C" w:rsidRPr="00A5490A" w14:paraId="02E454CD" w14:textId="77777777" w:rsidTr="00CB7C58">
        <w:tc>
          <w:tcPr>
            <w:tcW w:w="1242" w:type="dxa"/>
            <w:vAlign w:val="center"/>
          </w:tcPr>
          <w:p w14:paraId="4386BA18" w14:textId="77777777" w:rsidR="003D269C" w:rsidRPr="00A5490A" w:rsidRDefault="003D269C" w:rsidP="00A5490A">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BALORC</w:t>
            </w:r>
          </w:p>
        </w:tc>
        <w:tc>
          <w:tcPr>
            <w:tcW w:w="6946" w:type="dxa"/>
            <w:shd w:val="clear" w:color="auto" w:fill="auto"/>
            <w:vAlign w:val="center"/>
          </w:tcPr>
          <w:p w14:paraId="229DF0EE" w14:textId="6BEB6AD0" w:rsidR="003D269C" w:rsidRPr="00A5490A" w:rsidRDefault="003D269C" w:rsidP="00CE57CA">
            <w:p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Balanço Orçamentár</w:t>
            </w:r>
            <w:r w:rsidR="00A76D50">
              <w:rPr>
                <w:rFonts w:ascii="Arial" w:eastAsia="Times New Roman" w:hAnsi="Arial" w:cs="Arial"/>
                <w:sz w:val="18"/>
                <w:szCs w:val="18"/>
                <w:lang w:eastAsia="pt-BR"/>
              </w:rPr>
              <w:t>io (Anexo 12 Lei 4.320/1964)</w:t>
            </w:r>
            <w:r w:rsidRPr="00A5490A">
              <w:rPr>
                <w:rFonts w:ascii="Arial" w:eastAsia="Times New Roman" w:hAnsi="Arial" w:cs="Arial"/>
                <w:sz w:val="18"/>
                <w:szCs w:val="18"/>
                <w:lang w:eastAsia="pt-BR"/>
              </w:rPr>
              <w:t xml:space="preserve"> e outros quadros elucidativos que se fizerem necessários</w:t>
            </w:r>
            <w:r>
              <w:rPr>
                <w:rFonts w:ascii="Arial" w:eastAsia="Times New Roman" w:hAnsi="Arial" w:cs="Arial"/>
                <w:sz w:val="18"/>
                <w:szCs w:val="18"/>
                <w:lang w:eastAsia="pt-BR"/>
              </w:rPr>
              <w:t xml:space="preserve"> </w:t>
            </w:r>
            <w:r w:rsidRPr="00A5490A">
              <w:rPr>
                <w:rFonts w:ascii="Arial" w:eastAsia="Times New Roman" w:hAnsi="Arial" w:cs="Arial"/>
                <w:sz w:val="18"/>
                <w:szCs w:val="18"/>
                <w:lang w:eastAsia="pt-BR"/>
              </w:rPr>
              <w:t>(Artigo 101 da Lei Federal nº 4.320/64)</w:t>
            </w:r>
            <w:r>
              <w:rPr>
                <w:rFonts w:ascii="Arial" w:eastAsia="Times New Roman" w:hAnsi="Arial" w:cs="Arial"/>
                <w:sz w:val="18"/>
                <w:szCs w:val="18"/>
                <w:lang w:eastAsia="pt-BR"/>
              </w:rPr>
              <w:t xml:space="preserve">. </w:t>
            </w:r>
            <w:r w:rsidR="00A76D50" w:rsidRPr="00A76D50">
              <w:rPr>
                <w:rFonts w:ascii="Arial" w:eastAsia="Times New Roman" w:hAnsi="Arial" w:cs="Arial"/>
                <w:sz w:val="18"/>
                <w:szCs w:val="18"/>
                <w:lang w:eastAsia="pt-BR"/>
              </w:rPr>
              <w:t>Este demonstrativo será gerado no mês 13 da prestação de contas mensal e homologado na PCA.</w:t>
            </w:r>
          </w:p>
        </w:tc>
        <w:tc>
          <w:tcPr>
            <w:tcW w:w="992" w:type="dxa"/>
            <w:shd w:val="clear" w:color="auto" w:fill="auto"/>
            <w:vAlign w:val="center"/>
          </w:tcPr>
          <w:p w14:paraId="20309582" w14:textId="19A24E02" w:rsidR="003D269C" w:rsidRPr="00A5490A" w:rsidRDefault="00A76D50" w:rsidP="00A5490A">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w:t>
            </w:r>
          </w:p>
        </w:tc>
      </w:tr>
      <w:tr w:rsidR="003D269C" w:rsidRPr="00A5490A" w14:paraId="4F761E1A" w14:textId="77777777" w:rsidTr="00CB7C58">
        <w:tc>
          <w:tcPr>
            <w:tcW w:w="1242" w:type="dxa"/>
            <w:vAlign w:val="center"/>
          </w:tcPr>
          <w:p w14:paraId="0C95F546" w14:textId="77777777" w:rsidR="003D269C" w:rsidRPr="00A5490A" w:rsidRDefault="003D269C" w:rsidP="00A5490A">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BALFIN</w:t>
            </w:r>
          </w:p>
        </w:tc>
        <w:tc>
          <w:tcPr>
            <w:tcW w:w="6946" w:type="dxa"/>
            <w:shd w:val="clear" w:color="auto" w:fill="auto"/>
            <w:vAlign w:val="center"/>
          </w:tcPr>
          <w:p w14:paraId="6FEF25C4" w14:textId="3ED4BEB8" w:rsidR="003D269C" w:rsidRPr="00A5490A" w:rsidRDefault="003D269C" w:rsidP="004C0490">
            <w:pPr>
              <w:spacing w:before="120" w:after="120" w:line="240" w:lineRule="auto"/>
              <w:jc w:val="both"/>
              <w:rPr>
                <w:rFonts w:ascii="Arial" w:eastAsia="Times New Roman" w:hAnsi="Arial" w:cs="Arial"/>
                <w:sz w:val="18"/>
                <w:szCs w:val="18"/>
                <w:lang w:eastAsia="pt-BR"/>
              </w:rPr>
            </w:pPr>
            <w:r w:rsidRPr="004C0490">
              <w:rPr>
                <w:rFonts w:ascii="Arial" w:eastAsia="Times New Roman" w:hAnsi="Arial" w:cs="Arial"/>
                <w:sz w:val="18"/>
                <w:szCs w:val="18"/>
                <w:lang w:eastAsia="pt-BR"/>
              </w:rPr>
              <w:t>Balanço Financ</w:t>
            </w:r>
            <w:r w:rsidR="004C0490" w:rsidRPr="004C0490">
              <w:rPr>
                <w:rFonts w:ascii="Arial" w:eastAsia="Times New Roman" w:hAnsi="Arial" w:cs="Arial"/>
                <w:sz w:val="18"/>
                <w:szCs w:val="18"/>
                <w:lang w:eastAsia="pt-BR"/>
              </w:rPr>
              <w:t xml:space="preserve">eiro (Anexo 13 Lei 4.320/1964) </w:t>
            </w:r>
            <w:r w:rsidRPr="004C0490">
              <w:rPr>
                <w:rFonts w:ascii="Arial" w:eastAsia="Times New Roman" w:hAnsi="Arial" w:cs="Arial"/>
                <w:sz w:val="18"/>
                <w:szCs w:val="18"/>
                <w:lang w:eastAsia="pt-BR"/>
              </w:rPr>
              <w:t xml:space="preserve">e outros quadros elucidativos que se fizerem necessários (Artigo 101 da Lei Federal nº 4.320/64). </w:t>
            </w:r>
            <w:r w:rsidR="004C0490" w:rsidRPr="004C0490">
              <w:rPr>
                <w:rFonts w:ascii="Arial" w:eastAsia="Times New Roman" w:hAnsi="Arial" w:cs="Arial"/>
                <w:sz w:val="18"/>
                <w:szCs w:val="18"/>
                <w:lang w:eastAsia="pt-BR"/>
              </w:rPr>
              <w:t>Este demonstrativo será gerado no mês 13 da prestação de contas mensal e homologado na PCA.</w:t>
            </w:r>
          </w:p>
        </w:tc>
        <w:tc>
          <w:tcPr>
            <w:tcW w:w="992" w:type="dxa"/>
            <w:shd w:val="clear" w:color="auto" w:fill="auto"/>
            <w:vAlign w:val="center"/>
          </w:tcPr>
          <w:p w14:paraId="4488CEE6" w14:textId="4E20537B" w:rsidR="003D269C" w:rsidRPr="00A5490A" w:rsidRDefault="004C0490" w:rsidP="00485139">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w:t>
            </w:r>
          </w:p>
        </w:tc>
      </w:tr>
      <w:tr w:rsidR="004C0490" w:rsidRPr="004C0490" w14:paraId="6ADBD4DC" w14:textId="77777777" w:rsidTr="00CB7C58">
        <w:tc>
          <w:tcPr>
            <w:tcW w:w="1242" w:type="dxa"/>
            <w:vAlign w:val="center"/>
          </w:tcPr>
          <w:p w14:paraId="016DAF67" w14:textId="77777777" w:rsidR="003D269C" w:rsidRPr="004C0490" w:rsidRDefault="003D269C" w:rsidP="00A5490A">
            <w:pPr>
              <w:spacing w:after="0" w:line="240" w:lineRule="auto"/>
              <w:jc w:val="center"/>
              <w:rPr>
                <w:rFonts w:ascii="Arial" w:eastAsia="Times New Roman" w:hAnsi="Arial" w:cs="Arial"/>
                <w:sz w:val="18"/>
                <w:szCs w:val="18"/>
                <w:lang w:eastAsia="pt-BR"/>
              </w:rPr>
            </w:pPr>
            <w:r w:rsidRPr="004C0490">
              <w:rPr>
                <w:rFonts w:ascii="Arial" w:eastAsia="Times New Roman" w:hAnsi="Arial" w:cs="Arial"/>
                <w:sz w:val="18"/>
                <w:szCs w:val="18"/>
                <w:lang w:eastAsia="pt-BR"/>
              </w:rPr>
              <w:t>BALPAT</w:t>
            </w:r>
          </w:p>
        </w:tc>
        <w:tc>
          <w:tcPr>
            <w:tcW w:w="6946" w:type="dxa"/>
            <w:shd w:val="clear" w:color="auto" w:fill="auto"/>
            <w:vAlign w:val="center"/>
          </w:tcPr>
          <w:p w14:paraId="67EEC1BB" w14:textId="4AAD8226" w:rsidR="003D269C" w:rsidRPr="004C0490" w:rsidRDefault="003D269C" w:rsidP="004C0490">
            <w:pPr>
              <w:spacing w:before="120" w:after="120" w:line="240" w:lineRule="auto"/>
              <w:jc w:val="both"/>
              <w:rPr>
                <w:rFonts w:ascii="Arial" w:eastAsia="Times New Roman" w:hAnsi="Arial" w:cs="Arial"/>
                <w:sz w:val="18"/>
                <w:szCs w:val="18"/>
                <w:lang w:eastAsia="pt-BR"/>
              </w:rPr>
            </w:pPr>
            <w:r w:rsidRPr="004C0490">
              <w:rPr>
                <w:rFonts w:ascii="Arial" w:eastAsia="Times New Roman" w:hAnsi="Arial" w:cs="Arial"/>
                <w:sz w:val="18"/>
                <w:szCs w:val="18"/>
                <w:lang w:eastAsia="pt-BR"/>
              </w:rPr>
              <w:t>Balanço Patrimo</w:t>
            </w:r>
            <w:r w:rsidR="004C0490" w:rsidRPr="004C0490">
              <w:rPr>
                <w:rFonts w:ascii="Arial" w:eastAsia="Times New Roman" w:hAnsi="Arial" w:cs="Arial"/>
                <w:sz w:val="18"/>
                <w:szCs w:val="18"/>
                <w:lang w:eastAsia="pt-BR"/>
              </w:rPr>
              <w:t xml:space="preserve">nial (Anexo 14 Lei 4.320/1964) </w:t>
            </w:r>
            <w:r w:rsidRPr="004C0490">
              <w:rPr>
                <w:rFonts w:ascii="Arial" w:eastAsia="Times New Roman" w:hAnsi="Arial" w:cs="Arial"/>
                <w:sz w:val="18"/>
                <w:szCs w:val="18"/>
                <w:lang w:eastAsia="pt-BR"/>
              </w:rPr>
              <w:t xml:space="preserve">e outros quadros elucidativos que se fizerem necessários (Artigo 101 da Lei Federal nº 4.320/64). </w:t>
            </w:r>
            <w:r w:rsidR="004C0490" w:rsidRPr="004C0490">
              <w:rPr>
                <w:rFonts w:ascii="Arial" w:eastAsia="Times New Roman" w:hAnsi="Arial" w:cs="Arial"/>
                <w:sz w:val="18"/>
                <w:szCs w:val="18"/>
                <w:lang w:eastAsia="pt-BR"/>
              </w:rPr>
              <w:t>Este demonstrativo será gerado no mês 13 da prestação de contas mensal e homologado na PCA.</w:t>
            </w:r>
          </w:p>
        </w:tc>
        <w:tc>
          <w:tcPr>
            <w:tcW w:w="992" w:type="dxa"/>
            <w:shd w:val="clear" w:color="auto" w:fill="auto"/>
            <w:vAlign w:val="center"/>
          </w:tcPr>
          <w:p w14:paraId="4D8B0F6E" w14:textId="174A54D7" w:rsidR="003D269C" w:rsidRPr="004C0490" w:rsidRDefault="004C0490" w:rsidP="00A5490A">
            <w:pPr>
              <w:spacing w:after="0" w:line="240" w:lineRule="auto"/>
              <w:jc w:val="center"/>
              <w:rPr>
                <w:rFonts w:ascii="Arial" w:eastAsia="Times New Roman" w:hAnsi="Arial" w:cs="Arial"/>
                <w:sz w:val="14"/>
                <w:szCs w:val="14"/>
                <w:lang w:eastAsia="pt-BR"/>
              </w:rPr>
            </w:pPr>
            <w:r w:rsidRPr="004C0490">
              <w:rPr>
                <w:rFonts w:ascii="Arial" w:eastAsia="Times New Roman" w:hAnsi="Arial" w:cs="Arial"/>
                <w:sz w:val="14"/>
                <w:szCs w:val="14"/>
                <w:lang w:eastAsia="pt-BR"/>
              </w:rPr>
              <w:t>-</w:t>
            </w:r>
          </w:p>
        </w:tc>
      </w:tr>
      <w:tr w:rsidR="004C0490" w:rsidRPr="004C0490" w14:paraId="1D1B955D" w14:textId="77777777" w:rsidTr="00CB7C58">
        <w:tc>
          <w:tcPr>
            <w:tcW w:w="1242" w:type="dxa"/>
            <w:vAlign w:val="center"/>
          </w:tcPr>
          <w:p w14:paraId="0E81FD54" w14:textId="77777777" w:rsidR="003D269C" w:rsidRPr="004C0490" w:rsidRDefault="003D269C" w:rsidP="00A5490A">
            <w:pPr>
              <w:spacing w:after="0" w:line="240" w:lineRule="auto"/>
              <w:jc w:val="center"/>
              <w:rPr>
                <w:rFonts w:ascii="Arial" w:eastAsia="Times New Roman" w:hAnsi="Arial" w:cs="Arial"/>
                <w:sz w:val="18"/>
                <w:szCs w:val="18"/>
                <w:lang w:eastAsia="pt-BR"/>
              </w:rPr>
            </w:pPr>
            <w:r w:rsidRPr="004C0490">
              <w:rPr>
                <w:rFonts w:ascii="Arial" w:eastAsia="Times New Roman" w:hAnsi="Arial" w:cs="Arial"/>
                <w:sz w:val="18"/>
                <w:szCs w:val="18"/>
                <w:lang w:eastAsia="pt-BR"/>
              </w:rPr>
              <w:t>DEMVAP</w:t>
            </w:r>
          </w:p>
        </w:tc>
        <w:tc>
          <w:tcPr>
            <w:tcW w:w="6946" w:type="dxa"/>
            <w:shd w:val="clear" w:color="auto" w:fill="auto"/>
            <w:vAlign w:val="center"/>
          </w:tcPr>
          <w:p w14:paraId="2BE0274E" w14:textId="7BA4B203" w:rsidR="003D269C" w:rsidRPr="004C0490" w:rsidRDefault="003D269C" w:rsidP="004C0490">
            <w:pPr>
              <w:spacing w:before="120" w:after="120" w:line="240" w:lineRule="auto"/>
              <w:jc w:val="both"/>
              <w:rPr>
                <w:rFonts w:ascii="Arial" w:eastAsia="Times New Roman" w:hAnsi="Arial" w:cs="Arial"/>
                <w:sz w:val="18"/>
                <w:szCs w:val="18"/>
                <w:lang w:eastAsia="pt-BR"/>
              </w:rPr>
            </w:pPr>
            <w:r w:rsidRPr="004C0490">
              <w:rPr>
                <w:rFonts w:ascii="Arial" w:eastAsia="Times New Roman" w:hAnsi="Arial" w:cs="Arial"/>
                <w:sz w:val="18"/>
                <w:szCs w:val="18"/>
                <w:lang w:eastAsia="pt-BR"/>
              </w:rPr>
              <w:t>Demonstração das Variações Patrimo</w:t>
            </w:r>
            <w:r w:rsidR="004C0490" w:rsidRPr="004C0490">
              <w:rPr>
                <w:rFonts w:ascii="Arial" w:eastAsia="Times New Roman" w:hAnsi="Arial" w:cs="Arial"/>
                <w:sz w:val="18"/>
                <w:szCs w:val="18"/>
                <w:lang w:eastAsia="pt-BR"/>
              </w:rPr>
              <w:t xml:space="preserve">niais (Anexo 15 Lei 4.320/1964) </w:t>
            </w:r>
            <w:r w:rsidRPr="004C0490">
              <w:rPr>
                <w:rFonts w:ascii="Arial" w:eastAsia="Times New Roman" w:hAnsi="Arial" w:cs="Arial"/>
                <w:sz w:val="18"/>
                <w:szCs w:val="18"/>
                <w:lang w:eastAsia="pt-BR"/>
              </w:rPr>
              <w:t xml:space="preserve">e outros quadros elucidativos que se fizerem necessários (Artigo 101 da Lei nº 4.320/64). </w:t>
            </w:r>
            <w:r w:rsidR="004C0490" w:rsidRPr="004C0490">
              <w:rPr>
                <w:rFonts w:ascii="Arial" w:eastAsia="Times New Roman" w:hAnsi="Arial" w:cs="Arial"/>
                <w:sz w:val="18"/>
                <w:szCs w:val="18"/>
                <w:lang w:eastAsia="pt-BR"/>
              </w:rPr>
              <w:t>Este demonstrativo será gerado no mês 13 da prestação de contas mensal e homologado na PCA.</w:t>
            </w:r>
          </w:p>
        </w:tc>
        <w:tc>
          <w:tcPr>
            <w:tcW w:w="992" w:type="dxa"/>
            <w:shd w:val="clear" w:color="auto" w:fill="auto"/>
            <w:vAlign w:val="center"/>
          </w:tcPr>
          <w:p w14:paraId="5150A01F" w14:textId="18489185" w:rsidR="003D269C" w:rsidRPr="004C0490" w:rsidRDefault="004C0490" w:rsidP="00A5490A">
            <w:pPr>
              <w:spacing w:after="0" w:line="240" w:lineRule="auto"/>
              <w:jc w:val="center"/>
              <w:rPr>
                <w:rFonts w:ascii="Arial" w:eastAsia="Times New Roman" w:hAnsi="Arial" w:cs="Arial"/>
                <w:sz w:val="14"/>
                <w:szCs w:val="14"/>
                <w:lang w:eastAsia="pt-BR"/>
              </w:rPr>
            </w:pPr>
            <w:r w:rsidRPr="004C0490">
              <w:rPr>
                <w:rFonts w:ascii="Arial" w:eastAsia="Times New Roman" w:hAnsi="Arial" w:cs="Arial"/>
                <w:sz w:val="14"/>
                <w:szCs w:val="14"/>
                <w:lang w:eastAsia="pt-BR"/>
              </w:rPr>
              <w:t>-</w:t>
            </w:r>
          </w:p>
        </w:tc>
      </w:tr>
      <w:tr w:rsidR="0075014C" w:rsidRPr="004C0490" w14:paraId="0AB2A089" w14:textId="77777777" w:rsidTr="00CB7C58">
        <w:tc>
          <w:tcPr>
            <w:tcW w:w="1242" w:type="dxa"/>
            <w:vAlign w:val="center"/>
          </w:tcPr>
          <w:p w14:paraId="0486E394" w14:textId="0C466B13" w:rsidR="0075014C" w:rsidRPr="004C0490" w:rsidRDefault="0075014C" w:rsidP="0075014C">
            <w:pPr>
              <w:spacing w:after="0" w:line="240" w:lineRule="auto"/>
              <w:jc w:val="center"/>
              <w:rPr>
                <w:rFonts w:ascii="Arial" w:eastAsia="Times New Roman" w:hAnsi="Arial" w:cs="Arial"/>
                <w:sz w:val="18"/>
                <w:szCs w:val="18"/>
                <w:lang w:eastAsia="pt-BR"/>
              </w:rPr>
            </w:pPr>
            <w:r w:rsidRPr="004C0490">
              <w:rPr>
                <w:rFonts w:ascii="Arial" w:eastAsia="Times New Roman" w:hAnsi="Arial" w:cs="Arial"/>
                <w:sz w:val="18"/>
                <w:szCs w:val="18"/>
                <w:lang w:eastAsia="pt-BR"/>
              </w:rPr>
              <w:t>BALVER-ANUAL</w:t>
            </w:r>
          </w:p>
        </w:tc>
        <w:tc>
          <w:tcPr>
            <w:tcW w:w="6946" w:type="dxa"/>
            <w:shd w:val="clear" w:color="auto" w:fill="auto"/>
            <w:vAlign w:val="center"/>
          </w:tcPr>
          <w:p w14:paraId="45D562BC" w14:textId="048679C5" w:rsidR="0075014C" w:rsidRPr="004C0490" w:rsidRDefault="0075014C" w:rsidP="0075014C">
            <w:pPr>
              <w:spacing w:before="120" w:after="120" w:line="240" w:lineRule="auto"/>
              <w:jc w:val="both"/>
              <w:rPr>
                <w:rFonts w:ascii="Arial" w:eastAsia="Times New Roman" w:hAnsi="Arial" w:cs="Arial"/>
                <w:sz w:val="18"/>
                <w:szCs w:val="18"/>
                <w:lang w:eastAsia="pt-BR"/>
              </w:rPr>
            </w:pPr>
            <w:r w:rsidRPr="004C0490">
              <w:rPr>
                <w:rFonts w:ascii="Arial" w:eastAsia="Times New Roman" w:hAnsi="Arial" w:cs="Arial"/>
                <w:sz w:val="18"/>
                <w:szCs w:val="18"/>
                <w:lang w:eastAsia="pt-BR"/>
              </w:rPr>
              <w:t>Balancete de veri</w:t>
            </w:r>
            <w:r w:rsidRPr="004C0490">
              <w:rPr>
                <w:rFonts w:ascii="Arial" w:hAnsi="Arial" w:cs="Arial"/>
                <w:sz w:val="18"/>
                <w:szCs w:val="18"/>
              </w:rPr>
              <w:t>ficação</w:t>
            </w:r>
            <w:r w:rsidRPr="004C0490">
              <w:rPr>
                <w:rFonts w:ascii="Arial" w:eastAsia="Times New Roman" w:hAnsi="Arial" w:cs="Arial"/>
                <w:sz w:val="18"/>
                <w:szCs w:val="18"/>
                <w:lang w:eastAsia="pt-BR"/>
              </w:rPr>
              <w:t>, com saldos acumulados no exercício, detalhado até o nível de conta contábil de lançamento, abrangendo todas as contas contábeis com movimentação no exercício, segregadas por natureza da informação patrimonial, orçamentária e de controle, informando o saldo anterior, o total a débito, o total a crédito e o saldo final. Este balancete será gerado e homologado no mês 13 da prestação de contas mensal.</w:t>
            </w:r>
          </w:p>
        </w:tc>
        <w:tc>
          <w:tcPr>
            <w:tcW w:w="992" w:type="dxa"/>
            <w:shd w:val="clear" w:color="auto" w:fill="auto"/>
            <w:vAlign w:val="center"/>
          </w:tcPr>
          <w:p w14:paraId="26399916" w14:textId="35FA2115" w:rsidR="0075014C" w:rsidRPr="004C0490" w:rsidRDefault="0075014C" w:rsidP="0075014C">
            <w:pPr>
              <w:spacing w:after="0" w:line="240" w:lineRule="auto"/>
              <w:jc w:val="center"/>
              <w:rPr>
                <w:rFonts w:ascii="Arial" w:eastAsia="Times New Roman" w:hAnsi="Arial" w:cs="Arial"/>
                <w:sz w:val="14"/>
                <w:szCs w:val="14"/>
                <w:lang w:eastAsia="pt-BR"/>
              </w:rPr>
            </w:pPr>
            <w:r w:rsidRPr="004C0490">
              <w:rPr>
                <w:rFonts w:ascii="Arial" w:eastAsia="Times New Roman" w:hAnsi="Arial" w:cs="Arial"/>
                <w:sz w:val="14"/>
                <w:szCs w:val="14"/>
                <w:lang w:eastAsia="pt-BR"/>
              </w:rPr>
              <w:t>-</w:t>
            </w:r>
          </w:p>
        </w:tc>
      </w:tr>
      <w:tr w:rsidR="0075014C" w:rsidRPr="002227B1" w14:paraId="1C8CAF32" w14:textId="77777777" w:rsidTr="00CB7C58">
        <w:tc>
          <w:tcPr>
            <w:tcW w:w="1242" w:type="dxa"/>
            <w:vAlign w:val="center"/>
          </w:tcPr>
          <w:p w14:paraId="45AC28EC" w14:textId="57D3E40A" w:rsidR="0075014C" w:rsidRPr="002227B1" w:rsidRDefault="0075014C" w:rsidP="0075014C">
            <w:pPr>
              <w:spacing w:after="0" w:line="240" w:lineRule="auto"/>
              <w:jc w:val="center"/>
              <w:rPr>
                <w:rFonts w:ascii="Arial" w:eastAsia="Times New Roman" w:hAnsi="Arial" w:cs="Arial"/>
                <w:sz w:val="18"/>
                <w:szCs w:val="18"/>
                <w:lang w:eastAsia="pt-BR"/>
              </w:rPr>
            </w:pPr>
            <w:r w:rsidRPr="002227B1">
              <w:rPr>
                <w:rFonts w:ascii="Arial" w:eastAsia="Times New Roman" w:hAnsi="Arial" w:cs="Arial"/>
                <w:sz w:val="18"/>
                <w:szCs w:val="18"/>
                <w:lang w:eastAsia="pt-BR"/>
              </w:rPr>
              <w:lastRenderedPageBreak/>
              <w:t>BALEXOR</w:t>
            </w:r>
          </w:p>
        </w:tc>
        <w:tc>
          <w:tcPr>
            <w:tcW w:w="6946" w:type="dxa"/>
            <w:shd w:val="clear" w:color="auto" w:fill="auto"/>
            <w:vAlign w:val="center"/>
          </w:tcPr>
          <w:p w14:paraId="78AAB6BB" w14:textId="6A0B2CCD" w:rsidR="0075014C" w:rsidRPr="002227B1" w:rsidRDefault="00C13825" w:rsidP="00C13825">
            <w:pPr>
              <w:spacing w:before="120" w:after="120" w:line="240" w:lineRule="auto"/>
              <w:jc w:val="both"/>
              <w:rPr>
                <w:rFonts w:ascii="Arial" w:eastAsia="Times New Roman" w:hAnsi="Arial" w:cs="Arial"/>
                <w:sz w:val="18"/>
                <w:szCs w:val="18"/>
                <w:lang w:eastAsia="pt-BR"/>
              </w:rPr>
            </w:pPr>
            <w:r w:rsidRPr="002227B1">
              <w:rPr>
                <w:rFonts w:ascii="Arial" w:eastAsia="Times New Roman" w:hAnsi="Arial" w:cs="Arial"/>
                <w:sz w:val="18"/>
                <w:szCs w:val="18"/>
                <w:lang w:eastAsia="pt-BR"/>
              </w:rPr>
              <w:t>Balancete da execução orçamentária da receita, acumulado até o mês de dezembro, demonstrando a previsão inicial, a previsão atualizada, a arrecadação orçamentária e a fonte de recursos. Este balancete será gerado e homologado no mês 12 da prestação de contas mensal.</w:t>
            </w:r>
          </w:p>
        </w:tc>
        <w:tc>
          <w:tcPr>
            <w:tcW w:w="992" w:type="dxa"/>
            <w:shd w:val="clear" w:color="auto" w:fill="auto"/>
            <w:vAlign w:val="center"/>
          </w:tcPr>
          <w:p w14:paraId="48310B56" w14:textId="148786BD" w:rsidR="0075014C" w:rsidRPr="002227B1" w:rsidRDefault="0075014C" w:rsidP="0075014C">
            <w:pPr>
              <w:spacing w:after="0" w:line="240" w:lineRule="auto"/>
              <w:jc w:val="center"/>
              <w:rPr>
                <w:rFonts w:ascii="Arial" w:eastAsia="Times New Roman" w:hAnsi="Arial" w:cs="Arial"/>
                <w:sz w:val="14"/>
                <w:szCs w:val="14"/>
                <w:lang w:eastAsia="pt-BR"/>
              </w:rPr>
            </w:pPr>
            <w:r w:rsidRPr="002227B1">
              <w:rPr>
                <w:rFonts w:ascii="Arial" w:eastAsia="Times New Roman" w:hAnsi="Arial" w:cs="Arial"/>
                <w:sz w:val="14"/>
                <w:szCs w:val="14"/>
                <w:lang w:eastAsia="pt-BR"/>
              </w:rPr>
              <w:t>-</w:t>
            </w:r>
          </w:p>
        </w:tc>
      </w:tr>
      <w:tr w:rsidR="0075014C" w:rsidRPr="002227B1" w14:paraId="09C6C07A" w14:textId="77777777" w:rsidTr="00CB7C58">
        <w:tc>
          <w:tcPr>
            <w:tcW w:w="1242" w:type="dxa"/>
            <w:vAlign w:val="center"/>
          </w:tcPr>
          <w:p w14:paraId="0ED99E23" w14:textId="2E48C7EB" w:rsidR="0075014C" w:rsidRPr="002227B1" w:rsidRDefault="0075014C" w:rsidP="0075014C">
            <w:pPr>
              <w:spacing w:after="0" w:line="240" w:lineRule="auto"/>
              <w:jc w:val="center"/>
              <w:rPr>
                <w:rFonts w:ascii="Arial" w:eastAsia="Times New Roman" w:hAnsi="Arial" w:cs="Arial"/>
                <w:sz w:val="18"/>
                <w:szCs w:val="18"/>
                <w:lang w:eastAsia="pt-BR"/>
              </w:rPr>
            </w:pPr>
            <w:r w:rsidRPr="002227B1">
              <w:rPr>
                <w:rFonts w:ascii="Arial" w:eastAsia="Times New Roman" w:hAnsi="Arial" w:cs="Arial"/>
                <w:sz w:val="18"/>
                <w:szCs w:val="18"/>
                <w:lang w:eastAsia="pt-BR"/>
              </w:rPr>
              <w:t>BALEXOD</w:t>
            </w:r>
          </w:p>
        </w:tc>
        <w:tc>
          <w:tcPr>
            <w:tcW w:w="6946" w:type="dxa"/>
            <w:shd w:val="clear" w:color="auto" w:fill="auto"/>
            <w:vAlign w:val="center"/>
          </w:tcPr>
          <w:p w14:paraId="4D945D96" w14:textId="6CED3E62" w:rsidR="0075014C" w:rsidRPr="002227B1" w:rsidRDefault="00C13825" w:rsidP="0075014C">
            <w:pPr>
              <w:spacing w:before="120" w:after="120" w:line="240" w:lineRule="auto"/>
              <w:jc w:val="both"/>
              <w:rPr>
                <w:rFonts w:ascii="Arial" w:eastAsia="Times New Roman" w:hAnsi="Arial" w:cs="Arial"/>
                <w:sz w:val="18"/>
                <w:szCs w:val="18"/>
                <w:lang w:eastAsia="pt-BR"/>
              </w:rPr>
            </w:pPr>
            <w:r w:rsidRPr="002227B1">
              <w:rPr>
                <w:rFonts w:ascii="Arial" w:eastAsia="Times New Roman" w:hAnsi="Arial" w:cs="Arial"/>
                <w:sz w:val="18"/>
                <w:szCs w:val="18"/>
                <w:lang w:eastAsia="pt-BR"/>
              </w:rPr>
              <w:t>Balancete da execução orçamentária da despesa, acumulado até o mês de dezembro, demonstrando a fixação orçamentária da despesa, a movimentação dos créditos adicionais, os valores empenhados, liquidados e pagos, e a fonte de recursos. Este balancete será gerado e homologado no mês 12 da prestação de contas mensal.</w:t>
            </w:r>
          </w:p>
        </w:tc>
        <w:tc>
          <w:tcPr>
            <w:tcW w:w="992" w:type="dxa"/>
            <w:shd w:val="clear" w:color="auto" w:fill="auto"/>
            <w:vAlign w:val="center"/>
          </w:tcPr>
          <w:p w14:paraId="4FD71829" w14:textId="27A2067E" w:rsidR="0075014C" w:rsidRPr="002227B1" w:rsidRDefault="0075014C" w:rsidP="0075014C">
            <w:pPr>
              <w:spacing w:after="0" w:line="240" w:lineRule="auto"/>
              <w:jc w:val="center"/>
              <w:rPr>
                <w:rFonts w:ascii="Arial" w:eastAsia="Times New Roman" w:hAnsi="Arial" w:cs="Arial"/>
                <w:sz w:val="14"/>
                <w:szCs w:val="14"/>
                <w:lang w:eastAsia="pt-BR"/>
              </w:rPr>
            </w:pPr>
            <w:r w:rsidRPr="002227B1">
              <w:rPr>
                <w:rFonts w:ascii="Arial" w:eastAsia="Times New Roman" w:hAnsi="Arial" w:cs="Arial"/>
                <w:sz w:val="14"/>
                <w:szCs w:val="14"/>
                <w:lang w:eastAsia="pt-BR"/>
              </w:rPr>
              <w:t>-</w:t>
            </w:r>
          </w:p>
        </w:tc>
      </w:tr>
      <w:tr w:rsidR="003D269C" w:rsidRPr="00A5490A" w14:paraId="03774AF5" w14:textId="77777777" w:rsidTr="00CB7C58">
        <w:tc>
          <w:tcPr>
            <w:tcW w:w="1242" w:type="dxa"/>
            <w:vAlign w:val="center"/>
          </w:tcPr>
          <w:p w14:paraId="463DCAEE" w14:textId="77777777" w:rsidR="003D269C" w:rsidRPr="003D269C" w:rsidRDefault="003D269C" w:rsidP="00A47BF4">
            <w:pPr>
              <w:spacing w:after="0" w:line="240" w:lineRule="auto"/>
              <w:jc w:val="center"/>
              <w:rPr>
                <w:rFonts w:ascii="Arial" w:eastAsia="Times New Roman" w:hAnsi="Arial" w:cs="Arial"/>
                <w:sz w:val="18"/>
                <w:szCs w:val="18"/>
                <w:lang w:eastAsia="pt-BR"/>
              </w:rPr>
            </w:pPr>
            <w:r w:rsidRPr="003D269C">
              <w:rPr>
                <w:rFonts w:ascii="Arial" w:eastAsia="Times New Roman" w:hAnsi="Arial" w:cs="Arial"/>
                <w:sz w:val="18"/>
                <w:szCs w:val="18"/>
                <w:lang w:eastAsia="pt-BR"/>
              </w:rPr>
              <w:t>DEMDIFD</w:t>
            </w:r>
          </w:p>
        </w:tc>
        <w:tc>
          <w:tcPr>
            <w:tcW w:w="6946" w:type="dxa"/>
            <w:shd w:val="clear" w:color="auto" w:fill="auto"/>
            <w:vAlign w:val="center"/>
          </w:tcPr>
          <w:p w14:paraId="4B9EE480" w14:textId="03A8E344" w:rsidR="003D269C" w:rsidRPr="003D269C" w:rsidRDefault="003D269C" w:rsidP="0099420C">
            <w:pPr>
              <w:spacing w:before="120" w:after="120" w:line="240" w:lineRule="auto"/>
              <w:jc w:val="both"/>
              <w:rPr>
                <w:rFonts w:ascii="Arial" w:eastAsia="Times New Roman" w:hAnsi="Arial" w:cs="Arial"/>
                <w:sz w:val="18"/>
                <w:szCs w:val="18"/>
                <w:lang w:eastAsia="pt-BR"/>
              </w:rPr>
            </w:pPr>
            <w:r w:rsidRPr="003D269C">
              <w:rPr>
                <w:rFonts w:ascii="Arial" w:eastAsia="Times New Roman" w:hAnsi="Arial" w:cs="Arial"/>
                <w:sz w:val="18"/>
                <w:szCs w:val="18"/>
                <w:lang w:eastAsia="pt-BR"/>
              </w:rPr>
              <w:t xml:space="preserve">Demonstrativo da Dívida Fundada (Anexo 16 Lei 4.320/1964), acompanhado de notas explicativas e outros quadros elucidativos que se fizerem necessários. (Artigo 101 da Lei Federal nº 4.320/64). Estrutura e layout constantes do item </w:t>
            </w:r>
            <w:r w:rsidR="0099420C">
              <w:rPr>
                <w:rFonts w:ascii="Arial" w:eastAsia="Times New Roman" w:hAnsi="Arial" w:cs="Arial"/>
                <w:sz w:val="18"/>
                <w:szCs w:val="18"/>
                <w:lang w:eastAsia="pt-BR"/>
              </w:rPr>
              <w:t>3.1</w:t>
            </w:r>
            <w:r w:rsidRPr="003D269C">
              <w:rPr>
                <w:rFonts w:ascii="Arial" w:eastAsia="Times New Roman" w:hAnsi="Arial" w:cs="Arial"/>
                <w:sz w:val="18"/>
                <w:szCs w:val="18"/>
                <w:lang w:eastAsia="pt-BR"/>
              </w:rPr>
              <w:t xml:space="preserve"> deste Anexo</w:t>
            </w:r>
          </w:p>
        </w:tc>
        <w:tc>
          <w:tcPr>
            <w:tcW w:w="992" w:type="dxa"/>
            <w:shd w:val="clear" w:color="auto" w:fill="auto"/>
            <w:vAlign w:val="center"/>
          </w:tcPr>
          <w:p w14:paraId="29B0ECC0" w14:textId="77777777" w:rsidR="003D269C" w:rsidRPr="003D269C" w:rsidRDefault="003D269C" w:rsidP="00A47BF4">
            <w:pPr>
              <w:spacing w:after="0" w:line="240" w:lineRule="auto"/>
              <w:jc w:val="center"/>
              <w:rPr>
                <w:rFonts w:ascii="Arial" w:eastAsia="Times New Roman" w:hAnsi="Arial" w:cs="Arial"/>
                <w:sz w:val="14"/>
                <w:szCs w:val="14"/>
                <w:lang w:eastAsia="pt-BR"/>
              </w:rPr>
            </w:pPr>
            <w:r w:rsidRPr="003D269C">
              <w:rPr>
                <w:rFonts w:ascii="Arial" w:eastAsia="Times New Roman" w:hAnsi="Arial" w:cs="Arial"/>
                <w:sz w:val="14"/>
                <w:szCs w:val="14"/>
                <w:lang w:eastAsia="pt-BR"/>
              </w:rPr>
              <w:t>XML</w:t>
            </w:r>
          </w:p>
        </w:tc>
      </w:tr>
      <w:tr w:rsidR="003D269C" w:rsidRPr="00A5490A" w14:paraId="2185120F" w14:textId="77777777" w:rsidTr="00CB7C58">
        <w:tc>
          <w:tcPr>
            <w:tcW w:w="1242" w:type="dxa"/>
            <w:vAlign w:val="center"/>
          </w:tcPr>
          <w:p w14:paraId="12835E3E" w14:textId="77777777" w:rsidR="003D269C" w:rsidRPr="003D269C" w:rsidRDefault="003D269C" w:rsidP="005409FD">
            <w:pPr>
              <w:spacing w:after="0" w:line="240" w:lineRule="auto"/>
              <w:jc w:val="center"/>
              <w:rPr>
                <w:rFonts w:ascii="Arial" w:eastAsia="Times New Roman" w:hAnsi="Arial" w:cs="Arial"/>
                <w:sz w:val="18"/>
                <w:szCs w:val="18"/>
                <w:lang w:eastAsia="pt-BR"/>
              </w:rPr>
            </w:pPr>
            <w:r w:rsidRPr="003D269C">
              <w:rPr>
                <w:rFonts w:ascii="Arial" w:eastAsia="Times New Roman" w:hAnsi="Arial" w:cs="Arial"/>
                <w:sz w:val="18"/>
                <w:szCs w:val="18"/>
                <w:lang w:eastAsia="pt-BR"/>
              </w:rPr>
              <w:t>DEMDFLT</w:t>
            </w:r>
          </w:p>
        </w:tc>
        <w:tc>
          <w:tcPr>
            <w:tcW w:w="6946" w:type="dxa"/>
            <w:shd w:val="clear" w:color="auto" w:fill="auto"/>
            <w:vAlign w:val="center"/>
          </w:tcPr>
          <w:p w14:paraId="54C31DB4" w14:textId="04D5180D" w:rsidR="003D269C" w:rsidRPr="003D269C" w:rsidRDefault="003D269C" w:rsidP="0099420C">
            <w:pPr>
              <w:spacing w:before="120" w:after="120" w:line="240" w:lineRule="auto"/>
              <w:jc w:val="both"/>
              <w:rPr>
                <w:rFonts w:ascii="Arial" w:eastAsia="Times New Roman" w:hAnsi="Arial" w:cs="Arial"/>
                <w:sz w:val="18"/>
                <w:szCs w:val="18"/>
                <w:lang w:eastAsia="pt-BR"/>
              </w:rPr>
            </w:pPr>
            <w:r w:rsidRPr="003D269C">
              <w:rPr>
                <w:rFonts w:ascii="Arial" w:eastAsia="Times New Roman" w:hAnsi="Arial" w:cs="Arial"/>
                <w:sz w:val="18"/>
                <w:szCs w:val="18"/>
                <w:lang w:eastAsia="pt-BR"/>
              </w:rPr>
              <w:t xml:space="preserve">Demonstrativo da Dívida Flutuante (Anexo 17 Lei 4.320/1964), acompanhado de notas explicativas e outros quadros elucidativos que se fizerem necessários. (Artigo 101 da Lei Federal nº 4.320/64). Estrutura e layout constantes do item </w:t>
            </w:r>
            <w:r w:rsidR="0099420C">
              <w:rPr>
                <w:rFonts w:ascii="Arial" w:eastAsia="Times New Roman" w:hAnsi="Arial" w:cs="Arial"/>
                <w:sz w:val="18"/>
                <w:szCs w:val="18"/>
                <w:lang w:eastAsia="pt-BR"/>
              </w:rPr>
              <w:t>3.1</w:t>
            </w:r>
            <w:r w:rsidRPr="003D269C">
              <w:rPr>
                <w:rFonts w:ascii="Arial" w:eastAsia="Times New Roman" w:hAnsi="Arial" w:cs="Arial"/>
                <w:sz w:val="18"/>
                <w:szCs w:val="18"/>
                <w:lang w:eastAsia="pt-BR"/>
              </w:rPr>
              <w:t xml:space="preserve"> deste Anexo</w:t>
            </w:r>
          </w:p>
        </w:tc>
        <w:tc>
          <w:tcPr>
            <w:tcW w:w="992" w:type="dxa"/>
            <w:shd w:val="clear" w:color="auto" w:fill="auto"/>
            <w:vAlign w:val="center"/>
          </w:tcPr>
          <w:p w14:paraId="5C577089" w14:textId="77777777" w:rsidR="003D269C" w:rsidRPr="003D269C" w:rsidRDefault="003D269C" w:rsidP="005409FD">
            <w:pPr>
              <w:spacing w:after="0" w:line="240" w:lineRule="auto"/>
              <w:jc w:val="center"/>
              <w:rPr>
                <w:rFonts w:ascii="Arial" w:eastAsia="Times New Roman" w:hAnsi="Arial" w:cs="Arial"/>
                <w:sz w:val="14"/>
                <w:szCs w:val="14"/>
                <w:lang w:eastAsia="pt-BR"/>
              </w:rPr>
            </w:pPr>
            <w:r w:rsidRPr="003D269C">
              <w:rPr>
                <w:rFonts w:ascii="Arial" w:eastAsia="Times New Roman" w:hAnsi="Arial" w:cs="Arial"/>
                <w:sz w:val="14"/>
                <w:szCs w:val="14"/>
                <w:lang w:eastAsia="pt-BR"/>
              </w:rPr>
              <w:t>XML</w:t>
            </w:r>
          </w:p>
        </w:tc>
      </w:tr>
      <w:tr w:rsidR="003D269C" w:rsidRPr="00A5490A" w14:paraId="51527F45" w14:textId="77777777" w:rsidTr="00CB7C58">
        <w:tc>
          <w:tcPr>
            <w:tcW w:w="1242" w:type="dxa"/>
            <w:vAlign w:val="center"/>
          </w:tcPr>
          <w:p w14:paraId="09129E92" w14:textId="77777777" w:rsidR="003D269C" w:rsidRPr="00A5490A" w:rsidRDefault="003D269C" w:rsidP="00A5490A">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DEMFCA</w:t>
            </w:r>
          </w:p>
        </w:tc>
        <w:tc>
          <w:tcPr>
            <w:tcW w:w="6946" w:type="dxa"/>
            <w:shd w:val="clear" w:color="auto" w:fill="auto"/>
            <w:vAlign w:val="center"/>
          </w:tcPr>
          <w:p w14:paraId="2A5A07B4" w14:textId="77777777" w:rsidR="003D269C" w:rsidRPr="00A5490A" w:rsidRDefault="003D269C" w:rsidP="00485139">
            <w:p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Demonstração dos Fluxos de Caixa – DFC (Parte V do Manual de Contabilidade Aplicado ao Setor Público – MCASP)</w:t>
            </w:r>
            <w:r>
              <w:rPr>
                <w:rFonts w:ascii="Arial" w:eastAsia="Times New Roman" w:hAnsi="Arial" w:cs="Arial"/>
                <w:sz w:val="18"/>
                <w:szCs w:val="18"/>
                <w:lang w:eastAsia="pt-BR"/>
              </w:rPr>
              <w:t xml:space="preserve">, </w:t>
            </w:r>
            <w:r w:rsidRPr="00A5490A">
              <w:rPr>
                <w:rFonts w:ascii="Arial" w:eastAsia="Times New Roman" w:hAnsi="Arial" w:cs="Arial"/>
                <w:sz w:val="18"/>
                <w:szCs w:val="18"/>
                <w:lang w:eastAsia="pt-BR"/>
              </w:rPr>
              <w:t>acompanhad</w:t>
            </w:r>
            <w:r>
              <w:rPr>
                <w:rFonts w:ascii="Arial" w:eastAsia="Times New Roman" w:hAnsi="Arial" w:cs="Arial"/>
                <w:sz w:val="18"/>
                <w:szCs w:val="18"/>
                <w:lang w:eastAsia="pt-BR"/>
              </w:rPr>
              <w:t>a</w:t>
            </w:r>
            <w:r w:rsidRPr="00A5490A">
              <w:rPr>
                <w:rFonts w:ascii="Arial" w:eastAsia="Times New Roman" w:hAnsi="Arial" w:cs="Arial"/>
                <w:sz w:val="18"/>
                <w:szCs w:val="18"/>
                <w:lang w:eastAsia="pt-BR"/>
              </w:rPr>
              <w:t xml:space="preserve"> de notas explicativas e outros quadros elucidativos que se fizerem necessários. (Resolução CFC nº 1.1</w:t>
            </w:r>
            <w:r>
              <w:rPr>
                <w:rFonts w:ascii="Arial" w:eastAsia="Times New Roman" w:hAnsi="Arial" w:cs="Arial"/>
                <w:sz w:val="18"/>
                <w:szCs w:val="18"/>
                <w:lang w:eastAsia="pt-BR"/>
              </w:rPr>
              <w:t>33</w:t>
            </w:r>
            <w:r w:rsidRPr="00A5490A">
              <w:rPr>
                <w:rFonts w:ascii="Arial" w:eastAsia="Times New Roman" w:hAnsi="Arial" w:cs="Arial"/>
                <w:sz w:val="18"/>
                <w:szCs w:val="18"/>
                <w:lang w:eastAsia="pt-BR"/>
              </w:rPr>
              <w:t>/2008 - NBC T 16</w:t>
            </w:r>
            <w:r>
              <w:rPr>
                <w:rFonts w:ascii="Arial" w:eastAsia="Times New Roman" w:hAnsi="Arial" w:cs="Arial"/>
                <w:sz w:val="18"/>
                <w:szCs w:val="18"/>
                <w:lang w:eastAsia="pt-BR"/>
              </w:rPr>
              <w:t>.6</w:t>
            </w:r>
            <w:r w:rsidRPr="00A5490A">
              <w:rPr>
                <w:rFonts w:ascii="Arial" w:eastAsia="Times New Roman" w:hAnsi="Arial" w:cs="Arial"/>
                <w:sz w:val="18"/>
                <w:szCs w:val="18"/>
                <w:lang w:eastAsia="pt-BR"/>
              </w:rPr>
              <w:t xml:space="preserve"> c/c Portaria STN nº 7</w:t>
            </w:r>
            <w:r>
              <w:rPr>
                <w:rFonts w:ascii="Arial" w:eastAsia="Times New Roman" w:hAnsi="Arial" w:cs="Arial"/>
                <w:sz w:val="18"/>
                <w:szCs w:val="18"/>
                <w:lang w:eastAsia="pt-BR"/>
              </w:rPr>
              <w:t>00</w:t>
            </w:r>
            <w:r w:rsidRPr="00A5490A">
              <w:rPr>
                <w:rFonts w:ascii="Arial" w:eastAsia="Times New Roman" w:hAnsi="Arial" w:cs="Arial"/>
                <w:sz w:val="18"/>
                <w:szCs w:val="18"/>
                <w:lang w:eastAsia="pt-BR"/>
              </w:rPr>
              <w:t>/201</w:t>
            </w:r>
            <w:r>
              <w:rPr>
                <w:rFonts w:ascii="Arial" w:eastAsia="Times New Roman" w:hAnsi="Arial" w:cs="Arial"/>
                <w:sz w:val="18"/>
                <w:szCs w:val="18"/>
                <w:lang w:eastAsia="pt-BR"/>
              </w:rPr>
              <w:t>4</w:t>
            </w:r>
            <w:r w:rsidRPr="00A5490A">
              <w:rPr>
                <w:rFonts w:ascii="Arial" w:eastAsia="Times New Roman" w:hAnsi="Arial" w:cs="Arial"/>
                <w:sz w:val="18"/>
                <w:szCs w:val="18"/>
                <w:lang w:eastAsia="pt-BR"/>
              </w:rPr>
              <w:t>)</w:t>
            </w:r>
          </w:p>
        </w:tc>
        <w:tc>
          <w:tcPr>
            <w:tcW w:w="992" w:type="dxa"/>
            <w:shd w:val="clear" w:color="auto" w:fill="auto"/>
            <w:vAlign w:val="center"/>
          </w:tcPr>
          <w:p w14:paraId="5AE654DD" w14:textId="77777777" w:rsidR="003D269C" w:rsidRPr="00A5490A" w:rsidRDefault="00532985" w:rsidP="00A5490A">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3D269C" w:rsidRPr="00A5490A" w14:paraId="5EFFDA52" w14:textId="77777777" w:rsidTr="00CB7C58">
        <w:trPr>
          <w:trHeight w:val="283"/>
        </w:trPr>
        <w:tc>
          <w:tcPr>
            <w:tcW w:w="1242" w:type="dxa"/>
            <w:vAlign w:val="center"/>
          </w:tcPr>
          <w:p w14:paraId="64E963DD" w14:textId="77777777" w:rsidR="003D269C" w:rsidRPr="00B6188E" w:rsidRDefault="003D269C" w:rsidP="00A5490A">
            <w:pPr>
              <w:spacing w:after="0" w:line="240" w:lineRule="auto"/>
              <w:jc w:val="center"/>
              <w:rPr>
                <w:rFonts w:ascii="Arial" w:eastAsia="Times New Roman" w:hAnsi="Arial" w:cs="Arial"/>
                <w:sz w:val="18"/>
                <w:szCs w:val="18"/>
                <w:lang w:eastAsia="pt-BR"/>
              </w:rPr>
            </w:pPr>
            <w:r w:rsidRPr="00B6188E">
              <w:rPr>
                <w:rFonts w:ascii="Arial" w:eastAsia="Times New Roman" w:hAnsi="Arial" w:cs="Arial"/>
                <w:sz w:val="18"/>
                <w:szCs w:val="18"/>
                <w:lang w:eastAsia="pt-BR"/>
              </w:rPr>
              <w:t>INVMOV</w:t>
            </w:r>
          </w:p>
        </w:tc>
        <w:tc>
          <w:tcPr>
            <w:tcW w:w="6946" w:type="dxa"/>
            <w:shd w:val="clear" w:color="auto" w:fill="auto"/>
            <w:vAlign w:val="center"/>
          </w:tcPr>
          <w:p w14:paraId="68A90168" w14:textId="48CC98F0" w:rsidR="003D269C" w:rsidRPr="00B6188E" w:rsidRDefault="003D269C" w:rsidP="0099420C">
            <w:pPr>
              <w:pStyle w:val="Default"/>
              <w:spacing w:before="120" w:after="120"/>
              <w:jc w:val="both"/>
              <w:rPr>
                <w:rFonts w:eastAsia="Times New Roman"/>
                <w:color w:val="auto"/>
                <w:sz w:val="18"/>
                <w:szCs w:val="18"/>
                <w:lang w:eastAsia="pt-BR"/>
              </w:rPr>
            </w:pPr>
            <w:r w:rsidRPr="00B6188E">
              <w:rPr>
                <w:rFonts w:eastAsia="Times New Roman"/>
                <w:color w:val="auto"/>
                <w:sz w:val="18"/>
                <w:szCs w:val="18"/>
                <w:lang w:eastAsia="pt-BR"/>
              </w:rPr>
              <w:t xml:space="preserve">Inventário anual dos bens móveis, conforme layout constante do </w:t>
            </w:r>
            <w:r>
              <w:rPr>
                <w:rFonts w:eastAsia="Times New Roman"/>
                <w:color w:val="auto"/>
                <w:sz w:val="18"/>
                <w:szCs w:val="18"/>
                <w:lang w:eastAsia="pt-BR"/>
              </w:rPr>
              <w:t xml:space="preserve">item </w:t>
            </w:r>
            <w:r w:rsidR="0099420C">
              <w:rPr>
                <w:rFonts w:eastAsia="Times New Roman"/>
                <w:color w:val="auto"/>
                <w:sz w:val="18"/>
                <w:szCs w:val="18"/>
                <w:lang w:eastAsia="pt-BR"/>
              </w:rPr>
              <w:t>3.1</w:t>
            </w:r>
            <w:r>
              <w:rPr>
                <w:rFonts w:eastAsia="Times New Roman"/>
                <w:color w:val="auto"/>
                <w:sz w:val="18"/>
                <w:szCs w:val="18"/>
                <w:lang w:eastAsia="pt-BR"/>
              </w:rPr>
              <w:t xml:space="preserve"> deste </w:t>
            </w:r>
            <w:r w:rsidRPr="00B6188E">
              <w:rPr>
                <w:rFonts w:eastAsia="Times New Roman"/>
                <w:color w:val="auto"/>
                <w:sz w:val="18"/>
                <w:szCs w:val="18"/>
                <w:lang w:eastAsia="pt-BR"/>
              </w:rPr>
              <w:t>Anexo.</w:t>
            </w:r>
          </w:p>
        </w:tc>
        <w:tc>
          <w:tcPr>
            <w:tcW w:w="992" w:type="dxa"/>
            <w:shd w:val="clear" w:color="auto" w:fill="auto"/>
            <w:vAlign w:val="center"/>
          </w:tcPr>
          <w:p w14:paraId="36A7D0BE" w14:textId="77777777" w:rsidR="003D269C" w:rsidRPr="00B6188E" w:rsidRDefault="003D269C" w:rsidP="0044337A">
            <w:pPr>
              <w:spacing w:after="0" w:line="240" w:lineRule="auto"/>
              <w:jc w:val="center"/>
              <w:rPr>
                <w:rFonts w:ascii="Arial" w:eastAsia="Times New Roman" w:hAnsi="Arial" w:cs="Arial"/>
                <w:sz w:val="14"/>
                <w:szCs w:val="14"/>
                <w:lang w:eastAsia="pt-BR"/>
              </w:rPr>
            </w:pPr>
            <w:r w:rsidRPr="00B6188E">
              <w:rPr>
                <w:rFonts w:ascii="Arial" w:eastAsia="Times New Roman" w:hAnsi="Arial" w:cs="Arial"/>
                <w:sz w:val="14"/>
                <w:szCs w:val="14"/>
                <w:lang w:eastAsia="pt-BR"/>
              </w:rPr>
              <w:t>XML</w:t>
            </w:r>
          </w:p>
        </w:tc>
      </w:tr>
      <w:tr w:rsidR="00A308E4" w:rsidRPr="00A308E4" w14:paraId="3203880F" w14:textId="77777777" w:rsidTr="00CB7C58">
        <w:trPr>
          <w:trHeight w:val="454"/>
        </w:trPr>
        <w:tc>
          <w:tcPr>
            <w:tcW w:w="1242" w:type="dxa"/>
            <w:vAlign w:val="center"/>
          </w:tcPr>
          <w:p w14:paraId="186758B4" w14:textId="77777777" w:rsidR="003D269C" w:rsidRPr="00A308E4" w:rsidRDefault="003D269C" w:rsidP="00B6188E">
            <w:pPr>
              <w:spacing w:after="0" w:line="240" w:lineRule="auto"/>
              <w:jc w:val="center"/>
              <w:rPr>
                <w:rFonts w:ascii="Arial" w:eastAsia="Times New Roman" w:hAnsi="Arial" w:cs="Arial"/>
                <w:sz w:val="18"/>
                <w:szCs w:val="18"/>
                <w:lang w:eastAsia="pt-BR"/>
              </w:rPr>
            </w:pPr>
            <w:r w:rsidRPr="00A308E4">
              <w:rPr>
                <w:rFonts w:ascii="Arial" w:eastAsia="Times New Roman" w:hAnsi="Arial" w:cs="Arial"/>
                <w:sz w:val="18"/>
                <w:szCs w:val="18"/>
                <w:lang w:eastAsia="pt-BR"/>
              </w:rPr>
              <w:t>TERMOV</w:t>
            </w:r>
          </w:p>
        </w:tc>
        <w:tc>
          <w:tcPr>
            <w:tcW w:w="6946" w:type="dxa"/>
            <w:shd w:val="clear" w:color="auto" w:fill="auto"/>
            <w:vAlign w:val="center"/>
          </w:tcPr>
          <w:p w14:paraId="4FC2ADDB" w14:textId="082BDD14" w:rsidR="003D269C" w:rsidRPr="00A308E4" w:rsidRDefault="003D269C" w:rsidP="00B24335">
            <w:pPr>
              <w:spacing w:before="120" w:after="120" w:line="240" w:lineRule="auto"/>
              <w:jc w:val="both"/>
              <w:rPr>
                <w:rFonts w:ascii="Arial" w:eastAsia="Times New Roman" w:hAnsi="Arial" w:cs="Arial"/>
                <w:sz w:val="18"/>
                <w:szCs w:val="18"/>
                <w:lang w:eastAsia="pt-BR"/>
              </w:rPr>
            </w:pPr>
            <w:r w:rsidRPr="00A308E4">
              <w:rPr>
                <w:rFonts w:ascii="Arial" w:eastAsia="Times New Roman" w:hAnsi="Arial" w:cs="Arial"/>
                <w:sz w:val="18"/>
                <w:szCs w:val="18"/>
                <w:lang w:eastAsia="pt-BR"/>
              </w:rPr>
              <w:t>Termo circunstanciado elaborado e assinado pela comissão responsável pelo Inventário Anual de Bens Móveis (INVMOV), indicando o saldo total apurado e o detalhamento (especificação e valo</w:t>
            </w:r>
            <w:r w:rsidR="00B24335" w:rsidRPr="00A308E4">
              <w:rPr>
                <w:rFonts w:ascii="Arial" w:eastAsia="Times New Roman" w:hAnsi="Arial" w:cs="Arial"/>
                <w:sz w:val="18"/>
                <w:szCs w:val="18"/>
                <w:lang w:eastAsia="pt-BR"/>
              </w:rPr>
              <w:t xml:space="preserve">r) das divergências encontradas, na forma </w:t>
            </w:r>
            <w:r w:rsidR="00A308E4" w:rsidRPr="00A308E4">
              <w:rPr>
                <w:rFonts w:ascii="Arial" w:eastAsia="Times New Roman" w:hAnsi="Arial" w:cs="Arial"/>
                <w:sz w:val="18"/>
                <w:szCs w:val="18"/>
                <w:lang w:eastAsia="pt-BR"/>
              </w:rPr>
              <w:t>do item 3.2 deste Anexo.</w:t>
            </w:r>
          </w:p>
        </w:tc>
        <w:tc>
          <w:tcPr>
            <w:tcW w:w="992" w:type="dxa"/>
            <w:shd w:val="clear" w:color="auto" w:fill="auto"/>
            <w:vAlign w:val="center"/>
          </w:tcPr>
          <w:p w14:paraId="7A949ACC" w14:textId="77777777" w:rsidR="003D269C" w:rsidRPr="00A308E4" w:rsidRDefault="00532985" w:rsidP="00A5490A">
            <w:pPr>
              <w:spacing w:after="0" w:line="240" w:lineRule="auto"/>
              <w:jc w:val="center"/>
              <w:rPr>
                <w:rFonts w:ascii="Arial" w:eastAsia="Times New Roman" w:hAnsi="Arial" w:cs="Arial"/>
                <w:sz w:val="14"/>
                <w:szCs w:val="14"/>
                <w:lang w:eastAsia="pt-BR"/>
              </w:rPr>
            </w:pPr>
            <w:r w:rsidRPr="00A308E4">
              <w:rPr>
                <w:rFonts w:ascii="Arial" w:eastAsia="Times New Roman" w:hAnsi="Arial" w:cs="Arial"/>
                <w:sz w:val="14"/>
                <w:szCs w:val="14"/>
                <w:lang w:eastAsia="pt-BR"/>
              </w:rPr>
              <w:t>PDF</w:t>
            </w:r>
          </w:p>
        </w:tc>
      </w:tr>
      <w:tr w:rsidR="003D269C" w:rsidRPr="00A5490A" w14:paraId="683F9663" w14:textId="77777777" w:rsidTr="00CB7C58">
        <w:trPr>
          <w:trHeight w:val="454"/>
        </w:trPr>
        <w:tc>
          <w:tcPr>
            <w:tcW w:w="1242" w:type="dxa"/>
            <w:vAlign w:val="center"/>
          </w:tcPr>
          <w:p w14:paraId="02C01210" w14:textId="77777777" w:rsidR="003B5FC4" w:rsidRDefault="003B5FC4" w:rsidP="00886723">
            <w:pPr>
              <w:spacing w:after="0" w:line="240" w:lineRule="auto"/>
              <w:jc w:val="center"/>
              <w:rPr>
                <w:rFonts w:ascii="Arial" w:eastAsia="Times New Roman" w:hAnsi="Arial" w:cs="Arial"/>
                <w:sz w:val="18"/>
                <w:szCs w:val="18"/>
                <w:lang w:eastAsia="pt-BR"/>
              </w:rPr>
            </w:pPr>
          </w:p>
          <w:p w14:paraId="1D81A9F6" w14:textId="77777777" w:rsidR="003D269C" w:rsidRPr="00B6188E" w:rsidRDefault="003D269C" w:rsidP="00886723">
            <w:pPr>
              <w:spacing w:after="0" w:line="240" w:lineRule="auto"/>
              <w:jc w:val="center"/>
              <w:rPr>
                <w:rFonts w:ascii="Arial" w:eastAsia="Times New Roman" w:hAnsi="Arial" w:cs="Arial"/>
                <w:sz w:val="18"/>
                <w:szCs w:val="18"/>
                <w:lang w:eastAsia="pt-BR"/>
              </w:rPr>
            </w:pPr>
            <w:r w:rsidRPr="00B6188E">
              <w:rPr>
                <w:rFonts w:ascii="Arial" w:eastAsia="Times New Roman" w:hAnsi="Arial" w:cs="Arial"/>
                <w:sz w:val="18"/>
                <w:szCs w:val="18"/>
                <w:lang w:eastAsia="pt-BR"/>
              </w:rPr>
              <w:t>INVIMO</w:t>
            </w:r>
          </w:p>
        </w:tc>
        <w:tc>
          <w:tcPr>
            <w:tcW w:w="6946" w:type="dxa"/>
            <w:shd w:val="clear" w:color="auto" w:fill="auto"/>
            <w:vAlign w:val="center"/>
          </w:tcPr>
          <w:p w14:paraId="1261F40D" w14:textId="1254EFD5" w:rsidR="003D269C" w:rsidRPr="00B6188E" w:rsidRDefault="003D269C" w:rsidP="0099420C">
            <w:pPr>
              <w:spacing w:before="120" w:after="120" w:line="240" w:lineRule="auto"/>
              <w:jc w:val="both"/>
              <w:rPr>
                <w:rFonts w:eastAsia="Times New Roman"/>
                <w:sz w:val="18"/>
                <w:szCs w:val="18"/>
                <w:lang w:eastAsia="pt-BR"/>
              </w:rPr>
            </w:pPr>
            <w:r w:rsidRPr="00B6188E">
              <w:rPr>
                <w:rFonts w:ascii="Arial" w:eastAsia="Times New Roman" w:hAnsi="Arial" w:cs="Arial"/>
                <w:sz w:val="18"/>
                <w:szCs w:val="18"/>
                <w:lang w:eastAsia="pt-BR"/>
              </w:rPr>
              <w:t xml:space="preserve">Inventário anual dos bens imóveis, conforme layout constante do </w:t>
            </w:r>
            <w:r>
              <w:rPr>
                <w:rFonts w:ascii="Arial" w:eastAsia="Times New Roman" w:hAnsi="Arial" w:cs="Arial"/>
                <w:sz w:val="18"/>
                <w:szCs w:val="18"/>
                <w:lang w:eastAsia="pt-BR"/>
              </w:rPr>
              <w:t xml:space="preserve">item </w:t>
            </w:r>
            <w:r w:rsidR="0099420C">
              <w:rPr>
                <w:rFonts w:ascii="Arial" w:eastAsia="Times New Roman" w:hAnsi="Arial" w:cs="Arial"/>
                <w:sz w:val="18"/>
                <w:szCs w:val="18"/>
                <w:lang w:eastAsia="pt-BR"/>
              </w:rPr>
              <w:t>3.1</w:t>
            </w:r>
            <w:r>
              <w:rPr>
                <w:rFonts w:ascii="Arial" w:eastAsia="Times New Roman" w:hAnsi="Arial" w:cs="Arial"/>
                <w:sz w:val="18"/>
                <w:szCs w:val="18"/>
                <w:lang w:eastAsia="pt-BR"/>
              </w:rPr>
              <w:t xml:space="preserve"> deste </w:t>
            </w:r>
            <w:r w:rsidRPr="00B6188E">
              <w:rPr>
                <w:rFonts w:ascii="Arial" w:eastAsia="Times New Roman" w:hAnsi="Arial" w:cs="Arial"/>
                <w:sz w:val="18"/>
                <w:szCs w:val="18"/>
                <w:lang w:eastAsia="pt-BR"/>
              </w:rPr>
              <w:t>Anexo</w:t>
            </w:r>
            <w:r>
              <w:rPr>
                <w:rFonts w:ascii="Arial" w:eastAsia="Times New Roman" w:hAnsi="Arial" w:cs="Arial"/>
                <w:sz w:val="18"/>
                <w:szCs w:val="18"/>
                <w:lang w:eastAsia="pt-BR"/>
              </w:rPr>
              <w:t>.</w:t>
            </w:r>
          </w:p>
        </w:tc>
        <w:tc>
          <w:tcPr>
            <w:tcW w:w="992" w:type="dxa"/>
            <w:shd w:val="clear" w:color="auto" w:fill="auto"/>
            <w:vAlign w:val="center"/>
          </w:tcPr>
          <w:p w14:paraId="52DC4B3F" w14:textId="77777777" w:rsidR="003D269C" w:rsidRPr="00B6188E" w:rsidRDefault="003D269C" w:rsidP="00886723">
            <w:pPr>
              <w:spacing w:after="0" w:line="240" w:lineRule="auto"/>
              <w:jc w:val="center"/>
              <w:rPr>
                <w:rFonts w:ascii="Arial" w:eastAsia="Times New Roman" w:hAnsi="Arial" w:cs="Arial"/>
                <w:sz w:val="14"/>
                <w:szCs w:val="14"/>
                <w:lang w:eastAsia="pt-BR"/>
              </w:rPr>
            </w:pPr>
            <w:r w:rsidRPr="00B6188E">
              <w:rPr>
                <w:rFonts w:ascii="Arial" w:eastAsia="Times New Roman" w:hAnsi="Arial" w:cs="Arial"/>
                <w:sz w:val="14"/>
                <w:szCs w:val="14"/>
                <w:lang w:eastAsia="pt-BR"/>
              </w:rPr>
              <w:t>XML</w:t>
            </w:r>
          </w:p>
        </w:tc>
      </w:tr>
      <w:tr w:rsidR="00A308E4" w:rsidRPr="00A308E4" w14:paraId="310BC2E9" w14:textId="77777777" w:rsidTr="00CB7C58">
        <w:trPr>
          <w:trHeight w:val="454"/>
        </w:trPr>
        <w:tc>
          <w:tcPr>
            <w:tcW w:w="1242" w:type="dxa"/>
            <w:vAlign w:val="center"/>
          </w:tcPr>
          <w:p w14:paraId="6A794062" w14:textId="77777777" w:rsidR="003D269C" w:rsidRPr="00A308E4" w:rsidRDefault="003D269C" w:rsidP="00B6188E">
            <w:pPr>
              <w:spacing w:after="0" w:line="240" w:lineRule="auto"/>
              <w:jc w:val="center"/>
              <w:rPr>
                <w:rFonts w:ascii="Arial" w:eastAsia="Times New Roman" w:hAnsi="Arial" w:cs="Arial"/>
                <w:sz w:val="18"/>
                <w:szCs w:val="18"/>
                <w:lang w:eastAsia="pt-BR"/>
              </w:rPr>
            </w:pPr>
            <w:r w:rsidRPr="00A308E4">
              <w:rPr>
                <w:rFonts w:ascii="Arial" w:eastAsia="Times New Roman" w:hAnsi="Arial" w:cs="Arial"/>
                <w:sz w:val="18"/>
                <w:szCs w:val="18"/>
                <w:lang w:eastAsia="pt-BR"/>
              </w:rPr>
              <w:t>TERIMO</w:t>
            </w:r>
          </w:p>
        </w:tc>
        <w:tc>
          <w:tcPr>
            <w:tcW w:w="6946" w:type="dxa"/>
            <w:shd w:val="clear" w:color="auto" w:fill="auto"/>
            <w:vAlign w:val="center"/>
          </w:tcPr>
          <w:p w14:paraId="48A7E96F" w14:textId="3B71CD2A" w:rsidR="003D269C" w:rsidRPr="00A308E4" w:rsidRDefault="003D269C" w:rsidP="00A308E4">
            <w:pPr>
              <w:spacing w:before="120" w:after="120" w:line="240" w:lineRule="auto"/>
              <w:jc w:val="both"/>
              <w:rPr>
                <w:rFonts w:ascii="Arial" w:eastAsia="Times New Roman" w:hAnsi="Arial" w:cs="Arial"/>
                <w:sz w:val="18"/>
                <w:szCs w:val="18"/>
                <w:lang w:eastAsia="pt-BR"/>
              </w:rPr>
            </w:pPr>
            <w:r w:rsidRPr="00A308E4">
              <w:rPr>
                <w:rFonts w:ascii="Arial" w:eastAsia="Times New Roman" w:hAnsi="Arial" w:cs="Arial"/>
                <w:sz w:val="18"/>
                <w:szCs w:val="18"/>
                <w:lang w:eastAsia="pt-BR"/>
              </w:rPr>
              <w:t>Termo circunstanciado elaborado e assinado pela comissão responsável pelo Inventário anual dos bens imóveis (INVIMO), indicando o saldo total apurado e o detalhamento (especificação e valor) das divergências encontradas</w:t>
            </w:r>
            <w:r w:rsidR="00B24335" w:rsidRPr="00A308E4">
              <w:rPr>
                <w:rFonts w:ascii="Arial" w:eastAsia="Times New Roman" w:hAnsi="Arial" w:cs="Arial"/>
                <w:sz w:val="18"/>
                <w:szCs w:val="18"/>
                <w:lang w:eastAsia="pt-BR"/>
              </w:rPr>
              <w:t xml:space="preserve">, na forma </w:t>
            </w:r>
            <w:r w:rsidR="00A308E4" w:rsidRPr="00A308E4">
              <w:rPr>
                <w:rFonts w:ascii="Arial" w:eastAsia="Times New Roman" w:hAnsi="Arial" w:cs="Arial"/>
                <w:sz w:val="18"/>
                <w:szCs w:val="18"/>
                <w:lang w:eastAsia="pt-BR"/>
              </w:rPr>
              <w:t>do item 3.2 deste Anexo.</w:t>
            </w:r>
          </w:p>
        </w:tc>
        <w:tc>
          <w:tcPr>
            <w:tcW w:w="992" w:type="dxa"/>
            <w:shd w:val="clear" w:color="auto" w:fill="auto"/>
            <w:vAlign w:val="center"/>
          </w:tcPr>
          <w:p w14:paraId="6CB32E80" w14:textId="77777777" w:rsidR="003D269C" w:rsidRPr="00A308E4" w:rsidRDefault="00532985" w:rsidP="00886723">
            <w:pPr>
              <w:spacing w:after="0" w:line="240" w:lineRule="auto"/>
              <w:jc w:val="center"/>
              <w:rPr>
                <w:rFonts w:ascii="Arial" w:eastAsia="Times New Roman" w:hAnsi="Arial" w:cs="Arial"/>
                <w:sz w:val="14"/>
                <w:szCs w:val="14"/>
                <w:lang w:eastAsia="pt-BR"/>
              </w:rPr>
            </w:pPr>
            <w:r w:rsidRPr="00A308E4">
              <w:rPr>
                <w:rFonts w:ascii="Arial" w:eastAsia="Times New Roman" w:hAnsi="Arial" w:cs="Arial"/>
                <w:sz w:val="14"/>
                <w:szCs w:val="14"/>
                <w:lang w:eastAsia="pt-BR"/>
              </w:rPr>
              <w:t>PDF</w:t>
            </w:r>
          </w:p>
        </w:tc>
      </w:tr>
      <w:tr w:rsidR="003D269C" w:rsidRPr="00A5490A" w14:paraId="78B754EE" w14:textId="77777777" w:rsidTr="00CB7C58">
        <w:trPr>
          <w:trHeight w:val="454"/>
        </w:trPr>
        <w:tc>
          <w:tcPr>
            <w:tcW w:w="1242" w:type="dxa"/>
            <w:vAlign w:val="center"/>
          </w:tcPr>
          <w:p w14:paraId="31AF42DC" w14:textId="77777777" w:rsidR="003D269C" w:rsidRPr="00B6188E" w:rsidRDefault="003D269C" w:rsidP="00886723">
            <w:pPr>
              <w:spacing w:after="0" w:line="240" w:lineRule="auto"/>
              <w:jc w:val="center"/>
              <w:rPr>
                <w:rFonts w:ascii="Arial" w:eastAsia="Times New Roman" w:hAnsi="Arial" w:cs="Arial"/>
                <w:sz w:val="18"/>
                <w:szCs w:val="18"/>
                <w:lang w:eastAsia="pt-BR"/>
              </w:rPr>
            </w:pPr>
            <w:r w:rsidRPr="00B6188E">
              <w:rPr>
                <w:rFonts w:ascii="Arial" w:eastAsia="Times New Roman" w:hAnsi="Arial" w:cs="Arial"/>
                <w:sz w:val="18"/>
                <w:szCs w:val="18"/>
                <w:lang w:eastAsia="pt-BR"/>
              </w:rPr>
              <w:t>INVALM</w:t>
            </w:r>
          </w:p>
        </w:tc>
        <w:tc>
          <w:tcPr>
            <w:tcW w:w="6946" w:type="dxa"/>
            <w:shd w:val="clear" w:color="auto" w:fill="auto"/>
            <w:vAlign w:val="center"/>
          </w:tcPr>
          <w:p w14:paraId="2BA4C9BD" w14:textId="65E52A5F" w:rsidR="003D269C" w:rsidRPr="00B6188E" w:rsidRDefault="003D269C" w:rsidP="0099420C">
            <w:pPr>
              <w:spacing w:before="120" w:after="120" w:line="240" w:lineRule="auto"/>
              <w:jc w:val="both"/>
              <w:rPr>
                <w:rFonts w:ascii="Arial" w:eastAsia="Times New Roman" w:hAnsi="Arial" w:cs="Arial"/>
                <w:sz w:val="18"/>
                <w:szCs w:val="18"/>
                <w:lang w:eastAsia="pt-BR"/>
              </w:rPr>
            </w:pPr>
            <w:r w:rsidRPr="00B6188E">
              <w:rPr>
                <w:rFonts w:ascii="Arial" w:eastAsia="Times New Roman" w:hAnsi="Arial" w:cs="Arial"/>
                <w:sz w:val="18"/>
                <w:szCs w:val="18"/>
                <w:lang w:eastAsia="pt-BR"/>
              </w:rPr>
              <w:t xml:space="preserve">Inventário anual dos bens em almoxarifado, conforme layout constante do </w:t>
            </w:r>
            <w:r>
              <w:rPr>
                <w:rFonts w:ascii="Arial" w:eastAsia="Times New Roman" w:hAnsi="Arial" w:cs="Arial"/>
                <w:sz w:val="18"/>
                <w:szCs w:val="18"/>
                <w:lang w:eastAsia="pt-BR"/>
              </w:rPr>
              <w:t xml:space="preserve">item </w:t>
            </w:r>
            <w:r w:rsidR="0099420C">
              <w:rPr>
                <w:rFonts w:ascii="Arial" w:eastAsia="Times New Roman" w:hAnsi="Arial" w:cs="Arial"/>
                <w:sz w:val="18"/>
                <w:szCs w:val="18"/>
                <w:lang w:eastAsia="pt-BR"/>
              </w:rPr>
              <w:t>3.1</w:t>
            </w:r>
            <w:r>
              <w:rPr>
                <w:rFonts w:ascii="Arial" w:eastAsia="Times New Roman" w:hAnsi="Arial" w:cs="Arial"/>
                <w:sz w:val="18"/>
                <w:szCs w:val="18"/>
                <w:lang w:eastAsia="pt-BR"/>
              </w:rPr>
              <w:t xml:space="preserve"> deste </w:t>
            </w:r>
            <w:r w:rsidRPr="00B6188E">
              <w:rPr>
                <w:rFonts w:ascii="Arial" w:eastAsia="Times New Roman" w:hAnsi="Arial" w:cs="Arial"/>
                <w:sz w:val="18"/>
                <w:szCs w:val="18"/>
                <w:lang w:eastAsia="pt-BR"/>
              </w:rPr>
              <w:t>Anexo.</w:t>
            </w:r>
          </w:p>
        </w:tc>
        <w:tc>
          <w:tcPr>
            <w:tcW w:w="992" w:type="dxa"/>
            <w:shd w:val="clear" w:color="auto" w:fill="auto"/>
            <w:vAlign w:val="center"/>
          </w:tcPr>
          <w:p w14:paraId="6BDC2D00" w14:textId="77777777" w:rsidR="003D269C" w:rsidRPr="00B6188E" w:rsidRDefault="003D269C" w:rsidP="00C165C0">
            <w:pPr>
              <w:spacing w:after="0" w:line="240" w:lineRule="auto"/>
              <w:jc w:val="center"/>
              <w:rPr>
                <w:rFonts w:ascii="Arial" w:eastAsia="Times New Roman" w:hAnsi="Arial" w:cs="Arial"/>
                <w:sz w:val="14"/>
                <w:szCs w:val="14"/>
                <w:lang w:eastAsia="pt-BR"/>
              </w:rPr>
            </w:pPr>
            <w:r w:rsidRPr="00B6188E">
              <w:rPr>
                <w:rFonts w:ascii="Arial" w:eastAsia="Times New Roman" w:hAnsi="Arial" w:cs="Arial"/>
                <w:sz w:val="14"/>
                <w:szCs w:val="14"/>
                <w:lang w:eastAsia="pt-BR"/>
              </w:rPr>
              <w:t>XML</w:t>
            </w:r>
          </w:p>
        </w:tc>
      </w:tr>
      <w:tr w:rsidR="00A308E4" w:rsidRPr="00A308E4" w14:paraId="0E772491" w14:textId="77777777" w:rsidTr="00CB7C58">
        <w:trPr>
          <w:trHeight w:val="454"/>
        </w:trPr>
        <w:tc>
          <w:tcPr>
            <w:tcW w:w="1242" w:type="dxa"/>
            <w:vAlign w:val="center"/>
          </w:tcPr>
          <w:p w14:paraId="2C421916" w14:textId="77777777" w:rsidR="003D269C" w:rsidRPr="00A308E4" w:rsidRDefault="003D269C" w:rsidP="00B6188E">
            <w:pPr>
              <w:spacing w:after="0" w:line="240" w:lineRule="auto"/>
              <w:jc w:val="center"/>
              <w:rPr>
                <w:rFonts w:ascii="Arial" w:eastAsia="Times New Roman" w:hAnsi="Arial" w:cs="Arial"/>
                <w:sz w:val="18"/>
                <w:szCs w:val="18"/>
                <w:lang w:eastAsia="pt-BR"/>
              </w:rPr>
            </w:pPr>
            <w:r w:rsidRPr="00A308E4">
              <w:rPr>
                <w:rFonts w:ascii="Arial" w:eastAsia="Times New Roman" w:hAnsi="Arial" w:cs="Arial"/>
                <w:sz w:val="18"/>
                <w:szCs w:val="18"/>
                <w:lang w:eastAsia="pt-BR"/>
              </w:rPr>
              <w:t>TERALM</w:t>
            </w:r>
          </w:p>
        </w:tc>
        <w:tc>
          <w:tcPr>
            <w:tcW w:w="6946" w:type="dxa"/>
            <w:shd w:val="clear" w:color="auto" w:fill="auto"/>
            <w:vAlign w:val="center"/>
          </w:tcPr>
          <w:p w14:paraId="7EC926BF" w14:textId="207B1154" w:rsidR="003D269C" w:rsidRPr="00A308E4" w:rsidRDefault="003D269C" w:rsidP="006E7A2F">
            <w:pPr>
              <w:spacing w:before="120" w:after="120" w:line="240" w:lineRule="auto"/>
              <w:jc w:val="both"/>
              <w:rPr>
                <w:rFonts w:ascii="Arial" w:eastAsia="Times New Roman" w:hAnsi="Arial" w:cs="Arial"/>
                <w:sz w:val="18"/>
                <w:szCs w:val="18"/>
                <w:lang w:eastAsia="pt-BR"/>
              </w:rPr>
            </w:pPr>
            <w:r w:rsidRPr="00A308E4">
              <w:rPr>
                <w:rFonts w:ascii="Arial" w:eastAsia="Times New Roman" w:hAnsi="Arial" w:cs="Arial"/>
                <w:sz w:val="18"/>
                <w:szCs w:val="18"/>
                <w:lang w:eastAsia="pt-BR"/>
              </w:rPr>
              <w:t>Termo circunstanciado elaborado e assinado pela comissão responsável pelo Inventário anual dos bens em almoxarifado (INVALM), indicando o saldo total apurado e o detalhamento (especificação e valor) das divergências encontradas</w:t>
            </w:r>
            <w:r w:rsidR="00A308E4" w:rsidRPr="00A308E4">
              <w:rPr>
                <w:rFonts w:ascii="Arial" w:eastAsia="Times New Roman" w:hAnsi="Arial" w:cs="Arial"/>
                <w:sz w:val="18"/>
                <w:szCs w:val="18"/>
                <w:lang w:eastAsia="pt-BR"/>
              </w:rPr>
              <w:t>, na forma do item 3.2 deste Anexo.</w:t>
            </w:r>
          </w:p>
        </w:tc>
        <w:tc>
          <w:tcPr>
            <w:tcW w:w="992" w:type="dxa"/>
            <w:shd w:val="clear" w:color="auto" w:fill="auto"/>
            <w:vAlign w:val="center"/>
          </w:tcPr>
          <w:p w14:paraId="05E071B7" w14:textId="77777777" w:rsidR="003D269C" w:rsidRPr="00A308E4" w:rsidRDefault="00532985" w:rsidP="00886723">
            <w:pPr>
              <w:spacing w:after="0" w:line="240" w:lineRule="auto"/>
              <w:jc w:val="center"/>
              <w:rPr>
                <w:rFonts w:ascii="Arial" w:eastAsia="Times New Roman" w:hAnsi="Arial" w:cs="Arial"/>
                <w:sz w:val="14"/>
                <w:szCs w:val="14"/>
                <w:lang w:eastAsia="pt-BR"/>
              </w:rPr>
            </w:pPr>
            <w:r w:rsidRPr="00A308E4">
              <w:rPr>
                <w:rFonts w:ascii="Arial" w:eastAsia="Times New Roman" w:hAnsi="Arial" w:cs="Arial"/>
                <w:sz w:val="14"/>
                <w:szCs w:val="14"/>
                <w:lang w:eastAsia="pt-BR"/>
              </w:rPr>
              <w:t>PDF</w:t>
            </w:r>
          </w:p>
        </w:tc>
      </w:tr>
      <w:tr w:rsidR="003D269C" w:rsidRPr="00A5490A" w14:paraId="07614A42" w14:textId="77777777" w:rsidTr="00CB7C58">
        <w:trPr>
          <w:trHeight w:val="454"/>
        </w:trPr>
        <w:tc>
          <w:tcPr>
            <w:tcW w:w="1242" w:type="dxa"/>
            <w:vAlign w:val="center"/>
          </w:tcPr>
          <w:p w14:paraId="217E68B3" w14:textId="77777777" w:rsidR="003D269C" w:rsidRPr="00B6188E" w:rsidRDefault="003D269C" w:rsidP="00886723">
            <w:pPr>
              <w:spacing w:after="0" w:line="240" w:lineRule="auto"/>
              <w:jc w:val="center"/>
              <w:rPr>
                <w:rFonts w:ascii="Arial" w:eastAsia="Times New Roman" w:hAnsi="Arial" w:cs="Arial"/>
                <w:sz w:val="18"/>
                <w:szCs w:val="18"/>
                <w:lang w:eastAsia="pt-BR"/>
              </w:rPr>
            </w:pPr>
            <w:r w:rsidRPr="00B6188E">
              <w:rPr>
                <w:rFonts w:ascii="Arial" w:eastAsia="Times New Roman" w:hAnsi="Arial" w:cs="Arial"/>
                <w:sz w:val="18"/>
                <w:szCs w:val="18"/>
                <w:lang w:eastAsia="pt-BR"/>
              </w:rPr>
              <w:t>INVINT</w:t>
            </w:r>
          </w:p>
        </w:tc>
        <w:tc>
          <w:tcPr>
            <w:tcW w:w="6946" w:type="dxa"/>
            <w:shd w:val="clear" w:color="auto" w:fill="auto"/>
            <w:vAlign w:val="center"/>
          </w:tcPr>
          <w:p w14:paraId="09834DC2" w14:textId="766ECD2F" w:rsidR="003D269C" w:rsidRPr="00B6188E" w:rsidRDefault="003D269C" w:rsidP="0099420C">
            <w:pPr>
              <w:pStyle w:val="Default"/>
              <w:spacing w:before="120" w:after="120"/>
              <w:jc w:val="both"/>
              <w:rPr>
                <w:rFonts w:eastAsia="Times New Roman"/>
                <w:color w:val="auto"/>
                <w:sz w:val="18"/>
                <w:szCs w:val="18"/>
                <w:lang w:eastAsia="pt-BR"/>
              </w:rPr>
            </w:pPr>
            <w:r w:rsidRPr="00B6188E">
              <w:rPr>
                <w:rFonts w:eastAsia="Times New Roman"/>
                <w:color w:val="auto"/>
                <w:sz w:val="18"/>
                <w:szCs w:val="18"/>
                <w:lang w:eastAsia="pt-BR"/>
              </w:rPr>
              <w:t xml:space="preserve">Inventário anual dos bens intangíveis, conforme layout </w:t>
            </w:r>
            <w:r w:rsidR="0099420C" w:rsidRPr="00B6188E">
              <w:rPr>
                <w:rFonts w:eastAsia="Times New Roman"/>
                <w:sz w:val="18"/>
                <w:szCs w:val="18"/>
                <w:lang w:eastAsia="pt-BR"/>
              </w:rPr>
              <w:t xml:space="preserve">constante do </w:t>
            </w:r>
            <w:r w:rsidR="0099420C">
              <w:rPr>
                <w:rFonts w:eastAsia="Times New Roman"/>
                <w:sz w:val="18"/>
                <w:szCs w:val="18"/>
                <w:lang w:eastAsia="pt-BR"/>
              </w:rPr>
              <w:t xml:space="preserve">item 3.1 deste </w:t>
            </w:r>
            <w:r w:rsidR="0099420C" w:rsidRPr="00B6188E">
              <w:rPr>
                <w:rFonts w:eastAsia="Times New Roman"/>
                <w:sz w:val="18"/>
                <w:szCs w:val="18"/>
                <w:lang w:eastAsia="pt-BR"/>
              </w:rPr>
              <w:t>Anexo.</w:t>
            </w:r>
          </w:p>
        </w:tc>
        <w:tc>
          <w:tcPr>
            <w:tcW w:w="992" w:type="dxa"/>
            <w:shd w:val="clear" w:color="auto" w:fill="auto"/>
            <w:vAlign w:val="center"/>
          </w:tcPr>
          <w:p w14:paraId="0D4ABDD5" w14:textId="77777777" w:rsidR="003D269C" w:rsidRPr="00B6188E" w:rsidRDefault="003D269C" w:rsidP="00886723">
            <w:pPr>
              <w:spacing w:after="0" w:line="240" w:lineRule="auto"/>
              <w:jc w:val="center"/>
              <w:rPr>
                <w:rFonts w:ascii="Arial" w:eastAsia="Times New Roman" w:hAnsi="Arial" w:cs="Arial"/>
                <w:sz w:val="14"/>
                <w:szCs w:val="14"/>
                <w:lang w:eastAsia="pt-BR"/>
              </w:rPr>
            </w:pPr>
            <w:r w:rsidRPr="00B6188E">
              <w:rPr>
                <w:rFonts w:ascii="Arial" w:eastAsia="Times New Roman" w:hAnsi="Arial" w:cs="Arial"/>
                <w:sz w:val="14"/>
                <w:szCs w:val="14"/>
                <w:lang w:eastAsia="pt-BR"/>
              </w:rPr>
              <w:t>XML</w:t>
            </w:r>
          </w:p>
        </w:tc>
      </w:tr>
      <w:tr w:rsidR="00A308E4" w:rsidRPr="00A308E4" w14:paraId="0FA4014D" w14:textId="77777777" w:rsidTr="00CB7C58">
        <w:trPr>
          <w:trHeight w:val="454"/>
        </w:trPr>
        <w:tc>
          <w:tcPr>
            <w:tcW w:w="1242" w:type="dxa"/>
            <w:vAlign w:val="center"/>
          </w:tcPr>
          <w:p w14:paraId="3A6A6A18" w14:textId="77777777" w:rsidR="003D269C" w:rsidRPr="00A308E4" w:rsidRDefault="003D269C" w:rsidP="00B6188E">
            <w:pPr>
              <w:spacing w:after="0" w:line="240" w:lineRule="auto"/>
              <w:jc w:val="center"/>
              <w:rPr>
                <w:rFonts w:ascii="Arial" w:eastAsia="Times New Roman" w:hAnsi="Arial" w:cs="Arial"/>
                <w:sz w:val="18"/>
                <w:szCs w:val="18"/>
                <w:lang w:eastAsia="pt-BR"/>
              </w:rPr>
            </w:pPr>
            <w:r w:rsidRPr="00A308E4">
              <w:rPr>
                <w:rFonts w:ascii="Arial" w:eastAsia="Times New Roman" w:hAnsi="Arial" w:cs="Arial"/>
                <w:sz w:val="18"/>
                <w:szCs w:val="18"/>
                <w:lang w:eastAsia="pt-BR"/>
              </w:rPr>
              <w:t>TERINT</w:t>
            </w:r>
          </w:p>
        </w:tc>
        <w:tc>
          <w:tcPr>
            <w:tcW w:w="6946" w:type="dxa"/>
            <w:shd w:val="clear" w:color="auto" w:fill="auto"/>
            <w:vAlign w:val="center"/>
          </w:tcPr>
          <w:p w14:paraId="1F74E354" w14:textId="04FEF42A" w:rsidR="003D269C" w:rsidRPr="00A308E4" w:rsidRDefault="003D269C" w:rsidP="00A308E4">
            <w:pPr>
              <w:spacing w:before="120" w:after="120" w:line="240" w:lineRule="auto"/>
              <w:jc w:val="both"/>
              <w:rPr>
                <w:rFonts w:ascii="Arial" w:eastAsia="Times New Roman" w:hAnsi="Arial" w:cs="Arial"/>
                <w:sz w:val="18"/>
                <w:szCs w:val="18"/>
                <w:lang w:eastAsia="pt-BR"/>
              </w:rPr>
            </w:pPr>
            <w:r w:rsidRPr="00A308E4">
              <w:rPr>
                <w:rFonts w:ascii="Arial" w:eastAsia="Times New Roman" w:hAnsi="Arial" w:cs="Arial"/>
                <w:sz w:val="18"/>
                <w:szCs w:val="18"/>
                <w:lang w:eastAsia="pt-BR"/>
              </w:rPr>
              <w:t>Termo circunstanciado elaborado e assinado pela comissão responsável pelo Inventário anual dos bens intangíveis (INVINT), indicando o saldo total apurado e o detalhamento (especificação e valor) das divergências encontradas</w:t>
            </w:r>
            <w:r w:rsidR="00A308E4" w:rsidRPr="00A308E4">
              <w:rPr>
                <w:rFonts w:ascii="Arial" w:eastAsia="Times New Roman" w:hAnsi="Arial" w:cs="Arial"/>
                <w:sz w:val="18"/>
                <w:szCs w:val="18"/>
                <w:lang w:eastAsia="pt-BR"/>
              </w:rPr>
              <w:t>, na forma do item 3.2 deste Anexo.</w:t>
            </w:r>
          </w:p>
        </w:tc>
        <w:tc>
          <w:tcPr>
            <w:tcW w:w="992" w:type="dxa"/>
            <w:shd w:val="clear" w:color="auto" w:fill="auto"/>
            <w:vAlign w:val="center"/>
          </w:tcPr>
          <w:p w14:paraId="6241C15D" w14:textId="77777777" w:rsidR="003D269C" w:rsidRPr="00A308E4" w:rsidRDefault="00532985" w:rsidP="00672300">
            <w:pPr>
              <w:spacing w:after="0" w:line="240" w:lineRule="auto"/>
              <w:jc w:val="center"/>
              <w:rPr>
                <w:rFonts w:ascii="Arial" w:eastAsia="Times New Roman" w:hAnsi="Arial" w:cs="Arial"/>
                <w:sz w:val="14"/>
                <w:szCs w:val="14"/>
                <w:lang w:eastAsia="pt-BR"/>
              </w:rPr>
            </w:pPr>
            <w:r w:rsidRPr="00A308E4">
              <w:rPr>
                <w:rFonts w:ascii="Arial" w:eastAsia="Times New Roman" w:hAnsi="Arial" w:cs="Arial"/>
                <w:sz w:val="14"/>
                <w:szCs w:val="14"/>
                <w:lang w:eastAsia="pt-BR"/>
              </w:rPr>
              <w:t>PDF</w:t>
            </w:r>
          </w:p>
        </w:tc>
      </w:tr>
      <w:tr w:rsidR="003D269C" w:rsidRPr="00A5490A" w14:paraId="329976B0" w14:textId="77777777" w:rsidTr="00CB7C58">
        <w:trPr>
          <w:trHeight w:val="454"/>
        </w:trPr>
        <w:tc>
          <w:tcPr>
            <w:tcW w:w="1242" w:type="dxa"/>
            <w:vAlign w:val="center"/>
          </w:tcPr>
          <w:p w14:paraId="21D2ABC2" w14:textId="77777777" w:rsidR="003D269C" w:rsidRPr="00B6188E" w:rsidRDefault="003D269C" w:rsidP="00886723">
            <w:pPr>
              <w:spacing w:after="0" w:line="240" w:lineRule="auto"/>
              <w:jc w:val="center"/>
              <w:rPr>
                <w:rFonts w:ascii="Arial" w:eastAsia="Times New Roman" w:hAnsi="Arial" w:cs="Arial"/>
                <w:sz w:val="18"/>
                <w:szCs w:val="18"/>
                <w:lang w:eastAsia="pt-BR"/>
              </w:rPr>
            </w:pPr>
            <w:r w:rsidRPr="00B6188E">
              <w:rPr>
                <w:rFonts w:ascii="Arial" w:eastAsia="Times New Roman" w:hAnsi="Arial" w:cs="Arial"/>
                <w:sz w:val="18"/>
                <w:szCs w:val="18"/>
                <w:lang w:eastAsia="pt-BR"/>
              </w:rPr>
              <w:t>COMINV</w:t>
            </w:r>
          </w:p>
        </w:tc>
        <w:tc>
          <w:tcPr>
            <w:tcW w:w="6946" w:type="dxa"/>
            <w:shd w:val="clear" w:color="auto" w:fill="auto"/>
            <w:vAlign w:val="center"/>
          </w:tcPr>
          <w:p w14:paraId="2A140194" w14:textId="77777777" w:rsidR="003D269C" w:rsidRPr="00B6188E" w:rsidRDefault="003D269C" w:rsidP="00886723">
            <w:pPr>
              <w:spacing w:before="120" w:after="120" w:line="240" w:lineRule="auto"/>
              <w:jc w:val="both"/>
              <w:rPr>
                <w:rFonts w:ascii="Arial" w:eastAsia="Times New Roman" w:hAnsi="Arial" w:cs="Arial"/>
                <w:sz w:val="18"/>
                <w:szCs w:val="18"/>
                <w:lang w:eastAsia="pt-BR"/>
              </w:rPr>
            </w:pPr>
            <w:r w:rsidRPr="00B6188E">
              <w:rPr>
                <w:rFonts w:ascii="Arial" w:eastAsia="Times New Roman" w:hAnsi="Arial" w:cs="Arial"/>
                <w:sz w:val="18"/>
                <w:szCs w:val="18"/>
                <w:lang w:eastAsia="pt-BR"/>
              </w:rPr>
              <w:t>Ato de designação da comissão responsável pela elaboração dos inventários.</w:t>
            </w:r>
          </w:p>
        </w:tc>
        <w:tc>
          <w:tcPr>
            <w:tcW w:w="992" w:type="dxa"/>
            <w:shd w:val="clear" w:color="auto" w:fill="auto"/>
            <w:vAlign w:val="center"/>
          </w:tcPr>
          <w:p w14:paraId="5C8D44E9" w14:textId="77777777" w:rsidR="003D269C" w:rsidRPr="00B6188E" w:rsidRDefault="00532985" w:rsidP="00886723">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3D269C" w:rsidRPr="00A5490A" w14:paraId="7D855F13" w14:textId="77777777" w:rsidTr="00CB7C58">
        <w:trPr>
          <w:trHeight w:val="454"/>
        </w:trPr>
        <w:tc>
          <w:tcPr>
            <w:tcW w:w="1242" w:type="dxa"/>
            <w:vAlign w:val="center"/>
          </w:tcPr>
          <w:p w14:paraId="446B01D3" w14:textId="77777777" w:rsidR="003D269C" w:rsidRPr="00B6188E" w:rsidRDefault="003D269C" w:rsidP="00886723">
            <w:pPr>
              <w:spacing w:after="0" w:line="240" w:lineRule="auto"/>
              <w:jc w:val="center"/>
              <w:rPr>
                <w:rFonts w:ascii="Arial" w:eastAsia="Times New Roman" w:hAnsi="Arial" w:cs="Arial"/>
                <w:sz w:val="18"/>
                <w:szCs w:val="18"/>
                <w:lang w:eastAsia="pt-BR"/>
              </w:rPr>
            </w:pPr>
            <w:r w:rsidRPr="00B6188E">
              <w:rPr>
                <w:rFonts w:ascii="Arial" w:eastAsia="Times New Roman" w:hAnsi="Arial" w:cs="Arial"/>
                <w:sz w:val="18"/>
                <w:szCs w:val="18"/>
                <w:lang w:eastAsia="pt-BR"/>
              </w:rPr>
              <w:t>DEMDAT</w:t>
            </w:r>
          </w:p>
        </w:tc>
        <w:tc>
          <w:tcPr>
            <w:tcW w:w="6946" w:type="dxa"/>
            <w:shd w:val="clear" w:color="auto" w:fill="auto"/>
            <w:vAlign w:val="center"/>
          </w:tcPr>
          <w:p w14:paraId="5831C4DB" w14:textId="7D0C8C0D" w:rsidR="003D269C" w:rsidRPr="00B6188E" w:rsidRDefault="003D269C" w:rsidP="0099420C">
            <w:pPr>
              <w:spacing w:before="120" w:after="120" w:line="240" w:lineRule="auto"/>
              <w:jc w:val="both"/>
              <w:rPr>
                <w:rFonts w:ascii="Arial" w:eastAsia="Times New Roman" w:hAnsi="Arial" w:cs="Arial"/>
                <w:sz w:val="18"/>
                <w:szCs w:val="18"/>
                <w:lang w:eastAsia="pt-BR"/>
              </w:rPr>
            </w:pPr>
            <w:r w:rsidRPr="00B6188E">
              <w:rPr>
                <w:rFonts w:ascii="Arial" w:eastAsia="Times New Roman" w:hAnsi="Arial" w:cs="Arial"/>
                <w:sz w:val="18"/>
                <w:szCs w:val="18"/>
                <w:lang w:eastAsia="pt-BR"/>
              </w:rPr>
              <w:t xml:space="preserve">Demonstrativo da dívida ativa tributária e não tributária, conforme layout constante do </w:t>
            </w:r>
            <w:r>
              <w:rPr>
                <w:rFonts w:ascii="Arial" w:eastAsia="Times New Roman" w:hAnsi="Arial" w:cs="Arial"/>
                <w:sz w:val="18"/>
                <w:szCs w:val="18"/>
                <w:lang w:eastAsia="pt-BR"/>
              </w:rPr>
              <w:t xml:space="preserve">item </w:t>
            </w:r>
            <w:r w:rsidR="0099420C">
              <w:rPr>
                <w:rFonts w:ascii="Arial" w:eastAsia="Times New Roman" w:hAnsi="Arial" w:cs="Arial"/>
                <w:sz w:val="18"/>
                <w:szCs w:val="18"/>
                <w:lang w:eastAsia="pt-BR"/>
              </w:rPr>
              <w:t>3.1</w:t>
            </w:r>
            <w:r>
              <w:rPr>
                <w:rFonts w:ascii="Arial" w:eastAsia="Times New Roman" w:hAnsi="Arial" w:cs="Arial"/>
                <w:sz w:val="18"/>
                <w:szCs w:val="18"/>
                <w:lang w:eastAsia="pt-BR"/>
              </w:rPr>
              <w:t xml:space="preserve"> deste </w:t>
            </w:r>
            <w:r w:rsidRPr="00B6188E">
              <w:rPr>
                <w:rFonts w:ascii="Arial" w:eastAsia="Times New Roman" w:hAnsi="Arial" w:cs="Arial"/>
                <w:sz w:val="18"/>
                <w:szCs w:val="18"/>
                <w:lang w:eastAsia="pt-BR"/>
              </w:rPr>
              <w:t>Anexo.</w:t>
            </w:r>
          </w:p>
        </w:tc>
        <w:tc>
          <w:tcPr>
            <w:tcW w:w="992" w:type="dxa"/>
            <w:shd w:val="clear" w:color="auto" w:fill="auto"/>
            <w:vAlign w:val="center"/>
          </w:tcPr>
          <w:p w14:paraId="0859F129" w14:textId="77777777" w:rsidR="003D269C" w:rsidRPr="00B6188E" w:rsidRDefault="003D269C" w:rsidP="00886723">
            <w:pPr>
              <w:spacing w:after="0" w:line="240" w:lineRule="auto"/>
              <w:jc w:val="center"/>
              <w:rPr>
                <w:rFonts w:ascii="Arial" w:eastAsia="Times New Roman" w:hAnsi="Arial" w:cs="Arial"/>
                <w:sz w:val="14"/>
                <w:szCs w:val="14"/>
                <w:lang w:eastAsia="pt-BR"/>
              </w:rPr>
            </w:pPr>
            <w:r w:rsidRPr="00B6188E">
              <w:rPr>
                <w:rFonts w:ascii="Arial" w:eastAsia="Times New Roman" w:hAnsi="Arial" w:cs="Arial"/>
                <w:sz w:val="14"/>
                <w:szCs w:val="14"/>
                <w:lang w:eastAsia="pt-BR"/>
              </w:rPr>
              <w:t>XML</w:t>
            </w:r>
          </w:p>
        </w:tc>
      </w:tr>
      <w:tr w:rsidR="003D269C" w:rsidRPr="00A5490A" w14:paraId="392B7E8B" w14:textId="77777777" w:rsidTr="00CB7C58">
        <w:trPr>
          <w:trHeight w:val="454"/>
        </w:trPr>
        <w:tc>
          <w:tcPr>
            <w:tcW w:w="1242" w:type="dxa"/>
            <w:vAlign w:val="center"/>
          </w:tcPr>
          <w:p w14:paraId="009D4A0D" w14:textId="77777777" w:rsidR="003D269C" w:rsidRPr="003B4337" w:rsidRDefault="003D269C" w:rsidP="00886723">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lastRenderedPageBreak/>
              <w:t>DEMDATA</w:t>
            </w:r>
          </w:p>
        </w:tc>
        <w:tc>
          <w:tcPr>
            <w:tcW w:w="6946" w:type="dxa"/>
            <w:shd w:val="clear" w:color="auto" w:fill="auto"/>
            <w:vAlign w:val="center"/>
          </w:tcPr>
          <w:p w14:paraId="2D2E88CD" w14:textId="77777777" w:rsidR="003D269C" w:rsidRPr="003B4337" w:rsidRDefault="003D269C" w:rsidP="003B4337">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Quadro auxiliar ao Demonstrativo da Dívida Ativa, demonstrando a dívida ativa em cobrança judicial e extrajudicial.</w:t>
            </w:r>
          </w:p>
        </w:tc>
        <w:tc>
          <w:tcPr>
            <w:tcW w:w="992" w:type="dxa"/>
            <w:shd w:val="clear" w:color="auto" w:fill="auto"/>
            <w:vAlign w:val="center"/>
          </w:tcPr>
          <w:p w14:paraId="6D42DD2A" w14:textId="77777777" w:rsidR="003D269C" w:rsidRPr="003B4337" w:rsidRDefault="00532985" w:rsidP="00886723">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3D269C" w:rsidRPr="00A5490A" w14:paraId="619061FB" w14:textId="77777777" w:rsidTr="00CB7C58">
        <w:trPr>
          <w:trHeight w:val="454"/>
        </w:trPr>
        <w:tc>
          <w:tcPr>
            <w:tcW w:w="1242" w:type="dxa"/>
            <w:vAlign w:val="center"/>
          </w:tcPr>
          <w:p w14:paraId="54A27A7A" w14:textId="77777777" w:rsidR="003D269C" w:rsidRPr="00B6188E" w:rsidRDefault="003D269C" w:rsidP="00886723">
            <w:pPr>
              <w:spacing w:after="0" w:line="240" w:lineRule="auto"/>
              <w:jc w:val="center"/>
              <w:rPr>
                <w:rFonts w:ascii="Arial" w:eastAsia="Times New Roman" w:hAnsi="Arial" w:cs="Arial"/>
                <w:sz w:val="18"/>
                <w:szCs w:val="18"/>
                <w:lang w:eastAsia="pt-BR"/>
              </w:rPr>
            </w:pPr>
            <w:r w:rsidRPr="00B6188E">
              <w:rPr>
                <w:rFonts w:ascii="Arial" w:eastAsia="Times New Roman" w:hAnsi="Arial" w:cs="Arial"/>
                <w:sz w:val="18"/>
                <w:szCs w:val="18"/>
                <w:lang w:eastAsia="pt-BR"/>
              </w:rPr>
              <w:t>DEMRAP</w:t>
            </w:r>
          </w:p>
        </w:tc>
        <w:tc>
          <w:tcPr>
            <w:tcW w:w="6946" w:type="dxa"/>
            <w:shd w:val="clear" w:color="auto" w:fill="auto"/>
            <w:vAlign w:val="center"/>
          </w:tcPr>
          <w:p w14:paraId="78418E4E" w14:textId="7479D45A" w:rsidR="003D269C" w:rsidRPr="00B6188E" w:rsidRDefault="003D269C" w:rsidP="0099420C">
            <w:pPr>
              <w:spacing w:before="120" w:after="120" w:line="240" w:lineRule="auto"/>
              <w:ind w:left="42"/>
              <w:jc w:val="both"/>
              <w:rPr>
                <w:rFonts w:ascii="Arial" w:eastAsia="Times New Roman" w:hAnsi="Arial" w:cs="Arial"/>
                <w:sz w:val="18"/>
                <w:szCs w:val="18"/>
                <w:lang w:eastAsia="pt-BR"/>
              </w:rPr>
            </w:pPr>
            <w:r w:rsidRPr="00B6188E">
              <w:rPr>
                <w:rFonts w:ascii="Arial" w:eastAsia="Times New Roman" w:hAnsi="Arial" w:cs="Arial"/>
                <w:sz w:val="18"/>
                <w:szCs w:val="18"/>
                <w:lang w:eastAsia="pt-BR"/>
              </w:rPr>
              <w:t xml:space="preserve">Demonstrativo de Restos a Pagar, conforme layout constante do </w:t>
            </w:r>
            <w:r>
              <w:rPr>
                <w:rFonts w:ascii="Arial" w:eastAsia="Times New Roman" w:hAnsi="Arial" w:cs="Arial"/>
                <w:sz w:val="18"/>
                <w:szCs w:val="18"/>
                <w:lang w:eastAsia="pt-BR"/>
              </w:rPr>
              <w:t xml:space="preserve">item </w:t>
            </w:r>
            <w:r w:rsidR="0099420C">
              <w:rPr>
                <w:rFonts w:ascii="Arial" w:eastAsia="Times New Roman" w:hAnsi="Arial" w:cs="Arial"/>
                <w:sz w:val="18"/>
                <w:szCs w:val="18"/>
                <w:lang w:eastAsia="pt-BR"/>
              </w:rPr>
              <w:t>3.1</w:t>
            </w:r>
            <w:r>
              <w:rPr>
                <w:rFonts w:ascii="Arial" w:eastAsia="Times New Roman" w:hAnsi="Arial" w:cs="Arial"/>
                <w:sz w:val="18"/>
                <w:szCs w:val="18"/>
                <w:lang w:eastAsia="pt-BR"/>
              </w:rPr>
              <w:t xml:space="preserve"> deste </w:t>
            </w:r>
            <w:r w:rsidRPr="00B6188E">
              <w:rPr>
                <w:rFonts w:ascii="Arial" w:eastAsia="Times New Roman" w:hAnsi="Arial" w:cs="Arial"/>
                <w:sz w:val="18"/>
                <w:szCs w:val="18"/>
                <w:lang w:eastAsia="pt-BR"/>
              </w:rPr>
              <w:t>Anexo.</w:t>
            </w:r>
          </w:p>
        </w:tc>
        <w:tc>
          <w:tcPr>
            <w:tcW w:w="992" w:type="dxa"/>
            <w:shd w:val="clear" w:color="auto" w:fill="auto"/>
            <w:vAlign w:val="center"/>
          </w:tcPr>
          <w:p w14:paraId="05FD4D6F" w14:textId="77777777" w:rsidR="003D269C" w:rsidRPr="00B6188E" w:rsidRDefault="003D269C" w:rsidP="00886723">
            <w:pPr>
              <w:spacing w:after="0" w:line="240" w:lineRule="auto"/>
              <w:jc w:val="center"/>
              <w:rPr>
                <w:rFonts w:ascii="Arial" w:eastAsia="Times New Roman" w:hAnsi="Arial" w:cs="Arial"/>
                <w:sz w:val="14"/>
                <w:szCs w:val="14"/>
                <w:lang w:eastAsia="pt-BR"/>
              </w:rPr>
            </w:pPr>
            <w:r w:rsidRPr="00B6188E">
              <w:rPr>
                <w:rFonts w:ascii="Arial" w:eastAsia="Times New Roman" w:hAnsi="Arial" w:cs="Arial"/>
                <w:sz w:val="14"/>
                <w:szCs w:val="14"/>
                <w:lang w:eastAsia="pt-BR"/>
              </w:rPr>
              <w:t>XML</w:t>
            </w:r>
          </w:p>
        </w:tc>
      </w:tr>
      <w:tr w:rsidR="003D269C" w:rsidRPr="00A5490A" w14:paraId="6FD35D64" w14:textId="77777777" w:rsidTr="00CB7C58">
        <w:trPr>
          <w:trHeight w:val="454"/>
        </w:trPr>
        <w:tc>
          <w:tcPr>
            <w:tcW w:w="1242" w:type="dxa"/>
            <w:vAlign w:val="center"/>
          </w:tcPr>
          <w:p w14:paraId="7B0BBF09" w14:textId="77777777" w:rsidR="003D269C" w:rsidRPr="00B6188E" w:rsidRDefault="003D269C" w:rsidP="00886723">
            <w:pPr>
              <w:spacing w:after="0" w:line="240" w:lineRule="auto"/>
              <w:jc w:val="center"/>
              <w:rPr>
                <w:rFonts w:ascii="Arial" w:eastAsia="Times New Roman" w:hAnsi="Arial" w:cs="Arial"/>
                <w:sz w:val="18"/>
                <w:szCs w:val="18"/>
                <w:lang w:eastAsia="pt-BR"/>
              </w:rPr>
            </w:pPr>
            <w:r w:rsidRPr="00B6188E">
              <w:rPr>
                <w:rFonts w:ascii="Arial" w:eastAsia="Times New Roman" w:hAnsi="Arial" w:cs="Arial"/>
                <w:sz w:val="18"/>
                <w:szCs w:val="18"/>
                <w:lang w:eastAsia="pt-BR"/>
              </w:rPr>
              <w:t>EXTBAN</w:t>
            </w:r>
          </w:p>
        </w:tc>
        <w:tc>
          <w:tcPr>
            <w:tcW w:w="6946" w:type="dxa"/>
            <w:shd w:val="clear" w:color="auto" w:fill="auto"/>
            <w:vAlign w:val="center"/>
          </w:tcPr>
          <w:p w14:paraId="0CACA8D8" w14:textId="77777777" w:rsidR="003D269C" w:rsidRPr="00B6188E" w:rsidRDefault="003D269C" w:rsidP="00886723">
            <w:pPr>
              <w:spacing w:before="120" w:after="120" w:line="240" w:lineRule="auto"/>
              <w:jc w:val="both"/>
              <w:rPr>
                <w:rFonts w:ascii="Arial" w:eastAsia="Times New Roman" w:hAnsi="Arial" w:cs="Arial"/>
                <w:sz w:val="18"/>
                <w:szCs w:val="18"/>
                <w:lang w:eastAsia="pt-BR"/>
              </w:rPr>
            </w:pPr>
            <w:r w:rsidRPr="00B6188E">
              <w:rPr>
                <w:rFonts w:ascii="Arial" w:eastAsia="Times New Roman" w:hAnsi="Arial" w:cs="Arial"/>
                <w:sz w:val="18"/>
                <w:szCs w:val="18"/>
                <w:lang w:eastAsia="pt-BR"/>
              </w:rPr>
              <w:t>Extratos bancários relativos ao mês de encerramento do exercício</w:t>
            </w:r>
            <w:r w:rsidRPr="0073452B">
              <w:rPr>
                <w:rFonts w:ascii="Arial" w:eastAsia="Times New Roman" w:hAnsi="Arial" w:cs="Arial"/>
                <w:sz w:val="18"/>
                <w:szCs w:val="18"/>
                <w:lang w:eastAsia="pt-BR"/>
              </w:rPr>
              <w:t>.</w:t>
            </w:r>
            <w:r w:rsidR="00397F43" w:rsidRPr="0073452B">
              <w:rPr>
                <w:rFonts w:ascii="Arial" w:eastAsia="Times New Roman" w:hAnsi="Arial" w:cs="Arial"/>
                <w:sz w:val="18"/>
                <w:szCs w:val="18"/>
                <w:lang w:eastAsia="pt-BR"/>
              </w:rPr>
              <w:t xml:space="preserve"> Na hipótese de adesão ao Acordo de Cooperação Técnica entre o TCEES e o Banestes, não é necessário o envio </w:t>
            </w:r>
            <w:r w:rsidR="005320F1" w:rsidRPr="0073452B">
              <w:rPr>
                <w:rFonts w:ascii="Arial" w:eastAsia="Times New Roman" w:hAnsi="Arial" w:cs="Arial"/>
                <w:sz w:val="18"/>
                <w:szCs w:val="18"/>
                <w:lang w:eastAsia="pt-BR"/>
              </w:rPr>
              <w:t>dos extratos bancários do banco 021 – Banestes.</w:t>
            </w:r>
          </w:p>
        </w:tc>
        <w:tc>
          <w:tcPr>
            <w:tcW w:w="992" w:type="dxa"/>
            <w:shd w:val="clear" w:color="auto" w:fill="auto"/>
            <w:vAlign w:val="center"/>
          </w:tcPr>
          <w:p w14:paraId="56D62196" w14:textId="77777777" w:rsidR="003D269C" w:rsidRPr="00B6188E" w:rsidRDefault="00532985" w:rsidP="00886723">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3D269C" w:rsidRPr="00A5490A" w14:paraId="5820C464" w14:textId="77777777" w:rsidTr="00CB7C58">
        <w:trPr>
          <w:trHeight w:val="454"/>
        </w:trPr>
        <w:tc>
          <w:tcPr>
            <w:tcW w:w="1242" w:type="dxa"/>
            <w:vAlign w:val="center"/>
          </w:tcPr>
          <w:p w14:paraId="1AB2C6BB" w14:textId="77777777" w:rsidR="003D269C" w:rsidRPr="00B6188E" w:rsidRDefault="003D269C" w:rsidP="00886723">
            <w:pPr>
              <w:spacing w:after="0" w:line="240" w:lineRule="auto"/>
              <w:jc w:val="center"/>
              <w:rPr>
                <w:rFonts w:ascii="Arial" w:eastAsia="Times New Roman" w:hAnsi="Arial" w:cs="Arial"/>
                <w:sz w:val="18"/>
                <w:szCs w:val="18"/>
                <w:lang w:eastAsia="pt-BR"/>
              </w:rPr>
            </w:pPr>
            <w:r w:rsidRPr="00B6188E">
              <w:rPr>
                <w:rFonts w:ascii="Arial" w:eastAsia="Times New Roman" w:hAnsi="Arial" w:cs="Arial"/>
                <w:sz w:val="18"/>
                <w:szCs w:val="18"/>
                <w:lang w:eastAsia="pt-BR"/>
              </w:rPr>
              <w:t>TVDISP</w:t>
            </w:r>
          </w:p>
        </w:tc>
        <w:tc>
          <w:tcPr>
            <w:tcW w:w="6946" w:type="dxa"/>
            <w:shd w:val="clear" w:color="auto" w:fill="auto"/>
            <w:vAlign w:val="center"/>
          </w:tcPr>
          <w:p w14:paraId="577EC215" w14:textId="155A5441" w:rsidR="003D269C" w:rsidRPr="00B6188E" w:rsidRDefault="003D269C" w:rsidP="0099420C">
            <w:pPr>
              <w:spacing w:before="120" w:after="120" w:line="240" w:lineRule="auto"/>
              <w:jc w:val="both"/>
              <w:rPr>
                <w:rFonts w:ascii="Arial" w:eastAsia="Times New Roman" w:hAnsi="Arial" w:cs="Arial"/>
                <w:sz w:val="18"/>
                <w:szCs w:val="18"/>
                <w:lang w:eastAsia="pt-BR"/>
              </w:rPr>
            </w:pPr>
            <w:r w:rsidRPr="00B6188E">
              <w:rPr>
                <w:rFonts w:ascii="Arial" w:eastAsia="Times New Roman" w:hAnsi="Arial" w:cs="Arial"/>
                <w:sz w:val="18"/>
                <w:szCs w:val="18"/>
                <w:lang w:eastAsia="pt-BR"/>
              </w:rPr>
              <w:t xml:space="preserve">Termo de verificação de disponibilidades, conforme layout constante do </w:t>
            </w:r>
            <w:r w:rsidR="0099420C">
              <w:rPr>
                <w:rFonts w:ascii="Arial" w:eastAsia="Times New Roman" w:hAnsi="Arial" w:cs="Arial"/>
                <w:sz w:val="18"/>
                <w:szCs w:val="18"/>
                <w:lang w:eastAsia="pt-BR"/>
              </w:rPr>
              <w:t xml:space="preserve">item 3.1 deste </w:t>
            </w:r>
            <w:r w:rsidR="0099420C" w:rsidRPr="00B6188E">
              <w:rPr>
                <w:rFonts w:ascii="Arial" w:eastAsia="Times New Roman" w:hAnsi="Arial" w:cs="Arial"/>
                <w:sz w:val="18"/>
                <w:szCs w:val="18"/>
                <w:lang w:eastAsia="pt-BR"/>
              </w:rPr>
              <w:t>Anexo.</w:t>
            </w:r>
          </w:p>
        </w:tc>
        <w:tc>
          <w:tcPr>
            <w:tcW w:w="992" w:type="dxa"/>
            <w:shd w:val="clear" w:color="auto" w:fill="auto"/>
            <w:vAlign w:val="center"/>
          </w:tcPr>
          <w:p w14:paraId="34E88AC7" w14:textId="77777777" w:rsidR="003D269C" w:rsidRPr="00B6188E" w:rsidRDefault="003D269C" w:rsidP="00886723">
            <w:pPr>
              <w:spacing w:after="0" w:line="240" w:lineRule="auto"/>
              <w:jc w:val="center"/>
              <w:rPr>
                <w:rFonts w:ascii="Arial" w:eastAsia="Times New Roman" w:hAnsi="Arial" w:cs="Arial"/>
                <w:sz w:val="14"/>
                <w:szCs w:val="14"/>
                <w:lang w:eastAsia="pt-BR"/>
              </w:rPr>
            </w:pPr>
            <w:r w:rsidRPr="00B6188E">
              <w:rPr>
                <w:rFonts w:ascii="Arial" w:eastAsia="Times New Roman" w:hAnsi="Arial" w:cs="Arial"/>
                <w:sz w:val="14"/>
                <w:szCs w:val="14"/>
                <w:lang w:eastAsia="pt-BR"/>
              </w:rPr>
              <w:t>XML</w:t>
            </w:r>
          </w:p>
        </w:tc>
      </w:tr>
      <w:tr w:rsidR="003D269C" w:rsidRPr="00A5490A" w14:paraId="6B379AEA" w14:textId="77777777" w:rsidTr="00CB7C58">
        <w:trPr>
          <w:trHeight w:val="454"/>
        </w:trPr>
        <w:tc>
          <w:tcPr>
            <w:tcW w:w="1242" w:type="dxa"/>
            <w:vAlign w:val="center"/>
          </w:tcPr>
          <w:p w14:paraId="0AB42BB8" w14:textId="77777777" w:rsidR="003D269C" w:rsidRPr="00B6188E" w:rsidRDefault="003D269C" w:rsidP="00886723">
            <w:pPr>
              <w:spacing w:after="0" w:line="240" w:lineRule="auto"/>
              <w:jc w:val="center"/>
              <w:rPr>
                <w:rFonts w:ascii="Arial" w:eastAsia="Times New Roman" w:hAnsi="Arial" w:cs="Arial"/>
                <w:sz w:val="18"/>
                <w:szCs w:val="18"/>
                <w:lang w:eastAsia="pt-BR"/>
              </w:rPr>
            </w:pPr>
            <w:r w:rsidRPr="00B6188E">
              <w:rPr>
                <w:rFonts w:ascii="Arial" w:eastAsia="Times New Roman" w:hAnsi="Arial" w:cs="Arial"/>
                <w:sz w:val="18"/>
                <w:szCs w:val="18"/>
                <w:lang w:eastAsia="pt-BR"/>
              </w:rPr>
              <w:t>DEMCSE</w:t>
            </w:r>
          </w:p>
        </w:tc>
        <w:tc>
          <w:tcPr>
            <w:tcW w:w="6946" w:type="dxa"/>
            <w:shd w:val="clear" w:color="auto" w:fill="auto"/>
            <w:vAlign w:val="center"/>
          </w:tcPr>
          <w:p w14:paraId="3CFDEE76" w14:textId="7517B157" w:rsidR="003D269C" w:rsidRPr="00B6188E" w:rsidRDefault="003D269C" w:rsidP="004C0490">
            <w:pPr>
              <w:spacing w:before="120" w:after="120" w:line="240" w:lineRule="auto"/>
              <w:jc w:val="both"/>
              <w:rPr>
                <w:rFonts w:ascii="Arial" w:eastAsia="Times New Roman" w:hAnsi="Arial" w:cs="Arial"/>
                <w:sz w:val="18"/>
                <w:szCs w:val="18"/>
                <w:lang w:eastAsia="pt-BR"/>
              </w:rPr>
            </w:pPr>
            <w:r w:rsidRPr="00B6188E">
              <w:rPr>
                <w:rFonts w:ascii="Arial" w:eastAsia="Times New Roman" w:hAnsi="Arial" w:cs="Arial"/>
                <w:sz w:val="18"/>
                <w:szCs w:val="18"/>
                <w:lang w:eastAsia="pt-BR"/>
              </w:rPr>
              <w:t xml:space="preserve">Demonstrativo evidenciando, mensalmente, o valor retido de contribuições sociais dos servidores e efetivamente recolhidos, discriminando por instituição previdenciária (RPPS e RGPS), na forma do </w:t>
            </w:r>
            <w:r w:rsidR="004C0490" w:rsidRPr="004C0490">
              <w:rPr>
                <w:rFonts w:ascii="Arial" w:eastAsia="Times New Roman" w:hAnsi="Arial" w:cs="Arial"/>
                <w:sz w:val="18"/>
                <w:szCs w:val="18"/>
                <w:lang w:eastAsia="pt-BR"/>
              </w:rPr>
              <w:t>item 3.2 deste Anexo.</w:t>
            </w:r>
          </w:p>
        </w:tc>
        <w:tc>
          <w:tcPr>
            <w:tcW w:w="992" w:type="dxa"/>
            <w:shd w:val="clear" w:color="auto" w:fill="auto"/>
            <w:vAlign w:val="center"/>
          </w:tcPr>
          <w:p w14:paraId="74B1FCAE" w14:textId="77777777" w:rsidR="003D269C" w:rsidRPr="00B6188E" w:rsidRDefault="00532985" w:rsidP="00886723">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3D269C" w:rsidRPr="00A5490A" w14:paraId="00015A32" w14:textId="77777777" w:rsidTr="00CB7C58">
        <w:trPr>
          <w:trHeight w:val="454"/>
        </w:trPr>
        <w:tc>
          <w:tcPr>
            <w:tcW w:w="1242" w:type="dxa"/>
            <w:vAlign w:val="center"/>
          </w:tcPr>
          <w:p w14:paraId="4F3EFF03" w14:textId="77777777" w:rsidR="003D269C" w:rsidRPr="00A308E4" w:rsidRDefault="003D269C" w:rsidP="00886723">
            <w:pPr>
              <w:spacing w:after="0" w:line="240" w:lineRule="auto"/>
              <w:jc w:val="center"/>
              <w:rPr>
                <w:rFonts w:ascii="Arial" w:eastAsia="Times New Roman" w:hAnsi="Arial" w:cs="Arial"/>
                <w:sz w:val="18"/>
                <w:szCs w:val="18"/>
                <w:lang w:eastAsia="pt-BR"/>
              </w:rPr>
            </w:pPr>
            <w:r w:rsidRPr="00A308E4">
              <w:rPr>
                <w:rFonts w:ascii="Arial" w:eastAsia="Times New Roman" w:hAnsi="Arial" w:cs="Arial"/>
                <w:sz w:val="18"/>
                <w:szCs w:val="18"/>
                <w:lang w:eastAsia="pt-BR"/>
              </w:rPr>
              <w:t>FIXSUB</w:t>
            </w:r>
          </w:p>
        </w:tc>
        <w:tc>
          <w:tcPr>
            <w:tcW w:w="6946" w:type="dxa"/>
            <w:shd w:val="clear" w:color="auto" w:fill="auto"/>
            <w:vAlign w:val="center"/>
          </w:tcPr>
          <w:p w14:paraId="3ECA079B" w14:textId="5BB68CC0" w:rsidR="003D269C" w:rsidRPr="00A308E4" w:rsidRDefault="003D269C" w:rsidP="00886723">
            <w:pPr>
              <w:spacing w:before="120" w:after="120" w:line="240" w:lineRule="auto"/>
              <w:jc w:val="both"/>
              <w:rPr>
                <w:rFonts w:ascii="Arial" w:eastAsia="Times New Roman" w:hAnsi="Arial" w:cs="Arial"/>
                <w:sz w:val="18"/>
                <w:szCs w:val="18"/>
                <w:lang w:eastAsia="pt-BR"/>
              </w:rPr>
            </w:pPr>
            <w:r w:rsidRPr="00A308E4">
              <w:rPr>
                <w:rFonts w:ascii="Arial" w:eastAsia="Times New Roman" w:hAnsi="Arial" w:cs="Arial"/>
                <w:sz w:val="18"/>
                <w:szCs w:val="18"/>
                <w:lang w:eastAsia="pt-BR"/>
              </w:rPr>
              <w:t xml:space="preserve">Instrumento normativo fixador dos subsídios do Prefeito e do Vice-Prefeito para o exercício a que </w:t>
            </w:r>
            <w:r w:rsidR="00A308E4" w:rsidRPr="00A308E4">
              <w:rPr>
                <w:rFonts w:ascii="Arial" w:eastAsia="Times New Roman" w:hAnsi="Arial" w:cs="Arial"/>
                <w:sz w:val="18"/>
                <w:szCs w:val="18"/>
                <w:lang w:eastAsia="pt-BR"/>
              </w:rPr>
              <w:t>se refere a prestação de contas, bem como as leis que concederam revisões gerais anuais nesse período.</w:t>
            </w:r>
          </w:p>
        </w:tc>
        <w:tc>
          <w:tcPr>
            <w:tcW w:w="992" w:type="dxa"/>
            <w:shd w:val="clear" w:color="auto" w:fill="auto"/>
            <w:vAlign w:val="center"/>
          </w:tcPr>
          <w:p w14:paraId="6792A644" w14:textId="77777777" w:rsidR="003D269C" w:rsidRPr="00A5490A" w:rsidRDefault="00532985" w:rsidP="00886723">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2038E7" w:rsidRPr="002038E7" w14:paraId="18CDD52A" w14:textId="77777777" w:rsidTr="00CB7C58">
        <w:trPr>
          <w:trHeight w:val="454"/>
        </w:trPr>
        <w:tc>
          <w:tcPr>
            <w:tcW w:w="1242" w:type="dxa"/>
            <w:vAlign w:val="center"/>
          </w:tcPr>
          <w:p w14:paraId="3EC74767" w14:textId="77777777" w:rsidR="003D269C" w:rsidRPr="002038E7" w:rsidRDefault="003D269C" w:rsidP="00B6188E">
            <w:pPr>
              <w:spacing w:before="120" w:after="120" w:line="240" w:lineRule="auto"/>
              <w:jc w:val="center"/>
              <w:rPr>
                <w:rFonts w:ascii="Arial" w:eastAsia="Times New Roman" w:hAnsi="Arial" w:cs="Arial"/>
                <w:sz w:val="18"/>
                <w:szCs w:val="18"/>
                <w:lang w:eastAsia="pt-BR"/>
              </w:rPr>
            </w:pPr>
            <w:r w:rsidRPr="002038E7">
              <w:rPr>
                <w:rFonts w:ascii="Arial" w:eastAsia="Times New Roman" w:hAnsi="Arial" w:cs="Arial"/>
                <w:sz w:val="18"/>
                <w:szCs w:val="18"/>
                <w:lang w:eastAsia="pt-BR"/>
              </w:rPr>
              <w:t>DELREP</w:t>
            </w:r>
          </w:p>
        </w:tc>
        <w:tc>
          <w:tcPr>
            <w:tcW w:w="6946" w:type="dxa"/>
            <w:shd w:val="clear" w:color="auto" w:fill="auto"/>
            <w:vAlign w:val="center"/>
          </w:tcPr>
          <w:p w14:paraId="7E0B16BA" w14:textId="3F0F5797" w:rsidR="003D269C" w:rsidRPr="002038E7" w:rsidRDefault="003D269C" w:rsidP="00CE57CA">
            <w:pPr>
              <w:tabs>
                <w:tab w:val="left" w:pos="851"/>
              </w:tabs>
              <w:spacing w:before="120" w:after="120" w:line="240" w:lineRule="auto"/>
              <w:jc w:val="both"/>
              <w:rPr>
                <w:rFonts w:ascii="Arial" w:eastAsia="Times New Roman" w:hAnsi="Arial" w:cs="Arial"/>
                <w:sz w:val="18"/>
                <w:szCs w:val="18"/>
                <w:lang w:eastAsia="pt-BR"/>
              </w:rPr>
            </w:pPr>
            <w:r w:rsidRPr="002038E7">
              <w:rPr>
                <w:rFonts w:ascii="Arial" w:eastAsia="Times New Roman" w:hAnsi="Arial" w:cs="Arial"/>
                <w:sz w:val="18"/>
                <w:szCs w:val="18"/>
                <w:lang w:eastAsia="pt-BR"/>
              </w:rPr>
              <w:t xml:space="preserve">Declaração do ordenador de despesas, no ente que instituiu Regime Próprio de Previdência Social, sobre o repasse integral das contribuições previdenciárias (servidor e patronal), acrescido dos encargos financeiros em caso de atrasos, de todos os valores devidos no exercício financeiro ao RPPS, decorrentes de leis, acordos, termos de parcelamento e instrumentos congêneres, na forma </w:t>
            </w:r>
            <w:r w:rsidR="002038E7" w:rsidRPr="002038E7">
              <w:rPr>
                <w:rFonts w:ascii="Arial" w:eastAsia="Times New Roman" w:hAnsi="Arial" w:cs="Arial"/>
                <w:sz w:val="18"/>
                <w:szCs w:val="18"/>
                <w:lang w:eastAsia="pt-BR"/>
              </w:rPr>
              <w:t>do item 3.2 deste Anexo.</w:t>
            </w:r>
          </w:p>
        </w:tc>
        <w:tc>
          <w:tcPr>
            <w:tcW w:w="992" w:type="dxa"/>
            <w:shd w:val="clear" w:color="auto" w:fill="auto"/>
            <w:vAlign w:val="center"/>
          </w:tcPr>
          <w:p w14:paraId="0A73D562" w14:textId="77777777" w:rsidR="003D269C" w:rsidRPr="002038E7" w:rsidRDefault="00532985" w:rsidP="001B0C70">
            <w:pPr>
              <w:spacing w:after="0" w:line="240" w:lineRule="auto"/>
              <w:jc w:val="center"/>
              <w:rPr>
                <w:rFonts w:ascii="Arial" w:eastAsia="Times New Roman" w:hAnsi="Arial" w:cs="Arial"/>
                <w:sz w:val="14"/>
                <w:szCs w:val="14"/>
                <w:lang w:eastAsia="pt-BR"/>
              </w:rPr>
            </w:pPr>
            <w:r w:rsidRPr="002038E7">
              <w:rPr>
                <w:rFonts w:ascii="Arial" w:eastAsia="Times New Roman" w:hAnsi="Arial" w:cs="Arial"/>
                <w:sz w:val="14"/>
                <w:szCs w:val="14"/>
                <w:lang w:eastAsia="pt-BR"/>
              </w:rPr>
              <w:t>PDF</w:t>
            </w:r>
          </w:p>
        </w:tc>
      </w:tr>
      <w:tr w:rsidR="002038E7" w:rsidRPr="002038E7" w14:paraId="4484C230" w14:textId="77777777" w:rsidTr="00CB7C58">
        <w:trPr>
          <w:trHeight w:val="454"/>
        </w:trPr>
        <w:tc>
          <w:tcPr>
            <w:tcW w:w="1242" w:type="dxa"/>
            <w:vAlign w:val="center"/>
          </w:tcPr>
          <w:p w14:paraId="2B776774" w14:textId="77777777" w:rsidR="003D269C" w:rsidRPr="002038E7" w:rsidRDefault="003D269C" w:rsidP="00B6188E">
            <w:pPr>
              <w:spacing w:after="0" w:line="240" w:lineRule="auto"/>
              <w:jc w:val="center"/>
              <w:rPr>
                <w:rFonts w:ascii="Arial" w:eastAsia="Times New Roman" w:hAnsi="Arial" w:cs="Arial"/>
                <w:sz w:val="18"/>
                <w:szCs w:val="18"/>
                <w:lang w:eastAsia="pt-BR"/>
              </w:rPr>
            </w:pPr>
            <w:r w:rsidRPr="002038E7">
              <w:rPr>
                <w:rFonts w:ascii="Arial" w:eastAsia="Times New Roman" w:hAnsi="Arial" w:cs="Arial"/>
                <w:sz w:val="18"/>
                <w:szCs w:val="18"/>
                <w:lang w:eastAsia="pt-BR"/>
              </w:rPr>
              <w:t>DELCEDI</w:t>
            </w:r>
          </w:p>
          <w:p w14:paraId="1EC893A7" w14:textId="77777777" w:rsidR="003D269C" w:rsidRPr="002038E7" w:rsidRDefault="003D269C" w:rsidP="001B0C70">
            <w:pPr>
              <w:spacing w:after="0" w:line="240" w:lineRule="auto"/>
              <w:jc w:val="center"/>
              <w:rPr>
                <w:rFonts w:ascii="Arial" w:eastAsia="Times New Roman" w:hAnsi="Arial" w:cs="Arial"/>
                <w:sz w:val="18"/>
                <w:szCs w:val="18"/>
                <w:lang w:eastAsia="pt-BR"/>
              </w:rPr>
            </w:pPr>
          </w:p>
        </w:tc>
        <w:tc>
          <w:tcPr>
            <w:tcW w:w="6946" w:type="dxa"/>
            <w:shd w:val="clear" w:color="auto" w:fill="auto"/>
            <w:vAlign w:val="center"/>
          </w:tcPr>
          <w:p w14:paraId="0FD51E3A" w14:textId="3873C4E1" w:rsidR="003D269C" w:rsidRPr="002038E7" w:rsidRDefault="003D269C" w:rsidP="00CE57CA">
            <w:pPr>
              <w:spacing w:before="120" w:after="120" w:line="240" w:lineRule="auto"/>
              <w:jc w:val="both"/>
              <w:rPr>
                <w:rFonts w:ascii="Arial" w:hAnsi="Arial" w:cs="Arial"/>
              </w:rPr>
            </w:pPr>
            <w:r w:rsidRPr="002038E7">
              <w:rPr>
                <w:rFonts w:ascii="Arial" w:eastAsia="Times New Roman" w:hAnsi="Arial" w:cs="Arial"/>
                <w:sz w:val="18"/>
                <w:szCs w:val="18"/>
                <w:lang w:eastAsia="pt-BR"/>
              </w:rPr>
              <w:t>Declaração do ordenador de despesas, no ente que instituiu Regime Próprio de Previdência Social, que o mesmo repassou integralmente todas as contribuições previdenciárias (servidor e patronal) devidas no exercício financeiro, incidentes sobre a remuneração de seus servidores efetivos cedidos (seja com ou sem ônus de ressarcimento), na forma</w:t>
            </w:r>
            <w:r w:rsidR="002038E7" w:rsidRPr="002038E7">
              <w:rPr>
                <w:rFonts w:ascii="Arial" w:eastAsia="Times New Roman" w:hAnsi="Arial" w:cs="Arial"/>
                <w:sz w:val="18"/>
                <w:szCs w:val="18"/>
                <w:lang w:eastAsia="pt-BR"/>
              </w:rPr>
              <w:t xml:space="preserve"> do</w:t>
            </w:r>
            <w:r w:rsidRPr="002038E7">
              <w:rPr>
                <w:rFonts w:ascii="Arial" w:eastAsia="Times New Roman" w:hAnsi="Arial" w:cs="Arial"/>
                <w:sz w:val="18"/>
                <w:szCs w:val="18"/>
                <w:lang w:eastAsia="pt-BR"/>
              </w:rPr>
              <w:t xml:space="preserve"> </w:t>
            </w:r>
            <w:r w:rsidR="002038E7" w:rsidRPr="002038E7">
              <w:rPr>
                <w:rFonts w:ascii="Arial" w:eastAsia="Times New Roman" w:hAnsi="Arial" w:cs="Arial"/>
                <w:sz w:val="18"/>
                <w:szCs w:val="18"/>
                <w:lang w:eastAsia="pt-BR"/>
              </w:rPr>
              <w:t>item 3.2 deste Anexo.</w:t>
            </w:r>
          </w:p>
        </w:tc>
        <w:tc>
          <w:tcPr>
            <w:tcW w:w="992" w:type="dxa"/>
            <w:shd w:val="clear" w:color="auto" w:fill="auto"/>
            <w:vAlign w:val="center"/>
          </w:tcPr>
          <w:p w14:paraId="7DF53F27" w14:textId="77777777" w:rsidR="003D269C" w:rsidRPr="002038E7" w:rsidRDefault="00532985" w:rsidP="001B0C70">
            <w:pPr>
              <w:spacing w:after="0" w:line="240" w:lineRule="auto"/>
              <w:jc w:val="center"/>
              <w:rPr>
                <w:rFonts w:ascii="Arial" w:eastAsia="Times New Roman" w:hAnsi="Arial" w:cs="Arial"/>
                <w:sz w:val="14"/>
                <w:szCs w:val="14"/>
                <w:lang w:eastAsia="pt-BR"/>
              </w:rPr>
            </w:pPr>
            <w:r w:rsidRPr="002038E7">
              <w:rPr>
                <w:rFonts w:ascii="Arial" w:eastAsia="Times New Roman" w:hAnsi="Arial" w:cs="Arial"/>
                <w:sz w:val="14"/>
                <w:szCs w:val="14"/>
                <w:lang w:eastAsia="pt-BR"/>
              </w:rPr>
              <w:t>PDF</w:t>
            </w:r>
          </w:p>
        </w:tc>
      </w:tr>
      <w:tr w:rsidR="002038E7" w:rsidRPr="002038E7" w14:paraId="5D39AF50" w14:textId="77777777" w:rsidTr="00CB7C58">
        <w:trPr>
          <w:trHeight w:val="454"/>
        </w:trPr>
        <w:tc>
          <w:tcPr>
            <w:tcW w:w="1242" w:type="dxa"/>
            <w:vAlign w:val="center"/>
          </w:tcPr>
          <w:p w14:paraId="341A9191" w14:textId="77777777" w:rsidR="003D269C" w:rsidRPr="002038E7" w:rsidRDefault="003D269C" w:rsidP="00B6188E">
            <w:pPr>
              <w:spacing w:before="120" w:after="120" w:line="240" w:lineRule="auto"/>
              <w:jc w:val="center"/>
              <w:rPr>
                <w:rFonts w:ascii="Arial" w:eastAsia="Times New Roman" w:hAnsi="Arial" w:cs="Arial"/>
                <w:sz w:val="18"/>
                <w:szCs w:val="18"/>
                <w:lang w:eastAsia="pt-BR"/>
              </w:rPr>
            </w:pPr>
            <w:r w:rsidRPr="002038E7">
              <w:rPr>
                <w:rFonts w:ascii="Arial" w:eastAsia="Times New Roman" w:hAnsi="Arial" w:cs="Arial"/>
                <w:sz w:val="18"/>
                <w:szCs w:val="18"/>
                <w:lang w:eastAsia="pt-BR"/>
              </w:rPr>
              <w:t>DECINAT</w:t>
            </w:r>
          </w:p>
        </w:tc>
        <w:tc>
          <w:tcPr>
            <w:tcW w:w="6946" w:type="dxa"/>
            <w:shd w:val="clear" w:color="auto" w:fill="auto"/>
            <w:vAlign w:val="center"/>
          </w:tcPr>
          <w:p w14:paraId="7A4F3141" w14:textId="1A430DAE" w:rsidR="003D269C" w:rsidRPr="002038E7" w:rsidRDefault="003D269C" w:rsidP="002038E7">
            <w:pPr>
              <w:spacing w:before="120" w:after="120" w:line="240" w:lineRule="auto"/>
              <w:jc w:val="both"/>
              <w:rPr>
                <w:rFonts w:ascii="Arial" w:eastAsia="Times New Roman" w:hAnsi="Arial" w:cs="Arial"/>
                <w:sz w:val="18"/>
                <w:szCs w:val="18"/>
                <w:lang w:eastAsia="pt-BR"/>
              </w:rPr>
            </w:pPr>
            <w:r w:rsidRPr="002038E7">
              <w:rPr>
                <w:rFonts w:ascii="Arial" w:eastAsia="Times New Roman" w:hAnsi="Arial" w:cs="Arial"/>
                <w:sz w:val="18"/>
                <w:szCs w:val="18"/>
                <w:lang w:eastAsia="pt-BR"/>
              </w:rPr>
              <w:t>Declaração do ordenador de despesas informando se há pagamento de aposentadorias e pensões sendo realizados de forma direta pela entidade, e, caso ocorra, que informe o suporte legal para tal procedimento, além de planilha adicional informando o nome do beneficiário, o tipo de benefício, sua base legal de concessão, cargo que ocupava na atividade, a data e o número do ato concessão do benefício, o valor original e atualizado do benefício recebido, na forma d</w:t>
            </w:r>
            <w:r w:rsidR="002038E7" w:rsidRPr="002038E7">
              <w:rPr>
                <w:rFonts w:ascii="Arial" w:eastAsia="Times New Roman" w:hAnsi="Arial" w:cs="Arial"/>
                <w:sz w:val="18"/>
                <w:szCs w:val="18"/>
                <w:lang w:eastAsia="pt-BR"/>
              </w:rPr>
              <w:t>o item 3.2 deste Anexo.</w:t>
            </w:r>
          </w:p>
        </w:tc>
        <w:tc>
          <w:tcPr>
            <w:tcW w:w="992" w:type="dxa"/>
            <w:shd w:val="clear" w:color="auto" w:fill="auto"/>
            <w:vAlign w:val="center"/>
          </w:tcPr>
          <w:p w14:paraId="4B2172B0" w14:textId="77777777" w:rsidR="003D269C" w:rsidRPr="002038E7" w:rsidRDefault="00532985" w:rsidP="001B0C70">
            <w:pPr>
              <w:spacing w:before="120" w:after="120" w:line="240" w:lineRule="auto"/>
              <w:jc w:val="center"/>
              <w:rPr>
                <w:rFonts w:ascii="Arial" w:eastAsia="Times New Roman" w:hAnsi="Arial" w:cs="Arial"/>
                <w:sz w:val="14"/>
                <w:szCs w:val="14"/>
                <w:lang w:eastAsia="pt-BR"/>
              </w:rPr>
            </w:pPr>
            <w:r w:rsidRPr="002038E7">
              <w:rPr>
                <w:rFonts w:ascii="Arial" w:eastAsia="Times New Roman" w:hAnsi="Arial" w:cs="Arial"/>
                <w:sz w:val="14"/>
                <w:szCs w:val="14"/>
                <w:lang w:eastAsia="pt-BR"/>
              </w:rPr>
              <w:t>PDF</w:t>
            </w:r>
          </w:p>
        </w:tc>
      </w:tr>
      <w:tr w:rsidR="0077533D" w:rsidRPr="0077533D" w14:paraId="1E85E54B" w14:textId="77777777" w:rsidTr="00CB7C58">
        <w:trPr>
          <w:trHeight w:val="454"/>
        </w:trPr>
        <w:tc>
          <w:tcPr>
            <w:tcW w:w="1242" w:type="dxa"/>
            <w:vAlign w:val="center"/>
          </w:tcPr>
          <w:p w14:paraId="7A40E11A" w14:textId="61BC5DE3" w:rsidR="0077533D" w:rsidRPr="0077533D" w:rsidRDefault="0077533D" w:rsidP="0077533D">
            <w:pPr>
              <w:spacing w:before="120" w:after="120" w:line="240" w:lineRule="auto"/>
              <w:jc w:val="center"/>
              <w:rPr>
                <w:rFonts w:ascii="Arial" w:eastAsia="Times New Roman" w:hAnsi="Arial" w:cs="Arial"/>
                <w:sz w:val="18"/>
                <w:szCs w:val="18"/>
                <w:lang w:eastAsia="pt-BR"/>
              </w:rPr>
            </w:pPr>
            <w:r w:rsidRPr="0077533D">
              <w:rPr>
                <w:rFonts w:ascii="Arial" w:eastAsia="Arial" w:hAnsi="Arial" w:cs="Arial"/>
                <w:sz w:val="18"/>
              </w:rPr>
              <w:t>CRONOS</w:t>
            </w:r>
          </w:p>
        </w:tc>
        <w:tc>
          <w:tcPr>
            <w:tcW w:w="6946" w:type="dxa"/>
            <w:shd w:val="clear" w:color="auto" w:fill="auto"/>
            <w:vAlign w:val="center"/>
          </w:tcPr>
          <w:p w14:paraId="2608AAD1" w14:textId="126ACAD3" w:rsidR="0077533D" w:rsidRPr="0077533D" w:rsidRDefault="0077533D" w:rsidP="0077533D">
            <w:pPr>
              <w:spacing w:before="120" w:after="120" w:line="240" w:lineRule="auto"/>
              <w:jc w:val="both"/>
              <w:rPr>
                <w:rFonts w:ascii="Arial" w:eastAsia="Times New Roman" w:hAnsi="Arial" w:cs="Arial"/>
                <w:sz w:val="18"/>
                <w:szCs w:val="18"/>
                <w:lang w:eastAsia="pt-BR"/>
              </w:rPr>
            </w:pPr>
            <w:r w:rsidRPr="0077533D">
              <w:rPr>
                <w:rFonts w:ascii="Arial" w:eastAsia="Times New Roman" w:hAnsi="Arial" w:cs="Arial"/>
                <w:sz w:val="18"/>
                <w:szCs w:val="18"/>
                <w:lang w:eastAsia="pt-BR"/>
              </w:rPr>
              <w:t>Ato(s) normativo(s) da autoridade competente regulamentando a ordem cronológica dos pagamentos, nos termos do art. 5º da Lei Federal nº. 8666/93.</w:t>
            </w:r>
          </w:p>
        </w:tc>
        <w:tc>
          <w:tcPr>
            <w:tcW w:w="992" w:type="dxa"/>
            <w:shd w:val="clear" w:color="auto" w:fill="auto"/>
            <w:vAlign w:val="center"/>
          </w:tcPr>
          <w:p w14:paraId="358DDDE2" w14:textId="25F3AFB6" w:rsidR="0077533D" w:rsidRPr="0077533D" w:rsidRDefault="0077533D" w:rsidP="0077533D">
            <w:pPr>
              <w:spacing w:before="120" w:after="120" w:line="240" w:lineRule="auto"/>
              <w:jc w:val="center"/>
              <w:rPr>
                <w:rFonts w:ascii="Arial" w:eastAsia="Times New Roman" w:hAnsi="Arial" w:cs="Arial"/>
                <w:sz w:val="14"/>
                <w:szCs w:val="14"/>
                <w:lang w:eastAsia="pt-BR"/>
              </w:rPr>
            </w:pPr>
            <w:r w:rsidRPr="0077533D">
              <w:rPr>
                <w:rFonts w:ascii="Arial" w:eastAsia="Times New Roman" w:hAnsi="Arial" w:cs="Arial"/>
                <w:sz w:val="14"/>
                <w:szCs w:val="14"/>
                <w:lang w:eastAsia="pt-BR"/>
              </w:rPr>
              <w:t>PDF</w:t>
            </w:r>
          </w:p>
        </w:tc>
      </w:tr>
      <w:tr w:rsidR="0077533D" w:rsidRPr="0077533D" w14:paraId="26F4E705" w14:textId="77777777" w:rsidTr="00CB7C58">
        <w:trPr>
          <w:trHeight w:val="454"/>
        </w:trPr>
        <w:tc>
          <w:tcPr>
            <w:tcW w:w="1242" w:type="dxa"/>
            <w:vAlign w:val="center"/>
          </w:tcPr>
          <w:p w14:paraId="48CF22EE" w14:textId="69F20094" w:rsidR="0077533D" w:rsidRPr="0077533D" w:rsidRDefault="0077533D" w:rsidP="0077533D">
            <w:pPr>
              <w:spacing w:before="120" w:after="120" w:line="240" w:lineRule="auto"/>
              <w:jc w:val="center"/>
              <w:rPr>
                <w:rFonts w:ascii="Arial" w:eastAsia="Times New Roman" w:hAnsi="Arial" w:cs="Arial"/>
                <w:sz w:val="18"/>
                <w:szCs w:val="18"/>
                <w:lang w:eastAsia="pt-BR"/>
              </w:rPr>
            </w:pPr>
            <w:r w:rsidRPr="0077533D">
              <w:rPr>
                <w:rFonts w:ascii="Arial" w:eastAsia="Arial" w:hAnsi="Arial" w:cs="Arial"/>
                <w:sz w:val="18"/>
              </w:rPr>
              <w:t>JUSTCRO</w:t>
            </w:r>
          </w:p>
        </w:tc>
        <w:tc>
          <w:tcPr>
            <w:tcW w:w="6946" w:type="dxa"/>
            <w:shd w:val="clear" w:color="auto" w:fill="auto"/>
            <w:vAlign w:val="center"/>
          </w:tcPr>
          <w:p w14:paraId="4D7BDF33" w14:textId="040D1ED6" w:rsidR="0077533D" w:rsidRPr="0077533D" w:rsidRDefault="0077533D" w:rsidP="0077533D">
            <w:pPr>
              <w:spacing w:before="120" w:after="120" w:line="240" w:lineRule="auto"/>
              <w:jc w:val="both"/>
              <w:rPr>
                <w:rFonts w:ascii="Arial" w:eastAsia="Times New Roman" w:hAnsi="Arial" w:cs="Arial"/>
                <w:sz w:val="18"/>
                <w:szCs w:val="18"/>
                <w:lang w:eastAsia="pt-BR"/>
              </w:rPr>
            </w:pPr>
            <w:r w:rsidRPr="0077533D">
              <w:rPr>
                <w:rFonts w:ascii="Arial" w:eastAsia="Times New Roman" w:hAnsi="Arial" w:cs="Arial"/>
                <w:sz w:val="18"/>
                <w:szCs w:val="18"/>
                <w:lang w:eastAsia="pt-BR"/>
              </w:rPr>
              <w:t>Justificativas da autoridade competente evidenciando as relevantes razões de interesse público para todos os pagamentos que inobservaram a estrita ordem cronológica das datas de suas exigibilidades, para cada fonte diferenciada de recursos, acompanhadas de suas respectivas publicações no exercício.</w:t>
            </w:r>
          </w:p>
        </w:tc>
        <w:tc>
          <w:tcPr>
            <w:tcW w:w="992" w:type="dxa"/>
            <w:shd w:val="clear" w:color="auto" w:fill="auto"/>
            <w:vAlign w:val="center"/>
          </w:tcPr>
          <w:p w14:paraId="242E8018" w14:textId="0664AEE5" w:rsidR="0077533D" w:rsidRPr="0077533D" w:rsidRDefault="0077533D" w:rsidP="0077533D">
            <w:pPr>
              <w:spacing w:before="120" w:after="120" w:line="240" w:lineRule="auto"/>
              <w:jc w:val="center"/>
              <w:rPr>
                <w:rFonts w:ascii="Arial" w:eastAsia="Times New Roman" w:hAnsi="Arial" w:cs="Arial"/>
                <w:sz w:val="14"/>
                <w:szCs w:val="14"/>
                <w:lang w:eastAsia="pt-BR"/>
              </w:rPr>
            </w:pPr>
            <w:r w:rsidRPr="0077533D">
              <w:rPr>
                <w:rFonts w:ascii="Arial" w:eastAsia="Times New Roman" w:hAnsi="Arial" w:cs="Arial"/>
                <w:sz w:val="14"/>
                <w:szCs w:val="14"/>
                <w:lang w:eastAsia="pt-BR"/>
              </w:rPr>
              <w:t>PDF</w:t>
            </w:r>
          </w:p>
        </w:tc>
      </w:tr>
      <w:tr w:rsidR="00A308E4" w:rsidRPr="00A308E4" w14:paraId="5006E2C3" w14:textId="77777777" w:rsidTr="00CB7C58">
        <w:trPr>
          <w:trHeight w:val="454"/>
        </w:trPr>
        <w:tc>
          <w:tcPr>
            <w:tcW w:w="1242" w:type="dxa"/>
            <w:vAlign w:val="center"/>
          </w:tcPr>
          <w:p w14:paraId="0907870D" w14:textId="16BE479F" w:rsidR="002223C0" w:rsidRPr="00A308E4" w:rsidRDefault="002223C0" w:rsidP="002223C0">
            <w:pPr>
              <w:spacing w:after="0" w:line="240" w:lineRule="auto"/>
              <w:jc w:val="center"/>
              <w:rPr>
                <w:rFonts w:ascii="Arial" w:eastAsia="Times New Roman" w:hAnsi="Arial" w:cs="Arial"/>
                <w:sz w:val="18"/>
                <w:szCs w:val="18"/>
                <w:lang w:eastAsia="pt-BR"/>
              </w:rPr>
            </w:pPr>
            <w:r w:rsidRPr="00A308E4">
              <w:rPr>
                <w:rFonts w:ascii="Arial" w:eastAsia="Times New Roman" w:hAnsi="Arial" w:cs="Arial"/>
                <w:sz w:val="18"/>
                <w:szCs w:val="18"/>
                <w:lang w:eastAsia="pt-BR"/>
              </w:rPr>
              <w:t>NOT</w:t>
            </w:r>
            <w:r w:rsidR="00A308E4" w:rsidRPr="00A308E4">
              <w:rPr>
                <w:rFonts w:ascii="Arial" w:eastAsia="Times New Roman" w:hAnsi="Arial" w:cs="Arial"/>
                <w:sz w:val="18"/>
                <w:szCs w:val="18"/>
                <w:lang w:eastAsia="pt-BR"/>
              </w:rPr>
              <w:t>A</w:t>
            </w:r>
            <w:r w:rsidRPr="00A308E4">
              <w:rPr>
                <w:rFonts w:ascii="Arial" w:eastAsia="Times New Roman" w:hAnsi="Arial" w:cs="Arial"/>
                <w:sz w:val="18"/>
                <w:szCs w:val="18"/>
                <w:lang w:eastAsia="pt-BR"/>
              </w:rPr>
              <w:t>EXP</w:t>
            </w:r>
          </w:p>
        </w:tc>
        <w:tc>
          <w:tcPr>
            <w:tcW w:w="6946" w:type="dxa"/>
            <w:shd w:val="clear" w:color="auto" w:fill="auto"/>
            <w:vAlign w:val="center"/>
          </w:tcPr>
          <w:p w14:paraId="690E92E6" w14:textId="77777777" w:rsidR="00A308E4" w:rsidRPr="00A308E4" w:rsidRDefault="00A308E4" w:rsidP="00A308E4">
            <w:pPr>
              <w:pStyle w:val="TableParagraph"/>
              <w:spacing w:before="120" w:after="120"/>
              <w:ind w:left="102" w:right="111"/>
              <w:jc w:val="both"/>
              <w:rPr>
                <w:rFonts w:ascii="Arial" w:hAnsi="Arial" w:cs="Arial"/>
                <w:sz w:val="18"/>
                <w:szCs w:val="18"/>
                <w:lang w:val="pt-BR"/>
              </w:rPr>
            </w:pPr>
            <w:r w:rsidRPr="00A308E4">
              <w:rPr>
                <w:rFonts w:ascii="Arial" w:hAnsi="Arial" w:cs="Arial"/>
                <w:sz w:val="18"/>
                <w:szCs w:val="18"/>
                <w:lang w:val="pt-BR"/>
              </w:rPr>
              <w:t>Notas Explicativas às Demonstrações Contábeis, conforme layout constante do item 3.1 deste Anexo, contendo:</w:t>
            </w:r>
          </w:p>
          <w:p w14:paraId="6F2679E3" w14:textId="77777777" w:rsidR="00A308E4" w:rsidRPr="00A308E4" w:rsidRDefault="00A308E4" w:rsidP="005C719B">
            <w:pPr>
              <w:pStyle w:val="PargrafodaLista"/>
              <w:numPr>
                <w:ilvl w:val="0"/>
                <w:numId w:val="35"/>
              </w:numPr>
              <w:spacing w:before="120" w:after="120" w:line="240" w:lineRule="auto"/>
              <w:ind w:left="822"/>
              <w:contextualSpacing w:val="0"/>
              <w:jc w:val="both"/>
              <w:rPr>
                <w:rFonts w:ascii="Arial" w:hAnsi="Arial" w:cs="Arial"/>
                <w:sz w:val="18"/>
                <w:szCs w:val="18"/>
              </w:rPr>
            </w:pPr>
            <w:r w:rsidRPr="00A308E4">
              <w:rPr>
                <w:rFonts w:ascii="Arial" w:hAnsi="Arial" w:cs="Arial"/>
                <w:sz w:val="18"/>
                <w:szCs w:val="18"/>
              </w:rPr>
              <w:t>Informações gerais da entidade: natureza jurídica, natureza das operações, atividades desempenhadas, lei de instituição, conforme o caso, e declaração de conformidade com leis e normas de contabilidade aplicáveis;</w:t>
            </w:r>
          </w:p>
          <w:p w14:paraId="321EEEBB" w14:textId="77777777" w:rsidR="00A308E4" w:rsidRPr="00A308E4" w:rsidRDefault="00A308E4" w:rsidP="005C719B">
            <w:pPr>
              <w:pStyle w:val="PargrafodaLista"/>
              <w:numPr>
                <w:ilvl w:val="0"/>
                <w:numId w:val="35"/>
              </w:numPr>
              <w:spacing w:before="120" w:after="120" w:line="240" w:lineRule="auto"/>
              <w:ind w:left="822"/>
              <w:contextualSpacing w:val="0"/>
              <w:jc w:val="both"/>
              <w:rPr>
                <w:rFonts w:ascii="Arial" w:hAnsi="Arial" w:cs="Arial"/>
                <w:sz w:val="18"/>
                <w:szCs w:val="18"/>
              </w:rPr>
            </w:pPr>
            <w:r w:rsidRPr="00A308E4">
              <w:rPr>
                <w:rFonts w:ascii="Arial" w:hAnsi="Arial" w:cs="Arial"/>
                <w:sz w:val="18"/>
                <w:szCs w:val="18"/>
              </w:rPr>
              <w:t>Resumo das Políticas Contábeis relevantes: base de mensuração utilizada, adoção de novas políticas contábeis;</w:t>
            </w:r>
          </w:p>
          <w:p w14:paraId="67B939BF" w14:textId="77777777" w:rsidR="00A308E4" w:rsidRPr="00A308E4" w:rsidRDefault="00A308E4" w:rsidP="005C719B">
            <w:pPr>
              <w:pStyle w:val="PargrafodaLista"/>
              <w:numPr>
                <w:ilvl w:val="0"/>
                <w:numId w:val="35"/>
              </w:numPr>
              <w:spacing w:before="120" w:after="120" w:line="240" w:lineRule="auto"/>
              <w:ind w:left="822"/>
              <w:contextualSpacing w:val="0"/>
              <w:jc w:val="both"/>
              <w:rPr>
                <w:rFonts w:ascii="Arial" w:hAnsi="Arial" w:cs="Arial"/>
                <w:sz w:val="18"/>
                <w:szCs w:val="18"/>
              </w:rPr>
            </w:pPr>
            <w:r w:rsidRPr="00A308E4">
              <w:rPr>
                <w:rFonts w:ascii="Arial" w:hAnsi="Arial" w:cs="Arial"/>
                <w:sz w:val="18"/>
                <w:szCs w:val="18"/>
              </w:rPr>
              <w:t>Detalhamento de informações relevantes contidas nos Demonstrativos Contábeis;</w:t>
            </w:r>
          </w:p>
          <w:p w14:paraId="5221DA7F" w14:textId="47E94EF8" w:rsidR="002223C0" w:rsidRPr="00A308E4" w:rsidRDefault="00A308E4" w:rsidP="005C719B">
            <w:pPr>
              <w:pStyle w:val="PargrafodaLista"/>
              <w:numPr>
                <w:ilvl w:val="0"/>
                <w:numId w:val="35"/>
              </w:numPr>
              <w:spacing w:before="120" w:after="120" w:line="240" w:lineRule="auto"/>
              <w:ind w:left="822"/>
              <w:contextualSpacing w:val="0"/>
              <w:jc w:val="both"/>
              <w:rPr>
                <w:rFonts w:ascii="Arial" w:eastAsia="Times New Roman" w:hAnsi="Arial" w:cs="Arial"/>
                <w:sz w:val="18"/>
                <w:szCs w:val="18"/>
                <w:lang w:eastAsia="pt-BR"/>
              </w:rPr>
            </w:pPr>
            <w:r w:rsidRPr="00A308E4">
              <w:rPr>
                <w:rFonts w:ascii="Arial" w:hAnsi="Arial" w:cs="Arial"/>
                <w:sz w:val="18"/>
                <w:szCs w:val="18"/>
              </w:rPr>
              <w:t>Demais informações relevantes: passivos contingentes e compromissos contratuais não reconhecidos; ajustes decorrentes de erros, etc.</w:t>
            </w:r>
          </w:p>
        </w:tc>
        <w:tc>
          <w:tcPr>
            <w:tcW w:w="992" w:type="dxa"/>
            <w:shd w:val="clear" w:color="auto" w:fill="auto"/>
            <w:vAlign w:val="center"/>
          </w:tcPr>
          <w:p w14:paraId="77C808CF" w14:textId="25F4F089" w:rsidR="002223C0" w:rsidRPr="00A308E4" w:rsidRDefault="00A308E4" w:rsidP="002223C0">
            <w:pPr>
              <w:spacing w:after="0" w:line="240" w:lineRule="auto"/>
              <w:jc w:val="center"/>
              <w:rPr>
                <w:rFonts w:ascii="Arial" w:eastAsia="Times New Roman" w:hAnsi="Arial" w:cs="Arial"/>
                <w:sz w:val="14"/>
                <w:szCs w:val="14"/>
                <w:lang w:eastAsia="pt-BR"/>
              </w:rPr>
            </w:pPr>
            <w:r w:rsidRPr="00A308E4">
              <w:rPr>
                <w:rFonts w:ascii="Arial" w:eastAsia="Times New Roman" w:hAnsi="Arial" w:cs="Arial"/>
                <w:sz w:val="14"/>
                <w:szCs w:val="14"/>
                <w:lang w:eastAsia="pt-BR"/>
              </w:rPr>
              <w:t>XML</w:t>
            </w:r>
          </w:p>
        </w:tc>
      </w:tr>
      <w:tr w:rsidR="002223C0" w:rsidRPr="00A5490A" w14:paraId="1DF56A98" w14:textId="77777777" w:rsidTr="00CB7C58">
        <w:trPr>
          <w:trHeight w:val="454"/>
        </w:trPr>
        <w:tc>
          <w:tcPr>
            <w:tcW w:w="1242" w:type="dxa"/>
            <w:vAlign w:val="center"/>
          </w:tcPr>
          <w:p w14:paraId="33362C88" w14:textId="77777777" w:rsidR="002223C0" w:rsidRPr="00B6188E" w:rsidRDefault="002223C0" w:rsidP="00886723">
            <w:pPr>
              <w:spacing w:after="0" w:line="240" w:lineRule="auto"/>
              <w:jc w:val="center"/>
              <w:rPr>
                <w:rFonts w:ascii="Arial" w:eastAsia="Times New Roman" w:hAnsi="Arial" w:cs="Arial"/>
                <w:sz w:val="18"/>
                <w:szCs w:val="18"/>
                <w:lang w:eastAsia="pt-BR"/>
              </w:rPr>
            </w:pPr>
            <w:r w:rsidRPr="00B6188E">
              <w:rPr>
                <w:rFonts w:ascii="Arial" w:eastAsia="Times New Roman" w:hAnsi="Arial" w:cs="Arial"/>
                <w:sz w:val="18"/>
                <w:szCs w:val="18"/>
                <w:lang w:eastAsia="pt-BR"/>
              </w:rPr>
              <w:lastRenderedPageBreak/>
              <w:t>DOCSPCA</w:t>
            </w:r>
          </w:p>
        </w:tc>
        <w:tc>
          <w:tcPr>
            <w:tcW w:w="6946" w:type="dxa"/>
            <w:shd w:val="clear" w:color="auto" w:fill="auto"/>
            <w:vAlign w:val="center"/>
          </w:tcPr>
          <w:p w14:paraId="40572124" w14:textId="770FCBB5" w:rsidR="002223C0" w:rsidRPr="00B6188E" w:rsidRDefault="002223C0" w:rsidP="00C44F8C">
            <w:pPr>
              <w:spacing w:before="120" w:after="120" w:line="240" w:lineRule="auto"/>
              <w:jc w:val="both"/>
              <w:rPr>
                <w:rFonts w:ascii="Arial" w:eastAsia="Times New Roman" w:hAnsi="Arial" w:cs="Arial"/>
                <w:sz w:val="18"/>
                <w:szCs w:val="18"/>
                <w:lang w:eastAsia="pt-BR"/>
              </w:rPr>
            </w:pPr>
            <w:r w:rsidRPr="00B6188E">
              <w:rPr>
                <w:rFonts w:ascii="Arial" w:eastAsia="Times New Roman" w:hAnsi="Arial" w:cs="Arial"/>
                <w:sz w:val="18"/>
                <w:szCs w:val="18"/>
                <w:lang w:eastAsia="pt-BR"/>
              </w:rPr>
              <w:t xml:space="preserve">Referência aos documentos não estruturados, constantes neste Anexo, bem como a justificativa de ausência para os arquivos não enviados. Estrutura e layout constantes do </w:t>
            </w:r>
            <w:r>
              <w:rPr>
                <w:rFonts w:ascii="Arial" w:eastAsia="Times New Roman" w:hAnsi="Arial" w:cs="Arial"/>
                <w:sz w:val="18"/>
                <w:szCs w:val="18"/>
                <w:lang w:eastAsia="pt-BR"/>
              </w:rPr>
              <w:t xml:space="preserve">item </w:t>
            </w:r>
            <w:r w:rsidR="00C44F8C">
              <w:rPr>
                <w:rFonts w:ascii="Arial" w:eastAsia="Times New Roman" w:hAnsi="Arial" w:cs="Arial"/>
                <w:sz w:val="18"/>
                <w:szCs w:val="18"/>
                <w:lang w:eastAsia="pt-BR"/>
              </w:rPr>
              <w:t>3.1</w:t>
            </w:r>
            <w:r>
              <w:rPr>
                <w:rFonts w:ascii="Arial" w:eastAsia="Times New Roman" w:hAnsi="Arial" w:cs="Arial"/>
                <w:sz w:val="18"/>
                <w:szCs w:val="18"/>
                <w:lang w:eastAsia="pt-BR"/>
              </w:rPr>
              <w:t xml:space="preserve"> deste Anexo</w:t>
            </w:r>
            <w:r w:rsidRPr="00B6188E">
              <w:rPr>
                <w:rFonts w:ascii="Arial" w:eastAsia="Times New Roman" w:hAnsi="Arial" w:cs="Arial"/>
                <w:sz w:val="18"/>
                <w:szCs w:val="18"/>
                <w:lang w:eastAsia="pt-BR"/>
              </w:rPr>
              <w:t>.</w:t>
            </w:r>
          </w:p>
        </w:tc>
        <w:tc>
          <w:tcPr>
            <w:tcW w:w="992" w:type="dxa"/>
            <w:shd w:val="clear" w:color="auto" w:fill="auto"/>
            <w:vAlign w:val="center"/>
          </w:tcPr>
          <w:p w14:paraId="699F43B5" w14:textId="77777777" w:rsidR="002223C0" w:rsidRPr="00B6188E" w:rsidRDefault="002223C0" w:rsidP="00886723">
            <w:pPr>
              <w:spacing w:after="0" w:line="240" w:lineRule="auto"/>
              <w:jc w:val="center"/>
              <w:rPr>
                <w:rFonts w:ascii="Arial" w:eastAsia="Times New Roman" w:hAnsi="Arial" w:cs="Arial"/>
                <w:sz w:val="14"/>
                <w:szCs w:val="14"/>
                <w:lang w:eastAsia="pt-BR"/>
              </w:rPr>
            </w:pPr>
            <w:r w:rsidRPr="00B6188E">
              <w:rPr>
                <w:rFonts w:ascii="Arial" w:eastAsia="Times New Roman" w:hAnsi="Arial" w:cs="Arial"/>
                <w:sz w:val="14"/>
                <w:szCs w:val="14"/>
                <w:lang w:eastAsia="pt-BR"/>
              </w:rPr>
              <w:t>XML</w:t>
            </w:r>
          </w:p>
        </w:tc>
      </w:tr>
    </w:tbl>
    <w:p w14:paraId="6B071C03" w14:textId="77777777" w:rsidR="00A67115" w:rsidRDefault="00A67115"/>
    <w:p w14:paraId="0ACA9448" w14:textId="77777777" w:rsidR="00E5197A" w:rsidRDefault="00E5197A">
      <w:pPr>
        <w:rPr>
          <w:rFonts w:ascii="Arial" w:eastAsia="Times New Roman" w:hAnsi="Arial" w:cs="Arial"/>
          <w:b/>
          <w:lang w:eastAsia="pt-BR"/>
        </w:rPr>
      </w:pPr>
      <w:r>
        <w:rPr>
          <w:rFonts w:ascii="Arial" w:eastAsia="Times New Roman" w:hAnsi="Arial" w:cs="Arial"/>
          <w:b/>
          <w:lang w:eastAsia="pt-BR"/>
        </w:rPr>
        <w:br w:type="page"/>
      </w:r>
    </w:p>
    <w:p w14:paraId="18A744EE" w14:textId="31C11DD2" w:rsidR="00D9182C" w:rsidRPr="005B7FCC" w:rsidRDefault="00D9182C" w:rsidP="000F0A16">
      <w:pPr>
        <w:pStyle w:val="Ttulo2"/>
        <w:rPr>
          <w:lang w:val="pt-BR" w:eastAsia="pt-BR"/>
        </w:rPr>
      </w:pPr>
      <w:bookmarkStart w:id="8" w:name="_Toc94806292"/>
      <w:r w:rsidRPr="005B7FCC">
        <w:rPr>
          <w:lang w:val="pt-BR" w:eastAsia="pt-BR"/>
        </w:rPr>
        <w:lastRenderedPageBreak/>
        <w:t>CONTAS DOS ORDENADORES DE DESPESAS DAS ADMINISTRAÇÕES DIRETAS E INDIRETAS DO PODER EXECUTIVO ESTADUAL, EXCETO INSTITUTOS PRÓPRIOS DE PREVIDÊNCIA SOCIAL.</w:t>
      </w:r>
      <w:bookmarkEnd w:id="8"/>
    </w:p>
    <w:p w14:paraId="640C2FD5" w14:textId="77777777" w:rsidR="00D9182C" w:rsidRPr="00A5490A" w:rsidRDefault="00D9182C" w:rsidP="00D9182C">
      <w:pPr>
        <w:spacing w:after="0" w:line="240" w:lineRule="auto"/>
        <w:jc w:val="both"/>
        <w:rPr>
          <w:rFonts w:ascii="Arial" w:eastAsia="Times New Roman" w:hAnsi="Arial" w:cs="Arial"/>
          <w:lang w:eastAsia="pt-BR"/>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6946"/>
        <w:gridCol w:w="992"/>
      </w:tblGrid>
      <w:tr w:rsidR="00CB7C58" w:rsidRPr="00A5490A" w14:paraId="34162FDE" w14:textId="77777777" w:rsidTr="00CB7C58">
        <w:tc>
          <w:tcPr>
            <w:tcW w:w="1242" w:type="dxa"/>
            <w:vAlign w:val="center"/>
          </w:tcPr>
          <w:p w14:paraId="4293E242" w14:textId="77777777" w:rsidR="00CB7C58" w:rsidRPr="00A5490A" w:rsidRDefault="00CB7C58" w:rsidP="00C97ECD">
            <w:pPr>
              <w:spacing w:after="0" w:line="240" w:lineRule="auto"/>
              <w:jc w:val="center"/>
              <w:rPr>
                <w:rFonts w:ascii="Arial" w:eastAsia="Times New Roman" w:hAnsi="Arial" w:cs="Arial"/>
                <w:sz w:val="18"/>
                <w:szCs w:val="18"/>
                <w:lang w:eastAsia="pt-BR"/>
              </w:rPr>
            </w:pPr>
            <w:r>
              <w:rPr>
                <w:rFonts w:ascii="Arial" w:eastAsia="Times New Roman" w:hAnsi="Arial" w:cs="Arial"/>
                <w:sz w:val="18"/>
                <w:szCs w:val="18"/>
                <w:lang w:eastAsia="pt-BR"/>
              </w:rPr>
              <w:t>Código</w:t>
            </w:r>
          </w:p>
        </w:tc>
        <w:tc>
          <w:tcPr>
            <w:tcW w:w="6946" w:type="dxa"/>
            <w:shd w:val="clear" w:color="auto" w:fill="auto"/>
            <w:vAlign w:val="center"/>
          </w:tcPr>
          <w:p w14:paraId="3E5BDCB0" w14:textId="77777777" w:rsidR="00CB7C58" w:rsidRPr="00A5490A" w:rsidRDefault="00CB7C58" w:rsidP="00C97ECD">
            <w:p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Descrição</w:t>
            </w:r>
          </w:p>
        </w:tc>
        <w:tc>
          <w:tcPr>
            <w:tcW w:w="992" w:type="dxa"/>
            <w:shd w:val="clear" w:color="auto" w:fill="auto"/>
            <w:vAlign w:val="center"/>
          </w:tcPr>
          <w:p w14:paraId="652E1631" w14:textId="77777777" w:rsidR="00CB7C58" w:rsidRPr="00A5490A" w:rsidRDefault="00CB7C58" w:rsidP="00C97ECD">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Formato</w:t>
            </w:r>
          </w:p>
        </w:tc>
      </w:tr>
      <w:tr w:rsidR="00CB7C58" w:rsidRPr="00A5490A" w14:paraId="3491AF0F" w14:textId="77777777" w:rsidTr="00CB7C58">
        <w:tc>
          <w:tcPr>
            <w:tcW w:w="1242" w:type="dxa"/>
            <w:vAlign w:val="center"/>
          </w:tcPr>
          <w:p w14:paraId="523717DC" w14:textId="77777777" w:rsidR="00CB7C58" w:rsidRPr="00A5490A" w:rsidRDefault="00CB7C58" w:rsidP="00C97ECD">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ROLRES</w:t>
            </w:r>
          </w:p>
        </w:tc>
        <w:tc>
          <w:tcPr>
            <w:tcW w:w="6946" w:type="dxa"/>
            <w:shd w:val="clear" w:color="auto" w:fill="auto"/>
            <w:vAlign w:val="center"/>
          </w:tcPr>
          <w:p w14:paraId="269B4650" w14:textId="77777777" w:rsidR="00CB7C58" w:rsidRPr="00A5490A" w:rsidRDefault="00CB7C58" w:rsidP="00C97ECD">
            <w:p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Rol de responsáveis contendo: (Artigo 137, I, do RITCEES, aprovado pela Resolução TC nº 261/2013)</w:t>
            </w:r>
          </w:p>
          <w:p w14:paraId="2DE53A6A" w14:textId="77777777" w:rsidR="00CB7C58" w:rsidRPr="00A5490A" w:rsidRDefault="00CB7C58" w:rsidP="00C97ECD">
            <w:pPr>
              <w:numPr>
                <w:ilvl w:val="0"/>
                <w:numId w:val="7"/>
              </w:num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Nome</w:t>
            </w:r>
          </w:p>
          <w:p w14:paraId="4DFEB5B2" w14:textId="77777777" w:rsidR="00CB7C58" w:rsidRPr="00B6188E" w:rsidRDefault="00CB7C58" w:rsidP="00C97ECD">
            <w:pPr>
              <w:numPr>
                <w:ilvl w:val="0"/>
                <w:numId w:val="7"/>
              </w:numPr>
              <w:spacing w:before="120" w:after="120" w:line="240" w:lineRule="auto"/>
              <w:jc w:val="both"/>
              <w:rPr>
                <w:rFonts w:ascii="Arial" w:eastAsia="Times New Roman" w:hAnsi="Arial" w:cs="Arial"/>
                <w:sz w:val="18"/>
                <w:szCs w:val="18"/>
                <w:lang w:eastAsia="pt-BR"/>
              </w:rPr>
            </w:pPr>
            <w:r w:rsidRPr="00B6188E">
              <w:rPr>
                <w:rFonts w:ascii="Arial" w:eastAsia="Times New Roman" w:hAnsi="Arial" w:cs="Arial"/>
                <w:sz w:val="18"/>
                <w:szCs w:val="18"/>
                <w:lang w:eastAsia="pt-BR"/>
              </w:rPr>
              <w:t>Endereço residencial</w:t>
            </w:r>
          </w:p>
          <w:p w14:paraId="3F8D488D" w14:textId="77777777" w:rsidR="00CB7C58" w:rsidRPr="00B6188E" w:rsidRDefault="00CB7C58" w:rsidP="00C97ECD">
            <w:pPr>
              <w:numPr>
                <w:ilvl w:val="0"/>
                <w:numId w:val="7"/>
              </w:numPr>
              <w:spacing w:before="120" w:after="120" w:line="240" w:lineRule="auto"/>
              <w:jc w:val="both"/>
              <w:rPr>
                <w:rFonts w:ascii="Arial" w:eastAsia="Times New Roman" w:hAnsi="Arial" w:cs="Arial"/>
                <w:sz w:val="18"/>
                <w:szCs w:val="18"/>
                <w:lang w:eastAsia="pt-BR"/>
              </w:rPr>
            </w:pPr>
            <w:r w:rsidRPr="00B6188E">
              <w:rPr>
                <w:rFonts w:ascii="Arial" w:eastAsia="Times New Roman" w:hAnsi="Arial" w:cs="Arial"/>
                <w:sz w:val="18"/>
                <w:szCs w:val="18"/>
                <w:lang w:eastAsia="pt-BR"/>
              </w:rPr>
              <w:t>Endereço eletrônico pessoal (email)</w:t>
            </w:r>
          </w:p>
          <w:p w14:paraId="2A252FBA" w14:textId="77777777" w:rsidR="00CB7C58" w:rsidRPr="00B6188E" w:rsidRDefault="00CB7C58" w:rsidP="00C97ECD">
            <w:pPr>
              <w:numPr>
                <w:ilvl w:val="0"/>
                <w:numId w:val="7"/>
              </w:numPr>
              <w:spacing w:before="120" w:after="120" w:line="240" w:lineRule="auto"/>
              <w:jc w:val="both"/>
              <w:rPr>
                <w:rFonts w:ascii="Arial" w:eastAsia="Times New Roman" w:hAnsi="Arial" w:cs="Arial"/>
                <w:sz w:val="18"/>
                <w:szCs w:val="18"/>
                <w:lang w:eastAsia="pt-BR"/>
              </w:rPr>
            </w:pPr>
            <w:r w:rsidRPr="00B6188E">
              <w:rPr>
                <w:rFonts w:ascii="Arial" w:eastAsia="Times New Roman" w:hAnsi="Arial" w:cs="Arial"/>
                <w:sz w:val="18"/>
                <w:szCs w:val="18"/>
                <w:lang w:eastAsia="pt-BR"/>
              </w:rPr>
              <w:t>Cargo ou função</w:t>
            </w:r>
          </w:p>
          <w:p w14:paraId="6FA4B8A0" w14:textId="77777777" w:rsidR="00CB7C58" w:rsidRPr="00A5490A" w:rsidRDefault="00CB7C58" w:rsidP="00C97ECD">
            <w:pPr>
              <w:numPr>
                <w:ilvl w:val="0"/>
                <w:numId w:val="7"/>
              </w:num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Inscrição no cadastro de Pessoas Físicas da RFB (CPF)</w:t>
            </w:r>
          </w:p>
          <w:p w14:paraId="1D4BCBF6" w14:textId="77777777" w:rsidR="00CB7C58" w:rsidRPr="00A5490A" w:rsidRDefault="00CB7C58" w:rsidP="00C97ECD">
            <w:pPr>
              <w:numPr>
                <w:ilvl w:val="0"/>
                <w:numId w:val="7"/>
              </w:num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Período de gestão</w:t>
            </w:r>
          </w:p>
          <w:p w14:paraId="7FDC5D54" w14:textId="77777777" w:rsidR="00CB7C58" w:rsidRPr="00A5490A" w:rsidRDefault="00CB7C58" w:rsidP="00C97ECD">
            <w:pPr>
              <w:numPr>
                <w:ilvl w:val="0"/>
                <w:numId w:val="7"/>
              </w:num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 xml:space="preserve">Ato de nomeação e exoneração </w:t>
            </w:r>
          </w:p>
          <w:p w14:paraId="43F54BDD" w14:textId="77777777" w:rsidR="00CB7C58" w:rsidRPr="00A5490A" w:rsidRDefault="00CB7C58" w:rsidP="00C97ECD">
            <w:pPr>
              <w:spacing w:before="120" w:after="120" w:line="240" w:lineRule="auto"/>
              <w:jc w:val="both"/>
              <w:rPr>
                <w:rFonts w:ascii="Arial" w:eastAsia="Times New Roman" w:hAnsi="Arial" w:cs="Arial"/>
                <w:sz w:val="16"/>
                <w:szCs w:val="16"/>
                <w:lang w:eastAsia="pt-BR"/>
              </w:rPr>
            </w:pPr>
          </w:p>
        </w:tc>
        <w:tc>
          <w:tcPr>
            <w:tcW w:w="992" w:type="dxa"/>
            <w:shd w:val="clear" w:color="auto" w:fill="auto"/>
            <w:vAlign w:val="center"/>
          </w:tcPr>
          <w:p w14:paraId="346C29F0" w14:textId="77777777" w:rsidR="00CB7C58" w:rsidRPr="00A5490A" w:rsidRDefault="00532985" w:rsidP="00C97EC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CB7C58" w:rsidRPr="00A5490A" w14:paraId="2F787E19" w14:textId="77777777" w:rsidTr="00CB7C58">
        <w:tc>
          <w:tcPr>
            <w:tcW w:w="1242" w:type="dxa"/>
            <w:vAlign w:val="center"/>
          </w:tcPr>
          <w:p w14:paraId="53F5A83E" w14:textId="77777777" w:rsidR="00CB7C58" w:rsidRPr="00A5490A" w:rsidRDefault="00CB7C58" w:rsidP="00C97ECD">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RELGES</w:t>
            </w:r>
          </w:p>
        </w:tc>
        <w:tc>
          <w:tcPr>
            <w:tcW w:w="6946" w:type="dxa"/>
            <w:shd w:val="clear" w:color="auto" w:fill="auto"/>
            <w:vAlign w:val="center"/>
          </w:tcPr>
          <w:p w14:paraId="12442B8B" w14:textId="77777777" w:rsidR="00CB7C58" w:rsidRPr="00A5490A" w:rsidRDefault="00CB7C58" w:rsidP="00C97ECD">
            <w:p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Relatório de gestão abordando aspectos de natureza</w:t>
            </w:r>
            <w:r w:rsidRPr="00A5490A">
              <w:rPr>
                <w:rFonts w:ascii="Arial" w:eastAsia="Times New Roman" w:hAnsi="Arial" w:cs="Arial"/>
                <w:bCs/>
                <w:sz w:val="18"/>
                <w:szCs w:val="18"/>
                <w:lang w:eastAsia="pt-BR"/>
              </w:rPr>
              <w:t xml:space="preserve"> orçamentária, financeira, fiscal, operacional e patrimonial, organizado de forma que permita uma visão de conformidade e desempenho dos atos de gestão praticados pelos ordenadores de despesa, evidenciando os resultados dos programas desenvolvidos no âmbito de cada órgão.</w:t>
            </w:r>
            <w:r w:rsidRPr="00A5490A">
              <w:rPr>
                <w:rFonts w:ascii="Arial" w:eastAsia="Times New Roman" w:hAnsi="Arial" w:cs="Arial"/>
                <w:sz w:val="18"/>
                <w:szCs w:val="18"/>
                <w:lang w:eastAsia="pt-BR"/>
              </w:rPr>
              <w:t xml:space="preserve"> (Artigo 137, II, do RITCEES, aprovado pela Resolução TC nº 261/2013)</w:t>
            </w:r>
          </w:p>
        </w:tc>
        <w:tc>
          <w:tcPr>
            <w:tcW w:w="992" w:type="dxa"/>
            <w:shd w:val="clear" w:color="auto" w:fill="auto"/>
            <w:vAlign w:val="center"/>
          </w:tcPr>
          <w:p w14:paraId="5C471EE1" w14:textId="77777777" w:rsidR="00CB7C58" w:rsidRPr="00A5490A" w:rsidRDefault="00532985" w:rsidP="00C97EC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CB7C58" w:rsidRPr="00A5490A" w14:paraId="36F3ABA1" w14:textId="77777777" w:rsidTr="00CB7C58">
        <w:tc>
          <w:tcPr>
            <w:tcW w:w="1242" w:type="dxa"/>
            <w:vAlign w:val="center"/>
          </w:tcPr>
          <w:p w14:paraId="3C8A4F30" w14:textId="77777777" w:rsidR="00CB7C58" w:rsidRPr="00B6188E" w:rsidRDefault="00CB7C58" w:rsidP="00C97ECD">
            <w:pPr>
              <w:spacing w:after="0" w:line="240" w:lineRule="auto"/>
              <w:jc w:val="center"/>
              <w:rPr>
                <w:rFonts w:ascii="Arial" w:eastAsia="Times New Roman" w:hAnsi="Arial" w:cs="Arial"/>
                <w:bCs/>
                <w:sz w:val="18"/>
                <w:szCs w:val="18"/>
                <w:lang w:eastAsia="pt-BR"/>
              </w:rPr>
            </w:pPr>
            <w:r w:rsidRPr="00B6188E">
              <w:rPr>
                <w:rFonts w:ascii="Arial" w:eastAsia="Times New Roman" w:hAnsi="Arial" w:cs="Arial"/>
                <w:bCs/>
                <w:sz w:val="18"/>
                <w:szCs w:val="18"/>
                <w:lang w:eastAsia="pt-BR"/>
              </w:rPr>
              <w:t>RELUCI</w:t>
            </w:r>
          </w:p>
        </w:tc>
        <w:tc>
          <w:tcPr>
            <w:tcW w:w="6946" w:type="dxa"/>
            <w:shd w:val="clear" w:color="auto" w:fill="auto"/>
            <w:vAlign w:val="center"/>
          </w:tcPr>
          <w:p w14:paraId="210CB091" w14:textId="5C40912D" w:rsidR="00CB7C58" w:rsidRPr="00B6188E" w:rsidRDefault="00CB7C58" w:rsidP="001631B2">
            <w:pPr>
              <w:spacing w:before="120" w:after="120" w:line="240" w:lineRule="auto"/>
              <w:jc w:val="both"/>
              <w:rPr>
                <w:rFonts w:ascii="Arial" w:eastAsia="Times New Roman" w:hAnsi="Arial" w:cs="Arial"/>
                <w:sz w:val="18"/>
                <w:szCs w:val="18"/>
                <w:lang w:eastAsia="pt-BR"/>
              </w:rPr>
            </w:pPr>
            <w:r w:rsidRPr="00B6188E">
              <w:rPr>
                <w:rFonts w:ascii="Arial" w:eastAsia="Times New Roman" w:hAnsi="Arial" w:cs="Arial"/>
                <w:bCs/>
                <w:sz w:val="18"/>
                <w:szCs w:val="18"/>
                <w:lang w:eastAsia="pt-BR"/>
              </w:rPr>
              <w:t xml:space="preserve">Relatório e parecer conclusivo emitido </w:t>
            </w:r>
            <w:r w:rsidRPr="00B6188E">
              <w:rPr>
                <w:rFonts w:ascii="Arial" w:eastAsia="Times New Roman" w:hAnsi="Arial" w:cs="Arial"/>
                <w:sz w:val="18"/>
                <w:szCs w:val="18"/>
                <w:lang w:eastAsia="pt-BR"/>
              </w:rPr>
              <w:t xml:space="preserve">pelo controle interno contendo os elementos </w:t>
            </w:r>
            <w:r w:rsidR="00532985">
              <w:rPr>
                <w:rFonts w:ascii="Arial" w:eastAsia="Times New Roman" w:hAnsi="Arial" w:cs="Arial"/>
                <w:sz w:val="18"/>
                <w:szCs w:val="18"/>
                <w:lang w:eastAsia="pt-BR"/>
              </w:rPr>
              <w:t>sugeridos</w:t>
            </w:r>
            <w:r w:rsidRPr="00B6188E">
              <w:rPr>
                <w:rFonts w:ascii="Arial" w:eastAsia="Times New Roman" w:hAnsi="Arial" w:cs="Arial"/>
                <w:sz w:val="18"/>
                <w:szCs w:val="18"/>
                <w:lang w:eastAsia="pt-BR"/>
              </w:rPr>
              <w:t xml:space="preserve"> </w:t>
            </w:r>
            <w:r w:rsidRPr="00723215">
              <w:rPr>
                <w:rFonts w:ascii="Arial" w:eastAsia="Times New Roman" w:hAnsi="Arial" w:cs="Arial"/>
                <w:sz w:val="18"/>
                <w:szCs w:val="18"/>
                <w:lang w:eastAsia="pt-BR"/>
              </w:rPr>
              <w:t xml:space="preserve">no </w:t>
            </w:r>
            <w:r w:rsidR="004034FB" w:rsidRPr="00723215">
              <w:rPr>
                <w:rFonts w:ascii="Arial" w:eastAsia="Times New Roman" w:hAnsi="Arial" w:cs="Arial"/>
                <w:sz w:val="18"/>
                <w:szCs w:val="18"/>
                <w:lang w:eastAsia="pt-BR"/>
              </w:rPr>
              <w:t xml:space="preserve">no item 3.2 </w:t>
            </w:r>
            <w:r w:rsidR="004034FB">
              <w:rPr>
                <w:rFonts w:ascii="Arial" w:eastAsia="Times New Roman" w:hAnsi="Arial" w:cs="Arial"/>
                <w:sz w:val="18"/>
                <w:szCs w:val="18"/>
                <w:lang w:eastAsia="pt-BR"/>
              </w:rPr>
              <w:t>deste Anexo</w:t>
            </w:r>
            <w:r w:rsidRPr="00B6188E">
              <w:rPr>
                <w:rFonts w:ascii="Arial" w:eastAsia="Times New Roman" w:hAnsi="Arial" w:cs="Arial"/>
                <w:sz w:val="18"/>
                <w:szCs w:val="18"/>
                <w:lang w:eastAsia="pt-BR"/>
              </w:rPr>
              <w:t>.</w:t>
            </w:r>
            <w:r w:rsidRPr="00B6188E">
              <w:rPr>
                <w:rFonts w:ascii="Arial" w:eastAsia="Times New Roman" w:hAnsi="Arial" w:cs="Arial"/>
                <w:bCs/>
                <w:sz w:val="18"/>
                <w:szCs w:val="18"/>
                <w:lang w:eastAsia="pt-BR"/>
              </w:rPr>
              <w:t xml:space="preserve"> (Artigo 135, § 4º</w:t>
            </w:r>
            <w:r w:rsidRPr="00B6188E">
              <w:rPr>
                <w:rFonts w:ascii="Arial" w:eastAsia="Times New Roman" w:hAnsi="Arial" w:cs="Arial"/>
                <w:sz w:val="18"/>
                <w:szCs w:val="18"/>
                <w:lang w:eastAsia="pt-BR"/>
              </w:rPr>
              <w:t xml:space="preserve"> c/c artigo 137, IV do RITCEES, aprovado pela Resolução TC nº 261/2013</w:t>
            </w:r>
            <w:r w:rsidRPr="00B6188E">
              <w:rPr>
                <w:rFonts w:ascii="Arial" w:eastAsia="Times New Roman" w:hAnsi="Arial" w:cs="Arial"/>
                <w:bCs/>
                <w:sz w:val="18"/>
                <w:szCs w:val="18"/>
                <w:lang w:eastAsia="pt-BR"/>
              </w:rPr>
              <w:t>)</w:t>
            </w:r>
          </w:p>
        </w:tc>
        <w:tc>
          <w:tcPr>
            <w:tcW w:w="992" w:type="dxa"/>
            <w:shd w:val="clear" w:color="auto" w:fill="auto"/>
            <w:vAlign w:val="center"/>
          </w:tcPr>
          <w:p w14:paraId="7EDE7321" w14:textId="77777777" w:rsidR="00CB7C58" w:rsidRPr="00B6188E" w:rsidRDefault="00532985" w:rsidP="00C97EC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DA26B4" w:rsidRPr="00A5490A" w14:paraId="3A519152" w14:textId="77777777" w:rsidTr="00CB7C58">
        <w:tc>
          <w:tcPr>
            <w:tcW w:w="1242" w:type="dxa"/>
            <w:vAlign w:val="center"/>
          </w:tcPr>
          <w:p w14:paraId="3D0C1608" w14:textId="77777777" w:rsidR="00DA26B4" w:rsidRPr="007F2523" w:rsidRDefault="002324F8" w:rsidP="00736BC5">
            <w:pPr>
              <w:spacing w:after="0" w:line="240" w:lineRule="auto"/>
              <w:jc w:val="center"/>
              <w:rPr>
                <w:rFonts w:ascii="Arial" w:eastAsia="Times New Roman" w:hAnsi="Arial" w:cs="Arial"/>
                <w:sz w:val="18"/>
                <w:szCs w:val="18"/>
                <w:lang w:eastAsia="pt-BR"/>
              </w:rPr>
            </w:pPr>
            <w:r w:rsidRPr="007F2523">
              <w:rPr>
                <w:rFonts w:ascii="Arial" w:eastAsia="Times New Roman" w:hAnsi="Arial" w:cs="Arial"/>
                <w:sz w:val="18"/>
                <w:szCs w:val="18"/>
                <w:lang w:eastAsia="pt-BR"/>
              </w:rPr>
              <w:t>RELACI</w:t>
            </w:r>
          </w:p>
        </w:tc>
        <w:tc>
          <w:tcPr>
            <w:tcW w:w="6946" w:type="dxa"/>
            <w:shd w:val="clear" w:color="auto" w:fill="auto"/>
            <w:vAlign w:val="center"/>
          </w:tcPr>
          <w:p w14:paraId="13B602E1" w14:textId="1EC55F55" w:rsidR="00DA26B4" w:rsidRPr="007F2523" w:rsidRDefault="00DA26B4" w:rsidP="007F2523">
            <w:pPr>
              <w:spacing w:before="120" w:after="120" w:line="240" w:lineRule="auto"/>
              <w:jc w:val="both"/>
              <w:rPr>
                <w:rFonts w:ascii="Arial" w:eastAsia="Times New Roman" w:hAnsi="Arial" w:cs="Arial"/>
                <w:sz w:val="18"/>
                <w:szCs w:val="18"/>
                <w:lang w:eastAsia="pt-BR"/>
              </w:rPr>
            </w:pPr>
            <w:r w:rsidRPr="007F2523">
              <w:rPr>
                <w:rFonts w:ascii="Arial" w:eastAsia="Times New Roman" w:hAnsi="Arial" w:cs="Arial"/>
                <w:sz w:val="18"/>
                <w:szCs w:val="18"/>
                <w:lang w:eastAsia="pt-BR"/>
              </w:rPr>
              <w:t xml:space="preserve">Relatório de atividades realizadas pela Unidade de Controle Interno na UG, contendo informações acerca dos procedimentos relativos ao Plano Anual de Auditorias Internas – PAAI, executadas no exercício, com os elementos </w:t>
            </w:r>
            <w:r w:rsidR="00532985" w:rsidRPr="007F2523">
              <w:rPr>
                <w:rFonts w:ascii="Arial" w:eastAsia="Times New Roman" w:hAnsi="Arial" w:cs="Arial"/>
                <w:sz w:val="18"/>
                <w:szCs w:val="18"/>
                <w:lang w:eastAsia="pt-BR"/>
              </w:rPr>
              <w:t xml:space="preserve">sugeridos </w:t>
            </w:r>
            <w:r w:rsidR="007F2523" w:rsidRPr="007F2523">
              <w:rPr>
                <w:rFonts w:ascii="Arial" w:eastAsia="Times New Roman" w:hAnsi="Arial" w:cs="Arial"/>
                <w:sz w:val="18"/>
                <w:szCs w:val="18"/>
                <w:lang w:eastAsia="pt-BR"/>
              </w:rPr>
              <w:t>no item 3.2 deste Anexo.</w:t>
            </w:r>
          </w:p>
        </w:tc>
        <w:tc>
          <w:tcPr>
            <w:tcW w:w="992" w:type="dxa"/>
            <w:shd w:val="clear" w:color="auto" w:fill="auto"/>
            <w:vAlign w:val="center"/>
          </w:tcPr>
          <w:p w14:paraId="489940A3" w14:textId="77777777" w:rsidR="00DA26B4" w:rsidRPr="00A5490A" w:rsidRDefault="00532985" w:rsidP="00736BC5">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F61F97" w:rsidRPr="00F2087C" w14:paraId="4C09B906" w14:textId="77777777" w:rsidTr="00CB7C58">
        <w:tc>
          <w:tcPr>
            <w:tcW w:w="1242" w:type="dxa"/>
            <w:vAlign w:val="center"/>
          </w:tcPr>
          <w:p w14:paraId="3CB4E2B2" w14:textId="19E6E8FB" w:rsidR="00F61F97" w:rsidRPr="00F2087C" w:rsidRDefault="00F61F97" w:rsidP="00F61F97">
            <w:pPr>
              <w:spacing w:after="0" w:line="240" w:lineRule="auto"/>
              <w:jc w:val="center"/>
              <w:rPr>
                <w:rFonts w:ascii="Arial" w:eastAsia="Times New Roman" w:hAnsi="Arial" w:cs="Arial"/>
                <w:sz w:val="18"/>
                <w:szCs w:val="18"/>
                <w:lang w:eastAsia="pt-BR"/>
              </w:rPr>
            </w:pPr>
            <w:r w:rsidRPr="005173FE">
              <w:rPr>
                <w:rFonts w:ascii="Arial" w:eastAsia="Times New Roman" w:hAnsi="Arial" w:cs="Arial"/>
                <w:sz w:val="18"/>
                <w:szCs w:val="18"/>
                <w:lang w:eastAsia="pt-BR"/>
              </w:rPr>
              <w:t>INFOCI</w:t>
            </w:r>
          </w:p>
        </w:tc>
        <w:tc>
          <w:tcPr>
            <w:tcW w:w="6946" w:type="dxa"/>
            <w:shd w:val="clear" w:color="auto" w:fill="auto"/>
            <w:vAlign w:val="center"/>
          </w:tcPr>
          <w:p w14:paraId="0269A8D3" w14:textId="603CAAE3" w:rsidR="00F61F97" w:rsidRPr="00F2087C" w:rsidRDefault="00AA77C8" w:rsidP="00F61F97">
            <w:pPr>
              <w:spacing w:before="120" w:after="120" w:line="240" w:lineRule="auto"/>
              <w:jc w:val="both"/>
              <w:rPr>
                <w:rFonts w:ascii="Arial" w:eastAsia="Times New Roman" w:hAnsi="Arial" w:cs="Arial"/>
                <w:sz w:val="18"/>
                <w:szCs w:val="18"/>
                <w:lang w:eastAsia="pt-BR"/>
              </w:rPr>
            </w:pPr>
            <w:r>
              <w:rPr>
                <w:rFonts w:ascii="Arial" w:eastAsia="Calibri" w:hAnsi="Arial" w:cs="Times New Roman"/>
                <w:sz w:val="18"/>
                <w:szCs w:val="18"/>
              </w:rPr>
              <w:t>I</w:t>
            </w:r>
            <w:r w:rsidRPr="00462640">
              <w:rPr>
                <w:rFonts w:ascii="Arial" w:eastAsia="Calibri" w:hAnsi="Arial" w:cs="Times New Roman"/>
                <w:sz w:val="18"/>
                <w:szCs w:val="18"/>
              </w:rPr>
              <w:t>nformações da unidade de Controle Interno, bem como as informações sobre a atuação do Controle Interno na verificação dos pontos de controle destinados à emissão do parecer sobre as Prestações de Contas Anuais</w:t>
            </w:r>
            <w:r w:rsidRPr="00792F95">
              <w:rPr>
                <w:rFonts w:ascii="Arial" w:eastAsia="Calibri" w:hAnsi="Arial" w:cs="Times New Roman"/>
                <w:sz w:val="18"/>
                <w:szCs w:val="18"/>
              </w:rPr>
              <w:t>, conforme layout constante do item 3.1 deste Anexo.</w:t>
            </w:r>
          </w:p>
        </w:tc>
        <w:tc>
          <w:tcPr>
            <w:tcW w:w="992" w:type="dxa"/>
            <w:shd w:val="clear" w:color="auto" w:fill="auto"/>
            <w:vAlign w:val="center"/>
          </w:tcPr>
          <w:p w14:paraId="2A7E582E" w14:textId="324D160C" w:rsidR="00F61F97" w:rsidRPr="00F2087C" w:rsidRDefault="00F61F97" w:rsidP="00F61F97">
            <w:pPr>
              <w:spacing w:after="0" w:line="240" w:lineRule="auto"/>
              <w:jc w:val="center"/>
              <w:rPr>
                <w:rFonts w:ascii="Arial" w:eastAsia="Times New Roman" w:hAnsi="Arial" w:cs="Arial"/>
                <w:sz w:val="14"/>
                <w:szCs w:val="14"/>
                <w:lang w:eastAsia="pt-BR"/>
              </w:rPr>
            </w:pPr>
            <w:r w:rsidRPr="005173FE">
              <w:rPr>
                <w:rFonts w:ascii="Arial" w:eastAsia="Times New Roman" w:hAnsi="Arial" w:cs="Arial"/>
                <w:sz w:val="14"/>
                <w:szCs w:val="14"/>
                <w:lang w:eastAsia="pt-BR"/>
              </w:rPr>
              <w:t>XML</w:t>
            </w:r>
          </w:p>
        </w:tc>
      </w:tr>
      <w:tr w:rsidR="00DA26B4" w:rsidRPr="00A5490A" w14:paraId="4F0D74AE" w14:textId="77777777" w:rsidTr="00CB7C58">
        <w:tc>
          <w:tcPr>
            <w:tcW w:w="1242" w:type="dxa"/>
            <w:vAlign w:val="center"/>
          </w:tcPr>
          <w:p w14:paraId="6640C40A" w14:textId="77777777" w:rsidR="00DA26B4" w:rsidRPr="00B6188E" w:rsidRDefault="00DA26B4" w:rsidP="00C97ECD">
            <w:pPr>
              <w:spacing w:after="0" w:line="240" w:lineRule="auto"/>
              <w:jc w:val="center"/>
              <w:rPr>
                <w:rFonts w:ascii="Arial" w:eastAsia="Times New Roman" w:hAnsi="Arial" w:cs="Arial"/>
                <w:sz w:val="18"/>
                <w:szCs w:val="18"/>
                <w:lang w:eastAsia="pt-BR"/>
              </w:rPr>
            </w:pPr>
            <w:r w:rsidRPr="00B6188E">
              <w:rPr>
                <w:rFonts w:ascii="Arial" w:eastAsia="Times New Roman" w:hAnsi="Arial" w:cs="Arial"/>
                <w:sz w:val="18"/>
                <w:szCs w:val="18"/>
                <w:lang w:eastAsia="pt-BR"/>
              </w:rPr>
              <w:t>PROEXE</w:t>
            </w:r>
          </w:p>
        </w:tc>
        <w:tc>
          <w:tcPr>
            <w:tcW w:w="6946" w:type="dxa"/>
            <w:shd w:val="clear" w:color="auto" w:fill="auto"/>
            <w:vAlign w:val="center"/>
          </w:tcPr>
          <w:p w14:paraId="5DAD97E3" w14:textId="77777777" w:rsidR="00DA26B4" w:rsidRPr="00B6188E" w:rsidRDefault="00DA26B4" w:rsidP="00C97ECD">
            <w:pPr>
              <w:spacing w:before="120" w:after="120" w:line="240" w:lineRule="auto"/>
              <w:jc w:val="both"/>
              <w:rPr>
                <w:rFonts w:ascii="Arial" w:eastAsia="Times New Roman" w:hAnsi="Arial" w:cs="Arial"/>
                <w:sz w:val="18"/>
                <w:szCs w:val="18"/>
                <w:lang w:eastAsia="pt-BR"/>
              </w:rPr>
            </w:pPr>
            <w:r w:rsidRPr="00B6188E">
              <w:rPr>
                <w:rFonts w:ascii="Arial" w:eastAsia="Times New Roman" w:hAnsi="Arial" w:cs="Arial"/>
                <w:sz w:val="18"/>
                <w:szCs w:val="18"/>
                <w:lang w:eastAsia="pt-BR"/>
              </w:rPr>
              <w:t>Pronunciamento expresso do chefe do</w:t>
            </w:r>
            <w:r w:rsidRPr="00B6188E">
              <w:rPr>
                <w:rFonts w:ascii="Arial" w:eastAsia="Times New Roman" w:hAnsi="Arial" w:cs="Arial"/>
                <w:b/>
                <w:bCs/>
                <w:sz w:val="18"/>
                <w:szCs w:val="18"/>
                <w:lang w:eastAsia="pt-BR"/>
              </w:rPr>
              <w:t xml:space="preserve"> </w:t>
            </w:r>
            <w:r w:rsidRPr="00B6188E">
              <w:rPr>
                <w:rFonts w:ascii="Arial" w:eastAsia="Times New Roman" w:hAnsi="Arial" w:cs="Arial"/>
                <w:bCs/>
                <w:sz w:val="18"/>
                <w:szCs w:val="18"/>
                <w:lang w:eastAsia="pt-BR"/>
              </w:rPr>
              <w:t>ó</w:t>
            </w:r>
            <w:r w:rsidRPr="00B6188E">
              <w:rPr>
                <w:rFonts w:ascii="Arial" w:eastAsia="Times New Roman" w:hAnsi="Arial" w:cs="Arial"/>
                <w:sz w:val="18"/>
                <w:szCs w:val="18"/>
                <w:lang w:eastAsia="pt-BR"/>
              </w:rPr>
              <w:t>rgão atestando ter tomado conhecimento das conclusões contidas no parecer conclusivo emitido pelo controle interno.</w:t>
            </w:r>
          </w:p>
        </w:tc>
        <w:tc>
          <w:tcPr>
            <w:tcW w:w="992" w:type="dxa"/>
            <w:shd w:val="clear" w:color="auto" w:fill="auto"/>
            <w:vAlign w:val="center"/>
          </w:tcPr>
          <w:p w14:paraId="67A8BAA7" w14:textId="77777777" w:rsidR="00DA26B4" w:rsidRPr="00B6188E" w:rsidRDefault="00532985" w:rsidP="00C97EC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DA26B4" w:rsidRPr="00A5490A" w14:paraId="14D97E89" w14:textId="77777777" w:rsidTr="00CB7C58">
        <w:tc>
          <w:tcPr>
            <w:tcW w:w="1242" w:type="dxa"/>
            <w:vAlign w:val="center"/>
          </w:tcPr>
          <w:p w14:paraId="52421326" w14:textId="77777777" w:rsidR="00DA26B4" w:rsidRPr="00B6188E" w:rsidRDefault="00DA26B4" w:rsidP="00C97ECD">
            <w:pPr>
              <w:spacing w:after="0" w:line="240" w:lineRule="auto"/>
              <w:jc w:val="center"/>
              <w:rPr>
                <w:rFonts w:ascii="Arial" w:eastAsia="Times New Roman" w:hAnsi="Arial" w:cs="Arial"/>
                <w:bCs/>
                <w:sz w:val="18"/>
                <w:szCs w:val="18"/>
                <w:lang w:eastAsia="pt-BR"/>
              </w:rPr>
            </w:pPr>
            <w:r w:rsidRPr="00B6188E">
              <w:rPr>
                <w:rFonts w:ascii="Arial" w:eastAsia="Times New Roman" w:hAnsi="Arial" w:cs="Arial"/>
                <w:bCs/>
                <w:sz w:val="18"/>
                <w:szCs w:val="18"/>
                <w:lang w:eastAsia="pt-BR"/>
              </w:rPr>
              <w:t>DEMREN</w:t>
            </w:r>
          </w:p>
        </w:tc>
        <w:tc>
          <w:tcPr>
            <w:tcW w:w="6946" w:type="dxa"/>
            <w:shd w:val="clear" w:color="auto" w:fill="auto"/>
            <w:vAlign w:val="center"/>
          </w:tcPr>
          <w:p w14:paraId="4BE56DC6" w14:textId="77777777" w:rsidR="00DA26B4" w:rsidRPr="00B6188E" w:rsidRDefault="00DA26B4" w:rsidP="00C97ECD">
            <w:pPr>
              <w:spacing w:before="120" w:after="120" w:line="240" w:lineRule="auto"/>
              <w:jc w:val="both"/>
              <w:rPr>
                <w:rFonts w:ascii="Arial" w:eastAsia="Times New Roman" w:hAnsi="Arial" w:cs="Arial"/>
                <w:bCs/>
                <w:sz w:val="18"/>
                <w:szCs w:val="18"/>
                <w:lang w:eastAsia="pt-BR"/>
              </w:rPr>
            </w:pPr>
            <w:r w:rsidRPr="00B6188E">
              <w:rPr>
                <w:rFonts w:ascii="Arial" w:eastAsia="Times New Roman" w:hAnsi="Arial" w:cs="Arial"/>
                <w:bCs/>
                <w:sz w:val="18"/>
                <w:szCs w:val="18"/>
                <w:lang w:eastAsia="pt-BR"/>
              </w:rPr>
              <w:t>Demonstrativos que expressem as situações dos projetos e instituições beneficiadas por renúncia de receitas, bem como do impacto socioeconômico de suas atividades. (Artigo 136</w:t>
            </w:r>
            <w:r w:rsidRPr="00B6188E">
              <w:rPr>
                <w:rFonts w:ascii="Arial" w:eastAsia="Times New Roman" w:hAnsi="Arial" w:cs="Arial"/>
                <w:sz w:val="18"/>
                <w:szCs w:val="18"/>
                <w:lang w:eastAsia="pt-BR"/>
              </w:rPr>
              <w:t xml:space="preserve"> do RITCEES, aprovado pela Resolução TC nº 261/2013</w:t>
            </w:r>
            <w:r w:rsidRPr="00B6188E">
              <w:rPr>
                <w:rFonts w:ascii="Arial" w:eastAsia="Times New Roman" w:hAnsi="Arial" w:cs="Arial"/>
                <w:bCs/>
                <w:sz w:val="18"/>
                <w:szCs w:val="18"/>
                <w:lang w:eastAsia="pt-BR"/>
              </w:rPr>
              <w:t>)</w:t>
            </w:r>
          </w:p>
        </w:tc>
        <w:tc>
          <w:tcPr>
            <w:tcW w:w="992" w:type="dxa"/>
            <w:shd w:val="clear" w:color="auto" w:fill="auto"/>
            <w:vAlign w:val="center"/>
          </w:tcPr>
          <w:p w14:paraId="3BB11E05" w14:textId="77777777" w:rsidR="00DA26B4" w:rsidRPr="00B6188E" w:rsidRDefault="00532985" w:rsidP="00C97EC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723215" w:rsidRPr="00A5490A" w14:paraId="1D2E31A1" w14:textId="77777777" w:rsidTr="00CB7C58">
        <w:tc>
          <w:tcPr>
            <w:tcW w:w="1242" w:type="dxa"/>
            <w:vAlign w:val="center"/>
          </w:tcPr>
          <w:p w14:paraId="4911F646" w14:textId="3F29721F" w:rsidR="00723215" w:rsidRPr="00723215" w:rsidRDefault="00723215" w:rsidP="00723215">
            <w:pPr>
              <w:spacing w:after="0" w:line="240" w:lineRule="auto"/>
              <w:jc w:val="center"/>
              <w:rPr>
                <w:rFonts w:ascii="Arial" w:eastAsia="Times New Roman" w:hAnsi="Arial" w:cs="Arial"/>
                <w:bCs/>
                <w:sz w:val="18"/>
                <w:szCs w:val="18"/>
                <w:lang w:eastAsia="pt-BR"/>
              </w:rPr>
            </w:pPr>
            <w:r w:rsidRPr="00723215">
              <w:rPr>
                <w:rFonts w:ascii="Arial" w:eastAsia="Times New Roman" w:hAnsi="Arial" w:cs="Arial"/>
                <w:sz w:val="18"/>
                <w:szCs w:val="18"/>
                <w:lang w:eastAsia="pt-BR"/>
              </w:rPr>
              <w:t>CRIA</w:t>
            </w:r>
          </w:p>
        </w:tc>
        <w:tc>
          <w:tcPr>
            <w:tcW w:w="6946" w:type="dxa"/>
            <w:shd w:val="clear" w:color="auto" w:fill="auto"/>
            <w:vAlign w:val="center"/>
          </w:tcPr>
          <w:p w14:paraId="5121B63E" w14:textId="340BD41F" w:rsidR="00723215" w:rsidRPr="00723215" w:rsidRDefault="00723215" w:rsidP="00723215">
            <w:pPr>
              <w:spacing w:before="120" w:after="120" w:line="240" w:lineRule="auto"/>
              <w:jc w:val="both"/>
              <w:rPr>
                <w:rFonts w:ascii="Arial" w:eastAsia="Times New Roman" w:hAnsi="Arial" w:cs="Arial"/>
                <w:bCs/>
                <w:sz w:val="18"/>
                <w:szCs w:val="18"/>
                <w:lang w:eastAsia="pt-BR"/>
              </w:rPr>
            </w:pPr>
            <w:r w:rsidRPr="00723215">
              <w:rPr>
                <w:rFonts w:ascii="Arial" w:eastAsia="Times New Roman" w:hAnsi="Arial" w:cs="Arial"/>
                <w:bCs/>
                <w:sz w:val="18"/>
                <w:szCs w:val="18"/>
                <w:lang w:eastAsia="pt-BR"/>
              </w:rPr>
              <w:t>Demonstrativo especificando a lei de criação da entidade e suas alterações, evidenciando seus objetivos e atribuições.</w:t>
            </w:r>
          </w:p>
        </w:tc>
        <w:tc>
          <w:tcPr>
            <w:tcW w:w="992" w:type="dxa"/>
            <w:shd w:val="clear" w:color="auto" w:fill="auto"/>
            <w:vAlign w:val="center"/>
          </w:tcPr>
          <w:p w14:paraId="1559480F" w14:textId="44D58054" w:rsidR="00723215" w:rsidRPr="00723215" w:rsidRDefault="00723215" w:rsidP="00723215">
            <w:pPr>
              <w:spacing w:after="0" w:line="240" w:lineRule="auto"/>
              <w:jc w:val="center"/>
              <w:rPr>
                <w:rFonts w:ascii="Arial" w:eastAsia="Times New Roman" w:hAnsi="Arial" w:cs="Arial"/>
                <w:sz w:val="14"/>
                <w:szCs w:val="14"/>
                <w:lang w:eastAsia="pt-BR"/>
              </w:rPr>
            </w:pPr>
            <w:r w:rsidRPr="00723215">
              <w:rPr>
                <w:rFonts w:ascii="Arial" w:eastAsia="Times New Roman" w:hAnsi="Arial" w:cs="Arial"/>
                <w:sz w:val="14"/>
                <w:szCs w:val="14"/>
                <w:lang w:eastAsia="pt-BR"/>
              </w:rPr>
              <w:t>PDF</w:t>
            </w:r>
          </w:p>
        </w:tc>
      </w:tr>
      <w:tr w:rsidR="00EE115F" w:rsidRPr="00A5490A" w14:paraId="4DDB400F" w14:textId="77777777" w:rsidTr="00CB7C58">
        <w:tc>
          <w:tcPr>
            <w:tcW w:w="1242" w:type="dxa"/>
            <w:vAlign w:val="center"/>
          </w:tcPr>
          <w:p w14:paraId="76D803A4" w14:textId="77777777" w:rsidR="00EE115F" w:rsidRPr="00A5490A" w:rsidRDefault="00EE115F" w:rsidP="00EE115F">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BALORC</w:t>
            </w:r>
          </w:p>
        </w:tc>
        <w:tc>
          <w:tcPr>
            <w:tcW w:w="6946" w:type="dxa"/>
            <w:shd w:val="clear" w:color="auto" w:fill="auto"/>
            <w:vAlign w:val="center"/>
          </w:tcPr>
          <w:p w14:paraId="58109B6B" w14:textId="3F216CA8" w:rsidR="00EE115F" w:rsidRPr="00A5490A" w:rsidRDefault="00EE115F" w:rsidP="00C44F8C">
            <w:p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Balanço Orçamentário</w:t>
            </w:r>
            <w:r w:rsidR="00723215">
              <w:rPr>
                <w:rFonts w:ascii="Arial" w:eastAsia="Times New Roman" w:hAnsi="Arial" w:cs="Arial"/>
                <w:sz w:val="18"/>
                <w:szCs w:val="18"/>
                <w:lang w:eastAsia="pt-BR"/>
              </w:rPr>
              <w:t xml:space="preserve"> (Anexo 12 Lei 4.320/1964), </w:t>
            </w:r>
            <w:r w:rsidRPr="00A5490A">
              <w:rPr>
                <w:rFonts w:ascii="Arial" w:eastAsia="Times New Roman" w:hAnsi="Arial" w:cs="Arial"/>
                <w:sz w:val="18"/>
                <w:szCs w:val="18"/>
                <w:lang w:eastAsia="pt-BR"/>
              </w:rPr>
              <w:t>e outros quadros elucidativos que se fizerem necessários</w:t>
            </w:r>
            <w:r>
              <w:rPr>
                <w:rFonts w:ascii="Arial" w:eastAsia="Times New Roman" w:hAnsi="Arial" w:cs="Arial"/>
                <w:sz w:val="18"/>
                <w:szCs w:val="18"/>
                <w:lang w:eastAsia="pt-BR"/>
              </w:rPr>
              <w:t xml:space="preserve"> </w:t>
            </w:r>
            <w:r w:rsidRPr="00A5490A">
              <w:rPr>
                <w:rFonts w:ascii="Arial" w:eastAsia="Times New Roman" w:hAnsi="Arial" w:cs="Arial"/>
                <w:sz w:val="18"/>
                <w:szCs w:val="18"/>
                <w:lang w:eastAsia="pt-BR"/>
              </w:rPr>
              <w:t>(Artigo 101 da Lei Federal nº 4.320/64)</w:t>
            </w:r>
            <w:r>
              <w:rPr>
                <w:rFonts w:ascii="Arial" w:eastAsia="Times New Roman" w:hAnsi="Arial" w:cs="Arial"/>
                <w:sz w:val="18"/>
                <w:szCs w:val="18"/>
                <w:lang w:eastAsia="pt-BR"/>
              </w:rPr>
              <w:t xml:space="preserve">. Estrutura e layout constantes do item </w:t>
            </w:r>
            <w:r w:rsidR="00C44F8C">
              <w:rPr>
                <w:rFonts w:ascii="Arial" w:eastAsia="Times New Roman" w:hAnsi="Arial" w:cs="Arial"/>
                <w:sz w:val="18"/>
                <w:szCs w:val="18"/>
                <w:lang w:eastAsia="pt-BR"/>
              </w:rPr>
              <w:t>3.1</w:t>
            </w:r>
            <w:r>
              <w:rPr>
                <w:rFonts w:ascii="Arial" w:eastAsia="Times New Roman" w:hAnsi="Arial" w:cs="Arial"/>
                <w:sz w:val="18"/>
                <w:szCs w:val="18"/>
                <w:lang w:eastAsia="pt-BR"/>
              </w:rPr>
              <w:t xml:space="preserve"> deste Anexo.</w:t>
            </w:r>
          </w:p>
        </w:tc>
        <w:tc>
          <w:tcPr>
            <w:tcW w:w="992" w:type="dxa"/>
            <w:shd w:val="clear" w:color="auto" w:fill="auto"/>
            <w:vAlign w:val="center"/>
          </w:tcPr>
          <w:p w14:paraId="102746FE" w14:textId="77777777" w:rsidR="00EE115F" w:rsidRPr="00A5490A" w:rsidRDefault="00EE115F" w:rsidP="00EE115F">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XML</w:t>
            </w:r>
          </w:p>
        </w:tc>
      </w:tr>
      <w:tr w:rsidR="00EE115F" w:rsidRPr="00A5490A" w14:paraId="6B4CDC00" w14:textId="77777777" w:rsidTr="00CB7C58">
        <w:tc>
          <w:tcPr>
            <w:tcW w:w="1242" w:type="dxa"/>
            <w:vAlign w:val="center"/>
          </w:tcPr>
          <w:p w14:paraId="6F356BB8" w14:textId="77777777" w:rsidR="00EE115F" w:rsidRPr="00A5490A" w:rsidRDefault="00EE115F" w:rsidP="00EE115F">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BALFIN</w:t>
            </w:r>
          </w:p>
        </w:tc>
        <w:tc>
          <w:tcPr>
            <w:tcW w:w="6946" w:type="dxa"/>
            <w:shd w:val="clear" w:color="auto" w:fill="auto"/>
            <w:vAlign w:val="center"/>
          </w:tcPr>
          <w:p w14:paraId="6F725DBD" w14:textId="46982B4A" w:rsidR="00EE115F" w:rsidRPr="00A5490A" w:rsidRDefault="00EE115F" w:rsidP="00C44F8C">
            <w:p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Balanço Financeiro (Anexo 13 L</w:t>
            </w:r>
            <w:r w:rsidR="00723215">
              <w:rPr>
                <w:rFonts w:ascii="Arial" w:eastAsia="Times New Roman" w:hAnsi="Arial" w:cs="Arial"/>
                <w:sz w:val="18"/>
                <w:szCs w:val="18"/>
                <w:lang w:eastAsia="pt-BR"/>
              </w:rPr>
              <w:t>ei 4.320/1964)</w:t>
            </w:r>
            <w:r w:rsidRPr="00A5490A">
              <w:rPr>
                <w:rFonts w:ascii="Arial" w:eastAsia="Times New Roman" w:hAnsi="Arial" w:cs="Arial"/>
                <w:sz w:val="18"/>
                <w:szCs w:val="18"/>
                <w:lang w:eastAsia="pt-BR"/>
              </w:rPr>
              <w:t xml:space="preserve"> e outros quadros elucidativos que se fizerem necessários</w:t>
            </w:r>
            <w:r>
              <w:rPr>
                <w:rFonts w:ascii="Arial" w:eastAsia="Times New Roman" w:hAnsi="Arial" w:cs="Arial"/>
                <w:sz w:val="18"/>
                <w:szCs w:val="18"/>
                <w:lang w:eastAsia="pt-BR"/>
              </w:rPr>
              <w:t xml:space="preserve"> </w:t>
            </w:r>
            <w:r w:rsidRPr="00A5490A">
              <w:rPr>
                <w:rFonts w:ascii="Arial" w:eastAsia="Times New Roman" w:hAnsi="Arial" w:cs="Arial"/>
                <w:sz w:val="18"/>
                <w:szCs w:val="18"/>
                <w:lang w:eastAsia="pt-BR"/>
              </w:rPr>
              <w:t>(Artigo 101 da Lei Federal nº 4.320/64)</w:t>
            </w:r>
            <w:r>
              <w:rPr>
                <w:rFonts w:ascii="Arial" w:eastAsia="Times New Roman" w:hAnsi="Arial" w:cs="Arial"/>
                <w:sz w:val="18"/>
                <w:szCs w:val="18"/>
                <w:lang w:eastAsia="pt-BR"/>
              </w:rPr>
              <w:t xml:space="preserve">. Estrutura e layout constantes do item </w:t>
            </w:r>
            <w:r w:rsidR="00C44F8C">
              <w:rPr>
                <w:rFonts w:ascii="Arial" w:eastAsia="Times New Roman" w:hAnsi="Arial" w:cs="Arial"/>
                <w:sz w:val="18"/>
                <w:szCs w:val="18"/>
                <w:lang w:eastAsia="pt-BR"/>
              </w:rPr>
              <w:t>3.1</w:t>
            </w:r>
            <w:r>
              <w:rPr>
                <w:rFonts w:ascii="Arial" w:eastAsia="Times New Roman" w:hAnsi="Arial" w:cs="Arial"/>
                <w:sz w:val="18"/>
                <w:szCs w:val="18"/>
                <w:lang w:eastAsia="pt-BR"/>
              </w:rPr>
              <w:t xml:space="preserve"> deste Anexo</w:t>
            </w:r>
          </w:p>
        </w:tc>
        <w:tc>
          <w:tcPr>
            <w:tcW w:w="992" w:type="dxa"/>
            <w:shd w:val="clear" w:color="auto" w:fill="auto"/>
            <w:vAlign w:val="center"/>
          </w:tcPr>
          <w:p w14:paraId="11830B15" w14:textId="77777777" w:rsidR="00EE115F" w:rsidRPr="00A5490A" w:rsidRDefault="00EE115F" w:rsidP="00EE115F">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XML</w:t>
            </w:r>
          </w:p>
        </w:tc>
      </w:tr>
      <w:tr w:rsidR="00EE115F" w:rsidRPr="00A5490A" w14:paraId="731F0CA7" w14:textId="77777777" w:rsidTr="00CB7C58">
        <w:tc>
          <w:tcPr>
            <w:tcW w:w="1242" w:type="dxa"/>
            <w:vAlign w:val="center"/>
          </w:tcPr>
          <w:p w14:paraId="7EA0CEC1" w14:textId="77777777" w:rsidR="00EE115F" w:rsidRPr="00A5490A" w:rsidRDefault="00EE115F" w:rsidP="00EE115F">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lastRenderedPageBreak/>
              <w:t>BALPAT</w:t>
            </w:r>
          </w:p>
        </w:tc>
        <w:tc>
          <w:tcPr>
            <w:tcW w:w="6946" w:type="dxa"/>
            <w:shd w:val="clear" w:color="auto" w:fill="auto"/>
            <w:vAlign w:val="center"/>
          </w:tcPr>
          <w:p w14:paraId="7A28AB89" w14:textId="54AEE419" w:rsidR="00EE115F" w:rsidRPr="00A5490A" w:rsidRDefault="00EE115F" w:rsidP="00C44F8C">
            <w:p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Balanço Patrimonial (Anexo 14 Lei 4.320/196</w:t>
            </w:r>
            <w:r w:rsidR="00B66366">
              <w:rPr>
                <w:rFonts w:ascii="Arial" w:eastAsia="Times New Roman" w:hAnsi="Arial" w:cs="Arial"/>
                <w:sz w:val="18"/>
                <w:szCs w:val="18"/>
                <w:lang w:eastAsia="pt-BR"/>
              </w:rPr>
              <w:t>4)</w:t>
            </w:r>
            <w:r w:rsidRPr="00A5490A">
              <w:rPr>
                <w:rFonts w:ascii="Arial" w:eastAsia="Times New Roman" w:hAnsi="Arial" w:cs="Arial"/>
                <w:sz w:val="18"/>
                <w:szCs w:val="18"/>
                <w:lang w:eastAsia="pt-BR"/>
              </w:rPr>
              <w:t xml:space="preserve"> e outros quadros elucidativos que se fizerem necessários</w:t>
            </w:r>
            <w:r>
              <w:rPr>
                <w:rFonts w:ascii="Arial" w:eastAsia="Times New Roman" w:hAnsi="Arial" w:cs="Arial"/>
                <w:sz w:val="18"/>
                <w:szCs w:val="18"/>
                <w:lang w:eastAsia="pt-BR"/>
              </w:rPr>
              <w:t xml:space="preserve"> </w:t>
            </w:r>
            <w:r w:rsidRPr="00A5490A">
              <w:rPr>
                <w:rFonts w:ascii="Arial" w:eastAsia="Times New Roman" w:hAnsi="Arial" w:cs="Arial"/>
                <w:sz w:val="18"/>
                <w:szCs w:val="18"/>
                <w:lang w:eastAsia="pt-BR"/>
              </w:rPr>
              <w:t>(Artigo 101 da Lei Federal nº 4.320/64)</w:t>
            </w:r>
            <w:r>
              <w:rPr>
                <w:rFonts w:ascii="Arial" w:eastAsia="Times New Roman" w:hAnsi="Arial" w:cs="Arial"/>
                <w:sz w:val="18"/>
                <w:szCs w:val="18"/>
                <w:lang w:eastAsia="pt-BR"/>
              </w:rPr>
              <w:t xml:space="preserve">. Estrutura e layout constantes do item </w:t>
            </w:r>
            <w:r w:rsidR="00C44F8C">
              <w:rPr>
                <w:rFonts w:ascii="Arial" w:eastAsia="Times New Roman" w:hAnsi="Arial" w:cs="Arial"/>
                <w:sz w:val="18"/>
                <w:szCs w:val="18"/>
                <w:lang w:eastAsia="pt-BR"/>
              </w:rPr>
              <w:t>3.1</w:t>
            </w:r>
            <w:r>
              <w:rPr>
                <w:rFonts w:ascii="Arial" w:eastAsia="Times New Roman" w:hAnsi="Arial" w:cs="Arial"/>
                <w:sz w:val="18"/>
                <w:szCs w:val="18"/>
                <w:lang w:eastAsia="pt-BR"/>
              </w:rPr>
              <w:t xml:space="preserve"> deste Anexo</w:t>
            </w:r>
          </w:p>
        </w:tc>
        <w:tc>
          <w:tcPr>
            <w:tcW w:w="992" w:type="dxa"/>
            <w:shd w:val="clear" w:color="auto" w:fill="auto"/>
            <w:vAlign w:val="center"/>
          </w:tcPr>
          <w:p w14:paraId="0549967E" w14:textId="77777777" w:rsidR="00EE115F" w:rsidRPr="00A5490A" w:rsidRDefault="00EE115F" w:rsidP="00EE115F">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XML</w:t>
            </w:r>
          </w:p>
        </w:tc>
      </w:tr>
      <w:tr w:rsidR="00EE115F" w:rsidRPr="00A5490A" w14:paraId="3AB49142" w14:textId="77777777" w:rsidTr="00CB7C58">
        <w:tc>
          <w:tcPr>
            <w:tcW w:w="1242" w:type="dxa"/>
            <w:vAlign w:val="center"/>
          </w:tcPr>
          <w:p w14:paraId="09355B4E" w14:textId="77777777" w:rsidR="00EE115F" w:rsidRPr="00A5490A" w:rsidRDefault="00EE115F" w:rsidP="00EE115F">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DEMVAP</w:t>
            </w:r>
          </w:p>
        </w:tc>
        <w:tc>
          <w:tcPr>
            <w:tcW w:w="6946" w:type="dxa"/>
            <w:shd w:val="clear" w:color="auto" w:fill="auto"/>
            <w:vAlign w:val="center"/>
          </w:tcPr>
          <w:p w14:paraId="5EFC83E5" w14:textId="79A461BF" w:rsidR="00EE115F" w:rsidRPr="00A5490A" w:rsidRDefault="00EE115F" w:rsidP="00C44F8C">
            <w:p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Demonstração das Variações Patrimoniais (Anexo 15 Lei 4</w:t>
            </w:r>
            <w:r w:rsidR="00B66366">
              <w:rPr>
                <w:rFonts w:ascii="Arial" w:eastAsia="Times New Roman" w:hAnsi="Arial" w:cs="Arial"/>
                <w:sz w:val="18"/>
                <w:szCs w:val="18"/>
                <w:lang w:eastAsia="pt-BR"/>
              </w:rPr>
              <w:t xml:space="preserve">.320/1964) </w:t>
            </w:r>
            <w:r w:rsidRPr="00A5490A">
              <w:rPr>
                <w:rFonts w:ascii="Arial" w:eastAsia="Times New Roman" w:hAnsi="Arial" w:cs="Arial"/>
                <w:sz w:val="18"/>
                <w:szCs w:val="18"/>
                <w:lang w:eastAsia="pt-BR"/>
              </w:rPr>
              <w:t>e outros quadros elucidativos que se fizerem necessários</w:t>
            </w:r>
            <w:r>
              <w:rPr>
                <w:rFonts w:ascii="Arial" w:eastAsia="Times New Roman" w:hAnsi="Arial" w:cs="Arial"/>
                <w:sz w:val="18"/>
                <w:szCs w:val="18"/>
                <w:lang w:eastAsia="pt-BR"/>
              </w:rPr>
              <w:t xml:space="preserve"> </w:t>
            </w:r>
            <w:r w:rsidRPr="00A5490A">
              <w:rPr>
                <w:rFonts w:ascii="Arial" w:eastAsia="Times New Roman" w:hAnsi="Arial" w:cs="Arial"/>
                <w:sz w:val="18"/>
                <w:szCs w:val="18"/>
                <w:lang w:eastAsia="pt-BR"/>
              </w:rPr>
              <w:t>(Artigo 101 da Lei nº 4.320/64)</w:t>
            </w:r>
            <w:r>
              <w:rPr>
                <w:rFonts w:ascii="Arial" w:eastAsia="Times New Roman" w:hAnsi="Arial" w:cs="Arial"/>
                <w:sz w:val="18"/>
                <w:szCs w:val="18"/>
                <w:lang w:eastAsia="pt-BR"/>
              </w:rPr>
              <w:t xml:space="preserve">. Estrutura e layout constantes do item </w:t>
            </w:r>
            <w:r w:rsidR="00C44F8C">
              <w:rPr>
                <w:rFonts w:ascii="Arial" w:eastAsia="Times New Roman" w:hAnsi="Arial" w:cs="Arial"/>
                <w:sz w:val="18"/>
                <w:szCs w:val="18"/>
                <w:lang w:eastAsia="pt-BR"/>
              </w:rPr>
              <w:t>3.1</w:t>
            </w:r>
            <w:r>
              <w:rPr>
                <w:rFonts w:ascii="Arial" w:eastAsia="Times New Roman" w:hAnsi="Arial" w:cs="Arial"/>
                <w:sz w:val="18"/>
                <w:szCs w:val="18"/>
                <w:lang w:eastAsia="pt-BR"/>
              </w:rPr>
              <w:t xml:space="preserve"> deste Anexo</w:t>
            </w:r>
          </w:p>
        </w:tc>
        <w:tc>
          <w:tcPr>
            <w:tcW w:w="992" w:type="dxa"/>
            <w:shd w:val="clear" w:color="auto" w:fill="auto"/>
            <w:vAlign w:val="center"/>
          </w:tcPr>
          <w:p w14:paraId="185CC9C0" w14:textId="77777777" w:rsidR="00EE115F" w:rsidRPr="00A5490A" w:rsidRDefault="00EE115F" w:rsidP="00EE115F">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XML</w:t>
            </w:r>
          </w:p>
        </w:tc>
      </w:tr>
      <w:tr w:rsidR="00BB5923" w:rsidRPr="00A5490A" w14:paraId="2DADABA0" w14:textId="77777777" w:rsidTr="00CB7C58">
        <w:tc>
          <w:tcPr>
            <w:tcW w:w="1242" w:type="dxa"/>
            <w:vAlign w:val="center"/>
          </w:tcPr>
          <w:p w14:paraId="2A89BB1E" w14:textId="1BA8993F" w:rsidR="00BB5923" w:rsidRPr="003B4337" w:rsidRDefault="00BB5923" w:rsidP="00BB5923">
            <w:pPr>
              <w:spacing w:after="0" w:line="240" w:lineRule="auto"/>
              <w:jc w:val="center"/>
              <w:rPr>
                <w:rFonts w:ascii="Arial" w:eastAsia="Times New Roman" w:hAnsi="Arial" w:cs="Arial"/>
                <w:sz w:val="18"/>
                <w:szCs w:val="18"/>
                <w:lang w:eastAsia="pt-BR"/>
              </w:rPr>
            </w:pPr>
            <w:r w:rsidRPr="0073452B">
              <w:rPr>
                <w:rFonts w:ascii="Arial" w:eastAsia="Times New Roman" w:hAnsi="Arial" w:cs="Arial"/>
                <w:sz w:val="18"/>
                <w:szCs w:val="18"/>
                <w:lang w:eastAsia="pt-BR"/>
              </w:rPr>
              <w:t>BALVERF_E</w:t>
            </w:r>
          </w:p>
        </w:tc>
        <w:tc>
          <w:tcPr>
            <w:tcW w:w="6946" w:type="dxa"/>
            <w:shd w:val="clear" w:color="auto" w:fill="auto"/>
            <w:vAlign w:val="center"/>
          </w:tcPr>
          <w:p w14:paraId="00DC3F46" w14:textId="74949D23" w:rsidR="00BB5923" w:rsidRPr="003B4337" w:rsidRDefault="00BB5923" w:rsidP="00C44F8C">
            <w:pPr>
              <w:spacing w:before="120" w:after="120" w:line="240" w:lineRule="auto"/>
              <w:jc w:val="both"/>
              <w:rPr>
                <w:rFonts w:ascii="Arial" w:eastAsia="Times New Roman" w:hAnsi="Arial" w:cs="Arial"/>
                <w:sz w:val="18"/>
                <w:szCs w:val="18"/>
                <w:lang w:eastAsia="pt-BR"/>
              </w:rPr>
            </w:pPr>
            <w:r w:rsidRPr="0073452B">
              <w:rPr>
                <w:rFonts w:ascii="Arial" w:eastAsia="Times New Roman" w:hAnsi="Arial" w:cs="Arial"/>
                <w:sz w:val="18"/>
                <w:szCs w:val="18"/>
                <w:lang w:eastAsia="pt-BR"/>
              </w:rPr>
              <w:t xml:space="preserve">Balancete de verificação, com saldos acumulados no exercício, detalhado até o nível de conta contábil de lançamento, abrangendo todas as contas contábeis com movimentação no exercício, segregadas por natureza da informação patrimonial, orçamentária e de controle, informando o saldo anterior, o total a débito, o total a crédito e o saldo final. Estrutura e layout constantes do item </w:t>
            </w:r>
            <w:r w:rsidR="00C44F8C">
              <w:rPr>
                <w:rFonts w:ascii="Arial" w:eastAsia="Times New Roman" w:hAnsi="Arial" w:cs="Arial"/>
                <w:sz w:val="18"/>
                <w:szCs w:val="18"/>
                <w:lang w:eastAsia="pt-BR"/>
              </w:rPr>
              <w:t>3.1</w:t>
            </w:r>
            <w:r w:rsidRPr="0073452B">
              <w:rPr>
                <w:rFonts w:ascii="Arial" w:eastAsia="Times New Roman" w:hAnsi="Arial" w:cs="Arial"/>
                <w:sz w:val="18"/>
                <w:szCs w:val="18"/>
                <w:lang w:eastAsia="pt-BR"/>
              </w:rPr>
              <w:t xml:space="preserve"> deste Anexo</w:t>
            </w:r>
          </w:p>
        </w:tc>
        <w:tc>
          <w:tcPr>
            <w:tcW w:w="992" w:type="dxa"/>
            <w:shd w:val="clear" w:color="auto" w:fill="auto"/>
            <w:vAlign w:val="center"/>
          </w:tcPr>
          <w:p w14:paraId="1C741DF3" w14:textId="162E6FCB" w:rsidR="00BB5923" w:rsidRDefault="00BB5923" w:rsidP="00BB5923">
            <w:pPr>
              <w:spacing w:after="0" w:line="240" w:lineRule="auto"/>
              <w:jc w:val="center"/>
              <w:rPr>
                <w:rFonts w:ascii="Arial" w:eastAsia="Times New Roman" w:hAnsi="Arial" w:cs="Arial"/>
                <w:sz w:val="14"/>
                <w:szCs w:val="14"/>
                <w:lang w:eastAsia="pt-BR"/>
              </w:rPr>
            </w:pPr>
            <w:r w:rsidRPr="0073452B">
              <w:rPr>
                <w:rFonts w:ascii="Arial" w:eastAsia="Times New Roman" w:hAnsi="Arial" w:cs="Arial"/>
                <w:sz w:val="14"/>
                <w:szCs w:val="14"/>
                <w:lang w:eastAsia="pt-BR"/>
              </w:rPr>
              <w:t>XML</w:t>
            </w:r>
          </w:p>
        </w:tc>
      </w:tr>
      <w:tr w:rsidR="00BB5923" w:rsidRPr="00A5490A" w14:paraId="2CFBF97D" w14:textId="77777777" w:rsidTr="00CB7C58">
        <w:tc>
          <w:tcPr>
            <w:tcW w:w="1242" w:type="dxa"/>
            <w:vAlign w:val="center"/>
          </w:tcPr>
          <w:p w14:paraId="5EEE9836" w14:textId="0E836D34" w:rsidR="00BB5923" w:rsidRPr="003B4337" w:rsidRDefault="00BB5923" w:rsidP="00BB5923">
            <w:pPr>
              <w:spacing w:after="0" w:line="240" w:lineRule="auto"/>
              <w:jc w:val="center"/>
              <w:rPr>
                <w:rFonts w:ascii="Arial" w:eastAsia="Times New Roman" w:hAnsi="Arial" w:cs="Arial"/>
                <w:sz w:val="18"/>
                <w:szCs w:val="18"/>
                <w:lang w:eastAsia="pt-BR"/>
              </w:rPr>
            </w:pPr>
            <w:r w:rsidRPr="0073452B">
              <w:rPr>
                <w:rFonts w:ascii="Arial" w:eastAsia="Times New Roman" w:hAnsi="Arial" w:cs="Arial"/>
                <w:sz w:val="18"/>
                <w:szCs w:val="18"/>
                <w:lang w:eastAsia="pt-BR"/>
              </w:rPr>
              <w:t>BALEXOD_E</w:t>
            </w:r>
          </w:p>
        </w:tc>
        <w:tc>
          <w:tcPr>
            <w:tcW w:w="6946" w:type="dxa"/>
            <w:shd w:val="clear" w:color="auto" w:fill="auto"/>
            <w:vAlign w:val="center"/>
          </w:tcPr>
          <w:p w14:paraId="0252445C" w14:textId="431B550D" w:rsidR="00BB5923" w:rsidRPr="003B4337" w:rsidRDefault="00BB5923" w:rsidP="00C44F8C">
            <w:pPr>
              <w:spacing w:before="120" w:after="120" w:line="240" w:lineRule="auto"/>
              <w:jc w:val="both"/>
              <w:rPr>
                <w:rFonts w:ascii="Arial" w:eastAsia="Times New Roman" w:hAnsi="Arial" w:cs="Arial"/>
                <w:sz w:val="18"/>
                <w:szCs w:val="18"/>
                <w:lang w:eastAsia="pt-BR"/>
              </w:rPr>
            </w:pPr>
            <w:r w:rsidRPr="0073452B">
              <w:rPr>
                <w:rFonts w:ascii="Arial" w:eastAsia="Times New Roman" w:hAnsi="Arial" w:cs="Arial"/>
                <w:sz w:val="18"/>
                <w:szCs w:val="18"/>
                <w:lang w:eastAsia="pt-BR"/>
              </w:rPr>
              <w:t xml:space="preserve">Balancete da execução orçamentária da despesa, acumulado até o mês de dezembro, demonstrando a fixação orçamentária da despesa, a movimentação dos créditos adicionais, os valores empenhados, liquidados e pagos, e a fonte de recursos. Estrutura e layout constantes do item </w:t>
            </w:r>
            <w:r w:rsidR="00C44F8C">
              <w:rPr>
                <w:rFonts w:ascii="Arial" w:eastAsia="Times New Roman" w:hAnsi="Arial" w:cs="Arial"/>
                <w:sz w:val="18"/>
                <w:szCs w:val="18"/>
                <w:lang w:eastAsia="pt-BR"/>
              </w:rPr>
              <w:t>3.1</w:t>
            </w:r>
            <w:r w:rsidRPr="0073452B">
              <w:rPr>
                <w:rFonts w:ascii="Arial" w:eastAsia="Times New Roman" w:hAnsi="Arial" w:cs="Arial"/>
                <w:sz w:val="18"/>
                <w:szCs w:val="18"/>
                <w:lang w:eastAsia="pt-BR"/>
              </w:rPr>
              <w:t xml:space="preserve"> deste Anexo</w:t>
            </w:r>
          </w:p>
        </w:tc>
        <w:tc>
          <w:tcPr>
            <w:tcW w:w="992" w:type="dxa"/>
            <w:shd w:val="clear" w:color="auto" w:fill="auto"/>
            <w:vAlign w:val="center"/>
          </w:tcPr>
          <w:p w14:paraId="291530C0" w14:textId="3F7699F4" w:rsidR="00BB5923" w:rsidRDefault="00BB5923" w:rsidP="00BB5923">
            <w:pPr>
              <w:spacing w:after="0" w:line="240" w:lineRule="auto"/>
              <w:jc w:val="center"/>
              <w:rPr>
                <w:rFonts w:ascii="Arial" w:eastAsia="Times New Roman" w:hAnsi="Arial" w:cs="Arial"/>
                <w:sz w:val="14"/>
                <w:szCs w:val="14"/>
                <w:lang w:eastAsia="pt-BR"/>
              </w:rPr>
            </w:pPr>
            <w:r w:rsidRPr="0073452B">
              <w:rPr>
                <w:rFonts w:ascii="Arial" w:eastAsia="Times New Roman" w:hAnsi="Arial" w:cs="Arial"/>
                <w:sz w:val="14"/>
                <w:szCs w:val="14"/>
                <w:lang w:eastAsia="pt-BR"/>
              </w:rPr>
              <w:t>XML</w:t>
            </w:r>
          </w:p>
        </w:tc>
      </w:tr>
      <w:tr w:rsidR="00BB5923" w:rsidRPr="00A5490A" w14:paraId="69610E50" w14:textId="77777777" w:rsidTr="00CB7C58">
        <w:tc>
          <w:tcPr>
            <w:tcW w:w="1242" w:type="dxa"/>
            <w:vAlign w:val="center"/>
          </w:tcPr>
          <w:p w14:paraId="490C773A" w14:textId="43FD0121" w:rsidR="00BB5923" w:rsidRPr="003B4337" w:rsidRDefault="00BB5923" w:rsidP="00BB5923">
            <w:pPr>
              <w:spacing w:after="0" w:line="240" w:lineRule="auto"/>
              <w:jc w:val="center"/>
              <w:rPr>
                <w:rFonts w:ascii="Arial" w:eastAsia="Times New Roman" w:hAnsi="Arial" w:cs="Arial"/>
                <w:sz w:val="18"/>
                <w:szCs w:val="18"/>
                <w:lang w:eastAsia="pt-BR"/>
              </w:rPr>
            </w:pPr>
            <w:r w:rsidRPr="0073452B">
              <w:rPr>
                <w:rFonts w:ascii="Arial" w:eastAsia="Times New Roman" w:hAnsi="Arial" w:cs="Arial"/>
                <w:sz w:val="18"/>
                <w:szCs w:val="18"/>
                <w:lang w:eastAsia="pt-BR"/>
              </w:rPr>
              <w:t>BALEXOR_E</w:t>
            </w:r>
          </w:p>
        </w:tc>
        <w:tc>
          <w:tcPr>
            <w:tcW w:w="6946" w:type="dxa"/>
            <w:shd w:val="clear" w:color="auto" w:fill="auto"/>
            <w:vAlign w:val="center"/>
          </w:tcPr>
          <w:p w14:paraId="7E46C9BA" w14:textId="2488ADED" w:rsidR="00BB5923" w:rsidRPr="003B4337" w:rsidRDefault="00BB5923" w:rsidP="00C44F8C">
            <w:pPr>
              <w:spacing w:before="120" w:after="120" w:line="240" w:lineRule="auto"/>
              <w:jc w:val="both"/>
              <w:rPr>
                <w:rFonts w:ascii="Arial" w:eastAsia="Times New Roman" w:hAnsi="Arial" w:cs="Arial"/>
                <w:sz w:val="18"/>
                <w:szCs w:val="18"/>
                <w:lang w:eastAsia="pt-BR"/>
              </w:rPr>
            </w:pPr>
            <w:r w:rsidRPr="0073452B">
              <w:rPr>
                <w:rFonts w:ascii="Arial" w:eastAsia="Times New Roman" w:hAnsi="Arial" w:cs="Arial"/>
                <w:sz w:val="18"/>
                <w:szCs w:val="18"/>
                <w:lang w:eastAsia="pt-BR"/>
              </w:rPr>
              <w:t xml:space="preserve">Balancete da execução orçamentária da receita, acumulado até o mês de dezembro, demonstrando a previsão inicial, a previsão atualizada, a arrecadação orçamentária e a fonte de recursos. Estrutura e layout constantes do item </w:t>
            </w:r>
            <w:r w:rsidR="00C44F8C">
              <w:rPr>
                <w:rFonts w:ascii="Arial" w:eastAsia="Times New Roman" w:hAnsi="Arial" w:cs="Arial"/>
                <w:sz w:val="18"/>
                <w:szCs w:val="18"/>
                <w:lang w:eastAsia="pt-BR"/>
              </w:rPr>
              <w:t>3.1</w:t>
            </w:r>
            <w:r w:rsidRPr="0073452B">
              <w:rPr>
                <w:rFonts w:ascii="Arial" w:eastAsia="Times New Roman" w:hAnsi="Arial" w:cs="Arial"/>
                <w:sz w:val="18"/>
                <w:szCs w:val="18"/>
                <w:lang w:eastAsia="pt-BR"/>
              </w:rPr>
              <w:t xml:space="preserve"> deste Anexo</w:t>
            </w:r>
          </w:p>
        </w:tc>
        <w:tc>
          <w:tcPr>
            <w:tcW w:w="992" w:type="dxa"/>
            <w:shd w:val="clear" w:color="auto" w:fill="auto"/>
            <w:vAlign w:val="center"/>
          </w:tcPr>
          <w:p w14:paraId="7CB5E6B8" w14:textId="7DE90D0A" w:rsidR="00BB5923" w:rsidRDefault="00BB5923" w:rsidP="00BB5923">
            <w:pPr>
              <w:spacing w:after="0" w:line="240" w:lineRule="auto"/>
              <w:jc w:val="center"/>
              <w:rPr>
                <w:rFonts w:ascii="Arial" w:eastAsia="Times New Roman" w:hAnsi="Arial" w:cs="Arial"/>
                <w:sz w:val="14"/>
                <w:szCs w:val="14"/>
                <w:lang w:eastAsia="pt-BR"/>
              </w:rPr>
            </w:pPr>
            <w:r w:rsidRPr="0073452B">
              <w:rPr>
                <w:rFonts w:ascii="Arial" w:eastAsia="Times New Roman" w:hAnsi="Arial" w:cs="Arial"/>
                <w:sz w:val="14"/>
                <w:szCs w:val="14"/>
                <w:lang w:eastAsia="pt-BR"/>
              </w:rPr>
              <w:t>XML</w:t>
            </w:r>
          </w:p>
        </w:tc>
      </w:tr>
      <w:tr w:rsidR="00DA26B4" w:rsidRPr="00A5490A" w14:paraId="144E61C7" w14:textId="77777777" w:rsidTr="00CB7C58">
        <w:tc>
          <w:tcPr>
            <w:tcW w:w="1242" w:type="dxa"/>
            <w:vAlign w:val="center"/>
          </w:tcPr>
          <w:p w14:paraId="3C3567E5" w14:textId="77777777" w:rsidR="00DA26B4" w:rsidRPr="003B4337" w:rsidRDefault="00DA26B4" w:rsidP="00A47BF4">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DEMDIF</w:t>
            </w:r>
          </w:p>
        </w:tc>
        <w:tc>
          <w:tcPr>
            <w:tcW w:w="6946" w:type="dxa"/>
            <w:shd w:val="clear" w:color="auto" w:fill="auto"/>
            <w:vAlign w:val="center"/>
          </w:tcPr>
          <w:p w14:paraId="67DF8AA4" w14:textId="77777777" w:rsidR="00DA26B4" w:rsidRPr="003B4337" w:rsidRDefault="00DA26B4" w:rsidP="00A47BF4">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Demonstrativo da Dívida Fundada (Anexo 16 Lei 4.320/1964), acompanhado de notas explicativas e outros quadros elucidativos que se fizerem necessários. (Artigo 101 da Lei Federal nº 4.320/64)</w:t>
            </w:r>
          </w:p>
        </w:tc>
        <w:tc>
          <w:tcPr>
            <w:tcW w:w="992" w:type="dxa"/>
            <w:shd w:val="clear" w:color="auto" w:fill="auto"/>
            <w:vAlign w:val="center"/>
          </w:tcPr>
          <w:p w14:paraId="05D6963D" w14:textId="77777777" w:rsidR="00DA26B4" w:rsidRPr="00A5490A" w:rsidRDefault="00532985" w:rsidP="00A47BF4">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DA26B4" w:rsidRPr="00A5490A" w14:paraId="386517B3" w14:textId="77777777" w:rsidTr="00CB7C58">
        <w:tc>
          <w:tcPr>
            <w:tcW w:w="1242" w:type="dxa"/>
            <w:vAlign w:val="center"/>
          </w:tcPr>
          <w:p w14:paraId="1E09CAF0" w14:textId="77777777" w:rsidR="00DA26B4" w:rsidRPr="00A5490A" w:rsidRDefault="00DA26B4" w:rsidP="00C97ECD">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DEMDFL</w:t>
            </w:r>
          </w:p>
        </w:tc>
        <w:tc>
          <w:tcPr>
            <w:tcW w:w="6946" w:type="dxa"/>
            <w:shd w:val="clear" w:color="auto" w:fill="auto"/>
            <w:vAlign w:val="center"/>
          </w:tcPr>
          <w:p w14:paraId="78BB2323" w14:textId="77777777" w:rsidR="00DA26B4" w:rsidRPr="00A5490A" w:rsidRDefault="00DA26B4" w:rsidP="00C97ECD">
            <w:p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Demonstrativo da Dívida Flutuante (Anexo 17 Lei 4.320/1964), acompanhado de notas explicativas e outros quadros elucidativos que se fizerem necessários. (Artigo 101 da Lei nº 4.320/64)</w:t>
            </w:r>
          </w:p>
        </w:tc>
        <w:tc>
          <w:tcPr>
            <w:tcW w:w="992" w:type="dxa"/>
            <w:shd w:val="clear" w:color="auto" w:fill="auto"/>
            <w:vAlign w:val="center"/>
          </w:tcPr>
          <w:p w14:paraId="3E4000A2" w14:textId="77777777" w:rsidR="00DA26B4" w:rsidRPr="00A5490A" w:rsidRDefault="00532985" w:rsidP="00C97EC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DA26B4" w:rsidRPr="00A5490A" w14:paraId="464641EC" w14:textId="77777777" w:rsidTr="00CB7C58">
        <w:tc>
          <w:tcPr>
            <w:tcW w:w="1242" w:type="dxa"/>
            <w:vAlign w:val="center"/>
          </w:tcPr>
          <w:p w14:paraId="194B077F" w14:textId="77777777" w:rsidR="00DA26B4" w:rsidRPr="00A5490A" w:rsidRDefault="00DA26B4" w:rsidP="00C97ECD">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DEMFCA</w:t>
            </w:r>
          </w:p>
        </w:tc>
        <w:tc>
          <w:tcPr>
            <w:tcW w:w="6946" w:type="dxa"/>
            <w:shd w:val="clear" w:color="auto" w:fill="auto"/>
            <w:vAlign w:val="center"/>
          </w:tcPr>
          <w:p w14:paraId="6E6B41F7" w14:textId="77777777" w:rsidR="00DA26B4" w:rsidRPr="00A5490A" w:rsidRDefault="00DA26B4" w:rsidP="00C97ECD">
            <w:p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Demonstração dos Fluxos de Caixa – DFC (Parte V do Manual de Contabilidade Aplicado ao Setor Público – MCASP)</w:t>
            </w:r>
            <w:r>
              <w:rPr>
                <w:rFonts w:ascii="Arial" w:eastAsia="Times New Roman" w:hAnsi="Arial" w:cs="Arial"/>
                <w:sz w:val="18"/>
                <w:szCs w:val="18"/>
                <w:lang w:eastAsia="pt-BR"/>
              </w:rPr>
              <w:t xml:space="preserve">, </w:t>
            </w:r>
            <w:r w:rsidRPr="00A5490A">
              <w:rPr>
                <w:rFonts w:ascii="Arial" w:eastAsia="Times New Roman" w:hAnsi="Arial" w:cs="Arial"/>
                <w:sz w:val="18"/>
                <w:szCs w:val="18"/>
                <w:lang w:eastAsia="pt-BR"/>
              </w:rPr>
              <w:t>acompanhad</w:t>
            </w:r>
            <w:r>
              <w:rPr>
                <w:rFonts w:ascii="Arial" w:eastAsia="Times New Roman" w:hAnsi="Arial" w:cs="Arial"/>
                <w:sz w:val="18"/>
                <w:szCs w:val="18"/>
                <w:lang w:eastAsia="pt-BR"/>
              </w:rPr>
              <w:t>a</w:t>
            </w:r>
            <w:r w:rsidRPr="00A5490A">
              <w:rPr>
                <w:rFonts w:ascii="Arial" w:eastAsia="Times New Roman" w:hAnsi="Arial" w:cs="Arial"/>
                <w:sz w:val="18"/>
                <w:szCs w:val="18"/>
                <w:lang w:eastAsia="pt-BR"/>
              </w:rPr>
              <w:t xml:space="preserve"> de notas explicativas e outros quadros elucidativos que se fizerem necessários. (Resolução CFC nº 1.1</w:t>
            </w:r>
            <w:r>
              <w:rPr>
                <w:rFonts w:ascii="Arial" w:eastAsia="Times New Roman" w:hAnsi="Arial" w:cs="Arial"/>
                <w:sz w:val="18"/>
                <w:szCs w:val="18"/>
                <w:lang w:eastAsia="pt-BR"/>
              </w:rPr>
              <w:t>33</w:t>
            </w:r>
            <w:r w:rsidRPr="00A5490A">
              <w:rPr>
                <w:rFonts w:ascii="Arial" w:eastAsia="Times New Roman" w:hAnsi="Arial" w:cs="Arial"/>
                <w:sz w:val="18"/>
                <w:szCs w:val="18"/>
                <w:lang w:eastAsia="pt-BR"/>
              </w:rPr>
              <w:t>/2008 - NBC T 16</w:t>
            </w:r>
            <w:r>
              <w:rPr>
                <w:rFonts w:ascii="Arial" w:eastAsia="Times New Roman" w:hAnsi="Arial" w:cs="Arial"/>
                <w:sz w:val="18"/>
                <w:szCs w:val="18"/>
                <w:lang w:eastAsia="pt-BR"/>
              </w:rPr>
              <w:t>.6</w:t>
            </w:r>
            <w:r w:rsidRPr="00A5490A">
              <w:rPr>
                <w:rFonts w:ascii="Arial" w:eastAsia="Times New Roman" w:hAnsi="Arial" w:cs="Arial"/>
                <w:sz w:val="18"/>
                <w:szCs w:val="18"/>
                <w:lang w:eastAsia="pt-BR"/>
              </w:rPr>
              <w:t xml:space="preserve"> c/c Portaria STN nº 7</w:t>
            </w:r>
            <w:r>
              <w:rPr>
                <w:rFonts w:ascii="Arial" w:eastAsia="Times New Roman" w:hAnsi="Arial" w:cs="Arial"/>
                <w:sz w:val="18"/>
                <w:szCs w:val="18"/>
                <w:lang w:eastAsia="pt-BR"/>
              </w:rPr>
              <w:t>00</w:t>
            </w:r>
            <w:r w:rsidRPr="00A5490A">
              <w:rPr>
                <w:rFonts w:ascii="Arial" w:eastAsia="Times New Roman" w:hAnsi="Arial" w:cs="Arial"/>
                <w:sz w:val="18"/>
                <w:szCs w:val="18"/>
                <w:lang w:eastAsia="pt-BR"/>
              </w:rPr>
              <w:t>/201</w:t>
            </w:r>
            <w:r>
              <w:rPr>
                <w:rFonts w:ascii="Arial" w:eastAsia="Times New Roman" w:hAnsi="Arial" w:cs="Arial"/>
                <w:sz w:val="18"/>
                <w:szCs w:val="18"/>
                <w:lang w:eastAsia="pt-BR"/>
              </w:rPr>
              <w:t>4</w:t>
            </w:r>
            <w:r w:rsidRPr="00A5490A">
              <w:rPr>
                <w:rFonts w:ascii="Arial" w:eastAsia="Times New Roman" w:hAnsi="Arial" w:cs="Arial"/>
                <w:sz w:val="18"/>
                <w:szCs w:val="18"/>
                <w:lang w:eastAsia="pt-BR"/>
              </w:rPr>
              <w:t>)</w:t>
            </w:r>
          </w:p>
        </w:tc>
        <w:tc>
          <w:tcPr>
            <w:tcW w:w="992" w:type="dxa"/>
            <w:shd w:val="clear" w:color="auto" w:fill="auto"/>
            <w:vAlign w:val="center"/>
          </w:tcPr>
          <w:p w14:paraId="23CE8EBA" w14:textId="77777777" w:rsidR="00DA26B4" w:rsidRPr="00A5490A" w:rsidRDefault="00532985" w:rsidP="00C97EC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DA26B4" w:rsidRPr="00A5490A" w14:paraId="5A3817F6" w14:textId="77777777" w:rsidTr="00CB7C58">
        <w:trPr>
          <w:trHeight w:val="283"/>
        </w:trPr>
        <w:tc>
          <w:tcPr>
            <w:tcW w:w="1242" w:type="dxa"/>
            <w:vAlign w:val="center"/>
          </w:tcPr>
          <w:p w14:paraId="7A87A1AF" w14:textId="77777777" w:rsidR="00DA26B4" w:rsidRPr="00B6188E" w:rsidRDefault="00DA26B4" w:rsidP="0082333D">
            <w:pPr>
              <w:spacing w:after="0" w:line="240" w:lineRule="auto"/>
              <w:jc w:val="center"/>
              <w:rPr>
                <w:rFonts w:ascii="Arial" w:eastAsia="Times New Roman" w:hAnsi="Arial" w:cs="Arial"/>
                <w:sz w:val="18"/>
                <w:szCs w:val="18"/>
                <w:lang w:eastAsia="pt-BR"/>
              </w:rPr>
            </w:pPr>
            <w:r w:rsidRPr="00B6188E">
              <w:rPr>
                <w:rFonts w:ascii="Arial" w:eastAsia="Times New Roman" w:hAnsi="Arial" w:cs="Arial"/>
                <w:sz w:val="18"/>
                <w:szCs w:val="18"/>
                <w:lang w:eastAsia="pt-BR"/>
              </w:rPr>
              <w:t>INVMOVS</w:t>
            </w:r>
          </w:p>
        </w:tc>
        <w:tc>
          <w:tcPr>
            <w:tcW w:w="6946" w:type="dxa"/>
            <w:shd w:val="clear" w:color="auto" w:fill="auto"/>
            <w:vAlign w:val="center"/>
          </w:tcPr>
          <w:p w14:paraId="4052A026" w14:textId="77777777" w:rsidR="00DA26B4" w:rsidRPr="00B6188E" w:rsidRDefault="00DA26B4" w:rsidP="00C97ECD">
            <w:pPr>
              <w:spacing w:before="120" w:after="120" w:line="240" w:lineRule="auto"/>
              <w:jc w:val="both"/>
              <w:rPr>
                <w:rFonts w:ascii="Arial" w:eastAsia="Times New Roman" w:hAnsi="Arial" w:cs="Arial"/>
                <w:sz w:val="18"/>
                <w:szCs w:val="18"/>
                <w:lang w:eastAsia="pt-BR"/>
              </w:rPr>
            </w:pPr>
            <w:r w:rsidRPr="00B6188E">
              <w:rPr>
                <w:rFonts w:ascii="Arial" w:eastAsia="Times New Roman" w:hAnsi="Arial" w:cs="Arial"/>
                <w:sz w:val="18"/>
                <w:szCs w:val="18"/>
                <w:lang w:eastAsia="pt-BR"/>
              </w:rPr>
              <w:t xml:space="preserve">Inventário anual dos bens móveis, contendo no mínimo as seguintes informações: </w:t>
            </w:r>
          </w:p>
          <w:p w14:paraId="3CD6A919" w14:textId="77777777" w:rsidR="00DA26B4" w:rsidRPr="00B6188E" w:rsidRDefault="00DA26B4" w:rsidP="00C97ECD">
            <w:pPr>
              <w:numPr>
                <w:ilvl w:val="0"/>
                <w:numId w:val="1"/>
              </w:numPr>
              <w:spacing w:before="120" w:after="120" w:line="240" w:lineRule="auto"/>
              <w:ind w:left="402"/>
              <w:jc w:val="both"/>
              <w:rPr>
                <w:rFonts w:ascii="Arial" w:eastAsia="Times New Roman" w:hAnsi="Arial" w:cs="Arial"/>
                <w:sz w:val="18"/>
                <w:szCs w:val="18"/>
                <w:lang w:eastAsia="pt-BR"/>
              </w:rPr>
            </w:pPr>
            <w:r w:rsidRPr="00B6188E">
              <w:rPr>
                <w:rFonts w:ascii="Arial" w:eastAsia="Times New Roman" w:hAnsi="Arial" w:cs="Arial"/>
                <w:sz w:val="18"/>
                <w:szCs w:val="18"/>
                <w:lang w:eastAsia="pt-BR"/>
              </w:rPr>
              <w:t xml:space="preserve">Número de patrimônio </w:t>
            </w:r>
          </w:p>
          <w:p w14:paraId="1221EF03" w14:textId="77777777" w:rsidR="00DA26B4" w:rsidRPr="00B6188E" w:rsidRDefault="00DA26B4" w:rsidP="00C97ECD">
            <w:pPr>
              <w:numPr>
                <w:ilvl w:val="0"/>
                <w:numId w:val="1"/>
              </w:numPr>
              <w:spacing w:before="120" w:after="120" w:line="240" w:lineRule="auto"/>
              <w:ind w:left="402"/>
              <w:jc w:val="both"/>
              <w:rPr>
                <w:rFonts w:ascii="Arial" w:eastAsia="Times New Roman" w:hAnsi="Arial" w:cs="Arial"/>
                <w:sz w:val="18"/>
                <w:szCs w:val="18"/>
                <w:lang w:eastAsia="pt-BR"/>
              </w:rPr>
            </w:pPr>
            <w:r w:rsidRPr="00B6188E">
              <w:rPr>
                <w:rFonts w:ascii="Arial" w:eastAsia="Times New Roman" w:hAnsi="Arial" w:cs="Arial"/>
                <w:sz w:val="18"/>
                <w:szCs w:val="18"/>
                <w:lang w:eastAsia="pt-BR"/>
              </w:rPr>
              <w:t xml:space="preserve">Descrição do bem </w:t>
            </w:r>
          </w:p>
          <w:p w14:paraId="3ADB1225" w14:textId="77777777" w:rsidR="00DA26B4" w:rsidRPr="00B6188E" w:rsidRDefault="00DA26B4" w:rsidP="00C97ECD">
            <w:pPr>
              <w:numPr>
                <w:ilvl w:val="0"/>
                <w:numId w:val="1"/>
              </w:numPr>
              <w:spacing w:before="120" w:after="120" w:line="240" w:lineRule="auto"/>
              <w:ind w:left="402"/>
              <w:jc w:val="both"/>
              <w:rPr>
                <w:rFonts w:ascii="Arial" w:eastAsia="Times New Roman" w:hAnsi="Arial" w:cs="Arial"/>
                <w:sz w:val="18"/>
                <w:szCs w:val="18"/>
                <w:lang w:eastAsia="pt-BR"/>
              </w:rPr>
            </w:pPr>
            <w:r w:rsidRPr="00B6188E">
              <w:rPr>
                <w:rFonts w:ascii="Arial" w:eastAsia="Times New Roman" w:hAnsi="Arial" w:cs="Arial"/>
                <w:sz w:val="18"/>
                <w:szCs w:val="18"/>
                <w:lang w:eastAsia="pt-BR"/>
              </w:rPr>
              <w:t xml:space="preserve">Data de aquisição/incorporação </w:t>
            </w:r>
          </w:p>
          <w:p w14:paraId="0153D6EF" w14:textId="77777777" w:rsidR="00DA26B4" w:rsidRPr="00B6188E" w:rsidRDefault="00DA26B4" w:rsidP="00C97ECD">
            <w:pPr>
              <w:numPr>
                <w:ilvl w:val="0"/>
                <w:numId w:val="1"/>
              </w:numPr>
              <w:spacing w:before="120" w:after="120" w:line="240" w:lineRule="auto"/>
              <w:ind w:left="402"/>
              <w:jc w:val="both"/>
              <w:rPr>
                <w:rFonts w:ascii="Arial" w:eastAsia="Times New Roman" w:hAnsi="Arial" w:cs="Arial"/>
                <w:sz w:val="18"/>
                <w:szCs w:val="18"/>
                <w:lang w:eastAsia="pt-BR"/>
              </w:rPr>
            </w:pPr>
            <w:r w:rsidRPr="00B6188E">
              <w:rPr>
                <w:rFonts w:ascii="Arial" w:eastAsia="Times New Roman" w:hAnsi="Arial" w:cs="Arial"/>
                <w:sz w:val="18"/>
                <w:szCs w:val="18"/>
                <w:lang w:eastAsia="pt-BR"/>
              </w:rPr>
              <w:t xml:space="preserve">Localização </w:t>
            </w:r>
          </w:p>
          <w:p w14:paraId="086938DD" w14:textId="77777777" w:rsidR="00DA26B4" w:rsidRPr="00B6188E" w:rsidRDefault="00DA26B4" w:rsidP="00C97ECD">
            <w:pPr>
              <w:numPr>
                <w:ilvl w:val="0"/>
                <w:numId w:val="1"/>
              </w:numPr>
              <w:spacing w:before="120" w:after="120" w:line="240" w:lineRule="auto"/>
              <w:ind w:left="402"/>
              <w:jc w:val="both"/>
              <w:rPr>
                <w:rFonts w:ascii="Arial" w:eastAsia="Times New Roman" w:hAnsi="Arial" w:cs="Arial"/>
                <w:sz w:val="18"/>
                <w:szCs w:val="18"/>
                <w:lang w:eastAsia="pt-BR"/>
              </w:rPr>
            </w:pPr>
            <w:r w:rsidRPr="00B6188E">
              <w:rPr>
                <w:rFonts w:ascii="Arial" w:eastAsia="Times New Roman" w:hAnsi="Arial" w:cs="Arial"/>
                <w:sz w:val="18"/>
                <w:szCs w:val="18"/>
                <w:lang w:eastAsia="pt-BR"/>
              </w:rPr>
              <w:t xml:space="preserve">Quantidade </w:t>
            </w:r>
          </w:p>
          <w:p w14:paraId="47B725F1" w14:textId="77777777" w:rsidR="00DA26B4" w:rsidRPr="00B6188E" w:rsidRDefault="00DA26B4" w:rsidP="00C97ECD">
            <w:pPr>
              <w:numPr>
                <w:ilvl w:val="0"/>
                <w:numId w:val="1"/>
              </w:numPr>
              <w:spacing w:before="120" w:after="120" w:line="240" w:lineRule="auto"/>
              <w:ind w:left="402"/>
              <w:jc w:val="both"/>
              <w:rPr>
                <w:rFonts w:ascii="Arial" w:eastAsia="Times New Roman" w:hAnsi="Arial" w:cs="Arial"/>
                <w:sz w:val="18"/>
                <w:szCs w:val="18"/>
                <w:lang w:eastAsia="pt-BR"/>
              </w:rPr>
            </w:pPr>
            <w:r w:rsidRPr="00B6188E">
              <w:rPr>
                <w:rFonts w:ascii="Arial" w:eastAsia="Times New Roman" w:hAnsi="Arial" w:cs="Arial"/>
                <w:sz w:val="18"/>
                <w:szCs w:val="18"/>
                <w:lang w:eastAsia="pt-BR"/>
              </w:rPr>
              <w:t xml:space="preserve">Valor histórico e valor atualizado </w:t>
            </w:r>
          </w:p>
          <w:p w14:paraId="5837619C" w14:textId="77777777" w:rsidR="00DA26B4" w:rsidRPr="00B6188E" w:rsidRDefault="00DA26B4" w:rsidP="00C97ECD">
            <w:pPr>
              <w:pStyle w:val="Default"/>
              <w:jc w:val="both"/>
              <w:rPr>
                <w:rFonts w:eastAsia="Times New Roman"/>
                <w:color w:val="auto"/>
                <w:sz w:val="18"/>
                <w:szCs w:val="18"/>
                <w:lang w:eastAsia="pt-BR"/>
              </w:rPr>
            </w:pPr>
            <w:r w:rsidRPr="00B6188E">
              <w:rPr>
                <w:rFonts w:eastAsia="Times New Roman"/>
                <w:color w:val="auto"/>
                <w:sz w:val="18"/>
                <w:szCs w:val="18"/>
                <w:lang w:eastAsia="pt-BR"/>
              </w:rPr>
              <w:t xml:space="preserve">Obs.1: as colunas de quantidades, valor histórico e valor atualizado devem ser totalizadas. </w:t>
            </w:r>
          </w:p>
          <w:p w14:paraId="5FA871BD" w14:textId="77777777" w:rsidR="00DA26B4" w:rsidRPr="00B6188E" w:rsidRDefault="00DA26B4" w:rsidP="00C97ECD">
            <w:pPr>
              <w:pStyle w:val="Default"/>
              <w:jc w:val="both"/>
              <w:rPr>
                <w:rFonts w:eastAsia="Times New Roman"/>
                <w:color w:val="auto"/>
                <w:sz w:val="18"/>
                <w:szCs w:val="18"/>
                <w:lang w:eastAsia="pt-BR"/>
              </w:rPr>
            </w:pPr>
            <w:r w:rsidRPr="00B6188E">
              <w:rPr>
                <w:rFonts w:eastAsia="Times New Roman"/>
                <w:color w:val="auto"/>
                <w:sz w:val="18"/>
                <w:szCs w:val="18"/>
                <w:lang w:eastAsia="pt-BR"/>
              </w:rPr>
              <w:t xml:space="preserve">Obs.2: durante o período de mensuração, reconhecimento e implementação dos procedimentos contábeis patrimoniais, cujos prazos foram estabelecidos pela </w:t>
            </w:r>
            <w:r>
              <w:rPr>
                <w:rFonts w:eastAsia="Times New Roman"/>
                <w:color w:val="auto"/>
                <w:sz w:val="18"/>
                <w:szCs w:val="18"/>
                <w:lang w:eastAsia="pt-BR"/>
              </w:rPr>
              <w:t>IN 3</w:t>
            </w:r>
            <w:r w:rsidR="00532985">
              <w:rPr>
                <w:rFonts w:eastAsia="Times New Roman"/>
                <w:color w:val="auto"/>
                <w:sz w:val="18"/>
                <w:szCs w:val="18"/>
                <w:lang w:eastAsia="pt-BR"/>
              </w:rPr>
              <w:t>6</w:t>
            </w:r>
            <w:r>
              <w:rPr>
                <w:rFonts w:eastAsia="Times New Roman"/>
                <w:color w:val="auto"/>
                <w:sz w:val="18"/>
                <w:szCs w:val="18"/>
                <w:lang w:eastAsia="pt-BR"/>
              </w:rPr>
              <w:t>/201</w:t>
            </w:r>
            <w:r w:rsidR="00532985">
              <w:rPr>
                <w:rFonts w:eastAsia="Times New Roman"/>
                <w:color w:val="auto"/>
                <w:sz w:val="18"/>
                <w:szCs w:val="18"/>
                <w:lang w:eastAsia="pt-BR"/>
              </w:rPr>
              <w:t>6</w:t>
            </w:r>
            <w:r w:rsidRPr="00B6188E">
              <w:rPr>
                <w:rFonts w:eastAsia="Times New Roman"/>
                <w:color w:val="auto"/>
                <w:sz w:val="18"/>
                <w:szCs w:val="18"/>
                <w:lang w:eastAsia="pt-BR"/>
              </w:rPr>
              <w:t xml:space="preserve">, poderá ser informado para o valor atualizado dos bens o mesmo valor histórico. </w:t>
            </w:r>
          </w:p>
          <w:p w14:paraId="5C205838" w14:textId="77777777" w:rsidR="00DA26B4" w:rsidRPr="00B6188E" w:rsidRDefault="00DA26B4" w:rsidP="00C97ECD">
            <w:pPr>
              <w:pStyle w:val="Default"/>
              <w:jc w:val="both"/>
              <w:rPr>
                <w:rFonts w:eastAsia="Times New Roman"/>
                <w:color w:val="auto"/>
                <w:sz w:val="18"/>
                <w:szCs w:val="18"/>
                <w:lang w:eastAsia="pt-BR"/>
              </w:rPr>
            </w:pPr>
            <w:r w:rsidRPr="00B6188E">
              <w:rPr>
                <w:rFonts w:eastAsia="Times New Roman"/>
                <w:color w:val="auto"/>
                <w:sz w:val="18"/>
                <w:szCs w:val="18"/>
                <w:lang w:eastAsia="pt-BR"/>
              </w:rPr>
              <w:t xml:space="preserve">Obs.3: os critérios utilizados para definição de valor histórico, valor atualizado e de mensuração do inventário, devem ser objeto de notas explicativas. </w:t>
            </w:r>
          </w:p>
          <w:p w14:paraId="5FE54026" w14:textId="77777777" w:rsidR="00DA26B4" w:rsidRPr="00B6188E" w:rsidRDefault="00DA26B4" w:rsidP="00C97ECD">
            <w:pPr>
              <w:pStyle w:val="Default"/>
              <w:jc w:val="both"/>
              <w:rPr>
                <w:rFonts w:eastAsia="Times New Roman"/>
                <w:color w:val="auto"/>
                <w:sz w:val="18"/>
                <w:szCs w:val="18"/>
                <w:lang w:eastAsia="pt-BR"/>
              </w:rPr>
            </w:pPr>
            <w:r w:rsidRPr="00B6188E">
              <w:rPr>
                <w:rFonts w:eastAsia="Times New Roman"/>
                <w:color w:val="auto"/>
                <w:sz w:val="18"/>
                <w:szCs w:val="18"/>
                <w:lang w:eastAsia="pt-BR"/>
              </w:rPr>
              <w:t xml:space="preserve">Obs.4: aplicam-se à presente norma, os conceitos adotados pela Secretaria do Tesouro Nacional - Manual de Contabilidade Aplicada ao Setor Público vigente. </w:t>
            </w:r>
          </w:p>
        </w:tc>
        <w:tc>
          <w:tcPr>
            <w:tcW w:w="992" w:type="dxa"/>
            <w:shd w:val="clear" w:color="auto" w:fill="auto"/>
            <w:vAlign w:val="center"/>
          </w:tcPr>
          <w:p w14:paraId="78DAC98B" w14:textId="77777777" w:rsidR="00DA26B4" w:rsidRPr="00B6188E" w:rsidRDefault="00532985" w:rsidP="00C97EC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p w14:paraId="7C72CE3B" w14:textId="77777777" w:rsidR="00DA26B4" w:rsidRPr="00B6188E" w:rsidRDefault="00DA26B4" w:rsidP="00C97ECD">
            <w:pPr>
              <w:spacing w:after="0" w:line="240" w:lineRule="auto"/>
              <w:jc w:val="center"/>
              <w:rPr>
                <w:rFonts w:ascii="Arial" w:eastAsia="Times New Roman" w:hAnsi="Arial" w:cs="Arial"/>
                <w:sz w:val="14"/>
                <w:szCs w:val="14"/>
                <w:highlight w:val="yellow"/>
                <w:lang w:eastAsia="pt-BR"/>
              </w:rPr>
            </w:pPr>
            <w:r w:rsidRPr="00B6188E">
              <w:rPr>
                <w:rFonts w:ascii="Arial" w:eastAsia="Times New Roman" w:hAnsi="Arial" w:cs="Arial"/>
                <w:sz w:val="14"/>
                <w:szCs w:val="14"/>
                <w:lang w:eastAsia="pt-BR"/>
              </w:rPr>
              <w:t>e</w:t>
            </w:r>
            <w:r w:rsidRPr="00B6188E">
              <w:rPr>
                <w:rFonts w:ascii="Arial" w:eastAsia="Times New Roman" w:hAnsi="Arial" w:cs="Arial"/>
                <w:sz w:val="14"/>
                <w:szCs w:val="14"/>
                <w:highlight w:val="yellow"/>
                <w:lang w:eastAsia="pt-BR"/>
              </w:rPr>
              <w:t xml:space="preserve"> </w:t>
            </w:r>
          </w:p>
          <w:p w14:paraId="5B5EADA2" w14:textId="77777777" w:rsidR="00DA26B4" w:rsidRPr="00B6188E" w:rsidRDefault="00DA26B4" w:rsidP="00C97ECD">
            <w:pPr>
              <w:spacing w:after="0" w:line="240" w:lineRule="auto"/>
              <w:jc w:val="center"/>
              <w:rPr>
                <w:rFonts w:ascii="Arial" w:eastAsia="Times New Roman" w:hAnsi="Arial" w:cs="Arial"/>
                <w:sz w:val="14"/>
                <w:szCs w:val="14"/>
                <w:lang w:eastAsia="pt-BR"/>
              </w:rPr>
            </w:pPr>
            <w:r w:rsidRPr="00B6188E">
              <w:rPr>
                <w:rFonts w:ascii="Arial" w:eastAsia="Times New Roman" w:hAnsi="Arial" w:cs="Arial"/>
                <w:sz w:val="14"/>
                <w:szCs w:val="14"/>
                <w:lang w:eastAsia="pt-BR"/>
              </w:rPr>
              <w:t>XLS/XLSX/ODS</w:t>
            </w:r>
          </w:p>
        </w:tc>
      </w:tr>
      <w:tr w:rsidR="00DA26B4" w:rsidRPr="00A5490A" w14:paraId="69F14046" w14:textId="77777777" w:rsidTr="00CB7C58">
        <w:trPr>
          <w:trHeight w:val="454"/>
        </w:trPr>
        <w:tc>
          <w:tcPr>
            <w:tcW w:w="1242" w:type="dxa"/>
            <w:vAlign w:val="center"/>
          </w:tcPr>
          <w:p w14:paraId="34FC18BA" w14:textId="77777777" w:rsidR="00DA26B4" w:rsidRPr="007F2523" w:rsidRDefault="00DA26B4" w:rsidP="00B6188E">
            <w:pPr>
              <w:spacing w:after="0" w:line="240" w:lineRule="auto"/>
              <w:jc w:val="center"/>
              <w:rPr>
                <w:rFonts w:ascii="Arial" w:eastAsia="Times New Roman" w:hAnsi="Arial" w:cs="Arial"/>
                <w:sz w:val="18"/>
                <w:szCs w:val="18"/>
                <w:lang w:eastAsia="pt-BR"/>
              </w:rPr>
            </w:pPr>
            <w:r w:rsidRPr="007F2523">
              <w:rPr>
                <w:rFonts w:ascii="Arial" w:eastAsia="Times New Roman" w:hAnsi="Arial" w:cs="Arial"/>
                <w:sz w:val="18"/>
                <w:szCs w:val="18"/>
                <w:lang w:eastAsia="pt-BR"/>
              </w:rPr>
              <w:t>TERMOV</w:t>
            </w:r>
          </w:p>
        </w:tc>
        <w:tc>
          <w:tcPr>
            <w:tcW w:w="6946" w:type="dxa"/>
            <w:shd w:val="clear" w:color="auto" w:fill="auto"/>
            <w:vAlign w:val="center"/>
          </w:tcPr>
          <w:p w14:paraId="464D61AD" w14:textId="7A24FD55" w:rsidR="00DA26B4" w:rsidRPr="007F2523" w:rsidRDefault="00DA26B4" w:rsidP="007F2523">
            <w:pPr>
              <w:spacing w:before="120" w:after="120" w:line="240" w:lineRule="auto"/>
              <w:jc w:val="both"/>
              <w:rPr>
                <w:rFonts w:ascii="Arial" w:eastAsia="Times New Roman" w:hAnsi="Arial" w:cs="Arial"/>
                <w:sz w:val="18"/>
                <w:szCs w:val="18"/>
                <w:lang w:eastAsia="pt-BR"/>
              </w:rPr>
            </w:pPr>
            <w:r w:rsidRPr="007F2523">
              <w:rPr>
                <w:rFonts w:ascii="Arial" w:eastAsia="Times New Roman" w:hAnsi="Arial" w:cs="Arial"/>
                <w:sz w:val="18"/>
                <w:szCs w:val="18"/>
                <w:lang w:eastAsia="pt-BR"/>
              </w:rPr>
              <w:t>Termo circunstanciado elaborado e assinado pela comissão responsável pelo Inventário Anual de Bens Móveis (INVMOVS), indicando o saldo total apurado e o detalhamento (especificação e valor) das divergências encontradas</w:t>
            </w:r>
            <w:r w:rsidR="007F2523" w:rsidRPr="007F2523">
              <w:rPr>
                <w:rFonts w:ascii="Arial" w:eastAsia="Times New Roman" w:hAnsi="Arial" w:cs="Arial"/>
                <w:sz w:val="18"/>
                <w:szCs w:val="18"/>
                <w:lang w:eastAsia="pt-BR"/>
              </w:rPr>
              <w:t>, na forma do item 3.2 deste Anexo.</w:t>
            </w:r>
          </w:p>
        </w:tc>
        <w:tc>
          <w:tcPr>
            <w:tcW w:w="992" w:type="dxa"/>
            <w:shd w:val="clear" w:color="auto" w:fill="auto"/>
            <w:vAlign w:val="center"/>
          </w:tcPr>
          <w:p w14:paraId="21A8F5FA" w14:textId="77777777" w:rsidR="00DA26B4" w:rsidRPr="00B6188E" w:rsidRDefault="00532985" w:rsidP="004C543E">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DA26B4" w:rsidRPr="00A5490A" w14:paraId="4FB3CC86" w14:textId="77777777" w:rsidTr="00CB7C58">
        <w:trPr>
          <w:trHeight w:val="454"/>
        </w:trPr>
        <w:tc>
          <w:tcPr>
            <w:tcW w:w="1242" w:type="dxa"/>
            <w:vAlign w:val="center"/>
          </w:tcPr>
          <w:p w14:paraId="623A512F" w14:textId="77777777" w:rsidR="00DA26B4" w:rsidRPr="00B6188E" w:rsidRDefault="00DA26B4" w:rsidP="00C97ECD">
            <w:pPr>
              <w:spacing w:after="0" w:line="240" w:lineRule="auto"/>
              <w:jc w:val="center"/>
              <w:rPr>
                <w:rFonts w:ascii="Arial" w:eastAsia="Times New Roman" w:hAnsi="Arial" w:cs="Arial"/>
                <w:sz w:val="18"/>
                <w:szCs w:val="18"/>
                <w:lang w:eastAsia="pt-BR"/>
              </w:rPr>
            </w:pPr>
            <w:r w:rsidRPr="00B6188E">
              <w:rPr>
                <w:rFonts w:ascii="Arial" w:eastAsia="Times New Roman" w:hAnsi="Arial" w:cs="Arial"/>
                <w:sz w:val="18"/>
                <w:szCs w:val="18"/>
                <w:lang w:eastAsia="pt-BR"/>
              </w:rPr>
              <w:lastRenderedPageBreak/>
              <w:t>INVIMOS</w:t>
            </w:r>
          </w:p>
        </w:tc>
        <w:tc>
          <w:tcPr>
            <w:tcW w:w="6946" w:type="dxa"/>
            <w:shd w:val="clear" w:color="auto" w:fill="auto"/>
            <w:vAlign w:val="center"/>
          </w:tcPr>
          <w:p w14:paraId="7249567B" w14:textId="77777777" w:rsidR="00DA26B4" w:rsidRPr="005A0D28" w:rsidRDefault="00DA26B4" w:rsidP="00C97ECD">
            <w:pPr>
              <w:spacing w:before="120" w:after="120" w:line="240" w:lineRule="auto"/>
              <w:jc w:val="both"/>
              <w:rPr>
                <w:rFonts w:ascii="Arial" w:eastAsia="Times New Roman" w:hAnsi="Arial" w:cs="Arial"/>
                <w:sz w:val="18"/>
                <w:szCs w:val="18"/>
                <w:lang w:eastAsia="pt-BR"/>
              </w:rPr>
            </w:pPr>
            <w:r w:rsidRPr="005A0D28">
              <w:rPr>
                <w:rFonts w:ascii="Arial" w:eastAsia="Times New Roman" w:hAnsi="Arial" w:cs="Arial"/>
                <w:sz w:val="18"/>
                <w:szCs w:val="18"/>
                <w:lang w:eastAsia="pt-BR"/>
              </w:rPr>
              <w:t xml:space="preserve">Inventário anual dos bens imóveis, subdividido em bens de uso especial, bens dominiais, bens de uso comum do povo, bens imóveis em andamento e demais bens imóveis, contendo no mínimo as seguintes informações: </w:t>
            </w:r>
          </w:p>
          <w:p w14:paraId="0287A7CB" w14:textId="77777777" w:rsidR="00DA26B4" w:rsidRPr="005A0D28" w:rsidRDefault="00DA26B4" w:rsidP="00C97ECD">
            <w:pPr>
              <w:numPr>
                <w:ilvl w:val="0"/>
                <w:numId w:val="1"/>
              </w:numPr>
              <w:spacing w:before="120" w:after="120" w:line="240" w:lineRule="auto"/>
              <w:ind w:left="402"/>
              <w:jc w:val="both"/>
              <w:rPr>
                <w:rFonts w:ascii="Arial" w:eastAsia="Times New Roman" w:hAnsi="Arial" w:cs="Arial"/>
                <w:sz w:val="18"/>
                <w:szCs w:val="18"/>
                <w:lang w:eastAsia="pt-BR"/>
              </w:rPr>
            </w:pPr>
            <w:r w:rsidRPr="005A0D28">
              <w:rPr>
                <w:rFonts w:ascii="Arial" w:eastAsia="Times New Roman" w:hAnsi="Arial" w:cs="Arial"/>
                <w:sz w:val="18"/>
                <w:szCs w:val="18"/>
                <w:lang w:eastAsia="pt-BR"/>
              </w:rPr>
              <w:t xml:space="preserve">Relação dos imóveis utilizados pelo Órgão ou Entidade, pertencentes ao </w:t>
            </w:r>
            <w:r>
              <w:rPr>
                <w:rFonts w:ascii="Arial" w:eastAsia="Times New Roman" w:hAnsi="Arial" w:cs="Arial"/>
                <w:sz w:val="18"/>
                <w:szCs w:val="18"/>
                <w:lang w:eastAsia="pt-BR"/>
              </w:rPr>
              <w:t>Estado;</w:t>
            </w:r>
            <w:r w:rsidRPr="005A0D28">
              <w:rPr>
                <w:rFonts w:ascii="Arial" w:eastAsia="Times New Roman" w:hAnsi="Arial" w:cs="Arial"/>
                <w:sz w:val="18"/>
                <w:szCs w:val="18"/>
                <w:lang w:eastAsia="pt-BR"/>
              </w:rPr>
              <w:t xml:space="preserve"> </w:t>
            </w:r>
          </w:p>
          <w:p w14:paraId="293CDB02" w14:textId="77777777" w:rsidR="00DA26B4" w:rsidRPr="005A0D28" w:rsidRDefault="00DA26B4" w:rsidP="00C97ECD">
            <w:pPr>
              <w:numPr>
                <w:ilvl w:val="0"/>
                <w:numId w:val="1"/>
              </w:numPr>
              <w:spacing w:before="120" w:after="120" w:line="240" w:lineRule="auto"/>
              <w:ind w:left="402"/>
              <w:jc w:val="both"/>
              <w:rPr>
                <w:rFonts w:ascii="Arial" w:eastAsia="Times New Roman" w:hAnsi="Arial" w:cs="Arial"/>
                <w:sz w:val="18"/>
                <w:szCs w:val="18"/>
                <w:lang w:eastAsia="pt-BR"/>
              </w:rPr>
            </w:pPr>
            <w:r w:rsidRPr="005A0D28">
              <w:rPr>
                <w:rFonts w:ascii="Arial" w:eastAsia="Times New Roman" w:hAnsi="Arial" w:cs="Arial"/>
                <w:sz w:val="18"/>
                <w:szCs w:val="18"/>
                <w:lang w:eastAsia="pt-BR"/>
              </w:rPr>
              <w:t xml:space="preserve">Caracterização do imóvel (número de registro, conforme certidão de matrícula ou certidão de ônus reais obtida no cartório de registro de imóveis; localização; área; estado de conservação; benfeitorias existentes; demais características) </w:t>
            </w:r>
          </w:p>
          <w:p w14:paraId="1EAAA16A" w14:textId="77777777" w:rsidR="00DA26B4" w:rsidRPr="005A0D28" w:rsidRDefault="00DA26B4" w:rsidP="00C97ECD">
            <w:pPr>
              <w:numPr>
                <w:ilvl w:val="0"/>
                <w:numId w:val="1"/>
              </w:numPr>
              <w:spacing w:before="120" w:after="120" w:line="240" w:lineRule="auto"/>
              <w:ind w:left="402"/>
              <w:jc w:val="both"/>
              <w:rPr>
                <w:rFonts w:ascii="Arial" w:eastAsia="Times New Roman" w:hAnsi="Arial" w:cs="Arial"/>
                <w:sz w:val="18"/>
                <w:szCs w:val="18"/>
                <w:lang w:eastAsia="pt-BR"/>
              </w:rPr>
            </w:pPr>
            <w:r w:rsidRPr="005A0D28">
              <w:rPr>
                <w:rFonts w:ascii="Arial" w:eastAsia="Times New Roman" w:hAnsi="Arial" w:cs="Arial"/>
                <w:sz w:val="18"/>
                <w:szCs w:val="18"/>
                <w:lang w:eastAsia="pt-BR"/>
              </w:rPr>
              <w:t xml:space="preserve">Data de aquisição/construção ou incorporação </w:t>
            </w:r>
          </w:p>
          <w:p w14:paraId="12FF2724" w14:textId="77777777" w:rsidR="00DA26B4" w:rsidRPr="005A0D28" w:rsidRDefault="00DA26B4" w:rsidP="00C97ECD">
            <w:pPr>
              <w:numPr>
                <w:ilvl w:val="0"/>
                <w:numId w:val="1"/>
              </w:numPr>
              <w:spacing w:before="120" w:after="120" w:line="240" w:lineRule="auto"/>
              <w:ind w:left="402"/>
              <w:jc w:val="both"/>
              <w:rPr>
                <w:rFonts w:ascii="Arial" w:eastAsia="Times New Roman" w:hAnsi="Arial" w:cs="Arial"/>
                <w:sz w:val="18"/>
                <w:szCs w:val="18"/>
                <w:lang w:eastAsia="pt-BR"/>
              </w:rPr>
            </w:pPr>
            <w:r w:rsidRPr="005A0D28">
              <w:rPr>
                <w:rFonts w:ascii="Arial" w:eastAsia="Times New Roman" w:hAnsi="Arial" w:cs="Arial"/>
                <w:sz w:val="18"/>
                <w:szCs w:val="18"/>
                <w:lang w:eastAsia="pt-BR"/>
              </w:rPr>
              <w:t xml:space="preserve">Valor histórico e valor atualizado </w:t>
            </w:r>
          </w:p>
          <w:p w14:paraId="618D5C6E" w14:textId="77777777" w:rsidR="00DA26B4" w:rsidRPr="005A0D28" w:rsidRDefault="00DA26B4" w:rsidP="00C97ECD">
            <w:pPr>
              <w:pStyle w:val="Default"/>
              <w:jc w:val="both"/>
              <w:rPr>
                <w:rFonts w:eastAsia="Times New Roman"/>
                <w:color w:val="auto"/>
                <w:sz w:val="18"/>
                <w:szCs w:val="18"/>
                <w:lang w:eastAsia="pt-BR"/>
              </w:rPr>
            </w:pPr>
            <w:r w:rsidRPr="005A0D28">
              <w:rPr>
                <w:rFonts w:eastAsia="Times New Roman"/>
                <w:color w:val="auto"/>
                <w:sz w:val="18"/>
                <w:szCs w:val="18"/>
                <w:lang w:eastAsia="pt-BR"/>
              </w:rPr>
              <w:t xml:space="preserve">Obs.1: as colunas valor histórico e valor atualizado devem ser totalizadas. </w:t>
            </w:r>
          </w:p>
          <w:p w14:paraId="071FC553" w14:textId="77777777" w:rsidR="00DA26B4" w:rsidRPr="005A0D28" w:rsidRDefault="00DA26B4" w:rsidP="00C97ECD">
            <w:pPr>
              <w:pStyle w:val="Default"/>
              <w:jc w:val="both"/>
              <w:rPr>
                <w:rFonts w:eastAsia="Times New Roman"/>
                <w:color w:val="auto"/>
                <w:sz w:val="18"/>
                <w:szCs w:val="18"/>
                <w:lang w:eastAsia="pt-BR"/>
              </w:rPr>
            </w:pPr>
            <w:r w:rsidRPr="005A0D28">
              <w:rPr>
                <w:rFonts w:eastAsia="Times New Roman"/>
                <w:color w:val="auto"/>
                <w:sz w:val="18"/>
                <w:szCs w:val="18"/>
                <w:lang w:eastAsia="pt-BR"/>
              </w:rPr>
              <w:t xml:space="preserve">Obs.2: </w:t>
            </w:r>
            <w:r w:rsidRPr="00B6188E">
              <w:rPr>
                <w:rFonts w:eastAsia="Times New Roman"/>
                <w:color w:val="auto"/>
                <w:sz w:val="18"/>
                <w:szCs w:val="18"/>
                <w:lang w:eastAsia="pt-BR"/>
              </w:rPr>
              <w:t xml:space="preserve">durante o período de mensuração, reconhecimento e implementação dos procedimentos contábeis patrimoniais, cujos prazos foram estabelecidos pela </w:t>
            </w:r>
            <w:r>
              <w:rPr>
                <w:rFonts w:eastAsia="Times New Roman"/>
                <w:color w:val="auto"/>
                <w:sz w:val="18"/>
                <w:szCs w:val="18"/>
                <w:lang w:eastAsia="pt-BR"/>
              </w:rPr>
              <w:t>IN 3</w:t>
            </w:r>
            <w:r w:rsidR="00532985">
              <w:rPr>
                <w:rFonts w:eastAsia="Times New Roman"/>
                <w:color w:val="auto"/>
                <w:sz w:val="18"/>
                <w:szCs w:val="18"/>
                <w:lang w:eastAsia="pt-BR"/>
              </w:rPr>
              <w:t>6</w:t>
            </w:r>
            <w:r>
              <w:rPr>
                <w:rFonts w:eastAsia="Times New Roman"/>
                <w:color w:val="auto"/>
                <w:sz w:val="18"/>
                <w:szCs w:val="18"/>
                <w:lang w:eastAsia="pt-BR"/>
              </w:rPr>
              <w:t>/201</w:t>
            </w:r>
            <w:r w:rsidR="00532985">
              <w:rPr>
                <w:rFonts w:eastAsia="Times New Roman"/>
                <w:color w:val="auto"/>
                <w:sz w:val="18"/>
                <w:szCs w:val="18"/>
                <w:lang w:eastAsia="pt-BR"/>
              </w:rPr>
              <w:t>6</w:t>
            </w:r>
            <w:r w:rsidRPr="00B6188E">
              <w:rPr>
                <w:rFonts w:eastAsia="Times New Roman"/>
                <w:color w:val="auto"/>
                <w:sz w:val="18"/>
                <w:szCs w:val="18"/>
                <w:lang w:eastAsia="pt-BR"/>
              </w:rPr>
              <w:t>, poderá ser informado para o valor atualizado dos bens o mesmo valor histórico.</w:t>
            </w:r>
          </w:p>
          <w:p w14:paraId="68E1C110" w14:textId="77777777" w:rsidR="00DA26B4" w:rsidRPr="005A0D28" w:rsidRDefault="00DA26B4" w:rsidP="00C97ECD">
            <w:pPr>
              <w:pStyle w:val="Default"/>
              <w:jc w:val="both"/>
              <w:rPr>
                <w:rFonts w:eastAsia="Times New Roman"/>
                <w:color w:val="auto"/>
                <w:sz w:val="18"/>
                <w:szCs w:val="18"/>
                <w:lang w:eastAsia="pt-BR"/>
              </w:rPr>
            </w:pPr>
            <w:r w:rsidRPr="005A0D28">
              <w:rPr>
                <w:rFonts w:eastAsia="Times New Roman"/>
                <w:color w:val="auto"/>
                <w:sz w:val="18"/>
                <w:szCs w:val="18"/>
                <w:lang w:eastAsia="pt-BR"/>
              </w:rPr>
              <w:t xml:space="preserve">Obs.3: os critérios utilizados para definição de valor histórico, valor atualizado e de mensuração do inventário, devem ser objeto de notas explicativas. </w:t>
            </w:r>
          </w:p>
          <w:p w14:paraId="37B880B1" w14:textId="77777777" w:rsidR="00DA26B4" w:rsidRPr="005A0D28" w:rsidRDefault="00DA26B4" w:rsidP="00C97ECD">
            <w:pPr>
              <w:pStyle w:val="Default"/>
              <w:jc w:val="both"/>
              <w:rPr>
                <w:rFonts w:eastAsia="Times New Roman"/>
                <w:color w:val="auto"/>
                <w:sz w:val="18"/>
                <w:szCs w:val="18"/>
                <w:lang w:eastAsia="pt-BR"/>
              </w:rPr>
            </w:pPr>
            <w:r w:rsidRPr="005A0D28">
              <w:rPr>
                <w:rFonts w:eastAsia="Times New Roman"/>
                <w:color w:val="auto"/>
                <w:sz w:val="18"/>
                <w:szCs w:val="18"/>
                <w:lang w:eastAsia="pt-BR"/>
              </w:rPr>
              <w:t xml:space="preserve">Obs.4: aplicam-se à presente norma, os conceitos adotados pela Secretaria do Tesouro Nacional em seu Manual de Contabilidade Aplicada ao Setor Público vigente. </w:t>
            </w:r>
          </w:p>
        </w:tc>
        <w:tc>
          <w:tcPr>
            <w:tcW w:w="992" w:type="dxa"/>
            <w:shd w:val="clear" w:color="auto" w:fill="auto"/>
            <w:vAlign w:val="center"/>
          </w:tcPr>
          <w:p w14:paraId="3C2DE622" w14:textId="77777777" w:rsidR="00DA26B4" w:rsidRPr="00A5490A" w:rsidRDefault="00532985" w:rsidP="00C97EC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p w14:paraId="47E28C67" w14:textId="77777777" w:rsidR="00DA26B4" w:rsidRPr="00A5490A" w:rsidRDefault="00DA26B4" w:rsidP="00C97ECD">
            <w:pPr>
              <w:spacing w:after="0" w:line="240" w:lineRule="auto"/>
              <w:jc w:val="center"/>
              <w:rPr>
                <w:rFonts w:ascii="Arial" w:eastAsia="Times New Roman" w:hAnsi="Arial" w:cs="Arial"/>
                <w:sz w:val="14"/>
                <w:szCs w:val="14"/>
                <w:highlight w:val="yellow"/>
                <w:lang w:eastAsia="pt-BR"/>
              </w:rPr>
            </w:pPr>
            <w:r w:rsidRPr="00A5490A">
              <w:rPr>
                <w:rFonts w:ascii="Arial" w:eastAsia="Times New Roman" w:hAnsi="Arial" w:cs="Arial"/>
                <w:sz w:val="14"/>
                <w:szCs w:val="14"/>
                <w:lang w:eastAsia="pt-BR"/>
              </w:rPr>
              <w:t>e</w:t>
            </w:r>
            <w:r w:rsidRPr="00A5490A">
              <w:rPr>
                <w:rFonts w:ascii="Arial" w:eastAsia="Times New Roman" w:hAnsi="Arial" w:cs="Arial"/>
                <w:sz w:val="14"/>
                <w:szCs w:val="14"/>
                <w:highlight w:val="yellow"/>
                <w:lang w:eastAsia="pt-BR"/>
              </w:rPr>
              <w:t xml:space="preserve"> </w:t>
            </w:r>
          </w:p>
          <w:p w14:paraId="59313464" w14:textId="77777777" w:rsidR="00DA26B4" w:rsidRPr="00A5490A" w:rsidRDefault="00DA26B4" w:rsidP="00C97ECD">
            <w:pPr>
              <w:spacing w:after="0" w:line="240" w:lineRule="auto"/>
              <w:jc w:val="center"/>
              <w:rPr>
                <w:rFonts w:ascii="Arial" w:eastAsia="Times New Roman" w:hAnsi="Arial" w:cs="Arial"/>
                <w:sz w:val="14"/>
                <w:szCs w:val="14"/>
                <w:lang w:eastAsia="pt-BR"/>
              </w:rPr>
            </w:pPr>
            <w:r w:rsidRPr="00A5490A">
              <w:rPr>
                <w:rFonts w:ascii="Arial" w:eastAsia="Times New Roman" w:hAnsi="Arial" w:cs="Arial"/>
                <w:sz w:val="14"/>
                <w:szCs w:val="14"/>
                <w:lang w:eastAsia="pt-BR"/>
              </w:rPr>
              <w:t>XLS</w:t>
            </w:r>
            <w:r>
              <w:rPr>
                <w:rFonts w:ascii="Arial" w:eastAsia="Times New Roman" w:hAnsi="Arial" w:cs="Arial"/>
                <w:sz w:val="14"/>
                <w:szCs w:val="14"/>
                <w:lang w:eastAsia="pt-BR"/>
              </w:rPr>
              <w:t>/XLSX/ODS</w:t>
            </w:r>
          </w:p>
        </w:tc>
      </w:tr>
      <w:tr w:rsidR="007F2523" w:rsidRPr="007F2523" w14:paraId="3CC4B635" w14:textId="77777777" w:rsidTr="00CB7C58">
        <w:trPr>
          <w:trHeight w:val="454"/>
        </w:trPr>
        <w:tc>
          <w:tcPr>
            <w:tcW w:w="1242" w:type="dxa"/>
            <w:vAlign w:val="center"/>
          </w:tcPr>
          <w:p w14:paraId="3FBA159C" w14:textId="77777777" w:rsidR="00DA26B4" w:rsidRPr="007F2523" w:rsidRDefault="00DA26B4" w:rsidP="00B6188E">
            <w:pPr>
              <w:spacing w:after="0" w:line="240" w:lineRule="auto"/>
              <w:jc w:val="center"/>
              <w:rPr>
                <w:rFonts w:ascii="Arial" w:eastAsia="Times New Roman" w:hAnsi="Arial" w:cs="Arial"/>
                <w:sz w:val="18"/>
                <w:szCs w:val="18"/>
                <w:lang w:eastAsia="pt-BR"/>
              </w:rPr>
            </w:pPr>
            <w:r w:rsidRPr="007F2523">
              <w:rPr>
                <w:rFonts w:ascii="Arial" w:eastAsia="Times New Roman" w:hAnsi="Arial" w:cs="Arial"/>
                <w:sz w:val="18"/>
                <w:szCs w:val="18"/>
                <w:lang w:eastAsia="pt-BR"/>
              </w:rPr>
              <w:t>TERIMO</w:t>
            </w:r>
          </w:p>
        </w:tc>
        <w:tc>
          <w:tcPr>
            <w:tcW w:w="6946" w:type="dxa"/>
            <w:shd w:val="clear" w:color="auto" w:fill="auto"/>
            <w:vAlign w:val="center"/>
          </w:tcPr>
          <w:p w14:paraId="60DBCED9" w14:textId="1BDC705D" w:rsidR="00DA26B4" w:rsidRPr="007F2523" w:rsidRDefault="00DA26B4" w:rsidP="004C543E">
            <w:pPr>
              <w:spacing w:before="120" w:after="120" w:line="240" w:lineRule="auto"/>
              <w:jc w:val="both"/>
              <w:rPr>
                <w:rFonts w:ascii="Arial" w:eastAsia="Times New Roman" w:hAnsi="Arial" w:cs="Arial"/>
                <w:sz w:val="18"/>
                <w:szCs w:val="18"/>
                <w:lang w:eastAsia="pt-BR"/>
              </w:rPr>
            </w:pPr>
            <w:r w:rsidRPr="007F2523">
              <w:rPr>
                <w:rFonts w:ascii="Arial" w:eastAsia="Times New Roman" w:hAnsi="Arial" w:cs="Arial"/>
                <w:sz w:val="18"/>
                <w:szCs w:val="18"/>
                <w:lang w:eastAsia="pt-BR"/>
              </w:rPr>
              <w:t>Termo circunstanciado elaborado e assinado pela comissão responsável pelo Inventário anual dos bens imóveis (INVIMOS), indicando o saldo total apurado e o detalhamento (especificação e valor) das divergências encontradas</w:t>
            </w:r>
            <w:r w:rsidR="00B24335" w:rsidRPr="007F2523">
              <w:rPr>
                <w:rFonts w:ascii="Arial" w:eastAsia="Times New Roman" w:hAnsi="Arial" w:cs="Arial"/>
                <w:sz w:val="18"/>
                <w:szCs w:val="18"/>
                <w:lang w:eastAsia="pt-BR"/>
              </w:rPr>
              <w:t>, na forma</w:t>
            </w:r>
            <w:r w:rsidR="007F2523" w:rsidRPr="007F2523">
              <w:rPr>
                <w:rFonts w:ascii="Arial" w:eastAsia="Times New Roman" w:hAnsi="Arial" w:cs="Arial"/>
                <w:sz w:val="18"/>
                <w:szCs w:val="18"/>
                <w:lang w:eastAsia="pt-BR"/>
              </w:rPr>
              <w:t xml:space="preserve"> do</w:t>
            </w:r>
            <w:r w:rsidR="00B24335" w:rsidRPr="007F2523">
              <w:rPr>
                <w:rFonts w:ascii="Arial" w:eastAsia="Times New Roman" w:hAnsi="Arial" w:cs="Arial"/>
                <w:sz w:val="18"/>
                <w:szCs w:val="18"/>
                <w:lang w:eastAsia="pt-BR"/>
              </w:rPr>
              <w:t xml:space="preserve"> </w:t>
            </w:r>
            <w:r w:rsidR="007F2523" w:rsidRPr="007F2523">
              <w:rPr>
                <w:rFonts w:ascii="Arial" w:eastAsia="Times New Roman" w:hAnsi="Arial" w:cs="Arial"/>
                <w:sz w:val="18"/>
                <w:szCs w:val="18"/>
                <w:lang w:eastAsia="pt-BR"/>
              </w:rPr>
              <w:t>item 3.2 deste Anexo.</w:t>
            </w:r>
          </w:p>
        </w:tc>
        <w:tc>
          <w:tcPr>
            <w:tcW w:w="992" w:type="dxa"/>
            <w:shd w:val="clear" w:color="auto" w:fill="auto"/>
            <w:vAlign w:val="center"/>
          </w:tcPr>
          <w:p w14:paraId="6B9B381E" w14:textId="77777777" w:rsidR="00DA26B4" w:rsidRPr="007F2523" w:rsidRDefault="00532985" w:rsidP="004C543E">
            <w:pPr>
              <w:spacing w:after="0" w:line="240" w:lineRule="auto"/>
              <w:jc w:val="center"/>
              <w:rPr>
                <w:rFonts w:ascii="Arial" w:eastAsia="Times New Roman" w:hAnsi="Arial" w:cs="Arial"/>
                <w:sz w:val="14"/>
                <w:szCs w:val="14"/>
                <w:lang w:eastAsia="pt-BR"/>
              </w:rPr>
            </w:pPr>
            <w:r w:rsidRPr="007F2523">
              <w:rPr>
                <w:rFonts w:ascii="Arial" w:eastAsia="Times New Roman" w:hAnsi="Arial" w:cs="Arial"/>
                <w:sz w:val="14"/>
                <w:szCs w:val="14"/>
                <w:lang w:eastAsia="pt-BR"/>
              </w:rPr>
              <w:t>PDF</w:t>
            </w:r>
          </w:p>
        </w:tc>
      </w:tr>
      <w:tr w:rsidR="00DA26B4" w:rsidRPr="00A5490A" w14:paraId="62C4FCB5" w14:textId="77777777" w:rsidTr="00CB7C58">
        <w:trPr>
          <w:trHeight w:val="454"/>
        </w:trPr>
        <w:tc>
          <w:tcPr>
            <w:tcW w:w="1242" w:type="dxa"/>
            <w:vAlign w:val="center"/>
          </w:tcPr>
          <w:p w14:paraId="13982F2C" w14:textId="77777777" w:rsidR="00DA26B4" w:rsidRPr="00B6188E" w:rsidRDefault="00DA26B4" w:rsidP="00C97ECD">
            <w:pPr>
              <w:spacing w:after="0" w:line="240" w:lineRule="auto"/>
              <w:jc w:val="center"/>
              <w:rPr>
                <w:rFonts w:ascii="Arial" w:eastAsia="Times New Roman" w:hAnsi="Arial" w:cs="Arial"/>
                <w:sz w:val="18"/>
                <w:szCs w:val="18"/>
                <w:lang w:eastAsia="pt-BR"/>
              </w:rPr>
            </w:pPr>
            <w:r w:rsidRPr="00B6188E">
              <w:rPr>
                <w:rFonts w:ascii="Arial" w:eastAsia="Times New Roman" w:hAnsi="Arial" w:cs="Arial"/>
                <w:sz w:val="18"/>
                <w:szCs w:val="18"/>
                <w:lang w:eastAsia="pt-BR"/>
              </w:rPr>
              <w:t>INVALMO</w:t>
            </w:r>
          </w:p>
        </w:tc>
        <w:tc>
          <w:tcPr>
            <w:tcW w:w="6946" w:type="dxa"/>
            <w:shd w:val="clear" w:color="auto" w:fill="auto"/>
            <w:vAlign w:val="center"/>
          </w:tcPr>
          <w:p w14:paraId="50565492" w14:textId="77777777" w:rsidR="00DA26B4" w:rsidRPr="00B6188E" w:rsidRDefault="00DA26B4" w:rsidP="00C97ECD">
            <w:pPr>
              <w:spacing w:before="120" w:after="120" w:line="240" w:lineRule="auto"/>
              <w:jc w:val="both"/>
              <w:rPr>
                <w:rFonts w:ascii="Arial" w:eastAsia="Times New Roman" w:hAnsi="Arial" w:cs="Arial"/>
                <w:sz w:val="18"/>
                <w:szCs w:val="18"/>
                <w:lang w:eastAsia="pt-BR"/>
              </w:rPr>
            </w:pPr>
            <w:r w:rsidRPr="00B6188E">
              <w:rPr>
                <w:rFonts w:ascii="Arial" w:eastAsia="Times New Roman" w:hAnsi="Arial" w:cs="Arial"/>
                <w:sz w:val="18"/>
                <w:szCs w:val="18"/>
                <w:lang w:eastAsia="pt-BR"/>
              </w:rPr>
              <w:t xml:space="preserve">Inventário anual dos bens em almoxarifado, contendo no mínimo as seguintes informações: </w:t>
            </w:r>
          </w:p>
          <w:p w14:paraId="1AF7379D" w14:textId="77777777" w:rsidR="00DA26B4" w:rsidRPr="00B6188E" w:rsidRDefault="00DA26B4" w:rsidP="00C97ECD">
            <w:pPr>
              <w:numPr>
                <w:ilvl w:val="0"/>
                <w:numId w:val="1"/>
              </w:numPr>
              <w:spacing w:before="120" w:after="120" w:line="240" w:lineRule="auto"/>
              <w:ind w:left="402"/>
              <w:jc w:val="both"/>
              <w:rPr>
                <w:rFonts w:ascii="Arial" w:eastAsia="Times New Roman" w:hAnsi="Arial" w:cs="Arial"/>
                <w:sz w:val="18"/>
                <w:szCs w:val="18"/>
                <w:lang w:eastAsia="pt-BR"/>
              </w:rPr>
            </w:pPr>
            <w:r w:rsidRPr="00B6188E">
              <w:rPr>
                <w:rFonts w:ascii="Arial" w:eastAsia="Times New Roman" w:hAnsi="Arial" w:cs="Arial"/>
                <w:sz w:val="18"/>
                <w:szCs w:val="18"/>
                <w:lang w:eastAsia="pt-BR"/>
              </w:rPr>
              <w:t xml:space="preserve">Descrição dos bens </w:t>
            </w:r>
          </w:p>
          <w:p w14:paraId="191D3BF5" w14:textId="77777777" w:rsidR="00DA26B4" w:rsidRPr="00B6188E" w:rsidRDefault="00DA26B4" w:rsidP="00C97ECD">
            <w:pPr>
              <w:numPr>
                <w:ilvl w:val="0"/>
                <w:numId w:val="1"/>
              </w:numPr>
              <w:spacing w:before="120" w:after="120" w:line="240" w:lineRule="auto"/>
              <w:ind w:left="402"/>
              <w:jc w:val="both"/>
              <w:rPr>
                <w:rFonts w:ascii="Arial" w:eastAsia="Times New Roman" w:hAnsi="Arial" w:cs="Arial"/>
                <w:sz w:val="18"/>
                <w:szCs w:val="18"/>
                <w:lang w:eastAsia="pt-BR"/>
              </w:rPr>
            </w:pPr>
            <w:r w:rsidRPr="00B6188E">
              <w:rPr>
                <w:rFonts w:ascii="Arial" w:eastAsia="Times New Roman" w:hAnsi="Arial" w:cs="Arial"/>
                <w:sz w:val="18"/>
                <w:szCs w:val="18"/>
                <w:lang w:eastAsia="pt-BR"/>
              </w:rPr>
              <w:t xml:space="preserve">Quantidade </w:t>
            </w:r>
          </w:p>
          <w:p w14:paraId="1191E925" w14:textId="77777777" w:rsidR="00DA26B4" w:rsidRPr="00B6188E" w:rsidRDefault="00DA26B4" w:rsidP="00C97ECD">
            <w:pPr>
              <w:numPr>
                <w:ilvl w:val="0"/>
                <w:numId w:val="1"/>
              </w:numPr>
              <w:spacing w:before="120" w:after="120" w:line="240" w:lineRule="auto"/>
              <w:ind w:left="402"/>
              <w:jc w:val="both"/>
              <w:rPr>
                <w:rFonts w:ascii="Arial" w:eastAsia="Times New Roman" w:hAnsi="Arial" w:cs="Arial"/>
                <w:sz w:val="18"/>
                <w:szCs w:val="18"/>
                <w:lang w:eastAsia="pt-BR"/>
              </w:rPr>
            </w:pPr>
            <w:r w:rsidRPr="00B6188E">
              <w:rPr>
                <w:rFonts w:ascii="Arial" w:eastAsia="Times New Roman" w:hAnsi="Arial" w:cs="Arial"/>
                <w:sz w:val="18"/>
                <w:szCs w:val="18"/>
                <w:lang w:eastAsia="pt-BR"/>
              </w:rPr>
              <w:t xml:space="preserve">Valor unitário </w:t>
            </w:r>
          </w:p>
          <w:p w14:paraId="25A9DA54" w14:textId="77777777" w:rsidR="00DA26B4" w:rsidRPr="00B6188E" w:rsidRDefault="00DA26B4" w:rsidP="00C97ECD">
            <w:pPr>
              <w:numPr>
                <w:ilvl w:val="0"/>
                <w:numId w:val="1"/>
              </w:numPr>
              <w:spacing w:before="120" w:after="120" w:line="240" w:lineRule="auto"/>
              <w:ind w:left="402"/>
              <w:jc w:val="both"/>
              <w:rPr>
                <w:rFonts w:ascii="Arial" w:eastAsia="Times New Roman" w:hAnsi="Arial" w:cs="Arial"/>
                <w:sz w:val="18"/>
                <w:szCs w:val="18"/>
                <w:lang w:eastAsia="pt-BR"/>
              </w:rPr>
            </w:pPr>
            <w:r w:rsidRPr="00B6188E">
              <w:rPr>
                <w:rFonts w:ascii="Arial" w:eastAsia="Times New Roman" w:hAnsi="Arial" w:cs="Arial"/>
                <w:sz w:val="18"/>
                <w:szCs w:val="18"/>
                <w:lang w:eastAsia="pt-BR"/>
              </w:rPr>
              <w:t xml:space="preserve">Valor total </w:t>
            </w:r>
          </w:p>
          <w:p w14:paraId="0029909A" w14:textId="77777777" w:rsidR="00DA26B4" w:rsidRPr="00B6188E" w:rsidRDefault="00DA26B4" w:rsidP="00C97ECD">
            <w:pPr>
              <w:spacing w:before="120" w:after="120" w:line="240" w:lineRule="auto"/>
              <w:jc w:val="both"/>
              <w:rPr>
                <w:rFonts w:ascii="Arial" w:eastAsia="Times New Roman" w:hAnsi="Arial" w:cs="Arial"/>
                <w:sz w:val="18"/>
                <w:szCs w:val="18"/>
                <w:lang w:eastAsia="pt-BR"/>
              </w:rPr>
            </w:pPr>
            <w:r w:rsidRPr="00B6188E">
              <w:rPr>
                <w:rFonts w:ascii="Arial" w:eastAsia="Times New Roman" w:hAnsi="Arial" w:cs="Arial"/>
                <w:sz w:val="18"/>
                <w:szCs w:val="18"/>
                <w:lang w:eastAsia="pt-BR"/>
              </w:rPr>
              <w:t>Obs.: a coluna valor total deve ser totalizada.</w:t>
            </w:r>
            <w:r w:rsidRPr="00B6188E">
              <w:rPr>
                <w:sz w:val="16"/>
                <w:szCs w:val="16"/>
              </w:rPr>
              <w:t xml:space="preserve"> </w:t>
            </w:r>
          </w:p>
        </w:tc>
        <w:tc>
          <w:tcPr>
            <w:tcW w:w="992" w:type="dxa"/>
            <w:shd w:val="clear" w:color="auto" w:fill="auto"/>
            <w:vAlign w:val="center"/>
          </w:tcPr>
          <w:p w14:paraId="559D0D61" w14:textId="77777777" w:rsidR="00DA26B4" w:rsidRPr="00B6188E" w:rsidRDefault="00532985" w:rsidP="00C97EC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p w14:paraId="05172D3E" w14:textId="77777777" w:rsidR="00DA26B4" w:rsidRPr="00B6188E" w:rsidRDefault="00DA26B4" w:rsidP="00C97ECD">
            <w:pPr>
              <w:spacing w:after="0" w:line="240" w:lineRule="auto"/>
              <w:jc w:val="center"/>
              <w:rPr>
                <w:rFonts w:ascii="Arial" w:eastAsia="Times New Roman" w:hAnsi="Arial" w:cs="Arial"/>
                <w:sz w:val="14"/>
                <w:szCs w:val="14"/>
                <w:lang w:eastAsia="pt-BR"/>
              </w:rPr>
            </w:pPr>
            <w:r w:rsidRPr="00B6188E">
              <w:rPr>
                <w:rFonts w:ascii="Arial" w:eastAsia="Times New Roman" w:hAnsi="Arial" w:cs="Arial"/>
                <w:sz w:val="14"/>
                <w:szCs w:val="14"/>
                <w:lang w:eastAsia="pt-BR"/>
              </w:rPr>
              <w:t xml:space="preserve">e </w:t>
            </w:r>
          </w:p>
          <w:p w14:paraId="652F4DB5" w14:textId="77777777" w:rsidR="00DA26B4" w:rsidRPr="00B6188E" w:rsidRDefault="00DA26B4" w:rsidP="00C97ECD">
            <w:pPr>
              <w:spacing w:after="0" w:line="240" w:lineRule="auto"/>
              <w:jc w:val="center"/>
              <w:rPr>
                <w:rFonts w:ascii="Arial" w:eastAsia="Times New Roman" w:hAnsi="Arial" w:cs="Arial"/>
                <w:sz w:val="14"/>
                <w:szCs w:val="14"/>
                <w:lang w:eastAsia="pt-BR"/>
              </w:rPr>
            </w:pPr>
            <w:r w:rsidRPr="00B6188E">
              <w:rPr>
                <w:rFonts w:ascii="Arial" w:eastAsia="Times New Roman" w:hAnsi="Arial" w:cs="Arial"/>
                <w:sz w:val="14"/>
                <w:szCs w:val="14"/>
                <w:lang w:eastAsia="pt-BR"/>
              </w:rPr>
              <w:t>XLS/XLSX/ODS</w:t>
            </w:r>
          </w:p>
        </w:tc>
      </w:tr>
      <w:tr w:rsidR="007F2523" w:rsidRPr="007F2523" w14:paraId="5E8B179B" w14:textId="77777777" w:rsidTr="00CB7C58">
        <w:trPr>
          <w:trHeight w:val="454"/>
        </w:trPr>
        <w:tc>
          <w:tcPr>
            <w:tcW w:w="1242" w:type="dxa"/>
            <w:vAlign w:val="center"/>
          </w:tcPr>
          <w:p w14:paraId="3A1F916F" w14:textId="77777777" w:rsidR="00DA26B4" w:rsidRPr="007F2523" w:rsidRDefault="00DA26B4" w:rsidP="00B6188E">
            <w:pPr>
              <w:spacing w:after="0" w:line="240" w:lineRule="auto"/>
              <w:jc w:val="center"/>
              <w:rPr>
                <w:rFonts w:ascii="Arial" w:eastAsia="Times New Roman" w:hAnsi="Arial" w:cs="Arial"/>
                <w:sz w:val="18"/>
                <w:szCs w:val="18"/>
                <w:lang w:eastAsia="pt-BR"/>
              </w:rPr>
            </w:pPr>
            <w:r w:rsidRPr="007F2523">
              <w:rPr>
                <w:rFonts w:ascii="Arial" w:eastAsia="Times New Roman" w:hAnsi="Arial" w:cs="Arial"/>
                <w:sz w:val="18"/>
                <w:szCs w:val="18"/>
                <w:lang w:eastAsia="pt-BR"/>
              </w:rPr>
              <w:t>TERALM</w:t>
            </w:r>
          </w:p>
        </w:tc>
        <w:tc>
          <w:tcPr>
            <w:tcW w:w="6946" w:type="dxa"/>
            <w:shd w:val="clear" w:color="auto" w:fill="auto"/>
            <w:vAlign w:val="center"/>
          </w:tcPr>
          <w:p w14:paraId="681B1574" w14:textId="34748A45" w:rsidR="00DA26B4" w:rsidRPr="007F2523" w:rsidRDefault="00DA26B4" w:rsidP="007F2523">
            <w:pPr>
              <w:spacing w:before="120" w:after="120" w:line="240" w:lineRule="auto"/>
              <w:jc w:val="both"/>
              <w:rPr>
                <w:rFonts w:ascii="Arial" w:eastAsia="Times New Roman" w:hAnsi="Arial" w:cs="Arial"/>
                <w:sz w:val="18"/>
                <w:szCs w:val="18"/>
                <w:lang w:eastAsia="pt-BR"/>
              </w:rPr>
            </w:pPr>
            <w:r w:rsidRPr="007F2523">
              <w:rPr>
                <w:rFonts w:ascii="Arial" w:eastAsia="Times New Roman" w:hAnsi="Arial" w:cs="Arial"/>
                <w:sz w:val="18"/>
                <w:szCs w:val="18"/>
                <w:lang w:eastAsia="pt-BR"/>
              </w:rPr>
              <w:t>Termo circunstanciado elaborado e assinado pela comissão responsável pelo Inventário anual dos bens em almoxarifado (INVALMO), indicando o saldo total apurado e o detalhamento (especificação e valor) das divergências encontradas</w:t>
            </w:r>
            <w:r w:rsidR="007F2523" w:rsidRPr="007F2523">
              <w:rPr>
                <w:rFonts w:ascii="Arial" w:eastAsia="Times New Roman" w:hAnsi="Arial" w:cs="Arial"/>
                <w:sz w:val="18"/>
                <w:szCs w:val="18"/>
                <w:lang w:eastAsia="pt-BR"/>
              </w:rPr>
              <w:t>, na forma do item 3.2 deste Anexo.</w:t>
            </w:r>
          </w:p>
        </w:tc>
        <w:tc>
          <w:tcPr>
            <w:tcW w:w="992" w:type="dxa"/>
            <w:shd w:val="clear" w:color="auto" w:fill="auto"/>
            <w:vAlign w:val="center"/>
          </w:tcPr>
          <w:p w14:paraId="721303F1" w14:textId="77777777" w:rsidR="00DA26B4" w:rsidRPr="007F2523" w:rsidRDefault="00532985" w:rsidP="004C543E">
            <w:pPr>
              <w:spacing w:after="0" w:line="240" w:lineRule="auto"/>
              <w:jc w:val="center"/>
              <w:rPr>
                <w:rFonts w:ascii="Arial" w:eastAsia="Times New Roman" w:hAnsi="Arial" w:cs="Arial"/>
                <w:sz w:val="14"/>
                <w:szCs w:val="14"/>
                <w:lang w:eastAsia="pt-BR"/>
              </w:rPr>
            </w:pPr>
            <w:r w:rsidRPr="007F2523">
              <w:rPr>
                <w:rFonts w:ascii="Arial" w:eastAsia="Times New Roman" w:hAnsi="Arial" w:cs="Arial"/>
                <w:sz w:val="14"/>
                <w:szCs w:val="14"/>
                <w:lang w:eastAsia="pt-BR"/>
              </w:rPr>
              <w:t>PDF</w:t>
            </w:r>
          </w:p>
        </w:tc>
      </w:tr>
      <w:tr w:rsidR="00DA26B4" w:rsidRPr="00A5490A" w14:paraId="060DEB2E" w14:textId="77777777" w:rsidTr="00CB7C58">
        <w:trPr>
          <w:trHeight w:val="454"/>
        </w:trPr>
        <w:tc>
          <w:tcPr>
            <w:tcW w:w="1242" w:type="dxa"/>
            <w:vAlign w:val="center"/>
          </w:tcPr>
          <w:p w14:paraId="53D07988" w14:textId="77777777" w:rsidR="00DA26B4" w:rsidRPr="00B6188E" w:rsidRDefault="00DA26B4" w:rsidP="00C97ECD">
            <w:pPr>
              <w:spacing w:after="0" w:line="240" w:lineRule="auto"/>
              <w:jc w:val="center"/>
              <w:rPr>
                <w:rFonts w:ascii="Arial" w:eastAsia="Times New Roman" w:hAnsi="Arial" w:cs="Arial"/>
                <w:sz w:val="18"/>
                <w:szCs w:val="18"/>
                <w:lang w:eastAsia="pt-BR"/>
              </w:rPr>
            </w:pPr>
            <w:r w:rsidRPr="00B6188E">
              <w:rPr>
                <w:rFonts w:ascii="Arial" w:eastAsia="Times New Roman" w:hAnsi="Arial" w:cs="Arial"/>
                <w:sz w:val="18"/>
                <w:szCs w:val="18"/>
                <w:lang w:eastAsia="pt-BR"/>
              </w:rPr>
              <w:t>INVINTN</w:t>
            </w:r>
          </w:p>
        </w:tc>
        <w:tc>
          <w:tcPr>
            <w:tcW w:w="6946" w:type="dxa"/>
            <w:shd w:val="clear" w:color="auto" w:fill="auto"/>
            <w:vAlign w:val="center"/>
          </w:tcPr>
          <w:p w14:paraId="7FD3308B" w14:textId="77777777" w:rsidR="00DA26B4" w:rsidRPr="00B6188E" w:rsidRDefault="00DA26B4" w:rsidP="00C97ECD">
            <w:pPr>
              <w:spacing w:before="120" w:after="120" w:line="240" w:lineRule="auto"/>
              <w:jc w:val="both"/>
              <w:rPr>
                <w:rFonts w:ascii="Arial" w:eastAsia="Times New Roman" w:hAnsi="Arial" w:cs="Arial"/>
                <w:sz w:val="18"/>
                <w:szCs w:val="18"/>
                <w:lang w:eastAsia="pt-BR"/>
              </w:rPr>
            </w:pPr>
            <w:r w:rsidRPr="00B6188E">
              <w:rPr>
                <w:rFonts w:ascii="Arial" w:eastAsia="Times New Roman" w:hAnsi="Arial" w:cs="Arial"/>
                <w:sz w:val="18"/>
                <w:szCs w:val="18"/>
                <w:lang w:eastAsia="pt-BR"/>
              </w:rPr>
              <w:t xml:space="preserve">Inventário anual dos bens intangíveis, contendo no mínimo as seguintes informações: </w:t>
            </w:r>
          </w:p>
          <w:p w14:paraId="63FA320A" w14:textId="77777777" w:rsidR="00DA26B4" w:rsidRPr="00B6188E" w:rsidRDefault="00DA26B4" w:rsidP="00C97ECD">
            <w:pPr>
              <w:numPr>
                <w:ilvl w:val="0"/>
                <w:numId w:val="1"/>
              </w:numPr>
              <w:spacing w:before="120" w:after="120" w:line="240" w:lineRule="auto"/>
              <w:ind w:left="402"/>
              <w:jc w:val="both"/>
              <w:rPr>
                <w:rFonts w:ascii="Arial" w:eastAsia="Times New Roman" w:hAnsi="Arial" w:cs="Arial"/>
                <w:sz w:val="18"/>
                <w:szCs w:val="18"/>
                <w:lang w:eastAsia="pt-BR"/>
              </w:rPr>
            </w:pPr>
            <w:r w:rsidRPr="00B6188E">
              <w:rPr>
                <w:rFonts w:ascii="Arial" w:eastAsia="Times New Roman" w:hAnsi="Arial" w:cs="Arial"/>
                <w:sz w:val="18"/>
                <w:szCs w:val="18"/>
                <w:lang w:eastAsia="pt-BR"/>
              </w:rPr>
              <w:t xml:space="preserve">Relação dos bens </w:t>
            </w:r>
          </w:p>
          <w:p w14:paraId="105E990E" w14:textId="77777777" w:rsidR="00DA26B4" w:rsidRPr="00B6188E" w:rsidRDefault="00DA26B4" w:rsidP="00C97ECD">
            <w:pPr>
              <w:numPr>
                <w:ilvl w:val="0"/>
                <w:numId w:val="1"/>
              </w:numPr>
              <w:spacing w:before="120" w:after="120" w:line="240" w:lineRule="auto"/>
              <w:ind w:left="402"/>
              <w:jc w:val="both"/>
              <w:rPr>
                <w:rFonts w:ascii="Arial" w:eastAsia="Times New Roman" w:hAnsi="Arial" w:cs="Arial"/>
                <w:sz w:val="18"/>
                <w:szCs w:val="18"/>
                <w:lang w:eastAsia="pt-BR"/>
              </w:rPr>
            </w:pPr>
            <w:r w:rsidRPr="00B6188E">
              <w:rPr>
                <w:rFonts w:ascii="Arial" w:eastAsia="Times New Roman" w:hAnsi="Arial" w:cs="Arial"/>
                <w:sz w:val="18"/>
                <w:szCs w:val="18"/>
                <w:lang w:eastAsia="pt-BR"/>
              </w:rPr>
              <w:t xml:space="preserve">Caracterização (especificação resumida; número de registro de marca ou patente, caso exista, comprovado mediante certidão de registro) </w:t>
            </w:r>
          </w:p>
          <w:p w14:paraId="18226563" w14:textId="77777777" w:rsidR="00DA26B4" w:rsidRPr="00B6188E" w:rsidRDefault="00DA26B4" w:rsidP="00C97ECD">
            <w:pPr>
              <w:numPr>
                <w:ilvl w:val="0"/>
                <w:numId w:val="1"/>
              </w:numPr>
              <w:spacing w:before="120" w:after="120" w:line="240" w:lineRule="auto"/>
              <w:ind w:left="402"/>
              <w:jc w:val="both"/>
              <w:rPr>
                <w:rFonts w:ascii="Arial" w:eastAsia="Times New Roman" w:hAnsi="Arial" w:cs="Arial"/>
                <w:sz w:val="18"/>
                <w:szCs w:val="18"/>
                <w:lang w:eastAsia="pt-BR"/>
              </w:rPr>
            </w:pPr>
            <w:r w:rsidRPr="00B6188E">
              <w:rPr>
                <w:rFonts w:ascii="Arial" w:eastAsia="Times New Roman" w:hAnsi="Arial" w:cs="Arial"/>
                <w:sz w:val="18"/>
                <w:szCs w:val="18"/>
                <w:lang w:eastAsia="pt-BR"/>
              </w:rPr>
              <w:t xml:space="preserve">Data de aquisição/produção/incorporação </w:t>
            </w:r>
          </w:p>
          <w:p w14:paraId="7A983C63" w14:textId="77777777" w:rsidR="00DA26B4" w:rsidRPr="00B6188E" w:rsidRDefault="00DA26B4" w:rsidP="00C97ECD">
            <w:pPr>
              <w:numPr>
                <w:ilvl w:val="0"/>
                <w:numId w:val="1"/>
              </w:numPr>
              <w:spacing w:before="120" w:after="120" w:line="240" w:lineRule="auto"/>
              <w:ind w:left="402"/>
              <w:jc w:val="both"/>
              <w:rPr>
                <w:rFonts w:ascii="Arial" w:eastAsia="Times New Roman" w:hAnsi="Arial" w:cs="Arial"/>
                <w:sz w:val="18"/>
                <w:szCs w:val="18"/>
                <w:lang w:eastAsia="pt-BR"/>
              </w:rPr>
            </w:pPr>
            <w:r w:rsidRPr="00B6188E">
              <w:rPr>
                <w:rFonts w:ascii="Arial" w:eastAsia="Times New Roman" w:hAnsi="Arial" w:cs="Arial"/>
                <w:sz w:val="18"/>
                <w:szCs w:val="18"/>
                <w:lang w:eastAsia="pt-BR"/>
              </w:rPr>
              <w:t xml:space="preserve">Valor histórico e valor atualizado </w:t>
            </w:r>
          </w:p>
          <w:p w14:paraId="3D518F5C" w14:textId="77777777" w:rsidR="00DA26B4" w:rsidRPr="00B6188E" w:rsidRDefault="00DA26B4" w:rsidP="00C97ECD">
            <w:pPr>
              <w:pStyle w:val="Default"/>
              <w:jc w:val="both"/>
              <w:rPr>
                <w:color w:val="auto"/>
                <w:sz w:val="18"/>
                <w:szCs w:val="18"/>
              </w:rPr>
            </w:pPr>
          </w:p>
          <w:p w14:paraId="7CF59DC0" w14:textId="77777777" w:rsidR="00DA26B4" w:rsidRPr="00B6188E" w:rsidRDefault="00DA26B4" w:rsidP="00C97ECD">
            <w:pPr>
              <w:pStyle w:val="Default"/>
              <w:jc w:val="both"/>
              <w:rPr>
                <w:rFonts w:eastAsia="Times New Roman"/>
                <w:color w:val="auto"/>
                <w:sz w:val="18"/>
                <w:szCs w:val="18"/>
                <w:lang w:eastAsia="pt-BR"/>
              </w:rPr>
            </w:pPr>
            <w:r w:rsidRPr="00B6188E">
              <w:rPr>
                <w:rFonts w:eastAsia="Times New Roman"/>
                <w:color w:val="auto"/>
                <w:sz w:val="18"/>
                <w:szCs w:val="18"/>
                <w:lang w:eastAsia="pt-BR"/>
              </w:rPr>
              <w:t xml:space="preserve">Obs.1: as colunas valor histórico e valor atualizado devem ser totalizadas. </w:t>
            </w:r>
          </w:p>
          <w:p w14:paraId="75B1CD13" w14:textId="77777777" w:rsidR="00DA26B4" w:rsidRPr="00B6188E" w:rsidRDefault="00DA26B4" w:rsidP="00C97ECD">
            <w:pPr>
              <w:pStyle w:val="Default"/>
              <w:jc w:val="both"/>
              <w:rPr>
                <w:rFonts w:eastAsia="Times New Roman"/>
                <w:color w:val="auto"/>
                <w:sz w:val="18"/>
                <w:szCs w:val="18"/>
                <w:lang w:eastAsia="pt-BR"/>
              </w:rPr>
            </w:pPr>
            <w:r w:rsidRPr="00B6188E">
              <w:rPr>
                <w:rFonts w:eastAsia="Times New Roman"/>
                <w:color w:val="auto"/>
                <w:sz w:val="18"/>
                <w:szCs w:val="18"/>
                <w:lang w:eastAsia="pt-BR"/>
              </w:rPr>
              <w:t xml:space="preserve">Obs.2: durante o período de mensuração, reconhecimento e implementação dos procedimentos contábeis patrimoniais, cujos prazos foram estabelecidos pela </w:t>
            </w:r>
            <w:r>
              <w:rPr>
                <w:rFonts w:eastAsia="Times New Roman"/>
                <w:color w:val="auto"/>
                <w:sz w:val="18"/>
                <w:szCs w:val="18"/>
                <w:lang w:eastAsia="pt-BR"/>
              </w:rPr>
              <w:t>IN 3</w:t>
            </w:r>
            <w:r w:rsidR="00532985">
              <w:rPr>
                <w:rFonts w:eastAsia="Times New Roman"/>
                <w:color w:val="auto"/>
                <w:sz w:val="18"/>
                <w:szCs w:val="18"/>
                <w:lang w:eastAsia="pt-BR"/>
              </w:rPr>
              <w:t>6</w:t>
            </w:r>
            <w:r>
              <w:rPr>
                <w:rFonts w:eastAsia="Times New Roman"/>
                <w:color w:val="auto"/>
                <w:sz w:val="18"/>
                <w:szCs w:val="18"/>
                <w:lang w:eastAsia="pt-BR"/>
              </w:rPr>
              <w:t>/201</w:t>
            </w:r>
            <w:r w:rsidR="00532985">
              <w:rPr>
                <w:rFonts w:eastAsia="Times New Roman"/>
                <w:color w:val="auto"/>
                <w:sz w:val="18"/>
                <w:szCs w:val="18"/>
                <w:lang w:eastAsia="pt-BR"/>
              </w:rPr>
              <w:t>6</w:t>
            </w:r>
            <w:r w:rsidRPr="00B6188E">
              <w:rPr>
                <w:rFonts w:eastAsia="Times New Roman"/>
                <w:color w:val="auto"/>
                <w:sz w:val="18"/>
                <w:szCs w:val="18"/>
                <w:lang w:eastAsia="pt-BR"/>
              </w:rPr>
              <w:t>, poderá ser informado para o valor atualizado dos bens o mesmo valor histórico.</w:t>
            </w:r>
          </w:p>
          <w:p w14:paraId="41155BB2" w14:textId="77777777" w:rsidR="00DA26B4" w:rsidRPr="00B6188E" w:rsidRDefault="00DA26B4" w:rsidP="00C97ECD">
            <w:pPr>
              <w:pStyle w:val="Default"/>
              <w:jc w:val="both"/>
              <w:rPr>
                <w:rFonts w:eastAsia="Times New Roman"/>
                <w:color w:val="auto"/>
                <w:sz w:val="18"/>
                <w:szCs w:val="18"/>
                <w:lang w:eastAsia="pt-BR"/>
              </w:rPr>
            </w:pPr>
            <w:r w:rsidRPr="00B6188E">
              <w:rPr>
                <w:rFonts w:eastAsia="Times New Roman"/>
                <w:color w:val="auto"/>
                <w:sz w:val="18"/>
                <w:szCs w:val="18"/>
                <w:lang w:eastAsia="pt-BR"/>
              </w:rPr>
              <w:t xml:space="preserve">Obs.3: os critérios utilizados para definição de valor histórico, valor atualizado e de mensuração do inventário, devem ser objeto de notas explicativas. </w:t>
            </w:r>
          </w:p>
          <w:p w14:paraId="6B6B9700" w14:textId="77777777" w:rsidR="00DA26B4" w:rsidRPr="00B6188E" w:rsidRDefault="00DA26B4" w:rsidP="00C97ECD">
            <w:pPr>
              <w:pStyle w:val="Default"/>
              <w:jc w:val="both"/>
              <w:rPr>
                <w:rFonts w:eastAsia="Times New Roman"/>
                <w:color w:val="auto"/>
                <w:sz w:val="18"/>
                <w:szCs w:val="18"/>
                <w:lang w:eastAsia="pt-BR"/>
              </w:rPr>
            </w:pPr>
            <w:r w:rsidRPr="00B6188E">
              <w:rPr>
                <w:rFonts w:eastAsia="Times New Roman"/>
                <w:color w:val="auto"/>
                <w:sz w:val="18"/>
                <w:szCs w:val="18"/>
                <w:lang w:eastAsia="pt-BR"/>
              </w:rPr>
              <w:t>Obs.4: aplicam-se à presente norma, os conceitos adotados pela Secretaria do Tesouro Nacional em seu Manual de Contabilidade Aplicada ao Setor Público vigente.</w:t>
            </w:r>
            <w:r w:rsidRPr="00B6188E">
              <w:rPr>
                <w:color w:val="auto"/>
                <w:sz w:val="16"/>
                <w:szCs w:val="16"/>
              </w:rPr>
              <w:t xml:space="preserve"> </w:t>
            </w:r>
          </w:p>
        </w:tc>
        <w:tc>
          <w:tcPr>
            <w:tcW w:w="992" w:type="dxa"/>
            <w:shd w:val="clear" w:color="auto" w:fill="auto"/>
            <w:vAlign w:val="center"/>
          </w:tcPr>
          <w:p w14:paraId="198CC4F4" w14:textId="77777777" w:rsidR="00DA26B4" w:rsidRPr="00A5490A" w:rsidRDefault="00532985" w:rsidP="00C97EC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p w14:paraId="486C721F" w14:textId="77777777" w:rsidR="00DA26B4" w:rsidRPr="00A5490A" w:rsidRDefault="00DA26B4" w:rsidP="00C97ECD">
            <w:pPr>
              <w:spacing w:after="0" w:line="240" w:lineRule="auto"/>
              <w:jc w:val="center"/>
              <w:rPr>
                <w:rFonts w:ascii="Arial" w:eastAsia="Times New Roman" w:hAnsi="Arial" w:cs="Arial"/>
                <w:sz w:val="14"/>
                <w:szCs w:val="14"/>
                <w:highlight w:val="yellow"/>
                <w:lang w:eastAsia="pt-BR"/>
              </w:rPr>
            </w:pPr>
            <w:r w:rsidRPr="00A5490A">
              <w:rPr>
                <w:rFonts w:ascii="Arial" w:eastAsia="Times New Roman" w:hAnsi="Arial" w:cs="Arial"/>
                <w:sz w:val="14"/>
                <w:szCs w:val="14"/>
                <w:lang w:eastAsia="pt-BR"/>
              </w:rPr>
              <w:t>e</w:t>
            </w:r>
            <w:r w:rsidRPr="00A5490A">
              <w:rPr>
                <w:rFonts w:ascii="Arial" w:eastAsia="Times New Roman" w:hAnsi="Arial" w:cs="Arial"/>
                <w:sz w:val="14"/>
                <w:szCs w:val="14"/>
                <w:highlight w:val="yellow"/>
                <w:lang w:eastAsia="pt-BR"/>
              </w:rPr>
              <w:t xml:space="preserve"> </w:t>
            </w:r>
          </w:p>
          <w:p w14:paraId="0362F2EC" w14:textId="77777777" w:rsidR="00DA26B4" w:rsidRPr="00A5490A" w:rsidRDefault="00DA26B4" w:rsidP="00C97ECD">
            <w:pPr>
              <w:spacing w:after="0" w:line="240" w:lineRule="auto"/>
              <w:jc w:val="center"/>
              <w:rPr>
                <w:rFonts w:ascii="Arial" w:eastAsia="Times New Roman" w:hAnsi="Arial" w:cs="Arial"/>
                <w:sz w:val="14"/>
                <w:szCs w:val="14"/>
                <w:lang w:eastAsia="pt-BR"/>
              </w:rPr>
            </w:pPr>
            <w:r w:rsidRPr="00A5490A">
              <w:rPr>
                <w:rFonts w:ascii="Arial" w:eastAsia="Times New Roman" w:hAnsi="Arial" w:cs="Arial"/>
                <w:sz w:val="14"/>
                <w:szCs w:val="14"/>
                <w:lang w:eastAsia="pt-BR"/>
              </w:rPr>
              <w:t>XLS</w:t>
            </w:r>
            <w:r>
              <w:rPr>
                <w:rFonts w:ascii="Arial" w:eastAsia="Times New Roman" w:hAnsi="Arial" w:cs="Arial"/>
                <w:sz w:val="14"/>
                <w:szCs w:val="14"/>
                <w:lang w:eastAsia="pt-BR"/>
              </w:rPr>
              <w:t>/XLSX/ODS</w:t>
            </w:r>
          </w:p>
        </w:tc>
      </w:tr>
      <w:tr w:rsidR="00DA26B4" w:rsidRPr="00A5490A" w14:paraId="391D16D2" w14:textId="77777777" w:rsidTr="00CB7C58">
        <w:trPr>
          <w:trHeight w:val="454"/>
        </w:trPr>
        <w:tc>
          <w:tcPr>
            <w:tcW w:w="1242" w:type="dxa"/>
            <w:vAlign w:val="center"/>
          </w:tcPr>
          <w:p w14:paraId="5F03F3F7" w14:textId="77777777" w:rsidR="00DA26B4" w:rsidRPr="007F2523" w:rsidRDefault="00DA26B4" w:rsidP="00B6188E">
            <w:pPr>
              <w:spacing w:after="0" w:line="240" w:lineRule="auto"/>
              <w:jc w:val="center"/>
              <w:rPr>
                <w:rFonts w:ascii="Arial" w:eastAsia="Times New Roman" w:hAnsi="Arial" w:cs="Arial"/>
                <w:sz w:val="18"/>
                <w:szCs w:val="18"/>
                <w:lang w:eastAsia="pt-BR"/>
              </w:rPr>
            </w:pPr>
            <w:r w:rsidRPr="007F2523">
              <w:rPr>
                <w:rFonts w:ascii="Arial" w:eastAsia="Times New Roman" w:hAnsi="Arial" w:cs="Arial"/>
                <w:sz w:val="18"/>
                <w:szCs w:val="18"/>
                <w:lang w:eastAsia="pt-BR"/>
              </w:rPr>
              <w:lastRenderedPageBreak/>
              <w:t>TERINT</w:t>
            </w:r>
          </w:p>
        </w:tc>
        <w:tc>
          <w:tcPr>
            <w:tcW w:w="6946" w:type="dxa"/>
            <w:shd w:val="clear" w:color="auto" w:fill="auto"/>
            <w:vAlign w:val="center"/>
          </w:tcPr>
          <w:p w14:paraId="35B323AC" w14:textId="6C97F07A" w:rsidR="00DA26B4" w:rsidRPr="007F2523" w:rsidRDefault="00DA26B4" w:rsidP="007F2523">
            <w:pPr>
              <w:spacing w:before="120" w:after="120" w:line="240" w:lineRule="auto"/>
              <w:jc w:val="both"/>
              <w:rPr>
                <w:rFonts w:ascii="Arial" w:eastAsia="Times New Roman" w:hAnsi="Arial" w:cs="Arial"/>
                <w:sz w:val="18"/>
                <w:szCs w:val="18"/>
                <w:lang w:eastAsia="pt-BR"/>
              </w:rPr>
            </w:pPr>
            <w:r w:rsidRPr="007F2523">
              <w:rPr>
                <w:rFonts w:ascii="Arial" w:eastAsia="Times New Roman" w:hAnsi="Arial" w:cs="Arial"/>
                <w:sz w:val="18"/>
                <w:szCs w:val="18"/>
                <w:lang w:eastAsia="pt-BR"/>
              </w:rPr>
              <w:t>Termo circunstanciado elaborado e assinado pela comissão responsável pelo Inventário anual dos bens intangíveis (INVINTN), indicando o saldo total apurado e o detalhamento (especificação e valor) das divergências encontradas</w:t>
            </w:r>
            <w:r w:rsidR="007F2523" w:rsidRPr="007F2523">
              <w:rPr>
                <w:rFonts w:ascii="Arial" w:eastAsia="Times New Roman" w:hAnsi="Arial" w:cs="Arial"/>
                <w:sz w:val="18"/>
                <w:szCs w:val="18"/>
                <w:lang w:eastAsia="pt-BR"/>
              </w:rPr>
              <w:t>, na forma do item 3.2 deste Anexo.</w:t>
            </w:r>
          </w:p>
        </w:tc>
        <w:tc>
          <w:tcPr>
            <w:tcW w:w="992" w:type="dxa"/>
            <w:shd w:val="clear" w:color="auto" w:fill="auto"/>
            <w:vAlign w:val="center"/>
          </w:tcPr>
          <w:p w14:paraId="346C4844" w14:textId="77777777" w:rsidR="00DA26B4" w:rsidRPr="00B6188E" w:rsidRDefault="00532985" w:rsidP="004C543E">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DA26B4" w:rsidRPr="00A5490A" w14:paraId="0AE938A7" w14:textId="77777777" w:rsidTr="00CB7C58">
        <w:trPr>
          <w:trHeight w:val="454"/>
        </w:trPr>
        <w:tc>
          <w:tcPr>
            <w:tcW w:w="1242" w:type="dxa"/>
            <w:vAlign w:val="center"/>
          </w:tcPr>
          <w:p w14:paraId="2C014005" w14:textId="77777777" w:rsidR="00DA26B4" w:rsidRPr="00A5490A" w:rsidRDefault="00DA26B4" w:rsidP="00C97ECD">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COMINV</w:t>
            </w:r>
          </w:p>
        </w:tc>
        <w:tc>
          <w:tcPr>
            <w:tcW w:w="6946" w:type="dxa"/>
            <w:shd w:val="clear" w:color="auto" w:fill="auto"/>
            <w:vAlign w:val="center"/>
          </w:tcPr>
          <w:p w14:paraId="4701CF77" w14:textId="77777777" w:rsidR="00DA26B4" w:rsidRPr="00A5490A" w:rsidRDefault="00DA26B4" w:rsidP="00C97ECD">
            <w:p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Ato de designação da comissão responsável pela elaboração dos inventários.</w:t>
            </w:r>
          </w:p>
        </w:tc>
        <w:tc>
          <w:tcPr>
            <w:tcW w:w="992" w:type="dxa"/>
            <w:shd w:val="clear" w:color="auto" w:fill="auto"/>
            <w:vAlign w:val="center"/>
          </w:tcPr>
          <w:p w14:paraId="2B80E54B" w14:textId="77777777" w:rsidR="00DA26B4" w:rsidRPr="00A5490A" w:rsidRDefault="00532985" w:rsidP="00C97EC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DA26B4" w:rsidRPr="00A5490A" w14:paraId="7288C236" w14:textId="77777777" w:rsidTr="00CB7C58">
        <w:trPr>
          <w:trHeight w:val="454"/>
        </w:trPr>
        <w:tc>
          <w:tcPr>
            <w:tcW w:w="1242" w:type="dxa"/>
            <w:vAlign w:val="center"/>
          </w:tcPr>
          <w:p w14:paraId="302F204E" w14:textId="77777777" w:rsidR="00DA26B4" w:rsidRPr="00B6188E" w:rsidRDefault="00DA26B4" w:rsidP="00B6188E">
            <w:pPr>
              <w:spacing w:after="0" w:line="240" w:lineRule="auto"/>
              <w:jc w:val="center"/>
              <w:rPr>
                <w:rFonts w:ascii="Arial" w:eastAsia="Times New Roman" w:hAnsi="Arial" w:cs="Arial"/>
                <w:sz w:val="18"/>
                <w:szCs w:val="18"/>
                <w:lang w:eastAsia="pt-BR"/>
              </w:rPr>
            </w:pPr>
            <w:r w:rsidRPr="00B6188E">
              <w:rPr>
                <w:rFonts w:ascii="Arial" w:eastAsia="Times New Roman" w:hAnsi="Arial" w:cs="Arial"/>
                <w:sz w:val="18"/>
                <w:szCs w:val="18"/>
                <w:lang w:eastAsia="pt-BR"/>
              </w:rPr>
              <w:t>DEMDATN</w:t>
            </w:r>
          </w:p>
        </w:tc>
        <w:tc>
          <w:tcPr>
            <w:tcW w:w="6946" w:type="dxa"/>
            <w:shd w:val="clear" w:color="auto" w:fill="auto"/>
            <w:vAlign w:val="center"/>
          </w:tcPr>
          <w:p w14:paraId="1AF72EAC" w14:textId="77777777" w:rsidR="00DA26B4" w:rsidRPr="00B6188E" w:rsidRDefault="00DA26B4" w:rsidP="00C97ECD">
            <w:pPr>
              <w:spacing w:before="120" w:after="120" w:line="240" w:lineRule="auto"/>
              <w:jc w:val="both"/>
              <w:rPr>
                <w:rFonts w:ascii="Arial" w:eastAsia="Times New Roman" w:hAnsi="Arial" w:cs="Arial"/>
                <w:sz w:val="18"/>
                <w:szCs w:val="18"/>
                <w:lang w:eastAsia="pt-BR"/>
              </w:rPr>
            </w:pPr>
            <w:r w:rsidRPr="00B6188E">
              <w:rPr>
                <w:rFonts w:ascii="Arial" w:eastAsia="Times New Roman" w:hAnsi="Arial" w:cs="Arial"/>
                <w:sz w:val="18"/>
                <w:szCs w:val="18"/>
                <w:lang w:eastAsia="pt-BR"/>
              </w:rPr>
              <w:t xml:space="preserve">Demonstrativo da dívida ativa tributária e não tributária, devidamente assinado pelo gestor e por profissional responsável, destacando-se: </w:t>
            </w:r>
          </w:p>
          <w:p w14:paraId="17C64A43" w14:textId="77777777" w:rsidR="00DA26B4" w:rsidRPr="00B6188E" w:rsidRDefault="00DA26B4" w:rsidP="00C97ECD">
            <w:pPr>
              <w:numPr>
                <w:ilvl w:val="0"/>
                <w:numId w:val="3"/>
              </w:numPr>
              <w:spacing w:before="120" w:after="120" w:line="240" w:lineRule="auto"/>
              <w:ind w:left="402"/>
              <w:jc w:val="both"/>
              <w:rPr>
                <w:rFonts w:ascii="Arial" w:eastAsia="Times New Roman" w:hAnsi="Arial" w:cs="Arial"/>
                <w:sz w:val="18"/>
                <w:szCs w:val="18"/>
                <w:lang w:eastAsia="pt-BR"/>
              </w:rPr>
            </w:pPr>
            <w:r w:rsidRPr="00B6188E">
              <w:rPr>
                <w:rFonts w:ascii="Arial" w:eastAsia="Times New Roman" w:hAnsi="Arial" w:cs="Arial"/>
                <w:sz w:val="18"/>
                <w:szCs w:val="18"/>
                <w:lang w:eastAsia="pt-BR"/>
              </w:rPr>
              <w:t xml:space="preserve">saldo inicial; </w:t>
            </w:r>
          </w:p>
          <w:p w14:paraId="2D1BB4A6" w14:textId="77777777" w:rsidR="00DA26B4" w:rsidRPr="00B6188E" w:rsidRDefault="00DA26B4" w:rsidP="00C97ECD">
            <w:pPr>
              <w:numPr>
                <w:ilvl w:val="0"/>
                <w:numId w:val="3"/>
              </w:numPr>
              <w:spacing w:before="120" w:after="120" w:line="240" w:lineRule="auto"/>
              <w:ind w:left="402"/>
              <w:jc w:val="both"/>
              <w:rPr>
                <w:rFonts w:ascii="Arial" w:eastAsia="Times New Roman" w:hAnsi="Arial" w:cs="Arial"/>
                <w:sz w:val="18"/>
                <w:szCs w:val="18"/>
                <w:lang w:eastAsia="pt-BR"/>
              </w:rPr>
            </w:pPr>
            <w:r w:rsidRPr="00B6188E">
              <w:rPr>
                <w:rFonts w:ascii="Arial" w:eastAsia="Times New Roman" w:hAnsi="Arial" w:cs="Arial"/>
                <w:sz w:val="18"/>
                <w:szCs w:val="18"/>
                <w:lang w:eastAsia="pt-BR"/>
              </w:rPr>
              <w:t xml:space="preserve">inscrições no exercício, segregando valor do principal, atualizações e juros; </w:t>
            </w:r>
          </w:p>
          <w:p w14:paraId="1AEE02A6" w14:textId="77777777" w:rsidR="00DA26B4" w:rsidRPr="00B6188E" w:rsidRDefault="00DA26B4" w:rsidP="00C97ECD">
            <w:pPr>
              <w:numPr>
                <w:ilvl w:val="0"/>
                <w:numId w:val="3"/>
              </w:numPr>
              <w:spacing w:before="120" w:after="120" w:line="240" w:lineRule="auto"/>
              <w:ind w:left="402"/>
              <w:jc w:val="both"/>
              <w:rPr>
                <w:rFonts w:ascii="Arial" w:eastAsia="Times New Roman" w:hAnsi="Arial" w:cs="Arial"/>
                <w:sz w:val="18"/>
                <w:szCs w:val="18"/>
                <w:lang w:eastAsia="pt-BR"/>
              </w:rPr>
            </w:pPr>
            <w:r w:rsidRPr="00B6188E">
              <w:rPr>
                <w:rFonts w:ascii="Arial" w:eastAsia="Times New Roman" w:hAnsi="Arial" w:cs="Arial"/>
                <w:sz w:val="18"/>
                <w:szCs w:val="18"/>
                <w:lang w:eastAsia="pt-BR"/>
              </w:rPr>
              <w:t xml:space="preserve">baixas por pagamento; </w:t>
            </w:r>
          </w:p>
          <w:p w14:paraId="37E85294" w14:textId="77777777" w:rsidR="00DA26B4" w:rsidRPr="00B6188E" w:rsidRDefault="00DA26B4" w:rsidP="00C97ECD">
            <w:pPr>
              <w:numPr>
                <w:ilvl w:val="0"/>
                <w:numId w:val="3"/>
              </w:numPr>
              <w:spacing w:before="120" w:after="120" w:line="240" w:lineRule="auto"/>
              <w:ind w:left="402"/>
              <w:jc w:val="both"/>
              <w:rPr>
                <w:rFonts w:ascii="Arial" w:eastAsia="Times New Roman" w:hAnsi="Arial" w:cs="Arial"/>
                <w:sz w:val="18"/>
                <w:szCs w:val="18"/>
                <w:lang w:eastAsia="pt-BR"/>
              </w:rPr>
            </w:pPr>
            <w:r w:rsidRPr="00B6188E">
              <w:rPr>
                <w:rFonts w:ascii="Arial" w:eastAsia="Times New Roman" w:hAnsi="Arial" w:cs="Arial"/>
                <w:sz w:val="18"/>
                <w:szCs w:val="18"/>
                <w:lang w:eastAsia="pt-BR"/>
              </w:rPr>
              <w:t xml:space="preserve">baixas por cancelamentos, acompanhadas de documentação que comprove sua legalidade e motivação; </w:t>
            </w:r>
          </w:p>
          <w:p w14:paraId="66B4BB0D" w14:textId="77777777" w:rsidR="00DA26B4" w:rsidRPr="00B6188E" w:rsidRDefault="00DA26B4" w:rsidP="00C97ECD">
            <w:pPr>
              <w:numPr>
                <w:ilvl w:val="0"/>
                <w:numId w:val="3"/>
              </w:numPr>
              <w:spacing w:before="120" w:after="120" w:line="240" w:lineRule="auto"/>
              <w:ind w:left="402"/>
              <w:jc w:val="both"/>
              <w:rPr>
                <w:rFonts w:ascii="Arial" w:eastAsia="Times New Roman" w:hAnsi="Arial" w:cs="Arial"/>
                <w:sz w:val="18"/>
                <w:szCs w:val="18"/>
                <w:lang w:eastAsia="pt-BR"/>
              </w:rPr>
            </w:pPr>
            <w:r w:rsidRPr="00B6188E">
              <w:rPr>
                <w:rFonts w:ascii="Arial" w:eastAsia="Times New Roman" w:hAnsi="Arial" w:cs="Arial"/>
                <w:sz w:val="18"/>
                <w:szCs w:val="18"/>
                <w:lang w:eastAsia="pt-BR"/>
              </w:rPr>
              <w:t xml:space="preserve">saldo final. </w:t>
            </w:r>
          </w:p>
          <w:p w14:paraId="3E78BFE8" w14:textId="77777777" w:rsidR="00DA26B4" w:rsidRPr="00B6188E" w:rsidRDefault="00DA26B4" w:rsidP="00C97ECD">
            <w:pPr>
              <w:spacing w:before="120" w:after="120" w:line="240" w:lineRule="auto"/>
              <w:jc w:val="both"/>
              <w:rPr>
                <w:rFonts w:ascii="Arial" w:eastAsia="Times New Roman" w:hAnsi="Arial" w:cs="Arial"/>
                <w:sz w:val="18"/>
                <w:szCs w:val="18"/>
                <w:lang w:eastAsia="pt-BR"/>
              </w:rPr>
            </w:pPr>
            <w:r w:rsidRPr="00B6188E">
              <w:rPr>
                <w:rFonts w:ascii="Arial" w:eastAsia="Times New Roman" w:hAnsi="Arial" w:cs="Arial"/>
                <w:sz w:val="18"/>
                <w:szCs w:val="18"/>
                <w:lang w:eastAsia="pt-BR"/>
              </w:rPr>
              <w:t xml:space="preserve">Quadro auxiliar demonstrando a dívida ativa em cobrança judicial e extrajudicial, especificando: </w:t>
            </w:r>
          </w:p>
          <w:p w14:paraId="39670D7C" w14:textId="77777777" w:rsidR="00DA26B4" w:rsidRPr="00B6188E" w:rsidRDefault="00DA26B4" w:rsidP="00C97ECD">
            <w:pPr>
              <w:numPr>
                <w:ilvl w:val="0"/>
                <w:numId w:val="3"/>
              </w:numPr>
              <w:spacing w:before="120" w:after="120" w:line="240" w:lineRule="auto"/>
              <w:ind w:left="402"/>
              <w:jc w:val="both"/>
              <w:rPr>
                <w:rFonts w:ascii="Arial" w:eastAsia="Times New Roman" w:hAnsi="Arial" w:cs="Arial"/>
                <w:sz w:val="18"/>
                <w:szCs w:val="18"/>
                <w:lang w:eastAsia="pt-BR"/>
              </w:rPr>
            </w:pPr>
            <w:r w:rsidRPr="00B6188E">
              <w:rPr>
                <w:rFonts w:ascii="Arial" w:eastAsia="Times New Roman" w:hAnsi="Arial" w:cs="Arial"/>
                <w:sz w:val="18"/>
                <w:szCs w:val="18"/>
                <w:lang w:eastAsia="pt-BR"/>
              </w:rPr>
              <w:t xml:space="preserve">Data de início da cobrança </w:t>
            </w:r>
          </w:p>
          <w:p w14:paraId="417D1E98" w14:textId="77777777" w:rsidR="00DA26B4" w:rsidRPr="00B6188E" w:rsidRDefault="00DA26B4" w:rsidP="00C97ECD">
            <w:pPr>
              <w:numPr>
                <w:ilvl w:val="0"/>
                <w:numId w:val="3"/>
              </w:numPr>
              <w:spacing w:before="120" w:after="120" w:line="240" w:lineRule="auto"/>
              <w:ind w:left="402"/>
              <w:jc w:val="both"/>
              <w:rPr>
                <w:rFonts w:ascii="Arial" w:eastAsia="Times New Roman" w:hAnsi="Arial" w:cs="Arial"/>
                <w:sz w:val="18"/>
                <w:szCs w:val="18"/>
                <w:lang w:eastAsia="pt-BR"/>
              </w:rPr>
            </w:pPr>
            <w:r w:rsidRPr="00B6188E">
              <w:rPr>
                <w:rFonts w:ascii="Arial" w:eastAsia="Times New Roman" w:hAnsi="Arial" w:cs="Arial"/>
                <w:sz w:val="18"/>
                <w:szCs w:val="18"/>
                <w:lang w:eastAsia="pt-BR"/>
              </w:rPr>
              <w:t xml:space="preserve">Nome do requerido </w:t>
            </w:r>
          </w:p>
          <w:p w14:paraId="780B912C" w14:textId="77777777" w:rsidR="00DA26B4" w:rsidRPr="00B6188E" w:rsidRDefault="00DA26B4" w:rsidP="00C97ECD">
            <w:pPr>
              <w:numPr>
                <w:ilvl w:val="0"/>
                <w:numId w:val="3"/>
              </w:numPr>
              <w:spacing w:before="120" w:after="120" w:line="240" w:lineRule="auto"/>
              <w:ind w:left="402"/>
              <w:jc w:val="both"/>
              <w:rPr>
                <w:rFonts w:ascii="Arial" w:eastAsia="Times New Roman" w:hAnsi="Arial" w:cs="Arial"/>
                <w:sz w:val="18"/>
                <w:szCs w:val="18"/>
                <w:lang w:eastAsia="pt-BR"/>
              </w:rPr>
            </w:pPr>
            <w:r w:rsidRPr="00B6188E">
              <w:rPr>
                <w:rFonts w:ascii="Arial" w:eastAsia="Times New Roman" w:hAnsi="Arial" w:cs="Arial"/>
                <w:sz w:val="18"/>
                <w:szCs w:val="18"/>
                <w:lang w:eastAsia="pt-BR"/>
              </w:rPr>
              <w:t xml:space="preserve">Valor da dívida </w:t>
            </w:r>
          </w:p>
          <w:p w14:paraId="6ECD2AA9" w14:textId="77777777" w:rsidR="00DA26B4" w:rsidRPr="00B6188E" w:rsidRDefault="00DA26B4" w:rsidP="00C97ECD">
            <w:pPr>
              <w:numPr>
                <w:ilvl w:val="0"/>
                <w:numId w:val="3"/>
              </w:numPr>
              <w:spacing w:before="120" w:after="120" w:line="240" w:lineRule="auto"/>
              <w:ind w:left="402"/>
              <w:jc w:val="both"/>
              <w:rPr>
                <w:rFonts w:ascii="Arial" w:eastAsia="Times New Roman" w:hAnsi="Arial" w:cs="Arial"/>
                <w:sz w:val="18"/>
                <w:szCs w:val="18"/>
                <w:lang w:eastAsia="pt-BR"/>
              </w:rPr>
            </w:pPr>
            <w:r w:rsidRPr="00B6188E">
              <w:rPr>
                <w:rFonts w:ascii="Arial" w:eastAsia="Times New Roman" w:hAnsi="Arial" w:cs="Arial"/>
                <w:sz w:val="18"/>
                <w:szCs w:val="18"/>
                <w:lang w:eastAsia="pt-BR"/>
              </w:rPr>
              <w:t xml:space="preserve">Situação do processo (em tramitação / encerrado) </w:t>
            </w:r>
          </w:p>
        </w:tc>
        <w:tc>
          <w:tcPr>
            <w:tcW w:w="992" w:type="dxa"/>
            <w:shd w:val="clear" w:color="auto" w:fill="auto"/>
            <w:vAlign w:val="center"/>
          </w:tcPr>
          <w:p w14:paraId="4FEA81F7" w14:textId="77777777" w:rsidR="00DA26B4" w:rsidRPr="00B6188E" w:rsidRDefault="00532985" w:rsidP="00C97EC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DA26B4" w:rsidRPr="00A5490A" w14:paraId="42E27042" w14:textId="77777777" w:rsidTr="00CB7C58">
        <w:trPr>
          <w:trHeight w:val="454"/>
        </w:trPr>
        <w:tc>
          <w:tcPr>
            <w:tcW w:w="1242" w:type="dxa"/>
            <w:vAlign w:val="center"/>
          </w:tcPr>
          <w:p w14:paraId="038F7786" w14:textId="77777777" w:rsidR="00DA26B4" w:rsidRPr="00B6188E" w:rsidRDefault="00DA26B4" w:rsidP="00C97ECD">
            <w:pPr>
              <w:spacing w:after="0" w:line="240" w:lineRule="auto"/>
              <w:jc w:val="center"/>
              <w:rPr>
                <w:rFonts w:ascii="Arial" w:eastAsia="Times New Roman" w:hAnsi="Arial" w:cs="Arial"/>
                <w:sz w:val="18"/>
                <w:szCs w:val="18"/>
                <w:lang w:eastAsia="pt-BR"/>
              </w:rPr>
            </w:pPr>
            <w:r w:rsidRPr="00B6188E">
              <w:rPr>
                <w:rFonts w:ascii="Arial" w:eastAsia="Times New Roman" w:hAnsi="Arial" w:cs="Arial"/>
                <w:sz w:val="18"/>
                <w:szCs w:val="18"/>
                <w:lang w:eastAsia="pt-BR"/>
              </w:rPr>
              <w:t>DEMRAPG</w:t>
            </w:r>
          </w:p>
        </w:tc>
        <w:tc>
          <w:tcPr>
            <w:tcW w:w="6946" w:type="dxa"/>
            <w:shd w:val="clear" w:color="auto" w:fill="auto"/>
            <w:vAlign w:val="center"/>
          </w:tcPr>
          <w:p w14:paraId="31E9045B" w14:textId="77777777" w:rsidR="00DA26B4" w:rsidRPr="00B6188E" w:rsidRDefault="00DA26B4" w:rsidP="00C97ECD">
            <w:pPr>
              <w:spacing w:before="120" w:after="120" w:line="240" w:lineRule="auto"/>
              <w:jc w:val="both"/>
              <w:rPr>
                <w:rFonts w:ascii="Arial" w:eastAsia="Times New Roman" w:hAnsi="Arial" w:cs="Arial"/>
                <w:i/>
                <w:sz w:val="18"/>
                <w:szCs w:val="18"/>
                <w:lang w:eastAsia="pt-BR"/>
              </w:rPr>
            </w:pPr>
            <w:r w:rsidRPr="00B6188E">
              <w:rPr>
                <w:rFonts w:ascii="Arial" w:eastAsia="Times New Roman" w:hAnsi="Arial" w:cs="Arial"/>
                <w:sz w:val="18"/>
                <w:szCs w:val="18"/>
                <w:lang w:eastAsia="pt-BR"/>
              </w:rPr>
              <w:t>Demonstrativo de Restos a Pagar, evidenciando</w:t>
            </w:r>
            <w:r w:rsidRPr="00B6188E">
              <w:rPr>
                <w:rFonts w:ascii="Arial" w:eastAsia="Times New Roman" w:hAnsi="Arial" w:cs="Arial"/>
                <w:b/>
                <w:bCs/>
                <w:sz w:val="18"/>
                <w:szCs w:val="18"/>
                <w:lang w:eastAsia="pt-BR"/>
              </w:rPr>
              <w:t>:</w:t>
            </w:r>
          </w:p>
          <w:p w14:paraId="5358E522" w14:textId="77777777" w:rsidR="00DA26B4" w:rsidRPr="00B6188E" w:rsidRDefault="00DA26B4" w:rsidP="00C97ECD">
            <w:pPr>
              <w:numPr>
                <w:ilvl w:val="0"/>
                <w:numId w:val="4"/>
              </w:numPr>
              <w:spacing w:before="120" w:after="120" w:line="240" w:lineRule="auto"/>
              <w:ind w:left="402"/>
              <w:jc w:val="both"/>
              <w:rPr>
                <w:rFonts w:ascii="Arial" w:eastAsia="Times New Roman" w:hAnsi="Arial" w:cs="Arial"/>
                <w:sz w:val="18"/>
                <w:szCs w:val="18"/>
                <w:lang w:eastAsia="pt-BR"/>
              </w:rPr>
            </w:pPr>
            <w:r w:rsidRPr="00B6188E">
              <w:rPr>
                <w:rFonts w:ascii="Arial" w:eastAsia="Times New Roman" w:hAnsi="Arial" w:cs="Arial"/>
                <w:sz w:val="18"/>
                <w:szCs w:val="18"/>
                <w:lang w:eastAsia="pt-BR"/>
              </w:rPr>
              <w:t>os saldos de restos a pagar de exercícios anteriores e os restos a pagar inscritos no exercício sob análise, discriminados em: processados e não processados, por exercício, por credor, por fonte de recursos, por função e subfunção;</w:t>
            </w:r>
          </w:p>
          <w:p w14:paraId="145B2D89" w14:textId="77777777" w:rsidR="00DA26B4" w:rsidRPr="00B6188E" w:rsidRDefault="00DA26B4" w:rsidP="0090105B">
            <w:pPr>
              <w:numPr>
                <w:ilvl w:val="0"/>
                <w:numId w:val="4"/>
              </w:numPr>
              <w:spacing w:before="120" w:after="120" w:line="240" w:lineRule="auto"/>
              <w:ind w:left="402"/>
              <w:jc w:val="both"/>
              <w:rPr>
                <w:rFonts w:ascii="Arial" w:eastAsia="Times New Roman" w:hAnsi="Arial" w:cs="Arial"/>
                <w:sz w:val="18"/>
                <w:szCs w:val="18"/>
                <w:lang w:eastAsia="pt-BR"/>
              </w:rPr>
            </w:pPr>
            <w:r w:rsidRPr="00B6188E">
              <w:rPr>
                <w:rFonts w:ascii="Arial" w:eastAsia="Times New Roman" w:hAnsi="Arial" w:cs="Arial"/>
                <w:sz w:val="18"/>
                <w:szCs w:val="18"/>
                <w:lang w:eastAsia="pt-BR"/>
              </w:rPr>
              <w:t>os restos a pagar cancelados no exercício sob análise, discriminados em: processados e não-processados, por exercício, por credor, por fonte de recursos, por função e subfunção</w:t>
            </w:r>
            <w:r w:rsidR="0090105B">
              <w:rPr>
                <w:rFonts w:ascii="Arial" w:eastAsia="Times New Roman" w:hAnsi="Arial" w:cs="Arial"/>
                <w:sz w:val="18"/>
                <w:szCs w:val="18"/>
                <w:lang w:eastAsia="pt-BR"/>
              </w:rPr>
              <w:t>.</w:t>
            </w:r>
          </w:p>
        </w:tc>
        <w:tc>
          <w:tcPr>
            <w:tcW w:w="992" w:type="dxa"/>
            <w:shd w:val="clear" w:color="auto" w:fill="auto"/>
            <w:vAlign w:val="center"/>
          </w:tcPr>
          <w:p w14:paraId="08EE8EA1" w14:textId="77777777" w:rsidR="00DA26B4" w:rsidRPr="00B6188E" w:rsidRDefault="00532985" w:rsidP="00C97EC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DA26B4" w:rsidRPr="00A5490A" w14:paraId="62F5DD58" w14:textId="77777777" w:rsidTr="00CB7C58">
        <w:trPr>
          <w:trHeight w:val="454"/>
        </w:trPr>
        <w:tc>
          <w:tcPr>
            <w:tcW w:w="1242" w:type="dxa"/>
            <w:vAlign w:val="center"/>
          </w:tcPr>
          <w:p w14:paraId="03F96F8B" w14:textId="77777777" w:rsidR="00DA26B4" w:rsidRPr="00B6188E" w:rsidRDefault="00DA26B4" w:rsidP="00C97ECD">
            <w:pPr>
              <w:spacing w:after="0" w:line="240" w:lineRule="auto"/>
              <w:jc w:val="center"/>
              <w:rPr>
                <w:rFonts w:ascii="Arial" w:eastAsia="Times New Roman" w:hAnsi="Arial" w:cs="Arial"/>
                <w:sz w:val="18"/>
                <w:szCs w:val="18"/>
                <w:lang w:eastAsia="pt-BR"/>
              </w:rPr>
            </w:pPr>
            <w:r w:rsidRPr="00B6188E">
              <w:rPr>
                <w:rFonts w:ascii="Arial" w:eastAsia="Times New Roman" w:hAnsi="Arial" w:cs="Arial"/>
                <w:sz w:val="18"/>
                <w:szCs w:val="18"/>
                <w:lang w:eastAsia="pt-BR"/>
              </w:rPr>
              <w:t>EXTBAN</w:t>
            </w:r>
          </w:p>
        </w:tc>
        <w:tc>
          <w:tcPr>
            <w:tcW w:w="6946" w:type="dxa"/>
            <w:shd w:val="clear" w:color="auto" w:fill="auto"/>
            <w:vAlign w:val="center"/>
          </w:tcPr>
          <w:p w14:paraId="1338D9A0" w14:textId="77777777" w:rsidR="00DA26B4" w:rsidRPr="00B6188E" w:rsidRDefault="00DA26B4" w:rsidP="00C97ECD">
            <w:pPr>
              <w:spacing w:before="120" w:after="120" w:line="240" w:lineRule="auto"/>
              <w:jc w:val="both"/>
              <w:rPr>
                <w:rFonts w:ascii="Arial" w:eastAsia="Times New Roman" w:hAnsi="Arial" w:cs="Arial"/>
                <w:sz w:val="18"/>
                <w:szCs w:val="18"/>
                <w:lang w:eastAsia="pt-BR"/>
              </w:rPr>
            </w:pPr>
            <w:r w:rsidRPr="00B6188E">
              <w:rPr>
                <w:rFonts w:ascii="Arial" w:eastAsia="Times New Roman" w:hAnsi="Arial" w:cs="Arial"/>
                <w:sz w:val="18"/>
                <w:szCs w:val="18"/>
                <w:lang w:eastAsia="pt-BR"/>
              </w:rPr>
              <w:t>Extratos bancários relativos ao mês de encerramento do exercício</w:t>
            </w:r>
            <w:r w:rsidRPr="0073452B">
              <w:rPr>
                <w:rFonts w:ascii="Arial" w:eastAsia="Times New Roman" w:hAnsi="Arial" w:cs="Arial"/>
                <w:sz w:val="18"/>
                <w:szCs w:val="18"/>
                <w:lang w:eastAsia="pt-BR"/>
              </w:rPr>
              <w:t>.</w:t>
            </w:r>
            <w:r w:rsidR="004124D9" w:rsidRPr="0073452B">
              <w:rPr>
                <w:rFonts w:ascii="Arial" w:eastAsia="Times New Roman" w:hAnsi="Arial" w:cs="Arial"/>
                <w:sz w:val="18"/>
                <w:szCs w:val="18"/>
                <w:lang w:eastAsia="pt-BR"/>
              </w:rPr>
              <w:t xml:space="preserve"> Na hipótese de adesão ao Acordo de Cooperação Técnica entre o TCEES e o Banestes, não é necessário o envio dos extratos bancários do banco 021 – Banestes.</w:t>
            </w:r>
          </w:p>
        </w:tc>
        <w:tc>
          <w:tcPr>
            <w:tcW w:w="992" w:type="dxa"/>
            <w:shd w:val="clear" w:color="auto" w:fill="auto"/>
            <w:vAlign w:val="center"/>
          </w:tcPr>
          <w:p w14:paraId="07019676" w14:textId="77777777" w:rsidR="00DA26B4" w:rsidRPr="00B6188E" w:rsidRDefault="00532985" w:rsidP="00C97EC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DA26B4" w:rsidRPr="00A5490A" w14:paraId="0E976AAA" w14:textId="77777777" w:rsidTr="00CB7C58">
        <w:trPr>
          <w:trHeight w:val="454"/>
        </w:trPr>
        <w:tc>
          <w:tcPr>
            <w:tcW w:w="1242" w:type="dxa"/>
            <w:vAlign w:val="center"/>
          </w:tcPr>
          <w:p w14:paraId="0D3966D1" w14:textId="77777777" w:rsidR="00DA26B4" w:rsidRPr="00B6188E" w:rsidRDefault="00DA26B4" w:rsidP="00C97ECD">
            <w:pPr>
              <w:spacing w:after="0" w:line="240" w:lineRule="auto"/>
              <w:jc w:val="center"/>
              <w:rPr>
                <w:rFonts w:ascii="Arial" w:eastAsia="Times New Roman" w:hAnsi="Arial" w:cs="Arial"/>
                <w:sz w:val="18"/>
                <w:szCs w:val="18"/>
                <w:lang w:eastAsia="pt-BR"/>
              </w:rPr>
            </w:pPr>
            <w:r w:rsidRPr="00B6188E">
              <w:rPr>
                <w:rFonts w:ascii="Arial" w:eastAsia="Times New Roman" w:hAnsi="Arial" w:cs="Arial"/>
                <w:sz w:val="18"/>
                <w:szCs w:val="18"/>
                <w:lang w:eastAsia="pt-BR"/>
              </w:rPr>
              <w:t>TVDISPN</w:t>
            </w:r>
          </w:p>
        </w:tc>
        <w:tc>
          <w:tcPr>
            <w:tcW w:w="6946" w:type="dxa"/>
            <w:shd w:val="clear" w:color="auto" w:fill="auto"/>
            <w:vAlign w:val="center"/>
          </w:tcPr>
          <w:p w14:paraId="6E2A1E57" w14:textId="2B833D8F" w:rsidR="00DA26B4" w:rsidRPr="00B6188E" w:rsidRDefault="00DA26B4" w:rsidP="00B66366">
            <w:pPr>
              <w:spacing w:before="120" w:after="120" w:line="240" w:lineRule="auto"/>
              <w:jc w:val="both"/>
              <w:rPr>
                <w:rFonts w:ascii="Arial" w:eastAsia="Times New Roman" w:hAnsi="Arial" w:cs="Arial"/>
                <w:sz w:val="18"/>
                <w:szCs w:val="18"/>
                <w:lang w:eastAsia="pt-BR"/>
              </w:rPr>
            </w:pPr>
            <w:r w:rsidRPr="00B6188E">
              <w:rPr>
                <w:rFonts w:ascii="Arial" w:eastAsia="Times New Roman" w:hAnsi="Arial" w:cs="Arial"/>
                <w:sz w:val="18"/>
                <w:szCs w:val="18"/>
                <w:lang w:eastAsia="pt-BR"/>
              </w:rPr>
              <w:t xml:space="preserve">Termo de verificação de disponibilidades, na </w:t>
            </w:r>
            <w:r w:rsidRPr="00B66366">
              <w:rPr>
                <w:rFonts w:ascii="Arial" w:eastAsia="Times New Roman" w:hAnsi="Arial" w:cs="Arial"/>
                <w:sz w:val="18"/>
                <w:szCs w:val="18"/>
                <w:lang w:eastAsia="pt-BR"/>
              </w:rPr>
              <w:t>forma</w:t>
            </w:r>
            <w:r w:rsidR="00B66366">
              <w:rPr>
                <w:rFonts w:ascii="Arial" w:eastAsia="Times New Roman" w:hAnsi="Arial" w:cs="Arial"/>
                <w:sz w:val="18"/>
                <w:szCs w:val="18"/>
                <w:lang w:eastAsia="pt-BR"/>
              </w:rPr>
              <w:t xml:space="preserve"> do</w:t>
            </w:r>
            <w:r w:rsidRPr="00B66366">
              <w:rPr>
                <w:rFonts w:ascii="Arial" w:eastAsia="Times New Roman" w:hAnsi="Arial" w:cs="Arial"/>
                <w:sz w:val="18"/>
                <w:szCs w:val="18"/>
                <w:lang w:eastAsia="pt-BR"/>
              </w:rPr>
              <w:t xml:space="preserve"> </w:t>
            </w:r>
            <w:r w:rsidR="00B66366" w:rsidRPr="00B66366">
              <w:rPr>
                <w:rFonts w:ascii="Arial" w:eastAsia="Times New Roman" w:hAnsi="Arial" w:cs="Arial"/>
                <w:sz w:val="18"/>
                <w:szCs w:val="18"/>
                <w:lang w:eastAsia="pt-BR"/>
              </w:rPr>
              <w:t>item 3.2 deste Anexo.</w:t>
            </w:r>
          </w:p>
        </w:tc>
        <w:tc>
          <w:tcPr>
            <w:tcW w:w="992" w:type="dxa"/>
            <w:shd w:val="clear" w:color="auto" w:fill="auto"/>
            <w:vAlign w:val="center"/>
          </w:tcPr>
          <w:p w14:paraId="60DAD535" w14:textId="77777777" w:rsidR="00DA26B4" w:rsidRPr="00B6188E" w:rsidRDefault="00532985" w:rsidP="00C97EC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p w14:paraId="463237C8" w14:textId="77777777" w:rsidR="00DA26B4" w:rsidRPr="00B6188E" w:rsidRDefault="00DA26B4" w:rsidP="00C97ECD">
            <w:pPr>
              <w:spacing w:after="0" w:line="240" w:lineRule="auto"/>
              <w:jc w:val="center"/>
              <w:rPr>
                <w:rFonts w:ascii="Arial" w:eastAsia="Times New Roman" w:hAnsi="Arial" w:cs="Arial"/>
                <w:sz w:val="14"/>
                <w:szCs w:val="14"/>
                <w:highlight w:val="yellow"/>
                <w:lang w:eastAsia="pt-BR"/>
              </w:rPr>
            </w:pPr>
            <w:r w:rsidRPr="00B6188E">
              <w:rPr>
                <w:rFonts w:ascii="Arial" w:eastAsia="Times New Roman" w:hAnsi="Arial" w:cs="Arial"/>
                <w:sz w:val="14"/>
                <w:szCs w:val="14"/>
                <w:lang w:eastAsia="pt-BR"/>
              </w:rPr>
              <w:t>e</w:t>
            </w:r>
            <w:r w:rsidRPr="00B6188E">
              <w:rPr>
                <w:rFonts w:ascii="Arial" w:eastAsia="Times New Roman" w:hAnsi="Arial" w:cs="Arial"/>
                <w:sz w:val="14"/>
                <w:szCs w:val="14"/>
                <w:highlight w:val="yellow"/>
                <w:lang w:eastAsia="pt-BR"/>
              </w:rPr>
              <w:t xml:space="preserve"> </w:t>
            </w:r>
          </w:p>
          <w:p w14:paraId="0F92D238" w14:textId="77777777" w:rsidR="00DA26B4" w:rsidRPr="00B6188E" w:rsidRDefault="00DA26B4" w:rsidP="00C97ECD">
            <w:pPr>
              <w:spacing w:after="0" w:line="240" w:lineRule="auto"/>
              <w:jc w:val="center"/>
              <w:rPr>
                <w:rFonts w:ascii="Arial" w:eastAsia="Times New Roman" w:hAnsi="Arial" w:cs="Arial"/>
                <w:sz w:val="14"/>
                <w:szCs w:val="14"/>
                <w:lang w:eastAsia="pt-BR"/>
              </w:rPr>
            </w:pPr>
            <w:r w:rsidRPr="00B6188E">
              <w:rPr>
                <w:rFonts w:ascii="Arial" w:eastAsia="Times New Roman" w:hAnsi="Arial" w:cs="Arial"/>
                <w:sz w:val="14"/>
                <w:szCs w:val="14"/>
                <w:lang w:eastAsia="pt-BR"/>
              </w:rPr>
              <w:t>XLS/XLSX/ODS</w:t>
            </w:r>
          </w:p>
        </w:tc>
      </w:tr>
      <w:tr w:rsidR="00DA26B4" w:rsidRPr="00A5490A" w14:paraId="79FE8B50" w14:textId="77777777" w:rsidTr="00CB7C58">
        <w:trPr>
          <w:trHeight w:val="454"/>
        </w:trPr>
        <w:tc>
          <w:tcPr>
            <w:tcW w:w="1242" w:type="dxa"/>
            <w:vAlign w:val="center"/>
          </w:tcPr>
          <w:p w14:paraId="7FBE7384" w14:textId="77777777" w:rsidR="00DA26B4" w:rsidRPr="00B6188E" w:rsidRDefault="00DA26B4" w:rsidP="00C97ECD">
            <w:pPr>
              <w:spacing w:after="0" w:line="240" w:lineRule="auto"/>
              <w:jc w:val="center"/>
              <w:rPr>
                <w:rFonts w:ascii="Arial" w:eastAsia="Times New Roman" w:hAnsi="Arial" w:cs="Arial"/>
                <w:sz w:val="18"/>
                <w:szCs w:val="18"/>
                <w:lang w:eastAsia="pt-BR"/>
              </w:rPr>
            </w:pPr>
            <w:r w:rsidRPr="00B6188E">
              <w:rPr>
                <w:rFonts w:ascii="Arial" w:eastAsia="Times New Roman" w:hAnsi="Arial" w:cs="Arial"/>
                <w:sz w:val="18"/>
                <w:szCs w:val="18"/>
                <w:lang w:eastAsia="pt-BR"/>
              </w:rPr>
              <w:t>DEMCSE</w:t>
            </w:r>
          </w:p>
        </w:tc>
        <w:tc>
          <w:tcPr>
            <w:tcW w:w="6946" w:type="dxa"/>
            <w:shd w:val="clear" w:color="auto" w:fill="auto"/>
            <w:vAlign w:val="center"/>
          </w:tcPr>
          <w:p w14:paraId="48628D95" w14:textId="5EDE7CD6" w:rsidR="00DA26B4" w:rsidRPr="00B6188E" w:rsidRDefault="00DA26B4" w:rsidP="00B66366">
            <w:pPr>
              <w:spacing w:before="120" w:after="120" w:line="240" w:lineRule="auto"/>
              <w:jc w:val="both"/>
              <w:rPr>
                <w:rFonts w:ascii="Arial" w:eastAsia="Times New Roman" w:hAnsi="Arial" w:cs="Arial"/>
                <w:sz w:val="18"/>
                <w:szCs w:val="18"/>
                <w:lang w:eastAsia="pt-BR"/>
              </w:rPr>
            </w:pPr>
            <w:r w:rsidRPr="00B6188E">
              <w:rPr>
                <w:rFonts w:ascii="Arial" w:eastAsia="Times New Roman" w:hAnsi="Arial" w:cs="Arial"/>
                <w:sz w:val="18"/>
                <w:szCs w:val="18"/>
                <w:lang w:eastAsia="pt-BR"/>
              </w:rPr>
              <w:t>Demonstrativo evidenciando, mensalmente, o valor retido de contribuições sociais dos servidores e efetivamente recolhidos, discriminando por instituição previdenciária (RPPS e RGPS), na forma</w:t>
            </w:r>
            <w:r w:rsidR="00B66366">
              <w:rPr>
                <w:rFonts w:ascii="Arial" w:eastAsia="Times New Roman" w:hAnsi="Arial" w:cs="Arial"/>
                <w:sz w:val="18"/>
                <w:szCs w:val="18"/>
                <w:lang w:eastAsia="pt-BR"/>
              </w:rPr>
              <w:t xml:space="preserve"> </w:t>
            </w:r>
            <w:r w:rsidR="00B66366" w:rsidRPr="00B66366">
              <w:rPr>
                <w:rFonts w:ascii="Arial" w:eastAsia="Times New Roman" w:hAnsi="Arial" w:cs="Arial"/>
                <w:sz w:val="18"/>
                <w:szCs w:val="18"/>
                <w:lang w:eastAsia="pt-BR"/>
              </w:rPr>
              <w:t>do</w:t>
            </w:r>
            <w:r w:rsidRPr="00B66366">
              <w:rPr>
                <w:rFonts w:ascii="Arial" w:eastAsia="Times New Roman" w:hAnsi="Arial" w:cs="Arial"/>
                <w:sz w:val="18"/>
                <w:szCs w:val="18"/>
                <w:lang w:eastAsia="pt-BR"/>
              </w:rPr>
              <w:t xml:space="preserve"> </w:t>
            </w:r>
            <w:r w:rsidR="00B66366" w:rsidRPr="00B66366">
              <w:rPr>
                <w:rFonts w:ascii="Arial" w:eastAsia="Times New Roman" w:hAnsi="Arial" w:cs="Arial"/>
                <w:sz w:val="18"/>
                <w:szCs w:val="18"/>
                <w:lang w:eastAsia="pt-BR"/>
              </w:rPr>
              <w:t>item 3.2 deste Anexo.</w:t>
            </w:r>
          </w:p>
        </w:tc>
        <w:tc>
          <w:tcPr>
            <w:tcW w:w="992" w:type="dxa"/>
            <w:shd w:val="clear" w:color="auto" w:fill="auto"/>
            <w:vAlign w:val="center"/>
          </w:tcPr>
          <w:p w14:paraId="07DE6613" w14:textId="77777777" w:rsidR="00DA26B4" w:rsidRPr="00B6188E" w:rsidRDefault="00532985" w:rsidP="00C97EC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DA26B4" w:rsidRPr="00A5490A" w14:paraId="77EAAF9C" w14:textId="77777777" w:rsidTr="00CB7C58">
        <w:trPr>
          <w:trHeight w:val="454"/>
        </w:trPr>
        <w:tc>
          <w:tcPr>
            <w:tcW w:w="1242" w:type="dxa"/>
            <w:vAlign w:val="center"/>
          </w:tcPr>
          <w:p w14:paraId="353386E8" w14:textId="77777777" w:rsidR="00DA26B4" w:rsidRPr="00A5490A" w:rsidRDefault="00DA26B4" w:rsidP="00C97ECD">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CERSIT</w:t>
            </w:r>
          </w:p>
        </w:tc>
        <w:tc>
          <w:tcPr>
            <w:tcW w:w="6946" w:type="dxa"/>
            <w:shd w:val="clear" w:color="auto" w:fill="auto"/>
            <w:vAlign w:val="center"/>
          </w:tcPr>
          <w:p w14:paraId="14CB3C17" w14:textId="77777777" w:rsidR="00DA26B4" w:rsidRPr="00A5490A" w:rsidRDefault="00DA26B4" w:rsidP="00C97ECD">
            <w:p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Certificado de Regularidade de Situação – CRS</w:t>
            </w:r>
            <w:r w:rsidRPr="00A5490A">
              <w:rPr>
                <w:rFonts w:ascii="Arial" w:eastAsia="Times New Roman" w:hAnsi="Arial" w:cs="Arial"/>
                <w:sz w:val="18"/>
                <w:szCs w:val="18"/>
                <w:lang w:eastAsia="en-CA"/>
              </w:rPr>
              <w:t xml:space="preserve"> (art. 69 da LC Estadual nº 282/2004)</w:t>
            </w:r>
          </w:p>
        </w:tc>
        <w:tc>
          <w:tcPr>
            <w:tcW w:w="992" w:type="dxa"/>
            <w:shd w:val="clear" w:color="auto" w:fill="auto"/>
            <w:vAlign w:val="center"/>
          </w:tcPr>
          <w:p w14:paraId="53CCEE9C" w14:textId="77777777" w:rsidR="00DA26B4" w:rsidRPr="00A5490A" w:rsidRDefault="00532985" w:rsidP="00C97EC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7F2523" w:rsidRPr="007F2523" w14:paraId="1AD5E578" w14:textId="77777777" w:rsidTr="00CB7C58">
        <w:trPr>
          <w:trHeight w:val="454"/>
        </w:trPr>
        <w:tc>
          <w:tcPr>
            <w:tcW w:w="1242" w:type="dxa"/>
            <w:vAlign w:val="center"/>
          </w:tcPr>
          <w:p w14:paraId="015FE4D1" w14:textId="77777777" w:rsidR="00DA26B4" w:rsidRPr="007F2523" w:rsidRDefault="00DA26B4" w:rsidP="00B6188E">
            <w:pPr>
              <w:spacing w:before="120" w:after="120" w:line="240" w:lineRule="auto"/>
              <w:jc w:val="center"/>
              <w:rPr>
                <w:rFonts w:ascii="Arial" w:eastAsia="Times New Roman" w:hAnsi="Arial" w:cs="Arial"/>
                <w:sz w:val="18"/>
                <w:szCs w:val="18"/>
                <w:lang w:eastAsia="pt-BR"/>
              </w:rPr>
            </w:pPr>
            <w:r w:rsidRPr="007F2523">
              <w:rPr>
                <w:rFonts w:ascii="Arial" w:eastAsia="Times New Roman" w:hAnsi="Arial" w:cs="Arial"/>
                <w:sz w:val="18"/>
                <w:szCs w:val="18"/>
                <w:lang w:eastAsia="pt-BR"/>
              </w:rPr>
              <w:t>DELREP</w:t>
            </w:r>
          </w:p>
        </w:tc>
        <w:tc>
          <w:tcPr>
            <w:tcW w:w="6946" w:type="dxa"/>
            <w:shd w:val="clear" w:color="auto" w:fill="auto"/>
            <w:vAlign w:val="center"/>
          </w:tcPr>
          <w:p w14:paraId="56D9E431" w14:textId="5DAE45B6" w:rsidR="00DA26B4" w:rsidRPr="007F2523" w:rsidRDefault="00DA26B4" w:rsidP="00647308">
            <w:pPr>
              <w:tabs>
                <w:tab w:val="left" w:pos="851"/>
              </w:tabs>
              <w:spacing w:before="120" w:after="120" w:line="240" w:lineRule="auto"/>
              <w:jc w:val="both"/>
              <w:rPr>
                <w:rFonts w:ascii="Arial" w:eastAsia="Times New Roman" w:hAnsi="Arial" w:cs="Arial"/>
                <w:sz w:val="18"/>
                <w:szCs w:val="18"/>
                <w:lang w:eastAsia="pt-BR"/>
              </w:rPr>
            </w:pPr>
            <w:r w:rsidRPr="007F2523">
              <w:rPr>
                <w:rFonts w:ascii="Arial" w:eastAsia="Times New Roman" w:hAnsi="Arial" w:cs="Arial"/>
                <w:sz w:val="18"/>
                <w:szCs w:val="18"/>
                <w:lang w:eastAsia="pt-BR"/>
              </w:rPr>
              <w:t xml:space="preserve">Declaração do ordenador de despesas, no ente que instituiu Regime Próprio de Previdência Social, sobre o repasse integral das contribuições previdenciárias (servidor e patronal), acrescido dos encargos financeiros em caso de atrasos, de todos os valores devidos no exercício financeiro ao RPPS, decorrentes de leis, acordos, termos de parcelamento e instrumentos congêneres, na forma </w:t>
            </w:r>
            <w:r w:rsidR="007F2523" w:rsidRPr="007F2523">
              <w:rPr>
                <w:rFonts w:ascii="Arial" w:eastAsia="Times New Roman" w:hAnsi="Arial" w:cs="Arial"/>
                <w:sz w:val="18"/>
                <w:szCs w:val="18"/>
                <w:lang w:eastAsia="pt-BR"/>
              </w:rPr>
              <w:t>item 3.2 deste Anexo.</w:t>
            </w:r>
          </w:p>
        </w:tc>
        <w:tc>
          <w:tcPr>
            <w:tcW w:w="992" w:type="dxa"/>
            <w:shd w:val="clear" w:color="auto" w:fill="auto"/>
            <w:vAlign w:val="center"/>
          </w:tcPr>
          <w:p w14:paraId="00140379" w14:textId="77777777" w:rsidR="00DA26B4" w:rsidRPr="007F2523" w:rsidRDefault="00532985" w:rsidP="001B0C70">
            <w:pPr>
              <w:spacing w:after="0" w:line="240" w:lineRule="auto"/>
              <w:jc w:val="center"/>
              <w:rPr>
                <w:rFonts w:ascii="Arial" w:eastAsia="Times New Roman" w:hAnsi="Arial" w:cs="Arial"/>
                <w:sz w:val="14"/>
                <w:szCs w:val="14"/>
                <w:lang w:eastAsia="pt-BR"/>
              </w:rPr>
            </w:pPr>
            <w:r w:rsidRPr="007F2523">
              <w:rPr>
                <w:rFonts w:ascii="Arial" w:eastAsia="Times New Roman" w:hAnsi="Arial" w:cs="Arial"/>
                <w:sz w:val="14"/>
                <w:szCs w:val="14"/>
                <w:lang w:eastAsia="pt-BR"/>
              </w:rPr>
              <w:t>PDF</w:t>
            </w:r>
          </w:p>
        </w:tc>
      </w:tr>
      <w:tr w:rsidR="00DA26B4" w:rsidRPr="00A5490A" w14:paraId="3C96125F" w14:textId="77777777" w:rsidTr="00CB7C58">
        <w:trPr>
          <w:trHeight w:val="454"/>
        </w:trPr>
        <w:tc>
          <w:tcPr>
            <w:tcW w:w="1242" w:type="dxa"/>
            <w:vAlign w:val="center"/>
          </w:tcPr>
          <w:p w14:paraId="1AD0DC07" w14:textId="77777777" w:rsidR="00DA26B4" w:rsidRPr="00B6188E" w:rsidRDefault="00DA26B4" w:rsidP="00B6188E">
            <w:pPr>
              <w:spacing w:after="0" w:line="240" w:lineRule="auto"/>
              <w:jc w:val="center"/>
              <w:rPr>
                <w:rFonts w:ascii="Arial" w:eastAsia="Times New Roman" w:hAnsi="Arial" w:cs="Arial"/>
                <w:sz w:val="18"/>
                <w:szCs w:val="18"/>
                <w:lang w:eastAsia="pt-BR"/>
              </w:rPr>
            </w:pPr>
            <w:r w:rsidRPr="00B6188E">
              <w:rPr>
                <w:rFonts w:ascii="Arial" w:eastAsia="Times New Roman" w:hAnsi="Arial" w:cs="Arial"/>
                <w:sz w:val="18"/>
                <w:szCs w:val="18"/>
                <w:lang w:eastAsia="pt-BR"/>
              </w:rPr>
              <w:t>DELCEDI</w:t>
            </w:r>
          </w:p>
          <w:p w14:paraId="5995B8D5" w14:textId="77777777" w:rsidR="00DA26B4" w:rsidRPr="00B6188E" w:rsidRDefault="00DA26B4" w:rsidP="001B0C70">
            <w:pPr>
              <w:spacing w:after="0" w:line="240" w:lineRule="auto"/>
              <w:jc w:val="center"/>
              <w:rPr>
                <w:rFonts w:ascii="Arial" w:eastAsia="Times New Roman" w:hAnsi="Arial" w:cs="Arial"/>
                <w:sz w:val="18"/>
                <w:szCs w:val="18"/>
                <w:lang w:eastAsia="pt-BR"/>
              </w:rPr>
            </w:pPr>
          </w:p>
        </w:tc>
        <w:tc>
          <w:tcPr>
            <w:tcW w:w="6946" w:type="dxa"/>
            <w:shd w:val="clear" w:color="auto" w:fill="auto"/>
            <w:vAlign w:val="center"/>
          </w:tcPr>
          <w:p w14:paraId="5FE0975F" w14:textId="3C4E524D" w:rsidR="00DA26B4" w:rsidRPr="00B6188E" w:rsidRDefault="00DA26B4" w:rsidP="00647308">
            <w:pPr>
              <w:spacing w:before="120" w:after="120" w:line="240" w:lineRule="auto"/>
              <w:jc w:val="both"/>
              <w:rPr>
                <w:rFonts w:ascii="Arial" w:hAnsi="Arial" w:cs="Arial"/>
              </w:rPr>
            </w:pPr>
            <w:r w:rsidRPr="00B6188E">
              <w:rPr>
                <w:rFonts w:ascii="Arial" w:eastAsia="Times New Roman" w:hAnsi="Arial" w:cs="Arial"/>
                <w:sz w:val="18"/>
                <w:szCs w:val="18"/>
                <w:lang w:eastAsia="pt-BR"/>
              </w:rPr>
              <w:t xml:space="preserve">Declaração do ordenador de despesas, no ente que instituiu Regime Próprio de Previdência Social, que o mesmo repassou integralmente todas as contribuições previdenciárias (servidor e patronal) devidas no exercício financeiro, incidentes sobre a remuneração de seus servidores efetivos cedidos (seja com ou sem ônus de ressarcimento), na forma </w:t>
            </w:r>
            <w:r w:rsidR="007F2523" w:rsidRPr="007F2523">
              <w:rPr>
                <w:rFonts w:ascii="Arial" w:eastAsia="Times New Roman" w:hAnsi="Arial" w:cs="Arial"/>
                <w:sz w:val="18"/>
                <w:szCs w:val="18"/>
                <w:lang w:eastAsia="pt-BR"/>
              </w:rPr>
              <w:t>do</w:t>
            </w:r>
            <w:r w:rsidRPr="007F2523">
              <w:rPr>
                <w:rFonts w:ascii="Arial" w:eastAsia="Times New Roman" w:hAnsi="Arial" w:cs="Arial"/>
                <w:sz w:val="18"/>
                <w:szCs w:val="18"/>
                <w:lang w:eastAsia="pt-BR"/>
              </w:rPr>
              <w:t xml:space="preserve"> </w:t>
            </w:r>
            <w:r w:rsidR="007F2523" w:rsidRPr="007F2523">
              <w:rPr>
                <w:rFonts w:ascii="Arial" w:eastAsia="Times New Roman" w:hAnsi="Arial" w:cs="Arial"/>
                <w:sz w:val="18"/>
                <w:szCs w:val="18"/>
                <w:lang w:eastAsia="pt-BR"/>
              </w:rPr>
              <w:t>item 3.2 deste Anexo.</w:t>
            </w:r>
          </w:p>
        </w:tc>
        <w:tc>
          <w:tcPr>
            <w:tcW w:w="992" w:type="dxa"/>
            <w:shd w:val="clear" w:color="auto" w:fill="auto"/>
            <w:vAlign w:val="center"/>
          </w:tcPr>
          <w:p w14:paraId="461C091A" w14:textId="77777777" w:rsidR="00DA26B4" w:rsidRPr="00B6188E" w:rsidRDefault="00532985" w:rsidP="001B0C70">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8B43DA" w:rsidRPr="00A5490A" w14:paraId="533B7164" w14:textId="77777777" w:rsidTr="00CB7C58">
        <w:trPr>
          <w:trHeight w:val="454"/>
        </w:trPr>
        <w:tc>
          <w:tcPr>
            <w:tcW w:w="1242" w:type="dxa"/>
            <w:vAlign w:val="center"/>
          </w:tcPr>
          <w:p w14:paraId="63E9B1FC" w14:textId="1D34A537" w:rsidR="008B43DA" w:rsidRPr="008B43DA" w:rsidRDefault="008B43DA" w:rsidP="008B43DA">
            <w:pPr>
              <w:spacing w:after="0" w:line="240" w:lineRule="auto"/>
              <w:jc w:val="center"/>
              <w:rPr>
                <w:rFonts w:ascii="Arial" w:eastAsia="Times New Roman" w:hAnsi="Arial" w:cs="Arial"/>
                <w:sz w:val="18"/>
                <w:szCs w:val="18"/>
                <w:lang w:eastAsia="pt-BR"/>
              </w:rPr>
            </w:pPr>
            <w:r w:rsidRPr="008B43DA">
              <w:rPr>
                <w:rFonts w:ascii="Arial" w:eastAsia="Arial" w:hAnsi="Arial" w:cs="Arial"/>
                <w:sz w:val="18"/>
              </w:rPr>
              <w:lastRenderedPageBreak/>
              <w:t>CRONOS</w:t>
            </w:r>
          </w:p>
        </w:tc>
        <w:tc>
          <w:tcPr>
            <w:tcW w:w="6946" w:type="dxa"/>
            <w:shd w:val="clear" w:color="auto" w:fill="auto"/>
            <w:vAlign w:val="center"/>
          </w:tcPr>
          <w:p w14:paraId="175DF421" w14:textId="07B2FF02" w:rsidR="008B43DA" w:rsidRPr="008B43DA" w:rsidRDefault="008B43DA" w:rsidP="008B43DA">
            <w:pPr>
              <w:spacing w:before="120" w:after="120" w:line="240" w:lineRule="auto"/>
              <w:jc w:val="both"/>
              <w:rPr>
                <w:rFonts w:ascii="Arial" w:eastAsia="Times New Roman" w:hAnsi="Arial" w:cs="Arial"/>
                <w:sz w:val="18"/>
                <w:szCs w:val="18"/>
                <w:lang w:eastAsia="pt-BR"/>
              </w:rPr>
            </w:pPr>
            <w:r w:rsidRPr="008B43DA">
              <w:rPr>
                <w:rFonts w:ascii="Arial" w:eastAsia="Times New Roman" w:hAnsi="Arial" w:cs="Arial"/>
                <w:sz w:val="18"/>
                <w:szCs w:val="18"/>
                <w:lang w:eastAsia="pt-BR"/>
              </w:rPr>
              <w:t>Ato(s) normativo(s) da autoridade competente regulamentando a ordem cronológica dos pagamentos, nos termos do art. 5º da Lei Federal nº. 8666/93.</w:t>
            </w:r>
          </w:p>
        </w:tc>
        <w:tc>
          <w:tcPr>
            <w:tcW w:w="992" w:type="dxa"/>
            <w:shd w:val="clear" w:color="auto" w:fill="auto"/>
            <w:vAlign w:val="center"/>
          </w:tcPr>
          <w:p w14:paraId="0A6B58D4" w14:textId="78EDA2E6" w:rsidR="008B43DA" w:rsidRPr="008B43DA" w:rsidRDefault="008B43DA" w:rsidP="008B43DA">
            <w:pPr>
              <w:spacing w:after="0" w:line="240" w:lineRule="auto"/>
              <w:jc w:val="center"/>
              <w:rPr>
                <w:rFonts w:ascii="Arial" w:eastAsia="Times New Roman" w:hAnsi="Arial" w:cs="Arial"/>
                <w:sz w:val="14"/>
                <w:szCs w:val="14"/>
                <w:lang w:eastAsia="pt-BR"/>
              </w:rPr>
            </w:pPr>
            <w:r w:rsidRPr="008B43DA">
              <w:rPr>
                <w:rFonts w:ascii="Arial" w:eastAsia="Times New Roman" w:hAnsi="Arial" w:cs="Arial"/>
                <w:sz w:val="14"/>
                <w:szCs w:val="14"/>
                <w:lang w:eastAsia="pt-BR"/>
              </w:rPr>
              <w:t>PDF</w:t>
            </w:r>
          </w:p>
        </w:tc>
      </w:tr>
      <w:tr w:rsidR="008B43DA" w:rsidRPr="00A5490A" w14:paraId="050223CD" w14:textId="77777777" w:rsidTr="00CB7C58">
        <w:trPr>
          <w:trHeight w:val="454"/>
        </w:trPr>
        <w:tc>
          <w:tcPr>
            <w:tcW w:w="1242" w:type="dxa"/>
            <w:vAlign w:val="center"/>
          </w:tcPr>
          <w:p w14:paraId="35C38B3E" w14:textId="4F8F5414" w:rsidR="008B43DA" w:rsidRPr="008B43DA" w:rsidRDefault="008B43DA" w:rsidP="008B43DA">
            <w:pPr>
              <w:spacing w:after="0" w:line="240" w:lineRule="auto"/>
              <w:jc w:val="center"/>
              <w:rPr>
                <w:rFonts w:ascii="Arial" w:eastAsia="Times New Roman" w:hAnsi="Arial" w:cs="Arial"/>
                <w:sz w:val="18"/>
                <w:szCs w:val="18"/>
                <w:lang w:eastAsia="pt-BR"/>
              </w:rPr>
            </w:pPr>
            <w:r w:rsidRPr="008B43DA">
              <w:rPr>
                <w:rFonts w:ascii="Arial" w:eastAsia="Arial" w:hAnsi="Arial" w:cs="Arial"/>
                <w:sz w:val="18"/>
              </w:rPr>
              <w:t>JUSTCRO</w:t>
            </w:r>
          </w:p>
        </w:tc>
        <w:tc>
          <w:tcPr>
            <w:tcW w:w="6946" w:type="dxa"/>
            <w:shd w:val="clear" w:color="auto" w:fill="auto"/>
            <w:vAlign w:val="center"/>
          </w:tcPr>
          <w:p w14:paraId="29C19F51" w14:textId="48996D4A" w:rsidR="008B43DA" w:rsidRPr="008B43DA" w:rsidRDefault="008B43DA" w:rsidP="008B43DA">
            <w:pPr>
              <w:spacing w:before="120" w:after="120" w:line="240" w:lineRule="auto"/>
              <w:jc w:val="both"/>
              <w:rPr>
                <w:rFonts w:ascii="Arial" w:eastAsia="Times New Roman" w:hAnsi="Arial" w:cs="Arial"/>
                <w:sz w:val="18"/>
                <w:szCs w:val="18"/>
                <w:lang w:eastAsia="pt-BR"/>
              </w:rPr>
            </w:pPr>
            <w:r w:rsidRPr="008B43DA">
              <w:rPr>
                <w:rFonts w:ascii="Arial" w:eastAsia="Times New Roman" w:hAnsi="Arial" w:cs="Arial"/>
                <w:sz w:val="18"/>
                <w:szCs w:val="18"/>
                <w:lang w:eastAsia="pt-BR"/>
              </w:rPr>
              <w:t>Justificativas da autoridade competente evidenciando as relevantes razões de interesse público para todos os pagamentos que inobservaram a estrita ordem cronológica das datas de suas exigibilidades, para cada fonte diferenciada de recursos, acompanhadas de suas respectivas publicações no exercício.</w:t>
            </w:r>
          </w:p>
        </w:tc>
        <w:tc>
          <w:tcPr>
            <w:tcW w:w="992" w:type="dxa"/>
            <w:shd w:val="clear" w:color="auto" w:fill="auto"/>
            <w:vAlign w:val="center"/>
          </w:tcPr>
          <w:p w14:paraId="0409BF72" w14:textId="41028A8C" w:rsidR="008B43DA" w:rsidRPr="008B43DA" w:rsidRDefault="008B43DA" w:rsidP="008B43DA">
            <w:pPr>
              <w:spacing w:after="0" w:line="240" w:lineRule="auto"/>
              <w:jc w:val="center"/>
              <w:rPr>
                <w:rFonts w:ascii="Arial" w:eastAsia="Times New Roman" w:hAnsi="Arial" w:cs="Arial"/>
                <w:sz w:val="14"/>
                <w:szCs w:val="14"/>
                <w:lang w:eastAsia="pt-BR"/>
              </w:rPr>
            </w:pPr>
            <w:r w:rsidRPr="008B43DA">
              <w:rPr>
                <w:rFonts w:ascii="Arial" w:eastAsia="Times New Roman" w:hAnsi="Arial" w:cs="Arial"/>
                <w:sz w:val="14"/>
                <w:szCs w:val="14"/>
                <w:lang w:eastAsia="pt-BR"/>
              </w:rPr>
              <w:t>PDF</w:t>
            </w:r>
          </w:p>
        </w:tc>
      </w:tr>
      <w:tr w:rsidR="007F2523" w:rsidRPr="007F2523" w14:paraId="549AD053" w14:textId="77777777" w:rsidTr="00CB7C58">
        <w:trPr>
          <w:trHeight w:val="454"/>
        </w:trPr>
        <w:tc>
          <w:tcPr>
            <w:tcW w:w="1242" w:type="dxa"/>
            <w:vAlign w:val="center"/>
          </w:tcPr>
          <w:p w14:paraId="644B9DE0" w14:textId="5C6B19B2" w:rsidR="007F2523" w:rsidRPr="007F2523" w:rsidRDefault="007F2523" w:rsidP="007F2523">
            <w:pPr>
              <w:spacing w:after="0" w:line="240" w:lineRule="auto"/>
              <w:jc w:val="center"/>
              <w:rPr>
                <w:rFonts w:ascii="Arial" w:eastAsia="Times New Roman" w:hAnsi="Arial" w:cs="Arial"/>
                <w:sz w:val="18"/>
                <w:szCs w:val="18"/>
                <w:lang w:eastAsia="pt-BR"/>
              </w:rPr>
            </w:pPr>
            <w:r w:rsidRPr="007F2523">
              <w:rPr>
                <w:rFonts w:ascii="Arial" w:eastAsia="Times New Roman" w:hAnsi="Arial" w:cs="Arial"/>
                <w:sz w:val="18"/>
                <w:szCs w:val="18"/>
                <w:lang w:eastAsia="pt-BR"/>
              </w:rPr>
              <w:t>NOTAEXP</w:t>
            </w:r>
          </w:p>
        </w:tc>
        <w:tc>
          <w:tcPr>
            <w:tcW w:w="6946" w:type="dxa"/>
            <w:shd w:val="clear" w:color="auto" w:fill="auto"/>
            <w:vAlign w:val="center"/>
          </w:tcPr>
          <w:p w14:paraId="560C29E3" w14:textId="77777777" w:rsidR="007F2523" w:rsidRPr="007F2523" w:rsidRDefault="007F2523" w:rsidP="007F2523">
            <w:pPr>
              <w:pStyle w:val="TableParagraph"/>
              <w:spacing w:before="120" w:after="120"/>
              <w:ind w:left="102" w:right="111"/>
              <w:jc w:val="both"/>
              <w:rPr>
                <w:rFonts w:ascii="Arial" w:hAnsi="Arial" w:cs="Arial"/>
                <w:sz w:val="18"/>
                <w:szCs w:val="18"/>
                <w:lang w:val="pt-BR"/>
              </w:rPr>
            </w:pPr>
            <w:r w:rsidRPr="007F2523">
              <w:rPr>
                <w:rFonts w:ascii="Arial" w:hAnsi="Arial" w:cs="Arial"/>
                <w:sz w:val="18"/>
                <w:szCs w:val="18"/>
                <w:lang w:val="pt-BR"/>
              </w:rPr>
              <w:t>Notas Explicativas às Demonstrações Contábeis, conforme layout constante do item 3.1 deste Anexo, contendo:</w:t>
            </w:r>
          </w:p>
          <w:p w14:paraId="2BAFBB4A" w14:textId="77777777" w:rsidR="007F2523" w:rsidRPr="007F2523" w:rsidRDefault="007F2523" w:rsidP="005C719B">
            <w:pPr>
              <w:pStyle w:val="PargrafodaLista"/>
              <w:numPr>
                <w:ilvl w:val="0"/>
                <w:numId w:val="35"/>
              </w:numPr>
              <w:spacing w:before="120" w:after="120" w:line="240" w:lineRule="auto"/>
              <w:ind w:left="822"/>
              <w:contextualSpacing w:val="0"/>
              <w:jc w:val="both"/>
              <w:rPr>
                <w:rFonts w:ascii="Arial" w:hAnsi="Arial" w:cs="Arial"/>
                <w:sz w:val="18"/>
                <w:szCs w:val="18"/>
              </w:rPr>
            </w:pPr>
            <w:r w:rsidRPr="007F2523">
              <w:rPr>
                <w:rFonts w:ascii="Arial" w:hAnsi="Arial" w:cs="Arial"/>
                <w:sz w:val="18"/>
                <w:szCs w:val="18"/>
              </w:rPr>
              <w:t>Informações gerais da entidade: natureza jurídica, natureza das operações, atividades desempenhadas, lei de instituição, conforme o caso, e declaração de conformidade com leis e normas de contabilidade aplicáveis;</w:t>
            </w:r>
          </w:p>
          <w:p w14:paraId="0FB0C6D9" w14:textId="77777777" w:rsidR="007F2523" w:rsidRPr="007F2523" w:rsidRDefault="007F2523" w:rsidP="005C719B">
            <w:pPr>
              <w:pStyle w:val="PargrafodaLista"/>
              <w:numPr>
                <w:ilvl w:val="0"/>
                <w:numId w:val="35"/>
              </w:numPr>
              <w:spacing w:before="120" w:after="120" w:line="240" w:lineRule="auto"/>
              <w:ind w:left="822"/>
              <w:contextualSpacing w:val="0"/>
              <w:jc w:val="both"/>
              <w:rPr>
                <w:rFonts w:ascii="Arial" w:hAnsi="Arial" w:cs="Arial"/>
                <w:sz w:val="18"/>
                <w:szCs w:val="18"/>
              </w:rPr>
            </w:pPr>
            <w:r w:rsidRPr="007F2523">
              <w:rPr>
                <w:rFonts w:ascii="Arial" w:hAnsi="Arial" w:cs="Arial"/>
                <w:sz w:val="18"/>
                <w:szCs w:val="18"/>
              </w:rPr>
              <w:t>Resumo das Políticas Contábeis relevantes: base de mensuração utilizada, adoção de novas políticas contábeis;</w:t>
            </w:r>
          </w:p>
          <w:p w14:paraId="0BC938D2" w14:textId="77777777" w:rsidR="007F2523" w:rsidRPr="007F2523" w:rsidRDefault="007F2523" w:rsidP="005C719B">
            <w:pPr>
              <w:pStyle w:val="PargrafodaLista"/>
              <w:numPr>
                <w:ilvl w:val="0"/>
                <w:numId w:val="35"/>
              </w:numPr>
              <w:spacing w:before="120" w:after="120" w:line="240" w:lineRule="auto"/>
              <w:ind w:left="822"/>
              <w:contextualSpacing w:val="0"/>
              <w:jc w:val="both"/>
              <w:rPr>
                <w:rFonts w:ascii="Arial" w:hAnsi="Arial" w:cs="Arial"/>
                <w:sz w:val="18"/>
                <w:szCs w:val="18"/>
              </w:rPr>
            </w:pPr>
            <w:r w:rsidRPr="007F2523">
              <w:rPr>
                <w:rFonts w:ascii="Arial" w:hAnsi="Arial" w:cs="Arial"/>
                <w:sz w:val="18"/>
                <w:szCs w:val="18"/>
              </w:rPr>
              <w:t>Detalhamento de informações relevantes contidas nos Demonstrativos Contábeis;</w:t>
            </w:r>
          </w:p>
          <w:p w14:paraId="431EE06A" w14:textId="4195766E" w:rsidR="007F2523" w:rsidRPr="007F2523" w:rsidRDefault="007F2523" w:rsidP="005C719B">
            <w:pPr>
              <w:pStyle w:val="PargrafodaLista"/>
              <w:numPr>
                <w:ilvl w:val="0"/>
                <w:numId w:val="35"/>
              </w:numPr>
              <w:spacing w:before="120" w:after="120" w:line="240" w:lineRule="auto"/>
              <w:ind w:left="822"/>
              <w:contextualSpacing w:val="0"/>
              <w:jc w:val="both"/>
              <w:rPr>
                <w:rFonts w:ascii="Arial" w:eastAsia="Times New Roman" w:hAnsi="Arial" w:cs="Arial"/>
                <w:sz w:val="18"/>
                <w:szCs w:val="18"/>
                <w:lang w:eastAsia="pt-BR"/>
              </w:rPr>
            </w:pPr>
            <w:r w:rsidRPr="007F2523">
              <w:rPr>
                <w:rFonts w:ascii="Arial" w:hAnsi="Arial" w:cs="Arial"/>
                <w:sz w:val="18"/>
                <w:szCs w:val="18"/>
              </w:rPr>
              <w:t>Demais informações relevantes: passivos contingentes e compromissos contratuais não reconhecidos; ajustes decorrentes de erros, etc.</w:t>
            </w:r>
          </w:p>
        </w:tc>
        <w:tc>
          <w:tcPr>
            <w:tcW w:w="992" w:type="dxa"/>
            <w:shd w:val="clear" w:color="auto" w:fill="auto"/>
            <w:vAlign w:val="center"/>
          </w:tcPr>
          <w:p w14:paraId="12940BF1" w14:textId="2CC7153A" w:rsidR="007F2523" w:rsidRPr="007F2523" w:rsidRDefault="007F2523" w:rsidP="007F2523">
            <w:pPr>
              <w:spacing w:after="0" w:line="240" w:lineRule="auto"/>
              <w:jc w:val="center"/>
              <w:rPr>
                <w:rFonts w:ascii="Arial" w:eastAsia="Times New Roman" w:hAnsi="Arial" w:cs="Arial"/>
                <w:sz w:val="14"/>
                <w:szCs w:val="14"/>
                <w:lang w:eastAsia="pt-BR"/>
              </w:rPr>
            </w:pPr>
            <w:r w:rsidRPr="007F2523">
              <w:rPr>
                <w:rFonts w:ascii="Arial" w:eastAsia="Times New Roman" w:hAnsi="Arial" w:cs="Arial"/>
                <w:sz w:val="14"/>
                <w:szCs w:val="14"/>
                <w:lang w:eastAsia="pt-BR"/>
              </w:rPr>
              <w:t>XML</w:t>
            </w:r>
          </w:p>
        </w:tc>
      </w:tr>
      <w:tr w:rsidR="007F2523" w:rsidRPr="007F2523" w14:paraId="434E52E4" w14:textId="77777777" w:rsidTr="00CB7C58">
        <w:trPr>
          <w:trHeight w:val="454"/>
        </w:trPr>
        <w:tc>
          <w:tcPr>
            <w:tcW w:w="1242" w:type="dxa"/>
            <w:vAlign w:val="center"/>
          </w:tcPr>
          <w:p w14:paraId="5236EDB2" w14:textId="77777777" w:rsidR="002223C0" w:rsidRPr="007F2523" w:rsidRDefault="002223C0" w:rsidP="00B6188E">
            <w:pPr>
              <w:spacing w:before="120" w:after="120" w:line="240" w:lineRule="auto"/>
              <w:jc w:val="center"/>
              <w:rPr>
                <w:rFonts w:ascii="Arial" w:eastAsia="Times New Roman" w:hAnsi="Arial" w:cs="Arial"/>
                <w:sz w:val="18"/>
                <w:szCs w:val="18"/>
                <w:lang w:eastAsia="pt-BR"/>
              </w:rPr>
            </w:pPr>
            <w:r w:rsidRPr="007F2523">
              <w:rPr>
                <w:rFonts w:ascii="Arial" w:eastAsia="Times New Roman" w:hAnsi="Arial" w:cs="Arial"/>
                <w:sz w:val="18"/>
                <w:szCs w:val="18"/>
                <w:lang w:eastAsia="pt-BR"/>
              </w:rPr>
              <w:t>DECINAT</w:t>
            </w:r>
          </w:p>
        </w:tc>
        <w:tc>
          <w:tcPr>
            <w:tcW w:w="6946" w:type="dxa"/>
            <w:shd w:val="clear" w:color="auto" w:fill="auto"/>
            <w:vAlign w:val="center"/>
          </w:tcPr>
          <w:p w14:paraId="2049B4EF" w14:textId="3FB802FD" w:rsidR="002223C0" w:rsidRPr="007F2523" w:rsidRDefault="002223C0" w:rsidP="004B5BC1">
            <w:pPr>
              <w:spacing w:before="120" w:after="120" w:line="240" w:lineRule="auto"/>
              <w:jc w:val="both"/>
              <w:rPr>
                <w:rFonts w:ascii="Arial" w:eastAsia="Times New Roman" w:hAnsi="Arial" w:cs="Arial"/>
                <w:sz w:val="18"/>
                <w:szCs w:val="18"/>
                <w:lang w:eastAsia="pt-BR"/>
              </w:rPr>
            </w:pPr>
            <w:r w:rsidRPr="007F2523">
              <w:rPr>
                <w:rFonts w:ascii="Arial" w:eastAsia="Times New Roman" w:hAnsi="Arial" w:cs="Arial"/>
                <w:sz w:val="18"/>
                <w:szCs w:val="18"/>
                <w:lang w:eastAsia="pt-BR"/>
              </w:rPr>
              <w:t xml:space="preserve">Declaração do ordenador de despesas informando se há pagamento de aposentadorias e pensões sendo realizados de forma direta pela entidade, e, caso ocorra, que informe o suporte legal para tal procedimento, além de planilha adicional informando o nome do beneficiário, o tipo de benefício, sua base legal de concessão, cargo que ocupava na atividade, a data e o número do ato concessão do benefício, o valor original e atualizado do benefício recebido, na forma </w:t>
            </w:r>
            <w:r w:rsidR="007F2523" w:rsidRPr="007F2523">
              <w:rPr>
                <w:rFonts w:ascii="Arial" w:eastAsia="Times New Roman" w:hAnsi="Arial" w:cs="Arial"/>
                <w:sz w:val="18"/>
                <w:szCs w:val="18"/>
                <w:lang w:eastAsia="pt-BR"/>
              </w:rPr>
              <w:t>do</w:t>
            </w:r>
            <w:r w:rsidRPr="007F2523">
              <w:rPr>
                <w:rFonts w:ascii="Arial" w:eastAsia="Times New Roman" w:hAnsi="Arial" w:cs="Arial"/>
                <w:sz w:val="18"/>
                <w:szCs w:val="18"/>
                <w:lang w:eastAsia="pt-BR"/>
              </w:rPr>
              <w:t xml:space="preserve"> </w:t>
            </w:r>
            <w:r w:rsidR="007F2523" w:rsidRPr="007F2523">
              <w:rPr>
                <w:rFonts w:ascii="Arial" w:eastAsia="Times New Roman" w:hAnsi="Arial" w:cs="Arial"/>
                <w:sz w:val="18"/>
                <w:szCs w:val="18"/>
                <w:lang w:eastAsia="pt-BR"/>
              </w:rPr>
              <w:t>item 3.2 deste Anexo.</w:t>
            </w:r>
          </w:p>
        </w:tc>
        <w:tc>
          <w:tcPr>
            <w:tcW w:w="992" w:type="dxa"/>
            <w:shd w:val="clear" w:color="auto" w:fill="auto"/>
            <w:vAlign w:val="center"/>
          </w:tcPr>
          <w:p w14:paraId="46AF048C" w14:textId="77777777" w:rsidR="002223C0" w:rsidRPr="007F2523" w:rsidRDefault="00532985" w:rsidP="001B0C70">
            <w:pPr>
              <w:spacing w:before="120" w:after="120" w:line="240" w:lineRule="auto"/>
              <w:jc w:val="center"/>
              <w:rPr>
                <w:rFonts w:ascii="Arial" w:eastAsia="Times New Roman" w:hAnsi="Arial" w:cs="Arial"/>
                <w:sz w:val="14"/>
                <w:szCs w:val="14"/>
                <w:lang w:eastAsia="pt-BR"/>
              </w:rPr>
            </w:pPr>
            <w:r w:rsidRPr="007F2523">
              <w:rPr>
                <w:rFonts w:ascii="Arial" w:eastAsia="Times New Roman" w:hAnsi="Arial" w:cs="Arial"/>
                <w:sz w:val="14"/>
                <w:szCs w:val="14"/>
                <w:lang w:eastAsia="pt-BR"/>
              </w:rPr>
              <w:t>PDF</w:t>
            </w:r>
          </w:p>
        </w:tc>
      </w:tr>
      <w:tr w:rsidR="002223C0" w:rsidRPr="00A5490A" w14:paraId="4FD01804" w14:textId="77777777" w:rsidTr="00CB7C58">
        <w:trPr>
          <w:trHeight w:val="454"/>
        </w:trPr>
        <w:tc>
          <w:tcPr>
            <w:tcW w:w="1242" w:type="dxa"/>
            <w:vAlign w:val="center"/>
          </w:tcPr>
          <w:p w14:paraId="2ECEBB1D" w14:textId="77777777" w:rsidR="002223C0" w:rsidRPr="00A5490A" w:rsidRDefault="002223C0" w:rsidP="00C97ECD">
            <w:pPr>
              <w:spacing w:after="0" w:line="240" w:lineRule="auto"/>
              <w:jc w:val="center"/>
              <w:rPr>
                <w:rFonts w:ascii="Arial" w:eastAsia="Times New Roman" w:hAnsi="Arial" w:cs="Arial"/>
                <w:sz w:val="18"/>
                <w:szCs w:val="18"/>
                <w:lang w:eastAsia="pt-BR"/>
              </w:rPr>
            </w:pPr>
            <w:r>
              <w:rPr>
                <w:rFonts w:ascii="Arial" w:eastAsia="Times New Roman" w:hAnsi="Arial" w:cs="Arial"/>
                <w:sz w:val="18"/>
                <w:szCs w:val="18"/>
                <w:lang w:eastAsia="pt-BR"/>
              </w:rPr>
              <w:t>DOCSPCA</w:t>
            </w:r>
          </w:p>
        </w:tc>
        <w:tc>
          <w:tcPr>
            <w:tcW w:w="6946" w:type="dxa"/>
            <w:shd w:val="clear" w:color="auto" w:fill="auto"/>
            <w:vAlign w:val="center"/>
          </w:tcPr>
          <w:p w14:paraId="4BED098C" w14:textId="2834712E" w:rsidR="002223C0" w:rsidRPr="00A5490A" w:rsidRDefault="002223C0" w:rsidP="00C44F8C">
            <w:pPr>
              <w:spacing w:before="120" w:after="120" w:line="240" w:lineRule="auto"/>
              <w:jc w:val="both"/>
              <w:rPr>
                <w:rFonts w:ascii="Arial" w:eastAsia="Times New Roman" w:hAnsi="Arial" w:cs="Arial"/>
                <w:sz w:val="18"/>
                <w:szCs w:val="18"/>
                <w:lang w:eastAsia="pt-BR"/>
              </w:rPr>
            </w:pPr>
            <w:r>
              <w:rPr>
                <w:rFonts w:ascii="Arial" w:eastAsia="Times New Roman" w:hAnsi="Arial" w:cs="Arial"/>
                <w:sz w:val="18"/>
                <w:szCs w:val="18"/>
                <w:lang w:eastAsia="pt-BR"/>
              </w:rPr>
              <w:t>R</w:t>
            </w:r>
            <w:r w:rsidRPr="00D46CF1">
              <w:rPr>
                <w:rFonts w:ascii="Arial" w:eastAsia="Times New Roman" w:hAnsi="Arial" w:cs="Arial"/>
                <w:sz w:val="18"/>
                <w:szCs w:val="18"/>
                <w:lang w:eastAsia="pt-BR"/>
              </w:rPr>
              <w:t>eferência aos documentos não estruturados</w:t>
            </w:r>
            <w:r>
              <w:rPr>
                <w:rFonts w:ascii="Arial" w:eastAsia="Times New Roman" w:hAnsi="Arial" w:cs="Arial"/>
                <w:sz w:val="18"/>
                <w:szCs w:val="18"/>
                <w:lang w:eastAsia="pt-BR"/>
              </w:rPr>
              <w:t>, constantes neste Anexo</w:t>
            </w:r>
            <w:r w:rsidRPr="00D46CF1">
              <w:rPr>
                <w:rFonts w:ascii="Arial" w:eastAsia="Times New Roman" w:hAnsi="Arial" w:cs="Arial"/>
                <w:sz w:val="18"/>
                <w:szCs w:val="18"/>
                <w:lang w:eastAsia="pt-BR"/>
              </w:rPr>
              <w:t>, bem como a justificativa de ausência para os arquivos não enviados.</w:t>
            </w:r>
            <w:r>
              <w:rPr>
                <w:rFonts w:ascii="Arial" w:eastAsia="Times New Roman" w:hAnsi="Arial" w:cs="Arial"/>
                <w:sz w:val="18"/>
                <w:szCs w:val="18"/>
                <w:lang w:eastAsia="pt-BR"/>
              </w:rPr>
              <w:t xml:space="preserve"> Estrutura e layout constantes do item </w:t>
            </w:r>
            <w:r w:rsidR="00C44F8C">
              <w:rPr>
                <w:rFonts w:ascii="Arial" w:eastAsia="Times New Roman" w:hAnsi="Arial" w:cs="Arial"/>
                <w:sz w:val="18"/>
                <w:szCs w:val="18"/>
                <w:lang w:eastAsia="pt-BR"/>
              </w:rPr>
              <w:t>3.1</w:t>
            </w:r>
            <w:r>
              <w:rPr>
                <w:rFonts w:ascii="Arial" w:eastAsia="Times New Roman" w:hAnsi="Arial" w:cs="Arial"/>
                <w:sz w:val="18"/>
                <w:szCs w:val="18"/>
                <w:lang w:eastAsia="pt-BR"/>
              </w:rPr>
              <w:t xml:space="preserve"> deste Anexo.</w:t>
            </w:r>
          </w:p>
        </w:tc>
        <w:tc>
          <w:tcPr>
            <w:tcW w:w="992" w:type="dxa"/>
            <w:shd w:val="clear" w:color="auto" w:fill="auto"/>
            <w:vAlign w:val="center"/>
          </w:tcPr>
          <w:p w14:paraId="5F941AAC" w14:textId="77777777" w:rsidR="002223C0" w:rsidRPr="00A5490A" w:rsidRDefault="002223C0" w:rsidP="00C97EC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XML</w:t>
            </w:r>
          </w:p>
        </w:tc>
      </w:tr>
    </w:tbl>
    <w:p w14:paraId="7D3641FE" w14:textId="77777777" w:rsidR="00D9182C" w:rsidRDefault="00D9182C" w:rsidP="00E5197A">
      <w:pPr>
        <w:rPr>
          <w:rFonts w:ascii="Arial" w:eastAsia="Times New Roman" w:hAnsi="Arial" w:cs="Arial"/>
          <w:b/>
          <w:lang w:eastAsia="pt-BR"/>
        </w:rPr>
      </w:pPr>
    </w:p>
    <w:p w14:paraId="258EA6BC" w14:textId="77777777" w:rsidR="00D9182C" w:rsidRDefault="00D9182C">
      <w:pPr>
        <w:rPr>
          <w:rFonts w:ascii="Arial" w:eastAsia="Times New Roman" w:hAnsi="Arial" w:cs="Arial"/>
          <w:b/>
          <w:lang w:eastAsia="pt-BR"/>
        </w:rPr>
      </w:pPr>
      <w:r>
        <w:rPr>
          <w:rFonts w:ascii="Arial" w:eastAsia="Times New Roman" w:hAnsi="Arial" w:cs="Arial"/>
          <w:b/>
          <w:lang w:eastAsia="pt-BR"/>
        </w:rPr>
        <w:br w:type="page"/>
      </w:r>
    </w:p>
    <w:p w14:paraId="6C9F3EB4" w14:textId="7B662626" w:rsidR="00A5490A" w:rsidRPr="005B7FCC" w:rsidRDefault="00A5490A" w:rsidP="000F0A16">
      <w:pPr>
        <w:pStyle w:val="Ttulo2"/>
        <w:rPr>
          <w:lang w:val="pt-BR" w:eastAsia="pt-BR"/>
        </w:rPr>
      </w:pPr>
      <w:bookmarkStart w:id="9" w:name="_Toc94806293"/>
      <w:r w:rsidRPr="005B7FCC">
        <w:rPr>
          <w:lang w:val="pt-BR" w:eastAsia="pt-BR"/>
        </w:rPr>
        <w:lastRenderedPageBreak/>
        <w:t>CONTAS DA</w:t>
      </w:r>
      <w:r w:rsidR="007B62A7" w:rsidRPr="005B7FCC">
        <w:rPr>
          <w:lang w:val="pt-BR" w:eastAsia="pt-BR"/>
        </w:rPr>
        <w:t>S</w:t>
      </w:r>
      <w:r w:rsidRPr="005B7FCC">
        <w:rPr>
          <w:lang w:val="pt-BR" w:eastAsia="pt-BR"/>
        </w:rPr>
        <w:t xml:space="preserve"> MESA</w:t>
      </w:r>
      <w:r w:rsidR="007B62A7" w:rsidRPr="005B7FCC">
        <w:rPr>
          <w:lang w:val="pt-BR" w:eastAsia="pt-BR"/>
        </w:rPr>
        <w:t>S</w:t>
      </w:r>
      <w:r w:rsidRPr="005B7FCC">
        <w:rPr>
          <w:lang w:val="pt-BR" w:eastAsia="pt-BR"/>
        </w:rPr>
        <w:t xml:space="preserve"> DIRETORA</w:t>
      </w:r>
      <w:r w:rsidR="007B62A7" w:rsidRPr="005B7FCC">
        <w:rPr>
          <w:lang w:val="pt-BR" w:eastAsia="pt-BR"/>
        </w:rPr>
        <w:t>S</w:t>
      </w:r>
      <w:r w:rsidRPr="005B7FCC">
        <w:rPr>
          <w:lang w:val="pt-BR" w:eastAsia="pt-BR"/>
        </w:rPr>
        <w:t xml:space="preserve"> DA</w:t>
      </w:r>
      <w:r w:rsidR="007B62A7" w:rsidRPr="005B7FCC">
        <w:rPr>
          <w:lang w:val="pt-BR" w:eastAsia="pt-BR"/>
        </w:rPr>
        <w:t>S</w:t>
      </w:r>
      <w:r w:rsidRPr="005B7FCC">
        <w:rPr>
          <w:lang w:val="pt-BR" w:eastAsia="pt-BR"/>
        </w:rPr>
        <w:t xml:space="preserve"> CÂMARAS MUNICIPAIS</w:t>
      </w:r>
      <w:bookmarkEnd w:id="9"/>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8"/>
        <w:gridCol w:w="6940"/>
        <w:gridCol w:w="992"/>
      </w:tblGrid>
      <w:tr w:rsidR="00CB7C58" w:rsidRPr="00A5490A" w14:paraId="5F7178BD" w14:textId="77777777" w:rsidTr="00CB7C58">
        <w:tc>
          <w:tcPr>
            <w:tcW w:w="1248" w:type="dxa"/>
            <w:vAlign w:val="center"/>
          </w:tcPr>
          <w:p w14:paraId="34357960" w14:textId="77777777" w:rsidR="00CB7C58" w:rsidRPr="00A5490A" w:rsidRDefault="00CB7C58" w:rsidP="00A5490A">
            <w:pPr>
              <w:spacing w:after="0" w:line="240" w:lineRule="auto"/>
              <w:jc w:val="center"/>
              <w:rPr>
                <w:rFonts w:ascii="Arial" w:eastAsia="Times New Roman" w:hAnsi="Arial" w:cs="Arial"/>
                <w:sz w:val="18"/>
                <w:szCs w:val="18"/>
                <w:lang w:eastAsia="pt-BR"/>
              </w:rPr>
            </w:pPr>
            <w:r>
              <w:rPr>
                <w:rFonts w:ascii="Arial" w:eastAsia="Times New Roman" w:hAnsi="Arial" w:cs="Arial"/>
                <w:sz w:val="18"/>
                <w:szCs w:val="18"/>
                <w:lang w:eastAsia="pt-BR"/>
              </w:rPr>
              <w:t>Código</w:t>
            </w:r>
          </w:p>
        </w:tc>
        <w:tc>
          <w:tcPr>
            <w:tcW w:w="6940" w:type="dxa"/>
            <w:shd w:val="clear" w:color="auto" w:fill="auto"/>
            <w:vAlign w:val="center"/>
          </w:tcPr>
          <w:p w14:paraId="027E26A1" w14:textId="77777777" w:rsidR="00CB7C58" w:rsidRPr="00A5490A" w:rsidRDefault="00CB7C58" w:rsidP="00620D73">
            <w:p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Descrição</w:t>
            </w:r>
          </w:p>
        </w:tc>
        <w:tc>
          <w:tcPr>
            <w:tcW w:w="992" w:type="dxa"/>
            <w:shd w:val="clear" w:color="auto" w:fill="auto"/>
            <w:vAlign w:val="center"/>
          </w:tcPr>
          <w:p w14:paraId="3C9C9E4B" w14:textId="77777777" w:rsidR="00CB7C58" w:rsidRPr="00A5490A" w:rsidRDefault="00CB7C58" w:rsidP="00A5490A">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Formato</w:t>
            </w:r>
          </w:p>
        </w:tc>
      </w:tr>
      <w:tr w:rsidR="00CB7C58" w:rsidRPr="00A5490A" w14:paraId="6722AA81" w14:textId="77777777" w:rsidTr="00CB7C58">
        <w:tc>
          <w:tcPr>
            <w:tcW w:w="1248" w:type="dxa"/>
            <w:vAlign w:val="center"/>
          </w:tcPr>
          <w:p w14:paraId="1F31E52C" w14:textId="77777777" w:rsidR="00CB7C58" w:rsidRPr="00A5490A" w:rsidRDefault="00CB7C58" w:rsidP="00A5490A">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RELGES</w:t>
            </w:r>
          </w:p>
        </w:tc>
        <w:tc>
          <w:tcPr>
            <w:tcW w:w="6940" w:type="dxa"/>
            <w:shd w:val="clear" w:color="auto" w:fill="auto"/>
            <w:vAlign w:val="center"/>
          </w:tcPr>
          <w:p w14:paraId="58317BC9" w14:textId="77777777" w:rsidR="00CB7C58" w:rsidRPr="00B6188E" w:rsidRDefault="00CB7C58" w:rsidP="00620D73">
            <w:pPr>
              <w:spacing w:before="120" w:after="120" w:line="240" w:lineRule="auto"/>
              <w:jc w:val="both"/>
              <w:rPr>
                <w:rFonts w:ascii="Arial" w:eastAsia="Times New Roman" w:hAnsi="Arial" w:cs="Arial"/>
                <w:sz w:val="18"/>
                <w:szCs w:val="18"/>
                <w:lang w:eastAsia="pt-BR"/>
              </w:rPr>
            </w:pPr>
            <w:r w:rsidRPr="00B6188E">
              <w:rPr>
                <w:rFonts w:ascii="Arial" w:eastAsia="Times New Roman" w:hAnsi="Arial" w:cs="Arial"/>
                <w:sz w:val="18"/>
                <w:szCs w:val="18"/>
                <w:lang w:eastAsia="pt-BR"/>
              </w:rPr>
              <w:t>Relatório de gestão abordando aspectos de natureza</w:t>
            </w:r>
            <w:r w:rsidRPr="00B6188E">
              <w:rPr>
                <w:rFonts w:ascii="Arial" w:eastAsia="Times New Roman" w:hAnsi="Arial" w:cs="Arial"/>
                <w:bCs/>
                <w:sz w:val="18"/>
                <w:szCs w:val="18"/>
                <w:lang w:eastAsia="pt-BR"/>
              </w:rPr>
              <w:t xml:space="preserve"> orçamentária, financeira, fiscal, operacional e patrimonial, organizado de forma que permita uma visão de conformidade e desempenho dos atos de gestão praticados pelos ordenadores de despesa.</w:t>
            </w:r>
            <w:r w:rsidRPr="00B6188E">
              <w:rPr>
                <w:rFonts w:ascii="Arial" w:eastAsia="Times New Roman" w:hAnsi="Arial" w:cs="Arial"/>
                <w:sz w:val="18"/>
                <w:szCs w:val="18"/>
                <w:lang w:eastAsia="pt-BR"/>
              </w:rPr>
              <w:t xml:space="preserve"> (Artigo 137, II, do RITCEES, aprovado pela Resolução TC nº 261/2013)</w:t>
            </w:r>
          </w:p>
        </w:tc>
        <w:tc>
          <w:tcPr>
            <w:tcW w:w="992" w:type="dxa"/>
            <w:shd w:val="clear" w:color="auto" w:fill="auto"/>
            <w:vAlign w:val="center"/>
          </w:tcPr>
          <w:p w14:paraId="7D66ADB3" w14:textId="77777777" w:rsidR="00CB7C58" w:rsidRPr="00A5490A" w:rsidRDefault="00532985" w:rsidP="00A5490A">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CB7C58" w:rsidRPr="00A5490A" w14:paraId="5B5B4E61" w14:textId="77777777" w:rsidTr="00CB7C58">
        <w:tc>
          <w:tcPr>
            <w:tcW w:w="1248" w:type="dxa"/>
            <w:vAlign w:val="center"/>
          </w:tcPr>
          <w:p w14:paraId="37F40815" w14:textId="77777777" w:rsidR="00CB7C58" w:rsidRPr="00A5490A" w:rsidRDefault="00CB7C58" w:rsidP="00A5490A">
            <w:pPr>
              <w:spacing w:after="0" w:line="240" w:lineRule="auto"/>
              <w:jc w:val="center"/>
              <w:rPr>
                <w:rFonts w:ascii="Arial" w:eastAsia="Times New Roman" w:hAnsi="Arial" w:cs="Arial"/>
                <w:bCs/>
                <w:sz w:val="18"/>
                <w:szCs w:val="18"/>
                <w:lang w:eastAsia="pt-BR"/>
              </w:rPr>
            </w:pPr>
            <w:r w:rsidRPr="00A5490A">
              <w:rPr>
                <w:rFonts w:ascii="Arial" w:eastAsia="Times New Roman" w:hAnsi="Arial" w:cs="Arial"/>
                <w:bCs/>
                <w:sz w:val="18"/>
                <w:szCs w:val="18"/>
                <w:lang w:eastAsia="pt-BR"/>
              </w:rPr>
              <w:t>RELUCI</w:t>
            </w:r>
          </w:p>
        </w:tc>
        <w:tc>
          <w:tcPr>
            <w:tcW w:w="6940" w:type="dxa"/>
            <w:shd w:val="clear" w:color="auto" w:fill="auto"/>
            <w:vAlign w:val="center"/>
          </w:tcPr>
          <w:p w14:paraId="27E6D2B7" w14:textId="0775187D" w:rsidR="00CB7C58" w:rsidRPr="00B6188E" w:rsidRDefault="00CB7C58" w:rsidP="001631B2">
            <w:pPr>
              <w:spacing w:before="120" w:after="120" w:line="240" w:lineRule="auto"/>
              <w:jc w:val="both"/>
              <w:rPr>
                <w:rFonts w:ascii="Arial" w:eastAsia="Times New Roman" w:hAnsi="Arial" w:cs="Arial"/>
                <w:bCs/>
                <w:sz w:val="18"/>
                <w:szCs w:val="18"/>
                <w:lang w:eastAsia="pt-BR"/>
              </w:rPr>
            </w:pPr>
            <w:r w:rsidRPr="00B6188E">
              <w:rPr>
                <w:rFonts w:ascii="Arial" w:eastAsia="Times New Roman" w:hAnsi="Arial" w:cs="Arial"/>
                <w:bCs/>
                <w:sz w:val="18"/>
                <w:szCs w:val="18"/>
                <w:lang w:eastAsia="pt-BR"/>
              </w:rPr>
              <w:t xml:space="preserve">Relatório e parecer conclusivo emitido pela unidade executora do controle interno ou órgão central do sistema de controle interno, assinado por seu responsável, contendo os elementos </w:t>
            </w:r>
            <w:r w:rsidR="002316D1">
              <w:rPr>
                <w:rFonts w:ascii="Arial" w:eastAsia="Times New Roman" w:hAnsi="Arial" w:cs="Arial"/>
                <w:bCs/>
                <w:sz w:val="18"/>
                <w:szCs w:val="18"/>
                <w:lang w:eastAsia="pt-BR"/>
              </w:rPr>
              <w:t>sugerido</w:t>
            </w:r>
            <w:r w:rsidRPr="00B6188E">
              <w:rPr>
                <w:rFonts w:ascii="Arial" w:eastAsia="Times New Roman" w:hAnsi="Arial" w:cs="Arial"/>
                <w:bCs/>
                <w:sz w:val="18"/>
                <w:szCs w:val="18"/>
                <w:lang w:eastAsia="pt-BR"/>
              </w:rPr>
              <w:t xml:space="preserve">s no </w:t>
            </w:r>
            <w:r w:rsidR="008B43DA" w:rsidRPr="008B43DA">
              <w:rPr>
                <w:rFonts w:ascii="Arial" w:eastAsia="Times New Roman" w:hAnsi="Arial" w:cs="Arial"/>
                <w:bCs/>
                <w:sz w:val="18"/>
                <w:szCs w:val="18"/>
                <w:lang w:eastAsia="pt-BR"/>
              </w:rPr>
              <w:t>item 3.2 deste Anexo</w:t>
            </w:r>
            <w:r w:rsidRPr="008B43DA">
              <w:rPr>
                <w:rFonts w:ascii="Arial" w:eastAsia="Times New Roman" w:hAnsi="Arial" w:cs="Arial"/>
                <w:bCs/>
                <w:sz w:val="18"/>
                <w:szCs w:val="18"/>
                <w:lang w:eastAsia="pt-BR"/>
              </w:rPr>
              <w:t xml:space="preserve">. (Artigo </w:t>
            </w:r>
            <w:r w:rsidRPr="00B6188E">
              <w:rPr>
                <w:rFonts w:ascii="Arial" w:eastAsia="Times New Roman" w:hAnsi="Arial" w:cs="Arial"/>
                <w:bCs/>
                <w:sz w:val="18"/>
                <w:szCs w:val="18"/>
                <w:lang w:eastAsia="pt-BR"/>
              </w:rPr>
              <w:t xml:space="preserve">135, § 4º c/c artigo 137, IV do RITCEES, aprovado pela Resolução TC nº 261/2013) </w:t>
            </w:r>
          </w:p>
        </w:tc>
        <w:tc>
          <w:tcPr>
            <w:tcW w:w="992" w:type="dxa"/>
            <w:shd w:val="clear" w:color="auto" w:fill="auto"/>
            <w:vAlign w:val="center"/>
          </w:tcPr>
          <w:p w14:paraId="5D2E7C16" w14:textId="77777777" w:rsidR="00CB7C58" w:rsidRPr="00A5490A" w:rsidRDefault="00532985" w:rsidP="00A5490A">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BB5923" w:rsidRPr="00BB5923" w14:paraId="6155382E" w14:textId="77777777" w:rsidTr="00CB7C58">
        <w:tc>
          <w:tcPr>
            <w:tcW w:w="1248" w:type="dxa"/>
            <w:vAlign w:val="center"/>
          </w:tcPr>
          <w:p w14:paraId="58DAB8C7" w14:textId="77777777" w:rsidR="00DA26B4" w:rsidRPr="00BB5923" w:rsidRDefault="002324F8" w:rsidP="00736BC5">
            <w:pPr>
              <w:spacing w:after="0" w:line="240" w:lineRule="auto"/>
              <w:jc w:val="center"/>
              <w:rPr>
                <w:rFonts w:ascii="Arial" w:eastAsia="Times New Roman" w:hAnsi="Arial" w:cs="Arial"/>
                <w:sz w:val="18"/>
                <w:szCs w:val="18"/>
                <w:lang w:eastAsia="pt-BR"/>
              </w:rPr>
            </w:pPr>
            <w:r w:rsidRPr="00BB5923">
              <w:rPr>
                <w:rFonts w:ascii="Arial" w:eastAsia="Times New Roman" w:hAnsi="Arial" w:cs="Arial"/>
                <w:sz w:val="18"/>
                <w:szCs w:val="18"/>
                <w:lang w:eastAsia="pt-BR"/>
              </w:rPr>
              <w:t>RELACI</w:t>
            </w:r>
          </w:p>
        </w:tc>
        <w:tc>
          <w:tcPr>
            <w:tcW w:w="6940" w:type="dxa"/>
            <w:shd w:val="clear" w:color="auto" w:fill="auto"/>
            <w:vAlign w:val="center"/>
          </w:tcPr>
          <w:p w14:paraId="59EF8674" w14:textId="189E091E" w:rsidR="00DA26B4" w:rsidRPr="00BB5923" w:rsidRDefault="00DA26B4" w:rsidP="00BB5923">
            <w:pPr>
              <w:spacing w:before="120" w:after="120" w:line="240" w:lineRule="auto"/>
              <w:jc w:val="both"/>
              <w:rPr>
                <w:rFonts w:ascii="Arial" w:eastAsia="Times New Roman" w:hAnsi="Arial" w:cs="Arial"/>
                <w:sz w:val="18"/>
                <w:szCs w:val="18"/>
                <w:lang w:eastAsia="pt-BR"/>
              </w:rPr>
            </w:pPr>
            <w:r w:rsidRPr="00BB5923">
              <w:rPr>
                <w:rFonts w:ascii="Arial" w:eastAsia="Times New Roman" w:hAnsi="Arial" w:cs="Arial"/>
                <w:sz w:val="18"/>
                <w:szCs w:val="18"/>
                <w:lang w:eastAsia="pt-BR"/>
              </w:rPr>
              <w:t xml:space="preserve">Relatório de atividades realizadas pela Unidade de Controle Interno na UG, contendo informações acerca dos procedimentos relativos ao Plano Anual de Auditorias Internas – PAAI, executadas no exercício, com os elementos </w:t>
            </w:r>
            <w:r w:rsidR="00BB5923" w:rsidRPr="00BB5923">
              <w:rPr>
                <w:rFonts w:ascii="Arial" w:eastAsia="Times New Roman" w:hAnsi="Arial" w:cs="Arial"/>
                <w:sz w:val="18"/>
                <w:szCs w:val="18"/>
                <w:lang w:eastAsia="pt-BR"/>
              </w:rPr>
              <w:t>sugeridos no item 3.2 deste Anexo</w:t>
            </w:r>
            <w:r w:rsidRPr="00BB5923">
              <w:rPr>
                <w:rFonts w:ascii="Arial" w:eastAsia="Times New Roman" w:hAnsi="Arial" w:cs="Arial"/>
                <w:sz w:val="18"/>
                <w:szCs w:val="18"/>
                <w:lang w:eastAsia="pt-BR"/>
              </w:rPr>
              <w:t>.</w:t>
            </w:r>
          </w:p>
        </w:tc>
        <w:tc>
          <w:tcPr>
            <w:tcW w:w="992" w:type="dxa"/>
            <w:shd w:val="clear" w:color="auto" w:fill="auto"/>
            <w:vAlign w:val="center"/>
          </w:tcPr>
          <w:p w14:paraId="5505FA03" w14:textId="77777777" w:rsidR="00DA26B4" w:rsidRPr="00BB5923" w:rsidRDefault="00532985" w:rsidP="00736BC5">
            <w:pPr>
              <w:spacing w:after="0" w:line="240" w:lineRule="auto"/>
              <w:jc w:val="center"/>
              <w:rPr>
                <w:rFonts w:ascii="Arial" w:eastAsia="Times New Roman" w:hAnsi="Arial" w:cs="Arial"/>
                <w:sz w:val="14"/>
                <w:szCs w:val="14"/>
                <w:lang w:eastAsia="pt-BR"/>
              </w:rPr>
            </w:pPr>
            <w:r w:rsidRPr="00BB5923">
              <w:rPr>
                <w:rFonts w:ascii="Arial" w:eastAsia="Times New Roman" w:hAnsi="Arial" w:cs="Arial"/>
                <w:sz w:val="14"/>
                <w:szCs w:val="14"/>
                <w:lang w:eastAsia="pt-BR"/>
              </w:rPr>
              <w:t>PDF</w:t>
            </w:r>
          </w:p>
        </w:tc>
      </w:tr>
      <w:tr w:rsidR="00F61F97" w:rsidRPr="00F2087C" w14:paraId="1C549838" w14:textId="77777777" w:rsidTr="00CB7C58">
        <w:tc>
          <w:tcPr>
            <w:tcW w:w="1248" w:type="dxa"/>
            <w:vAlign w:val="center"/>
          </w:tcPr>
          <w:p w14:paraId="5F70188F" w14:textId="0A2C66B0" w:rsidR="00F61F97" w:rsidRPr="00F61F97" w:rsidRDefault="00F61F97" w:rsidP="00F61F97">
            <w:pPr>
              <w:spacing w:after="0" w:line="240" w:lineRule="auto"/>
              <w:jc w:val="center"/>
              <w:rPr>
                <w:rFonts w:ascii="Arial" w:eastAsia="Times New Roman" w:hAnsi="Arial" w:cs="Arial"/>
                <w:sz w:val="18"/>
                <w:szCs w:val="18"/>
                <w:lang w:eastAsia="pt-BR"/>
              </w:rPr>
            </w:pPr>
            <w:r w:rsidRPr="00F61F97">
              <w:rPr>
                <w:rFonts w:ascii="Arial" w:eastAsia="Times New Roman" w:hAnsi="Arial" w:cs="Arial"/>
                <w:sz w:val="18"/>
                <w:szCs w:val="18"/>
                <w:lang w:eastAsia="pt-BR"/>
              </w:rPr>
              <w:t>INFOCI</w:t>
            </w:r>
          </w:p>
        </w:tc>
        <w:tc>
          <w:tcPr>
            <w:tcW w:w="6940" w:type="dxa"/>
            <w:shd w:val="clear" w:color="auto" w:fill="auto"/>
            <w:vAlign w:val="center"/>
          </w:tcPr>
          <w:p w14:paraId="6A6B0C4D" w14:textId="20FCCD94" w:rsidR="00F61F97" w:rsidRPr="00F61F97" w:rsidRDefault="00AA77C8" w:rsidP="00F61F97">
            <w:pPr>
              <w:spacing w:before="120" w:after="120" w:line="240" w:lineRule="auto"/>
              <w:jc w:val="both"/>
              <w:rPr>
                <w:rFonts w:ascii="Arial" w:eastAsia="Times New Roman" w:hAnsi="Arial" w:cs="Arial"/>
                <w:sz w:val="18"/>
                <w:szCs w:val="18"/>
                <w:lang w:eastAsia="pt-BR"/>
              </w:rPr>
            </w:pPr>
            <w:r>
              <w:rPr>
                <w:rFonts w:ascii="Arial" w:eastAsia="Calibri" w:hAnsi="Arial" w:cs="Times New Roman"/>
                <w:sz w:val="18"/>
                <w:szCs w:val="18"/>
              </w:rPr>
              <w:t>I</w:t>
            </w:r>
            <w:r w:rsidRPr="00462640">
              <w:rPr>
                <w:rFonts w:ascii="Arial" w:eastAsia="Calibri" w:hAnsi="Arial" w:cs="Times New Roman"/>
                <w:sz w:val="18"/>
                <w:szCs w:val="18"/>
              </w:rPr>
              <w:t>nformações da unidade de Controle Interno, bem como as informações sobre a atuação do Controle Interno na verificação dos pontos de controle destinados à emissão do parecer sobre as Prestações de Contas Anuais</w:t>
            </w:r>
            <w:r w:rsidRPr="00792F95">
              <w:rPr>
                <w:rFonts w:ascii="Arial" w:eastAsia="Calibri" w:hAnsi="Arial" w:cs="Times New Roman"/>
                <w:sz w:val="18"/>
                <w:szCs w:val="18"/>
              </w:rPr>
              <w:t>, conforme layout constante do item 3.1 deste Anexo.</w:t>
            </w:r>
          </w:p>
        </w:tc>
        <w:tc>
          <w:tcPr>
            <w:tcW w:w="992" w:type="dxa"/>
            <w:shd w:val="clear" w:color="auto" w:fill="auto"/>
            <w:vAlign w:val="center"/>
          </w:tcPr>
          <w:p w14:paraId="27C3C476" w14:textId="4C0F02DF" w:rsidR="00F61F97" w:rsidRPr="00F61F97" w:rsidRDefault="00F61F97" w:rsidP="00F61F97">
            <w:pPr>
              <w:spacing w:after="0" w:line="240" w:lineRule="auto"/>
              <w:jc w:val="center"/>
              <w:rPr>
                <w:rFonts w:ascii="Arial" w:eastAsia="Times New Roman" w:hAnsi="Arial" w:cs="Arial"/>
                <w:sz w:val="14"/>
                <w:szCs w:val="14"/>
                <w:lang w:eastAsia="pt-BR"/>
              </w:rPr>
            </w:pPr>
            <w:r w:rsidRPr="00F61F97">
              <w:rPr>
                <w:rFonts w:ascii="Arial" w:eastAsia="Times New Roman" w:hAnsi="Arial" w:cs="Arial"/>
                <w:sz w:val="14"/>
                <w:szCs w:val="14"/>
                <w:lang w:eastAsia="pt-BR"/>
              </w:rPr>
              <w:t>XML</w:t>
            </w:r>
          </w:p>
        </w:tc>
      </w:tr>
      <w:tr w:rsidR="00DA26B4" w:rsidRPr="00A5490A" w14:paraId="34BFD46E" w14:textId="77777777" w:rsidTr="00CB7C58">
        <w:tc>
          <w:tcPr>
            <w:tcW w:w="1248" w:type="dxa"/>
            <w:vAlign w:val="center"/>
          </w:tcPr>
          <w:p w14:paraId="1D59168D" w14:textId="77777777" w:rsidR="00DA26B4" w:rsidRPr="00A5490A" w:rsidRDefault="00DA26B4" w:rsidP="00A5490A">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PROEXE</w:t>
            </w:r>
          </w:p>
        </w:tc>
        <w:tc>
          <w:tcPr>
            <w:tcW w:w="6940" w:type="dxa"/>
            <w:shd w:val="clear" w:color="auto" w:fill="auto"/>
            <w:vAlign w:val="center"/>
          </w:tcPr>
          <w:p w14:paraId="7DC2F0E4" w14:textId="77777777" w:rsidR="00DA26B4" w:rsidRPr="00A5490A" w:rsidRDefault="00DA26B4" w:rsidP="005D530A">
            <w:p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Pronunciamento expresso do chefe do</w:t>
            </w:r>
            <w:r w:rsidRPr="00A5490A">
              <w:rPr>
                <w:rFonts w:ascii="Arial" w:eastAsia="Times New Roman" w:hAnsi="Arial" w:cs="Arial"/>
                <w:b/>
                <w:bCs/>
                <w:sz w:val="18"/>
                <w:szCs w:val="18"/>
                <w:lang w:eastAsia="pt-BR"/>
              </w:rPr>
              <w:t xml:space="preserve"> </w:t>
            </w:r>
            <w:r w:rsidRPr="00A5490A">
              <w:rPr>
                <w:rFonts w:ascii="Arial" w:eastAsia="Times New Roman" w:hAnsi="Arial" w:cs="Arial"/>
                <w:sz w:val="18"/>
                <w:szCs w:val="18"/>
                <w:lang w:eastAsia="pt-BR"/>
              </w:rPr>
              <w:t>Poder atestando ter tomado conhecimento das conclusões contidas no parecer conclusivo emitido pela unidade executora do controle interno, a que se refere o parágrafo único, do artigo 4º, da Resolução TC nº 227/201</w:t>
            </w:r>
            <w:r>
              <w:rPr>
                <w:rFonts w:ascii="Arial" w:eastAsia="Times New Roman" w:hAnsi="Arial" w:cs="Arial"/>
                <w:sz w:val="18"/>
                <w:szCs w:val="18"/>
                <w:lang w:eastAsia="pt-BR"/>
              </w:rPr>
              <w:t>1</w:t>
            </w:r>
            <w:r w:rsidRPr="00A5490A">
              <w:rPr>
                <w:rFonts w:ascii="Arial" w:eastAsia="Times New Roman" w:hAnsi="Arial" w:cs="Arial"/>
                <w:sz w:val="18"/>
                <w:szCs w:val="18"/>
                <w:lang w:eastAsia="pt-BR"/>
              </w:rPr>
              <w:t>.</w:t>
            </w:r>
          </w:p>
        </w:tc>
        <w:tc>
          <w:tcPr>
            <w:tcW w:w="992" w:type="dxa"/>
            <w:shd w:val="clear" w:color="auto" w:fill="auto"/>
            <w:vAlign w:val="center"/>
          </w:tcPr>
          <w:p w14:paraId="3AA05A95" w14:textId="77777777" w:rsidR="00DA26B4" w:rsidRPr="00A5490A" w:rsidRDefault="00532985" w:rsidP="00A5490A">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BB5923" w:rsidRPr="008B43DA" w14:paraId="22556158" w14:textId="77777777" w:rsidTr="00CB7C58">
        <w:tc>
          <w:tcPr>
            <w:tcW w:w="1248" w:type="dxa"/>
            <w:tcBorders>
              <w:top w:val="single" w:sz="4" w:space="0" w:color="auto"/>
              <w:left w:val="single" w:sz="4" w:space="0" w:color="auto"/>
              <w:bottom w:val="single" w:sz="4" w:space="0" w:color="auto"/>
              <w:right w:val="single" w:sz="4" w:space="0" w:color="auto"/>
            </w:tcBorders>
            <w:vAlign w:val="center"/>
          </w:tcPr>
          <w:p w14:paraId="3E4552AF" w14:textId="77777777" w:rsidR="00DA26B4" w:rsidRPr="008B43DA" w:rsidRDefault="00DA26B4" w:rsidP="006052E1">
            <w:pPr>
              <w:spacing w:after="0" w:line="240" w:lineRule="auto"/>
              <w:jc w:val="center"/>
              <w:rPr>
                <w:rFonts w:ascii="Arial" w:eastAsia="Times New Roman" w:hAnsi="Arial" w:cs="Arial"/>
                <w:sz w:val="18"/>
                <w:szCs w:val="18"/>
                <w:lang w:eastAsia="pt-BR"/>
              </w:rPr>
            </w:pPr>
            <w:r w:rsidRPr="008B43DA">
              <w:rPr>
                <w:rFonts w:ascii="Arial" w:eastAsia="Times New Roman" w:hAnsi="Arial" w:cs="Arial"/>
                <w:sz w:val="18"/>
                <w:szCs w:val="18"/>
                <w:lang w:eastAsia="pt-BR"/>
              </w:rPr>
              <w:t>BALFIN</w:t>
            </w:r>
          </w:p>
        </w:tc>
        <w:tc>
          <w:tcPr>
            <w:tcW w:w="6940" w:type="dxa"/>
            <w:tcBorders>
              <w:top w:val="single" w:sz="4" w:space="0" w:color="auto"/>
              <w:left w:val="single" w:sz="4" w:space="0" w:color="auto"/>
              <w:bottom w:val="single" w:sz="4" w:space="0" w:color="auto"/>
              <w:right w:val="single" w:sz="4" w:space="0" w:color="auto"/>
            </w:tcBorders>
            <w:shd w:val="clear" w:color="auto" w:fill="auto"/>
            <w:vAlign w:val="center"/>
          </w:tcPr>
          <w:p w14:paraId="0481CB6F" w14:textId="553BE765" w:rsidR="00DA26B4" w:rsidRPr="008B43DA" w:rsidRDefault="00DA26B4" w:rsidP="00BB6EA8">
            <w:pPr>
              <w:spacing w:before="120" w:after="120" w:line="240" w:lineRule="auto"/>
              <w:jc w:val="both"/>
              <w:rPr>
                <w:rFonts w:ascii="Arial" w:eastAsia="Times New Roman" w:hAnsi="Arial" w:cs="Arial"/>
                <w:sz w:val="18"/>
                <w:szCs w:val="18"/>
                <w:lang w:eastAsia="pt-BR"/>
              </w:rPr>
            </w:pPr>
            <w:r w:rsidRPr="008B43DA">
              <w:rPr>
                <w:rFonts w:ascii="Arial" w:eastAsia="Times New Roman" w:hAnsi="Arial" w:cs="Arial"/>
                <w:sz w:val="18"/>
                <w:szCs w:val="18"/>
                <w:lang w:eastAsia="pt-BR"/>
              </w:rPr>
              <w:t>Balanço Finance</w:t>
            </w:r>
            <w:r w:rsidR="008B43DA" w:rsidRPr="008B43DA">
              <w:rPr>
                <w:rFonts w:ascii="Arial" w:eastAsia="Times New Roman" w:hAnsi="Arial" w:cs="Arial"/>
                <w:sz w:val="18"/>
                <w:szCs w:val="18"/>
                <w:lang w:eastAsia="pt-BR"/>
              </w:rPr>
              <w:t>iro (Anexo 13 Lei 4.320/1964)</w:t>
            </w:r>
            <w:r w:rsidRPr="008B43DA">
              <w:rPr>
                <w:rFonts w:ascii="Arial" w:eastAsia="Times New Roman" w:hAnsi="Arial" w:cs="Arial"/>
                <w:sz w:val="18"/>
                <w:szCs w:val="18"/>
                <w:lang w:eastAsia="pt-BR"/>
              </w:rPr>
              <w:t xml:space="preserve"> e outros quadros elucidativos que se fizerem necessários (Artigo 101 da Lei Federal nº 4.320/64)</w:t>
            </w:r>
            <w:r w:rsidR="008B43DA" w:rsidRPr="008B43DA">
              <w:rPr>
                <w:rFonts w:ascii="Arial" w:eastAsia="Times New Roman" w:hAnsi="Arial" w:cs="Arial"/>
                <w:sz w:val="18"/>
                <w:szCs w:val="18"/>
                <w:lang w:eastAsia="pt-BR"/>
              </w:rPr>
              <w:t>. Este demonstrativo será gerado no mês 13 da prestação de contas mensal e homologado na PCA.</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2661C39" w14:textId="45EF1960" w:rsidR="00DA26B4" w:rsidRPr="008B43DA" w:rsidRDefault="008B43DA" w:rsidP="006052E1">
            <w:pPr>
              <w:spacing w:after="0" w:line="240" w:lineRule="auto"/>
              <w:jc w:val="center"/>
              <w:rPr>
                <w:rFonts w:ascii="Arial" w:eastAsia="Times New Roman" w:hAnsi="Arial" w:cs="Arial"/>
                <w:sz w:val="14"/>
                <w:szCs w:val="14"/>
                <w:lang w:eastAsia="pt-BR"/>
              </w:rPr>
            </w:pPr>
            <w:r w:rsidRPr="008B43DA">
              <w:rPr>
                <w:rFonts w:ascii="Arial" w:eastAsia="Times New Roman" w:hAnsi="Arial" w:cs="Arial"/>
                <w:sz w:val="14"/>
                <w:szCs w:val="14"/>
                <w:lang w:eastAsia="pt-BR"/>
              </w:rPr>
              <w:t>-</w:t>
            </w:r>
          </w:p>
        </w:tc>
      </w:tr>
      <w:tr w:rsidR="00BB5923" w:rsidRPr="008B43DA" w14:paraId="7B769EF5" w14:textId="77777777" w:rsidTr="00CB7C58">
        <w:tc>
          <w:tcPr>
            <w:tcW w:w="1248" w:type="dxa"/>
            <w:tcBorders>
              <w:top w:val="single" w:sz="4" w:space="0" w:color="auto"/>
              <w:left w:val="single" w:sz="4" w:space="0" w:color="auto"/>
              <w:bottom w:val="single" w:sz="4" w:space="0" w:color="auto"/>
              <w:right w:val="single" w:sz="4" w:space="0" w:color="auto"/>
            </w:tcBorders>
            <w:vAlign w:val="center"/>
          </w:tcPr>
          <w:p w14:paraId="40842E02" w14:textId="77777777" w:rsidR="00DA26B4" w:rsidRPr="008B43DA" w:rsidRDefault="00DA26B4" w:rsidP="006052E1">
            <w:pPr>
              <w:spacing w:after="0" w:line="240" w:lineRule="auto"/>
              <w:jc w:val="center"/>
              <w:rPr>
                <w:rFonts w:ascii="Arial" w:eastAsia="Times New Roman" w:hAnsi="Arial" w:cs="Arial"/>
                <w:sz w:val="18"/>
                <w:szCs w:val="18"/>
                <w:lang w:eastAsia="pt-BR"/>
              </w:rPr>
            </w:pPr>
            <w:r w:rsidRPr="008B43DA">
              <w:rPr>
                <w:rFonts w:ascii="Arial" w:eastAsia="Times New Roman" w:hAnsi="Arial" w:cs="Arial"/>
                <w:sz w:val="18"/>
                <w:szCs w:val="18"/>
                <w:lang w:eastAsia="pt-BR"/>
              </w:rPr>
              <w:t>BALPAT</w:t>
            </w:r>
          </w:p>
        </w:tc>
        <w:tc>
          <w:tcPr>
            <w:tcW w:w="6940" w:type="dxa"/>
            <w:tcBorders>
              <w:top w:val="single" w:sz="4" w:space="0" w:color="auto"/>
              <w:left w:val="single" w:sz="4" w:space="0" w:color="auto"/>
              <w:bottom w:val="single" w:sz="4" w:space="0" w:color="auto"/>
              <w:right w:val="single" w:sz="4" w:space="0" w:color="auto"/>
            </w:tcBorders>
            <w:shd w:val="clear" w:color="auto" w:fill="auto"/>
            <w:vAlign w:val="center"/>
          </w:tcPr>
          <w:p w14:paraId="29E5E6AF" w14:textId="00350E4E" w:rsidR="00DA26B4" w:rsidRPr="008B43DA" w:rsidRDefault="00DA26B4" w:rsidP="00192DCF">
            <w:pPr>
              <w:spacing w:before="120" w:after="120" w:line="240" w:lineRule="auto"/>
              <w:jc w:val="both"/>
              <w:rPr>
                <w:rFonts w:ascii="Arial" w:eastAsia="Times New Roman" w:hAnsi="Arial" w:cs="Arial"/>
                <w:sz w:val="18"/>
                <w:szCs w:val="18"/>
                <w:lang w:eastAsia="pt-BR"/>
              </w:rPr>
            </w:pPr>
            <w:r w:rsidRPr="008B43DA">
              <w:rPr>
                <w:rFonts w:ascii="Arial" w:eastAsia="Times New Roman" w:hAnsi="Arial" w:cs="Arial"/>
                <w:sz w:val="18"/>
                <w:szCs w:val="18"/>
                <w:lang w:eastAsia="pt-BR"/>
              </w:rPr>
              <w:t>Balanço Patrimon</w:t>
            </w:r>
            <w:r w:rsidR="008B43DA" w:rsidRPr="008B43DA">
              <w:rPr>
                <w:rFonts w:ascii="Arial" w:eastAsia="Times New Roman" w:hAnsi="Arial" w:cs="Arial"/>
                <w:sz w:val="18"/>
                <w:szCs w:val="18"/>
                <w:lang w:eastAsia="pt-BR"/>
              </w:rPr>
              <w:t>ial (Anexo 14 Lei 4.320/1964)</w:t>
            </w:r>
            <w:r w:rsidRPr="008B43DA">
              <w:rPr>
                <w:rFonts w:ascii="Arial" w:eastAsia="Times New Roman" w:hAnsi="Arial" w:cs="Arial"/>
                <w:sz w:val="18"/>
                <w:szCs w:val="18"/>
                <w:lang w:eastAsia="pt-BR"/>
              </w:rPr>
              <w:t xml:space="preserve"> e outros quadros elucidativos que se fizerem necessários (Artigo 101 da Lei Federal nº 4.320/64). </w:t>
            </w:r>
            <w:r w:rsidR="008B43DA" w:rsidRPr="008B43DA">
              <w:rPr>
                <w:rFonts w:ascii="Arial" w:eastAsia="Times New Roman" w:hAnsi="Arial" w:cs="Arial"/>
                <w:sz w:val="18"/>
                <w:szCs w:val="18"/>
                <w:lang w:eastAsia="pt-BR"/>
              </w:rPr>
              <w:t>Este demonstrativo será gerado no mês 13 da prestação de contas mensal e homologado na PCA.</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3CF86E3" w14:textId="4C1FFC23" w:rsidR="00DA26B4" w:rsidRPr="008B43DA" w:rsidRDefault="008B43DA" w:rsidP="006052E1">
            <w:pPr>
              <w:spacing w:after="0" w:line="240" w:lineRule="auto"/>
              <w:jc w:val="center"/>
              <w:rPr>
                <w:rFonts w:ascii="Arial" w:eastAsia="Times New Roman" w:hAnsi="Arial" w:cs="Arial"/>
                <w:sz w:val="14"/>
                <w:szCs w:val="14"/>
                <w:lang w:eastAsia="pt-BR"/>
              </w:rPr>
            </w:pPr>
            <w:r w:rsidRPr="008B43DA">
              <w:rPr>
                <w:rFonts w:ascii="Arial" w:eastAsia="Times New Roman" w:hAnsi="Arial" w:cs="Arial"/>
                <w:sz w:val="14"/>
                <w:szCs w:val="14"/>
                <w:lang w:eastAsia="pt-BR"/>
              </w:rPr>
              <w:t>-</w:t>
            </w:r>
          </w:p>
        </w:tc>
      </w:tr>
      <w:tr w:rsidR="00BB5923" w:rsidRPr="008B43DA" w14:paraId="00082127" w14:textId="77777777" w:rsidTr="00CB7C58">
        <w:tc>
          <w:tcPr>
            <w:tcW w:w="1248" w:type="dxa"/>
            <w:vAlign w:val="center"/>
          </w:tcPr>
          <w:p w14:paraId="10BD1DCF" w14:textId="77777777" w:rsidR="00DA26B4" w:rsidRPr="008B43DA" w:rsidRDefault="00DA26B4" w:rsidP="00A5490A">
            <w:pPr>
              <w:spacing w:after="0" w:line="240" w:lineRule="auto"/>
              <w:jc w:val="center"/>
              <w:rPr>
                <w:rFonts w:ascii="Arial" w:eastAsia="Times New Roman" w:hAnsi="Arial" w:cs="Arial"/>
                <w:sz w:val="18"/>
                <w:szCs w:val="18"/>
                <w:lang w:eastAsia="pt-BR"/>
              </w:rPr>
            </w:pPr>
            <w:r w:rsidRPr="008B43DA">
              <w:rPr>
                <w:rFonts w:ascii="Arial" w:eastAsia="Times New Roman" w:hAnsi="Arial" w:cs="Arial"/>
                <w:sz w:val="18"/>
                <w:szCs w:val="18"/>
                <w:lang w:eastAsia="pt-BR"/>
              </w:rPr>
              <w:t>DEMVAP</w:t>
            </w:r>
          </w:p>
        </w:tc>
        <w:tc>
          <w:tcPr>
            <w:tcW w:w="6940" w:type="dxa"/>
            <w:shd w:val="clear" w:color="auto" w:fill="auto"/>
            <w:vAlign w:val="center"/>
          </w:tcPr>
          <w:p w14:paraId="422D4AF7" w14:textId="57A4E846" w:rsidR="00DA26B4" w:rsidRPr="008B43DA" w:rsidRDefault="00DA26B4" w:rsidP="008B43DA">
            <w:pPr>
              <w:spacing w:before="120" w:after="120" w:line="240" w:lineRule="auto"/>
              <w:jc w:val="both"/>
              <w:rPr>
                <w:rFonts w:ascii="Arial" w:eastAsia="Times New Roman" w:hAnsi="Arial" w:cs="Arial"/>
                <w:sz w:val="18"/>
                <w:szCs w:val="18"/>
                <w:lang w:eastAsia="pt-BR"/>
              </w:rPr>
            </w:pPr>
            <w:r w:rsidRPr="008B43DA">
              <w:rPr>
                <w:rFonts w:ascii="Arial" w:eastAsia="Times New Roman" w:hAnsi="Arial" w:cs="Arial"/>
                <w:sz w:val="18"/>
                <w:szCs w:val="18"/>
                <w:lang w:eastAsia="pt-BR"/>
              </w:rPr>
              <w:t>Demonstração das Variações Patrimoni</w:t>
            </w:r>
            <w:r w:rsidR="008B43DA" w:rsidRPr="008B43DA">
              <w:rPr>
                <w:rFonts w:ascii="Arial" w:eastAsia="Times New Roman" w:hAnsi="Arial" w:cs="Arial"/>
                <w:sz w:val="18"/>
                <w:szCs w:val="18"/>
                <w:lang w:eastAsia="pt-BR"/>
              </w:rPr>
              <w:t>ais (Anexo 15 Lei 4.320/1964)</w:t>
            </w:r>
            <w:r w:rsidRPr="008B43DA">
              <w:rPr>
                <w:rFonts w:ascii="Arial" w:eastAsia="Times New Roman" w:hAnsi="Arial" w:cs="Arial"/>
                <w:sz w:val="18"/>
                <w:szCs w:val="18"/>
                <w:lang w:eastAsia="pt-BR"/>
              </w:rPr>
              <w:t xml:space="preserve"> e outros quadros elucidativos que se fizerem necessários (Artigo 101 da Lei Federal nº 4.320/64). </w:t>
            </w:r>
            <w:r w:rsidR="008B43DA" w:rsidRPr="008B43DA">
              <w:rPr>
                <w:rFonts w:ascii="Arial" w:eastAsia="Times New Roman" w:hAnsi="Arial" w:cs="Arial"/>
                <w:sz w:val="18"/>
                <w:szCs w:val="18"/>
                <w:lang w:eastAsia="pt-BR"/>
              </w:rPr>
              <w:t>Este demonstrativo será gerado no mês 13 da prestação de contas mensal e homologado na PCA.</w:t>
            </w:r>
          </w:p>
        </w:tc>
        <w:tc>
          <w:tcPr>
            <w:tcW w:w="992" w:type="dxa"/>
            <w:shd w:val="clear" w:color="auto" w:fill="auto"/>
            <w:vAlign w:val="center"/>
          </w:tcPr>
          <w:p w14:paraId="5EA1CB7B" w14:textId="66E1DE9B" w:rsidR="00DA26B4" w:rsidRPr="008B43DA" w:rsidRDefault="008B43DA" w:rsidP="00A5490A">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w:t>
            </w:r>
          </w:p>
        </w:tc>
      </w:tr>
      <w:tr w:rsidR="00BB5923" w:rsidRPr="00BB5923" w14:paraId="5894FD8E" w14:textId="77777777" w:rsidTr="00CB7C58">
        <w:tc>
          <w:tcPr>
            <w:tcW w:w="1248" w:type="dxa"/>
            <w:vAlign w:val="center"/>
          </w:tcPr>
          <w:p w14:paraId="66C9628E" w14:textId="2673CEF4" w:rsidR="00BB5923" w:rsidRPr="00BB5923" w:rsidRDefault="00BB5923" w:rsidP="00BB5923">
            <w:pPr>
              <w:spacing w:after="0" w:line="240" w:lineRule="auto"/>
              <w:jc w:val="center"/>
              <w:rPr>
                <w:rFonts w:ascii="Arial" w:eastAsia="Times New Roman" w:hAnsi="Arial" w:cs="Arial"/>
                <w:sz w:val="18"/>
                <w:szCs w:val="18"/>
                <w:lang w:eastAsia="pt-BR"/>
              </w:rPr>
            </w:pPr>
            <w:r w:rsidRPr="00BB5923">
              <w:rPr>
                <w:rFonts w:ascii="Arial" w:eastAsia="Times New Roman" w:hAnsi="Arial" w:cs="Arial"/>
                <w:sz w:val="18"/>
                <w:szCs w:val="18"/>
                <w:lang w:eastAsia="pt-BR"/>
              </w:rPr>
              <w:t>BALVER-ANUAL</w:t>
            </w:r>
          </w:p>
        </w:tc>
        <w:tc>
          <w:tcPr>
            <w:tcW w:w="6940" w:type="dxa"/>
            <w:shd w:val="clear" w:color="auto" w:fill="auto"/>
            <w:vAlign w:val="center"/>
          </w:tcPr>
          <w:p w14:paraId="56D6C444" w14:textId="43D73025" w:rsidR="00BB5923" w:rsidRPr="00BB5923" w:rsidRDefault="00BB5923" w:rsidP="00BB5923">
            <w:pPr>
              <w:spacing w:before="120" w:after="120" w:line="240" w:lineRule="auto"/>
              <w:jc w:val="both"/>
              <w:rPr>
                <w:rFonts w:ascii="Arial" w:eastAsia="Times New Roman" w:hAnsi="Arial" w:cs="Arial"/>
                <w:sz w:val="18"/>
                <w:szCs w:val="18"/>
                <w:lang w:eastAsia="pt-BR"/>
              </w:rPr>
            </w:pPr>
            <w:r w:rsidRPr="00BB5923">
              <w:rPr>
                <w:rFonts w:ascii="Arial" w:eastAsia="Times New Roman" w:hAnsi="Arial" w:cs="Arial"/>
                <w:sz w:val="18"/>
                <w:szCs w:val="18"/>
                <w:lang w:eastAsia="pt-BR"/>
              </w:rPr>
              <w:t>Balancete de veri</w:t>
            </w:r>
            <w:r w:rsidRPr="00BB5923">
              <w:rPr>
                <w:rFonts w:ascii="Arial" w:hAnsi="Arial" w:cs="Arial"/>
                <w:sz w:val="18"/>
                <w:szCs w:val="18"/>
              </w:rPr>
              <w:t>ficação</w:t>
            </w:r>
            <w:r w:rsidRPr="00BB5923">
              <w:rPr>
                <w:rFonts w:ascii="Arial" w:eastAsia="Times New Roman" w:hAnsi="Arial" w:cs="Arial"/>
                <w:sz w:val="18"/>
                <w:szCs w:val="18"/>
                <w:lang w:eastAsia="pt-BR"/>
              </w:rPr>
              <w:t>, com saldos acumulados no exercício, detalhado até o nível de conta contábil de lançamento, abrangendo todas as contas contábeis com movimentação no exercício, segregadas por natureza da informação patrimonial, orçamentária e de controle, informando o saldo anterior, o total a débito, o total a crédito e o saldo final. Este balancete será gerado e homologado no mês 13 da prestação de contas mensal.</w:t>
            </w:r>
          </w:p>
        </w:tc>
        <w:tc>
          <w:tcPr>
            <w:tcW w:w="992" w:type="dxa"/>
            <w:shd w:val="clear" w:color="auto" w:fill="auto"/>
            <w:vAlign w:val="center"/>
          </w:tcPr>
          <w:p w14:paraId="08344703" w14:textId="315EDC8D" w:rsidR="00BB5923" w:rsidRPr="00BB5923" w:rsidRDefault="00BB5923" w:rsidP="00BB5923">
            <w:pPr>
              <w:spacing w:after="0" w:line="240" w:lineRule="auto"/>
              <w:jc w:val="center"/>
              <w:rPr>
                <w:rFonts w:ascii="Arial" w:eastAsia="Times New Roman" w:hAnsi="Arial" w:cs="Arial"/>
                <w:sz w:val="14"/>
                <w:szCs w:val="14"/>
                <w:lang w:eastAsia="pt-BR"/>
              </w:rPr>
            </w:pPr>
            <w:r w:rsidRPr="00BB5923">
              <w:rPr>
                <w:rFonts w:ascii="Arial" w:eastAsia="Times New Roman" w:hAnsi="Arial" w:cs="Arial"/>
                <w:sz w:val="14"/>
                <w:szCs w:val="14"/>
                <w:lang w:eastAsia="pt-BR"/>
              </w:rPr>
              <w:t>-</w:t>
            </w:r>
          </w:p>
        </w:tc>
      </w:tr>
      <w:tr w:rsidR="00BB5923" w:rsidRPr="00BB5923" w14:paraId="210949C3" w14:textId="77777777" w:rsidTr="00CB7C58">
        <w:tc>
          <w:tcPr>
            <w:tcW w:w="1248" w:type="dxa"/>
            <w:vAlign w:val="center"/>
          </w:tcPr>
          <w:p w14:paraId="2005BFD1" w14:textId="26820159" w:rsidR="00BB5923" w:rsidRPr="00BB5923" w:rsidRDefault="00BB5923" w:rsidP="00BB5923">
            <w:pPr>
              <w:spacing w:after="0" w:line="240" w:lineRule="auto"/>
              <w:jc w:val="center"/>
              <w:rPr>
                <w:rFonts w:ascii="Arial" w:eastAsia="Times New Roman" w:hAnsi="Arial" w:cs="Arial"/>
                <w:sz w:val="18"/>
                <w:szCs w:val="18"/>
                <w:lang w:eastAsia="pt-BR"/>
              </w:rPr>
            </w:pPr>
            <w:r w:rsidRPr="00BB5923">
              <w:rPr>
                <w:rFonts w:ascii="Arial" w:eastAsia="Times New Roman" w:hAnsi="Arial" w:cs="Arial"/>
                <w:sz w:val="18"/>
                <w:szCs w:val="18"/>
                <w:lang w:eastAsia="pt-BR"/>
              </w:rPr>
              <w:t>BALEXOD</w:t>
            </w:r>
          </w:p>
        </w:tc>
        <w:tc>
          <w:tcPr>
            <w:tcW w:w="6940" w:type="dxa"/>
            <w:shd w:val="clear" w:color="auto" w:fill="auto"/>
            <w:vAlign w:val="center"/>
          </w:tcPr>
          <w:p w14:paraId="179C6914" w14:textId="63161E95" w:rsidR="00BB5923" w:rsidRPr="00BB5923" w:rsidRDefault="00C13825" w:rsidP="00BB5923">
            <w:pPr>
              <w:spacing w:before="120" w:after="120" w:line="240" w:lineRule="auto"/>
              <w:jc w:val="both"/>
              <w:rPr>
                <w:rFonts w:ascii="Arial" w:eastAsia="Times New Roman" w:hAnsi="Arial" w:cs="Arial"/>
                <w:sz w:val="18"/>
                <w:szCs w:val="18"/>
                <w:lang w:eastAsia="pt-BR"/>
              </w:rPr>
            </w:pPr>
            <w:r w:rsidRPr="00BB5923">
              <w:rPr>
                <w:rFonts w:ascii="Arial" w:eastAsia="Times New Roman" w:hAnsi="Arial" w:cs="Arial"/>
                <w:sz w:val="18"/>
                <w:szCs w:val="18"/>
                <w:lang w:eastAsia="pt-BR"/>
              </w:rPr>
              <w:t>Balancete da execução orçamentária da despesa, acumulado até o mês de dezembro, demonstrando a fixação orçamentária da despesa, a movimentação dos créditos adicionais, os valores empenhados, liquidados e pagos, e a fonte de recursos. Este balancete será gerado e homologado no mês 12 da prestação de contas mensal.</w:t>
            </w:r>
          </w:p>
        </w:tc>
        <w:tc>
          <w:tcPr>
            <w:tcW w:w="992" w:type="dxa"/>
            <w:shd w:val="clear" w:color="auto" w:fill="auto"/>
            <w:vAlign w:val="center"/>
          </w:tcPr>
          <w:p w14:paraId="6677E7ED" w14:textId="4AEB9526" w:rsidR="00BB5923" w:rsidRPr="00BB5923" w:rsidRDefault="00BB5923" w:rsidP="00BB5923">
            <w:pPr>
              <w:spacing w:after="0" w:line="240" w:lineRule="auto"/>
              <w:jc w:val="center"/>
              <w:rPr>
                <w:rFonts w:ascii="Arial" w:eastAsia="Times New Roman" w:hAnsi="Arial" w:cs="Arial"/>
                <w:sz w:val="14"/>
                <w:szCs w:val="14"/>
                <w:lang w:eastAsia="pt-BR"/>
              </w:rPr>
            </w:pPr>
            <w:r w:rsidRPr="00BB5923">
              <w:rPr>
                <w:rFonts w:ascii="Arial" w:eastAsia="Times New Roman" w:hAnsi="Arial" w:cs="Arial"/>
                <w:sz w:val="14"/>
                <w:szCs w:val="14"/>
                <w:lang w:eastAsia="pt-BR"/>
              </w:rPr>
              <w:t>-</w:t>
            </w:r>
          </w:p>
        </w:tc>
      </w:tr>
      <w:tr w:rsidR="00DA26B4" w:rsidRPr="00A5490A" w14:paraId="02943DC2" w14:textId="77777777" w:rsidTr="00CB7C58">
        <w:tc>
          <w:tcPr>
            <w:tcW w:w="1248" w:type="dxa"/>
            <w:vAlign w:val="center"/>
          </w:tcPr>
          <w:p w14:paraId="52EC851F" w14:textId="77777777" w:rsidR="00DA26B4" w:rsidRPr="00DA26B4" w:rsidRDefault="00DA26B4" w:rsidP="00A47BF4">
            <w:pPr>
              <w:spacing w:after="0" w:line="240" w:lineRule="auto"/>
              <w:jc w:val="center"/>
              <w:rPr>
                <w:rFonts w:ascii="Arial" w:eastAsia="Times New Roman" w:hAnsi="Arial" w:cs="Arial"/>
                <w:sz w:val="18"/>
                <w:szCs w:val="18"/>
                <w:lang w:eastAsia="pt-BR"/>
              </w:rPr>
            </w:pPr>
            <w:r w:rsidRPr="00DA26B4">
              <w:rPr>
                <w:rFonts w:ascii="Arial" w:eastAsia="Times New Roman" w:hAnsi="Arial" w:cs="Arial"/>
                <w:sz w:val="18"/>
                <w:szCs w:val="18"/>
                <w:lang w:eastAsia="pt-BR"/>
              </w:rPr>
              <w:t>DEMDIFD</w:t>
            </w:r>
          </w:p>
        </w:tc>
        <w:tc>
          <w:tcPr>
            <w:tcW w:w="6940" w:type="dxa"/>
            <w:shd w:val="clear" w:color="auto" w:fill="auto"/>
            <w:vAlign w:val="center"/>
          </w:tcPr>
          <w:p w14:paraId="56BBD9B1" w14:textId="2AA0A05D" w:rsidR="00DA26B4" w:rsidRPr="00DA26B4" w:rsidRDefault="00DA26B4" w:rsidP="00261F74">
            <w:pPr>
              <w:spacing w:before="120" w:after="120" w:line="240" w:lineRule="auto"/>
              <w:jc w:val="both"/>
              <w:rPr>
                <w:rFonts w:ascii="Arial" w:eastAsia="Times New Roman" w:hAnsi="Arial" w:cs="Arial"/>
                <w:sz w:val="18"/>
                <w:szCs w:val="18"/>
                <w:lang w:eastAsia="pt-BR"/>
              </w:rPr>
            </w:pPr>
            <w:r w:rsidRPr="00DA26B4">
              <w:rPr>
                <w:rFonts w:ascii="Arial" w:eastAsia="Times New Roman" w:hAnsi="Arial" w:cs="Arial"/>
                <w:sz w:val="18"/>
                <w:szCs w:val="18"/>
                <w:lang w:eastAsia="pt-BR"/>
              </w:rPr>
              <w:t xml:space="preserve">Demonstrativo da Dívida Fundada (Anexo 16 Lei 4.320/1964), acompanhado de notas explicativas e outros quadros elucidativos que se fizerem necessários. (Artigo 101 da Lei Federal nº 4.320/64). Estrutura e layout constantes do item </w:t>
            </w:r>
            <w:r w:rsidR="00261F74">
              <w:rPr>
                <w:rFonts w:ascii="Arial" w:eastAsia="Times New Roman" w:hAnsi="Arial" w:cs="Arial"/>
                <w:sz w:val="18"/>
                <w:szCs w:val="18"/>
                <w:lang w:eastAsia="pt-BR"/>
              </w:rPr>
              <w:t>3.1</w:t>
            </w:r>
            <w:r w:rsidRPr="00DA26B4">
              <w:rPr>
                <w:rFonts w:ascii="Arial" w:eastAsia="Times New Roman" w:hAnsi="Arial" w:cs="Arial"/>
                <w:sz w:val="18"/>
                <w:szCs w:val="18"/>
                <w:lang w:eastAsia="pt-BR"/>
              </w:rPr>
              <w:t xml:space="preserve"> deste Anexo.</w:t>
            </w:r>
          </w:p>
        </w:tc>
        <w:tc>
          <w:tcPr>
            <w:tcW w:w="992" w:type="dxa"/>
            <w:shd w:val="clear" w:color="auto" w:fill="auto"/>
            <w:vAlign w:val="center"/>
          </w:tcPr>
          <w:p w14:paraId="7F9B4432" w14:textId="77777777" w:rsidR="00DA26B4" w:rsidRPr="00DA26B4" w:rsidRDefault="00DA26B4" w:rsidP="00A47BF4">
            <w:pPr>
              <w:spacing w:after="0" w:line="240" w:lineRule="auto"/>
              <w:jc w:val="center"/>
              <w:rPr>
                <w:rFonts w:ascii="Arial" w:eastAsia="Times New Roman" w:hAnsi="Arial" w:cs="Arial"/>
                <w:sz w:val="14"/>
                <w:szCs w:val="14"/>
                <w:lang w:eastAsia="pt-BR"/>
              </w:rPr>
            </w:pPr>
            <w:r w:rsidRPr="00DA26B4">
              <w:rPr>
                <w:rFonts w:ascii="Arial" w:eastAsia="Times New Roman" w:hAnsi="Arial" w:cs="Arial"/>
                <w:sz w:val="14"/>
                <w:szCs w:val="14"/>
                <w:lang w:eastAsia="pt-BR"/>
              </w:rPr>
              <w:t>XML</w:t>
            </w:r>
          </w:p>
        </w:tc>
      </w:tr>
      <w:tr w:rsidR="00DA26B4" w:rsidRPr="00A5490A" w14:paraId="1C938C0E" w14:textId="77777777" w:rsidTr="00CB7C58">
        <w:tc>
          <w:tcPr>
            <w:tcW w:w="1248" w:type="dxa"/>
            <w:vAlign w:val="center"/>
          </w:tcPr>
          <w:p w14:paraId="0C11FE3E" w14:textId="77777777" w:rsidR="00DA26B4" w:rsidRPr="00DA26B4" w:rsidRDefault="00DA26B4" w:rsidP="005409FD">
            <w:pPr>
              <w:spacing w:after="0" w:line="240" w:lineRule="auto"/>
              <w:jc w:val="center"/>
              <w:rPr>
                <w:rFonts w:ascii="Arial" w:eastAsia="Times New Roman" w:hAnsi="Arial" w:cs="Arial"/>
                <w:sz w:val="18"/>
                <w:szCs w:val="18"/>
                <w:lang w:eastAsia="pt-BR"/>
              </w:rPr>
            </w:pPr>
            <w:r w:rsidRPr="00DA26B4">
              <w:rPr>
                <w:rFonts w:ascii="Arial" w:eastAsia="Times New Roman" w:hAnsi="Arial" w:cs="Arial"/>
                <w:sz w:val="18"/>
                <w:szCs w:val="18"/>
                <w:lang w:eastAsia="pt-BR"/>
              </w:rPr>
              <w:t>DEMDFLT</w:t>
            </w:r>
          </w:p>
        </w:tc>
        <w:tc>
          <w:tcPr>
            <w:tcW w:w="6940" w:type="dxa"/>
            <w:shd w:val="clear" w:color="auto" w:fill="auto"/>
            <w:vAlign w:val="center"/>
          </w:tcPr>
          <w:p w14:paraId="29533DEF" w14:textId="20F679FB" w:rsidR="00DA26B4" w:rsidRPr="00DA26B4" w:rsidRDefault="00DA26B4" w:rsidP="00261F74">
            <w:pPr>
              <w:spacing w:before="120" w:after="120" w:line="240" w:lineRule="auto"/>
              <w:jc w:val="both"/>
              <w:rPr>
                <w:rFonts w:ascii="Arial" w:eastAsia="Times New Roman" w:hAnsi="Arial" w:cs="Arial"/>
                <w:sz w:val="18"/>
                <w:szCs w:val="18"/>
                <w:lang w:eastAsia="pt-BR"/>
              </w:rPr>
            </w:pPr>
            <w:r w:rsidRPr="00DA26B4">
              <w:rPr>
                <w:rFonts w:ascii="Arial" w:eastAsia="Times New Roman" w:hAnsi="Arial" w:cs="Arial"/>
                <w:sz w:val="18"/>
                <w:szCs w:val="18"/>
                <w:lang w:eastAsia="pt-BR"/>
              </w:rPr>
              <w:t xml:space="preserve">Demonstrativo da Dívida Flutuante (Anexo 17 Lei 4.320/1964), acompanhado de notas explicativas e outros quadros elucidativos que se fizerem necessários. (Artigo </w:t>
            </w:r>
            <w:r w:rsidRPr="00DA26B4">
              <w:rPr>
                <w:rFonts w:ascii="Arial" w:eastAsia="Times New Roman" w:hAnsi="Arial" w:cs="Arial"/>
                <w:sz w:val="18"/>
                <w:szCs w:val="18"/>
                <w:lang w:eastAsia="pt-BR"/>
              </w:rPr>
              <w:lastRenderedPageBreak/>
              <w:t xml:space="preserve">101 da Lei Federal nº 4.320/64). Estrutura e layout constantes do item </w:t>
            </w:r>
            <w:r w:rsidR="00261F74">
              <w:rPr>
                <w:rFonts w:ascii="Arial" w:eastAsia="Times New Roman" w:hAnsi="Arial" w:cs="Arial"/>
                <w:sz w:val="18"/>
                <w:szCs w:val="18"/>
                <w:lang w:eastAsia="pt-BR"/>
              </w:rPr>
              <w:t>3.1</w:t>
            </w:r>
            <w:r w:rsidRPr="00DA26B4">
              <w:rPr>
                <w:rFonts w:ascii="Arial" w:eastAsia="Times New Roman" w:hAnsi="Arial" w:cs="Arial"/>
                <w:sz w:val="18"/>
                <w:szCs w:val="18"/>
                <w:lang w:eastAsia="pt-BR"/>
              </w:rPr>
              <w:t xml:space="preserve"> deste Anexo.</w:t>
            </w:r>
          </w:p>
        </w:tc>
        <w:tc>
          <w:tcPr>
            <w:tcW w:w="992" w:type="dxa"/>
            <w:shd w:val="clear" w:color="auto" w:fill="auto"/>
            <w:vAlign w:val="center"/>
          </w:tcPr>
          <w:p w14:paraId="797BC723" w14:textId="77777777" w:rsidR="00DA26B4" w:rsidRPr="00DA26B4" w:rsidRDefault="00DA26B4" w:rsidP="005409FD">
            <w:pPr>
              <w:spacing w:after="0" w:line="240" w:lineRule="auto"/>
              <w:jc w:val="center"/>
              <w:rPr>
                <w:rFonts w:ascii="Arial" w:eastAsia="Times New Roman" w:hAnsi="Arial" w:cs="Arial"/>
                <w:sz w:val="14"/>
                <w:szCs w:val="14"/>
                <w:lang w:eastAsia="pt-BR"/>
              </w:rPr>
            </w:pPr>
            <w:r w:rsidRPr="00DA26B4">
              <w:rPr>
                <w:rFonts w:ascii="Arial" w:eastAsia="Times New Roman" w:hAnsi="Arial" w:cs="Arial"/>
                <w:sz w:val="14"/>
                <w:szCs w:val="14"/>
                <w:lang w:eastAsia="pt-BR"/>
              </w:rPr>
              <w:lastRenderedPageBreak/>
              <w:t>XML</w:t>
            </w:r>
          </w:p>
        </w:tc>
      </w:tr>
      <w:tr w:rsidR="00DA26B4" w:rsidRPr="00A5490A" w14:paraId="0AB396C0" w14:textId="77777777" w:rsidTr="00CB7C58">
        <w:tc>
          <w:tcPr>
            <w:tcW w:w="1248" w:type="dxa"/>
            <w:vAlign w:val="center"/>
          </w:tcPr>
          <w:p w14:paraId="6370BA65" w14:textId="77777777" w:rsidR="00DA26B4" w:rsidRPr="00A5490A" w:rsidRDefault="00DA26B4" w:rsidP="00A5490A">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lastRenderedPageBreak/>
              <w:t>DEMFCA</w:t>
            </w:r>
          </w:p>
        </w:tc>
        <w:tc>
          <w:tcPr>
            <w:tcW w:w="6940" w:type="dxa"/>
            <w:shd w:val="clear" w:color="auto" w:fill="auto"/>
            <w:vAlign w:val="center"/>
          </w:tcPr>
          <w:p w14:paraId="76AB8F34" w14:textId="77777777" w:rsidR="00DA26B4" w:rsidRPr="00A5490A" w:rsidRDefault="00DA26B4" w:rsidP="002E23D6">
            <w:p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Demonstração dos Fluxos de Caixa – DFC (Parte V do Manual de Contabilidade Aplicado ao Setor Público – MCASP)</w:t>
            </w:r>
            <w:r>
              <w:rPr>
                <w:rFonts w:ascii="Arial" w:eastAsia="Times New Roman" w:hAnsi="Arial" w:cs="Arial"/>
                <w:sz w:val="18"/>
                <w:szCs w:val="18"/>
                <w:lang w:eastAsia="pt-BR"/>
              </w:rPr>
              <w:t xml:space="preserve">, </w:t>
            </w:r>
            <w:r w:rsidRPr="00A5490A">
              <w:rPr>
                <w:rFonts w:ascii="Arial" w:eastAsia="Times New Roman" w:hAnsi="Arial" w:cs="Arial"/>
                <w:sz w:val="18"/>
                <w:szCs w:val="18"/>
                <w:lang w:eastAsia="pt-BR"/>
              </w:rPr>
              <w:t>acompanhad</w:t>
            </w:r>
            <w:r>
              <w:rPr>
                <w:rFonts w:ascii="Arial" w:eastAsia="Times New Roman" w:hAnsi="Arial" w:cs="Arial"/>
                <w:sz w:val="18"/>
                <w:szCs w:val="18"/>
                <w:lang w:eastAsia="pt-BR"/>
              </w:rPr>
              <w:t>a</w:t>
            </w:r>
            <w:r w:rsidRPr="00A5490A">
              <w:rPr>
                <w:rFonts w:ascii="Arial" w:eastAsia="Times New Roman" w:hAnsi="Arial" w:cs="Arial"/>
                <w:sz w:val="18"/>
                <w:szCs w:val="18"/>
                <w:lang w:eastAsia="pt-BR"/>
              </w:rPr>
              <w:t xml:space="preserve"> de notas explicativas e outros quadros elucidativos que se fizerem necessários. (Resolução CFC nº 1.1</w:t>
            </w:r>
            <w:r>
              <w:rPr>
                <w:rFonts w:ascii="Arial" w:eastAsia="Times New Roman" w:hAnsi="Arial" w:cs="Arial"/>
                <w:sz w:val="18"/>
                <w:szCs w:val="18"/>
                <w:lang w:eastAsia="pt-BR"/>
              </w:rPr>
              <w:t>33</w:t>
            </w:r>
            <w:r w:rsidRPr="00A5490A">
              <w:rPr>
                <w:rFonts w:ascii="Arial" w:eastAsia="Times New Roman" w:hAnsi="Arial" w:cs="Arial"/>
                <w:sz w:val="18"/>
                <w:szCs w:val="18"/>
                <w:lang w:eastAsia="pt-BR"/>
              </w:rPr>
              <w:t>/2008 - NBC T 16</w:t>
            </w:r>
            <w:r>
              <w:rPr>
                <w:rFonts w:ascii="Arial" w:eastAsia="Times New Roman" w:hAnsi="Arial" w:cs="Arial"/>
                <w:sz w:val="18"/>
                <w:szCs w:val="18"/>
                <w:lang w:eastAsia="pt-BR"/>
              </w:rPr>
              <w:t>.6</w:t>
            </w:r>
            <w:r w:rsidRPr="00A5490A">
              <w:rPr>
                <w:rFonts w:ascii="Arial" w:eastAsia="Times New Roman" w:hAnsi="Arial" w:cs="Arial"/>
                <w:sz w:val="18"/>
                <w:szCs w:val="18"/>
                <w:lang w:eastAsia="pt-BR"/>
              </w:rPr>
              <w:t xml:space="preserve"> c/c Portaria STN nº 7</w:t>
            </w:r>
            <w:r>
              <w:rPr>
                <w:rFonts w:ascii="Arial" w:eastAsia="Times New Roman" w:hAnsi="Arial" w:cs="Arial"/>
                <w:sz w:val="18"/>
                <w:szCs w:val="18"/>
                <w:lang w:eastAsia="pt-BR"/>
              </w:rPr>
              <w:t>00</w:t>
            </w:r>
            <w:r w:rsidRPr="00A5490A">
              <w:rPr>
                <w:rFonts w:ascii="Arial" w:eastAsia="Times New Roman" w:hAnsi="Arial" w:cs="Arial"/>
                <w:sz w:val="18"/>
                <w:szCs w:val="18"/>
                <w:lang w:eastAsia="pt-BR"/>
              </w:rPr>
              <w:t>/201</w:t>
            </w:r>
            <w:r>
              <w:rPr>
                <w:rFonts w:ascii="Arial" w:eastAsia="Times New Roman" w:hAnsi="Arial" w:cs="Arial"/>
                <w:sz w:val="18"/>
                <w:szCs w:val="18"/>
                <w:lang w:eastAsia="pt-BR"/>
              </w:rPr>
              <w:t>4</w:t>
            </w:r>
            <w:r w:rsidRPr="00A5490A">
              <w:rPr>
                <w:rFonts w:ascii="Arial" w:eastAsia="Times New Roman" w:hAnsi="Arial" w:cs="Arial"/>
                <w:sz w:val="18"/>
                <w:szCs w:val="18"/>
                <w:lang w:eastAsia="pt-BR"/>
              </w:rPr>
              <w:t>)</w:t>
            </w:r>
          </w:p>
        </w:tc>
        <w:tc>
          <w:tcPr>
            <w:tcW w:w="992" w:type="dxa"/>
            <w:shd w:val="clear" w:color="auto" w:fill="auto"/>
            <w:vAlign w:val="center"/>
          </w:tcPr>
          <w:p w14:paraId="2EA1A7EA" w14:textId="77777777" w:rsidR="00DA26B4" w:rsidRPr="00A5490A" w:rsidRDefault="00532985" w:rsidP="00A5490A">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DA26B4" w:rsidRPr="00A5490A" w14:paraId="6D660C49" w14:textId="77777777" w:rsidTr="00CB7C58">
        <w:tc>
          <w:tcPr>
            <w:tcW w:w="1248" w:type="dxa"/>
            <w:vAlign w:val="center"/>
          </w:tcPr>
          <w:p w14:paraId="26AAF5F4" w14:textId="77777777" w:rsidR="00DA26B4" w:rsidRPr="00B6188E" w:rsidRDefault="00DA26B4" w:rsidP="00B83623">
            <w:pPr>
              <w:spacing w:after="0" w:line="240" w:lineRule="auto"/>
              <w:jc w:val="center"/>
              <w:rPr>
                <w:rFonts w:ascii="Arial" w:eastAsia="Times New Roman" w:hAnsi="Arial" w:cs="Arial"/>
                <w:sz w:val="18"/>
                <w:szCs w:val="18"/>
                <w:lang w:eastAsia="pt-BR"/>
              </w:rPr>
            </w:pPr>
            <w:r w:rsidRPr="00B6188E">
              <w:rPr>
                <w:rFonts w:ascii="Arial" w:eastAsia="Times New Roman" w:hAnsi="Arial" w:cs="Arial"/>
                <w:sz w:val="18"/>
                <w:szCs w:val="18"/>
                <w:lang w:eastAsia="pt-BR"/>
              </w:rPr>
              <w:t>DEMCAD</w:t>
            </w:r>
          </w:p>
        </w:tc>
        <w:tc>
          <w:tcPr>
            <w:tcW w:w="6940" w:type="dxa"/>
            <w:shd w:val="clear" w:color="auto" w:fill="auto"/>
            <w:vAlign w:val="center"/>
          </w:tcPr>
          <w:p w14:paraId="07AA5FF2" w14:textId="48B2FED8" w:rsidR="00DA26B4" w:rsidRPr="00B6188E" w:rsidRDefault="00DA26B4" w:rsidP="00261F74">
            <w:pPr>
              <w:spacing w:before="120" w:after="120" w:line="240" w:lineRule="auto"/>
              <w:jc w:val="both"/>
              <w:rPr>
                <w:rFonts w:ascii="Arial" w:eastAsia="Times New Roman" w:hAnsi="Arial" w:cs="Arial"/>
                <w:sz w:val="18"/>
                <w:szCs w:val="18"/>
                <w:lang w:eastAsia="pt-BR"/>
              </w:rPr>
            </w:pPr>
            <w:r w:rsidRPr="00B6188E">
              <w:rPr>
                <w:rFonts w:ascii="Arial" w:eastAsia="Times New Roman" w:hAnsi="Arial" w:cs="Arial"/>
                <w:sz w:val="18"/>
                <w:szCs w:val="18"/>
                <w:lang w:eastAsia="pt-BR"/>
              </w:rPr>
              <w:t xml:space="preserve">Demonstrativo dos créditos adicionais contendo informações sobre os créditos abertos no exercício, conforme layout constante do </w:t>
            </w:r>
            <w:r>
              <w:rPr>
                <w:rFonts w:ascii="Arial" w:eastAsia="Times New Roman" w:hAnsi="Arial" w:cs="Arial"/>
                <w:sz w:val="18"/>
                <w:szCs w:val="18"/>
                <w:lang w:eastAsia="pt-BR"/>
              </w:rPr>
              <w:t xml:space="preserve">item </w:t>
            </w:r>
            <w:r w:rsidR="00261F74">
              <w:rPr>
                <w:rFonts w:ascii="Arial" w:eastAsia="Times New Roman" w:hAnsi="Arial" w:cs="Arial"/>
                <w:sz w:val="18"/>
                <w:szCs w:val="18"/>
                <w:lang w:eastAsia="pt-BR"/>
              </w:rPr>
              <w:t>3.1</w:t>
            </w:r>
            <w:r>
              <w:rPr>
                <w:rFonts w:ascii="Arial" w:eastAsia="Times New Roman" w:hAnsi="Arial" w:cs="Arial"/>
                <w:sz w:val="18"/>
                <w:szCs w:val="18"/>
                <w:lang w:eastAsia="pt-BR"/>
              </w:rPr>
              <w:t xml:space="preserve"> deste </w:t>
            </w:r>
            <w:r w:rsidRPr="00B6188E">
              <w:rPr>
                <w:rFonts w:ascii="Arial" w:eastAsia="Times New Roman" w:hAnsi="Arial" w:cs="Arial"/>
                <w:sz w:val="18"/>
                <w:szCs w:val="18"/>
                <w:lang w:eastAsia="pt-BR"/>
              </w:rPr>
              <w:t>Anexo.</w:t>
            </w:r>
          </w:p>
        </w:tc>
        <w:tc>
          <w:tcPr>
            <w:tcW w:w="992" w:type="dxa"/>
            <w:shd w:val="clear" w:color="auto" w:fill="auto"/>
            <w:vAlign w:val="center"/>
          </w:tcPr>
          <w:p w14:paraId="2E2F7346" w14:textId="77777777" w:rsidR="00DA26B4" w:rsidRPr="00B6188E" w:rsidRDefault="00DA26B4" w:rsidP="006830F5">
            <w:pPr>
              <w:spacing w:after="0" w:line="240" w:lineRule="auto"/>
              <w:jc w:val="center"/>
              <w:rPr>
                <w:rFonts w:ascii="Arial" w:eastAsia="Times New Roman" w:hAnsi="Arial" w:cs="Arial"/>
                <w:sz w:val="14"/>
                <w:szCs w:val="14"/>
                <w:lang w:eastAsia="pt-BR"/>
              </w:rPr>
            </w:pPr>
            <w:r w:rsidRPr="00B6188E">
              <w:rPr>
                <w:rFonts w:ascii="Arial" w:eastAsia="Times New Roman" w:hAnsi="Arial" w:cs="Arial"/>
                <w:sz w:val="14"/>
                <w:szCs w:val="14"/>
                <w:lang w:eastAsia="pt-BR"/>
              </w:rPr>
              <w:t>XML</w:t>
            </w:r>
          </w:p>
        </w:tc>
      </w:tr>
      <w:tr w:rsidR="00DA26B4" w:rsidRPr="00A5490A" w14:paraId="0FC69320" w14:textId="77777777" w:rsidTr="00CB7C58">
        <w:tc>
          <w:tcPr>
            <w:tcW w:w="1248" w:type="dxa"/>
            <w:vAlign w:val="center"/>
          </w:tcPr>
          <w:p w14:paraId="7EF22DC6" w14:textId="77777777" w:rsidR="00DA26B4" w:rsidRPr="00B6188E" w:rsidRDefault="00DA26B4" w:rsidP="00A5490A">
            <w:pPr>
              <w:spacing w:after="0" w:line="240" w:lineRule="auto"/>
              <w:jc w:val="center"/>
              <w:rPr>
                <w:rFonts w:ascii="Arial" w:eastAsia="Times New Roman" w:hAnsi="Arial" w:cs="Arial"/>
                <w:sz w:val="18"/>
                <w:szCs w:val="18"/>
                <w:lang w:eastAsia="pt-BR"/>
              </w:rPr>
            </w:pPr>
            <w:r w:rsidRPr="00B6188E">
              <w:rPr>
                <w:rFonts w:ascii="Arial" w:eastAsia="Times New Roman" w:hAnsi="Arial" w:cs="Arial"/>
                <w:sz w:val="18"/>
                <w:szCs w:val="18"/>
                <w:lang w:eastAsia="pt-BR"/>
              </w:rPr>
              <w:t>INVMOV</w:t>
            </w:r>
          </w:p>
        </w:tc>
        <w:tc>
          <w:tcPr>
            <w:tcW w:w="6940" w:type="dxa"/>
            <w:shd w:val="clear" w:color="auto" w:fill="auto"/>
            <w:vAlign w:val="center"/>
          </w:tcPr>
          <w:p w14:paraId="2BD2FC71" w14:textId="465D9982" w:rsidR="00DA26B4" w:rsidRPr="00B6188E" w:rsidRDefault="00DA26B4" w:rsidP="00261F74">
            <w:pPr>
              <w:pStyle w:val="Default"/>
              <w:spacing w:before="120" w:after="120"/>
              <w:jc w:val="both"/>
              <w:rPr>
                <w:rFonts w:eastAsia="Times New Roman"/>
                <w:color w:val="auto"/>
                <w:sz w:val="18"/>
                <w:szCs w:val="18"/>
                <w:lang w:eastAsia="pt-BR"/>
              </w:rPr>
            </w:pPr>
            <w:r w:rsidRPr="00B6188E">
              <w:rPr>
                <w:rFonts w:eastAsia="Times New Roman"/>
                <w:color w:val="auto"/>
                <w:sz w:val="18"/>
                <w:szCs w:val="18"/>
                <w:lang w:eastAsia="pt-BR"/>
              </w:rPr>
              <w:t xml:space="preserve">Inventário anual dos bens móveis, conforme layout constante </w:t>
            </w:r>
            <w:r w:rsidRPr="00B6188E">
              <w:rPr>
                <w:rFonts w:eastAsia="Times New Roman"/>
                <w:sz w:val="18"/>
                <w:szCs w:val="18"/>
                <w:lang w:eastAsia="pt-BR"/>
              </w:rPr>
              <w:t xml:space="preserve">do </w:t>
            </w:r>
            <w:r>
              <w:rPr>
                <w:rFonts w:eastAsia="Times New Roman"/>
                <w:sz w:val="18"/>
                <w:szCs w:val="18"/>
                <w:lang w:eastAsia="pt-BR"/>
              </w:rPr>
              <w:t xml:space="preserve">item </w:t>
            </w:r>
            <w:r w:rsidR="00261F74">
              <w:rPr>
                <w:rFonts w:eastAsia="Times New Roman"/>
                <w:sz w:val="18"/>
                <w:szCs w:val="18"/>
                <w:lang w:eastAsia="pt-BR"/>
              </w:rPr>
              <w:t>3.1</w:t>
            </w:r>
            <w:r>
              <w:rPr>
                <w:rFonts w:eastAsia="Times New Roman"/>
                <w:sz w:val="18"/>
                <w:szCs w:val="18"/>
                <w:lang w:eastAsia="pt-BR"/>
              </w:rPr>
              <w:t xml:space="preserve"> deste </w:t>
            </w:r>
            <w:r w:rsidRPr="00B6188E">
              <w:rPr>
                <w:rFonts w:eastAsia="Times New Roman"/>
                <w:sz w:val="18"/>
                <w:szCs w:val="18"/>
                <w:lang w:eastAsia="pt-BR"/>
              </w:rPr>
              <w:t>Anexo.</w:t>
            </w:r>
          </w:p>
        </w:tc>
        <w:tc>
          <w:tcPr>
            <w:tcW w:w="992" w:type="dxa"/>
            <w:shd w:val="clear" w:color="auto" w:fill="auto"/>
            <w:vAlign w:val="center"/>
          </w:tcPr>
          <w:p w14:paraId="582B4A19" w14:textId="77777777" w:rsidR="00DA26B4" w:rsidRPr="00B6188E" w:rsidRDefault="00DA26B4" w:rsidP="0044337A">
            <w:pPr>
              <w:spacing w:after="0" w:line="240" w:lineRule="auto"/>
              <w:jc w:val="center"/>
              <w:rPr>
                <w:rFonts w:ascii="Arial" w:eastAsia="Times New Roman" w:hAnsi="Arial" w:cs="Arial"/>
                <w:sz w:val="14"/>
                <w:szCs w:val="14"/>
                <w:lang w:eastAsia="pt-BR"/>
              </w:rPr>
            </w:pPr>
            <w:r w:rsidRPr="00B6188E">
              <w:rPr>
                <w:rFonts w:ascii="Arial" w:eastAsia="Times New Roman" w:hAnsi="Arial" w:cs="Arial"/>
                <w:sz w:val="14"/>
                <w:szCs w:val="14"/>
                <w:lang w:eastAsia="pt-BR"/>
              </w:rPr>
              <w:t>XML</w:t>
            </w:r>
          </w:p>
        </w:tc>
      </w:tr>
      <w:tr w:rsidR="00BB5923" w:rsidRPr="00BB5923" w14:paraId="5EAD4D54" w14:textId="77777777" w:rsidTr="00CB7C58">
        <w:tc>
          <w:tcPr>
            <w:tcW w:w="1248" w:type="dxa"/>
            <w:vAlign w:val="center"/>
          </w:tcPr>
          <w:p w14:paraId="154E8737" w14:textId="4CC53AD9" w:rsidR="00BB5923" w:rsidRPr="00BB5923" w:rsidRDefault="00BB5923" w:rsidP="00BB5923">
            <w:pPr>
              <w:spacing w:after="0" w:line="240" w:lineRule="auto"/>
              <w:jc w:val="center"/>
              <w:rPr>
                <w:rFonts w:ascii="Arial" w:eastAsia="Times New Roman" w:hAnsi="Arial" w:cs="Arial"/>
                <w:sz w:val="18"/>
                <w:szCs w:val="18"/>
                <w:lang w:eastAsia="pt-BR"/>
              </w:rPr>
            </w:pPr>
            <w:r w:rsidRPr="00BB5923">
              <w:rPr>
                <w:rFonts w:ascii="Arial" w:eastAsia="Times New Roman" w:hAnsi="Arial" w:cs="Arial"/>
                <w:sz w:val="18"/>
                <w:szCs w:val="18"/>
                <w:lang w:eastAsia="pt-BR"/>
              </w:rPr>
              <w:t>RGF</w:t>
            </w:r>
          </w:p>
        </w:tc>
        <w:tc>
          <w:tcPr>
            <w:tcW w:w="6940" w:type="dxa"/>
            <w:shd w:val="clear" w:color="auto" w:fill="auto"/>
            <w:vAlign w:val="center"/>
          </w:tcPr>
          <w:p w14:paraId="00A5F485" w14:textId="456F6B93" w:rsidR="00BB5923" w:rsidRPr="00BB5923" w:rsidRDefault="00BB5923" w:rsidP="00BB5923">
            <w:pPr>
              <w:pStyle w:val="Default"/>
              <w:spacing w:before="120" w:after="120"/>
              <w:jc w:val="both"/>
              <w:rPr>
                <w:rFonts w:eastAsia="Times New Roman"/>
                <w:color w:val="auto"/>
                <w:sz w:val="18"/>
                <w:szCs w:val="18"/>
                <w:lang w:eastAsia="pt-BR"/>
              </w:rPr>
            </w:pPr>
            <w:r w:rsidRPr="00BB5923">
              <w:rPr>
                <w:rFonts w:eastAsia="Times New Roman"/>
                <w:color w:val="auto"/>
                <w:sz w:val="18"/>
                <w:szCs w:val="18"/>
                <w:lang w:eastAsia="pt-BR"/>
              </w:rPr>
              <w:t>Relatórios de Gestão Fiscal, gerados a partir das remessas da prestação de contas mensal e homologados na PCA.</w:t>
            </w:r>
          </w:p>
        </w:tc>
        <w:tc>
          <w:tcPr>
            <w:tcW w:w="992" w:type="dxa"/>
            <w:shd w:val="clear" w:color="auto" w:fill="auto"/>
            <w:vAlign w:val="center"/>
          </w:tcPr>
          <w:p w14:paraId="79A233E2" w14:textId="5E7ED0F3" w:rsidR="00BB5923" w:rsidRPr="00BB5923" w:rsidRDefault="00BB5923" w:rsidP="00BB5923">
            <w:pPr>
              <w:spacing w:after="0" w:line="240" w:lineRule="auto"/>
              <w:jc w:val="center"/>
              <w:rPr>
                <w:rFonts w:ascii="Arial" w:eastAsia="Times New Roman" w:hAnsi="Arial" w:cs="Arial"/>
                <w:sz w:val="14"/>
                <w:szCs w:val="14"/>
                <w:lang w:eastAsia="pt-BR"/>
              </w:rPr>
            </w:pPr>
            <w:r w:rsidRPr="00BB5923">
              <w:rPr>
                <w:rFonts w:ascii="Arial" w:eastAsia="Times New Roman" w:hAnsi="Arial" w:cs="Arial"/>
                <w:sz w:val="14"/>
                <w:szCs w:val="14"/>
                <w:lang w:eastAsia="pt-BR"/>
              </w:rPr>
              <w:t>-</w:t>
            </w:r>
          </w:p>
        </w:tc>
      </w:tr>
      <w:tr w:rsidR="00DA26B4" w:rsidRPr="004C543E" w14:paraId="2D43598F" w14:textId="77777777" w:rsidTr="00CB7C58">
        <w:tc>
          <w:tcPr>
            <w:tcW w:w="1248" w:type="dxa"/>
            <w:tcBorders>
              <w:top w:val="single" w:sz="4" w:space="0" w:color="auto"/>
              <w:left w:val="single" w:sz="4" w:space="0" w:color="auto"/>
              <w:bottom w:val="single" w:sz="4" w:space="0" w:color="auto"/>
              <w:right w:val="single" w:sz="4" w:space="0" w:color="auto"/>
            </w:tcBorders>
            <w:vAlign w:val="center"/>
          </w:tcPr>
          <w:p w14:paraId="5006F7A2" w14:textId="77777777" w:rsidR="00DA26B4" w:rsidRPr="00B6188E" w:rsidRDefault="00DA26B4" w:rsidP="00B6188E">
            <w:pPr>
              <w:spacing w:after="0" w:line="240" w:lineRule="auto"/>
              <w:jc w:val="center"/>
              <w:rPr>
                <w:rFonts w:ascii="Arial" w:eastAsia="Times New Roman" w:hAnsi="Arial" w:cs="Arial"/>
                <w:sz w:val="18"/>
                <w:szCs w:val="18"/>
                <w:lang w:eastAsia="pt-BR"/>
              </w:rPr>
            </w:pPr>
            <w:r w:rsidRPr="00B6188E">
              <w:rPr>
                <w:rFonts w:ascii="Arial" w:eastAsia="Times New Roman" w:hAnsi="Arial" w:cs="Arial"/>
                <w:sz w:val="18"/>
                <w:szCs w:val="18"/>
                <w:lang w:eastAsia="pt-BR"/>
              </w:rPr>
              <w:t>TERMOV</w:t>
            </w:r>
          </w:p>
        </w:tc>
        <w:tc>
          <w:tcPr>
            <w:tcW w:w="6940" w:type="dxa"/>
            <w:tcBorders>
              <w:top w:val="single" w:sz="4" w:space="0" w:color="auto"/>
              <w:left w:val="single" w:sz="4" w:space="0" w:color="auto"/>
              <w:bottom w:val="single" w:sz="4" w:space="0" w:color="auto"/>
              <w:right w:val="single" w:sz="4" w:space="0" w:color="auto"/>
            </w:tcBorders>
            <w:shd w:val="clear" w:color="auto" w:fill="auto"/>
            <w:vAlign w:val="center"/>
          </w:tcPr>
          <w:p w14:paraId="3656E6DB" w14:textId="7DCC9919" w:rsidR="00DA26B4" w:rsidRPr="00BB5923" w:rsidRDefault="00DA26B4" w:rsidP="00BB5923">
            <w:pPr>
              <w:pStyle w:val="Default"/>
              <w:jc w:val="both"/>
              <w:rPr>
                <w:rFonts w:eastAsia="Times New Roman"/>
                <w:color w:val="auto"/>
                <w:sz w:val="18"/>
                <w:szCs w:val="18"/>
                <w:lang w:eastAsia="pt-BR"/>
              </w:rPr>
            </w:pPr>
            <w:r w:rsidRPr="00BB5923">
              <w:rPr>
                <w:rFonts w:eastAsia="Times New Roman"/>
                <w:color w:val="auto"/>
                <w:sz w:val="18"/>
                <w:szCs w:val="18"/>
                <w:lang w:eastAsia="pt-BR"/>
              </w:rPr>
              <w:t>Termo circunstanciado elaborado e assinado pela comissão responsável pelo Inventário Anual de Bens Móveis (INVMOV), indicando o saldo total apurado e o detalhamento (especificação e valor) das divergências encontradas</w:t>
            </w:r>
            <w:r w:rsidR="00BB5923" w:rsidRPr="00BB5923">
              <w:rPr>
                <w:rFonts w:eastAsia="Times New Roman"/>
                <w:color w:val="auto"/>
                <w:sz w:val="18"/>
                <w:szCs w:val="18"/>
                <w:lang w:eastAsia="pt-BR"/>
              </w:rPr>
              <w:t>, na forma do item 3.2 deste Anexo</w:t>
            </w:r>
            <w:r w:rsidR="00B24335" w:rsidRPr="00BB5923">
              <w:rPr>
                <w:rFonts w:eastAsia="Times New Roman"/>
                <w:color w:val="auto"/>
                <w:sz w:val="18"/>
                <w:szCs w:val="18"/>
                <w:lang w:eastAsia="pt-BR"/>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EE333B4" w14:textId="77777777" w:rsidR="00DA26B4" w:rsidRPr="00B6188E" w:rsidRDefault="00532985" w:rsidP="004C543E">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DA26B4" w:rsidRPr="00A5490A" w14:paraId="3B232CFB" w14:textId="77777777" w:rsidTr="00CB7C58">
        <w:tc>
          <w:tcPr>
            <w:tcW w:w="1248" w:type="dxa"/>
            <w:vAlign w:val="center"/>
          </w:tcPr>
          <w:p w14:paraId="4641B4F0" w14:textId="77777777" w:rsidR="00DA26B4" w:rsidRPr="00B6188E" w:rsidRDefault="00DA26B4" w:rsidP="00A5490A">
            <w:pPr>
              <w:spacing w:after="0" w:line="240" w:lineRule="auto"/>
              <w:jc w:val="center"/>
              <w:rPr>
                <w:rFonts w:ascii="Arial" w:eastAsia="Times New Roman" w:hAnsi="Arial" w:cs="Arial"/>
                <w:sz w:val="18"/>
                <w:szCs w:val="18"/>
                <w:lang w:eastAsia="pt-BR"/>
              </w:rPr>
            </w:pPr>
            <w:r w:rsidRPr="00B6188E">
              <w:rPr>
                <w:rFonts w:ascii="Arial" w:eastAsia="Times New Roman" w:hAnsi="Arial" w:cs="Arial"/>
                <w:sz w:val="18"/>
                <w:szCs w:val="18"/>
                <w:lang w:eastAsia="pt-BR"/>
              </w:rPr>
              <w:t>INVIMO</w:t>
            </w:r>
          </w:p>
        </w:tc>
        <w:tc>
          <w:tcPr>
            <w:tcW w:w="6940" w:type="dxa"/>
            <w:shd w:val="clear" w:color="auto" w:fill="auto"/>
            <w:vAlign w:val="center"/>
          </w:tcPr>
          <w:p w14:paraId="61C73759" w14:textId="0BB77A1F" w:rsidR="00DA26B4" w:rsidRPr="00B6188E" w:rsidRDefault="00DA26B4" w:rsidP="00261F74">
            <w:pPr>
              <w:spacing w:before="120" w:after="120" w:line="240" w:lineRule="auto"/>
              <w:jc w:val="both"/>
              <w:rPr>
                <w:rFonts w:eastAsia="Times New Roman"/>
                <w:sz w:val="18"/>
                <w:szCs w:val="18"/>
                <w:lang w:eastAsia="pt-BR"/>
              </w:rPr>
            </w:pPr>
            <w:r w:rsidRPr="00B6188E">
              <w:rPr>
                <w:rFonts w:ascii="Arial" w:eastAsia="Times New Roman" w:hAnsi="Arial" w:cs="Arial"/>
                <w:sz w:val="18"/>
                <w:szCs w:val="18"/>
                <w:lang w:eastAsia="pt-BR"/>
              </w:rPr>
              <w:t xml:space="preserve">Inventário anual dos bens imóveis, conforme layout constante do </w:t>
            </w:r>
            <w:r>
              <w:rPr>
                <w:rFonts w:ascii="Arial" w:eastAsia="Times New Roman" w:hAnsi="Arial" w:cs="Arial"/>
                <w:sz w:val="18"/>
                <w:szCs w:val="18"/>
                <w:lang w:eastAsia="pt-BR"/>
              </w:rPr>
              <w:t xml:space="preserve">item </w:t>
            </w:r>
            <w:r w:rsidR="00261F74">
              <w:rPr>
                <w:rFonts w:ascii="Arial" w:eastAsia="Times New Roman" w:hAnsi="Arial" w:cs="Arial"/>
                <w:sz w:val="18"/>
                <w:szCs w:val="18"/>
                <w:lang w:eastAsia="pt-BR"/>
              </w:rPr>
              <w:t>3.1</w:t>
            </w:r>
            <w:r>
              <w:rPr>
                <w:rFonts w:ascii="Arial" w:eastAsia="Times New Roman" w:hAnsi="Arial" w:cs="Arial"/>
                <w:sz w:val="18"/>
                <w:szCs w:val="18"/>
                <w:lang w:eastAsia="pt-BR"/>
              </w:rPr>
              <w:t xml:space="preserve"> deste </w:t>
            </w:r>
            <w:r w:rsidRPr="00B6188E">
              <w:rPr>
                <w:rFonts w:ascii="Arial" w:eastAsia="Times New Roman" w:hAnsi="Arial" w:cs="Arial"/>
                <w:sz w:val="18"/>
                <w:szCs w:val="18"/>
                <w:lang w:eastAsia="pt-BR"/>
              </w:rPr>
              <w:t>Anexo.</w:t>
            </w:r>
          </w:p>
        </w:tc>
        <w:tc>
          <w:tcPr>
            <w:tcW w:w="992" w:type="dxa"/>
            <w:shd w:val="clear" w:color="auto" w:fill="auto"/>
            <w:vAlign w:val="center"/>
          </w:tcPr>
          <w:p w14:paraId="32A33B35" w14:textId="77777777" w:rsidR="00DA26B4" w:rsidRPr="00B6188E" w:rsidRDefault="00DA26B4" w:rsidP="0044337A">
            <w:pPr>
              <w:spacing w:after="0" w:line="240" w:lineRule="auto"/>
              <w:jc w:val="center"/>
              <w:rPr>
                <w:rFonts w:ascii="Arial" w:eastAsia="Times New Roman" w:hAnsi="Arial" w:cs="Arial"/>
                <w:sz w:val="14"/>
                <w:szCs w:val="14"/>
                <w:lang w:eastAsia="pt-BR"/>
              </w:rPr>
            </w:pPr>
            <w:r w:rsidRPr="00B6188E">
              <w:rPr>
                <w:rFonts w:ascii="Arial" w:eastAsia="Times New Roman" w:hAnsi="Arial" w:cs="Arial"/>
                <w:sz w:val="14"/>
                <w:szCs w:val="14"/>
                <w:lang w:eastAsia="pt-BR"/>
              </w:rPr>
              <w:t>XML</w:t>
            </w:r>
          </w:p>
        </w:tc>
      </w:tr>
      <w:tr w:rsidR="00BB5923" w:rsidRPr="00BB5923" w14:paraId="1B832AB8" w14:textId="77777777" w:rsidTr="00CB7C58">
        <w:tc>
          <w:tcPr>
            <w:tcW w:w="1248" w:type="dxa"/>
            <w:tcBorders>
              <w:top w:val="single" w:sz="4" w:space="0" w:color="auto"/>
              <w:left w:val="single" w:sz="4" w:space="0" w:color="auto"/>
              <w:bottom w:val="single" w:sz="4" w:space="0" w:color="auto"/>
              <w:right w:val="single" w:sz="4" w:space="0" w:color="auto"/>
            </w:tcBorders>
            <w:vAlign w:val="center"/>
          </w:tcPr>
          <w:p w14:paraId="4F817306" w14:textId="77777777" w:rsidR="00DA26B4" w:rsidRPr="00BB5923" w:rsidRDefault="00DA26B4" w:rsidP="00B6188E">
            <w:pPr>
              <w:spacing w:after="0" w:line="240" w:lineRule="auto"/>
              <w:jc w:val="center"/>
              <w:rPr>
                <w:rFonts w:ascii="Arial" w:eastAsia="Times New Roman" w:hAnsi="Arial" w:cs="Arial"/>
                <w:sz w:val="18"/>
                <w:szCs w:val="18"/>
                <w:lang w:eastAsia="pt-BR"/>
              </w:rPr>
            </w:pPr>
            <w:r w:rsidRPr="00BB5923">
              <w:rPr>
                <w:rFonts w:ascii="Arial" w:eastAsia="Times New Roman" w:hAnsi="Arial" w:cs="Arial"/>
                <w:sz w:val="18"/>
                <w:szCs w:val="18"/>
                <w:lang w:eastAsia="pt-BR"/>
              </w:rPr>
              <w:t>TERIMO</w:t>
            </w:r>
          </w:p>
        </w:tc>
        <w:tc>
          <w:tcPr>
            <w:tcW w:w="6940" w:type="dxa"/>
            <w:tcBorders>
              <w:top w:val="single" w:sz="4" w:space="0" w:color="auto"/>
              <w:left w:val="single" w:sz="4" w:space="0" w:color="auto"/>
              <w:bottom w:val="single" w:sz="4" w:space="0" w:color="auto"/>
              <w:right w:val="single" w:sz="4" w:space="0" w:color="auto"/>
            </w:tcBorders>
            <w:shd w:val="clear" w:color="auto" w:fill="auto"/>
            <w:vAlign w:val="center"/>
          </w:tcPr>
          <w:p w14:paraId="34267EDA" w14:textId="216DC5AC" w:rsidR="00DA26B4" w:rsidRPr="00BB5923" w:rsidRDefault="00DA26B4" w:rsidP="00BB5923">
            <w:pPr>
              <w:spacing w:before="120" w:after="120" w:line="240" w:lineRule="auto"/>
              <w:jc w:val="both"/>
              <w:rPr>
                <w:rFonts w:ascii="Arial" w:eastAsia="Times New Roman" w:hAnsi="Arial" w:cs="Arial"/>
                <w:sz w:val="18"/>
                <w:szCs w:val="18"/>
                <w:lang w:eastAsia="pt-BR"/>
              </w:rPr>
            </w:pPr>
            <w:r w:rsidRPr="00BB5923">
              <w:rPr>
                <w:rFonts w:ascii="Arial" w:eastAsia="Times New Roman" w:hAnsi="Arial" w:cs="Arial"/>
                <w:sz w:val="18"/>
                <w:szCs w:val="18"/>
                <w:lang w:eastAsia="pt-BR"/>
              </w:rPr>
              <w:t>Termo circunstanciado elaborado e assinado pela comissão responsável pelo Inventário anual dos bens imóveis (INVIMO), indicando o saldo total apurado e o detalhamento (especificação e valor) das divergências encontradas</w:t>
            </w:r>
            <w:r w:rsidR="00BB5923" w:rsidRPr="00BB5923">
              <w:rPr>
                <w:rFonts w:ascii="Arial" w:eastAsia="Times New Roman" w:hAnsi="Arial" w:cs="Arial"/>
                <w:sz w:val="18"/>
                <w:szCs w:val="18"/>
                <w:lang w:eastAsia="pt-BR"/>
              </w:rPr>
              <w:t>, na forma do item 3.2 deste Anexo</w:t>
            </w:r>
            <w:r w:rsidR="00B24335" w:rsidRPr="00BB5923">
              <w:rPr>
                <w:rFonts w:ascii="Arial" w:eastAsia="Times New Roman" w:hAnsi="Arial" w:cs="Arial"/>
                <w:sz w:val="18"/>
                <w:szCs w:val="18"/>
                <w:lang w:eastAsia="pt-BR"/>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3DD4A96" w14:textId="77777777" w:rsidR="00DA26B4" w:rsidRPr="00BB5923" w:rsidRDefault="00532985" w:rsidP="004C543E">
            <w:pPr>
              <w:spacing w:after="0" w:line="240" w:lineRule="auto"/>
              <w:jc w:val="center"/>
              <w:rPr>
                <w:rFonts w:ascii="Arial" w:eastAsia="Times New Roman" w:hAnsi="Arial" w:cs="Arial"/>
                <w:sz w:val="14"/>
                <w:szCs w:val="14"/>
                <w:lang w:eastAsia="pt-BR"/>
              </w:rPr>
            </w:pPr>
            <w:r w:rsidRPr="00BB5923">
              <w:rPr>
                <w:rFonts w:ascii="Arial" w:eastAsia="Times New Roman" w:hAnsi="Arial" w:cs="Arial"/>
                <w:sz w:val="14"/>
                <w:szCs w:val="14"/>
                <w:lang w:eastAsia="pt-BR"/>
              </w:rPr>
              <w:t>PDF</w:t>
            </w:r>
          </w:p>
        </w:tc>
      </w:tr>
      <w:tr w:rsidR="00DA26B4" w:rsidRPr="00A5490A" w14:paraId="7B685EBF" w14:textId="77777777" w:rsidTr="00CB7C58">
        <w:tc>
          <w:tcPr>
            <w:tcW w:w="1248" w:type="dxa"/>
            <w:vAlign w:val="center"/>
          </w:tcPr>
          <w:p w14:paraId="6E7A2A4C" w14:textId="77777777" w:rsidR="00DA26B4" w:rsidRPr="00B6188E" w:rsidRDefault="00DA26B4" w:rsidP="00A5490A">
            <w:pPr>
              <w:spacing w:after="0" w:line="240" w:lineRule="auto"/>
              <w:jc w:val="center"/>
              <w:rPr>
                <w:rFonts w:ascii="Arial" w:eastAsia="Times New Roman" w:hAnsi="Arial" w:cs="Arial"/>
                <w:sz w:val="18"/>
                <w:szCs w:val="18"/>
                <w:lang w:eastAsia="pt-BR"/>
              </w:rPr>
            </w:pPr>
            <w:r w:rsidRPr="00B6188E">
              <w:rPr>
                <w:rFonts w:ascii="Arial" w:eastAsia="Times New Roman" w:hAnsi="Arial" w:cs="Arial"/>
                <w:sz w:val="18"/>
                <w:szCs w:val="18"/>
                <w:lang w:eastAsia="pt-BR"/>
              </w:rPr>
              <w:t>INVALM</w:t>
            </w:r>
          </w:p>
        </w:tc>
        <w:tc>
          <w:tcPr>
            <w:tcW w:w="6940" w:type="dxa"/>
            <w:shd w:val="clear" w:color="auto" w:fill="auto"/>
            <w:vAlign w:val="center"/>
          </w:tcPr>
          <w:p w14:paraId="5FB58537" w14:textId="2FE06E2D" w:rsidR="00DA26B4" w:rsidRPr="00B6188E" w:rsidRDefault="00DA26B4" w:rsidP="00261F74">
            <w:pPr>
              <w:pStyle w:val="Default"/>
              <w:spacing w:before="120" w:after="120"/>
              <w:jc w:val="both"/>
              <w:rPr>
                <w:rFonts w:eastAsia="Times New Roman"/>
                <w:color w:val="auto"/>
                <w:sz w:val="18"/>
                <w:szCs w:val="18"/>
                <w:lang w:eastAsia="pt-BR"/>
              </w:rPr>
            </w:pPr>
            <w:r w:rsidRPr="00B6188E">
              <w:rPr>
                <w:rFonts w:eastAsia="Times New Roman"/>
                <w:color w:val="auto"/>
                <w:sz w:val="18"/>
                <w:szCs w:val="18"/>
                <w:lang w:eastAsia="pt-BR"/>
              </w:rPr>
              <w:t xml:space="preserve">Inventário anual dos bens em almoxarifado, conforme layout constante do </w:t>
            </w:r>
            <w:r>
              <w:rPr>
                <w:rFonts w:eastAsia="Times New Roman"/>
                <w:color w:val="auto"/>
                <w:sz w:val="18"/>
                <w:szCs w:val="18"/>
                <w:lang w:eastAsia="pt-BR"/>
              </w:rPr>
              <w:t xml:space="preserve">item </w:t>
            </w:r>
            <w:r w:rsidR="00261F74">
              <w:rPr>
                <w:rFonts w:eastAsia="Times New Roman"/>
                <w:color w:val="auto"/>
                <w:sz w:val="18"/>
                <w:szCs w:val="18"/>
                <w:lang w:eastAsia="pt-BR"/>
              </w:rPr>
              <w:t>3.1</w:t>
            </w:r>
            <w:r>
              <w:rPr>
                <w:rFonts w:eastAsia="Times New Roman"/>
                <w:color w:val="auto"/>
                <w:sz w:val="18"/>
                <w:szCs w:val="18"/>
                <w:lang w:eastAsia="pt-BR"/>
              </w:rPr>
              <w:t xml:space="preserve"> deste </w:t>
            </w:r>
            <w:r w:rsidRPr="00B6188E">
              <w:rPr>
                <w:rFonts w:eastAsia="Times New Roman"/>
                <w:color w:val="auto"/>
                <w:sz w:val="18"/>
                <w:szCs w:val="18"/>
                <w:lang w:eastAsia="pt-BR"/>
              </w:rPr>
              <w:t>Anexo.</w:t>
            </w:r>
          </w:p>
        </w:tc>
        <w:tc>
          <w:tcPr>
            <w:tcW w:w="992" w:type="dxa"/>
            <w:shd w:val="clear" w:color="auto" w:fill="auto"/>
            <w:vAlign w:val="center"/>
          </w:tcPr>
          <w:p w14:paraId="51C4867E" w14:textId="77777777" w:rsidR="00DA26B4" w:rsidRPr="00B6188E" w:rsidRDefault="00DA26B4" w:rsidP="00C165C0">
            <w:pPr>
              <w:spacing w:after="0" w:line="240" w:lineRule="auto"/>
              <w:jc w:val="center"/>
              <w:rPr>
                <w:rFonts w:ascii="Arial" w:eastAsia="Times New Roman" w:hAnsi="Arial" w:cs="Arial"/>
                <w:sz w:val="14"/>
                <w:szCs w:val="14"/>
                <w:lang w:eastAsia="pt-BR"/>
              </w:rPr>
            </w:pPr>
            <w:r w:rsidRPr="00B6188E">
              <w:rPr>
                <w:rFonts w:ascii="Arial" w:eastAsia="Times New Roman" w:hAnsi="Arial" w:cs="Arial"/>
                <w:sz w:val="14"/>
                <w:szCs w:val="14"/>
                <w:lang w:eastAsia="pt-BR"/>
              </w:rPr>
              <w:t>XML</w:t>
            </w:r>
          </w:p>
        </w:tc>
      </w:tr>
      <w:tr w:rsidR="00DA26B4" w:rsidRPr="004C543E" w14:paraId="4A600021" w14:textId="77777777" w:rsidTr="00CB7C58">
        <w:tc>
          <w:tcPr>
            <w:tcW w:w="1248" w:type="dxa"/>
            <w:tcBorders>
              <w:top w:val="single" w:sz="4" w:space="0" w:color="auto"/>
              <w:left w:val="single" w:sz="4" w:space="0" w:color="auto"/>
              <w:bottom w:val="single" w:sz="4" w:space="0" w:color="auto"/>
              <w:right w:val="single" w:sz="4" w:space="0" w:color="auto"/>
            </w:tcBorders>
            <w:vAlign w:val="center"/>
          </w:tcPr>
          <w:p w14:paraId="6E07B075" w14:textId="77777777" w:rsidR="00DA26B4" w:rsidRPr="00B6188E" w:rsidRDefault="00DA26B4" w:rsidP="00B6188E">
            <w:pPr>
              <w:spacing w:after="0" w:line="240" w:lineRule="auto"/>
              <w:jc w:val="center"/>
              <w:rPr>
                <w:rFonts w:ascii="Arial" w:eastAsia="Times New Roman" w:hAnsi="Arial" w:cs="Arial"/>
                <w:sz w:val="18"/>
                <w:szCs w:val="18"/>
                <w:lang w:eastAsia="pt-BR"/>
              </w:rPr>
            </w:pPr>
            <w:r w:rsidRPr="00B6188E">
              <w:rPr>
                <w:rFonts w:ascii="Arial" w:eastAsia="Times New Roman" w:hAnsi="Arial" w:cs="Arial"/>
                <w:sz w:val="18"/>
                <w:szCs w:val="18"/>
                <w:lang w:eastAsia="pt-BR"/>
              </w:rPr>
              <w:t>TERALM</w:t>
            </w:r>
          </w:p>
        </w:tc>
        <w:tc>
          <w:tcPr>
            <w:tcW w:w="6940" w:type="dxa"/>
            <w:tcBorders>
              <w:top w:val="single" w:sz="4" w:space="0" w:color="auto"/>
              <w:left w:val="single" w:sz="4" w:space="0" w:color="auto"/>
              <w:bottom w:val="single" w:sz="4" w:space="0" w:color="auto"/>
              <w:right w:val="single" w:sz="4" w:space="0" w:color="auto"/>
            </w:tcBorders>
            <w:shd w:val="clear" w:color="auto" w:fill="auto"/>
            <w:vAlign w:val="center"/>
          </w:tcPr>
          <w:p w14:paraId="38096813" w14:textId="198644F5" w:rsidR="00DA26B4" w:rsidRPr="00B6188E" w:rsidRDefault="00DA26B4" w:rsidP="00BB5923">
            <w:pPr>
              <w:pStyle w:val="Default"/>
              <w:jc w:val="both"/>
              <w:rPr>
                <w:rFonts w:eastAsia="Times New Roman"/>
                <w:color w:val="auto"/>
                <w:sz w:val="18"/>
                <w:szCs w:val="18"/>
                <w:lang w:eastAsia="pt-BR"/>
              </w:rPr>
            </w:pPr>
            <w:r w:rsidRPr="00B6188E">
              <w:rPr>
                <w:rFonts w:eastAsia="Times New Roman"/>
                <w:color w:val="auto"/>
                <w:sz w:val="18"/>
                <w:szCs w:val="18"/>
                <w:lang w:eastAsia="pt-BR"/>
              </w:rPr>
              <w:t>Termo circunstanciado elaborado e assinado pela comissão responsável pelo Inventário anual dos bens em almoxarifado (INVALM), indicando o saldo total apurado e o detalhamento (especificação e valor) das divergências encontradas</w:t>
            </w:r>
            <w:r w:rsidR="00B24335">
              <w:rPr>
                <w:rFonts w:eastAsia="Times New Roman"/>
                <w:sz w:val="18"/>
                <w:szCs w:val="18"/>
                <w:lang w:eastAsia="pt-BR"/>
              </w:rPr>
              <w:t>, na forma d</w:t>
            </w:r>
            <w:r w:rsidR="00BB5923">
              <w:rPr>
                <w:rFonts w:eastAsia="Times New Roman"/>
                <w:sz w:val="18"/>
                <w:szCs w:val="18"/>
                <w:lang w:eastAsia="pt-BR"/>
              </w:rPr>
              <w:t xml:space="preserve">o </w:t>
            </w:r>
            <w:r w:rsidR="00BB5923" w:rsidRPr="00BB5923">
              <w:rPr>
                <w:rFonts w:eastAsia="Times New Roman"/>
                <w:color w:val="auto"/>
                <w:sz w:val="18"/>
                <w:szCs w:val="18"/>
                <w:lang w:eastAsia="pt-BR"/>
              </w:rPr>
              <w:t>item 3.2 deste Anexo.</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BEA6636" w14:textId="77777777" w:rsidR="00DA26B4" w:rsidRPr="00B6188E" w:rsidRDefault="00532985" w:rsidP="004C543E">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DA26B4" w:rsidRPr="00A5490A" w14:paraId="6996C35A" w14:textId="77777777" w:rsidTr="00CB7C58">
        <w:tc>
          <w:tcPr>
            <w:tcW w:w="1248" w:type="dxa"/>
            <w:vAlign w:val="center"/>
          </w:tcPr>
          <w:p w14:paraId="7E49163C" w14:textId="77777777" w:rsidR="00DA26B4" w:rsidRPr="00B6188E" w:rsidRDefault="00DA26B4" w:rsidP="00886723">
            <w:pPr>
              <w:spacing w:after="0" w:line="240" w:lineRule="auto"/>
              <w:jc w:val="center"/>
              <w:rPr>
                <w:rFonts w:ascii="Arial" w:eastAsia="Times New Roman" w:hAnsi="Arial" w:cs="Arial"/>
                <w:sz w:val="18"/>
                <w:szCs w:val="18"/>
                <w:lang w:eastAsia="pt-BR"/>
              </w:rPr>
            </w:pPr>
            <w:r w:rsidRPr="00B6188E">
              <w:rPr>
                <w:rFonts w:ascii="Arial" w:eastAsia="Times New Roman" w:hAnsi="Arial" w:cs="Arial"/>
                <w:sz w:val="18"/>
                <w:szCs w:val="18"/>
                <w:lang w:eastAsia="pt-BR"/>
              </w:rPr>
              <w:t>INVINT</w:t>
            </w:r>
          </w:p>
        </w:tc>
        <w:tc>
          <w:tcPr>
            <w:tcW w:w="6940" w:type="dxa"/>
            <w:shd w:val="clear" w:color="auto" w:fill="auto"/>
            <w:vAlign w:val="center"/>
          </w:tcPr>
          <w:p w14:paraId="54E703B7" w14:textId="77CD58F9" w:rsidR="00DA26B4" w:rsidRPr="00B6188E" w:rsidRDefault="00DA26B4" w:rsidP="00261F74">
            <w:pPr>
              <w:pStyle w:val="Default"/>
              <w:spacing w:before="120" w:after="120"/>
              <w:jc w:val="both"/>
              <w:rPr>
                <w:rFonts w:eastAsia="Times New Roman"/>
                <w:color w:val="auto"/>
                <w:sz w:val="18"/>
                <w:szCs w:val="18"/>
                <w:lang w:eastAsia="pt-BR"/>
              </w:rPr>
            </w:pPr>
            <w:r w:rsidRPr="00B6188E">
              <w:rPr>
                <w:rFonts w:eastAsia="Times New Roman"/>
                <w:color w:val="auto"/>
                <w:sz w:val="18"/>
                <w:szCs w:val="18"/>
                <w:lang w:eastAsia="pt-BR"/>
              </w:rPr>
              <w:t xml:space="preserve">Inventário anual dos bens intangíveis, conforme layout constante do </w:t>
            </w:r>
            <w:r w:rsidR="00261F74">
              <w:rPr>
                <w:rFonts w:eastAsia="Times New Roman"/>
                <w:color w:val="auto"/>
                <w:sz w:val="18"/>
                <w:szCs w:val="18"/>
                <w:lang w:eastAsia="pt-BR"/>
              </w:rPr>
              <w:t xml:space="preserve">item 3.1 deste </w:t>
            </w:r>
            <w:r w:rsidR="00261F74" w:rsidRPr="00B6188E">
              <w:rPr>
                <w:rFonts w:eastAsia="Times New Roman"/>
                <w:color w:val="auto"/>
                <w:sz w:val="18"/>
                <w:szCs w:val="18"/>
                <w:lang w:eastAsia="pt-BR"/>
              </w:rPr>
              <w:t>Anexo.</w:t>
            </w:r>
          </w:p>
        </w:tc>
        <w:tc>
          <w:tcPr>
            <w:tcW w:w="992" w:type="dxa"/>
            <w:shd w:val="clear" w:color="auto" w:fill="auto"/>
            <w:vAlign w:val="center"/>
          </w:tcPr>
          <w:p w14:paraId="3D867080" w14:textId="77777777" w:rsidR="00DA26B4" w:rsidRPr="00B6188E" w:rsidRDefault="00DA26B4" w:rsidP="00886723">
            <w:pPr>
              <w:spacing w:after="0" w:line="240" w:lineRule="auto"/>
              <w:jc w:val="center"/>
              <w:rPr>
                <w:rFonts w:ascii="Arial" w:eastAsia="Times New Roman" w:hAnsi="Arial" w:cs="Arial"/>
                <w:sz w:val="14"/>
                <w:szCs w:val="14"/>
                <w:lang w:eastAsia="pt-BR"/>
              </w:rPr>
            </w:pPr>
            <w:r w:rsidRPr="00B6188E">
              <w:rPr>
                <w:rFonts w:ascii="Arial" w:eastAsia="Times New Roman" w:hAnsi="Arial" w:cs="Arial"/>
                <w:sz w:val="14"/>
                <w:szCs w:val="14"/>
                <w:lang w:eastAsia="pt-BR"/>
              </w:rPr>
              <w:t>XML</w:t>
            </w:r>
          </w:p>
        </w:tc>
      </w:tr>
      <w:tr w:rsidR="00DA26B4" w:rsidRPr="004C543E" w14:paraId="254779F8" w14:textId="77777777" w:rsidTr="00CB7C58">
        <w:tc>
          <w:tcPr>
            <w:tcW w:w="1248" w:type="dxa"/>
            <w:tcBorders>
              <w:top w:val="single" w:sz="4" w:space="0" w:color="auto"/>
              <w:left w:val="single" w:sz="4" w:space="0" w:color="auto"/>
              <w:bottom w:val="single" w:sz="4" w:space="0" w:color="auto"/>
              <w:right w:val="single" w:sz="4" w:space="0" w:color="auto"/>
            </w:tcBorders>
            <w:vAlign w:val="center"/>
          </w:tcPr>
          <w:p w14:paraId="57D14044" w14:textId="77777777" w:rsidR="00DA26B4" w:rsidRPr="00B6188E" w:rsidRDefault="00DA26B4" w:rsidP="00B6188E">
            <w:pPr>
              <w:spacing w:after="0" w:line="240" w:lineRule="auto"/>
              <w:jc w:val="center"/>
              <w:rPr>
                <w:rFonts w:ascii="Arial" w:eastAsia="Times New Roman" w:hAnsi="Arial" w:cs="Arial"/>
                <w:sz w:val="18"/>
                <w:szCs w:val="18"/>
                <w:lang w:eastAsia="pt-BR"/>
              </w:rPr>
            </w:pPr>
            <w:r w:rsidRPr="00B6188E">
              <w:rPr>
                <w:rFonts w:ascii="Arial" w:eastAsia="Times New Roman" w:hAnsi="Arial" w:cs="Arial"/>
                <w:sz w:val="18"/>
                <w:szCs w:val="18"/>
                <w:lang w:eastAsia="pt-BR"/>
              </w:rPr>
              <w:t>TERINT</w:t>
            </w:r>
          </w:p>
        </w:tc>
        <w:tc>
          <w:tcPr>
            <w:tcW w:w="6940" w:type="dxa"/>
            <w:tcBorders>
              <w:top w:val="single" w:sz="4" w:space="0" w:color="auto"/>
              <w:left w:val="single" w:sz="4" w:space="0" w:color="auto"/>
              <w:bottom w:val="single" w:sz="4" w:space="0" w:color="auto"/>
              <w:right w:val="single" w:sz="4" w:space="0" w:color="auto"/>
            </w:tcBorders>
            <w:shd w:val="clear" w:color="auto" w:fill="auto"/>
            <w:vAlign w:val="center"/>
          </w:tcPr>
          <w:p w14:paraId="119B521D" w14:textId="76C25CD0" w:rsidR="00DA26B4" w:rsidRPr="00B6188E" w:rsidRDefault="00DA26B4" w:rsidP="00BB5923">
            <w:pPr>
              <w:pStyle w:val="Default"/>
              <w:jc w:val="both"/>
              <w:rPr>
                <w:rFonts w:eastAsia="Times New Roman"/>
                <w:color w:val="auto"/>
                <w:sz w:val="18"/>
                <w:szCs w:val="18"/>
                <w:lang w:eastAsia="pt-BR"/>
              </w:rPr>
            </w:pPr>
            <w:r w:rsidRPr="00B6188E">
              <w:rPr>
                <w:rFonts w:eastAsia="Times New Roman"/>
                <w:color w:val="auto"/>
                <w:sz w:val="18"/>
                <w:szCs w:val="18"/>
                <w:lang w:eastAsia="pt-BR"/>
              </w:rPr>
              <w:t xml:space="preserve">Termo circunstanciado elaborado e assinado pela comissão responsável pelo Inventário anual dos bens intangíveis (INVINT), indicando o saldo total apurado e o </w:t>
            </w:r>
            <w:r w:rsidRPr="00BB5923">
              <w:rPr>
                <w:rFonts w:eastAsia="Times New Roman"/>
                <w:color w:val="auto"/>
                <w:sz w:val="18"/>
                <w:szCs w:val="18"/>
                <w:lang w:eastAsia="pt-BR"/>
              </w:rPr>
              <w:t>detalhamento (especificação e valo</w:t>
            </w:r>
            <w:r w:rsidR="00BB5923" w:rsidRPr="00BB5923">
              <w:rPr>
                <w:rFonts w:eastAsia="Times New Roman"/>
                <w:color w:val="auto"/>
                <w:sz w:val="18"/>
                <w:szCs w:val="18"/>
                <w:lang w:eastAsia="pt-BR"/>
              </w:rPr>
              <w:t>r) das divergências encontradas, na forma do item 3.2 deste Anexo</w:t>
            </w:r>
            <w:r w:rsidR="0026646F" w:rsidRPr="00BB5923">
              <w:rPr>
                <w:rFonts w:eastAsia="Times New Roman"/>
                <w:color w:val="auto"/>
                <w:sz w:val="18"/>
                <w:szCs w:val="18"/>
                <w:lang w:eastAsia="pt-BR"/>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EA9DB1C" w14:textId="77777777" w:rsidR="00DA26B4" w:rsidRPr="00B6188E" w:rsidRDefault="00532985" w:rsidP="004C543E">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DA26B4" w:rsidRPr="00A5490A" w14:paraId="1DF50F6C" w14:textId="77777777" w:rsidTr="00CB7C58">
        <w:tc>
          <w:tcPr>
            <w:tcW w:w="1248" w:type="dxa"/>
            <w:vAlign w:val="center"/>
          </w:tcPr>
          <w:p w14:paraId="421EECCB" w14:textId="77777777" w:rsidR="00DA26B4" w:rsidRPr="00B6188E" w:rsidRDefault="00DA26B4" w:rsidP="00886723">
            <w:pPr>
              <w:spacing w:after="0" w:line="240" w:lineRule="auto"/>
              <w:jc w:val="center"/>
              <w:rPr>
                <w:rFonts w:ascii="Arial" w:eastAsia="Times New Roman" w:hAnsi="Arial" w:cs="Arial"/>
                <w:sz w:val="18"/>
                <w:szCs w:val="18"/>
                <w:lang w:eastAsia="pt-BR"/>
              </w:rPr>
            </w:pPr>
            <w:r w:rsidRPr="00B6188E">
              <w:rPr>
                <w:rFonts w:ascii="Arial" w:eastAsia="Times New Roman" w:hAnsi="Arial" w:cs="Arial"/>
                <w:sz w:val="18"/>
                <w:szCs w:val="18"/>
                <w:lang w:eastAsia="pt-BR"/>
              </w:rPr>
              <w:t>COMINV</w:t>
            </w:r>
          </w:p>
        </w:tc>
        <w:tc>
          <w:tcPr>
            <w:tcW w:w="6940" w:type="dxa"/>
            <w:shd w:val="clear" w:color="auto" w:fill="auto"/>
            <w:vAlign w:val="center"/>
          </w:tcPr>
          <w:p w14:paraId="376F0F73" w14:textId="77777777" w:rsidR="00DA26B4" w:rsidRPr="00B6188E" w:rsidRDefault="00DA26B4" w:rsidP="00886723">
            <w:pPr>
              <w:spacing w:before="120" w:after="120" w:line="240" w:lineRule="auto"/>
              <w:jc w:val="both"/>
              <w:rPr>
                <w:rFonts w:ascii="Arial" w:eastAsia="Times New Roman" w:hAnsi="Arial" w:cs="Arial"/>
                <w:sz w:val="18"/>
                <w:szCs w:val="18"/>
                <w:lang w:eastAsia="pt-BR"/>
              </w:rPr>
            </w:pPr>
            <w:r w:rsidRPr="00B6188E">
              <w:rPr>
                <w:rFonts w:ascii="Arial" w:eastAsia="Times New Roman" w:hAnsi="Arial" w:cs="Arial"/>
                <w:sz w:val="18"/>
                <w:szCs w:val="18"/>
                <w:lang w:eastAsia="pt-BR"/>
              </w:rPr>
              <w:t>Ato de designação da comissão responsável pela elaboração dos inventários.</w:t>
            </w:r>
          </w:p>
        </w:tc>
        <w:tc>
          <w:tcPr>
            <w:tcW w:w="992" w:type="dxa"/>
            <w:shd w:val="clear" w:color="auto" w:fill="auto"/>
            <w:vAlign w:val="center"/>
          </w:tcPr>
          <w:p w14:paraId="3AB0713D" w14:textId="77777777" w:rsidR="00DA26B4" w:rsidRPr="00B6188E" w:rsidRDefault="00532985" w:rsidP="00886723">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DA26B4" w:rsidRPr="00A5490A" w14:paraId="13E0EC79" w14:textId="77777777" w:rsidTr="00CB7C58">
        <w:tc>
          <w:tcPr>
            <w:tcW w:w="1248" w:type="dxa"/>
            <w:vAlign w:val="center"/>
          </w:tcPr>
          <w:p w14:paraId="5D5D690A" w14:textId="77777777" w:rsidR="00DA26B4" w:rsidRPr="00B6188E" w:rsidRDefault="00DA26B4" w:rsidP="00886723">
            <w:pPr>
              <w:spacing w:after="0" w:line="240" w:lineRule="auto"/>
              <w:jc w:val="center"/>
              <w:rPr>
                <w:rFonts w:ascii="Arial" w:eastAsia="Times New Roman" w:hAnsi="Arial" w:cs="Arial"/>
                <w:sz w:val="18"/>
                <w:szCs w:val="18"/>
                <w:lang w:eastAsia="pt-BR"/>
              </w:rPr>
            </w:pPr>
            <w:r w:rsidRPr="00B6188E">
              <w:rPr>
                <w:rFonts w:ascii="Arial" w:eastAsia="Times New Roman" w:hAnsi="Arial" w:cs="Arial"/>
                <w:sz w:val="18"/>
                <w:szCs w:val="18"/>
                <w:lang w:eastAsia="pt-BR"/>
              </w:rPr>
              <w:t>DEMRAP</w:t>
            </w:r>
          </w:p>
        </w:tc>
        <w:tc>
          <w:tcPr>
            <w:tcW w:w="6940" w:type="dxa"/>
            <w:shd w:val="clear" w:color="auto" w:fill="auto"/>
            <w:vAlign w:val="center"/>
          </w:tcPr>
          <w:p w14:paraId="6393976C" w14:textId="0D6F3015" w:rsidR="00DA26B4" w:rsidRPr="00B6188E" w:rsidRDefault="00DA26B4" w:rsidP="00261F74">
            <w:pPr>
              <w:spacing w:before="120" w:after="120" w:line="240" w:lineRule="auto"/>
              <w:jc w:val="both"/>
              <w:rPr>
                <w:rFonts w:ascii="Arial" w:eastAsia="Times New Roman" w:hAnsi="Arial" w:cs="Arial"/>
                <w:sz w:val="18"/>
                <w:szCs w:val="18"/>
                <w:lang w:eastAsia="pt-BR"/>
              </w:rPr>
            </w:pPr>
            <w:r w:rsidRPr="00B6188E">
              <w:rPr>
                <w:rFonts w:ascii="Arial" w:eastAsia="Times New Roman" w:hAnsi="Arial" w:cs="Arial"/>
                <w:sz w:val="18"/>
                <w:szCs w:val="18"/>
                <w:lang w:eastAsia="pt-BR"/>
              </w:rPr>
              <w:t>Demonstrativo de Restos a Pagar,</w:t>
            </w:r>
            <w:r w:rsidRPr="00B6188E">
              <w:rPr>
                <w:rFonts w:eastAsia="Times New Roman"/>
                <w:sz w:val="18"/>
                <w:szCs w:val="18"/>
                <w:lang w:eastAsia="pt-BR"/>
              </w:rPr>
              <w:t xml:space="preserve"> </w:t>
            </w:r>
            <w:r w:rsidRPr="00B6188E">
              <w:rPr>
                <w:rFonts w:ascii="Arial" w:eastAsia="Times New Roman" w:hAnsi="Arial" w:cs="Arial"/>
                <w:sz w:val="18"/>
                <w:szCs w:val="18"/>
                <w:lang w:eastAsia="pt-BR"/>
              </w:rPr>
              <w:t xml:space="preserve">conforme layout constante do </w:t>
            </w:r>
            <w:r>
              <w:rPr>
                <w:rFonts w:ascii="Arial" w:eastAsia="Times New Roman" w:hAnsi="Arial" w:cs="Arial"/>
                <w:sz w:val="18"/>
                <w:szCs w:val="18"/>
                <w:lang w:eastAsia="pt-BR"/>
              </w:rPr>
              <w:t xml:space="preserve">item </w:t>
            </w:r>
            <w:r w:rsidR="00261F74">
              <w:rPr>
                <w:rFonts w:ascii="Arial" w:eastAsia="Times New Roman" w:hAnsi="Arial" w:cs="Arial"/>
                <w:sz w:val="18"/>
                <w:szCs w:val="18"/>
                <w:lang w:eastAsia="pt-BR"/>
              </w:rPr>
              <w:t>3.1</w:t>
            </w:r>
            <w:r>
              <w:rPr>
                <w:rFonts w:ascii="Arial" w:eastAsia="Times New Roman" w:hAnsi="Arial" w:cs="Arial"/>
                <w:sz w:val="18"/>
                <w:szCs w:val="18"/>
                <w:lang w:eastAsia="pt-BR"/>
              </w:rPr>
              <w:t xml:space="preserve"> deste </w:t>
            </w:r>
            <w:r w:rsidRPr="00B6188E">
              <w:rPr>
                <w:rFonts w:ascii="Arial" w:eastAsia="Times New Roman" w:hAnsi="Arial" w:cs="Arial"/>
                <w:sz w:val="18"/>
                <w:szCs w:val="18"/>
                <w:lang w:eastAsia="pt-BR"/>
              </w:rPr>
              <w:t xml:space="preserve">Anexo. </w:t>
            </w:r>
          </w:p>
        </w:tc>
        <w:tc>
          <w:tcPr>
            <w:tcW w:w="992" w:type="dxa"/>
            <w:shd w:val="clear" w:color="auto" w:fill="auto"/>
            <w:vAlign w:val="center"/>
          </w:tcPr>
          <w:p w14:paraId="3024EE91" w14:textId="77777777" w:rsidR="00DA26B4" w:rsidRPr="00B6188E" w:rsidRDefault="00DA26B4" w:rsidP="00886723">
            <w:pPr>
              <w:spacing w:after="0" w:line="240" w:lineRule="auto"/>
              <w:jc w:val="center"/>
              <w:rPr>
                <w:rFonts w:ascii="Arial" w:eastAsia="Times New Roman" w:hAnsi="Arial" w:cs="Arial"/>
                <w:sz w:val="14"/>
                <w:szCs w:val="14"/>
                <w:lang w:eastAsia="pt-BR"/>
              </w:rPr>
            </w:pPr>
            <w:r w:rsidRPr="00B6188E">
              <w:rPr>
                <w:rFonts w:ascii="Arial" w:eastAsia="Times New Roman" w:hAnsi="Arial" w:cs="Arial"/>
                <w:sz w:val="14"/>
                <w:szCs w:val="14"/>
                <w:lang w:eastAsia="pt-BR"/>
              </w:rPr>
              <w:t>XML</w:t>
            </w:r>
          </w:p>
        </w:tc>
      </w:tr>
      <w:tr w:rsidR="00DA26B4" w:rsidRPr="00A5490A" w14:paraId="76D7A57E" w14:textId="77777777" w:rsidTr="00CB7C58">
        <w:tc>
          <w:tcPr>
            <w:tcW w:w="1248" w:type="dxa"/>
            <w:vAlign w:val="center"/>
          </w:tcPr>
          <w:p w14:paraId="36DC8F7C" w14:textId="77777777" w:rsidR="00DA26B4" w:rsidRPr="00B6188E" w:rsidRDefault="00DA26B4" w:rsidP="00886723">
            <w:pPr>
              <w:spacing w:after="0" w:line="240" w:lineRule="auto"/>
              <w:jc w:val="center"/>
              <w:rPr>
                <w:rFonts w:ascii="Arial" w:eastAsia="Times New Roman" w:hAnsi="Arial" w:cs="Arial"/>
                <w:sz w:val="18"/>
                <w:szCs w:val="18"/>
                <w:lang w:eastAsia="pt-BR"/>
              </w:rPr>
            </w:pPr>
            <w:r w:rsidRPr="00B6188E">
              <w:rPr>
                <w:rFonts w:ascii="Arial" w:eastAsia="Times New Roman" w:hAnsi="Arial" w:cs="Arial"/>
                <w:sz w:val="18"/>
                <w:szCs w:val="18"/>
                <w:lang w:eastAsia="pt-BR"/>
              </w:rPr>
              <w:t>EXTBAN</w:t>
            </w:r>
          </w:p>
        </w:tc>
        <w:tc>
          <w:tcPr>
            <w:tcW w:w="6940" w:type="dxa"/>
            <w:shd w:val="clear" w:color="auto" w:fill="auto"/>
            <w:vAlign w:val="center"/>
          </w:tcPr>
          <w:p w14:paraId="4679645C" w14:textId="77777777" w:rsidR="00DA26B4" w:rsidRPr="00B6188E" w:rsidRDefault="00DA26B4" w:rsidP="00886723">
            <w:pPr>
              <w:spacing w:before="120" w:after="120" w:line="240" w:lineRule="auto"/>
              <w:jc w:val="both"/>
              <w:rPr>
                <w:rFonts w:ascii="Arial" w:eastAsia="Times New Roman" w:hAnsi="Arial" w:cs="Arial"/>
                <w:sz w:val="18"/>
                <w:szCs w:val="18"/>
                <w:lang w:eastAsia="pt-BR"/>
              </w:rPr>
            </w:pPr>
            <w:r w:rsidRPr="00B6188E">
              <w:rPr>
                <w:rFonts w:ascii="Arial" w:eastAsia="Times New Roman" w:hAnsi="Arial" w:cs="Arial"/>
                <w:sz w:val="18"/>
                <w:szCs w:val="18"/>
                <w:lang w:eastAsia="pt-BR"/>
              </w:rPr>
              <w:t>Extratos bancários relativos ao mês de encerramento do exercício</w:t>
            </w:r>
            <w:r w:rsidRPr="0073452B">
              <w:rPr>
                <w:rFonts w:ascii="Arial" w:eastAsia="Times New Roman" w:hAnsi="Arial" w:cs="Arial"/>
                <w:sz w:val="18"/>
                <w:szCs w:val="18"/>
                <w:lang w:eastAsia="pt-BR"/>
              </w:rPr>
              <w:t>.</w:t>
            </w:r>
            <w:r w:rsidR="004124D9" w:rsidRPr="0073452B">
              <w:rPr>
                <w:rFonts w:ascii="Arial" w:eastAsia="Times New Roman" w:hAnsi="Arial" w:cs="Arial"/>
                <w:sz w:val="18"/>
                <w:szCs w:val="18"/>
                <w:lang w:eastAsia="pt-BR"/>
              </w:rPr>
              <w:t xml:space="preserve"> Na hipótese de adesão ao Acordo de Cooperação Técnica entre o TCEES e o Banestes, não é necessário o envio dos extratos bancários do banco 021 – Banestes.</w:t>
            </w:r>
          </w:p>
        </w:tc>
        <w:tc>
          <w:tcPr>
            <w:tcW w:w="992" w:type="dxa"/>
            <w:shd w:val="clear" w:color="auto" w:fill="auto"/>
            <w:vAlign w:val="center"/>
          </w:tcPr>
          <w:p w14:paraId="3A0BEEDF" w14:textId="77777777" w:rsidR="00DA26B4" w:rsidRPr="00B6188E" w:rsidRDefault="00532985" w:rsidP="00886723">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DA26B4" w:rsidRPr="00A5490A" w14:paraId="38183667" w14:textId="77777777" w:rsidTr="00CB7C58">
        <w:tc>
          <w:tcPr>
            <w:tcW w:w="1248" w:type="dxa"/>
            <w:vAlign w:val="center"/>
          </w:tcPr>
          <w:p w14:paraId="49F4D3BA" w14:textId="77777777" w:rsidR="00DA26B4" w:rsidRPr="00B6188E" w:rsidRDefault="00DA26B4" w:rsidP="00886723">
            <w:pPr>
              <w:spacing w:after="0" w:line="240" w:lineRule="auto"/>
              <w:jc w:val="center"/>
              <w:rPr>
                <w:rFonts w:ascii="Arial" w:eastAsia="Times New Roman" w:hAnsi="Arial" w:cs="Arial"/>
                <w:sz w:val="18"/>
                <w:szCs w:val="18"/>
                <w:lang w:eastAsia="pt-BR"/>
              </w:rPr>
            </w:pPr>
            <w:r w:rsidRPr="00B6188E">
              <w:rPr>
                <w:rFonts w:ascii="Arial" w:eastAsia="Times New Roman" w:hAnsi="Arial" w:cs="Arial"/>
                <w:sz w:val="18"/>
                <w:szCs w:val="18"/>
                <w:lang w:eastAsia="pt-BR"/>
              </w:rPr>
              <w:t>TVDISP</w:t>
            </w:r>
          </w:p>
        </w:tc>
        <w:tc>
          <w:tcPr>
            <w:tcW w:w="6940" w:type="dxa"/>
            <w:shd w:val="clear" w:color="auto" w:fill="auto"/>
            <w:vAlign w:val="center"/>
          </w:tcPr>
          <w:p w14:paraId="506B5146" w14:textId="344D0806" w:rsidR="00DA26B4" w:rsidRPr="00B6188E" w:rsidRDefault="00DA26B4" w:rsidP="00886723">
            <w:pPr>
              <w:spacing w:before="120" w:after="120" w:line="240" w:lineRule="auto"/>
              <w:jc w:val="both"/>
              <w:rPr>
                <w:rFonts w:ascii="Arial" w:eastAsia="Times New Roman" w:hAnsi="Arial" w:cs="Arial"/>
                <w:sz w:val="18"/>
                <w:szCs w:val="18"/>
                <w:lang w:eastAsia="pt-BR"/>
              </w:rPr>
            </w:pPr>
            <w:r w:rsidRPr="00B6188E">
              <w:rPr>
                <w:rFonts w:ascii="Arial" w:eastAsia="Times New Roman" w:hAnsi="Arial" w:cs="Arial"/>
                <w:sz w:val="18"/>
                <w:szCs w:val="18"/>
                <w:lang w:eastAsia="pt-BR"/>
              </w:rPr>
              <w:t xml:space="preserve">Termo de verificação de disponibilidades, conforme layout constante do </w:t>
            </w:r>
            <w:r w:rsidR="00261F74">
              <w:rPr>
                <w:rFonts w:ascii="Arial" w:eastAsia="Times New Roman" w:hAnsi="Arial" w:cs="Arial"/>
                <w:sz w:val="18"/>
                <w:szCs w:val="18"/>
                <w:lang w:eastAsia="pt-BR"/>
              </w:rPr>
              <w:t xml:space="preserve">item 3.1 deste </w:t>
            </w:r>
            <w:r w:rsidR="00261F74" w:rsidRPr="00B6188E">
              <w:rPr>
                <w:rFonts w:ascii="Arial" w:eastAsia="Times New Roman" w:hAnsi="Arial" w:cs="Arial"/>
                <w:sz w:val="18"/>
                <w:szCs w:val="18"/>
                <w:lang w:eastAsia="pt-BR"/>
              </w:rPr>
              <w:t>Anexo.</w:t>
            </w:r>
          </w:p>
        </w:tc>
        <w:tc>
          <w:tcPr>
            <w:tcW w:w="992" w:type="dxa"/>
            <w:shd w:val="clear" w:color="auto" w:fill="auto"/>
            <w:vAlign w:val="center"/>
          </w:tcPr>
          <w:p w14:paraId="4019C7F1" w14:textId="77777777" w:rsidR="00DA26B4" w:rsidRPr="00B6188E" w:rsidRDefault="00DA26B4" w:rsidP="00886723">
            <w:pPr>
              <w:spacing w:after="0" w:line="240" w:lineRule="auto"/>
              <w:jc w:val="center"/>
              <w:rPr>
                <w:rFonts w:ascii="Arial" w:eastAsia="Times New Roman" w:hAnsi="Arial" w:cs="Arial"/>
                <w:sz w:val="14"/>
                <w:szCs w:val="14"/>
                <w:lang w:eastAsia="pt-BR"/>
              </w:rPr>
            </w:pPr>
            <w:r w:rsidRPr="00B6188E">
              <w:rPr>
                <w:rFonts w:ascii="Arial" w:eastAsia="Times New Roman" w:hAnsi="Arial" w:cs="Arial"/>
                <w:sz w:val="14"/>
                <w:szCs w:val="14"/>
                <w:lang w:eastAsia="pt-BR"/>
              </w:rPr>
              <w:t>XML</w:t>
            </w:r>
          </w:p>
        </w:tc>
      </w:tr>
      <w:tr w:rsidR="00DA26B4" w:rsidRPr="00A5490A" w14:paraId="6F4FF836" w14:textId="77777777" w:rsidTr="00CB7C58">
        <w:tc>
          <w:tcPr>
            <w:tcW w:w="1248" w:type="dxa"/>
            <w:vAlign w:val="center"/>
          </w:tcPr>
          <w:p w14:paraId="6BD3C0FF" w14:textId="77777777" w:rsidR="00DA26B4" w:rsidRPr="00B6188E" w:rsidRDefault="00DA26B4" w:rsidP="00886723">
            <w:pPr>
              <w:spacing w:after="0" w:line="240" w:lineRule="auto"/>
              <w:jc w:val="center"/>
              <w:rPr>
                <w:rFonts w:ascii="Arial" w:eastAsia="Times New Roman" w:hAnsi="Arial" w:cs="Arial"/>
                <w:sz w:val="18"/>
                <w:szCs w:val="18"/>
                <w:lang w:eastAsia="pt-BR"/>
              </w:rPr>
            </w:pPr>
            <w:r w:rsidRPr="00B6188E">
              <w:rPr>
                <w:rFonts w:ascii="Arial" w:eastAsia="Times New Roman" w:hAnsi="Arial" w:cs="Arial"/>
                <w:sz w:val="18"/>
                <w:szCs w:val="18"/>
                <w:lang w:eastAsia="pt-BR"/>
              </w:rPr>
              <w:t>DEMCSE</w:t>
            </w:r>
          </w:p>
        </w:tc>
        <w:tc>
          <w:tcPr>
            <w:tcW w:w="6940" w:type="dxa"/>
            <w:shd w:val="clear" w:color="auto" w:fill="auto"/>
            <w:vAlign w:val="center"/>
          </w:tcPr>
          <w:p w14:paraId="359FE947" w14:textId="43D7AEF3" w:rsidR="00DA26B4" w:rsidRPr="00B6188E" w:rsidRDefault="00DA26B4" w:rsidP="009806FE">
            <w:pPr>
              <w:spacing w:before="120" w:after="120" w:line="240" w:lineRule="auto"/>
              <w:jc w:val="both"/>
              <w:rPr>
                <w:rFonts w:ascii="Arial" w:eastAsia="Times New Roman" w:hAnsi="Arial" w:cs="Arial"/>
                <w:sz w:val="18"/>
                <w:szCs w:val="18"/>
                <w:lang w:eastAsia="pt-BR"/>
              </w:rPr>
            </w:pPr>
            <w:r w:rsidRPr="00B6188E">
              <w:rPr>
                <w:rFonts w:ascii="Arial" w:eastAsia="Times New Roman" w:hAnsi="Arial" w:cs="Arial"/>
                <w:sz w:val="18"/>
                <w:szCs w:val="18"/>
                <w:lang w:eastAsia="pt-BR"/>
              </w:rPr>
              <w:t>Demonstrativo evidenciando, mensalmente, o valor retido de contribuições sociais dos servidores e efetivamente recolhidos, discriminando por instituição previdenciária (RPPS e RGPS), na forma</w:t>
            </w:r>
            <w:r w:rsidR="00BB5923">
              <w:rPr>
                <w:rFonts w:ascii="Arial" w:eastAsia="Times New Roman" w:hAnsi="Arial" w:cs="Arial"/>
                <w:sz w:val="18"/>
                <w:szCs w:val="18"/>
                <w:lang w:eastAsia="pt-BR"/>
              </w:rPr>
              <w:t xml:space="preserve"> </w:t>
            </w:r>
            <w:r w:rsidR="00BB5923" w:rsidRPr="00BB5923">
              <w:rPr>
                <w:rFonts w:ascii="Arial" w:eastAsia="Times New Roman" w:hAnsi="Arial" w:cs="Arial"/>
                <w:sz w:val="18"/>
                <w:szCs w:val="18"/>
                <w:lang w:eastAsia="pt-BR"/>
              </w:rPr>
              <w:t>do</w:t>
            </w:r>
            <w:r w:rsidRPr="00BB5923">
              <w:rPr>
                <w:rFonts w:ascii="Arial" w:eastAsia="Times New Roman" w:hAnsi="Arial" w:cs="Arial"/>
                <w:sz w:val="18"/>
                <w:szCs w:val="18"/>
                <w:lang w:eastAsia="pt-BR"/>
              </w:rPr>
              <w:t xml:space="preserve"> </w:t>
            </w:r>
            <w:r w:rsidR="00BB5923" w:rsidRPr="00BB5923">
              <w:rPr>
                <w:rFonts w:ascii="Arial" w:eastAsia="Times New Roman" w:hAnsi="Arial" w:cs="Arial"/>
                <w:sz w:val="18"/>
                <w:szCs w:val="18"/>
                <w:lang w:eastAsia="pt-BR"/>
              </w:rPr>
              <w:t>item 3.2 deste Anexo</w:t>
            </w:r>
            <w:r w:rsidRPr="00BB5923">
              <w:rPr>
                <w:rFonts w:ascii="Arial" w:eastAsia="Times New Roman" w:hAnsi="Arial" w:cs="Arial"/>
                <w:sz w:val="18"/>
                <w:szCs w:val="18"/>
                <w:lang w:eastAsia="pt-BR"/>
              </w:rPr>
              <w:t>.</w:t>
            </w:r>
          </w:p>
        </w:tc>
        <w:tc>
          <w:tcPr>
            <w:tcW w:w="992" w:type="dxa"/>
            <w:shd w:val="clear" w:color="auto" w:fill="auto"/>
            <w:vAlign w:val="center"/>
          </w:tcPr>
          <w:p w14:paraId="52C51F56" w14:textId="77777777" w:rsidR="00DA26B4" w:rsidRPr="00B6188E" w:rsidRDefault="00532985" w:rsidP="00886723">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DA26B4" w:rsidRPr="00A5490A" w14:paraId="6C1AE6FC" w14:textId="77777777" w:rsidTr="00CB7C58">
        <w:tc>
          <w:tcPr>
            <w:tcW w:w="1248" w:type="dxa"/>
            <w:vAlign w:val="center"/>
          </w:tcPr>
          <w:p w14:paraId="69F224E1" w14:textId="77777777" w:rsidR="00DA26B4" w:rsidRPr="00A5490A" w:rsidRDefault="00DA26B4" w:rsidP="00886723">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FIXSUB</w:t>
            </w:r>
          </w:p>
        </w:tc>
        <w:tc>
          <w:tcPr>
            <w:tcW w:w="6940" w:type="dxa"/>
            <w:shd w:val="clear" w:color="auto" w:fill="auto"/>
            <w:vAlign w:val="center"/>
          </w:tcPr>
          <w:p w14:paraId="097DAFEC" w14:textId="77777777" w:rsidR="00DA26B4" w:rsidRPr="00A5490A" w:rsidRDefault="00DA26B4" w:rsidP="00E7485C">
            <w:p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Instrumento normativo fixador dos subsídios dos Vereadores Municipais para a legislatura a que se refere a prestação de contas, bem como, as leis que concederam revisões gerais anuais nesse período.</w:t>
            </w:r>
          </w:p>
        </w:tc>
        <w:tc>
          <w:tcPr>
            <w:tcW w:w="992" w:type="dxa"/>
            <w:shd w:val="clear" w:color="auto" w:fill="auto"/>
            <w:vAlign w:val="center"/>
          </w:tcPr>
          <w:p w14:paraId="35D29E97" w14:textId="77777777" w:rsidR="00DA26B4" w:rsidRPr="00A5490A" w:rsidRDefault="00532985" w:rsidP="00886723">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BB5923" w:rsidRPr="00BB5923" w14:paraId="390F2BB2" w14:textId="77777777" w:rsidTr="00CB7C58">
        <w:tc>
          <w:tcPr>
            <w:tcW w:w="1248" w:type="dxa"/>
            <w:vAlign w:val="center"/>
          </w:tcPr>
          <w:p w14:paraId="62634657" w14:textId="77777777" w:rsidR="00DA26B4" w:rsidRPr="00BB5923" w:rsidRDefault="00DA26B4" w:rsidP="00B6188E">
            <w:pPr>
              <w:spacing w:before="120" w:after="120" w:line="240" w:lineRule="auto"/>
              <w:jc w:val="center"/>
              <w:rPr>
                <w:rFonts w:ascii="Arial" w:eastAsia="Times New Roman" w:hAnsi="Arial" w:cs="Arial"/>
                <w:sz w:val="18"/>
                <w:szCs w:val="18"/>
                <w:lang w:eastAsia="pt-BR"/>
              </w:rPr>
            </w:pPr>
            <w:r w:rsidRPr="00BB5923">
              <w:rPr>
                <w:rFonts w:ascii="Arial" w:eastAsia="Times New Roman" w:hAnsi="Arial" w:cs="Arial"/>
                <w:sz w:val="18"/>
                <w:szCs w:val="18"/>
                <w:lang w:eastAsia="pt-BR"/>
              </w:rPr>
              <w:lastRenderedPageBreak/>
              <w:t>DELREP</w:t>
            </w:r>
          </w:p>
        </w:tc>
        <w:tc>
          <w:tcPr>
            <w:tcW w:w="6940" w:type="dxa"/>
            <w:shd w:val="clear" w:color="auto" w:fill="auto"/>
            <w:vAlign w:val="center"/>
          </w:tcPr>
          <w:p w14:paraId="158E5558" w14:textId="1DA901E0" w:rsidR="00DA26B4" w:rsidRPr="00BB5923" w:rsidRDefault="00DA26B4" w:rsidP="00BB5923">
            <w:pPr>
              <w:tabs>
                <w:tab w:val="left" w:pos="851"/>
              </w:tabs>
              <w:spacing w:before="120" w:after="120" w:line="240" w:lineRule="auto"/>
              <w:jc w:val="both"/>
              <w:rPr>
                <w:rFonts w:ascii="Arial" w:eastAsia="Times New Roman" w:hAnsi="Arial" w:cs="Arial"/>
                <w:sz w:val="18"/>
                <w:szCs w:val="18"/>
                <w:lang w:eastAsia="pt-BR"/>
              </w:rPr>
            </w:pPr>
            <w:r w:rsidRPr="00BB5923">
              <w:rPr>
                <w:rFonts w:ascii="Arial" w:eastAsia="Times New Roman" w:hAnsi="Arial" w:cs="Arial"/>
                <w:sz w:val="18"/>
                <w:szCs w:val="18"/>
                <w:lang w:eastAsia="pt-BR"/>
              </w:rPr>
              <w:t xml:space="preserve">Declaração do ordenador de despesas, no ente que instituiu Regime Próprio de Previdência Social, sobre o repasse integral das contribuições previdenciárias (servidor e patronal), acrescido dos encargos financeiros em caso de atrasos, de todos os valores devidos no exercício financeiro ao RPPS, decorrentes de leis, acordos, termos de parcelamento e instrumentos congêneres, na forma </w:t>
            </w:r>
            <w:r w:rsidR="00BB5923" w:rsidRPr="00BB5923">
              <w:rPr>
                <w:rFonts w:ascii="Arial" w:eastAsia="Times New Roman" w:hAnsi="Arial" w:cs="Arial"/>
                <w:sz w:val="18"/>
                <w:szCs w:val="18"/>
                <w:lang w:eastAsia="pt-BR"/>
              </w:rPr>
              <w:t>do item 3.2 deste Anexo</w:t>
            </w:r>
            <w:r w:rsidRPr="00BB5923">
              <w:rPr>
                <w:rFonts w:ascii="Arial" w:eastAsia="Times New Roman" w:hAnsi="Arial" w:cs="Arial"/>
                <w:sz w:val="18"/>
                <w:szCs w:val="18"/>
                <w:lang w:eastAsia="pt-BR"/>
              </w:rPr>
              <w:t>.</w:t>
            </w:r>
          </w:p>
        </w:tc>
        <w:tc>
          <w:tcPr>
            <w:tcW w:w="992" w:type="dxa"/>
            <w:shd w:val="clear" w:color="auto" w:fill="auto"/>
            <w:vAlign w:val="center"/>
          </w:tcPr>
          <w:p w14:paraId="106CCD5D" w14:textId="77777777" w:rsidR="00DA26B4" w:rsidRPr="00BB5923" w:rsidRDefault="00532985" w:rsidP="001B0C70">
            <w:pPr>
              <w:spacing w:after="0" w:line="240" w:lineRule="auto"/>
              <w:jc w:val="center"/>
              <w:rPr>
                <w:rFonts w:ascii="Arial" w:eastAsia="Times New Roman" w:hAnsi="Arial" w:cs="Arial"/>
                <w:sz w:val="14"/>
                <w:szCs w:val="14"/>
                <w:lang w:eastAsia="pt-BR"/>
              </w:rPr>
            </w:pPr>
            <w:r w:rsidRPr="00BB5923">
              <w:rPr>
                <w:rFonts w:ascii="Arial" w:eastAsia="Times New Roman" w:hAnsi="Arial" w:cs="Arial"/>
                <w:sz w:val="14"/>
                <w:szCs w:val="14"/>
                <w:lang w:eastAsia="pt-BR"/>
              </w:rPr>
              <w:t>PDF</w:t>
            </w:r>
          </w:p>
        </w:tc>
      </w:tr>
      <w:tr w:rsidR="00BB5923" w:rsidRPr="00BB5923" w14:paraId="43F3E980" w14:textId="77777777" w:rsidTr="00CB7C58">
        <w:tc>
          <w:tcPr>
            <w:tcW w:w="1248" w:type="dxa"/>
            <w:vAlign w:val="center"/>
          </w:tcPr>
          <w:p w14:paraId="160C2D60" w14:textId="77777777" w:rsidR="00DA26B4" w:rsidRPr="00BB5923" w:rsidRDefault="00DA26B4" w:rsidP="00B6188E">
            <w:pPr>
              <w:spacing w:after="0" w:line="240" w:lineRule="auto"/>
              <w:jc w:val="center"/>
              <w:rPr>
                <w:rFonts w:ascii="Arial" w:eastAsia="Times New Roman" w:hAnsi="Arial" w:cs="Arial"/>
                <w:sz w:val="18"/>
                <w:szCs w:val="18"/>
                <w:lang w:eastAsia="pt-BR"/>
              </w:rPr>
            </w:pPr>
            <w:r w:rsidRPr="00BB5923">
              <w:rPr>
                <w:rFonts w:ascii="Arial" w:eastAsia="Times New Roman" w:hAnsi="Arial" w:cs="Arial"/>
                <w:sz w:val="18"/>
                <w:szCs w:val="18"/>
                <w:lang w:eastAsia="pt-BR"/>
              </w:rPr>
              <w:t>DELCEDI</w:t>
            </w:r>
          </w:p>
          <w:p w14:paraId="6C3569F4" w14:textId="77777777" w:rsidR="00DA26B4" w:rsidRPr="00BB5923" w:rsidRDefault="00DA26B4" w:rsidP="001B0C70">
            <w:pPr>
              <w:spacing w:after="0" w:line="240" w:lineRule="auto"/>
              <w:jc w:val="center"/>
              <w:rPr>
                <w:rFonts w:ascii="Arial" w:eastAsia="Times New Roman" w:hAnsi="Arial" w:cs="Arial"/>
                <w:sz w:val="18"/>
                <w:szCs w:val="18"/>
                <w:lang w:eastAsia="pt-BR"/>
              </w:rPr>
            </w:pPr>
          </w:p>
        </w:tc>
        <w:tc>
          <w:tcPr>
            <w:tcW w:w="6940" w:type="dxa"/>
            <w:shd w:val="clear" w:color="auto" w:fill="auto"/>
            <w:vAlign w:val="center"/>
          </w:tcPr>
          <w:p w14:paraId="582EAAAD" w14:textId="41EA6D6D" w:rsidR="00DA26B4" w:rsidRPr="00BB5923" w:rsidRDefault="00DA26B4" w:rsidP="00BB5923">
            <w:pPr>
              <w:spacing w:before="120" w:after="120" w:line="240" w:lineRule="auto"/>
              <w:jc w:val="both"/>
              <w:rPr>
                <w:rFonts w:ascii="Arial" w:hAnsi="Arial" w:cs="Arial"/>
              </w:rPr>
            </w:pPr>
            <w:r w:rsidRPr="00BB5923">
              <w:rPr>
                <w:rFonts w:ascii="Arial" w:eastAsia="Times New Roman" w:hAnsi="Arial" w:cs="Arial"/>
                <w:sz w:val="18"/>
                <w:szCs w:val="18"/>
                <w:lang w:eastAsia="pt-BR"/>
              </w:rPr>
              <w:t xml:space="preserve">Declaração do ordenador de despesas, no ente que instituiu Regime Próprio de Previdência Social, que o mesmo repassou integralmente todas as contribuições previdenciárias (servidor e patronal) devidas no exercício financeiro, incidentes sobre a remuneração de seus servidores efetivos cedidos (seja com ou sem ônus de ressarcimento), na forma </w:t>
            </w:r>
            <w:r w:rsidR="00BB5923" w:rsidRPr="00BB5923">
              <w:rPr>
                <w:rFonts w:ascii="Arial" w:eastAsia="Times New Roman" w:hAnsi="Arial" w:cs="Arial"/>
                <w:sz w:val="18"/>
                <w:szCs w:val="18"/>
                <w:lang w:eastAsia="pt-BR"/>
              </w:rPr>
              <w:t>do item 3.2 deste Anexo</w:t>
            </w:r>
            <w:r w:rsidRPr="00BB5923">
              <w:rPr>
                <w:rFonts w:ascii="Arial" w:eastAsia="Times New Roman" w:hAnsi="Arial" w:cs="Arial"/>
                <w:sz w:val="18"/>
                <w:szCs w:val="18"/>
                <w:lang w:eastAsia="pt-BR"/>
              </w:rPr>
              <w:t>.</w:t>
            </w:r>
            <w:r w:rsidRPr="00BB5923">
              <w:rPr>
                <w:rFonts w:ascii="Arial" w:hAnsi="Arial" w:cs="Arial"/>
              </w:rPr>
              <w:t xml:space="preserve"> </w:t>
            </w:r>
          </w:p>
        </w:tc>
        <w:tc>
          <w:tcPr>
            <w:tcW w:w="992" w:type="dxa"/>
            <w:shd w:val="clear" w:color="auto" w:fill="auto"/>
            <w:vAlign w:val="center"/>
          </w:tcPr>
          <w:p w14:paraId="1156A490" w14:textId="77777777" w:rsidR="00DA26B4" w:rsidRPr="00BB5923" w:rsidRDefault="00532985" w:rsidP="001B0C70">
            <w:pPr>
              <w:spacing w:after="0" w:line="240" w:lineRule="auto"/>
              <w:jc w:val="center"/>
              <w:rPr>
                <w:rFonts w:ascii="Arial" w:eastAsia="Times New Roman" w:hAnsi="Arial" w:cs="Arial"/>
                <w:sz w:val="14"/>
                <w:szCs w:val="14"/>
                <w:lang w:eastAsia="pt-BR"/>
              </w:rPr>
            </w:pPr>
            <w:r w:rsidRPr="00BB5923">
              <w:rPr>
                <w:rFonts w:ascii="Arial" w:eastAsia="Times New Roman" w:hAnsi="Arial" w:cs="Arial"/>
                <w:sz w:val="14"/>
                <w:szCs w:val="14"/>
                <w:lang w:eastAsia="pt-BR"/>
              </w:rPr>
              <w:t>PDF</w:t>
            </w:r>
          </w:p>
        </w:tc>
      </w:tr>
      <w:tr w:rsidR="00BB5923" w:rsidRPr="00BB5923" w14:paraId="4312F937" w14:textId="77777777" w:rsidTr="00CB7C58">
        <w:tc>
          <w:tcPr>
            <w:tcW w:w="1248" w:type="dxa"/>
            <w:vAlign w:val="center"/>
          </w:tcPr>
          <w:p w14:paraId="7F51AE62" w14:textId="77777777" w:rsidR="00DA26B4" w:rsidRPr="00BB5923" w:rsidRDefault="00DA26B4" w:rsidP="00B6188E">
            <w:pPr>
              <w:spacing w:before="120" w:after="120" w:line="240" w:lineRule="auto"/>
              <w:jc w:val="center"/>
              <w:rPr>
                <w:rFonts w:ascii="Arial" w:eastAsia="Times New Roman" w:hAnsi="Arial" w:cs="Arial"/>
                <w:sz w:val="18"/>
                <w:szCs w:val="18"/>
                <w:lang w:eastAsia="pt-BR"/>
              </w:rPr>
            </w:pPr>
            <w:r w:rsidRPr="00BB5923">
              <w:rPr>
                <w:rFonts w:ascii="Arial" w:eastAsia="Times New Roman" w:hAnsi="Arial" w:cs="Arial"/>
                <w:sz w:val="18"/>
                <w:szCs w:val="18"/>
                <w:lang w:eastAsia="pt-BR"/>
              </w:rPr>
              <w:t>DECINAT</w:t>
            </w:r>
          </w:p>
        </w:tc>
        <w:tc>
          <w:tcPr>
            <w:tcW w:w="6940" w:type="dxa"/>
            <w:shd w:val="clear" w:color="auto" w:fill="auto"/>
            <w:vAlign w:val="center"/>
          </w:tcPr>
          <w:p w14:paraId="7B9BF277" w14:textId="1780CC02" w:rsidR="00DA26B4" w:rsidRPr="00BB5923" w:rsidRDefault="00DA26B4" w:rsidP="00BB5923">
            <w:pPr>
              <w:spacing w:before="120" w:after="120" w:line="240" w:lineRule="auto"/>
              <w:jc w:val="both"/>
              <w:rPr>
                <w:rFonts w:ascii="Arial" w:eastAsia="Times New Roman" w:hAnsi="Arial" w:cs="Arial"/>
                <w:sz w:val="18"/>
                <w:szCs w:val="18"/>
                <w:lang w:eastAsia="pt-BR"/>
              </w:rPr>
            </w:pPr>
            <w:r w:rsidRPr="00BB5923">
              <w:rPr>
                <w:rFonts w:ascii="Arial" w:eastAsia="Times New Roman" w:hAnsi="Arial" w:cs="Arial"/>
                <w:sz w:val="18"/>
                <w:szCs w:val="18"/>
                <w:lang w:eastAsia="pt-BR"/>
              </w:rPr>
              <w:t xml:space="preserve">Declaração do ordenador de despesas informando se há pagamento de aposentadorias e pensões sendo realizados de forma direta pela entidade, e, caso ocorra, que informe o suporte legal para tal procedimento, além de planilha adicional informando o nome do beneficiário, o tipo de benefício, sua base legal de concessão, cargo que ocupava na atividade, a data e o número do ato concessão do benefício, o valor original e atualizado do benefício recebido, na forma </w:t>
            </w:r>
            <w:r w:rsidR="00BB5923" w:rsidRPr="00BB5923">
              <w:rPr>
                <w:rFonts w:ascii="Arial" w:eastAsia="Times New Roman" w:hAnsi="Arial" w:cs="Arial"/>
                <w:sz w:val="18"/>
                <w:szCs w:val="18"/>
                <w:lang w:eastAsia="pt-BR"/>
              </w:rPr>
              <w:t>do item 3.2 deste Anexo</w:t>
            </w:r>
            <w:r w:rsidRPr="00BB5923">
              <w:rPr>
                <w:rFonts w:ascii="Arial" w:eastAsia="Times New Roman" w:hAnsi="Arial" w:cs="Arial"/>
                <w:sz w:val="18"/>
                <w:szCs w:val="18"/>
                <w:lang w:eastAsia="pt-BR"/>
              </w:rPr>
              <w:t>.</w:t>
            </w:r>
          </w:p>
        </w:tc>
        <w:tc>
          <w:tcPr>
            <w:tcW w:w="992" w:type="dxa"/>
            <w:shd w:val="clear" w:color="auto" w:fill="auto"/>
            <w:vAlign w:val="center"/>
          </w:tcPr>
          <w:p w14:paraId="28B1ABA7" w14:textId="77777777" w:rsidR="00DA26B4" w:rsidRPr="00BB5923" w:rsidRDefault="00532985" w:rsidP="001B0C70">
            <w:pPr>
              <w:spacing w:before="120" w:after="120" w:line="240" w:lineRule="auto"/>
              <w:jc w:val="center"/>
              <w:rPr>
                <w:rFonts w:ascii="Arial" w:eastAsia="Times New Roman" w:hAnsi="Arial" w:cs="Arial"/>
                <w:sz w:val="14"/>
                <w:szCs w:val="14"/>
                <w:lang w:eastAsia="pt-BR"/>
              </w:rPr>
            </w:pPr>
            <w:r w:rsidRPr="00BB5923">
              <w:rPr>
                <w:rFonts w:ascii="Arial" w:eastAsia="Times New Roman" w:hAnsi="Arial" w:cs="Arial"/>
                <w:sz w:val="14"/>
                <w:szCs w:val="14"/>
                <w:lang w:eastAsia="pt-BR"/>
              </w:rPr>
              <w:t>PDF</w:t>
            </w:r>
          </w:p>
        </w:tc>
      </w:tr>
      <w:tr w:rsidR="00153E04" w:rsidRPr="00BB5923" w14:paraId="65D87708" w14:textId="77777777" w:rsidTr="00CB7C58">
        <w:tc>
          <w:tcPr>
            <w:tcW w:w="1248" w:type="dxa"/>
            <w:vAlign w:val="center"/>
          </w:tcPr>
          <w:p w14:paraId="60F89878" w14:textId="7C674703" w:rsidR="00153E04" w:rsidRPr="00153E04" w:rsidRDefault="00153E04" w:rsidP="00153E04">
            <w:pPr>
              <w:spacing w:before="120" w:after="120" w:line="240" w:lineRule="auto"/>
              <w:jc w:val="center"/>
              <w:rPr>
                <w:rFonts w:ascii="Arial" w:eastAsia="Times New Roman" w:hAnsi="Arial" w:cs="Arial"/>
                <w:sz w:val="18"/>
                <w:szCs w:val="18"/>
                <w:lang w:eastAsia="pt-BR"/>
              </w:rPr>
            </w:pPr>
            <w:r w:rsidRPr="00153E04">
              <w:rPr>
                <w:rFonts w:ascii="Arial" w:eastAsia="Times New Roman" w:hAnsi="Arial" w:cs="Arial"/>
                <w:sz w:val="18"/>
                <w:szCs w:val="18"/>
                <w:lang w:eastAsia="pt-BR"/>
              </w:rPr>
              <w:t>LIMITA</w:t>
            </w:r>
          </w:p>
        </w:tc>
        <w:tc>
          <w:tcPr>
            <w:tcW w:w="6940" w:type="dxa"/>
            <w:shd w:val="clear" w:color="auto" w:fill="auto"/>
            <w:vAlign w:val="center"/>
          </w:tcPr>
          <w:p w14:paraId="3BFE1BD2" w14:textId="211C444A" w:rsidR="00153E04" w:rsidRPr="00153E04" w:rsidRDefault="00153E04" w:rsidP="00153E04">
            <w:pPr>
              <w:spacing w:before="120" w:after="120" w:line="240" w:lineRule="auto"/>
              <w:jc w:val="both"/>
              <w:rPr>
                <w:rFonts w:ascii="Arial" w:eastAsia="Times New Roman" w:hAnsi="Arial" w:cs="Arial"/>
                <w:sz w:val="18"/>
                <w:szCs w:val="18"/>
                <w:lang w:eastAsia="pt-BR"/>
              </w:rPr>
            </w:pPr>
            <w:r w:rsidRPr="00153E04">
              <w:rPr>
                <w:rFonts w:ascii="Arial" w:eastAsia="Times New Roman" w:hAnsi="Arial" w:cs="Arial"/>
                <w:sz w:val="18"/>
                <w:szCs w:val="18"/>
                <w:lang w:eastAsia="pt-BR"/>
              </w:rPr>
              <w:t>Atos da autoridade competente expedidos no exercício da prestação de contas promovendo a limitação de empenho e movimentação financeira, quando foi constatado que a realização da receita não comportou o cumprimento das metas de resultado primário ou nominal estabelecidas no Anexo de Metas Fiscais.</w:t>
            </w:r>
          </w:p>
        </w:tc>
        <w:tc>
          <w:tcPr>
            <w:tcW w:w="992" w:type="dxa"/>
            <w:shd w:val="clear" w:color="auto" w:fill="auto"/>
            <w:vAlign w:val="center"/>
          </w:tcPr>
          <w:p w14:paraId="1E7E142B" w14:textId="54748AA5" w:rsidR="00153E04" w:rsidRPr="00153E04" w:rsidRDefault="00153E04" w:rsidP="00153E04">
            <w:pPr>
              <w:spacing w:before="120" w:after="120" w:line="240" w:lineRule="auto"/>
              <w:jc w:val="center"/>
              <w:rPr>
                <w:rFonts w:ascii="Arial" w:eastAsia="Times New Roman" w:hAnsi="Arial" w:cs="Arial"/>
                <w:sz w:val="14"/>
                <w:szCs w:val="14"/>
                <w:lang w:eastAsia="pt-BR"/>
              </w:rPr>
            </w:pPr>
            <w:r w:rsidRPr="00153E04">
              <w:rPr>
                <w:rFonts w:ascii="Arial" w:eastAsia="Times New Roman" w:hAnsi="Arial" w:cs="Arial"/>
                <w:sz w:val="14"/>
                <w:szCs w:val="14"/>
                <w:lang w:eastAsia="pt-BR"/>
              </w:rPr>
              <w:t>PDF</w:t>
            </w:r>
          </w:p>
        </w:tc>
      </w:tr>
      <w:tr w:rsidR="00153E04" w:rsidRPr="00BB5923" w14:paraId="5C310A21" w14:textId="77777777" w:rsidTr="00CB7C58">
        <w:tc>
          <w:tcPr>
            <w:tcW w:w="1248" w:type="dxa"/>
            <w:vAlign w:val="center"/>
          </w:tcPr>
          <w:p w14:paraId="041518C9" w14:textId="15F7CBE3" w:rsidR="00153E04" w:rsidRPr="00153E04" w:rsidRDefault="00153E04" w:rsidP="00153E04">
            <w:pPr>
              <w:spacing w:before="120" w:after="120" w:line="240" w:lineRule="auto"/>
              <w:jc w:val="center"/>
              <w:rPr>
                <w:rFonts w:ascii="Arial" w:eastAsia="Times New Roman" w:hAnsi="Arial" w:cs="Arial"/>
                <w:sz w:val="18"/>
                <w:szCs w:val="18"/>
                <w:lang w:eastAsia="pt-BR"/>
              </w:rPr>
            </w:pPr>
            <w:r w:rsidRPr="00153E04">
              <w:rPr>
                <w:rFonts w:ascii="Arial" w:eastAsia="Arial" w:hAnsi="Arial" w:cs="Arial"/>
                <w:sz w:val="18"/>
              </w:rPr>
              <w:t>CRONOS</w:t>
            </w:r>
          </w:p>
        </w:tc>
        <w:tc>
          <w:tcPr>
            <w:tcW w:w="6940" w:type="dxa"/>
            <w:shd w:val="clear" w:color="auto" w:fill="auto"/>
            <w:vAlign w:val="center"/>
          </w:tcPr>
          <w:p w14:paraId="38648088" w14:textId="5E55852D" w:rsidR="00153E04" w:rsidRPr="00153E04" w:rsidRDefault="00153E04" w:rsidP="00153E04">
            <w:pPr>
              <w:spacing w:before="120" w:after="120" w:line="240" w:lineRule="auto"/>
              <w:jc w:val="both"/>
              <w:rPr>
                <w:rFonts w:ascii="Arial" w:eastAsia="Times New Roman" w:hAnsi="Arial" w:cs="Arial"/>
                <w:sz w:val="18"/>
                <w:szCs w:val="18"/>
                <w:lang w:eastAsia="pt-BR"/>
              </w:rPr>
            </w:pPr>
            <w:r w:rsidRPr="00153E04">
              <w:rPr>
                <w:rFonts w:ascii="Arial" w:eastAsia="Times New Roman" w:hAnsi="Arial" w:cs="Arial"/>
                <w:sz w:val="18"/>
                <w:szCs w:val="18"/>
                <w:lang w:eastAsia="pt-BR"/>
              </w:rPr>
              <w:t>Ato(s) normativo(s) da autoridade competente regulamentando a ordem cronológica dos pagamentos, nos termos do art. 5º da Lei Federal nº. 8666/93.</w:t>
            </w:r>
          </w:p>
        </w:tc>
        <w:tc>
          <w:tcPr>
            <w:tcW w:w="992" w:type="dxa"/>
            <w:shd w:val="clear" w:color="auto" w:fill="auto"/>
            <w:vAlign w:val="center"/>
          </w:tcPr>
          <w:p w14:paraId="02A3AD03" w14:textId="11E2F4A7" w:rsidR="00153E04" w:rsidRPr="00153E04" w:rsidRDefault="00153E04" w:rsidP="00153E04">
            <w:pPr>
              <w:spacing w:before="120" w:after="120" w:line="240" w:lineRule="auto"/>
              <w:jc w:val="center"/>
              <w:rPr>
                <w:rFonts w:ascii="Arial" w:eastAsia="Times New Roman" w:hAnsi="Arial" w:cs="Arial"/>
                <w:sz w:val="14"/>
                <w:szCs w:val="14"/>
                <w:lang w:eastAsia="pt-BR"/>
              </w:rPr>
            </w:pPr>
            <w:r w:rsidRPr="00153E04">
              <w:rPr>
                <w:rFonts w:ascii="Arial" w:eastAsia="Times New Roman" w:hAnsi="Arial" w:cs="Arial"/>
                <w:sz w:val="14"/>
                <w:szCs w:val="14"/>
                <w:lang w:eastAsia="pt-BR"/>
              </w:rPr>
              <w:t>PDF</w:t>
            </w:r>
          </w:p>
        </w:tc>
      </w:tr>
      <w:tr w:rsidR="00153E04" w:rsidRPr="00BB5923" w14:paraId="1307B4BD" w14:textId="77777777" w:rsidTr="00CB7C58">
        <w:tc>
          <w:tcPr>
            <w:tcW w:w="1248" w:type="dxa"/>
            <w:vAlign w:val="center"/>
          </w:tcPr>
          <w:p w14:paraId="30A7261D" w14:textId="4AD07452" w:rsidR="00153E04" w:rsidRPr="00153E04" w:rsidRDefault="00153E04" w:rsidP="00153E04">
            <w:pPr>
              <w:spacing w:before="120" w:after="120" w:line="240" w:lineRule="auto"/>
              <w:jc w:val="center"/>
              <w:rPr>
                <w:rFonts w:ascii="Arial" w:eastAsia="Times New Roman" w:hAnsi="Arial" w:cs="Arial"/>
                <w:sz w:val="18"/>
                <w:szCs w:val="18"/>
                <w:lang w:eastAsia="pt-BR"/>
              </w:rPr>
            </w:pPr>
            <w:r w:rsidRPr="00153E04">
              <w:rPr>
                <w:rFonts w:ascii="Arial" w:eastAsia="Arial" w:hAnsi="Arial" w:cs="Arial"/>
                <w:sz w:val="18"/>
              </w:rPr>
              <w:t>JUSTCRO</w:t>
            </w:r>
          </w:p>
        </w:tc>
        <w:tc>
          <w:tcPr>
            <w:tcW w:w="6940" w:type="dxa"/>
            <w:shd w:val="clear" w:color="auto" w:fill="auto"/>
            <w:vAlign w:val="center"/>
          </w:tcPr>
          <w:p w14:paraId="176E06E5" w14:textId="3A0B5CD5" w:rsidR="00153E04" w:rsidRPr="00153E04" w:rsidRDefault="00153E04" w:rsidP="00153E04">
            <w:pPr>
              <w:spacing w:before="120" w:after="120" w:line="240" w:lineRule="auto"/>
              <w:jc w:val="both"/>
              <w:rPr>
                <w:rFonts w:ascii="Arial" w:eastAsia="Times New Roman" w:hAnsi="Arial" w:cs="Arial"/>
                <w:sz w:val="18"/>
                <w:szCs w:val="18"/>
                <w:lang w:eastAsia="pt-BR"/>
              </w:rPr>
            </w:pPr>
            <w:r w:rsidRPr="00153E04">
              <w:rPr>
                <w:rFonts w:ascii="Arial" w:eastAsia="Times New Roman" w:hAnsi="Arial" w:cs="Arial"/>
                <w:sz w:val="18"/>
                <w:szCs w:val="18"/>
                <w:lang w:eastAsia="pt-BR"/>
              </w:rPr>
              <w:t>Justificativas da autoridade competente evidenciando as relevantes razões de interesse público para todos os pagamentos que inobservaram a estrita ordem cronológica das datas de suas exigibilidades, para cada fonte diferenciada de recursos, acompanhadas de suas respectivas publicações no exercício.</w:t>
            </w:r>
          </w:p>
        </w:tc>
        <w:tc>
          <w:tcPr>
            <w:tcW w:w="992" w:type="dxa"/>
            <w:shd w:val="clear" w:color="auto" w:fill="auto"/>
            <w:vAlign w:val="center"/>
          </w:tcPr>
          <w:p w14:paraId="730B494B" w14:textId="60F5388F" w:rsidR="00153E04" w:rsidRPr="00153E04" w:rsidRDefault="00153E04" w:rsidP="00153E04">
            <w:pPr>
              <w:spacing w:before="120" w:after="120" w:line="240" w:lineRule="auto"/>
              <w:jc w:val="center"/>
              <w:rPr>
                <w:rFonts w:ascii="Arial" w:eastAsia="Times New Roman" w:hAnsi="Arial" w:cs="Arial"/>
                <w:sz w:val="14"/>
                <w:szCs w:val="14"/>
                <w:lang w:eastAsia="pt-BR"/>
              </w:rPr>
            </w:pPr>
            <w:r w:rsidRPr="00153E04">
              <w:rPr>
                <w:rFonts w:ascii="Arial" w:eastAsia="Times New Roman" w:hAnsi="Arial" w:cs="Arial"/>
                <w:sz w:val="14"/>
                <w:szCs w:val="14"/>
                <w:lang w:eastAsia="pt-BR"/>
              </w:rPr>
              <w:t>PDF</w:t>
            </w:r>
          </w:p>
        </w:tc>
      </w:tr>
      <w:tr w:rsidR="00153E04" w:rsidRPr="00BB5923" w14:paraId="202DA258" w14:textId="77777777" w:rsidTr="00CB7C58">
        <w:tc>
          <w:tcPr>
            <w:tcW w:w="1248" w:type="dxa"/>
            <w:vAlign w:val="center"/>
          </w:tcPr>
          <w:p w14:paraId="09CE097C" w14:textId="3A87B658" w:rsidR="00153E04" w:rsidRPr="00153E04" w:rsidRDefault="00153E04" w:rsidP="00153E04">
            <w:pPr>
              <w:spacing w:before="120" w:after="120" w:line="240" w:lineRule="auto"/>
              <w:jc w:val="center"/>
              <w:rPr>
                <w:rFonts w:ascii="Arial" w:eastAsia="Times New Roman" w:hAnsi="Arial" w:cs="Arial"/>
                <w:sz w:val="18"/>
                <w:szCs w:val="18"/>
                <w:lang w:eastAsia="pt-BR"/>
              </w:rPr>
            </w:pPr>
            <w:r w:rsidRPr="00153E04">
              <w:rPr>
                <w:rFonts w:ascii="Arial" w:eastAsia="Arial" w:hAnsi="Arial" w:cs="Arial"/>
                <w:sz w:val="18"/>
              </w:rPr>
              <w:t>PESS</w:t>
            </w:r>
          </w:p>
        </w:tc>
        <w:tc>
          <w:tcPr>
            <w:tcW w:w="6940" w:type="dxa"/>
            <w:shd w:val="clear" w:color="auto" w:fill="auto"/>
            <w:vAlign w:val="center"/>
          </w:tcPr>
          <w:p w14:paraId="404E9D1C" w14:textId="036B1322" w:rsidR="00153E04" w:rsidRPr="00153E04" w:rsidRDefault="00153E04" w:rsidP="00153E04">
            <w:pPr>
              <w:spacing w:before="120" w:after="120" w:line="240" w:lineRule="auto"/>
              <w:jc w:val="both"/>
              <w:rPr>
                <w:rFonts w:ascii="Arial" w:eastAsia="Times New Roman" w:hAnsi="Arial" w:cs="Arial"/>
                <w:sz w:val="18"/>
                <w:szCs w:val="18"/>
                <w:lang w:eastAsia="pt-BR"/>
              </w:rPr>
            </w:pPr>
            <w:r w:rsidRPr="00153E04">
              <w:rPr>
                <w:rFonts w:ascii="Arial" w:eastAsia="Times New Roman" w:hAnsi="Arial" w:cs="Arial"/>
                <w:sz w:val="18"/>
                <w:szCs w:val="18"/>
                <w:lang w:eastAsia="pt-BR"/>
              </w:rPr>
              <w:t>Declaração do Chefe do Poder assegurando o atendimento ao artigo 21 da Lei de Responsabilidade Fiscal e ao artigo 8º da Lei Complementar 173/2020, na forma do item 3.2 deste Anexo.</w:t>
            </w:r>
          </w:p>
        </w:tc>
        <w:tc>
          <w:tcPr>
            <w:tcW w:w="992" w:type="dxa"/>
            <w:shd w:val="clear" w:color="auto" w:fill="auto"/>
            <w:vAlign w:val="center"/>
          </w:tcPr>
          <w:p w14:paraId="22EE0474" w14:textId="3DC9A591" w:rsidR="00153E04" w:rsidRPr="00153E04" w:rsidRDefault="00153E04" w:rsidP="00153E04">
            <w:pPr>
              <w:spacing w:before="120" w:after="120" w:line="240" w:lineRule="auto"/>
              <w:jc w:val="center"/>
              <w:rPr>
                <w:rFonts w:ascii="Arial" w:eastAsia="Times New Roman" w:hAnsi="Arial" w:cs="Arial"/>
                <w:sz w:val="14"/>
                <w:szCs w:val="14"/>
                <w:lang w:eastAsia="pt-BR"/>
              </w:rPr>
            </w:pPr>
            <w:r w:rsidRPr="00153E04">
              <w:rPr>
                <w:rFonts w:ascii="Arial" w:eastAsia="Times New Roman" w:hAnsi="Arial" w:cs="Arial"/>
                <w:sz w:val="14"/>
                <w:szCs w:val="14"/>
                <w:lang w:eastAsia="pt-BR"/>
              </w:rPr>
              <w:t>PDF</w:t>
            </w:r>
          </w:p>
        </w:tc>
      </w:tr>
      <w:tr w:rsidR="00153E04" w:rsidRPr="00BB5923" w14:paraId="6518CCC3" w14:textId="77777777" w:rsidTr="00CB7C58">
        <w:tc>
          <w:tcPr>
            <w:tcW w:w="1248" w:type="dxa"/>
            <w:vAlign w:val="center"/>
          </w:tcPr>
          <w:p w14:paraId="4964D9ED" w14:textId="7BE17793" w:rsidR="00153E04" w:rsidRPr="00153E04" w:rsidRDefault="00153E04" w:rsidP="00153E04">
            <w:pPr>
              <w:spacing w:before="120" w:after="120" w:line="240" w:lineRule="auto"/>
              <w:jc w:val="center"/>
              <w:rPr>
                <w:rFonts w:ascii="Arial" w:eastAsia="Times New Roman" w:hAnsi="Arial" w:cs="Arial"/>
                <w:sz w:val="18"/>
                <w:szCs w:val="18"/>
                <w:lang w:eastAsia="pt-BR"/>
              </w:rPr>
            </w:pPr>
            <w:r w:rsidRPr="00153E04">
              <w:rPr>
                <w:rFonts w:ascii="Arial" w:eastAsia="Arial" w:hAnsi="Arial" w:cs="Arial"/>
                <w:sz w:val="18"/>
              </w:rPr>
              <w:t>LEIPESS</w:t>
            </w:r>
          </w:p>
        </w:tc>
        <w:tc>
          <w:tcPr>
            <w:tcW w:w="6940" w:type="dxa"/>
            <w:shd w:val="clear" w:color="auto" w:fill="auto"/>
            <w:vAlign w:val="center"/>
          </w:tcPr>
          <w:p w14:paraId="3D093350" w14:textId="13B542AF" w:rsidR="00153E04" w:rsidRPr="00153E04" w:rsidRDefault="00153E04" w:rsidP="00153E04">
            <w:pPr>
              <w:spacing w:before="120" w:after="120" w:line="240" w:lineRule="auto"/>
              <w:jc w:val="both"/>
              <w:rPr>
                <w:rFonts w:ascii="Arial" w:eastAsia="Times New Roman" w:hAnsi="Arial" w:cs="Arial"/>
                <w:sz w:val="18"/>
                <w:szCs w:val="18"/>
                <w:lang w:eastAsia="pt-BR"/>
              </w:rPr>
            </w:pPr>
            <w:r w:rsidRPr="00153E04">
              <w:rPr>
                <w:rFonts w:ascii="Arial" w:eastAsia="Times New Roman" w:hAnsi="Arial" w:cs="Arial"/>
                <w:sz w:val="18"/>
                <w:szCs w:val="18"/>
                <w:lang w:eastAsia="pt-BR"/>
              </w:rPr>
              <w:t>Cópia das leis e/ou norma(s) legal(is) contendo qualquer criação, alteração, reestruturação de cargos, carreiras, empregos públicos, funções, vantagens, adicionais, auxílios, reajustes salariais e revisão geral anual concedidas, editadas, sancionadas e/ou aprovadas no exercício da prestação de contas.</w:t>
            </w:r>
          </w:p>
        </w:tc>
        <w:tc>
          <w:tcPr>
            <w:tcW w:w="992" w:type="dxa"/>
            <w:shd w:val="clear" w:color="auto" w:fill="auto"/>
            <w:vAlign w:val="center"/>
          </w:tcPr>
          <w:p w14:paraId="25025237" w14:textId="2BCBE5DA" w:rsidR="00153E04" w:rsidRPr="00153E04" w:rsidRDefault="00153E04" w:rsidP="00153E04">
            <w:pPr>
              <w:spacing w:before="120" w:after="120" w:line="240" w:lineRule="auto"/>
              <w:jc w:val="center"/>
              <w:rPr>
                <w:rFonts w:ascii="Arial" w:eastAsia="Times New Roman" w:hAnsi="Arial" w:cs="Arial"/>
                <w:sz w:val="14"/>
                <w:szCs w:val="14"/>
                <w:lang w:eastAsia="pt-BR"/>
              </w:rPr>
            </w:pPr>
            <w:r w:rsidRPr="00153E04">
              <w:rPr>
                <w:rFonts w:ascii="Arial" w:eastAsia="Times New Roman" w:hAnsi="Arial" w:cs="Arial"/>
                <w:sz w:val="14"/>
                <w:szCs w:val="14"/>
                <w:lang w:eastAsia="pt-BR"/>
              </w:rPr>
              <w:t>PDF</w:t>
            </w:r>
          </w:p>
        </w:tc>
      </w:tr>
      <w:tr w:rsidR="00BB5923" w:rsidRPr="00A5490A" w14:paraId="2CCDEC6A" w14:textId="77777777" w:rsidTr="00CB7C58">
        <w:tc>
          <w:tcPr>
            <w:tcW w:w="1248" w:type="dxa"/>
            <w:vAlign w:val="center"/>
          </w:tcPr>
          <w:p w14:paraId="49EF7AC3" w14:textId="645A013B" w:rsidR="00BB5923" w:rsidRDefault="00BB5923" w:rsidP="00BB5923">
            <w:pPr>
              <w:spacing w:after="0" w:line="240" w:lineRule="auto"/>
              <w:jc w:val="center"/>
              <w:rPr>
                <w:rFonts w:ascii="Arial" w:eastAsia="Times New Roman" w:hAnsi="Arial" w:cs="Arial"/>
                <w:sz w:val="18"/>
                <w:szCs w:val="18"/>
                <w:lang w:eastAsia="pt-BR"/>
              </w:rPr>
            </w:pPr>
            <w:r>
              <w:rPr>
                <w:rFonts w:ascii="Arial" w:eastAsia="Times New Roman" w:hAnsi="Arial" w:cs="Arial"/>
                <w:sz w:val="18"/>
                <w:szCs w:val="18"/>
                <w:lang w:eastAsia="pt-BR"/>
              </w:rPr>
              <w:t>NOTAEXP</w:t>
            </w:r>
          </w:p>
        </w:tc>
        <w:tc>
          <w:tcPr>
            <w:tcW w:w="6940" w:type="dxa"/>
            <w:shd w:val="clear" w:color="auto" w:fill="auto"/>
            <w:vAlign w:val="center"/>
          </w:tcPr>
          <w:p w14:paraId="17A1CD34" w14:textId="77777777" w:rsidR="00BB5923" w:rsidRPr="00BB5923" w:rsidRDefault="00BB5923" w:rsidP="00BB5923">
            <w:pPr>
              <w:pStyle w:val="TableParagraph"/>
              <w:spacing w:before="120" w:after="120"/>
              <w:ind w:left="102" w:right="111"/>
              <w:jc w:val="both"/>
              <w:rPr>
                <w:rFonts w:ascii="Arial" w:hAnsi="Arial" w:cs="Arial"/>
                <w:sz w:val="18"/>
                <w:szCs w:val="18"/>
                <w:lang w:val="pt-BR"/>
              </w:rPr>
            </w:pPr>
            <w:r w:rsidRPr="00BB5923">
              <w:rPr>
                <w:rFonts w:ascii="Arial" w:hAnsi="Arial" w:cs="Arial"/>
                <w:sz w:val="18"/>
                <w:szCs w:val="18"/>
                <w:lang w:val="pt-BR"/>
              </w:rPr>
              <w:t>Notas Explicativas às Demonstrações Contábeis, conforme layout constante do item 3.1 deste Anexo, contendo:</w:t>
            </w:r>
          </w:p>
          <w:p w14:paraId="354A0B13" w14:textId="77777777" w:rsidR="00BB5923" w:rsidRPr="00BB5923" w:rsidRDefault="00BB5923" w:rsidP="005C719B">
            <w:pPr>
              <w:pStyle w:val="PargrafodaLista"/>
              <w:numPr>
                <w:ilvl w:val="0"/>
                <w:numId w:val="35"/>
              </w:numPr>
              <w:spacing w:before="120" w:after="120" w:line="240" w:lineRule="auto"/>
              <w:ind w:left="822"/>
              <w:contextualSpacing w:val="0"/>
              <w:jc w:val="both"/>
              <w:rPr>
                <w:rFonts w:ascii="Arial" w:hAnsi="Arial" w:cs="Arial"/>
                <w:sz w:val="18"/>
                <w:szCs w:val="18"/>
              </w:rPr>
            </w:pPr>
            <w:r w:rsidRPr="00BB5923">
              <w:rPr>
                <w:rFonts w:ascii="Arial" w:hAnsi="Arial" w:cs="Arial"/>
                <w:sz w:val="18"/>
                <w:szCs w:val="18"/>
              </w:rPr>
              <w:t>Informações gerais da entidade: natureza jurídica, natureza das operações, atividades desempenhadas, lei de instituição, conforme o caso, e declaração de conformidade com leis e normas de contabilidade aplicáveis;</w:t>
            </w:r>
          </w:p>
          <w:p w14:paraId="7497A0CE" w14:textId="77777777" w:rsidR="00BB5923" w:rsidRPr="00BB5923" w:rsidRDefault="00BB5923" w:rsidP="005C719B">
            <w:pPr>
              <w:pStyle w:val="PargrafodaLista"/>
              <w:numPr>
                <w:ilvl w:val="0"/>
                <w:numId w:val="35"/>
              </w:numPr>
              <w:spacing w:before="120" w:after="120" w:line="240" w:lineRule="auto"/>
              <w:ind w:left="822"/>
              <w:contextualSpacing w:val="0"/>
              <w:jc w:val="both"/>
              <w:rPr>
                <w:rFonts w:ascii="Arial" w:hAnsi="Arial" w:cs="Arial"/>
                <w:sz w:val="18"/>
                <w:szCs w:val="18"/>
              </w:rPr>
            </w:pPr>
            <w:r w:rsidRPr="00BB5923">
              <w:rPr>
                <w:rFonts w:ascii="Arial" w:hAnsi="Arial" w:cs="Arial"/>
                <w:sz w:val="18"/>
                <w:szCs w:val="18"/>
              </w:rPr>
              <w:t>Resumo das Políticas Contábeis relevantes: base de mensuração utilizada, adoção de novas políticas contábeis;</w:t>
            </w:r>
          </w:p>
          <w:p w14:paraId="7800F4EB" w14:textId="77777777" w:rsidR="00BB5923" w:rsidRPr="00BB5923" w:rsidRDefault="00BB5923" w:rsidP="005C719B">
            <w:pPr>
              <w:pStyle w:val="PargrafodaLista"/>
              <w:numPr>
                <w:ilvl w:val="0"/>
                <w:numId w:val="35"/>
              </w:numPr>
              <w:spacing w:before="120" w:after="120" w:line="240" w:lineRule="auto"/>
              <w:ind w:left="822"/>
              <w:contextualSpacing w:val="0"/>
              <w:jc w:val="both"/>
              <w:rPr>
                <w:rFonts w:ascii="Arial" w:hAnsi="Arial" w:cs="Arial"/>
                <w:sz w:val="18"/>
                <w:szCs w:val="18"/>
              </w:rPr>
            </w:pPr>
            <w:r w:rsidRPr="00BB5923">
              <w:rPr>
                <w:rFonts w:ascii="Arial" w:hAnsi="Arial" w:cs="Arial"/>
                <w:sz w:val="18"/>
                <w:szCs w:val="18"/>
              </w:rPr>
              <w:t>Detalhamento de informações relevantes contidas nos Demonstrativos Contábeis;</w:t>
            </w:r>
          </w:p>
          <w:p w14:paraId="1F750744" w14:textId="57C0E5C3" w:rsidR="00BB5923" w:rsidRPr="00BB5923" w:rsidRDefault="00BB5923" w:rsidP="005C719B">
            <w:pPr>
              <w:pStyle w:val="PargrafodaLista"/>
              <w:numPr>
                <w:ilvl w:val="0"/>
                <w:numId w:val="35"/>
              </w:numPr>
              <w:spacing w:before="120" w:after="120" w:line="240" w:lineRule="auto"/>
              <w:ind w:left="822"/>
              <w:contextualSpacing w:val="0"/>
              <w:jc w:val="both"/>
              <w:rPr>
                <w:rFonts w:ascii="Arial" w:eastAsia="Times New Roman" w:hAnsi="Arial" w:cs="Arial"/>
                <w:sz w:val="18"/>
                <w:szCs w:val="18"/>
                <w:lang w:eastAsia="pt-BR"/>
              </w:rPr>
            </w:pPr>
            <w:r w:rsidRPr="00BB5923">
              <w:rPr>
                <w:rFonts w:ascii="Arial" w:hAnsi="Arial" w:cs="Arial"/>
                <w:sz w:val="18"/>
                <w:szCs w:val="18"/>
              </w:rPr>
              <w:t>Demais informações relevantes: passivos contingentes e compromissos contratuais não reconhecidos; ajustes decorrentes de erros, etc.</w:t>
            </w:r>
          </w:p>
        </w:tc>
        <w:tc>
          <w:tcPr>
            <w:tcW w:w="992" w:type="dxa"/>
            <w:shd w:val="clear" w:color="auto" w:fill="auto"/>
            <w:vAlign w:val="center"/>
          </w:tcPr>
          <w:p w14:paraId="67A47FF6" w14:textId="65749B4A" w:rsidR="00BB5923" w:rsidRPr="00BB5923" w:rsidRDefault="00BB5923" w:rsidP="00BB5923">
            <w:pPr>
              <w:spacing w:after="0" w:line="240" w:lineRule="auto"/>
              <w:jc w:val="center"/>
              <w:rPr>
                <w:rFonts w:ascii="Arial" w:eastAsia="Times New Roman" w:hAnsi="Arial" w:cs="Arial"/>
                <w:sz w:val="14"/>
                <w:szCs w:val="14"/>
                <w:lang w:eastAsia="pt-BR"/>
              </w:rPr>
            </w:pPr>
            <w:r w:rsidRPr="00BB5923">
              <w:rPr>
                <w:rFonts w:ascii="Arial" w:eastAsia="Times New Roman" w:hAnsi="Arial" w:cs="Arial"/>
                <w:sz w:val="14"/>
                <w:szCs w:val="14"/>
                <w:lang w:eastAsia="pt-BR"/>
              </w:rPr>
              <w:t>XML</w:t>
            </w:r>
          </w:p>
        </w:tc>
      </w:tr>
      <w:tr w:rsidR="002223C0" w:rsidRPr="00A5490A" w14:paraId="2AFB35A3" w14:textId="77777777" w:rsidTr="00CB7C58">
        <w:tc>
          <w:tcPr>
            <w:tcW w:w="1248" w:type="dxa"/>
            <w:vAlign w:val="center"/>
          </w:tcPr>
          <w:p w14:paraId="72F3757F" w14:textId="77777777" w:rsidR="002223C0" w:rsidRPr="00A5490A" w:rsidRDefault="002223C0" w:rsidP="00886723">
            <w:pPr>
              <w:spacing w:after="0" w:line="240" w:lineRule="auto"/>
              <w:jc w:val="center"/>
              <w:rPr>
                <w:rFonts w:ascii="Arial" w:eastAsia="Times New Roman" w:hAnsi="Arial" w:cs="Arial"/>
                <w:sz w:val="18"/>
                <w:szCs w:val="18"/>
                <w:lang w:eastAsia="pt-BR"/>
              </w:rPr>
            </w:pPr>
            <w:r>
              <w:rPr>
                <w:rFonts w:ascii="Arial" w:eastAsia="Times New Roman" w:hAnsi="Arial" w:cs="Arial"/>
                <w:sz w:val="18"/>
                <w:szCs w:val="18"/>
                <w:lang w:eastAsia="pt-BR"/>
              </w:rPr>
              <w:t>DOCSPCA</w:t>
            </w:r>
          </w:p>
        </w:tc>
        <w:tc>
          <w:tcPr>
            <w:tcW w:w="6940" w:type="dxa"/>
            <w:shd w:val="clear" w:color="auto" w:fill="auto"/>
            <w:vAlign w:val="center"/>
          </w:tcPr>
          <w:p w14:paraId="00EF84EC" w14:textId="12845F51" w:rsidR="002223C0" w:rsidRPr="008F51AC" w:rsidRDefault="002223C0" w:rsidP="00261F74">
            <w:pPr>
              <w:spacing w:before="120" w:after="120" w:line="240" w:lineRule="auto"/>
              <w:jc w:val="both"/>
              <w:rPr>
                <w:rFonts w:ascii="Arial" w:eastAsia="Times New Roman" w:hAnsi="Arial" w:cs="Arial"/>
                <w:sz w:val="18"/>
                <w:szCs w:val="18"/>
                <w:lang w:eastAsia="pt-BR"/>
              </w:rPr>
            </w:pPr>
            <w:r>
              <w:rPr>
                <w:rFonts w:ascii="Arial" w:eastAsia="Times New Roman" w:hAnsi="Arial" w:cs="Arial"/>
                <w:sz w:val="18"/>
                <w:szCs w:val="18"/>
                <w:lang w:eastAsia="pt-BR"/>
              </w:rPr>
              <w:t>R</w:t>
            </w:r>
            <w:r w:rsidRPr="00D46CF1">
              <w:rPr>
                <w:rFonts w:ascii="Arial" w:eastAsia="Times New Roman" w:hAnsi="Arial" w:cs="Arial"/>
                <w:sz w:val="18"/>
                <w:szCs w:val="18"/>
                <w:lang w:eastAsia="pt-BR"/>
              </w:rPr>
              <w:t>eferência aos documentos não estruturados</w:t>
            </w:r>
            <w:r>
              <w:rPr>
                <w:rFonts w:ascii="Arial" w:eastAsia="Times New Roman" w:hAnsi="Arial" w:cs="Arial"/>
                <w:sz w:val="18"/>
                <w:szCs w:val="18"/>
                <w:lang w:eastAsia="pt-BR"/>
              </w:rPr>
              <w:t>, constantes neste Anexo</w:t>
            </w:r>
            <w:r w:rsidRPr="00D46CF1">
              <w:rPr>
                <w:rFonts w:ascii="Arial" w:eastAsia="Times New Roman" w:hAnsi="Arial" w:cs="Arial"/>
                <w:sz w:val="18"/>
                <w:szCs w:val="18"/>
                <w:lang w:eastAsia="pt-BR"/>
              </w:rPr>
              <w:t>, bem como a justificativa de ausência para os arquivos não enviados.</w:t>
            </w:r>
            <w:r>
              <w:rPr>
                <w:rFonts w:ascii="Arial" w:eastAsia="Times New Roman" w:hAnsi="Arial" w:cs="Arial"/>
                <w:sz w:val="18"/>
                <w:szCs w:val="18"/>
                <w:lang w:eastAsia="pt-BR"/>
              </w:rPr>
              <w:t xml:space="preserve"> Estrutura e layout constantes do item </w:t>
            </w:r>
            <w:r w:rsidR="00261F74">
              <w:rPr>
                <w:rFonts w:ascii="Arial" w:eastAsia="Times New Roman" w:hAnsi="Arial" w:cs="Arial"/>
                <w:sz w:val="18"/>
                <w:szCs w:val="18"/>
                <w:lang w:eastAsia="pt-BR"/>
              </w:rPr>
              <w:t>3.1</w:t>
            </w:r>
            <w:r>
              <w:rPr>
                <w:rFonts w:ascii="Arial" w:eastAsia="Times New Roman" w:hAnsi="Arial" w:cs="Arial"/>
                <w:sz w:val="18"/>
                <w:szCs w:val="18"/>
                <w:lang w:eastAsia="pt-BR"/>
              </w:rPr>
              <w:t xml:space="preserve"> deste Anexo.</w:t>
            </w:r>
          </w:p>
        </w:tc>
        <w:tc>
          <w:tcPr>
            <w:tcW w:w="992" w:type="dxa"/>
            <w:shd w:val="clear" w:color="auto" w:fill="auto"/>
            <w:vAlign w:val="center"/>
          </w:tcPr>
          <w:p w14:paraId="7FCB07E7" w14:textId="77777777" w:rsidR="002223C0" w:rsidRPr="00A5490A" w:rsidRDefault="002223C0" w:rsidP="00886723">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XML</w:t>
            </w:r>
          </w:p>
        </w:tc>
      </w:tr>
    </w:tbl>
    <w:p w14:paraId="024571E1" w14:textId="77777777" w:rsidR="006052E1" w:rsidRDefault="006052E1" w:rsidP="00886723">
      <w:pPr>
        <w:tabs>
          <w:tab w:val="left" w:pos="543"/>
          <w:tab w:val="left" w:pos="4836"/>
        </w:tabs>
        <w:rPr>
          <w:rFonts w:ascii="Arial" w:eastAsia="Times New Roman" w:hAnsi="Arial" w:cs="Arial"/>
          <w:b/>
          <w:lang w:eastAsia="pt-BR"/>
        </w:rPr>
      </w:pPr>
      <w:r>
        <w:rPr>
          <w:rFonts w:ascii="Arial" w:eastAsia="Times New Roman" w:hAnsi="Arial" w:cs="Arial"/>
          <w:b/>
          <w:lang w:eastAsia="pt-BR"/>
        </w:rPr>
        <w:br w:type="page"/>
      </w:r>
    </w:p>
    <w:p w14:paraId="3D2E790A" w14:textId="7ADCA96D" w:rsidR="00F845FA" w:rsidRPr="005B7FCC" w:rsidRDefault="00F845FA" w:rsidP="000F0A16">
      <w:pPr>
        <w:pStyle w:val="Ttulo2"/>
        <w:rPr>
          <w:lang w:val="pt-BR" w:eastAsia="pt-BR"/>
        </w:rPr>
      </w:pPr>
      <w:bookmarkStart w:id="10" w:name="_Toc94806294"/>
      <w:r w:rsidRPr="005B7FCC">
        <w:rPr>
          <w:lang w:val="pt-BR" w:eastAsia="pt-BR"/>
        </w:rPr>
        <w:lastRenderedPageBreak/>
        <w:t>CONTAS DA MESA DIRETORA DA ASSEMBLEIA LEGISLATIVA</w:t>
      </w:r>
      <w:bookmarkEnd w:id="10"/>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5"/>
        <w:gridCol w:w="6943"/>
        <w:gridCol w:w="992"/>
      </w:tblGrid>
      <w:tr w:rsidR="00CB7C58" w:rsidRPr="00A5490A" w14:paraId="175CD218" w14:textId="77777777" w:rsidTr="004124D9">
        <w:tc>
          <w:tcPr>
            <w:tcW w:w="1245" w:type="dxa"/>
            <w:vAlign w:val="center"/>
          </w:tcPr>
          <w:p w14:paraId="3AE6463C" w14:textId="77777777" w:rsidR="00CB7C58" w:rsidRPr="00A5490A" w:rsidRDefault="00CB7C58" w:rsidP="00C97ECD">
            <w:pPr>
              <w:spacing w:after="0" w:line="240" w:lineRule="auto"/>
              <w:jc w:val="center"/>
              <w:rPr>
                <w:rFonts w:ascii="Arial" w:eastAsia="Times New Roman" w:hAnsi="Arial" w:cs="Arial"/>
                <w:sz w:val="18"/>
                <w:szCs w:val="18"/>
                <w:lang w:eastAsia="pt-BR"/>
              </w:rPr>
            </w:pPr>
            <w:r>
              <w:rPr>
                <w:rFonts w:ascii="Arial" w:eastAsia="Times New Roman" w:hAnsi="Arial" w:cs="Arial"/>
                <w:sz w:val="18"/>
                <w:szCs w:val="18"/>
                <w:lang w:eastAsia="pt-BR"/>
              </w:rPr>
              <w:t>Código</w:t>
            </w:r>
          </w:p>
        </w:tc>
        <w:tc>
          <w:tcPr>
            <w:tcW w:w="6943" w:type="dxa"/>
            <w:shd w:val="clear" w:color="auto" w:fill="auto"/>
            <w:vAlign w:val="center"/>
          </w:tcPr>
          <w:p w14:paraId="2F212EDC" w14:textId="77777777" w:rsidR="00CB7C58" w:rsidRPr="00A5490A" w:rsidRDefault="00CB7C58" w:rsidP="00C97ECD">
            <w:p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Descrição</w:t>
            </w:r>
          </w:p>
        </w:tc>
        <w:tc>
          <w:tcPr>
            <w:tcW w:w="992" w:type="dxa"/>
            <w:shd w:val="clear" w:color="auto" w:fill="auto"/>
            <w:vAlign w:val="center"/>
          </w:tcPr>
          <w:p w14:paraId="270F7734" w14:textId="77777777" w:rsidR="00CB7C58" w:rsidRPr="00A5490A" w:rsidRDefault="00CB7C58" w:rsidP="00C97ECD">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Formato</w:t>
            </w:r>
          </w:p>
        </w:tc>
      </w:tr>
      <w:tr w:rsidR="00CB7C58" w:rsidRPr="00A5490A" w14:paraId="70E9A583" w14:textId="77777777" w:rsidTr="004124D9">
        <w:tc>
          <w:tcPr>
            <w:tcW w:w="1245" w:type="dxa"/>
            <w:vAlign w:val="center"/>
          </w:tcPr>
          <w:p w14:paraId="5EF4B224" w14:textId="77777777" w:rsidR="00CB7C58" w:rsidRPr="00A5490A" w:rsidRDefault="00CB7C58" w:rsidP="00C97ECD">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ROLRES</w:t>
            </w:r>
          </w:p>
        </w:tc>
        <w:tc>
          <w:tcPr>
            <w:tcW w:w="6943" w:type="dxa"/>
            <w:shd w:val="clear" w:color="auto" w:fill="auto"/>
            <w:vAlign w:val="center"/>
          </w:tcPr>
          <w:p w14:paraId="6C62FD98" w14:textId="77777777" w:rsidR="00CB7C58" w:rsidRPr="00A5490A" w:rsidRDefault="00CB7C58" w:rsidP="00C97ECD">
            <w:p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Rol de responsáveis contendo: (Artigo 137, I, do RITCEES, aprovado pela Resolução TC nº 261/2013)</w:t>
            </w:r>
          </w:p>
          <w:p w14:paraId="2CA7AD5A" w14:textId="77777777" w:rsidR="00CB7C58" w:rsidRPr="00A5490A" w:rsidRDefault="00CB7C58" w:rsidP="00C97ECD">
            <w:pPr>
              <w:numPr>
                <w:ilvl w:val="0"/>
                <w:numId w:val="7"/>
              </w:num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Nome</w:t>
            </w:r>
          </w:p>
          <w:p w14:paraId="37B2165C" w14:textId="77777777" w:rsidR="00CB7C58" w:rsidRPr="00B6188E" w:rsidRDefault="00CB7C58" w:rsidP="00C97ECD">
            <w:pPr>
              <w:numPr>
                <w:ilvl w:val="0"/>
                <w:numId w:val="7"/>
              </w:numPr>
              <w:spacing w:before="120" w:after="120" w:line="240" w:lineRule="auto"/>
              <w:jc w:val="both"/>
              <w:rPr>
                <w:rFonts w:ascii="Arial" w:eastAsia="Times New Roman" w:hAnsi="Arial" w:cs="Arial"/>
                <w:sz w:val="18"/>
                <w:szCs w:val="18"/>
                <w:lang w:eastAsia="pt-BR"/>
              </w:rPr>
            </w:pPr>
            <w:r w:rsidRPr="00B6188E">
              <w:rPr>
                <w:rFonts w:ascii="Arial" w:eastAsia="Times New Roman" w:hAnsi="Arial" w:cs="Arial"/>
                <w:sz w:val="18"/>
                <w:szCs w:val="18"/>
                <w:lang w:eastAsia="pt-BR"/>
              </w:rPr>
              <w:t>Endereço residencial</w:t>
            </w:r>
          </w:p>
          <w:p w14:paraId="461097E5" w14:textId="77777777" w:rsidR="00CB7C58" w:rsidRPr="00B6188E" w:rsidRDefault="00CB7C58" w:rsidP="00C97ECD">
            <w:pPr>
              <w:numPr>
                <w:ilvl w:val="0"/>
                <w:numId w:val="7"/>
              </w:numPr>
              <w:spacing w:before="120" w:after="120" w:line="240" w:lineRule="auto"/>
              <w:jc w:val="both"/>
              <w:rPr>
                <w:rFonts w:ascii="Arial" w:eastAsia="Times New Roman" w:hAnsi="Arial" w:cs="Arial"/>
                <w:sz w:val="18"/>
                <w:szCs w:val="18"/>
                <w:lang w:eastAsia="pt-BR"/>
              </w:rPr>
            </w:pPr>
            <w:r w:rsidRPr="00B6188E">
              <w:rPr>
                <w:rFonts w:ascii="Arial" w:eastAsia="Times New Roman" w:hAnsi="Arial" w:cs="Arial"/>
                <w:sz w:val="18"/>
                <w:szCs w:val="18"/>
                <w:lang w:eastAsia="pt-BR"/>
              </w:rPr>
              <w:t>Endereço eletrônico pessoal (email)</w:t>
            </w:r>
          </w:p>
          <w:p w14:paraId="05A0092E" w14:textId="77777777" w:rsidR="00CB7C58" w:rsidRPr="00B6188E" w:rsidRDefault="00CB7C58" w:rsidP="00C97ECD">
            <w:pPr>
              <w:numPr>
                <w:ilvl w:val="0"/>
                <w:numId w:val="7"/>
              </w:numPr>
              <w:spacing w:before="120" w:after="120" w:line="240" w:lineRule="auto"/>
              <w:jc w:val="both"/>
              <w:rPr>
                <w:rFonts w:ascii="Arial" w:eastAsia="Times New Roman" w:hAnsi="Arial" w:cs="Arial"/>
                <w:sz w:val="18"/>
                <w:szCs w:val="18"/>
                <w:lang w:eastAsia="pt-BR"/>
              </w:rPr>
            </w:pPr>
            <w:r w:rsidRPr="00B6188E">
              <w:rPr>
                <w:rFonts w:ascii="Arial" w:eastAsia="Times New Roman" w:hAnsi="Arial" w:cs="Arial"/>
                <w:sz w:val="18"/>
                <w:szCs w:val="18"/>
                <w:lang w:eastAsia="pt-BR"/>
              </w:rPr>
              <w:t>Cargo ou função</w:t>
            </w:r>
          </w:p>
          <w:p w14:paraId="678CED25" w14:textId="77777777" w:rsidR="00CB7C58" w:rsidRPr="00A5490A" w:rsidRDefault="00CB7C58" w:rsidP="00C97ECD">
            <w:pPr>
              <w:numPr>
                <w:ilvl w:val="0"/>
                <w:numId w:val="7"/>
              </w:num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Inscrição no cadastro de Pessoas Físicas da RFB (CPF)</w:t>
            </w:r>
          </w:p>
          <w:p w14:paraId="24729091" w14:textId="77777777" w:rsidR="00CB7C58" w:rsidRPr="00A5490A" w:rsidRDefault="00CB7C58" w:rsidP="00C97ECD">
            <w:pPr>
              <w:numPr>
                <w:ilvl w:val="0"/>
                <w:numId w:val="7"/>
              </w:num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Período de gestão</w:t>
            </w:r>
          </w:p>
          <w:p w14:paraId="5A20C245" w14:textId="77777777" w:rsidR="00CB7C58" w:rsidRPr="00A5490A" w:rsidRDefault="00CB7C58" w:rsidP="00C97ECD">
            <w:pPr>
              <w:numPr>
                <w:ilvl w:val="0"/>
                <w:numId w:val="7"/>
              </w:num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 xml:space="preserve">Ato de nomeação e exoneração </w:t>
            </w:r>
          </w:p>
          <w:p w14:paraId="35C9C8BA" w14:textId="77777777" w:rsidR="00CB7C58" w:rsidRPr="00A5490A" w:rsidRDefault="00CB7C58" w:rsidP="00C97ECD">
            <w:pPr>
              <w:pStyle w:val="Default"/>
              <w:jc w:val="both"/>
              <w:rPr>
                <w:rFonts w:eastAsia="Times New Roman"/>
                <w:sz w:val="16"/>
                <w:szCs w:val="16"/>
                <w:lang w:eastAsia="pt-BR"/>
              </w:rPr>
            </w:pPr>
          </w:p>
        </w:tc>
        <w:tc>
          <w:tcPr>
            <w:tcW w:w="992" w:type="dxa"/>
            <w:shd w:val="clear" w:color="auto" w:fill="auto"/>
            <w:vAlign w:val="center"/>
          </w:tcPr>
          <w:p w14:paraId="1926647C" w14:textId="77777777" w:rsidR="00CB7C58" w:rsidRPr="00A5490A" w:rsidRDefault="00532985" w:rsidP="00C97EC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CB7C58" w:rsidRPr="00A5490A" w14:paraId="28B8CA29" w14:textId="77777777" w:rsidTr="004124D9">
        <w:tc>
          <w:tcPr>
            <w:tcW w:w="1245" w:type="dxa"/>
            <w:vAlign w:val="center"/>
          </w:tcPr>
          <w:p w14:paraId="4E7F82D5" w14:textId="77777777" w:rsidR="00CB7C58" w:rsidRPr="00A5490A" w:rsidRDefault="00CB7C58" w:rsidP="00C97ECD">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RELGES</w:t>
            </w:r>
          </w:p>
        </w:tc>
        <w:tc>
          <w:tcPr>
            <w:tcW w:w="6943" w:type="dxa"/>
            <w:shd w:val="clear" w:color="auto" w:fill="auto"/>
            <w:vAlign w:val="center"/>
          </w:tcPr>
          <w:p w14:paraId="0CCB031E" w14:textId="77777777" w:rsidR="00CB7C58" w:rsidRPr="00A5490A" w:rsidRDefault="00CB7C58" w:rsidP="00C97ECD">
            <w:p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Relatório de gestão abordando aspectos de natureza</w:t>
            </w:r>
            <w:r w:rsidRPr="00A5490A">
              <w:rPr>
                <w:rFonts w:ascii="Arial" w:eastAsia="Times New Roman" w:hAnsi="Arial" w:cs="Arial"/>
                <w:bCs/>
                <w:sz w:val="18"/>
                <w:szCs w:val="18"/>
                <w:lang w:eastAsia="pt-BR"/>
              </w:rPr>
              <w:t xml:space="preserve"> orçamentária, financeira, fiscal, operacional e patrimonial, organizado de forma que permita uma visão de conformidade e desempenho dos atos de gestão praticados pelos ordenadores de despesa.</w:t>
            </w:r>
            <w:r w:rsidRPr="00A5490A">
              <w:rPr>
                <w:rFonts w:ascii="Arial" w:eastAsia="Times New Roman" w:hAnsi="Arial" w:cs="Arial"/>
                <w:sz w:val="18"/>
                <w:szCs w:val="18"/>
                <w:lang w:eastAsia="pt-BR"/>
              </w:rPr>
              <w:t xml:space="preserve"> (Artigo 137, II, do RITCEES, aprovado pela Resolução TC nº 261/2013)</w:t>
            </w:r>
          </w:p>
        </w:tc>
        <w:tc>
          <w:tcPr>
            <w:tcW w:w="992" w:type="dxa"/>
            <w:shd w:val="clear" w:color="auto" w:fill="auto"/>
            <w:vAlign w:val="center"/>
          </w:tcPr>
          <w:p w14:paraId="6343524A" w14:textId="77777777" w:rsidR="00CB7C58" w:rsidRPr="00A5490A" w:rsidRDefault="00532985" w:rsidP="00C97EC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CB7C58" w:rsidRPr="00A5490A" w14:paraId="13527CC0" w14:textId="77777777" w:rsidTr="004124D9">
        <w:tc>
          <w:tcPr>
            <w:tcW w:w="1245" w:type="dxa"/>
            <w:vAlign w:val="center"/>
          </w:tcPr>
          <w:p w14:paraId="5430423D" w14:textId="77777777" w:rsidR="00CB7C58" w:rsidRPr="00A5490A" w:rsidRDefault="00CB7C58" w:rsidP="00C97ECD">
            <w:pPr>
              <w:spacing w:after="0" w:line="240" w:lineRule="auto"/>
              <w:jc w:val="center"/>
              <w:rPr>
                <w:rFonts w:ascii="Arial" w:eastAsia="Times New Roman" w:hAnsi="Arial" w:cs="Arial"/>
                <w:bCs/>
                <w:sz w:val="18"/>
                <w:szCs w:val="18"/>
                <w:lang w:eastAsia="pt-BR"/>
              </w:rPr>
            </w:pPr>
            <w:r w:rsidRPr="00A5490A">
              <w:rPr>
                <w:rFonts w:ascii="Arial" w:eastAsia="Times New Roman" w:hAnsi="Arial" w:cs="Arial"/>
                <w:bCs/>
                <w:sz w:val="18"/>
                <w:szCs w:val="18"/>
                <w:lang w:eastAsia="pt-BR"/>
              </w:rPr>
              <w:t>RELUCI</w:t>
            </w:r>
          </w:p>
        </w:tc>
        <w:tc>
          <w:tcPr>
            <w:tcW w:w="6943" w:type="dxa"/>
            <w:shd w:val="clear" w:color="auto" w:fill="auto"/>
            <w:vAlign w:val="center"/>
          </w:tcPr>
          <w:p w14:paraId="5A69F29A" w14:textId="39783B11" w:rsidR="00CB7C58" w:rsidRPr="007B62A7" w:rsidRDefault="00CB7C58" w:rsidP="001631B2">
            <w:pPr>
              <w:spacing w:before="120" w:after="120" w:line="240" w:lineRule="auto"/>
              <w:jc w:val="both"/>
              <w:rPr>
                <w:rFonts w:ascii="Arial" w:eastAsia="Times New Roman" w:hAnsi="Arial" w:cs="Arial"/>
                <w:bCs/>
                <w:sz w:val="18"/>
                <w:szCs w:val="18"/>
                <w:lang w:eastAsia="pt-BR"/>
              </w:rPr>
            </w:pPr>
            <w:r w:rsidRPr="007B62A7">
              <w:rPr>
                <w:rFonts w:ascii="Arial" w:eastAsia="Times New Roman" w:hAnsi="Arial" w:cs="Arial"/>
                <w:bCs/>
                <w:sz w:val="18"/>
                <w:szCs w:val="18"/>
                <w:lang w:eastAsia="pt-BR"/>
              </w:rPr>
              <w:t>Relatório e parecer conclusivo emitido pel</w:t>
            </w:r>
            <w:r>
              <w:rPr>
                <w:rFonts w:ascii="Arial" w:eastAsia="Times New Roman" w:hAnsi="Arial" w:cs="Arial"/>
                <w:bCs/>
                <w:sz w:val="18"/>
                <w:szCs w:val="18"/>
                <w:lang w:eastAsia="pt-BR"/>
              </w:rPr>
              <w:t>a</w:t>
            </w:r>
            <w:r w:rsidRPr="007B62A7">
              <w:rPr>
                <w:rFonts w:ascii="Arial" w:eastAsia="Times New Roman" w:hAnsi="Arial" w:cs="Arial"/>
                <w:bCs/>
                <w:sz w:val="18"/>
                <w:szCs w:val="18"/>
                <w:lang w:eastAsia="pt-BR"/>
              </w:rPr>
              <w:t xml:space="preserve"> </w:t>
            </w:r>
            <w:r w:rsidRPr="00612E42">
              <w:rPr>
                <w:rFonts w:ascii="Arial" w:eastAsia="Times New Roman" w:hAnsi="Arial" w:cs="Arial"/>
                <w:bCs/>
                <w:sz w:val="18"/>
                <w:szCs w:val="18"/>
                <w:lang w:eastAsia="pt-BR"/>
              </w:rPr>
              <w:t>unidade executora do controle interno ou órgão central do sistema de controle interno</w:t>
            </w:r>
            <w:r w:rsidRPr="007B62A7">
              <w:rPr>
                <w:rFonts w:ascii="Arial" w:eastAsia="Times New Roman" w:hAnsi="Arial" w:cs="Arial"/>
                <w:bCs/>
                <w:sz w:val="18"/>
                <w:szCs w:val="18"/>
                <w:lang w:eastAsia="pt-BR"/>
              </w:rPr>
              <w:t xml:space="preserve">, assinado por seu responsável, contendo os elementos </w:t>
            </w:r>
            <w:r w:rsidR="002316D1" w:rsidRPr="00216FB3">
              <w:rPr>
                <w:rFonts w:ascii="Arial" w:eastAsia="Times New Roman" w:hAnsi="Arial" w:cs="Arial"/>
                <w:bCs/>
                <w:sz w:val="18"/>
                <w:szCs w:val="18"/>
                <w:lang w:eastAsia="pt-BR"/>
              </w:rPr>
              <w:t>sugerido</w:t>
            </w:r>
            <w:r w:rsidRPr="00216FB3">
              <w:rPr>
                <w:rFonts w:ascii="Arial" w:eastAsia="Times New Roman" w:hAnsi="Arial" w:cs="Arial"/>
                <w:bCs/>
                <w:sz w:val="18"/>
                <w:szCs w:val="18"/>
                <w:lang w:eastAsia="pt-BR"/>
              </w:rPr>
              <w:t xml:space="preserve">s no </w:t>
            </w:r>
            <w:r w:rsidR="00153E04" w:rsidRPr="00216FB3">
              <w:rPr>
                <w:rFonts w:ascii="Arial" w:eastAsia="Times New Roman" w:hAnsi="Arial" w:cs="Arial"/>
                <w:bCs/>
                <w:sz w:val="18"/>
                <w:szCs w:val="18"/>
                <w:lang w:eastAsia="pt-BR"/>
              </w:rPr>
              <w:t>item 3.2 deste Anexo</w:t>
            </w:r>
            <w:r w:rsidRPr="00216FB3">
              <w:rPr>
                <w:rFonts w:ascii="Arial" w:eastAsia="Times New Roman" w:hAnsi="Arial" w:cs="Arial"/>
                <w:bCs/>
                <w:sz w:val="18"/>
                <w:szCs w:val="18"/>
                <w:lang w:eastAsia="pt-BR"/>
              </w:rPr>
              <w:t xml:space="preserve">. (Artigo </w:t>
            </w:r>
            <w:r w:rsidRPr="003B4337">
              <w:rPr>
                <w:rFonts w:ascii="Arial" w:eastAsia="Times New Roman" w:hAnsi="Arial" w:cs="Arial"/>
                <w:bCs/>
                <w:sz w:val="18"/>
                <w:szCs w:val="18"/>
                <w:lang w:eastAsia="pt-BR"/>
              </w:rPr>
              <w:t xml:space="preserve">135, § 4º c/c artigo 137, </w:t>
            </w:r>
            <w:r w:rsidRPr="007B62A7">
              <w:rPr>
                <w:rFonts w:ascii="Arial" w:eastAsia="Times New Roman" w:hAnsi="Arial" w:cs="Arial"/>
                <w:bCs/>
                <w:sz w:val="18"/>
                <w:szCs w:val="18"/>
                <w:lang w:eastAsia="pt-BR"/>
              </w:rPr>
              <w:t xml:space="preserve">IV do RITCEES, aprovado pela Resolução TC nº 261/2013) </w:t>
            </w:r>
          </w:p>
        </w:tc>
        <w:tc>
          <w:tcPr>
            <w:tcW w:w="992" w:type="dxa"/>
            <w:shd w:val="clear" w:color="auto" w:fill="auto"/>
            <w:vAlign w:val="center"/>
          </w:tcPr>
          <w:p w14:paraId="2D8CF2FC" w14:textId="77777777" w:rsidR="00CB7C58" w:rsidRPr="00A5490A" w:rsidRDefault="00532985" w:rsidP="00C97EC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E401A4" w:rsidRPr="00A5490A" w14:paraId="53D63520" w14:textId="77777777" w:rsidTr="004124D9">
        <w:tc>
          <w:tcPr>
            <w:tcW w:w="1245" w:type="dxa"/>
            <w:vAlign w:val="center"/>
          </w:tcPr>
          <w:p w14:paraId="5E888500" w14:textId="77777777" w:rsidR="00E401A4" w:rsidRPr="00B91A82" w:rsidRDefault="002324F8" w:rsidP="00736BC5">
            <w:pPr>
              <w:spacing w:after="0" w:line="240" w:lineRule="auto"/>
              <w:jc w:val="center"/>
              <w:rPr>
                <w:rFonts w:ascii="Arial" w:eastAsia="Times New Roman" w:hAnsi="Arial" w:cs="Arial"/>
                <w:sz w:val="18"/>
                <w:szCs w:val="18"/>
                <w:lang w:eastAsia="pt-BR"/>
              </w:rPr>
            </w:pPr>
            <w:r w:rsidRPr="00B91A82">
              <w:rPr>
                <w:rFonts w:ascii="Arial" w:eastAsia="Times New Roman" w:hAnsi="Arial" w:cs="Arial"/>
                <w:sz w:val="18"/>
                <w:szCs w:val="18"/>
                <w:lang w:eastAsia="pt-BR"/>
              </w:rPr>
              <w:t>RELACI</w:t>
            </w:r>
          </w:p>
        </w:tc>
        <w:tc>
          <w:tcPr>
            <w:tcW w:w="6943" w:type="dxa"/>
            <w:shd w:val="clear" w:color="auto" w:fill="auto"/>
            <w:vAlign w:val="center"/>
          </w:tcPr>
          <w:p w14:paraId="36633422" w14:textId="3B684078" w:rsidR="00E401A4" w:rsidRPr="00B91A82" w:rsidRDefault="00E401A4" w:rsidP="00B91A82">
            <w:pPr>
              <w:spacing w:before="120" w:after="120" w:line="240" w:lineRule="auto"/>
              <w:jc w:val="both"/>
              <w:rPr>
                <w:rFonts w:ascii="Arial" w:eastAsia="Times New Roman" w:hAnsi="Arial" w:cs="Arial"/>
                <w:sz w:val="18"/>
                <w:szCs w:val="18"/>
                <w:lang w:eastAsia="pt-BR"/>
              </w:rPr>
            </w:pPr>
            <w:r w:rsidRPr="00B91A82">
              <w:rPr>
                <w:rFonts w:ascii="Arial" w:eastAsia="Times New Roman" w:hAnsi="Arial" w:cs="Arial"/>
                <w:sz w:val="18"/>
                <w:szCs w:val="18"/>
                <w:lang w:eastAsia="pt-BR"/>
              </w:rPr>
              <w:t xml:space="preserve">Relatório de atividades realizadas pela Unidade de Controle Interno na UG, contendo informações acerca dos procedimentos relativos ao Plano Anual de Auditorias Internas – PAAI, executadas no exercício, com os elementos </w:t>
            </w:r>
            <w:r w:rsidR="00B91A82" w:rsidRPr="00B91A82">
              <w:rPr>
                <w:rFonts w:ascii="Arial" w:eastAsia="Times New Roman" w:hAnsi="Arial" w:cs="Arial"/>
                <w:sz w:val="18"/>
                <w:szCs w:val="18"/>
                <w:lang w:eastAsia="pt-BR"/>
              </w:rPr>
              <w:t>sugeridos no item 3.2 deste Anexo</w:t>
            </w:r>
            <w:r w:rsidRPr="00B91A82">
              <w:rPr>
                <w:rFonts w:ascii="Arial" w:eastAsia="Times New Roman" w:hAnsi="Arial" w:cs="Arial"/>
                <w:sz w:val="18"/>
                <w:szCs w:val="18"/>
                <w:lang w:eastAsia="pt-BR"/>
              </w:rPr>
              <w:t>.</w:t>
            </w:r>
          </w:p>
        </w:tc>
        <w:tc>
          <w:tcPr>
            <w:tcW w:w="992" w:type="dxa"/>
            <w:shd w:val="clear" w:color="auto" w:fill="auto"/>
            <w:vAlign w:val="center"/>
          </w:tcPr>
          <w:p w14:paraId="16D3BBBE" w14:textId="77777777" w:rsidR="00E401A4" w:rsidRPr="00A5490A" w:rsidRDefault="00532985" w:rsidP="00736BC5">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F61F97" w:rsidRPr="00F2087C" w14:paraId="5E93C159" w14:textId="77777777" w:rsidTr="004124D9">
        <w:tc>
          <w:tcPr>
            <w:tcW w:w="1245" w:type="dxa"/>
            <w:vAlign w:val="center"/>
          </w:tcPr>
          <w:p w14:paraId="0E1E4469" w14:textId="69E95D57" w:rsidR="00F61F97" w:rsidRPr="00F61F97" w:rsidRDefault="00F61F97" w:rsidP="00F61F97">
            <w:pPr>
              <w:spacing w:after="0" w:line="240" w:lineRule="auto"/>
              <w:jc w:val="center"/>
              <w:rPr>
                <w:rFonts w:ascii="Arial" w:eastAsia="Times New Roman" w:hAnsi="Arial" w:cs="Arial"/>
                <w:sz w:val="18"/>
                <w:szCs w:val="18"/>
                <w:lang w:eastAsia="pt-BR"/>
              </w:rPr>
            </w:pPr>
            <w:r w:rsidRPr="00F61F97">
              <w:rPr>
                <w:rFonts w:ascii="Arial" w:eastAsia="Times New Roman" w:hAnsi="Arial" w:cs="Arial"/>
                <w:sz w:val="18"/>
                <w:szCs w:val="18"/>
                <w:lang w:eastAsia="pt-BR"/>
              </w:rPr>
              <w:t>INFOCI</w:t>
            </w:r>
          </w:p>
        </w:tc>
        <w:tc>
          <w:tcPr>
            <w:tcW w:w="6943" w:type="dxa"/>
            <w:shd w:val="clear" w:color="auto" w:fill="auto"/>
            <w:vAlign w:val="center"/>
          </w:tcPr>
          <w:p w14:paraId="3A3318E8" w14:textId="2114CD2A" w:rsidR="00F61F97" w:rsidRPr="00F61F97" w:rsidRDefault="00AA77C8" w:rsidP="00F61F97">
            <w:pPr>
              <w:spacing w:before="120" w:after="120" w:line="240" w:lineRule="auto"/>
              <w:jc w:val="both"/>
              <w:rPr>
                <w:rFonts w:ascii="Arial" w:eastAsia="Times New Roman" w:hAnsi="Arial" w:cs="Arial"/>
                <w:sz w:val="18"/>
                <w:szCs w:val="18"/>
                <w:lang w:eastAsia="pt-BR"/>
              </w:rPr>
            </w:pPr>
            <w:r>
              <w:rPr>
                <w:rFonts w:ascii="Arial" w:eastAsia="Calibri" w:hAnsi="Arial" w:cs="Times New Roman"/>
                <w:sz w:val="18"/>
                <w:szCs w:val="18"/>
              </w:rPr>
              <w:t>I</w:t>
            </w:r>
            <w:r w:rsidRPr="00462640">
              <w:rPr>
                <w:rFonts w:ascii="Arial" w:eastAsia="Calibri" w:hAnsi="Arial" w:cs="Times New Roman"/>
                <w:sz w:val="18"/>
                <w:szCs w:val="18"/>
              </w:rPr>
              <w:t>nformações da unidade de Controle Interno, bem como as informações sobre a atuação do Controle Interno na verificação dos pontos de controle destinados à emissão do parecer sobre as Prestações de Contas Anuais</w:t>
            </w:r>
            <w:r w:rsidRPr="00792F95">
              <w:rPr>
                <w:rFonts w:ascii="Arial" w:eastAsia="Calibri" w:hAnsi="Arial" w:cs="Times New Roman"/>
                <w:sz w:val="18"/>
                <w:szCs w:val="18"/>
              </w:rPr>
              <w:t>, conforme layout constante do item 3.1 deste Anexo.</w:t>
            </w:r>
          </w:p>
        </w:tc>
        <w:tc>
          <w:tcPr>
            <w:tcW w:w="992" w:type="dxa"/>
            <w:shd w:val="clear" w:color="auto" w:fill="auto"/>
            <w:vAlign w:val="center"/>
          </w:tcPr>
          <w:p w14:paraId="554F4EED" w14:textId="038A9271" w:rsidR="00F61F97" w:rsidRPr="00F61F97" w:rsidRDefault="00F61F97" w:rsidP="00F61F97">
            <w:pPr>
              <w:spacing w:after="0" w:line="240" w:lineRule="auto"/>
              <w:jc w:val="center"/>
              <w:rPr>
                <w:rFonts w:ascii="Arial" w:eastAsia="Times New Roman" w:hAnsi="Arial" w:cs="Arial"/>
                <w:sz w:val="14"/>
                <w:szCs w:val="14"/>
                <w:lang w:eastAsia="pt-BR"/>
              </w:rPr>
            </w:pPr>
            <w:r w:rsidRPr="00F61F97">
              <w:rPr>
                <w:rFonts w:ascii="Arial" w:eastAsia="Times New Roman" w:hAnsi="Arial" w:cs="Arial"/>
                <w:sz w:val="14"/>
                <w:szCs w:val="14"/>
                <w:lang w:eastAsia="pt-BR"/>
              </w:rPr>
              <w:t>XML</w:t>
            </w:r>
          </w:p>
        </w:tc>
      </w:tr>
      <w:tr w:rsidR="00E401A4" w:rsidRPr="00A5490A" w14:paraId="4210FA65" w14:textId="77777777" w:rsidTr="004124D9">
        <w:tc>
          <w:tcPr>
            <w:tcW w:w="1245" w:type="dxa"/>
            <w:vAlign w:val="center"/>
          </w:tcPr>
          <w:p w14:paraId="5BC0E2F1" w14:textId="77777777" w:rsidR="00E401A4" w:rsidRPr="00A5490A" w:rsidRDefault="00E401A4" w:rsidP="00C97ECD">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PROEXE</w:t>
            </w:r>
          </w:p>
        </w:tc>
        <w:tc>
          <w:tcPr>
            <w:tcW w:w="6943" w:type="dxa"/>
            <w:shd w:val="clear" w:color="auto" w:fill="auto"/>
            <w:vAlign w:val="center"/>
          </w:tcPr>
          <w:p w14:paraId="11CF1AFC" w14:textId="77777777" w:rsidR="00E401A4" w:rsidRPr="00A5490A" w:rsidRDefault="00E401A4" w:rsidP="005D530A">
            <w:p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Pronunciamento expresso do chefe do</w:t>
            </w:r>
            <w:r w:rsidRPr="00A5490A">
              <w:rPr>
                <w:rFonts w:ascii="Arial" w:eastAsia="Times New Roman" w:hAnsi="Arial" w:cs="Arial"/>
                <w:b/>
                <w:bCs/>
                <w:sz w:val="18"/>
                <w:szCs w:val="18"/>
                <w:lang w:eastAsia="pt-BR"/>
              </w:rPr>
              <w:t xml:space="preserve"> </w:t>
            </w:r>
            <w:r w:rsidRPr="00A5490A">
              <w:rPr>
                <w:rFonts w:ascii="Arial" w:eastAsia="Times New Roman" w:hAnsi="Arial" w:cs="Arial"/>
                <w:sz w:val="18"/>
                <w:szCs w:val="18"/>
                <w:lang w:eastAsia="pt-BR"/>
              </w:rPr>
              <w:t>Poder atestando ter tomado conhecimento das conclusões contidas no parecer conclusivo emitido pela unidade executora do controle interno, a que se refere o parágrafo único, do artigo 4º, da Resolução TC nº 227/201</w:t>
            </w:r>
            <w:r>
              <w:rPr>
                <w:rFonts w:ascii="Arial" w:eastAsia="Times New Roman" w:hAnsi="Arial" w:cs="Arial"/>
                <w:sz w:val="18"/>
                <w:szCs w:val="18"/>
                <w:lang w:eastAsia="pt-BR"/>
              </w:rPr>
              <w:t>1</w:t>
            </w:r>
            <w:r w:rsidRPr="00A5490A">
              <w:rPr>
                <w:rFonts w:ascii="Arial" w:eastAsia="Times New Roman" w:hAnsi="Arial" w:cs="Arial"/>
                <w:sz w:val="18"/>
                <w:szCs w:val="18"/>
                <w:lang w:eastAsia="pt-BR"/>
              </w:rPr>
              <w:t>.</w:t>
            </w:r>
          </w:p>
        </w:tc>
        <w:tc>
          <w:tcPr>
            <w:tcW w:w="992" w:type="dxa"/>
            <w:shd w:val="clear" w:color="auto" w:fill="auto"/>
            <w:vAlign w:val="center"/>
          </w:tcPr>
          <w:p w14:paraId="514AEA72" w14:textId="77777777" w:rsidR="00E401A4" w:rsidRPr="00A5490A" w:rsidRDefault="00532985" w:rsidP="00C97EC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EE115F" w:rsidRPr="00A5490A" w14:paraId="6A810EC8" w14:textId="77777777" w:rsidTr="004124D9">
        <w:tc>
          <w:tcPr>
            <w:tcW w:w="1245" w:type="dxa"/>
            <w:tcBorders>
              <w:top w:val="single" w:sz="4" w:space="0" w:color="auto"/>
              <w:left w:val="single" w:sz="4" w:space="0" w:color="auto"/>
              <w:bottom w:val="single" w:sz="4" w:space="0" w:color="auto"/>
              <w:right w:val="single" w:sz="4" w:space="0" w:color="auto"/>
            </w:tcBorders>
            <w:vAlign w:val="center"/>
          </w:tcPr>
          <w:p w14:paraId="2062CC82" w14:textId="77777777" w:rsidR="00EE115F" w:rsidRPr="00A5490A" w:rsidRDefault="00EE115F" w:rsidP="00EE115F">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BALFIN</w:t>
            </w:r>
          </w:p>
        </w:tc>
        <w:tc>
          <w:tcPr>
            <w:tcW w:w="6943" w:type="dxa"/>
            <w:tcBorders>
              <w:top w:val="single" w:sz="4" w:space="0" w:color="auto"/>
              <w:left w:val="single" w:sz="4" w:space="0" w:color="auto"/>
              <w:bottom w:val="single" w:sz="4" w:space="0" w:color="auto"/>
              <w:right w:val="single" w:sz="4" w:space="0" w:color="auto"/>
            </w:tcBorders>
            <w:shd w:val="clear" w:color="auto" w:fill="auto"/>
            <w:vAlign w:val="center"/>
          </w:tcPr>
          <w:p w14:paraId="094C6C93" w14:textId="0C071E16" w:rsidR="00EE115F" w:rsidRPr="00A5490A" w:rsidRDefault="00EE115F" w:rsidP="00FB0230">
            <w:p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Balanço Finance</w:t>
            </w:r>
            <w:r w:rsidR="00216FB3">
              <w:rPr>
                <w:rFonts w:ascii="Arial" w:eastAsia="Times New Roman" w:hAnsi="Arial" w:cs="Arial"/>
                <w:sz w:val="18"/>
                <w:szCs w:val="18"/>
                <w:lang w:eastAsia="pt-BR"/>
              </w:rPr>
              <w:t>iro (Anexo 13 Lei 4.320/1964)</w:t>
            </w:r>
            <w:r w:rsidRPr="00A5490A">
              <w:rPr>
                <w:rFonts w:ascii="Arial" w:eastAsia="Times New Roman" w:hAnsi="Arial" w:cs="Arial"/>
                <w:sz w:val="18"/>
                <w:szCs w:val="18"/>
                <w:lang w:eastAsia="pt-BR"/>
              </w:rPr>
              <w:t xml:space="preserve"> e outros quadros elucidativos que se fizerem necessários</w:t>
            </w:r>
            <w:r>
              <w:rPr>
                <w:rFonts w:ascii="Arial" w:eastAsia="Times New Roman" w:hAnsi="Arial" w:cs="Arial"/>
                <w:sz w:val="18"/>
                <w:szCs w:val="18"/>
                <w:lang w:eastAsia="pt-BR"/>
              </w:rPr>
              <w:t xml:space="preserve"> </w:t>
            </w:r>
            <w:r w:rsidRPr="00A5490A">
              <w:rPr>
                <w:rFonts w:ascii="Arial" w:eastAsia="Times New Roman" w:hAnsi="Arial" w:cs="Arial"/>
                <w:sz w:val="18"/>
                <w:szCs w:val="18"/>
                <w:lang w:eastAsia="pt-BR"/>
              </w:rPr>
              <w:t>(Artigo 101 da Lei Federal nº 4.320/64)</w:t>
            </w:r>
            <w:r>
              <w:rPr>
                <w:rFonts w:ascii="Arial" w:eastAsia="Times New Roman" w:hAnsi="Arial" w:cs="Arial"/>
                <w:sz w:val="18"/>
                <w:szCs w:val="18"/>
                <w:lang w:eastAsia="pt-BR"/>
              </w:rPr>
              <w:t xml:space="preserve">. Estrutura e layout constantes do item </w:t>
            </w:r>
            <w:r w:rsidR="00FB0230">
              <w:rPr>
                <w:rFonts w:ascii="Arial" w:eastAsia="Times New Roman" w:hAnsi="Arial" w:cs="Arial"/>
                <w:sz w:val="18"/>
                <w:szCs w:val="18"/>
                <w:lang w:eastAsia="pt-BR"/>
              </w:rPr>
              <w:t>3.1</w:t>
            </w:r>
            <w:r>
              <w:rPr>
                <w:rFonts w:ascii="Arial" w:eastAsia="Times New Roman" w:hAnsi="Arial" w:cs="Arial"/>
                <w:sz w:val="18"/>
                <w:szCs w:val="18"/>
                <w:lang w:eastAsia="pt-BR"/>
              </w:rPr>
              <w:t xml:space="preserve"> deste Anexo</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3EDF29B" w14:textId="77777777" w:rsidR="00EE115F" w:rsidRPr="00A5490A" w:rsidRDefault="00EE115F" w:rsidP="00EE115F">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XML</w:t>
            </w:r>
          </w:p>
        </w:tc>
      </w:tr>
      <w:tr w:rsidR="00EE115F" w:rsidRPr="00A5490A" w14:paraId="2122B983" w14:textId="77777777" w:rsidTr="004124D9">
        <w:tc>
          <w:tcPr>
            <w:tcW w:w="1245" w:type="dxa"/>
            <w:tcBorders>
              <w:top w:val="single" w:sz="4" w:space="0" w:color="auto"/>
              <w:left w:val="single" w:sz="4" w:space="0" w:color="auto"/>
              <w:bottom w:val="single" w:sz="4" w:space="0" w:color="auto"/>
              <w:right w:val="single" w:sz="4" w:space="0" w:color="auto"/>
            </w:tcBorders>
            <w:vAlign w:val="center"/>
          </w:tcPr>
          <w:p w14:paraId="7420ECC3" w14:textId="77777777" w:rsidR="00EE115F" w:rsidRPr="00A5490A" w:rsidRDefault="00EE115F" w:rsidP="00EE115F">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BALPAT</w:t>
            </w:r>
          </w:p>
        </w:tc>
        <w:tc>
          <w:tcPr>
            <w:tcW w:w="6943" w:type="dxa"/>
            <w:tcBorders>
              <w:top w:val="single" w:sz="4" w:space="0" w:color="auto"/>
              <w:left w:val="single" w:sz="4" w:space="0" w:color="auto"/>
              <w:bottom w:val="single" w:sz="4" w:space="0" w:color="auto"/>
              <w:right w:val="single" w:sz="4" w:space="0" w:color="auto"/>
            </w:tcBorders>
            <w:shd w:val="clear" w:color="auto" w:fill="auto"/>
            <w:vAlign w:val="center"/>
          </w:tcPr>
          <w:p w14:paraId="2E27FA70" w14:textId="7C06140F" w:rsidR="00EE115F" w:rsidRPr="00A5490A" w:rsidRDefault="00EE115F" w:rsidP="00FB0230">
            <w:p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Balanço Patrimoni</w:t>
            </w:r>
            <w:r w:rsidR="00216FB3">
              <w:rPr>
                <w:rFonts w:ascii="Arial" w:eastAsia="Times New Roman" w:hAnsi="Arial" w:cs="Arial"/>
                <w:sz w:val="18"/>
                <w:szCs w:val="18"/>
                <w:lang w:eastAsia="pt-BR"/>
              </w:rPr>
              <w:t xml:space="preserve">al (Anexo 14 Lei 4.320/1964) </w:t>
            </w:r>
            <w:r w:rsidRPr="00A5490A">
              <w:rPr>
                <w:rFonts w:ascii="Arial" w:eastAsia="Times New Roman" w:hAnsi="Arial" w:cs="Arial"/>
                <w:sz w:val="18"/>
                <w:szCs w:val="18"/>
                <w:lang w:eastAsia="pt-BR"/>
              </w:rPr>
              <w:t>e outros quadros elucidativos que se fizerem necessários</w:t>
            </w:r>
            <w:r>
              <w:rPr>
                <w:rFonts w:ascii="Arial" w:eastAsia="Times New Roman" w:hAnsi="Arial" w:cs="Arial"/>
                <w:sz w:val="18"/>
                <w:szCs w:val="18"/>
                <w:lang w:eastAsia="pt-BR"/>
              </w:rPr>
              <w:t xml:space="preserve"> </w:t>
            </w:r>
            <w:r w:rsidRPr="00A5490A">
              <w:rPr>
                <w:rFonts w:ascii="Arial" w:eastAsia="Times New Roman" w:hAnsi="Arial" w:cs="Arial"/>
                <w:sz w:val="18"/>
                <w:szCs w:val="18"/>
                <w:lang w:eastAsia="pt-BR"/>
              </w:rPr>
              <w:t>(Artigo 101 da Lei Federal nº 4.320/64)</w:t>
            </w:r>
            <w:r>
              <w:rPr>
                <w:rFonts w:ascii="Arial" w:eastAsia="Times New Roman" w:hAnsi="Arial" w:cs="Arial"/>
                <w:sz w:val="18"/>
                <w:szCs w:val="18"/>
                <w:lang w:eastAsia="pt-BR"/>
              </w:rPr>
              <w:t xml:space="preserve">. Estrutura e layout constantes do item </w:t>
            </w:r>
            <w:r w:rsidR="00FB0230">
              <w:rPr>
                <w:rFonts w:ascii="Arial" w:eastAsia="Times New Roman" w:hAnsi="Arial" w:cs="Arial"/>
                <w:sz w:val="18"/>
                <w:szCs w:val="18"/>
                <w:lang w:eastAsia="pt-BR"/>
              </w:rPr>
              <w:t>3.1</w:t>
            </w:r>
            <w:r>
              <w:rPr>
                <w:rFonts w:ascii="Arial" w:eastAsia="Times New Roman" w:hAnsi="Arial" w:cs="Arial"/>
                <w:sz w:val="18"/>
                <w:szCs w:val="18"/>
                <w:lang w:eastAsia="pt-BR"/>
              </w:rPr>
              <w:t xml:space="preserve"> deste Anexo</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EBF6F6E" w14:textId="77777777" w:rsidR="00EE115F" w:rsidRPr="00A5490A" w:rsidRDefault="00EE115F" w:rsidP="00EE115F">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XML</w:t>
            </w:r>
          </w:p>
        </w:tc>
      </w:tr>
      <w:tr w:rsidR="00EE115F" w:rsidRPr="00A5490A" w14:paraId="1DC6346D" w14:textId="77777777" w:rsidTr="004124D9">
        <w:tc>
          <w:tcPr>
            <w:tcW w:w="1245" w:type="dxa"/>
            <w:vAlign w:val="center"/>
          </w:tcPr>
          <w:p w14:paraId="4C33954E" w14:textId="77777777" w:rsidR="00EE115F" w:rsidRPr="00A5490A" w:rsidRDefault="00EE115F" w:rsidP="00EE115F">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DEMVAP</w:t>
            </w:r>
          </w:p>
        </w:tc>
        <w:tc>
          <w:tcPr>
            <w:tcW w:w="6943" w:type="dxa"/>
            <w:shd w:val="clear" w:color="auto" w:fill="auto"/>
            <w:vAlign w:val="center"/>
          </w:tcPr>
          <w:p w14:paraId="71F3AC72" w14:textId="4A174F0A" w:rsidR="00EE115F" w:rsidRPr="00A5490A" w:rsidRDefault="00EE115F" w:rsidP="00FB0230">
            <w:p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Demonstração das Variações Patrimoni</w:t>
            </w:r>
            <w:r w:rsidR="00216FB3">
              <w:rPr>
                <w:rFonts w:ascii="Arial" w:eastAsia="Times New Roman" w:hAnsi="Arial" w:cs="Arial"/>
                <w:sz w:val="18"/>
                <w:szCs w:val="18"/>
                <w:lang w:eastAsia="pt-BR"/>
              </w:rPr>
              <w:t>ais (Anexo 15 Lei 4.320/1964)</w:t>
            </w:r>
            <w:r w:rsidRPr="00A5490A">
              <w:rPr>
                <w:rFonts w:ascii="Arial" w:eastAsia="Times New Roman" w:hAnsi="Arial" w:cs="Arial"/>
                <w:sz w:val="18"/>
                <w:szCs w:val="18"/>
                <w:lang w:eastAsia="pt-BR"/>
              </w:rPr>
              <w:t xml:space="preserve"> e outros quadros elucidativos que se fizerem necessários</w:t>
            </w:r>
            <w:r>
              <w:rPr>
                <w:rFonts w:ascii="Arial" w:eastAsia="Times New Roman" w:hAnsi="Arial" w:cs="Arial"/>
                <w:sz w:val="18"/>
                <w:szCs w:val="18"/>
                <w:lang w:eastAsia="pt-BR"/>
              </w:rPr>
              <w:t xml:space="preserve"> </w:t>
            </w:r>
            <w:r w:rsidRPr="00A5490A">
              <w:rPr>
                <w:rFonts w:ascii="Arial" w:eastAsia="Times New Roman" w:hAnsi="Arial" w:cs="Arial"/>
                <w:sz w:val="18"/>
                <w:szCs w:val="18"/>
                <w:lang w:eastAsia="pt-BR"/>
              </w:rPr>
              <w:t>(Artigo 101 da Lei nº 4.320/64)</w:t>
            </w:r>
            <w:r>
              <w:rPr>
                <w:rFonts w:ascii="Arial" w:eastAsia="Times New Roman" w:hAnsi="Arial" w:cs="Arial"/>
                <w:sz w:val="18"/>
                <w:szCs w:val="18"/>
                <w:lang w:eastAsia="pt-BR"/>
              </w:rPr>
              <w:t xml:space="preserve">. Estrutura e layout constantes do item </w:t>
            </w:r>
            <w:r w:rsidR="00FB0230">
              <w:rPr>
                <w:rFonts w:ascii="Arial" w:eastAsia="Times New Roman" w:hAnsi="Arial" w:cs="Arial"/>
                <w:sz w:val="18"/>
                <w:szCs w:val="18"/>
                <w:lang w:eastAsia="pt-BR"/>
              </w:rPr>
              <w:t>3.1</w:t>
            </w:r>
            <w:r>
              <w:rPr>
                <w:rFonts w:ascii="Arial" w:eastAsia="Times New Roman" w:hAnsi="Arial" w:cs="Arial"/>
                <w:sz w:val="18"/>
                <w:szCs w:val="18"/>
                <w:lang w:eastAsia="pt-BR"/>
              </w:rPr>
              <w:t xml:space="preserve"> deste Anexo</w:t>
            </w:r>
          </w:p>
        </w:tc>
        <w:tc>
          <w:tcPr>
            <w:tcW w:w="992" w:type="dxa"/>
            <w:shd w:val="clear" w:color="auto" w:fill="auto"/>
            <w:vAlign w:val="center"/>
          </w:tcPr>
          <w:p w14:paraId="2C2B8CD3" w14:textId="77777777" w:rsidR="00EE115F" w:rsidRPr="00A5490A" w:rsidRDefault="00EE115F" w:rsidP="00EE115F">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XML</w:t>
            </w:r>
          </w:p>
        </w:tc>
      </w:tr>
      <w:tr w:rsidR="00E401A4" w:rsidRPr="00A5490A" w14:paraId="4515E9A3" w14:textId="77777777" w:rsidTr="004124D9">
        <w:tc>
          <w:tcPr>
            <w:tcW w:w="1245" w:type="dxa"/>
            <w:vAlign w:val="center"/>
          </w:tcPr>
          <w:p w14:paraId="57D5EECC" w14:textId="77777777" w:rsidR="00E401A4" w:rsidRPr="003B4337" w:rsidRDefault="00E401A4" w:rsidP="00A47BF4">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DEMDIF</w:t>
            </w:r>
          </w:p>
        </w:tc>
        <w:tc>
          <w:tcPr>
            <w:tcW w:w="6943" w:type="dxa"/>
            <w:shd w:val="clear" w:color="auto" w:fill="auto"/>
            <w:vAlign w:val="center"/>
          </w:tcPr>
          <w:p w14:paraId="4536E09A" w14:textId="77777777" w:rsidR="00E401A4" w:rsidRPr="003B4337" w:rsidRDefault="00E401A4" w:rsidP="00A47BF4">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Demonstrativo da Dívida Fundada (Anexo 16 Lei 4.320/1964), acompanhado de notas explicativas e outros quadros elucidativos que se fizerem necessários. (Artigo 101 da Lei Federal nº 4.320/64)</w:t>
            </w:r>
          </w:p>
        </w:tc>
        <w:tc>
          <w:tcPr>
            <w:tcW w:w="992" w:type="dxa"/>
            <w:shd w:val="clear" w:color="auto" w:fill="auto"/>
            <w:vAlign w:val="center"/>
          </w:tcPr>
          <w:p w14:paraId="65533B46" w14:textId="77777777" w:rsidR="00E401A4" w:rsidRPr="00A5490A" w:rsidRDefault="00532985" w:rsidP="00A47BF4">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E401A4" w:rsidRPr="00A5490A" w14:paraId="6590E611" w14:textId="77777777" w:rsidTr="004124D9">
        <w:tc>
          <w:tcPr>
            <w:tcW w:w="1245" w:type="dxa"/>
            <w:vAlign w:val="center"/>
          </w:tcPr>
          <w:p w14:paraId="74B0D9B2" w14:textId="77777777" w:rsidR="00E401A4" w:rsidRPr="00A5490A" w:rsidRDefault="00E401A4" w:rsidP="00C97ECD">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lastRenderedPageBreak/>
              <w:t>DEMDFL</w:t>
            </w:r>
          </w:p>
        </w:tc>
        <w:tc>
          <w:tcPr>
            <w:tcW w:w="6943" w:type="dxa"/>
            <w:shd w:val="clear" w:color="auto" w:fill="auto"/>
            <w:vAlign w:val="center"/>
          </w:tcPr>
          <w:p w14:paraId="3F9C6671" w14:textId="77777777" w:rsidR="00E401A4" w:rsidRPr="00A5490A" w:rsidRDefault="00E401A4" w:rsidP="00C97ECD">
            <w:p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Demonstrativo da Dívida Flutuante (Anexo 17 Lei 4.320/1964), acompanhado de notas explicativas e outros quadros elucidativos que se fizerem necessários. (Artigo 101 da Lei Federal nº 4.320/64)</w:t>
            </w:r>
          </w:p>
        </w:tc>
        <w:tc>
          <w:tcPr>
            <w:tcW w:w="992" w:type="dxa"/>
            <w:shd w:val="clear" w:color="auto" w:fill="auto"/>
            <w:vAlign w:val="center"/>
          </w:tcPr>
          <w:p w14:paraId="6E12E2BA" w14:textId="77777777" w:rsidR="00E401A4" w:rsidRPr="00A5490A" w:rsidRDefault="00532985" w:rsidP="00C97EC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E401A4" w:rsidRPr="00A5490A" w14:paraId="3CB1B84B" w14:textId="77777777" w:rsidTr="004124D9">
        <w:tc>
          <w:tcPr>
            <w:tcW w:w="1245" w:type="dxa"/>
            <w:vAlign w:val="center"/>
          </w:tcPr>
          <w:p w14:paraId="02D6F49E" w14:textId="77777777" w:rsidR="00E401A4" w:rsidRPr="00A5490A" w:rsidRDefault="00E401A4" w:rsidP="00C97ECD">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DEMFCA</w:t>
            </w:r>
          </w:p>
        </w:tc>
        <w:tc>
          <w:tcPr>
            <w:tcW w:w="6943" w:type="dxa"/>
            <w:shd w:val="clear" w:color="auto" w:fill="auto"/>
            <w:vAlign w:val="center"/>
          </w:tcPr>
          <w:p w14:paraId="0B730E18" w14:textId="77777777" w:rsidR="00E401A4" w:rsidRPr="00A5490A" w:rsidRDefault="00E401A4" w:rsidP="00C97ECD">
            <w:p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Demonstração dos Fluxos de Caixa – DFC (Parte V do Manual de Contabilidade Aplicado ao Setor Público – MCASP)</w:t>
            </w:r>
            <w:r>
              <w:rPr>
                <w:rFonts w:ascii="Arial" w:eastAsia="Times New Roman" w:hAnsi="Arial" w:cs="Arial"/>
                <w:sz w:val="18"/>
                <w:szCs w:val="18"/>
                <w:lang w:eastAsia="pt-BR"/>
              </w:rPr>
              <w:t xml:space="preserve">, </w:t>
            </w:r>
            <w:r w:rsidRPr="00A5490A">
              <w:rPr>
                <w:rFonts w:ascii="Arial" w:eastAsia="Times New Roman" w:hAnsi="Arial" w:cs="Arial"/>
                <w:sz w:val="18"/>
                <w:szCs w:val="18"/>
                <w:lang w:eastAsia="pt-BR"/>
              </w:rPr>
              <w:t>acompanhad</w:t>
            </w:r>
            <w:r>
              <w:rPr>
                <w:rFonts w:ascii="Arial" w:eastAsia="Times New Roman" w:hAnsi="Arial" w:cs="Arial"/>
                <w:sz w:val="18"/>
                <w:szCs w:val="18"/>
                <w:lang w:eastAsia="pt-BR"/>
              </w:rPr>
              <w:t>a</w:t>
            </w:r>
            <w:r w:rsidRPr="00A5490A">
              <w:rPr>
                <w:rFonts w:ascii="Arial" w:eastAsia="Times New Roman" w:hAnsi="Arial" w:cs="Arial"/>
                <w:sz w:val="18"/>
                <w:szCs w:val="18"/>
                <w:lang w:eastAsia="pt-BR"/>
              </w:rPr>
              <w:t xml:space="preserve"> de notas explicativas e outros quadros elucidativos que se fizerem necessários. (Resolução CFC nº 1.1</w:t>
            </w:r>
            <w:r>
              <w:rPr>
                <w:rFonts w:ascii="Arial" w:eastAsia="Times New Roman" w:hAnsi="Arial" w:cs="Arial"/>
                <w:sz w:val="18"/>
                <w:szCs w:val="18"/>
                <w:lang w:eastAsia="pt-BR"/>
              </w:rPr>
              <w:t>33</w:t>
            </w:r>
            <w:r w:rsidRPr="00A5490A">
              <w:rPr>
                <w:rFonts w:ascii="Arial" w:eastAsia="Times New Roman" w:hAnsi="Arial" w:cs="Arial"/>
                <w:sz w:val="18"/>
                <w:szCs w:val="18"/>
                <w:lang w:eastAsia="pt-BR"/>
              </w:rPr>
              <w:t>/2008 - NBC T 16</w:t>
            </w:r>
            <w:r>
              <w:rPr>
                <w:rFonts w:ascii="Arial" w:eastAsia="Times New Roman" w:hAnsi="Arial" w:cs="Arial"/>
                <w:sz w:val="18"/>
                <w:szCs w:val="18"/>
                <w:lang w:eastAsia="pt-BR"/>
              </w:rPr>
              <w:t>.6</w:t>
            </w:r>
            <w:r w:rsidRPr="00A5490A">
              <w:rPr>
                <w:rFonts w:ascii="Arial" w:eastAsia="Times New Roman" w:hAnsi="Arial" w:cs="Arial"/>
                <w:sz w:val="18"/>
                <w:szCs w:val="18"/>
                <w:lang w:eastAsia="pt-BR"/>
              </w:rPr>
              <w:t xml:space="preserve"> c/c Portaria STN nº 7</w:t>
            </w:r>
            <w:r>
              <w:rPr>
                <w:rFonts w:ascii="Arial" w:eastAsia="Times New Roman" w:hAnsi="Arial" w:cs="Arial"/>
                <w:sz w:val="18"/>
                <w:szCs w:val="18"/>
                <w:lang w:eastAsia="pt-BR"/>
              </w:rPr>
              <w:t>00</w:t>
            </w:r>
            <w:r w:rsidRPr="00A5490A">
              <w:rPr>
                <w:rFonts w:ascii="Arial" w:eastAsia="Times New Roman" w:hAnsi="Arial" w:cs="Arial"/>
                <w:sz w:val="18"/>
                <w:szCs w:val="18"/>
                <w:lang w:eastAsia="pt-BR"/>
              </w:rPr>
              <w:t>/201</w:t>
            </w:r>
            <w:r>
              <w:rPr>
                <w:rFonts w:ascii="Arial" w:eastAsia="Times New Roman" w:hAnsi="Arial" w:cs="Arial"/>
                <w:sz w:val="18"/>
                <w:szCs w:val="18"/>
                <w:lang w:eastAsia="pt-BR"/>
              </w:rPr>
              <w:t>4</w:t>
            </w:r>
            <w:r w:rsidRPr="00A5490A">
              <w:rPr>
                <w:rFonts w:ascii="Arial" w:eastAsia="Times New Roman" w:hAnsi="Arial" w:cs="Arial"/>
                <w:sz w:val="18"/>
                <w:szCs w:val="18"/>
                <w:lang w:eastAsia="pt-BR"/>
              </w:rPr>
              <w:t>)</w:t>
            </w:r>
          </w:p>
        </w:tc>
        <w:tc>
          <w:tcPr>
            <w:tcW w:w="992" w:type="dxa"/>
            <w:shd w:val="clear" w:color="auto" w:fill="auto"/>
            <w:vAlign w:val="center"/>
          </w:tcPr>
          <w:p w14:paraId="57F06724" w14:textId="77777777" w:rsidR="00E401A4" w:rsidRPr="00A5490A" w:rsidRDefault="00532985" w:rsidP="00C97EC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4124D9" w:rsidRPr="004124D9" w14:paraId="0A2E6268" w14:textId="77777777" w:rsidTr="004124D9">
        <w:tc>
          <w:tcPr>
            <w:tcW w:w="1245" w:type="dxa"/>
            <w:vAlign w:val="center"/>
          </w:tcPr>
          <w:p w14:paraId="08F7F934" w14:textId="77777777" w:rsidR="004124D9" w:rsidRPr="0073452B" w:rsidRDefault="004124D9" w:rsidP="007D64A9">
            <w:pPr>
              <w:spacing w:after="0" w:line="240" w:lineRule="auto"/>
              <w:jc w:val="center"/>
              <w:rPr>
                <w:rFonts w:ascii="Arial" w:eastAsia="Times New Roman" w:hAnsi="Arial" w:cs="Arial"/>
                <w:sz w:val="18"/>
                <w:szCs w:val="18"/>
                <w:lang w:eastAsia="pt-BR"/>
              </w:rPr>
            </w:pPr>
            <w:r w:rsidRPr="0073452B">
              <w:rPr>
                <w:rFonts w:ascii="Arial" w:eastAsia="Times New Roman" w:hAnsi="Arial" w:cs="Arial"/>
                <w:sz w:val="18"/>
                <w:szCs w:val="18"/>
                <w:lang w:eastAsia="pt-BR"/>
              </w:rPr>
              <w:t>BALVERF_E</w:t>
            </w:r>
          </w:p>
        </w:tc>
        <w:tc>
          <w:tcPr>
            <w:tcW w:w="6943" w:type="dxa"/>
            <w:shd w:val="clear" w:color="auto" w:fill="auto"/>
            <w:vAlign w:val="center"/>
          </w:tcPr>
          <w:p w14:paraId="2C1FFF35" w14:textId="0F9DD575" w:rsidR="004124D9" w:rsidRPr="0073452B" w:rsidRDefault="004124D9" w:rsidP="00FB0230">
            <w:pPr>
              <w:spacing w:before="120" w:after="120" w:line="240" w:lineRule="auto"/>
              <w:jc w:val="both"/>
              <w:rPr>
                <w:rFonts w:ascii="Arial" w:eastAsia="Times New Roman" w:hAnsi="Arial" w:cs="Arial"/>
                <w:sz w:val="18"/>
                <w:szCs w:val="18"/>
                <w:lang w:eastAsia="pt-BR"/>
              </w:rPr>
            </w:pPr>
            <w:r w:rsidRPr="0073452B">
              <w:rPr>
                <w:rFonts w:ascii="Arial" w:eastAsia="Times New Roman" w:hAnsi="Arial" w:cs="Arial"/>
                <w:sz w:val="18"/>
                <w:szCs w:val="18"/>
                <w:lang w:eastAsia="pt-BR"/>
              </w:rPr>
              <w:t xml:space="preserve">Balancete de verificação, com saldos acumulados no exercício, detalhado até o nível de conta contábil de lançamento, abrangendo todas as contas contábeis com movimentação no exercício, segregadas por natureza da informação patrimonial, orçamentária e de controle, informando o saldo anterior, o total a débito, o total a crédito e o saldo final. Estrutura e layout constantes do item </w:t>
            </w:r>
            <w:r w:rsidR="00FB0230">
              <w:rPr>
                <w:rFonts w:ascii="Arial" w:eastAsia="Times New Roman" w:hAnsi="Arial" w:cs="Arial"/>
                <w:sz w:val="18"/>
                <w:szCs w:val="18"/>
                <w:lang w:eastAsia="pt-BR"/>
              </w:rPr>
              <w:t>3.1</w:t>
            </w:r>
            <w:r w:rsidRPr="0073452B">
              <w:rPr>
                <w:rFonts w:ascii="Arial" w:eastAsia="Times New Roman" w:hAnsi="Arial" w:cs="Arial"/>
                <w:sz w:val="18"/>
                <w:szCs w:val="18"/>
                <w:lang w:eastAsia="pt-BR"/>
              </w:rPr>
              <w:t xml:space="preserve"> deste Anexo</w:t>
            </w:r>
          </w:p>
        </w:tc>
        <w:tc>
          <w:tcPr>
            <w:tcW w:w="992" w:type="dxa"/>
            <w:shd w:val="clear" w:color="auto" w:fill="auto"/>
            <w:vAlign w:val="center"/>
          </w:tcPr>
          <w:p w14:paraId="628E5A63" w14:textId="77777777" w:rsidR="004124D9" w:rsidRPr="0073452B" w:rsidRDefault="004124D9" w:rsidP="007D64A9">
            <w:pPr>
              <w:spacing w:after="0" w:line="240" w:lineRule="auto"/>
              <w:jc w:val="center"/>
              <w:rPr>
                <w:rFonts w:ascii="Arial" w:eastAsia="Times New Roman" w:hAnsi="Arial" w:cs="Arial"/>
                <w:sz w:val="14"/>
                <w:szCs w:val="14"/>
                <w:lang w:eastAsia="pt-BR"/>
              </w:rPr>
            </w:pPr>
            <w:r w:rsidRPr="0073452B">
              <w:rPr>
                <w:rFonts w:ascii="Arial" w:eastAsia="Times New Roman" w:hAnsi="Arial" w:cs="Arial"/>
                <w:sz w:val="14"/>
                <w:szCs w:val="14"/>
                <w:lang w:eastAsia="pt-BR"/>
              </w:rPr>
              <w:t>XML</w:t>
            </w:r>
          </w:p>
        </w:tc>
      </w:tr>
      <w:tr w:rsidR="004124D9" w:rsidRPr="004124D9" w14:paraId="3F52C4D4" w14:textId="77777777" w:rsidTr="004124D9">
        <w:tc>
          <w:tcPr>
            <w:tcW w:w="1245" w:type="dxa"/>
            <w:vAlign w:val="center"/>
          </w:tcPr>
          <w:p w14:paraId="3081EC79" w14:textId="77777777" w:rsidR="004124D9" w:rsidRPr="0073452B" w:rsidRDefault="004124D9" w:rsidP="007D64A9">
            <w:pPr>
              <w:spacing w:after="0" w:line="240" w:lineRule="auto"/>
              <w:jc w:val="center"/>
              <w:rPr>
                <w:rFonts w:ascii="Arial" w:eastAsia="Times New Roman" w:hAnsi="Arial" w:cs="Arial"/>
                <w:sz w:val="18"/>
                <w:szCs w:val="18"/>
                <w:lang w:eastAsia="pt-BR"/>
              </w:rPr>
            </w:pPr>
            <w:r w:rsidRPr="0073452B">
              <w:rPr>
                <w:rFonts w:ascii="Arial" w:eastAsia="Times New Roman" w:hAnsi="Arial" w:cs="Arial"/>
                <w:sz w:val="18"/>
                <w:szCs w:val="18"/>
                <w:lang w:eastAsia="pt-BR"/>
              </w:rPr>
              <w:t>BALEXOD_E</w:t>
            </w:r>
          </w:p>
        </w:tc>
        <w:tc>
          <w:tcPr>
            <w:tcW w:w="6943" w:type="dxa"/>
            <w:shd w:val="clear" w:color="auto" w:fill="auto"/>
            <w:vAlign w:val="center"/>
          </w:tcPr>
          <w:p w14:paraId="0359BCBF" w14:textId="3C33A22F" w:rsidR="004124D9" w:rsidRPr="0073452B" w:rsidRDefault="004124D9" w:rsidP="00FB0230">
            <w:pPr>
              <w:spacing w:before="120" w:after="120" w:line="240" w:lineRule="auto"/>
              <w:jc w:val="both"/>
              <w:rPr>
                <w:rFonts w:ascii="Arial" w:eastAsia="Times New Roman" w:hAnsi="Arial" w:cs="Arial"/>
                <w:sz w:val="18"/>
                <w:szCs w:val="18"/>
                <w:lang w:eastAsia="pt-BR"/>
              </w:rPr>
            </w:pPr>
            <w:r w:rsidRPr="0073452B">
              <w:rPr>
                <w:rFonts w:ascii="Arial" w:eastAsia="Times New Roman" w:hAnsi="Arial" w:cs="Arial"/>
                <w:sz w:val="18"/>
                <w:szCs w:val="18"/>
                <w:lang w:eastAsia="pt-BR"/>
              </w:rPr>
              <w:t xml:space="preserve">Balancete da execução orçamentária da despesa, acumulado até o mês de dezembro, demonstrando a fixação orçamentária da despesa, a movimentação dos créditos adicionais, os valores empenhados, liquidados e pagos, e a fonte de recursos. Estrutura e layout constantes do item </w:t>
            </w:r>
            <w:r w:rsidR="00FB0230">
              <w:rPr>
                <w:rFonts w:ascii="Arial" w:eastAsia="Times New Roman" w:hAnsi="Arial" w:cs="Arial"/>
                <w:sz w:val="18"/>
                <w:szCs w:val="18"/>
                <w:lang w:eastAsia="pt-BR"/>
              </w:rPr>
              <w:t>3.1</w:t>
            </w:r>
            <w:r w:rsidRPr="0073452B">
              <w:rPr>
                <w:rFonts w:ascii="Arial" w:eastAsia="Times New Roman" w:hAnsi="Arial" w:cs="Arial"/>
                <w:sz w:val="18"/>
                <w:szCs w:val="18"/>
                <w:lang w:eastAsia="pt-BR"/>
              </w:rPr>
              <w:t xml:space="preserve"> deste Anexo</w:t>
            </w:r>
          </w:p>
        </w:tc>
        <w:tc>
          <w:tcPr>
            <w:tcW w:w="992" w:type="dxa"/>
            <w:shd w:val="clear" w:color="auto" w:fill="auto"/>
            <w:vAlign w:val="center"/>
          </w:tcPr>
          <w:p w14:paraId="24AA963F" w14:textId="77777777" w:rsidR="004124D9" w:rsidRPr="0073452B" w:rsidRDefault="004124D9" w:rsidP="007D64A9">
            <w:pPr>
              <w:spacing w:after="0" w:line="240" w:lineRule="auto"/>
              <w:jc w:val="center"/>
              <w:rPr>
                <w:rFonts w:ascii="Arial" w:eastAsia="Times New Roman" w:hAnsi="Arial" w:cs="Arial"/>
                <w:i/>
                <w:sz w:val="14"/>
                <w:szCs w:val="14"/>
                <w:lang w:eastAsia="pt-BR"/>
              </w:rPr>
            </w:pPr>
            <w:r w:rsidRPr="0073452B">
              <w:rPr>
                <w:rFonts w:ascii="Arial" w:eastAsia="Times New Roman" w:hAnsi="Arial" w:cs="Arial"/>
                <w:sz w:val="14"/>
                <w:szCs w:val="14"/>
                <w:lang w:eastAsia="pt-BR"/>
              </w:rPr>
              <w:t>XML</w:t>
            </w:r>
          </w:p>
        </w:tc>
      </w:tr>
      <w:tr w:rsidR="00BA55BA" w:rsidRPr="00422D51" w14:paraId="1E6ABA61" w14:textId="77777777" w:rsidTr="004124D9">
        <w:tc>
          <w:tcPr>
            <w:tcW w:w="1245" w:type="dxa"/>
            <w:vAlign w:val="center"/>
          </w:tcPr>
          <w:p w14:paraId="6555DFF7" w14:textId="77777777" w:rsidR="00E401A4" w:rsidRPr="00422D51" w:rsidRDefault="00E401A4" w:rsidP="00C97ECD">
            <w:pPr>
              <w:spacing w:after="0" w:line="240" w:lineRule="auto"/>
              <w:jc w:val="center"/>
              <w:rPr>
                <w:rFonts w:ascii="Arial" w:eastAsia="Times New Roman" w:hAnsi="Arial" w:cs="Arial"/>
                <w:sz w:val="18"/>
                <w:szCs w:val="18"/>
                <w:lang w:eastAsia="pt-BR"/>
              </w:rPr>
            </w:pPr>
            <w:r w:rsidRPr="00422D51">
              <w:rPr>
                <w:rFonts w:ascii="Arial" w:eastAsia="Times New Roman" w:hAnsi="Arial" w:cs="Arial"/>
                <w:sz w:val="18"/>
                <w:szCs w:val="18"/>
                <w:lang w:eastAsia="pt-BR"/>
              </w:rPr>
              <w:t>DEMCADC</w:t>
            </w:r>
          </w:p>
        </w:tc>
        <w:tc>
          <w:tcPr>
            <w:tcW w:w="6943" w:type="dxa"/>
            <w:shd w:val="clear" w:color="auto" w:fill="auto"/>
            <w:vAlign w:val="center"/>
          </w:tcPr>
          <w:p w14:paraId="2A7DF69A" w14:textId="37044CD4" w:rsidR="00E401A4" w:rsidRPr="00422D51" w:rsidRDefault="00E401A4" w:rsidP="001631B2">
            <w:pPr>
              <w:spacing w:before="120" w:after="120" w:line="240" w:lineRule="auto"/>
              <w:jc w:val="both"/>
              <w:rPr>
                <w:rFonts w:ascii="Arial" w:eastAsia="Times New Roman" w:hAnsi="Arial" w:cs="Arial"/>
                <w:sz w:val="18"/>
                <w:szCs w:val="18"/>
                <w:lang w:eastAsia="pt-BR"/>
              </w:rPr>
            </w:pPr>
            <w:r w:rsidRPr="00422D51">
              <w:rPr>
                <w:rFonts w:ascii="Arial" w:eastAsia="Times New Roman" w:hAnsi="Arial" w:cs="Arial"/>
                <w:sz w:val="18"/>
                <w:szCs w:val="18"/>
                <w:lang w:eastAsia="pt-BR"/>
              </w:rPr>
              <w:t xml:space="preserve">Demonstrativo dos créditos adicionais contendo informações sobre os créditos abertos no exercício: lei autorizativa, instrumentos de abertura, natureza, valor e fonte de recursos utilizada, dentre outras informações, na forma do </w:t>
            </w:r>
            <w:r w:rsidR="00422D51" w:rsidRPr="00422D51">
              <w:rPr>
                <w:rFonts w:ascii="Arial" w:eastAsia="Times New Roman" w:hAnsi="Arial" w:cs="Arial"/>
                <w:sz w:val="18"/>
                <w:szCs w:val="18"/>
                <w:lang w:eastAsia="pt-BR"/>
              </w:rPr>
              <w:t>item 3.2 deste Anexo</w:t>
            </w:r>
            <w:r w:rsidRPr="00422D51">
              <w:rPr>
                <w:rFonts w:ascii="Arial" w:eastAsia="Times New Roman" w:hAnsi="Arial" w:cs="Arial"/>
                <w:i/>
                <w:sz w:val="18"/>
                <w:szCs w:val="18"/>
                <w:lang w:eastAsia="pt-BR"/>
              </w:rPr>
              <w:t>.</w:t>
            </w:r>
          </w:p>
        </w:tc>
        <w:tc>
          <w:tcPr>
            <w:tcW w:w="992" w:type="dxa"/>
            <w:shd w:val="clear" w:color="auto" w:fill="auto"/>
            <w:vAlign w:val="center"/>
          </w:tcPr>
          <w:p w14:paraId="3D6A2CB1" w14:textId="77777777" w:rsidR="00E401A4" w:rsidRPr="00422D51" w:rsidRDefault="00532985" w:rsidP="00C97ECD">
            <w:pPr>
              <w:spacing w:after="0" w:line="240" w:lineRule="auto"/>
              <w:jc w:val="center"/>
              <w:rPr>
                <w:rFonts w:ascii="Arial" w:eastAsia="Times New Roman" w:hAnsi="Arial" w:cs="Arial"/>
                <w:sz w:val="14"/>
                <w:szCs w:val="14"/>
                <w:lang w:eastAsia="pt-BR"/>
              </w:rPr>
            </w:pPr>
            <w:r w:rsidRPr="00422D51">
              <w:rPr>
                <w:rFonts w:ascii="Arial" w:eastAsia="Times New Roman" w:hAnsi="Arial" w:cs="Arial"/>
                <w:sz w:val="14"/>
                <w:szCs w:val="14"/>
                <w:lang w:eastAsia="pt-BR"/>
              </w:rPr>
              <w:t>PDF</w:t>
            </w:r>
          </w:p>
          <w:p w14:paraId="2D41455D" w14:textId="77777777" w:rsidR="00E401A4" w:rsidRPr="00422D51" w:rsidRDefault="00E401A4" w:rsidP="00C97ECD">
            <w:pPr>
              <w:spacing w:after="0" w:line="240" w:lineRule="auto"/>
              <w:jc w:val="center"/>
              <w:rPr>
                <w:rFonts w:ascii="Arial" w:eastAsia="Times New Roman" w:hAnsi="Arial" w:cs="Arial"/>
                <w:sz w:val="14"/>
                <w:szCs w:val="14"/>
                <w:lang w:eastAsia="pt-BR"/>
              </w:rPr>
            </w:pPr>
            <w:r w:rsidRPr="00422D51">
              <w:rPr>
                <w:rFonts w:ascii="Arial" w:eastAsia="Times New Roman" w:hAnsi="Arial" w:cs="Arial"/>
                <w:sz w:val="14"/>
                <w:szCs w:val="14"/>
                <w:lang w:eastAsia="pt-BR"/>
              </w:rPr>
              <w:t xml:space="preserve">e </w:t>
            </w:r>
          </w:p>
          <w:p w14:paraId="3C0ECA11" w14:textId="77777777" w:rsidR="00E401A4" w:rsidRPr="00422D51" w:rsidRDefault="00E401A4" w:rsidP="00C97ECD">
            <w:pPr>
              <w:spacing w:after="0" w:line="240" w:lineRule="auto"/>
              <w:jc w:val="center"/>
              <w:rPr>
                <w:rFonts w:ascii="Arial" w:eastAsia="Times New Roman" w:hAnsi="Arial" w:cs="Arial"/>
                <w:sz w:val="14"/>
                <w:szCs w:val="14"/>
                <w:lang w:eastAsia="pt-BR"/>
              </w:rPr>
            </w:pPr>
            <w:r w:rsidRPr="00422D51">
              <w:rPr>
                <w:rFonts w:ascii="Arial" w:eastAsia="Times New Roman" w:hAnsi="Arial" w:cs="Arial"/>
                <w:sz w:val="14"/>
                <w:szCs w:val="14"/>
                <w:lang w:eastAsia="pt-BR"/>
              </w:rPr>
              <w:t>XLS/XLSX/ODS</w:t>
            </w:r>
          </w:p>
        </w:tc>
      </w:tr>
      <w:tr w:rsidR="00E401A4" w:rsidRPr="00A5490A" w14:paraId="20DA09D9" w14:textId="77777777" w:rsidTr="004124D9">
        <w:tc>
          <w:tcPr>
            <w:tcW w:w="1245" w:type="dxa"/>
            <w:vAlign w:val="center"/>
          </w:tcPr>
          <w:p w14:paraId="7F7CEAA9" w14:textId="77777777" w:rsidR="00E401A4" w:rsidRPr="003B4337" w:rsidRDefault="00E401A4" w:rsidP="00C97ECD">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INVMOVS</w:t>
            </w:r>
          </w:p>
        </w:tc>
        <w:tc>
          <w:tcPr>
            <w:tcW w:w="6943" w:type="dxa"/>
            <w:shd w:val="clear" w:color="auto" w:fill="auto"/>
            <w:vAlign w:val="center"/>
          </w:tcPr>
          <w:p w14:paraId="764343E9" w14:textId="77777777" w:rsidR="00E401A4" w:rsidRPr="003B4337" w:rsidRDefault="00E401A4" w:rsidP="00C97ECD">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Inventário anual dos bens móveis, contendo no mínimo as seguintes informações: </w:t>
            </w:r>
          </w:p>
          <w:p w14:paraId="0D913EDA" w14:textId="77777777" w:rsidR="00E401A4" w:rsidRPr="003B4337" w:rsidRDefault="00E401A4" w:rsidP="00C97ECD">
            <w:pPr>
              <w:numPr>
                <w:ilvl w:val="0"/>
                <w:numId w:val="1"/>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Número de patrimônio </w:t>
            </w:r>
          </w:p>
          <w:p w14:paraId="1824F8C1" w14:textId="77777777" w:rsidR="00E401A4" w:rsidRPr="003B4337" w:rsidRDefault="00E401A4" w:rsidP="00C97ECD">
            <w:pPr>
              <w:numPr>
                <w:ilvl w:val="0"/>
                <w:numId w:val="1"/>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Descrição do bem </w:t>
            </w:r>
          </w:p>
          <w:p w14:paraId="5D67C97F" w14:textId="77777777" w:rsidR="00E401A4" w:rsidRPr="003B4337" w:rsidRDefault="00E401A4" w:rsidP="00C97ECD">
            <w:pPr>
              <w:numPr>
                <w:ilvl w:val="0"/>
                <w:numId w:val="1"/>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Data de aquisição/incorporação </w:t>
            </w:r>
          </w:p>
          <w:p w14:paraId="71A9EE9E" w14:textId="77777777" w:rsidR="00E401A4" w:rsidRPr="003B4337" w:rsidRDefault="00E401A4" w:rsidP="00C97ECD">
            <w:pPr>
              <w:numPr>
                <w:ilvl w:val="0"/>
                <w:numId w:val="1"/>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Localização </w:t>
            </w:r>
          </w:p>
          <w:p w14:paraId="1F34094E" w14:textId="77777777" w:rsidR="00E401A4" w:rsidRPr="003B4337" w:rsidRDefault="00E401A4" w:rsidP="00C97ECD">
            <w:pPr>
              <w:numPr>
                <w:ilvl w:val="0"/>
                <w:numId w:val="1"/>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Quantidade </w:t>
            </w:r>
          </w:p>
          <w:p w14:paraId="2A55AA03" w14:textId="77777777" w:rsidR="00E401A4" w:rsidRPr="003B4337" w:rsidRDefault="00E401A4" w:rsidP="00C97ECD">
            <w:pPr>
              <w:numPr>
                <w:ilvl w:val="0"/>
                <w:numId w:val="1"/>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Valor histórico e valor atualizado </w:t>
            </w:r>
          </w:p>
          <w:p w14:paraId="3368032B" w14:textId="77777777" w:rsidR="00E401A4" w:rsidRPr="003B4337" w:rsidRDefault="00E401A4" w:rsidP="00C97ECD">
            <w:pPr>
              <w:pStyle w:val="Default"/>
              <w:jc w:val="both"/>
              <w:rPr>
                <w:color w:val="auto"/>
                <w:sz w:val="18"/>
                <w:szCs w:val="18"/>
              </w:rPr>
            </w:pPr>
          </w:p>
          <w:p w14:paraId="384E4670" w14:textId="77777777" w:rsidR="00E401A4" w:rsidRPr="003B4337" w:rsidRDefault="00E401A4" w:rsidP="00C97ECD">
            <w:pPr>
              <w:pStyle w:val="Default"/>
              <w:jc w:val="both"/>
              <w:rPr>
                <w:rFonts w:eastAsia="Times New Roman"/>
                <w:color w:val="auto"/>
                <w:sz w:val="18"/>
                <w:szCs w:val="18"/>
                <w:lang w:eastAsia="pt-BR"/>
              </w:rPr>
            </w:pPr>
            <w:r w:rsidRPr="003B4337">
              <w:rPr>
                <w:rFonts w:eastAsia="Times New Roman"/>
                <w:color w:val="auto"/>
                <w:sz w:val="18"/>
                <w:szCs w:val="18"/>
                <w:lang w:eastAsia="pt-BR"/>
              </w:rPr>
              <w:t xml:space="preserve">Obs.1: as colunas de quantidades, valor histórico e valor atualizado devem ser totalizadas. </w:t>
            </w:r>
          </w:p>
          <w:p w14:paraId="2DF10AE9" w14:textId="77777777" w:rsidR="00E401A4" w:rsidRPr="003B4337" w:rsidRDefault="00E401A4" w:rsidP="00C97ECD">
            <w:pPr>
              <w:pStyle w:val="Default"/>
              <w:jc w:val="both"/>
              <w:rPr>
                <w:rFonts w:eastAsia="Times New Roman"/>
                <w:color w:val="auto"/>
                <w:sz w:val="18"/>
                <w:szCs w:val="18"/>
                <w:lang w:eastAsia="pt-BR"/>
              </w:rPr>
            </w:pPr>
            <w:r w:rsidRPr="003B4337">
              <w:rPr>
                <w:rFonts w:eastAsia="Times New Roman"/>
                <w:color w:val="auto"/>
                <w:sz w:val="18"/>
                <w:szCs w:val="18"/>
                <w:lang w:eastAsia="pt-BR"/>
              </w:rPr>
              <w:t xml:space="preserve">Obs.2: </w:t>
            </w:r>
            <w:r w:rsidRPr="00B6188E">
              <w:rPr>
                <w:rFonts w:eastAsia="Times New Roman"/>
                <w:color w:val="auto"/>
                <w:sz w:val="18"/>
                <w:szCs w:val="18"/>
                <w:lang w:eastAsia="pt-BR"/>
              </w:rPr>
              <w:t xml:space="preserve">durante o período de mensuração, reconhecimento e implementação dos procedimentos contábeis patrimoniais, cujos prazos foram estabelecidos pela </w:t>
            </w:r>
            <w:r w:rsidR="00532985">
              <w:rPr>
                <w:rFonts w:eastAsia="Times New Roman"/>
                <w:color w:val="auto"/>
                <w:sz w:val="18"/>
                <w:szCs w:val="18"/>
                <w:lang w:eastAsia="pt-BR"/>
              </w:rPr>
              <w:t>IN 35/2016</w:t>
            </w:r>
            <w:r w:rsidRPr="00B6188E">
              <w:rPr>
                <w:rFonts w:eastAsia="Times New Roman"/>
                <w:color w:val="auto"/>
                <w:sz w:val="18"/>
                <w:szCs w:val="18"/>
                <w:lang w:eastAsia="pt-BR"/>
              </w:rPr>
              <w:t>, poderá ser informado para o valor atualizado dos bens o mesmo valor histórico.</w:t>
            </w:r>
          </w:p>
          <w:p w14:paraId="133C466B" w14:textId="77777777" w:rsidR="00E401A4" w:rsidRPr="003B4337" w:rsidRDefault="00E401A4" w:rsidP="00C97ECD">
            <w:pPr>
              <w:pStyle w:val="Default"/>
              <w:jc w:val="both"/>
              <w:rPr>
                <w:rFonts w:eastAsia="Times New Roman"/>
                <w:color w:val="auto"/>
                <w:sz w:val="18"/>
                <w:szCs w:val="18"/>
                <w:lang w:eastAsia="pt-BR"/>
              </w:rPr>
            </w:pPr>
            <w:r w:rsidRPr="003B4337">
              <w:rPr>
                <w:rFonts w:eastAsia="Times New Roman"/>
                <w:color w:val="auto"/>
                <w:sz w:val="18"/>
                <w:szCs w:val="18"/>
                <w:lang w:eastAsia="pt-BR"/>
              </w:rPr>
              <w:t xml:space="preserve">Obs.3: os critérios utilizados para definição de valor histórico, valor atualizado e de mensuração do inventário, devem ser objeto de notas explicativas. </w:t>
            </w:r>
          </w:p>
          <w:p w14:paraId="0A662C13" w14:textId="77777777" w:rsidR="00E401A4" w:rsidRPr="003B4337" w:rsidRDefault="00E401A4" w:rsidP="00C97ECD">
            <w:pPr>
              <w:pStyle w:val="Default"/>
              <w:jc w:val="both"/>
              <w:rPr>
                <w:rFonts w:eastAsia="Times New Roman"/>
                <w:color w:val="auto"/>
                <w:sz w:val="18"/>
                <w:szCs w:val="18"/>
                <w:lang w:eastAsia="pt-BR"/>
              </w:rPr>
            </w:pPr>
            <w:r w:rsidRPr="003B4337">
              <w:rPr>
                <w:rFonts w:eastAsia="Times New Roman"/>
                <w:color w:val="auto"/>
                <w:sz w:val="18"/>
                <w:szCs w:val="18"/>
                <w:lang w:eastAsia="pt-BR"/>
              </w:rPr>
              <w:t xml:space="preserve">Obs.4: aplicam-se à presente norma, os conceitos adotados pela Secretaria do Tesouro Nacional em seu Manual de Contabilidade Aplicada ao Setor Público vigente. </w:t>
            </w:r>
          </w:p>
        </w:tc>
        <w:tc>
          <w:tcPr>
            <w:tcW w:w="992" w:type="dxa"/>
            <w:shd w:val="clear" w:color="auto" w:fill="auto"/>
            <w:vAlign w:val="center"/>
          </w:tcPr>
          <w:p w14:paraId="0CB58708" w14:textId="77777777" w:rsidR="00E401A4" w:rsidRPr="00A5490A" w:rsidRDefault="00532985" w:rsidP="00C97EC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p w14:paraId="2B0A053D" w14:textId="77777777" w:rsidR="00E401A4" w:rsidRPr="00A5490A" w:rsidRDefault="00E401A4" w:rsidP="00C97ECD">
            <w:pPr>
              <w:spacing w:after="0" w:line="240" w:lineRule="auto"/>
              <w:jc w:val="center"/>
              <w:rPr>
                <w:rFonts w:ascii="Arial" w:eastAsia="Times New Roman" w:hAnsi="Arial" w:cs="Arial"/>
                <w:sz w:val="14"/>
                <w:szCs w:val="14"/>
                <w:highlight w:val="yellow"/>
                <w:lang w:eastAsia="pt-BR"/>
              </w:rPr>
            </w:pPr>
            <w:r w:rsidRPr="00A5490A">
              <w:rPr>
                <w:rFonts w:ascii="Arial" w:eastAsia="Times New Roman" w:hAnsi="Arial" w:cs="Arial"/>
                <w:sz w:val="14"/>
                <w:szCs w:val="14"/>
                <w:lang w:eastAsia="pt-BR"/>
              </w:rPr>
              <w:t>e</w:t>
            </w:r>
            <w:r w:rsidRPr="00A5490A">
              <w:rPr>
                <w:rFonts w:ascii="Arial" w:eastAsia="Times New Roman" w:hAnsi="Arial" w:cs="Arial"/>
                <w:sz w:val="14"/>
                <w:szCs w:val="14"/>
                <w:highlight w:val="yellow"/>
                <w:lang w:eastAsia="pt-BR"/>
              </w:rPr>
              <w:t xml:space="preserve"> </w:t>
            </w:r>
          </w:p>
          <w:p w14:paraId="3A77CC01" w14:textId="77777777" w:rsidR="00E401A4" w:rsidRPr="00A5490A" w:rsidRDefault="00E401A4" w:rsidP="00C97ECD">
            <w:pPr>
              <w:spacing w:after="0" w:line="240" w:lineRule="auto"/>
              <w:jc w:val="center"/>
              <w:rPr>
                <w:rFonts w:ascii="Arial" w:eastAsia="Times New Roman" w:hAnsi="Arial" w:cs="Arial"/>
                <w:sz w:val="14"/>
                <w:szCs w:val="14"/>
                <w:lang w:eastAsia="pt-BR"/>
              </w:rPr>
            </w:pPr>
            <w:r w:rsidRPr="00A5490A">
              <w:rPr>
                <w:rFonts w:ascii="Arial" w:eastAsia="Times New Roman" w:hAnsi="Arial" w:cs="Arial"/>
                <w:sz w:val="14"/>
                <w:szCs w:val="14"/>
                <w:lang w:eastAsia="pt-BR"/>
              </w:rPr>
              <w:t>XLS</w:t>
            </w:r>
            <w:r>
              <w:rPr>
                <w:rFonts w:ascii="Arial" w:eastAsia="Times New Roman" w:hAnsi="Arial" w:cs="Arial"/>
                <w:sz w:val="14"/>
                <w:szCs w:val="14"/>
                <w:lang w:eastAsia="pt-BR"/>
              </w:rPr>
              <w:t>/XLSX/ODS</w:t>
            </w:r>
          </w:p>
        </w:tc>
      </w:tr>
      <w:tr w:rsidR="00E401A4" w:rsidRPr="006170A6" w14:paraId="5C5023BF" w14:textId="77777777" w:rsidTr="004124D9">
        <w:tc>
          <w:tcPr>
            <w:tcW w:w="1245" w:type="dxa"/>
            <w:tcBorders>
              <w:top w:val="single" w:sz="4" w:space="0" w:color="auto"/>
              <w:left w:val="single" w:sz="4" w:space="0" w:color="auto"/>
              <w:bottom w:val="single" w:sz="4" w:space="0" w:color="auto"/>
              <w:right w:val="single" w:sz="4" w:space="0" w:color="auto"/>
            </w:tcBorders>
            <w:vAlign w:val="center"/>
          </w:tcPr>
          <w:p w14:paraId="67B8883F" w14:textId="77777777" w:rsidR="00E401A4" w:rsidRPr="003B4337" w:rsidRDefault="00E401A4" w:rsidP="003B4337">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TERMOV</w:t>
            </w:r>
          </w:p>
        </w:tc>
        <w:tc>
          <w:tcPr>
            <w:tcW w:w="6943" w:type="dxa"/>
            <w:tcBorders>
              <w:top w:val="single" w:sz="4" w:space="0" w:color="auto"/>
              <w:left w:val="single" w:sz="4" w:space="0" w:color="auto"/>
              <w:bottom w:val="single" w:sz="4" w:space="0" w:color="auto"/>
              <w:right w:val="single" w:sz="4" w:space="0" w:color="auto"/>
            </w:tcBorders>
            <w:shd w:val="clear" w:color="auto" w:fill="auto"/>
            <w:vAlign w:val="center"/>
          </w:tcPr>
          <w:p w14:paraId="2D4FBE7E" w14:textId="6F0471B9" w:rsidR="00E401A4" w:rsidRPr="003B4337" w:rsidRDefault="00E401A4" w:rsidP="00B91A82">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Termo circunstanciado elaborado e assinado pela comissão responsável pelo Inventário Anual de Bens Móveis (INVMOVS), indicando o saldo total apurado e o </w:t>
            </w:r>
            <w:r w:rsidRPr="00636CCB">
              <w:rPr>
                <w:rFonts w:ascii="Arial" w:eastAsia="Times New Roman" w:hAnsi="Arial" w:cs="Arial"/>
                <w:sz w:val="18"/>
                <w:szCs w:val="18"/>
                <w:lang w:eastAsia="pt-BR"/>
              </w:rPr>
              <w:t>detalhamento (especificação e valor) das divergências encontradas</w:t>
            </w:r>
            <w:r w:rsidR="00B91A82" w:rsidRPr="00636CCB">
              <w:rPr>
                <w:rFonts w:ascii="Arial" w:eastAsia="Times New Roman" w:hAnsi="Arial" w:cs="Arial"/>
                <w:sz w:val="18"/>
                <w:szCs w:val="18"/>
                <w:lang w:eastAsia="pt-BR"/>
              </w:rPr>
              <w:t>, na forma do item 3.2 deste Anexo</w:t>
            </w:r>
            <w:r w:rsidR="00B24335" w:rsidRPr="00636CCB">
              <w:rPr>
                <w:rFonts w:ascii="Arial" w:eastAsia="Times New Roman" w:hAnsi="Arial" w:cs="Arial"/>
                <w:sz w:val="18"/>
                <w:szCs w:val="18"/>
                <w:lang w:eastAsia="pt-BR"/>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74BA6F0" w14:textId="77777777" w:rsidR="00E401A4" w:rsidRPr="003B4337" w:rsidRDefault="00532985" w:rsidP="009500C7">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E401A4" w:rsidRPr="00A5490A" w14:paraId="0AA59596" w14:textId="77777777" w:rsidTr="004124D9">
        <w:tc>
          <w:tcPr>
            <w:tcW w:w="1245" w:type="dxa"/>
            <w:vAlign w:val="center"/>
          </w:tcPr>
          <w:p w14:paraId="1DFE43EB" w14:textId="77777777" w:rsidR="00E401A4" w:rsidRPr="003B4337" w:rsidRDefault="00E401A4" w:rsidP="00C97ECD">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INVIMOS</w:t>
            </w:r>
          </w:p>
        </w:tc>
        <w:tc>
          <w:tcPr>
            <w:tcW w:w="6943" w:type="dxa"/>
            <w:shd w:val="clear" w:color="auto" w:fill="auto"/>
            <w:vAlign w:val="center"/>
          </w:tcPr>
          <w:p w14:paraId="3E805D7F" w14:textId="77777777" w:rsidR="00E401A4" w:rsidRPr="003B4337" w:rsidRDefault="00E401A4" w:rsidP="00C97ECD">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Inventário anual dos bens imóveis, contendo no mínimo as seguintes informações: </w:t>
            </w:r>
          </w:p>
          <w:p w14:paraId="5D8FA3C8" w14:textId="77777777" w:rsidR="00E401A4" w:rsidRPr="003B4337" w:rsidRDefault="00E401A4" w:rsidP="00C97ECD">
            <w:pPr>
              <w:numPr>
                <w:ilvl w:val="0"/>
                <w:numId w:val="1"/>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Relação dos imóveis que integram o patrimônio do Poder ou Órgão </w:t>
            </w:r>
          </w:p>
          <w:p w14:paraId="6A8B16E8" w14:textId="77777777" w:rsidR="00E401A4" w:rsidRPr="003B4337" w:rsidRDefault="00E401A4" w:rsidP="00C97ECD">
            <w:pPr>
              <w:numPr>
                <w:ilvl w:val="0"/>
                <w:numId w:val="1"/>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Caracterização do imóvel (número de registro, conforme certidão de matrícula ou certidão de ônus reais obtida no cartório de registro de imóveis; localização; área; estado de conservação; benfeitorias existentes; demais características) </w:t>
            </w:r>
          </w:p>
          <w:p w14:paraId="74FAA7A8" w14:textId="77777777" w:rsidR="00E401A4" w:rsidRPr="003B4337" w:rsidRDefault="00E401A4" w:rsidP="00C97ECD">
            <w:pPr>
              <w:numPr>
                <w:ilvl w:val="0"/>
                <w:numId w:val="1"/>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Data de aquisição/construção ou incorporação </w:t>
            </w:r>
          </w:p>
          <w:p w14:paraId="4EFECF04" w14:textId="77777777" w:rsidR="00E401A4" w:rsidRPr="003B4337" w:rsidRDefault="00E401A4" w:rsidP="00C97ECD">
            <w:pPr>
              <w:numPr>
                <w:ilvl w:val="0"/>
                <w:numId w:val="1"/>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Valor histórico e valor atualizado </w:t>
            </w:r>
          </w:p>
          <w:p w14:paraId="2058B761" w14:textId="77777777" w:rsidR="00E401A4" w:rsidRPr="003B4337" w:rsidRDefault="00E401A4" w:rsidP="00C97ECD">
            <w:pPr>
              <w:pStyle w:val="Default"/>
              <w:jc w:val="both"/>
              <w:rPr>
                <w:color w:val="auto"/>
                <w:sz w:val="18"/>
                <w:szCs w:val="18"/>
              </w:rPr>
            </w:pPr>
          </w:p>
          <w:p w14:paraId="067FBF6F" w14:textId="77777777" w:rsidR="00E401A4" w:rsidRPr="003B4337" w:rsidRDefault="00E401A4" w:rsidP="00C97ECD">
            <w:pPr>
              <w:pStyle w:val="Default"/>
              <w:jc w:val="both"/>
              <w:rPr>
                <w:rFonts w:eastAsia="Times New Roman"/>
                <w:color w:val="auto"/>
                <w:sz w:val="18"/>
                <w:szCs w:val="18"/>
                <w:lang w:eastAsia="pt-BR"/>
              </w:rPr>
            </w:pPr>
            <w:r w:rsidRPr="003B4337">
              <w:rPr>
                <w:rFonts w:eastAsia="Times New Roman"/>
                <w:color w:val="auto"/>
                <w:sz w:val="18"/>
                <w:szCs w:val="18"/>
                <w:lang w:eastAsia="pt-BR"/>
              </w:rPr>
              <w:lastRenderedPageBreak/>
              <w:t xml:space="preserve">Obs.1: as colunas valor histórico e valor atualizado devem ser totalizadas. </w:t>
            </w:r>
          </w:p>
          <w:p w14:paraId="6DDFCBD4" w14:textId="77777777" w:rsidR="00E401A4" w:rsidRPr="003B4337" w:rsidRDefault="00E401A4" w:rsidP="00C97ECD">
            <w:pPr>
              <w:pStyle w:val="Default"/>
              <w:jc w:val="both"/>
              <w:rPr>
                <w:rFonts w:eastAsia="Times New Roman"/>
                <w:color w:val="auto"/>
                <w:sz w:val="18"/>
                <w:szCs w:val="18"/>
                <w:lang w:eastAsia="pt-BR"/>
              </w:rPr>
            </w:pPr>
            <w:r w:rsidRPr="003B4337">
              <w:rPr>
                <w:rFonts w:eastAsia="Times New Roman"/>
                <w:color w:val="auto"/>
                <w:sz w:val="18"/>
                <w:szCs w:val="18"/>
                <w:lang w:eastAsia="pt-BR"/>
              </w:rPr>
              <w:t xml:space="preserve">Obs.2: </w:t>
            </w:r>
            <w:r w:rsidRPr="00B6188E">
              <w:rPr>
                <w:rFonts w:eastAsia="Times New Roman"/>
                <w:color w:val="auto"/>
                <w:sz w:val="18"/>
                <w:szCs w:val="18"/>
                <w:lang w:eastAsia="pt-BR"/>
              </w:rPr>
              <w:t xml:space="preserve">durante o período de mensuração, reconhecimento e implementação dos procedimentos contábeis patrimoniais, cujos prazos foram estabelecidos pela </w:t>
            </w:r>
            <w:r w:rsidR="00532985">
              <w:rPr>
                <w:rFonts w:eastAsia="Times New Roman"/>
                <w:color w:val="auto"/>
                <w:sz w:val="18"/>
                <w:szCs w:val="18"/>
                <w:lang w:eastAsia="pt-BR"/>
              </w:rPr>
              <w:t>IN 35/2016</w:t>
            </w:r>
            <w:r w:rsidRPr="00B6188E">
              <w:rPr>
                <w:rFonts w:eastAsia="Times New Roman"/>
                <w:color w:val="auto"/>
                <w:sz w:val="18"/>
                <w:szCs w:val="18"/>
                <w:lang w:eastAsia="pt-BR"/>
              </w:rPr>
              <w:t>, poderá ser informado para o valor atualizado dos bens o mesmo valor histórico.</w:t>
            </w:r>
          </w:p>
          <w:p w14:paraId="3D9B814C" w14:textId="77777777" w:rsidR="00E401A4" w:rsidRPr="003B4337" w:rsidRDefault="00E401A4" w:rsidP="00C97ECD">
            <w:pPr>
              <w:pStyle w:val="Default"/>
              <w:jc w:val="both"/>
              <w:rPr>
                <w:rFonts w:eastAsia="Times New Roman"/>
                <w:color w:val="auto"/>
                <w:sz w:val="18"/>
                <w:szCs w:val="18"/>
                <w:lang w:eastAsia="pt-BR"/>
              </w:rPr>
            </w:pPr>
            <w:r w:rsidRPr="003B4337">
              <w:rPr>
                <w:rFonts w:eastAsia="Times New Roman"/>
                <w:color w:val="auto"/>
                <w:sz w:val="18"/>
                <w:szCs w:val="18"/>
                <w:lang w:eastAsia="pt-BR"/>
              </w:rPr>
              <w:t xml:space="preserve">Obs.3: os critérios utilizados para definição de valor histórico, valor atualizado e de mensuração do inventário, devem ser objeto de notas explicativas. </w:t>
            </w:r>
          </w:p>
          <w:p w14:paraId="11BC0F10" w14:textId="77777777" w:rsidR="00E401A4" w:rsidRPr="003B4337" w:rsidRDefault="00E401A4" w:rsidP="00C97ECD">
            <w:pPr>
              <w:pStyle w:val="Default"/>
              <w:jc w:val="both"/>
              <w:rPr>
                <w:rFonts w:eastAsia="Times New Roman"/>
                <w:color w:val="auto"/>
                <w:sz w:val="18"/>
                <w:szCs w:val="18"/>
                <w:lang w:eastAsia="pt-BR"/>
              </w:rPr>
            </w:pPr>
            <w:r w:rsidRPr="003B4337">
              <w:rPr>
                <w:rFonts w:eastAsia="Times New Roman"/>
                <w:color w:val="auto"/>
                <w:sz w:val="18"/>
                <w:szCs w:val="18"/>
                <w:lang w:eastAsia="pt-BR"/>
              </w:rPr>
              <w:t xml:space="preserve">Obs.4: aplicam-se à presente norma, os conceitos adotados pela Secretaria do Tesouro Nacional em seu Manual de Contabilidade Aplicada ao Setor Público vigente. </w:t>
            </w:r>
          </w:p>
          <w:p w14:paraId="769A931B" w14:textId="77777777" w:rsidR="00E401A4" w:rsidRPr="003B4337" w:rsidRDefault="00E401A4" w:rsidP="00C97ECD">
            <w:pPr>
              <w:pStyle w:val="Default"/>
              <w:jc w:val="both"/>
              <w:rPr>
                <w:rFonts w:eastAsia="Times New Roman"/>
                <w:color w:val="auto"/>
                <w:sz w:val="18"/>
                <w:szCs w:val="18"/>
                <w:lang w:eastAsia="pt-BR"/>
              </w:rPr>
            </w:pPr>
            <w:r w:rsidRPr="003B4337">
              <w:rPr>
                <w:rFonts w:eastAsia="Times New Roman"/>
                <w:color w:val="auto"/>
                <w:sz w:val="18"/>
                <w:szCs w:val="18"/>
                <w:lang w:eastAsia="pt-BR"/>
              </w:rPr>
              <w:t xml:space="preserve">Obs.5: imóveis que são utilizados pelo Poder ou Órgão, mas que não integram o seu patrimônio devem ser informados separadamente. </w:t>
            </w:r>
          </w:p>
        </w:tc>
        <w:tc>
          <w:tcPr>
            <w:tcW w:w="992" w:type="dxa"/>
            <w:shd w:val="clear" w:color="auto" w:fill="auto"/>
            <w:vAlign w:val="center"/>
          </w:tcPr>
          <w:p w14:paraId="230A58CA" w14:textId="77777777" w:rsidR="00E401A4" w:rsidRPr="00A5490A" w:rsidRDefault="00532985" w:rsidP="00C97EC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lastRenderedPageBreak/>
              <w:t>PDF</w:t>
            </w:r>
          </w:p>
          <w:p w14:paraId="5EFCF919" w14:textId="77777777" w:rsidR="00E401A4" w:rsidRPr="00A5490A" w:rsidRDefault="00E401A4" w:rsidP="00C97ECD">
            <w:pPr>
              <w:spacing w:after="0" w:line="240" w:lineRule="auto"/>
              <w:jc w:val="center"/>
              <w:rPr>
                <w:rFonts w:ascii="Arial" w:eastAsia="Times New Roman" w:hAnsi="Arial" w:cs="Arial"/>
                <w:sz w:val="14"/>
                <w:szCs w:val="14"/>
                <w:highlight w:val="yellow"/>
                <w:lang w:eastAsia="pt-BR"/>
              </w:rPr>
            </w:pPr>
            <w:r w:rsidRPr="00A5490A">
              <w:rPr>
                <w:rFonts w:ascii="Arial" w:eastAsia="Times New Roman" w:hAnsi="Arial" w:cs="Arial"/>
                <w:sz w:val="14"/>
                <w:szCs w:val="14"/>
                <w:lang w:eastAsia="pt-BR"/>
              </w:rPr>
              <w:t>e</w:t>
            </w:r>
            <w:r w:rsidRPr="00A5490A">
              <w:rPr>
                <w:rFonts w:ascii="Arial" w:eastAsia="Times New Roman" w:hAnsi="Arial" w:cs="Arial"/>
                <w:sz w:val="14"/>
                <w:szCs w:val="14"/>
                <w:highlight w:val="yellow"/>
                <w:lang w:eastAsia="pt-BR"/>
              </w:rPr>
              <w:t xml:space="preserve"> </w:t>
            </w:r>
          </w:p>
          <w:p w14:paraId="29ED2B5F" w14:textId="77777777" w:rsidR="00E401A4" w:rsidRPr="00A5490A" w:rsidRDefault="00E401A4" w:rsidP="00C97ECD">
            <w:pPr>
              <w:spacing w:after="0" w:line="240" w:lineRule="auto"/>
              <w:jc w:val="center"/>
              <w:rPr>
                <w:rFonts w:ascii="Arial" w:eastAsia="Times New Roman" w:hAnsi="Arial" w:cs="Arial"/>
                <w:sz w:val="14"/>
                <w:szCs w:val="14"/>
                <w:lang w:eastAsia="pt-BR"/>
              </w:rPr>
            </w:pPr>
            <w:r w:rsidRPr="00A5490A">
              <w:rPr>
                <w:rFonts w:ascii="Arial" w:eastAsia="Times New Roman" w:hAnsi="Arial" w:cs="Arial"/>
                <w:sz w:val="14"/>
                <w:szCs w:val="14"/>
                <w:lang w:eastAsia="pt-BR"/>
              </w:rPr>
              <w:t>XLS</w:t>
            </w:r>
            <w:r>
              <w:rPr>
                <w:rFonts w:ascii="Arial" w:eastAsia="Times New Roman" w:hAnsi="Arial" w:cs="Arial"/>
                <w:sz w:val="14"/>
                <w:szCs w:val="14"/>
                <w:lang w:eastAsia="pt-BR"/>
              </w:rPr>
              <w:t>/XLSX/ODS</w:t>
            </w:r>
          </w:p>
        </w:tc>
      </w:tr>
      <w:tr w:rsidR="00E401A4" w:rsidRPr="006170A6" w14:paraId="4B6FDEB8" w14:textId="77777777" w:rsidTr="004124D9">
        <w:tc>
          <w:tcPr>
            <w:tcW w:w="1245" w:type="dxa"/>
            <w:tcBorders>
              <w:top w:val="single" w:sz="4" w:space="0" w:color="auto"/>
              <w:left w:val="single" w:sz="4" w:space="0" w:color="auto"/>
              <w:bottom w:val="single" w:sz="4" w:space="0" w:color="auto"/>
              <w:right w:val="single" w:sz="4" w:space="0" w:color="auto"/>
            </w:tcBorders>
            <w:vAlign w:val="center"/>
          </w:tcPr>
          <w:p w14:paraId="0D684634" w14:textId="77777777" w:rsidR="00E401A4" w:rsidRPr="003B4337" w:rsidRDefault="00E401A4" w:rsidP="003B4337">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lastRenderedPageBreak/>
              <w:t>TERIMO</w:t>
            </w:r>
          </w:p>
        </w:tc>
        <w:tc>
          <w:tcPr>
            <w:tcW w:w="6943" w:type="dxa"/>
            <w:tcBorders>
              <w:top w:val="single" w:sz="4" w:space="0" w:color="auto"/>
              <w:left w:val="single" w:sz="4" w:space="0" w:color="auto"/>
              <w:bottom w:val="single" w:sz="4" w:space="0" w:color="auto"/>
              <w:right w:val="single" w:sz="4" w:space="0" w:color="auto"/>
            </w:tcBorders>
            <w:shd w:val="clear" w:color="auto" w:fill="auto"/>
            <w:vAlign w:val="center"/>
          </w:tcPr>
          <w:p w14:paraId="745A00E5" w14:textId="11F9D4F8" w:rsidR="00E401A4" w:rsidRPr="003B4337" w:rsidRDefault="00E401A4" w:rsidP="00636CCB">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Termo circunstanciado elaborado e assinado pela comissão responsável pelo Inventário anual dos bens imóveis (INVIMOS), indicando o saldo total apurado e o </w:t>
            </w:r>
            <w:r w:rsidRPr="00636CCB">
              <w:rPr>
                <w:rFonts w:ascii="Arial" w:eastAsia="Times New Roman" w:hAnsi="Arial" w:cs="Arial"/>
                <w:sz w:val="18"/>
                <w:szCs w:val="18"/>
                <w:lang w:eastAsia="pt-BR"/>
              </w:rPr>
              <w:t>detalhamento (especificação e valor) das divergências encontradas</w:t>
            </w:r>
            <w:r w:rsidR="00636CCB" w:rsidRPr="00636CCB">
              <w:rPr>
                <w:rFonts w:ascii="Arial" w:eastAsia="Times New Roman" w:hAnsi="Arial" w:cs="Arial"/>
                <w:sz w:val="18"/>
                <w:szCs w:val="18"/>
                <w:lang w:eastAsia="pt-BR"/>
              </w:rPr>
              <w:t>, na forma do item 3.2 deste Anexo</w:t>
            </w:r>
            <w:r w:rsidR="00B24335" w:rsidRPr="00636CCB">
              <w:rPr>
                <w:rFonts w:ascii="Arial" w:eastAsia="Times New Roman" w:hAnsi="Arial" w:cs="Arial"/>
                <w:sz w:val="18"/>
                <w:szCs w:val="18"/>
                <w:lang w:eastAsia="pt-BR"/>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BE14063" w14:textId="77777777" w:rsidR="00E401A4" w:rsidRPr="003B4337" w:rsidRDefault="00532985" w:rsidP="009500C7">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E401A4" w:rsidRPr="00A5490A" w14:paraId="71C9758E" w14:textId="77777777" w:rsidTr="004124D9">
        <w:tc>
          <w:tcPr>
            <w:tcW w:w="1245" w:type="dxa"/>
            <w:vAlign w:val="center"/>
          </w:tcPr>
          <w:p w14:paraId="202968D7" w14:textId="77777777" w:rsidR="00E401A4" w:rsidRPr="003B4337" w:rsidRDefault="00E401A4" w:rsidP="00C97ECD">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INVALMO</w:t>
            </w:r>
          </w:p>
        </w:tc>
        <w:tc>
          <w:tcPr>
            <w:tcW w:w="6943" w:type="dxa"/>
            <w:shd w:val="clear" w:color="auto" w:fill="auto"/>
            <w:vAlign w:val="center"/>
          </w:tcPr>
          <w:p w14:paraId="6FA7BB12" w14:textId="77777777" w:rsidR="00E401A4" w:rsidRPr="003B4337" w:rsidRDefault="00E401A4" w:rsidP="00C97ECD">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Inventário anual dos bens em almoxarifado, contendo no mínimo as seguintes informações: </w:t>
            </w:r>
          </w:p>
          <w:p w14:paraId="10C09FDF" w14:textId="77777777" w:rsidR="00E401A4" w:rsidRPr="003B4337" w:rsidRDefault="00E401A4" w:rsidP="00C97ECD">
            <w:pPr>
              <w:numPr>
                <w:ilvl w:val="0"/>
                <w:numId w:val="1"/>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Descrição dos bens </w:t>
            </w:r>
          </w:p>
          <w:p w14:paraId="48C1EB14" w14:textId="77777777" w:rsidR="00E401A4" w:rsidRPr="003B4337" w:rsidRDefault="00E401A4" w:rsidP="00C97ECD">
            <w:pPr>
              <w:numPr>
                <w:ilvl w:val="0"/>
                <w:numId w:val="1"/>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Quantidade </w:t>
            </w:r>
          </w:p>
          <w:p w14:paraId="52643987" w14:textId="77777777" w:rsidR="00E401A4" w:rsidRPr="003B4337" w:rsidRDefault="00E401A4" w:rsidP="00C97ECD">
            <w:pPr>
              <w:numPr>
                <w:ilvl w:val="0"/>
                <w:numId w:val="1"/>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Valor unitário </w:t>
            </w:r>
          </w:p>
          <w:p w14:paraId="69FFD305" w14:textId="77777777" w:rsidR="00E401A4" w:rsidRPr="003B4337" w:rsidRDefault="00E401A4" w:rsidP="00C97ECD">
            <w:pPr>
              <w:numPr>
                <w:ilvl w:val="0"/>
                <w:numId w:val="1"/>
              </w:numPr>
              <w:spacing w:before="120" w:after="120" w:line="240" w:lineRule="auto"/>
              <w:jc w:val="both"/>
              <w:rPr>
                <w:sz w:val="18"/>
                <w:szCs w:val="18"/>
              </w:rPr>
            </w:pPr>
            <w:r w:rsidRPr="003B4337">
              <w:rPr>
                <w:rFonts w:ascii="Arial" w:eastAsia="Times New Roman" w:hAnsi="Arial" w:cs="Arial"/>
                <w:sz w:val="18"/>
                <w:szCs w:val="18"/>
                <w:lang w:eastAsia="pt-BR"/>
              </w:rPr>
              <w:t>Valor total</w:t>
            </w:r>
            <w:r w:rsidRPr="003B4337">
              <w:rPr>
                <w:sz w:val="18"/>
                <w:szCs w:val="18"/>
              </w:rPr>
              <w:t xml:space="preserve"> </w:t>
            </w:r>
          </w:p>
          <w:p w14:paraId="164F6500" w14:textId="77777777" w:rsidR="00E401A4" w:rsidRPr="003B4337" w:rsidRDefault="00E401A4" w:rsidP="00C97ECD">
            <w:pPr>
              <w:pStyle w:val="Default"/>
              <w:jc w:val="both"/>
              <w:rPr>
                <w:rFonts w:eastAsia="Times New Roman"/>
                <w:color w:val="auto"/>
                <w:sz w:val="18"/>
                <w:szCs w:val="18"/>
                <w:lang w:eastAsia="pt-BR"/>
              </w:rPr>
            </w:pPr>
            <w:r w:rsidRPr="003B4337">
              <w:rPr>
                <w:rFonts w:eastAsia="Times New Roman"/>
                <w:color w:val="auto"/>
                <w:sz w:val="18"/>
                <w:szCs w:val="18"/>
                <w:lang w:eastAsia="pt-BR"/>
              </w:rPr>
              <w:t xml:space="preserve">Obs.: a coluna valor total deve ser totalizada. </w:t>
            </w:r>
          </w:p>
        </w:tc>
        <w:tc>
          <w:tcPr>
            <w:tcW w:w="992" w:type="dxa"/>
            <w:shd w:val="clear" w:color="auto" w:fill="auto"/>
            <w:vAlign w:val="center"/>
          </w:tcPr>
          <w:p w14:paraId="7EE25FFA" w14:textId="77777777" w:rsidR="00E401A4" w:rsidRPr="003B4337" w:rsidRDefault="00532985" w:rsidP="00C97EC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p w14:paraId="4D88F5C0" w14:textId="77777777" w:rsidR="00E401A4" w:rsidRPr="003B4337" w:rsidRDefault="00E401A4" w:rsidP="00C97ECD">
            <w:pPr>
              <w:spacing w:after="0" w:line="240" w:lineRule="auto"/>
              <w:jc w:val="center"/>
              <w:rPr>
                <w:rFonts w:ascii="Arial" w:eastAsia="Times New Roman" w:hAnsi="Arial" w:cs="Arial"/>
                <w:sz w:val="14"/>
                <w:szCs w:val="14"/>
                <w:highlight w:val="yellow"/>
                <w:lang w:eastAsia="pt-BR"/>
              </w:rPr>
            </w:pPr>
            <w:r w:rsidRPr="003B4337">
              <w:rPr>
                <w:rFonts w:ascii="Arial" w:eastAsia="Times New Roman" w:hAnsi="Arial" w:cs="Arial"/>
                <w:sz w:val="14"/>
                <w:szCs w:val="14"/>
                <w:lang w:eastAsia="pt-BR"/>
              </w:rPr>
              <w:t>e</w:t>
            </w:r>
            <w:r w:rsidRPr="003B4337">
              <w:rPr>
                <w:rFonts w:ascii="Arial" w:eastAsia="Times New Roman" w:hAnsi="Arial" w:cs="Arial"/>
                <w:sz w:val="14"/>
                <w:szCs w:val="14"/>
                <w:highlight w:val="yellow"/>
                <w:lang w:eastAsia="pt-BR"/>
              </w:rPr>
              <w:t xml:space="preserve"> </w:t>
            </w:r>
          </w:p>
          <w:p w14:paraId="1A48B160" w14:textId="77777777" w:rsidR="00E401A4" w:rsidRPr="003B4337" w:rsidRDefault="00E401A4" w:rsidP="00C97ECD">
            <w:pPr>
              <w:spacing w:after="0" w:line="240" w:lineRule="auto"/>
              <w:jc w:val="center"/>
              <w:rPr>
                <w:rFonts w:ascii="Arial" w:eastAsia="Times New Roman" w:hAnsi="Arial" w:cs="Arial"/>
                <w:sz w:val="14"/>
                <w:szCs w:val="14"/>
                <w:lang w:eastAsia="pt-BR"/>
              </w:rPr>
            </w:pPr>
            <w:r w:rsidRPr="003B4337">
              <w:rPr>
                <w:rFonts w:ascii="Arial" w:eastAsia="Times New Roman" w:hAnsi="Arial" w:cs="Arial"/>
                <w:sz w:val="14"/>
                <w:szCs w:val="14"/>
                <w:lang w:eastAsia="pt-BR"/>
              </w:rPr>
              <w:t>XLS/XLSX/ODS</w:t>
            </w:r>
          </w:p>
        </w:tc>
      </w:tr>
      <w:tr w:rsidR="00E401A4" w:rsidRPr="006170A6" w14:paraId="4DEA79BB" w14:textId="77777777" w:rsidTr="004124D9">
        <w:tc>
          <w:tcPr>
            <w:tcW w:w="1245" w:type="dxa"/>
            <w:tcBorders>
              <w:top w:val="single" w:sz="4" w:space="0" w:color="auto"/>
              <w:left w:val="single" w:sz="4" w:space="0" w:color="auto"/>
              <w:bottom w:val="single" w:sz="4" w:space="0" w:color="auto"/>
              <w:right w:val="single" w:sz="4" w:space="0" w:color="auto"/>
            </w:tcBorders>
            <w:vAlign w:val="center"/>
          </w:tcPr>
          <w:p w14:paraId="58AFC5F1" w14:textId="77777777" w:rsidR="00E401A4" w:rsidRPr="003B4337" w:rsidRDefault="00E401A4" w:rsidP="003B4337">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TERALM</w:t>
            </w:r>
          </w:p>
        </w:tc>
        <w:tc>
          <w:tcPr>
            <w:tcW w:w="6943" w:type="dxa"/>
            <w:tcBorders>
              <w:top w:val="single" w:sz="4" w:space="0" w:color="auto"/>
              <w:left w:val="single" w:sz="4" w:space="0" w:color="auto"/>
              <w:bottom w:val="single" w:sz="4" w:space="0" w:color="auto"/>
              <w:right w:val="single" w:sz="4" w:space="0" w:color="auto"/>
            </w:tcBorders>
            <w:shd w:val="clear" w:color="auto" w:fill="auto"/>
            <w:vAlign w:val="center"/>
          </w:tcPr>
          <w:p w14:paraId="6A49840B" w14:textId="04297D08" w:rsidR="00E401A4" w:rsidRPr="003B4337" w:rsidRDefault="00E401A4" w:rsidP="00636CCB">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Termo circunstanciado elaborado e assinado pela comissão responsável pelo Inventário anual dos bens em almoxarifado (INVALMO), indicando o saldo total apurado e o detalhamento (especificação e valor) das divergências encontradas</w:t>
            </w:r>
            <w:r w:rsidR="00636CCB">
              <w:rPr>
                <w:rFonts w:ascii="Arial" w:eastAsia="Times New Roman" w:hAnsi="Arial" w:cs="Arial"/>
                <w:sz w:val="18"/>
                <w:szCs w:val="18"/>
                <w:lang w:eastAsia="pt-BR"/>
              </w:rPr>
              <w:t xml:space="preserve">, na </w:t>
            </w:r>
            <w:r w:rsidR="00636CCB" w:rsidRPr="00636CCB">
              <w:rPr>
                <w:rFonts w:ascii="Arial" w:eastAsia="Times New Roman" w:hAnsi="Arial" w:cs="Arial"/>
                <w:sz w:val="18"/>
                <w:szCs w:val="18"/>
                <w:lang w:eastAsia="pt-BR"/>
              </w:rPr>
              <w:t>forma do item 3.2 deste Anexo</w:t>
            </w:r>
            <w:r w:rsidR="00B24335" w:rsidRPr="00636CCB">
              <w:rPr>
                <w:rFonts w:ascii="Arial" w:eastAsia="Times New Roman" w:hAnsi="Arial" w:cs="Arial"/>
                <w:sz w:val="18"/>
                <w:szCs w:val="18"/>
                <w:lang w:eastAsia="pt-BR"/>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15B7D81" w14:textId="77777777" w:rsidR="00E401A4" w:rsidRPr="003B4337" w:rsidRDefault="00532985" w:rsidP="009500C7">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E401A4" w:rsidRPr="00A5490A" w14:paraId="25009EC6" w14:textId="77777777" w:rsidTr="004124D9">
        <w:tc>
          <w:tcPr>
            <w:tcW w:w="1245" w:type="dxa"/>
            <w:vAlign w:val="center"/>
          </w:tcPr>
          <w:p w14:paraId="61CEF1AA" w14:textId="77777777" w:rsidR="00E401A4" w:rsidRPr="003B4337" w:rsidRDefault="00E401A4" w:rsidP="00C97ECD">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INVINTN</w:t>
            </w:r>
          </w:p>
        </w:tc>
        <w:tc>
          <w:tcPr>
            <w:tcW w:w="6943" w:type="dxa"/>
            <w:shd w:val="clear" w:color="auto" w:fill="auto"/>
            <w:vAlign w:val="center"/>
          </w:tcPr>
          <w:p w14:paraId="5B19DE6C" w14:textId="77777777" w:rsidR="00E401A4" w:rsidRPr="003B4337" w:rsidRDefault="00E401A4" w:rsidP="00C97ECD">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Inventário anual dos bens intangíveis, contendo no mínimo as seguintes informações: </w:t>
            </w:r>
          </w:p>
          <w:p w14:paraId="0A76C302" w14:textId="77777777" w:rsidR="00E401A4" w:rsidRPr="003B4337" w:rsidRDefault="00E401A4" w:rsidP="00C97ECD">
            <w:pPr>
              <w:numPr>
                <w:ilvl w:val="0"/>
                <w:numId w:val="1"/>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Relação dos bens </w:t>
            </w:r>
          </w:p>
          <w:p w14:paraId="0923DB2D" w14:textId="77777777" w:rsidR="00E401A4" w:rsidRPr="003B4337" w:rsidRDefault="00E401A4" w:rsidP="00C97ECD">
            <w:pPr>
              <w:numPr>
                <w:ilvl w:val="0"/>
                <w:numId w:val="1"/>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Caracterização (especificação resumida; número de registro de marca ou patente, caso exista, comprovado mediante certidão de registro) </w:t>
            </w:r>
          </w:p>
          <w:p w14:paraId="3F9C10B5" w14:textId="77777777" w:rsidR="00E401A4" w:rsidRPr="003B4337" w:rsidRDefault="00E401A4" w:rsidP="00C97ECD">
            <w:pPr>
              <w:numPr>
                <w:ilvl w:val="0"/>
                <w:numId w:val="1"/>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Data de aquisição/produção/incorporação </w:t>
            </w:r>
          </w:p>
          <w:p w14:paraId="6139D4E8" w14:textId="77777777" w:rsidR="00E401A4" w:rsidRPr="003B4337" w:rsidRDefault="00E401A4" w:rsidP="00C97ECD">
            <w:pPr>
              <w:numPr>
                <w:ilvl w:val="0"/>
                <w:numId w:val="1"/>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Valor histórico e valor atualizado </w:t>
            </w:r>
          </w:p>
          <w:p w14:paraId="02A9AA5E" w14:textId="77777777" w:rsidR="00E401A4" w:rsidRPr="003B4337" w:rsidRDefault="00E401A4" w:rsidP="00C97ECD">
            <w:pPr>
              <w:pStyle w:val="Default"/>
              <w:jc w:val="both"/>
              <w:rPr>
                <w:rFonts w:eastAsia="Times New Roman"/>
                <w:color w:val="auto"/>
                <w:sz w:val="18"/>
                <w:szCs w:val="18"/>
                <w:lang w:eastAsia="pt-BR"/>
              </w:rPr>
            </w:pPr>
            <w:r w:rsidRPr="003B4337">
              <w:rPr>
                <w:rFonts w:eastAsia="Times New Roman"/>
                <w:color w:val="auto"/>
                <w:sz w:val="18"/>
                <w:szCs w:val="18"/>
                <w:lang w:eastAsia="pt-BR"/>
              </w:rPr>
              <w:t xml:space="preserve">Obs.1: as colunas valor histórico e valor atualizado devem ser totalizadas. </w:t>
            </w:r>
          </w:p>
          <w:p w14:paraId="41F982B5" w14:textId="77777777" w:rsidR="00E401A4" w:rsidRPr="003B4337" w:rsidRDefault="00E401A4" w:rsidP="00C97ECD">
            <w:pPr>
              <w:pStyle w:val="Default"/>
              <w:jc w:val="both"/>
              <w:rPr>
                <w:rFonts w:eastAsia="Times New Roman"/>
                <w:color w:val="auto"/>
                <w:sz w:val="18"/>
                <w:szCs w:val="18"/>
                <w:lang w:eastAsia="pt-BR"/>
              </w:rPr>
            </w:pPr>
            <w:r w:rsidRPr="003B4337">
              <w:rPr>
                <w:rFonts w:eastAsia="Times New Roman"/>
                <w:color w:val="auto"/>
                <w:sz w:val="18"/>
                <w:szCs w:val="18"/>
                <w:lang w:eastAsia="pt-BR"/>
              </w:rPr>
              <w:t xml:space="preserve">Obs.2: </w:t>
            </w:r>
            <w:r w:rsidRPr="00B6188E">
              <w:rPr>
                <w:rFonts w:eastAsia="Times New Roman"/>
                <w:color w:val="auto"/>
                <w:sz w:val="18"/>
                <w:szCs w:val="18"/>
                <w:lang w:eastAsia="pt-BR"/>
              </w:rPr>
              <w:t xml:space="preserve">durante o período de mensuração, reconhecimento e implementação dos procedimentos contábeis patrimoniais, cujos prazos foram estabelecidos pela </w:t>
            </w:r>
            <w:r w:rsidR="00532985">
              <w:rPr>
                <w:rFonts w:eastAsia="Times New Roman"/>
                <w:color w:val="auto"/>
                <w:sz w:val="18"/>
                <w:szCs w:val="18"/>
                <w:lang w:eastAsia="pt-BR"/>
              </w:rPr>
              <w:t>IN 35/2016</w:t>
            </w:r>
            <w:r w:rsidRPr="00B6188E">
              <w:rPr>
                <w:rFonts w:eastAsia="Times New Roman"/>
                <w:color w:val="auto"/>
                <w:sz w:val="18"/>
                <w:szCs w:val="18"/>
                <w:lang w:eastAsia="pt-BR"/>
              </w:rPr>
              <w:t>, poderá ser informado para o valor atualizado dos bens o mesmo valor histórico.</w:t>
            </w:r>
          </w:p>
          <w:p w14:paraId="1C183A31" w14:textId="77777777" w:rsidR="00E401A4" w:rsidRPr="003B4337" w:rsidRDefault="00E401A4" w:rsidP="00C97ECD">
            <w:pPr>
              <w:pStyle w:val="Default"/>
              <w:jc w:val="both"/>
              <w:rPr>
                <w:rFonts w:eastAsia="Times New Roman"/>
                <w:color w:val="auto"/>
                <w:sz w:val="18"/>
                <w:szCs w:val="18"/>
                <w:lang w:eastAsia="pt-BR"/>
              </w:rPr>
            </w:pPr>
            <w:r w:rsidRPr="003B4337">
              <w:rPr>
                <w:rFonts w:eastAsia="Times New Roman"/>
                <w:color w:val="auto"/>
                <w:sz w:val="18"/>
                <w:szCs w:val="18"/>
                <w:lang w:eastAsia="pt-BR"/>
              </w:rPr>
              <w:t xml:space="preserve">Obs.3: os critérios utilizados para definição de valor histórico, valor atualizado e de mensuração do inventário, devem ser objeto de notas explicativas. </w:t>
            </w:r>
          </w:p>
          <w:p w14:paraId="687D2B83" w14:textId="77777777" w:rsidR="00E401A4" w:rsidRPr="003B4337" w:rsidRDefault="00E401A4" w:rsidP="00C97ECD">
            <w:pPr>
              <w:pStyle w:val="Default"/>
              <w:jc w:val="both"/>
              <w:rPr>
                <w:rFonts w:eastAsia="Times New Roman"/>
                <w:color w:val="auto"/>
                <w:sz w:val="18"/>
                <w:szCs w:val="18"/>
                <w:lang w:eastAsia="pt-BR"/>
              </w:rPr>
            </w:pPr>
            <w:r w:rsidRPr="003B4337">
              <w:rPr>
                <w:rFonts w:eastAsia="Times New Roman"/>
                <w:color w:val="auto"/>
                <w:sz w:val="18"/>
                <w:szCs w:val="18"/>
                <w:lang w:eastAsia="pt-BR"/>
              </w:rPr>
              <w:t xml:space="preserve">Obs.4: aplicam-se à presente norma, os conceitos adotados pela Secretaria do Tesouro Nacional em seu Manual de Contabilidade Aplicada ao Setor Público vigente. </w:t>
            </w:r>
          </w:p>
        </w:tc>
        <w:tc>
          <w:tcPr>
            <w:tcW w:w="992" w:type="dxa"/>
            <w:shd w:val="clear" w:color="auto" w:fill="auto"/>
            <w:vAlign w:val="center"/>
          </w:tcPr>
          <w:p w14:paraId="24FB25E5" w14:textId="77777777" w:rsidR="00E401A4" w:rsidRPr="003B4337" w:rsidRDefault="00532985" w:rsidP="00C97EC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p w14:paraId="51E98BD8" w14:textId="77777777" w:rsidR="00E401A4" w:rsidRPr="003B4337" w:rsidRDefault="00E401A4" w:rsidP="00C97ECD">
            <w:pPr>
              <w:spacing w:after="0" w:line="240" w:lineRule="auto"/>
              <w:jc w:val="center"/>
              <w:rPr>
                <w:rFonts w:ascii="Arial" w:eastAsia="Times New Roman" w:hAnsi="Arial" w:cs="Arial"/>
                <w:sz w:val="14"/>
                <w:szCs w:val="14"/>
                <w:highlight w:val="yellow"/>
                <w:lang w:eastAsia="pt-BR"/>
              </w:rPr>
            </w:pPr>
            <w:r w:rsidRPr="003B4337">
              <w:rPr>
                <w:rFonts w:ascii="Arial" w:eastAsia="Times New Roman" w:hAnsi="Arial" w:cs="Arial"/>
                <w:sz w:val="14"/>
                <w:szCs w:val="14"/>
                <w:lang w:eastAsia="pt-BR"/>
              </w:rPr>
              <w:t>e</w:t>
            </w:r>
            <w:r w:rsidRPr="003B4337">
              <w:rPr>
                <w:rFonts w:ascii="Arial" w:eastAsia="Times New Roman" w:hAnsi="Arial" w:cs="Arial"/>
                <w:sz w:val="14"/>
                <w:szCs w:val="14"/>
                <w:highlight w:val="yellow"/>
                <w:lang w:eastAsia="pt-BR"/>
              </w:rPr>
              <w:t xml:space="preserve"> </w:t>
            </w:r>
          </w:p>
          <w:p w14:paraId="07A6CC84" w14:textId="77777777" w:rsidR="00E401A4" w:rsidRPr="003B4337" w:rsidRDefault="00E401A4" w:rsidP="00C97ECD">
            <w:pPr>
              <w:spacing w:after="0" w:line="240" w:lineRule="auto"/>
              <w:jc w:val="center"/>
              <w:rPr>
                <w:rFonts w:ascii="Arial" w:eastAsia="Times New Roman" w:hAnsi="Arial" w:cs="Arial"/>
                <w:sz w:val="14"/>
                <w:szCs w:val="14"/>
                <w:lang w:eastAsia="pt-BR"/>
              </w:rPr>
            </w:pPr>
            <w:r w:rsidRPr="003B4337">
              <w:rPr>
                <w:rFonts w:ascii="Arial" w:eastAsia="Times New Roman" w:hAnsi="Arial" w:cs="Arial"/>
                <w:sz w:val="14"/>
                <w:szCs w:val="14"/>
                <w:lang w:eastAsia="pt-BR"/>
              </w:rPr>
              <w:t>XLS/XLSX/ODS</w:t>
            </w:r>
          </w:p>
        </w:tc>
      </w:tr>
      <w:tr w:rsidR="00E401A4" w:rsidRPr="006170A6" w14:paraId="110FA3AB" w14:textId="77777777" w:rsidTr="004124D9">
        <w:tc>
          <w:tcPr>
            <w:tcW w:w="1245" w:type="dxa"/>
            <w:tcBorders>
              <w:top w:val="single" w:sz="4" w:space="0" w:color="auto"/>
              <w:left w:val="single" w:sz="4" w:space="0" w:color="auto"/>
              <w:bottom w:val="single" w:sz="4" w:space="0" w:color="auto"/>
              <w:right w:val="single" w:sz="4" w:space="0" w:color="auto"/>
            </w:tcBorders>
            <w:vAlign w:val="center"/>
          </w:tcPr>
          <w:p w14:paraId="23D7DBF6" w14:textId="77777777" w:rsidR="00E401A4" w:rsidRPr="003B4337" w:rsidRDefault="00E401A4" w:rsidP="003B4337">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TERINT</w:t>
            </w:r>
          </w:p>
        </w:tc>
        <w:tc>
          <w:tcPr>
            <w:tcW w:w="6943" w:type="dxa"/>
            <w:tcBorders>
              <w:top w:val="single" w:sz="4" w:space="0" w:color="auto"/>
              <w:left w:val="single" w:sz="4" w:space="0" w:color="auto"/>
              <w:bottom w:val="single" w:sz="4" w:space="0" w:color="auto"/>
              <w:right w:val="single" w:sz="4" w:space="0" w:color="auto"/>
            </w:tcBorders>
            <w:shd w:val="clear" w:color="auto" w:fill="auto"/>
            <w:vAlign w:val="center"/>
          </w:tcPr>
          <w:p w14:paraId="2B1E3187" w14:textId="0E692E59" w:rsidR="00E401A4" w:rsidRPr="003B4337" w:rsidRDefault="00E401A4" w:rsidP="00636CCB">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Termo circunstanciado elaborado e assinado pela comissão responsável pelo Inventário anual dos bens intangíveis (INVINTN), indicando o saldo total apurado e o detalhamento (especificação e valor) das divergências encontradas</w:t>
            </w:r>
            <w:r w:rsidR="00636CCB">
              <w:rPr>
                <w:rFonts w:ascii="Arial" w:eastAsia="Times New Roman" w:hAnsi="Arial" w:cs="Arial"/>
                <w:sz w:val="18"/>
                <w:szCs w:val="18"/>
                <w:lang w:eastAsia="pt-BR"/>
              </w:rPr>
              <w:t xml:space="preserve">, na forma </w:t>
            </w:r>
            <w:r w:rsidR="00636CCB" w:rsidRPr="00636CCB">
              <w:rPr>
                <w:rFonts w:ascii="Arial" w:eastAsia="Times New Roman" w:hAnsi="Arial" w:cs="Arial"/>
                <w:sz w:val="18"/>
                <w:szCs w:val="18"/>
                <w:lang w:eastAsia="pt-BR"/>
              </w:rPr>
              <w:t>do item 3.2 deste Anexo</w:t>
            </w:r>
            <w:r w:rsidR="0026646F" w:rsidRPr="00636CCB">
              <w:rPr>
                <w:rFonts w:ascii="Arial" w:eastAsia="Times New Roman" w:hAnsi="Arial" w:cs="Arial"/>
                <w:sz w:val="18"/>
                <w:szCs w:val="18"/>
                <w:lang w:eastAsia="pt-BR"/>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05ED49F" w14:textId="77777777" w:rsidR="00E401A4" w:rsidRPr="003B4337" w:rsidRDefault="00532985" w:rsidP="009500C7">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E401A4" w:rsidRPr="00A5490A" w14:paraId="7DFCC8CA" w14:textId="77777777" w:rsidTr="004124D9">
        <w:tc>
          <w:tcPr>
            <w:tcW w:w="1245" w:type="dxa"/>
            <w:vAlign w:val="center"/>
          </w:tcPr>
          <w:p w14:paraId="20068AAD" w14:textId="77777777" w:rsidR="00E401A4" w:rsidRPr="003B4337" w:rsidRDefault="00E401A4" w:rsidP="00C97ECD">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COMINV</w:t>
            </w:r>
          </w:p>
        </w:tc>
        <w:tc>
          <w:tcPr>
            <w:tcW w:w="6943" w:type="dxa"/>
            <w:shd w:val="clear" w:color="auto" w:fill="auto"/>
            <w:vAlign w:val="center"/>
          </w:tcPr>
          <w:p w14:paraId="3602C120" w14:textId="77777777" w:rsidR="00E401A4" w:rsidRPr="003B4337" w:rsidRDefault="00E401A4" w:rsidP="00C97ECD">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Ato de designação da comissão responsável pela elaboração dos inventários.</w:t>
            </w:r>
          </w:p>
        </w:tc>
        <w:tc>
          <w:tcPr>
            <w:tcW w:w="992" w:type="dxa"/>
            <w:shd w:val="clear" w:color="auto" w:fill="auto"/>
            <w:vAlign w:val="center"/>
          </w:tcPr>
          <w:p w14:paraId="22B7BDE5" w14:textId="77777777" w:rsidR="00E401A4" w:rsidRPr="003B4337" w:rsidRDefault="00532985" w:rsidP="00C97EC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E401A4" w:rsidRPr="00A5490A" w14:paraId="4FC9A5DC" w14:textId="77777777" w:rsidTr="004124D9">
        <w:tc>
          <w:tcPr>
            <w:tcW w:w="1245" w:type="dxa"/>
            <w:vAlign w:val="center"/>
          </w:tcPr>
          <w:p w14:paraId="65AFDBFA" w14:textId="77777777" w:rsidR="00E401A4" w:rsidRPr="003B4337" w:rsidRDefault="00E401A4" w:rsidP="00C97ECD">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DEMRAPG</w:t>
            </w:r>
          </w:p>
        </w:tc>
        <w:tc>
          <w:tcPr>
            <w:tcW w:w="6943" w:type="dxa"/>
            <w:shd w:val="clear" w:color="auto" w:fill="auto"/>
            <w:vAlign w:val="center"/>
          </w:tcPr>
          <w:p w14:paraId="2696E38F" w14:textId="77777777" w:rsidR="00E401A4" w:rsidRPr="003B4337" w:rsidRDefault="00E401A4" w:rsidP="00C97ECD">
            <w:pPr>
              <w:spacing w:before="120" w:after="120" w:line="240" w:lineRule="auto"/>
              <w:jc w:val="both"/>
              <w:rPr>
                <w:rFonts w:ascii="Arial" w:eastAsia="Times New Roman" w:hAnsi="Arial" w:cs="Arial"/>
                <w:i/>
                <w:sz w:val="18"/>
                <w:szCs w:val="18"/>
                <w:lang w:eastAsia="pt-BR"/>
              </w:rPr>
            </w:pPr>
            <w:r w:rsidRPr="003B4337">
              <w:rPr>
                <w:rFonts w:ascii="Arial" w:eastAsia="Times New Roman" w:hAnsi="Arial" w:cs="Arial"/>
                <w:sz w:val="18"/>
                <w:szCs w:val="18"/>
                <w:lang w:eastAsia="pt-BR"/>
              </w:rPr>
              <w:t>Demonstrativo de Restos a Pagar, evidenciando</w:t>
            </w:r>
            <w:r w:rsidRPr="003B4337">
              <w:rPr>
                <w:rFonts w:ascii="Arial" w:eastAsia="Times New Roman" w:hAnsi="Arial" w:cs="Arial"/>
                <w:b/>
                <w:bCs/>
                <w:sz w:val="18"/>
                <w:szCs w:val="18"/>
                <w:lang w:eastAsia="pt-BR"/>
              </w:rPr>
              <w:t>:</w:t>
            </w:r>
          </w:p>
          <w:p w14:paraId="05A4A158" w14:textId="77777777" w:rsidR="00E401A4" w:rsidRPr="003B4337" w:rsidRDefault="00E401A4" w:rsidP="00C97ECD">
            <w:pPr>
              <w:numPr>
                <w:ilvl w:val="0"/>
                <w:numId w:val="2"/>
              </w:numPr>
              <w:spacing w:before="120" w:after="120" w:line="240" w:lineRule="auto"/>
              <w:ind w:left="544"/>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os saldos de restos a pagar de exercícios anteriores e os restos a pagar inscritos no exercício sob análise, discriminados em: processados e não processados, por exercício, por credor, por fonte de recursos, por função e subfunção;</w:t>
            </w:r>
          </w:p>
          <w:p w14:paraId="17CE6FE2" w14:textId="77777777" w:rsidR="00E401A4" w:rsidRPr="003B4337" w:rsidRDefault="00E401A4" w:rsidP="00AE7C6F">
            <w:pPr>
              <w:numPr>
                <w:ilvl w:val="0"/>
                <w:numId w:val="2"/>
              </w:numPr>
              <w:spacing w:before="120" w:after="120" w:line="240" w:lineRule="auto"/>
              <w:ind w:left="544"/>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lastRenderedPageBreak/>
              <w:t>os restos a pagar cancelados no exercício sob análise, discriminados em: processados e não-processados, por exercício, por credor, por fonte de recursos, por função e subfunção</w:t>
            </w:r>
            <w:r w:rsidR="00AE7C6F">
              <w:rPr>
                <w:rFonts w:ascii="Arial" w:eastAsia="Times New Roman" w:hAnsi="Arial" w:cs="Arial"/>
                <w:sz w:val="18"/>
                <w:szCs w:val="18"/>
                <w:lang w:eastAsia="pt-BR"/>
              </w:rPr>
              <w:t>.</w:t>
            </w:r>
          </w:p>
        </w:tc>
        <w:tc>
          <w:tcPr>
            <w:tcW w:w="992" w:type="dxa"/>
            <w:shd w:val="clear" w:color="auto" w:fill="auto"/>
            <w:vAlign w:val="center"/>
          </w:tcPr>
          <w:p w14:paraId="65A6EC71" w14:textId="77777777" w:rsidR="00E401A4" w:rsidRPr="003B4337" w:rsidRDefault="00532985" w:rsidP="00C97EC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lastRenderedPageBreak/>
              <w:t>PDF</w:t>
            </w:r>
          </w:p>
        </w:tc>
      </w:tr>
      <w:tr w:rsidR="00E401A4" w:rsidRPr="00A5490A" w14:paraId="2B43B333" w14:textId="77777777" w:rsidTr="004124D9">
        <w:tc>
          <w:tcPr>
            <w:tcW w:w="1245" w:type="dxa"/>
            <w:vAlign w:val="center"/>
          </w:tcPr>
          <w:p w14:paraId="05ECB79A" w14:textId="77777777" w:rsidR="00E401A4" w:rsidRPr="003B4337" w:rsidRDefault="00E401A4" w:rsidP="00C97ECD">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lastRenderedPageBreak/>
              <w:t>EXTBAN</w:t>
            </w:r>
          </w:p>
        </w:tc>
        <w:tc>
          <w:tcPr>
            <w:tcW w:w="6943" w:type="dxa"/>
            <w:shd w:val="clear" w:color="auto" w:fill="auto"/>
            <w:vAlign w:val="center"/>
          </w:tcPr>
          <w:p w14:paraId="654C37C7" w14:textId="77777777" w:rsidR="00E401A4" w:rsidRPr="003B4337" w:rsidRDefault="00E401A4" w:rsidP="00C97ECD">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Extratos bancários relativos ao mês de encerramento do exercício</w:t>
            </w:r>
            <w:r w:rsidRPr="0073452B">
              <w:rPr>
                <w:rFonts w:ascii="Arial" w:eastAsia="Times New Roman" w:hAnsi="Arial" w:cs="Arial"/>
                <w:sz w:val="18"/>
                <w:szCs w:val="18"/>
                <w:lang w:eastAsia="pt-BR"/>
              </w:rPr>
              <w:t>.</w:t>
            </w:r>
            <w:r w:rsidR="004124D9" w:rsidRPr="0073452B">
              <w:rPr>
                <w:rFonts w:ascii="Arial" w:eastAsia="Times New Roman" w:hAnsi="Arial" w:cs="Arial"/>
                <w:sz w:val="18"/>
                <w:szCs w:val="18"/>
                <w:lang w:eastAsia="pt-BR"/>
              </w:rPr>
              <w:t xml:space="preserve"> Na hipótese de adesão ao Acordo de Cooperação Técnica entre o TCEES e o Banestes, não é necessário o envio dos extratos bancários do banco 021 – Banestes.</w:t>
            </w:r>
          </w:p>
        </w:tc>
        <w:tc>
          <w:tcPr>
            <w:tcW w:w="992" w:type="dxa"/>
            <w:shd w:val="clear" w:color="auto" w:fill="auto"/>
            <w:vAlign w:val="center"/>
          </w:tcPr>
          <w:p w14:paraId="3804CD45" w14:textId="77777777" w:rsidR="00E401A4" w:rsidRPr="003B4337" w:rsidRDefault="00532985" w:rsidP="00C97EC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E401A4" w:rsidRPr="00A5490A" w14:paraId="2310330E" w14:textId="77777777" w:rsidTr="004124D9">
        <w:tc>
          <w:tcPr>
            <w:tcW w:w="1245" w:type="dxa"/>
            <w:vAlign w:val="center"/>
          </w:tcPr>
          <w:p w14:paraId="5F3E6AEA" w14:textId="77777777" w:rsidR="00E401A4" w:rsidRPr="003B4337" w:rsidRDefault="00E401A4" w:rsidP="00C97ECD">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TVDISPN</w:t>
            </w:r>
          </w:p>
        </w:tc>
        <w:tc>
          <w:tcPr>
            <w:tcW w:w="6943" w:type="dxa"/>
            <w:shd w:val="clear" w:color="auto" w:fill="auto"/>
            <w:vAlign w:val="center"/>
          </w:tcPr>
          <w:p w14:paraId="78988678" w14:textId="5D1235DC" w:rsidR="00E401A4" w:rsidRPr="003B4337" w:rsidRDefault="00E401A4" w:rsidP="00422D51">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Termo de verificação de disponibilidades, na forma </w:t>
            </w:r>
            <w:r w:rsidR="00422D51" w:rsidRPr="00422D51">
              <w:rPr>
                <w:rFonts w:ascii="Arial" w:eastAsia="Times New Roman" w:hAnsi="Arial" w:cs="Arial"/>
                <w:sz w:val="18"/>
                <w:szCs w:val="18"/>
                <w:lang w:eastAsia="pt-BR"/>
              </w:rPr>
              <w:t>do item 3.2 deste Anexo</w:t>
            </w:r>
            <w:r w:rsidRPr="00422D51">
              <w:rPr>
                <w:rFonts w:ascii="Arial" w:eastAsia="Times New Roman" w:hAnsi="Arial" w:cs="Arial"/>
                <w:sz w:val="18"/>
                <w:szCs w:val="18"/>
                <w:lang w:eastAsia="pt-BR"/>
              </w:rPr>
              <w:t>.</w:t>
            </w:r>
          </w:p>
        </w:tc>
        <w:tc>
          <w:tcPr>
            <w:tcW w:w="992" w:type="dxa"/>
            <w:shd w:val="clear" w:color="auto" w:fill="auto"/>
            <w:vAlign w:val="center"/>
          </w:tcPr>
          <w:p w14:paraId="0E6BA647" w14:textId="77777777" w:rsidR="00E401A4" w:rsidRPr="003B4337" w:rsidRDefault="00532985" w:rsidP="00C97EC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p w14:paraId="52D6AEDC" w14:textId="77777777" w:rsidR="00E401A4" w:rsidRPr="003B4337" w:rsidRDefault="00E401A4" w:rsidP="00C97ECD">
            <w:pPr>
              <w:spacing w:after="0" w:line="240" w:lineRule="auto"/>
              <w:jc w:val="center"/>
              <w:rPr>
                <w:rFonts w:ascii="Arial" w:eastAsia="Times New Roman" w:hAnsi="Arial" w:cs="Arial"/>
                <w:sz w:val="14"/>
                <w:szCs w:val="14"/>
                <w:highlight w:val="yellow"/>
                <w:lang w:eastAsia="pt-BR"/>
              </w:rPr>
            </w:pPr>
            <w:r w:rsidRPr="003B4337">
              <w:rPr>
                <w:rFonts w:ascii="Arial" w:eastAsia="Times New Roman" w:hAnsi="Arial" w:cs="Arial"/>
                <w:sz w:val="14"/>
                <w:szCs w:val="14"/>
                <w:lang w:eastAsia="pt-BR"/>
              </w:rPr>
              <w:t>e</w:t>
            </w:r>
            <w:r w:rsidRPr="003B4337">
              <w:rPr>
                <w:rFonts w:ascii="Arial" w:eastAsia="Times New Roman" w:hAnsi="Arial" w:cs="Arial"/>
                <w:sz w:val="14"/>
                <w:szCs w:val="14"/>
                <w:highlight w:val="yellow"/>
                <w:lang w:eastAsia="pt-BR"/>
              </w:rPr>
              <w:t xml:space="preserve"> </w:t>
            </w:r>
          </w:p>
          <w:p w14:paraId="10FF0930" w14:textId="77777777" w:rsidR="00E401A4" w:rsidRPr="003B4337" w:rsidRDefault="00E401A4" w:rsidP="00C97ECD">
            <w:pPr>
              <w:spacing w:after="0" w:line="240" w:lineRule="auto"/>
              <w:jc w:val="center"/>
              <w:rPr>
                <w:rFonts w:ascii="Arial" w:eastAsia="Times New Roman" w:hAnsi="Arial" w:cs="Arial"/>
                <w:sz w:val="14"/>
                <w:szCs w:val="14"/>
                <w:lang w:eastAsia="pt-BR"/>
              </w:rPr>
            </w:pPr>
            <w:r w:rsidRPr="003B4337">
              <w:rPr>
                <w:rFonts w:ascii="Arial" w:eastAsia="Times New Roman" w:hAnsi="Arial" w:cs="Arial"/>
                <w:sz w:val="14"/>
                <w:szCs w:val="14"/>
                <w:lang w:eastAsia="pt-BR"/>
              </w:rPr>
              <w:t>XLS/XLSX/ODS</w:t>
            </w:r>
          </w:p>
        </w:tc>
      </w:tr>
      <w:tr w:rsidR="00E401A4" w:rsidRPr="00A5490A" w14:paraId="354F09FE" w14:textId="77777777" w:rsidTr="004124D9">
        <w:tc>
          <w:tcPr>
            <w:tcW w:w="1245" w:type="dxa"/>
            <w:vAlign w:val="center"/>
          </w:tcPr>
          <w:p w14:paraId="57AD9798" w14:textId="77777777" w:rsidR="00E401A4" w:rsidRPr="003B4337" w:rsidRDefault="00E401A4" w:rsidP="00C97ECD">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DEMCSE</w:t>
            </w:r>
          </w:p>
        </w:tc>
        <w:tc>
          <w:tcPr>
            <w:tcW w:w="6943" w:type="dxa"/>
            <w:shd w:val="clear" w:color="auto" w:fill="auto"/>
            <w:vAlign w:val="center"/>
          </w:tcPr>
          <w:p w14:paraId="399D77B6" w14:textId="63B6F77D" w:rsidR="00E401A4" w:rsidRPr="003B4337" w:rsidRDefault="00E401A4" w:rsidP="00422D51">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Demonstrativo evidenciando, mensalmente, o valor retido de contribuições sociais dos servidores e efetivamente recolhidos, discriminando por instituição previdenciária (RPPS e RGPS), na forma </w:t>
            </w:r>
            <w:r w:rsidR="00422D51" w:rsidRPr="00422D51">
              <w:rPr>
                <w:rFonts w:ascii="Arial" w:eastAsia="Times New Roman" w:hAnsi="Arial" w:cs="Arial"/>
                <w:sz w:val="18"/>
                <w:szCs w:val="18"/>
                <w:lang w:eastAsia="pt-BR"/>
              </w:rPr>
              <w:t>do item 3.2 deste Anexo</w:t>
            </w:r>
            <w:r w:rsidRPr="00422D51">
              <w:rPr>
                <w:rFonts w:ascii="Arial" w:eastAsia="Times New Roman" w:hAnsi="Arial" w:cs="Arial"/>
                <w:sz w:val="18"/>
                <w:szCs w:val="18"/>
                <w:lang w:eastAsia="pt-BR"/>
              </w:rPr>
              <w:t>.</w:t>
            </w:r>
          </w:p>
        </w:tc>
        <w:tc>
          <w:tcPr>
            <w:tcW w:w="992" w:type="dxa"/>
            <w:shd w:val="clear" w:color="auto" w:fill="auto"/>
            <w:vAlign w:val="center"/>
          </w:tcPr>
          <w:p w14:paraId="6906649F" w14:textId="77777777" w:rsidR="00E401A4" w:rsidRPr="003B4337" w:rsidRDefault="00532985" w:rsidP="00C97EC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E401A4" w:rsidRPr="00A5490A" w14:paraId="4617CCC0" w14:textId="77777777" w:rsidTr="004124D9">
        <w:tc>
          <w:tcPr>
            <w:tcW w:w="1245" w:type="dxa"/>
            <w:vAlign w:val="center"/>
          </w:tcPr>
          <w:p w14:paraId="343F3422" w14:textId="77777777" w:rsidR="00E401A4" w:rsidRPr="00A5490A" w:rsidRDefault="00E401A4" w:rsidP="00C97ECD">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CERSIT</w:t>
            </w:r>
          </w:p>
        </w:tc>
        <w:tc>
          <w:tcPr>
            <w:tcW w:w="6943" w:type="dxa"/>
            <w:shd w:val="clear" w:color="auto" w:fill="auto"/>
            <w:vAlign w:val="center"/>
          </w:tcPr>
          <w:p w14:paraId="77BFD48A" w14:textId="77777777" w:rsidR="00E401A4" w:rsidRPr="00A5490A" w:rsidRDefault="00E401A4" w:rsidP="00C97ECD">
            <w:p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Certificado de Regularidade de Situação – CRS</w:t>
            </w:r>
            <w:r w:rsidRPr="00A5490A">
              <w:rPr>
                <w:rFonts w:ascii="Arial" w:eastAsia="Times New Roman" w:hAnsi="Arial" w:cs="Arial"/>
                <w:sz w:val="18"/>
                <w:szCs w:val="18"/>
                <w:lang w:eastAsia="en-CA"/>
              </w:rPr>
              <w:t xml:space="preserve"> (art. 69 da LC Estadual nº 282/2004)</w:t>
            </w:r>
          </w:p>
        </w:tc>
        <w:tc>
          <w:tcPr>
            <w:tcW w:w="992" w:type="dxa"/>
            <w:shd w:val="clear" w:color="auto" w:fill="auto"/>
            <w:vAlign w:val="center"/>
          </w:tcPr>
          <w:p w14:paraId="1549AA52" w14:textId="77777777" w:rsidR="00E401A4" w:rsidRPr="00A5490A" w:rsidRDefault="00532985" w:rsidP="00C97EC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E401A4" w:rsidRPr="00A5490A" w14:paraId="7B433FA1" w14:textId="77777777" w:rsidTr="004124D9">
        <w:tc>
          <w:tcPr>
            <w:tcW w:w="1245" w:type="dxa"/>
            <w:vAlign w:val="center"/>
          </w:tcPr>
          <w:p w14:paraId="1A16CE19" w14:textId="77777777" w:rsidR="00E401A4" w:rsidRPr="00A5490A" w:rsidRDefault="00E401A4" w:rsidP="00C97ECD">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FIXSUB</w:t>
            </w:r>
          </w:p>
        </w:tc>
        <w:tc>
          <w:tcPr>
            <w:tcW w:w="6943" w:type="dxa"/>
            <w:shd w:val="clear" w:color="auto" w:fill="auto"/>
            <w:vAlign w:val="center"/>
          </w:tcPr>
          <w:p w14:paraId="77ED6195" w14:textId="77777777" w:rsidR="00E401A4" w:rsidRPr="00A5490A" w:rsidRDefault="00E401A4" w:rsidP="00E7485C">
            <w:p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 xml:space="preserve">Instrumento normativo fixador dos subsídios dos </w:t>
            </w:r>
            <w:r>
              <w:rPr>
                <w:rFonts w:ascii="Arial" w:eastAsia="Times New Roman" w:hAnsi="Arial" w:cs="Arial"/>
                <w:sz w:val="18"/>
                <w:szCs w:val="18"/>
                <w:lang w:eastAsia="pt-BR"/>
              </w:rPr>
              <w:t xml:space="preserve">Deputados Estaduais </w:t>
            </w:r>
            <w:r w:rsidRPr="00A5490A">
              <w:rPr>
                <w:rFonts w:ascii="Arial" w:eastAsia="Times New Roman" w:hAnsi="Arial" w:cs="Arial"/>
                <w:sz w:val="18"/>
                <w:szCs w:val="18"/>
                <w:lang w:eastAsia="pt-BR"/>
              </w:rPr>
              <w:t>para a legislatura a que se refere a prestação de contas, bem como, as leis que concederam revisões gerais anuais nesse período.</w:t>
            </w:r>
          </w:p>
        </w:tc>
        <w:tc>
          <w:tcPr>
            <w:tcW w:w="992" w:type="dxa"/>
            <w:shd w:val="clear" w:color="auto" w:fill="auto"/>
            <w:vAlign w:val="center"/>
          </w:tcPr>
          <w:p w14:paraId="68C57C6D" w14:textId="77777777" w:rsidR="00E401A4" w:rsidRPr="00A5490A" w:rsidRDefault="00532985" w:rsidP="00C97EC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E401A4" w:rsidRPr="00A5490A" w14:paraId="31E56B00" w14:textId="77777777" w:rsidTr="004124D9">
        <w:tc>
          <w:tcPr>
            <w:tcW w:w="1245" w:type="dxa"/>
            <w:vAlign w:val="center"/>
          </w:tcPr>
          <w:p w14:paraId="0D577EDD" w14:textId="77777777" w:rsidR="00E401A4" w:rsidRPr="00A5490A" w:rsidRDefault="00E401A4" w:rsidP="00C97ECD">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DEMPES</w:t>
            </w:r>
          </w:p>
        </w:tc>
        <w:tc>
          <w:tcPr>
            <w:tcW w:w="6943" w:type="dxa"/>
            <w:shd w:val="clear" w:color="auto" w:fill="auto"/>
            <w:vAlign w:val="center"/>
          </w:tcPr>
          <w:p w14:paraId="70AA8D91" w14:textId="77777777" w:rsidR="00E401A4" w:rsidRPr="00A5490A" w:rsidRDefault="00E401A4" w:rsidP="00C97ECD">
            <w:p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Relatório de Gestão Fiscal – Demonstrativo da Despesa com Pessoal (ANEXO 1 do Manual de Demonstrativos Fiscais editado pela STN), relativo ao terceiro quadrimestre ou segundo semestre do exercício a que se refere a prestação de contas, devidamente assinado pelas autoridades definidas no parágrafo único do artigo 54, da LC 101/2000.</w:t>
            </w:r>
          </w:p>
        </w:tc>
        <w:tc>
          <w:tcPr>
            <w:tcW w:w="992" w:type="dxa"/>
            <w:shd w:val="clear" w:color="auto" w:fill="auto"/>
            <w:vAlign w:val="center"/>
          </w:tcPr>
          <w:p w14:paraId="5A05F719" w14:textId="77777777" w:rsidR="00E401A4" w:rsidRPr="00A5490A" w:rsidRDefault="00532985" w:rsidP="00C97EC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E401A4" w:rsidRPr="00A5490A" w14:paraId="5EE42593" w14:textId="77777777" w:rsidTr="004124D9">
        <w:tc>
          <w:tcPr>
            <w:tcW w:w="1245" w:type="dxa"/>
            <w:vAlign w:val="center"/>
          </w:tcPr>
          <w:p w14:paraId="09BC75AD" w14:textId="77777777" w:rsidR="00E401A4" w:rsidRPr="00A5490A" w:rsidRDefault="00E401A4" w:rsidP="00C97ECD">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DEMRPA</w:t>
            </w:r>
          </w:p>
        </w:tc>
        <w:tc>
          <w:tcPr>
            <w:tcW w:w="6943" w:type="dxa"/>
            <w:shd w:val="clear" w:color="auto" w:fill="auto"/>
            <w:vAlign w:val="center"/>
          </w:tcPr>
          <w:p w14:paraId="1DFB29DE" w14:textId="113A2D4C" w:rsidR="00E401A4" w:rsidRPr="00A5490A" w:rsidRDefault="00104F4C" w:rsidP="00390452">
            <w:pPr>
              <w:spacing w:before="120" w:after="120" w:line="240" w:lineRule="auto"/>
              <w:jc w:val="both"/>
              <w:rPr>
                <w:rFonts w:ascii="Arial" w:eastAsia="Times New Roman" w:hAnsi="Arial" w:cs="Arial"/>
                <w:sz w:val="18"/>
                <w:szCs w:val="18"/>
                <w:lang w:eastAsia="pt-BR"/>
              </w:rPr>
            </w:pPr>
            <w:r w:rsidRPr="008F51AC">
              <w:rPr>
                <w:rFonts w:ascii="Arial" w:hAnsi="Arial" w:cs="Arial"/>
                <w:sz w:val="18"/>
                <w:szCs w:val="18"/>
              </w:rPr>
              <w:t xml:space="preserve">Relatório de Gestão Fiscal – Demonstrativo </w:t>
            </w:r>
            <w:r>
              <w:rPr>
                <w:rFonts w:ascii="Arial" w:hAnsi="Arial" w:cs="Arial"/>
                <w:sz w:val="18"/>
                <w:szCs w:val="18"/>
              </w:rPr>
              <w:t xml:space="preserve">da Disponibilidade de Caixa e </w:t>
            </w:r>
            <w:r w:rsidRPr="008F51AC">
              <w:rPr>
                <w:rFonts w:ascii="Arial" w:hAnsi="Arial" w:cs="Arial"/>
                <w:sz w:val="18"/>
                <w:szCs w:val="18"/>
              </w:rPr>
              <w:t xml:space="preserve">dos Restos a Pagar (ANEXO </w:t>
            </w:r>
            <w:r>
              <w:rPr>
                <w:rFonts w:ascii="Arial" w:hAnsi="Arial" w:cs="Arial"/>
                <w:sz w:val="18"/>
                <w:szCs w:val="18"/>
              </w:rPr>
              <w:t>5</w:t>
            </w:r>
            <w:r w:rsidRPr="008F51AC">
              <w:rPr>
                <w:rFonts w:ascii="Arial" w:hAnsi="Arial" w:cs="Arial"/>
                <w:sz w:val="18"/>
                <w:szCs w:val="18"/>
              </w:rPr>
              <w:t xml:space="preserve"> do Manual de Demonstrativos Fiscais editado pela STN), relativo ao terceiro quadrimestre ou segundo semestre do exercício a que se refere a prestação de contas, devidamente assinado pelas autoridades definidas no parágrafo único do artigo 54, da LC 101/2000, acompanhado de relação dos restos a pagar inscritos em 31/12 cujas obrigações tenham sido assumidas no primeiro quadrimestre do exercício quando a prestação de contas se referir ao último exercício do mandato do titular do Poder ou </w:t>
            </w:r>
            <w:r>
              <w:rPr>
                <w:rFonts w:ascii="Arial" w:hAnsi="Arial" w:cs="Arial"/>
                <w:sz w:val="18"/>
                <w:szCs w:val="18"/>
              </w:rPr>
              <w:t>Ó</w:t>
            </w:r>
            <w:r w:rsidRPr="008F51AC">
              <w:rPr>
                <w:rFonts w:ascii="Arial" w:hAnsi="Arial" w:cs="Arial"/>
                <w:sz w:val="18"/>
                <w:szCs w:val="18"/>
              </w:rPr>
              <w:t>rgão.</w:t>
            </w:r>
          </w:p>
        </w:tc>
        <w:tc>
          <w:tcPr>
            <w:tcW w:w="992" w:type="dxa"/>
            <w:shd w:val="clear" w:color="auto" w:fill="auto"/>
            <w:vAlign w:val="center"/>
          </w:tcPr>
          <w:p w14:paraId="4781F015" w14:textId="77777777" w:rsidR="00E401A4" w:rsidRPr="007C7FBF" w:rsidRDefault="00532985" w:rsidP="00C97EC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E401A4" w:rsidRPr="00A5490A" w14:paraId="67CC2AD4" w14:textId="77777777" w:rsidTr="004124D9">
        <w:tc>
          <w:tcPr>
            <w:tcW w:w="1245" w:type="dxa"/>
            <w:vAlign w:val="center"/>
          </w:tcPr>
          <w:p w14:paraId="71827155" w14:textId="77777777" w:rsidR="00E401A4" w:rsidRPr="003B4337" w:rsidRDefault="00E401A4" w:rsidP="003B4337">
            <w:pPr>
              <w:spacing w:before="120" w:after="12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DELREP</w:t>
            </w:r>
          </w:p>
        </w:tc>
        <w:tc>
          <w:tcPr>
            <w:tcW w:w="6943" w:type="dxa"/>
            <w:shd w:val="clear" w:color="auto" w:fill="auto"/>
            <w:vAlign w:val="center"/>
          </w:tcPr>
          <w:p w14:paraId="3442D087" w14:textId="18F33AD0" w:rsidR="00E401A4" w:rsidRPr="003B4337" w:rsidRDefault="00E401A4" w:rsidP="00422D51">
            <w:pPr>
              <w:tabs>
                <w:tab w:val="left" w:pos="851"/>
              </w:tabs>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Declaração do ordenador de despesas, no ente que instituiu Regime Próprio de Previdência Social, sobre o repasse integral das contribuições previdenciárias (servidor e patronal), acrescido dos encargos financeiros em caso de atrasos, de todos os valores devidos no exercício financeiro ao RPPS, decorrentes de leis, </w:t>
            </w:r>
            <w:r w:rsidRPr="00422D51">
              <w:rPr>
                <w:rFonts w:ascii="Arial" w:eastAsia="Times New Roman" w:hAnsi="Arial" w:cs="Arial"/>
                <w:sz w:val="18"/>
                <w:szCs w:val="18"/>
                <w:lang w:eastAsia="pt-BR"/>
              </w:rPr>
              <w:t xml:space="preserve">acordos, termos de parcelamento e instrumentos congêneres, na forma </w:t>
            </w:r>
            <w:r w:rsidR="00422D51" w:rsidRPr="00422D51">
              <w:rPr>
                <w:rFonts w:ascii="Arial" w:eastAsia="Times New Roman" w:hAnsi="Arial" w:cs="Arial"/>
                <w:sz w:val="18"/>
                <w:szCs w:val="18"/>
                <w:lang w:eastAsia="pt-BR"/>
              </w:rPr>
              <w:t>do item 3.2 deste Anexo</w:t>
            </w:r>
            <w:r w:rsidRPr="00422D51">
              <w:rPr>
                <w:rFonts w:ascii="Arial" w:eastAsia="Times New Roman" w:hAnsi="Arial" w:cs="Arial"/>
                <w:sz w:val="18"/>
                <w:szCs w:val="18"/>
                <w:lang w:eastAsia="pt-BR"/>
              </w:rPr>
              <w:t>.</w:t>
            </w:r>
          </w:p>
        </w:tc>
        <w:tc>
          <w:tcPr>
            <w:tcW w:w="992" w:type="dxa"/>
            <w:shd w:val="clear" w:color="auto" w:fill="auto"/>
            <w:vAlign w:val="center"/>
          </w:tcPr>
          <w:p w14:paraId="02468E42" w14:textId="77777777" w:rsidR="00E401A4" w:rsidRPr="003B4337" w:rsidRDefault="00532985" w:rsidP="001B0C70">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E401A4" w:rsidRPr="00A5490A" w14:paraId="4E2441EB" w14:textId="77777777" w:rsidTr="004124D9">
        <w:tc>
          <w:tcPr>
            <w:tcW w:w="1245" w:type="dxa"/>
            <w:vAlign w:val="center"/>
          </w:tcPr>
          <w:p w14:paraId="1E93F158" w14:textId="77777777" w:rsidR="00E401A4" w:rsidRPr="003B4337" w:rsidRDefault="00E401A4" w:rsidP="003B4337">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DELCEDI</w:t>
            </w:r>
          </w:p>
          <w:p w14:paraId="2C9E7DC9" w14:textId="77777777" w:rsidR="00E401A4" w:rsidRPr="003B4337" w:rsidRDefault="00E401A4" w:rsidP="001B0C70">
            <w:pPr>
              <w:spacing w:after="0" w:line="240" w:lineRule="auto"/>
              <w:jc w:val="center"/>
              <w:rPr>
                <w:rFonts w:ascii="Arial" w:eastAsia="Times New Roman" w:hAnsi="Arial" w:cs="Arial"/>
                <w:sz w:val="18"/>
                <w:szCs w:val="18"/>
                <w:lang w:eastAsia="pt-BR"/>
              </w:rPr>
            </w:pPr>
          </w:p>
        </w:tc>
        <w:tc>
          <w:tcPr>
            <w:tcW w:w="6943" w:type="dxa"/>
            <w:shd w:val="clear" w:color="auto" w:fill="auto"/>
            <w:vAlign w:val="center"/>
          </w:tcPr>
          <w:p w14:paraId="574C4011" w14:textId="7E0F10C8" w:rsidR="00E401A4" w:rsidRPr="003B4337" w:rsidRDefault="00E401A4" w:rsidP="00422D51">
            <w:pPr>
              <w:spacing w:before="120" w:after="120" w:line="240" w:lineRule="auto"/>
              <w:jc w:val="both"/>
              <w:rPr>
                <w:rFonts w:ascii="Arial" w:hAnsi="Arial" w:cs="Arial"/>
              </w:rPr>
            </w:pPr>
            <w:r w:rsidRPr="003B4337">
              <w:rPr>
                <w:rFonts w:ascii="Arial" w:eastAsia="Times New Roman" w:hAnsi="Arial" w:cs="Arial"/>
                <w:sz w:val="18"/>
                <w:szCs w:val="18"/>
                <w:lang w:eastAsia="pt-BR"/>
              </w:rPr>
              <w:t xml:space="preserve">Declaração do ordenador de despesas, no ente que instituiu Regime Próprio de Previdência Social, que o mesmo repassou integralmente todas as contribuições previdenciárias (servidor e patronal) devidas no exercício financeiro, incidentes sobre a remuneração de seus servidores efetivos cedidos (seja com ou sem ônus de ressarcimento), na forma </w:t>
            </w:r>
            <w:r w:rsidR="00422D51" w:rsidRPr="00422D51">
              <w:rPr>
                <w:rFonts w:ascii="Arial" w:eastAsia="Times New Roman" w:hAnsi="Arial" w:cs="Arial"/>
                <w:sz w:val="18"/>
                <w:szCs w:val="18"/>
                <w:lang w:eastAsia="pt-BR"/>
              </w:rPr>
              <w:t>do item 3.2 deste Anexo</w:t>
            </w:r>
            <w:r w:rsidRPr="00422D51">
              <w:rPr>
                <w:rFonts w:ascii="Arial" w:eastAsia="Times New Roman" w:hAnsi="Arial" w:cs="Arial"/>
                <w:sz w:val="18"/>
                <w:szCs w:val="18"/>
                <w:lang w:eastAsia="pt-BR"/>
              </w:rPr>
              <w:t>.</w:t>
            </w:r>
            <w:r w:rsidRPr="00422D51">
              <w:rPr>
                <w:rFonts w:ascii="Arial" w:hAnsi="Arial" w:cs="Arial"/>
              </w:rPr>
              <w:t xml:space="preserve"> </w:t>
            </w:r>
          </w:p>
        </w:tc>
        <w:tc>
          <w:tcPr>
            <w:tcW w:w="992" w:type="dxa"/>
            <w:shd w:val="clear" w:color="auto" w:fill="auto"/>
            <w:vAlign w:val="center"/>
          </w:tcPr>
          <w:p w14:paraId="2342A0EC" w14:textId="77777777" w:rsidR="00E401A4" w:rsidRPr="003B4337" w:rsidRDefault="00532985" w:rsidP="001B0C70">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E401A4" w:rsidRPr="00A5490A" w14:paraId="1388D113" w14:textId="77777777" w:rsidTr="004124D9">
        <w:tc>
          <w:tcPr>
            <w:tcW w:w="1245" w:type="dxa"/>
            <w:vAlign w:val="center"/>
          </w:tcPr>
          <w:p w14:paraId="6001B973" w14:textId="77777777" w:rsidR="00E401A4" w:rsidRPr="003B4337" w:rsidRDefault="00E401A4" w:rsidP="003B4337">
            <w:pPr>
              <w:spacing w:before="120" w:after="12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DECINAT</w:t>
            </w:r>
          </w:p>
        </w:tc>
        <w:tc>
          <w:tcPr>
            <w:tcW w:w="6943" w:type="dxa"/>
            <w:shd w:val="clear" w:color="auto" w:fill="auto"/>
            <w:vAlign w:val="center"/>
          </w:tcPr>
          <w:p w14:paraId="3D344BE4" w14:textId="11EE326A" w:rsidR="00E401A4" w:rsidRPr="003B4337" w:rsidRDefault="00E401A4" w:rsidP="00422D51">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Declaração do ordenador de despesas informando se há pagamento de aposentadorias e pensões sendo realizados de forma direta pela entidade, e, caso ocorra, que informe o suporte legal para tal procedimento, além de planilha adicional informando o nome do beneficiário, o tipo de benefício, sua base legal de concessão, cargo que ocupava na atividade, a data e o número do ato concessão do benefício, o valor original e atualizado do benefício recebido, na </w:t>
            </w:r>
            <w:r w:rsidRPr="00422D51">
              <w:rPr>
                <w:rFonts w:ascii="Arial" w:eastAsia="Times New Roman" w:hAnsi="Arial" w:cs="Arial"/>
                <w:sz w:val="18"/>
                <w:szCs w:val="18"/>
                <w:lang w:eastAsia="pt-BR"/>
              </w:rPr>
              <w:t xml:space="preserve">forma </w:t>
            </w:r>
            <w:r w:rsidR="00422D51" w:rsidRPr="00422D51">
              <w:rPr>
                <w:rFonts w:ascii="Arial" w:eastAsia="Times New Roman" w:hAnsi="Arial" w:cs="Arial"/>
                <w:sz w:val="18"/>
                <w:szCs w:val="18"/>
                <w:lang w:eastAsia="pt-BR"/>
              </w:rPr>
              <w:t>do item 3.2 deste Anexo</w:t>
            </w:r>
            <w:r w:rsidRPr="00422D51">
              <w:rPr>
                <w:rFonts w:ascii="Arial" w:eastAsia="Times New Roman" w:hAnsi="Arial" w:cs="Arial"/>
                <w:sz w:val="18"/>
                <w:szCs w:val="18"/>
                <w:lang w:eastAsia="pt-BR"/>
              </w:rPr>
              <w:t>.</w:t>
            </w:r>
          </w:p>
        </w:tc>
        <w:tc>
          <w:tcPr>
            <w:tcW w:w="992" w:type="dxa"/>
            <w:shd w:val="clear" w:color="auto" w:fill="auto"/>
            <w:vAlign w:val="center"/>
          </w:tcPr>
          <w:p w14:paraId="1A503EE0" w14:textId="77777777" w:rsidR="00E401A4" w:rsidRPr="003B4337" w:rsidRDefault="00532985" w:rsidP="001B0C70">
            <w:pPr>
              <w:spacing w:before="120" w:after="12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037234" w:rsidRPr="00A5490A" w14:paraId="73187927" w14:textId="77777777" w:rsidTr="004124D9">
        <w:tc>
          <w:tcPr>
            <w:tcW w:w="1245" w:type="dxa"/>
            <w:vAlign w:val="center"/>
          </w:tcPr>
          <w:p w14:paraId="133A7F93" w14:textId="6463158F" w:rsidR="00037234" w:rsidRPr="00037234" w:rsidRDefault="00037234" w:rsidP="00037234">
            <w:pPr>
              <w:spacing w:before="120" w:after="120" w:line="240" w:lineRule="auto"/>
              <w:jc w:val="center"/>
              <w:rPr>
                <w:rFonts w:ascii="Arial" w:eastAsia="Times New Roman" w:hAnsi="Arial" w:cs="Arial"/>
                <w:sz w:val="18"/>
                <w:szCs w:val="18"/>
                <w:lang w:eastAsia="pt-BR"/>
              </w:rPr>
            </w:pPr>
            <w:r w:rsidRPr="00037234">
              <w:rPr>
                <w:rFonts w:ascii="Arial" w:eastAsia="Times New Roman" w:hAnsi="Arial" w:cs="Arial"/>
                <w:sz w:val="18"/>
                <w:szCs w:val="18"/>
                <w:lang w:eastAsia="pt-BR"/>
              </w:rPr>
              <w:t>LIMITA</w:t>
            </w:r>
          </w:p>
        </w:tc>
        <w:tc>
          <w:tcPr>
            <w:tcW w:w="6943" w:type="dxa"/>
            <w:shd w:val="clear" w:color="auto" w:fill="auto"/>
            <w:vAlign w:val="center"/>
          </w:tcPr>
          <w:p w14:paraId="463CD749" w14:textId="483F0A5B" w:rsidR="00037234" w:rsidRPr="00037234" w:rsidRDefault="00037234" w:rsidP="00037234">
            <w:pPr>
              <w:spacing w:before="120" w:after="120" w:line="240" w:lineRule="auto"/>
              <w:jc w:val="both"/>
              <w:rPr>
                <w:rFonts w:ascii="Arial" w:eastAsia="Times New Roman" w:hAnsi="Arial" w:cs="Arial"/>
                <w:sz w:val="18"/>
                <w:szCs w:val="18"/>
                <w:lang w:eastAsia="pt-BR"/>
              </w:rPr>
            </w:pPr>
            <w:r w:rsidRPr="00037234">
              <w:rPr>
                <w:rFonts w:ascii="Arial" w:eastAsia="Times New Roman" w:hAnsi="Arial" w:cs="Arial"/>
                <w:sz w:val="18"/>
                <w:szCs w:val="18"/>
                <w:lang w:eastAsia="pt-BR"/>
              </w:rPr>
              <w:t>Atos da autoridade competente expedidos no exercício da prestação de contas, promovendo a limitação de empenho e movimentação financeira, quando foi constatado que a realização da receita não comportou o cumprimento das metas de resultado primário ou nominal estabelecidas no Anexo de Metas Fiscais.</w:t>
            </w:r>
          </w:p>
        </w:tc>
        <w:tc>
          <w:tcPr>
            <w:tcW w:w="992" w:type="dxa"/>
            <w:shd w:val="clear" w:color="auto" w:fill="auto"/>
            <w:vAlign w:val="center"/>
          </w:tcPr>
          <w:p w14:paraId="271BDDCB" w14:textId="357D251E" w:rsidR="00037234" w:rsidRPr="00037234" w:rsidRDefault="00037234" w:rsidP="00037234">
            <w:pPr>
              <w:spacing w:before="120" w:after="120" w:line="240" w:lineRule="auto"/>
              <w:jc w:val="center"/>
              <w:rPr>
                <w:rFonts w:ascii="Arial" w:eastAsia="Times New Roman" w:hAnsi="Arial" w:cs="Arial"/>
                <w:sz w:val="14"/>
                <w:szCs w:val="14"/>
                <w:lang w:eastAsia="pt-BR"/>
              </w:rPr>
            </w:pPr>
            <w:r w:rsidRPr="00037234">
              <w:rPr>
                <w:rFonts w:ascii="Arial" w:eastAsia="Times New Roman" w:hAnsi="Arial" w:cs="Arial"/>
                <w:sz w:val="14"/>
                <w:szCs w:val="14"/>
                <w:lang w:eastAsia="pt-BR"/>
              </w:rPr>
              <w:t>PDF</w:t>
            </w:r>
          </w:p>
        </w:tc>
      </w:tr>
      <w:tr w:rsidR="00037234" w:rsidRPr="00A5490A" w14:paraId="59649359" w14:textId="77777777" w:rsidTr="004124D9">
        <w:tc>
          <w:tcPr>
            <w:tcW w:w="1245" w:type="dxa"/>
            <w:vAlign w:val="center"/>
          </w:tcPr>
          <w:p w14:paraId="7E93E798" w14:textId="640400BD" w:rsidR="00037234" w:rsidRPr="00037234" w:rsidRDefault="00037234" w:rsidP="00037234">
            <w:pPr>
              <w:spacing w:before="120" w:after="120" w:line="240" w:lineRule="auto"/>
              <w:jc w:val="center"/>
              <w:rPr>
                <w:rFonts w:ascii="Arial" w:eastAsia="Times New Roman" w:hAnsi="Arial" w:cs="Arial"/>
                <w:sz w:val="18"/>
                <w:szCs w:val="18"/>
                <w:lang w:eastAsia="pt-BR"/>
              </w:rPr>
            </w:pPr>
            <w:r w:rsidRPr="00037234">
              <w:rPr>
                <w:rFonts w:ascii="Arial" w:eastAsia="Arial" w:hAnsi="Arial" w:cs="Arial"/>
                <w:sz w:val="18"/>
              </w:rPr>
              <w:t>CRONOS</w:t>
            </w:r>
          </w:p>
        </w:tc>
        <w:tc>
          <w:tcPr>
            <w:tcW w:w="6943" w:type="dxa"/>
            <w:shd w:val="clear" w:color="auto" w:fill="auto"/>
            <w:vAlign w:val="center"/>
          </w:tcPr>
          <w:p w14:paraId="0B28AA55" w14:textId="089D4215" w:rsidR="00037234" w:rsidRPr="00037234" w:rsidRDefault="00037234" w:rsidP="00037234">
            <w:pPr>
              <w:spacing w:before="120" w:after="120" w:line="240" w:lineRule="auto"/>
              <w:jc w:val="both"/>
              <w:rPr>
                <w:rFonts w:ascii="Arial" w:eastAsia="Times New Roman" w:hAnsi="Arial" w:cs="Arial"/>
                <w:sz w:val="18"/>
                <w:szCs w:val="18"/>
                <w:lang w:eastAsia="pt-BR"/>
              </w:rPr>
            </w:pPr>
            <w:r w:rsidRPr="00037234">
              <w:rPr>
                <w:rFonts w:ascii="Arial" w:eastAsia="Times New Roman" w:hAnsi="Arial" w:cs="Arial"/>
                <w:sz w:val="18"/>
                <w:szCs w:val="18"/>
                <w:lang w:eastAsia="pt-BR"/>
              </w:rPr>
              <w:t>Ato(s) normativo(s) da autoridade competente regulamentando a ordem cronológica dos pagamentos, nos termos do art. 5º da Lei Federal nº. 8666/93.</w:t>
            </w:r>
          </w:p>
        </w:tc>
        <w:tc>
          <w:tcPr>
            <w:tcW w:w="992" w:type="dxa"/>
            <w:shd w:val="clear" w:color="auto" w:fill="auto"/>
            <w:vAlign w:val="center"/>
          </w:tcPr>
          <w:p w14:paraId="321B38F3" w14:textId="13FCD6EE" w:rsidR="00037234" w:rsidRPr="00037234" w:rsidRDefault="00037234" w:rsidP="00037234">
            <w:pPr>
              <w:spacing w:before="120" w:after="120" w:line="240" w:lineRule="auto"/>
              <w:jc w:val="center"/>
              <w:rPr>
                <w:rFonts w:ascii="Arial" w:eastAsia="Times New Roman" w:hAnsi="Arial" w:cs="Arial"/>
                <w:sz w:val="14"/>
                <w:szCs w:val="14"/>
                <w:lang w:eastAsia="pt-BR"/>
              </w:rPr>
            </w:pPr>
            <w:r w:rsidRPr="00037234">
              <w:rPr>
                <w:rFonts w:ascii="Arial" w:eastAsia="Times New Roman" w:hAnsi="Arial" w:cs="Arial"/>
                <w:sz w:val="14"/>
                <w:szCs w:val="14"/>
                <w:lang w:eastAsia="pt-BR"/>
              </w:rPr>
              <w:t>PDF</w:t>
            </w:r>
          </w:p>
        </w:tc>
      </w:tr>
      <w:tr w:rsidR="00037234" w:rsidRPr="00A5490A" w14:paraId="7F048A0C" w14:textId="77777777" w:rsidTr="004124D9">
        <w:tc>
          <w:tcPr>
            <w:tcW w:w="1245" w:type="dxa"/>
            <w:vAlign w:val="center"/>
          </w:tcPr>
          <w:p w14:paraId="4FEA446C" w14:textId="65CE1DE2" w:rsidR="00037234" w:rsidRPr="00037234" w:rsidRDefault="00037234" w:rsidP="00037234">
            <w:pPr>
              <w:spacing w:before="120" w:after="120" w:line="240" w:lineRule="auto"/>
              <w:jc w:val="center"/>
              <w:rPr>
                <w:rFonts w:ascii="Arial" w:eastAsia="Times New Roman" w:hAnsi="Arial" w:cs="Arial"/>
                <w:sz w:val="18"/>
                <w:szCs w:val="18"/>
                <w:lang w:eastAsia="pt-BR"/>
              </w:rPr>
            </w:pPr>
            <w:r w:rsidRPr="00037234">
              <w:rPr>
                <w:rFonts w:ascii="Arial" w:eastAsia="Arial" w:hAnsi="Arial" w:cs="Arial"/>
                <w:sz w:val="18"/>
              </w:rPr>
              <w:lastRenderedPageBreak/>
              <w:t>JUSTCRO</w:t>
            </w:r>
          </w:p>
        </w:tc>
        <w:tc>
          <w:tcPr>
            <w:tcW w:w="6943" w:type="dxa"/>
            <w:shd w:val="clear" w:color="auto" w:fill="auto"/>
            <w:vAlign w:val="center"/>
          </w:tcPr>
          <w:p w14:paraId="694FD174" w14:textId="2F5D5480" w:rsidR="00037234" w:rsidRPr="00037234" w:rsidRDefault="00037234" w:rsidP="00037234">
            <w:pPr>
              <w:spacing w:before="120" w:after="120" w:line="240" w:lineRule="auto"/>
              <w:jc w:val="both"/>
              <w:rPr>
                <w:rFonts w:ascii="Arial" w:eastAsia="Times New Roman" w:hAnsi="Arial" w:cs="Arial"/>
                <w:sz w:val="18"/>
                <w:szCs w:val="18"/>
                <w:lang w:eastAsia="pt-BR"/>
              </w:rPr>
            </w:pPr>
            <w:r w:rsidRPr="00037234">
              <w:rPr>
                <w:rFonts w:ascii="Arial" w:eastAsia="Times New Roman" w:hAnsi="Arial" w:cs="Arial"/>
                <w:sz w:val="18"/>
                <w:szCs w:val="18"/>
                <w:lang w:eastAsia="pt-BR"/>
              </w:rPr>
              <w:t>Justificativas da autoridade competente evidenciando as relevantes razões de interesse público para todos os pagamentos que inobservaram a estrita ordem cronológica das datas de suas exigibilidades, para cada fonte diferenciada de recursos, acompanhadas de suas respectivas publicações no exercício.</w:t>
            </w:r>
          </w:p>
        </w:tc>
        <w:tc>
          <w:tcPr>
            <w:tcW w:w="992" w:type="dxa"/>
            <w:shd w:val="clear" w:color="auto" w:fill="auto"/>
            <w:vAlign w:val="center"/>
          </w:tcPr>
          <w:p w14:paraId="36233066" w14:textId="2A7F6D78" w:rsidR="00037234" w:rsidRPr="00037234" w:rsidRDefault="00037234" w:rsidP="00037234">
            <w:pPr>
              <w:spacing w:before="120" w:after="120" w:line="240" w:lineRule="auto"/>
              <w:jc w:val="center"/>
              <w:rPr>
                <w:rFonts w:ascii="Arial" w:eastAsia="Times New Roman" w:hAnsi="Arial" w:cs="Arial"/>
                <w:sz w:val="14"/>
                <w:szCs w:val="14"/>
                <w:lang w:eastAsia="pt-BR"/>
              </w:rPr>
            </w:pPr>
            <w:r w:rsidRPr="00037234">
              <w:rPr>
                <w:rFonts w:ascii="Arial" w:eastAsia="Times New Roman" w:hAnsi="Arial" w:cs="Arial"/>
                <w:sz w:val="14"/>
                <w:szCs w:val="14"/>
                <w:lang w:eastAsia="pt-BR"/>
              </w:rPr>
              <w:t>PDF</w:t>
            </w:r>
          </w:p>
        </w:tc>
      </w:tr>
      <w:tr w:rsidR="00037234" w:rsidRPr="00A5490A" w14:paraId="4256AE9E" w14:textId="77777777" w:rsidTr="004124D9">
        <w:tc>
          <w:tcPr>
            <w:tcW w:w="1245" w:type="dxa"/>
            <w:vAlign w:val="center"/>
          </w:tcPr>
          <w:p w14:paraId="51E684E1" w14:textId="75976C8E" w:rsidR="00037234" w:rsidRPr="00037234" w:rsidRDefault="00037234" w:rsidP="00037234">
            <w:pPr>
              <w:spacing w:before="120" w:after="120" w:line="240" w:lineRule="auto"/>
              <w:jc w:val="center"/>
              <w:rPr>
                <w:rFonts w:ascii="Arial" w:eastAsia="Times New Roman" w:hAnsi="Arial" w:cs="Arial"/>
                <w:sz w:val="18"/>
                <w:szCs w:val="18"/>
                <w:lang w:eastAsia="pt-BR"/>
              </w:rPr>
            </w:pPr>
            <w:r w:rsidRPr="00037234">
              <w:rPr>
                <w:rFonts w:ascii="Arial" w:eastAsia="Arial" w:hAnsi="Arial" w:cs="Arial"/>
                <w:sz w:val="18"/>
              </w:rPr>
              <w:t>PESS</w:t>
            </w:r>
          </w:p>
        </w:tc>
        <w:tc>
          <w:tcPr>
            <w:tcW w:w="6943" w:type="dxa"/>
            <w:shd w:val="clear" w:color="auto" w:fill="auto"/>
            <w:vAlign w:val="center"/>
          </w:tcPr>
          <w:p w14:paraId="13847B9D" w14:textId="4D2C8D3B" w:rsidR="00037234" w:rsidRPr="00037234" w:rsidRDefault="00037234" w:rsidP="00037234">
            <w:pPr>
              <w:spacing w:before="120" w:after="120" w:line="240" w:lineRule="auto"/>
              <w:jc w:val="both"/>
              <w:rPr>
                <w:rFonts w:ascii="Arial" w:eastAsia="Times New Roman" w:hAnsi="Arial" w:cs="Arial"/>
                <w:sz w:val="18"/>
                <w:szCs w:val="18"/>
                <w:lang w:eastAsia="pt-BR"/>
              </w:rPr>
            </w:pPr>
            <w:r w:rsidRPr="00037234">
              <w:rPr>
                <w:rFonts w:ascii="Arial" w:eastAsia="Times New Roman" w:hAnsi="Arial" w:cs="Arial"/>
                <w:sz w:val="18"/>
                <w:szCs w:val="18"/>
                <w:lang w:eastAsia="pt-BR"/>
              </w:rPr>
              <w:t>Declaração do Chefe do Poder assegurando o atendimento ao artigo 21 da Lei de Responsabilidade Fiscal e ao artigo 8º da Lei Complementar 173/2020, na forma do item 3.2 deste Anexo.</w:t>
            </w:r>
          </w:p>
        </w:tc>
        <w:tc>
          <w:tcPr>
            <w:tcW w:w="992" w:type="dxa"/>
            <w:shd w:val="clear" w:color="auto" w:fill="auto"/>
            <w:vAlign w:val="center"/>
          </w:tcPr>
          <w:p w14:paraId="5C8701A3" w14:textId="4132DDD6" w:rsidR="00037234" w:rsidRPr="00037234" w:rsidRDefault="00037234" w:rsidP="00037234">
            <w:pPr>
              <w:spacing w:before="120" w:after="120" w:line="240" w:lineRule="auto"/>
              <w:jc w:val="center"/>
              <w:rPr>
                <w:rFonts w:ascii="Arial" w:eastAsia="Times New Roman" w:hAnsi="Arial" w:cs="Arial"/>
                <w:sz w:val="14"/>
                <w:szCs w:val="14"/>
                <w:lang w:eastAsia="pt-BR"/>
              </w:rPr>
            </w:pPr>
            <w:r w:rsidRPr="00037234">
              <w:rPr>
                <w:rFonts w:ascii="Arial" w:eastAsia="Times New Roman" w:hAnsi="Arial" w:cs="Arial"/>
                <w:sz w:val="14"/>
                <w:szCs w:val="14"/>
                <w:lang w:eastAsia="pt-BR"/>
              </w:rPr>
              <w:t>PDF</w:t>
            </w:r>
          </w:p>
        </w:tc>
      </w:tr>
      <w:tr w:rsidR="00037234" w:rsidRPr="00A5490A" w14:paraId="4FE1F6B5" w14:textId="77777777" w:rsidTr="004124D9">
        <w:tc>
          <w:tcPr>
            <w:tcW w:w="1245" w:type="dxa"/>
            <w:vAlign w:val="center"/>
          </w:tcPr>
          <w:p w14:paraId="2692A3A9" w14:textId="57752692" w:rsidR="00037234" w:rsidRPr="00037234" w:rsidRDefault="00037234" w:rsidP="00037234">
            <w:pPr>
              <w:spacing w:before="120" w:after="120" w:line="240" w:lineRule="auto"/>
              <w:jc w:val="center"/>
              <w:rPr>
                <w:rFonts w:ascii="Arial" w:eastAsia="Times New Roman" w:hAnsi="Arial" w:cs="Arial"/>
                <w:sz w:val="18"/>
                <w:szCs w:val="18"/>
                <w:lang w:eastAsia="pt-BR"/>
              </w:rPr>
            </w:pPr>
            <w:r w:rsidRPr="00037234">
              <w:rPr>
                <w:rFonts w:ascii="Arial" w:eastAsia="Arial" w:hAnsi="Arial" w:cs="Arial"/>
                <w:sz w:val="18"/>
              </w:rPr>
              <w:t>LEIPESS</w:t>
            </w:r>
          </w:p>
        </w:tc>
        <w:tc>
          <w:tcPr>
            <w:tcW w:w="6943" w:type="dxa"/>
            <w:shd w:val="clear" w:color="auto" w:fill="auto"/>
            <w:vAlign w:val="center"/>
          </w:tcPr>
          <w:p w14:paraId="629D4F41" w14:textId="445581FC" w:rsidR="00037234" w:rsidRPr="00037234" w:rsidRDefault="00037234" w:rsidP="00037234">
            <w:pPr>
              <w:spacing w:before="120" w:after="120" w:line="240" w:lineRule="auto"/>
              <w:jc w:val="both"/>
              <w:rPr>
                <w:rFonts w:ascii="Arial" w:eastAsia="Times New Roman" w:hAnsi="Arial" w:cs="Arial"/>
                <w:sz w:val="18"/>
                <w:szCs w:val="18"/>
                <w:lang w:eastAsia="pt-BR"/>
              </w:rPr>
            </w:pPr>
            <w:r w:rsidRPr="00037234">
              <w:rPr>
                <w:rFonts w:ascii="Arial" w:eastAsia="Times New Roman" w:hAnsi="Arial" w:cs="Arial"/>
                <w:sz w:val="18"/>
                <w:szCs w:val="18"/>
                <w:lang w:eastAsia="pt-BR"/>
              </w:rPr>
              <w:t>Cópia das leis e/ou norma(s) legal(is) contendo qualquer criação, alteração, reestruturação de cargos, carreiras, empregos públicos, funções, vantagens, adicionais, auxílios, reajustes salariais e revisão geral anual concedidas, editadas, sancionadas e/ou aprovadas no exercício da prestação de contas.</w:t>
            </w:r>
          </w:p>
        </w:tc>
        <w:tc>
          <w:tcPr>
            <w:tcW w:w="992" w:type="dxa"/>
            <w:shd w:val="clear" w:color="auto" w:fill="auto"/>
            <w:vAlign w:val="center"/>
          </w:tcPr>
          <w:p w14:paraId="47F6532E" w14:textId="1F687D4F" w:rsidR="00037234" w:rsidRPr="00037234" w:rsidRDefault="00037234" w:rsidP="00037234">
            <w:pPr>
              <w:spacing w:before="120" w:after="120" w:line="240" w:lineRule="auto"/>
              <w:jc w:val="center"/>
              <w:rPr>
                <w:rFonts w:ascii="Arial" w:eastAsia="Times New Roman" w:hAnsi="Arial" w:cs="Arial"/>
                <w:sz w:val="14"/>
                <w:szCs w:val="14"/>
                <w:lang w:eastAsia="pt-BR"/>
              </w:rPr>
            </w:pPr>
            <w:r w:rsidRPr="00037234">
              <w:rPr>
                <w:rFonts w:ascii="Arial" w:eastAsia="Times New Roman" w:hAnsi="Arial" w:cs="Arial"/>
                <w:sz w:val="14"/>
                <w:szCs w:val="14"/>
                <w:lang w:eastAsia="pt-BR"/>
              </w:rPr>
              <w:t>PDF</w:t>
            </w:r>
          </w:p>
        </w:tc>
      </w:tr>
      <w:tr w:rsidR="00BA55BA" w:rsidRPr="00A5490A" w14:paraId="7C041D1D" w14:textId="77777777" w:rsidTr="004124D9">
        <w:tc>
          <w:tcPr>
            <w:tcW w:w="1245" w:type="dxa"/>
            <w:vAlign w:val="center"/>
          </w:tcPr>
          <w:p w14:paraId="02C97423" w14:textId="0E03E162" w:rsidR="00BA55BA" w:rsidRPr="00BA55BA" w:rsidRDefault="00BA55BA" w:rsidP="00BA55BA">
            <w:pPr>
              <w:spacing w:after="0" w:line="240" w:lineRule="auto"/>
              <w:jc w:val="center"/>
              <w:rPr>
                <w:rFonts w:ascii="Arial" w:eastAsia="Times New Roman" w:hAnsi="Arial" w:cs="Arial"/>
                <w:sz w:val="18"/>
                <w:szCs w:val="18"/>
                <w:lang w:eastAsia="pt-BR"/>
              </w:rPr>
            </w:pPr>
            <w:r w:rsidRPr="00BA55BA">
              <w:rPr>
                <w:rFonts w:ascii="Arial" w:eastAsia="Times New Roman" w:hAnsi="Arial" w:cs="Arial"/>
                <w:sz w:val="18"/>
                <w:szCs w:val="18"/>
                <w:lang w:eastAsia="pt-BR"/>
              </w:rPr>
              <w:t>NOTAEXP</w:t>
            </w:r>
          </w:p>
        </w:tc>
        <w:tc>
          <w:tcPr>
            <w:tcW w:w="6943" w:type="dxa"/>
            <w:shd w:val="clear" w:color="auto" w:fill="auto"/>
            <w:vAlign w:val="center"/>
          </w:tcPr>
          <w:p w14:paraId="3FE0A7D4" w14:textId="77777777" w:rsidR="00BA55BA" w:rsidRPr="00BA55BA" w:rsidRDefault="00BA55BA" w:rsidP="00BA55BA">
            <w:pPr>
              <w:pStyle w:val="TableParagraph"/>
              <w:spacing w:before="120" w:after="120"/>
              <w:ind w:left="102" w:right="111"/>
              <w:jc w:val="both"/>
              <w:rPr>
                <w:rFonts w:ascii="Arial" w:hAnsi="Arial" w:cs="Arial"/>
                <w:sz w:val="18"/>
                <w:szCs w:val="18"/>
                <w:lang w:val="pt-BR"/>
              </w:rPr>
            </w:pPr>
            <w:r w:rsidRPr="00BA55BA">
              <w:rPr>
                <w:rFonts w:ascii="Arial" w:hAnsi="Arial" w:cs="Arial"/>
                <w:sz w:val="18"/>
                <w:szCs w:val="18"/>
                <w:lang w:val="pt-BR"/>
              </w:rPr>
              <w:t>Notas Explicativas às Demonstrações Contábeis, conforme layout constante do item 3.1 deste Anexo, contendo:</w:t>
            </w:r>
          </w:p>
          <w:p w14:paraId="289349EE" w14:textId="77777777" w:rsidR="00BA55BA" w:rsidRPr="00BA55BA" w:rsidRDefault="00BA55BA" w:rsidP="005C719B">
            <w:pPr>
              <w:pStyle w:val="PargrafodaLista"/>
              <w:numPr>
                <w:ilvl w:val="0"/>
                <w:numId w:val="35"/>
              </w:numPr>
              <w:spacing w:before="120" w:after="120" w:line="240" w:lineRule="auto"/>
              <w:ind w:left="822"/>
              <w:contextualSpacing w:val="0"/>
              <w:jc w:val="both"/>
              <w:rPr>
                <w:rFonts w:ascii="Arial" w:hAnsi="Arial" w:cs="Arial"/>
                <w:sz w:val="18"/>
                <w:szCs w:val="18"/>
              </w:rPr>
            </w:pPr>
            <w:r w:rsidRPr="00BA55BA">
              <w:rPr>
                <w:rFonts w:ascii="Arial" w:hAnsi="Arial" w:cs="Arial"/>
                <w:sz w:val="18"/>
                <w:szCs w:val="18"/>
              </w:rPr>
              <w:t>Informações gerais da entidade: natureza jurídica, natureza das operações, atividades desempenhadas, lei de instituição, conforme o caso, e declaração de conformidade com leis e normas de contabilidade aplicáveis;</w:t>
            </w:r>
          </w:p>
          <w:p w14:paraId="3588081A" w14:textId="77777777" w:rsidR="00BA55BA" w:rsidRPr="00BA55BA" w:rsidRDefault="00BA55BA" w:rsidP="005C719B">
            <w:pPr>
              <w:pStyle w:val="PargrafodaLista"/>
              <w:numPr>
                <w:ilvl w:val="0"/>
                <w:numId w:val="35"/>
              </w:numPr>
              <w:spacing w:before="120" w:after="120" w:line="240" w:lineRule="auto"/>
              <w:ind w:left="822"/>
              <w:contextualSpacing w:val="0"/>
              <w:jc w:val="both"/>
              <w:rPr>
                <w:rFonts w:ascii="Arial" w:hAnsi="Arial" w:cs="Arial"/>
                <w:sz w:val="18"/>
                <w:szCs w:val="18"/>
              </w:rPr>
            </w:pPr>
            <w:r w:rsidRPr="00BA55BA">
              <w:rPr>
                <w:rFonts w:ascii="Arial" w:hAnsi="Arial" w:cs="Arial"/>
                <w:sz w:val="18"/>
                <w:szCs w:val="18"/>
              </w:rPr>
              <w:t>Resumo das Políticas Contábeis relevantes: base de mensuração utilizada, adoção de novas políticas contábeis;</w:t>
            </w:r>
          </w:p>
          <w:p w14:paraId="3EABA2B7" w14:textId="77777777" w:rsidR="00BA55BA" w:rsidRPr="00BA55BA" w:rsidRDefault="00BA55BA" w:rsidP="005C719B">
            <w:pPr>
              <w:pStyle w:val="PargrafodaLista"/>
              <w:numPr>
                <w:ilvl w:val="0"/>
                <w:numId w:val="35"/>
              </w:numPr>
              <w:spacing w:before="120" w:after="120" w:line="240" w:lineRule="auto"/>
              <w:ind w:left="822"/>
              <w:contextualSpacing w:val="0"/>
              <w:jc w:val="both"/>
              <w:rPr>
                <w:rFonts w:ascii="Arial" w:hAnsi="Arial" w:cs="Arial"/>
                <w:sz w:val="18"/>
                <w:szCs w:val="18"/>
              </w:rPr>
            </w:pPr>
            <w:r w:rsidRPr="00BA55BA">
              <w:rPr>
                <w:rFonts w:ascii="Arial" w:hAnsi="Arial" w:cs="Arial"/>
                <w:sz w:val="18"/>
                <w:szCs w:val="18"/>
              </w:rPr>
              <w:t>Detalhamento de informações relevantes contidas nos Demonstrativos Contábeis;</w:t>
            </w:r>
          </w:p>
          <w:p w14:paraId="6CA4CFA5" w14:textId="598E1514" w:rsidR="00BA55BA" w:rsidRPr="00BA55BA" w:rsidRDefault="00BA55BA" w:rsidP="005C719B">
            <w:pPr>
              <w:pStyle w:val="PargrafodaLista"/>
              <w:numPr>
                <w:ilvl w:val="0"/>
                <w:numId w:val="35"/>
              </w:numPr>
              <w:spacing w:before="120" w:after="120" w:line="240" w:lineRule="auto"/>
              <w:ind w:left="822"/>
              <w:contextualSpacing w:val="0"/>
              <w:jc w:val="both"/>
              <w:rPr>
                <w:rFonts w:ascii="Arial" w:eastAsia="Times New Roman" w:hAnsi="Arial" w:cs="Arial"/>
                <w:sz w:val="18"/>
                <w:szCs w:val="18"/>
                <w:lang w:eastAsia="pt-BR"/>
              </w:rPr>
            </w:pPr>
            <w:r w:rsidRPr="00BA55BA">
              <w:rPr>
                <w:rFonts w:ascii="Arial" w:hAnsi="Arial" w:cs="Arial"/>
                <w:sz w:val="18"/>
                <w:szCs w:val="18"/>
              </w:rPr>
              <w:t>Demais informações relevantes: passivos contingentes e compromissos contratuais não reconhecidos; ajustes decorrentes de erros, etc.</w:t>
            </w:r>
          </w:p>
        </w:tc>
        <w:tc>
          <w:tcPr>
            <w:tcW w:w="992" w:type="dxa"/>
            <w:shd w:val="clear" w:color="auto" w:fill="auto"/>
            <w:vAlign w:val="center"/>
          </w:tcPr>
          <w:p w14:paraId="09BEE92D" w14:textId="2E346BA9" w:rsidR="00BA55BA" w:rsidRPr="00BA55BA" w:rsidRDefault="00BA55BA" w:rsidP="00BA55BA">
            <w:pPr>
              <w:spacing w:after="0" w:line="240" w:lineRule="auto"/>
              <w:jc w:val="center"/>
              <w:rPr>
                <w:rFonts w:ascii="Arial" w:eastAsia="Times New Roman" w:hAnsi="Arial" w:cs="Arial"/>
                <w:sz w:val="14"/>
                <w:szCs w:val="14"/>
                <w:lang w:eastAsia="pt-BR"/>
              </w:rPr>
            </w:pPr>
            <w:r w:rsidRPr="00BA55BA">
              <w:rPr>
                <w:rFonts w:ascii="Arial" w:eastAsia="Times New Roman" w:hAnsi="Arial" w:cs="Arial"/>
                <w:sz w:val="14"/>
                <w:szCs w:val="14"/>
                <w:lang w:eastAsia="pt-BR"/>
              </w:rPr>
              <w:t>XML</w:t>
            </w:r>
          </w:p>
        </w:tc>
      </w:tr>
      <w:tr w:rsidR="002223C0" w:rsidRPr="00A5490A" w14:paraId="1A0D54BD" w14:textId="77777777" w:rsidTr="004124D9">
        <w:tc>
          <w:tcPr>
            <w:tcW w:w="1245" w:type="dxa"/>
            <w:vAlign w:val="center"/>
          </w:tcPr>
          <w:p w14:paraId="44DDE376" w14:textId="77777777" w:rsidR="002223C0" w:rsidRPr="003B4337" w:rsidRDefault="002223C0" w:rsidP="00C97ECD">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DOCSPCA</w:t>
            </w:r>
          </w:p>
        </w:tc>
        <w:tc>
          <w:tcPr>
            <w:tcW w:w="6943" w:type="dxa"/>
            <w:shd w:val="clear" w:color="auto" w:fill="auto"/>
            <w:vAlign w:val="center"/>
          </w:tcPr>
          <w:p w14:paraId="0F6BFE83" w14:textId="4A5F6C51" w:rsidR="002223C0" w:rsidRPr="003B4337" w:rsidRDefault="002223C0" w:rsidP="00FB0230">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Referência aos documentos não estruturados, constantes neste Anexo, bem como a justificativa de ausência para os arquivos não enviados. Estrutura e layout constantes do </w:t>
            </w:r>
            <w:r>
              <w:rPr>
                <w:rFonts w:ascii="Arial" w:eastAsia="Times New Roman" w:hAnsi="Arial" w:cs="Arial"/>
                <w:sz w:val="18"/>
                <w:szCs w:val="18"/>
                <w:lang w:eastAsia="pt-BR"/>
              </w:rPr>
              <w:t xml:space="preserve">item </w:t>
            </w:r>
            <w:r w:rsidR="00FB0230">
              <w:rPr>
                <w:rFonts w:ascii="Arial" w:eastAsia="Times New Roman" w:hAnsi="Arial" w:cs="Arial"/>
                <w:sz w:val="18"/>
                <w:szCs w:val="18"/>
                <w:lang w:eastAsia="pt-BR"/>
              </w:rPr>
              <w:t>3.1</w:t>
            </w:r>
            <w:r>
              <w:rPr>
                <w:rFonts w:ascii="Arial" w:eastAsia="Times New Roman" w:hAnsi="Arial" w:cs="Arial"/>
                <w:sz w:val="18"/>
                <w:szCs w:val="18"/>
                <w:lang w:eastAsia="pt-BR"/>
              </w:rPr>
              <w:t xml:space="preserve"> deste </w:t>
            </w:r>
            <w:r w:rsidRPr="003B4337">
              <w:rPr>
                <w:rFonts w:ascii="Arial" w:eastAsia="Times New Roman" w:hAnsi="Arial" w:cs="Arial"/>
                <w:sz w:val="18"/>
                <w:szCs w:val="18"/>
                <w:lang w:eastAsia="pt-BR"/>
              </w:rPr>
              <w:t>Anexo.</w:t>
            </w:r>
          </w:p>
        </w:tc>
        <w:tc>
          <w:tcPr>
            <w:tcW w:w="992" w:type="dxa"/>
            <w:shd w:val="clear" w:color="auto" w:fill="auto"/>
            <w:vAlign w:val="center"/>
          </w:tcPr>
          <w:p w14:paraId="3D0F967F" w14:textId="77777777" w:rsidR="002223C0" w:rsidRPr="003B4337" w:rsidRDefault="002223C0" w:rsidP="00C97ECD">
            <w:pPr>
              <w:spacing w:after="0" w:line="240" w:lineRule="auto"/>
              <w:jc w:val="center"/>
              <w:rPr>
                <w:rFonts w:ascii="Arial" w:eastAsia="Times New Roman" w:hAnsi="Arial" w:cs="Arial"/>
                <w:sz w:val="14"/>
                <w:szCs w:val="14"/>
                <w:lang w:eastAsia="pt-BR"/>
              </w:rPr>
            </w:pPr>
            <w:r w:rsidRPr="003B4337">
              <w:rPr>
                <w:rFonts w:ascii="Arial" w:eastAsia="Times New Roman" w:hAnsi="Arial" w:cs="Arial"/>
                <w:sz w:val="14"/>
                <w:szCs w:val="14"/>
                <w:lang w:eastAsia="pt-BR"/>
              </w:rPr>
              <w:t>XML</w:t>
            </w:r>
          </w:p>
        </w:tc>
      </w:tr>
    </w:tbl>
    <w:p w14:paraId="0C789EE5" w14:textId="77777777" w:rsidR="00F845FA" w:rsidRDefault="00F845FA">
      <w:pPr>
        <w:rPr>
          <w:rFonts w:ascii="Arial" w:eastAsia="Times New Roman" w:hAnsi="Arial" w:cs="Arial"/>
          <w:b/>
          <w:lang w:eastAsia="pt-BR"/>
        </w:rPr>
      </w:pPr>
      <w:r>
        <w:rPr>
          <w:rFonts w:ascii="Arial" w:eastAsia="Times New Roman" w:hAnsi="Arial" w:cs="Arial"/>
          <w:b/>
          <w:lang w:eastAsia="pt-BR"/>
        </w:rPr>
        <w:br w:type="page"/>
      </w:r>
    </w:p>
    <w:p w14:paraId="0A746E91" w14:textId="5C2A5692" w:rsidR="004D5D2A" w:rsidRPr="005B7FCC" w:rsidRDefault="004D5D2A" w:rsidP="000F0A16">
      <w:pPr>
        <w:pStyle w:val="Ttulo2"/>
        <w:rPr>
          <w:lang w:val="pt-BR" w:eastAsia="pt-BR"/>
        </w:rPr>
      </w:pPr>
      <w:bookmarkStart w:id="11" w:name="_Toc94806295"/>
      <w:r w:rsidRPr="005B7FCC">
        <w:rPr>
          <w:lang w:val="pt-BR" w:eastAsia="pt-BR"/>
        </w:rPr>
        <w:lastRenderedPageBreak/>
        <w:t>CONTAS DOS ORDENADORES DE DESPESAS</w:t>
      </w:r>
      <w:r w:rsidR="0015273C">
        <w:rPr>
          <w:lang w:val="pt-BR" w:eastAsia="pt-BR"/>
        </w:rPr>
        <w:t xml:space="preserve"> </w:t>
      </w:r>
      <w:r w:rsidRPr="005B7FCC">
        <w:rPr>
          <w:lang w:val="pt-BR" w:eastAsia="pt-BR"/>
        </w:rPr>
        <w:t>DO MINISTÉRIO PÚBLICO, DO TRIBUNAL DE</w:t>
      </w:r>
      <w:r w:rsidR="002E05D4" w:rsidRPr="005B7FCC">
        <w:rPr>
          <w:lang w:val="pt-BR" w:eastAsia="pt-BR"/>
        </w:rPr>
        <w:t xml:space="preserve"> JUSTIÇA</w:t>
      </w:r>
      <w:r w:rsidR="00DC56A0">
        <w:rPr>
          <w:lang w:val="pt-BR" w:eastAsia="pt-BR"/>
        </w:rPr>
        <w:t>, DO TRIBUNAL DE CONTAS</w:t>
      </w:r>
      <w:r w:rsidR="002E05D4" w:rsidRPr="005B7FCC">
        <w:rPr>
          <w:lang w:val="pt-BR" w:eastAsia="pt-BR"/>
        </w:rPr>
        <w:t xml:space="preserve"> E DA DEFENSORIA P</w:t>
      </w:r>
      <w:r w:rsidR="005E5A02" w:rsidRPr="005B7FCC">
        <w:rPr>
          <w:lang w:val="pt-BR" w:eastAsia="pt-BR"/>
        </w:rPr>
        <w:t>Ú</w:t>
      </w:r>
      <w:r w:rsidR="002E05D4" w:rsidRPr="005B7FCC">
        <w:rPr>
          <w:lang w:val="pt-BR" w:eastAsia="pt-BR"/>
        </w:rPr>
        <w:t>BLICA</w:t>
      </w:r>
      <w:bookmarkEnd w:id="11"/>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6946"/>
        <w:gridCol w:w="992"/>
      </w:tblGrid>
      <w:tr w:rsidR="00CB7C58" w:rsidRPr="00A5490A" w14:paraId="0BD5F07F" w14:textId="77777777" w:rsidTr="00CB7C58">
        <w:tc>
          <w:tcPr>
            <w:tcW w:w="1242" w:type="dxa"/>
            <w:vAlign w:val="center"/>
          </w:tcPr>
          <w:p w14:paraId="2FC26D12" w14:textId="77777777" w:rsidR="00CB7C58" w:rsidRPr="00A5490A" w:rsidRDefault="00CB7C58" w:rsidP="00C97ECD">
            <w:pPr>
              <w:spacing w:after="0" w:line="240" w:lineRule="auto"/>
              <w:jc w:val="center"/>
              <w:rPr>
                <w:rFonts w:ascii="Arial" w:eastAsia="Times New Roman" w:hAnsi="Arial" w:cs="Arial"/>
                <w:sz w:val="18"/>
                <w:szCs w:val="18"/>
                <w:lang w:eastAsia="pt-BR"/>
              </w:rPr>
            </w:pPr>
            <w:r>
              <w:rPr>
                <w:rFonts w:ascii="Arial" w:eastAsia="Times New Roman" w:hAnsi="Arial" w:cs="Arial"/>
                <w:sz w:val="18"/>
                <w:szCs w:val="18"/>
                <w:lang w:eastAsia="pt-BR"/>
              </w:rPr>
              <w:t>Código</w:t>
            </w:r>
          </w:p>
        </w:tc>
        <w:tc>
          <w:tcPr>
            <w:tcW w:w="6946" w:type="dxa"/>
            <w:shd w:val="clear" w:color="auto" w:fill="auto"/>
            <w:vAlign w:val="center"/>
          </w:tcPr>
          <w:p w14:paraId="50DF0E73" w14:textId="77777777" w:rsidR="00CB7C58" w:rsidRPr="00A5490A" w:rsidRDefault="00CB7C58" w:rsidP="00C97ECD">
            <w:p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Descrição</w:t>
            </w:r>
          </w:p>
        </w:tc>
        <w:tc>
          <w:tcPr>
            <w:tcW w:w="992" w:type="dxa"/>
            <w:shd w:val="clear" w:color="auto" w:fill="auto"/>
            <w:vAlign w:val="center"/>
          </w:tcPr>
          <w:p w14:paraId="183A337D" w14:textId="77777777" w:rsidR="00CB7C58" w:rsidRPr="00A5490A" w:rsidRDefault="00CB7C58" w:rsidP="00C97ECD">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Formato</w:t>
            </w:r>
          </w:p>
        </w:tc>
      </w:tr>
      <w:tr w:rsidR="00CB7C58" w:rsidRPr="00A5490A" w14:paraId="139AAD35" w14:textId="77777777" w:rsidTr="00CB7C58">
        <w:tc>
          <w:tcPr>
            <w:tcW w:w="1242" w:type="dxa"/>
            <w:vAlign w:val="center"/>
          </w:tcPr>
          <w:p w14:paraId="2977E073" w14:textId="77777777" w:rsidR="00CB7C58" w:rsidRPr="00A5490A" w:rsidRDefault="00CB7C58" w:rsidP="00C97ECD">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ROLRES</w:t>
            </w:r>
          </w:p>
        </w:tc>
        <w:tc>
          <w:tcPr>
            <w:tcW w:w="6946" w:type="dxa"/>
            <w:shd w:val="clear" w:color="auto" w:fill="auto"/>
            <w:vAlign w:val="center"/>
          </w:tcPr>
          <w:p w14:paraId="76EA6AF9" w14:textId="77777777" w:rsidR="00CB7C58" w:rsidRPr="00A5490A" w:rsidRDefault="00CB7C58" w:rsidP="00C97ECD">
            <w:p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Rol de responsáveis contendo: (Artigo 137, I, do RITCEES, aprovado pela Resolução TC nº 261/2013)</w:t>
            </w:r>
          </w:p>
          <w:p w14:paraId="1A16D270" w14:textId="77777777" w:rsidR="00CB7C58" w:rsidRPr="00A5490A" w:rsidRDefault="00CB7C58" w:rsidP="00C97ECD">
            <w:pPr>
              <w:numPr>
                <w:ilvl w:val="0"/>
                <w:numId w:val="7"/>
              </w:num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Nome</w:t>
            </w:r>
          </w:p>
          <w:p w14:paraId="7893CF74" w14:textId="77777777" w:rsidR="00CB7C58" w:rsidRPr="003B4337" w:rsidRDefault="00CB7C58" w:rsidP="00C97ECD">
            <w:pPr>
              <w:numPr>
                <w:ilvl w:val="0"/>
                <w:numId w:val="7"/>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Endereço residencial</w:t>
            </w:r>
          </w:p>
          <w:p w14:paraId="598A7AE4" w14:textId="77777777" w:rsidR="00CB7C58" w:rsidRPr="003B4337" w:rsidRDefault="00CB7C58" w:rsidP="00C97ECD">
            <w:pPr>
              <w:numPr>
                <w:ilvl w:val="0"/>
                <w:numId w:val="7"/>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Endereço eletrônico pessoal (email)</w:t>
            </w:r>
          </w:p>
          <w:p w14:paraId="30997072" w14:textId="77777777" w:rsidR="00CB7C58" w:rsidRPr="00A5490A" w:rsidRDefault="00CB7C58" w:rsidP="00C97ECD">
            <w:pPr>
              <w:numPr>
                <w:ilvl w:val="0"/>
                <w:numId w:val="7"/>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Cargo ou função</w:t>
            </w:r>
          </w:p>
          <w:p w14:paraId="097B834F" w14:textId="77777777" w:rsidR="00CB7C58" w:rsidRPr="00A5490A" w:rsidRDefault="00CB7C58" w:rsidP="00C97ECD">
            <w:pPr>
              <w:numPr>
                <w:ilvl w:val="0"/>
                <w:numId w:val="7"/>
              </w:num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Inscrição no cadastro de Pessoas Físicas da RFB (CPF)</w:t>
            </w:r>
          </w:p>
          <w:p w14:paraId="62692286" w14:textId="77777777" w:rsidR="00CB7C58" w:rsidRPr="00A5490A" w:rsidRDefault="00CB7C58" w:rsidP="00C97ECD">
            <w:pPr>
              <w:numPr>
                <w:ilvl w:val="0"/>
                <w:numId w:val="7"/>
              </w:num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Período de gestão</w:t>
            </w:r>
          </w:p>
          <w:p w14:paraId="765E4AB0" w14:textId="77777777" w:rsidR="00CB7C58" w:rsidRPr="00A5490A" w:rsidRDefault="00CB7C58" w:rsidP="00CB7C58">
            <w:pPr>
              <w:numPr>
                <w:ilvl w:val="0"/>
                <w:numId w:val="7"/>
              </w:numPr>
              <w:spacing w:before="120" w:after="120" w:line="240" w:lineRule="auto"/>
              <w:jc w:val="both"/>
              <w:rPr>
                <w:rFonts w:ascii="Arial" w:eastAsia="Times New Roman" w:hAnsi="Arial" w:cs="Arial"/>
                <w:sz w:val="16"/>
                <w:szCs w:val="16"/>
                <w:lang w:eastAsia="pt-BR"/>
              </w:rPr>
            </w:pPr>
            <w:r w:rsidRPr="00A5490A">
              <w:rPr>
                <w:rFonts w:ascii="Arial" w:eastAsia="Times New Roman" w:hAnsi="Arial" w:cs="Arial"/>
                <w:sz w:val="18"/>
                <w:szCs w:val="18"/>
                <w:lang w:eastAsia="pt-BR"/>
              </w:rPr>
              <w:t xml:space="preserve">Ato de nomeação e exoneração </w:t>
            </w:r>
          </w:p>
        </w:tc>
        <w:tc>
          <w:tcPr>
            <w:tcW w:w="992" w:type="dxa"/>
            <w:shd w:val="clear" w:color="auto" w:fill="auto"/>
            <w:vAlign w:val="center"/>
          </w:tcPr>
          <w:p w14:paraId="1A64443E" w14:textId="77777777" w:rsidR="00CB7C58" w:rsidRPr="00A5490A" w:rsidRDefault="00532985" w:rsidP="00C97EC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CB7C58" w:rsidRPr="00A5490A" w14:paraId="7707C914" w14:textId="77777777" w:rsidTr="00CB7C58">
        <w:tc>
          <w:tcPr>
            <w:tcW w:w="1242" w:type="dxa"/>
            <w:vAlign w:val="center"/>
          </w:tcPr>
          <w:p w14:paraId="2FF383F3" w14:textId="77777777" w:rsidR="00CB7C58" w:rsidRPr="00A5490A" w:rsidRDefault="00CB7C58" w:rsidP="00C97ECD">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RELGES</w:t>
            </w:r>
          </w:p>
        </w:tc>
        <w:tc>
          <w:tcPr>
            <w:tcW w:w="6946" w:type="dxa"/>
            <w:shd w:val="clear" w:color="auto" w:fill="auto"/>
            <w:vAlign w:val="center"/>
          </w:tcPr>
          <w:p w14:paraId="2C19D5DF" w14:textId="77777777" w:rsidR="00CB7C58" w:rsidRPr="00A5490A" w:rsidRDefault="00CB7C58" w:rsidP="00C97ECD">
            <w:p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Relatório de gestão abordando aspectos de natureza</w:t>
            </w:r>
            <w:r w:rsidRPr="00A5490A">
              <w:rPr>
                <w:rFonts w:ascii="Arial" w:eastAsia="Times New Roman" w:hAnsi="Arial" w:cs="Arial"/>
                <w:bCs/>
                <w:sz w:val="18"/>
                <w:szCs w:val="18"/>
                <w:lang w:eastAsia="pt-BR"/>
              </w:rPr>
              <w:t xml:space="preserve"> orçamentária, financeira, fiscal, operacional e patrimonial, organizado de forma que permita uma visão de conformidade e desempenho dos atos de gestão praticados pelos ordenadores de despesa, evidenciando os resultados dos programas desenvolvidos no âmbito de cada órgão.</w:t>
            </w:r>
            <w:r w:rsidRPr="00A5490A">
              <w:rPr>
                <w:rFonts w:ascii="Arial" w:eastAsia="Times New Roman" w:hAnsi="Arial" w:cs="Arial"/>
                <w:sz w:val="18"/>
                <w:szCs w:val="18"/>
                <w:lang w:eastAsia="pt-BR"/>
              </w:rPr>
              <w:t xml:space="preserve"> (Artigo 137, II, do RITCEES, aprovado pela Resolução TC nº 261/2013)</w:t>
            </w:r>
          </w:p>
        </w:tc>
        <w:tc>
          <w:tcPr>
            <w:tcW w:w="992" w:type="dxa"/>
            <w:shd w:val="clear" w:color="auto" w:fill="auto"/>
            <w:vAlign w:val="center"/>
          </w:tcPr>
          <w:p w14:paraId="762EA89F" w14:textId="77777777" w:rsidR="00CB7C58" w:rsidRPr="00A5490A" w:rsidRDefault="00532985" w:rsidP="00C97EC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CB7C58" w:rsidRPr="00A5490A" w14:paraId="04DE0900" w14:textId="77777777" w:rsidTr="00CB7C58">
        <w:tc>
          <w:tcPr>
            <w:tcW w:w="1242" w:type="dxa"/>
            <w:vAlign w:val="center"/>
          </w:tcPr>
          <w:p w14:paraId="00BA0512" w14:textId="77777777" w:rsidR="00CB7C58" w:rsidRPr="00A5490A" w:rsidRDefault="00CB7C58" w:rsidP="00C97ECD">
            <w:pPr>
              <w:spacing w:after="0" w:line="240" w:lineRule="auto"/>
              <w:jc w:val="center"/>
              <w:rPr>
                <w:rFonts w:ascii="Arial" w:eastAsia="Times New Roman" w:hAnsi="Arial" w:cs="Arial"/>
                <w:bCs/>
                <w:sz w:val="18"/>
                <w:szCs w:val="18"/>
                <w:lang w:eastAsia="pt-BR"/>
              </w:rPr>
            </w:pPr>
            <w:r w:rsidRPr="00A5490A">
              <w:rPr>
                <w:rFonts w:ascii="Arial" w:eastAsia="Times New Roman" w:hAnsi="Arial" w:cs="Arial"/>
                <w:bCs/>
                <w:sz w:val="18"/>
                <w:szCs w:val="18"/>
                <w:lang w:eastAsia="pt-BR"/>
              </w:rPr>
              <w:t>RELUCI</w:t>
            </w:r>
          </w:p>
        </w:tc>
        <w:tc>
          <w:tcPr>
            <w:tcW w:w="6946" w:type="dxa"/>
            <w:shd w:val="clear" w:color="auto" w:fill="auto"/>
            <w:vAlign w:val="center"/>
          </w:tcPr>
          <w:p w14:paraId="7B61404D" w14:textId="46BEDC38" w:rsidR="00CB7C58" w:rsidRPr="00A5490A" w:rsidRDefault="00CB7C58" w:rsidP="002227B1">
            <w:p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bCs/>
                <w:sz w:val="18"/>
                <w:szCs w:val="18"/>
                <w:lang w:eastAsia="pt-BR"/>
              </w:rPr>
              <w:t xml:space="preserve">Relatório e parecer conclusivo </w:t>
            </w:r>
            <w:r w:rsidRPr="003B4337">
              <w:rPr>
                <w:rFonts w:ascii="Arial" w:eastAsia="Times New Roman" w:hAnsi="Arial" w:cs="Arial"/>
                <w:bCs/>
                <w:sz w:val="18"/>
                <w:szCs w:val="18"/>
                <w:lang w:eastAsia="pt-BR"/>
              </w:rPr>
              <w:t xml:space="preserve">emitido </w:t>
            </w:r>
            <w:r w:rsidRPr="003B4337">
              <w:rPr>
                <w:rFonts w:ascii="Arial" w:eastAsia="Times New Roman" w:hAnsi="Arial" w:cs="Arial"/>
                <w:sz w:val="18"/>
                <w:szCs w:val="18"/>
                <w:lang w:eastAsia="pt-BR"/>
              </w:rPr>
              <w:t xml:space="preserve">pelo controle interno contendo os elementos </w:t>
            </w:r>
            <w:r w:rsidR="002316D1">
              <w:rPr>
                <w:rFonts w:ascii="Arial" w:eastAsia="Times New Roman" w:hAnsi="Arial" w:cs="Arial"/>
                <w:sz w:val="18"/>
                <w:szCs w:val="18"/>
                <w:lang w:eastAsia="pt-BR"/>
              </w:rPr>
              <w:t>sugerido</w:t>
            </w:r>
            <w:r w:rsidRPr="003B4337">
              <w:rPr>
                <w:rFonts w:ascii="Arial" w:eastAsia="Times New Roman" w:hAnsi="Arial" w:cs="Arial"/>
                <w:sz w:val="18"/>
                <w:szCs w:val="18"/>
                <w:lang w:eastAsia="pt-BR"/>
              </w:rPr>
              <w:t xml:space="preserve">s </w:t>
            </w:r>
            <w:r w:rsidR="002227B1" w:rsidRPr="002227B1">
              <w:rPr>
                <w:rFonts w:ascii="Arial" w:eastAsia="Times New Roman" w:hAnsi="Arial" w:cs="Arial"/>
                <w:sz w:val="18"/>
                <w:szCs w:val="18"/>
                <w:lang w:eastAsia="pt-BR"/>
              </w:rPr>
              <w:t>no item 3.2 deste Anexo</w:t>
            </w:r>
            <w:r w:rsidRPr="002227B1">
              <w:rPr>
                <w:rFonts w:ascii="Arial" w:eastAsia="Times New Roman" w:hAnsi="Arial" w:cs="Arial"/>
                <w:sz w:val="18"/>
                <w:szCs w:val="18"/>
                <w:lang w:eastAsia="pt-BR"/>
              </w:rPr>
              <w:t>.</w:t>
            </w:r>
            <w:r w:rsidRPr="002227B1">
              <w:rPr>
                <w:rFonts w:ascii="Arial" w:eastAsia="Times New Roman" w:hAnsi="Arial" w:cs="Arial"/>
                <w:bCs/>
                <w:sz w:val="18"/>
                <w:szCs w:val="18"/>
                <w:lang w:eastAsia="pt-BR"/>
              </w:rPr>
              <w:t xml:space="preserve"> </w:t>
            </w:r>
            <w:r w:rsidRPr="003B4337">
              <w:rPr>
                <w:rFonts w:ascii="Arial" w:eastAsia="Times New Roman" w:hAnsi="Arial" w:cs="Arial"/>
                <w:bCs/>
                <w:sz w:val="18"/>
                <w:szCs w:val="18"/>
                <w:lang w:eastAsia="pt-BR"/>
              </w:rPr>
              <w:t>(Artigo 135, § 4º</w:t>
            </w:r>
            <w:r w:rsidRPr="003B4337">
              <w:rPr>
                <w:rFonts w:ascii="Arial" w:eastAsia="Times New Roman" w:hAnsi="Arial" w:cs="Arial"/>
                <w:sz w:val="18"/>
                <w:szCs w:val="18"/>
                <w:lang w:eastAsia="pt-BR"/>
              </w:rPr>
              <w:t xml:space="preserve"> c/c artigo 137, IV do RITCEES</w:t>
            </w:r>
            <w:r w:rsidRPr="00A5490A">
              <w:rPr>
                <w:rFonts w:ascii="Arial" w:eastAsia="Times New Roman" w:hAnsi="Arial" w:cs="Arial"/>
                <w:sz w:val="18"/>
                <w:szCs w:val="18"/>
                <w:lang w:eastAsia="pt-BR"/>
              </w:rPr>
              <w:t>, aprovado pela Resolução TC nº 261/2013</w:t>
            </w:r>
            <w:r w:rsidRPr="00A5490A">
              <w:rPr>
                <w:rFonts w:ascii="Arial" w:eastAsia="Times New Roman" w:hAnsi="Arial" w:cs="Arial"/>
                <w:bCs/>
                <w:sz w:val="18"/>
                <w:szCs w:val="18"/>
                <w:lang w:eastAsia="pt-BR"/>
              </w:rPr>
              <w:t>)</w:t>
            </w:r>
          </w:p>
        </w:tc>
        <w:tc>
          <w:tcPr>
            <w:tcW w:w="992" w:type="dxa"/>
            <w:shd w:val="clear" w:color="auto" w:fill="auto"/>
            <w:vAlign w:val="center"/>
          </w:tcPr>
          <w:p w14:paraId="5CECD617" w14:textId="77777777" w:rsidR="00CB7C58" w:rsidRPr="00A5490A" w:rsidRDefault="00532985" w:rsidP="00C97EC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6A24AE" w:rsidRPr="006A24AE" w14:paraId="14E7499E" w14:textId="77777777" w:rsidTr="00CB7C58">
        <w:tc>
          <w:tcPr>
            <w:tcW w:w="1242" w:type="dxa"/>
            <w:vAlign w:val="center"/>
          </w:tcPr>
          <w:p w14:paraId="550BF3E7" w14:textId="77777777" w:rsidR="00FE3AF0" w:rsidRPr="006A24AE" w:rsidRDefault="002324F8" w:rsidP="00736BC5">
            <w:pPr>
              <w:spacing w:after="0" w:line="240" w:lineRule="auto"/>
              <w:jc w:val="center"/>
              <w:rPr>
                <w:rFonts w:ascii="Arial" w:eastAsia="Times New Roman" w:hAnsi="Arial" w:cs="Arial"/>
                <w:sz w:val="18"/>
                <w:szCs w:val="18"/>
                <w:lang w:eastAsia="pt-BR"/>
              </w:rPr>
            </w:pPr>
            <w:r w:rsidRPr="006A24AE">
              <w:rPr>
                <w:rFonts w:ascii="Arial" w:eastAsia="Times New Roman" w:hAnsi="Arial" w:cs="Arial"/>
                <w:sz w:val="18"/>
                <w:szCs w:val="18"/>
                <w:lang w:eastAsia="pt-BR"/>
              </w:rPr>
              <w:t>RELACI</w:t>
            </w:r>
          </w:p>
        </w:tc>
        <w:tc>
          <w:tcPr>
            <w:tcW w:w="6946" w:type="dxa"/>
            <w:shd w:val="clear" w:color="auto" w:fill="auto"/>
            <w:vAlign w:val="center"/>
          </w:tcPr>
          <w:p w14:paraId="4698D9E2" w14:textId="6C8743F8" w:rsidR="00FE3AF0" w:rsidRPr="006A24AE" w:rsidRDefault="00FE3AF0" w:rsidP="006A24AE">
            <w:pPr>
              <w:spacing w:before="120" w:after="120" w:line="240" w:lineRule="auto"/>
              <w:jc w:val="both"/>
              <w:rPr>
                <w:rFonts w:ascii="Arial" w:eastAsia="Times New Roman" w:hAnsi="Arial" w:cs="Arial"/>
                <w:sz w:val="18"/>
                <w:szCs w:val="18"/>
                <w:lang w:eastAsia="pt-BR"/>
              </w:rPr>
            </w:pPr>
            <w:r w:rsidRPr="006A24AE">
              <w:rPr>
                <w:rFonts w:ascii="Arial" w:eastAsia="Times New Roman" w:hAnsi="Arial" w:cs="Arial"/>
                <w:sz w:val="18"/>
                <w:szCs w:val="18"/>
                <w:lang w:eastAsia="pt-BR"/>
              </w:rPr>
              <w:t xml:space="preserve">Relatório de atividades realizadas pela Unidade de Controle Interno na UG, contendo informações acerca dos procedimentos relativos ao Plano Anual de Auditorias Internas – PAAI, executadas no exercício, com os elementos </w:t>
            </w:r>
            <w:r w:rsidR="006A24AE" w:rsidRPr="006A24AE">
              <w:rPr>
                <w:rFonts w:ascii="Arial" w:eastAsia="Times New Roman" w:hAnsi="Arial" w:cs="Arial"/>
                <w:sz w:val="18"/>
                <w:szCs w:val="18"/>
                <w:lang w:eastAsia="pt-BR"/>
              </w:rPr>
              <w:t>sugeridos no item 3.2 deste Anexo</w:t>
            </w:r>
            <w:r w:rsidRPr="006A24AE">
              <w:rPr>
                <w:rFonts w:ascii="Arial" w:eastAsia="Times New Roman" w:hAnsi="Arial" w:cs="Arial"/>
                <w:sz w:val="18"/>
                <w:szCs w:val="18"/>
                <w:lang w:eastAsia="pt-BR"/>
              </w:rPr>
              <w:t>.</w:t>
            </w:r>
          </w:p>
        </w:tc>
        <w:tc>
          <w:tcPr>
            <w:tcW w:w="992" w:type="dxa"/>
            <w:shd w:val="clear" w:color="auto" w:fill="auto"/>
            <w:vAlign w:val="center"/>
          </w:tcPr>
          <w:p w14:paraId="70EB7B54" w14:textId="77777777" w:rsidR="00FE3AF0" w:rsidRPr="006A24AE" w:rsidRDefault="00532985" w:rsidP="00736BC5">
            <w:pPr>
              <w:spacing w:after="0" w:line="240" w:lineRule="auto"/>
              <w:jc w:val="center"/>
              <w:rPr>
                <w:rFonts w:ascii="Arial" w:eastAsia="Times New Roman" w:hAnsi="Arial" w:cs="Arial"/>
                <w:sz w:val="14"/>
                <w:szCs w:val="14"/>
                <w:lang w:eastAsia="pt-BR"/>
              </w:rPr>
            </w:pPr>
            <w:r w:rsidRPr="006A24AE">
              <w:rPr>
                <w:rFonts w:ascii="Arial" w:eastAsia="Times New Roman" w:hAnsi="Arial" w:cs="Arial"/>
                <w:sz w:val="14"/>
                <w:szCs w:val="14"/>
                <w:lang w:eastAsia="pt-BR"/>
              </w:rPr>
              <w:t>PDF</w:t>
            </w:r>
          </w:p>
        </w:tc>
      </w:tr>
      <w:tr w:rsidR="00F61F97" w:rsidRPr="00F72775" w14:paraId="61FDFC95" w14:textId="77777777" w:rsidTr="00CB7C58">
        <w:tc>
          <w:tcPr>
            <w:tcW w:w="1242" w:type="dxa"/>
            <w:vAlign w:val="center"/>
          </w:tcPr>
          <w:p w14:paraId="19A3CD1C" w14:textId="33166D62" w:rsidR="00F61F97" w:rsidRPr="00C112E6" w:rsidRDefault="00F61F97" w:rsidP="00F61F97">
            <w:pPr>
              <w:spacing w:after="0" w:line="240" w:lineRule="auto"/>
              <w:jc w:val="center"/>
              <w:rPr>
                <w:rFonts w:ascii="Arial" w:eastAsia="Times New Roman" w:hAnsi="Arial" w:cs="Arial"/>
                <w:sz w:val="18"/>
                <w:szCs w:val="18"/>
                <w:lang w:eastAsia="pt-BR"/>
              </w:rPr>
            </w:pPr>
            <w:r w:rsidRPr="00C112E6">
              <w:rPr>
                <w:rFonts w:ascii="Arial" w:eastAsia="Times New Roman" w:hAnsi="Arial" w:cs="Arial"/>
                <w:sz w:val="18"/>
                <w:szCs w:val="18"/>
                <w:lang w:eastAsia="pt-BR"/>
              </w:rPr>
              <w:t>INFOCI</w:t>
            </w:r>
          </w:p>
        </w:tc>
        <w:tc>
          <w:tcPr>
            <w:tcW w:w="6946" w:type="dxa"/>
            <w:shd w:val="clear" w:color="auto" w:fill="auto"/>
            <w:vAlign w:val="center"/>
          </w:tcPr>
          <w:p w14:paraId="3C0077C0" w14:textId="0B2EF070" w:rsidR="00F61F97" w:rsidRPr="00C112E6" w:rsidRDefault="00AA77C8" w:rsidP="00F61F97">
            <w:pPr>
              <w:spacing w:before="120" w:after="120" w:line="240" w:lineRule="auto"/>
              <w:jc w:val="both"/>
              <w:rPr>
                <w:rFonts w:ascii="Arial" w:eastAsia="Times New Roman" w:hAnsi="Arial" w:cs="Arial"/>
                <w:sz w:val="18"/>
                <w:szCs w:val="18"/>
                <w:lang w:eastAsia="pt-BR"/>
              </w:rPr>
            </w:pPr>
            <w:r>
              <w:rPr>
                <w:rFonts w:ascii="Arial" w:eastAsia="Calibri" w:hAnsi="Arial" w:cs="Times New Roman"/>
                <w:sz w:val="18"/>
                <w:szCs w:val="18"/>
              </w:rPr>
              <w:t>I</w:t>
            </w:r>
            <w:r w:rsidRPr="00462640">
              <w:rPr>
                <w:rFonts w:ascii="Arial" w:eastAsia="Calibri" w:hAnsi="Arial" w:cs="Times New Roman"/>
                <w:sz w:val="18"/>
                <w:szCs w:val="18"/>
              </w:rPr>
              <w:t>nformações da unidade de Controle Interno, bem como as informações sobre a atuação do Controle Interno na verificação dos pontos de controle destinados à emissão do parecer sobre as Prestações de Contas Anuais</w:t>
            </w:r>
            <w:r w:rsidRPr="00792F95">
              <w:rPr>
                <w:rFonts w:ascii="Arial" w:eastAsia="Calibri" w:hAnsi="Arial" w:cs="Times New Roman"/>
                <w:sz w:val="18"/>
                <w:szCs w:val="18"/>
              </w:rPr>
              <w:t>, conforme layout constante do item 3.1 deste Anexo.</w:t>
            </w:r>
          </w:p>
        </w:tc>
        <w:tc>
          <w:tcPr>
            <w:tcW w:w="992" w:type="dxa"/>
            <w:shd w:val="clear" w:color="auto" w:fill="auto"/>
            <w:vAlign w:val="center"/>
          </w:tcPr>
          <w:p w14:paraId="78FECCA6" w14:textId="36A4C5F7" w:rsidR="00F61F97" w:rsidRPr="00C112E6" w:rsidRDefault="00F61F97" w:rsidP="00F61F97">
            <w:pPr>
              <w:spacing w:after="0" w:line="240" w:lineRule="auto"/>
              <w:jc w:val="center"/>
              <w:rPr>
                <w:rFonts w:ascii="Arial" w:eastAsia="Times New Roman" w:hAnsi="Arial" w:cs="Arial"/>
                <w:sz w:val="14"/>
                <w:szCs w:val="14"/>
                <w:lang w:eastAsia="pt-BR"/>
              </w:rPr>
            </w:pPr>
            <w:r w:rsidRPr="00C112E6">
              <w:rPr>
                <w:rFonts w:ascii="Arial" w:eastAsia="Times New Roman" w:hAnsi="Arial" w:cs="Arial"/>
                <w:sz w:val="14"/>
                <w:szCs w:val="14"/>
                <w:lang w:eastAsia="pt-BR"/>
              </w:rPr>
              <w:t>XML</w:t>
            </w:r>
          </w:p>
        </w:tc>
      </w:tr>
      <w:tr w:rsidR="00FE3AF0" w:rsidRPr="00A5490A" w14:paraId="6D29514E" w14:textId="77777777" w:rsidTr="00CB7C58">
        <w:tc>
          <w:tcPr>
            <w:tcW w:w="1242" w:type="dxa"/>
            <w:vAlign w:val="center"/>
          </w:tcPr>
          <w:p w14:paraId="07FFEEDF" w14:textId="77777777" w:rsidR="00FE3AF0" w:rsidRPr="00A5490A" w:rsidRDefault="00FE3AF0" w:rsidP="00C97ECD">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PROEXE</w:t>
            </w:r>
          </w:p>
        </w:tc>
        <w:tc>
          <w:tcPr>
            <w:tcW w:w="6946" w:type="dxa"/>
            <w:shd w:val="clear" w:color="auto" w:fill="auto"/>
            <w:vAlign w:val="center"/>
          </w:tcPr>
          <w:p w14:paraId="007B8488" w14:textId="77777777" w:rsidR="00FE3AF0" w:rsidRPr="00A5490A" w:rsidRDefault="00FE3AF0" w:rsidP="005D530A">
            <w:p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Pronunciamento expresso do chefe do</w:t>
            </w:r>
            <w:r w:rsidRPr="00A5490A">
              <w:rPr>
                <w:rFonts w:ascii="Arial" w:eastAsia="Times New Roman" w:hAnsi="Arial" w:cs="Arial"/>
                <w:b/>
                <w:bCs/>
                <w:sz w:val="18"/>
                <w:szCs w:val="18"/>
                <w:lang w:eastAsia="pt-BR"/>
              </w:rPr>
              <w:t xml:space="preserve"> </w:t>
            </w:r>
            <w:r>
              <w:rPr>
                <w:rFonts w:ascii="Arial" w:eastAsia="Times New Roman" w:hAnsi="Arial" w:cs="Arial"/>
                <w:bCs/>
                <w:sz w:val="18"/>
                <w:szCs w:val="18"/>
                <w:lang w:eastAsia="pt-BR"/>
              </w:rPr>
              <w:t>Poder</w:t>
            </w:r>
            <w:r w:rsidRPr="00A5490A">
              <w:rPr>
                <w:rFonts w:ascii="Arial" w:eastAsia="Times New Roman" w:hAnsi="Arial" w:cs="Arial"/>
                <w:sz w:val="18"/>
                <w:szCs w:val="18"/>
                <w:lang w:eastAsia="pt-BR"/>
              </w:rPr>
              <w:t xml:space="preserve"> atestando ter tomado conhecimento das conclusões contidas no parecer conclusiv</w:t>
            </w:r>
            <w:r>
              <w:rPr>
                <w:rFonts w:ascii="Arial" w:eastAsia="Times New Roman" w:hAnsi="Arial" w:cs="Arial"/>
                <w:sz w:val="18"/>
                <w:szCs w:val="18"/>
                <w:lang w:eastAsia="pt-BR"/>
              </w:rPr>
              <w:t>o emitido pelo controle interno, a que se refere o parágrafo único, do art. 4º da Resolução TC nº 227/2011.</w:t>
            </w:r>
          </w:p>
        </w:tc>
        <w:tc>
          <w:tcPr>
            <w:tcW w:w="992" w:type="dxa"/>
            <w:shd w:val="clear" w:color="auto" w:fill="auto"/>
            <w:vAlign w:val="center"/>
          </w:tcPr>
          <w:p w14:paraId="1D980CA1" w14:textId="77777777" w:rsidR="00FE3AF0" w:rsidRPr="00A5490A" w:rsidRDefault="00532985" w:rsidP="00C97EC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EE115F" w:rsidRPr="00A5490A" w14:paraId="58E2ED83" w14:textId="77777777" w:rsidTr="00CB7C58">
        <w:tc>
          <w:tcPr>
            <w:tcW w:w="1242" w:type="dxa"/>
            <w:vAlign w:val="center"/>
          </w:tcPr>
          <w:p w14:paraId="65211A5A" w14:textId="77777777" w:rsidR="00EE115F" w:rsidRPr="00A5490A" w:rsidRDefault="00EE115F" w:rsidP="00EE115F">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BALORC</w:t>
            </w:r>
          </w:p>
        </w:tc>
        <w:tc>
          <w:tcPr>
            <w:tcW w:w="6946" w:type="dxa"/>
            <w:shd w:val="clear" w:color="auto" w:fill="auto"/>
            <w:vAlign w:val="center"/>
          </w:tcPr>
          <w:p w14:paraId="41FCDE6A" w14:textId="4FA27B77" w:rsidR="00EE115F" w:rsidRPr="00A5490A" w:rsidRDefault="00EE115F" w:rsidP="001A0773">
            <w:p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Balanço Orçamentário (Anexo 12 Lei 4.320/1964)</w:t>
            </w:r>
            <w:r w:rsidR="002227B1">
              <w:rPr>
                <w:rFonts w:ascii="Arial" w:eastAsia="Times New Roman" w:hAnsi="Arial" w:cs="Arial"/>
                <w:sz w:val="18"/>
                <w:szCs w:val="18"/>
                <w:lang w:eastAsia="pt-BR"/>
              </w:rPr>
              <w:t xml:space="preserve"> </w:t>
            </w:r>
            <w:r w:rsidRPr="00A5490A">
              <w:rPr>
                <w:rFonts w:ascii="Arial" w:eastAsia="Times New Roman" w:hAnsi="Arial" w:cs="Arial"/>
                <w:sz w:val="18"/>
                <w:szCs w:val="18"/>
                <w:lang w:eastAsia="pt-BR"/>
              </w:rPr>
              <w:t>e outros quadros elucidativos que se fizerem necessários</w:t>
            </w:r>
            <w:r>
              <w:rPr>
                <w:rFonts w:ascii="Arial" w:eastAsia="Times New Roman" w:hAnsi="Arial" w:cs="Arial"/>
                <w:sz w:val="18"/>
                <w:szCs w:val="18"/>
                <w:lang w:eastAsia="pt-BR"/>
              </w:rPr>
              <w:t xml:space="preserve"> </w:t>
            </w:r>
            <w:r w:rsidRPr="00A5490A">
              <w:rPr>
                <w:rFonts w:ascii="Arial" w:eastAsia="Times New Roman" w:hAnsi="Arial" w:cs="Arial"/>
                <w:sz w:val="18"/>
                <w:szCs w:val="18"/>
                <w:lang w:eastAsia="pt-BR"/>
              </w:rPr>
              <w:t>(Artigo 101 da Lei Federal nº 4.320/64)</w:t>
            </w:r>
            <w:r>
              <w:rPr>
                <w:rFonts w:ascii="Arial" w:eastAsia="Times New Roman" w:hAnsi="Arial" w:cs="Arial"/>
                <w:sz w:val="18"/>
                <w:szCs w:val="18"/>
                <w:lang w:eastAsia="pt-BR"/>
              </w:rPr>
              <w:t xml:space="preserve">. Estrutura e layout constantes do item </w:t>
            </w:r>
            <w:r w:rsidR="001A0773">
              <w:rPr>
                <w:rFonts w:ascii="Arial" w:eastAsia="Times New Roman" w:hAnsi="Arial" w:cs="Arial"/>
                <w:sz w:val="18"/>
                <w:szCs w:val="18"/>
                <w:lang w:eastAsia="pt-BR"/>
              </w:rPr>
              <w:t>3.1</w:t>
            </w:r>
            <w:r>
              <w:rPr>
                <w:rFonts w:ascii="Arial" w:eastAsia="Times New Roman" w:hAnsi="Arial" w:cs="Arial"/>
                <w:sz w:val="18"/>
                <w:szCs w:val="18"/>
                <w:lang w:eastAsia="pt-BR"/>
              </w:rPr>
              <w:t xml:space="preserve"> deste Anexo.</w:t>
            </w:r>
          </w:p>
        </w:tc>
        <w:tc>
          <w:tcPr>
            <w:tcW w:w="992" w:type="dxa"/>
            <w:shd w:val="clear" w:color="auto" w:fill="auto"/>
            <w:vAlign w:val="center"/>
          </w:tcPr>
          <w:p w14:paraId="1CED5BAE" w14:textId="77777777" w:rsidR="00EE115F" w:rsidRPr="00A5490A" w:rsidRDefault="00EE115F" w:rsidP="00EE115F">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XML</w:t>
            </w:r>
          </w:p>
        </w:tc>
      </w:tr>
      <w:tr w:rsidR="00EE115F" w:rsidRPr="00A5490A" w14:paraId="3F4A1AE0" w14:textId="77777777" w:rsidTr="00CB7C58">
        <w:tc>
          <w:tcPr>
            <w:tcW w:w="1242" w:type="dxa"/>
            <w:vAlign w:val="center"/>
          </w:tcPr>
          <w:p w14:paraId="14BEA97D" w14:textId="77777777" w:rsidR="00EE115F" w:rsidRPr="00A5490A" w:rsidRDefault="00EE115F" w:rsidP="00EE115F">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BALFIN</w:t>
            </w:r>
          </w:p>
        </w:tc>
        <w:tc>
          <w:tcPr>
            <w:tcW w:w="6946" w:type="dxa"/>
            <w:shd w:val="clear" w:color="auto" w:fill="auto"/>
            <w:vAlign w:val="center"/>
          </w:tcPr>
          <w:p w14:paraId="7178CD4A" w14:textId="05CC8F61" w:rsidR="00EE115F" w:rsidRPr="00A5490A" w:rsidRDefault="00EE115F" w:rsidP="001A0773">
            <w:p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Balanço Financeiro (Anex</w:t>
            </w:r>
            <w:r w:rsidR="002227B1">
              <w:rPr>
                <w:rFonts w:ascii="Arial" w:eastAsia="Times New Roman" w:hAnsi="Arial" w:cs="Arial"/>
                <w:sz w:val="18"/>
                <w:szCs w:val="18"/>
                <w:lang w:eastAsia="pt-BR"/>
              </w:rPr>
              <w:t>o 13 Lei 4.320/1964)</w:t>
            </w:r>
            <w:r w:rsidRPr="00A5490A">
              <w:rPr>
                <w:rFonts w:ascii="Arial" w:eastAsia="Times New Roman" w:hAnsi="Arial" w:cs="Arial"/>
                <w:sz w:val="18"/>
                <w:szCs w:val="18"/>
                <w:lang w:eastAsia="pt-BR"/>
              </w:rPr>
              <w:t xml:space="preserve"> e outros quadros elucidativos que se fizerem necessários</w:t>
            </w:r>
            <w:r>
              <w:rPr>
                <w:rFonts w:ascii="Arial" w:eastAsia="Times New Roman" w:hAnsi="Arial" w:cs="Arial"/>
                <w:sz w:val="18"/>
                <w:szCs w:val="18"/>
                <w:lang w:eastAsia="pt-BR"/>
              </w:rPr>
              <w:t xml:space="preserve"> </w:t>
            </w:r>
            <w:r w:rsidRPr="00A5490A">
              <w:rPr>
                <w:rFonts w:ascii="Arial" w:eastAsia="Times New Roman" w:hAnsi="Arial" w:cs="Arial"/>
                <w:sz w:val="18"/>
                <w:szCs w:val="18"/>
                <w:lang w:eastAsia="pt-BR"/>
              </w:rPr>
              <w:t>(Artigo 101 da Lei Federal nº 4.320/64)</w:t>
            </w:r>
            <w:r>
              <w:rPr>
                <w:rFonts w:ascii="Arial" w:eastAsia="Times New Roman" w:hAnsi="Arial" w:cs="Arial"/>
                <w:sz w:val="18"/>
                <w:szCs w:val="18"/>
                <w:lang w:eastAsia="pt-BR"/>
              </w:rPr>
              <w:t xml:space="preserve">. Estrutura e layout constantes do item </w:t>
            </w:r>
            <w:r w:rsidR="001A0773">
              <w:rPr>
                <w:rFonts w:ascii="Arial" w:eastAsia="Times New Roman" w:hAnsi="Arial" w:cs="Arial"/>
                <w:sz w:val="18"/>
                <w:szCs w:val="18"/>
                <w:lang w:eastAsia="pt-BR"/>
              </w:rPr>
              <w:t>3.1</w:t>
            </w:r>
            <w:r>
              <w:rPr>
                <w:rFonts w:ascii="Arial" w:eastAsia="Times New Roman" w:hAnsi="Arial" w:cs="Arial"/>
                <w:sz w:val="18"/>
                <w:szCs w:val="18"/>
                <w:lang w:eastAsia="pt-BR"/>
              </w:rPr>
              <w:t xml:space="preserve"> deste Anexo</w:t>
            </w:r>
          </w:p>
        </w:tc>
        <w:tc>
          <w:tcPr>
            <w:tcW w:w="992" w:type="dxa"/>
            <w:shd w:val="clear" w:color="auto" w:fill="auto"/>
            <w:vAlign w:val="center"/>
          </w:tcPr>
          <w:p w14:paraId="42688884" w14:textId="77777777" w:rsidR="00EE115F" w:rsidRPr="00A5490A" w:rsidRDefault="00EE115F" w:rsidP="00EE115F">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XML</w:t>
            </w:r>
          </w:p>
        </w:tc>
      </w:tr>
      <w:tr w:rsidR="00EE115F" w:rsidRPr="00A5490A" w14:paraId="23D6CA90" w14:textId="77777777" w:rsidTr="00CB7C58">
        <w:tc>
          <w:tcPr>
            <w:tcW w:w="1242" w:type="dxa"/>
            <w:vAlign w:val="center"/>
          </w:tcPr>
          <w:p w14:paraId="18F5E4EF" w14:textId="77777777" w:rsidR="00EE115F" w:rsidRPr="00A5490A" w:rsidRDefault="00EE115F" w:rsidP="00EE115F">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BALPAT</w:t>
            </w:r>
          </w:p>
        </w:tc>
        <w:tc>
          <w:tcPr>
            <w:tcW w:w="6946" w:type="dxa"/>
            <w:shd w:val="clear" w:color="auto" w:fill="auto"/>
            <w:vAlign w:val="center"/>
          </w:tcPr>
          <w:p w14:paraId="2C5C6B55" w14:textId="6CD10A8C" w:rsidR="00EE115F" w:rsidRPr="00A5490A" w:rsidRDefault="00EE115F" w:rsidP="001A0773">
            <w:p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Balanço Patrimonial (Anexo 14 Lei 4.3</w:t>
            </w:r>
            <w:r w:rsidR="002227B1">
              <w:rPr>
                <w:rFonts w:ascii="Arial" w:eastAsia="Times New Roman" w:hAnsi="Arial" w:cs="Arial"/>
                <w:sz w:val="18"/>
                <w:szCs w:val="18"/>
                <w:lang w:eastAsia="pt-BR"/>
              </w:rPr>
              <w:t>20/1964)</w:t>
            </w:r>
            <w:r w:rsidRPr="00A5490A">
              <w:rPr>
                <w:rFonts w:ascii="Arial" w:eastAsia="Times New Roman" w:hAnsi="Arial" w:cs="Arial"/>
                <w:sz w:val="18"/>
                <w:szCs w:val="18"/>
                <w:lang w:eastAsia="pt-BR"/>
              </w:rPr>
              <w:t xml:space="preserve"> e outros quadros elucidativos que se fizerem necessários</w:t>
            </w:r>
            <w:r>
              <w:rPr>
                <w:rFonts w:ascii="Arial" w:eastAsia="Times New Roman" w:hAnsi="Arial" w:cs="Arial"/>
                <w:sz w:val="18"/>
                <w:szCs w:val="18"/>
                <w:lang w:eastAsia="pt-BR"/>
              </w:rPr>
              <w:t xml:space="preserve"> </w:t>
            </w:r>
            <w:r w:rsidRPr="00A5490A">
              <w:rPr>
                <w:rFonts w:ascii="Arial" w:eastAsia="Times New Roman" w:hAnsi="Arial" w:cs="Arial"/>
                <w:sz w:val="18"/>
                <w:szCs w:val="18"/>
                <w:lang w:eastAsia="pt-BR"/>
              </w:rPr>
              <w:t>(Artigo 101 da Lei Federal nº 4.320/64)</w:t>
            </w:r>
            <w:r>
              <w:rPr>
                <w:rFonts w:ascii="Arial" w:eastAsia="Times New Roman" w:hAnsi="Arial" w:cs="Arial"/>
                <w:sz w:val="18"/>
                <w:szCs w:val="18"/>
                <w:lang w:eastAsia="pt-BR"/>
              </w:rPr>
              <w:t xml:space="preserve">. Estrutura e layout constantes do item </w:t>
            </w:r>
            <w:r w:rsidR="001A0773">
              <w:rPr>
                <w:rFonts w:ascii="Arial" w:eastAsia="Times New Roman" w:hAnsi="Arial" w:cs="Arial"/>
                <w:sz w:val="18"/>
                <w:szCs w:val="18"/>
                <w:lang w:eastAsia="pt-BR"/>
              </w:rPr>
              <w:t>3.1</w:t>
            </w:r>
            <w:r>
              <w:rPr>
                <w:rFonts w:ascii="Arial" w:eastAsia="Times New Roman" w:hAnsi="Arial" w:cs="Arial"/>
                <w:sz w:val="18"/>
                <w:szCs w:val="18"/>
                <w:lang w:eastAsia="pt-BR"/>
              </w:rPr>
              <w:t xml:space="preserve"> deste Anexo</w:t>
            </w:r>
          </w:p>
        </w:tc>
        <w:tc>
          <w:tcPr>
            <w:tcW w:w="992" w:type="dxa"/>
            <w:shd w:val="clear" w:color="auto" w:fill="auto"/>
            <w:vAlign w:val="center"/>
          </w:tcPr>
          <w:p w14:paraId="708E72CB" w14:textId="77777777" w:rsidR="00EE115F" w:rsidRPr="00A5490A" w:rsidRDefault="00EE115F" w:rsidP="00EE115F">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XML</w:t>
            </w:r>
          </w:p>
        </w:tc>
      </w:tr>
      <w:tr w:rsidR="00EE115F" w:rsidRPr="00A5490A" w14:paraId="667A4633" w14:textId="77777777" w:rsidTr="00CB7C58">
        <w:tc>
          <w:tcPr>
            <w:tcW w:w="1242" w:type="dxa"/>
            <w:vAlign w:val="center"/>
          </w:tcPr>
          <w:p w14:paraId="0225B0B0" w14:textId="77777777" w:rsidR="00EE115F" w:rsidRPr="00A5490A" w:rsidRDefault="00EE115F" w:rsidP="00EE115F">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DEMVAP</w:t>
            </w:r>
          </w:p>
        </w:tc>
        <w:tc>
          <w:tcPr>
            <w:tcW w:w="6946" w:type="dxa"/>
            <w:shd w:val="clear" w:color="auto" w:fill="auto"/>
            <w:vAlign w:val="center"/>
          </w:tcPr>
          <w:p w14:paraId="7AF7F027" w14:textId="5C2670B8" w:rsidR="00EE115F" w:rsidRPr="00A5490A" w:rsidRDefault="00EE115F" w:rsidP="001A0773">
            <w:p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Demonstração das Variações Patrimoniais (Anexo 15</w:t>
            </w:r>
            <w:r w:rsidR="001E68A1">
              <w:rPr>
                <w:rFonts w:ascii="Arial" w:eastAsia="Times New Roman" w:hAnsi="Arial" w:cs="Arial"/>
                <w:sz w:val="18"/>
                <w:szCs w:val="18"/>
                <w:lang w:eastAsia="pt-BR"/>
              </w:rPr>
              <w:t xml:space="preserve"> Lei 4.320/1964) </w:t>
            </w:r>
            <w:r w:rsidRPr="00A5490A">
              <w:rPr>
                <w:rFonts w:ascii="Arial" w:eastAsia="Times New Roman" w:hAnsi="Arial" w:cs="Arial"/>
                <w:sz w:val="18"/>
                <w:szCs w:val="18"/>
                <w:lang w:eastAsia="pt-BR"/>
              </w:rPr>
              <w:t>e outros quadros elucidativos que se fizerem necessários</w:t>
            </w:r>
            <w:r>
              <w:rPr>
                <w:rFonts w:ascii="Arial" w:eastAsia="Times New Roman" w:hAnsi="Arial" w:cs="Arial"/>
                <w:sz w:val="18"/>
                <w:szCs w:val="18"/>
                <w:lang w:eastAsia="pt-BR"/>
              </w:rPr>
              <w:t xml:space="preserve"> </w:t>
            </w:r>
            <w:r w:rsidRPr="00A5490A">
              <w:rPr>
                <w:rFonts w:ascii="Arial" w:eastAsia="Times New Roman" w:hAnsi="Arial" w:cs="Arial"/>
                <w:sz w:val="18"/>
                <w:szCs w:val="18"/>
                <w:lang w:eastAsia="pt-BR"/>
              </w:rPr>
              <w:t>(Artigo 101 da Lei nº 4.320/64)</w:t>
            </w:r>
            <w:r>
              <w:rPr>
                <w:rFonts w:ascii="Arial" w:eastAsia="Times New Roman" w:hAnsi="Arial" w:cs="Arial"/>
                <w:sz w:val="18"/>
                <w:szCs w:val="18"/>
                <w:lang w:eastAsia="pt-BR"/>
              </w:rPr>
              <w:t xml:space="preserve">. Estrutura e layout constantes do item </w:t>
            </w:r>
            <w:r w:rsidR="001A0773">
              <w:rPr>
                <w:rFonts w:ascii="Arial" w:eastAsia="Times New Roman" w:hAnsi="Arial" w:cs="Arial"/>
                <w:sz w:val="18"/>
                <w:szCs w:val="18"/>
                <w:lang w:eastAsia="pt-BR"/>
              </w:rPr>
              <w:t>3.1</w:t>
            </w:r>
            <w:r>
              <w:rPr>
                <w:rFonts w:ascii="Arial" w:eastAsia="Times New Roman" w:hAnsi="Arial" w:cs="Arial"/>
                <w:sz w:val="18"/>
                <w:szCs w:val="18"/>
                <w:lang w:eastAsia="pt-BR"/>
              </w:rPr>
              <w:t xml:space="preserve"> deste Anexo</w:t>
            </w:r>
          </w:p>
        </w:tc>
        <w:tc>
          <w:tcPr>
            <w:tcW w:w="992" w:type="dxa"/>
            <w:shd w:val="clear" w:color="auto" w:fill="auto"/>
            <w:vAlign w:val="center"/>
          </w:tcPr>
          <w:p w14:paraId="14C50C6C" w14:textId="77777777" w:rsidR="00EE115F" w:rsidRPr="00A5490A" w:rsidRDefault="00EE115F" w:rsidP="00EE115F">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XML</w:t>
            </w:r>
          </w:p>
        </w:tc>
      </w:tr>
      <w:tr w:rsidR="00FE3AF0" w:rsidRPr="00A5490A" w14:paraId="51F3BC21" w14:textId="77777777" w:rsidTr="00CB7C58">
        <w:tc>
          <w:tcPr>
            <w:tcW w:w="1242" w:type="dxa"/>
            <w:vAlign w:val="center"/>
          </w:tcPr>
          <w:p w14:paraId="7BE410DA" w14:textId="77777777" w:rsidR="00FE3AF0" w:rsidRPr="003B4337" w:rsidRDefault="00FE3AF0" w:rsidP="00A47BF4">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lastRenderedPageBreak/>
              <w:t>DEMDIF</w:t>
            </w:r>
          </w:p>
        </w:tc>
        <w:tc>
          <w:tcPr>
            <w:tcW w:w="6946" w:type="dxa"/>
            <w:shd w:val="clear" w:color="auto" w:fill="auto"/>
            <w:vAlign w:val="center"/>
          </w:tcPr>
          <w:p w14:paraId="776784D6" w14:textId="77777777" w:rsidR="00FE3AF0" w:rsidRPr="003B4337" w:rsidRDefault="00FE3AF0" w:rsidP="00A47BF4">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Demonstrativo da Dívida Fundada (Anexo 16 Lei 4.320/1964), acompanhado de notas explicativas e outros quadros elucidativos que se fizerem necessários. (Artigo 101 da Lei Federal nº 4.320/64)</w:t>
            </w:r>
          </w:p>
        </w:tc>
        <w:tc>
          <w:tcPr>
            <w:tcW w:w="992" w:type="dxa"/>
            <w:shd w:val="clear" w:color="auto" w:fill="auto"/>
            <w:vAlign w:val="center"/>
          </w:tcPr>
          <w:p w14:paraId="595FF981" w14:textId="77777777" w:rsidR="00FE3AF0" w:rsidRPr="00A5490A" w:rsidRDefault="00532985" w:rsidP="00A47BF4">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FE3AF0" w:rsidRPr="00A5490A" w14:paraId="306CA2F2" w14:textId="77777777" w:rsidTr="00CB7C58">
        <w:tc>
          <w:tcPr>
            <w:tcW w:w="1242" w:type="dxa"/>
            <w:vAlign w:val="center"/>
          </w:tcPr>
          <w:p w14:paraId="0E8517E8" w14:textId="77777777" w:rsidR="00FE3AF0" w:rsidRPr="00A5490A" w:rsidRDefault="00FE3AF0" w:rsidP="00C97ECD">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DEMDFL</w:t>
            </w:r>
          </w:p>
        </w:tc>
        <w:tc>
          <w:tcPr>
            <w:tcW w:w="6946" w:type="dxa"/>
            <w:shd w:val="clear" w:color="auto" w:fill="auto"/>
            <w:vAlign w:val="center"/>
          </w:tcPr>
          <w:p w14:paraId="22F2D18F" w14:textId="77777777" w:rsidR="00FE3AF0" w:rsidRPr="00A5490A" w:rsidRDefault="00FE3AF0" w:rsidP="00196378">
            <w:p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Demonstrativo da Dívida Flutuante (Anexo 17 Lei 4.320/1964), acompanhado de notas explicativas e outros quadros elucidativos que se fizerem necessários. (Artigo 101 da Lei nº 4.320/64)</w:t>
            </w:r>
          </w:p>
        </w:tc>
        <w:tc>
          <w:tcPr>
            <w:tcW w:w="992" w:type="dxa"/>
            <w:shd w:val="clear" w:color="auto" w:fill="auto"/>
            <w:vAlign w:val="center"/>
          </w:tcPr>
          <w:p w14:paraId="585E3037" w14:textId="77777777" w:rsidR="00FE3AF0" w:rsidRPr="00A5490A" w:rsidRDefault="00532985" w:rsidP="00C97EC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FE3AF0" w:rsidRPr="00A5490A" w14:paraId="46453AB8" w14:textId="77777777" w:rsidTr="00CB7C58">
        <w:tc>
          <w:tcPr>
            <w:tcW w:w="1242" w:type="dxa"/>
            <w:vAlign w:val="center"/>
          </w:tcPr>
          <w:p w14:paraId="52B3E625" w14:textId="77777777" w:rsidR="00FE3AF0" w:rsidRPr="00A5490A" w:rsidRDefault="00FE3AF0" w:rsidP="00C97ECD">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DEMFCA</w:t>
            </w:r>
          </w:p>
        </w:tc>
        <w:tc>
          <w:tcPr>
            <w:tcW w:w="6946" w:type="dxa"/>
            <w:shd w:val="clear" w:color="auto" w:fill="auto"/>
            <w:vAlign w:val="center"/>
          </w:tcPr>
          <w:p w14:paraId="5A90F72D" w14:textId="77777777" w:rsidR="00FE3AF0" w:rsidRPr="00A5490A" w:rsidRDefault="00FE3AF0" w:rsidP="00196378">
            <w:p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Demonstração dos Fluxos de Caixa – DFC</w:t>
            </w:r>
            <w:r>
              <w:rPr>
                <w:rFonts w:ascii="Arial" w:eastAsia="Times New Roman" w:hAnsi="Arial" w:cs="Arial"/>
                <w:sz w:val="18"/>
                <w:szCs w:val="18"/>
                <w:lang w:eastAsia="pt-BR"/>
              </w:rPr>
              <w:t xml:space="preserve"> </w:t>
            </w:r>
            <w:r w:rsidRPr="00A5490A">
              <w:rPr>
                <w:rFonts w:ascii="Arial" w:eastAsia="Times New Roman" w:hAnsi="Arial" w:cs="Arial"/>
                <w:sz w:val="18"/>
                <w:szCs w:val="18"/>
                <w:lang w:eastAsia="pt-BR"/>
              </w:rPr>
              <w:t>(Parte V do Manual de Contabilidade Aplicado ao Setor Público – MCASP)</w:t>
            </w:r>
            <w:r>
              <w:rPr>
                <w:rFonts w:ascii="Arial" w:eastAsia="Times New Roman" w:hAnsi="Arial" w:cs="Arial"/>
                <w:sz w:val="18"/>
                <w:szCs w:val="18"/>
                <w:lang w:eastAsia="pt-BR"/>
              </w:rPr>
              <w:t xml:space="preserve">, </w:t>
            </w:r>
            <w:r w:rsidRPr="00A5490A">
              <w:rPr>
                <w:rFonts w:ascii="Arial" w:eastAsia="Times New Roman" w:hAnsi="Arial" w:cs="Arial"/>
                <w:sz w:val="18"/>
                <w:szCs w:val="18"/>
                <w:lang w:eastAsia="pt-BR"/>
              </w:rPr>
              <w:t>acompanhad</w:t>
            </w:r>
            <w:r>
              <w:rPr>
                <w:rFonts w:ascii="Arial" w:eastAsia="Times New Roman" w:hAnsi="Arial" w:cs="Arial"/>
                <w:sz w:val="18"/>
                <w:szCs w:val="18"/>
                <w:lang w:eastAsia="pt-BR"/>
              </w:rPr>
              <w:t>a</w:t>
            </w:r>
            <w:r w:rsidRPr="00A5490A">
              <w:rPr>
                <w:rFonts w:ascii="Arial" w:eastAsia="Times New Roman" w:hAnsi="Arial" w:cs="Arial"/>
                <w:sz w:val="18"/>
                <w:szCs w:val="18"/>
                <w:lang w:eastAsia="pt-BR"/>
              </w:rPr>
              <w:t xml:space="preserve"> de notas explicativas e outros quadros elucidativos que se fizerem necessários. (Resolução CFC nº 1.1</w:t>
            </w:r>
            <w:r>
              <w:rPr>
                <w:rFonts w:ascii="Arial" w:eastAsia="Times New Roman" w:hAnsi="Arial" w:cs="Arial"/>
                <w:sz w:val="18"/>
                <w:szCs w:val="18"/>
                <w:lang w:eastAsia="pt-BR"/>
              </w:rPr>
              <w:t>33</w:t>
            </w:r>
            <w:r w:rsidRPr="00A5490A">
              <w:rPr>
                <w:rFonts w:ascii="Arial" w:eastAsia="Times New Roman" w:hAnsi="Arial" w:cs="Arial"/>
                <w:sz w:val="18"/>
                <w:szCs w:val="18"/>
                <w:lang w:eastAsia="pt-BR"/>
              </w:rPr>
              <w:t>/2008 - NBC T 16</w:t>
            </w:r>
            <w:r>
              <w:rPr>
                <w:rFonts w:ascii="Arial" w:eastAsia="Times New Roman" w:hAnsi="Arial" w:cs="Arial"/>
                <w:sz w:val="18"/>
                <w:szCs w:val="18"/>
                <w:lang w:eastAsia="pt-BR"/>
              </w:rPr>
              <w:t>.6</w:t>
            </w:r>
            <w:r w:rsidRPr="00A5490A">
              <w:rPr>
                <w:rFonts w:ascii="Arial" w:eastAsia="Times New Roman" w:hAnsi="Arial" w:cs="Arial"/>
                <w:sz w:val="18"/>
                <w:szCs w:val="18"/>
                <w:lang w:eastAsia="pt-BR"/>
              </w:rPr>
              <w:t xml:space="preserve"> c/c Portaria STN nº 7</w:t>
            </w:r>
            <w:r>
              <w:rPr>
                <w:rFonts w:ascii="Arial" w:eastAsia="Times New Roman" w:hAnsi="Arial" w:cs="Arial"/>
                <w:sz w:val="18"/>
                <w:szCs w:val="18"/>
                <w:lang w:eastAsia="pt-BR"/>
              </w:rPr>
              <w:t>00</w:t>
            </w:r>
            <w:r w:rsidRPr="00A5490A">
              <w:rPr>
                <w:rFonts w:ascii="Arial" w:eastAsia="Times New Roman" w:hAnsi="Arial" w:cs="Arial"/>
                <w:sz w:val="18"/>
                <w:szCs w:val="18"/>
                <w:lang w:eastAsia="pt-BR"/>
              </w:rPr>
              <w:t>/201</w:t>
            </w:r>
            <w:r>
              <w:rPr>
                <w:rFonts w:ascii="Arial" w:eastAsia="Times New Roman" w:hAnsi="Arial" w:cs="Arial"/>
                <w:sz w:val="18"/>
                <w:szCs w:val="18"/>
                <w:lang w:eastAsia="pt-BR"/>
              </w:rPr>
              <w:t>4</w:t>
            </w:r>
            <w:r w:rsidRPr="00A5490A">
              <w:rPr>
                <w:rFonts w:ascii="Arial" w:eastAsia="Times New Roman" w:hAnsi="Arial" w:cs="Arial"/>
                <w:sz w:val="18"/>
                <w:szCs w:val="18"/>
                <w:lang w:eastAsia="pt-BR"/>
              </w:rPr>
              <w:t>)</w:t>
            </w:r>
          </w:p>
        </w:tc>
        <w:tc>
          <w:tcPr>
            <w:tcW w:w="992" w:type="dxa"/>
            <w:shd w:val="clear" w:color="auto" w:fill="auto"/>
            <w:vAlign w:val="center"/>
          </w:tcPr>
          <w:p w14:paraId="06675C1B" w14:textId="77777777" w:rsidR="00FE3AF0" w:rsidRPr="00A5490A" w:rsidRDefault="00532985" w:rsidP="00C97EC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4124D9" w:rsidRPr="004124D9" w14:paraId="0E445250" w14:textId="77777777" w:rsidTr="007D64A9">
        <w:tc>
          <w:tcPr>
            <w:tcW w:w="1242" w:type="dxa"/>
            <w:vAlign w:val="center"/>
          </w:tcPr>
          <w:p w14:paraId="68EA868C" w14:textId="77777777" w:rsidR="004124D9" w:rsidRPr="0073452B" w:rsidRDefault="004124D9" w:rsidP="007D64A9">
            <w:pPr>
              <w:spacing w:after="0" w:line="240" w:lineRule="auto"/>
              <w:jc w:val="center"/>
              <w:rPr>
                <w:rFonts w:ascii="Arial" w:eastAsia="Times New Roman" w:hAnsi="Arial" w:cs="Arial"/>
                <w:sz w:val="18"/>
                <w:szCs w:val="18"/>
                <w:lang w:eastAsia="pt-BR"/>
              </w:rPr>
            </w:pPr>
            <w:r w:rsidRPr="0073452B">
              <w:rPr>
                <w:rFonts w:ascii="Arial" w:eastAsia="Times New Roman" w:hAnsi="Arial" w:cs="Arial"/>
                <w:sz w:val="18"/>
                <w:szCs w:val="18"/>
                <w:lang w:eastAsia="pt-BR"/>
              </w:rPr>
              <w:t>BALVERF_E</w:t>
            </w:r>
          </w:p>
        </w:tc>
        <w:tc>
          <w:tcPr>
            <w:tcW w:w="6946" w:type="dxa"/>
            <w:shd w:val="clear" w:color="auto" w:fill="auto"/>
            <w:vAlign w:val="center"/>
          </w:tcPr>
          <w:p w14:paraId="0838A3AC" w14:textId="1738DFF5" w:rsidR="004124D9" w:rsidRPr="0073452B" w:rsidRDefault="004124D9" w:rsidP="001A0773">
            <w:pPr>
              <w:spacing w:before="120" w:after="120" w:line="240" w:lineRule="auto"/>
              <w:jc w:val="both"/>
              <w:rPr>
                <w:rFonts w:ascii="Arial" w:eastAsia="Times New Roman" w:hAnsi="Arial" w:cs="Arial"/>
                <w:sz w:val="18"/>
                <w:szCs w:val="18"/>
                <w:lang w:eastAsia="pt-BR"/>
              </w:rPr>
            </w:pPr>
            <w:r w:rsidRPr="0073452B">
              <w:rPr>
                <w:rFonts w:ascii="Arial" w:eastAsia="Times New Roman" w:hAnsi="Arial" w:cs="Arial"/>
                <w:sz w:val="18"/>
                <w:szCs w:val="18"/>
                <w:lang w:eastAsia="pt-BR"/>
              </w:rPr>
              <w:t xml:space="preserve">Balancete de verificação, com saldos acumulados no exercício, detalhado até o nível de conta contábil de lançamento, abrangendo todas as contas contábeis com movimentação no exercício, segregadas por natureza da informação patrimonial, orçamentária e de controle, informando o saldo anterior, o total a débito, o total a crédito e o saldo final. Estrutura e layout constantes do item </w:t>
            </w:r>
            <w:r w:rsidR="001A0773">
              <w:rPr>
                <w:rFonts w:ascii="Arial" w:eastAsia="Times New Roman" w:hAnsi="Arial" w:cs="Arial"/>
                <w:sz w:val="18"/>
                <w:szCs w:val="18"/>
                <w:lang w:eastAsia="pt-BR"/>
              </w:rPr>
              <w:t>3.1</w:t>
            </w:r>
            <w:r w:rsidRPr="0073452B">
              <w:rPr>
                <w:rFonts w:ascii="Arial" w:eastAsia="Times New Roman" w:hAnsi="Arial" w:cs="Arial"/>
                <w:sz w:val="18"/>
                <w:szCs w:val="18"/>
                <w:lang w:eastAsia="pt-BR"/>
              </w:rPr>
              <w:t xml:space="preserve"> deste Anexo</w:t>
            </w:r>
          </w:p>
        </w:tc>
        <w:tc>
          <w:tcPr>
            <w:tcW w:w="992" w:type="dxa"/>
            <w:shd w:val="clear" w:color="auto" w:fill="auto"/>
            <w:vAlign w:val="center"/>
          </w:tcPr>
          <w:p w14:paraId="7FEBA5CB" w14:textId="77777777" w:rsidR="004124D9" w:rsidRPr="0073452B" w:rsidRDefault="004124D9" w:rsidP="007D64A9">
            <w:pPr>
              <w:spacing w:after="0" w:line="240" w:lineRule="auto"/>
              <w:jc w:val="center"/>
              <w:rPr>
                <w:rFonts w:ascii="Arial" w:eastAsia="Times New Roman" w:hAnsi="Arial" w:cs="Arial"/>
                <w:sz w:val="14"/>
                <w:szCs w:val="14"/>
                <w:lang w:eastAsia="pt-BR"/>
              </w:rPr>
            </w:pPr>
            <w:r w:rsidRPr="0073452B">
              <w:rPr>
                <w:rFonts w:ascii="Arial" w:eastAsia="Times New Roman" w:hAnsi="Arial" w:cs="Arial"/>
                <w:sz w:val="14"/>
                <w:szCs w:val="14"/>
                <w:lang w:eastAsia="pt-BR"/>
              </w:rPr>
              <w:t>XML</w:t>
            </w:r>
          </w:p>
        </w:tc>
      </w:tr>
      <w:tr w:rsidR="004124D9" w:rsidRPr="004124D9" w14:paraId="7D7ECFF6" w14:textId="77777777" w:rsidTr="007D64A9">
        <w:tc>
          <w:tcPr>
            <w:tcW w:w="1242" w:type="dxa"/>
            <w:vAlign w:val="center"/>
          </w:tcPr>
          <w:p w14:paraId="6E167A63" w14:textId="77777777" w:rsidR="004124D9" w:rsidRPr="0073452B" w:rsidRDefault="004124D9" w:rsidP="007D64A9">
            <w:pPr>
              <w:spacing w:after="0" w:line="240" w:lineRule="auto"/>
              <w:jc w:val="center"/>
              <w:rPr>
                <w:rFonts w:ascii="Arial" w:eastAsia="Times New Roman" w:hAnsi="Arial" w:cs="Arial"/>
                <w:sz w:val="18"/>
                <w:szCs w:val="18"/>
                <w:lang w:eastAsia="pt-BR"/>
              </w:rPr>
            </w:pPr>
            <w:r w:rsidRPr="0073452B">
              <w:rPr>
                <w:rFonts w:ascii="Arial" w:eastAsia="Times New Roman" w:hAnsi="Arial" w:cs="Arial"/>
                <w:sz w:val="18"/>
                <w:szCs w:val="18"/>
                <w:lang w:eastAsia="pt-BR"/>
              </w:rPr>
              <w:t>BALEXOD_E</w:t>
            </w:r>
          </w:p>
        </w:tc>
        <w:tc>
          <w:tcPr>
            <w:tcW w:w="6946" w:type="dxa"/>
            <w:shd w:val="clear" w:color="auto" w:fill="auto"/>
            <w:vAlign w:val="center"/>
          </w:tcPr>
          <w:p w14:paraId="6F621210" w14:textId="7D633EAD" w:rsidR="004124D9" w:rsidRPr="0073452B" w:rsidRDefault="004124D9" w:rsidP="001A0773">
            <w:pPr>
              <w:spacing w:before="120" w:after="120" w:line="240" w:lineRule="auto"/>
              <w:jc w:val="both"/>
              <w:rPr>
                <w:rFonts w:ascii="Arial" w:eastAsia="Times New Roman" w:hAnsi="Arial" w:cs="Arial"/>
                <w:sz w:val="18"/>
                <w:szCs w:val="18"/>
                <w:lang w:eastAsia="pt-BR"/>
              </w:rPr>
            </w:pPr>
            <w:r w:rsidRPr="0073452B">
              <w:rPr>
                <w:rFonts w:ascii="Arial" w:eastAsia="Times New Roman" w:hAnsi="Arial" w:cs="Arial"/>
                <w:sz w:val="18"/>
                <w:szCs w:val="18"/>
                <w:lang w:eastAsia="pt-BR"/>
              </w:rPr>
              <w:t xml:space="preserve">Balancete da execução orçamentária da despesa, acumulado até o mês de dezembro, demonstrando a fixação orçamentária da despesa, a movimentação dos créditos adicionais, os valores empenhados, liquidados e pagos, e a fonte de recursos. Estrutura e layout constantes do item </w:t>
            </w:r>
            <w:r w:rsidR="001A0773">
              <w:rPr>
                <w:rFonts w:ascii="Arial" w:eastAsia="Times New Roman" w:hAnsi="Arial" w:cs="Arial"/>
                <w:sz w:val="18"/>
                <w:szCs w:val="18"/>
                <w:lang w:eastAsia="pt-BR"/>
              </w:rPr>
              <w:t>3.1</w:t>
            </w:r>
            <w:r w:rsidRPr="0073452B">
              <w:rPr>
                <w:rFonts w:ascii="Arial" w:eastAsia="Times New Roman" w:hAnsi="Arial" w:cs="Arial"/>
                <w:sz w:val="18"/>
                <w:szCs w:val="18"/>
                <w:lang w:eastAsia="pt-BR"/>
              </w:rPr>
              <w:t xml:space="preserve"> deste Anexo</w:t>
            </w:r>
          </w:p>
        </w:tc>
        <w:tc>
          <w:tcPr>
            <w:tcW w:w="992" w:type="dxa"/>
            <w:shd w:val="clear" w:color="auto" w:fill="auto"/>
            <w:vAlign w:val="center"/>
          </w:tcPr>
          <w:p w14:paraId="205BD172" w14:textId="77777777" w:rsidR="004124D9" w:rsidRPr="0073452B" w:rsidRDefault="004124D9" w:rsidP="007D64A9">
            <w:pPr>
              <w:spacing w:after="0" w:line="240" w:lineRule="auto"/>
              <w:jc w:val="center"/>
              <w:rPr>
                <w:rFonts w:ascii="Arial" w:eastAsia="Times New Roman" w:hAnsi="Arial" w:cs="Arial"/>
                <w:i/>
                <w:sz w:val="14"/>
                <w:szCs w:val="14"/>
                <w:lang w:eastAsia="pt-BR"/>
              </w:rPr>
            </w:pPr>
            <w:r w:rsidRPr="0073452B">
              <w:rPr>
                <w:rFonts w:ascii="Arial" w:eastAsia="Times New Roman" w:hAnsi="Arial" w:cs="Arial"/>
                <w:sz w:val="14"/>
                <w:szCs w:val="14"/>
                <w:lang w:eastAsia="pt-BR"/>
              </w:rPr>
              <w:t>XML</w:t>
            </w:r>
          </w:p>
        </w:tc>
      </w:tr>
      <w:tr w:rsidR="004124D9" w:rsidRPr="004124D9" w14:paraId="7DA7222D" w14:textId="77777777" w:rsidTr="007D64A9">
        <w:tc>
          <w:tcPr>
            <w:tcW w:w="1242" w:type="dxa"/>
            <w:vAlign w:val="center"/>
          </w:tcPr>
          <w:p w14:paraId="04FD1080" w14:textId="77777777" w:rsidR="004124D9" w:rsidRPr="0073452B" w:rsidRDefault="004124D9" w:rsidP="007D64A9">
            <w:pPr>
              <w:spacing w:after="0" w:line="240" w:lineRule="auto"/>
              <w:jc w:val="center"/>
              <w:rPr>
                <w:rFonts w:ascii="Arial" w:eastAsia="Times New Roman" w:hAnsi="Arial" w:cs="Arial"/>
                <w:sz w:val="18"/>
                <w:szCs w:val="18"/>
                <w:lang w:eastAsia="pt-BR"/>
              </w:rPr>
            </w:pPr>
            <w:r w:rsidRPr="0073452B">
              <w:rPr>
                <w:rFonts w:ascii="Arial" w:eastAsia="Times New Roman" w:hAnsi="Arial" w:cs="Arial"/>
                <w:sz w:val="18"/>
                <w:szCs w:val="18"/>
                <w:lang w:eastAsia="pt-BR"/>
              </w:rPr>
              <w:t>BALEXOR_E</w:t>
            </w:r>
          </w:p>
        </w:tc>
        <w:tc>
          <w:tcPr>
            <w:tcW w:w="6946" w:type="dxa"/>
            <w:shd w:val="clear" w:color="auto" w:fill="auto"/>
            <w:vAlign w:val="center"/>
          </w:tcPr>
          <w:p w14:paraId="7B6EA2FD" w14:textId="5206A7AF" w:rsidR="004124D9" w:rsidRPr="0073452B" w:rsidRDefault="004124D9" w:rsidP="001A0773">
            <w:pPr>
              <w:spacing w:before="120" w:after="120" w:line="240" w:lineRule="auto"/>
              <w:jc w:val="both"/>
              <w:rPr>
                <w:rFonts w:ascii="Arial" w:eastAsia="Times New Roman" w:hAnsi="Arial" w:cs="Arial"/>
                <w:sz w:val="18"/>
                <w:szCs w:val="18"/>
                <w:lang w:eastAsia="pt-BR"/>
              </w:rPr>
            </w:pPr>
            <w:r w:rsidRPr="0073452B">
              <w:rPr>
                <w:rFonts w:ascii="Arial" w:eastAsia="Times New Roman" w:hAnsi="Arial" w:cs="Arial"/>
                <w:sz w:val="18"/>
                <w:szCs w:val="18"/>
                <w:lang w:eastAsia="pt-BR"/>
              </w:rPr>
              <w:t xml:space="preserve">Balancete da execução orçamentária da receita, acumulado até o mês de dezembro, demonstrando a previsão inicial, a previsão atualizada, a arrecadação orçamentária e a fonte de recursos. Estrutura e layout constantes do item </w:t>
            </w:r>
            <w:r w:rsidR="001A0773">
              <w:rPr>
                <w:rFonts w:ascii="Arial" w:eastAsia="Times New Roman" w:hAnsi="Arial" w:cs="Arial"/>
                <w:sz w:val="18"/>
                <w:szCs w:val="18"/>
                <w:lang w:eastAsia="pt-BR"/>
              </w:rPr>
              <w:t>3.1</w:t>
            </w:r>
            <w:r w:rsidRPr="0073452B">
              <w:rPr>
                <w:rFonts w:ascii="Arial" w:eastAsia="Times New Roman" w:hAnsi="Arial" w:cs="Arial"/>
                <w:sz w:val="18"/>
                <w:szCs w:val="18"/>
                <w:lang w:eastAsia="pt-BR"/>
              </w:rPr>
              <w:t xml:space="preserve"> deste Anexo</w:t>
            </w:r>
          </w:p>
        </w:tc>
        <w:tc>
          <w:tcPr>
            <w:tcW w:w="992" w:type="dxa"/>
            <w:shd w:val="clear" w:color="auto" w:fill="auto"/>
            <w:vAlign w:val="center"/>
          </w:tcPr>
          <w:p w14:paraId="5E6FAF5B" w14:textId="77777777" w:rsidR="004124D9" w:rsidRPr="0073452B" w:rsidRDefault="004124D9" w:rsidP="007D64A9">
            <w:pPr>
              <w:spacing w:after="0" w:line="240" w:lineRule="auto"/>
              <w:jc w:val="center"/>
              <w:rPr>
                <w:rFonts w:ascii="Arial" w:eastAsia="Times New Roman" w:hAnsi="Arial" w:cs="Arial"/>
                <w:i/>
                <w:sz w:val="14"/>
                <w:szCs w:val="14"/>
                <w:lang w:eastAsia="pt-BR"/>
              </w:rPr>
            </w:pPr>
            <w:r w:rsidRPr="0073452B">
              <w:rPr>
                <w:rFonts w:ascii="Arial" w:eastAsia="Times New Roman" w:hAnsi="Arial" w:cs="Arial"/>
                <w:sz w:val="14"/>
                <w:szCs w:val="14"/>
                <w:lang w:eastAsia="pt-BR"/>
              </w:rPr>
              <w:t>XML</w:t>
            </w:r>
          </w:p>
        </w:tc>
      </w:tr>
      <w:tr w:rsidR="006A24AE" w:rsidRPr="001E68A1" w14:paraId="15954A23" w14:textId="77777777" w:rsidTr="00CB7C58">
        <w:trPr>
          <w:trHeight w:val="283"/>
        </w:trPr>
        <w:tc>
          <w:tcPr>
            <w:tcW w:w="1242" w:type="dxa"/>
            <w:vAlign w:val="center"/>
          </w:tcPr>
          <w:p w14:paraId="0FD71CAD" w14:textId="77777777" w:rsidR="00FE3AF0" w:rsidRPr="001E68A1" w:rsidRDefault="00FE3AF0" w:rsidP="00A3670E">
            <w:pPr>
              <w:spacing w:after="0" w:line="240" w:lineRule="auto"/>
              <w:jc w:val="center"/>
              <w:rPr>
                <w:rFonts w:ascii="Arial" w:eastAsia="Times New Roman" w:hAnsi="Arial" w:cs="Arial"/>
                <w:sz w:val="18"/>
                <w:szCs w:val="18"/>
                <w:lang w:eastAsia="pt-BR"/>
              </w:rPr>
            </w:pPr>
            <w:r w:rsidRPr="001E68A1">
              <w:rPr>
                <w:rFonts w:ascii="Arial" w:eastAsia="Times New Roman" w:hAnsi="Arial" w:cs="Arial"/>
                <w:sz w:val="18"/>
                <w:szCs w:val="18"/>
                <w:lang w:eastAsia="pt-BR"/>
              </w:rPr>
              <w:t>DEMCADC</w:t>
            </w:r>
          </w:p>
        </w:tc>
        <w:tc>
          <w:tcPr>
            <w:tcW w:w="6946" w:type="dxa"/>
            <w:shd w:val="clear" w:color="auto" w:fill="auto"/>
            <w:vAlign w:val="center"/>
          </w:tcPr>
          <w:p w14:paraId="4A73C3EE" w14:textId="0081D0AC" w:rsidR="00FE3AF0" w:rsidRPr="001E68A1" w:rsidRDefault="00FE3AF0" w:rsidP="001E68A1">
            <w:pPr>
              <w:spacing w:before="120" w:after="120" w:line="240" w:lineRule="auto"/>
              <w:jc w:val="both"/>
              <w:rPr>
                <w:rFonts w:ascii="Arial" w:eastAsia="Times New Roman" w:hAnsi="Arial" w:cs="Arial"/>
                <w:sz w:val="18"/>
                <w:szCs w:val="18"/>
                <w:lang w:eastAsia="pt-BR"/>
              </w:rPr>
            </w:pPr>
            <w:r w:rsidRPr="001E68A1">
              <w:rPr>
                <w:rFonts w:ascii="Arial" w:eastAsia="Times New Roman" w:hAnsi="Arial" w:cs="Arial"/>
                <w:sz w:val="18"/>
                <w:szCs w:val="18"/>
                <w:lang w:eastAsia="pt-BR"/>
              </w:rPr>
              <w:t>Demonstrativo dos créditos adicionais contendo informações sobre os créditos abertos no exercício: lei autorizativa, instrumentos de abertura, natureza, valor e fonte de recursos utilizada, dentre outras informações, na forma d</w:t>
            </w:r>
            <w:r w:rsidR="001E68A1" w:rsidRPr="001E68A1">
              <w:rPr>
                <w:rFonts w:ascii="Arial" w:eastAsia="Times New Roman" w:hAnsi="Arial" w:cs="Arial"/>
                <w:sz w:val="18"/>
                <w:szCs w:val="18"/>
                <w:lang w:eastAsia="pt-BR"/>
              </w:rPr>
              <w:t>o item 3.2 deste Anexo</w:t>
            </w:r>
            <w:r w:rsidRPr="001E68A1">
              <w:rPr>
                <w:rFonts w:ascii="Arial" w:eastAsia="Times New Roman" w:hAnsi="Arial" w:cs="Arial"/>
                <w:i/>
                <w:sz w:val="18"/>
                <w:szCs w:val="18"/>
                <w:lang w:eastAsia="pt-BR"/>
              </w:rPr>
              <w:t>.</w:t>
            </w:r>
          </w:p>
        </w:tc>
        <w:tc>
          <w:tcPr>
            <w:tcW w:w="992" w:type="dxa"/>
            <w:shd w:val="clear" w:color="auto" w:fill="auto"/>
            <w:vAlign w:val="center"/>
          </w:tcPr>
          <w:p w14:paraId="56306C4F" w14:textId="77777777" w:rsidR="00FE3AF0" w:rsidRPr="001E68A1" w:rsidRDefault="00532985" w:rsidP="00A3670E">
            <w:pPr>
              <w:spacing w:after="0" w:line="240" w:lineRule="auto"/>
              <w:jc w:val="center"/>
              <w:rPr>
                <w:rFonts w:ascii="Arial" w:eastAsia="Times New Roman" w:hAnsi="Arial" w:cs="Arial"/>
                <w:sz w:val="14"/>
                <w:szCs w:val="14"/>
                <w:lang w:eastAsia="pt-BR"/>
              </w:rPr>
            </w:pPr>
            <w:r w:rsidRPr="001E68A1">
              <w:rPr>
                <w:rFonts w:ascii="Arial" w:eastAsia="Times New Roman" w:hAnsi="Arial" w:cs="Arial"/>
                <w:sz w:val="14"/>
                <w:szCs w:val="14"/>
                <w:lang w:eastAsia="pt-BR"/>
              </w:rPr>
              <w:t>PDF</w:t>
            </w:r>
          </w:p>
          <w:p w14:paraId="1AB7ED4A" w14:textId="77777777" w:rsidR="00FE3AF0" w:rsidRPr="001E68A1" w:rsidRDefault="00FE3AF0" w:rsidP="00A3670E">
            <w:pPr>
              <w:spacing w:after="0" w:line="240" w:lineRule="auto"/>
              <w:jc w:val="center"/>
              <w:rPr>
                <w:rFonts w:ascii="Arial" w:eastAsia="Times New Roman" w:hAnsi="Arial" w:cs="Arial"/>
                <w:sz w:val="14"/>
                <w:szCs w:val="14"/>
                <w:lang w:eastAsia="pt-BR"/>
              </w:rPr>
            </w:pPr>
            <w:r w:rsidRPr="001E68A1">
              <w:rPr>
                <w:rFonts w:ascii="Arial" w:eastAsia="Times New Roman" w:hAnsi="Arial" w:cs="Arial"/>
                <w:sz w:val="14"/>
                <w:szCs w:val="14"/>
                <w:lang w:eastAsia="pt-BR"/>
              </w:rPr>
              <w:t xml:space="preserve">e </w:t>
            </w:r>
          </w:p>
          <w:p w14:paraId="1D16FA84" w14:textId="77777777" w:rsidR="00FE3AF0" w:rsidRPr="001E68A1" w:rsidRDefault="00FE3AF0" w:rsidP="00A3670E">
            <w:pPr>
              <w:spacing w:after="0" w:line="240" w:lineRule="auto"/>
              <w:jc w:val="center"/>
              <w:rPr>
                <w:rFonts w:ascii="Arial" w:eastAsia="Times New Roman" w:hAnsi="Arial" w:cs="Arial"/>
                <w:sz w:val="14"/>
                <w:szCs w:val="14"/>
                <w:lang w:eastAsia="pt-BR"/>
              </w:rPr>
            </w:pPr>
            <w:r w:rsidRPr="001E68A1">
              <w:rPr>
                <w:rFonts w:ascii="Arial" w:eastAsia="Times New Roman" w:hAnsi="Arial" w:cs="Arial"/>
                <w:sz w:val="14"/>
                <w:szCs w:val="14"/>
                <w:lang w:eastAsia="pt-BR"/>
              </w:rPr>
              <w:t>XLS/XLSX/ODS</w:t>
            </w:r>
          </w:p>
        </w:tc>
      </w:tr>
      <w:tr w:rsidR="00FE3AF0" w:rsidRPr="00A5490A" w14:paraId="5F78F48A" w14:textId="77777777" w:rsidTr="00CB7C58">
        <w:trPr>
          <w:trHeight w:val="283"/>
        </w:trPr>
        <w:tc>
          <w:tcPr>
            <w:tcW w:w="1242" w:type="dxa"/>
            <w:vAlign w:val="center"/>
          </w:tcPr>
          <w:p w14:paraId="1B49CC53" w14:textId="77777777" w:rsidR="00FE3AF0" w:rsidRPr="003B4337" w:rsidRDefault="00FE3AF0" w:rsidP="00067CF3">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INVMOVS</w:t>
            </w:r>
          </w:p>
        </w:tc>
        <w:tc>
          <w:tcPr>
            <w:tcW w:w="6946" w:type="dxa"/>
            <w:shd w:val="clear" w:color="auto" w:fill="auto"/>
            <w:vAlign w:val="center"/>
          </w:tcPr>
          <w:p w14:paraId="79305B0C" w14:textId="77777777" w:rsidR="00FE3AF0" w:rsidRPr="003B4337" w:rsidRDefault="00FE3AF0" w:rsidP="00C97ECD">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Inventário anual dos bens móveis, contendo no mínimo as seguintes informações: </w:t>
            </w:r>
          </w:p>
          <w:p w14:paraId="4F21E5D4" w14:textId="77777777" w:rsidR="00FE3AF0" w:rsidRPr="003B4337" w:rsidRDefault="00FE3AF0" w:rsidP="00C97ECD">
            <w:pPr>
              <w:numPr>
                <w:ilvl w:val="0"/>
                <w:numId w:val="1"/>
              </w:numPr>
              <w:spacing w:before="120" w:after="120" w:line="240" w:lineRule="auto"/>
              <w:ind w:left="402"/>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Número de patrimônio </w:t>
            </w:r>
          </w:p>
          <w:p w14:paraId="627AC344" w14:textId="77777777" w:rsidR="00FE3AF0" w:rsidRPr="003B4337" w:rsidRDefault="00FE3AF0" w:rsidP="00C97ECD">
            <w:pPr>
              <w:numPr>
                <w:ilvl w:val="0"/>
                <w:numId w:val="1"/>
              </w:numPr>
              <w:spacing w:before="120" w:after="120" w:line="240" w:lineRule="auto"/>
              <w:ind w:left="402"/>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Descrição do bem </w:t>
            </w:r>
          </w:p>
          <w:p w14:paraId="1AA1EBF6" w14:textId="77777777" w:rsidR="00FE3AF0" w:rsidRPr="003B4337" w:rsidRDefault="00FE3AF0" w:rsidP="00C97ECD">
            <w:pPr>
              <w:numPr>
                <w:ilvl w:val="0"/>
                <w:numId w:val="1"/>
              </w:numPr>
              <w:spacing w:before="120" w:after="120" w:line="240" w:lineRule="auto"/>
              <w:ind w:left="402"/>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Data de aquisição/incorporação </w:t>
            </w:r>
          </w:p>
          <w:p w14:paraId="50E5F131" w14:textId="77777777" w:rsidR="00FE3AF0" w:rsidRPr="003B4337" w:rsidRDefault="00FE3AF0" w:rsidP="00C97ECD">
            <w:pPr>
              <w:numPr>
                <w:ilvl w:val="0"/>
                <w:numId w:val="1"/>
              </w:numPr>
              <w:spacing w:before="120" w:after="120" w:line="240" w:lineRule="auto"/>
              <w:ind w:left="402"/>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Localização </w:t>
            </w:r>
          </w:p>
          <w:p w14:paraId="2062C0D1" w14:textId="77777777" w:rsidR="00FE3AF0" w:rsidRPr="003B4337" w:rsidRDefault="00FE3AF0" w:rsidP="00C97ECD">
            <w:pPr>
              <w:numPr>
                <w:ilvl w:val="0"/>
                <w:numId w:val="1"/>
              </w:numPr>
              <w:spacing w:before="120" w:after="120" w:line="240" w:lineRule="auto"/>
              <w:ind w:left="402"/>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Quantidade </w:t>
            </w:r>
          </w:p>
          <w:p w14:paraId="078BC781" w14:textId="77777777" w:rsidR="00FE3AF0" w:rsidRPr="003B4337" w:rsidRDefault="00FE3AF0" w:rsidP="00C97ECD">
            <w:pPr>
              <w:numPr>
                <w:ilvl w:val="0"/>
                <w:numId w:val="1"/>
              </w:numPr>
              <w:spacing w:before="120" w:after="120" w:line="240" w:lineRule="auto"/>
              <w:ind w:left="402"/>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Valor histórico e valor atualizado </w:t>
            </w:r>
          </w:p>
          <w:p w14:paraId="18714E79" w14:textId="77777777" w:rsidR="00FE3AF0" w:rsidRPr="003B4337" w:rsidRDefault="00FE3AF0" w:rsidP="00C97ECD">
            <w:pPr>
              <w:pStyle w:val="Default"/>
              <w:jc w:val="both"/>
              <w:rPr>
                <w:rFonts w:eastAsia="Times New Roman"/>
                <w:color w:val="auto"/>
                <w:sz w:val="18"/>
                <w:szCs w:val="18"/>
                <w:lang w:eastAsia="pt-BR"/>
              </w:rPr>
            </w:pPr>
            <w:r w:rsidRPr="003B4337">
              <w:rPr>
                <w:rFonts w:eastAsia="Times New Roman"/>
                <w:color w:val="auto"/>
                <w:sz w:val="18"/>
                <w:szCs w:val="18"/>
                <w:lang w:eastAsia="pt-BR"/>
              </w:rPr>
              <w:t xml:space="preserve">Obs.1: as colunas de quantidades, valor histórico e valor atualizado devem ser totalizadas. </w:t>
            </w:r>
          </w:p>
          <w:p w14:paraId="4DDC2AAF" w14:textId="77777777" w:rsidR="00FE3AF0" w:rsidRPr="003B4337" w:rsidRDefault="00FE3AF0" w:rsidP="00C97ECD">
            <w:pPr>
              <w:pStyle w:val="Default"/>
              <w:jc w:val="both"/>
              <w:rPr>
                <w:rFonts w:eastAsia="Times New Roman"/>
                <w:color w:val="auto"/>
                <w:sz w:val="18"/>
                <w:szCs w:val="18"/>
                <w:lang w:eastAsia="pt-BR"/>
              </w:rPr>
            </w:pPr>
            <w:r w:rsidRPr="003B4337">
              <w:rPr>
                <w:rFonts w:eastAsia="Times New Roman"/>
                <w:color w:val="auto"/>
                <w:sz w:val="18"/>
                <w:szCs w:val="18"/>
                <w:lang w:eastAsia="pt-BR"/>
              </w:rPr>
              <w:t xml:space="preserve">Obs.2: </w:t>
            </w:r>
            <w:r w:rsidRPr="00B6188E">
              <w:rPr>
                <w:rFonts w:eastAsia="Times New Roman"/>
                <w:color w:val="auto"/>
                <w:sz w:val="18"/>
                <w:szCs w:val="18"/>
                <w:lang w:eastAsia="pt-BR"/>
              </w:rPr>
              <w:t xml:space="preserve">durante o período de mensuração, reconhecimento e implementação dos procedimentos contábeis patrimoniais, cujos prazos foram estabelecidos pela </w:t>
            </w:r>
            <w:r w:rsidR="00532985">
              <w:rPr>
                <w:rFonts w:eastAsia="Times New Roman"/>
                <w:color w:val="auto"/>
                <w:sz w:val="18"/>
                <w:szCs w:val="18"/>
                <w:lang w:eastAsia="pt-BR"/>
              </w:rPr>
              <w:t>IN 35/2016</w:t>
            </w:r>
            <w:r w:rsidRPr="00B6188E">
              <w:rPr>
                <w:rFonts w:eastAsia="Times New Roman"/>
                <w:color w:val="auto"/>
                <w:sz w:val="18"/>
                <w:szCs w:val="18"/>
                <w:lang w:eastAsia="pt-BR"/>
              </w:rPr>
              <w:t>, poderá ser informado para o valor atualizado dos bens o mesmo valor histórico.</w:t>
            </w:r>
          </w:p>
          <w:p w14:paraId="125E544B" w14:textId="77777777" w:rsidR="00FE3AF0" w:rsidRPr="003B4337" w:rsidRDefault="00FE3AF0" w:rsidP="00C97ECD">
            <w:pPr>
              <w:pStyle w:val="Default"/>
              <w:jc w:val="both"/>
              <w:rPr>
                <w:rFonts w:eastAsia="Times New Roman"/>
                <w:color w:val="auto"/>
                <w:sz w:val="18"/>
                <w:szCs w:val="18"/>
                <w:lang w:eastAsia="pt-BR"/>
              </w:rPr>
            </w:pPr>
            <w:r w:rsidRPr="003B4337">
              <w:rPr>
                <w:rFonts w:eastAsia="Times New Roman"/>
                <w:color w:val="auto"/>
                <w:sz w:val="18"/>
                <w:szCs w:val="18"/>
                <w:lang w:eastAsia="pt-BR"/>
              </w:rPr>
              <w:t xml:space="preserve">Obs.3: os critérios utilizados para definição de valor histórico, valor atualizado e de mensuração do inventário, devem ser objeto de notas explicativas. </w:t>
            </w:r>
          </w:p>
          <w:p w14:paraId="47D4771F" w14:textId="77777777" w:rsidR="00FE3AF0" w:rsidRPr="003B4337" w:rsidRDefault="00FE3AF0" w:rsidP="00C97ECD">
            <w:pPr>
              <w:pStyle w:val="Default"/>
              <w:jc w:val="both"/>
              <w:rPr>
                <w:rFonts w:eastAsia="Times New Roman"/>
                <w:color w:val="auto"/>
                <w:sz w:val="18"/>
                <w:szCs w:val="18"/>
                <w:lang w:eastAsia="pt-BR"/>
              </w:rPr>
            </w:pPr>
            <w:r w:rsidRPr="003B4337">
              <w:rPr>
                <w:rFonts w:eastAsia="Times New Roman"/>
                <w:color w:val="auto"/>
                <w:sz w:val="18"/>
                <w:szCs w:val="18"/>
                <w:lang w:eastAsia="pt-BR"/>
              </w:rPr>
              <w:t xml:space="preserve">Obs.4: aplicam-se à presente norma, os conceitos adotados pela Secretaria do Tesouro Nacional - Manual de Contabilidade Aplicada ao Setor Público vigente. </w:t>
            </w:r>
          </w:p>
        </w:tc>
        <w:tc>
          <w:tcPr>
            <w:tcW w:w="992" w:type="dxa"/>
            <w:shd w:val="clear" w:color="auto" w:fill="auto"/>
            <w:vAlign w:val="center"/>
          </w:tcPr>
          <w:p w14:paraId="3CEAAABE" w14:textId="77777777" w:rsidR="00FE3AF0" w:rsidRPr="003B4337" w:rsidRDefault="00532985" w:rsidP="00C97EC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p w14:paraId="11A503A2" w14:textId="77777777" w:rsidR="00FE3AF0" w:rsidRPr="003B4337" w:rsidRDefault="00FE3AF0" w:rsidP="00C97ECD">
            <w:pPr>
              <w:spacing w:after="0" w:line="240" w:lineRule="auto"/>
              <w:jc w:val="center"/>
              <w:rPr>
                <w:rFonts w:ascii="Arial" w:eastAsia="Times New Roman" w:hAnsi="Arial" w:cs="Arial"/>
                <w:sz w:val="14"/>
                <w:szCs w:val="14"/>
                <w:highlight w:val="yellow"/>
                <w:lang w:eastAsia="pt-BR"/>
              </w:rPr>
            </w:pPr>
            <w:r w:rsidRPr="003B4337">
              <w:rPr>
                <w:rFonts w:ascii="Arial" w:eastAsia="Times New Roman" w:hAnsi="Arial" w:cs="Arial"/>
                <w:sz w:val="14"/>
                <w:szCs w:val="14"/>
                <w:lang w:eastAsia="pt-BR"/>
              </w:rPr>
              <w:t>e</w:t>
            </w:r>
            <w:r w:rsidRPr="003B4337">
              <w:rPr>
                <w:rFonts w:ascii="Arial" w:eastAsia="Times New Roman" w:hAnsi="Arial" w:cs="Arial"/>
                <w:sz w:val="14"/>
                <w:szCs w:val="14"/>
                <w:highlight w:val="yellow"/>
                <w:lang w:eastAsia="pt-BR"/>
              </w:rPr>
              <w:t xml:space="preserve"> </w:t>
            </w:r>
          </w:p>
          <w:p w14:paraId="028911B5" w14:textId="77777777" w:rsidR="00FE3AF0" w:rsidRPr="003B4337" w:rsidRDefault="00FE3AF0" w:rsidP="00C97ECD">
            <w:pPr>
              <w:spacing w:after="0" w:line="240" w:lineRule="auto"/>
              <w:jc w:val="center"/>
              <w:rPr>
                <w:rFonts w:ascii="Arial" w:eastAsia="Times New Roman" w:hAnsi="Arial" w:cs="Arial"/>
                <w:sz w:val="14"/>
                <w:szCs w:val="14"/>
                <w:lang w:eastAsia="pt-BR"/>
              </w:rPr>
            </w:pPr>
            <w:r w:rsidRPr="003B4337">
              <w:rPr>
                <w:rFonts w:ascii="Arial" w:eastAsia="Times New Roman" w:hAnsi="Arial" w:cs="Arial"/>
                <w:sz w:val="14"/>
                <w:szCs w:val="14"/>
                <w:lang w:eastAsia="pt-BR"/>
              </w:rPr>
              <w:t>XLS/XLSX/ODS</w:t>
            </w:r>
          </w:p>
        </w:tc>
      </w:tr>
      <w:tr w:rsidR="006A24AE" w:rsidRPr="006A24AE" w14:paraId="2282FABD" w14:textId="77777777" w:rsidTr="00CB7C58">
        <w:trPr>
          <w:trHeight w:val="454"/>
        </w:trPr>
        <w:tc>
          <w:tcPr>
            <w:tcW w:w="1242" w:type="dxa"/>
            <w:vAlign w:val="center"/>
          </w:tcPr>
          <w:p w14:paraId="3E4A3D48" w14:textId="77777777" w:rsidR="0023229C" w:rsidRPr="006A24AE" w:rsidRDefault="0023229C" w:rsidP="0023229C">
            <w:pPr>
              <w:spacing w:after="0" w:line="240" w:lineRule="auto"/>
              <w:jc w:val="center"/>
              <w:rPr>
                <w:rFonts w:ascii="Arial" w:eastAsia="Times New Roman" w:hAnsi="Arial" w:cs="Arial"/>
                <w:sz w:val="18"/>
                <w:szCs w:val="18"/>
                <w:lang w:eastAsia="pt-BR"/>
              </w:rPr>
            </w:pPr>
            <w:r w:rsidRPr="006A24AE">
              <w:rPr>
                <w:rFonts w:ascii="Arial" w:eastAsia="Times New Roman" w:hAnsi="Arial" w:cs="Arial"/>
                <w:sz w:val="18"/>
                <w:szCs w:val="18"/>
                <w:lang w:eastAsia="pt-BR"/>
              </w:rPr>
              <w:t>TERMOV</w:t>
            </w:r>
          </w:p>
        </w:tc>
        <w:tc>
          <w:tcPr>
            <w:tcW w:w="6946" w:type="dxa"/>
            <w:shd w:val="clear" w:color="auto" w:fill="auto"/>
            <w:vAlign w:val="center"/>
          </w:tcPr>
          <w:p w14:paraId="411DDA42" w14:textId="52120F55" w:rsidR="0023229C" w:rsidRPr="006A24AE" w:rsidRDefault="0023229C" w:rsidP="006A24AE">
            <w:pPr>
              <w:spacing w:before="120" w:after="120" w:line="240" w:lineRule="auto"/>
              <w:jc w:val="both"/>
              <w:rPr>
                <w:rFonts w:ascii="Arial" w:eastAsia="Times New Roman" w:hAnsi="Arial" w:cs="Arial"/>
                <w:sz w:val="18"/>
                <w:szCs w:val="18"/>
                <w:lang w:eastAsia="pt-BR"/>
              </w:rPr>
            </w:pPr>
            <w:r w:rsidRPr="006A24AE">
              <w:rPr>
                <w:rFonts w:ascii="Arial" w:eastAsia="Times New Roman" w:hAnsi="Arial" w:cs="Arial"/>
                <w:sz w:val="18"/>
                <w:szCs w:val="18"/>
                <w:lang w:eastAsia="pt-BR"/>
              </w:rPr>
              <w:t>Termo circunstanciado elaborado e assinado pela comissão responsável pelo Inventário Anual de Bens Móveis (INVMOVS), indicando o saldo total apurado e o detalhamento (especificação e valor) das divergências encontradas</w:t>
            </w:r>
            <w:r w:rsidR="006A24AE" w:rsidRPr="006A24AE">
              <w:rPr>
                <w:rFonts w:ascii="Arial" w:eastAsia="Times New Roman" w:hAnsi="Arial" w:cs="Arial"/>
                <w:sz w:val="18"/>
                <w:szCs w:val="18"/>
                <w:lang w:eastAsia="pt-BR"/>
              </w:rPr>
              <w:t>, na forma do item 3.2 deste Anexo</w:t>
            </w:r>
            <w:r w:rsidR="00B24335" w:rsidRPr="006A24AE">
              <w:rPr>
                <w:rFonts w:ascii="Arial" w:eastAsia="Times New Roman" w:hAnsi="Arial" w:cs="Arial"/>
                <w:sz w:val="18"/>
                <w:szCs w:val="18"/>
                <w:lang w:eastAsia="pt-BR"/>
              </w:rPr>
              <w:t>.</w:t>
            </w:r>
          </w:p>
        </w:tc>
        <w:tc>
          <w:tcPr>
            <w:tcW w:w="992" w:type="dxa"/>
            <w:shd w:val="clear" w:color="auto" w:fill="auto"/>
            <w:vAlign w:val="center"/>
          </w:tcPr>
          <w:p w14:paraId="314AED6B" w14:textId="77777777" w:rsidR="0023229C" w:rsidRPr="006A24AE" w:rsidRDefault="0023229C" w:rsidP="0023229C">
            <w:pPr>
              <w:spacing w:after="0" w:line="240" w:lineRule="auto"/>
              <w:jc w:val="center"/>
              <w:rPr>
                <w:rFonts w:ascii="Arial" w:eastAsia="Times New Roman" w:hAnsi="Arial" w:cs="Arial"/>
                <w:sz w:val="14"/>
                <w:szCs w:val="14"/>
                <w:lang w:eastAsia="pt-BR"/>
              </w:rPr>
            </w:pPr>
            <w:r w:rsidRPr="006A24AE">
              <w:rPr>
                <w:rFonts w:ascii="Arial" w:eastAsia="Times New Roman" w:hAnsi="Arial" w:cs="Arial"/>
                <w:sz w:val="14"/>
                <w:szCs w:val="14"/>
                <w:lang w:eastAsia="pt-BR"/>
              </w:rPr>
              <w:t>PDF</w:t>
            </w:r>
          </w:p>
        </w:tc>
      </w:tr>
      <w:tr w:rsidR="0023229C" w:rsidRPr="00A5490A" w14:paraId="05E4AD45" w14:textId="77777777" w:rsidTr="00CB7C58">
        <w:trPr>
          <w:trHeight w:val="454"/>
        </w:trPr>
        <w:tc>
          <w:tcPr>
            <w:tcW w:w="1242" w:type="dxa"/>
            <w:vAlign w:val="center"/>
          </w:tcPr>
          <w:p w14:paraId="4B903556" w14:textId="77777777" w:rsidR="0023229C" w:rsidRPr="003B4337" w:rsidRDefault="0023229C" w:rsidP="0023229C">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INVIMOS</w:t>
            </w:r>
          </w:p>
        </w:tc>
        <w:tc>
          <w:tcPr>
            <w:tcW w:w="6946" w:type="dxa"/>
            <w:shd w:val="clear" w:color="auto" w:fill="auto"/>
            <w:vAlign w:val="center"/>
          </w:tcPr>
          <w:p w14:paraId="765AF683" w14:textId="77777777" w:rsidR="0023229C" w:rsidRPr="003B4337" w:rsidRDefault="0023229C" w:rsidP="0023229C">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Inventário anual dos bens imóveis, subdividido em bens de uso especial, bens dominiais, bens de uso comum do povo, bens imóveis em andamento e demais bens imóveis, contendo no mínimo as seguintes informações: </w:t>
            </w:r>
          </w:p>
          <w:p w14:paraId="1AAFEA5E" w14:textId="77777777" w:rsidR="0023229C" w:rsidRPr="003B4337" w:rsidRDefault="0023229C" w:rsidP="0023229C">
            <w:pPr>
              <w:numPr>
                <w:ilvl w:val="0"/>
                <w:numId w:val="1"/>
              </w:numPr>
              <w:spacing w:before="120" w:after="120" w:line="240" w:lineRule="auto"/>
              <w:ind w:left="402"/>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Relação dos imóveis utilizados pelo Órgão ou Entidade, pertencentes ao Estado; </w:t>
            </w:r>
          </w:p>
          <w:p w14:paraId="69BEC57A" w14:textId="77777777" w:rsidR="0023229C" w:rsidRPr="003B4337" w:rsidRDefault="0023229C" w:rsidP="0023229C">
            <w:pPr>
              <w:numPr>
                <w:ilvl w:val="0"/>
                <w:numId w:val="1"/>
              </w:numPr>
              <w:spacing w:before="120" w:after="120" w:line="240" w:lineRule="auto"/>
              <w:ind w:left="402"/>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lastRenderedPageBreak/>
              <w:t xml:space="preserve">Caracterização do imóvel (número de registro, conforme certidão de matrícula ou certidão de ônus reais obtida no cartório de registro de imóveis; localização; área; estado de conservação; benfeitorias existentes; demais características) </w:t>
            </w:r>
          </w:p>
          <w:p w14:paraId="56AAD567" w14:textId="77777777" w:rsidR="0023229C" w:rsidRPr="003B4337" w:rsidRDefault="0023229C" w:rsidP="0023229C">
            <w:pPr>
              <w:numPr>
                <w:ilvl w:val="0"/>
                <w:numId w:val="1"/>
              </w:numPr>
              <w:spacing w:before="120" w:after="120" w:line="240" w:lineRule="auto"/>
              <w:ind w:left="402"/>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Data de aquisição/construção ou incorporação </w:t>
            </w:r>
          </w:p>
          <w:p w14:paraId="72C9A276" w14:textId="77777777" w:rsidR="0023229C" w:rsidRPr="003B4337" w:rsidRDefault="0023229C" w:rsidP="0023229C">
            <w:pPr>
              <w:numPr>
                <w:ilvl w:val="0"/>
                <w:numId w:val="1"/>
              </w:numPr>
              <w:spacing w:before="120" w:after="120" w:line="240" w:lineRule="auto"/>
              <w:ind w:left="402"/>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Valor histórico e valor atualizado </w:t>
            </w:r>
          </w:p>
          <w:p w14:paraId="3C6A8519" w14:textId="77777777" w:rsidR="0023229C" w:rsidRPr="003B4337" w:rsidRDefault="0023229C" w:rsidP="0023229C">
            <w:pPr>
              <w:pStyle w:val="Default"/>
              <w:jc w:val="both"/>
              <w:rPr>
                <w:rFonts w:eastAsia="Times New Roman"/>
                <w:color w:val="auto"/>
                <w:sz w:val="18"/>
                <w:szCs w:val="18"/>
                <w:lang w:eastAsia="pt-BR"/>
              </w:rPr>
            </w:pPr>
            <w:r w:rsidRPr="003B4337">
              <w:rPr>
                <w:rFonts w:eastAsia="Times New Roman"/>
                <w:color w:val="auto"/>
                <w:sz w:val="18"/>
                <w:szCs w:val="18"/>
                <w:lang w:eastAsia="pt-BR"/>
              </w:rPr>
              <w:t xml:space="preserve">Obs.1: as colunas valor histórico e valor atualizado devem ser totalizadas. </w:t>
            </w:r>
          </w:p>
          <w:p w14:paraId="5D80F037" w14:textId="77777777" w:rsidR="0023229C" w:rsidRPr="003B4337" w:rsidRDefault="0023229C" w:rsidP="0023229C">
            <w:pPr>
              <w:pStyle w:val="Default"/>
              <w:jc w:val="both"/>
              <w:rPr>
                <w:rFonts w:eastAsia="Times New Roman"/>
                <w:color w:val="auto"/>
                <w:sz w:val="18"/>
                <w:szCs w:val="18"/>
                <w:lang w:eastAsia="pt-BR"/>
              </w:rPr>
            </w:pPr>
            <w:r w:rsidRPr="003B4337">
              <w:rPr>
                <w:rFonts w:eastAsia="Times New Roman"/>
                <w:color w:val="auto"/>
                <w:sz w:val="18"/>
                <w:szCs w:val="18"/>
                <w:lang w:eastAsia="pt-BR"/>
              </w:rPr>
              <w:t xml:space="preserve">Obs.2: </w:t>
            </w:r>
            <w:r w:rsidRPr="00B6188E">
              <w:rPr>
                <w:rFonts w:eastAsia="Times New Roman"/>
                <w:color w:val="auto"/>
                <w:sz w:val="18"/>
                <w:szCs w:val="18"/>
                <w:lang w:eastAsia="pt-BR"/>
              </w:rPr>
              <w:t xml:space="preserve">durante o período de mensuração, reconhecimento e implementação dos procedimentos contábeis patrimoniais, cujos prazos foram estabelecidos pela </w:t>
            </w:r>
            <w:r>
              <w:rPr>
                <w:rFonts w:eastAsia="Times New Roman"/>
                <w:color w:val="auto"/>
                <w:sz w:val="18"/>
                <w:szCs w:val="18"/>
                <w:lang w:eastAsia="pt-BR"/>
              </w:rPr>
              <w:t>IN 35/2016</w:t>
            </w:r>
            <w:r w:rsidRPr="00B6188E">
              <w:rPr>
                <w:rFonts w:eastAsia="Times New Roman"/>
                <w:color w:val="auto"/>
                <w:sz w:val="18"/>
                <w:szCs w:val="18"/>
                <w:lang w:eastAsia="pt-BR"/>
              </w:rPr>
              <w:t>, poderá ser informado para o valor atualizado dos bens o mesmo valor histórico.</w:t>
            </w:r>
          </w:p>
          <w:p w14:paraId="368C498B" w14:textId="77777777" w:rsidR="0023229C" w:rsidRPr="003B4337" w:rsidRDefault="0023229C" w:rsidP="0023229C">
            <w:pPr>
              <w:pStyle w:val="Default"/>
              <w:jc w:val="both"/>
              <w:rPr>
                <w:rFonts w:eastAsia="Times New Roman"/>
                <w:color w:val="auto"/>
                <w:sz w:val="18"/>
                <w:szCs w:val="18"/>
                <w:lang w:eastAsia="pt-BR"/>
              </w:rPr>
            </w:pPr>
            <w:r w:rsidRPr="003B4337">
              <w:rPr>
                <w:rFonts w:eastAsia="Times New Roman"/>
                <w:color w:val="auto"/>
                <w:sz w:val="18"/>
                <w:szCs w:val="18"/>
                <w:lang w:eastAsia="pt-BR"/>
              </w:rPr>
              <w:t xml:space="preserve">Obs.3: os critérios utilizados para definição de valor histórico, valor atualizado e de mensuração do inventário, devem ser objeto de notas explicativas. </w:t>
            </w:r>
          </w:p>
          <w:p w14:paraId="3EEE31FD" w14:textId="77777777" w:rsidR="0023229C" w:rsidRPr="003B4337" w:rsidRDefault="0023229C" w:rsidP="0023229C">
            <w:pPr>
              <w:pStyle w:val="Default"/>
              <w:jc w:val="both"/>
              <w:rPr>
                <w:rFonts w:eastAsia="Times New Roman"/>
                <w:color w:val="auto"/>
                <w:sz w:val="18"/>
                <w:szCs w:val="18"/>
                <w:lang w:eastAsia="pt-BR"/>
              </w:rPr>
            </w:pPr>
            <w:r w:rsidRPr="003B4337">
              <w:rPr>
                <w:rFonts w:eastAsia="Times New Roman"/>
                <w:color w:val="auto"/>
                <w:sz w:val="18"/>
                <w:szCs w:val="18"/>
                <w:lang w:eastAsia="pt-BR"/>
              </w:rPr>
              <w:t xml:space="preserve">Obs.4: aplicam-se à presente norma, os conceitos adotados pela Secretaria do Tesouro Nacional em seu Manual de Contabilidade Aplicada ao Setor Público vigente. </w:t>
            </w:r>
          </w:p>
        </w:tc>
        <w:tc>
          <w:tcPr>
            <w:tcW w:w="992" w:type="dxa"/>
            <w:shd w:val="clear" w:color="auto" w:fill="auto"/>
            <w:vAlign w:val="center"/>
          </w:tcPr>
          <w:p w14:paraId="53007E3E" w14:textId="77777777" w:rsidR="0023229C" w:rsidRPr="003B4337" w:rsidRDefault="0023229C" w:rsidP="0023229C">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lastRenderedPageBreak/>
              <w:t>PDF</w:t>
            </w:r>
          </w:p>
          <w:p w14:paraId="54F7E75D" w14:textId="77777777" w:rsidR="0023229C" w:rsidRPr="003B4337" w:rsidRDefault="0023229C" w:rsidP="0023229C">
            <w:pPr>
              <w:spacing w:after="0" w:line="240" w:lineRule="auto"/>
              <w:jc w:val="center"/>
              <w:rPr>
                <w:rFonts w:ascii="Arial" w:eastAsia="Times New Roman" w:hAnsi="Arial" w:cs="Arial"/>
                <w:sz w:val="14"/>
                <w:szCs w:val="14"/>
                <w:highlight w:val="yellow"/>
                <w:lang w:eastAsia="pt-BR"/>
              </w:rPr>
            </w:pPr>
            <w:r w:rsidRPr="003B4337">
              <w:rPr>
                <w:rFonts w:ascii="Arial" w:eastAsia="Times New Roman" w:hAnsi="Arial" w:cs="Arial"/>
                <w:sz w:val="14"/>
                <w:szCs w:val="14"/>
                <w:lang w:eastAsia="pt-BR"/>
              </w:rPr>
              <w:t>e</w:t>
            </w:r>
            <w:r w:rsidRPr="003B4337">
              <w:rPr>
                <w:rFonts w:ascii="Arial" w:eastAsia="Times New Roman" w:hAnsi="Arial" w:cs="Arial"/>
                <w:sz w:val="14"/>
                <w:szCs w:val="14"/>
                <w:highlight w:val="yellow"/>
                <w:lang w:eastAsia="pt-BR"/>
              </w:rPr>
              <w:t xml:space="preserve"> </w:t>
            </w:r>
          </w:p>
          <w:p w14:paraId="4573C8A1" w14:textId="77777777" w:rsidR="0023229C" w:rsidRPr="003B4337" w:rsidRDefault="0023229C" w:rsidP="0023229C">
            <w:pPr>
              <w:spacing w:after="0" w:line="240" w:lineRule="auto"/>
              <w:jc w:val="center"/>
              <w:rPr>
                <w:rFonts w:ascii="Arial" w:eastAsia="Times New Roman" w:hAnsi="Arial" w:cs="Arial"/>
                <w:sz w:val="14"/>
                <w:szCs w:val="14"/>
                <w:lang w:eastAsia="pt-BR"/>
              </w:rPr>
            </w:pPr>
            <w:r w:rsidRPr="003B4337">
              <w:rPr>
                <w:rFonts w:ascii="Arial" w:eastAsia="Times New Roman" w:hAnsi="Arial" w:cs="Arial"/>
                <w:sz w:val="14"/>
                <w:szCs w:val="14"/>
                <w:lang w:eastAsia="pt-BR"/>
              </w:rPr>
              <w:t>XLS/XLSX/ODS</w:t>
            </w:r>
          </w:p>
        </w:tc>
      </w:tr>
      <w:tr w:rsidR="0023229C" w:rsidRPr="00A5490A" w14:paraId="09877527" w14:textId="77777777" w:rsidTr="00CB7C58">
        <w:trPr>
          <w:trHeight w:val="454"/>
        </w:trPr>
        <w:tc>
          <w:tcPr>
            <w:tcW w:w="1242" w:type="dxa"/>
            <w:vAlign w:val="center"/>
          </w:tcPr>
          <w:p w14:paraId="30D7EF4F" w14:textId="77777777" w:rsidR="0023229C" w:rsidRPr="003B4337" w:rsidRDefault="0023229C" w:rsidP="0023229C">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lastRenderedPageBreak/>
              <w:t>TERIMO</w:t>
            </w:r>
          </w:p>
        </w:tc>
        <w:tc>
          <w:tcPr>
            <w:tcW w:w="6946" w:type="dxa"/>
            <w:shd w:val="clear" w:color="auto" w:fill="auto"/>
            <w:vAlign w:val="center"/>
          </w:tcPr>
          <w:p w14:paraId="670468DD" w14:textId="56493CF6" w:rsidR="0023229C" w:rsidRPr="003B4337" w:rsidRDefault="0023229C" w:rsidP="006A24AE">
            <w:pPr>
              <w:spacing w:before="120" w:after="120" w:line="240" w:lineRule="auto"/>
              <w:jc w:val="both"/>
              <w:rPr>
                <w:rFonts w:ascii="Arial" w:eastAsia="Times New Roman" w:hAnsi="Arial" w:cs="Arial"/>
                <w:sz w:val="18"/>
                <w:szCs w:val="18"/>
                <w:lang w:eastAsia="pt-BR"/>
              </w:rPr>
            </w:pPr>
            <w:r w:rsidRPr="006A24AE">
              <w:rPr>
                <w:rFonts w:ascii="Arial" w:eastAsia="Times New Roman" w:hAnsi="Arial" w:cs="Arial"/>
                <w:sz w:val="18"/>
                <w:szCs w:val="18"/>
                <w:lang w:eastAsia="pt-BR"/>
              </w:rPr>
              <w:t>Termo circunstanciado elaborado e assinado pela comissão responsável pelo Inventário anual dos bens imóveis (INVIMOS), indicando o saldo total apurado e o detalhamento (especificação e valor) das divergências encontradas</w:t>
            </w:r>
            <w:r w:rsidR="006A24AE" w:rsidRPr="006A24AE">
              <w:rPr>
                <w:rFonts w:ascii="Arial" w:eastAsia="Times New Roman" w:hAnsi="Arial" w:cs="Arial"/>
                <w:sz w:val="18"/>
                <w:szCs w:val="18"/>
                <w:lang w:eastAsia="pt-BR"/>
              </w:rPr>
              <w:t>, na forma do item 3.2 deste Anexo</w:t>
            </w:r>
            <w:r w:rsidR="00B24335" w:rsidRPr="006A24AE">
              <w:rPr>
                <w:rFonts w:ascii="Arial" w:eastAsia="Times New Roman" w:hAnsi="Arial" w:cs="Arial"/>
                <w:sz w:val="18"/>
                <w:szCs w:val="18"/>
                <w:lang w:eastAsia="pt-BR"/>
              </w:rPr>
              <w:t>.</w:t>
            </w:r>
          </w:p>
        </w:tc>
        <w:tc>
          <w:tcPr>
            <w:tcW w:w="992" w:type="dxa"/>
            <w:shd w:val="clear" w:color="auto" w:fill="auto"/>
            <w:vAlign w:val="center"/>
          </w:tcPr>
          <w:p w14:paraId="2F37C4D9" w14:textId="77777777" w:rsidR="0023229C" w:rsidRPr="003B4337" w:rsidRDefault="0023229C" w:rsidP="0023229C">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23229C" w:rsidRPr="00A5490A" w14:paraId="1F5F21FD" w14:textId="77777777" w:rsidTr="00CB7C58">
        <w:trPr>
          <w:trHeight w:val="454"/>
        </w:trPr>
        <w:tc>
          <w:tcPr>
            <w:tcW w:w="1242" w:type="dxa"/>
            <w:vAlign w:val="center"/>
          </w:tcPr>
          <w:p w14:paraId="5ACAC637" w14:textId="77777777" w:rsidR="0023229C" w:rsidRPr="003B4337" w:rsidRDefault="0023229C" w:rsidP="0023229C">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INVALMO</w:t>
            </w:r>
          </w:p>
        </w:tc>
        <w:tc>
          <w:tcPr>
            <w:tcW w:w="6946" w:type="dxa"/>
            <w:shd w:val="clear" w:color="auto" w:fill="auto"/>
            <w:vAlign w:val="center"/>
          </w:tcPr>
          <w:p w14:paraId="302324FE" w14:textId="77777777" w:rsidR="0023229C" w:rsidRPr="003B4337" w:rsidRDefault="0023229C" w:rsidP="0023229C">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Inventário anual dos bens em almoxarifado, contendo no mínimo as seguintes informações: </w:t>
            </w:r>
          </w:p>
          <w:p w14:paraId="4F4EE529" w14:textId="77777777" w:rsidR="0023229C" w:rsidRPr="003B4337" w:rsidRDefault="0023229C" w:rsidP="0023229C">
            <w:pPr>
              <w:numPr>
                <w:ilvl w:val="0"/>
                <w:numId w:val="1"/>
              </w:numPr>
              <w:spacing w:before="120" w:after="120" w:line="240" w:lineRule="auto"/>
              <w:ind w:left="402"/>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Descrição dos bens </w:t>
            </w:r>
          </w:p>
          <w:p w14:paraId="20BA3B46" w14:textId="77777777" w:rsidR="0023229C" w:rsidRPr="003B4337" w:rsidRDefault="0023229C" w:rsidP="0023229C">
            <w:pPr>
              <w:numPr>
                <w:ilvl w:val="0"/>
                <w:numId w:val="1"/>
              </w:numPr>
              <w:spacing w:before="120" w:after="120" w:line="240" w:lineRule="auto"/>
              <w:ind w:left="402"/>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Quantidade </w:t>
            </w:r>
          </w:p>
          <w:p w14:paraId="2380BD0E" w14:textId="77777777" w:rsidR="0023229C" w:rsidRPr="003B4337" w:rsidRDefault="0023229C" w:rsidP="0023229C">
            <w:pPr>
              <w:numPr>
                <w:ilvl w:val="0"/>
                <w:numId w:val="1"/>
              </w:numPr>
              <w:spacing w:before="120" w:after="120" w:line="240" w:lineRule="auto"/>
              <w:ind w:left="402"/>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Valor unitário </w:t>
            </w:r>
          </w:p>
          <w:p w14:paraId="1CE186A6" w14:textId="77777777" w:rsidR="0023229C" w:rsidRPr="003B4337" w:rsidRDefault="0023229C" w:rsidP="0023229C">
            <w:pPr>
              <w:numPr>
                <w:ilvl w:val="0"/>
                <w:numId w:val="1"/>
              </w:numPr>
              <w:spacing w:before="120" w:after="120" w:line="240" w:lineRule="auto"/>
              <w:ind w:left="402"/>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Valor total </w:t>
            </w:r>
          </w:p>
          <w:p w14:paraId="12F74980" w14:textId="77777777" w:rsidR="0023229C" w:rsidRPr="003B4337" w:rsidRDefault="0023229C" w:rsidP="0023229C">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Obs.: a coluna valor total deve ser totalizada.</w:t>
            </w:r>
            <w:r w:rsidRPr="003B4337">
              <w:rPr>
                <w:sz w:val="16"/>
                <w:szCs w:val="16"/>
              </w:rPr>
              <w:t xml:space="preserve"> </w:t>
            </w:r>
          </w:p>
        </w:tc>
        <w:tc>
          <w:tcPr>
            <w:tcW w:w="992" w:type="dxa"/>
            <w:shd w:val="clear" w:color="auto" w:fill="auto"/>
            <w:vAlign w:val="center"/>
          </w:tcPr>
          <w:p w14:paraId="33CB7A02" w14:textId="77777777" w:rsidR="0023229C" w:rsidRPr="00C165C0" w:rsidRDefault="0023229C" w:rsidP="0023229C">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p w14:paraId="201475A5" w14:textId="77777777" w:rsidR="0023229C" w:rsidRPr="00C165C0" w:rsidRDefault="0023229C" w:rsidP="0023229C">
            <w:pPr>
              <w:spacing w:after="0" w:line="240" w:lineRule="auto"/>
              <w:jc w:val="center"/>
              <w:rPr>
                <w:rFonts w:ascii="Arial" w:eastAsia="Times New Roman" w:hAnsi="Arial" w:cs="Arial"/>
                <w:sz w:val="14"/>
                <w:szCs w:val="14"/>
                <w:lang w:eastAsia="pt-BR"/>
              </w:rPr>
            </w:pPr>
            <w:r w:rsidRPr="00C165C0">
              <w:rPr>
                <w:rFonts w:ascii="Arial" w:eastAsia="Times New Roman" w:hAnsi="Arial" w:cs="Arial"/>
                <w:sz w:val="14"/>
                <w:szCs w:val="14"/>
                <w:lang w:eastAsia="pt-BR"/>
              </w:rPr>
              <w:t xml:space="preserve">e </w:t>
            </w:r>
          </w:p>
          <w:p w14:paraId="4BF20964" w14:textId="77777777" w:rsidR="0023229C" w:rsidRPr="00A5490A" w:rsidRDefault="0023229C" w:rsidP="0023229C">
            <w:pPr>
              <w:spacing w:after="0" w:line="240" w:lineRule="auto"/>
              <w:jc w:val="center"/>
              <w:rPr>
                <w:rFonts w:ascii="Arial" w:eastAsia="Times New Roman" w:hAnsi="Arial" w:cs="Arial"/>
                <w:sz w:val="14"/>
                <w:szCs w:val="14"/>
                <w:lang w:eastAsia="pt-BR"/>
              </w:rPr>
            </w:pPr>
            <w:r w:rsidRPr="00A5490A">
              <w:rPr>
                <w:rFonts w:ascii="Arial" w:eastAsia="Times New Roman" w:hAnsi="Arial" w:cs="Arial"/>
                <w:sz w:val="14"/>
                <w:szCs w:val="14"/>
                <w:lang w:eastAsia="pt-BR"/>
              </w:rPr>
              <w:t>XLS</w:t>
            </w:r>
            <w:r>
              <w:rPr>
                <w:rFonts w:ascii="Arial" w:eastAsia="Times New Roman" w:hAnsi="Arial" w:cs="Arial"/>
                <w:sz w:val="14"/>
                <w:szCs w:val="14"/>
                <w:lang w:eastAsia="pt-BR"/>
              </w:rPr>
              <w:t>/XLSX/ODS</w:t>
            </w:r>
          </w:p>
        </w:tc>
      </w:tr>
      <w:tr w:rsidR="006A24AE" w:rsidRPr="006A24AE" w14:paraId="5EF45875" w14:textId="77777777" w:rsidTr="00CB7C58">
        <w:trPr>
          <w:trHeight w:val="454"/>
        </w:trPr>
        <w:tc>
          <w:tcPr>
            <w:tcW w:w="1242" w:type="dxa"/>
            <w:vAlign w:val="center"/>
          </w:tcPr>
          <w:p w14:paraId="1FA7A687" w14:textId="77777777" w:rsidR="0023229C" w:rsidRPr="006A24AE" w:rsidRDefault="0023229C" w:rsidP="0023229C">
            <w:pPr>
              <w:spacing w:after="0" w:line="240" w:lineRule="auto"/>
              <w:jc w:val="center"/>
              <w:rPr>
                <w:rFonts w:ascii="Arial" w:eastAsia="Times New Roman" w:hAnsi="Arial" w:cs="Arial"/>
                <w:sz w:val="18"/>
                <w:szCs w:val="18"/>
                <w:lang w:eastAsia="pt-BR"/>
              </w:rPr>
            </w:pPr>
            <w:r w:rsidRPr="006A24AE">
              <w:rPr>
                <w:rFonts w:ascii="Arial" w:eastAsia="Times New Roman" w:hAnsi="Arial" w:cs="Arial"/>
                <w:sz w:val="18"/>
                <w:szCs w:val="18"/>
                <w:lang w:eastAsia="pt-BR"/>
              </w:rPr>
              <w:t>TERALM</w:t>
            </w:r>
          </w:p>
        </w:tc>
        <w:tc>
          <w:tcPr>
            <w:tcW w:w="6946" w:type="dxa"/>
            <w:shd w:val="clear" w:color="auto" w:fill="auto"/>
            <w:vAlign w:val="center"/>
          </w:tcPr>
          <w:p w14:paraId="7DAC44AF" w14:textId="122157FA" w:rsidR="0023229C" w:rsidRPr="006A24AE" w:rsidRDefault="0023229C" w:rsidP="006A24AE">
            <w:pPr>
              <w:spacing w:before="120" w:after="120" w:line="240" w:lineRule="auto"/>
              <w:jc w:val="both"/>
              <w:rPr>
                <w:rFonts w:ascii="Arial" w:eastAsia="Times New Roman" w:hAnsi="Arial" w:cs="Arial"/>
                <w:sz w:val="18"/>
                <w:szCs w:val="18"/>
                <w:lang w:eastAsia="pt-BR"/>
              </w:rPr>
            </w:pPr>
            <w:r w:rsidRPr="006A24AE">
              <w:rPr>
                <w:rFonts w:ascii="Arial" w:eastAsia="Times New Roman" w:hAnsi="Arial" w:cs="Arial"/>
                <w:sz w:val="18"/>
                <w:szCs w:val="18"/>
                <w:lang w:eastAsia="pt-BR"/>
              </w:rPr>
              <w:t>Termo circunstanciado elaborado e assinado pela comissão responsável pelo Inventário anual dos bens em almoxarifado (INVALMO), indicando o saldo total apurado e o detalhamento (especificação e valor) das divergências encontradas</w:t>
            </w:r>
            <w:r w:rsidR="006A24AE" w:rsidRPr="006A24AE">
              <w:rPr>
                <w:rFonts w:ascii="Arial" w:eastAsia="Times New Roman" w:hAnsi="Arial" w:cs="Arial"/>
                <w:sz w:val="18"/>
                <w:szCs w:val="18"/>
                <w:lang w:eastAsia="pt-BR"/>
              </w:rPr>
              <w:t>, na forma do item 3.2 deste Anexo</w:t>
            </w:r>
            <w:r w:rsidR="00B24335" w:rsidRPr="006A24AE">
              <w:rPr>
                <w:rFonts w:ascii="Arial" w:eastAsia="Times New Roman" w:hAnsi="Arial" w:cs="Arial"/>
                <w:sz w:val="18"/>
                <w:szCs w:val="18"/>
                <w:lang w:eastAsia="pt-BR"/>
              </w:rPr>
              <w:t>.</w:t>
            </w:r>
          </w:p>
        </w:tc>
        <w:tc>
          <w:tcPr>
            <w:tcW w:w="992" w:type="dxa"/>
            <w:shd w:val="clear" w:color="auto" w:fill="auto"/>
            <w:vAlign w:val="center"/>
          </w:tcPr>
          <w:p w14:paraId="54D3DDE4" w14:textId="77777777" w:rsidR="0023229C" w:rsidRPr="006A24AE" w:rsidRDefault="0023229C" w:rsidP="0023229C">
            <w:pPr>
              <w:spacing w:after="0" w:line="240" w:lineRule="auto"/>
              <w:jc w:val="center"/>
              <w:rPr>
                <w:rFonts w:ascii="Arial" w:eastAsia="Times New Roman" w:hAnsi="Arial" w:cs="Arial"/>
                <w:sz w:val="14"/>
                <w:szCs w:val="14"/>
                <w:lang w:eastAsia="pt-BR"/>
              </w:rPr>
            </w:pPr>
            <w:r w:rsidRPr="006A24AE">
              <w:rPr>
                <w:rFonts w:ascii="Arial" w:eastAsia="Times New Roman" w:hAnsi="Arial" w:cs="Arial"/>
                <w:sz w:val="14"/>
                <w:szCs w:val="14"/>
                <w:lang w:eastAsia="pt-BR"/>
              </w:rPr>
              <w:t>PDF</w:t>
            </w:r>
          </w:p>
        </w:tc>
      </w:tr>
      <w:tr w:rsidR="0023229C" w:rsidRPr="00A5490A" w14:paraId="4AFA1E92" w14:textId="77777777" w:rsidTr="00CB7C58">
        <w:trPr>
          <w:trHeight w:val="454"/>
        </w:trPr>
        <w:tc>
          <w:tcPr>
            <w:tcW w:w="1242" w:type="dxa"/>
            <w:vAlign w:val="center"/>
          </w:tcPr>
          <w:p w14:paraId="06FEAD88" w14:textId="77777777" w:rsidR="0023229C" w:rsidRPr="003B4337" w:rsidRDefault="0023229C" w:rsidP="0023229C">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INVINTN</w:t>
            </w:r>
          </w:p>
        </w:tc>
        <w:tc>
          <w:tcPr>
            <w:tcW w:w="6946" w:type="dxa"/>
            <w:shd w:val="clear" w:color="auto" w:fill="auto"/>
            <w:vAlign w:val="center"/>
          </w:tcPr>
          <w:p w14:paraId="7353F200" w14:textId="77777777" w:rsidR="0023229C" w:rsidRPr="003B4337" w:rsidRDefault="0023229C" w:rsidP="0023229C">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Inventário anual dos bens intangíveis, contendo no mínimo as seguintes informações: </w:t>
            </w:r>
          </w:p>
          <w:p w14:paraId="7677E1A8" w14:textId="77777777" w:rsidR="0023229C" w:rsidRPr="003B4337" w:rsidRDefault="0023229C" w:rsidP="0023229C">
            <w:pPr>
              <w:numPr>
                <w:ilvl w:val="0"/>
                <w:numId w:val="1"/>
              </w:numPr>
              <w:spacing w:before="120" w:after="120" w:line="240" w:lineRule="auto"/>
              <w:ind w:left="402"/>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Relação dos bens </w:t>
            </w:r>
          </w:p>
          <w:p w14:paraId="7018ED61" w14:textId="77777777" w:rsidR="0023229C" w:rsidRPr="003B4337" w:rsidRDefault="0023229C" w:rsidP="0023229C">
            <w:pPr>
              <w:numPr>
                <w:ilvl w:val="0"/>
                <w:numId w:val="1"/>
              </w:numPr>
              <w:spacing w:before="120" w:after="120" w:line="240" w:lineRule="auto"/>
              <w:ind w:left="402"/>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Caracterização (especificação resumida; número de registro de marca ou patente, caso exista, comprovado mediante certidão de registro) </w:t>
            </w:r>
          </w:p>
          <w:p w14:paraId="07578C1E" w14:textId="77777777" w:rsidR="0023229C" w:rsidRPr="003B4337" w:rsidRDefault="0023229C" w:rsidP="0023229C">
            <w:pPr>
              <w:numPr>
                <w:ilvl w:val="0"/>
                <w:numId w:val="1"/>
              </w:numPr>
              <w:spacing w:before="120" w:after="120" w:line="240" w:lineRule="auto"/>
              <w:ind w:left="402"/>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Data de aquisição/produção/incorporação </w:t>
            </w:r>
          </w:p>
          <w:p w14:paraId="44A70156" w14:textId="77777777" w:rsidR="0023229C" w:rsidRPr="003B4337" w:rsidRDefault="0023229C" w:rsidP="0023229C">
            <w:pPr>
              <w:numPr>
                <w:ilvl w:val="0"/>
                <w:numId w:val="1"/>
              </w:numPr>
              <w:spacing w:before="120" w:after="120" w:line="240" w:lineRule="auto"/>
              <w:ind w:left="402"/>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Valor histórico e valor atualizado </w:t>
            </w:r>
          </w:p>
          <w:p w14:paraId="55EB210C" w14:textId="77777777" w:rsidR="0023229C" w:rsidRPr="003B4337" w:rsidRDefault="0023229C" w:rsidP="0023229C">
            <w:pPr>
              <w:pStyle w:val="Default"/>
              <w:jc w:val="both"/>
              <w:rPr>
                <w:color w:val="auto"/>
                <w:sz w:val="18"/>
                <w:szCs w:val="18"/>
              </w:rPr>
            </w:pPr>
          </w:p>
          <w:p w14:paraId="385FBD46" w14:textId="77777777" w:rsidR="0023229C" w:rsidRPr="003B4337" w:rsidRDefault="0023229C" w:rsidP="0023229C">
            <w:pPr>
              <w:pStyle w:val="Default"/>
              <w:jc w:val="both"/>
              <w:rPr>
                <w:rFonts w:eastAsia="Times New Roman"/>
                <w:color w:val="auto"/>
                <w:sz w:val="18"/>
                <w:szCs w:val="18"/>
                <w:lang w:eastAsia="pt-BR"/>
              </w:rPr>
            </w:pPr>
            <w:r w:rsidRPr="003B4337">
              <w:rPr>
                <w:rFonts w:eastAsia="Times New Roman"/>
                <w:color w:val="auto"/>
                <w:sz w:val="18"/>
                <w:szCs w:val="18"/>
                <w:lang w:eastAsia="pt-BR"/>
              </w:rPr>
              <w:t xml:space="preserve">Obs.1: as colunas valor histórico e valor atualizado devem ser totalizadas. </w:t>
            </w:r>
          </w:p>
          <w:p w14:paraId="4BED0032" w14:textId="77777777" w:rsidR="0023229C" w:rsidRDefault="0023229C" w:rsidP="0023229C">
            <w:pPr>
              <w:pStyle w:val="Default"/>
              <w:jc w:val="both"/>
              <w:rPr>
                <w:rFonts w:eastAsia="Times New Roman"/>
                <w:color w:val="auto"/>
                <w:sz w:val="18"/>
                <w:szCs w:val="18"/>
                <w:lang w:eastAsia="pt-BR"/>
              </w:rPr>
            </w:pPr>
            <w:r w:rsidRPr="003B4337">
              <w:rPr>
                <w:rFonts w:eastAsia="Times New Roman"/>
                <w:color w:val="auto"/>
                <w:sz w:val="18"/>
                <w:szCs w:val="18"/>
                <w:lang w:eastAsia="pt-BR"/>
              </w:rPr>
              <w:t xml:space="preserve">Obs.2: </w:t>
            </w:r>
            <w:r w:rsidRPr="00B6188E">
              <w:rPr>
                <w:rFonts w:eastAsia="Times New Roman"/>
                <w:color w:val="auto"/>
                <w:sz w:val="18"/>
                <w:szCs w:val="18"/>
                <w:lang w:eastAsia="pt-BR"/>
              </w:rPr>
              <w:t xml:space="preserve">durante o período de mensuração, reconhecimento e implementação dos procedimentos contábeis patrimoniais, cujos prazos foram estabelecidos pela </w:t>
            </w:r>
            <w:r>
              <w:rPr>
                <w:rFonts w:eastAsia="Times New Roman"/>
                <w:color w:val="auto"/>
                <w:sz w:val="18"/>
                <w:szCs w:val="18"/>
                <w:lang w:eastAsia="pt-BR"/>
              </w:rPr>
              <w:t>IN 35/2016</w:t>
            </w:r>
            <w:r w:rsidRPr="00B6188E">
              <w:rPr>
                <w:rFonts w:eastAsia="Times New Roman"/>
                <w:color w:val="auto"/>
                <w:sz w:val="18"/>
                <w:szCs w:val="18"/>
                <w:lang w:eastAsia="pt-BR"/>
              </w:rPr>
              <w:t xml:space="preserve">, poderá ser informado para o valor atualizado dos bens o mesmo valor histórico. </w:t>
            </w:r>
          </w:p>
          <w:p w14:paraId="5E2D48DE" w14:textId="77777777" w:rsidR="0023229C" w:rsidRPr="003B4337" w:rsidRDefault="0023229C" w:rsidP="0023229C">
            <w:pPr>
              <w:pStyle w:val="Default"/>
              <w:jc w:val="both"/>
              <w:rPr>
                <w:rFonts w:eastAsia="Times New Roman"/>
                <w:color w:val="auto"/>
                <w:sz w:val="18"/>
                <w:szCs w:val="18"/>
                <w:lang w:eastAsia="pt-BR"/>
              </w:rPr>
            </w:pPr>
            <w:r w:rsidRPr="003B4337">
              <w:rPr>
                <w:rFonts w:eastAsia="Times New Roman"/>
                <w:color w:val="auto"/>
                <w:sz w:val="18"/>
                <w:szCs w:val="18"/>
                <w:lang w:eastAsia="pt-BR"/>
              </w:rPr>
              <w:t xml:space="preserve">Obs.3: os critérios utilizados para definição de valor histórico, valor atualizado e de mensuração do inventário, devem ser objeto de notas explicativas. </w:t>
            </w:r>
          </w:p>
          <w:p w14:paraId="0A514A2A" w14:textId="77777777" w:rsidR="0023229C" w:rsidRPr="003B4337" w:rsidRDefault="0023229C" w:rsidP="0023229C">
            <w:pPr>
              <w:pStyle w:val="Default"/>
              <w:jc w:val="both"/>
              <w:rPr>
                <w:rFonts w:eastAsia="Times New Roman"/>
                <w:color w:val="auto"/>
                <w:sz w:val="18"/>
                <w:szCs w:val="18"/>
                <w:lang w:eastAsia="pt-BR"/>
              </w:rPr>
            </w:pPr>
            <w:r w:rsidRPr="003B4337">
              <w:rPr>
                <w:rFonts w:eastAsia="Times New Roman"/>
                <w:color w:val="auto"/>
                <w:sz w:val="18"/>
                <w:szCs w:val="18"/>
                <w:lang w:eastAsia="pt-BR"/>
              </w:rPr>
              <w:t>Obs.4: aplicam-se à presente norma, os conceitos adotados pela Secretaria do Tesouro Nacional em seu Manual de Contabilidade Aplicada ao Setor Público vigente.</w:t>
            </w:r>
            <w:r w:rsidRPr="003B4337">
              <w:rPr>
                <w:color w:val="auto"/>
                <w:sz w:val="16"/>
                <w:szCs w:val="16"/>
              </w:rPr>
              <w:t xml:space="preserve"> </w:t>
            </w:r>
          </w:p>
        </w:tc>
        <w:tc>
          <w:tcPr>
            <w:tcW w:w="992" w:type="dxa"/>
            <w:shd w:val="clear" w:color="auto" w:fill="auto"/>
            <w:vAlign w:val="center"/>
          </w:tcPr>
          <w:p w14:paraId="6B96D4BE" w14:textId="77777777" w:rsidR="0023229C" w:rsidRPr="00A5490A" w:rsidRDefault="0023229C" w:rsidP="0023229C">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p w14:paraId="146C72AA" w14:textId="77777777" w:rsidR="0023229C" w:rsidRPr="00A5490A" w:rsidRDefault="0023229C" w:rsidP="0023229C">
            <w:pPr>
              <w:spacing w:after="0" w:line="240" w:lineRule="auto"/>
              <w:jc w:val="center"/>
              <w:rPr>
                <w:rFonts w:ascii="Arial" w:eastAsia="Times New Roman" w:hAnsi="Arial" w:cs="Arial"/>
                <w:sz w:val="14"/>
                <w:szCs w:val="14"/>
                <w:highlight w:val="yellow"/>
                <w:lang w:eastAsia="pt-BR"/>
              </w:rPr>
            </w:pPr>
            <w:r w:rsidRPr="00A5490A">
              <w:rPr>
                <w:rFonts w:ascii="Arial" w:eastAsia="Times New Roman" w:hAnsi="Arial" w:cs="Arial"/>
                <w:sz w:val="14"/>
                <w:szCs w:val="14"/>
                <w:lang w:eastAsia="pt-BR"/>
              </w:rPr>
              <w:t>e</w:t>
            </w:r>
            <w:r w:rsidRPr="00A5490A">
              <w:rPr>
                <w:rFonts w:ascii="Arial" w:eastAsia="Times New Roman" w:hAnsi="Arial" w:cs="Arial"/>
                <w:sz w:val="14"/>
                <w:szCs w:val="14"/>
                <w:highlight w:val="yellow"/>
                <w:lang w:eastAsia="pt-BR"/>
              </w:rPr>
              <w:t xml:space="preserve"> </w:t>
            </w:r>
          </w:p>
          <w:p w14:paraId="1F779E21" w14:textId="77777777" w:rsidR="0023229C" w:rsidRPr="00A5490A" w:rsidRDefault="0023229C" w:rsidP="0023229C">
            <w:pPr>
              <w:spacing w:after="0" w:line="240" w:lineRule="auto"/>
              <w:jc w:val="center"/>
              <w:rPr>
                <w:rFonts w:ascii="Arial" w:eastAsia="Times New Roman" w:hAnsi="Arial" w:cs="Arial"/>
                <w:sz w:val="14"/>
                <w:szCs w:val="14"/>
                <w:lang w:eastAsia="pt-BR"/>
              </w:rPr>
            </w:pPr>
            <w:r w:rsidRPr="00A5490A">
              <w:rPr>
                <w:rFonts w:ascii="Arial" w:eastAsia="Times New Roman" w:hAnsi="Arial" w:cs="Arial"/>
                <w:sz w:val="14"/>
                <w:szCs w:val="14"/>
                <w:lang w:eastAsia="pt-BR"/>
              </w:rPr>
              <w:t>XLS</w:t>
            </w:r>
            <w:r>
              <w:rPr>
                <w:rFonts w:ascii="Arial" w:eastAsia="Times New Roman" w:hAnsi="Arial" w:cs="Arial"/>
                <w:sz w:val="14"/>
                <w:szCs w:val="14"/>
                <w:lang w:eastAsia="pt-BR"/>
              </w:rPr>
              <w:t>/XLSX/ODS</w:t>
            </w:r>
          </w:p>
        </w:tc>
      </w:tr>
      <w:tr w:rsidR="0023229C" w:rsidRPr="00A5490A" w14:paraId="5DAB12F1" w14:textId="77777777" w:rsidTr="00CB7C58">
        <w:trPr>
          <w:trHeight w:val="454"/>
        </w:trPr>
        <w:tc>
          <w:tcPr>
            <w:tcW w:w="1242" w:type="dxa"/>
            <w:vAlign w:val="center"/>
          </w:tcPr>
          <w:p w14:paraId="7873A4EC" w14:textId="77777777" w:rsidR="0023229C" w:rsidRPr="003B4337" w:rsidRDefault="0023229C" w:rsidP="0023229C">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TERINT</w:t>
            </w:r>
          </w:p>
        </w:tc>
        <w:tc>
          <w:tcPr>
            <w:tcW w:w="6946" w:type="dxa"/>
            <w:shd w:val="clear" w:color="auto" w:fill="auto"/>
            <w:vAlign w:val="center"/>
          </w:tcPr>
          <w:p w14:paraId="078AE26E" w14:textId="4AE64F09" w:rsidR="0023229C" w:rsidRPr="003B4337" w:rsidRDefault="0023229C" w:rsidP="006A24AE">
            <w:pPr>
              <w:spacing w:before="120" w:after="120" w:line="240" w:lineRule="auto"/>
              <w:jc w:val="both"/>
              <w:rPr>
                <w:rFonts w:ascii="Arial" w:eastAsia="Times New Roman" w:hAnsi="Arial" w:cs="Arial"/>
                <w:sz w:val="18"/>
                <w:szCs w:val="18"/>
                <w:lang w:eastAsia="pt-BR"/>
              </w:rPr>
            </w:pPr>
            <w:r w:rsidRPr="006A24AE">
              <w:rPr>
                <w:rFonts w:ascii="Arial" w:eastAsia="Times New Roman" w:hAnsi="Arial" w:cs="Arial"/>
                <w:sz w:val="18"/>
                <w:szCs w:val="18"/>
                <w:lang w:eastAsia="pt-BR"/>
              </w:rPr>
              <w:t>Termo circunstanciado elaborado e assinado pela comissão responsável pelo Inventário anual dos bens intangíveis (INVINTN), indicando o saldo total apurado e o detalhamento (especificação e valor) das divergências encontradas</w:t>
            </w:r>
            <w:r w:rsidR="006A24AE" w:rsidRPr="006A24AE">
              <w:rPr>
                <w:rFonts w:ascii="Arial" w:eastAsia="Times New Roman" w:hAnsi="Arial" w:cs="Arial"/>
                <w:sz w:val="18"/>
                <w:szCs w:val="18"/>
                <w:lang w:eastAsia="pt-BR"/>
              </w:rPr>
              <w:t>, na forma do item 3.2 deste Anexo</w:t>
            </w:r>
            <w:r w:rsidR="0026646F" w:rsidRPr="006A24AE">
              <w:rPr>
                <w:rFonts w:ascii="Arial" w:eastAsia="Times New Roman" w:hAnsi="Arial" w:cs="Arial"/>
                <w:sz w:val="18"/>
                <w:szCs w:val="18"/>
                <w:lang w:eastAsia="pt-BR"/>
              </w:rPr>
              <w:t>.</w:t>
            </w:r>
          </w:p>
        </w:tc>
        <w:tc>
          <w:tcPr>
            <w:tcW w:w="992" w:type="dxa"/>
            <w:shd w:val="clear" w:color="auto" w:fill="auto"/>
            <w:vAlign w:val="center"/>
          </w:tcPr>
          <w:p w14:paraId="761D50A0" w14:textId="77777777" w:rsidR="0023229C" w:rsidRPr="003B4337" w:rsidRDefault="0023229C" w:rsidP="0023229C">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23229C" w:rsidRPr="00A5490A" w14:paraId="3F78E91E" w14:textId="77777777" w:rsidTr="00CB7C58">
        <w:trPr>
          <w:trHeight w:val="454"/>
        </w:trPr>
        <w:tc>
          <w:tcPr>
            <w:tcW w:w="1242" w:type="dxa"/>
            <w:vAlign w:val="center"/>
          </w:tcPr>
          <w:p w14:paraId="07029B78" w14:textId="77777777" w:rsidR="0023229C" w:rsidRPr="00A5490A" w:rsidRDefault="0023229C" w:rsidP="0023229C">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COMINV</w:t>
            </w:r>
          </w:p>
        </w:tc>
        <w:tc>
          <w:tcPr>
            <w:tcW w:w="6946" w:type="dxa"/>
            <w:shd w:val="clear" w:color="auto" w:fill="auto"/>
            <w:vAlign w:val="center"/>
          </w:tcPr>
          <w:p w14:paraId="0A12FE00" w14:textId="77777777" w:rsidR="0023229C" w:rsidRPr="00A5490A" w:rsidRDefault="0023229C" w:rsidP="0023229C">
            <w:p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Ato de designação da comissão responsável pela elaboração dos inventários.</w:t>
            </w:r>
          </w:p>
        </w:tc>
        <w:tc>
          <w:tcPr>
            <w:tcW w:w="992" w:type="dxa"/>
            <w:shd w:val="clear" w:color="auto" w:fill="auto"/>
            <w:vAlign w:val="center"/>
          </w:tcPr>
          <w:p w14:paraId="15A6EA58" w14:textId="77777777" w:rsidR="0023229C" w:rsidRPr="00A5490A" w:rsidRDefault="0023229C" w:rsidP="0023229C">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23229C" w:rsidRPr="00A5490A" w14:paraId="228741D7" w14:textId="77777777" w:rsidTr="00CB7C58">
        <w:trPr>
          <w:trHeight w:val="454"/>
        </w:trPr>
        <w:tc>
          <w:tcPr>
            <w:tcW w:w="1242" w:type="dxa"/>
            <w:vAlign w:val="center"/>
          </w:tcPr>
          <w:p w14:paraId="1C93F1C0" w14:textId="77777777" w:rsidR="0023229C" w:rsidRPr="003B4337" w:rsidRDefault="0023229C" w:rsidP="0023229C">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lastRenderedPageBreak/>
              <w:t>DEMRAPG</w:t>
            </w:r>
          </w:p>
        </w:tc>
        <w:tc>
          <w:tcPr>
            <w:tcW w:w="6946" w:type="dxa"/>
            <w:shd w:val="clear" w:color="auto" w:fill="auto"/>
            <w:vAlign w:val="center"/>
          </w:tcPr>
          <w:p w14:paraId="72AE2205" w14:textId="77777777" w:rsidR="0023229C" w:rsidRPr="003B4337" w:rsidRDefault="0023229C" w:rsidP="0023229C">
            <w:pPr>
              <w:spacing w:before="120" w:after="120" w:line="240" w:lineRule="auto"/>
              <w:jc w:val="both"/>
              <w:rPr>
                <w:rFonts w:ascii="Arial" w:eastAsia="Times New Roman" w:hAnsi="Arial" w:cs="Arial"/>
                <w:i/>
                <w:sz w:val="18"/>
                <w:szCs w:val="18"/>
                <w:lang w:eastAsia="pt-BR"/>
              </w:rPr>
            </w:pPr>
            <w:r w:rsidRPr="003B4337">
              <w:rPr>
                <w:rFonts w:ascii="Arial" w:eastAsia="Times New Roman" w:hAnsi="Arial" w:cs="Arial"/>
                <w:sz w:val="18"/>
                <w:szCs w:val="18"/>
                <w:lang w:eastAsia="pt-BR"/>
              </w:rPr>
              <w:t>Demonstrativo de Restos a Pagar, evidenciando</w:t>
            </w:r>
            <w:r w:rsidRPr="003B4337">
              <w:rPr>
                <w:rFonts w:ascii="Arial" w:eastAsia="Times New Roman" w:hAnsi="Arial" w:cs="Arial"/>
                <w:b/>
                <w:bCs/>
                <w:sz w:val="18"/>
                <w:szCs w:val="18"/>
                <w:lang w:eastAsia="pt-BR"/>
              </w:rPr>
              <w:t>:</w:t>
            </w:r>
          </w:p>
          <w:p w14:paraId="1D5C20C4" w14:textId="77777777" w:rsidR="0023229C" w:rsidRPr="003B4337" w:rsidRDefault="0023229C" w:rsidP="0023229C">
            <w:pPr>
              <w:numPr>
                <w:ilvl w:val="0"/>
                <w:numId w:val="4"/>
              </w:numPr>
              <w:spacing w:before="120" w:after="120" w:line="240" w:lineRule="auto"/>
              <w:ind w:left="402"/>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os saldos de restos a pagar de exercícios anteriores e os restos a pagar inscritos no exercício sob análise, discriminados em: processados e não processados, por exercício, por credor, por fonte de recursos, por função e subfunção;</w:t>
            </w:r>
          </w:p>
          <w:p w14:paraId="7261B7EC" w14:textId="77777777" w:rsidR="0023229C" w:rsidRPr="003B4337" w:rsidRDefault="0023229C" w:rsidP="0023229C">
            <w:pPr>
              <w:numPr>
                <w:ilvl w:val="0"/>
                <w:numId w:val="3"/>
              </w:numPr>
              <w:spacing w:before="120" w:after="120" w:line="240" w:lineRule="auto"/>
              <w:ind w:left="402"/>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os restos a pagar cancelados no exercício sob análise, discriminados em: processados e não-processados, por exercício, por credor, por fonte de recursos, por função e subfunção</w:t>
            </w:r>
            <w:r>
              <w:rPr>
                <w:rFonts w:ascii="Arial" w:eastAsia="Times New Roman" w:hAnsi="Arial" w:cs="Arial"/>
                <w:sz w:val="18"/>
                <w:szCs w:val="18"/>
                <w:lang w:eastAsia="pt-BR"/>
              </w:rPr>
              <w:t>.</w:t>
            </w:r>
          </w:p>
        </w:tc>
        <w:tc>
          <w:tcPr>
            <w:tcW w:w="992" w:type="dxa"/>
            <w:shd w:val="clear" w:color="auto" w:fill="auto"/>
            <w:vAlign w:val="center"/>
          </w:tcPr>
          <w:p w14:paraId="29D9C5D5" w14:textId="77777777" w:rsidR="0023229C" w:rsidRPr="003B4337" w:rsidRDefault="0023229C" w:rsidP="0023229C">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23229C" w:rsidRPr="00A5490A" w14:paraId="5C9D660C" w14:textId="77777777" w:rsidTr="00CB7C58">
        <w:trPr>
          <w:trHeight w:val="454"/>
        </w:trPr>
        <w:tc>
          <w:tcPr>
            <w:tcW w:w="1242" w:type="dxa"/>
            <w:vAlign w:val="center"/>
          </w:tcPr>
          <w:p w14:paraId="39F59731" w14:textId="77777777" w:rsidR="0023229C" w:rsidRPr="003B4337" w:rsidRDefault="0023229C" w:rsidP="0023229C">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EXTBAN</w:t>
            </w:r>
          </w:p>
        </w:tc>
        <w:tc>
          <w:tcPr>
            <w:tcW w:w="6946" w:type="dxa"/>
            <w:shd w:val="clear" w:color="auto" w:fill="auto"/>
            <w:vAlign w:val="center"/>
          </w:tcPr>
          <w:p w14:paraId="1DB61496" w14:textId="77777777" w:rsidR="0023229C" w:rsidRPr="003B4337" w:rsidRDefault="0023229C" w:rsidP="0023229C">
            <w:pPr>
              <w:spacing w:before="120" w:after="120" w:line="240" w:lineRule="auto"/>
              <w:ind w:left="42"/>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Extratos bancários relativos ao mês de encerramento do exercício</w:t>
            </w:r>
            <w:r w:rsidRPr="0073452B">
              <w:rPr>
                <w:rFonts w:ascii="Arial" w:eastAsia="Times New Roman" w:hAnsi="Arial" w:cs="Arial"/>
                <w:sz w:val="18"/>
                <w:szCs w:val="18"/>
                <w:lang w:eastAsia="pt-BR"/>
              </w:rPr>
              <w:t>.</w:t>
            </w:r>
            <w:r w:rsidR="004124D9" w:rsidRPr="0073452B">
              <w:rPr>
                <w:rFonts w:ascii="Arial" w:eastAsia="Times New Roman" w:hAnsi="Arial" w:cs="Arial"/>
                <w:sz w:val="18"/>
                <w:szCs w:val="18"/>
                <w:lang w:eastAsia="pt-BR"/>
              </w:rPr>
              <w:t xml:space="preserve"> Na hipótese de adesão ao Acordo de Cooperação Técnica entre o TCEES e o Banestes, não é necessário o envio dos extratos bancários do banco 021 – Banestes.</w:t>
            </w:r>
          </w:p>
        </w:tc>
        <w:tc>
          <w:tcPr>
            <w:tcW w:w="992" w:type="dxa"/>
            <w:shd w:val="clear" w:color="auto" w:fill="auto"/>
            <w:vAlign w:val="center"/>
          </w:tcPr>
          <w:p w14:paraId="6D40738A" w14:textId="77777777" w:rsidR="0023229C" w:rsidRPr="003B4337" w:rsidRDefault="0023229C" w:rsidP="0023229C">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23229C" w:rsidRPr="00A5490A" w14:paraId="5814810A" w14:textId="77777777" w:rsidTr="00CB7C58">
        <w:trPr>
          <w:trHeight w:val="454"/>
        </w:trPr>
        <w:tc>
          <w:tcPr>
            <w:tcW w:w="1242" w:type="dxa"/>
            <w:vAlign w:val="center"/>
          </w:tcPr>
          <w:p w14:paraId="1D60D060" w14:textId="77777777" w:rsidR="0023229C" w:rsidRPr="003B4337" w:rsidRDefault="0023229C" w:rsidP="0023229C">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TVDISPN</w:t>
            </w:r>
          </w:p>
        </w:tc>
        <w:tc>
          <w:tcPr>
            <w:tcW w:w="6946" w:type="dxa"/>
            <w:shd w:val="clear" w:color="auto" w:fill="auto"/>
            <w:vAlign w:val="center"/>
          </w:tcPr>
          <w:p w14:paraId="2626A993" w14:textId="5AFF05D4" w:rsidR="0023229C" w:rsidRPr="003B4337" w:rsidRDefault="0023229C" w:rsidP="006A24AE">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Termo de verificação de disponibilidades, na </w:t>
            </w:r>
            <w:r w:rsidRPr="006A24AE">
              <w:rPr>
                <w:rFonts w:ascii="Arial" w:eastAsia="Times New Roman" w:hAnsi="Arial" w:cs="Arial"/>
                <w:sz w:val="18"/>
                <w:szCs w:val="18"/>
                <w:lang w:eastAsia="pt-BR"/>
              </w:rPr>
              <w:t xml:space="preserve">forma </w:t>
            </w:r>
            <w:r w:rsidR="006A24AE" w:rsidRPr="006A24AE">
              <w:rPr>
                <w:rFonts w:ascii="Arial" w:eastAsia="Times New Roman" w:hAnsi="Arial" w:cs="Arial"/>
                <w:sz w:val="18"/>
                <w:szCs w:val="18"/>
                <w:lang w:eastAsia="pt-BR"/>
              </w:rPr>
              <w:t>do item 3.2 deste Anexo</w:t>
            </w:r>
            <w:r w:rsidRPr="006A24AE">
              <w:rPr>
                <w:rFonts w:ascii="Arial" w:eastAsia="Times New Roman" w:hAnsi="Arial" w:cs="Arial"/>
                <w:sz w:val="18"/>
                <w:szCs w:val="18"/>
                <w:lang w:eastAsia="pt-BR"/>
              </w:rPr>
              <w:t>.</w:t>
            </w:r>
          </w:p>
        </w:tc>
        <w:tc>
          <w:tcPr>
            <w:tcW w:w="992" w:type="dxa"/>
            <w:shd w:val="clear" w:color="auto" w:fill="auto"/>
            <w:vAlign w:val="center"/>
          </w:tcPr>
          <w:p w14:paraId="344436CF" w14:textId="77777777" w:rsidR="0023229C" w:rsidRPr="003B4337" w:rsidRDefault="0023229C" w:rsidP="0023229C">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p w14:paraId="37F764D6" w14:textId="77777777" w:rsidR="0023229C" w:rsidRPr="003B4337" w:rsidRDefault="0023229C" w:rsidP="0023229C">
            <w:pPr>
              <w:spacing w:after="0" w:line="240" w:lineRule="auto"/>
              <w:jc w:val="center"/>
              <w:rPr>
                <w:rFonts w:ascii="Arial" w:eastAsia="Times New Roman" w:hAnsi="Arial" w:cs="Arial"/>
                <w:sz w:val="14"/>
                <w:szCs w:val="14"/>
                <w:highlight w:val="yellow"/>
                <w:lang w:eastAsia="pt-BR"/>
              </w:rPr>
            </w:pPr>
            <w:r w:rsidRPr="003B4337">
              <w:rPr>
                <w:rFonts w:ascii="Arial" w:eastAsia="Times New Roman" w:hAnsi="Arial" w:cs="Arial"/>
                <w:sz w:val="14"/>
                <w:szCs w:val="14"/>
                <w:lang w:eastAsia="pt-BR"/>
              </w:rPr>
              <w:t>e</w:t>
            </w:r>
            <w:r w:rsidRPr="003B4337">
              <w:rPr>
                <w:rFonts w:ascii="Arial" w:eastAsia="Times New Roman" w:hAnsi="Arial" w:cs="Arial"/>
                <w:sz w:val="14"/>
                <w:szCs w:val="14"/>
                <w:highlight w:val="yellow"/>
                <w:lang w:eastAsia="pt-BR"/>
              </w:rPr>
              <w:t xml:space="preserve"> </w:t>
            </w:r>
          </w:p>
          <w:p w14:paraId="28E44414" w14:textId="77777777" w:rsidR="0023229C" w:rsidRPr="003B4337" w:rsidRDefault="0023229C" w:rsidP="0023229C">
            <w:pPr>
              <w:spacing w:after="0" w:line="240" w:lineRule="auto"/>
              <w:jc w:val="center"/>
              <w:rPr>
                <w:rFonts w:ascii="Arial" w:eastAsia="Times New Roman" w:hAnsi="Arial" w:cs="Arial"/>
                <w:sz w:val="14"/>
                <w:szCs w:val="14"/>
                <w:lang w:eastAsia="pt-BR"/>
              </w:rPr>
            </w:pPr>
            <w:r w:rsidRPr="003B4337">
              <w:rPr>
                <w:rFonts w:ascii="Arial" w:eastAsia="Times New Roman" w:hAnsi="Arial" w:cs="Arial"/>
                <w:sz w:val="14"/>
                <w:szCs w:val="14"/>
                <w:lang w:eastAsia="pt-BR"/>
              </w:rPr>
              <w:t>XLS/XLSX/ODS</w:t>
            </w:r>
          </w:p>
        </w:tc>
      </w:tr>
      <w:tr w:rsidR="0023229C" w:rsidRPr="00A5490A" w14:paraId="154B03FF" w14:textId="77777777" w:rsidTr="00CB7C58">
        <w:trPr>
          <w:trHeight w:val="454"/>
        </w:trPr>
        <w:tc>
          <w:tcPr>
            <w:tcW w:w="1242" w:type="dxa"/>
            <w:vAlign w:val="center"/>
          </w:tcPr>
          <w:p w14:paraId="059CFA5E" w14:textId="77777777" w:rsidR="0023229C" w:rsidRPr="003B4337" w:rsidRDefault="0023229C" w:rsidP="0023229C">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DEMCSE</w:t>
            </w:r>
          </w:p>
        </w:tc>
        <w:tc>
          <w:tcPr>
            <w:tcW w:w="6946" w:type="dxa"/>
            <w:shd w:val="clear" w:color="auto" w:fill="auto"/>
            <w:vAlign w:val="center"/>
          </w:tcPr>
          <w:p w14:paraId="723D95DA" w14:textId="0679C0CB" w:rsidR="0023229C" w:rsidRPr="003B4337" w:rsidRDefault="0023229C" w:rsidP="006A24AE">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Demonstrativo evidenciando, mensalmente, o valor retido de contribuições sociais dos servidores e efetivamente recolhidos, discriminando por instituição previdenciária (RPPS e RGPS), na forma </w:t>
            </w:r>
            <w:r w:rsidR="006A24AE" w:rsidRPr="006A24AE">
              <w:rPr>
                <w:rFonts w:ascii="Arial" w:eastAsia="Times New Roman" w:hAnsi="Arial" w:cs="Arial"/>
                <w:sz w:val="18"/>
                <w:szCs w:val="18"/>
                <w:lang w:eastAsia="pt-BR"/>
              </w:rPr>
              <w:t>do item 3.2 deste Anexo</w:t>
            </w:r>
            <w:r w:rsidRPr="006A24AE">
              <w:rPr>
                <w:rFonts w:ascii="Arial" w:eastAsia="Times New Roman" w:hAnsi="Arial" w:cs="Arial"/>
                <w:sz w:val="18"/>
                <w:szCs w:val="18"/>
                <w:lang w:eastAsia="pt-BR"/>
              </w:rPr>
              <w:t>.</w:t>
            </w:r>
          </w:p>
        </w:tc>
        <w:tc>
          <w:tcPr>
            <w:tcW w:w="992" w:type="dxa"/>
            <w:shd w:val="clear" w:color="auto" w:fill="auto"/>
            <w:vAlign w:val="center"/>
          </w:tcPr>
          <w:p w14:paraId="3FAAC4C1" w14:textId="77777777" w:rsidR="0023229C" w:rsidRPr="003B4337" w:rsidRDefault="0023229C" w:rsidP="0023229C">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23229C" w:rsidRPr="00A5490A" w14:paraId="3DCF2638" w14:textId="77777777" w:rsidTr="00CB7C58">
        <w:trPr>
          <w:trHeight w:val="454"/>
        </w:trPr>
        <w:tc>
          <w:tcPr>
            <w:tcW w:w="1242" w:type="dxa"/>
            <w:vAlign w:val="center"/>
          </w:tcPr>
          <w:p w14:paraId="79E505FB" w14:textId="77777777" w:rsidR="0023229C" w:rsidRPr="00A5490A" w:rsidRDefault="0023229C" w:rsidP="0023229C">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CERSIT</w:t>
            </w:r>
          </w:p>
        </w:tc>
        <w:tc>
          <w:tcPr>
            <w:tcW w:w="6946" w:type="dxa"/>
            <w:shd w:val="clear" w:color="auto" w:fill="auto"/>
            <w:vAlign w:val="center"/>
          </w:tcPr>
          <w:p w14:paraId="62235ECD" w14:textId="77777777" w:rsidR="0023229C" w:rsidRPr="00A5490A" w:rsidRDefault="0023229C" w:rsidP="0023229C">
            <w:p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Certificado de Regularidade de Situação – CRS</w:t>
            </w:r>
            <w:r w:rsidRPr="00A5490A">
              <w:rPr>
                <w:rFonts w:ascii="Arial" w:eastAsia="Times New Roman" w:hAnsi="Arial" w:cs="Arial"/>
                <w:sz w:val="18"/>
                <w:szCs w:val="18"/>
                <w:lang w:eastAsia="en-CA"/>
              </w:rPr>
              <w:t xml:space="preserve"> (art. 69 da LC Estadual nº 282/2004)</w:t>
            </w:r>
          </w:p>
        </w:tc>
        <w:tc>
          <w:tcPr>
            <w:tcW w:w="992" w:type="dxa"/>
            <w:shd w:val="clear" w:color="auto" w:fill="auto"/>
            <w:vAlign w:val="center"/>
          </w:tcPr>
          <w:p w14:paraId="01F8B89E" w14:textId="77777777" w:rsidR="0023229C" w:rsidRPr="00A5490A" w:rsidRDefault="0023229C" w:rsidP="0023229C">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23229C" w:rsidRPr="00A5490A" w14:paraId="4E635F20" w14:textId="77777777" w:rsidTr="00CB7C58">
        <w:trPr>
          <w:trHeight w:val="454"/>
        </w:trPr>
        <w:tc>
          <w:tcPr>
            <w:tcW w:w="1242" w:type="dxa"/>
            <w:vAlign w:val="center"/>
          </w:tcPr>
          <w:p w14:paraId="4EF9FB40" w14:textId="77777777" w:rsidR="0023229C" w:rsidRPr="00A5490A" w:rsidRDefault="0023229C" w:rsidP="0023229C">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FIXSUB</w:t>
            </w:r>
          </w:p>
        </w:tc>
        <w:tc>
          <w:tcPr>
            <w:tcW w:w="6946" w:type="dxa"/>
            <w:shd w:val="clear" w:color="auto" w:fill="auto"/>
            <w:vAlign w:val="center"/>
          </w:tcPr>
          <w:p w14:paraId="6728ACFA" w14:textId="77777777" w:rsidR="0023229C" w:rsidRPr="00A5490A" w:rsidRDefault="0023229C" w:rsidP="0023229C">
            <w:p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 xml:space="preserve">Instrumento normativo fixador dos subsídios do </w:t>
            </w:r>
            <w:r>
              <w:rPr>
                <w:rFonts w:ascii="Arial" w:eastAsia="Times New Roman" w:hAnsi="Arial" w:cs="Arial"/>
                <w:sz w:val="18"/>
                <w:szCs w:val="18"/>
                <w:lang w:eastAsia="pt-BR"/>
              </w:rPr>
              <w:t>Chefe de Poder</w:t>
            </w:r>
            <w:r w:rsidRPr="00A5490A">
              <w:rPr>
                <w:rFonts w:ascii="Arial" w:eastAsia="Times New Roman" w:hAnsi="Arial" w:cs="Arial"/>
                <w:sz w:val="18"/>
                <w:szCs w:val="18"/>
                <w:lang w:eastAsia="pt-BR"/>
              </w:rPr>
              <w:t xml:space="preserve"> para o exercício a que se refere </w:t>
            </w:r>
            <w:r>
              <w:rPr>
                <w:rFonts w:ascii="Arial" w:eastAsia="Times New Roman" w:hAnsi="Arial" w:cs="Arial"/>
                <w:sz w:val="18"/>
                <w:szCs w:val="18"/>
                <w:lang w:eastAsia="pt-BR"/>
              </w:rPr>
              <w:t>a prestação de contas e leis que concederam revisões gerais anuais nesse período.</w:t>
            </w:r>
          </w:p>
        </w:tc>
        <w:tc>
          <w:tcPr>
            <w:tcW w:w="992" w:type="dxa"/>
            <w:shd w:val="clear" w:color="auto" w:fill="auto"/>
            <w:vAlign w:val="center"/>
          </w:tcPr>
          <w:p w14:paraId="1E80CDC9" w14:textId="77777777" w:rsidR="0023229C" w:rsidRPr="00A5490A" w:rsidRDefault="0023229C" w:rsidP="0023229C">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23229C" w:rsidRPr="00A5490A" w14:paraId="02FD676D" w14:textId="77777777" w:rsidTr="00CB7C58">
        <w:trPr>
          <w:trHeight w:val="454"/>
        </w:trPr>
        <w:tc>
          <w:tcPr>
            <w:tcW w:w="1242" w:type="dxa"/>
            <w:vAlign w:val="center"/>
          </w:tcPr>
          <w:p w14:paraId="02B49725" w14:textId="77777777" w:rsidR="0023229C" w:rsidRPr="00A5490A" w:rsidRDefault="0023229C" w:rsidP="0023229C">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DEMPES</w:t>
            </w:r>
          </w:p>
        </w:tc>
        <w:tc>
          <w:tcPr>
            <w:tcW w:w="6946" w:type="dxa"/>
            <w:shd w:val="clear" w:color="auto" w:fill="auto"/>
            <w:vAlign w:val="center"/>
          </w:tcPr>
          <w:p w14:paraId="6517200F" w14:textId="77777777" w:rsidR="0023229C" w:rsidRPr="00A5490A" w:rsidRDefault="0023229C" w:rsidP="0023229C">
            <w:p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Relatório de Gestão Fiscal – Demonstrativo da Despesa com Pessoal (ANEXO 1 do Manual de Demonstrativos Fiscais editado pela STN), relativo ao terceiro quadrimestre ou segundo semestre do exercício a que se refere a prestação de contas, devidamente assinado pelas autoridades definidas no parágrafo único do artigo 54, da LC 101/2000.</w:t>
            </w:r>
          </w:p>
        </w:tc>
        <w:tc>
          <w:tcPr>
            <w:tcW w:w="992" w:type="dxa"/>
            <w:shd w:val="clear" w:color="auto" w:fill="auto"/>
            <w:vAlign w:val="center"/>
          </w:tcPr>
          <w:p w14:paraId="4335D371" w14:textId="77777777" w:rsidR="0023229C" w:rsidRPr="00A5490A" w:rsidRDefault="0023229C" w:rsidP="0023229C">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23229C" w:rsidRPr="00A5490A" w14:paraId="39BE2FCF" w14:textId="77777777" w:rsidTr="00CB7C58">
        <w:trPr>
          <w:trHeight w:val="454"/>
        </w:trPr>
        <w:tc>
          <w:tcPr>
            <w:tcW w:w="1242" w:type="dxa"/>
            <w:vAlign w:val="center"/>
          </w:tcPr>
          <w:p w14:paraId="7A6D6F16" w14:textId="77777777" w:rsidR="0023229C" w:rsidRPr="00A5490A" w:rsidRDefault="0023229C" w:rsidP="0023229C">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DEMRPA</w:t>
            </w:r>
          </w:p>
        </w:tc>
        <w:tc>
          <w:tcPr>
            <w:tcW w:w="6946" w:type="dxa"/>
            <w:shd w:val="clear" w:color="auto" w:fill="auto"/>
            <w:vAlign w:val="center"/>
          </w:tcPr>
          <w:p w14:paraId="534B924E" w14:textId="6453C230" w:rsidR="0023229C" w:rsidRPr="00A5490A" w:rsidRDefault="00104F4C" w:rsidP="0023229C">
            <w:pPr>
              <w:spacing w:before="120" w:after="120" w:line="240" w:lineRule="auto"/>
              <w:jc w:val="both"/>
              <w:rPr>
                <w:rFonts w:ascii="Arial" w:eastAsia="Times New Roman" w:hAnsi="Arial" w:cs="Arial"/>
                <w:sz w:val="18"/>
                <w:szCs w:val="18"/>
                <w:lang w:eastAsia="pt-BR"/>
              </w:rPr>
            </w:pPr>
            <w:r w:rsidRPr="008F51AC">
              <w:rPr>
                <w:rFonts w:ascii="Arial" w:hAnsi="Arial" w:cs="Arial"/>
                <w:sz w:val="18"/>
                <w:szCs w:val="18"/>
              </w:rPr>
              <w:t xml:space="preserve">Relatório de Gestão Fiscal – Demonstrativo </w:t>
            </w:r>
            <w:r>
              <w:rPr>
                <w:rFonts w:ascii="Arial" w:hAnsi="Arial" w:cs="Arial"/>
                <w:sz w:val="18"/>
                <w:szCs w:val="18"/>
              </w:rPr>
              <w:t xml:space="preserve">da Disponibilidade de Caixa e </w:t>
            </w:r>
            <w:r w:rsidRPr="008F51AC">
              <w:rPr>
                <w:rFonts w:ascii="Arial" w:hAnsi="Arial" w:cs="Arial"/>
                <w:sz w:val="18"/>
                <w:szCs w:val="18"/>
              </w:rPr>
              <w:t xml:space="preserve">dos Restos a Pagar (ANEXO </w:t>
            </w:r>
            <w:r>
              <w:rPr>
                <w:rFonts w:ascii="Arial" w:hAnsi="Arial" w:cs="Arial"/>
                <w:sz w:val="18"/>
                <w:szCs w:val="18"/>
              </w:rPr>
              <w:t>5</w:t>
            </w:r>
            <w:r w:rsidRPr="008F51AC">
              <w:rPr>
                <w:rFonts w:ascii="Arial" w:hAnsi="Arial" w:cs="Arial"/>
                <w:sz w:val="18"/>
                <w:szCs w:val="18"/>
              </w:rPr>
              <w:t xml:space="preserve"> do Manual de Demonstrativos Fiscais editado pela STN), relativo ao terceiro quadrimestre ou segundo semestre do exercício a que se refere a prestação de contas, devidamente assinado pelas autoridades definidas no parágrafo único do artigo 54, da LC 101/2000, acompanhado de relação dos restos a pagar inscritos em 31/12 cujas obrigações tenham sido assumidas no primeiro quadrimestre do exercício quando a prestação de contas se referir ao último exercício do mandato do titular do Poder ou </w:t>
            </w:r>
            <w:r>
              <w:rPr>
                <w:rFonts w:ascii="Arial" w:hAnsi="Arial" w:cs="Arial"/>
                <w:sz w:val="18"/>
                <w:szCs w:val="18"/>
              </w:rPr>
              <w:t>Ó</w:t>
            </w:r>
            <w:r w:rsidRPr="008F51AC">
              <w:rPr>
                <w:rFonts w:ascii="Arial" w:hAnsi="Arial" w:cs="Arial"/>
                <w:sz w:val="18"/>
                <w:szCs w:val="18"/>
              </w:rPr>
              <w:t>rgão.</w:t>
            </w:r>
          </w:p>
        </w:tc>
        <w:tc>
          <w:tcPr>
            <w:tcW w:w="992" w:type="dxa"/>
            <w:shd w:val="clear" w:color="auto" w:fill="auto"/>
            <w:vAlign w:val="center"/>
          </w:tcPr>
          <w:p w14:paraId="1538A928" w14:textId="77777777" w:rsidR="0023229C" w:rsidRPr="007C7FBF" w:rsidRDefault="0023229C" w:rsidP="0023229C">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23229C" w:rsidRPr="00A5490A" w14:paraId="62FD5C77" w14:textId="77777777" w:rsidTr="00CB7C58">
        <w:trPr>
          <w:trHeight w:val="454"/>
        </w:trPr>
        <w:tc>
          <w:tcPr>
            <w:tcW w:w="1242" w:type="dxa"/>
            <w:vAlign w:val="center"/>
          </w:tcPr>
          <w:p w14:paraId="503CEE97" w14:textId="77777777" w:rsidR="0023229C" w:rsidRPr="003B4337" w:rsidRDefault="0023229C" w:rsidP="0023229C">
            <w:pPr>
              <w:spacing w:before="120" w:after="12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DELREP</w:t>
            </w:r>
          </w:p>
        </w:tc>
        <w:tc>
          <w:tcPr>
            <w:tcW w:w="6946" w:type="dxa"/>
            <w:shd w:val="clear" w:color="auto" w:fill="auto"/>
            <w:vAlign w:val="center"/>
          </w:tcPr>
          <w:p w14:paraId="4C9A0141" w14:textId="4505B404" w:rsidR="0023229C" w:rsidRPr="003B4337" w:rsidRDefault="0023229C" w:rsidP="006A24AE">
            <w:pPr>
              <w:tabs>
                <w:tab w:val="left" w:pos="851"/>
              </w:tabs>
              <w:spacing w:before="120" w:after="120" w:line="240" w:lineRule="auto"/>
              <w:jc w:val="both"/>
              <w:rPr>
                <w:rFonts w:ascii="Arial" w:eastAsia="Times New Roman" w:hAnsi="Arial" w:cs="Arial"/>
                <w:sz w:val="18"/>
                <w:szCs w:val="18"/>
                <w:lang w:eastAsia="pt-BR"/>
              </w:rPr>
            </w:pPr>
            <w:r w:rsidRPr="006A24AE">
              <w:rPr>
                <w:rFonts w:ascii="Arial" w:eastAsia="Times New Roman" w:hAnsi="Arial" w:cs="Arial"/>
                <w:sz w:val="18"/>
                <w:szCs w:val="18"/>
                <w:lang w:eastAsia="pt-BR"/>
              </w:rPr>
              <w:t xml:space="preserve">Declaração do ordenador de despesas, no ente que instituiu Regime Próprio de Previdência Social, sobre o repasse integral das contribuições previdenciárias (servidor e patronal), acrescido dos encargos financeiros em caso de atrasos, de todos os valores devidos no exercício financeiro ao RPPS, decorrentes de leis, acordos, termos de parcelamento e instrumentos congêneres, na forma </w:t>
            </w:r>
            <w:r w:rsidR="006A24AE" w:rsidRPr="006A24AE">
              <w:rPr>
                <w:rFonts w:ascii="Arial" w:eastAsia="Times New Roman" w:hAnsi="Arial" w:cs="Arial"/>
                <w:sz w:val="18"/>
                <w:szCs w:val="18"/>
                <w:lang w:eastAsia="pt-BR"/>
              </w:rPr>
              <w:t>do item 3.2 deste Anexo</w:t>
            </w:r>
            <w:r w:rsidRPr="003B4337">
              <w:rPr>
                <w:rFonts w:ascii="Arial" w:eastAsia="Times New Roman" w:hAnsi="Arial" w:cs="Arial"/>
                <w:sz w:val="18"/>
                <w:szCs w:val="18"/>
                <w:lang w:eastAsia="pt-BR"/>
              </w:rPr>
              <w:t>.</w:t>
            </w:r>
          </w:p>
        </w:tc>
        <w:tc>
          <w:tcPr>
            <w:tcW w:w="992" w:type="dxa"/>
            <w:shd w:val="clear" w:color="auto" w:fill="auto"/>
            <w:vAlign w:val="center"/>
          </w:tcPr>
          <w:p w14:paraId="4B2EF1C1" w14:textId="77777777" w:rsidR="0023229C" w:rsidRPr="003B4337" w:rsidRDefault="0023229C" w:rsidP="0023229C">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23229C" w:rsidRPr="00A5490A" w14:paraId="4B6301E2" w14:textId="77777777" w:rsidTr="00CB7C58">
        <w:trPr>
          <w:trHeight w:val="454"/>
        </w:trPr>
        <w:tc>
          <w:tcPr>
            <w:tcW w:w="1242" w:type="dxa"/>
            <w:vAlign w:val="center"/>
          </w:tcPr>
          <w:p w14:paraId="2CD13BE4" w14:textId="77777777" w:rsidR="0023229C" w:rsidRPr="003B4337" w:rsidRDefault="0023229C" w:rsidP="0023229C">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DELCEDI</w:t>
            </w:r>
          </w:p>
          <w:p w14:paraId="71F35A90" w14:textId="77777777" w:rsidR="0023229C" w:rsidRPr="003B4337" w:rsidRDefault="0023229C" w:rsidP="0023229C">
            <w:pPr>
              <w:spacing w:after="0" w:line="240" w:lineRule="auto"/>
              <w:jc w:val="center"/>
              <w:rPr>
                <w:rFonts w:ascii="Arial" w:eastAsia="Times New Roman" w:hAnsi="Arial" w:cs="Arial"/>
                <w:sz w:val="18"/>
                <w:szCs w:val="18"/>
                <w:lang w:eastAsia="pt-BR"/>
              </w:rPr>
            </w:pPr>
          </w:p>
        </w:tc>
        <w:tc>
          <w:tcPr>
            <w:tcW w:w="6946" w:type="dxa"/>
            <w:shd w:val="clear" w:color="auto" w:fill="auto"/>
            <w:vAlign w:val="center"/>
          </w:tcPr>
          <w:p w14:paraId="1FE6441F" w14:textId="07615459" w:rsidR="0023229C" w:rsidRPr="003B4337" w:rsidRDefault="0023229C" w:rsidP="006A24AE">
            <w:pPr>
              <w:spacing w:before="120" w:after="120" w:line="240" w:lineRule="auto"/>
              <w:jc w:val="both"/>
              <w:rPr>
                <w:rFonts w:ascii="Arial" w:hAnsi="Arial" w:cs="Arial"/>
              </w:rPr>
            </w:pPr>
            <w:r w:rsidRPr="003B4337">
              <w:rPr>
                <w:rFonts w:ascii="Arial" w:eastAsia="Times New Roman" w:hAnsi="Arial" w:cs="Arial"/>
                <w:sz w:val="18"/>
                <w:szCs w:val="18"/>
                <w:lang w:eastAsia="pt-BR"/>
              </w:rPr>
              <w:t xml:space="preserve">Declaração do ordenador de despesas, no ente que instituiu Regime Próprio de Previdência Social, que o mesmo repassou integralmente todas as contribuições previdenciárias (servidor e patronal) devidas no exercício financeiro, incidentes sobre a remuneração de seus servidores efetivos cedidos (seja com ou sem ônus de ressarcimento), na forma </w:t>
            </w:r>
            <w:r>
              <w:rPr>
                <w:rFonts w:ascii="Arial" w:eastAsia="Times New Roman" w:hAnsi="Arial" w:cs="Arial"/>
                <w:sz w:val="18"/>
                <w:szCs w:val="18"/>
                <w:lang w:eastAsia="pt-BR"/>
              </w:rPr>
              <w:t>d</w:t>
            </w:r>
            <w:r w:rsidR="006A24AE">
              <w:rPr>
                <w:rFonts w:ascii="Arial" w:eastAsia="Times New Roman" w:hAnsi="Arial" w:cs="Arial"/>
                <w:sz w:val="18"/>
                <w:szCs w:val="18"/>
                <w:lang w:eastAsia="pt-BR"/>
              </w:rPr>
              <w:t xml:space="preserve">o </w:t>
            </w:r>
            <w:r w:rsidR="006A24AE" w:rsidRPr="006A24AE">
              <w:rPr>
                <w:rFonts w:ascii="Arial" w:eastAsia="Times New Roman" w:hAnsi="Arial" w:cs="Arial"/>
                <w:sz w:val="18"/>
                <w:szCs w:val="18"/>
                <w:lang w:eastAsia="pt-BR"/>
              </w:rPr>
              <w:t>item 3.2 deste Anexo</w:t>
            </w:r>
            <w:r w:rsidRPr="006A24AE">
              <w:rPr>
                <w:rFonts w:ascii="Arial" w:eastAsia="Times New Roman" w:hAnsi="Arial" w:cs="Arial"/>
                <w:sz w:val="18"/>
                <w:szCs w:val="18"/>
                <w:lang w:eastAsia="pt-BR"/>
              </w:rPr>
              <w:t>.</w:t>
            </w:r>
            <w:r w:rsidRPr="006A24AE">
              <w:rPr>
                <w:rFonts w:ascii="Arial" w:hAnsi="Arial" w:cs="Arial"/>
              </w:rPr>
              <w:t xml:space="preserve"> </w:t>
            </w:r>
          </w:p>
        </w:tc>
        <w:tc>
          <w:tcPr>
            <w:tcW w:w="992" w:type="dxa"/>
            <w:shd w:val="clear" w:color="auto" w:fill="auto"/>
            <w:vAlign w:val="center"/>
          </w:tcPr>
          <w:p w14:paraId="5FD00BD6" w14:textId="77777777" w:rsidR="0023229C" w:rsidRPr="003B4337" w:rsidRDefault="0023229C" w:rsidP="0023229C">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23229C" w:rsidRPr="00A5490A" w14:paraId="1AFD692D" w14:textId="77777777" w:rsidTr="00CB7C58">
        <w:trPr>
          <w:trHeight w:val="454"/>
        </w:trPr>
        <w:tc>
          <w:tcPr>
            <w:tcW w:w="1242" w:type="dxa"/>
            <w:vAlign w:val="center"/>
          </w:tcPr>
          <w:p w14:paraId="304C1F95" w14:textId="77777777" w:rsidR="0023229C" w:rsidRPr="003B4337" w:rsidRDefault="0023229C" w:rsidP="0023229C">
            <w:pPr>
              <w:spacing w:before="120" w:after="12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DECINAT</w:t>
            </w:r>
          </w:p>
        </w:tc>
        <w:tc>
          <w:tcPr>
            <w:tcW w:w="6946" w:type="dxa"/>
            <w:shd w:val="clear" w:color="auto" w:fill="auto"/>
            <w:vAlign w:val="center"/>
          </w:tcPr>
          <w:p w14:paraId="736460DB" w14:textId="3E6A3965" w:rsidR="0023229C" w:rsidRPr="003B4337" w:rsidRDefault="0023229C" w:rsidP="00AD7F79">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Declaração do ordenador de despesas informando se há pagamento de aposentadorias e pensões sendo realizados de forma direta pela entidade, e, caso ocorra, que informe o suporte legal para tal procedimento, além de planilha adicional informando o nome do beneficiário, o tipo de benefício, sua base legal de concessão, cargo que ocupava na atividade, a data e o número do ato concessão do benefício, o valor original e atualizado do benefício recebido, na forma </w:t>
            </w:r>
            <w:r w:rsidR="00AD7F79">
              <w:rPr>
                <w:rFonts w:ascii="Arial" w:eastAsia="Times New Roman" w:hAnsi="Arial" w:cs="Arial"/>
                <w:sz w:val="18"/>
                <w:szCs w:val="18"/>
                <w:lang w:eastAsia="pt-BR"/>
              </w:rPr>
              <w:t xml:space="preserve">do </w:t>
            </w:r>
            <w:r w:rsidR="00AD7F79" w:rsidRPr="0087114F">
              <w:rPr>
                <w:rFonts w:ascii="Arial" w:eastAsia="Times New Roman" w:hAnsi="Arial" w:cs="Arial"/>
                <w:sz w:val="18"/>
                <w:szCs w:val="18"/>
                <w:lang w:eastAsia="pt-BR"/>
              </w:rPr>
              <w:t>item 3.2 deste Anexo.</w:t>
            </w:r>
          </w:p>
        </w:tc>
        <w:tc>
          <w:tcPr>
            <w:tcW w:w="992" w:type="dxa"/>
            <w:shd w:val="clear" w:color="auto" w:fill="auto"/>
            <w:vAlign w:val="center"/>
          </w:tcPr>
          <w:p w14:paraId="6CE4A791" w14:textId="77777777" w:rsidR="0023229C" w:rsidRPr="003B4337" w:rsidRDefault="0023229C" w:rsidP="0023229C">
            <w:pPr>
              <w:spacing w:before="120" w:after="12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BB7DB5" w:rsidRPr="00A5490A" w14:paraId="28EBF33E" w14:textId="77777777" w:rsidTr="00CB7C58">
        <w:trPr>
          <w:trHeight w:val="454"/>
        </w:trPr>
        <w:tc>
          <w:tcPr>
            <w:tcW w:w="1242" w:type="dxa"/>
            <w:vAlign w:val="center"/>
          </w:tcPr>
          <w:p w14:paraId="3CBA40A8" w14:textId="0BA9446E" w:rsidR="00BB7DB5" w:rsidRPr="00BB7DB5" w:rsidRDefault="00BB7DB5" w:rsidP="00BB7DB5">
            <w:pPr>
              <w:spacing w:before="120" w:after="120" w:line="240" w:lineRule="auto"/>
              <w:jc w:val="center"/>
              <w:rPr>
                <w:rFonts w:ascii="Arial" w:eastAsia="Times New Roman" w:hAnsi="Arial" w:cs="Arial"/>
                <w:sz w:val="18"/>
                <w:szCs w:val="18"/>
                <w:lang w:eastAsia="pt-BR"/>
              </w:rPr>
            </w:pPr>
            <w:r w:rsidRPr="00BB7DB5">
              <w:rPr>
                <w:rFonts w:ascii="Arial" w:eastAsia="Times New Roman" w:hAnsi="Arial" w:cs="Arial"/>
                <w:sz w:val="18"/>
                <w:szCs w:val="18"/>
                <w:lang w:eastAsia="pt-BR"/>
              </w:rPr>
              <w:t>LIMITA</w:t>
            </w:r>
          </w:p>
        </w:tc>
        <w:tc>
          <w:tcPr>
            <w:tcW w:w="6946" w:type="dxa"/>
            <w:shd w:val="clear" w:color="auto" w:fill="auto"/>
            <w:vAlign w:val="center"/>
          </w:tcPr>
          <w:p w14:paraId="504F3FD4" w14:textId="77B2E588" w:rsidR="00BB7DB5" w:rsidRPr="00BB7DB5" w:rsidRDefault="00BB7DB5" w:rsidP="00BB7DB5">
            <w:pPr>
              <w:spacing w:before="120" w:after="120" w:line="240" w:lineRule="auto"/>
              <w:jc w:val="both"/>
              <w:rPr>
                <w:rFonts w:ascii="Arial" w:eastAsia="Times New Roman" w:hAnsi="Arial" w:cs="Arial"/>
                <w:sz w:val="18"/>
                <w:szCs w:val="18"/>
                <w:lang w:eastAsia="pt-BR"/>
              </w:rPr>
            </w:pPr>
            <w:r w:rsidRPr="00BB7DB5">
              <w:rPr>
                <w:rFonts w:ascii="Arial" w:eastAsia="Times New Roman" w:hAnsi="Arial" w:cs="Arial"/>
                <w:sz w:val="18"/>
                <w:szCs w:val="18"/>
                <w:lang w:eastAsia="pt-BR"/>
              </w:rPr>
              <w:t xml:space="preserve">Atos da autoridade competente expedidos no exercício da prestação de contas, promovendo a limitação de empenho e movimentação financeira, quando foi </w:t>
            </w:r>
            <w:r w:rsidRPr="00BB7DB5">
              <w:rPr>
                <w:rFonts w:ascii="Arial" w:eastAsia="Times New Roman" w:hAnsi="Arial" w:cs="Arial"/>
                <w:sz w:val="18"/>
                <w:szCs w:val="18"/>
                <w:lang w:eastAsia="pt-BR"/>
              </w:rPr>
              <w:lastRenderedPageBreak/>
              <w:t>constatado que a realização da receita não comportou o cumprimento das metas de resultado primário ou nominal estabelecidas no Anexo de Metas Fiscais.</w:t>
            </w:r>
          </w:p>
        </w:tc>
        <w:tc>
          <w:tcPr>
            <w:tcW w:w="992" w:type="dxa"/>
            <w:shd w:val="clear" w:color="auto" w:fill="auto"/>
            <w:vAlign w:val="center"/>
          </w:tcPr>
          <w:p w14:paraId="0B5076D8" w14:textId="251C8DBD" w:rsidR="00BB7DB5" w:rsidRPr="00BB7DB5" w:rsidRDefault="00BB7DB5" w:rsidP="00BB7DB5">
            <w:pPr>
              <w:spacing w:before="120" w:after="120" w:line="240" w:lineRule="auto"/>
              <w:jc w:val="center"/>
              <w:rPr>
                <w:rFonts w:ascii="Arial" w:eastAsia="Times New Roman" w:hAnsi="Arial" w:cs="Arial"/>
                <w:sz w:val="14"/>
                <w:szCs w:val="14"/>
                <w:lang w:eastAsia="pt-BR"/>
              </w:rPr>
            </w:pPr>
            <w:r w:rsidRPr="00BB7DB5">
              <w:rPr>
                <w:rFonts w:ascii="Arial" w:eastAsia="Times New Roman" w:hAnsi="Arial" w:cs="Arial"/>
                <w:sz w:val="14"/>
                <w:szCs w:val="14"/>
                <w:lang w:eastAsia="pt-BR"/>
              </w:rPr>
              <w:lastRenderedPageBreak/>
              <w:t>PDF</w:t>
            </w:r>
          </w:p>
        </w:tc>
      </w:tr>
      <w:tr w:rsidR="00BB7DB5" w:rsidRPr="00A5490A" w14:paraId="5F3BB81C" w14:textId="77777777" w:rsidTr="00CB7C58">
        <w:trPr>
          <w:trHeight w:val="454"/>
        </w:trPr>
        <w:tc>
          <w:tcPr>
            <w:tcW w:w="1242" w:type="dxa"/>
            <w:vAlign w:val="center"/>
          </w:tcPr>
          <w:p w14:paraId="0D3B1708" w14:textId="537664E6" w:rsidR="00BB7DB5" w:rsidRPr="00BB7DB5" w:rsidRDefault="00BB7DB5" w:rsidP="00BB7DB5">
            <w:pPr>
              <w:spacing w:before="120" w:after="120" w:line="240" w:lineRule="auto"/>
              <w:jc w:val="center"/>
              <w:rPr>
                <w:rFonts w:ascii="Arial" w:eastAsia="Times New Roman" w:hAnsi="Arial" w:cs="Arial"/>
                <w:sz w:val="18"/>
                <w:szCs w:val="18"/>
                <w:lang w:eastAsia="pt-BR"/>
              </w:rPr>
            </w:pPr>
            <w:r w:rsidRPr="00BB7DB5">
              <w:rPr>
                <w:rFonts w:ascii="Arial" w:eastAsia="Arial" w:hAnsi="Arial" w:cs="Arial"/>
                <w:sz w:val="18"/>
              </w:rPr>
              <w:lastRenderedPageBreak/>
              <w:t>PESS</w:t>
            </w:r>
          </w:p>
        </w:tc>
        <w:tc>
          <w:tcPr>
            <w:tcW w:w="6946" w:type="dxa"/>
            <w:shd w:val="clear" w:color="auto" w:fill="auto"/>
            <w:vAlign w:val="center"/>
          </w:tcPr>
          <w:p w14:paraId="2EEF5251" w14:textId="0009B236" w:rsidR="00BB7DB5" w:rsidRPr="00BB7DB5" w:rsidRDefault="00BB7DB5" w:rsidP="00BB7DB5">
            <w:pPr>
              <w:spacing w:before="120" w:after="120" w:line="240" w:lineRule="auto"/>
              <w:jc w:val="both"/>
              <w:rPr>
                <w:rFonts w:ascii="Arial" w:eastAsia="Times New Roman" w:hAnsi="Arial" w:cs="Arial"/>
                <w:sz w:val="18"/>
                <w:szCs w:val="18"/>
                <w:lang w:eastAsia="pt-BR"/>
              </w:rPr>
            </w:pPr>
            <w:r w:rsidRPr="00BB7DB5">
              <w:rPr>
                <w:rFonts w:ascii="Arial" w:eastAsia="Times New Roman" w:hAnsi="Arial" w:cs="Arial"/>
                <w:sz w:val="18"/>
                <w:szCs w:val="18"/>
                <w:lang w:eastAsia="pt-BR"/>
              </w:rPr>
              <w:t>Declaração do Chefe do Poder assegurando o atendimento ao artigo 21 da Lei de Responsabilidade Fiscal e ao artigo 8º da Lei Complementar 173/2020, na forma do item 3.2 deste Anexo.</w:t>
            </w:r>
          </w:p>
        </w:tc>
        <w:tc>
          <w:tcPr>
            <w:tcW w:w="992" w:type="dxa"/>
            <w:shd w:val="clear" w:color="auto" w:fill="auto"/>
            <w:vAlign w:val="center"/>
          </w:tcPr>
          <w:p w14:paraId="2E35C10C" w14:textId="0F066F40" w:rsidR="00BB7DB5" w:rsidRPr="00BB7DB5" w:rsidRDefault="00BB7DB5" w:rsidP="00BB7DB5">
            <w:pPr>
              <w:spacing w:before="120" w:after="120" w:line="240" w:lineRule="auto"/>
              <w:jc w:val="center"/>
              <w:rPr>
                <w:rFonts w:ascii="Arial" w:eastAsia="Times New Roman" w:hAnsi="Arial" w:cs="Arial"/>
                <w:sz w:val="14"/>
                <w:szCs w:val="14"/>
                <w:lang w:eastAsia="pt-BR"/>
              </w:rPr>
            </w:pPr>
            <w:r w:rsidRPr="00BB7DB5">
              <w:rPr>
                <w:rFonts w:ascii="Arial" w:eastAsia="Times New Roman" w:hAnsi="Arial" w:cs="Arial"/>
                <w:sz w:val="14"/>
                <w:szCs w:val="14"/>
                <w:lang w:eastAsia="pt-BR"/>
              </w:rPr>
              <w:t>PDF</w:t>
            </w:r>
          </w:p>
        </w:tc>
      </w:tr>
      <w:tr w:rsidR="00BB7DB5" w:rsidRPr="00A5490A" w14:paraId="13324BD1" w14:textId="77777777" w:rsidTr="00CB7C58">
        <w:trPr>
          <w:trHeight w:val="454"/>
        </w:trPr>
        <w:tc>
          <w:tcPr>
            <w:tcW w:w="1242" w:type="dxa"/>
            <w:vAlign w:val="center"/>
          </w:tcPr>
          <w:p w14:paraId="58A1C4D6" w14:textId="04E6B57C" w:rsidR="00BB7DB5" w:rsidRPr="00BB7DB5" w:rsidRDefault="00BB7DB5" w:rsidP="00BB7DB5">
            <w:pPr>
              <w:spacing w:before="120" w:after="120" w:line="240" w:lineRule="auto"/>
              <w:jc w:val="center"/>
              <w:rPr>
                <w:rFonts w:ascii="Arial" w:eastAsia="Times New Roman" w:hAnsi="Arial" w:cs="Arial"/>
                <w:sz w:val="18"/>
                <w:szCs w:val="18"/>
                <w:lang w:eastAsia="pt-BR"/>
              </w:rPr>
            </w:pPr>
            <w:r w:rsidRPr="00BB7DB5">
              <w:rPr>
                <w:rFonts w:ascii="Arial" w:eastAsia="Arial" w:hAnsi="Arial" w:cs="Arial"/>
                <w:sz w:val="18"/>
              </w:rPr>
              <w:t>LEIPESS</w:t>
            </w:r>
          </w:p>
        </w:tc>
        <w:tc>
          <w:tcPr>
            <w:tcW w:w="6946" w:type="dxa"/>
            <w:shd w:val="clear" w:color="auto" w:fill="auto"/>
            <w:vAlign w:val="center"/>
          </w:tcPr>
          <w:p w14:paraId="510939A8" w14:textId="21CCFEE7" w:rsidR="00BB7DB5" w:rsidRPr="00BB7DB5" w:rsidRDefault="00BB7DB5" w:rsidP="00BB7DB5">
            <w:pPr>
              <w:spacing w:before="120" w:after="120" w:line="240" w:lineRule="auto"/>
              <w:jc w:val="both"/>
              <w:rPr>
                <w:rFonts w:ascii="Arial" w:eastAsia="Times New Roman" w:hAnsi="Arial" w:cs="Arial"/>
                <w:sz w:val="18"/>
                <w:szCs w:val="18"/>
                <w:lang w:eastAsia="pt-BR"/>
              </w:rPr>
            </w:pPr>
            <w:r w:rsidRPr="00BB7DB5">
              <w:rPr>
                <w:rFonts w:ascii="Arial" w:eastAsia="Times New Roman" w:hAnsi="Arial" w:cs="Arial"/>
                <w:sz w:val="18"/>
                <w:szCs w:val="18"/>
                <w:lang w:eastAsia="pt-BR"/>
              </w:rPr>
              <w:t>Cópia das leis e/ou norma(s) legal(is) contendo qualquer criação, alteração, reestruturação de cargos, carreiras, empregos públicos, funções, vantagens, adicionais, auxílios, reajustes salariais e revisão geral anual concedidas, editadas, sancionadas e/ou aprovadas no exercício da prestação de contas.</w:t>
            </w:r>
          </w:p>
        </w:tc>
        <w:tc>
          <w:tcPr>
            <w:tcW w:w="992" w:type="dxa"/>
            <w:shd w:val="clear" w:color="auto" w:fill="auto"/>
            <w:vAlign w:val="center"/>
          </w:tcPr>
          <w:p w14:paraId="69F5BBCB" w14:textId="505BB5AF" w:rsidR="00BB7DB5" w:rsidRPr="00BB7DB5" w:rsidRDefault="00BB7DB5" w:rsidP="00BB7DB5">
            <w:pPr>
              <w:spacing w:before="120" w:after="120" w:line="240" w:lineRule="auto"/>
              <w:jc w:val="center"/>
              <w:rPr>
                <w:rFonts w:ascii="Arial" w:eastAsia="Times New Roman" w:hAnsi="Arial" w:cs="Arial"/>
                <w:sz w:val="14"/>
                <w:szCs w:val="14"/>
                <w:lang w:eastAsia="pt-BR"/>
              </w:rPr>
            </w:pPr>
            <w:r w:rsidRPr="00BB7DB5">
              <w:rPr>
                <w:rFonts w:ascii="Arial" w:eastAsia="Times New Roman" w:hAnsi="Arial" w:cs="Arial"/>
                <w:sz w:val="14"/>
                <w:szCs w:val="14"/>
                <w:lang w:eastAsia="pt-BR"/>
              </w:rPr>
              <w:t>PDF</w:t>
            </w:r>
          </w:p>
        </w:tc>
      </w:tr>
      <w:tr w:rsidR="00BB7DB5" w:rsidRPr="00A5490A" w14:paraId="45649911" w14:textId="77777777" w:rsidTr="00CB7C58">
        <w:trPr>
          <w:trHeight w:val="454"/>
        </w:trPr>
        <w:tc>
          <w:tcPr>
            <w:tcW w:w="1242" w:type="dxa"/>
            <w:vAlign w:val="center"/>
          </w:tcPr>
          <w:p w14:paraId="5213C60D" w14:textId="6955D310" w:rsidR="00BB7DB5" w:rsidRPr="00BB7DB5" w:rsidRDefault="00BB7DB5" w:rsidP="00BB7DB5">
            <w:pPr>
              <w:spacing w:before="120" w:after="120" w:line="240" w:lineRule="auto"/>
              <w:jc w:val="center"/>
              <w:rPr>
                <w:rFonts w:ascii="Arial" w:eastAsia="Times New Roman" w:hAnsi="Arial" w:cs="Arial"/>
                <w:sz w:val="18"/>
                <w:szCs w:val="18"/>
                <w:lang w:eastAsia="pt-BR"/>
              </w:rPr>
            </w:pPr>
            <w:r w:rsidRPr="00BB7DB5">
              <w:rPr>
                <w:rFonts w:ascii="Arial" w:eastAsia="Arial" w:hAnsi="Arial" w:cs="Arial"/>
                <w:sz w:val="18"/>
              </w:rPr>
              <w:t>CRONOS</w:t>
            </w:r>
          </w:p>
        </w:tc>
        <w:tc>
          <w:tcPr>
            <w:tcW w:w="6946" w:type="dxa"/>
            <w:shd w:val="clear" w:color="auto" w:fill="auto"/>
            <w:vAlign w:val="center"/>
          </w:tcPr>
          <w:p w14:paraId="5BA1C4C0" w14:textId="1C8EFA83" w:rsidR="00BB7DB5" w:rsidRPr="00BB7DB5" w:rsidRDefault="00BB7DB5" w:rsidP="00BB7DB5">
            <w:pPr>
              <w:spacing w:before="120" w:after="120" w:line="240" w:lineRule="auto"/>
              <w:jc w:val="both"/>
              <w:rPr>
                <w:rFonts w:ascii="Arial" w:eastAsia="Times New Roman" w:hAnsi="Arial" w:cs="Arial"/>
                <w:sz w:val="18"/>
                <w:szCs w:val="18"/>
                <w:lang w:eastAsia="pt-BR"/>
              </w:rPr>
            </w:pPr>
            <w:r w:rsidRPr="00BB7DB5">
              <w:rPr>
                <w:rFonts w:ascii="Arial" w:eastAsia="Times New Roman" w:hAnsi="Arial" w:cs="Arial"/>
                <w:sz w:val="18"/>
                <w:szCs w:val="18"/>
                <w:lang w:eastAsia="pt-BR"/>
              </w:rPr>
              <w:t>Ato(s) normativo(s) da autoridade competente regulamentando a ordem cronológica dos pagamentos, nos termos do art. 5º da Lei Federal nº  8666/93.</w:t>
            </w:r>
          </w:p>
        </w:tc>
        <w:tc>
          <w:tcPr>
            <w:tcW w:w="992" w:type="dxa"/>
            <w:shd w:val="clear" w:color="auto" w:fill="auto"/>
            <w:vAlign w:val="center"/>
          </w:tcPr>
          <w:p w14:paraId="6805E665" w14:textId="342D2412" w:rsidR="00BB7DB5" w:rsidRPr="00BB7DB5" w:rsidRDefault="00BB7DB5" w:rsidP="00BB7DB5">
            <w:pPr>
              <w:spacing w:before="120" w:after="120" w:line="240" w:lineRule="auto"/>
              <w:jc w:val="center"/>
              <w:rPr>
                <w:rFonts w:ascii="Arial" w:eastAsia="Times New Roman" w:hAnsi="Arial" w:cs="Arial"/>
                <w:sz w:val="14"/>
                <w:szCs w:val="14"/>
                <w:lang w:eastAsia="pt-BR"/>
              </w:rPr>
            </w:pPr>
            <w:r w:rsidRPr="00BB7DB5">
              <w:rPr>
                <w:rFonts w:ascii="Arial" w:eastAsia="Times New Roman" w:hAnsi="Arial" w:cs="Arial"/>
                <w:sz w:val="14"/>
                <w:szCs w:val="14"/>
                <w:lang w:eastAsia="pt-BR"/>
              </w:rPr>
              <w:t>PDF</w:t>
            </w:r>
          </w:p>
        </w:tc>
      </w:tr>
      <w:tr w:rsidR="00BB7DB5" w:rsidRPr="00A5490A" w14:paraId="58F061A8" w14:textId="77777777" w:rsidTr="00CB7C58">
        <w:trPr>
          <w:trHeight w:val="454"/>
        </w:trPr>
        <w:tc>
          <w:tcPr>
            <w:tcW w:w="1242" w:type="dxa"/>
            <w:vAlign w:val="center"/>
          </w:tcPr>
          <w:p w14:paraId="63B0B15A" w14:textId="42CD8E05" w:rsidR="00BB7DB5" w:rsidRPr="00BB7DB5" w:rsidRDefault="00BB7DB5" w:rsidP="00BB7DB5">
            <w:pPr>
              <w:spacing w:before="120" w:after="120" w:line="240" w:lineRule="auto"/>
              <w:jc w:val="center"/>
              <w:rPr>
                <w:rFonts w:ascii="Arial" w:eastAsia="Times New Roman" w:hAnsi="Arial" w:cs="Arial"/>
                <w:sz w:val="18"/>
                <w:szCs w:val="18"/>
                <w:lang w:eastAsia="pt-BR"/>
              </w:rPr>
            </w:pPr>
            <w:r w:rsidRPr="00BB7DB5">
              <w:rPr>
                <w:rFonts w:ascii="Arial" w:eastAsia="Arial" w:hAnsi="Arial" w:cs="Arial"/>
                <w:sz w:val="18"/>
              </w:rPr>
              <w:t>JUSTCRO</w:t>
            </w:r>
          </w:p>
        </w:tc>
        <w:tc>
          <w:tcPr>
            <w:tcW w:w="6946" w:type="dxa"/>
            <w:shd w:val="clear" w:color="auto" w:fill="auto"/>
            <w:vAlign w:val="center"/>
          </w:tcPr>
          <w:p w14:paraId="0C90BF7C" w14:textId="62CE3A98" w:rsidR="00BB7DB5" w:rsidRPr="00BB7DB5" w:rsidRDefault="00BB7DB5" w:rsidP="00BB7DB5">
            <w:pPr>
              <w:spacing w:before="120" w:after="120" w:line="240" w:lineRule="auto"/>
              <w:jc w:val="both"/>
              <w:rPr>
                <w:rFonts w:ascii="Arial" w:eastAsia="Times New Roman" w:hAnsi="Arial" w:cs="Arial"/>
                <w:sz w:val="18"/>
                <w:szCs w:val="18"/>
                <w:lang w:eastAsia="pt-BR"/>
              </w:rPr>
            </w:pPr>
            <w:r w:rsidRPr="00BB7DB5">
              <w:rPr>
                <w:rFonts w:ascii="Arial" w:eastAsia="Times New Roman" w:hAnsi="Arial" w:cs="Arial"/>
                <w:sz w:val="18"/>
                <w:szCs w:val="18"/>
                <w:lang w:eastAsia="pt-BR"/>
              </w:rPr>
              <w:t>Justificativas da autoridade competente evidenciando as relevantes razões de interesse público para todos os pagamentos que inobservaram a estrita ordem cronológica das datas de suas exigibilidades, para cada fonte diferenciada de recursos, acompanhadas de suas respectivas publicações no exercício.</w:t>
            </w:r>
          </w:p>
        </w:tc>
        <w:tc>
          <w:tcPr>
            <w:tcW w:w="992" w:type="dxa"/>
            <w:shd w:val="clear" w:color="auto" w:fill="auto"/>
            <w:vAlign w:val="center"/>
          </w:tcPr>
          <w:p w14:paraId="280EC034" w14:textId="1CAABED3" w:rsidR="00BB7DB5" w:rsidRPr="00BB7DB5" w:rsidRDefault="00BB7DB5" w:rsidP="00BB7DB5">
            <w:pPr>
              <w:spacing w:before="120" w:after="120" w:line="240" w:lineRule="auto"/>
              <w:jc w:val="center"/>
              <w:rPr>
                <w:rFonts w:ascii="Arial" w:eastAsia="Times New Roman" w:hAnsi="Arial" w:cs="Arial"/>
                <w:sz w:val="14"/>
                <w:szCs w:val="14"/>
                <w:lang w:eastAsia="pt-BR"/>
              </w:rPr>
            </w:pPr>
            <w:r w:rsidRPr="00BB7DB5">
              <w:rPr>
                <w:rFonts w:ascii="Arial" w:eastAsia="Times New Roman" w:hAnsi="Arial" w:cs="Arial"/>
                <w:sz w:val="14"/>
                <w:szCs w:val="14"/>
                <w:lang w:eastAsia="pt-BR"/>
              </w:rPr>
              <w:t>PDF</w:t>
            </w:r>
          </w:p>
        </w:tc>
      </w:tr>
      <w:tr w:rsidR="006A24AE" w:rsidRPr="00A5490A" w14:paraId="613EB253" w14:textId="77777777" w:rsidTr="00CB7C58">
        <w:trPr>
          <w:trHeight w:val="454"/>
        </w:trPr>
        <w:tc>
          <w:tcPr>
            <w:tcW w:w="1242" w:type="dxa"/>
            <w:vAlign w:val="center"/>
          </w:tcPr>
          <w:p w14:paraId="06B8B4CC" w14:textId="53FF5826" w:rsidR="006A24AE" w:rsidRDefault="006A24AE" w:rsidP="006A24AE">
            <w:pPr>
              <w:spacing w:after="0" w:line="240" w:lineRule="auto"/>
              <w:jc w:val="center"/>
              <w:rPr>
                <w:rFonts w:ascii="Arial" w:eastAsia="Times New Roman" w:hAnsi="Arial" w:cs="Arial"/>
                <w:sz w:val="18"/>
                <w:szCs w:val="18"/>
                <w:lang w:eastAsia="pt-BR"/>
              </w:rPr>
            </w:pPr>
            <w:r>
              <w:rPr>
                <w:rFonts w:ascii="Arial" w:eastAsia="Times New Roman" w:hAnsi="Arial" w:cs="Arial"/>
                <w:sz w:val="18"/>
                <w:szCs w:val="18"/>
                <w:lang w:eastAsia="pt-BR"/>
              </w:rPr>
              <w:t>NOTAEXP</w:t>
            </w:r>
          </w:p>
        </w:tc>
        <w:tc>
          <w:tcPr>
            <w:tcW w:w="6946" w:type="dxa"/>
            <w:shd w:val="clear" w:color="auto" w:fill="auto"/>
            <w:vAlign w:val="center"/>
          </w:tcPr>
          <w:p w14:paraId="3FF05EE5" w14:textId="77777777" w:rsidR="006A24AE" w:rsidRPr="006A24AE" w:rsidRDefault="006A24AE" w:rsidP="006A24AE">
            <w:pPr>
              <w:pStyle w:val="TableParagraph"/>
              <w:spacing w:before="120" w:after="120"/>
              <w:ind w:left="102" w:right="111"/>
              <w:jc w:val="both"/>
              <w:rPr>
                <w:rFonts w:ascii="Arial" w:hAnsi="Arial" w:cs="Arial"/>
                <w:sz w:val="18"/>
                <w:szCs w:val="18"/>
                <w:lang w:val="pt-BR"/>
              </w:rPr>
            </w:pPr>
            <w:r w:rsidRPr="006A24AE">
              <w:rPr>
                <w:rFonts w:ascii="Arial" w:hAnsi="Arial" w:cs="Arial"/>
                <w:sz w:val="18"/>
                <w:szCs w:val="18"/>
                <w:lang w:val="pt-BR"/>
              </w:rPr>
              <w:t>Notas Explicativas às Demonstrações Contábeis, conforme layout constante do item 3.1 deste Anexo, contendo:</w:t>
            </w:r>
          </w:p>
          <w:p w14:paraId="03755E12" w14:textId="77777777" w:rsidR="006A24AE" w:rsidRPr="006A24AE" w:rsidRDefault="006A24AE" w:rsidP="005C719B">
            <w:pPr>
              <w:pStyle w:val="PargrafodaLista"/>
              <w:numPr>
                <w:ilvl w:val="0"/>
                <w:numId w:val="35"/>
              </w:numPr>
              <w:spacing w:before="120" w:after="120" w:line="240" w:lineRule="auto"/>
              <w:ind w:left="822"/>
              <w:contextualSpacing w:val="0"/>
              <w:jc w:val="both"/>
              <w:rPr>
                <w:rFonts w:ascii="Arial" w:hAnsi="Arial" w:cs="Arial"/>
                <w:sz w:val="18"/>
                <w:szCs w:val="18"/>
              </w:rPr>
            </w:pPr>
            <w:r w:rsidRPr="006A24AE">
              <w:rPr>
                <w:rFonts w:ascii="Arial" w:hAnsi="Arial" w:cs="Arial"/>
                <w:sz w:val="18"/>
                <w:szCs w:val="18"/>
              </w:rPr>
              <w:t>Informações gerais da entidade: natureza jurídica, natureza das operações, atividades desempenhadas, lei de instituição, conforme o caso, e declaração de conformidade com leis e normas de contabilidade aplicáveis;</w:t>
            </w:r>
          </w:p>
          <w:p w14:paraId="48A69B13" w14:textId="77777777" w:rsidR="006A24AE" w:rsidRPr="006A24AE" w:rsidRDefault="006A24AE" w:rsidP="005C719B">
            <w:pPr>
              <w:pStyle w:val="PargrafodaLista"/>
              <w:numPr>
                <w:ilvl w:val="0"/>
                <w:numId w:val="35"/>
              </w:numPr>
              <w:spacing w:before="120" w:after="120" w:line="240" w:lineRule="auto"/>
              <w:ind w:left="822"/>
              <w:contextualSpacing w:val="0"/>
              <w:jc w:val="both"/>
              <w:rPr>
                <w:rFonts w:ascii="Arial" w:hAnsi="Arial" w:cs="Arial"/>
                <w:sz w:val="18"/>
                <w:szCs w:val="18"/>
              </w:rPr>
            </w:pPr>
            <w:r w:rsidRPr="006A24AE">
              <w:rPr>
                <w:rFonts w:ascii="Arial" w:hAnsi="Arial" w:cs="Arial"/>
                <w:sz w:val="18"/>
                <w:szCs w:val="18"/>
              </w:rPr>
              <w:t>Resumo das Políticas Contábeis relevantes: base de mensuração utilizada, adoção de novas políticas contábeis;</w:t>
            </w:r>
          </w:p>
          <w:p w14:paraId="3A980D22" w14:textId="77777777" w:rsidR="006A24AE" w:rsidRPr="006A24AE" w:rsidRDefault="006A24AE" w:rsidP="005C719B">
            <w:pPr>
              <w:pStyle w:val="PargrafodaLista"/>
              <w:numPr>
                <w:ilvl w:val="0"/>
                <w:numId w:val="35"/>
              </w:numPr>
              <w:spacing w:before="120" w:after="120" w:line="240" w:lineRule="auto"/>
              <w:ind w:left="822"/>
              <w:contextualSpacing w:val="0"/>
              <w:jc w:val="both"/>
              <w:rPr>
                <w:rFonts w:ascii="Arial" w:hAnsi="Arial" w:cs="Arial"/>
                <w:sz w:val="18"/>
                <w:szCs w:val="18"/>
              </w:rPr>
            </w:pPr>
            <w:r w:rsidRPr="006A24AE">
              <w:rPr>
                <w:rFonts w:ascii="Arial" w:hAnsi="Arial" w:cs="Arial"/>
                <w:sz w:val="18"/>
                <w:szCs w:val="18"/>
              </w:rPr>
              <w:t>Detalhamento de informações relevantes contidas nos Demonstrativos Contábeis;</w:t>
            </w:r>
          </w:p>
          <w:p w14:paraId="497B7ED0" w14:textId="763C9409" w:rsidR="006A24AE" w:rsidRPr="006A24AE" w:rsidRDefault="006A24AE" w:rsidP="005C719B">
            <w:pPr>
              <w:pStyle w:val="PargrafodaLista"/>
              <w:numPr>
                <w:ilvl w:val="0"/>
                <w:numId w:val="35"/>
              </w:numPr>
              <w:spacing w:before="120" w:after="120" w:line="240" w:lineRule="auto"/>
              <w:ind w:left="822"/>
              <w:contextualSpacing w:val="0"/>
              <w:jc w:val="both"/>
              <w:rPr>
                <w:rFonts w:ascii="Arial" w:eastAsia="Times New Roman" w:hAnsi="Arial" w:cs="Arial"/>
                <w:sz w:val="18"/>
                <w:szCs w:val="18"/>
                <w:lang w:eastAsia="pt-BR"/>
              </w:rPr>
            </w:pPr>
            <w:r w:rsidRPr="006A24AE">
              <w:rPr>
                <w:rFonts w:ascii="Arial" w:hAnsi="Arial" w:cs="Arial"/>
                <w:sz w:val="18"/>
                <w:szCs w:val="18"/>
              </w:rPr>
              <w:t>Demais informações relevantes: passivos contingentes e compromissos contratuais não reconhecidos; ajustes decorrentes de erros, etc.</w:t>
            </w:r>
          </w:p>
        </w:tc>
        <w:tc>
          <w:tcPr>
            <w:tcW w:w="992" w:type="dxa"/>
            <w:shd w:val="clear" w:color="auto" w:fill="auto"/>
            <w:vAlign w:val="center"/>
          </w:tcPr>
          <w:p w14:paraId="21BCC0D7" w14:textId="096B5336" w:rsidR="006A24AE" w:rsidRPr="006A24AE" w:rsidRDefault="006A24AE" w:rsidP="006A24AE">
            <w:pPr>
              <w:spacing w:after="0" w:line="240" w:lineRule="auto"/>
              <w:jc w:val="center"/>
              <w:rPr>
                <w:rFonts w:ascii="Arial" w:eastAsia="Times New Roman" w:hAnsi="Arial" w:cs="Arial"/>
                <w:sz w:val="14"/>
                <w:szCs w:val="14"/>
                <w:lang w:eastAsia="pt-BR"/>
              </w:rPr>
            </w:pPr>
            <w:r w:rsidRPr="006A24AE">
              <w:rPr>
                <w:rFonts w:ascii="Arial" w:eastAsia="Times New Roman" w:hAnsi="Arial" w:cs="Arial"/>
                <w:sz w:val="14"/>
                <w:szCs w:val="14"/>
                <w:lang w:eastAsia="pt-BR"/>
              </w:rPr>
              <w:t>XML</w:t>
            </w:r>
          </w:p>
        </w:tc>
      </w:tr>
      <w:tr w:rsidR="0023229C" w:rsidRPr="00A5490A" w14:paraId="45330D8D" w14:textId="77777777" w:rsidTr="00CB7C58">
        <w:trPr>
          <w:trHeight w:val="454"/>
        </w:trPr>
        <w:tc>
          <w:tcPr>
            <w:tcW w:w="1242" w:type="dxa"/>
            <w:vAlign w:val="center"/>
          </w:tcPr>
          <w:p w14:paraId="3D4BF929" w14:textId="77777777" w:rsidR="0023229C" w:rsidRPr="00A5490A" w:rsidRDefault="0023229C" w:rsidP="0023229C">
            <w:pPr>
              <w:spacing w:after="0" w:line="240" w:lineRule="auto"/>
              <w:jc w:val="center"/>
              <w:rPr>
                <w:rFonts w:ascii="Arial" w:eastAsia="Times New Roman" w:hAnsi="Arial" w:cs="Arial"/>
                <w:sz w:val="18"/>
                <w:szCs w:val="18"/>
                <w:lang w:eastAsia="pt-BR"/>
              </w:rPr>
            </w:pPr>
            <w:r>
              <w:rPr>
                <w:rFonts w:ascii="Arial" w:eastAsia="Times New Roman" w:hAnsi="Arial" w:cs="Arial"/>
                <w:sz w:val="18"/>
                <w:szCs w:val="18"/>
                <w:lang w:eastAsia="pt-BR"/>
              </w:rPr>
              <w:t>DOCSPCA</w:t>
            </w:r>
          </w:p>
        </w:tc>
        <w:tc>
          <w:tcPr>
            <w:tcW w:w="6946" w:type="dxa"/>
            <w:shd w:val="clear" w:color="auto" w:fill="auto"/>
            <w:vAlign w:val="center"/>
          </w:tcPr>
          <w:p w14:paraId="26A28006" w14:textId="1A0CC677" w:rsidR="0023229C" w:rsidRPr="00A5490A" w:rsidRDefault="0023229C" w:rsidP="00AD7F79">
            <w:pPr>
              <w:spacing w:before="120" w:after="120" w:line="240" w:lineRule="auto"/>
              <w:jc w:val="both"/>
              <w:rPr>
                <w:rFonts w:ascii="Arial" w:eastAsia="Times New Roman" w:hAnsi="Arial" w:cs="Arial"/>
                <w:sz w:val="18"/>
                <w:szCs w:val="18"/>
                <w:lang w:eastAsia="pt-BR"/>
              </w:rPr>
            </w:pPr>
            <w:r>
              <w:rPr>
                <w:rFonts w:ascii="Arial" w:eastAsia="Times New Roman" w:hAnsi="Arial" w:cs="Arial"/>
                <w:sz w:val="18"/>
                <w:szCs w:val="18"/>
                <w:lang w:eastAsia="pt-BR"/>
              </w:rPr>
              <w:t>R</w:t>
            </w:r>
            <w:r w:rsidRPr="00D46CF1">
              <w:rPr>
                <w:rFonts w:ascii="Arial" w:eastAsia="Times New Roman" w:hAnsi="Arial" w:cs="Arial"/>
                <w:sz w:val="18"/>
                <w:szCs w:val="18"/>
                <w:lang w:eastAsia="pt-BR"/>
              </w:rPr>
              <w:t>eferência aos documentos não estruturados</w:t>
            </w:r>
            <w:r>
              <w:rPr>
                <w:rFonts w:ascii="Arial" w:eastAsia="Times New Roman" w:hAnsi="Arial" w:cs="Arial"/>
                <w:sz w:val="18"/>
                <w:szCs w:val="18"/>
                <w:lang w:eastAsia="pt-BR"/>
              </w:rPr>
              <w:t>, constantes neste Anexo</w:t>
            </w:r>
            <w:r w:rsidRPr="00D46CF1">
              <w:rPr>
                <w:rFonts w:ascii="Arial" w:eastAsia="Times New Roman" w:hAnsi="Arial" w:cs="Arial"/>
                <w:sz w:val="18"/>
                <w:szCs w:val="18"/>
                <w:lang w:eastAsia="pt-BR"/>
              </w:rPr>
              <w:t>, bem como a justificativa de ausência para os arquivos não enviados.</w:t>
            </w:r>
            <w:r>
              <w:rPr>
                <w:rFonts w:ascii="Arial" w:eastAsia="Times New Roman" w:hAnsi="Arial" w:cs="Arial"/>
                <w:sz w:val="18"/>
                <w:szCs w:val="18"/>
                <w:lang w:eastAsia="pt-BR"/>
              </w:rPr>
              <w:t xml:space="preserve"> Estrutura e layout constantes do item </w:t>
            </w:r>
            <w:r w:rsidR="00AD7F79">
              <w:rPr>
                <w:rFonts w:ascii="Arial" w:eastAsia="Times New Roman" w:hAnsi="Arial" w:cs="Arial"/>
                <w:sz w:val="18"/>
                <w:szCs w:val="18"/>
                <w:lang w:eastAsia="pt-BR"/>
              </w:rPr>
              <w:t>3.1</w:t>
            </w:r>
            <w:r>
              <w:rPr>
                <w:rFonts w:ascii="Arial" w:eastAsia="Times New Roman" w:hAnsi="Arial" w:cs="Arial"/>
                <w:sz w:val="18"/>
                <w:szCs w:val="18"/>
                <w:lang w:eastAsia="pt-BR"/>
              </w:rPr>
              <w:t xml:space="preserve"> deste Anexo.</w:t>
            </w:r>
          </w:p>
        </w:tc>
        <w:tc>
          <w:tcPr>
            <w:tcW w:w="992" w:type="dxa"/>
            <w:shd w:val="clear" w:color="auto" w:fill="auto"/>
            <w:vAlign w:val="center"/>
          </w:tcPr>
          <w:p w14:paraId="43162FC2" w14:textId="77777777" w:rsidR="0023229C" w:rsidRPr="00A5490A" w:rsidRDefault="0023229C" w:rsidP="0023229C">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XML</w:t>
            </w:r>
          </w:p>
        </w:tc>
      </w:tr>
    </w:tbl>
    <w:p w14:paraId="529BBF86" w14:textId="77777777" w:rsidR="004D5D2A" w:rsidRDefault="004D5D2A">
      <w:pPr>
        <w:rPr>
          <w:rFonts w:ascii="Arial" w:eastAsia="Times New Roman" w:hAnsi="Arial" w:cs="Arial"/>
          <w:b/>
          <w:lang w:eastAsia="pt-BR"/>
        </w:rPr>
      </w:pPr>
    </w:p>
    <w:p w14:paraId="3C0F67B3" w14:textId="77777777" w:rsidR="00C97ECD" w:rsidRDefault="00C97ECD">
      <w:pPr>
        <w:rPr>
          <w:rFonts w:ascii="Arial" w:eastAsia="Times New Roman" w:hAnsi="Arial" w:cs="Arial"/>
          <w:b/>
          <w:lang w:eastAsia="pt-BR"/>
        </w:rPr>
      </w:pPr>
      <w:r>
        <w:rPr>
          <w:rFonts w:ascii="Arial" w:eastAsia="Times New Roman" w:hAnsi="Arial" w:cs="Arial"/>
          <w:b/>
          <w:lang w:eastAsia="pt-BR"/>
        </w:rPr>
        <w:br w:type="page"/>
      </w:r>
    </w:p>
    <w:p w14:paraId="360A06B5" w14:textId="7DD14D9A" w:rsidR="000F7387" w:rsidRPr="005B7FCC" w:rsidRDefault="000F7387" w:rsidP="000F0A16">
      <w:pPr>
        <w:pStyle w:val="Ttulo2"/>
        <w:rPr>
          <w:lang w:val="pt-BR" w:eastAsia="pt-BR"/>
        </w:rPr>
      </w:pPr>
      <w:bookmarkStart w:id="12" w:name="_Toc94806296"/>
      <w:r w:rsidRPr="005B7FCC">
        <w:rPr>
          <w:lang w:val="pt-BR" w:eastAsia="pt-BR"/>
        </w:rPr>
        <w:lastRenderedPageBreak/>
        <w:t>CONTAS DOS ORDENADORES DE DESPESAS DAS UNIDADES GESTORAS DE SENTENÇAS JUDICIÁRIAS – PRECATÓRIOS ESTADUAIS, PRECATÓRIOS MUNICIPAIS E PENAS PECUNIÁRIAS</w:t>
      </w:r>
      <w:bookmarkEnd w:id="12"/>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6633"/>
        <w:gridCol w:w="992"/>
      </w:tblGrid>
      <w:tr w:rsidR="00CB7C58" w:rsidRPr="00A5490A" w14:paraId="1B0B7571" w14:textId="77777777" w:rsidTr="00C3610F">
        <w:tc>
          <w:tcPr>
            <w:tcW w:w="1555" w:type="dxa"/>
            <w:vAlign w:val="center"/>
          </w:tcPr>
          <w:p w14:paraId="39B02EF0" w14:textId="77777777" w:rsidR="00CB7C58" w:rsidRPr="00A5490A" w:rsidRDefault="00CB7C58" w:rsidP="00FD64B3">
            <w:pPr>
              <w:spacing w:after="0" w:line="240" w:lineRule="auto"/>
              <w:jc w:val="center"/>
              <w:rPr>
                <w:rFonts w:ascii="Arial" w:eastAsia="Times New Roman" w:hAnsi="Arial" w:cs="Arial"/>
                <w:sz w:val="18"/>
                <w:szCs w:val="18"/>
                <w:lang w:eastAsia="pt-BR"/>
              </w:rPr>
            </w:pPr>
            <w:r>
              <w:rPr>
                <w:rFonts w:ascii="Arial" w:eastAsia="Times New Roman" w:hAnsi="Arial" w:cs="Arial"/>
                <w:sz w:val="18"/>
                <w:szCs w:val="18"/>
                <w:lang w:eastAsia="pt-BR"/>
              </w:rPr>
              <w:t>Código</w:t>
            </w:r>
          </w:p>
        </w:tc>
        <w:tc>
          <w:tcPr>
            <w:tcW w:w="6633" w:type="dxa"/>
            <w:shd w:val="clear" w:color="auto" w:fill="auto"/>
            <w:vAlign w:val="center"/>
          </w:tcPr>
          <w:p w14:paraId="37057738" w14:textId="77777777" w:rsidR="00CB7C58" w:rsidRPr="00A5490A" w:rsidRDefault="00CB7C58" w:rsidP="00FD64B3">
            <w:p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Descrição</w:t>
            </w:r>
          </w:p>
        </w:tc>
        <w:tc>
          <w:tcPr>
            <w:tcW w:w="992" w:type="dxa"/>
            <w:shd w:val="clear" w:color="auto" w:fill="auto"/>
            <w:vAlign w:val="center"/>
          </w:tcPr>
          <w:p w14:paraId="67BB6480" w14:textId="77777777" w:rsidR="00CB7C58" w:rsidRPr="00A5490A" w:rsidRDefault="00CB7C58" w:rsidP="00FD64B3">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Formato</w:t>
            </w:r>
          </w:p>
        </w:tc>
      </w:tr>
      <w:tr w:rsidR="00CB7C58" w:rsidRPr="00A5490A" w14:paraId="6EA35A35" w14:textId="77777777" w:rsidTr="00C3610F">
        <w:tc>
          <w:tcPr>
            <w:tcW w:w="1555" w:type="dxa"/>
            <w:vAlign w:val="center"/>
          </w:tcPr>
          <w:p w14:paraId="21A53BF5" w14:textId="77777777" w:rsidR="00CB7C58" w:rsidRPr="00A5490A" w:rsidRDefault="00CB7C58" w:rsidP="00FD64B3">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ROLRES</w:t>
            </w:r>
          </w:p>
        </w:tc>
        <w:tc>
          <w:tcPr>
            <w:tcW w:w="6633" w:type="dxa"/>
            <w:shd w:val="clear" w:color="auto" w:fill="auto"/>
            <w:vAlign w:val="center"/>
          </w:tcPr>
          <w:p w14:paraId="5AF9D98E" w14:textId="77777777" w:rsidR="00CB7C58" w:rsidRPr="00A5490A" w:rsidRDefault="00CB7C58" w:rsidP="00FD64B3">
            <w:p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Rol de responsáveis contendo: (Artigo 137, I, do RITCEES, aprovado pela Resolução TC nº 261/2013)</w:t>
            </w:r>
          </w:p>
          <w:p w14:paraId="3E1BF53A" w14:textId="77777777" w:rsidR="00CB7C58" w:rsidRPr="003B4337" w:rsidRDefault="00CB7C58" w:rsidP="00FD64B3">
            <w:pPr>
              <w:numPr>
                <w:ilvl w:val="0"/>
                <w:numId w:val="7"/>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Nome</w:t>
            </w:r>
          </w:p>
          <w:p w14:paraId="519B8757" w14:textId="77777777" w:rsidR="00CB7C58" w:rsidRPr="003B4337" w:rsidRDefault="00CB7C58" w:rsidP="00FD64B3">
            <w:pPr>
              <w:numPr>
                <w:ilvl w:val="0"/>
                <w:numId w:val="7"/>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Endereço residencial</w:t>
            </w:r>
          </w:p>
          <w:p w14:paraId="56A3E334" w14:textId="77777777" w:rsidR="00CB7C58" w:rsidRPr="003B4337" w:rsidRDefault="00CB7C58" w:rsidP="00FD64B3">
            <w:pPr>
              <w:numPr>
                <w:ilvl w:val="0"/>
                <w:numId w:val="7"/>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Endereço eletrônico pessoal (email)</w:t>
            </w:r>
          </w:p>
          <w:p w14:paraId="6850307C" w14:textId="77777777" w:rsidR="00CB7C58" w:rsidRPr="003B4337" w:rsidRDefault="00CB7C58" w:rsidP="00FD64B3">
            <w:pPr>
              <w:numPr>
                <w:ilvl w:val="0"/>
                <w:numId w:val="7"/>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Cargo ou função</w:t>
            </w:r>
          </w:p>
          <w:p w14:paraId="6760E2C8" w14:textId="77777777" w:rsidR="00CB7C58" w:rsidRPr="00A5490A" w:rsidRDefault="00CB7C58" w:rsidP="00FD64B3">
            <w:pPr>
              <w:numPr>
                <w:ilvl w:val="0"/>
                <w:numId w:val="7"/>
              </w:num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Inscrição no cadastro de Pessoas Físicas da RFB (CPF)</w:t>
            </w:r>
          </w:p>
          <w:p w14:paraId="0AE8F56A" w14:textId="77777777" w:rsidR="00CB7C58" w:rsidRPr="00A5490A" w:rsidRDefault="00CB7C58" w:rsidP="00FD64B3">
            <w:pPr>
              <w:numPr>
                <w:ilvl w:val="0"/>
                <w:numId w:val="7"/>
              </w:num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Período de gestão</w:t>
            </w:r>
          </w:p>
          <w:p w14:paraId="261BA66C" w14:textId="77777777" w:rsidR="00CB7C58" w:rsidRPr="00A5490A" w:rsidRDefault="00CB7C58" w:rsidP="00CB7C58">
            <w:pPr>
              <w:numPr>
                <w:ilvl w:val="0"/>
                <w:numId w:val="7"/>
              </w:numPr>
              <w:spacing w:before="120" w:after="120" w:line="240" w:lineRule="auto"/>
              <w:jc w:val="both"/>
              <w:rPr>
                <w:rFonts w:ascii="Arial" w:eastAsia="Times New Roman" w:hAnsi="Arial" w:cs="Arial"/>
                <w:sz w:val="16"/>
                <w:szCs w:val="16"/>
                <w:lang w:eastAsia="pt-BR"/>
              </w:rPr>
            </w:pPr>
            <w:r w:rsidRPr="00A5490A">
              <w:rPr>
                <w:rFonts w:ascii="Arial" w:eastAsia="Times New Roman" w:hAnsi="Arial" w:cs="Arial"/>
                <w:sz w:val="18"/>
                <w:szCs w:val="18"/>
                <w:lang w:eastAsia="pt-BR"/>
              </w:rPr>
              <w:t xml:space="preserve">Ato de nomeação e exoneração </w:t>
            </w:r>
          </w:p>
        </w:tc>
        <w:tc>
          <w:tcPr>
            <w:tcW w:w="992" w:type="dxa"/>
            <w:shd w:val="clear" w:color="auto" w:fill="auto"/>
            <w:vAlign w:val="center"/>
          </w:tcPr>
          <w:p w14:paraId="0DCC3895" w14:textId="77777777" w:rsidR="00CB7C58" w:rsidRPr="00A5490A" w:rsidRDefault="00532985" w:rsidP="00FD64B3">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CB7C58" w:rsidRPr="00A5490A" w14:paraId="775CFA74" w14:textId="77777777" w:rsidTr="00C3610F">
        <w:tc>
          <w:tcPr>
            <w:tcW w:w="1555" w:type="dxa"/>
            <w:vAlign w:val="center"/>
          </w:tcPr>
          <w:p w14:paraId="0BC8984C" w14:textId="77777777" w:rsidR="00CB7C58" w:rsidRPr="00A5490A" w:rsidRDefault="00CB7C58" w:rsidP="00FD64B3">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RELGES</w:t>
            </w:r>
          </w:p>
        </w:tc>
        <w:tc>
          <w:tcPr>
            <w:tcW w:w="6633" w:type="dxa"/>
            <w:shd w:val="clear" w:color="auto" w:fill="auto"/>
            <w:vAlign w:val="center"/>
          </w:tcPr>
          <w:p w14:paraId="29874499" w14:textId="77777777" w:rsidR="00CB7C58" w:rsidRPr="00A5490A" w:rsidRDefault="00CB7C58" w:rsidP="00FD64B3">
            <w:p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Relatório de gestão abordando aspectos de natureza</w:t>
            </w:r>
            <w:r w:rsidRPr="00A5490A">
              <w:rPr>
                <w:rFonts w:ascii="Arial" w:eastAsia="Times New Roman" w:hAnsi="Arial" w:cs="Arial"/>
                <w:bCs/>
                <w:sz w:val="18"/>
                <w:szCs w:val="18"/>
                <w:lang w:eastAsia="pt-BR"/>
              </w:rPr>
              <w:t xml:space="preserve"> orçamentária, financeira, fiscal, operacional e patrimonial, organizado de forma que permita uma visão de conformidade e desempenho dos atos de gestão praticados pelos ordenadores de despesa, evidenciando os resultados dos programas desenvolvidos no âmbito de cada órgão.</w:t>
            </w:r>
            <w:r w:rsidRPr="00A5490A">
              <w:rPr>
                <w:rFonts w:ascii="Arial" w:eastAsia="Times New Roman" w:hAnsi="Arial" w:cs="Arial"/>
                <w:sz w:val="18"/>
                <w:szCs w:val="18"/>
                <w:lang w:eastAsia="pt-BR"/>
              </w:rPr>
              <w:t xml:space="preserve"> (Artigo 137, II, do RITCEES, aprovado pela Resolução TC nº 261/2013)</w:t>
            </w:r>
          </w:p>
        </w:tc>
        <w:tc>
          <w:tcPr>
            <w:tcW w:w="992" w:type="dxa"/>
            <w:shd w:val="clear" w:color="auto" w:fill="auto"/>
            <w:vAlign w:val="center"/>
          </w:tcPr>
          <w:p w14:paraId="455F62C5" w14:textId="77777777" w:rsidR="00CB7C58" w:rsidRPr="00A5490A" w:rsidRDefault="00532985" w:rsidP="00FD64B3">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6B1C9B" w:rsidRPr="00A5490A" w14:paraId="79608BC4" w14:textId="77777777" w:rsidTr="00C3610F">
        <w:tc>
          <w:tcPr>
            <w:tcW w:w="1555" w:type="dxa"/>
            <w:vAlign w:val="center"/>
          </w:tcPr>
          <w:p w14:paraId="45011AA4" w14:textId="77777777" w:rsidR="006B1C9B" w:rsidRPr="00A5490A" w:rsidRDefault="006B1C9B" w:rsidP="006B1C9B">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BALORC</w:t>
            </w:r>
          </w:p>
        </w:tc>
        <w:tc>
          <w:tcPr>
            <w:tcW w:w="6633" w:type="dxa"/>
            <w:shd w:val="clear" w:color="auto" w:fill="auto"/>
            <w:vAlign w:val="center"/>
          </w:tcPr>
          <w:p w14:paraId="5667F200" w14:textId="3BF6BAB7" w:rsidR="006B1C9B" w:rsidRPr="00A5490A" w:rsidRDefault="006B1C9B" w:rsidP="003E28F5">
            <w:p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Balanço Orçamentár</w:t>
            </w:r>
            <w:r w:rsidR="00BB7DB5">
              <w:rPr>
                <w:rFonts w:ascii="Arial" w:eastAsia="Times New Roman" w:hAnsi="Arial" w:cs="Arial"/>
                <w:sz w:val="18"/>
                <w:szCs w:val="18"/>
                <w:lang w:eastAsia="pt-BR"/>
              </w:rPr>
              <w:t xml:space="preserve">io (Anexo 12 Lei 4.320/1964) </w:t>
            </w:r>
            <w:r w:rsidRPr="00A5490A">
              <w:rPr>
                <w:rFonts w:ascii="Arial" w:eastAsia="Times New Roman" w:hAnsi="Arial" w:cs="Arial"/>
                <w:sz w:val="18"/>
                <w:szCs w:val="18"/>
                <w:lang w:eastAsia="pt-BR"/>
              </w:rPr>
              <w:t>e outros quadros elucidativos que se fizerem necessários</w:t>
            </w:r>
            <w:r>
              <w:rPr>
                <w:rFonts w:ascii="Arial" w:eastAsia="Times New Roman" w:hAnsi="Arial" w:cs="Arial"/>
                <w:sz w:val="18"/>
                <w:szCs w:val="18"/>
                <w:lang w:eastAsia="pt-BR"/>
              </w:rPr>
              <w:t xml:space="preserve"> </w:t>
            </w:r>
            <w:r w:rsidRPr="00A5490A">
              <w:rPr>
                <w:rFonts w:ascii="Arial" w:eastAsia="Times New Roman" w:hAnsi="Arial" w:cs="Arial"/>
                <w:sz w:val="18"/>
                <w:szCs w:val="18"/>
                <w:lang w:eastAsia="pt-BR"/>
              </w:rPr>
              <w:t>(Artigo 101 da Lei Federal nº 4.320/64)</w:t>
            </w:r>
            <w:r>
              <w:rPr>
                <w:rFonts w:ascii="Arial" w:eastAsia="Times New Roman" w:hAnsi="Arial" w:cs="Arial"/>
                <w:sz w:val="18"/>
                <w:szCs w:val="18"/>
                <w:lang w:eastAsia="pt-BR"/>
              </w:rPr>
              <w:t xml:space="preserve">. Estrutura e layout constantes do item </w:t>
            </w:r>
            <w:r w:rsidR="003E28F5">
              <w:rPr>
                <w:rFonts w:ascii="Arial" w:eastAsia="Times New Roman" w:hAnsi="Arial" w:cs="Arial"/>
                <w:sz w:val="18"/>
                <w:szCs w:val="18"/>
                <w:lang w:eastAsia="pt-BR"/>
              </w:rPr>
              <w:t>3.1</w:t>
            </w:r>
            <w:r>
              <w:rPr>
                <w:rFonts w:ascii="Arial" w:eastAsia="Times New Roman" w:hAnsi="Arial" w:cs="Arial"/>
                <w:sz w:val="18"/>
                <w:szCs w:val="18"/>
                <w:lang w:eastAsia="pt-BR"/>
              </w:rPr>
              <w:t xml:space="preserve"> deste Anexo.</w:t>
            </w:r>
          </w:p>
        </w:tc>
        <w:tc>
          <w:tcPr>
            <w:tcW w:w="992" w:type="dxa"/>
            <w:shd w:val="clear" w:color="auto" w:fill="auto"/>
            <w:vAlign w:val="center"/>
          </w:tcPr>
          <w:p w14:paraId="6CBBBD78" w14:textId="77777777" w:rsidR="006B1C9B" w:rsidRPr="00A5490A" w:rsidRDefault="006B1C9B" w:rsidP="006B1C9B">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XML</w:t>
            </w:r>
          </w:p>
        </w:tc>
      </w:tr>
      <w:tr w:rsidR="006B1C9B" w:rsidRPr="00A5490A" w14:paraId="05C2AA19" w14:textId="77777777" w:rsidTr="00C3610F">
        <w:tc>
          <w:tcPr>
            <w:tcW w:w="1555" w:type="dxa"/>
            <w:vAlign w:val="center"/>
          </w:tcPr>
          <w:p w14:paraId="07DEE30E" w14:textId="77777777" w:rsidR="006B1C9B" w:rsidRPr="00A5490A" w:rsidRDefault="006B1C9B" w:rsidP="006B1C9B">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BALFIN</w:t>
            </w:r>
          </w:p>
        </w:tc>
        <w:tc>
          <w:tcPr>
            <w:tcW w:w="6633" w:type="dxa"/>
            <w:shd w:val="clear" w:color="auto" w:fill="auto"/>
            <w:vAlign w:val="center"/>
          </w:tcPr>
          <w:p w14:paraId="0CB94583" w14:textId="30FB2396" w:rsidR="006B1C9B" w:rsidRPr="00A5490A" w:rsidRDefault="006B1C9B" w:rsidP="003E28F5">
            <w:p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Balanço Financei</w:t>
            </w:r>
            <w:r w:rsidR="00BB7DB5">
              <w:rPr>
                <w:rFonts w:ascii="Arial" w:eastAsia="Times New Roman" w:hAnsi="Arial" w:cs="Arial"/>
                <w:sz w:val="18"/>
                <w:szCs w:val="18"/>
                <w:lang w:eastAsia="pt-BR"/>
              </w:rPr>
              <w:t xml:space="preserve">ro (Anexo 13 Lei 4.320/1964) </w:t>
            </w:r>
            <w:r w:rsidRPr="00A5490A">
              <w:rPr>
                <w:rFonts w:ascii="Arial" w:eastAsia="Times New Roman" w:hAnsi="Arial" w:cs="Arial"/>
                <w:sz w:val="18"/>
                <w:szCs w:val="18"/>
                <w:lang w:eastAsia="pt-BR"/>
              </w:rPr>
              <w:t>e outros quadros elucidativos que se fizerem necessários</w:t>
            </w:r>
            <w:r>
              <w:rPr>
                <w:rFonts w:ascii="Arial" w:eastAsia="Times New Roman" w:hAnsi="Arial" w:cs="Arial"/>
                <w:sz w:val="18"/>
                <w:szCs w:val="18"/>
                <w:lang w:eastAsia="pt-BR"/>
              </w:rPr>
              <w:t xml:space="preserve"> </w:t>
            </w:r>
            <w:r w:rsidRPr="00A5490A">
              <w:rPr>
                <w:rFonts w:ascii="Arial" w:eastAsia="Times New Roman" w:hAnsi="Arial" w:cs="Arial"/>
                <w:sz w:val="18"/>
                <w:szCs w:val="18"/>
                <w:lang w:eastAsia="pt-BR"/>
              </w:rPr>
              <w:t>(Artigo 101 da Lei Federal nº 4.320/64)</w:t>
            </w:r>
            <w:r>
              <w:rPr>
                <w:rFonts w:ascii="Arial" w:eastAsia="Times New Roman" w:hAnsi="Arial" w:cs="Arial"/>
                <w:sz w:val="18"/>
                <w:szCs w:val="18"/>
                <w:lang w:eastAsia="pt-BR"/>
              </w:rPr>
              <w:t xml:space="preserve">. Estrutura e layout constantes do item </w:t>
            </w:r>
            <w:r w:rsidR="003E28F5">
              <w:rPr>
                <w:rFonts w:ascii="Arial" w:eastAsia="Times New Roman" w:hAnsi="Arial" w:cs="Arial"/>
                <w:sz w:val="18"/>
                <w:szCs w:val="18"/>
                <w:lang w:eastAsia="pt-BR"/>
              </w:rPr>
              <w:t>3.1</w:t>
            </w:r>
            <w:r>
              <w:rPr>
                <w:rFonts w:ascii="Arial" w:eastAsia="Times New Roman" w:hAnsi="Arial" w:cs="Arial"/>
                <w:sz w:val="18"/>
                <w:szCs w:val="18"/>
                <w:lang w:eastAsia="pt-BR"/>
              </w:rPr>
              <w:t xml:space="preserve"> deste Anexo</w:t>
            </w:r>
          </w:p>
        </w:tc>
        <w:tc>
          <w:tcPr>
            <w:tcW w:w="992" w:type="dxa"/>
            <w:shd w:val="clear" w:color="auto" w:fill="auto"/>
            <w:vAlign w:val="center"/>
          </w:tcPr>
          <w:p w14:paraId="3AAC799F" w14:textId="77777777" w:rsidR="006B1C9B" w:rsidRPr="00A5490A" w:rsidRDefault="006B1C9B" w:rsidP="006B1C9B">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XML</w:t>
            </w:r>
          </w:p>
        </w:tc>
      </w:tr>
      <w:tr w:rsidR="00284EBA" w:rsidRPr="00A5490A" w14:paraId="4ABB2553" w14:textId="77777777" w:rsidTr="00C3610F">
        <w:tc>
          <w:tcPr>
            <w:tcW w:w="1555" w:type="dxa"/>
            <w:vAlign w:val="center"/>
          </w:tcPr>
          <w:p w14:paraId="180432B0" w14:textId="77777777" w:rsidR="00284EBA" w:rsidRPr="00A5490A" w:rsidRDefault="00284EBA" w:rsidP="00284EBA">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BALPAT</w:t>
            </w:r>
          </w:p>
        </w:tc>
        <w:tc>
          <w:tcPr>
            <w:tcW w:w="6633" w:type="dxa"/>
            <w:shd w:val="clear" w:color="auto" w:fill="auto"/>
            <w:vAlign w:val="center"/>
          </w:tcPr>
          <w:p w14:paraId="741946DA" w14:textId="7717B3D8" w:rsidR="00284EBA" w:rsidRPr="00A5490A" w:rsidRDefault="00284EBA" w:rsidP="003E28F5">
            <w:p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Balanço Patrimon</w:t>
            </w:r>
            <w:r w:rsidR="00BB7DB5">
              <w:rPr>
                <w:rFonts w:ascii="Arial" w:eastAsia="Times New Roman" w:hAnsi="Arial" w:cs="Arial"/>
                <w:sz w:val="18"/>
                <w:szCs w:val="18"/>
                <w:lang w:eastAsia="pt-BR"/>
              </w:rPr>
              <w:t>ial (Anexo 14 Lei 4.320/1964)</w:t>
            </w:r>
            <w:r w:rsidRPr="00A5490A">
              <w:rPr>
                <w:rFonts w:ascii="Arial" w:eastAsia="Times New Roman" w:hAnsi="Arial" w:cs="Arial"/>
                <w:sz w:val="18"/>
                <w:szCs w:val="18"/>
                <w:lang w:eastAsia="pt-BR"/>
              </w:rPr>
              <w:t xml:space="preserve"> e outros quadros elucidativos que se fizerem necessários</w:t>
            </w:r>
            <w:r>
              <w:rPr>
                <w:rFonts w:ascii="Arial" w:eastAsia="Times New Roman" w:hAnsi="Arial" w:cs="Arial"/>
                <w:sz w:val="18"/>
                <w:szCs w:val="18"/>
                <w:lang w:eastAsia="pt-BR"/>
              </w:rPr>
              <w:t xml:space="preserve"> </w:t>
            </w:r>
            <w:r w:rsidRPr="00A5490A">
              <w:rPr>
                <w:rFonts w:ascii="Arial" w:eastAsia="Times New Roman" w:hAnsi="Arial" w:cs="Arial"/>
                <w:sz w:val="18"/>
                <w:szCs w:val="18"/>
                <w:lang w:eastAsia="pt-BR"/>
              </w:rPr>
              <w:t>(Artigo 101 da Lei Federal nº 4.320/64)</w:t>
            </w:r>
            <w:r>
              <w:rPr>
                <w:rFonts w:ascii="Arial" w:eastAsia="Times New Roman" w:hAnsi="Arial" w:cs="Arial"/>
                <w:sz w:val="18"/>
                <w:szCs w:val="18"/>
                <w:lang w:eastAsia="pt-BR"/>
              </w:rPr>
              <w:t xml:space="preserve">. Estrutura e layout constantes do item </w:t>
            </w:r>
            <w:r w:rsidR="003E28F5">
              <w:rPr>
                <w:rFonts w:ascii="Arial" w:eastAsia="Times New Roman" w:hAnsi="Arial" w:cs="Arial"/>
                <w:sz w:val="18"/>
                <w:szCs w:val="18"/>
                <w:lang w:eastAsia="pt-BR"/>
              </w:rPr>
              <w:t>3.1</w:t>
            </w:r>
            <w:r>
              <w:rPr>
                <w:rFonts w:ascii="Arial" w:eastAsia="Times New Roman" w:hAnsi="Arial" w:cs="Arial"/>
                <w:sz w:val="18"/>
                <w:szCs w:val="18"/>
                <w:lang w:eastAsia="pt-BR"/>
              </w:rPr>
              <w:t xml:space="preserve"> deste Anexo</w:t>
            </w:r>
          </w:p>
        </w:tc>
        <w:tc>
          <w:tcPr>
            <w:tcW w:w="992" w:type="dxa"/>
            <w:shd w:val="clear" w:color="auto" w:fill="auto"/>
            <w:vAlign w:val="center"/>
          </w:tcPr>
          <w:p w14:paraId="08C00CE3" w14:textId="77777777" w:rsidR="00284EBA" w:rsidRPr="00A5490A" w:rsidRDefault="00284EBA" w:rsidP="00284EBA">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XML</w:t>
            </w:r>
          </w:p>
        </w:tc>
      </w:tr>
      <w:tr w:rsidR="00284EBA" w:rsidRPr="00A5490A" w14:paraId="7878BB0E" w14:textId="77777777" w:rsidTr="00C3610F">
        <w:tc>
          <w:tcPr>
            <w:tcW w:w="1555" w:type="dxa"/>
            <w:vAlign w:val="center"/>
          </w:tcPr>
          <w:p w14:paraId="0893B839" w14:textId="77777777" w:rsidR="00284EBA" w:rsidRPr="00A5490A" w:rsidRDefault="00284EBA" w:rsidP="00284EBA">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DEMVAP</w:t>
            </w:r>
          </w:p>
        </w:tc>
        <w:tc>
          <w:tcPr>
            <w:tcW w:w="6633" w:type="dxa"/>
            <w:shd w:val="clear" w:color="auto" w:fill="auto"/>
            <w:vAlign w:val="center"/>
          </w:tcPr>
          <w:p w14:paraId="260F18BB" w14:textId="2FBC748F" w:rsidR="00284EBA" w:rsidRPr="00A5490A" w:rsidRDefault="00284EBA" w:rsidP="003E28F5">
            <w:p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Demonstração das Variações Patrimonia</w:t>
            </w:r>
            <w:r w:rsidR="00BB7DB5">
              <w:rPr>
                <w:rFonts w:ascii="Arial" w:eastAsia="Times New Roman" w:hAnsi="Arial" w:cs="Arial"/>
                <w:sz w:val="18"/>
                <w:szCs w:val="18"/>
                <w:lang w:eastAsia="pt-BR"/>
              </w:rPr>
              <w:t xml:space="preserve">is (Anexo 15 Lei 4.320/1964) </w:t>
            </w:r>
            <w:r w:rsidRPr="00A5490A">
              <w:rPr>
                <w:rFonts w:ascii="Arial" w:eastAsia="Times New Roman" w:hAnsi="Arial" w:cs="Arial"/>
                <w:sz w:val="18"/>
                <w:szCs w:val="18"/>
                <w:lang w:eastAsia="pt-BR"/>
              </w:rPr>
              <w:t>e outros quadros elucidativos que se fizerem necessários</w:t>
            </w:r>
            <w:r>
              <w:rPr>
                <w:rFonts w:ascii="Arial" w:eastAsia="Times New Roman" w:hAnsi="Arial" w:cs="Arial"/>
                <w:sz w:val="18"/>
                <w:szCs w:val="18"/>
                <w:lang w:eastAsia="pt-BR"/>
              </w:rPr>
              <w:t xml:space="preserve"> </w:t>
            </w:r>
            <w:r w:rsidRPr="00A5490A">
              <w:rPr>
                <w:rFonts w:ascii="Arial" w:eastAsia="Times New Roman" w:hAnsi="Arial" w:cs="Arial"/>
                <w:sz w:val="18"/>
                <w:szCs w:val="18"/>
                <w:lang w:eastAsia="pt-BR"/>
              </w:rPr>
              <w:t>(Artigo 101 da Lei nº 4.320/64)</w:t>
            </w:r>
            <w:r>
              <w:rPr>
                <w:rFonts w:ascii="Arial" w:eastAsia="Times New Roman" w:hAnsi="Arial" w:cs="Arial"/>
                <w:sz w:val="18"/>
                <w:szCs w:val="18"/>
                <w:lang w:eastAsia="pt-BR"/>
              </w:rPr>
              <w:t xml:space="preserve">. Estrutura e layout constantes do item </w:t>
            </w:r>
            <w:r w:rsidR="003E28F5">
              <w:rPr>
                <w:rFonts w:ascii="Arial" w:eastAsia="Times New Roman" w:hAnsi="Arial" w:cs="Arial"/>
                <w:sz w:val="18"/>
                <w:szCs w:val="18"/>
                <w:lang w:eastAsia="pt-BR"/>
              </w:rPr>
              <w:t>3.1</w:t>
            </w:r>
            <w:r>
              <w:rPr>
                <w:rFonts w:ascii="Arial" w:eastAsia="Times New Roman" w:hAnsi="Arial" w:cs="Arial"/>
                <w:sz w:val="18"/>
                <w:szCs w:val="18"/>
                <w:lang w:eastAsia="pt-BR"/>
              </w:rPr>
              <w:t xml:space="preserve"> deste Anexo</w:t>
            </w:r>
          </w:p>
        </w:tc>
        <w:tc>
          <w:tcPr>
            <w:tcW w:w="992" w:type="dxa"/>
            <w:shd w:val="clear" w:color="auto" w:fill="auto"/>
            <w:vAlign w:val="center"/>
          </w:tcPr>
          <w:p w14:paraId="2C34965A" w14:textId="77777777" w:rsidR="00284EBA" w:rsidRPr="00A5490A" w:rsidRDefault="00284EBA" w:rsidP="00284EBA">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XML</w:t>
            </w:r>
          </w:p>
        </w:tc>
      </w:tr>
      <w:tr w:rsidR="00CB7C58" w:rsidRPr="00A5490A" w14:paraId="550BBC04" w14:textId="77777777" w:rsidTr="00C3610F">
        <w:tc>
          <w:tcPr>
            <w:tcW w:w="1555" w:type="dxa"/>
            <w:vAlign w:val="center"/>
          </w:tcPr>
          <w:p w14:paraId="4AAD0969" w14:textId="77777777" w:rsidR="00CB7C58" w:rsidRPr="003B4337" w:rsidRDefault="00CB7C58" w:rsidP="00FD64B3">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DEMFCA</w:t>
            </w:r>
          </w:p>
        </w:tc>
        <w:tc>
          <w:tcPr>
            <w:tcW w:w="6633" w:type="dxa"/>
            <w:shd w:val="clear" w:color="auto" w:fill="auto"/>
            <w:vAlign w:val="center"/>
          </w:tcPr>
          <w:p w14:paraId="6B4EEEC3" w14:textId="77777777" w:rsidR="00CB7C58" w:rsidRPr="003B4337" w:rsidRDefault="00CB7C58" w:rsidP="00FD64B3">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Demonstração dos Fluxos de Caixa – DFC consolidada (Parte V do Manual de Contabilidade Aplicado ao Setor Público – MCASP), acompanhada de notas explicativas e outros quadros elucidativos que se fizerem necessários. (Resolução CFC nº 1.133/2008 - NBC T 16.6 c/c Portaria STN nº 700/2014)</w:t>
            </w:r>
          </w:p>
        </w:tc>
        <w:tc>
          <w:tcPr>
            <w:tcW w:w="992" w:type="dxa"/>
            <w:shd w:val="clear" w:color="auto" w:fill="auto"/>
            <w:vAlign w:val="center"/>
          </w:tcPr>
          <w:p w14:paraId="4E2AA513" w14:textId="77777777" w:rsidR="00CB7C58" w:rsidRPr="003B4337" w:rsidRDefault="00532985" w:rsidP="00FD64B3">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4124D9" w:rsidRPr="00397F43" w14:paraId="4807025F" w14:textId="77777777" w:rsidTr="00C3610F">
        <w:tc>
          <w:tcPr>
            <w:tcW w:w="1555" w:type="dxa"/>
            <w:vAlign w:val="center"/>
          </w:tcPr>
          <w:p w14:paraId="3E38D7CB" w14:textId="77777777" w:rsidR="004124D9" w:rsidRPr="0073452B" w:rsidRDefault="004124D9" w:rsidP="007D64A9">
            <w:pPr>
              <w:spacing w:after="0" w:line="240" w:lineRule="auto"/>
              <w:jc w:val="center"/>
              <w:rPr>
                <w:rFonts w:ascii="Arial" w:eastAsia="Times New Roman" w:hAnsi="Arial" w:cs="Arial"/>
                <w:sz w:val="18"/>
                <w:szCs w:val="18"/>
                <w:lang w:eastAsia="pt-BR"/>
              </w:rPr>
            </w:pPr>
            <w:r w:rsidRPr="0073452B">
              <w:rPr>
                <w:rFonts w:ascii="Arial" w:eastAsia="Times New Roman" w:hAnsi="Arial" w:cs="Arial"/>
                <w:sz w:val="18"/>
                <w:szCs w:val="18"/>
                <w:lang w:eastAsia="pt-BR"/>
              </w:rPr>
              <w:t>BALVERF_E</w:t>
            </w:r>
          </w:p>
        </w:tc>
        <w:tc>
          <w:tcPr>
            <w:tcW w:w="6633" w:type="dxa"/>
            <w:shd w:val="clear" w:color="auto" w:fill="auto"/>
            <w:vAlign w:val="center"/>
          </w:tcPr>
          <w:p w14:paraId="25BB67A1" w14:textId="629F6AB9" w:rsidR="004124D9" w:rsidRPr="0073452B" w:rsidRDefault="004124D9" w:rsidP="007B0568">
            <w:pPr>
              <w:spacing w:before="120" w:after="120" w:line="240" w:lineRule="auto"/>
              <w:jc w:val="both"/>
              <w:rPr>
                <w:rFonts w:ascii="Arial" w:eastAsia="Times New Roman" w:hAnsi="Arial" w:cs="Arial"/>
                <w:sz w:val="18"/>
                <w:szCs w:val="18"/>
                <w:lang w:eastAsia="pt-BR"/>
              </w:rPr>
            </w:pPr>
            <w:r w:rsidRPr="0073452B">
              <w:rPr>
                <w:rFonts w:ascii="Arial" w:eastAsia="Times New Roman" w:hAnsi="Arial" w:cs="Arial"/>
                <w:sz w:val="18"/>
                <w:szCs w:val="18"/>
                <w:lang w:eastAsia="pt-BR"/>
              </w:rPr>
              <w:t xml:space="preserve">Balancete de verificação, com saldos acumulados no exercício, detalhado até o nível de conta contábil de lançamento, abrangendo todas as contas contábeis com movimentação no exercício, segregadas por natureza da informação patrimonial, orçamentária e de controle, informando o saldo anterior, o total a débito, o total a crédito e o saldo final. Estrutura e layout constantes do item </w:t>
            </w:r>
            <w:r w:rsidR="007B0568">
              <w:rPr>
                <w:rFonts w:ascii="Arial" w:eastAsia="Times New Roman" w:hAnsi="Arial" w:cs="Arial"/>
                <w:sz w:val="18"/>
                <w:szCs w:val="18"/>
                <w:lang w:eastAsia="pt-BR"/>
              </w:rPr>
              <w:t>3.1</w:t>
            </w:r>
            <w:r w:rsidRPr="0073452B">
              <w:rPr>
                <w:rFonts w:ascii="Arial" w:eastAsia="Times New Roman" w:hAnsi="Arial" w:cs="Arial"/>
                <w:sz w:val="18"/>
                <w:szCs w:val="18"/>
                <w:lang w:eastAsia="pt-BR"/>
              </w:rPr>
              <w:t xml:space="preserve"> deste Anexo</w:t>
            </w:r>
          </w:p>
        </w:tc>
        <w:tc>
          <w:tcPr>
            <w:tcW w:w="992" w:type="dxa"/>
            <w:shd w:val="clear" w:color="auto" w:fill="auto"/>
            <w:vAlign w:val="center"/>
          </w:tcPr>
          <w:p w14:paraId="21836002" w14:textId="77777777" w:rsidR="004124D9" w:rsidRPr="0073452B" w:rsidRDefault="004124D9" w:rsidP="007D64A9">
            <w:pPr>
              <w:spacing w:after="0" w:line="240" w:lineRule="auto"/>
              <w:jc w:val="center"/>
              <w:rPr>
                <w:rFonts w:ascii="Arial" w:eastAsia="Times New Roman" w:hAnsi="Arial" w:cs="Arial"/>
                <w:sz w:val="14"/>
                <w:szCs w:val="14"/>
                <w:lang w:eastAsia="pt-BR"/>
              </w:rPr>
            </w:pPr>
            <w:r w:rsidRPr="0073452B">
              <w:rPr>
                <w:rFonts w:ascii="Arial" w:eastAsia="Times New Roman" w:hAnsi="Arial" w:cs="Arial"/>
                <w:sz w:val="14"/>
                <w:szCs w:val="14"/>
                <w:lang w:eastAsia="pt-BR"/>
              </w:rPr>
              <w:t>XML</w:t>
            </w:r>
          </w:p>
        </w:tc>
      </w:tr>
      <w:tr w:rsidR="00CB7C58" w:rsidRPr="00017119" w14:paraId="0125E56B" w14:textId="77777777" w:rsidTr="00C3610F">
        <w:trPr>
          <w:trHeight w:val="454"/>
        </w:trPr>
        <w:tc>
          <w:tcPr>
            <w:tcW w:w="1555" w:type="dxa"/>
            <w:vAlign w:val="center"/>
          </w:tcPr>
          <w:p w14:paraId="4FF2C197" w14:textId="77777777" w:rsidR="00CB7C58" w:rsidRPr="00017119" w:rsidRDefault="00CB7C58" w:rsidP="00FD64B3">
            <w:pPr>
              <w:spacing w:after="0" w:line="240" w:lineRule="auto"/>
              <w:jc w:val="center"/>
              <w:rPr>
                <w:rFonts w:ascii="Arial" w:eastAsia="Times New Roman" w:hAnsi="Arial" w:cs="Arial"/>
                <w:sz w:val="18"/>
                <w:szCs w:val="18"/>
                <w:lang w:eastAsia="pt-BR"/>
              </w:rPr>
            </w:pPr>
            <w:r w:rsidRPr="00017119">
              <w:rPr>
                <w:rFonts w:ascii="Arial" w:eastAsia="Times New Roman" w:hAnsi="Arial" w:cs="Arial"/>
                <w:sz w:val="18"/>
                <w:szCs w:val="18"/>
                <w:lang w:eastAsia="pt-BR"/>
              </w:rPr>
              <w:t>EXTBAN</w:t>
            </w:r>
          </w:p>
        </w:tc>
        <w:tc>
          <w:tcPr>
            <w:tcW w:w="6633" w:type="dxa"/>
            <w:shd w:val="clear" w:color="auto" w:fill="auto"/>
            <w:vAlign w:val="center"/>
          </w:tcPr>
          <w:p w14:paraId="2EF997D9" w14:textId="77777777" w:rsidR="00CB7C58" w:rsidRPr="00017119" w:rsidRDefault="00CB7C58" w:rsidP="000F7387">
            <w:pPr>
              <w:spacing w:before="120" w:after="120" w:line="240" w:lineRule="auto"/>
              <w:ind w:left="42"/>
              <w:jc w:val="both"/>
              <w:rPr>
                <w:rFonts w:ascii="Arial" w:eastAsia="Times New Roman" w:hAnsi="Arial" w:cs="Arial"/>
                <w:sz w:val="18"/>
                <w:szCs w:val="18"/>
                <w:lang w:eastAsia="pt-BR"/>
              </w:rPr>
            </w:pPr>
            <w:r w:rsidRPr="00017119">
              <w:rPr>
                <w:rFonts w:ascii="Arial" w:eastAsia="Times New Roman" w:hAnsi="Arial" w:cs="Arial"/>
                <w:sz w:val="18"/>
                <w:szCs w:val="18"/>
                <w:lang w:eastAsia="pt-BR"/>
              </w:rPr>
              <w:t>Extratos bancários de janeiro a dezembro, que fazem a movimentação dos depósitos e pagamentos de precatórios.</w:t>
            </w:r>
          </w:p>
        </w:tc>
        <w:tc>
          <w:tcPr>
            <w:tcW w:w="992" w:type="dxa"/>
            <w:shd w:val="clear" w:color="auto" w:fill="auto"/>
            <w:vAlign w:val="center"/>
          </w:tcPr>
          <w:p w14:paraId="38431914" w14:textId="77777777" w:rsidR="00CB7C58" w:rsidRPr="00017119" w:rsidRDefault="00532985" w:rsidP="00FD64B3">
            <w:pPr>
              <w:spacing w:after="0" w:line="240" w:lineRule="auto"/>
              <w:jc w:val="center"/>
              <w:rPr>
                <w:rFonts w:ascii="Arial" w:eastAsia="Times New Roman" w:hAnsi="Arial" w:cs="Arial"/>
                <w:sz w:val="14"/>
                <w:szCs w:val="14"/>
                <w:lang w:eastAsia="pt-BR"/>
              </w:rPr>
            </w:pPr>
            <w:r w:rsidRPr="00017119">
              <w:rPr>
                <w:rFonts w:ascii="Arial" w:eastAsia="Times New Roman" w:hAnsi="Arial" w:cs="Arial"/>
                <w:sz w:val="14"/>
                <w:szCs w:val="14"/>
                <w:lang w:eastAsia="pt-BR"/>
              </w:rPr>
              <w:t>PDF</w:t>
            </w:r>
          </w:p>
        </w:tc>
      </w:tr>
      <w:tr w:rsidR="00CB7C58" w:rsidRPr="00A5490A" w14:paraId="7E027308" w14:textId="77777777" w:rsidTr="00C3610F">
        <w:trPr>
          <w:trHeight w:val="454"/>
        </w:trPr>
        <w:tc>
          <w:tcPr>
            <w:tcW w:w="1555" w:type="dxa"/>
            <w:vAlign w:val="center"/>
          </w:tcPr>
          <w:p w14:paraId="25DEE27C" w14:textId="77777777" w:rsidR="00CB7C58" w:rsidRPr="003B4337" w:rsidRDefault="00CB7C58" w:rsidP="00FD64B3">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TVDISPN</w:t>
            </w:r>
          </w:p>
        </w:tc>
        <w:tc>
          <w:tcPr>
            <w:tcW w:w="6633" w:type="dxa"/>
            <w:shd w:val="clear" w:color="auto" w:fill="auto"/>
            <w:vAlign w:val="center"/>
          </w:tcPr>
          <w:p w14:paraId="72A373C1" w14:textId="3DA5CA3C" w:rsidR="00CB7C58" w:rsidRPr="003B4337" w:rsidRDefault="00CB7C58" w:rsidP="00BB7DB5">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Termo de verificação de disponibilidades, na </w:t>
            </w:r>
            <w:r w:rsidRPr="00BB7DB5">
              <w:rPr>
                <w:rFonts w:ascii="Arial" w:eastAsia="Times New Roman" w:hAnsi="Arial" w:cs="Arial"/>
                <w:sz w:val="18"/>
                <w:szCs w:val="18"/>
                <w:lang w:eastAsia="pt-BR"/>
              </w:rPr>
              <w:t xml:space="preserve">forma </w:t>
            </w:r>
            <w:r w:rsidR="00BB7DB5" w:rsidRPr="00BB7DB5">
              <w:rPr>
                <w:rFonts w:ascii="Arial" w:eastAsia="Times New Roman" w:hAnsi="Arial" w:cs="Arial"/>
                <w:sz w:val="18"/>
                <w:szCs w:val="18"/>
                <w:lang w:eastAsia="pt-BR"/>
              </w:rPr>
              <w:t>do item 3.2 deste Anexo</w:t>
            </w:r>
            <w:r w:rsidRPr="00BB7DB5">
              <w:rPr>
                <w:rFonts w:ascii="Arial" w:eastAsia="Times New Roman" w:hAnsi="Arial" w:cs="Arial"/>
                <w:sz w:val="18"/>
                <w:szCs w:val="18"/>
                <w:lang w:eastAsia="pt-BR"/>
              </w:rPr>
              <w:t>.</w:t>
            </w:r>
          </w:p>
        </w:tc>
        <w:tc>
          <w:tcPr>
            <w:tcW w:w="992" w:type="dxa"/>
            <w:shd w:val="clear" w:color="auto" w:fill="auto"/>
            <w:vAlign w:val="center"/>
          </w:tcPr>
          <w:p w14:paraId="039CAE1D" w14:textId="77777777" w:rsidR="00CB7C58" w:rsidRPr="003B4337" w:rsidRDefault="00532985" w:rsidP="00FD64B3">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p w14:paraId="2CD03520" w14:textId="77777777" w:rsidR="00CB7C58" w:rsidRPr="003B4337" w:rsidRDefault="00CB7C58" w:rsidP="00FD64B3">
            <w:pPr>
              <w:spacing w:after="0" w:line="240" w:lineRule="auto"/>
              <w:jc w:val="center"/>
              <w:rPr>
                <w:rFonts w:ascii="Arial" w:eastAsia="Times New Roman" w:hAnsi="Arial" w:cs="Arial"/>
                <w:sz w:val="14"/>
                <w:szCs w:val="14"/>
                <w:highlight w:val="yellow"/>
                <w:lang w:eastAsia="pt-BR"/>
              </w:rPr>
            </w:pPr>
            <w:r w:rsidRPr="003B4337">
              <w:rPr>
                <w:rFonts w:ascii="Arial" w:eastAsia="Times New Roman" w:hAnsi="Arial" w:cs="Arial"/>
                <w:sz w:val="14"/>
                <w:szCs w:val="14"/>
                <w:lang w:eastAsia="pt-BR"/>
              </w:rPr>
              <w:t>e</w:t>
            </w:r>
            <w:r w:rsidRPr="003B4337">
              <w:rPr>
                <w:rFonts w:ascii="Arial" w:eastAsia="Times New Roman" w:hAnsi="Arial" w:cs="Arial"/>
                <w:sz w:val="14"/>
                <w:szCs w:val="14"/>
                <w:highlight w:val="yellow"/>
                <w:lang w:eastAsia="pt-BR"/>
              </w:rPr>
              <w:t xml:space="preserve"> </w:t>
            </w:r>
          </w:p>
          <w:p w14:paraId="4A92D501" w14:textId="77777777" w:rsidR="00CB7C58" w:rsidRPr="003B4337" w:rsidRDefault="00CB7C58" w:rsidP="00FD64B3">
            <w:pPr>
              <w:spacing w:after="0" w:line="240" w:lineRule="auto"/>
              <w:jc w:val="center"/>
              <w:rPr>
                <w:rFonts w:ascii="Arial" w:eastAsia="Times New Roman" w:hAnsi="Arial" w:cs="Arial"/>
                <w:sz w:val="14"/>
                <w:szCs w:val="14"/>
                <w:lang w:eastAsia="pt-BR"/>
              </w:rPr>
            </w:pPr>
            <w:r w:rsidRPr="003B4337">
              <w:rPr>
                <w:rFonts w:ascii="Arial" w:eastAsia="Times New Roman" w:hAnsi="Arial" w:cs="Arial"/>
                <w:sz w:val="14"/>
                <w:szCs w:val="14"/>
                <w:lang w:eastAsia="pt-BR"/>
              </w:rPr>
              <w:t>XLS/XLSX/ODS</w:t>
            </w:r>
          </w:p>
        </w:tc>
      </w:tr>
      <w:tr w:rsidR="00CB7C58" w:rsidRPr="00A5490A" w14:paraId="3F69CFF9" w14:textId="77777777" w:rsidTr="00C3610F">
        <w:trPr>
          <w:trHeight w:val="454"/>
        </w:trPr>
        <w:tc>
          <w:tcPr>
            <w:tcW w:w="1555" w:type="dxa"/>
            <w:vAlign w:val="center"/>
          </w:tcPr>
          <w:p w14:paraId="3F03FAC9" w14:textId="77777777" w:rsidR="00CB7C58" w:rsidRPr="003B4337" w:rsidRDefault="00CB7C58" w:rsidP="00FD64B3">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lastRenderedPageBreak/>
              <w:t>CERSIT</w:t>
            </w:r>
          </w:p>
        </w:tc>
        <w:tc>
          <w:tcPr>
            <w:tcW w:w="6633" w:type="dxa"/>
            <w:shd w:val="clear" w:color="auto" w:fill="auto"/>
            <w:vAlign w:val="center"/>
          </w:tcPr>
          <w:p w14:paraId="16B8B4AF" w14:textId="77777777" w:rsidR="00CB7C58" w:rsidRPr="003B4337" w:rsidRDefault="00CB7C58" w:rsidP="00FD64B3">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Certificado de Regularidade de Situação – CRS</w:t>
            </w:r>
            <w:r w:rsidRPr="003B4337">
              <w:rPr>
                <w:rFonts w:ascii="Arial" w:eastAsia="Times New Roman" w:hAnsi="Arial" w:cs="Arial"/>
                <w:sz w:val="18"/>
                <w:szCs w:val="18"/>
                <w:lang w:eastAsia="en-CA"/>
              </w:rPr>
              <w:t xml:space="preserve"> (art. 69 da LC Estadual nº 282/2004)</w:t>
            </w:r>
          </w:p>
        </w:tc>
        <w:tc>
          <w:tcPr>
            <w:tcW w:w="992" w:type="dxa"/>
            <w:shd w:val="clear" w:color="auto" w:fill="auto"/>
            <w:vAlign w:val="center"/>
          </w:tcPr>
          <w:p w14:paraId="46F851E0" w14:textId="77777777" w:rsidR="00CB7C58" w:rsidRPr="003B4337" w:rsidRDefault="00532985" w:rsidP="00FD64B3">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C15446" w:rsidRPr="00C15446" w14:paraId="7EA058AD" w14:textId="77777777" w:rsidTr="00C3610F">
        <w:trPr>
          <w:trHeight w:val="454"/>
        </w:trPr>
        <w:tc>
          <w:tcPr>
            <w:tcW w:w="1555" w:type="dxa"/>
            <w:vAlign w:val="center"/>
          </w:tcPr>
          <w:p w14:paraId="55F5AC25" w14:textId="49A36819" w:rsidR="00E02D67" w:rsidRPr="00C15446" w:rsidRDefault="00E02D67" w:rsidP="00E02D67">
            <w:pPr>
              <w:spacing w:after="0" w:line="240" w:lineRule="auto"/>
              <w:jc w:val="center"/>
              <w:rPr>
                <w:rFonts w:ascii="Arial" w:eastAsia="Times New Roman" w:hAnsi="Arial" w:cs="Arial"/>
                <w:sz w:val="18"/>
                <w:szCs w:val="18"/>
                <w:lang w:eastAsia="pt-BR"/>
              </w:rPr>
            </w:pPr>
            <w:r w:rsidRPr="00C15446">
              <w:rPr>
                <w:rFonts w:ascii="Arial" w:eastAsia="Times New Roman" w:hAnsi="Arial" w:cs="Arial"/>
                <w:sz w:val="18"/>
                <w:szCs w:val="18"/>
                <w:lang w:eastAsia="pt-BR"/>
              </w:rPr>
              <w:t>ESTPREC</w:t>
            </w:r>
          </w:p>
        </w:tc>
        <w:tc>
          <w:tcPr>
            <w:tcW w:w="6633" w:type="dxa"/>
            <w:shd w:val="clear" w:color="auto" w:fill="auto"/>
            <w:vAlign w:val="center"/>
          </w:tcPr>
          <w:p w14:paraId="4CD9F18A" w14:textId="1CDD7322" w:rsidR="00E02D67" w:rsidRPr="00C15446" w:rsidRDefault="00E02D67" w:rsidP="00E02D67">
            <w:pPr>
              <w:spacing w:before="120" w:after="120" w:line="240" w:lineRule="auto"/>
              <w:jc w:val="both"/>
              <w:rPr>
                <w:rFonts w:ascii="Arial" w:eastAsia="Times New Roman" w:hAnsi="Arial" w:cs="Arial"/>
                <w:sz w:val="18"/>
                <w:szCs w:val="18"/>
                <w:lang w:eastAsia="pt-BR"/>
              </w:rPr>
            </w:pPr>
            <w:r w:rsidRPr="00C15446">
              <w:rPr>
                <w:rFonts w:ascii="Arial" w:eastAsia="Times New Roman" w:hAnsi="Arial" w:cs="Arial"/>
                <w:sz w:val="18"/>
                <w:szCs w:val="18"/>
                <w:lang w:eastAsia="pt-BR"/>
              </w:rPr>
              <w:t xml:space="preserve">Relação do estoque dos precatórios existentes na data de encerramento do exercício da prestação de contas, </w:t>
            </w:r>
            <w:r w:rsidRPr="00C15446">
              <w:rPr>
                <w:rFonts w:ascii="Arial" w:hAnsi="Arial" w:cs="Arial"/>
                <w:sz w:val="18"/>
                <w:szCs w:val="18"/>
              </w:rPr>
              <w:t>conforme layout constante do item 3.1 deste Anexo</w:t>
            </w:r>
            <w:r w:rsidRPr="00C15446">
              <w:rPr>
                <w:rFonts w:ascii="Arial" w:eastAsia="Times New Roman" w:hAnsi="Arial" w:cs="Arial"/>
                <w:sz w:val="18"/>
                <w:szCs w:val="18"/>
                <w:lang w:eastAsia="pt-BR"/>
              </w:rPr>
              <w:t>.</w:t>
            </w:r>
          </w:p>
        </w:tc>
        <w:tc>
          <w:tcPr>
            <w:tcW w:w="992" w:type="dxa"/>
            <w:shd w:val="clear" w:color="auto" w:fill="auto"/>
            <w:vAlign w:val="center"/>
          </w:tcPr>
          <w:p w14:paraId="60141CC3" w14:textId="76968FFA" w:rsidR="00E02D67" w:rsidRPr="00C15446" w:rsidRDefault="00E02D67" w:rsidP="00E02D67">
            <w:pPr>
              <w:spacing w:after="0" w:line="240" w:lineRule="auto"/>
              <w:jc w:val="center"/>
              <w:rPr>
                <w:rFonts w:ascii="Arial" w:eastAsia="Times New Roman" w:hAnsi="Arial" w:cs="Arial"/>
                <w:sz w:val="14"/>
                <w:szCs w:val="14"/>
                <w:lang w:eastAsia="pt-BR"/>
              </w:rPr>
            </w:pPr>
            <w:r w:rsidRPr="00C15446">
              <w:rPr>
                <w:rFonts w:ascii="Arial" w:eastAsia="Times New Roman" w:hAnsi="Arial" w:cs="Arial"/>
                <w:sz w:val="14"/>
                <w:szCs w:val="14"/>
                <w:lang w:eastAsia="pt-BR"/>
              </w:rPr>
              <w:t>XML</w:t>
            </w:r>
          </w:p>
        </w:tc>
      </w:tr>
      <w:tr w:rsidR="00C15446" w:rsidRPr="00C15446" w14:paraId="6CFF6A02" w14:textId="77777777" w:rsidTr="00C3610F">
        <w:trPr>
          <w:trHeight w:val="454"/>
        </w:trPr>
        <w:tc>
          <w:tcPr>
            <w:tcW w:w="1555" w:type="dxa"/>
            <w:vAlign w:val="center"/>
          </w:tcPr>
          <w:p w14:paraId="595C55E0" w14:textId="08C4EC16" w:rsidR="00E02D67" w:rsidRPr="00C15446" w:rsidRDefault="00E02D67" w:rsidP="00E02D67">
            <w:pPr>
              <w:spacing w:after="0" w:line="240" w:lineRule="auto"/>
              <w:jc w:val="center"/>
              <w:rPr>
                <w:rFonts w:ascii="Arial" w:eastAsia="Times New Roman" w:hAnsi="Arial" w:cs="Arial"/>
                <w:sz w:val="18"/>
                <w:szCs w:val="18"/>
                <w:lang w:eastAsia="pt-BR"/>
              </w:rPr>
            </w:pPr>
            <w:r w:rsidRPr="00C15446">
              <w:rPr>
                <w:rFonts w:ascii="Arial" w:eastAsia="Times New Roman" w:hAnsi="Arial" w:cs="Arial"/>
                <w:sz w:val="18"/>
                <w:szCs w:val="18"/>
                <w:lang w:eastAsia="pt-BR"/>
              </w:rPr>
              <w:t>RELPCP</w:t>
            </w:r>
          </w:p>
        </w:tc>
        <w:tc>
          <w:tcPr>
            <w:tcW w:w="6633" w:type="dxa"/>
            <w:shd w:val="clear" w:color="auto" w:fill="auto"/>
            <w:vAlign w:val="center"/>
          </w:tcPr>
          <w:p w14:paraId="46576B16" w14:textId="28B8BB3C" w:rsidR="00E02D67" w:rsidRPr="00C15446" w:rsidRDefault="00E02D67" w:rsidP="00E02D67">
            <w:pPr>
              <w:spacing w:before="120" w:after="120" w:line="240" w:lineRule="auto"/>
              <w:jc w:val="both"/>
              <w:rPr>
                <w:rFonts w:ascii="Arial" w:eastAsia="Times New Roman" w:hAnsi="Arial" w:cs="Arial"/>
                <w:sz w:val="18"/>
                <w:szCs w:val="18"/>
                <w:lang w:eastAsia="pt-BR"/>
              </w:rPr>
            </w:pPr>
            <w:r w:rsidRPr="00C15446">
              <w:rPr>
                <w:rFonts w:ascii="Arial" w:eastAsia="Times New Roman" w:hAnsi="Arial" w:cs="Arial"/>
                <w:sz w:val="18"/>
                <w:szCs w:val="18"/>
                <w:lang w:eastAsia="pt-BR"/>
              </w:rPr>
              <w:t xml:space="preserve">Relação dos precatórios pagos no exercício da prestação de contas, </w:t>
            </w:r>
            <w:r w:rsidRPr="00C15446">
              <w:rPr>
                <w:rFonts w:ascii="Arial" w:hAnsi="Arial" w:cs="Arial"/>
                <w:sz w:val="18"/>
                <w:szCs w:val="18"/>
              </w:rPr>
              <w:t>conforme layout constante do item 3.1 deste Anexo</w:t>
            </w:r>
            <w:r w:rsidRPr="00C15446">
              <w:rPr>
                <w:rFonts w:ascii="Arial" w:eastAsia="Times New Roman" w:hAnsi="Arial" w:cs="Arial"/>
                <w:sz w:val="18"/>
                <w:szCs w:val="18"/>
                <w:lang w:eastAsia="pt-BR"/>
              </w:rPr>
              <w:t>.</w:t>
            </w:r>
          </w:p>
        </w:tc>
        <w:tc>
          <w:tcPr>
            <w:tcW w:w="992" w:type="dxa"/>
            <w:shd w:val="clear" w:color="auto" w:fill="auto"/>
            <w:vAlign w:val="center"/>
          </w:tcPr>
          <w:p w14:paraId="22B3F65F" w14:textId="0B162692" w:rsidR="00E02D67" w:rsidRPr="00C15446" w:rsidRDefault="00E02D67" w:rsidP="00E02D67">
            <w:pPr>
              <w:spacing w:after="0" w:line="240" w:lineRule="auto"/>
              <w:jc w:val="center"/>
              <w:rPr>
                <w:rFonts w:ascii="Arial" w:eastAsia="Times New Roman" w:hAnsi="Arial" w:cs="Arial"/>
                <w:sz w:val="14"/>
                <w:szCs w:val="14"/>
                <w:lang w:eastAsia="pt-BR"/>
              </w:rPr>
            </w:pPr>
            <w:r w:rsidRPr="00C15446">
              <w:rPr>
                <w:rFonts w:ascii="Arial" w:eastAsia="Times New Roman" w:hAnsi="Arial" w:cs="Arial"/>
                <w:sz w:val="14"/>
                <w:szCs w:val="14"/>
                <w:lang w:eastAsia="pt-BR"/>
              </w:rPr>
              <w:t>XML</w:t>
            </w:r>
          </w:p>
        </w:tc>
      </w:tr>
      <w:tr w:rsidR="00BC11E3" w:rsidRPr="00BC11E3" w14:paraId="6CDDF3CE" w14:textId="77777777" w:rsidTr="00C3610F">
        <w:trPr>
          <w:trHeight w:val="454"/>
        </w:trPr>
        <w:tc>
          <w:tcPr>
            <w:tcW w:w="1555" w:type="dxa"/>
            <w:vAlign w:val="center"/>
          </w:tcPr>
          <w:p w14:paraId="2EC4B8C5" w14:textId="18BC2445" w:rsidR="002936F7" w:rsidRPr="00BC11E3" w:rsidRDefault="002936F7" w:rsidP="002936F7">
            <w:pPr>
              <w:spacing w:after="0" w:line="240" w:lineRule="auto"/>
              <w:jc w:val="center"/>
              <w:rPr>
                <w:rFonts w:ascii="Arial" w:eastAsia="Times New Roman" w:hAnsi="Arial" w:cs="Arial"/>
                <w:sz w:val="20"/>
                <w:szCs w:val="20"/>
                <w:lang w:eastAsia="pt-BR"/>
              </w:rPr>
            </w:pPr>
            <w:r w:rsidRPr="00BC11E3">
              <w:rPr>
                <w:rFonts w:ascii="Arial" w:eastAsia="Times New Roman" w:hAnsi="Arial" w:cs="Arial"/>
                <w:sz w:val="20"/>
                <w:szCs w:val="20"/>
                <w:lang w:eastAsia="pt-BR"/>
              </w:rPr>
              <w:t>RFPREC</w:t>
            </w:r>
          </w:p>
        </w:tc>
        <w:tc>
          <w:tcPr>
            <w:tcW w:w="6633" w:type="dxa"/>
            <w:shd w:val="clear" w:color="auto" w:fill="auto"/>
            <w:vAlign w:val="center"/>
          </w:tcPr>
          <w:p w14:paraId="4BF1305D" w14:textId="41C5F755" w:rsidR="002936F7" w:rsidRPr="00BC11E3" w:rsidRDefault="00BC11E3" w:rsidP="002936F7">
            <w:pPr>
              <w:spacing w:before="120" w:after="120" w:line="240" w:lineRule="auto"/>
              <w:jc w:val="both"/>
              <w:rPr>
                <w:rFonts w:ascii="Arial" w:eastAsia="Times New Roman" w:hAnsi="Arial" w:cs="Arial"/>
                <w:sz w:val="20"/>
                <w:szCs w:val="20"/>
                <w:lang w:eastAsia="pt-BR"/>
              </w:rPr>
            </w:pPr>
            <w:r w:rsidRPr="00BC11E3">
              <w:rPr>
                <w:rFonts w:ascii="Arial" w:hAnsi="Arial" w:cs="Arial"/>
                <w:sz w:val="20"/>
                <w:szCs w:val="20"/>
              </w:rPr>
              <w:t>Repasses financeiros efetuados pelos Entes ao Tribunal de Justiça do Estado do Espírito Santo - TJES, relativos aos Precatórios em Regime Especial.</w:t>
            </w:r>
          </w:p>
        </w:tc>
        <w:tc>
          <w:tcPr>
            <w:tcW w:w="992" w:type="dxa"/>
            <w:shd w:val="clear" w:color="auto" w:fill="auto"/>
            <w:vAlign w:val="center"/>
          </w:tcPr>
          <w:p w14:paraId="3115E4F7" w14:textId="77777777" w:rsidR="002936F7" w:rsidRPr="00BC11E3" w:rsidRDefault="002936F7" w:rsidP="002936F7">
            <w:pPr>
              <w:spacing w:line="241" w:lineRule="auto"/>
              <w:ind w:left="209" w:right="222"/>
              <w:contextualSpacing/>
              <w:jc w:val="center"/>
              <w:rPr>
                <w:rFonts w:ascii="Arial" w:hAnsi="Arial" w:cs="Arial"/>
                <w:sz w:val="14"/>
                <w:szCs w:val="14"/>
              </w:rPr>
            </w:pPr>
            <w:r w:rsidRPr="00BC11E3">
              <w:rPr>
                <w:rFonts w:ascii="Arial" w:eastAsia="Arial" w:hAnsi="Arial" w:cs="Arial"/>
                <w:sz w:val="14"/>
                <w:szCs w:val="14"/>
              </w:rPr>
              <w:t xml:space="preserve">PDF e  </w:t>
            </w:r>
          </w:p>
          <w:p w14:paraId="7ED92E9B" w14:textId="2FFDA1C3" w:rsidR="002936F7" w:rsidRPr="00BC11E3" w:rsidRDefault="002936F7" w:rsidP="002936F7">
            <w:pPr>
              <w:spacing w:after="0" w:line="240" w:lineRule="auto"/>
              <w:jc w:val="center"/>
              <w:rPr>
                <w:rFonts w:ascii="Arial" w:eastAsia="Times New Roman" w:hAnsi="Arial" w:cs="Arial"/>
                <w:sz w:val="14"/>
                <w:szCs w:val="14"/>
                <w:lang w:eastAsia="pt-BR"/>
              </w:rPr>
            </w:pPr>
            <w:r w:rsidRPr="00BC11E3">
              <w:rPr>
                <w:rFonts w:ascii="Arial" w:eastAsia="Arial" w:hAnsi="Arial" w:cs="Arial"/>
                <w:sz w:val="14"/>
                <w:szCs w:val="14"/>
              </w:rPr>
              <w:t>XLS/XLSX/ ODS</w:t>
            </w:r>
          </w:p>
        </w:tc>
      </w:tr>
      <w:tr w:rsidR="00E02D67" w:rsidRPr="00A5490A" w14:paraId="3C1500ED" w14:textId="77777777" w:rsidTr="00C3610F">
        <w:trPr>
          <w:trHeight w:val="454"/>
        </w:trPr>
        <w:tc>
          <w:tcPr>
            <w:tcW w:w="1555" w:type="dxa"/>
            <w:vAlign w:val="center"/>
          </w:tcPr>
          <w:p w14:paraId="1D92C437" w14:textId="798291FC" w:rsidR="00E02D67" w:rsidRPr="00E02D67" w:rsidRDefault="00E02D67" w:rsidP="00E02D67">
            <w:pPr>
              <w:spacing w:after="0" w:line="240" w:lineRule="auto"/>
              <w:jc w:val="center"/>
              <w:rPr>
                <w:rFonts w:ascii="Arial" w:eastAsia="Times New Roman" w:hAnsi="Arial" w:cs="Arial"/>
                <w:sz w:val="18"/>
                <w:szCs w:val="18"/>
                <w:lang w:eastAsia="pt-BR"/>
              </w:rPr>
            </w:pPr>
            <w:r w:rsidRPr="00E02D67">
              <w:rPr>
                <w:rFonts w:ascii="Arial" w:eastAsia="Times New Roman" w:hAnsi="Arial" w:cs="Arial"/>
                <w:sz w:val="18"/>
                <w:szCs w:val="18"/>
                <w:lang w:eastAsia="pt-BR"/>
              </w:rPr>
              <w:t>NOTAEXP</w:t>
            </w:r>
          </w:p>
        </w:tc>
        <w:tc>
          <w:tcPr>
            <w:tcW w:w="6633" w:type="dxa"/>
            <w:shd w:val="clear" w:color="auto" w:fill="auto"/>
            <w:vAlign w:val="center"/>
          </w:tcPr>
          <w:p w14:paraId="7F207E75" w14:textId="77777777" w:rsidR="00E02D67" w:rsidRPr="00E02D67" w:rsidRDefault="00E02D67" w:rsidP="00E02D67">
            <w:pPr>
              <w:pStyle w:val="TableParagraph"/>
              <w:spacing w:before="120" w:after="120"/>
              <w:ind w:left="102" w:right="111"/>
              <w:jc w:val="both"/>
              <w:rPr>
                <w:rFonts w:ascii="Arial" w:hAnsi="Arial" w:cs="Arial"/>
                <w:sz w:val="18"/>
                <w:szCs w:val="18"/>
                <w:lang w:val="pt-BR"/>
              </w:rPr>
            </w:pPr>
            <w:r w:rsidRPr="00E02D67">
              <w:rPr>
                <w:rFonts w:ascii="Arial" w:hAnsi="Arial" w:cs="Arial"/>
                <w:sz w:val="18"/>
                <w:szCs w:val="18"/>
                <w:lang w:val="pt-BR"/>
              </w:rPr>
              <w:t>Notas Explicativas às Demonstrações Contábeis, conforme layout constante do item 3.1 deste Anexo, contendo:</w:t>
            </w:r>
          </w:p>
          <w:p w14:paraId="1CA05CB8" w14:textId="77777777" w:rsidR="00E02D67" w:rsidRPr="00E02D67" w:rsidRDefault="00E02D67" w:rsidP="005C719B">
            <w:pPr>
              <w:pStyle w:val="PargrafodaLista"/>
              <w:numPr>
                <w:ilvl w:val="0"/>
                <w:numId w:val="35"/>
              </w:numPr>
              <w:spacing w:before="120" w:after="120" w:line="240" w:lineRule="auto"/>
              <w:ind w:left="822"/>
              <w:contextualSpacing w:val="0"/>
              <w:jc w:val="both"/>
              <w:rPr>
                <w:rFonts w:ascii="Arial" w:hAnsi="Arial" w:cs="Arial"/>
                <w:sz w:val="18"/>
                <w:szCs w:val="18"/>
              </w:rPr>
            </w:pPr>
            <w:r w:rsidRPr="00E02D67">
              <w:rPr>
                <w:rFonts w:ascii="Arial" w:hAnsi="Arial" w:cs="Arial"/>
                <w:sz w:val="18"/>
                <w:szCs w:val="18"/>
              </w:rPr>
              <w:t>Informações gerais da entidade: natureza jurídica, natureza das operações, atividades desempenhadas, lei de instituição, conforme o caso, e declaração de conformidade com leis e normas de contabilidade aplicáveis;</w:t>
            </w:r>
          </w:p>
          <w:p w14:paraId="4F11CF64" w14:textId="77777777" w:rsidR="00E02D67" w:rsidRPr="00E02D67" w:rsidRDefault="00E02D67" w:rsidP="005C719B">
            <w:pPr>
              <w:pStyle w:val="PargrafodaLista"/>
              <w:numPr>
                <w:ilvl w:val="0"/>
                <w:numId w:val="35"/>
              </w:numPr>
              <w:spacing w:before="120" w:after="120" w:line="240" w:lineRule="auto"/>
              <w:ind w:left="822"/>
              <w:contextualSpacing w:val="0"/>
              <w:jc w:val="both"/>
              <w:rPr>
                <w:rFonts w:ascii="Arial" w:hAnsi="Arial" w:cs="Arial"/>
                <w:sz w:val="18"/>
                <w:szCs w:val="18"/>
              </w:rPr>
            </w:pPr>
            <w:r w:rsidRPr="00E02D67">
              <w:rPr>
                <w:rFonts w:ascii="Arial" w:hAnsi="Arial" w:cs="Arial"/>
                <w:sz w:val="18"/>
                <w:szCs w:val="18"/>
              </w:rPr>
              <w:t>Resumo das Políticas Contábeis relevantes: base de mensuração utilizada, adoção de novas políticas contábeis;</w:t>
            </w:r>
          </w:p>
          <w:p w14:paraId="794E1347" w14:textId="77777777" w:rsidR="00E02D67" w:rsidRPr="00E02D67" w:rsidRDefault="00E02D67" w:rsidP="005C719B">
            <w:pPr>
              <w:pStyle w:val="PargrafodaLista"/>
              <w:numPr>
                <w:ilvl w:val="0"/>
                <w:numId w:val="35"/>
              </w:numPr>
              <w:spacing w:before="120" w:after="120" w:line="240" w:lineRule="auto"/>
              <w:ind w:left="822"/>
              <w:contextualSpacing w:val="0"/>
              <w:jc w:val="both"/>
              <w:rPr>
                <w:rFonts w:ascii="Arial" w:hAnsi="Arial" w:cs="Arial"/>
                <w:sz w:val="18"/>
                <w:szCs w:val="18"/>
              </w:rPr>
            </w:pPr>
            <w:r w:rsidRPr="00E02D67">
              <w:rPr>
                <w:rFonts w:ascii="Arial" w:hAnsi="Arial" w:cs="Arial"/>
                <w:sz w:val="18"/>
                <w:szCs w:val="18"/>
              </w:rPr>
              <w:t>Detalhamento de informações relevantes contidas nos Demonstrativos Contábeis;</w:t>
            </w:r>
          </w:p>
          <w:p w14:paraId="30E0EFB9" w14:textId="434696D6" w:rsidR="00E02D67" w:rsidRPr="00E02D67" w:rsidRDefault="00E02D67" w:rsidP="005C719B">
            <w:pPr>
              <w:pStyle w:val="PargrafodaLista"/>
              <w:numPr>
                <w:ilvl w:val="0"/>
                <w:numId w:val="35"/>
              </w:numPr>
              <w:spacing w:before="120" w:after="120" w:line="240" w:lineRule="auto"/>
              <w:ind w:left="822"/>
              <w:contextualSpacing w:val="0"/>
              <w:jc w:val="both"/>
              <w:rPr>
                <w:rFonts w:ascii="Arial" w:eastAsia="Times New Roman" w:hAnsi="Arial" w:cs="Arial"/>
                <w:sz w:val="18"/>
                <w:szCs w:val="18"/>
                <w:lang w:eastAsia="pt-BR"/>
              </w:rPr>
            </w:pPr>
            <w:r w:rsidRPr="00E02D67">
              <w:rPr>
                <w:rFonts w:ascii="Arial" w:hAnsi="Arial" w:cs="Arial"/>
                <w:sz w:val="18"/>
                <w:szCs w:val="18"/>
              </w:rPr>
              <w:t>Demais informações relevantes: passivos contingentes e compromissos contratuais não reconhecidos; ajustes decorrentes de erros, etc.</w:t>
            </w:r>
          </w:p>
        </w:tc>
        <w:tc>
          <w:tcPr>
            <w:tcW w:w="992" w:type="dxa"/>
            <w:shd w:val="clear" w:color="auto" w:fill="auto"/>
            <w:vAlign w:val="center"/>
          </w:tcPr>
          <w:p w14:paraId="40594767" w14:textId="7B8F2CAE" w:rsidR="00E02D67" w:rsidRPr="00E02D67" w:rsidRDefault="00E02D67" w:rsidP="00E02D67">
            <w:pPr>
              <w:spacing w:after="0" w:line="240" w:lineRule="auto"/>
              <w:jc w:val="center"/>
              <w:rPr>
                <w:rFonts w:ascii="Arial" w:eastAsia="Times New Roman" w:hAnsi="Arial" w:cs="Arial"/>
                <w:sz w:val="14"/>
                <w:szCs w:val="14"/>
                <w:lang w:eastAsia="pt-BR"/>
              </w:rPr>
            </w:pPr>
            <w:r w:rsidRPr="00E02D67">
              <w:rPr>
                <w:rFonts w:ascii="Arial" w:eastAsia="Times New Roman" w:hAnsi="Arial" w:cs="Arial"/>
                <w:sz w:val="14"/>
                <w:szCs w:val="14"/>
                <w:lang w:eastAsia="pt-BR"/>
              </w:rPr>
              <w:t>XML</w:t>
            </w:r>
          </w:p>
        </w:tc>
      </w:tr>
      <w:tr w:rsidR="002223C0" w:rsidRPr="00A5490A" w14:paraId="53D75961" w14:textId="77777777" w:rsidTr="00C3610F">
        <w:trPr>
          <w:trHeight w:val="454"/>
        </w:trPr>
        <w:tc>
          <w:tcPr>
            <w:tcW w:w="1555" w:type="dxa"/>
            <w:vAlign w:val="center"/>
          </w:tcPr>
          <w:p w14:paraId="0CD15B05" w14:textId="77777777" w:rsidR="002223C0" w:rsidRPr="003B4337" w:rsidRDefault="002223C0" w:rsidP="00FD64B3">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DOCSPCA</w:t>
            </w:r>
          </w:p>
        </w:tc>
        <w:tc>
          <w:tcPr>
            <w:tcW w:w="6633" w:type="dxa"/>
            <w:shd w:val="clear" w:color="auto" w:fill="auto"/>
            <w:vAlign w:val="center"/>
          </w:tcPr>
          <w:p w14:paraId="569D76E7" w14:textId="7B8AB1C1" w:rsidR="002223C0" w:rsidRPr="003B4337" w:rsidRDefault="002223C0" w:rsidP="007B0568">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Referência aos documentos não estruturados, constantes neste Anexo, bem como a justificativa de ausência para os arquivos não enviados. Estrutura e layout constantes do </w:t>
            </w:r>
            <w:r>
              <w:rPr>
                <w:rFonts w:ascii="Arial" w:eastAsia="Times New Roman" w:hAnsi="Arial" w:cs="Arial"/>
                <w:sz w:val="18"/>
                <w:szCs w:val="18"/>
                <w:lang w:eastAsia="pt-BR"/>
              </w:rPr>
              <w:t xml:space="preserve">item </w:t>
            </w:r>
            <w:r w:rsidR="007B0568">
              <w:rPr>
                <w:rFonts w:ascii="Arial" w:eastAsia="Times New Roman" w:hAnsi="Arial" w:cs="Arial"/>
                <w:sz w:val="18"/>
                <w:szCs w:val="18"/>
                <w:lang w:eastAsia="pt-BR"/>
              </w:rPr>
              <w:t>3.1</w:t>
            </w:r>
            <w:r>
              <w:rPr>
                <w:rFonts w:ascii="Arial" w:eastAsia="Times New Roman" w:hAnsi="Arial" w:cs="Arial"/>
                <w:sz w:val="18"/>
                <w:szCs w:val="18"/>
                <w:lang w:eastAsia="pt-BR"/>
              </w:rPr>
              <w:t xml:space="preserve"> deste </w:t>
            </w:r>
            <w:r w:rsidRPr="003B4337">
              <w:rPr>
                <w:rFonts w:ascii="Arial" w:eastAsia="Times New Roman" w:hAnsi="Arial" w:cs="Arial"/>
                <w:sz w:val="18"/>
                <w:szCs w:val="18"/>
                <w:lang w:eastAsia="pt-BR"/>
              </w:rPr>
              <w:t>Anexo.</w:t>
            </w:r>
          </w:p>
        </w:tc>
        <w:tc>
          <w:tcPr>
            <w:tcW w:w="992" w:type="dxa"/>
            <w:shd w:val="clear" w:color="auto" w:fill="auto"/>
            <w:vAlign w:val="center"/>
          </w:tcPr>
          <w:p w14:paraId="71E75C93" w14:textId="77777777" w:rsidR="002223C0" w:rsidRPr="003B4337" w:rsidRDefault="002223C0" w:rsidP="00FD64B3">
            <w:pPr>
              <w:spacing w:after="0" w:line="240" w:lineRule="auto"/>
              <w:jc w:val="center"/>
              <w:rPr>
                <w:rFonts w:ascii="Arial" w:eastAsia="Times New Roman" w:hAnsi="Arial" w:cs="Arial"/>
                <w:sz w:val="14"/>
                <w:szCs w:val="14"/>
                <w:lang w:eastAsia="pt-BR"/>
              </w:rPr>
            </w:pPr>
            <w:r w:rsidRPr="003B4337">
              <w:rPr>
                <w:rFonts w:ascii="Arial" w:eastAsia="Times New Roman" w:hAnsi="Arial" w:cs="Arial"/>
                <w:sz w:val="14"/>
                <w:szCs w:val="14"/>
                <w:lang w:eastAsia="pt-BR"/>
              </w:rPr>
              <w:t>XML</w:t>
            </w:r>
          </w:p>
        </w:tc>
      </w:tr>
    </w:tbl>
    <w:p w14:paraId="078CC053" w14:textId="77777777" w:rsidR="008D7FEA" w:rsidRDefault="000F7387">
      <w:pPr>
        <w:rPr>
          <w:rFonts w:ascii="Arial" w:eastAsia="Times New Roman" w:hAnsi="Arial" w:cs="Arial"/>
          <w:b/>
          <w:lang w:eastAsia="pt-BR"/>
        </w:rPr>
        <w:sectPr w:rsidR="008D7FEA" w:rsidSect="00E7482B">
          <w:footerReference w:type="default" r:id="rId9"/>
          <w:pgSz w:w="11906" w:h="16838"/>
          <w:pgMar w:top="1417" w:right="1133" w:bottom="1417" w:left="1701" w:header="708" w:footer="708" w:gutter="0"/>
          <w:cols w:space="708"/>
          <w:docGrid w:linePitch="360"/>
        </w:sectPr>
      </w:pPr>
      <w:r>
        <w:rPr>
          <w:rFonts w:ascii="Arial" w:eastAsia="Times New Roman" w:hAnsi="Arial" w:cs="Arial"/>
          <w:b/>
          <w:lang w:eastAsia="pt-BR"/>
        </w:rPr>
        <w:br w:type="page"/>
      </w:r>
    </w:p>
    <w:p w14:paraId="3DBADAB6" w14:textId="3E0EF296" w:rsidR="00A5490A" w:rsidRPr="005B7FCC" w:rsidRDefault="00A5490A" w:rsidP="000F0A16">
      <w:pPr>
        <w:pStyle w:val="Ttulo2"/>
        <w:rPr>
          <w:lang w:val="pt-BR" w:eastAsia="pt-BR"/>
        </w:rPr>
      </w:pPr>
      <w:bookmarkStart w:id="13" w:name="_Toc94806297"/>
      <w:r w:rsidRPr="005B7FCC">
        <w:rPr>
          <w:lang w:val="pt-BR" w:eastAsia="pt-BR"/>
        </w:rPr>
        <w:lastRenderedPageBreak/>
        <w:t>CONTAS DOS ORDENADORES DE DESPESAS DOS INSTITUTOS PRÓPRIOS DE PREVIDÊNCIA</w:t>
      </w:r>
      <w:r w:rsidR="00517F9C" w:rsidRPr="005B7FCC">
        <w:rPr>
          <w:lang w:val="pt-BR" w:eastAsia="pt-BR"/>
        </w:rPr>
        <w:t xml:space="preserve"> MUNICIPAIS</w:t>
      </w:r>
      <w:r w:rsidR="00E82196" w:rsidRPr="005B7FCC">
        <w:rPr>
          <w:lang w:val="pt-BR" w:eastAsia="pt-BR"/>
        </w:rPr>
        <w:t xml:space="preserve"> (RPPS EM ATIVIDADE E OS EM EXTINÇÃO)</w:t>
      </w:r>
      <w:bookmarkEnd w:id="13"/>
    </w:p>
    <w:p w14:paraId="4465588D" w14:textId="77777777" w:rsidR="00A5490A" w:rsidRPr="00A5490A" w:rsidRDefault="00A5490A" w:rsidP="00A5490A">
      <w:pPr>
        <w:spacing w:after="0" w:line="240" w:lineRule="auto"/>
        <w:jc w:val="both"/>
        <w:rPr>
          <w:rFonts w:ascii="Arial" w:eastAsia="Times New Roman" w:hAnsi="Arial" w:cs="Arial"/>
          <w:lang w:eastAsia="pt-BR"/>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4"/>
        <w:gridCol w:w="7206"/>
        <w:gridCol w:w="993"/>
        <w:gridCol w:w="992"/>
        <w:gridCol w:w="992"/>
        <w:gridCol w:w="851"/>
        <w:gridCol w:w="850"/>
        <w:gridCol w:w="851"/>
      </w:tblGrid>
      <w:tr w:rsidR="005056F3" w:rsidRPr="00A5490A" w14:paraId="152ADB4C" w14:textId="77777777" w:rsidTr="000065F5">
        <w:tc>
          <w:tcPr>
            <w:tcW w:w="1294" w:type="dxa"/>
            <w:vAlign w:val="center"/>
          </w:tcPr>
          <w:p w14:paraId="7F02EA4B" w14:textId="77777777" w:rsidR="005056F3" w:rsidRPr="00A5490A" w:rsidRDefault="005056F3" w:rsidP="008D41E3">
            <w:pPr>
              <w:spacing w:after="0" w:line="240" w:lineRule="auto"/>
              <w:jc w:val="center"/>
              <w:rPr>
                <w:rFonts w:ascii="Arial" w:eastAsia="Times New Roman" w:hAnsi="Arial" w:cs="Arial"/>
                <w:sz w:val="18"/>
                <w:szCs w:val="18"/>
                <w:lang w:eastAsia="pt-BR"/>
              </w:rPr>
            </w:pPr>
            <w:r>
              <w:rPr>
                <w:rFonts w:ascii="Arial" w:eastAsia="Times New Roman" w:hAnsi="Arial" w:cs="Arial"/>
                <w:sz w:val="18"/>
                <w:szCs w:val="18"/>
                <w:lang w:eastAsia="pt-BR"/>
              </w:rPr>
              <w:t>Código</w:t>
            </w:r>
          </w:p>
        </w:tc>
        <w:tc>
          <w:tcPr>
            <w:tcW w:w="7206" w:type="dxa"/>
            <w:shd w:val="clear" w:color="auto" w:fill="auto"/>
            <w:vAlign w:val="center"/>
          </w:tcPr>
          <w:p w14:paraId="2DE32D9E" w14:textId="77777777" w:rsidR="005056F3" w:rsidRPr="00A5490A" w:rsidRDefault="005056F3" w:rsidP="008D41E3">
            <w:pPr>
              <w:spacing w:before="120" w:after="12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Descrição</w:t>
            </w:r>
          </w:p>
        </w:tc>
        <w:tc>
          <w:tcPr>
            <w:tcW w:w="993" w:type="dxa"/>
            <w:shd w:val="clear" w:color="auto" w:fill="auto"/>
            <w:vAlign w:val="center"/>
          </w:tcPr>
          <w:p w14:paraId="7F59CF4D" w14:textId="77777777" w:rsidR="005056F3" w:rsidRPr="00A5490A" w:rsidRDefault="005056F3" w:rsidP="008D41E3">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Formato</w:t>
            </w:r>
          </w:p>
        </w:tc>
        <w:tc>
          <w:tcPr>
            <w:tcW w:w="992" w:type="dxa"/>
            <w:vAlign w:val="center"/>
          </w:tcPr>
          <w:p w14:paraId="3372B310" w14:textId="77777777" w:rsidR="005056F3" w:rsidRPr="00CB55B0" w:rsidRDefault="005056F3" w:rsidP="008661BF">
            <w:pPr>
              <w:spacing w:after="0" w:line="240" w:lineRule="auto"/>
              <w:jc w:val="center"/>
              <w:rPr>
                <w:rFonts w:ascii="Arial" w:eastAsia="Times New Roman" w:hAnsi="Arial" w:cs="Arial"/>
                <w:sz w:val="18"/>
                <w:szCs w:val="18"/>
                <w:lang w:eastAsia="pt-BR"/>
              </w:rPr>
            </w:pPr>
            <w:r w:rsidRPr="00CB55B0">
              <w:rPr>
                <w:rFonts w:ascii="Arial" w:eastAsia="Times New Roman" w:hAnsi="Arial" w:cs="Arial"/>
                <w:sz w:val="18"/>
                <w:szCs w:val="18"/>
                <w:lang w:eastAsia="pt-BR"/>
              </w:rPr>
              <w:t xml:space="preserve">UG única em atividade </w:t>
            </w:r>
          </w:p>
        </w:tc>
        <w:tc>
          <w:tcPr>
            <w:tcW w:w="992" w:type="dxa"/>
            <w:vAlign w:val="center"/>
          </w:tcPr>
          <w:p w14:paraId="524C2A7A" w14:textId="77777777" w:rsidR="005056F3" w:rsidRPr="00CB55B0" w:rsidRDefault="005056F3" w:rsidP="008D41E3">
            <w:pPr>
              <w:spacing w:after="0" w:line="240" w:lineRule="auto"/>
              <w:jc w:val="center"/>
              <w:rPr>
                <w:rFonts w:ascii="Arial" w:eastAsia="Times New Roman" w:hAnsi="Arial" w:cs="Arial"/>
                <w:sz w:val="18"/>
                <w:szCs w:val="18"/>
                <w:lang w:eastAsia="pt-BR"/>
              </w:rPr>
            </w:pPr>
            <w:r w:rsidRPr="00CB55B0">
              <w:rPr>
                <w:rFonts w:ascii="Arial" w:eastAsia="Times New Roman" w:hAnsi="Arial" w:cs="Arial"/>
                <w:sz w:val="18"/>
                <w:szCs w:val="18"/>
                <w:lang w:eastAsia="pt-BR"/>
              </w:rPr>
              <w:t>UG única em extinção</w:t>
            </w:r>
          </w:p>
        </w:tc>
        <w:tc>
          <w:tcPr>
            <w:tcW w:w="851" w:type="dxa"/>
            <w:vAlign w:val="center"/>
          </w:tcPr>
          <w:p w14:paraId="4F0676F7" w14:textId="77777777" w:rsidR="005056F3" w:rsidRPr="00A5490A" w:rsidRDefault="005056F3" w:rsidP="008D41E3">
            <w:pPr>
              <w:spacing w:after="0" w:line="240" w:lineRule="auto"/>
              <w:jc w:val="center"/>
              <w:rPr>
                <w:rFonts w:ascii="Arial" w:eastAsia="Times New Roman" w:hAnsi="Arial" w:cs="Arial"/>
                <w:sz w:val="18"/>
                <w:szCs w:val="18"/>
                <w:lang w:eastAsia="pt-BR"/>
              </w:rPr>
            </w:pPr>
            <w:r>
              <w:rPr>
                <w:rFonts w:ascii="Arial" w:eastAsia="Times New Roman" w:hAnsi="Arial" w:cs="Arial"/>
                <w:sz w:val="18"/>
                <w:szCs w:val="18"/>
                <w:lang w:eastAsia="pt-BR"/>
              </w:rPr>
              <w:t>Taxa Administração</w:t>
            </w:r>
          </w:p>
        </w:tc>
        <w:tc>
          <w:tcPr>
            <w:tcW w:w="850" w:type="dxa"/>
            <w:vAlign w:val="center"/>
          </w:tcPr>
          <w:p w14:paraId="460ECA1B" w14:textId="77777777" w:rsidR="005056F3" w:rsidRPr="00A5490A" w:rsidRDefault="005056F3" w:rsidP="008D41E3">
            <w:pPr>
              <w:spacing w:after="0" w:line="240" w:lineRule="auto"/>
              <w:jc w:val="center"/>
              <w:rPr>
                <w:rFonts w:ascii="Arial" w:eastAsia="Times New Roman" w:hAnsi="Arial" w:cs="Arial"/>
                <w:sz w:val="18"/>
                <w:szCs w:val="18"/>
                <w:lang w:eastAsia="pt-BR"/>
              </w:rPr>
            </w:pPr>
            <w:r>
              <w:rPr>
                <w:rFonts w:ascii="Arial" w:eastAsia="Times New Roman" w:hAnsi="Arial" w:cs="Arial"/>
                <w:sz w:val="18"/>
                <w:szCs w:val="18"/>
                <w:lang w:eastAsia="pt-BR"/>
              </w:rPr>
              <w:t>Fundo Financeiro</w:t>
            </w:r>
          </w:p>
        </w:tc>
        <w:tc>
          <w:tcPr>
            <w:tcW w:w="851" w:type="dxa"/>
            <w:vAlign w:val="center"/>
          </w:tcPr>
          <w:p w14:paraId="406C489F" w14:textId="77777777" w:rsidR="005056F3" w:rsidRPr="00A5490A" w:rsidRDefault="005056F3" w:rsidP="008D41E3">
            <w:pPr>
              <w:spacing w:after="0" w:line="240" w:lineRule="auto"/>
              <w:jc w:val="center"/>
              <w:rPr>
                <w:rFonts w:ascii="Arial" w:eastAsia="Times New Roman" w:hAnsi="Arial" w:cs="Arial"/>
                <w:sz w:val="18"/>
                <w:szCs w:val="18"/>
                <w:lang w:eastAsia="pt-BR"/>
              </w:rPr>
            </w:pPr>
            <w:r>
              <w:rPr>
                <w:rFonts w:ascii="Arial" w:eastAsia="Times New Roman" w:hAnsi="Arial" w:cs="Arial"/>
                <w:sz w:val="18"/>
                <w:szCs w:val="18"/>
                <w:lang w:eastAsia="pt-BR"/>
              </w:rPr>
              <w:t>Fundo Previdenciário</w:t>
            </w:r>
          </w:p>
        </w:tc>
      </w:tr>
      <w:tr w:rsidR="005056F3" w:rsidRPr="00A5490A" w14:paraId="6B760195" w14:textId="77777777" w:rsidTr="000065F5">
        <w:tc>
          <w:tcPr>
            <w:tcW w:w="1294" w:type="dxa"/>
            <w:vAlign w:val="center"/>
          </w:tcPr>
          <w:p w14:paraId="282BBCCA" w14:textId="77777777" w:rsidR="005056F3" w:rsidRPr="00A5490A" w:rsidRDefault="005056F3" w:rsidP="00A5490A">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ROLRES</w:t>
            </w:r>
          </w:p>
        </w:tc>
        <w:tc>
          <w:tcPr>
            <w:tcW w:w="7206" w:type="dxa"/>
            <w:shd w:val="clear" w:color="auto" w:fill="auto"/>
            <w:vAlign w:val="center"/>
          </w:tcPr>
          <w:p w14:paraId="30F6647B" w14:textId="77777777" w:rsidR="005056F3" w:rsidRPr="00A5490A" w:rsidRDefault="005056F3" w:rsidP="00A776DF">
            <w:p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Rol de responsáveis contendo: (Artigo 137, I, do RITCEES, aprovado pela Resolução TC nº 261/2013)</w:t>
            </w:r>
          </w:p>
          <w:p w14:paraId="77798704" w14:textId="77777777" w:rsidR="005056F3" w:rsidRPr="00A5490A" w:rsidRDefault="005056F3" w:rsidP="00101E2D">
            <w:pPr>
              <w:numPr>
                <w:ilvl w:val="0"/>
                <w:numId w:val="7"/>
              </w:num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Nome</w:t>
            </w:r>
          </w:p>
          <w:p w14:paraId="0C3D9779" w14:textId="77777777" w:rsidR="005056F3" w:rsidRPr="003B4337" w:rsidRDefault="005056F3" w:rsidP="00101E2D">
            <w:pPr>
              <w:numPr>
                <w:ilvl w:val="0"/>
                <w:numId w:val="7"/>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Endereço residencial</w:t>
            </w:r>
          </w:p>
          <w:p w14:paraId="31E8A98A" w14:textId="77777777" w:rsidR="005056F3" w:rsidRPr="003B4337" w:rsidRDefault="005056F3" w:rsidP="00101E2D">
            <w:pPr>
              <w:numPr>
                <w:ilvl w:val="0"/>
                <w:numId w:val="7"/>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Endereço eletrônico pessoal (email)</w:t>
            </w:r>
          </w:p>
          <w:p w14:paraId="45BCEFE5" w14:textId="77777777" w:rsidR="005056F3" w:rsidRPr="003B4337" w:rsidRDefault="005056F3" w:rsidP="00101E2D">
            <w:pPr>
              <w:numPr>
                <w:ilvl w:val="0"/>
                <w:numId w:val="7"/>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Cargo ou função</w:t>
            </w:r>
          </w:p>
          <w:p w14:paraId="7C4BF915" w14:textId="77777777" w:rsidR="005056F3" w:rsidRPr="00A5490A" w:rsidRDefault="005056F3" w:rsidP="00101E2D">
            <w:pPr>
              <w:numPr>
                <w:ilvl w:val="0"/>
                <w:numId w:val="7"/>
              </w:num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Inscrição no cadastro de Pessoas Físicas da RFB (CPF)</w:t>
            </w:r>
          </w:p>
          <w:p w14:paraId="099F931E" w14:textId="77777777" w:rsidR="005056F3" w:rsidRPr="00A5490A" w:rsidRDefault="005056F3" w:rsidP="00101E2D">
            <w:pPr>
              <w:numPr>
                <w:ilvl w:val="0"/>
                <w:numId w:val="7"/>
              </w:num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Período de gestão</w:t>
            </w:r>
          </w:p>
          <w:p w14:paraId="49DB9C5F" w14:textId="77777777" w:rsidR="005056F3" w:rsidRPr="00A5490A" w:rsidRDefault="005056F3" w:rsidP="00101E2D">
            <w:pPr>
              <w:numPr>
                <w:ilvl w:val="0"/>
                <w:numId w:val="7"/>
              </w:num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 xml:space="preserve">Ato de nomeação e exoneração </w:t>
            </w:r>
          </w:p>
          <w:p w14:paraId="090AC461" w14:textId="77777777" w:rsidR="005056F3" w:rsidRPr="00A5490A" w:rsidRDefault="005056F3" w:rsidP="00A776DF">
            <w:pPr>
              <w:spacing w:before="120" w:after="120" w:line="240" w:lineRule="auto"/>
              <w:jc w:val="both"/>
              <w:rPr>
                <w:rFonts w:ascii="Arial" w:eastAsia="Times New Roman" w:hAnsi="Arial" w:cs="Arial"/>
                <w:sz w:val="16"/>
                <w:szCs w:val="16"/>
                <w:lang w:eastAsia="pt-BR"/>
              </w:rPr>
            </w:pPr>
          </w:p>
        </w:tc>
        <w:tc>
          <w:tcPr>
            <w:tcW w:w="993" w:type="dxa"/>
            <w:shd w:val="clear" w:color="auto" w:fill="auto"/>
            <w:vAlign w:val="center"/>
          </w:tcPr>
          <w:p w14:paraId="7D1C64DF" w14:textId="77777777" w:rsidR="005056F3" w:rsidRPr="00A5490A" w:rsidRDefault="005056F3" w:rsidP="00A5490A">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c>
          <w:tcPr>
            <w:tcW w:w="992" w:type="dxa"/>
            <w:vAlign w:val="center"/>
          </w:tcPr>
          <w:p w14:paraId="4556C296" w14:textId="77777777" w:rsidR="005056F3" w:rsidRPr="00CB55B0" w:rsidRDefault="005056F3" w:rsidP="008D41E3">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vAlign w:val="center"/>
          </w:tcPr>
          <w:p w14:paraId="2C73CCD6" w14:textId="77777777" w:rsidR="005056F3" w:rsidRPr="00CB55B0" w:rsidRDefault="000065F5" w:rsidP="008D41E3">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851" w:type="dxa"/>
            <w:vAlign w:val="center"/>
          </w:tcPr>
          <w:p w14:paraId="7185E722" w14:textId="77777777" w:rsidR="005056F3" w:rsidRPr="00A5490A" w:rsidRDefault="005056F3" w:rsidP="008D41E3">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850" w:type="dxa"/>
            <w:vAlign w:val="center"/>
          </w:tcPr>
          <w:p w14:paraId="390108CD" w14:textId="77777777" w:rsidR="005056F3" w:rsidRPr="00A5490A" w:rsidRDefault="005056F3" w:rsidP="008D41E3">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851" w:type="dxa"/>
            <w:vAlign w:val="center"/>
          </w:tcPr>
          <w:p w14:paraId="77BB6747" w14:textId="77777777" w:rsidR="005056F3" w:rsidRPr="00A5490A" w:rsidRDefault="005056F3" w:rsidP="008D41E3">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r>
      <w:tr w:rsidR="005056F3" w:rsidRPr="00A5490A" w14:paraId="39BD524E" w14:textId="77777777" w:rsidTr="000065F5">
        <w:tc>
          <w:tcPr>
            <w:tcW w:w="1294" w:type="dxa"/>
            <w:vAlign w:val="center"/>
          </w:tcPr>
          <w:p w14:paraId="29279576" w14:textId="77777777" w:rsidR="005056F3" w:rsidRPr="00A5490A" w:rsidRDefault="005056F3" w:rsidP="00A5490A">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RELGES</w:t>
            </w:r>
          </w:p>
        </w:tc>
        <w:tc>
          <w:tcPr>
            <w:tcW w:w="7206" w:type="dxa"/>
            <w:shd w:val="clear" w:color="auto" w:fill="auto"/>
            <w:vAlign w:val="center"/>
          </w:tcPr>
          <w:p w14:paraId="6E9D8BBB" w14:textId="77777777" w:rsidR="005056F3" w:rsidRPr="003B4337" w:rsidRDefault="005056F3" w:rsidP="00A776DF">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Relatório de gestão abordando aspectos de natureza</w:t>
            </w:r>
            <w:r w:rsidRPr="003B4337">
              <w:rPr>
                <w:rFonts w:ascii="Arial" w:eastAsia="Times New Roman" w:hAnsi="Arial" w:cs="Arial"/>
                <w:bCs/>
                <w:sz w:val="18"/>
                <w:szCs w:val="18"/>
                <w:lang w:eastAsia="pt-BR"/>
              </w:rPr>
              <w:t xml:space="preserve"> orçamentária, financeira, fiscal, operacional e patrimonial, organizado de forma que permita uma visão de conformidade e desempenho dos atos de gestão praticados pelos ordenadores de despesa.</w:t>
            </w:r>
            <w:r w:rsidRPr="003B4337">
              <w:rPr>
                <w:rFonts w:ascii="Arial" w:eastAsia="Times New Roman" w:hAnsi="Arial" w:cs="Arial"/>
                <w:sz w:val="18"/>
                <w:szCs w:val="18"/>
                <w:lang w:eastAsia="pt-BR"/>
              </w:rPr>
              <w:t xml:space="preserve"> (Artigo 137, II, do RITCEES, aprovado pela Resolução TC nº 261/2013).</w:t>
            </w:r>
          </w:p>
          <w:p w14:paraId="2D068A28" w14:textId="5D90DADD" w:rsidR="005056F3" w:rsidRPr="003B4337" w:rsidRDefault="005056F3" w:rsidP="001B0C70">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O relatório de gestão evidenciará</w:t>
            </w:r>
            <w:r w:rsidR="00C15446">
              <w:rPr>
                <w:rFonts w:ascii="Arial" w:eastAsia="Times New Roman" w:hAnsi="Arial" w:cs="Arial"/>
                <w:sz w:val="18"/>
                <w:szCs w:val="18"/>
                <w:lang w:eastAsia="pt-BR"/>
              </w:rPr>
              <w:t xml:space="preserve">, </w:t>
            </w:r>
            <w:r w:rsidRPr="003B4337">
              <w:rPr>
                <w:rFonts w:ascii="Arial" w:eastAsia="Times New Roman" w:hAnsi="Arial" w:cs="Arial"/>
                <w:sz w:val="18"/>
                <w:szCs w:val="18"/>
                <w:lang w:eastAsia="pt-BR"/>
              </w:rPr>
              <w:t>de forma exemplificativa, os seguintes aspectos:</w:t>
            </w:r>
          </w:p>
          <w:p w14:paraId="6EEEF8DF" w14:textId="77777777" w:rsidR="005056F3" w:rsidRPr="003B4337" w:rsidRDefault="005056F3" w:rsidP="001B0C70">
            <w:pPr>
              <w:spacing w:before="120" w:after="120" w:line="240" w:lineRule="auto"/>
              <w:jc w:val="both"/>
              <w:rPr>
                <w:rFonts w:ascii="Arial" w:eastAsia="Times New Roman" w:hAnsi="Arial" w:cs="Arial"/>
                <w:b/>
                <w:sz w:val="18"/>
                <w:szCs w:val="18"/>
                <w:lang w:eastAsia="pt-BR"/>
              </w:rPr>
            </w:pPr>
            <w:r w:rsidRPr="003B4337">
              <w:rPr>
                <w:rFonts w:ascii="Arial" w:eastAsia="Times New Roman" w:hAnsi="Arial" w:cs="Arial"/>
                <w:b/>
                <w:sz w:val="18"/>
                <w:szCs w:val="18"/>
                <w:lang w:eastAsia="pt-BR"/>
              </w:rPr>
              <w:t>Gestão Previdenciária</w:t>
            </w:r>
          </w:p>
          <w:p w14:paraId="60CE62C5" w14:textId="77777777" w:rsidR="005056F3" w:rsidRPr="003B4337" w:rsidRDefault="005056F3" w:rsidP="0008561F">
            <w:pPr>
              <w:pStyle w:val="PargrafodaLista"/>
              <w:numPr>
                <w:ilvl w:val="0"/>
                <w:numId w:val="8"/>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Evidenciar a estrutura organizacional do RPPS e as atribuições de seus setores/departamentos;</w:t>
            </w:r>
          </w:p>
          <w:p w14:paraId="68AFFECC" w14:textId="77777777" w:rsidR="005056F3" w:rsidRPr="003B4337" w:rsidRDefault="005056F3" w:rsidP="0008561F">
            <w:pPr>
              <w:pStyle w:val="PargrafodaLista"/>
              <w:numPr>
                <w:ilvl w:val="0"/>
                <w:numId w:val="8"/>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Evidenciar a legislação de criação/extinção do RPPS e a sua respectiva legislação base atualizada aplicada a gestão do RPPS;</w:t>
            </w:r>
          </w:p>
          <w:p w14:paraId="42CED324" w14:textId="77777777" w:rsidR="005056F3" w:rsidRPr="003B4337" w:rsidRDefault="005056F3" w:rsidP="0008561F">
            <w:pPr>
              <w:pStyle w:val="PargrafodaLista"/>
              <w:numPr>
                <w:ilvl w:val="0"/>
                <w:numId w:val="8"/>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Evidenciar a legislação, a composição e a forma de funcionamento do controle interno aplicado ao RPPS;</w:t>
            </w:r>
          </w:p>
          <w:p w14:paraId="1386EFA9" w14:textId="77777777" w:rsidR="005056F3" w:rsidRPr="003B4337" w:rsidRDefault="005056F3" w:rsidP="0008561F">
            <w:pPr>
              <w:pStyle w:val="PargrafodaLista"/>
              <w:numPr>
                <w:ilvl w:val="0"/>
                <w:numId w:val="8"/>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lastRenderedPageBreak/>
              <w:t>Evidenciar o plano de custeio do RPPS e a sua respectiva base legal atualizada;</w:t>
            </w:r>
          </w:p>
          <w:p w14:paraId="3AA4E93B" w14:textId="77777777" w:rsidR="005056F3" w:rsidRPr="003B4337" w:rsidRDefault="005056F3" w:rsidP="0008561F">
            <w:pPr>
              <w:pStyle w:val="PargrafodaLista"/>
              <w:numPr>
                <w:ilvl w:val="0"/>
                <w:numId w:val="8"/>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Evidenciar o plano de benefícios do RPPS e a sua respectiva base legal atualizada;</w:t>
            </w:r>
          </w:p>
          <w:p w14:paraId="6394572B" w14:textId="77777777" w:rsidR="005056F3" w:rsidRPr="003B4337" w:rsidRDefault="005056F3" w:rsidP="0008561F">
            <w:pPr>
              <w:pStyle w:val="PargrafodaLista"/>
              <w:numPr>
                <w:ilvl w:val="0"/>
                <w:numId w:val="8"/>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Evidenciar a composição diretoria em 31/12;</w:t>
            </w:r>
          </w:p>
          <w:p w14:paraId="4CE10B8D" w14:textId="77777777" w:rsidR="005056F3" w:rsidRPr="003B4337" w:rsidRDefault="005056F3" w:rsidP="0008561F">
            <w:pPr>
              <w:pStyle w:val="PargrafodaLista"/>
              <w:numPr>
                <w:ilvl w:val="0"/>
                <w:numId w:val="8"/>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Evidenciar a composição (nome, endereço, formação, telefone, e-mail e CPF) e a forma de funcionamento dos Conselhos do RPPS no decorrer do exercício;</w:t>
            </w:r>
          </w:p>
          <w:p w14:paraId="7084EE85" w14:textId="77777777" w:rsidR="005056F3" w:rsidRPr="003B4337" w:rsidRDefault="005056F3" w:rsidP="0008561F">
            <w:pPr>
              <w:pStyle w:val="PargrafodaLista"/>
              <w:numPr>
                <w:ilvl w:val="0"/>
                <w:numId w:val="8"/>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Evidenciar o cronograma das reuniões previstas e as datas das reuniões efetivamente realizadas pelos conselhos no decorrer do exercício;</w:t>
            </w:r>
          </w:p>
          <w:p w14:paraId="36BF5D67" w14:textId="77777777" w:rsidR="005056F3" w:rsidRPr="003B4337" w:rsidRDefault="005056F3" w:rsidP="0008561F">
            <w:pPr>
              <w:pStyle w:val="PargrafodaLista"/>
              <w:numPr>
                <w:ilvl w:val="0"/>
                <w:numId w:val="8"/>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Evidenciar as principais considerações realizadas pelos Conselheiros em suas participações nas reuniões e as providencias adotadas pela administração do RPPS, nos pontos relevantes;</w:t>
            </w:r>
          </w:p>
          <w:p w14:paraId="666F0046" w14:textId="77777777" w:rsidR="005056F3" w:rsidRPr="003B4337" w:rsidRDefault="005056F3" w:rsidP="0008561F">
            <w:pPr>
              <w:pStyle w:val="PargrafodaLista"/>
              <w:numPr>
                <w:ilvl w:val="0"/>
                <w:numId w:val="8"/>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Evidenciar as ações realizadas para atualização da base cadastral dos segurados ativos, no tocante a data de  nascimento e número de dependentes, condição dos dependentes (válido, invalidez temporária ou permanente), estado civil, data de nascimento do cônjuge e dos pais, tempo de contribuição para o RGPS, tempo de contribuição para outros RPPS, base de cálculo (remuneração de contribuição); no caso de professor, identificar se o mesmo atua exclusivamente nas funções de magistério na educação infantil e no ensino fundamental e/ou médio, etc;</w:t>
            </w:r>
          </w:p>
          <w:p w14:paraId="4B6A5EB0" w14:textId="77777777" w:rsidR="005056F3" w:rsidRPr="003B4337" w:rsidRDefault="005056F3" w:rsidP="0008561F">
            <w:pPr>
              <w:pStyle w:val="PargrafodaLista"/>
              <w:numPr>
                <w:ilvl w:val="0"/>
                <w:numId w:val="8"/>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Evidenciar as ações realizadas no tocante ao recadastramento dos inativos e pensionistas.</w:t>
            </w:r>
          </w:p>
          <w:p w14:paraId="4ABF56EF" w14:textId="77777777" w:rsidR="005056F3" w:rsidRPr="003B4337" w:rsidRDefault="005056F3" w:rsidP="001B0C70">
            <w:pPr>
              <w:spacing w:before="120" w:after="120" w:line="240" w:lineRule="auto"/>
              <w:jc w:val="both"/>
              <w:rPr>
                <w:rFonts w:ascii="Arial" w:eastAsia="Times New Roman" w:hAnsi="Arial" w:cs="Arial"/>
                <w:b/>
                <w:sz w:val="18"/>
                <w:szCs w:val="18"/>
                <w:lang w:eastAsia="pt-BR"/>
              </w:rPr>
            </w:pPr>
            <w:r w:rsidRPr="003B4337">
              <w:rPr>
                <w:rFonts w:ascii="Arial" w:eastAsia="Times New Roman" w:hAnsi="Arial" w:cs="Arial"/>
                <w:b/>
                <w:sz w:val="18"/>
                <w:szCs w:val="18"/>
                <w:lang w:eastAsia="pt-BR"/>
              </w:rPr>
              <w:t>Gestão de Benefícios</w:t>
            </w:r>
          </w:p>
          <w:p w14:paraId="2976F63A" w14:textId="77777777" w:rsidR="005056F3" w:rsidRPr="003B4337" w:rsidRDefault="005056F3" w:rsidP="0008561F">
            <w:pPr>
              <w:pStyle w:val="PargrafodaLista"/>
              <w:numPr>
                <w:ilvl w:val="0"/>
                <w:numId w:val="10"/>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Evidenciar a evolução do número de segurados, ativos, inativos e pensionistas, nos últimos cinco exercícios, sempre posicionados em 31/12;</w:t>
            </w:r>
          </w:p>
          <w:p w14:paraId="53D0DC05" w14:textId="77777777" w:rsidR="005056F3" w:rsidRPr="003B4337" w:rsidRDefault="005056F3" w:rsidP="0008561F">
            <w:pPr>
              <w:pStyle w:val="PargrafodaLista"/>
              <w:numPr>
                <w:ilvl w:val="0"/>
                <w:numId w:val="10"/>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Evidenciar o quantitativo de benefícios concedidos pelo RPPS, segregados por tipo de benefício e por exercício, nos últimos cinco anos;</w:t>
            </w:r>
          </w:p>
          <w:p w14:paraId="0E959A90" w14:textId="77777777" w:rsidR="005056F3" w:rsidRPr="003B4337" w:rsidRDefault="005056F3" w:rsidP="0008561F">
            <w:pPr>
              <w:pStyle w:val="PargrafodaLista"/>
              <w:numPr>
                <w:ilvl w:val="0"/>
                <w:numId w:val="10"/>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Evidenciar os valores totais dispendidos com o pagamento dos benefícios concedidos pelo RPPS, segregados por tipo de benefício e por exercício, nos últimos cinco anos;</w:t>
            </w:r>
          </w:p>
          <w:p w14:paraId="1C574BA0" w14:textId="77777777" w:rsidR="005056F3" w:rsidRPr="003B4337" w:rsidRDefault="005056F3" w:rsidP="0008561F">
            <w:pPr>
              <w:pStyle w:val="PargrafodaLista"/>
              <w:numPr>
                <w:ilvl w:val="0"/>
                <w:numId w:val="10"/>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Evidenciar o número total de benefícios do RPPS dos últimos cinco anos, segregados pelo critério de reajustamento dos benefícios; (posição em 31/12)</w:t>
            </w:r>
          </w:p>
          <w:p w14:paraId="5BFCED46" w14:textId="77777777" w:rsidR="005056F3" w:rsidRPr="003B4337" w:rsidRDefault="005056F3" w:rsidP="0008561F">
            <w:pPr>
              <w:pStyle w:val="PargrafodaLista"/>
              <w:numPr>
                <w:ilvl w:val="0"/>
                <w:numId w:val="10"/>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Evidenciar o número de benefícios concedidos nos últimos cinco anos, segregados por tipo de benefício e por exercício, e a sua situação no tocante ao registro junto ao TCEES: a) pendente de registro, aguardando providências no RPPS; b) pendente de registro, aguardando providências no TCEES, ou c) foi registrado.</w:t>
            </w:r>
          </w:p>
          <w:p w14:paraId="11278075" w14:textId="77777777" w:rsidR="005056F3" w:rsidRPr="003B4337" w:rsidRDefault="005056F3" w:rsidP="0008561F">
            <w:pPr>
              <w:pStyle w:val="PargrafodaLista"/>
              <w:numPr>
                <w:ilvl w:val="0"/>
                <w:numId w:val="10"/>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lastRenderedPageBreak/>
              <w:t>Evidenciar o estoque de processos em 31/12: a) pendentes de concessão, b) pendentes de análise de pedido de revisão; c) pendentes de registro e d) pendentes por diligência, etc.</w:t>
            </w:r>
          </w:p>
          <w:p w14:paraId="3377BCCE" w14:textId="77777777" w:rsidR="005056F3" w:rsidRPr="003B4337" w:rsidRDefault="005056F3" w:rsidP="001B0C70">
            <w:pPr>
              <w:spacing w:before="120" w:after="120" w:line="240" w:lineRule="auto"/>
              <w:jc w:val="both"/>
              <w:rPr>
                <w:rFonts w:ascii="Arial" w:eastAsia="Times New Roman" w:hAnsi="Arial" w:cs="Arial"/>
                <w:b/>
                <w:sz w:val="18"/>
                <w:szCs w:val="18"/>
                <w:lang w:eastAsia="pt-BR"/>
              </w:rPr>
            </w:pPr>
            <w:r w:rsidRPr="003B4337">
              <w:rPr>
                <w:rFonts w:ascii="Arial" w:eastAsia="Times New Roman" w:hAnsi="Arial" w:cs="Arial"/>
                <w:b/>
                <w:sz w:val="18"/>
                <w:szCs w:val="18"/>
                <w:lang w:eastAsia="pt-BR"/>
              </w:rPr>
              <w:t>Compensação Previdenciária</w:t>
            </w:r>
          </w:p>
          <w:p w14:paraId="1392FC70" w14:textId="77777777" w:rsidR="005056F3" w:rsidRPr="003B4337" w:rsidRDefault="005056F3" w:rsidP="0008561F">
            <w:pPr>
              <w:pStyle w:val="PargrafodaLista"/>
              <w:numPr>
                <w:ilvl w:val="0"/>
                <w:numId w:val="11"/>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Detalhar informações acerca do convênio de compensação previdenciária firmado com o MPS (data de assinatura, data de vigência, das obrigações reciprocas, do ente e do INSS, etc);</w:t>
            </w:r>
          </w:p>
          <w:p w14:paraId="08EB00C0" w14:textId="77777777" w:rsidR="005056F3" w:rsidRPr="003B4337" w:rsidRDefault="005056F3" w:rsidP="0008561F">
            <w:pPr>
              <w:pStyle w:val="PargrafodaLista"/>
              <w:numPr>
                <w:ilvl w:val="0"/>
                <w:numId w:val="11"/>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Evidenciar o fluxo anual (número de benefícios e dos valores) dos últimos cinco anos dos valores do RO (Regime de Origem) x RI (Regime Instituidor);</w:t>
            </w:r>
          </w:p>
          <w:p w14:paraId="3A8871BC" w14:textId="77777777" w:rsidR="005056F3" w:rsidRPr="003B4337" w:rsidRDefault="005056F3" w:rsidP="0008561F">
            <w:pPr>
              <w:pStyle w:val="PargrafodaLista"/>
              <w:numPr>
                <w:ilvl w:val="0"/>
                <w:numId w:val="11"/>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Evidenciar o fluxo financeiro mensal recebido a título de compensação previdenciária;</w:t>
            </w:r>
          </w:p>
          <w:p w14:paraId="1F8004AD" w14:textId="77777777" w:rsidR="005056F3" w:rsidRPr="003B4337" w:rsidRDefault="005056F3" w:rsidP="0008561F">
            <w:pPr>
              <w:pStyle w:val="PargrafodaLista"/>
              <w:numPr>
                <w:ilvl w:val="0"/>
                <w:numId w:val="11"/>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Evidenciar o quantitativo de aposentadorias/ pensões concedidas nos últimos cinco exercícios com direito a compensação previdenciária e os que não o possuem;</w:t>
            </w:r>
          </w:p>
          <w:p w14:paraId="0D40305A" w14:textId="77777777" w:rsidR="005056F3" w:rsidRPr="003B4337" w:rsidRDefault="005056F3" w:rsidP="0008561F">
            <w:pPr>
              <w:pStyle w:val="PargrafodaLista"/>
              <w:numPr>
                <w:ilvl w:val="0"/>
                <w:numId w:val="11"/>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Evidenciar o número de benefícios que possuem direito a requerer compensação previdenciária, entretanto estão aguardando registro do TCE;</w:t>
            </w:r>
          </w:p>
          <w:p w14:paraId="728B9574" w14:textId="77777777" w:rsidR="005056F3" w:rsidRPr="003B4337" w:rsidRDefault="005056F3" w:rsidP="001B0C70">
            <w:pPr>
              <w:spacing w:before="120" w:after="120" w:line="240" w:lineRule="auto"/>
              <w:jc w:val="both"/>
              <w:rPr>
                <w:rFonts w:ascii="Arial" w:eastAsia="Times New Roman" w:hAnsi="Arial" w:cs="Arial"/>
                <w:b/>
                <w:sz w:val="18"/>
                <w:szCs w:val="18"/>
                <w:lang w:eastAsia="pt-BR"/>
              </w:rPr>
            </w:pPr>
            <w:r w:rsidRPr="003B4337">
              <w:rPr>
                <w:rFonts w:ascii="Arial" w:eastAsia="Times New Roman" w:hAnsi="Arial" w:cs="Arial"/>
                <w:b/>
                <w:sz w:val="18"/>
                <w:szCs w:val="18"/>
                <w:lang w:eastAsia="pt-BR"/>
              </w:rPr>
              <w:t>Da Gestão Orçamentária</w:t>
            </w:r>
          </w:p>
          <w:p w14:paraId="6FF17C26" w14:textId="77777777" w:rsidR="005056F3" w:rsidRPr="003B4337" w:rsidRDefault="005056F3" w:rsidP="0008561F">
            <w:pPr>
              <w:pStyle w:val="PargrafodaLista"/>
              <w:numPr>
                <w:ilvl w:val="0"/>
                <w:numId w:val="12"/>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Evidenciar a previsão orçamentária do RPPS, a lei de aprovação do orçamento anual e o percentual de suplementação autorizado no exercício;</w:t>
            </w:r>
          </w:p>
          <w:p w14:paraId="1E34A522" w14:textId="77777777" w:rsidR="005056F3" w:rsidRPr="003B4337" w:rsidRDefault="005056F3" w:rsidP="0008561F">
            <w:pPr>
              <w:pStyle w:val="PargrafodaLista"/>
              <w:numPr>
                <w:ilvl w:val="0"/>
                <w:numId w:val="12"/>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Análise do comportamento das receitas arrecadadas, evidenciadas por categoria econômica, origem e espécie, nos últimos cinco exercícios;</w:t>
            </w:r>
          </w:p>
          <w:p w14:paraId="64AFCF68" w14:textId="77777777" w:rsidR="005056F3" w:rsidRPr="003B4337" w:rsidRDefault="005056F3" w:rsidP="0008561F">
            <w:pPr>
              <w:pStyle w:val="PargrafodaLista"/>
              <w:numPr>
                <w:ilvl w:val="0"/>
                <w:numId w:val="12"/>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Análise do comportamento das despesas empenhadas, liquidadas e pagas, evidenciadas por categoria econômica, grupo de natureza da despesa, modalidade de aplicação e elemento de despesa, nos últimos cinco exercícios;</w:t>
            </w:r>
          </w:p>
          <w:p w14:paraId="47B4C29D" w14:textId="77777777" w:rsidR="005056F3" w:rsidRPr="003B4337" w:rsidRDefault="005056F3" w:rsidP="0008561F">
            <w:pPr>
              <w:pStyle w:val="PargrafodaLista"/>
              <w:numPr>
                <w:ilvl w:val="0"/>
                <w:numId w:val="12"/>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Apuração do resultado orçamentário dos últimos cinco exercícios;</w:t>
            </w:r>
          </w:p>
          <w:p w14:paraId="7C9AE835" w14:textId="77777777" w:rsidR="005056F3" w:rsidRPr="003B4337" w:rsidRDefault="005056F3" w:rsidP="0008561F">
            <w:pPr>
              <w:pStyle w:val="PargrafodaLista"/>
              <w:numPr>
                <w:ilvl w:val="0"/>
                <w:numId w:val="12"/>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Análise do comportamento dos saldos das despesas inscritas em restos a pagar, evidenciando os valores pagos e cancelados dos últimos cinco exercícios;</w:t>
            </w:r>
          </w:p>
          <w:p w14:paraId="5DCB3E06" w14:textId="77777777" w:rsidR="005056F3" w:rsidRPr="003B4337" w:rsidRDefault="005056F3" w:rsidP="0008561F">
            <w:pPr>
              <w:pStyle w:val="PargrafodaLista"/>
              <w:numPr>
                <w:ilvl w:val="0"/>
                <w:numId w:val="12"/>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Evidenciar a movimentação orçamentária realizada, no exercício, através de créditos adicionais e por meio de movimentação de créditos;</w:t>
            </w:r>
          </w:p>
          <w:p w14:paraId="59176749" w14:textId="77777777" w:rsidR="005056F3" w:rsidRPr="003B4337" w:rsidRDefault="005056F3" w:rsidP="001B0C70">
            <w:pPr>
              <w:spacing w:before="120" w:after="120" w:line="240" w:lineRule="auto"/>
              <w:jc w:val="both"/>
              <w:rPr>
                <w:rFonts w:ascii="Arial" w:eastAsia="Times New Roman" w:hAnsi="Arial" w:cs="Arial"/>
                <w:b/>
                <w:sz w:val="18"/>
                <w:szCs w:val="18"/>
                <w:lang w:eastAsia="pt-BR"/>
              </w:rPr>
            </w:pPr>
            <w:r w:rsidRPr="003B4337">
              <w:rPr>
                <w:rFonts w:ascii="Arial" w:eastAsia="Times New Roman" w:hAnsi="Arial" w:cs="Arial"/>
                <w:b/>
                <w:sz w:val="18"/>
                <w:szCs w:val="18"/>
                <w:lang w:eastAsia="pt-BR"/>
              </w:rPr>
              <w:t>Da Gestão Financeira</w:t>
            </w:r>
          </w:p>
          <w:p w14:paraId="71E24611" w14:textId="77777777" w:rsidR="005056F3" w:rsidRPr="003B4337" w:rsidRDefault="005056F3" w:rsidP="0008561F">
            <w:pPr>
              <w:pStyle w:val="PargrafodaLista"/>
              <w:numPr>
                <w:ilvl w:val="0"/>
                <w:numId w:val="13"/>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Evidenciação dos valores da receita de contribuição do servidor e patronal, por órgão devedor e competência do exercício;</w:t>
            </w:r>
          </w:p>
          <w:p w14:paraId="10A6DF42" w14:textId="77777777" w:rsidR="005056F3" w:rsidRPr="003B4337" w:rsidRDefault="005056F3" w:rsidP="0008561F">
            <w:pPr>
              <w:pStyle w:val="PargrafodaLista"/>
              <w:numPr>
                <w:ilvl w:val="0"/>
                <w:numId w:val="13"/>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Evidenciação dos valores devidos de contribuição, por competência, e os valores efetivamente recebidos no exercício;</w:t>
            </w:r>
          </w:p>
          <w:p w14:paraId="6CCF9BCC" w14:textId="77777777" w:rsidR="005056F3" w:rsidRPr="003B4337" w:rsidRDefault="005056F3" w:rsidP="0008561F">
            <w:pPr>
              <w:pStyle w:val="PargrafodaLista"/>
              <w:numPr>
                <w:ilvl w:val="0"/>
                <w:numId w:val="13"/>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Evidenciação dos parcelamentos existentes no RPPS, demonstrando a lei autorizativa do parcelamento, número de parcelas, as competências que estão </w:t>
            </w:r>
            <w:r w:rsidRPr="003B4337">
              <w:rPr>
                <w:rFonts w:ascii="Arial" w:eastAsia="Times New Roman" w:hAnsi="Arial" w:cs="Arial"/>
                <w:sz w:val="18"/>
                <w:szCs w:val="18"/>
                <w:lang w:eastAsia="pt-BR"/>
              </w:rPr>
              <w:lastRenderedPageBreak/>
              <w:t>englobadas, a natureza dos valores parcelados (ex. contribuição de segurados/ patronal), os respectivos valores originais, atualizações, juros e os recebimentos recebidos no exercício, além do saldo para o exercício seguinte;</w:t>
            </w:r>
          </w:p>
          <w:p w14:paraId="7398E37B" w14:textId="77777777" w:rsidR="005056F3" w:rsidRPr="003B4337" w:rsidRDefault="005056F3" w:rsidP="0008561F">
            <w:pPr>
              <w:pStyle w:val="PargrafodaLista"/>
              <w:numPr>
                <w:ilvl w:val="0"/>
                <w:numId w:val="13"/>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Apuração do resultado financeiro dos últimos cinco exercícios;</w:t>
            </w:r>
          </w:p>
          <w:p w14:paraId="4B5BE7FC" w14:textId="77777777" w:rsidR="005056F3" w:rsidRPr="003B4337" w:rsidRDefault="005056F3" w:rsidP="0008561F">
            <w:pPr>
              <w:pStyle w:val="PargrafodaLista"/>
              <w:numPr>
                <w:ilvl w:val="0"/>
                <w:numId w:val="13"/>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Evidenciação mensal do recebimento de aportes para cobertura de insuficiência financeira, segregado por Poder/órgão;</w:t>
            </w:r>
          </w:p>
          <w:p w14:paraId="1FDF8398" w14:textId="77777777" w:rsidR="005056F3" w:rsidRPr="003B4337" w:rsidRDefault="005056F3" w:rsidP="001B0C70">
            <w:pPr>
              <w:spacing w:before="120" w:after="120" w:line="240" w:lineRule="auto"/>
              <w:jc w:val="both"/>
              <w:rPr>
                <w:rFonts w:ascii="Arial" w:eastAsia="Times New Roman" w:hAnsi="Arial" w:cs="Arial"/>
                <w:b/>
                <w:sz w:val="18"/>
                <w:szCs w:val="18"/>
                <w:lang w:eastAsia="pt-BR"/>
              </w:rPr>
            </w:pPr>
            <w:r w:rsidRPr="003B4337">
              <w:rPr>
                <w:rFonts w:ascii="Arial" w:eastAsia="Times New Roman" w:hAnsi="Arial" w:cs="Arial"/>
                <w:b/>
                <w:sz w:val="18"/>
                <w:szCs w:val="18"/>
                <w:lang w:eastAsia="pt-BR"/>
              </w:rPr>
              <w:t>Da Gestão dos Investimentos</w:t>
            </w:r>
          </w:p>
          <w:p w14:paraId="5CC817E9" w14:textId="77777777" w:rsidR="005056F3" w:rsidRPr="003B4337" w:rsidRDefault="005056F3" w:rsidP="0008561F">
            <w:pPr>
              <w:pStyle w:val="PargrafodaLista"/>
              <w:numPr>
                <w:ilvl w:val="0"/>
                <w:numId w:val="14"/>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Evidenciação da composição (nome, endereço, formação, telefone, e-mail e CPF) e qualificação dos membros do Comitê de Investimentos do RPPS; </w:t>
            </w:r>
          </w:p>
          <w:p w14:paraId="034A409B" w14:textId="77777777" w:rsidR="005056F3" w:rsidRPr="003B4337" w:rsidRDefault="005056F3" w:rsidP="0008561F">
            <w:pPr>
              <w:pStyle w:val="PargrafodaLista"/>
              <w:numPr>
                <w:ilvl w:val="0"/>
                <w:numId w:val="14"/>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Relação das datas das reuniões realizadas pelo Comitê de Investimentos e suas principais deliberações, em especial as Autorizações de Aplicação e Resgate (APR);</w:t>
            </w:r>
          </w:p>
          <w:p w14:paraId="529D308E" w14:textId="77777777" w:rsidR="005056F3" w:rsidRPr="003B4337" w:rsidRDefault="005056F3" w:rsidP="0008561F">
            <w:pPr>
              <w:pStyle w:val="PargrafodaLista"/>
              <w:numPr>
                <w:ilvl w:val="0"/>
                <w:numId w:val="14"/>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Evidenciação da relação de entidades credenciadas pelo RPPS para receber aplicações de recursos previdenciários e seu prazo de validade; </w:t>
            </w:r>
          </w:p>
          <w:p w14:paraId="735CA4E8" w14:textId="77777777" w:rsidR="005056F3" w:rsidRPr="003B4337" w:rsidRDefault="005056F3" w:rsidP="0008561F">
            <w:pPr>
              <w:pStyle w:val="PargrafodaLista"/>
              <w:numPr>
                <w:ilvl w:val="0"/>
                <w:numId w:val="14"/>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Evidenciação da evolução do saldo dos Investimentos e Aplicações Temporárias dos últimos cinco exercícios;</w:t>
            </w:r>
          </w:p>
          <w:p w14:paraId="442F49A6" w14:textId="77777777" w:rsidR="005056F3" w:rsidRPr="003B4337" w:rsidRDefault="005056F3" w:rsidP="0008561F">
            <w:pPr>
              <w:pStyle w:val="PargrafodaLista"/>
              <w:numPr>
                <w:ilvl w:val="0"/>
                <w:numId w:val="14"/>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Evidenciação da meta atuarial fixada (indicador +x%) para os investimentos e o percentual efetivamente alcançado nos últimos cinco exercícios;</w:t>
            </w:r>
          </w:p>
          <w:p w14:paraId="65293866" w14:textId="77777777" w:rsidR="005056F3" w:rsidRPr="003B4337" w:rsidRDefault="005056F3" w:rsidP="0008561F">
            <w:pPr>
              <w:pStyle w:val="PargrafodaLista"/>
              <w:numPr>
                <w:ilvl w:val="0"/>
                <w:numId w:val="14"/>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Análise do cumprimento da política de investimentos do RPPS e do enquadramento destas aplicações aos limites legais estabelecidos pelo Conselho Monetário Nacional;</w:t>
            </w:r>
          </w:p>
          <w:p w14:paraId="79658BC0" w14:textId="77777777" w:rsidR="005056F3" w:rsidRPr="003B4337" w:rsidRDefault="005056F3" w:rsidP="0008561F">
            <w:pPr>
              <w:pStyle w:val="PargrafodaLista"/>
              <w:numPr>
                <w:ilvl w:val="0"/>
                <w:numId w:val="14"/>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Evidenciação mensal do comportamento dos rendimentos das aplicações financeiras, segregados por segmento de aplicação, ocorridas no exercício financeiro;</w:t>
            </w:r>
          </w:p>
          <w:p w14:paraId="47AF37C4" w14:textId="77777777" w:rsidR="005056F3" w:rsidRPr="003B4337" w:rsidRDefault="005056F3" w:rsidP="0008561F">
            <w:pPr>
              <w:pStyle w:val="PargrafodaLista"/>
              <w:numPr>
                <w:ilvl w:val="0"/>
                <w:numId w:val="14"/>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Evidenciação da rentabilidade mensal de imóveis destinados a investimentos do RPPS;</w:t>
            </w:r>
          </w:p>
          <w:p w14:paraId="27FB2D27" w14:textId="77777777" w:rsidR="005056F3" w:rsidRPr="003B4337" w:rsidRDefault="005056F3" w:rsidP="001B0C70">
            <w:pPr>
              <w:spacing w:before="120" w:after="120" w:line="240" w:lineRule="auto"/>
              <w:jc w:val="both"/>
              <w:rPr>
                <w:rFonts w:ascii="Arial" w:eastAsia="Times New Roman" w:hAnsi="Arial" w:cs="Arial"/>
                <w:b/>
                <w:sz w:val="18"/>
                <w:szCs w:val="18"/>
                <w:lang w:eastAsia="pt-BR"/>
              </w:rPr>
            </w:pPr>
            <w:r w:rsidRPr="003B4337">
              <w:rPr>
                <w:rFonts w:ascii="Arial" w:eastAsia="Times New Roman" w:hAnsi="Arial" w:cs="Arial"/>
                <w:b/>
                <w:sz w:val="18"/>
                <w:szCs w:val="18"/>
                <w:lang w:eastAsia="pt-BR"/>
              </w:rPr>
              <w:t>Da Perícia Médica</w:t>
            </w:r>
          </w:p>
          <w:p w14:paraId="69FFE790" w14:textId="77777777" w:rsidR="005056F3" w:rsidRPr="003B4337" w:rsidRDefault="005056F3" w:rsidP="0008561F">
            <w:pPr>
              <w:pStyle w:val="PargrafodaLista"/>
              <w:numPr>
                <w:ilvl w:val="0"/>
                <w:numId w:val="15"/>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Evidenciação do quadro de profissionais responsáveis pela prestação dos serviços de perícias médicas, posição em 31/12;</w:t>
            </w:r>
          </w:p>
          <w:p w14:paraId="19637A92" w14:textId="77777777" w:rsidR="005056F3" w:rsidRPr="003B4337" w:rsidRDefault="005056F3" w:rsidP="0008561F">
            <w:pPr>
              <w:pStyle w:val="PargrafodaLista"/>
              <w:numPr>
                <w:ilvl w:val="0"/>
                <w:numId w:val="15"/>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Relação quantitativa dos profissionais médicos por especialidade e a sua respectiva forma de contratação;</w:t>
            </w:r>
          </w:p>
          <w:p w14:paraId="1862052A" w14:textId="77777777" w:rsidR="005056F3" w:rsidRPr="003B4337" w:rsidRDefault="005056F3" w:rsidP="0008561F">
            <w:pPr>
              <w:pStyle w:val="PargrafodaLista"/>
              <w:numPr>
                <w:ilvl w:val="0"/>
                <w:numId w:val="15"/>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Quantitativo mensal de perícias médicas realizadas no exercício financeiro, segregadas por médico e tipo de perícia; </w:t>
            </w:r>
          </w:p>
          <w:p w14:paraId="036CD2BC" w14:textId="77777777" w:rsidR="005056F3" w:rsidRPr="003B4337" w:rsidRDefault="005056F3" w:rsidP="001B0C70">
            <w:pPr>
              <w:spacing w:before="120" w:after="120" w:line="240" w:lineRule="auto"/>
              <w:jc w:val="both"/>
              <w:rPr>
                <w:rFonts w:ascii="Arial" w:eastAsia="Times New Roman" w:hAnsi="Arial" w:cs="Arial"/>
                <w:b/>
                <w:sz w:val="18"/>
                <w:szCs w:val="18"/>
                <w:lang w:eastAsia="pt-BR"/>
              </w:rPr>
            </w:pPr>
            <w:r w:rsidRPr="003B4337">
              <w:rPr>
                <w:rFonts w:ascii="Arial" w:eastAsia="Times New Roman" w:hAnsi="Arial" w:cs="Arial"/>
                <w:b/>
                <w:sz w:val="18"/>
                <w:szCs w:val="18"/>
                <w:lang w:eastAsia="pt-BR"/>
              </w:rPr>
              <w:t>Taxa de Administração</w:t>
            </w:r>
          </w:p>
          <w:p w14:paraId="00DD2BCD" w14:textId="77777777" w:rsidR="005056F3" w:rsidRPr="003B4337" w:rsidRDefault="005056F3" w:rsidP="0008561F">
            <w:pPr>
              <w:pStyle w:val="PargrafodaLista"/>
              <w:numPr>
                <w:ilvl w:val="0"/>
                <w:numId w:val="16"/>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Evidenciação mensal da base de cálculo para apuração do limite de gastos para a o exercício, por poder;</w:t>
            </w:r>
          </w:p>
          <w:p w14:paraId="3FE5FF1C" w14:textId="77777777" w:rsidR="005056F3" w:rsidRPr="003B4337" w:rsidRDefault="005056F3" w:rsidP="0008561F">
            <w:pPr>
              <w:pStyle w:val="PargrafodaLista"/>
              <w:numPr>
                <w:ilvl w:val="0"/>
                <w:numId w:val="16"/>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Evidenciação do cumprimento do limite de gastos no exercício;</w:t>
            </w:r>
          </w:p>
          <w:p w14:paraId="7578B262" w14:textId="77777777" w:rsidR="005056F3" w:rsidRPr="003B4337" w:rsidRDefault="005056F3" w:rsidP="0008561F">
            <w:pPr>
              <w:pStyle w:val="PargrafodaLista"/>
              <w:numPr>
                <w:ilvl w:val="0"/>
                <w:numId w:val="16"/>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lastRenderedPageBreak/>
              <w:t>Relação das licitações homologadas no exercício, evidenciando o fornecedor, objeto licitado e valores envolvidos;</w:t>
            </w:r>
          </w:p>
          <w:p w14:paraId="32603D68" w14:textId="77777777" w:rsidR="005056F3" w:rsidRPr="003B4337" w:rsidRDefault="005056F3" w:rsidP="0008561F">
            <w:pPr>
              <w:pStyle w:val="PargrafodaLista"/>
              <w:numPr>
                <w:ilvl w:val="0"/>
                <w:numId w:val="16"/>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Relação dos contratos firmados no exercício, evidenciando os fornecedores contratos, o objeto da contratação, prazo de duração e os valores totais envolvidos no exercício;</w:t>
            </w:r>
          </w:p>
          <w:p w14:paraId="31209686" w14:textId="77777777" w:rsidR="005056F3" w:rsidRPr="003B4337" w:rsidRDefault="005056F3" w:rsidP="001B0C70">
            <w:pPr>
              <w:spacing w:before="120" w:after="120" w:line="240" w:lineRule="auto"/>
              <w:jc w:val="both"/>
              <w:rPr>
                <w:rFonts w:ascii="Arial" w:eastAsia="Times New Roman" w:hAnsi="Arial" w:cs="Arial"/>
                <w:b/>
                <w:sz w:val="18"/>
                <w:szCs w:val="18"/>
                <w:lang w:eastAsia="pt-BR"/>
              </w:rPr>
            </w:pPr>
            <w:r w:rsidRPr="003B4337">
              <w:rPr>
                <w:rFonts w:ascii="Arial" w:eastAsia="Times New Roman" w:hAnsi="Arial" w:cs="Arial"/>
                <w:b/>
                <w:sz w:val="18"/>
                <w:szCs w:val="18"/>
                <w:lang w:eastAsia="pt-BR"/>
              </w:rPr>
              <w:t>Gestão Patrimonial</w:t>
            </w:r>
          </w:p>
          <w:p w14:paraId="4A3B610E" w14:textId="77777777" w:rsidR="005056F3" w:rsidRPr="003B4337" w:rsidRDefault="005056F3" w:rsidP="0008561F">
            <w:pPr>
              <w:pStyle w:val="PargrafodaLista"/>
              <w:numPr>
                <w:ilvl w:val="0"/>
                <w:numId w:val="17"/>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Evidenciação dos ativos e passivos de maior relevância;</w:t>
            </w:r>
          </w:p>
          <w:p w14:paraId="63072FC6" w14:textId="77777777" w:rsidR="005056F3" w:rsidRPr="003B4337" w:rsidRDefault="005056F3" w:rsidP="0008561F">
            <w:pPr>
              <w:pStyle w:val="PargrafodaLista"/>
              <w:numPr>
                <w:ilvl w:val="0"/>
                <w:numId w:val="17"/>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Evidenciação do cronograma e do cumprimento dos prazos do processo de convergência contábil, nos termos da Portaria STN nº 548, de 24 de setembro de 2015, que trata da aprovação do Plano de Implantação dos Procedimentos Contábeis Patrimoniais – PIPCP.</w:t>
            </w:r>
          </w:p>
          <w:p w14:paraId="25C0A908" w14:textId="77777777" w:rsidR="005056F3" w:rsidRPr="003B4337" w:rsidRDefault="005056F3" w:rsidP="001B0C70">
            <w:pPr>
              <w:spacing w:before="120" w:after="120" w:line="240" w:lineRule="auto"/>
              <w:jc w:val="both"/>
              <w:rPr>
                <w:rFonts w:ascii="Arial" w:eastAsia="Times New Roman" w:hAnsi="Arial" w:cs="Arial"/>
                <w:b/>
                <w:sz w:val="18"/>
                <w:szCs w:val="18"/>
                <w:lang w:eastAsia="pt-BR"/>
              </w:rPr>
            </w:pPr>
            <w:r w:rsidRPr="003B4337">
              <w:rPr>
                <w:rFonts w:ascii="Arial" w:eastAsia="Times New Roman" w:hAnsi="Arial" w:cs="Arial"/>
                <w:b/>
                <w:sz w:val="18"/>
                <w:szCs w:val="18"/>
                <w:lang w:eastAsia="pt-BR"/>
              </w:rPr>
              <w:t>Gestão Atuarial</w:t>
            </w:r>
          </w:p>
          <w:p w14:paraId="6B21532C" w14:textId="77777777" w:rsidR="005056F3" w:rsidRPr="003B4337" w:rsidRDefault="005056F3" w:rsidP="0008561F">
            <w:pPr>
              <w:pStyle w:val="PargrafodaLista"/>
              <w:numPr>
                <w:ilvl w:val="0"/>
                <w:numId w:val="9"/>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Informações sobre a empresa e os atuários responsáveis pela elaboração das últimas cinco avaliações atuariais anuais, seus respectivos contratos e valores dispendidos;</w:t>
            </w:r>
          </w:p>
          <w:p w14:paraId="7880B2D2" w14:textId="77777777" w:rsidR="005056F3" w:rsidRPr="003B4337" w:rsidRDefault="005056F3" w:rsidP="0008561F">
            <w:pPr>
              <w:pStyle w:val="PargrafodaLista"/>
              <w:numPr>
                <w:ilvl w:val="0"/>
                <w:numId w:val="9"/>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Comparativo detalhado do resultado atuarial (ativo e passivo) dos últimos cinco exercícios;</w:t>
            </w:r>
          </w:p>
          <w:p w14:paraId="7C591B98" w14:textId="77777777" w:rsidR="005056F3" w:rsidRPr="003B4337" w:rsidRDefault="005056F3" w:rsidP="0008561F">
            <w:pPr>
              <w:pStyle w:val="PargrafodaLista"/>
              <w:numPr>
                <w:ilvl w:val="0"/>
                <w:numId w:val="9"/>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Detalhamento do plano de amortização do déficit atuarial adotado pelo ente, instituído por lei;</w:t>
            </w:r>
          </w:p>
          <w:p w14:paraId="0184996C" w14:textId="77777777" w:rsidR="005056F3" w:rsidRPr="003B4337" w:rsidRDefault="005056F3" w:rsidP="0008561F">
            <w:pPr>
              <w:pStyle w:val="PargrafodaLista"/>
              <w:numPr>
                <w:ilvl w:val="0"/>
                <w:numId w:val="9"/>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Evidenciação dos aportes atuariais recebidos nos últimos cinco exercícios;</w:t>
            </w:r>
          </w:p>
          <w:p w14:paraId="56FE79CF" w14:textId="77777777" w:rsidR="005056F3" w:rsidRPr="003B4337" w:rsidRDefault="005056F3" w:rsidP="001B0C70">
            <w:pPr>
              <w:pStyle w:val="PargrafodaLista"/>
              <w:spacing w:before="120" w:after="120" w:line="240" w:lineRule="auto"/>
              <w:jc w:val="both"/>
              <w:rPr>
                <w:rFonts w:ascii="Arial" w:eastAsia="Times New Roman" w:hAnsi="Arial" w:cs="Arial"/>
                <w:sz w:val="18"/>
                <w:szCs w:val="18"/>
                <w:lang w:eastAsia="pt-BR"/>
              </w:rPr>
            </w:pPr>
          </w:p>
          <w:p w14:paraId="7B93CF2A" w14:textId="77777777" w:rsidR="005056F3" w:rsidRPr="003B4337" w:rsidRDefault="005056F3" w:rsidP="001B0C70">
            <w:pPr>
              <w:spacing w:before="120" w:after="120" w:line="240" w:lineRule="auto"/>
              <w:jc w:val="both"/>
              <w:rPr>
                <w:rFonts w:ascii="Arial" w:eastAsia="Times New Roman" w:hAnsi="Arial" w:cs="Arial"/>
                <w:b/>
                <w:sz w:val="18"/>
                <w:szCs w:val="18"/>
                <w:lang w:eastAsia="pt-BR"/>
              </w:rPr>
            </w:pPr>
            <w:r w:rsidRPr="003B4337">
              <w:rPr>
                <w:rFonts w:ascii="Arial" w:eastAsia="Times New Roman" w:hAnsi="Arial" w:cs="Arial"/>
                <w:b/>
                <w:sz w:val="18"/>
                <w:szCs w:val="18"/>
                <w:lang w:eastAsia="pt-BR"/>
              </w:rPr>
              <w:t>Gestão de Pessoas</w:t>
            </w:r>
          </w:p>
          <w:p w14:paraId="707F892C" w14:textId="77777777" w:rsidR="005056F3" w:rsidRPr="003B4337" w:rsidRDefault="005056F3" w:rsidP="0008561F">
            <w:pPr>
              <w:pStyle w:val="PargrafodaLista"/>
              <w:numPr>
                <w:ilvl w:val="0"/>
                <w:numId w:val="18"/>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Evidenciação o quantitativo de servidores que o RPPS possui para realização das suas atividades (contratados, comissionados, efetivos e/ou cedidos), os treinamentos que os mesmos realizaram no decorrer do exercício, além da sua respectiva política de remuneração (Plano de Carreira, Vantagens Pessoais, Auxílios, etc.).</w:t>
            </w:r>
          </w:p>
        </w:tc>
        <w:tc>
          <w:tcPr>
            <w:tcW w:w="993" w:type="dxa"/>
            <w:shd w:val="clear" w:color="auto" w:fill="auto"/>
            <w:vAlign w:val="center"/>
          </w:tcPr>
          <w:p w14:paraId="67BE5431" w14:textId="77777777" w:rsidR="005056F3" w:rsidRPr="00A5490A" w:rsidRDefault="005056F3" w:rsidP="00A5490A">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lastRenderedPageBreak/>
              <w:t>PDF</w:t>
            </w:r>
          </w:p>
        </w:tc>
        <w:tc>
          <w:tcPr>
            <w:tcW w:w="992" w:type="dxa"/>
            <w:vAlign w:val="center"/>
          </w:tcPr>
          <w:p w14:paraId="0BB0DBB5" w14:textId="77777777" w:rsidR="005056F3" w:rsidRPr="00CB55B0" w:rsidRDefault="005056F3" w:rsidP="008D41E3">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vAlign w:val="center"/>
          </w:tcPr>
          <w:p w14:paraId="1AE9648E" w14:textId="77777777" w:rsidR="005056F3" w:rsidRPr="00CB55B0" w:rsidRDefault="000065F5" w:rsidP="008D41E3">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851" w:type="dxa"/>
            <w:vAlign w:val="center"/>
          </w:tcPr>
          <w:p w14:paraId="06C35F1A" w14:textId="77777777" w:rsidR="005056F3" w:rsidRPr="00A5490A" w:rsidRDefault="005056F3" w:rsidP="008D41E3">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850" w:type="dxa"/>
            <w:vAlign w:val="center"/>
          </w:tcPr>
          <w:p w14:paraId="10240ED0" w14:textId="77777777" w:rsidR="005056F3" w:rsidRPr="00A5490A" w:rsidRDefault="005056F3" w:rsidP="008D41E3">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851" w:type="dxa"/>
            <w:vAlign w:val="center"/>
          </w:tcPr>
          <w:p w14:paraId="5258F50A" w14:textId="77777777" w:rsidR="005056F3" w:rsidRPr="00A5490A" w:rsidRDefault="005056F3" w:rsidP="008D41E3">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r>
      <w:tr w:rsidR="0053029C" w:rsidRPr="0031251D" w14:paraId="62936CD7" w14:textId="77777777" w:rsidTr="0053029C">
        <w:tc>
          <w:tcPr>
            <w:tcW w:w="1294" w:type="dxa"/>
            <w:shd w:val="clear" w:color="auto" w:fill="auto"/>
            <w:vAlign w:val="center"/>
          </w:tcPr>
          <w:p w14:paraId="3ABF4299" w14:textId="77777777" w:rsidR="0053029C" w:rsidRPr="0031251D" w:rsidRDefault="0053029C" w:rsidP="0053029C">
            <w:pPr>
              <w:spacing w:after="0" w:line="240" w:lineRule="auto"/>
              <w:jc w:val="center"/>
              <w:rPr>
                <w:rFonts w:ascii="Arial" w:eastAsia="Times New Roman" w:hAnsi="Arial" w:cs="Arial"/>
                <w:sz w:val="18"/>
                <w:szCs w:val="18"/>
                <w:lang w:eastAsia="pt-BR"/>
              </w:rPr>
            </w:pPr>
            <w:r w:rsidRPr="0031251D">
              <w:rPr>
                <w:rFonts w:ascii="Arial" w:eastAsia="Times New Roman" w:hAnsi="Arial" w:cs="Arial"/>
                <w:sz w:val="18"/>
                <w:szCs w:val="18"/>
                <w:lang w:eastAsia="pt-BR"/>
              </w:rPr>
              <w:lastRenderedPageBreak/>
              <w:t>CRIA</w:t>
            </w:r>
          </w:p>
        </w:tc>
        <w:tc>
          <w:tcPr>
            <w:tcW w:w="7206" w:type="dxa"/>
            <w:shd w:val="clear" w:color="auto" w:fill="auto"/>
            <w:vAlign w:val="center"/>
          </w:tcPr>
          <w:p w14:paraId="566AB030" w14:textId="77777777" w:rsidR="0053029C" w:rsidRPr="0031251D" w:rsidRDefault="0053029C" w:rsidP="0053029C">
            <w:pPr>
              <w:spacing w:before="120" w:after="120" w:line="240" w:lineRule="auto"/>
              <w:jc w:val="both"/>
              <w:rPr>
                <w:rFonts w:ascii="Arial" w:eastAsia="Times New Roman" w:hAnsi="Arial" w:cs="Arial"/>
                <w:sz w:val="18"/>
                <w:szCs w:val="18"/>
                <w:lang w:eastAsia="pt-BR"/>
              </w:rPr>
            </w:pPr>
            <w:r w:rsidRPr="0031251D">
              <w:rPr>
                <w:rFonts w:ascii="Arial" w:eastAsia="Times New Roman" w:hAnsi="Arial" w:cs="Arial"/>
                <w:bCs/>
                <w:sz w:val="18"/>
                <w:szCs w:val="18"/>
                <w:lang w:eastAsia="pt-BR"/>
              </w:rPr>
              <w:t>Demonstrativo especificando a lei de criação da entidade e suas alterações, evidenciando seus objetivos e atribuições.</w:t>
            </w:r>
          </w:p>
        </w:tc>
        <w:tc>
          <w:tcPr>
            <w:tcW w:w="993" w:type="dxa"/>
            <w:shd w:val="clear" w:color="auto" w:fill="auto"/>
            <w:vAlign w:val="center"/>
          </w:tcPr>
          <w:p w14:paraId="55F5FBA6" w14:textId="77777777" w:rsidR="0053029C" w:rsidRPr="0031251D" w:rsidRDefault="0053029C" w:rsidP="0053029C">
            <w:pPr>
              <w:spacing w:after="0" w:line="240" w:lineRule="auto"/>
              <w:jc w:val="center"/>
              <w:rPr>
                <w:rFonts w:ascii="Arial" w:eastAsia="Times New Roman" w:hAnsi="Arial" w:cs="Arial"/>
                <w:sz w:val="14"/>
                <w:szCs w:val="14"/>
                <w:lang w:eastAsia="pt-BR"/>
              </w:rPr>
            </w:pPr>
            <w:r w:rsidRPr="0031251D">
              <w:rPr>
                <w:rFonts w:ascii="Arial" w:eastAsia="Times New Roman" w:hAnsi="Arial" w:cs="Arial"/>
                <w:sz w:val="14"/>
                <w:szCs w:val="14"/>
                <w:lang w:eastAsia="pt-BR"/>
              </w:rPr>
              <w:t>PDF</w:t>
            </w:r>
          </w:p>
        </w:tc>
        <w:tc>
          <w:tcPr>
            <w:tcW w:w="992" w:type="dxa"/>
            <w:shd w:val="clear" w:color="auto" w:fill="auto"/>
            <w:vAlign w:val="center"/>
          </w:tcPr>
          <w:p w14:paraId="58C403D1" w14:textId="77777777" w:rsidR="0053029C" w:rsidRPr="0031251D" w:rsidRDefault="0053029C" w:rsidP="0053029C">
            <w:pPr>
              <w:spacing w:after="0" w:line="240" w:lineRule="auto"/>
              <w:jc w:val="center"/>
              <w:rPr>
                <w:rFonts w:ascii="Arial" w:eastAsia="Times New Roman" w:hAnsi="Arial" w:cs="Arial"/>
                <w:sz w:val="14"/>
                <w:szCs w:val="14"/>
                <w:lang w:eastAsia="pt-BR"/>
              </w:rPr>
            </w:pPr>
            <w:r w:rsidRPr="0031251D">
              <w:rPr>
                <w:rFonts w:ascii="Arial" w:eastAsia="Times New Roman" w:hAnsi="Arial" w:cs="Arial"/>
                <w:sz w:val="14"/>
                <w:szCs w:val="14"/>
                <w:lang w:eastAsia="pt-BR"/>
              </w:rPr>
              <w:t>X</w:t>
            </w:r>
          </w:p>
        </w:tc>
        <w:tc>
          <w:tcPr>
            <w:tcW w:w="992" w:type="dxa"/>
            <w:shd w:val="clear" w:color="auto" w:fill="auto"/>
            <w:vAlign w:val="center"/>
          </w:tcPr>
          <w:p w14:paraId="72D35412" w14:textId="77777777" w:rsidR="0053029C" w:rsidRPr="0031251D" w:rsidRDefault="0053029C" w:rsidP="0053029C">
            <w:pPr>
              <w:spacing w:after="0" w:line="240" w:lineRule="auto"/>
              <w:jc w:val="center"/>
              <w:rPr>
                <w:rFonts w:ascii="Arial" w:eastAsia="Times New Roman" w:hAnsi="Arial" w:cs="Arial"/>
                <w:sz w:val="14"/>
                <w:szCs w:val="14"/>
                <w:lang w:eastAsia="pt-BR"/>
              </w:rPr>
            </w:pPr>
            <w:r w:rsidRPr="0031251D">
              <w:rPr>
                <w:rFonts w:ascii="Arial" w:eastAsia="Times New Roman" w:hAnsi="Arial" w:cs="Arial"/>
                <w:sz w:val="14"/>
                <w:szCs w:val="14"/>
                <w:lang w:eastAsia="pt-BR"/>
              </w:rPr>
              <w:t>X</w:t>
            </w:r>
          </w:p>
        </w:tc>
        <w:tc>
          <w:tcPr>
            <w:tcW w:w="851" w:type="dxa"/>
            <w:shd w:val="clear" w:color="auto" w:fill="auto"/>
            <w:vAlign w:val="center"/>
          </w:tcPr>
          <w:p w14:paraId="304D2D01" w14:textId="77777777" w:rsidR="0053029C" w:rsidRPr="0031251D" w:rsidRDefault="0053029C" w:rsidP="0053029C">
            <w:pPr>
              <w:spacing w:after="0" w:line="240" w:lineRule="auto"/>
              <w:jc w:val="center"/>
              <w:rPr>
                <w:rFonts w:ascii="Arial" w:eastAsia="Times New Roman" w:hAnsi="Arial" w:cs="Arial"/>
                <w:sz w:val="14"/>
                <w:szCs w:val="14"/>
                <w:lang w:eastAsia="pt-BR"/>
              </w:rPr>
            </w:pPr>
            <w:r w:rsidRPr="0031251D">
              <w:rPr>
                <w:rFonts w:ascii="Arial" w:eastAsia="Times New Roman" w:hAnsi="Arial" w:cs="Arial"/>
                <w:sz w:val="14"/>
                <w:szCs w:val="14"/>
                <w:lang w:eastAsia="pt-BR"/>
              </w:rPr>
              <w:t>X</w:t>
            </w:r>
          </w:p>
        </w:tc>
        <w:tc>
          <w:tcPr>
            <w:tcW w:w="850" w:type="dxa"/>
            <w:shd w:val="clear" w:color="auto" w:fill="auto"/>
            <w:vAlign w:val="center"/>
          </w:tcPr>
          <w:p w14:paraId="1BC43996" w14:textId="77777777" w:rsidR="0053029C" w:rsidRPr="0031251D" w:rsidRDefault="0053029C" w:rsidP="0053029C">
            <w:pPr>
              <w:spacing w:after="0" w:line="240" w:lineRule="auto"/>
              <w:jc w:val="center"/>
              <w:rPr>
                <w:rFonts w:ascii="Arial" w:eastAsia="Times New Roman" w:hAnsi="Arial" w:cs="Arial"/>
                <w:sz w:val="14"/>
                <w:szCs w:val="14"/>
                <w:lang w:eastAsia="pt-BR"/>
              </w:rPr>
            </w:pPr>
            <w:r w:rsidRPr="0031251D">
              <w:rPr>
                <w:rFonts w:ascii="Arial" w:eastAsia="Times New Roman" w:hAnsi="Arial" w:cs="Arial"/>
                <w:sz w:val="14"/>
                <w:szCs w:val="14"/>
                <w:lang w:eastAsia="pt-BR"/>
              </w:rPr>
              <w:t>X</w:t>
            </w:r>
          </w:p>
        </w:tc>
        <w:tc>
          <w:tcPr>
            <w:tcW w:w="851" w:type="dxa"/>
            <w:shd w:val="clear" w:color="auto" w:fill="auto"/>
            <w:vAlign w:val="center"/>
          </w:tcPr>
          <w:p w14:paraId="51E1E823" w14:textId="77777777" w:rsidR="0053029C" w:rsidRPr="0031251D" w:rsidRDefault="0053029C" w:rsidP="0053029C">
            <w:pPr>
              <w:spacing w:after="0" w:line="240" w:lineRule="auto"/>
              <w:jc w:val="center"/>
              <w:rPr>
                <w:rFonts w:ascii="Arial" w:eastAsia="Times New Roman" w:hAnsi="Arial" w:cs="Arial"/>
                <w:sz w:val="14"/>
                <w:szCs w:val="14"/>
                <w:lang w:eastAsia="pt-BR"/>
              </w:rPr>
            </w:pPr>
            <w:r w:rsidRPr="0031251D">
              <w:rPr>
                <w:rFonts w:ascii="Arial" w:eastAsia="Times New Roman" w:hAnsi="Arial" w:cs="Arial"/>
                <w:sz w:val="14"/>
                <w:szCs w:val="14"/>
                <w:lang w:eastAsia="pt-BR"/>
              </w:rPr>
              <w:t>X</w:t>
            </w:r>
          </w:p>
        </w:tc>
      </w:tr>
      <w:tr w:rsidR="005056F3" w:rsidRPr="00A5490A" w14:paraId="37A849F0" w14:textId="77777777" w:rsidTr="000065F5">
        <w:tc>
          <w:tcPr>
            <w:tcW w:w="1294" w:type="dxa"/>
            <w:vAlign w:val="center"/>
          </w:tcPr>
          <w:p w14:paraId="2F0B53BA" w14:textId="77777777" w:rsidR="005056F3" w:rsidRPr="00A5490A" w:rsidRDefault="005056F3" w:rsidP="00A5490A">
            <w:pPr>
              <w:spacing w:after="0" w:line="240" w:lineRule="auto"/>
              <w:jc w:val="center"/>
              <w:rPr>
                <w:rFonts w:ascii="Arial" w:eastAsia="Times New Roman" w:hAnsi="Arial" w:cs="Arial"/>
                <w:bCs/>
                <w:sz w:val="18"/>
                <w:szCs w:val="18"/>
                <w:lang w:eastAsia="pt-BR"/>
              </w:rPr>
            </w:pPr>
            <w:r w:rsidRPr="00A5490A">
              <w:rPr>
                <w:rFonts w:ascii="Arial" w:eastAsia="Times New Roman" w:hAnsi="Arial" w:cs="Arial"/>
                <w:bCs/>
                <w:sz w:val="18"/>
                <w:szCs w:val="18"/>
                <w:lang w:eastAsia="pt-BR"/>
              </w:rPr>
              <w:t>RELUCI</w:t>
            </w:r>
          </w:p>
        </w:tc>
        <w:tc>
          <w:tcPr>
            <w:tcW w:w="7206" w:type="dxa"/>
            <w:shd w:val="clear" w:color="auto" w:fill="auto"/>
            <w:vAlign w:val="center"/>
          </w:tcPr>
          <w:p w14:paraId="6097D4CB" w14:textId="633BA482" w:rsidR="005056F3" w:rsidRPr="003B4337" w:rsidRDefault="005056F3" w:rsidP="00AD3F82">
            <w:pPr>
              <w:spacing w:before="120" w:after="120" w:line="240" w:lineRule="auto"/>
              <w:jc w:val="both"/>
              <w:rPr>
                <w:rFonts w:ascii="Arial" w:eastAsia="Times New Roman" w:hAnsi="Arial" w:cs="Arial"/>
                <w:bCs/>
                <w:sz w:val="18"/>
                <w:szCs w:val="18"/>
                <w:lang w:eastAsia="pt-BR"/>
              </w:rPr>
            </w:pPr>
            <w:r w:rsidRPr="003B4337">
              <w:rPr>
                <w:rFonts w:ascii="Arial" w:eastAsia="Times New Roman" w:hAnsi="Arial" w:cs="Arial"/>
                <w:bCs/>
                <w:sz w:val="18"/>
                <w:szCs w:val="18"/>
                <w:lang w:eastAsia="pt-BR"/>
              </w:rPr>
              <w:t xml:space="preserve">Relatório e parecer conclusivo emitido pelo controle interno, assinado por seu responsável, contendo os elementos </w:t>
            </w:r>
            <w:r>
              <w:rPr>
                <w:rFonts w:ascii="Arial" w:eastAsia="Times New Roman" w:hAnsi="Arial" w:cs="Arial"/>
                <w:bCs/>
                <w:sz w:val="18"/>
                <w:szCs w:val="18"/>
                <w:lang w:eastAsia="pt-BR"/>
              </w:rPr>
              <w:t>sugerido</w:t>
            </w:r>
            <w:r w:rsidRPr="003B4337">
              <w:rPr>
                <w:rFonts w:ascii="Arial" w:eastAsia="Times New Roman" w:hAnsi="Arial" w:cs="Arial"/>
                <w:bCs/>
                <w:sz w:val="18"/>
                <w:szCs w:val="18"/>
                <w:lang w:eastAsia="pt-BR"/>
              </w:rPr>
              <w:t xml:space="preserve">s </w:t>
            </w:r>
            <w:r w:rsidR="0031251D" w:rsidRPr="0031251D">
              <w:rPr>
                <w:rFonts w:ascii="Arial" w:eastAsia="Times New Roman" w:hAnsi="Arial" w:cs="Arial"/>
                <w:bCs/>
                <w:sz w:val="18"/>
                <w:szCs w:val="18"/>
                <w:lang w:eastAsia="pt-BR"/>
              </w:rPr>
              <w:t xml:space="preserve">no item 3.2 </w:t>
            </w:r>
            <w:r>
              <w:rPr>
                <w:rFonts w:ascii="Arial" w:eastAsia="Times New Roman" w:hAnsi="Arial" w:cs="Arial"/>
                <w:sz w:val="18"/>
                <w:szCs w:val="18"/>
                <w:lang w:eastAsia="pt-BR"/>
              </w:rPr>
              <w:t>deste Anexo</w:t>
            </w:r>
            <w:r w:rsidRPr="003B4337">
              <w:rPr>
                <w:rFonts w:ascii="Arial" w:eastAsia="Times New Roman" w:hAnsi="Arial" w:cs="Arial"/>
                <w:bCs/>
                <w:sz w:val="18"/>
                <w:szCs w:val="18"/>
                <w:lang w:eastAsia="pt-BR"/>
              </w:rPr>
              <w:t xml:space="preserve">. (Artigo 135, § 4º c/c artigo 137, IV do RITCEES, aprovado pela Resolução TC nº 261/2013) </w:t>
            </w:r>
          </w:p>
        </w:tc>
        <w:tc>
          <w:tcPr>
            <w:tcW w:w="993" w:type="dxa"/>
            <w:shd w:val="clear" w:color="auto" w:fill="auto"/>
            <w:vAlign w:val="center"/>
          </w:tcPr>
          <w:p w14:paraId="3BCB61DD" w14:textId="77777777" w:rsidR="005056F3" w:rsidRPr="00A5490A" w:rsidRDefault="005056F3" w:rsidP="00A5490A">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c>
          <w:tcPr>
            <w:tcW w:w="992" w:type="dxa"/>
            <w:vAlign w:val="center"/>
          </w:tcPr>
          <w:p w14:paraId="04762744" w14:textId="77777777" w:rsidR="005056F3" w:rsidRPr="00CB55B0" w:rsidRDefault="005056F3" w:rsidP="008D41E3">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vAlign w:val="center"/>
          </w:tcPr>
          <w:p w14:paraId="43CD1639" w14:textId="77777777" w:rsidR="005056F3" w:rsidRPr="00CB55B0" w:rsidRDefault="000065F5" w:rsidP="008D41E3">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851" w:type="dxa"/>
            <w:vAlign w:val="center"/>
          </w:tcPr>
          <w:p w14:paraId="2DDA5D3A" w14:textId="77777777" w:rsidR="005056F3" w:rsidRPr="00A5490A" w:rsidRDefault="005056F3" w:rsidP="008D41E3">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850" w:type="dxa"/>
            <w:vAlign w:val="center"/>
          </w:tcPr>
          <w:p w14:paraId="2D374FB7" w14:textId="77777777" w:rsidR="005056F3" w:rsidRPr="00A5490A" w:rsidRDefault="005056F3" w:rsidP="008D41E3">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851" w:type="dxa"/>
            <w:vAlign w:val="center"/>
          </w:tcPr>
          <w:p w14:paraId="3DF9EA8F" w14:textId="77777777" w:rsidR="005056F3" w:rsidRPr="00A5490A" w:rsidRDefault="005056F3" w:rsidP="008D41E3">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r>
      <w:tr w:rsidR="005056F3" w:rsidRPr="00A5490A" w14:paraId="76574EE6" w14:textId="77777777" w:rsidTr="000065F5">
        <w:trPr>
          <w:trHeight w:val="907"/>
        </w:trPr>
        <w:tc>
          <w:tcPr>
            <w:tcW w:w="1294" w:type="dxa"/>
            <w:vAlign w:val="center"/>
          </w:tcPr>
          <w:p w14:paraId="4E295BCC" w14:textId="77777777" w:rsidR="005056F3" w:rsidRPr="00A5490A" w:rsidRDefault="005056F3" w:rsidP="00F109E0">
            <w:pPr>
              <w:spacing w:after="0" w:line="240" w:lineRule="auto"/>
              <w:jc w:val="center"/>
              <w:rPr>
                <w:rFonts w:ascii="Arial" w:hAnsi="Arial" w:cs="Arial"/>
                <w:sz w:val="18"/>
                <w:szCs w:val="18"/>
              </w:rPr>
            </w:pPr>
            <w:r w:rsidRPr="00F109E0">
              <w:rPr>
                <w:rFonts w:ascii="Arial" w:eastAsia="Times New Roman" w:hAnsi="Arial" w:cs="Arial"/>
                <w:bCs/>
                <w:sz w:val="18"/>
                <w:szCs w:val="18"/>
                <w:lang w:eastAsia="pt-BR"/>
              </w:rPr>
              <w:lastRenderedPageBreak/>
              <w:t>RELACI</w:t>
            </w:r>
          </w:p>
        </w:tc>
        <w:tc>
          <w:tcPr>
            <w:tcW w:w="7206" w:type="dxa"/>
            <w:shd w:val="clear" w:color="auto" w:fill="auto"/>
            <w:vAlign w:val="center"/>
          </w:tcPr>
          <w:p w14:paraId="36331CF4" w14:textId="40F65736" w:rsidR="005056F3" w:rsidRPr="0031251D" w:rsidRDefault="005056F3" w:rsidP="0054455D">
            <w:pPr>
              <w:spacing w:before="120" w:after="120" w:line="240" w:lineRule="auto"/>
              <w:jc w:val="both"/>
              <w:rPr>
                <w:rFonts w:ascii="Arial" w:eastAsia="Times New Roman" w:hAnsi="Arial" w:cs="Arial"/>
                <w:bCs/>
                <w:sz w:val="18"/>
                <w:szCs w:val="18"/>
                <w:lang w:eastAsia="pt-BR"/>
              </w:rPr>
            </w:pPr>
            <w:r w:rsidRPr="0054455D">
              <w:rPr>
                <w:rFonts w:ascii="Arial" w:eastAsia="Times New Roman" w:hAnsi="Arial" w:cs="Arial"/>
                <w:bCs/>
                <w:sz w:val="18"/>
                <w:szCs w:val="18"/>
                <w:lang w:eastAsia="pt-BR"/>
              </w:rPr>
              <w:t xml:space="preserve">Relatório de atividades realizadas pela Unidade de Controle Interno na UG, contendo informações acerca dos procedimentos relativos ao Plano Anual de Auditorias Internas – PAAI, executadas no exercício, </w:t>
            </w:r>
            <w:r w:rsidR="0008751B" w:rsidRPr="003B4337">
              <w:rPr>
                <w:rFonts w:ascii="Arial" w:eastAsia="Times New Roman" w:hAnsi="Arial" w:cs="Arial"/>
                <w:bCs/>
                <w:sz w:val="18"/>
                <w:szCs w:val="18"/>
                <w:lang w:eastAsia="pt-BR"/>
              </w:rPr>
              <w:t xml:space="preserve">contendo os elementos </w:t>
            </w:r>
            <w:r w:rsidR="0008751B">
              <w:rPr>
                <w:rFonts w:ascii="Arial" w:eastAsia="Times New Roman" w:hAnsi="Arial" w:cs="Arial"/>
                <w:bCs/>
                <w:sz w:val="18"/>
                <w:szCs w:val="18"/>
                <w:lang w:eastAsia="pt-BR"/>
              </w:rPr>
              <w:t>sugerido</w:t>
            </w:r>
            <w:r w:rsidR="0008751B" w:rsidRPr="003B4337">
              <w:rPr>
                <w:rFonts w:ascii="Arial" w:eastAsia="Times New Roman" w:hAnsi="Arial" w:cs="Arial"/>
                <w:bCs/>
                <w:sz w:val="18"/>
                <w:szCs w:val="18"/>
                <w:lang w:eastAsia="pt-BR"/>
              </w:rPr>
              <w:t xml:space="preserve">s </w:t>
            </w:r>
            <w:r w:rsidR="0008751B" w:rsidRPr="0031251D">
              <w:rPr>
                <w:rFonts w:ascii="Arial" w:eastAsia="Times New Roman" w:hAnsi="Arial" w:cs="Arial"/>
                <w:bCs/>
                <w:sz w:val="18"/>
                <w:szCs w:val="18"/>
                <w:lang w:eastAsia="pt-BR"/>
              </w:rPr>
              <w:t xml:space="preserve">no item 3.2 </w:t>
            </w:r>
            <w:r w:rsidR="0008751B">
              <w:rPr>
                <w:rFonts w:ascii="Arial" w:eastAsia="Times New Roman" w:hAnsi="Arial" w:cs="Arial"/>
                <w:sz w:val="18"/>
                <w:szCs w:val="18"/>
                <w:lang w:eastAsia="pt-BR"/>
              </w:rPr>
              <w:t>deste Anexo</w:t>
            </w:r>
            <w:r w:rsidR="00C30522">
              <w:rPr>
                <w:rFonts w:ascii="Arial" w:eastAsia="Times New Roman" w:hAnsi="Arial" w:cs="Arial"/>
                <w:sz w:val="18"/>
                <w:szCs w:val="18"/>
                <w:lang w:eastAsia="pt-BR"/>
              </w:rPr>
              <w:t>.</w:t>
            </w:r>
          </w:p>
        </w:tc>
        <w:tc>
          <w:tcPr>
            <w:tcW w:w="993" w:type="dxa"/>
            <w:shd w:val="clear" w:color="auto" w:fill="auto"/>
            <w:vAlign w:val="center"/>
          </w:tcPr>
          <w:p w14:paraId="61EA8159" w14:textId="77777777" w:rsidR="005056F3" w:rsidRPr="0054455D" w:rsidRDefault="005056F3" w:rsidP="0054455D">
            <w:pPr>
              <w:spacing w:after="0" w:line="240" w:lineRule="auto"/>
              <w:jc w:val="center"/>
              <w:rPr>
                <w:rFonts w:ascii="Arial" w:eastAsia="Times New Roman" w:hAnsi="Arial" w:cs="Arial"/>
                <w:sz w:val="14"/>
                <w:szCs w:val="14"/>
                <w:lang w:eastAsia="pt-BR"/>
              </w:rPr>
            </w:pPr>
            <w:r w:rsidRPr="0054455D">
              <w:rPr>
                <w:rFonts w:ascii="Arial" w:eastAsia="Times New Roman" w:hAnsi="Arial" w:cs="Arial"/>
                <w:sz w:val="14"/>
                <w:szCs w:val="14"/>
                <w:lang w:eastAsia="pt-BR"/>
              </w:rPr>
              <w:t>PDF</w:t>
            </w:r>
          </w:p>
        </w:tc>
        <w:tc>
          <w:tcPr>
            <w:tcW w:w="992" w:type="dxa"/>
            <w:vAlign w:val="center"/>
          </w:tcPr>
          <w:p w14:paraId="7C7122D2" w14:textId="77777777" w:rsidR="005056F3" w:rsidRPr="00CB55B0" w:rsidRDefault="005056F3" w:rsidP="0054455D">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vAlign w:val="center"/>
          </w:tcPr>
          <w:p w14:paraId="1B51DD49" w14:textId="77777777" w:rsidR="005056F3" w:rsidRPr="00CB55B0" w:rsidRDefault="000065F5" w:rsidP="0054455D">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851" w:type="dxa"/>
            <w:vAlign w:val="center"/>
          </w:tcPr>
          <w:p w14:paraId="2EA2EAE6" w14:textId="77777777" w:rsidR="005056F3" w:rsidRPr="0054455D" w:rsidRDefault="005056F3" w:rsidP="0054455D">
            <w:pPr>
              <w:spacing w:after="0" w:line="240" w:lineRule="auto"/>
              <w:jc w:val="center"/>
              <w:rPr>
                <w:rFonts w:ascii="Arial" w:eastAsia="Times New Roman" w:hAnsi="Arial" w:cs="Arial"/>
                <w:sz w:val="14"/>
                <w:szCs w:val="14"/>
                <w:lang w:eastAsia="pt-BR"/>
              </w:rPr>
            </w:pPr>
            <w:r w:rsidRPr="0054455D">
              <w:rPr>
                <w:rFonts w:ascii="Arial" w:eastAsia="Times New Roman" w:hAnsi="Arial" w:cs="Arial"/>
                <w:sz w:val="14"/>
                <w:szCs w:val="14"/>
                <w:lang w:eastAsia="pt-BR"/>
              </w:rPr>
              <w:t>X</w:t>
            </w:r>
          </w:p>
        </w:tc>
        <w:tc>
          <w:tcPr>
            <w:tcW w:w="850" w:type="dxa"/>
            <w:vAlign w:val="center"/>
          </w:tcPr>
          <w:p w14:paraId="3B1A47EE" w14:textId="77777777" w:rsidR="005056F3" w:rsidRPr="0054455D" w:rsidRDefault="005056F3" w:rsidP="0054455D">
            <w:pPr>
              <w:spacing w:after="0" w:line="240" w:lineRule="auto"/>
              <w:jc w:val="center"/>
              <w:rPr>
                <w:rFonts w:ascii="Arial" w:eastAsia="Times New Roman" w:hAnsi="Arial" w:cs="Arial"/>
                <w:sz w:val="14"/>
                <w:szCs w:val="14"/>
                <w:lang w:eastAsia="pt-BR"/>
              </w:rPr>
            </w:pPr>
            <w:r w:rsidRPr="0054455D">
              <w:rPr>
                <w:rFonts w:ascii="Arial" w:eastAsia="Times New Roman" w:hAnsi="Arial" w:cs="Arial"/>
                <w:sz w:val="14"/>
                <w:szCs w:val="14"/>
                <w:lang w:eastAsia="pt-BR"/>
              </w:rPr>
              <w:t>X</w:t>
            </w:r>
          </w:p>
        </w:tc>
        <w:tc>
          <w:tcPr>
            <w:tcW w:w="851" w:type="dxa"/>
            <w:vAlign w:val="center"/>
          </w:tcPr>
          <w:p w14:paraId="7A464F26" w14:textId="77777777" w:rsidR="005056F3" w:rsidRPr="0054455D" w:rsidRDefault="005056F3" w:rsidP="0054455D">
            <w:pPr>
              <w:spacing w:after="0" w:line="240" w:lineRule="auto"/>
              <w:jc w:val="center"/>
              <w:rPr>
                <w:rFonts w:ascii="Arial" w:eastAsia="Times New Roman" w:hAnsi="Arial" w:cs="Arial"/>
                <w:sz w:val="14"/>
                <w:szCs w:val="14"/>
                <w:lang w:eastAsia="pt-BR"/>
              </w:rPr>
            </w:pPr>
            <w:r w:rsidRPr="0054455D">
              <w:rPr>
                <w:rFonts w:ascii="Arial" w:eastAsia="Times New Roman" w:hAnsi="Arial" w:cs="Arial"/>
                <w:sz w:val="14"/>
                <w:szCs w:val="14"/>
                <w:lang w:eastAsia="pt-BR"/>
              </w:rPr>
              <w:t>X</w:t>
            </w:r>
          </w:p>
        </w:tc>
      </w:tr>
      <w:tr w:rsidR="00C112E6" w:rsidRPr="00EA427A" w14:paraId="03095A5F" w14:textId="77777777" w:rsidTr="000065F5">
        <w:trPr>
          <w:trHeight w:val="907"/>
        </w:trPr>
        <w:tc>
          <w:tcPr>
            <w:tcW w:w="1294" w:type="dxa"/>
            <w:vAlign w:val="center"/>
          </w:tcPr>
          <w:p w14:paraId="63082758" w14:textId="53A61FA7" w:rsidR="00C112E6" w:rsidRPr="00EA427A" w:rsidRDefault="00C112E6" w:rsidP="00C112E6">
            <w:pPr>
              <w:spacing w:after="0" w:line="240" w:lineRule="auto"/>
              <w:jc w:val="center"/>
              <w:rPr>
                <w:rFonts w:ascii="Arial" w:eastAsia="Times New Roman" w:hAnsi="Arial" w:cs="Arial"/>
                <w:bCs/>
                <w:sz w:val="18"/>
                <w:szCs w:val="18"/>
                <w:lang w:eastAsia="pt-BR"/>
              </w:rPr>
            </w:pPr>
            <w:r w:rsidRPr="005173FE">
              <w:rPr>
                <w:rFonts w:ascii="Arial" w:eastAsia="Times New Roman" w:hAnsi="Arial" w:cs="Arial"/>
                <w:sz w:val="18"/>
                <w:szCs w:val="18"/>
                <w:lang w:eastAsia="pt-BR"/>
              </w:rPr>
              <w:t>INFOCI</w:t>
            </w:r>
          </w:p>
        </w:tc>
        <w:tc>
          <w:tcPr>
            <w:tcW w:w="7206" w:type="dxa"/>
            <w:shd w:val="clear" w:color="auto" w:fill="auto"/>
            <w:vAlign w:val="center"/>
          </w:tcPr>
          <w:p w14:paraId="4ADA4883" w14:textId="0DC11DE1" w:rsidR="00C112E6" w:rsidRPr="00EA427A" w:rsidRDefault="00AA77C8" w:rsidP="00C112E6">
            <w:pPr>
              <w:spacing w:before="120" w:after="120" w:line="240" w:lineRule="auto"/>
              <w:jc w:val="both"/>
              <w:rPr>
                <w:rFonts w:ascii="Arial" w:eastAsia="Times New Roman" w:hAnsi="Arial" w:cs="Arial"/>
                <w:bCs/>
                <w:sz w:val="18"/>
                <w:szCs w:val="18"/>
                <w:lang w:eastAsia="pt-BR"/>
              </w:rPr>
            </w:pPr>
            <w:r>
              <w:rPr>
                <w:rFonts w:ascii="Arial" w:eastAsia="Calibri" w:hAnsi="Arial" w:cs="Times New Roman"/>
                <w:sz w:val="18"/>
                <w:szCs w:val="18"/>
              </w:rPr>
              <w:t>I</w:t>
            </w:r>
            <w:r w:rsidRPr="00462640">
              <w:rPr>
                <w:rFonts w:ascii="Arial" w:eastAsia="Calibri" w:hAnsi="Arial" w:cs="Times New Roman"/>
                <w:sz w:val="18"/>
                <w:szCs w:val="18"/>
              </w:rPr>
              <w:t>nformações da unidade de Controle Interno, bem como as informações sobre a atuação do Controle Interno na verificação dos pontos de controle destinados à emissão do parecer sobre as Prestações de Contas Anuais</w:t>
            </w:r>
            <w:r w:rsidRPr="00792F95">
              <w:rPr>
                <w:rFonts w:ascii="Arial" w:eastAsia="Calibri" w:hAnsi="Arial" w:cs="Times New Roman"/>
                <w:sz w:val="18"/>
                <w:szCs w:val="18"/>
              </w:rPr>
              <w:t>, conforme layout constante do item 3.1 deste Anexo.</w:t>
            </w:r>
          </w:p>
        </w:tc>
        <w:tc>
          <w:tcPr>
            <w:tcW w:w="993" w:type="dxa"/>
            <w:shd w:val="clear" w:color="auto" w:fill="auto"/>
            <w:vAlign w:val="center"/>
          </w:tcPr>
          <w:p w14:paraId="331CB8DC" w14:textId="15A403F6" w:rsidR="00C112E6" w:rsidRPr="00EA427A" w:rsidRDefault="00C112E6" w:rsidP="00C112E6">
            <w:pPr>
              <w:spacing w:after="0" w:line="240" w:lineRule="auto"/>
              <w:jc w:val="center"/>
              <w:rPr>
                <w:rFonts w:ascii="Arial" w:eastAsia="Times New Roman" w:hAnsi="Arial" w:cs="Arial"/>
                <w:sz w:val="14"/>
                <w:szCs w:val="14"/>
                <w:lang w:eastAsia="pt-BR"/>
              </w:rPr>
            </w:pPr>
            <w:r w:rsidRPr="005173FE">
              <w:rPr>
                <w:rFonts w:ascii="Arial" w:eastAsia="Times New Roman" w:hAnsi="Arial" w:cs="Arial"/>
                <w:sz w:val="14"/>
                <w:szCs w:val="14"/>
                <w:lang w:eastAsia="pt-BR"/>
              </w:rPr>
              <w:t>XML</w:t>
            </w:r>
          </w:p>
        </w:tc>
        <w:tc>
          <w:tcPr>
            <w:tcW w:w="992" w:type="dxa"/>
            <w:vAlign w:val="center"/>
          </w:tcPr>
          <w:p w14:paraId="6FEC9FA5" w14:textId="407BDA1F" w:rsidR="00C112E6" w:rsidRPr="00EA427A" w:rsidRDefault="00C112E6" w:rsidP="00C112E6">
            <w:pPr>
              <w:spacing w:after="0" w:line="240" w:lineRule="auto"/>
              <w:jc w:val="center"/>
              <w:rPr>
                <w:rFonts w:ascii="Arial" w:eastAsia="Times New Roman" w:hAnsi="Arial" w:cs="Arial"/>
                <w:sz w:val="14"/>
                <w:szCs w:val="14"/>
                <w:lang w:eastAsia="pt-BR"/>
              </w:rPr>
            </w:pPr>
            <w:r w:rsidRPr="00EA427A">
              <w:rPr>
                <w:rFonts w:ascii="Arial" w:eastAsia="Times New Roman" w:hAnsi="Arial" w:cs="Arial"/>
                <w:sz w:val="14"/>
                <w:szCs w:val="14"/>
                <w:lang w:eastAsia="pt-BR"/>
              </w:rPr>
              <w:t>X</w:t>
            </w:r>
          </w:p>
        </w:tc>
        <w:tc>
          <w:tcPr>
            <w:tcW w:w="992" w:type="dxa"/>
            <w:vAlign w:val="center"/>
          </w:tcPr>
          <w:p w14:paraId="63B560F8" w14:textId="6A6BBFC9" w:rsidR="00C112E6" w:rsidRPr="00EA427A" w:rsidRDefault="00C112E6" w:rsidP="00C112E6">
            <w:pPr>
              <w:spacing w:after="0" w:line="240" w:lineRule="auto"/>
              <w:jc w:val="center"/>
              <w:rPr>
                <w:rFonts w:ascii="Arial" w:eastAsia="Times New Roman" w:hAnsi="Arial" w:cs="Arial"/>
                <w:sz w:val="14"/>
                <w:szCs w:val="14"/>
                <w:lang w:eastAsia="pt-BR"/>
              </w:rPr>
            </w:pPr>
            <w:r w:rsidRPr="00EA427A">
              <w:rPr>
                <w:rFonts w:ascii="Arial" w:eastAsia="Times New Roman" w:hAnsi="Arial" w:cs="Arial"/>
                <w:sz w:val="14"/>
                <w:szCs w:val="14"/>
                <w:lang w:eastAsia="pt-BR"/>
              </w:rPr>
              <w:t>X</w:t>
            </w:r>
          </w:p>
        </w:tc>
        <w:tc>
          <w:tcPr>
            <w:tcW w:w="851" w:type="dxa"/>
            <w:vAlign w:val="center"/>
          </w:tcPr>
          <w:p w14:paraId="4055F6D1" w14:textId="42A96AC5" w:rsidR="00C112E6" w:rsidRPr="00EA427A" w:rsidRDefault="00C112E6" w:rsidP="00C112E6">
            <w:pPr>
              <w:spacing w:after="0" w:line="240" w:lineRule="auto"/>
              <w:jc w:val="center"/>
              <w:rPr>
                <w:rFonts w:ascii="Arial" w:eastAsia="Times New Roman" w:hAnsi="Arial" w:cs="Arial"/>
                <w:sz w:val="14"/>
                <w:szCs w:val="14"/>
                <w:lang w:eastAsia="pt-BR"/>
              </w:rPr>
            </w:pPr>
            <w:r w:rsidRPr="00EA427A">
              <w:rPr>
                <w:rFonts w:ascii="Arial" w:eastAsia="Times New Roman" w:hAnsi="Arial" w:cs="Arial"/>
                <w:sz w:val="14"/>
                <w:szCs w:val="14"/>
                <w:lang w:eastAsia="pt-BR"/>
              </w:rPr>
              <w:t>X</w:t>
            </w:r>
          </w:p>
        </w:tc>
        <w:tc>
          <w:tcPr>
            <w:tcW w:w="850" w:type="dxa"/>
            <w:vAlign w:val="center"/>
          </w:tcPr>
          <w:p w14:paraId="3CEA78E8" w14:textId="7871DEDB" w:rsidR="00C112E6" w:rsidRPr="00EA427A" w:rsidRDefault="00C112E6" w:rsidP="00C112E6">
            <w:pPr>
              <w:spacing w:after="0" w:line="240" w:lineRule="auto"/>
              <w:jc w:val="center"/>
              <w:rPr>
                <w:rFonts w:ascii="Arial" w:eastAsia="Times New Roman" w:hAnsi="Arial" w:cs="Arial"/>
                <w:sz w:val="14"/>
                <w:szCs w:val="14"/>
                <w:lang w:eastAsia="pt-BR"/>
              </w:rPr>
            </w:pPr>
            <w:r w:rsidRPr="00EA427A">
              <w:rPr>
                <w:rFonts w:ascii="Arial" w:eastAsia="Times New Roman" w:hAnsi="Arial" w:cs="Arial"/>
                <w:sz w:val="14"/>
                <w:szCs w:val="14"/>
                <w:lang w:eastAsia="pt-BR"/>
              </w:rPr>
              <w:t>X</w:t>
            </w:r>
          </w:p>
        </w:tc>
        <w:tc>
          <w:tcPr>
            <w:tcW w:w="851" w:type="dxa"/>
            <w:vAlign w:val="center"/>
          </w:tcPr>
          <w:p w14:paraId="0A2D32FA" w14:textId="437F68DA" w:rsidR="00C112E6" w:rsidRPr="00EA427A" w:rsidRDefault="00C112E6" w:rsidP="00C112E6">
            <w:pPr>
              <w:spacing w:after="0" w:line="240" w:lineRule="auto"/>
              <w:jc w:val="center"/>
              <w:rPr>
                <w:rFonts w:ascii="Arial" w:eastAsia="Times New Roman" w:hAnsi="Arial" w:cs="Arial"/>
                <w:sz w:val="14"/>
                <w:szCs w:val="14"/>
                <w:lang w:eastAsia="pt-BR"/>
              </w:rPr>
            </w:pPr>
            <w:r w:rsidRPr="00EA427A">
              <w:rPr>
                <w:rFonts w:ascii="Arial" w:eastAsia="Times New Roman" w:hAnsi="Arial" w:cs="Arial"/>
                <w:sz w:val="14"/>
                <w:szCs w:val="14"/>
                <w:lang w:eastAsia="pt-BR"/>
              </w:rPr>
              <w:t>X</w:t>
            </w:r>
          </w:p>
        </w:tc>
      </w:tr>
      <w:tr w:rsidR="005056F3" w:rsidRPr="00A5490A" w14:paraId="64C1C910" w14:textId="77777777" w:rsidTr="000065F5">
        <w:trPr>
          <w:trHeight w:val="907"/>
        </w:trPr>
        <w:tc>
          <w:tcPr>
            <w:tcW w:w="1294" w:type="dxa"/>
            <w:vAlign w:val="center"/>
          </w:tcPr>
          <w:p w14:paraId="0E7AD58E" w14:textId="77777777" w:rsidR="005056F3" w:rsidRPr="00A5490A" w:rsidRDefault="005056F3" w:rsidP="00A5490A">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PROEXE</w:t>
            </w:r>
          </w:p>
        </w:tc>
        <w:tc>
          <w:tcPr>
            <w:tcW w:w="7206" w:type="dxa"/>
            <w:shd w:val="clear" w:color="auto" w:fill="auto"/>
            <w:vAlign w:val="center"/>
          </w:tcPr>
          <w:p w14:paraId="195F4FC7" w14:textId="77777777" w:rsidR="005056F3" w:rsidRPr="003B4337" w:rsidRDefault="005056F3" w:rsidP="005D530A">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Pronunciamento expresso do responsável pelo RPPS atestando ter tomado conhecimento das conclusões contidas no parecer conclusivo emitido pelo controle interno, a que se refere o parágrafo único, do artigo 4º, da Resolução TC nº 227/2011.</w:t>
            </w:r>
          </w:p>
        </w:tc>
        <w:tc>
          <w:tcPr>
            <w:tcW w:w="993" w:type="dxa"/>
            <w:shd w:val="clear" w:color="auto" w:fill="auto"/>
            <w:vAlign w:val="center"/>
          </w:tcPr>
          <w:p w14:paraId="788438B1" w14:textId="77777777" w:rsidR="005056F3" w:rsidRPr="00A5490A" w:rsidRDefault="005056F3" w:rsidP="00A5490A">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c>
          <w:tcPr>
            <w:tcW w:w="992" w:type="dxa"/>
            <w:vAlign w:val="center"/>
          </w:tcPr>
          <w:p w14:paraId="037FCF5F" w14:textId="77777777" w:rsidR="005056F3" w:rsidRPr="00CB55B0" w:rsidRDefault="005056F3" w:rsidP="008D41E3">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vAlign w:val="center"/>
          </w:tcPr>
          <w:p w14:paraId="594326BC" w14:textId="77777777" w:rsidR="005056F3" w:rsidRPr="00CB55B0" w:rsidRDefault="000065F5" w:rsidP="008D41E3">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851" w:type="dxa"/>
            <w:vAlign w:val="center"/>
          </w:tcPr>
          <w:p w14:paraId="0031CF1F" w14:textId="77777777" w:rsidR="005056F3" w:rsidRPr="00A5490A" w:rsidRDefault="005056F3" w:rsidP="008D41E3">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850" w:type="dxa"/>
            <w:vAlign w:val="center"/>
          </w:tcPr>
          <w:p w14:paraId="11E37D0E" w14:textId="77777777" w:rsidR="005056F3" w:rsidRPr="00A5490A" w:rsidRDefault="005056F3" w:rsidP="008D41E3">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851" w:type="dxa"/>
            <w:vAlign w:val="center"/>
          </w:tcPr>
          <w:p w14:paraId="5F413CAE" w14:textId="77777777" w:rsidR="005056F3" w:rsidRPr="00A5490A" w:rsidRDefault="005056F3" w:rsidP="008D41E3">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r>
      <w:tr w:rsidR="005056F3" w:rsidRPr="00A5490A" w14:paraId="5FC47C09" w14:textId="77777777" w:rsidTr="000065F5">
        <w:tc>
          <w:tcPr>
            <w:tcW w:w="1294" w:type="dxa"/>
            <w:vAlign w:val="center"/>
          </w:tcPr>
          <w:p w14:paraId="794B65C4" w14:textId="77777777" w:rsidR="005056F3" w:rsidRPr="00A5490A" w:rsidRDefault="005056F3" w:rsidP="006052E1">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BALORC</w:t>
            </w:r>
          </w:p>
        </w:tc>
        <w:tc>
          <w:tcPr>
            <w:tcW w:w="7206" w:type="dxa"/>
            <w:shd w:val="clear" w:color="auto" w:fill="auto"/>
            <w:vAlign w:val="center"/>
          </w:tcPr>
          <w:p w14:paraId="5C8C132D" w14:textId="0C12D82B" w:rsidR="005056F3" w:rsidRPr="003B4337" w:rsidRDefault="005056F3" w:rsidP="00781AE5">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Balanço Orçamentário (Anexo 12 Lei 4.320/1964)</w:t>
            </w:r>
            <w:r w:rsidR="00781AE5">
              <w:rPr>
                <w:rFonts w:ascii="Arial" w:eastAsia="Times New Roman" w:hAnsi="Arial" w:cs="Arial"/>
                <w:sz w:val="18"/>
                <w:szCs w:val="18"/>
                <w:lang w:eastAsia="pt-BR"/>
              </w:rPr>
              <w:t xml:space="preserve"> </w:t>
            </w:r>
            <w:r w:rsidRPr="003B4337">
              <w:rPr>
                <w:rFonts w:ascii="Arial" w:eastAsia="Times New Roman" w:hAnsi="Arial" w:cs="Arial"/>
                <w:sz w:val="18"/>
                <w:szCs w:val="18"/>
                <w:lang w:eastAsia="pt-BR"/>
              </w:rPr>
              <w:t xml:space="preserve">e outros quadros elucidativos que se fizerem necessários (Artigo 101 da Lei Federal nº 4.320/64). </w:t>
            </w:r>
            <w:r w:rsidR="00781AE5" w:rsidRPr="0031251D">
              <w:rPr>
                <w:rFonts w:ascii="Arial" w:eastAsia="Times New Roman" w:hAnsi="Arial" w:cs="Arial"/>
                <w:sz w:val="18"/>
                <w:szCs w:val="18"/>
                <w:lang w:eastAsia="pt-BR"/>
              </w:rPr>
              <w:t>Este demonstrativo será gerado no mês 13 da prestação de contas mensal e homologado na PCA.</w:t>
            </w:r>
          </w:p>
        </w:tc>
        <w:tc>
          <w:tcPr>
            <w:tcW w:w="993" w:type="dxa"/>
            <w:shd w:val="clear" w:color="auto" w:fill="auto"/>
            <w:vAlign w:val="center"/>
          </w:tcPr>
          <w:p w14:paraId="04C892AC" w14:textId="53B12303" w:rsidR="005056F3" w:rsidRPr="00A5490A" w:rsidRDefault="00781AE5" w:rsidP="006052E1">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w:t>
            </w:r>
          </w:p>
        </w:tc>
        <w:tc>
          <w:tcPr>
            <w:tcW w:w="992" w:type="dxa"/>
            <w:vAlign w:val="center"/>
          </w:tcPr>
          <w:p w14:paraId="1DAF847D" w14:textId="77777777" w:rsidR="005056F3" w:rsidRPr="00CB55B0" w:rsidRDefault="005056F3" w:rsidP="008D41E3">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vAlign w:val="center"/>
          </w:tcPr>
          <w:p w14:paraId="717A6522" w14:textId="77777777" w:rsidR="005056F3" w:rsidRPr="00CB55B0" w:rsidRDefault="000065F5" w:rsidP="008D41E3">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851" w:type="dxa"/>
            <w:vAlign w:val="center"/>
          </w:tcPr>
          <w:p w14:paraId="7F86AC41" w14:textId="77777777" w:rsidR="005056F3" w:rsidRDefault="005056F3" w:rsidP="008D41E3">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850" w:type="dxa"/>
            <w:vAlign w:val="center"/>
          </w:tcPr>
          <w:p w14:paraId="6C8B30D2" w14:textId="77777777" w:rsidR="005056F3" w:rsidRDefault="005056F3" w:rsidP="008D41E3">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851" w:type="dxa"/>
            <w:vAlign w:val="center"/>
          </w:tcPr>
          <w:p w14:paraId="32DCE831" w14:textId="77777777" w:rsidR="005056F3" w:rsidRDefault="005056F3" w:rsidP="008D41E3">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r>
      <w:tr w:rsidR="005056F3" w:rsidRPr="0031251D" w14:paraId="0DCCA8F8" w14:textId="77777777" w:rsidTr="000065F5">
        <w:tc>
          <w:tcPr>
            <w:tcW w:w="1294" w:type="dxa"/>
            <w:vAlign w:val="center"/>
          </w:tcPr>
          <w:p w14:paraId="0FD7561D" w14:textId="77777777" w:rsidR="005056F3" w:rsidRPr="0031251D" w:rsidRDefault="005056F3" w:rsidP="006052E1">
            <w:pPr>
              <w:spacing w:after="0" w:line="240" w:lineRule="auto"/>
              <w:jc w:val="center"/>
              <w:rPr>
                <w:rFonts w:ascii="Arial" w:eastAsia="Times New Roman" w:hAnsi="Arial" w:cs="Arial"/>
                <w:sz w:val="18"/>
                <w:szCs w:val="18"/>
                <w:lang w:eastAsia="pt-BR"/>
              </w:rPr>
            </w:pPr>
            <w:r w:rsidRPr="0031251D">
              <w:rPr>
                <w:rFonts w:ascii="Arial" w:eastAsia="Times New Roman" w:hAnsi="Arial" w:cs="Arial"/>
                <w:sz w:val="18"/>
                <w:szCs w:val="18"/>
                <w:lang w:eastAsia="pt-BR"/>
              </w:rPr>
              <w:t>BALFIN</w:t>
            </w:r>
          </w:p>
        </w:tc>
        <w:tc>
          <w:tcPr>
            <w:tcW w:w="7206" w:type="dxa"/>
            <w:shd w:val="clear" w:color="auto" w:fill="auto"/>
            <w:vAlign w:val="center"/>
          </w:tcPr>
          <w:p w14:paraId="530F5F24" w14:textId="5123359E" w:rsidR="005056F3" w:rsidRPr="0031251D" w:rsidRDefault="005056F3" w:rsidP="0031251D">
            <w:pPr>
              <w:spacing w:before="120" w:after="120" w:line="240" w:lineRule="auto"/>
              <w:jc w:val="both"/>
              <w:rPr>
                <w:rFonts w:ascii="Arial" w:eastAsia="Times New Roman" w:hAnsi="Arial" w:cs="Arial"/>
                <w:sz w:val="18"/>
                <w:szCs w:val="18"/>
                <w:lang w:eastAsia="pt-BR"/>
              </w:rPr>
            </w:pPr>
            <w:r w:rsidRPr="0031251D">
              <w:rPr>
                <w:rFonts w:ascii="Arial" w:eastAsia="Times New Roman" w:hAnsi="Arial" w:cs="Arial"/>
                <w:sz w:val="18"/>
                <w:szCs w:val="18"/>
                <w:lang w:eastAsia="pt-BR"/>
              </w:rPr>
              <w:t>Balanço Financ</w:t>
            </w:r>
            <w:r w:rsidR="0031251D" w:rsidRPr="0031251D">
              <w:rPr>
                <w:rFonts w:ascii="Arial" w:eastAsia="Times New Roman" w:hAnsi="Arial" w:cs="Arial"/>
                <w:sz w:val="18"/>
                <w:szCs w:val="18"/>
                <w:lang w:eastAsia="pt-BR"/>
              </w:rPr>
              <w:t xml:space="preserve">eiro (Anexo 13 Lei 4.320/1964) </w:t>
            </w:r>
            <w:r w:rsidRPr="0031251D">
              <w:rPr>
                <w:rFonts w:ascii="Arial" w:eastAsia="Times New Roman" w:hAnsi="Arial" w:cs="Arial"/>
                <w:sz w:val="18"/>
                <w:szCs w:val="18"/>
                <w:lang w:eastAsia="pt-BR"/>
              </w:rPr>
              <w:t xml:space="preserve">e outros quadros elucidativos que se fizerem necessários (Artigo 101 da Lei Federal nº 4.320/64). </w:t>
            </w:r>
            <w:r w:rsidR="0031251D" w:rsidRPr="0031251D">
              <w:rPr>
                <w:rFonts w:ascii="Arial" w:eastAsia="Times New Roman" w:hAnsi="Arial" w:cs="Arial"/>
                <w:sz w:val="18"/>
                <w:szCs w:val="18"/>
                <w:lang w:eastAsia="pt-BR"/>
              </w:rPr>
              <w:t>Este demonstrativo será gerado no mês 13 da prestação de contas mensal e homologado na PCA.</w:t>
            </w:r>
          </w:p>
        </w:tc>
        <w:tc>
          <w:tcPr>
            <w:tcW w:w="993" w:type="dxa"/>
            <w:shd w:val="clear" w:color="auto" w:fill="auto"/>
            <w:vAlign w:val="center"/>
          </w:tcPr>
          <w:p w14:paraId="0FC1C24C" w14:textId="065A4410" w:rsidR="005056F3" w:rsidRPr="0031251D" w:rsidRDefault="00A268DC" w:rsidP="006052E1">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w:t>
            </w:r>
          </w:p>
        </w:tc>
        <w:tc>
          <w:tcPr>
            <w:tcW w:w="992" w:type="dxa"/>
            <w:vAlign w:val="center"/>
          </w:tcPr>
          <w:p w14:paraId="17478566" w14:textId="77777777" w:rsidR="005056F3" w:rsidRPr="0031251D" w:rsidRDefault="005056F3" w:rsidP="008D41E3">
            <w:pPr>
              <w:spacing w:after="0" w:line="240" w:lineRule="auto"/>
              <w:jc w:val="center"/>
              <w:rPr>
                <w:rFonts w:ascii="Arial" w:eastAsia="Times New Roman" w:hAnsi="Arial" w:cs="Arial"/>
                <w:sz w:val="14"/>
                <w:szCs w:val="14"/>
                <w:lang w:eastAsia="pt-BR"/>
              </w:rPr>
            </w:pPr>
            <w:r w:rsidRPr="0031251D">
              <w:rPr>
                <w:rFonts w:ascii="Arial" w:eastAsia="Times New Roman" w:hAnsi="Arial" w:cs="Arial"/>
                <w:sz w:val="14"/>
                <w:szCs w:val="14"/>
                <w:lang w:eastAsia="pt-BR"/>
              </w:rPr>
              <w:t>X</w:t>
            </w:r>
          </w:p>
        </w:tc>
        <w:tc>
          <w:tcPr>
            <w:tcW w:w="992" w:type="dxa"/>
            <w:vAlign w:val="center"/>
          </w:tcPr>
          <w:p w14:paraId="2DD55ED7" w14:textId="77777777" w:rsidR="005056F3" w:rsidRPr="0031251D" w:rsidRDefault="000065F5" w:rsidP="008D41E3">
            <w:pPr>
              <w:spacing w:after="0" w:line="240" w:lineRule="auto"/>
              <w:jc w:val="center"/>
              <w:rPr>
                <w:rFonts w:ascii="Arial" w:eastAsia="Times New Roman" w:hAnsi="Arial" w:cs="Arial"/>
                <w:sz w:val="14"/>
                <w:szCs w:val="14"/>
                <w:lang w:eastAsia="pt-BR"/>
              </w:rPr>
            </w:pPr>
            <w:r w:rsidRPr="0031251D">
              <w:rPr>
                <w:rFonts w:ascii="Arial" w:eastAsia="Times New Roman" w:hAnsi="Arial" w:cs="Arial"/>
                <w:sz w:val="14"/>
                <w:szCs w:val="14"/>
                <w:lang w:eastAsia="pt-BR"/>
              </w:rPr>
              <w:t>X</w:t>
            </w:r>
          </w:p>
        </w:tc>
        <w:tc>
          <w:tcPr>
            <w:tcW w:w="851" w:type="dxa"/>
            <w:vAlign w:val="center"/>
          </w:tcPr>
          <w:p w14:paraId="6DA42E34" w14:textId="77777777" w:rsidR="005056F3" w:rsidRPr="0031251D" w:rsidRDefault="005056F3" w:rsidP="008D41E3">
            <w:pPr>
              <w:spacing w:after="0" w:line="240" w:lineRule="auto"/>
              <w:jc w:val="center"/>
              <w:rPr>
                <w:rFonts w:ascii="Arial" w:eastAsia="Times New Roman" w:hAnsi="Arial" w:cs="Arial"/>
                <w:sz w:val="14"/>
                <w:szCs w:val="14"/>
                <w:lang w:eastAsia="pt-BR"/>
              </w:rPr>
            </w:pPr>
            <w:r w:rsidRPr="0031251D">
              <w:rPr>
                <w:rFonts w:ascii="Arial" w:eastAsia="Times New Roman" w:hAnsi="Arial" w:cs="Arial"/>
                <w:sz w:val="14"/>
                <w:szCs w:val="14"/>
                <w:lang w:eastAsia="pt-BR"/>
              </w:rPr>
              <w:t>X</w:t>
            </w:r>
          </w:p>
        </w:tc>
        <w:tc>
          <w:tcPr>
            <w:tcW w:w="850" w:type="dxa"/>
            <w:vAlign w:val="center"/>
          </w:tcPr>
          <w:p w14:paraId="4E8D6166" w14:textId="77777777" w:rsidR="005056F3" w:rsidRPr="0031251D" w:rsidRDefault="005056F3" w:rsidP="008D41E3">
            <w:pPr>
              <w:spacing w:after="0" w:line="240" w:lineRule="auto"/>
              <w:jc w:val="center"/>
              <w:rPr>
                <w:rFonts w:ascii="Arial" w:eastAsia="Times New Roman" w:hAnsi="Arial" w:cs="Arial"/>
                <w:sz w:val="14"/>
                <w:szCs w:val="14"/>
                <w:lang w:eastAsia="pt-BR"/>
              </w:rPr>
            </w:pPr>
            <w:r w:rsidRPr="0031251D">
              <w:rPr>
                <w:rFonts w:ascii="Arial" w:eastAsia="Times New Roman" w:hAnsi="Arial" w:cs="Arial"/>
                <w:sz w:val="14"/>
                <w:szCs w:val="14"/>
                <w:lang w:eastAsia="pt-BR"/>
              </w:rPr>
              <w:t>X</w:t>
            </w:r>
          </w:p>
        </w:tc>
        <w:tc>
          <w:tcPr>
            <w:tcW w:w="851" w:type="dxa"/>
            <w:vAlign w:val="center"/>
          </w:tcPr>
          <w:p w14:paraId="20DE5E19" w14:textId="77777777" w:rsidR="005056F3" w:rsidRPr="0031251D" w:rsidRDefault="005056F3" w:rsidP="008D41E3">
            <w:pPr>
              <w:spacing w:after="0" w:line="240" w:lineRule="auto"/>
              <w:jc w:val="center"/>
              <w:rPr>
                <w:rFonts w:ascii="Arial" w:eastAsia="Times New Roman" w:hAnsi="Arial" w:cs="Arial"/>
                <w:sz w:val="14"/>
                <w:szCs w:val="14"/>
                <w:lang w:eastAsia="pt-BR"/>
              </w:rPr>
            </w:pPr>
            <w:r w:rsidRPr="0031251D">
              <w:rPr>
                <w:rFonts w:ascii="Arial" w:eastAsia="Times New Roman" w:hAnsi="Arial" w:cs="Arial"/>
                <w:sz w:val="14"/>
                <w:szCs w:val="14"/>
                <w:lang w:eastAsia="pt-BR"/>
              </w:rPr>
              <w:t>X</w:t>
            </w:r>
          </w:p>
        </w:tc>
      </w:tr>
      <w:tr w:rsidR="005056F3" w:rsidRPr="00A5490A" w14:paraId="6306A69D" w14:textId="77777777" w:rsidTr="000065F5">
        <w:tc>
          <w:tcPr>
            <w:tcW w:w="1294" w:type="dxa"/>
            <w:vAlign w:val="center"/>
          </w:tcPr>
          <w:p w14:paraId="7F7AFB4C" w14:textId="77777777" w:rsidR="005056F3" w:rsidRPr="00A5490A" w:rsidRDefault="005056F3" w:rsidP="006052E1">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BALPAT</w:t>
            </w:r>
          </w:p>
        </w:tc>
        <w:tc>
          <w:tcPr>
            <w:tcW w:w="7206" w:type="dxa"/>
            <w:shd w:val="clear" w:color="auto" w:fill="auto"/>
            <w:vAlign w:val="center"/>
          </w:tcPr>
          <w:p w14:paraId="2C077E35" w14:textId="6FD0A844" w:rsidR="005056F3" w:rsidRPr="003B4337" w:rsidRDefault="005056F3" w:rsidP="00781AE5">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Balanço Patrimoni</w:t>
            </w:r>
            <w:r w:rsidR="00DE4BA0">
              <w:rPr>
                <w:rFonts w:ascii="Arial" w:eastAsia="Times New Roman" w:hAnsi="Arial" w:cs="Arial"/>
                <w:sz w:val="18"/>
                <w:szCs w:val="18"/>
                <w:lang w:eastAsia="pt-BR"/>
              </w:rPr>
              <w:t xml:space="preserve">al (Anexo 14 Lei 4.320/1964) </w:t>
            </w:r>
            <w:r w:rsidRPr="003B4337">
              <w:rPr>
                <w:rFonts w:ascii="Arial" w:eastAsia="Times New Roman" w:hAnsi="Arial" w:cs="Arial"/>
                <w:sz w:val="18"/>
                <w:szCs w:val="18"/>
                <w:lang w:eastAsia="pt-BR"/>
              </w:rPr>
              <w:t xml:space="preserve">e outros quadros elucidativos que se fizerem necessários (Artigo 101 da Lei Federal nº 4.320/64). </w:t>
            </w:r>
            <w:r w:rsidR="00DE4BA0" w:rsidRPr="00DE4BA0">
              <w:rPr>
                <w:rFonts w:ascii="Arial" w:eastAsia="Times New Roman" w:hAnsi="Arial" w:cs="Arial"/>
                <w:sz w:val="18"/>
                <w:szCs w:val="18"/>
                <w:lang w:eastAsia="pt-BR"/>
              </w:rPr>
              <w:t>Este demonstrativo será gerado no mês 13 da prestação de contas mensal e homologado na PCA</w:t>
            </w:r>
            <w:r w:rsidRPr="00DE4BA0">
              <w:rPr>
                <w:rFonts w:ascii="Arial" w:eastAsia="Times New Roman" w:hAnsi="Arial" w:cs="Arial"/>
                <w:sz w:val="18"/>
                <w:szCs w:val="18"/>
                <w:lang w:eastAsia="pt-BR"/>
              </w:rPr>
              <w:t>.</w:t>
            </w:r>
          </w:p>
        </w:tc>
        <w:tc>
          <w:tcPr>
            <w:tcW w:w="993" w:type="dxa"/>
            <w:shd w:val="clear" w:color="auto" w:fill="auto"/>
            <w:vAlign w:val="center"/>
          </w:tcPr>
          <w:p w14:paraId="36818ACD" w14:textId="75E69CBA" w:rsidR="005056F3" w:rsidRPr="00A5490A" w:rsidRDefault="00DE4BA0" w:rsidP="006052E1">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w:t>
            </w:r>
          </w:p>
        </w:tc>
        <w:tc>
          <w:tcPr>
            <w:tcW w:w="992" w:type="dxa"/>
            <w:vAlign w:val="center"/>
          </w:tcPr>
          <w:p w14:paraId="22B6A242" w14:textId="77777777" w:rsidR="005056F3" w:rsidRPr="00CB55B0" w:rsidRDefault="005056F3" w:rsidP="008D41E3">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vAlign w:val="center"/>
          </w:tcPr>
          <w:p w14:paraId="537B71E7" w14:textId="77777777" w:rsidR="005056F3" w:rsidRPr="00CB55B0" w:rsidRDefault="000065F5" w:rsidP="008D41E3">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851" w:type="dxa"/>
            <w:vAlign w:val="center"/>
          </w:tcPr>
          <w:p w14:paraId="41CD8009" w14:textId="77777777" w:rsidR="005056F3" w:rsidRDefault="005056F3" w:rsidP="008D41E3">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850" w:type="dxa"/>
            <w:vAlign w:val="center"/>
          </w:tcPr>
          <w:p w14:paraId="03B5C04D" w14:textId="77777777" w:rsidR="005056F3" w:rsidRDefault="005056F3" w:rsidP="008D41E3">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851" w:type="dxa"/>
            <w:vAlign w:val="center"/>
          </w:tcPr>
          <w:p w14:paraId="6E9EF414" w14:textId="77777777" w:rsidR="005056F3" w:rsidRDefault="005056F3" w:rsidP="008D41E3">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r>
      <w:tr w:rsidR="005056F3" w:rsidRPr="00A5490A" w14:paraId="4BFFD809" w14:textId="77777777" w:rsidTr="000065F5">
        <w:tc>
          <w:tcPr>
            <w:tcW w:w="1294" w:type="dxa"/>
            <w:vAlign w:val="center"/>
          </w:tcPr>
          <w:p w14:paraId="1132BEE9" w14:textId="77777777" w:rsidR="005056F3" w:rsidRPr="00A5490A" w:rsidRDefault="005056F3" w:rsidP="006052E1">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DEMVAP</w:t>
            </w:r>
          </w:p>
        </w:tc>
        <w:tc>
          <w:tcPr>
            <w:tcW w:w="7206" w:type="dxa"/>
            <w:shd w:val="clear" w:color="auto" w:fill="auto"/>
            <w:vAlign w:val="center"/>
          </w:tcPr>
          <w:p w14:paraId="62D2BD5F" w14:textId="0E9936B3" w:rsidR="005056F3" w:rsidRPr="00A5490A" w:rsidRDefault="005056F3" w:rsidP="00DE4BA0">
            <w:p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Demonstração das Variações Patrimon</w:t>
            </w:r>
            <w:r w:rsidR="00DE4BA0">
              <w:rPr>
                <w:rFonts w:ascii="Arial" w:eastAsia="Times New Roman" w:hAnsi="Arial" w:cs="Arial"/>
                <w:sz w:val="18"/>
                <w:szCs w:val="18"/>
                <w:lang w:eastAsia="pt-BR"/>
              </w:rPr>
              <w:t xml:space="preserve">iais (Anexo 15 Lei 4.320/1964) </w:t>
            </w:r>
            <w:r w:rsidRPr="00A5490A">
              <w:rPr>
                <w:rFonts w:ascii="Arial" w:eastAsia="Times New Roman" w:hAnsi="Arial" w:cs="Arial"/>
                <w:sz w:val="18"/>
                <w:szCs w:val="18"/>
                <w:lang w:eastAsia="pt-BR"/>
              </w:rPr>
              <w:t>e outros quadros elucidativos que se fizerem necessários</w:t>
            </w:r>
            <w:r>
              <w:rPr>
                <w:rFonts w:ascii="Arial" w:eastAsia="Times New Roman" w:hAnsi="Arial" w:cs="Arial"/>
                <w:sz w:val="18"/>
                <w:szCs w:val="18"/>
                <w:lang w:eastAsia="pt-BR"/>
              </w:rPr>
              <w:t xml:space="preserve"> </w:t>
            </w:r>
            <w:r w:rsidRPr="00A5490A">
              <w:rPr>
                <w:rFonts w:ascii="Arial" w:eastAsia="Times New Roman" w:hAnsi="Arial" w:cs="Arial"/>
                <w:sz w:val="18"/>
                <w:szCs w:val="18"/>
                <w:lang w:eastAsia="pt-BR"/>
              </w:rPr>
              <w:t>(Artigo 101 da Lei nº 4.320/64)</w:t>
            </w:r>
            <w:r w:rsidR="00DE4BA0">
              <w:rPr>
                <w:rFonts w:ascii="Arial" w:eastAsia="Times New Roman" w:hAnsi="Arial" w:cs="Arial"/>
                <w:sz w:val="18"/>
                <w:szCs w:val="18"/>
                <w:lang w:eastAsia="pt-BR"/>
              </w:rPr>
              <w:t xml:space="preserve">. </w:t>
            </w:r>
            <w:r w:rsidR="00DE4BA0" w:rsidRPr="00B86DBD">
              <w:rPr>
                <w:rFonts w:ascii="Arial" w:eastAsia="Times New Roman" w:hAnsi="Arial" w:cs="Arial"/>
                <w:sz w:val="18"/>
                <w:szCs w:val="18"/>
                <w:lang w:eastAsia="pt-BR"/>
              </w:rPr>
              <w:t>Este demonstrativo será gerado no mês 13 da prestação de contas mensal e homologado na PCA</w:t>
            </w:r>
            <w:r w:rsidRPr="00B86DBD">
              <w:rPr>
                <w:rFonts w:ascii="Arial" w:eastAsia="Times New Roman" w:hAnsi="Arial" w:cs="Arial"/>
                <w:sz w:val="18"/>
                <w:szCs w:val="18"/>
                <w:lang w:eastAsia="pt-BR"/>
              </w:rPr>
              <w:t>.</w:t>
            </w:r>
          </w:p>
        </w:tc>
        <w:tc>
          <w:tcPr>
            <w:tcW w:w="993" w:type="dxa"/>
            <w:shd w:val="clear" w:color="auto" w:fill="auto"/>
            <w:vAlign w:val="center"/>
          </w:tcPr>
          <w:p w14:paraId="49B7BF5A" w14:textId="5029C9C9" w:rsidR="005056F3" w:rsidRPr="00A5490A" w:rsidRDefault="00DE4BA0" w:rsidP="006052E1">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w:t>
            </w:r>
          </w:p>
        </w:tc>
        <w:tc>
          <w:tcPr>
            <w:tcW w:w="992" w:type="dxa"/>
            <w:vAlign w:val="center"/>
          </w:tcPr>
          <w:p w14:paraId="2934B15E" w14:textId="77777777" w:rsidR="005056F3" w:rsidRPr="00CB55B0" w:rsidRDefault="005056F3" w:rsidP="008D41E3">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vAlign w:val="center"/>
          </w:tcPr>
          <w:p w14:paraId="65853C89" w14:textId="77777777" w:rsidR="005056F3" w:rsidRPr="00CB55B0" w:rsidRDefault="000065F5" w:rsidP="008D41E3">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851" w:type="dxa"/>
            <w:vAlign w:val="center"/>
          </w:tcPr>
          <w:p w14:paraId="4370485C" w14:textId="77777777" w:rsidR="005056F3" w:rsidRDefault="005056F3" w:rsidP="008D41E3">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850" w:type="dxa"/>
            <w:vAlign w:val="center"/>
          </w:tcPr>
          <w:p w14:paraId="4594BD2D" w14:textId="77777777" w:rsidR="005056F3" w:rsidRDefault="005056F3" w:rsidP="008D41E3">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851" w:type="dxa"/>
            <w:vAlign w:val="center"/>
          </w:tcPr>
          <w:p w14:paraId="762A3352" w14:textId="77777777" w:rsidR="005056F3" w:rsidRDefault="005056F3" w:rsidP="008D41E3">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r>
      <w:tr w:rsidR="000D0C88" w:rsidRPr="00057F9F" w14:paraId="321E1C93" w14:textId="77777777" w:rsidTr="000065F5">
        <w:trPr>
          <w:trHeight w:val="680"/>
        </w:trPr>
        <w:tc>
          <w:tcPr>
            <w:tcW w:w="1294" w:type="dxa"/>
            <w:vAlign w:val="center"/>
          </w:tcPr>
          <w:p w14:paraId="558E0C3A" w14:textId="61984901" w:rsidR="000D0C88" w:rsidRPr="00057F9F" w:rsidRDefault="000D0C88" w:rsidP="000D0C88">
            <w:pPr>
              <w:spacing w:after="0" w:line="240" w:lineRule="auto"/>
              <w:jc w:val="center"/>
              <w:rPr>
                <w:rFonts w:ascii="Arial" w:eastAsia="Times New Roman" w:hAnsi="Arial" w:cs="Arial"/>
                <w:sz w:val="18"/>
                <w:szCs w:val="18"/>
                <w:lang w:eastAsia="pt-BR"/>
              </w:rPr>
            </w:pPr>
            <w:r w:rsidRPr="00057F9F">
              <w:rPr>
                <w:rFonts w:ascii="Arial" w:eastAsia="Times New Roman" w:hAnsi="Arial" w:cs="Arial"/>
                <w:sz w:val="18"/>
                <w:szCs w:val="18"/>
                <w:lang w:eastAsia="pt-BR"/>
              </w:rPr>
              <w:t>BALVER-ANUAL</w:t>
            </w:r>
          </w:p>
        </w:tc>
        <w:tc>
          <w:tcPr>
            <w:tcW w:w="7206" w:type="dxa"/>
            <w:shd w:val="clear" w:color="auto" w:fill="auto"/>
            <w:vAlign w:val="center"/>
          </w:tcPr>
          <w:p w14:paraId="4577FE83" w14:textId="2A35A0DA" w:rsidR="000D0C88" w:rsidRPr="00057F9F" w:rsidRDefault="000D0C88" w:rsidP="000D0C88">
            <w:pPr>
              <w:spacing w:before="120" w:after="120" w:line="240" w:lineRule="auto"/>
              <w:jc w:val="both"/>
              <w:rPr>
                <w:rFonts w:ascii="Arial" w:eastAsia="Times New Roman" w:hAnsi="Arial" w:cs="Arial"/>
                <w:sz w:val="18"/>
                <w:szCs w:val="18"/>
                <w:lang w:eastAsia="pt-BR"/>
              </w:rPr>
            </w:pPr>
            <w:r w:rsidRPr="00057F9F">
              <w:rPr>
                <w:rFonts w:ascii="Arial" w:eastAsia="Times New Roman" w:hAnsi="Arial" w:cs="Arial"/>
                <w:sz w:val="18"/>
                <w:szCs w:val="18"/>
                <w:lang w:eastAsia="pt-BR"/>
              </w:rPr>
              <w:t>Balancete de veri</w:t>
            </w:r>
            <w:r w:rsidRPr="00057F9F">
              <w:rPr>
                <w:rFonts w:ascii="Arial" w:hAnsi="Arial" w:cs="Arial"/>
                <w:sz w:val="18"/>
                <w:szCs w:val="18"/>
              </w:rPr>
              <w:t>ficação</w:t>
            </w:r>
            <w:r w:rsidRPr="00057F9F">
              <w:rPr>
                <w:rFonts w:ascii="Arial" w:eastAsia="Times New Roman" w:hAnsi="Arial" w:cs="Arial"/>
                <w:sz w:val="18"/>
                <w:szCs w:val="18"/>
                <w:lang w:eastAsia="pt-BR"/>
              </w:rPr>
              <w:t>, com saldos acumulados no exercício, detalhado até o nível de conta contábil de lançamento, abrangendo todas as contas contábeis com movimentação no exercício, segregadas por natureza da informação patrimonial, orçamentária e de controle, informando o saldo anterior, o total a débito, o total a crédito e o saldo final. Este balancete será gerado e homologado no mês 13 da prestação de contas mensal.</w:t>
            </w:r>
          </w:p>
        </w:tc>
        <w:tc>
          <w:tcPr>
            <w:tcW w:w="993" w:type="dxa"/>
            <w:shd w:val="clear" w:color="auto" w:fill="auto"/>
            <w:vAlign w:val="center"/>
          </w:tcPr>
          <w:p w14:paraId="276BC195" w14:textId="66689DD7" w:rsidR="000D0C88" w:rsidRPr="00057F9F" w:rsidRDefault="000D0C88" w:rsidP="000D0C88">
            <w:pPr>
              <w:spacing w:after="0" w:line="240" w:lineRule="auto"/>
              <w:jc w:val="center"/>
              <w:rPr>
                <w:rFonts w:ascii="Arial" w:eastAsia="Times New Roman" w:hAnsi="Arial" w:cs="Arial"/>
                <w:sz w:val="14"/>
                <w:szCs w:val="14"/>
                <w:lang w:eastAsia="pt-BR"/>
              </w:rPr>
            </w:pPr>
            <w:r w:rsidRPr="00057F9F">
              <w:rPr>
                <w:rFonts w:ascii="Arial" w:eastAsia="Times New Roman" w:hAnsi="Arial" w:cs="Arial"/>
                <w:sz w:val="14"/>
                <w:szCs w:val="14"/>
                <w:lang w:eastAsia="pt-BR"/>
              </w:rPr>
              <w:t>-</w:t>
            </w:r>
          </w:p>
        </w:tc>
        <w:tc>
          <w:tcPr>
            <w:tcW w:w="992" w:type="dxa"/>
            <w:vAlign w:val="center"/>
          </w:tcPr>
          <w:p w14:paraId="6BEE2A5F" w14:textId="567C285B" w:rsidR="000D0C88" w:rsidRPr="00057F9F" w:rsidRDefault="000D0C88" w:rsidP="000D0C88">
            <w:pPr>
              <w:spacing w:after="0" w:line="240" w:lineRule="auto"/>
              <w:jc w:val="center"/>
              <w:rPr>
                <w:rFonts w:ascii="Arial" w:eastAsia="Times New Roman" w:hAnsi="Arial" w:cs="Arial"/>
                <w:sz w:val="14"/>
                <w:szCs w:val="14"/>
                <w:lang w:eastAsia="pt-BR"/>
              </w:rPr>
            </w:pPr>
            <w:r w:rsidRPr="00057F9F">
              <w:rPr>
                <w:rFonts w:ascii="Arial" w:eastAsia="Times New Roman" w:hAnsi="Arial" w:cs="Arial"/>
                <w:sz w:val="14"/>
                <w:szCs w:val="14"/>
                <w:lang w:eastAsia="pt-BR"/>
              </w:rPr>
              <w:t>X</w:t>
            </w:r>
          </w:p>
        </w:tc>
        <w:tc>
          <w:tcPr>
            <w:tcW w:w="992" w:type="dxa"/>
            <w:vAlign w:val="center"/>
          </w:tcPr>
          <w:p w14:paraId="2ADC7606" w14:textId="7425106F" w:rsidR="000D0C88" w:rsidRPr="00057F9F" w:rsidRDefault="000D0C88" w:rsidP="000D0C88">
            <w:pPr>
              <w:spacing w:after="0" w:line="240" w:lineRule="auto"/>
              <w:jc w:val="center"/>
              <w:rPr>
                <w:rFonts w:ascii="Arial" w:eastAsia="Times New Roman" w:hAnsi="Arial" w:cs="Arial"/>
                <w:sz w:val="14"/>
                <w:szCs w:val="14"/>
                <w:lang w:eastAsia="pt-BR"/>
              </w:rPr>
            </w:pPr>
            <w:r w:rsidRPr="00057F9F">
              <w:rPr>
                <w:rFonts w:ascii="Arial" w:eastAsia="Times New Roman" w:hAnsi="Arial" w:cs="Arial"/>
                <w:sz w:val="14"/>
                <w:szCs w:val="14"/>
                <w:lang w:eastAsia="pt-BR"/>
              </w:rPr>
              <w:t>X</w:t>
            </w:r>
          </w:p>
        </w:tc>
        <w:tc>
          <w:tcPr>
            <w:tcW w:w="851" w:type="dxa"/>
            <w:vAlign w:val="center"/>
          </w:tcPr>
          <w:p w14:paraId="66A8933A" w14:textId="4CF4694F" w:rsidR="000D0C88" w:rsidRPr="00057F9F" w:rsidRDefault="000D0C88" w:rsidP="000D0C88">
            <w:pPr>
              <w:spacing w:after="0" w:line="240" w:lineRule="auto"/>
              <w:jc w:val="center"/>
              <w:rPr>
                <w:rFonts w:ascii="Arial" w:eastAsia="Times New Roman" w:hAnsi="Arial" w:cs="Arial"/>
                <w:sz w:val="14"/>
                <w:szCs w:val="14"/>
                <w:lang w:eastAsia="pt-BR"/>
              </w:rPr>
            </w:pPr>
            <w:r w:rsidRPr="00057F9F">
              <w:rPr>
                <w:rFonts w:ascii="Arial" w:eastAsia="Times New Roman" w:hAnsi="Arial" w:cs="Arial"/>
                <w:sz w:val="14"/>
                <w:szCs w:val="14"/>
                <w:lang w:eastAsia="pt-BR"/>
              </w:rPr>
              <w:t>X</w:t>
            </w:r>
          </w:p>
        </w:tc>
        <w:tc>
          <w:tcPr>
            <w:tcW w:w="850" w:type="dxa"/>
            <w:vAlign w:val="center"/>
          </w:tcPr>
          <w:p w14:paraId="6C250A1C" w14:textId="5778E69F" w:rsidR="000D0C88" w:rsidRPr="00057F9F" w:rsidRDefault="000D0C88" w:rsidP="000D0C88">
            <w:pPr>
              <w:spacing w:after="0" w:line="240" w:lineRule="auto"/>
              <w:jc w:val="center"/>
              <w:rPr>
                <w:rFonts w:ascii="Arial" w:eastAsia="Times New Roman" w:hAnsi="Arial" w:cs="Arial"/>
                <w:sz w:val="14"/>
                <w:szCs w:val="14"/>
                <w:lang w:eastAsia="pt-BR"/>
              </w:rPr>
            </w:pPr>
            <w:r w:rsidRPr="00057F9F">
              <w:rPr>
                <w:rFonts w:ascii="Arial" w:eastAsia="Times New Roman" w:hAnsi="Arial" w:cs="Arial"/>
                <w:sz w:val="14"/>
                <w:szCs w:val="14"/>
                <w:lang w:eastAsia="pt-BR"/>
              </w:rPr>
              <w:t>X</w:t>
            </w:r>
          </w:p>
        </w:tc>
        <w:tc>
          <w:tcPr>
            <w:tcW w:w="851" w:type="dxa"/>
            <w:vAlign w:val="center"/>
          </w:tcPr>
          <w:p w14:paraId="6401BF8B" w14:textId="54344351" w:rsidR="000D0C88" w:rsidRPr="00057F9F" w:rsidRDefault="000D0C88" w:rsidP="000D0C88">
            <w:pPr>
              <w:spacing w:after="0" w:line="240" w:lineRule="auto"/>
              <w:jc w:val="center"/>
              <w:rPr>
                <w:rFonts w:ascii="Arial" w:eastAsia="Times New Roman" w:hAnsi="Arial" w:cs="Arial"/>
                <w:sz w:val="14"/>
                <w:szCs w:val="14"/>
                <w:lang w:eastAsia="pt-BR"/>
              </w:rPr>
            </w:pPr>
            <w:r w:rsidRPr="00057F9F">
              <w:rPr>
                <w:rFonts w:ascii="Arial" w:eastAsia="Times New Roman" w:hAnsi="Arial" w:cs="Arial"/>
                <w:sz w:val="14"/>
                <w:szCs w:val="14"/>
                <w:lang w:eastAsia="pt-BR"/>
              </w:rPr>
              <w:t>X</w:t>
            </w:r>
          </w:p>
        </w:tc>
      </w:tr>
      <w:tr w:rsidR="000D0C88" w:rsidRPr="00057F9F" w14:paraId="64310DBD" w14:textId="77777777" w:rsidTr="000065F5">
        <w:trPr>
          <w:trHeight w:val="680"/>
        </w:trPr>
        <w:tc>
          <w:tcPr>
            <w:tcW w:w="1294" w:type="dxa"/>
            <w:vAlign w:val="center"/>
          </w:tcPr>
          <w:p w14:paraId="28944B9E" w14:textId="283FE9E9" w:rsidR="000D0C88" w:rsidRPr="00057F9F" w:rsidRDefault="000D0C88" w:rsidP="000D0C88">
            <w:pPr>
              <w:spacing w:after="0" w:line="240" w:lineRule="auto"/>
              <w:jc w:val="center"/>
              <w:rPr>
                <w:rFonts w:ascii="Arial" w:eastAsia="Times New Roman" w:hAnsi="Arial" w:cs="Arial"/>
                <w:sz w:val="18"/>
                <w:szCs w:val="18"/>
                <w:lang w:eastAsia="pt-BR"/>
              </w:rPr>
            </w:pPr>
            <w:r w:rsidRPr="00057F9F">
              <w:rPr>
                <w:rFonts w:ascii="Arial" w:eastAsia="Times New Roman" w:hAnsi="Arial" w:cs="Arial"/>
                <w:sz w:val="18"/>
                <w:szCs w:val="18"/>
                <w:lang w:eastAsia="pt-BR"/>
              </w:rPr>
              <w:lastRenderedPageBreak/>
              <w:t>BALEXOR</w:t>
            </w:r>
          </w:p>
        </w:tc>
        <w:tc>
          <w:tcPr>
            <w:tcW w:w="7206" w:type="dxa"/>
            <w:shd w:val="clear" w:color="auto" w:fill="auto"/>
            <w:vAlign w:val="center"/>
          </w:tcPr>
          <w:p w14:paraId="5C25BD05" w14:textId="00130E98" w:rsidR="000D0C88" w:rsidRPr="00057F9F" w:rsidRDefault="000D0C88" w:rsidP="000D0C88">
            <w:pPr>
              <w:spacing w:before="120" w:after="120" w:line="240" w:lineRule="auto"/>
              <w:jc w:val="both"/>
              <w:rPr>
                <w:rFonts w:ascii="Arial" w:eastAsia="Times New Roman" w:hAnsi="Arial" w:cs="Arial"/>
                <w:sz w:val="18"/>
                <w:szCs w:val="18"/>
                <w:lang w:eastAsia="pt-BR"/>
              </w:rPr>
            </w:pPr>
            <w:r w:rsidRPr="00057F9F">
              <w:rPr>
                <w:rFonts w:ascii="Arial" w:eastAsia="Times New Roman" w:hAnsi="Arial" w:cs="Arial"/>
                <w:sz w:val="18"/>
                <w:szCs w:val="18"/>
                <w:lang w:eastAsia="pt-BR"/>
              </w:rPr>
              <w:t>Balancete da execução orçamentária da receita, consolidado e acumulado até o mês de dezembro, demonstrando a previsão inicial, a previsão atualizada, a arrecadação orçamentária e a fonte de recursos. Este balancete será gerado e homologado no mês 12 da prestação de contas mensal.</w:t>
            </w:r>
          </w:p>
        </w:tc>
        <w:tc>
          <w:tcPr>
            <w:tcW w:w="993" w:type="dxa"/>
            <w:shd w:val="clear" w:color="auto" w:fill="auto"/>
            <w:vAlign w:val="center"/>
          </w:tcPr>
          <w:p w14:paraId="2ED153BE" w14:textId="2D976757" w:rsidR="000D0C88" w:rsidRPr="00057F9F" w:rsidRDefault="000D0C88" w:rsidP="000D0C88">
            <w:pPr>
              <w:spacing w:after="0" w:line="240" w:lineRule="auto"/>
              <w:jc w:val="center"/>
              <w:rPr>
                <w:rFonts w:ascii="Arial" w:eastAsia="Times New Roman" w:hAnsi="Arial" w:cs="Arial"/>
                <w:sz w:val="14"/>
                <w:szCs w:val="14"/>
                <w:lang w:eastAsia="pt-BR"/>
              </w:rPr>
            </w:pPr>
            <w:r w:rsidRPr="00057F9F">
              <w:rPr>
                <w:rFonts w:ascii="Arial" w:eastAsia="Times New Roman" w:hAnsi="Arial" w:cs="Arial"/>
                <w:sz w:val="14"/>
                <w:szCs w:val="14"/>
                <w:lang w:eastAsia="pt-BR"/>
              </w:rPr>
              <w:t>-</w:t>
            </w:r>
          </w:p>
        </w:tc>
        <w:tc>
          <w:tcPr>
            <w:tcW w:w="992" w:type="dxa"/>
            <w:vAlign w:val="center"/>
          </w:tcPr>
          <w:p w14:paraId="2F865B38" w14:textId="24643BA4" w:rsidR="000D0C88" w:rsidRPr="00057F9F" w:rsidRDefault="000D0C88" w:rsidP="000D0C88">
            <w:pPr>
              <w:spacing w:after="0" w:line="240" w:lineRule="auto"/>
              <w:jc w:val="center"/>
              <w:rPr>
                <w:rFonts w:ascii="Arial" w:eastAsia="Times New Roman" w:hAnsi="Arial" w:cs="Arial"/>
                <w:sz w:val="14"/>
                <w:szCs w:val="14"/>
                <w:lang w:eastAsia="pt-BR"/>
              </w:rPr>
            </w:pPr>
            <w:r w:rsidRPr="00057F9F">
              <w:rPr>
                <w:rFonts w:ascii="Arial" w:eastAsia="Times New Roman" w:hAnsi="Arial" w:cs="Arial"/>
                <w:sz w:val="14"/>
                <w:szCs w:val="14"/>
                <w:lang w:eastAsia="pt-BR"/>
              </w:rPr>
              <w:t>X</w:t>
            </w:r>
          </w:p>
        </w:tc>
        <w:tc>
          <w:tcPr>
            <w:tcW w:w="992" w:type="dxa"/>
            <w:vAlign w:val="center"/>
          </w:tcPr>
          <w:p w14:paraId="506639DA" w14:textId="3450BD8C" w:rsidR="000D0C88" w:rsidRPr="00057F9F" w:rsidRDefault="000D0C88" w:rsidP="000D0C88">
            <w:pPr>
              <w:spacing w:after="0" w:line="240" w:lineRule="auto"/>
              <w:jc w:val="center"/>
              <w:rPr>
                <w:rFonts w:ascii="Arial" w:eastAsia="Times New Roman" w:hAnsi="Arial" w:cs="Arial"/>
                <w:sz w:val="14"/>
                <w:szCs w:val="14"/>
                <w:lang w:eastAsia="pt-BR"/>
              </w:rPr>
            </w:pPr>
            <w:r w:rsidRPr="00057F9F">
              <w:rPr>
                <w:rFonts w:ascii="Arial" w:eastAsia="Times New Roman" w:hAnsi="Arial" w:cs="Arial"/>
                <w:sz w:val="14"/>
                <w:szCs w:val="14"/>
                <w:lang w:eastAsia="pt-BR"/>
              </w:rPr>
              <w:t>X</w:t>
            </w:r>
          </w:p>
        </w:tc>
        <w:tc>
          <w:tcPr>
            <w:tcW w:w="851" w:type="dxa"/>
            <w:vAlign w:val="center"/>
          </w:tcPr>
          <w:p w14:paraId="7CC6371C" w14:textId="18847BD4" w:rsidR="000D0C88" w:rsidRPr="00057F9F" w:rsidRDefault="000D0C88" w:rsidP="000D0C88">
            <w:pPr>
              <w:spacing w:after="0" w:line="240" w:lineRule="auto"/>
              <w:jc w:val="center"/>
              <w:rPr>
                <w:rFonts w:ascii="Arial" w:eastAsia="Times New Roman" w:hAnsi="Arial" w:cs="Arial"/>
                <w:sz w:val="14"/>
                <w:szCs w:val="14"/>
                <w:lang w:eastAsia="pt-BR"/>
              </w:rPr>
            </w:pPr>
            <w:r w:rsidRPr="00057F9F">
              <w:rPr>
                <w:rFonts w:ascii="Arial" w:eastAsia="Times New Roman" w:hAnsi="Arial" w:cs="Arial"/>
                <w:sz w:val="14"/>
                <w:szCs w:val="14"/>
                <w:lang w:eastAsia="pt-BR"/>
              </w:rPr>
              <w:t>X</w:t>
            </w:r>
          </w:p>
        </w:tc>
        <w:tc>
          <w:tcPr>
            <w:tcW w:w="850" w:type="dxa"/>
            <w:vAlign w:val="center"/>
          </w:tcPr>
          <w:p w14:paraId="5B3D21FC" w14:textId="2D8F30EF" w:rsidR="000D0C88" w:rsidRPr="00057F9F" w:rsidRDefault="000D0C88" w:rsidP="000D0C88">
            <w:pPr>
              <w:spacing w:after="0" w:line="240" w:lineRule="auto"/>
              <w:jc w:val="center"/>
              <w:rPr>
                <w:rFonts w:ascii="Arial" w:eastAsia="Times New Roman" w:hAnsi="Arial" w:cs="Arial"/>
                <w:sz w:val="14"/>
                <w:szCs w:val="14"/>
                <w:lang w:eastAsia="pt-BR"/>
              </w:rPr>
            </w:pPr>
            <w:r w:rsidRPr="00057F9F">
              <w:rPr>
                <w:rFonts w:ascii="Arial" w:eastAsia="Times New Roman" w:hAnsi="Arial" w:cs="Arial"/>
                <w:sz w:val="14"/>
                <w:szCs w:val="14"/>
                <w:lang w:eastAsia="pt-BR"/>
              </w:rPr>
              <w:t>X</w:t>
            </w:r>
          </w:p>
        </w:tc>
        <w:tc>
          <w:tcPr>
            <w:tcW w:w="851" w:type="dxa"/>
            <w:vAlign w:val="center"/>
          </w:tcPr>
          <w:p w14:paraId="534DA147" w14:textId="69550E26" w:rsidR="000D0C88" w:rsidRPr="00057F9F" w:rsidRDefault="000D0C88" w:rsidP="000D0C88">
            <w:pPr>
              <w:spacing w:after="0" w:line="240" w:lineRule="auto"/>
              <w:jc w:val="center"/>
              <w:rPr>
                <w:rFonts w:ascii="Arial" w:eastAsia="Times New Roman" w:hAnsi="Arial" w:cs="Arial"/>
                <w:sz w:val="14"/>
                <w:szCs w:val="14"/>
                <w:lang w:eastAsia="pt-BR"/>
              </w:rPr>
            </w:pPr>
            <w:r w:rsidRPr="00057F9F">
              <w:rPr>
                <w:rFonts w:ascii="Arial" w:eastAsia="Times New Roman" w:hAnsi="Arial" w:cs="Arial"/>
                <w:sz w:val="14"/>
                <w:szCs w:val="14"/>
                <w:lang w:eastAsia="pt-BR"/>
              </w:rPr>
              <w:t>X</w:t>
            </w:r>
          </w:p>
        </w:tc>
      </w:tr>
      <w:tr w:rsidR="000D0C88" w:rsidRPr="00057F9F" w14:paraId="48C4BFE5" w14:textId="77777777" w:rsidTr="000065F5">
        <w:trPr>
          <w:trHeight w:val="680"/>
        </w:trPr>
        <w:tc>
          <w:tcPr>
            <w:tcW w:w="1294" w:type="dxa"/>
            <w:vAlign w:val="center"/>
          </w:tcPr>
          <w:p w14:paraId="06866274" w14:textId="54A2920B" w:rsidR="000D0C88" w:rsidRPr="00057F9F" w:rsidRDefault="000D0C88" w:rsidP="000D0C88">
            <w:pPr>
              <w:spacing w:after="0" w:line="240" w:lineRule="auto"/>
              <w:jc w:val="center"/>
              <w:rPr>
                <w:rFonts w:ascii="Arial" w:eastAsia="Times New Roman" w:hAnsi="Arial" w:cs="Arial"/>
                <w:sz w:val="18"/>
                <w:szCs w:val="18"/>
                <w:lang w:eastAsia="pt-BR"/>
              </w:rPr>
            </w:pPr>
            <w:r w:rsidRPr="00057F9F">
              <w:rPr>
                <w:rFonts w:ascii="Arial" w:eastAsia="Times New Roman" w:hAnsi="Arial" w:cs="Arial"/>
                <w:sz w:val="18"/>
                <w:szCs w:val="18"/>
                <w:lang w:eastAsia="pt-BR"/>
              </w:rPr>
              <w:t>BALEXOD</w:t>
            </w:r>
          </w:p>
        </w:tc>
        <w:tc>
          <w:tcPr>
            <w:tcW w:w="7206" w:type="dxa"/>
            <w:shd w:val="clear" w:color="auto" w:fill="auto"/>
            <w:vAlign w:val="center"/>
          </w:tcPr>
          <w:p w14:paraId="6C7BAAF8" w14:textId="5830B593" w:rsidR="000D0C88" w:rsidRPr="00057F9F" w:rsidRDefault="000D0C88" w:rsidP="000D0C88">
            <w:pPr>
              <w:spacing w:before="120" w:after="120" w:line="240" w:lineRule="auto"/>
              <w:jc w:val="both"/>
              <w:rPr>
                <w:rFonts w:ascii="Arial" w:eastAsia="Times New Roman" w:hAnsi="Arial" w:cs="Arial"/>
                <w:sz w:val="18"/>
                <w:szCs w:val="18"/>
                <w:lang w:eastAsia="pt-BR"/>
              </w:rPr>
            </w:pPr>
            <w:r w:rsidRPr="00057F9F">
              <w:rPr>
                <w:rFonts w:ascii="Arial" w:eastAsia="Times New Roman" w:hAnsi="Arial" w:cs="Arial"/>
                <w:sz w:val="18"/>
                <w:szCs w:val="18"/>
                <w:lang w:eastAsia="pt-BR"/>
              </w:rPr>
              <w:t>Balancete da execução orçamentária da despesa, acumulado até o mês de dezembro, demonstrando a fixação orçamentária da despesa, a movimentação dos créditos adicionais, os valores empenhados, liquidados e pagos, e a fonte de recursos. Este balancete será gerado e homologado no mês 12 da prestação de contas mensal.</w:t>
            </w:r>
          </w:p>
        </w:tc>
        <w:tc>
          <w:tcPr>
            <w:tcW w:w="993" w:type="dxa"/>
            <w:shd w:val="clear" w:color="auto" w:fill="auto"/>
            <w:vAlign w:val="center"/>
          </w:tcPr>
          <w:p w14:paraId="5F5ADA16" w14:textId="3328283F" w:rsidR="000D0C88" w:rsidRPr="00057F9F" w:rsidRDefault="000D0C88" w:rsidP="000D0C88">
            <w:pPr>
              <w:spacing w:after="0" w:line="240" w:lineRule="auto"/>
              <w:jc w:val="center"/>
              <w:rPr>
                <w:rFonts w:ascii="Arial" w:eastAsia="Times New Roman" w:hAnsi="Arial" w:cs="Arial"/>
                <w:sz w:val="14"/>
                <w:szCs w:val="14"/>
                <w:lang w:eastAsia="pt-BR"/>
              </w:rPr>
            </w:pPr>
            <w:r w:rsidRPr="00057F9F">
              <w:rPr>
                <w:rFonts w:ascii="Arial" w:eastAsia="Times New Roman" w:hAnsi="Arial" w:cs="Arial"/>
                <w:sz w:val="14"/>
                <w:szCs w:val="14"/>
                <w:lang w:eastAsia="pt-BR"/>
              </w:rPr>
              <w:t>-</w:t>
            </w:r>
          </w:p>
        </w:tc>
        <w:tc>
          <w:tcPr>
            <w:tcW w:w="992" w:type="dxa"/>
            <w:vAlign w:val="center"/>
          </w:tcPr>
          <w:p w14:paraId="3B6D70B5" w14:textId="269CB894" w:rsidR="000D0C88" w:rsidRPr="00057F9F" w:rsidRDefault="000D0C88" w:rsidP="000D0C88">
            <w:pPr>
              <w:spacing w:after="0" w:line="240" w:lineRule="auto"/>
              <w:jc w:val="center"/>
              <w:rPr>
                <w:rFonts w:ascii="Arial" w:eastAsia="Times New Roman" w:hAnsi="Arial" w:cs="Arial"/>
                <w:sz w:val="14"/>
                <w:szCs w:val="14"/>
                <w:lang w:eastAsia="pt-BR"/>
              </w:rPr>
            </w:pPr>
            <w:r w:rsidRPr="00057F9F">
              <w:rPr>
                <w:rFonts w:ascii="Arial" w:eastAsia="Times New Roman" w:hAnsi="Arial" w:cs="Arial"/>
                <w:sz w:val="14"/>
                <w:szCs w:val="14"/>
                <w:lang w:eastAsia="pt-BR"/>
              </w:rPr>
              <w:t>X</w:t>
            </w:r>
          </w:p>
        </w:tc>
        <w:tc>
          <w:tcPr>
            <w:tcW w:w="992" w:type="dxa"/>
            <w:vAlign w:val="center"/>
          </w:tcPr>
          <w:p w14:paraId="7089AD1D" w14:textId="6561C860" w:rsidR="000D0C88" w:rsidRPr="00057F9F" w:rsidRDefault="000D0C88" w:rsidP="000D0C88">
            <w:pPr>
              <w:spacing w:after="0" w:line="240" w:lineRule="auto"/>
              <w:jc w:val="center"/>
              <w:rPr>
                <w:rFonts w:ascii="Arial" w:eastAsia="Times New Roman" w:hAnsi="Arial" w:cs="Arial"/>
                <w:sz w:val="14"/>
                <w:szCs w:val="14"/>
                <w:lang w:eastAsia="pt-BR"/>
              </w:rPr>
            </w:pPr>
            <w:r w:rsidRPr="00057F9F">
              <w:rPr>
                <w:rFonts w:ascii="Arial" w:eastAsia="Times New Roman" w:hAnsi="Arial" w:cs="Arial"/>
                <w:sz w:val="14"/>
                <w:szCs w:val="14"/>
                <w:lang w:eastAsia="pt-BR"/>
              </w:rPr>
              <w:t>X</w:t>
            </w:r>
          </w:p>
        </w:tc>
        <w:tc>
          <w:tcPr>
            <w:tcW w:w="851" w:type="dxa"/>
            <w:vAlign w:val="center"/>
          </w:tcPr>
          <w:p w14:paraId="6CC317CF" w14:textId="7350F712" w:rsidR="000D0C88" w:rsidRPr="00057F9F" w:rsidRDefault="000D0C88" w:rsidP="000D0C88">
            <w:pPr>
              <w:spacing w:after="0" w:line="240" w:lineRule="auto"/>
              <w:jc w:val="center"/>
              <w:rPr>
                <w:rFonts w:ascii="Arial" w:eastAsia="Times New Roman" w:hAnsi="Arial" w:cs="Arial"/>
                <w:sz w:val="14"/>
                <w:szCs w:val="14"/>
                <w:lang w:eastAsia="pt-BR"/>
              </w:rPr>
            </w:pPr>
            <w:r w:rsidRPr="00057F9F">
              <w:rPr>
                <w:rFonts w:ascii="Arial" w:eastAsia="Times New Roman" w:hAnsi="Arial" w:cs="Arial"/>
                <w:sz w:val="14"/>
                <w:szCs w:val="14"/>
                <w:lang w:eastAsia="pt-BR"/>
              </w:rPr>
              <w:t>X</w:t>
            </w:r>
          </w:p>
        </w:tc>
        <w:tc>
          <w:tcPr>
            <w:tcW w:w="850" w:type="dxa"/>
            <w:vAlign w:val="center"/>
          </w:tcPr>
          <w:p w14:paraId="13755E28" w14:textId="04235279" w:rsidR="000D0C88" w:rsidRPr="00057F9F" w:rsidRDefault="000D0C88" w:rsidP="000D0C88">
            <w:pPr>
              <w:spacing w:after="0" w:line="240" w:lineRule="auto"/>
              <w:jc w:val="center"/>
              <w:rPr>
                <w:rFonts w:ascii="Arial" w:eastAsia="Times New Roman" w:hAnsi="Arial" w:cs="Arial"/>
                <w:sz w:val="14"/>
                <w:szCs w:val="14"/>
                <w:lang w:eastAsia="pt-BR"/>
              </w:rPr>
            </w:pPr>
            <w:r w:rsidRPr="00057F9F">
              <w:rPr>
                <w:rFonts w:ascii="Arial" w:eastAsia="Times New Roman" w:hAnsi="Arial" w:cs="Arial"/>
                <w:sz w:val="14"/>
                <w:szCs w:val="14"/>
                <w:lang w:eastAsia="pt-BR"/>
              </w:rPr>
              <w:t>X</w:t>
            </w:r>
          </w:p>
        </w:tc>
        <w:tc>
          <w:tcPr>
            <w:tcW w:w="851" w:type="dxa"/>
            <w:vAlign w:val="center"/>
          </w:tcPr>
          <w:p w14:paraId="18A9E50C" w14:textId="5A1F92D8" w:rsidR="000D0C88" w:rsidRPr="00057F9F" w:rsidRDefault="000D0C88" w:rsidP="000D0C88">
            <w:pPr>
              <w:spacing w:after="0" w:line="240" w:lineRule="auto"/>
              <w:jc w:val="center"/>
              <w:rPr>
                <w:rFonts w:ascii="Arial" w:eastAsia="Times New Roman" w:hAnsi="Arial" w:cs="Arial"/>
                <w:sz w:val="14"/>
                <w:szCs w:val="14"/>
                <w:lang w:eastAsia="pt-BR"/>
              </w:rPr>
            </w:pPr>
            <w:r w:rsidRPr="00057F9F">
              <w:rPr>
                <w:rFonts w:ascii="Arial" w:eastAsia="Times New Roman" w:hAnsi="Arial" w:cs="Arial"/>
                <w:sz w:val="14"/>
                <w:szCs w:val="14"/>
                <w:lang w:eastAsia="pt-BR"/>
              </w:rPr>
              <w:t>X</w:t>
            </w:r>
          </w:p>
        </w:tc>
      </w:tr>
      <w:tr w:rsidR="000D0C88" w:rsidRPr="00A5490A" w14:paraId="49282A20" w14:textId="77777777" w:rsidTr="000065F5">
        <w:trPr>
          <w:trHeight w:val="680"/>
        </w:trPr>
        <w:tc>
          <w:tcPr>
            <w:tcW w:w="1294" w:type="dxa"/>
            <w:vAlign w:val="center"/>
          </w:tcPr>
          <w:p w14:paraId="310FA5DD" w14:textId="77777777" w:rsidR="000D0C88" w:rsidRPr="00AD3F82" w:rsidRDefault="000D0C88" w:rsidP="000D0C88">
            <w:pPr>
              <w:spacing w:after="0" w:line="240" w:lineRule="auto"/>
              <w:jc w:val="center"/>
              <w:rPr>
                <w:rFonts w:ascii="Arial" w:eastAsia="Times New Roman" w:hAnsi="Arial" w:cs="Arial"/>
                <w:sz w:val="18"/>
                <w:szCs w:val="18"/>
                <w:lang w:eastAsia="pt-BR"/>
              </w:rPr>
            </w:pPr>
            <w:r w:rsidRPr="00AD3F82">
              <w:rPr>
                <w:rFonts w:ascii="Arial" w:eastAsia="Times New Roman" w:hAnsi="Arial" w:cs="Arial"/>
                <w:sz w:val="18"/>
                <w:szCs w:val="18"/>
                <w:lang w:eastAsia="pt-BR"/>
              </w:rPr>
              <w:t>DEMDIFD</w:t>
            </w:r>
          </w:p>
        </w:tc>
        <w:tc>
          <w:tcPr>
            <w:tcW w:w="7206" w:type="dxa"/>
            <w:shd w:val="clear" w:color="auto" w:fill="auto"/>
            <w:vAlign w:val="center"/>
          </w:tcPr>
          <w:p w14:paraId="405AEBE6" w14:textId="575FED0E" w:rsidR="000D0C88" w:rsidRPr="00AD3F82" w:rsidRDefault="000D0C88" w:rsidP="00C30522">
            <w:pPr>
              <w:spacing w:before="120" w:after="120" w:line="240" w:lineRule="auto"/>
              <w:jc w:val="both"/>
              <w:rPr>
                <w:rFonts w:ascii="Arial" w:eastAsia="Times New Roman" w:hAnsi="Arial" w:cs="Arial"/>
                <w:sz w:val="18"/>
                <w:szCs w:val="18"/>
                <w:lang w:eastAsia="pt-BR"/>
              </w:rPr>
            </w:pPr>
            <w:r w:rsidRPr="00AD3F82">
              <w:rPr>
                <w:rFonts w:ascii="Arial" w:eastAsia="Times New Roman" w:hAnsi="Arial" w:cs="Arial"/>
                <w:sz w:val="18"/>
                <w:szCs w:val="18"/>
                <w:lang w:eastAsia="pt-BR"/>
              </w:rPr>
              <w:t xml:space="preserve">Demonstrativo da Dívida Fundada (Anexo 16 Lei 4.320/1964), acompanhado de notas explicativas e outros quadros elucidativos que se fizerem necessários. (Artigo 101 da Lei Federal nº 4.320/64). Estrutura e layout constantes do item </w:t>
            </w:r>
            <w:r w:rsidR="00C30522">
              <w:rPr>
                <w:rFonts w:ascii="Arial" w:eastAsia="Times New Roman" w:hAnsi="Arial" w:cs="Arial"/>
                <w:sz w:val="18"/>
                <w:szCs w:val="18"/>
                <w:lang w:eastAsia="pt-BR"/>
              </w:rPr>
              <w:t>3.1</w:t>
            </w:r>
            <w:r w:rsidRPr="00AD3F82">
              <w:rPr>
                <w:rFonts w:ascii="Arial" w:eastAsia="Times New Roman" w:hAnsi="Arial" w:cs="Arial"/>
                <w:sz w:val="18"/>
                <w:szCs w:val="18"/>
                <w:lang w:eastAsia="pt-BR"/>
              </w:rPr>
              <w:t xml:space="preserve"> deste Anexo.</w:t>
            </w:r>
          </w:p>
        </w:tc>
        <w:tc>
          <w:tcPr>
            <w:tcW w:w="993" w:type="dxa"/>
            <w:shd w:val="clear" w:color="auto" w:fill="auto"/>
            <w:vAlign w:val="center"/>
          </w:tcPr>
          <w:p w14:paraId="7B189D82" w14:textId="77777777" w:rsidR="000D0C88" w:rsidRPr="00AD3F82" w:rsidRDefault="000D0C88" w:rsidP="000D0C88">
            <w:pPr>
              <w:spacing w:after="0" w:line="240" w:lineRule="auto"/>
              <w:jc w:val="center"/>
              <w:rPr>
                <w:rFonts w:ascii="Arial" w:eastAsia="Times New Roman" w:hAnsi="Arial" w:cs="Arial"/>
                <w:sz w:val="14"/>
                <w:szCs w:val="14"/>
                <w:lang w:eastAsia="pt-BR"/>
              </w:rPr>
            </w:pPr>
            <w:r w:rsidRPr="00AD3F82">
              <w:rPr>
                <w:rFonts w:ascii="Arial" w:eastAsia="Times New Roman" w:hAnsi="Arial" w:cs="Arial"/>
                <w:sz w:val="14"/>
                <w:szCs w:val="14"/>
                <w:lang w:eastAsia="pt-BR"/>
              </w:rPr>
              <w:t>XML</w:t>
            </w:r>
          </w:p>
        </w:tc>
        <w:tc>
          <w:tcPr>
            <w:tcW w:w="992" w:type="dxa"/>
            <w:vAlign w:val="center"/>
          </w:tcPr>
          <w:p w14:paraId="7A5F84F3" w14:textId="77777777" w:rsidR="000D0C88" w:rsidRPr="00CB55B0" w:rsidRDefault="000D0C88" w:rsidP="000D0C88">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vAlign w:val="center"/>
          </w:tcPr>
          <w:p w14:paraId="3D7C60E1" w14:textId="77777777" w:rsidR="000D0C88" w:rsidRPr="00CB55B0" w:rsidRDefault="000D0C88" w:rsidP="000D0C88">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851" w:type="dxa"/>
            <w:vAlign w:val="center"/>
          </w:tcPr>
          <w:p w14:paraId="679D624A" w14:textId="77777777" w:rsidR="000D0C88" w:rsidRPr="00AD3F82" w:rsidRDefault="000D0C88" w:rsidP="000D0C88">
            <w:pPr>
              <w:spacing w:after="0" w:line="240" w:lineRule="auto"/>
              <w:jc w:val="center"/>
              <w:rPr>
                <w:rFonts w:ascii="Arial" w:eastAsia="Times New Roman" w:hAnsi="Arial" w:cs="Arial"/>
                <w:sz w:val="14"/>
                <w:szCs w:val="14"/>
                <w:lang w:eastAsia="pt-BR"/>
              </w:rPr>
            </w:pPr>
            <w:r w:rsidRPr="00AD3F82">
              <w:rPr>
                <w:rFonts w:ascii="Arial" w:eastAsia="Times New Roman" w:hAnsi="Arial" w:cs="Arial"/>
                <w:sz w:val="14"/>
                <w:szCs w:val="14"/>
                <w:lang w:eastAsia="pt-BR"/>
              </w:rPr>
              <w:t>X</w:t>
            </w:r>
          </w:p>
        </w:tc>
        <w:tc>
          <w:tcPr>
            <w:tcW w:w="850" w:type="dxa"/>
            <w:vAlign w:val="center"/>
          </w:tcPr>
          <w:p w14:paraId="1BD0A6D3" w14:textId="77777777" w:rsidR="000D0C88" w:rsidRPr="00AD3F82" w:rsidRDefault="000D0C88" w:rsidP="000D0C88">
            <w:pPr>
              <w:spacing w:after="0" w:line="240" w:lineRule="auto"/>
              <w:jc w:val="center"/>
              <w:rPr>
                <w:rFonts w:ascii="Arial" w:eastAsia="Times New Roman" w:hAnsi="Arial" w:cs="Arial"/>
                <w:sz w:val="14"/>
                <w:szCs w:val="14"/>
                <w:lang w:eastAsia="pt-BR"/>
              </w:rPr>
            </w:pPr>
            <w:r w:rsidRPr="00AD3F82">
              <w:rPr>
                <w:rFonts w:ascii="Arial" w:eastAsia="Times New Roman" w:hAnsi="Arial" w:cs="Arial"/>
                <w:sz w:val="14"/>
                <w:szCs w:val="14"/>
                <w:lang w:eastAsia="pt-BR"/>
              </w:rPr>
              <w:t>X</w:t>
            </w:r>
          </w:p>
        </w:tc>
        <w:tc>
          <w:tcPr>
            <w:tcW w:w="851" w:type="dxa"/>
            <w:vAlign w:val="center"/>
          </w:tcPr>
          <w:p w14:paraId="2E9C9C62" w14:textId="77777777" w:rsidR="000D0C88" w:rsidRPr="00AD3F82" w:rsidRDefault="000D0C88" w:rsidP="000D0C88">
            <w:pPr>
              <w:spacing w:after="0" w:line="240" w:lineRule="auto"/>
              <w:jc w:val="center"/>
              <w:rPr>
                <w:rFonts w:ascii="Arial" w:eastAsia="Times New Roman" w:hAnsi="Arial" w:cs="Arial"/>
                <w:sz w:val="14"/>
                <w:szCs w:val="14"/>
                <w:lang w:eastAsia="pt-BR"/>
              </w:rPr>
            </w:pPr>
            <w:r w:rsidRPr="00AD3F82">
              <w:rPr>
                <w:rFonts w:ascii="Arial" w:eastAsia="Times New Roman" w:hAnsi="Arial" w:cs="Arial"/>
                <w:sz w:val="14"/>
                <w:szCs w:val="14"/>
                <w:lang w:eastAsia="pt-BR"/>
              </w:rPr>
              <w:t>X</w:t>
            </w:r>
          </w:p>
        </w:tc>
      </w:tr>
      <w:tr w:rsidR="000D0C88" w:rsidRPr="00A5490A" w14:paraId="601D95DC" w14:textId="77777777" w:rsidTr="000065F5">
        <w:trPr>
          <w:trHeight w:val="680"/>
        </w:trPr>
        <w:tc>
          <w:tcPr>
            <w:tcW w:w="1294" w:type="dxa"/>
            <w:vAlign w:val="center"/>
          </w:tcPr>
          <w:p w14:paraId="24E4F541" w14:textId="77777777" w:rsidR="000D0C88" w:rsidRPr="00AD3F82" w:rsidRDefault="000D0C88" w:rsidP="000D0C88">
            <w:pPr>
              <w:spacing w:after="0" w:line="240" w:lineRule="auto"/>
              <w:jc w:val="center"/>
              <w:rPr>
                <w:rFonts w:ascii="Arial" w:eastAsia="Times New Roman" w:hAnsi="Arial" w:cs="Arial"/>
                <w:sz w:val="18"/>
                <w:szCs w:val="18"/>
                <w:lang w:eastAsia="pt-BR"/>
              </w:rPr>
            </w:pPr>
            <w:r w:rsidRPr="00AD3F82">
              <w:rPr>
                <w:rFonts w:ascii="Arial" w:eastAsia="Times New Roman" w:hAnsi="Arial" w:cs="Arial"/>
                <w:sz w:val="18"/>
                <w:szCs w:val="18"/>
                <w:lang w:eastAsia="pt-BR"/>
              </w:rPr>
              <w:t>DEMDFLT</w:t>
            </w:r>
          </w:p>
        </w:tc>
        <w:tc>
          <w:tcPr>
            <w:tcW w:w="7206" w:type="dxa"/>
            <w:shd w:val="clear" w:color="auto" w:fill="auto"/>
            <w:vAlign w:val="center"/>
          </w:tcPr>
          <w:p w14:paraId="7EA17A1A" w14:textId="49E08531" w:rsidR="000D0C88" w:rsidRPr="00AD3F82" w:rsidRDefault="000D0C88" w:rsidP="00C30522">
            <w:pPr>
              <w:spacing w:before="120" w:after="120" w:line="240" w:lineRule="auto"/>
              <w:jc w:val="both"/>
              <w:rPr>
                <w:rFonts w:ascii="Arial" w:eastAsia="Times New Roman" w:hAnsi="Arial" w:cs="Arial"/>
                <w:sz w:val="18"/>
                <w:szCs w:val="18"/>
                <w:lang w:eastAsia="pt-BR"/>
              </w:rPr>
            </w:pPr>
            <w:r w:rsidRPr="00AD3F82">
              <w:rPr>
                <w:rFonts w:ascii="Arial" w:eastAsia="Times New Roman" w:hAnsi="Arial" w:cs="Arial"/>
                <w:sz w:val="18"/>
                <w:szCs w:val="18"/>
                <w:lang w:eastAsia="pt-BR"/>
              </w:rPr>
              <w:t xml:space="preserve">Demonstrativo da Dívida Flutuante (Anexo 17 Lei 4.320/1964), acompanhado de notas explicativas e outros quadros elucidativos que se fizerem necessários. (Artigo 101 da Lei Federal nº 4.320/64). Estrutura e layout constantes do item </w:t>
            </w:r>
            <w:r w:rsidR="00C30522">
              <w:rPr>
                <w:rFonts w:ascii="Arial" w:eastAsia="Times New Roman" w:hAnsi="Arial" w:cs="Arial"/>
                <w:sz w:val="18"/>
                <w:szCs w:val="18"/>
                <w:lang w:eastAsia="pt-BR"/>
              </w:rPr>
              <w:t>3.1</w:t>
            </w:r>
            <w:r w:rsidRPr="00AD3F82">
              <w:rPr>
                <w:rFonts w:ascii="Arial" w:eastAsia="Times New Roman" w:hAnsi="Arial" w:cs="Arial"/>
                <w:sz w:val="18"/>
                <w:szCs w:val="18"/>
                <w:lang w:eastAsia="pt-BR"/>
              </w:rPr>
              <w:t xml:space="preserve"> deste Anexo.</w:t>
            </w:r>
          </w:p>
        </w:tc>
        <w:tc>
          <w:tcPr>
            <w:tcW w:w="993" w:type="dxa"/>
            <w:shd w:val="clear" w:color="auto" w:fill="auto"/>
            <w:vAlign w:val="center"/>
          </w:tcPr>
          <w:p w14:paraId="13D64031" w14:textId="77777777" w:rsidR="000D0C88" w:rsidRPr="00AD3F82" w:rsidRDefault="000D0C88" w:rsidP="000D0C88">
            <w:pPr>
              <w:spacing w:after="0" w:line="240" w:lineRule="auto"/>
              <w:jc w:val="center"/>
              <w:rPr>
                <w:rFonts w:ascii="Arial" w:eastAsia="Times New Roman" w:hAnsi="Arial" w:cs="Arial"/>
                <w:sz w:val="14"/>
                <w:szCs w:val="14"/>
                <w:lang w:eastAsia="pt-BR"/>
              </w:rPr>
            </w:pPr>
            <w:r w:rsidRPr="00AD3F82">
              <w:rPr>
                <w:rFonts w:ascii="Arial" w:eastAsia="Times New Roman" w:hAnsi="Arial" w:cs="Arial"/>
                <w:sz w:val="14"/>
                <w:szCs w:val="14"/>
                <w:lang w:eastAsia="pt-BR"/>
              </w:rPr>
              <w:t>XML</w:t>
            </w:r>
          </w:p>
        </w:tc>
        <w:tc>
          <w:tcPr>
            <w:tcW w:w="992" w:type="dxa"/>
            <w:vAlign w:val="center"/>
          </w:tcPr>
          <w:p w14:paraId="1D695E50" w14:textId="77777777" w:rsidR="000D0C88" w:rsidRPr="00CB55B0" w:rsidRDefault="000D0C88" w:rsidP="000D0C88">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vAlign w:val="center"/>
          </w:tcPr>
          <w:p w14:paraId="6E53D39D" w14:textId="77777777" w:rsidR="000D0C88" w:rsidRPr="00CB55B0" w:rsidRDefault="000D0C88" w:rsidP="000D0C88">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851" w:type="dxa"/>
            <w:vAlign w:val="center"/>
          </w:tcPr>
          <w:p w14:paraId="20EA22DA" w14:textId="77777777" w:rsidR="000D0C88" w:rsidRPr="00AD3F82" w:rsidRDefault="000D0C88" w:rsidP="000D0C88">
            <w:pPr>
              <w:spacing w:after="0" w:line="240" w:lineRule="auto"/>
              <w:jc w:val="center"/>
              <w:rPr>
                <w:rFonts w:ascii="Arial" w:eastAsia="Times New Roman" w:hAnsi="Arial" w:cs="Arial"/>
                <w:sz w:val="14"/>
                <w:szCs w:val="14"/>
                <w:lang w:eastAsia="pt-BR"/>
              </w:rPr>
            </w:pPr>
            <w:r w:rsidRPr="00AD3F82">
              <w:rPr>
                <w:rFonts w:ascii="Arial" w:eastAsia="Times New Roman" w:hAnsi="Arial" w:cs="Arial"/>
                <w:sz w:val="14"/>
                <w:szCs w:val="14"/>
                <w:lang w:eastAsia="pt-BR"/>
              </w:rPr>
              <w:t>X</w:t>
            </w:r>
          </w:p>
        </w:tc>
        <w:tc>
          <w:tcPr>
            <w:tcW w:w="850" w:type="dxa"/>
            <w:vAlign w:val="center"/>
          </w:tcPr>
          <w:p w14:paraId="5147BF90" w14:textId="77777777" w:rsidR="000D0C88" w:rsidRPr="00AD3F82" w:rsidRDefault="000D0C88" w:rsidP="000D0C88">
            <w:pPr>
              <w:spacing w:after="0" w:line="240" w:lineRule="auto"/>
              <w:jc w:val="center"/>
              <w:rPr>
                <w:rFonts w:ascii="Arial" w:eastAsia="Times New Roman" w:hAnsi="Arial" w:cs="Arial"/>
                <w:sz w:val="14"/>
                <w:szCs w:val="14"/>
                <w:lang w:eastAsia="pt-BR"/>
              </w:rPr>
            </w:pPr>
            <w:r w:rsidRPr="00AD3F82">
              <w:rPr>
                <w:rFonts w:ascii="Arial" w:eastAsia="Times New Roman" w:hAnsi="Arial" w:cs="Arial"/>
                <w:sz w:val="14"/>
                <w:szCs w:val="14"/>
                <w:lang w:eastAsia="pt-BR"/>
              </w:rPr>
              <w:t>X</w:t>
            </w:r>
          </w:p>
        </w:tc>
        <w:tc>
          <w:tcPr>
            <w:tcW w:w="851" w:type="dxa"/>
            <w:vAlign w:val="center"/>
          </w:tcPr>
          <w:p w14:paraId="488CE442" w14:textId="77777777" w:rsidR="000D0C88" w:rsidRPr="00AD3F82" w:rsidRDefault="000D0C88" w:rsidP="000D0C88">
            <w:pPr>
              <w:spacing w:after="0" w:line="240" w:lineRule="auto"/>
              <w:jc w:val="center"/>
              <w:rPr>
                <w:rFonts w:ascii="Arial" w:eastAsia="Times New Roman" w:hAnsi="Arial" w:cs="Arial"/>
                <w:sz w:val="14"/>
                <w:szCs w:val="14"/>
                <w:lang w:eastAsia="pt-BR"/>
              </w:rPr>
            </w:pPr>
            <w:r w:rsidRPr="00AD3F82">
              <w:rPr>
                <w:rFonts w:ascii="Arial" w:eastAsia="Times New Roman" w:hAnsi="Arial" w:cs="Arial"/>
                <w:sz w:val="14"/>
                <w:szCs w:val="14"/>
                <w:lang w:eastAsia="pt-BR"/>
              </w:rPr>
              <w:t>X</w:t>
            </w:r>
          </w:p>
        </w:tc>
      </w:tr>
      <w:tr w:rsidR="000D0C88" w:rsidRPr="00A5490A" w14:paraId="6F4E1110" w14:textId="77777777" w:rsidTr="000065F5">
        <w:trPr>
          <w:trHeight w:val="850"/>
        </w:trPr>
        <w:tc>
          <w:tcPr>
            <w:tcW w:w="1294" w:type="dxa"/>
            <w:vAlign w:val="center"/>
          </w:tcPr>
          <w:p w14:paraId="6A0B099D" w14:textId="77777777" w:rsidR="000D0C88" w:rsidRPr="00A5490A" w:rsidRDefault="000D0C88" w:rsidP="000D0C88">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DEMFCA</w:t>
            </w:r>
          </w:p>
        </w:tc>
        <w:tc>
          <w:tcPr>
            <w:tcW w:w="7206" w:type="dxa"/>
            <w:shd w:val="clear" w:color="auto" w:fill="auto"/>
            <w:vAlign w:val="center"/>
          </w:tcPr>
          <w:p w14:paraId="447CAD11" w14:textId="77777777" w:rsidR="000D0C88" w:rsidRPr="00A5490A" w:rsidRDefault="000D0C88" w:rsidP="000D0C88">
            <w:p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Demonstração dos Fluxos de Caixa – DFC (Parte V do Manual de Contabilidade Aplicado ao Setor Público – MCASP)</w:t>
            </w:r>
            <w:r>
              <w:rPr>
                <w:rFonts w:ascii="Arial" w:eastAsia="Times New Roman" w:hAnsi="Arial" w:cs="Arial"/>
                <w:sz w:val="18"/>
                <w:szCs w:val="18"/>
                <w:lang w:eastAsia="pt-BR"/>
              </w:rPr>
              <w:t xml:space="preserve">, </w:t>
            </w:r>
            <w:r w:rsidRPr="00A5797A">
              <w:rPr>
                <w:rFonts w:ascii="Arial" w:eastAsia="Times New Roman" w:hAnsi="Arial" w:cs="Arial"/>
                <w:sz w:val="18"/>
                <w:szCs w:val="18"/>
                <w:lang w:eastAsia="pt-BR"/>
              </w:rPr>
              <w:t>acompanhada de notas explicativas e outros quadros elucidativos que se fizerem necessários</w:t>
            </w:r>
            <w:r w:rsidRPr="00A5490A">
              <w:rPr>
                <w:rFonts w:ascii="Arial" w:eastAsia="Times New Roman" w:hAnsi="Arial" w:cs="Arial"/>
                <w:sz w:val="18"/>
                <w:szCs w:val="18"/>
                <w:lang w:eastAsia="pt-BR"/>
              </w:rPr>
              <w:t>. (Resolução CFC nº 1.1</w:t>
            </w:r>
            <w:r>
              <w:rPr>
                <w:rFonts w:ascii="Arial" w:eastAsia="Times New Roman" w:hAnsi="Arial" w:cs="Arial"/>
                <w:sz w:val="18"/>
                <w:szCs w:val="18"/>
                <w:lang w:eastAsia="pt-BR"/>
              </w:rPr>
              <w:t>33</w:t>
            </w:r>
            <w:r w:rsidRPr="00A5490A">
              <w:rPr>
                <w:rFonts w:ascii="Arial" w:eastAsia="Times New Roman" w:hAnsi="Arial" w:cs="Arial"/>
                <w:sz w:val="18"/>
                <w:szCs w:val="18"/>
                <w:lang w:eastAsia="pt-BR"/>
              </w:rPr>
              <w:t>/2008 - NBC T 16</w:t>
            </w:r>
            <w:r>
              <w:rPr>
                <w:rFonts w:ascii="Arial" w:eastAsia="Times New Roman" w:hAnsi="Arial" w:cs="Arial"/>
                <w:sz w:val="18"/>
                <w:szCs w:val="18"/>
                <w:lang w:eastAsia="pt-BR"/>
              </w:rPr>
              <w:t>.6</w:t>
            </w:r>
            <w:r w:rsidRPr="00A5490A">
              <w:rPr>
                <w:rFonts w:ascii="Arial" w:eastAsia="Times New Roman" w:hAnsi="Arial" w:cs="Arial"/>
                <w:sz w:val="18"/>
                <w:szCs w:val="18"/>
                <w:lang w:eastAsia="pt-BR"/>
              </w:rPr>
              <w:t xml:space="preserve"> c/c Portaria STN nº 7</w:t>
            </w:r>
            <w:r>
              <w:rPr>
                <w:rFonts w:ascii="Arial" w:eastAsia="Times New Roman" w:hAnsi="Arial" w:cs="Arial"/>
                <w:sz w:val="18"/>
                <w:szCs w:val="18"/>
                <w:lang w:eastAsia="pt-BR"/>
              </w:rPr>
              <w:t>00</w:t>
            </w:r>
            <w:r w:rsidRPr="00A5490A">
              <w:rPr>
                <w:rFonts w:ascii="Arial" w:eastAsia="Times New Roman" w:hAnsi="Arial" w:cs="Arial"/>
                <w:sz w:val="18"/>
                <w:szCs w:val="18"/>
                <w:lang w:eastAsia="pt-BR"/>
              </w:rPr>
              <w:t>/201</w:t>
            </w:r>
            <w:r>
              <w:rPr>
                <w:rFonts w:ascii="Arial" w:eastAsia="Times New Roman" w:hAnsi="Arial" w:cs="Arial"/>
                <w:sz w:val="18"/>
                <w:szCs w:val="18"/>
                <w:lang w:eastAsia="pt-BR"/>
              </w:rPr>
              <w:t>4</w:t>
            </w:r>
            <w:r w:rsidRPr="00A5490A">
              <w:rPr>
                <w:rFonts w:ascii="Arial" w:eastAsia="Times New Roman" w:hAnsi="Arial" w:cs="Arial"/>
                <w:sz w:val="18"/>
                <w:szCs w:val="18"/>
                <w:lang w:eastAsia="pt-BR"/>
              </w:rPr>
              <w:t>)</w:t>
            </w:r>
          </w:p>
        </w:tc>
        <w:tc>
          <w:tcPr>
            <w:tcW w:w="993" w:type="dxa"/>
            <w:shd w:val="clear" w:color="auto" w:fill="auto"/>
            <w:vAlign w:val="center"/>
          </w:tcPr>
          <w:p w14:paraId="7E0847A1" w14:textId="77777777" w:rsidR="000D0C88" w:rsidRPr="00A5490A" w:rsidRDefault="000D0C88" w:rsidP="000D0C88">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c>
          <w:tcPr>
            <w:tcW w:w="992" w:type="dxa"/>
            <w:vAlign w:val="center"/>
          </w:tcPr>
          <w:p w14:paraId="1EB0DF41" w14:textId="77777777" w:rsidR="000D0C88" w:rsidRPr="00CB55B0" w:rsidRDefault="000D0C88" w:rsidP="000D0C88">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vAlign w:val="center"/>
          </w:tcPr>
          <w:p w14:paraId="02718C85" w14:textId="77777777" w:rsidR="000D0C88" w:rsidRPr="00CB55B0" w:rsidRDefault="000D0C88" w:rsidP="000D0C88">
            <w:pPr>
              <w:spacing w:after="0" w:line="240" w:lineRule="auto"/>
              <w:jc w:val="center"/>
              <w:rPr>
                <w:rFonts w:ascii="Arial" w:eastAsia="Times New Roman" w:hAnsi="Arial" w:cs="Arial"/>
                <w:sz w:val="14"/>
                <w:szCs w:val="14"/>
                <w:lang w:eastAsia="pt-BR"/>
              </w:rPr>
            </w:pPr>
          </w:p>
        </w:tc>
        <w:tc>
          <w:tcPr>
            <w:tcW w:w="851" w:type="dxa"/>
            <w:vAlign w:val="center"/>
          </w:tcPr>
          <w:p w14:paraId="59287DDE" w14:textId="77777777" w:rsidR="000D0C88" w:rsidRPr="00A5490A" w:rsidRDefault="000D0C88" w:rsidP="000D0C88">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850" w:type="dxa"/>
            <w:vAlign w:val="center"/>
          </w:tcPr>
          <w:p w14:paraId="0171864C" w14:textId="77777777" w:rsidR="000D0C88" w:rsidRPr="00A5490A" w:rsidRDefault="000D0C88" w:rsidP="000D0C88">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851" w:type="dxa"/>
            <w:vAlign w:val="center"/>
          </w:tcPr>
          <w:p w14:paraId="7B39B127" w14:textId="77777777" w:rsidR="000D0C88" w:rsidRPr="00A5490A" w:rsidRDefault="000D0C88" w:rsidP="000D0C88">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r>
      <w:tr w:rsidR="000D0C88" w:rsidRPr="00A5490A" w14:paraId="34107104" w14:textId="77777777" w:rsidTr="000065F5">
        <w:tc>
          <w:tcPr>
            <w:tcW w:w="1294" w:type="dxa"/>
            <w:vAlign w:val="center"/>
          </w:tcPr>
          <w:p w14:paraId="20F18DC6" w14:textId="77777777" w:rsidR="000D0C88" w:rsidRPr="003B4337" w:rsidRDefault="000D0C88" w:rsidP="000D0C88">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INVMOV</w:t>
            </w:r>
          </w:p>
        </w:tc>
        <w:tc>
          <w:tcPr>
            <w:tcW w:w="7206" w:type="dxa"/>
            <w:shd w:val="clear" w:color="auto" w:fill="auto"/>
            <w:vAlign w:val="center"/>
          </w:tcPr>
          <w:p w14:paraId="6DD89B40" w14:textId="6B213C4A" w:rsidR="000D0C88" w:rsidRPr="003B4337" w:rsidRDefault="000D0C88" w:rsidP="00C30522">
            <w:pPr>
              <w:spacing w:before="120" w:after="120" w:line="240" w:lineRule="auto"/>
              <w:jc w:val="both"/>
              <w:rPr>
                <w:rFonts w:eastAsia="Times New Roman"/>
                <w:sz w:val="18"/>
                <w:szCs w:val="18"/>
                <w:lang w:eastAsia="pt-BR"/>
              </w:rPr>
            </w:pPr>
            <w:r w:rsidRPr="003B4337">
              <w:rPr>
                <w:rFonts w:ascii="Arial" w:eastAsia="Times New Roman" w:hAnsi="Arial" w:cs="Arial"/>
                <w:sz w:val="18"/>
                <w:szCs w:val="18"/>
                <w:lang w:eastAsia="pt-BR"/>
              </w:rPr>
              <w:t xml:space="preserve">Inventário anual dos bens móveis, conforme layout constante </w:t>
            </w:r>
            <w:r w:rsidRPr="00AD3F82">
              <w:rPr>
                <w:rFonts w:ascii="Arial" w:eastAsia="Times New Roman" w:hAnsi="Arial" w:cs="Arial"/>
                <w:sz w:val="18"/>
                <w:szCs w:val="18"/>
                <w:lang w:eastAsia="pt-BR"/>
              </w:rPr>
              <w:t xml:space="preserve">do item </w:t>
            </w:r>
            <w:r w:rsidR="00C30522">
              <w:rPr>
                <w:rFonts w:ascii="Arial" w:eastAsia="Times New Roman" w:hAnsi="Arial" w:cs="Arial"/>
                <w:sz w:val="18"/>
                <w:szCs w:val="18"/>
                <w:lang w:eastAsia="pt-BR"/>
              </w:rPr>
              <w:t>3.1</w:t>
            </w:r>
            <w:r w:rsidRPr="00AD3F82">
              <w:rPr>
                <w:rFonts w:ascii="Arial" w:eastAsia="Times New Roman" w:hAnsi="Arial" w:cs="Arial"/>
                <w:sz w:val="18"/>
                <w:szCs w:val="18"/>
                <w:lang w:eastAsia="pt-BR"/>
              </w:rPr>
              <w:t xml:space="preserve"> deste Anexo.</w:t>
            </w:r>
          </w:p>
        </w:tc>
        <w:tc>
          <w:tcPr>
            <w:tcW w:w="993" w:type="dxa"/>
            <w:shd w:val="clear" w:color="auto" w:fill="auto"/>
            <w:vAlign w:val="center"/>
          </w:tcPr>
          <w:p w14:paraId="29C8DA8A" w14:textId="77777777" w:rsidR="000D0C88" w:rsidRPr="003B4337" w:rsidRDefault="000D0C88" w:rsidP="000D0C88">
            <w:pPr>
              <w:spacing w:after="0" w:line="240" w:lineRule="auto"/>
              <w:jc w:val="center"/>
              <w:rPr>
                <w:rFonts w:ascii="Arial" w:eastAsia="Times New Roman" w:hAnsi="Arial" w:cs="Arial"/>
                <w:sz w:val="14"/>
                <w:szCs w:val="14"/>
                <w:lang w:eastAsia="pt-BR"/>
              </w:rPr>
            </w:pPr>
            <w:r w:rsidRPr="003B4337">
              <w:rPr>
                <w:rFonts w:ascii="Arial" w:eastAsia="Times New Roman" w:hAnsi="Arial" w:cs="Arial"/>
                <w:sz w:val="14"/>
                <w:szCs w:val="14"/>
                <w:lang w:eastAsia="pt-BR"/>
              </w:rPr>
              <w:t>XML</w:t>
            </w:r>
          </w:p>
        </w:tc>
        <w:tc>
          <w:tcPr>
            <w:tcW w:w="992" w:type="dxa"/>
            <w:vAlign w:val="center"/>
          </w:tcPr>
          <w:p w14:paraId="1974B661" w14:textId="77777777" w:rsidR="000D0C88" w:rsidRPr="00CB55B0" w:rsidRDefault="000D0C88" w:rsidP="000D0C88">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vAlign w:val="center"/>
          </w:tcPr>
          <w:p w14:paraId="2D855D57" w14:textId="77777777" w:rsidR="000D0C88" w:rsidRPr="00CB55B0" w:rsidRDefault="000D0C88" w:rsidP="000D0C88">
            <w:pPr>
              <w:spacing w:after="0" w:line="240" w:lineRule="auto"/>
              <w:jc w:val="center"/>
              <w:rPr>
                <w:rFonts w:ascii="Arial" w:eastAsia="Times New Roman" w:hAnsi="Arial" w:cs="Arial"/>
                <w:sz w:val="14"/>
                <w:szCs w:val="14"/>
                <w:lang w:eastAsia="pt-BR"/>
              </w:rPr>
            </w:pPr>
          </w:p>
        </w:tc>
        <w:tc>
          <w:tcPr>
            <w:tcW w:w="851" w:type="dxa"/>
            <w:vAlign w:val="center"/>
          </w:tcPr>
          <w:p w14:paraId="705A8BA0" w14:textId="77777777" w:rsidR="000D0C88" w:rsidRPr="003B4337" w:rsidRDefault="000D0C88" w:rsidP="000D0C88">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850" w:type="dxa"/>
            <w:vAlign w:val="center"/>
          </w:tcPr>
          <w:p w14:paraId="5CAB5BBB" w14:textId="77777777" w:rsidR="000D0C88" w:rsidRPr="003B4337" w:rsidRDefault="000D0C88" w:rsidP="000D0C88">
            <w:pPr>
              <w:spacing w:after="0" w:line="240" w:lineRule="auto"/>
              <w:jc w:val="center"/>
              <w:rPr>
                <w:rFonts w:ascii="Arial" w:eastAsia="Times New Roman" w:hAnsi="Arial" w:cs="Arial"/>
                <w:sz w:val="14"/>
                <w:szCs w:val="14"/>
                <w:lang w:eastAsia="pt-BR"/>
              </w:rPr>
            </w:pPr>
          </w:p>
        </w:tc>
        <w:tc>
          <w:tcPr>
            <w:tcW w:w="851" w:type="dxa"/>
            <w:vAlign w:val="center"/>
          </w:tcPr>
          <w:p w14:paraId="34EAF046" w14:textId="77777777" w:rsidR="000D0C88" w:rsidRPr="003B4337" w:rsidRDefault="000D0C88" w:rsidP="000D0C88">
            <w:pPr>
              <w:spacing w:after="0" w:line="240" w:lineRule="auto"/>
              <w:jc w:val="center"/>
              <w:rPr>
                <w:rFonts w:ascii="Arial" w:eastAsia="Times New Roman" w:hAnsi="Arial" w:cs="Arial"/>
                <w:sz w:val="14"/>
                <w:szCs w:val="14"/>
                <w:lang w:eastAsia="pt-BR"/>
              </w:rPr>
            </w:pPr>
          </w:p>
        </w:tc>
      </w:tr>
      <w:tr w:rsidR="000D0C88" w:rsidRPr="00672300" w14:paraId="7138202B" w14:textId="77777777" w:rsidTr="000065F5">
        <w:tc>
          <w:tcPr>
            <w:tcW w:w="1294" w:type="dxa"/>
            <w:tcBorders>
              <w:top w:val="single" w:sz="4" w:space="0" w:color="auto"/>
              <w:left w:val="single" w:sz="4" w:space="0" w:color="auto"/>
              <w:bottom w:val="single" w:sz="4" w:space="0" w:color="auto"/>
              <w:right w:val="single" w:sz="4" w:space="0" w:color="auto"/>
            </w:tcBorders>
            <w:vAlign w:val="center"/>
          </w:tcPr>
          <w:p w14:paraId="75CC7A25" w14:textId="77777777" w:rsidR="000D0C88" w:rsidRPr="003B4337" w:rsidRDefault="000D0C88" w:rsidP="000D0C88">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TERMOV</w:t>
            </w:r>
          </w:p>
        </w:tc>
        <w:tc>
          <w:tcPr>
            <w:tcW w:w="7206" w:type="dxa"/>
            <w:tcBorders>
              <w:top w:val="single" w:sz="4" w:space="0" w:color="auto"/>
              <w:left w:val="single" w:sz="4" w:space="0" w:color="auto"/>
              <w:bottom w:val="single" w:sz="4" w:space="0" w:color="auto"/>
              <w:right w:val="single" w:sz="4" w:space="0" w:color="auto"/>
            </w:tcBorders>
            <w:shd w:val="clear" w:color="auto" w:fill="auto"/>
            <w:vAlign w:val="center"/>
          </w:tcPr>
          <w:p w14:paraId="4076D986" w14:textId="3DEB558E" w:rsidR="000D0C88" w:rsidRPr="003B4337" w:rsidRDefault="000D0C88" w:rsidP="000D0C88">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Termo circunstanciado elaborado e assinado pela comissão responsável pelo Inventário Anual de Bens Móveis (INVMOV), indicando o saldo total apurado e o detalhamento (especificação e valor) das divergências encontradas</w:t>
            </w:r>
            <w:r>
              <w:rPr>
                <w:rFonts w:ascii="Arial" w:eastAsia="Times New Roman" w:hAnsi="Arial" w:cs="Arial"/>
                <w:sz w:val="18"/>
                <w:szCs w:val="18"/>
                <w:lang w:eastAsia="pt-BR"/>
              </w:rPr>
              <w:t xml:space="preserve">, </w:t>
            </w:r>
            <w:r w:rsidR="00C30522" w:rsidRPr="003B4337">
              <w:rPr>
                <w:rFonts w:ascii="Arial" w:eastAsia="Times New Roman" w:hAnsi="Arial" w:cs="Arial"/>
                <w:sz w:val="18"/>
                <w:szCs w:val="18"/>
                <w:lang w:eastAsia="pt-BR"/>
              </w:rPr>
              <w:t xml:space="preserve">na </w:t>
            </w:r>
            <w:r w:rsidR="00C30522" w:rsidRPr="00BB7DB5">
              <w:rPr>
                <w:rFonts w:ascii="Arial" w:eastAsia="Times New Roman" w:hAnsi="Arial" w:cs="Arial"/>
                <w:sz w:val="18"/>
                <w:szCs w:val="18"/>
                <w:lang w:eastAsia="pt-BR"/>
              </w:rPr>
              <w:t>forma do item 3.2 deste Anexo</w:t>
            </w:r>
            <w:r w:rsidR="00C30522">
              <w:rPr>
                <w:rFonts w:ascii="Arial" w:eastAsia="Times New Roman" w:hAnsi="Arial" w:cs="Arial"/>
                <w:sz w:val="18"/>
                <w:szCs w:val="18"/>
                <w:lang w:eastAsia="pt-BR"/>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A83BBBA" w14:textId="77777777" w:rsidR="000D0C88" w:rsidRPr="003B4337" w:rsidRDefault="000D0C88" w:rsidP="000D0C88">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c>
          <w:tcPr>
            <w:tcW w:w="992" w:type="dxa"/>
            <w:tcBorders>
              <w:top w:val="single" w:sz="4" w:space="0" w:color="auto"/>
              <w:left w:val="single" w:sz="4" w:space="0" w:color="auto"/>
              <w:bottom w:val="single" w:sz="4" w:space="0" w:color="auto"/>
              <w:right w:val="single" w:sz="4" w:space="0" w:color="auto"/>
            </w:tcBorders>
            <w:vAlign w:val="center"/>
          </w:tcPr>
          <w:p w14:paraId="1AC5A471" w14:textId="77777777" w:rsidR="000D0C88" w:rsidRPr="00CB55B0" w:rsidRDefault="000D0C88" w:rsidP="000D0C88">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tcBorders>
              <w:top w:val="single" w:sz="4" w:space="0" w:color="auto"/>
              <w:left w:val="single" w:sz="4" w:space="0" w:color="auto"/>
              <w:bottom w:val="single" w:sz="4" w:space="0" w:color="auto"/>
              <w:right w:val="single" w:sz="4" w:space="0" w:color="auto"/>
            </w:tcBorders>
            <w:vAlign w:val="center"/>
          </w:tcPr>
          <w:p w14:paraId="2B423CAC" w14:textId="77777777" w:rsidR="000D0C88" w:rsidRPr="00CB55B0" w:rsidRDefault="000D0C88" w:rsidP="000D0C88">
            <w:pPr>
              <w:spacing w:after="0" w:line="240" w:lineRule="auto"/>
              <w:jc w:val="center"/>
              <w:rPr>
                <w:rFonts w:ascii="Arial" w:eastAsia="Times New Roman" w:hAnsi="Arial" w:cs="Arial"/>
                <w:sz w:val="14"/>
                <w:szCs w:val="14"/>
                <w:lang w:eastAsia="pt-BR"/>
              </w:rPr>
            </w:pPr>
          </w:p>
        </w:tc>
        <w:tc>
          <w:tcPr>
            <w:tcW w:w="851" w:type="dxa"/>
            <w:tcBorders>
              <w:top w:val="single" w:sz="4" w:space="0" w:color="auto"/>
              <w:left w:val="single" w:sz="4" w:space="0" w:color="auto"/>
              <w:bottom w:val="single" w:sz="4" w:space="0" w:color="auto"/>
              <w:right w:val="single" w:sz="4" w:space="0" w:color="auto"/>
            </w:tcBorders>
            <w:vAlign w:val="center"/>
          </w:tcPr>
          <w:p w14:paraId="271E601D" w14:textId="77777777" w:rsidR="000D0C88" w:rsidRPr="003B4337" w:rsidRDefault="000D0C88" w:rsidP="000D0C88">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850" w:type="dxa"/>
            <w:tcBorders>
              <w:top w:val="single" w:sz="4" w:space="0" w:color="auto"/>
              <w:left w:val="single" w:sz="4" w:space="0" w:color="auto"/>
              <w:bottom w:val="single" w:sz="4" w:space="0" w:color="auto"/>
              <w:right w:val="single" w:sz="4" w:space="0" w:color="auto"/>
            </w:tcBorders>
            <w:vAlign w:val="center"/>
          </w:tcPr>
          <w:p w14:paraId="5359F2E7" w14:textId="77777777" w:rsidR="000D0C88" w:rsidRPr="003B4337" w:rsidRDefault="000D0C88" w:rsidP="000D0C88">
            <w:pPr>
              <w:spacing w:after="0" w:line="240" w:lineRule="auto"/>
              <w:jc w:val="center"/>
              <w:rPr>
                <w:rFonts w:ascii="Arial" w:eastAsia="Times New Roman" w:hAnsi="Arial" w:cs="Arial"/>
                <w:sz w:val="14"/>
                <w:szCs w:val="14"/>
                <w:lang w:eastAsia="pt-BR"/>
              </w:rPr>
            </w:pPr>
          </w:p>
        </w:tc>
        <w:tc>
          <w:tcPr>
            <w:tcW w:w="851" w:type="dxa"/>
            <w:tcBorders>
              <w:top w:val="single" w:sz="4" w:space="0" w:color="auto"/>
              <w:left w:val="single" w:sz="4" w:space="0" w:color="auto"/>
              <w:bottom w:val="single" w:sz="4" w:space="0" w:color="auto"/>
              <w:right w:val="single" w:sz="4" w:space="0" w:color="auto"/>
            </w:tcBorders>
            <w:vAlign w:val="center"/>
          </w:tcPr>
          <w:p w14:paraId="3CC874DD" w14:textId="77777777" w:rsidR="000D0C88" w:rsidRPr="003B4337" w:rsidRDefault="000D0C88" w:rsidP="000D0C88">
            <w:pPr>
              <w:spacing w:after="0" w:line="240" w:lineRule="auto"/>
              <w:jc w:val="center"/>
              <w:rPr>
                <w:rFonts w:ascii="Arial" w:eastAsia="Times New Roman" w:hAnsi="Arial" w:cs="Arial"/>
                <w:sz w:val="14"/>
                <w:szCs w:val="14"/>
                <w:lang w:eastAsia="pt-BR"/>
              </w:rPr>
            </w:pPr>
          </w:p>
        </w:tc>
      </w:tr>
      <w:tr w:rsidR="000D0C88" w:rsidRPr="00A5490A" w14:paraId="44F4320C" w14:textId="77777777" w:rsidTr="000065F5">
        <w:tc>
          <w:tcPr>
            <w:tcW w:w="1294" w:type="dxa"/>
            <w:vAlign w:val="center"/>
          </w:tcPr>
          <w:p w14:paraId="11370251" w14:textId="77777777" w:rsidR="000D0C88" w:rsidRPr="003B4337" w:rsidRDefault="000D0C88" w:rsidP="000D0C88">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INVIMO</w:t>
            </w:r>
          </w:p>
        </w:tc>
        <w:tc>
          <w:tcPr>
            <w:tcW w:w="7206" w:type="dxa"/>
            <w:shd w:val="clear" w:color="auto" w:fill="auto"/>
            <w:vAlign w:val="center"/>
          </w:tcPr>
          <w:p w14:paraId="06609819" w14:textId="2826584A" w:rsidR="000D0C88" w:rsidRPr="003B4337" w:rsidRDefault="000D0C88" w:rsidP="00C30522">
            <w:pPr>
              <w:spacing w:before="120" w:after="120" w:line="240" w:lineRule="auto"/>
              <w:jc w:val="both"/>
              <w:rPr>
                <w:rFonts w:eastAsia="Times New Roman"/>
                <w:sz w:val="18"/>
                <w:szCs w:val="18"/>
                <w:lang w:eastAsia="pt-BR"/>
              </w:rPr>
            </w:pPr>
            <w:r w:rsidRPr="003B4337">
              <w:rPr>
                <w:rFonts w:ascii="Arial" w:eastAsia="Times New Roman" w:hAnsi="Arial" w:cs="Arial"/>
                <w:sz w:val="18"/>
                <w:szCs w:val="18"/>
                <w:lang w:eastAsia="pt-BR"/>
              </w:rPr>
              <w:t xml:space="preserve">Inventário anual dos bens imóveis, conforme layout constante do </w:t>
            </w:r>
            <w:r w:rsidRPr="00AD3F82">
              <w:rPr>
                <w:rFonts w:ascii="Arial" w:eastAsia="Times New Roman" w:hAnsi="Arial" w:cs="Arial"/>
                <w:sz w:val="18"/>
                <w:szCs w:val="18"/>
                <w:lang w:eastAsia="pt-BR"/>
              </w:rPr>
              <w:t xml:space="preserve">item </w:t>
            </w:r>
            <w:r w:rsidR="00C30522">
              <w:rPr>
                <w:rFonts w:ascii="Arial" w:eastAsia="Times New Roman" w:hAnsi="Arial" w:cs="Arial"/>
                <w:sz w:val="18"/>
                <w:szCs w:val="18"/>
                <w:lang w:eastAsia="pt-BR"/>
              </w:rPr>
              <w:t>3.1</w:t>
            </w:r>
            <w:r w:rsidRPr="00AD3F82">
              <w:rPr>
                <w:rFonts w:ascii="Arial" w:eastAsia="Times New Roman" w:hAnsi="Arial" w:cs="Arial"/>
                <w:sz w:val="18"/>
                <w:szCs w:val="18"/>
                <w:lang w:eastAsia="pt-BR"/>
              </w:rPr>
              <w:t xml:space="preserve"> deste Anexo.</w:t>
            </w:r>
          </w:p>
        </w:tc>
        <w:tc>
          <w:tcPr>
            <w:tcW w:w="993" w:type="dxa"/>
            <w:shd w:val="clear" w:color="auto" w:fill="auto"/>
            <w:vAlign w:val="center"/>
          </w:tcPr>
          <w:p w14:paraId="42B7B32D" w14:textId="77777777" w:rsidR="000D0C88" w:rsidRPr="003B4337" w:rsidRDefault="000D0C88" w:rsidP="000D0C88">
            <w:pPr>
              <w:spacing w:after="0" w:line="240" w:lineRule="auto"/>
              <w:jc w:val="center"/>
              <w:rPr>
                <w:rFonts w:ascii="Arial" w:eastAsia="Times New Roman" w:hAnsi="Arial" w:cs="Arial"/>
                <w:sz w:val="14"/>
                <w:szCs w:val="14"/>
                <w:lang w:eastAsia="pt-BR"/>
              </w:rPr>
            </w:pPr>
            <w:r w:rsidRPr="003B4337">
              <w:rPr>
                <w:rFonts w:ascii="Arial" w:eastAsia="Times New Roman" w:hAnsi="Arial" w:cs="Arial"/>
                <w:sz w:val="14"/>
                <w:szCs w:val="14"/>
                <w:lang w:eastAsia="pt-BR"/>
              </w:rPr>
              <w:t>XML</w:t>
            </w:r>
          </w:p>
        </w:tc>
        <w:tc>
          <w:tcPr>
            <w:tcW w:w="992" w:type="dxa"/>
            <w:vAlign w:val="center"/>
          </w:tcPr>
          <w:p w14:paraId="1C6192C0" w14:textId="77777777" w:rsidR="000D0C88" w:rsidRPr="00CB55B0" w:rsidRDefault="000D0C88" w:rsidP="000D0C88">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vAlign w:val="center"/>
          </w:tcPr>
          <w:p w14:paraId="66479B93" w14:textId="77777777" w:rsidR="000D0C88" w:rsidRPr="00CB55B0" w:rsidRDefault="000D0C88" w:rsidP="000D0C88">
            <w:pPr>
              <w:spacing w:after="0" w:line="240" w:lineRule="auto"/>
              <w:jc w:val="center"/>
              <w:rPr>
                <w:rFonts w:ascii="Arial" w:eastAsia="Times New Roman" w:hAnsi="Arial" w:cs="Arial"/>
                <w:sz w:val="14"/>
                <w:szCs w:val="14"/>
                <w:lang w:eastAsia="pt-BR"/>
              </w:rPr>
            </w:pPr>
          </w:p>
        </w:tc>
        <w:tc>
          <w:tcPr>
            <w:tcW w:w="851" w:type="dxa"/>
            <w:vAlign w:val="center"/>
          </w:tcPr>
          <w:p w14:paraId="64284FB6" w14:textId="77777777" w:rsidR="000D0C88" w:rsidRPr="003B4337" w:rsidRDefault="000D0C88" w:rsidP="000D0C88">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850" w:type="dxa"/>
            <w:vAlign w:val="center"/>
          </w:tcPr>
          <w:p w14:paraId="7986D5E0" w14:textId="77777777" w:rsidR="000D0C88" w:rsidRPr="003B4337" w:rsidRDefault="000D0C88" w:rsidP="000D0C88">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851" w:type="dxa"/>
            <w:vAlign w:val="center"/>
          </w:tcPr>
          <w:p w14:paraId="44C7EDA2" w14:textId="77777777" w:rsidR="000D0C88" w:rsidRPr="003B4337" w:rsidRDefault="000D0C88" w:rsidP="000D0C88">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r>
      <w:tr w:rsidR="000D0C88" w:rsidRPr="00856E0F" w14:paraId="3A671F9C" w14:textId="77777777" w:rsidTr="000065F5">
        <w:tc>
          <w:tcPr>
            <w:tcW w:w="1294" w:type="dxa"/>
            <w:tcBorders>
              <w:top w:val="single" w:sz="4" w:space="0" w:color="auto"/>
              <w:left w:val="single" w:sz="4" w:space="0" w:color="auto"/>
              <w:bottom w:val="single" w:sz="4" w:space="0" w:color="auto"/>
              <w:right w:val="single" w:sz="4" w:space="0" w:color="auto"/>
            </w:tcBorders>
            <w:vAlign w:val="center"/>
          </w:tcPr>
          <w:p w14:paraId="6730DA29" w14:textId="77777777" w:rsidR="000D0C88" w:rsidRPr="003B4337" w:rsidRDefault="000D0C88" w:rsidP="000D0C88">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TERIMO</w:t>
            </w:r>
          </w:p>
        </w:tc>
        <w:tc>
          <w:tcPr>
            <w:tcW w:w="7206" w:type="dxa"/>
            <w:tcBorders>
              <w:top w:val="single" w:sz="4" w:space="0" w:color="auto"/>
              <w:left w:val="single" w:sz="4" w:space="0" w:color="auto"/>
              <w:bottom w:val="single" w:sz="4" w:space="0" w:color="auto"/>
              <w:right w:val="single" w:sz="4" w:space="0" w:color="auto"/>
            </w:tcBorders>
            <w:shd w:val="clear" w:color="auto" w:fill="auto"/>
            <w:vAlign w:val="center"/>
          </w:tcPr>
          <w:p w14:paraId="582E54FF" w14:textId="194E7B09" w:rsidR="000D0C88" w:rsidRPr="003B4337" w:rsidRDefault="000D0C88" w:rsidP="000D0C88">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Termo circunstanciado elaborado e assinado pela comissão responsável pelo Inventário anual dos bens imóveis (INVIMO), indicando o saldo total apurado e o detalhamento (especificação e valor) das divergências encontradas</w:t>
            </w:r>
            <w:r>
              <w:rPr>
                <w:rFonts w:ascii="Arial" w:eastAsia="Times New Roman" w:hAnsi="Arial" w:cs="Arial"/>
                <w:sz w:val="18"/>
                <w:szCs w:val="18"/>
                <w:lang w:eastAsia="pt-BR"/>
              </w:rPr>
              <w:t xml:space="preserve">, </w:t>
            </w:r>
            <w:r w:rsidR="00C30522" w:rsidRPr="003B4337">
              <w:rPr>
                <w:rFonts w:ascii="Arial" w:eastAsia="Times New Roman" w:hAnsi="Arial" w:cs="Arial"/>
                <w:sz w:val="18"/>
                <w:szCs w:val="18"/>
                <w:lang w:eastAsia="pt-BR"/>
              </w:rPr>
              <w:t xml:space="preserve">na </w:t>
            </w:r>
            <w:r w:rsidR="00C30522" w:rsidRPr="00BB7DB5">
              <w:rPr>
                <w:rFonts w:ascii="Arial" w:eastAsia="Times New Roman" w:hAnsi="Arial" w:cs="Arial"/>
                <w:sz w:val="18"/>
                <w:szCs w:val="18"/>
                <w:lang w:eastAsia="pt-BR"/>
              </w:rPr>
              <w:t>forma do item 3.2 deste Anexo</w:t>
            </w:r>
            <w:r w:rsidR="00C30522">
              <w:rPr>
                <w:rFonts w:ascii="Arial" w:eastAsia="Times New Roman" w:hAnsi="Arial" w:cs="Arial"/>
                <w:sz w:val="18"/>
                <w:szCs w:val="18"/>
                <w:lang w:eastAsia="pt-BR"/>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47FAF61" w14:textId="77777777" w:rsidR="000D0C88" w:rsidRPr="003B4337" w:rsidRDefault="000D0C88" w:rsidP="000D0C88">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c>
          <w:tcPr>
            <w:tcW w:w="992" w:type="dxa"/>
            <w:tcBorders>
              <w:top w:val="single" w:sz="4" w:space="0" w:color="auto"/>
              <w:left w:val="single" w:sz="4" w:space="0" w:color="auto"/>
              <w:bottom w:val="single" w:sz="4" w:space="0" w:color="auto"/>
              <w:right w:val="single" w:sz="4" w:space="0" w:color="auto"/>
            </w:tcBorders>
            <w:vAlign w:val="center"/>
          </w:tcPr>
          <w:p w14:paraId="3177CF91" w14:textId="77777777" w:rsidR="000D0C88" w:rsidRPr="00CB55B0" w:rsidRDefault="000D0C88" w:rsidP="000D0C88">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tcBorders>
              <w:top w:val="single" w:sz="4" w:space="0" w:color="auto"/>
              <w:left w:val="single" w:sz="4" w:space="0" w:color="auto"/>
              <w:bottom w:val="single" w:sz="4" w:space="0" w:color="auto"/>
              <w:right w:val="single" w:sz="4" w:space="0" w:color="auto"/>
            </w:tcBorders>
            <w:vAlign w:val="center"/>
          </w:tcPr>
          <w:p w14:paraId="5C62B169" w14:textId="77777777" w:rsidR="000D0C88" w:rsidRPr="00CB55B0" w:rsidRDefault="000D0C88" w:rsidP="000D0C88">
            <w:pPr>
              <w:spacing w:after="0" w:line="240" w:lineRule="auto"/>
              <w:jc w:val="center"/>
              <w:rPr>
                <w:rFonts w:ascii="Arial" w:eastAsia="Times New Roman" w:hAnsi="Arial" w:cs="Arial"/>
                <w:sz w:val="14"/>
                <w:szCs w:val="14"/>
                <w:lang w:eastAsia="pt-BR"/>
              </w:rPr>
            </w:pPr>
          </w:p>
        </w:tc>
        <w:tc>
          <w:tcPr>
            <w:tcW w:w="851" w:type="dxa"/>
            <w:tcBorders>
              <w:top w:val="single" w:sz="4" w:space="0" w:color="auto"/>
              <w:left w:val="single" w:sz="4" w:space="0" w:color="auto"/>
              <w:bottom w:val="single" w:sz="4" w:space="0" w:color="auto"/>
              <w:right w:val="single" w:sz="4" w:space="0" w:color="auto"/>
            </w:tcBorders>
            <w:vAlign w:val="center"/>
          </w:tcPr>
          <w:p w14:paraId="513CEAC6" w14:textId="77777777" w:rsidR="000D0C88" w:rsidRPr="003B4337" w:rsidRDefault="000D0C88" w:rsidP="000D0C88">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850" w:type="dxa"/>
            <w:tcBorders>
              <w:top w:val="single" w:sz="4" w:space="0" w:color="auto"/>
              <w:left w:val="single" w:sz="4" w:space="0" w:color="auto"/>
              <w:bottom w:val="single" w:sz="4" w:space="0" w:color="auto"/>
              <w:right w:val="single" w:sz="4" w:space="0" w:color="auto"/>
            </w:tcBorders>
            <w:vAlign w:val="center"/>
          </w:tcPr>
          <w:p w14:paraId="2907A1C5" w14:textId="77777777" w:rsidR="000D0C88" w:rsidRPr="003B4337" w:rsidRDefault="000D0C88" w:rsidP="000D0C88">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851" w:type="dxa"/>
            <w:tcBorders>
              <w:top w:val="single" w:sz="4" w:space="0" w:color="auto"/>
              <w:left w:val="single" w:sz="4" w:space="0" w:color="auto"/>
              <w:bottom w:val="single" w:sz="4" w:space="0" w:color="auto"/>
              <w:right w:val="single" w:sz="4" w:space="0" w:color="auto"/>
            </w:tcBorders>
            <w:vAlign w:val="center"/>
          </w:tcPr>
          <w:p w14:paraId="24D5D55D" w14:textId="77777777" w:rsidR="000D0C88" w:rsidRPr="003B4337" w:rsidRDefault="000D0C88" w:rsidP="000D0C88">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r>
      <w:tr w:rsidR="000D0C88" w:rsidRPr="00A5490A" w14:paraId="11DCFDD3" w14:textId="77777777" w:rsidTr="000065F5">
        <w:tc>
          <w:tcPr>
            <w:tcW w:w="1294" w:type="dxa"/>
            <w:vAlign w:val="center"/>
          </w:tcPr>
          <w:p w14:paraId="213480CF" w14:textId="77777777" w:rsidR="000D0C88" w:rsidRPr="003B4337" w:rsidRDefault="000D0C88" w:rsidP="000D0C88">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INVALM</w:t>
            </w:r>
          </w:p>
        </w:tc>
        <w:tc>
          <w:tcPr>
            <w:tcW w:w="7206" w:type="dxa"/>
            <w:shd w:val="clear" w:color="auto" w:fill="auto"/>
            <w:vAlign w:val="center"/>
          </w:tcPr>
          <w:p w14:paraId="763E5692" w14:textId="017F9497" w:rsidR="000D0C88" w:rsidRPr="003B4337" w:rsidRDefault="000D0C88" w:rsidP="00C30522">
            <w:pPr>
              <w:pStyle w:val="Default"/>
              <w:spacing w:before="120" w:after="120"/>
              <w:jc w:val="both"/>
              <w:rPr>
                <w:rFonts w:eastAsia="Times New Roman"/>
                <w:color w:val="auto"/>
                <w:sz w:val="18"/>
                <w:szCs w:val="18"/>
                <w:lang w:eastAsia="pt-BR"/>
              </w:rPr>
            </w:pPr>
            <w:r w:rsidRPr="003B4337">
              <w:rPr>
                <w:rFonts w:eastAsia="Times New Roman"/>
                <w:color w:val="auto"/>
                <w:sz w:val="18"/>
                <w:szCs w:val="18"/>
                <w:lang w:eastAsia="pt-BR"/>
              </w:rPr>
              <w:t xml:space="preserve">Inventário anual dos bens em almoxarifado, conforme layout constante </w:t>
            </w:r>
            <w:r w:rsidRPr="00AD3F82">
              <w:rPr>
                <w:rFonts w:eastAsia="Times New Roman"/>
                <w:color w:val="auto"/>
                <w:sz w:val="18"/>
                <w:szCs w:val="18"/>
                <w:lang w:eastAsia="pt-BR"/>
              </w:rPr>
              <w:t xml:space="preserve">do item </w:t>
            </w:r>
            <w:r w:rsidR="00C30522">
              <w:rPr>
                <w:rFonts w:eastAsia="Times New Roman"/>
                <w:color w:val="auto"/>
                <w:sz w:val="18"/>
                <w:szCs w:val="18"/>
                <w:lang w:eastAsia="pt-BR"/>
              </w:rPr>
              <w:t>3.1</w:t>
            </w:r>
            <w:r w:rsidRPr="00AD3F82">
              <w:rPr>
                <w:rFonts w:eastAsia="Times New Roman"/>
                <w:color w:val="auto"/>
                <w:sz w:val="18"/>
                <w:szCs w:val="18"/>
                <w:lang w:eastAsia="pt-BR"/>
              </w:rPr>
              <w:t xml:space="preserve"> deste Anexo.</w:t>
            </w:r>
          </w:p>
        </w:tc>
        <w:tc>
          <w:tcPr>
            <w:tcW w:w="993" w:type="dxa"/>
            <w:shd w:val="clear" w:color="auto" w:fill="auto"/>
            <w:vAlign w:val="center"/>
          </w:tcPr>
          <w:p w14:paraId="508C02EB" w14:textId="77777777" w:rsidR="000D0C88" w:rsidRPr="003B4337" w:rsidRDefault="000D0C88" w:rsidP="000D0C88">
            <w:pPr>
              <w:spacing w:after="0" w:line="240" w:lineRule="auto"/>
              <w:jc w:val="center"/>
              <w:rPr>
                <w:rFonts w:ascii="Arial" w:eastAsia="Times New Roman" w:hAnsi="Arial" w:cs="Arial"/>
                <w:sz w:val="14"/>
                <w:szCs w:val="14"/>
                <w:lang w:eastAsia="pt-BR"/>
              </w:rPr>
            </w:pPr>
            <w:r w:rsidRPr="003B4337">
              <w:rPr>
                <w:rFonts w:ascii="Arial" w:eastAsia="Times New Roman" w:hAnsi="Arial" w:cs="Arial"/>
                <w:sz w:val="14"/>
                <w:szCs w:val="14"/>
                <w:lang w:eastAsia="pt-BR"/>
              </w:rPr>
              <w:t>XML</w:t>
            </w:r>
          </w:p>
        </w:tc>
        <w:tc>
          <w:tcPr>
            <w:tcW w:w="992" w:type="dxa"/>
            <w:vAlign w:val="center"/>
          </w:tcPr>
          <w:p w14:paraId="2658D028" w14:textId="77777777" w:rsidR="000D0C88" w:rsidRPr="00CB55B0" w:rsidRDefault="000D0C88" w:rsidP="000D0C88">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vAlign w:val="center"/>
          </w:tcPr>
          <w:p w14:paraId="38365FC1" w14:textId="77777777" w:rsidR="000D0C88" w:rsidRPr="00CB55B0" w:rsidRDefault="000D0C88" w:rsidP="000D0C88">
            <w:pPr>
              <w:spacing w:after="0" w:line="240" w:lineRule="auto"/>
              <w:jc w:val="center"/>
              <w:rPr>
                <w:rFonts w:ascii="Arial" w:eastAsia="Times New Roman" w:hAnsi="Arial" w:cs="Arial"/>
                <w:sz w:val="14"/>
                <w:szCs w:val="14"/>
                <w:lang w:eastAsia="pt-BR"/>
              </w:rPr>
            </w:pPr>
          </w:p>
        </w:tc>
        <w:tc>
          <w:tcPr>
            <w:tcW w:w="851" w:type="dxa"/>
            <w:vAlign w:val="center"/>
          </w:tcPr>
          <w:p w14:paraId="1904450F" w14:textId="77777777" w:rsidR="000D0C88" w:rsidRPr="003B4337" w:rsidRDefault="000D0C88" w:rsidP="000D0C88">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850" w:type="dxa"/>
            <w:vAlign w:val="center"/>
          </w:tcPr>
          <w:p w14:paraId="53DA1109" w14:textId="77777777" w:rsidR="000D0C88" w:rsidRPr="003B4337" w:rsidRDefault="000D0C88" w:rsidP="000D0C88">
            <w:pPr>
              <w:spacing w:after="0" w:line="240" w:lineRule="auto"/>
              <w:jc w:val="center"/>
              <w:rPr>
                <w:rFonts w:ascii="Arial" w:eastAsia="Times New Roman" w:hAnsi="Arial" w:cs="Arial"/>
                <w:sz w:val="14"/>
                <w:szCs w:val="14"/>
                <w:lang w:eastAsia="pt-BR"/>
              </w:rPr>
            </w:pPr>
          </w:p>
        </w:tc>
        <w:tc>
          <w:tcPr>
            <w:tcW w:w="851" w:type="dxa"/>
            <w:vAlign w:val="center"/>
          </w:tcPr>
          <w:p w14:paraId="6FCC7623" w14:textId="77777777" w:rsidR="000D0C88" w:rsidRPr="003B4337" w:rsidRDefault="000D0C88" w:rsidP="000D0C88">
            <w:pPr>
              <w:spacing w:after="0" w:line="240" w:lineRule="auto"/>
              <w:jc w:val="center"/>
              <w:rPr>
                <w:rFonts w:ascii="Arial" w:eastAsia="Times New Roman" w:hAnsi="Arial" w:cs="Arial"/>
                <w:sz w:val="14"/>
                <w:szCs w:val="14"/>
                <w:lang w:eastAsia="pt-BR"/>
              </w:rPr>
            </w:pPr>
          </w:p>
        </w:tc>
      </w:tr>
      <w:tr w:rsidR="000D0C88" w:rsidRPr="00856E0F" w14:paraId="4D0B10F4" w14:textId="77777777" w:rsidTr="000065F5">
        <w:tc>
          <w:tcPr>
            <w:tcW w:w="1294" w:type="dxa"/>
            <w:tcBorders>
              <w:top w:val="single" w:sz="4" w:space="0" w:color="auto"/>
              <w:left w:val="single" w:sz="4" w:space="0" w:color="auto"/>
              <w:bottom w:val="single" w:sz="4" w:space="0" w:color="auto"/>
              <w:right w:val="single" w:sz="4" w:space="0" w:color="auto"/>
            </w:tcBorders>
            <w:vAlign w:val="center"/>
          </w:tcPr>
          <w:p w14:paraId="66024AB6" w14:textId="77777777" w:rsidR="000D0C88" w:rsidRPr="003B4337" w:rsidRDefault="000D0C88" w:rsidP="000D0C88">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lastRenderedPageBreak/>
              <w:t>TERALM</w:t>
            </w:r>
          </w:p>
        </w:tc>
        <w:tc>
          <w:tcPr>
            <w:tcW w:w="7206" w:type="dxa"/>
            <w:tcBorders>
              <w:top w:val="single" w:sz="4" w:space="0" w:color="auto"/>
              <w:left w:val="single" w:sz="4" w:space="0" w:color="auto"/>
              <w:bottom w:val="single" w:sz="4" w:space="0" w:color="auto"/>
              <w:right w:val="single" w:sz="4" w:space="0" w:color="auto"/>
            </w:tcBorders>
            <w:shd w:val="clear" w:color="auto" w:fill="auto"/>
            <w:vAlign w:val="center"/>
          </w:tcPr>
          <w:p w14:paraId="00F917C4" w14:textId="2FCF1624" w:rsidR="000D0C88" w:rsidRPr="003B4337" w:rsidRDefault="000D0C88" w:rsidP="000D0C88">
            <w:pPr>
              <w:pStyle w:val="Default"/>
              <w:rPr>
                <w:rFonts w:eastAsia="Times New Roman"/>
                <w:color w:val="auto"/>
                <w:sz w:val="18"/>
                <w:szCs w:val="18"/>
                <w:lang w:eastAsia="pt-BR"/>
              </w:rPr>
            </w:pPr>
            <w:r w:rsidRPr="003B4337">
              <w:rPr>
                <w:rFonts w:eastAsia="Times New Roman"/>
                <w:color w:val="auto"/>
                <w:sz w:val="18"/>
                <w:szCs w:val="18"/>
                <w:lang w:eastAsia="pt-BR"/>
              </w:rPr>
              <w:t>Termo circunstanciado elaborado e assinado pela comissão responsável pelo Inventário anual dos bens em almoxarifado (INVALM), indicando o saldo total apurado e o detalhamento (especificação e valor) das divergências encontradas</w:t>
            </w:r>
            <w:r>
              <w:rPr>
                <w:rFonts w:eastAsia="Times New Roman"/>
                <w:sz w:val="18"/>
                <w:szCs w:val="18"/>
                <w:lang w:eastAsia="pt-BR"/>
              </w:rPr>
              <w:t xml:space="preserve">, </w:t>
            </w:r>
            <w:r w:rsidR="00C30522" w:rsidRPr="003B4337">
              <w:rPr>
                <w:rFonts w:eastAsia="Times New Roman"/>
                <w:sz w:val="18"/>
                <w:szCs w:val="18"/>
                <w:lang w:eastAsia="pt-BR"/>
              </w:rPr>
              <w:t xml:space="preserve">na </w:t>
            </w:r>
            <w:r w:rsidR="00C30522" w:rsidRPr="00BB7DB5">
              <w:rPr>
                <w:rFonts w:eastAsia="Times New Roman"/>
                <w:sz w:val="18"/>
                <w:szCs w:val="18"/>
                <w:lang w:eastAsia="pt-BR"/>
              </w:rPr>
              <w:t>forma do item 3.2 deste Anexo</w:t>
            </w:r>
            <w:r w:rsidR="00C30522">
              <w:rPr>
                <w:rFonts w:eastAsia="Times New Roman"/>
                <w:sz w:val="18"/>
                <w:szCs w:val="18"/>
                <w:lang w:eastAsia="pt-BR"/>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F11600A" w14:textId="77777777" w:rsidR="000D0C88" w:rsidRPr="003B4337" w:rsidRDefault="000D0C88" w:rsidP="000D0C88">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c>
          <w:tcPr>
            <w:tcW w:w="992" w:type="dxa"/>
            <w:tcBorders>
              <w:top w:val="single" w:sz="4" w:space="0" w:color="auto"/>
              <w:left w:val="single" w:sz="4" w:space="0" w:color="auto"/>
              <w:bottom w:val="single" w:sz="4" w:space="0" w:color="auto"/>
              <w:right w:val="single" w:sz="4" w:space="0" w:color="auto"/>
            </w:tcBorders>
            <w:vAlign w:val="center"/>
          </w:tcPr>
          <w:p w14:paraId="089E556D" w14:textId="77777777" w:rsidR="000D0C88" w:rsidRPr="00CB55B0" w:rsidRDefault="000D0C88" w:rsidP="000D0C88">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tcBorders>
              <w:top w:val="single" w:sz="4" w:space="0" w:color="auto"/>
              <w:left w:val="single" w:sz="4" w:space="0" w:color="auto"/>
              <w:bottom w:val="single" w:sz="4" w:space="0" w:color="auto"/>
              <w:right w:val="single" w:sz="4" w:space="0" w:color="auto"/>
            </w:tcBorders>
            <w:vAlign w:val="center"/>
          </w:tcPr>
          <w:p w14:paraId="3D3FE3EE" w14:textId="77777777" w:rsidR="000D0C88" w:rsidRPr="00CB55B0" w:rsidRDefault="000D0C88" w:rsidP="000D0C88">
            <w:pPr>
              <w:spacing w:after="0" w:line="240" w:lineRule="auto"/>
              <w:jc w:val="center"/>
              <w:rPr>
                <w:rFonts w:ascii="Arial" w:eastAsia="Times New Roman" w:hAnsi="Arial" w:cs="Arial"/>
                <w:sz w:val="14"/>
                <w:szCs w:val="14"/>
                <w:lang w:eastAsia="pt-BR"/>
              </w:rPr>
            </w:pPr>
          </w:p>
        </w:tc>
        <w:tc>
          <w:tcPr>
            <w:tcW w:w="851" w:type="dxa"/>
            <w:tcBorders>
              <w:top w:val="single" w:sz="4" w:space="0" w:color="auto"/>
              <w:left w:val="single" w:sz="4" w:space="0" w:color="auto"/>
              <w:bottom w:val="single" w:sz="4" w:space="0" w:color="auto"/>
              <w:right w:val="single" w:sz="4" w:space="0" w:color="auto"/>
            </w:tcBorders>
            <w:vAlign w:val="center"/>
          </w:tcPr>
          <w:p w14:paraId="5717F72E" w14:textId="77777777" w:rsidR="000D0C88" w:rsidRPr="003B4337" w:rsidRDefault="000D0C88" w:rsidP="000D0C88">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850" w:type="dxa"/>
            <w:tcBorders>
              <w:top w:val="single" w:sz="4" w:space="0" w:color="auto"/>
              <w:left w:val="single" w:sz="4" w:space="0" w:color="auto"/>
              <w:bottom w:val="single" w:sz="4" w:space="0" w:color="auto"/>
              <w:right w:val="single" w:sz="4" w:space="0" w:color="auto"/>
            </w:tcBorders>
            <w:vAlign w:val="center"/>
          </w:tcPr>
          <w:p w14:paraId="4D7271C2" w14:textId="77777777" w:rsidR="000D0C88" w:rsidRPr="003B4337" w:rsidRDefault="000D0C88" w:rsidP="000D0C88">
            <w:pPr>
              <w:spacing w:after="0" w:line="240" w:lineRule="auto"/>
              <w:jc w:val="center"/>
              <w:rPr>
                <w:rFonts w:ascii="Arial" w:eastAsia="Times New Roman" w:hAnsi="Arial" w:cs="Arial"/>
                <w:sz w:val="14"/>
                <w:szCs w:val="14"/>
                <w:lang w:eastAsia="pt-BR"/>
              </w:rPr>
            </w:pPr>
          </w:p>
        </w:tc>
        <w:tc>
          <w:tcPr>
            <w:tcW w:w="851" w:type="dxa"/>
            <w:tcBorders>
              <w:top w:val="single" w:sz="4" w:space="0" w:color="auto"/>
              <w:left w:val="single" w:sz="4" w:space="0" w:color="auto"/>
              <w:bottom w:val="single" w:sz="4" w:space="0" w:color="auto"/>
              <w:right w:val="single" w:sz="4" w:space="0" w:color="auto"/>
            </w:tcBorders>
            <w:vAlign w:val="center"/>
          </w:tcPr>
          <w:p w14:paraId="3A82F558" w14:textId="77777777" w:rsidR="000D0C88" w:rsidRPr="003B4337" w:rsidRDefault="000D0C88" w:rsidP="000D0C88">
            <w:pPr>
              <w:spacing w:after="0" w:line="240" w:lineRule="auto"/>
              <w:jc w:val="center"/>
              <w:rPr>
                <w:rFonts w:ascii="Arial" w:eastAsia="Times New Roman" w:hAnsi="Arial" w:cs="Arial"/>
                <w:sz w:val="14"/>
                <w:szCs w:val="14"/>
                <w:lang w:eastAsia="pt-BR"/>
              </w:rPr>
            </w:pPr>
          </w:p>
        </w:tc>
      </w:tr>
      <w:tr w:rsidR="000D0C88" w:rsidRPr="00A5490A" w14:paraId="007A02BD" w14:textId="77777777" w:rsidTr="000065F5">
        <w:tc>
          <w:tcPr>
            <w:tcW w:w="1294" w:type="dxa"/>
            <w:vAlign w:val="center"/>
          </w:tcPr>
          <w:p w14:paraId="3C962E44" w14:textId="77777777" w:rsidR="000D0C88" w:rsidRPr="003B4337" w:rsidRDefault="000D0C88" w:rsidP="000D0C88">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INVINT</w:t>
            </w:r>
          </w:p>
        </w:tc>
        <w:tc>
          <w:tcPr>
            <w:tcW w:w="7206" w:type="dxa"/>
            <w:shd w:val="clear" w:color="auto" w:fill="auto"/>
            <w:vAlign w:val="center"/>
          </w:tcPr>
          <w:p w14:paraId="6879C76F" w14:textId="56318C58" w:rsidR="000D0C88" w:rsidRPr="003B4337" w:rsidRDefault="000D0C88" w:rsidP="00C30522">
            <w:pPr>
              <w:pStyle w:val="Default"/>
              <w:spacing w:before="120" w:after="120"/>
              <w:jc w:val="both"/>
              <w:rPr>
                <w:rFonts w:eastAsia="Times New Roman"/>
                <w:color w:val="auto"/>
                <w:sz w:val="18"/>
                <w:szCs w:val="18"/>
                <w:lang w:eastAsia="pt-BR"/>
              </w:rPr>
            </w:pPr>
            <w:r w:rsidRPr="003B4337">
              <w:rPr>
                <w:rFonts w:eastAsia="Times New Roman"/>
                <w:color w:val="auto"/>
                <w:sz w:val="18"/>
                <w:szCs w:val="18"/>
                <w:lang w:eastAsia="pt-BR"/>
              </w:rPr>
              <w:t xml:space="preserve">Inventário anual dos bens intangíveis, conforme layout constante </w:t>
            </w:r>
            <w:r w:rsidRPr="00AD3F82">
              <w:rPr>
                <w:rFonts w:eastAsia="Times New Roman"/>
                <w:color w:val="auto"/>
                <w:sz w:val="18"/>
                <w:szCs w:val="18"/>
                <w:lang w:eastAsia="pt-BR"/>
              </w:rPr>
              <w:t xml:space="preserve">do item </w:t>
            </w:r>
            <w:r w:rsidR="00C30522">
              <w:rPr>
                <w:rFonts w:eastAsia="Times New Roman"/>
                <w:color w:val="auto"/>
                <w:sz w:val="18"/>
                <w:szCs w:val="18"/>
                <w:lang w:eastAsia="pt-BR"/>
              </w:rPr>
              <w:t>3.1</w:t>
            </w:r>
            <w:r w:rsidRPr="00AD3F82">
              <w:rPr>
                <w:rFonts w:eastAsia="Times New Roman"/>
                <w:color w:val="auto"/>
                <w:sz w:val="18"/>
                <w:szCs w:val="18"/>
                <w:lang w:eastAsia="pt-BR"/>
              </w:rPr>
              <w:t xml:space="preserve"> deste Anexo.</w:t>
            </w:r>
          </w:p>
        </w:tc>
        <w:tc>
          <w:tcPr>
            <w:tcW w:w="993" w:type="dxa"/>
            <w:shd w:val="clear" w:color="auto" w:fill="auto"/>
            <w:vAlign w:val="center"/>
          </w:tcPr>
          <w:p w14:paraId="22E4DA46" w14:textId="77777777" w:rsidR="000D0C88" w:rsidRPr="003B4337" w:rsidRDefault="000D0C88" w:rsidP="000D0C88">
            <w:pPr>
              <w:spacing w:after="0" w:line="240" w:lineRule="auto"/>
              <w:jc w:val="center"/>
              <w:rPr>
                <w:rFonts w:ascii="Arial" w:eastAsia="Times New Roman" w:hAnsi="Arial" w:cs="Arial"/>
                <w:sz w:val="14"/>
                <w:szCs w:val="14"/>
                <w:lang w:eastAsia="pt-BR"/>
              </w:rPr>
            </w:pPr>
            <w:r w:rsidRPr="003B4337">
              <w:rPr>
                <w:rFonts w:ascii="Arial" w:eastAsia="Times New Roman" w:hAnsi="Arial" w:cs="Arial"/>
                <w:sz w:val="14"/>
                <w:szCs w:val="14"/>
                <w:lang w:eastAsia="pt-BR"/>
              </w:rPr>
              <w:t>XML</w:t>
            </w:r>
          </w:p>
        </w:tc>
        <w:tc>
          <w:tcPr>
            <w:tcW w:w="992" w:type="dxa"/>
            <w:vAlign w:val="center"/>
          </w:tcPr>
          <w:p w14:paraId="409666F4" w14:textId="77777777" w:rsidR="000D0C88" w:rsidRPr="00CB55B0" w:rsidRDefault="000D0C88" w:rsidP="000D0C88">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vAlign w:val="center"/>
          </w:tcPr>
          <w:p w14:paraId="64F868F8" w14:textId="77777777" w:rsidR="000D0C88" w:rsidRPr="00CB55B0" w:rsidRDefault="000D0C88" w:rsidP="000D0C88">
            <w:pPr>
              <w:spacing w:after="0" w:line="240" w:lineRule="auto"/>
              <w:jc w:val="center"/>
              <w:rPr>
                <w:rFonts w:ascii="Arial" w:eastAsia="Times New Roman" w:hAnsi="Arial" w:cs="Arial"/>
                <w:sz w:val="14"/>
                <w:szCs w:val="14"/>
                <w:lang w:eastAsia="pt-BR"/>
              </w:rPr>
            </w:pPr>
          </w:p>
        </w:tc>
        <w:tc>
          <w:tcPr>
            <w:tcW w:w="851" w:type="dxa"/>
            <w:vAlign w:val="center"/>
          </w:tcPr>
          <w:p w14:paraId="28DFD321" w14:textId="77777777" w:rsidR="000D0C88" w:rsidRPr="003B4337" w:rsidRDefault="000D0C88" w:rsidP="000D0C88">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850" w:type="dxa"/>
            <w:vAlign w:val="center"/>
          </w:tcPr>
          <w:p w14:paraId="2DB35515" w14:textId="77777777" w:rsidR="000D0C88" w:rsidRPr="003B4337" w:rsidRDefault="000D0C88" w:rsidP="000D0C88">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851" w:type="dxa"/>
            <w:vAlign w:val="center"/>
          </w:tcPr>
          <w:p w14:paraId="53D3D407" w14:textId="77777777" w:rsidR="000D0C88" w:rsidRPr="003B4337" w:rsidRDefault="000D0C88" w:rsidP="000D0C88">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r>
      <w:tr w:rsidR="000D0C88" w:rsidRPr="00856E0F" w14:paraId="67C3C9B9" w14:textId="77777777" w:rsidTr="000065F5">
        <w:tc>
          <w:tcPr>
            <w:tcW w:w="1294" w:type="dxa"/>
            <w:tcBorders>
              <w:top w:val="single" w:sz="4" w:space="0" w:color="auto"/>
              <w:left w:val="single" w:sz="4" w:space="0" w:color="auto"/>
              <w:bottom w:val="single" w:sz="4" w:space="0" w:color="auto"/>
              <w:right w:val="single" w:sz="4" w:space="0" w:color="auto"/>
            </w:tcBorders>
            <w:vAlign w:val="center"/>
          </w:tcPr>
          <w:p w14:paraId="63C7B93E" w14:textId="77777777" w:rsidR="000D0C88" w:rsidRPr="003B4337" w:rsidRDefault="000D0C88" w:rsidP="000D0C88">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TERINT</w:t>
            </w:r>
          </w:p>
        </w:tc>
        <w:tc>
          <w:tcPr>
            <w:tcW w:w="7206" w:type="dxa"/>
            <w:tcBorders>
              <w:top w:val="single" w:sz="4" w:space="0" w:color="auto"/>
              <w:left w:val="single" w:sz="4" w:space="0" w:color="auto"/>
              <w:bottom w:val="single" w:sz="4" w:space="0" w:color="auto"/>
              <w:right w:val="single" w:sz="4" w:space="0" w:color="auto"/>
            </w:tcBorders>
            <w:shd w:val="clear" w:color="auto" w:fill="auto"/>
            <w:vAlign w:val="center"/>
          </w:tcPr>
          <w:p w14:paraId="001A5C4A" w14:textId="59F24179" w:rsidR="000D0C88" w:rsidRPr="003B4337" w:rsidRDefault="000D0C88" w:rsidP="000D0C88">
            <w:pPr>
              <w:pStyle w:val="Default"/>
              <w:rPr>
                <w:rFonts w:eastAsia="Times New Roman"/>
                <w:color w:val="auto"/>
                <w:sz w:val="18"/>
                <w:szCs w:val="18"/>
                <w:lang w:eastAsia="pt-BR"/>
              </w:rPr>
            </w:pPr>
            <w:r w:rsidRPr="003B4337">
              <w:rPr>
                <w:rFonts w:eastAsia="Times New Roman"/>
                <w:color w:val="auto"/>
                <w:sz w:val="18"/>
                <w:szCs w:val="18"/>
                <w:lang w:eastAsia="pt-BR"/>
              </w:rPr>
              <w:t>Termo circunstanciado elaborado e assinado pela comissão responsável pelo Inventário anual dos bens intangíveis (INVINT), indicando o saldo total apurado e o detalhamento (especificação e valor) das divergências encontradas</w:t>
            </w:r>
            <w:r>
              <w:rPr>
                <w:rFonts w:eastAsia="Times New Roman"/>
                <w:sz w:val="18"/>
                <w:szCs w:val="18"/>
                <w:lang w:eastAsia="pt-BR"/>
              </w:rPr>
              <w:t xml:space="preserve">, </w:t>
            </w:r>
            <w:r w:rsidR="00C30522" w:rsidRPr="003B4337">
              <w:rPr>
                <w:rFonts w:eastAsia="Times New Roman"/>
                <w:sz w:val="18"/>
                <w:szCs w:val="18"/>
                <w:lang w:eastAsia="pt-BR"/>
              </w:rPr>
              <w:t xml:space="preserve">na </w:t>
            </w:r>
            <w:r w:rsidR="00C30522" w:rsidRPr="00BB7DB5">
              <w:rPr>
                <w:rFonts w:eastAsia="Times New Roman"/>
                <w:sz w:val="18"/>
                <w:szCs w:val="18"/>
                <w:lang w:eastAsia="pt-BR"/>
              </w:rPr>
              <w:t>forma do item 3.2 deste Anexo</w:t>
            </w:r>
            <w:r w:rsidR="00C30522">
              <w:rPr>
                <w:rFonts w:eastAsia="Times New Roman"/>
                <w:sz w:val="18"/>
                <w:szCs w:val="18"/>
                <w:lang w:eastAsia="pt-BR"/>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E533CE1" w14:textId="77777777" w:rsidR="000D0C88" w:rsidRPr="003B4337" w:rsidRDefault="000D0C88" w:rsidP="000D0C88">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c>
          <w:tcPr>
            <w:tcW w:w="992" w:type="dxa"/>
            <w:tcBorders>
              <w:top w:val="single" w:sz="4" w:space="0" w:color="auto"/>
              <w:left w:val="single" w:sz="4" w:space="0" w:color="auto"/>
              <w:bottom w:val="single" w:sz="4" w:space="0" w:color="auto"/>
              <w:right w:val="single" w:sz="4" w:space="0" w:color="auto"/>
            </w:tcBorders>
            <w:vAlign w:val="center"/>
          </w:tcPr>
          <w:p w14:paraId="2A534DD8" w14:textId="77777777" w:rsidR="000D0C88" w:rsidRPr="00CB55B0" w:rsidRDefault="000D0C88" w:rsidP="000D0C88">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tcBorders>
              <w:top w:val="single" w:sz="4" w:space="0" w:color="auto"/>
              <w:left w:val="single" w:sz="4" w:space="0" w:color="auto"/>
              <w:bottom w:val="single" w:sz="4" w:space="0" w:color="auto"/>
              <w:right w:val="single" w:sz="4" w:space="0" w:color="auto"/>
            </w:tcBorders>
            <w:vAlign w:val="center"/>
          </w:tcPr>
          <w:p w14:paraId="58DE31F6" w14:textId="77777777" w:rsidR="000D0C88" w:rsidRPr="00CB55B0" w:rsidRDefault="000D0C88" w:rsidP="000D0C88">
            <w:pPr>
              <w:spacing w:after="0" w:line="240" w:lineRule="auto"/>
              <w:jc w:val="center"/>
              <w:rPr>
                <w:rFonts w:ascii="Arial" w:eastAsia="Times New Roman" w:hAnsi="Arial" w:cs="Arial"/>
                <w:sz w:val="14"/>
                <w:szCs w:val="14"/>
                <w:lang w:eastAsia="pt-BR"/>
              </w:rPr>
            </w:pPr>
          </w:p>
        </w:tc>
        <w:tc>
          <w:tcPr>
            <w:tcW w:w="851" w:type="dxa"/>
            <w:tcBorders>
              <w:top w:val="single" w:sz="4" w:space="0" w:color="auto"/>
              <w:left w:val="single" w:sz="4" w:space="0" w:color="auto"/>
              <w:bottom w:val="single" w:sz="4" w:space="0" w:color="auto"/>
              <w:right w:val="single" w:sz="4" w:space="0" w:color="auto"/>
            </w:tcBorders>
            <w:vAlign w:val="center"/>
          </w:tcPr>
          <w:p w14:paraId="5F2F9C42" w14:textId="77777777" w:rsidR="000D0C88" w:rsidRPr="003B4337" w:rsidRDefault="000D0C88" w:rsidP="000D0C88">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850" w:type="dxa"/>
            <w:tcBorders>
              <w:top w:val="single" w:sz="4" w:space="0" w:color="auto"/>
              <w:left w:val="single" w:sz="4" w:space="0" w:color="auto"/>
              <w:bottom w:val="single" w:sz="4" w:space="0" w:color="auto"/>
              <w:right w:val="single" w:sz="4" w:space="0" w:color="auto"/>
            </w:tcBorders>
            <w:vAlign w:val="center"/>
          </w:tcPr>
          <w:p w14:paraId="408A6D6A" w14:textId="77777777" w:rsidR="000D0C88" w:rsidRPr="003B4337" w:rsidRDefault="000D0C88" w:rsidP="000D0C88">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851" w:type="dxa"/>
            <w:tcBorders>
              <w:top w:val="single" w:sz="4" w:space="0" w:color="auto"/>
              <w:left w:val="single" w:sz="4" w:space="0" w:color="auto"/>
              <w:bottom w:val="single" w:sz="4" w:space="0" w:color="auto"/>
              <w:right w:val="single" w:sz="4" w:space="0" w:color="auto"/>
            </w:tcBorders>
            <w:vAlign w:val="center"/>
          </w:tcPr>
          <w:p w14:paraId="19944265" w14:textId="77777777" w:rsidR="000D0C88" w:rsidRPr="003B4337" w:rsidRDefault="000D0C88" w:rsidP="000D0C88">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r>
      <w:tr w:rsidR="000D0C88" w:rsidRPr="00A5490A" w14:paraId="46635699" w14:textId="77777777" w:rsidTr="000065F5">
        <w:tc>
          <w:tcPr>
            <w:tcW w:w="1294" w:type="dxa"/>
            <w:vAlign w:val="center"/>
          </w:tcPr>
          <w:p w14:paraId="5D1E9E6A" w14:textId="77777777" w:rsidR="000D0C88" w:rsidRPr="003B4337" w:rsidRDefault="000D0C88" w:rsidP="000D0C88">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COMINV</w:t>
            </w:r>
          </w:p>
        </w:tc>
        <w:tc>
          <w:tcPr>
            <w:tcW w:w="7206" w:type="dxa"/>
            <w:shd w:val="clear" w:color="auto" w:fill="auto"/>
            <w:vAlign w:val="center"/>
          </w:tcPr>
          <w:p w14:paraId="7AB02B09" w14:textId="77777777" w:rsidR="000D0C88" w:rsidRPr="003B4337" w:rsidRDefault="000D0C88" w:rsidP="000D0C88">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Ato de designação da comissão responsável pela elaboração dos inventários.</w:t>
            </w:r>
          </w:p>
        </w:tc>
        <w:tc>
          <w:tcPr>
            <w:tcW w:w="993" w:type="dxa"/>
            <w:shd w:val="clear" w:color="auto" w:fill="auto"/>
            <w:vAlign w:val="center"/>
          </w:tcPr>
          <w:p w14:paraId="536FF300" w14:textId="77777777" w:rsidR="000D0C88" w:rsidRPr="003B4337" w:rsidRDefault="000D0C88" w:rsidP="000D0C88">
            <w:pPr>
              <w:spacing w:after="0" w:line="240" w:lineRule="auto"/>
              <w:jc w:val="center"/>
              <w:rPr>
                <w:rFonts w:ascii="Arial" w:eastAsia="Times New Roman" w:hAnsi="Arial" w:cs="Arial"/>
                <w:i/>
                <w:sz w:val="14"/>
                <w:szCs w:val="14"/>
                <w:lang w:eastAsia="pt-BR"/>
              </w:rPr>
            </w:pPr>
            <w:r>
              <w:rPr>
                <w:rFonts w:ascii="Arial" w:eastAsia="Times New Roman" w:hAnsi="Arial" w:cs="Arial"/>
                <w:sz w:val="14"/>
                <w:szCs w:val="14"/>
                <w:lang w:eastAsia="pt-BR"/>
              </w:rPr>
              <w:t>PDF</w:t>
            </w:r>
          </w:p>
        </w:tc>
        <w:tc>
          <w:tcPr>
            <w:tcW w:w="992" w:type="dxa"/>
            <w:vAlign w:val="center"/>
          </w:tcPr>
          <w:p w14:paraId="08CA3539" w14:textId="77777777" w:rsidR="000D0C88" w:rsidRPr="00CB55B0" w:rsidRDefault="000D0C88" w:rsidP="000D0C88">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vAlign w:val="center"/>
          </w:tcPr>
          <w:p w14:paraId="5068869A" w14:textId="77777777" w:rsidR="000D0C88" w:rsidRPr="00CB55B0" w:rsidRDefault="000D0C88" w:rsidP="000D0C88">
            <w:pPr>
              <w:spacing w:after="0" w:line="240" w:lineRule="auto"/>
              <w:jc w:val="center"/>
              <w:rPr>
                <w:rFonts w:ascii="Arial" w:eastAsia="Times New Roman" w:hAnsi="Arial" w:cs="Arial"/>
                <w:sz w:val="14"/>
                <w:szCs w:val="14"/>
                <w:lang w:eastAsia="pt-BR"/>
              </w:rPr>
            </w:pPr>
          </w:p>
        </w:tc>
        <w:tc>
          <w:tcPr>
            <w:tcW w:w="851" w:type="dxa"/>
            <w:vAlign w:val="center"/>
          </w:tcPr>
          <w:p w14:paraId="550092F1" w14:textId="77777777" w:rsidR="000D0C88" w:rsidRPr="003B4337" w:rsidRDefault="000D0C88" w:rsidP="000D0C88">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850" w:type="dxa"/>
            <w:vAlign w:val="center"/>
          </w:tcPr>
          <w:p w14:paraId="12120EF4" w14:textId="77777777" w:rsidR="000D0C88" w:rsidRPr="003B4337" w:rsidRDefault="000D0C88" w:rsidP="000D0C88">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851" w:type="dxa"/>
            <w:vAlign w:val="center"/>
          </w:tcPr>
          <w:p w14:paraId="59D47397" w14:textId="77777777" w:rsidR="000D0C88" w:rsidRPr="003B4337" w:rsidRDefault="000D0C88" w:rsidP="000D0C88">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r>
      <w:tr w:rsidR="000D0C88" w:rsidRPr="00A5490A" w14:paraId="4D95416F" w14:textId="77777777" w:rsidTr="000065F5">
        <w:tc>
          <w:tcPr>
            <w:tcW w:w="1294" w:type="dxa"/>
            <w:vAlign w:val="center"/>
          </w:tcPr>
          <w:p w14:paraId="6BFE1740" w14:textId="77777777" w:rsidR="000D0C88" w:rsidRPr="003B4337" w:rsidRDefault="000D0C88" w:rsidP="000D0C88">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DEMRAP</w:t>
            </w:r>
          </w:p>
        </w:tc>
        <w:tc>
          <w:tcPr>
            <w:tcW w:w="7206" w:type="dxa"/>
            <w:shd w:val="clear" w:color="auto" w:fill="auto"/>
            <w:vAlign w:val="center"/>
          </w:tcPr>
          <w:p w14:paraId="0DCEF321" w14:textId="10742463" w:rsidR="000D0C88" w:rsidRPr="003B4337" w:rsidRDefault="000D0C88" w:rsidP="00C30522">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Demonstrativo de Restos a Pagar, conforme layout constante </w:t>
            </w:r>
            <w:r w:rsidRPr="00B6188E">
              <w:rPr>
                <w:rFonts w:ascii="Arial" w:eastAsia="Times New Roman" w:hAnsi="Arial" w:cs="Arial"/>
                <w:sz w:val="18"/>
                <w:szCs w:val="18"/>
                <w:lang w:eastAsia="pt-BR"/>
              </w:rPr>
              <w:t xml:space="preserve">do </w:t>
            </w:r>
            <w:r>
              <w:rPr>
                <w:rFonts w:ascii="Arial" w:eastAsia="Times New Roman" w:hAnsi="Arial" w:cs="Arial"/>
                <w:sz w:val="18"/>
                <w:szCs w:val="18"/>
                <w:lang w:eastAsia="pt-BR"/>
              </w:rPr>
              <w:t xml:space="preserve">item </w:t>
            </w:r>
            <w:r w:rsidR="00C30522">
              <w:rPr>
                <w:rFonts w:ascii="Arial" w:eastAsia="Times New Roman" w:hAnsi="Arial" w:cs="Arial"/>
                <w:sz w:val="18"/>
                <w:szCs w:val="18"/>
                <w:lang w:eastAsia="pt-BR"/>
              </w:rPr>
              <w:t>3.1</w:t>
            </w:r>
            <w:r>
              <w:rPr>
                <w:rFonts w:ascii="Arial" w:eastAsia="Times New Roman" w:hAnsi="Arial" w:cs="Arial"/>
                <w:sz w:val="18"/>
                <w:szCs w:val="18"/>
                <w:lang w:eastAsia="pt-BR"/>
              </w:rPr>
              <w:t xml:space="preserve"> deste </w:t>
            </w:r>
            <w:r w:rsidRPr="00B6188E">
              <w:rPr>
                <w:rFonts w:ascii="Arial" w:eastAsia="Times New Roman" w:hAnsi="Arial" w:cs="Arial"/>
                <w:sz w:val="18"/>
                <w:szCs w:val="18"/>
                <w:lang w:eastAsia="pt-BR"/>
              </w:rPr>
              <w:t>Anexo.</w:t>
            </w:r>
          </w:p>
        </w:tc>
        <w:tc>
          <w:tcPr>
            <w:tcW w:w="993" w:type="dxa"/>
            <w:shd w:val="clear" w:color="auto" w:fill="auto"/>
            <w:vAlign w:val="center"/>
          </w:tcPr>
          <w:p w14:paraId="5751FCA6" w14:textId="77777777" w:rsidR="000D0C88" w:rsidRPr="003B4337" w:rsidRDefault="000D0C88" w:rsidP="000D0C88">
            <w:pPr>
              <w:spacing w:after="0" w:line="240" w:lineRule="auto"/>
              <w:jc w:val="center"/>
              <w:rPr>
                <w:rFonts w:ascii="Arial" w:eastAsia="Times New Roman" w:hAnsi="Arial" w:cs="Arial"/>
                <w:i/>
                <w:sz w:val="14"/>
                <w:szCs w:val="14"/>
                <w:lang w:eastAsia="pt-BR"/>
              </w:rPr>
            </w:pPr>
            <w:r w:rsidRPr="003B4337">
              <w:rPr>
                <w:rFonts w:ascii="Arial" w:eastAsia="Times New Roman" w:hAnsi="Arial" w:cs="Arial"/>
                <w:sz w:val="14"/>
                <w:szCs w:val="14"/>
                <w:lang w:eastAsia="pt-BR"/>
              </w:rPr>
              <w:t>XML</w:t>
            </w:r>
          </w:p>
        </w:tc>
        <w:tc>
          <w:tcPr>
            <w:tcW w:w="992" w:type="dxa"/>
            <w:vAlign w:val="center"/>
          </w:tcPr>
          <w:p w14:paraId="7F5646F7" w14:textId="77777777" w:rsidR="000D0C88" w:rsidRPr="00CB55B0" w:rsidRDefault="000D0C88" w:rsidP="000D0C88">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vAlign w:val="center"/>
          </w:tcPr>
          <w:p w14:paraId="2BED69B1" w14:textId="77777777" w:rsidR="000D0C88" w:rsidRPr="00CB55B0" w:rsidRDefault="000D0C88" w:rsidP="000D0C88">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851" w:type="dxa"/>
            <w:vAlign w:val="center"/>
          </w:tcPr>
          <w:p w14:paraId="4DFC7DCC" w14:textId="77777777" w:rsidR="000D0C88" w:rsidRPr="003B4337" w:rsidRDefault="000D0C88" w:rsidP="000D0C88">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850" w:type="dxa"/>
            <w:vAlign w:val="center"/>
          </w:tcPr>
          <w:p w14:paraId="6A72D46C" w14:textId="77777777" w:rsidR="000D0C88" w:rsidRPr="003B4337" w:rsidRDefault="000D0C88" w:rsidP="000D0C88">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851" w:type="dxa"/>
            <w:vAlign w:val="center"/>
          </w:tcPr>
          <w:p w14:paraId="524C20DB" w14:textId="77777777" w:rsidR="000D0C88" w:rsidRPr="003B4337" w:rsidRDefault="000D0C88" w:rsidP="000D0C88">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r>
      <w:tr w:rsidR="000D0C88" w:rsidRPr="00A5490A" w14:paraId="5BDFBD28" w14:textId="77777777" w:rsidTr="000065F5">
        <w:tc>
          <w:tcPr>
            <w:tcW w:w="1294" w:type="dxa"/>
            <w:vAlign w:val="center"/>
          </w:tcPr>
          <w:p w14:paraId="71FC0AED" w14:textId="77777777" w:rsidR="000D0C88" w:rsidRPr="00A5490A" w:rsidRDefault="000D0C88" w:rsidP="000D0C88">
            <w:pPr>
              <w:spacing w:after="0" w:line="240" w:lineRule="auto"/>
              <w:jc w:val="center"/>
              <w:rPr>
                <w:rFonts w:ascii="Arial" w:eastAsia="Times New Roman" w:hAnsi="Arial" w:cs="Arial"/>
                <w:sz w:val="18"/>
                <w:szCs w:val="18"/>
                <w:lang w:eastAsia="pt-BR"/>
              </w:rPr>
            </w:pPr>
            <w:r w:rsidRPr="001319C3">
              <w:rPr>
                <w:rFonts w:ascii="Arial" w:eastAsia="Times New Roman" w:hAnsi="Arial" w:cs="Arial"/>
                <w:sz w:val="18"/>
                <w:szCs w:val="18"/>
                <w:lang w:eastAsia="pt-BR"/>
              </w:rPr>
              <w:t>EXTBAN</w:t>
            </w:r>
          </w:p>
        </w:tc>
        <w:tc>
          <w:tcPr>
            <w:tcW w:w="7206" w:type="dxa"/>
            <w:shd w:val="clear" w:color="auto" w:fill="auto"/>
            <w:vAlign w:val="center"/>
          </w:tcPr>
          <w:p w14:paraId="6D3C0A80" w14:textId="77777777" w:rsidR="000D0C88" w:rsidRPr="00A5490A" w:rsidRDefault="000D0C88" w:rsidP="000D0C88">
            <w:p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Extratos bancários relativos ao mês de encerramento do exercício.</w:t>
            </w:r>
            <w:r>
              <w:rPr>
                <w:rFonts w:ascii="Arial" w:eastAsia="Times New Roman" w:hAnsi="Arial" w:cs="Arial"/>
                <w:sz w:val="18"/>
                <w:szCs w:val="18"/>
                <w:lang w:eastAsia="pt-BR"/>
              </w:rPr>
              <w:t xml:space="preserve"> Os extratos das aplicações financeiras deverão ser de todos os meses do </w:t>
            </w:r>
            <w:r w:rsidRPr="00CB55B0">
              <w:rPr>
                <w:rFonts w:ascii="Arial" w:eastAsia="Times New Roman" w:hAnsi="Arial" w:cs="Arial"/>
                <w:sz w:val="18"/>
                <w:szCs w:val="18"/>
                <w:lang w:eastAsia="pt-BR"/>
              </w:rPr>
              <w:t>exercício. Na hipótese de adesão ao Acordo de Cooperação Técnica entre o TCEES e o Banestes, não é necessário o envio dos extratos bancários do banco 021 – Banestes.</w:t>
            </w:r>
          </w:p>
        </w:tc>
        <w:tc>
          <w:tcPr>
            <w:tcW w:w="993" w:type="dxa"/>
            <w:shd w:val="clear" w:color="auto" w:fill="auto"/>
            <w:vAlign w:val="center"/>
          </w:tcPr>
          <w:p w14:paraId="336BB9A0" w14:textId="77777777" w:rsidR="000D0C88" w:rsidRPr="00A5490A" w:rsidRDefault="000D0C88" w:rsidP="000D0C88">
            <w:pPr>
              <w:spacing w:after="0" w:line="240" w:lineRule="auto"/>
              <w:jc w:val="center"/>
              <w:rPr>
                <w:rFonts w:ascii="Arial" w:eastAsia="Times New Roman" w:hAnsi="Arial" w:cs="Arial"/>
                <w:i/>
                <w:sz w:val="14"/>
                <w:szCs w:val="14"/>
                <w:lang w:eastAsia="pt-BR"/>
              </w:rPr>
            </w:pPr>
            <w:r>
              <w:rPr>
                <w:rFonts w:ascii="Arial" w:eastAsia="Times New Roman" w:hAnsi="Arial" w:cs="Arial"/>
                <w:sz w:val="14"/>
                <w:szCs w:val="14"/>
                <w:lang w:eastAsia="pt-BR"/>
              </w:rPr>
              <w:t>PDF</w:t>
            </w:r>
          </w:p>
        </w:tc>
        <w:tc>
          <w:tcPr>
            <w:tcW w:w="992" w:type="dxa"/>
            <w:vAlign w:val="center"/>
          </w:tcPr>
          <w:p w14:paraId="46BD02F8" w14:textId="77777777" w:rsidR="000D0C88" w:rsidRPr="00CB55B0" w:rsidRDefault="000D0C88" w:rsidP="000D0C88">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vAlign w:val="center"/>
          </w:tcPr>
          <w:p w14:paraId="5C27C7BF" w14:textId="77777777" w:rsidR="000D0C88" w:rsidRPr="00CB55B0" w:rsidRDefault="000D0C88" w:rsidP="000D0C88">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851" w:type="dxa"/>
            <w:vAlign w:val="center"/>
          </w:tcPr>
          <w:p w14:paraId="7D26DA8D" w14:textId="77777777" w:rsidR="000D0C88" w:rsidRPr="00A5490A" w:rsidRDefault="000D0C88" w:rsidP="000D0C88">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850" w:type="dxa"/>
            <w:vAlign w:val="center"/>
          </w:tcPr>
          <w:p w14:paraId="569B5034" w14:textId="77777777" w:rsidR="000D0C88" w:rsidRPr="00A5490A" w:rsidRDefault="000D0C88" w:rsidP="000D0C88">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851" w:type="dxa"/>
            <w:vAlign w:val="center"/>
          </w:tcPr>
          <w:p w14:paraId="1F60B3D5" w14:textId="77777777" w:rsidR="000D0C88" w:rsidRPr="00A5490A" w:rsidRDefault="000D0C88" w:rsidP="000D0C88">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r>
      <w:tr w:rsidR="000D0C88" w:rsidRPr="00A5490A" w14:paraId="2C7AC077" w14:textId="77777777" w:rsidTr="000065F5">
        <w:tc>
          <w:tcPr>
            <w:tcW w:w="1294" w:type="dxa"/>
            <w:vAlign w:val="center"/>
          </w:tcPr>
          <w:p w14:paraId="31688C03" w14:textId="77777777" w:rsidR="000D0C88" w:rsidRPr="003B4337" w:rsidRDefault="000D0C88" w:rsidP="000D0C88">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TVDISP</w:t>
            </w:r>
          </w:p>
        </w:tc>
        <w:tc>
          <w:tcPr>
            <w:tcW w:w="7206" w:type="dxa"/>
            <w:shd w:val="clear" w:color="auto" w:fill="auto"/>
            <w:vAlign w:val="center"/>
          </w:tcPr>
          <w:p w14:paraId="12D018D3" w14:textId="6C02D94F" w:rsidR="000D0C88" w:rsidRPr="003B4337" w:rsidRDefault="000D0C88" w:rsidP="00C30522">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Termo de verificação de disponibilidades, conforme layout constante </w:t>
            </w:r>
            <w:r w:rsidRPr="00B6188E">
              <w:rPr>
                <w:rFonts w:ascii="Arial" w:eastAsia="Times New Roman" w:hAnsi="Arial" w:cs="Arial"/>
                <w:sz w:val="18"/>
                <w:szCs w:val="18"/>
                <w:lang w:eastAsia="pt-BR"/>
              </w:rPr>
              <w:t xml:space="preserve">do </w:t>
            </w:r>
            <w:r>
              <w:rPr>
                <w:rFonts w:ascii="Arial" w:eastAsia="Times New Roman" w:hAnsi="Arial" w:cs="Arial"/>
                <w:sz w:val="18"/>
                <w:szCs w:val="18"/>
                <w:lang w:eastAsia="pt-BR"/>
              </w:rPr>
              <w:t xml:space="preserve">item </w:t>
            </w:r>
            <w:r w:rsidR="00C30522">
              <w:rPr>
                <w:rFonts w:ascii="Arial" w:eastAsia="Times New Roman" w:hAnsi="Arial" w:cs="Arial"/>
                <w:sz w:val="18"/>
                <w:szCs w:val="18"/>
                <w:lang w:eastAsia="pt-BR"/>
              </w:rPr>
              <w:t>3.1</w:t>
            </w:r>
            <w:r>
              <w:rPr>
                <w:rFonts w:ascii="Arial" w:eastAsia="Times New Roman" w:hAnsi="Arial" w:cs="Arial"/>
                <w:sz w:val="18"/>
                <w:szCs w:val="18"/>
                <w:lang w:eastAsia="pt-BR"/>
              </w:rPr>
              <w:t xml:space="preserve"> deste </w:t>
            </w:r>
            <w:r w:rsidRPr="00B6188E">
              <w:rPr>
                <w:rFonts w:ascii="Arial" w:eastAsia="Times New Roman" w:hAnsi="Arial" w:cs="Arial"/>
                <w:sz w:val="18"/>
                <w:szCs w:val="18"/>
                <w:lang w:eastAsia="pt-BR"/>
              </w:rPr>
              <w:t>Anexo.</w:t>
            </w:r>
          </w:p>
        </w:tc>
        <w:tc>
          <w:tcPr>
            <w:tcW w:w="993" w:type="dxa"/>
            <w:shd w:val="clear" w:color="auto" w:fill="auto"/>
            <w:vAlign w:val="center"/>
          </w:tcPr>
          <w:p w14:paraId="5454FFF0" w14:textId="77777777" w:rsidR="000D0C88" w:rsidRPr="003B4337" w:rsidRDefault="000D0C88" w:rsidP="000D0C88">
            <w:pPr>
              <w:spacing w:after="0" w:line="240" w:lineRule="auto"/>
              <w:jc w:val="center"/>
              <w:rPr>
                <w:rFonts w:ascii="Arial" w:eastAsia="Times New Roman" w:hAnsi="Arial" w:cs="Arial"/>
                <w:i/>
                <w:sz w:val="14"/>
                <w:szCs w:val="14"/>
                <w:lang w:eastAsia="pt-BR"/>
              </w:rPr>
            </w:pPr>
            <w:r w:rsidRPr="003B4337">
              <w:rPr>
                <w:rFonts w:ascii="Arial" w:eastAsia="Times New Roman" w:hAnsi="Arial" w:cs="Arial"/>
                <w:sz w:val="14"/>
                <w:szCs w:val="14"/>
                <w:lang w:eastAsia="pt-BR"/>
              </w:rPr>
              <w:t>XML</w:t>
            </w:r>
          </w:p>
        </w:tc>
        <w:tc>
          <w:tcPr>
            <w:tcW w:w="992" w:type="dxa"/>
            <w:vAlign w:val="center"/>
          </w:tcPr>
          <w:p w14:paraId="5BEB773F" w14:textId="77777777" w:rsidR="000D0C88" w:rsidRPr="00CB55B0" w:rsidRDefault="000D0C88" w:rsidP="000D0C88">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vAlign w:val="center"/>
          </w:tcPr>
          <w:p w14:paraId="734A9CA7" w14:textId="77777777" w:rsidR="000D0C88" w:rsidRPr="00CB55B0" w:rsidRDefault="000D0C88" w:rsidP="000D0C88">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851" w:type="dxa"/>
            <w:vAlign w:val="center"/>
          </w:tcPr>
          <w:p w14:paraId="10689AAC" w14:textId="77777777" w:rsidR="000D0C88" w:rsidRPr="003B4337" w:rsidRDefault="000D0C88" w:rsidP="000D0C88">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850" w:type="dxa"/>
            <w:vAlign w:val="center"/>
          </w:tcPr>
          <w:p w14:paraId="18027075" w14:textId="77777777" w:rsidR="000D0C88" w:rsidRPr="003B4337" w:rsidRDefault="000D0C88" w:rsidP="000D0C88">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851" w:type="dxa"/>
            <w:vAlign w:val="center"/>
          </w:tcPr>
          <w:p w14:paraId="30A10648" w14:textId="77777777" w:rsidR="000D0C88" w:rsidRPr="003B4337" w:rsidRDefault="000D0C88" w:rsidP="000D0C88">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r>
      <w:tr w:rsidR="000D0C88" w:rsidRPr="00A5490A" w14:paraId="1805D4C5" w14:textId="77777777" w:rsidTr="000065F5">
        <w:tc>
          <w:tcPr>
            <w:tcW w:w="1294" w:type="dxa"/>
            <w:vAlign w:val="center"/>
          </w:tcPr>
          <w:p w14:paraId="08BF1706" w14:textId="77777777" w:rsidR="000D0C88" w:rsidRPr="003B4337" w:rsidRDefault="000D0C88" w:rsidP="000D0C88">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DEMCSE</w:t>
            </w:r>
          </w:p>
        </w:tc>
        <w:tc>
          <w:tcPr>
            <w:tcW w:w="7206" w:type="dxa"/>
            <w:shd w:val="clear" w:color="auto" w:fill="auto"/>
            <w:vAlign w:val="center"/>
          </w:tcPr>
          <w:p w14:paraId="25E2E945" w14:textId="15EB007F" w:rsidR="000D0C88" w:rsidRPr="003B4337" w:rsidRDefault="000D0C88" w:rsidP="005F05CF">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Demonstrativo evidenciando, mensalmente, o valor retido de contribuições sociais dos servidores e efetivamente recolhidos, discriminando por instituição previdenciária (RPPS e RGPS), na </w:t>
            </w:r>
            <w:r w:rsidRPr="005F05CF">
              <w:rPr>
                <w:rFonts w:ascii="Arial" w:eastAsia="Times New Roman" w:hAnsi="Arial" w:cs="Arial"/>
                <w:sz w:val="18"/>
                <w:szCs w:val="18"/>
                <w:lang w:eastAsia="pt-BR"/>
              </w:rPr>
              <w:t xml:space="preserve">forma </w:t>
            </w:r>
            <w:r w:rsidR="005F05CF" w:rsidRPr="005F05CF">
              <w:rPr>
                <w:rFonts w:ascii="Arial" w:eastAsia="Times New Roman" w:hAnsi="Arial" w:cs="Arial"/>
                <w:sz w:val="18"/>
                <w:szCs w:val="18"/>
                <w:lang w:eastAsia="pt-BR"/>
              </w:rPr>
              <w:t>item 3.2 deste Anexo.</w:t>
            </w:r>
          </w:p>
        </w:tc>
        <w:tc>
          <w:tcPr>
            <w:tcW w:w="993" w:type="dxa"/>
            <w:shd w:val="clear" w:color="auto" w:fill="auto"/>
            <w:vAlign w:val="center"/>
          </w:tcPr>
          <w:p w14:paraId="0D1BB65D" w14:textId="77777777" w:rsidR="000D0C88" w:rsidRPr="003B4337" w:rsidRDefault="000D0C88" w:rsidP="000D0C88">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c>
          <w:tcPr>
            <w:tcW w:w="992" w:type="dxa"/>
            <w:vAlign w:val="center"/>
          </w:tcPr>
          <w:p w14:paraId="7B2FCD65" w14:textId="77777777" w:rsidR="000D0C88" w:rsidRPr="00CB55B0" w:rsidRDefault="000D0C88" w:rsidP="000D0C88">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vAlign w:val="center"/>
          </w:tcPr>
          <w:p w14:paraId="73E7A40F" w14:textId="77777777" w:rsidR="000D0C88" w:rsidRPr="00CB55B0" w:rsidRDefault="000D0C88" w:rsidP="000D0C88">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851" w:type="dxa"/>
            <w:vAlign w:val="center"/>
          </w:tcPr>
          <w:p w14:paraId="188DC3C5" w14:textId="77777777" w:rsidR="000D0C88" w:rsidRPr="003B4337" w:rsidRDefault="000D0C88" w:rsidP="000D0C88">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850" w:type="dxa"/>
            <w:vAlign w:val="center"/>
          </w:tcPr>
          <w:p w14:paraId="119C1AD6" w14:textId="77777777" w:rsidR="000D0C88" w:rsidRPr="003B4337" w:rsidRDefault="000D0C88" w:rsidP="000D0C88">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851" w:type="dxa"/>
            <w:vAlign w:val="center"/>
          </w:tcPr>
          <w:p w14:paraId="2CBE350C" w14:textId="77777777" w:rsidR="000D0C88" w:rsidRPr="003B4337" w:rsidRDefault="000D0C88" w:rsidP="000D0C88">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r>
      <w:tr w:rsidR="000D0C88" w:rsidRPr="00A5490A" w14:paraId="13C76D85" w14:textId="77777777" w:rsidTr="000065F5">
        <w:tc>
          <w:tcPr>
            <w:tcW w:w="1294" w:type="dxa"/>
            <w:vAlign w:val="center"/>
          </w:tcPr>
          <w:p w14:paraId="32C04104" w14:textId="77777777" w:rsidR="000D0C88" w:rsidRPr="00886C42" w:rsidRDefault="000D0C88" w:rsidP="000D0C88">
            <w:pPr>
              <w:spacing w:after="0" w:line="240" w:lineRule="auto"/>
              <w:jc w:val="center"/>
              <w:rPr>
                <w:rFonts w:ascii="Arial" w:eastAsia="Times New Roman" w:hAnsi="Arial" w:cs="Arial"/>
                <w:color w:val="0070C0"/>
                <w:sz w:val="18"/>
                <w:szCs w:val="18"/>
                <w:lang w:eastAsia="pt-BR"/>
              </w:rPr>
            </w:pPr>
            <w:r w:rsidRPr="00886C42">
              <w:rPr>
                <w:rFonts w:ascii="Arial" w:eastAsia="Times New Roman" w:hAnsi="Arial" w:cs="Arial"/>
                <w:sz w:val="18"/>
                <w:szCs w:val="18"/>
                <w:lang w:eastAsia="pt-BR"/>
              </w:rPr>
              <w:t>DEMREC</w:t>
            </w:r>
          </w:p>
        </w:tc>
        <w:tc>
          <w:tcPr>
            <w:tcW w:w="7206" w:type="dxa"/>
            <w:shd w:val="clear" w:color="auto" w:fill="auto"/>
            <w:vAlign w:val="center"/>
          </w:tcPr>
          <w:p w14:paraId="148AF9D1" w14:textId="4FD6C991" w:rsidR="000D0C88" w:rsidRPr="00886C42" w:rsidRDefault="000D0C88" w:rsidP="00C30522">
            <w:pPr>
              <w:spacing w:before="120" w:after="120" w:line="240" w:lineRule="auto"/>
              <w:jc w:val="both"/>
              <w:rPr>
                <w:rFonts w:ascii="Arial" w:eastAsia="Times New Roman" w:hAnsi="Arial" w:cs="Arial"/>
                <w:color w:val="0070C0"/>
                <w:sz w:val="18"/>
                <w:szCs w:val="18"/>
                <w:highlight w:val="yellow"/>
                <w:lang w:eastAsia="pt-BR"/>
              </w:rPr>
            </w:pPr>
            <w:r w:rsidRPr="00DE68C9">
              <w:rPr>
                <w:rFonts w:ascii="Arial" w:eastAsia="Times New Roman" w:hAnsi="Arial" w:cs="Arial"/>
                <w:sz w:val="18"/>
                <w:szCs w:val="18"/>
                <w:lang w:eastAsia="pt-BR"/>
              </w:rPr>
              <w:t xml:space="preserve">Demonstrativo evidenciando os valores devidos de receitas previdenciárias no exercício de competência da PCA, como também quanto desses valores foram efetivamente arrecadados no referido exercício. </w:t>
            </w:r>
            <w:r>
              <w:rPr>
                <w:rFonts w:ascii="Arial" w:eastAsia="Times New Roman" w:hAnsi="Arial" w:cs="Arial"/>
                <w:sz w:val="18"/>
                <w:szCs w:val="18"/>
                <w:lang w:eastAsia="pt-BR"/>
              </w:rPr>
              <w:t>Possibilita determinar</w:t>
            </w:r>
            <w:r w:rsidRPr="00DE68C9">
              <w:rPr>
                <w:rFonts w:ascii="Arial" w:eastAsia="Times New Roman" w:hAnsi="Arial" w:cs="Arial"/>
                <w:sz w:val="18"/>
                <w:szCs w:val="18"/>
                <w:lang w:eastAsia="pt-BR"/>
              </w:rPr>
              <w:t xml:space="preserve"> o valor devido e não repassado, relativo ao exercício da PCA, </w:t>
            </w:r>
            <w:r w:rsidRPr="00276451">
              <w:rPr>
                <w:rFonts w:ascii="Arial" w:eastAsia="Times New Roman" w:hAnsi="Arial" w:cs="Arial"/>
                <w:b/>
                <w:sz w:val="18"/>
                <w:szCs w:val="18"/>
                <w:lang w:eastAsia="pt-BR"/>
              </w:rPr>
              <w:t>constituindo-se como direito a receber do órgão gestor da previdência</w:t>
            </w:r>
            <w:r w:rsidRPr="00DE68C9">
              <w:rPr>
                <w:rFonts w:ascii="Arial" w:eastAsia="Times New Roman" w:hAnsi="Arial" w:cs="Arial"/>
                <w:sz w:val="18"/>
                <w:szCs w:val="18"/>
                <w:lang w:eastAsia="pt-BR"/>
              </w:rPr>
              <w:t>. Também serão evidenciadas as receitas de repasses para cobertura de déficit financeiro e/ou previdenciário,</w:t>
            </w:r>
            <w:r>
              <w:rPr>
                <w:rFonts w:ascii="Arial" w:eastAsia="Times New Roman" w:hAnsi="Arial" w:cs="Arial"/>
                <w:sz w:val="18"/>
                <w:szCs w:val="18"/>
                <w:lang w:eastAsia="pt-BR"/>
              </w:rPr>
              <w:t xml:space="preserve"> segregadas por unidade gestora/órgão,</w:t>
            </w:r>
            <w:r w:rsidRPr="00DE68C9">
              <w:rPr>
                <w:rFonts w:ascii="Arial" w:eastAsia="Times New Roman" w:hAnsi="Arial" w:cs="Arial"/>
                <w:sz w:val="18"/>
                <w:szCs w:val="18"/>
                <w:lang w:eastAsia="pt-BR"/>
              </w:rPr>
              <w:t xml:space="preserve"> conforme layout constante do item </w:t>
            </w:r>
            <w:r w:rsidR="00C30522">
              <w:rPr>
                <w:rFonts w:ascii="Arial" w:eastAsia="Times New Roman" w:hAnsi="Arial" w:cs="Arial"/>
                <w:sz w:val="18"/>
                <w:szCs w:val="18"/>
                <w:lang w:eastAsia="pt-BR"/>
              </w:rPr>
              <w:t>3.1</w:t>
            </w:r>
            <w:r w:rsidRPr="00DE68C9">
              <w:rPr>
                <w:rFonts w:ascii="Arial" w:eastAsia="Times New Roman" w:hAnsi="Arial" w:cs="Arial"/>
                <w:sz w:val="18"/>
                <w:szCs w:val="18"/>
                <w:lang w:eastAsia="pt-BR"/>
              </w:rPr>
              <w:t xml:space="preserve"> deste Anexo.</w:t>
            </w:r>
          </w:p>
        </w:tc>
        <w:tc>
          <w:tcPr>
            <w:tcW w:w="993" w:type="dxa"/>
            <w:shd w:val="clear" w:color="auto" w:fill="auto"/>
            <w:vAlign w:val="center"/>
          </w:tcPr>
          <w:p w14:paraId="329E85B8" w14:textId="77777777" w:rsidR="000D0C88" w:rsidRPr="003B4337" w:rsidRDefault="000D0C88" w:rsidP="000D0C88">
            <w:pPr>
              <w:spacing w:after="0" w:line="240" w:lineRule="auto"/>
              <w:jc w:val="center"/>
              <w:rPr>
                <w:rFonts w:ascii="Arial" w:eastAsia="Times New Roman" w:hAnsi="Arial" w:cs="Arial"/>
                <w:i/>
                <w:sz w:val="14"/>
                <w:szCs w:val="14"/>
                <w:lang w:eastAsia="pt-BR"/>
              </w:rPr>
            </w:pPr>
            <w:r>
              <w:rPr>
                <w:rFonts w:ascii="Arial" w:eastAsia="Times New Roman" w:hAnsi="Arial" w:cs="Arial"/>
                <w:sz w:val="14"/>
                <w:szCs w:val="14"/>
                <w:lang w:eastAsia="pt-BR"/>
              </w:rPr>
              <w:t>XML</w:t>
            </w:r>
          </w:p>
        </w:tc>
        <w:tc>
          <w:tcPr>
            <w:tcW w:w="992" w:type="dxa"/>
            <w:vAlign w:val="center"/>
          </w:tcPr>
          <w:p w14:paraId="067C9F91" w14:textId="77777777" w:rsidR="000D0C88" w:rsidRPr="00CB55B0" w:rsidRDefault="000D0C88" w:rsidP="000D0C88">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vAlign w:val="center"/>
          </w:tcPr>
          <w:p w14:paraId="7602283B" w14:textId="77777777" w:rsidR="000D0C88" w:rsidRPr="00CB55B0" w:rsidRDefault="000D0C88" w:rsidP="000D0C88">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851" w:type="dxa"/>
            <w:vAlign w:val="center"/>
          </w:tcPr>
          <w:p w14:paraId="4BCE663B" w14:textId="77777777" w:rsidR="000D0C88" w:rsidRPr="003B4337" w:rsidRDefault="000D0C88" w:rsidP="000D0C88">
            <w:pPr>
              <w:spacing w:after="0" w:line="240" w:lineRule="auto"/>
              <w:jc w:val="center"/>
              <w:rPr>
                <w:rFonts w:ascii="Arial" w:eastAsia="Times New Roman" w:hAnsi="Arial" w:cs="Arial"/>
                <w:sz w:val="14"/>
                <w:szCs w:val="14"/>
                <w:lang w:eastAsia="pt-BR"/>
              </w:rPr>
            </w:pPr>
          </w:p>
        </w:tc>
        <w:tc>
          <w:tcPr>
            <w:tcW w:w="850" w:type="dxa"/>
            <w:vAlign w:val="center"/>
          </w:tcPr>
          <w:p w14:paraId="4834B695" w14:textId="77777777" w:rsidR="000D0C88" w:rsidRDefault="000D0C88" w:rsidP="000D0C88">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851" w:type="dxa"/>
            <w:vAlign w:val="center"/>
          </w:tcPr>
          <w:p w14:paraId="294D411B" w14:textId="77777777" w:rsidR="000D0C88" w:rsidRDefault="000D0C88" w:rsidP="000D0C88">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r>
      <w:tr w:rsidR="000D0C88" w:rsidRPr="00457667" w14:paraId="24AD96F0" w14:textId="77777777" w:rsidTr="000065F5">
        <w:tc>
          <w:tcPr>
            <w:tcW w:w="1294" w:type="dxa"/>
            <w:vAlign w:val="center"/>
          </w:tcPr>
          <w:p w14:paraId="64C15072" w14:textId="77777777" w:rsidR="000D0C88" w:rsidRPr="00457667" w:rsidRDefault="000D0C88" w:rsidP="000D0C88">
            <w:pPr>
              <w:spacing w:after="0" w:line="240" w:lineRule="auto"/>
              <w:jc w:val="center"/>
              <w:rPr>
                <w:rFonts w:ascii="Arial" w:eastAsia="Times New Roman" w:hAnsi="Arial" w:cs="Arial"/>
                <w:sz w:val="18"/>
                <w:szCs w:val="18"/>
                <w:lang w:eastAsia="pt-BR"/>
              </w:rPr>
            </w:pPr>
            <w:r w:rsidRPr="00457667">
              <w:rPr>
                <w:rFonts w:ascii="Arial" w:eastAsia="Times New Roman" w:hAnsi="Arial" w:cs="Arial"/>
                <w:sz w:val="18"/>
                <w:szCs w:val="18"/>
                <w:lang w:eastAsia="pt-BR"/>
              </w:rPr>
              <w:t>BASECD</w:t>
            </w:r>
          </w:p>
        </w:tc>
        <w:tc>
          <w:tcPr>
            <w:tcW w:w="7206" w:type="dxa"/>
            <w:shd w:val="clear" w:color="auto" w:fill="auto"/>
            <w:vAlign w:val="center"/>
          </w:tcPr>
          <w:p w14:paraId="67380A0A" w14:textId="5998142A" w:rsidR="000D0C88" w:rsidRPr="00457667" w:rsidRDefault="000D0C88" w:rsidP="000D0C88">
            <w:pPr>
              <w:spacing w:before="120" w:after="120" w:line="240" w:lineRule="auto"/>
              <w:jc w:val="both"/>
              <w:rPr>
                <w:rFonts w:ascii="Arial" w:eastAsia="Times New Roman" w:hAnsi="Arial" w:cs="Arial"/>
                <w:sz w:val="18"/>
                <w:szCs w:val="18"/>
                <w:lang w:eastAsia="pt-BR"/>
              </w:rPr>
            </w:pPr>
            <w:r w:rsidRPr="00457667">
              <w:rPr>
                <w:rFonts w:ascii="Arial" w:eastAsia="Times New Roman" w:hAnsi="Arial" w:cs="Arial"/>
                <w:b/>
                <w:sz w:val="18"/>
                <w:szCs w:val="18"/>
                <w:lang w:eastAsia="pt-BR"/>
              </w:rPr>
              <w:t>Base de dados cadastral</w:t>
            </w:r>
            <w:r w:rsidRPr="00457667">
              <w:rPr>
                <w:rFonts w:ascii="Arial" w:eastAsia="Times New Roman" w:hAnsi="Arial" w:cs="Arial"/>
                <w:sz w:val="18"/>
                <w:szCs w:val="18"/>
                <w:lang w:eastAsia="pt-BR"/>
              </w:rPr>
              <w:t xml:space="preserve"> completa, consolidada e  criticada/validada com a especificação do layout dos campos que a compõe, de todos os servidores ativos, inativos, pensionistas e dos seus respectivos dependentes, que serviu de subsídio para </w:t>
            </w:r>
            <w:r w:rsidRPr="00457667">
              <w:rPr>
                <w:rFonts w:ascii="Arial" w:eastAsia="Times New Roman" w:hAnsi="Arial" w:cs="Arial"/>
                <w:sz w:val="18"/>
                <w:szCs w:val="18"/>
                <w:lang w:eastAsia="pt-BR"/>
              </w:rPr>
              <w:lastRenderedPageBreak/>
              <w:t xml:space="preserve">elaboração da avaliação atuarial anual com a data de cálculo posicionado em 31/12 e data-base com dados posicionados entre julho a dezembro, ambos do exercício de competência da PCA. </w:t>
            </w:r>
            <w:r w:rsidR="00457667" w:rsidRPr="00457667">
              <w:rPr>
                <w:rFonts w:ascii="Arial" w:eastAsia="Times New Roman" w:hAnsi="Arial" w:cs="Arial"/>
                <w:sz w:val="18"/>
                <w:szCs w:val="18"/>
                <w:lang w:eastAsia="pt-BR"/>
              </w:rPr>
              <w:t>Conforme especificação da Instrução Normativa MF/SP 001/2018.</w:t>
            </w:r>
          </w:p>
        </w:tc>
        <w:tc>
          <w:tcPr>
            <w:tcW w:w="993" w:type="dxa"/>
            <w:shd w:val="clear" w:color="auto" w:fill="auto"/>
            <w:vAlign w:val="center"/>
          </w:tcPr>
          <w:p w14:paraId="63301D24" w14:textId="77777777" w:rsidR="000D0C88" w:rsidRPr="00457667" w:rsidRDefault="000D0C88" w:rsidP="000D0C88">
            <w:pPr>
              <w:spacing w:after="0" w:line="240" w:lineRule="auto"/>
              <w:jc w:val="center"/>
              <w:rPr>
                <w:rFonts w:ascii="Arial" w:eastAsia="Times New Roman" w:hAnsi="Arial" w:cs="Arial"/>
                <w:sz w:val="14"/>
                <w:szCs w:val="14"/>
                <w:lang w:eastAsia="pt-BR"/>
              </w:rPr>
            </w:pPr>
            <w:r w:rsidRPr="00457667">
              <w:rPr>
                <w:rFonts w:ascii="Arial" w:eastAsia="Times New Roman" w:hAnsi="Arial" w:cs="Arial"/>
                <w:sz w:val="14"/>
                <w:szCs w:val="14"/>
                <w:lang w:eastAsia="pt-BR"/>
              </w:rPr>
              <w:lastRenderedPageBreak/>
              <w:t>XLS/XLSX/ODS</w:t>
            </w:r>
          </w:p>
        </w:tc>
        <w:tc>
          <w:tcPr>
            <w:tcW w:w="992" w:type="dxa"/>
            <w:vAlign w:val="center"/>
          </w:tcPr>
          <w:p w14:paraId="47DADED8" w14:textId="77777777" w:rsidR="000D0C88" w:rsidRPr="00457667" w:rsidRDefault="000D0C88" w:rsidP="000D0C88">
            <w:pPr>
              <w:spacing w:after="0" w:line="240" w:lineRule="auto"/>
              <w:jc w:val="center"/>
              <w:rPr>
                <w:rFonts w:ascii="Arial" w:eastAsia="Times New Roman" w:hAnsi="Arial" w:cs="Arial"/>
                <w:sz w:val="14"/>
                <w:szCs w:val="14"/>
                <w:lang w:eastAsia="pt-BR"/>
              </w:rPr>
            </w:pPr>
            <w:r w:rsidRPr="00457667">
              <w:rPr>
                <w:rFonts w:ascii="Arial" w:eastAsia="Times New Roman" w:hAnsi="Arial" w:cs="Arial"/>
                <w:sz w:val="14"/>
                <w:szCs w:val="14"/>
                <w:lang w:eastAsia="pt-BR"/>
              </w:rPr>
              <w:t>X</w:t>
            </w:r>
          </w:p>
        </w:tc>
        <w:tc>
          <w:tcPr>
            <w:tcW w:w="992" w:type="dxa"/>
            <w:vAlign w:val="center"/>
          </w:tcPr>
          <w:p w14:paraId="32A3EC78" w14:textId="77777777" w:rsidR="000D0C88" w:rsidRPr="00457667" w:rsidRDefault="000D0C88" w:rsidP="000D0C88">
            <w:pPr>
              <w:spacing w:after="0" w:line="240" w:lineRule="auto"/>
              <w:jc w:val="center"/>
              <w:rPr>
                <w:rFonts w:ascii="Arial" w:eastAsia="Times New Roman" w:hAnsi="Arial" w:cs="Arial"/>
                <w:sz w:val="14"/>
                <w:szCs w:val="14"/>
                <w:lang w:eastAsia="pt-BR"/>
              </w:rPr>
            </w:pPr>
            <w:r w:rsidRPr="00457667">
              <w:rPr>
                <w:rFonts w:ascii="Arial" w:eastAsia="Times New Roman" w:hAnsi="Arial" w:cs="Arial"/>
                <w:sz w:val="14"/>
                <w:szCs w:val="14"/>
                <w:lang w:eastAsia="pt-BR"/>
              </w:rPr>
              <w:t>X</w:t>
            </w:r>
          </w:p>
        </w:tc>
        <w:tc>
          <w:tcPr>
            <w:tcW w:w="851" w:type="dxa"/>
            <w:vAlign w:val="center"/>
          </w:tcPr>
          <w:p w14:paraId="55B395ED" w14:textId="77777777" w:rsidR="000D0C88" w:rsidRPr="00457667" w:rsidRDefault="000D0C88" w:rsidP="000D0C88">
            <w:pPr>
              <w:spacing w:after="0" w:line="240" w:lineRule="auto"/>
              <w:jc w:val="center"/>
              <w:rPr>
                <w:rFonts w:ascii="Arial" w:eastAsia="Times New Roman" w:hAnsi="Arial" w:cs="Arial"/>
                <w:sz w:val="14"/>
                <w:szCs w:val="14"/>
                <w:lang w:eastAsia="pt-BR"/>
              </w:rPr>
            </w:pPr>
          </w:p>
        </w:tc>
        <w:tc>
          <w:tcPr>
            <w:tcW w:w="850" w:type="dxa"/>
            <w:vAlign w:val="center"/>
          </w:tcPr>
          <w:p w14:paraId="658B993C" w14:textId="77777777" w:rsidR="000D0C88" w:rsidRPr="00457667" w:rsidRDefault="000D0C88" w:rsidP="000D0C88">
            <w:pPr>
              <w:spacing w:after="0" w:line="240" w:lineRule="auto"/>
              <w:jc w:val="center"/>
              <w:rPr>
                <w:rFonts w:ascii="Arial" w:eastAsia="Times New Roman" w:hAnsi="Arial" w:cs="Arial"/>
                <w:sz w:val="14"/>
                <w:szCs w:val="14"/>
                <w:lang w:eastAsia="pt-BR"/>
              </w:rPr>
            </w:pPr>
            <w:r w:rsidRPr="00457667">
              <w:rPr>
                <w:rFonts w:ascii="Arial" w:eastAsia="Times New Roman" w:hAnsi="Arial" w:cs="Arial"/>
                <w:sz w:val="14"/>
                <w:szCs w:val="14"/>
                <w:lang w:eastAsia="pt-BR"/>
              </w:rPr>
              <w:t>X</w:t>
            </w:r>
          </w:p>
        </w:tc>
        <w:tc>
          <w:tcPr>
            <w:tcW w:w="851" w:type="dxa"/>
            <w:vAlign w:val="center"/>
          </w:tcPr>
          <w:p w14:paraId="37828178" w14:textId="77777777" w:rsidR="000D0C88" w:rsidRPr="00457667" w:rsidRDefault="000D0C88" w:rsidP="000D0C88">
            <w:pPr>
              <w:spacing w:after="0" w:line="240" w:lineRule="auto"/>
              <w:jc w:val="center"/>
              <w:rPr>
                <w:rFonts w:ascii="Arial" w:eastAsia="Times New Roman" w:hAnsi="Arial" w:cs="Arial"/>
                <w:sz w:val="14"/>
                <w:szCs w:val="14"/>
                <w:lang w:eastAsia="pt-BR"/>
              </w:rPr>
            </w:pPr>
            <w:r w:rsidRPr="00457667">
              <w:rPr>
                <w:rFonts w:ascii="Arial" w:eastAsia="Times New Roman" w:hAnsi="Arial" w:cs="Arial"/>
                <w:sz w:val="14"/>
                <w:szCs w:val="14"/>
                <w:lang w:eastAsia="pt-BR"/>
              </w:rPr>
              <w:t>X</w:t>
            </w:r>
          </w:p>
        </w:tc>
      </w:tr>
      <w:tr w:rsidR="000D0C88" w:rsidRPr="00A5490A" w14:paraId="05CB3A67" w14:textId="77777777" w:rsidTr="000065F5">
        <w:tc>
          <w:tcPr>
            <w:tcW w:w="1294" w:type="dxa"/>
            <w:vAlign w:val="center"/>
          </w:tcPr>
          <w:p w14:paraId="32842D76" w14:textId="77777777" w:rsidR="000D0C88" w:rsidRPr="003B4337" w:rsidRDefault="000D0C88" w:rsidP="000D0C88">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lastRenderedPageBreak/>
              <w:t>DEMAAT</w:t>
            </w:r>
          </w:p>
        </w:tc>
        <w:tc>
          <w:tcPr>
            <w:tcW w:w="7206" w:type="dxa"/>
            <w:shd w:val="clear" w:color="auto" w:fill="auto"/>
            <w:vAlign w:val="center"/>
          </w:tcPr>
          <w:p w14:paraId="13D0CB28" w14:textId="77777777" w:rsidR="000D0C88" w:rsidRPr="003B4337" w:rsidRDefault="000D0C88" w:rsidP="000D0C88">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b/>
                <w:sz w:val="18"/>
                <w:szCs w:val="18"/>
                <w:lang w:eastAsia="pt-BR"/>
              </w:rPr>
              <w:t>Avaliação Atuarial Anual</w:t>
            </w:r>
            <w:r w:rsidRPr="003B4337">
              <w:rPr>
                <w:rFonts w:ascii="Arial" w:eastAsia="Times New Roman" w:hAnsi="Arial" w:cs="Arial"/>
                <w:sz w:val="18"/>
                <w:szCs w:val="18"/>
                <w:lang w:eastAsia="pt-BR"/>
              </w:rPr>
              <w:t xml:space="preserve"> para verificação do equilíbrio financeiro e atuarial do RPPS (único ou dos Planos Previdenciário e Financeiro, no caso de segregação de massa), realizado por entidade independente e legalmente habilitada junto ao Instituto Brasileiro de Atuária (IBA), observados os parâmetros gerais para a organização e revisão do plano de custeio e benefícios, com da data de cálculo posicionado em 31/12 e Data-Base com dados posicionados entre julho a dezembro, ambos do exercício de competência da PCA.</w:t>
            </w:r>
          </w:p>
        </w:tc>
        <w:tc>
          <w:tcPr>
            <w:tcW w:w="993" w:type="dxa"/>
            <w:shd w:val="clear" w:color="auto" w:fill="auto"/>
            <w:vAlign w:val="center"/>
          </w:tcPr>
          <w:p w14:paraId="4C0E755A" w14:textId="77777777" w:rsidR="000D0C88" w:rsidRPr="003B4337" w:rsidRDefault="000D0C88" w:rsidP="000D0C88">
            <w:pPr>
              <w:spacing w:after="0" w:line="240" w:lineRule="auto"/>
              <w:jc w:val="center"/>
              <w:rPr>
                <w:rFonts w:ascii="Arial" w:eastAsia="Times New Roman" w:hAnsi="Arial" w:cs="Arial"/>
                <w:i/>
                <w:sz w:val="14"/>
                <w:szCs w:val="14"/>
                <w:highlight w:val="yellow"/>
                <w:lang w:eastAsia="pt-BR"/>
              </w:rPr>
            </w:pPr>
            <w:r>
              <w:rPr>
                <w:rFonts w:ascii="Arial" w:eastAsia="Times New Roman" w:hAnsi="Arial" w:cs="Arial"/>
                <w:sz w:val="14"/>
                <w:szCs w:val="14"/>
                <w:lang w:eastAsia="pt-BR"/>
              </w:rPr>
              <w:t>PDF</w:t>
            </w:r>
          </w:p>
        </w:tc>
        <w:tc>
          <w:tcPr>
            <w:tcW w:w="992" w:type="dxa"/>
            <w:vAlign w:val="center"/>
          </w:tcPr>
          <w:p w14:paraId="61B8E3E5" w14:textId="77777777" w:rsidR="000D0C88" w:rsidRPr="00CB55B0" w:rsidRDefault="000D0C88" w:rsidP="000D0C88">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vAlign w:val="center"/>
          </w:tcPr>
          <w:p w14:paraId="0D0BBF1B" w14:textId="77777777" w:rsidR="000D0C88" w:rsidRPr="00CB55B0" w:rsidRDefault="000D0C88" w:rsidP="000D0C88">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851" w:type="dxa"/>
            <w:vAlign w:val="center"/>
          </w:tcPr>
          <w:p w14:paraId="16AF2C67" w14:textId="77777777" w:rsidR="000D0C88" w:rsidRPr="003B4337" w:rsidRDefault="000D0C88" w:rsidP="000D0C88">
            <w:pPr>
              <w:spacing w:after="0" w:line="240" w:lineRule="auto"/>
              <w:jc w:val="center"/>
              <w:rPr>
                <w:rFonts w:ascii="Arial" w:eastAsia="Times New Roman" w:hAnsi="Arial" w:cs="Arial"/>
                <w:sz w:val="14"/>
                <w:szCs w:val="14"/>
                <w:lang w:eastAsia="pt-BR"/>
              </w:rPr>
            </w:pPr>
          </w:p>
        </w:tc>
        <w:tc>
          <w:tcPr>
            <w:tcW w:w="850" w:type="dxa"/>
            <w:vAlign w:val="center"/>
          </w:tcPr>
          <w:p w14:paraId="59472ABB" w14:textId="77777777" w:rsidR="000D0C88" w:rsidRPr="003B4337" w:rsidRDefault="000D0C88" w:rsidP="000D0C88">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851" w:type="dxa"/>
            <w:vAlign w:val="center"/>
          </w:tcPr>
          <w:p w14:paraId="1A3F346F" w14:textId="77777777" w:rsidR="000D0C88" w:rsidRPr="003B4337" w:rsidRDefault="000D0C88" w:rsidP="000D0C88">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r>
      <w:tr w:rsidR="000D0C88" w:rsidRPr="00A5490A" w14:paraId="4618A994" w14:textId="77777777" w:rsidTr="000065F5">
        <w:tc>
          <w:tcPr>
            <w:tcW w:w="1294" w:type="dxa"/>
            <w:vAlign w:val="center"/>
          </w:tcPr>
          <w:p w14:paraId="608C3E1C" w14:textId="77777777" w:rsidR="000D0C88" w:rsidRPr="003B4337" w:rsidRDefault="000D0C88" w:rsidP="000D0C88">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DELATU</w:t>
            </w:r>
          </w:p>
        </w:tc>
        <w:tc>
          <w:tcPr>
            <w:tcW w:w="7206" w:type="dxa"/>
            <w:shd w:val="clear" w:color="auto" w:fill="auto"/>
            <w:vAlign w:val="center"/>
          </w:tcPr>
          <w:p w14:paraId="7F3796F4" w14:textId="77777777" w:rsidR="000D0C88" w:rsidRPr="003B4337" w:rsidRDefault="000D0C88" w:rsidP="000D0C88">
            <w:pPr>
              <w:spacing w:before="120" w:after="120" w:line="240" w:lineRule="auto"/>
              <w:jc w:val="both"/>
              <w:rPr>
                <w:rFonts w:ascii="Arial" w:eastAsia="Times New Roman" w:hAnsi="Arial" w:cs="Arial"/>
                <w:b/>
                <w:sz w:val="18"/>
                <w:szCs w:val="18"/>
                <w:lang w:eastAsia="pt-BR"/>
              </w:rPr>
            </w:pPr>
            <w:r w:rsidRPr="003B4337">
              <w:rPr>
                <w:rFonts w:ascii="Arial" w:eastAsia="Times New Roman" w:hAnsi="Arial" w:cs="Arial"/>
                <w:sz w:val="18"/>
                <w:szCs w:val="18"/>
                <w:lang w:eastAsia="pt-BR"/>
              </w:rPr>
              <w:t>Declaração do Chefe do Poder Executivo, do responsável pela unidade gestora do RPPS e do atuário responsável pela elaboração da avaliação atuarial de que os mesmos elegeram conjuntamente as hipóteses biométricas, demográficas, econômicas e financeiras adequadas às características da massa de segurados e de seus dependentes para o correto dimensionamento dos compromissos futuros do RPPS.</w:t>
            </w:r>
          </w:p>
        </w:tc>
        <w:tc>
          <w:tcPr>
            <w:tcW w:w="993" w:type="dxa"/>
            <w:shd w:val="clear" w:color="auto" w:fill="auto"/>
            <w:vAlign w:val="center"/>
          </w:tcPr>
          <w:p w14:paraId="12A7063B" w14:textId="77777777" w:rsidR="000D0C88" w:rsidRPr="003B4337" w:rsidRDefault="000D0C88" w:rsidP="000D0C88">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c>
          <w:tcPr>
            <w:tcW w:w="992" w:type="dxa"/>
            <w:vAlign w:val="center"/>
          </w:tcPr>
          <w:p w14:paraId="2CA6B504" w14:textId="77777777" w:rsidR="000D0C88" w:rsidRPr="00CB55B0" w:rsidRDefault="000D0C88" w:rsidP="000D0C88">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vAlign w:val="center"/>
          </w:tcPr>
          <w:p w14:paraId="127B1B0B" w14:textId="77777777" w:rsidR="000D0C88" w:rsidRPr="00CB55B0" w:rsidRDefault="000D0C88" w:rsidP="000D0C88">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851" w:type="dxa"/>
            <w:vAlign w:val="center"/>
          </w:tcPr>
          <w:p w14:paraId="17C93E81" w14:textId="77777777" w:rsidR="000D0C88" w:rsidRPr="003B4337" w:rsidRDefault="000D0C88" w:rsidP="000D0C88">
            <w:pPr>
              <w:spacing w:after="0" w:line="240" w:lineRule="auto"/>
              <w:jc w:val="center"/>
              <w:rPr>
                <w:rFonts w:ascii="Arial" w:eastAsia="Times New Roman" w:hAnsi="Arial" w:cs="Arial"/>
                <w:sz w:val="14"/>
                <w:szCs w:val="14"/>
                <w:lang w:eastAsia="pt-BR"/>
              </w:rPr>
            </w:pPr>
          </w:p>
        </w:tc>
        <w:tc>
          <w:tcPr>
            <w:tcW w:w="850" w:type="dxa"/>
            <w:vAlign w:val="center"/>
          </w:tcPr>
          <w:p w14:paraId="1E6F959C" w14:textId="77777777" w:rsidR="000D0C88" w:rsidRPr="003B4337" w:rsidRDefault="000D0C88" w:rsidP="000D0C88">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851" w:type="dxa"/>
            <w:vAlign w:val="center"/>
          </w:tcPr>
          <w:p w14:paraId="39CB44BC" w14:textId="77777777" w:rsidR="000D0C88" w:rsidRPr="003B4337" w:rsidRDefault="000D0C88" w:rsidP="000D0C88">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r>
      <w:tr w:rsidR="000D0C88" w:rsidRPr="00A5490A" w14:paraId="4F1DBD9B" w14:textId="77777777" w:rsidTr="000065F5">
        <w:tc>
          <w:tcPr>
            <w:tcW w:w="1294" w:type="dxa"/>
            <w:vAlign w:val="center"/>
          </w:tcPr>
          <w:p w14:paraId="3B2E5EF8" w14:textId="77777777" w:rsidR="000D0C88" w:rsidRPr="003B4337" w:rsidRDefault="000D0C88" w:rsidP="000D0C88">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DECATU</w:t>
            </w:r>
          </w:p>
        </w:tc>
        <w:tc>
          <w:tcPr>
            <w:tcW w:w="7206" w:type="dxa"/>
            <w:shd w:val="clear" w:color="auto" w:fill="auto"/>
            <w:vAlign w:val="center"/>
          </w:tcPr>
          <w:p w14:paraId="7CFE1F84" w14:textId="77777777" w:rsidR="000D0C88" w:rsidRPr="003B4337" w:rsidRDefault="000D0C88" w:rsidP="000D0C88">
            <w:pPr>
              <w:spacing w:before="120" w:after="120" w:line="240" w:lineRule="auto"/>
              <w:jc w:val="both"/>
              <w:rPr>
                <w:rFonts w:ascii="Arial" w:eastAsia="Times New Roman" w:hAnsi="Arial" w:cs="Arial"/>
                <w:b/>
                <w:sz w:val="18"/>
                <w:szCs w:val="18"/>
                <w:lang w:eastAsia="pt-BR"/>
              </w:rPr>
            </w:pPr>
            <w:r w:rsidRPr="003B4337">
              <w:rPr>
                <w:rFonts w:ascii="Arial" w:eastAsia="Times New Roman" w:hAnsi="Arial" w:cs="Arial"/>
                <w:b/>
                <w:sz w:val="18"/>
                <w:szCs w:val="18"/>
                <w:lang w:eastAsia="pt-BR"/>
              </w:rPr>
              <w:t>Declaração do atuário</w:t>
            </w:r>
            <w:r w:rsidRPr="003B4337">
              <w:rPr>
                <w:rFonts w:ascii="Arial" w:eastAsia="Times New Roman" w:hAnsi="Arial" w:cs="Arial"/>
                <w:sz w:val="18"/>
                <w:szCs w:val="18"/>
                <w:lang w:eastAsia="pt-BR"/>
              </w:rPr>
              <w:t xml:space="preserve"> responsável pela elaboração da avaliação atuarial do exercício de competência da prestação de contas com data de cálculo: 31/12 e data-base com dados posicionados entre julho a dezembro, ambos do exercício de competência da PCA, acerca da qualidade da base cadastral utilizada, no tocante a completude, consistência e atualização e a necessidade de providências no tocante a correções e atualizações por conta do ente.</w:t>
            </w:r>
          </w:p>
        </w:tc>
        <w:tc>
          <w:tcPr>
            <w:tcW w:w="993" w:type="dxa"/>
            <w:shd w:val="clear" w:color="auto" w:fill="auto"/>
            <w:vAlign w:val="center"/>
          </w:tcPr>
          <w:p w14:paraId="3C0BF979" w14:textId="77777777" w:rsidR="000D0C88" w:rsidRPr="003B4337" w:rsidRDefault="000D0C88" w:rsidP="000D0C88">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c>
          <w:tcPr>
            <w:tcW w:w="992" w:type="dxa"/>
            <w:vAlign w:val="center"/>
          </w:tcPr>
          <w:p w14:paraId="326E6DCD" w14:textId="77777777" w:rsidR="000D0C88" w:rsidRPr="00CB55B0" w:rsidRDefault="000D0C88" w:rsidP="000D0C88">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vAlign w:val="center"/>
          </w:tcPr>
          <w:p w14:paraId="517718F4" w14:textId="77777777" w:rsidR="000D0C88" w:rsidRPr="00CB55B0" w:rsidRDefault="000D0C88" w:rsidP="000D0C88">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851" w:type="dxa"/>
            <w:vAlign w:val="center"/>
          </w:tcPr>
          <w:p w14:paraId="61052D6B" w14:textId="77777777" w:rsidR="000D0C88" w:rsidRPr="003B4337" w:rsidRDefault="000D0C88" w:rsidP="000D0C88">
            <w:pPr>
              <w:spacing w:after="0" w:line="240" w:lineRule="auto"/>
              <w:jc w:val="center"/>
              <w:rPr>
                <w:rFonts w:ascii="Arial" w:eastAsia="Times New Roman" w:hAnsi="Arial" w:cs="Arial"/>
                <w:sz w:val="14"/>
                <w:szCs w:val="14"/>
                <w:lang w:eastAsia="pt-BR"/>
              </w:rPr>
            </w:pPr>
          </w:p>
        </w:tc>
        <w:tc>
          <w:tcPr>
            <w:tcW w:w="850" w:type="dxa"/>
            <w:vAlign w:val="center"/>
          </w:tcPr>
          <w:p w14:paraId="1EAC477A" w14:textId="77777777" w:rsidR="000D0C88" w:rsidRPr="003B4337" w:rsidRDefault="000D0C88" w:rsidP="000D0C88">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851" w:type="dxa"/>
            <w:vAlign w:val="center"/>
          </w:tcPr>
          <w:p w14:paraId="523ED27C" w14:textId="77777777" w:rsidR="000D0C88" w:rsidRPr="003B4337" w:rsidRDefault="000D0C88" w:rsidP="000D0C88">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r>
      <w:tr w:rsidR="000D0C88" w:rsidRPr="00A5490A" w14:paraId="7CC26433" w14:textId="77777777" w:rsidTr="000065F5">
        <w:tc>
          <w:tcPr>
            <w:tcW w:w="1294" w:type="dxa"/>
            <w:vAlign w:val="center"/>
          </w:tcPr>
          <w:p w14:paraId="42FFC5FD" w14:textId="77777777" w:rsidR="000D0C88" w:rsidRPr="003B4337" w:rsidRDefault="000D0C88" w:rsidP="000D0C88">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NOTATU</w:t>
            </w:r>
          </w:p>
        </w:tc>
        <w:tc>
          <w:tcPr>
            <w:tcW w:w="7206" w:type="dxa"/>
            <w:shd w:val="clear" w:color="auto" w:fill="auto"/>
            <w:vAlign w:val="center"/>
          </w:tcPr>
          <w:p w14:paraId="695B5D37" w14:textId="77777777" w:rsidR="000D0C88" w:rsidRPr="003B4337" w:rsidRDefault="000D0C88" w:rsidP="000D0C88">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b/>
                <w:sz w:val="18"/>
                <w:szCs w:val="18"/>
                <w:lang w:eastAsia="pt-BR"/>
              </w:rPr>
              <w:t>Nota Técnica Atuaria</w:t>
            </w:r>
            <w:r w:rsidRPr="003B4337">
              <w:rPr>
                <w:rFonts w:ascii="Arial" w:eastAsia="Times New Roman" w:hAnsi="Arial" w:cs="Arial"/>
                <w:sz w:val="18"/>
                <w:szCs w:val="18"/>
                <w:lang w:eastAsia="pt-BR"/>
              </w:rPr>
              <w:t>l referente a avaliação atuarial do RPPS (único ou dos Planos Previdenciário e Financeiro, no caso de segregação de massa) na data de cálculo em 31/12 e Data-Base com dados posicionados entre julho a dezembro, ambos do exercício de competência da PCA.</w:t>
            </w:r>
          </w:p>
        </w:tc>
        <w:tc>
          <w:tcPr>
            <w:tcW w:w="993" w:type="dxa"/>
            <w:shd w:val="clear" w:color="auto" w:fill="auto"/>
            <w:vAlign w:val="center"/>
          </w:tcPr>
          <w:p w14:paraId="7113ECCE" w14:textId="77777777" w:rsidR="000D0C88" w:rsidRPr="003B4337" w:rsidRDefault="000D0C88" w:rsidP="000D0C88">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c>
          <w:tcPr>
            <w:tcW w:w="992" w:type="dxa"/>
            <w:vAlign w:val="center"/>
          </w:tcPr>
          <w:p w14:paraId="24709545" w14:textId="77777777" w:rsidR="000D0C88" w:rsidRPr="00CB55B0" w:rsidRDefault="000D0C88" w:rsidP="000D0C88">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vAlign w:val="center"/>
          </w:tcPr>
          <w:p w14:paraId="0E1B4A6A" w14:textId="77777777" w:rsidR="000D0C88" w:rsidRPr="00CB55B0" w:rsidRDefault="000D0C88" w:rsidP="000D0C88">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851" w:type="dxa"/>
            <w:vAlign w:val="center"/>
          </w:tcPr>
          <w:p w14:paraId="48028FE3" w14:textId="77777777" w:rsidR="000D0C88" w:rsidRPr="003B4337" w:rsidRDefault="000D0C88" w:rsidP="000D0C88">
            <w:pPr>
              <w:spacing w:after="0" w:line="240" w:lineRule="auto"/>
              <w:jc w:val="center"/>
              <w:rPr>
                <w:rFonts w:ascii="Arial" w:eastAsia="Times New Roman" w:hAnsi="Arial" w:cs="Arial"/>
                <w:sz w:val="14"/>
                <w:szCs w:val="14"/>
                <w:lang w:eastAsia="pt-BR"/>
              </w:rPr>
            </w:pPr>
          </w:p>
        </w:tc>
        <w:tc>
          <w:tcPr>
            <w:tcW w:w="850" w:type="dxa"/>
            <w:vAlign w:val="center"/>
          </w:tcPr>
          <w:p w14:paraId="2556C6F7" w14:textId="77777777" w:rsidR="000D0C88" w:rsidRPr="003B4337" w:rsidRDefault="000D0C88" w:rsidP="000D0C88">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851" w:type="dxa"/>
            <w:vAlign w:val="center"/>
          </w:tcPr>
          <w:p w14:paraId="0D1BC0DC" w14:textId="77777777" w:rsidR="000D0C88" w:rsidRPr="003B4337" w:rsidRDefault="000D0C88" w:rsidP="000D0C88">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r>
      <w:tr w:rsidR="000D0C88" w:rsidRPr="00A5490A" w14:paraId="0C6601B1" w14:textId="77777777" w:rsidTr="000065F5">
        <w:tc>
          <w:tcPr>
            <w:tcW w:w="1294" w:type="dxa"/>
            <w:vAlign w:val="center"/>
          </w:tcPr>
          <w:p w14:paraId="488B0624" w14:textId="77777777" w:rsidR="000D0C88" w:rsidRPr="003B4337" w:rsidRDefault="000D0C88" w:rsidP="000D0C88">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PARATU</w:t>
            </w:r>
          </w:p>
        </w:tc>
        <w:tc>
          <w:tcPr>
            <w:tcW w:w="7206" w:type="dxa"/>
            <w:shd w:val="clear" w:color="auto" w:fill="auto"/>
            <w:vAlign w:val="center"/>
          </w:tcPr>
          <w:p w14:paraId="1877789C" w14:textId="77777777" w:rsidR="000D0C88" w:rsidRPr="003B4337" w:rsidRDefault="000D0C88" w:rsidP="000D0C88">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b/>
                <w:sz w:val="18"/>
                <w:szCs w:val="18"/>
                <w:lang w:eastAsia="pt-BR"/>
              </w:rPr>
              <w:t>Parecer Atuarial Conclusivo</w:t>
            </w:r>
            <w:r w:rsidRPr="003B4337">
              <w:rPr>
                <w:rFonts w:ascii="Arial" w:eastAsia="Times New Roman" w:hAnsi="Arial" w:cs="Arial"/>
                <w:sz w:val="18"/>
                <w:szCs w:val="18"/>
                <w:lang w:eastAsia="pt-BR"/>
              </w:rPr>
              <w:t xml:space="preserve"> acerca do equilíbrio financeiro e atuarial (art. 40, caput da CF/88), do plano de custeio de amortização do déficit atuarial do RPPS (único, ou dos Fundos Financeiro e Previdenciário), referente a avaliação atuarial do exercício de competência da prestação de contas. (Data de Cálculo: 31/12 e Data-Base com dados posicionados entre julho a dezembro, ambos do exercício de competência da PCA)</w:t>
            </w:r>
          </w:p>
        </w:tc>
        <w:tc>
          <w:tcPr>
            <w:tcW w:w="993" w:type="dxa"/>
            <w:shd w:val="clear" w:color="auto" w:fill="auto"/>
            <w:vAlign w:val="center"/>
          </w:tcPr>
          <w:p w14:paraId="3A5AB0DE" w14:textId="77777777" w:rsidR="000D0C88" w:rsidRPr="003B4337" w:rsidRDefault="000D0C88" w:rsidP="000D0C88">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c>
          <w:tcPr>
            <w:tcW w:w="992" w:type="dxa"/>
            <w:vAlign w:val="center"/>
          </w:tcPr>
          <w:p w14:paraId="44401754" w14:textId="77777777" w:rsidR="000D0C88" w:rsidRPr="00CB55B0" w:rsidRDefault="000D0C88" w:rsidP="000D0C88">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vAlign w:val="center"/>
          </w:tcPr>
          <w:p w14:paraId="69CBD3D2" w14:textId="77777777" w:rsidR="000D0C88" w:rsidRPr="00CB55B0" w:rsidRDefault="000D0C88" w:rsidP="000D0C88">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851" w:type="dxa"/>
            <w:vAlign w:val="center"/>
          </w:tcPr>
          <w:p w14:paraId="4B8A051E" w14:textId="77777777" w:rsidR="000D0C88" w:rsidRPr="003B4337" w:rsidRDefault="000D0C88" w:rsidP="000D0C88">
            <w:pPr>
              <w:spacing w:after="0" w:line="240" w:lineRule="auto"/>
              <w:jc w:val="center"/>
              <w:rPr>
                <w:rFonts w:ascii="Arial" w:eastAsia="Times New Roman" w:hAnsi="Arial" w:cs="Arial"/>
                <w:sz w:val="14"/>
                <w:szCs w:val="14"/>
                <w:lang w:eastAsia="pt-BR"/>
              </w:rPr>
            </w:pPr>
          </w:p>
        </w:tc>
        <w:tc>
          <w:tcPr>
            <w:tcW w:w="850" w:type="dxa"/>
            <w:vAlign w:val="center"/>
          </w:tcPr>
          <w:p w14:paraId="08F323F9" w14:textId="77777777" w:rsidR="000D0C88" w:rsidRPr="003B4337" w:rsidRDefault="000D0C88" w:rsidP="000D0C88">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851" w:type="dxa"/>
            <w:vAlign w:val="center"/>
          </w:tcPr>
          <w:p w14:paraId="72B7B34A" w14:textId="77777777" w:rsidR="000D0C88" w:rsidRPr="003B4337" w:rsidRDefault="000D0C88" w:rsidP="000D0C88">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r>
      <w:tr w:rsidR="000D0C88" w:rsidRPr="00A5490A" w14:paraId="08E25D3E" w14:textId="77777777" w:rsidTr="000065F5">
        <w:tc>
          <w:tcPr>
            <w:tcW w:w="1294" w:type="dxa"/>
            <w:vAlign w:val="center"/>
          </w:tcPr>
          <w:p w14:paraId="405B94AE" w14:textId="77777777" w:rsidR="000D0C88" w:rsidRPr="00E12C33" w:rsidRDefault="000D0C88" w:rsidP="000D0C88">
            <w:pPr>
              <w:spacing w:after="0" w:line="240" w:lineRule="auto"/>
              <w:jc w:val="center"/>
              <w:rPr>
                <w:rFonts w:ascii="Arial" w:eastAsia="Times New Roman" w:hAnsi="Arial" w:cs="Arial"/>
                <w:sz w:val="18"/>
                <w:szCs w:val="18"/>
                <w:lang w:eastAsia="pt-BR"/>
              </w:rPr>
            </w:pPr>
            <w:r w:rsidRPr="00E12C33">
              <w:rPr>
                <w:rFonts w:ascii="Arial" w:eastAsia="Times New Roman" w:hAnsi="Arial" w:cs="Arial"/>
                <w:sz w:val="18"/>
                <w:szCs w:val="18"/>
                <w:lang w:eastAsia="pt-BR"/>
              </w:rPr>
              <w:t>PROATU</w:t>
            </w:r>
          </w:p>
        </w:tc>
        <w:tc>
          <w:tcPr>
            <w:tcW w:w="7206" w:type="dxa"/>
            <w:shd w:val="clear" w:color="auto" w:fill="auto"/>
            <w:vAlign w:val="center"/>
          </w:tcPr>
          <w:p w14:paraId="1463A597" w14:textId="0405453F" w:rsidR="000D0C88" w:rsidRPr="00E12C33" w:rsidRDefault="000D0C88" w:rsidP="00C30522">
            <w:pPr>
              <w:spacing w:before="120" w:after="120" w:line="240" w:lineRule="auto"/>
              <w:jc w:val="both"/>
              <w:rPr>
                <w:rFonts w:ascii="Arial" w:eastAsia="Times New Roman" w:hAnsi="Arial" w:cs="Arial"/>
                <w:sz w:val="18"/>
                <w:szCs w:val="18"/>
                <w:lang w:eastAsia="pt-BR"/>
              </w:rPr>
            </w:pPr>
            <w:r w:rsidRPr="00E12C33">
              <w:rPr>
                <w:rFonts w:ascii="Arial" w:eastAsia="Times New Roman" w:hAnsi="Arial" w:cs="Arial"/>
                <w:b/>
                <w:sz w:val="18"/>
                <w:szCs w:val="18"/>
                <w:lang w:eastAsia="pt-BR"/>
              </w:rPr>
              <w:t xml:space="preserve">Projeção Atuarial (Receitas, Despesas, Resultado Previdenciário e Saldo Financeiro) </w:t>
            </w:r>
            <w:r w:rsidRPr="00E12C33">
              <w:rPr>
                <w:rFonts w:ascii="Arial" w:eastAsia="Times New Roman" w:hAnsi="Arial" w:cs="Arial"/>
                <w:sz w:val="18"/>
                <w:szCs w:val="18"/>
                <w:lang w:eastAsia="pt-BR"/>
              </w:rPr>
              <w:t xml:space="preserve">do RPPS (único ou dos Planos Previdenciário e Financeiro, no caso de segregação de massa), </w:t>
            </w:r>
            <w:r w:rsidRPr="00E12C33">
              <w:rPr>
                <w:rFonts w:ascii="Arial" w:eastAsia="Times New Roman" w:hAnsi="Arial" w:cs="Arial"/>
                <w:b/>
                <w:sz w:val="18"/>
                <w:szCs w:val="18"/>
                <w:lang w:eastAsia="pt-BR"/>
              </w:rPr>
              <w:t>dos próximos 75 anos</w:t>
            </w:r>
            <w:r w:rsidRPr="00E12C33">
              <w:rPr>
                <w:rFonts w:ascii="Arial" w:eastAsia="Times New Roman" w:hAnsi="Arial" w:cs="Arial"/>
                <w:sz w:val="18"/>
                <w:szCs w:val="18"/>
                <w:lang w:eastAsia="pt-BR"/>
              </w:rPr>
              <w:t xml:space="preserve"> que compõe a avaliação atuarial do </w:t>
            </w:r>
            <w:r w:rsidRPr="00E12C33">
              <w:rPr>
                <w:rFonts w:ascii="Arial" w:eastAsia="Times New Roman" w:hAnsi="Arial" w:cs="Arial"/>
                <w:sz w:val="18"/>
                <w:szCs w:val="18"/>
                <w:lang w:eastAsia="pt-BR"/>
              </w:rPr>
              <w:lastRenderedPageBreak/>
              <w:t xml:space="preserve">exercício de competência da prestação de contas com data de cálculo 31/12 e Data-Base com dados posicionados entre julho a dezembro, ambos do exercício de competência da PCA, conforme layout constante do item </w:t>
            </w:r>
            <w:r w:rsidR="00C30522">
              <w:rPr>
                <w:rFonts w:ascii="Arial" w:eastAsia="Times New Roman" w:hAnsi="Arial" w:cs="Arial"/>
                <w:sz w:val="18"/>
                <w:szCs w:val="18"/>
                <w:lang w:eastAsia="pt-BR"/>
              </w:rPr>
              <w:t>3.1</w:t>
            </w:r>
            <w:r w:rsidRPr="00E12C33">
              <w:rPr>
                <w:rFonts w:ascii="Arial" w:eastAsia="Times New Roman" w:hAnsi="Arial" w:cs="Arial"/>
                <w:sz w:val="18"/>
                <w:szCs w:val="18"/>
                <w:lang w:eastAsia="pt-BR"/>
              </w:rPr>
              <w:t xml:space="preserve"> deste Anexo.</w:t>
            </w:r>
          </w:p>
        </w:tc>
        <w:tc>
          <w:tcPr>
            <w:tcW w:w="993" w:type="dxa"/>
            <w:shd w:val="clear" w:color="auto" w:fill="auto"/>
            <w:vAlign w:val="center"/>
          </w:tcPr>
          <w:p w14:paraId="4DD4452E" w14:textId="77777777" w:rsidR="000D0C88" w:rsidRPr="00E12C33" w:rsidRDefault="000D0C88" w:rsidP="000D0C88">
            <w:pPr>
              <w:spacing w:after="0" w:line="240" w:lineRule="auto"/>
              <w:jc w:val="center"/>
              <w:rPr>
                <w:rFonts w:ascii="Arial" w:eastAsia="Times New Roman" w:hAnsi="Arial" w:cs="Arial"/>
                <w:sz w:val="14"/>
                <w:szCs w:val="14"/>
                <w:lang w:eastAsia="pt-BR"/>
              </w:rPr>
            </w:pPr>
            <w:r w:rsidRPr="00E12C33">
              <w:rPr>
                <w:rFonts w:ascii="Arial" w:eastAsia="Times New Roman" w:hAnsi="Arial" w:cs="Arial"/>
                <w:sz w:val="14"/>
                <w:szCs w:val="14"/>
                <w:lang w:eastAsia="pt-BR"/>
              </w:rPr>
              <w:lastRenderedPageBreak/>
              <w:t>XML</w:t>
            </w:r>
          </w:p>
        </w:tc>
        <w:tc>
          <w:tcPr>
            <w:tcW w:w="992" w:type="dxa"/>
            <w:vAlign w:val="center"/>
          </w:tcPr>
          <w:p w14:paraId="636EDFCF" w14:textId="77777777" w:rsidR="000D0C88" w:rsidRPr="00CB55B0" w:rsidRDefault="000D0C88" w:rsidP="000D0C88">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vAlign w:val="center"/>
          </w:tcPr>
          <w:p w14:paraId="2F8CE9D5" w14:textId="77777777" w:rsidR="000D0C88" w:rsidRPr="00CB55B0" w:rsidRDefault="000D0C88" w:rsidP="000D0C88">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851" w:type="dxa"/>
            <w:vAlign w:val="center"/>
          </w:tcPr>
          <w:p w14:paraId="4BF35DDB" w14:textId="77777777" w:rsidR="000D0C88" w:rsidRPr="00E12C33" w:rsidRDefault="000D0C88" w:rsidP="000D0C88">
            <w:pPr>
              <w:spacing w:after="0" w:line="240" w:lineRule="auto"/>
              <w:jc w:val="center"/>
              <w:rPr>
                <w:rFonts w:ascii="Arial" w:eastAsia="Times New Roman" w:hAnsi="Arial" w:cs="Arial"/>
                <w:sz w:val="14"/>
                <w:szCs w:val="14"/>
                <w:lang w:eastAsia="pt-BR"/>
              </w:rPr>
            </w:pPr>
          </w:p>
        </w:tc>
        <w:tc>
          <w:tcPr>
            <w:tcW w:w="850" w:type="dxa"/>
            <w:vAlign w:val="center"/>
          </w:tcPr>
          <w:p w14:paraId="52646D5B" w14:textId="77777777" w:rsidR="000D0C88" w:rsidRPr="00E12C33" w:rsidRDefault="000D0C88" w:rsidP="000D0C88">
            <w:pPr>
              <w:spacing w:after="0" w:line="240" w:lineRule="auto"/>
              <w:jc w:val="center"/>
              <w:rPr>
                <w:rFonts w:ascii="Arial" w:eastAsia="Times New Roman" w:hAnsi="Arial" w:cs="Arial"/>
                <w:sz w:val="14"/>
                <w:szCs w:val="14"/>
                <w:lang w:eastAsia="pt-BR"/>
              </w:rPr>
            </w:pPr>
            <w:r w:rsidRPr="00E12C33">
              <w:rPr>
                <w:rFonts w:ascii="Arial" w:eastAsia="Times New Roman" w:hAnsi="Arial" w:cs="Arial"/>
                <w:sz w:val="14"/>
                <w:szCs w:val="14"/>
                <w:lang w:eastAsia="pt-BR"/>
              </w:rPr>
              <w:t>X</w:t>
            </w:r>
          </w:p>
        </w:tc>
        <w:tc>
          <w:tcPr>
            <w:tcW w:w="851" w:type="dxa"/>
            <w:vAlign w:val="center"/>
          </w:tcPr>
          <w:p w14:paraId="71C40AE1" w14:textId="77777777" w:rsidR="000D0C88" w:rsidRPr="00E12C33" w:rsidRDefault="000D0C88" w:rsidP="000D0C88">
            <w:pPr>
              <w:spacing w:after="0" w:line="240" w:lineRule="auto"/>
              <w:jc w:val="center"/>
              <w:rPr>
                <w:rFonts w:ascii="Arial" w:eastAsia="Times New Roman" w:hAnsi="Arial" w:cs="Arial"/>
                <w:sz w:val="14"/>
                <w:szCs w:val="14"/>
                <w:lang w:eastAsia="pt-BR"/>
              </w:rPr>
            </w:pPr>
            <w:r w:rsidRPr="00E12C33">
              <w:rPr>
                <w:rFonts w:ascii="Arial" w:eastAsia="Times New Roman" w:hAnsi="Arial" w:cs="Arial"/>
                <w:sz w:val="14"/>
                <w:szCs w:val="14"/>
                <w:lang w:eastAsia="pt-BR"/>
              </w:rPr>
              <w:t>X</w:t>
            </w:r>
          </w:p>
        </w:tc>
      </w:tr>
      <w:tr w:rsidR="000D0C88" w:rsidRPr="00A5490A" w14:paraId="29637866" w14:textId="77777777" w:rsidTr="000065F5">
        <w:tc>
          <w:tcPr>
            <w:tcW w:w="1294" w:type="dxa"/>
            <w:vAlign w:val="center"/>
          </w:tcPr>
          <w:p w14:paraId="6F1FBE9B" w14:textId="77777777" w:rsidR="000D0C88" w:rsidRPr="003B4337" w:rsidRDefault="000D0C88" w:rsidP="000D0C88">
            <w:pPr>
              <w:spacing w:before="120" w:after="12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lastRenderedPageBreak/>
              <w:t>BALATU</w:t>
            </w:r>
          </w:p>
        </w:tc>
        <w:tc>
          <w:tcPr>
            <w:tcW w:w="7206" w:type="dxa"/>
            <w:shd w:val="clear" w:color="auto" w:fill="auto"/>
            <w:vAlign w:val="center"/>
          </w:tcPr>
          <w:p w14:paraId="2FE02B28" w14:textId="77777777" w:rsidR="000D0C88" w:rsidRPr="003B4337" w:rsidRDefault="000D0C88" w:rsidP="000D0C88">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b/>
                <w:sz w:val="18"/>
                <w:szCs w:val="18"/>
                <w:lang w:eastAsia="pt-BR"/>
              </w:rPr>
              <w:t>Balanço Atuarial</w:t>
            </w:r>
            <w:r w:rsidRPr="003B4337">
              <w:rPr>
                <w:rFonts w:ascii="Arial" w:eastAsia="Times New Roman" w:hAnsi="Arial" w:cs="Arial"/>
                <w:sz w:val="18"/>
                <w:szCs w:val="18"/>
                <w:lang w:eastAsia="pt-BR"/>
              </w:rPr>
              <w:t xml:space="preserve"> que compõe a avaliação atuarial do RPPS (único ou dos Planos Previdenciário e Financeiro, no caso de segregação de massa), que subsidiou os registros contábeis das provisões matemáticas previdenciárias (PMP) com data de cálculo: 31/12 e data-base com dados posicionados entre julho a dezembro, ambos do exercício de competência da PCA.</w:t>
            </w:r>
          </w:p>
        </w:tc>
        <w:tc>
          <w:tcPr>
            <w:tcW w:w="993" w:type="dxa"/>
            <w:shd w:val="clear" w:color="auto" w:fill="auto"/>
            <w:vAlign w:val="center"/>
          </w:tcPr>
          <w:p w14:paraId="45E47845" w14:textId="77777777" w:rsidR="000D0C88" w:rsidRPr="003B4337" w:rsidRDefault="000D0C88" w:rsidP="000D0C88">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p w14:paraId="68E6C7A1" w14:textId="77777777" w:rsidR="000D0C88" w:rsidRPr="003B4337" w:rsidRDefault="000D0C88" w:rsidP="000D0C88">
            <w:pPr>
              <w:spacing w:after="0" w:line="240" w:lineRule="auto"/>
              <w:jc w:val="center"/>
              <w:rPr>
                <w:rFonts w:ascii="Arial" w:eastAsia="Times New Roman" w:hAnsi="Arial" w:cs="Arial"/>
                <w:sz w:val="14"/>
                <w:szCs w:val="14"/>
                <w:highlight w:val="yellow"/>
                <w:lang w:eastAsia="pt-BR"/>
              </w:rPr>
            </w:pPr>
            <w:r w:rsidRPr="003B4337">
              <w:rPr>
                <w:rFonts w:ascii="Arial" w:eastAsia="Times New Roman" w:hAnsi="Arial" w:cs="Arial"/>
                <w:sz w:val="14"/>
                <w:szCs w:val="14"/>
                <w:lang w:eastAsia="pt-BR"/>
              </w:rPr>
              <w:t>e</w:t>
            </w:r>
            <w:r w:rsidRPr="003B4337">
              <w:rPr>
                <w:rFonts w:ascii="Arial" w:eastAsia="Times New Roman" w:hAnsi="Arial" w:cs="Arial"/>
                <w:sz w:val="14"/>
                <w:szCs w:val="14"/>
                <w:highlight w:val="yellow"/>
                <w:lang w:eastAsia="pt-BR"/>
              </w:rPr>
              <w:t xml:space="preserve"> </w:t>
            </w:r>
          </w:p>
          <w:p w14:paraId="78856026" w14:textId="77777777" w:rsidR="000D0C88" w:rsidRPr="003B4337" w:rsidRDefault="000D0C88" w:rsidP="000D0C88">
            <w:pPr>
              <w:spacing w:after="0" w:line="240" w:lineRule="auto"/>
              <w:jc w:val="center"/>
              <w:rPr>
                <w:rFonts w:ascii="Arial" w:eastAsia="Times New Roman" w:hAnsi="Arial" w:cs="Arial"/>
                <w:sz w:val="14"/>
                <w:szCs w:val="14"/>
                <w:lang w:eastAsia="pt-BR"/>
              </w:rPr>
            </w:pPr>
            <w:r w:rsidRPr="003B4337">
              <w:rPr>
                <w:rFonts w:ascii="Arial" w:eastAsia="Times New Roman" w:hAnsi="Arial" w:cs="Arial"/>
                <w:sz w:val="14"/>
                <w:szCs w:val="14"/>
                <w:lang w:eastAsia="pt-BR"/>
              </w:rPr>
              <w:t>XLS/XLSX/ODS</w:t>
            </w:r>
          </w:p>
        </w:tc>
        <w:tc>
          <w:tcPr>
            <w:tcW w:w="992" w:type="dxa"/>
            <w:vAlign w:val="center"/>
          </w:tcPr>
          <w:p w14:paraId="2FC68AE4" w14:textId="77777777" w:rsidR="000D0C88" w:rsidRPr="00CB55B0" w:rsidRDefault="000D0C88" w:rsidP="000D0C88">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vAlign w:val="center"/>
          </w:tcPr>
          <w:p w14:paraId="6ECB14AF" w14:textId="77777777" w:rsidR="000D0C88" w:rsidRPr="00CB55B0" w:rsidRDefault="000D0C88" w:rsidP="000D0C88">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851" w:type="dxa"/>
            <w:vAlign w:val="center"/>
          </w:tcPr>
          <w:p w14:paraId="7FE55ED4" w14:textId="77777777" w:rsidR="000D0C88" w:rsidRPr="003B4337" w:rsidRDefault="000D0C88" w:rsidP="000D0C88">
            <w:pPr>
              <w:spacing w:after="0" w:line="240" w:lineRule="auto"/>
              <w:jc w:val="center"/>
              <w:rPr>
                <w:rFonts w:ascii="Arial" w:eastAsia="Times New Roman" w:hAnsi="Arial" w:cs="Arial"/>
                <w:sz w:val="14"/>
                <w:szCs w:val="14"/>
                <w:lang w:eastAsia="pt-BR"/>
              </w:rPr>
            </w:pPr>
          </w:p>
        </w:tc>
        <w:tc>
          <w:tcPr>
            <w:tcW w:w="850" w:type="dxa"/>
            <w:vAlign w:val="center"/>
          </w:tcPr>
          <w:p w14:paraId="1D73E287" w14:textId="77777777" w:rsidR="000D0C88" w:rsidRPr="003B4337" w:rsidRDefault="000D0C88" w:rsidP="000D0C88">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851" w:type="dxa"/>
            <w:vAlign w:val="center"/>
          </w:tcPr>
          <w:p w14:paraId="01C62419" w14:textId="77777777" w:rsidR="000D0C88" w:rsidRPr="003B4337" w:rsidRDefault="000D0C88" w:rsidP="000D0C88">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r>
      <w:tr w:rsidR="000D0C88" w:rsidRPr="00A5490A" w14:paraId="10FE7423" w14:textId="77777777" w:rsidTr="000065F5">
        <w:tc>
          <w:tcPr>
            <w:tcW w:w="1294" w:type="dxa"/>
            <w:vAlign w:val="center"/>
          </w:tcPr>
          <w:p w14:paraId="680EA610" w14:textId="77777777" w:rsidR="000D0C88" w:rsidRPr="003B4337" w:rsidRDefault="000D0C88" w:rsidP="000D0C88">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SUSTEN</w:t>
            </w:r>
          </w:p>
        </w:tc>
        <w:tc>
          <w:tcPr>
            <w:tcW w:w="7206" w:type="dxa"/>
            <w:shd w:val="clear" w:color="auto" w:fill="auto"/>
            <w:vAlign w:val="center"/>
          </w:tcPr>
          <w:p w14:paraId="1636D65F" w14:textId="7E92BEF0" w:rsidR="000D0C88" w:rsidRPr="00C30522" w:rsidRDefault="00457667" w:rsidP="000D0C88">
            <w:pPr>
              <w:spacing w:before="120" w:after="120" w:line="240" w:lineRule="auto"/>
              <w:jc w:val="both"/>
              <w:rPr>
                <w:rFonts w:ascii="Arial" w:eastAsia="Times New Roman" w:hAnsi="Arial" w:cs="Arial"/>
                <w:sz w:val="18"/>
                <w:szCs w:val="18"/>
                <w:lang w:eastAsia="pt-BR"/>
              </w:rPr>
            </w:pPr>
            <w:r w:rsidRPr="00C30522">
              <w:rPr>
                <w:rFonts w:ascii="Arial" w:eastAsia="Times New Roman" w:hAnsi="Arial" w:cs="Arial"/>
                <w:sz w:val="18"/>
                <w:szCs w:val="18"/>
                <w:lang w:eastAsia="pt-BR"/>
              </w:rPr>
              <w:t>Demonstrativo de Viabilidade do Plano de Custeio</w:t>
            </w:r>
            <w:r w:rsidRPr="00C30522">
              <w:t xml:space="preserve"> </w:t>
            </w:r>
            <w:r w:rsidRPr="00C30522">
              <w:rPr>
                <w:rFonts w:ascii="Arial" w:eastAsia="Times New Roman" w:hAnsi="Arial" w:cs="Arial"/>
                <w:sz w:val="18"/>
                <w:szCs w:val="18"/>
                <w:lang w:eastAsia="pt-BR"/>
              </w:rPr>
              <w:t>do RPPS (único ou dos Planos Previdenciário e Financeiro, no caso de segregação de massa) evidenciando que o plano de custeio adotado pelo ente, abrangendo plano de amortização, vigente no exercício da prestação de contas, possui viabilidade orçamentária e financeira, e que respeita os limites de gastos com pessoal impostos pela Lei de Responsabilidade Fiscal, durante todo seu período de vigência. Na elaboração deste demonstrativo previsto no inciso VII do art. 68 da Portaria MF nº 464/2018 deverão ser observados os prazos previstos no § 1º do art. 6º da Instrução Normativa SPREV nº 10, de 21 de dezembro de 2018.</w:t>
            </w:r>
          </w:p>
        </w:tc>
        <w:tc>
          <w:tcPr>
            <w:tcW w:w="993" w:type="dxa"/>
            <w:shd w:val="clear" w:color="auto" w:fill="auto"/>
            <w:vAlign w:val="center"/>
          </w:tcPr>
          <w:p w14:paraId="50CAAE23" w14:textId="77777777" w:rsidR="000D0C88" w:rsidRPr="003B4337" w:rsidRDefault="000D0C88" w:rsidP="000D0C88">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p w14:paraId="0A875454" w14:textId="77777777" w:rsidR="000D0C88" w:rsidRPr="003B4337" w:rsidRDefault="000D0C88" w:rsidP="000D0C88">
            <w:pPr>
              <w:spacing w:after="0" w:line="240" w:lineRule="auto"/>
              <w:jc w:val="center"/>
              <w:rPr>
                <w:rFonts w:ascii="Arial" w:eastAsia="Times New Roman" w:hAnsi="Arial" w:cs="Arial"/>
                <w:sz w:val="14"/>
                <w:szCs w:val="14"/>
                <w:highlight w:val="yellow"/>
                <w:lang w:eastAsia="pt-BR"/>
              </w:rPr>
            </w:pPr>
            <w:r w:rsidRPr="003B4337">
              <w:rPr>
                <w:rFonts w:ascii="Arial" w:eastAsia="Times New Roman" w:hAnsi="Arial" w:cs="Arial"/>
                <w:sz w:val="14"/>
                <w:szCs w:val="14"/>
                <w:lang w:eastAsia="pt-BR"/>
              </w:rPr>
              <w:t>e</w:t>
            </w:r>
            <w:r w:rsidRPr="003B4337">
              <w:rPr>
                <w:rFonts w:ascii="Arial" w:eastAsia="Times New Roman" w:hAnsi="Arial" w:cs="Arial"/>
                <w:sz w:val="14"/>
                <w:szCs w:val="14"/>
                <w:highlight w:val="yellow"/>
                <w:lang w:eastAsia="pt-BR"/>
              </w:rPr>
              <w:t xml:space="preserve"> </w:t>
            </w:r>
          </w:p>
          <w:p w14:paraId="04BAC54E" w14:textId="77777777" w:rsidR="000D0C88" w:rsidRPr="003B4337" w:rsidRDefault="000D0C88" w:rsidP="000D0C88">
            <w:pPr>
              <w:spacing w:after="0" w:line="240" w:lineRule="auto"/>
              <w:jc w:val="center"/>
              <w:rPr>
                <w:rFonts w:ascii="Arial" w:eastAsia="Times New Roman" w:hAnsi="Arial" w:cs="Arial"/>
                <w:sz w:val="14"/>
                <w:szCs w:val="14"/>
                <w:lang w:eastAsia="pt-BR"/>
              </w:rPr>
            </w:pPr>
            <w:r w:rsidRPr="003B4337">
              <w:rPr>
                <w:rFonts w:ascii="Arial" w:eastAsia="Times New Roman" w:hAnsi="Arial" w:cs="Arial"/>
                <w:sz w:val="14"/>
                <w:szCs w:val="14"/>
                <w:lang w:eastAsia="pt-BR"/>
              </w:rPr>
              <w:t>XLS/XLSX/ODS</w:t>
            </w:r>
          </w:p>
        </w:tc>
        <w:tc>
          <w:tcPr>
            <w:tcW w:w="992" w:type="dxa"/>
            <w:vAlign w:val="center"/>
          </w:tcPr>
          <w:p w14:paraId="0C2FE9F3" w14:textId="77777777" w:rsidR="000D0C88" w:rsidRPr="00CB55B0" w:rsidRDefault="000D0C88" w:rsidP="000D0C88">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vAlign w:val="center"/>
          </w:tcPr>
          <w:p w14:paraId="252ED3FD" w14:textId="77777777" w:rsidR="000D0C88" w:rsidRPr="00CB55B0" w:rsidRDefault="000D0C88" w:rsidP="000D0C88">
            <w:pPr>
              <w:spacing w:after="0" w:line="240" w:lineRule="auto"/>
              <w:jc w:val="center"/>
              <w:rPr>
                <w:rFonts w:ascii="Arial" w:eastAsia="Times New Roman" w:hAnsi="Arial" w:cs="Arial"/>
                <w:sz w:val="14"/>
                <w:szCs w:val="14"/>
                <w:lang w:eastAsia="pt-BR"/>
              </w:rPr>
            </w:pPr>
          </w:p>
        </w:tc>
        <w:tc>
          <w:tcPr>
            <w:tcW w:w="851" w:type="dxa"/>
            <w:vAlign w:val="center"/>
          </w:tcPr>
          <w:p w14:paraId="10875A0B" w14:textId="77777777" w:rsidR="000D0C88" w:rsidRPr="003B4337" w:rsidRDefault="000D0C88" w:rsidP="000D0C88">
            <w:pPr>
              <w:spacing w:after="0" w:line="240" w:lineRule="auto"/>
              <w:jc w:val="center"/>
              <w:rPr>
                <w:rFonts w:ascii="Arial" w:eastAsia="Times New Roman" w:hAnsi="Arial" w:cs="Arial"/>
                <w:sz w:val="14"/>
                <w:szCs w:val="14"/>
                <w:lang w:eastAsia="pt-BR"/>
              </w:rPr>
            </w:pPr>
          </w:p>
        </w:tc>
        <w:tc>
          <w:tcPr>
            <w:tcW w:w="850" w:type="dxa"/>
            <w:vAlign w:val="center"/>
          </w:tcPr>
          <w:p w14:paraId="33961643" w14:textId="77777777" w:rsidR="000D0C88" w:rsidRPr="003B4337" w:rsidRDefault="000D0C88" w:rsidP="000D0C88">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851" w:type="dxa"/>
            <w:vAlign w:val="center"/>
          </w:tcPr>
          <w:p w14:paraId="1FE0E002" w14:textId="77777777" w:rsidR="000D0C88" w:rsidRPr="003B4337" w:rsidRDefault="000D0C88" w:rsidP="000D0C88">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r>
      <w:tr w:rsidR="000D0C88" w:rsidRPr="00A5490A" w14:paraId="508497CC" w14:textId="77777777" w:rsidTr="000065F5">
        <w:tc>
          <w:tcPr>
            <w:tcW w:w="1294" w:type="dxa"/>
            <w:vAlign w:val="center"/>
          </w:tcPr>
          <w:p w14:paraId="0CBA1A2A" w14:textId="77777777" w:rsidR="000D0C88" w:rsidRPr="003B4337" w:rsidRDefault="000D0C88" w:rsidP="000D0C88">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DECAMO </w:t>
            </w:r>
          </w:p>
          <w:p w14:paraId="5A8A809E" w14:textId="77777777" w:rsidR="000D0C88" w:rsidRPr="003B4337" w:rsidRDefault="000D0C88" w:rsidP="000D0C88">
            <w:pPr>
              <w:spacing w:after="0" w:line="240" w:lineRule="auto"/>
              <w:jc w:val="center"/>
              <w:rPr>
                <w:rFonts w:ascii="Arial" w:eastAsia="Times New Roman" w:hAnsi="Arial" w:cs="Arial"/>
                <w:sz w:val="18"/>
                <w:szCs w:val="18"/>
                <w:lang w:eastAsia="pt-BR"/>
              </w:rPr>
            </w:pPr>
          </w:p>
        </w:tc>
        <w:tc>
          <w:tcPr>
            <w:tcW w:w="7206" w:type="dxa"/>
            <w:shd w:val="clear" w:color="auto" w:fill="auto"/>
            <w:vAlign w:val="center"/>
          </w:tcPr>
          <w:p w14:paraId="0E75128E" w14:textId="604BF5D2" w:rsidR="000D0C88" w:rsidRPr="003B4337" w:rsidRDefault="000D0C88" w:rsidP="005F05CF">
            <w:pPr>
              <w:spacing w:before="120" w:after="120" w:line="240" w:lineRule="auto"/>
              <w:jc w:val="both"/>
              <w:rPr>
                <w:rFonts w:ascii="Arial" w:hAnsi="Arial" w:cs="Arial"/>
              </w:rPr>
            </w:pPr>
            <w:r w:rsidRPr="003B4337">
              <w:rPr>
                <w:rFonts w:ascii="Arial" w:eastAsia="Times New Roman" w:hAnsi="Arial" w:cs="Arial"/>
                <w:sz w:val="18"/>
                <w:szCs w:val="18"/>
                <w:lang w:eastAsia="pt-BR"/>
              </w:rPr>
              <w:t xml:space="preserve">Declaração do Gestor do RPPS sobre a compatibilidade do plano de custeio e do plano de amortização do déficit atuarial adotados pelo Ente no exercício da prestação de contas anual em relação àqueles sugeridos no Relatório de Avaliação Atuarial do exercício anterior, </w:t>
            </w:r>
            <w:r>
              <w:rPr>
                <w:rFonts w:ascii="Arial" w:eastAsia="Times New Roman" w:hAnsi="Arial" w:cs="Arial"/>
                <w:sz w:val="18"/>
                <w:szCs w:val="18"/>
                <w:lang w:eastAsia="pt-BR"/>
              </w:rPr>
              <w:t xml:space="preserve">acompanhada da base normativa citada no relatório, </w:t>
            </w:r>
            <w:r w:rsidRPr="003B4337">
              <w:rPr>
                <w:rFonts w:ascii="Arial" w:eastAsia="Times New Roman" w:hAnsi="Arial" w:cs="Arial"/>
                <w:sz w:val="18"/>
                <w:szCs w:val="18"/>
                <w:lang w:eastAsia="pt-BR"/>
              </w:rPr>
              <w:t xml:space="preserve">na forma </w:t>
            </w:r>
            <w:r w:rsidR="005F05CF">
              <w:rPr>
                <w:rFonts w:ascii="Arial" w:eastAsia="Times New Roman" w:hAnsi="Arial" w:cs="Arial"/>
                <w:sz w:val="18"/>
                <w:szCs w:val="18"/>
                <w:lang w:eastAsia="pt-BR"/>
              </w:rPr>
              <w:t xml:space="preserve">do do </w:t>
            </w:r>
            <w:r w:rsidR="005F05CF" w:rsidRPr="005F05CF">
              <w:rPr>
                <w:rFonts w:ascii="Arial" w:eastAsia="Times New Roman" w:hAnsi="Arial" w:cs="Arial"/>
                <w:sz w:val="18"/>
                <w:szCs w:val="18"/>
                <w:lang w:eastAsia="pt-BR"/>
              </w:rPr>
              <w:t>item 3.2 deste Anexo.</w:t>
            </w:r>
          </w:p>
        </w:tc>
        <w:tc>
          <w:tcPr>
            <w:tcW w:w="993" w:type="dxa"/>
            <w:shd w:val="clear" w:color="auto" w:fill="auto"/>
            <w:vAlign w:val="center"/>
          </w:tcPr>
          <w:p w14:paraId="3C558D4E" w14:textId="77777777" w:rsidR="000D0C88" w:rsidRPr="003B4337" w:rsidRDefault="000D0C88" w:rsidP="000D0C88">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c>
          <w:tcPr>
            <w:tcW w:w="992" w:type="dxa"/>
            <w:vAlign w:val="center"/>
          </w:tcPr>
          <w:p w14:paraId="391ABA42" w14:textId="77777777" w:rsidR="000D0C88" w:rsidRPr="00CB55B0" w:rsidRDefault="000D0C88" w:rsidP="000D0C88">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vAlign w:val="center"/>
          </w:tcPr>
          <w:p w14:paraId="51685669" w14:textId="77777777" w:rsidR="000D0C88" w:rsidRPr="00CB55B0" w:rsidRDefault="000D0C88" w:rsidP="000D0C88">
            <w:pPr>
              <w:spacing w:after="0" w:line="240" w:lineRule="auto"/>
              <w:jc w:val="center"/>
              <w:rPr>
                <w:rFonts w:ascii="Arial" w:eastAsia="Times New Roman" w:hAnsi="Arial" w:cs="Arial"/>
                <w:sz w:val="14"/>
                <w:szCs w:val="14"/>
                <w:lang w:eastAsia="pt-BR"/>
              </w:rPr>
            </w:pPr>
          </w:p>
        </w:tc>
        <w:tc>
          <w:tcPr>
            <w:tcW w:w="851" w:type="dxa"/>
            <w:vAlign w:val="center"/>
          </w:tcPr>
          <w:p w14:paraId="2AC7CB38" w14:textId="77777777" w:rsidR="000D0C88" w:rsidRPr="003B4337" w:rsidRDefault="000D0C88" w:rsidP="000D0C88">
            <w:pPr>
              <w:spacing w:after="0" w:line="240" w:lineRule="auto"/>
              <w:jc w:val="center"/>
              <w:rPr>
                <w:rFonts w:ascii="Arial" w:eastAsia="Times New Roman" w:hAnsi="Arial" w:cs="Arial"/>
                <w:sz w:val="14"/>
                <w:szCs w:val="14"/>
                <w:lang w:eastAsia="pt-BR"/>
              </w:rPr>
            </w:pPr>
          </w:p>
        </w:tc>
        <w:tc>
          <w:tcPr>
            <w:tcW w:w="850" w:type="dxa"/>
            <w:vAlign w:val="center"/>
          </w:tcPr>
          <w:p w14:paraId="4DCBEB59" w14:textId="77777777" w:rsidR="000D0C88" w:rsidRPr="003B4337" w:rsidRDefault="000D0C88" w:rsidP="000D0C88">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851" w:type="dxa"/>
            <w:vAlign w:val="center"/>
          </w:tcPr>
          <w:p w14:paraId="2310A487" w14:textId="77777777" w:rsidR="000D0C88" w:rsidRPr="003B4337" w:rsidRDefault="000D0C88" w:rsidP="000D0C88">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r>
      <w:tr w:rsidR="000D0C88" w:rsidRPr="00A5490A" w14:paraId="109EDEA3" w14:textId="77777777" w:rsidTr="000065F5">
        <w:tc>
          <w:tcPr>
            <w:tcW w:w="1294" w:type="dxa"/>
            <w:vAlign w:val="center"/>
          </w:tcPr>
          <w:p w14:paraId="09C05543" w14:textId="77777777" w:rsidR="000D0C88" w:rsidRPr="003B4337" w:rsidRDefault="000D0C88" w:rsidP="000D0C88">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RELCUST</w:t>
            </w:r>
          </w:p>
        </w:tc>
        <w:tc>
          <w:tcPr>
            <w:tcW w:w="7206" w:type="dxa"/>
            <w:shd w:val="clear" w:color="auto" w:fill="auto"/>
            <w:vAlign w:val="center"/>
          </w:tcPr>
          <w:p w14:paraId="3293B140" w14:textId="377A7F21" w:rsidR="000D0C88" w:rsidRPr="003B4337" w:rsidRDefault="000D0C88" w:rsidP="000D0C88">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Relatório do Plano de Custeio e do Plano de Benefícios do RPPS, vigentes no exercício financeiro da prestação de contas, </w:t>
            </w:r>
            <w:r>
              <w:rPr>
                <w:rFonts w:ascii="Arial" w:eastAsia="Times New Roman" w:hAnsi="Arial" w:cs="Arial"/>
                <w:sz w:val="18"/>
                <w:szCs w:val="18"/>
                <w:lang w:eastAsia="pt-BR"/>
              </w:rPr>
              <w:t>acompanhada da base normativa citada no relatório,</w:t>
            </w:r>
            <w:r w:rsidRPr="003B4337">
              <w:rPr>
                <w:rFonts w:ascii="Arial" w:eastAsia="Times New Roman" w:hAnsi="Arial" w:cs="Arial"/>
                <w:sz w:val="18"/>
                <w:szCs w:val="18"/>
                <w:lang w:eastAsia="pt-BR"/>
              </w:rPr>
              <w:t xml:space="preserve"> na forma</w:t>
            </w:r>
            <w:r w:rsidR="005F05CF">
              <w:rPr>
                <w:rFonts w:ascii="Arial" w:eastAsia="Times New Roman" w:hAnsi="Arial" w:cs="Arial"/>
                <w:sz w:val="18"/>
                <w:szCs w:val="18"/>
                <w:lang w:eastAsia="pt-BR"/>
              </w:rPr>
              <w:t xml:space="preserve"> do</w:t>
            </w:r>
            <w:r w:rsidRPr="003B4337">
              <w:rPr>
                <w:rFonts w:ascii="Arial" w:eastAsia="Times New Roman" w:hAnsi="Arial" w:cs="Arial"/>
                <w:sz w:val="18"/>
                <w:szCs w:val="18"/>
                <w:lang w:eastAsia="pt-BR"/>
              </w:rPr>
              <w:t xml:space="preserve"> </w:t>
            </w:r>
            <w:r w:rsidR="005F05CF" w:rsidRPr="005F05CF">
              <w:rPr>
                <w:rFonts w:ascii="Arial" w:eastAsia="Times New Roman" w:hAnsi="Arial" w:cs="Arial"/>
                <w:sz w:val="18"/>
                <w:szCs w:val="18"/>
                <w:lang w:eastAsia="pt-BR"/>
              </w:rPr>
              <w:t>item 3.2 deste Anexo.</w:t>
            </w:r>
          </w:p>
        </w:tc>
        <w:tc>
          <w:tcPr>
            <w:tcW w:w="993" w:type="dxa"/>
            <w:shd w:val="clear" w:color="auto" w:fill="auto"/>
            <w:vAlign w:val="center"/>
          </w:tcPr>
          <w:p w14:paraId="6703A9C8" w14:textId="77777777" w:rsidR="000D0C88" w:rsidRPr="003B4337" w:rsidRDefault="000D0C88" w:rsidP="000D0C88">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c>
          <w:tcPr>
            <w:tcW w:w="992" w:type="dxa"/>
            <w:vAlign w:val="center"/>
          </w:tcPr>
          <w:p w14:paraId="12954D14" w14:textId="77777777" w:rsidR="000D0C88" w:rsidRPr="00CB55B0" w:rsidRDefault="000D0C88" w:rsidP="000D0C88">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vAlign w:val="center"/>
          </w:tcPr>
          <w:p w14:paraId="04BAAF91" w14:textId="77777777" w:rsidR="000D0C88" w:rsidRPr="00CB55B0" w:rsidRDefault="000D0C88" w:rsidP="000D0C88">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851" w:type="dxa"/>
            <w:vAlign w:val="center"/>
          </w:tcPr>
          <w:p w14:paraId="08EE031A" w14:textId="77777777" w:rsidR="000D0C88" w:rsidRPr="003B4337" w:rsidRDefault="000D0C88" w:rsidP="000D0C88">
            <w:pPr>
              <w:spacing w:after="0" w:line="240" w:lineRule="auto"/>
              <w:jc w:val="center"/>
              <w:rPr>
                <w:rFonts w:ascii="Arial" w:eastAsia="Times New Roman" w:hAnsi="Arial" w:cs="Arial"/>
                <w:sz w:val="14"/>
                <w:szCs w:val="14"/>
                <w:lang w:eastAsia="pt-BR"/>
              </w:rPr>
            </w:pPr>
          </w:p>
        </w:tc>
        <w:tc>
          <w:tcPr>
            <w:tcW w:w="850" w:type="dxa"/>
            <w:vAlign w:val="center"/>
          </w:tcPr>
          <w:p w14:paraId="2DF9C37B" w14:textId="77777777" w:rsidR="000D0C88" w:rsidRPr="003B4337" w:rsidRDefault="000D0C88" w:rsidP="000D0C88">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851" w:type="dxa"/>
            <w:vAlign w:val="center"/>
          </w:tcPr>
          <w:p w14:paraId="61CD00A7" w14:textId="77777777" w:rsidR="000D0C88" w:rsidRPr="003B4337" w:rsidRDefault="000D0C88" w:rsidP="000D0C88">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r>
      <w:tr w:rsidR="000D0C88" w:rsidRPr="00A5490A" w14:paraId="56E37978" w14:textId="77777777" w:rsidTr="000065F5">
        <w:tc>
          <w:tcPr>
            <w:tcW w:w="1294" w:type="dxa"/>
            <w:vAlign w:val="center"/>
          </w:tcPr>
          <w:p w14:paraId="39CFD022" w14:textId="77777777" w:rsidR="000D0C88" w:rsidRPr="003B4337" w:rsidRDefault="000D0C88" w:rsidP="000D0C88">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RELPAD</w:t>
            </w:r>
          </w:p>
        </w:tc>
        <w:tc>
          <w:tcPr>
            <w:tcW w:w="7206" w:type="dxa"/>
            <w:shd w:val="clear" w:color="auto" w:fill="auto"/>
            <w:vAlign w:val="center"/>
          </w:tcPr>
          <w:p w14:paraId="747075AD" w14:textId="77EE4D6C" w:rsidR="000D0C88" w:rsidRPr="003B4337" w:rsidRDefault="000D0C88" w:rsidP="005F05CF">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Relatório do Plano de Amortização do Déficit Atuarial do RPPS, vigente no exercício financeiro da prestação de contas, na forma </w:t>
            </w:r>
            <w:r w:rsidR="005F05CF" w:rsidRPr="005F05CF">
              <w:rPr>
                <w:rFonts w:ascii="Arial" w:eastAsia="Times New Roman" w:hAnsi="Arial" w:cs="Arial"/>
                <w:sz w:val="18"/>
                <w:szCs w:val="18"/>
                <w:lang w:eastAsia="pt-BR"/>
              </w:rPr>
              <w:t>do item 3.2 deste Anexo.</w:t>
            </w:r>
          </w:p>
        </w:tc>
        <w:tc>
          <w:tcPr>
            <w:tcW w:w="993" w:type="dxa"/>
            <w:shd w:val="clear" w:color="auto" w:fill="auto"/>
            <w:vAlign w:val="center"/>
          </w:tcPr>
          <w:p w14:paraId="195F5913" w14:textId="77777777" w:rsidR="000D0C88" w:rsidRPr="003B4337" w:rsidRDefault="000D0C88" w:rsidP="000D0C88">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c>
          <w:tcPr>
            <w:tcW w:w="992" w:type="dxa"/>
            <w:vAlign w:val="center"/>
          </w:tcPr>
          <w:p w14:paraId="79E8DEAD" w14:textId="77777777" w:rsidR="000D0C88" w:rsidRPr="00CB55B0" w:rsidRDefault="000D0C88" w:rsidP="000D0C88">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vAlign w:val="center"/>
          </w:tcPr>
          <w:p w14:paraId="75B39C90" w14:textId="77777777" w:rsidR="000D0C88" w:rsidRPr="00CB55B0" w:rsidRDefault="000D0C88" w:rsidP="000D0C88">
            <w:pPr>
              <w:spacing w:after="0" w:line="240" w:lineRule="auto"/>
              <w:jc w:val="center"/>
              <w:rPr>
                <w:rFonts w:ascii="Arial" w:eastAsia="Times New Roman" w:hAnsi="Arial" w:cs="Arial"/>
                <w:sz w:val="14"/>
                <w:szCs w:val="14"/>
                <w:lang w:eastAsia="pt-BR"/>
              </w:rPr>
            </w:pPr>
          </w:p>
        </w:tc>
        <w:tc>
          <w:tcPr>
            <w:tcW w:w="851" w:type="dxa"/>
            <w:vAlign w:val="center"/>
          </w:tcPr>
          <w:p w14:paraId="068A3B20" w14:textId="77777777" w:rsidR="000D0C88" w:rsidRPr="003B4337" w:rsidRDefault="000D0C88" w:rsidP="000D0C88">
            <w:pPr>
              <w:spacing w:after="0" w:line="240" w:lineRule="auto"/>
              <w:jc w:val="center"/>
              <w:rPr>
                <w:rFonts w:ascii="Arial" w:eastAsia="Times New Roman" w:hAnsi="Arial" w:cs="Arial"/>
                <w:sz w:val="14"/>
                <w:szCs w:val="14"/>
                <w:lang w:eastAsia="pt-BR"/>
              </w:rPr>
            </w:pPr>
          </w:p>
        </w:tc>
        <w:tc>
          <w:tcPr>
            <w:tcW w:w="850" w:type="dxa"/>
            <w:vAlign w:val="center"/>
          </w:tcPr>
          <w:p w14:paraId="000AE304" w14:textId="77777777" w:rsidR="000D0C88" w:rsidRPr="003B4337" w:rsidRDefault="000D0C88" w:rsidP="000D0C88">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851" w:type="dxa"/>
            <w:vAlign w:val="center"/>
          </w:tcPr>
          <w:p w14:paraId="3CB3C042" w14:textId="77777777" w:rsidR="000D0C88" w:rsidRPr="003B4337" w:rsidRDefault="000D0C88" w:rsidP="000D0C88">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r>
      <w:tr w:rsidR="000D0C88" w:rsidRPr="00A5490A" w14:paraId="7161AA28" w14:textId="77777777" w:rsidTr="000065F5">
        <w:tc>
          <w:tcPr>
            <w:tcW w:w="1294" w:type="dxa"/>
            <w:vAlign w:val="center"/>
          </w:tcPr>
          <w:p w14:paraId="6FB7E1BC" w14:textId="77777777" w:rsidR="000D0C88" w:rsidRPr="0025173C" w:rsidRDefault="000D0C88" w:rsidP="000D0C88">
            <w:pPr>
              <w:spacing w:after="0" w:line="240" w:lineRule="auto"/>
              <w:jc w:val="center"/>
              <w:rPr>
                <w:rFonts w:ascii="Arial" w:eastAsia="Times New Roman" w:hAnsi="Arial" w:cs="Arial"/>
                <w:sz w:val="18"/>
                <w:szCs w:val="18"/>
                <w:lang w:eastAsia="pt-BR"/>
              </w:rPr>
            </w:pPr>
            <w:r w:rsidRPr="0025173C">
              <w:rPr>
                <w:rFonts w:ascii="Arial" w:eastAsia="Times New Roman" w:hAnsi="Arial" w:cs="Arial"/>
                <w:sz w:val="18"/>
                <w:szCs w:val="18"/>
                <w:lang w:eastAsia="pt-BR"/>
              </w:rPr>
              <w:t>DEMDAD</w:t>
            </w:r>
          </w:p>
        </w:tc>
        <w:tc>
          <w:tcPr>
            <w:tcW w:w="7206" w:type="dxa"/>
            <w:shd w:val="clear" w:color="auto" w:fill="auto"/>
            <w:vAlign w:val="center"/>
          </w:tcPr>
          <w:p w14:paraId="7C5BCDC6" w14:textId="52A28324" w:rsidR="000D0C88" w:rsidRPr="0025173C" w:rsidRDefault="000D0C88" w:rsidP="00C30522">
            <w:pPr>
              <w:spacing w:before="120" w:after="120" w:line="240" w:lineRule="auto"/>
              <w:jc w:val="both"/>
              <w:rPr>
                <w:rFonts w:ascii="Arial" w:eastAsia="Times New Roman" w:hAnsi="Arial" w:cs="Arial"/>
                <w:sz w:val="18"/>
                <w:szCs w:val="18"/>
                <w:lang w:eastAsia="pt-BR"/>
              </w:rPr>
            </w:pPr>
            <w:r w:rsidRPr="0025173C">
              <w:rPr>
                <w:rFonts w:ascii="Arial" w:eastAsia="Times New Roman" w:hAnsi="Arial" w:cs="Arial"/>
                <w:sz w:val="18"/>
                <w:szCs w:val="18"/>
                <w:lang w:eastAsia="pt-BR"/>
              </w:rPr>
              <w:t xml:space="preserve">Demonstrativo evidenciando o cálculo do limite de gastos administrativos fixado conforme legislação local e os gastos com despesas administrativas efetivamente realizadas no exercício de competência da PCA, conforme layout constante do item </w:t>
            </w:r>
            <w:r w:rsidR="00C30522">
              <w:rPr>
                <w:rFonts w:ascii="Arial" w:eastAsia="Times New Roman" w:hAnsi="Arial" w:cs="Arial"/>
                <w:sz w:val="18"/>
                <w:szCs w:val="18"/>
                <w:lang w:eastAsia="pt-BR"/>
              </w:rPr>
              <w:t>3.1</w:t>
            </w:r>
            <w:r w:rsidRPr="0025173C">
              <w:rPr>
                <w:rFonts w:ascii="Arial" w:eastAsia="Times New Roman" w:hAnsi="Arial" w:cs="Arial"/>
                <w:sz w:val="18"/>
                <w:szCs w:val="18"/>
                <w:lang w:eastAsia="pt-BR"/>
              </w:rPr>
              <w:t>I deste Anexo.</w:t>
            </w:r>
          </w:p>
        </w:tc>
        <w:tc>
          <w:tcPr>
            <w:tcW w:w="993" w:type="dxa"/>
            <w:shd w:val="clear" w:color="auto" w:fill="auto"/>
            <w:vAlign w:val="center"/>
          </w:tcPr>
          <w:p w14:paraId="68F21518" w14:textId="77777777" w:rsidR="000D0C88" w:rsidRPr="0025173C" w:rsidRDefault="000D0C88" w:rsidP="000D0C88">
            <w:pPr>
              <w:spacing w:after="0" w:line="240" w:lineRule="auto"/>
              <w:jc w:val="center"/>
              <w:rPr>
                <w:rFonts w:ascii="Arial" w:eastAsia="Times New Roman" w:hAnsi="Arial" w:cs="Arial"/>
                <w:i/>
                <w:sz w:val="14"/>
                <w:szCs w:val="14"/>
                <w:lang w:eastAsia="pt-BR"/>
              </w:rPr>
            </w:pPr>
            <w:r w:rsidRPr="0025173C">
              <w:rPr>
                <w:rFonts w:ascii="Arial" w:eastAsia="Times New Roman" w:hAnsi="Arial" w:cs="Arial"/>
                <w:sz w:val="14"/>
                <w:szCs w:val="14"/>
                <w:lang w:eastAsia="pt-BR"/>
              </w:rPr>
              <w:t>XML</w:t>
            </w:r>
          </w:p>
        </w:tc>
        <w:tc>
          <w:tcPr>
            <w:tcW w:w="992" w:type="dxa"/>
            <w:vAlign w:val="center"/>
          </w:tcPr>
          <w:p w14:paraId="2A2036C7" w14:textId="77777777" w:rsidR="000D0C88" w:rsidRPr="00CB55B0" w:rsidRDefault="000D0C88" w:rsidP="000D0C88">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vAlign w:val="center"/>
          </w:tcPr>
          <w:p w14:paraId="30E229D7" w14:textId="77777777" w:rsidR="000D0C88" w:rsidRPr="00CB55B0" w:rsidRDefault="000D0C88" w:rsidP="000D0C88">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851" w:type="dxa"/>
            <w:vAlign w:val="center"/>
          </w:tcPr>
          <w:p w14:paraId="6F6BE3C3" w14:textId="77777777" w:rsidR="000D0C88" w:rsidRPr="0025173C" w:rsidRDefault="000D0C88" w:rsidP="000D0C88">
            <w:pPr>
              <w:spacing w:after="0" w:line="240" w:lineRule="auto"/>
              <w:jc w:val="center"/>
              <w:rPr>
                <w:rFonts w:ascii="Arial" w:eastAsia="Times New Roman" w:hAnsi="Arial" w:cs="Arial"/>
                <w:sz w:val="14"/>
                <w:szCs w:val="14"/>
                <w:lang w:eastAsia="pt-BR"/>
              </w:rPr>
            </w:pPr>
            <w:r w:rsidRPr="0025173C">
              <w:rPr>
                <w:rFonts w:ascii="Arial" w:eastAsia="Times New Roman" w:hAnsi="Arial" w:cs="Arial"/>
                <w:sz w:val="14"/>
                <w:szCs w:val="14"/>
                <w:lang w:eastAsia="pt-BR"/>
              </w:rPr>
              <w:t>X</w:t>
            </w:r>
          </w:p>
        </w:tc>
        <w:tc>
          <w:tcPr>
            <w:tcW w:w="850" w:type="dxa"/>
            <w:vAlign w:val="center"/>
          </w:tcPr>
          <w:p w14:paraId="190D94B2" w14:textId="77777777" w:rsidR="000D0C88" w:rsidRPr="0025173C" w:rsidRDefault="000D0C88" w:rsidP="000D0C88">
            <w:pPr>
              <w:spacing w:after="0" w:line="240" w:lineRule="auto"/>
              <w:jc w:val="center"/>
              <w:rPr>
                <w:rFonts w:ascii="Arial" w:eastAsia="Times New Roman" w:hAnsi="Arial" w:cs="Arial"/>
                <w:sz w:val="14"/>
                <w:szCs w:val="14"/>
                <w:lang w:eastAsia="pt-BR"/>
              </w:rPr>
            </w:pPr>
          </w:p>
        </w:tc>
        <w:tc>
          <w:tcPr>
            <w:tcW w:w="851" w:type="dxa"/>
            <w:vAlign w:val="center"/>
          </w:tcPr>
          <w:p w14:paraId="390E3706" w14:textId="77777777" w:rsidR="000D0C88" w:rsidRPr="0025173C" w:rsidRDefault="000D0C88" w:rsidP="000D0C88">
            <w:pPr>
              <w:spacing w:after="0" w:line="240" w:lineRule="auto"/>
              <w:jc w:val="center"/>
              <w:rPr>
                <w:rFonts w:ascii="Arial" w:eastAsia="Times New Roman" w:hAnsi="Arial" w:cs="Arial"/>
                <w:sz w:val="14"/>
                <w:szCs w:val="14"/>
                <w:lang w:eastAsia="pt-BR"/>
              </w:rPr>
            </w:pPr>
          </w:p>
        </w:tc>
      </w:tr>
      <w:tr w:rsidR="000D0C88" w:rsidRPr="00A5490A" w14:paraId="4952348E" w14:textId="77777777" w:rsidTr="000065F5">
        <w:tc>
          <w:tcPr>
            <w:tcW w:w="1294" w:type="dxa"/>
            <w:vAlign w:val="center"/>
          </w:tcPr>
          <w:p w14:paraId="4AC9BD96" w14:textId="77777777" w:rsidR="000D0C88" w:rsidRPr="003B4337" w:rsidRDefault="000D0C88" w:rsidP="000D0C88">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lastRenderedPageBreak/>
              <w:t>RELPOL</w:t>
            </w:r>
          </w:p>
        </w:tc>
        <w:tc>
          <w:tcPr>
            <w:tcW w:w="7206" w:type="dxa"/>
            <w:shd w:val="clear" w:color="auto" w:fill="auto"/>
            <w:vAlign w:val="center"/>
          </w:tcPr>
          <w:p w14:paraId="387B037A" w14:textId="77777777" w:rsidR="000D0C88" w:rsidRPr="003B4337" w:rsidRDefault="000D0C88" w:rsidP="000D0C88">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Relatório que definiu a política anual de investimentos, na forma do artigo 4º da Resolução CMN nº 3.922/2010.</w:t>
            </w:r>
          </w:p>
        </w:tc>
        <w:tc>
          <w:tcPr>
            <w:tcW w:w="993" w:type="dxa"/>
            <w:shd w:val="clear" w:color="auto" w:fill="auto"/>
            <w:vAlign w:val="center"/>
          </w:tcPr>
          <w:p w14:paraId="62412CF2" w14:textId="77777777" w:rsidR="000D0C88" w:rsidRPr="003B4337" w:rsidRDefault="000D0C88" w:rsidP="000D0C88">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c>
          <w:tcPr>
            <w:tcW w:w="992" w:type="dxa"/>
            <w:vAlign w:val="center"/>
          </w:tcPr>
          <w:p w14:paraId="796620A5" w14:textId="77777777" w:rsidR="000D0C88" w:rsidRPr="00CB55B0" w:rsidRDefault="000D0C88" w:rsidP="000D0C88">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vAlign w:val="center"/>
          </w:tcPr>
          <w:p w14:paraId="5DFF46E3" w14:textId="77777777" w:rsidR="000D0C88" w:rsidRPr="00CB55B0" w:rsidRDefault="000D0C88" w:rsidP="000D0C88">
            <w:pPr>
              <w:spacing w:after="0" w:line="240" w:lineRule="auto"/>
              <w:jc w:val="center"/>
              <w:rPr>
                <w:rFonts w:ascii="Arial" w:eastAsia="Times New Roman" w:hAnsi="Arial" w:cs="Arial"/>
                <w:sz w:val="14"/>
                <w:szCs w:val="14"/>
                <w:lang w:eastAsia="pt-BR"/>
              </w:rPr>
            </w:pPr>
          </w:p>
        </w:tc>
        <w:tc>
          <w:tcPr>
            <w:tcW w:w="851" w:type="dxa"/>
            <w:vAlign w:val="center"/>
          </w:tcPr>
          <w:p w14:paraId="254F5080" w14:textId="77777777" w:rsidR="000D0C88" w:rsidRPr="003B4337" w:rsidRDefault="000D0C88" w:rsidP="000D0C88">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850" w:type="dxa"/>
            <w:vAlign w:val="center"/>
          </w:tcPr>
          <w:p w14:paraId="6ED016C3" w14:textId="77777777" w:rsidR="000D0C88" w:rsidRPr="003B4337" w:rsidRDefault="000D0C88" w:rsidP="000D0C88">
            <w:pPr>
              <w:spacing w:after="0" w:line="240" w:lineRule="auto"/>
              <w:jc w:val="center"/>
              <w:rPr>
                <w:rFonts w:ascii="Arial" w:eastAsia="Times New Roman" w:hAnsi="Arial" w:cs="Arial"/>
                <w:sz w:val="14"/>
                <w:szCs w:val="14"/>
                <w:lang w:eastAsia="pt-BR"/>
              </w:rPr>
            </w:pPr>
          </w:p>
        </w:tc>
        <w:tc>
          <w:tcPr>
            <w:tcW w:w="851" w:type="dxa"/>
            <w:vAlign w:val="center"/>
          </w:tcPr>
          <w:p w14:paraId="400635FE" w14:textId="77777777" w:rsidR="000D0C88" w:rsidRPr="003B4337" w:rsidRDefault="000D0C88" w:rsidP="000D0C88">
            <w:pPr>
              <w:spacing w:after="0" w:line="240" w:lineRule="auto"/>
              <w:jc w:val="center"/>
              <w:rPr>
                <w:rFonts w:ascii="Arial" w:eastAsia="Times New Roman" w:hAnsi="Arial" w:cs="Arial"/>
                <w:sz w:val="14"/>
                <w:szCs w:val="14"/>
                <w:lang w:eastAsia="pt-BR"/>
              </w:rPr>
            </w:pPr>
          </w:p>
        </w:tc>
      </w:tr>
      <w:tr w:rsidR="000D0C88" w:rsidRPr="00A5490A" w14:paraId="1BA6FCD6" w14:textId="77777777" w:rsidTr="000065F5">
        <w:tc>
          <w:tcPr>
            <w:tcW w:w="1294" w:type="dxa"/>
            <w:vAlign w:val="center"/>
          </w:tcPr>
          <w:p w14:paraId="71B6F8E9" w14:textId="77777777" w:rsidR="000D0C88" w:rsidRPr="00A5490A" w:rsidRDefault="000D0C88" w:rsidP="000D0C88">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DEMPOL</w:t>
            </w:r>
          </w:p>
        </w:tc>
        <w:tc>
          <w:tcPr>
            <w:tcW w:w="7206" w:type="dxa"/>
            <w:shd w:val="clear" w:color="auto" w:fill="auto"/>
            <w:vAlign w:val="center"/>
          </w:tcPr>
          <w:p w14:paraId="1377EDDF" w14:textId="77777777" w:rsidR="000D0C88" w:rsidRPr="00A5490A" w:rsidRDefault="000D0C88" w:rsidP="000D0C88">
            <w:p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Cópia do demonstrativo da política anual de investimentos encaminhada ao Ministério da Previdência, na forma da Resolução CMN nº 3.922/2010.</w:t>
            </w:r>
          </w:p>
        </w:tc>
        <w:tc>
          <w:tcPr>
            <w:tcW w:w="993" w:type="dxa"/>
            <w:shd w:val="clear" w:color="auto" w:fill="auto"/>
            <w:vAlign w:val="center"/>
          </w:tcPr>
          <w:p w14:paraId="7AED34C9" w14:textId="77777777" w:rsidR="000D0C88" w:rsidRPr="00A5490A" w:rsidRDefault="000D0C88" w:rsidP="000D0C88">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c>
          <w:tcPr>
            <w:tcW w:w="992" w:type="dxa"/>
            <w:vAlign w:val="center"/>
          </w:tcPr>
          <w:p w14:paraId="790F0CBC" w14:textId="77777777" w:rsidR="000D0C88" w:rsidRPr="00CB55B0" w:rsidRDefault="000D0C88" w:rsidP="000D0C88">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vAlign w:val="center"/>
          </w:tcPr>
          <w:p w14:paraId="5168831B" w14:textId="77777777" w:rsidR="000D0C88" w:rsidRPr="00CB55B0" w:rsidRDefault="000D0C88" w:rsidP="000D0C88">
            <w:pPr>
              <w:spacing w:after="0" w:line="240" w:lineRule="auto"/>
              <w:jc w:val="center"/>
              <w:rPr>
                <w:rFonts w:ascii="Arial" w:eastAsia="Times New Roman" w:hAnsi="Arial" w:cs="Arial"/>
                <w:sz w:val="14"/>
                <w:szCs w:val="14"/>
                <w:lang w:eastAsia="pt-BR"/>
              </w:rPr>
            </w:pPr>
          </w:p>
        </w:tc>
        <w:tc>
          <w:tcPr>
            <w:tcW w:w="851" w:type="dxa"/>
            <w:vAlign w:val="center"/>
          </w:tcPr>
          <w:p w14:paraId="317A718F" w14:textId="77777777" w:rsidR="000D0C88" w:rsidRPr="00A5490A" w:rsidRDefault="000D0C88" w:rsidP="000D0C88">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850" w:type="dxa"/>
            <w:vAlign w:val="center"/>
          </w:tcPr>
          <w:p w14:paraId="4163511E" w14:textId="77777777" w:rsidR="000D0C88" w:rsidRPr="00A5490A" w:rsidRDefault="000D0C88" w:rsidP="000D0C88">
            <w:pPr>
              <w:spacing w:after="0" w:line="240" w:lineRule="auto"/>
              <w:jc w:val="center"/>
              <w:rPr>
                <w:rFonts w:ascii="Arial" w:eastAsia="Times New Roman" w:hAnsi="Arial" w:cs="Arial"/>
                <w:sz w:val="14"/>
                <w:szCs w:val="14"/>
                <w:lang w:eastAsia="pt-BR"/>
              </w:rPr>
            </w:pPr>
          </w:p>
        </w:tc>
        <w:tc>
          <w:tcPr>
            <w:tcW w:w="851" w:type="dxa"/>
            <w:vAlign w:val="center"/>
          </w:tcPr>
          <w:p w14:paraId="1A2BC165" w14:textId="77777777" w:rsidR="000D0C88" w:rsidRPr="00A5490A" w:rsidRDefault="000D0C88" w:rsidP="000D0C88">
            <w:pPr>
              <w:spacing w:after="0" w:line="240" w:lineRule="auto"/>
              <w:jc w:val="center"/>
              <w:rPr>
                <w:rFonts w:ascii="Arial" w:eastAsia="Times New Roman" w:hAnsi="Arial" w:cs="Arial"/>
                <w:sz w:val="14"/>
                <w:szCs w:val="14"/>
                <w:lang w:eastAsia="pt-BR"/>
              </w:rPr>
            </w:pPr>
          </w:p>
        </w:tc>
      </w:tr>
      <w:tr w:rsidR="000D0C88" w:rsidRPr="00A5490A" w14:paraId="3D092276" w14:textId="77777777" w:rsidTr="000065F5">
        <w:tc>
          <w:tcPr>
            <w:tcW w:w="1294" w:type="dxa"/>
            <w:vAlign w:val="center"/>
          </w:tcPr>
          <w:p w14:paraId="703E599B" w14:textId="77777777" w:rsidR="000D0C88" w:rsidRPr="003B4337" w:rsidRDefault="000D0C88" w:rsidP="000D0C88">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RELRENT</w:t>
            </w:r>
          </w:p>
        </w:tc>
        <w:tc>
          <w:tcPr>
            <w:tcW w:w="7206" w:type="dxa"/>
            <w:shd w:val="clear" w:color="auto" w:fill="auto"/>
            <w:vAlign w:val="center"/>
          </w:tcPr>
          <w:p w14:paraId="23009488" w14:textId="77777777" w:rsidR="000D0C88" w:rsidRPr="003B4337" w:rsidRDefault="000D0C88" w:rsidP="000D0C88">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Relatório detalhado do último trimestre do exercício financeiro, sobre a rentabilidade, os riscos das diversas modalidades de operações realizadas nas aplicações dos recursos do RPPS e a aderência à política anual de investimentos e suas revisões, evidenciando a data de submissão do mesmo às instâncias superiores de deliberação e controle.</w:t>
            </w:r>
          </w:p>
        </w:tc>
        <w:tc>
          <w:tcPr>
            <w:tcW w:w="993" w:type="dxa"/>
            <w:shd w:val="clear" w:color="auto" w:fill="auto"/>
            <w:vAlign w:val="center"/>
          </w:tcPr>
          <w:p w14:paraId="684EFDBF" w14:textId="77777777" w:rsidR="000D0C88" w:rsidRPr="003B4337" w:rsidRDefault="000D0C88" w:rsidP="000D0C88">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c>
          <w:tcPr>
            <w:tcW w:w="992" w:type="dxa"/>
            <w:vAlign w:val="center"/>
          </w:tcPr>
          <w:p w14:paraId="39696825" w14:textId="77777777" w:rsidR="000D0C88" w:rsidRPr="00CB55B0" w:rsidRDefault="000D0C88" w:rsidP="000D0C88">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vAlign w:val="center"/>
          </w:tcPr>
          <w:p w14:paraId="1BCD3287" w14:textId="77777777" w:rsidR="000D0C88" w:rsidRPr="00CB55B0" w:rsidRDefault="000D0C88" w:rsidP="000D0C88">
            <w:pPr>
              <w:spacing w:after="0" w:line="240" w:lineRule="auto"/>
              <w:jc w:val="center"/>
              <w:rPr>
                <w:rFonts w:ascii="Arial" w:eastAsia="Times New Roman" w:hAnsi="Arial" w:cs="Arial"/>
                <w:sz w:val="14"/>
                <w:szCs w:val="14"/>
                <w:lang w:eastAsia="pt-BR"/>
              </w:rPr>
            </w:pPr>
          </w:p>
        </w:tc>
        <w:tc>
          <w:tcPr>
            <w:tcW w:w="851" w:type="dxa"/>
            <w:vAlign w:val="center"/>
          </w:tcPr>
          <w:p w14:paraId="2A182BC7" w14:textId="77777777" w:rsidR="000D0C88" w:rsidRPr="003B4337" w:rsidRDefault="000D0C88" w:rsidP="000D0C88">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850" w:type="dxa"/>
            <w:vAlign w:val="center"/>
          </w:tcPr>
          <w:p w14:paraId="7C5436C0" w14:textId="77777777" w:rsidR="000D0C88" w:rsidRPr="003B4337" w:rsidRDefault="000D0C88" w:rsidP="000D0C88">
            <w:pPr>
              <w:spacing w:after="0" w:line="240" w:lineRule="auto"/>
              <w:jc w:val="center"/>
              <w:rPr>
                <w:rFonts w:ascii="Arial" w:eastAsia="Times New Roman" w:hAnsi="Arial" w:cs="Arial"/>
                <w:sz w:val="14"/>
                <w:szCs w:val="14"/>
                <w:lang w:eastAsia="pt-BR"/>
              </w:rPr>
            </w:pPr>
          </w:p>
        </w:tc>
        <w:tc>
          <w:tcPr>
            <w:tcW w:w="851" w:type="dxa"/>
            <w:vAlign w:val="center"/>
          </w:tcPr>
          <w:p w14:paraId="45C54C33" w14:textId="77777777" w:rsidR="000D0C88" w:rsidRPr="003B4337" w:rsidRDefault="000D0C88" w:rsidP="000D0C88">
            <w:pPr>
              <w:spacing w:after="0" w:line="240" w:lineRule="auto"/>
              <w:jc w:val="center"/>
              <w:rPr>
                <w:rFonts w:ascii="Arial" w:eastAsia="Times New Roman" w:hAnsi="Arial" w:cs="Arial"/>
                <w:sz w:val="14"/>
                <w:szCs w:val="14"/>
                <w:lang w:eastAsia="pt-BR"/>
              </w:rPr>
            </w:pPr>
          </w:p>
        </w:tc>
      </w:tr>
      <w:tr w:rsidR="000D0C88" w:rsidRPr="00A5490A" w14:paraId="4D5E8E33" w14:textId="77777777" w:rsidTr="000065F5">
        <w:tc>
          <w:tcPr>
            <w:tcW w:w="1294" w:type="dxa"/>
            <w:vAlign w:val="center"/>
          </w:tcPr>
          <w:p w14:paraId="227BCBDB" w14:textId="77777777" w:rsidR="000D0C88" w:rsidRPr="003B4337" w:rsidRDefault="000D0C88" w:rsidP="000D0C88">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PARFIS</w:t>
            </w:r>
          </w:p>
        </w:tc>
        <w:tc>
          <w:tcPr>
            <w:tcW w:w="7206" w:type="dxa"/>
            <w:shd w:val="clear" w:color="auto" w:fill="auto"/>
            <w:vAlign w:val="center"/>
          </w:tcPr>
          <w:p w14:paraId="024852E0" w14:textId="77777777" w:rsidR="000D0C88" w:rsidRPr="003B4337" w:rsidRDefault="000D0C88" w:rsidP="000D0C88">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Parecer Conclusivo do Conselho Fiscal sobre a prestação de contas do ordenador de despesas do RPPS do respectivo exercício.</w:t>
            </w:r>
          </w:p>
        </w:tc>
        <w:tc>
          <w:tcPr>
            <w:tcW w:w="993" w:type="dxa"/>
            <w:shd w:val="clear" w:color="auto" w:fill="auto"/>
            <w:vAlign w:val="center"/>
          </w:tcPr>
          <w:p w14:paraId="2BA00556" w14:textId="77777777" w:rsidR="000D0C88" w:rsidRPr="003B4337" w:rsidRDefault="000D0C88" w:rsidP="000D0C88">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c>
          <w:tcPr>
            <w:tcW w:w="992" w:type="dxa"/>
            <w:vAlign w:val="center"/>
          </w:tcPr>
          <w:p w14:paraId="34F9834B" w14:textId="77777777" w:rsidR="000D0C88" w:rsidRPr="00CB55B0" w:rsidRDefault="000D0C88" w:rsidP="000D0C88">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vAlign w:val="center"/>
          </w:tcPr>
          <w:p w14:paraId="632EB6ED" w14:textId="77777777" w:rsidR="000D0C88" w:rsidRPr="00CB55B0" w:rsidRDefault="000D0C88" w:rsidP="000D0C88">
            <w:pPr>
              <w:spacing w:after="0" w:line="240" w:lineRule="auto"/>
              <w:jc w:val="center"/>
              <w:rPr>
                <w:rFonts w:ascii="Arial" w:eastAsia="Times New Roman" w:hAnsi="Arial" w:cs="Arial"/>
                <w:sz w:val="14"/>
                <w:szCs w:val="14"/>
                <w:lang w:eastAsia="pt-BR"/>
              </w:rPr>
            </w:pPr>
          </w:p>
        </w:tc>
        <w:tc>
          <w:tcPr>
            <w:tcW w:w="851" w:type="dxa"/>
            <w:vAlign w:val="center"/>
          </w:tcPr>
          <w:p w14:paraId="122C8468" w14:textId="77777777" w:rsidR="000D0C88" w:rsidRPr="003B4337" w:rsidRDefault="000D0C88" w:rsidP="000D0C88">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850" w:type="dxa"/>
            <w:vAlign w:val="center"/>
          </w:tcPr>
          <w:p w14:paraId="50E0493F" w14:textId="77777777" w:rsidR="000D0C88" w:rsidRPr="003B4337" w:rsidRDefault="000D0C88" w:rsidP="000D0C88">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851" w:type="dxa"/>
            <w:vAlign w:val="center"/>
          </w:tcPr>
          <w:p w14:paraId="4766C9F5" w14:textId="77777777" w:rsidR="000D0C88" w:rsidRPr="003B4337" w:rsidRDefault="000D0C88" w:rsidP="000D0C88">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r>
      <w:tr w:rsidR="000D0C88" w:rsidRPr="00A5490A" w14:paraId="4FC6CC77" w14:textId="77777777" w:rsidTr="000065F5">
        <w:tc>
          <w:tcPr>
            <w:tcW w:w="1294" w:type="dxa"/>
            <w:vAlign w:val="center"/>
          </w:tcPr>
          <w:p w14:paraId="3F821E55" w14:textId="77777777" w:rsidR="000D0C88" w:rsidRPr="003B4337" w:rsidRDefault="000D0C88" w:rsidP="000D0C88">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DELQUIT</w:t>
            </w:r>
          </w:p>
        </w:tc>
        <w:tc>
          <w:tcPr>
            <w:tcW w:w="7206" w:type="dxa"/>
            <w:shd w:val="clear" w:color="auto" w:fill="auto"/>
            <w:vAlign w:val="center"/>
          </w:tcPr>
          <w:p w14:paraId="7DD27A9E" w14:textId="1264889D" w:rsidR="000D0C88" w:rsidRPr="003B4337" w:rsidRDefault="000D0C88" w:rsidP="005F05CF">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Declaração do responsável pela unidade gestora do RPPS sobre o recebimento integral de todos os valores devidos no exercício financeiro, acrescido dos encargos financeiros em caso de atrasos, por todos os órgãos e entidades da administração pública, informando, ainda, se for o caso, os valores não repassados, sua competência e natureza do débito, na forma </w:t>
            </w:r>
            <w:r w:rsidR="005F05CF" w:rsidRPr="005F05CF">
              <w:rPr>
                <w:rFonts w:ascii="Arial" w:eastAsia="Times New Roman" w:hAnsi="Arial" w:cs="Arial"/>
                <w:sz w:val="18"/>
                <w:szCs w:val="18"/>
                <w:lang w:eastAsia="pt-BR"/>
              </w:rPr>
              <w:t>do item 3.2 deste Anexo.</w:t>
            </w:r>
          </w:p>
        </w:tc>
        <w:tc>
          <w:tcPr>
            <w:tcW w:w="993" w:type="dxa"/>
            <w:shd w:val="clear" w:color="auto" w:fill="auto"/>
            <w:vAlign w:val="center"/>
          </w:tcPr>
          <w:p w14:paraId="0EB6F424" w14:textId="77777777" w:rsidR="000D0C88" w:rsidRPr="003B4337" w:rsidRDefault="000D0C88" w:rsidP="000D0C88">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c>
          <w:tcPr>
            <w:tcW w:w="992" w:type="dxa"/>
            <w:vAlign w:val="center"/>
          </w:tcPr>
          <w:p w14:paraId="1BC0BC8E" w14:textId="77777777" w:rsidR="000D0C88" w:rsidRPr="00CB55B0" w:rsidRDefault="000D0C88" w:rsidP="000D0C88">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vAlign w:val="center"/>
          </w:tcPr>
          <w:p w14:paraId="4C0E6542" w14:textId="77777777" w:rsidR="000D0C88" w:rsidRPr="00CB55B0" w:rsidRDefault="000D0C88" w:rsidP="000D0C88">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851" w:type="dxa"/>
            <w:vAlign w:val="center"/>
          </w:tcPr>
          <w:p w14:paraId="5F4F6E5D" w14:textId="77777777" w:rsidR="000D0C88" w:rsidRPr="003B4337" w:rsidRDefault="000D0C88" w:rsidP="000D0C88">
            <w:pPr>
              <w:spacing w:after="0" w:line="240" w:lineRule="auto"/>
              <w:jc w:val="center"/>
              <w:rPr>
                <w:rFonts w:ascii="Arial" w:eastAsia="Times New Roman" w:hAnsi="Arial" w:cs="Arial"/>
                <w:sz w:val="14"/>
                <w:szCs w:val="14"/>
                <w:lang w:eastAsia="pt-BR"/>
              </w:rPr>
            </w:pPr>
          </w:p>
        </w:tc>
        <w:tc>
          <w:tcPr>
            <w:tcW w:w="850" w:type="dxa"/>
            <w:vAlign w:val="center"/>
          </w:tcPr>
          <w:p w14:paraId="0549DA61" w14:textId="77777777" w:rsidR="000D0C88" w:rsidRPr="003B4337" w:rsidRDefault="000D0C88" w:rsidP="000D0C88">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851" w:type="dxa"/>
            <w:vAlign w:val="center"/>
          </w:tcPr>
          <w:p w14:paraId="7D4B60A0" w14:textId="77777777" w:rsidR="000D0C88" w:rsidRPr="003B4337" w:rsidRDefault="000D0C88" w:rsidP="000D0C88">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r>
      <w:tr w:rsidR="000D0C88" w:rsidRPr="00A5490A" w14:paraId="77ECDA2D" w14:textId="77777777" w:rsidTr="000065F5">
        <w:tc>
          <w:tcPr>
            <w:tcW w:w="1294" w:type="dxa"/>
            <w:vAlign w:val="center"/>
          </w:tcPr>
          <w:p w14:paraId="189ED244" w14:textId="77777777" w:rsidR="000D0C88" w:rsidRPr="003B4337" w:rsidRDefault="000D0C88" w:rsidP="000D0C88">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RELPAR</w:t>
            </w:r>
          </w:p>
        </w:tc>
        <w:tc>
          <w:tcPr>
            <w:tcW w:w="7206" w:type="dxa"/>
            <w:shd w:val="clear" w:color="auto" w:fill="auto"/>
            <w:vAlign w:val="center"/>
          </w:tcPr>
          <w:p w14:paraId="1FF536CC" w14:textId="062D19AA" w:rsidR="000D0C88" w:rsidRPr="003B4337" w:rsidRDefault="000D0C88" w:rsidP="005F05CF">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Relatório detalhado dos parcelamentos vigentes junto ao RPPS na data de encerramento do exercício na forma </w:t>
            </w:r>
            <w:r w:rsidR="005F05CF">
              <w:rPr>
                <w:rFonts w:ascii="Arial" w:eastAsia="Times New Roman" w:hAnsi="Arial" w:cs="Arial"/>
                <w:sz w:val="18"/>
                <w:szCs w:val="18"/>
                <w:lang w:eastAsia="pt-BR"/>
              </w:rPr>
              <w:t xml:space="preserve">do do </w:t>
            </w:r>
            <w:r w:rsidR="005F05CF" w:rsidRPr="005F05CF">
              <w:rPr>
                <w:rFonts w:ascii="Arial" w:eastAsia="Times New Roman" w:hAnsi="Arial" w:cs="Arial"/>
                <w:sz w:val="18"/>
                <w:szCs w:val="18"/>
                <w:lang w:eastAsia="pt-BR"/>
              </w:rPr>
              <w:t>item 3.2 deste Anexo.</w:t>
            </w:r>
          </w:p>
        </w:tc>
        <w:tc>
          <w:tcPr>
            <w:tcW w:w="993" w:type="dxa"/>
            <w:shd w:val="clear" w:color="auto" w:fill="auto"/>
            <w:vAlign w:val="center"/>
          </w:tcPr>
          <w:p w14:paraId="1D43FD83" w14:textId="77777777" w:rsidR="000D0C88" w:rsidRPr="003B4337" w:rsidRDefault="000D0C88" w:rsidP="000D0C88">
            <w:pPr>
              <w:spacing w:after="0" w:line="240" w:lineRule="auto"/>
              <w:jc w:val="center"/>
              <w:rPr>
                <w:rFonts w:ascii="Arial" w:eastAsia="Times New Roman" w:hAnsi="Arial" w:cs="Arial"/>
                <w:sz w:val="14"/>
                <w:szCs w:val="14"/>
                <w:highlight w:val="yellow"/>
                <w:lang w:eastAsia="pt-BR"/>
              </w:rPr>
            </w:pPr>
            <w:r>
              <w:rPr>
                <w:rFonts w:ascii="Arial" w:eastAsia="Times New Roman" w:hAnsi="Arial" w:cs="Arial"/>
                <w:sz w:val="14"/>
                <w:szCs w:val="14"/>
                <w:lang w:eastAsia="pt-BR"/>
              </w:rPr>
              <w:t>PDF</w:t>
            </w:r>
            <w:r w:rsidRPr="003B4337">
              <w:rPr>
                <w:rFonts w:ascii="Arial" w:eastAsia="Times New Roman" w:hAnsi="Arial" w:cs="Arial"/>
                <w:sz w:val="14"/>
                <w:szCs w:val="14"/>
                <w:lang w:eastAsia="pt-BR"/>
              </w:rPr>
              <w:t xml:space="preserve"> e</w:t>
            </w:r>
            <w:r w:rsidRPr="003B4337">
              <w:rPr>
                <w:rFonts w:ascii="Arial" w:eastAsia="Times New Roman" w:hAnsi="Arial" w:cs="Arial"/>
                <w:sz w:val="14"/>
                <w:szCs w:val="14"/>
                <w:highlight w:val="yellow"/>
                <w:lang w:eastAsia="pt-BR"/>
              </w:rPr>
              <w:t xml:space="preserve"> </w:t>
            </w:r>
          </w:p>
          <w:p w14:paraId="5461566B" w14:textId="77777777" w:rsidR="000D0C88" w:rsidRPr="003B4337" w:rsidRDefault="000D0C88" w:rsidP="000D0C88">
            <w:pPr>
              <w:spacing w:after="0" w:line="240" w:lineRule="auto"/>
              <w:jc w:val="center"/>
              <w:rPr>
                <w:rFonts w:ascii="Arial" w:eastAsia="Times New Roman" w:hAnsi="Arial" w:cs="Arial"/>
                <w:sz w:val="14"/>
                <w:szCs w:val="14"/>
                <w:lang w:eastAsia="pt-BR"/>
              </w:rPr>
            </w:pPr>
            <w:r w:rsidRPr="003B4337">
              <w:rPr>
                <w:rFonts w:ascii="Arial" w:eastAsia="Times New Roman" w:hAnsi="Arial" w:cs="Arial"/>
                <w:sz w:val="14"/>
                <w:szCs w:val="14"/>
                <w:lang w:eastAsia="pt-BR"/>
              </w:rPr>
              <w:t>XLS/XLSX/ODS</w:t>
            </w:r>
          </w:p>
        </w:tc>
        <w:tc>
          <w:tcPr>
            <w:tcW w:w="992" w:type="dxa"/>
            <w:vAlign w:val="center"/>
          </w:tcPr>
          <w:p w14:paraId="353D19D1" w14:textId="77777777" w:rsidR="000D0C88" w:rsidRPr="00CB55B0" w:rsidRDefault="000D0C88" w:rsidP="000D0C88">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vAlign w:val="center"/>
          </w:tcPr>
          <w:p w14:paraId="041443B1" w14:textId="77777777" w:rsidR="000D0C88" w:rsidRPr="00CB55B0" w:rsidRDefault="000D0C88" w:rsidP="000D0C88">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851" w:type="dxa"/>
            <w:vAlign w:val="center"/>
          </w:tcPr>
          <w:p w14:paraId="18758BD6" w14:textId="77777777" w:rsidR="000D0C88" w:rsidRPr="003B4337" w:rsidRDefault="000D0C88" w:rsidP="000D0C88">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850" w:type="dxa"/>
            <w:vAlign w:val="center"/>
          </w:tcPr>
          <w:p w14:paraId="70823C7F" w14:textId="77777777" w:rsidR="000D0C88" w:rsidRPr="003B4337" w:rsidRDefault="000D0C88" w:rsidP="000D0C88">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851" w:type="dxa"/>
            <w:vAlign w:val="center"/>
          </w:tcPr>
          <w:p w14:paraId="4F57D756" w14:textId="77777777" w:rsidR="000D0C88" w:rsidRPr="003B4337" w:rsidRDefault="000D0C88" w:rsidP="000D0C88">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r>
      <w:tr w:rsidR="00CD52BA" w:rsidRPr="00457667" w14:paraId="06805200" w14:textId="77777777" w:rsidTr="000065F5">
        <w:tc>
          <w:tcPr>
            <w:tcW w:w="1294" w:type="dxa"/>
            <w:vAlign w:val="center"/>
          </w:tcPr>
          <w:p w14:paraId="2F90CA52" w14:textId="5F7AC837" w:rsidR="00CD52BA" w:rsidRPr="00457667" w:rsidRDefault="00CD52BA" w:rsidP="00CD52BA">
            <w:pPr>
              <w:spacing w:after="0" w:line="240" w:lineRule="auto"/>
              <w:jc w:val="center"/>
              <w:rPr>
                <w:rFonts w:ascii="Arial" w:eastAsia="Times New Roman" w:hAnsi="Arial" w:cs="Arial"/>
                <w:sz w:val="18"/>
                <w:szCs w:val="18"/>
                <w:lang w:eastAsia="pt-BR"/>
              </w:rPr>
            </w:pPr>
            <w:r w:rsidRPr="00457667">
              <w:rPr>
                <w:rFonts w:ascii="Arial" w:eastAsia="Times New Roman" w:hAnsi="Arial" w:cs="Arial"/>
                <w:sz w:val="18"/>
                <w:szCs w:val="18"/>
                <w:lang w:eastAsia="pt-BR"/>
              </w:rPr>
              <w:t>ESTATIS</w:t>
            </w:r>
          </w:p>
        </w:tc>
        <w:tc>
          <w:tcPr>
            <w:tcW w:w="7206" w:type="dxa"/>
            <w:shd w:val="clear" w:color="auto" w:fill="auto"/>
            <w:vAlign w:val="center"/>
          </w:tcPr>
          <w:p w14:paraId="60AE815B" w14:textId="045FCB23" w:rsidR="00CD52BA" w:rsidRPr="00457667" w:rsidRDefault="00CD52BA" w:rsidP="00CD52BA">
            <w:pPr>
              <w:pStyle w:val="TableParagraph"/>
              <w:spacing w:before="120" w:after="120"/>
              <w:ind w:left="102" w:right="111"/>
              <w:rPr>
                <w:rFonts w:ascii="Arial" w:hAnsi="Arial" w:cs="Arial"/>
                <w:sz w:val="18"/>
                <w:szCs w:val="18"/>
                <w:lang w:val="pt-BR"/>
              </w:rPr>
            </w:pPr>
            <w:r w:rsidRPr="005B7FCC">
              <w:rPr>
                <w:rFonts w:ascii="Arial" w:eastAsia="Times New Roman" w:hAnsi="Arial" w:cs="Arial"/>
                <w:sz w:val="18"/>
                <w:szCs w:val="18"/>
                <w:lang w:val="pt-BR" w:eastAsia="pt-BR"/>
              </w:rPr>
              <w:t>Estatística da população coberta dos segurados que compuseram a avaliação atuarial com data de cálculo posicionado em 31/12 e data-base e com dados posicionados entre julho a dezembro, ambos do exercício de competência da PCA. Deverá evidenciar no mínimo, as informações dos segurados de forma segregadas por tipo de plano, de massa, por órgão/entidade, tipo de população coberta e por sexo: a quantidade segurados, média da base de cálculo/benefício, idade média, idade média aposentadoria projetada, idade média de admissão e valor da folha mensal.</w:t>
            </w:r>
          </w:p>
        </w:tc>
        <w:tc>
          <w:tcPr>
            <w:tcW w:w="993" w:type="dxa"/>
            <w:shd w:val="clear" w:color="auto" w:fill="auto"/>
            <w:vAlign w:val="center"/>
          </w:tcPr>
          <w:p w14:paraId="21A56A89" w14:textId="14A5652E" w:rsidR="00CD52BA" w:rsidRPr="00CD52BA" w:rsidRDefault="00CD52BA" w:rsidP="00CD52BA">
            <w:pPr>
              <w:spacing w:after="0" w:line="240" w:lineRule="auto"/>
              <w:jc w:val="center"/>
              <w:rPr>
                <w:rFonts w:ascii="Arial" w:eastAsia="Times New Roman" w:hAnsi="Arial" w:cs="Arial"/>
                <w:sz w:val="14"/>
                <w:szCs w:val="14"/>
                <w:lang w:eastAsia="pt-BR"/>
              </w:rPr>
            </w:pPr>
            <w:r w:rsidRPr="00CD52BA">
              <w:rPr>
                <w:rFonts w:ascii="Arial" w:eastAsia="Times New Roman" w:hAnsi="Arial" w:cs="Arial"/>
                <w:sz w:val="14"/>
                <w:szCs w:val="14"/>
                <w:lang w:eastAsia="pt-BR"/>
              </w:rPr>
              <w:t>XLS/XLSX/ODS</w:t>
            </w:r>
          </w:p>
        </w:tc>
        <w:tc>
          <w:tcPr>
            <w:tcW w:w="992" w:type="dxa"/>
            <w:vAlign w:val="center"/>
          </w:tcPr>
          <w:p w14:paraId="61F4C184" w14:textId="38D6A83F" w:rsidR="00CD52BA" w:rsidRPr="00457667" w:rsidRDefault="00CD52BA" w:rsidP="00CD52BA">
            <w:pPr>
              <w:spacing w:after="0" w:line="240" w:lineRule="auto"/>
              <w:jc w:val="center"/>
              <w:rPr>
                <w:rFonts w:ascii="Arial" w:eastAsia="Times New Roman" w:hAnsi="Arial" w:cs="Arial"/>
                <w:sz w:val="14"/>
                <w:szCs w:val="14"/>
                <w:lang w:eastAsia="pt-BR"/>
              </w:rPr>
            </w:pPr>
            <w:r w:rsidRPr="00457667">
              <w:rPr>
                <w:rFonts w:ascii="Arial" w:eastAsia="Times New Roman" w:hAnsi="Arial" w:cs="Arial"/>
                <w:sz w:val="14"/>
                <w:szCs w:val="14"/>
                <w:lang w:eastAsia="pt-BR"/>
              </w:rPr>
              <w:t>X</w:t>
            </w:r>
          </w:p>
        </w:tc>
        <w:tc>
          <w:tcPr>
            <w:tcW w:w="992" w:type="dxa"/>
            <w:vAlign w:val="center"/>
          </w:tcPr>
          <w:p w14:paraId="05B0C431" w14:textId="1E015952" w:rsidR="00CD52BA" w:rsidRPr="00457667" w:rsidRDefault="00CD52BA" w:rsidP="00CD52BA">
            <w:pPr>
              <w:spacing w:after="0" w:line="240" w:lineRule="auto"/>
              <w:jc w:val="center"/>
              <w:rPr>
                <w:rFonts w:ascii="Arial" w:eastAsia="Times New Roman" w:hAnsi="Arial" w:cs="Arial"/>
                <w:sz w:val="14"/>
                <w:szCs w:val="14"/>
                <w:lang w:eastAsia="pt-BR"/>
              </w:rPr>
            </w:pPr>
            <w:r w:rsidRPr="00457667">
              <w:rPr>
                <w:rFonts w:ascii="Arial" w:eastAsia="Times New Roman" w:hAnsi="Arial" w:cs="Arial"/>
                <w:sz w:val="14"/>
                <w:szCs w:val="14"/>
                <w:lang w:eastAsia="pt-BR"/>
              </w:rPr>
              <w:t>X</w:t>
            </w:r>
          </w:p>
        </w:tc>
        <w:tc>
          <w:tcPr>
            <w:tcW w:w="851" w:type="dxa"/>
            <w:vAlign w:val="center"/>
          </w:tcPr>
          <w:p w14:paraId="69633A1B" w14:textId="77777777" w:rsidR="00CD52BA" w:rsidRPr="00457667" w:rsidRDefault="00CD52BA" w:rsidP="00CD52BA">
            <w:pPr>
              <w:spacing w:after="0" w:line="240" w:lineRule="auto"/>
              <w:jc w:val="center"/>
              <w:rPr>
                <w:rFonts w:ascii="Arial" w:eastAsia="Times New Roman" w:hAnsi="Arial" w:cs="Arial"/>
                <w:sz w:val="14"/>
                <w:szCs w:val="14"/>
                <w:lang w:eastAsia="pt-BR"/>
              </w:rPr>
            </w:pPr>
          </w:p>
        </w:tc>
        <w:tc>
          <w:tcPr>
            <w:tcW w:w="850" w:type="dxa"/>
            <w:vAlign w:val="center"/>
          </w:tcPr>
          <w:p w14:paraId="1EB90164" w14:textId="34CC6FDD" w:rsidR="00CD52BA" w:rsidRPr="00457667" w:rsidRDefault="00CD52BA" w:rsidP="00CD52BA">
            <w:pPr>
              <w:spacing w:after="0" w:line="240" w:lineRule="auto"/>
              <w:jc w:val="center"/>
              <w:rPr>
                <w:rFonts w:ascii="Arial" w:eastAsia="Times New Roman" w:hAnsi="Arial" w:cs="Arial"/>
                <w:sz w:val="14"/>
                <w:szCs w:val="14"/>
                <w:lang w:eastAsia="pt-BR"/>
              </w:rPr>
            </w:pPr>
            <w:r w:rsidRPr="00457667">
              <w:rPr>
                <w:rFonts w:ascii="Arial" w:eastAsia="Times New Roman" w:hAnsi="Arial" w:cs="Arial"/>
                <w:sz w:val="14"/>
                <w:szCs w:val="14"/>
                <w:lang w:eastAsia="pt-BR"/>
              </w:rPr>
              <w:t>X</w:t>
            </w:r>
          </w:p>
        </w:tc>
        <w:tc>
          <w:tcPr>
            <w:tcW w:w="851" w:type="dxa"/>
            <w:vAlign w:val="center"/>
          </w:tcPr>
          <w:p w14:paraId="3A771C2A" w14:textId="21EC394B" w:rsidR="00CD52BA" w:rsidRPr="00457667" w:rsidRDefault="00CD52BA" w:rsidP="00CD52BA">
            <w:pPr>
              <w:spacing w:after="0" w:line="240" w:lineRule="auto"/>
              <w:jc w:val="center"/>
              <w:rPr>
                <w:rFonts w:ascii="Arial" w:eastAsia="Times New Roman" w:hAnsi="Arial" w:cs="Arial"/>
                <w:sz w:val="14"/>
                <w:szCs w:val="14"/>
                <w:lang w:eastAsia="pt-BR"/>
              </w:rPr>
            </w:pPr>
            <w:r w:rsidRPr="00457667">
              <w:rPr>
                <w:rFonts w:ascii="Arial" w:eastAsia="Times New Roman" w:hAnsi="Arial" w:cs="Arial"/>
                <w:sz w:val="14"/>
                <w:szCs w:val="14"/>
                <w:lang w:eastAsia="pt-BR"/>
              </w:rPr>
              <w:t>X</w:t>
            </w:r>
          </w:p>
        </w:tc>
      </w:tr>
      <w:tr w:rsidR="00CD52BA" w:rsidRPr="00457667" w14:paraId="63B2905B" w14:textId="77777777" w:rsidTr="000065F5">
        <w:tc>
          <w:tcPr>
            <w:tcW w:w="1294" w:type="dxa"/>
            <w:vAlign w:val="center"/>
          </w:tcPr>
          <w:p w14:paraId="753973EF" w14:textId="22EBDE0E" w:rsidR="00CD52BA" w:rsidRPr="00457667" w:rsidRDefault="00CD52BA" w:rsidP="00CD52BA">
            <w:pPr>
              <w:spacing w:after="0" w:line="240" w:lineRule="auto"/>
              <w:jc w:val="center"/>
              <w:rPr>
                <w:rFonts w:ascii="Arial" w:eastAsia="Times New Roman" w:hAnsi="Arial" w:cs="Arial"/>
                <w:sz w:val="18"/>
                <w:szCs w:val="18"/>
                <w:lang w:eastAsia="pt-BR"/>
              </w:rPr>
            </w:pPr>
            <w:r w:rsidRPr="00457667">
              <w:rPr>
                <w:rFonts w:ascii="Arial" w:eastAsia="Times New Roman" w:hAnsi="Arial" w:cs="Arial"/>
                <w:sz w:val="18"/>
                <w:szCs w:val="18"/>
                <w:lang w:eastAsia="pt-BR"/>
              </w:rPr>
              <w:t>DURPASS</w:t>
            </w:r>
          </w:p>
        </w:tc>
        <w:tc>
          <w:tcPr>
            <w:tcW w:w="7206" w:type="dxa"/>
            <w:shd w:val="clear" w:color="auto" w:fill="auto"/>
            <w:vAlign w:val="center"/>
          </w:tcPr>
          <w:p w14:paraId="38218166" w14:textId="4DB287D7" w:rsidR="00CD52BA" w:rsidRPr="00457667" w:rsidRDefault="00CD52BA" w:rsidP="00CD52BA">
            <w:pPr>
              <w:pStyle w:val="TableParagraph"/>
              <w:spacing w:before="120" w:after="120"/>
              <w:ind w:left="102" w:right="111"/>
              <w:rPr>
                <w:rFonts w:ascii="Arial" w:hAnsi="Arial" w:cs="Arial"/>
                <w:sz w:val="18"/>
                <w:szCs w:val="18"/>
                <w:lang w:val="pt-BR"/>
              </w:rPr>
            </w:pPr>
            <w:r w:rsidRPr="005B7FCC">
              <w:rPr>
                <w:rFonts w:ascii="Arial" w:eastAsia="Times New Roman" w:hAnsi="Arial" w:cs="Arial"/>
                <w:sz w:val="18"/>
                <w:szCs w:val="18"/>
                <w:lang w:val="pt-BR" w:eastAsia="pt-BR"/>
              </w:rPr>
              <w:t>Demonstrativo de duração do passivo, parte integrante dos fluxos atuariais, contendo o resultado da duração do passivo, com base no valor médio, em anos, do prazo do fluxo de pagamento líquido de benefícios do RPPS, ponderado pelos valores presentes desses fluxos, assim como de sua análise evolutiva, correspondente com as informações contidas no Relatório da Avaliação Atuarial</w:t>
            </w:r>
          </w:p>
        </w:tc>
        <w:tc>
          <w:tcPr>
            <w:tcW w:w="993" w:type="dxa"/>
            <w:shd w:val="clear" w:color="auto" w:fill="auto"/>
            <w:vAlign w:val="center"/>
          </w:tcPr>
          <w:p w14:paraId="786DFD58" w14:textId="55122B41" w:rsidR="00CD52BA" w:rsidRPr="00457667" w:rsidRDefault="00CD52BA" w:rsidP="00CD52BA">
            <w:pPr>
              <w:spacing w:after="0" w:line="240" w:lineRule="auto"/>
              <w:jc w:val="center"/>
              <w:rPr>
                <w:rFonts w:ascii="Arial" w:eastAsia="Times New Roman" w:hAnsi="Arial" w:cs="Arial"/>
                <w:sz w:val="14"/>
                <w:szCs w:val="14"/>
                <w:lang w:eastAsia="pt-BR"/>
              </w:rPr>
            </w:pPr>
            <w:r w:rsidRPr="00457667">
              <w:rPr>
                <w:rFonts w:ascii="Arial" w:eastAsia="Times New Roman" w:hAnsi="Arial" w:cs="Arial"/>
                <w:sz w:val="14"/>
                <w:szCs w:val="14"/>
                <w:lang w:eastAsia="pt-BR"/>
              </w:rPr>
              <w:t>PDF</w:t>
            </w:r>
          </w:p>
        </w:tc>
        <w:tc>
          <w:tcPr>
            <w:tcW w:w="992" w:type="dxa"/>
            <w:vAlign w:val="center"/>
          </w:tcPr>
          <w:p w14:paraId="2E9D0A43" w14:textId="351248E3" w:rsidR="00CD52BA" w:rsidRPr="00457667" w:rsidRDefault="00CD52BA" w:rsidP="00CD52BA">
            <w:pPr>
              <w:spacing w:after="0" w:line="240" w:lineRule="auto"/>
              <w:jc w:val="center"/>
              <w:rPr>
                <w:rFonts w:ascii="Arial" w:eastAsia="Times New Roman" w:hAnsi="Arial" w:cs="Arial"/>
                <w:sz w:val="14"/>
                <w:szCs w:val="14"/>
                <w:lang w:eastAsia="pt-BR"/>
              </w:rPr>
            </w:pPr>
            <w:r w:rsidRPr="00457667">
              <w:rPr>
                <w:rFonts w:ascii="Arial" w:eastAsia="Times New Roman" w:hAnsi="Arial" w:cs="Arial"/>
                <w:sz w:val="14"/>
                <w:szCs w:val="14"/>
                <w:lang w:eastAsia="pt-BR"/>
              </w:rPr>
              <w:t>X</w:t>
            </w:r>
          </w:p>
        </w:tc>
        <w:tc>
          <w:tcPr>
            <w:tcW w:w="992" w:type="dxa"/>
            <w:vAlign w:val="center"/>
          </w:tcPr>
          <w:p w14:paraId="599F7864" w14:textId="1982F200" w:rsidR="00CD52BA" w:rsidRPr="00457667" w:rsidRDefault="00CD52BA" w:rsidP="00CD52BA">
            <w:pPr>
              <w:spacing w:after="0" w:line="240" w:lineRule="auto"/>
              <w:jc w:val="center"/>
              <w:rPr>
                <w:rFonts w:ascii="Arial" w:eastAsia="Times New Roman" w:hAnsi="Arial" w:cs="Arial"/>
                <w:sz w:val="14"/>
                <w:szCs w:val="14"/>
                <w:lang w:eastAsia="pt-BR"/>
              </w:rPr>
            </w:pPr>
            <w:r w:rsidRPr="00457667">
              <w:rPr>
                <w:rFonts w:ascii="Arial" w:eastAsia="Times New Roman" w:hAnsi="Arial" w:cs="Arial"/>
                <w:sz w:val="14"/>
                <w:szCs w:val="14"/>
                <w:lang w:eastAsia="pt-BR"/>
              </w:rPr>
              <w:t>X</w:t>
            </w:r>
          </w:p>
        </w:tc>
        <w:tc>
          <w:tcPr>
            <w:tcW w:w="851" w:type="dxa"/>
            <w:vAlign w:val="center"/>
          </w:tcPr>
          <w:p w14:paraId="55DA7C2D" w14:textId="77777777" w:rsidR="00CD52BA" w:rsidRPr="00457667" w:rsidRDefault="00CD52BA" w:rsidP="00CD52BA">
            <w:pPr>
              <w:spacing w:after="0" w:line="240" w:lineRule="auto"/>
              <w:jc w:val="center"/>
              <w:rPr>
                <w:rFonts w:ascii="Arial" w:eastAsia="Times New Roman" w:hAnsi="Arial" w:cs="Arial"/>
                <w:sz w:val="14"/>
                <w:szCs w:val="14"/>
                <w:lang w:eastAsia="pt-BR"/>
              </w:rPr>
            </w:pPr>
          </w:p>
        </w:tc>
        <w:tc>
          <w:tcPr>
            <w:tcW w:w="850" w:type="dxa"/>
            <w:vAlign w:val="center"/>
          </w:tcPr>
          <w:p w14:paraId="39DAC11C" w14:textId="4F8AB30E" w:rsidR="00CD52BA" w:rsidRPr="00457667" w:rsidRDefault="00CD52BA" w:rsidP="00CD52BA">
            <w:pPr>
              <w:spacing w:after="0" w:line="240" w:lineRule="auto"/>
              <w:jc w:val="center"/>
              <w:rPr>
                <w:rFonts w:ascii="Arial" w:eastAsia="Times New Roman" w:hAnsi="Arial" w:cs="Arial"/>
                <w:sz w:val="14"/>
                <w:szCs w:val="14"/>
                <w:lang w:eastAsia="pt-BR"/>
              </w:rPr>
            </w:pPr>
            <w:r w:rsidRPr="00457667">
              <w:rPr>
                <w:rFonts w:ascii="Arial" w:eastAsia="Times New Roman" w:hAnsi="Arial" w:cs="Arial"/>
                <w:sz w:val="14"/>
                <w:szCs w:val="14"/>
                <w:lang w:eastAsia="pt-BR"/>
              </w:rPr>
              <w:t>X</w:t>
            </w:r>
          </w:p>
        </w:tc>
        <w:tc>
          <w:tcPr>
            <w:tcW w:w="851" w:type="dxa"/>
            <w:vAlign w:val="center"/>
          </w:tcPr>
          <w:p w14:paraId="182F2531" w14:textId="1703FDC0" w:rsidR="00CD52BA" w:rsidRPr="00457667" w:rsidRDefault="00CD52BA" w:rsidP="00CD52BA">
            <w:pPr>
              <w:spacing w:after="0" w:line="240" w:lineRule="auto"/>
              <w:jc w:val="center"/>
              <w:rPr>
                <w:rFonts w:ascii="Arial" w:eastAsia="Times New Roman" w:hAnsi="Arial" w:cs="Arial"/>
                <w:sz w:val="14"/>
                <w:szCs w:val="14"/>
                <w:lang w:eastAsia="pt-BR"/>
              </w:rPr>
            </w:pPr>
            <w:r w:rsidRPr="00457667">
              <w:rPr>
                <w:rFonts w:ascii="Arial" w:eastAsia="Times New Roman" w:hAnsi="Arial" w:cs="Arial"/>
                <w:sz w:val="14"/>
                <w:szCs w:val="14"/>
                <w:lang w:eastAsia="pt-BR"/>
              </w:rPr>
              <w:t>X</w:t>
            </w:r>
          </w:p>
        </w:tc>
      </w:tr>
      <w:tr w:rsidR="00CD52BA" w:rsidRPr="00457667" w14:paraId="1C30F619" w14:textId="77777777" w:rsidTr="000065F5">
        <w:tc>
          <w:tcPr>
            <w:tcW w:w="1294" w:type="dxa"/>
            <w:vAlign w:val="center"/>
          </w:tcPr>
          <w:p w14:paraId="3E6C2048" w14:textId="0F2A642D" w:rsidR="00CD52BA" w:rsidRPr="00457667" w:rsidRDefault="00CD52BA" w:rsidP="00CD52BA">
            <w:pPr>
              <w:spacing w:after="0" w:line="240" w:lineRule="auto"/>
              <w:jc w:val="center"/>
              <w:rPr>
                <w:rFonts w:ascii="Arial" w:eastAsia="Times New Roman" w:hAnsi="Arial" w:cs="Arial"/>
                <w:sz w:val="18"/>
                <w:szCs w:val="18"/>
                <w:lang w:eastAsia="pt-BR"/>
              </w:rPr>
            </w:pPr>
            <w:r w:rsidRPr="00457667">
              <w:rPr>
                <w:rFonts w:ascii="Arial" w:eastAsia="Times New Roman" w:hAnsi="Arial" w:cs="Arial"/>
                <w:sz w:val="18"/>
                <w:szCs w:val="18"/>
                <w:lang w:eastAsia="pt-BR"/>
              </w:rPr>
              <w:lastRenderedPageBreak/>
              <w:t>HIPOTES</w:t>
            </w:r>
          </w:p>
        </w:tc>
        <w:tc>
          <w:tcPr>
            <w:tcW w:w="7206" w:type="dxa"/>
            <w:shd w:val="clear" w:color="auto" w:fill="auto"/>
            <w:vAlign w:val="center"/>
          </w:tcPr>
          <w:p w14:paraId="551F4E09" w14:textId="6851D961" w:rsidR="00CD52BA" w:rsidRPr="00457667" w:rsidRDefault="00CD52BA" w:rsidP="00CD52BA">
            <w:pPr>
              <w:pStyle w:val="TableParagraph"/>
              <w:spacing w:before="120" w:after="120"/>
              <w:ind w:left="102" w:right="111"/>
              <w:rPr>
                <w:rFonts w:ascii="Arial" w:hAnsi="Arial" w:cs="Arial"/>
                <w:sz w:val="18"/>
                <w:szCs w:val="18"/>
                <w:lang w:val="pt-BR"/>
              </w:rPr>
            </w:pPr>
            <w:r w:rsidRPr="005B7FCC">
              <w:rPr>
                <w:rFonts w:ascii="Arial" w:eastAsia="Times New Roman" w:hAnsi="Arial" w:cs="Arial"/>
                <w:sz w:val="18"/>
                <w:szCs w:val="18"/>
                <w:lang w:val="pt-BR" w:eastAsia="pt-BR"/>
              </w:rPr>
              <w:t>Relatório de análise das hipóteses atuariais, contendo resultados dos estudos técnicos de aderência e de acompanhamento das hipóteses, assim como do fundamento de sua escolha e o critério utilizado na avaliação atuarial, abrangendo, no mínimo, as seguintes hipóteses: a) taxa atuarial de juros; b) crescimento real das remunerações; e, c) probabilidade de ocorrência de morte e invalidez.Na elaboração deste demonstrativo previsto no inciso VIII do art. 68 da Portaria MF nº 464/2018 deverão ser observados os prazos previstos no art. 8º da Instrução Normativa SPREV nº 9, de 21 de dezembro de 2018.</w:t>
            </w:r>
          </w:p>
        </w:tc>
        <w:tc>
          <w:tcPr>
            <w:tcW w:w="993" w:type="dxa"/>
            <w:shd w:val="clear" w:color="auto" w:fill="auto"/>
            <w:vAlign w:val="center"/>
          </w:tcPr>
          <w:p w14:paraId="2D018DFB" w14:textId="270D3F92" w:rsidR="00CD52BA" w:rsidRPr="00457667" w:rsidRDefault="00CD52BA" w:rsidP="00CD52BA">
            <w:pPr>
              <w:spacing w:after="0" w:line="240" w:lineRule="auto"/>
              <w:jc w:val="center"/>
              <w:rPr>
                <w:rFonts w:ascii="Arial" w:eastAsia="Times New Roman" w:hAnsi="Arial" w:cs="Arial"/>
                <w:sz w:val="14"/>
                <w:szCs w:val="14"/>
                <w:lang w:eastAsia="pt-BR"/>
              </w:rPr>
            </w:pPr>
            <w:r w:rsidRPr="00457667">
              <w:rPr>
                <w:rFonts w:ascii="Arial" w:eastAsia="Times New Roman" w:hAnsi="Arial" w:cs="Arial"/>
                <w:sz w:val="14"/>
                <w:szCs w:val="14"/>
                <w:lang w:eastAsia="pt-BR"/>
              </w:rPr>
              <w:t>PDF</w:t>
            </w:r>
          </w:p>
        </w:tc>
        <w:tc>
          <w:tcPr>
            <w:tcW w:w="992" w:type="dxa"/>
            <w:vAlign w:val="center"/>
          </w:tcPr>
          <w:p w14:paraId="2FB0A070" w14:textId="424C9C01" w:rsidR="00CD52BA" w:rsidRPr="00457667" w:rsidRDefault="00CD52BA" w:rsidP="00CD52BA">
            <w:pPr>
              <w:spacing w:after="0" w:line="240" w:lineRule="auto"/>
              <w:jc w:val="center"/>
              <w:rPr>
                <w:rFonts w:ascii="Arial" w:eastAsia="Times New Roman" w:hAnsi="Arial" w:cs="Arial"/>
                <w:sz w:val="14"/>
                <w:szCs w:val="14"/>
                <w:lang w:eastAsia="pt-BR"/>
              </w:rPr>
            </w:pPr>
            <w:r w:rsidRPr="00457667">
              <w:rPr>
                <w:rFonts w:ascii="Arial" w:eastAsia="Times New Roman" w:hAnsi="Arial" w:cs="Arial"/>
                <w:sz w:val="14"/>
                <w:szCs w:val="14"/>
                <w:lang w:eastAsia="pt-BR"/>
              </w:rPr>
              <w:t>X</w:t>
            </w:r>
          </w:p>
        </w:tc>
        <w:tc>
          <w:tcPr>
            <w:tcW w:w="992" w:type="dxa"/>
            <w:vAlign w:val="center"/>
          </w:tcPr>
          <w:p w14:paraId="2607C2C1" w14:textId="77777777" w:rsidR="00CD52BA" w:rsidRPr="00457667" w:rsidRDefault="00CD52BA" w:rsidP="00CD52BA">
            <w:pPr>
              <w:spacing w:after="0" w:line="240" w:lineRule="auto"/>
              <w:jc w:val="center"/>
              <w:rPr>
                <w:rFonts w:ascii="Arial" w:eastAsia="Times New Roman" w:hAnsi="Arial" w:cs="Arial"/>
                <w:sz w:val="14"/>
                <w:szCs w:val="14"/>
                <w:lang w:eastAsia="pt-BR"/>
              </w:rPr>
            </w:pPr>
          </w:p>
        </w:tc>
        <w:tc>
          <w:tcPr>
            <w:tcW w:w="851" w:type="dxa"/>
            <w:vAlign w:val="center"/>
          </w:tcPr>
          <w:p w14:paraId="12C72654" w14:textId="77777777" w:rsidR="00CD52BA" w:rsidRPr="00457667" w:rsidRDefault="00CD52BA" w:rsidP="00CD52BA">
            <w:pPr>
              <w:spacing w:after="0" w:line="240" w:lineRule="auto"/>
              <w:jc w:val="center"/>
              <w:rPr>
                <w:rFonts w:ascii="Arial" w:eastAsia="Times New Roman" w:hAnsi="Arial" w:cs="Arial"/>
                <w:sz w:val="14"/>
                <w:szCs w:val="14"/>
                <w:lang w:eastAsia="pt-BR"/>
              </w:rPr>
            </w:pPr>
          </w:p>
        </w:tc>
        <w:tc>
          <w:tcPr>
            <w:tcW w:w="850" w:type="dxa"/>
            <w:vAlign w:val="center"/>
          </w:tcPr>
          <w:p w14:paraId="7D16318A" w14:textId="1009B5A6" w:rsidR="00CD52BA" w:rsidRPr="00457667" w:rsidRDefault="00CD52BA" w:rsidP="00CD52BA">
            <w:pPr>
              <w:spacing w:after="0" w:line="240" w:lineRule="auto"/>
              <w:jc w:val="center"/>
              <w:rPr>
                <w:rFonts w:ascii="Arial" w:eastAsia="Times New Roman" w:hAnsi="Arial" w:cs="Arial"/>
                <w:sz w:val="14"/>
                <w:szCs w:val="14"/>
                <w:lang w:eastAsia="pt-BR"/>
              </w:rPr>
            </w:pPr>
            <w:r w:rsidRPr="00457667">
              <w:rPr>
                <w:rFonts w:ascii="Arial" w:eastAsia="Times New Roman" w:hAnsi="Arial" w:cs="Arial"/>
                <w:sz w:val="14"/>
                <w:szCs w:val="14"/>
                <w:lang w:eastAsia="pt-BR"/>
              </w:rPr>
              <w:t>X</w:t>
            </w:r>
          </w:p>
        </w:tc>
        <w:tc>
          <w:tcPr>
            <w:tcW w:w="851" w:type="dxa"/>
            <w:vAlign w:val="center"/>
          </w:tcPr>
          <w:p w14:paraId="577770D8" w14:textId="5F8A4844" w:rsidR="00CD52BA" w:rsidRPr="00457667" w:rsidRDefault="00CD52BA" w:rsidP="00CD52BA">
            <w:pPr>
              <w:spacing w:after="0" w:line="240" w:lineRule="auto"/>
              <w:jc w:val="center"/>
              <w:rPr>
                <w:rFonts w:ascii="Arial" w:eastAsia="Times New Roman" w:hAnsi="Arial" w:cs="Arial"/>
                <w:sz w:val="14"/>
                <w:szCs w:val="14"/>
                <w:lang w:eastAsia="pt-BR"/>
              </w:rPr>
            </w:pPr>
            <w:r w:rsidRPr="00457667">
              <w:rPr>
                <w:rFonts w:ascii="Arial" w:eastAsia="Times New Roman" w:hAnsi="Arial" w:cs="Arial"/>
                <w:sz w:val="14"/>
                <w:szCs w:val="14"/>
                <w:lang w:eastAsia="pt-BR"/>
              </w:rPr>
              <w:t>X</w:t>
            </w:r>
          </w:p>
        </w:tc>
      </w:tr>
      <w:tr w:rsidR="00CD52BA" w:rsidRPr="00457667" w14:paraId="38F1C1A1" w14:textId="77777777" w:rsidTr="000065F5">
        <w:tc>
          <w:tcPr>
            <w:tcW w:w="1294" w:type="dxa"/>
            <w:vAlign w:val="center"/>
          </w:tcPr>
          <w:p w14:paraId="31100C2C" w14:textId="1E3FFFCF" w:rsidR="00CD52BA" w:rsidRPr="00457667" w:rsidRDefault="00CD52BA" w:rsidP="00CD52BA">
            <w:pPr>
              <w:spacing w:after="0" w:line="240" w:lineRule="auto"/>
              <w:jc w:val="center"/>
              <w:rPr>
                <w:rFonts w:ascii="Arial" w:eastAsia="Times New Roman" w:hAnsi="Arial" w:cs="Arial"/>
                <w:sz w:val="18"/>
                <w:szCs w:val="18"/>
                <w:lang w:eastAsia="pt-BR"/>
              </w:rPr>
            </w:pPr>
            <w:r w:rsidRPr="00457667">
              <w:rPr>
                <w:rFonts w:ascii="Arial" w:eastAsia="Times New Roman" w:hAnsi="Arial" w:cs="Arial"/>
                <w:sz w:val="18"/>
                <w:szCs w:val="18"/>
                <w:lang w:eastAsia="pt-BR"/>
              </w:rPr>
              <w:t>BALGAPE</w:t>
            </w:r>
          </w:p>
        </w:tc>
        <w:tc>
          <w:tcPr>
            <w:tcW w:w="7206" w:type="dxa"/>
            <w:shd w:val="clear" w:color="auto" w:fill="auto"/>
            <w:vAlign w:val="center"/>
          </w:tcPr>
          <w:p w14:paraId="4FAFB399" w14:textId="18456CE9" w:rsidR="00CD52BA" w:rsidRPr="00457667" w:rsidRDefault="00CD52BA" w:rsidP="00CD52BA">
            <w:pPr>
              <w:pStyle w:val="TableParagraph"/>
              <w:spacing w:before="120" w:after="120"/>
              <w:ind w:left="102" w:right="111"/>
              <w:rPr>
                <w:rFonts w:ascii="Arial" w:hAnsi="Arial" w:cs="Arial"/>
                <w:sz w:val="18"/>
                <w:szCs w:val="18"/>
                <w:lang w:val="pt-BR"/>
              </w:rPr>
            </w:pPr>
            <w:r w:rsidRPr="005B7FCC">
              <w:rPr>
                <w:rFonts w:ascii="Arial" w:eastAsia="Times New Roman" w:hAnsi="Arial" w:cs="Arial"/>
                <w:sz w:val="18"/>
                <w:szCs w:val="18"/>
                <w:lang w:val="pt-BR" w:eastAsia="pt-BR"/>
              </w:rPr>
              <w:t>Balanço de ganhos e perdas atuariais, identificando as principais causas do déficit atuarial, incluindo cenários com possibilidades para seu equacionamento e seus impactos.</w:t>
            </w:r>
          </w:p>
        </w:tc>
        <w:tc>
          <w:tcPr>
            <w:tcW w:w="993" w:type="dxa"/>
            <w:shd w:val="clear" w:color="auto" w:fill="auto"/>
            <w:vAlign w:val="center"/>
          </w:tcPr>
          <w:p w14:paraId="2289D697" w14:textId="3A6FEFC6" w:rsidR="00CD52BA" w:rsidRPr="00457667" w:rsidRDefault="00CD52BA" w:rsidP="00CD52BA">
            <w:pPr>
              <w:spacing w:after="0" w:line="240" w:lineRule="auto"/>
              <w:jc w:val="center"/>
              <w:rPr>
                <w:rFonts w:ascii="Arial" w:eastAsia="Times New Roman" w:hAnsi="Arial" w:cs="Arial"/>
                <w:sz w:val="14"/>
                <w:szCs w:val="14"/>
                <w:lang w:eastAsia="pt-BR"/>
              </w:rPr>
            </w:pPr>
            <w:r w:rsidRPr="00457667">
              <w:rPr>
                <w:rFonts w:ascii="Arial" w:eastAsia="Times New Roman" w:hAnsi="Arial" w:cs="Arial"/>
                <w:sz w:val="14"/>
                <w:szCs w:val="14"/>
                <w:lang w:eastAsia="pt-BR"/>
              </w:rPr>
              <w:t>PDF</w:t>
            </w:r>
          </w:p>
        </w:tc>
        <w:tc>
          <w:tcPr>
            <w:tcW w:w="992" w:type="dxa"/>
            <w:vAlign w:val="center"/>
          </w:tcPr>
          <w:p w14:paraId="1CFA28D0" w14:textId="734E638E" w:rsidR="00CD52BA" w:rsidRPr="00457667" w:rsidRDefault="00CD52BA" w:rsidP="00CD52BA">
            <w:pPr>
              <w:spacing w:after="0" w:line="240" w:lineRule="auto"/>
              <w:jc w:val="center"/>
              <w:rPr>
                <w:rFonts w:ascii="Arial" w:eastAsia="Times New Roman" w:hAnsi="Arial" w:cs="Arial"/>
                <w:sz w:val="14"/>
                <w:szCs w:val="14"/>
                <w:lang w:eastAsia="pt-BR"/>
              </w:rPr>
            </w:pPr>
            <w:r w:rsidRPr="00457667">
              <w:rPr>
                <w:rFonts w:ascii="Arial" w:eastAsia="Times New Roman" w:hAnsi="Arial" w:cs="Arial"/>
                <w:sz w:val="14"/>
                <w:szCs w:val="14"/>
                <w:lang w:eastAsia="pt-BR"/>
              </w:rPr>
              <w:t>X</w:t>
            </w:r>
          </w:p>
        </w:tc>
        <w:tc>
          <w:tcPr>
            <w:tcW w:w="992" w:type="dxa"/>
            <w:vAlign w:val="center"/>
          </w:tcPr>
          <w:p w14:paraId="43FC71C1" w14:textId="77777777" w:rsidR="00CD52BA" w:rsidRPr="00457667" w:rsidRDefault="00CD52BA" w:rsidP="00CD52BA">
            <w:pPr>
              <w:spacing w:after="0" w:line="240" w:lineRule="auto"/>
              <w:jc w:val="center"/>
              <w:rPr>
                <w:rFonts w:ascii="Arial" w:eastAsia="Times New Roman" w:hAnsi="Arial" w:cs="Arial"/>
                <w:sz w:val="14"/>
                <w:szCs w:val="14"/>
                <w:lang w:eastAsia="pt-BR"/>
              </w:rPr>
            </w:pPr>
          </w:p>
        </w:tc>
        <w:tc>
          <w:tcPr>
            <w:tcW w:w="851" w:type="dxa"/>
            <w:vAlign w:val="center"/>
          </w:tcPr>
          <w:p w14:paraId="46A4C9D0" w14:textId="77777777" w:rsidR="00CD52BA" w:rsidRPr="00457667" w:rsidRDefault="00CD52BA" w:rsidP="00CD52BA">
            <w:pPr>
              <w:spacing w:after="0" w:line="240" w:lineRule="auto"/>
              <w:jc w:val="center"/>
              <w:rPr>
                <w:rFonts w:ascii="Arial" w:eastAsia="Times New Roman" w:hAnsi="Arial" w:cs="Arial"/>
                <w:sz w:val="14"/>
                <w:szCs w:val="14"/>
                <w:lang w:eastAsia="pt-BR"/>
              </w:rPr>
            </w:pPr>
          </w:p>
        </w:tc>
        <w:tc>
          <w:tcPr>
            <w:tcW w:w="850" w:type="dxa"/>
            <w:vAlign w:val="center"/>
          </w:tcPr>
          <w:p w14:paraId="3ADEFC17" w14:textId="214E3C9E" w:rsidR="00CD52BA" w:rsidRPr="00457667" w:rsidRDefault="00CD52BA" w:rsidP="00CD52BA">
            <w:pPr>
              <w:spacing w:after="0" w:line="240" w:lineRule="auto"/>
              <w:jc w:val="center"/>
              <w:rPr>
                <w:rFonts w:ascii="Arial" w:eastAsia="Times New Roman" w:hAnsi="Arial" w:cs="Arial"/>
                <w:sz w:val="14"/>
                <w:szCs w:val="14"/>
                <w:lang w:eastAsia="pt-BR"/>
              </w:rPr>
            </w:pPr>
            <w:r w:rsidRPr="00457667">
              <w:rPr>
                <w:rFonts w:ascii="Arial" w:eastAsia="Times New Roman" w:hAnsi="Arial" w:cs="Arial"/>
                <w:sz w:val="14"/>
                <w:szCs w:val="14"/>
                <w:lang w:eastAsia="pt-BR"/>
              </w:rPr>
              <w:t>X</w:t>
            </w:r>
          </w:p>
        </w:tc>
        <w:tc>
          <w:tcPr>
            <w:tcW w:w="851" w:type="dxa"/>
            <w:vAlign w:val="center"/>
          </w:tcPr>
          <w:p w14:paraId="1779DBCB" w14:textId="517840F4" w:rsidR="00CD52BA" w:rsidRPr="00457667" w:rsidRDefault="00CD52BA" w:rsidP="00CD52BA">
            <w:pPr>
              <w:spacing w:after="0" w:line="240" w:lineRule="auto"/>
              <w:jc w:val="center"/>
              <w:rPr>
                <w:rFonts w:ascii="Arial" w:eastAsia="Times New Roman" w:hAnsi="Arial" w:cs="Arial"/>
                <w:sz w:val="14"/>
                <w:szCs w:val="14"/>
                <w:lang w:eastAsia="pt-BR"/>
              </w:rPr>
            </w:pPr>
            <w:r w:rsidRPr="00457667">
              <w:rPr>
                <w:rFonts w:ascii="Arial" w:eastAsia="Times New Roman" w:hAnsi="Arial" w:cs="Arial"/>
                <w:sz w:val="14"/>
                <w:szCs w:val="14"/>
                <w:lang w:eastAsia="pt-BR"/>
              </w:rPr>
              <w:t>X</w:t>
            </w:r>
          </w:p>
        </w:tc>
      </w:tr>
      <w:tr w:rsidR="00CD52BA" w:rsidRPr="00457667" w14:paraId="5FAC765A" w14:textId="77777777" w:rsidTr="003523A1">
        <w:tc>
          <w:tcPr>
            <w:tcW w:w="1294" w:type="dxa"/>
            <w:vAlign w:val="center"/>
          </w:tcPr>
          <w:p w14:paraId="70A6868C" w14:textId="77777777" w:rsidR="00CD52BA" w:rsidRPr="00457667" w:rsidRDefault="00CD52BA" w:rsidP="00CD52BA">
            <w:pPr>
              <w:spacing w:after="0" w:line="240" w:lineRule="auto"/>
              <w:jc w:val="center"/>
              <w:rPr>
                <w:rFonts w:ascii="Arial" w:eastAsia="Times New Roman" w:hAnsi="Arial" w:cs="Arial"/>
                <w:sz w:val="18"/>
                <w:szCs w:val="18"/>
                <w:lang w:eastAsia="pt-BR"/>
              </w:rPr>
            </w:pPr>
            <w:r w:rsidRPr="00457667">
              <w:rPr>
                <w:rFonts w:ascii="Arial" w:eastAsia="Times New Roman" w:hAnsi="Arial" w:cs="Arial"/>
                <w:sz w:val="18"/>
                <w:szCs w:val="18"/>
                <w:lang w:eastAsia="pt-BR"/>
              </w:rPr>
              <w:t>RELCENS</w:t>
            </w:r>
          </w:p>
        </w:tc>
        <w:tc>
          <w:tcPr>
            <w:tcW w:w="7206" w:type="dxa"/>
            <w:shd w:val="clear" w:color="auto" w:fill="auto"/>
            <w:vAlign w:val="center"/>
          </w:tcPr>
          <w:p w14:paraId="3F84961B" w14:textId="77777777" w:rsidR="00CD52BA" w:rsidRPr="00457667" w:rsidRDefault="00CD52BA" w:rsidP="00CD52BA">
            <w:pPr>
              <w:spacing w:after="0" w:line="240" w:lineRule="auto"/>
              <w:jc w:val="both"/>
              <w:rPr>
                <w:rFonts w:ascii="Arial" w:eastAsia="Times New Roman" w:hAnsi="Arial" w:cs="Arial"/>
                <w:sz w:val="18"/>
                <w:szCs w:val="18"/>
                <w:lang w:eastAsia="pt-BR"/>
              </w:rPr>
            </w:pPr>
            <w:r w:rsidRPr="00457667">
              <w:rPr>
                <w:rFonts w:ascii="Arial" w:eastAsia="Times New Roman" w:hAnsi="Arial" w:cs="Arial"/>
                <w:sz w:val="18"/>
                <w:szCs w:val="18"/>
                <w:lang w:eastAsia="pt-BR"/>
              </w:rPr>
              <w:t>Declaração do Gestor do RPPS sobre a realização de censo previdenciário, recadastramento e prova de vida, abrangendo as seguintes informações: a) ocorrência de recenseamento previdenciário, com periodicidade não superior a cinco anos, abrangendo todos os aposentados e pensionistas (Artigo 15, inciso II da Orientação Normativa SPS nº 02/2009, Art. 09 da Lei Federal nº 10.887/2004); b) ocorrência de recadastramento previdenciário por meio da atualização de dados cadastrais como: endereço, telefone, agência bancária, entre outros dados; c) realização de prova de vida que consiste na comprovação física da existência do beneficiário para garantir a manutenção do benefícios (o ente poderá incluir essa obrigação em lei). Alcance, informações recenseadas, campos exigidos, duração, abrangência, estrutura própria ou terceirizada. Modelo na forma do item 3.2 deste Anexo.</w:t>
            </w:r>
          </w:p>
        </w:tc>
        <w:tc>
          <w:tcPr>
            <w:tcW w:w="993" w:type="dxa"/>
            <w:shd w:val="clear" w:color="auto" w:fill="auto"/>
            <w:vAlign w:val="center"/>
          </w:tcPr>
          <w:p w14:paraId="5C7F5D5A" w14:textId="77777777" w:rsidR="00CD52BA" w:rsidRPr="00457667" w:rsidRDefault="00CD52BA" w:rsidP="00CD52BA">
            <w:pPr>
              <w:spacing w:after="0" w:line="240" w:lineRule="auto"/>
              <w:jc w:val="center"/>
              <w:rPr>
                <w:rFonts w:ascii="Arial" w:eastAsia="Times New Roman" w:hAnsi="Arial" w:cs="Arial"/>
                <w:sz w:val="18"/>
                <w:szCs w:val="18"/>
                <w:lang w:eastAsia="pt-BR"/>
              </w:rPr>
            </w:pPr>
            <w:r w:rsidRPr="00457667">
              <w:rPr>
                <w:rFonts w:ascii="Arial" w:eastAsia="Times New Roman" w:hAnsi="Arial" w:cs="Arial"/>
                <w:sz w:val="14"/>
                <w:szCs w:val="14"/>
                <w:lang w:eastAsia="pt-BR"/>
              </w:rPr>
              <w:t>PDF</w:t>
            </w:r>
          </w:p>
        </w:tc>
        <w:tc>
          <w:tcPr>
            <w:tcW w:w="992" w:type="dxa"/>
            <w:vAlign w:val="center"/>
          </w:tcPr>
          <w:p w14:paraId="1D2D33D8" w14:textId="77777777" w:rsidR="00CD52BA" w:rsidRPr="00457667" w:rsidRDefault="00CD52BA" w:rsidP="00CD52BA">
            <w:pPr>
              <w:spacing w:after="0" w:line="240" w:lineRule="auto"/>
              <w:jc w:val="center"/>
              <w:rPr>
                <w:rFonts w:ascii="Arial" w:eastAsia="Times New Roman" w:hAnsi="Arial" w:cs="Arial"/>
                <w:sz w:val="14"/>
                <w:szCs w:val="14"/>
                <w:lang w:eastAsia="pt-BR"/>
              </w:rPr>
            </w:pPr>
            <w:r w:rsidRPr="00457667">
              <w:rPr>
                <w:rFonts w:ascii="Arial" w:eastAsia="Times New Roman" w:hAnsi="Arial" w:cs="Arial"/>
                <w:sz w:val="14"/>
                <w:szCs w:val="14"/>
                <w:lang w:eastAsia="pt-BR"/>
              </w:rPr>
              <w:t>X</w:t>
            </w:r>
          </w:p>
        </w:tc>
        <w:tc>
          <w:tcPr>
            <w:tcW w:w="992" w:type="dxa"/>
            <w:vAlign w:val="center"/>
          </w:tcPr>
          <w:p w14:paraId="6A2A9964" w14:textId="77777777" w:rsidR="00CD52BA" w:rsidRPr="00457667" w:rsidRDefault="00CD52BA" w:rsidP="00CD52BA">
            <w:pPr>
              <w:spacing w:after="0" w:line="240" w:lineRule="auto"/>
              <w:jc w:val="center"/>
              <w:rPr>
                <w:rFonts w:ascii="Arial" w:eastAsia="Times New Roman" w:hAnsi="Arial" w:cs="Arial"/>
                <w:sz w:val="14"/>
                <w:szCs w:val="14"/>
                <w:lang w:eastAsia="pt-BR"/>
              </w:rPr>
            </w:pPr>
            <w:r w:rsidRPr="00457667">
              <w:rPr>
                <w:rFonts w:ascii="Arial" w:eastAsia="Times New Roman" w:hAnsi="Arial" w:cs="Arial"/>
                <w:sz w:val="14"/>
                <w:szCs w:val="14"/>
                <w:lang w:eastAsia="pt-BR"/>
              </w:rPr>
              <w:t>X</w:t>
            </w:r>
          </w:p>
        </w:tc>
        <w:tc>
          <w:tcPr>
            <w:tcW w:w="851" w:type="dxa"/>
            <w:vAlign w:val="center"/>
          </w:tcPr>
          <w:p w14:paraId="7F4B8CCE" w14:textId="77777777" w:rsidR="00CD52BA" w:rsidRPr="00457667" w:rsidRDefault="00CD52BA" w:rsidP="00CD52BA">
            <w:pPr>
              <w:spacing w:after="0" w:line="240" w:lineRule="auto"/>
              <w:jc w:val="center"/>
              <w:rPr>
                <w:rFonts w:ascii="Arial" w:eastAsia="Times New Roman" w:hAnsi="Arial" w:cs="Arial"/>
                <w:sz w:val="14"/>
                <w:szCs w:val="14"/>
                <w:lang w:eastAsia="pt-BR"/>
              </w:rPr>
            </w:pPr>
          </w:p>
        </w:tc>
        <w:tc>
          <w:tcPr>
            <w:tcW w:w="850" w:type="dxa"/>
            <w:vAlign w:val="center"/>
          </w:tcPr>
          <w:p w14:paraId="1065C83B" w14:textId="77777777" w:rsidR="00CD52BA" w:rsidRPr="00457667" w:rsidRDefault="00CD52BA" w:rsidP="00CD52BA">
            <w:pPr>
              <w:spacing w:after="0" w:line="240" w:lineRule="auto"/>
              <w:jc w:val="center"/>
              <w:rPr>
                <w:rFonts w:ascii="Arial" w:eastAsia="Times New Roman" w:hAnsi="Arial" w:cs="Arial"/>
                <w:sz w:val="14"/>
                <w:szCs w:val="14"/>
                <w:lang w:eastAsia="pt-BR"/>
              </w:rPr>
            </w:pPr>
            <w:r w:rsidRPr="00457667">
              <w:rPr>
                <w:rFonts w:ascii="Arial" w:eastAsia="Times New Roman" w:hAnsi="Arial" w:cs="Arial"/>
                <w:sz w:val="14"/>
                <w:szCs w:val="14"/>
                <w:lang w:eastAsia="pt-BR"/>
              </w:rPr>
              <w:t>X</w:t>
            </w:r>
          </w:p>
        </w:tc>
        <w:tc>
          <w:tcPr>
            <w:tcW w:w="851" w:type="dxa"/>
            <w:vAlign w:val="center"/>
          </w:tcPr>
          <w:p w14:paraId="2BBF299F" w14:textId="77777777" w:rsidR="00CD52BA" w:rsidRPr="00457667" w:rsidRDefault="00CD52BA" w:rsidP="00CD52BA">
            <w:pPr>
              <w:spacing w:after="0" w:line="240" w:lineRule="auto"/>
              <w:jc w:val="center"/>
              <w:rPr>
                <w:rFonts w:ascii="Arial" w:eastAsia="Times New Roman" w:hAnsi="Arial" w:cs="Arial"/>
                <w:sz w:val="14"/>
                <w:szCs w:val="14"/>
                <w:lang w:eastAsia="pt-BR"/>
              </w:rPr>
            </w:pPr>
            <w:r w:rsidRPr="00457667">
              <w:rPr>
                <w:rFonts w:ascii="Arial" w:eastAsia="Times New Roman" w:hAnsi="Arial" w:cs="Arial"/>
                <w:sz w:val="14"/>
                <w:szCs w:val="14"/>
                <w:lang w:eastAsia="pt-BR"/>
              </w:rPr>
              <w:t>X</w:t>
            </w:r>
          </w:p>
        </w:tc>
      </w:tr>
      <w:tr w:rsidR="00CD52BA" w:rsidRPr="00457667" w14:paraId="2667109D" w14:textId="77777777" w:rsidTr="000065F5">
        <w:tc>
          <w:tcPr>
            <w:tcW w:w="1294" w:type="dxa"/>
            <w:vAlign w:val="center"/>
          </w:tcPr>
          <w:p w14:paraId="2CBE0960" w14:textId="299E36A0" w:rsidR="00CD52BA" w:rsidRPr="00457667" w:rsidRDefault="00CD52BA" w:rsidP="00CD52BA">
            <w:pPr>
              <w:spacing w:after="0" w:line="240" w:lineRule="auto"/>
              <w:jc w:val="center"/>
              <w:rPr>
                <w:rFonts w:ascii="Arial" w:eastAsia="Times New Roman" w:hAnsi="Arial" w:cs="Arial"/>
                <w:sz w:val="18"/>
                <w:szCs w:val="18"/>
                <w:lang w:eastAsia="pt-BR"/>
              </w:rPr>
            </w:pPr>
            <w:r w:rsidRPr="00457667">
              <w:rPr>
                <w:rFonts w:ascii="Arial" w:eastAsia="Arial" w:hAnsi="Arial" w:cs="Arial"/>
                <w:sz w:val="18"/>
              </w:rPr>
              <w:t>CRONOS</w:t>
            </w:r>
          </w:p>
        </w:tc>
        <w:tc>
          <w:tcPr>
            <w:tcW w:w="7206" w:type="dxa"/>
            <w:shd w:val="clear" w:color="auto" w:fill="auto"/>
            <w:vAlign w:val="center"/>
          </w:tcPr>
          <w:p w14:paraId="117A73C8" w14:textId="35A258DD" w:rsidR="00CD52BA" w:rsidRPr="00457667" w:rsidRDefault="00CD52BA" w:rsidP="00CD52BA">
            <w:pPr>
              <w:pStyle w:val="TableParagraph"/>
              <w:spacing w:before="120" w:after="120"/>
              <w:ind w:left="102" w:right="111"/>
              <w:rPr>
                <w:rFonts w:ascii="Arial" w:hAnsi="Arial" w:cs="Arial"/>
                <w:sz w:val="18"/>
                <w:szCs w:val="18"/>
                <w:lang w:val="pt-BR"/>
              </w:rPr>
            </w:pPr>
            <w:r w:rsidRPr="005B7FCC">
              <w:rPr>
                <w:rFonts w:ascii="Arial" w:eastAsia="Times New Roman" w:hAnsi="Arial" w:cs="Arial"/>
                <w:sz w:val="18"/>
                <w:szCs w:val="18"/>
                <w:lang w:val="pt-BR" w:eastAsia="pt-BR"/>
              </w:rPr>
              <w:t>Ato(s) normativo(s) da autoridade competente regulamentando a ordem cronológica dos pagamentos, nos termos do art. 5º da Lei Federal nº 8666/93.</w:t>
            </w:r>
          </w:p>
        </w:tc>
        <w:tc>
          <w:tcPr>
            <w:tcW w:w="993" w:type="dxa"/>
            <w:shd w:val="clear" w:color="auto" w:fill="auto"/>
            <w:vAlign w:val="center"/>
          </w:tcPr>
          <w:p w14:paraId="21B87336" w14:textId="3037EDBA" w:rsidR="00CD52BA" w:rsidRPr="00457667" w:rsidRDefault="00CD52BA" w:rsidP="00CD52BA">
            <w:pPr>
              <w:spacing w:after="0" w:line="240" w:lineRule="auto"/>
              <w:jc w:val="center"/>
              <w:rPr>
                <w:rFonts w:ascii="Arial" w:eastAsia="Times New Roman" w:hAnsi="Arial" w:cs="Arial"/>
                <w:sz w:val="14"/>
                <w:szCs w:val="14"/>
                <w:lang w:eastAsia="pt-BR"/>
              </w:rPr>
            </w:pPr>
            <w:r w:rsidRPr="00457667">
              <w:rPr>
                <w:rFonts w:ascii="Arial" w:eastAsia="Times New Roman" w:hAnsi="Arial" w:cs="Arial"/>
                <w:sz w:val="14"/>
                <w:szCs w:val="14"/>
                <w:lang w:eastAsia="pt-BR"/>
              </w:rPr>
              <w:t>PDF</w:t>
            </w:r>
          </w:p>
        </w:tc>
        <w:tc>
          <w:tcPr>
            <w:tcW w:w="992" w:type="dxa"/>
            <w:vAlign w:val="center"/>
          </w:tcPr>
          <w:p w14:paraId="3C2890E5" w14:textId="6CA7D16F" w:rsidR="00CD52BA" w:rsidRPr="00457667" w:rsidRDefault="00CD52BA" w:rsidP="00CD52BA">
            <w:pPr>
              <w:spacing w:after="0" w:line="240" w:lineRule="auto"/>
              <w:jc w:val="center"/>
              <w:rPr>
                <w:rFonts w:ascii="Arial" w:eastAsia="Times New Roman" w:hAnsi="Arial" w:cs="Arial"/>
                <w:sz w:val="14"/>
                <w:szCs w:val="14"/>
                <w:lang w:eastAsia="pt-BR"/>
              </w:rPr>
            </w:pPr>
            <w:r w:rsidRPr="00457667">
              <w:rPr>
                <w:rFonts w:ascii="Arial" w:eastAsia="Times New Roman" w:hAnsi="Arial" w:cs="Arial"/>
                <w:sz w:val="14"/>
                <w:szCs w:val="14"/>
                <w:lang w:eastAsia="pt-BR"/>
              </w:rPr>
              <w:t>X</w:t>
            </w:r>
          </w:p>
        </w:tc>
        <w:tc>
          <w:tcPr>
            <w:tcW w:w="992" w:type="dxa"/>
            <w:vAlign w:val="center"/>
          </w:tcPr>
          <w:p w14:paraId="7B4B7675" w14:textId="7D1A797F" w:rsidR="00CD52BA" w:rsidRPr="00457667" w:rsidRDefault="00CD52BA" w:rsidP="00CD52BA">
            <w:pPr>
              <w:spacing w:after="0" w:line="240" w:lineRule="auto"/>
              <w:jc w:val="center"/>
              <w:rPr>
                <w:rFonts w:ascii="Arial" w:eastAsia="Times New Roman" w:hAnsi="Arial" w:cs="Arial"/>
                <w:sz w:val="14"/>
                <w:szCs w:val="14"/>
                <w:lang w:eastAsia="pt-BR"/>
              </w:rPr>
            </w:pPr>
            <w:r w:rsidRPr="00457667">
              <w:rPr>
                <w:rFonts w:ascii="Arial" w:eastAsia="Times New Roman" w:hAnsi="Arial" w:cs="Arial"/>
                <w:sz w:val="14"/>
                <w:szCs w:val="14"/>
                <w:lang w:eastAsia="pt-BR"/>
              </w:rPr>
              <w:t>X</w:t>
            </w:r>
          </w:p>
        </w:tc>
        <w:tc>
          <w:tcPr>
            <w:tcW w:w="851" w:type="dxa"/>
            <w:vAlign w:val="center"/>
          </w:tcPr>
          <w:p w14:paraId="190C5B78" w14:textId="7BB3E5CF" w:rsidR="00CD52BA" w:rsidRPr="00457667" w:rsidRDefault="00CD52BA" w:rsidP="00CD52BA">
            <w:pPr>
              <w:spacing w:after="0" w:line="240" w:lineRule="auto"/>
              <w:jc w:val="center"/>
              <w:rPr>
                <w:rFonts w:ascii="Arial" w:eastAsia="Times New Roman" w:hAnsi="Arial" w:cs="Arial"/>
                <w:sz w:val="14"/>
                <w:szCs w:val="14"/>
                <w:lang w:eastAsia="pt-BR"/>
              </w:rPr>
            </w:pPr>
            <w:r w:rsidRPr="00457667">
              <w:rPr>
                <w:rFonts w:ascii="Arial" w:eastAsia="Times New Roman" w:hAnsi="Arial" w:cs="Arial"/>
                <w:sz w:val="14"/>
                <w:szCs w:val="14"/>
                <w:lang w:eastAsia="pt-BR"/>
              </w:rPr>
              <w:t>X</w:t>
            </w:r>
          </w:p>
        </w:tc>
        <w:tc>
          <w:tcPr>
            <w:tcW w:w="850" w:type="dxa"/>
            <w:vAlign w:val="center"/>
          </w:tcPr>
          <w:p w14:paraId="0A1DD2E7" w14:textId="3F842CF6" w:rsidR="00CD52BA" w:rsidRPr="00457667" w:rsidRDefault="00CD52BA" w:rsidP="00CD52BA">
            <w:pPr>
              <w:spacing w:after="0" w:line="240" w:lineRule="auto"/>
              <w:jc w:val="center"/>
              <w:rPr>
                <w:rFonts w:ascii="Arial" w:eastAsia="Times New Roman" w:hAnsi="Arial" w:cs="Arial"/>
                <w:sz w:val="14"/>
                <w:szCs w:val="14"/>
                <w:lang w:eastAsia="pt-BR"/>
              </w:rPr>
            </w:pPr>
            <w:r w:rsidRPr="00457667">
              <w:rPr>
                <w:rFonts w:ascii="Arial" w:eastAsia="Times New Roman" w:hAnsi="Arial" w:cs="Arial"/>
                <w:sz w:val="14"/>
                <w:szCs w:val="14"/>
                <w:lang w:eastAsia="pt-BR"/>
              </w:rPr>
              <w:t>X</w:t>
            </w:r>
          </w:p>
        </w:tc>
        <w:tc>
          <w:tcPr>
            <w:tcW w:w="851" w:type="dxa"/>
            <w:vAlign w:val="center"/>
          </w:tcPr>
          <w:p w14:paraId="3530A642" w14:textId="4CBDAF76" w:rsidR="00CD52BA" w:rsidRPr="00457667" w:rsidRDefault="00CD52BA" w:rsidP="00CD52BA">
            <w:pPr>
              <w:spacing w:after="0" w:line="240" w:lineRule="auto"/>
              <w:jc w:val="center"/>
              <w:rPr>
                <w:rFonts w:ascii="Arial" w:eastAsia="Times New Roman" w:hAnsi="Arial" w:cs="Arial"/>
                <w:sz w:val="14"/>
                <w:szCs w:val="14"/>
                <w:lang w:eastAsia="pt-BR"/>
              </w:rPr>
            </w:pPr>
            <w:r w:rsidRPr="00457667">
              <w:rPr>
                <w:rFonts w:ascii="Arial" w:eastAsia="Times New Roman" w:hAnsi="Arial" w:cs="Arial"/>
                <w:sz w:val="14"/>
                <w:szCs w:val="14"/>
                <w:lang w:eastAsia="pt-BR"/>
              </w:rPr>
              <w:t>X</w:t>
            </w:r>
          </w:p>
        </w:tc>
      </w:tr>
      <w:tr w:rsidR="00CD52BA" w:rsidRPr="00457667" w14:paraId="0BA362C2" w14:textId="77777777" w:rsidTr="000065F5">
        <w:tc>
          <w:tcPr>
            <w:tcW w:w="1294" w:type="dxa"/>
            <w:vAlign w:val="center"/>
          </w:tcPr>
          <w:p w14:paraId="2A650C7A" w14:textId="2A35F30E" w:rsidR="00CD52BA" w:rsidRPr="00457667" w:rsidRDefault="00CD52BA" w:rsidP="00CD52BA">
            <w:pPr>
              <w:spacing w:after="0" w:line="240" w:lineRule="auto"/>
              <w:jc w:val="center"/>
              <w:rPr>
                <w:rFonts w:ascii="Arial" w:eastAsia="Times New Roman" w:hAnsi="Arial" w:cs="Arial"/>
                <w:sz w:val="18"/>
                <w:szCs w:val="18"/>
                <w:lang w:eastAsia="pt-BR"/>
              </w:rPr>
            </w:pPr>
            <w:r w:rsidRPr="00457667">
              <w:rPr>
                <w:rFonts w:ascii="Arial" w:eastAsia="Arial" w:hAnsi="Arial" w:cs="Arial"/>
                <w:sz w:val="18"/>
              </w:rPr>
              <w:t>JUSTCRO</w:t>
            </w:r>
          </w:p>
        </w:tc>
        <w:tc>
          <w:tcPr>
            <w:tcW w:w="7206" w:type="dxa"/>
            <w:shd w:val="clear" w:color="auto" w:fill="auto"/>
            <w:vAlign w:val="center"/>
          </w:tcPr>
          <w:p w14:paraId="019C5D7F" w14:textId="72BA240B" w:rsidR="00CD52BA" w:rsidRPr="00457667" w:rsidRDefault="00CD52BA" w:rsidP="00CD52BA">
            <w:pPr>
              <w:pStyle w:val="TableParagraph"/>
              <w:spacing w:before="120" w:after="120"/>
              <w:ind w:left="102" w:right="111"/>
              <w:rPr>
                <w:rFonts w:ascii="Arial" w:hAnsi="Arial" w:cs="Arial"/>
                <w:sz w:val="18"/>
                <w:szCs w:val="18"/>
                <w:lang w:val="pt-BR"/>
              </w:rPr>
            </w:pPr>
            <w:r w:rsidRPr="005B7FCC">
              <w:rPr>
                <w:rFonts w:ascii="Arial" w:eastAsia="Times New Roman" w:hAnsi="Arial" w:cs="Arial"/>
                <w:sz w:val="18"/>
                <w:szCs w:val="18"/>
                <w:lang w:val="pt-BR" w:eastAsia="pt-BR"/>
              </w:rPr>
              <w:t>Justificativas da autoridade competente evidenciando as relevantes razões de interesse público para todos os pagamentos que inobservaram a estrita ordem cronológica das datas de suas exigibilidades, para cada fonte diferenciada de recursos, acompanhadas de suas respectivas publicações no exercício.</w:t>
            </w:r>
          </w:p>
        </w:tc>
        <w:tc>
          <w:tcPr>
            <w:tcW w:w="993" w:type="dxa"/>
            <w:shd w:val="clear" w:color="auto" w:fill="auto"/>
            <w:vAlign w:val="center"/>
          </w:tcPr>
          <w:p w14:paraId="66BB74F3" w14:textId="6A05B088" w:rsidR="00CD52BA" w:rsidRPr="00457667" w:rsidRDefault="00CD52BA" w:rsidP="00CD52BA">
            <w:pPr>
              <w:spacing w:after="0" w:line="240" w:lineRule="auto"/>
              <w:jc w:val="center"/>
              <w:rPr>
                <w:rFonts w:ascii="Arial" w:eastAsia="Times New Roman" w:hAnsi="Arial" w:cs="Arial"/>
                <w:sz w:val="14"/>
                <w:szCs w:val="14"/>
                <w:lang w:eastAsia="pt-BR"/>
              </w:rPr>
            </w:pPr>
            <w:r w:rsidRPr="00457667">
              <w:rPr>
                <w:rFonts w:ascii="Arial" w:eastAsia="Times New Roman" w:hAnsi="Arial" w:cs="Arial"/>
                <w:sz w:val="14"/>
                <w:szCs w:val="14"/>
                <w:lang w:eastAsia="pt-BR"/>
              </w:rPr>
              <w:t>PDF</w:t>
            </w:r>
          </w:p>
        </w:tc>
        <w:tc>
          <w:tcPr>
            <w:tcW w:w="992" w:type="dxa"/>
            <w:vAlign w:val="center"/>
          </w:tcPr>
          <w:p w14:paraId="408287BD" w14:textId="77523907" w:rsidR="00CD52BA" w:rsidRPr="00457667" w:rsidRDefault="00CD52BA" w:rsidP="00CD52BA">
            <w:pPr>
              <w:spacing w:after="0" w:line="240" w:lineRule="auto"/>
              <w:jc w:val="center"/>
              <w:rPr>
                <w:rFonts w:ascii="Arial" w:eastAsia="Times New Roman" w:hAnsi="Arial" w:cs="Arial"/>
                <w:sz w:val="14"/>
                <w:szCs w:val="14"/>
                <w:lang w:eastAsia="pt-BR"/>
              </w:rPr>
            </w:pPr>
            <w:r w:rsidRPr="00457667">
              <w:rPr>
                <w:rFonts w:ascii="Arial" w:eastAsia="Times New Roman" w:hAnsi="Arial" w:cs="Arial"/>
                <w:sz w:val="14"/>
                <w:szCs w:val="14"/>
                <w:lang w:eastAsia="pt-BR"/>
              </w:rPr>
              <w:t>X</w:t>
            </w:r>
          </w:p>
        </w:tc>
        <w:tc>
          <w:tcPr>
            <w:tcW w:w="992" w:type="dxa"/>
            <w:vAlign w:val="center"/>
          </w:tcPr>
          <w:p w14:paraId="6A9E2D75" w14:textId="2862C9C4" w:rsidR="00CD52BA" w:rsidRPr="00457667" w:rsidRDefault="00CD52BA" w:rsidP="00CD52BA">
            <w:pPr>
              <w:spacing w:after="0" w:line="240" w:lineRule="auto"/>
              <w:jc w:val="center"/>
              <w:rPr>
                <w:rFonts w:ascii="Arial" w:eastAsia="Times New Roman" w:hAnsi="Arial" w:cs="Arial"/>
                <w:sz w:val="14"/>
                <w:szCs w:val="14"/>
                <w:lang w:eastAsia="pt-BR"/>
              </w:rPr>
            </w:pPr>
            <w:r w:rsidRPr="00457667">
              <w:rPr>
                <w:rFonts w:ascii="Arial" w:eastAsia="Times New Roman" w:hAnsi="Arial" w:cs="Arial"/>
                <w:sz w:val="14"/>
                <w:szCs w:val="14"/>
                <w:lang w:eastAsia="pt-BR"/>
              </w:rPr>
              <w:t>X</w:t>
            </w:r>
          </w:p>
        </w:tc>
        <w:tc>
          <w:tcPr>
            <w:tcW w:w="851" w:type="dxa"/>
            <w:vAlign w:val="center"/>
          </w:tcPr>
          <w:p w14:paraId="5142CC80" w14:textId="70E3205E" w:rsidR="00CD52BA" w:rsidRPr="00457667" w:rsidRDefault="00CD52BA" w:rsidP="00CD52BA">
            <w:pPr>
              <w:spacing w:after="0" w:line="240" w:lineRule="auto"/>
              <w:jc w:val="center"/>
              <w:rPr>
                <w:rFonts w:ascii="Arial" w:eastAsia="Times New Roman" w:hAnsi="Arial" w:cs="Arial"/>
                <w:sz w:val="14"/>
                <w:szCs w:val="14"/>
                <w:lang w:eastAsia="pt-BR"/>
              </w:rPr>
            </w:pPr>
            <w:r w:rsidRPr="00457667">
              <w:rPr>
                <w:rFonts w:ascii="Arial" w:eastAsia="Times New Roman" w:hAnsi="Arial" w:cs="Arial"/>
                <w:sz w:val="14"/>
                <w:szCs w:val="14"/>
                <w:lang w:eastAsia="pt-BR"/>
              </w:rPr>
              <w:t>X</w:t>
            </w:r>
          </w:p>
        </w:tc>
        <w:tc>
          <w:tcPr>
            <w:tcW w:w="850" w:type="dxa"/>
            <w:vAlign w:val="center"/>
          </w:tcPr>
          <w:p w14:paraId="0AAC3307" w14:textId="545DB0E1" w:rsidR="00CD52BA" w:rsidRPr="00457667" w:rsidRDefault="00CD52BA" w:rsidP="00CD52BA">
            <w:pPr>
              <w:spacing w:after="0" w:line="240" w:lineRule="auto"/>
              <w:jc w:val="center"/>
              <w:rPr>
                <w:rFonts w:ascii="Arial" w:eastAsia="Times New Roman" w:hAnsi="Arial" w:cs="Arial"/>
                <w:sz w:val="14"/>
                <w:szCs w:val="14"/>
                <w:lang w:eastAsia="pt-BR"/>
              </w:rPr>
            </w:pPr>
            <w:r w:rsidRPr="00457667">
              <w:rPr>
                <w:rFonts w:ascii="Arial" w:eastAsia="Times New Roman" w:hAnsi="Arial" w:cs="Arial"/>
                <w:sz w:val="14"/>
                <w:szCs w:val="14"/>
                <w:lang w:eastAsia="pt-BR"/>
              </w:rPr>
              <w:t>X</w:t>
            </w:r>
          </w:p>
        </w:tc>
        <w:tc>
          <w:tcPr>
            <w:tcW w:w="851" w:type="dxa"/>
            <w:vAlign w:val="center"/>
          </w:tcPr>
          <w:p w14:paraId="0B2E55EF" w14:textId="295795F6" w:rsidR="00CD52BA" w:rsidRPr="00457667" w:rsidRDefault="00CD52BA" w:rsidP="00CD52BA">
            <w:pPr>
              <w:spacing w:after="0" w:line="240" w:lineRule="auto"/>
              <w:jc w:val="center"/>
              <w:rPr>
                <w:rFonts w:ascii="Arial" w:eastAsia="Times New Roman" w:hAnsi="Arial" w:cs="Arial"/>
                <w:sz w:val="14"/>
                <w:szCs w:val="14"/>
                <w:lang w:eastAsia="pt-BR"/>
              </w:rPr>
            </w:pPr>
            <w:r w:rsidRPr="00457667">
              <w:rPr>
                <w:rFonts w:ascii="Arial" w:eastAsia="Times New Roman" w:hAnsi="Arial" w:cs="Arial"/>
                <w:sz w:val="14"/>
                <w:szCs w:val="14"/>
                <w:lang w:eastAsia="pt-BR"/>
              </w:rPr>
              <w:t>X</w:t>
            </w:r>
          </w:p>
        </w:tc>
      </w:tr>
      <w:tr w:rsidR="00CD52BA" w:rsidRPr="00457667" w14:paraId="53277021" w14:textId="77777777" w:rsidTr="000065F5">
        <w:tc>
          <w:tcPr>
            <w:tcW w:w="1294" w:type="dxa"/>
            <w:vAlign w:val="center"/>
          </w:tcPr>
          <w:p w14:paraId="547AEBAE" w14:textId="77777777" w:rsidR="00CD52BA" w:rsidRPr="00457667" w:rsidRDefault="00CD52BA" w:rsidP="00CD52BA">
            <w:pPr>
              <w:spacing w:after="0" w:line="240" w:lineRule="auto"/>
              <w:jc w:val="center"/>
              <w:rPr>
                <w:rFonts w:ascii="Arial" w:eastAsia="Times New Roman" w:hAnsi="Arial" w:cs="Arial"/>
                <w:sz w:val="18"/>
                <w:szCs w:val="18"/>
                <w:lang w:eastAsia="pt-BR"/>
              </w:rPr>
            </w:pPr>
            <w:r w:rsidRPr="00457667">
              <w:rPr>
                <w:rFonts w:ascii="Arial" w:eastAsia="Times New Roman" w:hAnsi="Arial" w:cs="Arial"/>
                <w:sz w:val="18"/>
                <w:szCs w:val="18"/>
                <w:lang w:eastAsia="pt-BR"/>
              </w:rPr>
              <w:t>DOCSPAR</w:t>
            </w:r>
          </w:p>
        </w:tc>
        <w:tc>
          <w:tcPr>
            <w:tcW w:w="7206" w:type="dxa"/>
            <w:shd w:val="clear" w:color="auto" w:fill="auto"/>
            <w:vAlign w:val="center"/>
          </w:tcPr>
          <w:p w14:paraId="0AB04B74" w14:textId="77777777" w:rsidR="00CD52BA" w:rsidRPr="00457667" w:rsidRDefault="00CD52BA" w:rsidP="00CD52BA">
            <w:pPr>
              <w:pStyle w:val="TableParagraph"/>
              <w:spacing w:before="120" w:after="120"/>
              <w:ind w:left="102" w:right="111"/>
              <w:rPr>
                <w:rFonts w:ascii="Arial" w:hAnsi="Arial" w:cs="Arial"/>
                <w:sz w:val="18"/>
                <w:szCs w:val="18"/>
                <w:lang w:val="pt-BR"/>
              </w:rPr>
            </w:pPr>
            <w:r w:rsidRPr="00457667">
              <w:rPr>
                <w:rFonts w:ascii="Arial" w:hAnsi="Arial" w:cs="Arial"/>
                <w:sz w:val="18"/>
                <w:szCs w:val="18"/>
                <w:lang w:val="pt-BR"/>
              </w:rPr>
              <w:t>Documentação relativa a cada extrato de parcelamento vigente junto ao RPPS, na data de encerramento do exercício. São de envio obrigatório para cada extrato de parcelamento informado no arquivo RELPAR: lei autorizativa, termo de acordo de parcelamento assinado pelas partes e suas alterações, caso tenham ocorrido, e o demonstrativo consolidado do parcelamento – DCP.</w:t>
            </w:r>
          </w:p>
        </w:tc>
        <w:tc>
          <w:tcPr>
            <w:tcW w:w="993" w:type="dxa"/>
            <w:shd w:val="clear" w:color="auto" w:fill="auto"/>
            <w:vAlign w:val="center"/>
          </w:tcPr>
          <w:p w14:paraId="284B616E" w14:textId="77777777" w:rsidR="00CD52BA" w:rsidRPr="00457667" w:rsidRDefault="00CD52BA" w:rsidP="00CD52BA">
            <w:pPr>
              <w:spacing w:after="0" w:line="240" w:lineRule="auto"/>
              <w:jc w:val="center"/>
              <w:rPr>
                <w:rFonts w:ascii="Arial" w:eastAsia="Times New Roman" w:hAnsi="Arial" w:cs="Arial"/>
                <w:sz w:val="14"/>
                <w:szCs w:val="14"/>
                <w:lang w:eastAsia="pt-BR"/>
              </w:rPr>
            </w:pPr>
            <w:r w:rsidRPr="00457667">
              <w:rPr>
                <w:rFonts w:ascii="Arial" w:eastAsia="Times New Roman" w:hAnsi="Arial" w:cs="Arial"/>
                <w:sz w:val="14"/>
                <w:szCs w:val="14"/>
                <w:lang w:eastAsia="pt-BR"/>
              </w:rPr>
              <w:t>PDF</w:t>
            </w:r>
          </w:p>
        </w:tc>
        <w:tc>
          <w:tcPr>
            <w:tcW w:w="992" w:type="dxa"/>
            <w:vAlign w:val="center"/>
          </w:tcPr>
          <w:p w14:paraId="6EE58CF4" w14:textId="77777777" w:rsidR="00CD52BA" w:rsidRPr="00457667" w:rsidRDefault="00CD52BA" w:rsidP="00CD52BA">
            <w:pPr>
              <w:spacing w:after="0" w:line="240" w:lineRule="auto"/>
              <w:jc w:val="center"/>
              <w:rPr>
                <w:rFonts w:ascii="Arial" w:eastAsia="Times New Roman" w:hAnsi="Arial" w:cs="Arial"/>
                <w:sz w:val="14"/>
                <w:szCs w:val="14"/>
                <w:lang w:eastAsia="pt-BR"/>
              </w:rPr>
            </w:pPr>
            <w:r w:rsidRPr="00457667">
              <w:rPr>
                <w:rFonts w:ascii="Arial" w:eastAsia="Times New Roman" w:hAnsi="Arial" w:cs="Arial"/>
                <w:sz w:val="14"/>
                <w:szCs w:val="14"/>
                <w:lang w:eastAsia="pt-BR"/>
              </w:rPr>
              <w:t>X</w:t>
            </w:r>
          </w:p>
        </w:tc>
        <w:tc>
          <w:tcPr>
            <w:tcW w:w="992" w:type="dxa"/>
            <w:vAlign w:val="center"/>
          </w:tcPr>
          <w:p w14:paraId="775D5E3B" w14:textId="77777777" w:rsidR="00CD52BA" w:rsidRPr="00457667" w:rsidRDefault="00CD52BA" w:rsidP="00CD52BA">
            <w:pPr>
              <w:spacing w:after="0" w:line="240" w:lineRule="auto"/>
              <w:jc w:val="center"/>
              <w:rPr>
                <w:rFonts w:ascii="Arial" w:eastAsia="Times New Roman" w:hAnsi="Arial" w:cs="Arial"/>
                <w:sz w:val="14"/>
                <w:szCs w:val="14"/>
                <w:lang w:eastAsia="pt-BR"/>
              </w:rPr>
            </w:pPr>
            <w:r w:rsidRPr="00457667">
              <w:rPr>
                <w:rFonts w:ascii="Arial" w:eastAsia="Times New Roman" w:hAnsi="Arial" w:cs="Arial"/>
                <w:sz w:val="14"/>
                <w:szCs w:val="14"/>
                <w:lang w:eastAsia="pt-BR"/>
              </w:rPr>
              <w:t>X</w:t>
            </w:r>
          </w:p>
        </w:tc>
        <w:tc>
          <w:tcPr>
            <w:tcW w:w="851" w:type="dxa"/>
            <w:vAlign w:val="center"/>
          </w:tcPr>
          <w:p w14:paraId="53F4E55C" w14:textId="77777777" w:rsidR="00CD52BA" w:rsidRPr="00457667" w:rsidRDefault="00CD52BA" w:rsidP="00CD52BA">
            <w:pPr>
              <w:spacing w:after="0" w:line="240" w:lineRule="auto"/>
              <w:jc w:val="center"/>
              <w:rPr>
                <w:rFonts w:ascii="Arial" w:eastAsia="Times New Roman" w:hAnsi="Arial" w:cs="Arial"/>
                <w:sz w:val="14"/>
                <w:szCs w:val="14"/>
                <w:lang w:eastAsia="pt-BR"/>
              </w:rPr>
            </w:pPr>
            <w:r w:rsidRPr="00457667">
              <w:rPr>
                <w:rFonts w:ascii="Arial" w:eastAsia="Times New Roman" w:hAnsi="Arial" w:cs="Arial"/>
                <w:sz w:val="14"/>
                <w:szCs w:val="14"/>
                <w:lang w:eastAsia="pt-BR"/>
              </w:rPr>
              <w:t>X</w:t>
            </w:r>
          </w:p>
        </w:tc>
        <w:tc>
          <w:tcPr>
            <w:tcW w:w="850" w:type="dxa"/>
            <w:vAlign w:val="center"/>
          </w:tcPr>
          <w:p w14:paraId="750FD1DC" w14:textId="77777777" w:rsidR="00CD52BA" w:rsidRPr="00457667" w:rsidRDefault="00CD52BA" w:rsidP="00CD52BA">
            <w:pPr>
              <w:spacing w:after="0" w:line="240" w:lineRule="auto"/>
              <w:jc w:val="center"/>
              <w:rPr>
                <w:rFonts w:ascii="Arial" w:eastAsia="Times New Roman" w:hAnsi="Arial" w:cs="Arial"/>
                <w:sz w:val="14"/>
                <w:szCs w:val="14"/>
                <w:lang w:eastAsia="pt-BR"/>
              </w:rPr>
            </w:pPr>
            <w:r w:rsidRPr="00457667">
              <w:rPr>
                <w:rFonts w:ascii="Arial" w:eastAsia="Times New Roman" w:hAnsi="Arial" w:cs="Arial"/>
                <w:sz w:val="14"/>
                <w:szCs w:val="14"/>
                <w:lang w:eastAsia="pt-BR"/>
              </w:rPr>
              <w:t>X</w:t>
            </w:r>
          </w:p>
        </w:tc>
        <w:tc>
          <w:tcPr>
            <w:tcW w:w="851" w:type="dxa"/>
            <w:vAlign w:val="center"/>
          </w:tcPr>
          <w:p w14:paraId="7AF2E426" w14:textId="77777777" w:rsidR="00CD52BA" w:rsidRPr="00457667" w:rsidRDefault="00CD52BA" w:rsidP="00CD52BA">
            <w:pPr>
              <w:spacing w:after="0" w:line="240" w:lineRule="auto"/>
              <w:jc w:val="center"/>
              <w:rPr>
                <w:rFonts w:ascii="Arial" w:eastAsia="Times New Roman" w:hAnsi="Arial" w:cs="Arial"/>
                <w:sz w:val="14"/>
                <w:szCs w:val="14"/>
                <w:lang w:eastAsia="pt-BR"/>
              </w:rPr>
            </w:pPr>
            <w:r w:rsidRPr="00457667">
              <w:rPr>
                <w:rFonts w:ascii="Arial" w:eastAsia="Times New Roman" w:hAnsi="Arial" w:cs="Arial"/>
                <w:sz w:val="14"/>
                <w:szCs w:val="14"/>
                <w:lang w:eastAsia="pt-BR"/>
              </w:rPr>
              <w:t>X</w:t>
            </w:r>
          </w:p>
        </w:tc>
      </w:tr>
      <w:tr w:rsidR="00CD52BA" w:rsidRPr="00457667" w14:paraId="620E5328" w14:textId="77777777" w:rsidTr="000065F5">
        <w:tc>
          <w:tcPr>
            <w:tcW w:w="1294" w:type="dxa"/>
            <w:vAlign w:val="center"/>
          </w:tcPr>
          <w:p w14:paraId="2B05723D" w14:textId="77F53201" w:rsidR="00CD52BA" w:rsidRPr="00457667" w:rsidRDefault="00CD52BA" w:rsidP="00CD52BA">
            <w:pPr>
              <w:spacing w:after="0" w:line="240" w:lineRule="auto"/>
              <w:jc w:val="center"/>
              <w:rPr>
                <w:rFonts w:ascii="Arial" w:eastAsia="Times New Roman" w:hAnsi="Arial" w:cs="Arial"/>
                <w:sz w:val="18"/>
                <w:szCs w:val="18"/>
                <w:lang w:eastAsia="pt-BR"/>
              </w:rPr>
            </w:pPr>
            <w:r w:rsidRPr="00457667">
              <w:rPr>
                <w:rFonts w:ascii="Arial" w:eastAsia="Times New Roman" w:hAnsi="Arial" w:cs="Arial"/>
                <w:sz w:val="18"/>
                <w:szCs w:val="18"/>
                <w:lang w:eastAsia="pt-BR"/>
              </w:rPr>
              <w:t>NOTAEXP</w:t>
            </w:r>
          </w:p>
        </w:tc>
        <w:tc>
          <w:tcPr>
            <w:tcW w:w="7206" w:type="dxa"/>
            <w:shd w:val="clear" w:color="auto" w:fill="auto"/>
            <w:vAlign w:val="center"/>
          </w:tcPr>
          <w:p w14:paraId="7B204E1E" w14:textId="77777777" w:rsidR="00CD52BA" w:rsidRPr="00457667" w:rsidRDefault="00CD52BA" w:rsidP="00CD52BA">
            <w:pPr>
              <w:pStyle w:val="TableParagraph"/>
              <w:spacing w:before="120" w:after="120"/>
              <w:ind w:left="102" w:right="111"/>
              <w:jc w:val="both"/>
              <w:rPr>
                <w:rFonts w:ascii="Arial" w:hAnsi="Arial" w:cs="Arial"/>
                <w:sz w:val="18"/>
                <w:szCs w:val="18"/>
                <w:lang w:val="pt-BR"/>
              </w:rPr>
            </w:pPr>
            <w:r w:rsidRPr="00457667">
              <w:rPr>
                <w:rFonts w:ascii="Arial" w:hAnsi="Arial" w:cs="Arial"/>
                <w:sz w:val="18"/>
                <w:szCs w:val="18"/>
                <w:lang w:val="pt-BR"/>
              </w:rPr>
              <w:t xml:space="preserve">Notas Explicativas às Demonstrações Contábeis, conforme layout constante do item </w:t>
            </w:r>
            <w:r w:rsidRPr="00457667">
              <w:rPr>
                <w:rFonts w:ascii="Arial" w:hAnsi="Arial" w:cs="Arial"/>
                <w:sz w:val="18"/>
                <w:szCs w:val="18"/>
                <w:lang w:val="pt-BR"/>
              </w:rPr>
              <w:lastRenderedPageBreak/>
              <w:t>3.1 deste Anexo, contendo:</w:t>
            </w:r>
          </w:p>
          <w:p w14:paraId="2161D0AF" w14:textId="77777777" w:rsidR="00CD52BA" w:rsidRPr="00457667" w:rsidRDefault="00CD52BA" w:rsidP="005C719B">
            <w:pPr>
              <w:pStyle w:val="PargrafodaLista"/>
              <w:numPr>
                <w:ilvl w:val="0"/>
                <w:numId w:val="35"/>
              </w:numPr>
              <w:spacing w:before="120" w:after="120" w:line="240" w:lineRule="auto"/>
              <w:ind w:left="822"/>
              <w:contextualSpacing w:val="0"/>
              <w:jc w:val="both"/>
              <w:rPr>
                <w:rFonts w:ascii="Arial" w:hAnsi="Arial" w:cs="Arial"/>
                <w:sz w:val="18"/>
                <w:szCs w:val="18"/>
              </w:rPr>
            </w:pPr>
            <w:r w:rsidRPr="00457667">
              <w:rPr>
                <w:rFonts w:ascii="Arial" w:hAnsi="Arial" w:cs="Arial"/>
                <w:sz w:val="18"/>
                <w:szCs w:val="18"/>
              </w:rPr>
              <w:t>Informações gerais da entidade: natureza jurídica, natureza das operações, atividades desempenhadas, lei de instituição, conforme o caso, e declaração de conformidade com leis e normas de contabilidade aplicáveis;</w:t>
            </w:r>
          </w:p>
          <w:p w14:paraId="408F7FBF" w14:textId="77777777" w:rsidR="00CD52BA" w:rsidRPr="00457667" w:rsidRDefault="00CD52BA" w:rsidP="005C719B">
            <w:pPr>
              <w:pStyle w:val="PargrafodaLista"/>
              <w:numPr>
                <w:ilvl w:val="0"/>
                <w:numId w:val="35"/>
              </w:numPr>
              <w:spacing w:before="120" w:after="120" w:line="240" w:lineRule="auto"/>
              <w:ind w:left="822"/>
              <w:contextualSpacing w:val="0"/>
              <w:jc w:val="both"/>
              <w:rPr>
                <w:rFonts w:ascii="Arial" w:hAnsi="Arial" w:cs="Arial"/>
                <w:sz w:val="18"/>
                <w:szCs w:val="18"/>
              </w:rPr>
            </w:pPr>
            <w:r w:rsidRPr="00457667">
              <w:rPr>
                <w:rFonts w:ascii="Arial" w:hAnsi="Arial" w:cs="Arial"/>
                <w:sz w:val="18"/>
                <w:szCs w:val="18"/>
              </w:rPr>
              <w:t>Resumo das Políticas Contábeis relevantes: base de mensuração utilizada, adoção de novas políticas contábeis;</w:t>
            </w:r>
          </w:p>
          <w:p w14:paraId="5C24A8BD" w14:textId="77777777" w:rsidR="00CD52BA" w:rsidRPr="00457667" w:rsidRDefault="00CD52BA" w:rsidP="005C719B">
            <w:pPr>
              <w:pStyle w:val="PargrafodaLista"/>
              <w:numPr>
                <w:ilvl w:val="0"/>
                <w:numId w:val="35"/>
              </w:numPr>
              <w:spacing w:before="120" w:after="120" w:line="240" w:lineRule="auto"/>
              <w:ind w:left="822"/>
              <w:contextualSpacing w:val="0"/>
              <w:jc w:val="both"/>
              <w:rPr>
                <w:rFonts w:ascii="Arial" w:hAnsi="Arial" w:cs="Arial"/>
                <w:sz w:val="18"/>
                <w:szCs w:val="18"/>
              </w:rPr>
            </w:pPr>
            <w:r w:rsidRPr="00457667">
              <w:rPr>
                <w:rFonts w:ascii="Arial" w:hAnsi="Arial" w:cs="Arial"/>
                <w:sz w:val="18"/>
                <w:szCs w:val="18"/>
              </w:rPr>
              <w:t>Detalhamento de informações relevantes contidas nos Demonstrativos Contábeis;</w:t>
            </w:r>
          </w:p>
          <w:p w14:paraId="0355D440" w14:textId="056A3926" w:rsidR="00CD52BA" w:rsidRPr="00457667" w:rsidRDefault="00CD52BA" w:rsidP="005C719B">
            <w:pPr>
              <w:pStyle w:val="PargrafodaLista"/>
              <w:numPr>
                <w:ilvl w:val="0"/>
                <w:numId w:val="35"/>
              </w:numPr>
              <w:spacing w:before="120" w:after="120" w:line="240" w:lineRule="auto"/>
              <w:ind w:left="822"/>
              <w:contextualSpacing w:val="0"/>
              <w:jc w:val="both"/>
              <w:rPr>
                <w:rFonts w:ascii="Arial" w:eastAsia="Times New Roman" w:hAnsi="Arial" w:cs="Arial"/>
                <w:sz w:val="18"/>
                <w:szCs w:val="18"/>
                <w:lang w:eastAsia="pt-BR"/>
              </w:rPr>
            </w:pPr>
            <w:r w:rsidRPr="00457667">
              <w:rPr>
                <w:rFonts w:ascii="Arial" w:hAnsi="Arial" w:cs="Arial"/>
                <w:sz w:val="18"/>
                <w:szCs w:val="18"/>
              </w:rPr>
              <w:t>Demais informações relevantes: passivos contingentes e compromissos contratuais não reconhecidos; ajustes decorrentes de erros, etc.</w:t>
            </w:r>
          </w:p>
        </w:tc>
        <w:tc>
          <w:tcPr>
            <w:tcW w:w="993" w:type="dxa"/>
            <w:shd w:val="clear" w:color="auto" w:fill="auto"/>
            <w:vAlign w:val="center"/>
          </w:tcPr>
          <w:p w14:paraId="0EBC4C2E" w14:textId="5F87EA98" w:rsidR="00CD52BA" w:rsidRPr="00457667" w:rsidRDefault="00CD52BA" w:rsidP="00CD52BA">
            <w:pPr>
              <w:spacing w:after="0" w:line="240" w:lineRule="auto"/>
              <w:jc w:val="center"/>
              <w:rPr>
                <w:rFonts w:ascii="Arial" w:eastAsia="Times New Roman" w:hAnsi="Arial" w:cs="Arial"/>
                <w:sz w:val="14"/>
                <w:szCs w:val="14"/>
                <w:lang w:eastAsia="pt-BR"/>
              </w:rPr>
            </w:pPr>
            <w:r w:rsidRPr="00457667">
              <w:rPr>
                <w:rFonts w:ascii="Arial" w:eastAsia="Times New Roman" w:hAnsi="Arial" w:cs="Arial"/>
                <w:sz w:val="14"/>
                <w:szCs w:val="14"/>
                <w:lang w:eastAsia="pt-BR"/>
              </w:rPr>
              <w:lastRenderedPageBreak/>
              <w:t>XML</w:t>
            </w:r>
          </w:p>
        </w:tc>
        <w:tc>
          <w:tcPr>
            <w:tcW w:w="992" w:type="dxa"/>
            <w:vAlign w:val="center"/>
          </w:tcPr>
          <w:p w14:paraId="68C34BA3" w14:textId="321CD414" w:rsidR="00CD52BA" w:rsidRPr="00457667" w:rsidRDefault="00CD52BA" w:rsidP="00CD52BA">
            <w:pPr>
              <w:spacing w:after="0" w:line="240" w:lineRule="auto"/>
              <w:jc w:val="center"/>
              <w:rPr>
                <w:rFonts w:ascii="Arial" w:eastAsia="Times New Roman" w:hAnsi="Arial" w:cs="Arial"/>
                <w:sz w:val="14"/>
                <w:szCs w:val="14"/>
                <w:lang w:eastAsia="pt-BR"/>
              </w:rPr>
            </w:pPr>
            <w:r w:rsidRPr="00457667">
              <w:rPr>
                <w:rFonts w:ascii="Arial" w:eastAsia="Times New Roman" w:hAnsi="Arial" w:cs="Arial"/>
                <w:sz w:val="14"/>
                <w:szCs w:val="14"/>
                <w:lang w:eastAsia="pt-BR"/>
              </w:rPr>
              <w:t>X</w:t>
            </w:r>
          </w:p>
        </w:tc>
        <w:tc>
          <w:tcPr>
            <w:tcW w:w="992" w:type="dxa"/>
            <w:vAlign w:val="center"/>
          </w:tcPr>
          <w:p w14:paraId="27399EA2" w14:textId="13639232" w:rsidR="00CD52BA" w:rsidRPr="00457667" w:rsidRDefault="00CD52BA" w:rsidP="00CD52BA">
            <w:pPr>
              <w:spacing w:after="0" w:line="240" w:lineRule="auto"/>
              <w:jc w:val="center"/>
              <w:rPr>
                <w:rFonts w:ascii="Arial" w:eastAsia="Times New Roman" w:hAnsi="Arial" w:cs="Arial"/>
                <w:sz w:val="14"/>
                <w:szCs w:val="14"/>
                <w:lang w:eastAsia="pt-BR"/>
              </w:rPr>
            </w:pPr>
            <w:r w:rsidRPr="00457667">
              <w:rPr>
                <w:rFonts w:ascii="Arial" w:eastAsia="Times New Roman" w:hAnsi="Arial" w:cs="Arial"/>
                <w:sz w:val="14"/>
                <w:szCs w:val="14"/>
                <w:lang w:eastAsia="pt-BR"/>
              </w:rPr>
              <w:t>X</w:t>
            </w:r>
          </w:p>
        </w:tc>
        <w:tc>
          <w:tcPr>
            <w:tcW w:w="851" w:type="dxa"/>
            <w:vAlign w:val="center"/>
          </w:tcPr>
          <w:p w14:paraId="68876E56" w14:textId="1C6DC098" w:rsidR="00CD52BA" w:rsidRPr="00457667" w:rsidRDefault="00CD52BA" w:rsidP="00CD52BA">
            <w:pPr>
              <w:spacing w:after="0" w:line="240" w:lineRule="auto"/>
              <w:jc w:val="center"/>
              <w:rPr>
                <w:rFonts w:ascii="Arial" w:eastAsia="Times New Roman" w:hAnsi="Arial" w:cs="Arial"/>
                <w:sz w:val="14"/>
                <w:szCs w:val="14"/>
                <w:lang w:eastAsia="pt-BR"/>
              </w:rPr>
            </w:pPr>
            <w:r w:rsidRPr="00457667">
              <w:rPr>
                <w:rFonts w:ascii="Arial" w:eastAsia="Times New Roman" w:hAnsi="Arial" w:cs="Arial"/>
                <w:sz w:val="14"/>
                <w:szCs w:val="14"/>
                <w:lang w:eastAsia="pt-BR"/>
              </w:rPr>
              <w:t>X</w:t>
            </w:r>
          </w:p>
        </w:tc>
        <w:tc>
          <w:tcPr>
            <w:tcW w:w="850" w:type="dxa"/>
            <w:vAlign w:val="center"/>
          </w:tcPr>
          <w:p w14:paraId="2EA0D001" w14:textId="57E3E45D" w:rsidR="00CD52BA" w:rsidRPr="00457667" w:rsidRDefault="00CD52BA" w:rsidP="00CD52BA">
            <w:pPr>
              <w:spacing w:after="0" w:line="240" w:lineRule="auto"/>
              <w:jc w:val="center"/>
              <w:rPr>
                <w:rFonts w:ascii="Arial" w:eastAsia="Times New Roman" w:hAnsi="Arial" w:cs="Arial"/>
                <w:sz w:val="14"/>
                <w:szCs w:val="14"/>
                <w:lang w:eastAsia="pt-BR"/>
              </w:rPr>
            </w:pPr>
            <w:r w:rsidRPr="00457667">
              <w:rPr>
                <w:rFonts w:ascii="Arial" w:eastAsia="Times New Roman" w:hAnsi="Arial" w:cs="Arial"/>
                <w:sz w:val="14"/>
                <w:szCs w:val="14"/>
                <w:lang w:eastAsia="pt-BR"/>
              </w:rPr>
              <w:t>X</w:t>
            </w:r>
          </w:p>
        </w:tc>
        <w:tc>
          <w:tcPr>
            <w:tcW w:w="851" w:type="dxa"/>
            <w:vAlign w:val="center"/>
          </w:tcPr>
          <w:p w14:paraId="6A588C61" w14:textId="4DA3F604" w:rsidR="00CD52BA" w:rsidRPr="00457667" w:rsidRDefault="00CD52BA" w:rsidP="00CD52BA">
            <w:pPr>
              <w:spacing w:after="0" w:line="240" w:lineRule="auto"/>
              <w:jc w:val="center"/>
              <w:rPr>
                <w:rFonts w:ascii="Arial" w:eastAsia="Times New Roman" w:hAnsi="Arial" w:cs="Arial"/>
                <w:sz w:val="14"/>
                <w:szCs w:val="14"/>
                <w:lang w:eastAsia="pt-BR"/>
              </w:rPr>
            </w:pPr>
            <w:r w:rsidRPr="00457667">
              <w:rPr>
                <w:rFonts w:ascii="Arial" w:eastAsia="Times New Roman" w:hAnsi="Arial" w:cs="Arial"/>
                <w:sz w:val="14"/>
                <w:szCs w:val="14"/>
                <w:lang w:eastAsia="pt-BR"/>
              </w:rPr>
              <w:t>X</w:t>
            </w:r>
          </w:p>
        </w:tc>
      </w:tr>
      <w:tr w:rsidR="00CD52BA" w:rsidRPr="00A5490A" w14:paraId="077D10DB" w14:textId="77777777" w:rsidTr="000065F5">
        <w:tc>
          <w:tcPr>
            <w:tcW w:w="1294" w:type="dxa"/>
            <w:vAlign w:val="center"/>
          </w:tcPr>
          <w:p w14:paraId="5A991147" w14:textId="77777777" w:rsidR="00CD52BA" w:rsidRPr="003B4337" w:rsidRDefault="00CD52BA" w:rsidP="00CD52BA">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lastRenderedPageBreak/>
              <w:t>DOCSPCA</w:t>
            </w:r>
          </w:p>
        </w:tc>
        <w:tc>
          <w:tcPr>
            <w:tcW w:w="7206" w:type="dxa"/>
            <w:shd w:val="clear" w:color="auto" w:fill="auto"/>
            <w:vAlign w:val="center"/>
          </w:tcPr>
          <w:p w14:paraId="3D38B246" w14:textId="194FA8B7" w:rsidR="00CD52BA" w:rsidRPr="003B4337" w:rsidRDefault="00CD52BA" w:rsidP="00C30522">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Referência aos documentos não estruturados, constantes neste Anexo, bem como a justificativa de ausência para os arquivos não enviados. Estrutura e layout constantes do </w:t>
            </w:r>
            <w:r>
              <w:rPr>
                <w:rFonts w:ascii="Arial" w:eastAsia="Times New Roman" w:hAnsi="Arial" w:cs="Arial"/>
                <w:sz w:val="18"/>
                <w:szCs w:val="18"/>
                <w:lang w:eastAsia="pt-BR"/>
              </w:rPr>
              <w:t xml:space="preserve">item </w:t>
            </w:r>
            <w:r w:rsidR="00C30522">
              <w:rPr>
                <w:rFonts w:ascii="Arial" w:eastAsia="Times New Roman" w:hAnsi="Arial" w:cs="Arial"/>
                <w:sz w:val="18"/>
                <w:szCs w:val="18"/>
                <w:lang w:eastAsia="pt-BR"/>
              </w:rPr>
              <w:t>3.1</w:t>
            </w:r>
            <w:r>
              <w:rPr>
                <w:rFonts w:ascii="Arial" w:eastAsia="Times New Roman" w:hAnsi="Arial" w:cs="Arial"/>
                <w:sz w:val="18"/>
                <w:szCs w:val="18"/>
                <w:lang w:eastAsia="pt-BR"/>
              </w:rPr>
              <w:t xml:space="preserve"> deste Anexo.</w:t>
            </w:r>
          </w:p>
        </w:tc>
        <w:tc>
          <w:tcPr>
            <w:tcW w:w="993" w:type="dxa"/>
            <w:shd w:val="clear" w:color="auto" w:fill="auto"/>
            <w:vAlign w:val="center"/>
          </w:tcPr>
          <w:p w14:paraId="431C0D55" w14:textId="77777777" w:rsidR="00CD52BA" w:rsidRPr="003B4337" w:rsidRDefault="00CD52BA" w:rsidP="00CD52BA">
            <w:pPr>
              <w:spacing w:after="0" w:line="240" w:lineRule="auto"/>
              <w:jc w:val="center"/>
              <w:rPr>
                <w:rFonts w:ascii="Arial" w:eastAsia="Times New Roman" w:hAnsi="Arial" w:cs="Arial"/>
                <w:sz w:val="14"/>
                <w:szCs w:val="14"/>
                <w:lang w:eastAsia="pt-BR"/>
              </w:rPr>
            </w:pPr>
            <w:r w:rsidRPr="003B4337">
              <w:rPr>
                <w:rFonts w:ascii="Arial" w:eastAsia="Times New Roman" w:hAnsi="Arial" w:cs="Arial"/>
                <w:sz w:val="14"/>
                <w:szCs w:val="14"/>
                <w:lang w:eastAsia="pt-BR"/>
              </w:rPr>
              <w:t>XML</w:t>
            </w:r>
          </w:p>
        </w:tc>
        <w:tc>
          <w:tcPr>
            <w:tcW w:w="992" w:type="dxa"/>
            <w:vAlign w:val="center"/>
          </w:tcPr>
          <w:p w14:paraId="263850EB" w14:textId="77777777" w:rsidR="00CD52BA" w:rsidRPr="00CB55B0" w:rsidRDefault="00CD52BA" w:rsidP="00CD52BA">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vAlign w:val="center"/>
          </w:tcPr>
          <w:p w14:paraId="59851572" w14:textId="77777777" w:rsidR="00CD52BA" w:rsidRPr="00CB55B0" w:rsidRDefault="00CD52BA" w:rsidP="00CD52BA">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851" w:type="dxa"/>
            <w:vAlign w:val="center"/>
          </w:tcPr>
          <w:p w14:paraId="61949A97" w14:textId="77777777" w:rsidR="00CD52BA" w:rsidRPr="003B4337" w:rsidRDefault="00CD52BA" w:rsidP="00CD52BA">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850" w:type="dxa"/>
            <w:vAlign w:val="center"/>
          </w:tcPr>
          <w:p w14:paraId="1CFB8D71" w14:textId="77777777" w:rsidR="00CD52BA" w:rsidRPr="003B4337" w:rsidRDefault="00CD52BA" w:rsidP="00CD52BA">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851" w:type="dxa"/>
            <w:vAlign w:val="center"/>
          </w:tcPr>
          <w:p w14:paraId="796DE1D1" w14:textId="77777777" w:rsidR="00CD52BA" w:rsidRPr="003B4337" w:rsidRDefault="00CD52BA" w:rsidP="00CD52BA">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r>
    </w:tbl>
    <w:p w14:paraId="63FC53D5" w14:textId="77777777" w:rsidR="00637DC7" w:rsidRDefault="00637DC7">
      <w:pPr>
        <w:rPr>
          <w:rFonts w:ascii="Arial" w:eastAsia="Times New Roman" w:hAnsi="Arial" w:cs="Arial"/>
          <w:bCs/>
          <w:lang w:eastAsia="pt-BR"/>
        </w:rPr>
      </w:pPr>
      <w:r>
        <w:rPr>
          <w:rFonts w:ascii="Arial" w:eastAsia="Times New Roman" w:hAnsi="Arial" w:cs="Arial"/>
          <w:bCs/>
          <w:lang w:eastAsia="pt-BR"/>
        </w:rPr>
        <w:br w:type="page"/>
      </w:r>
    </w:p>
    <w:p w14:paraId="62290E02" w14:textId="570D6F9F" w:rsidR="0037088E" w:rsidRPr="005B7FCC" w:rsidRDefault="0037088E" w:rsidP="000F0A16">
      <w:pPr>
        <w:pStyle w:val="Ttulo2"/>
        <w:rPr>
          <w:lang w:val="pt-BR" w:eastAsia="pt-BR"/>
        </w:rPr>
      </w:pPr>
      <w:bookmarkStart w:id="14" w:name="_Toc94806298"/>
      <w:r w:rsidRPr="005B7FCC">
        <w:rPr>
          <w:lang w:val="pt-BR" w:eastAsia="pt-BR"/>
        </w:rPr>
        <w:lastRenderedPageBreak/>
        <w:t xml:space="preserve">CONTAS DOS ORDENADORES DE DESPESAS DO INSTITUTO PRÓPRIO DE PREVIDÊNCIA </w:t>
      </w:r>
      <w:r w:rsidR="009D21A6" w:rsidRPr="005B7FCC">
        <w:rPr>
          <w:lang w:val="pt-BR" w:eastAsia="pt-BR"/>
        </w:rPr>
        <w:t>ESTADUAL</w:t>
      </w:r>
      <w:bookmarkEnd w:id="14"/>
    </w:p>
    <w:p w14:paraId="5C0B57B0" w14:textId="77777777" w:rsidR="0037088E" w:rsidRDefault="0037088E" w:rsidP="0037088E">
      <w:pPr>
        <w:spacing w:after="0" w:line="240" w:lineRule="auto"/>
        <w:jc w:val="both"/>
        <w:rPr>
          <w:rFonts w:ascii="Arial" w:eastAsia="Times New Roman" w:hAnsi="Arial" w:cs="Arial"/>
          <w:lang w:eastAsia="pt-BR"/>
        </w:rPr>
      </w:pPr>
    </w:p>
    <w:tbl>
      <w:tblPr>
        <w:tblW w:w="145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4"/>
        <w:gridCol w:w="6894"/>
        <w:gridCol w:w="992"/>
        <w:gridCol w:w="1418"/>
        <w:gridCol w:w="1134"/>
        <w:gridCol w:w="1417"/>
        <w:gridCol w:w="1417"/>
      </w:tblGrid>
      <w:tr w:rsidR="006F1F8D" w:rsidRPr="00A5490A" w14:paraId="04376A78" w14:textId="4D520005" w:rsidTr="006F1F8D">
        <w:tc>
          <w:tcPr>
            <w:tcW w:w="1294" w:type="dxa"/>
            <w:vAlign w:val="center"/>
          </w:tcPr>
          <w:p w14:paraId="3A2FE988" w14:textId="77777777" w:rsidR="006F1F8D" w:rsidRPr="00A5490A" w:rsidRDefault="006F1F8D" w:rsidP="006F1F8D">
            <w:pPr>
              <w:spacing w:after="0" w:line="240" w:lineRule="auto"/>
              <w:jc w:val="center"/>
              <w:rPr>
                <w:rFonts w:ascii="Arial" w:eastAsia="Times New Roman" w:hAnsi="Arial" w:cs="Arial"/>
                <w:sz w:val="18"/>
                <w:szCs w:val="18"/>
                <w:lang w:eastAsia="pt-BR"/>
              </w:rPr>
            </w:pPr>
            <w:r>
              <w:rPr>
                <w:rFonts w:ascii="Arial" w:eastAsia="Times New Roman" w:hAnsi="Arial" w:cs="Arial"/>
                <w:sz w:val="18"/>
                <w:szCs w:val="18"/>
                <w:lang w:eastAsia="pt-BR"/>
              </w:rPr>
              <w:t>Código</w:t>
            </w:r>
          </w:p>
        </w:tc>
        <w:tc>
          <w:tcPr>
            <w:tcW w:w="6894" w:type="dxa"/>
            <w:shd w:val="clear" w:color="auto" w:fill="auto"/>
            <w:vAlign w:val="center"/>
          </w:tcPr>
          <w:p w14:paraId="5B1EE424" w14:textId="77777777" w:rsidR="006F1F8D" w:rsidRPr="00A5490A" w:rsidRDefault="006F1F8D" w:rsidP="006F1F8D">
            <w:pPr>
              <w:spacing w:before="120" w:after="12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Descrição</w:t>
            </w:r>
          </w:p>
        </w:tc>
        <w:tc>
          <w:tcPr>
            <w:tcW w:w="992" w:type="dxa"/>
            <w:shd w:val="clear" w:color="auto" w:fill="auto"/>
            <w:vAlign w:val="center"/>
          </w:tcPr>
          <w:p w14:paraId="4B231BD5" w14:textId="77777777" w:rsidR="006F1F8D" w:rsidRPr="00A5490A" w:rsidRDefault="006F1F8D" w:rsidP="006F1F8D">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Formato</w:t>
            </w:r>
          </w:p>
        </w:tc>
        <w:tc>
          <w:tcPr>
            <w:tcW w:w="1418" w:type="dxa"/>
          </w:tcPr>
          <w:p w14:paraId="1CEFA3A8" w14:textId="77777777" w:rsidR="006F1F8D" w:rsidRPr="00A5490A" w:rsidRDefault="006F1F8D" w:rsidP="006F1F8D">
            <w:pPr>
              <w:spacing w:after="0" w:line="240" w:lineRule="auto"/>
              <w:jc w:val="center"/>
              <w:rPr>
                <w:rFonts w:ascii="Arial" w:eastAsia="Times New Roman" w:hAnsi="Arial" w:cs="Arial"/>
                <w:sz w:val="18"/>
                <w:szCs w:val="18"/>
                <w:lang w:eastAsia="pt-BR"/>
              </w:rPr>
            </w:pPr>
            <w:r>
              <w:rPr>
                <w:rFonts w:ascii="Arial" w:eastAsia="Times New Roman" w:hAnsi="Arial" w:cs="Arial"/>
                <w:sz w:val="18"/>
                <w:szCs w:val="18"/>
                <w:lang w:eastAsia="pt-BR"/>
              </w:rPr>
              <w:t>Taxa Administração</w:t>
            </w:r>
          </w:p>
        </w:tc>
        <w:tc>
          <w:tcPr>
            <w:tcW w:w="1134" w:type="dxa"/>
          </w:tcPr>
          <w:p w14:paraId="30661F60" w14:textId="77777777" w:rsidR="006F1F8D" w:rsidRPr="00A5490A" w:rsidRDefault="006F1F8D" w:rsidP="006F1F8D">
            <w:pPr>
              <w:spacing w:after="0" w:line="240" w:lineRule="auto"/>
              <w:jc w:val="center"/>
              <w:rPr>
                <w:rFonts w:ascii="Arial" w:eastAsia="Times New Roman" w:hAnsi="Arial" w:cs="Arial"/>
                <w:sz w:val="18"/>
                <w:szCs w:val="18"/>
                <w:lang w:eastAsia="pt-BR"/>
              </w:rPr>
            </w:pPr>
            <w:r>
              <w:rPr>
                <w:rFonts w:ascii="Arial" w:eastAsia="Times New Roman" w:hAnsi="Arial" w:cs="Arial"/>
                <w:sz w:val="18"/>
                <w:szCs w:val="18"/>
                <w:lang w:eastAsia="pt-BR"/>
              </w:rPr>
              <w:t>Fundo Financeiro</w:t>
            </w:r>
          </w:p>
        </w:tc>
        <w:tc>
          <w:tcPr>
            <w:tcW w:w="1417" w:type="dxa"/>
          </w:tcPr>
          <w:p w14:paraId="58CE7A51" w14:textId="77777777" w:rsidR="006F1F8D" w:rsidRPr="00A5490A" w:rsidRDefault="006F1F8D" w:rsidP="006F1F8D">
            <w:pPr>
              <w:spacing w:after="0" w:line="240" w:lineRule="auto"/>
              <w:jc w:val="center"/>
              <w:rPr>
                <w:rFonts w:ascii="Arial" w:eastAsia="Times New Roman" w:hAnsi="Arial" w:cs="Arial"/>
                <w:sz w:val="18"/>
                <w:szCs w:val="18"/>
                <w:lang w:eastAsia="pt-BR"/>
              </w:rPr>
            </w:pPr>
            <w:r>
              <w:rPr>
                <w:rFonts w:ascii="Arial" w:eastAsia="Times New Roman" w:hAnsi="Arial" w:cs="Arial"/>
                <w:sz w:val="18"/>
                <w:szCs w:val="18"/>
                <w:lang w:eastAsia="pt-BR"/>
              </w:rPr>
              <w:t>Fundo Previdenciário</w:t>
            </w:r>
          </w:p>
        </w:tc>
        <w:tc>
          <w:tcPr>
            <w:tcW w:w="1417" w:type="dxa"/>
            <w:vAlign w:val="center"/>
          </w:tcPr>
          <w:p w14:paraId="58FF99B1" w14:textId="19F75477" w:rsidR="006F1F8D" w:rsidRPr="006F1F8D" w:rsidRDefault="006F1F8D" w:rsidP="006F1F8D">
            <w:pPr>
              <w:spacing w:after="0" w:line="240" w:lineRule="auto"/>
              <w:jc w:val="center"/>
              <w:rPr>
                <w:rFonts w:ascii="Arial" w:eastAsia="Times New Roman" w:hAnsi="Arial" w:cs="Arial"/>
                <w:sz w:val="18"/>
                <w:szCs w:val="18"/>
                <w:lang w:eastAsia="pt-BR"/>
              </w:rPr>
            </w:pPr>
            <w:r w:rsidRPr="006F1F8D">
              <w:rPr>
                <w:rFonts w:ascii="Arial" w:eastAsia="Times New Roman" w:hAnsi="Arial" w:cs="Arial"/>
                <w:sz w:val="18"/>
                <w:szCs w:val="18"/>
                <w:lang w:eastAsia="pt-BR"/>
              </w:rPr>
              <w:t>Fundo de Proteção Social Militar</w:t>
            </w:r>
          </w:p>
        </w:tc>
      </w:tr>
      <w:tr w:rsidR="006F1F8D" w:rsidRPr="00A5490A" w14:paraId="6AF7F1A7" w14:textId="359E57A4" w:rsidTr="006F1F8D">
        <w:tc>
          <w:tcPr>
            <w:tcW w:w="1294" w:type="dxa"/>
            <w:vAlign w:val="center"/>
          </w:tcPr>
          <w:p w14:paraId="5CFC266E" w14:textId="77777777" w:rsidR="006F1F8D" w:rsidRPr="00A5490A" w:rsidRDefault="006F1F8D" w:rsidP="006F1F8D">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ROLRES</w:t>
            </w:r>
          </w:p>
        </w:tc>
        <w:tc>
          <w:tcPr>
            <w:tcW w:w="6894" w:type="dxa"/>
            <w:shd w:val="clear" w:color="auto" w:fill="auto"/>
            <w:vAlign w:val="center"/>
          </w:tcPr>
          <w:p w14:paraId="505B2393" w14:textId="77777777" w:rsidR="006F1F8D" w:rsidRPr="00A5490A" w:rsidRDefault="006F1F8D" w:rsidP="006F1F8D">
            <w:p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Rol de responsáveis contendo: (Artigo 137, I, do RITCEES, aprovado pela Resolução TC nº 261/2013)</w:t>
            </w:r>
          </w:p>
          <w:p w14:paraId="5370A188" w14:textId="77777777" w:rsidR="006F1F8D" w:rsidRPr="00A5490A" w:rsidRDefault="006F1F8D" w:rsidP="006F1F8D">
            <w:pPr>
              <w:numPr>
                <w:ilvl w:val="0"/>
                <w:numId w:val="7"/>
              </w:num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Nome</w:t>
            </w:r>
          </w:p>
          <w:p w14:paraId="22F1C429" w14:textId="77777777" w:rsidR="006F1F8D" w:rsidRPr="003B4337" w:rsidRDefault="006F1F8D" w:rsidP="006F1F8D">
            <w:pPr>
              <w:numPr>
                <w:ilvl w:val="0"/>
                <w:numId w:val="7"/>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Endereço residencial</w:t>
            </w:r>
          </w:p>
          <w:p w14:paraId="2FFF25FF" w14:textId="77777777" w:rsidR="006F1F8D" w:rsidRPr="003B4337" w:rsidRDefault="006F1F8D" w:rsidP="006F1F8D">
            <w:pPr>
              <w:numPr>
                <w:ilvl w:val="0"/>
                <w:numId w:val="7"/>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Endereço eletrônico pessoal (email)</w:t>
            </w:r>
          </w:p>
          <w:p w14:paraId="6A617DF4" w14:textId="77777777" w:rsidR="006F1F8D" w:rsidRPr="003B4337" w:rsidRDefault="006F1F8D" w:rsidP="006F1F8D">
            <w:pPr>
              <w:numPr>
                <w:ilvl w:val="0"/>
                <w:numId w:val="7"/>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Cargo ou função</w:t>
            </w:r>
          </w:p>
          <w:p w14:paraId="3929DD12" w14:textId="77777777" w:rsidR="006F1F8D" w:rsidRPr="00A5490A" w:rsidRDefault="006F1F8D" w:rsidP="006F1F8D">
            <w:pPr>
              <w:numPr>
                <w:ilvl w:val="0"/>
                <w:numId w:val="7"/>
              </w:num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Inscrição no cadastro de Pessoas Físicas da RFB (CPF)</w:t>
            </w:r>
          </w:p>
          <w:p w14:paraId="1612D6CE" w14:textId="77777777" w:rsidR="006F1F8D" w:rsidRPr="00A5490A" w:rsidRDefault="006F1F8D" w:rsidP="006F1F8D">
            <w:pPr>
              <w:numPr>
                <w:ilvl w:val="0"/>
                <w:numId w:val="7"/>
              </w:num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Período de gestão</w:t>
            </w:r>
          </w:p>
          <w:p w14:paraId="6BC75973" w14:textId="77777777" w:rsidR="006F1F8D" w:rsidRPr="00A5490A" w:rsidRDefault="006F1F8D" w:rsidP="006F1F8D">
            <w:pPr>
              <w:numPr>
                <w:ilvl w:val="0"/>
                <w:numId w:val="7"/>
              </w:numPr>
              <w:spacing w:before="120" w:after="120" w:line="240" w:lineRule="auto"/>
              <w:jc w:val="both"/>
              <w:rPr>
                <w:rFonts w:ascii="Arial" w:eastAsia="Times New Roman" w:hAnsi="Arial" w:cs="Arial"/>
                <w:sz w:val="16"/>
                <w:szCs w:val="16"/>
                <w:lang w:eastAsia="pt-BR"/>
              </w:rPr>
            </w:pPr>
            <w:r w:rsidRPr="00A5490A">
              <w:rPr>
                <w:rFonts w:ascii="Arial" w:eastAsia="Times New Roman" w:hAnsi="Arial" w:cs="Arial"/>
                <w:sz w:val="18"/>
                <w:szCs w:val="18"/>
                <w:lang w:eastAsia="pt-BR"/>
              </w:rPr>
              <w:t xml:space="preserve">Ato de nomeação e exoneração </w:t>
            </w:r>
          </w:p>
        </w:tc>
        <w:tc>
          <w:tcPr>
            <w:tcW w:w="992" w:type="dxa"/>
            <w:shd w:val="clear" w:color="auto" w:fill="auto"/>
            <w:vAlign w:val="center"/>
          </w:tcPr>
          <w:p w14:paraId="59BF8EF5" w14:textId="77777777" w:rsidR="006F1F8D" w:rsidRPr="00A5490A" w:rsidRDefault="006F1F8D" w:rsidP="006F1F8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c>
          <w:tcPr>
            <w:tcW w:w="1418" w:type="dxa"/>
            <w:vAlign w:val="center"/>
          </w:tcPr>
          <w:p w14:paraId="24DC2259" w14:textId="77777777" w:rsidR="006F1F8D" w:rsidRPr="00A5490A" w:rsidRDefault="006F1F8D" w:rsidP="006F1F8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134" w:type="dxa"/>
            <w:vAlign w:val="center"/>
          </w:tcPr>
          <w:p w14:paraId="2C1E85E7" w14:textId="77777777" w:rsidR="006F1F8D" w:rsidRPr="00A5490A" w:rsidRDefault="006F1F8D" w:rsidP="006F1F8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417" w:type="dxa"/>
            <w:vAlign w:val="center"/>
          </w:tcPr>
          <w:p w14:paraId="2A03B308" w14:textId="77777777" w:rsidR="006F1F8D" w:rsidRPr="00A5490A" w:rsidRDefault="006F1F8D" w:rsidP="006F1F8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417" w:type="dxa"/>
            <w:vAlign w:val="center"/>
          </w:tcPr>
          <w:p w14:paraId="0CB73295" w14:textId="4070219D" w:rsidR="006F1F8D" w:rsidRPr="006F1F8D" w:rsidRDefault="006F1F8D" w:rsidP="006F1F8D">
            <w:pPr>
              <w:spacing w:after="0" w:line="240" w:lineRule="auto"/>
              <w:jc w:val="center"/>
              <w:rPr>
                <w:rFonts w:ascii="Arial" w:eastAsia="Times New Roman" w:hAnsi="Arial" w:cs="Arial"/>
                <w:sz w:val="14"/>
                <w:szCs w:val="14"/>
                <w:lang w:eastAsia="pt-BR"/>
              </w:rPr>
            </w:pPr>
            <w:r w:rsidRPr="006F1F8D">
              <w:rPr>
                <w:rFonts w:ascii="Arial" w:eastAsia="Times New Roman" w:hAnsi="Arial" w:cs="Arial"/>
                <w:sz w:val="14"/>
                <w:szCs w:val="14"/>
                <w:lang w:eastAsia="pt-BR"/>
              </w:rPr>
              <w:t>X</w:t>
            </w:r>
          </w:p>
        </w:tc>
      </w:tr>
      <w:tr w:rsidR="006F1F8D" w:rsidRPr="006F1F8D" w14:paraId="1562CE27" w14:textId="77777777" w:rsidTr="006F1F8D">
        <w:tc>
          <w:tcPr>
            <w:tcW w:w="1294" w:type="dxa"/>
            <w:vAlign w:val="center"/>
          </w:tcPr>
          <w:p w14:paraId="1BE76988" w14:textId="5EC2D1E4" w:rsidR="006F1F8D" w:rsidRPr="006F1F8D" w:rsidRDefault="006F1F8D" w:rsidP="006F1F8D">
            <w:pPr>
              <w:spacing w:after="0" w:line="240" w:lineRule="auto"/>
              <w:jc w:val="center"/>
              <w:rPr>
                <w:rFonts w:ascii="Arial" w:eastAsia="Times New Roman" w:hAnsi="Arial" w:cs="Arial"/>
                <w:sz w:val="18"/>
                <w:szCs w:val="18"/>
                <w:lang w:eastAsia="pt-BR"/>
              </w:rPr>
            </w:pPr>
            <w:r w:rsidRPr="006F1F8D">
              <w:rPr>
                <w:rFonts w:ascii="Arial" w:eastAsia="Times New Roman" w:hAnsi="Arial" w:cs="Arial"/>
                <w:bCs/>
                <w:sz w:val="18"/>
                <w:szCs w:val="18"/>
                <w:lang w:eastAsia="pt-BR"/>
              </w:rPr>
              <w:t>CRIA</w:t>
            </w:r>
          </w:p>
        </w:tc>
        <w:tc>
          <w:tcPr>
            <w:tcW w:w="6894" w:type="dxa"/>
            <w:shd w:val="clear" w:color="auto" w:fill="auto"/>
            <w:vAlign w:val="center"/>
          </w:tcPr>
          <w:p w14:paraId="17C848A5" w14:textId="72FB03A6" w:rsidR="006F1F8D" w:rsidRPr="006F1F8D" w:rsidRDefault="006F1F8D" w:rsidP="006F1F8D">
            <w:pPr>
              <w:spacing w:before="120" w:after="120" w:line="240" w:lineRule="auto"/>
              <w:jc w:val="both"/>
              <w:rPr>
                <w:rFonts w:ascii="Arial" w:eastAsia="Times New Roman" w:hAnsi="Arial" w:cs="Arial"/>
                <w:sz w:val="18"/>
                <w:szCs w:val="18"/>
                <w:lang w:eastAsia="pt-BR"/>
              </w:rPr>
            </w:pPr>
            <w:r w:rsidRPr="006F1F8D">
              <w:rPr>
                <w:rFonts w:ascii="Arial" w:eastAsia="Times New Roman" w:hAnsi="Arial" w:cs="Arial"/>
                <w:bCs/>
                <w:sz w:val="18"/>
                <w:szCs w:val="18"/>
                <w:lang w:eastAsia="pt-BR"/>
              </w:rPr>
              <w:t>Demonstrativo especificando a lei de criação da entidade e suas alterações, evidenciando seus objetivos e atribuições.</w:t>
            </w:r>
          </w:p>
        </w:tc>
        <w:tc>
          <w:tcPr>
            <w:tcW w:w="992" w:type="dxa"/>
            <w:shd w:val="clear" w:color="auto" w:fill="auto"/>
            <w:vAlign w:val="center"/>
          </w:tcPr>
          <w:p w14:paraId="7997AB4B" w14:textId="22C7DFC2" w:rsidR="006F1F8D" w:rsidRPr="006F1F8D" w:rsidRDefault="006F1F8D" w:rsidP="006F1F8D">
            <w:pPr>
              <w:spacing w:after="0" w:line="240" w:lineRule="auto"/>
              <w:jc w:val="center"/>
              <w:rPr>
                <w:rFonts w:ascii="Arial" w:eastAsia="Times New Roman" w:hAnsi="Arial" w:cs="Arial"/>
                <w:sz w:val="14"/>
                <w:szCs w:val="14"/>
                <w:lang w:eastAsia="pt-BR"/>
              </w:rPr>
            </w:pPr>
            <w:r w:rsidRPr="006F1F8D">
              <w:rPr>
                <w:rFonts w:ascii="Arial" w:eastAsia="Times New Roman" w:hAnsi="Arial" w:cs="Arial"/>
                <w:sz w:val="14"/>
                <w:szCs w:val="14"/>
                <w:lang w:eastAsia="pt-BR"/>
              </w:rPr>
              <w:t>PDF</w:t>
            </w:r>
          </w:p>
        </w:tc>
        <w:tc>
          <w:tcPr>
            <w:tcW w:w="1418" w:type="dxa"/>
            <w:vAlign w:val="center"/>
          </w:tcPr>
          <w:p w14:paraId="4A9355C8" w14:textId="68DFD10B" w:rsidR="006F1F8D" w:rsidRPr="006F1F8D" w:rsidRDefault="006F1F8D" w:rsidP="006F1F8D">
            <w:pPr>
              <w:spacing w:after="0" w:line="240" w:lineRule="auto"/>
              <w:jc w:val="center"/>
              <w:rPr>
                <w:rFonts w:ascii="Arial" w:eastAsia="Times New Roman" w:hAnsi="Arial" w:cs="Arial"/>
                <w:sz w:val="14"/>
                <w:szCs w:val="14"/>
                <w:lang w:eastAsia="pt-BR"/>
              </w:rPr>
            </w:pPr>
            <w:r w:rsidRPr="006F1F8D">
              <w:rPr>
                <w:rFonts w:ascii="Arial" w:eastAsia="Times New Roman" w:hAnsi="Arial" w:cs="Arial"/>
                <w:sz w:val="18"/>
                <w:szCs w:val="18"/>
                <w:lang w:eastAsia="pt-BR"/>
              </w:rPr>
              <w:t>x</w:t>
            </w:r>
          </w:p>
        </w:tc>
        <w:tc>
          <w:tcPr>
            <w:tcW w:w="1134" w:type="dxa"/>
            <w:vAlign w:val="center"/>
          </w:tcPr>
          <w:p w14:paraId="114EA51D" w14:textId="6D637C58" w:rsidR="006F1F8D" w:rsidRPr="006F1F8D" w:rsidRDefault="006F1F8D" w:rsidP="006F1F8D">
            <w:pPr>
              <w:spacing w:after="0" w:line="240" w:lineRule="auto"/>
              <w:jc w:val="center"/>
              <w:rPr>
                <w:rFonts w:ascii="Arial" w:eastAsia="Times New Roman" w:hAnsi="Arial" w:cs="Arial"/>
                <w:sz w:val="14"/>
                <w:szCs w:val="14"/>
                <w:lang w:eastAsia="pt-BR"/>
              </w:rPr>
            </w:pPr>
            <w:r w:rsidRPr="006F1F8D">
              <w:rPr>
                <w:rFonts w:ascii="Arial" w:eastAsia="Times New Roman" w:hAnsi="Arial" w:cs="Arial"/>
                <w:sz w:val="14"/>
                <w:szCs w:val="14"/>
                <w:lang w:eastAsia="pt-BR"/>
              </w:rPr>
              <w:t>X</w:t>
            </w:r>
          </w:p>
        </w:tc>
        <w:tc>
          <w:tcPr>
            <w:tcW w:w="1417" w:type="dxa"/>
            <w:vAlign w:val="center"/>
          </w:tcPr>
          <w:p w14:paraId="1120F9A4" w14:textId="1CA624A5" w:rsidR="006F1F8D" w:rsidRPr="006F1F8D" w:rsidRDefault="006F1F8D" w:rsidP="006F1F8D">
            <w:pPr>
              <w:spacing w:after="0" w:line="240" w:lineRule="auto"/>
              <w:jc w:val="center"/>
              <w:rPr>
                <w:rFonts w:ascii="Arial" w:eastAsia="Times New Roman" w:hAnsi="Arial" w:cs="Arial"/>
                <w:sz w:val="14"/>
                <w:szCs w:val="14"/>
                <w:lang w:eastAsia="pt-BR"/>
              </w:rPr>
            </w:pPr>
            <w:r w:rsidRPr="006F1F8D">
              <w:rPr>
                <w:rFonts w:ascii="Arial" w:eastAsia="Times New Roman" w:hAnsi="Arial" w:cs="Arial"/>
                <w:sz w:val="14"/>
                <w:szCs w:val="14"/>
                <w:lang w:eastAsia="pt-BR"/>
              </w:rPr>
              <w:t>X</w:t>
            </w:r>
          </w:p>
        </w:tc>
        <w:tc>
          <w:tcPr>
            <w:tcW w:w="1417" w:type="dxa"/>
            <w:vAlign w:val="center"/>
          </w:tcPr>
          <w:p w14:paraId="3915D395" w14:textId="2CD89E57" w:rsidR="006F1F8D" w:rsidRPr="006F1F8D" w:rsidRDefault="006F1F8D" w:rsidP="006F1F8D">
            <w:pPr>
              <w:spacing w:after="0" w:line="240" w:lineRule="auto"/>
              <w:jc w:val="center"/>
              <w:rPr>
                <w:rFonts w:ascii="Arial" w:eastAsia="Times New Roman" w:hAnsi="Arial" w:cs="Arial"/>
                <w:sz w:val="14"/>
                <w:szCs w:val="14"/>
                <w:lang w:eastAsia="pt-BR"/>
              </w:rPr>
            </w:pPr>
            <w:r w:rsidRPr="006F1F8D">
              <w:rPr>
                <w:rFonts w:ascii="Arial" w:eastAsia="Times New Roman" w:hAnsi="Arial" w:cs="Arial"/>
                <w:sz w:val="14"/>
                <w:szCs w:val="14"/>
                <w:lang w:eastAsia="pt-BR"/>
              </w:rPr>
              <w:t>X</w:t>
            </w:r>
          </w:p>
        </w:tc>
      </w:tr>
      <w:tr w:rsidR="006F1F8D" w:rsidRPr="00A5490A" w14:paraId="6DD7F765" w14:textId="6C9677E1" w:rsidTr="006F1F8D">
        <w:tc>
          <w:tcPr>
            <w:tcW w:w="1294" w:type="dxa"/>
            <w:vAlign w:val="center"/>
          </w:tcPr>
          <w:p w14:paraId="44FE72E7" w14:textId="77777777" w:rsidR="006F1F8D" w:rsidRPr="00A5490A" w:rsidRDefault="006F1F8D" w:rsidP="006F1F8D">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RELGES</w:t>
            </w:r>
          </w:p>
        </w:tc>
        <w:tc>
          <w:tcPr>
            <w:tcW w:w="6894" w:type="dxa"/>
            <w:shd w:val="clear" w:color="auto" w:fill="auto"/>
            <w:vAlign w:val="center"/>
          </w:tcPr>
          <w:p w14:paraId="708ADCA9" w14:textId="77777777" w:rsidR="006F1F8D" w:rsidRPr="003B4337" w:rsidRDefault="006F1F8D" w:rsidP="006F1F8D">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Relatório de gestão abordando aspectos de natureza</w:t>
            </w:r>
            <w:r w:rsidRPr="003B4337">
              <w:rPr>
                <w:rFonts w:ascii="Arial" w:eastAsia="Times New Roman" w:hAnsi="Arial" w:cs="Arial"/>
                <w:bCs/>
                <w:sz w:val="18"/>
                <w:szCs w:val="18"/>
                <w:lang w:eastAsia="pt-BR"/>
              </w:rPr>
              <w:t xml:space="preserve"> orçamentária, financeira, fiscal, operacional e patrimonial, organizado de forma que permita uma visão de conformidade e desempenho dos atos de gestão praticados pelos ordenadores de despesa.</w:t>
            </w:r>
            <w:r w:rsidRPr="003B4337">
              <w:rPr>
                <w:rFonts w:ascii="Arial" w:eastAsia="Times New Roman" w:hAnsi="Arial" w:cs="Arial"/>
                <w:sz w:val="18"/>
                <w:szCs w:val="18"/>
                <w:lang w:eastAsia="pt-BR"/>
              </w:rPr>
              <w:t xml:space="preserve"> (Artigo 137, II, do RITCEES, aprovado pela Resolução TC nº 261/2013).</w:t>
            </w:r>
          </w:p>
          <w:p w14:paraId="1A4029F2" w14:textId="55E743BB" w:rsidR="006F1F8D" w:rsidRPr="003B4337" w:rsidRDefault="006F1F8D" w:rsidP="006F1F8D">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O relatório de gestão evidenciará, de forma exemplificativa, os seguintes aspectos:</w:t>
            </w:r>
          </w:p>
          <w:p w14:paraId="2A95E7C8" w14:textId="77777777" w:rsidR="006F1F8D" w:rsidRPr="003B4337" w:rsidRDefault="006F1F8D" w:rsidP="006F1F8D">
            <w:pPr>
              <w:spacing w:before="120" w:after="120" w:line="240" w:lineRule="auto"/>
              <w:jc w:val="both"/>
              <w:rPr>
                <w:rFonts w:ascii="Arial" w:eastAsia="Times New Roman" w:hAnsi="Arial" w:cs="Arial"/>
                <w:b/>
                <w:sz w:val="18"/>
                <w:szCs w:val="18"/>
                <w:lang w:eastAsia="pt-BR"/>
              </w:rPr>
            </w:pPr>
            <w:r w:rsidRPr="003B4337">
              <w:rPr>
                <w:rFonts w:ascii="Arial" w:eastAsia="Times New Roman" w:hAnsi="Arial" w:cs="Arial"/>
                <w:b/>
                <w:sz w:val="18"/>
                <w:szCs w:val="18"/>
                <w:lang w:eastAsia="pt-BR"/>
              </w:rPr>
              <w:t>Gestão Previdenciária</w:t>
            </w:r>
          </w:p>
          <w:p w14:paraId="53E9A657" w14:textId="77777777" w:rsidR="006F1F8D" w:rsidRPr="003B4337" w:rsidRDefault="006F1F8D" w:rsidP="006F1F8D">
            <w:pPr>
              <w:pStyle w:val="PargrafodaLista"/>
              <w:numPr>
                <w:ilvl w:val="0"/>
                <w:numId w:val="19"/>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Evidenciar a estrutura organizacional do RPPS e as atribuições de seus setores/departamentos;</w:t>
            </w:r>
          </w:p>
          <w:p w14:paraId="459F4AC5" w14:textId="77777777" w:rsidR="006F1F8D" w:rsidRPr="003B4337" w:rsidRDefault="006F1F8D" w:rsidP="006F1F8D">
            <w:pPr>
              <w:pStyle w:val="PargrafodaLista"/>
              <w:numPr>
                <w:ilvl w:val="0"/>
                <w:numId w:val="19"/>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Evidenciar a legislação de criação/extinção do RPPS e a sua respectiva legislação base atualizada aplicada a gestão do RPPS;</w:t>
            </w:r>
          </w:p>
          <w:p w14:paraId="0B044861" w14:textId="77777777" w:rsidR="006F1F8D" w:rsidRPr="003B4337" w:rsidRDefault="006F1F8D" w:rsidP="006F1F8D">
            <w:pPr>
              <w:pStyle w:val="PargrafodaLista"/>
              <w:numPr>
                <w:ilvl w:val="0"/>
                <w:numId w:val="19"/>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Evidenciar a legislação, a composição e a forma de funcionamento do controle interno aplicado ao RPPS;</w:t>
            </w:r>
          </w:p>
          <w:p w14:paraId="3E59586D" w14:textId="77777777" w:rsidR="006F1F8D" w:rsidRPr="003B4337" w:rsidRDefault="006F1F8D" w:rsidP="006F1F8D">
            <w:pPr>
              <w:pStyle w:val="PargrafodaLista"/>
              <w:numPr>
                <w:ilvl w:val="0"/>
                <w:numId w:val="19"/>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lastRenderedPageBreak/>
              <w:t>Evidenciar o plano de custeio do RPPS e a sua respectiva base legal atualizada;</w:t>
            </w:r>
          </w:p>
          <w:p w14:paraId="04A2275E" w14:textId="77777777" w:rsidR="006F1F8D" w:rsidRPr="003B4337" w:rsidRDefault="006F1F8D" w:rsidP="006F1F8D">
            <w:pPr>
              <w:pStyle w:val="PargrafodaLista"/>
              <w:numPr>
                <w:ilvl w:val="0"/>
                <w:numId w:val="19"/>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Evidenciar o plano de benefícios do RPPS e a sua respectiva base legal atualizada;</w:t>
            </w:r>
          </w:p>
          <w:p w14:paraId="5BCCE57D" w14:textId="77777777" w:rsidR="006F1F8D" w:rsidRPr="003B4337" w:rsidRDefault="006F1F8D" w:rsidP="006F1F8D">
            <w:pPr>
              <w:pStyle w:val="PargrafodaLista"/>
              <w:numPr>
                <w:ilvl w:val="0"/>
                <w:numId w:val="19"/>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Evidenciar a composição diretoria em 31/12;</w:t>
            </w:r>
          </w:p>
          <w:p w14:paraId="5E8CC9EB" w14:textId="77777777" w:rsidR="006F1F8D" w:rsidRPr="003B4337" w:rsidRDefault="006F1F8D" w:rsidP="006F1F8D">
            <w:pPr>
              <w:pStyle w:val="PargrafodaLista"/>
              <w:numPr>
                <w:ilvl w:val="0"/>
                <w:numId w:val="19"/>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Evidenciar a composição (nome, endereço, formação, telefone, e-mail e CPF) e a forma de funcionamento dos Conselhos do RPPS no decorrer do exercício;</w:t>
            </w:r>
          </w:p>
          <w:p w14:paraId="5A2B3095" w14:textId="77777777" w:rsidR="006F1F8D" w:rsidRPr="003B4337" w:rsidRDefault="006F1F8D" w:rsidP="006F1F8D">
            <w:pPr>
              <w:pStyle w:val="PargrafodaLista"/>
              <w:numPr>
                <w:ilvl w:val="0"/>
                <w:numId w:val="19"/>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Evidenciar o cronograma das reuniões previstas e as datas das reuniões efetivamente realizadas pelos conselhos no decorrer do exercício;</w:t>
            </w:r>
          </w:p>
          <w:p w14:paraId="45F3B9C4" w14:textId="77777777" w:rsidR="006F1F8D" w:rsidRPr="003B4337" w:rsidRDefault="006F1F8D" w:rsidP="006F1F8D">
            <w:pPr>
              <w:pStyle w:val="PargrafodaLista"/>
              <w:numPr>
                <w:ilvl w:val="0"/>
                <w:numId w:val="19"/>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Evidenciar as principais considerações realizadas pelos Conselheiros em suas participações nas reuniões e as providencias adotadas pela administração do RPPS, nos pontos relevantes;</w:t>
            </w:r>
          </w:p>
          <w:p w14:paraId="322A74C9" w14:textId="77777777" w:rsidR="006F1F8D" w:rsidRPr="003B4337" w:rsidRDefault="006F1F8D" w:rsidP="006F1F8D">
            <w:pPr>
              <w:pStyle w:val="PargrafodaLista"/>
              <w:numPr>
                <w:ilvl w:val="0"/>
                <w:numId w:val="19"/>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Evidenciar as ações realizadas para atualização da base cadastral dos segurados ativos, no tocante a data de  nascimento e número de dependentes, condição dos dependentes (válido, invalidez temporária ou permanente), estado civil, data de nascimento do cônjuge e dos pais, tempo de contribuição para o RGPS, tempo de contribuição para outros RPPS, base de cálculo (remuneração de contribuição); no caso de professor, identificar se o mesmo atua exclusivamente nas funções de magistério na educação infantil e no ensino fundamental e/ou médio, etc;</w:t>
            </w:r>
          </w:p>
          <w:p w14:paraId="21CF2208" w14:textId="77777777" w:rsidR="006F1F8D" w:rsidRPr="003B4337" w:rsidRDefault="006F1F8D" w:rsidP="006F1F8D">
            <w:pPr>
              <w:pStyle w:val="PargrafodaLista"/>
              <w:numPr>
                <w:ilvl w:val="0"/>
                <w:numId w:val="19"/>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Evidenciar as ações realizadas no tocante ao recadastramento dos inativos e pensionistas;</w:t>
            </w:r>
          </w:p>
          <w:p w14:paraId="22594CAC" w14:textId="77777777" w:rsidR="006F1F8D" w:rsidRPr="003B4337" w:rsidRDefault="006F1F8D" w:rsidP="006F1F8D">
            <w:pPr>
              <w:spacing w:before="120" w:after="120" w:line="240" w:lineRule="auto"/>
              <w:jc w:val="both"/>
              <w:rPr>
                <w:rFonts w:ascii="Arial" w:eastAsia="Times New Roman" w:hAnsi="Arial" w:cs="Arial"/>
                <w:b/>
                <w:sz w:val="18"/>
                <w:szCs w:val="18"/>
                <w:lang w:eastAsia="pt-BR"/>
              </w:rPr>
            </w:pPr>
            <w:r w:rsidRPr="003B4337">
              <w:rPr>
                <w:rFonts w:ascii="Arial" w:eastAsia="Times New Roman" w:hAnsi="Arial" w:cs="Arial"/>
                <w:b/>
                <w:sz w:val="18"/>
                <w:szCs w:val="18"/>
                <w:lang w:eastAsia="pt-BR"/>
              </w:rPr>
              <w:t>Gestão de Benefícios</w:t>
            </w:r>
          </w:p>
          <w:p w14:paraId="56DF2C10" w14:textId="77777777" w:rsidR="006F1F8D" w:rsidRPr="003B4337" w:rsidRDefault="006F1F8D" w:rsidP="006F1F8D">
            <w:pPr>
              <w:pStyle w:val="PargrafodaLista"/>
              <w:numPr>
                <w:ilvl w:val="0"/>
                <w:numId w:val="25"/>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Evidenciar a evolução do número de segurados, ativos, inativos e pensionistas, nos últimos cinco exercícios, sempre posicionados em 31/12;</w:t>
            </w:r>
          </w:p>
          <w:p w14:paraId="4AAA49E3" w14:textId="77777777" w:rsidR="006F1F8D" w:rsidRPr="003B4337" w:rsidRDefault="006F1F8D" w:rsidP="006F1F8D">
            <w:pPr>
              <w:pStyle w:val="PargrafodaLista"/>
              <w:numPr>
                <w:ilvl w:val="0"/>
                <w:numId w:val="25"/>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Evidenciar o quantitativo de benefícios concedidos pelo RPPS, segregados por tipo de benefício e por exercício, nos últimos cinco anos;</w:t>
            </w:r>
          </w:p>
          <w:p w14:paraId="01E16EC6" w14:textId="77777777" w:rsidR="006F1F8D" w:rsidRPr="003B4337" w:rsidRDefault="006F1F8D" w:rsidP="006F1F8D">
            <w:pPr>
              <w:pStyle w:val="PargrafodaLista"/>
              <w:numPr>
                <w:ilvl w:val="0"/>
                <w:numId w:val="25"/>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Evidenciar os valores totais dispendidos com o pagamento dos benefícios concedidos pelo RPPS, segregados por tipo de benefício e por exercício, nos últimos cinco anos;</w:t>
            </w:r>
          </w:p>
          <w:p w14:paraId="40634539" w14:textId="77777777" w:rsidR="006F1F8D" w:rsidRPr="003B4337" w:rsidRDefault="006F1F8D" w:rsidP="006F1F8D">
            <w:pPr>
              <w:pStyle w:val="PargrafodaLista"/>
              <w:numPr>
                <w:ilvl w:val="0"/>
                <w:numId w:val="25"/>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Evidenciar o número total de benefícios do RPPS dos últimos cinco anos, segregados pelo critério de reajustamento dos benefícios; (posição em 31/12)</w:t>
            </w:r>
          </w:p>
          <w:p w14:paraId="3B636464" w14:textId="77777777" w:rsidR="006F1F8D" w:rsidRPr="003B4337" w:rsidRDefault="006F1F8D" w:rsidP="006F1F8D">
            <w:pPr>
              <w:pStyle w:val="PargrafodaLista"/>
              <w:numPr>
                <w:ilvl w:val="0"/>
                <w:numId w:val="25"/>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Evidenciar o número de benefícios concedidos nos últimos cinco anos, segregados por tipo de benefício e por exercício, e a sua situação no tocante ao registro junto ao TCEES: a) pendente de registro, aguardando providências no RPPS; b) pendente de registro, aguardando providências no TCEES, ou c) foi registrado.</w:t>
            </w:r>
          </w:p>
          <w:p w14:paraId="6F0F2226" w14:textId="77777777" w:rsidR="006F1F8D" w:rsidRPr="003B4337" w:rsidRDefault="006F1F8D" w:rsidP="006F1F8D">
            <w:pPr>
              <w:pStyle w:val="PargrafodaLista"/>
              <w:numPr>
                <w:ilvl w:val="0"/>
                <w:numId w:val="25"/>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lastRenderedPageBreak/>
              <w:t>Evidenciar o estoque de processos em 31/12: a) pendentes de concessão, b) pendentes de análise de pedido de revisão; c) pendentes de registro e d) pendentes por diligência, etc.</w:t>
            </w:r>
          </w:p>
          <w:p w14:paraId="329DF322" w14:textId="77777777" w:rsidR="006F1F8D" w:rsidRPr="003B4337" w:rsidRDefault="006F1F8D" w:rsidP="006F1F8D">
            <w:pPr>
              <w:spacing w:before="120" w:after="120" w:line="240" w:lineRule="auto"/>
              <w:jc w:val="both"/>
              <w:rPr>
                <w:rFonts w:ascii="Arial" w:eastAsia="Times New Roman" w:hAnsi="Arial" w:cs="Arial"/>
                <w:sz w:val="18"/>
                <w:szCs w:val="18"/>
                <w:lang w:eastAsia="pt-BR"/>
              </w:rPr>
            </w:pPr>
          </w:p>
          <w:p w14:paraId="70852568" w14:textId="77777777" w:rsidR="006F1F8D" w:rsidRPr="003B4337" w:rsidRDefault="006F1F8D" w:rsidP="006F1F8D">
            <w:pPr>
              <w:spacing w:before="120" w:after="120" w:line="240" w:lineRule="auto"/>
              <w:jc w:val="both"/>
              <w:rPr>
                <w:rFonts w:ascii="Arial" w:eastAsia="Times New Roman" w:hAnsi="Arial" w:cs="Arial"/>
                <w:b/>
                <w:sz w:val="18"/>
                <w:szCs w:val="18"/>
                <w:lang w:eastAsia="pt-BR"/>
              </w:rPr>
            </w:pPr>
            <w:r w:rsidRPr="003B4337">
              <w:rPr>
                <w:rFonts w:ascii="Arial" w:eastAsia="Times New Roman" w:hAnsi="Arial" w:cs="Arial"/>
                <w:b/>
                <w:sz w:val="18"/>
                <w:szCs w:val="18"/>
                <w:lang w:eastAsia="pt-BR"/>
              </w:rPr>
              <w:t>Compensação Previdenciária</w:t>
            </w:r>
          </w:p>
          <w:p w14:paraId="3EF9009D" w14:textId="77777777" w:rsidR="006F1F8D" w:rsidRPr="003B4337" w:rsidRDefault="006F1F8D" w:rsidP="006F1F8D">
            <w:pPr>
              <w:pStyle w:val="PargrafodaLista"/>
              <w:numPr>
                <w:ilvl w:val="0"/>
                <w:numId w:val="24"/>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Detalhar informações acerca do convênio de compensação previdenciária firmado com o MPS (data de assinatura, data de vigência, das obrigações reciprocas, do ente e do INSS, etc);</w:t>
            </w:r>
          </w:p>
          <w:p w14:paraId="71996E5C" w14:textId="77777777" w:rsidR="006F1F8D" w:rsidRPr="003B4337" w:rsidRDefault="006F1F8D" w:rsidP="006F1F8D">
            <w:pPr>
              <w:pStyle w:val="PargrafodaLista"/>
              <w:numPr>
                <w:ilvl w:val="0"/>
                <w:numId w:val="24"/>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Evidenciar o fluxo anual (número de benefícios e dos valores) dos últimos cinco anos dos valores do RO (Regime de Origem) x RI (Regime Instituidor);</w:t>
            </w:r>
          </w:p>
          <w:p w14:paraId="262BABC5" w14:textId="77777777" w:rsidR="006F1F8D" w:rsidRPr="003B4337" w:rsidRDefault="006F1F8D" w:rsidP="006F1F8D">
            <w:pPr>
              <w:pStyle w:val="PargrafodaLista"/>
              <w:numPr>
                <w:ilvl w:val="0"/>
                <w:numId w:val="24"/>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Evidenciar o fluxo financeiro mensal recebido a título de compensação previdenciária;</w:t>
            </w:r>
          </w:p>
          <w:p w14:paraId="74697137" w14:textId="77777777" w:rsidR="006F1F8D" w:rsidRPr="003B4337" w:rsidRDefault="006F1F8D" w:rsidP="006F1F8D">
            <w:pPr>
              <w:pStyle w:val="PargrafodaLista"/>
              <w:numPr>
                <w:ilvl w:val="0"/>
                <w:numId w:val="24"/>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Evidenciar o quantitativo de aposentadorias/ pensões concedidas nos últimos cinco exercícios com direito a compensação previdenciária e os que não o possuem;</w:t>
            </w:r>
          </w:p>
          <w:p w14:paraId="0C294438" w14:textId="77777777" w:rsidR="006F1F8D" w:rsidRPr="003B4337" w:rsidRDefault="006F1F8D" w:rsidP="006F1F8D">
            <w:pPr>
              <w:pStyle w:val="PargrafodaLista"/>
              <w:numPr>
                <w:ilvl w:val="0"/>
                <w:numId w:val="24"/>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Evidenciar o número de benefícios que possuem direito a requerer compensação previdenciária, entretanto estão aguardando registro do TCE;</w:t>
            </w:r>
          </w:p>
          <w:p w14:paraId="262AC7ED" w14:textId="77777777" w:rsidR="006F1F8D" w:rsidRPr="003B4337" w:rsidRDefault="006F1F8D" w:rsidP="006F1F8D">
            <w:pPr>
              <w:spacing w:before="120" w:after="120" w:line="240" w:lineRule="auto"/>
              <w:jc w:val="both"/>
              <w:rPr>
                <w:rFonts w:ascii="Arial" w:eastAsia="Times New Roman" w:hAnsi="Arial" w:cs="Arial"/>
                <w:b/>
                <w:sz w:val="18"/>
                <w:szCs w:val="18"/>
                <w:lang w:eastAsia="pt-BR"/>
              </w:rPr>
            </w:pPr>
            <w:r w:rsidRPr="003B4337">
              <w:rPr>
                <w:rFonts w:ascii="Arial" w:eastAsia="Times New Roman" w:hAnsi="Arial" w:cs="Arial"/>
                <w:b/>
                <w:sz w:val="18"/>
                <w:szCs w:val="18"/>
                <w:lang w:eastAsia="pt-BR"/>
              </w:rPr>
              <w:t>Da Gestão Orçamentária</w:t>
            </w:r>
          </w:p>
          <w:p w14:paraId="52448FAF" w14:textId="77777777" w:rsidR="006F1F8D" w:rsidRPr="003B4337" w:rsidRDefault="006F1F8D" w:rsidP="006F1F8D">
            <w:pPr>
              <w:pStyle w:val="PargrafodaLista"/>
              <w:numPr>
                <w:ilvl w:val="0"/>
                <w:numId w:val="26"/>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Evidenciar a previsão orçamentária do RPPS, a lei de aprovação do orçamento anual e o percentual de suplementação autorizado no exercício;</w:t>
            </w:r>
          </w:p>
          <w:p w14:paraId="2B491C72" w14:textId="77777777" w:rsidR="006F1F8D" w:rsidRPr="003B4337" w:rsidRDefault="006F1F8D" w:rsidP="006F1F8D">
            <w:pPr>
              <w:pStyle w:val="PargrafodaLista"/>
              <w:numPr>
                <w:ilvl w:val="0"/>
                <w:numId w:val="26"/>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Análise do comportamento das receitas arrecadadas, evidenciadas por categoria econômica, origem e espécie, nos últimos cinco exercícios;</w:t>
            </w:r>
          </w:p>
          <w:p w14:paraId="2ED4FC29" w14:textId="77777777" w:rsidR="006F1F8D" w:rsidRPr="003B4337" w:rsidRDefault="006F1F8D" w:rsidP="006F1F8D">
            <w:pPr>
              <w:pStyle w:val="PargrafodaLista"/>
              <w:numPr>
                <w:ilvl w:val="0"/>
                <w:numId w:val="26"/>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Análise do comportamento das despesas empenhadas, liquidadas e pagas, evidenciadas por categoria econômica, grupo de natureza da despesa, modalidade de aplicação e elemento de despesa, nos últimos cinco exercícios;</w:t>
            </w:r>
          </w:p>
          <w:p w14:paraId="3BDA73F5" w14:textId="77777777" w:rsidR="006F1F8D" w:rsidRPr="003B4337" w:rsidRDefault="006F1F8D" w:rsidP="006F1F8D">
            <w:pPr>
              <w:pStyle w:val="PargrafodaLista"/>
              <w:numPr>
                <w:ilvl w:val="0"/>
                <w:numId w:val="26"/>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Apuração do resultado orçamentário dos últimos cinco exercícios;</w:t>
            </w:r>
          </w:p>
          <w:p w14:paraId="469F4749" w14:textId="77777777" w:rsidR="006F1F8D" w:rsidRPr="003B4337" w:rsidRDefault="006F1F8D" w:rsidP="006F1F8D">
            <w:pPr>
              <w:pStyle w:val="PargrafodaLista"/>
              <w:numPr>
                <w:ilvl w:val="0"/>
                <w:numId w:val="26"/>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Análise do comportamento dos saldos das despesas inscritas em restos a pagar, evidenciando os valores pagos e cancelados dos últimos cinco exercícios;</w:t>
            </w:r>
          </w:p>
          <w:p w14:paraId="677E87B8" w14:textId="77777777" w:rsidR="006F1F8D" w:rsidRPr="003B4337" w:rsidRDefault="006F1F8D" w:rsidP="006F1F8D">
            <w:pPr>
              <w:pStyle w:val="PargrafodaLista"/>
              <w:numPr>
                <w:ilvl w:val="0"/>
                <w:numId w:val="26"/>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Evidenciar a movimentação orçamentária realizada, no exercício, através de créditos adicionais e por meio de movimentação de créditos;</w:t>
            </w:r>
          </w:p>
          <w:p w14:paraId="7C2993A1" w14:textId="77777777" w:rsidR="006F1F8D" w:rsidRPr="003B4337" w:rsidRDefault="006F1F8D" w:rsidP="006F1F8D">
            <w:pPr>
              <w:spacing w:before="120" w:after="120" w:line="240" w:lineRule="auto"/>
              <w:jc w:val="both"/>
              <w:rPr>
                <w:rFonts w:ascii="Arial" w:eastAsia="Times New Roman" w:hAnsi="Arial" w:cs="Arial"/>
                <w:b/>
                <w:sz w:val="18"/>
                <w:szCs w:val="18"/>
                <w:lang w:eastAsia="pt-BR"/>
              </w:rPr>
            </w:pPr>
            <w:r w:rsidRPr="003B4337">
              <w:rPr>
                <w:rFonts w:ascii="Arial" w:eastAsia="Times New Roman" w:hAnsi="Arial" w:cs="Arial"/>
                <w:b/>
                <w:sz w:val="18"/>
                <w:szCs w:val="18"/>
                <w:lang w:eastAsia="pt-BR"/>
              </w:rPr>
              <w:t>Da Gestão Financeira</w:t>
            </w:r>
          </w:p>
          <w:p w14:paraId="62117601" w14:textId="77777777" w:rsidR="006F1F8D" w:rsidRPr="003B4337" w:rsidRDefault="006F1F8D" w:rsidP="006F1F8D">
            <w:pPr>
              <w:pStyle w:val="PargrafodaLista"/>
              <w:numPr>
                <w:ilvl w:val="0"/>
                <w:numId w:val="27"/>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lastRenderedPageBreak/>
              <w:t>Evidenciação dos valores da receita de contribuição do servidor e patronal, por órgão devedor e competência do exercício;</w:t>
            </w:r>
          </w:p>
          <w:p w14:paraId="52E90191" w14:textId="77777777" w:rsidR="006F1F8D" w:rsidRPr="003B4337" w:rsidRDefault="006F1F8D" w:rsidP="006F1F8D">
            <w:pPr>
              <w:pStyle w:val="PargrafodaLista"/>
              <w:numPr>
                <w:ilvl w:val="0"/>
                <w:numId w:val="27"/>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Evidenciação dos valores devidos de contribuição, por competência, e os valores efetivamente recebidos no exercício;</w:t>
            </w:r>
          </w:p>
          <w:p w14:paraId="4FEE0585" w14:textId="77777777" w:rsidR="006F1F8D" w:rsidRPr="003B4337" w:rsidRDefault="006F1F8D" w:rsidP="006F1F8D">
            <w:pPr>
              <w:pStyle w:val="PargrafodaLista"/>
              <w:numPr>
                <w:ilvl w:val="0"/>
                <w:numId w:val="27"/>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Evidenciação dos parcelamentos existentes no RPPS, demonstrando a lei autorizativa do parcelamento, número de parcelas, as competências que estão englobadas, a natureza dos valores parcelados (ex. contribuição de segurados/ patronal), os respectivos valores originais, atualizações, juros e os recebimentos recebidos no exercício, além do saldo para o exercício seguinte;</w:t>
            </w:r>
          </w:p>
          <w:p w14:paraId="7956A417" w14:textId="77777777" w:rsidR="006F1F8D" w:rsidRPr="003B4337" w:rsidRDefault="006F1F8D" w:rsidP="006F1F8D">
            <w:pPr>
              <w:pStyle w:val="PargrafodaLista"/>
              <w:numPr>
                <w:ilvl w:val="0"/>
                <w:numId w:val="27"/>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Apuração do resultado financeiro dos últimos cinco exercícios;</w:t>
            </w:r>
          </w:p>
          <w:p w14:paraId="0BE21253" w14:textId="77777777" w:rsidR="006F1F8D" w:rsidRPr="003B4337" w:rsidRDefault="006F1F8D" w:rsidP="006F1F8D">
            <w:pPr>
              <w:pStyle w:val="PargrafodaLista"/>
              <w:numPr>
                <w:ilvl w:val="0"/>
                <w:numId w:val="27"/>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Evidenciação mensal do recebimento de aportes para cobertura de insuficiência financeira, segregado por Poder/órgão;</w:t>
            </w:r>
          </w:p>
          <w:p w14:paraId="7AE5B950" w14:textId="77777777" w:rsidR="006F1F8D" w:rsidRPr="003B4337" w:rsidRDefault="006F1F8D" w:rsidP="006F1F8D">
            <w:pPr>
              <w:spacing w:before="120" w:after="120" w:line="240" w:lineRule="auto"/>
              <w:jc w:val="both"/>
              <w:rPr>
                <w:rFonts w:ascii="Arial" w:eastAsia="Times New Roman" w:hAnsi="Arial" w:cs="Arial"/>
                <w:b/>
                <w:sz w:val="18"/>
                <w:szCs w:val="18"/>
                <w:lang w:eastAsia="pt-BR"/>
              </w:rPr>
            </w:pPr>
            <w:r w:rsidRPr="003B4337">
              <w:rPr>
                <w:rFonts w:ascii="Arial" w:eastAsia="Times New Roman" w:hAnsi="Arial" w:cs="Arial"/>
                <w:b/>
                <w:sz w:val="18"/>
                <w:szCs w:val="18"/>
                <w:lang w:eastAsia="pt-BR"/>
              </w:rPr>
              <w:t>Da Gestão dos Investimentos</w:t>
            </w:r>
          </w:p>
          <w:p w14:paraId="5A0336FC" w14:textId="77777777" w:rsidR="006F1F8D" w:rsidRPr="003B4337" w:rsidRDefault="006F1F8D" w:rsidP="006F1F8D">
            <w:pPr>
              <w:pStyle w:val="PargrafodaLista"/>
              <w:numPr>
                <w:ilvl w:val="0"/>
                <w:numId w:val="28"/>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Evidenciação da composição (nome, endereço, formação, telefone, e-mail e CPF) e qualificação dos membros do Comitê de Investimentos do RPPS; </w:t>
            </w:r>
          </w:p>
          <w:p w14:paraId="48614461" w14:textId="77777777" w:rsidR="006F1F8D" w:rsidRPr="003B4337" w:rsidRDefault="006F1F8D" w:rsidP="006F1F8D">
            <w:pPr>
              <w:pStyle w:val="PargrafodaLista"/>
              <w:numPr>
                <w:ilvl w:val="0"/>
                <w:numId w:val="28"/>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Relação das datas das reuniões realizadas pelo Comitê de Investimentos e suas principais deliberações, em especial as Autorizações de Aplicação e Resgate (APR);</w:t>
            </w:r>
          </w:p>
          <w:p w14:paraId="5689071E" w14:textId="77777777" w:rsidR="006F1F8D" w:rsidRPr="003B4337" w:rsidRDefault="006F1F8D" w:rsidP="006F1F8D">
            <w:pPr>
              <w:pStyle w:val="PargrafodaLista"/>
              <w:numPr>
                <w:ilvl w:val="0"/>
                <w:numId w:val="28"/>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Evidenciação da relação de entidades credenciadas pelo RPPS para receber aplicações de recursos previdenciários e seu prazo de validade; </w:t>
            </w:r>
          </w:p>
          <w:p w14:paraId="61E2E77B" w14:textId="77777777" w:rsidR="006F1F8D" w:rsidRPr="003B4337" w:rsidRDefault="006F1F8D" w:rsidP="006F1F8D">
            <w:pPr>
              <w:pStyle w:val="PargrafodaLista"/>
              <w:numPr>
                <w:ilvl w:val="0"/>
                <w:numId w:val="28"/>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Evidenciação da evolução do saldo dos Investimentos e Aplicações Temporárias dos últimos cinco exercícios;</w:t>
            </w:r>
          </w:p>
          <w:p w14:paraId="58D754DD" w14:textId="77777777" w:rsidR="006F1F8D" w:rsidRPr="003B4337" w:rsidRDefault="006F1F8D" w:rsidP="006F1F8D">
            <w:pPr>
              <w:pStyle w:val="PargrafodaLista"/>
              <w:numPr>
                <w:ilvl w:val="0"/>
                <w:numId w:val="28"/>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Evidenciação da meta atuarial fixada (indicador +x%) para os investimentos e o percentual efetivamente alcançado nos últimos cinco exercícios;</w:t>
            </w:r>
          </w:p>
          <w:p w14:paraId="57DF93CD" w14:textId="77777777" w:rsidR="006F1F8D" w:rsidRPr="003B4337" w:rsidRDefault="006F1F8D" w:rsidP="006F1F8D">
            <w:pPr>
              <w:pStyle w:val="PargrafodaLista"/>
              <w:numPr>
                <w:ilvl w:val="0"/>
                <w:numId w:val="28"/>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Análise do cumprimento da política de investimentos do RPPS e do enquadramento destas aplicações aos limites legais estabelecidos pelo Conselho Monetário Nacional;</w:t>
            </w:r>
          </w:p>
          <w:p w14:paraId="3736006E" w14:textId="77777777" w:rsidR="006F1F8D" w:rsidRPr="003B4337" w:rsidRDefault="006F1F8D" w:rsidP="006F1F8D">
            <w:pPr>
              <w:pStyle w:val="PargrafodaLista"/>
              <w:numPr>
                <w:ilvl w:val="0"/>
                <w:numId w:val="28"/>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Evidenciação mensal do comportamento dos rendimentos das aplicações financeiras, segregados por segmento de aplicação, ocorridas no exercício financeiro;</w:t>
            </w:r>
          </w:p>
          <w:p w14:paraId="2DBB5773" w14:textId="77777777" w:rsidR="006F1F8D" w:rsidRPr="003B4337" w:rsidRDefault="006F1F8D" w:rsidP="006F1F8D">
            <w:pPr>
              <w:pStyle w:val="PargrafodaLista"/>
              <w:numPr>
                <w:ilvl w:val="0"/>
                <w:numId w:val="28"/>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Evidenciação da rentabilidade mensal de imóveis destinados a investimentos do RPPS;</w:t>
            </w:r>
          </w:p>
          <w:p w14:paraId="0716A84E" w14:textId="77777777" w:rsidR="006F1F8D" w:rsidRPr="003B4337" w:rsidRDefault="006F1F8D" w:rsidP="006F1F8D">
            <w:pPr>
              <w:spacing w:before="120" w:after="120" w:line="240" w:lineRule="auto"/>
              <w:jc w:val="both"/>
              <w:rPr>
                <w:rFonts w:ascii="Arial" w:eastAsia="Times New Roman" w:hAnsi="Arial" w:cs="Arial"/>
                <w:b/>
                <w:sz w:val="18"/>
                <w:szCs w:val="18"/>
                <w:lang w:eastAsia="pt-BR"/>
              </w:rPr>
            </w:pPr>
            <w:r w:rsidRPr="003B4337">
              <w:rPr>
                <w:rFonts w:ascii="Arial" w:eastAsia="Times New Roman" w:hAnsi="Arial" w:cs="Arial"/>
                <w:b/>
                <w:sz w:val="18"/>
                <w:szCs w:val="18"/>
                <w:lang w:eastAsia="pt-BR"/>
              </w:rPr>
              <w:t>Da Perícia Médica</w:t>
            </w:r>
          </w:p>
          <w:p w14:paraId="0B435D6E" w14:textId="77777777" w:rsidR="006F1F8D" w:rsidRPr="003B4337" w:rsidRDefault="006F1F8D" w:rsidP="006F1F8D">
            <w:pPr>
              <w:pStyle w:val="PargrafodaLista"/>
              <w:numPr>
                <w:ilvl w:val="0"/>
                <w:numId w:val="29"/>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Evidenciação do quadro de profissionais responsáveis pela prestação dos serviços de perícias médicas, posição em 31/12;</w:t>
            </w:r>
          </w:p>
          <w:p w14:paraId="3263F511" w14:textId="77777777" w:rsidR="006F1F8D" w:rsidRPr="003B4337" w:rsidRDefault="006F1F8D" w:rsidP="006F1F8D">
            <w:pPr>
              <w:pStyle w:val="PargrafodaLista"/>
              <w:numPr>
                <w:ilvl w:val="0"/>
                <w:numId w:val="29"/>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Relação quantitativa dos profissionais médicos por especialidade e a sua respectiva forma de contratação;</w:t>
            </w:r>
          </w:p>
          <w:p w14:paraId="3FBD582E" w14:textId="77777777" w:rsidR="006F1F8D" w:rsidRPr="003B4337" w:rsidRDefault="006F1F8D" w:rsidP="006F1F8D">
            <w:pPr>
              <w:pStyle w:val="PargrafodaLista"/>
              <w:numPr>
                <w:ilvl w:val="0"/>
                <w:numId w:val="29"/>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lastRenderedPageBreak/>
              <w:t xml:space="preserve">Quantitativo mensal de perícias médicas realizadas no exercício financeiro, segregadas por médico e tipo de perícia; </w:t>
            </w:r>
          </w:p>
          <w:p w14:paraId="5DECAFBB" w14:textId="77777777" w:rsidR="006F1F8D" w:rsidRPr="003B4337" w:rsidRDefault="006F1F8D" w:rsidP="006F1F8D">
            <w:pPr>
              <w:spacing w:before="120" w:after="120" w:line="240" w:lineRule="auto"/>
              <w:jc w:val="both"/>
              <w:rPr>
                <w:rFonts w:ascii="Arial" w:eastAsia="Times New Roman" w:hAnsi="Arial" w:cs="Arial"/>
                <w:b/>
                <w:sz w:val="18"/>
                <w:szCs w:val="18"/>
                <w:lang w:eastAsia="pt-BR"/>
              </w:rPr>
            </w:pPr>
            <w:r w:rsidRPr="003B4337">
              <w:rPr>
                <w:rFonts w:ascii="Arial" w:eastAsia="Times New Roman" w:hAnsi="Arial" w:cs="Arial"/>
                <w:b/>
                <w:sz w:val="18"/>
                <w:szCs w:val="18"/>
                <w:lang w:eastAsia="pt-BR"/>
              </w:rPr>
              <w:t>Taxa de Administração</w:t>
            </w:r>
          </w:p>
          <w:p w14:paraId="5C1E7CA9" w14:textId="77777777" w:rsidR="006F1F8D" w:rsidRPr="003B4337" w:rsidRDefault="006F1F8D" w:rsidP="006F1F8D">
            <w:pPr>
              <w:pStyle w:val="PargrafodaLista"/>
              <w:numPr>
                <w:ilvl w:val="0"/>
                <w:numId w:val="30"/>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Evidenciação mensal da base de cálculo para apuração do limite de gastos para a o exercício, por poder;</w:t>
            </w:r>
          </w:p>
          <w:p w14:paraId="18A15689" w14:textId="77777777" w:rsidR="006F1F8D" w:rsidRPr="003B4337" w:rsidRDefault="006F1F8D" w:rsidP="006F1F8D">
            <w:pPr>
              <w:pStyle w:val="PargrafodaLista"/>
              <w:numPr>
                <w:ilvl w:val="0"/>
                <w:numId w:val="30"/>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Evidenciação do cumprimento do limite de gastos no exercício;</w:t>
            </w:r>
          </w:p>
          <w:p w14:paraId="008171E8" w14:textId="77777777" w:rsidR="006F1F8D" w:rsidRPr="003B4337" w:rsidRDefault="006F1F8D" w:rsidP="006F1F8D">
            <w:pPr>
              <w:pStyle w:val="PargrafodaLista"/>
              <w:numPr>
                <w:ilvl w:val="0"/>
                <w:numId w:val="30"/>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Relação das licitações homologadas no exercício, evidenciando o fornecedor, objeto licitado e valores envolvidos;</w:t>
            </w:r>
          </w:p>
          <w:p w14:paraId="00FB843D" w14:textId="77777777" w:rsidR="006F1F8D" w:rsidRPr="003B4337" w:rsidRDefault="006F1F8D" w:rsidP="006F1F8D">
            <w:pPr>
              <w:pStyle w:val="PargrafodaLista"/>
              <w:numPr>
                <w:ilvl w:val="0"/>
                <w:numId w:val="30"/>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Relação dos contratos firmados no exercício, evidenciando os fornecedores contratos, o objeto da contratação, prazo de duração e os valores totais envolvidos no exercício;</w:t>
            </w:r>
          </w:p>
          <w:p w14:paraId="4C0CB90E" w14:textId="77777777" w:rsidR="006F1F8D" w:rsidRPr="003B4337" w:rsidRDefault="006F1F8D" w:rsidP="006F1F8D">
            <w:pPr>
              <w:spacing w:before="120" w:after="120" w:line="240" w:lineRule="auto"/>
              <w:jc w:val="both"/>
              <w:rPr>
                <w:rFonts w:ascii="Arial" w:eastAsia="Times New Roman" w:hAnsi="Arial" w:cs="Arial"/>
                <w:b/>
                <w:sz w:val="18"/>
                <w:szCs w:val="18"/>
                <w:lang w:eastAsia="pt-BR"/>
              </w:rPr>
            </w:pPr>
            <w:r w:rsidRPr="003B4337">
              <w:rPr>
                <w:rFonts w:ascii="Arial" w:eastAsia="Times New Roman" w:hAnsi="Arial" w:cs="Arial"/>
                <w:b/>
                <w:sz w:val="18"/>
                <w:szCs w:val="18"/>
                <w:lang w:eastAsia="pt-BR"/>
              </w:rPr>
              <w:t>Gestão Patrimonial</w:t>
            </w:r>
          </w:p>
          <w:p w14:paraId="1F242976" w14:textId="77777777" w:rsidR="006F1F8D" w:rsidRPr="003B4337" w:rsidRDefault="006F1F8D" w:rsidP="006F1F8D">
            <w:pPr>
              <w:pStyle w:val="PargrafodaLista"/>
              <w:numPr>
                <w:ilvl w:val="0"/>
                <w:numId w:val="31"/>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Evidenciação dos ativos e passivos de maior relevância;</w:t>
            </w:r>
          </w:p>
          <w:p w14:paraId="49575727" w14:textId="77777777" w:rsidR="006F1F8D" w:rsidRPr="003B4337" w:rsidRDefault="006F1F8D" w:rsidP="006F1F8D">
            <w:pPr>
              <w:pStyle w:val="PargrafodaLista"/>
              <w:numPr>
                <w:ilvl w:val="0"/>
                <w:numId w:val="31"/>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Evidenciação do cronograma e do cumprimento dos prazos do processo de convergência contábil, nos termos da Portaria STN nº 548, de 24 de setembro de 2015, que trata da aprovação do Plano de Implantação dos Procedimentos Contábeis Patrimoniais – PIPCP.</w:t>
            </w:r>
          </w:p>
          <w:p w14:paraId="36B7515B" w14:textId="77777777" w:rsidR="006F1F8D" w:rsidRPr="003B4337" w:rsidRDefault="006F1F8D" w:rsidP="006F1F8D">
            <w:pPr>
              <w:spacing w:before="120" w:after="120" w:line="240" w:lineRule="auto"/>
              <w:jc w:val="both"/>
              <w:rPr>
                <w:rFonts w:ascii="Arial" w:eastAsia="Times New Roman" w:hAnsi="Arial" w:cs="Arial"/>
                <w:b/>
                <w:sz w:val="18"/>
                <w:szCs w:val="18"/>
                <w:lang w:eastAsia="pt-BR"/>
              </w:rPr>
            </w:pPr>
            <w:r w:rsidRPr="003B4337">
              <w:rPr>
                <w:rFonts w:ascii="Arial" w:eastAsia="Times New Roman" w:hAnsi="Arial" w:cs="Arial"/>
                <w:b/>
                <w:sz w:val="18"/>
                <w:szCs w:val="18"/>
                <w:lang w:eastAsia="pt-BR"/>
              </w:rPr>
              <w:t>Gestão Atuarial</w:t>
            </w:r>
          </w:p>
          <w:p w14:paraId="31B8CFE6" w14:textId="77777777" w:rsidR="006F1F8D" w:rsidRPr="003B4337" w:rsidRDefault="006F1F8D" w:rsidP="006F1F8D">
            <w:pPr>
              <w:pStyle w:val="PargrafodaLista"/>
              <w:numPr>
                <w:ilvl w:val="0"/>
                <w:numId w:val="32"/>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Informações sobre a empresa e os atuários responsáveis pela elaboração das últimas cinco avaliações atuariais anuais, seus respectivos contratos e valores dispendidos;</w:t>
            </w:r>
          </w:p>
          <w:p w14:paraId="1A0C7B1B" w14:textId="77777777" w:rsidR="006F1F8D" w:rsidRPr="003B4337" w:rsidRDefault="006F1F8D" w:rsidP="006F1F8D">
            <w:pPr>
              <w:pStyle w:val="PargrafodaLista"/>
              <w:numPr>
                <w:ilvl w:val="0"/>
                <w:numId w:val="32"/>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Comparativo detalhado do resultado atuarial (ativo e passivo) dos últimos cinco exercícios;</w:t>
            </w:r>
          </w:p>
          <w:p w14:paraId="6BDB7866" w14:textId="77777777" w:rsidR="006F1F8D" w:rsidRPr="003B4337" w:rsidRDefault="006F1F8D" w:rsidP="006F1F8D">
            <w:pPr>
              <w:pStyle w:val="PargrafodaLista"/>
              <w:numPr>
                <w:ilvl w:val="0"/>
                <w:numId w:val="32"/>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Detalhamento do plano de amortização do déficit atuarial adotado pelo ente, instituído por lei;</w:t>
            </w:r>
          </w:p>
          <w:p w14:paraId="5DA6C6BB" w14:textId="77777777" w:rsidR="006F1F8D" w:rsidRPr="003B4337" w:rsidRDefault="006F1F8D" w:rsidP="006F1F8D">
            <w:pPr>
              <w:pStyle w:val="PargrafodaLista"/>
              <w:numPr>
                <w:ilvl w:val="0"/>
                <w:numId w:val="32"/>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Evidenciação dos aportes atuariais recebidos nos últimos cinco exercícios;</w:t>
            </w:r>
          </w:p>
          <w:p w14:paraId="6222E081" w14:textId="77777777" w:rsidR="006F1F8D" w:rsidRPr="003B4337" w:rsidRDefault="006F1F8D" w:rsidP="006F1F8D">
            <w:pPr>
              <w:spacing w:before="120" w:after="120" w:line="240" w:lineRule="auto"/>
              <w:jc w:val="both"/>
              <w:rPr>
                <w:rFonts w:ascii="Arial" w:eastAsia="Times New Roman" w:hAnsi="Arial" w:cs="Arial"/>
                <w:b/>
                <w:sz w:val="18"/>
                <w:szCs w:val="18"/>
                <w:lang w:eastAsia="pt-BR"/>
              </w:rPr>
            </w:pPr>
            <w:r w:rsidRPr="003B4337">
              <w:rPr>
                <w:rFonts w:ascii="Arial" w:eastAsia="Times New Roman" w:hAnsi="Arial" w:cs="Arial"/>
                <w:b/>
                <w:sz w:val="18"/>
                <w:szCs w:val="18"/>
                <w:lang w:eastAsia="pt-BR"/>
              </w:rPr>
              <w:t>Gestão de Pessoas</w:t>
            </w:r>
          </w:p>
          <w:p w14:paraId="6F0B9644" w14:textId="77777777" w:rsidR="006F1F8D" w:rsidRPr="003B4337" w:rsidRDefault="006F1F8D" w:rsidP="006F1F8D">
            <w:pPr>
              <w:pStyle w:val="PargrafodaLista"/>
              <w:numPr>
                <w:ilvl w:val="0"/>
                <w:numId w:val="33"/>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Evidenciação o quantitativo de servidores que o RPPS possui para realização das suas atividades (contratados, comissionados, efetivos e/ou cedidos), os treinamentos que os mesmos realizaram no decorrer do exercício, além da sua respectiva política de remuneração (Plano de Carreira, Vantagens Pessoais, Auxílios, etc.).</w:t>
            </w:r>
          </w:p>
        </w:tc>
        <w:tc>
          <w:tcPr>
            <w:tcW w:w="992" w:type="dxa"/>
            <w:shd w:val="clear" w:color="auto" w:fill="auto"/>
            <w:vAlign w:val="center"/>
          </w:tcPr>
          <w:p w14:paraId="2A90B401" w14:textId="77777777" w:rsidR="006F1F8D" w:rsidRPr="003B4337" w:rsidRDefault="006F1F8D" w:rsidP="006F1F8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lastRenderedPageBreak/>
              <w:t>PDF</w:t>
            </w:r>
          </w:p>
        </w:tc>
        <w:tc>
          <w:tcPr>
            <w:tcW w:w="1418" w:type="dxa"/>
            <w:vAlign w:val="center"/>
          </w:tcPr>
          <w:p w14:paraId="0C56433D" w14:textId="77777777" w:rsidR="006F1F8D" w:rsidRPr="003B4337" w:rsidRDefault="006F1F8D" w:rsidP="006F1F8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134" w:type="dxa"/>
            <w:vAlign w:val="center"/>
          </w:tcPr>
          <w:p w14:paraId="645E2977" w14:textId="77777777" w:rsidR="006F1F8D" w:rsidRPr="003B4337" w:rsidRDefault="006F1F8D" w:rsidP="006F1F8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417" w:type="dxa"/>
            <w:vAlign w:val="center"/>
          </w:tcPr>
          <w:p w14:paraId="0B699DD0" w14:textId="77777777" w:rsidR="006F1F8D" w:rsidRPr="003B4337" w:rsidRDefault="006F1F8D" w:rsidP="006F1F8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417" w:type="dxa"/>
            <w:vAlign w:val="center"/>
          </w:tcPr>
          <w:p w14:paraId="31E1AD6A" w14:textId="28C654D9" w:rsidR="006F1F8D" w:rsidRPr="006F1F8D" w:rsidRDefault="006F1F8D" w:rsidP="006F1F8D">
            <w:pPr>
              <w:spacing w:after="0" w:line="240" w:lineRule="auto"/>
              <w:jc w:val="center"/>
              <w:rPr>
                <w:rFonts w:ascii="Arial" w:eastAsia="Times New Roman" w:hAnsi="Arial" w:cs="Arial"/>
                <w:sz w:val="14"/>
                <w:szCs w:val="14"/>
                <w:lang w:eastAsia="pt-BR"/>
              </w:rPr>
            </w:pPr>
            <w:r w:rsidRPr="006F1F8D">
              <w:rPr>
                <w:rFonts w:ascii="Arial" w:eastAsia="Times New Roman" w:hAnsi="Arial" w:cs="Arial"/>
                <w:sz w:val="14"/>
                <w:szCs w:val="14"/>
                <w:lang w:eastAsia="pt-BR"/>
              </w:rPr>
              <w:t>X</w:t>
            </w:r>
          </w:p>
        </w:tc>
      </w:tr>
      <w:tr w:rsidR="006F1F8D" w:rsidRPr="00A5490A" w14:paraId="0035085F" w14:textId="09AB4C3D" w:rsidTr="006F1F8D">
        <w:tc>
          <w:tcPr>
            <w:tcW w:w="1294" w:type="dxa"/>
            <w:vAlign w:val="center"/>
          </w:tcPr>
          <w:p w14:paraId="113ADECC" w14:textId="77777777" w:rsidR="006F1F8D" w:rsidRPr="00A5490A" w:rsidRDefault="006F1F8D" w:rsidP="006F1F8D">
            <w:pPr>
              <w:spacing w:after="0" w:line="240" w:lineRule="auto"/>
              <w:jc w:val="center"/>
              <w:rPr>
                <w:rFonts w:ascii="Arial" w:eastAsia="Times New Roman" w:hAnsi="Arial" w:cs="Arial"/>
                <w:bCs/>
                <w:sz w:val="18"/>
                <w:szCs w:val="18"/>
                <w:lang w:eastAsia="pt-BR"/>
              </w:rPr>
            </w:pPr>
            <w:r w:rsidRPr="00A5490A">
              <w:rPr>
                <w:rFonts w:ascii="Arial" w:eastAsia="Times New Roman" w:hAnsi="Arial" w:cs="Arial"/>
                <w:bCs/>
                <w:sz w:val="18"/>
                <w:szCs w:val="18"/>
                <w:lang w:eastAsia="pt-BR"/>
              </w:rPr>
              <w:lastRenderedPageBreak/>
              <w:t>RELUCI</w:t>
            </w:r>
          </w:p>
        </w:tc>
        <w:tc>
          <w:tcPr>
            <w:tcW w:w="6894" w:type="dxa"/>
            <w:shd w:val="clear" w:color="auto" w:fill="auto"/>
            <w:vAlign w:val="center"/>
          </w:tcPr>
          <w:p w14:paraId="1A81EA64" w14:textId="3EC209B7" w:rsidR="006F1F8D" w:rsidRPr="003B4337" w:rsidRDefault="006F1F8D" w:rsidP="006F1F8D">
            <w:pPr>
              <w:spacing w:before="120" w:after="120" w:line="240" w:lineRule="auto"/>
              <w:jc w:val="both"/>
              <w:rPr>
                <w:rFonts w:ascii="Arial" w:eastAsia="Times New Roman" w:hAnsi="Arial" w:cs="Arial"/>
                <w:bCs/>
                <w:sz w:val="18"/>
                <w:szCs w:val="18"/>
                <w:lang w:eastAsia="pt-BR"/>
              </w:rPr>
            </w:pPr>
            <w:r w:rsidRPr="003B4337">
              <w:rPr>
                <w:rFonts w:ascii="Arial" w:eastAsia="Times New Roman" w:hAnsi="Arial" w:cs="Arial"/>
                <w:bCs/>
                <w:sz w:val="18"/>
                <w:szCs w:val="18"/>
                <w:lang w:eastAsia="pt-BR"/>
              </w:rPr>
              <w:t xml:space="preserve">Relatório e parecer conclusivo emitido pelo controle interno, assinado por seu responsável, contendo os elementos </w:t>
            </w:r>
            <w:r w:rsidRPr="006F1F8D">
              <w:rPr>
                <w:rFonts w:ascii="Arial" w:eastAsia="Times New Roman" w:hAnsi="Arial" w:cs="Arial"/>
                <w:bCs/>
                <w:sz w:val="18"/>
                <w:szCs w:val="18"/>
                <w:lang w:eastAsia="pt-BR"/>
              </w:rPr>
              <w:t xml:space="preserve">sugeridos no item 3.2 </w:t>
            </w:r>
            <w:r w:rsidRPr="006F1F8D">
              <w:rPr>
                <w:rFonts w:ascii="Arial" w:eastAsia="Times New Roman" w:hAnsi="Arial" w:cs="Arial"/>
                <w:sz w:val="18"/>
                <w:szCs w:val="18"/>
                <w:lang w:eastAsia="pt-BR"/>
              </w:rPr>
              <w:t>deste Anexo</w:t>
            </w:r>
            <w:r w:rsidRPr="006F1F8D">
              <w:rPr>
                <w:rFonts w:ascii="Arial" w:eastAsia="Times New Roman" w:hAnsi="Arial" w:cs="Arial"/>
                <w:bCs/>
                <w:sz w:val="18"/>
                <w:szCs w:val="18"/>
                <w:lang w:eastAsia="pt-BR"/>
              </w:rPr>
              <w:t xml:space="preserve">. </w:t>
            </w:r>
            <w:r w:rsidRPr="003B4337">
              <w:rPr>
                <w:rFonts w:ascii="Arial" w:eastAsia="Times New Roman" w:hAnsi="Arial" w:cs="Arial"/>
                <w:bCs/>
                <w:sz w:val="18"/>
                <w:szCs w:val="18"/>
                <w:lang w:eastAsia="pt-BR"/>
              </w:rPr>
              <w:t xml:space="preserve">(Artigo 135, § 4º c/c artigo 137, IV do RITCEES, aprovado pela Resolução TC nº 261/2013) </w:t>
            </w:r>
          </w:p>
        </w:tc>
        <w:tc>
          <w:tcPr>
            <w:tcW w:w="992" w:type="dxa"/>
            <w:shd w:val="clear" w:color="auto" w:fill="auto"/>
            <w:vAlign w:val="center"/>
          </w:tcPr>
          <w:p w14:paraId="0509AD3D" w14:textId="77777777" w:rsidR="006F1F8D" w:rsidRPr="003B4337" w:rsidRDefault="006F1F8D" w:rsidP="006F1F8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c>
          <w:tcPr>
            <w:tcW w:w="1418" w:type="dxa"/>
            <w:vAlign w:val="center"/>
          </w:tcPr>
          <w:p w14:paraId="5F47A565" w14:textId="77777777" w:rsidR="006F1F8D" w:rsidRPr="003B4337" w:rsidRDefault="006F1F8D" w:rsidP="006F1F8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134" w:type="dxa"/>
            <w:vAlign w:val="center"/>
          </w:tcPr>
          <w:p w14:paraId="5AA10249" w14:textId="77777777" w:rsidR="006F1F8D" w:rsidRPr="003B4337" w:rsidRDefault="006F1F8D" w:rsidP="006F1F8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417" w:type="dxa"/>
            <w:vAlign w:val="center"/>
          </w:tcPr>
          <w:p w14:paraId="6DE18841" w14:textId="77777777" w:rsidR="006F1F8D" w:rsidRPr="003B4337" w:rsidRDefault="006F1F8D" w:rsidP="006F1F8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417" w:type="dxa"/>
            <w:vAlign w:val="center"/>
          </w:tcPr>
          <w:p w14:paraId="1222CB98" w14:textId="5BB1CBAB" w:rsidR="006F1F8D" w:rsidRPr="006F1F8D" w:rsidRDefault="006F1F8D" w:rsidP="006F1F8D">
            <w:pPr>
              <w:spacing w:after="0" w:line="240" w:lineRule="auto"/>
              <w:jc w:val="center"/>
              <w:rPr>
                <w:rFonts w:ascii="Arial" w:eastAsia="Times New Roman" w:hAnsi="Arial" w:cs="Arial"/>
                <w:sz w:val="14"/>
                <w:szCs w:val="14"/>
                <w:lang w:eastAsia="pt-BR"/>
              </w:rPr>
            </w:pPr>
            <w:r w:rsidRPr="006F1F8D">
              <w:rPr>
                <w:rFonts w:ascii="Arial" w:eastAsia="Times New Roman" w:hAnsi="Arial" w:cs="Arial"/>
                <w:sz w:val="14"/>
                <w:szCs w:val="14"/>
                <w:lang w:eastAsia="pt-BR"/>
              </w:rPr>
              <w:t>X</w:t>
            </w:r>
          </w:p>
        </w:tc>
      </w:tr>
      <w:tr w:rsidR="006F1F8D" w:rsidRPr="00A5490A" w14:paraId="47CC4B51" w14:textId="7154347F" w:rsidTr="006F1F8D">
        <w:trPr>
          <w:trHeight w:val="907"/>
        </w:trPr>
        <w:tc>
          <w:tcPr>
            <w:tcW w:w="1294" w:type="dxa"/>
            <w:vAlign w:val="center"/>
          </w:tcPr>
          <w:p w14:paraId="0D8EE793" w14:textId="77777777" w:rsidR="006F1F8D" w:rsidRPr="00A5490A" w:rsidRDefault="006F1F8D" w:rsidP="006F1F8D">
            <w:pPr>
              <w:spacing w:after="0" w:line="240" w:lineRule="auto"/>
              <w:jc w:val="center"/>
              <w:rPr>
                <w:rFonts w:ascii="Arial" w:hAnsi="Arial" w:cs="Arial"/>
                <w:sz w:val="18"/>
                <w:szCs w:val="18"/>
              </w:rPr>
            </w:pPr>
            <w:r w:rsidRPr="0054455D">
              <w:rPr>
                <w:rFonts w:ascii="Arial" w:eastAsia="Times New Roman" w:hAnsi="Arial" w:cs="Arial"/>
                <w:bCs/>
                <w:sz w:val="18"/>
                <w:szCs w:val="18"/>
                <w:lang w:eastAsia="pt-BR"/>
              </w:rPr>
              <w:t>RELACI</w:t>
            </w:r>
          </w:p>
        </w:tc>
        <w:tc>
          <w:tcPr>
            <w:tcW w:w="6894" w:type="dxa"/>
            <w:shd w:val="clear" w:color="auto" w:fill="auto"/>
            <w:vAlign w:val="center"/>
          </w:tcPr>
          <w:p w14:paraId="206B0325" w14:textId="52ECB90C" w:rsidR="006F1F8D" w:rsidRPr="006F1F8D" w:rsidRDefault="006F1F8D" w:rsidP="006F1F8D">
            <w:pPr>
              <w:spacing w:before="120" w:after="120" w:line="240" w:lineRule="auto"/>
              <w:jc w:val="both"/>
              <w:rPr>
                <w:rFonts w:ascii="Arial" w:eastAsia="Times New Roman" w:hAnsi="Arial" w:cs="Arial"/>
                <w:bCs/>
                <w:sz w:val="18"/>
                <w:szCs w:val="18"/>
                <w:lang w:eastAsia="pt-BR"/>
              </w:rPr>
            </w:pPr>
            <w:r w:rsidRPr="0054455D">
              <w:rPr>
                <w:rFonts w:ascii="Arial" w:eastAsia="Times New Roman" w:hAnsi="Arial" w:cs="Arial"/>
                <w:bCs/>
                <w:sz w:val="18"/>
                <w:szCs w:val="18"/>
                <w:lang w:eastAsia="pt-BR"/>
              </w:rPr>
              <w:t xml:space="preserve">Relatório de atividades realizadas pela Unidade de Controle Interno na UG, contendo informações acerca dos procedimentos relativos ao Plano Anual de Auditorias Internas – PAAI, executadas no exercício, com os elementos sugeridos </w:t>
            </w:r>
            <w:r>
              <w:rPr>
                <w:rFonts w:ascii="Arial" w:eastAsia="Times New Roman" w:hAnsi="Arial" w:cs="Arial"/>
                <w:bCs/>
                <w:sz w:val="18"/>
                <w:szCs w:val="18"/>
                <w:lang w:eastAsia="pt-BR"/>
              </w:rPr>
              <w:t xml:space="preserve">no </w:t>
            </w:r>
            <w:r w:rsidRPr="009378BD">
              <w:rPr>
                <w:rFonts w:ascii="Arial" w:eastAsia="Times New Roman" w:hAnsi="Arial" w:cs="Arial"/>
                <w:bCs/>
                <w:sz w:val="18"/>
                <w:szCs w:val="18"/>
                <w:lang w:eastAsia="pt-BR"/>
              </w:rPr>
              <w:t>item 3.2 deste Anexo.</w:t>
            </w:r>
          </w:p>
        </w:tc>
        <w:tc>
          <w:tcPr>
            <w:tcW w:w="992" w:type="dxa"/>
            <w:shd w:val="clear" w:color="auto" w:fill="auto"/>
            <w:vAlign w:val="center"/>
          </w:tcPr>
          <w:p w14:paraId="446474F0" w14:textId="77777777" w:rsidR="006F1F8D" w:rsidRPr="0054455D" w:rsidRDefault="006F1F8D" w:rsidP="006F1F8D">
            <w:pPr>
              <w:spacing w:after="0" w:line="240" w:lineRule="auto"/>
              <w:jc w:val="center"/>
              <w:rPr>
                <w:rFonts w:ascii="Arial" w:eastAsia="Times New Roman" w:hAnsi="Arial" w:cs="Arial"/>
                <w:sz w:val="14"/>
                <w:szCs w:val="14"/>
                <w:lang w:eastAsia="pt-BR"/>
              </w:rPr>
            </w:pPr>
            <w:r w:rsidRPr="0054455D">
              <w:rPr>
                <w:rFonts w:ascii="Arial" w:eastAsia="Times New Roman" w:hAnsi="Arial" w:cs="Arial"/>
                <w:sz w:val="14"/>
                <w:szCs w:val="14"/>
                <w:lang w:eastAsia="pt-BR"/>
              </w:rPr>
              <w:t>PDF</w:t>
            </w:r>
          </w:p>
        </w:tc>
        <w:tc>
          <w:tcPr>
            <w:tcW w:w="1418" w:type="dxa"/>
            <w:vAlign w:val="center"/>
          </w:tcPr>
          <w:p w14:paraId="5CE6F480" w14:textId="77777777" w:rsidR="006F1F8D" w:rsidRPr="0054455D" w:rsidRDefault="006F1F8D" w:rsidP="006F1F8D">
            <w:pPr>
              <w:spacing w:after="0" w:line="240" w:lineRule="auto"/>
              <w:jc w:val="center"/>
              <w:rPr>
                <w:rFonts w:ascii="Arial" w:eastAsia="Times New Roman" w:hAnsi="Arial" w:cs="Arial"/>
                <w:sz w:val="14"/>
                <w:szCs w:val="14"/>
                <w:lang w:eastAsia="pt-BR"/>
              </w:rPr>
            </w:pPr>
            <w:r w:rsidRPr="0054455D">
              <w:rPr>
                <w:rFonts w:ascii="Arial" w:eastAsia="Times New Roman" w:hAnsi="Arial" w:cs="Arial"/>
                <w:sz w:val="14"/>
                <w:szCs w:val="14"/>
                <w:lang w:eastAsia="pt-BR"/>
              </w:rPr>
              <w:t>X</w:t>
            </w:r>
          </w:p>
        </w:tc>
        <w:tc>
          <w:tcPr>
            <w:tcW w:w="1134" w:type="dxa"/>
            <w:vAlign w:val="center"/>
          </w:tcPr>
          <w:p w14:paraId="233EC01F" w14:textId="77777777" w:rsidR="006F1F8D" w:rsidRPr="0054455D" w:rsidRDefault="006F1F8D" w:rsidP="006F1F8D">
            <w:pPr>
              <w:spacing w:after="0" w:line="240" w:lineRule="auto"/>
              <w:jc w:val="center"/>
              <w:rPr>
                <w:rFonts w:ascii="Arial" w:eastAsia="Times New Roman" w:hAnsi="Arial" w:cs="Arial"/>
                <w:sz w:val="14"/>
                <w:szCs w:val="14"/>
                <w:lang w:eastAsia="pt-BR"/>
              </w:rPr>
            </w:pPr>
            <w:r w:rsidRPr="0054455D">
              <w:rPr>
                <w:rFonts w:ascii="Arial" w:eastAsia="Times New Roman" w:hAnsi="Arial" w:cs="Arial"/>
                <w:sz w:val="14"/>
                <w:szCs w:val="14"/>
                <w:lang w:eastAsia="pt-BR"/>
              </w:rPr>
              <w:t>X</w:t>
            </w:r>
          </w:p>
        </w:tc>
        <w:tc>
          <w:tcPr>
            <w:tcW w:w="1417" w:type="dxa"/>
            <w:vAlign w:val="center"/>
          </w:tcPr>
          <w:p w14:paraId="395D3523" w14:textId="77777777" w:rsidR="006F1F8D" w:rsidRPr="0054455D" w:rsidRDefault="006F1F8D" w:rsidP="006F1F8D">
            <w:pPr>
              <w:spacing w:after="0" w:line="240" w:lineRule="auto"/>
              <w:jc w:val="center"/>
              <w:rPr>
                <w:rFonts w:ascii="Arial" w:eastAsia="Times New Roman" w:hAnsi="Arial" w:cs="Arial"/>
                <w:sz w:val="14"/>
                <w:szCs w:val="14"/>
                <w:lang w:eastAsia="pt-BR"/>
              </w:rPr>
            </w:pPr>
            <w:r w:rsidRPr="0054455D">
              <w:rPr>
                <w:rFonts w:ascii="Arial" w:eastAsia="Times New Roman" w:hAnsi="Arial" w:cs="Arial"/>
                <w:sz w:val="14"/>
                <w:szCs w:val="14"/>
                <w:lang w:eastAsia="pt-BR"/>
              </w:rPr>
              <w:t>X</w:t>
            </w:r>
          </w:p>
        </w:tc>
        <w:tc>
          <w:tcPr>
            <w:tcW w:w="1417" w:type="dxa"/>
            <w:vAlign w:val="center"/>
          </w:tcPr>
          <w:p w14:paraId="1E206A49" w14:textId="4EDF39DC" w:rsidR="006F1F8D" w:rsidRPr="006F1F8D" w:rsidRDefault="006F1F8D" w:rsidP="006F1F8D">
            <w:pPr>
              <w:spacing w:after="0" w:line="240" w:lineRule="auto"/>
              <w:jc w:val="center"/>
              <w:rPr>
                <w:rFonts w:ascii="Arial" w:eastAsia="Times New Roman" w:hAnsi="Arial" w:cs="Arial"/>
                <w:sz w:val="14"/>
                <w:szCs w:val="14"/>
                <w:lang w:eastAsia="pt-BR"/>
              </w:rPr>
            </w:pPr>
            <w:r w:rsidRPr="006F1F8D">
              <w:rPr>
                <w:rFonts w:ascii="Arial" w:eastAsia="Times New Roman" w:hAnsi="Arial" w:cs="Arial"/>
                <w:sz w:val="14"/>
                <w:szCs w:val="14"/>
                <w:lang w:eastAsia="pt-BR"/>
              </w:rPr>
              <w:t>X</w:t>
            </w:r>
          </w:p>
        </w:tc>
      </w:tr>
      <w:tr w:rsidR="00C112E6" w:rsidRPr="00EA427A" w14:paraId="17CF367E" w14:textId="77777777" w:rsidTr="006F1F8D">
        <w:trPr>
          <w:trHeight w:val="907"/>
        </w:trPr>
        <w:tc>
          <w:tcPr>
            <w:tcW w:w="1294" w:type="dxa"/>
            <w:vAlign w:val="center"/>
          </w:tcPr>
          <w:p w14:paraId="3914091D" w14:textId="633298C0" w:rsidR="00C112E6" w:rsidRPr="00EA427A" w:rsidRDefault="00C112E6" w:rsidP="00C112E6">
            <w:pPr>
              <w:spacing w:after="0" w:line="240" w:lineRule="auto"/>
              <w:jc w:val="center"/>
              <w:rPr>
                <w:rFonts w:ascii="Arial" w:eastAsia="Times New Roman" w:hAnsi="Arial" w:cs="Arial"/>
                <w:bCs/>
                <w:sz w:val="18"/>
                <w:szCs w:val="18"/>
                <w:lang w:eastAsia="pt-BR"/>
              </w:rPr>
            </w:pPr>
            <w:r w:rsidRPr="005173FE">
              <w:rPr>
                <w:rFonts w:ascii="Arial" w:eastAsia="Times New Roman" w:hAnsi="Arial" w:cs="Arial"/>
                <w:sz w:val="18"/>
                <w:szCs w:val="18"/>
                <w:lang w:eastAsia="pt-BR"/>
              </w:rPr>
              <w:t>INFOCI</w:t>
            </w:r>
          </w:p>
        </w:tc>
        <w:tc>
          <w:tcPr>
            <w:tcW w:w="6894" w:type="dxa"/>
            <w:shd w:val="clear" w:color="auto" w:fill="auto"/>
            <w:vAlign w:val="center"/>
          </w:tcPr>
          <w:p w14:paraId="50AE7A39" w14:textId="4F8222D9" w:rsidR="00C112E6" w:rsidRPr="00EA427A" w:rsidRDefault="00AA77C8" w:rsidP="00C112E6">
            <w:pPr>
              <w:spacing w:before="120" w:after="120" w:line="240" w:lineRule="auto"/>
              <w:jc w:val="both"/>
              <w:rPr>
                <w:rFonts w:ascii="Arial" w:eastAsia="Times New Roman" w:hAnsi="Arial" w:cs="Arial"/>
                <w:bCs/>
                <w:sz w:val="18"/>
                <w:szCs w:val="18"/>
                <w:lang w:eastAsia="pt-BR"/>
              </w:rPr>
            </w:pPr>
            <w:r>
              <w:rPr>
                <w:rFonts w:ascii="Arial" w:eastAsia="Calibri" w:hAnsi="Arial" w:cs="Times New Roman"/>
                <w:sz w:val="18"/>
                <w:szCs w:val="18"/>
              </w:rPr>
              <w:t>I</w:t>
            </w:r>
            <w:r w:rsidRPr="00462640">
              <w:rPr>
                <w:rFonts w:ascii="Arial" w:eastAsia="Calibri" w:hAnsi="Arial" w:cs="Times New Roman"/>
                <w:sz w:val="18"/>
                <w:szCs w:val="18"/>
              </w:rPr>
              <w:t>nformações da unidade de Controle Interno, bem como as informações sobre a atuação do Controle Interno na verificação dos pontos de controle destinados à emissão do parecer sobre as Prestações de Contas Anuais</w:t>
            </w:r>
            <w:r w:rsidRPr="00792F95">
              <w:rPr>
                <w:rFonts w:ascii="Arial" w:eastAsia="Calibri" w:hAnsi="Arial" w:cs="Times New Roman"/>
                <w:sz w:val="18"/>
                <w:szCs w:val="18"/>
              </w:rPr>
              <w:t>, conforme layout constante do item 3.1 deste Anexo.</w:t>
            </w:r>
          </w:p>
        </w:tc>
        <w:tc>
          <w:tcPr>
            <w:tcW w:w="992" w:type="dxa"/>
            <w:shd w:val="clear" w:color="auto" w:fill="auto"/>
            <w:vAlign w:val="center"/>
          </w:tcPr>
          <w:p w14:paraId="5093AAA2" w14:textId="3E9D8924" w:rsidR="00C112E6" w:rsidRPr="00EA427A" w:rsidRDefault="00C112E6" w:rsidP="00C112E6">
            <w:pPr>
              <w:spacing w:after="0" w:line="240" w:lineRule="auto"/>
              <w:jc w:val="center"/>
              <w:rPr>
                <w:rFonts w:ascii="Arial" w:eastAsia="Times New Roman" w:hAnsi="Arial" w:cs="Arial"/>
                <w:sz w:val="14"/>
                <w:szCs w:val="14"/>
                <w:lang w:eastAsia="pt-BR"/>
              </w:rPr>
            </w:pPr>
            <w:r w:rsidRPr="005173FE">
              <w:rPr>
                <w:rFonts w:ascii="Arial" w:eastAsia="Times New Roman" w:hAnsi="Arial" w:cs="Arial"/>
                <w:sz w:val="14"/>
                <w:szCs w:val="14"/>
                <w:lang w:eastAsia="pt-BR"/>
              </w:rPr>
              <w:t>XML</w:t>
            </w:r>
          </w:p>
        </w:tc>
        <w:tc>
          <w:tcPr>
            <w:tcW w:w="1418" w:type="dxa"/>
            <w:vAlign w:val="center"/>
          </w:tcPr>
          <w:p w14:paraId="4C05DF18" w14:textId="1CB1090C" w:rsidR="00C112E6" w:rsidRPr="00EA427A" w:rsidRDefault="00C112E6" w:rsidP="00C112E6">
            <w:pPr>
              <w:spacing w:after="0" w:line="240" w:lineRule="auto"/>
              <w:jc w:val="center"/>
              <w:rPr>
                <w:rFonts w:ascii="Arial" w:eastAsia="Times New Roman" w:hAnsi="Arial" w:cs="Arial"/>
                <w:sz w:val="14"/>
                <w:szCs w:val="14"/>
                <w:lang w:eastAsia="pt-BR"/>
              </w:rPr>
            </w:pPr>
            <w:r w:rsidRPr="00EA427A">
              <w:rPr>
                <w:rFonts w:ascii="Arial" w:eastAsia="Times New Roman" w:hAnsi="Arial" w:cs="Arial"/>
                <w:sz w:val="14"/>
                <w:szCs w:val="14"/>
                <w:lang w:eastAsia="pt-BR"/>
              </w:rPr>
              <w:t>X</w:t>
            </w:r>
          </w:p>
        </w:tc>
        <w:tc>
          <w:tcPr>
            <w:tcW w:w="1134" w:type="dxa"/>
            <w:vAlign w:val="center"/>
          </w:tcPr>
          <w:p w14:paraId="184C782F" w14:textId="4EB4E401" w:rsidR="00C112E6" w:rsidRPr="00EA427A" w:rsidRDefault="00C112E6" w:rsidP="00C112E6">
            <w:pPr>
              <w:spacing w:after="0" w:line="240" w:lineRule="auto"/>
              <w:jc w:val="center"/>
              <w:rPr>
                <w:rFonts w:ascii="Arial" w:eastAsia="Times New Roman" w:hAnsi="Arial" w:cs="Arial"/>
                <w:sz w:val="14"/>
                <w:szCs w:val="14"/>
                <w:lang w:eastAsia="pt-BR"/>
              </w:rPr>
            </w:pPr>
            <w:r w:rsidRPr="00EA427A">
              <w:rPr>
                <w:rFonts w:ascii="Arial" w:eastAsia="Times New Roman" w:hAnsi="Arial" w:cs="Arial"/>
                <w:sz w:val="14"/>
                <w:szCs w:val="14"/>
                <w:lang w:eastAsia="pt-BR"/>
              </w:rPr>
              <w:t>X</w:t>
            </w:r>
          </w:p>
        </w:tc>
        <w:tc>
          <w:tcPr>
            <w:tcW w:w="1417" w:type="dxa"/>
            <w:vAlign w:val="center"/>
          </w:tcPr>
          <w:p w14:paraId="48AB5C18" w14:textId="0C9BE19E" w:rsidR="00C112E6" w:rsidRPr="00EA427A" w:rsidRDefault="00C112E6" w:rsidP="00C112E6">
            <w:pPr>
              <w:spacing w:after="0" w:line="240" w:lineRule="auto"/>
              <w:jc w:val="center"/>
              <w:rPr>
                <w:rFonts w:ascii="Arial" w:eastAsia="Times New Roman" w:hAnsi="Arial" w:cs="Arial"/>
                <w:sz w:val="14"/>
                <w:szCs w:val="14"/>
                <w:lang w:eastAsia="pt-BR"/>
              </w:rPr>
            </w:pPr>
            <w:r w:rsidRPr="00EA427A">
              <w:rPr>
                <w:rFonts w:ascii="Arial" w:eastAsia="Times New Roman" w:hAnsi="Arial" w:cs="Arial"/>
                <w:sz w:val="14"/>
                <w:szCs w:val="14"/>
                <w:lang w:eastAsia="pt-BR"/>
              </w:rPr>
              <w:t>X</w:t>
            </w:r>
          </w:p>
        </w:tc>
        <w:tc>
          <w:tcPr>
            <w:tcW w:w="1417" w:type="dxa"/>
            <w:vAlign w:val="center"/>
          </w:tcPr>
          <w:p w14:paraId="70F8E752" w14:textId="532B296A" w:rsidR="00C112E6" w:rsidRPr="00EA427A" w:rsidRDefault="00C112E6" w:rsidP="00C112E6">
            <w:pPr>
              <w:spacing w:after="0" w:line="240" w:lineRule="auto"/>
              <w:jc w:val="center"/>
              <w:rPr>
                <w:rFonts w:ascii="Arial" w:eastAsia="Times New Roman" w:hAnsi="Arial" w:cs="Arial"/>
                <w:sz w:val="14"/>
                <w:szCs w:val="14"/>
                <w:lang w:eastAsia="pt-BR"/>
              </w:rPr>
            </w:pPr>
            <w:r w:rsidRPr="00EA427A">
              <w:rPr>
                <w:rFonts w:ascii="Arial" w:eastAsia="Times New Roman" w:hAnsi="Arial" w:cs="Arial"/>
                <w:sz w:val="14"/>
                <w:szCs w:val="14"/>
                <w:lang w:eastAsia="pt-BR"/>
              </w:rPr>
              <w:t>X</w:t>
            </w:r>
          </w:p>
        </w:tc>
      </w:tr>
      <w:tr w:rsidR="006F1F8D" w:rsidRPr="00A5490A" w14:paraId="1CB400AB" w14:textId="29286EDF" w:rsidTr="006F1F8D">
        <w:trPr>
          <w:trHeight w:val="907"/>
        </w:trPr>
        <w:tc>
          <w:tcPr>
            <w:tcW w:w="1294" w:type="dxa"/>
            <w:vAlign w:val="center"/>
          </w:tcPr>
          <w:p w14:paraId="037246D5" w14:textId="77777777" w:rsidR="006F1F8D" w:rsidRPr="003B4337" w:rsidRDefault="006F1F8D" w:rsidP="006F1F8D">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PROEXE</w:t>
            </w:r>
          </w:p>
        </w:tc>
        <w:tc>
          <w:tcPr>
            <w:tcW w:w="6894" w:type="dxa"/>
            <w:shd w:val="clear" w:color="auto" w:fill="auto"/>
            <w:vAlign w:val="center"/>
          </w:tcPr>
          <w:p w14:paraId="52141C24" w14:textId="77777777" w:rsidR="006F1F8D" w:rsidRPr="003B4337" w:rsidRDefault="006F1F8D" w:rsidP="006F1F8D">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Pronunciamento expresso do responsável pelo RPPS atestando ter tomado conhecimento das conclusões contidas no parecer conclusivo emitido pelo controle interno, a que se refere o parágrafo único, do artigo 4º, da Resolução TC nº 227/2011.</w:t>
            </w:r>
          </w:p>
        </w:tc>
        <w:tc>
          <w:tcPr>
            <w:tcW w:w="992" w:type="dxa"/>
            <w:shd w:val="clear" w:color="auto" w:fill="auto"/>
            <w:vAlign w:val="center"/>
          </w:tcPr>
          <w:p w14:paraId="688864D9" w14:textId="77777777" w:rsidR="006F1F8D" w:rsidRPr="003B4337" w:rsidRDefault="006F1F8D" w:rsidP="006F1F8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c>
          <w:tcPr>
            <w:tcW w:w="1418" w:type="dxa"/>
            <w:vAlign w:val="center"/>
          </w:tcPr>
          <w:p w14:paraId="5391B584" w14:textId="77777777" w:rsidR="006F1F8D" w:rsidRPr="003B4337" w:rsidRDefault="006F1F8D" w:rsidP="006F1F8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134" w:type="dxa"/>
            <w:vAlign w:val="center"/>
          </w:tcPr>
          <w:p w14:paraId="17ED7D3F" w14:textId="77777777" w:rsidR="006F1F8D" w:rsidRPr="003B4337" w:rsidRDefault="006F1F8D" w:rsidP="006F1F8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417" w:type="dxa"/>
            <w:vAlign w:val="center"/>
          </w:tcPr>
          <w:p w14:paraId="0CEA89C5" w14:textId="77777777" w:rsidR="006F1F8D" w:rsidRPr="003B4337" w:rsidRDefault="006F1F8D" w:rsidP="006F1F8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417" w:type="dxa"/>
            <w:vAlign w:val="center"/>
          </w:tcPr>
          <w:p w14:paraId="23625A46" w14:textId="64BB857C" w:rsidR="006F1F8D" w:rsidRPr="006F1F8D" w:rsidRDefault="006F1F8D" w:rsidP="006F1F8D">
            <w:pPr>
              <w:spacing w:after="0" w:line="240" w:lineRule="auto"/>
              <w:jc w:val="center"/>
              <w:rPr>
                <w:rFonts w:ascii="Arial" w:eastAsia="Times New Roman" w:hAnsi="Arial" w:cs="Arial"/>
                <w:sz w:val="14"/>
                <w:szCs w:val="14"/>
                <w:lang w:eastAsia="pt-BR"/>
              </w:rPr>
            </w:pPr>
            <w:r w:rsidRPr="006F1F8D">
              <w:rPr>
                <w:rFonts w:ascii="Arial" w:eastAsia="Times New Roman" w:hAnsi="Arial" w:cs="Arial"/>
                <w:sz w:val="14"/>
                <w:szCs w:val="14"/>
                <w:lang w:eastAsia="pt-BR"/>
              </w:rPr>
              <w:t>X</w:t>
            </w:r>
          </w:p>
        </w:tc>
      </w:tr>
      <w:tr w:rsidR="006F1F8D" w:rsidRPr="00A5490A" w14:paraId="4BBE0D9E" w14:textId="15112E7B" w:rsidTr="006F1F8D">
        <w:tc>
          <w:tcPr>
            <w:tcW w:w="1294" w:type="dxa"/>
            <w:vAlign w:val="center"/>
          </w:tcPr>
          <w:p w14:paraId="408A5924" w14:textId="77777777" w:rsidR="006F1F8D" w:rsidRPr="003B4337" w:rsidRDefault="006F1F8D" w:rsidP="006F1F8D">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BALORC</w:t>
            </w:r>
          </w:p>
        </w:tc>
        <w:tc>
          <w:tcPr>
            <w:tcW w:w="6894" w:type="dxa"/>
            <w:shd w:val="clear" w:color="auto" w:fill="auto"/>
            <w:vAlign w:val="center"/>
          </w:tcPr>
          <w:p w14:paraId="168A9CB0" w14:textId="5CE98169" w:rsidR="006F1F8D" w:rsidRPr="003B4337" w:rsidRDefault="006F1F8D" w:rsidP="00C06F6F">
            <w:pPr>
              <w:spacing w:before="120" w:after="120" w:line="240" w:lineRule="auto"/>
              <w:jc w:val="both"/>
              <w:rPr>
                <w:rFonts w:ascii="Arial" w:eastAsia="Times New Roman" w:hAnsi="Arial" w:cs="Arial"/>
                <w:sz w:val="18"/>
                <w:szCs w:val="18"/>
                <w:lang w:eastAsia="pt-BR"/>
              </w:rPr>
            </w:pPr>
            <w:r w:rsidRPr="00CD7944">
              <w:rPr>
                <w:rFonts w:ascii="Arial" w:eastAsia="Times New Roman" w:hAnsi="Arial" w:cs="Arial"/>
                <w:sz w:val="18"/>
                <w:szCs w:val="18"/>
                <w:lang w:eastAsia="pt-BR"/>
              </w:rPr>
              <w:t>Balanço Orçament</w:t>
            </w:r>
            <w:r w:rsidR="009378BD">
              <w:rPr>
                <w:rFonts w:ascii="Arial" w:eastAsia="Times New Roman" w:hAnsi="Arial" w:cs="Arial"/>
                <w:sz w:val="18"/>
                <w:szCs w:val="18"/>
                <w:lang w:eastAsia="pt-BR"/>
              </w:rPr>
              <w:t xml:space="preserve">ário (Anexo 12 Lei 4.320/1964) </w:t>
            </w:r>
            <w:r w:rsidRPr="00CD7944">
              <w:rPr>
                <w:rFonts w:ascii="Arial" w:eastAsia="Times New Roman" w:hAnsi="Arial" w:cs="Arial"/>
                <w:sz w:val="18"/>
                <w:szCs w:val="18"/>
                <w:lang w:eastAsia="pt-BR"/>
              </w:rPr>
              <w:t xml:space="preserve">e outros quadros elucidativos que se fizerem necessários (Artigo 101 da Lei Federal nº 4.320/64). Estrutura e layout constantes do item </w:t>
            </w:r>
            <w:r w:rsidR="00C06F6F">
              <w:rPr>
                <w:rFonts w:ascii="Arial" w:eastAsia="Times New Roman" w:hAnsi="Arial" w:cs="Arial"/>
                <w:sz w:val="18"/>
                <w:szCs w:val="18"/>
                <w:lang w:eastAsia="pt-BR"/>
              </w:rPr>
              <w:t>3.1</w:t>
            </w:r>
            <w:r w:rsidRPr="00CD7944">
              <w:rPr>
                <w:rFonts w:ascii="Arial" w:eastAsia="Times New Roman" w:hAnsi="Arial" w:cs="Arial"/>
                <w:sz w:val="18"/>
                <w:szCs w:val="18"/>
                <w:lang w:eastAsia="pt-BR"/>
              </w:rPr>
              <w:t xml:space="preserve"> deste Anexo.</w:t>
            </w:r>
            <w:r w:rsidRPr="003B4337">
              <w:rPr>
                <w:rFonts w:ascii="Arial" w:eastAsia="Times New Roman" w:hAnsi="Arial" w:cs="Arial"/>
                <w:sz w:val="18"/>
                <w:szCs w:val="18"/>
                <w:lang w:eastAsia="pt-BR"/>
              </w:rPr>
              <w:t xml:space="preserve"> </w:t>
            </w:r>
          </w:p>
        </w:tc>
        <w:tc>
          <w:tcPr>
            <w:tcW w:w="992" w:type="dxa"/>
            <w:shd w:val="clear" w:color="auto" w:fill="auto"/>
            <w:vAlign w:val="center"/>
          </w:tcPr>
          <w:p w14:paraId="5EA9C0E9" w14:textId="77777777" w:rsidR="006F1F8D" w:rsidRPr="003B4337" w:rsidRDefault="006F1F8D" w:rsidP="006F1F8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XML</w:t>
            </w:r>
          </w:p>
        </w:tc>
        <w:tc>
          <w:tcPr>
            <w:tcW w:w="1418" w:type="dxa"/>
            <w:vAlign w:val="center"/>
          </w:tcPr>
          <w:p w14:paraId="315A9498" w14:textId="77777777" w:rsidR="006F1F8D" w:rsidRPr="003B4337" w:rsidRDefault="006F1F8D" w:rsidP="006F1F8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134" w:type="dxa"/>
            <w:vAlign w:val="center"/>
          </w:tcPr>
          <w:p w14:paraId="7B035EE9" w14:textId="77777777" w:rsidR="006F1F8D" w:rsidRPr="003B4337" w:rsidRDefault="006F1F8D" w:rsidP="006F1F8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417" w:type="dxa"/>
            <w:vAlign w:val="center"/>
          </w:tcPr>
          <w:p w14:paraId="4B5D0CBA" w14:textId="77777777" w:rsidR="006F1F8D" w:rsidRPr="003B4337" w:rsidRDefault="006F1F8D" w:rsidP="006F1F8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417" w:type="dxa"/>
            <w:vAlign w:val="center"/>
          </w:tcPr>
          <w:p w14:paraId="6F97623E" w14:textId="08FCDAB7" w:rsidR="006F1F8D" w:rsidRPr="006F1F8D" w:rsidRDefault="006F1F8D" w:rsidP="006F1F8D">
            <w:pPr>
              <w:spacing w:after="0" w:line="240" w:lineRule="auto"/>
              <w:jc w:val="center"/>
              <w:rPr>
                <w:rFonts w:ascii="Arial" w:eastAsia="Times New Roman" w:hAnsi="Arial" w:cs="Arial"/>
                <w:sz w:val="14"/>
                <w:szCs w:val="14"/>
                <w:lang w:eastAsia="pt-BR"/>
              </w:rPr>
            </w:pPr>
            <w:r w:rsidRPr="006F1F8D">
              <w:rPr>
                <w:rFonts w:ascii="Arial" w:eastAsia="Times New Roman" w:hAnsi="Arial" w:cs="Arial"/>
                <w:sz w:val="14"/>
                <w:szCs w:val="14"/>
                <w:lang w:eastAsia="pt-BR"/>
              </w:rPr>
              <w:t>X</w:t>
            </w:r>
          </w:p>
        </w:tc>
      </w:tr>
      <w:tr w:rsidR="006F1F8D" w:rsidRPr="00A5490A" w14:paraId="404AD5C2" w14:textId="23B5A278" w:rsidTr="006F1F8D">
        <w:tc>
          <w:tcPr>
            <w:tcW w:w="1294" w:type="dxa"/>
            <w:vAlign w:val="center"/>
          </w:tcPr>
          <w:p w14:paraId="551D3C44" w14:textId="77777777" w:rsidR="006F1F8D" w:rsidRPr="003B4337" w:rsidRDefault="006F1F8D" w:rsidP="006F1F8D">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BALFIN</w:t>
            </w:r>
          </w:p>
        </w:tc>
        <w:tc>
          <w:tcPr>
            <w:tcW w:w="6894" w:type="dxa"/>
            <w:shd w:val="clear" w:color="auto" w:fill="auto"/>
          </w:tcPr>
          <w:p w14:paraId="5D9DDCAF" w14:textId="5FA080DF" w:rsidR="006F1F8D" w:rsidRPr="00CD7944" w:rsidRDefault="006F1F8D" w:rsidP="00C06F6F">
            <w:pPr>
              <w:rPr>
                <w:rFonts w:ascii="Arial" w:eastAsia="Times New Roman" w:hAnsi="Arial" w:cs="Arial"/>
                <w:sz w:val="18"/>
                <w:szCs w:val="18"/>
                <w:lang w:eastAsia="pt-BR"/>
              </w:rPr>
            </w:pPr>
            <w:r w:rsidRPr="00CD7944">
              <w:rPr>
                <w:rFonts w:ascii="Arial" w:eastAsia="Times New Roman" w:hAnsi="Arial" w:cs="Arial"/>
                <w:sz w:val="18"/>
                <w:szCs w:val="18"/>
                <w:lang w:eastAsia="pt-BR"/>
              </w:rPr>
              <w:t>Balanço Financ</w:t>
            </w:r>
            <w:r w:rsidR="009378BD">
              <w:rPr>
                <w:rFonts w:ascii="Arial" w:eastAsia="Times New Roman" w:hAnsi="Arial" w:cs="Arial"/>
                <w:sz w:val="18"/>
                <w:szCs w:val="18"/>
                <w:lang w:eastAsia="pt-BR"/>
              </w:rPr>
              <w:t xml:space="preserve">eiro (Anexo 13 Lei 4.320/1964) </w:t>
            </w:r>
            <w:r w:rsidRPr="00CD7944">
              <w:rPr>
                <w:rFonts w:ascii="Arial" w:eastAsia="Times New Roman" w:hAnsi="Arial" w:cs="Arial"/>
                <w:sz w:val="18"/>
                <w:szCs w:val="18"/>
                <w:lang w:eastAsia="pt-BR"/>
              </w:rPr>
              <w:t xml:space="preserve">e outros quadros elucidativos que se fizerem necessários (Artigo 101 da Lei Federal nº 4.320/64). Estrutura e layout constantes do item </w:t>
            </w:r>
            <w:r w:rsidR="00C06F6F">
              <w:rPr>
                <w:rFonts w:ascii="Arial" w:eastAsia="Times New Roman" w:hAnsi="Arial" w:cs="Arial"/>
                <w:sz w:val="18"/>
                <w:szCs w:val="18"/>
                <w:lang w:eastAsia="pt-BR"/>
              </w:rPr>
              <w:t>3.1</w:t>
            </w:r>
            <w:r w:rsidRPr="00CD7944">
              <w:rPr>
                <w:rFonts w:ascii="Arial" w:eastAsia="Times New Roman" w:hAnsi="Arial" w:cs="Arial"/>
                <w:sz w:val="18"/>
                <w:szCs w:val="18"/>
                <w:lang w:eastAsia="pt-BR"/>
              </w:rPr>
              <w:t xml:space="preserve"> deste Anexo</w:t>
            </w:r>
          </w:p>
        </w:tc>
        <w:tc>
          <w:tcPr>
            <w:tcW w:w="992" w:type="dxa"/>
            <w:shd w:val="clear" w:color="auto" w:fill="auto"/>
            <w:vAlign w:val="center"/>
          </w:tcPr>
          <w:p w14:paraId="0C281991" w14:textId="77777777" w:rsidR="006F1F8D" w:rsidRPr="003B4337" w:rsidRDefault="006F1F8D" w:rsidP="006F1F8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XML</w:t>
            </w:r>
          </w:p>
        </w:tc>
        <w:tc>
          <w:tcPr>
            <w:tcW w:w="1418" w:type="dxa"/>
            <w:vAlign w:val="center"/>
          </w:tcPr>
          <w:p w14:paraId="79698A0B" w14:textId="77777777" w:rsidR="006F1F8D" w:rsidRPr="003B4337" w:rsidRDefault="006F1F8D" w:rsidP="006F1F8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134" w:type="dxa"/>
            <w:vAlign w:val="center"/>
          </w:tcPr>
          <w:p w14:paraId="60E1B4F1" w14:textId="77777777" w:rsidR="006F1F8D" w:rsidRPr="003B4337" w:rsidRDefault="006F1F8D" w:rsidP="006F1F8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417" w:type="dxa"/>
            <w:vAlign w:val="center"/>
          </w:tcPr>
          <w:p w14:paraId="4DE75F96" w14:textId="77777777" w:rsidR="006F1F8D" w:rsidRPr="003B4337" w:rsidRDefault="006F1F8D" w:rsidP="006F1F8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417" w:type="dxa"/>
            <w:vAlign w:val="center"/>
          </w:tcPr>
          <w:p w14:paraId="3E291FB3" w14:textId="675F4AD6" w:rsidR="006F1F8D" w:rsidRPr="006F1F8D" w:rsidRDefault="006F1F8D" w:rsidP="006F1F8D">
            <w:pPr>
              <w:spacing w:after="0" w:line="240" w:lineRule="auto"/>
              <w:jc w:val="center"/>
              <w:rPr>
                <w:rFonts w:ascii="Arial" w:eastAsia="Times New Roman" w:hAnsi="Arial" w:cs="Arial"/>
                <w:sz w:val="14"/>
                <w:szCs w:val="14"/>
                <w:lang w:eastAsia="pt-BR"/>
              </w:rPr>
            </w:pPr>
            <w:r w:rsidRPr="006F1F8D">
              <w:rPr>
                <w:rFonts w:ascii="Arial" w:eastAsia="Times New Roman" w:hAnsi="Arial" w:cs="Arial"/>
                <w:sz w:val="14"/>
                <w:szCs w:val="14"/>
                <w:lang w:eastAsia="pt-BR"/>
              </w:rPr>
              <w:t>X</w:t>
            </w:r>
          </w:p>
        </w:tc>
      </w:tr>
      <w:tr w:rsidR="006F1F8D" w:rsidRPr="00A5490A" w14:paraId="57BDE2FE" w14:textId="0573518C" w:rsidTr="006F1F8D">
        <w:tc>
          <w:tcPr>
            <w:tcW w:w="1294" w:type="dxa"/>
            <w:vAlign w:val="center"/>
          </w:tcPr>
          <w:p w14:paraId="11F74C45" w14:textId="77777777" w:rsidR="006F1F8D" w:rsidRPr="003B4337" w:rsidRDefault="006F1F8D" w:rsidP="006F1F8D">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BALPAT</w:t>
            </w:r>
          </w:p>
        </w:tc>
        <w:tc>
          <w:tcPr>
            <w:tcW w:w="6894" w:type="dxa"/>
            <w:shd w:val="clear" w:color="auto" w:fill="auto"/>
          </w:tcPr>
          <w:p w14:paraId="5735AFE8" w14:textId="1B0E4974" w:rsidR="006F1F8D" w:rsidRPr="00CD7944" w:rsidRDefault="006F1F8D" w:rsidP="00C06F6F">
            <w:pPr>
              <w:rPr>
                <w:rFonts w:ascii="Arial" w:eastAsia="Times New Roman" w:hAnsi="Arial" w:cs="Arial"/>
                <w:sz w:val="18"/>
                <w:szCs w:val="18"/>
                <w:lang w:eastAsia="pt-BR"/>
              </w:rPr>
            </w:pPr>
            <w:r w:rsidRPr="00CD7944">
              <w:rPr>
                <w:rFonts w:ascii="Arial" w:eastAsia="Times New Roman" w:hAnsi="Arial" w:cs="Arial"/>
                <w:sz w:val="18"/>
                <w:szCs w:val="18"/>
                <w:lang w:eastAsia="pt-BR"/>
              </w:rPr>
              <w:t xml:space="preserve">Balanço Patrimonial (Anexo 14 Lei 4.320/1964) e outros quadros elucidativos que se fizerem necessários (Artigo 101 da Lei Federal nº 4.320/64). Estrutura e layout constantes do item </w:t>
            </w:r>
            <w:r w:rsidR="00C06F6F">
              <w:rPr>
                <w:rFonts w:ascii="Arial" w:eastAsia="Times New Roman" w:hAnsi="Arial" w:cs="Arial"/>
                <w:sz w:val="18"/>
                <w:szCs w:val="18"/>
                <w:lang w:eastAsia="pt-BR"/>
              </w:rPr>
              <w:t>3.1</w:t>
            </w:r>
            <w:r w:rsidRPr="00CD7944">
              <w:rPr>
                <w:rFonts w:ascii="Arial" w:eastAsia="Times New Roman" w:hAnsi="Arial" w:cs="Arial"/>
                <w:sz w:val="18"/>
                <w:szCs w:val="18"/>
                <w:lang w:eastAsia="pt-BR"/>
              </w:rPr>
              <w:t xml:space="preserve"> deste Anexo</w:t>
            </w:r>
          </w:p>
        </w:tc>
        <w:tc>
          <w:tcPr>
            <w:tcW w:w="992" w:type="dxa"/>
            <w:shd w:val="clear" w:color="auto" w:fill="auto"/>
            <w:vAlign w:val="center"/>
          </w:tcPr>
          <w:p w14:paraId="41AA4401" w14:textId="77777777" w:rsidR="006F1F8D" w:rsidRPr="003B4337" w:rsidRDefault="006F1F8D" w:rsidP="006F1F8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XML</w:t>
            </w:r>
          </w:p>
        </w:tc>
        <w:tc>
          <w:tcPr>
            <w:tcW w:w="1418" w:type="dxa"/>
            <w:vAlign w:val="center"/>
          </w:tcPr>
          <w:p w14:paraId="3BFFA358" w14:textId="77777777" w:rsidR="006F1F8D" w:rsidRPr="003B4337" w:rsidRDefault="006F1F8D" w:rsidP="006F1F8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134" w:type="dxa"/>
            <w:vAlign w:val="center"/>
          </w:tcPr>
          <w:p w14:paraId="592A3DA9" w14:textId="77777777" w:rsidR="006F1F8D" w:rsidRPr="003B4337" w:rsidRDefault="006F1F8D" w:rsidP="006F1F8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417" w:type="dxa"/>
            <w:vAlign w:val="center"/>
          </w:tcPr>
          <w:p w14:paraId="448C5C4E" w14:textId="77777777" w:rsidR="006F1F8D" w:rsidRPr="003B4337" w:rsidRDefault="006F1F8D" w:rsidP="006F1F8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417" w:type="dxa"/>
            <w:vAlign w:val="center"/>
          </w:tcPr>
          <w:p w14:paraId="27C783C3" w14:textId="4DC6E1F6" w:rsidR="006F1F8D" w:rsidRPr="006F1F8D" w:rsidRDefault="006F1F8D" w:rsidP="006F1F8D">
            <w:pPr>
              <w:spacing w:after="0" w:line="240" w:lineRule="auto"/>
              <w:jc w:val="center"/>
              <w:rPr>
                <w:rFonts w:ascii="Arial" w:eastAsia="Times New Roman" w:hAnsi="Arial" w:cs="Arial"/>
                <w:sz w:val="14"/>
                <w:szCs w:val="14"/>
                <w:lang w:eastAsia="pt-BR"/>
              </w:rPr>
            </w:pPr>
            <w:r w:rsidRPr="006F1F8D">
              <w:rPr>
                <w:rFonts w:ascii="Arial" w:eastAsia="Times New Roman" w:hAnsi="Arial" w:cs="Arial"/>
                <w:sz w:val="14"/>
                <w:szCs w:val="14"/>
                <w:lang w:eastAsia="pt-BR"/>
              </w:rPr>
              <w:t>X</w:t>
            </w:r>
          </w:p>
        </w:tc>
      </w:tr>
      <w:tr w:rsidR="006F1F8D" w:rsidRPr="00A5490A" w14:paraId="675055DB" w14:textId="51674E0F" w:rsidTr="006F1F8D">
        <w:tc>
          <w:tcPr>
            <w:tcW w:w="1294" w:type="dxa"/>
            <w:vAlign w:val="center"/>
          </w:tcPr>
          <w:p w14:paraId="2ABA0F21" w14:textId="77777777" w:rsidR="006F1F8D" w:rsidRPr="003B4337" w:rsidRDefault="006F1F8D" w:rsidP="006F1F8D">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DEMVAP</w:t>
            </w:r>
          </w:p>
        </w:tc>
        <w:tc>
          <w:tcPr>
            <w:tcW w:w="6894" w:type="dxa"/>
            <w:shd w:val="clear" w:color="auto" w:fill="auto"/>
          </w:tcPr>
          <w:p w14:paraId="3EE32B32" w14:textId="18528C31" w:rsidR="006F1F8D" w:rsidRPr="00CD7944" w:rsidRDefault="006F1F8D" w:rsidP="00C06F6F">
            <w:pPr>
              <w:rPr>
                <w:rFonts w:ascii="Arial" w:eastAsia="Times New Roman" w:hAnsi="Arial" w:cs="Arial"/>
                <w:sz w:val="18"/>
                <w:szCs w:val="18"/>
                <w:lang w:eastAsia="pt-BR"/>
              </w:rPr>
            </w:pPr>
            <w:r w:rsidRPr="00CD7944">
              <w:rPr>
                <w:rFonts w:ascii="Arial" w:eastAsia="Times New Roman" w:hAnsi="Arial" w:cs="Arial"/>
                <w:sz w:val="18"/>
                <w:szCs w:val="18"/>
                <w:lang w:eastAsia="pt-BR"/>
              </w:rPr>
              <w:t>Demonstração das Variações Patrimon</w:t>
            </w:r>
            <w:r w:rsidR="009378BD">
              <w:rPr>
                <w:rFonts w:ascii="Arial" w:eastAsia="Times New Roman" w:hAnsi="Arial" w:cs="Arial"/>
                <w:sz w:val="18"/>
                <w:szCs w:val="18"/>
                <w:lang w:eastAsia="pt-BR"/>
              </w:rPr>
              <w:t xml:space="preserve">iais (Anexo 15 Lei 4.320/1964) </w:t>
            </w:r>
            <w:r w:rsidRPr="00CD7944">
              <w:rPr>
                <w:rFonts w:ascii="Arial" w:eastAsia="Times New Roman" w:hAnsi="Arial" w:cs="Arial"/>
                <w:sz w:val="18"/>
                <w:szCs w:val="18"/>
                <w:lang w:eastAsia="pt-BR"/>
              </w:rPr>
              <w:t xml:space="preserve">e outros quadros elucidativos que se fizerem necessários (Artigo 101 da Lei nº 4.320/64). Estrutura e layout constantes do item </w:t>
            </w:r>
            <w:r w:rsidR="00C06F6F">
              <w:rPr>
                <w:rFonts w:ascii="Arial" w:eastAsia="Times New Roman" w:hAnsi="Arial" w:cs="Arial"/>
                <w:sz w:val="18"/>
                <w:szCs w:val="18"/>
                <w:lang w:eastAsia="pt-BR"/>
              </w:rPr>
              <w:t>3.1</w:t>
            </w:r>
            <w:r w:rsidRPr="00CD7944">
              <w:rPr>
                <w:rFonts w:ascii="Arial" w:eastAsia="Times New Roman" w:hAnsi="Arial" w:cs="Arial"/>
                <w:sz w:val="18"/>
                <w:szCs w:val="18"/>
                <w:lang w:eastAsia="pt-BR"/>
              </w:rPr>
              <w:t xml:space="preserve"> deste Anexo</w:t>
            </w:r>
          </w:p>
        </w:tc>
        <w:tc>
          <w:tcPr>
            <w:tcW w:w="992" w:type="dxa"/>
            <w:shd w:val="clear" w:color="auto" w:fill="auto"/>
            <w:vAlign w:val="center"/>
          </w:tcPr>
          <w:p w14:paraId="2BFCFE93" w14:textId="77777777" w:rsidR="006F1F8D" w:rsidRPr="003B4337" w:rsidRDefault="006F1F8D" w:rsidP="006F1F8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XML</w:t>
            </w:r>
          </w:p>
        </w:tc>
        <w:tc>
          <w:tcPr>
            <w:tcW w:w="1418" w:type="dxa"/>
            <w:vAlign w:val="center"/>
          </w:tcPr>
          <w:p w14:paraId="23BF05FA" w14:textId="77777777" w:rsidR="006F1F8D" w:rsidRPr="003B4337" w:rsidRDefault="006F1F8D" w:rsidP="006F1F8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134" w:type="dxa"/>
            <w:vAlign w:val="center"/>
          </w:tcPr>
          <w:p w14:paraId="7255009D" w14:textId="77777777" w:rsidR="006F1F8D" w:rsidRPr="003B4337" w:rsidRDefault="006F1F8D" w:rsidP="006F1F8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417" w:type="dxa"/>
            <w:vAlign w:val="center"/>
          </w:tcPr>
          <w:p w14:paraId="42057B19" w14:textId="77777777" w:rsidR="006F1F8D" w:rsidRPr="003B4337" w:rsidRDefault="006F1F8D" w:rsidP="006F1F8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417" w:type="dxa"/>
            <w:vAlign w:val="center"/>
          </w:tcPr>
          <w:p w14:paraId="78D7D3A7" w14:textId="61D77B9F" w:rsidR="006F1F8D" w:rsidRPr="006F1F8D" w:rsidRDefault="006F1F8D" w:rsidP="006F1F8D">
            <w:pPr>
              <w:spacing w:after="0" w:line="240" w:lineRule="auto"/>
              <w:jc w:val="center"/>
              <w:rPr>
                <w:rFonts w:ascii="Arial" w:eastAsia="Times New Roman" w:hAnsi="Arial" w:cs="Arial"/>
                <w:sz w:val="14"/>
                <w:szCs w:val="14"/>
                <w:lang w:eastAsia="pt-BR"/>
              </w:rPr>
            </w:pPr>
            <w:r w:rsidRPr="006F1F8D">
              <w:rPr>
                <w:rFonts w:ascii="Arial" w:eastAsia="Times New Roman" w:hAnsi="Arial" w:cs="Arial"/>
                <w:sz w:val="14"/>
                <w:szCs w:val="14"/>
                <w:lang w:eastAsia="pt-BR"/>
              </w:rPr>
              <w:t>X</w:t>
            </w:r>
          </w:p>
        </w:tc>
      </w:tr>
      <w:tr w:rsidR="006F1F8D" w:rsidRPr="00A5490A" w14:paraId="651B8B76" w14:textId="0D07E68D" w:rsidTr="006F1F8D">
        <w:trPr>
          <w:trHeight w:val="680"/>
        </w:trPr>
        <w:tc>
          <w:tcPr>
            <w:tcW w:w="1294" w:type="dxa"/>
            <w:vAlign w:val="center"/>
          </w:tcPr>
          <w:p w14:paraId="0FFAA25B" w14:textId="77777777" w:rsidR="006F1F8D" w:rsidRPr="003B4337" w:rsidRDefault="006F1F8D" w:rsidP="006F1F8D">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lastRenderedPageBreak/>
              <w:t>DEMDIF</w:t>
            </w:r>
          </w:p>
        </w:tc>
        <w:tc>
          <w:tcPr>
            <w:tcW w:w="6894" w:type="dxa"/>
            <w:shd w:val="clear" w:color="auto" w:fill="auto"/>
            <w:vAlign w:val="center"/>
          </w:tcPr>
          <w:p w14:paraId="1D3330D6" w14:textId="77777777" w:rsidR="006F1F8D" w:rsidRPr="003B4337" w:rsidRDefault="006F1F8D" w:rsidP="006F1F8D">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Demonstrativo da Dívida Fundada (Anexo 16 Lei 4.320/1964), acompanhado de notas explicativas e outros quadros elucidativos que se fizerem necessários. (Artigo 101 da Lei Federal nº 4.320/64)</w:t>
            </w:r>
          </w:p>
        </w:tc>
        <w:tc>
          <w:tcPr>
            <w:tcW w:w="992" w:type="dxa"/>
            <w:shd w:val="clear" w:color="auto" w:fill="auto"/>
            <w:vAlign w:val="center"/>
          </w:tcPr>
          <w:p w14:paraId="4FE548EC" w14:textId="77777777" w:rsidR="006F1F8D" w:rsidRPr="00A5490A" w:rsidRDefault="006F1F8D" w:rsidP="006F1F8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c>
          <w:tcPr>
            <w:tcW w:w="1418" w:type="dxa"/>
            <w:vAlign w:val="center"/>
          </w:tcPr>
          <w:p w14:paraId="2A2B7501" w14:textId="77777777" w:rsidR="006F1F8D" w:rsidRPr="00A5490A" w:rsidRDefault="006F1F8D" w:rsidP="006F1F8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134" w:type="dxa"/>
            <w:vAlign w:val="center"/>
          </w:tcPr>
          <w:p w14:paraId="60347716" w14:textId="77777777" w:rsidR="006F1F8D" w:rsidRPr="00A5490A" w:rsidRDefault="006F1F8D" w:rsidP="006F1F8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417" w:type="dxa"/>
            <w:vAlign w:val="center"/>
          </w:tcPr>
          <w:p w14:paraId="57C96B05" w14:textId="77777777" w:rsidR="006F1F8D" w:rsidRPr="00A5490A" w:rsidRDefault="006F1F8D" w:rsidP="006F1F8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417" w:type="dxa"/>
            <w:vAlign w:val="center"/>
          </w:tcPr>
          <w:p w14:paraId="404F4AA8" w14:textId="22AE7A20" w:rsidR="006F1F8D" w:rsidRPr="006F1F8D" w:rsidRDefault="006F1F8D" w:rsidP="006F1F8D">
            <w:pPr>
              <w:spacing w:after="0" w:line="240" w:lineRule="auto"/>
              <w:jc w:val="center"/>
              <w:rPr>
                <w:rFonts w:ascii="Arial" w:eastAsia="Times New Roman" w:hAnsi="Arial" w:cs="Arial"/>
                <w:sz w:val="14"/>
                <w:szCs w:val="14"/>
                <w:lang w:eastAsia="pt-BR"/>
              </w:rPr>
            </w:pPr>
            <w:r w:rsidRPr="006F1F8D">
              <w:rPr>
                <w:rFonts w:ascii="Arial" w:eastAsia="Times New Roman" w:hAnsi="Arial" w:cs="Arial"/>
                <w:sz w:val="14"/>
                <w:szCs w:val="14"/>
                <w:lang w:eastAsia="pt-BR"/>
              </w:rPr>
              <w:t>X</w:t>
            </w:r>
          </w:p>
        </w:tc>
      </w:tr>
      <w:tr w:rsidR="006F1F8D" w:rsidRPr="00A5490A" w14:paraId="7717C716" w14:textId="269AADCE" w:rsidTr="006F1F8D">
        <w:trPr>
          <w:trHeight w:val="680"/>
        </w:trPr>
        <w:tc>
          <w:tcPr>
            <w:tcW w:w="1294" w:type="dxa"/>
            <w:vAlign w:val="center"/>
          </w:tcPr>
          <w:p w14:paraId="6CC2163D" w14:textId="77777777" w:rsidR="006F1F8D" w:rsidRPr="00A5490A" w:rsidRDefault="006F1F8D" w:rsidP="006F1F8D">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DEMDFL</w:t>
            </w:r>
          </w:p>
        </w:tc>
        <w:tc>
          <w:tcPr>
            <w:tcW w:w="6894" w:type="dxa"/>
            <w:shd w:val="clear" w:color="auto" w:fill="auto"/>
            <w:vAlign w:val="center"/>
          </w:tcPr>
          <w:p w14:paraId="6CDC2356" w14:textId="77777777" w:rsidR="006F1F8D" w:rsidRPr="00A5490A" w:rsidRDefault="006F1F8D" w:rsidP="006F1F8D">
            <w:p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Demonstrativo da Dívida Flutuante (Anexo 17 Lei 4.320/1964), acompanhado de notas explicativas e outros quadros elucidativos que se fizerem necessários. (Artigo 101 da Lei nº 4.320/64)</w:t>
            </w:r>
          </w:p>
        </w:tc>
        <w:tc>
          <w:tcPr>
            <w:tcW w:w="992" w:type="dxa"/>
            <w:shd w:val="clear" w:color="auto" w:fill="auto"/>
            <w:vAlign w:val="center"/>
          </w:tcPr>
          <w:p w14:paraId="544479C6" w14:textId="77777777" w:rsidR="006F1F8D" w:rsidRPr="00A5490A" w:rsidRDefault="006F1F8D" w:rsidP="006F1F8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c>
          <w:tcPr>
            <w:tcW w:w="1418" w:type="dxa"/>
            <w:vAlign w:val="center"/>
          </w:tcPr>
          <w:p w14:paraId="6200918C" w14:textId="77777777" w:rsidR="006F1F8D" w:rsidRPr="00A5490A" w:rsidRDefault="006F1F8D" w:rsidP="006F1F8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134" w:type="dxa"/>
            <w:vAlign w:val="center"/>
          </w:tcPr>
          <w:p w14:paraId="4ADC81EC" w14:textId="77777777" w:rsidR="006F1F8D" w:rsidRPr="00A5490A" w:rsidRDefault="006F1F8D" w:rsidP="006F1F8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417" w:type="dxa"/>
            <w:vAlign w:val="center"/>
          </w:tcPr>
          <w:p w14:paraId="08712151" w14:textId="77777777" w:rsidR="006F1F8D" w:rsidRPr="00A5490A" w:rsidRDefault="006F1F8D" w:rsidP="006F1F8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417" w:type="dxa"/>
            <w:vAlign w:val="center"/>
          </w:tcPr>
          <w:p w14:paraId="58BD3C17" w14:textId="1A8FDEAA" w:rsidR="006F1F8D" w:rsidRPr="006F1F8D" w:rsidRDefault="006F1F8D" w:rsidP="006F1F8D">
            <w:pPr>
              <w:spacing w:after="0" w:line="240" w:lineRule="auto"/>
              <w:jc w:val="center"/>
              <w:rPr>
                <w:rFonts w:ascii="Arial" w:eastAsia="Times New Roman" w:hAnsi="Arial" w:cs="Arial"/>
                <w:sz w:val="14"/>
                <w:szCs w:val="14"/>
                <w:lang w:eastAsia="pt-BR"/>
              </w:rPr>
            </w:pPr>
            <w:r w:rsidRPr="006F1F8D">
              <w:rPr>
                <w:rFonts w:ascii="Arial" w:eastAsia="Times New Roman" w:hAnsi="Arial" w:cs="Arial"/>
                <w:sz w:val="14"/>
                <w:szCs w:val="14"/>
                <w:lang w:eastAsia="pt-BR"/>
              </w:rPr>
              <w:t>X</w:t>
            </w:r>
          </w:p>
        </w:tc>
      </w:tr>
      <w:tr w:rsidR="006F1F8D" w:rsidRPr="00A5490A" w14:paraId="10B6997D" w14:textId="0A5F63AE" w:rsidTr="006F1F8D">
        <w:trPr>
          <w:trHeight w:val="850"/>
        </w:trPr>
        <w:tc>
          <w:tcPr>
            <w:tcW w:w="1294" w:type="dxa"/>
            <w:vAlign w:val="center"/>
          </w:tcPr>
          <w:p w14:paraId="663D8CB4" w14:textId="77777777" w:rsidR="006F1F8D" w:rsidRPr="00A5490A" w:rsidRDefault="006F1F8D" w:rsidP="006F1F8D">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DEMFCA</w:t>
            </w:r>
          </w:p>
        </w:tc>
        <w:tc>
          <w:tcPr>
            <w:tcW w:w="6894" w:type="dxa"/>
            <w:shd w:val="clear" w:color="auto" w:fill="auto"/>
            <w:vAlign w:val="center"/>
          </w:tcPr>
          <w:p w14:paraId="624BBD04" w14:textId="77777777" w:rsidR="006F1F8D" w:rsidRPr="00A5490A" w:rsidRDefault="006F1F8D" w:rsidP="006F1F8D">
            <w:p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Demonstração dos Fluxos de Caixa – DFC (Parte V do Manual de Contabilidade Aplicado ao Setor Público – MCASP)</w:t>
            </w:r>
            <w:r>
              <w:rPr>
                <w:rFonts w:ascii="Arial" w:eastAsia="Times New Roman" w:hAnsi="Arial" w:cs="Arial"/>
                <w:sz w:val="18"/>
                <w:szCs w:val="18"/>
                <w:lang w:eastAsia="pt-BR"/>
              </w:rPr>
              <w:t xml:space="preserve">, </w:t>
            </w:r>
            <w:r w:rsidRPr="00A5797A">
              <w:rPr>
                <w:rFonts w:ascii="Arial" w:eastAsia="Times New Roman" w:hAnsi="Arial" w:cs="Arial"/>
                <w:sz w:val="18"/>
                <w:szCs w:val="18"/>
                <w:lang w:eastAsia="pt-BR"/>
              </w:rPr>
              <w:t>acompanhada de notas explicativas e outros quadros elucidativos que se fizerem necessários</w:t>
            </w:r>
            <w:r w:rsidRPr="00A5490A">
              <w:rPr>
                <w:rFonts w:ascii="Arial" w:eastAsia="Times New Roman" w:hAnsi="Arial" w:cs="Arial"/>
                <w:sz w:val="18"/>
                <w:szCs w:val="18"/>
                <w:lang w:eastAsia="pt-BR"/>
              </w:rPr>
              <w:t>. (Resolução CFC nº 1.1</w:t>
            </w:r>
            <w:r>
              <w:rPr>
                <w:rFonts w:ascii="Arial" w:eastAsia="Times New Roman" w:hAnsi="Arial" w:cs="Arial"/>
                <w:sz w:val="18"/>
                <w:szCs w:val="18"/>
                <w:lang w:eastAsia="pt-BR"/>
              </w:rPr>
              <w:t>33</w:t>
            </w:r>
            <w:r w:rsidRPr="00A5490A">
              <w:rPr>
                <w:rFonts w:ascii="Arial" w:eastAsia="Times New Roman" w:hAnsi="Arial" w:cs="Arial"/>
                <w:sz w:val="18"/>
                <w:szCs w:val="18"/>
                <w:lang w:eastAsia="pt-BR"/>
              </w:rPr>
              <w:t>/2008 - NBC T 16</w:t>
            </w:r>
            <w:r>
              <w:rPr>
                <w:rFonts w:ascii="Arial" w:eastAsia="Times New Roman" w:hAnsi="Arial" w:cs="Arial"/>
                <w:sz w:val="18"/>
                <w:szCs w:val="18"/>
                <w:lang w:eastAsia="pt-BR"/>
              </w:rPr>
              <w:t>.6</w:t>
            </w:r>
            <w:r w:rsidRPr="00A5490A">
              <w:rPr>
                <w:rFonts w:ascii="Arial" w:eastAsia="Times New Roman" w:hAnsi="Arial" w:cs="Arial"/>
                <w:sz w:val="18"/>
                <w:szCs w:val="18"/>
                <w:lang w:eastAsia="pt-BR"/>
              </w:rPr>
              <w:t xml:space="preserve"> c/c Portaria STN nº 7</w:t>
            </w:r>
            <w:r>
              <w:rPr>
                <w:rFonts w:ascii="Arial" w:eastAsia="Times New Roman" w:hAnsi="Arial" w:cs="Arial"/>
                <w:sz w:val="18"/>
                <w:szCs w:val="18"/>
                <w:lang w:eastAsia="pt-BR"/>
              </w:rPr>
              <w:t>00</w:t>
            </w:r>
            <w:r w:rsidRPr="00A5490A">
              <w:rPr>
                <w:rFonts w:ascii="Arial" w:eastAsia="Times New Roman" w:hAnsi="Arial" w:cs="Arial"/>
                <w:sz w:val="18"/>
                <w:szCs w:val="18"/>
                <w:lang w:eastAsia="pt-BR"/>
              </w:rPr>
              <w:t>/201</w:t>
            </w:r>
            <w:r>
              <w:rPr>
                <w:rFonts w:ascii="Arial" w:eastAsia="Times New Roman" w:hAnsi="Arial" w:cs="Arial"/>
                <w:sz w:val="18"/>
                <w:szCs w:val="18"/>
                <w:lang w:eastAsia="pt-BR"/>
              </w:rPr>
              <w:t>4</w:t>
            </w:r>
            <w:r w:rsidRPr="00A5490A">
              <w:rPr>
                <w:rFonts w:ascii="Arial" w:eastAsia="Times New Roman" w:hAnsi="Arial" w:cs="Arial"/>
                <w:sz w:val="18"/>
                <w:szCs w:val="18"/>
                <w:lang w:eastAsia="pt-BR"/>
              </w:rPr>
              <w:t>)</w:t>
            </w:r>
          </w:p>
        </w:tc>
        <w:tc>
          <w:tcPr>
            <w:tcW w:w="992" w:type="dxa"/>
            <w:shd w:val="clear" w:color="auto" w:fill="auto"/>
            <w:vAlign w:val="center"/>
          </w:tcPr>
          <w:p w14:paraId="0E9F2450" w14:textId="77777777" w:rsidR="006F1F8D" w:rsidRPr="00A5490A" w:rsidRDefault="006F1F8D" w:rsidP="006F1F8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c>
          <w:tcPr>
            <w:tcW w:w="1418" w:type="dxa"/>
            <w:vAlign w:val="center"/>
          </w:tcPr>
          <w:p w14:paraId="0A40CD15" w14:textId="77777777" w:rsidR="006F1F8D" w:rsidRPr="00A5490A" w:rsidRDefault="006F1F8D" w:rsidP="006F1F8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134" w:type="dxa"/>
            <w:vAlign w:val="center"/>
          </w:tcPr>
          <w:p w14:paraId="7308650F" w14:textId="77777777" w:rsidR="006F1F8D" w:rsidRPr="00A5490A" w:rsidRDefault="006F1F8D" w:rsidP="006F1F8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417" w:type="dxa"/>
            <w:vAlign w:val="center"/>
          </w:tcPr>
          <w:p w14:paraId="2419E6C3" w14:textId="77777777" w:rsidR="006F1F8D" w:rsidRPr="00A5490A" w:rsidRDefault="006F1F8D" w:rsidP="006F1F8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417" w:type="dxa"/>
            <w:vAlign w:val="center"/>
          </w:tcPr>
          <w:p w14:paraId="03A34B42" w14:textId="1C5DECB6" w:rsidR="006F1F8D" w:rsidRPr="006F1F8D" w:rsidRDefault="006F1F8D" w:rsidP="006F1F8D">
            <w:pPr>
              <w:spacing w:after="0" w:line="240" w:lineRule="auto"/>
              <w:jc w:val="center"/>
              <w:rPr>
                <w:rFonts w:ascii="Arial" w:eastAsia="Times New Roman" w:hAnsi="Arial" w:cs="Arial"/>
                <w:sz w:val="14"/>
                <w:szCs w:val="14"/>
                <w:lang w:eastAsia="pt-BR"/>
              </w:rPr>
            </w:pPr>
            <w:r w:rsidRPr="006F1F8D">
              <w:rPr>
                <w:rFonts w:ascii="Arial" w:eastAsia="Times New Roman" w:hAnsi="Arial" w:cs="Arial"/>
                <w:sz w:val="14"/>
                <w:szCs w:val="14"/>
                <w:lang w:eastAsia="pt-BR"/>
              </w:rPr>
              <w:t>X</w:t>
            </w:r>
          </w:p>
        </w:tc>
      </w:tr>
      <w:tr w:rsidR="006F1F8D" w:rsidRPr="00A5490A" w14:paraId="23A04091" w14:textId="25D6AF0B" w:rsidTr="006F1F8D">
        <w:tc>
          <w:tcPr>
            <w:tcW w:w="1294" w:type="dxa"/>
            <w:vAlign w:val="center"/>
          </w:tcPr>
          <w:p w14:paraId="482B114C" w14:textId="77777777" w:rsidR="006F1F8D" w:rsidRPr="00CB55B0" w:rsidRDefault="006F1F8D" w:rsidP="006F1F8D">
            <w:pPr>
              <w:spacing w:after="0" w:line="240" w:lineRule="auto"/>
              <w:jc w:val="center"/>
              <w:rPr>
                <w:rFonts w:ascii="Arial" w:eastAsia="Times New Roman" w:hAnsi="Arial" w:cs="Arial"/>
                <w:sz w:val="18"/>
                <w:szCs w:val="18"/>
                <w:lang w:eastAsia="pt-BR"/>
              </w:rPr>
            </w:pPr>
            <w:r w:rsidRPr="00CB55B0">
              <w:rPr>
                <w:rFonts w:ascii="Arial" w:eastAsia="Times New Roman" w:hAnsi="Arial" w:cs="Arial"/>
                <w:sz w:val="18"/>
                <w:szCs w:val="18"/>
                <w:lang w:eastAsia="pt-BR"/>
              </w:rPr>
              <w:t>BALVERF_E</w:t>
            </w:r>
          </w:p>
        </w:tc>
        <w:tc>
          <w:tcPr>
            <w:tcW w:w="6894" w:type="dxa"/>
            <w:shd w:val="clear" w:color="auto" w:fill="auto"/>
            <w:vAlign w:val="center"/>
          </w:tcPr>
          <w:p w14:paraId="374375FD" w14:textId="4FC60A83" w:rsidR="006F1F8D" w:rsidRPr="00CB55B0" w:rsidRDefault="006F1F8D" w:rsidP="00C06F6F">
            <w:pPr>
              <w:spacing w:before="120" w:after="120" w:line="240" w:lineRule="auto"/>
              <w:jc w:val="both"/>
              <w:rPr>
                <w:rFonts w:ascii="Arial" w:eastAsia="Times New Roman" w:hAnsi="Arial" w:cs="Arial"/>
                <w:sz w:val="18"/>
                <w:szCs w:val="18"/>
                <w:lang w:eastAsia="pt-BR"/>
              </w:rPr>
            </w:pPr>
            <w:r w:rsidRPr="00CB55B0">
              <w:rPr>
                <w:rFonts w:ascii="Arial" w:eastAsia="Times New Roman" w:hAnsi="Arial" w:cs="Arial"/>
                <w:sz w:val="18"/>
                <w:szCs w:val="18"/>
                <w:lang w:eastAsia="pt-BR"/>
              </w:rPr>
              <w:t xml:space="preserve">Balancete de verificação, com saldos acumulados no exercício, detalhado até o nível de conta contábil de lançamento, abrangendo todas as contas contábeis com movimentação no exercício, segregadas por natureza da informação patrimonial, orçamentária e de controle, informando o saldo anterior, o total a débito, o total a crédito e o saldo final. Estrutura e layout constantes do item </w:t>
            </w:r>
            <w:r w:rsidR="00C06F6F">
              <w:rPr>
                <w:rFonts w:ascii="Arial" w:eastAsia="Times New Roman" w:hAnsi="Arial" w:cs="Arial"/>
                <w:sz w:val="18"/>
                <w:szCs w:val="18"/>
                <w:lang w:eastAsia="pt-BR"/>
              </w:rPr>
              <w:t>3.1</w:t>
            </w:r>
            <w:r w:rsidRPr="00CB55B0">
              <w:rPr>
                <w:rFonts w:ascii="Arial" w:eastAsia="Times New Roman" w:hAnsi="Arial" w:cs="Arial"/>
                <w:sz w:val="18"/>
                <w:szCs w:val="18"/>
                <w:lang w:eastAsia="pt-BR"/>
              </w:rPr>
              <w:t xml:space="preserve"> deste Anexo</w:t>
            </w:r>
          </w:p>
        </w:tc>
        <w:tc>
          <w:tcPr>
            <w:tcW w:w="992" w:type="dxa"/>
            <w:shd w:val="clear" w:color="auto" w:fill="auto"/>
            <w:vAlign w:val="center"/>
          </w:tcPr>
          <w:p w14:paraId="32123B89" w14:textId="77777777" w:rsidR="006F1F8D" w:rsidRPr="00CB55B0" w:rsidRDefault="006F1F8D" w:rsidP="006F1F8D">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XML</w:t>
            </w:r>
          </w:p>
        </w:tc>
        <w:tc>
          <w:tcPr>
            <w:tcW w:w="1418" w:type="dxa"/>
            <w:vAlign w:val="center"/>
          </w:tcPr>
          <w:p w14:paraId="0082BB55" w14:textId="77777777" w:rsidR="006F1F8D" w:rsidRPr="00CB55B0" w:rsidRDefault="006F1F8D" w:rsidP="006F1F8D">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1134" w:type="dxa"/>
            <w:vAlign w:val="center"/>
          </w:tcPr>
          <w:p w14:paraId="32596713" w14:textId="77777777" w:rsidR="006F1F8D" w:rsidRPr="00CB55B0" w:rsidRDefault="006F1F8D" w:rsidP="006F1F8D">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1417" w:type="dxa"/>
            <w:vAlign w:val="center"/>
          </w:tcPr>
          <w:p w14:paraId="2AD40A6A" w14:textId="77777777" w:rsidR="006F1F8D" w:rsidRPr="00CB55B0" w:rsidRDefault="006F1F8D" w:rsidP="006F1F8D">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1417" w:type="dxa"/>
            <w:vAlign w:val="center"/>
          </w:tcPr>
          <w:p w14:paraId="2CC1E143" w14:textId="5A4ECA7F" w:rsidR="006F1F8D" w:rsidRPr="006F1F8D" w:rsidRDefault="006F1F8D" w:rsidP="006F1F8D">
            <w:pPr>
              <w:spacing w:after="0" w:line="240" w:lineRule="auto"/>
              <w:jc w:val="center"/>
              <w:rPr>
                <w:rFonts w:ascii="Arial" w:eastAsia="Times New Roman" w:hAnsi="Arial" w:cs="Arial"/>
                <w:sz w:val="14"/>
                <w:szCs w:val="14"/>
                <w:lang w:eastAsia="pt-BR"/>
              </w:rPr>
            </w:pPr>
            <w:r w:rsidRPr="006F1F8D">
              <w:rPr>
                <w:rFonts w:ascii="Arial" w:eastAsia="Times New Roman" w:hAnsi="Arial" w:cs="Arial"/>
                <w:sz w:val="14"/>
                <w:szCs w:val="14"/>
                <w:lang w:eastAsia="pt-BR"/>
              </w:rPr>
              <w:t>X</w:t>
            </w:r>
          </w:p>
        </w:tc>
      </w:tr>
      <w:tr w:rsidR="006F1F8D" w:rsidRPr="00A5490A" w14:paraId="608DF516" w14:textId="5BD3F000" w:rsidTr="006F1F8D">
        <w:tc>
          <w:tcPr>
            <w:tcW w:w="1294" w:type="dxa"/>
            <w:vAlign w:val="center"/>
          </w:tcPr>
          <w:p w14:paraId="55D9B169" w14:textId="77777777" w:rsidR="006F1F8D" w:rsidRPr="00CB55B0" w:rsidRDefault="006F1F8D" w:rsidP="006F1F8D">
            <w:pPr>
              <w:spacing w:after="0" w:line="240" w:lineRule="auto"/>
              <w:jc w:val="center"/>
              <w:rPr>
                <w:rFonts w:ascii="Arial" w:eastAsia="Times New Roman" w:hAnsi="Arial" w:cs="Arial"/>
                <w:sz w:val="18"/>
                <w:szCs w:val="18"/>
                <w:lang w:eastAsia="pt-BR"/>
              </w:rPr>
            </w:pPr>
            <w:r w:rsidRPr="00CB55B0">
              <w:rPr>
                <w:rFonts w:ascii="Arial" w:eastAsia="Times New Roman" w:hAnsi="Arial" w:cs="Arial"/>
                <w:sz w:val="18"/>
                <w:szCs w:val="18"/>
                <w:lang w:eastAsia="pt-BR"/>
              </w:rPr>
              <w:t>BALEXOD_E</w:t>
            </w:r>
          </w:p>
        </w:tc>
        <w:tc>
          <w:tcPr>
            <w:tcW w:w="6894" w:type="dxa"/>
            <w:shd w:val="clear" w:color="auto" w:fill="auto"/>
            <w:vAlign w:val="center"/>
          </w:tcPr>
          <w:p w14:paraId="1B77EA37" w14:textId="3BE438F1" w:rsidR="006F1F8D" w:rsidRPr="00CB55B0" w:rsidRDefault="006F1F8D" w:rsidP="00C06F6F">
            <w:pPr>
              <w:spacing w:before="120" w:after="120" w:line="240" w:lineRule="auto"/>
              <w:jc w:val="both"/>
              <w:rPr>
                <w:rFonts w:ascii="Arial" w:eastAsia="Times New Roman" w:hAnsi="Arial" w:cs="Arial"/>
                <w:sz w:val="18"/>
                <w:szCs w:val="18"/>
                <w:lang w:eastAsia="pt-BR"/>
              </w:rPr>
            </w:pPr>
            <w:r w:rsidRPr="00CB55B0">
              <w:rPr>
                <w:rFonts w:ascii="Arial" w:eastAsia="Times New Roman" w:hAnsi="Arial" w:cs="Arial"/>
                <w:sz w:val="18"/>
                <w:szCs w:val="18"/>
                <w:lang w:eastAsia="pt-BR"/>
              </w:rPr>
              <w:t xml:space="preserve">Balancete da execução orçamentária da despesa, acumulado até o mês de dezembro, demonstrando a fixação orçamentária da despesa, a movimentação dos créditos adicionais, os valores empenhados, liquidados e pagos, e a fonte de recursos. Estrutura e layout constantes do item </w:t>
            </w:r>
            <w:r w:rsidR="00C06F6F">
              <w:rPr>
                <w:rFonts w:ascii="Arial" w:eastAsia="Times New Roman" w:hAnsi="Arial" w:cs="Arial"/>
                <w:sz w:val="18"/>
                <w:szCs w:val="18"/>
                <w:lang w:eastAsia="pt-BR"/>
              </w:rPr>
              <w:t>3.1</w:t>
            </w:r>
            <w:r w:rsidRPr="00CB55B0">
              <w:rPr>
                <w:rFonts w:ascii="Arial" w:eastAsia="Times New Roman" w:hAnsi="Arial" w:cs="Arial"/>
                <w:sz w:val="18"/>
                <w:szCs w:val="18"/>
                <w:lang w:eastAsia="pt-BR"/>
              </w:rPr>
              <w:t xml:space="preserve"> deste Anexo</w:t>
            </w:r>
          </w:p>
        </w:tc>
        <w:tc>
          <w:tcPr>
            <w:tcW w:w="992" w:type="dxa"/>
            <w:shd w:val="clear" w:color="auto" w:fill="auto"/>
            <w:vAlign w:val="center"/>
          </w:tcPr>
          <w:p w14:paraId="626112B3" w14:textId="77777777" w:rsidR="006F1F8D" w:rsidRPr="00CB55B0" w:rsidRDefault="006F1F8D" w:rsidP="006F1F8D">
            <w:pPr>
              <w:spacing w:after="0" w:line="240" w:lineRule="auto"/>
              <w:jc w:val="center"/>
              <w:rPr>
                <w:rFonts w:ascii="Arial" w:eastAsia="Times New Roman" w:hAnsi="Arial" w:cs="Arial"/>
                <w:i/>
                <w:sz w:val="14"/>
                <w:szCs w:val="14"/>
                <w:lang w:eastAsia="pt-BR"/>
              </w:rPr>
            </w:pPr>
            <w:r w:rsidRPr="00CB55B0">
              <w:rPr>
                <w:rFonts w:ascii="Arial" w:eastAsia="Times New Roman" w:hAnsi="Arial" w:cs="Arial"/>
                <w:sz w:val="14"/>
                <w:szCs w:val="14"/>
                <w:lang w:eastAsia="pt-BR"/>
              </w:rPr>
              <w:t>XML</w:t>
            </w:r>
          </w:p>
        </w:tc>
        <w:tc>
          <w:tcPr>
            <w:tcW w:w="1418" w:type="dxa"/>
            <w:vAlign w:val="center"/>
          </w:tcPr>
          <w:p w14:paraId="41174B3F" w14:textId="77777777" w:rsidR="006F1F8D" w:rsidRPr="00CB55B0" w:rsidRDefault="006F1F8D" w:rsidP="006F1F8D">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1134" w:type="dxa"/>
            <w:vAlign w:val="center"/>
          </w:tcPr>
          <w:p w14:paraId="35AE9125" w14:textId="77777777" w:rsidR="006F1F8D" w:rsidRPr="00CB55B0" w:rsidRDefault="006F1F8D" w:rsidP="006F1F8D">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1417" w:type="dxa"/>
            <w:vAlign w:val="center"/>
          </w:tcPr>
          <w:p w14:paraId="05030971" w14:textId="77777777" w:rsidR="006F1F8D" w:rsidRPr="00CB55B0" w:rsidRDefault="006F1F8D" w:rsidP="006F1F8D">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1417" w:type="dxa"/>
            <w:vAlign w:val="center"/>
          </w:tcPr>
          <w:p w14:paraId="7A3225D1" w14:textId="1BBB55D0" w:rsidR="006F1F8D" w:rsidRPr="006F1F8D" w:rsidRDefault="006F1F8D" w:rsidP="006F1F8D">
            <w:pPr>
              <w:spacing w:after="0" w:line="240" w:lineRule="auto"/>
              <w:jc w:val="center"/>
              <w:rPr>
                <w:rFonts w:ascii="Arial" w:eastAsia="Times New Roman" w:hAnsi="Arial" w:cs="Arial"/>
                <w:sz w:val="14"/>
                <w:szCs w:val="14"/>
                <w:lang w:eastAsia="pt-BR"/>
              </w:rPr>
            </w:pPr>
            <w:r w:rsidRPr="006F1F8D">
              <w:rPr>
                <w:rFonts w:ascii="Arial" w:eastAsia="Times New Roman" w:hAnsi="Arial" w:cs="Arial"/>
                <w:sz w:val="14"/>
                <w:szCs w:val="14"/>
                <w:lang w:eastAsia="pt-BR"/>
              </w:rPr>
              <w:t>X</w:t>
            </w:r>
          </w:p>
        </w:tc>
      </w:tr>
      <w:tr w:rsidR="006F1F8D" w:rsidRPr="00A5490A" w14:paraId="049C1791" w14:textId="796E85B9" w:rsidTr="006F1F8D">
        <w:tc>
          <w:tcPr>
            <w:tcW w:w="1294" w:type="dxa"/>
            <w:vAlign w:val="center"/>
          </w:tcPr>
          <w:p w14:paraId="4100404F" w14:textId="77777777" w:rsidR="006F1F8D" w:rsidRPr="00CB55B0" w:rsidRDefault="006F1F8D" w:rsidP="006F1F8D">
            <w:pPr>
              <w:spacing w:after="0" w:line="240" w:lineRule="auto"/>
              <w:jc w:val="center"/>
              <w:rPr>
                <w:rFonts w:ascii="Arial" w:eastAsia="Times New Roman" w:hAnsi="Arial" w:cs="Arial"/>
                <w:sz w:val="18"/>
                <w:szCs w:val="18"/>
                <w:lang w:eastAsia="pt-BR"/>
              </w:rPr>
            </w:pPr>
            <w:r w:rsidRPr="00CB55B0">
              <w:rPr>
                <w:rFonts w:ascii="Arial" w:eastAsia="Times New Roman" w:hAnsi="Arial" w:cs="Arial"/>
                <w:sz w:val="18"/>
                <w:szCs w:val="18"/>
                <w:lang w:eastAsia="pt-BR"/>
              </w:rPr>
              <w:t>BALEXOR_E</w:t>
            </w:r>
          </w:p>
        </w:tc>
        <w:tc>
          <w:tcPr>
            <w:tcW w:w="6894" w:type="dxa"/>
            <w:shd w:val="clear" w:color="auto" w:fill="auto"/>
            <w:vAlign w:val="center"/>
          </w:tcPr>
          <w:p w14:paraId="41AFDF15" w14:textId="6D8F3FE2" w:rsidR="006F1F8D" w:rsidRPr="00CB55B0" w:rsidRDefault="006F1F8D" w:rsidP="00C06F6F">
            <w:pPr>
              <w:spacing w:before="120" w:after="120" w:line="240" w:lineRule="auto"/>
              <w:jc w:val="both"/>
              <w:rPr>
                <w:rFonts w:ascii="Arial" w:eastAsia="Times New Roman" w:hAnsi="Arial" w:cs="Arial"/>
                <w:sz w:val="18"/>
                <w:szCs w:val="18"/>
                <w:lang w:eastAsia="pt-BR"/>
              </w:rPr>
            </w:pPr>
            <w:r w:rsidRPr="00CB55B0">
              <w:rPr>
                <w:rFonts w:ascii="Arial" w:eastAsia="Times New Roman" w:hAnsi="Arial" w:cs="Arial"/>
                <w:sz w:val="18"/>
                <w:szCs w:val="18"/>
                <w:lang w:eastAsia="pt-BR"/>
              </w:rPr>
              <w:t xml:space="preserve">Balancete da execução orçamentária da receita, acumulado até o mês de dezembro, demonstrando a previsão inicial, a previsão atualizada, a arrecadação orçamentária e a fonte de recursos. Estrutura e layout constantes do item </w:t>
            </w:r>
            <w:r w:rsidR="00C06F6F">
              <w:rPr>
                <w:rFonts w:ascii="Arial" w:eastAsia="Times New Roman" w:hAnsi="Arial" w:cs="Arial"/>
                <w:sz w:val="18"/>
                <w:szCs w:val="18"/>
                <w:lang w:eastAsia="pt-BR"/>
              </w:rPr>
              <w:t>3.1</w:t>
            </w:r>
            <w:r w:rsidRPr="00CB55B0">
              <w:rPr>
                <w:rFonts w:ascii="Arial" w:eastAsia="Times New Roman" w:hAnsi="Arial" w:cs="Arial"/>
                <w:sz w:val="18"/>
                <w:szCs w:val="18"/>
                <w:lang w:eastAsia="pt-BR"/>
              </w:rPr>
              <w:t xml:space="preserve"> deste Anexo</w:t>
            </w:r>
          </w:p>
        </w:tc>
        <w:tc>
          <w:tcPr>
            <w:tcW w:w="992" w:type="dxa"/>
            <w:shd w:val="clear" w:color="auto" w:fill="auto"/>
            <w:vAlign w:val="center"/>
          </w:tcPr>
          <w:p w14:paraId="130DEDF1" w14:textId="77777777" w:rsidR="006F1F8D" w:rsidRPr="00CB55B0" w:rsidRDefault="006F1F8D" w:rsidP="006F1F8D">
            <w:pPr>
              <w:spacing w:after="0" w:line="240" w:lineRule="auto"/>
              <w:jc w:val="center"/>
              <w:rPr>
                <w:rFonts w:ascii="Arial" w:eastAsia="Times New Roman" w:hAnsi="Arial" w:cs="Arial"/>
                <w:i/>
                <w:sz w:val="14"/>
                <w:szCs w:val="14"/>
                <w:lang w:eastAsia="pt-BR"/>
              </w:rPr>
            </w:pPr>
            <w:r w:rsidRPr="00CB55B0">
              <w:rPr>
                <w:rFonts w:ascii="Arial" w:eastAsia="Times New Roman" w:hAnsi="Arial" w:cs="Arial"/>
                <w:sz w:val="14"/>
                <w:szCs w:val="14"/>
                <w:lang w:eastAsia="pt-BR"/>
              </w:rPr>
              <w:t>XML</w:t>
            </w:r>
          </w:p>
        </w:tc>
        <w:tc>
          <w:tcPr>
            <w:tcW w:w="1418" w:type="dxa"/>
            <w:vAlign w:val="center"/>
          </w:tcPr>
          <w:p w14:paraId="186DEAB4" w14:textId="77777777" w:rsidR="006F1F8D" w:rsidRPr="00CB55B0" w:rsidRDefault="006F1F8D" w:rsidP="006F1F8D">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1134" w:type="dxa"/>
            <w:vAlign w:val="center"/>
          </w:tcPr>
          <w:p w14:paraId="4BD1BF0D" w14:textId="77777777" w:rsidR="006F1F8D" w:rsidRPr="00CB55B0" w:rsidRDefault="006F1F8D" w:rsidP="006F1F8D">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1417" w:type="dxa"/>
            <w:vAlign w:val="center"/>
          </w:tcPr>
          <w:p w14:paraId="489B3063" w14:textId="77777777" w:rsidR="006F1F8D" w:rsidRPr="00CB55B0" w:rsidRDefault="006F1F8D" w:rsidP="006F1F8D">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1417" w:type="dxa"/>
            <w:vAlign w:val="center"/>
          </w:tcPr>
          <w:p w14:paraId="1F5B227F" w14:textId="7CD7C0B6" w:rsidR="006F1F8D" w:rsidRPr="006F1F8D" w:rsidRDefault="006F1F8D" w:rsidP="006F1F8D">
            <w:pPr>
              <w:spacing w:after="0" w:line="240" w:lineRule="auto"/>
              <w:jc w:val="center"/>
              <w:rPr>
                <w:rFonts w:ascii="Arial" w:eastAsia="Times New Roman" w:hAnsi="Arial" w:cs="Arial"/>
                <w:sz w:val="14"/>
                <w:szCs w:val="14"/>
                <w:lang w:eastAsia="pt-BR"/>
              </w:rPr>
            </w:pPr>
            <w:r w:rsidRPr="006F1F8D">
              <w:rPr>
                <w:rFonts w:ascii="Arial" w:eastAsia="Times New Roman" w:hAnsi="Arial" w:cs="Arial"/>
                <w:sz w:val="14"/>
                <w:szCs w:val="14"/>
                <w:lang w:eastAsia="pt-BR"/>
              </w:rPr>
              <w:t>X</w:t>
            </w:r>
          </w:p>
        </w:tc>
      </w:tr>
      <w:tr w:rsidR="006F1F8D" w:rsidRPr="00A5490A" w14:paraId="198ED2D4" w14:textId="2C475312" w:rsidTr="006F1F8D">
        <w:tc>
          <w:tcPr>
            <w:tcW w:w="1294" w:type="dxa"/>
            <w:vAlign w:val="center"/>
          </w:tcPr>
          <w:p w14:paraId="7340C1BB" w14:textId="77777777" w:rsidR="006F1F8D" w:rsidRPr="003B4337" w:rsidRDefault="006F1F8D" w:rsidP="006F1F8D">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INVMOVS</w:t>
            </w:r>
          </w:p>
        </w:tc>
        <w:tc>
          <w:tcPr>
            <w:tcW w:w="6894" w:type="dxa"/>
            <w:shd w:val="clear" w:color="auto" w:fill="auto"/>
            <w:vAlign w:val="center"/>
          </w:tcPr>
          <w:p w14:paraId="16551BA5" w14:textId="77777777" w:rsidR="006F1F8D" w:rsidRPr="003B4337" w:rsidRDefault="006F1F8D" w:rsidP="006F1F8D">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Inventário anual dos bens móveis, contendo no mínimo as seguintes informações: </w:t>
            </w:r>
          </w:p>
          <w:p w14:paraId="5A125465" w14:textId="77777777" w:rsidR="006F1F8D" w:rsidRPr="003B4337" w:rsidRDefault="006F1F8D" w:rsidP="006F1F8D">
            <w:pPr>
              <w:numPr>
                <w:ilvl w:val="0"/>
                <w:numId w:val="1"/>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Número de patrimônio </w:t>
            </w:r>
          </w:p>
          <w:p w14:paraId="0C3C7D2A" w14:textId="77777777" w:rsidR="006F1F8D" w:rsidRPr="003B4337" w:rsidRDefault="006F1F8D" w:rsidP="006F1F8D">
            <w:pPr>
              <w:numPr>
                <w:ilvl w:val="0"/>
                <w:numId w:val="1"/>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Descrição do bem </w:t>
            </w:r>
          </w:p>
          <w:p w14:paraId="079A58E7" w14:textId="77777777" w:rsidR="006F1F8D" w:rsidRPr="003B4337" w:rsidRDefault="006F1F8D" w:rsidP="006F1F8D">
            <w:pPr>
              <w:numPr>
                <w:ilvl w:val="0"/>
                <w:numId w:val="1"/>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Data de aquisição/incorporação </w:t>
            </w:r>
          </w:p>
          <w:p w14:paraId="47514293" w14:textId="77777777" w:rsidR="006F1F8D" w:rsidRPr="003B4337" w:rsidRDefault="006F1F8D" w:rsidP="006F1F8D">
            <w:pPr>
              <w:numPr>
                <w:ilvl w:val="0"/>
                <w:numId w:val="1"/>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Localização </w:t>
            </w:r>
          </w:p>
          <w:p w14:paraId="1373E523" w14:textId="77777777" w:rsidR="006F1F8D" w:rsidRPr="003B4337" w:rsidRDefault="006F1F8D" w:rsidP="006F1F8D">
            <w:pPr>
              <w:numPr>
                <w:ilvl w:val="0"/>
                <w:numId w:val="1"/>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Quantidade </w:t>
            </w:r>
          </w:p>
          <w:p w14:paraId="602A1A1F" w14:textId="77777777" w:rsidR="006F1F8D" w:rsidRPr="003B4337" w:rsidRDefault="006F1F8D" w:rsidP="006F1F8D">
            <w:pPr>
              <w:numPr>
                <w:ilvl w:val="0"/>
                <w:numId w:val="1"/>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lastRenderedPageBreak/>
              <w:t xml:space="preserve">Valor histórico e valor atualizado </w:t>
            </w:r>
          </w:p>
          <w:p w14:paraId="4A39101F" w14:textId="77777777" w:rsidR="006F1F8D" w:rsidRPr="003B4337" w:rsidRDefault="006F1F8D" w:rsidP="006F1F8D">
            <w:pPr>
              <w:pStyle w:val="Default"/>
              <w:jc w:val="both"/>
              <w:rPr>
                <w:color w:val="auto"/>
                <w:sz w:val="18"/>
                <w:szCs w:val="18"/>
              </w:rPr>
            </w:pPr>
          </w:p>
          <w:p w14:paraId="0A2C4E94" w14:textId="77777777" w:rsidR="006F1F8D" w:rsidRPr="003B4337" w:rsidRDefault="006F1F8D" w:rsidP="006F1F8D">
            <w:pPr>
              <w:pStyle w:val="Default"/>
              <w:jc w:val="both"/>
              <w:rPr>
                <w:rFonts w:eastAsia="Times New Roman"/>
                <w:color w:val="auto"/>
                <w:sz w:val="18"/>
                <w:szCs w:val="18"/>
                <w:lang w:eastAsia="pt-BR"/>
              </w:rPr>
            </w:pPr>
            <w:r w:rsidRPr="003B4337">
              <w:rPr>
                <w:rFonts w:eastAsia="Times New Roman"/>
                <w:color w:val="auto"/>
                <w:sz w:val="18"/>
                <w:szCs w:val="18"/>
                <w:lang w:eastAsia="pt-BR"/>
              </w:rPr>
              <w:t xml:space="preserve">Obs.1: as colunas de quantidades, valor histórico e valor atualizado devem ser totalizadas. </w:t>
            </w:r>
          </w:p>
          <w:p w14:paraId="60CF4B05" w14:textId="77777777" w:rsidR="006F1F8D" w:rsidRPr="003B4337" w:rsidRDefault="006F1F8D" w:rsidP="006F1F8D">
            <w:pPr>
              <w:pStyle w:val="Default"/>
              <w:jc w:val="both"/>
              <w:rPr>
                <w:rFonts w:eastAsia="Times New Roman"/>
                <w:color w:val="auto"/>
                <w:sz w:val="18"/>
                <w:szCs w:val="18"/>
                <w:lang w:eastAsia="pt-BR"/>
              </w:rPr>
            </w:pPr>
            <w:r w:rsidRPr="003B4337">
              <w:rPr>
                <w:rFonts w:eastAsia="Times New Roman"/>
                <w:color w:val="auto"/>
                <w:sz w:val="18"/>
                <w:szCs w:val="18"/>
                <w:lang w:eastAsia="pt-BR"/>
              </w:rPr>
              <w:t xml:space="preserve">Obs.2: </w:t>
            </w:r>
            <w:r w:rsidRPr="00B6188E">
              <w:rPr>
                <w:rFonts w:eastAsia="Times New Roman"/>
                <w:color w:val="auto"/>
                <w:sz w:val="18"/>
                <w:szCs w:val="18"/>
                <w:lang w:eastAsia="pt-BR"/>
              </w:rPr>
              <w:t xml:space="preserve">durante o período de mensuração, reconhecimento e implementação dos procedimentos contábeis patrimoniais, cujos prazos foram estabelecidos pela </w:t>
            </w:r>
            <w:r>
              <w:rPr>
                <w:rFonts w:eastAsia="Times New Roman"/>
                <w:color w:val="auto"/>
                <w:sz w:val="18"/>
                <w:szCs w:val="18"/>
                <w:lang w:eastAsia="pt-BR"/>
              </w:rPr>
              <w:t>IN 35/2016</w:t>
            </w:r>
            <w:r w:rsidRPr="00B6188E">
              <w:rPr>
                <w:rFonts w:eastAsia="Times New Roman"/>
                <w:color w:val="auto"/>
                <w:sz w:val="18"/>
                <w:szCs w:val="18"/>
                <w:lang w:eastAsia="pt-BR"/>
              </w:rPr>
              <w:t>, poderá ser informado para o valor atualizado dos bens o mesmo valor histórico.</w:t>
            </w:r>
          </w:p>
          <w:p w14:paraId="0B7DF50F" w14:textId="77777777" w:rsidR="006F1F8D" w:rsidRPr="003B4337" w:rsidRDefault="006F1F8D" w:rsidP="006F1F8D">
            <w:pPr>
              <w:pStyle w:val="Default"/>
              <w:jc w:val="both"/>
              <w:rPr>
                <w:rFonts w:eastAsia="Times New Roman"/>
                <w:color w:val="auto"/>
                <w:sz w:val="18"/>
                <w:szCs w:val="18"/>
                <w:lang w:eastAsia="pt-BR"/>
              </w:rPr>
            </w:pPr>
            <w:r w:rsidRPr="003B4337">
              <w:rPr>
                <w:rFonts w:eastAsia="Times New Roman"/>
                <w:color w:val="auto"/>
                <w:sz w:val="18"/>
                <w:szCs w:val="18"/>
                <w:lang w:eastAsia="pt-BR"/>
              </w:rPr>
              <w:t xml:space="preserve">Obs.3: os critérios utilizados para definição de valor histórico, valor atualizado e de mensuração do inventário, devem ser objeto de notas explicativas. </w:t>
            </w:r>
          </w:p>
          <w:p w14:paraId="7A2EE5AF" w14:textId="77777777" w:rsidR="006F1F8D" w:rsidRPr="003B4337" w:rsidRDefault="006F1F8D" w:rsidP="006F1F8D">
            <w:pPr>
              <w:pStyle w:val="Default"/>
              <w:jc w:val="both"/>
              <w:rPr>
                <w:rFonts w:eastAsia="Times New Roman"/>
                <w:color w:val="auto"/>
                <w:sz w:val="18"/>
                <w:szCs w:val="18"/>
                <w:lang w:eastAsia="pt-BR"/>
              </w:rPr>
            </w:pPr>
            <w:r w:rsidRPr="003B4337">
              <w:rPr>
                <w:rFonts w:eastAsia="Times New Roman"/>
                <w:color w:val="auto"/>
                <w:sz w:val="18"/>
                <w:szCs w:val="18"/>
                <w:lang w:eastAsia="pt-BR"/>
              </w:rPr>
              <w:t xml:space="preserve">Obs.4: aplicam-se à presente norma, os conceitos adotados pela Secretaria do Tesouro Nacional em seu Manual de Contabilidade Aplicada ao Setor Público vigente. </w:t>
            </w:r>
          </w:p>
        </w:tc>
        <w:tc>
          <w:tcPr>
            <w:tcW w:w="992" w:type="dxa"/>
            <w:shd w:val="clear" w:color="auto" w:fill="auto"/>
            <w:vAlign w:val="center"/>
          </w:tcPr>
          <w:p w14:paraId="742E7557" w14:textId="77777777" w:rsidR="006F1F8D" w:rsidRPr="003B4337" w:rsidRDefault="006F1F8D" w:rsidP="006F1F8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lastRenderedPageBreak/>
              <w:t>PDF</w:t>
            </w:r>
          </w:p>
          <w:p w14:paraId="355873BB" w14:textId="77777777" w:rsidR="006F1F8D" w:rsidRPr="003B4337" w:rsidRDefault="006F1F8D" w:rsidP="006F1F8D">
            <w:pPr>
              <w:spacing w:after="0" w:line="240" w:lineRule="auto"/>
              <w:jc w:val="center"/>
              <w:rPr>
                <w:rFonts w:ascii="Arial" w:eastAsia="Times New Roman" w:hAnsi="Arial" w:cs="Arial"/>
                <w:sz w:val="14"/>
                <w:szCs w:val="14"/>
                <w:highlight w:val="yellow"/>
                <w:lang w:eastAsia="pt-BR"/>
              </w:rPr>
            </w:pPr>
            <w:r w:rsidRPr="003B4337">
              <w:rPr>
                <w:rFonts w:ascii="Arial" w:eastAsia="Times New Roman" w:hAnsi="Arial" w:cs="Arial"/>
                <w:sz w:val="14"/>
                <w:szCs w:val="14"/>
                <w:lang w:eastAsia="pt-BR"/>
              </w:rPr>
              <w:t>e</w:t>
            </w:r>
            <w:r w:rsidRPr="003B4337">
              <w:rPr>
                <w:rFonts w:ascii="Arial" w:eastAsia="Times New Roman" w:hAnsi="Arial" w:cs="Arial"/>
                <w:sz w:val="14"/>
                <w:szCs w:val="14"/>
                <w:highlight w:val="yellow"/>
                <w:lang w:eastAsia="pt-BR"/>
              </w:rPr>
              <w:t xml:space="preserve"> </w:t>
            </w:r>
          </w:p>
          <w:p w14:paraId="1D5CA0C8" w14:textId="77777777" w:rsidR="006F1F8D" w:rsidRPr="003B4337" w:rsidRDefault="006F1F8D" w:rsidP="006F1F8D">
            <w:pPr>
              <w:spacing w:after="0" w:line="240" w:lineRule="auto"/>
              <w:jc w:val="center"/>
              <w:rPr>
                <w:rFonts w:ascii="Arial" w:eastAsia="Times New Roman" w:hAnsi="Arial" w:cs="Arial"/>
                <w:sz w:val="14"/>
                <w:szCs w:val="14"/>
                <w:lang w:eastAsia="pt-BR"/>
              </w:rPr>
            </w:pPr>
            <w:r w:rsidRPr="003B4337">
              <w:rPr>
                <w:rFonts w:ascii="Arial" w:eastAsia="Times New Roman" w:hAnsi="Arial" w:cs="Arial"/>
                <w:sz w:val="14"/>
                <w:szCs w:val="14"/>
                <w:lang w:eastAsia="pt-BR"/>
              </w:rPr>
              <w:t>XLS/XLSX/ODS</w:t>
            </w:r>
          </w:p>
        </w:tc>
        <w:tc>
          <w:tcPr>
            <w:tcW w:w="1418" w:type="dxa"/>
            <w:vAlign w:val="center"/>
          </w:tcPr>
          <w:p w14:paraId="0590D5F4" w14:textId="77777777" w:rsidR="006F1F8D" w:rsidRPr="003B4337" w:rsidRDefault="006F1F8D" w:rsidP="006F1F8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134" w:type="dxa"/>
            <w:vAlign w:val="center"/>
          </w:tcPr>
          <w:p w14:paraId="206C9515" w14:textId="77777777" w:rsidR="006F1F8D" w:rsidRPr="003B4337" w:rsidRDefault="006F1F8D" w:rsidP="006F1F8D">
            <w:pPr>
              <w:spacing w:after="0" w:line="240" w:lineRule="auto"/>
              <w:jc w:val="center"/>
              <w:rPr>
                <w:rFonts w:ascii="Arial" w:eastAsia="Times New Roman" w:hAnsi="Arial" w:cs="Arial"/>
                <w:sz w:val="14"/>
                <w:szCs w:val="14"/>
                <w:lang w:eastAsia="pt-BR"/>
              </w:rPr>
            </w:pPr>
          </w:p>
        </w:tc>
        <w:tc>
          <w:tcPr>
            <w:tcW w:w="1417" w:type="dxa"/>
            <w:vAlign w:val="center"/>
          </w:tcPr>
          <w:p w14:paraId="00A01D40" w14:textId="77777777" w:rsidR="006F1F8D" w:rsidRPr="003B4337" w:rsidRDefault="006F1F8D" w:rsidP="006F1F8D">
            <w:pPr>
              <w:spacing w:after="0" w:line="240" w:lineRule="auto"/>
              <w:jc w:val="center"/>
              <w:rPr>
                <w:rFonts w:ascii="Arial" w:eastAsia="Times New Roman" w:hAnsi="Arial" w:cs="Arial"/>
                <w:sz w:val="14"/>
                <w:szCs w:val="14"/>
                <w:lang w:eastAsia="pt-BR"/>
              </w:rPr>
            </w:pPr>
          </w:p>
        </w:tc>
        <w:tc>
          <w:tcPr>
            <w:tcW w:w="1417" w:type="dxa"/>
            <w:vAlign w:val="center"/>
          </w:tcPr>
          <w:p w14:paraId="73A150D6" w14:textId="7C08F023" w:rsidR="006F1F8D" w:rsidRPr="006F1F8D" w:rsidRDefault="006F1F8D" w:rsidP="006F1F8D">
            <w:pPr>
              <w:spacing w:after="0" w:line="240" w:lineRule="auto"/>
              <w:jc w:val="center"/>
              <w:rPr>
                <w:rFonts w:ascii="Arial" w:eastAsia="Times New Roman" w:hAnsi="Arial" w:cs="Arial"/>
                <w:sz w:val="14"/>
                <w:szCs w:val="14"/>
                <w:lang w:eastAsia="pt-BR"/>
              </w:rPr>
            </w:pPr>
            <w:r w:rsidRPr="006F1F8D">
              <w:rPr>
                <w:rFonts w:ascii="Arial" w:eastAsia="Times New Roman" w:hAnsi="Arial" w:cs="Arial"/>
                <w:sz w:val="14"/>
                <w:szCs w:val="14"/>
                <w:lang w:eastAsia="pt-BR"/>
              </w:rPr>
              <w:t>X</w:t>
            </w:r>
          </w:p>
        </w:tc>
      </w:tr>
      <w:tr w:rsidR="006F1F8D" w:rsidRPr="00856E0F" w14:paraId="4FECCC9F" w14:textId="144CAA64" w:rsidTr="006F1F8D">
        <w:tc>
          <w:tcPr>
            <w:tcW w:w="1294" w:type="dxa"/>
            <w:tcBorders>
              <w:top w:val="single" w:sz="4" w:space="0" w:color="auto"/>
              <w:left w:val="single" w:sz="4" w:space="0" w:color="auto"/>
              <w:bottom w:val="single" w:sz="4" w:space="0" w:color="auto"/>
              <w:right w:val="single" w:sz="4" w:space="0" w:color="auto"/>
            </w:tcBorders>
            <w:vAlign w:val="center"/>
          </w:tcPr>
          <w:p w14:paraId="173AD9CC" w14:textId="77777777" w:rsidR="006F1F8D" w:rsidRPr="003B4337" w:rsidRDefault="006F1F8D" w:rsidP="006F1F8D">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lastRenderedPageBreak/>
              <w:t>TERMOV</w:t>
            </w:r>
          </w:p>
        </w:tc>
        <w:tc>
          <w:tcPr>
            <w:tcW w:w="6894" w:type="dxa"/>
            <w:tcBorders>
              <w:top w:val="single" w:sz="4" w:space="0" w:color="auto"/>
              <w:left w:val="single" w:sz="4" w:space="0" w:color="auto"/>
              <w:bottom w:val="single" w:sz="4" w:space="0" w:color="auto"/>
              <w:right w:val="single" w:sz="4" w:space="0" w:color="auto"/>
            </w:tcBorders>
            <w:shd w:val="clear" w:color="auto" w:fill="auto"/>
            <w:vAlign w:val="center"/>
          </w:tcPr>
          <w:p w14:paraId="47C230BA" w14:textId="1C903EED" w:rsidR="006F1F8D" w:rsidRPr="003B4337" w:rsidRDefault="006F1F8D" w:rsidP="009378BD">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Termo circunstanciado elaborado e assinado pela comissão responsável pelo Inventário Anual de Bens Móveis (INVMOVS), indicando o saldo total apurado e o detalhamento (especificação e valor) das divergências encontradas</w:t>
            </w:r>
            <w:r>
              <w:rPr>
                <w:rFonts w:ascii="Arial" w:eastAsia="Times New Roman" w:hAnsi="Arial" w:cs="Arial"/>
                <w:sz w:val="18"/>
                <w:szCs w:val="18"/>
                <w:lang w:eastAsia="pt-BR"/>
              </w:rPr>
              <w:t xml:space="preserve">, </w:t>
            </w:r>
            <w:r w:rsidRPr="009378BD">
              <w:rPr>
                <w:rFonts w:ascii="Arial" w:eastAsia="Times New Roman" w:hAnsi="Arial" w:cs="Arial"/>
                <w:sz w:val="18"/>
                <w:szCs w:val="18"/>
                <w:lang w:eastAsia="pt-BR"/>
              </w:rPr>
              <w:t xml:space="preserve">na forma </w:t>
            </w:r>
            <w:r w:rsidR="009378BD" w:rsidRPr="009378BD">
              <w:rPr>
                <w:rFonts w:ascii="Arial" w:eastAsia="Times New Roman" w:hAnsi="Arial" w:cs="Arial"/>
                <w:sz w:val="18"/>
                <w:szCs w:val="18"/>
                <w:lang w:eastAsia="pt-BR"/>
              </w:rPr>
              <w:t>do item 3.2 deste Anexo.</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FD427F2" w14:textId="77777777" w:rsidR="006F1F8D" w:rsidRPr="003B4337" w:rsidRDefault="006F1F8D" w:rsidP="006F1F8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c>
          <w:tcPr>
            <w:tcW w:w="1418" w:type="dxa"/>
            <w:tcBorders>
              <w:top w:val="single" w:sz="4" w:space="0" w:color="auto"/>
              <w:left w:val="single" w:sz="4" w:space="0" w:color="auto"/>
              <w:bottom w:val="single" w:sz="4" w:space="0" w:color="auto"/>
              <w:right w:val="single" w:sz="4" w:space="0" w:color="auto"/>
            </w:tcBorders>
            <w:vAlign w:val="center"/>
          </w:tcPr>
          <w:p w14:paraId="090D654E" w14:textId="77777777" w:rsidR="006F1F8D" w:rsidRPr="003B4337" w:rsidRDefault="006F1F8D" w:rsidP="006F1F8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134" w:type="dxa"/>
            <w:tcBorders>
              <w:top w:val="single" w:sz="4" w:space="0" w:color="auto"/>
              <w:left w:val="single" w:sz="4" w:space="0" w:color="auto"/>
              <w:bottom w:val="single" w:sz="4" w:space="0" w:color="auto"/>
              <w:right w:val="single" w:sz="4" w:space="0" w:color="auto"/>
            </w:tcBorders>
            <w:vAlign w:val="center"/>
          </w:tcPr>
          <w:p w14:paraId="61F41483" w14:textId="77777777" w:rsidR="006F1F8D" w:rsidRPr="003B4337" w:rsidRDefault="006F1F8D" w:rsidP="006F1F8D">
            <w:pPr>
              <w:spacing w:after="0" w:line="240" w:lineRule="auto"/>
              <w:jc w:val="center"/>
              <w:rPr>
                <w:rFonts w:ascii="Arial" w:eastAsia="Times New Roman" w:hAnsi="Arial" w:cs="Arial"/>
                <w:sz w:val="14"/>
                <w:szCs w:val="14"/>
                <w:lang w:eastAsia="pt-BR"/>
              </w:rPr>
            </w:pPr>
          </w:p>
        </w:tc>
        <w:tc>
          <w:tcPr>
            <w:tcW w:w="1417" w:type="dxa"/>
            <w:tcBorders>
              <w:top w:val="single" w:sz="4" w:space="0" w:color="auto"/>
              <w:left w:val="single" w:sz="4" w:space="0" w:color="auto"/>
              <w:bottom w:val="single" w:sz="4" w:space="0" w:color="auto"/>
              <w:right w:val="single" w:sz="4" w:space="0" w:color="auto"/>
            </w:tcBorders>
            <w:vAlign w:val="center"/>
          </w:tcPr>
          <w:p w14:paraId="6BC3C1C0" w14:textId="77777777" w:rsidR="006F1F8D" w:rsidRPr="003B4337" w:rsidRDefault="006F1F8D" w:rsidP="006F1F8D">
            <w:pPr>
              <w:spacing w:after="0" w:line="240" w:lineRule="auto"/>
              <w:jc w:val="center"/>
              <w:rPr>
                <w:rFonts w:ascii="Arial" w:eastAsia="Times New Roman" w:hAnsi="Arial" w:cs="Arial"/>
                <w:sz w:val="14"/>
                <w:szCs w:val="14"/>
                <w:lang w:eastAsia="pt-BR"/>
              </w:rPr>
            </w:pPr>
          </w:p>
        </w:tc>
        <w:tc>
          <w:tcPr>
            <w:tcW w:w="1417" w:type="dxa"/>
            <w:tcBorders>
              <w:top w:val="single" w:sz="4" w:space="0" w:color="auto"/>
              <w:left w:val="single" w:sz="4" w:space="0" w:color="auto"/>
              <w:bottom w:val="single" w:sz="4" w:space="0" w:color="auto"/>
              <w:right w:val="single" w:sz="4" w:space="0" w:color="auto"/>
            </w:tcBorders>
            <w:vAlign w:val="center"/>
          </w:tcPr>
          <w:p w14:paraId="3D0D4FD1" w14:textId="7DF16FD0" w:rsidR="006F1F8D" w:rsidRPr="006F1F8D" w:rsidRDefault="006F1F8D" w:rsidP="006F1F8D">
            <w:pPr>
              <w:spacing w:after="0" w:line="240" w:lineRule="auto"/>
              <w:jc w:val="center"/>
              <w:rPr>
                <w:rFonts w:ascii="Arial" w:eastAsia="Times New Roman" w:hAnsi="Arial" w:cs="Arial"/>
                <w:sz w:val="14"/>
                <w:szCs w:val="14"/>
                <w:lang w:eastAsia="pt-BR"/>
              </w:rPr>
            </w:pPr>
            <w:r w:rsidRPr="006F1F8D">
              <w:rPr>
                <w:rFonts w:ascii="Arial" w:eastAsia="Times New Roman" w:hAnsi="Arial" w:cs="Arial"/>
                <w:sz w:val="14"/>
                <w:szCs w:val="14"/>
                <w:lang w:eastAsia="pt-BR"/>
              </w:rPr>
              <w:t>X</w:t>
            </w:r>
          </w:p>
        </w:tc>
      </w:tr>
      <w:tr w:rsidR="006F1F8D" w:rsidRPr="00A5490A" w14:paraId="7EBA9A44" w14:textId="736B7507" w:rsidTr="006F1F8D">
        <w:tc>
          <w:tcPr>
            <w:tcW w:w="1294" w:type="dxa"/>
            <w:vAlign w:val="center"/>
          </w:tcPr>
          <w:p w14:paraId="4A72E2ED" w14:textId="77777777" w:rsidR="006F1F8D" w:rsidRPr="003B4337" w:rsidRDefault="006F1F8D" w:rsidP="006F1F8D">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INVIMOS</w:t>
            </w:r>
          </w:p>
        </w:tc>
        <w:tc>
          <w:tcPr>
            <w:tcW w:w="6894" w:type="dxa"/>
            <w:shd w:val="clear" w:color="auto" w:fill="auto"/>
            <w:vAlign w:val="center"/>
          </w:tcPr>
          <w:p w14:paraId="34787EE8" w14:textId="77777777" w:rsidR="006F1F8D" w:rsidRPr="003B4337" w:rsidRDefault="006F1F8D" w:rsidP="006F1F8D">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Inventário anual dos bens imóveis, contendo no mínimo as seguintes informações: </w:t>
            </w:r>
          </w:p>
          <w:p w14:paraId="0DA957D6" w14:textId="77777777" w:rsidR="006F1F8D" w:rsidRPr="003B4337" w:rsidRDefault="006F1F8D" w:rsidP="006F1F8D">
            <w:pPr>
              <w:numPr>
                <w:ilvl w:val="0"/>
                <w:numId w:val="1"/>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Relação dos imóveis que integram o patrimônio do Órgão. </w:t>
            </w:r>
          </w:p>
          <w:p w14:paraId="349B6025" w14:textId="77777777" w:rsidR="006F1F8D" w:rsidRPr="003B4337" w:rsidRDefault="006F1F8D" w:rsidP="006F1F8D">
            <w:pPr>
              <w:numPr>
                <w:ilvl w:val="0"/>
                <w:numId w:val="1"/>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Caracterização do imóvel (número de registro, conforme certidão de matrícula ou certidão de ônus reais obtida no cartório de registro de imóveis; localização; área; estado de conservação; benfeitorias existentes; demais características) </w:t>
            </w:r>
          </w:p>
          <w:p w14:paraId="47C43625" w14:textId="77777777" w:rsidR="006F1F8D" w:rsidRPr="003B4337" w:rsidRDefault="006F1F8D" w:rsidP="006F1F8D">
            <w:pPr>
              <w:numPr>
                <w:ilvl w:val="0"/>
                <w:numId w:val="1"/>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Data de aquisição/construção ou incorporação </w:t>
            </w:r>
          </w:p>
          <w:p w14:paraId="4D5E06F4" w14:textId="77777777" w:rsidR="006F1F8D" w:rsidRPr="003B4337" w:rsidRDefault="006F1F8D" w:rsidP="006F1F8D">
            <w:pPr>
              <w:numPr>
                <w:ilvl w:val="0"/>
                <w:numId w:val="1"/>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Valor histórico e valor atualizado </w:t>
            </w:r>
          </w:p>
          <w:p w14:paraId="2B3D8C7E" w14:textId="77777777" w:rsidR="006F1F8D" w:rsidRPr="003B4337" w:rsidRDefault="006F1F8D" w:rsidP="006F1F8D">
            <w:pPr>
              <w:pStyle w:val="Default"/>
              <w:jc w:val="both"/>
              <w:rPr>
                <w:rFonts w:eastAsia="Times New Roman"/>
                <w:color w:val="auto"/>
                <w:sz w:val="18"/>
                <w:szCs w:val="18"/>
                <w:lang w:eastAsia="pt-BR"/>
              </w:rPr>
            </w:pPr>
            <w:r w:rsidRPr="003B4337">
              <w:rPr>
                <w:rFonts w:eastAsia="Times New Roman"/>
                <w:color w:val="auto"/>
                <w:sz w:val="18"/>
                <w:szCs w:val="18"/>
                <w:lang w:eastAsia="pt-BR"/>
              </w:rPr>
              <w:t xml:space="preserve">Obs.1: as colunas valor histórico e valor atualizado devem ser totalizadas. </w:t>
            </w:r>
          </w:p>
          <w:p w14:paraId="73438D0B" w14:textId="77777777" w:rsidR="006F1F8D" w:rsidRPr="003B4337" w:rsidRDefault="006F1F8D" w:rsidP="006F1F8D">
            <w:pPr>
              <w:pStyle w:val="Default"/>
              <w:jc w:val="both"/>
              <w:rPr>
                <w:rFonts w:eastAsia="Times New Roman"/>
                <w:color w:val="auto"/>
                <w:sz w:val="18"/>
                <w:szCs w:val="18"/>
                <w:lang w:eastAsia="pt-BR"/>
              </w:rPr>
            </w:pPr>
            <w:r w:rsidRPr="003B4337">
              <w:rPr>
                <w:rFonts w:eastAsia="Times New Roman"/>
                <w:color w:val="auto"/>
                <w:sz w:val="18"/>
                <w:szCs w:val="18"/>
                <w:lang w:eastAsia="pt-BR"/>
              </w:rPr>
              <w:t xml:space="preserve">Obs.2: </w:t>
            </w:r>
            <w:r w:rsidRPr="00B6188E">
              <w:rPr>
                <w:rFonts w:eastAsia="Times New Roman"/>
                <w:color w:val="auto"/>
                <w:sz w:val="18"/>
                <w:szCs w:val="18"/>
                <w:lang w:eastAsia="pt-BR"/>
              </w:rPr>
              <w:t xml:space="preserve">durante o período de mensuração, reconhecimento e implementação dos procedimentos contábeis patrimoniais, cujos prazos foram estabelecidos pela </w:t>
            </w:r>
            <w:r>
              <w:rPr>
                <w:rFonts w:eastAsia="Times New Roman"/>
                <w:color w:val="auto"/>
                <w:sz w:val="18"/>
                <w:szCs w:val="18"/>
                <w:lang w:eastAsia="pt-BR"/>
              </w:rPr>
              <w:t>IN 35/2016</w:t>
            </w:r>
            <w:r w:rsidRPr="00B6188E">
              <w:rPr>
                <w:rFonts w:eastAsia="Times New Roman"/>
                <w:color w:val="auto"/>
                <w:sz w:val="18"/>
                <w:szCs w:val="18"/>
                <w:lang w:eastAsia="pt-BR"/>
              </w:rPr>
              <w:t>, poderá ser informado para o valor atualizado dos bens o mesmo valor histórico.</w:t>
            </w:r>
          </w:p>
          <w:p w14:paraId="0186E5F2" w14:textId="77777777" w:rsidR="006F1F8D" w:rsidRPr="003B4337" w:rsidRDefault="006F1F8D" w:rsidP="006F1F8D">
            <w:pPr>
              <w:pStyle w:val="Default"/>
              <w:jc w:val="both"/>
              <w:rPr>
                <w:rFonts w:eastAsia="Times New Roman"/>
                <w:color w:val="auto"/>
                <w:sz w:val="18"/>
                <w:szCs w:val="18"/>
                <w:lang w:eastAsia="pt-BR"/>
              </w:rPr>
            </w:pPr>
            <w:r w:rsidRPr="003B4337">
              <w:rPr>
                <w:rFonts w:eastAsia="Times New Roman"/>
                <w:color w:val="auto"/>
                <w:sz w:val="18"/>
                <w:szCs w:val="18"/>
                <w:lang w:eastAsia="pt-BR"/>
              </w:rPr>
              <w:t xml:space="preserve">Obs.3: os critérios utilizados para definição de valor histórico, valor atualizado e de mensuração do inventário, devem ser objeto de notas explicativas. </w:t>
            </w:r>
          </w:p>
          <w:p w14:paraId="2F302DA3" w14:textId="77777777" w:rsidR="006F1F8D" w:rsidRPr="003B4337" w:rsidRDefault="006F1F8D" w:rsidP="006F1F8D">
            <w:pPr>
              <w:pStyle w:val="Default"/>
              <w:jc w:val="both"/>
              <w:rPr>
                <w:rFonts w:eastAsia="Times New Roman"/>
                <w:color w:val="auto"/>
                <w:sz w:val="18"/>
                <w:szCs w:val="18"/>
                <w:lang w:eastAsia="pt-BR"/>
              </w:rPr>
            </w:pPr>
            <w:r w:rsidRPr="003B4337">
              <w:rPr>
                <w:rFonts w:eastAsia="Times New Roman"/>
                <w:color w:val="auto"/>
                <w:sz w:val="18"/>
                <w:szCs w:val="18"/>
                <w:lang w:eastAsia="pt-BR"/>
              </w:rPr>
              <w:t xml:space="preserve">Obs.4: aplicam-se à presente norma, os conceitos adotados pela Secretaria do Tesouro Nacional em seu Manual de Contabilidade Aplicada ao Setor Público vigente. </w:t>
            </w:r>
          </w:p>
          <w:p w14:paraId="66538CF2" w14:textId="77777777" w:rsidR="006F1F8D" w:rsidRPr="003B4337" w:rsidRDefault="006F1F8D" w:rsidP="006F1F8D">
            <w:pPr>
              <w:pStyle w:val="Default"/>
              <w:jc w:val="both"/>
              <w:rPr>
                <w:rFonts w:eastAsia="Times New Roman"/>
                <w:color w:val="auto"/>
                <w:sz w:val="18"/>
                <w:szCs w:val="18"/>
                <w:lang w:eastAsia="pt-BR"/>
              </w:rPr>
            </w:pPr>
            <w:r w:rsidRPr="003B4337">
              <w:rPr>
                <w:rFonts w:eastAsia="Times New Roman"/>
                <w:color w:val="auto"/>
                <w:sz w:val="18"/>
                <w:szCs w:val="18"/>
                <w:lang w:eastAsia="pt-BR"/>
              </w:rPr>
              <w:lastRenderedPageBreak/>
              <w:t xml:space="preserve">Obs.5: imóveis que são utilizados pelo Órgão mas que não integram o seu patrimônio devem ser informados separadamente. </w:t>
            </w:r>
          </w:p>
        </w:tc>
        <w:tc>
          <w:tcPr>
            <w:tcW w:w="992" w:type="dxa"/>
            <w:shd w:val="clear" w:color="auto" w:fill="auto"/>
            <w:vAlign w:val="center"/>
          </w:tcPr>
          <w:p w14:paraId="2E53173D" w14:textId="77777777" w:rsidR="006F1F8D" w:rsidRPr="003B4337" w:rsidRDefault="006F1F8D" w:rsidP="006F1F8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lastRenderedPageBreak/>
              <w:t>PDF</w:t>
            </w:r>
          </w:p>
          <w:p w14:paraId="44AF4FEF" w14:textId="77777777" w:rsidR="006F1F8D" w:rsidRPr="003B4337" w:rsidRDefault="006F1F8D" w:rsidP="006F1F8D">
            <w:pPr>
              <w:spacing w:after="0" w:line="240" w:lineRule="auto"/>
              <w:jc w:val="center"/>
              <w:rPr>
                <w:rFonts w:ascii="Arial" w:eastAsia="Times New Roman" w:hAnsi="Arial" w:cs="Arial"/>
                <w:sz w:val="14"/>
                <w:szCs w:val="14"/>
                <w:highlight w:val="yellow"/>
                <w:lang w:eastAsia="pt-BR"/>
              </w:rPr>
            </w:pPr>
            <w:r w:rsidRPr="003B4337">
              <w:rPr>
                <w:rFonts w:ascii="Arial" w:eastAsia="Times New Roman" w:hAnsi="Arial" w:cs="Arial"/>
                <w:sz w:val="14"/>
                <w:szCs w:val="14"/>
                <w:lang w:eastAsia="pt-BR"/>
              </w:rPr>
              <w:t>e</w:t>
            </w:r>
            <w:r w:rsidRPr="003B4337">
              <w:rPr>
                <w:rFonts w:ascii="Arial" w:eastAsia="Times New Roman" w:hAnsi="Arial" w:cs="Arial"/>
                <w:sz w:val="14"/>
                <w:szCs w:val="14"/>
                <w:highlight w:val="yellow"/>
                <w:lang w:eastAsia="pt-BR"/>
              </w:rPr>
              <w:t xml:space="preserve"> </w:t>
            </w:r>
          </w:p>
          <w:p w14:paraId="149A5653" w14:textId="77777777" w:rsidR="006F1F8D" w:rsidRPr="003B4337" w:rsidRDefault="006F1F8D" w:rsidP="006F1F8D">
            <w:pPr>
              <w:spacing w:after="0" w:line="240" w:lineRule="auto"/>
              <w:jc w:val="center"/>
              <w:rPr>
                <w:rFonts w:ascii="Arial" w:eastAsia="Times New Roman" w:hAnsi="Arial" w:cs="Arial"/>
                <w:sz w:val="14"/>
                <w:szCs w:val="14"/>
                <w:lang w:eastAsia="pt-BR"/>
              </w:rPr>
            </w:pPr>
            <w:r w:rsidRPr="003B4337">
              <w:rPr>
                <w:rFonts w:ascii="Arial" w:eastAsia="Times New Roman" w:hAnsi="Arial" w:cs="Arial"/>
                <w:sz w:val="14"/>
                <w:szCs w:val="14"/>
                <w:lang w:eastAsia="pt-BR"/>
              </w:rPr>
              <w:t>XLS/XLSX/ODS</w:t>
            </w:r>
          </w:p>
        </w:tc>
        <w:tc>
          <w:tcPr>
            <w:tcW w:w="1418" w:type="dxa"/>
            <w:vAlign w:val="center"/>
          </w:tcPr>
          <w:p w14:paraId="7FEE611A" w14:textId="77777777" w:rsidR="006F1F8D" w:rsidRPr="003B4337" w:rsidRDefault="006F1F8D" w:rsidP="006F1F8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134" w:type="dxa"/>
            <w:vAlign w:val="center"/>
          </w:tcPr>
          <w:p w14:paraId="77101010" w14:textId="77777777" w:rsidR="006F1F8D" w:rsidRPr="003B4337" w:rsidRDefault="006F1F8D" w:rsidP="006F1F8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417" w:type="dxa"/>
            <w:vAlign w:val="center"/>
          </w:tcPr>
          <w:p w14:paraId="3E452C20" w14:textId="77777777" w:rsidR="006F1F8D" w:rsidRPr="003B4337" w:rsidRDefault="006F1F8D" w:rsidP="006F1F8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417" w:type="dxa"/>
            <w:vAlign w:val="center"/>
          </w:tcPr>
          <w:p w14:paraId="3B4143AE" w14:textId="325B7D91" w:rsidR="006F1F8D" w:rsidRPr="006F1F8D" w:rsidRDefault="006F1F8D" w:rsidP="006F1F8D">
            <w:pPr>
              <w:spacing w:after="0" w:line="240" w:lineRule="auto"/>
              <w:jc w:val="center"/>
              <w:rPr>
                <w:rFonts w:ascii="Arial" w:eastAsia="Times New Roman" w:hAnsi="Arial" w:cs="Arial"/>
                <w:sz w:val="14"/>
                <w:szCs w:val="14"/>
                <w:lang w:eastAsia="pt-BR"/>
              </w:rPr>
            </w:pPr>
            <w:r w:rsidRPr="006F1F8D">
              <w:rPr>
                <w:rFonts w:ascii="Arial" w:eastAsia="Times New Roman" w:hAnsi="Arial" w:cs="Arial"/>
                <w:sz w:val="14"/>
                <w:szCs w:val="14"/>
                <w:lang w:eastAsia="pt-BR"/>
              </w:rPr>
              <w:t>X</w:t>
            </w:r>
          </w:p>
        </w:tc>
      </w:tr>
      <w:tr w:rsidR="006F1F8D" w:rsidRPr="001F617B" w14:paraId="0C7ED25E" w14:textId="4125743D" w:rsidTr="006F1F8D">
        <w:tc>
          <w:tcPr>
            <w:tcW w:w="1294" w:type="dxa"/>
            <w:tcBorders>
              <w:top w:val="single" w:sz="4" w:space="0" w:color="auto"/>
              <w:left w:val="single" w:sz="4" w:space="0" w:color="auto"/>
              <w:bottom w:val="single" w:sz="4" w:space="0" w:color="auto"/>
              <w:right w:val="single" w:sz="4" w:space="0" w:color="auto"/>
            </w:tcBorders>
            <w:vAlign w:val="center"/>
          </w:tcPr>
          <w:p w14:paraId="57BD3051" w14:textId="77777777" w:rsidR="006F1F8D" w:rsidRPr="003B4337" w:rsidRDefault="006F1F8D" w:rsidP="006F1F8D">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lastRenderedPageBreak/>
              <w:t>TERIMO</w:t>
            </w:r>
          </w:p>
        </w:tc>
        <w:tc>
          <w:tcPr>
            <w:tcW w:w="6894" w:type="dxa"/>
            <w:tcBorders>
              <w:top w:val="single" w:sz="4" w:space="0" w:color="auto"/>
              <w:left w:val="single" w:sz="4" w:space="0" w:color="auto"/>
              <w:bottom w:val="single" w:sz="4" w:space="0" w:color="auto"/>
              <w:right w:val="single" w:sz="4" w:space="0" w:color="auto"/>
            </w:tcBorders>
            <w:shd w:val="clear" w:color="auto" w:fill="auto"/>
            <w:vAlign w:val="center"/>
          </w:tcPr>
          <w:p w14:paraId="0FF378F5" w14:textId="0FAFCDE7" w:rsidR="006F1F8D" w:rsidRPr="009378BD" w:rsidRDefault="006F1F8D" w:rsidP="009378BD">
            <w:pPr>
              <w:spacing w:before="120" w:after="120" w:line="240" w:lineRule="auto"/>
              <w:jc w:val="both"/>
              <w:rPr>
                <w:rFonts w:ascii="Arial" w:eastAsia="Times New Roman" w:hAnsi="Arial" w:cs="Arial"/>
                <w:sz w:val="18"/>
                <w:szCs w:val="18"/>
                <w:lang w:eastAsia="pt-BR"/>
              </w:rPr>
            </w:pPr>
            <w:r w:rsidRPr="009378BD">
              <w:rPr>
                <w:rFonts w:ascii="Arial" w:eastAsia="Times New Roman" w:hAnsi="Arial" w:cs="Arial"/>
                <w:sz w:val="18"/>
                <w:szCs w:val="18"/>
                <w:lang w:eastAsia="pt-BR"/>
              </w:rPr>
              <w:t xml:space="preserve">Termo circunstanciado elaborado e assinado pela comissão responsável pelo Inventário anual dos bens imóveis (INVIMOS), indicando o saldo total apurado e o detalhamento (especificação e valor) das divergências encontradas, na forma </w:t>
            </w:r>
            <w:r w:rsidR="009378BD" w:rsidRPr="009378BD">
              <w:rPr>
                <w:rFonts w:ascii="Arial" w:eastAsia="Times New Roman" w:hAnsi="Arial" w:cs="Arial"/>
                <w:sz w:val="18"/>
                <w:szCs w:val="18"/>
                <w:lang w:eastAsia="pt-BR"/>
              </w:rPr>
              <w:t>do item 3.2 deste Anexo.</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A740734" w14:textId="77777777" w:rsidR="006F1F8D" w:rsidRPr="003B4337" w:rsidRDefault="006F1F8D" w:rsidP="006F1F8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c>
          <w:tcPr>
            <w:tcW w:w="1418" w:type="dxa"/>
            <w:tcBorders>
              <w:top w:val="single" w:sz="4" w:space="0" w:color="auto"/>
              <w:left w:val="single" w:sz="4" w:space="0" w:color="auto"/>
              <w:bottom w:val="single" w:sz="4" w:space="0" w:color="auto"/>
              <w:right w:val="single" w:sz="4" w:space="0" w:color="auto"/>
            </w:tcBorders>
            <w:vAlign w:val="center"/>
          </w:tcPr>
          <w:p w14:paraId="20451236" w14:textId="77777777" w:rsidR="006F1F8D" w:rsidRPr="003B4337" w:rsidRDefault="006F1F8D" w:rsidP="006F1F8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134" w:type="dxa"/>
            <w:tcBorders>
              <w:top w:val="single" w:sz="4" w:space="0" w:color="auto"/>
              <w:left w:val="single" w:sz="4" w:space="0" w:color="auto"/>
              <w:bottom w:val="single" w:sz="4" w:space="0" w:color="auto"/>
              <w:right w:val="single" w:sz="4" w:space="0" w:color="auto"/>
            </w:tcBorders>
            <w:vAlign w:val="center"/>
          </w:tcPr>
          <w:p w14:paraId="14D85D90" w14:textId="77777777" w:rsidR="006F1F8D" w:rsidRPr="003B4337" w:rsidRDefault="006F1F8D" w:rsidP="006F1F8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417" w:type="dxa"/>
            <w:tcBorders>
              <w:top w:val="single" w:sz="4" w:space="0" w:color="auto"/>
              <w:left w:val="single" w:sz="4" w:space="0" w:color="auto"/>
              <w:bottom w:val="single" w:sz="4" w:space="0" w:color="auto"/>
              <w:right w:val="single" w:sz="4" w:space="0" w:color="auto"/>
            </w:tcBorders>
            <w:vAlign w:val="center"/>
          </w:tcPr>
          <w:p w14:paraId="4B8A1CC7" w14:textId="77777777" w:rsidR="006F1F8D" w:rsidRPr="003B4337" w:rsidRDefault="006F1F8D" w:rsidP="006F1F8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417" w:type="dxa"/>
            <w:tcBorders>
              <w:top w:val="single" w:sz="4" w:space="0" w:color="auto"/>
              <w:left w:val="single" w:sz="4" w:space="0" w:color="auto"/>
              <w:bottom w:val="single" w:sz="4" w:space="0" w:color="auto"/>
              <w:right w:val="single" w:sz="4" w:space="0" w:color="auto"/>
            </w:tcBorders>
            <w:vAlign w:val="center"/>
          </w:tcPr>
          <w:p w14:paraId="6EEAB15A" w14:textId="7AECF904" w:rsidR="006F1F8D" w:rsidRPr="006F1F8D" w:rsidRDefault="006F1F8D" w:rsidP="006F1F8D">
            <w:pPr>
              <w:spacing w:after="0" w:line="240" w:lineRule="auto"/>
              <w:jc w:val="center"/>
              <w:rPr>
                <w:rFonts w:ascii="Arial" w:eastAsia="Times New Roman" w:hAnsi="Arial" w:cs="Arial"/>
                <w:sz w:val="14"/>
                <w:szCs w:val="14"/>
                <w:lang w:eastAsia="pt-BR"/>
              </w:rPr>
            </w:pPr>
            <w:r w:rsidRPr="006F1F8D">
              <w:rPr>
                <w:rFonts w:ascii="Arial" w:eastAsia="Times New Roman" w:hAnsi="Arial" w:cs="Arial"/>
                <w:sz w:val="14"/>
                <w:szCs w:val="14"/>
                <w:lang w:eastAsia="pt-BR"/>
              </w:rPr>
              <w:t>X</w:t>
            </w:r>
          </w:p>
        </w:tc>
      </w:tr>
      <w:tr w:rsidR="006F1F8D" w:rsidRPr="00A5490A" w14:paraId="588B212B" w14:textId="10511A16" w:rsidTr="006F1F8D">
        <w:tc>
          <w:tcPr>
            <w:tcW w:w="1294" w:type="dxa"/>
            <w:vAlign w:val="center"/>
          </w:tcPr>
          <w:p w14:paraId="78590BFA" w14:textId="77777777" w:rsidR="006F1F8D" w:rsidRPr="003B4337" w:rsidRDefault="006F1F8D" w:rsidP="006F1F8D">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INVALMO</w:t>
            </w:r>
          </w:p>
        </w:tc>
        <w:tc>
          <w:tcPr>
            <w:tcW w:w="6894" w:type="dxa"/>
            <w:shd w:val="clear" w:color="auto" w:fill="auto"/>
            <w:vAlign w:val="center"/>
          </w:tcPr>
          <w:p w14:paraId="0B2D7FFE" w14:textId="77777777" w:rsidR="006F1F8D" w:rsidRPr="003B4337" w:rsidRDefault="006F1F8D" w:rsidP="006F1F8D">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Inventário anual dos bens em almoxarifado, contendo no mínimo as seguintes informações: </w:t>
            </w:r>
          </w:p>
          <w:p w14:paraId="6B93E4A6" w14:textId="77777777" w:rsidR="006F1F8D" w:rsidRPr="003B4337" w:rsidRDefault="006F1F8D" w:rsidP="006F1F8D">
            <w:pPr>
              <w:numPr>
                <w:ilvl w:val="0"/>
                <w:numId w:val="1"/>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Descrição dos bens </w:t>
            </w:r>
          </w:p>
          <w:p w14:paraId="23B7A90C" w14:textId="77777777" w:rsidR="006F1F8D" w:rsidRPr="003B4337" w:rsidRDefault="006F1F8D" w:rsidP="006F1F8D">
            <w:pPr>
              <w:numPr>
                <w:ilvl w:val="0"/>
                <w:numId w:val="1"/>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Quantidade </w:t>
            </w:r>
          </w:p>
          <w:p w14:paraId="57DCE4D6" w14:textId="77777777" w:rsidR="006F1F8D" w:rsidRPr="003B4337" w:rsidRDefault="006F1F8D" w:rsidP="006F1F8D">
            <w:pPr>
              <w:numPr>
                <w:ilvl w:val="0"/>
                <w:numId w:val="1"/>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Valor unitário </w:t>
            </w:r>
          </w:p>
          <w:p w14:paraId="5043B76A" w14:textId="77777777" w:rsidR="006F1F8D" w:rsidRPr="003B4337" w:rsidRDefault="006F1F8D" w:rsidP="006F1F8D">
            <w:pPr>
              <w:numPr>
                <w:ilvl w:val="0"/>
                <w:numId w:val="1"/>
              </w:numPr>
              <w:spacing w:before="120" w:after="120" w:line="240" w:lineRule="auto"/>
              <w:jc w:val="both"/>
              <w:rPr>
                <w:sz w:val="18"/>
                <w:szCs w:val="18"/>
              </w:rPr>
            </w:pPr>
            <w:r w:rsidRPr="003B4337">
              <w:rPr>
                <w:rFonts w:ascii="Arial" w:eastAsia="Times New Roman" w:hAnsi="Arial" w:cs="Arial"/>
                <w:sz w:val="18"/>
                <w:szCs w:val="18"/>
                <w:lang w:eastAsia="pt-BR"/>
              </w:rPr>
              <w:t>Valor total</w:t>
            </w:r>
            <w:r w:rsidRPr="003B4337">
              <w:rPr>
                <w:sz w:val="18"/>
                <w:szCs w:val="18"/>
              </w:rPr>
              <w:t xml:space="preserve"> </w:t>
            </w:r>
          </w:p>
          <w:p w14:paraId="50E036E6" w14:textId="77777777" w:rsidR="006F1F8D" w:rsidRPr="003B4337" w:rsidRDefault="006F1F8D" w:rsidP="006F1F8D">
            <w:pPr>
              <w:pStyle w:val="Default"/>
              <w:jc w:val="both"/>
              <w:rPr>
                <w:rFonts w:eastAsia="Times New Roman"/>
                <w:color w:val="auto"/>
                <w:sz w:val="18"/>
                <w:szCs w:val="18"/>
                <w:lang w:eastAsia="pt-BR"/>
              </w:rPr>
            </w:pPr>
            <w:r w:rsidRPr="003B4337">
              <w:rPr>
                <w:rFonts w:eastAsia="Times New Roman"/>
                <w:color w:val="auto"/>
                <w:sz w:val="18"/>
                <w:szCs w:val="18"/>
                <w:lang w:eastAsia="pt-BR"/>
              </w:rPr>
              <w:t xml:space="preserve">Obs.: a coluna valor total deve ser totalizada. </w:t>
            </w:r>
          </w:p>
        </w:tc>
        <w:tc>
          <w:tcPr>
            <w:tcW w:w="992" w:type="dxa"/>
            <w:shd w:val="clear" w:color="auto" w:fill="auto"/>
            <w:vAlign w:val="center"/>
          </w:tcPr>
          <w:p w14:paraId="44A6E3C8" w14:textId="77777777" w:rsidR="006F1F8D" w:rsidRPr="003B4337" w:rsidRDefault="006F1F8D" w:rsidP="006F1F8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p w14:paraId="517D3B68" w14:textId="77777777" w:rsidR="006F1F8D" w:rsidRPr="003B4337" w:rsidRDefault="006F1F8D" w:rsidP="006F1F8D">
            <w:pPr>
              <w:spacing w:after="0" w:line="240" w:lineRule="auto"/>
              <w:jc w:val="center"/>
              <w:rPr>
                <w:rFonts w:ascii="Arial" w:eastAsia="Times New Roman" w:hAnsi="Arial" w:cs="Arial"/>
                <w:sz w:val="14"/>
                <w:szCs w:val="14"/>
                <w:highlight w:val="yellow"/>
                <w:lang w:eastAsia="pt-BR"/>
              </w:rPr>
            </w:pPr>
            <w:r w:rsidRPr="003B4337">
              <w:rPr>
                <w:rFonts w:ascii="Arial" w:eastAsia="Times New Roman" w:hAnsi="Arial" w:cs="Arial"/>
                <w:sz w:val="14"/>
                <w:szCs w:val="14"/>
                <w:lang w:eastAsia="pt-BR"/>
              </w:rPr>
              <w:t>e</w:t>
            </w:r>
            <w:r w:rsidRPr="003B4337">
              <w:rPr>
                <w:rFonts w:ascii="Arial" w:eastAsia="Times New Roman" w:hAnsi="Arial" w:cs="Arial"/>
                <w:sz w:val="14"/>
                <w:szCs w:val="14"/>
                <w:highlight w:val="yellow"/>
                <w:lang w:eastAsia="pt-BR"/>
              </w:rPr>
              <w:t xml:space="preserve"> </w:t>
            </w:r>
          </w:p>
          <w:p w14:paraId="4C5CF71F" w14:textId="77777777" w:rsidR="006F1F8D" w:rsidRPr="003B4337" w:rsidRDefault="006F1F8D" w:rsidP="006F1F8D">
            <w:pPr>
              <w:spacing w:after="0" w:line="240" w:lineRule="auto"/>
              <w:jc w:val="center"/>
              <w:rPr>
                <w:rFonts w:ascii="Arial" w:eastAsia="Times New Roman" w:hAnsi="Arial" w:cs="Arial"/>
                <w:sz w:val="14"/>
                <w:szCs w:val="14"/>
                <w:lang w:eastAsia="pt-BR"/>
              </w:rPr>
            </w:pPr>
            <w:r w:rsidRPr="003B4337">
              <w:rPr>
                <w:rFonts w:ascii="Arial" w:eastAsia="Times New Roman" w:hAnsi="Arial" w:cs="Arial"/>
                <w:sz w:val="14"/>
                <w:szCs w:val="14"/>
                <w:lang w:eastAsia="pt-BR"/>
              </w:rPr>
              <w:t>XLS/XLSX/ODS</w:t>
            </w:r>
          </w:p>
        </w:tc>
        <w:tc>
          <w:tcPr>
            <w:tcW w:w="1418" w:type="dxa"/>
            <w:vAlign w:val="center"/>
          </w:tcPr>
          <w:p w14:paraId="25814125" w14:textId="77777777" w:rsidR="006F1F8D" w:rsidRPr="003B4337" w:rsidRDefault="006F1F8D" w:rsidP="006F1F8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134" w:type="dxa"/>
            <w:vAlign w:val="center"/>
          </w:tcPr>
          <w:p w14:paraId="6AACFCF5" w14:textId="77777777" w:rsidR="006F1F8D" w:rsidRPr="003B4337" w:rsidRDefault="006F1F8D" w:rsidP="006F1F8D">
            <w:pPr>
              <w:spacing w:after="0" w:line="240" w:lineRule="auto"/>
              <w:jc w:val="center"/>
              <w:rPr>
                <w:rFonts w:ascii="Arial" w:eastAsia="Times New Roman" w:hAnsi="Arial" w:cs="Arial"/>
                <w:sz w:val="14"/>
                <w:szCs w:val="14"/>
                <w:lang w:eastAsia="pt-BR"/>
              </w:rPr>
            </w:pPr>
          </w:p>
        </w:tc>
        <w:tc>
          <w:tcPr>
            <w:tcW w:w="1417" w:type="dxa"/>
            <w:vAlign w:val="center"/>
          </w:tcPr>
          <w:p w14:paraId="09713F04" w14:textId="77777777" w:rsidR="006F1F8D" w:rsidRPr="003B4337" w:rsidRDefault="006F1F8D" w:rsidP="006F1F8D">
            <w:pPr>
              <w:spacing w:after="0" w:line="240" w:lineRule="auto"/>
              <w:jc w:val="center"/>
              <w:rPr>
                <w:rFonts w:ascii="Arial" w:eastAsia="Times New Roman" w:hAnsi="Arial" w:cs="Arial"/>
                <w:sz w:val="14"/>
                <w:szCs w:val="14"/>
                <w:lang w:eastAsia="pt-BR"/>
              </w:rPr>
            </w:pPr>
          </w:p>
        </w:tc>
        <w:tc>
          <w:tcPr>
            <w:tcW w:w="1417" w:type="dxa"/>
            <w:vAlign w:val="center"/>
          </w:tcPr>
          <w:p w14:paraId="4A8D40B8" w14:textId="701A0A62" w:rsidR="006F1F8D" w:rsidRPr="006F1F8D" w:rsidRDefault="006F1F8D" w:rsidP="006F1F8D">
            <w:pPr>
              <w:spacing w:after="0" w:line="240" w:lineRule="auto"/>
              <w:jc w:val="center"/>
              <w:rPr>
                <w:rFonts w:ascii="Arial" w:eastAsia="Times New Roman" w:hAnsi="Arial" w:cs="Arial"/>
                <w:sz w:val="14"/>
                <w:szCs w:val="14"/>
                <w:lang w:eastAsia="pt-BR"/>
              </w:rPr>
            </w:pPr>
            <w:r w:rsidRPr="006F1F8D">
              <w:rPr>
                <w:rFonts w:ascii="Arial" w:eastAsia="Times New Roman" w:hAnsi="Arial" w:cs="Arial"/>
                <w:sz w:val="14"/>
                <w:szCs w:val="14"/>
                <w:lang w:eastAsia="pt-BR"/>
              </w:rPr>
              <w:t>X</w:t>
            </w:r>
          </w:p>
        </w:tc>
      </w:tr>
      <w:tr w:rsidR="006F1F8D" w:rsidRPr="001F617B" w14:paraId="3FA24FDC" w14:textId="67D5812D" w:rsidTr="006F1F8D">
        <w:tc>
          <w:tcPr>
            <w:tcW w:w="1294" w:type="dxa"/>
            <w:tcBorders>
              <w:top w:val="single" w:sz="4" w:space="0" w:color="auto"/>
              <w:left w:val="single" w:sz="4" w:space="0" w:color="auto"/>
              <w:bottom w:val="single" w:sz="4" w:space="0" w:color="auto"/>
              <w:right w:val="single" w:sz="4" w:space="0" w:color="auto"/>
            </w:tcBorders>
            <w:vAlign w:val="center"/>
          </w:tcPr>
          <w:p w14:paraId="6C84489C" w14:textId="77777777" w:rsidR="006F1F8D" w:rsidRPr="003B4337" w:rsidRDefault="006F1F8D" w:rsidP="006F1F8D">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TERALM</w:t>
            </w:r>
          </w:p>
        </w:tc>
        <w:tc>
          <w:tcPr>
            <w:tcW w:w="6894" w:type="dxa"/>
            <w:tcBorders>
              <w:top w:val="single" w:sz="4" w:space="0" w:color="auto"/>
              <w:left w:val="single" w:sz="4" w:space="0" w:color="auto"/>
              <w:bottom w:val="single" w:sz="4" w:space="0" w:color="auto"/>
              <w:right w:val="single" w:sz="4" w:space="0" w:color="auto"/>
            </w:tcBorders>
            <w:shd w:val="clear" w:color="auto" w:fill="auto"/>
            <w:vAlign w:val="center"/>
          </w:tcPr>
          <w:p w14:paraId="29E26848" w14:textId="4039954E" w:rsidR="006F1F8D" w:rsidRPr="003B4337" w:rsidRDefault="006F1F8D" w:rsidP="009378BD">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Termo circunstanciado elaborado e assinado pela comissão responsável pelo Inventário anual dos bens em almoxarifado (INVALMO), indicando o saldo total apurado e o detalhamento (especificação e valor) das divergências encontradas</w:t>
            </w:r>
            <w:r>
              <w:rPr>
                <w:rFonts w:ascii="Arial" w:eastAsia="Times New Roman" w:hAnsi="Arial" w:cs="Arial"/>
                <w:sz w:val="18"/>
                <w:szCs w:val="18"/>
                <w:lang w:eastAsia="pt-BR"/>
              </w:rPr>
              <w:t xml:space="preserve">, na forma </w:t>
            </w:r>
            <w:r w:rsidR="009378BD">
              <w:rPr>
                <w:rFonts w:ascii="Arial" w:eastAsia="Times New Roman" w:hAnsi="Arial" w:cs="Arial"/>
                <w:sz w:val="18"/>
                <w:szCs w:val="18"/>
                <w:lang w:eastAsia="pt-BR"/>
              </w:rPr>
              <w:t xml:space="preserve">do </w:t>
            </w:r>
            <w:r w:rsidR="009378BD" w:rsidRPr="009378BD">
              <w:rPr>
                <w:rFonts w:ascii="Arial" w:eastAsia="Times New Roman" w:hAnsi="Arial" w:cs="Arial"/>
                <w:sz w:val="18"/>
                <w:szCs w:val="18"/>
                <w:lang w:eastAsia="pt-BR"/>
              </w:rPr>
              <w:t>item 3.2 deste Anexo.</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DC7634D" w14:textId="77777777" w:rsidR="006F1F8D" w:rsidRPr="003B4337" w:rsidRDefault="006F1F8D" w:rsidP="006F1F8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c>
          <w:tcPr>
            <w:tcW w:w="1418" w:type="dxa"/>
            <w:tcBorders>
              <w:top w:val="single" w:sz="4" w:space="0" w:color="auto"/>
              <w:left w:val="single" w:sz="4" w:space="0" w:color="auto"/>
              <w:bottom w:val="single" w:sz="4" w:space="0" w:color="auto"/>
              <w:right w:val="single" w:sz="4" w:space="0" w:color="auto"/>
            </w:tcBorders>
            <w:vAlign w:val="center"/>
          </w:tcPr>
          <w:p w14:paraId="15397650" w14:textId="77777777" w:rsidR="006F1F8D" w:rsidRPr="003B4337" w:rsidRDefault="006F1F8D" w:rsidP="006F1F8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134" w:type="dxa"/>
            <w:tcBorders>
              <w:top w:val="single" w:sz="4" w:space="0" w:color="auto"/>
              <w:left w:val="single" w:sz="4" w:space="0" w:color="auto"/>
              <w:bottom w:val="single" w:sz="4" w:space="0" w:color="auto"/>
              <w:right w:val="single" w:sz="4" w:space="0" w:color="auto"/>
            </w:tcBorders>
            <w:vAlign w:val="center"/>
          </w:tcPr>
          <w:p w14:paraId="587C9FEC" w14:textId="77777777" w:rsidR="006F1F8D" w:rsidRPr="003B4337" w:rsidRDefault="006F1F8D" w:rsidP="006F1F8D">
            <w:pPr>
              <w:spacing w:after="0" w:line="240" w:lineRule="auto"/>
              <w:jc w:val="center"/>
              <w:rPr>
                <w:rFonts w:ascii="Arial" w:eastAsia="Times New Roman" w:hAnsi="Arial" w:cs="Arial"/>
                <w:sz w:val="14"/>
                <w:szCs w:val="14"/>
                <w:lang w:eastAsia="pt-BR"/>
              </w:rPr>
            </w:pPr>
          </w:p>
        </w:tc>
        <w:tc>
          <w:tcPr>
            <w:tcW w:w="1417" w:type="dxa"/>
            <w:tcBorders>
              <w:top w:val="single" w:sz="4" w:space="0" w:color="auto"/>
              <w:left w:val="single" w:sz="4" w:space="0" w:color="auto"/>
              <w:bottom w:val="single" w:sz="4" w:space="0" w:color="auto"/>
              <w:right w:val="single" w:sz="4" w:space="0" w:color="auto"/>
            </w:tcBorders>
            <w:vAlign w:val="center"/>
          </w:tcPr>
          <w:p w14:paraId="400FF7CD" w14:textId="77777777" w:rsidR="006F1F8D" w:rsidRPr="003B4337" w:rsidRDefault="006F1F8D" w:rsidP="006F1F8D">
            <w:pPr>
              <w:spacing w:after="0" w:line="240" w:lineRule="auto"/>
              <w:jc w:val="center"/>
              <w:rPr>
                <w:rFonts w:ascii="Arial" w:eastAsia="Times New Roman" w:hAnsi="Arial" w:cs="Arial"/>
                <w:sz w:val="14"/>
                <w:szCs w:val="14"/>
                <w:lang w:eastAsia="pt-BR"/>
              </w:rPr>
            </w:pPr>
          </w:p>
        </w:tc>
        <w:tc>
          <w:tcPr>
            <w:tcW w:w="1417" w:type="dxa"/>
            <w:tcBorders>
              <w:top w:val="single" w:sz="4" w:space="0" w:color="auto"/>
              <w:left w:val="single" w:sz="4" w:space="0" w:color="auto"/>
              <w:bottom w:val="single" w:sz="4" w:space="0" w:color="auto"/>
              <w:right w:val="single" w:sz="4" w:space="0" w:color="auto"/>
            </w:tcBorders>
            <w:vAlign w:val="center"/>
          </w:tcPr>
          <w:p w14:paraId="0C08101A" w14:textId="320D3C3A" w:rsidR="006F1F8D" w:rsidRPr="006F1F8D" w:rsidRDefault="006F1F8D" w:rsidP="006F1F8D">
            <w:pPr>
              <w:spacing w:after="0" w:line="240" w:lineRule="auto"/>
              <w:jc w:val="center"/>
              <w:rPr>
                <w:rFonts w:ascii="Arial" w:eastAsia="Times New Roman" w:hAnsi="Arial" w:cs="Arial"/>
                <w:sz w:val="14"/>
                <w:szCs w:val="14"/>
                <w:lang w:eastAsia="pt-BR"/>
              </w:rPr>
            </w:pPr>
            <w:r w:rsidRPr="006F1F8D">
              <w:rPr>
                <w:rFonts w:ascii="Arial" w:eastAsia="Times New Roman" w:hAnsi="Arial" w:cs="Arial"/>
                <w:sz w:val="14"/>
                <w:szCs w:val="14"/>
                <w:lang w:eastAsia="pt-BR"/>
              </w:rPr>
              <w:t>X</w:t>
            </w:r>
          </w:p>
        </w:tc>
      </w:tr>
      <w:tr w:rsidR="006F1F8D" w:rsidRPr="00A5490A" w14:paraId="4AFD5840" w14:textId="407BFA48" w:rsidTr="006F1F8D">
        <w:tc>
          <w:tcPr>
            <w:tcW w:w="1294" w:type="dxa"/>
            <w:vAlign w:val="center"/>
          </w:tcPr>
          <w:p w14:paraId="50DE8356" w14:textId="77777777" w:rsidR="006F1F8D" w:rsidRPr="003B4337" w:rsidRDefault="006F1F8D" w:rsidP="006F1F8D">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INVINTN</w:t>
            </w:r>
          </w:p>
        </w:tc>
        <w:tc>
          <w:tcPr>
            <w:tcW w:w="6894" w:type="dxa"/>
            <w:shd w:val="clear" w:color="auto" w:fill="auto"/>
            <w:vAlign w:val="center"/>
          </w:tcPr>
          <w:p w14:paraId="036160F9" w14:textId="77777777" w:rsidR="006F1F8D" w:rsidRPr="003B4337" w:rsidRDefault="006F1F8D" w:rsidP="006F1F8D">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Inventário anual dos bens intangíveis, contendo no mínimo as seguintes informações: </w:t>
            </w:r>
          </w:p>
          <w:p w14:paraId="49D1E50E" w14:textId="77777777" w:rsidR="006F1F8D" w:rsidRPr="003B4337" w:rsidRDefault="006F1F8D" w:rsidP="006F1F8D">
            <w:pPr>
              <w:numPr>
                <w:ilvl w:val="0"/>
                <w:numId w:val="1"/>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Relação dos bens </w:t>
            </w:r>
          </w:p>
          <w:p w14:paraId="144D378F" w14:textId="77777777" w:rsidR="006F1F8D" w:rsidRPr="003B4337" w:rsidRDefault="006F1F8D" w:rsidP="006F1F8D">
            <w:pPr>
              <w:numPr>
                <w:ilvl w:val="0"/>
                <w:numId w:val="1"/>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Caracterização (especificação resumida; número de registro de marca ou patente, caso exista, comprovado mediante certidão de registro) </w:t>
            </w:r>
          </w:p>
          <w:p w14:paraId="71592AE2" w14:textId="77777777" w:rsidR="006F1F8D" w:rsidRPr="003B4337" w:rsidRDefault="006F1F8D" w:rsidP="006F1F8D">
            <w:pPr>
              <w:numPr>
                <w:ilvl w:val="0"/>
                <w:numId w:val="1"/>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Data de aquisição/produção/incorporação </w:t>
            </w:r>
          </w:p>
          <w:p w14:paraId="04CF1A50" w14:textId="77777777" w:rsidR="006F1F8D" w:rsidRPr="003B4337" w:rsidRDefault="006F1F8D" w:rsidP="006F1F8D">
            <w:pPr>
              <w:numPr>
                <w:ilvl w:val="0"/>
                <w:numId w:val="1"/>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Valor histórico e valor atualizado </w:t>
            </w:r>
          </w:p>
          <w:p w14:paraId="18312C6E" w14:textId="77777777" w:rsidR="006F1F8D" w:rsidRPr="003B4337" w:rsidRDefault="006F1F8D" w:rsidP="006F1F8D">
            <w:pPr>
              <w:pStyle w:val="Default"/>
              <w:jc w:val="both"/>
              <w:rPr>
                <w:rFonts w:eastAsia="Times New Roman"/>
                <w:color w:val="auto"/>
                <w:sz w:val="18"/>
                <w:szCs w:val="18"/>
                <w:lang w:eastAsia="pt-BR"/>
              </w:rPr>
            </w:pPr>
            <w:r w:rsidRPr="003B4337">
              <w:rPr>
                <w:rFonts w:eastAsia="Times New Roman"/>
                <w:color w:val="auto"/>
                <w:sz w:val="18"/>
                <w:szCs w:val="18"/>
                <w:lang w:eastAsia="pt-BR"/>
              </w:rPr>
              <w:t xml:space="preserve">Obs.1: as colunas valor histórico e valor atualizado devem ser totalizadas. </w:t>
            </w:r>
          </w:p>
          <w:p w14:paraId="318248BC" w14:textId="77777777" w:rsidR="006F1F8D" w:rsidRPr="003B4337" w:rsidRDefault="006F1F8D" w:rsidP="006F1F8D">
            <w:pPr>
              <w:pStyle w:val="Default"/>
              <w:jc w:val="both"/>
              <w:rPr>
                <w:rFonts w:eastAsia="Times New Roman"/>
                <w:color w:val="auto"/>
                <w:sz w:val="18"/>
                <w:szCs w:val="18"/>
                <w:lang w:eastAsia="pt-BR"/>
              </w:rPr>
            </w:pPr>
            <w:r w:rsidRPr="003B4337">
              <w:rPr>
                <w:rFonts w:eastAsia="Times New Roman"/>
                <w:color w:val="auto"/>
                <w:sz w:val="18"/>
                <w:szCs w:val="18"/>
                <w:lang w:eastAsia="pt-BR"/>
              </w:rPr>
              <w:t xml:space="preserve">Obs.2: </w:t>
            </w:r>
            <w:r w:rsidRPr="00B6188E">
              <w:rPr>
                <w:rFonts w:eastAsia="Times New Roman"/>
                <w:color w:val="auto"/>
                <w:sz w:val="18"/>
                <w:szCs w:val="18"/>
                <w:lang w:eastAsia="pt-BR"/>
              </w:rPr>
              <w:t xml:space="preserve">durante o período de mensuração, reconhecimento e implementação dos procedimentos contábeis patrimoniais, cujos prazos foram estabelecidos pela </w:t>
            </w:r>
            <w:r>
              <w:rPr>
                <w:rFonts w:eastAsia="Times New Roman"/>
                <w:color w:val="auto"/>
                <w:sz w:val="18"/>
                <w:szCs w:val="18"/>
                <w:lang w:eastAsia="pt-BR"/>
              </w:rPr>
              <w:t>IN 35/2016</w:t>
            </w:r>
            <w:r w:rsidRPr="00B6188E">
              <w:rPr>
                <w:rFonts w:eastAsia="Times New Roman"/>
                <w:color w:val="auto"/>
                <w:sz w:val="18"/>
                <w:szCs w:val="18"/>
                <w:lang w:eastAsia="pt-BR"/>
              </w:rPr>
              <w:t>, poderá ser informado para o valor atualizado dos bens o mesmo valor histórico.</w:t>
            </w:r>
          </w:p>
          <w:p w14:paraId="6E2D26CA" w14:textId="77777777" w:rsidR="006F1F8D" w:rsidRPr="003B4337" w:rsidRDefault="006F1F8D" w:rsidP="006F1F8D">
            <w:pPr>
              <w:pStyle w:val="Default"/>
              <w:jc w:val="both"/>
              <w:rPr>
                <w:rFonts w:eastAsia="Times New Roman"/>
                <w:color w:val="auto"/>
                <w:sz w:val="18"/>
                <w:szCs w:val="18"/>
                <w:lang w:eastAsia="pt-BR"/>
              </w:rPr>
            </w:pPr>
            <w:r w:rsidRPr="003B4337">
              <w:rPr>
                <w:rFonts w:eastAsia="Times New Roman"/>
                <w:color w:val="auto"/>
                <w:sz w:val="18"/>
                <w:szCs w:val="18"/>
                <w:lang w:eastAsia="pt-BR"/>
              </w:rPr>
              <w:t xml:space="preserve">Obs.3: os critérios utilizados para definição de valor histórico, valor atualizado e de mensuração do inventário, devem ser objeto de notas explicativas. </w:t>
            </w:r>
          </w:p>
          <w:p w14:paraId="5536130F" w14:textId="77777777" w:rsidR="006F1F8D" w:rsidRPr="003B4337" w:rsidRDefault="006F1F8D" w:rsidP="006F1F8D">
            <w:pPr>
              <w:pStyle w:val="Default"/>
              <w:spacing w:after="120"/>
              <w:jc w:val="both"/>
              <w:rPr>
                <w:rFonts w:eastAsia="Times New Roman"/>
                <w:color w:val="auto"/>
                <w:sz w:val="18"/>
                <w:szCs w:val="18"/>
                <w:lang w:eastAsia="pt-BR"/>
              </w:rPr>
            </w:pPr>
            <w:r w:rsidRPr="003B4337">
              <w:rPr>
                <w:rFonts w:eastAsia="Times New Roman"/>
                <w:color w:val="auto"/>
                <w:sz w:val="18"/>
                <w:szCs w:val="18"/>
                <w:lang w:eastAsia="pt-BR"/>
              </w:rPr>
              <w:lastRenderedPageBreak/>
              <w:t>Obs.4: aplicam-se à presente norma, os conceitos adotados pela Secretaria do Tesouro Nacional em seu Manual de Contabilidade Aplicada ao Setor Público vigente.</w:t>
            </w:r>
            <w:r w:rsidRPr="003B4337">
              <w:rPr>
                <w:color w:val="auto"/>
                <w:sz w:val="16"/>
                <w:szCs w:val="16"/>
              </w:rPr>
              <w:t xml:space="preserve"> </w:t>
            </w:r>
          </w:p>
        </w:tc>
        <w:tc>
          <w:tcPr>
            <w:tcW w:w="992" w:type="dxa"/>
            <w:shd w:val="clear" w:color="auto" w:fill="auto"/>
            <w:vAlign w:val="center"/>
          </w:tcPr>
          <w:p w14:paraId="16861412" w14:textId="77777777" w:rsidR="006F1F8D" w:rsidRPr="003B4337" w:rsidRDefault="006F1F8D" w:rsidP="006F1F8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lastRenderedPageBreak/>
              <w:t>PDF</w:t>
            </w:r>
          </w:p>
          <w:p w14:paraId="30BCC66A" w14:textId="77777777" w:rsidR="006F1F8D" w:rsidRPr="003B4337" w:rsidRDefault="006F1F8D" w:rsidP="006F1F8D">
            <w:pPr>
              <w:spacing w:after="0" w:line="240" w:lineRule="auto"/>
              <w:jc w:val="center"/>
              <w:rPr>
                <w:rFonts w:ascii="Arial" w:eastAsia="Times New Roman" w:hAnsi="Arial" w:cs="Arial"/>
                <w:sz w:val="14"/>
                <w:szCs w:val="14"/>
                <w:highlight w:val="yellow"/>
                <w:lang w:eastAsia="pt-BR"/>
              </w:rPr>
            </w:pPr>
            <w:r w:rsidRPr="003B4337">
              <w:rPr>
                <w:rFonts w:ascii="Arial" w:eastAsia="Times New Roman" w:hAnsi="Arial" w:cs="Arial"/>
                <w:sz w:val="14"/>
                <w:szCs w:val="14"/>
                <w:lang w:eastAsia="pt-BR"/>
              </w:rPr>
              <w:t>e</w:t>
            </w:r>
            <w:r w:rsidRPr="003B4337">
              <w:rPr>
                <w:rFonts w:ascii="Arial" w:eastAsia="Times New Roman" w:hAnsi="Arial" w:cs="Arial"/>
                <w:sz w:val="14"/>
                <w:szCs w:val="14"/>
                <w:highlight w:val="yellow"/>
                <w:lang w:eastAsia="pt-BR"/>
              </w:rPr>
              <w:t xml:space="preserve"> </w:t>
            </w:r>
          </w:p>
          <w:p w14:paraId="55149C1C" w14:textId="77777777" w:rsidR="006F1F8D" w:rsidRPr="003B4337" w:rsidRDefault="006F1F8D" w:rsidP="006F1F8D">
            <w:pPr>
              <w:spacing w:after="0" w:line="240" w:lineRule="auto"/>
              <w:jc w:val="center"/>
              <w:rPr>
                <w:rFonts w:ascii="Arial" w:eastAsia="Times New Roman" w:hAnsi="Arial" w:cs="Arial"/>
                <w:sz w:val="14"/>
                <w:szCs w:val="14"/>
                <w:lang w:eastAsia="pt-BR"/>
              </w:rPr>
            </w:pPr>
            <w:r w:rsidRPr="003B4337">
              <w:rPr>
                <w:rFonts w:ascii="Arial" w:eastAsia="Times New Roman" w:hAnsi="Arial" w:cs="Arial"/>
                <w:sz w:val="14"/>
                <w:szCs w:val="14"/>
                <w:lang w:eastAsia="pt-BR"/>
              </w:rPr>
              <w:t>XLS/XLSX/ODS</w:t>
            </w:r>
          </w:p>
        </w:tc>
        <w:tc>
          <w:tcPr>
            <w:tcW w:w="1418" w:type="dxa"/>
            <w:vAlign w:val="center"/>
          </w:tcPr>
          <w:p w14:paraId="12B5C294" w14:textId="77777777" w:rsidR="006F1F8D" w:rsidRPr="003B4337" w:rsidRDefault="006F1F8D" w:rsidP="006F1F8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134" w:type="dxa"/>
            <w:vAlign w:val="center"/>
          </w:tcPr>
          <w:p w14:paraId="61F66A86" w14:textId="77777777" w:rsidR="006F1F8D" w:rsidRPr="003B4337" w:rsidRDefault="006F1F8D" w:rsidP="006F1F8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417" w:type="dxa"/>
            <w:vAlign w:val="center"/>
          </w:tcPr>
          <w:p w14:paraId="456190D0" w14:textId="77777777" w:rsidR="006F1F8D" w:rsidRPr="003B4337" w:rsidRDefault="006F1F8D" w:rsidP="006F1F8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417" w:type="dxa"/>
            <w:vAlign w:val="center"/>
          </w:tcPr>
          <w:p w14:paraId="3B8A6750" w14:textId="40CC42D4" w:rsidR="006F1F8D" w:rsidRPr="006F1F8D" w:rsidRDefault="006F1F8D" w:rsidP="006F1F8D">
            <w:pPr>
              <w:spacing w:after="0" w:line="240" w:lineRule="auto"/>
              <w:jc w:val="center"/>
              <w:rPr>
                <w:rFonts w:ascii="Arial" w:eastAsia="Times New Roman" w:hAnsi="Arial" w:cs="Arial"/>
                <w:sz w:val="14"/>
                <w:szCs w:val="14"/>
                <w:lang w:eastAsia="pt-BR"/>
              </w:rPr>
            </w:pPr>
            <w:r w:rsidRPr="006F1F8D">
              <w:rPr>
                <w:rFonts w:ascii="Arial" w:eastAsia="Times New Roman" w:hAnsi="Arial" w:cs="Arial"/>
                <w:sz w:val="14"/>
                <w:szCs w:val="14"/>
                <w:lang w:eastAsia="pt-BR"/>
              </w:rPr>
              <w:t>X</w:t>
            </w:r>
          </w:p>
        </w:tc>
      </w:tr>
      <w:tr w:rsidR="006F1F8D" w:rsidRPr="001F617B" w14:paraId="68144E15" w14:textId="22E1D4F3" w:rsidTr="006F1F8D">
        <w:tc>
          <w:tcPr>
            <w:tcW w:w="1294" w:type="dxa"/>
            <w:tcBorders>
              <w:top w:val="single" w:sz="4" w:space="0" w:color="auto"/>
              <w:left w:val="single" w:sz="4" w:space="0" w:color="auto"/>
              <w:bottom w:val="single" w:sz="4" w:space="0" w:color="auto"/>
              <w:right w:val="single" w:sz="4" w:space="0" w:color="auto"/>
            </w:tcBorders>
            <w:vAlign w:val="center"/>
          </w:tcPr>
          <w:p w14:paraId="742F5D2C" w14:textId="77777777" w:rsidR="006F1F8D" w:rsidRPr="003B4337" w:rsidRDefault="006F1F8D" w:rsidP="006F1F8D">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lastRenderedPageBreak/>
              <w:t>TERINT</w:t>
            </w:r>
          </w:p>
        </w:tc>
        <w:tc>
          <w:tcPr>
            <w:tcW w:w="6894" w:type="dxa"/>
            <w:tcBorders>
              <w:top w:val="single" w:sz="4" w:space="0" w:color="auto"/>
              <w:left w:val="single" w:sz="4" w:space="0" w:color="auto"/>
              <w:bottom w:val="single" w:sz="4" w:space="0" w:color="auto"/>
              <w:right w:val="single" w:sz="4" w:space="0" w:color="auto"/>
            </w:tcBorders>
            <w:shd w:val="clear" w:color="auto" w:fill="auto"/>
            <w:vAlign w:val="center"/>
          </w:tcPr>
          <w:p w14:paraId="58165D97" w14:textId="3D4A24AA" w:rsidR="006F1F8D" w:rsidRPr="003B4337" w:rsidRDefault="006F1F8D" w:rsidP="009378BD">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Termo circunstanciado elaborado e assinado pela comissão responsável pelo Inventário anual dos bens intangíveis (INVINTN), indicando o saldo total apurado e </w:t>
            </w:r>
            <w:r w:rsidRPr="009378BD">
              <w:rPr>
                <w:rFonts w:ascii="Arial" w:eastAsia="Times New Roman" w:hAnsi="Arial" w:cs="Arial"/>
                <w:sz w:val="18"/>
                <w:szCs w:val="18"/>
                <w:lang w:eastAsia="pt-BR"/>
              </w:rPr>
              <w:t xml:space="preserve">o detalhamento (especificação e valor) das divergências encontradas, na forma </w:t>
            </w:r>
            <w:r w:rsidR="009378BD" w:rsidRPr="009378BD">
              <w:rPr>
                <w:rFonts w:ascii="Arial" w:eastAsia="Times New Roman" w:hAnsi="Arial" w:cs="Arial"/>
                <w:sz w:val="18"/>
                <w:szCs w:val="18"/>
                <w:lang w:eastAsia="pt-BR"/>
              </w:rPr>
              <w:t>do item 3.2 deste Anexo.</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D114664" w14:textId="77777777" w:rsidR="006F1F8D" w:rsidRPr="003B4337" w:rsidRDefault="006F1F8D" w:rsidP="006F1F8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c>
          <w:tcPr>
            <w:tcW w:w="1418" w:type="dxa"/>
            <w:tcBorders>
              <w:top w:val="single" w:sz="4" w:space="0" w:color="auto"/>
              <w:left w:val="single" w:sz="4" w:space="0" w:color="auto"/>
              <w:bottom w:val="single" w:sz="4" w:space="0" w:color="auto"/>
              <w:right w:val="single" w:sz="4" w:space="0" w:color="auto"/>
            </w:tcBorders>
            <w:vAlign w:val="center"/>
          </w:tcPr>
          <w:p w14:paraId="4AC650AE" w14:textId="77777777" w:rsidR="006F1F8D" w:rsidRPr="003B4337" w:rsidRDefault="006F1F8D" w:rsidP="006F1F8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134" w:type="dxa"/>
            <w:tcBorders>
              <w:top w:val="single" w:sz="4" w:space="0" w:color="auto"/>
              <w:left w:val="single" w:sz="4" w:space="0" w:color="auto"/>
              <w:bottom w:val="single" w:sz="4" w:space="0" w:color="auto"/>
              <w:right w:val="single" w:sz="4" w:space="0" w:color="auto"/>
            </w:tcBorders>
            <w:vAlign w:val="center"/>
          </w:tcPr>
          <w:p w14:paraId="351201D9" w14:textId="77777777" w:rsidR="006F1F8D" w:rsidRPr="003B4337" w:rsidRDefault="006F1F8D" w:rsidP="006F1F8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417" w:type="dxa"/>
            <w:tcBorders>
              <w:top w:val="single" w:sz="4" w:space="0" w:color="auto"/>
              <w:left w:val="single" w:sz="4" w:space="0" w:color="auto"/>
              <w:bottom w:val="single" w:sz="4" w:space="0" w:color="auto"/>
              <w:right w:val="single" w:sz="4" w:space="0" w:color="auto"/>
            </w:tcBorders>
            <w:vAlign w:val="center"/>
          </w:tcPr>
          <w:p w14:paraId="0EDDA51F" w14:textId="77777777" w:rsidR="006F1F8D" w:rsidRPr="003B4337" w:rsidRDefault="006F1F8D" w:rsidP="006F1F8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417" w:type="dxa"/>
            <w:tcBorders>
              <w:top w:val="single" w:sz="4" w:space="0" w:color="auto"/>
              <w:left w:val="single" w:sz="4" w:space="0" w:color="auto"/>
              <w:bottom w:val="single" w:sz="4" w:space="0" w:color="auto"/>
              <w:right w:val="single" w:sz="4" w:space="0" w:color="auto"/>
            </w:tcBorders>
            <w:vAlign w:val="center"/>
          </w:tcPr>
          <w:p w14:paraId="6AD71F44" w14:textId="772C9CF9" w:rsidR="006F1F8D" w:rsidRPr="006F1F8D" w:rsidRDefault="006F1F8D" w:rsidP="006F1F8D">
            <w:pPr>
              <w:spacing w:after="0" w:line="240" w:lineRule="auto"/>
              <w:jc w:val="center"/>
              <w:rPr>
                <w:rFonts w:ascii="Arial" w:eastAsia="Times New Roman" w:hAnsi="Arial" w:cs="Arial"/>
                <w:sz w:val="14"/>
                <w:szCs w:val="14"/>
                <w:lang w:eastAsia="pt-BR"/>
              </w:rPr>
            </w:pPr>
            <w:r w:rsidRPr="006F1F8D">
              <w:rPr>
                <w:rFonts w:ascii="Arial" w:eastAsia="Times New Roman" w:hAnsi="Arial" w:cs="Arial"/>
                <w:sz w:val="14"/>
                <w:szCs w:val="14"/>
                <w:lang w:eastAsia="pt-BR"/>
              </w:rPr>
              <w:t>X</w:t>
            </w:r>
          </w:p>
        </w:tc>
      </w:tr>
      <w:tr w:rsidR="006F1F8D" w:rsidRPr="00A5490A" w14:paraId="520991D1" w14:textId="12E88F56" w:rsidTr="006F1F8D">
        <w:tc>
          <w:tcPr>
            <w:tcW w:w="1294" w:type="dxa"/>
            <w:vAlign w:val="center"/>
          </w:tcPr>
          <w:p w14:paraId="6E0461D4" w14:textId="77777777" w:rsidR="006F1F8D" w:rsidRPr="003B4337" w:rsidRDefault="006F1F8D" w:rsidP="006F1F8D">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COMINV</w:t>
            </w:r>
          </w:p>
        </w:tc>
        <w:tc>
          <w:tcPr>
            <w:tcW w:w="6894" w:type="dxa"/>
            <w:shd w:val="clear" w:color="auto" w:fill="auto"/>
            <w:vAlign w:val="center"/>
          </w:tcPr>
          <w:p w14:paraId="3929F8ED" w14:textId="77777777" w:rsidR="006F1F8D" w:rsidRPr="003B4337" w:rsidRDefault="006F1F8D" w:rsidP="006F1F8D">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Ato de designação da comissão responsável pela elaboração dos inventários.</w:t>
            </w:r>
          </w:p>
        </w:tc>
        <w:tc>
          <w:tcPr>
            <w:tcW w:w="992" w:type="dxa"/>
            <w:shd w:val="clear" w:color="auto" w:fill="auto"/>
            <w:vAlign w:val="center"/>
          </w:tcPr>
          <w:p w14:paraId="1A3F8021" w14:textId="77777777" w:rsidR="006F1F8D" w:rsidRPr="003B4337" w:rsidRDefault="006F1F8D" w:rsidP="006F1F8D">
            <w:pPr>
              <w:spacing w:after="0" w:line="240" w:lineRule="auto"/>
              <w:jc w:val="center"/>
              <w:rPr>
                <w:rFonts w:ascii="Arial" w:eastAsia="Times New Roman" w:hAnsi="Arial" w:cs="Arial"/>
                <w:i/>
                <w:sz w:val="14"/>
                <w:szCs w:val="14"/>
                <w:lang w:eastAsia="pt-BR"/>
              </w:rPr>
            </w:pPr>
            <w:r>
              <w:rPr>
                <w:rFonts w:ascii="Arial" w:eastAsia="Times New Roman" w:hAnsi="Arial" w:cs="Arial"/>
                <w:sz w:val="14"/>
                <w:szCs w:val="14"/>
                <w:lang w:eastAsia="pt-BR"/>
              </w:rPr>
              <w:t>PDF</w:t>
            </w:r>
          </w:p>
        </w:tc>
        <w:tc>
          <w:tcPr>
            <w:tcW w:w="1418" w:type="dxa"/>
            <w:vAlign w:val="center"/>
          </w:tcPr>
          <w:p w14:paraId="11233846" w14:textId="77777777" w:rsidR="006F1F8D" w:rsidRPr="003B4337" w:rsidRDefault="006F1F8D" w:rsidP="006F1F8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134" w:type="dxa"/>
            <w:vAlign w:val="center"/>
          </w:tcPr>
          <w:p w14:paraId="0F329772" w14:textId="77777777" w:rsidR="006F1F8D" w:rsidRPr="003B4337" w:rsidRDefault="006F1F8D" w:rsidP="006F1F8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417" w:type="dxa"/>
            <w:vAlign w:val="center"/>
          </w:tcPr>
          <w:p w14:paraId="22E8A4DE" w14:textId="77777777" w:rsidR="006F1F8D" w:rsidRPr="003B4337" w:rsidRDefault="006F1F8D" w:rsidP="006F1F8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417" w:type="dxa"/>
            <w:vAlign w:val="center"/>
          </w:tcPr>
          <w:p w14:paraId="391641FF" w14:textId="058EF41F" w:rsidR="006F1F8D" w:rsidRPr="006F1F8D" w:rsidRDefault="006F1F8D" w:rsidP="006F1F8D">
            <w:pPr>
              <w:spacing w:after="0" w:line="240" w:lineRule="auto"/>
              <w:jc w:val="center"/>
              <w:rPr>
                <w:rFonts w:ascii="Arial" w:eastAsia="Times New Roman" w:hAnsi="Arial" w:cs="Arial"/>
                <w:sz w:val="14"/>
                <w:szCs w:val="14"/>
                <w:lang w:eastAsia="pt-BR"/>
              </w:rPr>
            </w:pPr>
            <w:r w:rsidRPr="006F1F8D">
              <w:rPr>
                <w:rFonts w:ascii="Arial" w:eastAsia="Times New Roman" w:hAnsi="Arial" w:cs="Arial"/>
                <w:sz w:val="14"/>
                <w:szCs w:val="14"/>
                <w:lang w:eastAsia="pt-BR"/>
              </w:rPr>
              <w:t>X</w:t>
            </w:r>
          </w:p>
        </w:tc>
      </w:tr>
      <w:tr w:rsidR="006F1F8D" w:rsidRPr="00A5490A" w14:paraId="513414E9" w14:textId="7A47F07F" w:rsidTr="006F1F8D">
        <w:tc>
          <w:tcPr>
            <w:tcW w:w="1294" w:type="dxa"/>
            <w:vAlign w:val="center"/>
          </w:tcPr>
          <w:p w14:paraId="542BEF78" w14:textId="77777777" w:rsidR="006F1F8D" w:rsidRPr="003B4337" w:rsidRDefault="006F1F8D" w:rsidP="006F1F8D">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DEMRAPG</w:t>
            </w:r>
          </w:p>
        </w:tc>
        <w:tc>
          <w:tcPr>
            <w:tcW w:w="6894" w:type="dxa"/>
            <w:shd w:val="clear" w:color="auto" w:fill="auto"/>
            <w:vAlign w:val="center"/>
          </w:tcPr>
          <w:p w14:paraId="348EA1B1" w14:textId="77777777" w:rsidR="006F1F8D" w:rsidRPr="003B4337" w:rsidRDefault="006F1F8D" w:rsidP="006F1F8D">
            <w:pPr>
              <w:spacing w:before="120" w:after="120" w:line="240" w:lineRule="auto"/>
              <w:jc w:val="both"/>
              <w:rPr>
                <w:rFonts w:ascii="Arial" w:eastAsia="Times New Roman" w:hAnsi="Arial" w:cs="Arial"/>
                <w:i/>
                <w:sz w:val="18"/>
                <w:szCs w:val="18"/>
                <w:lang w:eastAsia="pt-BR"/>
              </w:rPr>
            </w:pPr>
            <w:r w:rsidRPr="003B4337">
              <w:rPr>
                <w:rFonts w:ascii="Arial" w:eastAsia="Times New Roman" w:hAnsi="Arial" w:cs="Arial"/>
                <w:sz w:val="18"/>
                <w:szCs w:val="18"/>
                <w:lang w:eastAsia="pt-BR"/>
              </w:rPr>
              <w:t>Demonstrativo de Restos a Pagar, evidenciando</w:t>
            </w:r>
            <w:r w:rsidRPr="003B4337">
              <w:rPr>
                <w:rFonts w:ascii="Arial" w:eastAsia="Times New Roman" w:hAnsi="Arial" w:cs="Arial"/>
                <w:b/>
                <w:bCs/>
                <w:sz w:val="18"/>
                <w:szCs w:val="18"/>
                <w:lang w:eastAsia="pt-BR"/>
              </w:rPr>
              <w:t>:</w:t>
            </w:r>
          </w:p>
          <w:p w14:paraId="5EDDC7A2" w14:textId="77777777" w:rsidR="006F1F8D" w:rsidRPr="003B4337" w:rsidRDefault="006F1F8D" w:rsidP="006F1F8D">
            <w:pPr>
              <w:numPr>
                <w:ilvl w:val="0"/>
                <w:numId w:val="5"/>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os saldos de restos a pagar de exercícios anteriores e os restos a pagar inscritos no exercício sob análise, discriminados em: processados e não processados, por exercício, por credor, por fonte de recursos, por função e subfunção;</w:t>
            </w:r>
          </w:p>
          <w:p w14:paraId="7D4084DD" w14:textId="77777777" w:rsidR="006F1F8D" w:rsidRPr="003B4337" w:rsidRDefault="006F1F8D" w:rsidP="006F1F8D">
            <w:pPr>
              <w:numPr>
                <w:ilvl w:val="0"/>
                <w:numId w:val="5"/>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os restos a pagar cancelados no exercício sob análise, discriminados em: processados e não-processados, por exercício, por credor, por fonte de recursos, por função e subfunção; </w:t>
            </w:r>
            <w:r w:rsidRPr="003B49F2">
              <w:rPr>
                <w:rFonts w:ascii="Arial" w:eastAsia="Times New Roman" w:hAnsi="Arial" w:cs="Arial"/>
                <w:sz w:val="18"/>
                <w:szCs w:val="18"/>
                <w:lang w:eastAsia="pt-BR"/>
              </w:rPr>
              <w:t>bem como cópia dos respectivos atos que autorizaram o cancelamento.</w:t>
            </w:r>
          </w:p>
        </w:tc>
        <w:tc>
          <w:tcPr>
            <w:tcW w:w="992" w:type="dxa"/>
            <w:shd w:val="clear" w:color="auto" w:fill="auto"/>
            <w:vAlign w:val="center"/>
          </w:tcPr>
          <w:p w14:paraId="2F360B85" w14:textId="77777777" w:rsidR="006F1F8D" w:rsidRPr="003B4337" w:rsidRDefault="006F1F8D" w:rsidP="006F1F8D">
            <w:pPr>
              <w:spacing w:after="0" w:line="240" w:lineRule="auto"/>
              <w:jc w:val="center"/>
              <w:rPr>
                <w:rFonts w:ascii="Arial" w:eastAsia="Times New Roman" w:hAnsi="Arial" w:cs="Arial"/>
                <w:i/>
                <w:sz w:val="14"/>
                <w:szCs w:val="14"/>
                <w:lang w:eastAsia="pt-BR"/>
              </w:rPr>
            </w:pPr>
            <w:r>
              <w:rPr>
                <w:rFonts w:ascii="Arial" w:eastAsia="Times New Roman" w:hAnsi="Arial" w:cs="Arial"/>
                <w:sz w:val="14"/>
                <w:szCs w:val="14"/>
                <w:lang w:eastAsia="pt-BR"/>
              </w:rPr>
              <w:t>PDF</w:t>
            </w:r>
          </w:p>
        </w:tc>
        <w:tc>
          <w:tcPr>
            <w:tcW w:w="1418" w:type="dxa"/>
            <w:vAlign w:val="center"/>
          </w:tcPr>
          <w:p w14:paraId="4764C342" w14:textId="77777777" w:rsidR="006F1F8D" w:rsidRPr="003B4337" w:rsidRDefault="006F1F8D" w:rsidP="006F1F8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134" w:type="dxa"/>
            <w:vAlign w:val="center"/>
          </w:tcPr>
          <w:p w14:paraId="7FA3A1ED" w14:textId="77777777" w:rsidR="006F1F8D" w:rsidRPr="003B4337" w:rsidRDefault="006F1F8D" w:rsidP="006F1F8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417" w:type="dxa"/>
            <w:vAlign w:val="center"/>
          </w:tcPr>
          <w:p w14:paraId="4387F0F7" w14:textId="77777777" w:rsidR="006F1F8D" w:rsidRPr="003B4337" w:rsidRDefault="006F1F8D" w:rsidP="006F1F8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417" w:type="dxa"/>
            <w:vAlign w:val="center"/>
          </w:tcPr>
          <w:p w14:paraId="51878739" w14:textId="5837FFE2" w:rsidR="006F1F8D" w:rsidRPr="006F1F8D" w:rsidRDefault="006F1F8D" w:rsidP="006F1F8D">
            <w:pPr>
              <w:spacing w:after="0" w:line="240" w:lineRule="auto"/>
              <w:jc w:val="center"/>
              <w:rPr>
                <w:rFonts w:ascii="Arial" w:eastAsia="Times New Roman" w:hAnsi="Arial" w:cs="Arial"/>
                <w:sz w:val="14"/>
                <w:szCs w:val="14"/>
                <w:lang w:eastAsia="pt-BR"/>
              </w:rPr>
            </w:pPr>
            <w:r w:rsidRPr="006F1F8D">
              <w:rPr>
                <w:rFonts w:ascii="Arial" w:eastAsia="Times New Roman" w:hAnsi="Arial" w:cs="Arial"/>
                <w:sz w:val="14"/>
                <w:szCs w:val="14"/>
                <w:lang w:eastAsia="pt-BR"/>
              </w:rPr>
              <w:t>X</w:t>
            </w:r>
          </w:p>
        </w:tc>
      </w:tr>
      <w:tr w:rsidR="006F1F8D" w:rsidRPr="00A5490A" w14:paraId="7A658AD8" w14:textId="6461C151" w:rsidTr="006F1F8D">
        <w:tc>
          <w:tcPr>
            <w:tcW w:w="1294" w:type="dxa"/>
            <w:vAlign w:val="center"/>
          </w:tcPr>
          <w:p w14:paraId="56131F09" w14:textId="77777777" w:rsidR="006F1F8D" w:rsidRPr="003B4337" w:rsidRDefault="006F1F8D" w:rsidP="006F1F8D">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EXTBAN</w:t>
            </w:r>
          </w:p>
        </w:tc>
        <w:tc>
          <w:tcPr>
            <w:tcW w:w="6894" w:type="dxa"/>
            <w:shd w:val="clear" w:color="auto" w:fill="auto"/>
            <w:vAlign w:val="center"/>
          </w:tcPr>
          <w:p w14:paraId="369A87CB" w14:textId="77777777" w:rsidR="006F1F8D" w:rsidRPr="00A5490A" w:rsidRDefault="006F1F8D" w:rsidP="006F1F8D">
            <w:p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Extratos bancários relativos ao mês de encerramento do exercício.</w:t>
            </w:r>
            <w:r>
              <w:rPr>
                <w:rFonts w:ascii="Arial" w:eastAsia="Times New Roman" w:hAnsi="Arial" w:cs="Arial"/>
                <w:sz w:val="18"/>
                <w:szCs w:val="18"/>
                <w:lang w:eastAsia="pt-BR"/>
              </w:rPr>
              <w:t xml:space="preserve"> Os extratos das aplicações financeiras deverão ser de todos os meses do exercício</w:t>
            </w:r>
            <w:r w:rsidRPr="00CB55B0">
              <w:rPr>
                <w:rFonts w:ascii="Arial" w:eastAsia="Times New Roman" w:hAnsi="Arial" w:cs="Arial"/>
                <w:sz w:val="18"/>
                <w:szCs w:val="18"/>
                <w:lang w:eastAsia="pt-BR"/>
              </w:rPr>
              <w:t>. Na hipótese de adesão ao Acordo de Cooperação Técnica entre o TCEES e o Banestes, não é necessário o envio dos extratos bancários do banco 021 – Banestes.</w:t>
            </w:r>
          </w:p>
        </w:tc>
        <w:tc>
          <w:tcPr>
            <w:tcW w:w="992" w:type="dxa"/>
            <w:shd w:val="clear" w:color="auto" w:fill="auto"/>
            <w:vAlign w:val="center"/>
          </w:tcPr>
          <w:p w14:paraId="61584352" w14:textId="77777777" w:rsidR="006F1F8D" w:rsidRPr="003B4337" w:rsidRDefault="006F1F8D" w:rsidP="006F1F8D">
            <w:pPr>
              <w:spacing w:after="0" w:line="240" w:lineRule="auto"/>
              <w:jc w:val="center"/>
              <w:rPr>
                <w:rFonts w:ascii="Arial" w:eastAsia="Times New Roman" w:hAnsi="Arial" w:cs="Arial"/>
                <w:i/>
                <w:sz w:val="14"/>
                <w:szCs w:val="14"/>
                <w:lang w:eastAsia="pt-BR"/>
              </w:rPr>
            </w:pPr>
            <w:r>
              <w:rPr>
                <w:rFonts w:ascii="Arial" w:eastAsia="Times New Roman" w:hAnsi="Arial" w:cs="Arial"/>
                <w:sz w:val="14"/>
                <w:szCs w:val="14"/>
                <w:lang w:eastAsia="pt-BR"/>
              </w:rPr>
              <w:t>PDF</w:t>
            </w:r>
          </w:p>
        </w:tc>
        <w:tc>
          <w:tcPr>
            <w:tcW w:w="1418" w:type="dxa"/>
            <w:vAlign w:val="center"/>
          </w:tcPr>
          <w:p w14:paraId="121B930F" w14:textId="77777777" w:rsidR="006F1F8D" w:rsidRPr="003B4337" w:rsidRDefault="006F1F8D" w:rsidP="006F1F8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134" w:type="dxa"/>
            <w:vAlign w:val="center"/>
          </w:tcPr>
          <w:p w14:paraId="46E55A00" w14:textId="77777777" w:rsidR="006F1F8D" w:rsidRPr="003B4337" w:rsidRDefault="006F1F8D" w:rsidP="006F1F8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417" w:type="dxa"/>
            <w:vAlign w:val="center"/>
          </w:tcPr>
          <w:p w14:paraId="67BA8AA3" w14:textId="77777777" w:rsidR="006F1F8D" w:rsidRPr="003B4337" w:rsidRDefault="006F1F8D" w:rsidP="006F1F8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417" w:type="dxa"/>
            <w:vAlign w:val="center"/>
          </w:tcPr>
          <w:p w14:paraId="6B0C716F" w14:textId="77606AE6" w:rsidR="006F1F8D" w:rsidRPr="006F1F8D" w:rsidRDefault="006F1F8D" w:rsidP="006F1F8D">
            <w:pPr>
              <w:spacing w:after="0" w:line="240" w:lineRule="auto"/>
              <w:jc w:val="center"/>
              <w:rPr>
                <w:rFonts w:ascii="Arial" w:eastAsia="Times New Roman" w:hAnsi="Arial" w:cs="Arial"/>
                <w:sz w:val="14"/>
                <w:szCs w:val="14"/>
                <w:lang w:eastAsia="pt-BR"/>
              </w:rPr>
            </w:pPr>
            <w:r w:rsidRPr="006F1F8D">
              <w:rPr>
                <w:rFonts w:ascii="Arial" w:eastAsia="Times New Roman" w:hAnsi="Arial" w:cs="Arial"/>
                <w:sz w:val="14"/>
                <w:szCs w:val="14"/>
                <w:lang w:eastAsia="pt-BR"/>
              </w:rPr>
              <w:t>X</w:t>
            </w:r>
          </w:p>
        </w:tc>
      </w:tr>
      <w:tr w:rsidR="006F1F8D" w:rsidRPr="00A5490A" w14:paraId="03365660" w14:textId="2865E14B" w:rsidTr="006F1F8D">
        <w:tc>
          <w:tcPr>
            <w:tcW w:w="1294" w:type="dxa"/>
            <w:vAlign w:val="center"/>
          </w:tcPr>
          <w:p w14:paraId="248C756F" w14:textId="77777777" w:rsidR="006F1F8D" w:rsidRPr="003B4337" w:rsidRDefault="006F1F8D" w:rsidP="006F1F8D">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TVDISPN</w:t>
            </w:r>
          </w:p>
        </w:tc>
        <w:tc>
          <w:tcPr>
            <w:tcW w:w="6894" w:type="dxa"/>
            <w:shd w:val="clear" w:color="auto" w:fill="auto"/>
            <w:vAlign w:val="center"/>
          </w:tcPr>
          <w:p w14:paraId="3B81EBA1" w14:textId="74E74975" w:rsidR="006F1F8D" w:rsidRPr="003B4337" w:rsidRDefault="006F1F8D" w:rsidP="009378BD">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Termo de verificação de disponibilidades, na forma </w:t>
            </w:r>
            <w:r w:rsidR="009378BD" w:rsidRPr="009378BD">
              <w:rPr>
                <w:rFonts w:ascii="Arial" w:eastAsia="Times New Roman" w:hAnsi="Arial" w:cs="Arial"/>
                <w:sz w:val="18"/>
                <w:szCs w:val="18"/>
                <w:lang w:eastAsia="pt-BR"/>
              </w:rPr>
              <w:t>do item 3.2 deste Anexo.</w:t>
            </w:r>
          </w:p>
        </w:tc>
        <w:tc>
          <w:tcPr>
            <w:tcW w:w="992" w:type="dxa"/>
            <w:shd w:val="clear" w:color="auto" w:fill="auto"/>
            <w:vAlign w:val="center"/>
          </w:tcPr>
          <w:p w14:paraId="02396432" w14:textId="77777777" w:rsidR="006F1F8D" w:rsidRPr="003B4337" w:rsidRDefault="006F1F8D" w:rsidP="006F1F8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p w14:paraId="6EC58A6F" w14:textId="77777777" w:rsidR="006F1F8D" w:rsidRPr="003B4337" w:rsidRDefault="006F1F8D" w:rsidP="006F1F8D">
            <w:pPr>
              <w:spacing w:after="0" w:line="240" w:lineRule="auto"/>
              <w:jc w:val="center"/>
              <w:rPr>
                <w:rFonts w:ascii="Arial" w:eastAsia="Times New Roman" w:hAnsi="Arial" w:cs="Arial"/>
                <w:sz w:val="14"/>
                <w:szCs w:val="14"/>
                <w:highlight w:val="yellow"/>
                <w:lang w:eastAsia="pt-BR"/>
              </w:rPr>
            </w:pPr>
            <w:r w:rsidRPr="003B4337">
              <w:rPr>
                <w:rFonts w:ascii="Arial" w:eastAsia="Times New Roman" w:hAnsi="Arial" w:cs="Arial"/>
                <w:sz w:val="14"/>
                <w:szCs w:val="14"/>
                <w:lang w:eastAsia="pt-BR"/>
              </w:rPr>
              <w:t>e</w:t>
            </w:r>
            <w:r w:rsidRPr="003B4337">
              <w:rPr>
                <w:rFonts w:ascii="Arial" w:eastAsia="Times New Roman" w:hAnsi="Arial" w:cs="Arial"/>
                <w:sz w:val="14"/>
                <w:szCs w:val="14"/>
                <w:highlight w:val="yellow"/>
                <w:lang w:eastAsia="pt-BR"/>
              </w:rPr>
              <w:t xml:space="preserve"> </w:t>
            </w:r>
          </w:p>
          <w:p w14:paraId="2B5CADFA" w14:textId="77777777" w:rsidR="006F1F8D" w:rsidRPr="003B4337" w:rsidRDefault="006F1F8D" w:rsidP="006F1F8D">
            <w:pPr>
              <w:spacing w:after="0" w:line="240" w:lineRule="auto"/>
              <w:jc w:val="center"/>
              <w:rPr>
                <w:rFonts w:ascii="Arial" w:eastAsia="Times New Roman" w:hAnsi="Arial" w:cs="Arial"/>
                <w:i/>
                <w:sz w:val="14"/>
                <w:szCs w:val="14"/>
                <w:lang w:eastAsia="pt-BR"/>
              </w:rPr>
            </w:pPr>
            <w:r w:rsidRPr="003B4337">
              <w:rPr>
                <w:rFonts w:ascii="Arial" w:eastAsia="Times New Roman" w:hAnsi="Arial" w:cs="Arial"/>
                <w:sz w:val="14"/>
                <w:szCs w:val="14"/>
                <w:lang w:eastAsia="pt-BR"/>
              </w:rPr>
              <w:t>XLS/XLSX/ODS</w:t>
            </w:r>
          </w:p>
        </w:tc>
        <w:tc>
          <w:tcPr>
            <w:tcW w:w="1418" w:type="dxa"/>
            <w:vAlign w:val="center"/>
          </w:tcPr>
          <w:p w14:paraId="1D8B1EB9" w14:textId="77777777" w:rsidR="006F1F8D" w:rsidRPr="003B4337" w:rsidRDefault="006F1F8D" w:rsidP="006F1F8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134" w:type="dxa"/>
            <w:vAlign w:val="center"/>
          </w:tcPr>
          <w:p w14:paraId="7D265CF2" w14:textId="77777777" w:rsidR="006F1F8D" w:rsidRPr="003B4337" w:rsidRDefault="006F1F8D" w:rsidP="006F1F8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417" w:type="dxa"/>
            <w:vAlign w:val="center"/>
          </w:tcPr>
          <w:p w14:paraId="43C8A387" w14:textId="77777777" w:rsidR="006F1F8D" w:rsidRPr="003B4337" w:rsidRDefault="006F1F8D" w:rsidP="006F1F8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417" w:type="dxa"/>
            <w:vAlign w:val="center"/>
          </w:tcPr>
          <w:p w14:paraId="61FDEF96" w14:textId="48F1E5AD" w:rsidR="006F1F8D" w:rsidRPr="006F1F8D" w:rsidRDefault="006F1F8D" w:rsidP="006F1F8D">
            <w:pPr>
              <w:spacing w:after="0" w:line="240" w:lineRule="auto"/>
              <w:jc w:val="center"/>
              <w:rPr>
                <w:rFonts w:ascii="Arial" w:eastAsia="Times New Roman" w:hAnsi="Arial" w:cs="Arial"/>
                <w:sz w:val="14"/>
                <w:szCs w:val="14"/>
                <w:lang w:eastAsia="pt-BR"/>
              </w:rPr>
            </w:pPr>
            <w:r w:rsidRPr="006F1F8D">
              <w:rPr>
                <w:rFonts w:ascii="Arial" w:eastAsia="Times New Roman" w:hAnsi="Arial" w:cs="Arial"/>
                <w:sz w:val="14"/>
                <w:szCs w:val="14"/>
                <w:lang w:eastAsia="pt-BR"/>
              </w:rPr>
              <w:t>X</w:t>
            </w:r>
          </w:p>
        </w:tc>
      </w:tr>
      <w:tr w:rsidR="006F1F8D" w:rsidRPr="00A5490A" w14:paraId="476BB9C5" w14:textId="1B0E07AB" w:rsidTr="006F1F8D">
        <w:tc>
          <w:tcPr>
            <w:tcW w:w="1294" w:type="dxa"/>
            <w:vAlign w:val="center"/>
          </w:tcPr>
          <w:p w14:paraId="5A40A745" w14:textId="77777777" w:rsidR="006F1F8D" w:rsidRPr="003B4337" w:rsidRDefault="006F1F8D" w:rsidP="006F1F8D">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DEMCSE</w:t>
            </w:r>
          </w:p>
        </w:tc>
        <w:tc>
          <w:tcPr>
            <w:tcW w:w="6894" w:type="dxa"/>
            <w:shd w:val="clear" w:color="auto" w:fill="auto"/>
            <w:vAlign w:val="center"/>
          </w:tcPr>
          <w:p w14:paraId="7D5DDD1A" w14:textId="45043405" w:rsidR="006F1F8D" w:rsidRPr="003B4337" w:rsidRDefault="006F1F8D" w:rsidP="009378BD">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Demonstrativo evidenciando, mensalmente, o valor retido de contribuições sociais dos servidores </w:t>
            </w:r>
            <w:r>
              <w:rPr>
                <w:rFonts w:ascii="Arial" w:eastAsia="Times New Roman" w:hAnsi="Arial" w:cs="Arial"/>
                <w:sz w:val="18"/>
                <w:szCs w:val="18"/>
                <w:lang w:eastAsia="pt-BR"/>
              </w:rPr>
              <w:t xml:space="preserve">ativos, inativos e pensionistas, </w:t>
            </w:r>
            <w:r w:rsidRPr="003B4337">
              <w:rPr>
                <w:rFonts w:ascii="Arial" w:eastAsia="Times New Roman" w:hAnsi="Arial" w:cs="Arial"/>
                <w:sz w:val="18"/>
                <w:szCs w:val="18"/>
                <w:lang w:eastAsia="pt-BR"/>
              </w:rPr>
              <w:t xml:space="preserve">e efetivamente recolhidos, discriminando por instituição previdenciária (RPPS e RGPS), na forma </w:t>
            </w:r>
            <w:r w:rsidR="009378BD" w:rsidRPr="009378BD">
              <w:rPr>
                <w:rFonts w:ascii="Arial" w:eastAsia="Times New Roman" w:hAnsi="Arial" w:cs="Arial"/>
                <w:sz w:val="18"/>
                <w:szCs w:val="18"/>
                <w:lang w:eastAsia="pt-BR"/>
              </w:rPr>
              <w:t>do item 3.2 deste Anexo.</w:t>
            </w:r>
          </w:p>
        </w:tc>
        <w:tc>
          <w:tcPr>
            <w:tcW w:w="992" w:type="dxa"/>
            <w:shd w:val="clear" w:color="auto" w:fill="auto"/>
            <w:vAlign w:val="center"/>
          </w:tcPr>
          <w:p w14:paraId="14F822E3" w14:textId="77777777" w:rsidR="006F1F8D" w:rsidRPr="003B4337" w:rsidRDefault="006F1F8D" w:rsidP="006F1F8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c>
          <w:tcPr>
            <w:tcW w:w="1418" w:type="dxa"/>
            <w:vAlign w:val="center"/>
          </w:tcPr>
          <w:p w14:paraId="0E5F1C6F" w14:textId="77777777" w:rsidR="006F1F8D" w:rsidRPr="003B4337" w:rsidRDefault="006F1F8D" w:rsidP="006F1F8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134" w:type="dxa"/>
            <w:vAlign w:val="center"/>
          </w:tcPr>
          <w:p w14:paraId="71D28A1D" w14:textId="77777777" w:rsidR="006F1F8D" w:rsidRPr="003B4337" w:rsidRDefault="006F1F8D" w:rsidP="006F1F8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417" w:type="dxa"/>
            <w:vAlign w:val="center"/>
          </w:tcPr>
          <w:p w14:paraId="350978CA" w14:textId="77777777" w:rsidR="006F1F8D" w:rsidRPr="003B4337" w:rsidRDefault="006F1F8D" w:rsidP="006F1F8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417" w:type="dxa"/>
            <w:vAlign w:val="center"/>
          </w:tcPr>
          <w:p w14:paraId="35FBFC02" w14:textId="77777777" w:rsidR="006F1F8D" w:rsidRPr="006F1F8D" w:rsidRDefault="006F1F8D" w:rsidP="006F1F8D">
            <w:pPr>
              <w:spacing w:after="0" w:line="240" w:lineRule="auto"/>
              <w:jc w:val="center"/>
              <w:rPr>
                <w:rFonts w:ascii="Arial" w:eastAsia="Times New Roman" w:hAnsi="Arial" w:cs="Arial"/>
                <w:sz w:val="14"/>
                <w:szCs w:val="14"/>
                <w:lang w:eastAsia="pt-BR"/>
              </w:rPr>
            </w:pPr>
          </w:p>
        </w:tc>
      </w:tr>
      <w:tr w:rsidR="006F1F8D" w:rsidRPr="00F65A73" w14:paraId="2C580DC2" w14:textId="7D7EA37F" w:rsidTr="006F1F8D">
        <w:tc>
          <w:tcPr>
            <w:tcW w:w="1294" w:type="dxa"/>
            <w:vAlign w:val="center"/>
          </w:tcPr>
          <w:p w14:paraId="0AC292FC" w14:textId="77777777" w:rsidR="006F1F8D" w:rsidRPr="00886C42" w:rsidRDefault="006F1F8D" w:rsidP="006F1F8D">
            <w:pPr>
              <w:spacing w:after="0" w:line="240" w:lineRule="auto"/>
              <w:jc w:val="center"/>
              <w:rPr>
                <w:rFonts w:ascii="Arial" w:eastAsia="Times New Roman" w:hAnsi="Arial" w:cs="Arial"/>
                <w:color w:val="0070C0"/>
                <w:sz w:val="18"/>
                <w:szCs w:val="18"/>
                <w:lang w:eastAsia="pt-BR"/>
              </w:rPr>
            </w:pPr>
            <w:r w:rsidRPr="00886C42">
              <w:rPr>
                <w:rFonts w:ascii="Arial" w:eastAsia="Times New Roman" w:hAnsi="Arial" w:cs="Arial"/>
                <w:sz w:val="18"/>
                <w:szCs w:val="18"/>
                <w:lang w:eastAsia="pt-BR"/>
              </w:rPr>
              <w:t>DEMREC</w:t>
            </w:r>
          </w:p>
        </w:tc>
        <w:tc>
          <w:tcPr>
            <w:tcW w:w="6894" w:type="dxa"/>
            <w:shd w:val="clear" w:color="auto" w:fill="auto"/>
            <w:vAlign w:val="center"/>
          </w:tcPr>
          <w:p w14:paraId="658D8DE9" w14:textId="4E86D1B2" w:rsidR="006F1F8D" w:rsidRPr="00886C42" w:rsidRDefault="006F1F8D" w:rsidP="00302891">
            <w:pPr>
              <w:spacing w:before="120" w:after="120" w:line="240" w:lineRule="auto"/>
              <w:jc w:val="both"/>
              <w:rPr>
                <w:rFonts w:ascii="Arial" w:eastAsia="Times New Roman" w:hAnsi="Arial" w:cs="Arial"/>
                <w:color w:val="0070C0"/>
                <w:sz w:val="18"/>
                <w:szCs w:val="18"/>
                <w:highlight w:val="yellow"/>
                <w:lang w:eastAsia="pt-BR"/>
              </w:rPr>
            </w:pPr>
            <w:r w:rsidRPr="00DE68C9">
              <w:rPr>
                <w:rFonts w:ascii="Arial" w:eastAsia="Times New Roman" w:hAnsi="Arial" w:cs="Arial"/>
                <w:sz w:val="18"/>
                <w:szCs w:val="18"/>
                <w:lang w:eastAsia="pt-BR"/>
              </w:rPr>
              <w:t xml:space="preserve">Demonstrativo evidenciando os valores devidos de receitas previdenciárias no exercício de competência da PCA, como também quanto desses valores foram efetivamente arrecadados no referido exercício. </w:t>
            </w:r>
            <w:r>
              <w:rPr>
                <w:rFonts w:ascii="Arial" w:eastAsia="Times New Roman" w:hAnsi="Arial" w:cs="Arial"/>
                <w:sz w:val="18"/>
                <w:szCs w:val="18"/>
                <w:lang w:eastAsia="pt-BR"/>
              </w:rPr>
              <w:t>Possibilita determinar</w:t>
            </w:r>
            <w:r w:rsidRPr="00DE68C9">
              <w:rPr>
                <w:rFonts w:ascii="Arial" w:eastAsia="Times New Roman" w:hAnsi="Arial" w:cs="Arial"/>
                <w:sz w:val="18"/>
                <w:szCs w:val="18"/>
                <w:lang w:eastAsia="pt-BR"/>
              </w:rPr>
              <w:t xml:space="preserve"> o valor devido e não repassado, relativo ao exercício da PCA, </w:t>
            </w:r>
            <w:r w:rsidRPr="00276451">
              <w:rPr>
                <w:rFonts w:ascii="Arial" w:eastAsia="Times New Roman" w:hAnsi="Arial" w:cs="Arial"/>
                <w:b/>
                <w:sz w:val="18"/>
                <w:szCs w:val="18"/>
                <w:lang w:eastAsia="pt-BR"/>
              </w:rPr>
              <w:t xml:space="preserve">constituindo-se como direito a </w:t>
            </w:r>
            <w:r w:rsidRPr="00276451">
              <w:rPr>
                <w:rFonts w:ascii="Arial" w:eastAsia="Times New Roman" w:hAnsi="Arial" w:cs="Arial"/>
                <w:b/>
                <w:sz w:val="18"/>
                <w:szCs w:val="18"/>
                <w:lang w:eastAsia="pt-BR"/>
              </w:rPr>
              <w:lastRenderedPageBreak/>
              <w:t>receber do órgão gestor da previdência</w:t>
            </w:r>
            <w:r w:rsidRPr="00DE68C9">
              <w:rPr>
                <w:rFonts w:ascii="Arial" w:eastAsia="Times New Roman" w:hAnsi="Arial" w:cs="Arial"/>
                <w:sz w:val="18"/>
                <w:szCs w:val="18"/>
                <w:lang w:eastAsia="pt-BR"/>
              </w:rPr>
              <w:t>. Também serão evidenciadas as receitas de repasses para cobertura de déficit financeiro e/ou previdenciário,</w:t>
            </w:r>
            <w:r>
              <w:rPr>
                <w:rFonts w:ascii="Arial" w:eastAsia="Times New Roman" w:hAnsi="Arial" w:cs="Arial"/>
                <w:sz w:val="18"/>
                <w:szCs w:val="18"/>
                <w:lang w:eastAsia="pt-BR"/>
              </w:rPr>
              <w:t xml:space="preserve"> segregadas por unidade gestora/órgão,</w:t>
            </w:r>
            <w:r w:rsidRPr="00DE68C9">
              <w:rPr>
                <w:rFonts w:ascii="Arial" w:eastAsia="Times New Roman" w:hAnsi="Arial" w:cs="Arial"/>
                <w:sz w:val="18"/>
                <w:szCs w:val="18"/>
                <w:lang w:eastAsia="pt-BR"/>
              </w:rPr>
              <w:t xml:space="preserve"> conforme layout constante do item </w:t>
            </w:r>
            <w:r w:rsidR="00302891">
              <w:rPr>
                <w:rFonts w:ascii="Arial" w:eastAsia="Times New Roman" w:hAnsi="Arial" w:cs="Arial"/>
                <w:sz w:val="18"/>
                <w:szCs w:val="18"/>
                <w:lang w:eastAsia="pt-BR"/>
              </w:rPr>
              <w:t>3.1</w:t>
            </w:r>
            <w:r w:rsidRPr="00DE68C9">
              <w:rPr>
                <w:rFonts w:ascii="Arial" w:eastAsia="Times New Roman" w:hAnsi="Arial" w:cs="Arial"/>
                <w:sz w:val="18"/>
                <w:szCs w:val="18"/>
                <w:lang w:eastAsia="pt-BR"/>
              </w:rPr>
              <w:t xml:space="preserve"> deste Anexo.</w:t>
            </w:r>
          </w:p>
        </w:tc>
        <w:tc>
          <w:tcPr>
            <w:tcW w:w="992" w:type="dxa"/>
            <w:shd w:val="clear" w:color="auto" w:fill="auto"/>
            <w:vAlign w:val="center"/>
          </w:tcPr>
          <w:p w14:paraId="0289FE9D" w14:textId="77777777" w:rsidR="006F1F8D" w:rsidRPr="003B4337" w:rsidRDefault="006F1F8D" w:rsidP="006F1F8D">
            <w:pPr>
              <w:spacing w:after="0" w:line="240" w:lineRule="auto"/>
              <w:jc w:val="center"/>
              <w:rPr>
                <w:rFonts w:ascii="Arial" w:eastAsia="Times New Roman" w:hAnsi="Arial" w:cs="Arial"/>
                <w:i/>
                <w:sz w:val="14"/>
                <w:szCs w:val="14"/>
                <w:lang w:eastAsia="pt-BR"/>
              </w:rPr>
            </w:pPr>
            <w:r>
              <w:rPr>
                <w:rFonts w:ascii="Arial" w:eastAsia="Times New Roman" w:hAnsi="Arial" w:cs="Arial"/>
                <w:sz w:val="14"/>
                <w:szCs w:val="14"/>
                <w:lang w:eastAsia="pt-BR"/>
              </w:rPr>
              <w:lastRenderedPageBreak/>
              <w:t>XML</w:t>
            </w:r>
          </w:p>
        </w:tc>
        <w:tc>
          <w:tcPr>
            <w:tcW w:w="1418" w:type="dxa"/>
            <w:vAlign w:val="center"/>
          </w:tcPr>
          <w:p w14:paraId="02F96DC8" w14:textId="77777777" w:rsidR="006F1F8D" w:rsidRPr="003B4337" w:rsidRDefault="006F1F8D" w:rsidP="006F1F8D">
            <w:pPr>
              <w:spacing w:after="0" w:line="240" w:lineRule="auto"/>
              <w:jc w:val="center"/>
              <w:rPr>
                <w:rFonts w:ascii="Arial" w:eastAsia="Times New Roman" w:hAnsi="Arial" w:cs="Arial"/>
                <w:sz w:val="14"/>
                <w:szCs w:val="14"/>
                <w:lang w:eastAsia="pt-BR"/>
              </w:rPr>
            </w:pPr>
          </w:p>
        </w:tc>
        <w:tc>
          <w:tcPr>
            <w:tcW w:w="1134" w:type="dxa"/>
            <w:vAlign w:val="center"/>
          </w:tcPr>
          <w:p w14:paraId="35F55399" w14:textId="77777777" w:rsidR="006F1F8D" w:rsidRDefault="006F1F8D" w:rsidP="006F1F8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417" w:type="dxa"/>
            <w:vAlign w:val="center"/>
          </w:tcPr>
          <w:p w14:paraId="1F94D910" w14:textId="77777777" w:rsidR="006F1F8D" w:rsidRDefault="006F1F8D" w:rsidP="006F1F8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417" w:type="dxa"/>
            <w:vAlign w:val="center"/>
          </w:tcPr>
          <w:p w14:paraId="5024FC53" w14:textId="713FE55D" w:rsidR="006F1F8D" w:rsidRPr="006F1F8D" w:rsidRDefault="006F1F8D" w:rsidP="006F1F8D">
            <w:pPr>
              <w:spacing w:after="0" w:line="240" w:lineRule="auto"/>
              <w:jc w:val="center"/>
              <w:rPr>
                <w:rFonts w:ascii="Arial" w:eastAsia="Times New Roman" w:hAnsi="Arial" w:cs="Arial"/>
                <w:sz w:val="14"/>
                <w:szCs w:val="14"/>
                <w:lang w:eastAsia="pt-BR"/>
              </w:rPr>
            </w:pPr>
            <w:r w:rsidRPr="006F1F8D">
              <w:rPr>
                <w:rFonts w:ascii="Arial" w:eastAsia="Times New Roman" w:hAnsi="Arial" w:cs="Arial"/>
                <w:sz w:val="14"/>
                <w:szCs w:val="14"/>
                <w:lang w:eastAsia="pt-BR"/>
              </w:rPr>
              <w:t>X</w:t>
            </w:r>
          </w:p>
        </w:tc>
      </w:tr>
      <w:tr w:rsidR="006F1F8D" w:rsidRPr="00F65A73" w14:paraId="546BB6E3" w14:textId="5A69E1A9" w:rsidTr="006F1F8D">
        <w:tc>
          <w:tcPr>
            <w:tcW w:w="1294" w:type="dxa"/>
            <w:vAlign w:val="center"/>
          </w:tcPr>
          <w:p w14:paraId="4914A83D" w14:textId="77777777" w:rsidR="006F1F8D" w:rsidRPr="003B4337" w:rsidRDefault="006F1F8D" w:rsidP="006F1F8D">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lastRenderedPageBreak/>
              <w:t>BASECD</w:t>
            </w:r>
          </w:p>
        </w:tc>
        <w:tc>
          <w:tcPr>
            <w:tcW w:w="6894" w:type="dxa"/>
            <w:shd w:val="clear" w:color="auto" w:fill="auto"/>
            <w:vAlign w:val="center"/>
          </w:tcPr>
          <w:p w14:paraId="3887010E" w14:textId="2F75005A" w:rsidR="006F1F8D" w:rsidRPr="003B4337" w:rsidRDefault="006F1F8D" w:rsidP="006F1F8D">
            <w:pPr>
              <w:spacing w:before="120" w:after="120" w:line="240" w:lineRule="auto"/>
              <w:jc w:val="both"/>
              <w:rPr>
                <w:rFonts w:ascii="Arial" w:eastAsia="Times New Roman" w:hAnsi="Arial" w:cs="Arial"/>
                <w:b/>
                <w:sz w:val="18"/>
                <w:szCs w:val="18"/>
                <w:lang w:eastAsia="pt-BR"/>
              </w:rPr>
            </w:pPr>
            <w:r w:rsidRPr="003B4337">
              <w:rPr>
                <w:rFonts w:ascii="Arial" w:eastAsia="Times New Roman" w:hAnsi="Arial" w:cs="Arial"/>
                <w:b/>
                <w:sz w:val="18"/>
                <w:szCs w:val="18"/>
                <w:lang w:eastAsia="pt-BR"/>
              </w:rPr>
              <w:t>Base de dados cadastral</w:t>
            </w:r>
            <w:r w:rsidRPr="003B4337">
              <w:rPr>
                <w:rFonts w:ascii="Arial" w:eastAsia="Times New Roman" w:hAnsi="Arial" w:cs="Arial"/>
                <w:sz w:val="18"/>
                <w:szCs w:val="18"/>
                <w:lang w:eastAsia="pt-BR"/>
              </w:rPr>
              <w:t xml:space="preserve"> completa, consolidada e  criticada/validada com a especificação do layout dos campos que a compõe, de todos os servidores ativos, inativos, pensionistas e dos seus respectivos dependentes, que serviu de subsídio para elaboração da avaliação atuarial anual com a data de cálculo posicionado em 31/12 e data-base com dados posicionados entre julho a dezembro, ambos do exercício de competência da PCA</w:t>
            </w:r>
            <w:r w:rsidRPr="009378BD">
              <w:rPr>
                <w:rFonts w:ascii="Arial" w:eastAsia="Times New Roman" w:hAnsi="Arial" w:cs="Arial"/>
                <w:sz w:val="18"/>
                <w:szCs w:val="18"/>
                <w:lang w:eastAsia="pt-BR"/>
              </w:rPr>
              <w:t xml:space="preserve">. </w:t>
            </w:r>
            <w:r w:rsidR="009378BD" w:rsidRPr="009378BD">
              <w:rPr>
                <w:rFonts w:ascii="Arial" w:eastAsia="Times New Roman" w:hAnsi="Arial" w:cs="Arial"/>
                <w:sz w:val="18"/>
                <w:szCs w:val="18"/>
                <w:lang w:eastAsia="pt-BR"/>
              </w:rPr>
              <w:t>Conforme especificação da Instrução Normativa MF/SP 001/2018.</w:t>
            </w:r>
          </w:p>
        </w:tc>
        <w:tc>
          <w:tcPr>
            <w:tcW w:w="992" w:type="dxa"/>
            <w:shd w:val="clear" w:color="auto" w:fill="auto"/>
            <w:vAlign w:val="center"/>
          </w:tcPr>
          <w:p w14:paraId="05D3AC39" w14:textId="77777777" w:rsidR="006F1F8D" w:rsidRPr="003B4337" w:rsidRDefault="006F1F8D" w:rsidP="006F1F8D">
            <w:pPr>
              <w:spacing w:after="0" w:line="240" w:lineRule="auto"/>
              <w:jc w:val="center"/>
              <w:rPr>
                <w:rFonts w:ascii="Arial" w:eastAsia="Times New Roman" w:hAnsi="Arial" w:cs="Arial"/>
                <w:sz w:val="14"/>
                <w:szCs w:val="14"/>
                <w:lang w:eastAsia="pt-BR"/>
              </w:rPr>
            </w:pPr>
            <w:r w:rsidRPr="003B4337">
              <w:rPr>
                <w:rFonts w:ascii="Arial" w:eastAsia="Times New Roman" w:hAnsi="Arial" w:cs="Arial"/>
                <w:sz w:val="14"/>
                <w:szCs w:val="14"/>
                <w:lang w:eastAsia="pt-BR"/>
              </w:rPr>
              <w:t>XLS/XLSX/ODS</w:t>
            </w:r>
          </w:p>
        </w:tc>
        <w:tc>
          <w:tcPr>
            <w:tcW w:w="1418" w:type="dxa"/>
            <w:vAlign w:val="center"/>
          </w:tcPr>
          <w:p w14:paraId="2482AE7F" w14:textId="77777777" w:rsidR="006F1F8D" w:rsidRPr="003B4337" w:rsidRDefault="006F1F8D" w:rsidP="006F1F8D">
            <w:pPr>
              <w:spacing w:after="0" w:line="240" w:lineRule="auto"/>
              <w:jc w:val="center"/>
              <w:rPr>
                <w:rFonts w:ascii="Arial" w:eastAsia="Times New Roman" w:hAnsi="Arial" w:cs="Arial"/>
                <w:sz w:val="14"/>
                <w:szCs w:val="14"/>
                <w:lang w:eastAsia="pt-BR"/>
              </w:rPr>
            </w:pPr>
          </w:p>
        </w:tc>
        <w:tc>
          <w:tcPr>
            <w:tcW w:w="1134" w:type="dxa"/>
            <w:vAlign w:val="center"/>
          </w:tcPr>
          <w:p w14:paraId="446D02EC" w14:textId="77777777" w:rsidR="006F1F8D" w:rsidRPr="003B4337" w:rsidRDefault="006F1F8D" w:rsidP="006F1F8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417" w:type="dxa"/>
            <w:vAlign w:val="center"/>
          </w:tcPr>
          <w:p w14:paraId="2515E7D6" w14:textId="77777777" w:rsidR="006F1F8D" w:rsidRPr="003B4337" w:rsidRDefault="006F1F8D" w:rsidP="006F1F8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417" w:type="dxa"/>
            <w:vAlign w:val="center"/>
          </w:tcPr>
          <w:p w14:paraId="72291022" w14:textId="3B4F1FF1" w:rsidR="006F1F8D" w:rsidRPr="006F1F8D" w:rsidRDefault="006F1F8D" w:rsidP="006F1F8D">
            <w:pPr>
              <w:spacing w:after="0" w:line="240" w:lineRule="auto"/>
              <w:jc w:val="center"/>
              <w:rPr>
                <w:rFonts w:ascii="Arial" w:eastAsia="Times New Roman" w:hAnsi="Arial" w:cs="Arial"/>
                <w:sz w:val="14"/>
                <w:szCs w:val="14"/>
                <w:lang w:eastAsia="pt-BR"/>
              </w:rPr>
            </w:pPr>
            <w:r w:rsidRPr="006F1F8D">
              <w:rPr>
                <w:rFonts w:ascii="Arial" w:eastAsia="Times New Roman" w:hAnsi="Arial" w:cs="Arial"/>
                <w:sz w:val="14"/>
                <w:szCs w:val="14"/>
                <w:lang w:eastAsia="pt-BR"/>
              </w:rPr>
              <w:t>X</w:t>
            </w:r>
          </w:p>
        </w:tc>
      </w:tr>
      <w:tr w:rsidR="00CD52BA" w:rsidRPr="009D4953" w14:paraId="72168649" w14:textId="77777777" w:rsidTr="006F1F8D">
        <w:tc>
          <w:tcPr>
            <w:tcW w:w="1294" w:type="dxa"/>
            <w:vAlign w:val="center"/>
          </w:tcPr>
          <w:p w14:paraId="5C2A649C" w14:textId="7716D4DD" w:rsidR="00CD52BA" w:rsidRPr="009378BD" w:rsidRDefault="00CD52BA" w:rsidP="00CD52BA">
            <w:pPr>
              <w:spacing w:after="0" w:line="240" w:lineRule="auto"/>
              <w:jc w:val="center"/>
              <w:rPr>
                <w:rFonts w:ascii="Arial" w:eastAsia="Times New Roman" w:hAnsi="Arial" w:cs="Arial"/>
                <w:sz w:val="18"/>
                <w:szCs w:val="18"/>
                <w:lang w:eastAsia="pt-BR"/>
              </w:rPr>
            </w:pPr>
            <w:r w:rsidRPr="009378BD">
              <w:rPr>
                <w:rFonts w:ascii="Arial" w:eastAsia="Times New Roman" w:hAnsi="Arial" w:cs="Arial"/>
                <w:sz w:val="18"/>
                <w:szCs w:val="18"/>
                <w:lang w:eastAsia="pt-BR"/>
              </w:rPr>
              <w:t>ESTATIS</w:t>
            </w:r>
          </w:p>
        </w:tc>
        <w:tc>
          <w:tcPr>
            <w:tcW w:w="6894" w:type="dxa"/>
            <w:shd w:val="clear" w:color="auto" w:fill="auto"/>
            <w:vAlign w:val="center"/>
          </w:tcPr>
          <w:p w14:paraId="61628B4A" w14:textId="41F11693" w:rsidR="00CD52BA" w:rsidRPr="009378BD" w:rsidRDefault="00CD52BA" w:rsidP="00CD52BA">
            <w:pPr>
              <w:spacing w:before="120" w:after="120" w:line="240" w:lineRule="auto"/>
              <w:jc w:val="both"/>
              <w:rPr>
                <w:rFonts w:ascii="Arial" w:eastAsia="Times New Roman" w:hAnsi="Arial" w:cs="Arial"/>
                <w:b/>
                <w:sz w:val="18"/>
                <w:szCs w:val="18"/>
                <w:lang w:eastAsia="pt-BR"/>
              </w:rPr>
            </w:pPr>
            <w:r w:rsidRPr="009378BD">
              <w:rPr>
                <w:rFonts w:ascii="Arial" w:eastAsia="Times New Roman" w:hAnsi="Arial" w:cs="Arial"/>
                <w:sz w:val="18"/>
                <w:szCs w:val="18"/>
                <w:lang w:eastAsia="pt-BR"/>
              </w:rPr>
              <w:t>Estatística da população coberta dos segurados que compuseram a avaliação atuarial com data de cálculo posicionado em 31/12 e data-base e com dados posicionados entre julho a dezembro, ambos do exercício de competência da PCA. Deverá evidenciar no mínimo, as informações dos segurados de forma segregadas por tipo de plano, de massa, por órgão/entidade, tipo de população coberta e por sexo: a quantidade segurados, média da base de cálculo/benefício, idade média, idade média aposentadoria projetada, idade média de admissão e valor da folha mensal.</w:t>
            </w:r>
          </w:p>
        </w:tc>
        <w:tc>
          <w:tcPr>
            <w:tcW w:w="992" w:type="dxa"/>
            <w:shd w:val="clear" w:color="auto" w:fill="auto"/>
            <w:vAlign w:val="center"/>
          </w:tcPr>
          <w:p w14:paraId="1C866ED3" w14:textId="44F5E182" w:rsidR="00CD52BA" w:rsidRPr="009378BD" w:rsidRDefault="00CD52BA" w:rsidP="00CD52BA">
            <w:pPr>
              <w:spacing w:after="0" w:line="240" w:lineRule="auto"/>
              <w:jc w:val="center"/>
              <w:rPr>
                <w:rFonts w:ascii="Arial" w:eastAsia="Times New Roman" w:hAnsi="Arial" w:cs="Arial"/>
                <w:sz w:val="14"/>
                <w:szCs w:val="14"/>
                <w:lang w:eastAsia="pt-BR"/>
              </w:rPr>
            </w:pPr>
            <w:r w:rsidRPr="00CD52BA">
              <w:rPr>
                <w:rFonts w:ascii="Arial" w:eastAsia="Times New Roman" w:hAnsi="Arial" w:cs="Arial"/>
                <w:sz w:val="14"/>
                <w:szCs w:val="14"/>
                <w:lang w:eastAsia="pt-BR"/>
              </w:rPr>
              <w:t>XLS/XLSX/ODS</w:t>
            </w:r>
          </w:p>
        </w:tc>
        <w:tc>
          <w:tcPr>
            <w:tcW w:w="1418" w:type="dxa"/>
            <w:vAlign w:val="center"/>
          </w:tcPr>
          <w:p w14:paraId="6C565F6E" w14:textId="77777777" w:rsidR="00CD52BA" w:rsidRPr="009378BD" w:rsidRDefault="00CD52BA" w:rsidP="00CD52BA">
            <w:pPr>
              <w:spacing w:after="0" w:line="240" w:lineRule="auto"/>
              <w:jc w:val="center"/>
              <w:rPr>
                <w:rFonts w:ascii="Arial" w:eastAsia="Times New Roman" w:hAnsi="Arial" w:cs="Arial"/>
                <w:sz w:val="14"/>
                <w:szCs w:val="14"/>
                <w:lang w:eastAsia="pt-BR"/>
              </w:rPr>
            </w:pPr>
          </w:p>
        </w:tc>
        <w:tc>
          <w:tcPr>
            <w:tcW w:w="1134" w:type="dxa"/>
            <w:vAlign w:val="center"/>
          </w:tcPr>
          <w:p w14:paraId="4897E371" w14:textId="51262567" w:rsidR="00CD52BA" w:rsidRPr="009378BD" w:rsidRDefault="00CD52BA" w:rsidP="00CD52BA">
            <w:pPr>
              <w:spacing w:after="0" w:line="240" w:lineRule="auto"/>
              <w:jc w:val="center"/>
              <w:rPr>
                <w:rFonts w:ascii="Arial" w:eastAsia="Times New Roman" w:hAnsi="Arial" w:cs="Arial"/>
                <w:sz w:val="14"/>
                <w:szCs w:val="14"/>
                <w:lang w:eastAsia="pt-BR"/>
              </w:rPr>
            </w:pPr>
            <w:r w:rsidRPr="009378BD">
              <w:rPr>
                <w:rFonts w:ascii="Arial" w:eastAsia="Times New Roman" w:hAnsi="Arial" w:cs="Arial"/>
                <w:sz w:val="14"/>
                <w:szCs w:val="14"/>
                <w:lang w:eastAsia="pt-BR"/>
              </w:rPr>
              <w:t>X</w:t>
            </w:r>
          </w:p>
        </w:tc>
        <w:tc>
          <w:tcPr>
            <w:tcW w:w="1417" w:type="dxa"/>
            <w:vAlign w:val="center"/>
          </w:tcPr>
          <w:p w14:paraId="05FD2FDC" w14:textId="3F75BFCD" w:rsidR="00CD52BA" w:rsidRPr="009378BD" w:rsidRDefault="00CD52BA" w:rsidP="00CD52BA">
            <w:pPr>
              <w:spacing w:after="0" w:line="240" w:lineRule="auto"/>
              <w:jc w:val="center"/>
              <w:rPr>
                <w:rFonts w:ascii="Arial" w:eastAsia="Times New Roman" w:hAnsi="Arial" w:cs="Arial"/>
                <w:sz w:val="14"/>
                <w:szCs w:val="14"/>
                <w:lang w:eastAsia="pt-BR"/>
              </w:rPr>
            </w:pPr>
            <w:r w:rsidRPr="009378BD">
              <w:rPr>
                <w:rFonts w:ascii="Arial" w:eastAsia="Times New Roman" w:hAnsi="Arial" w:cs="Arial"/>
                <w:sz w:val="14"/>
                <w:szCs w:val="14"/>
                <w:lang w:eastAsia="pt-BR"/>
              </w:rPr>
              <w:t>X</w:t>
            </w:r>
          </w:p>
        </w:tc>
        <w:tc>
          <w:tcPr>
            <w:tcW w:w="1417" w:type="dxa"/>
            <w:vAlign w:val="center"/>
          </w:tcPr>
          <w:p w14:paraId="5D21BB2D" w14:textId="234BFE15" w:rsidR="00CD52BA" w:rsidRPr="009378BD" w:rsidRDefault="00CD52BA" w:rsidP="00CD52BA">
            <w:pPr>
              <w:spacing w:after="0" w:line="240" w:lineRule="auto"/>
              <w:jc w:val="center"/>
              <w:rPr>
                <w:rFonts w:ascii="Arial" w:eastAsia="Times New Roman" w:hAnsi="Arial" w:cs="Arial"/>
                <w:sz w:val="14"/>
                <w:szCs w:val="14"/>
                <w:lang w:eastAsia="pt-BR"/>
              </w:rPr>
            </w:pPr>
            <w:r w:rsidRPr="009378BD">
              <w:rPr>
                <w:rFonts w:ascii="Arial" w:eastAsia="Times New Roman" w:hAnsi="Arial" w:cs="Arial"/>
                <w:sz w:val="14"/>
                <w:szCs w:val="14"/>
                <w:lang w:eastAsia="pt-BR"/>
              </w:rPr>
              <w:t>X</w:t>
            </w:r>
          </w:p>
        </w:tc>
      </w:tr>
      <w:tr w:rsidR="00CD52BA" w:rsidRPr="009D4953" w14:paraId="2E9A0828" w14:textId="2A1A4EE2" w:rsidTr="006F1F8D">
        <w:tc>
          <w:tcPr>
            <w:tcW w:w="1294" w:type="dxa"/>
            <w:vAlign w:val="center"/>
          </w:tcPr>
          <w:p w14:paraId="4353FA81" w14:textId="77777777" w:rsidR="00CD52BA" w:rsidRPr="003B4337" w:rsidRDefault="00CD52BA" w:rsidP="00CD52BA">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DEMAAT</w:t>
            </w:r>
          </w:p>
        </w:tc>
        <w:tc>
          <w:tcPr>
            <w:tcW w:w="6894" w:type="dxa"/>
            <w:shd w:val="clear" w:color="auto" w:fill="auto"/>
            <w:vAlign w:val="center"/>
          </w:tcPr>
          <w:p w14:paraId="07BE111E" w14:textId="0C80A76B" w:rsidR="00CD52BA" w:rsidRPr="003B4337" w:rsidRDefault="00CD52BA" w:rsidP="00CD52BA">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b/>
                <w:sz w:val="18"/>
                <w:szCs w:val="18"/>
                <w:lang w:eastAsia="pt-BR"/>
              </w:rPr>
              <w:t>Avaliação Atuarial Anual</w:t>
            </w:r>
            <w:r w:rsidRPr="003B4337">
              <w:rPr>
                <w:rFonts w:ascii="Arial" w:eastAsia="Times New Roman" w:hAnsi="Arial" w:cs="Arial"/>
                <w:sz w:val="18"/>
                <w:szCs w:val="18"/>
                <w:lang w:eastAsia="pt-BR"/>
              </w:rPr>
              <w:t xml:space="preserve"> para verificação do equilíbrio financeiro e atuarial do RPPS (único ou dos Planos Previdenciário e Financeiro, no caso de segregação de massa), realizado por entidade independente e legalmente habilitada junto ao Instituto Brasileiro de Atuária (IBA), observados os parâmetros gerais para a organização e revisão do plano de custeio e benefícios, com da data de cálculo posicionado em 31/12 e Data-Base com dados posicionados entre julho a dezembro, ambos do exercício de competência da PCA.</w:t>
            </w:r>
            <w:r>
              <w:rPr>
                <w:rFonts w:ascii="Arial" w:eastAsia="Times New Roman" w:hAnsi="Arial" w:cs="Arial"/>
                <w:sz w:val="18"/>
                <w:szCs w:val="18"/>
                <w:lang w:eastAsia="pt-BR"/>
              </w:rPr>
              <w:t xml:space="preserve"> </w:t>
            </w:r>
            <w:r w:rsidRPr="002C024D">
              <w:rPr>
                <w:rFonts w:ascii="Arial" w:hAnsi="Arial" w:cs="Arial"/>
                <w:sz w:val="18"/>
                <w:szCs w:val="18"/>
              </w:rPr>
              <w:t>O estudo deve estar devidamente acompanhado de parecer atuarial, projeções atuariais e provisões matemáticas previdenciárias.</w:t>
            </w:r>
          </w:p>
        </w:tc>
        <w:tc>
          <w:tcPr>
            <w:tcW w:w="992" w:type="dxa"/>
            <w:shd w:val="clear" w:color="auto" w:fill="auto"/>
            <w:vAlign w:val="center"/>
          </w:tcPr>
          <w:p w14:paraId="21A34EBE" w14:textId="77777777" w:rsidR="00CD52BA" w:rsidRPr="003B4337" w:rsidRDefault="00CD52BA" w:rsidP="00CD52BA">
            <w:pPr>
              <w:spacing w:after="0" w:line="240" w:lineRule="auto"/>
              <w:jc w:val="center"/>
              <w:rPr>
                <w:rFonts w:ascii="Arial" w:eastAsia="Times New Roman" w:hAnsi="Arial" w:cs="Arial"/>
                <w:i/>
                <w:sz w:val="14"/>
                <w:szCs w:val="14"/>
                <w:highlight w:val="yellow"/>
                <w:lang w:eastAsia="pt-BR"/>
              </w:rPr>
            </w:pPr>
            <w:r>
              <w:rPr>
                <w:rFonts w:ascii="Arial" w:eastAsia="Times New Roman" w:hAnsi="Arial" w:cs="Arial"/>
                <w:sz w:val="14"/>
                <w:szCs w:val="14"/>
                <w:lang w:eastAsia="pt-BR"/>
              </w:rPr>
              <w:t>PDF</w:t>
            </w:r>
          </w:p>
        </w:tc>
        <w:tc>
          <w:tcPr>
            <w:tcW w:w="1418" w:type="dxa"/>
            <w:vAlign w:val="center"/>
          </w:tcPr>
          <w:p w14:paraId="11109443" w14:textId="77777777" w:rsidR="00CD52BA" w:rsidRPr="003B4337" w:rsidRDefault="00CD52BA" w:rsidP="00CD52BA">
            <w:pPr>
              <w:spacing w:after="0" w:line="240" w:lineRule="auto"/>
              <w:jc w:val="center"/>
              <w:rPr>
                <w:rFonts w:ascii="Arial" w:eastAsia="Times New Roman" w:hAnsi="Arial" w:cs="Arial"/>
                <w:sz w:val="14"/>
                <w:szCs w:val="14"/>
                <w:lang w:eastAsia="pt-BR"/>
              </w:rPr>
            </w:pPr>
          </w:p>
        </w:tc>
        <w:tc>
          <w:tcPr>
            <w:tcW w:w="1134" w:type="dxa"/>
            <w:vAlign w:val="center"/>
          </w:tcPr>
          <w:p w14:paraId="44147B86" w14:textId="77777777" w:rsidR="00CD52BA" w:rsidRPr="003B4337" w:rsidRDefault="00CD52BA" w:rsidP="00CD52BA">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417" w:type="dxa"/>
            <w:vAlign w:val="center"/>
          </w:tcPr>
          <w:p w14:paraId="60D38B76" w14:textId="77777777" w:rsidR="00CD52BA" w:rsidRPr="003B4337" w:rsidRDefault="00CD52BA" w:rsidP="00CD52BA">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417" w:type="dxa"/>
            <w:vAlign w:val="center"/>
          </w:tcPr>
          <w:p w14:paraId="0301E4F5" w14:textId="65893465" w:rsidR="00CD52BA" w:rsidRPr="006F1F8D" w:rsidRDefault="00CD52BA" w:rsidP="00CD52BA">
            <w:pPr>
              <w:spacing w:after="0" w:line="240" w:lineRule="auto"/>
              <w:jc w:val="center"/>
              <w:rPr>
                <w:rFonts w:ascii="Arial" w:eastAsia="Times New Roman" w:hAnsi="Arial" w:cs="Arial"/>
                <w:sz w:val="14"/>
                <w:szCs w:val="14"/>
                <w:lang w:eastAsia="pt-BR"/>
              </w:rPr>
            </w:pPr>
            <w:r w:rsidRPr="006F1F8D">
              <w:rPr>
                <w:rFonts w:ascii="Arial" w:eastAsia="Times New Roman" w:hAnsi="Arial" w:cs="Arial"/>
                <w:sz w:val="14"/>
                <w:szCs w:val="14"/>
                <w:lang w:eastAsia="pt-BR"/>
              </w:rPr>
              <w:t>X</w:t>
            </w:r>
          </w:p>
        </w:tc>
      </w:tr>
      <w:tr w:rsidR="00CD52BA" w:rsidRPr="005119E8" w14:paraId="0D42B43B" w14:textId="15A4F2D5" w:rsidTr="006F1F8D">
        <w:tc>
          <w:tcPr>
            <w:tcW w:w="1294" w:type="dxa"/>
            <w:vAlign w:val="center"/>
          </w:tcPr>
          <w:p w14:paraId="6637BBA6" w14:textId="77777777" w:rsidR="00CD52BA" w:rsidRPr="003B4337" w:rsidRDefault="00CD52BA" w:rsidP="00CD52BA">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DELATU</w:t>
            </w:r>
          </w:p>
        </w:tc>
        <w:tc>
          <w:tcPr>
            <w:tcW w:w="6894" w:type="dxa"/>
            <w:shd w:val="clear" w:color="auto" w:fill="auto"/>
            <w:vAlign w:val="center"/>
          </w:tcPr>
          <w:p w14:paraId="0326B656" w14:textId="77777777" w:rsidR="00CD52BA" w:rsidRPr="003B4337" w:rsidRDefault="00CD52BA" w:rsidP="00CD52BA">
            <w:pPr>
              <w:spacing w:before="120" w:after="120" w:line="240" w:lineRule="auto"/>
              <w:jc w:val="both"/>
              <w:rPr>
                <w:rFonts w:ascii="Arial" w:eastAsia="Times New Roman" w:hAnsi="Arial" w:cs="Arial"/>
                <w:b/>
                <w:sz w:val="18"/>
                <w:szCs w:val="18"/>
                <w:lang w:eastAsia="pt-BR"/>
              </w:rPr>
            </w:pPr>
            <w:r w:rsidRPr="003B4337">
              <w:rPr>
                <w:rFonts w:ascii="Arial" w:eastAsia="Times New Roman" w:hAnsi="Arial" w:cs="Arial"/>
                <w:sz w:val="18"/>
                <w:szCs w:val="18"/>
                <w:lang w:eastAsia="pt-BR"/>
              </w:rPr>
              <w:t>Declaração do Chefe do Poder Executivo, do responsável pela unidade gestora do RPPS e do atuário responsável pela elaboração da avaliação atuarial de que os mesmos elegeram conjuntamente as hipóteses biométricas, demográficas, econômicas e financeiras adequadas às características da massa de segurados e de seus dependentes para o correto dimensionamento dos compromissos futuros do RPPS.</w:t>
            </w:r>
          </w:p>
        </w:tc>
        <w:tc>
          <w:tcPr>
            <w:tcW w:w="992" w:type="dxa"/>
            <w:shd w:val="clear" w:color="auto" w:fill="auto"/>
            <w:vAlign w:val="center"/>
          </w:tcPr>
          <w:p w14:paraId="7F2DAB59" w14:textId="77777777" w:rsidR="00CD52BA" w:rsidRPr="003B4337" w:rsidRDefault="00CD52BA" w:rsidP="00CD52BA">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c>
          <w:tcPr>
            <w:tcW w:w="1418" w:type="dxa"/>
            <w:vAlign w:val="center"/>
          </w:tcPr>
          <w:p w14:paraId="161378B0" w14:textId="77777777" w:rsidR="00CD52BA" w:rsidRPr="003B4337" w:rsidRDefault="00CD52BA" w:rsidP="00CD52BA">
            <w:pPr>
              <w:spacing w:after="0" w:line="240" w:lineRule="auto"/>
              <w:jc w:val="center"/>
              <w:rPr>
                <w:rFonts w:ascii="Arial" w:eastAsia="Times New Roman" w:hAnsi="Arial" w:cs="Arial"/>
                <w:sz w:val="14"/>
                <w:szCs w:val="14"/>
                <w:lang w:eastAsia="pt-BR"/>
              </w:rPr>
            </w:pPr>
          </w:p>
        </w:tc>
        <w:tc>
          <w:tcPr>
            <w:tcW w:w="1134" w:type="dxa"/>
            <w:vAlign w:val="center"/>
          </w:tcPr>
          <w:p w14:paraId="0409AC04" w14:textId="77777777" w:rsidR="00CD52BA" w:rsidRPr="003B4337" w:rsidRDefault="00CD52BA" w:rsidP="00CD52BA">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417" w:type="dxa"/>
            <w:vAlign w:val="center"/>
          </w:tcPr>
          <w:p w14:paraId="0218D226" w14:textId="77777777" w:rsidR="00CD52BA" w:rsidRPr="003B4337" w:rsidRDefault="00CD52BA" w:rsidP="00CD52BA">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417" w:type="dxa"/>
            <w:vAlign w:val="center"/>
          </w:tcPr>
          <w:p w14:paraId="30A45A97" w14:textId="5BABEA58" w:rsidR="00CD52BA" w:rsidRPr="006F1F8D" w:rsidRDefault="00CD52BA" w:rsidP="00CD52BA">
            <w:pPr>
              <w:spacing w:after="0" w:line="240" w:lineRule="auto"/>
              <w:jc w:val="center"/>
              <w:rPr>
                <w:rFonts w:ascii="Arial" w:eastAsia="Times New Roman" w:hAnsi="Arial" w:cs="Arial"/>
                <w:sz w:val="14"/>
                <w:szCs w:val="14"/>
                <w:lang w:eastAsia="pt-BR"/>
              </w:rPr>
            </w:pPr>
            <w:r w:rsidRPr="006F1F8D">
              <w:rPr>
                <w:rFonts w:ascii="Arial" w:eastAsia="Times New Roman" w:hAnsi="Arial" w:cs="Arial"/>
                <w:sz w:val="14"/>
                <w:szCs w:val="14"/>
                <w:lang w:eastAsia="pt-BR"/>
              </w:rPr>
              <w:t>X</w:t>
            </w:r>
          </w:p>
        </w:tc>
      </w:tr>
      <w:tr w:rsidR="00CD52BA" w:rsidRPr="005119E8" w14:paraId="11A65E43" w14:textId="6BD818AE" w:rsidTr="006F1F8D">
        <w:tc>
          <w:tcPr>
            <w:tcW w:w="1294" w:type="dxa"/>
            <w:vAlign w:val="center"/>
          </w:tcPr>
          <w:p w14:paraId="5308E64B" w14:textId="77777777" w:rsidR="00CD52BA" w:rsidRPr="003B4337" w:rsidRDefault="00CD52BA" w:rsidP="00CD52BA">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lastRenderedPageBreak/>
              <w:t>DECATU</w:t>
            </w:r>
          </w:p>
        </w:tc>
        <w:tc>
          <w:tcPr>
            <w:tcW w:w="6894" w:type="dxa"/>
            <w:shd w:val="clear" w:color="auto" w:fill="auto"/>
            <w:vAlign w:val="center"/>
          </w:tcPr>
          <w:p w14:paraId="1777B82F" w14:textId="77777777" w:rsidR="00CD52BA" w:rsidRPr="003B4337" w:rsidRDefault="00CD52BA" w:rsidP="00CD52BA">
            <w:pPr>
              <w:spacing w:before="120" w:after="120" w:line="240" w:lineRule="auto"/>
              <w:jc w:val="both"/>
              <w:rPr>
                <w:rFonts w:ascii="Arial" w:eastAsia="Times New Roman" w:hAnsi="Arial" w:cs="Arial"/>
                <w:b/>
                <w:sz w:val="18"/>
                <w:szCs w:val="18"/>
                <w:lang w:eastAsia="pt-BR"/>
              </w:rPr>
            </w:pPr>
            <w:r w:rsidRPr="003B4337">
              <w:rPr>
                <w:rFonts w:ascii="Arial" w:eastAsia="Times New Roman" w:hAnsi="Arial" w:cs="Arial"/>
                <w:b/>
                <w:sz w:val="18"/>
                <w:szCs w:val="18"/>
                <w:lang w:eastAsia="pt-BR"/>
              </w:rPr>
              <w:t>Declaração do atuário</w:t>
            </w:r>
            <w:r w:rsidRPr="003B4337">
              <w:rPr>
                <w:rFonts w:ascii="Arial" w:eastAsia="Times New Roman" w:hAnsi="Arial" w:cs="Arial"/>
                <w:sz w:val="18"/>
                <w:szCs w:val="18"/>
                <w:lang w:eastAsia="pt-BR"/>
              </w:rPr>
              <w:t xml:space="preserve"> responsável pela elaboração da avaliação atuarial do exercício de competência da prestação de contas com data de cálculo: 31/12 e data-base com dados posicionados entre julho a dezembro, ambos do exercício de competência da PCA, acerca da qualidade da base cadastral utilizada, no tocante a completude, consistência e atualização e a necessidade de providências no tocante a correções e atualizações por conta do ente.</w:t>
            </w:r>
          </w:p>
        </w:tc>
        <w:tc>
          <w:tcPr>
            <w:tcW w:w="992" w:type="dxa"/>
            <w:shd w:val="clear" w:color="auto" w:fill="auto"/>
            <w:vAlign w:val="center"/>
          </w:tcPr>
          <w:p w14:paraId="66E1B1AC" w14:textId="77777777" w:rsidR="00CD52BA" w:rsidRPr="003B4337" w:rsidRDefault="00CD52BA" w:rsidP="00CD52BA">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c>
          <w:tcPr>
            <w:tcW w:w="1418" w:type="dxa"/>
            <w:vAlign w:val="center"/>
          </w:tcPr>
          <w:p w14:paraId="7B6A0213" w14:textId="77777777" w:rsidR="00CD52BA" w:rsidRPr="003B4337" w:rsidRDefault="00CD52BA" w:rsidP="00CD52BA">
            <w:pPr>
              <w:spacing w:after="0" w:line="240" w:lineRule="auto"/>
              <w:jc w:val="center"/>
              <w:rPr>
                <w:rFonts w:ascii="Arial" w:eastAsia="Times New Roman" w:hAnsi="Arial" w:cs="Arial"/>
                <w:sz w:val="14"/>
                <w:szCs w:val="14"/>
                <w:lang w:eastAsia="pt-BR"/>
              </w:rPr>
            </w:pPr>
          </w:p>
        </w:tc>
        <w:tc>
          <w:tcPr>
            <w:tcW w:w="1134" w:type="dxa"/>
            <w:vAlign w:val="center"/>
          </w:tcPr>
          <w:p w14:paraId="2CDE9701" w14:textId="77777777" w:rsidR="00CD52BA" w:rsidRPr="003B4337" w:rsidRDefault="00CD52BA" w:rsidP="00CD52BA">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417" w:type="dxa"/>
            <w:vAlign w:val="center"/>
          </w:tcPr>
          <w:p w14:paraId="7253BDD4" w14:textId="77777777" w:rsidR="00CD52BA" w:rsidRPr="003B4337" w:rsidRDefault="00CD52BA" w:rsidP="00CD52BA">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417" w:type="dxa"/>
            <w:vAlign w:val="center"/>
          </w:tcPr>
          <w:p w14:paraId="678F86C0" w14:textId="6D4A2222" w:rsidR="00CD52BA" w:rsidRPr="006F1F8D" w:rsidRDefault="00CD52BA" w:rsidP="00CD52BA">
            <w:pPr>
              <w:spacing w:after="0" w:line="240" w:lineRule="auto"/>
              <w:jc w:val="center"/>
              <w:rPr>
                <w:rFonts w:ascii="Arial" w:eastAsia="Times New Roman" w:hAnsi="Arial" w:cs="Arial"/>
                <w:sz w:val="14"/>
                <w:szCs w:val="14"/>
                <w:lang w:eastAsia="pt-BR"/>
              </w:rPr>
            </w:pPr>
            <w:r w:rsidRPr="006F1F8D">
              <w:rPr>
                <w:rFonts w:ascii="Arial" w:eastAsia="Times New Roman" w:hAnsi="Arial" w:cs="Arial"/>
                <w:sz w:val="14"/>
                <w:szCs w:val="14"/>
                <w:lang w:eastAsia="pt-BR"/>
              </w:rPr>
              <w:t>X</w:t>
            </w:r>
          </w:p>
        </w:tc>
      </w:tr>
      <w:tr w:rsidR="00CD52BA" w:rsidRPr="005119E8" w14:paraId="3EB91FB0" w14:textId="5EB52A9B" w:rsidTr="006F1F8D">
        <w:tc>
          <w:tcPr>
            <w:tcW w:w="1294" w:type="dxa"/>
            <w:vAlign w:val="center"/>
          </w:tcPr>
          <w:p w14:paraId="367AE7B6" w14:textId="77777777" w:rsidR="00CD52BA" w:rsidRPr="003B4337" w:rsidRDefault="00CD52BA" w:rsidP="00CD52BA">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NOTATU</w:t>
            </w:r>
          </w:p>
        </w:tc>
        <w:tc>
          <w:tcPr>
            <w:tcW w:w="6894" w:type="dxa"/>
            <w:shd w:val="clear" w:color="auto" w:fill="auto"/>
            <w:vAlign w:val="center"/>
          </w:tcPr>
          <w:p w14:paraId="241813E0" w14:textId="77777777" w:rsidR="00CD52BA" w:rsidRPr="003B4337" w:rsidRDefault="00CD52BA" w:rsidP="00CD52BA">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b/>
                <w:sz w:val="18"/>
                <w:szCs w:val="18"/>
                <w:lang w:eastAsia="pt-BR"/>
              </w:rPr>
              <w:t>Nota Técnica Atuaria</w:t>
            </w:r>
            <w:r w:rsidRPr="003B4337">
              <w:rPr>
                <w:rFonts w:ascii="Arial" w:eastAsia="Times New Roman" w:hAnsi="Arial" w:cs="Arial"/>
                <w:sz w:val="18"/>
                <w:szCs w:val="18"/>
                <w:lang w:eastAsia="pt-BR"/>
              </w:rPr>
              <w:t>l referente a avaliação atuarial do RPPS (único ou dos Planos Previdenciário e Financeiro, no caso de segregação de massa) na data de cálculo em 31/12 e Data-Base com dados posicionados entre julho a dezembro, ambos do exercício de competência da PCA.</w:t>
            </w:r>
          </w:p>
        </w:tc>
        <w:tc>
          <w:tcPr>
            <w:tcW w:w="992" w:type="dxa"/>
            <w:shd w:val="clear" w:color="auto" w:fill="auto"/>
            <w:vAlign w:val="center"/>
          </w:tcPr>
          <w:p w14:paraId="4ABF3B49" w14:textId="77777777" w:rsidR="00CD52BA" w:rsidRPr="003B4337" w:rsidRDefault="00CD52BA" w:rsidP="00CD52BA">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c>
          <w:tcPr>
            <w:tcW w:w="1418" w:type="dxa"/>
            <w:vAlign w:val="center"/>
          </w:tcPr>
          <w:p w14:paraId="2552413A" w14:textId="77777777" w:rsidR="00CD52BA" w:rsidRPr="003B4337" w:rsidRDefault="00CD52BA" w:rsidP="00CD52BA">
            <w:pPr>
              <w:spacing w:after="0" w:line="240" w:lineRule="auto"/>
              <w:jc w:val="center"/>
              <w:rPr>
                <w:rFonts w:ascii="Arial" w:eastAsia="Times New Roman" w:hAnsi="Arial" w:cs="Arial"/>
                <w:sz w:val="14"/>
                <w:szCs w:val="14"/>
                <w:lang w:eastAsia="pt-BR"/>
              </w:rPr>
            </w:pPr>
          </w:p>
        </w:tc>
        <w:tc>
          <w:tcPr>
            <w:tcW w:w="1134" w:type="dxa"/>
            <w:vAlign w:val="center"/>
          </w:tcPr>
          <w:p w14:paraId="5F9D2283" w14:textId="77777777" w:rsidR="00CD52BA" w:rsidRPr="003B4337" w:rsidRDefault="00CD52BA" w:rsidP="00CD52BA">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417" w:type="dxa"/>
            <w:vAlign w:val="center"/>
          </w:tcPr>
          <w:p w14:paraId="2A41F0A1" w14:textId="77777777" w:rsidR="00CD52BA" w:rsidRPr="003B4337" w:rsidRDefault="00CD52BA" w:rsidP="00CD52BA">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417" w:type="dxa"/>
            <w:vAlign w:val="center"/>
          </w:tcPr>
          <w:p w14:paraId="6835179C" w14:textId="500C6F55" w:rsidR="00CD52BA" w:rsidRPr="006F1F8D" w:rsidRDefault="00CD52BA" w:rsidP="00CD52BA">
            <w:pPr>
              <w:spacing w:after="0" w:line="240" w:lineRule="auto"/>
              <w:jc w:val="center"/>
              <w:rPr>
                <w:rFonts w:ascii="Arial" w:eastAsia="Times New Roman" w:hAnsi="Arial" w:cs="Arial"/>
                <w:sz w:val="14"/>
                <w:szCs w:val="14"/>
                <w:lang w:eastAsia="pt-BR"/>
              </w:rPr>
            </w:pPr>
            <w:r w:rsidRPr="006F1F8D">
              <w:rPr>
                <w:rFonts w:ascii="Arial" w:eastAsia="Times New Roman" w:hAnsi="Arial" w:cs="Arial"/>
                <w:sz w:val="14"/>
                <w:szCs w:val="14"/>
                <w:lang w:eastAsia="pt-BR"/>
              </w:rPr>
              <w:t>X</w:t>
            </w:r>
          </w:p>
        </w:tc>
      </w:tr>
      <w:tr w:rsidR="00CD52BA" w:rsidRPr="005119E8" w14:paraId="1E7EA738" w14:textId="453D57C7" w:rsidTr="006F1F8D">
        <w:tc>
          <w:tcPr>
            <w:tcW w:w="1294" w:type="dxa"/>
            <w:vAlign w:val="center"/>
          </w:tcPr>
          <w:p w14:paraId="5F017C8D" w14:textId="77777777" w:rsidR="00CD52BA" w:rsidRPr="003B4337" w:rsidRDefault="00CD52BA" w:rsidP="00CD52BA">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PARATU</w:t>
            </w:r>
          </w:p>
        </w:tc>
        <w:tc>
          <w:tcPr>
            <w:tcW w:w="6894" w:type="dxa"/>
            <w:shd w:val="clear" w:color="auto" w:fill="auto"/>
            <w:vAlign w:val="center"/>
          </w:tcPr>
          <w:p w14:paraId="5714105A" w14:textId="77777777" w:rsidR="00CD52BA" w:rsidRPr="003B4337" w:rsidRDefault="00CD52BA" w:rsidP="00CD52BA">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b/>
                <w:sz w:val="18"/>
                <w:szCs w:val="18"/>
                <w:lang w:eastAsia="pt-BR"/>
              </w:rPr>
              <w:t>Parecer Atuarial Conclusivo</w:t>
            </w:r>
            <w:r w:rsidRPr="003B4337">
              <w:rPr>
                <w:rFonts w:ascii="Arial" w:eastAsia="Times New Roman" w:hAnsi="Arial" w:cs="Arial"/>
                <w:sz w:val="18"/>
                <w:szCs w:val="18"/>
                <w:lang w:eastAsia="pt-BR"/>
              </w:rPr>
              <w:t xml:space="preserve"> acerca do equilíbrio financeiro e atuarial (art. 40, caput da CF/88), do plano de custeio de amortização do déficit atuarial do RPPS (único, ou dos Fundos Financeiro e Previdenciário), referente a avaliação atuarial do exercício de competência da prestação de contas. (Data de Cálculo: 31/12 e Data-Base com dados posicionados entre julho a dezembro, ambos do exercício de competência da PCA)</w:t>
            </w:r>
          </w:p>
        </w:tc>
        <w:tc>
          <w:tcPr>
            <w:tcW w:w="992" w:type="dxa"/>
            <w:shd w:val="clear" w:color="auto" w:fill="auto"/>
            <w:vAlign w:val="center"/>
          </w:tcPr>
          <w:p w14:paraId="37C43273" w14:textId="77777777" w:rsidR="00CD52BA" w:rsidRPr="003B4337" w:rsidRDefault="00CD52BA" w:rsidP="00CD52BA">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c>
          <w:tcPr>
            <w:tcW w:w="1418" w:type="dxa"/>
            <w:vAlign w:val="center"/>
          </w:tcPr>
          <w:p w14:paraId="7CD032E0" w14:textId="77777777" w:rsidR="00CD52BA" w:rsidRPr="003B4337" w:rsidRDefault="00CD52BA" w:rsidP="00CD52BA">
            <w:pPr>
              <w:spacing w:after="0" w:line="240" w:lineRule="auto"/>
              <w:jc w:val="center"/>
              <w:rPr>
                <w:rFonts w:ascii="Arial" w:eastAsia="Times New Roman" w:hAnsi="Arial" w:cs="Arial"/>
                <w:sz w:val="14"/>
                <w:szCs w:val="14"/>
                <w:lang w:eastAsia="pt-BR"/>
              </w:rPr>
            </w:pPr>
          </w:p>
        </w:tc>
        <w:tc>
          <w:tcPr>
            <w:tcW w:w="1134" w:type="dxa"/>
            <w:vAlign w:val="center"/>
          </w:tcPr>
          <w:p w14:paraId="5A3CB80E" w14:textId="77777777" w:rsidR="00CD52BA" w:rsidRPr="003B4337" w:rsidRDefault="00CD52BA" w:rsidP="00CD52BA">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417" w:type="dxa"/>
            <w:vAlign w:val="center"/>
          </w:tcPr>
          <w:p w14:paraId="666DD484" w14:textId="77777777" w:rsidR="00CD52BA" w:rsidRPr="003B4337" w:rsidRDefault="00CD52BA" w:rsidP="00CD52BA">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417" w:type="dxa"/>
            <w:vAlign w:val="center"/>
          </w:tcPr>
          <w:p w14:paraId="071EF6C7" w14:textId="0817E8D3" w:rsidR="00CD52BA" w:rsidRPr="006F1F8D" w:rsidRDefault="00CD52BA" w:rsidP="00CD52BA">
            <w:pPr>
              <w:spacing w:after="0" w:line="240" w:lineRule="auto"/>
              <w:jc w:val="center"/>
              <w:rPr>
                <w:rFonts w:ascii="Arial" w:eastAsia="Times New Roman" w:hAnsi="Arial" w:cs="Arial"/>
                <w:sz w:val="14"/>
                <w:szCs w:val="14"/>
                <w:lang w:eastAsia="pt-BR"/>
              </w:rPr>
            </w:pPr>
            <w:r w:rsidRPr="006F1F8D">
              <w:rPr>
                <w:rFonts w:ascii="Arial" w:eastAsia="Times New Roman" w:hAnsi="Arial" w:cs="Arial"/>
                <w:sz w:val="14"/>
                <w:szCs w:val="14"/>
                <w:lang w:eastAsia="pt-BR"/>
              </w:rPr>
              <w:t>X</w:t>
            </w:r>
          </w:p>
        </w:tc>
      </w:tr>
      <w:tr w:rsidR="00CD52BA" w:rsidRPr="005119E8" w14:paraId="6A274198" w14:textId="5E1A198C" w:rsidTr="006F1F8D">
        <w:tc>
          <w:tcPr>
            <w:tcW w:w="1294" w:type="dxa"/>
            <w:vAlign w:val="center"/>
          </w:tcPr>
          <w:p w14:paraId="7BE1CBF5" w14:textId="77777777" w:rsidR="00CD52BA" w:rsidRPr="00E12C33" w:rsidRDefault="00CD52BA" w:rsidP="00CD52BA">
            <w:pPr>
              <w:spacing w:after="0" w:line="240" w:lineRule="auto"/>
              <w:jc w:val="center"/>
              <w:rPr>
                <w:rFonts w:ascii="Arial" w:eastAsia="Times New Roman" w:hAnsi="Arial" w:cs="Arial"/>
                <w:sz w:val="18"/>
                <w:szCs w:val="18"/>
                <w:lang w:eastAsia="pt-BR"/>
              </w:rPr>
            </w:pPr>
            <w:r w:rsidRPr="00E12C33">
              <w:rPr>
                <w:rFonts w:ascii="Arial" w:eastAsia="Times New Roman" w:hAnsi="Arial" w:cs="Arial"/>
                <w:sz w:val="18"/>
                <w:szCs w:val="18"/>
                <w:lang w:eastAsia="pt-BR"/>
              </w:rPr>
              <w:t>PROATU</w:t>
            </w:r>
          </w:p>
        </w:tc>
        <w:tc>
          <w:tcPr>
            <w:tcW w:w="6894" w:type="dxa"/>
            <w:shd w:val="clear" w:color="auto" w:fill="auto"/>
            <w:vAlign w:val="center"/>
          </w:tcPr>
          <w:p w14:paraId="205A742F" w14:textId="24B833EE" w:rsidR="00CD52BA" w:rsidRPr="00E12C33" w:rsidRDefault="00CD52BA" w:rsidP="009A1611">
            <w:pPr>
              <w:spacing w:before="120" w:after="120" w:line="240" w:lineRule="auto"/>
              <w:jc w:val="both"/>
              <w:rPr>
                <w:rFonts w:ascii="Arial" w:eastAsia="Times New Roman" w:hAnsi="Arial" w:cs="Arial"/>
                <w:sz w:val="18"/>
                <w:szCs w:val="18"/>
                <w:lang w:eastAsia="pt-BR"/>
              </w:rPr>
            </w:pPr>
            <w:r w:rsidRPr="00E12C33">
              <w:rPr>
                <w:rFonts w:ascii="Arial" w:eastAsia="Times New Roman" w:hAnsi="Arial" w:cs="Arial"/>
                <w:b/>
                <w:sz w:val="18"/>
                <w:szCs w:val="18"/>
                <w:lang w:eastAsia="pt-BR"/>
              </w:rPr>
              <w:t xml:space="preserve">Projeção Atuarial (Receitas, Despesas, Resultado Previdenciário e Saldo Financeiro) </w:t>
            </w:r>
            <w:r w:rsidRPr="00E12C33">
              <w:rPr>
                <w:rFonts w:ascii="Arial" w:eastAsia="Times New Roman" w:hAnsi="Arial" w:cs="Arial"/>
                <w:sz w:val="18"/>
                <w:szCs w:val="18"/>
                <w:lang w:eastAsia="pt-BR"/>
              </w:rPr>
              <w:t xml:space="preserve">do RPPS (único ou dos Planos Previdenciário e Financeiro, no caso de segregação de massa), </w:t>
            </w:r>
            <w:r w:rsidRPr="00E12C33">
              <w:rPr>
                <w:rFonts w:ascii="Arial" w:eastAsia="Times New Roman" w:hAnsi="Arial" w:cs="Arial"/>
                <w:b/>
                <w:sz w:val="18"/>
                <w:szCs w:val="18"/>
                <w:lang w:eastAsia="pt-BR"/>
              </w:rPr>
              <w:t>dos próximos 75 anos</w:t>
            </w:r>
            <w:r w:rsidRPr="00E12C33">
              <w:rPr>
                <w:rFonts w:ascii="Arial" w:eastAsia="Times New Roman" w:hAnsi="Arial" w:cs="Arial"/>
                <w:sz w:val="18"/>
                <w:szCs w:val="18"/>
                <w:lang w:eastAsia="pt-BR"/>
              </w:rPr>
              <w:t xml:space="preserve"> que compõe a avaliação atuarial do exercício de competência da prestação de contas com data de cálculo 31/12 e Data-Base com dados posicionados entre julho a dezembro, ambos do exercício de competência da PCA, conforme layout constante do item </w:t>
            </w:r>
            <w:r w:rsidR="009A1611">
              <w:rPr>
                <w:rFonts w:ascii="Arial" w:eastAsia="Times New Roman" w:hAnsi="Arial" w:cs="Arial"/>
                <w:sz w:val="18"/>
                <w:szCs w:val="18"/>
                <w:lang w:eastAsia="pt-BR"/>
              </w:rPr>
              <w:t>3.1</w:t>
            </w:r>
            <w:r w:rsidRPr="00E12C33">
              <w:rPr>
                <w:rFonts w:ascii="Arial" w:eastAsia="Times New Roman" w:hAnsi="Arial" w:cs="Arial"/>
                <w:sz w:val="18"/>
                <w:szCs w:val="18"/>
                <w:lang w:eastAsia="pt-BR"/>
              </w:rPr>
              <w:t xml:space="preserve"> deste Anexo.</w:t>
            </w:r>
          </w:p>
        </w:tc>
        <w:tc>
          <w:tcPr>
            <w:tcW w:w="992" w:type="dxa"/>
            <w:shd w:val="clear" w:color="auto" w:fill="auto"/>
            <w:vAlign w:val="center"/>
          </w:tcPr>
          <w:p w14:paraId="4928046B" w14:textId="77777777" w:rsidR="00CD52BA" w:rsidRPr="00E12C33" w:rsidRDefault="00CD52BA" w:rsidP="00CD52BA">
            <w:pPr>
              <w:spacing w:after="0" w:line="240" w:lineRule="auto"/>
              <w:jc w:val="center"/>
              <w:rPr>
                <w:rFonts w:ascii="Arial" w:eastAsia="Times New Roman" w:hAnsi="Arial" w:cs="Arial"/>
                <w:sz w:val="14"/>
                <w:szCs w:val="14"/>
                <w:lang w:eastAsia="pt-BR"/>
              </w:rPr>
            </w:pPr>
            <w:r w:rsidRPr="00E12C33">
              <w:rPr>
                <w:rFonts w:ascii="Arial" w:eastAsia="Times New Roman" w:hAnsi="Arial" w:cs="Arial"/>
                <w:sz w:val="14"/>
                <w:szCs w:val="14"/>
                <w:lang w:eastAsia="pt-BR"/>
              </w:rPr>
              <w:t>XML</w:t>
            </w:r>
          </w:p>
        </w:tc>
        <w:tc>
          <w:tcPr>
            <w:tcW w:w="1418" w:type="dxa"/>
            <w:vAlign w:val="center"/>
          </w:tcPr>
          <w:p w14:paraId="1F3E5271" w14:textId="77777777" w:rsidR="00CD52BA" w:rsidRPr="003B4337" w:rsidRDefault="00CD52BA" w:rsidP="00CD52BA">
            <w:pPr>
              <w:spacing w:after="0" w:line="240" w:lineRule="auto"/>
              <w:jc w:val="center"/>
              <w:rPr>
                <w:rFonts w:ascii="Arial" w:eastAsia="Times New Roman" w:hAnsi="Arial" w:cs="Arial"/>
                <w:sz w:val="14"/>
                <w:szCs w:val="14"/>
                <w:lang w:eastAsia="pt-BR"/>
              </w:rPr>
            </w:pPr>
          </w:p>
        </w:tc>
        <w:tc>
          <w:tcPr>
            <w:tcW w:w="1134" w:type="dxa"/>
            <w:vAlign w:val="center"/>
          </w:tcPr>
          <w:p w14:paraId="34ED7D29" w14:textId="77777777" w:rsidR="00CD52BA" w:rsidRPr="003B4337" w:rsidRDefault="00CD52BA" w:rsidP="00CD52BA">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417" w:type="dxa"/>
            <w:vAlign w:val="center"/>
          </w:tcPr>
          <w:p w14:paraId="15E76C02" w14:textId="77777777" w:rsidR="00CD52BA" w:rsidRPr="003B4337" w:rsidRDefault="00CD52BA" w:rsidP="00CD52BA">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417" w:type="dxa"/>
            <w:vAlign w:val="center"/>
          </w:tcPr>
          <w:p w14:paraId="4921ED64" w14:textId="184B8B12" w:rsidR="00CD52BA" w:rsidRPr="006F1F8D" w:rsidRDefault="00CD52BA" w:rsidP="00CD52BA">
            <w:pPr>
              <w:spacing w:after="0" w:line="240" w:lineRule="auto"/>
              <w:jc w:val="center"/>
              <w:rPr>
                <w:rFonts w:ascii="Arial" w:eastAsia="Times New Roman" w:hAnsi="Arial" w:cs="Arial"/>
                <w:sz w:val="14"/>
                <w:szCs w:val="14"/>
                <w:lang w:eastAsia="pt-BR"/>
              </w:rPr>
            </w:pPr>
            <w:r w:rsidRPr="006F1F8D">
              <w:rPr>
                <w:rFonts w:ascii="Arial" w:eastAsia="Times New Roman" w:hAnsi="Arial" w:cs="Arial"/>
                <w:sz w:val="14"/>
                <w:szCs w:val="14"/>
                <w:lang w:eastAsia="pt-BR"/>
              </w:rPr>
              <w:t>X</w:t>
            </w:r>
          </w:p>
        </w:tc>
      </w:tr>
      <w:tr w:rsidR="00CD52BA" w:rsidRPr="00A5490A" w14:paraId="34742CA7" w14:textId="4E29382B" w:rsidTr="006F1F8D">
        <w:tc>
          <w:tcPr>
            <w:tcW w:w="1294" w:type="dxa"/>
            <w:vAlign w:val="center"/>
          </w:tcPr>
          <w:p w14:paraId="7F0C5F3F" w14:textId="77777777" w:rsidR="00CD52BA" w:rsidRPr="003B4337" w:rsidRDefault="00CD52BA" w:rsidP="00CD52BA">
            <w:pPr>
              <w:spacing w:before="120" w:after="12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BALATU</w:t>
            </w:r>
          </w:p>
        </w:tc>
        <w:tc>
          <w:tcPr>
            <w:tcW w:w="6894" w:type="dxa"/>
            <w:shd w:val="clear" w:color="auto" w:fill="auto"/>
            <w:vAlign w:val="center"/>
          </w:tcPr>
          <w:p w14:paraId="18AEFDD5" w14:textId="77777777" w:rsidR="00CD52BA" w:rsidRPr="003B4337" w:rsidRDefault="00CD52BA" w:rsidP="00CD52BA">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b/>
                <w:sz w:val="18"/>
                <w:szCs w:val="18"/>
                <w:lang w:eastAsia="pt-BR"/>
              </w:rPr>
              <w:t>Balanço Atuarial</w:t>
            </w:r>
            <w:r w:rsidRPr="003B4337">
              <w:rPr>
                <w:rFonts w:ascii="Arial" w:eastAsia="Times New Roman" w:hAnsi="Arial" w:cs="Arial"/>
                <w:sz w:val="18"/>
                <w:szCs w:val="18"/>
                <w:lang w:eastAsia="pt-BR"/>
              </w:rPr>
              <w:t xml:space="preserve"> que compõe a avaliação atuarial do RPPS (único ou dos Planos Previdenciário e Financeiro, no caso de segregação de massa), que subsidiou os registros contábeis das provisões matemáticas previdenciárias (PMP) com data de cálculo: 31/12 e data-base com dados posicionados entre julho a dezembro, ambos do exercício de competência da PCA.</w:t>
            </w:r>
          </w:p>
        </w:tc>
        <w:tc>
          <w:tcPr>
            <w:tcW w:w="992" w:type="dxa"/>
            <w:shd w:val="clear" w:color="auto" w:fill="auto"/>
            <w:vAlign w:val="center"/>
          </w:tcPr>
          <w:p w14:paraId="0C4C974B" w14:textId="77777777" w:rsidR="00CD52BA" w:rsidRPr="003B4337" w:rsidRDefault="00CD52BA" w:rsidP="00CD52BA">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p w14:paraId="7154D396" w14:textId="77777777" w:rsidR="00CD52BA" w:rsidRPr="003B4337" w:rsidRDefault="00CD52BA" w:rsidP="00CD52BA">
            <w:pPr>
              <w:spacing w:after="0" w:line="240" w:lineRule="auto"/>
              <w:jc w:val="center"/>
              <w:rPr>
                <w:rFonts w:ascii="Arial" w:eastAsia="Times New Roman" w:hAnsi="Arial" w:cs="Arial"/>
                <w:sz w:val="14"/>
                <w:szCs w:val="14"/>
                <w:highlight w:val="yellow"/>
                <w:lang w:eastAsia="pt-BR"/>
              </w:rPr>
            </w:pPr>
            <w:r w:rsidRPr="003B4337">
              <w:rPr>
                <w:rFonts w:ascii="Arial" w:eastAsia="Times New Roman" w:hAnsi="Arial" w:cs="Arial"/>
                <w:sz w:val="14"/>
                <w:szCs w:val="14"/>
                <w:lang w:eastAsia="pt-BR"/>
              </w:rPr>
              <w:t>e</w:t>
            </w:r>
            <w:r w:rsidRPr="003B4337">
              <w:rPr>
                <w:rFonts w:ascii="Arial" w:eastAsia="Times New Roman" w:hAnsi="Arial" w:cs="Arial"/>
                <w:sz w:val="14"/>
                <w:szCs w:val="14"/>
                <w:highlight w:val="yellow"/>
                <w:lang w:eastAsia="pt-BR"/>
              </w:rPr>
              <w:t xml:space="preserve"> </w:t>
            </w:r>
          </w:p>
          <w:p w14:paraId="5E461C4C" w14:textId="77777777" w:rsidR="00CD52BA" w:rsidRPr="003B4337" w:rsidRDefault="00CD52BA" w:rsidP="00CD52BA">
            <w:pPr>
              <w:spacing w:after="0" w:line="240" w:lineRule="auto"/>
              <w:jc w:val="center"/>
              <w:rPr>
                <w:rFonts w:ascii="Arial" w:eastAsia="Times New Roman" w:hAnsi="Arial" w:cs="Arial"/>
                <w:sz w:val="14"/>
                <w:szCs w:val="14"/>
                <w:lang w:eastAsia="pt-BR"/>
              </w:rPr>
            </w:pPr>
            <w:r w:rsidRPr="003B4337">
              <w:rPr>
                <w:rFonts w:ascii="Arial" w:eastAsia="Times New Roman" w:hAnsi="Arial" w:cs="Arial"/>
                <w:sz w:val="14"/>
                <w:szCs w:val="14"/>
                <w:lang w:eastAsia="pt-BR"/>
              </w:rPr>
              <w:t>XLS/XLSX/ODS</w:t>
            </w:r>
          </w:p>
        </w:tc>
        <w:tc>
          <w:tcPr>
            <w:tcW w:w="1418" w:type="dxa"/>
            <w:vAlign w:val="center"/>
          </w:tcPr>
          <w:p w14:paraId="42B884B9" w14:textId="77777777" w:rsidR="00CD52BA" w:rsidRPr="003B4337" w:rsidRDefault="00CD52BA" w:rsidP="00CD52BA">
            <w:pPr>
              <w:spacing w:after="0" w:line="240" w:lineRule="auto"/>
              <w:jc w:val="center"/>
              <w:rPr>
                <w:rFonts w:ascii="Arial" w:eastAsia="Times New Roman" w:hAnsi="Arial" w:cs="Arial"/>
                <w:sz w:val="14"/>
                <w:szCs w:val="14"/>
                <w:lang w:eastAsia="pt-BR"/>
              </w:rPr>
            </w:pPr>
          </w:p>
        </w:tc>
        <w:tc>
          <w:tcPr>
            <w:tcW w:w="1134" w:type="dxa"/>
            <w:vAlign w:val="center"/>
          </w:tcPr>
          <w:p w14:paraId="3BC88360" w14:textId="77777777" w:rsidR="00CD52BA" w:rsidRPr="003B4337" w:rsidRDefault="00CD52BA" w:rsidP="00CD52BA">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417" w:type="dxa"/>
            <w:vAlign w:val="center"/>
          </w:tcPr>
          <w:p w14:paraId="1664CF5F" w14:textId="77777777" w:rsidR="00CD52BA" w:rsidRPr="003B4337" w:rsidRDefault="00CD52BA" w:rsidP="00CD52BA">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417" w:type="dxa"/>
            <w:vAlign w:val="center"/>
          </w:tcPr>
          <w:p w14:paraId="5EDB29F3" w14:textId="2522EFA8" w:rsidR="00CD52BA" w:rsidRPr="006F1F8D" w:rsidRDefault="00CD52BA" w:rsidP="00CD52BA">
            <w:pPr>
              <w:spacing w:after="0" w:line="240" w:lineRule="auto"/>
              <w:jc w:val="center"/>
              <w:rPr>
                <w:rFonts w:ascii="Arial" w:eastAsia="Times New Roman" w:hAnsi="Arial" w:cs="Arial"/>
                <w:sz w:val="14"/>
                <w:szCs w:val="14"/>
                <w:lang w:eastAsia="pt-BR"/>
              </w:rPr>
            </w:pPr>
            <w:r w:rsidRPr="006F1F8D">
              <w:rPr>
                <w:rFonts w:ascii="Arial" w:eastAsia="Times New Roman" w:hAnsi="Arial" w:cs="Arial"/>
                <w:sz w:val="14"/>
                <w:szCs w:val="14"/>
                <w:lang w:eastAsia="pt-BR"/>
              </w:rPr>
              <w:t>X</w:t>
            </w:r>
          </w:p>
        </w:tc>
      </w:tr>
      <w:tr w:rsidR="00CD52BA" w:rsidRPr="00527448" w14:paraId="64FD8B68" w14:textId="6214A1C1" w:rsidTr="006F1F8D">
        <w:tc>
          <w:tcPr>
            <w:tcW w:w="1294" w:type="dxa"/>
            <w:vAlign w:val="center"/>
          </w:tcPr>
          <w:p w14:paraId="67E1E4E6" w14:textId="77777777" w:rsidR="00CD52BA" w:rsidRPr="00527448" w:rsidRDefault="00CD52BA" w:rsidP="00CD52BA">
            <w:pPr>
              <w:spacing w:after="0" w:line="240" w:lineRule="auto"/>
              <w:jc w:val="center"/>
              <w:rPr>
                <w:rFonts w:ascii="Arial" w:eastAsia="Times New Roman" w:hAnsi="Arial" w:cs="Arial"/>
                <w:sz w:val="18"/>
                <w:szCs w:val="18"/>
                <w:lang w:eastAsia="pt-BR"/>
              </w:rPr>
            </w:pPr>
            <w:r w:rsidRPr="00527448">
              <w:rPr>
                <w:rFonts w:ascii="Arial" w:eastAsia="Times New Roman" w:hAnsi="Arial" w:cs="Arial"/>
                <w:sz w:val="18"/>
                <w:szCs w:val="18"/>
                <w:lang w:eastAsia="pt-BR"/>
              </w:rPr>
              <w:t>SUSTEN</w:t>
            </w:r>
          </w:p>
        </w:tc>
        <w:tc>
          <w:tcPr>
            <w:tcW w:w="6894" w:type="dxa"/>
            <w:shd w:val="clear" w:color="auto" w:fill="auto"/>
            <w:vAlign w:val="center"/>
          </w:tcPr>
          <w:p w14:paraId="60172A6A" w14:textId="1AF580DB" w:rsidR="00CD52BA" w:rsidRPr="00527448" w:rsidRDefault="00CD52BA" w:rsidP="00CD52BA">
            <w:pPr>
              <w:spacing w:before="120" w:after="120" w:line="240" w:lineRule="auto"/>
              <w:jc w:val="both"/>
              <w:rPr>
                <w:rFonts w:ascii="Arial" w:eastAsia="Times New Roman" w:hAnsi="Arial" w:cs="Arial"/>
                <w:sz w:val="18"/>
                <w:szCs w:val="18"/>
                <w:lang w:eastAsia="pt-BR"/>
              </w:rPr>
            </w:pPr>
            <w:r w:rsidRPr="00527448">
              <w:rPr>
                <w:rFonts w:ascii="Arial" w:eastAsia="Times New Roman" w:hAnsi="Arial" w:cs="Arial"/>
                <w:sz w:val="18"/>
                <w:szCs w:val="18"/>
                <w:lang w:eastAsia="pt-BR"/>
              </w:rPr>
              <w:t>Demonstrativo de Viabilidade do Plano de Custeio</w:t>
            </w:r>
            <w:r w:rsidRPr="00527448">
              <w:t xml:space="preserve"> </w:t>
            </w:r>
            <w:r w:rsidRPr="00527448">
              <w:rPr>
                <w:rFonts w:ascii="Arial" w:eastAsia="Times New Roman" w:hAnsi="Arial" w:cs="Arial"/>
                <w:sz w:val="18"/>
                <w:szCs w:val="18"/>
                <w:lang w:eastAsia="pt-BR"/>
              </w:rPr>
              <w:t xml:space="preserve">do RPPS (único ou dos Planos Previdenciário e Financeiro, no caso de segregação de massa) evidenciando que o plano de custeio adotado pelo ente, abrangendo plano de amortização, vigente no exercício da prestação de contas, possui viabilidade orçamentária e financeira, e que respeita os limites de gastos com pessoal impostos pela Lei de Responsabilidade Fiscal, durante todo seu período de vigência. Na elaboração deste demonstrativo previsto no inciso VII do art. 68 da Portaria MF nº 464/2018 deverão ser observados </w:t>
            </w:r>
            <w:r w:rsidRPr="00527448">
              <w:rPr>
                <w:rFonts w:ascii="Arial" w:eastAsia="Times New Roman" w:hAnsi="Arial" w:cs="Arial"/>
                <w:sz w:val="18"/>
                <w:szCs w:val="18"/>
                <w:lang w:eastAsia="pt-BR"/>
              </w:rPr>
              <w:lastRenderedPageBreak/>
              <w:t>os prazos previstos no § 1º do art. 6º da Instrução Normativa SPREV nº 10, de 21 de dezembro de 2018.</w:t>
            </w:r>
          </w:p>
        </w:tc>
        <w:tc>
          <w:tcPr>
            <w:tcW w:w="992" w:type="dxa"/>
            <w:shd w:val="clear" w:color="auto" w:fill="auto"/>
            <w:vAlign w:val="center"/>
          </w:tcPr>
          <w:p w14:paraId="73C2FCB2" w14:textId="77777777" w:rsidR="00CD52BA" w:rsidRPr="00527448" w:rsidRDefault="00CD52BA" w:rsidP="00CD52BA">
            <w:pPr>
              <w:spacing w:after="0" w:line="240" w:lineRule="auto"/>
              <w:jc w:val="center"/>
              <w:rPr>
                <w:rFonts w:ascii="Arial" w:eastAsia="Times New Roman" w:hAnsi="Arial" w:cs="Arial"/>
                <w:sz w:val="14"/>
                <w:szCs w:val="14"/>
                <w:lang w:eastAsia="pt-BR"/>
              </w:rPr>
            </w:pPr>
            <w:r w:rsidRPr="00527448">
              <w:rPr>
                <w:rFonts w:ascii="Arial" w:eastAsia="Times New Roman" w:hAnsi="Arial" w:cs="Arial"/>
                <w:sz w:val="14"/>
                <w:szCs w:val="14"/>
                <w:lang w:eastAsia="pt-BR"/>
              </w:rPr>
              <w:lastRenderedPageBreak/>
              <w:t>PDF</w:t>
            </w:r>
          </w:p>
          <w:p w14:paraId="1A6530DA" w14:textId="77777777" w:rsidR="00CD52BA" w:rsidRPr="00527448" w:rsidRDefault="00CD52BA" w:rsidP="00CD52BA">
            <w:pPr>
              <w:spacing w:after="0" w:line="240" w:lineRule="auto"/>
              <w:jc w:val="center"/>
              <w:rPr>
                <w:rFonts w:ascii="Arial" w:eastAsia="Times New Roman" w:hAnsi="Arial" w:cs="Arial"/>
                <w:sz w:val="14"/>
                <w:szCs w:val="14"/>
                <w:highlight w:val="yellow"/>
                <w:lang w:eastAsia="pt-BR"/>
              </w:rPr>
            </w:pPr>
            <w:r w:rsidRPr="00527448">
              <w:rPr>
                <w:rFonts w:ascii="Arial" w:eastAsia="Times New Roman" w:hAnsi="Arial" w:cs="Arial"/>
                <w:sz w:val="14"/>
                <w:szCs w:val="14"/>
                <w:lang w:eastAsia="pt-BR"/>
              </w:rPr>
              <w:t>e</w:t>
            </w:r>
            <w:r w:rsidRPr="00527448">
              <w:rPr>
                <w:rFonts w:ascii="Arial" w:eastAsia="Times New Roman" w:hAnsi="Arial" w:cs="Arial"/>
                <w:sz w:val="14"/>
                <w:szCs w:val="14"/>
                <w:highlight w:val="yellow"/>
                <w:lang w:eastAsia="pt-BR"/>
              </w:rPr>
              <w:t xml:space="preserve"> </w:t>
            </w:r>
          </w:p>
          <w:p w14:paraId="370FDC29" w14:textId="77777777" w:rsidR="00CD52BA" w:rsidRPr="00527448" w:rsidRDefault="00CD52BA" w:rsidP="00CD52BA">
            <w:pPr>
              <w:spacing w:after="0" w:line="240" w:lineRule="auto"/>
              <w:jc w:val="center"/>
              <w:rPr>
                <w:rFonts w:ascii="Arial" w:eastAsia="Times New Roman" w:hAnsi="Arial" w:cs="Arial"/>
                <w:sz w:val="14"/>
                <w:szCs w:val="14"/>
                <w:lang w:eastAsia="pt-BR"/>
              </w:rPr>
            </w:pPr>
            <w:r w:rsidRPr="00527448">
              <w:rPr>
                <w:rFonts w:ascii="Arial" w:eastAsia="Times New Roman" w:hAnsi="Arial" w:cs="Arial"/>
                <w:sz w:val="14"/>
                <w:szCs w:val="14"/>
                <w:lang w:eastAsia="pt-BR"/>
              </w:rPr>
              <w:t>XLS/XLSX/ODS</w:t>
            </w:r>
          </w:p>
        </w:tc>
        <w:tc>
          <w:tcPr>
            <w:tcW w:w="1418" w:type="dxa"/>
            <w:vAlign w:val="center"/>
          </w:tcPr>
          <w:p w14:paraId="767DD6E0" w14:textId="77777777" w:rsidR="00CD52BA" w:rsidRPr="00527448" w:rsidRDefault="00CD52BA" w:rsidP="00CD52BA">
            <w:pPr>
              <w:spacing w:after="0" w:line="240" w:lineRule="auto"/>
              <w:jc w:val="center"/>
              <w:rPr>
                <w:rFonts w:ascii="Arial" w:eastAsia="Times New Roman" w:hAnsi="Arial" w:cs="Arial"/>
                <w:sz w:val="14"/>
                <w:szCs w:val="14"/>
                <w:lang w:eastAsia="pt-BR"/>
              </w:rPr>
            </w:pPr>
          </w:p>
        </w:tc>
        <w:tc>
          <w:tcPr>
            <w:tcW w:w="1134" w:type="dxa"/>
            <w:vAlign w:val="center"/>
          </w:tcPr>
          <w:p w14:paraId="54A9423D" w14:textId="77777777" w:rsidR="00CD52BA" w:rsidRPr="00527448" w:rsidRDefault="00CD52BA" w:rsidP="00CD52BA">
            <w:pPr>
              <w:spacing w:after="0" w:line="240" w:lineRule="auto"/>
              <w:jc w:val="center"/>
              <w:rPr>
                <w:rFonts w:ascii="Arial" w:eastAsia="Times New Roman" w:hAnsi="Arial" w:cs="Arial"/>
                <w:sz w:val="14"/>
                <w:szCs w:val="14"/>
                <w:lang w:eastAsia="pt-BR"/>
              </w:rPr>
            </w:pPr>
            <w:r w:rsidRPr="00527448">
              <w:rPr>
                <w:rFonts w:ascii="Arial" w:eastAsia="Times New Roman" w:hAnsi="Arial" w:cs="Arial"/>
                <w:sz w:val="14"/>
                <w:szCs w:val="14"/>
                <w:lang w:eastAsia="pt-BR"/>
              </w:rPr>
              <w:t>X</w:t>
            </w:r>
          </w:p>
        </w:tc>
        <w:tc>
          <w:tcPr>
            <w:tcW w:w="1417" w:type="dxa"/>
            <w:vAlign w:val="center"/>
          </w:tcPr>
          <w:p w14:paraId="7C5F0987" w14:textId="77777777" w:rsidR="00CD52BA" w:rsidRPr="00527448" w:rsidRDefault="00CD52BA" w:rsidP="00CD52BA">
            <w:pPr>
              <w:spacing w:after="0" w:line="240" w:lineRule="auto"/>
              <w:jc w:val="center"/>
              <w:rPr>
                <w:rFonts w:ascii="Arial" w:eastAsia="Times New Roman" w:hAnsi="Arial" w:cs="Arial"/>
                <w:sz w:val="14"/>
                <w:szCs w:val="14"/>
                <w:lang w:eastAsia="pt-BR"/>
              </w:rPr>
            </w:pPr>
          </w:p>
        </w:tc>
        <w:tc>
          <w:tcPr>
            <w:tcW w:w="1417" w:type="dxa"/>
            <w:vAlign w:val="center"/>
          </w:tcPr>
          <w:p w14:paraId="2C38E09F" w14:textId="4850C9C3" w:rsidR="00CD52BA" w:rsidRPr="00527448" w:rsidRDefault="00CD52BA" w:rsidP="00CD52BA">
            <w:pPr>
              <w:spacing w:after="0" w:line="240" w:lineRule="auto"/>
              <w:jc w:val="center"/>
              <w:rPr>
                <w:rFonts w:ascii="Arial" w:eastAsia="Times New Roman" w:hAnsi="Arial" w:cs="Arial"/>
                <w:sz w:val="14"/>
                <w:szCs w:val="14"/>
                <w:lang w:eastAsia="pt-BR"/>
              </w:rPr>
            </w:pPr>
            <w:r w:rsidRPr="00527448">
              <w:rPr>
                <w:rFonts w:ascii="Arial" w:eastAsia="Times New Roman" w:hAnsi="Arial" w:cs="Arial"/>
                <w:sz w:val="14"/>
                <w:szCs w:val="14"/>
                <w:lang w:eastAsia="pt-BR"/>
              </w:rPr>
              <w:t>X</w:t>
            </w:r>
          </w:p>
        </w:tc>
      </w:tr>
      <w:tr w:rsidR="00CD52BA" w:rsidRPr="00E40C97" w14:paraId="2DC02B82" w14:textId="0B65DCE4" w:rsidTr="006F1F8D">
        <w:tc>
          <w:tcPr>
            <w:tcW w:w="1294" w:type="dxa"/>
            <w:vAlign w:val="center"/>
          </w:tcPr>
          <w:p w14:paraId="6DDA0F49" w14:textId="77777777" w:rsidR="00CD52BA" w:rsidRPr="003B4337" w:rsidRDefault="00CD52BA" w:rsidP="00CD52BA">
            <w:pPr>
              <w:spacing w:after="0" w:line="240" w:lineRule="auto"/>
              <w:jc w:val="center"/>
              <w:rPr>
                <w:rFonts w:ascii="Arial" w:eastAsia="Times New Roman" w:hAnsi="Arial" w:cs="Arial"/>
                <w:sz w:val="18"/>
                <w:szCs w:val="18"/>
                <w:lang w:eastAsia="pt-BR"/>
              </w:rPr>
            </w:pPr>
            <w:r>
              <w:rPr>
                <w:rFonts w:ascii="Arial" w:eastAsia="Times New Roman" w:hAnsi="Arial" w:cs="Arial"/>
                <w:sz w:val="18"/>
                <w:szCs w:val="18"/>
                <w:lang w:eastAsia="pt-BR"/>
              </w:rPr>
              <w:lastRenderedPageBreak/>
              <w:t>DECAMO</w:t>
            </w:r>
          </w:p>
        </w:tc>
        <w:tc>
          <w:tcPr>
            <w:tcW w:w="6894" w:type="dxa"/>
            <w:shd w:val="clear" w:color="auto" w:fill="auto"/>
            <w:vAlign w:val="center"/>
          </w:tcPr>
          <w:p w14:paraId="6189630C" w14:textId="2AC6B597" w:rsidR="00CD52BA" w:rsidRPr="003B4337" w:rsidRDefault="00CD52BA" w:rsidP="00CD52BA">
            <w:pPr>
              <w:spacing w:before="120" w:after="120" w:line="240" w:lineRule="auto"/>
              <w:jc w:val="both"/>
              <w:rPr>
                <w:rFonts w:ascii="Arial" w:hAnsi="Arial" w:cs="Arial"/>
              </w:rPr>
            </w:pPr>
            <w:r w:rsidRPr="003B4337">
              <w:rPr>
                <w:rFonts w:ascii="Arial" w:eastAsia="Times New Roman" w:hAnsi="Arial" w:cs="Arial"/>
                <w:sz w:val="18"/>
                <w:szCs w:val="18"/>
                <w:lang w:eastAsia="pt-BR"/>
              </w:rPr>
              <w:t xml:space="preserve">Declaração do Gestor do RPPS sobre a compatibilidade do plano de custeio e do plano de amortização do déficit atuarial adotados pelo Ente no exercício da prestação de contas anual em relação àqueles sugeridos no Relatório de Avaliação Atuarial do exercício anterior, na forma do </w:t>
            </w:r>
            <w:r w:rsidRPr="00527448">
              <w:rPr>
                <w:rFonts w:ascii="Arial" w:eastAsia="Times New Roman" w:hAnsi="Arial" w:cs="Arial"/>
                <w:sz w:val="18"/>
                <w:szCs w:val="18"/>
                <w:lang w:eastAsia="pt-BR"/>
              </w:rPr>
              <w:t>do item 3.2 deste Anexo.</w:t>
            </w:r>
          </w:p>
        </w:tc>
        <w:tc>
          <w:tcPr>
            <w:tcW w:w="992" w:type="dxa"/>
            <w:shd w:val="clear" w:color="auto" w:fill="auto"/>
            <w:vAlign w:val="center"/>
          </w:tcPr>
          <w:p w14:paraId="6EA9A331" w14:textId="77777777" w:rsidR="00CD52BA" w:rsidRPr="00EC1375" w:rsidRDefault="00CD52BA" w:rsidP="00CD52BA">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c>
          <w:tcPr>
            <w:tcW w:w="1418" w:type="dxa"/>
            <w:vAlign w:val="center"/>
          </w:tcPr>
          <w:p w14:paraId="7CE674DA" w14:textId="77777777" w:rsidR="00CD52BA" w:rsidRPr="00EC1375" w:rsidRDefault="00CD52BA" w:rsidP="00CD52BA">
            <w:pPr>
              <w:spacing w:after="0" w:line="240" w:lineRule="auto"/>
              <w:jc w:val="center"/>
              <w:rPr>
                <w:rFonts w:ascii="Arial" w:eastAsia="Times New Roman" w:hAnsi="Arial" w:cs="Arial"/>
                <w:sz w:val="14"/>
                <w:szCs w:val="14"/>
                <w:lang w:eastAsia="pt-BR"/>
              </w:rPr>
            </w:pPr>
          </w:p>
        </w:tc>
        <w:tc>
          <w:tcPr>
            <w:tcW w:w="1134" w:type="dxa"/>
            <w:vAlign w:val="center"/>
          </w:tcPr>
          <w:p w14:paraId="301DB852" w14:textId="77777777" w:rsidR="00CD52BA" w:rsidRPr="00EC1375" w:rsidRDefault="00CD52BA" w:rsidP="00CD52BA">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417" w:type="dxa"/>
            <w:vAlign w:val="center"/>
          </w:tcPr>
          <w:p w14:paraId="7F34F5A1" w14:textId="77777777" w:rsidR="00CD52BA" w:rsidRPr="00EC1375" w:rsidRDefault="00CD52BA" w:rsidP="00CD52BA">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417" w:type="dxa"/>
            <w:vAlign w:val="center"/>
          </w:tcPr>
          <w:p w14:paraId="3CCB3A09" w14:textId="5E590D7D" w:rsidR="00CD52BA" w:rsidRPr="006F1F8D" w:rsidRDefault="00CD52BA" w:rsidP="00CD52BA">
            <w:pPr>
              <w:spacing w:after="0" w:line="240" w:lineRule="auto"/>
              <w:jc w:val="center"/>
              <w:rPr>
                <w:rFonts w:ascii="Arial" w:eastAsia="Times New Roman" w:hAnsi="Arial" w:cs="Arial"/>
                <w:sz w:val="14"/>
                <w:szCs w:val="14"/>
                <w:lang w:eastAsia="pt-BR"/>
              </w:rPr>
            </w:pPr>
            <w:r w:rsidRPr="006F1F8D">
              <w:rPr>
                <w:rFonts w:ascii="Arial" w:eastAsia="Times New Roman" w:hAnsi="Arial" w:cs="Arial"/>
                <w:sz w:val="14"/>
                <w:szCs w:val="14"/>
                <w:lang w:eastAsia="pt-BR"/>
              </w:rPr>
              <w:t>X</w:t>
            </w:r>
          </w:p>
        </w:tc>
      </w:tr>
      <w:tr w:rsidR="00CD52BA" w:rsidRPr="005C139F" w14:paraId="75C78D28" w14:textId="39CF4BA4" w:rsidTr="006F1F8D">
        <w:tc>
          <w:tcPr>
            <w:tcW w:w="1294" w:type="dxa"/>
            <w:vAlign w:val="center"/>
          </w:tcPr>
          <w:p w14:paraId="4051E42E" w14:textId="77777777" w:rsidR="00CD52BA" w:rsidRPr="003B4337" w:rsidRDefault="00CD52BA" w:rsidP="00CD52BA">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RELCUST</w:t>
            </w:r>
          </w:p>
        </w:tc>
        <w:tc>
          <w:tcPr>
            <w:tcW w:w="6894" w:type="dxa"/>
            <w:shd w:val="clear" w:color="auto" w:fill="auto"/>
            <w:vAlign w:val="center"/>
          </w:tcPr>
          <w:p w14:paraId="20AB9D44" w14:textId="31445B3E" w:rsidR="00CD52BA" w:rsidRPr="003B4337" w:rsidRDefault="00CD52BA" w:rsidP="00CD52BA">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Relatório do Plano de Custeio e do Plano de Benefícios do RPPS, vigentes no exercício financeiro da prestação de contas, na forma do </w:t>
            </w:r>
            <w:r w:rsidRPr="00527448">
              <w:rPr>
                <w:rFonts w:ascii="Arial" w:eastAsia="Times New Roman" w:hAnsi="Arial" w:cs="Arial"/>
                <w:sz w:val="18"/>
                <w:szCs w:val="18"/>
                <w:lang w:eastAsia="pt-BR"/>
              </w:rPr>
              <w:t>do item 3.2 deste Anexo.</w:t>
            </w:r>
          </w:p>
        </w:tc>
        <w:tc>
          <w:tcPr>
            <w:tcW w:w="992" w:type="dxa"/>
            <w:shd w:val="clear" w:color="auto" w:fill="auto"/>
            <w:vAlign w:val="center"/>
          </w:tcPr>
          <w:p w14:paraId="72BD0A66" w14:textId="77777777" w:rsidR="00CD52BA" w:rsidRPr="00EC1375" w:rsidRDefault="00CD52BA" w:rsidP="00CD52BA">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c>
          <w:tcPr>
            <w:tcW w:w="1418" w:type="dxa"/>
            <w:vAlign w:val="center"/>
          </w:tcPr>
          <w:p w14:paraId="5944DCF2" w14:textId="77777777" w:rsidR="00CD52BA" w:rsidRPr="00EC1375" w:rsidRDefault="00CD52BA" w:rsidP="00CD52BA">
            <w:pPr>
              <w:spacing w:after="0" w:line="240" w:lineRule="auto"/>
              <w:jc w:val="center"/>
              <w:rPr>
                <w:rFonts w:ascii="Arial" w:eastAsia="Times New Roman" w:hAnsi="Arial" w:cs="Arial"/>
                <w:sz w:val="14"/>
                <w:szCs w:val="14"/>
                <w:lang w:eastAsia="pt-BR"/>
              </w:rPr>
            </w:pPr>
          </w:p>
        </w:tc>
        <w:tc>
          <w:tcPr>
            <w:tcW w:w="1134" w:type="dxa"/>
            <w:vAlign w:val="center"/>
          </w:tcPr>
          <w:p w14:paraId="41DD0D5A" w14:textId="77777777" w:rsidR="00CD52BA" w:rsidRPr="00EC1375" w:rsidRDefault="00CD52BA" w:rsidP="00CD52BA">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417" w:type="dxa"/>
            <w:vAlign w:val="center"/>
          </w:tcPr>
          <w:p w14:paraId="5855FC94" w14:textId="77777777" w:rsidR="00CD52BA" w:rsidRPr="00EC1375" w:rsidRDefault="00CD52BA" w:rsidP="00CD52BA">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417" w:type="dxa"/>
            <w:vAlign w:val="center"/>
          </w:tcPr>
          <w:p w14:paraId="14CF64A0" w14:textId="19675179" w:rsidR="00CD52BA" w:rsidRPr="006F1F8D" w:rsidRDefault="00CD52BA" w:rsidP="00CD52BA">
            <w:pPr>
              <w:spacing w:after="0" w:line="240" w:lineRule="auto"/>
              <w:jc w:val="center"/>
              <w:rPr>
                <w:rFonts w:ascii="Arial" w:eastAsia="Times New Roman" w:hAnsi="Arial" w:cs="Arial"/>
                <w:sz w:val="14"/>
                <w:szCs w:val="14"/>
                <w:lang w:eastAsia="pt-BR"/>
              </w:rPr>
            </w:pPr>
            <w:r w:rsidRPr="006F1F8D">
              <w:rPr>
                <w:rFonts w:ascii="Arial" w:eastAsia="Times New Roman" w:hAnsi="Arial" w:cs="Arial"/>
                <w:sz w:val="14"/>
                <w:szCs w:val="14"/>
                <w:lang w:eastAsia="pt-BR"/>
              </w:rPr>
              <w:t>X</w:t>
            </w:r>
          </w:p>
        </w:tc>
      </w:tr>
      <w:tr w:rsidR="00CD52BA" w:rsidRPr="004F3A25" w14:paraId="031806BD" w14:textId="6524A329" w:rsidTr="006F1F8D">
        <w:tc>
          <w:tcPr>
            <w:tcW w:w="1294" w:type="dxa"/>
            <w:vAlign w:val="center"/>
          </w:tcPr>
          <w:p w14:paraId="037F3E1B" w14:textId="77777777" w:rsidR="00CD52BA" w:rsidRPr="003B4337" w:rsidRDefault="00CD52BA" w:rsidP="00CD52BA">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RELPAD</w:t>
            </w:r>
          </w:p>
        </w:tc>
        <w:tc>
          <w:tcPr>
            <w:tcW w:w="6894" w:type="dxa"/>
            <w:shd w:val="clear" w:color="auto" w:fill="auto"/>
            <w:vAlign w:val="center"/>
          </w:tcPr>
          <w:p w14:paraId="437E4DFA" w14:textId="4FDF028C" w:rsidR="00CD52BA" w:rsidRPr="003B4337" w:rsidRDefault="00CD52BA" w:rsidP="00CD52BA">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Relatório do Plano de Amortização do Déficit Atuarial do RPPS, vigente no exercício financeiro da prestação de contas, na </w:t>
            </w:r>
            <w:r w:rsidRPr="00527448">
              <w:rPr>
                <w:rFonts w:ascii="Arial" w:eastAsia="Times New Roman" w:hAnsi="Arial" w:cs="Arial"/>
                <w:sz w:val="18"/>
                <w:szCs w:val="18"/>
                <w:lang w:eastAsia="pt-BR"/>
              </w:rPr>
              <w:t>forma do item 3.2 deste Anexo.</w:t>
            </w:r>
          </w:p>
        </w:tc>
        <w:tc>
          <w:tcPr>
            <w:tcW w:w="992" w:type="dxa"/>
            <w:shd w:val="clear" w:color="auto" w:fill="auto"/>
            <w:vAlign w:val="center"/>
          </w:tcPr>
          <w:p w14:paraId="5F824430" w14:textId="77777777" w:rsidR="00CD52BA" w:rsidRPr="00EC1375" w:rsidRDefault="00CD52BA" w:rsidP="00CD52BA">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c>
          <w:tcPr>
            <w:tcW w:w="1418" w:type="dxa"/>
            <w:vAlign w:val="center"/>
          </w:tcPr>
          <w:p w14:paraId="237ED382" w14:textId="77777777" w:rsidR="00CD52BA" w:rsidRPr="00EC1375" w:rsidRDefault="00CD52BA" w:rsidP="00CD52BA">
            <w:pPr>
              <w:spacing w:after="0" w:line="240" w:lineRule="auto"/>
              <w:jc w:val="center"/>
              <w:rPr>
                <w:rFonts w:ascii="Arial" w:eastAsia="Times New Roman" w:hAnsi="Arial" w:cs="Arial"/>
                <w:sz w:val="14"/>
                <w:szCs w:val="14"/>
                <w:lang w:eastAsia="pt-BR"/>
              </w:rPr>
            </w:pPr>
          </w:p>
        </w:tc>
        <w:tc>
          <w:tcPr>
            <w:tcW w:w="1134" w:type="dxa"/>
            <w:vAlign w:val="center"/>
          </w:tcPr>
          <w:p w14:paraId="5384F58C" w14:textId="77777777" w:rsidR="00CD52BA" w:rsidRPr="00EC1375" w:rsidRDefault="00CD52BA" w:rsidP="00CD52BA">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417" w:type="dxa"/>
            <w:vAlign w:val="center"/>
          </w:tcPr>
          <w:p w14:paraId="2ECCD51A" w14:textId="77777777" w:rsidR="00CD52BA" w:rsidRPr="00EC1375" w:rsidRDefault="00CD52BA" w:rsidP="00CD52BA">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417" w:type="dxa"/>
            <w:vAlign w:val="center"/>
          </w:tcPr>
          <w:p w14:paraId="79583C68" w14:textId="2BAD595D" w:rsidR="00CD52BA" w:rsidRPr="006F1F8D" w:rsidRDefault="00CD52BA" w:rsidP="00CD52BA">
            <w:pPr>
              <w:spacing w:after="0" w:line="240" w:lineRule="auto"/>
              <w:jc w:val="center"/>
              <w:rPr>
                <w:rFonts w:ascii="Arial" w:eastAsia="Times New Roman" w:hAnsi="Arial" w:cs="Arial"/>
                <w:sz w:val="14"/>
                <w:szCs w:val="14"/>
                <w:lang w:eastAsia="pt-BR"/>
              </w:rPr>
            </w:pPr>
            <w:r w:rsidRPr="006F1F8D">
              <w:rPr>
                <w:rFonts w:ascii="Arial" w:eastAsia="Times New Roman" w:hAnsi="Arial" w:cs="Arial"/>
                <w:sz w:val="14"/>
                <w:szCs w:val="14"/>
                <w:lang w:eastAsia="pt-BR"/>
              </w:rPr>
              <w:t>X</w:t>
            </w:r>
          </w:p>
        </w:tc>
      </w:tr>
      <w:tr w:rsidR="00CD52BA" w:rsidRPr="00A5490A" w14:paraId="596249E5" w14:textId="56261BBC" w:rsidTr="006F1F8D">
        <w:tc>
          <w:tcPr>
            <w:tcW w:w="1294" w:type="dxa"/>
            <w:shd w:val="clear" w:color="auto" w:fill="auto"/>
            <w:vAlign w:val="center"/>
          </w:tcPr>
          <w:p w14:paraId="4BC72E4B" w14:textId="77777777" w:rsidR="00CD52BA" w:rsidRPr="0025173C" w:rsidRDefault="00CD52BA" w:rsidP="00CD52BA">
            <w:pPr>
              <w:spacing w:after="0" w:line="240" w:lineRule="auto"/>
              <w:jc w:val="center"/>
              <w:rPr>
                <w:rFonts w:ascii="Arial" w:eastAsia="Times New Roman" w:hAnsi="Arial" w:cs="Arial"/>
                <w:sz w:val="18"/>
                <w:szCs w:val="18"/>
                <w:lang w:eastAsia="pt-BR"/>
              </w:rPr>
            </w:pPr>
            <w:r w:rsidRPr="0025173C">
              <w:rPr>
                <w:rFonts w:ascii="Arial" w:eastAsia="Times New Roman" w:hAnsi="Arial" w:cs="Arial"/>
                <w:sz w:val="18"/>
                <w:szCs w:val="18"/>
                <w:lang w:eastAsia="pt-BR"/>
              </w:rPr>
              <w:t>DEMDAD</w:t>
            </w:r>
          </w:p>
        </w:tc>
        <w:tc>
          <w:tcPr>
            <w:tcW w:w="6894" w:type="dxa"/>
            <w:shd w:val="clear" w:color="auto" w:fill="auto"/>
            <w:vAlign w:val="center"/>
          </w:tcPr>
          <w:p w14:paraId="3347BE7A" w14:textId="7BF09DB3" w:rsidR="00CD52BA" w:rsidRPr="0025173C" w:rsidRDefault="00CD52BA" w:rsidP="00302891">
            <w:pPr>
              <w:spacing w:before="120" w:after="120" w:line="240" w:lineRule="auto"/>
              <w:jc w:val="both"/>
              <w:rPr>
                <w:rFonts w:ascii="Arial" w:eastAsia="Times New Roman" w:hAnsi="Arial" w:cs="Arial"/>
                <w:sz w:val="18"/>
                <w:szCs w:val="18"/>
                <w:lang w:eastAsia="pt-BR"/>
              </w:rPr>
            </w:pPr>
            <w:r w:rsidRPr="0025173C">
              <w:rPr>
                <w:rFonts w:ascii="Arial" w:eastAsia="Times New Roman" w:hAnsi="Arial" w:cs="Arial"/>
                <w:sz w:val="18"/>
                <w:szCs w:val="18"/>
                <w:lang w:eastAsia="pt-BR"/>
              </w:rPr>
              <w:t xml:space="preserve">Demonstrativo evidenciando o cálculo do limite de gastos administrativos fixado conforme legislação local e os gastos com despesas administrativas efetivamente realizadas no exercício de competência da PCA, conforme layout constante do item </w:t>
            </w:r>
            <w:r w:rsidR="00302891">
              <w:rPr>
                <w:rFonts w:ascii="Arial" w:eastAsia="Times New Roman" w:hAnsi="Arial" w:cs="Arial"/>
                <w:sz w:val="18"/>
                <w:szCs w:val="18"/>
                <w:lang w:eastAsia="pt-BR"/>
              </w:rPr>
              <w:t>3.1</w:t>
            </w:r>
            <w:r w:rsidRPr="0025173C">
              <w:rPr>
                <w:rFonts w:ascii="Arial" w:eastAsia="Times New Roman" w:hAnsi="Arial" w:cs="Arial"/>
                <w:sz w:val="18"/>
                <w:szCs w:val="18"/>
                <w:lang w:eastAsia="pt-BR"/>
              </w:rPr>
              <w:t xml:space="preserve"> deste Anexo.</w:t>
            </w:r>
          </w:p>
        </w:tc>
        <w:tc>
          <w:tcPr>
            <w:tcW w:w="992" w:type="dxa"/>
            <w:shd w:val="clear" w:color="auto" w:fill="auto"/>
            <w:vAlign w:val="center"/>
          </w:tcPr>
          <w:p w14:paraId="626326E2" w14:textId="77777777" w:rsidR="00CD52BA" w:rsidRPr="0025173C" w:rsidRDefault="00CD52BA" w:rsidP="00CD52BA">
            <w:pPr>
              <w:spacing w:after="0" w:line="240" w:lineRule="auto"/>
              <w:jc w:val="center"/>
              <w:rPr>
                <w:rFonts w:ascii="Arial" w:eastAsia="Times New Roman" w:hAnsi="Arial" w:cs="Arial"/>
                <w:i/>
                <w:sz w:val="14"/>
                <w:szCs w:val="14"/>
                <w:lang w:eastAsia="pt-BR"/>
              </w:rPr>
            </w:pPr>
            <w:r w:rsidRPr="0025173C">
              <w:rPr>
                <w:rFonts w:ascii="Arial" w:eastAsia="Times New Roman" w:hAnsi="Arial" w:cs="Arial"/>
                <w:sz w:val="14"/>
                <w:szCs w:val="14"/>
                <w:lang w:eastAsia="pt-BR"/>
              </w:rPr>
              <w:t>XML</w:t>
            </w:r>
          </w:p>
        </w:tc>
        <w:tc>
          <w:tcPr>
            <w:tcW w:w="1418" w:type="dxa"/>
            <w:vAlign w:val="center"/>
          </w:tcPr>
          <w:p w14:paraId="10D7A0C5" w14:textId="77777777" w:rsidR="00CD52BA" w:rsidRPr="0025173C" w:rsidRDefault="00CD52BA" w:rsidP="00CD52BA">
            <w:pPr>
              <w:spacing w:after="0" w:line="240" w:lineRule="auto"/>
              <w:jc w:val="center"/>
              <w:rPr>
                <w:rFonts w:ascii="Arial" w:eastAsia="Times New Roman" w:hAnsi="Arial" w:cs="Arial"/>
                <w:sz w:val="14"/>
                <w:szCs w:val="14"/>
                <w:lang w:eastAsia="pt-BR"/>
              </w:rPr>
            </w:pPr>
            <w:r w:rsidRPr="0025173C">
              <w:rPr>
                <w:rFonts w:ascii="Arial" w:eastAsia="Times New Roman" w:hAnsi="Arial" w:cs="Arial"/>
                <w:sz w:val="14"/>
                <w:szCs w:val="14"/>
                <w:lang w:eastAsia="pt-BR"/>
              </w:rPr>
              <w:t>X</w:t>
            </w:r>
          </w:p>
        </w:tc>
        <w:tc>
          <w:tcPr>
            <w:tcW w:w="1134" w:type="dxa"/>
            <w:vAlign w:val="center"/>
          </w:tcPr>
          <w:p w14:paraId="3B3F51ED" w14:textId="77777777" w:rsidR="00CD52BA" w:rsidRPr="0025173C" w:rsidRDefault="00CD52BA" w:rsidP="00CD52BA">
            <w:pPr>
              <w:spacing w:after="0" w:line="240" w:lineRule="auto"/>
              <w:jc w:val="center"/>
              <w:rPr>
                <w:rFonts w:ascii="Arial" w:eastAsia="Times New Roman" w:hAnsi="Arial" w:cs="Arial"/>
                <w:sz w:val="14"/>
                <w:szCs w:val="14"/>
                <w:lang w:eastAsia="pt-BR"/>
              </w:rPr>
            </w:pPr>
          </w:p>
        </w:tc>
        <w:tc>
          <w:tcPr>
            <w:tcW w:w="1417" w:type="dxa"/>
            <w:vAlign w:val="center"/>
          </w:tcPr>
          <w:p w14:paraId="0736B8F5" w14:textId="77777777" w:rsidR="00CD52BA" w:rsidRPr="0025173C" w:rsidRDefault="00CD52BA" w:rsidP="00CD52BA">
            <w:pPr>
              <w:spacing w:after="0" w:line="240" w:lineRule="auto"/>
              <w:jc w:val="center"/>
              <w:rPr>
                <w:rFonts w:ascii="Arial" w:eastAsia="Times New Roman" w:hAnsi="Arial" w:cs="Arial"/>
                <w:sz w:val="14"/>
                <w:szCs w:val="14"/>
                <w:lang w:eastAsia="pt-BR"/>
              </w:rPr>
            </w:pPr>
          </w:p>
        </w:tc>
        <w:tc>
          <w:tcPr>
            <w:tcW w:w="1417" w:type="dxa"/>
            <w:vAlign w:val="center"/>
          </w:tcPr>
          <w:p w14:paraId="60545D28" w14:textId="344A066C" w:rsidR="00CD52BA" w:rsidRPr="006F1F8D" w:rsidRDefault="00CD52BA" w:rsidP="00CD52BA">
            <w:pPr>
              <w:spacing w:after="0" w:line="240" w:lineRule="auto"/>
              <w:jc w:val="center"/>
              <w:rPr>
                <w:rFonts w:ascii="Arial" w:eastAsia="Times New Roman" w:hAnsi="Arial" w:cs="Arial"/>
                <w:sz w:val="14"/>
                <w:szCs w:val="14"/>
                <w:lang w:eastAsia="pt-BR"/>
              </w:rPr>
            </w:pPr>
            <w:r w:rsidRPr="006F1F8D">
              <w:rPr>
                <w:rFonts w:ascii="Arial" w:eastAsia="Times New Roman" w:hAnsi="Arial" w:cs="Arial"/>
                <w:sz w:val="14"/>
                <w:szCs w:val="14"/>
                <w:lang w:eastAsia="pt-BR"/>
              </w:rPr>
              <w:t>X</w:t>
            </w:r>
          </w:p>
        </w:tc>
      </w:tr>
      <w:tr w:rsidR="00CD52BA" w:rsidRPr="00A5490A" w14:paraId="791375E1" w14:textId="7C74FD56" w:rsidTr="006F1F8D">
        <w:tc>
          <w:tcPr>
            <w:tcW w:w="1294" w:type="dxa"/>
            <w:vAlign w:val="center"/>
          </w:tcPr>
          <w:p w14:paraId="2AB9CD8E" w14:textId="77777777" w:rsidR="00CD52BA" w:rsidRPr="00A5490A" w:rsidRDefault="00CD52BA" w:rsidP="00CD52BA">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RELPOL</w:t>
            </w:r>
          </w:p>
        </w:tc>
        <w:tc>
          <w:tcPr>
            <w:tcW w:w="6894" w:type="dxa"/>
            <w:shd w:val="clear" w:color="auto" w:fill="auto"/>
            <w:vAlign w:val="center"/>
          </w:tcPr>
          <w:p w14:paraId="350F81A0" w14:textId="77777777" w:rsidR="00CD52BA" w:rsidRPr="00A5490A" w:rsidRDefault="00CD52BA" w:rsidP="00CD52BA">
            <w:p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Relatório que definiu a política anual de investimentos, na forma do artigo 4º da Resolução CMN nº 3.922/2010.</w:t>
            </w:r>
          </w:p>
        </w:tc>
        <w:tc>
          <w:tcPr>
            <w:tcW w:w="992" w:type="dxa"/>
            <w:shd w:val="clear" w:color="auto" w:fill="auto"/>
            <w:vAlign w:val="center"/>
          </w:tcPr>
          <w:p w14:paraId="2EECA414" w14:textId="77777777" w:rsidR="00CD52BA" w:rsidRPr="00A5490A" w:rsidRDefault="00CD52BA" w:rsidP="00CD52BA">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c>
          <w:tcPr>
            <w:tcW w:w="1418" w:type="dxa"/>
            <w:vAlign w:val="center"/>
          </w:tcPr>
          <w:p w14:paraId="475F5BA5" w14:textId="77777777" w:rsidR="00CD52BA" w:rsidRPr="00A5490A" w:rsidRDefault="00CD52BA" w:rsidP="00CD52BA">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134" w:type="dxa"/>
            <w:vAlign w:val="center"/>
          </w:tcPr>
          <w:p w14:paraId="304BB49D" w14:textId="77777777" w:rsidR="00CD52BA" w:rsidRPr="00A5490A" w:rsidRDefault="00CD52BA" w:rsidP="00CD52BA">
            <w:pPr>
              <w:spacing w:after="0" w:line="240" w:lineRule="auto"/>
              <w:jc w:val="center"/>
              <w:rPr>
                <w:rFonts w:ascii="Arial" w:eastAsia="Times New Roman" w:hAnsi="Arial" w:cs="Arial"/>
                <w:sz w:val="14"/>
                <w:szCs w:val="14"/>
                <w:lang w:eastAsia="pt-BR"/>
              </w:rPr>
            </w:pPr>
          </w:p>
        </w:tc>
        <w:tc>
          <w:tcPr>
            <w:tcW w:w="1417" w:type="dxa"/>
            <w:vAlign w:val="center"/>
          </w:tcPr>
          <w:p w14:paraId="635CC58C" w14:textId="77777777" w:rsidR="00CD52BA" w:rsidRPr="00A5490A" w:rsidRDefault="00CD52BA" w:rsidP="00CD52BA">
            <w:pPr>
              <w:spacing w:after="0" w:line="240" w:lineRule="auto"/>
              <w:jc w:val="center"/>
              <w:rPr>
                <w:rFonts w:ascii="Arial" w:eastAsia="Times New Roman" w:hAnsi="Arial" w:cs="Arial"/>
                <w:sz w:val="14"/>
                <w:szCs w:val="14"/>
                <w:lang w:eastAsia="pt-BR"/>
              </w:rPr>
            </w:pPr>
          </w:p>
        </w:tc>
        <w:tc>
          <w:tcPr>
            <w:tcW w:w="1417" w:type="dxa"/>
            <w:vAlign w:val="center"/>
          </w:tcPr>
          <w:p w14:paraId="0C061E62" w14:textId="16E53B92" w:rsidR="00CD52BA" w:rsidRPr="006F1F8D" w:rsidRDefault="00CD52BA" w:rsidP="00CD52BA">
            <w:pPr>
              <w:spacing w:after="0" w:line="240" w:lineRule="auto"/>
              <w:jc w:val="center"/>
              <w:rPr>
                <w:rFonts w:ascii="Arial" w:eastAsia="Times New Roman" w:hAnsi="Arial" w:cs="Arial"/>
                <w:sz w:val="14"/>
                <w:szCs w:val="14"/>
                <w:lang w:eastAsia="pt-BR"/>
              </w:rPr>
            </w:pPr>
            <w:r w:rsidRPr="006F1F8D">
              <w:rPr>
                <w:rFonts w:ascii="Arial" w:eastAsia="Times New Roman" w:hAnsi="Arial" w:cs="Arial"/>
                <w:sz w:val="14"/>
                <w:szCs w:val="14"/>
                <w:lang w:eastAsia="pt-BR"/>
              </w:rPr>
              <w:t>X</w:t>
            </w:r>
          </w:p>
        </w:tc>
      </w:tr>
      <w:tr w:rsidR="00CD52BA" w:rsidRPr="00A5490A" w14:paraId="361106AA" w14:textId="26CC4CB7" w:rsidTr="006F1F8D">
        <w:tc>
          <w:tcPr>
            <w:tcW w:w="1294" w:type="dxa"/>
            <w:vAlign w:val="center"/>
          </w:tcPr>
          <w:p w14:paraId="7A9E39C3" w14:textId="77777777" w:rsidR="00CD52BA" w:rsidRPr="00A5490A" w:rsidRDefault="00CD52BA" w:rsidP="00CD52BA">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DEMPOL</w:t>
            </w:r>
          </w:p>
        </w:tc>
        <w:tc>
          <w:tcPr>
            <w:tcW w:w="6894" w:type="dxa"/>
            <w:shd w:val="clear" w:color="auto" w:fill="auto"/>
            <w:vAlign w:val="center"/>
          </w:tcPr>
          <w:p w14:paraId="231AE5F4" w14:textId="77777777" w:rsidR="00CD52BA" w:rsidRPr="00A5490A" w:rsidRDefault="00CD52BA" w:rsidP="00CD52BA">
            <w:p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Cópia do demonstrativo da política anual de investimentos encaminhada ao Ministério da Previdência, na forma da Resolução CMN nº 3.922/2010.</w:t>
            </w:r>
          </w:p>
        </w:tc>
        <w:tc>
          <w:tcPr>
            <w:tcW w:w="992" w:type="dxa"/>
            <w:shd w:val="clear" w:color="auto" w:fill="auto"/>
            <w:vAlign w:val="center"/>
          </w:tcPr>
          <w:p w14:paraId="59F47BB5" w14:textId="77777777" w:rsidR="00CD52BA" w:rsidRPr="00A5490A" w:rsidRDefault="00CD52BA" w:rsidP="00CD52BA">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c>
          <w:tcPr>
            <w:tcW w:w="1418" w:type="dxa"/>
            <w:vAlign w:val="center"/>
          </w:tcPr>
          <w:p w14:paraId="133AC631" w14:textId="77777777" w:rsidR="00CD52BA" w:rsidRPr="00A5490A" w:rsidRDefault="00CD52BA" w:rsidP="00CD52BA">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134" w:type="dxa"/>
            <w:vAlign w:val="center"/>
          </w:tcPr>
          <w:p w14:paraId="50D20DCE" w14:textId="77777777" w:rsidR="00CD52BA" w:rsidRPr="00A5490A" w:rsidRDefault="00CD52BA" w:rsidP="00CD52BA">
            <w:pPr>
              <w:spacing w:after="0" w:line="240" w:lineRule="auto"/>
              <w:jc w:val="center"/>
              <w:rPr>
                <w:rFonts w:ascii="Arial" w:eastAsia="Times New Roman" w:hAnsi="Arial" w:cs="Arial"/>
                <w:sz w:val="14"/>
                <w:szCs w:val="14"/>
                <w:lang w:eastAsia="pt-BR"/>
              </w:rPr>
            </w:pPr>
          </w:p>
        </w:tc>
        <w:tc>
          <w:tcPr>
            <w:tcW w:w="1417" w:type="dxa"/>
            <w:vAlign w:val="center"/>
          </w:tcPr>
          <w:p w14:paraId="25688708" w14:textId="77777777" w:rsidR="00CD52BA" w:rsidRPr="00A5490A" w:rsidRDefault="00CD52BA" w:rsidP="00CD52BA">
            <w:pPr>
              <w:spacing w:after="0" w:line="240" w:lineRule="auto"/>
              <w:jc w:val="center"/>
              <w:rPr>
                <w:rFonts w:ascii="Arial" w:eastAsia="Times New Roman" w:hAnsi="Arial" w:cs="Arial"/>
                <w:sz w:val="14"/>
                <w:szCs w:val="14"/>
                <w:lang w:eastAsia="pt-BR"/>
              </w:rPr>
            </w:pPr>
          </w:p>
        </w:tc>
        <w:tc>
          <w:tcPr>
            <w:tcW w:w="1417" w:type="dxa"/>
            <w:vAlign w:val="center"/>
          </w:tcPr>
          <w:p w14:paraId="5DB09E87" w14:textId="732B1DD0" w:rsidR="00CD52BA" w:rsidRPr="006F1F8D" w:rsidRDefault="00CD52BA" w:rsidP="00CD52BA">
            <w:pPr>
              <w:spacing w:after="0" w:line="240" w:lineRule="auto"/>
              <w:jc w:val="center"/>
              <w:rPr>
                <w:rFonts w:ascii="Arial" w:eastAsia="Times New Roman" w:hAnsi="Arial" w:cs="Arial"/>
                <w:sz w:val="14"/>
                <w:szCs w:val="14"/>
                <w:lang w:eastAsia="pt-BR"/>
              </w:rPr>
            </w:pPr>
            <w:r w:rsidRPr="006F1F8D">
              <w:rPr>
                <w:rFonts w:ascii="Arial" w:eastAsia="Times New Roman" w:hAnsi="Arial" w:cs="Arial"/>
                <w:sz w:val="14"/>
                <w:szCs w:val="14"/>
                <w:lang w:eastAsia="pt-BR"/>
              </w:rPr>
              <w:t>X</w:t>
            </w:r>
          </w:p>
        </w:tc>
      </w:tr>
      <w:tr w:rsidR="00CD52BA" w:rsidRPr="00CA65D6" w14:paraId="2C3ACE59" w14:textId="6E357CE7" w:rsidTr="006F1F8D">
        <w:tc>
          <w:tcPr>
            <w:tcW w:w="1294" w:type="dxa"/>
            <w:vAlign w:val="center"/>
          </w:tcPr>
          <w:p w14:paraId="4639698B" w14:textId="77777777" w:rsidR="00CD52BA" w:rsidRPr="003B4337" w:rsidRDefault="00CD52BA" w:rsidP="00CD52BA">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RELRENT</w:t>
            </w:r>
          </w:p>
        </w:tc>
        <w:tc>
          <w:tcPr>
            <w:tcW w:w="6894" w:type="dxa"/>
            <w:shd w:val="clear" w:color="auto" w:fill="auto"/>
            <w:vAlign w:val="center"/>
          </w:tcPr>
          <w:p w14:paraId="2392E5C5" w14:textId="77777777" w:rsidR="00CD52BA" w:rsidRPr="003B4337" w:rsidRDefault="00CD52BA" w:rsidP="00CD52BA">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Relatório detalhado do último trimestre do exercício financeiro, sobre a rentabilidade, os riscos das diversas modalidades de operações realizadas nas aplicações dos recursos do RPPS e a aderência à política anual de investimentos e suas revisões, evidenciando a data de submissão do mesmo às instâncias superiores de deliberação e controle.</w:t>
            </w:r>
          </w:p>
        </w:tc>
        <w:tc>
          <w:tcPr>
            <w:tcW w:w="992" w:type="dxa"/>
            <w:shd w:val="clear" w:color="auto" w:fill="auto"/>
            <w:vAlign w:val="center"/>
          </w:tcPr>
          <w:p w14:paraId="55857C19" w14:textId="77777777" w:rsidR="00CD52BA" w:rsidRPr="003B4337" w:rsidRDefault="00CD52BA" w:rsidP="00CD52BA">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c>
          <w:tcPr>
            <w:tcW w:w="1418" w:type="dxa"/>
            <w:vAlign w:val="center"/>
          </w:tcPr>
          <w:p w14:paraId="7CF6BA7F" w14:textId="77777777" w:rsidR="00CD52BA" w:rsidRPr="003B4337" w:rsidRDefault="00CD52BA" w:rsidP="00CD52BA">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134" w:type="dxa"/>
            <w:vAlign w:val="center"/>
          </w:tcPr>
          <w:p w14:paraId="205D9E2A" w14:textId="77777777" w:rsidR="00CD52BA" w:rsidRPr="003B4337" w:rsidRDefault="00CD52BA" w:rsidP="00CD52BA">
            <w:pPr>
              <w:spacing w:after="0" w:line="240" w:lineRule="auto"/>
              <w:jc w:val="center"/>
              <w:rPr>
                <w:rFonts w:ascii="Arial" w:eastAsia="Times New Roman" w:hAnsi="Arial" w:cs="Arial"/>
                <w:sz w:val="14"/>
                <w:szCs w:val="14"/>
                <w:lang w:eastAsia="pt-BR"/>
              </w:rPr>
            </w:pPr>
          </w:p>
        </w:tc>
        <w:tc>
          <w:tcPr>
            <w:tcW w:w="1417" w:type="dxa"/>
            <w:vAlign w:val="center"/>
          </w:tcPr>
          <w:p w14:paraId="428966D5" w14:textId="77777777" w:rsidR="00CD52BA" w:rsidRPr="003B4337" w:rsidRDefault="00CD52BA" w:rsidP="00CD52BA">
            <w:pPr>
              <w:spacing w:after="0" w:line="240" w:lineRule="auto"/>
              <w:jc w:val="center"/>
              <w:rPr>
                <w:rFonts w:ascii="Arial" w:eastAsia="Times New Roman" w:hAnsi="Arial" w:cs="Arial"/>
                <w:sz w:val="14"/>
                <w:szCs w:val="14"/>
                <w:lang w:eastAsia="pt-BR"/>
              </w:rPr>
            </w:pPr>
          </w:p>
        </w:tc>
        <w:tc>
          <w:tcPr>
            <w:tcW w:w="1417" w:type="dxa"/>
            <w:vAlign w:val="center"/>
          </w:tcPr>
          <w:p w14:paraId="389EFDB1" w14:textId="5823A33B" w:rsidR="00CD52BA" w:rsidRPr="006F1F8D" w:rsidRDefault="00CD52BA" w:rsidP="00CD52BA">
            <w:pPr>
              <w:spacing w:after="0" w:line="240" w:lineRule="auto"/>
              <w:jc w:val="center"/>
              <w:rPr>
                <w:rFonts w:ascii="Arial" w:eastAsia="Times New Roman" w:hAnsi="Arial" w:cs="Arial"/>
                <w:sz w:val="14"/>
                <w:szCs w:val="14"/>
                <w:lang w:eastAsia="pt-BR"/>
              </w:rPr>
            </w:pPr>
            <w:r w:rsidRPr="006F1F8D">
              <w:rPr>
                <w:rFonts w:ascii="Arial" w:eastAsia="Times New Roman" w:hAnsi="Arial" w:cs="Arial"/>
                <w:sz w:val="14"/>
                <w:szCs w:val="14"/>
                <w:lang w:eastAsia="pt-BR"/>
              </w:rPr>
              <w:t>X</w:t>
            </w:r>
          </w:p>
        </w:tc>
      </w:tr>
      <w:tr w:rsidR="00CD52BA" w:rsidRPr="00834D45" w14:paraId="26F9C0DF" w14:textId="13EF295C" w:rsidTr="006F1F8D">
        <w:tc>
          <w:tcPr>
            <w:tcW w:w="1294" w:type="dxa"/>
            <w:vAlign w:val="center"/>
          </w:tcPr>
          <w:p w14:paraId="670B056B" w14:textId="77777777" w:rsidR="00CD52BA" w:rsidRPr="003B4337" w:rsidRDefault="00CD52BA" w:rsidP="00CD52BA">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PARFIS</w:t>
            </w:r>
          </w:p>
        </w:tc>
        <w:tc>
          <w:tcPr>
            <w:tcW w:w="6894" w:type="dxa"/>
            <w:shd w:val="clear" w:color="auto" w:fill="auto"/>
            <w:vAlign w:val="center"/>
          </w:tcPr>
          <w:p w14:paraId="2CDBD8F3" w14:textId="77777777" w:rsidR="00CD52BA" w:rsidRPr="003B4337" w:rsidRDefault="00CD52BA" w:rsidP="00CD52BA">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Parecer Conclusivo do Conselho Fiscal sobre a prestação de contas do ordenador de despesas do RPPS do respectivo exercício.</w:t>
            </w:r>
          </w:p>
        </w:tc>
        <w:tc>
          <w:tcPr>
            <w:tcW w:w="992" w:type="dxa"/>
            <w:shd w:val="clear" w:color="auto" w:fill="auto"/>
            <w:vAlign w:val="center"/>
          </w:tcPr>
          <w:p w14:paraId="091EBE85" w14:textId="77777777" w:rsidR="00CD52BA" w:rsidRPr="003B4337" w:rsidRDefault="00CD52BA" w:rsidP="00CD52BA">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c>
          <w:tcPr>
            <w:tcW w:w="1418" w:type="dxa"/>
            <w:vAlign w:val="center"/>
          </w:tcPr>
          <w:p w14:paraId="7B7F986E" w14:textId="77777777" w:rsidR="00CD52BA" w:rsidRPr="003B4337" w:rsidRDefault="00CD52BA" w:rsidP="00CD52BA">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134" w:type="dxa"/>
            <w:vAlign w:val="center"/>
          </w:tcPr>
          <w:p w14:paraId="6907A2ED" w14:textId="77777777" w:rsidR="00CD52BA" w:rsidRPr="003B4337" w:rsidRDefault="00CD52BA" w:rsidP="00CD52BA">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417" w:type="dxa"/>
            <w:vAlign w:val="center"/>
          </w:tcPr>
          <w:p w14:paraId="65025EBF" w14:textId="77777777" w:rsidR="00CD52BA" w:rsidRPr="003B4337" w:rsidRDefault="00CD52BA" w:rsidP="00CD52BA">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417" w:type="dxa"/>
            <w:vAlign w:val="center"/>
          </w:tcPr>
          <w:p w14:paraId="69579A95" w14:textId="6A39F336" w:rsidR="00CD52BA" w:rsidRPr="006F1F8D" w:rsidRDefault="00CD52BA" w:rsidP="00CD52BA">
            <w:pPr>
              <w:spacing w:after="0" w:line="240" w:lineRule="auto"/>
              <w:jc w:val="center"/>
              <w:rPr>
                <w:rFonts w:ascii="Arial" w:eastAsia="Times New Roman" w:hAnsi="Arial" w:cs="Arial"/>
                <w:sz w:val="14"/>
                <w:szCs w:val="14"/>
                <w:lang w:eastAsia="pt-BR"/>
              </w:rPr>
            </w:pPr>
            <w:r w:rsidRPr="006F1F8D">
              <w:rPr>
                <w:rFonts w:ascii="Arial" w:eastAsia="Times New Roman" w:hAnsi="Arial" w:cs="Arial"/>
                <w:sz w:val="14"/>
                <w:szCs w:val="14"/>
                <w:lang w:eastAsia="pt-BR"/>
              </w:rPr>
              <w:t>X</w:t>
            </w:r>
          </w:p>
        </w:tc>
      </w:tr>
      <w:tr w:rsidR="00CD52BA" w:rsidRPr="006C0F5E" w14:paraId="220E4D83" w14:textId="34E2FC75" w:rsidTr="006F1F8D">
        <w:tc>
          <w:tcPr>
            <w:tcW w:w="1294" w:type="dxa"/>
            <w:vAlign w:val="center"/>
          </w:tcPr>
          <w:p w14:paraId="5668EBAC" w14:textId="77777777" w:rsidR="00CD52BA" w:rsidRPr="003B4337" w:rsidRDefault="00CD52BA" w:rsidP="00CD52BA">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DELQUIT</w:t>
            </w:r>
          </w:p>
        </w:tc>
        <w:tc>
          <w:tcPr>
            <w:tcW w:w="6894" w:type="dxa"/>
            <w:shd w:val="clear" w:color="auto" w:fill="auto"/>
            <w:vAlign w:val="center"/>
          </w:tcPr>
          <w:p w14:paraId="12261C53" w14:textId="513BC90A" w:rsidR="00CD52BA" w:rsidRPr="003B4337" w:rsidRDefault="00CD52BA" w:rsidP="00CD52BA">
            <w:pPr>
              <w:spacing w:before="120" w:after="120" w:line="240" w:lineRule="auto"/>
              <w:jc w:val="both"/>
              <w:rPr>
                <w:rFonts w:ascii="Arial" w:hAnsi="Arial" w:cs="Arial"/>
              </w:rPr>
            </w:pPr>
            <w:r w:rsidRPr="003B4337">
              <w:rPr>
                <w:rFonts w:ascii="Arial" w:eastAsia="Times New Roman" w:hAnsi="Arial" w:cs="Arial"/>
                <w:sz w:val="18"/>
                <w:szCs w:val="18"/>
                <w:lang w:eastAsia="pt-BR"/>
              </w:rPr>
              <w:t xml:space="preserve">Declaração do responsável pela unidade gestora do RPPS sobre o recebimento integral de todos os valores devidos no exercício financeiro, acrescido dos encargos financeiros em caso de atrasos, por todos os órgãos e entidades da administração </w:t>
            </w:r>
            <w:r w:rsidRPr="003B4337">
              <w:rPr>
                <w:rFonts w:ascii="Arial" w:eastAsia="Times New Roman" w:hAnsi="Arial" w:cs="Arial"/>
                <w:sz w:val="18"/>
                <w:szCs w:val="18"/>
                <w:lang w:eastAsia="pt-BR"/>
              </w:rPr>
              <w:lastRenderedPageBreak/>
              <w:t xml:space="preserve">pública, informando, ainda, se for o caso, os valores não repassados, sua competência e natureza do débito, na </w:t>
            </w:r>
            <w:r w:rsidRPr="00527448">
              <w:rPr>
                <w:rFonts w:ascii="Arial" w:eastAsia="Times New Roman" w:hAnsi="Arial" w:cs="Arial"/>
                <w:sz w:val="18"/>
                <w:szCs w:val="18"/>
                <w:lang w:eastAsia="pt-BR"/>
              </w:rPr>
              <w:t>forma do item 3.2 deste</w:t>
            </w:r>
            <w:r>
              <w:rPr>
                <w:rFonts w:ascii="Arial" w:eastAsia="Times New Roman" w:hAnsi="Arial" w:cs="Arial"/>
                <w:sz w:val="18"/>
                <w:szCs w:val="18"/>
                <w:lang w:eastAsia="pt-BR"/>
              </w:rPr>
              <w:t xml:space="preserve"> Anexo</w:t>
            </w:r>
            <w:r w:rsidRPr="00527448">
              <w:rPr>
                <w:rFonts w:ascii="Arial" w:eastAsia="Times New Roman" w:hAnsi="Arial" w:cs="Arial"/>
                <w:sz w:val="18"/>
                <w:szCs w:val="18"/>
                <w:lang w:eastAsia="pt-BR"/>
              </w:rPr>
              <w:t>.</w:t>
            </w:r>
          </w:p>
        </w:tc>
        <w:tc>
          <w:tcPr>
            <w:tcW w:w="992" w:type="dxa"/>
            <w:shd w:val="clear" w:color="auto" w:fill="auto"/>
            <w:vAlign w:val="center"/>
          </w:tcPr>
          <w:p w14:paraId="5B1952C6" w14:textId="77777777" w:rsidR="00CD52BA" w:rsidRPr="003B4337" w:rsidRDefault="00CD52BA" w:rsidP="00CD52BA">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lastRenderedPageBreak/>
              <w:t>PDF</w:t>
            </w:r>
          </w:p>
        </w:tc>
        <w:tc>
          <w:tcPr>
            <w:tcW w:w="1418" w:type="dxa"/>
            <w:vAlign w:val="center"/>
          </w:tcPr>
          <w:p w14:paraId="75895FBA" w14:textId="77777777" w:rsidR="00CD52BA" w:rsidRPr="003B4337" w:rsidRDefault="00CD52BA" w:rsidP="00CD52BA">
            <w:pPr>
              <w:spacing w:after="0" w:line="240" w:lineRule="auto"/>
              <w:jc w:val="center"/>
              <w:rPr>
                <w:rFonts w:ascii="Arial" w:eastAsia="Times New Roman" w:hAnsi="Arial" w:cs="Arial"/>
                <w:sz w:val="14"/>
                <w:szCs w:val="14"/>
                <w:lang w:eastAsia="pt-BR"/>
              </w:rPr>
            </w:pPr>
          </w:p>
        </w:tc>
        <w:tc>
          <w:tcPr>
            <w:tcW w:w="1134" w:type="dxa"/>
            <w:vAlign w:val="center"/>
          </w:tcPr>
          <w:p w14:paraId="322A4EB1" w14:textId="77777777" w:rsidR="00CD52BA" w:rsidRPr="003B4337" w:rsidRDefault="00CD52BA" w:rsidP="00CD52BA">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417" w:type="dxa"/>
            <w:vAlign w:val="center"/>
          </w:tcPr>
          <w:p w14:paraId="1C19BA57" w14:textId="77777777" w:rsidR="00CD52BA" w:rsidRPr="003B4337" w:rsidRDefault="00CD52BA" w:rsidP="00CD52BA">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417" w:type="dxa"/>
            <w:vAlign w:val="center"/>
          </w:tcPr>
          <w:p w14:paraId="7E009B20" w14:textId="4C344438" w:rsidR="00CD52BA" w:rsidRPr="006F1F8D" w:rsidRDefault="00CD52BA" w:rsidP="00CD52BA">
            <w:pPr>
              <w:spacing w:after="0" w:line="240" w:lineRule="auto"/>
              <w:jc w:val="center"/>
              <w:rPr>
                <w:rFonts w:ascii="Arial" w:eastAsia="Times New Roman" w:hAnsi="Arial" w:cs="Arial"/>
                <w:sz w:val="14"/>
                <w:szCs w:val="14"/>
                <w:lang w:eastAsia="pt-BR"/>
              </w:rPr>
            </w:pPr>
            <w:r w:rsidRPr="006F1F8D">
              <w:rPr>
                <w:rFonts w:ascii="Arial" w:eastAsia="Times New Roman" w:hAnsi="Arial" w:cs="Arial"/>
                <w:sz w:val="14"/>
                <w:szCs w:val="14"/>
                <w:lang w:eastAsia="pt-BR"/>
              </w:rPr>
              <w:t>X</w:t>
            </w:r>
          </w:p>
        </w:tc>
      </w:tr>
      <w:tr w:rsidR="00CD52BA" w:rsidRPr="006C0F5E" w14:paraId="2FB4760A" w14:textId="11E00697" w:rsidTr="006F1F8D">
        <w:tc>
          <w:tcPr>
            <w:tcW w:w="1294" w:type="dxa"/>
            <w:vAlign w:val="center"/>
          </w:tcPr>
          <w:p w14:paraId="19C04D05" w14:textId="77777777" w:rsidR="00CD52BA" w:rsidRPr="003B4337" w:rsidRDefault="00CD52BA" w:rsidP="00CD52BA">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lastRenderedPageBreak/>
              <w:t>RELPAR</w:t>
            </w:r>
          </w:p>
        </w:tc>
        <w:tc>
          <w:tcPr>
            <w:tcW w:w="6894" w:type="dxa"/>
            <w:shd w:val="clear" w:color="auto" w:fill="auto"/>
            <w:vAlign w:val="center"/>
          </w:tcPr>
          <w:p w14:paraId="015775AA" w14:textId="5223D519" w:rsidR="00CD52BA" w:rsidRPr="003B4337" w:rsidRDefault="00CD52BA" w:rsidP="00CD52BA">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Relatório detalhado dos parcelamentos vigentes junto ao RPPS na data de encerramento do exercício na </w:t>
            </w:r>
            <w:r w:rsidRPr="00527448">
              <w:rPr>
                <w:rFonts w:ascii="Arial" w:eastAsia="Times New Roman" w:hAnsi="Arial" w:cs="Arial"/>
                <w:sz w:val="18"/>
                <w:szCs w:val="18"/>
                <w:lang w:eastAsia="pt-BR"/>
              </w:rPr>
              <w:t>forma do item 3.2 deste Anexo.</w:t>
            </w:r>
          </w:p>
        </w:tc>
        <w:tc>
          <w:tcPr>
            <w:tcW w:w="992" w:type="dxa"/>
            <w:shd w:val="clear" w:color="auto" w:fill="auto"/>
            <w:vAlign w:val="center"/>
          </w:tcPr>
          <w:p w14:paraId="13499AC1" w14:textId="77777777" w:rsidR="00CD52BA" w:rsidRPr="003B4337" w:rsidRDefault="00CD52BA" w:rsidP="00CD52BA">
            <w:pPr>
              <w:spacing w:after="0" w:line="240" w:lineRule="auto"/>
              <w:jc w:val="center"/>
              <w:rPr>
                <w:rFonts w:ascii="Arial" w:eastAsia="Times New Roman" w:hAnsi="Arial" w:cs="Arial"/>
                <w:sz w:val="14"/>
                <w:szCs w:val="14"/>
                <w:highlight w:val="yellow"/>
                <w:lang w:eastAsia="pt-BR"/>
              </w:rPr>
            </w:pPr>
            <w:r>
              <w:rPr>
                <w:rFonts w:ascii="Arial" w:eastAsia="Times New Roman" w:hAnsi="Arial" w:cs="Arial"/>
                <w:sz w:val="14"/>
                <w:szCs w:val="14"/>
                <w:lang w:eastAsia="pt-BR"/>
              </w:rPr>
              <w:t xml:space="preserve">PDF </w:t>
            </w:r>
            <w:r w:rsidRPr="003B4337">
              <w:rPr>
                <w:rFonts w:ascii="Arial" w:eastAsia="Times New Roman" w:hAnsi="Arial" w:cs="Arial"/>
                <w:sz w:val="14"/>
                <w:szCs w:val="14"/>
                <w:lang w:eastAsia="pt-BR"/>
              </w:rPr>
              <w:t>e</w:t>
            </w:r>
            <w:r w:rsidRPr="003B4337">
              <w:rPr>
                <w:rFonts w:ascii="Arial" w:eastAsia="Times New Roman" w:hAnsi="Arial" w:cs="Arial"/>
                <w:sz w:val="14"/>
                <w:szCs w:val="14"/>
                <w:highlight w:val="yellow"/>
                <w:lang w:eastAsia="pt-BR"/>
              </w:rPr>
              <w:t xml:space="preserve"> </w:t>
            </w:r>
          </w:p>
          <w:p w14:paraId="09C2A719" w14:textId="77777777" w:rsidR="00CD52BA" w:rsidRPr="003B4337" w:rsidRDefault="00CD52BA" w:rsidP="00CD52BA">
            <w:pPr>
              <w:spacing w:after="0" w:line="240" w:lineRule="auto"/>
              <w:jc w:val="center"/>
              <w:rPr>
                <w:rFonts w:ascii="Arial" w:eastAsia="Times New Roman" w:hAnsi="Arial" w:cs="Arial"/>
                <w:sz w:val="14"/>
                <w:szCs w:val="14"/>
                <w:lang w:eastAsia="pt-BR"/>
              </w:rPr>
            </w:pPr>
            <w:r w:rsidRPr="003B4337">
              <w:rPr>
                <w:rFonts w:ascii="Arial" w:eastAsia="Times New Roman" w:hAnsi="Arial" w:cs="Arial"/>
                <w:sz w:val="14"/>
                <w:szCs w:val="14"/>
                <w:lang w:eastAsia="pt-BR"/>
              </w:rPr>
              <w:t>XLS/XLSX/ODS</w:t>
            </w:r>
          </w:p>
        </w:tc>
        <w:tc>
          <w:tcPr>
            <w:tcW w:w="1418" w:type="dxa"/>
            <w:vAlign w:val="center"/>
          </w:tcPr>
          <w:p w14:paraId="0B9125EA" w14:textId="77777777" w:rsidR="00CD52BA" w:rsidRPr="003B4337" w:rsidRDefault="00CD52BA" w:rsidP="00CD52BA">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134" w:type="dxa"/>
            <w:vAlign w:val="center"/>
          </w:tcPr>
          <w:p w14:paraId="5A684A33" w14:textId="77777777" w:rsidR="00CD52BA" w:rsidRPr="003B4337" w:rsidRDefault="00CD52BA" w:rsidP="00CD52BA">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417" w:type="dxa"/>
            <w:vAlign w:val="center"/>
          </w:tcPr>
          <w:p w14:paraId="6DF373F5" w14:textId="77777777" w:rsidR="00CD52BA" w:rsidRPr="003B4337" w:rsidRDefault="00CD52BA" w:rsidP="00CD52BA">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417" w:type="dxa"/>
            <w:vAlign w:val="center"/>
          </w:tcPr>
          <w:p w14:paraId="1991757E" w14:textId="0C29FDE0" w:rsidR="00CD52BA" w:rsidRPr="006F1F8D" w:rsidRDefault="00CD52BA" w:rsidP="00CD52BA">
            <w:pPr>
              <w:spacing w:after="0" w:line="240" w:lineRule="auto"/>
              <w:jc w:val="center"/>
              <w:rPr>
                <w:rFonts w:ascii="Arial" w:eastAsia="Times New Roman" w:hAnsi="Arial" w:cs="Arial"/>
                <w:sz w:val="14"/>
                <w:szCs w:val="14"/>
                <w:lang w:eastAsia="pt-BR"/>
              </w:rPr>
            </w:pPr>
            <w:r w:rsidRPr="006F1F8D">
              <w:rPr>
                <w:rFonts w:ascii="Arial" w:eastAsia="Times New Roman" w:hAnsi="Arial" w:cs="Arial"/>
                <w:sz w:val="14"/>
                <w:szCs w:val="14"/>
                <w:lang w:eastAsia="pt-BR"/>
              </w:rPr>
              <w:t>X</w:t>
            </w:r>
          </w:p>
        </w:tc>
      </w:tr>
      <w:tr w:rsidR="00CD52BA" w:rsidRPr="00A5490A" w14:paraId="0EADC273" w14:textId="1CA000B8" w:rsidTr="006F1F8D">
        <w:tc>
          <w:tcPr>
            <w:tcW w:w="1294" w:type="dxa"/>
            <w:vAlign w:val="center"/>
          </w:tcPr>
          <w:p w14:paraId="3921372C" w14:textId="77777777" w:rsidR="00CD52BA" w:rsidRPr="00831F03" w:rsidRDefault="00CD52BA" w:rsidP="00CD52BA">
            <w:pPr>
              <w:spacing w:after="0" w:line="240" w:lineRule="auto"/>
              <w:jc w:val="center"/>
              <w:rPr>
                <w:rFonts w:ascii="Arial" w:eastAsia="Times New Roman" w:hAnsi="Arial" w:cs="Arial"/>
                <w:sz w:val="18"/>
                <w:szCs w:val="18"/>
                <w:lang w:eastAsia="pt-BR"/>
              </w:rPr>
            </w:pPr>
            <w:r w:rsidRPr="00831F03">
              <w:rPr>
                <w:rFonts w:ascii="Arial" w:eastAsia="Times New Roman" w:hAnsi="Arial" w:cs="Arial"/>
                <w:sz w:val="18"/>
                <w:szCs w:val="18"/>
                <w:lang w:eastAsia="pt-BR"/>
              </w:rPr>
              <w:t>DOCSPAR</w:t>
            </w:r>
          </w:p>
        </w:tc>
        <w:tc>
          <w:tcPr>
            <w:tcW w:w="6894" w:type="dxa"/>
            <w:shd w:val="clear" w:color="auto" w:fill="auto"/>
            <w:vAlign w:val="center"/>
          </w:tcPr>
          <w:p w14:paraId="4A4E6F25" w14:textId="77777777" w:rsidR="00CD52BA" w:rsidRPr="00831F03" w:rsidRDefault="00CD52BA" w:rsidP="00CD52BA">
            <w:pPr>
              <w:pStyle w:val="TableParagraph"/>
              <w:spacing w:before="120" w:after="120"/>
              <w:ind w:left="102" w:right="111"/>
              <w:rPr>
                <w:rFonts w:ascii="Arial" w:hAnsi="Arial" w:cs="Arial"/>
                <w:sz w:val="18"/>
                <w:szCs w:val="18"/>
                <w:lang w:val="pt-BR"/>
              </w:rPr>
            </w:pPr>
            <w:r w:rsidRPr="00831F03">
              <w:rPr>
                <w:rFonts w:ascii="Arial" w:hAnsi="Arial" w:cs="Arial"/>
                <w:sz w:val="18"/>
                <w:szCs w:val="18"/>
                <w:lang w:val="pt-BR"/>
              </w:rPr>
              <w:t>Documentação relativa a cada extrato de parcelamento vigente junto ao RPPS, na data de encerramento do exercício. São de envio obrigatório para cada extrato de parcelamento informado no arquivo RELPAR: lei autorizativa, termo de acordo de parcelamento assinado pelas partes e suas alterações, caso tenham ocorrido, e o demonstrativo consolidado do parcelamento – DCP.</w:t>
            </w:r>
          </w:p>
        </w:tc>
        <w:tc>
          <w:tcPr>
            <w:tcW w:w="992" w:type="dxa"/>
            <w:shd w:val="clear" w:color="auto" w:fill="auto"/>
            <w:vAlign w:val="center"/>
          </w:tcPr>
          <w:p w14:paraId="3E0AC851" w14:textId="77777777" w:rsidR="00CD52BA" w:rsidRPr="00831F03" w:rsidRDefault="00CD52BA" w:rsidP="00CD52BA">
            <w:pPr>
              <w:spacing w:after="0" w:line="240" w:lineRule="auto"/>
              <w:jc w:val="center"/>
              <w:rPr>
                <w:rFonts w:ascii="Arial" w:eastAsia="Times New Roman" w:hAnsi="Arial" w:cs="Arial"/>
                <w:sz w:val="14"/>
                <w:szCs w:val="14"/>
                <w:lang w:eastAsia="pt-BR"/>
              </w:rPr>
            </w:pPr>
            <w:r w:rsidRPr="00831F03">
              <w:rPr>
                <w:rFonts w:ascii="Arial" w:eastAsia="Times New Roman" w:hAnsi="Arial" w:cs="Arial"/>
                <w:sz w:val="14"/>
                <w:szCs w:val="14"/>
                <w:lang w:eastAsia="pt-BR"/>
              </w:rPr>
              <w:t>PDF</w:t>
            </w:r>
          </w:p>
        </w:tc>
        <w:tc>
          <w:tcPr>
            <w:tcW w:w="1418" w:type="dxa"/>
            <w:vAlign w:val="center"/>
          </w:tcPr>
          <w:p w14:paraId="3EB39827" w14:textId="77777777" w:rsidR="00CD52BA" w:rsidRPr="00831F03" w:rsidRDefault="00CD52BA" w:rsidP="00CD52BA">
            <w:pPr>
              <w:spacing w:after="0" w:line="240" w:lineRule="auto"/>
              <w:jc w:val="center"/>
              <w:rPr>
                <w:rFonts w:ascii="Arial" w:eastAsia="Times New Roman" w:hAnsi="Arial" w:cs="Arial"/>
                <w:sz w:val="14"/>
                <w:szCs w:val="14"/>
                <w:lang w:eastAsia="pt-BR"/>
              </w:rPr>
            </w:pPr>
            <w:r w:rsidRPr="00831F03">
              <w:rPr>
                <w:rFonts w:ascii="Arial" w:eastAsia="Times New Roman" w:hAnsi="Arial" w:cs="Arial"/>
                <w:sz w:val="14"/>
                <w:szCs w:val="14"/>
                <w:lang w:eastAsia="pt-BR"/>
              </w:rPr>
              <w:t>X</w:t>
            </w:r>
          </w:p>
        </w:tc>
        <w:tc>
          <w:tcPr>
            <w:tcW w:w="1134" w:type="dxa"/>
            <w:vAlign w:val="center"/>
          </w:tcPr>
          <w:p w14:paraId="0AE0EA03" w14:textId="77777777" w:rsidR="00CD52BA" w:rsidRPr="00831F03" w:rsidRDefault="00CD52BA" w:rsidP="00CD52BA">
            <w:pPr>
              <w:spacing w:after="0" w:line="240" w:lineRule="auto"/>
              <w:jc w:val="center"/>
              <w:rPr>
                <w:rFonts w:ascii="Arial" w:eastAsia="Times New Roman" w:hAnsi="Arial" w:cs="Arial"/>
                <w:sz w:val="14"/>
                <w:szCs w:val="14"/>
                <w:lang w:eastAsia="pt-BR"/>
              </w:rPr>
            </w:pPr>
            <w:r w:rsidRPr="00831F03">
              <w:rPr>
                <w:rFonts w:ascii="Arial" w:eastAsia="Times New Roman" w:hAnsi="Arial" w:cs="Arial"/>
                <w:sz w:val="14"/>
                <w:szCs w:val="14"/>
                <w:lang w:eastAsia="pt-BR"/>
              </w:rPr>
              <w:t>X</w:t>
            </w:r>
          </w:p>
        </w:tc>
        <w:tc>
          <w:tcPr>
            <w:tcW w:w="1417" w:type="dxa"/>
            <w:vAlign w:val="center"/>
          </w:tcPr>
          <w:p w14:paraId="717E2065" w14:textId="77777777" w:rsidR="00CD52BA" w:rsidRPr="00831F03" w:rsidRDefault="00CD52BA" w:rsidP="00CD52BA">
            <w:pPr>
              <w:spacing w:after="0" w:line="240" w:lineRule="auto"/>
              <w:jc w:val="center"/>
              <w:rPr>
                <w:rFonts w:ascii="Arial" w:eastAsia="Times New Roman" w:hAnsi="Arial" w:cs="Arial"/>
                <w:sz w:val="14"/>
                <w:szCs w:val="14"/>
                <w:lang w:eastAsia="pt-BR"/>
              </w:rPr>
            </w:pPr>
            <w:r w:rsidRPr="00831F03">
              <w:rPr>
                <w:rFonts w:ascii="Arial" w:eastAsia="Times New Roman" w:hAnsi="Arial" w:cs="Arial"/>
                <w:sz w:val="14"/>
                <w:szCs w:val="14"/>
                <w:lang w:eastAsia="pt-BR"/>
              </w:rPr>
              <w:t>X</w:t>
            </w:r>
          </w:p>
        </w:tc>
        <w:tc>
          <w:tcPr>
            <w:tcW w:w="1417" w:type="dxa"/>
            <w:vAlign w:val="center"/>
          </w:tcPr>
          <w:p w14:paraId="6ADB3D89" w14:textId="6BA1F7D0" w:rsidR="00CD52BA" w:rsidRPr="006F1F8D" w:rsidRDefault="00CD52BA" w:rsidP="00CD52BA">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r>
      <w:tr w:rsidR="00CD52BA" w:rsidRPr="002C024D" w14:paraId="34FBA8FB" w14:textId="77777777" w:rsidTr="006F1F8D">
        <w:tc>
          <w:tcPr>
            <w:tcW w:w="1294" w:type="dxa"/>
            <w:vAlign w:val="center"/>
          </w:tcPr>
          <w:p w14:paraId="7EDB8313" w14:textId="27FEF4A2" w:rsidR="00CD52BA" w:rsidRPr="002C024D" w:rsidRDefault="00CD52BA" w:rsidP="00CD52BA">
            <w:pPr>
              <w:spacing w:after="0" w:line="240" w:lineRule="auto"/>
              <w:jc w:val="center"/>
              <w:rPr>
                <w:rFonts w:ascii="Arial" w:eastAsia="Times New Roman" w:hAnsi="Arial" w:cs="Arial"/>
                <w:sz w:val="18"/>
                <w:szCs w:val="18"/>
                <w:lang w:eastAsia="pt-BR"/>
              </w:rPr>
            </w:pPr>
            <w:r w:rsidRPr="002C024D">
              <w:rPr>
                <w:rFonts w:ascii="Arial" w:eastAsia="Times New Roman" w:hAnsi="Arial" w:cs="Arial"/>
                <w:sz w:val="18"/>
                <w:szCs w:val="18"/>
                <w:lang w:eastAsia="pt-BR"/>
              </w:rPr>
              <w:t>DURPASS</w:t>
            </w:r>
          </w:p>
        </w:tc>
        <w:tc>
          <w:tcPr>
            <w:tcW w:w="6894" w:type="dxa"/>
            <w:shd w:val="clear" w:color="auto" w:fill="auto"/>
            <w:vAlign w:val="center"/>
          </w:tcPr>
          <w:p w14:paraId="4640787F" w14:textId="7AFBA06C" w:rsidR="00CD52BA" w:rsidRPr="002C024D" w:rsidRDefault="00CD52BA" w:rsidP="00CD52BA">
            <w:pPr>
              <w:pStyle w:val="TableParagraph"/>
              <w:spacing w:before="120" w:after="120"/>
              <w:ind w:left="102" w:right="111"/>
              <w:rPr>
                <w:rFonts w:ascii="Arial" w:hAnsi="Arial" w:cs="Arial"/>
                <w:sz w:val="18"/>
                <w:szCs w:val="18"/>
                <w:lang w:val="pt-BR"/>
              </w:rPr>
            </w:pPr>
            <w:r w:rsidRPr="005B7FCC">
              <w:rPr>
                <w:rFonts w:ascii="Arial" w:eastAsia="Times New Roman" w:hAnsi="Arial" w:cs="Arial"/>
                <w:sz w:val="18"/>
                <w:szCs w:val="18"/>
                <w:lang w:val="pt-BR" w:eastAsia="pt-BR"/>
              </w:rPr>
              <w:t>Demonstrativo de duração do passivo, parte integrante dos fluxos atuariais, contendo o resultado da duração do passivo, com base no valor médio, em anos, do prazo do fluxo de pagamento líquido de benefícios do RPPS, ponderado pelos valores presentes desses fluxos, assim como de sua análise evolutiva, correspondente com as informações contidas no Relatório da Avaliação Atuarial.</w:t>
            </w:r>
          </w:p>
        </w:tc>
        <w:tc>
          <w:tcPr>
            <w:tcW w:w="992" w:type="dxa"/>
            <w:shd w:val="clear" w:color="auto" w:fill="auto"/>
            <w:vAlign w:val="center"/>
          </w:tcPr>
          <w:p w14:paraId="325B7F12" w14:textId="22464A92" w:rsidR="00CD52BA" w:rsidRPr="002C024D" w:rsidRDefault="00CD52BA" w:rsidP="00CD52BA">
            <w:pPr>
              <w:spacing w:after="0" w:line="240" w:lineRule="auto"/>
              <w:jc w:val="center"/>
              <w:rPr>
                <w:rFonts w:ascii="Arial" w:eastAsia="Times New Roman" w:hAnsi="Arial" w:cs="Arial"/>
                <w:sz w:val="14"/>
                <w:szCs w:val="14"/>
                <w:lang w:eastAsia="pt-BR"/>
              </w:rPr>
            </w:pPr>
            <w:r w:rsidRPr="002C024D">
              <w:rPr>
                <w:rFonts w:ascii="Arial" w:eastAsia="Times New Roman" w:hAnsi="Arial" w:cs="Arial"/>
                <w:sz w:val="14"/>
                <w:szCs w:val="14"/>
                <w:lang w:eastAsia="pt-BR"/>
              </w:rPr>
              <w:t>PDF</w:t>
            </w:r>
          </w:p>
        </w:tc>
        <w:tc>
          <w:tcPr>
            <w:tcW w:w="1418" w:type="dxa"/>
            <w:vAlign w:val="center"/>
          </w:tcPr>
          <w:p w14:paraId="7B26B4B2" w14:textId="77777777" w:rsidR="00CD52BA" w:rsidRPr="002C024D" w:rsidRDefault="00CD52BA" w:rsidP="00CD52BA">
            <w:pPr>
              <w:spacing w:after="0" w:line="240" w:lineRule="auto"/>
              <w:jc w:val="center"/>
              <w:rPr>
                <w:rFonts w:ascii="Arial" w:eastAsia="Times New Roman" w:hAnsi="Arial" w:cs="Arial"/>
                <w:sz w:val="14"/>
                <w:szCs w:val="14"/>
                <w:lang w:eastAsia="pt-BR"/>
              </w:rPr>
            </w:pPr>
          </w:p>
        </w:tc>
        <w:tc>
          <w:tcPr>
            <w:tcW w:w="1134" w:type="dxa"/>
            <w:vAlign w:val="center"/>
          </w:tcPr>
          <w:p w14:paraId="16EF04BB" w14:textId="7DA775E9" w:rsidR="00CD52BA" w:rsidRPr="002C024D" w:rsidRDefault="00CD52BA" w:rsidP="00CD52BA">
            <w:pPr>
              <w:spacing w:after="0" w:line="240" w:lineRule="auto"/>
              <w:jc w:val="center"/>
              <w:rPr>
                <w:rFonts w:ascii="Arial" w:eastAsia="Times New Roman" w:hAnsi="Arial" w:cs="Arial"/>
                <w:sz w:val="14"/>
                <w:szCs w:val="14"/>
                <w:lang w:eastAsia="pt-BR"/>
              </w:rPr>
            </w:pPr>
            <w:r w:rsidRPr="002C024D">
              <w:rPr>
                <w:rFonts w:ascii="Arial" w:eastAsia="Times New Roman" w:hAnsi="Arial" w:cs="Arial"/>
                <w:sz w:val="14"/>
                <w:szCs w:val="14"/>
                <w:lang w:eastAsia="pt-BR"/>
              </w:rPr>
              <w:t>X</w:t>
            </w:r>
          </w:p>
        </w:tc>
        <w:tc>
          <w:tcPr>
            <w:tcW w:w="1417" w:type="dxa"/>
            <w:vAlign w:val="center"/>
          </w:tcPr>
          <w:p w14:paraId="6A953B58" w14:textId="1C6378A9" w:rsidR="00CD52BA" w:rsidRPr="002C024D" w:rsidRDefault="00CD52BA" w:rsidP="00CD52BA">
            <w:pPr>
              <w:spacing w:after="0" w:line="240" w:lineRule="auto"/>
              <w:jc w:val="center"/>
              <w:rPr>
                <w:rFonts w:ascii="Arial" w:eastAsia="Times New Roman" w:hAnsi="Arial" w:cs="Arial"/>
                <w:sz w:val="14"/>
                <w:szCs w:val="14"/>
                <w:lang w:eastAsia="pt-BR"/>
              </w:rPr>
            </w:pPr>
            <w:r w:rsidRPr="002C024D">
              <w:rPr>
                <w:rFonts w:ascii="Arial" w:eastAsia="Times New Roman" w:hAnsi="Arial" w:cs="Arial"/>
                <w:sz w:val="14"/>
                <w:szCs w:val="14"/>
                <w:lang w:eastAsia="pt-BR"/>
              </w:rPr>
              <w:t>X</w:t>
            </w:r>
          </w:p>
        </w:tc>
        <w:tc>
          <w:tcPr>
            <w:tcW w:w="1417" w:type="dxa"/>
            <w:vAlign w:val="center"/>
          </w:tcPr>
          <w:p w14:paraId="7A128EC2" w14:textId="2F18BF8A" w:rsidR="00CD52BA" w:rsidRPr="002C024D" w:rsidRDefault="00CD52BA" w:rsidP="00CD52BA">
            <w:pPr>
              <w:spacing w:after="0" w:line="240" w:lineRule="auto"/>
              <w:jc w:val="center"/>
              <w:rPr>
                <w:rFonts w:ascii="Arial" w:eastAsia="Times New Roman" w:hAnsi="Arial" w:cs="Arial"/>
                <w:sz w:val="14"/>
                <w:szCs w:val="14"/>
                <w:lang w:eastAsia="pt-BR"/>
              </w:rPr>
            </w:pPr>
            <w:r w:rsidRPr="002C024D">
              <w:rPr>
                <w:rFonts w:ascii="Arial" w:eastAsia="Times New Roman" w:hAnsi="Arial" w:cs="Arial"/>
                <w:sz w:val="14"/>
                <w:szCs w:val="14"/>
                <w:lang w:eastAsia="pt-BR"/>
              </w:rPr>
              <w:t>X</w:t>
            </w:r>
          </w:p>
        </w:tc>
      </w:tr>
      <w:tr w:rsidR="00CD52BA" w:rsidRPr="002C024D" w14:paraId="2F1DA6A0" w14:textId="77777777" w:rsidTr="006F1F8D">
        <w:tc>
          <w:tcPr>
            <w:tcW w:w="1294" w:type="dxa"/>
            <w:vAlign w:val="center"/>
          </w:tcPr>
          <w:p w14:paraId="45CE7812" w14:textId="6ABF04D6" w:rsidR="00CD52BA" w:rsidRPr="002C024D" w:rsidRDefault="00CD52BA" w:rsidP="00CD52BA">
            <w:pPr>
              <w:spacing w:after="0" w:line="240" w:lineRule="auto"/>
              <w:jc w:val="center"/>
              <w:rPr>
                <w:rFonts w:ascii="Arial" w:eastAsia="Times New Roman" w:hAnsi="Arial" w:cs="Arial"/>
                <w:sz w:val="18"/>
                <w:szCs w:val="18"/>
                <w:lang w:eastAsia="pt-BR"/>
              </w:rPr>
            </w:pPr>
            <w:r w:rsidRPr="002C024D">
              <w:rPr>
                <w:rFonts w:ascii="Arial" w:eastAsia="Times New Roman" w:hAnsi="Arial" w:cs="Arial"/>
                <w:sz w:val="18"/>
                <w:szCs w:val="18"/>
                <w:lang w:eastAsia="pt-BR"/>
              </w:rPr>
              <w:t xml:space="preserve">HIPOTES </w:t>
            </w:r>
          </w:p>
        </w:tc>
        <w:tc>
          <w:tcPr>
            <w:tcW w:w="6894" w:type="dxa"/>
            <w:shd w:val="clear" w:color="auto" w:fill="auto"/>
            <w:vAlign w:val="center"/>
          </w:tcPr>
          <w:p w14:paraId="1CE12F8B" w14:textId="3D296BDF" w:rsidR="00CD52BA" w:rsidRPr="002C024D" w:rsidRDefault="00CD52BA" w:rsidP="00CD52BA">
            <w:pPr>
              <w:pStyle w:val="TableParagraph"/>
              <w:spacing w:before="120" w:after="120"/>
              <w:ind w:left="102" w:right="111"/>
              <w:rPr>
                <w:rFonts w:ascii="Arial" w:hAnsi="Arial" w:cs="Arial"/>
                <w:sz w:val="18"/>
                <w:szCs w:val="18"/>
                <w:lang w:val="pt-BR"/>
              </w:rPr>
            </w:pPr>
            <w:r w:rsidRPr="005B7FCC">
              <w:rPr>
                <w:rFonts w:ascii="Arial" w:eastAsia="Times New Roman" w:hAnsi="Arial" w:cs="Arial"/>
                <w:sz w:val="18"/>
                <w:szCs w:val="18"/>
                <w:lang w:val="pt-BR" w:eastAsia="pt-BR"/>
              </w:rPr>
              <w:t>Relatório de análise das hipóteses atuariais, contendo resultados dos estudos técnicos de aderência e de acompanhamento das hipóteses, assim como do fundamento de sua escolha e o critério utilizado na avaliação atuarial, abrangendo, no mínimo, as seguintes hipóteses: a) taxa atuarial de juros; b) crescimento real das remunerações; e, c) probabilidade de ocorrência de morte e invalidez. Na elaboração deste demonstrativo previsto no inciso VIII do art. 68 da Portaria MF nº 464/2018 deverão ser observados os prazos previstos no art. 8º da Instrução Normativa SPREV nº 9, de 21 de dezembro de 2018.</w:t>
            </w:r>
          </w:p>
        </w:tc>
        <w:tc>
          <w:tcPr>
            <w:tcW w:w="992" w:type="dxa"/>
            <w:shd w:val="clear" w:color="auto" w:fill="auto"/>
            <w:vAlign w:val="center"/>
          </w:tcPr>
          <w:p w14:paraId="05E9BBA5" w14:textId="791C1397" w:rsidR="00CD52BA" w:rsidRPr="002C024D" w:rsidRDefault="00CD52BA" w:rsidP="00CD52BA">
            <w:pPr>
              <w:spacing w:after="0" w:line="240" w:lineRule="auto"/>
              <w:jc w:val="center"/>
              <w:rPr>
                <w:rFonts w:ascii="Arial" w:eastAsia="Times New Roman" w:hAnsi="Arial" w:cs="Arial"/>
                <w:sz w:val="14"/>
                <w:szCs w:val="14"/>
                <w:lang w:eastAsia="pt-BR"/>
              </w:rPr>
            </w:pPr>
            <w:r w:rsidRPr="002C024D">
              <w:rPr>
                <w:rFonts w:ascii="Arial" w:eastAsia="Times New Roman" w:hAnsi="Arial" w:cs="Arial"/>
                <w:sz w:val="14"/>
                <w:szCs w:val="14"/>
                <w:lang w:eastAsia="pt-BR"/>
              </w:rPr>
              <w:t>PDF</w:t>
            </w:r>
          </w:p>
        </w:tc>
        <w:tc>
          <w:tcPr>
            <w:tcW w:w="1418" w:type="dxa"/>
            <w:vAlign w:val="center"/>
          </w:tcPr>
          <w:p w14:paraId="72D05BBD" w14:textId="77777777" w:rsidR="00CD52BA" w:rsidRPr="002C024D" w:rsidRDefault="00CD52BA" w:rsidP="00CD52BA">
            <w:pPr>
              <w:spacing w:after="0" w:line="240" w:lineRule="auto"/>
              <w:jc w:val="center"/>
              <w:rPr>
                <w:rFonts w:ascii="Arial" w:eastAsia="Times New Roman" w:hAnsi="Arial" w:cs="Arial"/>
                <w:sz w:val="14"/>
                <w:szCs w:val="14"/>
                <w:lang w:eastAsia="pt-BR"/>
              </w:rPr>
            </w:pPr>
          </w:p>
        </w:tc>
        <w:tc>
          <w:tcPr>
            <w:tcW w:w="1134" w:type="dxa"/>
            <w:vAlign w:val="center"/>
          </w:tcPr>
          <w:p w14:paraId="3E5C67B5" w14:textId="45286FEE" w:rsidR="00CD52BA" w:rsidRPr="002C024D" w:rsidRDefault="00CD52BA" w:rsidP="00CD52BA">
            <w:pPr>
              <w:spacing w:after="0" w:line="240" w:lineRule="auto"/>
              <w:jc w:val="center"/>
              <w:rPr>
                <w:rFonts w:ascii="Arial" w:eastAsia="Times New Roman" w:hAnsi="Arial" w:cs="Arial"/>
                <w:sz w:val="14"/>
                <w:szCs w:val="14"/>
                <w:lang w:eastAsia="pt-BR"/>
              </w:rPr>
            </w:pPr>
            <w:r w:rsidRPr="002C024D">
              <w:rPr>
                <w:rFonts w:ascii="Arial" w:eastAsia="Times New Roman" w:hAnsi="Arial" w:cs="Arial"/>
                <w:sz w:val="14"/>
                <w:szCs w:val="14"/>
                <w:lang w:eastAsia="pt-BR"/>
              </w:rPr>
              <w:t>X</w:t>
            </w:r>
          </w:p>
        </w:tc>
        <w:tc>
          <w:tcPr>
            <w:tcW w:w="1417" w:type="dxa"/>
            <w:vAlign w:val="center"/>
          </w:tcPr>
          <w:p w14:paraId="7A0362F1" w14:textId="3B5AE2D7" w:rsidR="00CD52BA" w:rsidRPr="002C024D" w:rsidRDefault="00CD52BA" w:rsidP="00CD52BA">
            <w:pPr>
              <w:spacing w:after="0" w:line="240" w:lineRule="auto"/>
              <w:jc w:val="center"/>
              <w:rPr>
                <w:rFonts w:ascii="Arial" w:eastAsia="Times New Roman" w:hAnsi="Arial" w:cs="Arial"/>
                <w:sz w:val="14"/>
                <w:szCs w:val="14"/>
                <w:lang w:eastAsia="pt-BR"/>
              </w:rPr>
            </w:pPr>
            <w:r w:rsidRPr="002C024D">
              <w:rPr>
                <w:rFonts w:ascii="Arial" w:eastAsia="Times New Roman" w:hAnsi="Arial" w:cs="Arial"/>
                <w:sz w:val="14"/>
                <w:szCs w:val="14"/>
                <w:lang w:eastAsia="pt-BR"/>
              </w:rPr>
              <w:t>X</w:t>
            </w:r>
          </w:p>
        </w:tc>
        <w:tc>
          <w:tcPr>
            <w:tcW w:w="1417" w:type="dxa"/>
            <w:vAlign w:val="center"/>
          </w:tcPr>
          <w:p w14:paraId="6EF7AFBC" w14:textId="28BD22BB" w:rsidR="00CD52BA" w:rsidRPr="002C024D" w:rsidRDefault="00CD52BA" w:rsidP="00CD52BA">
            <w:pPr>
              <w:spacing w:after="0" w:line="240" w:lineRule="auto"/>
              <w:jc w:val="center"/>
              <w:rPr>
                <w:rFonts w:ascii="Arial" w:eastAsia="Times New Roman" w:hAnsi="Arial" w:cs="Arial"/>
                <w:sz w:val="14"/>
                <w:szCs w:val="14"/>
                <w:lang w:eastAsia="pt-BR"/>
              </w:rPr>
            </w:pPr>
            <w:r w:rsidRPr="002C024D">
              <w:rPr>
                <w:rFonts w:ascii="Arial" w:eastAsia="Times New Roman" w:hAnsi="Arial" w:cs="Arial"/>
                <w:sz w:val="14"/>
                <w:szCs w:val="14"/>
                <w:lang w:eastAsia="pt-BR"/>
              </w:rPr>
              <w:t>X</w:t>
            </w:r>
          </w:p>
        </w:tc>
      </w:tr>
      <w:tr w:rsidR="00CD52BA" w:rsidRPr="002C024D" w14:paraId="0FAE339B" w14:textId="77777777" w:rsidTr="006F1F8D">
        <w:tc>
          <w:tcPr>
            <w:tcW w:w="1294" w:type="dxa"/>
            <w:vAlign w:val="center"/>
          </w:tcPr>
          <w:p w14:paraId="557C020A" w14:textId="44CE29C7" w:rsidR="00CD52BA" w:rsidRPr="002C024D" w:rsidRDefault="00CD52BA" w:rsidP="00CD52BA">
            <w:pPr>
              <w:spacing w:after="0" w:line="240" w:lineRule="auto"/>
              <w:jc w:val="center"/>
              <w:rPr>
                <w:rFonts w:ascii="Arial" w:eastAsia="Times New Roman" w:hAnsi="Arial" w:cs="Arial"/>
                <w:sz w:val="18"/>
                <w:szCs w:val="18"/>
                <w:lang w:eastAsia="pt-BR"/>
              </w:rPr>
            </w:pPr>
            <w:r w:rsidRPr="002C024D">
              <w:rPr>
                <w:rFonts w:ascii="Arial" w:eastAsia="Times New Roman" w:hAnsi="Arial" w:cs="Arial"/>
                <w:sz w:val="18"/>
                <w:szCs w:val="18"/>
                <w:lang w:eastAsia="pt-BR"/>
              </w:rPr>
              <w:t xml:space="preserve">BALGAPE </w:t>
            </w:r>
          </w:p>
        </w:tc>
        <w:tc>
          <w:tcPr>
            <w:tcW w:w="6894" w:type="dxa"/>
            <w:shd w:val="clear" w:color="auto" w:fill="auto"/>
            <w:vAlign w:val="center"/>
          </w:tcPr>
          <w:p w14:paraId="11670E01" w14:textId="34259AF3" w:rsidR="00CD52BA" w:rsidRPr="002C024D" w:rsidRDefault="00CD52BA" w:rsidP="00CD52BA">
            <w:pPr>
              <w:pStyle w:val="TableParagraph"/>
              <w:spacing w:before="120" w:after="120"/>
              <w:ind w:left="102" w:right="111"/>
              <w:rPr>
                <w:rFonts w:ascii="Arial" w:hAnsi="Arial" w:cs="Arial"/>
                <w:sz w:val="18"/>
                <w:szCs w:val="18"/>
                <w:lang w:val="pt-BR"/>
              </w:rPr>
            </w:pPr>
            <w:r w:rsidRPr="005B7FCC">
              <w:rPr>
                <w:rFonts w:ascii="Arial" w:eastAsia="Times New Roman" w:hAnsi="Arial" w:cs="Arial"/>
                <w:sz w:val="18"/>
                <w:szCs w:val="18"/>
                <w:lang w:val="pt-BR" w:eastAsia="pt-BR"/>
              </w:rPr>
              <w:t>Balanço de ganhos e perdas atuariais, identificando as principais causas do déficit atuarial, incluindo cenários com possibilidades para seu equacionamento e seus impactos.</w:t>
            </w:r>
          </w:p>
        </w:tc>
        <w:tc>
          <w:tcPr>
            <w:tcW w:w="992" w:type="dxa"/>
            <w:shd w:val="clear" w:color="auto" w:fill="auto"/>
            <w:vAlign w:val="center"/>
          </w:tcPr>
          <w:p w14:paraId="39910412" w14:textId="21B62615" w:rsidR="00CD52BA" w:rsidRPr="002C024D" w:rsidRDefault="00CD52BA" w:rsidP="00CD52BA">
            <w:pPr>
              <w:spacing w:after="0" w:line="240" w:lineRule="auto"/>
              <w:jc w:val="center"/>
              <w:rPr>
                <w:rFonts w:ascii="Arial" w:eastAsia="Times New Roman" w:hAnsi="Arial" w:cs="Arial"/>
                <w:sz w:val="14"/>
                <w:szCs w:val="14"/>
                <w:lang w:eastAsia="pt-BR"/>
              </w:rPr>
            </w:pPr>
            <w:r w:rsidRPr="002C024D">
              <w:rPr>
                <w:rFonts w:ascii="Arial" w:eastAsia="Times New Roman" w:hAnsi="Arial" w:cs="Arial"/>
                <w:sz w:val="14"/>
                <w:szCs w:val="14"/>
                <w:lang w:eastAsia="pt-BR"/>
              </w:rPr>
              <w:t>PDF</w:t>
            </w:r>
          </w:p>
        </w:tc>
        <w:tc>
          <w:tcPr>
            <w:tcW w:w="1418" w:type="dxa"/>
            <w:vAlign w:val="center"/>
          </w:tcPr>
          <w:p w14:paraId="0B55F9DD" w14:textId="77777777" w:rsidR="00CD52BA" w:rsidRPr="002C024D" w:rsidRDefault="00CD52BA" w:rsidP="00CD52BA">
            <w:pPr>
              <w:spacing w:after="0" w:line="240" w:lineRule="auto"/>
              <w:jc w:val="center"/>
              <w:rPr>
                <w:rFonts w:ascii="Arial" w:eastAsia="Times New Roman" w:hAnsi="Arial" w:cs="Arial"/>
                <w:sz w:val="14"/>
                <w:szCs w:val="14"/>
                <w:lang w:eastAsia="pt-BR"/>
              </w:rPr>
            </w:pPr>
          </w:p>
        </w:tc>
        <w:tc>
          <w:tcPr>
            <w:tcW w:w="1134" w:type="dxa"/>
            <w:vAlign w:val="center"/>
          </w:tcPr>
          <w:p w14:paraId="7C5F4628" w14:textId="63DFCA3F" w:rsidR="00CD52BA" w:rsidRPr="002C024D" w:rsidRDefault="00CD52BA" w:rsidP="00CD52BA">
            <w:pPr>
              <w:spacing w:after="0" w:line="240" w:lineRule="auto"/>
              <w:jc w:val="center"/>
              <w:rPr>
                <w:rFonts w:ascii="Arial" w:eastAsia="Times New Roman" w:hAnsi="Arial" w:cs="Arial"/>
                <w:sz w:val="14"/>
                <w:szCs w:val="14"/>
                <w:lang w:eastAsia="pt-BR"/>
              </w:rPr>
            </w:pPr>
            <w:r w:rsidRPr="002C024D">
              <w:rPr>
                <w:rFonts w:ascii="Arial" w:eastAsia="Times New Roman" w:hAnsi="Arial" w:cs="Arial"/>
                <w:sz w:val="14"/>
                <w:szCs w:val="14"/>
                <w:lang w:eastAsia="pt-BR"/>
              </w:rPr>
              <w:t>X</w:t>
            </w:r>
          </w:p>
        </w:tc>
        <w:tc>
          <w:tcPr>
            <w:tcW w:w="1417" w:type="dxa"/>
            <w:vAlign w:val="center"/>
          </w:tcPr>
          <w:p w14:paraId="6E13798B" w14:textId="1B5EABD4" w:rsidR="00CD52BA" w:rsidRPr="002C024D" w:rsidRDefault="00CD52BA" w:rsidP="00CD52BA">
            <w:pPr>
              <w:spacing w:after="0" w:line="240" w:lineRule="auto"/>
              <w:jc w:val="center"/>
              <w:rPr>
                <w:rFonts w:ascii="Arial" w:eastAsia="Times New Roman" w:hAnsi="Arial" w:cs="Arial"/>
                <w:sz w:val="14"/>
                <w:szCs w:val="14"/>
                <w:lang w:eastAsia="pt-BR"/>
              </w:rPr>
            </w:pPr>
            <w:r w:rsidRPr="002C024D">
              <w:rPr>
                <w:rFonts w:ascii="Arial" w:eastAsia="Times New Roman" w:hAnsi="Arial" w:cs="Arial"/>
                <w:sz w:val="14"/>
                <w:szCs w:val="14"/>
                <w:lang w:eastAsia="pt-BR"/>
              </w:rPr>
              <w:t>X</w:t>
            </w:r>
          </w:p>
        </w:tc>
        <w:tc>
          <w:tcPr>
            <w:tcW w:w="1417" w:type="dxa"/>
            <w:vAlign w:val="center"/>
          </w:tcPr>
          <w:p w14:paraId="7C2AC400" w14:textId="19F2AECC" w:rsidR="00CD52BA" w:rsidRPr="002C024D" w:rsidRDefault="00CD52BA" w:rsidP="00CD52BA">
            <w:pPr>
              <w:spacing w:after="0" w:line="240" w:lineRule="auto"/>
              <w:jc w:val="center"/>
              <w:rPr>
                <w:rFonts w:ascii="Arial" w:eastAsia="Times New Roman" w:hAnsi="Arial" w:cs="Arial"/>
                <w:sz w:val="14"/>
                <w:szCs w:val="14"/>
                <w:lang w:eastAsia="pt-BR"/>
              </w:rPr>
            </w:pPr>
            <w:r w:rsidRPr="002C024D">
              <w:rPr>
                <w:rFonts w:ascii="Arial" w:eastAsia="Times New Roman" w:hAnsi="Arial" w:cs="Arial"/>
                <w:sz w:val="14"/>
                <w:szCs w:val="14"/>
                <w:lang w:eastAsia="pt-BR"/>
              </w:rPr>
              <w:t>X</w:t>
            </w:r>
          </w:p>
        </w:tc>
      </w:tr>
      <w:tr w:rsidR="00CD52BA" w:rsidRPr="002C024D" w14:paraId="3428120B" w14:textId="77777777" w:rsidTr="006F1F8D">
        <w:tc>
          <w:tcPr>
            <w:tcW w:w="1294" w:type="dxa"/>
            <w:vAlign w:val="center"/>
          </w:tcPr>
          <w:p w14:paraId="6100EE94" w14:textId="2E383C23" w:rsidR="00CD52BA" w:rsidRPr="002C024D" w:rsidRDefault="00CD52BA" w:rsidP="00CD52BA">
            <w:pPr>
              <w:spacing w:after="0" w:line="240" w:lineRule="auto"/>
              <w:jc w:val="center"/>
              <w:rPr>
                <w:rFonts w:ascii="Arial" w:eastAsia="Times New Roman" w:hAnsi="Arial" w:cs="Arial"/>
                <w:sz w:val="18"/>
                <w:szCs w:val="18"/>
                <w:lang w:eastAsia="pt-BR"/>
              </w:rPr>
            </w:pPr>
            <w:r w:rsidRPr="002C024D">
              <w:rPr>
                <w:rFonts w:ascii="Arial" w:eastAsia="Times New Roman" w:hAnsi="Arial" w:cs="Arial"/>
                <w:sz w:val="18"/>
                <w:szCs w:val="18"/>
                <w:lang w:eastAsia="pt-BR"/>
              </w:rPr>
              <w:t>DELCENS</w:t>
            </w:r>
          </w:p>
        </w:tc>
        <w:tc>
          <w:tcPr>
            <w:tcW w:w="6894" w:type="dxa"/>
            <w:shd w:val="clear" w:color="auto" w:fill="auto"/>
            <w:vAlign w:val="center"/>
          </w:tcPr>
          <w:p w14:paraId="3E67D319" w14:textId="77777777" w:rsidR="00CD52BA" w:rsidRPr="002C024D" w:rsidRDefault="00CD52BA" w:rsidP="00CD52BA">
            <w:pPr>
              <w:spacing w:before="120" w:after="120" w:line="240" w:lineRule="auto"/>
              <w:jc w:val="both"/>
              <w:rPr>
                <w:rFonts w:ascii="Arial" w:eastAsia="Times New Roman" w:hAnsi="Arial" w:cs="Arial"/>
                <w:sz w:val="18"/>
                <w:szCs w:val="18"/>
                <w:lang w:eastAsia="pt-BR"/>
              </w:rPr>
            </w:pPr>
            <w:r w:rsidRPr="002C024D">
              <w:rPr>
                <w:rFonts w:ascii="Arial" w:eastAsia="Times New Roman" w:hAnsi="Arial" w:cs="Arial"/>
                <w:sz w:val="18"/>
                <w:szCs w:val="18"/>
                <w:lang w:eastAsia="pt-BR"/>
              </w:rPr>
              <w:t xml:space="preserve">Declaração do Gestor do RPPS sobre a realização de censo previdenciário, recadastramento e prova de vida, abrangendo as seguintes informações: a) ocorrência de recenseamento previdenciário, com periodicidade não superior a cinco anos, abrangendo todos os aposentados e pensionistas (Artigo 15, inciso II da Orientação Normativa SPS nº 02/2009, Art. 09 da Lei Federal nº 10.887/2004); b) ocorrência de recadastramento previdenciário por meio da atualização de dados cadastrais como: endereço, telefone, agência bancária, entre outros dados; c) </w:t>
            </w:r>
            <w:r w:rsidRPr="002C024D">
              <w:rPr>
                <w:rFonts w:ascii="Arial" w:eastAsia="Times New Roman" w:hAnsi="Arial" w:cs="Arial"/>
                <w:sz w:val="18"/>
                <w:szCs w:val="18"/>
                <w:lang w:eastAsia="pt-BR"/>
              </w:rPr>
              <w:lastRenderedPageBreak/>
              <w:t>realização de prova de vida que consiste na comprovação física da existência do beneficiário para garantir a manutenção do benefícios (o ente poderá incluir essa obrigação em lei). Alcance, informações recenseadas, campos exigidos, duração, abrangência, estrutura própria ou terceirizada.</w:t>
            </w:r>
          </w:p>
          <w:p w14:paraId="7BCD907C" w14:textId="77777777" w:rsidR="00CD52BA" w:rsidRPr="002C024D" w:rsidRDefault="00CD52BA" w:rsidP="00CD52BA">
            <w:pPr>
              <w:pStyle w:val="TableParagraph"/>
              <w:spacing w:before="120" w:after="120"/>
              <w:ind w:left="102" w:right="111"/>
              <w:rPr>
                <w:rFonts w:ascii="Arial" w:hAnsi="Arial" w:cs="Arial"/>
                <w:sz w:val="18"/>
                <w:szCs w:val="18"/>
                <w:lang w:val="pt-BR"/>
              </w:rPr>
            </w:pPr>
          </w:p>
        </w:tc>
        <w:tc>
          <w:tcPr>
            <w:tcW w:w="992" w:type="dxa"/>
            <w:shd w:val="clear" w:color="auto" w:fill="auto"/>
            <w:vAlign w:val="center"/>
          </w:tcPr>
          <w:p w14:paraId="182CD465" w14:textId="301A2B64" w:rsidR="00CD52BA" w:rsidRPr="002C024D" w:rsidRDefault="00CD52BA" w:rsidP="00CD52BA">
            <w:pPr>
              <w:spacing w:after="0" w:line="240" w:lineRule="auto"/>
              <w:jc w:val="center"/>
              <w:rPr>
                <w:rFonts w:ascii="Arial" w:eastAsia="Times New Roman" w:hAnsi="Arial" w:cs="Arial"/>
                <w:sz w:val="14"/>
                <w:szCs w:val="14"/>
                <w:lang w:eastAsia="pt-BR"/>
              </w:rPr>
            </w:pPr>
            <w:r w:rsidRPr="002C024D">
              <w:rPr>
                <w:rFonts w:ascii="Arial" w:eastAsia="Times New Roman" w:hAnsi="Arial" w:cs="Arial"/>
                <w:sz w:val="14"/>
                <w:szCs w:val="14"/>
                <w:lang w:eastAsia="pt-BR"/>
              </w:rPr>
              <w:lastRenderedPageBreak/>
              <w:t>PDF</w:t>
            </w:r>
          </w:p>
        </w:tc>
        <w:tc>
          <w:tcPr>
            <w:tcW w:w="1418" w:type="dxa"/>
            <w:vAlign w:val="center"/>
          </w:tcPr>
          <w:p w14:paraId="0ADCD72C" w14:textId="77777777" w:rsidR="00CD52BA" w:rsidRPr="002C024D" w:rsidRDefault="00CD52BA" w:rsidP="00CD52BA">
            <w:pPr>
              <w:spacing w:after="0" w:line="240" w:lineRule="auto"/>
              <w:jc w:val="center"/>
              <w:rPr>
                <w:rFonts w:ascii="Arial" w:eastAsia="Times New Roman" w:hAnsi="Arial" w:cs="Arial"/>
                <w:sz w:val="14"/>
                <w:szCs w:val="14"/>
                <w:lang w:eastAsia="pt-BR"/>
              </w:rPr>
            </w:pPr>
          </w:p>
        </w:tc>
        <w:tc>
          <w:tcPr>
            <w:tcW w:w="1134" w:type="dxa"/>
            <w:vAlign w:val="center"/>
          </w:tcPr>
          <w:p w14:paraId="55377A77" w14:textId="76FF75D7" w:rsidR="00CD52BA" w:rsidRPr="002C024D" w:rsidRDefault="00CD52BA" w:rsidP="00CD52BA">
            <w:pPr>
              <w:spacing w:after="0" w:line="240" w:lineRule="auto"/>
              <w:jc w:val="center"/>
              <w:rPr>
                <w:rFonts w:ascii="Arial" w:eastAsia="Times New Roman" w:hAnsi="Arial" w:cs="Arial"/>
                <w:sz w:val="14"/>
                <w:szCs w:val="14"/>
                <w:lang w:eastAsia="pt-BR"/>
              </w:rPr>
            </w:pPr>
            <w:r w:rsidRPr="002C024D">
              <w:rPr>
                <w:rFonts w:ascii="Arial" w:eastAsia="Times New Roman" w:hAnsi="Arial" w:cs="Arial"/>
                <w:sz w:val="14"/>
                <w:szCs w:val="14"/>
                <w:lang w:eastAsia="pt-BR"/>
              </w:rPr>
              <w:t>X</w:t>
            </w:r>
          </w:p>
        </w:tc>
        <w:tc>
          <w:tcPr>
            <w:tcW w:w="1417" w:type="dxa"/>
            <w:vAlign w:val="center"/>
          </w:tcPr>
          <w:p w14:paraId="4C620C02" w14:textId="4158A321" w:rsidR="00CD52BA" w:rsidRPr="002C024D" w:rsidRDefault="00CD52BA" w:rsidP="00CD52BA">
            <w:pPr>
              <w:spacing w:after="0" w:line="240" w:lineRule="auto"/>
              <w:jc w:val="center"/>
              <w:rPr>
                <w:rFonts w:ascii="Arial" w:eastAsia="Times New Roman" w:hAnsi="Arial" w:cs="Arial"/>
                <w:sz w:val="14"/>
                <w:szCs w:val="14"/>
                <w:lang w:eastAsia="pt-BR"/>
              </w:rPr>
            </w:pPr>
            <w:r w:rsidRPr="002C024D">
              <w:rPr>
                <w:rFonts w:ascii="Arial" w:eastAsia="Times New Roman" w:hAnsi="Arial" w:cs="Arial"/>
                <w:sz w:val="14"/>
                <w:szCs w:val="14"/>
                <w:lang w:eastAsia="pt-BR"/>
              </w:rPr>
              <w:t>X</w:t>
            </w:r>
          </w:p>
        </w:tc>
        <w:tc>
          <w:tcPr>
            <w:tcW w:w="1417" w:type="dxa"/>
            <w:vAlign w:val="center"/>
          </w:tcPr>
          <w:p w14:paraId="68738E54" w14:textId="007703BB" w:rsidR="00CD52BA" w:rsidRPr="002C024D" w:rsidRDefault="00CD52BA" w:rsidP="00CD52BA">
            <w:pPr>
              <w:spacing w:after="0" w:line="240" w:lineRule="auto"/>
              <w:jc w:val="center"/>
              <w:rPr>
                <w:rFonts w:ascii="Arial" w:eastAsia="Times New Roman" w:hAnsi="Arial" w:cs="Arial"/>
                <w:sz w:val="14"/>
                <w:szCs w:val="14"/>
                <w:lang w:eastAsia="pt-BR"/>
              </w:rPr>
            </w:pPr>
            <w:r w:rsidRPr="002C024D">
              <w:rPr>
                <w:rFonts w:ascii="Arial" w:eastAsia="Times New Roman" w:hAnsi="Arial" w:cs="Arial"/>
                <w:sz w:val="14"/>
                <w:szCs w:val="14"/>
                <w:lang w:eastAsia="pt-BR"/>
              </w:rPr>
              <w:t>X</w:t>
            </w:r>
          </w:p>
        </w:tc>
      </w:tr>
      <w:tr w:rsidR="00CD52BA" w:rsidRPr="002C024D" w14:paraId="1F5803B7" w14:textId="77777777" w:rsidTr="006F1F8D">
        <w:tc>
          <w:tcPr>
            <w:tcW w:w="1294" w:type="dxa"/>
            <w:vAlign w:val="center"/>
          </w:tcPr>
          <w:p w14:paraId="52077812" w14:textId="27FA237A" w:rsidR="00CD52BA" w:rsidRPr="00527448" w:rsidRDefault="00CD52BA" w:rsidP="00CD52BA">
            <w:pPr>
              <w:spacing w:after="0" w:line="240" w:lineRule="auto"/>
              <w:jc w:val="center"/>
              <w:rPr>
                <w:rFonts w:ascii="Arial" w:eastAsia="Times New Roman" w:hAnsi="Arial" w:cs="Arial"/>
                <w:sz w:val="18"/>
                <w:szCs w:val="18"/>
                <w:lang w:eastAsia="pt-BR"/>
              </w:rPr>
            </w:pPr>
            <w:r w:rsidRPr="00527448">
              <w:rPr>
                <w:rFonts w:ascii="Arial" w:eastAsia="Arial" w:hAnsi="Arial" w:cs="Arial"/>
                <w:sz w:val="18"/>
              </w:rPr>
              <w:lastRenderedPageBreak/>
              <w:t>CRONOS</w:t>
            </w:r>
          </w:p>
        </w:tc>
        <w:tc>
          <w:tcPr>
            <w:tcW w:w="6894" w:type="dxa"/>
            <w:shd w:val="clear" w:color="auto" w:fill="auto"/>
            <w:vAlign w:val="center"/>
          </w:tcPr>
          <w:p w14:paraId="03962E33" w14:textId="422FBCC3" w:rsidR="00CD52BA" w:rsidRPr="00527448" w:rsidRDefault="00CD52BA" w:rsidP="00CD52BA">
            <w:pPr>
              <w:pStyle w:val="TableParagraph"/>
              <w:spacing w:before="120" w:after="120"/>
              <w:ind w:left="102" w:right="111"/>
              <w:jc w:val="both"/>
              <w:rPr>
                <w:rFonts w:ascii="Arial" w:hAnsi="Arial" w:cs="Arial"/>
                <w:sz w:val="18"/>
                <w:szCs w:val="18"/>
                <w:lang w:val="pt-BR"/>
              </w:rPr>
            </w:pPr>
            <w:r w:rsidRPr="005B7FCC">
              <w:rPr>
                <w:rFonts w:ascii="Arial" w:eastAsia="Times New Roman" w:hAnsi="Arial" w:cs="Arial"/>
                <w:sz w:val="18"/>
                <w:szCs w:val="18"/>
                <w:lang w:val="pt-BR" w:eastAsia="pt-BR"/>
              </w:rPr>
              <w:t>Ato(s) normativo(s) da autoridade competente regulamentando a ordem cronológica dos pagamentos, nos termos do art. 5º da Lei Federal nº. 8666/93.</w:t>
            </w:r>
          </w:p>
        </w:tc>
        <w:tc>
          <w:tcPr>
            <w:tcW w:w="992" w:type="dxa"/>
            <w:shd w:val="clear" w:color="auto" w:fill="auto"/>
            <w:vAlign w:val="center"/>
          </w:tcPr>
          <w:p w14:paraId="3376FDF8" w14:textId="3C695C95" w:rsidR="00CD52BA" w:rsidRPr="00527448" w:rsidRDefault="00CD52BA" w:rsidP="00CD52BA">
            <w:pPr>
              <w:spacing w:after="0" w:line="240" w:lineRule="auto"/>
              <w:jc w:val="center"/>
              <w:rPr>
                <w:rFonts w:ascii="Arial" w:eastAsia="Times New Roman" w:hAnsi="Arial" w:cs="Arial"/>
                <w:sz w:val="14"/>
                <w:szCs w:val="14"/>
                <w:lang w:eastAsia="pt-BR"/>
              </w:rPr>
            </w:pPr>
            <w:r w:rsidRPr="00527448">
              <w:rPr>
                <w:rFonts w:ascii="Arial" w:eastAsia="Times New Roman" w:hAnsi="Arial" w:cs="Arial"/>
                <w:sz w:val="14"/>
                <w:szCs w:val="14"/>
                <w:lang w:eastAsia="pt-BR"/>
              </w:rPr>
              <w:t>PDF</w:t>
            </w:r>
          </w:p>
        </w:tc>
        <w:tc>
          <w:tcPr>
            <w:tcW w:w="1418" w:type="dxa"/>
            <w:vAlign w:val="center"/>
          </w:tcPr>
          <w:p w14:paraId="76F9E9B5" w14:textId="31118E81" w:rsidR="00CD52BA" w:rsidRPr="00527448" w:rsidRDefault="00CD52BA" w:rsidP="00CD52BA">
            <w:pPr>
              <w:spacing w:after="0" w:line="240" w:lineRule="auto"/>
              <w:jc w:val="center"/>
              <w:rPr>
                <w:rFonts w:ascii="Arial" w:eastAsia="Times New Roman" w:hAnsi="Arial" w:cs="Arial"/>
                <w:sz w:val="14"/>
                <w:szCs w:val="14"/>
                <w:lang w:eastAsia="pt-BR"/>
              </w:rPr>
            </w:pPr>
            <w:r w:rsidRPr="00527448">
              <w:rPr>
                <w:rFonts w:ascii="Arial" w:eastAsia="Times New Roman" w:hAnsi="Arial" w:cs="Arial"/>
                <w:sz w:val="14"/>
                <w:szCs w:val="14"/>
                <w:lang w:eastAsia="pt-BR"/>
              </w:rPr>
              <w:t>X</w:t>
            </w:r>
          </w:p>
        </w:tc>
        <w:tc>
          <w:tcPr>
            <w:tcW w:w="1134" w:type="dxa"/>
            <w:vAlign w:val="center"/>
          </w:tcPr>
          <w:p w14:paraId="6C87C40E" w14:textId="77777777" w:rsidR="00CD52BA" w:rsidRPr="00527448" w:rsidRDefault="00CD52BA" w:rsidP="00CD52BA">
            <w:pPr>
              <w:spacing w:after="0" w:line="240" w:lineRule="auto"/>
              <w:jc w:val="center"/>
              <w:rPr>
                <w:rFonts w:ascii="Arial" w:eastAsia="Times New Roman" w:hAnsi="Arial" w:cs="Arial"/>
                <w:sz w:val="14"/>
                <w:szCs w:val="14"/>
                <w:lang w:eastAsia="pt-BR"/>
              </w:rPr>
            </w:pPr>
          </w:p>
        </w:tc>
        <w:tc>
          <w:tcPr>
            <w:tcW w:w="1417" w:type="dxa"/>
            <w:vAlign w:val="center"/>
          </w:tcPr>
          <w:p w14:paraId="2F793E4E" w14:textId="77777777" w:rsidR="00CD52BA" w:rsidRPr="00527448" w:rsidRDefault="00CD52BA" w:rsidP="00CD52BA">
            <w:pPr>
              <w:spacing w:after="0" w:line="240" w:lineRule="auto"/>
              <w:jc w:val="center"/>
              <w:rPr>
                <w:rFonts w:ascii="Arial" w:eastAsia="Times New Roman" w:hAnsi="Arial" w:cs="Arial"/>
                <w:sz w:val="14"/>
                <w:szCs w:val="14"/>
                <w:lang w:eastAsia="pt-BR"/>
              </w:rPr>
            </w:pPr>
          </w:p>
        </w:tc>
        <w:tc>
          <w:tcPr>
            <w:tcW w:w="1417" w:type="dxa"/>
            <w:vAlign w:val="center"/>
          </w:tcPr>
          <w:p w14:paraId="5957FB7E" w14:textId="0994C48E" w:rsidR="00CD52BA" w:rsidRPr="00527448" w:rsidRDefault="00CD52BA" w:rsidP="00CD52BA">
            <w:pPr>
              <w:spacing w:after="0" w:line="240" w:lineRule="auto"/>
              <w:jc w:val="center"/>
              <w:rPr>
                <w:rFonts w:ascii="Arial" w:eastAsia="Times New Roman" w:hAnsi="Arial" w:cs="Arial"/>
                <w:sz w:val="14"/>
                <w:szCs w:val="14"/>
                <w:lang w:eastAsia="pt-BR"/>
              </w:rPr>
            </w:pPr>
            <w:r w:rsidRPr="00527448">
              <w:rPr>
                <w:rFonts w:ascii="Arial" w:eastAsia="Times New Roman" w:hAnsi="Arial" w:cs="Arial"/>
                <w:sz w:val="14"/>
                <w:szCs w:val="14"/>
                <w:lang w:eastAsia="pt-BR"/>
              </w:rPr>
              <w:t>X</w:t>
            </w:r>
          </w:p>
        </w:tc>
      </w:tr>
      <w:tr w:rsidR="00CD52BA" w:rsidRPr="002C024D" w14:paraId="66917392" w14:textId="77777777" w:rsidTr="006F1F8D">
        <w:tc>
          <w:tcPr>
            <w:tcW w:w="1294" w:type="dxa"/>
            <w:vAlign w:val="center"/>
          </w:tcPr>
          <w:p w14:paraId="363E1F70" w14:textId="2B453F53" w:rsidR="00CD52BA" w:rsidRPr="00527448" w:rsidRDefault="00CD52BA" w:rsidP="00CD52BA">
            <w:pPr>
              <w:spacing w:after="0" w:line="240" w:lineRule="auto"/>
              <w:jc w:val="center"/>
              <w:rPr>
                <w:rFonts w:ascii="Arial" w:eastAsia="Times New Roman" w:hAnsi="Arial" w:cs="Arial"/>
                <w:sz w:val="18"/>
                <w:szCs w:val="18"/>
                <w:lang w:eastAsia="pt-BR"/>
              </w:rPr>
            </w:pPr>
            <w:r w:rsidRPr="00527448">
              <w:rPr>
                <w:rFonts w:ascii="Arial" w:eastAsia="Arial" w:hAnsi="Arial" w:cs="Arial"/>
                <w:sz w:val="18"/>
              </w:rPr>
              <w:t>JUSTCRO</w:t>
            </w:r>
          </w:p>
        </w:tc>
        <w:tc>
          <w:tcPr>
            <w:tcW w:w="6894" w:type="dxa"/>
            <w:shd w:val="clear" w:color="auto" w:fill="auto"/>
            <w:vAlign w:val="center"/>
          </w:tcPr>
          <w:p w14:paraId="0848EDD9" w14:textId="1A9B0E6C" w:rsidR="00CD52BA" w:rsidRPr="00527448" w:rsidRDefault="00CD52BA" w:rsidP="00CD52BA">
            <w:pPr>
              <w:pStyle w:val="TableParagraph"/>
              <w:spacing w:before="120" w:after="120"/>
              <w:ind w:left="102" w:right="111"/>
              <w:jc w:val="both"/>
              <w:rPr>
                <w:rFonts w:ascii="Arial" w:hAnsi="Arial" w:cs="Arial"/>
                <w:sz w:val="18"/>
                <w:szCs w:val="18"/>
                <w:lang w:val="pt-BR"/>
              </w:rPr>
            </w:pPr>
            <w:r w:rsidRPr="005B7FCC">
              <w:rPr>
                <w:rFonts w:ascii="Arial" w:eastAsia="Times New Roman" w:hAnsi="Arial" w:cs="Arial"/>
                <w:sz w:val="18"/>
                <w:szCs w:val="18"/>
                <w:lang w:val="pt-BR" w:eastAsia="pt-BR"/>
              </w:rPr>
              <w:t>Justificativas da autoridade competente evidenciando as relevantes razões de interesse público para todos os pagamentos que inobservaram a estrita ordem cronológica das datas de suas exigibilidades, para cada fonte diferenciada de recursos, acompanhadas de suas respectivas publicações no exercício.</w:t>
            </w:r>
          </w:p>
        </w:tc>
        <w:tc>
          <w:tcPr>
            <w:tcW w:w="992" w:type="dxa"/>
            <w:shd w:val="clear" w:color="auto" w:fill="auto"/>
            <w:vAlign w:val="center"/>
          </w:tcPr>
          <w:p w14:paraId="70D94F5B" w14:textId="498512B6" w:rsidR="00CD52BA" w:rsidRPr="00527448" w:rsidRDefault="00CD52BA" w:rsidP="00CD52BA">
            <w:pPr>
              <w:spacing w:after="0" w:line="240" w:lineRule="auto"/>
              <w:jc w:val="center"/>
              <w:rPr>
                <w:rFonts w:ascii="Arial" w:eastAsia="Times New Roman" w:hAnsi="Arial" w:cs="Arial"/>
                <w:sz w:val="14"/>
                <w:szCs w:val="14"/>
                <w:lang w:eastAsia="pt-BR"/>
              </w:rPr>
            </w:pPr>
            <w:r w:rsidRPr="00527448">
              <w:rPr>
                <w:rFonts w:ascii="Arial" w:eastAsia="Times New Roman" w:hAnsi="Arial" w:cs="Arial"/>
                <w:sz w:val="14"/>
                <w:szCs w:val="14"/>
                <w:lang w:eastAsia="pt-BR"/>
              </w:rPr>
              <w:t>PDF</w:t>
            </w:r>
          </w:p>
        </w:tc>
        <w:tc>
          <w:tcPr>
            <w:tcW w:w="1418" w:type="dxa"/>
            <w:vAlign w:val="center"/>
          </w:tcPr>
          <w:p w14:paraId="5BC658BB" w14:textId="112BA2EB" w:rsidR="00CD52BA" w:rsidRPr="00527448" w:rsidRDefault="00CD52BA" w:rsidP="00CD52BA">
            <w:pPr>
              <w:spacing w:after="0" w:line="240" w:lineRule="auto"/>
              <w:jc w:val="center"/>
              <w:rPr>
                <w:rFonts w:ascii="Arial" w:eastAsia="Times New Roman" w:hAnsi="Arial" w:cs="Arial"/>
                <w:sz w:val="14"/>
                <w:szCs w:val="14"/>
                <w:lang w:eastAsia="pt-BR"/>
              </w:rPr>
            </w:pPr>
            <w:r w:rsidRPr="00527448">
              <w:rPr>
                <w:rFonts w:ascii="Arial" w:eastAsia="Times New Roman" w:hAnsi="Arial" w:cs="Arial"/>
                <w:sz w:val="14"/>
                <w:szCs w:val="14"/>
                <w:lang w:eastAsia="pt-BR"/>
              </w:rPr>
              <w:t>X</w:t>
            </w:r>
          </w:p>
        </w:tc>
        <w:tc>
          <w:tcPr>
            <w:tcW w:w="1134" w:type="dxa"/>
            <w:vAlign w:val="center"/>
          </w:tcPr>
          <w:p w14:paraId="6346F5BE" w14:textId="77777777" w:rsidR="00CD52BA" w:rsidRPr="00527448" w:rsidRDefault="00CD52BA" w:rsidP="00CD52BA">
            <w:pPr>
              <w:spacing w:after="0" w:line="240" w:lineRule="auto"/>
              <w:jc w:val="center"/>
              <w:rPr>
                <w:rFonts w:ascii="Arial" w:eastAsia="Times New Roman" w:hAnsi="Arial" w:cs="Arial"/>
                <w:sz w:val="14"/>
                <w:szCs w:val="14"/>
                <w:lang w:eastAsia="pt-BR"/>
              </w:rPr>
            </w:pPr>
          </w:p>
        </w:tc>
        <w:tc>
          <w:tcPr>
            <w:tcW w:w="1417" w:type="dxa"/>
            <w:vAlign w:val="center"/>
          </w:tcPr>
          <w:p w14:paraId="344E64DF" w14:textId="77777777" w:rsidR="00CD52BA" w:rsidRPr="00527448" w:rsidRDefault="00CD52BA" w:rsidP="00CD52BA">
            <w:pPr>
              <w:spacing w:after="0" w:line="240" w:lineRule="auto"/>
              <w:jc w:val="center"/>
              <w:rPr>
                <w:rFonts w:ascii="Arial" w:eastAsia="Times New Roman" w:hAnsi="Arial" w:cs="Arial"/>
                <w:sz w:val="14"/>
                <w:szCs w:val="14"/>
                <w:lang w:eastAsia="pt-BR"/>
              </w:rPr>
            </w:pPr>
          </w:p>
        </w:tc>
        <w:tc>
          <w:tcPr>
            <w:tcW w:w="1417" w:type="dxa"/>
            <w:vAlign w:val="center"/>
          </w:tcPr>
          <w:p w14:paraId="3E80999A" w14:textId="5215B9D5" w:rsidR="00CD52BA" w:rsidRPr="00527448" w:rsidRDefault="00CD52BA" w:rsidP="00CD52BA">
            <w:pPr>
              <w:spacing w:after="0" w:line="240" w:lineRule="auto"/>
              <w:jc w:val="center"/>
              <w:rPr>
                <w:rFonts w:ascii="Arial" w:eastAsia="Times New Roman" w:hAnsi="Arial" w:cs="Arial"/>
                <w:sz w:val="14"/>
                <w:szCs w:val="14"/>
                <w:lang w:eastAsia="pt-BR"/>
              </w:rPr>
            </w:pPr>
            <w:r w:rsidRPr="00527448">
              <w:rPr>
                <w:rFonts w:ascii="Arial" w:eastAsia="Times New Roman" w:hAnsi="Arial" w:cs="Arial"/>
                <w:sz w:val="14"/>
                <w:szCs w:val="14"/>
                <w:lang w:eastAsia="pt-BR"/>
              </w:rPr>
              <w:t>X</w:t>
            </w:r>
          </w:p>
        </w:tc>
      </w:tr>
      <w:tr w:rsidR="00CD52BA" w:rsidRPr="002C024D" w14:paraId="27688969" w14:textId="10E059DF" w:rsidTr="006F1F8D">
        <w:tc>
          <w:tcPr>
            <w:tcW w:w="1294" w:type="dxa"/>
            <w:vAlign w:val="center"/>
          </w:tcPr>
          <w:p w14:paraId="3B095DB7" w14:textId="573C496C" w:rsidR="00CD52BA" w:rsidRPr="002C024D" w:rsidRDefault="00CD52BA" w:rsidP="00CD52BA">
            <w:pPr>
              <w:spacing w:after="0" w:line="240" w:lineRule="auto"/>
              <w:jc w:val="center"/>
              <w:rPr>
                <w:rFonts w:ascii="Arial" w:eastAsia="Times New Roman" w:hAnsi="Arial" w:cs="Arial"/>
                <w:sz w:val="18"/>
                <w:szCs w:val="18"/>
                <w:lang w:eastAsia="pt-BR"/>
              </w:rPr>
            </w:pPr>
            <w:r w:rsidRPr="002C024D">
              <w:rPr>
                <w:rFonts w:ascii="Arial" w:eastAsia="Times New Roman" w:hAnsi="Arial" w:cs="Arial"/>
                <w:sz w:val="18"/>
                <w:szCs w:val="18"/>
                <w:lang w:eastAsia="pt-BR"/>
              </w:rPr>
              <w:t>NOTAEXP</w:t>
            </w:r>
          </w:p>
        </w:tc>
        <w:tc>
          <w:tcPr>
            <w:tcW w:w="6894" w:type="dxa"/>
            <w:shd w:val="clear" w:color="auto" w:fill="auto"/>
            <w:vAlign w:val="center"/>
          </w:tcPr>
          <w:p w14:paraId="676A9CAB" w14:textId="77777777" w:rsidR="00CD52BA" w:rsidRPr="002C024D" w:rsidRDefault="00CD52BA" w:rsidP="00CD52BA">
            <w:pPr>
              <w:pStyle w:val="TableParagraph"/>
              <w:spacing w:before="120" w:after="120"/>
              <w:ind w:left="102" w:right="111"/>
              <w:jc w:val="both"/>
              <w:rPr>
                <w:rFonts w:ascii="Arial" w:hAnsi="Arial" w:cs="Arial"/>
                <w:sz w:val="18"/>
                <w:szCs w:val="18"/>
                <w:lang w:val="pt-BR"/>
              </w:rPr>
            </w:pPr>
            <w:r w:rsidRPr="002C024D">
              <w:rPr>
                <w:rFonts w:ascii="Arial" w:hAnsi="Arial" w:cs="Arial"/>
                <w:sz w:val="18"/>
                <w:szCs w:val="18"/>
                <w:lang w:val="pt-BR"/>
              </w:rPr>
              <w:t>Notas Explicativas às Demonstrações Contábeis, conforme layout constante do item 3.1 deste Anexo, contendo:</w:t>
            </w:r>
          </w:p>
          <w:p w14:paraId="000939D2" w14:textId="77777777" w:rsidR="00CD52BA" w:rsidRPr="002C024D" w:rsidRDefault="00CD52BA" w:rsidP="005C719B">
            <w:pPr>
              <w:pStyle w:val="PargrafodaLista"/>
              <w:numPr>
                <w:ilvl w:val="0"/>
                <w:numId w:val="35"/>
              </w:numPr>
              <w:spacing w:before="120" w:after="120" w:line="240" w:lineRule="auto"/>
              <w:ind w:left="822"/>
              <w:contextualSpacing w:val="0"/>
              <w:jc w:val="both"/>
              <w:rPr>
                <w:rFonts w:ascii="Arial" w:hAnsi="Arial" w:cs="Arial"/>
                <w:sz w:val="18"/>
                <w:szCs w:val="18"/>
              </w:rPr>
            </w:pPr>
            <w:r w:rsidRPr="002C024D">
              <w:rPr>
                <w:rFonts w:ascii="Arial" w:hAnsi="Arial" w:cs="Arial"/>
                <w:sz w:val="18"/>
                <w:szCs w:val="18"/>
              </w:rPr>
              <w:t>Informações gerais da entidade: natureza jurídica, natureza das operações, atividades desempenhadas, lei de instituição, conforme o caso, e declaração de conformidade com leis e normas de contabilidade aplicáveis;</w:t>
            </w:r>
          </w:p>
          <w:p w14:paraId="7CFBDDC4" w14:textId="77777777" w:rsidR="00CD52BA" w:rsidRPr="002C024D" w:rsidRDefault="00CD52BA" w:rsidP="005C719B">
            <w:pPr>
              <w:pStyle w:val="PargrafodaLista"/>
              <w:numPr>
                <w:ilvl w:val="0"/>
                <w:numId w:val="35"/>
              </w:numPr>
              <w:spacing w:before="120" w:after="120" w:line="240" w:lineRule="auto"/>
              <w:ind w:left="822"/>
              <w:contextualSpacing w:val="0"/>
              <w:jc w:val="both"/>
              <w:rPr>
                <w:rFonts w:ascii="Arial" w:hAnsi="Arial" w:cs="Arial"/>
                <w:sz w:val="18"/>
                <w:szCs w:val="18"/>
              </w:rPr>
            </w:pPr>
            <w:r w:rsidRPr="002C024D">
              <w:rPr>
                <w:rFonts w:ascii="Arial" w:hAnsi="Arial" w:cs="Arial"/>
                <w:sz w:val="18"/>
                <w:szCs w:val="18"/>
              </w:rPr>
              <w:t>Resumo das Políticas Contábeis relevantes: base de mensuração utilizada, adoção de novas políticas contábeis;</w:t>
            </w:r>
          </w:p>
          <w:p w14:paraId="6577960C" w14:textId="77777777" w:rsidR="00CD52BA" w:rsidRPr="002C024D" w:rsidRDefault="00CD52BA" w:rsidP="005C719B">
            <w:pPr>
              <w:pStyle w:val="PargrafodaLista"/>
              <w:numPr>
                <w:ilvl w:val="0"/>
                <w:numId w:val="35"/>
              </w:numPr>
              <w:spacing w:before="120" w:after="120" w:line="240" w:lineRule="auto"/>
              <w:ind w:left="822"/>
              <w:contextualSpacing w:val="0"/>
              <w:jc w:val="both"/>
              <w:rPr>
                <w:rFonts w:ascii="Arial" w:hAnsi="Arial" w:cs="Arial"/>
                <w:sz w:val="18"/>
                <w:szCs w:val="18"/>
              </w:rPr>
            </w:pPr>
            <w:r w:rsidRPr="002C024D">
              <w:rPr>
                <w:rFonts w:ascii="Arial" w:hAnsi="Arial" w:cs="Arial"/>
                <w:sz w:val="18"/>
                <w:szCs w:val="18"/>
              </w:rPr>
              <w:t>Detalhamento de informações relevantes contidas nos Demonstrativos Contábeis;</w:t>
            </w:r>
          </w:p>
          <w:p w14:paraId="5A4E4C7A" w14:textId="37C43CED" w:rsidR="00CD52BA" w:rsidRPr="002C024D" w:rsidRDefault="00CD52BA" w:rsidP="005C719B">
            <w:pPr>
              <w:pStyle w:val="PargrafodaLista"/>
              <w:numPr>
                <w:ilvl w:val="0"/>
                <w:numId w:val="35"/>
              </w:numPr>
              <w:spacing w:before="120" w:after="120" w:line="240" w:lineRule="auto"/>
              <w:ind w:left="822"/>
              <w:contextualSpacing w:val="0"/>
              <w:jc w:val="both"/>
              <w:rPr>
                <w:rFonts w:ascii="Arial" w:eastAsia="Times New Roman" w:hAnsi="Arial" w:cs="Arial"/>
                <w:sz w:val="18"/>
                <w:szCs w:val="18"/>
                <w:lang w:eastAsia="pt-BR"/>
              </w:rPr>
            </w:pPr>
            <w:r w:rsidRPr="002C024D">
              <w:rPr>
                <w:rFonts w:ascii="Arial" w:hAnsi="Arial" w:cs="Arial"/>
                <w:sz w:val="18"/>
                <w:szCs w:val="18"/>
              </w:rPr>
              <w:t>Demais informações relevantes: passivos contingentes e compromissos contratuais não reconhecidos; ajustes decorrentes de erros, etc.</w:t>
            </w:r>
          </w:p>
        </w:tc>
        <w:tc>
          <w:tcPr>
            <w:tcW w:w="992" w:type="dxa"/>
            <w:shd w:val="clear" w:color="auto" w:fill="auto"/>
            <w:vAlign w:val="center"/>
          </w:tcPr>
          <w:p w14:paraId="08D8D804" w14:textId="15601FD7" w:rsidR="00CD52BA" w:rsidRPr="002C024D" w:rsidRDefault="00CD52BA" w:rsidP="00CD52BA">
            <w:pPr>
              <w:spacing w:after="0" w:line="240" w:lineRule="auto"/>
              <w:jc w:val="center"/>
              <w:rPr>
                <w:rFonts w:ascii="Arial" w:eastAsia="Times New Roman" w:hAnsi="Arial" w:cs="Arial"/>
                <w:sz w:val="14"/>
                <w:szCs w:val="14"/>
                <w:lang w:eastAsia="pt-BR"/>
              </w:rPr>
            </w:pPr>
            <w:r w:rsidRPr="002C024D">
              <w:rPr>
                <w:rFonts w:ascii="Arial" w:eastAsia="Times New Roman" w:hAnsi="Arial" w:cs="Arial"/>
                <w:sz w:val="14"/>
                <w:szCs w:val="14"/>
                <w:lang w:eastAsia="pt-BR"/>
              </w:rPr>
              <w:t>XML</w:t>
            </w:r>
          </w:p>
        </w:tc>
        <w:tc>
          <w:tcPr>
            <w:tcW w:w="1418" w:type="dxa"/>
            <w:vAlign w:val="center"/>
          </w:tcPr>
          <w:p w14:paraId="01E3BE57" w14:textId="053EE0FA" w:rsidR="00CD52BA" w:rsidRPr="002C024D" w:rsidRDefault="00CD52BA" w:rsidP="00CD52BA">
            <w:pPr>
              <w:spacing w:after="0" w:line="240" w:lineRule="auto"/>
              <w:jc w:val="center"/>
              <w:rPr>
                <w:rFonts w:ascii="Arial" w:eastAsia="Times New Roman" w:hAnsi="Arial" w:cs="Arial"/>
                <w:sz w:val="14"/>
                <w:szCs w:val="14"/>
                <w:lang w:eastAsia="pt-BR"/>
              </w:rPr>
            </w:pPr>
            <w:r w:rsidRPr="002C024D">
              <w:rPr>
                <w:rFonts w:ascii="Arial" w:eastAsia="Times New Roman" w:hAnsi="Arial" w:cs="Arial"/>
                <w:sz w:val="14"/>
                <w:szCs w:val="14"/>
                <w:lang w:eastAsia="pt-BR"/>
              </w:rPr>
              <w:t>X</w:t>
            </w:r>
          </w:p>
        </w:tc>
        <w:tc>
          <w:tcPr>
            <w:tcW w:w="1134" w:type="dxa"/>
            <w:vAlign w:val="center"/>
          </w:tcPr>
          <w:p w14:paraId="1909BB84" w14:textId="19EF0467" w:rsidR="00CD52BA" w:rsidRPr="002C024D" w:rsidRDefault="00CD52BA" w:rsidP="00CD52BA">
            <w:pPr>
              <w:spacing w:after="0" w:line="240" w:lineRule="auto"/>
              <w:jc w:val="center"/>
              <w:rPr>
                <w:rFonts w:ascii="Arial" w:eastAsia="Times New Roman" w:hAnsi="Arial" w:cs="Arial"/>
                <w:sz w:val="14"/>
                <w:szCs w:val="14"/>
                <w:lang w:eastAsia="pt-BR"/>
              </w:rPr>
            </w:pPr>
            <w:r w:rsidRPr="002C024D">
              <w:rPr>
                <w:rFonts w:ascii="Arial" w:eastAsia="Times New Roman" w:hAnsi="Arial" w:cs="Arial"/>
                <w:sz w:val="14"/>
                <w:szCs w:val="14"/>
                <w:lang w:eastAsia="pt-BR"/>
              </w:rPr>
              <w:t>X</w:t>
            </w:r>
          </w:p>
        </w:tc>
        <w:tc>
          <w:tcPr>
            <w:tcW w:w="1417" w:type="dxa"/>
            <w:vAlign w:val="center"/>
          </w:tcPr>
          <w:p w14:paraId="256B7B5E" w14:textId="71D20CB0" w:rsidR="00CD52BA" w:rsidRPr="002C024D" w:rsidRDefault="00CD52BA" w:rsidP="00CD52BA">
            <w:pPr>
              <w:spacing w:after="0" w:line="240" w:lineRule="auto"/>
              <w:jc w:val="center"/>
              <w:rPr>
                <w:rFonts w:ascii="Arial" w:eastAsia="Times New Roman" w:hAnsi="Arial" w:cs="Arial"/>
                <w:sz w:val="14"/>
                <w:szCs w:val="14"/>
                <w:lang w:eastAsia="pt-BR"/>
              </w:rPr>
            </w:pPr>
            <w:r w:rsidRPr="002C024D">
              <w:rPr>
                <w:rFonts w:ascii="Arial" w:eastAsia="Times New Roman" w:hAnsi="Arial" w:cs="Arial"/>
                <w:sz w:val="14"/>
                <w:szCs w:val="14"/>
                <w:lang w:eastAsia="pt-BR"/>
              </w:rPr>
              <w:t>X</w:t>
            </w:r>
          </w:p>
        </w:tc>
        <w:tc>
          <w:tcPr>
            <w:tcW w:w="1417" w:type="dxa"/>
            <w:vAlign w:val="center"/>
          </w:tcPr>
          <w:p w14:paraId="3362AB8E" w14:textId="30FB0152" w:rsidR="00CD52BA" w:rsidRPr="002C024D" w:rsidRDefault="00CD52BA" w:rsidP="00CD52BA">
            <w:pPr>
              <w:spacing w:after="0" w:line="240" w:lineRule="auto"/>
              <w:jc w:val="center"/>
              <w:rPr>
                <w:rFonts w:ascii="Arial" w:eastAsia="Times New Roman" w:hAnsi="Arial" w:cs="Arial"/>
                <w:sz w:val="14"/>
                <w:szCs w:val="14"/>
                <w:lang w:eastAsia="pt-BR"/>
              </w:rPr>
            </w:pPr>
            <w:r w:rsidRPr="002C024D">
              <w:rPr>
                <w:rFonts w:ascii="Arial" w:eastAsia="Times New Roman" w:hAnsi="Arial" w:cs="Arial"/>
                <w:sz w:val="14"/>
                <w:szCs w:val="14"/>
                <w:lang w:eastAsia="pt-BR"/>
              </w:rPr>
              <w:t>X</w:t>
            </w:r>
          </w:p>
        </w:tc>
      </w:tr>
      <w:tr w:rsidR="00CD52BA" w:rsidRPr="00A5490A" w14:paraId="771398D2" w14:textId="1ECFF5D2" w:rsidTr="006F1F8D">
        <w:tc>
          <w:tcPr>
            <w:tcW w:w="1294" w:type="dxa"/>
            <w:vAlign w:val="center"/>
          </w:tcPr>
          <w:p w14:paraId="706C46D3" w14:textId="77777777" w:rsidR="00CD52BA" w:rsidRPr="00A5490A" w:rsidRDefault="00CD52BA" w:rsidP="00CD52BA">
            <w:pPr>
              <w:spacing w:after="0" w:line="240" w:lineRule="auto"/>
              <w:jc w:val="center"/>
              <w:rPr>
                <w:rFonts w:ascii="Arial" w:eastAsia="Times New Roman" w:hAnsi="Arial" w:cs="Arial"/>
                <w:sz w:val="18"/>
                <w:szCs w:val="18"/>
                <w:lang w:eastAsia="pt-BR"/>
              </w:rPr>
            </w:pPr>
            <w:r>
              <w:rPr>
                <w:rFonts w:ascii="Arial" w:eastAsia="Times New Roman" w:hAnsi="Arial" w:cs="Arial"/>
                <w:sz w:val="18"/>
                <w:szCs w:val="18"/>
                <w:lang w:eastAsia="pt-BR"/>
              </w:rPr>
              <w:t>DOCSPCA</w:t>
            </w:r>
          </w:p>
        </w:tc>
        <w:tc>
          <w:tcPr>
            <w:tcW w:w="6894" w:type="dxa"/>
            <w:shd w:val="clear" w:color="auto" w:fill="auto"/>
            <w:vAlign w:val="center"/>
          </w:tcPr>
          <w:p w14:paraId="04E60A03" w14:textId="663896E3" w:rsidR="00CD52BA" w:rsidRPr="00A5490A" w:rsidRDefault="00CD52BA" w:rsidP="00302891">
            <w:pPr>
              <w:spacing w:before="120" w:after="120" w:line="240" w:lineRule="auto"/>
              <w:jc w:val="both"/>
              <w:rPr>
                <w:rFonts w:ascii="Arial" w:eastAsia="Times New Roman" w:hAnsi="Arial" w:cs="Arial"/>
                <w:sz w:val="18"/>
                <w:szCs w:val="18"/>
                <w:lang w:eastAsia="pt-BR"/>
              </w:rPr>
            </w:pPr>
            <w:r>
              <w:rPr>
                <w:rFonts w:ascii="Arial" w:eastAsia="Times New Roman" w:hAnsi="Arial" w:cs="Arial"/>
                <w:sz w:val="18"/>
                <w:szCs w:val="18"/>
                <w:lang w:eastAsia="pt-BR"/>
              </w:rPr>
              <w:t>R</w:t>
            </w:r>
            <w:r w:rsidRPr="00D46CF1">
              <w:rPr>
                <w:rFonts w:ascii="Arial" w:eastAsia="Times New Roman" w:hAnsi="Arial" w:cs="Arial"/>
                <w:sz w:val="18"/>
                <w:szCs w:val="18"/>
                <w:lang w:eastAsia="pt-BR"/>
              </w:rPr>
              <w:t>eferência aos documentos não estruturados</w:t>
            </w:r>
            <w:r>
              <w:rPr>
                <w:rFonts w:ascii="Arial" w:eastAsia="Times New Roman" w:hAnsi="Arial" w:cs="Arial"/>
                <w:sz w:val="18"/>
                <w:szCs w:val="18"/>
                <w:lang w:eastAsia="pt-BR"/>
              </w:rPr>
              <w:t>, constantes neste Anexo</w:t>
            </w:r>
            <w:r w:rsidRPr="00D46CF1">
              <w:rPr>
                <w:rFonts w:ascii="Arial" w:eastAsia="Times New Roman" w:hAnsi="Arial" w:cs="Arial"/>
                <w:sz w:val="18"/>
                <w:szCs w:val="18"/>
                <w:lang w:eastAsia="pt-BR"/>
              </w:rPr>
              <w:t>, bem como a justificativa de ausência para os arquivos não enviados.</w:t>
            </w:r>
            <w:r>
              <w:rPr>
                <w:rFonts w:ascii="Arial" w:eastAsia="Times New Roman" w:hAnsi="Arial" w:cs="Arial"/>
                <w:sz w:val="18"/>
                <w:szCs w:val="18"/>
                <w:lang w:eastAsia="pt-BR"/>
              </w:rPr>
              <w:t xml:space="preserve"> Estrutura e layout constantes do item </w:t>
            </w:r>
            <w:r w:rsidR="00302891">
              <w:rPr>
                <w:rFonts w:ascii="Arial" w:eastAsia="Times New Roman" w:hAnsi="Arial" w:cs="Arial"/>
                <w:sz w:val="18"/>
                <w:szCs w:val="18"/>
                <w:lang w:eastAsia="pt-BR"/>
              </w:rPr>
              <w:t>3.1</w:t>
            </w:r>
            <w:r>
              <w:rPr>
                <w:rFonts w:ascii="Arial" w:eastAsia="Times New Roman" w:hAnsi="Arial" w:cs="Arial"/>
                <w:sz w:val="18"/>
                <w:szCs w:val="18"/>
                <w:lang w:eastAsia="pt-BR"/>
              </w:rPr>
              <w:t xml:space="preserve"> deste Anexo.</w:t>
            </w:r>
          </w:p>
        </w:tc>
        <w:tc>
          <w:tcPr>
            <w:tcW w:w="992" w:type="dxa"/>
            <w:shd w:val="clear" w:color="auto" w:fill="auto"/>
            <w:vAlign w:val="center"/>
          </w:tcPr>
          <w:p w14:paraId="081AC439" w14:textId="77777777" w:rsidR="00CD52BA" w:rsidRPr="00A5490A" w:rsidRDefault="00CD52BA" w:rsidP="00CD52BA">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XML</w:t>
            </w:r>
          </w:p>
        </w:tc>
        <w:tc>
          <w:tcPr>
            <w:tcW w:w="1418" w:type="dxa"/>
            <w:vAlign w:val="center"/>
          </w:tcPr>
          <w:p w14:paraId="05E67BDA" w14:textId="77777777" w:rsidR="00CD52BA" w:rsidRDefault="00CD52BA" w:rsidP="00CD52BA">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134" w:type="dxa"/>
            <w:vAlign w:val="center"/>
          </w:tcPr>
          <w:p w14:paraId="762A160F" w14:textId="77777777" w:rsidR="00CD52BA" w:rsidRDefault="00CD52BA" w:rsidP="00CD52BA">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417" w:type="dxa"/>
            <w:vAlign w:val="center"/>
          </w:tcPr>
          <w:p w14:paraId="479D42AC" w14:textId="77777777" w:rsidR="00CD52BA" w:rsidRDefault="00CD52BA" w:rsidP="00CD52BA">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c>
          <w:tcPr>
            <w:tcW w:w="1417" w:type="dxa"/>
            <w:vAlign w:val="center"/>
          </w:tcPr>
          <w:p w14:paraId="48AE1A7B" w14:textId="2C48F5DE" w:rsidR="00CD52BA" w:rsidRPr="006F1F8D" w:rsidRDefault="00CD52BA" w:rsidP="00CD52BA">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w:t>
            </w:r>
          </w:p>
        </w:tc>
      </w:tr>
    </w:tbl>
    <w:p w14:paraId="45DAB669" w14:textId="77777777" w:rsidR="0037088E" w:rsidRDefault="0037088E">
      <w:pPr>
        <w:rPr>
          <w:rFonts w:ascii="Arial" w:eastAsia="Times New Roman" w:hAnsi="Arial" w:cs="Arial"/>
          <w:b/>
          <w:lang w:eastAsia="pt-BR"/>
        </w:rPr>
      </w:pPr>
    </w:p>
    <w:p w14:paraId="4157704C" w14:textId="77777777" w:rsidR="00FF306E" w:rsidRDefault="00FF306E">
      <w:pPr>
        <w:rPr>
          <w:rFonts w:ascii="Arial" w:eastAsia="Times New Roman" w:hAnsi="Arial" w:cs="Arial"/>
          <w:b/>
          <w:lang w:eastAsia="pt-BR"/>
        </w:rPr>
      </w:pPr>
    </w:p>
    <w:p w14:paraId="75209FAA" w14:textId="77777777" w:rsidR="00FF306E" w:rsidRDefault="00FF306E">
      <w:pPr>
        <w:rPr>
          <w:rFonts w:ascii="Arial" w:eastAsia="Times New Roman" w:hAnsi="Arial" w:cs="Arial"/>
          <w:b/>
          <w:lang w:eastAsia="pt-BR"/>
        </w:rPr>
      </w:pPr>
    </w:p>
    <w:p w14:paraId="7294B960" w14:textId="527BDED6" w:rsidR="007D64A9" w:rsidRDefault="007D64A9">
      <w:pPr>
        <w:rPr>
          <w:rFonts w:ascii="Arial" w:eastAsia="Times New Roman" w:hAnsi="Arial" w:cs="Arial"/>
          <w:b/>
          <w:lang w:eastAsia="pt-BR"/>
        </w:rPr>
      </w:pPr>
      <w:r>
        <w:rPr>
          <w:rFonts w:ascii="Arial" w:eastAsia="Times New Roman" w:hAnsi="Arial" w:cs="Arial"/>
          <w:b/>
          <w:lang w:eastAsia="pt-BR"/>
        </w:rPr>
        <w:lastRenderedPageBreak/>
        <w:br w:type="page"/>
      </w:r>
    </w:p>
    <w:p w14:paraId="4E9892E8" w14:textId="6739863F" w:rsidR="007D64A9" w:rsidRPr="005B7FCC" w:rsidRDefault="007D64A9" w:rsidP="000F0A16">
      <w:pPr>
        <w:pStyle w:val="Ttulo2"/>
        <w:rPr>
          <w:lang w:val="pt-BR" w:eastAsia="pt-BR"/>
        </w:rPr>
      </w:pPr>
      <w:bookmarkStart w:id="15" w:name="_Toc94806299"/>
      <w:r w:rsidRPr="005B7FCC">
        <w:rPr>
          <w:lang w:val="pt-BR" w:eastAsia="pt-BR"/>
        </w:rPr>
        <w:lastRenderedPageBreak/>
        <w:t>CONTAS DOS TITULARES DAS PESSOAS JURÍDICAS DE DIREITO PRIVADO, INCLUSIVE DAS QUE SE ENCONTRAM EM PROCESSO DE LIQUIDAÇÃO (EMPRESAS ESTATAIS NÃO DEPENDENTES</w:t>
      </w:r>
      <w:r w:rsidR="002B048D" w:rsidRPr="005B7FCC">
        <w:rPr>
          <w:lang w:val="pt-BR" w:eastAsia="pt-BR"/>
        </w:rPr>
        <w:t xml:space="preserve"> - EEND</w:t>
      </w:r>
      <w:r w:rsidRPr="005B7FCC">
        <w:rPr>
          <w:lang w:val="pt-BR" w:eastAsia="pt-BR"/>
        </w:rPr>
        <w:t xml:space="preserve"> E EMPRESAS ESTATAIS DEPENDENTES</w:t>
      </w:r>
      <w:r w:rsidR="002B048D" w:rsidRPr="005B7FCC">
        <w:rPr>
          <w:lang w:val="pt-BR" w:eastAsia="pt-BR"/>
        </w:rPr>
        <w:t xml:space="preserve"> - EED</w:t>
      </w:r>
      <w:r w:rsidRPr="005B7FCC">
        <w:rPr>
          <w:lang w:val="pt-BR" w:eastAsia="pt-BR"/>
        </w:rPr>
        <w:t>)</w:t>
      </w:r>
      <w:bookmarkEnd w:id="15"/>
      <w:r w:rsidRPr="005B7FCC">
        <w:rPr>
          <w:lang w:val="pt-BR" w:eastAsia="pt-BR"/>
        </w:rPr>
        <w:t xml:space="preserve"> </w:t>
      </w:r>
    </w:p>
    <w:p w14:paraId="4E48B203" w14:textId="77777777" w:rsidR="007D64A9" w:rsidRPr="00A5490A" w:rsidRDefault="007D64A9" w:rsidP="007D64A9">
      <w:pPr>
        <w:spacing w:after="0" w:line="240" w:lineRule="auto"/>
        <w:jc w:val="both"/>
        <w:rPr>
          <w:rFonts w:ascii="Arial" w:eastAsia="Times New Roman" w:hAnsi="Arial" w:cs="Arial"/>
          <w:lang w:eastAsia="pt-BR"/>
        </w:rPr>
      </w:pPr>
    </w:p>
    <w:tbl>
      <w:tblPr>
        <w:tblW w:w="13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7224"/>
        <w:gridCol w:w="993"/>
        <w:gridCol w:w="1134"/>
        <w:gridCol w:w="1134"/>
        <w:gridCol w:w="992"/>
        <w:gridCol w:w="1134"/>
      </w:tblGrid>
      <w:tr w:rsidR="007D64A9" w:rsidRPr="00A5490A" w14:paraId="3B44253C" w14:textId="77777777" w:rsidTr="007D64A9">
        <w:tc>
          <w:tcPr>
            <w:tcW w:w="1276" w:type="dxa"/>
            <w:vAlign w:val="center"/>
          </w:tcPr>
          <w:p w14:paraId="55E1EDDD" w14:textId="77777777" w:rsidR="007D64A9" w:rsidRPr="00A5490A" w:rsidRDefault="007D64A9" w:rsidP="007D64A9">
            <w:pPr>
              <w:spacing w:after="0" w:line="240" w:lineRule="auto"/>
              <w:jc w:val="center"/>
              <w:rPr>
                <w:rFonts w:ascii="Arial" w:eastAsia="Times New Roman" w:hAnsi="Arial" w:cs="Arial"/>
                <w:sz w:val="18"/>
                <w:szCs w:val="18"/>
                <w:lang w:eastAsia="pt-BR"/>
              </w:rPr>
            </w:pPr>
            <w:r>
              <w:rPr>
                <w:rFonts w:ascii="Arial" w:eastAsia="Times New Roman" w:hAnsi="Arial" w:cs="Arial"/>
                <w:sz w:val="18"/>
                <w:szCs w:val="18"/>
                <w:lang w:eastAsia="pt-BR"/>
              </w:rPr>
              <w:t>Código</w:t>
            </w:r>
          </w:p>
        </w:tc>
        <w:tc>
          <w:tcPr>
            <w:tcW w:w="7224" w:type="dxa"/>
            <w:shd w:val="clear" w:color="auto" w:fill="auto"/>
            <w:vAlign w:val="center"/>
          </w:tcPr>
          <w:p w14:paraId="576F09C8" w14:textId="77777777" w:rsidR="007D64A9" w:rsidRPr="00A5490A" w:rsidRDefault="007D64A9" w:rsidP="007D64A9">
            <w:pPr>
              <w:spacing w:before="120" w:after="12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Descrição</w:t>
            </w:r>
          </w:p>
        </w:tc>
        <w:tc>
          <w:tcPr>
            <w:tcW w:w="993" w:type="dxa"/>
            <w:shd w:val="clear" w:color="auto" w:fill="auto"/>
            <w:vAlign w:val="center"/>
          </w:tcPr>
          <w:p w14:paraId="59D716F8" w14:textId="77777777" w:rsidR="007D64A9" w:rsidRPr="00A5490A" w:rsidRDefault="007D64A9" w:rsidP="007D64A9">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Formato</w:t>
            </w:r>
          </w:p>
        </w:tc>
        <w:tc>
          <w:tcPr>
            <w:tcW w:w="1134" w:type="dxa"/>
            <w:vAlign w:val="center"/>
          </w:tcPr>
          <w:p w14:paraId="2B9915B7" w14:textId="77777777" w:rsidR="007D64A9" w:rsidRPr="00CB55B0" w:rsidRDefault="007D64A9" w:rsidP="007D64A9">
            <w:pPr>
              <w:spacing w:after="0" w:line="240" w:lineRule="auto"/>
              <w:jc w:val="center"/>
              <w:rPr>
                <w:rFonts w:ascii="Arial" w:eastAsia="Times New Roman" w:hAnsi="Arial" w:cs="Arial"/>
                <w:sz w:val="18"/>
                <w:szCs w:val="18"/>
                <w:lang w:eastAsia="pt-BR"/>
              </w:rPr>
            </w:pPr>
            <w:r w:rsidRPr="00CB55B0">
              <w:rPr>
                <w:rFonts w:ascii="Arial" w:eastAsia="Times New Roman" w:hAnsi="Arial" w:cs="Arial"/>
                <w:sz w:val="18"/>
                <w:szCs w:val="18"/>
                <w:lang w:eastAsia="pt-BR"/>
              </w:rPr>
              <w:t>EEND em atividade</w:t>
            </w:r>
          </w:p>
        </w:tc>
        <w:tc>
          <w:tcPr>
            <w:tcW w:w="1134" w:type="dxa"/>
            <w:vAlign w:val="center"/>
          </w:tcPr>
          <w:p w14:paraId="2AE2DD5B" w14:textId="77777777" w:rsidR="007D64A9" w:rsidRPr="00CB55B0" w:rsidRDefault="007D64A9" w:rsidP="007D64A9">
            <w:pPr>
              <w:spacing w:after="0" w:line="240" w:lineRule="auto"/>
              <w:jc w:val="center"/>
              <w:rPr>
                <w:rFonts w:ascii="Arial" w:eastAsia="Times New Roman" w:hAnsi="Arial" w:cs="Arial"/>
                <w:sz w:val="18"/>
                <w:szCs w:val="18"/>
                <w:lang w:eastAsia="pt-BR"/>
              </w:rPr>
            </w:pPr>
            <w:r w:rsidRPr="00CB55B0">
              <w:rPr>
                <w:rFonts w:ascii="Arial" w:eastAsia="Times New Roman" w:hAnsi="Arial" w:cs="Arial"/>
                <w:sz w:val="18"/>
                <w:szCs w:val="18"/>
                <w:lang w:eastAsia="pt-BR"/>
              </w:rPr>
              <w:t>EEND em liquidação</w:t>
            </w:r>
          </w:p>
        </w:tc>
        <w:tc>
          <w:tcPr>
            <w:tcW w:w="992" w:type="dxa"/>
            <w:vAlign w:val="center"/>
          </w:tcPr>
          <w:p w14:paraId="5C52B7A9" w14:textId="77777777" w:rsidR="007D64A9" w:rsidRPr="00CB55B0" w:rsidRDefault="007D64A9" w:rsidP="007D64A9">
            <w:pPr>
              <w:spacing w:after="0" w:line="240" w:lineRule="auto"/>
              <w:jc w:val="center"/>
              <w:rPr>
                <w:rFonts w:ascii="Arial" w:eastAsia="Times New Roman" w:hAnsi="Arial" w:cs="Arial"/>
                <w:sz w:val="18"/>
                <w:szCs w:val="18"/>
                <w:lang w:eastAsia="pt-BR"/>
              </w:rPr>
            </w:pPr>
            <w:r w:rsidRPr="00CB55B0">
              <w:rPr>
                <w:rFonts w:ascii="Arial" w:eastAsia="Times New Roman" w:hAnsi="Arial" w:cs="Arial"/>
                <w:sz w:val="18"/>
                <w:szCs w:val="18"/>
                <w:lang w:eastAsia="pt-BR"/>
              </w:rPr>
              <w:t>EED em atividade</w:t>
            </w:r>
          </w:p>
        </w:tc>
        <w:tc>
          <w:tcPr>
            <w:tcW w:w="1134" w:type="dxa"/>
            <w:vAlign w:val="center"/>
          </w:tcPr>
          <w:p w14:paraId="6C5CB2CC" w14:textId="77777777" w:rsidR="007D64A9" w:rsidRPr="00CB55B0" w:rsidRDefault="007D64A9" w:rsidP="007D64A9">
            <w:pPr>
              <w:spacing w:after="0" w:line="240" w:lineRule="auto"/>
              <w:jc w:val="center"/>
              <w:rPr>
                <w:rFonts w:ascii="Arial" w:eastAsia="Times New Roman" w:hAnsi="Arial" w:cs="Arial"/>
                <w:sz w:val="18"/>
                <w:szCs w:val="18"/>
                <w:lang w:eastAsia="pt-BR"/>
              </w:rPr>
            </w:pPr>
            <w:r w:rsidRPr="00CB55B0">
              <w:rPr>
                <w:rFonts w:ascii="Arial" w:eastAsia="Times New Roman" w:hAnsi="Arial" w:cs="Arial"/>
                <w:sz w:val="18"/>
                <w:szCs w:val="18"/>
                <w:lang w:eastAsia="pt-BR"/>
              </w:rPr>
              <w:t>EED em liquidação</w:t>
            </w:r>
          </w:p>
        </w:tc>
      </w:tr>
      <w:tr w:rsidR="007D64A9" w:rsidRPr="00A5490A" w14:paraId="412BB7C2" w14:textId="77777777" w:rsidTr="007D64A9">
        <w:trPr>
          <w:trHeight w:val="2691"/>
        </w:trPr>
        <w:tc>
          <w:tcPr>
            <w:tcW w:w="1276" w:type="dxa"/>
            <w:vAlign w:val="center"/>
          </w:tcPr>
          <w:p w14:paraId="405542A4" w14:textId="77777777" w:rsidR="007D64A9" w:rsidRPr="00A5490A" w:rsidRDefault="007D64A9" w:rsidP="007D64A9">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ROLRES</w:t>
            </w:r>
          </w:p>
        </w:tc>
        <w:tc>
          <w:tcPr>
            <w:tcW w:w="7224" w:type="dxa"/>
            <w:shd w:val="clear" w:color="auto" w:fill="auto"/>
          </w:tcPr>
          <w:p w14:paraId="21EA713C" w14:textId="77777777" w:rsidR="007D64A9" w:rsidRPr="00A5490A" w:rsidRDefault="007D64A9" w:rsidP="007D64A9">
            <w:pPr>
              <w:spacing w:before="120" w:after="120" w:line="240" w:lineRule="auto"/>
              <w:rPr>
                <w:rFonts w:ascii="Arial" w:eastAsia="Times New Roman" w:hAnsi="Arial" w:cs="Arial"/>
                <w:sz w:val="18"/>
                <w:szCs w:val="18"/>
                <w:lang w:eastAsia="pt-BR"/>
              </w:rPr>
            </w:pPr>
            <w:r w:rsidRPr="00A5490A">
              <w:rPr>
                <w:rFonts w:ascii="Arial" w:eastAsia="Times New Roman" w:hAnsi="Arial" w:cs="Arial"/>
                <w:sz w:val="18"/>
                <w:szCs w:val="18"/>
                <w:lang w:eastAsia="pt-BR"/>
              </w:rPr>
              <w:t>Rol de responsáveis contendo: (Artigo 137, I, do RITCEES, aprovado pela Resolução TC nº 261/2013)</w:t>
            </w:r>
          </w:p>
          <w:p w14:paraId="3A06D49A" w14:textId="77777777" w:rsidR="007D64A9" w:rsidRPr="00A5490A" w:rsidRDefault="007D64A9" w:rsidP="007D64A9">
            <w:pPr>
              <w:numPr>
                <w:ilvl w:val="0"/>
                <w:numId w:val="7"/>
              </w:numPr>
              <w:spacing w:before="120" w:after="120" w:line="240" w:lineRule="auto"/>
              <w:rPr>
                <w:rFonts w:ascii="Arial" w:eastAsia="Times New Roman" w:hAnsi="Arial" w:cs="Arial"/>
                <w:sz w:val="18"/>
                <w:szCs w:val="18"/>
                <w:lang w:eastAsia="pt-BR"/>
              </w:rPr>
            </w:pPr>
            <w:r w:rsidRPr="00A5490A">
              <w:rPr>
                <w:rFonts w:ascii="Arial" w:eastAsia="Times New Roman" w:hAnsi="Arial" w:cs="Arial"/>
                <w:sz w:val="18"/>
                <w:szCs w:val="18"/>
                <w:lang w:eastAsia="pt-BR"/>
              </w:rPr>
              <w:t>Nome</w:t>
            </w:r>
          </w:p>
          <w:p w14:paraId="3316EE90" w14:textId="77777777" w:rsidR="007D64A9" w:rsidRPr="003B4337" w:rsidRDefault="007D64A9" w:rsidP="007D64A9">
            <w:pPr>
              <w:numPr>
                <w:ilvl w:val="0"/>
                <w:numId w:val="7"/>
              </w:numPr>
              <w:spacing w:before="120" w:after="120" w:line="240" w:lineRule="auto"/>
              <w:rPr>
                <w:rFonts w:ascii="Arial" w:eastAsia="Times New Roman" w:hAnsi="Arial" w:cs="Arial"/>
                <w:sz w:val="18"/>
                <w:szCs w:val="18"/>
                <w:lang w:eastAsia="pt-BR"/>
              </w:rPr>
            </w:pPr>
            <w:r>
              <w:rPr>
                <w:rFonts w:ascii="Arial" w:eastAsia="Times New Roman" w:hAnsi="Arial" w:cs="Arial"/>
                <w:sz w:val="18"/>
                <w:szCs w:val="18"/>
                <w:lang w:eastAsia="pt-BR"/>
              </w:rPr>
              <w:t xml:space="preserve">Endereço </w:t>
            </w:r>
            <w:r w:rsidRPr="003B4337">
              <w:rPr>
                <w:rFonts w:ascii="Arial" w:eastAsia="Times New Roman" w:hAnsi="Arial" w:cs="Arial"/>
                <w:sz w:val="18"/>
                <w:szCs w:val="18"/>
                <w:lang w:eastAsia="pt-BR"/>
              </w:rPr>
              <w:t>residencial</w:t>
            </w:r>
          </w:p>
          <w:p w14:paraId="11CAE341" w14:textId="77777777" w:rsidR="007D64A9" w:rsidRPr="003B4337" w:rsidRDefault="007D64A9" w:rsidP="007D64A9">
            <w:pPr>
              <w:numPr>
                <w:ilvl w:val="0"/>
                <w:numId w:val="7"/>
              </w:numPr>
              <w:spacing w:before="120" w:after="120" w:line="240" w:lineRule="auto"/>
              <w:rPr>
                <w:rFonts w:ascii="Arial" w:eastAsia="Times New Roman" w:hAnsi="Arial" w:cs="Arial"/>
                <w:sz w:val="18"/>
                <w:szCs w:val="18"/>
                <w:lang w:eastAsia="pt-BR"/>
              </w:rPr>
            </w:pPr>
            <w:r w:rsidRPr="003B4337">
              <w:rPr>
                <w:rFonts w:ascii="Arial" w:eastAsia="Times New Roman" w:hAnsi="Arial" w:cs="Arial"/>
                <w:sz w:val="18"/>
                <w:szCs w:val="18"/>
                <w:lang w:eastAsia="pt-BR"/>
              </w:rPr>
              <w:t>Endereço eletrônico pessoal (email)</w:t>
            </w:r>
          </w:p>
          <w:p w14:paraId="2F7CFF65" w14:textId="77777777" w:rsidR="007D64A9" w:rsidRPr="003B4337" w:rsidRDefault="007D64A9" w:rsidP="007D64A9">
            <w:pPr>
              <w:numPr>
                <w:ilvl w:val="0"/>
                <w:numId w:val="7"/>
              </w:numPr>
              <w:spacing w:before="120" w:after="120" w:line="240" w:lineRule="auto"/>
              <w:rPr>
                <w:rFonts w:ascii="Arial" w:eastAsia="Times New Roman" w:hAnsi="Arial" w:cs="Arial"/>
                <w:sz w:val="18"/>
                <w:szCs w:val="18"/>
                <w:lang w:eastAsia="pt-BR"/>
              </w:rPr>
            </w:pPr>
            <w:r w:rsidRPr="003B4337">
              <w:rPr>
                <w:rFonts w:ascii="Arial" w:eastAsia="Times New Roman" w:hAnsi="Arial" w:cs="Arial"/>
                <w:sz w:val="18"/>
                <w:szCs w:val="18"/>
                <w:lang w:eastAsia="pt-BR"/>
              </w:rPr>
              <w:t>Cargo ou função</w:t>
            </w:r>
          </w:p>
          <w:p w14:paraId="695E83CE" w14:textId="77777777" w:rsidR="007D64A9" w:rsidRPr="00A5490A" w:rsidRDefault="007D64A9" w:rsidP="007D64A9">
            <w:pPr>
              <w:numPr>
                <w:ilvl w:val="0"/>
                <w:numId w:val="7"/>
              </w:numPr>
              <w:spacing w:before="120" w:after="120" w:line="240" w:lineRule="auto"/>
              <w:rPr>
                <w:rFonts w:ascii="Arial" w:eastAsia="Times New Roman" w:hAnsi="Arial" w:cs="Arial"/>
                <w:sz w:val="18"/>
                <w:szCs w:val="18"/>
                <w:lang w:eastAsia="pt-BR"/>
              </w:rPr>
            </w:pPr>
            <w:r w:rsidRPr="00A5490A">
              <w:rPr>
                <w:rFonts w:ascii="Arial" w:eastAsia="Times New Roman" w:hAnsi="Arial" w:cs="Arial"/>
                <w:sz w:val="18"/>
                <w:szCs w:val="18"/>
                <w:lang w:eastAsia="pt-BR"/>
              </w:rPr>
              <w:t>Inscrição no cadastro de Pessoas Físicas da RFB (CPF)</w:t>
            </w:r>
          </w:p>
          <w:p w14:paraId="69F365ED" w14:textId="77777777" w:rsidR="007D64A9" w:rsidRPr="00A5490A" w:rsidRDefault="007D64A9" w:rsidP="007D64A9">
            <w:pPr>
              <w:numPr>
                <w:ilvl w:val="0"/>
                <w:numId w:val="7"/>
              </w:numPr>
              <w:spacing w:before="120" w:after="120" w:line="240" w:lineRule="auto"/>
              <w:rPr>
                <w:rFonts w:ascii="Arial" w:eastAsia="Times New Roman" w:hAnsi="Arial" w:cs="Arial"/>
                <w:sz w:val="18"/>
                <w:szCs w:val="18"/>
                <w:lang w:eastAsia="pt-BR"/>
              </w:rPr>
            </w:pPr>
            <w:r w:rsidRPr="00A5490A">
              <w:rPr>
                <w:rFonts w:ascii="Arial" w:eastAsia="Times New Roman" w:hAnsi="Arial" w:cs="Arial"/>
                <w:sz w:val="18"/>
                <w:szCs w:val="18"/>
                <w:lang w:eastAsia="pt-BR"/>
              </w:rPr>
              <w:t>Período de gestão</w:t>
            </w:r>
          </w:p>
          <w:p w14:paraId="399A2B1C" w14:textId="77777777" w:rsidR="007D64A9" w:rsidRPr="000E21F0" w:rsidRDefault="007D64A9" w:rsidP="007D64A9">
            <w:pPr>
              <w:numPr>
                <w:ilvl w:val="0"/>
                <w:numId w:val="7"/>
              </w:numPr>
              <w:spacing w:before="120" w:after="120" w:line="240" w:lineRule="auto"/>
              <w:rPr>
                <w:rFonts w:eastAsia="Times New Roman"/>
                <w:sz w:val="18"/>
                <w:szCs w:val="18"/>
                <w:lang w:eastAsia="pt-BR"/>
              </w:rPr>
            </w:pPr>
            <w:r w:rsidRPr="00A5490A">
              <w:rPr>
                <w:rFonts w:ascii="Arial" w:eastAsia="Times New Roman" w:hAnsi="Arial" w:cs="Arial"/>
                <w:sz w:val="18"/>
                <w:szCs w:val="18"/>
                <w:lang w:eastAsia="pt-BR"/>
              </w:rPr>
              <w:t xml:space="preserve">Ato de nomeação e exoneração </w:t>
            </w:r>
          </w:p>
        </w:tc>
        <w:tc>
          <w:tcPr>
            <w:tcW w:w="993" w:type="dxa"/>
            <w:shd w:val="clear" w:color="auto" w:fill="auto"/>
            <w:vAlign w:val="center"/>
          </w:tcPr>
          <w:p w14:paraId="6A74AE3B" w14:textId="77777777" w:rsidR="007D64A9" w:rsidRPr="00A5490A" w:rsidRDefault="007D64A9" w:rsidP="007D64A9">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c>
          <w:tcPr>
            <w:tcW w:w="1134" w:type="dxa"/>
            <w:vAlign w:val="center"/>
          </w:tcPr>
          <w:p w14:paraId="194CFE34" w14:textId="77777777" w:rsidR="007D64A9" w:rsidRPr="00CB55B0" w:rsidRDefault="007D64A9" w:rsidP="007D64A9">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1134" w:type="dxa"/>
            <w:vAlign w:val="center"/>
          </w:tcPr>
          <w:p w14:paraId="39C0D287" w14:textId="77777777" w:rsidR="007D64A9" w:rsidRPr="00CB55B0" w:rsidRDefault="007D64A9" w:rsidP="007D64A9">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vAlign w:val="center"/>
          </w:tcPr>
          <w:p w14:paraId="35596361" w14:textId="77777777" w:rsidR="007D64A9" w:rsidRPr="00CB55B0" w:rsidRDefault="007D64A9" w:rsidP="007D64A9">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1134" w:type="dxa"/>
            <w:vAlign w:val="center"/>
          </w:tcPr>
          <w:p w14:paraId="41464E04" w14:textId="77777777" w:rsidR="007D64A9" w:rsidRPr="00CB55B0" w:rsidRDefault="007D64A9" w:rsidP="007D64A9">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r>
      <w:tr w:rsidR="0086769E" w:rsidRPr="0086769E" w14:paraId="60A2EC52" w14:textId="77777777" w:rsidTr="003523A1">
        <w:tc>
          <w:tcPr>
            <w:tcW w:w="1276" w:type="dxa"/>
            <w:shd w:val="clear" w:color="auto" w:fill="auto"/>
            <w:vAlign w:val="center"/>
          </w:tcPr>
          <w:p w14:paraId="5F2D1520" w14:textId="77777777" w:rsidR="005B7128" w:rsidRPr="0086769E" w:rsidRDefault="005B7128" w:rsidP="003523A1">
            <w:pPr>
              <w:spacing w:after="0" w:line="240" w:lineRule="auto"/>
              <w:jc w:val="center"/>
              <w:rPr>
                <w:rFonts w:ascii="Arial" w:eastAsia="Times New Roman" w:hAnsi="Arial" w:cs="Arial"/>
                <w:bCs/>
                <w:sz w:val="18"/>
                <w:szCs w:val="18"/>
                <w:lang w:eastAsia="pt-BR"/>
              </w:rPr>
            </w:pPr>
            <w:r w:rsidRPr="0086769E">
              <w:rPr>
                <w:rFonts w:ascii="Arial" w:eastAsia="Times New Roman" w:hAnsi="Arial" w:cs="Arial"/>
                <w:bCs/>
                <w:sz w:val="18"/>
                <w:szCs w:val="18"/>
                <w:lang w:eastAsia="pt-BR"/>
              </w:rPr>
              <w:t>CRIA</w:t>
            </w:r>
          </w:p>
        </w:tc>
        <w:tc>
          <w:tcPr>
            <w:tcW w:w="7224" w:type="dxa"/>
            <w:shd w:val="clear" w:color="auto" w:fill="auto"/>
            <w:vAlign w:val="center"/>
          </w:tcPr>
          <w:p w14:paraId="5F904F61" w14:textId="77777777" w:rsidR="005B7128" w:rsidRPr="0086769E" w:rsidRDefault="005B7128" w:rsidP="003523A1">
            <w:pPr>
              <w:spacing w:before="120" w:after="120" w:line="240" w:lineRule="auto"/>
              <w:jc w:val="both"/>
              <w:rPr>
                <w:rFonts w:ascii="Arial" w:eastAsia="Times New Roman" w:hAnsi="Arial" w:cs="Arial"/>
                <w:bCs/>
                <w:sz w:val="18"/>
                <w:szCs w:val="18"/>
                <w:lang w:eastAsia="pt-BR"/>
              </w:rPr>
            </w:pPr>
            <w:r w:rsidRPr="0086769E">
              <w:rPr>
                <w:rFonts w:ascii="Arial" w:eastAsia="Times New Roman" w:hAnsi="Arial" w:cs="Arial"/>
                <w:bCs/>
                <w:sz w:val="18"/>
                <w:szCs w:val="18"/>
                <w:lang w:eastAsia="pt-BR"/>
              </w:rPr>
              <w:t>Demonstrativo especificando a lei de criação da entidade e suas alterações, evidenciando seus objetivos e atribuições.</w:t>
            </w:r>
          </w:p>
        </w:tc>
        <w:tc>
          <w:tcPr>
            <w:tcW w:w="993" w:type="dxa"/>
            <w:shd w:val="clear" w:color="auto" w:fill="auto"/>
            <w:vAlign w:val="center"/>
          </w:tcPr>
          <w:p w14:paraId="3E422583" w14:textId="77777777" w:rsidR="005B7128" w:rsidRPr="0086769E" w:rsidRDefault="005B7128" w:rsidP="003523A1">
            <w:pPr>
              <w:spacing w:after="0" w:line="240" w:lineRule="auto"/>
              <w:jc w:val="center"/>
              <w:rPr>
                <w:rFonts w:ascii="Arial" w:eastAsia="Times New Roman" w:hAnsi="Arial" w:cs="Arial"/>
                <w:sz w:val="14"/>
                <w:szCs w:val="14"/>
                <w:lang w:eastAsia="pt-BR"/>
              </w:rPr>
            </w:pPr>
            <w:r w:rsidRPr="0086769E">
              <w:rPr>
                <w:rFonts w:ascii="Arial" w:eastAsia="Times New Roman" w:hAnsi="Arial" w:cs="Arial"/>
                <w:sz w:val="14"/>
                <w:szCs w:val="14"/>
                <w:lang w:eastAsia="pt-BR"/>
              </w:rPr>
              <w:t>PDF</w:t>
            </w:r>
          </w:p>
        </w:tc>
        <w:tc>
          <w:tcPr>
            <w:tcW w:w="1134" w:type="dxa"/>
            <w:shd w:val="clear" w:color="auto" w:fill="auto"/>
            <w:vAlign w:val="center"/>
          </w:tcPr>
          <w:p w14:paraId="0AA5F44D" w14:textId="77777777" w:rsidR="005B7128" w:rsidRPr="0086769E" w:rsidRDefault="005B7128" w:rsidP="003523A1">
            <w:pPr>
              <w:spacing w:after="0" w:line="240" w:lineRule="auto"/>
              <w:jc w:val="center"/>
              <w:rPr>
                <w:rFonts w:ascii="Arial" w:eastAsia="Times New Roman" w:hAnsi="Arial" w:cs="Arial"/>
                <w:sz w:val="14"/>
                <w:szCs w:val="14"/>
                <w:lang w:eastAsia="pt-BR"/>
              </w:rPr>
            </w:pPr>
            <w:r w:rsidRPr="0086769E">
              <w:rPr>
                <w:rFonts w:ascii="Arial" w:eastAsia="Times New Roman" w:hAnsi="Arial" w:cs="Arial"/>
                <w:sz w:val="14"/>
                <w:szCs w:val="14"/>
                <w:lang w:eastAsia="pt-BR"/>
              </w:rPr>
              <w:t>X</w:t>
            </w:r>
          </w:p>
        </w:tc>
        <w:tc>
          <w:tcPr>
            <w:tcW w:w="1134" w:type="dxa"/>
            <w:shd w:val="clear" w:color="auto" w:fill="auto"/>
            <w:vAlign w:val="center"/>
          </w:tcPr>
          <w:p w14:paraId="1B99DC0E" w14:textId="77777777" w:rsidR="005B7128" w:rsidRPr="0086769E" w:rsidRDefault="005B7128" w:rsidP="003523A1">
            <w:pPr>
              <w:spacing w:after="0" w:line="240" w:lineRule="auto"/>
              <w:jc w:val="center"/>
              <w:rPr>
                <w:rFonts w:ascii="Arial" w:eastAsia="Times New Roman" w:hAnsi="Arial" w:cs="Arial"/>
                <w:sz w:val="14"/>
                <w:szCs w:val="14"/>
                <w:lang w:eastAsia="pt-BR"/>
              </w:rPr>
            </w:pPr>
            <w:r w:rsidRPr="0086769E">
              <w:rPr>
                <w:rFonts w:ascii="Arial" w:eastAsia="Times New Roman" w:hAnsi="Arial" w:cs="Arial"/>
                <w:sz w:val="14"/>
                <w:szCs w:val="14"/>
                <w:lang w:eastAsia="pt-BR"/>
              </w:rPr>
              <w:t>X</w:t>
            </w:r>
          </w:p>
        </w:tc>
        <w:tc>
          <w:tcPr>
            <w:tcW w:w="992" w:type="dxa"/>
            <w:shd w:val="clear" w:color="auto" w:fill="auto"/>
            <w:vAlign w:val="center"/>
          </w:tcPr>
          <w:p w14:paraId="789BD3C2" w14:textId="77777777" w:rsidR="005B7128" w:rsidRPr="0086769E" w:rsidRDefault="005B7128" w:rsidP="003523A1">
            <w:pPr>
              <w:spacing w:after="0" w:line="240" w:lineRule="auto"/>
              <w:jc w:val="center"/>
              <w:rPr>
                <w:rFonts w:ascii="Arial" w:eastAsia="Times New Roman" w:hAnsi="Arial" w:cs="Arial"/>
                <w:sz w:val="14"/>
                <w:szCs w:val="14"/>
                <w:lang w:eastAsia="pt-BR"/>
              </w:rPr>
            </w:pPr>
            <w:r w:rsidRPr="0086769E">
              <w:rPr>
                <w:rFonts w:ascii="Arial" w:eastAsia="Times New Roman" w:hAnsi="Arial" w:cs="Arial"/>
                <w:sz w:val="14"/>
                <w:szCs w:val="14"/>
                <w:lang w:eastAsia="pt-BR"/>
              </w:rPr>
              <w:t>X</w:t>
            </w:r>
          </w:p>
        </w:tc>
        <w:tc>
          <w:tcPr>
            <w:tcW w:w="1134" w:type="dxa"/>
            <w:shd w:val="clear" w:color="auto" w:fill="auto"/>
            <w:vAlign w:val="center"/>
          </w:tcPr>
          <w:p w14:paraId="0D17AF0B" w14:textId="77777777" w:rsidR="005B7128" w:rsidRPr="0086769E" w:rsidRDefault="005B7128" w:rsidP="003523A1">
            <w:pPr>
              <w:spacing w:after="0" w:line="240" w:lineRule="auto"/>
              <w:jc w:val="center"/>
              <w:rPr>
                <w:rFonts w:ascii="Arial" w:eastAsia="Times New Roman" w:hAnsi="Arial" w:cs="Arial"/>
                <w:sz w:val="14"/>
                <w:szCs w:val="14"/>
                <w:lang w:eastAsia="pt-BR"/>
              </w:rPr>
            </w:pPr>
            <w:r w:rsidRPr="0086769E">
              <w:rPr>
                <w:rFonts w:ascii="Arial" w:eastAsia="Times New Roman" w:hAnsi="Arial" w:cs="Arial"/>
                <w:sz w:val="14"/>
                <w:szCs w:val="14"/>
                <w:lang w:eastAsia="pt-BR"/>
              </w:rPr>
              <w:t>X</w:t>
            </w:r>
          </w:p>
        </w:tc>
      </w:tr>
      <w:tr w:rsidR="0086769E" w:rsidRPr="0086769E" w14:paraId="65A077AA" w14:textId="77777777" w:rsidTr="003523A1">
        <w:tc>
          <w:tcPr>
            <w:tcW w:w="1276" w:type="dxa"/>
            <w:shd w:val="clear" w:color="auto" w:fill="auto"/>
            <w:vAlign w:val="center"/>
          </w:tcPr>
          <w:p w14:paraId="6550EFE3" w14:textId="77777777" w:rsidR="005B7128" w:rsidRPr="0086769E" w:rsidRDefault="005B7128" w:rsidP="003523A1">
            <w:pPr>
              <w:spacing w:after="0" w:line="240" w:lineRule="auto"/>
              <w:jc w:val="center"/>
              <w:rPr>
                <w:rFonts w:ascii="Arial" w:eastAsia="Times New Roman" w:hAnsi="Arial" w:cs="Arial"/>
                <w:sz w:val="18"/>
                <w:szCs w:val="18"/>
                <w:lang w:eastAsia="pt-BR"/>
              </w:rPr>
            </w:pPr>
            <w:r w:rsidRPr="0086769E">
              <w:rPr>
                <w:rFonts w:ascii="Arial" w:eastAsia="Times New Roman" w:hAnsi="Arial" w:cs="Arial"/>
                <w:sz w:val="18"/>
                <w:szCs w:val="18"/>
                <w:lang w:eastAsia="pt-BR"/>
              </w:rPr>
              <w:t>RELGES</w:t>
            </w:r>
          </w:p>
        </w:tc>
        <w:tc>
          <w:tcPr>
            <w:tcW w:w="7224" w:type="dxa"/>
            <w:shd w:val="clear" w:color="auto" w:fill="auto"/>
            <w:vAlign w:val="center"/>
          </w:tcPr>
          <w:p w14:paraId="6D0FB918" w14:textId="24E01BB8" w:rsidR="005B7128" w:rsidRPr="0086769E" w:rsidRDefault="005B7128" w:rsidP="003523A1">
            <w:pPr>
              <w:spacing w:after="0" w:line="240" w:lineRule="auto"/>
              <w:jc w:val="both"/>
              <w:rPr>
                <w:rFonts w:ascii="Arial" w:eastAsia="Times New Roman" w:hAnsi="Arial" w:cs="Arial"/>
                <w:sz w:val="18"/>
                <w:szCs w:val="18"/>
                <w:lang w:eastAsia="pt-BR"/>
              </w:rPr>
            </w:pPr>
            <w:r w:rsidRPr="0086769E">
              <w:rPr>
                <w:rFonts w:ascii="Arial" w:eastAsia="Times New Roman" w:hAnsi="Arial" w:cs="Arial"/>
                <w:sz w:val="18"/>
                <w:szCs w:val="18"/>
                <w:lang w:eastAsia="pt-BR"/>
              </w:rPr>
              <w:t>Relatório anual de gestão contendo no mínimo: referência à legislação e criação da estatal e as alterações normativas ocorridas no período, os objetivos sociais da estatal, a avaliação quanto ao atingimento das metas estabelecidas para o exercício relacionando-as com os objetivos sociais, os resultados financeiros alcançados por área de atuação, a distribuição dos resultados (dividendos ou juros sobre o capital próprio), outros assuntos. (Artigo 137, II do RITCEES, aprovado pela Resolução TC nº 261/2013)</w:t>
            </w:r>
            <w:r w:rsidR="009F5AF0">
              <w:rPr>
                <w:rFonts w:ascii="Arial" w:eastAsia="Times New Roman" w:hAnsi="Arial" w:cs="Arial"/>
                <w:sz w:val="18"/>
                <w:szCs w:val="18"/>
                <w:lang w:eastAsia="pt-BR"/>
              </w:rPr>
              <w:t>.</w:t>
            </w:r>
          </w:p>
        </w:tc>
        <w:tc>
          <w:tcPr>
            <w:tcW w:w="993" w:type="dxa"/>
            <w:shd w:val="clear" w:color="auto" w:fill="auto"/>
            <w:vAlign w:val="center"/>
          </w:tcPr>
          <w:p w14:paraId="0F3CC190" w14:textId="77777777" w:rsidR="005B7128" w:rsidRPr="0086769E" w:rsidRDefault="005B7128" w:rsidP="003523A1">
            <w:pPr>
              <w:spacing w:after="0" w:line="240" w:lineRule="auto"/>
              <w:jc w:val="center"/>
              <w:rPr>
                <w:rFonts w:ascii="Arial" w:eastAsia="Times New Roman" w:hAnsi="Arial" w:cs="Arial"/>
                <w:sz w:val="14"/>
                <w:szCs w:val="14"/>
                <w:lang w:eastAsia="pt-BR"/>
              </w:rPr>
            </w:pPr>
            <w:r w:rsidRPr="0086769E">
              <w:rPr>
                <w:rFonts w:ascii="Arial" w:eastAsia="Times New Roman" w:hAnsi="Arial" w:cs="Arial"/>
                <w:sz w:val="14"/>
                <w:szCs w:val="14"/>
                <w:lang w:eastAsia="pt-BR"/>
              </w:rPr>
              <w:t>PDF</w:t>
            </w:r>
          </w:p>
        </w:tc>
        <w:tc>
          <w:tcPr>
            <w:tcW w:w="1134" w:type="dxa"/>
            <w:shd w:val="clear" w:color="auto" w:fill="auto"/>
            <w:vAlign w:val="center"/>
          </w:tcPr>
          <w:p w14:paraId="28DA5DE6" w14:textId="77777777" w:rsidR="005B7128" w:rsidRPr="0086769E" w:rsidRDefault="005B7128" w:rsidP="003523A1">
            <w:pPr>
              <w:spacing w:after="0" w:line="240" w:lineRule="auto"/>
              <w:jc w:val="center"/>
              <w:rPr>
                <w:rFonts w:ascii="Arial" w:eastAsia="Times New Roman" w:hAnsi="Arial" w:cs="Arial"/>
                <w:sz w:val="14"/>
                <w:szCs w:val="14"/>
                <w:lang w:eastAsia="pt-BR"/>
              </w:rPr>
            </w:pPr>
            <w:r w:rsidRPr="0086769E">
              <w:rPr>
                <w:rFonts w:ascii="Arial" w:eastAsia="Times New Roman" w:hAnsi="Arial" w:cs="Arial"/>
                <w:sz w:val="14"/>
                <w:szCs w:val="14"/>
                <w:lang w:eastAsia="pt-BR"/>
              </w:rPr>
              <w:t>X</w:t>
            </w:r>
          </w:p>
        </w:tc>
        <w:tc>
          <w:tcPr>
            <w:tcW w:w="1134" w:type="dxa"/>
            <w:shd w:val="clear" w:color="auto" w:fill="auto"/>
            <w:vAlign w:val="center"/>
          </w:tcPr>
          <w:p w14:paraId="5C50F6F4" w14:textId="77777777" w:rsidR="005B7128" w:rsidRPr="0086769E" w:rsidRDefault="005B7128" w:rsidP="003523A1">
            <w:pPr>
              <w:spacing w:after="0" w:line="240" w:lineRule="auto"/>
              <w:jc w:val="center"/>
              <w:rPr>
                <w:rFonts w:ascii="Arial" w:eastAsia="Times New Roman" w:hAnsi="Arial" w:cs="Arial"/>
                <w:sz w:val="14"/>
                <w:szCs w:val="14"/>
                <w:lang w:eastAsia="pt-BR"/>
              </w:rPr>
            </w:pPr>
            <w:r w:rsidRPr="0086769E">
              <w:rPr>
                <w:rFonts w:ascii="Arial" w:eastAsia="Times New Roman" w:hAnsi="Arial" w:cs="Arial"/>
                <w:sz w:val="14"/>
                <w:szCs w:val="14"/>
                <w:lang w:eastAsia="pt-BR"/>
              </w:rPr>
              <w:t>X</w:t>
            </w:r>
          </w:p>
        </w:tc>
        <w:tc>
          <w:tcPr>
            <w:tcW w:w="992" w:type="dxa"/>
            <w:shd w:val="clear" w:color="auto" w:fill="auto"/>
            <w:vAlign w:val="center"/>
          </w:tcPr>
          <w:p w14:paraId="291EC389" w14:textId="77777777" w:rsidR="005B7128" w:rsidRPr="0086769E" w:rsidRDefault="005B7128" w:rsidP="003523A1">
            <w:pPr>
              <w:spacing w:after="0" w:line="240" w:lineRule="auto"/>
              <w:jc w:val="center"/>
              <w:rPr>
                <w:rFonts w:ascii="Arial" w:eastAsia="Times New Roman" w:hAnsi="Arial" w:cs="Arial"/>
                <w:sz w:val="14"/>
                <w:szCs w:val="14"/>
                <w:lang w:eastAsia="pt-BR"/>
              </w:rPr>
            </w:pPr>
            <w:r w:rsidRPr="0086769E">
              <w:rPr>
                <w:rFonts w:ascii="Arial" w:eastAsia="Times New Roman" w:hAnsi="Arial" w:cs="Arial"/>
                <w:sz w:val="14"/>
                <w:szCs w:val="14"/>
                <w:lang w:eastAsia="pt-BR"/>
              </w:rPr>
              <w:t>X</w:t>
            </w:r>
          </w:p>
        </w:tc>
        <w:tc>
          <w:tcPr>
            <w:tcW w:w="1134" w:type="dxa"/>
            <w:shd w:val="clear" w:color="auto" w:fill="auto"/>
            <w:vAlign w:val="center"/>
          </w:tcPr>
          <w:p w14:paraId="1C4030E5" w14:textId="77777777" w:rsidR="005B7128" w:rsidRPr="0086769E" w:rsidRDefault="005B7128" w:rsidP="003523A1">
            <w:pPr>
              <w:spacing w:after="0" w:line="240" w:lineRule="auto"/>
              <w:jc w:val="center"/>
              <w:rPr>
                <w:rFonts w:ascii="Arial" w:eastAsia="Times New Roman" w:hAnsi="Arial" w:cs="Arial"/>
                <w:sz w:val="14"/>
                <w:szCs w:val="14"/>
                <w:lang w:eastAsia="pt-BR"/>
              </w:rPr>
            </w:pPr>
            <w:r w:rsidRPr="0086769E">
              <w:rPr>
                <w:rFonts w:ascii="Arial" w:eastAsia="Times New Roman" w:hAnsi="Arial" w:cs="Arial"/>
                <w:sz w:val="14"/>
                <w:szCs w:val="14"/>
                <w:lang w:eastAsia="pt-BR"/>
              </w:rPr>
              <w:t>X</w:t>
            </w:r>
          </w:p>
        </w:tc>
      </w:tr>
      <w:tr w:rsidR="007D64A9" w:rsidRPr="00A5490A" w14:paraId="2794980D" w14:textId="77777777" w:rsidTr="007D64A9">
        <w:tc>
          <w:tcPr>
            <w:tcW w:w="1276" w:type="dxa"/>
            <w:vAlign w:val="center"/>
          </w:tcPr>
          <w:p w14:paraId="4535722E" w14:textId="77777777" w:rsidR="007D64A9" w:rsidRPr="003B4337" w:rsidRDefault="007D64A9" w:rsidP="007D64A9">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AGOADM</w:t>
            </w:r>
          </w:p>
        </w:tc>
        <w:tc>
          <w:tcPr>
            <w:tcW w:w="7224" w:type="dxa"/>
            <w:shd w:val="clear" w:color="auto" w:fill="auto"/>
            <w:vAlign w:val="center"/>
          </w:tcPr>
          <w:p w14:paraId="2E6A2D59" w14:textId="77777777" w:rsidR="007D64A9" w:rsidRPr="003B4337" w:rsidRDefault="007D64A9" w:rsidP="007D64A9">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Ata da Assembleia Geral Ordinária ou Extraordinária (AGO/AGE) que elegeu ou destituiu os administradores, relacionados no “Rol de Responsáveis”, inclusive o liquidante se for o caso.</w:t>
            </w:r>
          </w:p>
        </w:tc>
        <w:tc>
          <w:tcPr>
            <w:tcW w:w="993" w:type="dxa"/>
            <w:shd w:val="clear" w:color="auto" w:fill="auto"/>
            <w:vAlign w:val="center"/>
          </w:tcPr>
          <w:p w14:paraId="3A5A729E" w14:textId="77777777" w:rsidR="007D64A9" w:rsidRPr="003B4337" w:rsidRDefault="007D64A9" w:rsidP="007D64A9">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c>
          <w:tcPr>
            <w:tcW w:w="1134" w:type="dxa"/>
            <w:vAlign w:val="center"/>
          </w:tcPr>
          <w:p w14:paraId="3AEBF595" w14:textId="77777777" w:rsidR="007D64A9" w:rsidRPr="00CB55B0" w:rsidRDefault="007D64A9" w:rsidP="007D64A9">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1134" w:type="dxa"/>
            <w:vAlign w:val="center"/>
          </w:tcPr>
          <w:p w14:paraId="09393B56" w14:textId="77777777" w:rsidR="007D64A9" w:rsidRPr="00CB55B0" w:rsidRDefault="007D64A9" w:rsidP="007D64A9">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vAlign w:val="center"/>
          </w:tcPr>
          <w:p w14:paraId="73A5FC6D" w14:textId="77777777" w:rsidR="007D64A9" w:rsidRPr="00CB55B0" w:rsidRDefault="007D64A9" w:rsidP="007D64A9">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1134" w:type="dxa"/>
            <w:vAlign w:val="center"/>
          </w:tcPr>
          <w:p w14:paraId="41D1C58D" w14:textId="77777777" w:rsidR="007D64A9" w:rsidRPr="00CB55B0" w:rsidRDefault="007D64A9" w:rsidP="007D64A9">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r>
      <w:tr w:rsidR="007D64A9" w:rsidRPr="00A5490A" w14:paraId="0443FA25" w14:textId="77777777" w:rsidTr="007D64A9">
        <w:tc>
          <w:tcPr>
            <w:tcW w:w="1276" w:type="dxa"/>
            <w:vAlign w:val="center"/>
          </w:tcPr>
          <w:p w14:paraId="0A99FECC" w14:textId="77777777" w:rsidR="007D64A9" w:rsidRPr="003B4337" w:rsidRDefault="007D64A9" w:rsidP="007D64A9">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TPOSSE</w:t>
            </w:r>
          </w:p>
        </w:tc>
        <w:tc>
          <w:tcPr>
            <w:tcW w:w="7224" w:type="dxa"/>
            <w:shd w:val="clear" w:color="auto" w:fill="auto"/>
            <w:vAlign w:val="center"/>
          </w:tcPr>
          <w:p w14:paraId="50D083F1" w14:textId="77777777" w:rsidR="007D64A9" w:rsidRPr="003B4337" w:rsidRDefault="007D64A9" w:rsidP="007D64A9">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Termos de Posse dos administradores relacionados no “Rol de Responsáveis”.</w:t>
            </w:r>
            <w:r w:rsidRPr="003B4337">
              <w:rPr>
                <w:sz w:val="18"/>
                <w:szCs w:val="18"/>
              </w:rPr>
              <w:t xml:space="preserve"> </w:t>
            </w:r>
          </w:p>
        </w:tc>
        <w:tc>
          <w:tcPr>
            <w:tcW w:w="993" w:type="dxa"/>
            <w:shd w:val="clear" w:color="auto" w:fill="auto"/>
            <w:vAlign w:val="center"/>
          </w:tcPr>
          <w:p w14:paraId="6A62985A" w14:textId="77777777" w:rsidR="007D64A9" w:rsidRPr="003B4337" w:rsidRDefault="007D64A9" w:rsidP="007D64A9">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c>
          <w:tcPr>
            <w:tcW w:w="1134" w:type="dxa"/>
            <w:vAlign w:val="center"/>
          </w:tcPr>
          <w:p w14:paraId="637BB2CC" w14:textId="77777777" w:rsidR="007D64A9" w:rsidRPr="00CB55B0" w:rsidRDefault="007D64A9" w:rsidP="007D64A9">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1134" w:type="dxa"/>
            <w:vAlign w:val="center"/>
          </w:tcPr>
          <w:p w14:paraId="1B8730DA" w14:textId="77777777" w:rsidR="007D64A9" w:rsidRPr="00CB55B0" w:rsidRDefault="007D64A9" w:rsidP="007D64A9">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vAlign w:val="center"/>
          </w:tcPr>
          <w:p w14:paraId="2C69CE86" w14:textId="77777777" w:rsidR="007D64A9" w:rsidRPr="00CB55B0" w:rsidRDefault="007D64A9" w:rsidP="007D64A9">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1134" w:type="dxa"/>
            <w:vAlign w:val="center"/>
          </w:tcPr>
          <w:p w14:paraId="7224AE6A" w14:textId="77777777" w:rsidR="007D64A9" w:rsidRPr="00CB55B0" w:rsidRDefault="007D64A9" w:rsidP="007D64A9">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r>
      <w:tr w:rsidR="007D64A9" w:rsidRPr="00A5490A" w14:paraId="1848980F" w14:textId="77777777" w:rsidTr="007D64A9">
        <w:tc>
          <w:tcPr>
            <w:tcW w:w="1276" w:type="dxa"/>
            <w:vAlign w:val="center"/>
          </w:tcPr>
          <w:p w14:paraId="3EE004A1" w14:textId="77777777" w:rsidR="007D64A9" w:rsidRPr="003B4337" w:rsidRDefault="007D64A9" w:rsidP="007D64A9">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lastRenderedPageBreak/>
              <w:t>TREADM</w:t>
            </w:r>
          </w:p>
        </w:tc>
        <w:tc>
          <w:tcPr>
            <w:tcW w:w="7224" w:type="dxa"/>
            <w:shd w:val="clear" w:color="auto" w:fill="auto"/>
            <w:vAlign w:val="center"/>
          </w:tcPr>
          <w:p w14:paraId="331E6E41" w14:textId="77777777" w:rsidR="007D64A9" w:rsidRPr="003B4337" w:rsidRDefault="007D64A9" w:rsidP="007D64A9">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Termos de Rescisão, caso ocorram no exercício, dos administradores relacionados no “Rol de Responsáveis”, com a composição das verbas remuneratórias e indenizatórias pagas.</w:t>
            </w:r>
          </w:p>
        </w:tc>
        <w:tc>
          <w:tcPr>
            <w:tcW w:w="993" w:type="dxa"/>
            <w:shd w:val="clear" w:color="auto" w:fill="auto"/>
            <w:vAlign w:val="center"/>
          </w:tcPr>
          <w:p w14:paraId="31787E51" w14:textId="77777777" w:rsidR="007D64A9" w:rsidRPr="003B4337" w:rsidRDefault="007D64A9" w:rsidP="007D64A9">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c>
          <w:tcPr>
            <w:tcW w:w="1134" w:type="dxa"/>
            <w:vAlign w:val="center"/>
          </w:tcPr>
          <w:p w14:paraId="7692C6EF" w14:textId="77777777" w:rsidR="007D64A9" w:rsidRPr="00CB55B0" w:rsidRDefault="007D64A9" w:rsidP="007D64A9">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1134" w:type="dxa"/>
            <w:vAlign w:val="center"/>
          </w:tcPr>
          <w:p w14:paraId="77E6B309" w14:textId="77777777" w:rsidR="007D64A9" w:rsidRPr="00CB55B0" w:rsidRDefault="007D64A9" w:rsidP="007D64A9">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vAlign w:val="center"/>
          </w:tcPr>
          <w:p w14:paraId="686F55FB" w14:textId="77777777" w:rsidR="007D64A9" w:rsidRPr="00CB55B0" w:rsidRDefault="007D64A9" w:rsidP="007D64A9">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1134" w:type="dxa"/>
            <w:vAlign w:val="center"/>
          </w:tcPr>
          <w:p w14:paraId="124265D0" w14:textId="77777777" w:rsidR="007D64A9" w:rsidRPr="00CB55B0" w:rsidRDefault="007D64A9" w:rsidP="007D64A9">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r>
      <w:tr w:rsidR="007D64A9" w:rsidRPr="00A5490A" w14:paraId="6583D714" w14:textId="77777777" w:rsidTr="007D64A9">
        <w:tc>
          <w:tcPr>
            <w:tcW w:w="1276" w:type="dxa"/>
            <w:vAlign w:val="center"/>
          </w:tcPr>
          <w:p w14:paraId="33FE3378" w14:textId="77777777" w:rsidR="007D64A9" w:rsidRPr="003B4337" w:rsidRDefault="007D64A9" w:rsidP="007D64A9">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FIFADM</w:t>
            </w:r>
          </w:p>
        </w:tc>
        <w:tc>
          <w:tcPr>
            <w:tcW w:w="7224" w:type="dxa"/>
            <w:shd w:val="clear" w:color="auto" w:fill="auto"/>
            <w:vAlign w:val="center"/>
          </w:tcPr>
          <w:p w14:paraId="3A094907" w14:textId="77777777" w:rsidR="007D64A9" w:rsidRPr="003B4337" w:rsidRDefault="007D64A9" w:rsidP="007D64A9">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Fichas financeiras dos Administradores relacionados no “Rol de Responsáveis”, especificando os honorários, gratificações e demais vantagens atribuídas a qualquer título no exercício, inclusive do liquidante se for o caso.</w:t>
            </w:r>
          </w:p>
        </w:tc>
        <w:tc>
          <w:tcPr>
            <w:tcW w:w="993" w:type="dxa"/>
            <w:shd w:val="clear" w:color="auto" w:fill="auto"/>
            <w:vAlign w:val="center"/>
          </w:tcPr>
          <w:p w14:paraId="1143617F" w14:textId="77777777" w:rsidR="007D64A9" w:rsidRPr="003B4337" w:rsidRDefault="007D64A9" w:rsidP="007D64A9">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c>
          <w:tcPr>
            <w:tcW w:w="1134" w:type="dxa"/>
            <w:vAlign w:val="center"/>
          </w:tcPr>
          <w:p w14:paraId="60FFF158" w14:textId="77777777" w:rsidR="007D64A9" w:rsidRPr="00CB55B0" w:rsidRDefault="007D64A9" w:rsidP="007D64A9">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1134" w:type="dxa"/>
            <w:vAlign w:val="center"/>
          </w:tcPr>
          <w:p w14:paraId="55DA9D40" w14:textId="77777777" w:rsidR="007D64A9" w:rsidRPr="00CB55B0" w:rsidRDefault="007D64A9" w:rsidP="007D64A9">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vAlign w:val="center"/>
          </w:tcPr>
          <w:p w14:paraId="3ECF89C0" w14:textId="77777777" w:rsidR="007D64A9" w:rsidRPr="00CB55B0" w:rsidRDefault="007D64A9" w:rsidP="007D64A9">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1134" w:type="dxa"/>
            <w:vAlign w:val="center"/>
          </w:tcPr>
          <w:p w14:paraId="3AE45B00" w14:textId="77777777" w:rsidR="007D64A9" w:rsidRPr="00CB55B0" w:rsidRDefault="007D64A9" w:rsidP="007D64A9">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r>
      <w:tr w:rsidR="007D64A9" w:rsidRPr="00A5490A" w14:paraId="0033DD8F" w14:textId="77777777" w:rsidTr="007D64A9">
        <w:tc>
          <w:tcPr>
            <w:tcW w:w="1276" w:type="dxa"/>
            <w:vAlign w:val="center"/>
          </w:tcPr>
          <w:p w14:paraId="0DDF106E" w14:textId="77777777" w:rsidR="007D64A9" w:rsidRPr="003B4337" w:rsidRDefault="007D64A9" w:rsidP="007D64A9">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INRADM</w:t>
            </w:r>
          </w:p>
        </w:tc>
        <w:tc>
          <w:tcPr>
            <w:tcW w:w="7224" w:type="dxa"/>
            <w:shd w:val="clear" w:color="auto" w:fill="auto"/>
            <w:vAlign w:val="center"/>
          </w:tcPr>
          <w:p w14:paraId="41861098" w14:textId="77777777" w:rsidR="007D64A9" w:rsidRPr="003B4337" w:rsidRDefault="007D64A9" w:rsidP="007D64A9">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Instrumento Normativo fixador da remuneração paga aos administradores, relacionados no “Rol de Responsáveis”, inclusive gratificações e vantagens, inclusive do liquidante se for o caso.</w:t>
            </w:r>
          </w:p>
        </w:tc>
        <w:tc>
          <w:tcPr>
            <w:tcW w:w="993" w:type="dxa"/>
            <w:shd w:val="clear" w:color="auto" w:fill="auto"/>
            <w:vAlign w:val="center"/>
          </w:tcPr>
          <w:p w14:paraId="4F377FBE" w14:textId="77777777" w:rsidR="007D64A9" w:rsidRPr="003B4337" w:rsidRDefault="007D64A9" w:rsidP="007D64A9">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c>
          <w:tcPr>
            <w:tcW w:w="1134" w:type="dxa"/>
            <w:vAlign w:val="center"/>
          </w:tcPr>
          <w:p w14:paraId="1F2C84C7" w14:textId="77777777" w:rsidR="007D64A9" w:rsidRPr="00CB55B0" w:rsidRDefault="007D64A9" w:rsidP="007D64A9">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1134" w:type="dxa"/>
            <w:vAlign w:val="center"/>
          </w:tcPr>
          <w:p w14:paraId="09EE773A" w14:textId="77777777" w:rsidR="007D64A9" w:rsidRPr="00CB55B0" w:rsidRDefault="007D64A9" w:rsidP="007D64A9">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vAlign w:val="center"/>
          </w:tcPr>
          <w:p w14:paraId="1C6090A3" w14:textId="77777777" w:rsidR="007D64A9" w:rsidRPr="00CB55B0" w:rsidRDefault="007D64A9" w:rsidP="007D64A9">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1134" w:type="dxa"/>
            <w:vAlign w:val="center"/>
          </w:tcPr>
          <w:p w14:paraId="3F998944" w14:textId="77777777" w:rsidR="007D64A9" w:rsidRPr="00CB55B0" w:rsidRDefault="007D64A9" w:rsidP="007D64A9">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r>
      <w:tr w:rsidR="007D64A9" w:rsidRPr="00A5490A" w14:paraId="11FCAE1C" w14:textId="77777777" w:rsidTr="007D64A9">
        <w:tc>
          <w:tcPr>
            <w:tcW w:w="1276" w:type="dxa"/>
            <w:vAlign w:val="center"/>
          </w:tcPr>
          <w:p w14:paraId="60C760FB" w14:textId="77777777" w:rsidR="007D64A9" w:rsidRPr="003B4337" w:rsidRDefault="007D64A9" w:rsidP="007D64A9">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RELADM</w:t>
            </w:r>
          </w:p>
        </w:tc>
        <w:tc>
          <w:tcPr>
            <w:tcW w:w="7224" w:type="dxa"/>
            <w:shd w:val="clear" w:color="auto" w:fill="auto"/>
            <w:vAlign w:val="center"/>
          </w:tcPr>
          <w:p w14:paraId="5BE07991" w14:textId="77777777" w:rsidR="007D64A9" w:rsidRPr="003B4337" w:rsidRDefault="007D64A9" w:rsidP="007D64A9">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Relatório anual da Administração sobre os negócios sociais e os principais fatos administrativos do exercício findo e o exame das demonstrações financeiras (Artigo 137, II, do RITCEES, aprovado pela Resolução TC nº 261/2013 e inciso I do art. 133 da Lei 6.404/76). </w:t>
            </w:r>
          </w:p>
          <w:p w14:paraId="4DA4859E" w14:textId="77777777" w:rsidR="007D64A9" w:rsidRPr="003B4337" w:rsidRDefault="007D64A9" w:rsidP="007D64A9">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Observação: No caso de pessoas jurídicas em liquidação devem ser enviados, também, os relatórios de prestação de contas da liquidação previstos no artigo 213 da Lei Federal nº 6.404/76 que tenham sido elaborados no exercício.</w:t>
            </w:r>
          </w:p>
        </w:tc>
        <w:tc>
          <w:tcPr>
            <w:tcW w:w="993" w:type="dxa"/>
            <w:shd w:val="clear" w:color="auto" w:fill="auto"/>
            <w:vAlign w:val="center"/>
          </w:tcPr>
          <w:p w14:paraId="3BA6E55A" w14:textId="77777777" w:rsidR="007D64A9" w:rsidRPr="003B4337" w:rsidRDefault="007D64A9" w:rsidP="007D64A9">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c>
          <w:tcPr>
            <w:tcW w:w="1134" w:type="dxa"/>
            <w:vAlign w:val="center"/>
          </w:tcPr>
          <w:p w14:paraId="0CB97734" w14:textId="77777777" w:rsidR="007D64A9" w:rsidRPr="00CB55B0" w:rsidRDefault="007D64A9" w:rsidP="007D64A9">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1134" w:type="dxa"/>
            <w:vAlign w:val="center"/>
          </w:tcPr>
          <w:p w14:paraId="421EC0A2" w14:textId="77777777" w:rsidR="007D64A9" w:rsidRPr="00CB55B0" w:rsidRDefault="007D64A9" w:rsidP="007D64A9">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vAlign w:val="center"/>
          </w:tcPr>
          <w:p w14:paraId="30D0F047" w14:textId="77777777" w:rsidR="007D64A9" w:rsidRPr="00CB55B0" w:rsidRDefault="007D64A9" w:rsidP="007D64A9">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1134" w:type="dxa"/>
            <w:vAlign w:val="center"/>
          </w:tcPr>
          <w:p w14:paraId="5A9E9D12" w14:textId="77777777" w:rsidR="007D64A9" w:rsidRPr="00CB55B0" w:rsidRDefault="007D64A9" w:rsidP="007D64A9">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r>
      <w:tr w:rsidR="007D64A9" w:rsidRPr="00A5490A" w14:paraId="703F1069" w14:textId="77777777" w:rsidTr="007D64A9">
        <w:tc>
          <w:tcPr>
            <w:tcW w:w="1276" w:type="dxa"/>
            <w:vAlign w:val="center"/>
          </w:tcPr>
          <w:p w14:paraId="25B0113C" w14:textId="77777777" w:rsidR="007D64A9" w:rsidRPr="003B4337" w:rsidRDefault="007D64A9" w:rsidP="007D64A9">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DREPAS</w:t>
            </w:r>
          </w:p>
        </w:tc>
        <w:tc>
          <w:tcPr>
            <w:tcW w:w="7224" w:type="dxa"/>
            <w:shd w:val="clear" w:color="auto" w:fill="auto"/>
            <w:vAlign w:val="center"/>
          </w:tcPr>
          <w:p w14:paraId="6E91F2F3" w14:textId="77777777" w:rsidR="007D64A9" w:rsidRPr="003B4337" w:rsidRDefault="007D64A9" w:rsidP="007D64A9">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Demonstrativo dos repasses recebidos do Governo, para custeio ou aumento de capital, caso ocorram durante o exercício. </w:t>
            </w:r>
          </w:p>
        </w:tc>
        <w:tc>
          <w:tcPr>
            <w:tcW w:w="993" w:type="dxa"/>
            <w:shd w:val="clear" w:color="auto" w:fill="auto"/>
            <w:vAlign w:val="center"/>
          </w:tcPr>
          <w:p w14:paraId="70225168" w14:textId="77777777" w:rsidR="007D64A9" w:rsidRPr="003B4337" w:rsidRDefault="007D64A9" w:rsidP="007D64A9">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c>
          <w:tcPr>
            <w:tcW w:w="1134" w:type="dxa"/>
            <w:vAlign w:val="center"/>
          </w:tcPr>
          <w:p w14:paraId="6F99E9CE" w14:textId="77777777" w:rsidR="007D64A9" w:rsidRPr="00CB55B0" w:rsidRDefault="007D64A9" w:rsidP="007D64A9">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1134" w:type="dxa"/>
            <w:vAlign w:val="center"/>
          </w:tcPr>
          <w:p w14:paraId="7EAB7ABE" w14:textId="77777777" w:rsidR="007D64A9" w:rsidRPr="00CB55B0" w:rsidRDefault="007D64A9" w:rsidP="007D64A9">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vAlign w:val="center"/>
          </w:tcPr>
          <w:p w14:paraId="1390D56B" w14:textId="77777777" w:rsidR="007D64A9" w:rsidRPr="00CB55B0" w:rsidRDefault="007D64A9" w:rsidP="007D64A9">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1134" w:type="dxa"/>
            <w:vAlign w:val="center"/>
          </w:tcPr>
          <w:p w14:paraId="3658303B" w14:textId="77777777" w:rsidR="007D64A9" w:rsidRPr="00CB55B0" w:rsidRDefault="007D64A9" w:rsidP="007D64A9">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r>
      <w:tr w:rsidR="007D64A9" w:rsidRPr="00A5490A" w14:paraId="66968917" w14:textId="77777777" w:rsidTr="007D64A9">
        <w:tc>
          <w:tcPr>
            <w:tcW w:w="1276" w:type="dxa"/>
            <w:vAlign w:val="center"/>
          </w:tcPr>
          <w:p w14:paraId="3E658933" w14:textId="77777777" w:rsidR="007D64A9" w:rsidRPr="003B4337" w:rsidRDefault="007D64A9" w:rsidP="007D64A9">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TVDCAI</w:t>
            </w:r>
          </w:p>
        </w:tc>
        <w:tc>
          <w:tcPr>
            <w:tcW w:w="7224" w:type="dxa"/>
            <w:shd w:val="clear" w:color="auto" w:fill="auto"/>
            <w:vAlign w:val="center"/>
          </w:tcPr>
          <w:p w14:paraId="584D4982" w14:textId="77777777" w:rsidR="007D64A9" w:rsidRPr="003B4337" w:rsidRDefault="007D64A9" w:rsidP="007D64A9">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Termo de verificação das disponibilidades em caixa ao final do exercício. </w:t>
            </w:r>
          </w:p>
        </w:tc>
        <w:tc>
          <w:tcPr>
            <w:tcW w:w="993" w:type="dxa"/>
            <w:shd w:val="clear" w:color="auto" w:fill="auto"/>
            <w:vAlign w:val="center"/>
          </w:tcPr>
          <w:p w14:paraId="2809F438" w14:textId="77777777" w:rsidR="007D64A9" w:rsidRPr="003B4337" w:rsidRDefault="007D64A9" w:rsidP="007D64A9">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c>
          <w:tcPr>
            <w:tcW w:w="1134" w:type="dxa"/>
            <w:vAlign w:val="center"/>
          </w:tcPr>
          <w:p w14:paraId="20EAC2B7" w14:textId="77777777" w:rsidR="007D64A9" w:rsidRPr="00CB55B0" w:rsidRDefault="007D64A9" w:rsidP="007D64A9">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1134" w:type="dxa"/>
            <w:vAlign w:val="center"/>
          </w:tcPr>
          <w:p w14:paraId="693CAD10" w14:textId="77777777" w:rsidR="007D64A9" w:rsidRPr="00CB55B0" w:rsidRDefault="007D64A9" w:rsidP="007D64A9">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vAlign w:val="center"/>
          </w:tcPr>
          <w:p w14:paraId="57C81CB2" w14:textId="77777777" w:rsidR="007D64A9" w:rsidRPr="00CB55B0" w:rsidRDefault="007D64A9" w:rsidP="007D64A9">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1134" w:type="dxa"/>
            <w:vAlign w:val="center"/>
          </w:tcPr>
          <w:p w14:paraId="3301C95B" w14:textId="77777777" w:rsidR="007D64A9" w:rsidRPr="00CB55B0" w:rsidRDefault="007D64A9" w:rsidP="007D64A9">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r>
      <w:tr w:rsidR="007D64A9" w:rsidRPr="00A5490A" w14:paraId="7E5F8B0A" w14:textId="77777777" w:rsidTr="007D64A9">
        <w:tc>
          <w:tcPr>
            <w:tcW w:w="1276" w:type="dxa"/>
            <w:vAlign w:val="center"/>
          </w:tcPr>
          <w:p w14:paraId="381619D0" w14:textId="77777777" w:rsidR="007D64A9" w:rsidRPr="003B4337" w:rsidRDefault="007D64A9" w:rsidP="007D64A9">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TVDISPN</w:t>
            </w:r>
          </w:p>
        </w:tc>
        <w:tc>
          <w:tcPr>
            <w:tcW w:w="7224" w:type="dxa"/>
            <w:shd w:val="clear" w:color="auto" w:fill="auto"/>
            <w:vAlign w:val="center"/>
          </w:tcPr>
          <w:p w14:paraId="42E90DF7" w14:textId="2A683F9C" w:rsidR="007D64A9" w:rsidRPr="003B4337" w:rsidRDefault="007D64A9" w:rsidP="007D64A9">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Termo de verificação de disponibilidades bancárias, na forma </w:t>
            </w:r>
            <w:r w:rsidR="00CB7901">
              <w:rPr>
                <w:rFonts w:ascii="Arial" w:eastAsia="Times New Roman" w:hAnsi="Arial" w:cs="Arial"/>
                <w:sz w:val="18"/>
                <w:szCs w:val="18"/>
                <w:lang w:eastAsia="pt-BR"/>
              </w:rPr>
              <w:t xml:space="preserve">do </w:t>
            </w:r>
            <w:r w:rsidR="00CB7901" w:rsidRPr="00CB7901">
              <w:rPr>
                <w:rFonts w:ascii="Arial" w:eastAsia="Times New Roman" w:hAnsi="Arial" w:cs="Arial"/>
                <w:sz w:val="18"/>
                <w:szCs w:val="18"/>
                <w:lang w:eastAsia="pt-BR"/>
              </w:rPr>
              <w:t>item 3.2 deste Anexo.</w:t>
            </w:r>
          </w:p>
        </w:tc>
        <w:tc>
          <w:tcPr>
            <w:tcW w:w="993" w:type="dxa"/>
            <w:shd w:val="clear" w:color="auto" w:fill="auto"/>
            <w:vAlign w:val="center"/>
          </w:tcPr>
          <w:p w14:paraId="01C98890" w14:textId="77777777" w:rsidR="007D64A9" w:rsidRPr="003B4337" w:rsidRDefault="007D64A9" w:rsidP="007D64A9">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p w14:paraId="2B88A8E5" w14:textId="77777777" w:rsidR="007D64A9" w:rsidRPr="003B4337" w:rsidRDefault="007D64A9" w:rsidP="007D64A9">
            <w:pPr>
              <w:spacing w:after="0" w:line="240" w:lineRule="auto"/>
              <w:jc w:val="center"/>
              <w:rPr>
                <w:rFonts w:ascii="Arial" w:eastAsia="Times New Roman" w:hAnsi="Arial" w:cs="Arial"/>
                <w:sz w:val="14"/>
                <w:szCs w:val="14"/>
                <w:highlight w:val="yellow"/>
                <w:lang w:eastAsia="pt-BR"/>
              </w:rPr>
            </w:pPr>
            <w:r w:rsidRPr="003B4337">
              <w:rPr>
                <w:rFonts w:ascii="Arial" w:eastAsia="Times New Roman" w:hAnsi="Arial" w:cs="Arial"/>
                <w:sz w:val="14"/>
                <w:szCs w:val="14"/>
                <w:lang w:eastAsia="pt-BR"/>
              </w:rPr>
              <w:t>e</w:t>
            </w:r>
            <w:r w:rsidRPr="003B4337">
              <w:rPr>
                <w:rFonts w:ascii="Arial" w:eastAsia="Times New Roman" w:hAnsi="Arial" w:cs="Arial"/>
                <w:sz w:val="14"/>
                <w:szCs w:val="14"/>
                <w:highlight w:val="yellow"/>
                <w:lang w:eastAsia="pt-BR"/>
              </w:rPr>
              <w:t xml:space="preserve"> </w:t>
            </w:r>
          </w:p>
          <w:p w14:paraId="34C435F5" w14:textId="77777777" w:rsidR="007D64A9" w:rsidRPr="003B4337" w:rsidRDefault="007D64A9" w:rsidP="007D64A9">
            <w:pPr>
              <w:spacing w:after="0" w:line="240" w:lineRule="auto"/>
              <w:jc w:val="center"/>
              <w:rPr>
                <w:rFonts w:ascii="Arial" w:eastAsia="Times New Roman" w:hAnsi="Arial" w:cs="Arial"/>
                <w:i/>
                <w:sz w:val="14"/>
                <w:szCs w:val="14"/>
                <w:lang w:eastAsia="pt-BR"/>
              </w:rPr>
            </w:pPr>
            <w:r w:rsidRPr="003B4337">
              <w:rPr>
                <w:rFonts w:ascii="Arial" w:eastAsia="Times New Roman" w:hAnsi="Arial" w:cs="Arial"/>
                <w:sz w:val="14"/>
                <w:szCs w:val="14"/>
                <w:lang w:eastAsia="pt-BR"/>
              </w:rPr>
              <w:t>XLS/XLSX/ODS</w:t>
            </w:r>
          </w:p>
        </w:tc>
        <w:tc>
          <w:tcPr>
            <w:tcW w:w="1134" w:type="dxa"/>
            <w:vAlign w:val="center"/>
          </w:tcPr>
          <w:p w14:paraId="6656BD89" w14:textId="77777777" w:rsidR="007D64A9" w:rsidRPr="00CB55B0" w:rsidRDefault="007D64A9" w:rsidP="007D64A9">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1134" w:type="dxa"/>
            <w:vAlign w:val="center"/>
          </w:tcPr>
          <w:p w14:paraId="28B22031" w14:textId="77777777" w:rsidR="007D64A9" w:rsidRPr="00CB55B0" w:rsidRDefault="007D64A9" w:rsidP="007D64A9">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vAlign w:val="center"/>
          </w:tcPr>
          <w:p w14:paraId="5489AF19" w14:textId="77777777" w:rsidR="007D64A9" w:rsidRPr="00CB55B0" w:rsidRDefault="007D64A9" w:rsidP="007D64A9">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1134" w:type="dxa"/>
            <w:vAlign w:val="center"/>
          </w:tcPr>
          <w:p w14:paraId="410F2DDF" w14:textId="77777777" w:rsidR="007D64A9" w:rsidRPr="00CB55B0" w:rsidRDefault="007D64A9" w:rsidP="007D64A9">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r>
      <w:tr w:rsidR="007D64A9" w:rsidRPr="00A5490A" w14:paraId="74266B6C" w14:textId="77777777" w:rsidTr="007D64A9">
        <w:tc>
          <w:tcPr>
            <w:tcW w:w="1276" w:type="dxa"/>
            <w:vAlign w:val="center"/>
          </w:tcPr>
          <w:p w14:paraId="32660654" w14:textId="77777777" w:rsidR="007D64A9" w:rsidRPr="003B4337" w:rsidRDefault="007D64A9" w:rsidP="007D64A9">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EXTBAN</w:t>
            </w:r>
          </w:p>
        </w:tc>
        <w:tc>
          <w:tcPr>
            <w:tcW w:w="7224" w:type="dxa"/>
            <w:shd w:val="clear" w:color="auto" w:fill="auto"/>
            <w:vAlign w:val="center"/>
          </w:tcPr>
          <w:p w14:paraId="0F0D9C8F" w14:textId="77777777" w:rsidR="007D64A9" w:rsidRPr="003B4337" w:rsidRDefault="007D64A9" w:rsidP="007D64A9">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Extratos bancários relativos ao mês de encerramento do exercício (inclusive das contas com saldo bancário zerado no exercício).</w:t>
            </w:r>
          </w:p>
        </w:tc>
        <w:tc>
          <w:tcPr>
            <w:tcW w:w="993" w:type="dxa"/>
            <w:shd w:val="clear" w:color="auto" w:fill="auto"/>
            <w:vAlign w:val="center"/>
          </w:tcPr>
          <w:p w14:paraId="183BDDD6" w14:textId="77777777" w:rsidR="007D64A9" w:rsidRPr="003B4337" w:rsidRDefault="007D64A9" w:rsidP="007D64A9">
            <w:pPr>
              <w:spacing w:after="0" w:line="240" w:lineRule="auto"/>
              <w:jc w:val="center"/>
              <w:rPr>
                <w:rFonts w:ascii="Arial" w:eastAsia="Times New Roman" w:hAnsi="Arial" w:cs="Arial"/>
                <w:i/>
                <w:sz w:val="14"/>
                <w:szCs w:val="14"/>
                <w:lang w:eastAsia="pt-BR"/>
              </w:rPr>
            </w:pPr>
            <w:r>
              <w:rPr>
                <w:rFonts w:ascii="Arial" w:eastAsia="Times New Roman" w:hAnsi="Arial" w:cs="Arial"/>
                <w:sz w:val="14"/>
                <w:szCs w:val="14"/>
                <w:lang w:eastAsia="pt-BR"/>
              </w:rPr>
              <w:t>PDF</w:t>
            </w:r>
          </w:p>
        </w:tc>
        <w:tc>
          <w:tcPr>
            <w:tcW w:w="1134" w:type="dxa"/>
            <w:vAlign w:val="center"/>
          </w:tcPr>
          <w:p w14:paraId="4BBA23F2" w14:textId="77777777" w:rsidR="007D64A9" w:rsidRPr="00CB55B0" w:rsidRDefault="007D64A9" w:rsidP="007D64A9">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1134" w:type="dxa"/>
            <w:vAlign w:val="center"/>
          </w:tcPr>
          <w:p w14:paraId="3F01E683" w14:textId="77777777" w:rsidR="007D64A9" w:rsidRPr="00CB55B0" w:rsidRDefault="007D64A9" w:rsidP="007D64A9">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vAlign w:val="center"/>
          </w:tcPr>
          <w:p w14:paraId="46F50323" w14:textId="77777777" w:rsidR="007D64A9" w:rsidRPr="00CB55B0" w:rsidRDefault="007D64A9" w:rsidP="007D64A9">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1134" w:type="dxa"/>
            <w:vAlign w:val="center"/>
          </w:tcPr>
          <w:p w14:paraId="40861D7F" w14:textId="77777777" w:rsidR="007D64A9" w:rsidRPr="00CB55B0" w:rsidRDefault="007D64A9" w:rsidP="007D64A9">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r>
      <w:tr w:rsidR="007D64A9" w:rsidRPr="00A5490A" w14:paraId="2FDC4CA2" w14:textId="77777777" w:rsidTr="007D64A9">
        <w:tc>
          <w:tcPr>
            <w:tcW w:w="1276" w:type="dxa"/>
            <w:vAlign w:val="center"/>
          </w:tcPr>
          <w:p w14:paraId="00F409B8" w14:textId="77777777" w:rsidR="007D64A9" w:rsidRPr="00CB55B0" w:rsidRDefault="007D64A9" w:rsidP="007D64A9">
            <w:pPr>
              <w:spacing w:after="0" w:line="240" w:lineRule="auto"/>
              <w:jc w:val="center"/>
              <w:rPr>
                <w:rFonts w:ascii="Arial" w:eastAsia="Times New Roman" w:hAnsi="Arial" w:cs="Arial"/>
                <w:sz w:val="18"/>
                <w:szCs w:val="18"/>
                <w:lang w:eastAsia="pt-BR"/>
              </w:rPr>
            </w:pPr>
            <w:r w:rsidRPr="00CB55B0">
              <w:rPr>
                <w:rFonts w:ascii="Arial" w:eastAsia="Times New Roman" w:hAnsi="Arial" w:cs="Arial"/>
                <w:sz w:val="18"/>
                <w:szCs w:val="18"/>
                <w:lang w:eastAsia="pt-BR"/>
              </w:rPr>
              <w:t>BALORC</w:t>
            </w:r>
          </w:p>
        </w:tc>
        <w:tc>
          <w:tcPr>
            <w:tcW w:w="7224" w:type="dxa"/>
            <w:shd w:val="clear" w:color="auto" w:fill="auto"/>
            <w:vAlign w:val="center"/>
          </w:tcPr>
          <w:p w14:paraId="013BDB80" w14:textId="77777777" w:rsidR="007D64A9" w:rsidRPr="001F412F" w:rsidRDefault="007D64A9" w:rsidP="001F412F">
            <w:pPr>
              <w:spacing w:before="120" w:after="120" w:line="240" w:lineRule="auto"/>
              <w:jc w:val="both"/>
              <w:rPr>
                <w:rFonts w:ascii="Arial" w:eastAsia="Times New Roman" w:hAnsi="Arial" w:cs="Arial"/>
                <w:sz w:val="18"/>
                <w:szCs w:val="18"/>
                <w:lang w:eastAsia="pt-BR"/>
              </w:rPr>
            </w:pPr>
            <w:r w:rsidRPr="001F412F">
              <w:rPr>
                <w:rFonts w:ascii="Arial" w:eastAsia="Times New Roman" w:hAnsi="Arial" w:cs="Arial"/>
                <w:sz w:val="18"/>
                <w:szCs w:val="18"/>
                <w:lang w:eastAsia="pt-BR"/>
              </w:rPr>
              <w:t xml:space="preserve">Balanço Orçamentário (Anexo 12 Lei 4.320/1964), acompanhado de notas explicativas e outros quadros elucidativos que se fizerem necessários (Artigo 101 da Lei 4.320/64). Estrutura e layout constantes do item </w:t>
            </w:r>
            <w:r w:rsidR="00C36018" w:rsidRPr="001F412F">
              <w:rPr>
                <w:rFonts w:ascii="Arial" w:eastAsia="Times New Roman" w:hAnsi="Arial" w:cs="Arial"/>
                <w:sz w:val="18"/>
                <w:szCs w:val="18"/>
                <w:lang w:eastAsia="pt-BR"/>
              </w:rPr>
              <w:t>3.1</w:t>
            </w:r>
            <w:r w:rsidRPr="001F412F">
              <w:rPr>
                <w:rFonts w:ascii="Arial" w:eastAsia="Times New Roman" w:hAnsi="Arial" w:cs="Arial"/>
                <w:sz w:val="18"/>
                <w:szCs w:val="18"/>
                <w:lang w:eastAsia="pt-BR"/>
              </w:rPr>
              <w:t xml:space="preserve"> deste Anexo. </w:t>
            </w:r>
          </w:p>
          <w:p w14:paraId="2D259882" w14:textId="638F07D7" w:rsidR="001F412F" w:rsidRPr="00B004C7" w:rsidRDefault="001F412F" w:rsidP="001F412F">
            <w:pPr>
              <w:spacing w:before="120" w:after="120" w:line="240" w:lineRule="auto"/>
              <w:jc w:val="both"/>
              <w:rPr>
                <w:rFonts w:ascii="Arial" w:eastAsia="Times New Roman" w:hAnsi="Arial" w:cs="Arial"/>
                <w:b/>
                <w:sz w:val="18"/>
                <w:szCs w:val="18"/>
                <w:lang w:eastAsia="pt-BR"/>
              </w:rPr>
            </w:pPr>
            <w:r w:rsidRPr="00B004C7">
              <w:rPr>
                <w:rFonts w:ascii="Arial" w:hAnsi="Arial" w:cs="Arial"/>
                <w:b/>
                <w:bCs/>
                <w:sz w:val="18"/>
                <w:szCs w:val="18"/>
              </w:rPr>
              <w:t>Somente UGs Estaduais encaminham em XML. Para UGs Municipais, este demonstrativo será gerado no mês 13 da Prestação de Contas Mensal e homologado na PCA.</w:t>
            </w:r>
          </w:p>
        </w:tc>
        <w:tc>
          <w:tcPr>
            <w:tcW w:w="993" w:type="dxa"/>
            <w:shd w:val="clear" w:color="auto" w:fill="auto"/>
            <w:vAlign w:val="center"/>
          </w:tcPr>
          <w:p w14:paraId="165883B4" w14:textId="77777777" w:rsidR="007D64A9" w:rsidRPr="00CB55B0" w:rsidRDefault="007D64A9" w:rsidP="007D64A9">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XML</w:t>
            </w:r>
          </w:p>
        </w:tc>
        <w:tc>
          <w:tcPr>
            <w:tcW w:w="1134" w:type="dxa"/>
            <w:vAlign w:val="center"/>
          </w:tcPr>
          <w:p w14:paraId="5CC15283" w14:textId="77777777" w:rsidR="007D64A9" w:rsidRPr="00CB55B0" w:rsidRDefault="007D64A9" w:rsidP="007D64A9">
            <w:pPr>
              <w:spacing w:after="0" w:line="240" w:lineRule="auto"/>
              <w:jc w:val="center"/>
              <w:rPr>
                <w:rFonts w:ascii="Arial" w:eastAsia="Times New Roman" w:hAnsi="Arial" w:cs="Arial"/>
                <w:sz w:val="14"/>
                <w:szCs w:val="14"/>
                <w:lang w:eastAsia="pt-BR"/>
              </w:rPr>
            </w:pPr>
          </w:p>
        </w:tc>
        <w:tc>
          <w:tcPr>
            <w:tcW w:w="1134" w:type="dxa"/>
            <w:vAlign w:val="center"/>
          </w:tcPr>
          <w:p w14:paraId="7F876409" w14:textId="77777777" w:rsidR="007D64A9" w:rsidRPr="00CB55B0" w:rsidRDefault="007D64A9" w:rsidP="007D64A9">
            <w:pPr>
              <w:spacing w:after="0" w:line="240" w:lineRule="auto"/>
              <w:jc w:val="center"/>
              <w:rPr>
                <w:rFonts w:ascii="Arial" w:eastAsia="Times New Roman" w:hAnsi="Arial" w:cs="Arial"/>
                <w:sz w:val="14"/>
                <w:szCs w:val="14"/>
                <w:lang w:eastAsia="pt-BR"/>
              </w:rPr>
            </w:pPr>
          </w:p>
        </w:tc>
        <w:tc>
          <w:tcPr>
            <w:tcW w:w="992" w:type="dxa"/>
            <w:vAlign w:val="center"/>
          </w:tcPr>
          <w:p w14:paraId="081599C5" w14:textId="77777777" w:rsidR="007D64A9" w:rsidRPr="00CB55B0" w:rsidRDefault="00AE15EB" w:rsidP="007D64A9">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1134" w:type="dxa"/>
            <w:vAlign w:val="center"/>
          </w:tcPr>
          <w:p w14:paraId="3FB8CEA4" w14:textId="77777777" w:rsidR="007D64A9" w:rsidRPr="00CB55B0" w:rsidRDefault="00AE15EB" w:rsidP="007D64A9">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r>
      <w:tr w:rsidR="007D64A9" w:rsidRPr="00A5490A" w14:paraId="7A48DBD9" w14:textId="77777777" w:rsidTr="007D64A9">
        <w:tc>
          <w:tcPr>
            <w:tcW w:w="1276" w:type="dxa"/>
            <w:vAlign w:val="center"/>
          </w:tcPr>
          <w:p w14:paraId="3174C1A3" w14:textId="77777777" w:rsidR="007D64A9" w:rsidRPr="00CB55B0" w:rsidRDefault="007D64A9" w:rsidP="007D64A9">
            <w:pPr>
              <w:spacing w:after="0" w:line="240" w:lineRule="auto"/>
              <w:jc w:val="center"/>
              <w:rPr>
                <w:rFonts w:ascii="Arial" w:eastAsia="Times New Roman" w:hAnsi="Arial" w:cs="Arial"/>
                <w:sz w:val="18"/>
                <w:szCs w:val="18"/>
                <w:lang w:eastAsia="pt-BR"/>
              </w:rPr>
            </w:pPr>
            <w:r w:rsidRPr="00CB55B0">
              <w:rPr>
                <w:rFonts w:ascii="Arial" w:eastAsia="Times New Roman" w:hAnsi="Arial" w:cs="Arial"/>
                <w:sz w:val="18"/>
                <w:szCs w:val="18"/>
                <w:lang w:eastAsia="pt-BR"/>
              </w:rPr>
              <w:lastRenderedPageBreak/>
              <w:t>BALFIN</w:t>
            </w:r>
          </w:p>
        </w:tc>
        <w:tc>
          <w:tcPr>
            <w:tcW w:w="7224" w:type="dxa"/>
            <w:shd w:val="clear" w:color="auto" w:fill="auto"/>
          </w:tcPr>
          <w:p w14:paraId="1B3AD8F5" w14:textId="77777777" w:rsidR="007D64A9" w:rsidRDefault="007D64A9" w:rsidP="001F412F">
            <w:pPr>
              <w:jc w:val="both"/>
              <w:rPr>
                <w:rFonts w:ascii="Arial" w:eastAsia="Times New Roman" w:hAnsi="Arial" w:cs="Arial"/>
                <w:sz w:val="18"/>
                <w:szCs w:val="18"/>
                <w:lang w:eastAsia="pt-BR"/>
              </w:rPr>
            </w:pPr>
            <w:r w:rsidRPr="00CB55B0">
              <w:rPr>
                <w:rFonts w:ascii="Arial" w:eastAsia="Times New Roman" w:hAnsi="Arial" w:cs="Arial"/>
                <w:sz w:val="18"/>
                <w:szCs w:val="18"/>
                <w:lang w:eastAsia="pt-BR"/>
              </w:rPr>
              <w:t xml:space="preserve">Balanço Financeiro (Anexo 13 Lei 4.320/1964), acompanhado de notas explicativas e outros quadros elucidativos que se fizerem necessários (Artigo 101 da Lei 4.320/64). Estrutura e layout constantes do item </w:t>
            </w:r>
            <w:r w:rsidR="00C36018">
              <w:rPr>
                <w:rFonts w:ascii="Arial" w:eastAsia="Times New Roman" w:hAnsi="Arial" w:cs="Arial"/>
                <w:sz w:val="18"/>
                <w:szCs w:val="18"/>
                <w:lang w:eastAsia="pt-BR"/>
              </w:rPr>
              <w:t>3.1</w:t>
            </w:r>
            <w:r w:rsidRPr="00CB55B0">
              <w:rPr>
                <w:rFonts w:ascii="Arial" w:eastAsia="Times New Roman" w:hAnsi="Arial" w:cs="Arial"/>
                <w:sz w:val="18"/>
                <w:szCs w:val="18"/>
                <w:lang w:eastAsia="pt-BR"/>
              </w:rPr>
              <w:t xml:space="preserve"> deste Anexo</w:t>
            </w:r>
            <w:r w:rsidR="001F412F">
              <w:rPr>
                <w:rFonts w:ascii="Arial" w:eastAsia="Times New Roman" w:hAnsi="Arial" w:cs="Arial"/>
                <w:sz w:val="18"/>
                <w:szCs w:val="18"/>
                <w:lang w:eastAsia="pt-BR"/>
              </w:rPr>
              <w:t>.</w:t>
            </w:r>
          </w:p>
          <w:p w14:paraId="67355B6F" w14:textId="1FCA27C8" w:rsidR="001F412F" w:rsidRPr="00B004C7" w:rsidRDefault="001F412F" w:rsidP="001F412F">
            <w:pPr>
              <w:jc w:val="both"/>
              <w:rPr>
                <w:rFonts w:ascii="Arial" w:eastAsia="Times New Roman" w:hAnsi="Arial" w:cs="Arial"/>
                <w:b/>
                <w:sz w:val="18"/>
                <w:szCs w:val="18"/>
                <w:lang w:eastAsia="pt-BR"/>
              </w:rPr>
            </w:pPr>
            <w:r w:rsidRPr="00B004C7">
              <w:rPr>
                <w:rFonts w:ascii="Arial" w:hAnsi="Arial" w:cs="Arial"/>
                <w:b/>
                <w:bCs/>
                <w:sz w:val="18"/>
                <w:szCs w:val="18"/>
              </w:rPr>
              <w:t>Somente UGs Estaduais encaminham em XML. Para UGs Municipais, este demonstrativo será gerado no mês 13 da Prestação de Contas Mensal e homologado na PCA.</w:t>
            </w:r>
          </w:p>
        </w:tc>
        <w:tc>
          <w:tcPr>
            <w:tcW w:w="993" w:type="dxa"/>
            <w:shd w:val="clear" w:color="auto" w:fill="auto"/>
            <w:vAlign w:val="center"/>
          </w:tcPr>
          <w:p w14:paraId="0501ADA2" w14:textId="77777777" w:rsidR="007D64A9" w:rsidRPr="00CB55B0" w:rsidRDefault="007D64A9" w:rsidP="007D64A9">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XML</w:t>
            </w:r>
          </w:p>
        </w:tc>
        <w:tc>
          <w:tcPr>
            <w:tcW w:w="1134" w:type="dxa"/>
            <w:vAlign w:val="center"/>
          </w:tcPr>
          <w:p w14:paraId="2C6EE071" w14:textId="77777777" w:rsidR="007D64A9" w:rsidRPr="00CB55B0" w:rsidRDefault="007D64A9" w:rsidP="007D64A9">
            <w:pPr>
              <w:spacing w:after="0" w:line="240" w:lineRule="auto"/>
              <w:jc w:val="center"/>
              <w:rPr>
                <w:rFonts w:ascii="Arial" w:eastAsia="Times New Roman" w:hAnsi="Arial" w:cs="Arial"/>
                <w:sz w:val="14"/>
                <w:szCs w:val="14"/>
                <w:lang w:eastAsia="pt-BR"/>
              </w:rPr>
            </w:pPr>
          </w:p>
        </w:tc>
        <w:tc>
          <w:tcPr>
            <w:tcW w:w="1134" w:type="dxa"/>
            <w:vAlign w:val="center"/>
          </w:tcPr>
          <w:p w14:paraId="34A5188E" w14:textId="77777777" w:rsidR="007D64A9" w:rsidRPr="00CB55B0" w:rsidRDefault="007D64A9" w:rsidP="007D64A9">
            <w:pPr>
              <w:spacing w:after="0" w:line="240" w:lineRule="auto"/>
              <w:jc w:val="center"/>
              <w:rPr>
                <w:rFonts w:ascii="Arial" w:eastAsia="Times New Roman" w:hAnsi="Arial" w:cs="Arial"/>
                <w:sz w:val="14"/>
                <w:szCs w:val="14"/>
                <w:lang w:eastAsia="pt-BR"/>
              </w:rPr>
            </w:pPr>
          </w:p>
        </w:tc>
        <w:tc>
          <w:tcPr>
            <w:tcW w:w="992" w:type="dxa"/>
            <w:vAlign w:val="center"/>
          </w:tcPr>
          <w:p w14:paraId="3CABE0B2" w14:textId="77777777" w:rsidR="007D64A9" w:rsidRPr="00CB55B0" w:rsidRDefault="00AE15EB" w:rsidP="007D64A9">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1134" w:type="dxa"/>
            <w:vAlign w:val="center"/>
          </w:tcPr>
          <w:p w14:paraId="28D7CFBA" w14:textId="77777777" w:rsidR="007D64A9" w:rsidRPr="00CB55B0" w:rsidRDefault="00AE15EB" w:rsidP="007D64A9">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r>
      <w:tr w:rsidR="007D64A9" w:rsidRPr="00A5490A" w14:paraId="37C6492A" w14:textId="77777777" w:rsidTr="007D64A9">
        <w:tc>
          <w:tcPr>
            <w:tcW w:w="1276" w:type="dxa"/>
            <w:vAlign w:val="center"/>
          </w:tcPr>
          <w:p w14:paraId="58270665" w14:textId="77777777" w:rsidR="007D64A9" w:rsidRPr="00CB55B0" w:rsidRDefault="007D64A9" w:rsidP="007D64A9">
            <w:pPr>
              <w:spacing w:after="0" w:line="240" w:lineRule="auto"/>
              <w:jc w:val="center"/>
              <w:rPr>
                <w:rFonts w:ascii="Arial" w:eastAsia="Times New Roman" w:hAnsi="Arial" w:cs="Arial"/>
                <w:sz w:val="18"/>
                <w:szCs w:val="18"/>
                <w:lang w:eastAsia="pt-BR"/>
              </w:rPr>
            </w:pPr>
            <w:r w:rsidRPr="00CB55B0">
              <w:rPr>
                <w:rFonts w:ascii="Arial" w:eastAsia="Times New Roman" w:hAnsi="Arial" w:cs="Arial"/>
                <w:sz w:val="18"/>
                <w:szCs w:val="18"/>
                <w:lang w:eastAsia="pt-BR"/>
              </w:rPr>
              <w:t>BALPAT</w:t>
            </w:r>
          </w:p>
        </w:tc>
        <w:tc>
          <w:tcPr>
            <w:tcW w:w="7224" w:type="dxa"/>
            <w:shd w:val="clear" w:color="auto" w:fill="auto"/>
          </w:tcPr>
          <w:p w14:paraId="6066339D" w14:textId="77777777" w:rsidR="007D64A9" w:rsidRDefault="007D64A9" w:rsidP="001F412F">
            <w:pPr>
              <w:jc w:val="both"/>
              <w:rPr>
                <w:rFonts w:ascii="Arial" w:eastAsia="Times New Roman" w:hAnsi="Arial" w:cs="Arial"/>
                <w:sz w:val="18"/>
                <w:szCs w:val="18"/>
                <w:lang w:eastAsia="pt-BR"/>
              </w:rPr>
            </w:pPr>
            <w:r w:rsidRPr="00CB55B0">
              <w:rPr>
                <w:rFonts w:ascii="Arial" w:eastAsia="Times New Roman" w:hAnsi="Arial" w:cs="Arial"/>
                <w:sz w:val="18"/>
                <w:szCs w:val="18"/>
                <w:lang w:eastAsia="pt-BR"/>
              </w:rPr>
              <w:t xml:space="preserve">Balanço Patrimonial (Anexo 14 Lei 4.320/1964), acompanhado de notas explicativas e outros quadros elucidativos que se fizerem necessários (Artigo 101 da Lei 4.320/64). Estrutura e layout constantes do item </w:t>
            </w:r>
            <w:r w:rsidR="00C36018">
              <w:rPr>
                <w:rFonts w:ascii="Arial" w:eastAsia="Times New Roman" w:hAnsi="Arial" w:cs="Arial"/>
                <w:sz w:val="18"/>
                <w:szCs w:val="18"/>
                <w:lang w:eastAsia="pt-BR"/>
              </w:rPr>
              <w:t>3.1</w:t>
            </w:r>
            <w:r w:rsidRPr="00CB55B0">
              <w:rPr>
                <w:rFonts w:ascii="Arial" w:eastAsia="Times New Roman" w:hAnsi="Arial" w:cs="Arial"/>
                <w:sz w:val="18"/>
                <w:szCs w:val="18"/>
                <w:lang w:eastAsia="pt-BR"/>
              </w:rPr>
              <w:t xml:space="preserve"> deste Anexo</w:t>
            </w:r>
            <w:r w:rsidR="001F412F">
              <w:rPr>
                <w:rFonts w:ascii="Arial" w:eastAsia="Times New Roman" w:hAnsi="Arial" w:cs="Arial"/>
                <w:sz w:val="18"/>
                <w:szCs w:val="18"/>
                <w:lang w:eastAsia="pt-BR"/>
              </w:rPr>
              <w:t>.</w:t>
            </w:r>
          </w:p>
          <w:p w14:paraId="6C2D468D" w14:textId="08D37D47" w:rsidR="001F412F" w:rsidRPr="00B004C7" w:rsidRDefault="001F412F" w:rsidP="001F412F">
            <w:pPr>
              <w:jc w:val="both"/>
              <w:rPr>
                <w:rFonts w:ascii="Arial" w:eastAsia="Times New Roman" w:hAnsi="Arial" w:cs="Arial"/>
                <w:b/>
                <w:sz w:val="18"/>
                <w:szCs w:val="18"/>
                <w:lang w:eastAsia="pt-BR"/>
              </w:rPr>
            </w:pPr>
            <w:r w:rsidRPr="00B004C7">
              <w:rPr>
                <w:rFonts w:ascii="Arial" w:hAnsi="Arial" w:cs="Arial"/>
                <w:b/>
                <w:bCs/>
                <w:sz w:val="18"/>
                <w:szCs w:val="18"/>
              </w:rPr>
              <w:t>Somente UGs Estaduais encaminham em XML. Para UGs Municipais, este demonstrativo será gerado no mês 13 da Prestação de Contas Mensal e homologado na PCA.</w:t>
            </w:r>
          </w:p>
        </w:tc>
        <w:tc>
          <w:tcPr>
            <w:tcW w:w="993" w:type="dxa"/>
            <w:shd w:val="clear" w:color="auto" w:fill="auto"/>
            <w:vAlign w:val="center"/>
          </w:tcPr>
          <w:p w14:paraId="1FF884B6" w14:textId="77777777" w:rsidR="007D64A9" w:rsidRPr="00CB55B0" w:rsidRDefault="007D64A9" w:rsidP="007D64A9">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XML</w:t>
            </w:r>
          </w:p>
        </w:tc>
        <w:tc>
          <w:tcPr>
            <w:tcW w:w="1134" w:type="dxa"/>
            <w:vAlign w:val="center"/>
          </w:tcPr>
          <w:p w14:paraId="1C080CC4" w14:textId="77777777" w:rsidR="007D64A9" w:rsidRPr="00CB55B0" w:rsidRDefault="007D64A9" w:rsidP="007D64A9">
            <w:pPr>
              <w:spacing w:after="0" w:line="240" w:lineRule="auto"/>
              <w:jc w:val="center"/>
              <w:rPr>
                <w:rFonts w:ascii="Arial" w:eastAsia="Times New Roman" w:hAnsi="Arial" w:cs="Arial"/>
                <w:sz w:val="14"/>
                <w:szCs w:val="14"/>
                <w:lang w:eastAsia="pt-BR"/>
              </w:rPr>
            </w:pPr>
          </w:p>
        </w:tc>
        <w:tc>
          <w:tcPr>
            <w:tcW w:w="1134" w:type="dxa"/>
            <w:vAlign w:val="center"/>
          </w:tcPr>
          <w:p w14:paraId="7BDE7C16" w14:textId="77777777" w:rsidR="007D64A9" w:rsidRPr="00CB55B0" w:rsidRDefault="007D64A9" w:rsidP="007D64A9">
            <w:pPr>
              <w:spacing w:after="0" w:line="240" w:lineRule="auto"/>
              <w:jc w:val="center"/>
              <w:rPr>
                <w:rFonts w:ascii="Arial" w:eastAsia="Times New Roman" w:hAnsi="Arial" w:cs="Arial"/>
                <w:sz w:val="14"/>
                <w:szCs w:val="14"/>
                <w:lang w:eastAsia="pt-BR"/>
              </w:rPr>
            </w:pPr>
          </w:p>
        </w:tc>
        <w:tc>
          <w:tcPr>
            <w:tcW w:w="992" w:type="dxa"/>
            <w:vAlign w:val="center"/>
          </w:tcPr>
          <w:p w14:paraId="214B63BC" w14:textId="77777777" w:rsidR="007D64A9" w:rsidRPr="00CB55B0" w:rsidRDefault="00AE15EB" w:rsidP="007D64A9">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1134" w:type="dxa"/>
            <w:vAlign w:val="center"/>
          </w:tcPr>
          <w:p w14:paraId="643DF3FE" w14:textId="77777777" w:rsidR="007D64A9" w:rsidRPr="00CB55B0" w:rsidRDefault="00AE15EB" w:rsidP="007D64A9">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r>
      <w:tr w:rsidR="00AE15EB" w:rsidRPr="00A5490A" w14:paraId="64521C22" w14:textId="77777777" w:rsidTr="008228F7">
        <w:tc>
          <w:tcPr>
            <w:tcW w:w="1276" w:type="dxa"/>
            <w:vAlign w:val="center"/>
          </w:tcPr>
          <w:p w14:paraId="4CF1ADB1" w14:textId="77777777" w:rsidR="00AE15EB" w:rsidRPr="003B4337" w:rsidRDefault="00AE15EB" w:rsidP="008228F7">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BALPATN</w:t>
            </w:r>
          </w:p>
        </w:tc>
        <w:tc>
          <w:tcPr>
            <w:tcW w:w="7224" w:type="dxa"/>
            <w:shd w:val="clear" w:color="auto" w:fill="auto"/>
            <w:vAlign w:val="center"/>
          </w:tcPr>
          <w:p w14:paraId="6EA14C8B" w14:textId="77777777" w:rsidR="00AE15EB" w:rsidRPr="003B4337" w:rsidRDefault="00AE15EB" w:rsidP="008228F7">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Balanço Patrimonial do exercício, com a indicação dos saldos do exercício anterior (Inciso I do art. 176 da Lei 6.404/76). </w:t>
            </w:r>
          </w:p>
        </w:tc>
        <w:tc>
          <w:tcPr>
            <w:tcW w:w="993" w:type="dxa"/>
            <w:shd w:val="clear" w:color="auto" w:fill="auto"/>
            <w:vAlign w:val="center"/>
          </w:tcPr>
          <w:p w14:paraId="3D026A41" w14:textId="77777777" w:rsidR="00AE15EB" w:rsidRPr="003B4337" w:rsidRDefault="00AE15EB" w:rsidP="008228F7">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c>
          <w:tcPr>
            <w:tcW w:w="1134" w:type="dxa"/>
            <w:vAlign w:val="center"/>
          </w:tcPr>
          <w:p w14:paraId="20B31FE6" w14:textId="77777777" w:rsidR="00AE15EB" w:rsidRPr="00CB55B0" w:rsidRDefault="00AE15EB"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1134" w:type="dxa"/>
            <w:vAlign w:val="center"/>
          </w:tcPr>
          <w:p w14:paraId="12DB7DB2" w14:textId="77777777" w:rsidR="00AE15EB" w:rsidRPr="00CB55B0" w:rsidRDefault="00AE15EB"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vAlign w:val="center"/>
          </w:tcPr>
          <w:p w14:paraId="0971BF8D" w14:textId="77777777" w:rsidR="00AE15EB" w:rsidRPr="00CB55B0" w:rsidRDefault="00AE15EB"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1134" w:type="dxa"/>
            <w:vAlign w:val="center"/>
          </w:tcPr>
          <w:p w14:paraId="6BCE4C4D" w14:textId="77777777" w:rsidR="00AE15EB" w:rsidRPr="00CB55B0" w:rsidRDefault="00AE15EB"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r>
      <w:tr w:rsidR="007D64A9" w:rsidRPr="00A5490A" w14:paraId="18FF22BE" w14:textId="77777777" w:rsidTr="007D64A9">
        <w:tc>
          <w:tcPr>
            <w:tcW w:w="1276" w:type="dxa"/>
            <w:vAlign w:val="center"/>
          </w:tcPr>
          <w:p w14:paraId="3D0E2F6D" w14:textId="77777777" w:rsidR="007D64A9" w:rsidRPr="00CB55B0" w:rsidRDefault="007D64A9" w:rsidP="007D64A9">
            <w:pPr>
              <w:spacing w:after="0" w:line="240" w:lineRule="auto"/>
              <w:jc w:val="center"/>
              <w:rPr>
                <w:rFonts w:ascii="Arial" w:eastAsia="Times New Roman" w:hAnsi="Arial" w:cs="Arial"/>
                <w:sz w:val="18"/>
                <w:szCs w:val="18"/>
                <w:lang w:eastAsia="pt-BR"/>
              </w:rPr>
            </w:pPr>
            <w:r w:rsidRPr="00CB55B0">
              <w:rPr>
                <w:rFonts w:ascii="Arial" w:eastAsia="Times New Roman" w:hAnsi="Arial" w:cs="Arial"/>
                <w:sz w:val="18"/>
                <w:szCs w:val="18"/>
                <w:lang w:eastAsia="pt-BR"/>
              </w:rPr>
              <w:t>DEMVAP</w:t>
            </w:r>
          </w:p>
        </w:tc>
        <w:tc>
          <w:tcPr>
            <w:tcW w:w="7224" w:type="dxa"/>
            <w:shd w:val="clear" w:color="auto" w:fill="auto"/>
          </w:tcPr>
          <w:p w14:paraId="4CCC07EF" w14:textId="3272A465" w:rsidR="007D64A9" w:rsidRDefault="007D64A9" w:rsidP="00C36018">
            <w:pPr>
              <w:rPr>
                <w:rFonts w:ascii="Arial" w:eastAsia="Times New Roman" w:hAnsi="Arial" w:cs="Arial"/>
                <w:sz w:val="18"/>
                <w:szCs w:val="18"/>
                <w:lang w:eastAsia="pt-BR"/>
              </w:rPr>
            </w:pPr>
            <w:r w:rsidRPr="00CB55B0">
              <w:rPr>
                <w:rFonts w:ascii="Arial" w:eastAsia="Times New Roman" w:hAnsi="Arial" w:cs="Arial"/>
                <w:sz w:val="18"/>
                <w:szCs w:val="18"/>
                <w:lang w:eastAsia="pt-BR"/>
              </w:rPr>
              <w:t xml:space="preserve">Demonstração das Variações Patrimoniais (Anexo 15 Lei 4.320/1964), acompanhada de notas explicativas e outros quadros elucidativos que se fizerem necessários (Artigo 101 da Lei 4.320/64). Estrutura e layout constantes do item </w:t>
            </w:r>
            <w:r w:rsidR="00C36018">
              <w:rPr>
                <w:rFonts w:ascii="Arial" w:eastAsia="Times New Roman" w:hAnsi="Arial" w:cs="Arial"/>
                <w:sz w:val="18"/>
                <w:szCs w:val="18"/>
                <w:lang w:eastAsia="pt-BR"/>
              </w:rPr>
              <w:t>3.1</w:t>
            </w:r>
            <w:r w:rsidRPr="00CB55B0">
              <w:rPr>
                <w:rFonts w:ascii="Arial" w:eastAsia="Times New Roman" w:hAnsi="Arial" w:cs="Arial"/>
                <w:sz w:val="18"/>
                <w:szCs w:val="18"/>
                <w:lang w:eastAsia="pt-BR"/>
              </w:rPr>
              <w:t xml:space="preserve"> deste Anexo</w:t>
            </w:r>
            <w:r w:rsidR="001F412F">
              <w:rPr>
                <w:rFonts w:ascii="Arial" w:eastAsia="Times New Roman" w:hAnsi="Arial" w:cs="Arial"/>
                <w:sz w:val="18"/>
                <w:szCs w:val="18"/>
                <w:lang w:eastAsia="pt-BR"/>
              </w:rPr>
              <w:t>.</w:t>
            </w:r>
          </w:p>
          <w:p w14:paraId="643E31BA" w14:textId="3A257675" w:rsidR="001F412F" w:rsidRPr="00B004C7" w:rsidRDefault="001F412F" w:rsidP="001F412F">
            <w:pPr>
              <w:jc w:val="both"/>
              <w:rPr>
                <w:rFonts w:ascii="Arial" w:eastAsia="Times New Roman" w:hAnsi="Arial" w:cs="Arial"/>
                <w:b/>
                <w:sz w:val="18"/>
                <w:szCs w:val="18"/>
                <w:lang w:eastAsia="pt-BR"/>
              </w:rPr>
            </w:pPr>
            <w:r w:rsidRPr="00B004C7">
              <w:rPr>
                <w:rFonts w:ascii="Arial" w:hAnsi="Arial" w:cs="Arial"/>
                <w:b/>
                <w:bCs/>
                <w:sz w:val="18"/>
                <w:szCs w:val="18"/>
              </w:rPr>
              <w:t>Somente UGs Estaduais encaminham em XML. Para UGs Municipais, este demonstrativo será gerado no mês 13 da Prestação de Contas Mensal e homologado na PCA.</w:t>
            </w:r>
          </w:p>
        </w:tc>
        <w:tc>
          <w:tcPr>
            <w:tcW w:w="993" w:type="dxa"/>
            <w:shd w:val="clear" w:color="auto" w:fill="auto"/>
            <w:vAlign w:val="center"/>
          </w:tcPr>
          <w:p w14:paraId="41069133" w14:textId="77777777" w:rsidR="007D64A9" w:rsidRPr="00CB55B0" w:rsidRDefault="007D64A9" w:rsidP="007D64A9">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XML</w:t>
            </w:r>
          </w:p>
        </w:tc>
        <w:tc>
          <w:tcPr>
            <w:tcW w:w="1134" w:type="dxa"/>
            <w:vAlign w:val="center"/>
          </w:tcPr>
          <w:p w14:paraId="33FD2932" w14:textId="77777777" w:rsidR="007D64A9" w:rsidRPr="00CB55B0" w:rsidRDefault="007D64A9" w:rsidP="007D64A9">
            <w:pPr>
              <w:spacing w:after="0" w:line="240" w:lineRule="auto"/>
              <w:jc w:val="center"/>
              <w:rPr>
                <w:rFonts w:ascii="Arial" w:eastAsia="Times New Roman" w:hAnsi="Arial" w:cs="Arial"/>
                <w:sz w:val="14"/>
                <w:szCs w:val="14"/>
                <w:lang w:eastAsia="pt-BR"/>
              </w:rPr>
            </w:pPr>
          </w:p>
        </w:tc>
        <w:tc>
          <w:tcPr>
            <w:tcW w:w="1134" w:type="dxa"/>
            <w:vAlign w:val="center"/>
          </w:tcPr>
          <w:p w14:paraId="12222A93" w14:textId="77777777" w:rsidR="007D64A9" w:rsidRPr="00CB55B0" w:rsidRDefault="007D64A9" w:rsidP="007D64A9">
            <w:pPr>
              <w:spacing w:after="0" w:line="240" w:lineRule="auto"/>
              <w:jc w:val="center"/>
              <w:rPr>
                <w:rFonts w:ascii="Arial" w:eastAsia="Times New Roman" w:hAnsi="Arial" w:cs="Arial"/>
                <w:sz w:val="14"/>
                <w:szCs w:val="14"/>
                <w:lang w:eastAsia="pt-BR"/>
              </w:rPr>
            </w:pPr>
          </w:p>
        </w:tc>
        <w:tc>
          <w:tcPr>
            <w:tcW w:w="992" w:type="dxa"/>
            <w:vAlign w:val="center"/>
          </w:tcPr>
          <w:p w14:paraId="43C800D9" w14:textId="77777777" w:rsidR="007D64A9" w:rsidRPr="00CB55B0" w:rsidRDefault="00AE15EB" w:rsidP="007D64A9">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1134" w:type="dxa"/>
            <w:vAlign w:val="center"/>
          </w:tcPr>
          <w:p w14:paraId="6AD56E8E" w14:textId="77777777" w:rsidR="007D64A9" w:rsidRPr="00CB55B0" w:rsidRDefault="00AE15EB" w:rsidP="007D64A9">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r>
      <w:tr w:rsidR="007778B3" w:rsidRPr="00CD2537" w14:paraId="50CFE6EE" w14:textId="77777777" w:rsidTr="008228F7">
        <w:tc>
          <w:tcPr>
            <w:tcW w:w="1276" w:type="dxa"/>
            <w:vAlign w:val="center"/>
          </w:tcPr>
          <w:p w14:paraId="0EE48EE5" w14:textId="77777777" w:rsidR="007778B3" w:rsidRPr="00CB55B0" w:rsidRDefault="007778B3" w:rsidP="008228F7">
            <w:pPr>
              <w:spacing w:after="0" w:line="240" w:lineRule="auto"/>
              <w:jc w:val="center"/>
              <w:rPr>
                <w:rFonts w:ascii="Arial" w:eastAsia="Times New Roman" w:hAnsi="Arial" w:cs="Arial"/>
                <w:sz w:val="18"/>
                <w:szCs w:val="18"/>
                <w:lang w:eastAsia="pt-BR"/>
              </w:rPr>
            </w:pPr>
            <w:r w:rsidRPr="00CB55B0">
              <w:rPr>
                <w:rFonts w:ascii="Arial" w:eastAsia="Times New Roman" w:hAnsi="Arial" w:cs="Arial"/>
                <w:sz w:val="18"/>
                <w:szCs w:val="18"/>
                <w:lang w:eastAsia="pt-BR"/>
              </w:rPr>
              <w:t>BALVERF_E</w:t>
            </w:r>
          </w:p>
        </w:tc>
        <w:tc>
          <w:tcPr>
            <w:tcW w:w="7224" w:type="dxa"/>
            <w:shd w:val="clear" w:color="auto" w:fill="auto"/>
            <w:vAlign w:val="center"/>
          </w:tcPr>
          <w:p w14:paraId="714A9FAF" w14:textId="460299F1" w:rsidR="007778B3" w:rsidRPr="00CB55B0" w:rsidRDefault="007778B3" w:rsidP="008228F7">
            <w:pPr>
              <w:spacing w:before="120" w:after="120" w:line="240" w:lineRule="auto"/>
              <w:jc w:val="both"/>
              <w:rPr>
                <w:rFonts w:ascii="Arial" w:eastAsia="Times New Roman" w:hAnsi="Arial" w:cs="Arial"/>
                <w:sz w:val="18"/>
                <w:szCs w:val="18"/>
                <w:lang w:eastAsia="pt-BR"/>
              </w:rPr>
            </w:pPr>
            <w:r w:rsidRPr="00CB55B0">
              <w:rPr>
                <w:rFonts w:ascii="Arial" w:eastAsia="Times New Roman" w:hAnsi="Arial" w:cs="Arial"/>
                <w:sz w:val="18"/>
                <w:szCs w:val="18"/>
                <w:lang w:eastAsia="pt-BR"/>
              </w:rPr>
              <w:t xml:space="preserve">Balancete de verificação, com saldos acumulados no exercício, detalhado até o nível de conta contábil de lançamento, abrangendo todas as contas contábeis com movimentação no exercício, segregadas por natureza da informação patrimonial, orçamentária e de controle, informando o saldo anterior, o total a débito, o total a crédito e o saldo final. Estrutura e layout constantes do item </w:t>
            </w:r>
            <w:r w:rsidR="00C36018">
              <w:rPr>
                <w:rFonts w:ascii="Arial" w:eastAsia="Times New Roman" w:hAnsi="Arial" w:cs="Arial"/>
                <w:sz w:val="18"/>
                <w:szCs w:val="18"/>
                <w:lang w:eastAsia="pt-BR"/>
              </w:rPr>
              <w:t>3.1</w:t>
            </w:r>
            <w:r w:rsidRPr="00CB55B0">
              <w:rPr>
                <w:rFonts w:ascii="Arial" w:eastAsia="Times New Roman" w:hAnsi="Arial" w:cs="Arial"/>
                <w:sz w:val="18"/>
                <w:szCs w:val="18"/>
                <w:lang w:eastAsia="pt-BR"/>
              </w:rPr>
              <w:t xml:space="preserve"> deste Anexo</w:t>
            </w:r>
          </w:p>
          <w:p w14:paraId="56DCFB21" w14:textId="77777777" w:rsidR="007778B3" w:rsidRPr="00CB55B0" w:rsidRDefault="007778B3" w:rsidP="008228F7">
            <w:pPr>
              <w:spacing w:before="120" w:after="120" w:line="240" w:lineRule="auto"/>
              <w:jc w:val="both"/>
              <w:rPr>
                <w:rFonts w:ascii="Arial" w:eastAsia="Times New Roman" w:hAnsi="Arial" w:cs="Arial"/>
                <w:b/>
                <w:sz w:val="18"/>
                <w:szCs w:val="18"/>
                <w:lang w:eastAsia="pt-BR"/>
              </w:rPr>
            </w:pPr>
            <w:r w:rsidRPr="00CB55B0">
              <w:rPr>
                <w:rFonts w:ascii="Arial" w:eastAsia="Times New Roman" w:hAnsi="Arial" w:cs="Arial"/>
                <w:b/>
                <w:sz w:val="18"/>
                <w:szCs w:val="18"/>
                <w:lang w:eastAsia="pt-BR"/>
              </w:rPr>
              <w:t>Somente UGs Estaduais</w:t>
            </w:r>
          </w:p>
        </w:tc>
        <w:tc>
          <w:tcPr>
            <w:tcW w:w="993" w:type="dxa"/>
            <w:shd w:val="clear" w:color="auto" w:fill="auto"/>
            <w:vAlign w:val="center"/>
          </w:tcPr>
          <w:p w14:paraId="769AF2E2" w14:textId="77777777" w:rsidR="007778B3" w:rsidRPr="00CB55B0" w:rsidRDefault="007778B3"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XML</w:t>
            </w:r>
          </w:p>
        </w:tc>
        <w:tc>
          <w:tcPr>
            <w:tcW w:w="1134" w:type="dxa"/>
            <w:vAlign w:val="center"/>
          </w:tcPr>
          <w:p w14:paraId="3164B666" w14:textId="77777777" w:rsidR="007778B3" w:rsidRPr="00CB55B0" w:rsidRDefault="007778B3" w:rsidP="008228F7">
            <w:pPr>
              <w:spacing w:after="0" w:line="240" w:lineRule="auto"/>
              <w:jc w:val="center"/>
              <w:rPr>
                <w:rFonts w:ascii="Arial" w:eastAsia="Times New Roman" w:hAnsi="Arial" w:cs="Arial"/>
                <w:sz w:val="14"/>
                <w:szCs w:val="14"/>
                <w:lang w:eastAsia="pt-BR"/>
              </w:rPr>
            </w:pPr>
          </w:p>
        </w:tc>
        <w:tc>
          <w:tcPr>
            <w:tcW w:w="1134" w:type="dxa"/>
            <w:vAlign w:val="center"/>
          </w:tcPr>
          <w:p w14:paraId="7FB628EA" w14:textId="77777777" w:rsidR="007778B3" w:rsidRPr="00CB55B0" w:rsidRDefault="007778B3" w:rsidP="008228F7">
            <w:pPr>
              <w:spacing w:after="0" w:line="240" w:lineRule="auto"/>
              <w:jc w:val="center"/>
              <w:rPr>
                <w:rFonts w:ascii="Arial" w:eastAsia="Times New Roman" w:hAnsi="Arial" w:cs="Arial"/>
                <w:sz w:val="14"/>
                <w:szCs w:val="14"/>
                <w:lang w:eastAsia="pt-BR"/>
              </w:rPr>
            </w:pPr>
          </w:p>
        </w:tc>
        <w:tc>
          <w:tcPr>
            <w:tcW w:w="992" w:type="dxa"/>
            <w:vAlign w:val="center"/>
          </w:tcPr>
          <w:p w14:paraId="0A4C8C40" w14:textId="77777777" w:rsidR="007778B3" w:rsidRPr="00CB55B0" w:rsidRDefault="007778B3"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1134" w:type="dxa"/>
            <w:vAlign w:val="center"/>
          </w:tcPr>
          <w:p w14:paraId="35AD34D0" w14:textId="77777777" w:rsidR="007778B3" w:rsidRPr="00CB55B0" w:rsidRDefault="007778B3"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r>
      <w:tr w:rsidR="007778B3" w:rsidRPr="00A5490A" w14:paraId="0BA12941" w14:textId="77777777" w:rsidTr="008228F7">
        <w:tc>
          <w:tcPr>
            <w:tcW w:w="1276" w:type="dxa"/>
            <w:vAlign w:val="center"/>
          </w:tcPr>
          <w:p w14:paraId="52DB0A5B" w14:textId="77777777" w:rsidR="007778B3" w:rsidRPr="003B4337" w:rsidRDefault="007778B3" w:rsidP="008228F7">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BALVER</w:t>
            </w:r>
          </w:p>
        </w:tc>
        <w:tc>
          <w:tcPr>
            <w:tcW w:w="7224" w:type="dxa"/>
            <w:shd w:val="clear" w:color="auto" w:fill="auto"/>
            <w:vAlign w:val="center"/>
          </w:tcPr>
          <w:p w14:paraId="3829335B" w14:textId="77777777" w:rsidR="007778B3" w:rsidRPr="003B4337" w:rsidRDefault="007778B3" w:rsidP="008228F7">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Balancete de verificação (analítico) que deu origem ao encerramento das Demonstrações Financeiras do exercício, com o saldo das contas de resultado. </w:t>
            </w:r>
          </w:p>
          <w:p w14:paraId="1FA3EBEC" w14:textId="77777777" w:rsidR="007778B3" w:rsidRPr="003B4337" w:rsidRDefault="007778B3" w:rsidP="008228F7">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lastRenderedPageBreak/>
              <w:t xml:space="preserve">Observação: </w:t>
            </w:r>
          </w:p>
          <w:p w14:paraId="6E9E899C" w14:textId="77777777" w:rsidR="007778B3" w:rsidRPr="003B4337" w:rsidRDefault="007778B3" w:rsidP="008228F7">
            <w:pPr>
              <w:pStyle w:val="PargrafodaLista"/>
              <w:numPr>
                <w:ilvl w:val="0"/>
                <w:numId w:val="7"/>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No caso das instituições financeiras, obrigadas a levantar balanço no primeiro semestre, encaminhar os dois balancetes. </w:t>
            </w:r>
          </w:p>
        </w:tc>
        <w:tc>
          <w:tcPr>
            <w:tcW w:w="993" w:type="dxa"/>
            <w:shd w:val="clear" w:color="auto" w:fill="auto"/>
            <w:vAlign w:val="center"/>
          </w:tcPr>
          <w:p w14:paraId="53120D72" w14:textId="77777777" w:rsidR="007778B3" w:rsidRPr="003B4337" w:rsidRDefault="007778B3" w:rsidP="008228F7">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lastRenderedPageBreak/>
              <w:t>PDF</w:t>
            </w:r>
          </w:p>
        </w:tc>
        <w:tc>
          <w:tcPr>
            <w:tcW w:w="1134" w:type="dxa"/>
            <w:vAlign w:val="center"/>
          </w:tcPr>
          <w:p w14:paraId="769ABE47" w14:textId="77777777" w:rsidR="007778B3" w:rsidRPr="00CB55B0" w:rsidRDefault="007778B3"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1134" w:type="dxa"/>
            <w:vAlign w:val="center"/>
          </w:tcPr>
          <w:p w14:paraId="2982B144" w14:textId="77777777" w:rsidR="007778B3" w:rsidRPr="00CB55B0" w:rsidRDefault="007778B3"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vAlign w:val="center"/>
          </w:tcPr>
          <w:p w14:paraId="15D740C4" w14:textId="77777777" w:rsidR="007778B3" w:rsidRPr="00CB55B0" w:rsidRDefault="007778B3"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1134" w:type="dxa"/>
            <w:vAlign w:val="center"/>
          </w:tcPr>
          <w:p w14:paraId="7DDC687B" w14:textId="77777777" w:rsidR="007778B3" w:rsidRPr="00CB55B0" w:rsidRDefault="007778B3"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r>
      <w:tr w:rsidR="007778B3" w:rsidRPr="00A5490A" w14:paraId="0E8E8B11" w14:textId="77777777" w:rsidTr="008228F7">
        <w:tc>
          <w:tcPr>
            <w:tcW w:w="1276" w:type="dxa"/>
            <w:vAlign w:val="center"/>
          </w:tcPr>
          <w:p w14:paraId="40B84BC0" w14:textId="77777777" w:rsidR="007778B3" w:rsidRPr="00CB55B0" w:rsidRDefault="007778B3" w:rsidP="008228F7">
            <w:pPr>
              <w:spacing w:after="0" w:line="240" w:lineRule="auto"/>
              <w:jc w:val="center"/>
              <w:rPr>
                <w:rFonts w:ascii="Arial" w:eastAsia="Times New Roman" w:hAnsi="Arial" w:cs="Arial"/>
                <w:sz w:val="18"/>
                <w:szCs w:val="18"/>
                <w:lang w:eastAsia="pt-BR"/>
              </w:rPr>
            </w:pPr>
            <w:r w:rsidRPr="00CB55B0">
              <w:rPr>
                <w:rFonts w:ascii="Arial" w:eastAsia="Times New Roman" w:hAnsi="Arial" w:cs="Arial"/>
                <w:sz w:val="18"/>
                <w:szCs w:val="18"/>
                <w:lang w:eastAsia="pt-BR"/>
              </w:rPr>
              <w:lastRenderedPageBreak/>
              <w:t>BALEXOD_E</w:t>
            </w:r>
          </w:p>
        </w:tc>
        <w:tc>
          <w:tcPr>
            <w:tcW w:w="7224" w:type="dxa"/>
            <w:shd w:val="clear" w:color="auto" w:fill="auto"/>
            <w:vAlign w:val="center"/>
          </w:tcPr>
          <w:p w14:paraId="793ED3DF" w14:textId="59FE96AC" w:rsidR="007778B3" w:rsidRPr="00CB55B0" w:rsidRDefault="007778B3" w:rsidP="008228F7">
            <w:pPr>
              <w:spacing w:before="120" w:after="120" w:line="240" w:lineRule="auto"/>
              <w:jc w:val="both"/>
              <w:rPr>
                <w:rFonts w:ascii="Arial" w:eastAsia="Times New Roman" w:hAnsi="Arial" w:cs="Arial"/>
                <w:sz w:val="18"/>
                <w:szCs w:val="18"/>
                <w:lang w:eastAsia="pt-BR"/>
              </w:rPr>
            </w:pPr>
            <w:r w:rsidRPr="00CB55B0">
              <w:rPr>
                <w:rFonts w:ascii="Arial" w:eastAsia="Times New Roman" w:hAnsi="Arial" w:cs="Arial"/>
                <w:sz w:val="18"/>
                <w:szCs w:val="18"/>
                <w:lang w:eastAsia="pt-BR"/>
              </w:rPr>
              <w:t xml:space="preserve">Balancete da execução orçamentária da despesa, acumulado até o mês de dezembro, demonstrando a fixação orçamentária da despesa, a movimentação dos créditos adicionais, os valores empenhados, liquidados e pagos, e a fonte de recursos. Estrutura e layout constantes do item </w:t>
            </w:r>
            <w:r w:rsidR="00C36018">
              <w:rPr>
                <w:rFonts w:ascii="Arial" w:eastAsia="Times New Roman" w:hAnsi="Arial" w:cs="Arial"/>
                <w:sz w:val="18"/>
                <w:szCs w:val="18"/>
                <w:lang w:eastAsia="pt-BR"/>
              </w:rPr>
              <w:t>3.1</w:t>
            </w:r>
            <w:r w:rsidRPr="00CB55B0">
              <w:rPr>
                <w:rFonts w:ascii="Arial" w:eastAsia="Times New Roman" w:hAnsi="Arial" w:cs="Arial"/>
                <w:sz w:val="18"/>
                <w:szCs w:val="18"/>
                <w:lang w:eastAsia="pt-BR"/>
              </w:rPr>
              <w:t xml:space="preserve"> deste Anexo</w:t>
            </w:r>
          </w:p>
          <w:p w14:paraId="7A530B05" w14:textId="77777777" w:rsidR="007778B3" w:rsidRPr="00CB55B0" w:rsidRDefault="007778B3" w:rsidP="008228F7">
            <w:pPr>
              <w:spacing w:before="120" w:after="120" w:line="240" w:lineRule="auto"/>
              <w:jc w:val="both"/>
              <w:rPr>
                <w:rFonts w:ascii="Arial" w:eastAsia="Times New Roman" w:hAnsi="Arial" w:cs="Arial"/>
                <w:sz w:val="18"/>
                <w:szCs w:val="18"/>
                <w:lang w:eastAsia="pt-BR"/>
              </w:rPr>
            </w:pPr>
            <w:r w:rsidRPr="00CB55B0">
              <w:rPr>
                <w:rFonts w:ascii="Arial" w:eastAsia="Times New Roman" w:hAnsi="Arial" w:cs="Arial"/>
                <w:b/>
                <w:sz w:val="18"/>
                <w:szCs w:val="18"/>
                <w:lang w:eastAsia="pt-BR"/>
              </w:rPr>
              <w:t>Somente UGs Estaduais</w:t>
            </w:r>
          </w:p>
        </w:tc>
        <w:tc>
          <w:tcPr>
            <w:tcW w:w="993" w:type="dxa"/>
            <w:shd w:val="clear" w:color="auto" w:fill="auto"/>
            <w:vAlign w:val="center"/>
          </w:tcPr>
          <w:p w14:paraId="5EDAA624" w14:textId="77777777" w:rsidR="007778B3" w:rsidRPr="00CB55B0" w:rsidRDefault="007778B3" w:rsidP="008228F7">
            <w:pPr>
              <w:spacing w:after="0" w:line="240" w:lineRule="auto"/>
              <w:jc w:val="center"/>
              <w:rPr>
                <w:rFonts w:ascii="Arial" w:eastAsia="Times New Roman" w:hAnsi="Arial" w:cs="Arial"/>
                <w:i/>
                <w:sz w:val="14"/>
                <w:szCs w:val="14"/>
                <w:lang w:eastAsia="pt-BR"/>
              </w:rPr>
            </w:pPr>
            <w:r w:rsidRPr="00CB55B0">
              <w:rPr>
                <w:rFonts w:ascii="Arial" w:eastAsia="Times New Roman" w:hAnsi="Arial" w:cs="Arial"/>
                <w:sz w:val="14"/>
                <w:szCs w:val="14"/>
                <w:lang w:eastAsia="pt-BR"/>
              </w:rPr>
              <w:t>XML</w:t>
            </w:r>
          </w:p>
        </w:tc>
        <w:tc>
          <w:tcPr>
            <w:tcW w:w="1134" w:type="dxa"/>
            <w:vAlign w:val="center"/>
          </w:tcPr>
          <w:p w14:paraId="05249F81" w14:textId="77777777" w:rsidR="007778B3" w:rsidRPr="00CB55B0" w:rsidRDefault="007778B3" w:rsidP="008228F7">
            <w:pPr>
              <w:spacing w:after="0" w:line="240" w:lineRule="auto"/>
              <w:jc w:val="center"/>
              <w:rPr>
                <w:rFonts w:ascii="Arial" w:eastAsia="Times New Roman" w:hAnsi="Arial" w:cs="Arial"/>
                <w:sz w:val="14"/>
                <w:szCs w:val="14"/>
                <w:lang w:eastAsia="pt-BR"/>
              </w:rPr>
            </w:pPr>
          </w:p>
        </w:tc>
        <w:tc>
          <w:tcPr>
            <w:tcW w:w="1134" w:type="dxa"/>
            <w:vAlign w:val="center"/>
          </w:tcPr>
          <w:p w14:paraId="6907C4F8" w14:textId="77777777" w:rsidR="007778B3" w:rsidRPr="00CB55B0" w:rsidRDefault="007778B3" w:rsidP="008228F7">
            <w:pPr>
              <w:spacing w:after="0" w:line="240" w:lineRule="auto"/>
              <w:jc w:val="center"/>
              <w:rPr>
                <w:rFonts w:ascii="Arial" w:eastAsia="Times New Roman" w:hAnsi="Arial" w:cs="Arial"/>
                <w:sz w:val="14"/>
                <w:szCs w:val="14"/>
                <w:lang w:eastAsia="pt-BR"/>
              </w:rPr>
            </w:pPr>
          </w:p>
        </w:tc>
        <w:tc>
          <w:tcPr>
            <w:tcW w:w="992" w:type="dxa"/>
            <w:vAlign w:val="center"/>
          </w:tcPr>
          <w:p w14:paraId="6A1C4545" w14:textId="77777777" w:rsidR="007778B3" w:rsidRPr="00CB55B0" w:rsidRDefault="007778B3"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1134" w:type="dxa"/>
            <w:vAlign w:val="center"/>
          </w:tcPr>
          <w:p w14:paraId="599A467A" w14:textId="77777777" w:rsidR="007778B3" w:rsidRPr="00CB55B0" w:rsidRDefault="007778B3"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r>
      <w:tr w:rsidR="007778B3" w:rsidRPr="00A5490A" w14:paraId="5A73C05E" w14:textId="77777777" w:rsidTr="008228F7">
        <w:tc>
          <w:tcPr>
            <w:tcW w:w="1276" w:type="dxa"/>
            <w:vAlign w:val="center"/>
          </w:tcPr>
          <w:p w14:paraId="0D79CF5D" w14:textId="77777777" w:rsidR="007778B3" w:rsidRPr="00CB55B0" w:rsidRDefault="007778B3" w:rsidP="008228F7">
            <w:pPr>
              <w:spacing w:after="0" w:line="240" w:lineRule="auto"/>
              <w:jc w:val="center"/>
              <w:rPr>
                <w:rFonts w:ascii="Arial" w:eastAsia="Times New Roman" w:hAnsi="Arial" w:cs="Arial"/>
                <w:sz w:val="18"/>
                <w:szCs w:val="18"/>
                <w:lang w:eastAsia="pt-BR"/>
              </w:rPr>
            </w:pPr>
            <w:r w:rsidRPr="00CB55B0">
              <w:rPr>
                <w:rFonts w:ascii="Arial" w:eastAsia="Times New Roman" w:hAnsi="Arial" w:cs="Arial"/>
                <w:sz w:val="18"/>
                <w:szCs w:val="18"/>
                <w:lang w:eastAsia="pt-BR"/>
              </w:rPr>
              <w:t>BALEXOR_E</w:t>
            </w:r>
          </w:p>
        </w:tc>
        <w:tc>
          <w:tcPr>
            <w:tcW w:w="7224" w:type="dxa"/>
            <w:shd w:val="clear" w:color="auto" w:fill="auto"/>
            <w:vAlign w:val="center"/>
          </w:tcPr>
          <w:p w14:paraId="1514E181" w14:textId="689EF898" w:rsidR="007778B3" w:rsidRPr="00CB55B0" w:rsidRDefault="007778B3" w:rsidP="008228F7">
            <w:pPr>
              <w:spacing w:before="120" w:after="120" w:line="240" w:lineRule="auto"/>
              <w:jc w:val="both"/>
              <w:rPr>
                <w:rFonts w:ascii="Arial" w:eastAsia="Times New Roman" w:hAnsi="Arial" w:cs="Arial"/>
                <w:sz w:val="18"/>
                <w:szCs w:val="18"/>
                <w:lang w:eastAsia="pt-BR"/>
              </w:rPr>
            </w:pPr>
            <w:r w:rsidRPr="00CB55B0">
              <w:rPr>
                <w:rFonts w:ascii="Arial" w:eastAsia="Times New Roman" w:hAnsi="Arial" w:cs="Arial"/>
                <w:sz w:val="18"/>
                <w:szCs w:val="18"/>
                <w:lang w:eastAsia="pt-BR"/>
              </w:rPr>
              <w:t xml:space="preserve">Balancete da execução orçamentária da receita, acumulado até o mês de dezembro, demonstrando a previsão inicial, a previsão atualizada, a arrecadação orçamentária e a fonte de recursos. Estrutura e layout constantes do item </w:t>
            </w:r>
            <w:r w:rsidR="00C36018">
              <w:rPr>
                <w:rFonts w:ascii="Arial" w:eastAsia="Times New Roman" w:hAnsi="Arial" w:cs="Arial"/>
                <w:sz w:val="18"/>
                <w:szCs w:val="18"/>
                <w:lang w:eastAsia="pt-BR"/>
              </w:rPr>
              <w:t>3.1</w:t>
            </w:r>
            <w:r w:rsidRPr="00CB55B0">
              <w:rPr>
                <w:rFonts w:ascii="Arial" w:eastAsia="Times New Roman" w:hAnsi="Arial" w:cs="Arial"/>
                <w:sz w:val="18"/>
                <w:szCs w:val="18"/>
                <w:lang w:eastAsia="pt-BR"/>
              </w:rPr>
              <w:t xml:space="preserve"> deste Anexo</w:t>
            </w:r>
          </w:p>
          <w:p w14:paraId="5D1BC69D" w14:textId="77777777" w:rsidR="007778B3" w:rsidRPr="00CB55B0" w:rsidRDefault="007778B3" w:rsidP="008228F7">
            <w:pPr>
              <w:spacing w:before="120" w:after="120" w:line="240" w:lineRule="auto"/>
              <w:jc w:val="both"/>
              <w:rPr>
                <w:rFonts w:ascii="Arial" w:eastAsia="Times New Roman" w:hAnsi="Arial" w:cs="Arial"/>
                <w:sz w:val="18"/>
                <w:szCs w:val="18"/>
                <w:lang w:eastAsia="pt-BR"/>
              </w:rPr>
            </w:pPr>
            <w:r w:rsidRPr="00CB55B0">
              <w:rPr>
                <w:rFonts w:ascii="Arial" w:eastAsia="Times New Roman" w:hAnsi="Arial" w:cs="Arial"/>
                <w:b/>
                <w:sz w:val="18"/>
                <w:szCs w:val="18"/>
                <w:lang w:eastAsia="pt-BR"/>
              </w:rPr>
              <w:t>Somente UGs Estaduais</w:t>
            </w:r>
          </w:p>
        </w:tc>
        <w:tc>
          <w:tcPr>
            <w:tcW w:w="993" w:type="dxa"/>
            <w:shd w:val="clear" w:color="auto" w:fill="auto"/>
            <w:vAlign w:val="center"/>
          </w:tcPr>
          <w:p w14:paraId="0D9F4A15" w14:textId="77777777" w:rsidR="007778B3" w:rsidRPr="00CB55B0" w:rsidRDefault="007778B3" w:rsidP="008228F7">
            <w:pPr>
              <w:spacing w:after="0" w:line="240" w:lineRule="auto"/>
              <w:jc w:val="center"/>
              <w:rPr>
                <w:rFonts w:ascii="Arial" w:eastAsia="Times New Roman" w:hAnsi="Arial" w:cs="Arial"/>
                <w:i/>
                <w:sz w:val="14"/>
                <w:szCs w:val="14"/>
                <w:lang w:eastAsia="pt-BR"/>
              </w:rPr>
            </w:pPr>
            <w:r w:rsidRPr="00CB55B0">
              <w:rPr>
                <w:rFonts w:ascii="Arial" w:eastAsia="Times New Roman" w:hAnsi="Arial" w:cs="Arial"/>
                <w:sz w:val="14"/>
                <w:szCs w:val="14"/>
                <w:lang w:eastAsia="pt-BR"/>
              </w:rPr>
              <w:t>XML</w:t>
            </w:r>
          </w:p>
        </w:tc>
        <w:tc>
          <w:tcPr>
            <w:tcW w:w="1134" w:type="dxa"/>
            <w:vAlign w:val="center"/>
          </w:tcPr>
          <w:p w14:paraId="32E9C153" w14:textId="77777777" w:rsidR="007778B3" w:rsidRPr="00CB55B0" w:rsidRDefault="007778B3" w:rsidP="008228F7">
            <w:pPr>
              <w:spacing w:after="0" w:line="240" w:lineRule="auto"/>
              <w:jc w:val="center"/>
              <w:rPr>
                <w:rFonts w:ascii="Arial" w:eastAsia="Times New Roman" w:hAnsi="Arial" w:cs="Arial"/>
                <w:sz w:val="14"/>
                <w:szCs w:val="14"/>
                <w:lang w:eastAsia="pt-BR"/>
              </w:rPr>
            </w:pPr>
          </w:p>
        </w:tc>
        <w:tc>
          <w:tcPr>
            <w:tcW w:w="1134" w:type="dxa"/>
            <w:vAlign w:val="center"/>
          </w:tcPr>
          <w:p w14:paraId="4CAA61BF" w14:textId="77777777" w:rsidR="007778B3" w:rsidRPr="00CB55B0" w:rsidRDefault="007778B3" w:rsidP="008228F7">
            <w:pPr>
              <w:spacing w:after="0" w:line="240" w:lineRule="auto"/>
              <w:jc w:val="center"/>
              <w:rPr>
                <w:rFonts w:ascii="Arial" w:eastAsia="Times New Roman" w:hAnsi="Arial" w:cs="Arial"/>
                <w:sz w:val="14"/>
                <w:szCs w:val="14"/>
                <w:lang w:eastAsia="pt-BR"/>
              </w:rPr>
            </w:pPr>
          </w:p>
        </w:tc>
        <w:tc>
          <w:tcPr>
            <w:tcW w:w="992" w:type="dxa"/>
            <w:vAlign w:val="center"/>
          </w:tcPr>
          <w:p w14:paraId="3F74B900" w14:textId="77777777" w:rsidR="007778B3" w:rsidRPr="00CB55B0" w:rsidRDefault="007778B3"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1134" w:type="dxa"/>
            <w:vAlign w:val="center"/>
          </w:tcPr>
          <w:p w14:paraId="7BE9FBF4" w14:textId="77777777" w:rsidR="007778B3" w:rsidRPr="00CB55B0" w:rsidRDefault="007778B3"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r>
      <w:tr w:rsidR="00211FAB" w:rsidRPr="00A5490A" w14:paraId="3A1AC0F4" w14:textId="77777777" w:rsidTr="007D64A9">
        <w:tc>
          <w:tcPr>
            <w:tcW w:w="1276" w:type="dxa"/>
            <w:vAlign w:val="center"/>
          </w:tcPr>
          <w:p w14:paraId="25A7B263" w14:textId="77777777" w:rsidR="00211FAB" w:rsidRPr="00CB55B0" w:rsidRDefault="00211FAB" w:rsidP="00211FAB">
            <w:pPr>
              <w:spacing w:after="0" w:line="240" w:lineRule="auto"/>
              <w:jc w:val="center"/>
              <w:rPr>
                <w:rFonts w:ascii="Arial" w:eastAsia="Times New Roman" w:hAnsi="Arial" w:cs="Arial"/>
                <w:sz w:val="18"/>
                <w:szCs w:val="18"/>
                <w:lang w:eastAsia="pt-BR"/>
              </w:rPr>
            </w:pPr>
            <w:r w:rsidRPr="00CB55B0">
              <w:rPr>
                <w:rFonts w:ascii="Arial" w:eastAsia="Arial" w:hAnsi="Arial" w:cs="Arial"/>
                <w:sz w:val="18"/>
              </w:rPr>
              <w:t>DEMRAPG</w:t>
            </w:r>
          </w:p>
        </w:tc>
        <w:tc>
          <w:tcPr>
            <w:tcW w:w="7224" w:type="dxa"/>
            <w:shd w:val="clear" w:color="auto" w:fill="auto"/>
            <w:vAlign w:val="center"/>
          </w:tcPr>
          <w:p w14:paraId="2D734A72" w14:textId="77777777" w:rsidR="00211FAB" w:rsidRPr="00CB55B0" w:rsidRDefault="00211FAB" w:rsidP="00211FAB">
            <w:pPr>
              <w:spacing w:after="123" w:line="256" w:lineRule="auto"/>
            </w:pPr>
            <w:r w:rsidRPr="00CB55B0">
              <w:rPr>
                <w:rFonts w:ascii="Arial" w:eastAsia="Arial" w:hAnsi="Arial" w:cs="Arial"/>
                <w:sz w:val="18"/>
              </w:rPr>
              <w:t>Demonstrativo de Restos a Pagar, evidenciando</w:t>
            </w:r>
            <w:r w:rsidRPr="00CB55B0">
              <w:rPr>
                <w:sz w:val="18"/>
              </w:rPr>
              <w:t>:</w:t>
            </w:r>
            <w:r w:rsidRPr="00CB55B0">
              <w:rPr>
                <w:rFonts w:ascii="Arial" w:eastAsia="Arial" w:hAnsi="Arial" w:cs="Arial"/>
                <w:i/>
                <w:sz w:val="18"/>
              </w:rPr>
              <w:t xml:space="preserve"> </w:t>
            </w:r>
          </w:p>
          <w:p w14:paraId="3AFBC005" w14:textId="77777777" w:rsidR="00211FAB" w:rsidRPr="00CB55B0" w:rsidRDefault="00211FAB" w:rsidP="00ED6D8E">
            <w:pPr>
              <w:numPr>
                <w:ilvl w:val="0"/>
                <w:numId w:val="38"/>
              </w:numPr>
              <w:spacing w:after="134" w:line="240" w:lineRule="auto"/>
              <w:ind w:right="27"/>
            </w:pPr>
            <w:r w:rsidRPr="00CB55B0">
              <w:rPr>
                <w:rFonts w:ascii="Arial" w:eastAsia="Arial" w:hAnsi="Arial" w:cs="Arial"/>
                <w:sz w:val="18"/>
              </w:rPr>
              <w:t xml:space="preserve">os saldos de restos a pagar de exercícios anteriores e os restos a pagar inscritos no exercício sob análise, discriminados em: processados e não processados, por exercício, por credor, por fonte de recursos, por função e subfunção; </w:t>
            </w:r>
          </w:p>
          <w:p w14:paraId="67025A07" w14:textId="77777777" w:rsidR="00211FAB" w:rsidRPr="00CB55B0" w:rsidRDefault="00211FAB" w:rsidP="00ED6D8E">
            <w:pPr>
              <w:numPr>
                <w:ilvl w:val="0"/>
                <w:numId w:val="38"/>
              </w:numPr>
              <w:spacing w:after="0" w:line="256" w:lineRule="auto"/>
              <w:ind w:right="27"/>
            </w:pPr>
            <w:r w:rsidRPr="00CB55B0">
              <w:rPr>
                <w:rFonts w:ascii="Arial" w:eastAsia="Arial" w:hAnsi="Arial" w:cs="Arial"/>
                <w:sz w:val="18"/>
              </w:rPr>
              <w:t xml:space="preserve">os restos a pagar cancelados no exercício sob análise, discriminados em: </w:t>
            </w:r>
          </w:p>
          <w:p w14:paraId="6044B30E" w14:textId="77777777" w:rsidR="00211FAB" w:rsidRPr="00CB55B0" w:rsidRDefault="00211FAB" w:rsidP="00211FAB">
            <w:pPr>
              <w:spacing w:after="0" w:line="256" w:lineRule="auto"/>
              <w:ind w:left="403"/>
            </w:pPr>
            <w:r w:rsidRPr="00CB55B0">
              <w:rPr>
                <w:rFonts w:ascii="Arial" w:eastAsia="Arial" w:hAnsi="Arial" w:cs="Arial"/>
                <w:sz w:val="18"/>
              </w:rPr>
              <w:t xml:space="preserve">processados e não-processados, por exercício, por credor, por fonte de recursos, por função e subfunção. </w:t>
            </w:r>
          </w:p>
        </w:tc>
        <w:tc>
          <w:tcPr>
            <w:tcW w:w="993" w:type="dxa"/>
            <w:shd w:val="clear" w:color="auto" w:fill="auto"/>
            <w:vAlign w:val="center"/>
          </w:tcPr>
          <w:p w14:paraId="46960B3C" w14:textId="77777777" w:rsidR="00211FAB" w:rsidRPr="00CB55B0" w:rsidRDefault="00211FAB" w:rsidP="00211FAB">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PDF</w:t>
            </w:r>
          </w:p>
        </w:tc>
        <w:tc>
          <w:tcPr>
            <w:tcW w:w="1134" w:type="dxa"/>
            <w:vAlign w:val="center"/>
          </w:tcPr>
          <w:p w14:paraId="0539CCE6" w14:textId="77777777" w:rsidR="00211FAB" w:rsidRPr="00CB55B0" w:rsidRDefault="00211FAB" w:rsidP="00211FAB">
            <w:pPr>
              <w:spacing w:after="0" w:line="240" w:lineRule="auto"/>
              <w:jc w:val="center"/>
              <w:rPr>
                <w:rFonts w:ascii="Arial" w:eastAsia="Times New Roman" w:hAnsi="Arial" w:cs="Arial"/>
                <w:sz w:val="14"/>
                <w:szCs w:val="14"/>
                <w:lang w:eastAsia="pt-BR"/>
              </w:rPr>
            </w:pPr>
          </w:p>
        </w:tc>
        <w:tc>
          <w:tcPr>
            <w:tcW w:w="1134" w:type="dxa"/>
            <w:vAlign w:val="center"/>
          </w:tcPr>
          <w:p w14:paraId="15764DB4" w14:textId="77777777" w:rsidR="00211FAB" w:rsidRPr="00CB55B0" w:rsidRDefault="00211FAB" w:rsidP="00211FAB">
            <w:pPr>
              <w:spacing w:after="0" w:line="240" w:lineRule="auto"/>
              <w:jc w:val="center"/>
              <w:rPr>
                <w:rFonts w:ascii="Arial" w:eastAsia="Times New Roman" w:hAnsi="Arial" w:cs="Arial"/>
                <w:sz w:val="14"/>
                <w:szCs w:val="14"/>
                <w:lang w:eastAsia="pt-BR"/>
              </w:rPr>
            </w:pPr>
          </w:p>
        </w:tc>
        <w:tc>
          <w:tcPr>
            <w:tcW w:w="992" w:type="dxa"/>
            <w:vAlign w:val="center"/>
          </w:tcPr>
          <w:p w14:paraId="768FA411" w14:textId="77777777" w:rsidR="00211FAB" w:rsidRPr="00CB55B0" w:rsidRDefault="00211FAB" w:rsidP="00211FAB">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1134" w:type="dxa"/>
            <w:vAlign w:val="center"/>
          </w:tcPr>
          <w:p w14:paraId="7F960A6C" w14:textId="77777777" w:rsidR="00211FAB" w:rsidRPr="00CB55B0" w:rsidRDefault="00211FAB" w:rsidP="00211FAB">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r>
      <w:tr w:rsidR="00211FAB" w:rsidRPr="00A5490A" w14:paraId="5B6CE480" w14:textId="77777777" w:rsidTr="007D64A9">
        <w:tc>
          <w:tcPr>
            <w:tcW w:w="1276" w:type="dxa"/>
            <w:vAlign w:val="center"/>
          </w:tcPr>
          <w:p w14:paraId="2F6923E3" w14:textId="77777777" w:rsidR="00211FAB" w:rsidRPr="003B4337" w:rsidRDefault="00211FAB" w:rsidP="00211FAB">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DELPAC</w:t>
            </w:r>
          </w:p>
        </w:tc>
        <w:tc>
          <w:tcPr>
            <w:tcW w:w="7224" w:type="dxa"/>
            <w:shd w:val="clear" w:color="auto" w:fill="auto"/>
            <w:vAlign w:val="center"/>
          </w:tcPr>
          <w:p w14:paraId="6F928DBC" w14:textId="77777777" w:rsidR="00211FAB" w:rsidRPr="003B4337" w:rsidRDefault="00211FAB" w:rsidP="00211FAB">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Demonstração dos Lucros ou Prejuízos Acumulados, com a indicação dos saldos do exercício anterior (Inciso II do art. 176 da Lei 6.404/76).</w:t>
            </w:r>
          </w:p>
        </w:tc>
        <w:tc>
          <w:tcPr>
            <w:tcW w:w="993" w:type="dxa"/>
            <w:shd w:val="clear" w:color="auto" w:fill="auto"/>
            <w:vAlign w:val="center"/>
          </w:tcPr>
          <w:p w14:paraId="64545011" w14:textId="77777777" w:rsidR="00211FAB" w:rsidRPr="003B4337" w:rsidRDefault="00211FAB" w:rsidP="00211FAB">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c>
          <w:tcPr>
            <w:tcW w:w="1134" w:type="dxa"/>
            <w:vAlign w:val="center"/>
          </w:tcPr>
          <w:p w14:paraId="1190963D" w14:textId="77777777" w:rsidR="00211FAB" w:rsidRPr="00CB55B0" w:rsidRDefault="00211FAB" w:rsidP="00211FAB">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1134" w:type="dxa"/>
            <w:vAlign w:val="center"/>
          </w:tcPr>
          <w:p w14:paraId="72E05183" w14:textId="77777777" w:rsidR="00211FAB" w:rsidRPr="00CB55B0" w:rsidRDefault="00211FAB" w:rsidP="00211FAB">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vAlign w:val="center"/>
          </w:tcPr>
          <w:p w14:paraId="22A40700" w14:textId="77777777" w:rsidR="00211FAB" w:rsidRPr="00CB55B0" w:rsidRDefault="00211FAB" w:rsidP="00211FAB">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1134" w:type="dxa"/>
            <w:vAlign w:val="center"/>
          </w:tcPr>
          <w:p w14:paraId="09AD60F2" w14:textId="77777777" w:rsidR="00211FAB" w:rsidRPr="00CB55B0" w:rsidRDefault="00211FAB" w:rsidP="00211FAB">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r>
      <w:tr w:rsidR="00211FAB" w:rsidRPr="00A5490A" w14:paraId="5D03DF2F" w14:textId="77777777" w:rsidTr="007D64A9">
        <w:tc>
          <w:tcPr>
            <w:tcW w:w="1276" w:type="dxa"/>
            <w:vAlign w:val="center"/>
          </w:tcPr>
          <w:p w14:paraId="7B86F25D" w14:textId="77777777" w:rsidR="00211FAB" w:rsidRPr="003B4337" w:rsidRDefault="00211FAB" w:rsidP="00211FAB">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DEMRES</w:t>
            </w:r>
          </w:p>
        </w:tc>
        <w:tc>
          <w:tcPr>
            <w:tcW w:w="7224" w:type="dxa"/>
            <w:shd w:val="clear" w:color="auto" w:fill="auto"/>
            <w:vAlign w:val="center"/>
          </w:tcPr>
          <w:p w14:paraId="030CE142" w14:textId="77777777" w:rsidR="00211FAB" w:rsidRPr="003B4337" w:rsidRDefault="00211FAB" w:rsidP="00211FAB">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Demonstração do Resultado do Exercício, com a indicação dos saldos do exercício anterior (Inciso III do art. 176 da Lei 6.404/76). </w:t>
            </w:r>
          </w:p>
        </w:tc>
        <w:tc>
          <w:tcPr>
            <w:tcW w:w="993" w:type="dxa"/>
            <w:shd w:val="clear" w:color="auto" w:fill="auto"/>
            <w:vAlign w:val="center"/>
          </w:tcPr>
          <w:p w14:paraId="202A640A" w14:textId="77777777" w:rsidR="00211FAB" w:rsidRPr="003B4337" w:rsidRDefault="00211FAB" w:rsidP="00211FAB">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c>
          <w:tcPr>
            <w:tcW w:w="1134" w:type="dxa"/>
            <w:vAlign w:val="center"/>
          </w:tcPr>
          <w:p w14:paraId="154C9CEB" w14:textId="77777777" w:rsidR="00211FAB" w:rsidRPr="00CB55B0" w:rsidRDefault="00211FAB" w:rsidP="00211FAB">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1134" w:type="dxa"/>
            <w:vAlign w:val="center"/>
          </w:tcPr>
          <w:p w14:paraId="372CA037" w14:textId="77777777" w:rsidR="00211FAB" w:rsidRPr="00CB55B0" w:rsidRDefault="00211FAB" w:rsidP="00211FAB">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vAlign w:val="center"/>
          </w:tcPr>
          <w:p w14:paraId="460B2457" w14:textId="77777777" w:rsidR="00211FAB" w:rsidRPr="00CB55B0" w:rsidRDefault="00211FAB" w:rsidP="00211FAB">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1134" w:type="dxa"/>
            <w:vAlign w:val="center"/>
          </w:tcPr>
          <w:p w14:paraId="347DE696" w14:textId="77777777" w:rsidR="00211FAB" w:rsidRPr="00CB55B0" w:rsidRDefault="00211FAB" w:rsidP="00211FAB">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r>
      <w:tr w:rsidR="00211FAB" w:rsidRPr="00A5490A" w14:paraId="666FCD2B" w14:textId="77777777" w:rsidTr="007D64A9">
        <w:trPr>
          <w:trHeight w:val="680"/>
        </w:trPr>
        <w:tc>
          <w:tcPr>
            <w:tcW w:w="1276" w:type="dxa"/>
            <w:vAlign w:val="center"/>
          </w:tcPr>
          <w:p w14:paraId="7895EDFB" w14:textId="77777777" w:rsidR="00211FAB" w:rsidRPr="003B4337" w:rsidRDefault="00211FAB" w:rsidP="00211FAB">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DEMUPL</w:t>
            </w:r>
          </w:p>
        </w:tc>
        <w:tc>
          <w:tcPr>
            <w:tcW w:w="7224" w:type="dxa"/>
            <w:shd w:val="clear" w:color="auto" w:fill="auto"/>
            <w:vAlign w:val="center"/>
          </w:tcPr>
          <w:p w14:paraId="2AD7A335" w14:textId="77777777" w:rsidR="00211FAB" w:rsidRPr="003B4337" w:rsidRDefault="00211FAB" w:rsidP="00211FAB">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Demonstração das Mutações do Patrimônio Líquido, com a indicação dos saldos do exercício anterior, no caso de empresas em situação de “Estatal Dependente” ou “Fundações de Direito Privado” (Art. 3º da Resolução CFC 1437/13 e Resolução CFC nº 1.409/12 e item 22 da ITG 2002 – NBCT). </w:t>
            </w:r>
          </w:p>
        </w:tc>
        <w:tc>
          <w:tcPr>
            <w:tcW w:w="993" w:type="dxa"/>
            <w:shd w:val="clear" w:color="auto" w:fill="auto"/>
            <w:vAlign w:val="center"/>
          </w:tcPr>
          <w:p w14:paraId="2D9CE6D2" w14:textId="77777777" w:rsidR="00211FAB" w:rsidRPr="003B4337" w:rsidRDefault="00211FAB" w:rsidP="00211FAB">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c>
          <w:tcPr>
            <w:tcW w:w="1134" w:type="dxa"/>
            <w:vAlign w:val="center"/>
          </w:tcPr>
          <w:p w14:paraId="774FD376" w14:textId="77777777" w:rsidR="00211FAB" w:rsidRPr="00CB55B0" w:rsidRDefault="00211FAB" w:rsidP="00211FAB">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1134" w:type="dxa"/>
            <w:vAlign w:val="center"/>
          </w:tcPr>
          <w:p w14:paraId="4C705984" w14:textId="77777777" w:rsidR="00211FAB" w:rsidRPr="00CB55B0" w:rsidRDefault="00211FAB" w:rsidP="00211FAB">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vAlign w:val="center"/>
          </w:tcPr>
          <w:p w14:paraId="0D26FC57" w14:textId="77777777" w:rsidR="00211FAB" w:rsidRPr="00CB55B0" w:rsidRDefault="00211FAB" w:rsidP="00211FAB">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1134" w:type="dxa"/>
            <w:vAlign w:val="center"/>
          </w:tcPr>
          <w:p w14:paraId="2BAB51D9" w14:textId="77777777" w:rsidR="00211FAB" w:rsidRPr="00CB55B0" w:rsidRDefault="00211FAB" w:rsidP="00211FAB">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r>
      <w:tr w:rsidR="00211FAB" w:rsidRPr="00A5490A" w14:paraId="731C7AF7" w14:textId="77777777" w:rsidTr="007D64A9">
        <w:trPr>
          <w:trHeight w:val="850"/>
        </w:trPr>
        <w:tc>
          <w:tcPr>
            <w:tcW w:w="1276" w:type="dxa"/>
            <w:vAlign w:val="center"/>
          </w:tcPr>
          <w:p w14:paraId="6A1ED491" w14:textId="77777777" w:rsidR="00211FAB" w:rsidRPr="00CB55B0" w:rsidRDefault="008B12A6" w:rsidP="00D31145">
            <w:pPr>
              <w:spacing w:after="0" w:line="240" w:lineRule="auto"/>
              <w:jc w:val="center"/>
              <w:rPr>
                <w:rFonts w:ascii="Arial" w:eastAsia="Times New Roman" w:hAnsi="Arial" w:cs="Arial"/>
                <w:sz w:val="18"/>
                <w:szCs w:val="18"/>
                <w:lang w:eastAsia="pt-BR"/>
              </w:rPr>
            </w:pPr>
            <w:r w:rsidRPr="00CB55B0">
              <w:rPr>
                <w:rFonts w:ascii="Arial" w:eastAsia="Times New Roman" w:hAnsi="Arial" w:cs="Arial"/>
                <w:sz w:val="18"/>
                <w:szCs w:val="18"/>
                <w:lang w:eastAsia="pt-BR"/>
              </w:rPr>
              <w:lastRenderedPageBreak/>
              <w:t>DEMFCAPR</w:t>
            </w:r>
          </w:p>
        </w:tc>
        <w:tc>
          <w:tcPr>
            <w:tcW w:w="7224" w:type="dxa"/>
            <w:shd w:val="clear" w:color="auto" w:fill="auto"/>
            <w:vAlign w:val="center"/>
          </w:tcPr>
          <w:p w14:paraId="3BCDB8BC" w14:textId="77777777" w:rsidR="00211FAB" w:rsidRPr="00CB55B0" w:rsidRDefault="00211FAB" w:rsidP="00211FAB">
            <w:pPr>
              <w:spacing w:before="120" w:after="120" w:line="240" w:lineRule="auto"/>
              <w:jc w:val="both"/>
              <w:rPr>
                <w:rFonts w:ascii="Arial" w:eastAsia="Times New Roman" w:hAnsi="Arial" w:cs="Arial"/>
                <w:sz w:val="18"/>
                <w:szCs w:val="18"/>
                <w:lang w:eastAsia="pt-BR"/>
              </w:rPr>
            </w:pPr>
            <w:r w:rsidRPr="00CB55B0">
              <w:rPr>
                <w:rFonts w:ascii="Arial" w:eastAsia="Times New Roman" w:hAnsi="Arial" w:cs="Arial"/>
                <w:sz w:val="18"/>
                <w:szCs w:val="18"/>
                <w:lang w:eastAsia="pt-BR"/>
              </w:rPr>
              <w:t xml:space="preserve">Demonstração dos Fluxos de Caixa, com a indicação dos saldos do exercício anterior (Inciso IV do art. 176 da Lei 6.404/76). </w:t>
            </w:r>
          </w:p>
          <w:p w14:paraId="5E34DA03" w14:textId="77777777" w:rsidR="00211FAB" w:rsidRPr="00CB55B0" w:rsidRDefault="00211FAB" w:rsidP="00211FAB">
            <w:pPr>
              <w:spacing w:before="120" w:after="120" w:line="240" w:lineRule="auto"/>
              <w:jc w:val="both"/>
              <w:rPr>
                <w:rFonts w:ascii="Arial" w:eastAsia="Times New Roman" w:hAnsi="Arial" w:cs="Arial"/>
                <w:sz w:val="18"/>
                <w:szCs w:val="18"/>
                <w:lang w:eastAsia="pt-BR"/>
              </w:rPr>
            </w:pPr>
            <w:r w:rsidRPr="00CB55B0">
              <w:rPr>
                <w:rFonts w:ascii="Arial" w:eastAsia="Times New Roman" w:hAnsi="Arial" w:cs="Arial"/>
                <w:sz w:val="18"/>
                <w:szCs w:val="18"/>
                <w:lang w:eastAsia="pt-BR"/>
              </w:rPr>
              <w:t xml:space="preserve">Observação: </w:t>
            </w:r>
          </w:p>
          <w:p w14:paraId="2C9C9D80" w14:textId="77777777" w:rsidR="00211FAB" w:rsidRPr="00CB55B0" w:rsidRDefault="00211FAB" w:rsidP="00211FAB">
            <w:pPr>
              <w:pStyle w:val="PargrafodaLista"/>
              <w:numPr>
                <w:ilvl w:val="0"/>
                <w:numId w:val="7"/>
              </w:numPr>
              <w:spacing w:before="120" w:after="120" w:line="240" w:lineRule="auto"/>
              <w:jc w:val="both"/>
              <w:rPr>
                <w:rFonts w:ascii="Arial" w:eastAsia="Times New Roman" w:hAnsi="Arial" w:cs="Arial"/>
                <w:sz w:val="18"/>
                <w:szCs w:val="18"/>
                <w:lang w:eastAsia="pt-BR"/>
              </w:rPr>
            </w:pPr>
            <w:r w:rsidRPr="00CB55B0">
              <w:rPr>
                <w:rFonts w:ascii="Arial" w:eastAsia="Times New Roman" w:hAnsi="Arial" w:cs="Arial"/>
                <w:sz w:val="18"/>
                <w:szCs w:val="18"/>
                <w:lang w:eastAsia="pt-BR"/>
              </w:rPr>
              <w:t xml:space="preserve">Exceção: S/A de capital fechado, com Patrimônio Líquido na data do balanço inferior a 2 (dois) milhões, conforme §6º do art. 176 da lei 6.404/760 e empresas Ltda. </w:t>
            </w:r>
          </w:p>
        </w:tc>
        <w:tc>
          <w:tcPr>
            <w:tcW w:w="993" w:type="dxa"/>
            <w:shd w:val="clear" w:color="auto" w:fill="auto"/>
            <w:vAlign w:val="center"/>
          </w:tcPr>
          <w:p w14:paraId="0F530D5F" w14:textId="77777777" w:rsidR="00211FAB" w:rsidRPr="009D147B" w:rsidRDefault="00211FAB" w:rsidP="00211FAB">
            <w:pPr>
              <w:spacing w:after="0" w:line="240" w:lineRule="auto"/>
              <w:jc w:val="center"/>
              <w:rPr>
                <w:rFonts w:ascii="Arial" w:eastAsia="Times New Roman" w:hAnsi="Arial" w:cs="Arial"/>
                <w:sz w:val="14"/>
                <w:szCs w:val="14"/>
                <w:lang w:eastAsia="pt-BR"/>
              </w:rPr>
            </w:pPr>
            <w:r w:rsidRPr="009D147B">
              <w:rPr>
                <w:rFonts w:ascii="Arial" w:eastAsia="Times New Roman" w:hAnsi="Arial" w:cs="Arial"/>
                <w:sz w:val="14"/>
                <w:szCs w:val="14"/>
                <w:lang w:eastAsia="pt-BR"/>
              </w:rPr>
              <w:t>PDF</w:t>
            </w:r>
          </w:p>
        </w:tc>
        <w:tc>
          <w:tcPr>
            <w:tcW w:w="1134" w:type="dxa"/>
            <w:vAlign w:val="center"/>
          </w:tcPr>
          <w:p w14:paraId="0034AF23" w14:textId="77777777" w:rsidR="00211FAB" w:rsidRPr="00CB55B0" w:rsidRDefault="00211FAB" w:rsidP="00211FAB">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1134" w:type="dxa"/>
            <w:vAlign w:val="center"/>
          </w:tcPr>
          <w:p w14:paraId="002F78FB" w14:textId="77777777" w:rsidR="00211FAB" w:rsidRPr="00CB55B0" w:rsidRDefault="00211FAB" w:rsidP="00211FAB">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vAlign w:val="center"/>
          </w:tcPr>
          <w:p w14:paraId="3840EF8E" w14:textId="77777777" w:rsidR="00211FAB" w:rsidRPr="00CB55B0" w:rsidRDefault="00211FAB" w:rsidP="00211FAB">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1134" w:type="dxa"/>
            <w:vAlign w:val="center"/>
          </w:tcPr>
          <w:p w14:paraId="2E32EF8B" w14:textId="77777777" w:rsidR="00211FAB" w:rsidRPr="00CB55B0" w:rsidRDefault="00211FAB" w:rsidP="00211FAB">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r>
      <w:tr w:rsidR="00211FAB" w:rsidRPr="00242BA2" w14:paraId="253B1EDA" w14:textId="77777777" w:rsidTr="007D64A9">
        <w:trPr>
          <w:trHeight w:val="907"/>
        </w:trPr>
        <w:tc>
          <w:tcPr>
            <w:tcW w:w="1276" w:type="dxa"/>
            <w:vAlign w:val="center"/>
          </w:tcPr>
          <w:p w14:paraId="26A63CE9" w14:textId="77777777" w:rsidR="00211FAB" w:rsidRPr="00CB55B0" w:rsidRDefault="00211FAB" w:rsidP="00211FAB">
            <w:pPr>
              <w:spacing w:after="0" w:line="240" w:lineRule="auto"/>
              <w:jc w:val="center"/>
              <w:rPr>
                <w:rFonts w:ascii="Arial" w:eastAsia="Times New Roman" w:hAnsi="Arial" w:cs="Arial"/>
                <w:sz w:val="18"/>
                <w:szCs w:val="18"/>
                <w:lang w:eastAsia="pt-BR"/>
              </w:rPr>
            </w:pPr>
            <w:r w:rsidRPr="00CB55B0">
              <w:rPr>
                <w:rFonts w:ascii="Arial" w:eastAsia="Arial" w:hAnsi="Arial" w:cs="Arial"/>
                <w:sz w:val="18"/>
              </w:rPr>
              <w:t>DEMFCA</w:t>
            </w:r>
          </w:p>
        </w:tc>
        <w:tc>
          <w:tcPr>
            <w:tcW w:w="7224" w:type="dxa"/>
            <w:shd w:val="clear" w:color="auto" w:fill="auto"/>
            <w:vAlign w:val="center"/>
          </w:tcPr>
          <w:p w14:paraId="527B6EC4" w14:textId="77777777" w:rsidR="00211FAB" w:rsidRPr="00CB55B0" w:rsidRDefault="00211FAB" w:rsidP="00532C19">
            <w:pPr>
              <w:spacing w:before="120" w:after="120" w:line="240" w:lineRule="auto"/>
              <w:jc w:val="both"/>
              <w:rPr>
                <w:rFonts w:ascii="Arial" w:eastAsia="Times New Roman" w:hAnsi="Arial" w:cs="Arial"/>
                <w:sz w:val="18"/>
                <w:szCs w:val="18"/>
                <w:lang w:eastAsia="pt-BR"/>
              </w:rPr>
            </w:pPr>
            <w:r w:rsidRPr="00CB55B0">
              <w:rPr>
                <w:rFonts w:ascii="Arial" w:eastAsia="Arial" w:hAnsi="Arial" w:cs="Arial"/>
                <w:sz w:val="18"/>
              </w:rPr>
              <w:t>Demonstração dos Fluxos de Caixa – DFC (Parte V do Manual de Contabilidade Aplicado ao Setor Público – MCASP), acompanhada de notas explicativas e outros quadros elucidativos que se fizerem necessários. (Resolução CFC nº 1.133/2008 - NBC T 16.6 c/c Portaria STN nº 700/2014)</w:t>
            </w:r>
          </w:p>
        </w:tc>
        <w:tc>
          <w:tcPr>
            <w:tcW w:w="993" w:type="dxa"/>
            <w:shd w:val="clear" w:color="auto" w:fill="auto"/>
            <w:vAlign w:val="center"/>
          </w:tcPr>
          <w:p w14:paraId="645530EA" w14:textId="77777777" w:rsidR="00211FAB" w:rsidRPr="009D147B" w:rsidRDefault="00211FAB" w:rsidP="00211FAB">
            <w:pPr>
              <w:spacing w:after="0" w:line="240" w:lineRule="auto"/>
              <w:jc w:val="center"/>
              <w:rPr>
                <w:rFonts w:ascii="Arial" w:eastAsia="Times New Roman" w:hAnsi="Arial" w:cs="Arial"/>
                <w:sz w:val="14"/>
                <w:szCs w:val="14"/>
                <w:lang w:eastAsia="pt-BR"/>
              </w:rPr>
            </w:pPr>
            <w:r w:rsidRPr="009D147B">
              <w:rPr>
                <w:rFonts w:ascii="Arial" w:eastAsia="Times New Roman" w:hAnsi="Arial" w:cs="Arial"/>
                <w:sz w:val="14"/>
                <w:szCs w:val="14"/>
                <w:lang w:eastAsia="pt-BR"/>
              </w:rPr>
              <w:t>PDF</w:t>
            </w:r>
          </w:p>
        </w:tc>
        <w:tc>
          <w:tcPr>
            <w:tcW w:w="1134" w:type="dxa"/>
            <w:vAlign w:val="center"/>
          </w:tcPr>
          <w:p w14:paraId="33426770" w14:textId="77777777" w:rsidR="00211FAB" w:rsidRPr="00CB55B0" w:rsidRDefault="00211FAB" w:rsidP="00211FAB">
            <w:pPr>
              <w:spacing w:after="0" w:line="240" w:lineRule="auto"/>
              <w:jc w:val="center"/>
              <w:rPr>
                <w:rFonts w:ascii="Arial" w:eastAsia="Times New Roman" w:hAnsi="Arial" w:cs="Arial"/>
                <w:sz w:val="14"/>
                <w:szCs w:val="14"/>
                <w:lang w:eastAsia="pt-BR"/>
              </w:rPr>
            </w:pPr>
          </w:p>
        </w:tc>
        <w:tc>
          <w:tcPr>
            <w:tcW w:w="1134" w:type="dxa"/>
            <w:vAlign w:val="center"/>
          </w:tcPr>
          <w:p w14:paraId="1586F2C8" w14:textId="77777777" w:rsidR="00211FAB" w:rsidRPr="00CB55B0" w:rsidRDefault="00211FAB" w:rsidP="00211FAB">
            <w:pPr>
              <w:spacing w:after="0" w:line="240" w:lineRule="auto"/>
              <w:jc w:val="center"/>
              <w:rPr>
                <w:rFonts w:ascii="Arial" w:eastAsia="Times New Roman" w:hAnsi="Arial" w:cs="Arial"/>
                <w:sz w:val="14"/>
                <w:szCs w:val="14"/>
                <w:lang w:eastAsia="pt-BR"/>
              </w:rPr>
            </w:pPr>
          </w:p>
        </w:tc>
        <w:tc>
          <w:tcPr>
            <w:tcW w:w="992" w:type="dxa"/>
            <w:vAlign w:val="center"/>
          </w:tcPr>
          <w:p w14:paraId="751C93E2" w14:textId="77777777" w:rsidR="00211FAB" w:rsidRPr="00CB55B0" w:rsidRDefault="00211FAB" w:rsidP="00211FAB">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1134" w:type="dxa"/>
            <w:vAlign w:val="center"/>
          </w:tcPr>
          <w:p w14:paraId="64622BE7" w14:textId="77777777" w:rsidR="00211FAB" w:rsidRPr="00CB55B0" w:rsidRDefault="00211FAB" w:rsidP="00211FAB">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r>
      <w:tr w:rsidR="00211FAB" w:rsidRPr="00242BA2" w14:paraId="6711B2E2" w14:textId="77777777" w:rsidTr="007D64A9">
        <w:trPr>
          <w:trHeight w:val="907"/>
        </w:trPr>
        <w:tc>
          <w:tcPr>
            <w:tcW w:w="1276" w:type="dxa"/>
            <w:vAlign w:val="center"/>
          </w:tcPr>
          <w:p w14:paraId="681B542E" w14:textId="77777777" w:rsidR="00211FAB" w:rsidRPr="00CB55B0" w:rsidRDefault="00211FAB" w:rsidP="00211FAB">
            <w:pPr>
              <w:spacing w:after="0" w:line="240" w:lineRule="auto"/>
              <w:jc w:val="center"/>
              <w:rPr>
                <w:rFonts w:ascii="Arial" w:eastAsia="Times New Roman" w:hAnsi="Arial" w:cs="Arial"/>
                <w:sz w:val="18"/>
                <w:szCs w:val="18"/>
                <w:lang w:eastAsia="pt-BR"/>
              </w:rPr>
            </w:pPr>
            <w:r w:rsidRPr="00CB55B0">
              <w:rPr>
                <w:rFonts w:ascii="Arial" w:eastAsia="Times New Roman" w:hAnsi="Arial" w:cs="Arial"/>
                <w:sz w:val="18"/>
                <w:szCs w:val="18"/>
                <w:lang w:eastAsia="pt-BR"/>
              </w:rPr>
              <w:t>DEMVAD</w:t>
            </w:r>
          </w:p>
        </w:tc>
        <w:tc>
          <w:tcPr>
            <w:tcW w:w="7224" w:type="dxa"/>
            <w:shd w:val="clear" w:color="auto" w:fill="auto"/>
            <w:vAlign w:val="center"/>
          </w:tcPr>
          <w:p w14:paraId="7B795162" w14:textId="77777777" w:rsidR="00211FAB" w:rsidRPr="00CB55B0" w:rsidRDefault="00211FAB" w:rsidP="00211FAB">
            <w:pPr>
              <w:spacing w:before="120" w:after="120" w:line="240" w:lineRule="auto"/>
              <w:jc w:val="both"/>
              <w:rPr>
                <w:rFonts w:ascii="Arial" w:eastAsia="Times New Roman" w:hAnsi="Arial" w:cs="Arial"/>
                <w:sz w:val="18"/>
                <w:szCs w:val="18"/>
                <w:lang w:eastAsia="pt-BR"/>
              </w:rPr>
            </w:pPr>
            <w:r w:rsidRPr="00CB55B0">
              <w:rPr>
                <w:rFonts w:ascii="Arial" w:eastAsia="Times New Roman" w:hAnsi="Arial" w:cs="Arial"/>
                <w:sz w:val="18"/>
                <w:szCs w:val="18"/>
                <w:lang w:eastAsia="pt-BR"/>
              </w:rPr>
              <w:t xml:space="preserve">Demonstração do Valor Adicionado, com a indicação dos saldos do exercício anterior, no caso de Sociedades Anônimas de capital aberto (Inciso V do art. 176 da Lei 6.404/76). </w:t>
            </w:r>
          </w:p>
        </w:tc>
        <w:tc>
          <w:tcPr>
            <w:tcW w:w="993" w:type="dxa"/>
            <w:shd w:val="clear" w:color="auto" w:fill="auto"/>
            <w:vAlign w:val="center"/>
          </w:tcPr>
          <w:p w14:paraId="78341349" w14:textId="77777777" w:rsidR="00211FAB" w:rsidRPr="009D147B" w:rsidRDefault="00211FAB" w:rsidP="00211FAB">
            <w:pPr>
              <w:spacing w:after="0" w:line="240" w:lineRule="auto"/>
              <w:jc w:val="center"/>
              <w:rPr>
                <w:rFonts w:ascii="Arial" w:eastAsia="Times New Roman" w:hAnsi="Arial" w:cs="Arial"/>
                <w:sz w:val="14"/>
                <w:szCs w:val="14"/>
                <w:lang w:eastAsia="pt-BR"/>
              </w:rPr>
            </w:pPr>
            <w:r w:rsidRPr="009D147B">
              <w:rPr>
                <w:rFonts w:ascii="Arial" w:eastAsia="Times New Roman" w:hAnsi="Arial" w:cs="Arial"/>
                <w:sz w:val="14"/>
                <w:szCs w:val="14"/>
                <w:lang w:eastAsia="pt-BR"/>
              </w:rPr>
              <w:t>PDF</w:t>
            </w:r>
          </w:p>
        </w:tc>
        <w:tc>
          <w:tcPr>
            <w:tcW w:w="1134" w:type="dxa"/>
            <w:vAlign w:val="center"/>
          </w:tcPr>
          <w:p w14:paraId="00D4CCF0" w14:textId="77777777" w:rsidR="00211FAB" w:rsidRPr="00CB55B0" w:rsidRDefault="00211FAB" w:rsidP="00211FAB">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1134" w:type="dxa"/>
            <w:vAlign w:val="center"/>
          </w:tcPr>
          <w:p w14:paraId="7EC6B893" w14:textId="77777777" w:rsidR="00211FAB" w:rsidRPr="00CB55B0" w:rsidRDefault="00211FAB" w:rsidP="00211FAB">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vAlign w:val="center"/>
          </w:tcPr>
          <w:p w14:paraId="28A3D1BF" w14:textId="77777777" w:rsidR="00211FAB" w:rsidRPr="00CB55B0" w:rsidRDefault="00211FAB" w:rsidP="00211FAB">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1134" w:type="dxa"/>
            <w:vAlign w:val="center"/>
          </w:tcPr>
          <w:p w14:paraId="2FB25272" w14:textId="77777777" w:rsidR="00211FAB" w:rsidRPr="00CB55B0" w:rsidRDefault="00211FAB" w:rsidP="00211FAB">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r>
      <w:tr w:rsidR="00C94065" w:rsidRPr="00C94065" w14:paraId="2CBF8145" w14:textId="77777777" w:rsidTr="00DD49C9">
        <w:tc>
          <w:tcPr>
            <w:tcW w:w="1276" w:type="dxa"/>
            <w:vAlign w:val="center"/>
          </w:tcPr>
          <w:p w14:paraId="2D086F48" w14:textId="05A5D8C7" w:rsidR="001E1DFC" w:rsidRPr="00C94065" w:rsidRDefault="001E1DFC" w:rsidP="00DD49C9">
            <w:pPr>
              <w:spacing w:after="0" w:line="240" w:lineRule="auto"/>
              <w:jc w:val="center"/>
              <w:rPr>
                <w:rFonts w:ascii="Arial" w:eastAsia="Times New Roman" w:hAnsi="Arial" w:cs="Arial"/>
                <w:sz w:val="18"/>
                <w:szCs w:val="18"/>
                <w:lang w:eastAsia="pt-BR"/>
              </w:rPr>
            </w:pPr>
            <w:r w:rsidRPr="00C94065">
              <w:rPr>
                <w:rFonts w:ascii="Arial" w:eastAsia="Arial" w:hAnsi="Arial" w:cs="Arial"/>
                <w:sz w:val="18"/>
              </w:rPr>
              <w:t>NOT</w:t>
            </w:r>
            <w:r w:rsidR="00C94065" w:rsidRPr="00C94065">
              <w:rPr>
                <w:rFonts w:ascii="Arial" w:eastAsia="Arial" w:hAnsi="Arial" w:cs="Arial"/>
                <w:sz w:val="18"/>
              </w:rPr>
              <w:t>A</w:t>
            </w:r>
            <w:r w:rsidRPr="00C94065">
              <w:rPr>
                <w:rFonts w:ascii="Arial" w:eastAsia="Arial" w:hAnsi="Arial" w:cs="Arial"/>
                <w:sz w:val="18"/>
              </w:rPr>
              <w:t>EXP</w:t>
            </w:r>
          </w:p>
        </w:tc>
        <w:tc>
          <w:tcPr>
            <w:tcW w:w="7224" w:type="dxa"/>
            <w:shd w:val="clear" w:color="auto" w:fill="auto"/>
            <w:vAlign w:val="center"/>
          </w:tcPr>
          <w:p w14:paraId="3B18A4AD" w14:textId="77777777" w:rsidR="00C94065" w:rsidRPr="00C94065" w:rsidRDefault="00C94065" w:rsidP="00C94065">
            <w:pPr>
              <w:pStyle w:val="TableParagraph"/>
              <w:spacing w:before="120" w:after="120"/>
              <w:ind w:left="102" w:right="111"/>
              <w:jc w:val="both"/>
              <w:rPr>
                <w:rFonts w:ascii="Arial" w:hAnsi="Arial" w:cs="Arial"/>
                <w:sz w:val="18"/>
                <w:szCs w:val="18"/>
                <w:lang w:val="pt-BR"/>
              </w:rPr>
            </w:pPr>
            <w:r w:rsidRPr="00C94065">
              <w:rPr>
                <w:rFonts w:ascii="Arial" w:hAnsi="Arial" w:cs="Arial"/>
                <w:sz w:val="18"/>
                <w:szCs w:val="18"/>
                <w:lang w:val="pt-BR"/>
              </w:rPr>
              <w:t>Notas Explicativas às Demonstrações Contábeis, conforme layout constante do item 3.1 deste Anexo, contendo:</w:t>
            </w:r>
          </w:p>
          <w:p w14:paraId="3B725F2F" w14:textId="77777777" w:rsidR="00C94065" w:rsidRPr="00C94065" w:rsidRDefault="00C94065" w:rsidP="005C719B">
            <w:pPr>
              <w:pStyle w:val="PargrafodaLista"/>
              <w:numPr>
                <w:ilvl w:val="0"/>
                <w:numId w:val="35"/>
              </w:numPr>
              <w:spacing w:before="120" w:after="120" w:line="240" w:lineRule="auto"/>
              <w:ind w:left="822"/>
              <w:contextualSpacing w:val="0"/>
              <w:jc w:val="both"/>
              <w:rPr>
                <w:rFonts w:ascii="Arial" w:hAnsi="Arial" w:cs="Arial"/>
                <w:sz w:val="18"/>
                <w:szCs w:val="18"/>
              </w:rPr>
            </w:pPr>
            <w:r w:rsidRPr="00C94065">
              <w:rPr>
                <w:rFonts w:ascii="Arial" w:hAnsi="Arial" w:cs="Arial"/>
                <w:sz w:val="18"/>
                <w:szCs w:val="18"/>
              </w:rPr>
              <w:t>Informações gerais da entidade: natureza jurídica, natureza das operações, atividades desempenhadas, lei de instituição, conforme o caso, e declaração de conformidade com leis e normas de contabilidade aplicáveis;</w:t>
            </w:r>
          </w:p>
          <w:p w14:paraId="2DBA5BDA" w14:textId="77777777" w:rsidR="00C94065" w:rsidRPr="00C94065" w:rsidRDefault="00C94065" w:rsidP="005C719B">
            <w:pPr>
              <w:pStyle w:val="PargrafodaLista"/>
              <w:numPr>
                <w:ilvl w:val="0"/>
                <w:numId w:val="35"/>
              </w:numPr>
              <w:spacing w:before="120" w:after="120" w:line="240" w:lineRule="auto"/>
              <w:ind w:left="822"/>
              <w:contextualSpacing w:val="0"/>
              <w:jc w:val="both"/>
              <w:rPr>
                <w:rFonts w:ascii="Arial" w:hAnsi="Arial" w:cs="Arial"/>
                <w:sz w:val="18"/>
                <w:szCs w:val="18"/>
              </w:rPr>
            </w:pPr>
            <w:r w:rsidRPr="00C94065">
              <w:rPr>
                <w:rFonts w:ascii="Arial" w:hAnsi="Arial" w:cs="Arial"/>
                <w:sz w:val="18"/>
                <w:szCs w:val="18"/>
              </w:rPr>
              <w:t>Resumo das Políticas Contábeis relevantes: base de mensuração utilizada, adoção de novas políticas contábeis;</w:t>
            </w:r>
          </w:p>
          <w:p w14:paraId="61628280" w14:textId="77777777" w:rsidR="00C94065" w:rsidRPr="00C94065" w:rsidRDefault="00C94065" w:rsidP="005C719B">
            <w:pPr>
              <w:pStyle w:val="PargrafodaLista"/>
              <w:numPr>
                <w:ilvl w:val="0"/>
                <w:numId w:val="35"/>
              </w:numPr>
              <w:spacing w:before="120" w:after="120" w:line="240" w:lineRule="auto"/>
              <w:ind w:left="822"/>
              <w:contextualSpacing w:val="0"/>
              <w:jc w:val="both"/>
              <w:rPr>
                <w:rFonts w:ascii="Arial" w:hAnsi="Arial" w:cs="Arial"/>
                <w:sz w:val="18"/>
                <w:szCs w:val="18"/>
              </w:rPr>
            </w:pPr>
            <w:r w:rsidRPr="00C94065">
              <w:rPr>
                <w:rFonts w:ascii="Arial" w:hAnsi="Arial" w:cs="Arial"/>
                <w:sz w:val="18"/>
                <w:szCs w:val="18"/>
              </w:rPr>
              <w:t>Detalhamento de informações relevantes contidas nos Demonstrativos Contábeis;</w:t>
            </w:r>
          </w:p>
          <w:p w14:paraId="63DB0446" w14:textId="1B354D35" w:rsidR="001E1DFC" w:rsidRPr="00C94065" w:rsidRDefault="00C94065" w:rsidP="00C94065">
            <w:pPr>
              <w:spacing w:before="120" w:after="120" w:line="240" w:lineRule="auto"/>
              <w:jc w:val="both"/>
              <w:rPr>
                <w:rFonts w:ascii="Arial" w:eastAsia="Times New Roman" w:hAnsi="Arial" w:cs="Arial"/>
                <w:sz w:val="18"/>
                <w:szCs w:val="18"/>
                <w:lang w:eastAsia="pt-BR"/>
              </w:rPr>
            </w:pPr>
            <w:r w:rsidRPr="00C94065">
              <w:rPr>
                <w:rFonts w:ascii="Arial" w:hAnsi="Arial" w:cs="Arial"/>
                <w:sz w:val="18"/>
                <w:szCs w:val="18"/>
              </w:rPr>
              <w:t>Demais informações relevantes: passivos contingentes e compromissos contratuais não reconhecidos; ajustes decorrentes de erros, etc.</w:t>
            </w:r>
          </w:p>
        </w:tc>
        <w:tc>
          <w:tcPr>
            <w:tcW w:w="993" w:type="dxa"/>
            <w:shd w:val="clear" w:color="auto" w:fill="auto"/>
            <w:vAlign w:val="center"/>
          </w:tcPr>
          <w:p w14:paraId="643FD17C" w14:textId="44F6D5CB" w:rsidR="001E1DFC" w:rsidRPr="00C94065" w:rsidRDefault="00C94065" w:rsidP="00DD49C9">
            <w:pPr>
              <w:spacing w:after="0" w:line="240" w:lineRule="auto"/>
              <w:jc w:val="center"/>
              <w:rPr>
                <w:rFonts w:ascii="Arial" w:eastAsia="Times New Roman" w:hAnsi="Arial" w:cs="Arial"/>
                <w:sz w:val="14"/>
                <w:szCs w:val="14"/>
                <w:lang w:eastAsia="pt-BR"/>
              </w:rPr>
            </w:pPr>
            <w:r w:rsidRPr="00C94065">
              <w:rPr>
                <w:rFonts w:ascii="Arial" w:eastAsia="Times New Roman" w:hAnsi="Arial" w:cs="Arial"/>
                <w:sz w:val="14"/>
                <w:szCs w:val="14"/>
                <w:lang w:eastAsia="pt-BR"/>
              </w:rPr>
              <w:t>XML</w:t>
            </w:r>
          </w:p>
        </w:tc>
        <w:tc>
          <w:tcPr>
            <w:tcW w:w="1134" w:type="dxa"/>
            <w:vAlign w:val="center"/>
          </w:tcPr>
          <w:p w14:paraId="7F547D00" w14:textId="77777777" w:rsidR="001E1DFC" w:rsidRPr="00C94065" w:rsidRDefault="001E1DFC" w:rsidP="00DD49C9">
            <w:pPr>
              <w:spacing w:after="0" w:line="240" w:lineRule="auto"/>
              <w:jc w:val="center"/>
              <w:rPr>
                <w:rFonts w:ascii="Arial" w:eastAsia="Times New Roman" w:hAnsi="Arial" w:cs="Arial"/>
                <w:sz w:val="14"/>
                <w:szCs w:val="14"/>
                <w:lang w:eastAsia="pt-BR"/>
              </w:rPr>
            </w:pPr>
          </w:p>
        </w:tc>
        <w:tc>
          <w:tcPr>
            <w:tcW w:w="1134" w:type="dxa"/>
            <w:vAlign w:val="center"/>
          </w:tcPr>
          <w:p w14:paraId="674C6BF9" w14:textId="77777777" w:rsidR="001E1DFC" w:rsidRPr="00C94065" w:rsidRDefault="001E1DFC" w:rsidP="00DD49C9">
            <w:pPr>
              <w:spacing w:after="0" w:line="240" w:lineRule="auto"/>
              <w:jc w:val="center"/>
              <w:rPr>
                <w:rFonts w:ascii="Arial" w:eastAsia="Times New Roman" w:hAnsi="Arial" w:cs="Arial"/>
                <w:sz w:val="14"/>
                <w:szCs w:val="14"/>
                <w:lang w:eastAsia="pt-BR"/>
              </w:rPr>
            </w:pPr>
          </w:p>
        </w:tc>
        <w:tc>
          <w:tcPr>
            <w:tcW w:w="992" w:type="dxa"/>
            <w:vAlign w:val="center"/>
          </w:tcPr>
          <w:p w14:paraId="79D71CC6" w14:textId="77777777" w:rsidR="001E1DFC" w:rsidRPr="00C94065" w:rsidRDefault="001E1DFC" w:rsidP="00DD49C9">
            <w:pPr>
              <w:spacing w:after="0" w:line="240" w:lineRule="auto"/>
              <w:jc w:val="center"/>
              <w:rPr>
                <w:rFonts w:ascii="Arial" w:eastAsia="Times New Roman" w:hAnsi="Arial" w:cs="Arial"/>
                <w:sz w:val="14"/>
                <w:szCs w:val="14"/>
                <w:lang w:eastAsia="pt-BR"/>
              </w:rPr>
            </w:pPr>
            <w:r w:rsidRPr="00C94065">
              <w:rPr>
                <w:rFonts w:ascii="Arial" w:eastAsia="Times New Roman" w:hAnsi="Arial" w:cs="Arial"/>
                <w:sz w:val="14"/>
                <w:szCs w:val="14"/>
                <w:lang w:eastAsia="pt-BR"/>
              </w:rPr>
              <w:t>X</w:t>
            </w:r>
          </w:p>
        </w:tc>
        <w:tc>
          <w:tcPr>
            <w:tcW w:w="1134" w:type="dxa"/>
            <w:vAlign w:val="center"/>
          </w:tcPr>
          <w:p w14:paraId="4C77D8A8" w14:textId="77777777" w:rsidR="001E1DFC" w:rsidRPr="00C94065" w:rsidRDefault="001E1DFC" w:rsidP="00DD49C9">
            <w:pPr>
              <w:spacing w:after="0" w:line="240" w:lineRule="auto"/>
              <w:jc w:val="center"/>
              <w:rPr>
                <w:rFonts w:ascii="Arial" w:eastAsia="Times New Roman" w:hAnsi="Arial" w:cs="Arial"/>
                <w:sz w:val="14"/>
                <w:szCs w:val="14"/>
                <w:lang w:eastAsia="pt-BR"/>
              </w:rPr>
            </w:pPr>
            <w:r w:rsidRPr="00C94065">
              <w:rPr>
                <w:rFonts w:ascii="Arial" w:eastAsia="Times New Roman" w:hAnsi="Arial" w:cs="Arial"/>
                <w:sz w:val="14"/>
                <w:szCs w:val="14"/>
                <w:lang w:eastAsia="pt-BR"/>
              </w:rPr>
              <w:t>X</w:t>
            </w:r>
          </w:p>
        </w:tc>
      </w:tr>
      <w:tr w:rsidR="00211FAB" w:rsidRPr="00242BA2" w14:paraId="4DA97033" w14:textId="77777777" w:rsidTr="007D64A9">
        <w:trPr>
          <w:trHeight w:val="907"/>
        </w:trPr>
        <w:tc>
          <w:tcPr>
            <w:tcW w:w="1276" w:type="dxa"/>
            <w:vAlign w:val="center"/>
          </w:tcPr>
          <w:p w14:paraId="49CEFE8B" w14:textId="77777777" w:rsidR="00211FAB" w:rsidRPr="003B4337" w:rsidRDefault="00211FAB" w:rsidP="00211FAB">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NEXDEM</w:t>
            </w:r>
          </w:p>
        </w:tc>
        <w:tc>
          <w:tcPr>
            <w:tcW w:w="7224" w:type="dxa"/>
            <w:shd w:val="clear" w:color="auto" w:fill="auto"/>
            <w:vAlign w:val="center"/>
          </w:tcPr>
          <w:p w14:paraId="25080978" w14:textId="77777777" w:rsidR="00211FAB" w:rsidRPr="003B4337" w:rsidRDefault="00211FAB" w:rsidP="00211FAB">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Notas Explicativas às Demonstrações Financeiras, contendo as informações que couberem à situação da empresa (artigo 176, §§4º e 5º da Lei 6.404/76).</w:t>
            </w:r>
          </w:p>
        </w:tc>
        <w:tc>
          <w:tcPr>
            <w:tcW w:w="993" w:type="dxa"/>
            <w:shd w:val="clear" w:color="auto" w:fill="auto"/>
            <w:vAlign w:val="center"/>
          </w:tcPr>
          <w:p w14:paraId="405FF472" w14:textId="77777777" w:rsidR="00211FAB" w:rsidRPr="003B4337" w:rsidRDefault="00211FAB" w:rsidP="00211FAB">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c>
          <w:tcPr>
            <w:tcW w:w="1134" w:type="dxa"/>
            <w:vAlign w:val="center"/>
          </w:tcPr>
          <w:p w14:paraId="3C318791" w14:textId="77777777" w:rsidR="00211FAB" w:rsidRPr="00CB55B0" w:rsidRDefault="00211FAB" w:rsidP="00211FAB">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1134" w:type="dxa"/>
            <w:vAlign w:val="center"/>
          </w:tcPr>
          <w:p w14:paraId="532A8A76" w14:textId="77777777" w:rsidR="00211FAB" w:rsidRPr="00CB55B0" w:rsidRDefault="00211FAB" w:rsidP="00211FAB">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vAlign w:val="center"/>
          </w:tcPr>
          <w:p w14:paraId="220EA0F8" w14:textId="77777777" w:rsidR="00211FAB" w:rsidRPr="00CB55B0" w:rsidRDefault="00211FAB" w:rsidP="00211FAB">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1134" w:type="dxa"/>
            <w:vAlign w:val="center"/>
          </w:tcPr>
          <w:p w14:paraId="2642043D" w14:textId="77777777" w:rsidR="00211FAB" w:rsidRPr="00CB55B0" w:rsidRDefault="00211FAB" w:rsidP="00211FAB">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r>
      <w:tr w:rsidR="00211FAB" w:rsidRPr="00242BA2" w14:paraId="5F0D7AB4" w14:textId="77777777" w:rsidTr="007D64A9">
        <w:trPr>
          <w:trHeight w:val="907"/>
        </w:trPr>
        <w:tc>
          <w:tcPr>
            <w:tcW w:w="1276" w:type="dxa"/>
            <w:vAlign w:val="center"/>
          </w:tcPr>
          <w:p w14:paraId="78423EC6" w14:textId="77777777" w:rsidR="00211FAB" w:rsidRPr="003B4337" w:rsidRDefault="00211FAB" w:rsidP="00211FAB">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lastRenderedPageBreak/>
              <w:t>AGOCON</w:t>
            </w:r>
          </w:p>
        </w:tc>
        <w:tc>
          <w:tcPr>
            <w:tcW w:w="7224" w:type="dxa"/>
            <w:shd w:val="clear" w:color="auto" w:fill="auto"/>
            <w:vAlign w:val="center"/>
          </w:tcPr>
          <w:p w14:paraId="206F2180" w14:textId="77777777" w:rsidR="00211FAB" w:rsidRPr="003B4337" w:rsidRDefault="00211FAB" w:rsidP="00211FAB">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Ata da Assembleia Geral Ordinária ou Ata do órgão competente que deliberou sobre as contas dos administradores e votou as demonstrações financeiras do exercício (§5º do art. 134 da Lei 6404/76): </w:t>
            </w:r>
          </w:p>
          <w:p w14:paraId="6264F0CF" w14:textId="77777777" w:rsidR="00211FAB" w:rsidRPr="003B4337" w:rsidRDefault="00211FAB" w:rsidP="00211FAB">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Observações: </w:t>
            </w:r>
          </w:p>
          <w:p w14:paraId="55770FB6" w14:textId="77777777" w:rsidR="00211FAB" w:rsidRPr="003B4337" w:rsidRDefault="00211FAB" w:rsidP="00211FAB">
            <w:pPr>
              <w:pStyle w:val="PargrafodaLista"/>
              <w:numPr>
                <w:ilvl w:val="0"/>
                <w:numId w:val="7"/>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No caso de Sociedade Anônima: a cópia da Ata da Assembleia Geral Ordinária deverá ser encaminhada, com prova de registro na JUCEES (§ 5º do art. 134 da Lei 6.404/76);</w:t>
            </w:r>
          </w:p>
          <w:p w14:paraId="53A2A324" w14:textId="77777777" w:rsidR="00211FAB" w:rsidRPr="003B4337" w:rsidRDefault="00211FAB" w:rsidP="00211FAB">
            <w:pPr>
              <w:pStyle w:val="PargrafodaLista"/>
              <w:numPr>
                <w:ilvl w:val="0"/>
                <w:numId w:val="7"/>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No caso de pessoas jurídicas em liquidação, caso o processo não tenha se encerrado antes de 31/12 do exercício a que se refere a prestação de contas, a Assembleia Geral Ordinária a que se refere este item deve abordar as contas do liquidante (art. 213 da Lei 6.404/76).</w:t>
            </w:r>
          </w:p>
        </w:tc>
        <w:tc>
          <w:tcPr>
            <w:tcW w:w="993" w:type="dxa"/>
            <w:shd w:val="clear" w:color="auto" w:fill="auto"/>
            <w:vAlign w:val="center"/>
          </w:tcPr>
          <w:p w14:paraId="215976BE" w14:textId="77777777" w:rsidR="00211FAB" w:rsidRPr="003B4337" w:rsidRDefault="00211FAB" w:rsidP="00211FAB">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c>
          <w:tcPr>
            <w:tcW w:w="1134" w:type="dxa"/>
            <w:vAlign w:val="center"/>
          </w:tcPr>
          <w:p w14:paraId="002D28A0" w14:textId="77777777" w:rsidR="00211FAB" w:rsidRPr="00CB55B0" w:rsidRDefault="00211FAB" w:rsidP="00211FAB">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1134" w:type="dxa"/>
            <w:vAlign w:val="center"/>
          </w:tcPr>
          <w:p w14:paraId="5F7C2E2E" w14:textId="77777777" w:rsidR="00211FAB" w:rsidRPr="00CB55B0" w:rsidRDefault="00211FAB" w:rsidP="00211FAB">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vAlign w:val="center"/>
          </w:tcPr>
          <w:p w14:paraId="3A04936C" w14:textId="77777777" w:rsidR="00211FAB" w:rsidRPr="00CB55B0" w:rsidRDefault="00211FAB" w:rsidP="00211FAB">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1134" w:type="dxa"/>
            <w:vAlign w:val="center"/>
          </w:tcPr>
          <w:p w14:paraId="5C986FFF" w14:textId="77777777" w:rsidR="00211FAB" w:rsidRPr="00CB55B0" w:rsidRDefault="00211FAB" w:rsidP="00211FAB">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r>
      <w:tr w:rsidR="008228F7" w:rsidRPr="008228F7" w14:paraId="6A921816" w14:textId="77777777" w:rsidTr="007D64A9">
        <w:tc>
          <w:tcPr>
            <w:tcW w:w="1276" w:type="dxa"/>
            <w:vAlign w:val="center"/>
          </w:tcPr>
          <w:p w14:paraId="232928E7" w14:textId="77777777" w:rsidR="008228F7" w:rsidRPr="008228F7" w:rsidRDefault="008228F7" w:rsidP="008228F7">
            <w:pPr>
              <w:spacing w:after="0" w:line="240" w:lineRule="auto"/>
              <w:jc w:val="center"/>
              <w:rPr>
                <w:rFonts w:ascii="Arial" w:eastAsia="Times New Roman" w:hAnsi="Arial" w:cs="Arial"/>
                <w:sz w:val="18"/>
                <w:szCs w:val="18"/>
                <w:lang w:eastAsia="pt-BR"/>
              </w:rPr>
            </w:pPr>
            <w:r w:rsidRPr="008228F7">
              <w:rPr>
                <w:rFonts w:ascii="Arial" w:eastAsia="Times New Roman" w:hAnsi="Arial" w:cs="Arial"/>
                <w:sz w:val="18"/>
                <w:szCs w:val="18"/>
                <w:lang w:eastAsia="pt-BR"/>
              </w:rPr>
              <w:t>PARAUD</w:t>
            </w:r>
          </w:p>
        </w:tc>
        <w:tc>
          <w:tcPr>
            <w:tcW w:w="7224" w:type="dxa"/>
            <w:shd w:val="clear" w:color="auto" w:fill="auto"/>
            <w:vAlign w:val="center"/>
          </w:tcPr>
          <w:p w14:paraId="7D12F3C4" w14:textId="77777777" w:rsidR="008228F7" w:rsidRPr="008228F7" w:rsidRDefault="008228F7" w:rsidP="008228F7">
            <w:pPr>
              <w:spacing w:before="120" w:after="120" w:line="240" w:lineRule="auto"/>
              <w:jc w:val="both"/>
              <w:rPr>
                <w:rFonts w:ascii="Arial" w:eastAsia="Times New Roman" w:hAnsi="Arial" w:cs="Arial"/>
                <w:sz w:val="18"/>
                <w:szCs w:val="18"/>
                <w:lang w:eastAsia="pt-BR"/>
              </w:rPr>
            </w:pPr>
            <w:r w:rsidRPr="008228F7">
              <w:rPr>
                <w:rFonts w:ascii="Arial" w:eastAsia="Times New Roman" w:hAnsi="Arial" w:cs="Arial"/>
                <w:sz w:val="18"/>
                <w:szCs w:val="18"/>
                <w:lang w:eastAsia="pt-BR"/>
              </w:rPr>
              <w:t xml:space="preserve">Parecer dos Auditores Independentes, se houver, sobre o relatório anual da Administração e o exame das demonstrações financeiras do exercício social (Inciso III do art. 133 da Lei 6.404/76). </w:t>
            </w:r>
          </w:p>
        </w:tc>
        <w:tc>
          <w:tcPr>
            <w:tcW w:w="993" w:type="dxa"/>
            <w:shd w:val="clear" w:color="auto" w:fill="auto"/>
            <w:vAlign w:val="center"/>
          </w:tcPr>
          <w:p w14:paraId="5B1E9BD7" w14:textId="77777777" w:rsidR="008228F7" w:rsidRPr="008228F7" w:rsidRDefault="008228F7" w:rsidP="008228F7">
            <w:pPr>
              <w:spacing w:after="0" w:line="240" w:lineRule="auto"/>
              <w:jc w:val="center"/>
              <w:rPr>
                <w:rFonts w:ascii="Arial" w:eastAsia="Times New Roman" w:hAnsi="Arial" w:cs="Arial"/>
                <w:sz w:val="14"/>
                <w:szCs w:val="14"/>
                <w:lang w:eastAsia="pt-BR"/>
              </w:rPr>
            </w:pPr>
            <w:r w:rsidRPr="008228F7">
              <w:rPr>
                <w:rFonts w:ascii="Arial" w:eastAsia="Times New Roman" w:hAnsi="Arial" w:cs="Arial"/>
                <w:sz w:val="14"/>
                <w:szCs w:val="14"/>
                <w:lang w:eastAsia="pt-BR"/>
              </w:rPr>
              <w:t>PDF</w:t>
            </w:r>
          </w:p>
        </w:tc>
        <w:tc>
          <w:tcPr>
            <w:tcW w:w="1134" w:type="dxa"/>
            <w:vAlign w:val="center"/>
          </w:tcPr>
          <w:p w14:paraId="404D67D7"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1134" w:type="dxa"/>
            <w:vAlign w:val="center"/>
          </w:tcPr>
          <w:p w14:paraId="749569AF"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vAlign w:val="center"/>
          </w:tcPr>
          <w:p w14:paraId="230462D3"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1134" w:type="dxa"/>
            <w:vAlign w:val="center"/>
          </w:tcPr>
          <w:p w14:paraId="7A50030E"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r>
      <w:tr w:rsidR="008228F7" w:rsidRPr="00A5490A" w14:paraId="421FE88C" w14:textId="77777777" w:rsidTr="007D64A9">
        <w:tc>
          <w:tcPr>
            <w:tcW w:w="1276" w:type="dxa"/>
            <w:vAlign w:val="center"/>
          </w:tcPr>
          <w:p w14:paraId="01B2E255" w14:textId="77777777" w:rsidR="008228F7" w:rsidRPr="003B4337" w:rsidRDefault="008228F7" w:rsidP="008228F7">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RELIND</w:t>
            </w:r>
          </w:p>
        </w:tc>
        <w:tc>
          <w:tcPr>
            <w:tcW w:w="7224" w:type="dxa"/>
            <w:shd w:val="clear" w:color="auto" w:fill="auto"/>
            <w:vAlign w:val="center"/>
          </w:tcPr>
          <w:p w14:paraId="46A17E4B" w14:textId="77777777" w:rsidR="008228F7" w:rsidRPr="003B4337" w:rsidRDefault="008228F7" w:rsidP="008228F7">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Relatório Circunstanciado da Auditoria Independente, se houver contrato para este serviço no exercício. </w:t>
            </w:r>
          </w:p>
        </w:tc>
        <w:tc>
          <w:tcPr>
            <w:tcW w:w="993" w:type="dxa"/>
            <w:shd w:val="clear" w:color="auto" w:fill="auto"/>
            <w:vAlign w:val="center"/>
          </w:tcPr>
          <w:p w14:paraId="3C76CB8E" w14:textId="77777777" w:rsidR="008228F7" w:rsidRPr="003B4337" w:rsidRDefault="008228F7" w:rsidP="008228F7">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c>
          <w:tcPr>
            <w:tcW w:w="1134" w:type="dxa"/>
            <w:vAlign w:val="center"/>
          </w:tcPr>
          <w:p w14:paraId="346BDBEE"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1134" w:type="dxa"/>
            <w:vAlign w:val="center"/>
          </w:tcPr>
          <w:p w14:paraId="28E10F08"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vAlign w:val="center"/>
          </w:tcPr>
          <w:p w14:paraId="5D0A6A04"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1134" w:type="dxa"/>
            <w:vAlign w:val="center"/>
          </w:tcPr>
          <w:p w14:paraId="7391F98F"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r>
      <w:tr w:rsidR="008228F7" w:rsidRPr="00A5490A" w14:paraId="30C74036" w14:textId="77777777" w:rsidTr="007D64A9">
        <w:tc>
          <w:tcPr>
            <w:tcW w:w="1276" w:type="dxa"/>
            <w:vAlign w:val="center"/>
          </w:tcPr>
          <w:p w14:paraId="5D29179A" w14:textId="77777777" w:rsidR="008228F7" w:rsidRPr="003B4337" w:rsidRDefault="008228F7" w:rsidP="008228F7">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PARCOF</w:t>
            </w:r>
          </w:p>
        </w:tc>
        <w:tc>
          <w:tcPr>
            <w:tcW w:w="7224" w:type="dxa"/>
            <w:shd w:val="clear" w:color="auto" w:fill="auto"/>
            <w:vAlign w:val="center"/>
          </w:tcPr>
          <w:p w14:paraId="0C7B597F" w14:textId="77777777" w:rsidR="008228F7" w:rsidRPr="003B4337" w:rsidRDefault="008228F7" w:rsidP="008228F7">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Parecer do Conselho Fiscal, caso esteja constituído, sobre o Relatório Anual da Administração e o exame das Demonstrações Financeiras do exercício social (Inciso IV do artigo 133 e art. 240 da Lei 6.404/76). </w:t>
            </w:r>
          </w:p>
        </w:tc>
        <w:tc>
          <w:tcPr>
            <w:tcW w:w="993" w:type="dxa"/>
            <w:shd w:val="clear" w:color="auto" w:fill="auto"/>
            <w:vAlign w:val="center"/>
          </w:tcPr>
          <w:p w14:paraId="73251BD9" w14:textId="77777777" w:rsidR="008228F7" w:rsidRPr="003B4337" w:rsidRDefault="008228F7" w:rsidP="008228F7">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c>
          <w:tcPr>
            <w:tcW w:w="1134" w:type="dxa"/>
            <w:vAlign w:val="center"/>
          </w:tcPr>
          <w:p w14:paraId="71AA554E"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1134" w:type="dxa"/>
            <w:vAlign w:val="center"/>
          </w:tcPr>
          <w:p w14:paraId="2E978CBF"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vAlign w:val="center"/>
          </w:tcPr>
          <w:p w14:paraId="06FF3529"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1134" w:type="dxa"/>
            <w:vAlign w:val="center"/>
          </w:tcPr>
          <w:p w14:paraId="07A71B19"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r>
      <w:tr w:rsidR="008228F7" w:rsidRPr="00A5490A" w14:paraId="2326CF34" w14:textId="77777777" w:rsidTr="007D64A9">
        <w:tc>
          <w:tcPr>
            <w:tcW w:w="1276" w:type="dxa"/>
            <w:vAlign w:val="center"/>
          </w:tcPr>
          <w:p w14:paraId="66F71EF2" w14:textId="77777777" w:rsidR="008228F7" w:rsidRPr="003B4337" w:rsidRDefault="008228F7" w:rsidP="008228F7">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PARCAD</w:t>
            </w:r>
          </w:p>
        </w:tc>
        <w:tc>
          <w:tcPr>
            <w:tcW w:w="7224" w:type="dxa"/>
            <w:shd w:val="clear" w:color="auto" w:fill="auto"/>
            <w:vAlign w:val="center"/>
          </w:tcPr>
          <w:p w14:paraId="316B271F" w14:textId="77777777" w:rsidR="008228F7" w:rsidRPr="003B4337" w:rsidRDefault="008228F7" w:rsidP="008228F7">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Parecer do Conselho de Administração ou “Órgão Deliberativo” equivalente, se houver, sobre o Relatório Anual da Administração e o exame das Demonstrações Financeiras do exercício social (§2º do artigo 138 e art. 239 da Lei 6.404/76). </w:t>
            </w:r>
          </w:p>
        </w:tc>
        <w:tc>
          <w:tcPr>
            <w:tcW w:w="993" w:type="dxa"/>
            <w:shd w:val="clear" w:color="auto" w:fill="auto"/>
            <w:vAlign w:val="center"/>
          </w:tcPr>
          <w:p w14:paraId="76C897BE" w14:textId="77777777" w:rsidR="008228F7" w:rsidRPr="003B4337" w:rsidRDefault="008228F7" w:rsidP="008228F7">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c>
          <w:tcPr>
            <w:tcW w:w="1134" w:type="dxa"/>
            <w:vAlign w:val="center"/>
          </w:tcPr>
          <w:p w14:paraId="087238CE"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1134" w:type="dxa"/>
            <w:vAlign w:val="center"/>
          </w:tcPr>
          <w:p w14:paraId="20F9F627"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vAlign w:val="center"/>
          </w:tcPr>
          <w:p w14:paraId="3064FC4D"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1134" w:type="dxa"/>
            <w:vAlign w:val="center"/>
          </w:tcPr>
          <w:p w14:paraId="2D2FF06A"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r>
      <w:tr w:rsidR="008228F7" w:rsidRPr="00A5490A" w14:paraId="23654E53" w14:textId="77777777" w:rsidTr="007D64A9">
        <w:tc>
          <w:tcPr>
            <w:tcW w:w="1276" w:type="dxa"/>
            <w:vAlign w:val="center"/>
          </w:tcPr>
          <w:p w14:paraId="22E7B650" w14:textId="77777777" w:rsidR="008228F7" w:rsidRPr="003B4337" w:rsidRDefault="008228F7" w:rsidP="008228F7">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PUBLRA</w:t>
            </w:r>
          </w:p>
        </w:tc>
        <w:tc>
          <w:tcPr>
            <w:tcW w:w="7224" w:type="dxa"/>
            <w:shd w:val="clear" w:color="auto" w:fill="auto"/>
            <w:vAlign w:val="center"/>
          </w:tcPr>
          <w:p w14:paraId="2E49EC49" w14:textId="77777777" w:rsidR="008228F7" w:rsidRPr="003B4337" w:rsidRDefault="008228F7" w:rsidP="008228F7">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Cópia da publicação do Relatório da Administração (Inciso I do art. 133 da Lei 6.404/76). </w:t>
            </w:r>
          </w:p>
          <w:p w14:paraId="64FA8276" w14:textId="77777777" w:rsidR="008228F7" w:rsidRPr="003B4337" w:rsidRDefault="008228F7" w:rsidP="008228F7">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Observação: </w:t>
            </w:r>
          </w:p>
          <w:p w14:paraId="796BCFD1" w14:textId="77777777" w:rsidR="008228F7" w:rsidRPr="003B4337" w:rsidRDefault="008228F7" w:rsidP="008228F7">
            <w:pPr>
              <w:pStyle w:val="PargrafodaLista"/>
              <w:numPr>
                <w:ilvl w:val="0"/>
                <w:numId w:val="7"/>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Exceção: companhias fechadas que tiverem menos de vinte acionistas, com patrimônio líquido inferior a R$ 1.000.000,00 (um milhão de reais) na data do balanço, desde que essas não sejam controladoras de grupos de sociedades ou a elas filiadas (Inciso II do art. 294 da Lei 6.404/76). </w:t>
            </w:r>
          </w:p>
        </w:tc>
        <w:tc>
          <w:tcPr>
            <w:tcW w:w="993" w:type="dxa"/>
            <w:shd w:val="clear" w:color="auto" w:fill="auto"/>
            <w:vAlign w:val="center"/>
          </w:tcPr>
          <w:p w14:paraId="381074CB" w14:textId="77777777" w:rsidR="008228F7" w:rsidRPr="003B4337" w:rsidRDefault="008228F7" w:rsidP="008228F7">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c>
          <w:tcPr>
            <w:tcW w:w="1134" w:type="dxa"/>
            <w:vAlign w:val="center"/>
          </w:tcPr>
          <w:p w14:paraId="6A5D70ED"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1134" w:type="dxa"/>
            <w:vAlign w:val="center"/>
          </w:tcPr>
          <w:p w14:paraId="1DC2247E"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vAlign w:val="center"/>
          </w:tcPr>
          <w:p w14:paraId="3BFEBAEF"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1134" w:type="dxa"/>
            <w:vAlign w:val="center"/>
          </w:tcPr>
          <w:p w14:paraId="36562F67"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r>
      <w:tr w:rsidR="008228F7" w:rsidRPr="00A5490A" w14:paraId="596B01C1" w14:textId="77777777" w:rsidTr="007D64A9">
        <w:tc>
          <w:tcPr>
            <w:tcW w:w="1276" w:type="dxa"/>
            <w:vAlign w:val="center"/>
          </w:tcPr>
          <w:p w14:paraId="007A79B5" w14:textId="77777777" w:rsidR="008228F7" w:rsidRPr="003B4337" w:rsidRDefault="008228F7" w:rsidP="008228F7">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lastRenderedPageBreak/>
              <w:t>PUBLDF</w:t>
            </w:r>
          </w:p>
        </w:tc>
        <w:tc>
          <w:tcPr>
            <w:tcW w:w="7224" w:type="dxa"/>
            <w:shd w:val="clear" w:color="auto" w:fill="auto"/>
            <w:vAlign w:val="center"/>
          </w:tcPr>
          <w:p w14:paraId="759BC707" w14:textId="77777777" w:rsidR="008228F7" w:rsidRPr="003B4337" w:rsidRDefault="008228F7" w:rsidP="008228F7">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Cópia da publicação das Demonstrações Financeiras do exercício, contendo o Parecer dos Auditores Independentes e dos Conselhos Fiscal e de Administração, caso existam (Inciso II do art. 133 da Lei 6.404/76). </w:t>
            </w:r>
          </w:p>
          <w:p w14:paraId="742F532C" w14:textId="77777777" w:rsidR="008228F7" w:rsidRPr="003B4337" w:rsidRDefault="008228F7" w:rsidP="008228F7">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Observação: </w:t>
            </w:r>
          </w:p>
          <w:p w14:paraId="5696BF7C" w14:textId="77777777" w:rsidR="008228F7" w:rsidRPr="003B4337" w:rsidRDefault="008228F7" w:rsidP="008228F7">
            <w:pPr>
              <w:pStyle w:val="PargrafodaLista"/>
              <w:numPr>
                <w:ilvl w:val="0"/>
                <w:numId w:val="7"/>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Exceção: Companhias fechadas que tiverem menos de vinte acionistas, com patrimônio líquido inferior a R$ 1.000.000,00 (um milhão de reais) na data do balanço, desde que essas não sejam controladoras de grupos de sociedades ou a elas filiadas (Inciso II do art. 294 da Lei 6.404/76). </w:t>
            </w:r>
          </w:p>
        </w:tc>
        <w:tc>
          <w:tcPr>
            <w:tcW w:w="993" w:type="dxa"/>
            <w:shd w:val="clear" w:color="auto" w:fill="auto"/>
            <w:vAlign w:val="center"/>
          </w:tcPr>
          <w:p w14:paraId="703CE5AA" w14:textId="77777777" w:rsidR="008228F7" w:rsidRPr="003B4337" w:rsidRDefault="008228F7" w:rsidP="008228F7">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c>
          <w:tcPr>
            <w:tcW w:w="1134" w:type="dxa"/>
            <w:vAlign w:val="center"/>
          </w:tcPr>
          <w:p w14:paraId="6B43A0FE"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1134" w:type="dxa"/>
            <w:vAlign w:val="center"/>
          </w:tcPr>
          <w:p w14:paraId="1C842264"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vAlign w:val="center"/>
          </w:tcPr>
          <w:p w14:paraId="14282262"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1134" w:type="dxa"/>
            <w:vAlign w:val="center"/>
          </w:tcPr>
          <w:p w14:paraId="62BBCB16"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r>
      <w:tr w:rsidR="008228F7" w:rsidRPr="00A5490A" w14:paraId="38DE2753" w14:textId="77777777" w:rsidTr="007D64A9">
        <w:tc>
          <w:tcPr>
            <w:tcW w:w="1276" w:type="dxa"/>
            <w:vAlign w:val="center"/>
          </w:tcPr>
          <w:p w14:paraId="792F1F21" w14:textId="77777777" w:rsidR="008228F7" w:rsidRPr="003B4337" w:rsidRDefault="008228F7" w:rsidP="008228F7">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PUBLAG</w:t>
            </w:r>
          </w:p>
        </w:tc>
        <w:tc>
          <w:tcPr>
            <w:tcW w:w="7224" w:type="dxa"/>
            <w:shd w:val="clear" w:color="auto" w:fill="auto"/>
            <w:vAlign w:val="center"/>
          </w:tcPr>
          <w:p w14:paraId="1FCA22E9" w14:textId="77777777" w:rsidR="008228F7" w:rsidRPr="003B4337" w:rsidRDefault="008228F7" w:rsidP="008228F7">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Cópia da publicação da Ata da Assembleia Geral Ordinária, que deliberou sobre as contas do exercício, no caso de Sociedade Anônima (§ 5º do art. 134 da lei 6.404/76).</w:t>
            </w:r>
            <w:r w:rsidRPr="003B4337">
              <w:rPr>
                <w:sz w:val="16"/>
                <w:szCs w:val="16"/>
              </w:rPr>
              <w:t xml:space="preserve"> </w:t>
            </w:r>
          </w:p>
        </w:tc>
        <w:tc>
          <w:tcPr>
            <w:tcW w:w="993" w:type="dxa"/>
            <w:shd w:val="clear" w:color="auto" w:fill="auto"/>
            <w:vAlign w:val="center"/>
          </w:tcPr>
          <w:p w14:paraId="28AA0A1B" w14:textId="77777777" w:rsidR="008228F7" w:rsidRPr="003B4337" w:rsidRDefault="008228F7" w:rsidP="008228F7">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c>
          <w:tcPr>
            <w:tcW w:w="1134" w:type="dxa"/>
            <w:vAlign w:val="center"/>
          </w:tcPr>
          <w:p w14:paraId="1E526FE6"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1134" w:type="dxa"/>
            <w:vAlign w:val="center"/>
          </w:tcPr>
          <w:p w14:paraId="5B9B85F9"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vAlign w:val="center"/>
          </w:tcPr>
          <w:p w14:paraId="786F7CDE"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1134" w:type="dxa"/>
            <w:vAlign w:val="center"/>
          </w:tcPr>
          <w:p w14:paraId="68164190"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r>
      <w:tr w:rsidR="008228F7" w:rsidRPr="00A5490A" w14:paraId="5CE0B2EB" w14:textId="77777777" w:rsidTr="007D64A9">
        <w:tc>
          <w:tcPr>
            <w:tcW w:w="1276" w:type="dxa"/>
            <w:vAlign w:val="center"/>
          </w:tcPr>
          <w:p w14:paraId="3D977837" w14:textId="77777777" w:rsidR="008228F7" w:rsidRPr="003B4337" w:rsidRDefault="008228F7" w:rsidP="008228F7">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INVMOVS</w:t>
            </w:r>
          </w:p>
        </w:tc>
        <w:tc>
          <w:tcPr>
            <w:tcW w:w="7224" w:type="dxa"/>
            <w:shd w:val="clear" w:color="auto" w:fill="auto"/>
            <w:vAlign w:val="center"/>
          </w:tcPr>
          <w:p w14:paraId="76EBA062" w14:textId="77777777" w:rsidR="008228F7" w:rsidRPr="003B4337" w:rsidRDefault="008228F7" w:rsidP="008228F7">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Inventário anual dos bens móveis, contendo no mínimo as seguintes informações: </w:t>
            </w:r>
          </w:p>
          <w:p w14:paraId="4874B79A" w14:textId="77777777" w:rsidR="008228F7" w:rsidRPr="003B4337" w:rsidRDefault="008228F7" w:rsidP="008228F7">
            <w:pPr>
              <w:numPr>
                <w:ilvl w:val="0"/>
                <w:numId w:val="1"/>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Número de patrimônio </w:t>
            </w:r>
          </w:p>
          <w:p w14:paraId="40B46D48" w14:textId="77777777" w:rsidR="008228F7" w:rsidRPr="003B4337" w:rsidRDefault="008228F7" w:rsidP="008228F7">
            <w:pPr>
              <w:numPr>
                <w:ilvl w:val="0"/>
                <w:numId w:val="1"/>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Descrição do bem </w:t>
            </w:r>
          </w:p>
          <w:p w14:paraId="64D130EE" w14:textId="77777777" w:rsidR="008228F7" w:rsidRPr="003B4337" w:rsidRDefault="008228F7" w:rsidP="008228F7">
            <w:pPr>
              <w:numPr>
                <w:ilvl w:val="0"/>
                <w:numId w:val="1"/>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Data de aquisição/incorporação </w:t>
            </w:r>
          </w:p>
          <w:p w14:paraId="484F0921" w14:textId="77777777" w:rsidR="008228F7" w:rsidRPr="003B4337" w:rsidRDefault="008228F7" w:rsidP="008228F7">
            <w:pPr>
              <w:numPr>
                <w:ilvl w:val="0"/>
                <w:numId w:val="1"/>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Localização </w:t>
            </w:r>
          </w:p>
          <w:p w14:paraId="1B1E1BB2" w14:textId="77777777" w:rsidR="008228F7" w:rsidRPr="003B4337" w:rsidRDefault="008228F7" w:rsidP="008228F7">
            <w:pPr>
              <w:numPr>
                <w:ilvl w:val="0"/>
                <w:numId w:val="1"/>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Quantidade </w:t>
            </w:r>
          </w:p>
          <w:p w14:paraId="6D1933EF" w14:textId="77777777" w:rsidR="008228F7" w:rsidRPr="003B4337" w:rsidRDefault="008228F7" w:rsidP="008228F7">
            <w:pPr>
              <w:numPr>
                <w:ilvl w:val="0"/>
                <w:numId w:val="1"/>
              </w:numPr>
              <w:spacing w:before="120" w:after="120" w:line="240" w:lineRule="auto"/>
              <w:jc w:val="both"/>
              <w:rPr>
                <w:rFonts w:eastAsia="Times New Roman"/>
                <w:sz w:val="18"/>
                <w:szCs w:val="18"/>
                <w:lang w:eastAsia="pt-BR"/>
              </w:rPr>
            </w:pPr>
            <w:r w:rsidRPr="003B4337">
              <w:rPr>
                <w:rFonts w:ascii="Arial" w:eastAsia="Times New Roman" w:hAnsi="Arial" w:cs="Arial"/>
                <w:sz w:val="18"/>
                <w:szCs w:val="18"/>
                <w:lang w:eastAsia="pt-BR"/>
              </w:rPr>
              <w:t>Valor</w:t>
            </w:r>
            <w:r w:rsidRPr="003B4337">
              <w:rPr>
                <w:rFonts w:eastAsia="Times New Roman"/>
                <w:sz w:val="18"/>
                <w:szCs w:val="18"/>
                <w:lang w:eastAsia="pt-BR"/>
              </w:rPr>
              <w:t xml:space="preserve"> </w:t>
            </w:r>
            <w:r w:rsidRPr="003B4337">
              <w:rPr>
                <w:rFonts w:ascii="Arial" w:eastAsia="Times New Roman" w:hAnsi="Arial" w:cs="Arial"/>
                <w:sz w:val="18"/>
                <w:szCs w:val="18"/>
                <w:lang w:eastAsia="pt-BR"/>
              </w:rPr>
              <w:t>histórico e atualizado.</w:t>
            </w:r>
          </w:p>
          <w:p w14:paraId="7AEA4178" w14:textId="77777777" w:rsidR="008228F7" w:rsidRPr="003B4337" w:rsidRDefault="008228F7" w:rsidP="008228F7">
            <w:pPr>
              <w:pStyle w:val="Default"/>
              <w:jc w:val="both"/>
              <w:rPr>
                <w:rFonts w:eastAsia="Times New Roman"/>
                <w:color w:val="auto"/>
                <w:sz w:val="18"/>
                <w:szCs w:val="18"/>
                <w:lang w:eastAsia="pt-BR"/>
              </w:rPr>
            </w:pPr>
            <w:r w:rsidRPr="003B4337">
              <w:rPr>
                <w:rFonts w:eastAsia="Times New Roman"/>
                <w:color w:val="auto"/>
                <w:sz w:val="18"/>
                <w:szCs w:val="18"/>
                <w:lang w:eastAsia="pt-BR"/>
              </w:rPr>
              <w:t>Observações:</w:t>
            </w:r>
          </w:p>
          <w:p w14:paraId="07DE9D4C" w14:textId="77777777" w:rsidR="008228F7" w:rsidRPr="003B4337" w:rsidRDefault="008228F7" w:rsidP="008228F7">
            <w:pPr>
              <w:pStyle w:val="PargrafodaLista"/>
              <w:numPr>
                <w:ilvl w:val="0"/>
                <w:numId w:val="1"/>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A coluna valor deve ser totalizada.</w:t>
            </w:r>
          </w:p>
          <w:p w14:paraId="0245141A" w14:textId="77777777" w:rsidR="008228F7" w:rsidRPr="003B4337" w:rsidRDefault="008228F7" w:rsidP="008228F7">
            <w:pPr>
              <w:pStyle w:val="PargrafodaLista"/>
              <w:spacing w:before="120" w:after="120" w:line="240" w:lineRule="auto"/>
              <w:jc w:val="both"/>
              <w:rPr>
                <w:rFonts w:ascii="Arial" w:eastAsia="Times New Roman" w:hAnsi="Arial" w:cs="Arial"/>
                <w:sz w:val="18"/>
                <w:szCs w:val="18"/>
                <w:lang w:eastAsia="pt-BR"/>
              </w:rPr>
            </w:pPr>
          </w:p>
          <w:p w14:paraId="2F20D25C" w14:textId="77777777" w:rsidR="008228F7" w:rsidRPr="003B4337" w:rsidRDefault="008228F7" w:rsidP="008228F7">
            <w:pPr>
              <w:pStyle w:val="Default"/>
              <w:numPr>
                <w:ilvl w:val="0"/>
                <w:numId w:val="1"/>
              </w:numPr>
              <w:jc w:val="both"/>
              <w:rPr>
                <w:rFonts w:eastAsia="Times New Roman"/>
                <w:color w:val="auto"/>
                <w:sz w:val="18"/>
                <w:szCs w:val="18"/>
                <w:lang w:eastAsia="pt-BR"/>
              </w:rPr>
            </w:pPr>
            <w:r w:rsidRPr="003B4337">
              <w:rPr>
                <w:rFonts w:eastAsia="Times New Roman"/>
                <w:color w:val="auto"/>
                <w:sz w:val="18"/>
                <w:szCs w:val="18"/>
                <w:lang w:eastAsia="pt-BR"/>
              </w:rPr>
              <w:t>A Pessoa Jurídica em liquidação que não tenha concluído o processo no exercício a que se refere a prestação de contas deve apresentar este inventário, caso ainda existam saldos contábeis relativos a bens móveis registrados no balanço.</w:t>
            </w:r>
          </w:p>
        </w:tc>
        <w:tc>
          <w:tcPr>
            <w:tcW w:w="993" w:type="dxa"/>
            <w:shd w:val="clear" w:color="auto" w:fill="auto"/>
            <w:vAlign w:val="center"/>
          </w:tcPr>
          <w:p w14:paraId="1932CDA5" w14:textId="77777777" w:rsidR="008228F7" w:rsidRPr="003B4337" w:rsidRDefault="008228F7" w:rsidP="008228F7">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p w14:paraId="4D080297" w14:textId="77777777" w:rsidR="008228F7" w:rsidRPr="003B4337" w:rsidRDefault="008228F7" w:rsidP="008228F7">
            <w:pPr>
              <w:spacing w:after="0" w:line="240" w:lineRule="auto"/>
              <w:jc w:val="center"/>
              <w:rPr>
                <w:rFonts w:ascii="Arial" w:eastAsia="Times New Roman" w:hAnsi="Arial" w:cs="Arial"/>
                <w:sz w:val="14"/>
                <w:szCs w:val="14"/>
                <w:highlight w:val="yellow"/>
                <w:lang w:eastAsia="pt-BR"/>
              </w:rPr>
            </w:pPr>
            <w:r w:rsidRPr="003B4337">
              <w:rPr>
                <w:rFonts w:ascii="Arial" w:eastAsia="Times New Roman" w:hAnsi="Arial" w:cs="Arial"/>
                <w:sz w:val="14"/>
                <w:szCs w:val="14"/>
                <w:lang w:eastAsia="pt-BR"/>
              </w:rPr>
              <w:t>e</w:t>
            </w:r>
            <w:r w:rsidRPr="003B4337">
              <w:rPr>
                <w:rFonts w:ascii="Arial" w:eastAsia="Times New Roman" w:hAnsi="Arial" w:cs="Arial"/>
                <w:sz w:val="14"/>
                <w:szCs w:val="14"/>
                <w:highlight w:val="yellow"/>
                <w:lang w:eastAsia="pt-BR"/>
              </w:rPr>
              <w:t xml:space="preserve"> </w:t>
            </w:r>
          </w:p>
          <w:p w14:paraId="475837EB" w14:textId="77777777" w:rsidR="008228F7" w:rsidRPr="003B4337" w:rsidRDefault="008228F7" w:rsidP="008228F7">
            <w:pPr>
              <w:spacing w:after="0" w:line="240" w:lineRule="auto"/>
              <w:jc w:val="center"/>
              <w:rPr>
                <w:rFonts w:ascii="Arial" w:eastAsia="Times New Roman" w:hAnsi="Arial" w:cs="Arial"/>
                <w:sz w:val="14"/>
                <w:szCs w:val="14"/>
                <w:lang w:eastAsia="pt-BR"/>
              </w:rPr>
            </w:pPr>
            <w:r w:rsidRPr="003B4337">
              <w:rPr>
                <w:rFonts w:ascii="Arial" w:eastAsia="Times New Roman" w:hAnsi="Arial" w:cs="Arial"/>
                <w:sz w:val="14"/>
                <w:szCs w:val="14"/>
                <w:lang w:eastAsia="pt-BR"/>
              </w:rPr>
              <w:t>XLS/XLSX/ODS</w:t>
            </w:r>
          </w:p>
        </w:tc>
        <w:tc>
          <w:tcPr>
            <w:tcW w:w="1134" w:type="dxa"/>
            <w:vAlign w:val="center"/>
          </w:tcPr>
          <w:p w14:paraId="1E65FCC7"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1134" w:type="dxa"/>
            <w:vAlign w:val="center"/>
          </w:tcPr>
          <w:p w14:paraId="499F1FEE"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vAlign w:val="center"/>
          </w:tcPr>
          <w:p w14:paraId="7898CBCB"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1134" w:type="dxa"/>
            <w:vAlign w:val="center"/>
          </w:tcPr>
          <w:p w14:paraId="18CF1EE3"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r>
      <w:tr w:rsidR="008228F7" w:rsidRPr="008444D5" w14:paraId="19F5C863" w14:textId="77777777" w:rsidTr="007D64A9">
        <w:tc>
          <w:tcPr>
            <w:tcW w:w="1276" w:type="dxa"/>
            <w:tcBorders>
              <w:top w:val="single" w:sz="4" w:space="0" w:color="auto"/>
              <w:left w:val="single" w:sz="4" w:space="0" w:color="auto"/>
              <w:bottom w:val="single" w:sz="4" w:space="0" w:color="auto"/>
              <w:right w:val="single" w:sz="4" w:space="0" w:color="auto"/>
            </w:tcBorders>
            <w:vAlign w:val="center"/>
          </w:tcPr>
          <w:p w14:paraId="333CD403" w14:textId="77777777" w:rsidR="008228F7" w:rsidRPr="003B4337" w:rsidRDefault="008228F7" w:rsidP="008228F7">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TERMOV</w:t>
            </w:r>
          </w:p>
        </w:tc>
        <w:tc>
          <w:tcPr>
            <w:tcW w:w="7224" w:type="dxa"/>
            <w:tcBorders>
              <w:top w:val="single" w:sz="4" w:space="0" w:color="auto"/>
              <w:left w:val="single" w:sz="4" w:space="0" w:color="auto"/>
              <w:bottom w:val="single" w:sz="4" w:space="0" w:color="auto"/>
              <w:right w:val="single" w:sz="4" w:space="0" w:color="auto"/>
            </w:tcBorders>
            <w:shd w:val="clear" w:color="auto" w:fill="auto"/>
            <w:vAlign w:val="center"/>
          </w:tcPr>
          <w:p w14:paraId="3F9E4D7C" w14:textId="6B72C9F9" w:rsidR="008228F7" w:rsidRPr="003B4337" w:rsidRDefault="008228F7" w:rsidP="008228F7">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Termo circunstanciado elaborado e assinado pela comissão responsável pelo Inventário Anual de Bens Móveis (INVMOVS), indicando o saldo total apurado e o detalhamento (especificação e valor) das divergências encontradas</w:t>
            </w:r>
            <w:r>
              <w:rPr>
                <w:rFonts w:ascii="Arial" w:eastAsia="Times New Roman" w:hAnsi="Arial" w:cs="Arial"/>
                <w:sz w:val="18"/>
                <w:szCs w:val="18"/>
                <w:lang w:eastAsia="pt-BR"/>
              </w:rPr>
              <w:t xml:space="preserve">, na forma </w:t>
            </w:r>
            <w:r w:rsidR="005B7128" w:rsidRPr="005B7128">
              <w:rPr>
                <w:rFonts w:ascii="Arial" w:eastAsia="Times New Roman" w:hAnsi="Arial" w:cs="Arial"/>
                <w:sz w:val="18"/>
                <w:szCs w:val="18"/>
                <w:lang w:eastAsia="pt-BR"/>
              </w:rPr>
              <w:t>do item 3.2 deste Anexo.</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70F5215" w14:textId="77777777" w:rsidR="008228F7" w:rsidRPr="003B4337" w:rsidRDefault="008228F7" w:rsidP="008228F7">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c>
          <w:tcPr>
            <w:tcW w:w="1134" w:type="dxa"/>
            <w:tcBorders>
              <w:top w:val="single" w:sz="4" w:space="0" w:color="auto"/>
              <w:left w:val="single" w:sz="4" w:space="0" w:color="auto"/>
              <w:bottom w:val="single" w:sz="4" w:space="0" w:color="auto"/>
              <w:right w:val="single" w:sz="4" w:space="0" w:color="auto"/>
            </w:tcBorders>
            <w:vAlign w:val="center"/>
          </w:tcPr>
          <w:p w14:paraId="61CCC6C5"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1134" w:type="dxa"/>
            <w:tcBorders>
              <w:top w:val="single" w:sz="4" w:space="0" w:color="auto"/>
              <w:left w:val="single" w:sz="4" w:space="0" w:color="auto"/>
              <w:bottom w:val="single" w:sz="4" w:space="0" w:color="auto"/>
              <w:right w:val="single" w:sz="4" w:space="0" w:color="auto"/>
            </w:tcBorders>
            <w:vAlign w:val="center"/>
          </w:tcPr>
          <w:p w14:paraId="07F256ED"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tcBorders>
              <w:top w:val="single" w:sz="4" w:space="0" w:color="auto"/>
              <w:left w:val="single" w:sz="4" w:space="0" w:color="auto"/>
              <w:bottom w:val="single" w:sz="4" w:space="0" w:color="auto"/>
              <w:right w:val="single" w:sz="4" w:space="0" w:color="auto"/>
            </w:tcBorders>
            <w:vAlign w:val="center"/>
          </w:tcPr>
          <w:p w14:paraId="76FD7007"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1134" w:type="dxa"/>
            <w:tcBorders>
              <w:top w:val="single" w:sz="4" w:space="0" w:color="auto"/>
              <w:left w:val="single" w:sz="4" w:space="0" w:color="auto"/>
              <w:bottom w:val="single" w:sz="4" w:space="0" w:color="auto"/>
              <w:right w:val="single" w:sz="4" w:space="0" w:color="auto"/>
            </w:tcBorders>
            <w:vAlign w:val="center"/>
          </w:tcPr>
          <w:p w14:paraId="73BFA3A4"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r>
      <w:tr w:rsidR="008228F7" w:rsidRPr="00A5490A" w14:paraId="41A71FA5" w14:textId="77777777" w:rsidTr="007D64A9">
        <w:tc>
          <w:tcPr>
            <w:tcW w:w="1276" w:type="dxa"/>
            <w:vAlign w:val="center"/>
          </w:tcPr>
          <w:p w14:paraId="693457D9" w14:textId="77777777" w:rsidR="008228F7" w:rsidRPr="003B4337" w:rsidRDefault="008228F7" w:rsidP="008228F7">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INVIMOS</w:t>
            </w:r>
          </w:p>
        </w:tc>
        <w:tc>
          <w:tcPr>
            <w:tcW w:w="7224" w:type="dxa"/>
            <w:shd w:val="clear" w:color="auto" w:fill="auto"/>
            <w:vAlign w:val="center"/>
          </w:tcPr>
          <w:p w14:paraId="181B01C4" w14:textId="77777777" w:rsidR="008228F7" w:rsidRPr="003B4337" w:rsidRDefault="008228F7" w:rsidP="008228F7">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Inventário anual dos bens imóveis, contendo no mínimo as seguintes informações: </w:t>
            </w:r>
          </w:p>
          <w:p w14:paraId="5F1F7F30" w14:textId="77777777" w:rsidR="008228F7" w:rsidRPr="003B4337" w:rsidRDefault="008228F7" w:rsidP="008228F7">
            <w:pPr>
              <w:numPr>
                <w:ilvl w:val="0"/>
                <w:numId w:val="1"/>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lastRenderedPageBreak/>
              <w:t xml:space="preserve">Relação dos imóveis que integram o patrimônio pessoa jurídica. </w:t>
            </w:r>
          </w:p>
          <w:p w14:paraId="565F3D1C" w14:textId="77777777" w:rsidR="008228F7" w:rsidRPr="003B4337" w:rsidRDefault="008228F7" w:rsidP="008228F7">
            <w:pPr>
              <w:numPr>
                <w:ilvl w:val="0"/>
                <w:numId w:val="1"/>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Caracterização do imóvel (número de registro, conforme certidão de matrícula ou certidão de ônus reais obtida no cartório de registro de imóveis; localização; área; estado de conservação; benfeitorias existentes; demais características) </w:t>
            </w:r>
          </w:p>
          <w:p w14:paraId="1EB851DC" w14:textId="77777777" w:rsidR="008228F7" w:rsidRPr="003B4337" w:rsidRDefault="008228F7" w:rsidP="008228F7">
            <w:pPr>
              <w:numPr>
                <w:ilvl w:val="0"/>
                <w:numId w:val="1"/>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Data de aquisição/construção ou incorporação </w:t>
            </w:r>
          </w:p>
          <w:p w14:paraId="202933F9" w14:textId="77777777" w:rsidR="008228F7" w:rsidRPr="003B4337" w:rsidRDefault="008228F7" w:rsidP="008228F7">
            <w:pPr>
              <w:numPr>
                <w:ilvl w:val="0"/>
                <w:numId w:val="1"/>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Valor histórico e atualizado</w:t>
            </w:r>
          </w:p>
          <w:p w14:paraId="67BBA322" w14:textId="77777777" w:rsidR="008228F7" w:rsidRPr="003B4337" w:rsidRDefault="008228F7" w:rsidP="008228F7">
            <w:pPr>
              <w:pStyle w:val="Default"/>
              <w:jc w:val="both"/>
              <w:rPr>
                <w:rFonts w:eastAsia="Times New Roman"/>
                <w:color w:val="auto"/>
                <w:sz w:val="18"/>
                <w:szCs w:val="18"/>
                <w:lang w:eastAsia="pt-BR"/>
              </w:rPr>
            </w:pPr>
            <w:r w:rsidRPr="003B4337">
              <w:rPr>
                <w:rFonts w:eastAsia="Times New Roman"/>
                <w:color w:val="auto"/>
                <w:sz w:val="18"/>
                <w:szCs w:val="18"/>
                <w:lang w:eastAsia="pt-BR"/>
              </w:rPr>
              <w:t>Observações:</w:t>
            </w:r>
          </w:p>
          <w:p w14:paraId="246E3ABA" w14:textId="77777777" w:rsidR="008228F7" w:rsidRPr="003B4337" w:rsidRDefault="008228F7" w:rsidP="008228F7">
            <w:pPr>
              <w:pStyle w:val="Default"/>
              <w:jc w:val="both"/>
              <w:rPr>
                <w:rFonts w:eastAsia="Times New Roman"/>
                <w:color w:val="auto"/>
                <w:sz w:val="18"/>
                <w:szCs w:val="18"/>
                <w:lang w:eastAsia="pt-BR"/>
              </w:rPr>
            </w:pPr>
          </w:p>
          <w:p w14:paraId="33CFB036" w14:textId="77777777" w:rsidR="008228F7" w:rsidRPr="003B4337" w:rsidRDefault="008228F7" w:rsidP="008228F7">
            <w:pPr>
              <w:pStyle w:val="Default"/>
              <w:numPr>
                <w:ilvl w:val="0"/>
                <w:numId w:val="20"/>
              </w:numPr>
              <w:jc w:val="both"/>
              <w:rPr>
                <w:rFonts w:eastAsia="Times New Roman"/>
                <w:color w:val="auto"/>
                <w:sz w:val="18"/>
                <w:szCs w:val="18"/>
                <w:lang w:eastAsia="pt-BR"/>
              </w:rPr>
            </w:pPr>
            <w:r w:rsidRPr="003B4337">
              <w:rPr>
                <w:rFonts w:eastAsia="Times New Roman"/>
                <w:color w:val="auto"/>
                <w:sz w:val="18"/>
                <w:szCs w:val="18"/>
                <w:lang w:eastAsia="pt-BR"/>
              </w:rPr>
              <w:t>Imóveis que são utilizados pela pessoa jurídica, mas que não integram o seu patrimônio devem ser informados separadamente;</w:t>
            </w:r>
          </w:p>
          <w:p w14:paraId="41A7DBC3" w14:textId="77777777" w:rsidR="008228F7" w:rsidRPr="003B4337" w:rsidRDefault="008228F7" w:rsidP="008228F7">
            <w:pPr>
              <w:pStyle w:val="Default"/>
              <w:ind w:left="720"/>
              <w:jc w:val="both"/>
              <w:rPr>
                <w:rFonts w:eastAsia="Times New Roman"/>
                <w:color w:val="auto"/>
                <w:sz w:val="18"/>
                <w:szCs w:val="18"/>
                <w:lang w:eastAsia="pt-BR"/>
              </w:rPr>
            </w:pPr>
          </w:p>
          <w:p w14:paraId="5FA6A101" w14:textId="77777777" w:rsidR="008228F7" w:rsidRPr="003B4337" w:rsidRDefault="008228F7" w:rsidP="008228F7">
            <w:pPr>
              <w:pStyle w:val="Default"/>
              <w:numPr>
                <w:ilvl w:val="0"/>
                <w:numId w:val="20"/>
              </w:numPr>
              <w:jc w:val="both"/>
              <w:rPr>
                <w:rFonts w:eastAsia="Times New Roman"/>
                <w:color w:val="auto"/>
                <w:sz w:val="18"/>
                <w:szCs w:val="18"/>
                <w:lang w:eastAsia="pt-BR"/>
              </w:rPr>
            </w:pPr>
            <w:r w:rsidRPr="003B4337">
              <w:rPr>
                <w:rFonts w:eastAsia="Times New Roman"/>
                <w:color w:val="auto"/>
                <w:sz w:val="18"/>
                <w:szCs w:val="18"/>
                <w:lang w:eastAsia="pt-BR"/>
              </w:rPr>
              <w:t>A coluna valor deve ser totalizada;</w:t>
            </w:r>
          </w:p>
          <w:p w14:paraId="167B830D" w14:textId="77777777" w:rsidR="008228F7" w:rsidRPr="003B4337" w:rsidRDefault="008228F7" w:rsidP="008228F7">
            <w:pPr>
              <w:pStyle w:val="Default"/>
              <w:jc w:val="both"/>
              <w:rPr>
                <w:rFonts w:eastAsia="Times New Roman"/>
                <w:color w:val="auto"/>
                <w:sz w:val="18"/>
                <w:szCs w:val="18"/>
                <w:lang w:eastAsia="pt-BR"/>
              </w:rPr>
            </w:pPr>
          </w:p>
          <w:p w14:paraId="1B5F3B7A" w14:textId="77777777" w:rsidR="008228F7" w:rsidRPr="003B4337" w:rsidRDefault="008228F7" w:rsidP="008228F7">
            <w:pPr>
              <w:pStyle w:val="Default"/>
              <w:numPr>
                <w:ilvl w:val="0"/>
                <w:numId w:val="20"/>
              </w:numPr>
              <w:jc w:val="both"/>
              <w:rPr>
                <w:rFonts w:eastAsia="Times New Roman"/>
                <w:color w:val="auto"/>
                <w:sz w:val="18"/>
                <w:szCs w:val="18"/>
                <w:lang w:eastAsia="pt-BR"/>
              </w:rPr>
            </w:pPr>
            <w:r w:rsidRPr="003B4337">
              <w:rPr>
                <w:rFonts w:eastAsia="Times New Roman"/>
                <w:color w:val="auto"/>
                <w:sz w:val="18"/>
                <w:szCs w:val="18"/>
                <w:lang w:eastAsia="pt-BR"/>
              </w:rPr>
              <w:t>A Pessoa Jurídica em liquidação que não tenha concluído o processo no exercício a que se refere a prestação de contas deve apresentar este inventário, caso ainda existam saldos contábeis relativos a bens imóveis registrados no balanço.</w:t>
            </w:r>
          </w:p>
          <w:p w14:paraId="2F79822D" w14:textId="77777777" w:rsidR="008228F7" w:rsidRPr="003B4337" w:rsidRDefault="008228F7" w:rsidP="008228F7">
            <w:pPr>
              <w:pStyle w:val="Default"/>
              <w:jc w:val="both"/>
              <w:rPr>
                <w:rFonts w:eastAsia="Times New Roman"/>
                <w:color w:val="auto"/>
                <w:sz w:val="18"/>
                <w:szCs w:val="18"/>
                <w:lang w:eastAsia="pt-BR"/>
              </w:rPr>
            </w:pPr>
          </w:p>
        </w:tc>
        <w:tc>
          <w:tcPr>
            <w:tcW w:w="993" w:type="dxa"/>
            <w:shd w:val="clear" w:color="auto" w:fill="auto"/>
            <w:vAlign w:val="center"/>
          </w:tcPr>
          <w:p w14:paraId="6383BD6E" w14:textId="77777777" w:rsidR="008228F7" w:rsidRPr="003B4337" w:rsidRDefault="008228F7" w:rsidP="008228F7">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lastRenderedPageBreak/>
              <w:t>PDF</w:t>
            </w:r>
          </w:p>
          <w:p w14:paraId="500710EF" w14:textId="77777777" w:rsidR="008228F7" w:rsidRPr="003B4337" w:rsidRDefault="008228F7" w:rsidP="008228F7">
            <w:pPr>
              <w:spacing w:after="0" w:line="240" w:lineRule="auto"/>
              <w:jc w:val="center"/>
              <w:rPr>
                <w:rFonts w:ascii="Arial" w:eastAsia="Times New Roman" w:hAnsi="Arial" w:cs="Arial"/>
                <w:sz w:val="14"/>
                <w:szCs w:val="14"/>
                <w:highlight w:val="yellow"/>
                <w:lang w:eastAsia="pt-BR"/>
              </w:rPr>
            </w:pPr>
            <w:r w:rsidRPr="003B4337">
              <w:rPr>
                <w:rFonts w:ascii="Arial" w:eastAsia="Times New Roman" w:hAnsi="Arial" w:cs="Arial"/>
                <w:sz w:val="14"/>
                <w:szCs w:val="14"/>
                <w:lang w:eastAsia="pt-BR"/>
              </w:rPr>
              <w:t>e</w:t>
            </w:r>
            <w:r w:rsidRPr="003B4337">
              <w:rPr>
                <w:rFonts w:ascii="Arial" w:eastAsia="Times New Roman" w:hAnsi="Arial" w:cs="Arial"/>
                <w:sz w:val="14"/>
                <w:szCs w:val="14"/>
                <w:highlight w:val="yellow"/>
                <w:lang w:eastAsia="pt-BR"/>
              </w:rPr>
              <w:t xml:space="preserve"> </w:t>
            </w:r>
          </w:p>
          <w:p w14:paraId="3A2170D9" w14:textId="77777777" w:rsidR="008228F7" w:rsidRPr="003B4337" w:rsidRDefault="008228F7" w:rsidP="008228F7">
            <w:pPr>
              <w:spacing w:after="0" w:line="240" w:lineRule="auto"/>
              <w:jc w:val="center"/>
              <w:rPr>
                <w:rFonts w:ascii="Arial" w:eastAsia="Times New Roman" w:hAnsi="Arial" w:cs="Arial"/>
                <w:sz w:val="14"/>
                <w:szCs w:val="14"/>
                <w:lang w:eastAsia="pt-BR"/>
              </w:rPr>
            </w:pPr>
            <w:r w:rsidRPr="003B4337">
              <w:rPr>
                <w:rFonts w:ascii="Arial" w:eastAsia="Times New Roman" w:hAnsi="Arial" w:cs="Arial"/>
                <w:sz w:val="14"/>
                <w:szCs w:val="14"/>
                <w:lang w:eastAsia="pt-BR"/>
              </w:rPr>
              <w:lastRenderedPageBreak/>
              <w:t>XLS/XLSX/ODS</w:t>
            </w:r>
          </w:p>
        </w:tc>
        <w:tc>
          <w:tcPr>
            <w:tcW w:w="1134" w:type="dxa"/>
            <w:vAlign w:val="center"/>
          </w:tcPr>
          <w:p w14:paraId="2FF30E5F"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lastRenderedPageBreak/>
              <w:t>X</w:t>
            </w:r>
          </w:p>
        </w:tc>
        <w:tc>
          <w:tcPr>
            <w:tcW w:w="1134" w:type="dxa"/>
            <w:vAlign w:val="center"/>
          </w:tcPr>
          <w:p w14:paraId="1A7B2EAD"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vAlign w:val="center"/>
          </w:tcPr>
          <w:p w14:paraId="02BA665D"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1134" w:type="dxa"/>
            <w:vAlign w:val="center"/>
          </w:tcPr>
          <w:p w14:paraId="43F5A426"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r>
      <w:tr w:rsidR="008228F7" w:rsidRPr="008444D5" w14:paraId="3A024296" w14:textId="77777777" w:rsidTr="007D64A9">
        <w:tc>
          <w:tcPr>
            <w:tcW w:w="1276" w:type="dxa"/>
            <w:tcBorders>
              <w:top w:val="single" w:sz="4" w:space="0" w:color="auto"/>
              <w:left w:val="single" w:sz="4" w:space="0" w:color="auto"/>
              <w:bottom w:val="single" w:sz="4" w:space="0" w:color="auto"/>
              <w:right w:val="single" w:sz="4" w:space="0" w:color="auto"/>
            </w:tcBorders>
            <w:vAlign w:val="center"/>
          </w:tcPr>
          <w:p w14:paraId="4375E59E" w14:textId="77777777" w:rsidR="008228F7" w:rsidRPr="003B4337" w:rsidRDefault="008228F7" w:rsidP="008228F7">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lastRenderedPageBreak/>
              <w:t>TERIMO</w:t>
            </w:r>
          </w:p>
        </w:tc>
        <w:tc>
          <w:tcPr>
            <w:tcW w:w="7224" w:type="dxa"/>
            <w:tcBorders>
              <w:top w:val="single" w:sz="4" w:space="0" w:color="auto"/>
              <w:left w:val="single" w:sz="4" w:space="0" w:color="auto"/>
              <w:bottom w:val="single" w:sz="4" w:space="0" w:color="auto"/>
              <w:right w:val="single" w:sz="4" w:space="0" w:color="auto"/>
            </w:tcBorders>
            <w:shd w:val="clear" w:color="auto" w:fill="auto"/>
            <w:vAlign w:val="center"/>
          </w:tcPr>
          <w:p w14:paraId="1CF6AEB9" w14:textId="0B2F2036" w:rsidR="008228F7" w:rsidRPr="003B4337" w:rsidRDefault="008228F7" w:rsidP="008228F7">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Termo circunstanciado elaborado e assinado pela comissão responsável pelo Inventário anual dos bens imóveis (INVIMOS), indicando o saldo total apurado e o detalhamento (especificação e valor) das divergências encontradas</w:t>
            </w:r>
            <w:r>
              <w:rPr>
                <w:rFonts w:ascii="Arial" w:eastAsia="Times New Roman" w:hAnsi="Arial" w:cs="Arial"/>
                <w:sz w:val="18"/>
                <w:szCs w:val="18"/>
                <w:lang w:eastAsia="pt-BR"/>
              </w:rPr>
              <w:t xml:space="preserve">, na forma </w:t>
            </w:r>
            <w:r w:rsidR="005B7128" w:rsidRPr="005B7128">
              <w:rPr>
                <w:rFonts w:ascii="Arial" w:eastAsia="Times New Roman" w:hAnsi="Arial" w:cs="Arial"/>
                <w:sz w:val="18"/>
                <w:szCs w:val="18"/>
                <w:lang w:eastAsia="pt-BR"/>
              </w:rPr>
              <w:t>do item 3.2 deste Anexo.</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E99BE42" w14:textId="77777777" w:rsidR="008228F7" w:rsidRPr="003B4337" w:rsidRDefault="008228F7" w:rsidP="008228F7">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c>
          <w:tcPr>
            <w:tcW w:w="1134" w:type="dxa"/>
            <w:tcBorders>
              <w:top w:val="single" w:sz="4" w:space="0" w:color="auto"/>
              <w:left w:val="single" w:sz="4" w:space="0" w:color="auto"/>
              <w:bottom w:val="single" w:sz="4" w:space="0" w:color="auto"/>
              <w:right w:val="single" w:sz="4" w:space="0" w:color="auto"/>
            </w:tcBorders>
            <w:vAlign w:val="center"/>
          </w:tcPr>
          <w:p w14:paraId="2B24B5A8"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1134" w:type="dxa"/>
            <w:tcBorders>
              <w:top w:val="single" w:sz="4" w:space="0" w:color="auto"/>
              <w:left w:val="single" w:sz="4" w:space="0" w:color="auto"/>
              <w:bottom w:val="single" w:sz="4" w:space="0" w:color="auto"/>
              <w:right w:val="single" w:sz="4" w:space="0" w:color="auto"/>
            </w:tcBorders>
            <w:vAlign w:val="center"/>
          </w:tcPr>
          <w:p w14:paraId="3A59B30A"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tcBorders>
              <w:top w:val="single" w:sz="4" w:space="0" w:color="auto"/>
              <w:left w:val="single" w:sz="4" w:space="0" w:color="auto"/>
              <w:bottom w:val="single" w:sz="4" w:space="0" w:color="auto"/>
              <w:right w:val="single" w:sz="4" w:space="0" w:color="auto"/>
            </w:tcBorders>
            <w:vAlign w:val="center"/>
          </w:tcPr>
          <w:p w14:paraId="1E366BA3"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1134" w:type="dxa"/>
            <w:tcBorders>
              <w:top w:val="single" w:sz="4" w:space="0" w:color="auto"/>
              <w:left w:val="single" w:sz="4" w:space="0" w:color="auto"/>
              <w:bottom w:val="single" w:sz="4" w:space="0" w:color="auto"/>
              <w:right w:val="single" w:sz="4" w:space="0" w:color="auto"/>
            </w:tcBorders>
            <w:vAlign w:val="center"/>
          </w:tcPr>
          <w:p w14:paraId="28CC205C"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r>
      <w:tr w:rsidR="008228F7" w:rsidRPr="00A5490A" w14:paraId="6A80246A" w14:textId="77777777" w:rsidTr="007D64A9">
        <w:tc>
          <w:tcPr>
            <w:tcW w:w="1276" w:type="dxa"/>
            <w:vAlign w:val="center"/>
          </w:tcPr>
          <w:p w14:paraId="63CA7C15" w14:textId="77777777" w:rsidR="008228F7" w:rsidRPr="003B4337" w:rsidRDefault="008228F7" w:rsidP="008228F7">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INVALMO</w:t>
            </w:r>
          </w:p>
        </w:tc>
        <w:tc>
          <w:tcPr>
            <w:tcW w:w="7224" w:type="dxa"/>
            <w:shd w:val="clear" w:color="auto" w:fill="auto"/>
            <w:vAlign w:val="center"/>
          </w:tcPr>
          <w:p w14:paraId="6A072B89" w14:textId="77777777" w:rsidR="008228F7" w:rsidRPr="003B4337" w:rsidRDefault="008228F7" w:rsidP="008228F7">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Inventário anual dos bens em almoxarifado, contendo no mínimo as seguintes informações: </w:t>
            </w:r>
          </w:p>
          <w:p w14:paraId="301E14EA" w14:textId="77777777" w:rsidR="008228F7" w:rsidRPr="003B4337" w:rsidRDefault="008228F7" w:rsidP="008228F7">
            <w:pPr>
              <w:numPr>
                <w:ilvl w:val="0"/>
                <w:numId w:val="1"/>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Descrição dos bens </w:t>
            </w:r>
          </w:p>
          <w:p w14:paraId="0D152F4D" w14:textId="77777777" w:rsidR="008228F7" w:rsidRPr="003B4337" w:rsidRDefault="008228F7" w:rsidP="008228F7">
            <w:pPr>
              <w:numPr>
                <w:ilvl w:val="0"/>
                <w:numId w:val="1"/>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Quantidade </w:t>
            </w:r>
          </w:p>
          <w:p w14:paraId="00C44BBB" w14:textId="77777777" w:rsidR="008228F7" w:rsidRPr="003B4337" w:rsidRDefault="008228F7" w:rsidP="008228F7">
            <w:pPr>
              <w:numPr>
                <w:ilvl w:val="0"/>
                <w:numId w:val="1"/>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Valor unitário </w:t>
            </w:r>
          </w:p>
          <w:p w14:paraId="059A059A" w14:textId="77777777" w:rsidR="008228F7" w:rsidRPr="003B4337" w:rsidRDefault="008228F7" w:rsidP="008228F7">
            <w:pPr>
              <w:numPr>
                <w:ilvl w:val="0"/>
                <w:numId w:val="1"/>
              </w:numPr>
              <w:spacing w:before="120" w:after="120" w:line="240" w:lineRule="auto"/>
              <w:jc w:val="both"/>
              <w:rPr>
                <w:sz w:val="18"/>
                <w:szCs w:val="18"/>
              </w:rPr>
            </w:pPr>
            <w:r w:rsidRPr="003B4337">
              <w:rPr>
                <w:rFonts w:ascii="Arial" w:eastAsia="Times New Roman" w:hAnsi="Arial" w:cs="Arial"/>
                <w:sz w:val="18"/>
                <w:szCs w:val="18"/>
                <w:lang w:eastAsia="pt-BR"/>
              </w:rPr>
              <w:t>Valor total</w:t>
            </w:r>
            <w:r w:rsidRPr="003B4337">
              <w:rPr>
                <w:sz w:val="18"/>
                <w:szCs w:val="18"/>
              </w:rPr>
              <w:t xml:space="preserve"> </w:t>
            </w:r>
          </w:p>
          <w:p w14:paraId="00D58F0F" w14:textId="77777777" w:rsidR="008228F7" w:rsidRPr="003B4337" w:rsidRDefault="008228F7" w:rsidP="008228F7">
            <w:pPr>
              <w:pStyle w:val="Default"/>
              <w:jc w:val="both"/>
              <w:rPr>
                <w:rFonts w:eastAsia="Times New Roman"/>
                <w:color w:val="auto"/>
                <w:sz w:val="18"/>
                <w:szCs w:val="18"/>
                <w:lang w:eastAsia="pt-BR"/>
              </w:rPr>
            </w:pPr>
            <w:r w:rsidRPr="003B4337">
              <w:rPr>
                <w:rFonts w:eastAsia="Times New Roman"/>
                <w:color w:val="auto"/>
                <w:sz w:val="18"/>
                <w:szCs w:val="18"/>
                <w:lang w:eastAsia="pt-BR"/>
              </w:rPr>
              <w:t>Observações:</w:t>
            </w:r>
          </w:p>
          <w:p w14:paraId="1BDDF492" w14:textId="77777777" w:rsidR="008228F7" w:rsidRPr="003B4337" w:rsidRDefault="008228F7" w:rsidP="008228F7">
            <w:pPr>
              <w:pStyle w:val="Default"/>
              <w:jc w:val="both"/>
              <w:rPr>
                <w:rFonts w:eastAsia="Times New Roman"/>
                <w:color w:val="auto"/>
                <w:sz w:val="18"/>
                <w:szCs w:val="18"/>
                <w:lang w:eastAsia="pt-BR"/>
              </w:rPr>
            </w:pPr>
          </w:p>
          <w:p w14:paraId="2CFC4F7F" w14:textId="77777777" w:rsidR="008228F7" w:rsidRPr="003B4337" w:rsidRDefault="008228F7" w:rsidP="008228F7">
            <w:pPr>
              <w:pStyle w:val="Default"/>
              <w:numPr>
                <w:ilvl w:val="0"/>
                <w:numId w:val="21"/>
              </w:numPr>
              <w:jc w:val="both"/>
              <w:rPr>
                <w:rFonts w:eastAsia="Times New Roman"/>
                <w:color w:val="auto"/>
                <w:sz w:val="18"/>
                <w:szCs w:val="18"/>
                <w:lang w:eastAsia="pt-BR"/>
              </w:rPr>
            </w:pPr>
            <w:r w:rsidRPr="003B4337">
              <w:rPr>
                <w:rFonts w:eastAsia="Times New Roman"/>
                <w:color w:val="auto"/>
                <w:sz w:val="18"/>
                <w:szCs w:val="18"/>
                <w:lang w:eastAsia="pt-BR"/>
              </w:rPr>
              <w:t>A coluna valor total deve ser totalizada.</w:t>
            </w:r>
          </w:p>
          <w:p w14:paraId="66828F77" w14:textId="77777777" w:rsidR="008228F7" w:rsidRPr="003B4337" w:rsidRDefault="008228F7" w:rsidP="008228F7">
            <w:pPr>
              <w:pStyle w:val="Default"/>
              <w:ind w:left="720"/>
              <w:jc w:val="both"/>
              <w:rPr>
                <w:rFonts w:eastAsia="Times New Roman"/>
                <w:color w:val="auto"/>
                <w:sz w:val="18"/>
                <w:szCs w:val="18"/>
                <w:lang w:eastAsia="pt-BR"/>
              </w:rPr>
            </w:pPr>
          </w:p>
          <w:p w14:paraId="39C6C600" w14:textId="77777777" w:rsidR="008228F7" w:rsidRPr="003B4337" w:rsidRDefault="008228F7" w:rsidP="008228F7">
            <w:pPr>
              <w:pStyle w:val="Default"/>
              <w:numPr>
                <w:ilvl w:val="0"/>
                <w:numId w:val="21"/>
              </w:numPr>
              <w:jc w:val="both"/>
              <w:rPr>
                <w:rFonts w:eastAsia="Times New Roman"/>
                <w:color w:val="auto"/>
                <w:sz w:val="18"/>
                <w:szCs w:val="18"/>
                <w:lang w:eastAsia="pt-BR"/>
              </w:rPr>
            </w:pPr>
            <w:r w:rsidRPr="003B4337">
              <w:rPr>
                <w:rFonts w:eastAsia="Times New Roman"/>
                <w:color w:val="auto"/>
                <w:sz w:val="18"/>
                <w:szCs w:val="18"/>
                <w:lang w:eastAsia="pt-BR"/>
              </w:rPr>
              <w:t xml:space="preserve">A Pessoa Jurídica em liquidação que não tenha concluído o processo no exercício a que se refere a prestação de contas deve apresentar este inventário, </w:t>
            </w:r>
            <w:r w:rsidRPr="003B4337">
              <w:rPr>
                <w:rFonts w:eastAsia="Times New Roman"/>
                <w:color w:val="auto"/>
                <w:sz w:val="18"/>
                <w:szCs w:val="18"/>
                <w:lang w:eastAsia="pt-BR"/>
              </w:rPr>
              <w:lastRenderedPageBreak/>
              <w:t>caso ainda existam saldos contábeis relativos a estoques registrados no balanço.</w:t>
            </w:r>
          </w:p>
        </w:tc>
        <w:tc>
          <w:tcPr>
            <w:tcW w:w="993" w:type="dxa"/>
            <w:shd w:val="clear" w:color="auto" w:fill="auto"/>
            <w:vAlign w:val="center"/>
          </w:tcPr>
          <w:p w14:paraId="19A6B03D" w14:textId="77777777" w:rsidR="008228F7" w:rsidRPr="003B4337" w:rsidRDefault="008228F7" w:rsidP="008228F7">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lastRenderedPageBreak/>
              <w:t>PDF</w:t>
            </w:r>
          </w:p>
          <w:p w14:paraId="2AC3DD84" w14:textId="77777777" w:rsidR="008228F7" w:rsidRPr="003B4337" w:rsidRDefault="008228F7" w:rsidP="008228F7">
            <w:pPr>
              <w:spacing w:after="0" w:line="240" w:lineRule="auto"/>
              <w:jc w:val="center"/>
              <w:rPr>
                <w:rFonts w:ascii="Arial" w:eastAsia="Times New Roman" w:hAnsi="Arial" w:cs="Arial"/>
                <w:sz w:val="14"/>
                <w:szCs w:val="14"/>
                <w:highlight w:val="yellow"/>
                <w:lang w:eastAsia="pt-BR"/>
              </w:rPr>
            </w:pPr>
            <w:r w:rsidRPr="003B4337">
              <w:rPr>
                <w:rFonts w:ascii="Arial" w:eastAsia="Times New Roman" w:hAnsi="Arial" w:cs="Arial"/>
                <w:sz w:val="14"/>
                <w:szCs w:val="14"/>
                <w:lang w:eastAsia="pt-BR"/>
              </w:rPr>
              <w:t>e</w:t>
            </w:r>
            <w:r w:rsidRPr="003B4337">
              <w:rPr>
                <w:rFonts w:ascii="Arial" w:eastAsia="Times New Roman" w:hAnsi="Arial" w:cs="Arial"/>
                <w:sz w:val="14"/>
                <w:szCs w:val="14"/>
                <w:highlight w:val="yellow"/>
                <w:lang w:eastAsia="pt-BR"/>
              </w:rPr>
              <w:t xml:space="preserve"> </w:t>
            </w:r>
          </w:p>
          <w:p w14:paraId="3715E420" w14:textId="77777777" w:rsidR="008228F7" w:rsidRPr="003B4337" w:rsidRDefault="008228F7" w:rsidP="008228F7">
            <w:pPr>
              <w:spacing w:after="0" w:line="240" w:lineRule="auto"/>
              <w:jc w:val="center"/>
              <w:rPr>
                <w:rFonts w:ascii="Arial" w:eastAsia="Times New Roman" w:hAnsi="Arial" w:cs="Arial"/>
                <w:sz w:val="14"/>
                <w:szCs w:val="14"/>
                <w:lang w:eastAsia="pt-BR"/>
              </w:rPr>
            </w:pPr>
            <w:r w:rsidRPr="003B4337">
              <w:rPr>
                <w:rFonts w:ascii="Arial" w:eastAsia="Times New Roman" w:hAnsi="Arial" w:cs="Arial"/>
                <w:sz w:val="14"/>
                <w:szCs w:val="14"/>
                <w:lang w:eastAsia="pt-BR"/>
              </w:rPr>
              <w:t>XLS/XLSX/ODS</w:t>
            </w:r>
          </w:p>
        </w:tc>
        <w:tc>
          <w:tcPr>
            <w:tcW w:w="1134" w:type="dxa"/>
            <w:vAlign w:val="center"/>
          </w:tcPr>
          <w:p w14:paraId="5DDD6AED"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1134" w:type="dxa"/>
            <w:vAlign w:val="center"/>
          </w:tcPr>
          <w:p w14:paraId="125BF4FF"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vAlign w:val="center"/>
          </w:tcPr>
          <w:p w14:paraId="6CD28784"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1134" w:type="dxa"/>
            <w:vAlign w:val="center"/>
          </w:tcPr>
          <w:p w14:paraId="63A5CB96"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r>
      <w:tr w:rsidR="008228F7" w:rsidRPr="008444D5" w14:paraId="2F304ECA" w14:textId="77777777" w:rsidTr="007D64A9">
        <w:tc>
          <w:tcPr>
            <w:tcW w:w="1276" w:type="dxa"/>
            <w:tcBorders>
              <w:top w:val="single" w:sz="4" w:space="0" w:color="auto"/>
              <w:left w:val="single" w:sz="4" w:space="0" w:color="auto"/>
              <w:bottom w:val="single" w:sz="4" w:space="0" w:color="auto"/>
              <w:right w:val="single" w:sz="4" w:space="0" w:color="auto"/>
            </w:tcBorders>
            <w:vAlign w:val="center"/>
          </w:tcPr>
          <w:p w14:paraId="5101D810" w14:textId="77777777" w:rsidR="008228F7" w:rsidRPr="003B4337" w:rsidRDefault="008228F7" w:rsidP="008228F7">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lastRenderedPageBreak/>
              <w:t>TERALM</w:t>
            </w:r>
          </w:p>
        </w:tc>
        <w:tc>
          <w:tcPr>
            <w:tcW w:w="7224" w:type="dxa"/>
            <w:tcBorders>
              <w:top w:val="single" w:sz="4" w:space="0" w:color="auto"/>
              <w:left w:val="single" w:sz="4" w:space="0" w:color="auto"/>
              <w:bottom w:val="single" w:sz="4" w:space="0" w:color="auto"/>
              <w:right w:val="single" w:sz="4" w:space="0" w:color="auto"/>
            </w:tcBorders>
            <w:shd w:val="clear" w:color="auto" w:fill="auto"/>
            <w:vAlign w:val="center"/>
          </w:tcPr>
          <w:p w14:paraId="4ECACAAF" w14:textId="0E942004" w:rsidR="008228F7" w:rsidRPr="003B4337" w:rsidRDefault="008228F7" w:rsidP="008228F7">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Termo circunstanciado elaborado e assinado pela comissão responsável pelo Inventário </w:t>
            </w:r>
            <w:r w:rsidRPr="005B7128">
              <w:rPr>
                <w:rFonts w:ascii="Arial" w:eastAsia="Times New Roman" w:hAnsi="Arial" w:cs="Arial"/>
                <w:sz w:val="18"/>
                <w:szCs w:val="18"/>
                <w:lang w:eastAsia="pt-BR"/>
              </w:rPr>
              <w:t xml:space="preserve">anual dos bens em almoxarifado (INVALMO), indicando o saldo total apurado e o detalhamento (especificação e valor) das divergências encontradas, na forma </w:t>
            </w:r>
            <w:r w:rsidR="005B7128" w:rsidRPr="005B7128">
              <w:rPr>
                <w:rFonts w:ascii="Arial" w:eastAsia="Times New Roman" w:hAnsi="Arial" w:cs="Arial"/>
                <w:sz w:val="18"/>
                <w:szCs w:val="18"/>
                <w:lang w:eastAsia="pt-BR"/>
              </w:rPr>
              <w:t>do item 3.2 deste Anexo.</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4CE727D" w14:textId="77777777" w:rsidR="008228F7" w:rsidRPr="003B4337" w:rsidRDefault="008228F7" w:rsidP="008228F7">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c>
          <w:tcPr>
            <w:tcW w:w="1134" w:type="dxa"/>
            <w:tcBorders>
              <w:top w:val="single" w:sz="4" w:space="0" w:color="auto"/>
              <w:left w:val="single" w:sz="4" w:space="0" w:color="auto"/>
              <w:bottom w:val="single" w:sz="4" w:space="0" w:color="auto"/>
              <w:right w:val="single" w:sz="4" w:space="0" w:color="auto"/>
            </w:tcBorders>
            <w:vAlign w:val="center"/>
          </w:tcPr>
          <w:p w14:paraId="0F0B1A3A"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1134" w:type="dxa"/>
            <w:tcBorders>
              <w:top w:val="single" w:sz="4" w:space="0" w:color="auto"/>
              <w:left w:val="single" w:sz="4" w:space="0" w:color="auto"/>
              <w:bottom w:val="single" w:sz="4" w:space="0" w:color="auto"/>
              <w:right w:val="single" w:sz="4" w:space="0" w:color="auto"/>
            </w:tcBorders>
            <w:vAlign w:val="center"/>
          </w:tcPr>
          <w:p w14:paraId="37F9DD5E"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tcBorders>
              <w:top w:val="single" w:sz="4" w:space="0" w:color="auto"/>
              <w:left w:val="single" w:sz="4" w:space="0" w:color="auto"/>
              <w:bottom w:val="single" w:sz="4" w:space="0" w:color="auto"/>
              <w:right w:val="single" w:sz="4" w:space="0" w:color="auto"/>
            </w:tcBorders>
            <w:vAlign w:val="center"/>
          </w:tcPr>
          <w:p w14:paraId="07AE1EC4"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1134" w:type="dxa"/>
            <w:tcBorders>
              <w:top w:val="single" w:sz="4" w:space="0" w:color="auto"/>
              <w:left w:val="single" w:sz="4" w:space="0" w:color="auto"/>
              <w:bottom w:val="single" w:sz="4" w:space="0" w:color="auto"/>
              <w:right w:val="single" w:sz="4" w:space="0" w:color="auto"/>
            </w:tcBorders>
            <w:vAlign w:val="center"/>
          </w:tcPr>
          <w:p w14:paraId="3DDF00D9"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r>
      <w:tr w:rsidR="008228F7" w:rsidRPr="00A5490A" w14:paraId="0570025C" w14:textId="77777777" w:rsidTr="007D64A9">
        <w:tc>
          <w:tcPr>
            <w:tcW w:w="1276" w:type="dxa"/>
            <w:vAlign w:val="center"/>
          </w:tcPr>
          <w:p w14:paraId="32701608" w14:textId="77777777" w:rsidR="008228F7" w:rsidRPr="003B4337" w:rsidRDefault="008228F7" w:rsidP="008228F7">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INVINTN</w:t>
            </w:r>
          </w:p>
        </w:tc>
        <w:tc>
          <w:tcPr>
            <w:tcW w:w="7224" w:type="dxa"/>
            <w:shd w:val="clear" w:color="auto" w:fill="auto"/>
            <w:vAlign w:val="center"/>
          </w:tcPr>
          <w:p w14:paraId="1109FAF0" w14:textId="77777777" w:rsidR="008228F7" w:rsidRPr="003B4337" w:rsidRDefault="008228F7" w:rsidP="008228F7">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Inventário anual dos bens intangíveis, contendo no mínimo as seguintes informações: </w:t>
            </w:r>
          </w:p>
          <w:p w14:paraId="46EC8E59" w14:textId="77777777" w:rsidR="008228F7" w:rsidRPr="003B4337" w:rsidRDefault="008228F7" w:rsidP="008228F7">
            <w:pPr>
              <w:numPr>
                <w:ilvl w:val="0"/>
                <w:numId w:val="1"/>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Relação dos bens </w:t>
            </w:r>
          </w:p>
          <w:p w14:paraId="7C1DB8E8" w14:textId="77777777" w:rsidR="008228F7" w:rsidRPr="003B4337" w:rsidRDefault="008228F7" w:rsidP="008228F7">
            <w:pPr>
              <w:numPr>
                <w:ilvl w:val="0"/>
                <w:numId w:val="1"/>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Caracterização (especificação resumida; número de registro de marca ou patente, caso exista, comprovado mediante certidão de registro) </w:t>
            </w:r>
          </w:p>
          <w:p w14:paraId="1B4B8E8D" w14:textId="77777777" w:rsidR="008228F7" w:rsidRPr="003B4337" w:rsidRDefault="008228F7" w:rsidP="008228F7">
            <w:pPr>
              <w:numPr>
                <w:ilvl w:val="0"/>
                <w:numId w:val="1"/>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Data de aquisição/produção/incorporação </w:t>
            </w:r>
          </w:p>
          <w:p w14:paraId="3CA86AD9" w14:textId="77777777" w:rsidR="008228F7" w:rsidRPr="003B4337" w:rsidRDefault="008228F7" w:rsidP="008228F7">
            <w:pPr>
              <w:numPr>
                <w:ilvl w:val="0"/>
                <w:numId w:val="1"/>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Valor histórico e valor atualizado </w:t>
            </w:r>
          </w:p>
          <w:p w14:paraId="2417E671" w14:textId="77777777" w:rsidR="008228F7" w:rsidRPr="003B4337" w:rsidRDefault="008228F7" w:rsidP="008228F7">
            <w:pPr>
              <w:pStyle w:val="Default"/>
              <w:jc w:val="both"/>
              <w:rPr>
                <w:rFonts w:eastAsia="Times New Roman"/>
                <w:color w:val="auto"/>
                <w:sz w:val="18"/>
                <w:szCs w:val="18"/>
                <w:lang w:eastAsia="pt-BR"/>
              </w:rPr>
            </w:pPr>
            <w:r w:rsidRPr="003B4337">
              <w:rPr>
                <w:rFonts w:eastAsia="Times New Roman"/>
                <w:color w:val="auto"/>
                <w:sz w:val="18"/>
                <w:szCs w:val="18"/>
                <w:lang w:eastAsia="pt-BR"/>
              </w:rPr>
              <w:t>Observações:</w:t>
            </w:r>
          </w:p>
          <w:p w14:paraId="43F04E33" w14:textId="77777777" w:rsidR="008228F7" w:rsidRPr="003B4337" w:rsidRDefault="008228F7" w:rsidP="008228F7">
            <w:pPr>
              <w:pStyle w:val="Default"/>
              <w:jc w:val="both"/>
              <w:rPr>
                <w:rFonts w:eastAsia="Times New Roman"/>
                <w:color w:val="auto"/>
                <w:sz w:val="18"/>
                <w:szCs w:val="18"/>
                <w:lang w:eastAsia="pt-BR"/>
              </w:rPr>
            </w:pPr>
          </w:p>
          <w:p w14:paraId="74F4C980" w14:textId="77777777" w:rsidR="008228F7" w:rsidRPr="003B4337" w:rsidRDefault="008228F7" w:rsidP="008228F7">
            <w:pPr>
              <w:pStyle w:val="Default"/>
              <w:numPr>
                <w:ilvl w:val="0"/>
                <w:numId w:val="21"/>
              </w:numPr>
              <w:jc w:val="both"/>
              <w:rPr>
                <w:rFonts w:eastAsia="Times New Roman"/>
                <w:color w:val="auto"/>
                <w:sz w:val="18"/>
                <w:szCs w:val="18"/>
                <w:lang w:eastAsia="pt-BR"/>
              </w:rPr>
            </w:pPr>
            <w:r w:rsidRPr="003B4337">
              <w:rPr>
                <w:rFonts w:eastAsia="Times New Roman"/>
                <w:color w:val="auto"/>
                <w:sz w:val="18"/>
                <w:szCs w:val="18"/>
                <w:lang w:eastAsia="pt-BR"/>
              </w:rPr>
              <w:t>A coluna valor total deve ser totalizada;</w:t>
            </w:r>
          </w:p>
          <w:p w14:paraId="6DE31E92" w14:textId="77777777" w:rsidR="008228F7" w:rsidRPr="003B4337" w:rsidRDefault="008228F7" w:rsidP="008228F7">
            <w:pPr>
              <w:pStyle w:val="Default"/>
              <w:ind w:left="720"/>
              <w:jc w:val="both"/>
              <w:rPr>
                <w:rFonts w:eastAsia="Times New Roman"/>
                <w:color w:val="auto"/>
                <w:sz w:val="18"/>
                <w:szCs w:val="18"/>
                <w:lang w:eastAsia="pt-BR"/>
              </w:rPr>
            </w:pPr>
          </w:p>
          <w:p w14:paraId="3D18B69C" w14:textId="77777777" w:rsidR="008228F7" w:rsidRPr="003B4337" w:rsidRDefault="008228F7" w:rsidP="008228F7">
            <w:pPr>
              <w:pStyle w:val="Default"/>
              <w:numPr>
                <w:ilvl w:val="0"/>
                <w:numId w:val="21"/>
              </w:numPr>
              <w:jc w:val="both"/>
              <w:rPr>
                <w:rFonts w:eastAsia="Times New Roman"/>
                <w:color w:val="auto"/>
                <w:sz w:val="18"/>
                <w:szCs w:val="18"/>
                <w:lang w:eastAsia="pt-BR"/>
              </w:rPr>
            </w:pPr>
            <w:r w:rsidRPr="003B4337">
              <w:rPr>
                <w:rFonts w:eastAsia="Times New Roman"/>
                <w:color w:val="auto"/>
                <w:sz w:val="18"/>
                <w:szCs w:val="18"/>
                <w:lang w:eastAsia="pt-BR"/>
              </w:rPr>
              <w:t>A Pessoa Jurídica em liquidação que não tenha concluído o processo no exercício a que se refere a prestação de contas deve apresentar este inventário, caso ainda existam saldos contábeis relativos a bens intangíveis registrados no balanço.</w:t>
            </w:r>
          </w:p>
          <w:p w14:paraId="782243FA" w14:textId="77777777" w:rsidR="008228F7" w:rsidRPr="003B4337" w:rsidRDefault="008228F7" w:rsidP="008228F7">
            <w:pPr>
              <w:pStyle w:val="Default"/>
              <w:ind w:left="360"/>
              <w:jc w:val="both"/>
              <w:rPr>
                <w:rFonts w:eastAsia="Times New Roman"/>
                <w:color w:val="auto"/>
                <w:sz w:val="18"/>
                <w:szCs w:val="18"/>
                <w:lang w:eastAsia="pt-BR"/>
              </w:rPr>
            </w:pPr>
          </w:p>
        </w:tc>
        <w:tc>
          <w:tcPr>
            <w:tcW w:w="993" w:type="dxa"/>
            <w:shd w:val="clear" w:color="auto" w:fill="auto"/>
            <w:vAlign w:val="center"/>
          </w:tcPr>
          <w:p w14:paraId="5596CEB2" w14:textId="77777777" w:rsidR="008228F7" w:rsidRPr="003B4337" w:rsidRDefault="008228F7" w:rsidP="008228F7">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p w14:paraId="15846CB1" w14:textId="77777777" w:rsidR="008228F7" w:rsidRPr="003B4337" w:rsidRDefault="008228F7" w:rsidP="008228F7">
            <w:pPr>
              <w:spacing w:after="0" w:line="240" w:lineRule="auto"/>
              <w:jc w:val="center"/>
              <w:rPr>
                <w:rFonts w:ascii="Arial" w:eastAsia="Times New Roman" w:hAnsi="Arial" w:cs="Arial"/>
                <w:sz w:val="14"/>
                <w:szCs w:val="14"/>
                <w:highlight w:val="yellow"/>
                <w:lang w:eastAsia="pt-BR"/>
              </w:rPr>
            </w:pPr>
            <w:r w:rsidRPr="003B4337">
              <w:rPr>
                <w:rFonts w:ascii="Arial" w:eastAsia="Times New Roman" w:hAnsi="Arial" w:cs="Arial"/>
                <w:sz w:val="14"/>
                <w:szCs w:val="14"/>
                <w:lang w:eastAsia="pt-BR"/>
              </w:rPr>
              <w:t>e</w:t>
            </w:r>
            <w:r w:rsidRPr="003B4337">
              <w:rPr>
                <w:rFonts w:ascii="Arial" w:eastAsia="Times New Roman" w:hAnsi="Arial" w:cs="Arial"/>
                <w:sz w:val="14"/>
                <w:szCs w:val="14"/>
                <w:highlight w:val="yellow"/>
                <w:lang w:eastAsia="pt-BR"/>
              </w:rPr>
              <w:t xml:space="preserve"> </w:t>
            </w:r>
          </w:p>
          <w:p w14:paraId="144A769B" w14:textId="77777777" w:rsidR="008228F7" w:rsidRPr="003B4337" w:rsidRDefault="008228F7" w:rsidP="008228F7">
            <w:pPr>
              <w:spacing w:after="0" w:line="240" w:lineRule="auto"/>
              <w:jc w:val="center"/>
              <w:rPr>
                <w:rFonts w:ascii="Arial" w:eastAsia="Times New Roman" w:hAnsi="Arial" w:cs="Arial"/>
                <w:sz w:val="14"/>
                <w:szCs w:val="14"/>
                <w:lang w:eastAsia="pt-BR"/>
              </w:rPr>
            </w:pPr>
            <w:r w:rsidRPr="003B4337">
              <w:rPr>
                <w:rFonts w:ascii="Arial" w:eastAsia="Times New Roman" w:hAnsi="Arial" w:cs="Arial"/>
                <w:sz w:val="14"/>
                <w:szCs w:val="14"/>
                <w:lang w:eastAsia="pt-BR"/>
              </w:rPr>
              <w:t>XLS/XLSX/ODS</w:t>
            </w:r>
          </w:p>
        </w:tc>
        <w:tc>
          <w:tcPr>
            <w:tcW w:w="1134" w:type="dxa"/>
            <w:vAlign w:val="center"/>
          </w:tcPr>
          <w:p w14:paraId="07B4C38C"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1134" w:type="dxa"/>
            <w:vAlign w:val="center"/>
          </w:tcPr>
          <w:p w14:paraId="3CBE7DEB"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vAlign w:val="center"/>
          </w:tcPr>
          <w:p w14:paraId="72F172B7"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1134" w:type="dxa"/>
            <w:vAlign w:val="center"/>
          </w:tcPr>
          <w:p w14:paraId="33CAC839"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r>
      <w:tr w:rsidR="008228F7" w:rsidRPr="008444D5" w14:paraId="436AB3F7" w14:textId="77777777" w:rsidTr="007D64A9">
        <w:tc>
          <w:tcPr>
            <w:tcW w:w="1276" w:type="dxa"/>
            <w:tcBorders>
              <w:top w:val="single" w:sz="4" w:space="0" w:color="auto"/>
              <w:left w:val="single" w:sz="4" w:space="0" w:color="auto"/>
              <w:bottom w:val="single" w:sz="4" w:space="0" w:color="auto"/>
              <w:right w:val="single" w:sz="4" w:space="0" w:color="auto"/>
            </w:tcBorders>
            <w:vAlign w:val="center"/>
          </w:tcPr>
          <w:p w14:paraId="35173A1F" w14:textId="77777777" w:rsidR="008228F7" w:rsidRPr="003B4337" w:rsidRDefault="008228F7" w:rsidP="008228F7">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TERINT</w:t>
            </w:r>
          </w:p>
        </w:tc>
        <w:tc>
          <w:tcPr>
            <w:tcW w:w="7224" w:type="dxa"/>
            <w:tcBorders>
              <w:top w:val="single" w:sz="4" w:space="0" w:color="auto"/>
              <w:left w:val="single" w:sz="4" w:space="0" w:color="auto"/>
              <w:bottom w:val="single" w:sz="4" w:space="0" w:color="auto"/>
              <w:right w:val="single" w:sz="4" w:space="0" w:color="auto"/>
            </w:tcBorders>
            <w:shd w:val="clear" w:color="auto" w:fill="auto"/>
            <w:vAlign w:val="center"/>
          </w:tcPr>
          <w:p w14:paraId="571D81AA" w14:textId="3EA83A1C" w:rsidR="008228F7" w:rsidRPr="003B4337" w:rsidRDefault="008228F7" w:rsidP="008228F7">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Termo circunstanciado elaborado e assinado pela comissão responsável pelo Inventário anual dos bens intangíveis (INVINTN), indicando o saldo total apurado e o detalhamento (especificação e valor) das divergências encontradas</w:t>
            </w:r>
            <w:r>
              <w:rPr>
                <w:rFonts w:ascii="Arial" w:eastAsia="Times New Roman" w:hAnsi="Arial" w:cs="Arial"/>
                <w:sz w:val="18"/>
                <w:szCs w:val="18"/>
                <w:lang w:eastAsia="pt-BR"/>
              </w:rPr>
              <w:t xml:space="preserve">, na </w:t>
            </w:r>
            <w:r w:rsidRPr="005B7128">
              <w:rPr>
                <w:rFonts w:ascii="Arial" w:eastAsia="Times New Roman" w:hAnsi="Arial" w:cs="Arial"/>
                <w:sz w:val="18"/>
                <w:szCs w:val="18"/>
                <w:lang w:eastAsia="pt-BR"/>
              </w:rPr>
              <w:t xml:space="preserve">forma </w:t>
            </w:r>
            <w:r w:rsidR="005B7128" w:rsidRPr="005B7128">
              <w:rPr>
                <w:rFonts w:ascii="Arial" w:eastAsia="Times New Roman" w:hAnsi="Arial" w:cs="Arial"/>
                <w:sz w:val="18"/>
                <w:szCs w:val="18"/>
                <w:lang w:eastAsia="pt-BR"/>
              </w:rPr>
              <w:t>do item 3.2 deste Anexo.</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2043EC3" w14:textId="77777777" w:rsidR="008228F7" w:rsidRPr="003B4337" w:rsidRDefault="008228F7" w:rsidP="008228F7">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c>
          <w:tcPr>
            <w:tcW w:w="1134" w:type="dxa"/>
            <w:tcBorders>
              <w:top w:val="single" w:sz="4" w:space="0" w:color="auto"/>
              <w:left w:val="single" w:sz="4" w:space="0" w:color="auto"/>
              <w:bottom w:val="single" w:sz="4" w:space="0" w:color="auto"/>
              <w:right w:val="single" w:sz="4" w:space="0" w:color="auto"/>
            </w:tcBorders>
            <w:vAlign w:val="center"/>
          </w:tcPr>
          <w:p w14:paraId="17E876D0"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1134" w:type="dxa"/>
            <w:tcBorders>
              <w:top w:val="single" w:sz="4" w:space="0" w:color="auto"/>
              <w:left w:val="single" w:sz="4" w:space="0" w:color="auto"/>
              <w:bottom w:val="single" w:sz="4" w:space="0" w:color="auto"/>
              <w:right w:val="single" w:sz="4" w:space="0" w:color="auto"/>
            </w:tcBorders>
            <w:vAlign w:val="center"/>
          </w:tcPr>
          <w:p w14:paraId="4C22D756"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tcBorders>
              <w:top w:val="single" w:sz="4" w:space="0" w:color="auto"/>
              <w:left w:val="single" w:sz="4" w:space="0" w:color="auto"/>
              <w:bottom w:val="single" w:sz="4" w:space="0" w:color="auto"/>
              <w:right w:val="single" w:sz="4" w:space="0" w:color="auto"/>
            </w:tcBorders>
            <w:vAlign w:val="center"/>
          </w:tcPr>
          <w:p w14:paraId="6FABECE9"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1134" w:type="dxa"/>
            <w:tcBorders>
              <w:top w:val="single" w:sz="4" w:space="0" w:color="auto"/>
              <w:left w:val="single" w:sz="4" w:space="0" w:color="auto"/>
              <w:bottom w:val="single" w:sz="4" w:space="0" w:color="auto"/>
              <w:right w:val="single" w:sz="4" w:space="0" w:color="auto"/>
            </w:tcBorders>
            <w:vAlign w:val="center"/>
          </w:tcPr>
          <w:p w14:paraId="31AC8B59"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r>
      <w:tr w:rsidR="008228F7" w:rsidRPr="00A5490A" w14:paraId="71DBC510" w14:textId="77777777" w:rsidTr="007D64A9">
        <w:tc>
          <w:tcPr>
            <w:tcW w:w="1276" w:type="dxa"/>
            <w:vAlign w:val="center"/>
          </w:tcPr>
          <w:p w14:paraId="6F86F460" w14:textId="77777777" w:rsidR="008228F7" w:rsidRPr="003B4337" w:rsidRDefault="008228F7" w:rsidP="008228F7">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COMINV</w:t>
            </w:r>
          </w:p>
        </w:tc>
        <w:tc>
          <w:tcPr>
            <w:tcW w:w="7224" w:type="dxa"/>
            <w:shd w:val="clear" w:color="auto" w:fill="auto"/>
            <w:vAlign w:val="center"/>
          </w:tcPr>
          <w:p w14:paraId="275A0B6D" w14:textId="77777777" w:rsidR="008228F7" w:rsidRPr="003B4337" w:rsidRDefault="008228F7" w:rsidP="008228F7">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Ato de designação da comissão responsável pela elaboração dos inventários.</w:t>
            </w:r>
          </w:p>
        </w:tc>
        <w:tc>
          <w:tcPr>
            <w:tcW w:w="993" w:type="dxa"/>
            <w:shd w:val="clear" w:color="auto" w:fill="auto"/>
            <w:vAlign w:val="center"/>
          </w:tcPr>
          <w:p w14:paraId="44751483" w14:textId="77777777" w:rsidR="008228F7" w:rsidRPr="003B4337" w:rsidRDefault="008228F7" w:rsidP="008228F7">
            <w:pPr>
              <w:spacing w:after="0" w:line="240" w:lineRule="auto"/>
              <w:jc w:val="center"/>
              <w:rPr>
                <w:rFonts w:ascii="Arial" w:eastAsia="Times New Roman" w:hAnsi="Arial" w:cs="Arial"/>
                <w:i/>
                <w:sz w:val="14"/>
                <w:szCs w:val="14"/>
                <w:lang w:eastAsia="pt-BR"/>
              </w:rPr>
            </w:pPr>
            <w:r>
              <w:rPr>
                <w:rFonts w:ascii="Arial" w:eastAsia="Times New Roman" w:hAnsi="Arial" w:cs="Arial"/>
                <w:sz w:val="14"/>
                <w:szCs w:val="14"/>
                <w:lang w:eastAsia="pt-BR"/>
              </w:rPr>
              <w:t>PDF</w:t>
            </w:r>
          </w:p>
        </w:tc>
        <w:tc>
          <w:tcPr>
            <w:tcW w:w="1134" w:type="dxa"/>
            <w:vAlign w:val="center"/>
          </w:tcPr>
          <w:p w14:paraId="5AA0BD1B"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1134" w:type="dxa"/>
            <w:vAlign w:val="center"/>
          </w:tcPr>
          <w:p w14:paraId="638394A4"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vAlign w:val="center"/>
          </w:tcPr>
          <w:p w14:paraId="49EA3DA1"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1134" w:type="dxa"/>
            <w:vAlign w:val="center"/>
          </w:tcPr>
          <w:p w14:paraId="3A4B3277"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r>
      <w:tr w:rsidR="008228F7" w:rsidRPr="00A5490A" w14:paraId="3BCF9CA7" w14:textId="77777777" w:rsidTr="007D64A9">
        <w:tc>
          <w:tcPr>
            <w:tcW w:w="1276" w:type="dxa"/>
            <w:vAlign w:val="center"/>
          </w:tcPr>
          <w:p w14:paraId="1723DBBE" w14:textId="77777777" w:rsidR="008228F7" w:rsidRPr="003B4337" w:rsidRDefault="008228F7" w:rsidP="008228F7">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FOLRGPS</w:t>
            </w:r>
          </w:p>
        </w:tc>
        <w:tc>
          <w:tcPr>
            <w:tcW w:w="7224" w:type="dxa"/>
            <w:shd w:val="clear" w:color="auto" w:fill="auto"/>
            <w:vAlign w:val="center"/>
          </w:tcPr>
          <w:p w14:paraId="55B1D546" w14:textId="77777777" w:rsidR="008228F7" w:rsidRPr="003B4337" w:rsidRDefault="008228F7" w:rsidP="008228F7">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Resumo anual da folha de pagamento de seus servidores, do exercício financeiro a que se refere a prestação de contas, vinculados ao Regime Geral de Previdência Social (RGPS), contendo as verbas remuneratórias e indenizatórias, a base de cálculo das obrigações patronais, o percentual aplicado sobre a base de cálculo, o valor da contribuição patronal, bem como os descontos efetuados, inclusive retenções de contribuições previdenciárias dos empregados, tributos e demais rubricas.</w:t>
            </w:r>
          </w:p>
          <w:p w14:paraId="224FC2B0" w14:textId="77777777" w:rsidR="008228F7" w:rsidRPr="003B4337" w:rsidRDefault="008228F7" w:rsidP="008228F7">
            <w:pPr>
              <w:pStyle w:val="Default"/>
              <w:jc w:val="both"/>
              <w:rPr>
                <w:rFonts w:eastAsia="Times New Roman"/>
                <w:color w:val="auto"/>
                <w:sz w:val="18"/>
                <w:szCs w:val="18"/>
                <w:lang w:eastAsia="pt-BR"/>
              </w:rPr>
            </w:pPr>
            <w:r w:rsidRPr="003B4337">
              <w:rPr>
                <w:rFonts w:eastAsia="Times New Roman"/>
                <w:color w:val="auto"/>
                <w:sz w:val="18"/>
                <w:szCs w:val="18"/>
                <w:lang w:eastAsia="pt-BR"/>
              </w:rPr>
              <w:t>Observação:</w:t>
            </w:r>
          </w:p>
          <w:p w14:paraId="68EC8EC3" w14:textId="77777777" w:rsidR="008228F7" w:rsidRPr="003B4337" w:rsidRDefault="008228F7" w:rsidP="008228F7">
            <w:pPr>
              <w:pStyle w:val="Default"/>
              <w:jc w:val="both"/>
              <w:rPr>
                <w:rFonts w:eastAsia="Times New Roman"/>
                <w:color w:val="auto"/>
                <w:sz w:val="18"/>
                <w:szCs w:val="18"/>
                <w:lang w:eastAsia="pt-BR"/>
              </w:rPr>
            </w:pPr>
          </w:p>
          <w:p w14:paraId="562DAADA" w14:textId="77777777" w:rsidR="008228F7" w:rsidRPr="003B4337" w:rsidRDefault="008228F7" w:rsidP="008228F7">
            <w:pPr>
              <w:pStyle w:val="Default"/>
              <w:numPr>
                <w:ilvl w:val="0"/>
                <w:numId w:val="21"/>
              </w:numPr>
              <w:jc w:val="both"/>
              <w:rPr>
                <w:rFonts w:eastAsia="Times New Roman"/>
                <w:color w:val="auto"/>
                <w:sz w:val="18"/>
                <w:szCs w:val="18"/>
                <w:lang w:eastAsia="pt-BR"/>
              </w:rPr>
            </w:pPr>
            <w:r w:rsidRPr="003B4337">
              <w:rPr>
                <w:rFonts w:eastAsia="Times New Roman"/>
                <w:color w:val="auto"/>
                <w:sz w:val="18"/>
                <w:szCs w:val="18"/>
                <w:lang w:eastAsia="pt-BR"/>
              </w:rPr>
              <w:t>A pessoa jurídica em liquidação deve enviar o resumo da folha de pagamentos no exercício em que se deu sua dissolução, ao final de cada exercício enquanto durar o processo de liquidação e no exercício de sua extinção abordando, nesse caso, as despesas realizadas até o dia da extinção, caso existentes.</w:t>
            </w:r>
          </w:p>
          <w:p w14:paraId="31004922" w14:textId="77777777" w:rsidR="008228F7" w:rsidRPr="003B4337" w:rsidRDefault="008228F7" w:rsidP="008228F7">
            <w:pPr>
              <w:pStyle w:val="Default"/>
              <w:ind w:left="360"/>
              <w:jc w:val="both"/>
              <w:rPr>
                <w:rFonts w:eastAsia="Times New Roman"/>
                <w:color w:val="auto"/>
                <w:sz w:val="18"/>
                <w:szCs w:val="18"/>
                <w:lang w:eastAsia="pt-BR"/>
              </w:rPr>
            </w:pPr>
          </w:p>
        </w:tc>
        <w:tc>
          <w:tcPr>
            <w:tcW w:w="993" w:type="dxa"/>
            <w:shd w:val="clear" w:color="auto" w:fill="auto"/>
            <w:vAlign w:val="center"/>
          </w:tcPr>
          <w:p w14:paraId="73027251" w14:textId="77777777" w:rsidR="008228F7" w:rsidRPr="003B4337" w:rsidRDefault="008228F7" w:rsidP="008228F7">
            <w:pPr>
              <w:spacing w:after="0" w:line="240" w:lineRule="auto"/>
              <w:jc w:val="center"/>
              <w:rPr>
                <w:rFonts w:ascii="Arial" w:eastAsia="Times New Roman" w:hAnsi="Arial" w:cs="Arial"/>
                <w:i/>
                <w:sz w:val="14"/>
                <w:szCs w:val="14"/>
                <w:lang w:eastAsia="pt-BR"/>
              </w:rPr>
            </w:pPr>
            <w:r>
              <w:rPr>
                <w:rFonts w:ascii="Arial" w:eastAsia="Times New Roman" w:hAnsi="Arial" w:cs="Arial"/>
                <w:sz w:val="14"/>
                <w:szCs w:val="14"/>
                <w:lang w:eastAsia="pt-BR"/>
              </w:rPr>
              <w:lastRenderedPageBreak/>
              <w:t>PDF</w:t>
            </w:r>
          </w:p>
        </w:tc>
        <w:tc>
          <w:tcPr>
            <w:tcW w:w="1134" w:type="dxa"/>
            <w:vAlign w:val="center"/>
          </w:tcPr>
          <w:p w14:paraId="3FE88CE1"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1134" w:type="dxa"/>
            <w:vAlign w:val="center"/>
          </w:tcPr>
          <w:p w14:paraId="57716C87"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vAlign w:val="center"/>
          </w:tcPr>
          <w:p w14:paraId="355D5A40"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1134" w:type="dxa"/>
            <w:vAlign w:val="center"/>
          </w:tcPr>
          <w:p w14:paraId="595C0F9B"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r>
      <w:tr w:rsidR="008228F7" w:rsidRPr="003C65AD" w14:paraId="4A636FBC" w14:textId="77777777" w:rsidTr="007D64A9">
        <w:tc>
          <w:tcPr>
            <w:tcW w:w="1276" w:type="dxa"/>
            <w:tcBorders>
              <w:top w:val="single" w:sz="4" w:space="0" w:color="auto"/>
              <w:left w:val="single" w:sz="4" w:space="0" w:color="auto"/>
              <w:bottom w:val="single" w:sz="4" w:space="0" w:color="auto"/>
              <w:right w:val="single" w:sz="4" w:space="0" w:color="auto"/>
            </w:tcBorders>
            <w:vAlign w:val="center"/>
          </w:tcPr>
          <w:p w14:paraId="26B9895D" w14:textId="77777777" w:rsidR="008228F7" w:rsidRPr="003B4337" w:rsidRDefault="008228F7" w:rsidP="008228F7">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lastRenderedPageBreak/>
              <w:t>AGOINI</w:t>
            </w:r>
          </w:p>
        </w:tc>
        <w:tc>
          <w:tcPr>
            <w:tcW w:w="7224" w:type="dxa"/>
            <w:tcBorders>
              <w:top w:val="single" w:sz="4" w:space="0" w:color="auto"/>
              <w:left w:val="single" w:sz="4" w:space="0" w:color="auto"/>
              <w:bottom w:val="single" w:sz="4" w:space="0" w:color="auto"/>
              <w:right w:val="single" w:sz="4" w:space="0" w:color="auto"/>
            </w:tcBorders>
            <w:shd w:val="clear" w:color="auto" w:fill="auto"/>
            <w:vAlign w:val="center"/>
          </w:tcPr>
          <w:p w14:paraId="36D76E55" w14:textId="77777777" w:rsidR="008228F7" w:rsidRPr="003B4337" w:rsidRDefault="008228F7" w:rsidP="008228F7">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Cópia da Ata da Assembleia-Geral ou Certidão de Sentença, que tiver homologado o início da liquidação, com prova de arquivamento no órgão de registro correspondente, caso tenha ocorrido a dissolução da entidade no exercício a que se refere a prestação de contas (art. 210, I da Lei Federal nº 6.404/76 ou art. 51 da Lei Federal nº 10.406/2002 c/c artigo 37 da CF - princípio da publicidade -, conforme o caso).</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1B0798A" w14:textId="77777777" w:rsidR="008228F7" w:rsidRPr="003B4337" w:rsidRDefault="008228F7" w:rsidP="008228F7">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c>
          <w:tcPr>
            <w:tcW w:w="1134" w:type="dxa"/>
            <w:tcBorders>
              <w:top w:val="single" w:sz="4" w:space="0" w:color="auto"/>
              <w:left w:val="single" w:sz="4" w:space="0" w:color="auto"/>
              <w:bottom w:val="single" w:sz="4" w:space="0" w:color="auto"/>
              <w:right w:val="single" w:sz="4" w:space="0" w:color="auto"/>
            </w:tcBorders>
            <w:vAlign w:val="center"/>
          </w:tcPr>
          <w:p w14:paraId="6A33619F" w14:textId="77777777" w:rsidR="008228F7" w:rsidRPr="00CB55B0" w:rsidRDefault="008228F7" w:rsidP="008228F7">
            <w:pPr>
              <w:spacing w:after="0" w:line="240" w:lineRule="auto"/>
              <w:jc w:val="center"/>
              <w:rPr>
                <w:rFonts w:ascii="Arial" w:eastAsia="Times New Roman" w:hAnsi="Arial" w:cs="Arial"/>
                <w:sz w:val="14"/>
                <w:szCs w:val="14"/>
                <w:lang w:eastAsia="pt-BR"/>
              </w:rPr>
            </w:pPr>
          </w:p>
        </w:tc>
        <w:tc>
          <w:tcPr>
            <w:tcW w:w="1134" w:type="dxa"/>
            <w:tcBorders>
              <w:top w:val="single" w:sz="4" w:space="0" w:color="auto"/>
              <w:left w:val="single" w:sz="4" w:space="0" w:color="auto"/>
              <w:bottom w:val="single" w:sz="4" w:space="0" w:color="auto"/>
              <w:right w:val="single" w:sz="4" w:space="0" w:color="auto"/>
            </w:tcBorders>
            <w:vAlign w:val="center"/>
          </w:tcPr>
          <w:p w14:paraId="5034FD56"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tcBorders>
              <w:top w:val="single" w:sz="4" w:space="0" w:color="auto"/>
              <w:left w:val="single" w:sz="4" w:space="0" w:color="auto"/>
              <w:bottom w:val="single" w:sz="4" w:space="0" w:color="auto"/>
              <w:right w:val="single" w:sz="4" w:space="0" w:color="auto"/>
            </w:tcBorders>
            <w:vAlign w:val="center"/>
          </w:tcPr>
          <w:p w14:paraId="1BE79E4B" w14:textId="77777777" w:rsidR="008228F7" w:rsidRPr="00CB55B0" w:rsidRDefault="008228F7" w:rsidP="008228F7">
            <w:pPr>
              <w:spacing w:after="0" w:line="240" w:lineRule="auto"/>
              <w:jc w:val="center"/>
              <w:rPr>
                <w:rFonts w:ascii="Arial" w:eastAsia="Times New Roman" w:hAnsi="Arial" w:cs="Arial"/>
                <w:sz w:val="14"/>
                <w:szCs w:val="14"/>
                <w:lang w:eastAsia="pt-BR"/>
              </w:rPr>
            </w:pPr>
          </w:p>
        </w:tc>
        <w:tc>
          <w:tcPr>
            <w:tcW w:w="1134" w:type="dxa"/>
            <w:tcBorders>
              <w:top w:val="single" w:sz="4" w:space="0" w:color="auto"/>
              <w:left w:val="single" w:sz="4" w:space="0" w:color="auto"/>
              <w:bottom w:val="single" w:sz="4" w:space="0" w:color="auto"/>
              <w:right w:val="single" w:sz="4" w:space="0" w:color="auto"/>
            </w:tcBorders>
            <w:vAlign w:val="center"/>
          </w:tcPr>
          <w:p w14:paraId="1FB052C1"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r>
      <w:tr w:rsidR="008228F7" w:rsidRPr="00316941" w14:paraId="63E82FCF" w14:textId="77777777" w:rsidTr="007D64A9">
        <w:tc>
          <w:tcPr>
            <w:tcW w:w="1276" w:type="dxa"/>
            <w:tcBorders>
              <w:top w:val="single" w:sz="4" w:space="0" w:color="auto"/>
              <w:left w:val="single" w:sz="4" w:space="0" w:color="auto"/>
              <w:bottom w:val="single" w:sz="4" w:space="0" w:color="auto"/>
              <w:right w:val="single" w:sz="4" w:space="0" w:color="auto"/>
            </w:tcBorders>
            <w:vAlign w:val="center"/>
          </w:tcPr>
          <w:p w14:paraId="63C24CEC" w14:textId="77777777" w:rsidR="008228F7" w:rsidRPr="003B4337" w:rsidRDefault="008228F7" w:rsidP="008228F7">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PBAGOI</w:t>
            </w:r>
          </w:p>
        </w:tc>
        <w:tc>
          <w:tcPr>
            <w:tcW w:w="7224" w:type="dxa"/>
            <w:tcBorders>
              <w:top w:val="single" w:sz="4" w:space="0" w:color="auto"/>
              <w:left w:val="single" w:sz="4" w:space="0" w:color="auto"/>
              <w:bottom w:val="single" w:sz="4" w:space="0" w:color="auto"/>
              <w:right w:val="single" w:sz="4" w:space="0" w:color="auto"/>
            </w:tcBorders>
            <w:shd w:val="clear" w:color="auto" w:fill="auto"/>
            <w:vAlign w:val="center"/>
          </w:tcPr>
          <w:p w14:paraId="300DDA78" w14:textId="77777777" w:rsidR="008228F7" w:rsidRPr="003B4337" w:rsidRDefault="008228F7" w:rsidP="008228F7">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Cópia da publicação da Ata da Assembleia Geral que tiver homologado o início da liquidação, caso tenha ocorrido a dissolução da entidade no exercício a que se refere a prestação de contas (art. 210, I da Lei Federal nº 6.404/76 ou art. 51 da Lei Federal nº 10.406/2002 c/c artigo 37 da CF - princípio da publicidade -, conforme o caso).</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E82F42E" w14:textId="77777777" w:rsidR="008228F7" w:rsidRPr="003B4337" w:rsidRDefault="008228F7" w:rsidP="008228F7">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c>
          <w:tcPr>
            <w:tcW w:w="1134" w:type="dxa"/>
            <w:tcBorders>
              <w:top w:val="single" w:sz="4" w:space="0" w:color="auto"/>
              <w:left w:val="single" w:sz="4" w:space="0" w:color="auto"/>
              <w:bottom w:val="single" w:sz="4" w:space="0" w:color="auto"/>
              <w:right w:val="single" w:sz="4" w:space="0" w:color="auto"/>
            </w:tcBorders>
            <w:vAlign w:val="center"/>
          </w:tcPr>
          <w:p w14:paraId="20DE403C" w14:textId="77777777" w:rsidR="008228F7" w:rsidRPr="00CB55B0" w:rsidRDefault="008228F7" w:rsidP="008228F7">
            <w:pPr>
              <w:spacing w:after="0" w:line="240" w:lineRule="auto"/>
              <w:jc w:val="center"/>
              <w:rPr>
                <w:rFonts w:ascii="Arial" w:eastAsia="Times New Roman" w:hAnsi="Arial" w:cs="Arial"/>
                <w:sz w:val="14"/>
                <w:szCs w:val="14"/>
                <w:lang w:eastAsia="pt-BR"/>
              </w:rPr>
            </w:pPr>
          </w:p>
        </w:tc>
        <w:tc>
          <w:tcPr>
            <w:tcW w:w="1134" w:type="dxa"/>
            <w:tcBorders>
              <w:top w:val="single" w:sz="4" w:space="0" w:color="auto"/>
              <w:left w:val="single" w:sz="4" w:space="0" w:color="auto"/>
              <w:bottom w:val="single" w:sz="4" w:space="0" w:color="auto"/>
              <w:right w:val="single" w:sz="4" w:space="0" w:color="auto"/>
            </w:tcBorders>
            <w:vAlign w:val="center"/>
          </w:tcPr>
          <w:p w14:paraId="09530821"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tcBorders>
              <w:top w:val="single" w:sz="4" w:space="0" w:color="auto"/>
              <w:left w:val="single" w:sz="4" w:space="0" w:color="auto"/>
              <w:bottom w:val="single" w:sz="4" w:space="0" w:color="auto"/>
              <w:right w:val="single" w:sz="4" w:space="0" w:color="auto"/>
            </w:tcBorders>
            <w:vAlign w:val="center"/>
          </w:tcPr>
          <w:p w14:paraId="516B94A8" w14:textId="77777777" w:rsidR="008228F7" w:rsidRPr="00CB55B0" w:rsidRDefault="008228F7" w:rsidP="008228F7">
            <w:pPr>
              <w:spacing w:after="0" w:line="240" w:lineRule="auto"/>
              <w:jc w:val="center"/>
              <w:rPr>
                <w:rFonts w:ascii="Arial" w:eastAsia="Times New Roman" w:hAnsi="Arial" w:cs="Arial"/>
                <w:sz w:val="14"/>
                <w:szCs w:val="14"/>
                <w:lang w:eastAsia="pt-BR"/>
              </w:rPr>
            </w:pPr>
          </w:p>
        </w:tc>
        <w:tc>
          <w:tcPr>
            <w:tcW w:w="1134" w:type="dxa"/>
            <w:tcBorders>
              <w:top w:val="single" w:sz="4" w:space="0" w:color="auto"/>
              <w:left w:val="single" w:sz="4" w:space="0" w:color="auto"/>
              <w:bottom w:val="single" w:sz="4" w:space="0" w:color="auto"/>
              <w:right w:val="single" w:sz="4" w:space="0" w:color="auto"/>
            </w:tcBorders>
            <w:vAlign w:val="center"/>
          </w:tcPr>
          <w:p w14:paraId="2732D37D"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r>
      <w:tr w:rsidR="008228F7" w:rsidRPr="00163D79" w14:paraId="05C028E8" w14:textId="77777777" w:rsidTr="007D64A9">
        <w:tc>
          <w:tcPr>
            <w:tcW w:w="1276" w:type="dxa"/>
            <w:tcBorders>
              <w:top w:val="single" w:sz="4" w:space="0" w:color="auto"/>
              <w:left w:val="single" w:sz="4" w:space="0" w:color="auto"/>
              <w:bottom w:val="single" w:sz="4" w:space="0" w:color="auto"/>
              <w:right w:val="single" w:sz="4" w:space="0" w:color="auto"/>
            </w:tcBorders>
            <w:vAlign w:val="center"/>
          </w:tcPr>
          <w:p w14:paraId="5D7F0A63" w14:textId="77777777" w:rsidR="008228F7" w:rsidRPr="003B4337" w:rsidRDefault="008228F7" w:rsidP="008228F7">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TVDINI</w:t>
            </w:r>
          </w:p>
        </w:tc>
        <w:tc>
          <w:tcPr>
            <w:tcW w:w="7224" w:type="dxa"/>
            <w:tcBorders>
              <w:top w:val="single" w:sz="4" w:space="0" w:color="auto"/>
              <w:left w:val="single" w:sz="4" w:space="0" w:color="auto"/>
              <w:bottom w:val="single" w:sz="4" w:space="0" w:color="auto"/>
              <w:right w:val="single" w:sz="4" w:space="0" w:color="auto"/>
            </w:tcBorders>
            <w:shd w:val="clear" w:color="auto" w:fill="auto"/>
            <w:vAlign w:val="center"/>
          </w:tcPr>
          <w:p w14:paraId="6DBE7145" w14:textId="77777777" w:rsidR="008228F7" w:rsidRPr="003B4337" w:rsidRDefault="008228F7" w:rsidP="008228F7">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Termo de Verificação das Disponibilidades Financeiras, existentes na data de inicio da Liquidação, caso tenha ocorrido a dissolução da entidade no exercício a que se refere a prestação de contas (Saldo em Caixa e Banco).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E0C6731" w14:textId="77777777" w:rsidR="008228F7" w:rsidRPr="003B4337" w:rsidRDefault="008228F7" w:rsidP="008228F7">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c>
          <w:tcPr>
            <w:tcW w:w="1134" w:type="dxa"/>
            <w:tcBorders>
              <w:top w:val="single" w:sz="4" w:space="0" w:color="auto"/>
              <w:left w:val="single" w:sz="4" w:space="0" w:color="auto"/>
              <w:bottom w:val="single" w:sz="4" w:space="0" w:color="auto"/>
              <w:right w:val="single" w:sz="4" w:space="0" w:color="auto"/>
            </w:tcBorders>
            <w:vAlign w:val="center"/>
          </w:tcPr>
          <w:p w14:paraId="7CDF97D7" w14:textId="77777777" w:rsidR="008228F7" w:rsidRPr="00CB55B0" w:rsidRDefault="008228F7" w:rsidP="008228F7">
            <w:pPr>
              <w:spacing w:after="0" w:line="240" w:lineRule="auto"/>
              <w:jc w:val="center"/>
              <w:rPr>
                <w:rFonts w:ascii="Arial" w:eastAsia="Times New Roman" w:hAnsi="Arial" w:cs="Arial"/>
                <w:sz w:val="14"/>
                <w:szCs w:val="14"/>
                <w:lang w:eastAsia="pt-BR"/>
              </w:rPr>
            </w:pPr>
          </w:p>
        </w:tc>
        <w:tc>
          <w:tcPr>
            <w:tcW w:w="1134" w:type="dxa"/>
            <w:tcBorders>
              <w:top w:val="single" w:sz="4" w:space="0" w:color="auto"/>
              <w:left w:val="single" w:sz="4" w:space="0" w:color="auto"/>
              <w:bottom w:val="single" w:sz="4" w:space="0" w:color="auto"/>
              <w:right w:val="single" w:sz="4" w:space="0" w:color="auto"/>
            </w:tcBorders>
            <w:vAlign w:val="center"/>
          </w:tcPr>
          <w:p w14:paraId="28D11987"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tcBorders>
              <w:top w:val="single" w:sz="4" w:space="0" w:color="auto"/>
              <w:left w:val="single" w:sz="4" w:space="0" w:color="auto"/>
              <w:bottom w:val="single" w:sz="4" w:space="0" w:color="auto"/>
              <w:right w:val="single" w:sz="4" w:space="0" w:color="auto"/>
            </w:tcBorders>
            <w:vAlign w:val="center"/>
          </w:tcPr>
          <w:p w14:paraId="78CD24C9" w14:textId="77777777" w:rsidR="008228F7" w:rsidRPr="00CB55B0" w:rsidRDefault="008228F7" w:rsidP="008228F7">
            <w:pPr>
              <w:spacing w:after="0" w:line="240" w:lineRule="auto"/>
              <w:jc w:val="center"/>
              <w:rPr>
                <w:rFonts w:ascii="Arial" w:eastAsia="Times New Roman" w:hAnsi="Arial" w:cs="Arial"/>
                <w:sz w:val="14"/>
                <w:szCs w:val="14"/>
                <w:lang w:eastAsia="pt-BR"/>
              </w:rPr>
            </w:pPr>
          </w:p>
        </w:tc>
        <w:tc>
          <w:tcPr>
            <w:tcW w:w="1134" w:type="dxa"/>
            <w:tcBorders>
              <w:top w:val="single" w:sz="4" w:space="0" w:color="auto"/>
              <w:left w:val="single" w:sz="4" w:space="0" w:color="auto"/>
              <w:bottom w:val="single" w:sz="4" w:space="0" w:color="auto"/>
              <w:right w:val="single" w:sz="4" w:space="0" w:color="auto"/>
            </w:tcBorders>
            <w:vAlign w:val="center"/>
          </w:tcPr>
          <w:p w14:paraId="71091D91"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r>
      <w:tr w:rsidR="008228F7" w:rsidRPr="004E6A6C" w14:paraId="25E0D2A3" w14:textId="77777777" w:rsidTr="007D64A9">
        <w:tc>
          <w:tcPr>
            <w:tcW w:w="1276" w:type="dxa"/>
            <w:tcBorders>
              <w:top w:val="single" w:sz="4" w:space="0" w:color="auto"/>
              <w:left w:val="single" w:sz="4" w:space="0" w:color="auto"/>
              <w:bottom w:val="single" w:sz="4" w:space="0" w:color="auto"/>
              <w:right w:val="single" w:sz="4" w:space="0" w:color="auto"/>
            </w:tcBorders>
            <w:vAlign w:val="center"/>
          </w:tcPr>
          <w:p w14:paraId="37EE0F0B" w14:textId="77777777" w:rsidR="008228F7" w:rsidRPr="003B4337" w:rsidRDefault="008228F7" w:rsidP="008228F7">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EXTBCI</w:t>
            </w:r>
          </w:p>
        </w:tc>
        <w:tc>
          <w:tcPr>
            <w:tcW w:w="7224" w:type="dxa"/>
            <w:tcBorders>
              <w:top w:val="single" w:sz="4" w:space="0" w:color="auto"/>
              <w:left w:val="single" w:sz="4" w:space="0" w:color="auto"/>
              <w:bottom w:val="single" w:sz="4" w:space="0" w:color="auto"/>
              <w:right w:val="single" w:sz="4" w:space="0" w:color="auto"/>
            </w:tcBorders>
            <w:shd w:val="clear" w:color="auto" w:fill="auto"/>
            <w:vAlign w:val="center"/>
          </w:tcPr>
          <w:p w14:paraId="42C3ECC4" w14:textId="77777777" w:rsidR="008228F7" w:rsidRPr="003B4337" w:rsidRDefault="008228F7" w:rsidP="008228F7">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Extratos bancários relativos a data do inicio da Liquidação, caso tenha ocorrido a dissolução da entidade no exercício a que se refere a prestação de contas.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15EF7E3" w14:textId="77777777" w:rsidR="008228F7" w:rsidRPr="003B4337" w:rsidRDefault="008228F7" w:rsidP="008228F7">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c>
          <w:tcPr>
            <w:tcW w:w="1134" w:type="dxa"/>
            <w:tcBorders>
              <w:top w:val="single" w:sz="4" w:space="0" w:color="auto"/>
              <w:left w:val="single" w:sz="4" w:space="0" w:color="auto"/>
              <w:bottom w:val="single" w:sz="4" w:space="0" w:color="auto"/>
              <w:right w:val="single" w:sz="4" w:space="0" w:color="auto"/>
            </w:tcBorders>
            <w:vAlign w:val="center"/>
          </w:tcPr>
          <w:p w14:paraId="6358B3C0" w14:textId="77777777" w:rsidR="008228F7" w:rsidRPr="00CB55B0" w:rsidRDefault="008228F7" w:rsidP="008228F7">
            <w:pPr>
              <w:spacing w:after="0" w:line="240" w:lineRule="auto"/>
              <w:jc w:val="center"/>
              <w:rPr>
                <w:rFonts w:ascii="Arial" w:eastAsia="Times New Roman" w:hAnsi="Arial" w:cs="Arial"/>
                <w:sz w:val="14"/>
                <w:szCs w:val="14"/>
                <w:lang w:eastAsia="pt-BR"/>
              </w:rPr>
            </w:pPr>
          </w:p>
        </w:tc>
        <w:tc>
          <w:tcPr>
            <w:tcW w:w="1134" w:type="dxa"/>
            <w:tcBorders>
              <w:top w:val="single" w:sz="4" w:space="0" w:color="auto"/>
              <w:left w:val="single" w:sz="4" w:space="0" w:color="auto"/>
              <w:bottom w:val="single" w:sz="4" w:space="0" w:color="auto"/>
              <w:right w:val="single" w:sz="4" w:space="0" w:color="auto"/>
            </w:tcBorders>
            <w:vAlign w:val="center"/>
          </w:tcPr>
          <w:p w14:paraId="5CF4C95B"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tcBorders>
              <w:top w:val="single" w:sz="4" w:space="0" w:color="auto"/>
              <w:left w:val="single" w:sz="4" w:space="0" w:color="auto"/>
              <w:bottom w:val="single" w:sz="4" w:space="0" w:color="auto"/>
              <w:right w:val="single" w:sz="4" w:space="0" w:color="auto"/>
            </w:tcBorders>
            <w:vAlign w:val="center"/>
          </w:tcPr>
          <w:p w14:paraId="35DD8485" w14:textId="77777777" w:rsidR="008228F7" w:rsidRPr="00CB55B0" w:rsidRDefault="008228F7" w:rsidP="008228F7">
            <w:pPr>
              <w:spacing w:after="0" w:line="240" w:lineRule="auto"/>
              <w:jc w:val="center"/>
              <w:rPr>
                <w:rFonts w:ascii="Arial" w:eastAsia="Times New Roman" w:hAnsi="Arial" w:cs="Arial"/>
                <w:sz w:val="14"/>
                <w:szCs w:val="14"/>
                <w:lang w:eastAsia="pt-BR"/>
              </w:rPr>
            </w:pPr>
          </w:p>
        </w:tc>
        <w:tc>
          <w:tcPr>
            <w:tcW w:w="1134" w:type="dxa"/>
            <w:tcBorders>
              <w:top w:val="single" w:sz="4" w:space="0" w:color="auto"/>
              <w:left w:val="single" w:sz="4" w:space="0" w:color="auto"/>
              <w:bottom w:val="single" w:sz="4" w:space="0" w:color="auto"/>
              <w:right w:val="single" w:sz="4" w:space="0" w:color="auto"/>
            </w:tcBorders>
            <w:vAlign w:val="center"/>
          </w:tcPr>
          <w:p w14:paraId="0E31C1B4"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r>
      <w:tr w:rsidR="008228F7" w:rsidRPr="00390D0A" w14:paraId="1F87F68F" w14:textId="77777777" w:rsidTr="007D64A9">
        <w:tc>
          <w:tcPr>
            <w:tcW w:w="1276" w:type="dxa"/>
            <w:tcBorders>
              <w:top w:val="single" w:sz="4" w:space="0" w:color="auto"/>
              <w:left w:val="single" w:sz="4" w:space="0" w:color="auto"/>
              <w:bottom w:val="single" w:sz="4" w:space="0" w:color="auto"/>
              <w:right w:val="single" w:sz="4" w:space="0" w:color="auto"/>
            </w:tcBorders>
            <w:vAlign w:val="center"/>
          </w:tcPr>
          <w:p w14:paraId="3CFD6C31" w14:textId="77777777" w:rsidR="008228F7" w:rsidRPr="003B4337" w:rsidRDefault="008228F7" w:rsidP="008228F7">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BALINI</w:t>
            </w:r>
          </w:p>
        </w:tc>
        <w:tc>
          <w:tcPr>
            <w:tcW w:w="7224" w:type="dxa"/>
            <w:tcBorders>
              <w:top w:val="single" w:sz="4" w:space="0" w:color="auto"/>
              <w:left w:val="single" w:sz="4" w:space="0" w:color="auto"/>
              <w:bottom w:val="single" w:sz="4" w:space="0" w:color="auto"/>
              <w:right w:val="single" w:sz="4" w:space="0" w:color="auto"/>
            </w:tcBorders>
            <w:shd w:val="clear" w:color="auto" w:fill="auto"/>
            <w:vAlign w:val="center"/>
          </w:tcPr>
          <w:p w14:paraId="612C5762" w14:textId="77777777" w:rsidR="008228F7" w:rsidRPr="003B4337" w:rsidRDefault="008228F7" w:rsidP="008228F7">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Balanço Patrimonial levantado pelo liquidante na data de início da liquidação, caso tenha ocorrido a dissolução da entidade no exercício a que se refere a prestação de contas (art. 210, III da Lei 6.404/76).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D2144A8" w14:textId="77777777" w:rsidR="008228F7" w:rsidRPr="003B4337" w:rsidRDefault="008228F7" w:rsidP="008228F7">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c>
          <w:tcPr>
            <w:tcW w:w="1134" w:type="dxa"/>
            <w:tcBorders>
              <w:top w:val="single" w:sz="4" w:space="0" w:color="auto"/>
              <w:left w:val="single" w:sz="4" w:space="0" w:color="auto"/>
              <w:bottom w:val="single" w:sz="4" w:space="0" w:color="auto"/>
              <w:right w:val="single" w:sz="4" w:space="0" w:color="auto"/>
            </w:tcBorders>
            <w:vAlign w:val="center"/>
          </w:tcPr>
          <w:p w14:paraId="0053DD1E" w14:textId="77777777" w:rsidR="008228F7" w:rsidRPr="00CB55B0" w:rsidRDefault="008228F7" w:rsidP="008228F7">
            <w:pPr>
              <w:spacing w:after="0" w:line="240" w:lineRule="auto"/>
              <w:jc w:val="center"/>
              <w:rPr>
                <w:rFonts w:ascii="Arial" w:eastAsia="Times New Roman" w:hAnsi="Arial" w:cs="Arial"/>
                <w:sz w:val="14"/>
                <w:szCs w:val="14"/>
                <w:lang w:eastAsia="pt-BR"/>
              </w:rPr>
            </w:pPr>
          </w:p>
        </w:tc>
        <w:tc>
          <w:tcPr>
            <w:tcW w:w="1134" w:type="dxa"/>
            <w:tcBorders>
              <w:top w:val="single" w:sz="4" w:space="0" w:color="auto"/>
              <w:left w:val="single" w:sz="4" w:space="0" w:color="auto"/>
              <w:bottom w:val="single" w:sz="4" w:space="0" w:color="auto"/>
              <w:right w:val="single" w:sz="4" w:space="0" w:color="auto"/>
            </w:tcBorders>
            <w:vAlign w:val="center"/>
          </w:tcPr>
          <w:p w14:paraId="2C567395"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tcBorders>
              <w:top w:val="single" w:sz="4" w:space="0" w:color="auto"/>
              <w:left w:val="single" w:sz="4" w:space="0" w:color="auto"/>
              <w:bottom w:val="single" w:sz="4" w:space="0" w:color="auto"/>
              <w:right w:val="single" w:sz="4" w:space="0" w:color="auto"/>
            </w:tcBorders>
            <w:vAlign w:val="center"/>
          </w:tcPr>
          <w:p w14:paraId="0B9CF100" w14:textId="77777777" w:rsidR="008228F7" w:rsidRPr="00CB55B0" w:rsidRDefault="008228F7" w:rsidP="008228F7">
            <w:pPr>
              <w:spacing w:after="0" w:line="240" w:lineRule="auto"/>
              <w:jc w:val="center"/>
              <w:rPr>
                <w:rFonts w:ascii="Arial" w:eastAsia="Times New Roman" w:hAnsi="Arial" w:cs="Arial"/>
                <w:sz w:val="14"/>
                <w:szCs w:val="14"/>
                <w:lang w:eastAsia="pt-BR"/>
              </w:rPr>
            </w:pPr>
          </w:p>
        </w:tc>
        <w:tc>
          <w:tcPr>
            <w:tcW w:w="1134" w:type="dxa"/>
            <w:tcBorders>
              <w:top w:val="single" w:sz="4" w:space="0" w:color="auto"/>
              <w:left w:val="single" w:sz="4" w:space="0" w:color="auto"/>
              <w:bottom w:val="single" w:sz="4" w:space="0" w:color="auto"/>
              <w:right w:val="single" w:sz="4" w:space="0" w:color="auto"/>
            </w:tcBorders>
            <w:vAlign w:val="center"/>
          </w:tcPr>
          <w:p w14:paraId="1ED65502"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r>
      <w:tr w:rsidR="008228F7" w:rsidRPr="0082701B" w14:paraId="1F031A83" w14:textId="77777777" w:rsidTr="007D64A9">
        <w:tc>
          <w:tcPr>
            <w:tcW w:w="1276" w:type="dxa"/>
            <w:tcBorders>
              <w:top w:val="single" w:sz="4" w:space="0" w:color="auto"/>
              <w:left w:val="single" w:sz="4" w:space="0" w:color="auto"/>
              <w:bottom w:val="single" w:sz="4" w:space="0" w:color="auto"/>
              <w:right w:val="single" w:sz="4" w:space="0" w:color="auto"/>
            </w:tcBorders>
            <w:vAlign w:val="center"/>
          </w:tcPr>
          <w:p w14:paraId="3E0A94B4" w14:textId="77777777" w:rsidR="008228F7" w:rsidRPr="003B4337" w:rsidRDefault="008228F7" w:rsidP="008228F7">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BALVEI</w:t>
            </w:r>
          </w:p>
        </w:tc>
        <w:tc>
          <w:tcPr>
            <w:tcW w:w="7224" w:type="dxa"/>
            <w:tcBorders>
              <w:top w:val="single" w:sz="4" w:space="0" w:color="auto"/>
              <w:left w:val="single" w:sz="4" w:space="0" w:color="auto"/>
              <w:bottom w:val="single" w:sz="4" w:space="0" w:color="auto"/>
              <w:right w:val="single" w:sz="4" w:space="0" w:color="auto"/>
            </w:tcBorders>
            <w:shd w:val="clear" w:color="auto" w:fill="auto"/>
            <w:vAlign w:val="center"/>
          </w:tcPr>
          <w:p w14:paraId="36F7A58B" w14:textId="77777777" w:rsidR="008228F7" w:rsidRPr="003B4337" w:rsidRDefault="008228F7" w:rsidP="008228F7">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Balancete de Verificação que deu origem às Demonstrações Financeiras no início da liquidação, caso tenha ocorrido a dissolução da entidade no exercício a que se refere a prestação de contas.</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5968B67" w14:textId="77777777" w:rsidR="008228F7" w:rsidRPr="003B4337" w:rsidRDefault="008228F7" w:rsidP="008228F7">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c>
          <w:tcPr>
            <w:tcW w:w="1134" w:type="dxa"/>
            <w:tcBorders>
              <w:top w:val="single" w:sz="4" w:space="0" w:color="auto"/>
              <w:left w:val="single" w:sz="4" w:space="0" w:color="auto"/>
              <w:bottom w:val="single" w:sz="4" w:space="0" w:color="auto"/>
              <w:right w:val="single" w:sz="4" w:space="0" w:color="auto"/>
            </w:tcBorders>
            <w:vAlign w:val="center"/>
          </w:tcPr>
          <w:p w14:paraId="0B6EDA51" w14:textId="77777777" w:rsidR="008228F7" w:rsidRPr="00CB55B0" w:rsidRDefault="008228F7" w:rsidP="008228F7">
            <w:pPr>
              <w:spacing w:after="0" w:line="240" w:lineRule="auto"/>
              <w:jc w:val="center"/>
              <w:rPr>
                <w:rFonts w:ascii="Arial" w:eastAsia="Times New Roman" w:hAnsi="Arial" w:cs="Arial"/>
                <w:sz w:val="14"/>
                <w:szCs w:val="14"/>
                <w:lang w:eastAsia="pt-BR"/>
              </w:rPr>
            </w:pPr>
          </w:p>
        </w:tc>
        <w:tc>
          <w:tcPr>
            <w:tcW w:w="1134" w:type="dxa"/>
            <w:tcBorders>
              <w:top w:val="single" w:sz="4" w:space="0" w:color="auto"/>
              <w:left w:val="single" w:sz="4" w:space="0" w:color="auto"/>
              <w:bottom w:val="single" w:sz="4" w:space="0" w:color="auto"/>
              <w:right w:val="single" w:sz="4" w:space="0" w:color="auto"/>
            </w:tcBorders>
            <w:vAlign w:val="center"/>
          </w:tcPr>
          <w:p w14:paraId="36BA1E7B"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tcBorders>
              <w:top w:val="single" w:sz="4" w:space="0" w:color="auto"/>
              <w:left w:val="single" w:sz="4" w:space="0" w:color="auto"/>
              <w:bottom w:val="single" w:sz="4" w:space="0" w:color="auto"/>
              <w:right w:val="single" w:sz="4" w:space="0" w:color="auto"/>
            </w:tcBorders>
            <w:vAlign w:val="center"/>
          </w:tcPr>
          <w:p w14:paraId="1D303259" w14:textId="77777777" w:rsidR="008228F7" w:rsidRPr="00CB55B0" w:rsidRDefault="008228F7" w:rsidP="008228F7">
            <w:pPr>
              <w:spacing w:after="0" w:line="240" w:lineRule="auto"/>
              <w:jc w:val="center"/>
              <w:rPr>
                <w:rFonts w:ascii="Arial" w:eastAsia="Times New Roman" w:hAnsi="Arial" w:cs="Arial"/>
                <w:sz w:val="14"/>
                <w:szCs w:val="14"/>
                <w:lang w:eastAsia="pt-BR"/>
              </w:rPr>
            </w:pPr>
          </w:p>
        </w:tc>
        <w:tc>
          <w:tcPr>
            <w:tcW w:w="1134" w:type="dxa"/>
            <w:tcBorders>
              <w:top w:val="single" w:sz="4" w:space="0" w:color="auto"/>
              <w:left w:val="single" w:sz="4" w:space="0" w:color="auto"/>
              <w:bottom w:val="single" w:sz="4" w:space="0" w:color="auto"/>
              <w:right w:val="single" w:sz="4" w:space="0" w:color="auto"/>
            </w:tcBorders>
            <w:vAlign w:val="center"/>
          </w:tcPr>
          <w:p w14:paraId="5D0835C1"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r>
      <w:tr w:rsidR="008228F7" w:rsidRPr="00B367BE" w14:paraId="7F7689CB" w14:textId="77777777" w:rsidTr="007D64A9">
        <w:tc>
          <w:tcPr>
            <w:tcW w:w="1276" w:type="dxa"/>
            <w:tcBorders>
              <w:top w:val="single" w:sz="4" w:space="0" w:color="auto"/>
              <w:left w:val="single" w:sz="4" w:space="0" w:color="auto"/>
              <w:bottom w:val="single" w:sz="4" w:space="0" w:color="auto"/>
              <w:right w:val="single" w:sz="4" w:space="0" w:color="auto"/>
            </w:tcBorders>
            <w:vAlign w:val="center"/>
          </w:tcPr>
          <w:p w14:paraId="551CCE8F" w14:textId="77777777" w:rsidR="008228F7" w:rsidRPr="003B4337" w:rsidRDefault="008228F7" w:rsidP="008228F7">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INVINI</w:t>
            </w:r>
          </w:p>
        </w:tc>
        <w:tc>
          <w:tcPr>
            <w:tcW w:w="7224" w:type="dxa"/>
            <w:tcBorders>
              <w:top w:val="single" w:sz="4" w:space="0" w:color="auto"/>
              <w:left w:val="single" w:sz="4" w:space="0" w:color="auto"/>
              <w:bottom w:val="single" w:sz="4" w:space="0" w:color="auto"/>
              <w:right w:val="single" w:sz="4" w:space="0" w:color="auto"/>
            </w:tcBorders>
            <w:shd w:val="clear" w:color="auto" w:fill="auto"/>
            <w:vAlign w:val="center"/>
          </w:tcPr>
          <w:p w14:paraId="4D2D1BEA" w14:textId="77777777" w:rsidR="008228F7" w:rsidRPr="003B4337" w:rsidRDefault="008228F7" w:rsidP="008228F7">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Inventário físico dos bens patrimoniais (estoques, móveis, imóveis e intangíveis) existentes na data de início da liquidação, caso tenha ocorrido a dissolução da entidade no exercício a que se refere a prestação de conta, contendo:</w:t>
            </w:r>
          </w:p>
          <w:p w14:paraId="5694C349" w14:textId="77777777" w:rsidR="008228F7" w:rsidRPr="003B4337" w:rsidRDefault="008228F7" w:rsidP="008228F7">
            <w:pPr>
              <w:numPr>
                <w:ilvl w:val="0"/>
                <w:numId w:val="1"/>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Número de patrimônio </w:t>
            </w:r>
          </w:p>
          <w:p w14:paraId="2414BB36" w14:textId="77777777" w:rsidR="008228F7" w:rsidRPr="003B4337" w:rsidRDefault="008228F7" w:rsidP="008228F7">
            <w:pPr>
              <w:numPr>
                <w:ilvl w:val="0"/>
                <w:numId w:val="1"/>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Descrição do bem </w:t>
            </w:r>
          </w:p>
          <w:p w14:paraId="4A5ECB7A" w14:textId="77777777" w:rsidR="008228F7" w:rsidRPr="003B4337" w:rsidRDefault="008228F7" w:rsidP="008228F7">
            <w:pPr>
              <w:numPr>
                <w:ilvl w:val="0"/>
                <w:numId w:val="1"/>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lastRenderedPageBreak/>
              <w:t xml:space="preserve">Data de aquisição/incorporação </w:t>
            </w:r>
          </w:p>
          <w:p w14:paraId="31B0DE63" w14:textId="77777777" w:rsidR="008228F7" w:rsidRPr="003B4337" w:rsidRDefault="008228F7" w:rsidP="008228F7">
            <w:pPr>
              <w:numPr>
                <w:ilvl w:val="0"/>
                <w:numId w:val="1"/>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Localização </w:t>
            </w:r>
          </w:p>
          <w:p w14:paraId="69505859" w14:textId="77777777" w:rsidR="008228F7" w:rsidRPr="003B4337" w:rsidRDefault="008228F7" w:rsidP="008228F7">
            <w:pPr>
              <w:numPr>
                <w:ilvl w:val="0"/>
                <w:numId w:val="1"/>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Quantidade </w:t>
            </w:r>
          </w:p>
          <w:p w14:paraId="4A5A4D1C" w14:textId="77777777" w:rsidR="008228F7" w:rsidRPr="003B4337" w:rsidRDefault="008228F7" w:rsidP="008228F7">
            <w:pPr>
              <w:numPr>
                <w:ilvl w:val="0"/>
                <w:numId w:val="1"/>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Valor histórico e atualizado.</w:t>
            </w:r>
          </w:p>
          <w:p w14:paraId="054D11E7" w14:textId="77777777" w:rsidR="008228F7" w:rsidRPr="003B4337" w:rsidRDefault="008228F7" w:rsidP="008228F7">
            <w:pPr>
              <w:spacing w:before="120" w:after="120"/>
              <w:rPr>
                <w:rFonts w:ascii="Arial" w:eastAsia="Times New Roman" w:hAnsi="Arial" w:cs="Arial"/>
                <w:sz w:val="18"/>
                <w:szCs w:val="18"/>
                <w:lang w:eastAsia="pt-BR"/>
              </w:rPr>
            </w:pPr>
            <w:r w:rsidRPr="003B4337">
              <w:rPr>
                <w:rFonts w:ascii="Arial" w:eastAsia="Times New Roman" w:hAnsi="Arial" w:cs="Arial"/>
                <w:sz w:val="18"/>
                <w:szCs w:val="18"/>
                <w:lang w:eastAsia="pt-BR"/>
              </w:rPr>
              <w:t>Observações:</w:t>
            </w:r>
          </w:p>
          <w:p w14:paraId="78B47F84" w14:textId="77777777" w:rsidR="008228F7" w:rsidRPr="003B4337" w:rsidRDefault="008228F7" w:rsidP="008228F7">
            <w:pPr>
              <w:pStyle w:val="PargrafodaLista"/>
              <w:numPr>
                <w:ilvl w:val="0"/>
                <w:numId w:val="22"/>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A coluna valor deve ser totalizada.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F8CD86C" w14:textId="77777777" w:rsidR="008228F7" w:rsidRPr="003B4337" w:rsidRDefault="008228F7" w:rsidP="008228F7">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lastRenderedPageBreak/>
              <w:t>PDF</w:t>
            </w:r>
          </w:p>
        </w:tc>
        <w:tc>
          <w:tcPr>
            <w:tcW w:w="1134" w:type="dxa"/>
            <w:tcBorders>
              <w:top w:val="single" w:sz="4" w:space="0" w:color="auto"/>
              <w:left w:val="single" w:sz="4" w:space="0" w:color="auto"/>
              <w:bottom w:val="single" w:sz="4" w:space="0" w:color="auto"/>
              <w:right w:val="single" w:sz="4" w:space="0" w:color="auto"/>
            </w:tcBorders>
            <w:vAlign w:val="center"/>
          </w:tcPr>
          <w:p w14:paraId="19578F9D" w14:textId="77777777" w:rsidR="008228F7" w:rsidRPr="00CB55B0" w:rsidRDefault="008228F7" w:rsidP="008228F7">
            <w:pPr>
              <w:spacing w:after="0" w:line="240" w:lineRule="auto"/>
              <w:jc w:val="center"/>
              <w:rPr>
                <w:rFonts w:ascii="Arial" w:eastAsia="Times New Roman" w:hAnsi="Arial" w:cs="Arial"/>
                <w:sz w:val="14"/>
                <w:szCs w:val="14"/>
                <w:lang w:eastAsia="pt-BR"/>
              </w:rPr>
            </w:pPr>
          </w:p>
        </w:tc>
        <w:tc>
          <w:tcPr>
            <w:tcW w:w="1134" w:type="dxa"/>
            <w:tcBorders>
              <w:top w:val="single" w:sz="4" w:space="0" w:color="auto"/>
              <w:left w:val="single" w:sz="4" w:space="0" w:color="auto"/>
              <w:bottom w:val="single" w:sz="4" w:space="0" w:color="auto"/>
              <w:right w:val="single" w:sz="4" w:space="0" w:color="auto"/>
            </w:tcBorders>
            <w:vAlign w:val="center"/>
          </w:tcPr>
          <w:p w14:paraId="4F2D2E7C" w14:textId="77777777" w:rsidR="008228F7" w:rsidRPr="00CB55B0" w:rsidRDefault="00532C19"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tcBorders>
              <w:top w:val="single" w:sz="4" w:space="0" w:color="auto"/>
              <w:left w:val="single" w:sz="4" w:space="0" w:color="auto"/>
              <w:bottom w:val="single" w:sz="4" w:space="0" w:color="auto"/>
              <w:right w:val="single" w:sz="4" w:space="0" w:color="auto"/>
            </w:tcBorders>
            <w:vAlign w:val="center"/>
          </w:tcPr>
          <w:p w14:paraId="135D2A95" w14:textId="77777777" w:rsidR="008228F7" w:rsidRPr="00CB55B0" w:rsidRDefault="008228F7" w:rsidP="008228F7">
            <w:pPr>
              <w:spacing w:after="0" w:line="240" w:lineRule="auto"/>
              <w:jc w:val="center"/>
              <w:rPr>
                <w:rFonts w:ascii="Arial" w:eastAsia="Times New Roman" w:hAnsi="Arial" w:cs="Arial"/>
                <w:sz w:val="14"/>
                <w:szCs w:val="14"/>
                <w:lang w:eastAsia="pt-BR"/>
              </w:rPr>
            </w:pPr>
          </w:p>
        </w:tc>
        <w:tc>
          <w:tcPr>
            <w:tcW w:w="1134" w:type="dxa"/>
            <w:tcBorders>
              <w:top w:val="single" w:sz="4" w:space="0" w:color="auto"/>
              <w:left w:val="single" w:sz="4" w:space="0" w:color="auto"/>
              <w:bottom w:val="single" w:sz="4" w:space="0" w:color="auto"/>
              <w:right w:val="single" w:sz="4" w:space="0" w:color="auto"/>
            </w:tcBorders>
            <w:vAlign w:val="center"/>
          </w:tcPr>
          <w:p w14:paraId="7837604E"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r>
      <w:tr w:rsidR="008228F7" w:rsidRPr="00C77F9B" w14:paraId="43267605" w14:textId="77777777" w:rsidTr="007D64A9">
        <w:tc>
          <w:tcPr>
            <w:tcW w:w="1276" w:type="dxa"/>
            <w:tcBorders>
              <w:top w:val="single" w:sz="4" w:space="0" w:color="auto"/>
              <w:left w:val="single" w:sz="4" w:space="0" w:color="auto"/>
              <w:bottom w:val="single" w:sz="4" w:space="0" w:color="auto"/>
              <w:right w:val="single" w:sz="4" w:space="0" w:color="auto"/>
            </w:tcBorders>
            <w:vAlign w:val="center"/>
          </w:tcPr>
          <w:p w14:paraId="01911B86" w14:textId="77777777" w:rsidR="008228F7" w:rsidRPr="003B4337" w:rsidRDefault="008228F7" w:rsidP="008228F7">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lastRenderedPageBreak/>
              <w:t>ATAENC</w:t>
            </w:r>
          </w:p>
        </w:tc>
        <w:tc>
          <w:tcPr>
            <w:tcW w:w="7224" w:type="dxa"/>
            <w:tcBorders>
              <w:top w:val="single" w:sz="4" w:space="0" w:color="auto"/>
              <w:left w:val="single" w:sz="4" w:space="0" w:color="auto"/>
              <w:bottom w:val="single" w:sz="4" w:space="0" w:color="auto"/>
              <w:right w:val="single" w:sz="4" w:space="0" w:color="auto"/>
            </w:tcBorders>
            <w:shd w:val="clear" w:color="auto" w:fill="auto"/>
            <w:vAlign w:val="center"/>
          </w:tcPr>
          <w:p w14:paraId="36D99103" w14:textId="77777777" w:rsidR="008228F7" w:rsidRPr="003B4337" w:rsidRDefault="008228F7" w:rsidP="008228F7">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Cópia da Ata da Assembleia-Geral ou Certidão de Sentença, que tiver homologado o encerramento da liquidação, com prova de arquivamento no órgão de registro, caso a entidade tenha sido extinta no exercício a que se refere a prestação de contas (Art. 210, inciso IX da Lei 6.404/76).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39CF5CF" w14:textId="77777777" w:rsidR="008228F7" w:rsidRPr="003B4337" w:rsidRDefault="008228F7" w:rsidP="008228F7">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c>
          <w:tcPr>
            <w:tcW w:w="1134" w:type="dxa"/>
            <w:tcBorders>
              <w:top w:val="single" w:sz="4" w:space="0" w:color="auto"/>
              <w:left w:val="single" w:sz="4" w:space="0" w:color="auto"/>
              <w:bottom w:val="single" w:sz="4" w:space="0" w:color="auto"/>
              <w:right w:val="single" w:sz="4" w:space="0" w:color="auto"/>
            </w:tcBorders>
            <w:vAlign w:val="center"/>
          </w:tcPr>
          <w:p w14:paraId="478EE3B6" w14:textId="77777777" w:rsidR="008228F7" w:rsidRPr="00CB55B0" w:rsidRDefault="008228F7" w:rsidP="008228F7">
            <w:pPr>
              <w:spacing w:after="0" w:line="240" w:lineRule="auto"/>
              <w:jc w:val="center"/>
              <w:rPr>
                <w:rFonts w:ascii="Arial" w:eastAsia="Times New Roman" w:hAnsi="Arial" w:cs="Arial"/>
                <w:sz w:val="14"/>
                <w:szCs w:val="14"/>
                <w:lang w:eastAsia="pt-BR"/>
              </w:rPr>
            </w:pPr>
          </w:p>
        </w:tc>
        <w:tc>
          <w:tcPr>
            <w:tcW w:w="1134" w:type="dxa"/>
            <w:tcBorders>
              <w:top w:val="single" w:sz="4" w:space="0" w:color="auto"/>
              <w:left w:val="single" w:sz="4" w:space="0" w:color="auto"/>
              <w:bottom w:val="single" w:sz="4" w:space="0" w:color="auto"/>
              <w:right w:val="single" w:sz="4" w:space="0" w:color="auto"/>
            </w:tcBorders>
            <w:vAlign w:val="center"/>
          </w:tcPr>
          <w:p w14:paraId="4FC28AF8"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tcBorders>
              <w:top w:val="single" w:sz="4" w:space="0" w:color="auto"/>
              <w:left w:val="single" w:sz="4" w:space="0" w:color="auto"/>
              <w:bottom w:val="single" w:sz="4" w:space="0" w:color="auto"/>
              <w:right w:val="single" w:sz="4" w:space="0" w:color="auto"/>
            </w:tcBorders>
            <w:vAlign w:val="center"/>
          </w:tcPr>
          <w:p w14:paraId="755A1B5D" w14:textId="77777777" w:rsidR="008228F7" w:rsidRPr="00CB55B0" w:rsidRDefault="008228F7" w:rsidP="008228F7">
            <w:pPr>
              <w:spacing w:after="0" w:line="240" w:lineRule="auto"/>
              <w:jc w:val="center"/>
              <w:rPr>
                <w:rFonts w:ascii="Arial" w:eastAsia="Times New Roman" w:hAnsi="Arial" w:cs="Arial"/>
                <w:sz w:val="14"/>
                <w:szCs w:val="14"/>
                <w:lang w:eastAsia="pt-BR"/>
              </w:rPr>
            </w:pPr>
          </w:p>
        </w:tc>
        <w:tc>
          <w:tcPr>
            <w:tcW w:w="1134" w:type="dxa"/>
            <w:tcBorders>
              <w:top w:val="single" w:sz="4" w:space="0" w:color="auto"/>
              <w:left w:val="single" w:sz="4" w:space="0" w:color="auto"/>
              <w:bottom w:val="single" w:sz="4" w:space="0" w:color="auto"/>
              <w:right w:val="single" w:sz="4" w:space="0" w:color="auto"/>
            </w:tcBorders>
            <w:vAlign w:val="center"/>
          </w:tcPr>
          <w:p w14:paraId="1CD8C5BC"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r>
      <w:tr w:rsidR="008228F7" w:rsidRPr="009A4B9C" w14:paraId="709E76BD" w14:textId="77777777" w:rsidTr="007D64A9">
        <w:tc>
          <w:tcPr>
            <w:tcW w:w="1276" w:type="dxa"/>
            <w:tcBorders>
              <w:top w:val="single" w:sz="4" w:space="0" w:color="auto"/>
              <w:left w:val="single" w:sz="4" w:space="0" w:color="auto"/>
              <w:bottom w:val="single" w:sz="4" w:space="0" w:color="auto"/>
              <w:right w:val="single" w:sz="4" w:space="0" w:color="auto"/>
            </w:tcBorders>
            <w:vAlign w:val="center"/>
          </w:tcPr>
          <w:p w14:paraId="358A648D" w14:textId="77777777" w:rsidR="008228F7" w:rsidRPr="003B4337" w:rsidRDefault="008228F7" w:rsidP="008228F7">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PBATAE</w:t>
            </w:r>
          </w:p>
        </w:tc>
        <w:tc>
          <w:tcPr>
            <w:tcW w:w="7224" w:type="dxa"/>
            <w:tcBorders>
              <w:top w:val="single" w:sz="4" w:space="0" w:color="auto"/>
              <w:left w:val="single" w:sz="4" w:space="0" w:color="auto"/>
              <w:bottom w:val="single" w:sz="4" w:space="0" w:color="auto"/>
              <w:right w:val="single" w:sz="4" w:space="0" w:color="auto"/>
            </w:tcBorders>
            <w:shd w:val="clear" w:color="auto" w:fill="auto"/>
            <w:vAlign w:val="center"/>
          </w:tcPr>
          <w:p w14:paraId="19403AAF" w14:textId="77777777" w:rsidR="008228F7" w:rsidRPr="003B4337" w:rsidRDefault="008228F7" w:rsidP="008228F7">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Cópia da publicação da Ata da Assembleia Geral que deliberou o encerramento da liquidação, caso a entidade tenha sido extinta no exercício a que se refere a prestação de contas (Art. 210, inciso IX da Lei 6.404/76).</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0180DA9" w14:textId="77777777" w:rsidR="008228F7" w:rsidRPr="003B4337" w:rsidRDefault="008228F7" w:rsidP="008228F7">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c>
          <w:tcPr>
            <w:tcW w:w="1134" w:type="dxa"/>
            <w:tcBorders>
              <w:top w:val="single" w:sz="4" w:space="0" w:color="auto"/>
              <w:left w:val="single" w:sz="4" w:space="0" w:color="auto"/>
              <w:bottom w:val="single" w:sz="4" w:space="0" w:color="auto"/>
              <w:right w:val="single" w:sz="4" w:space="0" w:color="auto"/>
            </w:tcBorders>
            <w:vAlign w:val="center"/>
          </w:tcPr>
          <w:p w14:paraId="45D0EE2D" w14:textId="77777777" w:rsidR="008228F7" w:rsidRPr="00CB55B0" w:rsidRDefault="008228F7" w:rsidP="008228F7">
            <w:pPr>
              <w:spacing w:after="0" w:line="240" w:lineRule="auto"/>
              <w:jc w:val="center"/>
              <w:rPr>
                <w:rFonts w:ascii="Arial" w:eastAsia="Times New Roman" w:hAnsi="Arial" w:cs="Arial"/>
                <w:sz w:val="14"/>
                <w:szCs w:val="14"/>
                <w:lang w:eastAsia="pt-BR"/>
              </w:rPr>
            </w:pPr>
          </w:p>
        </w:tc>
        <w:tc>
          <w:tcPr>
            <w:tcW w:w="1134" w:type="dxa"/>
            <w:tcBorders>
              <w:top w:val="single" w:sz="4" w:space="0" w:color="auto"/>
              <w:left w:val="single" w:sz="4" w:space="0" w:color="auto"/>
              <w:bottom w:val="single" w:sz="4" w:space="0" w:color="auto"/>
              <w:right w:val="single" w:sz="4" w:space="0" w:color="auto"/>
            </w:tcBorders>
            <w:vAlign w:val="center"/>
          </w:tcPr>
          <w:p w14:paraId="7B4E0FC2"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tcBorders>
              <w:top w:val="single" w:sz="4" w:space="0" w:color="auto"/>
              <w:left w:val="single" w:sz="4" w:space="0" w:color="auto"/>
              <w:bottom w:val="single" w:sz="4" w:space="0" w:color="auto"/>
              <w:right w:val="single" w:sz="4" w:space="0" w:color="auto"/>
            </w:tcBorders>
            <w:vAlign w:val="center"/>
          </w:tcPr>
          <w:p w14:paraId="7CBF7664" w14:textId="77777777" w:rsidR="008228F7" w:rsidRPr="00CB55B0" w:rsidRDefault="008228F7" w:rsidP="008228F7">
            <w:pPr>
              <w:spacing w:after="0" w:line="240" w:lineRule="auto"/>
              <w:jc w:val="center"/>
              <w:rPr>
                <w:rFonts w:ascii="Arial" w:eastAsia="Times New Roman" w:hAnsi="Arial" w:cs="Arial"/>
                <w:sz w:val="14"/>
                <w:szCs w:val="14"/>
                <w:lang w:eastAsia="pt-BR"/>
              </w:rPr>
            </w:pPr>
          </w:p>
        </w:tc>
        <w:tc>
          <w:tcPr>
            <w:tcW w:w="1134" w:type="dxa"/>
            <w:tcBorders>
              <w:top w:val="single" w:sz="4" w:space="0" w:color="auto"/>
              <w:left w:val="single" w:sz="4" w:space="0" w:color="auto"/>
              <w:bottom w:val="single" w:sz="4" w:space="0" w:color="auto"/>
              <w:right w:val="single" w:sz="4" w:space="0" w:color="auto"/>
            </w:tcBorders>
            <w:vAlign w:val="center"/>
          </w:tcPr>
          <w:p w14:paraId="582DD057"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r>
      <w:tr w:rsidR="008228F7" w:rsidRPr="001E0368" w14:paraId="09DC8EB0" w14:textId="77777777" w:rsidTr="007D64A9">
        <w:tc>
          <w:tcPr>
            <w:tcW w:w="1276" w:type="dxa"/>
            <w:tcBorders>
              <w:top w:val="single" w:sz="4" w:space="0" w:color="auto"/>
              <w:left w:val="single" w:sz="4" w:space="0" w:color="auto"/>
              <w:bottom w:val="single" w:sz="4" w:space="0" w:color="auto"/>
              <w:right w:val="single" w:sz="4" w:space="0" w:color="auto"/>
            </w:tcBorders>
            <w:vAlign w:val="center"/>
          </w:tcPr>
          <w:p w14:paraId="0A3E2866" w14:textId="77777777" w:rsidR="008228F7" w:rsidRPr="003B4337" w:rsidRDefault="008228F7" w:rsidP="008228F7">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AGOENC</w:t>
            </w:r>
          </w:p>
        </w:tc>
        <w:tc>
          <w:tcPr>
            <w:tcW w:w="7224" w:type="dxa"/>
            <w:tcBorders>
              <w:top w:val="single" w:sz="4" w:space="0" w:color="auto"/>
              <w:left w:val="single" w:sz="4" w:space="0" w:color="auto"/>
              <w:bottom w:val="single" w:sz="4" w:space="0" w:color="auto"/>
              <w:right w:val="single" w:sz="4" w:space="0" w:color="auto"/>
            </w:tcBorders>
            <w:shd w:val="clear" w:color="auto" w:fill="auto"/>
            <w:vAlign w:val="center"/>
          </w:tcPr>
          <w:p w14:paraId="0DA08EB9" w14:textId="77777777" w:rsidR="008228F7" w:rsidRPr="003B4337" w:rsidRDefault="008228F7" w:rsidP="008228F7">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Cópia da Ata da Assembleia-Geral, que tiver deliberado sobre a aprovação das “Demonstrações Financeiras de Encerramento”, caso a entidade tenha sido extinta no exercício a que se refere a prestação de contas (Art. 210, incisos VIII e art. 216 da Lei 6.404/76).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390157D" w14:textId="77777777" w:rsidR="008228F7" w:rsidRPr="003B4337" w:rsidRDefault="008228F7" w:rsidP="008228F7">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c>
          <w:tcPr>
            <w:tcW w:w="1134" w:type="dxa"/>
            <w:tcBorders>
              <w:top w:val="single" w:sz="4" w:space="0" w:color="auto"/>
              <w:left w:val="single" w:sz="4" w:space="0" w:color="auto"/>
              <w:bottom w:val="single" w:sz="4" w:space="0" w:color="auto"/>
              <w:right w:val="single" w:sz="4" w:space="0" w:color="auto"/>
            </w:tcBorders>
            <w:vAlign w:val="center"/>
          </w:tcPr>
          <w:p w14:paraId="299544C9" w14:textId="77777777" w:rsidR="008228F7" w:rsidRPr="00CB55B0" w:rsidRDefault="008228F7" w:rsidP="008228F7">
            <w:pPr>
              <w:spacing w:after="0" w:line="240" w:lineRule="auto"/>
              <w:jc w:val="center"/>
              <w:rPr>
                <w:rFonts w:ascii="Arial" w:eastAsia="Times New Roman" w:hAnsi="Arial" w:cs="Arial"/>
                <w:sz w:val="14"/>
                <w:szCs w:val="14"/>
                <w:lang w:eastAsia="pt-BR"/>
              </w:rPr>
            </w:pPr>
          </w:p>
        </w:tc>
        <w:tc>
          <w:tcPr>
            <w:tcW w:w="1134" w:type="dxa"/>
            <w:tcBorders>
              <w:top w:val="single" w:sz="4" w:space="0" w:color="auto"/>
              <w:left w:val="single" w:sz="4" w:space="0" w:color="auto"/>
              <w:bottom w:val="single" w:sz="4" w:space="0" w:color="auto"/>
              <w:right w:val="single" w:sz="4" w:space="0" w:color="auto"/>
            </w:tcBorders>
            <w:vAlign w:val="center"/>
          </w:tcPr>
          <w:p w14:paraId="5E7CADD5"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tcBorders>
              <w:top w:val="single" w:sz="4" w:space="0" w:color="auto"/>
              <w:left w:val="single" w:sz="4" w:space="0" w:color="auto"/>
              <w:bottom w:val="single" w:sz="4" w:space="0" w:color="auto"/>
              <w:right w:val="single" w:sz="4" w:space="0" w:color="auto"/>
            </w:tcBorders>
            <w:vAlign w:val="center"/>
          </w:tcPr>
          <w:p w14:paraId="7025A3E9" w14:textId="77777777" w:rsidR="008228F7" w:rsidRPr="00CB55B0" w:rsidRDefault="008228F7" w:rsidP="008228F7">
            <w:pPr>
              <w:spacing w:after="0" w:line="240" w:lineRule="auto"/>
              <w:jc w:val="center"/>
              <w:rPr>
                <w:rFonts w:ascii="Arial" w:eastAsia="Times New Roman" w:hAnsi="Arial" w:cs="Arial"/>
                <w:sz w:val="14"/>
                <w:szCs w:val="14"/>
                <w:lang w:eastAsia="pt-BR"/>
              </w:rPr>
            </w:pPr>
          </w:p>
        </w:tc>
        <w:tc>
          <w:tcPr>
            <w:tcW w:w="1134" w:type="dxa"/>
            <w:tcBorders>
              <w:top w:val="single" w:sz="4" w:space="0" w:color="auto"/>
              <w:left w:val="single" w:sz="4" w:space="0" w:color="auto"/>
              <w:bottom w:val="single" w:sz="4" w:space="0" w:color="auto"/>
              <w:right w:val="single" w:sz="4" w:space="0" w:color="auto"/>
            </w:tcBorders>
            <w:vAlign w:val="center"/>
          </w:tcPr>
          <w:p w14:paraId="6F0E122F"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r>
      <w:tr w:rsidR="008228F7" w:rsidRPr="001E0368" w14:paraId="3A54C2AE" w14:textId="77777777" w:rsidTr="007D64A9">
        <w:tc>
          <w:tcPr>
            <w:tcW w:w="1276" w:type="dxa"/>
            <w:tcBorders>
              <w:top w:val="single" w:sz="4" w:space="0" w:color="auto"/>
              <w:left w:val="single" w:sz="4" w:space="0" w:color="auto"/>
              <w:bottom w:val="single" w:sz="4" w:space="0" w:color="auto"/>
              <w:right w:val="single" w:sz="4" w:space="0" w:color="auto"/>
            </w:tcBorders>
            <w:vAlign w:val="center"/>
          </w:tcPr>
          <w:p w14:paraId="6D5AA1EB" w14:textId="77777777" w:rsidR="008228F7" w:rsidRPr="003B4337" w:rsidRDefault="008228F7" w:rsidP="008228F7">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BALENC</w:t>
            </w:r>
          </w:p>
        </w:tc>
        <w:tc>
          <w:tcPr>
            <w:tcW w:w="7224" w:type="dxa"/>
            <w:tcBorders>
              <w:top w:val="single" w:sz="4" w:space="0" w:color="auto"/>
              <w:left w:val="single" w:sz="4" w:space="0" w:color="auto"/>
              <w:bottom w:val="single" w:sz="4" w:space="0" w:color="auto"/>
              <w:right w:val="single" w:sz="4" w:space="0" w:color="auto"/>
            </w:tcBorders>
            <w:shd w:val="clear" w:color="auto" w:fill="auto"/>
            <w:vAlign w:val="center"/>
          </w:tcPr>
          <w:p w14:paraId="4902A61D" w14:textId="77777777" w:rsidR="008228F7" w:rsidRPr="003B4337" w:rsidRDefault="008228F7" w:rsidP="008228F7">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Balanço Patrimonial de Encerramento, demonstrando os saldos remanescentes na data de encerramento da liquidação, caso a entidade tenha sido extinta no exercício a que se refere a prestação de contas (Art. 210, inciso IV da Lei 6.404/76).</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5AB7630" w14:textId="77777777" w:rsidR="008228F7" w:rsidRPr="003B4337" w:rsidRDefault="008228F7" w:rsidP="008228F7">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c>
          <w:tcPr>
            <w:tcW w:w="1134" w:type="dxa"/>
            <w:tcBorders>
              <w:top w:val="single" w:sz="4" w:space="0" w:color="auto"/>
              <w:left w:val="single" w:sz="4" w:space="0" w:color="auto"/>
              <w:bottom w:val="single" w:sz="4" w:space="0" w:color="auto"/>
              <w:right w:val="single" w:sz="4" w:space="0" w:color="auto"/>
            </w:tcBorders>
            <w:vAlign w:val="center"/>
          </w:tcPr>
          <w:p w14:paraId="1DE1C623" w14:textId="77777777" w:rsidR="008228F7" w:rsidRPr="00CB55B0" w:rsidRDefault="008228F7" w:rsidP="008228F7">
            <w:pPr>
              <w:spacing w:after="0" w:line="240" w:lineRule="auto"/>
              <w:jc w:val="center"/>
              <w:rPr>
                <w:rFonts w:ascii="Arial" w:eastAsia="Times New Roman" w:hAnsi="Arial" w:cs="Arial"/>
                <w:sz w:val="14"/>
                <w:szCs w:val="14"/>
                <w:lang w:eastAsia="pt-BR"/>
              </w:rPr>
            </w:pPr>
          </w:p>
        </w:tc>
        <w:tc>
          <w:tcPr>
            <w:tcW w:w="1134" w:type="dxa"/>
            <w:tcBorders>
              <w:top w:val="single" w:sz="4" w:space="0" w:color="auto"/>
              <w:left w:val="single" w:sz="4" w:space="0" w:color="auto"/>
              <w:bottom w:val="single" w:sz="4" w:space="0" w:color="auto"/>
              <w:right w:val="single" w:sz="4" w:space="0" w:color="auto"/>
            </w:tcBorders>
            <w:vAlign w:val="center"/>
          </w:tcPr>
          <w:p w14:paraId="797AF71E"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tcBorders>
              <w:top w:val="single" w:sz="4" w:space="0" w:color="auto"/>
              <w:left w:val="single" w:sz="4" w:space="0" w:color="auto"/>
              <w:bottom w:val="single" w:sz="4" w:space="0" w:color="auto"/>
              <w:right w:val="single" w:sz="4" w:space="0" w:color="auto"/>
            </w:tcBorders>
            <w:vAlign w:val="center"/>
          </w:tcPr>
          <w:p w14:paraId="7D6721E5" w14:textId="77777777" w:rsidR="008228F7" w:rsidRPr="00CB55B0" w:rsidRDefault="008228F7" w:rsidP="008228F7">
            <w:pPr>
              <w:spacing w:after="0" w:line="240" w:lineRule="auto"/>
              <w:jc w:val="center"/>
              <w:rPr>
                <w:rFonts w:ascii="Arial" w:eastAsia="Times New Roman" w:hAnsi="Arial" w:cs="Arial"/>
                <w:sz w:val="14"/>
                <w:szCs w:val="14"/>
                <w:lang w:eastAsia="pt-BR"/>
              </w:rPr>
            </w:pPr>
          </w:p>
        </w:tc>
        <w:tc>
          <w:tcPr>
            <w:tcW w:w="1134" w:type="dxa"/>
            <w:tcBorders>
              <w:top w:val="single" w:sz="4" w:space="0" w:color="auto"/>
              <w:left w:val="single" w:sz="4" w:space="0" w:color="auto"/>
              <w:bottom w:val="single" w:sz="4" w:space="0" w:color="auto"/>
              <w:right w:val="single" w:sz="4" w:space="0" w:color="auto"/>
            </w:tcBorders>
            <w:vAlign w:val="center"/>
          </w:tcPr>
          <w:p w14:paraId="788C52E3"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r>
      <w:tr w:rsidR="008228F7" w:rsidRPr="001E0368" w14:paraId="397A7D21" w14:textId="77777777" w:rsidTr="007D64A9">
        <w:tc>
          <w:tcPr>
            <w:tcW w:w="1276" w:type="dxa"/>
            <w:tcBorders>
              <w:top w:val="single" w:sz="4" w:space="0" w:color="auto"/>
              <w:left w:val="single" w:sz="4" w:space="0" w:color="auto"/>
              <w:bottom w:val="single" w:sz="4" w:space="0" w:color="auto"/>
              <w:right w:val="single" w:sz="4" w:space="0" w:color="auto"/>
            </w:tcBorders>
            <w:vAlign w:val="center"/>
          </w:tcPr>
          <w:p w14:paraId="60BD5C8F" w14:textId="77777777" w:rsidR="008228F7" w:rsidRPr="003B4337" w:rsidRDefault="008228F7" w:rsidP="008228F7">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DEMENC</w:t>
            </w:r>
          </w:p>
        </w:tc>
        <w:tc>
          <w:tcPr>
            <w:tcW w:w="7224" w:type="dxa"/>
            <w:tcBorders>
              <w:top w:val="single" w:sz="4" w:space="0" w:color="auto"/>
              <w:left w:val="single" w:sz="4" w:space="0" w:color="auto"/>
              <w:bottom w:val="single" w:sz="4" w:space="0" w:color="auto"/>
              <w:right w:val="single" w:sz="4" w:space="0" w:color="auto"/>
            </w:tcBorders>
            <w:shd w:val="clear" w:color="auto" w:fill="auto"/>
            <w:vAlign w:val="center"/>
          </w:tcPr>
          <w:p w14:paraId="5B94C180" w14:textId="77777777" w:rsidR="008228F7" w:rsidRPr="003B4337" w:rsidRDefault="008228F7" w:rsidP="008228F7">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Demonstração do Resultado de Encerramento, contendo a movimentação até a data de encerramento da liquidação, caso a entidade tenha sido extinta no exercício a que se refere a prestação de contas (Artigo 210, inciso IV da Lei 6.404/76).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4D02663" w14:textId="77777777" w:rsidR="008228F7" w:rsidRPr="003B4337" w:rsidRDefault="008228F7" w:rsidP="008228F7">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c>
          <w:tcPr>
            <w:tcW w:w="1134" w:type="dxa"/>
            <w:tcBorders>
              <w:top w:val="single" w:sz="4" w:space="0" w:color="auto"/>
              <w:left w:val="single" w:sz="4" w:space="0" w:color="auto"/>
              <w:bottom w:val="single" w:sz="4" w:space="0" w:color="auto"/>
              <w:right w:val="single" w:sz="4" w:space="0" w:color="auto"/>
            </w:tcBorders>
            <w:vAlign w:val="center"/>
          </w:tcPr>
          <w:p w14:paraId="705D8A77" w14:textId="77777777" w:rsidR="008228F7" w:rsidRPr="00CB55B0" w:rsidRDefault="008228F7" w:rsidP="008228F7">
            <w:pPr>
              <w:spacing w:after="0" w:line="240" w:lineRule="auto"/>
              <w:jc w:val="center"/>
              <w:rPr>
                <w:rFonts w:ascii="Arial" w:eastAsia="Times New Roman" w:hAnsi="Arial" w:cs="Arial"/>
                <w:sz w:val="14"/>
                <w:szCs w:val="14"/>
                <w:lang w:eastAsia="pt-BR"/>
              </w:rPr>
            </w:pPr>
          </w:p>
        </w:tc>
        <w:tc>
          <w:tcPr>
            <w:tcW w:w="1134" w:type="dxa"/>
            <w:tcBorders>
              <w:top w:val="single" w:sz="4" w:space="0" w:color="auto"/>
              <w:left w:val="single" w:sz="4" w:space="0" w:color="auto"/>
              <w:bottom w:val="single" w:sz="4" w:space="0" w:color="auto"/>
              <w:right w:val="single" w:sz="4" w:space="0" w:color="auto"/>
            </w:tcBorders>
            <w:vAlign w:val="center"/>
          </w:tcPr>
          <w:p w14:paraId="4F95E3A7"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tcBorders>
              <w:top w:val="single" w:sz="4" w:space="0" w:color="auto"/>
              <w:left w:val="single" w:sz="4" w:space="0" w:color="auto"/>
              <w:bottom w:val="single" w:sz="4" w:space="0" w:color="auto"/>
              <w:right w:val="single" w:sz="4" w:space="0" w:color="auto"/>
            </w:tcBorders>
            <w:vAlign w:val="center"/>
          </w:tcPr>
          <w:p w14:paraId="444B5137" w14:textId="77777777" w:rsidR="008228F7" w:rsidRPr="00CB55B0" w:rsidRDefault="008228F7" w:rsidP="008228F7">
            <w:pPr>
              <w:spacing w:after="0" w:line="240" w:lineRule="auto"/>
              <w:jc w:val="center"/>
              <w:rPr>
                <w:rFonts w:ascii="Arial" w:eastAsia="Times New Roman" w:hAnsi="Arial" w:cs="Arial"/>
                <w:sz w:val="14"/>
                <w:szCs w:val="14"/>
                <w:lang w:eastAsia="pt-BR"/>
              </w:rPr>
            </w:pPr>
          </w:p>
        </w:tc>
        <w:tc>
          <w:tcPr>
            <w:tcW w:w="1134" w:type="dxa"/>
            <w:tcBorders>
              <w:top w:val="single" w:sz="4" w:space="0" w:color="auto"/>
              <w:left w:val="single" w:sz="4" w:space="0" w:color="auto"/>
              <w:bottom w:val="single" w:sz="4" w:space="0" w:color="auto"/>
              <w:right w:val="single" w:sz="4" w:space="0" w:color="auto"/>
            </w:tcBorders>
            <w:vAlign w:val="center"/>
          </w:tcPr>
          <w:p w14:paraId="187772C4"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r>
      <w:tr w:rsidR="008228F7" w:rsidRPr="001E0368" w14:paraId="69F160A4" w14:textId="77777777" w:rsidTr="007D64A9">
        <w:tc>
          <w:tcPr>
            <w:tcW w:w="1276" w:type="dxa"/>
            <w:tcBorders>
              <w:top w:val="single" w:sz="4" w:space="0" w:color="auto"/>
              <w:left w:val="single" w:sz="4" w:space="0" w:color="auto"/>
              <w:bottom w:val="single" w:sz="4" w:space="0" w:color="auto"/>
              <w:right w:val="single" w:sz="4" w:space="0" w:color="auto"/>
            </w:tcBorders>
            <w:vAlign w:val="center"/>
          </w:tcPr>
          <w:p w14:paraId="2B1F301C" w14:textId="77777777" w:rsidR="008228F7" w:rsidRPr="003B4337" w:rsidRDefault="008228F7" w:rsidP="008228F7">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NEXENC</w:t>
            </w:r>
          </w:p>
        </w:tc>
        <w:tc>
          <w:tcPr>
            <w:tcW w:w="7224" w:type="dxa"/>
            <w:tcBorders>
              <w:top w:val="single" w:sz="4" w:space="0" w:color="auto"/>
              <w:left w:val="single" w:sz="4" w:space="0" w:color="auto"/>
              <w:bottom w:val="single" w:sz="4" w:space="0" w:color="auto"/>
              <w:right w:val="single" w:sz="4" w:space="0" w:color="auto"/>
            </w:tcBorders>
            <w:shd w:val="clear" w:color="auto" w:fill="auto"/>
            <w:vAlign w:val="center"/>
          </w:tcPr>
          <w:p w14:paraId="668562D5" w14:textId="77777777" w:rsidR="008228F7" w:rsidRPr="003B4337" w:rsidRDefault="008228F7" w:rsidP="008228F7">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Notas Explicativas às Demonstrações Financeiras de encerramento, quando houver, caso a entidade tenha sido extinta no exercício a que se refere a prestação de contas.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62D7C38" w14:textId="77777777" w:rsidR="008228F7" w:rsidRPr="003B4337" w:rsidRDefault="008228F7" w:rsidP="008228F7">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c>
          <w:tcPr>
            <w:tcW w:w="1134" w:type="dxa"/>
            <w:tcBorders>
              <w:top w:val="single" w:sz="4" w:space="0" w:color="auto"/>
              <w:left w:val="single" w:sz="4" w:space="0" w:color="auto"/>
              <w:bottom w:val="single" w:sz="4" w:space="0" w:color="auto"/>
              <w:right w:val="single" w:sz="4" w:space="0" w:color="auto"/>
            </w:tcBorders>
            <w:vAlign w:val="center"/>
          </w:tcPr>
          <w:p w14:paraId="3A0326F8" w14:textId="77777777" w:rsidR="008228F7" w:rsidRPr="00CB55B0" w:rsidRDefault="008228F7" w:rsidP="008228F7">
            <w:pPr>
              <w:spacing w:after="0" w:line="240" w:lineRule="auto"/>
              <w:jc w:val="center"/>
              <w:rPr>
                <w:rFonts w:ascii="Arial" w:eastAsia="Times New Roman" w:hAnsi="Arial" w:cs="Arial"/>
                <w:sz w:val="14"/>
                <w:szCs w:val="14"/>
                <w:lang w:eastAsia="pt-BR"/>
              </w:rPr>
            </w:pPr>
          </w:p>
        </w:tc>
        <w:tc>
          <w:tcPr>
            <w:tcW w:w="1134" w:type="dxa"/>
            <w:tcBorders>
              <w:top w:val="single" w:sz="4" w:space="0" w:color="auto"/>
              <w:left w:val="single" w:sz="4" w:space="0" w:color="auto"/>
              <w:bottom w:val="single" w:sz="4" w:space="0" w:color="auto"/>
              <w:right w:val="single" w:sz="4" w:space="0" w:color="auto"/>
            </w:tcBorders>
            <w:vAlign w:val="center"/>
          </w:tcPr>
          <w:p w14:paraId="25FABB88"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tcBorders>
              <w:top w:val="single" w:sz="4" w:space="0" w:color="auto"/>
              <w:left w:val="single" w:sz="4" w:space="0" w:color="auto"/>
              <w:bottom w:val="single" w:sz="4" w:space="0" w:color="auto"/>
              <w:right w:val="single" w:sz="4" w:space="0" w:color="auto"/>
            </w:tcBorders>
            <w:vAlign w:val="center"/>
          </w:tcPr>
          <w:p w14:paraId="1EF9162B" w14:textId="77777777" w:rsidR="008228F7" w:rsidRPr="00CB55B0" w:rsidRDefault="008228F7" w:rsidP="008228F7">
            <w:pPr>
              <w:spacing w:after="0" w:line="240" w:lineRule="auto"/>
              <w:jc w:val="center"/>
              <w:rPr>
                <w:rFonts w:ascii="Arial" w:eastAsia="Times New Roman" w:hAnsi="Arial" w:cs="Arial"/>
                <w:sz w:val="14"/>
                <w:szCs w:val="14"/>
                <w:lang w:eastAsia="pt-BR"/>
              </w:rPr>
            </w:pPr>
          </w:p>
        </w:tc>
        <w:tc>
          <w:tcPr>
            <w:tcW w:w="1134" w:type="dxa"/>
            <w:tcBorders>
              <w:top w:val="single" w:sz="4" w:space="0" w:color="auto"/>
              <w:left w:val="single" w:sz="4" w:space="0" w:color="auto"/>
              <w:bottom w:val="single" w:sz="4" w:space="0" w:color="auto"/>
              <w:right w:val="single" w:sz="4" w:space="0" w:color="auto"/>
            </w:tcBorders>
            <w:vAlign w:val="center"/>
          </w:tcPr>
          <w:p w14:paraId="54D42738"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r>
      <w:tr w:rsidR="008228F7" w:rsidRPr="001E0368" w14:paraId="65DB8B62" w14:textId="77777777" w:rsidTr="007D64A9">
        <w:tc>
          <w:tcPr>
            <w:tcW w:w="1276" w:type="dxa"/>
            <w:tcBorders>
              <w:top w:val="single" w:sz="4" w:space="0" w:color="auto"/>
              <w:left w:val="single" w:sz="4" w:space="0" w:color="auto"/>
              <w:bottom w:val="single" w:sz="4" w:space="0" w:color="auto"/>
              <w:right w:val="single" w:sz="4" w:space="0" w:color="auto"/>
            </w:tcBorders>
            <w:vAlign w:val="center"/>
          </w:tcPr>
          <w:p w14:paraId="6C15507D" w14:textId="77777777" w:rsidR="008228F7" w:rsidRPr="003B4337" w:rsidRDefault="008228F7" w:rsidP="008228F7">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TVDENC</w:t>
            </w:r>
          </w:p>
        </w:tc>
        <w:tc>
          <w:tcPr>
            <w:tcW w:w="7224" w:type="dxa"/>
            <w:tcBorders>
              <w:top w:val="single" w:sz="4" w:space="0" w:color="auto"/>
              <w:left w:val="single" w:sz="4" w:space="0" w:color="auto"/>
              <w:bottom w:val="single" w:sz="4" w:space="0" w:color="auto"/>
              <w:right w:val="single" w:sz="4" w:space="0" w:color="auto"/>
            </w:tcBorders>
            <w:shd w:val="clear" w:color="auto" w:fill="auto"/>
            <w:vAlign w:val="center"/>
          </w:tcPr>
          <w:p w14:paraId="08BDAE3F" w14:textId="77777777" w:rsidR="008228F7" w:rsidRPr="003B4337" w:rsidRDefault="008228F7" w:rsidP="008228F7">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Termo de Verificação das Disponibilidades Financeiras (Caixa e Banco), existentes na data de encerramento da Liquidação, caso a entidade tenha sido extinta no exercício a que se refere a prestação de contas (Art. 210, inciso IV da Lei 6.404/76).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FD24A7A" w14:textId="77777777" w:rsidR="008228F7" w:rsidRPr="003B4337" w:rsidRDefault="008228F7" w:rsidP="008228F7">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c>
          <w:tcPr>
            <w:tcW w:w="1134" w:type="dxa"/>
            <w:tcBorders>
              <w:top w:val="single" w:sz="4" w:space="0" w:color="auto"/>
              <w:left w:val="single" w:sz="4" w:space="0" w:color="auto"/>
              <w:bottom w:val="single" w:sz="4" w:space="0" w:color="auto"/>
              <w:right w:val="single" w:sz="4" w:space="0" w:color="auto"/>
            </w:tcBorders>
            <w:vAlign w:val="center"/>
          </w:tcPr>
          <w:p w14:paraId="71800EDF" w14:textId="77777777" w:rsidR="008228F7" w:rsidRPr="00CB55B0" w:rsidRDefault="008228F7" w:rsidP="008228F7">
            <w:pPr>
              <w:spacing w:after="0" w:line="240" w:lineRule="auto"/>
              <w:jc w:val="center"/>
              <w:rPr>
                <w:rFonts w:ascii="Arial" w:eastAsia="Times New Roman" w:hAnsi="Arial" w:cs="Arial"/>
                <w:sz w:val="14"/>
                <w:szCs w:val="14"/>
                <w:lang w:eastAsia="pt-BR"/>
              </w:rPr>
            </w:pPr>
          </w:p>
        </w:tc>
        <w:tc>
          <w:tcPr>
            <w:tcW w:w="1134" w:type="dxa"/>
            <w:tcBorders>
              <w:top w:val="single" w:sz="4" w:space="0" w:color="auto"/>
              <w:left w:val="single" w:sz="4" w:space="0" w:color="auto"/>
              <w:bottom w:val="single" w:sz="4" w:space="0" w:color="auto"/>
              <w:right w:val="single" w:sz="4" w:space="0" w:color="auto"/>
            </w:tcBorders>
            <w:vAlign w:val="center"/>
          </w:tcPr>
          <w:p w14:paraId="58C77839"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tcBorders>
              <w:top w:val="single" w:sz="4" w:space="0" w:color="auto"/>
              <w:left w:val="single" w:sz="4" w:space="0" w:color="auto"/>
              <w:bottom w:val="single" w:sz="4" w:space="0" w:color="auto"/>
              <w:right w:val="single" w:sz="4" w:space="0" w:color="auto"/>
            </w:tcBorders>
            <w:vAlign w:val="center"/>
          </w:tcPr>
          <w:p w14:paraId="775BFC3E" w14:textId="77777777" w:rsidR="008228F7" w:rsidRPr="00CB55B0" w:rsidRDefault="008228F7" w:rsidP="008228F7">
            <w:pPr>
              <w:spacing w:after="0" w:line="240" w:lineRule="auto"/>
              <w:jc w:val="center"/>
              <w:rPr>
                <w:rFonts w:ascii="Arial" w:eastAsia="Times New Roman" w:hAnsi="Arial" w:cs="Arial"/>
                <w:sz w:val="14"/>
                <w:szCs w:val="14"/>
                <w:lang w:eastAsia="pt-BR"/>
              </w:rPr>
            </w:pPr>
          </w:p>
        </w:tc>
        <w:tc>
          <w:tcPr>
            <w:tcW w:w="1134" w:type="dxa"/>
            <w:tcBorders>
              <w:top w:val="single" w:sz="4" w:space="0" w:color="auto"/>
              <w:left w:val="single" w:sz="4" w:space="0" w:color="auto"/>
              <w:bottom w:val="single" w:sz="4" w:space="0" w:color="auto"/>
              <w:right w:val="single" w:sz="4" w:space="0" w:color="auto"/>
            </w:tcBorders>
            <w:vAlign w:val="center"/>
          </w:tcPr>
          <w:p w14:paraId="1EE8D90D"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r>
      <w:tr w:rsidR="008228F7" w:rsidRPr="001E0368" w14:paraId="69DA9227" w14:textId="77777777" w:rsidTr="007D64A9">
        <w:tc>
          <w:tcPr>
            <w:tcW w:w="1276" w:type="dxa"/>
            <w:tcBorders>
              <w:top w:val="single" w:sz="4" w:space="0" w:color="auto"/>
              <w:left w:val="single" w:sz="4" w:space="0" w:color="auto"/>
              <w:bottom w:val="single" w:sz="4" w:space="0" w:color="auto"/>
              <w:right w:val="single" w:sz="4" w:space="0" w:color="auto"/>
            </w:tcBorders>
            <w:vAlign w:val="center"/>
          </w:tcPr>
          <w:p w14:paraId="327F0944" w14:textId="77777777" w:rsidR="008228F7" w:rsidRPr="003B4337" w:rsidRDefault="008228F7" w:rsidP="008228F7">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lastRenderedPageBreak/>
              <w:t>EXTENC</w:t>
            </w:r>
          </w:p>
        </w:tc>
        <w:tc>
          <w:tcPr>
            <w:tcW w:w="7224" w:type="dxa"/>
            <w:tcBorders>
              <w:top w:val="single" w:sz="4" w:space="0" w:color="auto"/>
              <w:left w:val="single" w:sz="4" w:space="0" w:color="auto"/>
              <w:bottom w:val="single" w:sz="4" w:space="0" w:color="auto"/>
              <w:right w:val="single" w:sz="4" w:space="0" w:color="auto"/>
            </w:tcBorders>
            <w:shd w:val="clear" w:color="auto" w:fill="auto"/>
            <w:vAlign w:val="center"/>
          </w:tcPr>
          <w:p w14:paraId="4E93474D" w14:textId="77777777" w:rsidR="008228F7" w:rsidRPr="003B4337" w:rsidRDefault="008228F7" w:rsidP="008228F7">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Extratos bancários relativos à data do encerramento da Liquidação, caso a entidade tenha sido extinta no exercício a que se refere a prestação de contas.</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3232766" w14:textId="77777777" w:rsidR="008228F7" w:rsidRPr="003B4337" w:rsidRDefault="008228F7" w:rsidP="008228F7">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c>
          <w:tcPr>
            <w:tcW w:w="1134" w:type="dxa"/>
            <w:tcBorders>
              <w:top w:val="single" w:sz="4" w:space="0" w:color="auto"/>
              <w:left w:val="single" w:sz="4" w:space="0" w:color="auto"/>
              <w:bottom w:val="single" w:sz="4" w:space="0" w:color="auto"/>
              <w:right w:val="single" w:sz="4" w:space="0" w:color="auto"/>
            </w:tcBorders>
            <w:vAlign w:val="center"/>
          </w:tcPr>
          <w:p w14:paraId="76AB2009" w14:textId="77777777" w:rsidR="008228F7" w:rsidRPr="00CB55B0" w:rsidRDefault="008228F7" w:rsidP="008228F7">
            <w:pPr>
              <w:spacing w:after="0" w:line="240" w:lineRule="auto"/>
              <w:jc w:val="center"/>
              <w:rPr>
                <w:rFonts w:ascii="Arial" w:eastAsia="Times New Roman" w:hAnsi="Arial" w:cs="Arial"/>
                <w:sz w:val="14"/>
                <w:szCs w:val="14"/>
                <w:lang w:eastAsia="pt-BR"/>
              </w:rPr>
            </w:pPr>
          </w:p>
        </w:tc>
        <w:tc>
          <w:tcPr>
            <w:tcW w:w="1134" w:type="dxa"/>
            <w:tcBorders>
              <w:top w:val="single" w:sz="4" w:space="0" w:color="auto"/>
              <w:left w:val="single" w:sz="4" w:space="0" w:color="auto"/>
              <w:bottom w:val="single" w:sz="4" w:space="0" w:color="auto"/>
              <w:right w:val="single" w:sz="4" w:space="0" w:color="auto"/>
            </w:tcBorders>
            <w:vAlign w:val="center"/>
          </w:tcPr>
          <w:p w14:paraId="1DF8EB04"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tcBorders>
              <w:top w:val="single" w:sz="4" w:space="0" w:color="auto"/>
              <w:left w:val="single" w:sz="4" w:space="0" w:color="auto"/>
              <w:bottom w:val="single" w:sz="4" w:space="0" w:color="auto"/>
              <w:right w:val="single" w:sz="4" w:space="0" w:color="auto"/>
            </w:tcBorders>
            <w:vAlign w:val="center"/>
          </w:tcPr>
          <w:p w14:paraId="715CB8AA" w14:textId="77777777" w:rsidR="008228F7" w:rsidRPr="00CB55B0" w:rsidRDefault="008228F7" w:rsidP="008228F7">
            <w:pPr>
              <w:spacing w:after="0" w:line="240" w:lineRule="auto"/>
              <w:jc w:val="center"/>
              <w:rPr>
                <w:rFonts w:ascii="Arial" w:eastAsia="Times New Roman" w:hAnsi="Arial" w:cs="Arial"/>
                <w:sz w:val="14"/>
                <w:szCs w:val="14"/>
                <w:lang w:eastAsia="pt-BR"/>
              </w:rPr>
            </w:pPr>
          </w:p>
        </w:tc>
        <w:tc>
          <w:tcPr>
            <w:tcW w:w="1134" w:type="dxa"/>
            <w:tcBorders>
              <w:top w:val="single" w:sz="4" w:space="0" w:color="auto"/>
              <w:left w:val="single" w:sz="4" w:space="0" w:color="auto"/>
              <w:bottom w:val="single" w:sz="4" w:space="0" w:color="auto"/>
              <w:right w:val="single" w:sz="4" w:space="0" w:color="auto"/>
            </w:tcBorders>
            <w:vAlign w:val="center"/>
          </w:tcPr>
          <w:p w14:paraId="0D254527"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r>
      <w:tr w:rsidR="008228F7" w:rsidRPr="001E0368" w14:paraId="4D591FBD" w14:textId="77777777" w:rsidTr="007D64A9">
        <w:tc>
          <w:tcPr>
            <w:tcW w:w="1276" w:type="dxa"/>
            <w:tcBorders>
              <w:top w:val="single" w:sz="4" w:space="0" w:color="auto"/>
              <w:left w:val="single" w:sz="4" w:space="0" w:color="auto"/>
              <w:bottom w:val="single" w:sz="4" w:space="0" w:color="auto"/>
              <w:right w:val="single" w:sz="4" w:space="0" w:color="auto"/>
            </w:tcBorders>
            <w:vAlign w:val="center"/>
          </w:tcPr>
          <w:p w14:paraId="0125C9B9" w14:textId="77777777" w:rsidR="008228F7" w:rsidRPr="003B4337" w:rsidRDefault="008228F7" w:rsidP="008228F7">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TRDISP</w:t>
            </w:r>
          </w:p>
        </w:tc>
        <w:tc>
          <w:tcPr>
            <w:tcW w:w="7224" w:type="dxa"/>
            <w:tcBorders>
              <w:top w:val="single" w:sz="4" w:space="0" w:color="auto"/>
              <w:left w:val="single" w:sz="4" w:space="0" w:color="auto"/>
              <w:bottom w:val="single" w:sz="4" w:space="0" w:color="auto"/>
              <w:right w:val="single" w:sz="4" w:space="0" w:color="auto"/>
            </w:tcBorders>
            <w:shd w:val="clear" w:color="auto" w:fill="auto"/>
            <w:vAlign w:val="center"/>
          </w:tcPr>
          <w:p w14:paraId="21B872BC" w14:textId="77777777" w:rsidR="008228F7" w:rsidRPr="003B4337" w:rsidRDefault="008228F7" w:rsidP="008228F7">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Comprovante de transferência ao Acionista do saldo remanescente das disponibilidades (caixa ou banco) ao final do processo de liquidação, caso a entidade tenha sido extinta no exercício a que se refere a prestação de contas (Art. 210, inciso IV da Lei 6.404/76).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C165670" w14:textId="77777777" w:rsidR="008228F7" w:rsidRPr="003B4337" w:rsidRDefault="008228F7" w:rsidP="008228F7">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c>
          <w:tcPr>
            <w:tcW w:w="1134" w:type="dxa"/>
            <w:tcBorders>
              <w:top w:val="single" w:sz="4" w:space="0" w:color="auto"/>
              <w:left w:val="single" w:sz="4" w:space="0" w:color="auto"/>
              <w:bottom w:val="single" w:sz="4" w:space="0" w:color="auto"/>
              <w:right w:val="single" w:sz="4" w:space="0" w:color="auto"/>
            </w:tcBorders>
            <w:vAlign w:val="center"/>
          </w:tcPr>
          <w:p w14:paraId="3FFED83F" w14:textId="77777777" w:rsidR="008228F7" w:rsidRPr="00CB55B0" w:rsidRDefault="008228F7" w:rsidP="008228F7">
            <w:pPr>
              <w:spacing w:after="0" w:line="240" w:lineRule="auto"/>
              <w:jc w:val="center"/>
              <w:rPr>
                <w:rFonts w:ascii="Arial" w:eastAsia="Times New Roman" w:hAnsi="Arial" w:cs="Arial"/>
                <w:sz w:val="14"/>
                <w:szCs w:val="14"/>
                <w:lang w:eastAsia="pt-BR"/>
              </w:rPr>
            </w:pPr>
          </w:p>
        </w:tc>
        <w:tc>
          <w:tcPr>
            <w:tcW w:w="1134" w:type="dxa"/>
            <w:tcBorders>
              <w:top w:val="single" w:sz="4" w:space="0" w:color="auto"/>
              <w:left w:val="single" w:sz="4" w:space="0" w:color="auto"/>
              <w:bottom w:val="single" w:sz="4" w:space="0" w:color="auto"/>
              <w:right w:val="single" w:sz="4" w:space="0" w:color="auto"/>
            </w:tcBorders>
            <w:vAlign w:val="center"/>
          </w:tcPr>
          <w:p w14:paraId="2EBACB0B"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tcBorders>
              <w:top w:val="single" w:sz="4" w:space="0" w:color="auto"/>
              <w:left w:val="single" w:sz="4" w:space="0" w:color="auto"/>
              <w:bottom w:val="single" w:sz="4" w:space="0" w:color="auto"/>
              <w:right w:val="single" w:sz="4" w:space="0" w:color="auto"/>
            </w:tcBorders>
            <w:vAlign w:val="center"/>
          </w:tcPr>
          <w:p w14:paraId="4F0C3CE3" w14:textId="77777777" w:rsidR="008228F7" w:rsidRPr="00CB55B0" w:rsidRDefault="008228F7" w:rsidP="008228F7">
            <w:pPr>
              <w:spacing w:after="0" w:line="240" w:lineRule="auto"/>
              <w:jc w:val="center"/>
              <w:rPr>
                <w:rFonts w:ascii="Arial" w:eastAsia="Times New Roman" w:hAnsi="Arial" w:cs="Arial"/>
                <w:sz w:val="14"/>
                <w:szCs w:val="14"/>
                <w:lang w:eastAsia="pt-BR"/>
              </w:rPr>
            </w:pPr>
          </w:p>
        </w:tc>
        <w:tc>
          <w:tcPr>
            <w:tcW w:w="1134" w:type="dxa"/>
            <w:tcBorders>
              <w:top w:val="single" w:sz="4" w:space="0" w:color="auto"/>
              <w:left w:val="single" w:sz="4" w:space="0" w:color="auto"/>
              <w:bottom w:val="single" w:sz="4" w:space="0" w:color="auto"/>
              <w:right w:val="single" w:sz="4" w:space="0" w:color="auto"/>
            </w:tcBorders>
            <w:vAlign w:val="center"/>
          </w:tcPr>
          <w:p w14:paraId="2388ACC7"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r>
      <w:tr w:rsidR="008228F7" w:rsidRPr="001E0368" w14:paraId="7E8D6B5A" w14:textId="77777777" w:rsidTr="007D64A9">
        <w:tc>
          <w:tcPr>
            <w:tcW w:w="1276" w:type="dxa"/>
            <w:tcBorders>
              <w:top w:val="single" w:sz="4" w:space="0" w:color="auto"/>
              <w:left w:val="single" w:sz="4" w:space="0" w:color="auto"/>
              <w:bottom w:val="single" w:sz="4" w:space="0" w:color="auto"/>
              <w:right w:val="single" w:sz="4" w:space="0" w:color="auto"/>
            </w:tcBorders>
            <w:vAlign w:val="center"/>
          </w:tcPr>
          <w:p w14:paraId="6F238081" w14:textId="77777777" w:rsidR="008228F7" w:rsidRPr="003B4337" w:rsidRDefault="008228F7" w:rsidP="008228F7">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BXCNPJ</w:t>
            </w:r>
          </w:p>
        </w:tc>
        <w:tc>
          <w:tcPr>
            <w:tcW w:w="7224" w:type="dxa"/>
            <w:tcBorders>
              <w:top w:val="single" w:sz="4" w:space="0" w:color="auto"/>
              <w:left w:val="single" w:sz="4" w:space="0" w:color="auto"/>
              <w:bottom w:val="single" w:sz="4" w:space="0" w:color="auto"/>
              <w:right w:val="single" w:sz="4" w:space="0" w:color="auto"/>
            </w:tcBorders>
            <w:shd w:val="clear" w:color="auto" w:fill="auto"/>
            <w:vAlign w:val="center"/>
          </w:tcPr>
          <w:p w14:paraId="4005D5D1" w14:textId="77777777" w:rsidR="008228F7" w:rsidRPr="003B4337" w:rsidRDefault="008228F7" w:rsidP="008228F7">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Comprovante de inscrição e de situação cadastral, constando a “Baixa do CNPJ”, caso a entidade tenha sido extinta no exercício a que se refere a prestação de contas (Art. 210, inciso IV da Lei 6.404/76).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AE87DA1" w14:textId="77777777" w:rsidR="008228F7" w:rsidRPr="003B4337" w:rsidRDefault="008228F7" w:rsidP="008228F7">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c>
          <w:tcPr>
            <w:tcW w:w="1134" w:type="dxa"/>
            <w:tcBorders>
              <w:top w:val="single" w:sz="4" w:space="0" w:color="auto"/>
              <w:left w:val="single" w:sz="4" w:space="0" w:color="auto"/>
              <w:bottom w:val="single" w:sz="4" w:space="0" w:color="auto"/>
              <w:right w:val="single" w:sz="4" w:space="0" w:color="auto"/>
            </w:tcBorders>
            <w:vAlign w:val="center"/>
          </w:tcPr>
          <w:p w14:paraId="04286701" w14:textId="77777777" w:rsidR="008228F7" w:rsidRPr="00CB55B0" w:rsidRDefault="008228F7" w:rsidP="008228F7">
            <w:pPr>
              <w:spacing w:after="0" w:line="240" w:lineRule="auto"/>
              <w:jc w:val="center"/>
              <w:rPr>
                <w:rFonts w:ascii="Arial" w:eastAsia="Times New Roman" w:hAnsi="Arial" w:cs="Arial"/>
                <w:sz w:val="14"/>
                <w:szCs w:val="14"/>
                <w:lang w:eastAsia="pt-BR"/>
              </w:rPr>
            </w:pPr>
          </w:p>
        </w:tc>
        <w:tc>
          <w:tcPr>
            <w:tcW w:w="1134" w:type="dxa"/>
            <w:tcBorders>
              <w:top w:val="single" w:sz="4" w:space="0" w:color="auto"/>
              <w:left w:val="single" w:sz="4" w:space="0" w:color="auto"/>
              <w:bottom w:val="single" w:sz="4" w:space="0" w:color="auto"/>
              <w:right w:val="single" w:sz="4" w:space="0" w:color="auto"/>
            </w:tcBorders>
            <w:vAlign w:val="center"/>
          </w:tcPr>
          <w:p w14:paraId="1D0438DA"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tcBorders>
              <w:top w:val="single" w:sz="4" w:space="0" w:color="auto"/>
              <w:left w:val="single" w:sz="4" w:space="0" w:color="auto"/>
              <w:bottom w:val="single" w:sz="4" w:space="0" w:color="auto"/>
              <w:right w:val="single" w:sz="4" w:space="0" w:color="auto"/>
            </w:tcBorders>
            <w:vAlign w:val="center"/>
          </w:tcPr>
          <w:p w14:paraId="4605D278" w14:textId="77777777" w:rsidR="008228F7" w:rsidRPr="00CB55B0" w:rsidRDefault="008228F7" w:rsidP="008228F7">
            <w:pPr>
              <w:spacing w:after="0" w:line="240" w:lineRule="auto"/>
              <w:jc w:val="center"/>
              <w:rPr>
                <w:rFonts w:ascii="Arial" w:eastAsia="Times New Roman" w:hAnsi="Arial" w:cs="Arial"/>
                <w:sz w:val="14"/>
                <w:szCs w:val="14"/>
                <w:lang w:eastAsia="pt-BR"/>
              </w:rPr>
            </w:pPr>
          </w:p>
        </w:tc>
        <w:tc>
          <w:tcPr>
            <w:tcW w:w="1134" w:type="dxa"/>
            <w:tcBorders>
              <w:top w:val="single" w:sz="4" w:space="0" w:color="auto"/>
              <w:left w:val="single" w:sz="4" w:space="0" w:color="auto"/>
              <w:bottom w:val="single" w:sz="4" w:space="0" w:color="auto"/>
              <w:right w:val="single" w:sz="4" w:space="0" w:color="auto"/>
            </w:tcBorders>
            <w:vAlign w:val="center"/>
          </w:tcPr>
          <w:p w14:paraId="6868262D"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r>
      <w:tr w:rsidR="008228F7" w:rsidRPr="001E0368" w14:paraId="1FCDBB57" w14:textId="77777777" w:rsidTr="007D64A9">
        <w:tc>
          <w:tcPr>
            <w:tcW w:w="1276" w:type="dxa"/>
            <w:tcBorders>
              <w:top w:val="single" w:sz="4" w:space="0" w:color="auto"/>
              <w:left w:val="single" w:sz="4" w:space="0" w:color="auto"/>
              <w:bottom w:val="single" w:sz="4" w:space="0" w:color="auto"/>
              <w:right w:val="single" w:sz="4" w:space="0" w:color="auto"/>
            </w:tcBorders>
            <w:vAlign w:val="center"/>
          </w:tcPr>
          <w:p w14:paraId="125C6830" w14:textId="77777777" w:rsidR="008228F7" w:rsidRPr="003B4337" w:rsidRDefault="008228F7" w:rsidP="008228F7">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CERTFD</w:t>
            </w:r>
          </w:p>
        </w:tc>
        <w:tc>
          <w:tcPr>
            <w:tcW w:w="7224" w:type="dxa"/>
            <w:tcBorders>
              <w:top w:val="single" w:sz="4" w:space="0" w:color="auto"/>
              <w:left w:val="single" w:sz="4" w:space="0" w:color="auto"/>
              <w:bottom w:val="single" w:sz="4" w:space="0" w:color="auto"/>
              <w:right w:val="single" w:sz="4" w:space="0" w:color="auto"/>
            </w:tcBorders>
            <w:shd w:val="clear" w:color="auto" w:fill="auto"/>
            <w:vAlign w:val="center"/>
          </w:tcPr>
          <w:p w14:paraId="7E15C317" w14:textId="77777777" w:rsidR="008228F7" w:rsidRPr="003B4337" w:rsidRDefault="008228F7" w:rsidP="008228F7">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Certidão conjunta negativa dos tributos federais emitida pela Secretaria da Receita Federal, caso a entidade tenha sido extinta no exercício a que se refere a prestação de contas (Art. 210, inciso IV da Lei 6.404/76).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3EA3867" w14:textId="77777777" w:rsidR="008228F7" w:rsidRPr="003B4337" w:rsidRDefault="008228F7" w:rsidP="008228F7">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c>
          <w:tcPr>
            <w:tcW w:w="1134" w:type="dxa"/>
            <w:tcBorders>
              <w:top w:val="single" w:sz="4" w:space="0" w:color="auto"/>
              <w:left w:val="single" w:sz="4" w:space="0" w:color="auto"/>
              <w:bottom w:val="single" w:sz="4" w:space="0" w:color="auto"/>
              <w:right w:val="single" w:sz="4" w:space="0" w:color="auto"/>
            </w:tcBorders>
            <w:vAlign w:val="center"/>
          </w:tcPr>
          <w:p w14:paraId="6B828262" w14:textId="77777777" w:rsidR="008228F7" w:rsidRPr="00CB55B0" w:rsidRDefault="008228F7" w:rsidP="008228F7">
            <w:pPr>
              <w:spacing w:after="0" w:line="240" w:lineRule="auto"/>
              <w:jc w:val="center"/>
              <w:rPr>
                <w:rFonts w:ascii="Arial" w:eastAsia="Times New Roman" w:hAnsi="Arial" w:cs="Arial"/>
                <w:sz w:val="14"/>
                <w:szCs w:val="14"/>
                <w:lang w:eastAsia="pt-BR"/>
              </w:rPr>
            </w:pPr>
          </w:p>
        </w:tc>
        <w:tc>
          <w:tcPr>
            <w:tcW w:w="1134" w:type="dxa"/>
            <w:tcBorders>
              <w:top w:val="single" w:sz="4" w:space="0" w:color="auto"/>
              <w:left w:val="single" w:sz="4" w:space="0" w:color="auto"/>
              <w:bottom w:val="single" w:sz="4" w:space="0" w:color="auto"/>
              <w:right w:val="single" w:sz="4" w:space="0" w:color="auto"/>
            </w:tcBorders>
            <w:vAlign w:val="center"/>
          </w:tcPr>
          <w:p w14:paraId="08D0E7EF"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tcBorders>
              <w:top w:val="single" w:sz="4" w:space="0" w:color="auto"/>
              <w:left w:val="single" w:sz="4" w:space="0" w:color="auto"/>
              <w:bottom w:val="single" w:sz="4" w:space="0" w:color="auto"/>
              <w:right w:val="single" w:sz="4" w:space="0" w:color="auto"/>
            </w:tcBorders>
            <w:vAlign w:val="center"/>
          </w:tcPr>
          <w:p w14:paraId="515E78E4" w14:textId="77777777" w:rsidR="008228F7" w:rsidRPr="00CB55B0" w:rsidRDefault="008228F7" w:rsidP="008228F7">
            <w:pPr>
              <w:spacing w:after="0" w:line="240" w:lineRule="auto"/>
              <w:jc w:val="center"/>
              <w:rPr>
                <w:rFonts w:ascii="Arial" w:eastAsia="Times New Roman" w:hAnsi="Arial" w:cs="Arial"/>
                <w:sz w:val="14"/>
                <w:szCs w:val="14"/>
                <w:lang w:eastAsia="pt-BR"/>
              </w:rPr>
            </w:pPr>
          </w:p>
        </w:tc>
        <w:tc>
          <w:tcPr>
            <w:tcW w:w="1134" w:type="dxa"/>
            <w:tcBorders>
              <w:top w:val="single" w:sz="4" w:space="0" w:color="auto"/>
              <w:left w:val="single" w:sz="4" w:space="0" w:color="auto"/>
              <w:bottom w:val="single" w:sz="4" w:space="0" w:color="auto"/>
              <w:right w:val="single" w:sz="4" w:space="0" w:color="auto"/>
            </w:tcBorders>
            <w:vAlign w:val="center"/>
          </w:tcPr>
          <w:p w14:paraId="30509E18"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r>
      <w:tr w:rsidR="008228F7" w:rsidRPr="003B4337" w14:paraId="18FBEEE5" w14:textId="77777777" w:rsidTr="007D64A9">
        <w:tc>
          <w:tcPr>
            <w:tcW w:w="1276" w:type="dxa"/>
            <w:tcBorders>
              <w:top w:val="single" w:sz="4" w:space="0" w:color="auto"/>
              <w:left w:val="single" w:sz="4" w:space="0" w:color="auto"/>
              <w:bottom w:val="single" w:sz="4" w:space="0" w:color="auto"/>
              <w:right w:val="single" w:sz="4" w:space="0" w:color="auto"/>
            </w:tcBorders>
            <w:vAlign w:val="center"/>
          </w:tcPr>
          <w:p w14:paraId="3298AA0F" w14:textId="77777777" w:rsidR="008228F7" w:rsidRPr="003B4337" w:rsidRDefault="008228F7" w:rsidP="008228F7">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TRAPAT</w:t>
            </w:r>
          </w:p>
        </w:tc>
        <w:tc>
          <w:tcPr>
            <w:tcW w:w="7224" w:type="dxa"/>
            <w:tcBorders>
              <w:top w:val="single" w:sz="4" w:space="0" w:color="auto"/>
              <w:left w:val="single" w:sz="4" w:space="0" w:color="auto"/>
              <w:bottom w:val="single" w:sz="4" w:space="0" w:color="auto"/>
              <w:right w:val="single" w:sz="4" w:space="0" w:color="auto"/>
            </w:tcBorders>
            <w:shd w:val="clear" w:color="auto" w:fill="auto"/>
            <w:vAlign w:val="center"/>
          </w:tcPr>
          <w:p w14:paraId="25C0D6CB" w14:textId="77777777" w:rsidR="008228F7" w:rsidRPr="003B4337" w:rsidRDefault="008228F7" w:rsidP="008228F7">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Cópia da documentação comprobatória da transferência do patrimônio remanescente (bens, direitos e obrigações) ao Governo Municipal ou Estadual na proporção que lhes couber, ou, no caso de Fundações, a quem dispuser o Estatuto, bem como o razão analítico das contas afetadas pelas transferências patrimoniais realizadas ao(s) acionista(s) e o balanço patrimonial com os saldos zerados, caso a entidade tenha sido extinta no exercício a que se refere à prestação de contas (Art. 210, inciso IV da Lei 6.404/76).</w:t>
            </w:r>
          </w:p>
          <w:p w14:paraId="71FCFF50" w14:textId="77777777" w:rsidR="008228F7" w:rsidRPr="003B4337" w:rsidRDefault="008228F7" w:rsidP="008228F7">
            <w:pPr>
              <w:spacing w:before="120" w:after="120"/>
              <w:rPr>
                <w:rFonts w:ascii="Arial" w:eastAsia="Times New Roman" w:hAnsi="Arial" w:cs="Arial"/>
                <w:sz w:val="18"/>
                <w:szCs w:val="18"/>
                <w:lang w:eastAsia="pt-BR"/>
              </w:rPr>
            </w:pPr>
            <w:r w:rsidRPr="003B4337">
              <w:rPr>
                <w:rFonts w:ascii="Arial" w:eastAsia="Times New Roman" w:hAnsi="Arial" w:cs="Arial"/>
                <w:sz w:val="18"/>
                <w:szCs w:val="18"/>
                <w:lang w:eastAsia="pt-BR"/>
              </w:rPr>
              <w:t>Observações:</w:t>
            </w:r>
          </w:p>
          <w:p w14:paraId="11DB8A8A" w14:textId="77777777" w:rsidR="008228F7" w:rsidRPr="003B4337" w:rsidRDefault="008228F7" w:rsidP="008228F7">
            <w:pPr>
              <w:pStyle w:val="PargrafodaLista"/>
              <w:numPr>
                <w:ilvl w:val="0"/>
                <w:numId w:val="22"/>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Devem ser reunidas cópias dos processos que transferiram ativos (bens móveis ou imóveis) com os devidos registros e recibos, bem como cópias de processos judicias utilizados para transferência de titularidade de ativos e passivos.</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E5E87F5" w14:textId="77777777" w:rsidR="008228F7" w:rsidRPr="003B4337" w:rsidRDefault="008228F7" w:rsidP="008228F7">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c>
          <w:tcPr>
            <w:tcW w:w="1134" w:type="dxa"/>
            <w:tcBorders>
              <w:top w:val="single" w:sz="4" w:space="0" w:color="auto"/>
              <w:left w:val="single" w:sz="4" w:space="0" w:color="auto"/>
              <w:bottom w:val="single" w:sz="4" w:space="0" w:color="auto"/>
              <w:right w:val="single" w:sz="4" w:space="0" w:color="auto"/>
            </w:tcBorders>
            <w:vAlign w:val="center"/>
          </w:tcPr>
          <w:p w14:paraId="7B9281D7" w14:textId="77777777" w:rsidR="008228F7" w:rsidRPr="00CB55B0" w:rsidRDefault="008228F7" w:rsidP="008228F7">
            <w:pPr>
              <w:spacing w:after="0" w:line="240" w:lineRule="auto"/>
              <w:jc w:val="center"/>
              <w:rPr>
                <w:rFonts w:ascii="Arial" w:eastAsia="Times New Roman" w:hAnsi="Arial" w:cs="Arial"/>
                <w:sz w:val="14"/>
                <w:szCs w:val="14"/>
                <w:lang w:eastAsia="pt-BR"/>
              </w:rPr>
            </w:pPr>
          </w:p>
        </w:tc>
        <w:tc>
          <w:tcPr>
            <w:tcW w:w="1134" w:type="dxa"/>
            <w:tcBorders>
              <w:top w:val="single" w:sz="4" w:space="0" w:color="auto"/>
              <w:left w:val="single" w:sz="4" w:space="0" w:color="auto"/>
              <w:bottom w:val="single" w:sz="4" w:space="0" w:color="auto"/>
              <w:right w:val="single" w:sz="4" w:space="0" w:color="auto"/>
            </w:tcBorders>
            <w:vAlign w:val="center"/>
          </w:tcPr>
          <w:p w14:paraId="3E8C0C04"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tcBorders>
              <w:top w:val="single" w:sz="4" w:space="0" w:color="auto"/>
              <w:left w:val="single" w:sz="4" w:space="0" w:color="auto"/>
              <w:bottom w:val="single" w:sz="4" w:space="0" w:color="auto"/>
              <w:right w:val="single" w:sz="4" w:space="0" w:color="auto"/>
            </w:tcBorders>
            <w:vAlign w:val="center"/>
          </w:tcPr>
          <w:p w14:paraId="1DB5D97C" w14:textId="77777777" w:rsidR="008228F7" w:rsidRPr="00CB55B0" w:rsidRDefault="008228F7" w:rsidP="008228F7">
            <w:pPr>
              <w:spacing w:after="0" w:line="240" w:lineRule="auto"/>
              <w:jc w:val="center"/>
              <w:rPr>
                <w:rFonts w:ascii="Arial" w:eastAsia="Times New Roman" w:hAnsi="Arial" w:cs="Arial"/>
                <w:sz w:val="14"/>
                <w:szCs w:val="14"/>
                <w:lang w:eastAsia="pt-BR"/>
              </w:rPr>
            </w:pPr>
          </w:p>
        </w:tc>
        <w:tc>
          <w:tcPr>
            <w:tcW w:w="1134" w:type="dxa"/>
            <w:tcBorders>
              <w:top w:val="single" w:sz="4" w:space="0" w:color="auto"/>
              <w:left w:val="single" w:sz="4" w:space="0" w:color="auto"/>
              <w:bottom w:val="single" w:sz="4" w:space="0" w:color="auto"/>
              <w:right w:val="single" w:sz="4" w:space="0" w:color="auto"/>
            </w:tcBorders>
            <w:vAlign w:val="center"/>
          </w:tcPr>
          <w:p w14:paraId="64653054"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r>
      <w:tr w:rsidR="008228F7" w:rsidRPr="003B4337" w14:paraId="24CBAA4E" w14:textId="77777777" w:rsidTr="007D64A9">
        <w:tc>
          <w:tcPr>
            <w:tcW w:w="1276" w:type="dxa"/>
            <w:tcBorders>
              <w:top w:val="single" w:sz="4" w:space="0" w:color="auto"/>
              <w:left w:val="single" w:sz="4" w:space="0" w:color="auto"/>
              <w:bottom w:val="single" w:sz="4" w:space="0" w:color="auto"/>
              <w:right w:val="single" w:sz="4" w:space="0" w:color="auto"/>
            </w:tcBorders>
            <w:vAlign w:val="center"/>
          </w:tcPr>
          <w:p w14:paraId="14087BA5" w14:textId="77777777" w:rsidR="008228F7" w:rsidRPr="003B4337" w:rsidRDefault="008228F7" w:rsidP="008228F7">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CEREXT</w:t>
            </w:r>
          </w:p>
        </w:tc>
        <w:tc>
          <w:tcPr>
            <w:tcW w:w="7224" w:type="dxa"/>
            <w:tcBorders>
              <w:top w:val="single" w:sz="4" w:space="0" w:color="auto"/>
              <w:left w:val="single" w:sz="4" w:space="0" w:color="auto"/>
              <w:bottom w:val="single" w:sz="4" w:space="0" w:color="auto"/>
              <w:right w:val="single" w:sz="4" w:space="0" w:color="auto"/>
            </w:tcBorders>
            <w:shd w:val="clear" w:color="auto" w:fill="auto"/>
            <w:vAlign w:val="center"/>
          </w:tcPr>
          <w:p w14:paraId="247C221D" w14:textId="77777777" w:rsidR="008228F7" w:rsidRPr="003B4337" w:rsidRDefault="008228F7" w:rsidP="008228F7">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Certidão específica, emitida pelo órgão de registro, comprovando que a empresa arquivou a Ata da Assembleia Geral que deliberou sobre o término do processo de liquidação e considerou extinta a entidade ou “Certidão Web onde conste situação: extinta”, caso a entidade tenha sido extinta no exercício a que se refere a prestação de contas (Art. 216 §§1º e 2º da Lei 6.404/76).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9357CB7" w14:textId="77777777" w:rsidR="008228F7" w:rsidRPr="003B4337" w:rsidRDefault="008228F7" w:rsidP="008228F7">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c>
          <w:tcPr>
            <w:tcW w:w="1134" w:type="dxa"/>
            <w:tcBorders>
              <w:top w:val="single" w:sz="4" w:space="0" w:color="auto"/>
              <w:left w:val="single" w:sz="4" w:space="0" w:color="auto"/>
              <w:bottom w:val="single" w:sz="4" w:space="0" w:color="auto"/>
              <w:right w:val="single" w:sz="4" w:space="0" w:color="auto"/>
            </w:tcBorders>
            <w:vAlign w:val="center"/>
          </w:tcPr>
          <w:p w14:paraId="23FE4B94" w14:textId="77777777" w:rsidR="008228F7" w:rsidRPr="00CB55B0" w:rsidRDefault="008228F7" w:rsidP="008228F7">
            <w:pPr>
              <w:spacing w:after="0" w:line="240" w:lineRule="auto"/>
              <w:jc w:val="center"/>
              <w:rPr>
                <w:rFonts w:ascii="Arial" w:eastAsia="Times New Roman" w:hAnsi="Arial" w:cs="Arial"/>
                <w:sz w:val="14"/>
                <w:szCs w:val="14"/>
                <w:lang w:eastAsia="pt-BR"/>
              </w:rPr>
            </w:pPr>
          </w:p>
        </w:tc>
        <w:tc>
          <w:tcPr>
            <w:tcW w:w="1134" w:type="dxa"/>
            <w:tcBorders>
              <w:top w:val="single" w:sz="4" w:space="0" w:color="auto"/>
              <w:left w:val="single" w:sz="4" w:space="0" w:color="auto"/>
              <w:bottom w:val="single" w:sz="4" w:space="0" w:color="auto"/>
              <w:right w:val="single" w:sz="4" w:space="0" w:color="auto"/>
            </w:tcBorders>
            <w:vAlign w:val="center"/>
          </w:tcPr>
          <w:p w14:paraId="6DA63119"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tcBorders>
              <w:top w:val="single" w:sz="4" w:space="0" w:color="auto"/>
              <w:left w:val="single" w:sz="4" w:space="0" w:color="auto"/>
              <w:bottom w:val="single" w:sz="4" w:space="0" w:color="auto"/>
              <w:right w:val="single" w:sz="4" w:space="0" w:color="auto"/>
            </w:tcBorders>
            <w:vAlign w:val="center"/>
          </w:tcPr>
          <w:p w14:paraId="1BB67F19" w14:textId="77777777" w:rsidR="008228F7" w:rsidRPr="00CB55B0" w:rsidRDefault="008228F7" w:rsidP="008228F7">
            <w:pPr>
              <w:spacing w:after="0" w:line="240" w:lineRule="auto"/>
              <w:jc w:val="center"/>
              <w:rPr>
                <w:rFonts w:ascii="Arial" w:eastAsia="Times New Roman" w:hAnsi="Arial" w:cs="Arial"/>
                <w:sz w:val="14"/>
                <w:szCs w:val="14"/>
                <w:lang w:eastAsia="pt-BR"/>
              </w:rPr>
            </w:pPr>
          </w:p>
        </w:tc>
        <w:tc>
          <w:tcPr>
            <w:tcW w:w="1134" w:type="dxa"/>
            <w:tcBorders>
              <w:top w:val="single" w:sz="4" w:space="0" w:color="auto"/>
              <w:left w:val="single" w:sz="4" w:space="0" w:color="auto"/>
              <w:bottom w:val="single" w:sz="4" w:space="0" w:color="auto"/>
              <w:right w:val="single" w:sz="4" w:space="0" w:color="auto"/>
            </w:tcBorders>
            <w:vAlign w:val="center"/>
          </w:tcPr>
          <w:p w14:paraId="4336B507"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r>
      <w:tr w:rsidR="00B84B97" w:rsidRPr="00005964" w14:paraId="2915B4E2" w14:textId="77777777" w:rsidTr="007D64A9">
        <w:tc>
          <w:tcPr>
            <w:tcW w:w="1276" w:type="dxa"/>
            <w:tcBorders>
              <w:top w:val="single" w:sz="4" w:space="0" w:color="auto"/>
              <w:left w:val="single" w:sz="4" w:space="0" w:color="auto"/>
              <w:bottom w:val="single" w:sz="4" w:space="0" w:color="auto"/>
              <w:right w:val="single" w:sz="4" w:space="0" w:color="auto"/>
            </w:tcBorders>
            <w:vAlign w:val="center"/>
          </w:tcPr>
          <w:p w14:paraId="2EAE74B6" w14:textId="5E4F8773" w:rsidR="00B84B97" w:rsidRPr="00005964" w:rsidRDefault="00B84B97" w:rsidP="00B84B97">
            <w:pPr>
              <w:spacing w:after="0" w:line="240" w:lineRule="auto"/>
              <w:jc w:val="center"/>
              <w:rPr>
                <w:rFonts w:ascii="Arial" w:eastAsia="Times New Roman" w:hAnsi="Arial" w:cs="Arial"/>
                <w:sz w:val="18"/>
                <w:szCs w:val="18"/>
                <w:lang w:eastAsia="pt-BR"/>
              </w:rPr>
            </w:pPr>
            <w:r w:rsidRPr="00005964">
              <w:rPr>
                <w:rFonts w:ascii="Arial" w:eastAsia="Arial" w:hAnsi="Arial" w:cs="Arial"/>
                <w:sz w:val="18"/>
                <w:szCs w:val="18"/>
              </w:rPr>
              <w:t>RECRERE</w:t>
            </w:r>
          </w:p>
        </w:tc>
        <w:tc>
          <w:tcPr>
            <w:tcW w:w="7224" w:type="dxa"/>
            <w:tcBorders>
              <w:top w:val="single" w:sz="4" w:space="0" w:color="auto"/>
              <w:left w:val="single" w:sz="4" w:space="0" w:color="auto"/>
              <w:bottom w:val="single" w:sz="4" w:space="0" w:color="auto"/>
              <w:right w:val="single" w:sz="4" w:space="0" w:color="auto"/>
            </w:tcBorders>
            <w:shd w:val="clear" w:color="auto" w:fill="auto"/>
            <w:vAlign w:val="center"/>
          </w:tcPr>
          <w:p w14:paraId="75C0357E" w14:textId="2C0C2470" w:rsidR="00B84B97" w:rsidRPr="00005964" w:rsidRDefault="00B84B97" w:rsidP="00B84B97">
            <w:pPr>
              <w:spacing w:before="120" w:after="120" w:line="240" w:lineRule="auto"/>
              <w:jc w:val="both"/>
              <w:rPr>
                <w:rFonts w:ascii="Arial" w:eastAsia="Times New Roman" w:hAnsi="Arial" w:cs="Arial"/>
                <w:sz w:val="18"/>
                <w:szCs w:val="18"/>
                <w:lang w:eastAsia="pt-BR"/>
              </w:rPr>
            </w:pPr>
            <w:r w:rsidRPr="00005964">
              <w:rPr>
                <w:rFonts w:ascii="Arial" w:eastAsia="Arial" w:hAnsi="Arial" w:cs="Arial"/>
                <w:sz w:val="18"/>
                <w:szCs w:val="18"/>
              </w:rPr>
              <w:t xml:space="preserve">Relação de créditos a receber de curto e longo prazos (contas a receber clientes ou operações de crédito) existentes no dia do encerramento do exercício, agrupados por período de vencimento, </w:t>
            </w:r>
            <w:r w:rsidRPr="00005964">
              <w:rPr>
                <w:rFonts w:ascii="Arial" w:eastAsia="Times New Roman" w:hAnsi="Arial" w:cs="Arial"/>
                <w:sz w:val="18"/>
                <w:szCs w:val="18"/>
                <w:lang w:eastAsia="pt-BR"/>
              </w:rPr>
              <w:t>na forma do item 3.2 deste Anexo.</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9D118A2" w14:textId="68DEB879" w:rsidR="00B84B97" w:rsidRPr="00005964" w:rsidRDefault="00B84B97" w:rsidP="00B84B97">
            <w:pPr>
              <w:spacing w:after="0" w:line="240" w:lineRule="auto"/>
              <w:jc w:val="center"/>
              <w:rPr>
                <w:rFonts w:ascii="Arial" w:eastAsia="Times New Roman" w:hAnsi="Arial" w:cs="Arial"/>
                <w:sz w:val="14"/>
                <w:szCs w:val="14"/>
                <w:lang w:eastAsia="pt-BR"/>
              </w:rPr>
            </w:pPr>
            <w:r w:rsidRPr="00005964">
              <w:rPr>
                <w:rFonts w:ascii="Arial" w:eastAsia="Arial" w:hAnsi="Arial" w:cs="Arial"/>
                <w:sz w:val="14"/>
                <w:szCs w:val="14"/>
              </w:rPr>
              <w:t>XLS/XLSX/ODS</w:t>
            </w:r>
          </w:p>
        </w:tc>
        <w:tc>
          <w:tcPr>
            <w:tcW w:w="1134" w:type="dxa"/>
            <w:tcBorders>
              <w:top w:val="single" w:sz="4" w:space="0" w:color="auto"/>
              <w:left w:val="single" w:sz="4" w:space="0" w:color="auto"/>
              <w:bottom w:val="single" w:sz="4" w:space="0" w:color="auto"/>
              <w:right w:val="single" w:sz="4" w:space="0" w:color="auto"/>
            </w:tcBorders>
            <w:vAlign w:val="center"/>
          </w:tcPr>
          <w:p w14:paraId="15AAF46B" w14:textId="4357E75A" w:rsidR="00B84B97" w:rsidRPr="00005964" w:rsidRDefault="00B84B97" w:rsidP="00B84B97">
            <w:pPr>
              <w:spacing w:after="0" w:line="240" w:lineRule="auto"/>
              <w:jc w:val="center"/>
              <w:rPr>
                <w:rFonts w:ascii="Arial" w:eastAsia="Times New Roman" w:hAnsi="Arial" w:cs="Arial"/>
                <w:sz w:val="14"/>
                <w:szCs w:val="14"/>
                <w:lang w:eastAsia="pt-BR"/>
              </w:rPr>
            </w:pPr>
            <w:r w:rsidRPr="00005964">
              <w:rPr>
                <w:rFonts w:ascii="Arial" w:eastAsia="Arial" w:hAnsi="Arial" w:cs="Arial"/>
                <w:sz w:val="14"/>
                <w:szCs w:val="14"/>
              </w:rPr>
              <w:t>X</w:t>
            </w:r>
          </w:p>
        </w:tc>
        <w:tc>
          <w:tcPr>
            <w:tcW w:w="1134" w:type="dxa"/>
            <w:tcBorders>
              <w:top w:val="single" w:sz="4" w:space="0" w:color="auto"/>
              <w:left w:val="single" w:sz="4" w:space="0" w:color="auto"/>
              <w:bottom w:val="single" w:sz="4" w:space="0" w:color="auto"/>
              <w:right w:val="single" w:sz="4" w:space="0" w:color="auto"/>
            </w:tcBorders>
            <w:vAlign w:val="center"/>
          </w:tcPr>
          <w:p w14:paraId="5A6F601F" w14:textId="1E534908" w:rsidR="00B84B97" w:rsidRPr="00005964" w:rsidRDefault="00B84B97" w:rsidP="00B84B97">
            <w:pPr>
              <w:spacing w:after="0" w:line="240" w:lineRule="auto"/>
              <w:jc w:val="center"/>
              <w:rPr>
                <w:rFonts w:ascii="Arial" w:eastAsia="Times New Roman" w:hAnsi="Arial" w:cs="Arial"/>
                <w:sz w:val="14"/>
                <w:szCs w:val="14"/>
                <w:lang w:eastAsia="pt-BR"/>
              </w:rPr>
            </w:pPr>
            <w:r w:rsidRPr="00005964">
              <w:rPr>
                <w:rFonts w:ascii="Arial" w:eastAsia="Arial" w:hAnsi="Arial" w:cs="Arial"/>
                <w:sz w:val="14"/>
                <w:szCs w:val="14"/>
              </w:rPr>
              <w:t>X</w:t>
            </w:r>
          </w:p>
        </w:tc>
        <w:tc>
          <w:tcPr>
            <w:tcW w:w="992" w:type="dxa"/>
            <w:tcBorders>
              <w:top w:val="single" w:sz="4" w:space="0" w:color="auto"/>
              <w:left w:val="single" w:sz="4" w:space="0" w:color="auto"/>
              <w:bottom w:val="single" w:sz="4" w:space="0" w:color="auto"/>
              <w:right w:val="single" w:sz="4" w:space="0" w:color="auto"/>
            </w:tcBorders>
            <w:vAlign w:val="center"/>
          </w:tcPr>
          <w:p w14:paraId="7DC76863" w14:textId="7C256981" w:rsidR="00B84B97" w:rsidRPr="00005964" w:rsidRDefault="00B84B97" w:rsidP="00B84B97">
            <w:pPr>
              <w:spacing w:after="0" w:line="240" w:lineRule="auto"/>
              <w:jc w:val="center"/>
              <w:rPr>
                <w:rFonts w:ascii="Arial" w:eastAsia="Times New Roman" w:hAnsi="Arial" w:cs="Arial"/>
                <w:sz w:val="14"/>
                <w:szCs w:val="14"/>
                <w:lang w:eastAsia="pt-BR"/>
              </w:rPr>
            </w:pPr>
            <w:r w:rsidRPr="00005964">
              <w:rPr>
                <w:rFonts w:ascii="Arial" w:eastAsia="Arial" w:hAnsi="Arial" w:cs="Arial"/>
                <w:sz w:val="14"/>
                <w:szCs w:val="14"/>
              </w:rPr>
              <w:t>X</w:t>
            </w:r>
          </w:p>
        </w:tc>
        <w:tc>
          <w:tcPr>
            <w:tcW w:w="1134" w:type="dxa"/>
            <w:tcBorders>
              <w:top w:val="single" w:sz="4" w:space="0" w:color="auto"/>
              <w:left w:val="single" w:sz="4" w:space="0" w:color="auto"/>
              <w:bottom w:val="single" w:sz="4" w:space="0" w:color="auto"/>
              <w:right w:val="single" w:sz="4" w:space="0" w:color="auto"/>
            </w:tcBorders>
            <w:vAlign w:val="center"/>
          </w:tcPr>
          <w:p w14:paraId="65FCAA14" w14:textId="424D8382" w:rsidR="00B84B97" w:rsidRPr="00005964" w:rsidRDefault="00B84B97" w:rsidP="00B84B97">
            <w:pPr>
              <w:spacing w:after="0" w:line="240" w:lineRule="auto"/>
              <w:jc w:val="center"/>
              <w:rPr>
                <w:rFonts w:ascii="Arial" w:eastAsia="Times New Roman" w:hAnsi="Arial" w:cs="Arial"/>
                <w:sz w:val="14"/>
                <w:szCs w:val="14"/>
                <w:lang w:eastAsia="pt-BR"/>
              </w:rPr>
            </w:pPr>
            <w:r w:rsidRPr="00005964">
              <w:rPr>
                <w:rFonts w:ascii="Arial" w:eastAsia="Arial" w:hAnsi="Arial" w:cs="Arial"/>
                <w:sz w:val="14"/>
                <w:szCs w:val="14"/>
              </w:rPr>
              <w:t>X</w:t>
            </w:r>
          </w:p>
        </w:tc>
      </w:tr>
      <w:tr w:rsidR="00B84B97" w:rsidRPr="00005964" w14:paraId="77901DF3" w14:textId="77777777" w:rsidTr="007D64A9">
        <w:tc>
          <w:tcPr>
            <w:tcW w:w="1276" w:type="dxa"/>
            <w:tcBorders>
              <w:top w:val="single" w:sz="4" w:space="0" w:color="auto"/>
              <w:left w:val="single" w:sz="4" w:space="0" w:color="auto"/>
              <w:bottom w:val="single" w:sz="4" w:space="0" w:color="auto"/>
              <w:right w:val="single" w:sz="4" w:space="0" w:color="auto"/>
            </w:tcBorders>
            <w:vAlign w:val="center"/>
          </w:tcPr>
          <w:p w14:paraId="4774A8A4" w14:textId="4066E5F3" w:rsidR="00B84B97" w:rsidRPr="00005964" w:rsidRDefault="00B84B97" w:rsidP="00B84B97">
            <w:pPr>
              <w:spacing w:after="0" w:line="240" w:lineRule="auto"/>
              <w:jc w:val="center"/>
              <w:rPr>
                <w:rFonts w:ascii="Arial" w:eastAsia="Times New Roman" w:hAnsi="Arial" w:cs="Arial"/>
                <w:sz w:val="18"/>
                <w:szCs w:val="18"/>
                <w:lang w:eastAsia="pt-BR"/>
              </w:rPr>
            </w:pPr>
            <w:r w:rsidRPr="00005964">
              <w:rPr>
                <w:rFonts w:ascii="Arial" w:eastAsia="Arial" w:hAnsi="Arial" w:cs="Arial"/>
                <w:sz w:val="18"/>
                <w:szCs w:val="18"/>
              </w:rPr>
              <w:lastRenderedPageBreak/>
              <w:t>REOBRIG</w:t>
            </w:r>
          </w:p>
        </w:tc>
        <w:tc>
          <w:tcPr>
            <w:tcW w:w="7224" w:type="dxa"/>
            <w:tcBorders>
              <w:top w:val="single" w:sz="4" w:space="0" w:color="auto"/>
              <w:left w:val="single" w:sz="4" w:space="0" w:color="auto"/>
              <w:bottom w:val="single" w:sz="4" w:space="0" w:color="auto"/>
              <w:right w:val="single" w:sz="4" w:space="0" w:color="auto"/>
            </w:tcBorders>
            <w:shd w:val="clear" w:color="auto" w:fill="auto"/>
            <w:vAlign w:val="center"/>
          </w:tcPr>
          <w:p w14:paraId="6176708C" w14:textId="4690726B" w:rsidR="00B84B97" w:rsidRPr="00005964" w:rsidRDefault="00B84B97" w:rsidP="00B84B97">
            <w:pPr>
              <w:spacing w:before="120" w:after="120" w:line="240" w:lineRule="auto"/>
              <w:jc w:val="both"/>
              <w:rPr>
                <w:rFonts w:ascii="Arial" w:eastAsia="Times New Roman" w:hAnsi="Arial" w:cs="Arial"/>
                <w:sz w:val="18"/>
                <w:szCs w:val="18"/>
                <w:lang w:eastAsia="pt-BR"/>
              </w:rPr>
            </w:pPr>
            <w:r w:rsidRPr="00005964">
              <w:rPr>
                <w:rFonts w:ascii="Arial" w:eastAsia="Arial" w:hAnsi="Arial" w:cs="Arial"/>
                <w:sz w:val="18"/>
                <w:szCs w:val="18"/>
              </w:rPr>
              <w:t xml:space="preserve">Relação de obrigações de curto e longo prazos (obrigações a pagar fornecedores) existentes no dia do encerramento do exercício agrupados por período de vencimento, </w:t>
            </w:r>
            <w:r w:rsidRPr="00005964">
              <w:rPr>
                <w:rFonts w:ascii="Arial" w:eastAsia="Times New Roman" w:hAnsi="Arial" w:cs="Arial"/>
                <w:sz w:val="18"/>
                <w:szCs w:val="18"/>
                <w:lang w:eastAsia="pt-BR"/>
              </w:rPr>
              <w:t>na forma do item 3.2 deste Anexo.</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7C883F4" w14:textId="2E82563A" w:rsidR="00B84B97" w:rsidRPr="00005964" w:rsidRDefault="00B84B97" w:rsidP="00B84B97">
            <w:pPr>
              <w:spacing w:after="0" w:line="240" w:lineRule="auto"/>
              <w:jc w:val="center"/>
              <w:rPr>
                <w:rFonts w:ascii="Arial" w:eastAsia="Times New Roman" w:hAnsi="Arial" w:cs="Arial"/>
                <w:sz w:val="14"/>
                <w:szCs w:val="14"/>
                <w:lang w:eastAsia="pt-BR"/>
              </w:rPr>
            </w:pPr>
            <w:r w:rsidRPr="00005964">
              <w:rPr>
                <w:rFonts w:ascii="Arial" w:eastAsia="Arial" w:hAnsi="Arial" w:cs="Arial"/>
                <w:sz w:val="14"/>
                <w:szCs w:val="14"/>
              </w:rPr>
              <w:t>XLS/XLSX/ODS</w:t>
            </w:r>
          </w:p>
        </w:tc>
        <w:tc>
          <w:tcPr>
            <w:tcW w:w="1134" w:type="dxa"/>
            <w:tcBorders>
              <w:top w:val="single" w:sz="4" w:space="0" w:color="auto"/>
              <w:left w:val="single" w:sz="4" w:space="0" w:color="auto"/>
              <w:bottom w:val="single" w:sz="4" w:space="0" w:color="auto"/>
              <w:right w:val="single" w:sz="4" w:space="0" w:color="auto"/>
            </w:tcBorders>
            <w:vAlign w:val="center"/>
          </w:tcPr>
          <w:p w14:paraId="027AD9FF" w14:textId="5932C35D" w:rsidR="00B84B97" w:rsidRPr="00005964" w:rsidRDefault="00B84B97" w:rsidP="00B84B97">
            <w:pPr>
              <w:spacing w:after="0" w:line="240" w:lineRule="auto"/>
              <w:jc w:val="center"/>
              <w:rPr>
                <w:rFonts w:ascii="Arial" w:eastAsia="Times New Roman" w:hAnsi="Arial" w:cs="Arial"/>
                <w:sz w:val="14"/>
                <w:szCs w:val="14"/>
                <w:lang w:eastAsia="pt-BR"/>
              </w:rPr>
            </w:pPr>
            <w:r w:rsidRPr="00005964">
              <w:rPr>
                <w:rFonts w:ascii="Arial" w:eastAsia="Arial" w:hAnsi="Arial" w:cs="Arial"/>
                <w:sz w:val="14"/>
                <w:szCs w:val="14"/>
              </w:rPr>
              <w:t>X</w:t>
            </w:r>
          </w:p>
        </w:tc>
        <w:tc>
          <w:tcPr>
            <w:tcW w:w="1134" w:type="dxa"/>
            <w:tcBorders>
              <w:top w:val="single" w:sz="4" w:space="0" w:color="auto"/>
              <w:left w:val="single" w:sz="4" w:space="0" w:color="auto"/>
              <w:bottom w:val="single" w:sz="4" w:space="0" w:color="auto"/>
              <w:right w:val="single" w:sz="4" w:space="0" w:color="auto"/>
            </w:tcBorders>
            <w:vAlign w:val="center"/>
          </w:tcPr>
          <w:p w14:paraId="3E09C183" w14:textId="0B7DADE4" w:rsidR="00B84B97" w:rsidRPr="00005964" w:rsidRDefault="00B84B97" w:rsidP="00B84B97">
            <w:pPr>
              <w:spacing w:after="0" w:line="240" w:lineRule="auto"/>
              <w:jc w:val="center"/>
              <w:rPr>
                <w:rFonts w:ascii="Arial" w:eastAsia="Times New Roman" w:hAnsi="Arial" w:cs="Arial"/>
                <w:sz w:val="14"/>
                <w:szCs w:val="14"/>
                <w:lang w:eastAsia="pt-BR"/>
              </w:rPr>
            </w:pPr>
            <w:r w:rsidRPr="00005964">
              <w:rPr>
                <w:rFonts w:ascii="Arial" w:eastAsia="Arial" w:hAnsi="Arial" w:cs="Arial"/>
                <w:sz w:val="14"/>
                <w:szCs w:val="14"/>
              </w:rPr>
              <w:t>X</w:t>
            </w:r>
          </w:p>
        </w:tc>
        <w:tc>
          <w:tcPr>
            <w:tcW w:w="992" w:type="dxa"/>
            <w:tcBorders>
              <w:top w:val="single" w:sz="4" w:space="0" w:color="auto"/>
              <w:left w:val="single" w:sz="4" w:space="0" w:color="auto"/>
              <w:bottom w:val="single" w:sz="4" w:space="0" w:color="auto"/>
              <w:right w:val="single" w:sz="4" w:space="0" w:color="auto"/>
            </w:tcBorders>
            <w:vAlign w:val="center"/>
          </w:tcPr>
          <w:p w14:paraId="17518913" w14:textId="6F84B4E7" w:rsidR="00B84B97" w:rsidRPr="00005964" w:rsidRDefault="00B84B97" w:rsidP="00B84B97">
            <w:pPr>
              <w:spacing w:after="0" w:line="240" w:lineRule="auto"/>
              <w:jc w:val="center"/>
              <w:rPr>
                <w:rFonts w:ascii="Arial" w:eastAsia="Times New Roman" w:hAnsi="Arial" w:cs="Arial"/>
                <w:sz w:val="14"/>
                <w:szCs w:val="14"/>
                <w:lang w:eastAsia="pt-BR"/>
              </w:rPr>
            </w:pPr>
            <w:r w:rsidRPr="00005964">
              <w:rPr>
                <w:rFonts w:ascii="Arial" w:eastAsia="Arial" w:hAnsi="Arial" w:cs="Arial"/>
                <w:sz w:val="14"/>
                <w:szCs w:val="14"/>
              </w:rPr>
              <w:t>X</w:t>
            </w:r>
          </w:p>
        </w:tc>
        <w:tc>
          <w:tcPr>
            <w:tcW w:w="1134" w:type="dxa"/>
            <w:tcBorders>
              <w:top w:val="single" w:sz="4" w:space="0" w:color="auto"/>
              <w:left w:val="single" w:sz="4" w:space="0" w:color="auto"/>
              <w:bottom w:val="single" w:sz="4" w:space="0" w:color="auto"/>
              <w:right w:val="single" w:sz="4" w:space="0" w:color="auto"/>
            </w:tcBorders>
            <w:vAlign w:val="center"/>
          </w:tcPr>
          <w:p w14:paraId="2E045726" w14:textId="511D0125" w:rsidR="00B84B97" w:rsidRPr="00005964" w:rsidRDefault="00B84B97" w:rsidP="00B84B97">
            <w:pPr>
              <w:spacing w:after="0" w:line="240" w:lineRule="auto"/>
              <w:jc w:val="center"/>
              <w:rPr>
                <w:rFonts w:ascii="Arial" w:eastAsia="Times New Roman" w:hAnsi="Arial" w:cs="Arial"/>
                <w:sz w:val="14"/>
                <w:szCs w:val="14"/>
                <w:lang w:eastAsia="pt-BR"/>
              </w:rPr>
            </w:pPr>
            <w:r w:rsidRPr="00005964">
              <w:rPr>
                <w:rFonts w:ascii="Arial" w:eastAsia="Arial" w:hAnsi="Arial" w:cs="Arial"/>
                <w:sz w:val="14"/>
                <w:szCs w:val="14"/>
              </w:rPr>
              <w:t>X</w:t>
            </w:r>
          </w:p>
        </w:tc>
      </w:tr>
      <w:tr w:rsidR="008228F7" w:rsidRPr="001E0368" w14:paraId="2C92BB2D" w14:textId="77777777" w:rsidTr="007D64A9">
        <w:tc>
          <w:tcPr>
            <w:tcW w:w="1276" w:type="dxa"/>
            <w:tcBorders>
              <w:top w:val="single" w:sz="4" w:space="0" w:color="auto"/>
              <w:left w:val="single" w:sz="4" w:space="0" w:color="auto"/>
              <w:bottom w:val="single" w:sz="4" w:space="0" w:color="auto"/>
              <w:right w:val="single" w:sz="4" w:space="0" w:color="auto"/>
            </w:tcBorders>
            <w:vAlign w:val="center"/>
          </w:tcPr>
          <w:p w14:paraId="3451473B" w14:textId="77777777" w:rsidR="008228F7" w:rsidRPr="00A5490A" w:rsidRDefault="008228F7" w:rsidP="008228F7">
            <w:pPr>
              <w:spacing w:after="0" w:line="240" w:lineRule="auto"/>
              <w:jc w:val="center"/>
              <w:rPr>
                <w:rFonts w:ascii="Arial" w:eastAsia="Times New Roman" w:hAnsi="Arial" w:cs="Arial"/>
                <w:sz w:val="18"/>
                <w:szCs w:val="18"/>
                <w:lang w:eastAsia="pt-BR"/>
              </w:rPr>
            </w:pPr>
            <w:r>
              <w:rPr>
                <w:rFonts w:ascii="Arial" w:eastAsia="Times New Roman" w:hAnsi="Arial" w:cs="Arial"/>
                <w:sz w:val="18"/>
                <w:szCs w:val="18"/>
                <w:lang w:eastAsia="pt-BR"/>
              </w:rPr>
              <w:t>DOCSPCA</w:t>
            </w:r>
          </w:p>
        </w:tc>
        <w:tc>
          <w:tcPr>
            <w:tcW w:w="7224" w:type="dxa"/>
            <w:tcBorders>
              <w:top w:val="single" w:sz="4" w:space="0" w:color="auto"/>
              <w:left w:val="single" w:sz="4" w:space="0" w:color="auto"/>
              <w:bottom w:val="single" w:sz="4" w:space="0" w:color="auto"/>
              <w:right w:val="single" w:sz="4" w:space="0" w:color="auto"/>
            </w:tcBorders>
            <w:shd w:val="clear" w:color="auto" w:fill="auto"/>
            <w:vAlign w:val="center"/>
          </w:tcPr>
          <w:p w14:paraId="2D26748E" w14:textId="61665B80" w:rsidR="008228F7" w:rsidRPr="00A5490A" w:rsidRDefault="008228F7" w:rsidP="00C36018">
            <w:pPr>
              <w:spacing w:before="120" w:after="120" w:line="240" w:lineRule="auto"/>
              <w:jc w:val="both"/>
              <w:rPr>
                <w:rFonts w:ascii="Arial" w:eastAsia="Times New Roman" w:hAnsi="Arial" w:cs="Arial"/>
                <w:sz w:val="18"/>
                <w:szCs w:val="18"/>
                <w:lang w:eastAsia="pt-BR"/>
              </w:rPr>
            </w:pPr>
            <w:r>
              <w:rPr>
                <w:rFonts w:ascii="Arial" w:eastAsia="Times New Roman" w:hAnsi="Arial" w:cs="Arial"/>
                <w:sz w:val="18"/>
                <w:szCs w:val="18"/>
                <w:lang w:eastAsia="pt-BR"/>
              </w:rPr>
              <w:t>R</w:t>
            </w:r>
            <w:r w:rsidRPr="00D46CF1">
              <w:rPr>
                <w:rFonts w:ascii="Arial" w:eastAsia="Times New Roman" w:hAnsi="Arial" w:cs="Arial"/>
                <w:sz w:val="18"/>
                <w:szCs w:val="18"/>
                <w:lang w:eastAsia="pt-BR"/>
              </w:rPr>
              <w:t>eferência aos documentos não estruturados</w:t>
            </w:r>
            <w:r>
              <w:rPr>
                <w:rFonts w:ascii="Arial" w:eastAsia="Times New Roman" w:hAnsi="Arial" w:cs="Arial"/>
                <w:sz w:val="18"/>
                <w:szCs w:val="18"/>
                <w:lang w:eastAsia="pt-BR"/>
              </w:rPr>
              <w:t>, constantes neste Anexo</w:t>
            </w:r>
            <w:r w:rsidRPr="00D46CF1">
              <w:rPr>
                <w:rFonts w:ascii="Arial" w:eastAsia="Times New Roman" w:hAnsi="Arial" w:cs="Arial"/>
                <w:sz w:val="18"/>
                <w:szCs w:val="18"/>
                <w:lang w:eastAsia="pt-BR"/>
              </w:rPr>
              <w:t>, bem como a justificativa de ausência para os arquivos não enviados.</w:t>
            </w:r>
            <w:r>
              <w:rPr>
                <w:rFonts w:ascii="Arial" w:eastAsia="Times New Roman" w:hAnsi="Arial" w:cs="Arial"/>
                <w:sz w:val="18"/>
                <w:szCs w:val="18"/>
                <w:lang w:eastAsia="pt-BR"/>
              </w:rPr>
              <w:t xml:space="preserve"> Estrutura e layout constantes do item </w:t>
            </w:r>
            <w:r w:rsidR="00C36018">
              <w:rPr>
                <w:rFonts w:ascii="Arial" w:eastAsia="Times New Roman" w:hAnsi="Arial" w:cs="Arial"/>
                <w:sz w:val="18"/>
                <w:szCs w:val="18"/>
                <w:lang w:eastAsia="pt-BR"/>
              </w:rPr>
              <w:t>3.1</w:t>
            </w:r>
            <w:r>
              <w:rPr>
                <w:rFonts w:ascii="Arial" w:eastAsia="Times New Roman" w:hAnsi="Arial" w:cs="Arial"/>
                <w:sz w:val="18"/>
                <w:szCs w:val="18"/>
                <w:lang w:eastAsia="pt-BR"/>
              </w:rPr>
              <w:t xml:space="preserve"> deste Anexo.</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752486C" w14:textId="77777777" w:rsidR="008228F7" w:rsidRPr="00A5490A" w:rsidRDefault="008228F7" w:rsidP="008228F7">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XML</w:t>
            </w:r>
          </w:p>
        </w:tc>
        <w:tc>
          <w:tcPr>
            <w:tcW w:w="1134" w:type="dxa"/>
            <w:tcBorders>
              <w:top w:val="single" w:sz="4" w:space="0" w:color="auto"/>
              <w:left w:val="single" w:sz="4" w:space="0" w:color="auto"/>
              <w:bottom w:val="single" w:sz="4" w:space="0" w:color="auto"/>
              <w:right w:val="single" w:sz="4" w:space="0" w:color="auto"/>
            </w:tcBorders>
            <w:vAlign w:val="center"/>
          </w:tcPr>
          <w:p w14:paraId="6AB13318"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1134" w:type="dxa"/>
            <w:tcBorders>
              <w:top w:val="single" w:sz="4" w:space="0" w:color="auto"/>
              <w:left w:val="single" w:sz="4" w:space="0" w:color="auto"/>
              <w:bottom w:val="single" w:sz="4" w:space="0" w:color="auto"/>
              <w:right w:val="single" w:sz="4" w:space="0" w:color="auto"/>
            </w:tcBorders>
            <w:vAlign w:val="center"/>
          </w:tcPr>
          <w:p w14:paraId="2B021416"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992" w:type="dxa"/>
            <w:tcBorders>
              <w:top w:val="single" w:sz="4" w:space="0" w:color="auto"/>
              <w:left w:val="single" w:sz="4" w:space="0" w:color="auto"/>
              <w:bottom w:val="single" w:sz="4" w:space="0" w:color="auto"/>
              <w:right w:val="single" w:sz="4" w:space="0" w:color="auto"/>
            </w:tcBorders>
            <w:vAlign w:val="center"/>
          </w:tcPr>
          <w:p w14:paraId="09C946D8"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c>
          <w:tcPr>
            <w:tcW w:w="1134" w:type="dxa"/>
            <w:tcBorders>
              <w:top w:val="single" w:sz="4" w:space="0" w:color="auto"/>
              <w:left w:val="single" w:sz="4" w:space="0" w:color="auto"/>
              <w:bottom w:val="single" w:sz="4" w:space="0" w:color="auto"/>
              <w:right w:val="single" w:sz="4" w:space="0" w:color="auto"/>
            </w:tcBorders>
            <w:vAlign w:val="center"/>
          </w:tcPr>
          <w:p w14:paraId="09AF7E73" w14:textId="77777777" w:rsidR="008228F7" w:rsidRPr="00CB55B0" w:rsidRDefault="008228F7" w:rsidP="008228F7">
            <w:pPr>
              <w:spacing w:after="0" w:line="240" w:lineRule="auto"/>
              <w:jc w:val="center"/>
              <w:rPr>
                <w:rFonts w:ascii="Arial" w:eastAsia="Times New Roman" w:hAnsi="Arial" w:cs="Arial"/>
                <w:sz w:val="14"/>
                <w:szCs w:val="14"/>
                <w:lang w:eastAsia="pt-BR"/>
              </w:rPr>
            </w:pPr>
            <w:r w:rsidRPr="00CB55B0">
              <w:rPr>
                <w:rFonts w:ascii="Arial" w:eastAsia="Times New Roman" w:hAnsi="Arial" w:cs="Arial"/>
                <w:sz w:val="14"/>
                <w:szCs w:val="14"/>
                <w:lang w:eastAsia="pt-BR"/>
              </w:rPr>
              <w:t>X</w:t>
            </w:r>
          </w:p>
        </w:tc>
      </w:tr>
    </w:tbl>
    <w:p w14:paraId="2D0F8746" w14:textId="77777777" w:rsidR="008D7FEA" w:rsidRDefault="008D7FEA">
      <w:pPr>
        <w:rPr>
          <w:rFonts w:ascii="Arial" w:eastAsia="Times New Roman" w:hAnsi="Arial" w:cs="Arial"/>
          <w:b/>
          <w:lang w:eastAsia="pt-BR"/>
        </w:rPr>
        <w:sectPr w:rsidR="008D7FEA" w:rsidSect="00E7482B">
          <w:pgSz w:w="16838" w:h="11906" w:orient="landscape"/>
          <w:pgMar w:top="1701" w:right="1418" w:bottom="1701" w:left="1418" w:header="709" w:footer="709" w:gutter="0"/>
          <w:cols w:space="708"/>
          <w:docGrid w:linePitch="360"/>
        </w:sectPr>
      </w:pPr>
    </w:p>
    <w:p w14:paraId="47C54DE3" w14:textId="1FFD9C91" w:rsidR="000C6541" w:rsidRPr="005B7FCC" w:rsidRDefault="000F0A16" w:rsidP="000F0A16">
      <w:pPr>
        <w:pStyle w:val="Ttulo2"/>
        <w:rPr>
          <w:lang w:val="pt-BR" w:eastAsia="pt-BR"/>
        </w:rPr>
      </w:pPr>
      <w:r w:rsidRPr="005B7FCC">
        <w:rPr>
          <w:lang w:val="pt-BR" w:eastAsia="pt-BR"/>
        </w:rPr>
        <w:lastRenderedPageBreak/>
        <w:t xml:space="preserve"> </w:t>
      </w:r>
      <w:bookmarkStart w:id="16" w:name="_Toc94806300"/>
      <w:r w:rsidR="000C6541" w:rsidRPr="005B7FCC">
        <w:rPr>
          <w:lang w:val="pt-BR" w:eastAsia="pt-BR"/>
        </w:rPr>
        <w:t>CONTAS DOS TITULARES DE ENTIDADES FECHADAS DE PREVIDÊNCIA COMPLEMENTAR (ESTRUTURADAS NA FORMA DE FUNDAÇÕES DE DIREITO PRIVADO)</w:t>
      </w:r>
      <w:bookmarkEnd w:id="16"/>
    </w:p>
    <w:p w14:paraId="7749E5E9" w14:textId="77777777" w:rsidR="000C6541" w:rsidRPr="00A5490A" w:rsidRDefault="000C6541" w:rsidP="000C6541">
      <w:pPr>
        <w:spacing w:after="0" w:line="240" w:lineRule="auto"/>
        <w:jc w:val="both"/>
        <w:rPr>
          <w:rFonts w:ascii="Arial" w:eastAsia="Times New Roman" w:hAnsi="Arial" w:cs="Arial"/>
          <w:lang w:eastAsia="pt-BR"/>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1"/>
        <w:gridCol w:w="6897"/>
        <w:gridCol w:w="992"/>
      </w:tblGrid>
      <w:tr w:rsidR="00CB7C58" w:rsidRPr="00A5490A" w14:paraId="14C7EE3A" w14:textId="77777777" w:rsidTr="00CB7C58">
        <w:tc>
          <w:tcPr>
            <w:tcW w:w="1291" w:type="dxa"/>
            <w:vAlign w:val="center"/>
          </w:tcPr>
          <w:p w14:paraId="690623C9" w14:textId="77777777" w:rsidR="00CB7C58" w:rsidRPr="00A5490A" w:rsidRDefault="00CB7C58" w:rsidP="00AF70E5">
            <w:pPr>
              <w:spacing w:after="0" w:line="240" w:lineRule="auto"/>
              <w:jc w:val="center"/>
              <w:rPr>
                <w:rFonts w:ascii="Arial" w:eastAsia="Times New Roman" w:hAnsi="Arial" w:cs="Arial"/>
                <w:sz w:val="18"/>
                <w:szCs w:val="18"/>
                <w:lang w:eastAsia="pt-BR"/>
              </w:rPr>
            </w:pPr>
            <w:r>
              <w:rPr>
                <w:rFonts w:ascii="Arial" w:eastAsia="Times New Roman" w:hAnsi="Arial" w:cs="Arial"/>
                <w:sz w:val="18"/>
                <w:szCs w:val="18"/>
                <w:lang w:eastAsia="pt-BR"/>
              </w:rPr>
              <w:t>Código</w:t>
            </w:r>
          </w:p>
        </w:tc>
        <w:tc>
          <w:tcPr>
            <w:tcW w:w="6897" w:type="dxa"/>
            <w:shd w:val="clear" w:color="auto" w:fill="auto"/>
            <w:vAlign w:val="center"/>
          </w:tcPr>
          <w:p w14:paraId="2B97D7DF" w14:textId="77777777" w:rsidR="00CB7C58" w:rsidRPr="00A5490A" w:rsidRDefault="00CB7C58" w:rsidP="00AF70E5">
            <w:pPr>
              <w:spacing w:before="120" w:after="12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Descrição</w:t>
            </w:r>
          </w:p>
        </w:tc>
        <w:tc>
          <w:tcPr>
            <w:tcW w:w="992" w:type="dxa"/>
            <w:shd w:val="clear" w:color="auto" w:fill="auto"/>
            <w:vAlign w:val="center"/>
          </w:tcPr>
          <w:p w14:paraId="7B415788" w14:textId="77777777" w:rsidR="00CB7C58" w:rsidRPr="00A5490A" w:rsidRDefault="00CB7C58" w:rsidP="00AF70E5">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Formato</w:t>
            </w:r>
          </w:p>
        </w:tc>
      </w:tr>
      <w:tr w:rsidR="00CB7C58" w:rsidRPr="00A5490A" w14:paraId="331B1499" w14:textId="77777777" w:rsidTr="00CB7C58">
        <w:tc>
          <w:tcPr>
            <w:tcW w:w="1291" w:type="dxa"/>
            <w:vAlign w:val="center"/>
          </w:tcPr>
          <w:p w14:paraId="550AD740" w14:textId="77777777" w:rsidR="00CB7C58" w:rsidRPr="00A5490A" w:rsidRDefault="00CB7C58" w:rsidP="00AF70E5">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ROLRES</w:t>
            </w:r>
          </w:p>
        </w:tc>
        <w:tc>
          <w:tcPr>
            <w:tcW w:w="6897" w:type="dxa"/>
            <w:shd w:val="clear" w:color="auto" w:fill="auto"/>
            <w:vAlign w:val="center"/>
          </w:tcPr>
          <w:p w14:paraId="1BF08439" w14:textId="77777777" w:rsidR="00CB7C58" w:rsidRPr="00A5490A" w:rsidRDefault="00CB7C58" w:rsidP="00AF70E5">
            <w:p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Rol de responsáveis contendo: (Artigo 137, I, do RITCEES, aprovado pela Resolução TC nº 261/2013)</w:t>
            </w:r>
          </w:p>
          <w:p w14:paraId="750D4D9B" w14:textId="77777777" w:rsidR="00CB7C58" w:rsidRPr="00A5490A" w:rsidRDefault="00CB7C58" w:rsidP="00AF70E5">
            <w:pPr>
              <w:numPr>
                <w:ilvl w:val="0"/>
                <w:numId w:val="7"/>
              </w:num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Nome</w:t>
            </w:r>
          </w:p>
          <w:p w14:paraId="1A67176A" w14:textId="77777777" w:rsidR="00CB7C58" w:rsidRPr="003B4337" w:rsidRDefault="00CB7C58" w:rsidP="00AF70E5">
            <w:pPr>
              <w:numPr>
                <w:ilvl w:val="0"/>
                <w:numId w:val="7"/>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Endereço residencial</w:t>
            </w:r>
          </w:p>
          <w:p w14:paraId="7FFA0AC1" w14:textId="77777777" w:rsidR="00CB7C58" w:rsidRPr="003B4337" w:rsidRDefault="00CB7C58" w:rsidP="00AF70E5">
            <w:pPr>
              <w:numPr>
                <w:ilvl w:val="0"/>
                <w:numId w:val="7"/>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Endereço eletrônico pessoal (email)</w:t>
            </w:r>
          </w:p>
          <w:p w14:paraId="367B98BB" w14:textId="77777777" w:rsidR="00CB7C58" w:rsidRPr="003B4337" w:rsidRDefault="00CB7C58" w:rsidP="00AF70E5">
            <w:pPr>
              <w:numPr>
                <w:ilvl w:val="0"/>
                <w:numId w:val="7"/>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Cargo ou função</w:t>
            </w:r>
          </w:p>
          <w:p w14:paraId="3E9F1946" w14:textId="77777777" w:rsidR="00CB7C58" w:rsidRPr="00A5490A" w:rsidRDefault="00CB7C58" w:rsidP="00AF70E5">
            <w:pPr>
              <w:numPr>
                <w:ilvl w:val="0"/>
                <w:numId w:val="7"/>
              </w:num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Inscrição no cadastro de Pessoas Físicas da RFB (CPF)</w:t>
            </w:r>
          </w:p>
          <w:p w14:paraId="78995603" w14:textId="77777777" w:rsidR="00CB7C58" w:rsidRPr="00A5490A" w:rsidRDefault="00CB7C58" w:rsidP="00AF70E5">
            <w:pPr>
              <w:numPr>
                <w:ilvl w:val="0"/>
                <w:numId w:val="7"/>
              </w:num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Período de gestão</w:t>
            </w:r>
          </w:p>
          <w:p w14:paraId="2D85AB26" w14:textId="77777777" w:rsidR="00CB7C58" w:rsidRPr="00A5490A" w:rsidRDefault="00CB7C58" w:rsidP="00CB7C58">
            <w:pPr>
              <w:numPr>
                <w:ilvl w:val="0"/>
                <w:numId w:val="7"/>
              </w:numPr>
              <w:spacing w:before="120" w:after="120" w:line="240" w:lineRule="auto"/>
              <w:jc w:val="both"/>
              <w:rPr>
                <w:rFonts w:ascii="Arial" w:eastAsia="Times New Roman" w:hAnsi="Arial" w:cs="Arial"/>
                <w:sz w:val="16"/>
                <w:szCs w:val="16"/>
                <w:lang w:eastAsia="pt-BR"/>
              </w:rPr>
            </w:pPr>
            <w:r w:rsidRPr="00A5490A">
              <w:rPr>
                <w:rFonts w:ascii="Arial" w:eastAsia="Times New Roman" w:hAnsi="Arial" w:cs="Arial"/>
                <w:sz w:val="18"/>
                <w:szCs w:val="18"/>
                <w:lang w:eastAsia="pt-BR"/>
              </w:rPr>
              <w:t xml:space="preserve">Ato de nomeação e exoneração </w:t>
            </w:r>
          </w:p>
        </w:tc>
        <w:tc>
          <w:tcPr>
            <w:tcW w:w="992" w:type="dxa"/>
            <w:shd w:val="clear" w:color="auto" w:fill="auto"/>
            <w:vAlign w:val="center"/>
          </w:tcPr>
          <w:p w14:paraId="7C03A698" w14:textId="77777777" w:rsidR="00CB7C58" w:rsidRPr="00A5490A" w:rsidRDefault="00532985" w:rsidP="00AF70E5">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CB7C58" w:rsidRPr="00A5490A" w14:paraId="79A5FECF" w14:textId="77777777" w:rsidTr="00CB7C58">
        <w:tc>
          <w:tcPr>
            <w:tcW w:w="1291" w:type="dxa"/>
            <w:vAlign w:val="center"/>
          </w:tcPr>
          <w:p w14:paraId="30F20354" w14:textId="77777777" w:rsidR="00CB7C58" w:rsidRPr="003B4337" w:rsidRDefault="00CB7C58" w:rsidP="00AF70E5">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AGOADM</w:t>
            </w:r>
          </w:p>
        </w:tc>
        <w:tc>
          <w:tcPr>
            <w:tcW w:w="6897" w:type="dxa"/>
            <w:shd w:val="clear" w:color="auto" w:fill="auto"/>
            <w:vAlign w:val="center"/>
          </w:tcPr>
          <w:p w14:paraId="4F768DDF" w14:textId="77777777" w:rsidR="00CB7C58" w:rsidRPr="003B4337" w:rsidRDefault="00CB7C58" w:rsidP="00BF13C8">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Ata da Reunião do Conselho Deliberativo que elegeu ou destituiu os Administradores, relacionados no “Rol de Responsáveis”. </w:t>
            </w:r>
          </w:p>
        </w:tc>
        <w:tc>
          <w:tcPr>
            <w:tcW w:w="992" w:type="dxa"/>
            <w:shd w:val="clear" w:color="auto" w:fill="auto"/>
            <w:vAlign w:val="center"/>
          </w:tcPr>
          <w:p w14:paraId="122D947B" w14:textId="77777777" w:rsidR="00CB7C58" w:rsidRPr="003B4337" w:rsidRDefault="00532985" w:rsidP="00AF70E5">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CB7C58" w:rsidRPr="00A5490A" w14:paraId="54FDC755" w14:textId="77777777" w:rsidTr="00CB7C58">
        <w:tc>
          <w:tcPr>
            <w:tcW w:w="1291" w:type="dxa"/>
            <w:vAlign w:val="center"/>
          </w:tcPr>
          <w:p w14:paraId="702D3A04" w14:textId="77777777" w:rsidR="00CB7C58" w:rsidRPr="003B4337" w:rsidRDefault="00CB7C58" w:rsidP="00AF70E5">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TPOSSE</w:t>
            </w:r>
          </w:p>
        </w:tc>
        <w:tc>
          <w:tcPr>
            <w:tcW w:w="6897" w:type="dxa"/>
            <w:shd w:val="clear" w:color="auto" w:fill="auto"/>
            <w:vAlign w:val="center"/>
          </w:tcPr>
          <w:p w14:paraId="12179E2C" w14:textId="77777777" w:rsidR="00CB7C58" w:rsidRPr="003B4337" w:rsidRDefault="00CB7C58" w:rsidP="00AF70E5">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Termos de Posse dos administradores relacionados no “Rol de Responsáveis”.</w:t>
            </w:r>
            <w:r w:rsidRPr="003B4337">
              <w:rPr>
                <w:sz w:val="18"/>
                <w:szCs w:val="18"/>
              </w:rPr>
              <w:t xml:space="preserve"> </w:t>
            </w:r>
          </w:p>
        </w:tc>
        <w:tc>
          <w:tcPr>
            <w:tcW w:w="992" w:type="dxa"/>
            <w:shd w:val="clear" w:color="auto" w:fill="auto"/>
            <w:vAlign w:val="center"/>
          </w:tcPr>
          <w:p w14:paraId="2F1BB50F" w14:textId="77777777" w:rsidR="00CB7C58" w:rsidRPr="003B4337" w:rsidRDefault="00532985" w:rsidP="00AF70E5">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CB7C58" w:rsidRPr="00A5490A" w14:paraId="77B272C1" w14:textId="77777777" w:rsidTr="00CB7C58">
        <w:tc>
          <w:tcPr>
            <w:tcW w:w="1291" w:type="dxa"/>
            <w:vAlign w:val="center"/>
          </w:tcPr>
          <w:p w14:paraId="26D4DB47" w14:textId="77777777" w:rsidR="00CB7C58" w:rsidRPr="003B4337" w:rsidRDefault="00CB7C58" w:rsidP="00AF70E5">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TREADM</w:t>
            </w:r>
          </w:p>
        </w:tc>
        <w:tc>
          <w:tcPr>
            <w:tcW w:w="6897" w:type="dxa"/>
            <w:shd w:val="clear" w:color="auto" w:fill="auto"/>
            <w:vAlign w:val="center"/>
          </w:tcPr>
          <w:p w14:paraId="4EECECA3" w14:textId="77777777" w:rsidR="00CB7C58" w:rsidRPr="003B4337" w:rsidRDefault="00CB7C58" w:rsidP="00AF70E5">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Termos de Rescisão, caso ocorram no exercício, dos administradores relacionados no “Rol de Responsáveis”, com a composição das verbas remuneratórias e indenizatórias pagas.</w:t>
            </w:r>
          </w:p>
        </w:tc>
        <w:tc>
          <w:tcPr>
            <w:tcW w:w="992" w:type="dxa"/>
            <w:shd w:val="clear" w:color="auto" w:fill="auto"/>
            <w:vAlign w:val="center"/>
          </w:tcPr>
          <w:p w14:paraId="723F0BBE" w14:textId="77777777" w:rsidR="00CB7C58" w:rsidRPr="003B4337" w:rsidRDefault="00532985" w:rsidP="00AF70E5">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CB7C58" w:rsidRPr="00A5490A" w14:paraId="4CA96C8F" w14:textId="77777777" w:rsidTr="00CB7C58">
        <w:tc>
          <w:tcPr>
            <w:tcW w:w="1291" w:type="dxa"/>
            <w:vAlign w:val="center"/>
          </w:tcPr>
          <w:p w14:paraId="13E94456" w14:textId="77777777" w:rsidR="00CB7C58" w:rsidRPr="003B4337" w:rsidRDefault="00CB7C58" w:rsidP="00AF70E5">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FIFADM</w:t>
            </w:r>
          </w:p>
        </w:tc>
        <w:tc>
          <w:tcPr>
            <w:tcW w:w="6897" w:type="dxa"/>
            <w:shd w:val="clear" w:color="auto" w:fill="auto"/>
            <w:vAlign w:val="center"/>
          </w:tcPr>
          <w:p w14:paraId="76EF5235" w14:textId="77777777" w:rsidR="00CB7C58" w:rsidRPr="003B4337" w:rsidRDefault="00CB7C58" w:rsidP="00BF13C8">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Fichas financeiras dos Administradores relacionados no “Rol de Responsáveis”, especificando os honorários, gratificações e demais vantagens atribuídas a qualquer título no exercício. </w:t>
            </w:r>
          </w:p>
        </w:tc>
        <w:tc>
          <w:tcPr>
            <w:tcW w:w="992" w:type="dxa"/>
            <w:shd w:val="clear" w:color="auto" w:fill="auto"/>
            <w:vAlign w:val="center"/>
          </w:tcPr>
          <w:p w14:paraId="5631B995" w14:textId="77777777" w:rsidR="00CB7C58" w:rsidRPr="003B4337" w:rsidRDefault="00532985" w:rsidP="00AF70E5">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CB7C58" w:rsidRPr="00A5490A" w14:paraId="48DB9266" w14:textId="77777777" w:rsidTr="00CB7C58">
        <w:tc>
          <w:tcPr>
            <w:tcW w:w="1291" w:type="dxa"/>
            <w:vAlign w:val="center"/>
          </w:tcPr>
          <w:p w14:paraId="1AB68537" w14:textId="77777777" w:rsidR="00CB7C58" w:rsidRPr="003B4337" w:rsidRDefault="00CB7C58" w:rsidP="00AF70E5">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INRADM</w:t>
            </w:r>
          </w:p>
        </w:tc>
        <w:tc>
          <w:tcPr>
            <w:tcW w:w="6897" w:type="dxa"/>
            <w:shd w:val="clear" w:color="auto" w:fill="auto"/>
            <w:vAlign w:val="center"/>
          </w:tcPr>
          <w:p w14:paraId="67214B98" w14:textId="77777777" w:rsidR="00CB7C58" w:rsidRPr="003B4337" w:rsidRDefault="00CB7C58" w:rsidP="00AF70E5">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Instrumento Normativo fixador da remuneração paga aos administradores, relacionados no “Rol de Responsáveis”, inclusive gratificações e vantagens.</w:t>
            </w:r>
            <w:r w:rsidRPr="003B4337">
              <w:rPr>
                <w:sz w:val="18"/>
                <w:szCs w:val="18"/>
              </w:rPr>
              <w:t xml:space="preserve"> </w:t>
            </w:r>
          </w:p>
        </w:tc>
        <w:tc>
          <w:tcPr>
            <w:tcW w:w="992" w:type="dxa"/>
            <w:shd w:val="clear" w:color="auto" w:fill="auto"/>
            <w:vAlign w:val="center"/>
          </w:tcPr>
          <w:p w14:paraId="035E0467" w14:textId="77777777" w:rsidR="00CB7C58" w:rsidRPr="003B4337" w:rsidRDefault="00532985" w:rsidP="00AF70E5">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CB7C58" w:rsidRPr="00A5490A" w14:paraId="2EBE2884" w14:textId="77777777" w:rsidTr="00CB7C58">
        <w:tc>
          <w:tcPr>
            <w:tcW w:w="1291" w:type="dxa"/>
            <w:vAlign w:val="center"/>
          </w:tcPr>
          <w:p w14:paraId="2A8C28A0" w14:textId="77777777" w:rsidR="00CB7C58" w:rsidRPr="003B4337" w:rsidRDefault="00CB7C58" w:rsidP="00AF70E5">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RELADM</w:t>
            </w:r>
          </w:p>
        </w:tc>
        <w:tc>
          <w:tcPr>
            <w:tcW w:w="6897" w:type="dxa"/>
            <w:shd w:val="clear" w:color="auto" w:fill="auto"/>
            <w:vAlign w:val="center"/>
          </w:tcPr>
          <w:p w14:paraId="5DFF463C" w14:textId="77777777" w:rsidR="00CB7C58" w:rsidRPr="003B4337" w:rsidRDefault="00CB7C58" w:rsidP="00BF13C8">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Relatório anual da Administração sobre a gestão e os principais fatos administrativos do exercício findo e o exame das demonstrações financeiras. </w:t>
            </w:r>
          </w:p>
        </w:tc>
        <w:tc>
          <w:tcPr>
            <w:tcW w:w="992" w:type="dxa"/>
            <w:shd w:val="clear" w:color="auto" w:fill="auto"/>
            <w:vAlign w:val="center"/>
          </w:tcPr>
          <w:p w14:paraId="253649E9" w14:textId="77777777" w:rsidR="00CB7C58" w:rsidRPr="003B4337" w:rsidRDefault="00532985" w:rsidP="00AF70E5">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CB7C58" w:rsidRPr="00A5490A" w14:paraId="024D0694" w14:textId="77777777" w:rsidTr="00CB7C58">
        <w:tc>
          <w:tcPr>
            <w:tcW w:w="1291" w:type="dxa"/>
            <w:vAlign w:val="center"/>
          </w:tcPr>
          <w:p w14:paraId="5025249F" w14:textId="77777777" w:rsidR="00CB7C58" w:rsidRPr="003B4337" w:rsidRDefault="00CB7C58" w:rsidP="00AF70E5">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TVDCAI</w:t>
            </w:r>
          </w:p>
        </w:tc>
        <w:tc>
          <w:tcPr>
            <w:tcW w:w="6897" w:type="dxa"/>
            <w:shd w:val="clear" w:color="auto" w:fill="auto"/>
            <w:vAlign w:val="center"/>
          </w:tcPr>
          <w:p w14:paraId="3BFACB58" w14:textId="77777777" w:rsidR="00CB7C58" w:rsidRPr="003B4337" w:rsidRDefault="00CB7C58" w:rsidP="00AF70E5">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Termo de verificação das disponibilidades em caixa ao final do exercício. </w:t>
            </w:r>
          </w:p>
        </w:tc>
        <w:tc>
          <w:tcPr>
            <w:tcW w:w="992" w:type="dxa"/>
            <w:shd w:val="clear" w:color="auto" w:fill="auto"/>
            <w:vAlign w:val="center"/>
          </w:tcPr>
          <w:p w14:paraId="1F57B1CF" w14:textId="77777777" w:rsidR="00CB7C58" w:rsidRPr="003B4337" w:rsidRDefault="00532985" w:rsidP="00AF70E5">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CB7C58" w:rsidRPr="00A5490A" w14:paraId="025915FD" w14:textId="77777777" w:rsidTr="00CB7C58">
        <w:tc>
          <w:tcPr>
            <w:tcW w:w="1291" w:type="dxa"/>
            <w:vAlign w:val="center"/>
          </w:tcPr>
          <w:p w14:paraId="60020DF7" w14:textId="77777777" w:rsidR="00CB7C58" w:rsidRPr="003B4337" w:rsidRDefault="00CB7C58" w:rsidP="00AF70E5">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TVDISPN</w:t>
            </w:r>
          </w:p>
        </w:tc>
        <w:tc>
          <w:tcPr>
            <w:tcW w:w="6897" w:type="dxa"/>
            <w:shd w:val="clear" w:color="auto" w:fill="auto"/>
            <w:vAlign w:val="center"/>
          </w:tcPr>
          <w:p w14:paraId="49DEB165" w14:textId="72A51FE1" w:rsidR="00CB7C58" w:rsidRPr="008506B0" w:rsidRDefault="00CB7C58" w:rsidP="005C1D7F">
            <w:pPr>
              <w:spacing w:before="120" w:after="120" w:line="240" w:lineRule="auto"/>
              <w:jc w:val="both"/>
              <w:rPr>
                <w:rFonts w:ascii="Arial" w:eastAsia="Times New Roman" w:hAnsi="Arial" w:cs="Arial"/>
                <w:sz w:val="18"/>
                <w:szCs w:val="18"/>
                <w:lang w:eastAsia="pt-BR"/>
              </w:rPr>
            </w:pPr>
            <w:r w:rsidRPr="008506B0">
              <w:rPr>
                <w:rFonts w:ascii="Arial" w:eastAsia="Times New Roman" w:hAnsi="Arial" w:cs="Arial"/>
                <w:sz w:val="18"/>
                <w:szCs w:val="18"/>
                <w:lang w:eastAsia="pt-BR"/>
              </w:rPr>
              <w:t>Termo de verificação de disponib</w:t>
            </w:r>
            <w:r w:rsidR="008506B0" w:rsidRPr="008506B0">
              <w:rPr>
                <w:rFonts w:ascii="Arial" w:eastAsia="Times New Roman" w:hAnsi="Arial" w:cs="Arial"/>
                <w:sz w:val="18"/>
                <w:szCs w:val="18"/>
                <w:lang w:eastAsia="pt-BR"/>
              </w:rPr>
              <w:t>ilidades bancárias, na forma do item 3.2 deste Anexo.</w:t>
            </w:r>
          </w:p>
        </w:tc>
        <w:tc>
          <w:tcPr>
            <w:tcW w:w="992" w:type="dxa"/>
            <w:shd w:val="clear" w:color="auto" w:fill="auto"/>
            <w:vAlign w:val="center"/>
          </w:tcPr>
          <w:p w14:paraId="7F485969" w14:textId="77777777" w:rsidR="00CB7C58" w:rsidRPr="003B4337" w:rsidRDefault="00532985" w:rsidP="00AF70E5">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p w14:paraId="159B1CAA" w14:textId="77777777" w:rsidR="00CB7C58" w:rsidRPr="003B4337" w:rsidRDefault="00CB7C58" w:rsidP="00AF70E5">
            <w:pPr>
              <w:spacing w:after="0" w:line="240" w:lineRule="auto"/>
              <w:jc w:val="center"/>
              <w:rPr>
                <w:rFonts w:ascii="Arial" w:eastAsia="Times New Roman" w:hAnsi="Arial" w:cs="Arial"/>
                <w:sz w:val="14"/>
                <w:szCs w:val="14"/>
                <w:highlight w:val="yellow"/>
                <w:lang w:eastAsia="pt-BR"/>
              </w:rPr>
            </w:pPr>
            <w:r w:rsidRPr="003B4337">
              <w:rPr>
                <w:rFonts w:ascii="Arial" w:eastAsia="Times New Roman" w:hAnsi="Arial" w:cs="Arial"/>
                <w:sz w:val="14"/>
                <w:szCs w:val="14"/>
                <w:lang w:eastAsia="pt-BR"/>
              </w:rPr>
              <w:t>e</w:t>
            </w:r>
            <w:r w:rsidRPr="003B4337">
              <w:rPr>
                <w:rFonts w:ascii="Arial" w:eastAsia="Times New Roman" w:hAnsi="Arial" w:cs="Arial"/>
                <w:sz w:val="14"/>
                <w:szCs w:val="14"/>
                <w:highlight w:val="yellow"/>
                <w:lang w:eastAsia="pt-BR"/>
              </w:rPr>
              <w:t xml:space="preserve"> </w:t>
            </w:r>
          </w:p>
          <w:p w14:paraId="7AA7619F" w14:textId="77777777" w:rsidR="00CB7C58" w:rsidRPr="003B4337" w:rsidRDefault="00CB7C58" w:rsidP="00AF70E5">
            <w:pPr>
              <w:spacing w:after="0" w:line="240" w:lineRule="auto"/>
              <w:jc w:val="center"/>
              <w:rPr>
                <w:rFonts w:ascii="Arial" w:eastAsia="Times New Roman" w:hAnsi="Arial" w:cs="Arial"/>
                <w:i/>
                <w:sz w:val="14"/>
                <w:szCs w:val="14"/>
                <w:lang w:eastAsia="pt-BR"/>
              </w:rPr>
            </w:pPr>
            <w:r w:rsidRPr="003B4337">
              <w:rPr>
                <w:rFonts w:ascii="Arial" w:eastAsia="Times New Roman" w:hAnsi="Arial" w:cs="Arial"/>
                <w:sz w:val="14"/>
                <w:szCs w:val="14"/>
                <w:lang w:eastAsia="pt-BR"/>
              </w:rPr>
              <w:t>XLS/XLSX/ODS</w:t>
            </w:r>
          </w:p>
        </w:tc>
      </w:tr>
      <w:tr w:rsidR="00CB7C58" w:rsidRPr="00A5490A" w14:paraId="6961FFC6" w14:textId="77777777" w:rsidTr="00CB7C58">
        <w:tc>
          <w:tcPr>
            <w:tcW w:w="1291" w:type="dxa"/>
            <w:vAlign w:val="center"/>
          </w:tcPr>
          <w:p w14:paraId="2EAD3CE4" w14:textId="77777777" w:rsidR="00CB7C58" w:rsidRPr="00A5490A" w:rsidRDefault="00CB7C58" w:rsidP="00AF70E5">
            <w:pPr>
              <w:spacing w:after="0" w:line="240" w:lineRule="auto"/>
              <w:jc w:val="center"/>
              <w:rPr>
                <w:rFonts w:ascii="Arial" w:eastAsia="Times New Roman" w:hAnsi="Arial" w:cs="Arial"/>
                <w:sz w:val="18"/>
                <w:szCs w:val="18"/>
                <w:lang w:eastAsia="pt-BR"/>
              </w:rPr>
            </w:pPr>
            <w:r w:rsidRPr="001319C3">
              <w:rPr>
                <w:rFonts w:ascii="Arial" w:eastAsia="Times New Roman" w:hAnsi="Arial" w:cs="Arial"/>
                <w:sz w:val="18"/>
                <w:szCs w:val="18"/>
                <w:lang w:eastAsia="pt-BR"/>
              </w:rPr>
              <w:t>EXTBAN</w:t>
            </w:r>
          </w:p>
        </w:tc>
        <w:tc>
          <w:tcPr>
            <w:tcW w:w="6897" w:type="dxa"/>
            <w:shd w:val="clear" w:color="auto" w:fill="auto"/>
            <w:vAlign w:val="center"/>
          </w:tcPr>
          <w:p w14:paraId="4705B03A" w14:textId="77777777" w:rsidR="00CB7C58" w:rsidRPr="00A5490A" w:rsidRDefault="00CB7C58" w:rsidP="00AF70E5">
            <w:p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Extratos bancários relativos ao mês de encerramento do exercício</w:t>
            </w:r>
            <w:r>
              <w:rPr>
                <w:rFonts w:ascii="Arial" w:eastAsia="Times New Roman" w:hAnsi="Arial" w:cs="Arial"/>
                <w:sz w:val="18"/>
                <w:szCs w:val="18"/>
                <w:lang w:eastAsia="pt-BR"/>
              </w:rPr>
              <w:t xml:space="preserve"> (inclusive das contas com saldo bancário zerado no exercício)</w:t>
            </w:r>
            <w:r w:rsidRPr="00A5490A">
              <w:rPr>
                <w:rFonts w:ascii="Arial" w:eastAsia="Times New Roman" w:hAnsi="Arial" w:cs="Arial"/>
                <w:sz w:val="18"/>
                <w:szCs w:val="18"/>
                <w:lang w:eastAsia="pt-BR"/>
              </w:rPr>
              <w:t>.</w:t>
            </w:r>
          </w:p>
        </w:tc>
        <w:tc>
          <w:tcPr>
            <w:tcW w:w="992" w:type="dxa"/>
            <w:shd w:val="clear" w:color="auto" w:fill="auto"/>
            <w:vAlign w:val="center"/>
          </w:tcPr>
          <w:p w14:paraId="404670CB" w14:textId="77777777" w:rsidR="00CB7C58" w:rsidRPr="00A5490A" w:rsidRDefault="00532985" w:rsidP="00AF70E5">
            <w:pPr>
              <w:spacing w:after="0" w:line="240" w:lineRule="auto"/>
              <w:jc w:val="center"/>
              <w:rPr>
                <w:rFonts w:ascii="Arial" w:eastAsia="Times New Roman" w:hAnsi="Arial" w:cs="Arial"/>
                <w:i/>
                <w:sz w:val="14"/>
                <w:szCs w:val="14"/>
                <w:lang w:eastAsia="pt-BR"/>
              </w:rPr>
            </w:pPr>
            <w:r>
              <w:rPr>
                <w:rFonts w:ascii="Arial" w:eastAsia="Times New Roman" w:hAnsi="Arial" w:cs="Arial"/>
                <w:sz w:val="14"/>
                <w:szCs w:val="14"/>
                <w:lang w:eastAsia="pt-BR"/>
              </w:rPr>
              <w:t>PDF</w:t>
            </w:r>
          </w:p>
        </w:tc>
      </w:tr>
      <w:tr w:rsidR="00CB7C58" w:rsidRPr="00A5490A" w14:paraId="26527237" w14:textId="77777777" w:rsidTr="00CB7C58">
        <w:tc>
          <w:tcPr>
            <w:tcW w:w="1291" w:type="dxa"/>
            <w:vAlign w:val="center"/>
          </w:tcPr>
          <w:p w14:paraId="6F9E3B93" w14:textId="77777777" w:rsidR="00CB7C58" w:rsidRPr="003B4337" w:rsidRDefault="00CB7C58" w:rsidP="00AF70E5">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BALPATN</w:t>
            </w:r>
          </w:p>
        </w:tc>
        <w:tc>
          <w:tcPr>
            <w:tcW w:w="6897" w:type="dxa"/>
            <w:shd w:val="clear" w:color="auto" w:fill="auto"/>
            <w:vAlign w:val="center"/>
          </w:tcPr>
          <w:p w14:paraId="24605EC8" w14:textId="77777777" w:rsidR="00CB7C58" w:rsidRPr="003B4337" w:rsidRDefault="00CB7C58" w:rsidP="008A6EDE">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Balanço Patrimonial Consolidado do exercício, com a indicação dos saldos do exercício anterior (Anexo C, item 17, “a”, da RESOLUÇÃO CNPC Nº 08/2011). </w:t>
            </w:r>
          </w:p>
        </w:tc>
        <w:tc>
          <w:tcPr>
            <w:tcW w:w="992" w:type="dxa"/>
            <w:shd w:val="clear" w:color="auto" w:fill="auto"/>
            <w:vAlign w:val="center"/>
          </w:tcPr>
          <w:p w14:paraId="2020D32F" w14:textId="77777777" w:rsidR="00CB7C58" w:rsidRPr="003B4337" w:rsidRDefault="00532985" w:rsidP="00AF70E5">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CB7C58" w:rsidRPr="00A5490A" w14:paraId="20C31F2C" w14:textId="77777777" w:rsidTr="00CB7C58">
        <w:tc>
          <w:tcPr>
            <w:tcW w:w="1291" w:type="dxa"/>
            <w:vAlign w:val="center"/>
          </w:tcPr>
          <w:p w14:paraId="43F46E0A" w14:textId="77777777" w:rsidR="00CB7C58" w:rsidRPr="003B4337" w:rsidRDefault="00CB7C58" w:rsidP="00AF70E5">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DEALPB</w:t>
            </w:r>
          </w:p>
        </w:tc>
        <w:tc>
          <w:tcPr>
            <w:tcW w:w="6897" w:type="dxa"/>
            <w:shd w:val="clear" w:color="auto" w:fill="auto"/>
            <w:vAlign w:val="center"/>
          </w:tcPr>
          <w:p w14:paraId="132E491B" w14:textId="77777777" w:rsidR="00CB7C58" w:rsidRPr="003B4337" w:rsidRDefault="00CB7C58" w:rsidP="00EC0E90">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Demonstração do Ativo Líquido, por plano de benefícios com a indicação dos saldos do exercício anterior (Anexo C, item 17, “d”, da RESOLUÇÃO CNPC Nº 08/2011). </w:t>
            </w:r>
          </w:p>
        </w:tc>
        <w:tc>
          <w:tcPr>
            <w:tcW w:w="992" w:type="dxa"/>
            <w:shd w:val="clear" w:color="auto" w:fill="auto"/>
            <w:vAlign w:val="center"/>
          </w:tcPr>
          <w:p w14:paraId="71B7519E" w14:textId="77777777" w:rsidR="00CB7C58" w:rsidRPr="003B4337" w:rsidRDefault="00532985" w:rsidP="00AF70E5">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CB7C58" w:rsidRPr="00A5490A" w14:paraId="03EA0DAE" w14:textId="77777777" w:rsidTr="00CB7C58">
        <w:tc>
          <w:tcPr>
            <w:tcW w:w="1291" w:type="dxa"/>
            <w:vAlign w:val="center"/>
          </w:tcPr>
          <w:p w14:paraId="788FAFBA" w14:textId="77777777" w:rsidR="00CB7C58" w:rsidRPr="003B4337" w:rsidRDefault="00CB7C58" w:rsidP="00AF70E5">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DEMUAL</w:t>
            </w:r>
          </w:p>
        </w:tc>
        <w:tc>
          <w:tcPr>
            <w:tcW w:w="6897" w:type="dxa"/>
            <w:shd w:val="clear" w:color="auto" w:fill="auto"/>
            <w:vAlign w:val="center"/>
          </w:tcPr>
          <w:p w14:paraId="3B555D1E" w14:textId="77777777" w:rsidR="00CB7C58" w:rsidRPr="003B4337" w:rsidRDefault="00CB7C58" w:rsidP="00EC0E90">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Demonstração da Mutação do Ativo Líquido, consolidada e por plano de benefício com a indicação dos saldos do exercício anterior (Anexo C, item 17, “e”, da RESOLUÇÃO CNPC Nº. 08/2011). </w:t>
            </w:r>
          </w:p>
        </w:tc>
        <w:tc>
          <w:tcPr>
            <w:tcW w:w="992" w:type="dxa"/>
            <w:shd w:val="clear" w:color="auto" w:fill="auto"/>
            <w:vAlign w:val="center"/>
          </w:tcPr>
          <w:p w14:paraId="54E22D20" w14:textId="77777777" w:rsidR="00CB7C58" w:rsidRPr="003B4337" w:rsidRDefault="00532985" w:rsidP="00AF70E5">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CB7C58" w:rsidRPr="00A5490A" w14:paraId="6BA9B6C1" w14:textId="77777777" w:rsidTr="00CB7C58">
        <w:trPr>
          <w:trHeight w:val="680"/>
        </w:trPr>
        <w:tc>
          <w:tcPr>
            <w:tcW w:w="1291" w:type="dxa"/>
            <w:vAlign w:val="center"/>
          </w:tcPr>
          <w:p w14:paraId="451B72A6" w14:textId="77777777" w:rsidR="00CB7C58" w:rsidRPr="003B4337" w:rsidRDefault="00CB7C58" w:rsidP="00AF70E5">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DEPGAC</w:t>
            </w:r>
          </w:p>
        </w:tc>
        <w:tc>
          <w:tcPr>
            <w:tcW w:w="6897" w:type="dxa"/>
            <w:shd w:val="clear" w:color="auto" w:fill="auto"/>
            <w:vAlign w:val="center"/>
          </w:tcPr>
          <w:p w14:paraId="490A2B1D" w14:textId="77777777" w:rsidR="00CB7C58" w:rsidRPr="003B4337" w:rsidRDefault="00CB7C58" w:rsidP="00EC0E90">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Demonstração do Plano de Gestão Administrativa, consolidada com a indicação dos saldos do exercício anterior (Anexo C, item 17, “c”, da RESOLUÇÃO CNPC Nº. 08/2011). </w:t>
            </w:r>
          </w:p>
        </w:tc>
        <w:tc>
          <w:tcPr>
            <w:tcW w:w="992" w:type="dxa"/>
            <w:shd w:val="clear" w:color="auto" w:fill="auto"/>
            <w:vAlign w:val="center"/>
          </w:tcPr>
          <w:p w14:paraId="2624C516" w14:textId="77777777" w:rsidR="00CB7C58" w:rsidRPr="003B4337" w:rsidRDefault="00532985" w:rsidP="00AF70E5">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CB7C58" w:rsidRPr="00A5490A" w14:paraId="7337D81C" w14:textId="77777777" w:rsidTr="00CB7C58">
        <w:trPr>
          <w:trHeight w:val="850"/>
        </w:trPr>
        <w:tc>
          <w:tcPr>
            <w:tcW w:w="1291" w:type="dxa"/>
            <w:vAlign w:val="center"/>
          </w:tcPr>
          <w:p w14:paraId="68D4FB2E" w14:textId="77777777" w:rsidR="00CB7C58" w:rsidRPr="003B4337" w:rsidRDefault="00CB7C58" w:rsidP="00AF70E5">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lastRenderedPageBreak/>
              <w:t>DEPGAP</w:t>
            </w:r>
          </w:p>
        </w:tc>
        <w:tc>
          <w:tcPr>
            <w:tcW w:w="6897" w:type="dxa"/>
            <w:shd w:val="clear" w:color="auto" w:fill="auto"/>
            <w:vAlign w:val="center"/>
          </w:tcPr>
          <w:p w14:paraId="4DB4F14C" w14:textId="77777777" w:rsidR="00CB7C58" w:rsidRPr="003B4337" w:rsidRDefault="00CB7C58" w:rsidP="00EC0E90">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Demonstração do Plano de Gestão Administrativa por Plano de Benefícios, com a indicação dos saldos do exercício anterior, caso tenha sido elaborada (Anexo C, item 17, “d”, da RESOLUÇÃO CNPC Nº 08/2011). </w:t>
            </w:r>
          </w:p>
        </w:tc>
        <w:tc>
          <w:tcPr>
            <w:tcW w:w="992" w:type="dxa"/>
            <w:shd w:val="clear" w:color="auto" w:fill="auto"/>
            <w:vAlign w:val="center"/>
          </w:tcPr>
          <w:p w14:paraId="3199C56E" w14:textId="77777777" w:rsidR="00CB7C58" w:rsidRPr="003B4337" w:rsidRDefault="00532985" w:rsidP="00AF70E5">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CB7C58" w:rsidRPr="00242BA2" w14:paraId="705C2684" w14:textId="77777777" w:rsidTr="00CB7C58">
        <w:trPr>
          <w:trHeight w:val="907"/>
        </w:trPr>
        <w:tc>
          <w:tcPr>
            <w:tcW w:w="1291" w:type="dxa"/>
            <w:vAlign w:val="center"/>
          </w:tcPr>
          <w:p w14:paraId="406AB17E" w14:textId="77777777" w:rsidR="00CB7C58" w:rsidRPr="003B4337" w:rsidRDefault="00CB7C58" w:rsidP="00AF70E5">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DEOAPB</w:t>
            </w:r>
          </w:p>
        </w:tc>
        <w:tc>
          <w:tcPr>
            <w:tcW w:w="6897" w:type="dxa"/>
            <w:shd w:val="clear" w:color="auto" w:fill="auto"/>
            <w:vAlign w:val="center"/>
          </w:tcPr>
          <w:p w14:paraId="58280A69" w14:textId="77777777" w:rsidR="00CB7C58" w:rsidRPr="003B4337" w:rsidRDefault="00CB7C58" w:rsidP="00EC0E90">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Demonstração das Obrigações Atuariais do Plano, por plano de benefício previdencial com a indicação dos saldos do exercício anterior (Anexo C, item 17, “f”, da RESOLUÇÃO CNPC Nº. 08/2011). </w:t>
            </w:r>
          </w:p>
        </w:tc>
        <w:tc>
          <w:tcPr>
            <w:tcW w:w="992" w:type="dxa"/>
            <w:shd w:val="clear" w:color="auto" w:fill="auto"/>
            <w:vAlign w:val="center"/>
          </w:tcPr>
          <w:p w14:paraId="13243D9B" w14:textId="77777777" w:rsidR="00CB7C58" w:rsidRPr="003B4337" w:rsidRDefault="00532985" w:rsidP="00AF70E5">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CB7C58" w:rsidRPr="00242BA2" w14:paraId="6E3E736F" w14:textId="77777777" w:rsidTr="00CB7C58">
        <w:trPr>
          <w:trHeight w:val="907"/>
        </w:trPr>
        <w:tc>
          <w:tcPr>
            <w:tcW w:w="1291" w:type="dxa"/>
            <w:vAlign w:val="center"/>
          </w:tcPr>
          <w:p w14:paraId="1A3E9389" w14:textId="77777777" w:rsidR="00CB7C58" w:rsidRPr="003B4337" w:rsidRDefault="00CB7C58" w:rsidP="00B27804">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NEXDCC</w:t>
            </w:r>
          </w:p>
        </w:tc>
        <w:tc>
          <w:tcPr>
            <w:tcW w:w="6897" w:type="dxa"/>
            <w:shd w:val="clear" w:color="auto" w:fill="auto"/>
            <w:vAlign w:val="center"/>
          </w:tcPr>
          <w:p w14:paraId="6DAEB2BA" w14:textId="77777777" w:rsidR="00CB7C58" w:rsidRPr="003B4337" w:rsidRDefault="00CB7C58" w:rsidP="00B27804">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Notas Explicativas às Demonstrações Contábeis Consolidadas, contendo as informações que couberem à situação da empresa (Anexo C, item 17, “g”, da RESOLUÇÃO CNPC Nº 08/2011). </w:t>
            </w:r>
          </w:p>
        </w:tc>
        <w:tc>
          <w:tcPr>
            <w:tcW w:w="992" w:type="dxa"/>
            <w:shd w:val="clear" w:color="auto" w:fill="auto"/>
            <w:vAlign w:val="center"/>
          </w:tcPr>
          <w:p w14:paraId="620B801B" w14:textId="77777777" w:rsidR="00CB7C58" w:rsidRPr="003B4337" w:rsidRDefault="00532985" w:rsidP="00AF70E5">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CB7C58" w:rsidRPr="00242BA2" w14:paraId="741594C4" w14:textId="77777777" w:rsidTr="00CB7C58">
        <w:trPr>
          <w:trHeight w:val="907"/>
        </w:trPr>
        <w:tc>
          <w:tcPr>
            <w:tcW w:w="1291" w:type="dxa"/>
            <w:vAlign w:val="center"/>
          </w:tcPr>
          <w:p w14:paraId="6CDF4B2E" w14:textId="77777777" w:rsidR="00CB7C58" w:rsidRPr="003B4337" w:rsidRDefault="00CB7C58" w:rsidP="00D01CA3">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MANCDL</w:t>
            </w:r>
          </w:p>
        </w:tc>
        <w:tc>
          <w:tcPr>
            <w:tcW w:w="6897" w:type="dxa"/>
            <w:shd w:val="clear" w:color="auto" w:fill="auto"/>
            <w:vAlign w:val="center"/>
          </w:tcPr>
          <w:p w14:paraId="4D54063E" w14:textId="77777777" w:rsidR="00CB7C58" w:rsidRPr="003B4337" w:rsidRDefault="00CB7C58" w:rsidP="00D01CA3">
            <w:pPr>
              <w:pStyle w:val="Default"/>
              <w:spacing w:before="120" w:after="120"/>
              <w:jc w:val="both"/>
              <w:rPr>
                <w:rFonts w:eastAsia="Times New Roman"/>
                <w:color w:val="auto"/>
                <w:sz w:val="18"/>
                <w:szCs w:val="18"/>
                <w:lang w:eastAsia="pt-BR"/>
              </w:rPr>
            </w:pPr>
            <w:r w:rsidRPr="003B4337">
              <w:rPr>
                <w:rFonts w:eastAsia="Times New Roman"/>
                <w:color w:val="auto"/>
                <w:sz w:val="18"/>
                <w:szCs w:val="18"/>
                <w:lang w:eastAsia="pt-BR"/>
              </w:rPr>
              <w:t xml:space="preserve">Manifestação do Conselho Deliberativo com aprovação das Demonstrações Contábeis (Anexo C, item 17, “k”, da RESOLUÇÃO CNPC Nº 08/2011). </w:t>
            </w:r>
          </w:p>
        </w:tc>
        <w:tc>
          <w:tcPr>
            <w:tcW w:w="992" w:type="dxa"/>
            <w:shd w:val="clear" w:color="auto" w:fill="auto"/>
            <w:vAlign w:val="center"/>
          </w:tcPr>
          <w:p w14:paraId="2B804CF8" w14:textId="77777777" w:rsidR="00CB7C58" w:rsidRPr="003B4337" w:rsidRDefault="00532985" w:rsidP="00AF70E5">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CB7C58" w:rsidRPr="00A5490A" w14:paraId="0960F99B" w14:textId="77777777" w:rsidTr="00CB7C58">
        <w:tc>
          <w:tcPr>
            <w:tcW w:w="1291" w:type="dxa"/>
            <w:vAlign w:val="center"/>
          </w:tcPr>
          <w:p w14:paraId="7AF918C3" w14:textId="77777777" w:rsidR="00CB7C58" w:rsidRPr="003B4337" w:rsidRDefault="00CB7C58" w:rsidP="00AF70E5">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BALVER</w:t>
            </w:r>
          </w:p>
        </w:tc>
        <w:tc>
          <w:tcPr>
            <w:tcW w:w="6897" w:type="dxa"/>
            <w:shd w:val="clear" w:color="auto" w:fill="auto"/>
            <w:vAlign w:val="center"/>
          </w:tcPr>
          <w:p w14:paraId="4137F0E4" w14:textId="77777777" w:rsidR="00CB7C58" w:rsidRPr="003B4337" w:rsidRDefault="00CB7C58" w:rsidP="005A307E">
            <w:pPr>
              <w:pStyle w:val="Default"/>
              <w:spacing w:before="120" w:after="120"/>
              <w:jc w:val="both"/>
              <w:rPr>
                <w:rFonts w:eastAsia="Times New Roman"/>
                <w:color w:val="auto"/>
                <w:sz w:val="18"/>
                <w:szCs w:val="18"/>
                <w:lang w:eastAsia="pt-BR"/>
              </w:rPr>
            </w:pPr>
            <w:r w:rsidRPr="003B4337">
              <w:rPr>
                <w:rFonts w:eastAsia="Times New Roman"/>
                <w:color w:val="auto"/>
                <w:sz w:val="18"/>
                <w:szCs w:val="18"/>
                <w:lang w:eastAsia="pt-BR"/>
              </w:rPr>
              <w:t xml:space="preserve">Balancete do Plano de Benefícios, Balancete do Plano de Gestão Administrativa e Balancete Consolidado do mês de encerramento do exercício (Anexo C, item 5 da RESOLUÇÃO CNPC Nº 08/2011). </w:t>
            </w:r>
          </w:p>
        </w:tc>
        <w:tc>
          <w:tcPr>
            <w:tcW w:w="992" w:type="dxa"/>
            <w:shd w:val="clear" w:color="auto" w:fill="auto"/>
            <w:vAlign w:val="center"/>
          </w:tcPr>
          <w:p w14:paraId="1A214501" w14:textId="77777777" w:rsidR="00CB7C58" w:rsidRPr="003B4337" w:rsidRDefault="00532985" w:rsidP="00AF70E5">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CB7C58" w:rsidRPr="00A5490A" w14:paraId="4F1644EB" w14:textId="77777777" w:rsidTr="00CB7C58">
        <w:tc>
          <w:tcPr>
            <w:tcW w:w="1291" w:type="dxa"/>
            <w:vAlign w:val="center"/>
          </w:tcPr>
          <w:p w14:paraId="6854524C" w14:textId="77777777" w:rsidR="00CB7C58" w:rsidRPr="003B4337" w:rsidRDefault="00CB7C58" w:rsidP="00AF70E5">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PARAUD</w:t>
            </w:r>
          </w:p>
        </w:tc>
        <w:tc>
          <w:tcPr>
            <w:tcW w:w="6897" w:type="dxa"/>
            <w:shd w:val="clear" w:color="auto" w:fill="auto"/>
            <w:vAlign w:val="center"/>
          </w:tcPr>
          <w:p w14:paraId="05E62726" w14:textId="77777777" w:rsidR="00CB7C58" w:rsidRPr="003B4337" w:rsidRDefault="00CB7C58" w:rsidP="006357CF">
            <w:pPr>
              <w:pStyle w:val="Default"/>
              <w:spacing w:before="120" w:after="120"/>
              <w:jc w:val="both"/>
              <w:rPr>
                <w:rFonts w:eastAsia="Times New Roman"/>
                <w:color w:val="auto"/>
                <w:sz w:val="18"/>
                <w:szCs w:val="18"/>
                <w:lang w:eastAsia="pt-BR"/>
              </w:rPr>
            </w:pPr>
            <w:r w:rsidRPr="003B4337">
              <w:rPr>
                <w:rFonts w:eastAsia="Times New Roman"/>
                <w:color w:val="auto"/>
                <w:sz w:val="18"/>
                <w:szCs w:val="18"/>
                <w:lang w:eastAsia="pt-BR"/>
              </w:rPr>
              <w:t xml:space="preserve">Parecer dos Auditores Independentes sobre as demonstrações contábeis do exercício social (Anexo C, item 17, “h”, da RESOLUÇÃO CNPC Nº 08/2011). </w:t>
            </w:r>
          </w:p>
        </w:tc>
        <w:tc>
          <w:tcPr>
            <w:tcW w:w="992" w:type="dxa"/>
            <w:shd w:val="clear" w:color="auto" w:fill="auto"/>
            <w:vAlign w:val="center"/>
          </w:tcPr>
          <w:p w14:paraId="697881BE" w14:textId="77777777" w:rsidR="00CB7C58" w:rsidRPr="003B4337" w:rsidRDefault="00532985" w:rsidP="00AF70E5">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CB7C58" w:rsidRPr="00A5490A" w14:paraId="075FB3D1" w14:textId="77777777" w:rsidTr="00CB7C58">
        <w:tc>
          <w:tcPr>
            <w:tcW w:w="1291" w:type="dxa"/>
            <w:vAlign w:val="center"/>
          </w:tcPr>
          <w:p w14:paraId="245EBE9E" w14:textId="77777777" w:rsidR="00CB7C58" w:rsidRPr="003B4337" w:rsidRDefault="00CB7C58" w:rsidP="00AF70E5">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RELIND</w:t>
            </w:r>
          </w:p>
        </w:tc>
        <w:tc>
          <w:tcPr>
            <w:tcW w:w="6897" w:type="dxa"/>
            <w:shd w:val="clear" w:color="auto" w:fill="auto"/>
            <w:vAlign w:val="center"/>
          </w:tcPr>
          <w:p w14:paraId="61C385AB" w14:textId="77777777" w:rsidR="00CB7C58" w:rsidRPr="003B4337" w:rsidRDefault="00CB7C58" w:rsidP="006357CF">
            <w:pPr>
              <w:pStyle w:val="Default"/>
              <w:spacing w:before="120" w:after="120"/>
              <w:jc w:val="both"/>
              <w:rPr>
                <w:rFonts w:eastAsia="Times New Roman"/>
                <w:color w:val="auto"/>
                <w:sz w:val="18"/>
                <w:szCs w:val="18"/>
                <w:lang w:eastAsia="pt-BR"/>
              </w:rPr>
            </w:pPr>
            <w:r w:rsidRPr="003B4337">
              <w:rPr>
                <w:rFonts w:eastAsia="Times New Roman"/>
                <w:color w:val="auto"/>
                <w:sz w:val="18"/>
                <w:szCs w:val="18"/>
                <w:lang w:eastAsia="pt-BR"/>
              </w:rPr>
              <w:t xml:space="preserve">Relatório Circunstanciado da Auditoria Independente caso os auditores independentes tenham sido contratados para este serviço no exercício. </w:t>
            </w:r>
          </w:p>
        </w:tc>
        <w:tc>
          <w:tcPr>
            <w:tcW w:w="992" w:type="dxa"/>
            <w:shd w:val="clear" w:color="auto" w:fill="auto"/>
            <w:vAlign w:val="center"/>
          </w:tcPr>
          <w:p w14:paraId="24EBDBE5" w14:textId="77777777" w:rsidR="00CB7C58" w:rsidRPr="003B4337" w:rsidRDefault="00532985" w:rsidP="00AF70E5">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CB7C58" w:rsidRPr="00A5490A" w14:paraId="0834536C" w14:textId="77777777" w:rsidTr="00CB7C58">
        <w:tc>
          <w:tcPr>
            <w:tcW w:w="1291" w:type="dxa"/>
            <w:vAlign w:val="center"/>
          </w:tcPr>
          <w:p w14:paraId="7D82014F" w14:textId="77777777" w:rsidR="00CB7C58" w:rsidRPr="003B4337" w:rsidRDefault="00CB7C58" w:rsidP="00AF70E5">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PARCOF</w:t>
            </w:r>
          </w:p>
        </w:tc>
        <w:tc>
          <w:tcPr>
            <w:tcW w:w="6897" w:type="dxa"/>
            <w:shd w:val="clear" w:color="auto" w:fill="auto"/>
            <w:vAlign w:val="center"/>
          </w:tcPr>
          <w:p w14:paraId="7F79303A" w14:textId="77777777" w:rsidR="00CB7C58" w:rsidRPr="003B4337" w:rsidRDefault="00CB7C58" w:rsidP="006357CF">
            <w:pPr>
              <w:pStyle w:val="Default"/>
              <w:spacing w:before="120" w:after="120"/>
              <w:jc w:val="both"/>
              <w:rPr>
                <w:rFonts w:eastAsia="Times New Roman"/>
                <w:color w:val="auto"/>
                <w:sz w:val="18"/>
                <w:szCs w:val="18"/>
                <w:lang w:eastAsia="pt-BR"/>
              </w:rPr>
            </w:pPr>
            <w:r w:rsidRPr="003B4337">
              <w:rPr>
                <w:rFonts w:eastAsia="Times New Roman"/>
                <w:color w:val="auto"/>
                <w:sz w:val="18"/>
                <w:szCs w:val="18"/>
                <w:lang w:eastAsia="pt-BR"/>
              </w:rPr>
              <w:t xml:space="preserve">Parecer do Conselho Fiscal sobre as Demonstrações Contábeis, (Anexo C, item 17, “j”, da RESOLUÇÃO CNPC Nº 08/2011). </w:t>
            </w:r>
          </w:p>
        </w:tc>
        <w:tc>
          <w:tcPr>
            <w:tcW w:w="992" w:type="dxa"/>
            <w:shd w:val="clear" w:color="auto" w:fill="auto"/>
            <w:vAlign w:val="center"/>
          </w:tcPr>
          <w:p w14:paraId="673C1D13" w14:textId="77777777" w:rsidR="00CB7C58" w:rsidRPr="003B4337" w:rsidRDefault="00532985" w:rsidP="00AF70E5">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CB7C58" w:rsidRPr="00A5490A" w14:paraId="2C4C5F6B" w14:textId="77777777" w:rsidTr="00CB7C58">
        <w:tc>
          <w:tcPr>
            <w:tcW w:w="1291" w:type="dxa"/>
            <w:vAlign w:val="center"/>
          </w:tcPr>
          <w:p w14:paraId="5A7110D4" w14:textId="77777777" w:rsidR="00CB7C58" w:rsidRPr="003B4337" w:rsidRDefault="00CB7C58" w:rsidP="00AF70E5">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PUBLRA</w:t>
            </w:r>
          </w:p>
        </w:tc>
        <w:tc>
          <w:tcPr>
            <w:tcW w:w="6897" w:type="dxa"/>
            <w:shd w:val="clear" w:color="auto" w:fill="auto"/>
            <w:vAlign w:val="center"/>
          </w:tcPr>
          <w:p w14:paraId="3E9F7081" w14:textId="77777777" w:rsidR="00CB7C58" w:rsidRPr="003B4337" w:rsidRDefault="00CB7C58" w:rsidP="006357CF">
            <w:pPr>
              <w:pStyle w:val="Default"/>
              <w:spacing w:before="120" w:after="120"/>
              <w:jc w:val="both"/>
              <w:rPr>
                <w:rFonts w:eastAsia="Times New Roman"/>
                <w:color w:val="auto"/>
                <w:sz w:val="18"/>
                <w:szCs w:val="18"/>
                <w:lang w:eastAsia="pt-BR"/>
              </w:rPr>
            </w:pPr>
            <w:r w:rsidRPr="003B4337">
              <w:rPr>
                <w:rFonts w:eastAsia="Times New Roman"/>
                <w:color w:val="auto"/>
                <w:sz w:val="18"/>
                <w:szCs w:val="18"/>
                <w:lang w:eastAsia="pt-BR"/>
              </w:rPr>
              <w:t xml:space="preserve">Parecer do Atuário, relativo a cada plano de benefícios previdencial (Anexo C, item 17, “i”, da RESOLUÇÃO CNPC Nº 08/2011). </w:t>
            </w:r>
          </w:p>
        </w:tc>
        <w:tc>
          <w:tcPr>
            <w:tcW w:w="992" w:type="dxa"/>
            <w:shd w:val="clear" w:color="auto" w:fill="auto"/>
            <w:vAlign w:val="center"/>
          </w:tcPr>
          <w:p w14:paraId="05ABD664" w14:textId="77777777" w:rsidR="00CB7C58" w:rsidRPr="003B4337" w:rsidRDefault="00532985" w:rsidP="00AF70E5">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CB7C58" w:rsidRPr="00A5490A" w14:paraId="0FDE273E" w14:textId="77777777" w:rsidTr="00CB7C58">
        <w:tc>
          <w:tcPr>
            <w:tcW w:w="1291" w:type="dxa"/>
            <w:vAlign w:val="center"/>
          </w:tcPr>
          <w:p w14:paraId="08F56258" w14:textId="77777777" w:rsidR="00CB7C58" w:rsidRPr="003B4337" w:rsidRDefault="00CB7C58" w:rsidP="00AF70E5">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INVMOVS</w:t>
            </w:r>
          </w:p>
        </w:tc>
        <w:tc>
          <w:tcPr>
            <w:tcW w:w="6897" w:type="dxa"/>
            <w:shd w:val="clear" w:color="auto" w:fill="auto"/>
            <w:vAlign w:val="center"/>
          </w:tcPr>
          <w:p w14:paraId="48CA6E9C" w14:textId="77777777" w:rsidR="00CB7C58" w:rsidRPr="003B4337" w:rsidRDefault="00CB7C58" w:rsidP="00AF70E5">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Inventário anual dos bens móveis, contendo no mínimo as seguintes informações: </w:t>
            </w:r>
          </w:p>
          <w:p w14:paraId="190229B2" w14:textId="77777777" w:rsidR="00CB7C58" w:rsidRPr="003B4337" w:rsidRDefault="00CB7C58" w:rsidP="00AF70E5">
            <w:pPr>
              <w:numPr>
                <w:ilvl w:val="0"/>
                <w:numId w:val="1"/>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Número de patrimônio </w:t>
            </w:r>
          </w:p>
          <w:p w14:paraId="03064F09" w14:textId="77777777" w:rsidR="00CB7C58" w:rsidRPr="003B4337" w:rsidRDefault="00CB7C58" w:rsidP="00AF70E5">
            <w:pPr>
              <w:numPr>
                <w:ilvl w:val="0"/>
                <w:numId w:val="1"/>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Descrição do bem </w:t>
            </w:r>
          </w:p>
          <w:p w14:paraId="2412B6AE" w14:textId="77777777" w:rsidR="00CB7C58" w:rsidRPr="003B4337" w:rsidRDefault="00CB7C58" w:rsidP="00AF70E5">
            <w:pPr>
              <w:numPr>
                <w:ilvl w:val="0"/>
                <w:numId w:val="1"/>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Data de aquisição/incorporação </w:t>
            </w:r>
          </w:p>
          <w:p w14:paraId="7CF703B5" w14:textId="77777777" w:rsidR="00CB7C58" w:rsidRPr="003B4337" w:rsidRDefault="00CB7C58" w:rsidP="00AF70E5">
            <w:pPr>
              <w:numPr>
                <w:ilvl w:val="0"/>
                <w:numId w:val="1"/>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Localização </w:t>
            </w:r>
          </w:p>
          <w:p w14:paraId="2B562713" w14:textId="77777777" w:rsidR="00CB7C58" w:rsidRPr="003B4337" w:rsidRDefault="00CB7C58" w:rsidP="00AF70E5">
            <w:pPr>
              <w:numPr>
                <w:ilvl w:val="0"/>
                <w:numId w:val="1"/>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Quantidade </w:t>
            </w:r>
          </w:p>
          <w:p w14:paraId="2325C22B" w14:textId="77777777" w:rsidR="00CB7C58" w:rsidRPr="003B4337" w:rsidRDefault="00CB7C58" w:rsidP="00AF70E5">
            <w:pPr>
              <w:numPr>
                <w:ilvl w:val="0"/>
                <w:numId w:val="1"/>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Valor histórico e atualizado</w:t>
            </w:r>
          </w:p>
          <w:p w14:paraId="7A96C349" w14:textId="77777777" w:rsidR="00CB7C58" w:rsidRPr="003B4337" w:rsidRDefault="00CB7C58" w:rsidP="00402705">
            <w:pPr>
              <w:pStyle w:val="Default"/>
              <w:jc w:val="both"/>
              <w:rPr>
                <w:rFonts w:eastAsia="Times New Roman"/>
                <w:color w:val="auto"/>
                <w:sz w:val="18"/>
                <w:szCs w:val="18"/>
                <w:lang w:eastAsia="pt-BR"/>
              </w:rPr>
            </w:pPr>
            <w:r w:rsidRPr="003B4337">
              <w:rPr>
                <w:rFonts w:eastAsia="Times New Roman"/>
                <w:color w:val="auto"/>
                <w:sz w:val="18"/>
                <w:szCs w:val="18"/>
                <w:lang w:eastAsia="pt-BR"/>
              </w:rPr>
              <w:t>Observação:</w:t>
            </w:r>
          </w:p>
          <w:p w14:paraId="04CEB54B" w14:textId="77777777" w:rsidR="00CB7C58" w:rsidRPr="003B4337" w:rsidRDefault="00CB7C58" w:rsidP="0008561F">
            <w:pPr>
              <w:pStyle w:val="PargrafodaLista"/>
              <w:numPr>
                <w:ilvl w:val="0"/>
                <w:numId w:val="23"/>
              </w:numPr>
              <w:spacing w:before="120" w:after="120" w:line="240" w:lineRule="auto"/>
              <w:jc w:val="both"/>
              <w:rPr>
                <w:rFonts w:eastAsia="Times New Roman"/>
                <w:sz w:val="18"/>
                <w:szCs w:val="18"/>
                <w:lang w:eastAsia="pt-BR"/>
              </w:rPr>
            </w:pPr>
            <w:r w:rsidRPr="003B4337">
              <w:rPr>
                <w:rFonts w:ascii="Arial" w:eastAsia="Times New Roman" w:hAnsi="Arial" w:cs="Arial"/>
                <w:sz w:val="18"/>
                <w:szCs w:val="18"/>
                <w:lang w:eastAsia="pt-BR"/>
              </w:rPr>
              <w:t>A coluna valor deve ser totalizada.</w:t>
            </w:r>
          </w:p>
        </w:tc>
        <w:tc>
          <w:tcPr>
            <w:tcW w:w="992" w:type="dxa"/>
            <w:shd w:val="clear" w:color="auto" w:fill="auto"/>
            <w:vAlign w:val="center"/>
          </w:tcPr>
          <w:p w14:paraId="090DB5C6" w14:textId="77777777" w:rsidR="00CB7C58" w:rsidRPr="003B4337" w:rsidRDefault="00532985" w:rsidP="00AF70E5">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p w14:paraId="6E0310E5" w14:textId="77777777" w:rsidR="00CB7C58" w:rsidRPr="003B4337" w:rsidRDefault="00CB7C58" w:rsidP="00AF70E5">
            <w:pPr>
              <w:spacing w:after="0" w:line="240" w:lineRule="auto"/>
              <w:jc w:val="center"/>
              <w:rPr>
                <w:rFonts w:ascii="Arial" w:eastAsia="Times New Roman" w:hAnsi="Arial" w:cs="Arial"/>
                <w:sz w:val="14"/>
                <w:szCs w:val="14"/>
                <w:highlight w:val="yellow"/>
                <w:lang w:eastAsia="pt-BR"/>
              </w:rPr>
            </w:pPr>
            <w:r w:rsidRPr="003B4337">
              <w:rPr>
                <w:rFonts w:ascii="Arial" w:eastAsia="Times New Roman" w:hAnsi="Arial" w:cs="Arial"/>
                <w:sz w:val="14"/>
                <w:szCs w:val="14"/>
                <w:lang w:eastAsia="pt-BR"/>
              </w:rPr>
              <w:t>e</w:t>
            </w:r>
            <w:r w:rsidRPr="003B4337">
              <w:rPr>
                <w:rFonts w:ascii="Arial" w:eastAsia="Times New Roman" w:hAnsi="Arial" w:cs="Arial"/>
                <w:sz w:val="14"/>
                <w:szCs w:val="14"/>
                <w:highlight w:val="yellow"/>
                <w:lang w:eastAsia="pt-BR"/>
              </w:rPr>
              <w:t xml:space="preserve"> </w:t>
            </w:r>
          </w:p>
          <w:p w14:paraId="06AC023A" w14:textId="77777777" w:rsidR="00CB7C58" w:rsidRPr="003B4337" w:rsidRDefault="00CB7C58" w:rsidP="00AF70E5">
            <w:pPr>
              <w:spacing w:after="0" w:line="240" w:lineRule="auto"/>
              <w:jc w:val="center"/>
              <w:rPr>
                <w:rFonts w:ascii="Arial" w:eastAsia="Times New Roman" w:hAnsi="Arial" w:cs="Arial"/>
                <w:sz w:val="14"/>
                <w:szCs w:val="14"/>
                <w:lang w:eastAsia="pt-BR"/>
              </w:rPr>
            </w:pPr>
            <w:r w:rsidRPr="003B4337">
              <w:rPr>
                <w:rFonts w:ascii="Arial" w:eastAsia="Times New Roman" w:hAnsi="Arial" w:cs="Arial"/>
                <w:sz w:val="14"/>
                <w:szCs w:val="14"/>
                <w:lang w:eastAsia="pt-BR"/>
              </w:rPr>
              <w:t>XLS/XLSX/ODS</w:t>
            </w:r>
          </w:p>
        </w:tc>
      </w:tr>
      <w:tr w:rsidR="00CB7C58" w:rsidRPr="008F0D86" w14:paraId="2B5729CD" w14:textId="77777777" w:rsidTr="00CB7C58">
        <w:tc>
          <w:tcPr>
            <w:tcW w:w="1291" w:type="dxa"/>
            <w:tcBorders>
              <w:top w:val="single" w:sz="4" w:space="0" w:color="auto"/>
              <w:left w:val="single" w:sz="4" w:space="0" w:color="auto"/>
              <w:bottom w:val="single" w:sz="4" w:space="0" w:color="auto"/>
              <w:right w:val="single" w:sz="4" w:space="0" w:color="auto"/>
            </w:tcBorders>
            <w:vAlign w:val="center"/>
          </w:tcPr>
          <w:p w14:paraId="58942387" w14:textId="77777777" w:rsidR="00CB7C58" w:rsidRPr="003B4337" w:rsidRDefault="00CB7C58" w:rsidP="003B4337">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TERMOV</w:t>
            </w:r>
          </w:p>
        </w:tc>
        <w:tc>
          <w:tcPr>
            <w:tcW w:w="6897" w:type="dxa"/>
            <w:tcBorders>
              <w:top w:val="single" w:sz="4" w:space="0" w:color="auto"/>
              <w:left w:val="single" w:sz="4" w:space="0" w:color="auto"/>
              <w:bottom w:val="single" w:sz="4" w:space="0" w:color="auto"/>
              <w:right w:val="single" w:sz="4" w:space="0" w:color="auto"/>
            </w:tcBorders>
            <w:shd w:val="clear" w:color="auto" w:fill="auto"/>
            <w:vAlign w:val="center"/>
          </w:tcPr>
          <w:p w14:paraId="4623E01D" w14:textId="25104E00" w:rsidR="00CB7C58" w:rsidRPr="003B4337" w:rsidRDefault="00CB7C58" w:rsidP="009500C7">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Termo circunstanciado elaborado e assinado pela comissão responsável pelo Inventário Anual de Bens Móveis (INVMOVS), indicando o saldo total apurado e o </w:t>
            </w:r>
            <w:r w:rsidRPr="008506B0">
              <w:rPr>
                <w:rFonts w:ascii="Arial" w:eastAsia="Times New Roman" w:hAnsi="Arial" w:cs="Arial"/>
                <w:sz w:val="18"/>
                <w:szCs w:val="18"/>
                <w:lang w:eastAsia="pt-BR"/>
              </w:rPr>
              <w:t>detalhamento (especificação e valor) das divergências encontradas</w:t>
            </w:r>
            <w:r w:rsidR="00B24335" w:rsidRPr="008506B0">
              <w:rPr>
                <w:rFonts w:ascii="Arial" w:eastAsia="Times New Roman" w:hAnsi="Arial" w:cs="Arial"/>
                <w:sz w:val="18"/>
                <w:szCs w:val="18"/>
                <w:lang w:eastAsia="pt-BR"/>
              </w:rPr>
              <w:t xml:space="preserve">, na forma </w:t>
            </w:r>
            <w:r w:rsidR="008506B0" w:rsidRPr="008506B0">
              <w:rPr>
                <w:rFonts w:ascii="Arial" w:eastAsia="Times New Roman" w:hAnsi="Arial" w:cs="Arial"/>
                <w:sz w:val="18"/>
                <w:szCs w:val="18"/>
                <w:lang w:eastAsia="pt-BR"/>
              </w:rPr>
              <w:t>do item 3.2 deste Anexo.</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9598BDA" w14:textId="77777777" w:rsidR="00CB7C58" w:rsidRPr="003B4337" w:rsidRDefault="00532985" w:rsidP="009500C7">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CB7C58" w:rsidRPr="00A5490A" w14:paraId="42CBAA23" w14:textId="77777777" w:rsidTr="00CB7C58">
        <w:tc>
          <w:tcPr>
            <w:tcW w:w="1291" w:type="dxa"/>
            <w:vAlign w:val="center"/>
          </w:tcPr>
          <w:p w14:paraId="7EB47A33" w14:textId="77777777" w:rsidR="00CB7C58" w:rsidRPr="003B4337" w:rsidRDefault="00CB7C58" w:rsidP="00AF70E5">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INVIMOS</w:t>
            </w:r>
          </w:p>
        </w:tc>
        <w:tc>
          <w:tcPr>
            <w:tcW w:w="6897" w:type="dxa"/>
            <w:shd w:val="clear" w:color="auto" w:fill="auto"/>
            <w:vAlign w:val="center"/>
          </w:tcPr>
          <w:p w14:paraId="6CC103D7" w14:textId="77777777" w:rsidR="00CB7C58" w:rsidRPr="003B4337" w:rsidRDefault="00CB7C58" w:rsidP="00AF70E5">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Inventário anual dos bens imóveis, contendo no mínimo as seguintes informações: </w:t>
            </w:r>
          </w:p>
          <w:p w14:paraId="43BD3F20" w14:textId="77777777" w:rsidR="00CB7C58" w:rsidRPr="003B4337" w:rsidRDefault="00CB7C58" w:rsidP="00AF70E5">
            <w:pPr>
              <w:numPr>
                <w:ilvl w:val="0"/>
                <w:numId w:val="1"/>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Relação dos imóveis que integram o patrimônio da pessoa jurídica. </w:t>
            </w:r>
          </w:p>
          <w:p w14:paraId="4E2B7761" w14:textId="77777777" w:rsidR="00CB7C58" w:rsidRPr="003B4337" w:rsidRDefault="00CB7C58" w:rsidP="00AF70E5">
            <w:pPr>
              <w:numPr>
                <w:ilvl w:val="0"/>
                <w:numId w:val="1"/>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Caracterização do imóvel (número de registro, conforme certidão de matrícula ou certidão de ônus reais obtida no cartório de registro de imóveis; localização; área; estado de conservação; benfeitorias existentes; demais características) </w:t>
            </w:r>
          </w:p>
          <w:p w14:paraId="748FAC63" w14:textId="77777777" w:rsidR="00CB7C58" w:rsidRPr="003B4337" w:rsidRDefault="00CB7C58" w:rsidP="00AF70E5">
            <w:pPr>
              <w:numPr>
                <w:ilvl w:val="0"/>
                <w:numId w:val="1"/>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Data de aquisição/construção ou incorporação </w:t>
            </w:r>
          </w:p>
          <w:p w14:paraId="46D53E3C" w14:textId="77777777" w:rsidR="00CB7C58" w:rsidRPr="003B4337" w:rsidRDefault="00CB7C58" w:rsidP="00AF70E5">
            <w:pPr>
              <w:numPr>
                <w:ilvl w:val="0"/>
                <w:numId w:val="1"/>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Valor histórico e atualizado</w:t>
            </w:r>
          </w:p>
          <w:p w14:paraId="7DC16FC4" w14:textId="77777777" w:rsidR="00CB7C58" w:rsidRPr="003B4337" w:rsidRDefault="00CB7C58" w:rsidP="00402705">
            <w:pPr>
              <w:pStyle w:val="Default"/>
              <w:jc w:val="both"/>
              <w:rPr>
                <w:rFonts w:eastAsia="Times New Roman"/>
                <w:color w:val="auto"/>
                <w:sz w:val="18"/>
                <w:szCs w:val="18"/>
                <w:lang w:eastAsia="pt-BR"/>
              </w:rPr>
            </w:pPr>
            <w:r w:rsidRPr="003B4337">
              <w:rPr>
                <w:rFonts w:eastAsia="Times New Roman"/>
                <w:color w:val="auto"/>
                <w:sz w:val="18"/>
                <w:szCs w:val="18"/>
                <w:lang w:eastAsia="pt-BR"/>
              </w:rPr>
              <w:lastRenderedPageBreak/>
              <w:t>Observações:</w:t>
            </w:r>
          </w:p>
          <w:p w14:paraId="00E9A898" w14:textId="77777777" w:rsidR="00CB7C58" w:rsidRPr="003B4337" w:rsidRDefault="00CB7C58" w:rsidP="00402705">
            <w:pPr>
              <w:pStyle w:val="Default"/>
              <w:jc w:val="both"/>
              <w:rPr>
                <w:rFonts w:eastAsia="Times New Roman"/>
                <w:color w:val="auto"/>
                <w:sz w:val="18"/>
                <w:szCs w:val="18"/>
                <w:lang w:eastAsia="pt-BR"/>
              </w:rPr>
            </w:pPr>
          </w:p>
          <w:p w14:paraId="1EF58266" w14:textId="77777777" w:rsidR="00CB7C58" w:rsidRPr="003B4337" w:rsidRDefault="00CB7C58" w:rsidP="0008561F">
            <w:pPr>
              <w:pStyle w:val="Default"/>
              <w:numPr>
                <w:ilvl w:val="0"/>
                <w:numId w:val="20"/>
              </w:numPr>
              <w:jc w:val="both"/>
              <w:rPr>
                <w:rFonts w:eastAsia="Times New Roman"/>
                <w:color w:val="auto"/>
                <w:sz w:val="18"/>
                <w:szCs w:val="18"/>
                <w:lang w:eastAsia="pt-BR"/>
              </w:rPr>
            </w:pPr>
            <w:r w:rsidRPr="003B4337">
              <w:rPr>
                <w:rFonts w:eastAsia="Times New Roman"/>
                <w:color w:val="auto"/>
                <w:sz w:val="18"/>
                <w:szCs w:val="18"/>
                <w:lang w:eastAsia="pt-BR"/>
              </w:rPr>
              <w:t>Imóveis que são utilizados pela pessoa jurídica, mas que não integram o seu patrimônio devem ser informados separadamente;</w:t>
            </w:r>
          </w:p>
          <w:p w14:paraId="4B9838DB" w14:textId="77777777" w:rsidR="00CB7C58" w:rsidRPr="003B4337" w:rsidRDefault="00CB7C58" w:rsidP="00402705">
            <w:pPr>
              <w:pStyle w:val="Default"/>
              <w:ind w:left="720"/>
              <w:jc w:val="both"/>
              <w:rPr>
                <w:rFonts w:eastAsia="Times New Roman"/>
                <w:color w:val="auto"/>
                <w:sz w:val="18"/>
                <w:szCs w:val="18"/>
                <w:lang w:eastAsia="pt-BR"/>
              </w:rPr>
            </w:pPr>
          </w:p>
          <w:p w14:paraId="29C9F892" w14:textId="77777777" w:rsidR="00CB7C58" w:rsidRPr="003B4337" w:rsidRDefault="00CB7C58" w:rsidP="0008561F">
            <w:pPr>
              <w:pStyle w:val="Default"/>
              <w:numPr>
                <w:ilvl w:val="0"/>
                <w:numId w:val="20"/>
              </w:numPr>
              <w:jc w:val="both"/>
              <w:rPr>
                <w:rFonts w:eastAsia="Times New Roman"/>
                <w:color w:val="auto"/>
                <w:sz w:val="18"/>
                <w:szCs w:val="18"/>
                <w:lang w:eastAsia="pt-BR"/>
              </w:rPr>
            </w:pPr>
            <w:r w:rsidRPr="003B4337">
              <w:rPr>
                <w:rFonts w:eastAsia="Times New Roman"/>
                <w:color w:val="auto"/>
                <w:sz w:val="18"/>
                <w:szCs w:val="18"/>
                <w:lang w:eastAsia="pt-BR"/>
              </w:rPr>
              <w:t>A coluna valor deve ser totalizada.</w:t>
            </w:r>
          </w:p>
          <w:p w14:paraId="4451D474" w14:textId="77777777" w:rsidR="00CB7C58" w:rsidRPr="003B4337" w:rsidRDefault="00CB7C58" w:rsidP="00AF70E5">
            <w:pPr>
              <w:pStyle w:val="Default"/>
              <w:jc w:val="both"/>
              <w:rPr>
                <w:rFonts w:eastAsia="Times New Roman"/>
                <w:color w:val="auto"/>
                <w:sz w:val="18"/>
                <w:szCs w:val="18"/>
                <w:lang w:eastAsia="pt-BR"/>
              </w:rPr>
            </w:pPr>
          </w:p>
        </w:tc>
        <w:tc>
          <w:tcPr>
            <w:tcW w:w="992" w:type="dxa"/>
            <w:shd w:val="clear" w:color="auto" w:fill="auto"/>
            <w:vAlign w:val="center"/>
          </w:tcPr>
          <w:p w14:paraId="125030B3" w14:textId="77777777" w:rsidR="00CB7C58" w:rsidRPr="003B4337" w:rsidRDefault="00532985" w:rsidP="00AF70E5">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lastRenderedPageBreak/>
              <w:t>PDF</w:t>
            </w:r>
          </w:p>
          <w:p w14:paraId="2968EC3D" w14:textId="77777777" w:rsidR="00CB7C58" w:rsidRPr="003B4337" w:rsidRDefault="00CB7C58" w:rsidP="00AF70E5">
            <w:pPr>
              <w:spacing w:after="0" w:line="240" w:lineRule="auto"/>
              <w:jc w:val="center"/>
              <w:rPr>
                <w:rFonts w:ascii="Arial" w:eastAsia="Times New Roman" w:hAnsi="Arial" w:cs="Arial"/>
                <w:sz w:val="14"/>
                <w:szCs w:val="14"/>
                <w:highlight w:val="yellow"/>
                <w:lang w:eastAsia="pt-BR"/>
              </w:rPr>
            </w:pPr>
            <w:r w:rsidRPr="003B4337">
              <w:rPr>
                <w:rFonts w:ascii="Arial" w:eastAsia="Times New Roman" w:hAnsi="Arial" w:cs="Arial"/>
                <w:sz w:val="14"/>
                <w:szCs w:val="14"/>
                <w:lang w:eastAsia="pt-BR"/>
              </w:rPr>
              <w:t>e</w:t>
            </w:r>
            <w:r w:rsidRPr="003B4337">
              <w:rPr>
                <w:rFonts w:ascii="Arial" w:eastAsia="Times New Roman" w:hAnsi="Arial" w:cs="Arial"/>
                <w:sz w:val="14"/>
                <w:szCs w:val="14"/>
                <w:highlight w:val="yellow"/>
                <w:lang w:eastAsia="pt-BR"/>
              </w:rPr>
              <w:t xml:space="preserve"> </w:t>
            </w:r>
          </w:p>
          <w:p w14:paraId="393BB641" w14:textId="77777777" w:rsidR="00CB7C58" w:rsidRPr="003B4337" w:rsidRDefault="00CB7C58" w:rsidP="00AF70E5">
            <w:pPr>
              <w:spacing w:after="0" w:line="240" w:lineRule="auto"/>
              <w:jc w:val="center"/>
              <w:rPr>
                <w:rFonts w:ascii="Arial" w:eastAsia="Times New Roman" w:hAnsi="Arial" w:cs="Arial"/>
                <w:sz w:val="14"/>
                <w:szCs w:val="14"/>
                <w:lang w:eastAsia="pt-BR"/>
              </w:rPr>
            </w:pPr>
            <w:r w:rsidRPr="003B4337">
              <w:rPr>
                <w:rFonts w:ascii="Arial" w:eastAsia="Times New Roman" w:hAnsi="Arial" w:cs="Arial"/>
                <w:sz w:val="14"/>
                <w:szCs w:val="14"/>
                <w:lang w:eastAsia="pt-BR"/>
              </w:rPr>
              <w:t>XLS/XLSX/ODS</w:t>
            </w:r>
          </w:p>
        </w:tc>
      </w:tr>
      <w:tr w:rsidR="00CB7C58" w:rsidRPr="008F0D86" w14:paraId="7E4615AE" w14:textId="77777777" w:rsidTr="00CB7C58">
        <w:tc>
          <w:tcPr>
            <w:tcW w:w="1291" w:type="dxa"/>
            <w:tcBorders>
              <w:top w:val="single" w:sz="4" w:space="0" w:color="auto"/>
              <w:left w:val="single" w:sz="4" w:space="0" w:color="auto"/>
              <w:bottom w:val="single" w:sz="4" w:space="0" w:color="auto"/>
              <w:right w:val="single" w:sz="4" w:space="0" w:color="auto"/>
            </w:tcBorders>
            <w:vAlign w:val="center"/>
          </w:tcPr>
          <w:p w14:paraId="1A4AE858" w14:textId="77777777" w:rsidR="00CB7C58" w:rsidRPr="008506B0" w:rsidRDefault="00CB7C58" w:rsidP="003B4337">
            <w:pPr>
              <w:spacing w:after="0" w:line="240" w:lineRule="auto"/>
              <w:jc w:val="center"/>
              <w:rPr>
                <w:rFonts w:ascii="Arial" w:eastAsia="Times New Roman" w:hAnsi="Arial" w:cs="Arial"/>
                <w:sz w:val="18"/>
                <w:szCs w:val="18"/>
                <w:lang w:eastAsia="pt-BR"/>
              </w:rPr>
            </w:pPr>
            <w:r w:rsidRPr="008506B0">
              <w:rPr>
                <w:rFonts w:ascii="Arial" w:eastAsia="Times New Roman" w:hAnsi="Arial" w:cs="Arial"/>
                <w:sz w:val="18"/>
                <w:szCs w:val="18"/>
                <w:lang w:eastAsia="pt-BR"/>
              </w:rPr>
              <w:lastRenderedPageBreak/>
              <w:t>TERIMO</w:t>
            </w:r>
          </w:p>
        </w:tc>
        <w:tc>
          <w:tcPr>
            <w:tcW w:w="6897" w:type="dxa"/>
            <w:tcBorders>
              <w:top w:val="single" w:sz="4" w:space="0" w:color="auto"/>
              <w:left w:val="single" w:sz="4" w:space="0" w:color="auto"/>
              <w:bottom w:val="single" w:sz="4" w:space="0" w:color="auto"/>
              <w:right w:val="single" w:sz="4" w:space="0" w:color="auto"/>
            </w:tcBorders>
            <w:shd w:val="clear" w:color="auto" w:fill="auto"/>
            <w:vAlign w:val="center"/>
          </w:tcPr>
          <w:p w14:paraId="46C03376" w14:textId="0804695C" w:rsidR="00CB7C58" w:rsidRPr="008506B0" w:rsidRDefault="00CB7C58" w:rsidP="009500C7">
            <w:pPr>
              <w:spacing w:before="120" w:after="120" w:line="240" w:lineRule="auto"/>
              <w:jc w:val="both"/>
              <w:rPr>
                <w:rFonts w:ascii="Arial" w:eastAsia="Times New Roman" w:hAnsi="Arial" w:cs="Arial"/>
                <w:sz w:val="18"/>
                <w:szCs w:val="18"/>
                <w:lang w:eastAsia="pt-BR"/>
              </w:rPr>
            </w:pPr>
            <w:r w:rsidRPr="008506B0">
              <w:rPr>
                <w:rFonts w:ascii="Arial" w:eastAsia="Times New Roman" w:hAnsi="Arial" w:cs="Arial"/>
                <w:sz w:val="18"/>
                <w:szCs w:val="18"/>
                <w:lang w:eastAsia="pt-BR"/>
              </w:rPr>
              <w:t>Termo circunstanciado elaborado e assinado pela comissão responsável pelo Inventário anual dos bens imóveis (INVIMOS), indicando o saldo total apurado e o detalhamento (especificação e valor) das divergências encontradas</w:t>
            </w:r>
            <w:r w:rsidR="00B24335" w:rsidRPr="008506B0">
              <w:rPr>
                <w:rFonts w:ascii="Arial" w:eastAsia="Times New Roman" w:hAnsi="Arial" w:cs="Arial"/>
                <w:sz w:val="18"/>
                <w:szCs w:val="18"/>
                <w:lang w:eastAsia="pt-BR"/>
              </w:rPr>
              <w:t xml:space="preserve">, na forma </w:t>
            </w:r>
            <w:r w:rsidR="008506B0" w:rsidRPr="008506B0">
              <w:rPr>
                <w:rFonts w:ascii="Arial" w:eastAsia="Times New Roman" w:hAnsi="Arial" w:cs="Arial"/>
                <w:sz w:val="18"/>
                <w:szCs w:val="18"/>
                <w:lang w:eastAsia="pt-BR"/>
              </w:rPr>
              <w:t>do item 3.2 deste Anexo.</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683183F" w14:textId="77777777" w:rsidR="00CB7C58" w:rsidRPr="003B4337" w:rsidRDefault="00532985" w:rsidP="009500C7">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CB7C58" w:rsidRPr="00A5490A" w14:paraId="2CD68BFB" w14:textId="77777777" w:rsidTr="00CB7C58">
        <w:tc>
          <w:tcPr>
            <w:tcW w:w="1291" w:type="dxa"/>
            <w:vAlign w:val="center"/>
          </w:tcPr>
          <w:p w14:paraId="6E6A0C1E" w14:textId="77777777" w:rsidR="00CB7C58" w:rsidRPr="003B4337" w:rsidRDefault="00CB7C58" w:rsidP="00AF70E5">
            <w:pPr>
              <w:spacing w:after="0" w:line="240" w:lineRule="auto"/>
              <w:jc w:val="center"/>
              <w:rPr>
                <w:rFonts w:ascii="Arial" w:eastAsia="Times New Roman" w:hAnsi="Arial" w:cs="Arial"/>
                <w:sz w:val="18"/>
                <w:szCs w:val="18"/>
                <w:lang w:eastAsia="pt-BR"/>
              </w:rPr>
            </w:pPr>
            <w:r w:rsidRPr="003B4337">
              <w:rPr>
                <w:rFonts w:ascii="Arial" w:eastAsia="Times New Roman" w:hAnsi="Arial" w:cs="Arial"/>
                <w:sz w:val="18"/>
                <w:szCs w:val="18"/>
                <w:lang w:eastAsia="pt-BR"/>
              </w:rPr>
              <w:t>INVALMO</w:t>
            </w:r>
          </w:p>
        </w:tc>
        <w:tc>
          <w:tcPr>
            <w:tcW w:w="6897" w:type="dxa"/>
            <w:shd w:val="clear" w:color="auto" w:fill="auto"/>
            <w:vAlign w:val="center"/>
          </w:tcPr>
          <w:p w14:paraId="755FBEB3" w14:textId="77777777" w:rsidR="00CB7C58" w:rsidRPr="003B4337" w:rsidRDefault="00CB7C58" w:rsidP="00AF70E5">
            <w:p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Inventário anual dos bens em almoxarifado, contendo no mínimo as seguintes informações: </w:t>
            </w:r>
          </w:p>
          <w:p w14:paraId="7523D721" w14:textId="77777777" w:rsidR="00CB7C58" w:rsidRPr="003B4337" w:rsidRDefault="00CB7C58" w:rsidP="00AF70E5">
            <w:pPr>
              <w:numPr>
                <w:ilvl w:val="0"/>
                <w:numId w:val="1"/>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Descrição dos bens </w:t>
            </w:r>
          </w:p>
          <w:p w14:paraId="7B0101CC" w14:textId="77777777" w:rsidR="00CB7C58" w:rsidRPr="003B4337" w:rsidRDefault="00CB7C58" w:rsidP="00AF70E5">
            <w:pPr>
              <w:numPr>
                <w:ilvl w:val="0"/>
                <w:numId w:val="1"/>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Quantidade </w:t>
            </w:r>
          </w:p>
          <w:p w14:paraId="70AEF634" w14:textId="77777777" w:rsidR="00CB7C58" w:rsidRPr="003B4337" w:rsidRDefault="00CB7C58" w:rsidP="00AF70E5">
            <w:pPr>
              <w:numPr>
                <w:ilvl w:val="0"/>
                <w:numId w:val="1"/>
              </w:numPr>
              <w:spacing w:before="120" w:after="120" w:line="240" w:lineRule="auto"/>
              <w:jc w:val="both"/>
              <w:rPr>
                <w:rFonts w:ascii="Arial" w:eastAsia="Times New Roman" w:hAnsi="Arial" w:cs="Arial"/>
                <w:sz w:val="18"/>
                <w:szCs w:val="18"/>
                <w:lang w:eastAsia="pt-BR"/>
              </w:rPr>
            </w:pPr>
            <w:r w:rsidRPr="003B4337">
              <w:rPr>
                <w:rFonts w:ascii="Arial" w:eastAsia="Times New Roman" w:hAnsi="Arial" w:cs="Arial"/>
                <w:sz w:val="18"/>
                <w:szCs w:val="18"/>
                <w:lang w:eastAsia="pt-BR"/>
              </w:rPr>
              <w:t xml:space="preserve">Valor unitário </w:t>
            </w:r>
          </w:p>
          <w:p w14:paraId="032815EA" w14:textId="77777777" w:rsidR="00CB7C58" w:rsidRPr="003B4337" w:rsidRDefault="00CB7C58" w:rsidP="00AF70E5">
            <w:pPr>
              <w:numPr>
                <w:ilvl w:val="0"/>
                <w:numId w:val="1"/>
              </w:numPr>
              <w:spacing w:before="120" w:after="120" w:line="240" w:lineRule="auto"/>
              <w:jc w:val="both"/>
              <w:rPr>
                <w:sz w:val="18"/>
                <w:szCs w:val="18"/>
              </w:rPr>
            </w:pPr>
            <w:r w:rsidRPr="003B4337">
              <w:rPr>
                <w:rFonts w:ascii="Arial" w:eastAsia="Times New Roman" w:hAnsi="Arial" w:cs="Arial"/>
                <w:sz w:val="18"/>
                <w:szCs w:val="18"/>
                <w:lang w:eastAsia="pt-BR"/>
              </w:rPr>
              <w:t>Valor total</w:t>
            </w:r>
            <w:r w:rsidRPr="003B4337">
              <w:rPr>
                <w:sz w:val="18"/>
                <w:szCs w:val="18"/>
              </w:rPr>
              <w:t xml:space="preserve"> </w:t>
            </w:r>
          </w:p>
          <w:p w14:paraId="33DD7093" w14:textId="77777777" w:rsidR="00CB7C58" w:rsidRPr="003B4337" w:rsidRDefault="00CB7C58" w:rsidP="005D415C">
            <w:pPr>
              <w:pStyle w:val="Default"/>
              <w:jc w:val="both"/>
              <w:rPr>
                <w:rFonts w:eastAsia="Times New Roman"/>
                <w:color w:val="auto"/>
                <w:sz w:val="18"/>
                <w:szCs w:val="18"/>
                <w:lang w:eastAsia="pt-BR"/>
              </w:rPr>
            </w:pPr>
            <w:r w:rsidRPr="003B4337">
              <w:rPr>
                <w:rFonts w:eastAsia="Times New Roman"/>
                <w:color w:val="auto"/>
                <w:sz w:val="18"/>
                <w:szCs w:val="18"/>
                <w:lang w:eastAsia="pt-BR"/>
              </w:rPr>
              <w:t xml:space="preserve">Obs.: a coluna valor deve ser totalizada. </w:t>
            </w:r>
          </w:p>
        </w:tc>
        <w:tc>
          <w:tcPr>
            <w:tcW w:w="992" w:type="dxa"/>
            <w:shd w:val="clear" w:color="auto" w:fill="auto"/>
            <w:vAlign w:val="center"/>
          </w:tcPr>
          <w:p w14:paraId="51348495" w14:textId="77777777" w:rsidR="00CB7C58" w:rsidRPr="003B4337" w:rsidRDefault="00532985" w:rsidP="00AF70E5">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p w14:paraId="66CF160D" w14:textId="77777777" w:rsidR="00CB7C58" w:rsidRPr="003B4337" w:rsidRDefault="00CB7C58" w:rsidP="00AF70E5">
            <w:pPr>
              <w:spacing w:after="0" w:line="240" w:lineRule="auto"/>
              <w:jc w:val="center"/>
              <w:rPr>
                <w:rFonts w:ascii="Arial" w:eastAsia="Times New Roman" w:hAnsi="Arial" w:cs="Arial"/>
                <w:sz w:val="14"/>
                <w:szCs w:val="14"/>
                <w:highlight w:val="yellow"/>
                <w:lang w:eastAsia="pt-BR"/>
              </w:rPr>
            </w:pPr>
            <w:r w:rsidRPr="003B4337">
              <w:rPr>
                <w:rFonts w:ascii="Arial" w:eastAsia="Times New Roman" w:hAnsi="Arial" w:cs="Arial"/>
                <w:sz w:val="14"/>
                <w:szCs w:val="14"/>
                <w:lang w:eastAsia="pt-BR"/>
              </w:rPr>
              <w:t>e</w:t>
            </w:r>
            <w:r w:rsidRPr="003B4337">
              <w:rPr>
                <w:rFonts w:ascii="Arial" w:eastAsia="Times New Roman" w:hAnsi="Arial" w:cs="Arial"/>
                <w:sz w:val="14"/>
                <w:szCs w:val="14"/>
                <w:highlight w:val="yellow"/>
                <w:lang w:eastAsia="pt-BR"/>
              </w:rPr>
              <w:t xml:space="preserve"> </w:t>
            </w:r>
          </w:p>
          <w:p w14:paraId="318DED54" w14:textId="77777777" w:rsidR="00CB7C58" w:rsidRPr="003B4337" w:rsidRDefault="00CB7C58" w:rsidP="00AF70E5">
            <w:pPr>
              <w:spacing w:after="0" w:line="240" w:lineRule="auto"/>
              <w:jc w:val="center"/>
              <w:rPr>
                <w:rFonts w:ascii="Arial" w:eastAsia="Times New Roman" w:hAnsi="Arial" w:cs="Arial"/>
                <w:sz w:val="14"/>
                <w:szCs w:val="14"/>
                <w:lang w:eastAsia="pt-BR"/>
              </w:rPr>
            </w:pPr>
            <w:r w:rsidRPr="003B4337">
              <w:rPr>
                <w:rFonts w:ascii="Arial" w:eastAsia="Times New Roman" w:hAnsi="Arial" w:cs="Arial"/>
                <w:sz w:val="14"/>
                <w:szCs w:val="14"/>
                <w:lang w:eastAsia="pt-BR"/>
              </w:rPr>
              <w:t>XLS/XLSX/ODS</w:t>
            </w:r>
          </w:p>
        </w:tc>
      </w:tr>
      <w:tr w:rsidR="00CB7C58" w:rsidRPr="008F0D86" w14:paraId="559B80E8" w14:textId="77777777" w:rsidTr="00CB7C58">
        <w:tc>
          <w:tcPr>
            <w:tcW w:w="1291" w:type="dxa"/>
            <w:tcBorders>
              <w:top w:val="single" w:sz="4" w:space="0" w:color="auto"/>
              <w:left w:val="single" w:sz="4" w:space="0" w:color="auto"/>
              <w:bottom w:val="single" w:sz="4" w:space="0" w:color="auto"/>
              <w:right w:val="single" w:sz="4" w:space="0" w:color="auto"/>
            </w:tcBorders>
            <w:vAlign w:val="center"/>
          </w:tcPr>
          <w:p w14:paraId="3DC4D534" w14:textId="77777777" w:rsidR="00CB7C58" w:rsidRPr="008506B0" w:rsidRDefault="00CB7C58" w:rsidP="00383C63">
            <w:pPr>
              <w:spacing w:after="0" w:line="240" w:lineRule="auto"/>
              <w:jc w:val="center"/>
              <w:rPr>
                <w:rFonts w:ascii="Arial" w:eastAsia="Times New Roman" w:hAnsi="Arial" w:cs="Arial"/>
                <w:sz w:val="18"/>
                <w:szCs w:val="18"/>
                <w:lang w:eastAsia="pt-BR"/>
              </w:rPr>
            </w:pPr>
            <w:r w:rsidRPr="008506B0">
              <w:rPr>
                <w:rFonts w:ascii="Arial" w:eastAsia="Times New Roman" w:hAnsi="Arial" w:cs="Arial"/>
                <w:sz w:val="18"/>
                <w:szCs w:val="18"/>
                <w:lang w:eastAsia="pt-BR"/>
              </w:rPr>
              <w:t>TERALM</w:t>
            </w:r>
          </w:p>
        </w:tc>
        <w:tc>
          <w:tcPr>
            <w:tcW w:w="6897" w:type="dxa"/>
            <w:tcBorders>
              <w:top w:val="single" w:sz="4" w:space="0" w:color="auto"/>
              <w:left w:val="single" w:sz="4" w:space="0" w:color="auto"/>
              <w:bottom w:val="single" w:sz="4" w:space="0" w:color="auto"/>
              <w:right w:val="single" w:sz="4" w:space="0" w:color="auto"/>
            </w:tcBorders>
            <w:shd w:val="clear" w:color="auto" w:fill="auto"/>
            <w:vAlign w:val="center"/>
          </w:tcPr>
          <w:p w14:paraId="43340E7F" w14:textId="3C6C68B1" w:rsidR="00CB7C58" w:rsidRPr="008506B0" w:rsidRDefault="00CB7C58" w:rsidP="009500C7">
            <w:pPr>
              <w:spacing w:before="120" w:after="120" w:line="240" w:lineRule="auto"/>
              <w:jc w:val="both"/>
              <w:rPr>
                <w:rFonts w:ascii="Arial" w:eastAsia="Times New Roman" w:hAnsi="Arial" w:cs="Arial"/>
                <w:sz w:val="18"/>
                <w:szCs w:val="18"/>
                <w:lang w:eastAsia="pt-BR"/>
              </w:rPr>
            </w:pPr>
            <w:r w:rsidRPr="008506B0">
              <w:rPr>
                <w:rFonts w:ascii="Arial" w:eastAsia="Times New Roman" w:hAnsi="Arial" w:cs="Arial"/>
                <w:sz w:val="18"/>
                <w:szCs w:val="18"/>
                <w:lang w:eastAsia="pt-BR"/>
              </w:rPr>
              <w:t>Termo circunstanciado elaborado e assinado pela comissão responsável pelo Inventário anual dos bens em almoxarifado (INVALMO), indicando o saldo total apurado e o detalhamento (especificação e valor) das divergências encontradas</w:t>
            </w:r>
            <w:r w:rsidR="00B24335" w:rsidRPr="008506B0">
              <w:rPr>
                <w:rFonts w:ascii="Arial" w:eastAsia="Times New Roman" w:hAnsi="Arial" w:cs="Arial"/>
                <w:sz w:val="18"/>
                <w:szCs w:val="18"/>
                <w:lang w:eastAsia="pt-BR"/>
              </w:rPr>
              <w:t xml:space="preserve">, na forma </w:t>
            </w:r>
            <w:r w:rsidR="008506B0" w:rsidRPr="008506B0">
              <w:rPr>
                <w:rFonts w:ascii="Arial" w:eastAsia="Times New Roman" w:hAnsi="Arial" w:cs="Arial"/>
                <w:sz w:val="18"/>
                <w:szCs w:val="18"/>
                <w:lang w:eastAsia="pt-BR"/>
              </w:rPr>
              <w:t>do item 3.2 deste Anexo.</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F1CF97A" w14:textId="77777777" w:rsidR="00CB7C58" w:rsidRPr="00383C63" w:rsidRDefault="00532985" w:rsidP="009500C7">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CB7C58" w:rsidRPr="00A5490A" w14:paraId="7560FFE1" w14:textId="77777777" w:rsidTr="00CB7C58">
        <w:tc>
          <w:tcPr>
            <w:tcW w:w="1291" w:type="dxa"/>
            <w:vAlign w:val="center"/>
          </w:tcPr>
          <w:p w14:paraId="73A99C9B" w14:textId="77777777" w:rsidR="00CB7C58" w:rsidRPr="00383C63" w:rsidRDefault="00CB7C58" w:rsidP="00AF70E5">
            <w:pPr>
              <w:spacing w:after="0" w:line="240" w:lineRule="auto"/>
              <w:jc w:val="center"/>
              <w:rPr>
                <w:rFonts w:ascii="Arial" w:eastAsia="Times New Roman" w:hAnsi="Arial" w:cs="Arial"/>
                <w:sz w:val="18"/>
                <w:szCs w:val="18"/>
                <w:lang w:eastAsia="pt-BR"/>
              </w:rPr>
            </w:pPr>
            <w:r w:rsidRPr="00383C63">
              <w:rPr>
                <w:rFonts w:ascii="Arial" w:eastAsia="Times New Roman" w:hAnsi="Arial" w:cs="Arial"/>
                <w:sz w:val="18"/>
                <w:szCs w:val="18"/>
                <w:lang w:eastAsia="pt-BR"/>
              </w:rPr>
              <w:t>INVINTN</w:t>
            </w:r>
          </w:p>
        </w:tc>
        <w:tc>
          <w:tcPr>
            <w:tcW w:w="6897" w:type="dxa"/>
            <w:shd w:val="clear" w:color="auto" w:fill="auto"/>
            <w:vAlign w:val="center"/>
          </w:tcPr>
          <w:p w14:paraId="4CE9D341" w14:textId="77777777" w:rsidR="00CB7C58" w:rsidRPr="00383C63" w:rsidRDefault="00CB7C58" w:rsidP="00AF70E5">
            <w:pPr>
              <w:spacing w:before="120" w:after="120" w:line="240" w:lineRule="auto"/>
              <w:jc w:val="both"/>
              <w:rPr>
                <w:rFonts w:ascii="Arial" w:eastAsia="Times New Roman" w:hAnsi="Arial" w:cs="Arial"/>
                <w:sz w:val="18"/>
                <w:szCs w:val="18"/>
                <w:lang w:eastAsia="pt-BR"/>
              </w:rPr>
            </w:pPr>
            <w:r w:rsidRPr="00383C63">
              <w:rPr>
                <w:rFonts w:ascii="Arial" w:eastAsia="Times New Roman" w:hAnsi="Arial" w:cs="Arial"/>
                <w:sz w:val="18"/>
                <w:szCs w:val="18"/>
                <w:lang w:eastAsia="pt-BR"/>
              </w:rPr>
              <w:t xml:space="preserve">Inventário anual dos bens intangíveis, contendo no mínimo as seguintes informações: </w:t>
            </w:r>
          </w:p>
          <w:p w14:paraId="415A42A6" w14:textId="77777777" w:rsidR="00CB7C58" w:rsidRPr="00383C63" w:rsidRDefault="00CB7C58" w:rsidP="00AF70E5">
            <w:pPr>
              <w:numPr>
                <w:ilvl w:val="0"/>
                <w:numId w:val="1"/>
              </w:numPr>
              <w:spacing w:before="120" w:after="120" w:line="240" w:lineRule="auto"/>
              <w:jc w:val="both"/>
              <w:rPr>
                <w:rFonts w:ascii="Arial" w:eastAsia="Times New Roman" w:hAnsi="Arial" w:cs="Arial"/>
                <w:sz w:val="18"/>
                <w:szCs w:val="18"/>
                <w:lang w:eastAsia="pt-BR"/>
              </w:rPr>
            </w:pPr>
            <w:r w:rsidRPr="00383C63">
              <w:rPr>
                <w:rFonts w:ascii="Arial" w:eastAsia="Times New Roman" w:hAnsi="Arial" w:cs="Arial"/>
                <w:sz w:val="18"/>
                <w:szCs w:val="18"/>
                <w:lang w:eastAsia="pt-BR"/>
              </w:rPr>
              <w:t xml:space="preserve">Relação dos bens </w:t>
            </w:r>
          </w:p>
          <w:p w14:paraId="3EBBB292" w14:textId="77777777" w:rsidR="00CB7C58" w:rsidRPr="00383C63" w:rsidRDefault="00CB7C58" w:rsidP="00AF70E5">
            <w:pPr>
              <w:numPr>
                <w:ilvl w:val="0"/>
                <w:numId w:val="1"/>
              </w:numPr>
              <w:spacing w:before="120" w:after="120" w:line="240" w:lineRule="auto"/>
              <w:jc w:val="both"/>
              <w:rPr>
                <w:rFonts w:ascii="Arial" w:eastAsia="Times New Roman" w:hAnsi="Arial" w:cs="Arial"/>
                <w:sz w:val="18"/>
                <w:szCs w:val="18"/>
                <w:lang w:eastAsia="pt-BR"/>
              </w:rPr>
            </w:pPr>
            <w:r w:rsidRPr="00383C63">
              <w:rPr>
                <w:rFonts w:ascii="Arial" w:eastAsia="Times New Roman" w:hAnsi="Arial" w:cs="Arial"/>
                <w:sz w:val="18"/>
                <w:szCs w:val="18"/>
                <w:lang w:eastAsia="pt-BR"/>
              </w:rPr>
              <w:t xml:space="preserve">Caracterização (especificação resumida; número de registro de marca ou patente, caso exista, comprovado mediante certidão de registro) </w:t>
            </w:r>
          </w:p>
          <w:p w14:paraId="41BE63D4" w14:textId="77777777" w:rsidR="00CB7C58" w:rsidRPr="00383C63" w:rsidRDefault="00CB7C58" w:rsidP="00AF70E5">
            <w:pPr>
              <w:numPr>
                <w:ilvl w:val="0"/>
                <w:numId w:val="1"/>
              </w:numPr>
              <w:spacing w:before="120" w:after="120" w:line="240" w:lineRule="auto"/>
              <w:jc w:val="both"/>
              <w:rPr>
                <w:rFonts w:ascii="Arial" w:eastAsia="Times New Roman" w:hAnsi="Arial" w:cs="Arial"/>
                <w:sz w:val="18"/>
                <w:szCs w:val="18"/>
                <w:lang w:eastAsia="pt-BR"/>
              </w:rPr>
            </w:pPr>
            <w:r w:rsidRPr="00383C63">
              <w:rPr>
                <w:rFonts w:ascii="Arial" w:eastAsia="Times New Roman" w:hAnsi="Arial" w:cs="Arial"/>
                <w:sz w:val="18"/>
                <w:szCs w:val="18"/>
                <w:lang w:eastAsia="pt-BR"/>
              </w:rPr>
              <w:t xml:space="preserve">Data de aquisição/produção/incorporação </w:t>
            </w:r>
          </w:p>
          <w:p w14:paraId="40089F39" w14:textId="77777777" w:rsidR="00CB7C58" w:rsidRPr="00383C63" w:rsidRDefault="00CB7C58" w:rsidP="00AF70E5">
            <w:pPr>
              <w:numPr>
                <w:ilvl w:val="0"/>
                <w:numId w:val="1"/>
              </w:numPr>
              <w:spacing w:before="120" w:after="120" w:line="240" w:lineRule="auto"/>
              <w:jc w:val="both"/>
              <w:rPr>
                <w:rFonts w:ascii="Arial" w:eastAsia="Times New Roman" w:hAnsi="Arial" w:cs="Arial"/>
                <w:sz w:val="18"/>
                <w:szCs w:val="18"/>
                <w:lang w:eastAsia="pt-BR"/>
              </w:rPr>
            </w:pPr>
            <w:r w:rsidRPr="00383C63">
              <w:rPr>
                <w:rFonts w:ascii="Arial" w:eastAsia="Times New Roman" w:hAnsi="Arial" w:cs="Arial"/>
                <w:sz w:val="18"/>
                <w:szCs w:val="18"/>
                <w:lang w:eastAsia="pt-BR"/>
              </w:rPr>
              <w:t xml:space="preserve">Valor histórico e valor atualizado </w:t>
            </w:r>
          </w:p>
          <w:p w14:paraId="25D11411" w14:textId="77777777" w:rsidR="00CB7C58" w:rsidRPr="00383C63" w:rsidRDefault="00CB7C58" w:rsidP="005D415C">
            <w:pPr>
              <w:pStyle w:val="Default"/>
              <w:jc w:val="both"/>
              <w:rPr>
                <w:rFonts w:eastAsia="Times New Roman"/>
                <w:color w:val="auto"/>
                <w:sz w:val="18"/>
                <w:szCs w:val="18"/>
                <w:lang w:eastAsia="pt-BR"/>
              </w:rPr>
            </w:pPr>
            <w:r w:rsidRPr="00383C63">
              <w:rPr>
                <w:rFonts w:eastAsia="Times New Roman"/>
                <w:color w:val="auto"/>
                <w:sz w:val="18"/>
                <w:szCs w:val="18"/>
                <w:lang w:eastAsia="pt-BR"/>
              </w:rPr>
              <w:t>Observação:</w:t>
            </w:r>
          </w:p>
          <w:p w14:paraId="60FB9927" w14:textId="77777777" w:rsidR="00CB7C58" w:rsidRPr="00383C63" w:rsidRDefault="00CB7C58" w:rsidP="005D415C">
            <w:pPr>
              <w:pStyle w:val="Default"/>
              <w:jc w:val="both"/>
              <w:rPr>
                <w:rFonts w:eastAsia="Times New Roman"/>
                <w:color w:val="auto"/>
                <w:sz w:val="18"/>
                <w:szCs w:val="18"/>
                <w:lang w:eastAsia="pt-BR"/>
              </w:rPr>
            </w:pPr>
          </w:p>
          <w:p w14:paraId="2F2F6A3A" w14:textId="77777777" w:rsidR="00CB7C58" w:rsidRPr="00383C63" w:rsidRDefault="00CB7C58" w:rsidP="0008561F">
            <w:pPr>
              <w:pStyle w:val="Default"/>
              <w:numPr>
                <w:ilvl w:val="0"/>
                <w:numId w:val="20"/>
              </w:numPr>
              <w:jc w:val="both"/>
              <w:rPr>
                <w:rFonts w:eastAsia="Times New Roman"/>
                <w:color w:val="auto"/>
                <w:sz w:val="18"/>
                <w:szCs w:val="18"/>
                <w:lang w:eastAsia="pt-BR"/>
              </w:rPr>
            </w:pPr>
            <w:r w:rsidRPr="00383C63">
              <w:rPr>
                <w:rFonts w:eastAsia="Times New Roman"/>
                <w:color w:val="auto"/>
                <w:sz w:val="18"/>
                <w:szCs w:val="18"/>
                <w:lang w:eastAsia="pt-BR"/>
              </w:rPr>
              <w:t>A coluna valor deve ser totalizada.</w:t>
            </w:r>
          </w:p>
          <w:p w14:paraId="490AEC9D" w14:textId="77777777" w:rsidR="00CB7C58" w:rsidRPr="00383C63" w:rsidRDefault="00CB7C58" w:rsidP="00AF70E5">
            <w:pPr>
              <w:pStyle w:val="Default"/>
              <w:spacing w:after="120"/>
              <w:jc w:val="both"/>
              <w:rPr>
                <w:rFonts w:eastAsia="Times New Roman"/>
                <w:color w:val="auto"/>
                <w:sz w:val="18"/>
                <w:szCs w:val="18"/>
                <w:lang w:eastAsia="pt-BR"/>
              </w:rPr>
            </w:pPr>
          </w:p>
        </w:tc>
        <w:tc>
          <w:tcPr>
            <w:tcW w:w="992" w:type="dxa"/>
            <w:shd w:val="clear" w:color="auto" w:fill="auto"/>
            <w:vAlign w:val="center"/>
          </w:tcPr>
          <w:p w14:paraId="4324300E" w14:textId="77777777" w:rsidR="00CB7C58" w:rsidRPr="00383C63" w:rsidRDefault="00532985" w:rsidP="00AF70E5">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p w14:paraId="5E546DF0" w14:textId="77777777" w:rsidR="00CB7C58" w:rsidRPr="00383C63" w:rsidRDefault="00CB7C58" w:rsidP="00AF70E5">
            <w:pPr>
              <w:spacing w:after="0" w:line="240" w:lineRule="auto"/>
              <w:jc w:val="center"/>
              <w:rPr>
                <w:rFonts w:ascii="Arial" w:eastAsia="Times New Roman" w:hAnsi="Arial" w:cs="Arial"/>
                <w:sz w:val="14"/>
                <w:szCs w:val="14"/>
                <w:highlight w:val="yellow"/>
                <w:lang w:eastAsia="pt-BR"/>
              </w:rPr>
            </w:pPr>
            <w:r w:rsidRPr="00383C63">
              <w:rPr>
                <w:rFonts w:ascii="Arial" w:eastAsia="Times New Roman" w:hAnsi="Arial" w:cs="Arial"/>
                <w:sz w:val="14"/>
                <w:szCs w:val="14"/>
                <w:lang w:eastAsia="pt-BR"/>
              </w:rPr>
              <w:t>e</w:t>
            </w:r>
            <w:r w:rsidRPr="00383C63">
              <w:rPr>
                <w:rFonts w:ascii="Arial" w:eastAsia="Times New Roman" w:hAnsi="Arial" w:cs="Arial"/>
                <w:sz w:val="14"/>
                <w:szCs w:val="14"/>
                <w:highlight w:val="yellow"/>
                <w:lang w:eastAsia="pt-BR"/>
              </w:rPr>
              <w:t xml:space="preserve"> </w:t>
            </w:r>
          </w:p>
          <w:p w14:paraId="680A7CC2" w14:textId="77777777" w:rsidR="00CB7C58" w:rsidRPr="00383C63" w:rsidRDefault="00CB7C58" w:rsidP="00AF70E5">
            <w:pPr>
              <w:spacing w:after="0" w:line="240" w:lineRule="auto"/>
              <w:jc w:val="center"/>
              <w:rPr>
                <w:rFonts w:ascii="Arial" w:eastAsia="Times New Roman" w:hAnsi="Arial" w:cs="Arial"/>
                <w:sz w:val="14"/>
                <w:szCs w:val="14"/>
                <w:lang w:eastAsia="pt-BR"/>
              </w:rPr>
            </w:pPr>
            <w:r w:rsidRPr="00383C63">
              <w:rPr>
                <w:rFonts w:ascii="Arial" w:eastAsia="Times New Roman" w:hAnsi="Arial" w:cs="Arial"/>
                <w:sz w:val="14"/>
                <w:szCs w:val="14"/>
                <w:lang w:eastAsia="pt-BR"/>
              </w:rPr>
              <w:t>XLS/XLSX/ODS</w:t>
            </w:r>
          </w:p>
        </w:tc>
      </w:tr>
      <w:tr w:rsidR="00CB7C58" w:rsidRPr="008F0D86" w14:paraId="4EC30223" w14:textId="77777777" w:rsidTr="00CB7C58">
        <w:tc>
          <w:tcPr>
            <w:tcW w:w="1291" w:type="dxa"/>
            <w:tcBorders>
              <w:top w:val="single" w:sz="4" w:space="0" w:color="auto"/>
              <w:left w:val="single" w:sz="4" w:space="0" w:color="auto"/>
              <w:bottom w:val="single" w:sz="4" w:space="0" w:color="auto"/>
              <w:right w:val="single" w:sz="4" w:space="0" w:color="auto"/>
            </w:tcBorders>
            <w:vAlign w:val="center"/>
          </w:tcPr>
          <w:p w14:paraId="2545600A" w14:textId="77777777" w:rsidR="00CB7C58" w:rsidRPr="00383C63" w:rsidRDefault="00CB7C58" w:rsidP="00383C63">
            <w:pPr>
              <w:spacing w:after="0" w:line="240" w:lineRule="auto"/>
              <w:jc w:val="center"/>
              <w:rPr>
                <w:rFonts w:ascii="Arial" w:eastAsia="Times New Roman" w:hAnsi="Arial" w:cs="Arial"/>
                <w:sz w:val="18"/>
                <w:szCs w:val="18"/>
                <w:lang w:eastAsia="pt-BR"/>
              </w:rPr>
            </w:pPr>
            <w:r w:rsidRPr="00383C63">
              <w:rPr>
                <w:rFonts w:ascii="Arial" w:eastAsia="Times New Roman" w:hAnsi="Arial" w:cs="Arial"/>
                <w:sz w:val="18"/>
                <w:szCs w:val="18"/>
                <w:lang w:eastAsia="pt-BR"/>
              </w:rPr>
              <w:t>TERINT</w:t>
            </w:r>
          </w:p>
        </w:tc>
        <w:tc>
          <w:tcPr>
            <w:tcW w:w="6897" w:type="dxa"/>
            <w:tcBorders>
              <w:top w:val="single" w:sz="4" w:space="0" w:color="auto"/>
              <w:left w:val="single" w:sz="4" w:space="0" w:color="auto"/>
              <w:bottom w:val="single" w:sz="4" w:space="0" w:color="auto"/>
              <w:right w:val="single" w:sz="4" w:space="0" w:color="auto"/>
            </w:tcBorders>
            <w:shd w:val="clear" w:color="auto" w:fill="auto"/>
            <w:vAlign w:val="center"/>
          </w:tcPr>
          <w:p w14:paraId="71821880" w14:textId="52960654" w:rsidR="00CB7C58" w:rsidRPr="00383C63" w:rsidRDefault="00CB7C58" w:rsidP="009500C7">
            <w:pPr>
              <w:spacing w:before="120" w:after="120" w:line="240" w:lineRule="auto"/>
              <w:jc w:val="both"/>
              <w:rPr>
                <w:rFonts w:ascii="Arial" w:eastAsia="Times New Roman" w:hAnsi="Arial" w:cs="Arial"/>
                <w:sz w:val="18"/>
                <w:szCs w:val="18"/>
                <w:lang w:eastAsia="pt-BR"/>
              </w:rPr>
            </w:pPr>
            <w:r w:rsidRPr="00383C63">
              <w:rPr>
                <w:rFonts w:ascii="Arial" w:eastAsia="Times New Roman" w:hAnsi="Arial" w:cs="Arial"/>
                <w:sz w:val="18"/>
                <w:szCs w:val="18"/>
                <w:lang w:eastAsia="pt-BR"/>
              </w:rPr>
              <w:t>Termo circunstanciado elaborado e assinado pela comissão responsável pelo Inventário anual dos bens intangíveis (INVINTN), indicando o saldo total apurado e o detalhamento (especificação e valor) das divergências encontradas</w:t>
            </w:r>
            <w:r w:rsidR="0026646F" w:rsidRPr="008506B0">
              <w:rPr>
                <w:rFonts w:ascii="Arial" w:eastAsia="Times New Roman" w:hAnsi="Arial" w:cs="Arial"/>
                <w:sz w:val="18"/>
                <w:szCs w:val="18"/>
                <w:lang w:eastAsia="pt-BR"/>
              </w:rPr>
              <w:t xml:space="preserve">, na forma </w:t>
            </w:r>
            <w:r w:rsidR="008506B0" w:rsidRPr="008506B0">
              <w:rPr>
                <w:rFonts w:ascii="Arial" w:eastAsia="Times New Roman" w:hAnsi="Arial" w:cs="Arial"/>
                <w:sz w:val="18"/>
                <w:szCs w:val="18"/>
                <w:lang w:eastAsia="pt-BR"/>
              </w:rPr>
              <w:t>do item 3.2 deste Anexo.</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6F2E189" w14:textId="77777777" w:rsidR="00CB7C58" w:rsidRPr="00383C63" w:rsidRDefault="00532985" w:rsidP="009500C7">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CB7C58" w:rsidRPr="00A5490A" w14:paraId="59B15FD6" w14:textId="77777777" w:rsidTr="00CB7C58">
        <w:tc>
          <w:tcPr>
            <w:tcW w:w="1291" w:type="dxa"/>
            <w:vAlign w:val="center"/>
          </w:tcPr>
          <w:p w14:paraId="2A35C97D" w14:textId="77777777" w:rsidR="00CB7C58" w:rsidRPr="00383C63" w:rsidRDefault="00CB7C58" w:rsidP="00AF70E5">
            <w:pPr>
              <w:spacing w:after="0" w:line="240" w:lineRule="auto"/>
              <w:jc w:val="center"/>
              <w:rPr>
                <w:rFonts w:ascii="Arial" w:eastAsia="Times New Roman" w:hAnsi="Arial" w:cs="Arial"/>
                <w:sz w:val="18"/>
                <w:szCs w:val="18"/>
                <w:lang w:eastAsia="pt-BR"/>
              </w:rPr>
            </w:pPr>
            <w:r w:rsidRPr="00383C63">
              <w:rPr>
                <w:rFonts w:ascii="Arial" w:eastAsia="Times New Roman" w:hAnsi="Arial" w:cs="Arial"/>
                <w:sz w:val="18"/>
                <w:szCs w:val="18"/>
                <w:lang w:eastAsia="pt-BR"/>
              </w:rPr>
              <w:t>COMINV</w:t>
            </w:r>
          </w:p>
        </w:tc>
        <w:tc>
          <w:tcPr>
            <w:tcW w:w="6897" w:type="dxa"/>
            <w:shd w:val="clear" w:color="auto" w:fill="auto"/>
            <w:vAlign w:val="center"/>
          </w:tcPr>
          <w:p w14:paraId="6C7F92E7" w14:textId="77777777" w:rsidR="00CB7C58" w:rsidRPr="00383C63" w:rsidRDefault="00CB7C58" w:rsidP="00AF70E5">
            <w:pPr>
              <w:spacing w:before="120" w:after="120" w:line="240" w:lineRule="auto"/>
              <w:jc w:val="both"/>
              <w:rPr>
                <w:rFonts w:ascii="Arial" w:eastAsia="Times New Roman" w:hAnsi="Arial" w:cs="Arial"/>
                <w:sz w:val="18"/>
                <w:szCs w:val="18"/>
                <w:lang w:eastAsia="pt-BR"/>
              </w:rPr>
            </w:pPr>
            <w:r w:rsidRPr="00383C63">
              <w:rPr>
                <w:rFonts w:ascii="Arial" w:eastAsia="Times New Roman" w:hAnsi="Arial" w:cs="Arial"/>
                <w:sz w:val="18"/>
                <w:szCs w:val="18"/>
                <w:lang w:eastAsia="pt-BR"/>
              </w:rPr>
              <w:t>Ato de designação da comissão responsável pela elaboração dos inventários.</w:t>
            </w:r>
          </w:p>
        </w:tc>
        <w:tc>
          <w:tcPr>
            <w:tcW w:w="992" w:type="dxa"/>
            <w:shd w:val="clear" w:color="auto" w:fill="auto"/>
            <w:vAlign w:val="center"/>
          </w:tcPr>
          <w:p w14:paraId="7533A798" w14:textId="77777777" w:rsidR="00CB7C58" w:rsidRPr="00383C63" w:rsidRDefault="00532985" w:rsidP="00AF70E5">
            <w:pPr>
              <w:spacing w:after="0" w:line="240" w:lineRule="auto"/>
              <w:jc w:val="center"/>
              <w:rPr>
                <w:rFonts w:ascii="Arial" w:eastAsia="Times New Roman" w:hAnsi="Arial" w:cs="Arial"/>
                <w:i/>
                <w:sz w:val="14"/>
                <w:szCs w:val="14"/>
                <w:lang w:eastAsia="pt-BR"/>
              </w:rPr>
            </w:pPr>
            <w:r>
              <w:rPr>
                <w:rFonts w:ascii="Arial" w:eastAsia="Times New Roman" w:hAnsi="Arial" w:cs="Arial"/>
                <w:sz w:val="14"/>
                <w:szCs w:val="14"/>
                <w:lang w:eastAsia="pt-BR"/>
              </w:rPr>
              <w:t>PDF</w:t>
            </w:r>
          </w:p>
        </w:tc>
      </w:tr>
      <w:tr w:rsidR="00CB7C58" w:rsidRPr="00A5490A" w14:paraId="7A37D98F" w14:textId="77777777" w:rsidTr="00CB7C58">
        <w:tc>
          <w:tcPr>
            <w:tcW w:w="1291" w:type="dxa"/>
            <w:vAlign w:val="center"/>
          </w:tcPr>
          <w:p w14:paraId="04B68B0F" w14:textId="77777777" w:rsidR="00CB7C58" w:rsidRPr="00383C63" w:rsidRDefault="00CB7C58" w:rsidP="00AF70E5">
            <w:pPr>
              <w:spacing w:after="0" w:line="240" w:lineRule="auto"/>
              <w:jc w:val="center"/>
              <w:rPr>
                <w:rFonts w:ascii="Arial" w:eastAsia="Times New Roman" w:hAnsi="Arial" w:cs="Arial"/>
                <w:sz w:val="18"/>
                <w:szCs w:val="18"/>
                <w:lang w:eastAsia="pt-BR"/>
              </w:rPr>
            </w:pPr>
            <w:r w:rsidRPr="00383C63">
              <w:rPr>
                <w:rFonts w:ascii="Arial" w:eastAsia="Times New Roman" w:hAnsi="Arial" w:cs="Arial"/>
                <w:sz w:val="18"/>
                <w:szCs w:val="18"/>
                <w:lang w:eastAsia="pt-BR"/>
              </w:rPr>
              <w:t>FOLRGPS</w:t>
            </w:r>
          </w:p>
        </w:tc>
        <w:tc>
          <w:tcPr>
            <w:tcW w:w="6897" w:type="dxa"/>
            <w:shd w:val="clear" w:color="auto" w:fill="auto"/>
            <w:vAlign w:val="center"/>
          </w:tcPr>
          <w:p w14:paraId="6A016AA8" w14:textId="77777777" w:rsidR="00CB7C58" w:rsidRPr="00383C63" w:rsidRDefault="00CB7C58" w:rsidP="00147A50">
            <w:pPr>
              <w:spacing w:before="120" w:after="120" w:line="240" w:lineRule="auto"/>
              <w:jc w:val="both"/>
              <w:rPr>
                <w:rFonts w:ascii="Arial" w:eastAsia="Times New Roman" w:hAnsi="Arial" w:cs="Arial"/>
                <w:sz w:val="18"/>
                <w:szCs w:val="18"/>
                <w:lang w:eastAsia="pt-BR"/>
              </w:rPr>
            </w:pPr>
            <w:r w:rsidRPr="00383C63">
              <w:rPr>
                <w:rFonts w:ascii="Arial" w:eastAsia="Times New Roman" w:hAnsi="Arial" w:cs="Arial"/>
                <w:sz w:val="18"/>
                <w:szCs w:val="18"/>
                <w:lang w:eastAsia="pt-BR"/>
              </w:rPr>
              <w:t>Resumo anual da folha de pagamento de seus servidores, do exercício financeiro a que se refere a prestação de contas, vinculados ao Regime Geral de Previdência Social (RGPS), contendo as verbas remuneratórias e indenizatórias, a base de cálculo das obrigações patronais, o percentual aplicado sobre a base de cálculo, o valor da contribuição patronal, bem como os descontos efetuados, inclusive retenções de contribuições previdenciárias dos empregados, tributos e demais rubricas.</w:t>
            </w:r>
          </w:p>
        </w:tc>
        <w:tc>
          <w:tcPr>
            <w:tcW w:w="992" w:type="dxa"/>
            <w:shd w:val="clear" w:color="auto" w:fill="auto"/>
            <w:vAlign w:val="center"/>
          </w:tcPr>
          <w:p w14:paraId="53658F50" w14:textId="77777777" w:rsidR="00CB7C58" w:rsidRPr="00383C63" w:rsidRDefault="00532985" w:rsidP="00AF70E5">
            <w:pPr>
              <w:spacing w:after="0" w:line="240" w:lineRule="auto"/>
              <w:jc w:val="center"/>
              <w:rPr>
                <w:rFonts w:ascii="Arial" w:eastAsia="Times New Roman" w:hAnsi="Arial" w:cs="Arial"/>
                <w:i/>
                <w:sz w:val="14"/>
                <w:szCs w:val="14"/>
                <w:lang w:eastAsia="pt-BR"/>
              </w:rPr>
            </w:pPr>
            <w:r>
              <w:rPr>
                <w:rFonts w:ascii="Arial" w:eastAsia="Times New Roman" w:hAnsi="Arial" w:cs="Arial"/>
                <w:sz w:val="14"/>
                <w:szCs w:val="14"/>
                <w:lang w:eastAsia="pt-BR"/>
              </w:rPr>
              <w:t>PDF</w:t>
            </w:r>
          </w:p>
        </w:tc>
      </w:tr>
      <w:tr w:rsidR="00CB7C58" w:rsidRPr="00A5490A" w14:paraId="0A12534D" w14:textId="77777777" w:rsidTr="00CB7C58">
        <w:tc>
          <w:tcPr>
            <w:tcW w:w="1291" w:type="dxa"/>
            <w:vAlign w:val="center"/>
          </w:tcPr>
          <w:p w14:paraId="4BA2398F" w14:textId="77777777" w:rsidR="00CB7C58" w:rsidRPr="00383C63" w:rsidRDefault="00CB7C58" w:rsidP="00AF70E5">
            <w:pPr>
              <w:spacing w:after="0" w:line="240" w:lineRule="auto"/>
              <w:jc w:val="center"/>
              <w:rPr>
                <w:rFonts w:ascii="Arial" w:eastAsia="Times New Roman" w:hAnsi="Arial" w:cs="Arial"/>
                <w:sz w:val="18"/>
                <w:szCs w:val="18"/>
                <w:lang w:eastAsia="pt-BR"/>
              </w:rPr>
            </w:pPr>
            <w:r w:rsidRPr="00383C63">
              <w:rPr>
                <w:rFonts w:ascii="Arial" w:eastAsia="Times New Roman" w:hAnsi="Arial" w:cs="Arial"/>
                <w:sz w:val="18"/>
                <w:szCs w:val="18"/>
                <w:lang w:eastAsia="pt-BR"/>
              </w:rPr>
              <w:t>RELPOL</w:t>
            </w:r>
          </w:p>
        </w:tc>
        <w:tc>
          <w:tcPr>
            <w:tcW w:w="6897" w:type="dxa"/>
            <w:shd w:val="clear" w:color="auto" w:fill="auto"/>
            <w:vAlign w:val="center"/>
          </w:tcPr>
          <w:p w14:paraId="29871178" w14:textId="77777777" w:rsidR="00CB7C58" w:rsidRPr="00383C63" w:rsidRDefault="00CB7C58" w:rsidP="00491CE8">
            <w:pPr>
              <w:spacing w:before="120" w:after="120" w:line="240" w:lineRule="auto"/>
              <w:jc w:val="both"/>
              <w:rPr>
                <w:rFonts w:ascii="Arial" w:eastAsia="Times New Roman" w:hAnsi="Arial" w:cs="Arial"/>
                <w:sz w:val="18"/>
                <w:szCs w:val="18"/>
                <w:lang w:eastAsia="pt-BR"/>
              </w:rPr>
            </w:pPr>
            <w:r w:rsidRPr="00383C63">
              <w:rPr>
                <w:rFonts w:ascii="Arial" w:eastAsia="Times New Roman" w:hAnsi="Arial" w:cs="Arial"/>
                <w:sz w:val="18"/>
                <w:szCs w:val="18"/>
                <w:lang w:eastAsia="pt-BR"/>
              </w:rPr>
              <w:t>Relatório que definiu a política anual de investimentos, na forma da Resolução CMN nº 3.792/2009 ou outra que a tenha substituído.</w:t>
            </w:r>
          </w:p>
        </w:tc>
        <w:tc>
          <w:tcPr>
            <w:tcW w:w="992" w:type="dxa"/>
            <w:shd w:val="clear" w:color="auto" w:fill="auto"/>
            <w:vAlign w:val="center"/>
          </w:tcPr>
          <w:p w14:paraId="3DB5FF5C" w14:textId="77777777" w:rsidR="00CB7C58" w:rsidRPr="00383C63" w:rsidRDefault="00532985" w:rsidP="00AF70E5">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CB7C58" w:rsidRPr="00A5490A" w14:paraId="66B9E28C" w14:textId="77777777" w:rsidTr="00CB7C58">
        <w:tc>
          <w:tcPr>
            <w:tcW w:w="1291" w:type="dxa"/>
            <w:vAlign w:val="center"/>
          </w:tcPr>
          <w:p w14:paraId="7C127381" w14:textId="77777777" w:rsidR="00CB7C58" w:rsidRPr="00383C63" w:rsidRDefault="00CB7C58" w:rsidP="00AF70E5">
            <w:pPr>
              <w:spacing w:after="0" w:line="240" w:lineRule="auto"/>
              <w:jc w:val="center"/>
              <w:rPr>
                <w:rFonts w:ascii="Arial" w:eastAsia="Times New Roman" w:hAnsi="Arial" w:cs="Arial"/>
                <w:sz w:val="18"/>
                <w:szCs w:val="18"/>
                <w:lang w:eastAsia="pt-BR"/>
              </w:rPr>
            </w:pPr>
            <w:r w:rsidRPr="00383C63">
              <w:rPr>
                <w:rFonts w:ascii="Arial" w:eastAsia="Times New Roman" w:hAnsi="Arial" w:cs="Arial"/>
                <w:sz w:val="18"/>
                <w:szCs w:val="18"/>
                <w:lang w:eastAsia="pt-BR"/>
              </w:rPr>
              <w:t>DEMPOL</w:t>
            </w:r>
          </w:p>
        </w:tc>
        <w:tc>
          <w:tcPr>
            <w:tcW w:w="6897" w:type="dxa"/>
            <w:shd w:val="clear" w:color="auto" w:fill="auto"/>
            <w:vAlign w:val="center"/>
          </w:tcPr>
          <w:p w14:paraId="6AE62774" w14:textId="77777777" w:rsidR="00CB7C58" w:rsidRPr="00383C63" w:rsidRDefault="00CB7C58" w:rsidP="00491CE8">
            <w:pPr>
              <w:spacing w:before="120" w:after="120" w:line="240" w:lineRule="auto"/>
              <w:jc w:val="both"/>
              <w:rPr>
                <w:rFonts w:ascii="Arial" w:eastAsia="Times New Roman" w:hAnsi="Arial" w:cs="Arial"/>
                <w:sz w:val="18"/>
                <w:szCs w:val="18"/>
                <w:lang w:eastAsia="pt-BR"/>
              </w:rPr>
            </w:pPr>
            <w:r w:rsidRPr="00383C63">
              <w:rPr>
                <w:rFonts w:ascii="Arial" w:eastAsia="Times New Roman" w:hAnsi="Arial" w:cs="Arial"/>
                <w:sz w:val="18"/>
                <w:szCs w:val="18"/>
                <w:lang w:eastAsia="pt-BR"/>
              </w:rPr>
              <w:t>Cópia da política anual de investimentos encaminhada ao Ministério da Previdência, na forma da Resolução CMN nº 3.792/2009 ou outra que a tenha substituído.</w:t>
            </w:r>
          </w:p>
        </w:tc>
        <w:tc>
          <w:tcPr>
            <w:tcW w:w="992" w:type="dxa"/>
            <w:shd w:val="clear" w:color="auto" w:fill="auto"/>
            <w:vAlign w:val="center"/>
          </w:tcPr>
          <w:p w14:paraId="1A847645" w14:textId="77777777" w:rsidR="00CB7C58" w:rsidRPr="00383C63" w:rsidRDefault="00532985" w:rsidP="00AF70E5">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CB7C58" w:rsidRPr="00A5490A" w14:paraId="1747C7A9" w14:textId="77777777" w:rsidTr="00CB7C58">
        <w:tc>
          <w:tcPr>
            <w:tcW w:w="1291" w:type="dxa"/>
            <w:vAlign w:val="center"/>
          </w:tcPr>
          <w:p w14:paraId="0434F885" w14:textId="77777777" w:rsidR="00CB7C58" w:rsidRPr="00383C63" w:rsidRDefault="00CB7C58" w:rsidP="00AF70E5">
            <w:pPr>
              <w:spacing w:after="0" w:line="240" w:lineRule="auto"/>
              <w:jc w:val="center"/>
              <w:rPr>
                <w:rFonts w:ascii="Arial" w:eastAsia="Times New Roman" w:hAnsi="Arial" w:cs="Arial"/>
                <w:sz w:val="18"/>
                <w:szCs w:val="18"/>
                <w:lang w:eastAsia="pt-BR"/>
              </w:rPr>
            </w:pPr>
            <w:r w:rsidRPr="00383C63">
              <w:rPr>
                <w:rFonts w:ascii="Arial" w:eastAsia="Times New Roman" w:hAnsi="Arial" w:cs="Arial"/>
                <w:sz w:val="18"/>
                <w:szCs w:val="18"/>
                <w:lang w:eastAsia="pt-BR"/>
              </w:rPr>
              <w:lastRenderedPageBreak/>
              <w:t>DEMRCP</w:t>
            </w:r>
          </w:p>
        </w:tc>
        <w:tc>
          <w:tcPr>
            <w:tcW w:w="6897" w:type="dxa"/>
            <w:shd w:val="clear" w:color="auto" w:fill="auto"/>
            <w:vAlign w:val="center"/>
          </w:tcPr>
          <w:p w14:paraId="7F2EA9C1" w14:textId="77777777" w:rsidR="00CB7C58" w:rsidRPr="00383C63" w:rsidRDefault="00CB7C58" w:rsidP="0016798C">
            <w:pPr>
              <w:spacing w:before="120" w:after="120" w:line="240" w:lineRule="auto"/>
              <w:jc w:val="both"/>
              <w:rPr>
                <w:rFonts w:ascii="Arial" w:eastAsia="Times New Roman" w:hAnsi="Arial" w:cs="Arial"/>
                <w:sz w:val="18"/>
                <w:szCs w:val="18"/>
                <w:lang w:eastAsia="pt-BR"/>
              </w:rPr>
            </w:pPr>
            <w:r w:rsidRPr="00383C63">
              <w:rPr>
                <w:rFonts w:ascii="Arial" w:eastAsia="Times New Roman" w:hAnsi="Arial" w:cs="Arial"/>
                <w:sz w:val="18"/>
                <w:szCs w:val="18"/>
                <w:lang w:eastAsia="pt-BR"/>
              </w:rPr>
              <w:t xml:space="preserve">Demonstrativo de repasse das contribuições previdenciárias dos participantes e patrocinadores, constando no mínimo as seguintes informações: órgão, data do exercício, data da opção, mês da folha, competência da contribuição, nome do participante, % do participante, % do patrocinador, natureza da contribuição, valor, entre outros. </w:t>
            </w:r>
          </w:p>
        </w:tc>
        <w:tc>
          <w:tcPr>
            <w:tcW w:w="992" w:type="dxa"/>
            <w:shd w:val="clear" w:color="auto" w:fill="auto"/>
            <w:vAlign w:val="center"/>
          </w:tcPr>
          <w:p w14:paraId="3C334E18" w14:textId="77777777" w:rsidR="00CB7C58" w:rsidRPr="00383C63" w:rsidRDefault="00532985" w:rsidP="00AF70E5">
            <w:pPr>
              <w:spacing w:after="0" w:line="240" w:lineRule="auto"/>
              <w:jc w:val="center"/>
              <w:rPr>
                <w:rFonts w:ascii="Arial" w:eastAsia="Times New Roman" w:hAnsi="Arial" w:cs="Arial"/>
                <w:i/>
                <w:sz w:val="14"/>
                <w:szCs w:val="14"/>
                <w:lang w:eastAsia="pt-BR"/>
              </w:rPr>
            </w:pPr>
            <w:r>
              <w:rPr>
                <w:rFonts w:ascii="Arial" w:eastAsia="Times New Roman" w:hAnsi="Arial" w:cs="Arial"/>
                <w:sz w:val="14"/>
                <w:szCs w:val="14"/>
                <w:lang w:eastAsia="pt-BR"/>
              </w:rPr>
              <w:t>PDF</w:t>
            </w:r>
          </w:p>
        </w:tc>
      </w:tr>
      <w:tr w:rsidR="00984EAD" w:rsidRPr="00A5490A" w14:paraId="66519C90" w14:textId="77777777" w:rsidTr="00CB7C58">
        <w:tc>
          <w:tcPr>
            <w:tcW w:w="1291" w:type="dxa"/>
            <w:vAlign w:val="center"/>
          </w:tcPr>
          <w:p w14:paraId="37C3692C" w14:textId="77777777" w:rsidR="00984EAD" w:rsidRDefault="00984EAD" w:rsidP="00EB5878">
            <w:pPr>
              <w:spacing w:after="0" w:line="240" w:lineRule="auto"/>
              <w:jc w:val="center"/>
              <w:rPr>
                <w:rFonts w:ascii="Arial" w:eastAsia="Times New Roman" w:hAnsi="Arial" w:cs="Arial"/>
                <w:sz w:val="18"/>
                <w:szCs w:val="18"/>
                <w:lang w:eastAsia="pt-BR"/>
              </w:rPr>
            </w:pPr>
            <w:r>
              <w:rPr>
                <w:rFonts w:ascii="Arial" w:eastAsia="Times New Roman" w:hAnsi="Arial" w:cs="Arial"/>
                <w:sz w:val="18"/>
                <w:szCs w:val="18"/>
                <w:lang w:eastAsia="pt-BR"/>
              </w:rPr>
              <w:t>NOTEXP</w:t>
            </w:r>
          </w:p>
        </w:tc>
        <w:tc>
          <w:tcPr>
            <w:tcW w:w="6897" w:type="dxa"/>
            <w:shd w:val="clear" w:color="auto" w:fill="auto"/>
            <w:vAlign w:val="center"/>
          </w:tcPr>
          <w:p w14:paraId="5EA6A176" w14:textId="77777777" w:rsidR="00984EAD" w:rsidRDefault="00984EAD" w:rsidP="00EB5878">
            <w:pPr>
              <w:pStyle w:val="TableParagraph"/>
              <w:spacing w:before="120" w:after="120"/>
              <w:ind w:left="102" w:right="111"/>
              <w:rPr>
                <w:rFonts w:ascii="Arial" w:hAnsi="Arial" w:cs="Arial"/>
                <w:sz w:val="18"/>
                <w:szCs w:val="18"/>
                <w:lang w:val="pt-BR"/>
              </w:rPr>
            </w:pPr>
            <w:r w:rsidRPr="002223C0">
              <w:rPr>
                <w:rFonts w:ascii="Arial" w:hAnsi="Arial" w:cs="Arial"/>
                <w:sz w:val="18"/>
                <w:szCs w:val="18"/>
                <w:lang w:val="pt-BR"/>
              </w:rPr>
              <w:t>Notas Explicativas às Demonstrações Contábeis contendo:</w:t>
            </w:r>
          </w:p>
          <w:p w14:paraId="398D1BF6" w14:textId="77777777" w:rsidR="00984EAD" w:rsidRDefault="00984EAD" w:rsidP="005C719B">
            <w:pPr>
              <w:pStyle w:val="PargrafodaLista"/>
              <w:numPr>
                <w:ilvl w:val="0"/>
                <w:numId w:val="35"/>
              </w:numPr>
              <w:spacing w:before="120" w:after="120" w:line="240" w:lineRule="auto"/>
              <w:ind w:left="822"/>
              <w:contextualSpacing w:val="0"/>
              <w:jc w:val="both"/>
              <w:rPr>
                <w:rFonts w:ascii="Arial" w:hAnsi="Arial" w:cs="Arial"/>
                <w:sz w:val="18"/>
                <w:szCs w:val="18"/>
              </w:rPr>
            </w:pPr>
            <w:r>
              <w:rPr>
                <w:rFonts w:ascii="Arial" w:hAnsi="Arial" w:cs="Arial"/>
                <w:sz w:val="18"/>
                <w:szCs w:val="18"/>
              </w:rPr>
              <w:t>Informações gerais da entidade: natureza jurídica, natureza das operações, atividades desempenhadas, lei de instituição, conforme o caso, e declaração de conformidade com leis e normas de contabilidade aplicáveis;</w:t>
            </w:r>
          </w:p>
          <w:p w14:paraId="75767C03" w14:textId="77777777" w:rsidR="00984EAD" w:rsidRDefault="00984EAD" w:rsidP="005C719B">
            <w:pPr>
              <w:pStyle w:val="PargrafodaLista"/>
              <w:numPr>
                <w:ilvl w:val="0"/>
                <w:numId w:val="35"/>
              </w:numPr>
              <w:spacing w:before="120" w:after="120" w:line="240" w:lineRule="auto"/>
              <w:ind w:left="822"/>
              <w:contextualSpacing w:val="0"/>
              <w:jc w:val="both"/>
              <w:rPr>
                <w:rFonts w:ascii="Arial" w:hAnsi="Arial" w:cs="Arial"/>
                <w:sz w:val="18"/>
                <w:szCs w:val="18"/>
              </w:rPr>
            </w:pPr>
            <w:r>
              <w:rPr>
                <w:rFonts w:ascii="Arial" w:hAnsi="Arial" w:cs="Arial"/>
                <w:sz w:val="18"/>
                <w:szCs w:val="18"/>
              </w:rPr>
              <w:t>Resumo das Políticas Contábeis relevantes: base de mensuração utilizada, adoção de novas políticas contábeis;</w:t>
            </w:r>
          </w:p>
          <w:p w14:paraId="5D808283" w14:textId="77777777" w:rsidR="00984EAD" w:rsidRDefault="00984EAD" w:rsidP="005C719B">
            <w:pPr>
              <w:pStyle w:val="PargrafodaLista"/>
              <w:numPr>
                <w:ilvl w:val="0"/>
                <w:numId w:val="35"/>
              </w:numPr>
              <w:spacing w:before="120" w:after="120" w:line="240" w:lineRule="auto"/>
              <w:ind w:left="822"/>
              <w:contextualSpacing w:val="0"/>
              <w:jc w:val="both"/>
              <w:rPr>
                <w:rFonts w:ascii="Arial" w:hAnsi="Arial" w:cs="Arial"/>
                <w:sz w:val="18"/>
                <w:szCs w:val="18"/>
              </w:rPr>
            </w:pPr>
            <w:r>
              <w:rPr>
                <w:rFonts w:ascii="Arial" w:hAnsi="Arial" w:cs="Arial"/>
                <w:sz w:val="18"/>
                <w:szCs w:val="18"/>
              </w:rPr>
              <w:t>Detalhamento de informações relevantes contidas nos Demonstrativos Contábeis;</w:t>
            </w:r>
          </w:p>
          <w:p w14:paraId="261BCC82" w14:textId="77777777" w:rsidR="00984EAD" w:rsidRDefault="00984EAD" w:rsidP="005C719B">
            <w:pPr>
              <w:pStyle w:val="PargrafodaLista"/>
              <w:numPr>
                <w:ilvl w:val="0"/>
                <w:numId w:val="35"/>
              </w:numPr>
              <w:spacing w:before="120" w:after="120" w:line="240" w:lineRule="auto"/>
              <w:ind w:left="822"/>
              <w:contextualSpacing w:val="0"/>
              <w:jc w:val="both"/>
              <w:rPr>
                <w:rFonts w:ascii="Arial" w:eastAsia="Times New Roman" w:hAnsi="Arial" w:cs="Arial"/>
                <w:sz w:val="18"/>
                <w:szCs w:val="18"/>
                <w:lang w:eastAsia="pt-BR"/>
              </w:rPr>
            </w:pPr>
            <w:r>
              <w:rPr>
                <w:rFonts w:ascii="Arial" w:hAnsi="Arial" w:cs="Arial"/>
                <w:sz w:val="18"/>
                <w:szCs w:val="18"/>
              </w:rPr>
              <w:t>Demais informações relevantes: passivos contingentes e compromissos contratuais não reconhecidos; ajustes decorrentes de erros, etc.</w:t>
            </w:r>
          </w:p>
        </w:tc>
        <w:tc>
          <w:tcPr>
            <w:tcW w:w="992" w:type="dxa"/>
            <w:shd w:val="clear" w:color="auto" w:fill="auto"/>
            <w:vAlign w:val="center"/>
          </w:tcPr>
          <w:p w14:paraId="138166CE" w14:textId="77777777" w:rsidR="00984EAD" w:rsidRDefault="00532985" w:rsidP="00EB5878">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984EAD" w:rsidRPr="00A5490A" w14:paraId="670E4F8F" w14:textId="77777777" w:rsidTr="00CB7C58">
        <w:tc>
          <w:tcPr>
            <w:tcW w:w="1291" w:type="dxa"/>
            <w:vAlign w:val="center"/>
          </w:tcPr>
          <w:p w14:paraId="63F03533" w14:textId="77777777" w:rsidR="00984EAD" w:rsidRPr="00A5490A" w:rsidRDefault="00984EAD" w:rsidP="00AF70E5">
            <w:pPr>
              <w:spacing w:after="0" w:line="240" w:lineRule="auto"/>
              <w:jc w:val="center"/>
              <w:rPr>
                <w:rFonts w:ascii="Arial" w:eastAsia="Times New Roman" w:hAnsi="Arial" w:cs="Arial"/>
                <w:sz w:val="18"/>
                <w:szCs w:val="18"/>
                <w:lang w:eastAsia="pt-BR"/>
              </w:rPr>
            </w:pPr>
            <w:r>
              <w:rPr>
                <w:rFonts w:ascii="Arial" w:eastAsia="Times New Roman" w:hAnsi="Arial" w:cs="Arial"/>
                <w:sz w:val="18"/>
                <w:szCs w:val="18"/>
                <w:lang w:eastAsia="pt-BR"/>
              </w:rPr>
              <w:t>DOCSPCA</w:t>
            </w:r>
          </w:p>
        </w:tc>
        <w:tc>
          <w:tcPr>
            <w:tcW w:w="6897" w:type="dxa"/>
            <w:shd w:val="clear" w:color="auto" w:fill="auto"/>
            <w:vAlign w:val="center"/>
          </w:tcPr>
          <w:p w14:paraId="1135CD28" w14:textId="2FE49638" w:rsidR="00984EAD" w:rsidRPr="00A5490A" w:rsidRDefault="00984EAD" w:rsidP="009761AF">
            <w:pPr>
              <w:spacing w:before="120" w:after="120" w:line="240" w:lineRule="auto"/>
              <w:jc w:val="both"/>
              <w:rPr>
                <w:rFonts w:ascii="Arial" w:eastAsia="Times New Roman" w:hAnsi="Arial" w:cs="Arial"/>
                <w:sz w:val="18"/>
                <w:szCs w:val="18"/>
                <w:lang w:eastAsia="pt-BR"/>
              </w:rPr>
            </w:pPr>
            <w:r>
              <w:rPr>
                <w:rFonts w:ascii="Arial" w:eastAsia="Times New Roman" w:hAnsi="Arial" w:cs="Arial"/>
                <w:sz w:val="18"/>
                <w:szCs w:val="18"/>
                <w:lang w:eastAsia="pt-BR"/>
              </w:rPr>
              <w:t>R</w:t>
            </w:r>
            <w:r w:rsidRPr="00D46CF1">
              <w:rPr>
                <w:rFonts w:ascii="Arial" w:eastAsia="Times New Roman" w:hAnsi="Arial" w:cs="Arial"/>
                <w:sz w:val="18"/>
                <w:szCs w:val="18"/>
                <w:lang w:eastAsia="pt-BR"/>
              </w:rPr>
              <w:t>eferência aos documentos não estruturados</w:t>
            </w:r>
            <w:r>
              <w:rPr>
                <w:rFonts w:ascii="Arial" w:eastAsia="Times New Roman" w:hAnsi="Arial" w:cs="Arial"/>
                <w:sz w:val="18"/>
                <w:szCs w:val="18"/>
                <w:lang w:eastAsia="pt-BR"/>
              </w:rPr>
              <w:t>, constantes neste Anexo</w:t>
            </w:r>
            <w:r w:rsidRPr="00D46CF1">
              <w:rPr>
                <w:rFonts w:ascii="Arial" w:eastAsia="Times New Roman" w:hAnsi="Arial" w:cs="Arial"/>
                <w:sz w:val="18"/>
                <w:szCs w:val="18"/>
                <w:lang w:eastAsia="pt-BR"/>
              </w:rPr>
              <w:t>, bem como a justificativa de ausência para os arquivos não enviados.</w:t>
            </w:r>
            <w:r>
              <w:rPr>
                <w:rFonts w:ascii="Arial" w:eastAsia="Times New Roman" w:hAnsi="Arial" w:cs="Arial"/>
                <w:sz w:val="18"/>
                <w:szCs w:val="18"/>
                <w:lang w:eastAsia="pt-BR"/>
              </w:rPr>
              <w:t xml:space="preserve"> Estrutura e layout constantes do item </w:t>
            </w:r>
            <w:r w:rsidR="009761AF">
              <w:rPr>
                <w:rFonts w:ascii="Arial" w:eastAsia="Times New Roman" w:hAnsi="Arial" w:cs="Arial"/>
                <w:sz w:val="18"/>
                <w:szCs w:val="18"/>
                <w:lang w:eastAsia="pt-BR"/>
              </w:rPr>
              <w:t>3.1</w:t>
            </w:r>
            <w:r>
              <w:rPr>
                <w:rFonts w:ascii="Arial" w:eastAsia="Times New Roman" w:hAnsi="Arial" w:cs="Arial"/>
                <w:sz w:val="18"/>
                <w:szCs w:val="18"/>
                <w:lang w:eastAsia="pt-BR"/>
              </w:rPr>
              <w:t xml:space="preserve"> deste Anexo.</w:t>
            </w:r>
          </w:p>
        </w:tc>
        <w:tc>
          <w:tcPr>
            <w:tcW w:w="992" w:type="dxa"/>
            <w:shd w:val="clear" w:color="auto" w:fill="auto"/>
            <w:vAlign w:val="center"/>
          </w:tcPr>
          <w:p w14:paraId="580C3306" w14:textId="77777777" w:rsidR="00984EAD" w:rsidRPr="00A5490A" w:rsidRDefault="00984EAD" w:rsidP="00AF70E5">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XML</w:t>
            </w:r>
          </w:p>
        </w:tc>
      </w:tr>
    </w:tbl>
    <w:p w14:paraId="2B0F0DBF" w14:textId="77777777" w:rsidR="000C6541" w:rsidRDefault="000C6541" w:rsidP="00715D39">
      <w:pPr>
        <w:autoSpaceDE w:val="0"/>
        <w:autoSpaceDN w:val="0"/>
        <w:adjustRightInd w:val="0"/>
        <w:spacing w:after="0" w:line="240" w:lineRule="auto"/>
        <w:jc w:val="both"/>
        <w:rPr>
          <w:rFonts w:ascii="Arial" w:eastAsia="Times New Roman" w:hAnsi="Arial" w:cs="Arial"/>
          <w:b/>
          <w:lang w:eastAsia="pt-BR"/>
        </w:rPr>
      </w:pPr>
    </w:p>
    <w:p w14:paraId="7B8F2855" w14:textId="77777777" w:rsidR="000C6541" w:rsidRDefault="000C6541" w:rsidP="00715D39">
      <w:pPr>
        <w:autoSpaceDE w:val="0"/>
        <w:autoSpaceDN w:val="0"/>
        <w:adjustRightInd w:val="0"/>
        <w:spacing w:after="0" w:line="240" w:lineRule="auto"/>
        <w:jc w:val="both"/>
        <w:rPr>
          <w:rFonts w:ascii="Arial" w:eastAsia="Times New Roman" w:hAnsi="Arial" w:cs="Arial"/>
          <w:b/>
          <w:lang w:eastAsia="pt-BR"/>
        </w:rPr>
      </w:pPr>
    </w:p>
    <w:p w14:paraId="3E0B3DD0" w14:textId="77777777" w:rsidR="000C6541" w:rsidRDefault="000C6541" w:rsidP="00715D39">
      <w:pPr>
        <w:autoSpaceDE w:val="0"/>
        <w:autoSpaceDN w:val="0"/>
        <w:adjustRightInd w:val="0"/>
        <w:spacing w:after="0" w:line="240" w:lineRule="auto"/>
        <w:jc w:val="both"/>
        <w:rPr>
          <w:rFonts w:ascii="Arial" w:eastAsia="Times New Roman" w:hAnsi="Arial" w:cs="Arial"/>
          <w:b/>
          <w:lang w:eastAsia="pt-BR"/>
        </w:rPr>
      </w:pPr>
    </w:p>
    <w:p w14:paraId="504F34FF" w14:textId="77777777" w:rsidR="00A933D8" w:rsidRDefault="00A933D8">
      <w:pPr>
        <w:rPr>
          <w:rFonts w:ascii="Arial" w:eastAsia="Times New Roman" w:hAnsi="Arial" w:cs="Arial"/>
          <w:b/>
          <w:lang w:eastAsia="pt-BR"/>
        </w:rPr>
      </w:pPr>
      <w:r>
        <w:rPr>
          <w:rFonts w:ascii="Arial" w:eastAsia="Times New Roman" w:hAnsi="Arial" w:cs="Arial"/>
          <w:b/>
          <w:lang w:eastAsia="pt-BR"/>
        </w:rPr>
        <w:br w:type="page"/>
      </w:r>
    </w:p>
    <w:p w14:paraId="09B0EBB6" w14:textId="438E2AD2" w:rsidR="001379CF" w:rsidRPr="005B7FCC" w:rsidRDefault="001379CF" w:rsidP="000F0A16">
      <w:pPr>
        <w:pStyle w:val="Ttulo2"/>
        <w:rPr>
          <w:lang w:val="pt-BR" w:eastAsia="pt-BR"/>
        </w:rPr>
      </w:pPr>
      <w:r w:rsidRPr="005B7FCC">
        <w:rPr>
          <w:lang w:val="pt-BR" w:eastAsia="pt-BR"/>
        </w:rPr>
        <w:lastRenderedPageBreak/>
        <w:t> </w:t>
      </w:r>
      <w:bookmarkStart w:id="17" w:name="_Toc94806301"/>
      <w:r w:rsidRPr="005B7FCC">
        <w:rPr>
          <w:lang w:val="pt-BR" w:eastAsia="pt-BR"/>
        </w:rPr>
        <w:t xml:space="preserve">CONTAS DOS ORDENADORES DE DESPESAS </w:t>
      </w:r>
      <w:r w:rsidR="00E20523" w:rsidRPr="005B7FCC">
        <w:rPr>
          <w:lang w:val="pt-BR" w:eastAsia="pt-BR"/>
        </w:rPr>
        <w:t>DOS CONSÓRCIOS PÚBLICOS</w:t>
      </w:r>
      <w:bookmarkEnd w:id="17"/>
    </w:p>
    <w:p w14:paraId="634F6D1F" w14:textId="77777777" w:rsidR="001379CF" w:rsidRDefault="001379CF" w:rsidP="001379CF">
      <w:pPr>
        <w:spacing w:after="0" w:line="240" w:lineRule="auto"/>
        <w:jc w:val="both"/>
        <w:rPr>
          <w:rFonts w:ascii="Arial" w:eastAsia="Times New Roman" w:hAnsi="Arial" w:cs="Arial"/>
          <w:lang w:eastAsia="pt-BR"/>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6917"/>
        <w:gridCol w:w="992"/>
      </w:tblGrid>
      <w:tr w:rsidR="00CB7C58" w:rsidRPr="00A5490A" w14:paraId="7C4EAA42" w14:textId="77777777" w:rsidTr="009A5D8F">
        <w:tc>
          <w:tcPr>
            <w:tcW w:w="9180" w:type="dxa"/>
            <w:gridSpan w:val="3"/>
            <w:shd w:val="clear" w:color="auto" w:fill="auto"/>
            <w:vAlign w:val="center"/>
          </w:tcPr>
          <w:p w14:paraId="791A2D74" w14:textId="77777777" w:rsidR="00CB7C58" w:rsidRPr="001379CF" w:rsidRDefault="00CB7C58" w:rsidP="009A5D8F">
            <w:pPr>
              <w:spacing w:after="0" w:line="240" w:lineRule="auto"/>
              <w:jc w:val="both"/>
              <w:rPr>
                <w:rFonts w:ascii="Arial" w:eastAsia="Times New Roman" w:hAnsi="Arial" w:cs="Arial"/>
                <w:b/>
                <w:sz w:val="18"/>
                <w:szCs w:val="18"/>
                <w:lang w:eastAsia="pt-BR"/>
              </w:rPr>
            </w:pPr>
            <w:r w:rsidRPr="001379CF">
              <w:rPr>
                <w:rFonts w:ascii="Arial" w:eastAsia="Times New Roman" w:hAnsi="Arial" w:cs="Arial"/>
                <w:b/>
                <w:sz w:val="18"/>
                <w:szCs w:val="18"/>
                <w:lang w:eastAsia="pt-BR"/>
              </w:rPr>
              <w:t>CONSÓRCIOS PÚBLICOS E CONSÓRCIOS ADMINISTRATIVOS QUE SE ADEQUARAM À LEI Nº 11.107/2005, QUE EFETUAM SUA ESCRITURAÇÃO CONTÁBIL COM BASE NA LEI Nº 4.320/1964</w:t>
            </w:r>
          </w:p>
        </w:tc>
      </w:tr>
      <w:tr w:rsidR="00CB7C58" w:rsidRPr="00A5490A" w14:paraId="2B517360" w14:textId="77777777" w:rsidTr="00C074EC">
        <w:tc>
          <w:tcPr>
            <w:tcW w:w="1271" w:type="dxa"/>
            <w:vAlign w:val="center"/>
          </w:tcPr>
          <w:p w14:paraId="70E68E33" w14:textId="77777777" w:rsidR="00CB7C58" w:rsidRPr="00A5490A" w:rsidRDefault="00CB7C58" w:rsidP="00075C4D">
            <w:pPr>
              <w:spacing w:after="0" w:line="240" w:lineRule="auto"/>
              <w:jc w:val="center"/>
              <w:rPr>
                <w:rFonts w:ascii="Arial" w:eastAsia="Times New Roman" w:hAnsi="Arial" w:cs="Arial"/>
                <w:sz w:val="18"/>
                <w:szCs w:val="18"/>
                <w:lang w:eastAsia="pt-BR"/>
              </w:rPr>
            </w:pPr>
            <w:r>
              <w:rPr>
                <w:rFonts w:ascii="Arial" w:eastAsia="Times New Roman" w:hAnsi="Arial" w:cs="Arial"/>
                <w:sz w:val="18"/>
                <w:szCs w:val="18"/>
                <w:lang w:eastAsia="pt-BR"/>
              </w:rPr>
              <w:t>Código</w:t>
            </w:r>
          </w:p>
        </w:tc>
        <w:tc>
          <w:tcPr>
            <w:tcW w:w="6917" w:type="dxa"/>
            <w:shd w:val="clear" w:color="auto" w:fill="auto"/>
            <w:vAlign w:val="center"/>
          </w:tcPr>
          <w:p w14:paraId="57EA2DD7" w14:textId="77777777" w:rsidR="00CB7C58" w:rsidRPr="00A5490A" w:rsidRDefault="00CB7C58" w:rsidP="00075C4D">
            <w:pPr>
              <w:spacing w:before="120" w:after="12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Descrição</w:t>
            </w:r>
          </w:p>
        </w:tc>
        <w:tc>
          <w:tcPr>
            <w:tcW w:w="992" w:type="dxa"/>
            <w:shd w:val="clear" w:color="auto" w:fill="auto"/>
            <w:vAlign w:val="center"/>
          </w:tcPr>
          <w:p w14:paraId="4DED7FED" w14:textId="77777777" w:rsidR="00CB7C58" w:rsidRPr="00A5490A" w:rsidRDefault="00CB7C58" w:rsidP="00075C4D">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Formato</w:t>
            </w:r>
          </w:p>
        </w:tc>
      </w:tr>
      <w:tr w:rsidR="00CB7C58" w:rsidRPr="00A5490A" w14:paraId="200D348A" w14:textId="77777777" w:rsidTr="00C074EC">
        <w:tc>
          <w:tcPr>
            <w:tcW w:w="1271" w:type="dxa"/>
            <w:vAlign w:val="center"/>
          </w:tcPr>
          <w:p w14:paraId="6EC40044" w14:textId="77777777" w:rsidR="00CB7C58" w:rsidRPr="00A5490A" w:rsidRDefault="00CB7C58" w:rsidP="00075C4D">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ROLRES</w:t>
            </w:r>
          </w:p>
        </w:tc>
        <w:tc>
          <w:tcPr>
            <w:tcW w:w="6917" w:type="dxa"/>
            <w:shd w:val="clear" w:color="auto" w:fill="auto"/>
            <w:vAlign w:val="center"/>
          </w:tcPr>
          <w:p w14:paraId="704B1B19" w14:textId="77777777" w:rsidR="00CB7C58" w:rsidRPr="00A5490A" w:rsidRDefault="00CB7C58" w:rsidP="00075C4D">
            <w:p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Rol de responsáveis contendo: (Artigo 137, I, do RITCEES, aprovado pela Resolução TC nº 261/2013)</w:t>
            </w:r>
          </w:p>
          <w:p w14:paraId="0C5B8B97" w14:textId="77777777" w:rsidR="00CB7C58" w:rsidRPr="00A5490A" w:rsidRDefault="00CB7C58" w:rsidP="00075C4D">
            <w:pPr>
              <w:numPr>
                <w:ilvl w:val="0"/>
                <w:numId w:val="7"/>
              </w:num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Nome</w:t>
            </w:r>
          </w:p>
          <w:p w14:paraId="2F06DCEC" w14:textId="77777777" w:rsidR="00CB7C58" w:rsidRPr="00383C63" w:rsidRDefault="00CB7C58" w:rsidP="00075C4D">
            <w:pPr>
              <w:numPr>
                <w:ilvl w:val="0"/>
                <w:numId w:val="7"/>
              </w:num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 xml:space="preserve">Endereço </w:t>
            </w:r>
            <w:r w:rsidRPr="00383C63">
              <w:rPr>
                <w:rFonts w:ascii="Arial" w:eastAsia="Times New Roman" w:hAnsi="Arial" w:cs="Arial"/>
                <w:sz w:val="18"/>
                <w:szCs w:val="18"/>
                <w:lang w:eastAsia="pt-BR"/>
              </w:rPr>
              <w:t>residencial</w:t>
            </w:r>
          </w:p>
          <w:p w14:paraId="355624FF" w14:textId="77777777" w:rsidR="00CB7C58" w:rsidRPr="00383C63" w:rsidRDefault="00CB7C58" w:rsidP="00075C4D">
            <w:pPr>
              <w:numPr>
                <w:ilvl w:val="0"/>
                <w:numId w:val="7"/>
              </w:numPr>
              <w:spacing w:before="120" w:after="120" w:line="240" w:lineRule="auto"/>
              <w:jc w:val="both"/>
              <w:rPr>
                <w:rFonts w:ascii="Arial" w:eastAsia="Times New Roman" w:hAnsi="Arial" w:cs="Arial"/>
                <w:sz w:val="18"/>
                <w:szCs w:val="18"/>
                <w:lang w:eastAsia="pt-BR"/>
              </w:rPr>
            </w:pPr>
            <w:r w:rsidRPr="00383C63">
              <w:rPr>
                <w:rFonts w:ascii="Arial" w:eastAsia="Times New Roman" w:hAnsi="Arial" w:cs="Arial"/>
                <w:sz w:val="18"/>
                <w:szCs w:val="18"/>
                <w:lang w:eastAsia="pt-BR"/>
              </w:rPr>
              <w:t>Endereço eletrônico pessoal (email)</w:t>
            </w:r>
          </w:p>
          <w:p w14:paraId="44D62D9E" w14:textId="77777777" w:rsidR="00CB7C58" w:rsidRPr="00383C63" w:rsidRDefault="00CB7C58" w:rsidP="00075C4D">
            <w:pPr>
              <w:numPr>
                <w:ilvl w:val="0"/>
                <w:numId w:val="7"/>
              </w:numPr>
              <w:spacing w:before="120" w:after="120" w:line="240" w:lineRule="auto"/>
              <w:jc w:val="both"/>
              <w:rPr>
                <w:rFonts w:ascii="Arial" w:eastAsia="Times New Roman" w:hAnsi="Arial" w:cs="Arial"/>
                <w:sz w:val="18"/>
                <w:szCs w:val="18"/>
                <w:lang w:eastAsia="pt-BR"/>
              </w:rPr>
            </w:pPr>
            <w:r w:rsidRPr="00383C63">
              <w:rPr>
                <w:rFonts w:ascii="Arial" w:eastAsia="Times New Roman" w:hAnsi="Arial" w:cs="Arial"/>
                <w:sz w:val="18"/>
                <w:szCs w:val="18"/>
                <w:lang w:eastAsia="pt-BR"/>
              </w:rPr>
              <w:t>Cargo ou função</w:t>
            </w:r>
          </w:p>
          <w:p w14:paraId="67A0DE36" w14:textId="77777777" w:rsidR="00CB7C58" w:rsidRPr="00A5490A" w:rsidRDefault="00CB7C58" w:rsidP="00075C4D">
            <w:pPr>
              <w:numPr>
                <w:ilvl w:val="0"/>
                <w:numId w:val="7"/>
              </w:numPr>
              <w:spacing w:before="120" w:after="120" w:line="240" w:lineRule="auto"/>
              <w:jc w:val="both"/>
              <w:rPr>
                <w:rFonts w:ascii="Arial" w:eastAsia="Times New Roman" w:hAnsi="Arial" w:cs="Arial"/>
                <w:sz w:val="18"/>
                <w:szCs w:val="18"/>
                <w:lang w:eastAsia="pt-BR"/>
              </w:rPr>
            </w:pPr>
            <w:r w:rsidRPr="00383C63">
              <w:rPr>
                <w:rFonts w:ascii="Arial" w:eastAsia="Times New Roman" w:hAnsi="Arial" w:cs="Arial"/>
                <w:sz w:val="18"/>
                <w:szCs w:val="18"/>
                <w:lang w:eastAsia="pt-BR"/>
              </w:rPr>
              <w:t xml:space="preserve">Inscrição no cadastro de </w:t>
            </w:r>
            <w:r w:rsidRPr="00A5490A">
              <w:rPr>
                <w:rFonts w:ascii="Arial" w:eastAsia="Times New Roman" w:hAnsi="Arial" w:cs="Arial"/>
                <w:sz w:val="18"/>
                <w:szCs w:val="18"/>
                <w:lang w:eastAsia="pt-BR"/>
              </w:rPr>
              <w:t>Pessoas Físicas da RFB (CPF)</w:t>
            </w:r>
          </w:p>
          <w:p w14:paraId="2179B953" w14:textId="77777777" w:rsidR="00CB7C58" w:rsidRPr="00A5490A" w:rsidRDefault="00CB7C58" w:rsidP="00075C4D">
            <w:pPr>
              <w:numPr>
                <w:ilvl w:val="0"/>
                <w:numId w:val="7"/>
              </w:num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Período de gestão</w:t>
            </w:r>
          </w:p>
          <w:p w14:paraId="55C77AB8" w14:textId="77777777" w:rsidR="00CB7C58" w:rsidRPr="00A5490A" w:rsidRDefault="00CB7C58" w:rsidP="00C00927">
            <w:pPr>
              <w:spacing w:before="120" w:after="120" w:line="240" w:lineRule="auto"/>
              <w:jc w:val="both"/>
              <w:rPr>
                <w:rFonts w:ascii="Arial" w:eastAsia="Times New Roman" w:hAnsi="Arial" w:cs="Arial"/>
                <w:sz w:val="16"/>
                <w:szCs w:val="16"/>
                <w:lang w:eastAsia="pt-BR"/>
              </w:rPr>
            </w:pPr>
          </w:p>
        </w:tc>
        <w:tc>
          <w:tcPr>
            <w:tcW w:w="992" w:type="dxa"/>
            <w:shd w:val="clear" w:color="auto" w:fill="auto"/>
            <w:vAlign w:val="center"/>
          </w:tcPr>
          <w:p w14:paraId="60BBCF51" w14:textId="77777777" w:rsidR="00CB7C58" w:rsidRPr="00A5490A" w:rsidRDefault="00532985" w:rsidP="00075C4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CB7C58" w:rsidRPr="00A5490A" w14:paraId="1DD40640" w14:textId="77777777" w:rsidTr="00C074EC">
        <w:tc>
          <w:tcPr>
            <w:tcW w:w="1271" w:type="dxa"/>
            <w:vAlign w:val="center"/>
          </w:tcPr>
          <w:p w14:paraId="35A54B01" w14:textId="77777777" w:rsidR="00CB7C58" w:rsidRPr="00A5490A" w:rsidRDefault="00CB7C58" w:rsidP="00075C4D">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RELGES</w:t>
            </w:r>
          </w:p>
        </w:tc>
        <w:tc>
          <w:tcPr>
            <w:tcW w:w="6917" w:type="dxa"/>
            <w:shd w:val="clear" w:color="auto" w:fill="auto"/>
            <w:vAlign w:val="center"/>
          </w:tcPr>
          <w:p w14:paraId="213B3A09" w14:textId="77777777" w:rsidR="00CB7C58" w:rsidRPr="00A5490A" w:rsidRDefault="00CB7C58" w:rsidP="00AA631B">
            <w:p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Relatório de gestão abordando aspectos de natureza</w:t>
            </w:r>
            <w:r w:rsidRPr="00A5490A">
              <w:rPr>
                <w:rFonts w:ascii="Arial" w:eastAsia="Times New Roman" w:hAnsi="Arial" w:cs="Arial"/>
                <w:bCs/>
                <w:sz w:val="18"/>
                <w:szCs w:val="18"/>
                <w:lang w:eastAsia="pt-BR"/>
              </w:rPr>
              <w:t xml:space="preserve"> orçamentária, financeira, fiscal, operacional e patrimonial, organizado de forma que permita uma visão de conformidade e desempenho dos atos de gestão praticados pelos ordenadores de despesa</w:t>
            </w:r>
            <w:r w:rsidRPr="00A5490A">
              <w:rPr>
                <w:rFonts w:ascii="Arial" w:eastAsia="Times New Roman" w:hAnsi="Arial" w:cs="Arial"/>
                <w:sz w:val="18"/>
                <w:szCs w:val="18"/>
                <w:lang w:eastAsia="pt-BR"/>
              </w:rPr>
              <w:t xml:space="preserve"> (Artigo 137, II, do RITCEES, aprovado pela Resolução TC nº 261/2013)</w:t>
            </w:r>
          </w:p>
        </w:tc>
        <w:tc>
          <w:tcPr>
            <w:tcW w:w="992" w:type="dxa"/>
            <w:shd w:val="clear" w:color="auto" w:fill="auto"/>
            <w:vAlign w:val="center"/>
          </w:tcPr>
          <w:p w14:paraId="782E287C" w14:textId="77777777" w:rsidR="00CB7C58" w:rsidRPr="00A5490A" w:rsidRDefault="00532985" w:rsidP="00075C4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8506B0" w:rsidRPr="008506B0" w14:paraId="3BA1BFC1" w14:textId="77777777" w:rsidTr="00C074EC">
        <w:tc>
          <w:tcPr>
            <w:tcW w:w="1271" w:type="dxa"/>
            <w:vAlign w:val="center"/>
          </w:tcPr>
          <w:p w14:paraId="773F7E9E" w14:textId="6FFDF632" w:rsidR="008506B0" w:rsidRPr="008506B0" w:rsidRDefault="008506B0" w:rsidP="008506B0">
            <w:pPr>
              <w:spacing w:after="0" w:line="240" w:lineRule="auto"/>
              <w:jc w:val="center"/>
              <w:rPr>
                <w:rFonts w:ascii="Arial" w:eastAsia="Times New Roman" w:hAnsi="Arial" w:cs="Arial"/>
                <w:sz w:val="18"/>
                <w:szCs w:val="18"/>
                <w:lang w:eastAsia="pt-BR"/>
              </w:rPr>
            </w:pPr>
            <w:r w:rsidRPr="008506B0">
              <w:rPr>
                <w:rFonts w:ascii="Arial" w:eastAsia="Times New Roman" w:hAnsi="Arial" w:cs="Arial"/>
                <w:bCs/>
                <w:sz w:val="18"/>
                <w:szCs w:val="18"/>
                <w:lang w:eastAsia="pt-BR"/>
              </w:rPr>
              <w:t>CRIA</w:t>
            </w:r>
          </w:p>
        </w:tc>
        <w:tc>
          <w:tcPr>
            <w:tcW w:w="6917" w:type="dxa"/>
            <w:shd w:val="clear" w:color="auto" w:fill="auto"/>
            <w:vAlign w:val="center"/>
          </w:tcPr>
          <w:p w14:paraId="59E972DA" w14:textId="7CDAC30A" w:rsidR="008506B0" w:rsidRPr="008506B0" w:rsidRDefault="008506B0" w:rsidP="008506B0">
            <w:pPr>
              <w:spacing w:before="120" w:after="120" w:line="240" w:lineRule="auto"/>
              <w:jc w:val="both"/>
              <w:rPr>
                <w:rFonts w:ascii="Arial" w:eastAsia="Times New Roman" w:hAnsi="Arial" w:cs="Arial"/>
                <w:sz w:val="18"/>
                <w:szCs w:val="18"/>
                <w:lang w:eastAsia="pt-BR"/>
              </w:rPr>
            </w:pPr>
            <w:r w:rsidRPr="008506B0">
              <w:rPr>
                <w:rFonts w:ascii="Arial" w:eastAsia="Times New Roman" w:hAnsi="Arial" w:cs="Arial"/>
                <w:bCs/>
                <w:sz w:val="18"/>
                <w:szCs w:val="18"/>
                <w:lang w:eastAsia="pt-BR"/>
              </w:rPr>
              <w:t>Demonstrativo especificando a lei de criação da entidade e suas alterações, evidenciando seus objetivos e atribuições.</w:t>
            </w:r>
          </w:p>
        </w:tc>
        <w:tc>
          <w:tcPr>
            <w:tcW w:w="992" w:type="dxa"/>
            <w:shd w:val="clear" w:color="auto" w:fill="auto"/>
            <w:vAlign w:val="center"/>
          </w:tcPr>
          <w:p w14:paraId="6BE7EDFC" w14:textId="6F793F9B" w:rsidR="008506B0" w:rsidRPr="008506B0" w:rsidRDefault="008506B0" w:rsidP="008506B0">
            <w:pPr>
              <w:spacing w:after="0" w:line="240" w:lineRule="auto"/>
              <w:jc w:val="center"/>
              <w:rPr>
                <w:rFonts w:ascii="Arial" w:eastAsia="Times New Roman" w:hAnsi="Arial" w:cs="Arial"/>
                <w:sz w:val="14"/>
                <w:szCs w:val="14"/>
                <w:lang w:eastAsia="pt-BR"/>
              </w:rPr>
            </w:pPr>
            <w:r w:rsidRPr="008506B0">
              <w:rPr>
                <w:rFonts w:ascii="Arial" w:eastAsia="Times New Roman" w:hAnsi="Arial" w:cs="Arial"/>
                <w:sz w:val="14"/>
                <w:szCs w:val="14"/>
                <w:lang w:eastAsia="pt-BR"/>
              </w:rPr>
              <w:t>PDF</w:t>
            </w:r>
          </w:p>
        </w:tc>
      </w:tr>
      <w:tr w:rsidR="008506B0" w:rsidRPr="008506B0" w14:paraId="2762A9AB" w14:textId="77777777" w:rsidTr="00C074EC">
        <w:tc>
          <w:tcPr>
            <w:tcW w:w="1271" w:type="dxa"/>
            <w:vAlign w:val="center"/>
          </w:tcPr>
          <w:p w14:paraId="6A00799F" w14:textId="77777777" w:rsidR="00EE115F" w:rsidRPr="008506B0" w:rsidRDefault="00EE115F" w:rsidP="00EE115F">
            <w:pPr>
              <w:spacing w:after="0" w:line="240" w:lineRule="auto"/>
              <w:jc w:val="center"/>
              <w:rPr>
                <w:rFonts w:ascii="Arial" w:eastAsia="Times New Roman" w:hAnsi="Arial" w:cs="Arial"/>
                <w:sz w:val="18"/>
                <w:szCs w:val="18"/>
                <w:lang w:eastAsia="pt-BR"/>
              </w:rPr>
            </w:pPr>
            <w:r w:rsidRPr="008506B0">
              <w:rPr>
                <w:rFonts w:ascii="Arial" w:eastAsia="Times New Roman" w:hAnsi="Arial" w:cs="Arial"/>
                <w:sz w:val="18"/>
                <w:szCs w:val="18"/>
                <w:lang w:eastAsia="pt-BR"/>
              </w:rPr>
              <w:t>BALORC</w:t>
            </w:r>
          </w:p>
        </w:tc>
        <w:tc>
          <w:tcPr>
            <w:tcW w:w="6917" w:type="dxa"/>
            <w:shd w:val="clear" w:color="auto" w:fill="auto"/>
            <w:vAlign w:val="center"/>
          </w:tcPr>
          <w:p w14:paraId="2F46C7B1" w14:textId="50469D9D" w:rsidR="00EE115F" w:rsidRPr="008506B0" w:rsidRDefault="00EE115F" w:rsidP="009761AF">
            <w:pPr>
              <w:spacing w:before="120" w:after="120" w:line="240" w:lineRule="auto"/>
              <w:jc w:val="both"/>
              <w:rPr>
                <w:rFonts w:ascii="Arial" w:eastAsia="Times New Roman" w:hAnsi="Arial" w:cs="Arial"/>
                <w:sz w:val="18"/>
                <w:szCs w:val="18"/>
                <w:lang w:eastAsia="pt-BR"/>
              </w:rPr>
            </w:pPr>
            <w:r w:rsidRPr="008506B0">
              <w:rPr>
                <w:rFonts w:ascii="Arial" w:eastAsia="Times New Roman" w:hAnsi="Arial" w:cs="Arial"/>
                <w:sz w:val="18"/>
                <w:szCs w:val="18"/>
                <w:lang w:eastAsia="pt-BR"/>
              </w:rPr>
              <w:t>Balanço Orçamentário (Anexo 12 Lei 4.320/1964) e outros quadros elucidativos que se fizerem necessários (Artigo 101 da Lei Federal nº 4.320/64</w:t>
            </w:r>
            <w:r w:rsidR="00CD52BA">
              <w:rPr>
                <w:rFonts w:ascii="Arial" w:eastAsia="Times New Roman" w:hAnsi="Arial" w:cs="Arial"/>
                <w:sz w:val="18"/>
                <w:szCs w:val="18"/>
                <w:lang w:eastAsia="pt-BR"/>
              </w:rPr>
              <w:t xml:space="preserve">. </w:t>
            </w:r>
            <w:r w:rsidR="00CD52BA" w:rsidRPr="00CD52BA">
              <w:rPr>
                <w:rFonts w:ascii="Arial" w:eastAsia="Times New Roman" w:hAnsi="Arial" w:cs="Arial"/>
                <w:sz w:val="18"/>
                <w:szCs w:val="18"/>
                <w:lang w:eastAsia="pt-BR"/>
              </w:rPr>
              <w:t>Estrutura e layout constantes do item 3.</w:t>
            </w:r>
            <w:r w:rsidR="009761AF">
              <w:rPr>
                <w:rFonts w:ascii="Arial" w:eastAsia="Times New Roman" w:hAnsi="Arial" w:cs="Arial"/>
                <w:sz w:val="18"/>
                <w:szCs w:val="18"/>
                <w:lang w:eastAsia="pt-BR"/>
              </w:rPr>
              <w:t>1</w:t>
            </w:r>
            <w:r w:rsidR="00CD52BA" w:rsidRPr="00CD52BA">
              <w:rPr>
                <w:rFonts w:ascii="Arial" w:eastAsia="Times New Roman" w:hAnsi="Arial" w:cs="Arial"/>
                <w:sz w:val="18"/>
                <w:szCs w:val="18"/>
                <w:lang w:eastAsia="pt-BR"/>
              </w:rPr>
              <w:t xml:space="preserve"> deste Anexo.</w:t>
            </w:r>
          </w:p>
        </w:tc>
        <w:tc>
          <w:tcPr>
            <w:tcW w:w="992" w:type="dxa"/>
            <w:shd w:val="clear" w:color="auto" w:fill="auto"/>
            <w:vAlign w:val="center"/>
          </w:tcPr>
          <w:p w14:paraId="49679F9A" w14:textId="3690595F" w:rsidR="00EE115F" w:rsidRPr="008506B0" w:rsidRDefault="00CD52BA" w:rsidP="00EE115F">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XML</w:t>
            </w:r>
          </w:p>
        </w:tc>
      </w:tr>
      <w:tr w:rsidR="009814E6" w:rsidRPr="009814E6" w14:paraId="5CF795BD" w14:textId="77777777" w:rsidTr="00C074EC">
        <w:tc>
          <w:tcPr>
            <w:tcW w:w="1271" w:type="dxa"/>
            <w:vAlign w:val="center"/>
          </w:tcPr>
          <w:p w14:paraId="0F13CCFB" w14:textId="77777777" w:rsidR="00EE115F" w:rsidRPr="009814E6" w:rsidRDefault="00EE115F" w:rsidP="00EE115F">
            <w:pPr>
              <w:spacing w:after="0" w:line="240" w:lineRule="auto"/>
              <w:jc w:val="center"/>
              <w:rPr>
                <w:rFonts w:ascii="Arial" w:eastAsia="Times New Roman" w:hAnsi="Arial" w:cs="Arial"/>
                <w:sz w:val="18"/>
                <w:szCs w:val="18"/>
                <w:lang w:eastAsia="pt-BR"/>
              </w:rPr>
            </w:pPr>
            <w:r w:rsidRPr="009814E6">
              <w:rPr>
                <w:rFonts w:ascii="Arial" w:eastAsia="Times New Roman" w:hAnsi="Arial" w:cs="Arial"/>
                <w:sz w:val="18"/>
                <w:szCs w:val="18"/>
                <w:lang w:eastAsia="pt-BR"/>
              </w:rPr>
              <w:t>BALFIN</w:t>
            </w:r>
          </w:p>
        </w:tc>
        <w:tc>
          <w:tcPr>
            <w:tcW w:w="6917" w:type="dxa"/>
            <w:shd w:val="clear" w:color="auto" w:fill="auto"/>
            <w:vAlign w:val="center"/>
          </w:tcPr>
          <w:p w14:paraId="05AB7415" w14:textId="535BE193" w:rsidR="00EE115F" w:rsidRPr="009814E6" w:rsidRDefault="00EE115F" w:rsidP="009761AF">
            <w:pPr>
              <w:spacing w:before="120" w:after="120" w:line="240" w:lineRule="auto"/>
              <w:jc w:val="both"/>
              <w:rPr>
                <w:rFonts w:ascii="Arial" w:eastAsia="Times New Roman" w:hAnsi="Arial" w:cs="Arial"/>
                <w:sz w:val="18"/>
                <w:szCs w:val="18"/>
                <w:lang w:eastAsia="pt-BR"/>
              </w:rPr>
            </w:pPr>
            <w:r w:rsidRPr="009814E6">
              <w:rPr>
                <w:rFonts w:ascii="Arial" w:eastAsia="Times New Roman" w:hAnsi="Arial" w:cs="Arial"/>
                <w:sz w:val="18"/>
                <w:szCs w:val="18"/>
                <w:lang w:eastAsia="pt-BR"/>
              </w:rPr>
              <w:t>Balanço Financ</w:t>
            </w:r>
            <w:r w:rsidR="008506B0" w:rsidRPr="009814E6">
              <w:rPr>
                <w:rFonts w:ascii="Arial" w:eastAsia="Times New Roman" w:hAnsi="Arial" w:cs="Arial"/>
                <w:sz w:val="18"/>
                <w:szCs w:val="18"/>
                <w:lang w:eastAsia="pt-BR"/>
              </w:rPr>
              <w:t xml:space="preserve">eiro (Anexo 13 Lei 4.320/1964) </w:t>
            </w:r>
            <w:r w:rsidRPr="009814E6">
              <w:rPr>
                <w:rFonts w:ascii="Arial" w:eastAsia="Times New Roman" w:hAnsi="Arial" w:cs="Arial"/>
                <w:sz w:val="18"/>
                <w:szCs w:val="18"/>
                <w:lang w:eastAsia="pt-BR"/>
              </w:rPr>
              <w:t xml:space="preserve">e outros quadros elucidativos que se fizerem necessários (Artigo 101 da Lei Federal nº 4.320/64). </w:t>
            </w:r>
            <w:r w:rsidR="00CD52BA" w:rsidRPr="00CD52BA">
              <w:rPr>
                <w:rFonts w:ascii="Arial" w:eastAsia="Times New Roman" w:hAnsi="Arial" w:cs="Arial"/>
                <w:sz w:val="18"/>
                <w:szCs w:val="18"/>
                <w:lang w:eastAsia="pt-BR"/>
              </w:rPr>
              <w:t>Estrutura e layout constantes do item 3.</w:t>
            </w:r>
            <w:r w:rsidR="009761AF">
              <w:rPr>
                <w:rFonts w:ascii="Arial" w:eastAsia="Times New Roman" w:hAnsi="Arial" w:cs="Arial"/>
                <w:sz w:val="18"/>
                <w:szCs w:val="18"/>
                <w:lang w:eastAsia="pt-BR"/>
              </w:rPr>
              <w:t>1</w:t>
            </w:r>
            <w:r w:rsidR="00CD52BA" w:rsidRPr="00CD52BA">
              <w:rPr>
                <w:rFonts w:ascii="Arial" w:eastAsia="Times New Roman" w:hAnsi="Arial" w:cs="Arial"/>
                <w:sz w:val="18"/>
                <w:szCs w:val="18"/>
                <w:lang w:eastAsia="pt-BR"/>
              </w:rPr>
              <w:t xml:space="preserve"> deste Anexo.</w:t>
            </w:r>
          </w:p>
        </w:tc>
        <w:tc>
          <w:tcPr>
            <w:tcW w:w="992" w:type="dxa"/>
            <w:shd w:val="clear" w:color="auto" w:fill="auto"/>
            <w:vAlign w:val="center"/>
          </w:tcPr>
          <w:p w14:paraId="1D90F444" w14:textId="263B2BAC" w:rsidR="00EE115F" w:rsidRPr="009814E6" w:rsidRDefault="00CD52BA" w:rsidP="00EE115F">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XML</w:t>
            </w:r>
          </w:p>
        </w:tc>
      </w:tr>
      <w:tr w:rsidR="009814E6" w:rsidRPr="009814E6" w14:paraId="3AAD440B" w14:textId="77777777" w:rsidTr="00C074EC">
        <w:tc>
          <w:tcPr>
            <w:tcW w:w="1271" w:type="dxa"/>
            <w:vAlign w:val="center"/>
          </w:tcPr>
          <w:p w14:paraId="213866FA" w14:textId="77777777" w:rsidR="00EE115F" w:rsidRPr="009814E6" w:rsidRDefault="00EE115F" w:rsidP="00EE115F">
            <w:pPr>
              <w:spacing w:after="0" w:line="240" w:lineRule="auto"/>
              <w:jc w:val="center"/>
              <w:rPr>
                <w:rFonts w:ascii="Arial" w:eastAsia="Times New Roman" w:hAnsi="Arial" w:cs="Arial"/>
                <w:sz w:val="18"/>
                <w:szCs w:val="18"/>
                <w:lang w:eastAsia="pt-BR"/>
              </w:rPr>
            </w:pPr>
            <w:r w:rsidRPr="009814E6">
              <w:rPr>
                <w:rFonts w:ascii="Arial" w:eastAsia="Times New Roman" w:hAnsi="Arial" w:cs="Arial"/>
                <w:sz w:val="18"/>
                <w:szCs w:val="18"/>
                <w:lang w:eastAsia="pt-BR"/>
              </w:rPr>
              <w:t>BALPAT</w:t>
            </w:r>
          </w:p>
        </w:tc>
        <w:tc>
          <w:tcPr>
            <w:tcW w:w="6917" w:type="dxa"/>
            <w:shd w:val="clear" w:color="auto" w:fill="auto"/>
            <w:vAlign w:val="center"/>
          </w:tcPr>
          <w:p w14:paraId="0BD34D34" w14:textId="696C1F51" w:rsidR="00EE115F" w:rsidRPr="009814E6" w:rsidRDefault="00EE115F" w:rsidP="009761AF">
            <w:pPr>
              <w:spacing w:before="120" w:after="120" w:line="240" w:lineRule="auto"/>
              <w:jc w:val="both"/>
              <w:rPr>
                <w:rFonts w:ascii="Arial" w:eastAsia="Times New Roman" w:hAnsi="Arial" w:cs="Arial"/>
                <w:sz w:val="18"/>
                <w:szCs w:val="18"/>
                <w:lang w:eastAsia="pt-BR"/>
              </w:rPr>
            </w:pPr>
            <w:r w:rsidRPr="009814E6">
              <w:rPr>
                <w:rFonts w:ascii="Arial" w:eastAsia="Times New Roman" w:hAnsi="Arial" w:cs="Arial"/>
                <w:sz w:val="18"/>
                <w:szCs w:val="18"/>
                <w:lang w:eastAsia="pt-BR"/>
              </w:rPr>
              <w:t>Balanço Patrimon</w:t>
            </w:r>
            <w:r w:rsidR="009814E6" w:rsidRPr="009814E6">
              <w:rPr>
                <w:rFonts w:ascii="Arial" w:eastAsia="Times New Roman" w:hAnsi="Arial" w:cs="Arial"/>
                <w:sz w:val="18"/>
                <w:szCs w:val="18"/>
                <w:lang w:eastAsia="pt-BR"/>
              </w:rPr>
              <w:t>ial (Anexo 14 Lei 4.320/1964)</w:t>
            </w:r>
            <w:r w:rsidRPr="009814E6">
              <w:rPr>
                <w:rFonts w:ascii="Arial" w:eastAsia="Times New Roman" w:hAnsi="Arial" w:cs="Arial"/>
                <w:sz w:val="18"/>
                <w:szCs w:val="18"/>
                <w:lang w:eastAsia="pt-BR"/>
              </w:rPr>
              <w:t xml:space="preserve"> e outros quadros elucidativos que se fizerem necessários (Artigo 101 da Lei Federal nº 4.320/64). </w:t>
            </w:r>
            <w:r w:rsidR="00CD52BA" w:rsidRPr="00CD52BA">
              <w:rPr>
                <w:rFonts w:ascii="Arial" w:eastAsia="Times New Roman" w:hAnsi="Arial" w:cs="Arial"/>
                <w:sz w:val="18"/>
                <w:szCs w:val="18"/>
                <w:lang w:eastAsia="pt-BR"/>
              </w:rPr>
              <w:t>Estrutura e layout constantes do item 3.</w:t>
            </w:r>
            <w:r w:rsidR="009761AF">
              <w:rPr>
                <w:rFonts w:ascii="Arial" w:eastAsia="Times New Roman" w:hAnsi="Arial" w:cs="Arial"/>
                <w:sz w:val="18"/>
                <w:szCs w:val="18"/>
                <w:lang w:eastAsia="pt-BR"/>
              </w:rPr>
              <w:t>1</w:t>
            </w:r>
            <w:r w:rsidR="00CD52BA" w:rsidRPr="00CD52BA">
              <w:rPr>
                <w:rFonts w:ascii="Arial" w:eastAsia="Times New Roman" w:hAnsi="Arial" w:cs="Arial"/>
                <w:sz w:val="18"/>
                <w:szCs w:val="18"/>
                <w:lang w:eastAsia="pt-BR"/>
              </w:rPr>
              <w:t xml:space="preserve"> deste Anexo.</w:t>
            </w:r>
          </w:p>
        </w:tc>
        <w:tc>
          <w:tcPr>
            <w:tcW w:w="992" w:type="dxa"/>
            <w:shd w:val="clear" w:color="auto" w:fill="auto"/>
            <w:vAlign w:val="center"/>
          </w:tcPr>
          <w:p w14:paraId="44458933" w14:textId="00046727" w:rsidR="00EE115F" w:rsidRPr="009814E6" w:rsidRDefault="00CD52BA" w:rsidP="00EE115F">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XML</w:t>
            </w:r>
          </w:p>
        </w:tc>
      </w:tr>
      <w:tr w:rsidR="009814E6" w:rsidRPr="009814E6" w14:paraId="644AB2C2" w14:textId="77777777" w:rsidTr="00C074EC">
        <w:tc>
          <w:tcPr>
            <w:tcW w:w="1271" w:type="dxa"/>
            <w:vAlign w:val="center"/>
          </w:tcPr>
          <w:p w14:paraId="24181DA9" w14:textId="77777777" w:rsidR="00EE115F" w:rsidRPr="009814E6" w:rsidRDefault="00EE115F" w:rsidP="00EE115F">
            <w:pPr>
              <w:spacing w:after="0" w:line="240" w:lineRule="auto"/>
              <w:jc w:val="center"/>
              <w:rPr>
                <w:rFonts w:ascii="Arial" w:eastAsia="Times New Roman" w:hAnsi="Arial" w:cs="Arial"/>
                <w:sz w:val="18"/>
                <w:szCs w:val="18"/>
                <w:lang w:eastAsia="pt-BR"/>
              </w:rPr>
            </w:pPr>
            <w:r w:rsidRPr="009814E6">
              <w:rPr>
                <w:rFonts w:ascii="Arial" w:eastAsia="Times New Roman" w:hAnsi="Arial" w:cs="Arial"/>
                <w:sz w:val="18"/>
                <w:szCs w:val="18"/>
                <w:lang w:eastAsia="pt-BR"/>
              </w:rPr>
              <w:t>DEMVAP</w:t>
            </w:r>
          </w:p>
        </w:tc>
        <w:tc>
          <w:tcPr>
            <w:tcW w:w="6917" w:type="dxa"/>
            <w:shd w:val="clear" w:color="auto" w:fill="auto"/>
            <w:vAlign w:val="center"/>
          </w:tcPr>
          <w:p w14:paraId="4C3690B2" w14:textId="2C01E60E" w:rsidR="00EE115F" w:rsidRPr="009814E6" w:rsidRDefault="00EE115F" w:rsidP="009761AF">
            <w:pPr>
              <w:spacing w:before="120" w:after="120" w:line="240" w:lineRule="auto"/>
              <w:jc w:val="both"/>
              <w:rPr>
                <w:rFonts w:ascii="Arial" w:eastAsia="Times New Roman" w:hAnsi="Arial" w:cs="Arial"/>
                <w:sz w:val="18"/>
                <w:szCs w:val="18"/>
                <w:lang w:eastAsia="pt-BR"/>
              </w:rPr>
            </w:pPr>
            <w:r w:rsidRPr="009814E6">
              <w:rPr>
                <w:rFonts w:ascii="Arial" w:eastAsia="Times New Roman" w:hAnsi="Arial" w:cs="Arial"/>
                <w:sz w:val="18"/>
                <w:szCs w:val="18"/>
                <w:lang w:eastAsia="pt-BR"/>
              </w:rPr>
              <w:t>Demonstração das Variações Patrimon</w:t>
            </w:r>
            <w:r w:rsidR="009814E6" w:rsidRPr="009814E6">
              <w:rPr>
                <w:rFonts w:ascii="Arial" w:eastAsia="Times New Roman" w:hAnsi="Arial" w:cs="Arial"/>
                <w:sz w:val="18"/>
                <w:szCs w:val="18"/>
                <w:lang w:eastAsia="pt-BR"/>
              </w:rPr>
              <w:t xml:space="preserve">iais (Anexo 15 Lei 4.320/1964) </w:t>
            </w:r>
            <w:r w:rsidRPr="009814E6">
              <w:rPr>
                <w:rFonts w:ascii="Arial" w:eastAsia="Times New Roman" w:hAnsi="Arial" w:cs="Arial"/>
                <w:sz w:val="18"/>
                <w:szCs w:val="18"/>
                <w:lang w:eastAsia="pt-BR"/>
              </w:rPr>
              <w:t xml:space="preserve">e outros quadros elucidativos que se fizerem necessários (Artigo 101 da Lei nº 4.320/64). </w:t>
            </w:r>
            <w:r w:rsidR="00CD52BA" w:rsidRPr="00CD52BA">
              <w:rPr>
                <w:rFonts w:ascii="Arial" w:eastAsia="Times New Roman" w:hAnsi="Arial" w:cs="Arial"/>
                <w:sz w:val="18"/>
                <w:szCs w:val="18"/>
                <w:lang w:eastAsia="pt-BR"/>
              </w:rPr>
              <w:t>Estrutura e layout constantes do item 3.</w:t>
            </w:r>
            <w:r w:rsidR="009761AF">
              <w:rPr>
                <w:rFonts w:ascii="Arial" w:eastAsia="Times New Roman" w:hAnsi="Arial" w:cs="Arial"/>
                <w:sz w:val="18"/>
                <w:szCs w:val="18"/>
                <w:lang w:eastAsia="pt-BR"/>
              </w:rPr>
              <w:t>1</w:t>
            </w:r>
            <w:r w:rsidR="00CD52BA" w:rsidRPr="00CD52BA">
              <w:rPr>
                <w:rFonts w:ascii="Arial" w:eastAsia="Times New Roman" w:hAnsi="Arial" w:cs="Arial"/>
                <w:sz w:val="18"/>
                <w:szCs w:val="18"/>
                <w:lang w:eastAsia="pt-BR"/>
              </w:rPr>
              <w:t xml:space="preserve"> deste Anexo.</w:t>
            </w:r>
          </w:p>
        </w:tc>
        <w:tc>
          <w:tcPr>
            <w:tcW w:w="992" w:type="dxa"/>
            <w:shd w:val="clear" w:color="auto" w:fill="auto"/>
            <w:vAlign w:val="center"/>
          </w:tcPr>
          <w:p w14:paraId="6459CE42" w14:textId="16FC28F5" w:rsidR="00EE115F" w:rsidRPr="009814E6" w:rsidRDefault="00CD52BA" w:rsidP="00EE115F">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XML</w:t>
            </w:r>
          </w:p>
        </w:tc>
      </w:tr>
      <w:tr w:rsidR="00CB7C58" w:rsidRPr="00A5490A" w14:paraId="2ECB86B9" w14:textId="77777777" w:rsidTr="00C074EC">
        <w:trPr>
          <w:trHeight w:val="680"/>
        </w:trPr>
        <w:tc>
          <w:tcPr>
            <w:tcW w:w="1271" w:type="dxa"/>
            <w:vAlign w:val="center"/>
          </w:tcPr>
          <w:p w14:paraId="20B8B530" w14:textId="77777777" w:rsidR="00CB7C58" w:rsidRPr="00383C63" w:rsidRDefault="00CB7C58" w:rsidP="00075C4D">
            <w:pPr>
              <w:spacing w:after="0" w:line="240" w:lineRule="auto"/>
              <w:jc w:val="center"/>
              <w:rPr>
                <w:rFonts w:ascii="Arial" w:eastAsia="Times New Roman" w:hAnsi="Arial" w:cs="Arial"/>
                <w:sz w:val="18"/>
                <w:szCs w:val="18"/>
                <w:lang w:eastAsia="pt-BR"/>
              </w:rPr>
            </w:pPr>
            <w:r w:rsidRPr="00383C63">
              <w:rPr>
                <w:rFonts w:ascii="Arial" w:eastAsia="Times New Roman" w:hAnsi="Arial" w:cs="Arial"/>
                <w:sz w:val="18"/>
                <w:szCs w:val="18"/>
                <w:lang w:eastAsia="pt-BR"/>
              </w:rPr>
              <w:t>DEMDIF</w:t>
            </w:r>
          </w:p>
        </w:tc>
        <w:tc>
          <w:tcPr>
            <w:tcW w:w="6917" w:type="dxa"/>
            <w:shd w:val="clear" w:color="auto" w:fill="auto"/>
            <w:vAlign w:val="center"/>
          </w:tcPr>
          <w:p w14:paraId="690BBDD0" w14:textId="77777777" w:rsidR="00CB7C58" w:rsidRPr="00383C63" w:rsidRDefault="00CB7C58" w:rsidP="00075C4D">
            <w:pPr>
              <w:spacing w:before="120" w:after="120" w:line="240" w:lineRule="auto"/>
              <w:jc w:val="both"/>
              <w:rPr>
                <w:rFonts w:ascii="Arial" w:eastAsia="Times New Roman" w:hAnsi="Arial" w:cs="Arial"/>
                <w:sz w:val="18"/>
                <w:szCs w:val="18"/>
                <w:lang w:eastAsia="pt-BR"/>
              </w:rPr>
            </w:pPr>
            <w:r w:rsidRPr="00383C63">
              <w:rPr>
                <w:rFonts w:ascii="Arial" w:eastAsia="Times New Roman" w:hAnsi="Arial" w:cs="Arial"/>
                <w:sz w:val="18"/>
                <w:szCs w:val="18"/>
                <w:lang w:eastAsia="pt-BR"/>
              </w:rPr>
              <w:t>Demonstrativo da Dívida Fundada (Anexo 16 Lei 4.320/1964) consolidado, acompanhado de notas explicativas e outros quadros elucidativos que se fizerem necessários. (Artigo 101 da Lei Federal nº 4.320/64)</w:t>
            </w:r>
          </w:p>
        </w:tc>
        <w:tc>
          <w:tcPr>
            <w:tcW w:w="992" w:type="dxa"/>
            <w:shd w:val="clear" w:color="auto" w:fill="auto"/>
            <w:vAlign w:val="center"/>
          </w:tcPr>
          <w:p w14:paraId="027DCA6E" w14:textId="77777777" w:rsidR="00CB7C58" w:rsidRPr="00383C63" w:rsidRDefault="00532985" w:rsidP="00075C4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CB7C58" w:rsidRPr="00A5490A" w14:paraId="2CA2C9CE" w14:textId="77777777" w:rsidTr="00C074EC">
        <w:trPr>
          <w:trHeight w:val="680"/>
        </w:trPr>
        <w:tc>
          <w:tcPr>
            <w:tcW w:w="1271" w:type="dxa"/>
            <w:vAlign w:val="center"/>
          </w:tcPr>
          <w:p w14:paraId="50FC39DB" w14:textId="77777777" w:rsidR="00CB7C58" w:rsidRPr="00A5490A" w:rsidRDefault="00CB7C58" w:rsidP="00075C4D">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DEMDFL</w:t>
            </w:r>
          </w:p>
        </w:tc>
        <w:tc>
          <w:tcPr>
            <w:tcW w:w="6917" w:type="dxa"/>
            <w:shd w:val="clear" w:color="auto" w:fill="auto"/>
            <w:vAlign w:val="center"/>
          </w:tcPr>
          <w:p w14:paraId="77445E72" w14:textId="77777777" w:rsidR="00CB7C58" w:rsidRPr="00A5490A" w:rsidRDefault="00CB7C58" w:rsidP="00075C4D">
            <w:p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Demonstrativo da Dívida Flutuante (Anexo 17 Lei 4.320/1964)</w:t>
            </w:r>
            <w:r>
              <w:rPr>
                <w:rFonts w:ascii="Arial" w:eastAsia="Times New Roman" w:hAnsi="Arial" w:cs="Arial"/>
                <w:sz w:val="18"/>
                <w:szCs w:val="18"/>
                <w:lang w:eastAsia="pt-BR"/>
              </w:rPr>
              <w:t xml:space="preserve"> consolidado</w:t>
            </w:r>
            <w:r w:rsidRPr="00A5490A">
              <w:rPr>
                <w:rFonts w:ascii="Arial" w:eastAsia="Times New Roman" w:hAnsi="Arial" w:cs="Arial"/>
                <w:sz w:val="18"/>
                <w:szCs w:val="18"/>
                <w:lang w:eastAsia="pt-BR"/>
              </w:rPr>
              <w:t>, acompanhado de notas explicativas e outros quadros elucidativos que se fizerem necessários. (Artigo 101 da Lei nº 4.320/64)</w:t>
            </w:r>
          </w:p>
        </w:tc>
        <w:tc>
          <w:tcPr>
            <w:tcW w:w="992" w:type="dxa"/>
            <w:shd w:val="clear" w:color="auto" w:fill="auto"/>
            <w:vAlign w:val="center"/>
          </w:tcPr>
          <w:p w14:paraId="14E83E18" w14:textId="77777777" w:rsidR="00CB7C58" w:rsidRPr="00A5490A" w:rsidRDefault="00532985" w:rsidP="00075C4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CB7C58" w:rsidRPr="00A5490A" w14:paraId="3CB8AE10" w14:textId="77777777" w:rsidTr="00C074EC">
        <w:trPr>
          <w:trHeight w:val="850"/>
        </w:trPr>
        <w:tc>
          <w:tcPr>
            <w:tcW w:w="1271" w:type="dxa"/>
            <w:vAlign w:val="center"/>
          </w:tcPr>
          <w:p w14:paraId="7C24A851" w14:textId="77777777" w:rsidR="00CB7C58" w:rsidRPr="00A5490A" w:rsidRDefault="00CB7C58" w:rsidP="00075C4D">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DEMFCA</w:t>
            </w:r>
          </w:p>
        </w:tc>
        <w:tc>
          <w:tcPr>
            <w:tcW w:w="6917" w:type="dxa"/>
            <w:shd w:val="clear" w:color="auto" w:fill="auto"/>
            <w:vAlign w:val="center"/>
          </w:tcPr>
          <w:p w14:paraId="255A2C61" w14:textId="77777777" w:rsidR="00CB7C58" w:rsidRPr="00A5490A" w:rsidRDefault="00CB7C58" w:rsidP="00AA631B">
            <w:p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 xml:space="preserve">Demonstração dos Fluxos de Caixa – DFC </w:t>
            </w:r>
            <w:r>
              <w:rPr>
                <w:rFonts w:ascii="Arial" w:eastAsia="Times New Roman" w:hAnsi="Arial" w:cs="Arial"/>
                <w:sz w:val="18"/>
                <w:szCs w:val="18"/>
                <w:lang w:eastAsia="pt-BR"/>
              </w:rPr>
              <w:t xml:space="preserve">consolidada </w:t>
            </w:r>
            <w:r w:rsidRPr="00A5490A">
              <w:rPr>
                <w:rFonts w:ascii="Arial" w:eastAsia="Times New Roman" w:hAnsi="Arial" w:cs="Arial"/>
                <w:sz w:val="18"/>
                <w:szCs w:val="18"/>
                <w:lang w:eastAsia="pt-BR"/>
              </w:rPr>
              <w:t>(Parte V do Manual de Contabilidade Aplicado ao Setor Público – MCASP)</w:t>
            </w:r>
            <w:r>
              <w:rPr>
                <w:rFonts w:ascii="Arial" w:eastAsia="Times New Roman" w:hAnsi="Arial" w:cs="Arial"/>
                <w:sz w:val="18"/>
                <w:szCs w:val="18"/>
                <w:lang w:eastAsia="pt-BR"/>
              </w:rPr>
              <w:t xml:space="preserve">, </w:t>
            </w:r>
            <w:r w:rsidRPr="00A5797A">
              <w:rPr>
                <w:rFonts w:ascii="Arial" w:eastAsia="Times New Roman" w:hAnsi="Arial" w:cs="Arial"/>
                <w:sz w:val="18"/>
                <w:szCs w:val="18"/>
                <w:lang w:eastAsia="pt-BR"/>
              </w:rPr>
              <w:t>acompanhada de notas explicativas e outros quadros elucidativos que se fizerem necessários</w:t>
            </w:r>
            <w:r w:rsidRPr="00A5490A">
              <w:rPr>
                <w:rFonts w:ascii="Arial" w:eastAsia="Times New Roman" w:hAnsi="Arial" w:cs="Arial"/>
                <w:sz w:val="18"/>
                <w:szCs w:val="18"/>
                <w:lang w:eastAsia="pt-BR"/>
              </w:rPr>
              <w:t xml:space="preserve"> (Resolução CFC nº 1.1</w:t>
            </w:r>
            <w:r>
              <w:rPr>
                <w:rFonts w:ascii="Arial" w:eastAsia="Times New Roman" w:hAnsi="Arial" w:cs="Arial"/>
                <w:sz w:val="18"/>
                <w:szCs w:val="18"/>
                <w:lang w:eastAsia="pt-BR"/>
              </w:rPr>
              <w:t>33</w:t>
            </w:r>
            <w:r w:rsidRPr="00A5490A">
              <w:rPr>
                <w:rFonts w:ascii="Arial" w:eastAsia="Times New Roman" w:hAnsi="Arial" w:cs="Arial"/>
                <w:sz w:val="18"/>
                <w:szCs w:val="18"/>
                <w:lang w:eastAsia="pt-BR"/>
              </w:rPr>
              <w:t>/2008 - NBC T 16</w:t>
            </w:r>
            <w:r>
              <w:rPr>
                <w:rFonts w:ascii="Arial" w:eastAsia="Times New Roman" w:hAnsi="Arial" w:cs="Arial"/>
                <w:sz w:val="18"/>
                <w:szCs w:val="18"/>
                <w:lang w:eastAsia="pt-BR"/>
              </w:rPr>
              <w:t>.6</w:t>
            </w:r>
            <w:r w:rsidRPr="00A5490A">
              <w:rPr>
                <w:rFonts w:ascii="Arial" w:eastAsia="Times New Roman" w:hAnsi="Arial" w:cs="Arial"/>
                <w:sz w:val="18"/>
                <w:szCs w:val="18"/>
                <w:lang w:eastAsia="pt-BR"/>
              </w:rPr>
              <w:t xml:space="preserve"> c/c Portaria STN nº 7</w:t>
            </w:r>
            <w:r>
              <w:rPr>
                <w:rFonts w:ascii="Arial" w:eastAsia="Times New Roman" w:hAnsi="Arial" w:cs="Arial"/>
                <w:sz w:val="18"/>
                <w:szCs w:val="18"/>
                <w:lang w:eastAsia="pt-BR"/>
              </w:rPr>
              <w:t>00</w:t>
            </w:r>
            <w:r w:rsidRPr="00A5490A">
              <w:rPr>
                <w:rFonts w:ascii="Arial" w:eastAsia="Times New Roman" w:hAnsi="Arial" w:cs="Arial"/>
                <w:sz w:val="18"/>
                <w:szCs w:val="18"/>
                <w:lang w:eastAsia="pt-BR"/>
              </w:rPr>
              <w:t>/201</w:t>
            </w:r>
            <w:r>
              <w:rPr>
                <w:rFonts w:ascii="Arial" w:eastAsia="Times New Roman" w:hAnsi="Arial" w:cs="Arial"/>
                <w:sz w:val="18"/>
                <w:szCs w:val="18"/>
                <w:lang w:eastAsia="pt-BR"/>
              </w:rPr>
              <w:t>4</w:t>
            </w:r>
            <w:r w:rsidRPr="00A5490A">
              <w:rPr>
                <w:rFonts w:ascii="Arial" w:eastAsia="Times New Roman" w:hAnsi="Arial" w:cs="Arial"/>
                <w:sz w:val="18"/>
                <w:szCs w:val="18"/>
                <w:lang w:eastAsia="pt-BR"/>
              </w:rPr>
              <w:t>)</w:t>
            </w:r>
          </w:p>
        </w:tc>
        <w:tc>
          <w:tcPr>
            <w:tcW w:w="992" w:type="dxa"/>
            <w:shd w:val="clear" w:color="auto" w:fill="auto"/>
            <w:vAlign w:val="center"/>
          </w:tcPr>
          <w:p w14:paraId="0F654FF2" w14:textId="77777777" w:rsidR="00CB7C58" w:rsidRPr="00A5490A" w:rsidRDefault="00532985" w:rsidP="00075C4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CB7C58" w:rsidRPr="00242BA2" w14:paraId="22EEDF6C" w14:textId="77777777" w:rsidTr="00C074EC">
        <w:trPr>
          <w:trHeight w:val="907"/>
        </w:trPr>
        <w:tc>
          <w:tcPr>
            <w:tcW w:w="1271" w:type="dxa"/>
            <w:vAlign w:val="center"/>
          </w:tcPr>
          <w:p w14:paraId="13FA69AA" w14:textId="77777777" w:rsidR="00CB7C58" w:rsidRPr="0080354F" w:rsidRDefault="00CB7C58" w:rsidP="00075C4D">
            <w:pPr>
              <w:spacing w:after="0" w:line="240" w:lineRule="auto"/>
              <w:jc w:val="center"/>
              <w:rPr>
                <w:rFonts w:ascii="Arial" w:eastAsia="Times New Roman" w:hAnsi="Arial" w:cs="Arial"/>
                <w:sz w:val="18"/>
                <w:szCs w:val="18"/>
                <w:lang w:eastAsia="pt-BR"/>
              </w:rPr>
            </w:pPr>
            <w:r w:rsidRPr="0080354F">
              <w:rPr>
                <w:rFonts w:ascii="Arial" w:eastAsia="Times New Roman" w:hAnsi="Arial" w:cs="Arial"/>
                <w:sz w:val="18"/>
                <w:szCs w:val="18"/>
                <w:lang w:eastAsia="pt-BR"/>
              </w:rPr>
              <w:t>DEMPLI</w:t>
            </w:r>
          </w:p>
        </w:tc>
        <w:tc>
          <w:tcPr>
            <w:tcW w:w="6917" w:type="dxa"/>
            <w:shd w:val="clear" w:color="auto" w:fill="auto"/>
            <w:vAlign w:val="center"/>
          </w:tcPr>
          <w:p w14:paraId="08B46E09" w14:textId="77777777" w:rsidR="00CB7C58" w:rsidRPr="0080354F" w:rsidRDefault="00CB7C58" w:rsidP="00AA631B">
            <w:pPr>
              <w:spacing w:before="120" w:after="120" w:line="240" w:lineRule="auto"/>
              <w:jc w:val="both"/>
              <w:rPr>
                <w:rFonts w:ascii="Arial" w:eastAsia="Times New Roman" w:hAnsi="Arial" w:cs="Arial"/>
                <w:sz w:val="18"/>
                <w:szCs w:val="18"/>
                <w:lang w:eastAsia="pt-BR"/>
              </w:rPr>
            </w:pPr>
            <w:r w:rsidRPr="0080354F">
              <w:rPr>
                <w:rFonts w:ascii="Arial" w:eastAsia="Times New Roman" w:hAnsi="Arial" w:cs="Arial"/>
                <w:sz w:val="18"/>
                <w:szCs w:val="18"/>
                <w:lang w:eastAsia="pt-BR"/>
              </w:rPr>
              <w:t>Demonstração das Mutações do Patrimônio Líquido – DMPL</w:t>
            </w:r>
            <w:r>
              <w:rPr>
                <w:rFonts w:ascii="Arial" w:eastAsia="Times New Roman" w:hAnsi="Arial" w:cs="Arial"/>
                <w:sz w:val="18"/>
                <w:szCs w:val="18"/>
                <w:lang w:eastAsia="pt-BR"/>
              </w:rPr>
              <w:t xml:space="preserve"> consolidada</w:t>
            </w:r>
            <w:r w:rsidRPr="0080354F">
              <w:rPr>
                <w:rFonts w:ascii="Arial" w:eastAsia="Times New Roman" w:hAnsi="Arial" w:cs="Arial"/>
                <w:sz w:val="18"/>
                <w:szCs w:val="18"/>
                <w:lang w:eastAsia="pt-BR"/>
              </w:rPr>
              <w:t xml:space="preserve"> (Parte V do Manual de Contabilidade Aplicado ao Setor Público – MCASP)</w:t>
            </w:r>
            <w:r>
              <w:rPr>
                <w:rFonts w:ascii="Arial" w:eastAsia="Times New Roman" w:hAnsi="Arial" w:cs="Arial"/>
                <w:sz w:val="18"/>
                <w:szCs w:val="18"/>
                <w:lang w:eastAsia="pt-BR"/>
              </w:rPr>
              <w:t xml:space="preserve">, </w:t>
            </w:r>
            <w:r w:rsidRPr="00A5797A">
              <w:rPr>
                <w:rFonts w:ascii="Arial" w:eastAsia="Times New Roman" w:hAnsi="Arial" w:cs="Arial"/>
                <w:sz w:val="18"/>
                <w:szCs w:val="18"/>
                <w:lang w:eastAsia="pt-BR"/>
              </w:rPr>
              <w:t xml:space="preserve">acompanhada de </w:t>
            </w:r>
            <w:r w:rsidRPr="00A5797A">
              <w:rPr>
                <w:rFonts w:ascii="Arial" w:eastAsia="Times New Roman" w:hAnsi="Arial" w:cs="Arial"/>
                <w:sz w:val="18"/>
                <w:szCs w:val="18"/>
                <w:lang w:eastAsia="pt-BR"/>
              </w:rPr>
              <w:lastRenderedPageBreak/>
              <w:t>notas explicativas e outros quadros elucidativos que se fizerem necessários</w:t>
            </w:r>
            <w:r w:rsidRPr="0080354F">
              <w:rPr>
                <w:rFonts w:ascii="Arial" w:eastAsia="Times New Roman" w:hAnsi="Arial" w:cs="Arial"/>
                <w:sz w:val="18"/>
                <w:szCs w:val="18"/>
                <w:lang w:eastAsia="pt-BR"/>
              </w:rPr>
              <w:t xml:space="preserve"> </w:t>
            </w:r>
            <w:r w:rsidRPr="00A5490A">
              <w:rPr>
                <w:rFonts w:ascii="Arial" w:eastAsia="Times New Roman" w:hAnsi="Arial" w:cs="Arial"/>
                <w:sz w:val="18"/>
                <w:szCs w:val="18"/>
                <w:lang w:eastAsia="pt-BR"/>
              </w:rPr>
              <w:t>(Resolução CFC nº 1.1</w:t>
            </w:r>
            <w:r>
              <w:rPr>
                <w:rFonts w:ascii="Arial" w:eastAsia="Times New Roman" w:hAnsi="Arial" w:cs="Arial"/>
                <w:sz w:val="18"/>
                <w:szCs w:val="18"/>
                <w:lang w:eastAsia="pt-BR"/>
              </w:rPr>
              <w:t>33</w:t>
            </w:r>
            <w:r w:rsidRPr="00A5490A">
              <w:rPr>
                <w:rFonts w:ascii="Arial" w:eastAsia="Times New Roman" w:hAnsi="Arial" w:cs="Arial"/>
                <w:sz w:val="18"/>
                <w:szCs w:val="18"/>
                <w:lang w:eastAsia="pt-BR"/>
              </w:rPr>
              <w:t>/2008 - NBC T 16</w:t>
            </w:r>
            <w:r>
              <w:rPr>
                <w:rFonts w:ascii="Arial" w:eastAsia="Times New Roman" w:hAnsi="Arial" w:cs="Arial"/>
                <w:sz w:val="18"/>
                <w:szCs w:val="18"/>
                <w:lang w:eastAsia="pt-BR"/>
              </w:rPr>
              <w:t>.6</w:t>
            </w:r>
            <w:r w:rsidRPr="00A5490A">
              <w:rPr>
                <w:rFonts w:ascii="Arial" w:eastAsia="Times New Roman" w:hAnsi="Arial" w:cs="Arial"/>
                <w:sz w:val="18"/>
                <w:szCs w:val="18"/>
                <w:lang w:eastAsia="pt-BR"/>
              </w:rPr>
              <w:t xml:space="preserve"> c/c Portaria STN nº 7</w:t>
            </w:r>
            <w:r>
              <w:rPr>
                <w:rFonts w:ascii="Arial" w:eastAsia="Times New Roman" w:hAnsi="Arial" w:cs="Arial"/>
                <w:sz w:val="18"/>
                <w:szCs w:val="18"/>
                <w:lang w:eastAsia="pt-BR"/>
              </w:rPr>
              <w:t>00</w:t>
            </w:r>
            <w:r w:rsidRPr="00A5490A">
              <w:rPr>
                <w:rFonts w:ascii="Arial" w:eastAsia="Times New Roman" w:hAnsi="Arial" w:cs="Arial"/>
                <w:sz w:val="18"/>
                <w:szCs w:val="18"/>
                <w:lang w:eastAsia="pt-BR"/>
              </w:rPr>
              <w:t>/201</w:t>
            </w:r>
            <w:r>
              <w:rPr>
                <w:rFonts w:ascii="Arial" w:eastAsia="Times New Roman" w:hAnsi="Arial" w:cs="Arial"/>
                <w:sz w:val="18"/>
                <w:szCs w:val="18"/>
                <w:lang w:eastAsia="pt-BR"/>
              </w:rPr>
              <w:t>4</w:t>
            </w:r>
            <w:r w:rsidRPr="00A5490A">
              <w:rPr>
                <w:rFonts w:ascii="Arial" w:eastAsia="Times New Roman" w:hAnsi="Arial" w:cs="Arial"/>
                <w:sz w:val="18"/>
                <w:szCs w:val="18"/>
                <w:lang w:eastAsia="pt-BR"/>
              </w:rPr>
              <w:t>)</w:t>
            </w:r>
          </w:p>
        </w:tc>
        <w:tc>
          <w:tcPr>
            <w:tcW w:w="992" w:type="dxa"/>
            <w:shd w:val="clear" w:color="auto" w:fill="auto"/>
            <w:vAlign w:val="center"/>
          </w:tcPr>
          <w:p w14:paraId="0CEE097E" w14:textId="77777777" w:rsidR="00CB7C58" w:rsidRPr="0080354F" w:rsidRDefault="00532985" w:rsidP="00075C4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lastRenderedPageBreak/>
              <w:t>PDF</w:t>
            </w:r>
          </w:p>
        </w:tc>
      </w:tr>
      <w:tr w:rsidR="00280D97" w:rsidRPr="00280D97" w14:paraId="707E4968" w14:textId="77777777" w:rsidTr="00C074EC">
        <w:tc>
          <w:tcPr>
            <w:tcW w:w="1271" w:type="dxa"/>
            <w:vAlign w:val="center"/>
          </w:tcPr>
          <w:p w14:paraId="40FDF200" w14:textId="77777777" w:rsidR="00280D97" w:rsidRPr="00143DC0" w:rsidRDefault="00280D97" w:rsidP="00DD49C9">
            <w:pPr>
              <w:spacing w:after="0" w:line="240" w:lineRule="auto"/>
              <w:jc w:val="center"/>
              <w:rPr>
                <w:rFonts w:ascii="Arial" w:eastAsia="Times New Roman" w:hAnsi="Arial" w:cs="Arial"/>
                <w:sz w:val="18"/>
                <w:szCs w:val="18"/>
                <w:lang w:eastAsia="pt-BR"/>
              </w:rPr>
            </w:pPr>
            <w:r w:rsidRPr="00143DC0">
              <w:rPr>
                <w:rFonts w:ascii="Arial" w:eastAsia="Times New Roman" w:hAnsi="Arial" w:cs="Arial"/>
                <w:sz w:val="18"/>
                <w:szCs w:val="18"/>
                <w:lang w:eastAsia="pt-BR"/>
              </w:rPr>
              <w:lastRenderedPageBreak/>
              <w:t>BALVERF</w:t>
            </w:r>
          </w:p>
        </w:tc>
        <w:tc>
          <w:tcPr>
            <w:tcW w:w="6917" w:type="dxa"/>
            <w:shd w:val="clear" w:color="auto" w:fill="auto"/>
            <w:vAlign w:val="center"/>
          </w:tcPr>
          <w:p w14:paraId="6939B394" w14:textId="1E88B225" w:rsidR="00280D97" w:rsidRPr="00143DC0" w:rsidRDefault="00280D97" w:rsidP="009761AF">
            <w:pPr>
              <w:spacing w:before="120" w:after="120" w:line="240" w:lineRule="auto"/>
              <w:jc w:val="both"/>
              <w:rPr>
                <w:rFonts w:ascii="Arial" w:eastAsia="Times New Roman" w:hAnsi="Arial" w:cs="Arial"/>
                <w:sz w:val="18"/>
                <w:szCs w:val="18"/>
                <w:lang w:eastAsia="pt-BR"/>
              </w:rPr>
            </w:pPr>
            <w:r w:rsidRPr="00143DC0">
              <w:rPr>
                <w:rFonts w:ascii="Arial" w:eastAsia="Times New Roman" w:hAnsi="Arial" w:cs="Arial"/>
                <w:sz w:val="18"/>
                <w:szCs w:val="18"/>
                <w:lang w:eastAsia="pt-BR"/>
              </w:rPr>
              <w:t xml:space="preserve">Balancete de verificação, com saldos acumulados no exercício, detalhado até o nível de conta contábil de lançamento, abrangendo todas as contas contábeis com movimentação no exercício, segregadas por natureza da informação patrimonial, orçamentária e de controle, informando o saldo anterior, o total a débito, o total a crédito e o saldo final. Estrutura e layout constantes do item </w:t>
            </w:r>
            <w:r w:rsidR="009761AF">
              <w:rPr>
                <w:rFonts w:ascii="Arial" w:eastAsia="Times New Roman" w:hAnsi="Arial" w:cs="Arial"/>
                <w:sz w:val="18"/>
                <w:szCs w:val="18"/>
                <w:lang w:eastAsia="pt-BR"/>
              </w:rPr>
              <w:t>3.1</w:t>
            </w:r>
            <w:r w:rsidRPr="00143DC0">
              <w:rPr>
                <w:rFonts w:ascii="Arial" w:eastAsia="Times New Roman" w:hAnsi="Arial" w:cs="Arial"/>
                <w:sz w:val="18"/>
                <w:szCs w:val="18"/>
                <w:lang w:eastAsia="pt-BR"/>
              </w:rPr>
              <w:t xml:space="preserve"> deste Anexo</w:t>
            </w:r>
          </w:p>
        </w:tc>
        <w:tc>
          <w:tcPr>
            <w:tcW w:w="992" w:type="dxa"/>
            <w:shd w:val="clear" w:color="auto" w:fill="auto"/>
            <w:vAlign w:val="center"/>
          </w:tcPr>
          <w:p w14:paraId="65AB1CD7" w14:textId="77777777" w:rsidR="00280D97" w:rsidRPr="00143DC0" w:rsidRDefault="00280D97" w:rsidP="00DD49C9">
            <w:pPr>
              <w:spacing w:after="0" w:line="240" w:lineRule="auto"/>
              <w:jc w:val="center"/>
              <w:rPr>
                <w:rFonts w:ascii="Arial" w:eastAsia="Times New Roman" w:hAnsi="Arial" w:cs="Arial"/>
                <w:sz w:val="14"/>
                <w:szCs w:val="14"/>
                <w:lang w:eastAsia="pt-BR"/>
              </w:rPr>
            </w:pPr>
            <w:r w:rsidRPr="00143DC0">
              <w:rPr>
                <w:rFonts w:ascii="Arial" w:eastAsia="Times New Roman" w:hAnsi="Arial" w:cs="Arial"/>
                <w:sz w:val="14"/>
                <w:szCs w:val="14"/>
                <w:lang w:eastAsia="pt-BR"/>
              </w:rPr>
              <w:t>XML</w:t>
            </w:r>
          </w:p>
        </w:tc>
      </w:tr>
      <w:tr w:rsidR="00280D97" w:rsidRPr="00280D97" w14:paraId="0DF8609E" w14:textId="77777777" w:rsidTr="00C074EC">
        <w:tc>
          <w:tcPr>
            <w:tcW w:w="1271" w:type="dxa"/>
            <w:vAlign w:val="center"/>
          </w:tcPr>
          <w:p w14:paraId="37D30ACD" w14:textId="77777777" w:rsidR="00280D97" w:rsidRPr="00143DC0" w:rsidRDefault="00280D97" w:rsidP="00DD49C9">
            <w:pPr>
              <w:spacing w:after="0" w:line="240" w:lineRule="auto"/>
              <w:jc w:val="center"/>
              <w:rPr>
                <w:rFonts w:ascii="Arial" w:eastAsia="Times New Roman" w:hAnsi="Arial" w:cs="Arial"/>
                <w:sz w:val="18"/>
                <w:szCs w:val="18"/>
                <w:lang w:eastAsia="pt-BR"/>
              </w:rPr>
            </w:pPr>
            <w:r w:rsidRPr="00143DC0">
              <w:rPr>
                <w:rFonts w:ascii="Arial" w:eastAsia="Times New Roman" w:hAnsi="Arial" w:cs="Arial"/>
                <w:sz w:val="18"/>
                <w:szCs w:val="18"/>
                <w:lang w:eastAsia="pt-BR"/>
              </w:rPr>
              <w:t>BALEXOD</w:t>
            </w:r>
          </w:p>
        </w:tc>
        <w:tc>
          <w:tcPr>
            <w:tcW w:w="6917" w:type="dxa"/>
            <w:shd w:val="clear" w:color="auto" w:fill="auto"/>
            <w:vAlign w:val="center"/>
          </w:tcPr>
          <w:p w14:paraId="3652233B" w14:textId="47DD08ED" w:rsidR="00280D97" w:rsidRPr="00143DC0" w:rsidRDefault="00280D97" w:rsidP="009761AF">
            <w:pPr>
              <w:spacing w:before="120" w:after="120" w:line="240" w:lineRule="auto"/>
              <w:jc w:val="both"/>
              <w:rPr>
                <w:rFonts w:ascii="Arial" w:eastAsia="Times New Roman" w:hAnsi="Arial" w:cs="Arial"/>
                <w:sz w:val="18"/>
                <w:szCs w:val="18"/>
                <w:lang w:eastAsia="pt-BR"/>
              </w:rPr>
            </w:pPr>
            <w:r w:rsidRPr="00143DC0">
              <w:rPr>
                <w:rFonts w:ascii="Arial" w:eastAsia="Times New Roman" w:hAnsi="Arial" w:cs="Arial"/>
                <w:sz w:val="18"/>
                <w:szCs w:val="18"/>
                <w:lang w:eastAsia="pt-BR"/>
              </w:rPr>
              <w:t xml:space="preserve">Balancete da execução orçamentária da despesa, acumulado até o mês de dezembro, demonstrando a fixação orçamentária da despesa, a movimentação dos créditos adicionais, os valores empenhados, liquidados e pagos, e a fonte de recursos. Estrutura e layout constantes do item </w:t>
            </w:r>
            <w:r w:rsidR="009761AF">
              <w:rPr>
                <w:rFonts w:ascii="Arial" w:eastAsia="Times New Roman" w:hAnsi="Arial" w:cs="Arial"/>
                <w:sz w:val="18"/>
                <w:szCs w:val="18"/>
                <w:lang w:eastAsia="pt-BR"/>
              </w:rPr>
              <w:t>3.1</w:t>
            </w:r>
            <w:r w:rsidRPr="00143DC0">
              <w:rPr>
                <w:rFonts w:ascii="Arial" w:eastAsia="Times New Roman" w:hAnsi="Arial" w:cs="Arial"/>
                <w:sz w:val="18"/>
                <w:szCs w:val="18"/>
                <w:lang w:eastAsia="pt-BR"/>
              </w:rPr>
              <w:t xml:space="preserve"> deste Anexo</w:t>
            </w:r>
          </w:p>
        </w:tc>
        <w:tc>
          <w:tcPr>
            <w:tcW w:w="992" w:type="dxa"/>
            <w:shd w:val="clear" w:color="auto" w:fill="auto"/>
            <w:vAlign w:val="center"/>
          </w:tcPr>
          <w:p w14:paraId="081E5039" w14:textId="77777777" w:rsidR="00280D97" w:rsidRPr="00143DC0" w:rsidRDefault="00280D97" w:rsidP="00DD49C9">
            <w:pPr>
              <w:spacing w:after="0" w:line="240" w:lineRule="auto"/>
              <w:jc w:val="center"/>
              <w:rPr>
                <w:rFonts w:ascii="Arial" w:eastAsia="Times New Roman" w:hAnsi="Arial" w:cs="Arial"/>
                <w:i/>
                <w:sz w:val="14"/>
                <w:szCs w:val="14"/>
                <w:lang w:eastAsia="pt-BR"/>
              </w:rPr>
            </w:pPr>
            <w:r w:rsidRPr="00143DC0">
              <w:rPr>
                <w:rFonts w:ascii="Arial" w:eastAsia="Times New Roman" w:hAnsi="Arial" w:cs="Arial"/>
                <w:sz w:val="14"/>
                <w:szCs w:val="14"/>
                <w:lang w:eastAsia="pt-BR"/>
              </w:rPr>
              <w:t>XML</w:t>
            </w:r>
          </w:p>
        </w:tc>
      </w:tr>
      <w:tr w:rsidR="00280D97" w:rsidRPr="00280D97" w14:paraId="137000D8" w14:textId="77777777" w:rsidTr="00C074EC">
        <w:tc>
          <w:tcPr>
            <w:tcW w:w="1271" w:type="dxa"/>
            <w:vAlign w:val="center"/>
          </w:tcPr>
          <w:p w14:paraId="0C9F52EF" w14:textId="77777777" w:rsidR="00280D97" w:rsidRPr="00143DC0" w:rsidRDefault="00280D97" w:rsidP="00DD49C9">
            <w:pPr>
              <w:spacing w:after="0" w:line="240" w:lineRule="auto"/>
              <w:jc w:val="center"/>
              <w:rPr>
                <w:rFonts w:ascii="Arial" w:eastAsia="Times New Roman" w:hAnsi="Arial" w:cs="Arial"/>
                <w:sz w:val="18"/>
                <w:szCs w:val="18"/>
                <w:lang w:eastAsia="pt-BR"/>
              </w:rPr>
            </w:pPr>
            <w:r w:rsidRPr="00143DC0">
              <w:rPr>
                <w:rFonts w:ascii="Arial" w:eastAsia="Times New Roman" w:hAnsi="Arial" w:cs="Arial"/>
                <w:sz w:val="18"/>
                <w:szCs w:val="18"/>
                <w:lang w:eastAsia="pt-BR"/>
              </w:rPr>
              <w:t>BALEXOR</w:t>
            </w:r>
          </w:p>
        </w:tc>
        <w:tc>
          <w:tcPr>
            <w:tcW w:w="6917" w:type="dxa"/>
            <w:shd w:val="clear" w:color="auto" w:fill="auto"/>
            <w:vAlign w:val="center"/>
          </w:tcPr>
          <w:p w14:paraId="573D63E1" w14:textId="7D62F36B" w:rsidR="00280D97" w:rsidRPr="00143DC0" w:rsidRDefault="00280D97" w:rsidP="009761AF">
            <w:pPr>
              <w:spacing w:before="120" w:after="120" w:line="240" w:lineRule="auto"/>
              <w:jc w:val="both"/>
              <w:rPr>
                <w:rFonts w:ascii="Arial" w:eastAsia="Times New Roman" w:hAnsi="Arial" w:cs="Arial"/>
                <w:sz w:val="18"/>
                <w:szCs w:val="18"/>
                <w:lang w:eastAsia="pt-BR"/>
              </w:rPr>
            </w:pPr>
            <w:r w:rsidRPr="00143DC0">
              <w:rPr>
                <w:rFonts w:ascii="Arial" w:eastAsia="Times New Roman" w:hAnsi="Arial" w:cs="Arial"/>
                <w:sz w:val="18"/>
                <w:szCs w:val="18"/>
                <w:lang w:eastAsia="pt-BR"/>
              </w:rPr>
              <w:t xml:space="preserve">Balancete da execução orçamentária da receita, acumulado até o mês de dezembro, demonstrando a previsão inicial, a previsão atualizada, a arrecadação orçamentária e a fonte de recursos. Estrutura e layout constantes do item </w:t>
            </w:r>
            <w:r w:rsidR="009761AF">
              <w:rPr>
                <w:rFonts w:ascii="Arial" w:eastAsia="Times New Roman" w:hAnsi="Arial" w:cs="Arial"/>
                <w:sz w:val="18"/>
                <w:szCs w:val="18"/>
                <w:lang w:eastAsia="pt-BR"/>
              </w:rPr>
              <w:t>3.1</w:t>
            </w:r>
            <w:r w:rsidRPr="00143DC0">
              <w:rPr>
                <w:rFonts w:ascii="Arial" w:eastAsia="Times New Roman" w:hAnsi="Arial" w:cs="Arial"/>
                <w:sz w:val="18"/>
                <w:szCs w:val="18"/>
                <w:lang w:eastAsia="pt-BR"/>
              </w:rPr>
              <w:t xml:space="preserve"> deste Anexo</w:t>
            </w:r>
          </w:p>
        </w:tc>
        <w:tc>
          <w:tcPr>
            <w:tcW w:w="992" w:type="dxa"/>
            <w:shd w:val="clear" w:color="auto" w:fill="auto"/>
            <w:vAlign w:val="center"/>
          </w:tcPr>
          <w:p w14:paraId="692D8C65" w14:textId="77777777" w:rsidR="00280D97" w:rsidRPr="00143DC0" w:rsidRDefault="00280D97" w:rsidP="00DD49C9">
            <w:pPr>
              <w:spacing w:after="0" w:line="240" w:lineRule="auto"/>
              <w:jc w:val="center"/>
              <w:rPr>
                <w:rFonts w:ascii="Arial" w:eastAsia="Times New Roman" w:hAnsi="Arial" w:cs="Arial"/>
                <w:i/>
                <w:sz w:val="14"/>
                <w:szCs w:val="14"/>
                <w:lang w:eastAsia="pt-BR"/>
              </w:rPr>
            </w:pPr>
            <w:r w:rsidRPr="00143DC0">
              <w:rPr>
                <w:rFonts w:ascii="Arial" w:eastAsia="Times New Roman" w:hAnsi="Arial" w:cs="Arial"/>
                <w:sz w:val="14"/>
                <w:szCs w:val="14"/>
                <w:lang w:eastAsia="pt-BR"/>
              </w:rPr>
              <w:t>XML</w:t>
            </w:r>
          </w:p>
        </w:tc>
      </w:tr>
      <w:tr w:rsidR="00CB7C58" w:rsidRPr="00A5490A" w14:paraId="56A5B3A6" w14:textId="77777777" w:rsidTr="00C074EC">
        <w:tc>
          <w:tcPr>
            <w:tcW w:w="1271" w:type="dxa"/>
            <w:vAlign w:val="center"/>
          </w:tcPr>
          <w:p w14:paraId="4ADD2580" w14:textId="77777777" w:rsidR="00CB7C58" w:rsidRPr="00383C63" w:rsidRDefault="00CB7C58" w:rsidP="00075C4D">
            <w:pPr>
              <w:spacing w:after="0" w:line="240" w:lineRule="auto"/>
              <w:jc w:val="center"/>
              <w:rPr>
                <w:rFonts w:ascii="Arial" w:eastAsia="Times New Roman" w:hAnsi="Arial" w:cs="Arial"/>
                <w:sz w:val="18"/>
                <w:szCs w:val="18"/>
                <w:lang w:eastAsia="pt-BR"/>
              </w:rPr>
            </w:pPr>
            <w:r w:rsidRPr="00383C63">
              <w:rPr>
                <w:rFonts w:ascii="Arial" w:eastAsia="Times New Roman" w:hAnsi="Arial" w:cs="Arial"/>
                <w:sz w:val="18"/>
                <w:szCs w:val="18"/>
                <w:lang w:eastAsia="pt-BR"/>
              </w:rPr>
              <w:t>INVMOVS</w:t>
            </w:r>
          </w:p>
        </w:tc>
        <w:tc>
          <w:tcPr>
            <w:tcW w:w="6917" w:type="dxa"/>
            <w:shd w:val="clear" w:color="auto" w:fill="auto"/>
            <w:vAlign w:val="center"/>
          </w:tcPr>
          <w:p w14:paraId="20F480D6" w14:textId="77777777" w:rsidR="00CB7C58" w:rsidRPr="00383C63" w:rsidRDefault="00CB7C58" w:rsidP="00075C4D">
            <w:pPr>
              <w:spacing w:before="120" w:after="120" w:line="240" w:lineRule="auto"/>
              <w:jc w:val="both"/>
              <w:rPr>
                <w:rFonts w:ascii="Arial" w:eastAsia="Times New Roman" w:hAnsi="Arial" w:cs="Arial"/>
                <w:sz w:val="18"/>
                <w:szCs w:val="18"/>
                <w:lang w:eastAsia="pt-BR"/>
              </w:rPr>
            </w:pPr>
            <w:r w:rsidRPr="00383C63">
              <w:rPr>
                <w:rFonts w:ascii="Arial" w:eastAsia="Times New Roman" w:hAnsi="Arial" w:cs="Arial"/>
                <w:sz w:val="18"/>
                <w:szCs w:val="18"/>
                <w:lang w:eastAsia="pt-BR"/>
              </w:rPr>
              <w:t xml:space="preserve">Inventário anual dos bens móveis, contendo no mínimo as seguintes informações: </w:t>
            </w:r>
          </w:p>
          <w:p w14:paraId="5EFF4358" w14:textId="77777777" w:rsidR="00CB7C58" w:rsidRPr="00383C63" w:rsidRDefault="00CB7C58" w:rsidP="00075C4D">
            <w:pPr>
              <w:numPr>
                <w:ilvl w:val="0"/>
                <w:numId w:val="1"/>
              </w:numPr>
              <w:spacing w:before="120" w:after="120" w:line="240" w:lineRule="auto"/>
              <w:jc w:val="both"/>
              <w:rPr>
                <w:rFonts w:ascii="Arial" w:eastAsia="Times New Roman" w:hAnsi="Arial" w:cs="Arial"/>
                <w:sz w:val="18"/>
                <w:szCs w:val="18"/>
                <w:lang w:eastAsia="pt-BR"/>
              </w:rPr>
            </w:pPr>
            <w:r w:rsidRPr="00383C63">
              <w:rPr>
                <w:rFonts w:ascii="Arial" w:eastAsia="Times New Roman" w:hAnsi="Arial" w:cs="Arial"/>
                <w:sz w:val="18"/>
                <w:szCs w:val="18"/>
                <w:lang w:eastAsia="pt-BR"/>
              </w:rPr>
              <w:t xml:space="preserve">Número de patrimônio </w:t>
            </w:r>
          </w:p>
          <w:p w14:paraId="01C76A41" w14:textId="77777777" w:rsidR="00CB7C58" w:rsidRPr="00383C63" w:rsidRDefault="00CB7C58" w:rsidP="00075C4D">
            <w:pPr>
              <w:numPr>
                <w:ilvl w:val="0"/>
                <w:numId w:val="1"/>
              </w:numPr>
              <w:spacing w:before="120" w:after="120" w:line="240" w:lineRule="auto"/>
              <w:jc w:val="both"/>
              <w:rPr>
                <w:rFonts w:ascii="Arial" w:eastAsia="Times New Roman" w:hAnsi="Arial" w:cs="Arial"/>
                <w:sz w:val="18"/>
                <w:szCs w:val="18"/>
                <w:lang w:eastAsia="pt-BR"/>
              </w:rPr>
            </w:pPr>
            <w:r w:rsidRPr="00383C63">
              <w:rPr>
                <w:rFonts w:ascii="Arial" w:eastAsia="Times New Roman" w:hAnsi="Arial" w:cs="Arial"/>
                <w:sz w:val="18"/>
                <w:szCs w:val="18"/>
                <w:lang w:eastAsia="pt-BR"/>
              </w:rPr>
              <w:t xml:space="preserve">Descrição do bem </w:t>
            </w:r>
          </w:p>
          <w:p w14:paraId="5A43E693" w14:textId="77777777" w:rsidR="00CB7C58" w:rsidRPr="00383C63" w:rsidRDefault="00CB7C58" w:rsidP="00075C4D">
            <w:pPr>
              <w:numPr>
                <w:ilvl w:val="0"/>
                <w:numId w:val="1"/>
              </w:numPr>
              <w:spacing w:before="120" w:after="120" w:line="240" w:lineRule="auto"/>
              <w:jc w:val="both"/>
              <w:rPr>
                <w:rFonts w:ascii="Arial" w:eastAsia="Times New Roman" w:hAnsi="Arial" w:cs="Arial"/>
                <w:sz w:val="18"/>
                <w:szCs w:val="18"/>
                <w:lang w:eastAsia="pt-BR"/>
              </w:rPr>
            </w:pPr>
            <w:r w:rsidRPr="00383C63">
              <w:rPr>
                <w:rFonts w:ascii="Arial" w:eastAsia="Times New Roman" w:hAnsi="Arial" w:cs="Arial"/>
                <w:sz w:val="18"/>
                <w:szCs w:val="18"/>
                <w:lang w:eastAsia="pt-BR"/>
              </w:rPr>
              <w:t xml:space="preserve">Data de aquisição/incorporação </w:t>
            </w:r>
          </w:p>
          <w:p w14:paraId="79F180A0" w14:textId="77777777" w:rsidR="00CB7C58" w:rsidRPr="00383C63" w:rsidRDefault="00CB7C58" w:rsidP="00075C4D">
            <w:pPr>
              <w:numPr>
                <w:ilvl w:val="0"/>
                <w:numId w:val="1"/>
              </w:numPr>
              <w:spacing w:before="120" w:after="120" w:line="240" w:lineRule="auto"/>
              <w:jc w:val="both"/>
              <w:rPr>
                <w:rFonts w:ascii="Arial" w:eastAsia="Times New Roman" w:hAnsi="Arial" w:cs="Arial"/>
                <w:sz w:val="18"/>
                <w:szCs w:val="18"/>
                <w:lang w:eastAsia="pt-BR"/>
              </w:rPr>
            </w:pPr>
            <w:r w:rsidRPr="00383C63">
              <w:rPr>
                <w:rFonts w:ascii="Arial" w:eastAsia="Times New Roman" w:hAnsi="Arial" w:cs="Arial"/>
                <w:sz w:val="18"/>
                <w:szCs w:val="18"/>
                <w:lang w:eastAsia="pt-BR"/>
              </w:rPr>
              <w:t xml:space="preserve">Localização </w:t>
            </w:r>
          </w:p>
          <w:p w14:paraId="40E06832" w14:textId="77777777" w:rsidR="00CB7C58" w:rsidRPr="00383C63" w:rsidRDefault="00CB7C58" w:rsidP="00075C4D">
            <w:pPr>
              <w:numPr>
                <w:ilvl w:val="0"/>
                <w:numId w:val="1"/>
              </w:numPr>
              <w:spacing w:before="120" w:after="120" w:line="240" w:lineRule="auto"/>
              <w:jc w:val="both"/>
              <w:rPr>
                <w:rFonts w:ascii="Arial" w:eastAsia="Times New Roman" w:hAnsi="Arial" w:cs="Arial"/>
                <w:sz w:val="18"/>
                <w:szCs w:val="18"/>
                <w:lang w:eastAsia="pt-BR"/>
              </w:rPr>
            </w:pPr>
            <w:r w:rsidRPr="00383C63">
              <w:rPr>
                <w:rFonts w:ascii="Arial" w:eastAsia="Times New Roman" w:hAnsi="Arial" w:cs="Arial"/>
                <w:sz w:val="18"/>
                <w:szCs w:val="18"/>
                <w:lang w:eastAsia="pt-BR"/>
              </w:rPr>
              <w:t xml:space="preserve">Quantidade </w:t>
            </w:r>
          </w:p>
          <w:p w14:paraId="7C0A198E" w14:textId="77777777" w:rsidR="00CB7C58" w:rsidRPr="00383C63" w:rsidRDefault="00CB7C58" w:rsidP="00075C4D">
            <w:pPr>
              <w:numPr>
                <w:ilvl w:val="0"/>
                <w:numId w:val="1"/>
              </w:numPr>
              <w:spacing w:before="120" w:after="120" w:line="240" w:lineRule="auto"/>
              <w:jc w:val="both"/>
              <w:rPr>
                <w:rFonts w:ascii="Arial" w:eastAsia="Times New Roman" w:hAnsi="Arial" w:cs="Arial"/>
                <w:sz w:val="18"/>
                <w:szCs w:val="18"/>
                <w:lang w:eastAsia="pt-BR"/>
              </w:rPr>
            </w:pPr>
            <w:r w:rsidRPr="00383C63">
              <w:rPr>
                <w:rFonts w:ascii="Arial" w:eastAsia="Times New Roman" w:hAnsi="Arial" w:cs="Arial"/>
                <w:sz w:val="18"/>
                <w:szCs w:val="18"/>
                <w:lang w:eastAsia="pt-BR"/>
              </w:rPr>
              <w:t xml:space="preserve">Valor histórico e valor atualizado </w:t>
            </w:r>
          </w:p>
          <w:p w14:paraId="2A836329" w14:textId="77777777" w:rsidR="00CB7C58" w:rsidRPr="00383C63" w:rsidRDefault="00CB7C58" w:rsidP="00075C4D">
            <w:pPr>
              <w:pStyle w:val="Default"/>
              <w:jc w:val="both"/>
              <w:rPr>
                <w:color w:val="auto"/>
                <w:sz w:val="18"/>
                <w:szCs w:val="18"/>
              </w:rPr>
            </w:pPr>
          </w:p>
          <w:p w14:paraId="0D7FD811" w14:textId="77777777" w:rsidR="00CB7C58" w:rsidRPr="00383C63" w:rsidRDefault="00CB7C58" w:rsidP="00075C4D">
            <w:pPr>
              <w:pStyle w:val="Default"/>
              <w:jc w:val="both"/>
              <w:rPr>
                <w:rFonts w:eastAsia="Times New Roman"/>
                <w:color w:val="auto"/>
                <w:sz w:val="18"/>
                <w:szCs w:val="18"/>
                <w:lang w:eastAsia="pt-BR"/>
              </w:rPr>
            </w:pPr>
            <w:r w:rsidRPr="00383C63">
              <w:rPr>
                <w:rFonts w:eastAsia="Times New Roman"/>
                <w:color w:val="auto"/>
                <w:sz w:val="18"/>
                <w:szCs w:val="18"/>
                <w:lang w:eastAsia="pt-BR"/>
              </w:rPr>
              <w:t xml:space="preserve">Obs.1: as colunas de quantidades, valor histórico e valor atualizado devem ser totalizadas. </w:t>
            </w:r>
          </w:p>
          <w:p w14:paraId="7C90B22E" w14:textId="77777777" w:rsidR="00CB7C58" w:rsidRPr="00383C63" w:rsidRDefault="00CB7C58" w:rsidP="00075C4D">
            <w:pPr>
              <w:pStyle w:val="Default"/>
              <w:jc w:val="both"/>
              <w:rPr>
                <w:rFonts w:eastAsia="Times New Roman"/>
                <w:color w:val="auto"/>
                <w:sz w:val="18"/>
                <w:szCs w:val="18"/>
                <w:lang w:eastAsia="pt-BR"/>
              </w:rPr>
            </w:pPr>
            <w:r w:rsidRPr="00383C63">
              <w:rPr>
                <w:rFonts w:eastAsia="Times New Roman"/>
                <w:color w:val="auto"/>
                <w:sz w:val="18"/>
                <w:szCs w:val="18"/>
                <w:lang w:eastAsia="pt-BR"/>
              </w:rPr>
              <w:t xml:space="preserve">Obs.2: </w:t>
            </w:r>
            <w:r w:rsidR="00EC1375" w:rsidRPr="00B6188E">
              <w:rPr>
                <w:rFonts w:eastAsia="Times New Roman"/>
                <w:color w:val="auto"/>
                <w:sz w:val="18"/>
                <w:szCs w:val="18"/>
                <w:lang w:eastAsia="pt-BR"/>
              </w:rPr>
              <w:t xml:space="preserve">durante o período de mensuração, reconhecimento e implementação dos procedimentos contábeis patrimoniais, cujos prazos foram estabelecidos pela </w:t>
            </w:r>
            <w:r w:rsidR="00532985">
              <w:rPr>
                <w:rFonts w:eastAsia="Times New Roman"/>
                <w:color w:val="auto"/>
                <w:sz w:val="18"/>
                <w:szCs w:val="18"/>
                <w:lang w:eastAsia="pt-BR"/>
              </w:rPr>
              <w:t>IN 35/2016</w:t>
            </w:r>
            <w:r w:rsidR="00EC1375" w:rsidRPr="00B6188E">
              <w:rPr>
                <w:rFonts w:eastAsia="Times New Roman"/>
                <w:color w:val="auto"/>
                <w:sz w:val="18"/>
                <w:szCs w:val="18"/>
                <w:lang w:eastAsia="pt-BR"/>
              </w:rPr>
              <w:t>, poderá ser informado para o valor atualizado dos bens o mesmo valor histórico.</w:t>
            </w:r>
          </w:p>
          <w:p w14:paraId="56107CC8" w14:textId="77777777" w:rsidR="00CB7C58" w:rsidRPr="00383C63" w:rsidRDefault="00CB7C58" w:rsidP="00075C4D">
            <w:pPr>
              <w:pStyle w:val="Default"/>
              <w:jc w:val="both"/>
              <w:rPr>
                <w:rFonts w:eastAsia="Times New Roman"/>
                <w:color w:val="auto"/>
                <w:sz w:val="18"/>
                <w:szCs w:val="18"/>
                <w:lang w:eastAsia="pt-BR"/>
              </w:rPr>
            </w:pPr>
            <w:r w:rsidRPr="00383C63">
              <w:rPr>
                <w:rFonts w:eastAsia="Times New Roman"/>
                <w:color w:val="auto"/>
                <w:sz w:val="18"/>
                <w:szCs w:val="18"/>
                <w:lang w:eastAsia="pt-BR"/>
              </w:rPr>
              <w:t xml:space="preserve">Obs.3: os critérios utilizados para definição de valor histórico, valor atualizado e de mensuração do inventário, devem ser objeto de notas explicativas. </w:t>
            </w:r>
          </w:p>
          <w:p w14:paraId="518FD80D" w14:textId="77777777" w:rsidR="00CB7C58" w:rsidRPr="00383C63" w:rsidRDefault="00CB7C58" w:rsidP="00075C4D">
            <w:pPr>
              <w:pStyle w:val="Default"/>
              <w:jc w:val="both"/>
              <w:rPr>
                <w:rFonts w:eastAsia="Times New Roman"/>
                <w:color w:val="auto"/>
                <w:sz w:val="18"/>
                <w:szCs w:val="18"/>
                <w:lang w:eastAsia="pt-BR"/>
              </w:rPr>
            </w:pPr>
            <w:r w:rsidRPr="00383C63">
              <w:rPr>
                <w:rFonts w:eastAsia="Times New Roman"/>
                <w:color w:val="auto"/>
                <w:sz w:val="18"/>
                <w:szCs w:val="18"/>
                <w:lang w:eastAsia="pt-BR"/>
              </w:rPr>
              <w:t xml:space="preserve">Obs.4: aplicam-se à presente norma, os conceitos adotados pela Secretaria do Tesouro Nacional em seu Manual de Contabilidade Aplicada ao Setor Público vigente. </w:t>
            </w:r>
          </w:p>
        </w:tc>
        <w:tc>
          <w:tcPr>
            <w:tcW w:w="992" w:type="dxa"/>
            <w:shd w:val="clear" w:color="auto" w:fill="auto"/>
            <w:vAlign w:val="center"/>
          </w:tcPr>
          <w:p w14:paraId="16604AEF" w14:textId="77777777" w:rsidR="00CB7C58" w:rsidRPr="00383C63" w:rsidRDefault="00532985" w:rsidP="00075C4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p w14:paraId="07276EFF" w14:textId="77777777" w:rsidR="00CB7C58" w:rsidRPr="00383C63" w:rsidRDefault="00CB7C58" w:rsidP="00075C4D">
            <w:pPr>
              <w:spacing w:after="0" w:line="240" w:lineRule="auto"/>
              <w:jc w:val="center"/>
              <w:rPr>
                <w:rFonts w:ascii="Arial" w:eastAsia="Times New Roman" w:hAnsi="Arial" w:cs="Arial"/>
                <w:sz w:val="14"/>
                <w:szCs w:val="14"/>
                <w:highlight w:val="yellow"/>
                <w:lang w:eastAsia="pt-BR"/>
              </w:rPr>
            </w:pPr>
            <w:r w:rsidRPr="00383C63">
              <w:rPr>
                <w:rFonts w:ascii="Arial" w:eastAsia="Times New Roman" w:hAnsi="Arial" w:cs="Arial"/>
                <w:sz w:val="14"/>
                <w:szCs w:val="14"/>
                <w:lang w:eastAsia="pt-BR"/>
              </w:rPr>
              <w:t>e</w:t>
            </w:r>
            <w:r w:rsidRPr="00383C63">
              <w:rPr>
                <w:rFonts w:ascii="Arial" w:eastAsia="Times New Roman" w:hAnsi="Arial" w:cs="Arial"/>
                <w:sz w:val="14"/>
                <w:szCs w:val="14"/>
                <w:highlight w:val="yellow"/>
                <w:lang w:eastAsia="pt-BR"/>
              </w:rPr>
              <w:t xml:space="preserve"> </w:t>
            </w:r>
          </w:p>
          <w:p w14:paraId="0ED9DAA5" w14:textId="77777777" w:rsidR="00CB7C58" w:rsidRPr="00383C63" w:rsidRDefault="00CB7C58" w:rsidP="00075C4D">
            <w:pPr>
              <w:spacing w:after="0" w:line="240" w:lineRule="auto"/>
              <w:jc w:val="center"/>
              <w:rPr>
                <w:rFonts w:ascii="Arial" w:eastAsia="Times New Roman" w:hAnsi="Arial" w:cs="Arial"/>
                <w:sz w:val="14"/>
                <w:szCs w:val="14"/>
                <w:lang w:eastAsia="pt-BR"/>
              </w:rPr>
            </w:pPr>
            <w:r w:rsidRPr="00383C63">
              <w:rPr>
                <w:rFonts w:ascii="Arial" w:eastAsia="Times New Roman" w:hAnsi="Arial" w:cs="Arial"/>
                <w:sz w:val="14"/>
                <w:szCs w:val="14"/>
                <w:lang w:eastAsia="pt-BR"/>
              </w:rPr>
              <w:t>XLS/XLSX/ODS</w:t>
            </w:r>
          </w:p>
        </w:tc>
      </w:tr>
      <w:tr w:rsidR="003523A1" w:rsidRPr="003523A1" w14:paraId="2932A7D5" w14:textId="77777777" w:rsidTr="00C074EC">
        <w:tc>
          <w:tcPr>
            <w:tcW w:w="1271" w:type="dxa"/>
            <w:tcBorders>
              <w:top w:val="single" w:sz="4" w:space="0" w:color="auto"/>
              <w:left w:val="single" w:sz="4" w:space="0" w:color="auto"/>
              <w:bottom w:val="single" w:sz="4" w:space="0" w:color="auto"/>
              <w:right w:val="single" w:sz="4" w:space="0" w:color="auto"/>
            </w:tcBorders>
            <w:vAlign w:val="center"/>
          </w:tcPr>
          <w:p w14:paraId="2DE9BAA0" w14:textId="77777777" w:rsidR="00CB7C58" w:rsidRPr="003523A1" w:rsidRDefault="00CB7C58" w:rsidP="00383C63">
            <w:pPr>
              <w:spacing w:after="0" w:line="240" w:lineRule="auto"/>
              <w:jc w:val="center"/>
              <w:rPr>
                <w:rFonts w:ascii="Arial" w:eastAsia="Times New Roman" w:hAnsi="Arial" w:cs="Arial"/>
                <w:sz w:val="18"/>
                <w:szCs w:val="18"/>
                <w:lang w:eastAsia="pt-BR"/>
              </w:rPr>
            </w:pPr>
            <w:r w:rsidRPr="003523A1">
              <w:rPr>
                <w:rFonts w:ascii="Arial" w:eastAsia="Times New Roman" w:hAnsi="Arial" w:cs="Arial"/>
                <w:sz w:val="18"/>
                <w:szCs w:val="18"/>
                <w:lang w:eastAsia="pt-BR"/>
              </w:rPr>
              <w:t>TERMOV</w:t>
            </w:r>
          </w:p>
        </w:tc>
        <w:tc>
          <w:tcPr>
            <w:tcW w:w="6917" w:type="dxa"/>
            <w:tcBorders>
              <w:top w:val="single" w:sz="4" w:space="0" w:color="auto"/>
              <w:left w:val="single" w:sz="4" w:space="0" w:color="auto"/>
              <w:bottom w:val="single" w:sz="4" w:space="0" w:color="auto"/>
              <w:right w:val="single" w:sz="4" w:space="0" w:color="auto"/>
            </w:tcBorders>
            <w:shd w:val="clear" w:color="auto" w:fill="auto"/>
            <w:vAlign w:val="center"/>
          </w:tcPr>
          <w:p w14:paraId="7AA9655D" w14:textId="0C43F7A3" w:rsidR="00CB7C58" w:rsidRPr="003523A1" w:rsidRDefault="00CB7C58" w:rsidP="009500C7">
            <w:pPr>
              <w:spacing w:before="120" w:after="120" w:line="240" w:lineRule="auto"/>
              <w:jc w:val="both"/>
              <w:rPr>
                <w:rFonts w:ascii="Arial" w:eastAsia="Times New Roman" w:hAnsi="Arial" w:cs="Arial"/>
                <w:sz w:val="18"/>
                <w:szCs w:val="18"/>
                <w:lang w:eastAsia="pt-BR"/>
              </w:rPr>
            </w:pPr>
            <w:r w:rsidRPr="003523A1">
              <w:rPr>
                <w:rFonts w:ascii="Arial" w:eastAsia="Times New Roman" w:hAnsi="Arial" w:cs="Arial"/>
                <w:sz w:val="18"/>
                <w:szCs w:val="18"/>
                <w:lang w:eastAsia="pt-BR"/>
              </w:rPr>
              <w:t>Termo circunstanciado elaborado e assinado pela comissão responsável pelo Inventário Anual de Bens Móveis (INVMOVS), indicando o saldo total apurado e o detalhamento (especificação e valor) das divergências encontradas</w:t>
            </w:r>
            <w:r w:rsidR="00B24335" w:rsidRPr="003523A1">
              <w:rPr>
                <w:rFonts w:ascii="Arial" w:eastAsia="Times New Roman" w:hAnsi="Arial" w:cs="Arial"/>
                <w:sz w:val="18"/>
                <w:szCs w:val="18"/>
                <w:lang w:eastAsia="pt-BR"/>
              </w:rPr>
              <w:t xml:space="preserve">, na forma </w:t>
            </w:r>
            <w:r w:rsidR="003523A1" w:rsidRPr="003523A1">
              <w:rPr>
                <w:rFonts w:ascii="Arial" w:eastAsia="Times New Roman" w:hAnsi="Arial" w:cs="Arial"/>
                <w:sz w:val="18"/>
                <w:szCs w:val="18"/>
                <w:lang w:eastAsia="pt-BR"/>
              </w:rPr>
              <w:t>do item 3.2 deste Anexo.</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FA28770" w14:textId="77777777" w:rsidR="00CB7C58" w:rsidRPr="003523A1" w:rsidRDefault="00532985" w:rsidP="009500C7">
            <w:pPr>
              <w:spacing w:after="0" w:line="240" w:lineRule="auto"/>
              <w:jc w:val="center"/>
              <w:rPr>
                <w:rFonts w:ascii="Arial" w:eastAsia="Times New Roman" w:hAnsi="Arial" w:cs="Arial"/>
                <w:sz w:val="14"/>
                <w:szCs w:val="14"/>
                <w:lang w:eastAsia="pt-BR"/>
              </w:rPr>
            </w:pPr>
            <w:r w:rsidRPr="003523A1">
              <w:rPr>
                <w:rFonts w:ascii="Arial" w:eastAsia="Times New Roman" w:hAnsi="Arial" w:cs="Arial"/>
                <w:sz w:val="14"/>
                <w:szCs w:val="14"/>
                <w:lang w:eastAsia="pt-BR"/>
              </w:rPr>
              <w:t>PDF</w:t>
            </w:r>
          </w:p>
        </w:tc>
      </w:tr>
      <w:tr w:rsidR="00CB7C58" w:rsidRPr="00A5490A" w14:paraId="4B83DDA2" w14:textId="77777777" w:rsidTr="00C074EC">
        <w:tc>
          <w:tcPr>
            <w:tcW w:w="1271" w:type="dxa"/>
            <w:vAlign w:val="center"/>
          </w:tcPr>
          <w:p w14:paraId="787DBC65" w14:textId="77777777" w:rsidR="00CB7C58" w:rsidRPr="00383C63" w:rsidRDefault="00CB7C58" w:rsidP="00075C4D">
            <w:pPr>
              <w:spacing w:after="0" w:line="240" w:lineRule="auto"/>
              <w:jc w:val="center"/>
              <w:rPr>
                <w:rFonts w:ascii="Arial" w:eastAsia="Times New Roman" w:hAnsi="Arial" w:cs="Arial"/>
                <w:sz w:val="18"/>
                <w:szCs w:val="18"/>
                <w:lang w:eastAsia="pt-BR"/>
              </w:rPr>
            </w:pPr>
            <w:r w:rsidRPr="00383C63">
              <w:rPr>
                <w:rFonts w:ascii="Arial" w:eastAsia="Times New Roman" w:hAnsi="Arial" w:cs="Arial"/>
                <w:sz w:val="18"/>
                <w:szCs w:val="18"/>
                <w:lang w:eastAsia="pt-BR"/>
              </w:rPr>
              <w:t>INVIMOS</w:t>
            </w:r>
          </w:p>
        </w:tc>
        <w:tc>
          <w:tcPr>
            <w:tcW w:w="6917" w:type="dxa"/>
            <w:shd w:val="clear" w:color="auto" w:fill="auto"/>
            <w:vAlign w:val="center"/>
          </w:tcPr>
          <w:p w14:paraId="0AB17591" w14:textId="77777777" w:rsidR="00CB7C58" w:rsidRPr="00383C63" w:rsidRDefault="00CB7C58" w:rsidP="00075C4D">
            <w:pPr>
              <w:spacing w:before="120" w:after="120" w:line="240" w:lineRule="auto"/>
              <w:jc w:val="both"/>
              <w:rPr>
                <w:rFonts w:ascii="Arial" w:eastAsia="Times New Roman" w:hAnsi="Arial" w:cs="Arial"/>
                <w:sz w:val="18"/>
                <w:szCs w:val="18"/>
                <w:lang w:eastAsia="pt-BR"/>
              </w:rPr>
            </w:pPr>
            <w:r w:rsidRPr="00383C63">
              <w:rPr>
                <w:rFonts w:ascii="Arial" w:eastAsia="Times New Roman" w:hAnsi="Arial" w:cs="Arial"/>
                <w:sz w:val="18"/>
                <w:szCs w:val="18"/>
                <w:lang w:eastAsia="pt-BR"/>
              </w:rPr>
              <w:t xml:space="preserve">Inventário anual dos bens imóveis, contendo no mínimo as seguintes informações: </w:t>
            </w:r>
          </w:p>
          <w:p w14:paraId="54F7ED5A" w14:textId="77777777" w:rsidR="00CB7C58" w:rsidRPr="00383C63" w:rsidRDefault="00CB7C58" w:rsidP="00075C4D">
            <w:pPr>
              <w:numPr>
                <w:ilvl w:val="0"/>
                <w:numId w:val="1"/>
              </w:numPr>
              <w:spacing w:before="120" w:after="120" w:line="240" w:lineRule="auto"/>
              <w:jc w:val="both"/>
              <w:rPr>
                <w:rFonts w:ascii="Arial" w:eastAsia="Times New Roman" w:hAnsi="Arial" w:cs="Arial"/>
                <w:sz w:val="18"/>
                <w:szCs w:val="18"/>
                <w:lang w:eastAsia="pt-BR"/>
              </w:rPr>
            </w:pPr>
            <w:r w:rsidRPr="00383C63">
              <w:rPr>
                <w:rFonts w:ascii="Arial" w:eastAsia="Times New Roman" w:hAnsi="Arial" w:cs="Arial"/>
                <w:sz w:val="18"/>
                <w:szCs w:val="18"/>
                <w:lang w:eastAsia="pt-BR"/>
              </w:rPr>
              <w:t xml:space="preserve">Relação dos imóveis que integram o patrimônio do consórcio. </w:t>
            </w:r>
          </w:p>
          <w:p w14:paraId="46597FF2" w14:textId="77777777" w:rsidR="00CB7C58" w:rsidRPr="00383C63" w:rsidRDefault="00CB7C58" w:rsidP="00075C4D">
            <w:pPr>
              <w:numPr>
                <w:ilvl w:val="0"/>
                <w:numId w:val="1"/>
              </w:numPr>
              <w:spacing w:before="120" w:after="120" w:line="240" w:lineRule="auto"/>
              <w:jc w:val="both"/>
              <w:rPr>
                <w:rFonts w:ascii="Arial" w:eastAsia="Times New Roman" w:hAnsi="Arial" w:cs="Arial"/>
                <w:sz w:val="18"/>
                <w:szCs w:val="18"/>
                <w:lang w:eastAsia="pt-BR"/>
              </w:rPr>
            </w:pPr>
            <w:r w:rsidRPr="00383C63">
              <w:rPr>
                <w:rFonts w:ascii="Arial" w:eastAsia="Times New Roman" w:hAnsi="Arial" w:cs="Arial"/>
                <w:sz w:val="18"/>
                <w:szCs w:val="18"/>
                <w:lang w:eastAsia="pt-BR"/>
              </w:rPr>
              <w:t xml:space="preserve">Caracterização do imóvel (número de registro, conforme certidão de matrícula ou certidão de ônus reais obtida no cartório de registro de imóveis; localização; área; estado de conservação; benfeitorias existentes; demais características) </w:t>
            </w:r>
          </w:p>
          <w:p w14:paraId="728E301E" w14:textId="77777777" w:rsidR="00CB7C58" w:rsidRPr="00383C63" w:rsidRDefault="00CB7C58" w:rsidP="00075C4D">
            <w:pPr>
              <w:numPr>
                <w:ilvl w:val="0"/>
                <w:numId w:val="1"/>
              </w:numPr>
              <w:spacing w:before="120" w:after="120" w:line="240" w:lineRule="auto"/>
              <w:jc w:val="both"/>
              <w:rPr>
                <w:rFonts w:ascii="Arial" w:eastAsia="Times New Roman" w:hAnsi="Arial" w:cs="Arial"/>
                <w:sz w:val="18"/>
                <w:szCs w:val="18"/>
                <w:lang w:eastAsia="pt-BR"/>
              </w:rPr>
            </w:pPr>
            <w:r w:rsidRPr="00383C63">
              <w:rPr>
                <w:rFonts w:ascii="Arial" w:eastAsia="Times New Roman" w:hAnsi="Arial" w:cs="Arial"/>
                <w:sz w:val="18"/>
                <w:szCs w:val="18"/>
                <w:lang w:eastAsia="pt-BR"/>
              </w:rPr>
              <w:t xml:space="preserve">Data de aquisição/construção ou incorporação </w:t>
            </w:r>
          </w:p>
          <w:p w14:paraId="53D8DA7F" w14:textId="77777777" w:rsidR="00CB7C58" w:rsidRPr="00383C63" w:rsidRDefault="00CB7C58" w:rsidP="00075C4D">
            <w:pPr>
              <w:numPr>
                <w:ilvl w:val="0"/>
                <w:numId w:val="1"/>
              </w:numPr>
              <w:spacing w:before="120" w:after="120" w:line="240" w:lineRule="auto"/>
              <w:jc w:val="both"/>
              <w:rPr>
                <w:rFonts w:ascii="Arial" w:eastAsia="Times New Roman" w:hAnsi="Arial" w:cs="Arial"/>
                <w:sz w:val="18"/>
                <w:szCs w:val="18"/>
                <w:lang w:eastAsia="pt-BR"/>
              </w:rPr>
            </w:pPr>
            <w:r w:rsidRPr="00383C63">
              <w:rPr>
                <w:rFonts w:ascii="Arial" w:eastAsia="Times New Roman" w:hAnsi="Arial" w:cs="Arial"/>
                <w:sz w:val="18"/>
                <w:szCs w:val="18"/>
                <w:lang w:eastAsia="pt-BR"/>
              </w:rPr>
              <w:t xml:space="preserve">Valor histórico e valor atualizado </w:t>
            </w:r>
          </w:p>
          <w:p w14:paraId="41430DAF" w14:textId="77777777" w:rsidR="00CB7C58" w:rsidRPr="00383C63" w:rsidRDefault="00CB7C58" w:rsidP="00075C4D">
            <w:pPr>
              <w:pStyle w:val="Default"/>
              <w:jc w:val="both"/>
              <w:rPr>
                <w:rFonts w:eastAsia="Times New Roman"/>
                <w:color w:val="auto"/>
                <w:sz w:val="18"/>
                <w:szCs w:val="18"/>
                <w:lang w:eastAsia="pt-BR"/>
              </w:rPr>
            </w:pPr>
            <w:r w:rsidRPr="00383C63">
              <w:rPr>
                <w:rFonts w:eastAsia="Times New Roman"/>
                <w:color w:val="auto"/>
                <w:sz w:val="18"/>
                <w:szCs w:val="18"/>
                <w:lang w:eastAsia="pt-BR"/>
              </w:rPr>
              <w:t xml:space="preserve">Obs.1: as colunas valor histórico e valor atualizado devem ser totalizadas. </w:t>
            </w:r>
          </w:p>
          <w:p w14:paraId="4470BA5B" w14:textId="77777777" w:rsidR="00CB7C58" w:rsidRPr="00383C63" w:rsidRDefault="00CB7C58" w:rsidP="00075C4D">
            <w:pPr>
              <w:pStyle w:val="Default"/>
              <w:jc w:val="both"/>
              <w:rPr>
                <w:rFonts w:eastAsia="Times New Roman"/>
                <w:color w:val="auto"/>
                <w:sz w:val="18"/>
                <w:szCs w:val="18"/>
                <w:lang w:eastAsia="pt-BR"/>
              </w:rPr>
            </w:pPr>
            <w:r w:rsidRPr="00383C63">
              <w:rPr>
                <w:rFonts w:eastAsia="Times New Roman"/>
                <w:color w:val="auto"/>
                <w:sz w:val="18"/>
                <w:szCs w:val="18"/>
                <w:lang w:eastAsia="pt-BR"/>
              </w:rPr>
              <w:t xml:space="preserve">Obs.2: </w:t>
            </w:r>
            <w:r w:rsidR="00EC1375" w:rsidRPr="00B6188E">
              <w:rPr>
                <w:rFonts w:eastAsia="Times New Roman"/>
                <w:color w:val="auto"/>
                <w:sz w:val="18"/>
                <w:szCs w:val="18"/>
                <w:lang w:eastAsia="pt-BR"/>
              </w:rPr>
              <w:t xml:space="preserve">durante o período de mensuração, reconhecimento e implementação dos procedimentos contábeis patrimoniais, cujos prazos foram estabelecidos pela </w:t>
            </w:r>
            <w:r w:rsidR="00532985">
              <w:rPr>
                <w:rFonts w:eastAsia="Times New Roman"/>
                <w:color w:val="auto"/>
                <w:sz w:val="18"/>
                <w:szCs w:val="18"/>
                <w:lang w:eastAsia="pt-BR"/>
              </w:rPr>
              <w:t>IN 35/2016</w:t>
            </w:r>
            <w:r w:rsidR="00EC1375" w:rsidRPr="00B6188E">
              <w:rPr>
                <w:rFonts w:eastAsia="Times New Roman"/>
                <w:color w:val="auto"/>
                <w:sz w:val="18"/>
                <w:szCs w:val="18"/>
                <w:lang w:eastAsia="pt-BR"/>
              </w:rPr>
              <w:t>, poderá ser informado para o valor atualizado dos bens o mesmo valor histórico.</w:t>
            </w:r>
          </w:p>
          <w:p w14:paraId="33AA0F59" w14:textId="77777777" w:rsidR="00CB7C58" w:rsidRPr="00383C63" w:rsidRDefault="00CB7C58" w:rsidP="00075C4D">
            <w:pPr>
              <w:pStyle w:val="Default"/>
              <w:jc w:val="both"/>
              <w:rPr>
                <w:rFonts w:eastAsia="Times New Roman"/>
                <w:color w:val="auto"/>
                <w:sz w:val="18"/>
                <w:szCs w:val="18"/>
                <w:lang w:eastAsia="pt-BR"/>
              </w:rPr>
            </w:pPr>
            <w:r w:rsidRPr="00383C63">
              <w:rPr>
                <w:rFonts w:eastAsia="Times New Roman"/>
                <w:color w:val="auto"/>
                <w:sz w:val="18"/>
                <w:szCs w:val="18"/>
                <w:lang w:eastAsia="pt-BR"/>
              </w:rPr>
              <w:lastRenderedPageBreak/>
              <w:t xml:space="preserve">Obs.3: os critérios utilizados para definição de valor histórico, valor atualizado e de mensuração do inventário, devem ser objeto de notas explicativas. </w:t>
            </w:r>
          </w:p>
          <w:p w14:paraId="1E1B9E74" w14:textId="77777777" w:rsidR="00CB7C58" w:rsidRPr="00383C63" w:rsidRDefault="00CB7C58" w:rsidP="00075C4D">
            <w:pPr>
              <w:pStyle w:val="Default"/>
              <w:jc w:val="both"/>
              <w:rPr>
                <w:rFonts w:eastAsia="Times New Roman"/>
                <w:color w:val="auto"/>
                <w:sz w:val="18"/>
                <w:szCs w:val="18"/>
                <w:lang w:eastAsia="pt-BR"/>
              </w:rPr>
            </w:pPr>
            <w:r w:rsidRPr="00383C63">
              <w:rPr>
                <w:rFonts w:eastAsia="Times New Roman"/>
                <w:color w:val="auto"/>
                <w:sz w:val="18"/>
                <w:szCs w:val="18"/>
                <w:lang w:eastAsia="pt-BR"/>
              </w:rPr>
              <w:t xml:space="preserve">Obs.4: aplicam-se à presente norma, os conceitos adotados pela Secretaria do Tesouro Nacional em seu Manual de Contabilidade Aplicada ao Setor Público vigente. </w:t>
            </w:r>
          </w:p>
          <w:p w14:paraId="249A88CE" w14:textId="77777777" w:rsidR="00CB7C58" w:rsidRPr="00383C63" w:rsidRDefault="00CB7C58" w:rsidP="00A910CF">
            <w:pPr>
              <w:pStyle w:val="Default"/>
              <w:jc w:val="both"/>
              <w:rPr>
                <w:rFonts w:eastAsia="Times New Roman"/>
                <w:color w:val="auto"/>
                <w:sz w:val="18"/>
                <w:szCs w:val="18"/>
                <w:lang w:eastAsia="pt-BR"/>
              </w:rPr>
            </w:pPr>
            <w:r w:rsidRPr="00383C63">
              <w:rPr>
                <w:rFonts w:eastAsia="Times New Roman"/>
                <w:color w:val="auto"/>
                <w:sz w:val="18"/>
                <w:szCs w:val="18"/>
                <w:lang w:eastAsia="pt-BR"/>
              </w:rPr>
              <w:t xml:space="preserve">Obs.5: imóveis que são utilizados pelo consórcio, mas que não integram o seu patrimônio devem ser informados separadamente. </w:t>
            </w:r>
          </w:p>
        </w:tc>
        <w:tc>
          <w:tcPr>
            <w:tcW w:w="992" w:type="dxa"/>
            <w:shd w:val="clear" w:color="auto" w:fill="auto"/>
            <w:vAlign w:val="center"/>
          </w:tcPr>
          <w:p w14:paraId="577F174F" w14:textId="77777777" w:rsidR="00CB7C58" w:rsidRPr="00383C63" w:rsidRDefault="00532985" w:rsidP="00075C4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lastRenderedPageBreak/>
              <w:t>PDF</w:t>
            </w:r>
          </w:p>
          <w:p w14:paraId="41AE0EAF" w14:textId="77777777" w:rsidR="00CB7C58" w:rsidRPr="00383C63" w:rsidRDefault="00CB7C58" w:rsidP="00075C4D">
            <w:pPr>
              <w:spacing w:after="0" w:line="240" w:lineRule="auto"/>
              <w:jc w:val="center"/>
              <w:rPr>
                <w:rFonts w:ascii="Arial" w:eastAsia="Times New Roman" w:hAnsi="Arial" w:cs="Arial"/>
                <w:sz w:val="14"/>
                <w:szCs w:val="14"/>
                <w:highlight w:val="yellow"/>
                <w:lang w:eastAsia="pt-BR"/>
              </w:rPr>
            </w:pPr>
            <w:r w:rsidRPr="00383C63">
              <w:rPr>
                <w:rFonts w:ascii="Arial" w:eastAsia="Times New Roman" w:hAnsi="Arial" w:cs="Arial"/>
                <w:sz w:val="14"/>
                <w:szCs w:val="14"/>
                <w:lang w:eastAsia="pt-BR"/>
              </w:rPr>
              <w:t>e</w:t>
            </w:r>
            <w:r w:rsidRPr="00383C63">
              <w:rPr>
                <w:rFonts w:ascii="Arial" w:eastAsia="Times New Roman" w:hAnsi="Arial" w:cs="Arial"/>
                <w:sz w:val="14"/>
                <w:szCs w:val="14"/>
                <w:highlight w:val="yellow"/>
                <w:lang w:eastAsia="pt-BR"/>
              </w:rPr>
              <w:t xml:space="preserve"> </w:t>
            </w:r>
          </w:p>
          <w:p w14:paraId="4D76395F" w14:textId="77777777" w:rsidR="00CB7C58" w:rsidRPr="00383C63" w:rsidRDefault="00CB7C58" w:rsidP="00075C4D">
            <w:pPr>
              <w:spacing w:after="0" w:line="240" w:lineRule="auto"/>
              <w:jc w:val="center"/>
              <w:rPr>
                <w:rFonts w:ascii="Arial" w:eastAsia="Times New Roman" w:hAnsi="Arial" w:cs="Arial"/>
                <w:sz w:val="14"/>
                <w:szCs w:val="14"/>
                <w:lang w:eastAsia="pt-BR"/>
              </w:rPr>
            </w:pPr>
            <w:r w:rsidRPr="00383C63">
              <w:rPr>
                <w:rFonts w:ascii="Arial" w:eastAsia="Times New Roman" w:hAnsi="Arial" w:cs="Arial"/>
                <w:sz w:val="14"/>
                <w:szCs w:val="14"/>
                <w:lang w:eastAsia="pt-BR"/>
              </w:rPr>
              <w:t>XLS/XLSX/ODS</w:t>
            </w:r>
          </w:p>
        </w:tc>
      </w:tr>
      <w:tr w:rsidR="003523A1" w:rsidRPr="003523A1" w14:paraId="274BCF37" w14:textId="77777777" w:rsidTr="00C074EC">
        <w:tc>
          <w:tcPr>
            <w:tcW w:w="1271" w:type="dxa"/>
            <w:tcBorders>
              <w:top w:val="single" w:sz="4" w:space="0" w:color="auto"/>
              <w:left w:val="single" w:sz="4" w:space="0" w:color="auto"/>
              <w:bottom w:val="single" w:sz="4" w:space="0" w:color="auto"/>
              <w:right w:val="single" w:sz="4" w:space="0" w:color="auto"/>
            </w:tcBorders>
            <w:vAlign w:val="center"/>
          </w:tcPr>
          <w:p w14:paraId="1CDA6DD0" w14:textId="77777777" w:rsidR="00CB7C58" w:rsidRPr="003523A1" w:rsidRDefault="00CB7C58" w:rsidP="00383C63">
            <w:pPr>
              <w:spacing w:after="0" w:line="240" w:lineRule="auto"/>
              <w:jc w:val="center"/>
              <w:rPr>
                <w:rFonts w:ascii="Arial" w:eastAsia="Times New Roman" w:hAnsi="Arial" w:cs="Arial"/>
                <w:sz w:val="18"/>
                <w:szCs w:val="18"/>
                <w:lang w:eastAsia="pt-BR"/>
              </w:rPr>
            </w:pPr>
            <w:r w:rsidRPr="003523A1">
              <w:rPr>
                <w:rFonts w:ascii="Arial" w:eastAsia="Times New Roman" w:hAnsi="Arial" w:cs="Arial"/>
                <w:sz w:val="18"/>
                <w:szCs w:val="18"/>
                <w:lang w:eastAsia="pt-BR"/>
              </w:rPr>
              <w:lastRenderedPageBreak/>
              <w:t>TERIMO</w:t>
            </w:r>
          </w:p>
        </w:tc>
        <w:tc>
          <w:tcPr>
            <w:tcW w:w="6917" w:type="dxa"/>
            <w:tcBorders>
              <w:top w:val="single" w:sz="4" w:space="0" w:color="auto"/>
              <w:left w:val="single" w:sz="4" w:space="0" w:color="auto"/>
              <w:bottom w:val="single" w:sz="4" w:space="0" w:color="auto"/>
              <w:right w:val="single" w:sz="4" w:space="0" w:color="auto"/>
            </w:tcBorders>
            <w:shd w:val="clear" w:color="auto" w:fill="auto"/>
            <w:vAlign w:val="center"/>
          </w:tcPr>
          <w:p w14:paraId="02B395DD" w14:textId="2A4C818B" w:rsidR="00CB7C58" w:rsidRPr="003523A1" w:rsidRDefault="00CB7C58" w:rsidP="009500C7">
            <w:pPr>
              <w:spacing w:before="120" w:after="120" w:line="240" w:lineRule="auto"/>
              <w:jc w:val="both"/>
              <w:rPr>
                <w:rFonts w:ascii="Arial" w:eastAsia="Times New Roman" w:hAnsi="Arial" w:cs="Arial"/>
                <w:sz w:val="18"/>
                <w:szCs w:val="18"/>
                <w:lang w:eastAsia="pt-BR"/>
              </w:rPr>
            </w:pPr>
            <w:r w:rsidRPr="003523A1">
              <w:rPr>
                <w:rFonts w:ascii="Arial" w:eastAsia="Times New Roman" w:hAnsi="Arial" w:cs="Arial"/>
                <w:sz w:val="18"/>
                <w:szCs w:val="18"/>
                <w:lang w:eastAsia="pt-BR"/>
              </w:rPr>
              <w:t>Termo circunstanciado elaborado e assinado pela comissão responsável pelo Inventário anual dos bens imóveis (INVIMOS), indicando o saldo total apurado e o detalhamento (especificação e valor) das divergências encontradas</w:t>
            </w:r>
            <w:r w:rsidR="00B24335" w:rsidRPr="003523A1">
              <w:rPr>
                <w:rFonts w:ascii="Arial" w:eastAsia="Times New Roman" w:hAnsi="Arial" w:cs="Arial"/>
                <w:sz w:val="18"/>
                <w:szCs w:val="18"/>
                <w:lang w:eastAsia="pt-BR"/>
              </w:rPr>
              <w:t xml:space="preserve">, na forma </w:t>
            </w:r>
            <w:r w:rsidR="003523A1" w:rsidRPr="003523A1">
              <w:rPr>
                <w:rFonts w:ascii="Arial" w:eastAsia="Times New Roman" w:hAnsi="Arial" w:cs="Arial"/>
                <w:sz w:val="18"/>
                <w:szCs w:val="18"/>
                <w:lang w:eastAsia="pt-BR"/>
              </w:rPr>
              <w:t>do item 3.2 deste Anexo.</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E88F5D5" w14:textId="77777777" w:rsidR="00CB7C58" w:rsidRPr="003523A1" w:rsidRDefault="00532985" w:rsidP="009500C7">
            <w:pPr>
              <w:spacing w:after="0" w:line="240" w:lineRule="auto"/>
              <w:jc w:val="center"/>
              <w:rPr>
                <w:rFonts w:ascii="Arial" w:eastAsia="Times New Roman" w:hAnsi="Arial" w:cs="Arial"/>
                <w:sz w:val="14"/>
                <w:szCs w:val="14"/>
                <w:lang w:eastAsia="pt-BR"/>
              </w:rPr>
            </w:pPr>
            <w:r w:rsidRPr="003523A1">
              <w:rPr>
                <w:rFonts w:ascii="Arial" w:eastAsia="Times New Roman" w:hAnsi="Arial" w:cs="Arial"/>
                <w:sz w:val="14"/>
                <w:szCs w:val="14"/>
                <w:lang w:eastAsia="pt-BR"/>
              </w:rPr>
              <w:t>PDF</w:t>
            </w:r>
          </w:p>
        </w:tc>
      </w:tr>
      <w:tr w:rsidR="00CB7C58" w:rsidRPr="00A5490A" w14:paraId="52798D1A" w14:textId="77777777" w:rsidTr="00C074EC">
        <w:tc>
          <w:tcPr>
            <w:tcW w:w="1271" w:type="dxa"/>
            <w:vAlign w:val="center"/>
          </w:tcPr>
          <w:p w14:paraId="528E3631" w14:textId="77777777" w:rsidR="00CB7C58" w:rsidRPr="00383C63" w:rsidRDefault="00CB7C58" w:rsidP="00075C4D">
            <w:pPr>
              <w:spacing w:after="0" w:line="240" w:lineRule="auto"/>
              <w:jc w:val="center"/>
              <w:rPr>
                <w:rFonts w:ascii="Arial" w:eastAsia="Times New Roman" w:hAnsi="Arial" w:cs="Arial"/>
                <w:sz w:val="18"/>
                <w:szCs w:val="18"/>
                <w:lang w:eastAsia="pt-BR"/>
              </w:rPr>
            </w:pPr>
            <w:r w:rsidRPr="00383C63">
              <w:rPr>
                <w:rFonts w:ascii="Arial" w:eastAsia="Times New Roman" w:hAnsi="Arial" w:cs="Arial"/>
                <w:sz w:val="18"/>
                <w:szCs w:val="18"/>
                <w:lang w:eastAsia="pt-BR"/>
              </w:rPr>
              <w:t>INVALMO</w:t>
            </w:r>
          </w:p>
        </w:tc>
        <w:tc>
          <w:tcPr>
            <w:tcW w:w="6917" w:type="dxa"/>
            <w:shd w:val="clear" w:color="auto" w:fill="auto"/>
            <w:vAlign w:val="center"/>
          </w:tcPr>
          <w:p w14:paraId="34C1C4C7" w14:textId="77777777" w:rsidR="00CB7C58" w:rsidRPr="00383C63" w:rsidRDefault="00CB7C58" w:rsidP="00075C4D">
            <w:pPr>
              <w:spacing w:before="120" w:after="120" w:line="240" w:lineRule="auto"/>
              <w:jc w:val="both"/>
              <w:rPr>
                <w:rFonts w:ascii="Arial" w:eastAsia="Times New Roman" w:hAnsi="Arial" w:cs="Arial"/>
                <w:sz w:val="18"/>
                <w:szCs w:val="18"/>
                <w:lang w:eastAsia="pt-BR"/>
              </w:rPr>
            </w:pPr>
            <w:r w:rsidRPr="00383C63">
              <w:rPr>
                <w:rFonts w:ascii="Arial" w:eastAsia="Times New Roman" w:hAnsi="Arial" w:cs="Arial"/>
                <w:sz w:val="18"/>
                <w:szCs w:val="18"/>
                <w:lang w:eastAsia="pt-BR"/>
              </w:rPr>
              <w:t xml:space="preserve">Inventário anual dos bens em almoxarifado, contendo no mínimo as seguintes informações: </w:t>
            </w:r>
          </w:p>
          <w:p w14:paraId="08A6CB02" w14:textId="77777777" w:rsidR="00CB7C58" w:rsidRPr="00383C63" w:rsidRDefault="00CB7C58" w:rsidP="00075C4D">
            <w:pPr>
              <w:numPr>
                <w:ilvl w:val="0"/>
                <w:numId w:val="1"/>
              </w:numPr>
              <w:spacing w:before="120" w:after="120" w:line="240" w:lineRule="auto"/>
              <w:jc w:val="both"/>
              <w:rPr>
                <w:rFonts w:ascii="Arial" w:eastAsia="Times New Roman" w:hAnsi="Arial" w:cs="Arial"/>
                <w:sz w:val="18"/>
                <w:szCs w:val="18"/>
                <w:lang w:eastAsia="pt-BR"/>
              </w:rPr>
            </w:pPr>
            <w:r w:rsidRPr="00383C63">
              <w:rPr>
                <w:rFonts w:ascii="Arial" w:eastAsia="Times New Roman" w:hAnsi="Arial" w:cs="Arial"/>
                <w:sz w:val="18"/>
                <w:szCs w:val="18"/>
                <w:lang w:eastAsia="pt-BR"/>
              </w:rPr>
              <w:t xml:space="preserve">Descrição dos bens </w:t>
            </w:r>
          </w:p>
          <w:p w14:paraId="01C6AE7F" w14:textId="77777777" w:rsidR="00CB7C58" w:rsidRPr="00383C63" w:rsidRDefault="00CB7C58" w:rsidP="00075C4D">
            <w:pPr>
              <w:numPr>
                <w:ilvl w:val="0"/>
                <w:numId w:val="1"/>
              </w:numPr>
              <w:spacing w:before="120" w:after="120" w:line="240" w:lineRule="auto"/>
              <w:jc w:val="both"/>
              <w:rPr>
                <w:rFonts w:ascii="Arial" w:eastAsia="Times New Roman" w:hAnsi="Arial" w:cs="Arial"/>
                <w:sz w:val="18"/>
                <w:szCs w:val="18"/>
                <w:lang w:eastAsia="pt-BR"/>
              </w:rPr>
            </w:pPr>
            <w:r w:rsidRPr="00383C63">
              <w:rPr>
                <w:rFonts w:ascii="Arial" w:eastAsia="Times New Roman" w:hAnsi="Arial" w:cs="Arial"/>
                <w:sz w:val="18"/>
                <w:szCs w:val="18"/>
                <w:lang w:eastAsia="pt-BR"/>
              </w:rPr>
              <w:t xml:space="preserve">Quantidade </w:t>
            </w:r>
          </w:p>
          <w:p w14:paraId="3E20FC67" w14:textId="77777777" w:rsidR="00CB7C58" w:rsidRPr="00383C63" w:rsidRDefault="00CB7C58" w:rsidP="00075C4D">
            <w:pPr>
              <w:numPr>
                <w:ilvl w:val="0"/>
                <w:numId w:val="1"/>
              </w:numPr>
              <w:spacing w:before="120" w:after="120" w:line="240" w:lineRule="auto"/>
              <w:jc w:val="both"/>
              <w:rPr>
                <w:rFonts w:ascii="Arial" w:eastAsia="Times New Roman" w:hAnsi="Arial" w:cs="Arial"/>
                <w:sz w:val="18"/>
                <w:szCs w:val="18"/>
                <w:lang w:eastAsia="pt-BR"/>
              </w:rPr>
            </w:pPr>
            <w:r w:rsidRPr="00383C63">
              <w:rPr>
                <w:rFonts w:ascii="Arial" w:eastAsia="Times New Roman" w:hAnsi="Arial" w:cs="Arial"/>
                <w:sz w:val="18"/>
                <w:szCs w:val="18"/>
                <w:lang w:eastAsia="pt-BR"/>
              </w:rPr>
              <w:t xml:space="preserve">Valor unitário </w:t>
            </w:r>
          </w:p>
          <w:p w14:paraId="127FD317" w14:textId="77777777" w:rsidR="00CB7C58" w:rsidRPr="00383C63" w:rsidRDefault="00CB7C58" w:rsidP="00075C4D">
            <w:pPr>
              <w:numPr>
                <w:ilvl w:val="0"/>
                <w:numId w:val="1"/>
              </w:numPr>
              <w:spacing w:before="120" w:after="120" w:line="240" w:lineRule="auto"/>
              <w:jc w:val="both"/>
              <w:rPr>
                <w:sz w:val="18"/>
                <w:szCs w:val="18"/>
              </w:rPr>
            </w:pPr>
            <w:r w:rsidRPr="00383C63">
              <w:rPr>
                <w:rFonts w:ascii="Arial" w:eastAsia="Times New Roman" w:hAnsi="Arial" w:cs="Arial"/>
                <w:sz w:val="18"/>
                <w:szCs w:val="18"/>
                <w:lang w:eastAsia="pt-BR"/>
              </w:rPr>
              <w:t>Valor total</w:t>
            </w:r>
            <w:r w:rsidRPr="00383C63">
              <w:rPr>
                <w:sz w:val="18"/>
                <w:szCs w:val="18"/>
              </w:rPr>
              <w:t xml:space="preserve"> </w:t>
            </w:r>
          </w:p>
          <w:p w14:paraId="4CD1D167" w14:textId="77777777" w:rsidR="00CB7C58" w:rsidRPr="00383C63" w:rsidRDefault="00CB7C58" w:rsidP="00075C4D">
            <w:pPr>
              <w:pStyle w:val="Default"/>
              <w:jc w:val="both"/>
              <w:rPr>
                <w:rFonts w:eastAsia="Times New Roman"/>
                <w:color w:val="auto"/>
                <w:sz w:val="18"/>
                <w:szCs w:val="18"/>
                <w:lang w:eastAsia="pt-BR"/>
              </w:rPr>
            </w:pPr>
            <w:r w:rsidRPr="00383C63">
              <w:rPr>
                <w:rFonts w:eastAsia="Times New Roman"/>
                <w:color w:val="auto"/>
                <w:sz w:val="18"/>
                <w:szCs w:val="18"/>
                <w:lang w:eastAsia="pt-BR"/>
              </w:rPr>
              <w:t xml:space="preserve">Obs.: a coluna valor total deve ser totalizada. </w:t>
            </w:r>
          </w:p>
        </w:tc>
        <w:tc>
          <w:tcPr>
            <w:tcW w:w="992" w:type="dxa"/>
            <w:shd w:val="clear" w:color="auto" w:fill="auto"/>
            <w:vAlign w:val="center"/>
          </w:tcPr>
          <w:p w14:paraId="285B312A" w14:textId="77777777" w:rsidR="00CB7C58" w:rsidRPr="00383C63" w:rsidRDefault="00532985" w:rsidP="00075C4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p w14:paraId="4D79DC71" w14:textId="77777777" w:rsidR="00CB7C58" w:rsidRPr="00383C63" w:rsidRDefault="00CB7C58" w:rsidP="00075C4D">
            <w:pPr>
              <w:spacing w:after="0" w:line="240" w:lineRule="auto"/>
              <w:jc w:val="center"/>
              <w:rPr>
                <w:rFonts w:ascii="Arial" w:eastAsia="Times New Roman" w:hAnsi="Arial" w:cs="Arial"/>
                <w:sz w:val="14"/>
                <w:szCs w:val="14"/>
                <w:highlight w:val="yellow"/>
                <w:lang w:eastAsia="pt-BR"/>
              </w:rPr>
            </w:pPr>
            <w:r w:rsidRPr="00383C63">
              <w:rPr>
                <w:rFonts w:ascii="Arial" w:eastAsia="Times New Roman" w:hAnsi="Arial" w:cs="Arial"/>
                <w:sz w:val="14"/>
                <w:szCs w:val="14"/>
                <w:lang w:eastAsia="pt-BR"/>
              </w:rPr>
              <w:t>e</w:t>
            </w:r>
            <w:r w:rsidRPr="00383C63">
              <w:rPr>
                <w:rFonts w:ascii="Arial" w:eastAsia="Times New Roman" w:hAnsi="Arial" w:cs="Arial"/>
                <w:sz w:val="14"/>
                <w:szCs w:val="14"/>
                <w:highlight w:val="yellow"/>
                <w:lang w:eastAsia="pt-BR"/>
              </w:rPr>
              <w:t xml:space="preserve"> </w:t>
            </w:r>
          </w:p>
          <w:p w14:paraId="570AC021" w14:textId="77777777" w:rsidR="00CB7C58" w:rsidRPr="00383C63" w:rsidRDefault="00CB7C58" w:rsidP="00075C4D">
            <w:pPr>
              <w:spacing w:after="0" w:line="240" w:lineRule="auto"/>
              <w:jc w:val="center"/>
              <w:rPr>
                <w:rFonts w:ascii="Arial" w:eastAsia="Times New Roman" w:hAnsi="Arial" w:cs="Arial"/>
                <w:sz w:val="14"/>
                <w:szCs w:val="14"/>
                <w:lang w:eastAsia="pt-BR"/>
              </w:rPr>
            </w:pPr>
            <w:r w:rsidRPr="00383C63">
              <w:rPr>
                <w:rFonts w:ascii="Arial" w:eastAsia="Times New Roman" w:hAnsi="Arial" w:cs="Arial"/>
                <w:sz w:val="14"/>
                <w:szCs w:val="14"/>
                <w:lang w:eastAsia="pt-BR"/>
              </w:rPr>
              <w:t>XLS/XLSX/ODS</w:t>
            </w:r>
          </w:p>
        </w:tc>
      </w:tr>
      <w:tr w:rsidR="003523A1" w:rsidRPr="003523A1" w14:paraId="1200100D" w14:textId="77777777" w:rsidTr="00C074EC">
        <w:tc>
          <w:tcPr>
            <w:tcW w:w="1271" w:type="dxa"/>
            <w:tcBorders>
              <w:top w:val="single" w:sz="4" w:space="0" w:color="auto"/>
              <w:left w:val="single" w:sz="4" w:space="0" w:color="auto"/>
              <w:bottom w:val="single" w:sz="4" w:space="0" w:color="auto"/>
              <w:right w:val="single" w:sz="4" w:space="0" w:color="auto"/>
            </w:tcBorders>
            <w:vAlign w:val="center"/>
          </w:tcPr>
          <w:p w14:paraId="1C26F37E" w14:textId="77777777" w:rsidR="00CB7C58" w:rsidRPr="003523A1" w:rsidRDefault="00CB7C58" w:rsidP="00383C63">
            <w:pPr>
              <w:spacing w:after="0" w:line="240" w:lineRule="auto"/>
              <w:jc w:val="center"/>
              <w:rPr>
                <w:rFonts w:ascii="Arial" w:eastAsia="Times New Roman" w:hAnsi="Arial" w:cs="Arial"/>
                <w:sz w:val="18"/>
                <w:szCs w:val="18"/>
                <w:lang w:eastAsia="pt-BR"/>
              </w:rPr>
            </w:pPr>
            <w:r w:rsidRPr="003523A1">
              <w:rPr>
                <w:rFonts w:ascii="Arial" w:eastAsia="Times New Roman" w:hAnsi="Arial" w:cs="Arial"/>
                <w:sz w:val="18"/>
                <w:szCs w:val="18"/>
                <w:lang w:eastAsia="pt-BR"/>
              </w:rPr>
              <w:t>TERALM</w:t>
            </w:r>
          </w:p>
        </w:tc>
        <w:tc>
          <w:tcPr>
            <w:tcW w:w="6917" w:type="dxa"/>
            <w:tcBorders>
              <w:top w:val="single" w:sz="4" w:space="0" w:color="auto"/>
              <w:left w:val="single" w:sz="4" w:space="0" w:color="auto"/>
              <w:bottom w:val="single" w:sz="4" w:space="0" w:color="auto"/>
              <w:right w:val="single" w:sz="4" w:space="0" w:color="auto"/>
            </w:tcBorders>
            <w:shd w:val="clear" w:color="auto" w:fill="auto"/>
            <w:vAlign w:val="center"/>
          </w:tcPr>
          <w:p w14:paraId="1D57E278" w14:textId="422630C7" w:rsidR="00CB7C58" w:rsidRPr="003523A1" w:rsidRDefault="00CB7C58" w:rsidP="009500C7">
            <w:pPr>
              <w:spacing w:before="120" w:after="120" w:line="240" w:lineRule="auto"/>
              <w:jc w:val="both"/>
              <w:rPr>
                <w:rFonts w:ascii="Arial" w:eastAsia="Times New Roman" w:hAnsi="Arial" w:cs="Arial"/>
                <w:sz w:val="18"/>
                <w:szCs w:val="18"/>
                <w:lang w:eastAsia="pt-BR"/>
              </w:rPr>
            </w:pPr>
            <w:r w:rsidRPr="003523A1">
              <w:rPr>
                <w:rFonts w:ascii="Arial" w:eastAsia="Times New Roman" w:hAnsi="Arial" w:cs="Arial"/>
                <w:sz w:val="18"/>
                <w:szCs w:val="18"/>
                <w:lang w:eastAsia="pt-BR"/>
              </w:rPr>
              <w:t>Termo circunstanciado elaborado e assinado pela comissão responsável pelo Inventário anual dos bens em almoxarifado (INVALMO), indicando o saldo total apurado e o detalhamento (especificação e valor) das divergências encontradas</w:t>
            </w:r>
            <w:r w:rsidR="00B24335" w:rsidRPr="003523A1">
              <w:rPr>
                <w:rFonts w:ascii="Arial" w:eastAsia="Times New Roman" w:hAnsi="Arial" w:cs="Arial"/>
                <w:sz w:val="18"/>
                <w:szCs w:val="18"/>
                <w:lang w:eastAsia="pt-BR"/>
              </w:rPr>
              <w:t xml:space="preserve">, na forma </w:t>
            </w:r>
            <w:r w:rsidR="003523A1" w:rsidRPr="003523A1">
              <w:rPr>
                <w:rFonts w:ascii="Arial" w:eastAsia="Times New Roman" w:hAnsi="Arial" w:cs="Arial"/>
                <w:sz w:val="18"/>
                <w:szCs w:val="18"/>
                <w:lang w:eastAsia="pt-BR"/>
              </w:rPr>
              <w:t>do item 3.2 deste Anexo.</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F97EA30" w14:textId="77777777" w:rsidR="00CB7C58" w:rsidRPr="003523A1" w:rsidRDefault="00532985" w:rsidP="009500C7">
            <w:pPr>
              <w:spacing w:after="0" w:line="240" w:lineRule="auto"/>
              <w:jc w:val="center"/>
              <w:rPr>
                <w:rFonts w:ascii="Arial" w:eastAsia="Times New Roman" w:hAnsi="Arial" w:cs="Arial"/>
                <w:sz w:val="14"/>
                <w:szCs w:val="14"/>
                <w:lang w:eastAsia="pt-BR"/>
              </w:rPr>
            </w:pPr>
            <w:r w:rsidRPr="003523A1">
              <w:rPr>
                <w:rFonts w:ascii="Arial" w:eastAsia="Times New Roman" w:hAnsi="Arial" w:cs="Arial"/>
                <w:sz w:val="14"/>
                <w:szCs w:val="14"/>
                <w:lang w:eastAsia="pt-BR"/>
              </w:rPr>
              <w:t>PDF</w:t>
            </w:r>
          </w:p>
        </w:tc>
      </w:tr>
      <w:tr w:rsidR="00CB7C58" w:rsidRPr="00A5490A" w14:paraId="08777B28" w14:textId="77777777" w:rsidTr="00C074EC">
        <w:tc>
          <w:tcPr>
            <w:tcW w:w="1271" w:type="dxa"/>
            <w:vAlign w:val="center"/>
          </w:tcPr>
          <w:p w14:paraId="471DAF73" w14:textId="77777777" w:rsidR="00CB7C58" w:rsidRPr="00383C63" w:rsidRDefault="00CB7C58" w:rsidP="00075C4D">
            <w:pPr>
              <w:spacing w:after="0" w:line="240" w:lineRule="auto"/>
              <w:jc w:val="center"/>
              <w:rPr>
                <w:rFonts w:ascii="Arial" w:eastAsia="Times New Roman" w:hAnsi="Arial" w:cs="Arial"/>
                <w:sz w:val="18"/>
                <w:szCs w:val="18"/>
                <w:lang w:eastAsia="pt-BR"/>
              </w:rPr>
            </w:pPr>
            <w:r w:rsidRPr="00383C63">
              <w:rPr>
                <w:rFonts w:ascii="Arial" w:eastAsia="Times New Roman" w:hAnsi="Arial" w:cs="Arial"/>
                <w:sz w:val="18"/>
                <w:szCs w:val="18"/>
                <w:lang w:eastAsia="pt-BR"/>
              </w:rPr>
              <w:t>INVINTN</w:t>
            </w:r>
          </w:p>
        </w:tc>
        <w:tc>
          <w:tcPr>
            <w:tcW w:w="6917" w:type="dxa"/>
            <w:shd w:val="clear" w:color="auto" w:fill="auto"/>
            <w:vAlign w:val="center"/>
          </w:tcPr>
          <w:p w14:paraId="58E0B4D4" w14:textId="77777777" w:rsidR="00CB7C58" w:rsidRPr="00383C63" w:rsidRDefault="00CB7C58" w:rsidP="00075C4D">
            <w:pPr>
              <w:spacing w:before="120" w:after="120" w:line="240" w:lineRule="auto"/>
              <w:jc w:val="both"/>
              <w:rPr>
                <w:rFonts w:ascii="Arial" w:eastAsia="Times New Roman" w:hAnsi="Arial" w:cs="Arial"/>
                <w:sz w:val="18"/>
                <w:szCs w:val="18"/>
                <w:lang w:eastAsia="pt-BR"/>
              </w:rPr>
            </w:pPr>
            <w:r w:rsidRPr="00383C63">
              <w:rPr>
                <w:rFonts w:ascii="Arial" w:eastAsia="Times New Roman" w:hAnsi="Arial" w:cs="Arial"/>
                <w:sz w:val="18"/>
                <w:szCs w:val="18"/>
                <w:lang w:eastAsia="pt-BR"/>
              </w:rPr>
              <w:t xml:space="preserve">Inventário anual dos bens intangíveis, contendo no mínimo as seguintes informações: </w:t>
            </w:r>
          </w:p>
          <w:p w14:paraId="3F8611FE" w14:textId="77777777" w:rsidR="00CB7C58" w:rsidRPr="00383C63" w:rsidRDefault="00CB7C58" w:rsidP="00075C4D">
            <w:pPr>
              <w:numPr>
                <w:ilvl w:val="0"/>
                <w:numId w:val="1"/>
              </w:numPr>
              <w:spacing w:before="120" w:after="120" w:line="240" w:lineRule="auto"/>
              <w:jc w:val="both"/>
              <w:rPr>
                <w:rFonts w:ascii="Arial" w:eastAsia="Times New Roman" w:hAnsi="Arial" w:cs="Arial"/>
                <w:sz w:val="18"/>
                <w:szCs w:val="18"/>
                <w:lang w:eastAsia="pt-BR"/>
              </w:rPr>
            </w:pPr>
            <w:r w:rsidRPr="00383C63">
              <w:rPr>
                <w:rFonts w:ascii="Arial" w:eastAsia="Times New Roman" w:hAnsi="Arial" w:cs="Arial"/>
                <w:sz w:val="18"/>
                <w:szCs w:val="18"/>
                <w:lang w:eastAsia="pt-BR"/>
              </w:rPr>
              <w:t xml:space="preserve">Relação dos bens </w:t>
            </w:r>
          </w:p>
          <w:p w14:paraId="156D031C" w14:textId="77777777" w:rsidR="00CB7C58" w:rsidRPr="00383C63" w:rsidRDefault="00CB7C58" w:rsidP="00075C4D">
            <w:pPr>
              <w:numPr>
                <w:ilvl w:val="0"/>
                <w:numId w:val="1"/>
              </w:numPr>
              <w:spacing w:before="120" w:after="120" w:line="240" w:lineRule="auto"/>
              <w:jc w:val="both"/>
              <w:rPr>
                <w:rFonts w:ascii="Arial" w:eastAsia="Times New Roman" w:hAnsi="Arial" w:cs="Arial"/>
                <w:sz w:val="18"/>
                <w:szCs w:val="18"/>
                <w:lang w:eastAsia="pt-BR"/>
              </w:rPr>
            </w:pPr>
            <w:r w:rsidRPr="00383C63">
              <w:rPr>
                <w:rFonts w:ascii="Arial" w:eastAsia="Times New Roman" w:hAnsi="Arial" w:cs="Arial"/>
                <w:sz w:val="18"/>
                <w:szCs w:val="18"/>
                <w:lang w:eastAsia="pt-BR"/>
              </w:rPr>
              <w:t xml:space="preserve">Caracterização (especificação resumida; número de registro de marca ou patente, caso exista, comprovado mediante certidão de registro) </w:t>
            </w:r>
          </w:p>
          <w:p w14:paraId="121D07BD" w14:textId="77777777" w:rsidR="00CB7C58" w:rsidRPr="00383C63" w:rsidRDefault="00CB7C58" w:rsidP="00075C4D">
            <w:pPr>
              <w:numPr>
                <w:ilvl w:val="0"/>
                <w:numId w:val="1"/>
              </w:numPr>
              <w:spacing w:before="120" w:after="120" w:line="240" w:lineRule="auto"/>
              <w:jc w:val="both"/>
              <w:rPr>
                <w:rFonts w:ascii="Arial" w:eastAsia="Times New Roman" w:hAnsi="Arial" w:cs="Arial"/>
                <w:sz w:val="18"/>
                <w:szCs w:val="18"/>
                <w:lang w:eastAsia="pt-BR"/>
              </w:rPr>
            </w:pPr>
            <w:r w:rsidRPr="00383C63">
              <w:rPr>
                <w:rFonts w:ascii="Arial" w:eastAsia="Times New Roman" w:hAnsi="Arial" w:cs="Arial"/>
                <w:sz w:val="18"/>
                <w:szCs w:val="18"/>
                <w:lang w:eastAsia="pt-BR"/>
              </w:rPr>
              <w:t xml:space="preserve">Data de aquisição/produção/incorporação </w:t>
            </w:r>
          </w:p>
          <w:p w14:paraId="7EBEAAD5" w14:textId="77777777" w:rsidR="00CB7C58" w:rsidRPr="00383C63" w:rsidRDefault="00CB7C58" w:rsidP="00075C4D">
            <w:pPr>
              <w:numPr>
                <w:ilvl w:val="0"/>
                <w:numId w:val="1"/>
              </w:numPr>
              <w:spacing w:before="120" w:after="120" w:line="240" w:lineRule="auto"/>
              <w:jc w:val="both"/>
              <w:rPr>
                <w:rFonts w:ascii="Arial" w:eastAsia="Times New Roman" w:hAnsi="Arial" w:cs="Arial"/>
                <w:sz w:val="18"/>
                <w:szCs w:val="18"/>
                <w:lang w:eastAsia="pt-BR"/>
              </w:rPr>
            </w:pPr>
            <w:r w:rsidRPr="00383C63">
              <w:rPr>
                <w:rFonts w:ascii="Arial" w:eastAsia="Times New Roman" w:hAnsi="Arial" w:cs="Arial"/>
                <w:sz w:val="18"/>
                <w:szCs w:val="18"/>
                <w:lang w:eastAsia="pt-BR"/>
              </w:rPr>
              <w:t xml:space="preserve">Valor histórico e valor atualizado </w:t>
            </w:r>
          </w:p>
          <w:p w14:paraId="73ACB106" w14:textId="77777777" w:rsidR="00CB7C58" w:rsidRPr="00383C63" w:rsidRDefault="00CB7C58" w:rsidP="00075C4D">
            <w:pPr>
              <w:pStyle w:val="Default"/>
              <w:jc w:val="both"/>
              <w:rPr>
                <w:rFonts w:eastAsia="Times New Roman"/>
                <w:color w:val="auto"/>
                <w:sz w:val="18"/>
                <w:szCs w:val="18"/>
                <w:lang w:eastAsia="pt-BR"/>
              </w:rPr>
            </w:pPr>
            <w:r w:rsidRPr="00383C63">
              <w:rPr>
                <w:rFonts w:eastAsia="Times New Roman"/>
                <w:color w:val="auto"/>
                <w:sz w:val="18"/>
                <w:szCs w:val="18"/>
                <w:lang w:eastAsia="pt-BR"/>
              </w:rPr>
              <w:t xml:space="preserve">Obs.1: as colunas valor histórico e valor atualizado devem ser totalizadas. </w:t>
            </w:r>
          </w:p>
          <w:p w14:paraId="431038ED" w14:textId="77777777" w:rsidR="00CB7C58" w:rsidRPr="00383C63" w:rsidRDefault="00CB7C58" w:rsidP="00075C4D">
            <w:pPr>
              <w:pStyle w:val="Default"/>
              <w:jc w:val="both"/>
              <w:rPr>
                <w:rFonts w:eastAsia="Times New Roman"/>
                <w:color w:val="auto"/>
                <w:sz w:val="18"/>
                <w:szCs w:val="18"/>
                <w:lang w:eastAsia="pt-BR"/>
              </w:rPr>
            </w:pPr>
            <w:r w:rsidRPr="00383C63">
              <w:rPr>
                <w:rFonts w:eastAsia="Times New Roman"/>
                <w:color w:val="auto"/>
                <w:sz w:val="18"/>
                <w:szCs w:val="18"/>
                <w:lang w:eastAsia="pt-BR"/>
              </w:rPr>
              <w:t xml:space="preserve">Obs.2: </w:t>
            </w:r>
            <w:r w:rsidR="00EC1375" w:rsidRPr="00B6188E">
              <w:rPr>
                <w:rFonts w:eastAsia="Times New Roman"/>
                <w:color w:val="auto"/>
                <w:sz w:val="18"/>
                <w:szCs w:val="18"/>
                <w:lang w:eastAsia="pt-BR"/>
              </w:rPr>
              <w:t xml:space="preserve">durante o período de mensuração, reconhecimento e implementação dos procedimentos contábeis patrimoniais, cujos prazos foram estabelecidos pela </w:t>
            </w:r>
            <w:r w:rsidR="00532985">
              <w:rPr>
                <w:rFonts w:eastAsia="Times New Roman"/>
                <w:color w:val="auto"/>
                <w:sz w:val="18"/>
                <w:szCs w:val="18"/>
                <w:lang w:eastAsia="pt-BR"/>
              </w:rPr>
              <w:t>IN 35/2016</w:t>
            </w:r>
            <w:r w:rsidR="00EC1375" w:rsidRPr="00B6188E">
              <w:rPr>
                <w:rFonts w:eastAsia="Times New Roman"/>
                <w:color w:val="auto"/>
                <w:sz w:val="18"/>
                <w:szCs w:val="18"/>
                <w:lang w:eastAsia="pt-BR"/>
              </w:rPr>
              <w:t>, poderá ser informado para o valor atualizado dos bens o mesmo valor histórico.</w:t>
            </w:r>
          </w:p>
          <w:p w14:paraId="6064BEC7" w14:textId="77777777" w:rsidR="00CB7C58" w:rsidRPr="00383C63" w:rsidRDefault="00CB7C58" w:rsidP="00075C4D">
            <w:pPr>
              <w:pStyle w:val="Default"/>
              <w:jc w:val="both"/>
              <w:rPr>
                <w:rFonts w:eastAsia="Times New Roman"/>
                <w:color w:val="auto"/>
                <w:sz w:val="18"/>
                <w:szCs w:val="18"/>
                <w:lang w:eastAsia="pt-BR"/>
              </w:rPr>
            </w:pPr>
            <w:r w:rsidRPr="00383C63">
              <w:rPr>
                <w:rFonts w:eastAsia="Times New Roman"/>
                <w:color w:val="auto"/>
                <w:sz w:val="18"/>
                <w:szCs w:val="18"/>
                <w:lang w:eastAsia="pt-BR"/>
              </w:rPr>
              <w:t xml:space="preserve">Obs.3: os critérios utilizados para definição de valor histórico, valor atualizado e de mensuração do inventário, devem ser objeto de notas explicativas. </w:t>
            </w:r>
          </w:p>
          <w:p w14:paraId="13F7BA9A" w14:textId="77777777" w:rsidR="00CB7C58" w:rsidRPr="00383C63" w:rsidRDefault="00CB7C58" w:rsidP="00075C4D">
            <w:pPr>
              <w:pStyle w:val="Default"/>
              <w:spacing w:after="120"/>
              <w:jc w:val="both"/>
              <w:rPr>
                <w:rFonts w:eastAsia="Times New Roman"/>
                <w:color w:val="auto"/>
                <w:sz w:val="18"/>
                <w:szCs w:val="18"/>
                <w:lang w:eastAsia="pt-BR"/>
              </w:rPr>
            </w:pPr>
            <w:r w:rsidRPr="00383C63">
              <w:rPr>
                <w:rFonts w:eastAsia="Times New Roman"/>
                <w:color w:val="auto"/>
                <w:sz w:val="18"/>
                <w:szCs w:val="18"/>
                <w:lang w:eastAsia="pt-BR"/>
              </w:rPr>
              <w:t>Obs.4: aplicam-se à presente norma, os conceitos adotados pela Secretaria do Tesouro Nacional em seu Manual de Contabilidade Aplicada ao Setor Público vigente.</w:t>
            </w:r>
            <w:r w:rsidRPr="00383C63">
              <w:rPr>
                <w:color w:val="auto"/>
                <w:sz w:val="16"/>
                <w:szCs w:val="16"/>
              </w:rPr>
              <w:t xml:space="preserve"> </w:t>
            </w:r>
          </w:p>
        </w:tc>
        <w:tc>
          <w:tcPr>
            <w:tcW w:w="992" w:type="dxa"/>
            <w:shd w:val="clear" w:color="auto" w:fill="auto"/>
            <w:vAlign w:val="center"/>
          </w:tcPr>
          <w:p w14:paraId="21BE6569" w14:textId="77777777" w:rsidR="00CB7C58" w:rsidRPr="00A5490A" w:rsidRDefault="00532985" w:rsidP="00075C4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p w14:paraId="20454137" w14:textId="77777777" w:rsidR="00CB7C58" w:rsidRPr="00A5490A" w:rsidRDefault="00CB7C58" w:rsidP="00075C4D">
            <w:pPr>
              <w:spacing w:after="0" w:line="240" w:lineRule="auto"/>
              <w:jc w:val="center"/>
              <w:rPr>
                <w:rFonts w:ascii="Arial" w:eastAsia="Times New Roman" w:hAnsi="Arial" w:cs="Arial"/>
                <w:sz w:val="14"/>
                <w:szCs w:val="14"/>
                <w:highlight w:val="yellow"/>
                <w:lang w:eastAsia="pt-BR"/>
              </w:rPr>
            </w:pPr>
            <w:r w:rsidRPr="00A5490A">
              <w:rPr>
                <w:rFonts w:ascii="Arial" w:eastAsia="Times New Roman" w:hAnsi="Arial" w:cs="Arial"/>
                <w:sz w:val="14"/>
                <w:szCs w:val="14"/>
                <w:lang w:eastAsia="pt-BR"/>
              </w:rPr>
              <w:t>e</w:t>
            </w:r>
            <w:r w:rsidRPr="00A5490A">
              <w:rPr>
                <w:rFonts w:ascii="Arial" w:eastAsia="Times New Roman" w:hAnsi="Arial" w:cs="Arial"/>
                <w:sz w:val="14"/>
                <w:szCs w:val="14"/>
                <w:highlight w:val="yellow"/>
                <w:lang w:eastAsia="pt-BR"/>
              </w:rPr>
              <w:t xml:space="preserve"> </w:t>
            </w:r>
          </w:p>
          <w:p w14:paraId="1BE3AD2E" w14:textId="77777777" w:rsidR="00CB7C58" w:rsidRPr="00A5490A" w:rsidRDefault="00CB7C58" w:rsidP="00075C4D">
            <w:pPr>
              <w:spacing w:after="0" w:line="240" w:lineRule="auto"/>
              <w:jc w:val="center"/>
              <w:rPr>
                <w:rFonts w:ascii="Arial" w:eastAsia="Times New Roman" w:hAnsi="Arial" w:cs="Arial"/>
                <w:sz w:val="14"/>
                <w:szCs w:val="14"/>
                <w:lang w:eastAsia="pt-BR"/>
              </w:rPr>
            </w:pPr>
            <w:r w:rsidRPr="00A5490A">
              <w:rPr>
                <w:rFonts w:ascii="Arial" w:eastAsia="Times New Roman" w:hAnsi="Arial" w:cs="Arial"/>
                <w:sz w:val="14"/>
                <w:szCs w:val="14"/>
                <w:lang w:eastAsia="pt-BR"/>
              </w:rPr>
              <w:t>XLS</w:t>
            </w:r>
            <w:r>
              <w:rPr>
                <w:rFonts w:ascii="Arial" w:eastAsia="Times New Roman" w:hAnsi="Arial" w:cs="Arial"/>
                <w:sz w:val="14"/>
                <w:szCs w:val="14"/>
                <w:lang w:eastAsia="pt-BR"/>
              </w:rPr>
              <w:t>/XLSX/ODS</w:t>
            </w:r>
          </w:p>
        </w:tc>
      </w:tr>
      <w:tr w:rsidR="003523A1" w:rsidRPr="003523A1" w14:paraId="47F1EAF6" w14:textId="77777777" w:rsidTr="00C074EC">
        <w:tc>
          <w:tcPr>
            <w:tcW w:w="1271" w:type="dxa"/>
            <w:tcBorders>
              <w:top w:val="single" w:sz="4" w:space="0" w:color="auto"/>
              <w:left w:val="single" w:sz="4" w:space="0" w:color="auto"/>
              <w:bottom w:val="single" w:sz="4" w:space="0" w:color="auto"/>
              <w:right w:val="single" w:sz="4" w:space="0" w:color="auto"/>
            </w:tcBorders>
            <w:vAlign w:val="center"/>
          </w:tcPr>
          <w:p w14:paraId="6ABC5EE8" w14:textId="77777777" w:rsidR="00CB7C58" w:rsidRPr="003523A1" w:rsidRDefault="00CB7C58" w:rsidP="00383C63">
            <w:pPr>
              <w:spacing w:after="0" w:line="240" w:lineRule="auto"/>
              <w:jc w:val="center"/>
              <w:rPr>
                <w:rFonts w:ascii="Arial" w:eastAsia="Times New Roman" w:hAnsi="Arial" w:cs="Arial"/>
                <w:sz w:val="18"/>
                <w:szCs w:val="18"/>
                <w:lang w:eastAsia="pt-BR"/>
              </w:rPr>
            </w:pPr>
            <w:r w:rsidRPr="003523A1">
              <w:rPr>
                <w:rFonts w:ascii="Arial" w:eastAsia="Times New Roman" w:hAnsi="Arial" w:cs="Arial"/>
                <w:sz w:val="18"/>
                <w:szCs w:val="18"/>
                <w:lang w:eastAsia="pt-BR"/>
              </w:rPr>
              <w:t>TERINT</w:t>
            </w:r>
          </w:p>
        </w:tc>
        <w:tc>
          <w:tcPr>
            <w:tcW w:w="6917" w:type="dxa"/>
            <w:tcBorders>
              <w:top w:val="single" w:sz="4" w:space="0" w:color="auto"/>
              <w:left w:val="single" w:sz="4" w:space="0" w:color="auto"/>
              <w:bottom w:val="single" w:sz="4" w:space="0" w:color="auto"/>
              <w:right w:val="single" w:sz="4" w:space="0" w:color="auto"/>
            </w:tcBorders>
            <w:shd w:val="clear" w:color="auto" w:fill="auto"/>
            <w:vAlign w:val="center"/>
          </w:tcPr>
          <w:p w14:paraId="5791DF05" w14:textId="67C9AF9B" w:rsidR="00CB7C58" w:rsidRPr="003523A1" w:rsidRDefault="00CB7C58" w:rsidP="009500C7">
            <w:pPr>
              <w:spacing w:before="120" w:after="120" w:line="240" w:lineRule="auto"/>
              <w:jc w:val="both"/>
              <w:rPr>
                <w:rFonts w:ascii="Arial" w:eastAsia="Times New Roman" w:hAnsi="Arial" w:cs="Arial"/>
                <w:sz w:val="18"/>
                <w:szCs w:val="18"/>
                <w:lang w:eastAsia="pt-BR"/>
              </w:rPr>
            </w:pPr>
            <w:r w:rsidRPr="003523A1">
              <w:rPr>
                <w:rFonts w:ascii="Arial" w:eastAsia="Times New Roman" w:hAnsi="Arial" w:cs="Arial"/>
                <w:sz w:val="18"/>
                <w:szCs w:val="18"/>
                <w:lang w:eastAsia="pt-BR"/>
              </w:rPr>
              <w:t>Termo circunstanciado elaborado e assinado pela comissão responsável pelo Inventário anual dos bens intangíveis (INVINTN), indicando o saldo total apurado e o detalhamento (especificação e valor) das divergências encontradas</w:t>
            </w:r>
            <w:r w:rsidR="0026646F" w:rsidRPr="003523A1">
              <w:rPr>
                <w:rFonts w:ascii="Arial" w:eastAsia="Times New Roman" w:hAnsi="Arial" w:cs="Arial"/>
                <w:sz w:val="18"/>
                <w:szCs w:val="18"/>
                <w:lang w:eastAsia="pt-BR"/>
              </w:rPr>
              <w:t xml:space="preserve">, na forma </w:t>
            </w:r>
            <w:r w:rsidR="003523A1" w:rsidRPr="003523A1">
              <w:rPr>
                <w:rFonts w:ascii="Arial" w:eastAsia="Times New Roman" w:hAnsi="Arial" w:cs="Arial"/>
                <w:sz w:val="18"/>
                <w:szCs w:val="18"/>
                <w:lang w:eastAsia="pt-BR"/>
              </w:rPr>
              <w:t>do item 3.2 deste Anexo.</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2259C82" w14:textId="77777777" w:rsidR="00CB7C58" w:rsidRPr="003523A1" w:rsidRDefault="00532985" w:rsidP="009500C7">
            <w:pPr>
              <w:spacing w:after="0" w:line="240" w:lineRule="auto"/>
              <w:jc w:val="center"/>
              <w:rPr>
                <w:rFonts w:ascii="Arial" w:eastAsia="Times New Roman" w:hAnsi="Arial" w:cs="Arial"/>
                <w:sz w:val="14"/>
                <w:szCs w:val="14"/>
                <w:lang w:eastAsia="pt-BR"/>
              </w:rPr>
            </w:pPr>
            <w:r w:rsidRPr="003523A1">
              <w:rPr>
                <w:rFonts w:ascii="Arial" w:eastAsia="Times New Roman" w:hAnsi="Arial" w:cs="Arial"/>
                <w:sz w:val="14"/>
                <w:szCs w:val="14"/>
                <w:lang w:eastAsia="pt-BR"/>
              </w:rPr>
              <w:t>PDF</w:t>
            </w:r>
          </w:p>
        </w:tc>
      </w:tr>
      <w:tr w:rsidR="00CB7C58" w:rsidRPr="00A5490A" w14:paraId="5A9CD6B9" w14:textId="77777777" w:rsidTr="00C074EC">
        <w:tc>
          <w:tcPr>
            <w:tcW w:w="1271" w:type="dxa"/>
            <w:vAlign w:val="center"/>
          </w:tcPr>
          <w:p w14:paraId="26CFC100" w14:textId="77777777" w:rsidR="00CB7C58" w:rsidRPr="00383C63" w:rsidRDefault="00CB7C58" w:rsidP="00075C4D">
            <w:pPr>
              <w:spacing w:after="0" w:line="240" w:lineRule="auto"/>
              <w:jc w:val="center"/>
              <w:rPr>
                <w:rFonts w:ascii="Arial" w:eastAsia="Times New Roman" w:hAnsi="Arial" w:cs="Arial"/>
                <w:sz w:val="18"/>
                <w:szCs w:val="18"/>
                <w:lang w:eastAsia="pt-BR"/>
              </w:rPr>
            </w:pPr>
            <w:r w:rsidRPr="00383C63">
              <w:rPr>
                <w:rFonts w:ascii="Arial" w:eastAsia="Times New Roman" w:hAnsi="Arial" w:cs="Arial"/>
                <w:sz w:val="18"/>
                <w:szCs w:val="18"/>
                <w:lang w:eastAsia="pt-BR"/>
              </w:rPr>
              <w:t>COMINV</w:t>
            </w:r>
          </w:p>
        </w:tc>
        <w:tc>
          <w:tcPr>
            <w:tcW w:w="6917" w:type="dxa"/>
            <w:shd w:val="clear" w:color="auto" w:fill="auto"/>
            <w:vAlign w:val="center"/>
          </w:tcPr>
          <w:p w14:paraId="0B2BEA7B" w14:textId="77777777" w:rsidR="00CB7C58" w:rsidRPr="00383C63" w:rsidRDefault="00CB7C58" w:rsidP="00075C4D">
            <w:pPr>
              <w:spacing w:before="120" w:after="120" w:line="240" w:lineRule="auto"/>
              <w:jc w:val="both"/>
              <w:rPr>
                <w:rFonts w:ascii="Arial" w:eastAsia="Times New Roman" w:hAnsi="Arial" w:cs="Arial"/>
                <w:sz w:val="18"/>
                <w:szCs w:val="18"/>
                <w:lang w:eastAsia="pt-BR"/>
              </w:rPr>
            </w:pPr>
            <w:r w:rsidRPr="00383C63">
              <w:rPr>
                <w:rFonts w:ascii="Arial" w:eastAsia="Times New Roman" w:hAnsi="Arial" w:cs="Arial"/>
                <w:sz w:val="18"/>
                <w:szCs w:val="18"/>
                <w:lang w:eastAsia="pt-BR"/>
              </w:rPr>
              <w:t>Ato de designação da comissão responsável pela elaboração dos inventários.</w:t>
            </w:r>
          </w:p>
        </w:tc>
        <w:tc>
          <w:tcPr>
            <w:tcW w:w="992" w:type="dxa"/>
            <w:shd w:val="clear" w:color="auto" w:fill="auto"/>
            <w:vAlign w:val="center"/>
          </w:tcPr>
          <w:p w14:paraId="2ECF1D1E" w14:textId="77777777" w:rsidR="00CB7C58" w:rsidRPr="00383C63" w:rsidRDefault="00532985" w:rsidP="00075C4D">
            <w:pPr>
              <w:spacing w:after="0" w:line="240" w:lineRule="auto"/>
              <w:jc w:val="center"/>
              <w:rPr>
                <w:rFonts w:ascii="Arial" w:eastAsia="Times New Roman" w:hAnsi="Arial" w:cs="Arial"/>
                <w:i/>
                <w:sz w:val="14"/>
                <w:szCs w:val="14"/>
                <w:lang w:eastAsia="pt-BR"/>
              </w:rPr>
            </w:pPr>
            <w:r>
              <w:rPr>
                <w:rFonts w:ascii="Arial" w:eastAsia="Times New Roman" w:hAnsi="Arial" w:cs="Arial"/>
                <w:sz w:val="14"/>
                <w:szCs w:val="14"/>
                <w:lang w:eastAsia="pt-BR"/>
              </w:rPr>
              <w:t>PDF</w:t>
            </w:r>
          </w:p>
        </w:tc>
      </w:tr>
      <w:tr w:rsidR="00CB7C58" w:rsidRPr="00A5490A" w14:paraId="32D54D00" w14:textId="77777777" w:rsidTr="00C074EC">
        <w:tc>
          <w:tcPr>
            <w:tcW w:w="1271" w:type="dxa"/>
            <w:vAlign w:val="center"/>
          </w:tcPr>
          <w:p w14:paraId="4DE65458" w14:textId="77777777" w:rsidR="00CB7C58" w:rsidRPr="00383C63" w:rsidRDefault="00CB7C58" w:rsidP="00075C4D">
            <w:pPr>
              <w:spacing w:after="0" w:line="240" w:lineRule="auto"/>
              <w:jc w:val="center"/>
              <w:rPr>
                <w:rFonts w:ascii="Arial" w:eastAsia="Times New Roman" w:hAnsi="Arial" w:cs="Arial"/>
                <w:sz w:val="18"/>
                <w:szCs w:val="18"/>
                <w:lang w:eastAsia="pt-BR"/>
              </w:rPr>
            </w:pPr>
            <w:r w:rsidRPr="00383C63">
              <w:rPr>
                <w:rFonts w:ascii="Arial" w:eastAsia="Times New Roman" w:hAnsi="Arial" w:cs="Arial"/>
                <w:sz w:val="18"/>
                <w:szCs w:val="18"/>
                <w:lang w:eastAsia="pt-BR"/>
              </w:rPr>
              <w:t>DEMRAPG</w:t>
            </w:r>
          </w:p>
        </w:tc>
        <w:tc>
          <w:tcPr>
            <w:tcW w:w="6917" w:type="dxa"/>
            <w:shd w:val="clear" w:color="auto" w:fill="auto"/>
            <w:vAlign w:val="center"/>
          </w:tcPr>
          <w:p w14:paraId="183E8558" w14:textId="77777777" w:rsidR="00CB7C58" w:rsidRPr="00383C63" w:rsidRDefault="00CB7C58" w:rsidP="00075C4D">
            <w:pPr>
              <w:spacing w:before="120" w:after="120" w:line="240" w:lineRule="auto"/>
              <w:jc w:val="both"/>
              <w:rPr>
                <w:rFonts w:ascii="Arial" w:eastAsia="Times New Roman" w:hAnsi="Arial" w:cs="Arial"/>
                <w:i/>
                <w:sz w:val="18"/>
                <w:szCs w:val="18"/>
                <w:lang w:eastAsia="pt-BR"/>
              </w:rPr>
            </w:pPr>
            <w:r w:rsidRPr="00383C63">
              <w:rPr>
                <w:rFonts w:ascii="Arial" w:eastAsia="Times New Roman" w:hAnsi="Arial" w:cs="Arial"/>
                <w:sz w:val="18"/>
                <w:szCs w:val="18"/>
                <w:lang w:eastAsia="pt-BR"/>
              </w:rPr>
              <w:t>Demonstrativo de Restos a Pagar, evidenciando</w:t>
            </w:r>
            <w:r w:rsidRPr="00383C63">
              <w:rPr>
                <w:rFonts w:ascii="Arial" w:eastAsia="Times New Roman" w:hAnsi="Arial" w:cs="Arial"/>
                <w:b/>
                <w:bCs/>
                <w:sz w:val="18"/>
                <w:szCs w:val="18"/>
                <w:lang w:eastAsia="pt-BR"/>
              </w:rPr>
              <w:t>:</w:t>
            </w:r>
          </w:p>
          <w:p w14:paraId="318E3E7C" w14:textId="77777777" w:rsidR="00CB7C58" w:rsidRPr="00383C63" w:rsidRDefault="00CB7C58" w:rsidP="00075C4D">
            <w:pPr>
              <w:numPr>
                <w:ilvl w:val="0"/>
                <w:numId w:val="5"/>
              </w:numPr>
              <w:spacing w:before="120" w:after="120" w:line="240" w:lineRule="auto"/>
              <w:jc w:val="both"/>
              <w:rPr>
                <w:rFonts w:ascii="Arial" w:eastAsia="Times New Roman" w:hAnsi="Arial" w:cs="Arial"/>
                <w:sz w:val="18"/>
                <w:szCs w:val="18"/>
                <w:lang w:eastAsia="pt-BR"/>
              </w:rPr>
            </w:pPr>
            <w:r w:rsidRPr="00383C63">
              <w:rPr>
                <w:rFonts w:ascii="Arial" w:eastAsia="Times New Roman" w:hAnsi="Arial" w:cs="Arial"/>
                <w:sz w:val="18"/>
                <w:szCs w:val="18"/>
                <w:lang w:eastAsia="pt-BR"/>
              </w:rPr>
              <w:t>os saldos de restos a pagar de exercícios anteriores e os restos a pagar inscritos no exercício sob análise, discriminados em: processados e não processados, por exercício, por credor, por fonte de recursos, por função e subfunção;</w:t>
            </w:r>
          </w:p>
          <w:p w14:paraId="38FFF9C2" w14:textId="77777777" w:rsidR="00CB7C58" w:rsidRPr="00383C63" w:rsidRDefault="00CB7C58" w:rsidP="004C1E78">
            <w:pPr>
              <w:numPr>
                <w:ilvl w:val="0"/>
                <w:numId w:val="5"/>
              </w:numPr>
              <w:spacing w:before="120" w:after="120" w:line="240" w:lineRule="auto"/>
              <w:jc w:val="both"/>
              <w:rPr>
                <w:rFonts w:ascii="Arial" w:eastAsia="Times New Roman" w:hAnsi="Arial" w:cs="Arial"/>
                <w:sz w:val="18"/>
                <w:szCs w:val="18"/>
                <w:lang w:eastAsia="pt-BR"/>
              </w:rPr>
            </w:pPr>
            <w:r w:rsidRPr="00383C63">
              <w:rPr>
                <w:rFonts w:ascii="Arial" w:eastAsia="Times New Roman" w:hAnsi="Arial" w:cs="Arial"/>
                <w:sz w:val="18"/>
                <w:szCs w:val="18"/>
                <w:lang w:eastAsia="pt-BR"/>
              </w:rPr>
              <w:t>os restos a pagar cancelados no exercício sob análise, discriminados em: processados e não-processados, por exercício, por credor, por fonte de recursos, por função e subfunção.</w:t>
            </w:r>
          </w:p>
        </w:tc>
        <w:tc>
          <w:tcPr>
            <w:tcW w:w="992" w:type="dxa"/>
            <w:shd w:val="clear" w:color="auto" w:fill="auto"/>
            <w:vAlign w:val="center"/>
          </w:tcPr>
          <w:p w14:paraId="4F1D51BB" w14:textId="77777777" w:rsidR="00CB7C58" w:rsidRPr="00383C63" w:rsidRDefault="00532985" w:rsidP="00075C4D">
            <w:pPr>
              <w:spacing w:after="0" w:line="240" w:lineRule="auto"/>
              <w:jc w:val="center"/>
              <w:rPr>
                <w:rFonts w:ascii="Arial" w:eastAsia="Times New Roman" w:hAnsi="Arial" w:cs="Arial"/>
                <w:i/>
                <w:sz w:val="14"/>
                <w:szCs w:val="14"/>
                <w:lang w:eastAsia="pt-BR"/>
              </w:rPr>
            </w:pPr>
            <w:r>
              <w:rPr>
                <w:rFonts w:ascii="Arial" w:eastAsia="Times New Roman" w:hAnsi="Arial" w:cs="Arial"/>
                <w:sz w:val="14"/>
                <w:szCs w:val="14"/>
                <w:lang w:eastAsia="pt-BR"/>
              </w:rPr>
              <w:t>PDF</w:t>
            </w:r>
          </w:p>
        </w:tc>
      </w:tr>
      <w:tr w:rsidR="00CB7C58" w:rsidRPr="00A5490A" w14:paraId="11FE2C75" w14:textId="77777777" w:rsidTr="00C074EC">
        <w:tc>
          <w:tcPr>
            <w:tcW w:w="1271" w:type="dxa"/>
            <w:vAlign w:val="center"/>
          </w:tcPr>
          <w:p w14:paraId="3BF7B937" w14:textId="77777777" w:rsidR="00CB7C58" w:rsidRPr="00A5490A" w:rsidRDefault="00CB7C58" w:rsidP="00075C4D">
            <w:pPr>
              <w:spacing w:after="0" w:line="240" w:lineRule="auto"/>
              <w:jc w:val="center"/>
              <w:rPr>
                <w:rFonts w:ascii="Arial" w:eastAsia="Times New Roman" w:hAnsi="Arial" w:cs="Arial"/>
                <w:sz w:val="18"/>
                <w:szCs w:val="18"/>
                <w:lang w:eastAsia="pt-BR"/>
              </w:rPr>
            </w:pPr>
            <w:r w:rsidRPr="001319C3">
              <w:rPr>
                <w:rFonts w:ascii="Arial" w:eastAsia="Times New Roman" w:hAnsi="Arial" w:cs="Arial"/>
                <w:sz w:val="18"/>
                <w:szCs w:val="18"/>
                <w:lang w:eastAsia="pt-BR"/>
              </w:rPr>
              <w:lastRenderedPageBreak/>
              <w:t>EXTBAN</w:t>
            </w:r>
          </w:p>
        </w:tc>
        <w:tc>
          <w:tcPr>
            <w:tcW w:w="6917" w:type="dxa"/>
            <w:shd w:val="clear" w:color="auto" w:fill="auto"/>
            <w:vAlign w:val="center"/>
          </w:tcPr>
          <w:p w14:paraId="29894002" w14:textId="77777777" w:rsidR="00CB7C58" w:rsidRPr="00A5490A" w:rsidRDefault="00CB7C58" w:rsidP="00075C4D">
            <w:pPr>
              <w:spacing w:before="120" w:after="120" w:line="240" w:lineRule="auto"/>
              <w:jc w:val="both"/>
              <w:rPr>
                <w:rFonts w:ascii="Arial" w:eastAsia="Times New Roman" w:hAnsi="Arial" w:cs="Arial"/>
                <w:sz w:val="18"/>
                <w:szCs w:val="18"/>
                <w:lang w:eastAsia="pt-BR"/>
              </w:rPr>
            </w:pPr>
            <w:r w:rsidRPr="00A5490A">
              <w:rPr>
                <w:rFonts w:ascii="Arial" w:eastAsia="Times New Roman" w:hAnsi="Arial" w:cs="Arial"/>
                <w:sz w:val="18"/>
                <w:szCs w:val="18"/>
                <w:lang w:eastAsia="pt-BR"/>
              </w:rPr>
              <w:t>Extratos bancários relativos ao mês de encerramento do exercício.</w:t>
            </w:r>
          </w:p>
        </w:tc>
        <w:tc>
          <w:tcPr>
            <w:tcW w:w="992" w:type="dxa"/>
            <w:shd w:val="clear" w:color="auto" w:fill="auto"/>
            <w:vAlign w:val="center"/>
          </w:tcPr>
          <w:p w14:paraId="11695C14" w14:textId="77777777" w:rsidR="00CB7C58" w:rsidRPr="00A5490A" w:rsidRDefault="00532985" w:rsidP="00075C4D">
            <w:pPr>
              <w:spacing w:after="0" w:line="240" w:lineRule="auto"/>
              <w:jc w:val="center"/>
              <w:rPr>
                <w:rFonts w:ascii="Arial" w:eastAsia="Times New Roman" w:hAnsi="Arial" w:cs="Arial"/>
                <w:i/>
                <w:sz w:val="14"/>
                <w:szCs w:val="14"/>
                <w:lang w:eastAsia="pt-BR"/>
              </w:rPr>
            </w:pPr>
            <w:r>
              <w:rPr>
                <w:rFonts w:ascii="Arial" w:eastAsia="Times New Roman" w:hAnsi="Arial" w:cs="Arial"/>
                <w:sz w:val="14"/>
                <w:szCs w:val="14"/>
                <w:lang w:eastAsia="pt-BR"/>
              </w:rPr>
              <w:t>PDF</w:t>
            </w:r>
          </w:p>
        </w:tc>
      </w:tr>
      <w:tr w:rsidR="009814E6" w:rsidRPr="009814E6" w14:paraId="4329C511" w14:textId="77777777" w:rsidTr="00C074EC">
        <w:tc>
          <w:tcPr>
            <w:tcW w:w="1271" w:type="dxa"/>
            <w:vAlign w:val="center"/>
          </w:tcPr>
          <w:p w14:paraId="5EFC3907" w14:textId="77777777" w:rsidR="00CB7C58" w:rsidRPr="009814E6" w:rsidRDefault="00CB7C58" w:rsidP="00075C4D">
            <w:pPr>
              <w:spacing w:after="0" w:line="240" w:lineRule="auto"/>
              <w:jc w:val="center"/>
              <w:rPr>
                <w:rFonts w:ascii="Arial" w:eastAsia="Times New Roman" w:hAnsi="Arial" w:cs="Arial"/>
                <w:sz w:val="18"/>
                <w:szCs w:val="18"/>
                <w:lang w:eastAsia="pt-BR"/>
              </w:rPr>
            </w:pPr>
            <w:r w:rsidRPr="009814E6">
              <w:rPr>
                <w:rFonts w:ascii="Arial" w:eastAsia="Times New Roman" w:hAnsi="Arial" w:cs="Arial"/>
                <w:sz w:val="18"/>
                <w:szCs w:val="18"/>
                <w:lang w:eastAsia="pt-BR"/>
              </w:rPr>
              <w:t>TVDISPN</w:t>
            </w:r>
          </w:p>
        </w:tc>
        <w:tc>
          <w:tcPr>
            <w:tcW w:w="6917" w:type="dxa"/>
            <w:shd w:val="clear" w:color="auto" w:fill="auto"/>
            <w:vAlign w:val="center"/>
          </w:tcPr>
          <w:p w14:paraId="0D24A80C" w14:textId="6A01D57C" w:rsidR="00CB7C58" w:rsidRPr="009814E6" w:rsidRDefault="00CB7C58" w:rsidP="00E43328">
            <w:pPr>
              <w:spacing w:before="120" w:after="120" w:line="240" w:lineRule="auto"/>
              <w:jc w:val="both"/>
              <w:rPr>
                <w:rFonts w:ascii="Arial" w:eastAsia="Times New Roman" w:hAnsi="Arial" w:cs="Arial"/>
                <w:sz w:val="18"/>
                <w:szCs w:val="18"/>
                <w:lang w:eastAsia="pt-BR"/>
              </w:rPr>
            </w:pPr>
            <w:r w:rsidRPr="009814E6">
              <w:rPr>
                <w:rFonts w:ascii="Arial" w:eastAsia="Times New Roman" w:hAnsi="Arial" w:cs="Arial"/>
                <w:sz w:val="18"/>
                <w:szCs w:val="18"/>
                <w:lang w:eastAsia="pt-BR"/>
              </w:rPr>
              <w:t xml:space="preserve">Termo de verificação de disponibilidades, na forma </w:t>
            </w:r>
            <w:r w:rsidR="009814E6" w:rsidRPr="009814E6">
              <w:rPr>
                <w:rFonts w:ascii="Arial" w:eastAsia="Times New Roman" w:hAnsi="Arial" w:cs="Arial"/>
                <w:sz w:val="18"/>
                <w:szCs w:val="18"/>
                <w:lang w:eastAsia="pt-BR"/>
              </w:rPr>
              <w:t>do item 3.2 deste Anexo.</w:t>
            </w:r>
          </w:p>
        </w:tc>
        <w:tc>
          <w:tcPr>
            <w:tcW w:w="992" w:type="dxa"/>
            <w:shd w:val="clear" w:color="auto" w:fill="auto"/>
            <w:vAlign w:val="center"/>
          </w:tcPr>
          <w:p w14:paraId="524F9A6B" w14:textId="77777777" w:rsidR="00CB7C58" w:rsidRPr="009814E6" w:rsidRDefault="00532985" w:rsidP="00075C4D">
            <w:pPr>
              <w:spacing w:after="0" w:line="240" w:lineRule="auto"/>
              <w:jc w:val="center"/>
              <w:rPr>
                <w:rFonts w:ascii="Arial" w:eastAsia="Times New Roman" w:hAnsi="Arial" w:cs="Arial"/>
                <w:sz w:val="14"/>
                <w:szCs w:val="14"/>
                <w:lang w:eastAsia="pt-BR"/>
              </w:rPr>
            </w:pPr>
            <w:r w:rsidRPr="009814E6">
              <w:rPr>
                <w:rFonts w:ascii="Arial" w:eastAsia="Times New Roman" w:hAnsi="Arial" w:cs="Arial"/>
                <w:sz w:val="14"/>
                <w:szCs w:val="14"/>
                <w:lang w:eastAsia="pt-BR"/>
              </w:rPr>
              <w:t>PDF</w:t>
            </w:r>
          </w:p>
          <w:p w14:paraId="52E3CE57" w14:textId="77777777" w:rsidR="00CB7C58" w:rsidRPr="009814E6" w:rsidRDefault="00CB7C58" w:rsidP="00075C4D">
            <w:pPr>
              <w:spacing w:after="0" w:line="240" w:lineRule="auto"/>
              <w:jc w:val="center"/>
              <w:rPr>
                <w:rFonts w:ascii="Arial" w:eastAsia="Times New Roman" w:hAnsi="Arial" w:cs="Arial"/>
                <w:sz w:val="14"/>
                <w:szCs w:val="14"/>
                <w:highlight w:val="yellow"/>
                <w:lang w:eastAsia="pt-BR"/>
              </w:rPr>
            </w:pPr>
            <w:r w:rsidRPr="009814E6">
              <w:rPr>
                <w:rFonts w:ascii="Arial" w:eastAsia="Times New Roman" w:hAnsi="Arial" w:cs="Arial"/>
                <w:sz w:val="14"/>
                <w:szCs w:val="14"/>
                <w:lang w:eastAsia="pt-BR"/>
              </w:rPr>
              <w:t>e</w:t>
            </w:r>
            <w:r w:rsidRPr="009814E6">
              <w:rPr>
                <w:rFonts w:ascii="Arial" w:eastAsia="Times New Roman" w:hAnsi="Arial" w:cs="Arial"/>
                <w:sz w:val="14"/>
                <w:szCs w:val="14"/>
                <w:highlight w:val="yellow"/>
                <w:lang w:eastAsia="pt-BR"/>
              </w:rPr>
              <w:t xml:space="preserve"> </w:t>
            </w:r>
          </w:p>
          <w:p w14:paraId="086FC6C9" w14:textId="77777777" w:rsidR="00CB7C58" w:rsidRPr="009814E6" w:rsidRDefault="00CB7C58" w:rsidP="00075C4D">
            <w:pPr>
              <w:spacing w:after="0" w:line="240" w:lineRule="auto"/>
              <w:jc w:val="center"/>
              <w:rPr>
                <w:rFonts w:ascii="Arial" w:eastAsia="Times New Roman" w:hAnsi="Arial" w:cs="Arial"/>
                <w:i/>
                <w:sz w:val="14"/>
                <w:szCs w:val="14"/>
                <w:lang w:eastAsia="pt-BR"/>
              </w:rPr>
            </w:pPr>
            <w:r w:rsidRPr="009814E6">
              <w:rPr>
                <w:rFonts w:ascii="Arial" w:eastAsia="Times New Roman" w:hAnsi="Arial" w:cs="Arial"/>
                <w:sz w:val="14"/>
                <w:szCs w:val="14"/>
                <w:lang w:eastAsia="pt-BR"/>
              </w:rPr>
              <w:t>XLS/XLSX/ODS</w:t>
            </w:r>
          </w:p>
        </w:tc>
      </w:tr>
      <w:tr w:rsidR="00CB7C58" w:rsidRPr="00A5490A" w14:paraId="0D90E0E5" w14:textId="77777777" w:rsidTr="00C074EC">
        <w:tc>
          <w:tcPr>
            <w:tcW w:w="1271" w:type="dxa"/>
            <w:vAlign w:val="center"/>
          </w:tcPr>
          <w:p w14:paraId="3479F1EC" w14:textId="77777777" w:rsidR="00CB7C58" w:rsidRPr="00383C63" w:rsidRDefault="00CB7C58" w:rsidP="00075C4D">
            <w:pPr>
              <w:spacing w:after="0" w:line="240" w:lineRule="auto"/>
              <w:jc w:val="center"/>
              <w:rPr>
                <w:rFonts w:ascii="Arial" w:eastAsia="Times New Roman" w:hAnsi="Arial" w:cs="Arial"/>
                <w:sz w:val="18"/>
                <w:szCs w:val="18"/>
                <w:lang w:eastAsia="pt-BR"/>
              </w:rPr>
            </w:pPr>
            <w:r w:rsidRPr="00383C63">
              <w:rPr>
                <w:rFonts w:ascii="Arial" w:eastAsia="Times New Roman" w:hAnsi="Arial" w:cs="Arial"/>
                <w:sz w:val="18"/>
                <w:szCs w:val="18"/>
                <w:lang w:eastAsia="pt-BR"/>
              </w:rPr>
              <w:t>PROINT</w:t>
            </w:r>
          </w:p>
        </w:tc>
        <w:tc>
          <w:tcPr>
            <w:tcW w:w="6917" w:type="dxa"/>
            <w:shd w:val="clear" w:color="auto" w:fill="auto"/>
            <w:vAlign w:val="center"/>
          </w:tcPr>
          <w:p w14:paraId="4542AEEB" w14:textId="77777777" w:rsidR="00CB7C58" w:rsidRPr="00383C63" w:rsidRDefault="00CB7C58" w:rsidP="00EC5239">
            <w:pPr>
              <w:spacing w:before="120" w:after="120" w:line="240" w:lineRule="auto"/>
              <w:jc w:val="both"/>
              <w:rPr>
                <w:rFonts w:ascii="Arial" w:eastAsia="Times New Roman" w:hAnsi="Arial" w:cs="Arial"/>
                <w:sz w:val="18"/>
                <w:szCs w:val="18"/>
                <w:lang w:eastAsia="pt-BR"/>
              </w:rPr>
            </w:pPr>
            <w:r w:rsidRPr="00383C63">
              <w:rPr>
                <w:rFonts w:ascii="Arial" w:eastAsia="Times New Roman" w:hAnsi="Arial" w:cs="Arial"/>
                <w:sz w:val="18"/>
                <w:szCs w:val="18"/>
                <w:lang w:eastAsia="pt-BR"/>
              </w:rPr>
              <w:t xml:space="preserve">Cópia do protocolo de intenções, acompanhada do comprovante de publicação na imprensa oficial e de cópia da lei que o ratificou. </w:t>
            </w:r>
          </w:p>
        </w:tc>
        <w:tc>
          <w:tcPr>
            <w:tcW w:w="992" w:type="dxa"/>
            <w:shd w:val="clear" w:color="auto" w:fill="auto"/>
            <w:vAlign w:val="center"/>
          </w:tcPr>
          <w:p w14:paraId="2A3D5273" w14:textId="77777777" w:rsidR="00CB7C58" w:rsidRPr="00383C63" w:rsidRDefault="00532985" w:rsidP="00075C4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CB7C58" w:rsidRPr="00A5490A" w14:paraId="0101BDF8" w14:textId="77777777" w:rsidTr="00C074EC">
        <w:tc>
          <w:tcPr>
            <w:tcW w:w="1271" w:type="dxa"/>
            <w:vAlign w:val="center"/>
          </w:tcPr>
          <w:p w14:paraId="0A105FE0" w14:textId="77777777" w:rsidR="00CB7C58" w:rsidRPr="00383C63" w:rsidRDefault="00CB7C58" w:rsidP="00075C4D">
            <w:pPr>
              <w:spacing w:after="0" w:line="240" w:lineRule="auto"/>
              <w:jc w:val="center"/>
              <w:rPr>
                <w:rFonts w:ascii="Arial" w:eastAsia="Times New Roman" w:hAnsi="Arial" w:cs="Arial"/>
                <w:sz w:val="18"/>
                <w:szCs w:val="18"/>
                <w:lang w:eastAsia="pt-BR"/>
              </w:rPr>
            </w:pPr>
            <w:r w:rsidRPr="00383C63">
              <w:rPr>
                <w:rFonts w:ascii="Arial" w:eastAsia="Times New Roman" w:hAnsi="Arial" w:cs="Arial"/>
                <w:sz w:val="18"/>
                <w:szCs w:val="18"/>
                <w:lang w:eastAsia="pt-BR"/>
              </w:rPr>
              <w:t>CONTRA</w:t>
            </w:r>
          </w:p>
        </w:tc>
        <w:tc>
          <w:tcPr>
            <w:tcW w:w="6917" w:type="dxa"/>
            <w:shd w:val="clear" w:color="auto" w:fill="auto"/>
            <w:vAlign w:val="center"/>
          </w:tcPr>
          <w:p w14:paraId="313ACE12" w14:textId="77777777" w:rsidR="00CB7C58" w:rsidRPr="00383C63" w:rsidRDefault="00CB7C58" w:rsidP="00EC5239">
            <w:pPr>
              <w:spacing w:before="120" w:after="120" w:line="240" w:lineRule="auto"/>
              <w:jc w:val="both"/>
              <w:rPr>
                <w:rFonts w:ascii="Arial" w:eastAsia="Times New Roman" w:hAnsi="Arial" w:cs="Arial"/>
                <w:sz w:val="18"/>
                <w:szCs w:val="18"/>
                <w:lang w:eastAsia="pt-BR"/>
              </w:rPr>
            </w:pPr>
            <w:r w:rsidRPr="00383C63">
              <w:rPr>
                <w:rFonts w:ascii="Arial" w:eastAsia="Times New Roman" w:hAnsi="Arial" w:cs="Arial"/>
                <w:sz w:val="18"/>
                <w:szCs w:val="18"/>
                <w:lang w:eastAsia="pt-BR"/>
              </w:rPr>
              <w:t xml:space="preserve">Cópia do contrato que autorizou a instituição do Consórcio, acompanhada do comprovante de inscrição no CNPJ e, ainda, do comprovante de registro civil quando a personalidade jurídica for de direito privado. </w:t>
            </w:r>
          </w:p>
        </w:tc>
        <w:tc>
          <w:tcPr>
            <w:tcW w:w="992" w:type="dxa"/>
            <w:shd w:val="clear" w:color="auto" w:fill="auto"/>
            <w:vAlign w:val="center"/>
          </w:tcPr>
          <w:p w14:paraId="38005D22" w14:textId="77777777" w:rsidR="00CB7C58" w:rsidRPr="00383C63" w:rsidRDefault="00532985" w:rsidP="00075C4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CB7C58" w:rsidRPr="00A5490A" w14:paraId="32A5C5B8" w14:textId="77777777" w:rsidTr="00C074EC">
        <w:tc>
          <w:tcPr>
            <w:tcW w:w="1271" w:type="dxa"/>
            <w:vAlign w:val="center"/>
          </w:tcPr>
          <w:p w14:paraId="3AE173B0" w14:textId="77777777" w:rsidR="00CB7C58" w:rsidRPr="00383C63" w:rsidRDefault="00CB7C58" w:rsidP="00075C4D">
            <w:pPr>
              <w:spacing w:after="0" w:line="240" w:lineRule="auto"/>
              <w:jc w:val="center"/>
              <w:rPr>
                <w:rFonts w:ascii="Arial" w:eastAsia="Times New Roman" w:hAnsi="Arial" w:cs="Arial"/>
                <w:sz w:val="18"/>
                <w:szCs w:val="18"/>
                <w:lang w:eastAsia="pt-BR"/>
              </w:rPr>
            </w:pPr>
            <w:r w:rsidRPr="00383C63">
              <w:rPr>
                <w:rFonts w:ascii="Arial" w:eastAsia="Times New Roman" w:hAnsi="Arial" w:cs="Arial"/>
                <w:sz w:val="18"/>
                <w:szCs w:val="18"/>
                <w:lang w:eastAsia="pt-BR"/>
              </w:rPr>
              <w:t>REPLEG</w:t>
            </w:r>
          </w:p>
        </w:tc>
        <w:tc>
          <w:tcPr>
            <w:tcW w:w="6917" w:type="dxa"/>
            <w:shd w:val="clear" w:color="auto" w:fill="auto"/>
            <w:vAlign w:val="center"/>
          </w:tcPr>
          <w:p w14:paraId="7620014D" w14:textId="77777777" w:rsidR="00CB7C58" w:rsidRPr="00383C63" w:rsidRDefault="00CB7C58" w:rsidP="00EC5239">
            <w:pPr>
              <w:spacing w:before="120" w:after="120" w:line="240" w:lineRule="auto"/>
              <w:jc w:val="both"/>
              <w:rPr>
                <w:rFonts w:ascii="Arial" w:eastAsia="Times New Roman" w:hAnsi="Arial" w:cs="Arial"/>
                <w:sz w:val="18"/>
                <w:szCs w:val="18"/>
                <w:lang w:eastAsia="pt-BR"/>
              </w:rPr>
            </w:pPr>
            <w:r w:rsidRPr="00383C63">
              <w:rPr>
                <w:rFonts w:ascii="Arial" w:eastAsia="Times New Roman" w:hAnsi="Arial" w:cs="Arial"/>
                <w:sz w:val="18"/>
                <w:szCs w:val="18"/>
                <w:lang w:eastAsia="pt-BR"/>
              </w:rPr>
              <w:t xml:space="preserve">Certidão contendo o nome do representante legal do Consórcio, bem como dos demais gestores, se houver, com os respectivos períodos de gestão, afastamentos e substituições no exercício em análise. </w:t>
            </w:r>
          </w:p>
        </w:tc>
        <w:tc>
          <w:tcPr>
            <w:tcW w:w="992" w:type="dxa"/>
            <w:shd w:val="clear" w:color="auto" w:fill="auto"/>
            <w:vAlign w:val="center"/>
          </w:tcPr>
          <w:p w14:paraId="44DECE86" w14:textId="77777777" w:rsidR="00CB7C58" w:rsidRPr="00383C63" w:rsidRDefault="00532985" w:rsidP="00075C4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CB7C58" w:rsidRPr="00A5490A" w14:paraId="60E8B82F" w14:textId="77777777" w:rsidTr="00C074EC">
        <w:tc>
          <w:tcPr>
            <w:tcW w:w="1271" w:type="dxa"/>
            <w:vAlign w:val="center"/>
          </w:tcPr>
          <w:p w14:paraId="1C9EF1EC" w14:textId="77777777" w:rsidR="00CB7C58" w:rsidRPr="00383C63" w:rsidRDefault="00CB7C58" w:rsidP="00075C4D">
            <w:pPr>
              <w:spacing w:after="0" w:line="240" w:lineRule="auto"/>
              <w:jc w:val="center"/>
              <w:rPr>
                <w:rFonts w:ascii="Arial" w:eastAsia="Times New Roman" w:hAnsi="Arial" w:cs="Arial"/>
                <w:sz w:val="18"/>
                <w:szCs w:val="18"/>
                <w:lang w:eastAsia="pt-BR"/>
              </w:rPr>
            </w:pPr>
            <w:r w:rsidRPr="00383C63">
              <w:rPr>
                <w:rFonts w:ascii="Arial" w:eastAsia="Times New Roman" w:hAnsi="Arial" w:cs="Arial"/>
                <w:sz w:val="18"/>
                <w:szCs w:val="18"/>
                <w:lang w:eastAsia="pt-BR"/>
              </w:rPr>
              <w:t>CONRAT</w:t>
            </w:r>
          </w:p>
        </w:tc>
        <w:tc>
          <w:tcPr>
            <w:tcW w:w="6917" w:type="dxa"/>
            <w:shd w:val="clear" w:color="auto" w:fill="auto"/>
            <w:vAlign w:val="center"/>
          </w:tcPr>
          <w:p w14:paraId="18B3A88E" w14:textId="77777777" w:rsidR="00CB7C58" w:rsidRPr="00383C63" w:rsidRDefault="00CB7C58" w:rsidP="003F1848">
            <w:pPr>
              <w:spacing w:before="120" w:after="120" w:line="240" w:lineRule="auto"/>
              <w:jc w:val="both"/>
              <w:rPr>
                <w:rFonts w:ascii="Arial" w:eastAsia="Times New Roman" w:hAnsi="Arial" w:cs="Arial"/>
                <w:sz w:val="18"/>
                <w:szCs w:val="18"/>
                <w:lang w:eastAsia="pt-BR"/>
              </w:rPr>
            </w:pPr>
            <w:r w:rsidRPr="00383C63">
              <w:rPr>
                <w:rFonts w:ascii="Arial" w:eastAsia="Times New Roman" w:hAnsi="Arial" w:cs="Arial"/>
                <w:sz w:val="18"/>
                <w:szCs w:val="18"/>
                <w:lang w:eastAsia="pt-BR"/>
              </w:rPr>
              <w:t xml:space="preserve">Cópia do contrato de rateio formalizado no exercício em análise, nos termos do artigo 8º, § 1º, da Lei nº. 11.107/2005. </w:t>
            </w:r>
          </w:p>
        </w:tc>
        <w:tc>
          <w:tcPr>
            <w:tcW w:w="992" w:type="dxa"/>
            <w:shd w:val="clear" w:color="auto" w:fill="auto"/>
            <w:vAlign w:val="center"/>
          </w:tcPr>
          <w:p w14:paraId="3F55FD71" w14:textId="77777777" w:rsidR="00CB7C58" w:rsidRPr="00383C63" w:rsidRDefault="00532985" w:rsidP="00075C4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CB7C58" w:rsidRPr="00A5490A" w14:paraId="1926F0D6" w14:textId="77777777" w:rsidTr="00C074EC">
        <w:tc>
          <w:tcPr>
            <w:tcW w:w="1271" w:type="dxa"/>
            <w:vAlign w:val="center"/>
          </w:tcPr>
          <w:p w14:paraId="5AEEBEA3" w14:textId="77777777" w:rsidR="00CB7C58" w:rsidRPr="00383C63" w:rsidRDefault="00CB7C58" w:rsidP="00075C4D">
            <w:pPr>
              <w:spacing w:after="0" w:line="240" w:lineRule="auto"/>
              <w:jc w:val="center"/>
              <w:rPr>
                <w:rFonts w:ascii="Arial" w:eastAsia="Times New Roman" w:hAnsi="Arial" w:cs="Arial"/>
                <w:sz w:val="18"/>
                <w:szCs w:val="18"/>
                <w:lang w:eastAsia="pt-BR"/>
              </w:rPr>
            </w:pPr>
            <w:r w:rsidRPr="00383C63">
              <w:rPr>
                <w:rFonts w:ascii="Arial" w:eastAsia="Times New Roman" w:hAnsi="Arial" w:cs="Arial"/>
                <w:sz w:val="18"/>
                <w:szCs w:val="18"/>
                <w:lang w:eastAsia="pt-BR"/>
              </w:rPr>
              <w:t>CONPRO</w:t>
            </w:r>
          </w:p>
        </w:tc>
        <w:tc>
          <w:tcPr>
            <w:tcW w:w="6917" w:type="dxa"/>
            <w:shd w:val="clear" w:color="auto" w:fill="auto"/>
            <w:vAlign w:val="center"/>
          </w:tcPr>
          <w:p w14:paraId="14144BB5" w14:textId="77777777" w:rsidR="00CB7C58" w:rsidRPr="00383C63" w:rsidRDefault="00CB7C58" w:rsidP="001A75AF">
            <w:pPr>
              <w:spacing w:before="120" w:after="120" w:line="240" w:lineRule="auto"/>
              <w:jc w:val="both"/>
              <w:rPr>
                <w:rFonts w:ascii="Arial" w:eastAsia="Times New Roman" w:hAnsi="Arial" w:cs="Arial"/>
                <w:sz w:val="18"/>
                <w:szCs w:val="18"/>
                <w:lang w:eastAsia="pt-BR"/>
              </w:rPr>
            </w:pPr>
            <w:r w:rsidRPr="00383C63">
              <w:rPr>
                <w:rFonts w:ascii="Arial" w:eastAsia="Times New Roman" w:hAnsi="Arial" w:cs="Arial"/>
                <w:sz w:val="18"/>
                <w:szCs w:val="18"/>
                <w:lang w:eastAsia="pt-BR"/>
              </w:rPr>
              <w:t xml:space="preserve">Cópia dos contratos de programa firmados pelo Consórcio no exercício, bem como de eventuais alterações, acompanhada de pareceres anuais emitidos pelo contratante, para cada contrato de programa, contendo: identificação do contrato e atestado sobre o cumprimento das cláusulas pactuadas e o atingimento dos resultados previstos, nos termos do artigo 30 do Decreto Federal nº 6.017/2007 c/c o artigo 30, parágrafo único, da Lei nº 8.987/1995. </w:t>
            </w:r>
          </w:p>
        </w:tc>
        <w:tc>
          <w:tcPr>
            <w:tcW w:w="992" w:type="dxa"/>
            <w:shd w:val="clear" w:color="auto" w:fill="auto"/>
            <w:vAlign w:val="center"/>
          </w:tcPr>
          <w:p w14:paraId="69A92615" w14:textId="77777777" w:rsidR="00CB7C58" w:rsidRPr="00383C63" w:rsidRDefault="00532985" w:rsidP="00075C4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CB7C58" w:rsidRPr="00A5490A" w14:paraId="293A6BD6" w14:textId="77777777" w:rsidTr="00C074EC">
        <w:tc>
          <w:tcPr>
            <w:tcW w:w="1271" w:type="dxa"/>
            <w:vAlign w:val="center"/>
          </w:tcPr>
          <w:p w14:paraId="05F2093A" w14:textId="77777777" w:rsidR="00CB7C58" w:rsidRPr="00383C63" w:rsidRDefault="00CB7C58" w:rsidP="00075C4D">
            <w:pPr>
              <w:spacing w:after="0" w:line="240" w:lineRule="auto"/>
              <w:jc w:val="center"/>
              <w:rPr>
                <w:rFonts w:ascii="Arial" w:eastAsia="Times New Roman" w:hAnsi="Arial" w:cs="Arial"/>
                <w:sz w:val="18"/>
                <w:szCs w:val="18"/>
                <w:lang w:eastAsia="pt-BR"/>
              </w:rPr>
            </w:pPr>
            <w:r w:rsidRPr="00383C63">
              <w:rPr>
                <w:rFonts w:ascii="Arial" w:eastAsia="Times New Roman" w:hAnsi="Arial" w:cs="Arial"/>
                <w:sz w:val="18"/>
                <w:szCs w:val="18"/>
                <w:lang w:eastAsia="pt-BR"/>
              </w:rPr>
              <w:t>RELLIC</w:t>
            </w:r>
          </w:p>
        </w:tc>
        <w:tc>
          <w:tcPr>
            <w:tcW w:w="6917" w:type="dxa"/>
            <w:shd w:val="clear" w:color="auto" w:fill="auto"/>
            <w:vAlign w:val="center"/>
          </w:tcPr>
          <w:p w14:paraId="3158B47D" w14:textId="77777777" w:rsidR="00CB7C58" w:rsidRPr="00383C63" w:rsidRDefault="00CB7C58" w:rsidP="001A75AF">
            <w:pPr>
              <w:spacing w:before="120" w:after="120" w:line="240" w:lineRule="auto"/>
              <w:jc w:val="both"/>
              <w:rPr>
                <w:rFonts w:ascii="Arial" w:eastAsia="Times New Roman" w:hAnsi="Arial" w:cs="Arial"/>
                <w:sz w:val="18"/>
                <w:szCs w:val="18"/>
                <w:lang w:eastAsia="pt-BR"/>
              </w:rPr>
            </w:pPr>
            <w:r w:rsidRPr="00383C63">
              <w:rPr>
                <w:rFonts w:ascii="Arial" w:eastAsia="Times New Roman" w:hAnsi="Arial" w:cs="Arial"/>
                <w:sz w:val="18"/>
                <w:szCs w:val="18"/>
                <w:lang w:eastAsia="pt-BR"/>
              </w:rPr>
              <w:t xml:space="preserve">Relação das licitações realizadas no exercício, separadas por modalidade, contendo: número do processo; número da licitação; data da abertura; objeto; lista de todos os participantes; vencedor(es); valor e data de eventual contrato. </w:t>
            </w:r>
          </w:p>
        </w:tc>
        <w:tc>
          <w:tcPr>
            <w:tcW w:w="992" w:type="dxa"/>
            <w:shd w:val="clear" w:color="auto" w:fill="auto"/>
            <w:vAlign w:val="center"/>
          </w:tcPr>
          <w:p w14:paraId="3310DEA7" w14:textId="77777777" w:rsidR="00CB7C58" w:rsidRPr="00383C63" w:rsidRDefault="00532985" w:rsidP="00075C4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CB7C58" w:rsidRPr="00A5490A" w14:paraId="5ECEED77" w14:textId="77777777" w:rsidTr="00C074EC">
        <w:tc>
          <w:tcPr>
            <w:tcW w:w="1271" w:type="dxa"/>
            <w:vAlign w:val="center"/>
          </w:tcPr>
          <w:p w14:paraId="4147A8F0" w14:textId="77777777" w:rsidR="00CB7C58" w:rsidRPr="00383C63" w:rsidRDefault="00CB7C58" w:rsidP="00075C4D">
            <w:pPr>
              <w:spacing w:after="0" w:line="240" w:lineRule="auto"/>
              <w:jc w:val="center"/>
              <w:rPr>
                <w:rFonts w:ascii="Arial" w:eastAsia="Times New Roman" w:hAnsi="Arial" w:cs="Arial"/>
                <w:sz w:val="18"/>
                <w:szCs w:val="18"/>
                <w:lang w:eastAsia="pt-BR"/>
              </w:rPr>
            </w:pPr>
            <w:r w:rsidRPr="00383C63">
              <w:rPr>
                <w:rFonts w:ascii="Arial" w:eastAsia="Times New Roman" w:hAnsi="Arial" w:cs="Arial"/>
                <w:sz w:val="18"/>
                <w:szCs w:val="18"/>
                <w:lang w:eastAsia="pt-BR"/>
              </w:rPr>
              <w:t>RELDIS</w:t>
            </w:r>
          </w:p>
        </w:tc>
        <w:tc>
          <w:tcPr>
            <w:tcW w:w="6917" w:type="dxa"/>
            <w:shd w:val="clear" w:color="auto" w:fill="auto"/>
            <w:vAlign w:val="center"/>
          </w:tcPr>
          <w:p w14:paraId="7528E1DD" w14:textId="77777777" w:rsidR="00CB7C58" w:rsidRPr="00383C63" w:rsidRDefault="00CB7C58" w:rsidP="00CC1DE5">
            <w:pPr>
              <w:spacing w:before="120" w:after="120" w:line="240" w:lineRule="auto"/>
              <w:jc w:val="both"/>
              <w:rPr>
                <w:rFonts w:ascii="Arial" w:eastAsia="Times New Roman" w:hAnsi="Arial" w:cs="Arial"/>
                <w:sz w:val="18"/>
                <w:szCs w:val="18"/>
                <w:lang w:eastAsia="pt-BR"/>
              </w:rPr>
            </w:pPr>
            <w:r w:rsidRPr="00383C63">
              <w:rPr>
                <w:rFonts w:ascii="Arial" w:eastAsia="Times New Roman" w:hAnsi="Arial" w:cs="Arial"/>
                <w:sz w:val="18"/>
                <w:szCs w:val="18"/>
                <w:lang w:eastAsia="pt-BR"/>
              </w:rPr>
              <w:t xml:space="preserve">Relação das despesas efetuadas no exercício com dispensa ou inexigibilidade de licitação, nos casos enquadrados na exigência de ratificação do ato prevista no artigo 26 da Lei nº 8.666/1993, contendo: número do processo; data da abertura; objeto; prazo; valor; fornecedor e data da publicação da ratificação. </w:t>
            </w:r>
          </w:p>
        </w:tc>
        <w:tc>
          <w:tcPr>
            <w:tcW w:w="992" w:type="dxa"/>
            <w:shd w:val="clear" w:color="auto" w:fill="auto"/>
            <w:vAlign w:val="center"/>
          </w:tcPr>
          <w:p w14:paraId="3C6DE3F4" w14:textId="77777777" w:rsidR="00CB7C58" w:rsidRPr="00383C63" w:rsidRDefault="00532985" w:rsidP="00075C4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CB7C58" w:rsidRPr="00A5490A" w14:paraId="5D597C27" w14:textId="77777777" w:rsidTr="00C074EC">
        <w:tc>
          <w:tcPr>
            <w:tcW w:w="1271" w:type="dxa"/>
            <w:vAlign w:val="center"/>
          </w:tcPr>
          <w:p w14:paraId="4378E8AA" w14:textId="77777777" w:rsidR="00CB7C58" w:rsidRPr="00383C63" w:rsidRDefault="00CB7C58" w:rsidP="00CC1DE5">
            <w:pPr>
              <w:spacing w:after="0" w:line="240" w:lineRule="auto"/>
              <w:jc w:val="center"/>
              <w:rPr>
                <w:rFonts w:ascii="Arial" w:eastAsia="Times New Roman" w:hAnsi="Arial" w:cs="Arial"/>
                <w:sz w:val="18"/>
                <w:szCs w:val="18"/>
                <w:lang w:eastAsia="pt-BR"/>
              </w:rPr>
            </w:pPr>
            <w:r w:rsidRPr="00383C63">
              <w:rPr>
                <w:rFonts w:ascii="Arial" w:eastAsia="Times New Roman" w:hAnsi="Arial" w:cs="Arial"/>
                <w:sz w:val="18"/>
                <w:szCs w:val="18"/>
                <w:lang w:eastAsia="pt-BR"/>
              </w:rPr>
              <w:t>RELCON</w:t>
            </w:r>
          </w:p>
        </w:tc>
        <w:tc>
          <w:tcPr>
            <w:tcW w:w="6917" w:type="dxa"/>
            <w:shd w:val="clear" w:color="auto" w:fill="auto"/>
            <w:vAlign w:val="center"/>
          </w:tcPr>
          <w:p w14:paraId="108293F5" w14:textId="77777777" w:rsidR="00CB7C58" w:rsidRPr="00383C63" w:rsidRDefault="00CB7C58" w:rsidP="00CC1DE5">
            <w:pPr>
              <w:pStyle w:val="Default"/>
              <w:spacing w:before="120" w:after="120"/>
              <w:jc w:val="both"/>
              <w:rPr>
                <w:rFonts w:eastAsia="Times New Roman"/>
                <w:color w:val="auto"/>
                <w:sz w:val="18"/>
                <w:szCs w:val="18"/>
                <w:lang w:eastAsia="pt-BR"/>
              </w:rPr>
            </w:pPr>
            <w:r w:rsidRPr="00383C63">
              <w:rPr>
                <w:rFonts w:eastAsia="Times New Roman"/>
                <w:color w:val="auto"/>
                <w:sz w:val="18"/>
                <w:szCs w:val="18"/>
                <w:lang w:eastAsia="pt-BR"/>
              </w:rPr>
              <w:t xml:space="preserve">Relação dos contratos e aditamentos firmados no exercício, inclusive os relativos a concessão e permissão de serviços públicos, convênios, contratos de gestão, termos de parceria e contratos de parceria público-privada, contendo, conforme o caso: número do ajuste; data; interessado; objeto; prazo; valor; fonte(s) de recurso e modalidade da licitação ou fundamento da dispensa ou da inexigibilidade. </w:t>
            </w:r>
          </w:p>
        </w:tc>
        <w:tc>
          <w:tcPr>
            <w:tcW w:w="992" w:type="dxa"/>
            <w:shd w:val="clear" w:color="auto" w:fill="auto"/>
            <w:vAlign w:val="center"/>
          </w:tcPr>
          <w:p w14:paraId="7C72DB71" w14:textId="77777777" w:rsidR="00CB7C58" w:rsidRPr="00383C63" w:rsidRDefault="00532985" w:rsidP="00075C4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CB7C58" w:rsidRPr="00A5490A" w14:paraId="22854AA3" w14:textId="77777777" w:rsidTr="00C074EC">
        <w:tc>
          <w:tcPr>
            <w:tcW w:w="1271" w:type="dxa"/>
            <w:vAlign w:val="center"/>
          </w:tcPr>
          <w:p w14:paraId="4CFCD8FB" w14:textId="77777777" w:rsidR="00CB7C58" w:rsidRPr="00383C63" w:rsidRDefault="00CB7C58" w:rsidP="00075C4D">
            <w:pPr>
              <w:spacing w:after="0" w:line="240" w:lineRule="auto"/>
              <w:jc w:val="center"/>
              <w:rPr>
                <w:rFonts w:ascii="Arial" w:eastAsia="Times New Roman" w:hAnsi="Arial" w:cs="Arial"/>
                <w:sz w:val="18"/>
                <w:szCs w:val="18"/>
                <w:lang w:eastAsia="pt-BR"/>
              </w:rPr>
            </w:pPr>
            <w:r w:rsidRPr="00383C63">
              <w:rPr>
                <w:rFonts w:ascii="Arial" w:eastAsia="Times New Roman" w:hAnsi="Arial" w:cs="Arial"/>
                <w:sz w:val="18"/>
                <w:szCs w:val="18"/>
                <w:lang w:eastAsia="pt-BR"/>
              </w:rPr>
              <w:t>RELTRA</w:t>
            </w:r>
          </w:p>
        </w:tc>
        <w:tc>
          <w:tcPr>
            <w:tcW w:w="6917" w:type="dxa"/>
            <w:shd w:val="clear" w:color="auto" w:fill="auto"/>
            <w:vAlign w:val="center"/>
          </w:tcPr>
          <w:p w14:paraId="1B1CF5D8" w14:textId="77777777" w:rsidR="00CB7C58" w:rsidRPr="00383C63" w:rsidRDefault="00CB7C58" w:rsidP="00D839D8">
            <w:pPr>
              <w:spacing w:before="120" w:after="120" w:line="240" w:lineRule="auto"/>
              <w:jc w:val="both"/>
              <w:rPr>
                <w:rFonts w:ascii="Arial" w:eastAsia="Times New Roman" w:hAnsi="Arial" w:cs="Arial"/>
                <w:sz w:val="18"/>
                <w:szCs w:val="18"/>
                <w:lang w:eastAsia="pt-BR"/>
              </w:rPr>
            </w:pPr>
            <w:r w:rsidRPr="00383C63">
              <w:rPr>
                <w:rFonts w:ascii="Arial" w:eastAsia="Times New Roman" w:hAnsi="Arial" w:cs="Arial"/>
                <w:sz w:val="18"/>
                <w:szCs w:val="18"/>
                <w:lang w:eastAsia="pt-BR"/>
              </w:rPr>
              <w:t xml:space="preserve">Relação, por entidade concessora ou órgão de governo concessor das esferas municipal e estadual, dos auxílios, subvenções e contribuições recebidos no exercício, constando objeto, valor e data do recebimento. </w:t>
            </w:r>
          </w:p>
        </w:tc>
        <w:tc>
          <w:tcPr>
            <w:tcW w:w="992" w:type="dxa"/>
            <w:shd w:val="clear" w:color="auto" w:fill="auto"/>
            <w:vAlign w:val="center"/>
          </w:tcPr>
          <w:p w14:paraId="41101F15" w14:textId="77777777" w:rsidR="00CB7C58" w:rsidRPr="00383C63" w:rsidRDefault="00532985" w:rsidP="00075C4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CB7C58" w:rsidRPr="00A5490A" w14:paraId="0A5F4DA2" w14:textId="77777777" w:rsidTr="00C074EC">
        <w:tc>
          <w:tcPr>
            <w:tcW w:w="1271" w:type="dxa"/>
            <w:vAlign w:val="center"/>
          </w:tcPr>
          <w:p w14:paraId="6E8D192B" w14:textId="77777777" w:rsidR="00CB7C58" w:rsidRPr="00383C63" w:rsidRDefault="00CB7C58" w:rsidP="00075C4D">
            <w:pPr>
              <w:spacing w:after="0" w:line="240" w:lineRule="auto"/>
              <w:jc w:val="center"/>
              <w:rPr>
                <w:rFonts w:ascii="Arial" w:eastAsia="Times New Roman" w:hAnsi="Arial" w:cs="Arial"/>
                <w:sz w:val="18"/>
                <w:szCs w:val="18"/>
                <w:lang w:eastAsia="pt-BR"/>
              </w:rPr>
            </w:pPr>
            <w:r w:rsidRPr="00383C63">
              <w:rPr>
                <w:rFonts w:ascii="Arial" w:eastAsia="Times New Roman" w:hAnsi="Arial" w:cs="Arial"/>
                <w:sz w:val="18"/>
                <w:szCs w:val="18"/>
                <w:lang w:eastAsia="pt-BR"/>
              </w:rPr>
              <w:t>RELTRU</w:t>
            </w:r>
          </w:p>
        </w:tc>
        <w:tc>
          <w:tcPr>
            <w:tcW w:w="6917" w:type="dxa"/>
            <w:shd w:val="clear" w:color="auto" w:fill="auto"/>
            <w:vAlign w:val="center"/>
          </w:tcPr>
          <w:p w14:paraId="360B6B2D" w14:textId="77777777" w:rsidR="00CB7C58" w:rsidRPr="00383C63" w:rsidRDefault="00CB7C58" w:rsidP="00D839D8">
            <w:pPr>
              <w:spacing w:before="120" w:after="120" w:line="240" w:lineRule="auto"/>
              <w:jc w:val="both"/>
              <w:rPr>
                <w:rFonts w:ascii="Arial" w:eastAsia="Times New Roman" w:hAnsi="Arial" w:cs="Arial"/>
                <w:sz w:val="18"/>
                <w:szCs w:val="18"/>
                <w:lang w:eastAsia="pt-BR"/>
              </w:rPr>
            </w:pPr>
            <w:r w:rsidRPr="00383C63">
              <w:rPr>
                <w:rFonts w:ascii="Arial" w:eastAsia="Times New Roman" w:hAnsi="Arial" w:cs="Arial"/>
                <w:sz w:val="18"/>
                <w:szCs w:val="18"/>
                <w:lang w:eastAsia="pt-BR"/>
              </w:rPr>
              <w:t xml:space="preserve">Relação dos auxílios, subvenções e contribuições recebidos da União, constando órgão concessor, objeto, valor e data do recebimento, relacionados separadamente os destinados à área da Saúde. </w:t>
            </w:r>
          </w:p>
        </w:tc>
        <w:tc>
          <w:tcPr>
            <w:tcW w:w="992" w:type="dxa"/>
            <w:shd w:val="clear" w:color="auto" w:fill="auto"/>
            <w:vAlign w:val="center"/>
          </w:tcPr>
          <w:p w14:paraId="6F1B6E31" w14:textId="77777777" w:rsidR="00CB7C58" w:rsidRPr="00383C63" w:rsidRDefault="00532985" w:rsidP="00075C4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CB7C58" w:rsidRPr="00A5490A" w14:paraId="2E99D013" w14:textId="77777777" w:rsidTr="00C074EC">
        <w:tc>
          <w:tcPr>
            <w:tcW w:w="1271" w:type="dxa"/>
            <w:vAlign w:val="center"/>
          </w:tcPr>
          <w:p w14:paraId="0531EED6" w14:textId="77777777" w:rsidR="00CB7C58" w:rsidRPr="00383C63" w:rsidRDefault="00CB7C58" w:rsidP="00075C4D">
            <w:pPr>
              <w:spacing w:after="0" w:line="240" w:lineRule="auto"/>
              <w:jc w:val="center"/>
              <w:rPr>
                <w:rFonts w:ascii="Arial" w:eastAsia="Times New Roman" w:hAnsi="Arial" w:cs="Arial"/>
                <w:sz w:val="18"/>
                <w:szCs w:val="18"/>
                <w:lang w:eastAsia="pt-BR"/>
              </w:rPr>
            </w:pPr>
            <w:r w:rsidRPr="00383C63">
              <w:rPr>
                <w:rFonts w:ascii="Arial" w:eastAsia="Times New Roman" w:hAnsi="Arial" w:cs="Arial"/>
                <w:sz w:val="18"/>
                <w:szCs w:val="18"/>
                <w:lang w:eastAsia="pt-BR"/>
              </w:rPr>
              <w:t>INSALE</w:t>
            </w:r>
          </w:p>
        </w:tc>
        <w:tc>
          <w:tcPr>
            <w:tcW w:w="6917" w:type="dxa"/>
            <w:shd w:val="clear" w:color="auto" w:fill="auto"/>
            <w:vAlign w:val="center"/>
          </w:tcPr>
          <w:p w14:paraId="67A436F2" w14:textId="77777777" w:rsidR="00CB7C58" w:rsidRPr="00383C63" w:rsidRDefault="00CB7C58" w:rsidP="00F1435C">
            <w:pPr>
              <w:spacing w:before="120" w:after="120" w:line="240" w:lineRule="auto"/>
              <w:jc w:val="both"/>
              <w:rPr>
                <w:rFonts w:ascii="Arial" w:eastAsia="Times New Roman" w:hAnsi="Arial" w:cs="Arial"/>
                <w:sz w:val="18"/>
                <w:szCs w:val="18"/>
                <w:lang w:eastAsia="pt-BR"/>
              </w:rPr>
            </w:pPr>
            <w:r w:rsidRPr="00383C63">
              <w:rPr>
                <w:rFonts w:ascii="Arial" w:eastAsia="Times New Roman" w:hAnsi="Arial" w:cs="Arial"/>
                <w:sz w:val="18"/>
                <w:szCs w:val="18"/>
                <w:lang w:eastAsia="pt-BR"/>
              </w:rPr>
              <w:t xml:space="preserve">Cópia do respectivo instrumento aprovado pela Assembleia Geral e das respectivas leis ratificadoras dos entes federativos consorciados, no caso de ocorrência de alteração ou extinção do contrato de Consórcio Público. </w:t>
            </w:r>
          </w:p>
        </w:tc>
        <w:tc>
          <w:tcPr>
            <w:tcW w:w="992" w:type="dxa"/>
            <w:shd w:val="clear" w:color="auto" w:fill="auto"/>
            <w:vAlign w:val="center"/>
          </w:tcPr>
          <w:p w14:paraId="21DCCC64" w14:textId="77777777" w:rsidR="00CB7C58" w:rsidRPr="00383C63" w:rsidRDefault="00532985" w:rsidP="00075C4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CB7C58" w:rsidRPr="00A5490A" w14:paraId="377387E9" w14:textId="77777777" w:rsidTr="00C074EC">
        <w:tc>
          <w:tcPr>
            <w:tcW w:w="1271" w:type="dxa"/>
            <w:vAlign w:val="center"/>
          </w:tcPr>
          <w:p w14:paraId="5DD04822" w14:textId="77777777" w:rsidR="00CB7C58" w:rsidRPr="00383C63" w:rsidRDefault="00CB7C58" w:rsidP="00075C4D">
            <w:pPr>
              <w:spacing w:after="0" w:line="240" w:lineRule="auto"/>
              <w:jc w:val="center"/>
              <w:rPr>
                <w:rFonts w:ascii="Arial" w:eastAsia="Times New Roman" w:hAnsi="Arial" w:cs="Arial"/>
                <w:sz w:val="18"/>
                <w:szCs w:val="18"/>
                <w:lang w:eastAsia="pt-BR"/>
              </w:rPr>
            </w:pPr>
            <w:r w:rsidRPr="00383C63">
              <w:rPr>
                <w:rFonts w:ascii="Arial" w:eastAsia="Times New Roman" w:hAnsi="Arial" w:cs="Arial"/>
                <w:sz w:val="18"/>
                <w:szCs w:val="18"/>
                <w:lang w:eastAsia="pt-BR"/>
              </w:rPr>
              <w:t>ATORET</w:t>
            </w:r>
          </w:p>
        </w:tc>
        <w:tc>
          <w:tcPr>
            <w:tcW w:w="6917" w:type="dxa"/>
            <w:shd w:val="clear" w:color="auto" w:fill="auto"/>
            <w:vAlign w:val="center"/>
          </w:tcPr>
          <w:p w14:paraId="1A6C3B63" w14:textId="77777777" w:rsidR="00CB7C58" w:rsidRPr="00383C63" w:rsidRDefault="00CB7C58" w:rsidP="00BA0413">
            <w:pPr>
              <w:spacing w:before="120" w:after="120" w:line="240" w:lineRule="auto"/>
              <w:jc w:val="both"/>
              <w:rPr>
                <w:rFonts w:ascii="Arial" w:eastAsia="Times New Roman" w:hAnsi="Arial" w:cs="Arial"/>
                <w:sz w:val="18"/>
                <w:szCs w:val="18"/>
                <w:lang w:eastAsia="pt-BR"/>
              </w:rPr>
            </w:pPr>
            <w:r w:rsidRPr="00383C63">
              <w:rPr>
                <w:rFonts w:ascii="Arial" w:eastAsia="Times New Roman" w:hAnsi="Arial" w:cs="Arial"/>
                <w:sz w:val="18"/>
                <w:szCs w:val="18"/>
                <w:lang w:eastAsia="pt-BR"/>
              </w:rPr>
              <w:t xml:space="preserve">Cópia do ato formal de comunicação e da lei embasadora, na hipótese de retirada de ente consorciado. </w:t>
            </w:r>
          </w:p>
        </w:tc>
        <w:tc>
          <w:tcPr>
            <w:tcW w:w="992" w:type="dxa"/>
            <w:shd w:val="clear" w:color="auto" w:fill="auto"/>
            <w:vAlign w:val="center"/>
          </w:tcPr>
          <w:p w14:paraId="452F022E" w14:textId="77777777" w:rsidR="00CB7C58" w:rsidRPr="00383C63" w:rsidRDefault="00532985" w:rsidP="00075C4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CB7C58" w:rsidRPr="00A5490A" w14:paraId="3683AF5C" w14:textId="77777777" w:rsidTr="00C074EC">
        <w:tc>
          <w:tcPr>
            <w:tcW w:w="1271" w:type="dxa"/>
            <w:vAlign w:val="center"/>
          </w:tcPr>
          <w:p w14:paraId="6631D061" w14:textId="77777777" w:rsidR="00CB7C58" w:rsidRPr="00383C63" w:rsidRDefault="00CB7C58" w:rsidP="00075C4D">
            <w:pPr>
              <w:spacing w:after="0" w:line="240" w:lineRule="auto"/>
              <w:jc w:val="center"/>
              <w:rPr>
                <w:rFonts w:ascii="Arial" w:eastAsia="Times New Roman" w:hAnsi="Arial" w:cs="Arial"/>
                <w:sz w:val="18"/>
                <w:szCs w:val="18"/>
                <w:lang w:eastAsia="pt-BR"/>
              </w:rPr>
            </w:pPr>
            <w:r w:rsidRPr="00383C63">
              <w:rPr>
                <w:rFonts w:ascii="Arial" w:eastAsia="Times New Roman" w:hAnsi="Arial" w:cs="Arial"/>
                <w:sz w:val="18"/>
                <w:szCs w:val="18"/>
                <w:lang w:eastAsia="pt-BR"/>
              </w:rPr>
              <w:t>ENCBAL</w:t>
            </w:r>
          </w:p>
        </w:tc>
        <w:tc>
          <w:tcPr>
            <w:tcW w:w="6917" w:type="dxa"/>
            <w:shd w:val="clear" w:color="auto" w:fill="auto"/>
            <w:vAlign w:val="center"/>
          </w:tcPr>
          <w:p w14:paraId="2014182B" w14:textId="77777777" w:rsidR="00DC687B" w:rsidRPr="00DC687B" w:rsidRDefault="00DC687B" w:rsidP="00DC687B">
            <w:pPr>
              <w:spacing w:before="120" w:after="120" w:line="240" w:lineRule="auto"/>
              <w:jc w:val="both"/>
              <w:rPr>
                <w:rFonts w:ascii="Arial" w:eastAsia="Times New Roman" w:hAnsi="Arial" w:cs="Arial"/>
                <w:sz w:val="18"/>
                <w:szCs w:val="18"/>
                <w:lang w:eastAsia="pt-BR"/>
              </w:rPr>
            </w:pPr>
            <w:r w:rsidRPr="00DC687B">
              <w:rPr>
                <w:rFonts w:ascii="Arial" w:eastAsia="Times New Roman" w:hAnsi="Arial" w:cs="Arial"/>
                <w:sz w:val="18"/>
                <w:szCs w:val="18"/>
                <w:lang w:eastAsia="pt-BR"/>
              </w:rPr>
              <w:t>Cópia dos demonstrativos enviados periodicamente aos entes consorciados contendo informações relacionadas às despesas orçamentárias realizadas com base nos recursos repassados ao consórcio em virtude dos contratos de rateio, nos moldes da execução orçamentária das despesas constantes no BALEXO.</w:t>
            </w:r>
          </w:p>
          <w:p w14:paraId="3DEFF7EC" w14:textId="77777777" w:rsidR="00CB7C58" w:rsidRPr="00383C63" w:rsidRDefault="00DC687B" w:rsidP="00DC687B">
            <w:pPr>
              <w:spacing w:before="120" w:after="120" w:line="240" w:lineRule="auto"/>
              <w:jc w:val="both"/>
              <w:rPr>
                <w:rFonts w:ascii="Arial" w:eastAsia="Times New Roman" w:hAnsi="Arial" w:cs="Arial"/>
                <w:sz w:val="18"/>
                <w:szCs w:val="18"/>
                <w:lang w:eastAsia="pt-BR"/>
              </w:rPr>
            </w:pPr>
            <w:r w:rsidRPr="00DC687B">
              <w:rPr>
                <w:rFonts w:ascii="Arial" w:eastAsia="Times New Roman" w:hAnsi="Arial" w:cs="Arial"/>
                <w:sz w:val="18"/>
                <w:szCs w:val="18"/>
                <w:lang w:eastAsia="pt-BR"/>
              </w:rPr>
              <w:t xml:space="preserve">Além das informações relacionadas à execução orçamentária das despesas enviadas periodicamente aos entes consorciados, os consórcios deverão </w:t>
            </w:r>
            <w:r w:rsidRPr="00DC687B">
              <w:rPr>
                <w:rFonts w:ascii="Arial" w:eastAsia="Times New Roman" w:hAnsi="Arial" w:cs="Arial"/>
                <w:sz w:val="18"/>
                <w:szCs w:val="18"/>
                <w:lang w:eastAsia="pt-BR"/>
              </w:rPr>
              <w:lastRenderedPageBreak/>
              <w:t>encaminhar, também, um demonstrativo anual consolidado dessas despesas realizadas por cada um dos entes consorciados.</w:t>
            </w:r>
          </w:p>
        </w:tc>
        <w:tc>
          <w:tcPr>
            <w:tcW w:w="992" w:type="dxa"/>
            <w:shd w:val="clear" w:color="auto" w:fill="auto"/>
            <w:vAlign w:val="center"/>
          </w:tcPr>
          <w:p w14:paraId="3A06EB75" w14:textId="77777777" w:rsidR="00CB7C58" w:rsidRPr="00383C63" w:rsidRDefault="00532985" w:rsidP="00075C4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lastRenderedPageBreak/>
              <w:t>PDF</w:t>
            </w:r>
          </w:p>
        </w:tc>
      </w:tr>
      <w:tr w:rsidR="00CB7C58" w:rsidRPr="00A5490A" w14:paraId="04E886EF" w14:textId="77777777" w:rsidTr="00C074EC">
        <w:tc>
          <w:tcPr>
            <w:tcW w:w="1271" w:type="dxa"/>
            <w:vAlign w:val="center"/>
          </w:tcPr>
          <w:p w14:paraId="74EB3DAD" w14:textId="77777777" w:rsidR="00CB7C58" w:rsidRPr="00383C63" w:rsidRDefault="00CB7C58" w:rsidP="00075C4D">
            <w:pPr>
              <w:spacing w:after="0" w:line="240" w:lineRule="auto"/>
              <w:jc w:val="center"/>
              <w:rPr>
                <w:rFonts w:ascii="Arial" w:eastAsia="Times New Roman" w:hAnsi="Arial" w:cs="Arial"/>
                <w:sz w:val="18"/>
                <w:szCs w:val="18"/>
                <w:lang w:eastAsia="pt-BR"/>
              </w:rPr>
            </w:pPr>
            <w:r w:rsidRPr="00383C63">
              <w:rPr>
                <w:rFonts w:ascii="Arial" w:eastAsia="Times New Roman" w:hAnsi="Arial" w:cs="Arial"/>
                <w:sz w:val="18"/>
                <w:szCs w:val="18"/>
                <w:lang w:eastAsia="pt-BR"/>
              </w:rPr>
              <w:lastRenderedPageBreak/>
              <w:t>RELFUN</w:t>
            </w:r>
          </w:p>
        </w:tc>
        <w:tc>
          <w:tcPr>
            <w:tcW w:w="6917" w:type="dxa"/>
            <w:shd w:val="clear" w:color="auto" w:fill="auto"/>
            <w:vAlign w:val="center"/>
          </w:tcPr>
          <w:p w14:paraId="7FAA0D34" w14:textId="77777777" w:rsidR="00CB7C58" w:rsidRPr="00383C63" w:rsidRDefault="00CB7C58" w:rsidP="006F3F2A">
            <w:pPr>
              <w:spacing w:before="120" w:after="120" w:line="240" w:lineRule="auto"/>
              <w:jc w:val="both"/>
              <w:rPr>
                <w:rFonts w:ascii="Arial" w:eastAsia="Times New Roman" w:hAnsi="Arial" w:cs="Arial"/>
                <w:sz w:val="18"/>
                <w:szCs w:val="18"/>
                <w:lang w:eastAsia="pt-BR"/>
              </w:rPr>
            </w:pPr>
            <w:r w:rsidRPr="00383C63">
              <w:rPr>
                <w:rFonts w:ascii="Arial" w:eastAsia="Times New Roman" w:hAnsi="Arial" w:cs="Arial"/>
                <w:sz w:val="18"/>
                <w:szCs w:val="18"/>
                <w:lang w:eastAsia="pt-BR"/>
              </w:rPr>
              <w:t xml:space="preserve">Relação dos funcionários cedidos ao Consórcio Público, contendo: nome; ente de origem; permissivo legal e cópia da respectiva legislação disciplinadora da matéria. </w:t>
            </w:r>
          </w:p>
        </w:tc>
        <w:tc>
          <w:tcPr>
            <w:tcW w:w="992" w:type="dxa"/>
            <w:shd w:val="clear" w:color="auto" w:fill="auto"/>
            <w:vAlign w:val="center"/>
          </w:tcPr>
          <w:p w14:paraId="39C991BB" w14:textId="77777777" w:rsidR="00CB7C58" w:rsidRPr="00383C63" w:rsidRDefault="00532985" w:rsidP="00075C4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CB7C58" w:rsidRPr="00A5490A" w14:paraId="39914791" w14:textId="77777777" w:rsidTr="00C074EC">
        <w:tc>
          <w:tcPr>
            <w:tcW w:w="1271" w:type="dxa"/>
            <w:vAlign w:val="center"/>
          </w:tcPr>
          <w:p w14:paraId="678D23B0" w14:textId="77777777" w:rsidR="00CB7C58" w:rsidRPr="00383C63" w:rsidRDefault="00CB7C58" w:rsidP="00075C4D">
            <w:pPr>
              <w:spacing w:after="0" w:line="240" w:lineRule="auto"/>
              <w:jc w:val="center"/>
              <w:rPr>
                <w:rFonts w:ascii="Arial" w:eastAsia="Times New Roman" w:hAnsi="Arial" w:cs="Arial"/>
                <w:sz w:val="18"/>
                <w:szCs w:val="18"/>
                <w:lang w:eastAsia="pt-BR"/>
              </w:rPr>
            </w:pPr>
            <w:r w:rsidRPr="00383C63">
              <w:rPr>
                <w:rFonts w:ascii="Arial" w:eastAsia="Times New Roman" w:hAnsi="Arial" w:cs="Arial"/>
                <w:sz w:val="18"/>
                <w:szCs w:val="18"/>
                <w:lang w:eastAsia="pt-BR"/>
              </w:rPr>
              <w:t>RELACP</w:t>
            </w:r>
          </w:p>
        </w:tc>
        <w:tc>
          <w:tcPr>
            <w:tcW w:w="6917" w:type="dxa"/>
            <w:shd w:val="clear" w:color="auto" w:fill="auto"/>
            <w:vAlign w:val="center"/>
          </w:tcPr>
          <w:p w14:paraId="2C9EFEDD" w14:textId="77777777" w:rsidR="00CB7C58" w:rsidRPr="00383C63" w:rsidRDefault="00CB7C58" w:rsidP="0092355E">
            <w:pPr>
              <w:spacing w:before="120" w:after="120" w:line="240" w:lineRule="auto"/>
              <w:jc w:val="both"/>
              <w:rPr>
                <w:rFonts w:ascii="Arial" w:eastAsia="Times New Roman" w:hAnsi="Arial" w:cs="Arial"/>
                <w:sz w:val="18"/>
                <w:szCs w:val="18"/>
                <w:lang w:eastAsia="pt-BR"/>
              </w:rPr>
            </w:pPr>
            <w:r w:rsidRPr="00383C63">
              <w:rPr>
                <w:rFonts w:ascii="Arial" w:eastAsia="Times New Roman" w:hAnsi="Arial" w:cs="Arial"/>
                <w:sz w:val="18"/>
                <w:szCs w:val="18"/>
                <w:lang w:eastAsia="pt-BR"/>
              </w:rPr>
              <w:t xml:space="preserve">Relação das admissões por concurso público ocorridas no exercício em análise, acompanhada de cópia da legislação de criação do emprego público. </w:t>
            </w:r>
          </w:p>
        </w:tc>
        <w:tc>
          <w:tcPr>
            <w:tcW w:w="992" w:type="dxa"/>
            <w:shd w:val="clear" w:color="auto" w:fill="auto"/>
            <w:vAlign w:val="center"/>
          </w:tcPr>
          <w:p w14:paraId="6AA43BA6" w14:textId="77777777" w:rsidR="00CB7C58" w:rsidRPr="00383C63" w:rsidRDefault="00532985" w:rsidP="00075C4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CB7C58" w:rsidRPr="00A5490A" w14:paraId="399A58B8" w14:textId="77777777" w:rsidTr="00C074EC">
        <w:tc>
          <w:tcPr>
            <w:tcW w:w="1271" w:type="dxa"/>
            <w:vAlign w:val="center"/>
          </w:tcPr>
          <w:p w14:paraId="15734D9C" w14:textId="77777777" w:rsidR="00CB7C58" w:rsidRPr="00383C63" w:rsidRDefault="00CB7C58" w:rsidP="00075C4D">
            <w:pPr>
              <w:spacing w:after="0" w:line="240" w:lineRule="auto"/>
              <w:jc w:val="center"/>
              <w:rPr>
                <w:rFonts w:ascii="Arial" w:eastAsia="Times New Roman" w:hAnsi="Arial" w:cs="Arial"/>
                <w:sz w:val="18"/>
                <w:szCs w:val="18"/>
                <w:lang w:eastAsia="pt-BR"/>
              </w:rPr>
            </w:pPr>
            <w:r w:rsidRPr="00383C63">
              <w:rPr>
                <w:rFonts w:ascii="Arial" w:eastAsia="Times New Roman" w:hAnsi="Arial" w:cs="Arial"/>
                <w:sz w:val="18"/>
                <w:szCs w:val="18"/>
                <w:lang w:eastAsia="pt-BR"/>
              </w:rPr>
              <w:t>RELCPD</w:t>
            </w:r>
          </w:p>
        </w:tc>
        <w:tc>
          <w:tcPr>
            <w:tcW w:w="6917" w:type="dxa"/>
            <w:shd w:val="clear" w:color="auto" w:fill="auto"/>
            <w:vAlign w:val="center"/>
          </w:tcPr>
          <w:p w14:paraId="03751B8A" w14:textId="77777777" w:rsidR="00CB7C58" w:rsidRPr="00383C63" w:rsidRDefault="00CB7C58" w:rsidP="0092355E">
            <w:pPr>
              <w:spacing w:before="120" w:after="120" w:line="240" w:lineRule="auto"/>
              <w:jc w:val="both"/>
              <w:rPr>
                <w:rFonts w:ascii="Arial" w:eastAsia="Times New Roman" w:hAnsi="Arial" w:cs="Arial"/>
                <w:sz w:val="18"/>
                <w:szCs w:val="18"/>
                <w:lang w:eastAsia="pt-BR"/>
              </w:rPr>
            </w:pPr>
            <w:r w:rsidRPr="00383C63">
              <w:rPr>
                <w:rFonts w:ascii="Arial" w:eastAsia="Times New Roman" w:hAnsi="Arial" w:cs="Arial"/>
                <w:sz w:val="18"/>
                <w:szCs w:val="18"/>
                <w:lang w:eastAsia="pt-BR"/>
              </w:rPr>
              <w:t xml:space="preserve">Relação das contratações por prazo determinado ocorridas no exercício em análise, acompanhada de cópia da legislação autorizadora e da justificativa quanto à necessidade da contratação temporária de excepcional interesse público. </w:t>
            </w:r>
          </w:p>
        </w:tc>
        <w:tc>
          <w:tcPr>
            <w:tcW w:w="992" w:type="dxa"/>
            <w:shd w:val="clear" w:color="auto" w:fill="auto"/>
            <w:vAlign w:val="center"/>
          </w:tcPr>
          <w:p w14:paraId="3EAE23A5" w14:textId="77777777" w:rsidR="00CB7C58" w:rsidRPr="00383C63" w:rsidRDefault="00532985" w:rsidP="00075C4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CB7C58" w:rsidRPr="00DD7D0B" w14:paraId="24A116A7" w14:textId="77777777" w:rsidTr="00C074EC">
        <w:tc>
          <w:tcPr>
            <w:tcW w:w="1271" w:type="dxa"/>
            <w:vAlign w:val="center"/>
          </w:tcPr>
          <w:p w14:paraId="714A5445" w14:textId="77777777" w:rsidR="00CB7C58" w:rsidRPr="00383C63" w:rsidRDefault="00CB7C58" w:rsidP="00075C4D">
            <w:pPr>
              <w:spacing w:after="0" w:line="240" w:lineRule="auto"/>
              <w:jc w:val="center"/>
              <w:rPr>
                <w:rFonts w:ascii="Arial" w:eastAsia="Times New Roman" w:hAnsi="Arial" w:cs="Arial"/>
                <w:sz w:val="18"/>
                <w:szCs w:val="18"/>
                <w:lang w:eastAsia="pt-BR"/>
              </w:rPr>
            </w:pPr>
            <w:r w:rsidRPr="00383C63">
              <w:rPr>
                <w:rFonts w:ascii="Arial" w:eastAsia="Times New Roman" w:hAnsi="Arial" w:cs="Arial"/>
                <w:sz w:val="18"/>
                <w:szCs w:val="18"/>
                <w:lang w:eastAsia="pt-BR"/>
              </w:rPr>
              <w:t>FOLRPPS</w:t>
            </w:r>
          </w:p>
        </w:tc>
        <w:tc>
          <w:tcPr>
            <w:tcW w:w="6917" w:type="dxa"/>
            <w:shd w:val="clear" w:color="auto" w:fill="auto"/>
            <w:vAlign w:val="center"/>
          </w:tcPr>
          <w:p w14:paraId="4B8FDB91" w14:textId="77777777" w:rsidR="00CB7C58" w:rsidRPr="00383C63" w:rsidRDefault="00CB7C58" w:rsidP="00DD7D0B">
            <w:pPr>
              <w:spacing w:before="120" w:after="120" w:line="240" w:lineRule="auto"/>
              <w:jc w:val="both"/>
              <w:rPr>
                <w:rFonts w:ascii="Arial" w:eastAsia="Times New Roman" w:hAnsi="Arial" w:cs="Arial"/>
                <w:sz w:val="18"/>
                <w:szCs w:val="18"/>
                <w:lang w:eastAsia="pt-BR"/>
              </w:rPr>
            </w:pPr>
            <w:r w:rsidRPr="00383C63">
              <w:rPr>
                <w:rFonts w:ascii="Arial" w:eastAsia="Times New Roman" w:hAnsi="Arial" w:cs="Arial"/>
                <w:sz w:val="18"/>
                <w:szCs w:val="18"/>
                <w:lang w:eastAsia="pt-BR"/>
              </w:rPr>
              <w:t>Resumo anual da folha de pagamento de seus servidores, do exercício financeiro a que se refere a prestação de contas, vinculados ao Regime Próprio de Previdência Social (RPPS), contendo as verbas remuneratórias e indenizatórias, a base de cálculo das obrigações patronais, o percentual aplicado sobre a base de cálculo, o valor da contribuição patronal, bem como os descontos efetuados, inclusive retenções de contribuições previdenciárias dos empregados, tributos e demais rubricas.</w:t>
            </w:r>
          </w:p>
          <w:p w14:paraId="68E7374B" w14:textId="77777777" w:rsidR="00CB7C58" w:rsidRPr="00383C63" w:rsidRDefault="00CB7C58" w:rsidP="00DD7D0B">
            <w:pPr>
              <w:spacing w:before="120" w:after="120" w:line="240" w:lineRule="auto"/>
              <w:jc w:val="both"/>
              <w:rPr>
                <w:rFonts w:ascii="Arial" w:eastAsia="Times New Roman" w:hAnsi="Arial" w:cs="Arial"/>
                <w:sz w:val="18"/>
                <w:szCs w:val="18"/>
                <w:lang w:eastAsia="pt-BR"/>
              </w:rPr>
            </w:pPr>
            <w:r w:rsidRPr="00383C63">
              <w:rPr>
                <w:rFonts w:ascii="Arial" w:eastAsia="Times New Roman" w:hAnsi="Arial" w:cs="Arial"/>
                <w:sz w:val="18"/>
                <w:szCs w:val="18"/>
                <w:lang w:eastAsia="pt-BR"/>
              </w:rPr>
              <w:t>•</w:t>
            </w:r>
            <w:r w:rsidRPr="00383C63">
              <w:rPr>
                <w:rFonts w:ascii="Arial" w:eastAsia="Times New Roman" w:hAnsi="Arial" w:cs="Arial"/>
                <w:sz w:val="18"/>
                <w:szCs w:val="18"/>
                <w:lang w:eastAsia="pt-BR"/>
              </w:rPr>
              <w:tab/>
              <w:t>Informar em nota explicativa, no caso de servidores cedidos pelos municípios integrantes do consórcio, a Lei Municipal relativa ao regime próprio e os percentuais referentes às obrigações patronais e dos servidores, em cada caso.</w:t>
            </w:r>
          </w:p>
        </w:tc>
        <w:tc>
          <w:tcPr>
            <w:tcW w:w="992" w:type="dxa"/>
            <w:shd w:val="clear" w:color="auto" w:fill="auto"/>
            <w:vAlign w:val="center"/>
          </w:tcPr>
          <w:p w14:paraId="09412E7D" w14:textId="77777777" w:rsidR="00CB7C58" w:rsidRPr="00383C63" w:rsidRDefault="00532985" w:rsidP="00075C4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PDF</w:t>
            </w:r>
          </w:p>
        </w:tc>
      </w:tr>
      <w:tr w:rsidR="009814E6" w:rsidRPr="009814E6" w14:paraId="483AE8EA" w14:textId="77777777" w:rsidTr="00C074EC">
        <w:tc>
          <w:tcPr>
            <w:tcW w:w="1271" w:type="dxa"/>
            <w:vAlign w:val="center"/>
          </w:tcPr>
          <w:p w14:paraId="52EEC2B5" w14:textId="77777777" w:rsidR="00CB7C58" w:rsidRPr="009814E6" w:rsidRDefault="00CB7C58" w:rsidP="00075C4D">
            <w:pPr>
              <w:spacing w:after="0" w:line="240" w:lineRule="auto"/>
              <w:jc w:val="center"/>
              <w:rPr>
                <w:rFonts w:ascii="Arial" w:eastAsia="Times New Roman" w:hAnsi="Arial" w:cs="Arial"/>
                <w:sz w:val="18"/>
                <w:szCs w:val="18"/>
                <w:lang w:eastAsia="pt-BR"/>
              </w:rPr>
            </w:pPr>
            <w:r w:rsidRPr="009814E6">
              <w:rPr>
                <w:rFonts w:ascii="Arial" w:eastAsia="Times New Roman" w:hAnsi="Arial" w:cs="Arial"/>
                <w:sz w:val="18"/>
                <w:szCs w:val="18"/>
                <w:lang w:eastAsia="pt-BR"/>
              </w:rPr>
              <w:t>FOLRGPS</w:t>
            </w:r>
          </w:p>
        </w:tc>
        <w:tc>
          <w:tcPr>
            <w:tcW w:w="6917" w:type="dxa"/>
            <w:shd w:val="clear" w:color="auto" w:fill="auto"/>
            <w:vAlign w:val="center"/>
          </w:tcPr>
          <w:p w14:paraId="2CB082E1" w14:textId="73BE6B95" w:rsidR="00CB7C58" w:rsidRPr="009814E6" w:rsidRDefault="00CB7C58" w:rsidP="00AE5D24">
            <w:pPr>
              <w:spacing w:before="120" w:after="120" w:line="240" w:lineRule="auto"/>
              <w:jc w:val="both"/>
              <w:rPr>
                <w:rFonts w:ascii="Arial" w:eastAsia="Times New Roman" w:hAnsi="Arial" w:cs="Arial"/>
                <w:sz w:val="18"/>
                <w:szCs w:val="18"/>
                <w:lang w:eastAsia="pt-BR"/>
              </w:rPr>
            </w:pPr>
            <w:r w:rsidRPr="009814E6">
              <w:rPr>
                <w:rFonts w:ascii="Arial" w:eastAsia="Times New Roman" w:hAnsi="Arial" w:cs="Arial"/>
                <w:sz w:val="18"/>
                <w:szCs w:val="18"/>
                <w:lang w:eastAsia="pt-BR"/>
              </w:rPr>
              <w:t xml:space="preserve">Resumo anual da folha de pagamento do exercício financeiro, dos servidores vinculados ao Regime Geral de Previdência Social (RGPS), na forma </w:t>
            </w:r>
            <w:r w:rsidR="009814E6" w:rsidRPr="009814E6">
              <w:rPr>
                <w:rFonts w:ascii="Arial" w:eastAsia="Times New Roman" w:hAnsi="Arial" w:cs="Arial"/>
                <w:sz w:val="18"/>
                <w:szCs w:val="18"/>
                <w:lang w:eastAsia="pt-BR"/>
              </w:rPr>
              <w:t>do item 3.2 deste Anexo.</w:t>
            </w:r>
          </w:p>
        </w:tc>
        <w:tc>
          <w:tcPr>
            <w:tcW w:w="992" w:type="dxa"/>
            <w:shd w:val="clear" w:color="auto" w:fill="auto"/>
            <w:vAlign w:val="center"/>
          </w:tcPr>
          <w:p w14:paraId="0A99C583" w14:textId="77777777" w:rsidR="00CB7C58" w:rsidRPr="009814E6" w:rsidRDefault="00532985" w:rsidP="00075C4D">
            <w:pPr>
              <w:spacing w:after="0" w:line="240" w:lineRule="auto"/>
              <w:jc w:val="center"/>
              <w:rPr>
                <w:rFonts w:ascii="Arial" w:eastAsia="Times New Roman" w:hAnsi="Arial" w:cs="Arial"/>
                <w:i/>
                <w:sz w:val="14"/>
                <w:szCs w:val="14"/>
                <w:lang w:eastAsia="pt-BR"/>
              </w:rPr>
            </w:pPr>
            <w:r w:rsidRPr="009814E6">
              <w:rPr>
                <w:rFonts w:ascii="Arial" w:eastAsia="Times New Roman" w:hAnsi="Arial" w:cs="Arial"/>
                <w:sz w:val="14"/>
                <w:szCs w:val="14"/>
                <w:lang w:eastAsia="pt-BR"/>
              </w:rPr>
              <w:t>PDF</w:t>
            </w:r>
          </w:p>
        </w:tc>
      </w:tr>
      <w:tr w:rsidR="009814E6" w:rsidRPr="009814E6" w14:paraId="297AF19A" w14:textId="77777777" w:rsidTr="00C074EC">
        <w:tc>
          <w:tcPr>
            <w:tcW w:w="1271" w:type="dxa"/>
            <w:vAlign w:val="center"/>
          </w:tcPr>
          <w:p w14:paraId="170626F0" w14:textId="77777777" w:rsidR="00D90A30" w:rsidRPr="009814E6" w:rsidRDefault="00D90A30" w:rsidP="00180538">
            <w:pPr>
              <w:spacing w:after="0" w:line="240" w:lineRule="auto"/>
              <w:jc w:val="center"/>
              <w:rPr>
                <w:rFonts w:ascii="Arial" w:eastAsia="Times New Roman" w:hAnsi="Arial" w:cs="Arial"/>
                <w:sz w:val="18"/>
                <w:szCs w:val="18"/>
                <w:lang w:eastAsia="pt-BR"/>
              </w:rPr>
            </w:pPr>
            <w:r w:rsidRPr="009814E6">
              <w:rPr>
                <w:rFonts w:ascii="Arial" w:eastAsia="Times New Roman" w:hAnsi="Arial" w:cs="Arial"/>
                <w:sz w:val="18"/>
                <w:szCs w:val="18"/>
                <w:lang w:eastAsia="pt-BR"/>
              </w:rPr>
              <w:t>DEMCPA</w:t>
            </w:r>
          </w:p>
        </w:tc>
        <w:tc>
          <w:tcPr>
            <w:tcW w:w="6917" w:type="dxa"/>
            <w:shd w:val="clear" w:color="auto" w:fill="auto"/>
            <w:vAlign w:val="center"/>
          </w:tcPr>
          <w:p w14:paraId="62107511" w14:textId="1964646D" w:rsidR="00D90A30" w:rsidRPr="009814E6" w:rsidRDefault="00D90A30" w:rsidP="00180538">
            <w:pPr>
              <w:spacing w:before="120" w:after="120" w:line="240" w:lineRule="auto"/>
              <w:jc w:val="both"/>
              <w:rPr>
                <w:rFonts w:ascii="Arial" w:eastAsia="Times New Roman" w:hAnsi="Arial" w:cs="Arial"/>
                <w:sz w:val="18"/>
                <w:szCs w:val="18"/>
                <w:lang w:eastAsia="pt-BR"/>
              </w:rPr>
            </w:pPr>
            <w:r w:rsidRPr="009814E6">
              <w:rPr>
                <w:rFonts w:ascii="Arial" w:eastAsia="Times New Roman" w:hAnsi="Arial" w:cs="Arial"/>
                <w:sz w:val="18"/>
                <w:szCs w:val="18"/>
                <w:lang w:eastAsia="pt-BR"/>
              </w:rPr>
              <w:t xml:space="preserve">Demonstrativo evidenciando, mensalmente, o valor da despesa liquidada e efetivamente recolhida de contribuições sociais patronais, discriminando por instituição previdenciária (RPPS e RGPS), na forma </w:t>
            </w:r>
            <w:r w:rsidR="009814E6" w:rsidRPr="009814E6">
              <w:rPr>
                <w:rFonts w:ascii="Arial" w:eastAsia="Times New Roman" w:hAnsi="Arial" w:cs="Arial"/>
                <w:sz w:val="18"/>
                <w:szCs w:val="18"/>
                <w:lang w:eastAsia="pt-BR"/>
              </w:rPr>
              <w:t>do item 3.2 deste Anexo.</w:t>
            </w:r>
          </w:p>
        </w:tc>
        <w:tc>
          <w:tcPr>
            <w:tcW w:w="992" w:type="dxa"/>
            <w:shd w:val="clear" w:color="auto" w:fill="auto"/>
            <w:vAlign w:val="center"/>
          </w:tcPr>
          <w:p w14:paraId="2C67E9A4" w14:textId="77777777" w:rsidR="00D90A30" w:rsidRPr="009814E6" w:rsidRDefault="00532985" w:rsidP="00180538">
            <w:pPr>
              <w:spacing w:after="0" w:line="240" w:lineRule="auto"/>
              <w:jc w:val="center"/>
              <w:rPr>
                <w:rFonts w:ascii="Arial" w:eastAsia="Times New Roman" w:hAnsi="Arial" w:cs="Arial"/>
                <w:sz w:val="14"/>
                <w:szCs w:val="14"/>
                <w:lang w:eastAsia="pt-BR"/>
              </w:rPr>
            </w:pPr>
            <w:r w:rsidRPr="009814E6">
              <w:rPr>
                <w:rFonts w:ascii="Arial" w:eastAsia="Times New Roman" w:hAnsi="Arial" w:cs="Arial"/>
                <w:sz w:val="14"/>
                <w:szCs w:val="14"/>
                <w:lang w:eastAsia="pt-BR"/>
              </w:rPr>
              <w:t>PDF</w:t>
            </w:r>
          </w:p>
        </w:tc>
      </w:tr>
      <w:tr w:rsidR="009814E6" w:rsidRPr="009814E6" w14:paraId="35E9C961" w14:textId="77777777" w:rsidTr="00C074EC">
        <w:tc>
          <w:tcPr>
            <w:tcW w:w="1271" w:type="dxa"/>
            <w:vAlign w:val="center"/>
          </w:tcPr>
          <w:p w14:paraId="6C935D2F" w14:textId="77777777" w:rsidR="00D90A30" w:rsidRPr="009814E6" w:rsidRDefault="00D90A30" w:rsidP="00180538">
            <w:pPr>
              <w:spacing w:after="0" w:line="240" w:lineRule="auto"/>
              <w:jc w:val="center"/>
              <w:rPr>
                <w:rFonts w:ascii="Arial" w:eastAsia="Times New Roman" w:hAnsi="Arial" w:cs="Arial"/>
                <w:sz w:val="18"/>
                <w:szCs w:val="18"/>
                <w:lang w:eastAsia="pt-BR"/>
              </w:rPr>
            </w:pPr>
            <w:r w:rsidRPr="009814E6">
              <w:rPr>
                <w:rFonts w:ascii="Arial" w:eastAsia="Times New Roman" w:hAnsi="Arial" w:cs="Arial"/>
                <w:sz w:val="18"/>
                <w:szCs w:val="18"/>
                <w:lang w:eastAsia="pt-BR"/>
              </w:rPr>
              <w:t>DEMCSE</w:t>
            </w:r>
          </w:p>
        </w:tc>
        <w:tc>
          <w:tcPr>
            <w:tcW w:w="6917" w:type="dxa"/>
            <w:shd w:val="clear" w:color="auto" w:fill="auto"/>
            <w:vAlign w:val="center"/>
          </w:tcPr>
          <w:p w14:paraId="6C6AD5C6" w14:textId="274E7643" w:rsidR="00D90A30" w:rsidRPr="009814E6" w:rsidRDefault="00D90A30" w:rsidP="00180538">
            <w:pPr>
              <w:spacing w:before="120" w:after="120" w:line="240" w:lineRule="auto"/>
              <w:jc w:val="both"/>
              <w:rPr>
                <w:rFonts w:ascii="Arial" w:eastAsia="Times New Roman" w:hAnsi="Arial" w:cs="Arial"/>
                <w:sz w:val="18"/>
                <w:szCs w:val="18"/>
                <w:lang w:eastAsia="pt-BR"/>
              </w:rPr>
            </w:pPr>
            <w:r w:rsidRPr="009814E6">
              <w:rPr>
                <w:rFonts w:ascii="Arial" w:eastAsia="Times New Roman" w:hAnsi="Arial" w:cs="Arial"/>
                <w:sz w:val="18"/>
                <w:szCs w:val="18"/>
                <w:lang w:eastAsia="pt-BR"/>
              </w:rPr>
              <w:t xml:space="preserve">Demonstrativo evidenciando, mensalmente, o valor retido de contribuições sociais dos servidores e efetivamente recolhidos, discriminando por instituição previdenciária (RPPS e RGPS), na forma </w:t>
            </w:r>
            <w:r w:rsidR="009814E6" w:rsidRPr="009814E6">
              <w:rPr>
                <w:rFonts w:ascii="Arial" w:eastAsia="Times New Roman" w:hAnsi="Arial" w:cs="Arial"/>
                <w:sz w:val="18"/>
                <w:szCs w:val="18"/>
                <w:lang w:eastAsia="pt-BR"/>
              </w:rPr>
              <w:t>do item 3.2 deste Anexo.</w:t>
            </w:r>
          </w:p>
        </w:tc>
        <w:tc>
          <w:tcPr>
            <w:tcW w:w="992" w:type="dxa"/>
            <w:shd w:val="clear" w:color="auto" w:fill="auto"/>
            <w:vAlign w:val="center"/>
          </w:tcPr>
          <w:p w14:paraId="5997F6F4" w14:textId="77777777" w:rsidR="00D90A30" w:rsidRPr="009814E6" w:rsidRDefault="00532985" w:rsidP="00180538">
            <w:pPr>
              <w:spacing w:after="0" w:line="240" w:lineRule="auto"/>
              <w:jc w:val="center"/>
              <w:rPr>
                <w:rFonts w:ascii="Arial" w:eastAsia="Times New Roman" w:hAnsi="Arial" w:cs="Arial"/>
                <w:sz w:val="14"/>
                <w:szCs w:val="14"/>
                <w:lang w:eastAsia="pt-BR"/>
              </w:rPr>
            </w:pPr>
            <w:r w:rsidRPr="009814E6">
              <w:rPr>
                <w:rFonts w:ascii="Arial" w:eastAsia="Times New Roman" w:hAnsi="Arial" w:cs="Arial"/>
                <w:sz w:val="14"/>
                <w:szCs w:val="14"/>
                <w:lang w:eastAsia="pt-BR"/>
              </w:rPr>
              <w:t>PDF</w:t>
            </w:r>
          </w:p>
        </w:tc>
      </w:tr>
      <w:tr w:rsidR="003523A1" w:rsidRPr="003523A1" w14:paraId="5844908B" w14:textId="77777777" w:rsidTr="00C074EC">
        <w:tc>
          <w:tcPr>
            <w:tcW w:w="1271" w:type="dxa"/>
            <w:vAlign w:val="center"/>
          </w:tcPr>
          <w:p w14:paraId="64DF66CD" w14:textId="77777777" w:rsidR="00D90A30" w:rsidRPr="003523A1" w:rsidRDefault="00D90A30" w:rsidP="00075C4D">
            <w:pPr>
              <w:spacing w:after="0" w:line="240" w:lineRule="auto"/>
              <w:jc w:val="center"/>
              <w:rPr>
                <w:rFonts w:ascii="Arial" w:eastAsia="Times New Roman" w:hAnsi="Arial" w:cs="Arial"/>
                <w:sz w:val="18"/>
                <w:szCs w:val="18"/>
                <w:lang w:eastAsia="pt-BR"/>
              </w:rPr>
            </w:pPr>
            <w:r w:rsidRPr="003523A1">
              <w:rPr>
                <w:rFonts w:ascii="Arial" w:eastAsia="Times New Roman" w:hAnsi="Arial" w:cs="Arial"/>
                <w:sz w:val="18"/>
                <w:szCs w:val="18"/>
                <w:lang w:eastAsia="pt-BR"/>
              </w:rPr>
              <w:t>APROPAT</w:t>
            </w:r>
          </w:p>
        </w:tc>
        <w:tc>
          <w:tcPr>
            <w:tcW w:w="6917" w:type="dxa"/>
            <w:shd w:val="clear" w:color="auto" w:fill="auto"/>
            <w:vAlign w:val="center"/>
          </w:tcPr>
          <w:p w14:paraId="6977BB22" w14:textId="562FE9DE" w:rsidR="00D90A30" w:rsidRPr="003523A1" w:rsidRDefault="00D90A30" w:rsidP="00EA019B">
            <w:pPr>
              <w:spacing w:before="120" w:after="120" w:line="240" w:lineRule="auto"/>
              <w:jc w:val="both"/>
              <w:rPr>
                <w:rFonts w:ascii="Arial" w:eastAsia="Times New Roman" w:hAnsi="Arial" w:cs="Arial"/>
                <w:sz w:val="18"/>
                <w:szCs w:val="18"/>
                <w:lang w:eastAsia="pt-BR"/>
              </w:rPr>
            </w:pPr>
            <w:r w:rsidRPr="003523A1">
              <w:rPr>
                <w:rFonts w:ascii="Arial" w:eastAsia="Times New Roman" w:hAnsi="Arial" w:cs="Arial"/>
                <w:sz w:val="18"/>
                <w:szCs w:val="18"/>
                <w:lang w:eastAsia="pt-BR"/>
              </w:rPr>
              <w:t xml:space="preserve">Informar o percentual de participação de cada um dos entes consorciados no patrimônio líquido do consórcio, conforme modelo constante </w:t>
            </w:r>
            <w:r w:rsidR="003523A1" w:rsidRPr="003523A1">
              <w:rPr>
                <w:rFonts w:ascii="Arial" w:eastAsia="Times New Roman" w:hAnsi="Arial" w:cs="Arial"/>
                <w:sz w:val="18"/>
                <w:szCs w:val="18"/>
                <w:lang w:eastAsia="pt-BR"/>
              </w:rPr>
              <w:t>do item</w:t>
            </w:r>
            <w:r w:rsidR="00182C00">
              <w:rPr>
                <w:rFonts w:ascii="Arial" w:eastAsia="Times New Roman" w:hAnsi="Arial" w:cs="Arial"/>
                <w:sz w:val="18"/>
                <w:szCs w:val="18"/>
                <w:lang w:eastAsia="pt-BR"/>
              </w:rPr>
              <w:t xml:space="preserve"> 3.1</w:t>
            </w:r>
            <w:r w:rsidR="003523A1" w:rsidRPr="003523A1">
              <w:rPr>
                <w:rFonts w:ascii="Arial" w:eastAsia="Times New Roman" w:hAnsi="Arial" w:cs="Arial"/>
                <w:sz w:val="18"/>
                <w:szCs w:val="18"/>
                <w:lang w:eastAsia="pt-BR"/>
              </w:rPr>
              <w:t xml:space="preserve"> deste Anexo</w:t>
            </w:r>
            <w:r w:rsidRPr="003523A1">
              <w:rPr>
                <w:rFonts w:ascii="Arial" w:eastAsia="Times New Roman" w:hAnsi="Arial" w:cs="Arial"/>
                <w:sz w:val="18"/>
                <w:szCs w:val="18"/>
                <w:lang w:eastAsia="pt-BR"/>
              </w:rPr>
              <w:t>, por meio das cotas de participação, valoradas de acordo com a relação “Patrimônio líquido/Número total de cotas”, na forma dos itens 29 a 32 da IPC 10 – Instruções de Procedimentos Contábeis – Contabilização de Consórcios Públicos.</w:t>
            </w:r>
          </w:p>
        </w:tc>
        <w:tc>
          <w:tcPr>
            <w:tcW w:w="992" w:type="dxa"/>
            <w:shd w:val="clear" w:color="auto" w:fill="auto"/>
            <w:vAlign w:val="center"/>
          </w:tcPr>
          <w:p w14:paraId="31530070" w14:textId="77777777" w:rsidR="00F94EAC" w:rsidRPr="003523A1" w:rsidRDefault="00F94EAC" w:rsidP="00075C4D">
            <w:pPr>
              <w:spacing w:after="0" w:line="240" w:lineRule="auto"/>
              <w:jc w:val="center"/>
              <w:rPr>
                <w:rFonts w:ascii="Arial" w:eastAsia="Times New Roman" w:hAnsi="Arial" w:cs="Arial"/>
                <w:sz w:val="14"/>
                <w:szCs w:val="14"/>
                <w:lang w:eastAsia="pt-BR"/>
              </w:rPr>
            </w:pPr>
            <w:r w:rsidRPr="003523A1">
              <w:rPr>
                <w:rFonts w:ascii="Arial" w:eastAsia="Times New Roman" w:hAnsi="Arial" w:cs="Arial"/>
                <w:sz w:val="14"/>
                <w:szCs w:val="14"/>
                <w:lang w:eastAsia="pt-BR"/>
              </w:rPr>
              <w:t>XML</w:t>
            </w:r>
          </w:p>
        </w:tc>
      </w:tr>
      <w:tr w:rsidR="00DD5198" w:rsidRPr="004A00C4" w14:paraId="7F77E507" w14:textId="77777777" w:rsidTr="00C074EC">
        <w:tc>
          <w:tcPr>
            <w:tcW w:w="1271" w:type="dxa"/>
            <w:vAlign w:val="center"/>
          </w:tcPr>
          <w:p w14:paraId="28D183A0" w14:textId="0768CB28" w:rsidR="00DD5198" w:rsidRPr="004A00C4" w:rsidRDefault="00DD5198" w:rsidP="00DD5198">
            <w:pPr>
              <w:spacing w:after="0" w:line="240" w:lineRule="auto"/>
              <w:jc w:val="center"/>
              <w:rPr>
                <w:rFonts w:ascii="Arial" w:eastAsia="Times New Roman" w:hAnsi="Arial" w:cs="Arial"/>
                <w:sz w:val="18"/>
                <w:szCs w:val="18"/>
                <w:lang w:eastAsia="pt-BR"/>
              </w:rPr>
            </w:pPr>
            <w:r w:rsidRPr="004A00C4">
              <w:rPr>
                <w:rFonts w:ascii="Arial" w:eastAsia="Arial" w:hAnsi="Arial" w:cs="Arial"/>
                <w:sz w:val="18"/>
              </w:rPr>
              <w:t>CRONOS</w:t>
            </w:r>
          </w:p>
        </w:tc>
        <w:tc>
          <w:tcPr>
            <w:tcW w:w="6917" w:type="dxa"/>
            <w:shd w:val="clear" w:color="auto" w:fill="auto"/>
            <w:vAlign w:val="center"/>
          </w:tcPr>
          <w:p w14:paraId="08B35850" w14:textId="5A4672F4" w:rsidR="00DD5198" w:rsidRPr="004A00C4" w:rsidRDefault="00DD5198" w:rsidP="00DD5198">
            <w:pPr>
              <w:pStyle w:val="TableParagraph"/>
              <w:spacing w:before="120" w:after="120"/>
              <w:ind w:left="102" w:right="111"/>
              <w:jc w:val="both"/>
              <w:rPr>
                <w:rFonts w:ascii="Arial" w:hAnsi="Arial" w:cs="Arial"/>
                <w:sz w:val="18"/>
                <w:szCs w:val="18"/>
                <w:lang w:val="pt-BR"/>
              </w:rPr>
            </w:pPr>
            <w:r w:rsidRPr="005B7FCC">
              <w:rPr>
                <w:rFonts w:ascii="Arial" w:eastAsia="Times New Roman" w:hAnsi="Arial" w:cs="Arial"/>
                <w:sz w:val="18"/>
                <w:szCs w:val="18"/>
                <w:lang w:val="pt-BR" w:eastAsia="pt-BR"/>
              </w:rPr>
              <w:t>Ato(s) normativo(s) da autoridade competente regulamentando a ordem cronológica dos pagamentos, nos termos do art. 5º da Lei Federal nº 8666/93.</w:t>
            </w:r>
          </w:p>
        </w:tc>
        <w:tc>
          <w:tcPr>
            <w:tcW w:w="992" w:type="dxa"/>
            <w:shd w:val="clear" w:color="auto" w:fill="auto"/>
            <w:vAlign w:val="center"/>
          </w:tcPr>
          <w:p w14:paraId="634F979A" w14:textId="5BB4E809" w:rsidR="00DD5198" w:rsidRPr="004A00C4" w:rsidRDefault="00DD5198" w:rsidP="00DD5198">
            <w:pPr>
              <w:spacing w:after="0" w:line="240" w:lineRule="auto"/>
              <w:jc w:val="center"/>
              <w:rPr>
                <w:rFonts w:ascii="Arial" w:eastAsia="Times New Roman" w:hAnsi="Arial" w:cs="Arial"/>
                <w:sz w:val="14"/>
                <w:szCs w:val="14"/>
                <w:lang w:eastAsia="pt-BR"/>
              </w:rPr>
            </w:pPr>
            <w:r w:rsidRPr="004A00C4">
              <w:rPr>
                <w:rFonts w:ascii="Arial" w:eastAsia="Times New Roman" w:hAnsi="Arial" w:cs="Arial"/>
                <w:sz w:val="14"/>
                <w:szCs w:val="14"/>
                <w:lang w:eastAsia="pt-BR"/>
              </w:rPr>
              <w:t>PDF</w:t>
            </w:r>
          </w:p>
        </w:tc>
      </w:tr>
      <w:tr w:rsidR="00DD5198" w:rsidRPr="004A00C4" w14:paraId="7ADAFD57" w14:textId="77777777" w:rsidTr="00C074EC">
        <w:tc>
          <w:tcPr>
            <w:tcW w:w="1271" w:type="dxa"/>
            <w:vAlign w:val="center"/>
          </w:tcPr>
          <w:p w14:paraId="79AD9AAB" w14:textId="4636829A" w:rsidR="00DD5198" w:rsidRPr="004A00C4" w:rsidRDefault="00DD5198" w:rsidP="00DD5198">
            <w:pPr>
              <w:spacing w:after="0" w:line="240" w:lineRule="auto"/>
              <w:jc w:val="center"/>
              <w:rPr>
                <w:rFonts w:ascii="Arial" w:eastAsia="Times New Roman" w:hAnsi="Arial" w:cs="Arial"/>
                <w:sz w:val="18"/>
                <w:szCs w:val="18"/>
                <w:lang w:eastAsia="pt-BR"/>
              </w:rPr>
            </w:pPr>
            <w:r w:rsidRPr="004A00C4">
              <w:rPr>
                <w:rFonts w:ascii="Arial" w:eastAsia="Arial" w:hAnsi="Arial" w:cs="Arial"/>
                <w:sz w:val="18"/>
              </w:rPr>
              <w:t>JUSTCRO</w:t>
            </w:r>
          </w:p>
        </w:tc>
        <w:tc>
          <w:tcPr>
            <w:tcW w:w="6917" w:type="dxa"/>
            <w:shd w:val="clear" w:color="auto" w:fill="auto"/>
            <w:vAlign w:val="center"/>
          </w:tcPr>
          <w:p w14:paraId="14138870" w14:textId="343D25EA" w:rsidR="00DD5198" w:rsidRPr="004A00C4" w:rsidRDefault="00DD5198" w:rsidP="00DD5198">
            <w:pPr>
              <w:pStyle w:val="TableParagraph"/>
              <w:spacing w:before="120" w:after="120"/>
              <w:ind w:left="102" w:right="111"/>
              <w:jc w:val="both"/>
              <w:rPr>
                <w:rFonts w:ascii="Arial" w:hAnsi="Arial" w:cs="Arial"/>
                <w:sz w:val="18"/>
                <w:szCs w:val="18"/>
                <w:lang w:val="pt-BR"/>
              </w:rPr>
            </w:pPr>
            <w:r w:rsidRPr="005B7FCC">
              <w:rPr>
                <w:rFonts w:ascii="Arial" w:eastAsia="Times New Roman" w:hAnsi="Arial" w:cs="Arial"/>
                <w:sz w:val="18"/>
                <w:szCs w:val="18"/>
                <w:lang w:val="pt-BR" w:eastAsia="pt-BR"/>
              </w:rPr>
              <w:t>Justificativas da autoridade competente evidenciando as relevantes razões de interesse público para todos os pagamentos que inobservaram a estrita ordem cronológica das datas de suas exigibilidades, para cada fonte diferenciada de recursos, acompanhadas de suas respectivas publicações no exercício.</w:t>
            </w:r>
          </w:p>
        </w:tc>
        <w:tc>
          <w:tcPr>
            <w:tcW w:w="992" w:type="dxa"/>
            <w:shd w:val="clear" w:color="auto" w:fill="auto"/>
            <w:vAlign w:val="center"/>
          </w:tcPr>
          <w:p w14:paraId="4C65DCF8" w14:textId="28E43EED" w:rsidR="00DD5198" w:rsidRPr="004A00C4" w:rsidRDefault="00DD5198" w:rsidP="00DD5198">
            <w:pPr>
              <w:spacing w:after="0" w:line="240" w:lineRule="auto"/>
              <w:jc w:val="center"/>
              <w:rPr>
                <w:rFonts w:ascii="Arial" w:eastAsia="Times New Roman" w:hAnsi="Arial" w:cs="Arial"/>
                <w:sz w:val="14"/>
                <w:szCs w:val="14"/>
                <w:lang w:eastAsia="pt-BR"/>
              </w:rPr>
            </w:pPr>
            <w:r w:rsidRPr="004A00C4">
              <w:rPr>
                <w:rFonts w:ascii="Arial" w:eastAsia="Times New Roman" w:hAnsi="Arial" w:cs="Arial"/>
                <w:sz w:val="14"/>
                <w:szCs w:val="14"/>
                <w:lang w:eastAsia="pt-BR"/>
              </w:rPr>
              <w:t>PDF</w:t>
            </w:r>
          </w:p>
        </w:tc>
      </w:tr>
      <w:tr w:rsidR="00DD5198" w:rsidRPr="00DD5198" w14:paraId="5D2E73D9" w14:textId="77777777" w:rsidTr="00C074EC">
        <w:tc>
          <w:tcPr>
            <w:tcW w:w="1271" w:type="dxa"/>
            <w:vAlign w:val="center"/>
          </w:tcPr>
          <w:p w14:paraId="596A05C0" w14:textId="776F758E" w:rsidR="00DD5198" w:rsidRPr="00DD5198" w:rsidRDefault="00DD5198" w:rsidP="00DD5198">
            <w:pPr>
              <w:spacing w:after="0" w:line="240" w:lineRule="auto"/>
              <w:jc w:val="center"/>
              <w:rPr>
                <w:rFonts w:ascii="Arial" w:eastAsia="Times New Roman" w:hAnsi="Arial" w:cs="Arial"/>
                <w:sz w:val="18"/>
                <w:szCs w:val="18"/>
                <w:lang w:eastAsia="pt-BR"/>
              </w:rPr>
            </w:pPr>
            <w:r w:rsidRPr="00DD5198">
              <w:rPr>
                <w:rFonts w:ascii="Arial" w:eastAsia="Times New Roman" w:hAnsi="Arial" w:cs="Arial"/>
                <w:sz w:val="18"/>
                <w:szCs w:val="18"/>
                <w:lang w:eastAsia="pt-BR"/>
              </w:rPr>
              <w:t>NOTAEXP</w:t>
            </w:r>
          </w:p>
        </w:tc>
        <w:tc>
          <w:tcPr>
            <w:tcW w:w="6917" w:type="dxa"/>
            <w:shd w:val="clear" w:color="auto" w:fill="auto"/>
            <w:vAlign w:val="center"/>
          </w:tcPr>
          <w:p w14:paraId="38A0FC8C" w14:textId="77777777" w:rsidR="00DD5198" w:rsidRPr="00DD5198" w:rsidRDefault="00DD5198" w:rsidP="00DD5198">
            <w:pPr>
              <w:pStyle w:val="TableParagraph"/>
              <w:spacing w:before="120" w:after="120"/>
              <w:ind w:left="102" w:right="111"/>
              <w:jc w:val="both"/>
              <w:rPr>
                <w:rFonts w:ascii="Arial" w:hAnsi="Arial" w:cs="Arial"/>
                <w:sz w:val="18"/>
                <w:szCs w:val="18"/>
                <w:lang w:val="pt-BR"/>
              </w:rPr>
            </w:pPr>
            <w:r w:rsidRPr="00DD5198">
              <w:rPr>
                <w:rFonts w:ascii="Arial" w:hAnsi="Arial" w:cs="Arial"/>
                <w:sz w:val="18"/>
                <w:szCs w:val="18"/>
                <w:lang w:val="pt-BR"/>
              </w:rPr>
              <w:t>Notas Explicativas às Demonstrações Contábeis, conforme layout constante do item 3.1 deste Anexo, contendo:</w:t>
            </w:r>
          </w:p>
          <w:p w14:paraId="1305687E" w14:textId="77777777" w:rsidR="00DD5198" w:rsidRPr="00DD5198" w:rsidRDefault="00DD5198" w:rsidP="005C719B">
            <w:pPr>
              <w:pStyle w:val="PargrafodaLista"/>
              <w:numPr>
                <w:ilvl w:val="0"/>
                <w:numId w:val="35"/>
              </w:numPr>
              <w:spacing w:before="120" w:after="120" w:line="240" w:lineRule="auto"/>
              <w:ind w:left="822"/>
              <w:contextualSpacing w:val="0"/>
              <w:jc w:val="both"/>
              <w:rPr>
                <w:rFonts w:ascii="Arial" w:hAnsi="Arial" w:cs="Arial"/>
                <w:sz w:val="18"/>
                <w:szCs w:val="18"/>
              </w:rPr>
            </w:pPr>
            <w:r w:rsidRPr="00DD5198">
              <w:rPr>
                <w:rFonts w:ascii="Arial" w:hAnsi="Arial" w:cs="Arial"/>
                <w:sz w:val="18"/>
                <w:szCs w:val="18"/>
              </w:rPr>
              <w:t>Informações gerais da entidade: natureza jurídica, natureza das operações, atividades desempenhadas, lei de instituição, conforme o caso, e declaração de conformidade com leis e normas de contabilidade aplicáveis;</w:t>
            </w:r>
          </w:p>
          <w:p w14:paraId="51867740" w14:textId="77777777" w:rsidR="00DD5198" w:rsidRPr="00DD5198" w:rsidRDefault="00DD5198" w:rsidP="005C719B">
            <w:pPr>
              <w:pStyle w:val="PargrafodaLista"/>
              <w:numPr>
                <w:ilvl w:val="0"/>
                <w:numId w:val="35"/>
              </w:numPr>
              <w:spacing w:before="120" w:after="120" w:line="240" w:lineRule="auto"/>
              <w:ind w:left="822"/>
              <w:contextualSpacing w:val="0"/>
              <w:jc w:val="both"/>
              <w:rPr>
                <w:rFonts w:ascii="Arial" w:hAnsi="Arial" w:cs="Arial"/>
                <w:sz w:val="18"/>
                <w:szCs w:val="18"/>
              </w:rPr>
            </w:pPr>
            <w:r w:rsidRPr="00DD5198">
              <w:rPr>
                <w:rFonts w:ascii="Arial" w:hAnsi="Arial" w:cs="Arial"/>
                <w:sz w:val="18"/>
                <w:szCs w:val="18"/>
              </w:rPr>
              <w:t>Resumo das Políticas Contábeis relevantes: base de mensuração utilizada, adoção de novas políticas contábeis;</w:t>
            </w:r>
          </w:p>
          <w:p w14:paraId="2E99A50C" w14:textId="77777777" w:rsidR="00DD5198" w:rsidRPr="00DD5198" w:rsidRDefault="00DD5198" w:rsidP="005C719B">
            <w:pPr>
              <w:pStyle w:val="PargrafodaLista"/>
              <w:numPr>
                <w:ilvl w:val="0"/>
                <w:numId w:val="35"/>
              </w:numPr>
              <w:spacing w:before="120" w:after="120" w:line="240" w:lineRule="auto"/>
              <w:ind w:left="822"/>
              <w:contextualSpacing w:val="0"/>
              <w:jc w:val="both"/>
              <w:rPr>
                <w:rFonts w:ascii="Arial" w:hAnsi="Arial" w:cs="Arial"/>
                <w:sz w:val="18"/>
                <w:szCs w:val="18"/>
              </w:rPr>
            </w:pPr>
            <w:r w:rsidRPr="00DD5198">
              <w:rPr>
                <w:rFonts w:ascii="Arial" w:hAnsi="Arial" w:cs="Arial"/>
                <w:sz w:val="18"/>
                <w:szCs w:val="18"/>
              </w:rPr>
              <w:t>Detalhamento de informações relevantes contidas nos Demonstrativos Contábeis;</w:t>
            </w:r>
          </w:p>
          <w:p w14:paraId="2F43725C" w14:textId="575D8C2F" w:rsidR="00DD5198" w:rsidRPr="00DD5198" w:rsidRDefault="00DD5198" w:rsidP="005C719B">
            <w:pPr>
              <w:pStyle w:val="PargrafodaLista"/>
              <w:numPr>
                <w:ilvl w:val="0"/>
                <w:numId w:val="35"/>
              </w:numPr>
              <w:spacing w:before="120" w:after="120" w:line="240" w:lineRule="auto"/>
              <w:ind w:left="822"/>
              <w:contextualSpacing w:val="0"/>
              <w:jc w:val="both"/>
              <w:rPr>
                <w:rFonts w:ascii="Arial" w:eastAsia="Times New Roman" w:hAnsi="Arial" w:cs="Arial"/>
                <w:sz w:val="18"/>
                <w:szCs w:val="18"/>
                <w:lang w:eastAsia="pt-BR"/>
              </w:rPr>
            </w:pPr>
            <w:r w:rsidRPr="00DD5198">
              <w:rPr>
                <w:rFonts w:ascii="Arial" w:hAnsi="Arial" w:cs="Arial"/>
                <w:sz w:val="18"/>
                <w:szCs w:val="18"/>
              </w:rPr>
              <w:lastRenderedPageBreak/>
              <w:t>Demais informações relevantes: passivos contingentes e compromissos contratuais não reconhecidos; ajustes decorrentes de erros, etc.</w:t>
            </w:r>
          </w:p>
        </w:tc>
        <w:tc>
          <w:tcPr>
            <w:tcW w:w="992" w:type="dxa"/>
            <w:shd w:val="clear" w:color="auto" w:fill="auto"/>
            <w:vAlign w:val="center"/>
          </w:tcPr>
          <w:p w14:paraId="49870DEF" w14:textId="028F1CFE" w:rsidR="00DD5198" w:rsidRPr="00DD5198" w:rsidRDefault="00DD5198" w:rsidP="00DD5198">
            <w:pPr>
              <w:spacing w:after="0" w:line="240" w:lineRule="auto"/>
              <w:jc w:val="center"/>
              <w:rPr>
                <w:rFonts w:ascii="Arial" w:eastAsia="Times New Roman" w:hAnsi="Arial" w:cs="Arial"/>
                <w:sz w:val="14"/>
                <w:szCs w:val="14"/>
                <w:lang w:eastAsia="pt-BR"/>
              </w:rPr>
            </w:pPr>
            <w:r w:rsidRPr="00DD5198">
              <w:rPr>
                <w:rFonts w:ascii="Arial" w:eastAsia="Times New Roman" w:hAnsi="Arial" w:cs="Arial"/>
                <w:sz w:val="14"/>
                <w:szCs w:val="14"/>
                <w:lang w:eastAsia="pt-BR"/>
              </w:rPr>
              <w:lastRenderedPageBreak/>
              <w:t>XML</w:t>
            </w:r>
          </w:p>
        </w:tc>
      </w:tr>
      <w:tr w:rsidR="00984EAD" w:rsidRPr="00A5490A" w14:paraId="2F42CA31" w14:textId="77777777" w:rsidTr="00C074EC">
        <w:tc>
          <w:tcPr>
            <w:tcW w:w="1271" w:type="dxa"/>
            <w:vAlign w:val="center"/>
          </w:tcPr>
          <w:p w14:paraId="5A1F267E" w14:textId="77777777" w:rsidR="00984EAD" w:rsidRPr="00A5490A" w:rsidRDefault="00984EAD" w:rsidP="00075C4D">
            <w:pPr>
              <w:spacing w:after="0" w:line="240" w:lineRule="auto"/>
              <w:jc w:val="center"/>
              <w:rPr>
                <w:rFonts w:ascii="Arial" w:eastAsia="Times New Roman" w:hAnsi="Arial" w:cs="Arial"/>
                <w:sz w:val="18"/>
                <w:szCs w:val="18"/>
                <w:lang w:eastAsia="pt-BR"/>
              </w:rPr>
            </w:pPr>
            <w:r>
              <w:rPr>
                <w:rFonts w:ascii="Arial" w:eastAsia="Times New Roman" w:hAnsi="Arial" w:cs="Arial"/>
                <w:sz w:val="18"/>
                <w:szCs w:val="18"/>
                <w:lang w:eastAsia="pt-BR"/>
              </w:rPr>
              <w:lastRenderedPageBreak/>
              <w:t>DOCSPCA</w:t>
            </w:r>
          </w:p>
        </w:tc>
        <w:tc>
          <w:tcPr>
            <w:tcW w:w="6917" w:type="dxa"/>
            <w:shd w:val="clear" w:color="auto" w:fill="auto"/>
            <w:vAlign w:val="center"/>
          </w:tcPr>
          <w:p w14:paraId="7814A7BB" w14:textId="2648B5E4" w:rsidR="00984EAD" w:rsidRPr="00A5490A" w:rsidRDefault="00984EAD" w:rsidP="009761AF">
            <w:pPr>
              <w:spacing w:before="120" w:after="120" w:line="240" w:lineRule="auto"/>
              <w:jc w:val="both"/>
              <w:rPr>
                <w:rFonts w:ascii="Arial" w:eastAsia="Times New Roman" w:hAnsi="Arial" w:cs="Arial"/>
                <w:sz w:val="18"/>
                <w:szCs w:val="18"/>
                <w:lang w:eastAsia="pt-BR"/>
              </w:rPr>
            </w:pPr>
            <w:r>
              <w:rPr>
                <w:rFonts w:ascii="Arial" w:eastAsia="Times New Roman" w:hAnsi="Arial" w:cs="Arial"/>
                <w:sz w:val="18"/>
                <w:szCs w:val="18"/>
                <w:lang w:eastAsia="pt-BR"/>
              </w:rPr>
              <w:t>R</w:t>
            </w:r>
            <w:r w:rsidRPr="00D46CF1">
              <w:rPr>
                <w:rFonts w:ascii="Arial" w:eastAsia="Times New Roman" w:hAnsi="Arial" w:cs="Arial"/>
                <w:sz w:val="18"/>
                <w:szCs w:val="18"/>
                <w:lang w:eastAsia="pt-BR"/>
              </w:rPr>
              <w:t>eferência aos documentos não estruturados</w:t>
            </w:r>
            <w:r>
              <w:rPr>
                <w:rFonts w:ascii="Arial" w:eastAsia="Times New Roman" w:hAnsi="Arial" w:cs="Arial"/>
                <w:sz w:val="18"/>
                <w:szCs w:val="18"/>
                <w:lang w:eastAsia="pt-BR"/>
              </w:rPr>
              <w:t>, constantes neste Anexo</w:t>
            </w:r>
            <w:r w:rsidRPr="00D46CF1">
              <w:rPr>
                <w:rFonts w:ascii="Arial" w:eastAsia="Times New Roman" w:hAnsi="Arial" w:cs="Arial"/>
                <w:sz w:val="18"/>
                <w:szCs w:val="18"/>
                <w:lang w:eastAsia="pt-BR"/>
              </w:rPr>
              <w:t>, bem como a justificativa de ausência para os arquivos não enviados.</w:t>
            </w:r>
            <w:r>
              <w:rPr>
                <w:rFonts w:ascii="Arial" w:eastAsia="Times New Roman" w:hAnsi="Arial" w:cs="Arial"/>
                <w:sz w:val="18"/>
                <w:szCs w:val="18"/>
                <w:lang w:eastAsia="pt-BR"/>
              </w:rPr>
              <w:t xml:space="preserve"> Estrutura e layout constantes do item </w:t>
            </w:r>
            <w:r w:rsidR="009761AF">
              <w:rPr>
                <w:rFonts w:ascii="Arial" w:eastAsia="Times New Roman" w:hAnsi="Arial" w:cs="Arial"/>
                <w:sz w:val="18"/>
                <w:szCs w:val="18"/>
                <w:lang w:eastAsia="pt-BR"/>
              </w:rPr>
              <w:t>3.1</w:t>
            </w:r>
            <w:r>
              <w:rPr>
                <w:rFonts w:ascii="Arial" w:eastAsia="Times New Roman" w:hAnsi="Arial" w:cs="Arial"/>
                <w:sz w:val="18"/>
                <w:szCs w:val="18"/>
                <w:lang w:eastAsia="pt-BR"/>
              </w:rPr>
              <w:t xml:space="preserve"> deste Anexo.</w:t>
            </w:r>
          </w:p>
        </w:tc>
        <w:tc>
          <w:tcPr>
            <w:tcW w:w="992" w:type="dxa"/>
            <w:shd w:val="clear" w:color="auto" w:fill="auto"/>
            <w:vAlign w:val="center"/>
          </w:tcPr>
          <w:p w14:paraId="4B73A9B8" w14:textId="77777777" w:rsidR="00984EAD" w:rsidRPr="00A5490A" w:rsidRDefault="00984EAD" w:rsidP="00075C4D">
            <w:pPr>
              <w:spacing w:after="0" w:line="240" w:lineRule="auto"/>
              <w:jc w:val="center"/>
              <w:rPr>
                <w:rFonts w:ascii="Arial" w:eastAsia="Times New Roman" w:hAnsi="Arial" w:cs="Arial"/>
                <w:sz w:val="14"/>
                <w:szCs w:val="14"/>
                <w:lang w:eastAsia="pt-BR"/>
              </w:rPr>
            </w:pPr>
            <w:r>
              <w:rPr>
                <w:rFonts w:ascii="Arial" w:eastAsia="Times New Roman" w:hAnsi="Arial" w:cs="Arial"/>
                <w:sz w:val="14"/>
                <w:szCs w:val="14"/>
                <w:lang w:eastAsia="pt-BR"/>
              </w:rPr>
              <w:t>XML</w:t>
            </w:r>
          </w:p>
        </w:tc>
      </w:tr>
    </w:tbl>
    <w:p w14:paraId="3053852E" w14:textId="77777777" w:rsidR="009135AB" w:rsidRDefault="009135AB">
      <w:pPr>
        <w:rPr>
          <w:rFonts w:ascii="Arial" w:eastAsia="Times New Roman" w:hAnsi="Arial" w:cs="Arial"/>
          <w:b/>
          <w:lang w:eastAsia="pt-BR"/>
        </w:rPr>
      </w:pPr>
    </w:p>
    <w:p w14:paraId="0F290537" w14:textId="77777777" w:rsidR="009135AB" w:rsidRPr="009135AB" w:rsidRDefault="009135AB" w:rsidP="009135AB">
      <w:pPr>
        <w:autoSpaceDE w:val="0"/>
        <w:autoSpaceDN w:val="0"/>
        <w:adjustRightInd w:val="0"/>
        <w:spacing w:after="0" w:line="240" w:lineRule="auto"/>
        <w:rPr>
          <w:rFonts w:ascii="Arial" w:hAnsi="Arial" w:cs="Arial"/>
          <w:color w:val="000000"/>
          <w:sz w:val="18"/>
          <w:szCs w:val="18"/>
        </w:rPr>
      </w:pPr>
      <w:r w:rsidRPr="009135AB">
        <w:rPr>
          <w:rFonts w:ascii="Arial" w:hAnsi="Arial" w:cs="Arial"/>
          <w:b/>
          <w:bCs/>
          <w:color w:val="000000"/>
          <w:sz w:val="18"/>
          <w:szCs w:val="18"/>
        </w:rPr>
        <w:t xml:space="preserve">Base legal: </w:t>
      </w:r>
    </w:p>
    <w:p w14:paraId="33B9B7BE" w14:textId="77777777" w:rsidR="009135AB" w:rsidRPr="009135AB" w:rsidRDefault="009135AB" w:rsidP="009135AB">
      <w:pPr>
        <w:pStyle w:val="PargrafodaLista"/>
        <w:numPr>
          <w:ilvl w:val="0"/>
          <w:numId w:val="5"/>
        </w:numPr>
        <w:autoSpaceDE w:val="0"/>
        <w:autoSpaceDN w:val="0"/>
        <w:adjustRightInd w:val="0"/>
        <w:spacing w:after="30" w:line="240" w:lineRule="auto"/>
        <w:rPr>
          <w:rFonts w:ascii="Arial" w:hAnsi="Arial" w:cs="Arial"/>
          <w:color w:val="000000"/>
          <w:sz w:val="18"/>
          <w:szCs w:val="18"/>
        </w:rPr>
      </w:pPr>
      <w:r w:rsidRPr="009135AB">
        <w:rPr>
          <w:rFonts w:ascii="Arial" w:hAnsi="Arial" w:cs="Arial"/>
          <w:color w:val="000000"/>
          <w:sz w:val="18"/>
          <w:szCs w:val="18"/>
        </w:rPr>
        <w:t xml:space="preserve">Constituição Federal, artigos 70 e 71. </w:t>
      </w:r>
    </w:p>
    <w:p w14:paraId="76CAC6AB" w14:textId="77777777" w:rsidR="009135AB" w:rsidRPr="009135AB" w:rsidRDefault="009135AB" w:rsidP="009135AB">
      <w:pPr>
        <w:pStyle w:val="PargrafodaLista"/>
        <w:numPr>
          <w:ilvl w:val="0"/>
          <w:numId w:val="5"/>
        </w:numPr>
        <w:autoSpaceDE w:val="0"/>
        <w:autoSpaceDN w:val="0"/>
        <w:adjustRightInd w:val="0"/>
        <w:spacing w:after="30" w:line="240" w:lineRule="auto"/>
        <w:rPr>
          <w:rFonts w:ascii="Arial" w:hAnsi="Arial" w:cs="Arial"/>
          <w:color w:val="000000"/>
          <w:sz w:val="18"/>
          <w:szCs w:val="18"/>
        </w:rPr>
      </w:pPr>
      <w:r w:rsidRPr="009135AB">
        <w:rPr>
          <w:rFonts w:ascii="Arial" w:hAnsi="Arial" w:cs="Arial"/>
          <w:color w:val="000000"/>
          <w:sz w:val="18"/>
          <w:szCs w:val="18"/>
        </w:rPr>
        <w:t xml:space="preserve">Constituição Estadual, artigos 70 e 71. </w:t>
      </w:r>
    </w:p>
    <w:p w14:paraId="5C34755F" w14:textId="77777777" w:rsidR="009135AB" w:rsidRPr="009135AB" w:rsidRDefault="009135AB" w:rsidP="009135AB">
      <w:pPr>
        <w:pStyle w:val="PargrafodaLista"/>
        <w:numPr>
          <w:ilvl w:val="0"/>
          <w:numId w:val="5"/>
        </w:numPr>
        <w:autoSpaceDE w:val="0"/>
        <w:autoSpaceDN w:val="0"/>
        <w:adjustRightInd w:val="0"/>
        <w:spacing w:after="30" w:line="240" w:lineRule="auto"/>
        <w:rPr>
          <w:rFonts w:ascii="Arial" w:hAnsi="Arial" w:cs="Arial"/>
          <w:color w:val="000000"/>
          <w:sz w:val="18"/>
          <w:szCs w:val="18"/>
        </w:rPr>
      </w:pPr>
      <w:r w:rsidRPr="009135AB">
        <w:rPr>
          <w:rFonts w:ascii="Arial" w:hAnsi="Arial" w:cs="Arial"/>
          <w:color w:val="000000"/>
          <w:sz w:val="18"/>
          <w:szCs w:val="18"/>
        </w:rPr>
        <w:t xml:space="preserve">Lei Complementar nº 621/2012, art. 1º, incisos IV e X. </w:t>
      </w:r>
    </w:p>
    <w:p w14:paraId="6387A30A" w14:textId="77777777" w:rsidR="009135AB" w:rsidRPr="009135AB" w:rsidRDefault="009135AB" w:rsidP="009135AB">
      <w:pPr>
        <w:pStyle w:val="PargrafodaLista"/>
        <w:numPr>
          <w:ilvl w:val="0"/>
          <w:numId w:val="5"/>
        </w:numPr>
        <w:autoSpaceDE w:val="0"/>
        <w:autoSpaceDN w:val="0"/>
        <w:adjustRightInd w:val="0"/>
        <w:spacing w:after="30" w:line="240" w:lineRule="auto"/>
        <w:rPr>
          <w:rFonts w:ascii="Arial" w:hAnsi="Arial" w:cs="Arial"/>
          <w:color w:val="000000"/>
          <w:sz w:val="18"/>
          <w:szCs w:val="18"/>
        </w:rPr>
      </w:pPr>
      <w:r w:rsidRPr="009135AB">
        <w:rPr>
          <w:rFonts w:ascii="Arial" w:hAnsi="Arial" w:cs="Arial"/>
          <w:color w:val="000000"/>
          <w:sz w:val="18"/>
          <w:szCs w:val="18"/>
        </w:rPr>
        <w:t xml:space="preserve">Lei Federal nº 4.320/1964. </w:t>
      </w:r>
    </w:p>
    <w:p w14:paraId="65869531" w14:textId="77777777" w:rsidR="009135AB" w:rsidRDefault="009135AB" w:rsidP="009135AB">
      <w:pPr>
        <w:pStyle w:val="PargrafodaLista"/>
        <w:numPr>
          <w:ilvl w:val="0"/>
          <w:numId w:val="5"/>
        </w:numPr>
        <w:autoSpaceDE w:val="0"/>
        <w:autoSpaceDN w:val="0"/>
        <w:adjustRightInd w:val="0"/>
        <w:spacing w:after="0" w:line="240" w:lineRule="auto"/>
        <w:rPr>
          <w:rFonts w:ascii="Arial" w:hAnsi="Arial" w:cs="Arial"/>
          <w:color w:val="000000"/>
          <w:sz w:val="18"/>
          <w:szCs w:val="18"/>
        </w:rPr>
      </w:pPr>
      <w:r w:rsidRPr="009135AB">
        <w:rPr>
          <w:rFonts w:ascii="Arial" w:hAnsi="Arial" w:cs="Arial"/>
          <w:color w:val="000000"/>
          <w:sz w:val="18"/>
          <w:szCs w:val="18"/>
        </w:rPr>
        <w:t xml:space="preserve">Lei Federal nº 11.107/2005, que dispõe sobre normas gerais de contratação de Consórcios Públicos. </w:t>
      </w:r>
    </w:p>
    <w:p w14:paraId="77165B7A" w14:textId="77777777" w:rsidR="0087202C" w:rsidRDefault="0087202C" w:rsidP="0087202C">
      <w:pPr>
        <w:pStyle w:val="PargrafodaLista"/>
        <w:numPr>
          <w:ilvl w:val="0"/>
          <w:numId w:val="5"/>
        </w:num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Decreto Federal nº 6.017/2007, que regulamenta a Lei Federal nº 11.107/2005.</w:t>
      </w:r>
    </w:p>
    <w:p w14:paraId="2FC05FFE" w14:textId="77777777" w:rsidR="0087202C" w:rsidRPr="00455755" w:rsidRDefault="0087202C" w:rsidP="0087202C">
      <w:pPr>
        <w:pStyle w:val="PargrafodaLista"/>
        <w:numPr>
          <w:ilvl w:val="0"/>
          <w:numId w:val="5"/>
        </w:num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 xml:space="preserve">Portaria STN </w:t>
      </w:r>
      <w:r>
        <w:t>nº 274/2016.</w:t>
      </w:r>
    </w:p>
    <w:p w14:paraId="022F52BE" w14:textId="77777777" w:rsidR="0087202C" w:rsidRPr="009135AB" w:rsidRDefault="0087202C" w:rsidP="0087202C">
      <w:pPr>
        <w:pStyle w:val="PargrafodaLista"/>
        <w:numPr>
          <w:ilvl w:val="0"/>
          <w:numId w:val="5"/>
        </w:numPr>
        <w:autoSpaceDE w:val="0"/>
        <w:autoSpaceDN w:val="0"/>
        <w:adjustRightInd w:val="0"/>
        <w:spacing w:after="0" w:line="240" w:lineRule="auto"/>
        <w:rPr>
          <w:rFonts w:ascii="Arial" w:hAnsi="Arial" w:cs="Arial"/>
          <w:color w:val="000000"/>
          <w:sz w:val="18"/>
          <w:szCs w:val="18"/>
        </w:rPr>
      </w:pPr>
      <w:r w:rsidRPr="0087202C">
        <w:rPr>
          <w:rFonts w:ascii="Arial" w:hAnsi="Arial" w:cs="Arial"/>
          <w:color w:val="000000"/>
          <w:sz w:val="18"/>
          <w:szCs w:val="18"/>
        </w:rPr>
        <w:t>INSTRUÇÕES DE PROCEDIMENTOS CONTÁBEIS STN – IPC 10 - Contabilização de Consórcios Públicos</w:t>
      </w:r>
      <w:r>
        <w:rPr>
          <w:rFonts w:ascii="Arial" w:hAnsi="Arial" w:cs="Arial"/>
          <w:color w:val="000000"/>
          <w:sz w:val="18"/>
          <w:szCs w:val="18"/>
        </w:rPr>
        <w:t>.</w:t>
      </w:r>
    </w:p>
    <w:p w14:paraId="6C85F0BA" w14:textId="77777777" w:rsidR="009135AB" w:rsidRDefault="009135AB">
      <w:pPr>
        <w:rPr>
          <w:rFonts w:ascii="Arial" w:eastAsia="Times New Roman" w:hAnsi="Arial" w:cs="Arial"/>
          <w:b/>
          <w:lang w:eastAsia="pt-BR"/>
        </w:rPr>
      </w:pPr>
    </w:p>
    <w:p w14:paraId="69710821" w14:textId="77777777" w:rsidR="00E66FB0" w:rsidRDefault="00E66FB0">
      <w:pPr>
        <w:rPr>
          <w:rFonts w:ascii="Arial" w:eastAsia="Times New Roman" w:hAnsi="Arial" w:cs="Arial"/>
          <w:b/>
          <w:lang w:eastAsia="pt-BR"/>
        </w:rPr>
      </w:pPr>
      <w:r>
        <w:rPr>
          <w:rFonts w:ascii="Arial" w:eastAsia="Times New Roman" w:hAnsi="Arial" w:cs="Arial"/>
          <w:b/>
          <w:lang w:eastAsia="pt-BR"/>
        </w:rPr>
        <w:br w:type="page"/>
      </w:r>
    </w:p>
    <w:p w14:paraId="67F5E950" w14:textId="45EBEAF1" w:rsidR="008355F6" w:rsidRPr="00613437" w:rsidRDefault="002247E8">
      <w:pPr>
        <w:pStyle w:val="Ttulo2"/>
        <w:rPr>
          <w:lang w:val="pt-BR"/>
        </w:rPr>
      </w:pPr>
      <w:r w:rsidRPr="00613437">
        <w:rPr>
          <w:lang w:val="pt-BR"/>
        </w:rPr>
        <w:lastRenderedPageBreak/>
        <w:t xml:space="preserve"> </w:t>
      </w:r>
      <w:bookmarkStart w:id="18" w:name="_Toc94806302"/>
      <w:r w:rsidR="008355F6" w:rsidRPr="00613437">
        <w:rPr>
          <w:lang w:val="pt-BR"/>
        </w:rPr>
        <w:t>FUNDOS DE DESENVOLVIMENTO COM NATUREZA JURÍDICA DE DIREITO PRIVADO.</w:t>
      </w:r>
      <w:bookmarkEnd w:id="18"/>
    </w:p>
    <w:p w14:paraId="589420DC" w14:textId="616F2812" w:rsidR="002247E8" w:rsidRDefault="002247E8" w:rsidP="008355F6">
      <w:r>
        <w:t xml:space="preserve"> </w:t>
      </w:r>
    </w:p>
    <w:tbl>
      <w:tblPr>
        <w:tblStyle w:val="TableGrid"/>
        <w:tblpPr w:leftFromText="141" w:rightFromText="141" w:vertAnchor="text" w:tblpX="-10" w:tblpY="1"/>
        <w:tblOverlap w:val="never"/>
        <w:tblW w:w="9067" w:type="dxa"/>
        <w:tblInd w:w="0" w:type="dxa"/>
        <w:tblCellMar>
          <w:top w:w="59" w:type="dxa"/>
          <w:left w:w="108" w:type="dxa"/>
          <w:right w:w="61" w:type="dxa"/>
        </w:tblCellMar>
        <w:tblLook w:val="04A0" w:firstRow="1" w:lastRow="0" w:firstColumn="1" w:lastColumn="0" w:noHBand="0" w:noVBand="1"/>
      </w:tblPr>
      <w:tblGrid>
        <w:gridCol w:w="1173"/>
        <w:gridCol w:w="6386"/>
        <w:gridCol w:w="1508"/>
      </w:tblGrid>
      <w:tr w:rsidR="008355F6" w:rsidRPr="008355F6" w14:paraId="4E3266E8" w14:textId="77777777" w:rsidTr="00F2087C">
        <w:trPr>
          <w:cantSplit/>
        </w:trPr>
        <w:tc>
          <w:tcPr>
            <w:tcW w:w="1173" w:type="dxa"/>
            <w:tcBorders>
              <w:top w:val="single" w:sz="4" w:space="0" w:color="000000"/>
              <w:left w:val="single" w:sz="4" w:space="0" w:color="000000"/>
              <w:bottom w:val="single" w:sz="4" w:space="0" w:color="000000"/>
              <w:right w:val="single" w:sz="4" w:space="0" w:color="000000"/>
            </w:tcBorders>
            <w:vAlign w:val="center"/>
          </w:tcPr>
          <w:p w14:paraId="297F8615" w14:textId="77777777" w:rsidR="008355F6" w:rsidRPr="008355F6" w:rsidRDefault="008355F6" w:rsidP="00F2087C">
            <w:pPr>
              <w:spacing w:line="360" w:lineRule="auto"/>
              <w:ind w:right="46"/>
              <w:contextualSpacing/>
              <w:jc w:val="center"/>
              <w:rPr>
                <w:rFonts w:ascii="Arial" w:hAnsi="Arial" w:cs="Times New Roman"/>
                <w:sz w:val="24"/>
              </w:rPr>
            </w:pPr>
            <w:r w:rsidRPr="008355F6">
              <w:rPr>
                <w:rFonts w:ascii="Arial" w:eastAsia="Arial" w:hAnsi="Arial" w:cs="Arial"/>
                <w:sz w:val="18"/>
              </w:rPr>
              <w:t xml:space="preserve">Código </w:t>
            </w:r>
          </w:p>
        </w:tc>
        <w:tc>
          <w:tcPr>
            <w:tcW w:w="6386" w:type="dxa"/>
            <w:tcBorders>
              <w:top w:val="single" w:sz="4" w:space="0" w:color="000000"/>
              <w:left w:val="single" w:sz="4" w:space="0" w:color="000000"/>
              <w:bottom w:val="single" w:sz="4" w:space="0" w:color="000000"/>
              <w:right w:val="single" w:sz="4" w:space="0" w:color="000000"/>
            </w:tcBorders>
            <w:vAlign w:val="center"/>
          </w:tcPr>
          <w:p w14:paraId="1C47950C" w14:textId="77777777" w:rsidR="008355F6" w:rsidRPr="008355F6" w:rsidRDefault="008355F6" w:rsidP="00F2087C">
            <w:pPr>
              <w:spacing w:line="360" w:lineRule="auto"/>
              <w:ind w:right="48"/>
              <w:contextualSpacing/>
              <w:jc w:val="center"/>
              <w:rPr>
                <w:rFonts w:ascii="Arial" w:hAnsi="Arial" w:cs="Times New Roman"/>
                <w:sz w:val="24"/>
              </w:rPr>
            </w:pPr>
            <w:r w:rsidRPr="008355F6">
              <w:rPr>
                <w:rFonts w:ascii="Arial" w:eastAsia="Arial" w:hAnsi="Arial" w:cs="Arial"/>
                <w:sz w:val="18"/>
              </w:rPr>
              <w:t xml:space="preserve">Descrição </w:t>
            </w:r>
          </w:p>
        </w:tc>
        <w:tc>
          <w:tcPr>
            <w:tcW w:w="1508" w:type="dxa"/>
            <w:tcBorders>
              <w:top w:val="single" w:sz="4" w:space="0" w:color="000000"/>
              <w:left w:val="single" w:sz="4" w:space="0" w:color="000000"/>
              <w:bottom w:val="single" w:sz="4" w:space="0" w:color="000000"/>
              <w:right w:val="single" w:sz="4" w:space="0" w:color="000000"/>
            </w:tcBorders>
            <w:vAlign w:val="center"/>
          </w:tcPr>
          <w:p w14:paraId="012D9ED1" w14:textId="77777777" w:rsidR="008355F6" w:rsidRPr="008355F6" w:rsidRDefault="008355F6" w:rsidP="00F2087C">
            <w:pPr>
              <w:spacing w:line="360" w:lineRule="auto"/>
              <w:ind w:left="53"/>
              <w:contextualSpacing/>
              <w:jc w:val="both"/>
              <w:rPr>
                <w:rFonts w:ascii="Arial" w:hAnsi="Arial" w:cs="Times New Roman"/>
                <w:sz w:val="18"/>
                <w:szCs w:val="18"/>
              </w:rPr>
            </w:pPr>
            <w:r w:rsidRPr="008355F6">
              <w:rPr>
                <w:rFonts w:ascii="Arial" w:eastAsia="Arial" w:hAnsi="Arial" w:cs="Arial"/>
                <w:sz w:val="18"/>
                <w:szCs w:val="18"/>
              </w:rPr>
              <w:t xml:space="preserve">Formato </w:t>
            </w:r>
          </w:p>
        </w:tc>
      </w:tr>
      <w:tr w:rsidR="008355F6" w:rsidRPr="008355F6" w14:paraId="76CD7F88" w14:textId="77777777" w:rsidTr="00F2087C">
        <w:trPr>
          <w:cantSplit/>
        </w:trPr>
        <w:tc>
          <w:tcPr>
            <w:tcW w:w="1173" w:type="dxa"/>
            <w:tcBorders>
              <w:top w:val="single" w:sz="4" w:space="0" w:color="000000"/>
              <w:left w:val="single" w:sz="4" w:space="0" w:color="000000"/>
              <w:bottom w:val="single" w:sz="4" w:space="0" w:color="000000"/>
              <w:right w:val="single" w:sz="4" w:space="0" w:color="000000"/>
            </w:tcBorders>
            <w:vAlign w:val="center"/>
          </w:tcPr>
          <w:p w14:paraId="7EA2A7D9" w14:textId="77777777" w:rsidR="008355F6" w:rsidRPr="008355F6" w:rsidRDefault="008355F6" w:rsidP="00F2087C">
            <w:pPr>
              <w:spacing w:line="360" w:lineRule="auto"/>
              <w:ind w:right="47"/>
              <w:contextualSpacing/>
              <w:jc w:val="center"/>
              <w:rPr>
                <w:rFonts w:ascii="Arial" w:hAnsi="Arial" w:cs="Times New Roman"/>
                <w:sz w:val="24"/>
              </w:rPr>
            </w:pPr>
            <w:r w:rsidRPr="008355F6">
              <w:rPr>
                <w:rFonts w:ascii="Arial" w:eastAsia="Arial" w:hAnsi="Arial" w:cs="Arial"/>
                <w:sz w:val="18"/>
              </w:rPr>
              <w:t xml:space="preserve">ROLRES </w:t>
            </w:r>
          </w:p>
        </w:tc>
        <w:tc>
          <w:tcPr>
            <w:tcW w:w="6386" w:type="dxa"/>
            <w:tcBorders>
              <w:top w:val="single" w:sz="4" w:space="0" w:color="000000"/>
              <w:left w:val="single" w:sz="4" w:space="0" w:color="000000"/>
              <w:bottom w:val="single" w:sz="4" w:space="0" w:color="000000"/>
              <w:right w:val="single" w:sz="4" w:space="0" w:color="000000"/>
            </w:tcBorders>
            <w:vAlign w:val="center"/>
          </w:tcPr>
          <w:p w14:paraId="410E25C5" w14:textId="77777777" w:rsidR="008355F6" w:rsidRPr="008355F6" w:rsidRDefault="008355F6" w:rsidP="00F2087C">
            <w:pPr>
              <w:spacing w:line="360" w:lineRule="auto"/>
              <w:contextualSpacing/>
              <w:jc w:val="both"/>
              <w:rPr>
                <w:rFonts w:ascii="Arial" w:eastAsia="Arial" w:hAnsi="Arial" w:cs="Arial"/>
                <w:sz w:val="18"/>
              </w:rPr>
            </w:pPr>
            <w:r w:rsidRPr="008355F6">
              <w:rPr>
                <w:rFonts w:ascii="Arial" w:eastAsia="Arial" w:hAnsi="Arial" w:cs="Arial"/>
                <w:sz w:val="18"/>
              </w:rPr>
              <w:t xml:space="preserve">Rol de responsáveis contendo a estrutura decisória do FUNDO: (Artigo 137, I, do RITCEES, aprovado pela Resolução TC nº 261/2013) </w:t>
            </w:r>
          </w:p>
          <w:p w14:paraId="56CBCCCF" w14:textId="77777777" w:rsidR="008355F6" w:rsidRPr="008355F6" w:rsidRDefault="008355F6" w:rsidP="006F0FB6">
            <w:pPr>
              <w:numPr>
                <w:ilvl w:val="0"/>
                <w:numId w:val="45"/>
              </w:numPr>
              <w:contextualSpacing/>
              <w:jc w:val="both"/>
              <w:rPr>
                <w:rFonts w:ascii="Arial" w:hAnsi="Arial" w:cs="Times New Roman"/>
                <w:sz w:val="24"/>
              </w:rPr>
            </w:pPr>
            <w:r w:rsidRPr="008355F6">
              <w:rPr>
                <w:rFonts w:ascii="Arial" w:eastAsia="Arial" w:hAnsi="Arial" w:cs="Arial"/>
                <w:sz w:val="18"/>
              </w:rPr>
              <w:t xml:space="preserve">Nome </w:t>
            </w:r>
          </w:p>
          <w:p w14:paraId="637CFDA9" w14:textId="77777777" w:rsidR="008355F6" w:rsidRPr="008355F6" w:rsidRDefault="008355F6" w:rsidP="006F0FB6">
            <w:pPr>
              <w:numPr>
                <w:ilvl w:val="0"/>
                <w:numId w:val="45"/>
              </w:numPr>
              <w:contextualSpacing/>
              <w:jc w:val="both"/>
              <w:rPr>
                <w:rFonts w:ascii="Arial" w:hAnsi="Arial" w:cs="Times New Roman"/>
                <w:sz w:val="24"/>
              </w:rPr>
            </w:pPr>
            <w:r w:rsidRPr="008355F6">
              <w:rPr>
                <w:rFonts w:ascii="Arial" w:eastAsia="Arial" w:hAnsi="Arial" w:cs="Arial"/>
                <w:sz w:val="18"/>
              </w:rPr>
              <w:t xml:space="preserve">Endereço residencial </w:t>
            </w:r>
          </w:p>
          <w:p w14:paraId="4D1C1BC7" w14:textId="77777777" w:rsidR="008355F6" w:rsidRPr="008355F6" w:rsidRDefault="008355F6" w:rsidP="006F0FB6">
            <w:pPr>
              <w:numPr>
                <w:ilvl w:val="0"/>
                <w:numId w:val="45"/>
              </w:numPr>
              <w:contextualSpacing/>
              <w:jc w:val="both"/>
              <w:rPr>
                <w:rFonts w:ascii="Arial" w:hAnsi="Arial" w:cs="Times New Roman"/>
                <w:sz w:val="24"/>
              </w:rPr>
            </w:pPr>
            <w:r w:rsidRPr="008355F6">
              <w:rPr>
                <w:rFonts w:ascii="Arial" w:eastAsia="Arial" w:hAnsi="Arial" w:cs="Arial"/>
                <w:sz w:val="18"/>
              </w:rPr>
              <w:t xml:space="preserve">Endereço eletrônico pessoal (e-mail) </w:t>
            </w:r>
          </w:p>
          <w:p w14:paraId="4A6283E6" w14:textId="77777777" w:rsidR="008355F6" w:rsidRPr="008355F6" w:rsidRDefault="008355F6" w:rsidP="006F0FB6">
            <w:pPr>
              <w:numPr>
                <w:ilvl w:val="0"/>
                <w:numId w:val="45"/>
              </w:numPr>
              <w:contextualSpacing/>
              <w:jc w:val="both"/>
              <w:rPr>
                <w:rFonts w:ascii="Arial" w:hAnsi="Arial" w:cs="Times New Roman"/>
                <w:sz w:val="24"/>
              </w:rPr>
            </w:pPr>
            <w:r w:rsidRPr="008355F6">
              <w:rPr>
                <w:rFonts w:ascii="Arial" w:eastAsia="Arial" w:hAnsi="Arial" w:cs="Arial"/>
                <w:sz w:val="18"/>
              </w:rPr>
              <w:t xml:space="preserve">Cargo ou função </w:t>
            </w:r>
          </w:p>
          <w:p w14:paraId="406AE9E4" w14:textId="77777777" w:rsidR="008355F6" w:rsidRPr="008355F6" w:rsidRDefault="008355F6" w:rsidP="006F0FB6">
            <w:pPr>
              <w:numPr>
                <w:ilvl w:val="0"/>
                <w:numId w:val="45"/>
              </w:numPr>
              <w:contextualSpacing/>
              <w:jc w:val="both"/>
              <w:rPr>
                <w:rFonts w:ascii="Arial" w:hAnsi="Arial" w:cs="Times New Roman"/>
                <w:sz w:val="24"/>
              </w:rPr>
            </w:pPr>
            <w:r w:rsidRPr="008355F6">
              <w:rPr>
                <w:rFonts w:ascii="Arial" w:eastAsia="Arial" w:hAnsi="Arial" w:cs="Arial"/>
                <w:sz w:val="18"/>
              </w:rPr>
              <w:t xml:space="preserve">Inscrição no cadastro de Pessoas Físicas da RFB (CPF) </w:t>
            </w:r>
          </w:p>
          <w:p w14:paraId="609BB9C6" w14:textId="77777777" w:rsidR="008355F6" w:rsidRPr="008355F6" w:rsidRDefault="008355F6" w:rsidP="006F0FB6">
            <w:pPr>
              <w:numPr>
                <w:ilvl w:val="0"/>
                <w:numId w:val="45"/>
              </w:numPr>
              <w:contextualSpacing/>
              <w:jc w:val="both"/>
              <w:rPr>
                <w:rFonts w:ascii="Arial" w:hAnsi="Arial" w:cs="Times New Roman"/>
                <w:sz w:val="24"/>
              </w:rPr>
            </w:pPr>
            <w:r w:rsidRPr="008355F6">
              <w:rPr>
                <w:rFonts w:ascii="Arial" w:eastAsia="Arial" w:hAnsi="Arial" w:cs="Arial"/>
                <w:sz w:val="18"/>
              </w:rPr>
              <w:t xml:space="preserve">Período de gestão </w:t>
            </w:r>
          </w:p>
          <w:p w14:paraId="5132DAFD" w14:textId="77777777" w:rsidR="008355F6" w:rsidRPr="008355F6" w:rsidRDefault="008355F6" w:rsidP="006F0FB6">
            <w:pPr>
              <w:numPr>
                <w:ilvl w:val="0"/>
                <w:numId w:val="45"/>
              </w:numPr>
              <w:contextualSpacing/>
              <w:jc w:val="both"/>
              <w:rPr>
                <w:rFonts w:ascii="Arial" w:hAnsi="Arial" w:cs="Times New Roman"/>
                <w:sz w:val="24"/>
              </w:rPr>
            </w:pPr>
            <w:r w:rsidRPr="008355F6">
              <w:rPr>
                <w:rFonts w:ascii="Arial" w:eastAsia="Arial" w:hAnsi="Arial" w:cs="Arial"/>
                <w:sz w:val="18"/>
              </w:rPr>
              <w:t xml:space="preserve">Ato de nomeação e exoneração </w:t>
            </w:r>
            <w:r w:rsidRPr="008355F6">
              <w:rPr>
                <w:rFonts w:ascii="Arial" w:hAnsi="Arial" w:cs="Times New Roman"/>
                <w:sz w:val="18"/>
              </w:rPr>
              <w:t xml:space="preserve"> </w:t>
            </w:r>
          </w:p>
        </w:tc>
        <w:tc>
          <w:tcPr>
            <w:tcW w:w="1508" w:type="dxa"/>
            <w:tcBorders>
              <w:top w:val="single" w:sz="4" w:space="0" w:color="000000"/>
              <w:left w:val="single" w:sz="4" w:space="0" w:color="000000"/>
              <w:bottom w:val="single" w:sz="4" w:space="0" w:color="000000"/>
              <w:right w:val="single" w:sz="4" w:space="0" w:color="000000"/>
            </w:tcBorders>
            <w:vAlign w:val="center"/>
          </w:tcPr>
          <w:p w14:paraId="2707F1A1" w14:textId="4F8C0929" w:rsidR="008355F6" w:rsidRPr="00485E6E" w:rsidRDefault="008355F6" w:rsidP="00485E6E">
            <w:pPr>
              <w:spacing w:line="360" w:lineRule="auto"/>
              <w:ind w:right="51"/>
              <w:contextualSpacing/>
              <w:jc w:val="center"/>
              <w:rPr>
                <w:rFonts w:ascii="Arial" w:hAnsi="Arial" w:cs="Times New Roman"/>
                <w:sz w:val="14"/>
                <w:szCs w:val="14"/>
              </w:rPr>
            </w:pPr>
            <w:r w:rsidRPr="00485E6E">
              <w:rPr>
                <w:rFonts w:ascii="Arial" w:eastAsia="Arial" w:hAnsi="Arial" w:cs="Arial"/>
                <w:sz w:val="14"/>
                <w:szCs w:val="14"/>
              </w:rPr>
              <w:t>PDF</w:t>
            </w:r>
          </w:p>
        </w:tc>
      </w:tr>
      <w:tr w:rsidR="008355F6" w:rsidRPr="008355F6" w14:paraId="6F47EBAE" w14:textId="77777777" w:rsidTr="00F2087C">
        <w:trPr>
          <w:cantSplit/>
          <w:trHeight w:val="811"/>
        </w:trPr>
        <w:tc>
          <w:tcPr>
            <w:tcW w:w="1173" w:type="dxa"/>
            <w:tcBorders>
              <w:top w:val="single" w:sz="4" w:space="0" w:color="000000"/>
              <w:left w:val="single" w:sz="4" w:space="0" w:color="000000"/>
              <w:bottom w:val="single" w:sz="4" w:space="0" w:color="000000"/>
              <w:right w:val="single" w:sz="4" w:space="0" w:color="000000"/>
            </w:tcBorders>
            <w:vAlign w:val="center"/>
          </w:tcPr>
          <w:p w14:paraId="44A280A3" w14:textId="77777777" w:rsidR="008355F6" w:rsidRPr="008355F6" w:rsidRDefault="008355F6" w:rsidP="00F2087C">
            <w:pPr>
              <w:spacing w:line="360" w:lineRule="auto"/>
              <w:contextualSpacing/>
              <w:jc w:val="center"/>
              <w:rPr>
                <w:rFonts w:ascii="Arial" w:hAnsi="Arial" w:cs="Times New Roman"/>
                <w:sz w:val="24"/>
              </w:rPr>
            </w:pPr>
            <w:r w:rsidRPr="008355F6">
              <w:rPr>
                <w:rFonts w:ascii="Arial" w:eastAsia="Arial" w:hAnsi="Arial" w:cs="Arial"/>
                <w:sz w:val="18"/>
              </w:rPr>
              <w:t>AGOADM</w:t>
            </w:r>
          </w:p>
        </w:tc>
        <w:tc>
          <w:tcPr>
            <w:tcW w:w="6386" w:type="dxa"/>
            <w:tcBorders>
              <w:top w:val="single" w:sz="4" w:space="0" w:color="000000"/>
              <w:left w:val="single" w:sz="4" w:space="0" w:color="000000"/>
              <w:bottom w:val="single" w:sz="4" w:space="0" w:color="000000"/>
              <w:right w:val="single" w:sz="4" w:space="0" w:color="000000"/>
            </w:tcBorders>
            <w:vAlign w:val="center"/>
          </w:tcPr>
          <w:p w14:paraId="292DCD59" w14:textId="77777777" w:rsidR="008355F6" w:rsidRPr="008355F6" w:rsidRDefault="008355F6" w:rsidP="00F2087C">
            <w:pPr>
              <w:spacing w:line="360" w:lineRule="auto"/>
              <w:ind w:right="52"/>
              <w:contextualSpacing/>
              <w:jc w:val="both"/>
              <w:rPr>
                <w:rFonts w:ascii="Arial" w:hAnsi="Arial" w:cs="Times New Roman"/>
                <w:sz w:val="24"/>
              </w:rPr>
            </w:pPr>
            <w:r w:rsidRPr="008355F6">
              <w:rPr>
                <w:rFonts w:ascii="Arial" w:eastAsia="Arial" w:hAnsi="Arial" w:cs="Arial"/>
                <w:sz w:val="18"/>
              </w:rPr>
              <w:t>Ata da Assembleia Geral Ordinária ou Extraordinária (AGO/AGE) ou Ato equivalente que elegeu ou destituiu os administradores/responsáveis pelo FUNDO, relacionados no “Rol de Responsáveis”, inclusive o liquidante se for o caso.</w:t>
            </w:r>
          </w:p>
        </w:tc>
        <w:tc>
          <w:tcPr>
            <w:tcW w:w="1508" w:type="dxa"/>
            <w:tcBorders>
              <w:top w:val="single" w:sz="4" w:space="0" w:color="000000"/>
              <w:left w:val="single" w:sz="4" w:space="0" w:color="000000"/>
              <w:bottom w:val="single" w:sz="4" w:space="0" w:color="000000"/>
              <w:right w:val="single" w:sz="4" w:space="0" w:color="000000"/>
            </w:tcBorders>
            <w:vAlign w:val="center"/>
          </w:tcPr>
          <w:p w14:paraId="5D2BAAE5" w14:textId="4A484F92" w:rsidR="008355F6" w:rsidRPr="00485E6E" w:rsidRDefault="008355F6" w:rsidP="00485E6E">
            <w:pPr>
              <w:spacing w:line="360" w:lineRule="auto"/>
              <w:ind w:right="51"/>
              <w:contextualSpacing/>
              <w:jc w:val="center"/>
              <w:rPr>
                <w:rFonts w:ascii="Arial" w:hAnsi="Arial" w:cs="Times New Roman"/>
                <w:sz w:val="14"/>
                <w:szCs w:val="14"/>
              </w:rPr>
            </w:pPr>
            <w:r w:rsidRPr="00485E6E">
              <w:rPr>
                <w:rFonts w:ascii="Arial" w:eastAsia="Arial" w:hAnsi="Arial" w:cs="Arial"/>
                <w:sz w:val="14"/>
                <w:szCs w:val="14"/>
              </w:rPr>
              <w:t>PDF</w:t>
            </w:r>
          </w:p>
        </w:tc>
      </w:tr>
      <w:tr w:rsidR="008355F6" w:rsidRPr="008355F6" w14:paraId="581BE596" w14:textId="77777777" w:rsidTr="00F2087C">
        <w:trPr>
          <w:cantSplit/>
        </w:trPr>
        <w:tc>
          <w:tcPr>
            <w:tcW w:w="1173" w:type="dxa"/>
            <w:tcBorders>
              <w:top w:val="single" w:sz="4" w:space="0" w:color="000000"/>
              <w:left w:val="single" w:sz="4" w:space="0" w:color="000000"/>
              <w:bottom w:val="single" w:sz="4" w:space="0" w:color="000000"/>
              <w:right w:val="single" w:sz="4" w:space="0" w:color="000000"/>
            </w:tcBorders>
            <w:vAlign w:val="center"/>
          </w:tcPr>
          <w:p w14:paraId="35295FE8" w14:textId="77777777" w:rsidR="008355F6" w:rsidRPr="008355F6" w:rsidRDefault="008355F6" w:rsidP="00F2087C">
            <w:pPr>
              <w:spacing w:line="360" w:lineRule="auto"/>
              <w:ind w:right="50"/>
              <w:contextualSpacing/>
              <w:jc w:val="center"/>
              <w:rPr>
                <w:rFonts w:ascii="Arial" w:hAnsi="Arial" w:cs="Times New Roman"/>
                <w:sz w:val="24"/>
              </w:rPr>
            </w:pPr>
            <w:r w:rsidRPr="008355F6">
              <w:rPr>
                <w:rFonts w:ascii="Arial" w:eastAsia="Arial" w:hAnsi="Arial" w:cs="Arial"/>
                <w:sz w:val="18"/>
              </w:rPr>
              <w:t xml:space="preserve">TPOSSE </w:t>
            </w:r>
          </w:p>
        </w:tc>
        <w:tc>
          <w:tcPr>
            <w:tcW w:w="6386" w:type="dxa"/>
            <w:tcBorders>
              <w:top w:val="single" w:sz="4" w:space="0" w:color="000000"/>
              <w:left w:val="single" w:sz="4" w:space="0" w:color="000000"/>
              <w:bottom w:val="single" w:sz="4" w:space="0" w:color="000000"/>
              <w:right w:val="single" w:sz="4" w:space="0" w:color="000000"/>
            </w:tcBorders>
            <w:vAlign w:val="center"/>
          </w:tcPr>
          <w:p w14:paraId="0F511E20" w14:textId="77777777" w:rsidR="008355F6" w:rsidRPr="008355F6" w:rsidRDefault="008355F6" w:rsidP="00F2087C">
            <w:pPr>
              <w:spacing w:line="360" w:lineRule="auto"/>
              <w:contextualSpacing/>
              <w:jc w:val="both"/>
              <w:rPr>
                <w:rFonts w:ascii="Arial" w:hAnsi="Arial" w:cs="Times New Roman"/>
                <w:sz w:val="24"/>
              </w:rPr>
            </w:pPr>
            <w:r w:rsidRPr="008355F6">
              <w:rPr>
                <w:rFonts w:ascii="Arial" w:eastAsia="Arial" w:hAnsi="Arial" w:cs="Arial"/>
                <w:sz w:val="18"/>
              </w:rPr>
              <w:t>Termos de Posse dos administradores relacionados no “Rol de Responsáveis”.</w:t>
            </w:r>
            <w:r w:rsidRPr="008355F6">
              <w:rPr>
                <w:rFonts w:ascii="Arial" w:hAnsi="Arial" w:cs="Times New Roman"/>
                <w:sz w:val="18"/>
              </w:rPr>
              <w:t xml:space="preserve"> </w:t>
            </w:r>
            <w:r w:rsidRPr="008355F6">
              <w:rPr>
                <w:rFonts w:ascii="Arial" w:eastAsia="Arial" w:hAnsi="Arial" w:cs="Arial"/>
                <w:sz w:val="18"/>
              </w:rPr>
              <w:t xml:space="preserve"> </w:t>
            </w:r>
          </w:p>
        </w:tc>
        <w:tc>
          <w:tcPr>
            <w:tcW w:w="1508" w:type="dxa"/>
            <w:tcBorders>
              <w:top w:val="single" w:sz="4" w:space="0" w:color="000000"/>
              <w:left w:val="single" w:sz="4" w:space="0" w:color="000000"/>
              <w:bottom w:val="single" w:sz="4" w:space="0" w:color="000000"/>
              <w:right w:val="single" w:sz="4" w:space="0" w:color="000000"/>
            </w:tcBorders>
            <w:vAlign w:val="center"/>
          </w:tcPr>
          <w:p w14:paraId="35FD791C" w14:textId="53218089" w:rsidR="008355F6" w:rsidRPr="00485E6E" w:rsidRDefault="008355F6" w:rsidP="00485E6E">
            <w:pPr>
              <w:spacing w:line="360" w:lineRule="auto"/>
              <w:ind w:right="51"/>
              <w:contextualSpacing/>
              <w:jc w:val="center"/>
              <w:rPr>
                <w:rFonts w:ascii="Arial" w:hAnsi="Arial" w:cs="Times New Roman"/>
                <w:sz w:val="14"/>
                <w:szCs w:val="14"/>
              </w:rPr>
            </w:pPr>
            <w:r w:rsidRPr="00485E6E">
              <w:rPr>
                <w:rFonts w:ascii="Arial" w:eastAsia="Arial" w:hAnsi="Arial" w:cs="Arial"/>
                <w:sz w:val="14"/>
                <w:szCs w:val="14"/>
              </w:rPr>
              <w:t>PDF</w:t>
            </w:r>
          </w:p>
        </w:tc>
      </w:tr>
      <w:tr w:rsidR="008355F6" w:rsidRPr="008355F6" w14:paraId="43856E18" w14:textId="77777777" w:rsidTr="00F2087C">
        <w:trPr>
          <w:cantSplit/>
          <w:trHeight w:val="1814"/>
        </w:trPr>
        <w:tc>
          <w:tcPr>
            <w:tcW w:w="1173" w:type="dxa"/>
            <w:tcBorders>
              <w:top w:val="single" w:sz="4" w:space="0" w:color="000000"/>
              <w:left w:val="single" w:sz="4" w:space="0" w:color="000000"/>
              <w:bottom w:val="single" w:sz="4" w:space="0" w:color="000000"/>
              <w:right w:val="single" w:sz="4" w:space="0" w:color="000000"/>
            </w:tcBorders>
            <w:vAlign w:val="center"/>
          </w:tcPr>
          <w:p w14:paraId="41439118" w14:textId="77777777" w:rsidR="008355F6" w:rsidRPr="008355F6" w:rsidRDefault="008355F6" w:rsidP="00F2087C">
            <w:pPr>
              <w:spacing w:line="360" w:lineRule="auto"/>
              <w:ind w:right="46"/>
              <w:contextualSpacing/>
              <w:jc w:val="center"/>
              <w:rPr>
                <w:rFonts w:ascii="Arial" w:eastAsia="Arial" w:hAnsi="Arial" w:cs="Arial"/>
                <w:b/>
                <w:sz w:val="18"/>
              </w:rPr>
            </w:pPr>
            <w:r w:rsidRPr="008355F6">
              <w:rPr>
                <w:rFonts w:ascii="Arial" w:eastAsia="Arial" w:hAnsi="Arial" w:cs="Arial"/>
                <w:b/>
                <w:sz w:val="18"/>
              </w:rPr>
              <w:t>RELGES</w:t>
            </w:r>
          </w:p>
        </w:tc>
        <w:tc>
          <w:tcPr>
            <w:tcW w:w="6386" w:type="dxa"/>
            <w:tcBorders>
              <w:top w:val="single" w:sz="4" w:space="0" w:color="000000"/>
              <w:left w:val="single" w:sz="4" w:space="0" w:color="000000"/>
              <w:bottom w:val="single" w:sz="4" w:space="0" w:color="000000"/>
              <w:right w:val="single" w:sz="4" w:space="0" w:color="000000"/>
            </w:tcBorders>
            <w:vAlign w:val="center"/>
          </w:tcPr>
          <w:p w14:paraId="58222B3F" w14:textId="77777777" w:rsidR="008355F6" w:rsidRPr="008355F6" w:rsidRDefault="008355F6" w:rsidP="00F2087C">
            <w:pPr>
              <w:spacing w:after="119" w:line="360" w:lineRule="auto"/>
              <w:ind w:right="51"/>
              <w:contextualSpacing/>
              <w:jc w:val="both"/>
              <w:rPr>
                <w:rFonts w:ascii="Arial" w:eastAsia="Arial" w:hAnsi="Arial" w:cs="Arial"/>
                <w:sz w:val="18"/>
              </w:rPr>
            </w:pPr>
            <w:r w:rsidRPr="008355F6">
              <w:rPr>
                <w:rFonts w:ascii="Arial" w:eastAsia="Arial" w:hAnsi="Arial" w:cs="Arial"/>
                <w:sz w:val="18"/>
              </w:rPr>
              <w:t>Relatório anual de gestão do FUNDO contendo no mínimo: referência à legislação básica do fundo e as alterações normativas ocorridas no período; os objetivos do FUNDO; acompanhamento orçamentário do exercício evidenciando os valores planejados e executados por linha de financiamento; e, as operações aprovadas e liberações realizadas no exercício com os respectivos beneficiários e valores (Artigo 137, II do RITCEES, aprovado pela Resolução TC nº 261/2013).</w:t>
            </w:r>
          </w:p>
        </w:tc>
        <w:tc>
          <w:tcPr>
            <w:tcW w:w="1508" w:type="dxa"/>
            <w:tcBorders>
              <w:top w:val="single" w:sz="4" w:space="0" w:color="000000"/>
              <w:left w:val="single" w:sz="4" w:space="0" w:color="000000"/>
              <w:bottom w:val="single" w:sz="4" w:space="0" w:color="000000"/>
              <w:right w:val="single" w:sz="4" w:space="0" w:color="000000"/>
            </w:tcBorders>
            <w:vAlign w:val="center"/>
          </w:tcPr>
          <w:p w14:paraId="31E1EE73" w14:textId="77777777" w:rsidR="008355F6" w:rsidRPr="00485E6E" w:rsidRDefault="008355F6" w:rsidP="00485E6E">
            <w:pPr>
              <w:spacing w:line="360" w:lineRule="auto"/>
              <w:ind w:right="51"/>
              <w:contextualSpacing/>
              <w:jc w:val="center"/>
              <w:rPr>
                <w:rFonts w:ascii="Arial" w:eastAsia="Arial" w:hAnsi="Arial" w:cs="Arial"/>
                <w:sz w:val="14"/>
                <w:szCs w:val="14"/>
              </w:rPr>
            </w:pPr>
            <w:r w:rsidRPr="00485E6E">
              <w:rPr>
                <w:rFonts w:ascii="Arial" w:eastAsia="Arial" w:hAnsi="Arial" w:cs="Arial"/>
                <w:sz w:val="14"/>
                <w:szCs w:val="14"/>
              </w:rPr>
              <w:t>PDF</w:t>
            </w:r>
          </w:p>
        </w:tc>
      </w:tr>
      <w:tr w:rsidR="008355F6" w:rsidRPr="008355F6" w14:paraId="5ABF4540" w14:textId="77777777" w:rsidTr="00F2087C">
        <w:trPr>
          <w:cantSplit/>
        </w:trPr>
        <w:tc>
          <w:tcPr>
            <w:tcW w:w="1173" w:type="dxa"/>
            <w:tcBorders>
              <w:top w:val="single" w:sz="4" w:space="0" w:color="000000"/>
              <w:left w:val="single" w:sz="4" w:space="0" w:color="000000"/>
              <w:bottom w:val="single" w:sz="4" w:space="0" w:color="000000"/>
              <w:right w:val="single" w:sz="4" w:space="0" w:color="000000"/>
            </w:tcBorders>
            <w:vAlign w:val="center"/>
          </w:tcPr>
          <w:p w14:paraId="70DD7106" w14:textId="77777777" w:rsidR="008355F6" w:rsidRPr="008355F6" w:rsidRDefault="008355F6" w:rsidP="00F2087C">
            <w:pPr>
              <w:spacing w:line="360" w:lineRule="auto"/>
              <w:ind w:right="46"/>
              <w:contextualSpacing/>
              <w:jc w:val="center"/>
              <w:rPr>
                <w:rFonts w:ascii="Arial" w:eastAsia="Arial" w:hAnsi="Arial" w:cs="Arial"/>
                <w:sz w:val="18"/>
              </w:rPr>
            </w:pPr>
            <w:r w:rsidRPr="008355F6">
              <w:rPr>
                <w:rFonts w:ascii="Arial" w:eastAsia="Arial" w:hAnsi="Arial" w:cs="Arial"/>
                <w:sz w:val="18"/>
              </w:rPr>
              <w:t>ESTIMP</w:t>
            </w:r>
          </w:p>
        </w:tc>
        <w:tc>
          <w:tcPr>
            <w:tcW w:w="6386" w:type="dxa"/>
            <w:tcBorders>
              <w:top w:val="single" w:sz="4" w:space="0" w:color="000000"/>
              <w:left w:val="single" w:sz="4" w:space="0" w:color="000000"/>
              <w:bottom w:val="single" w:sz="4" w:space="0" w:color="000000"/>
              <w:right w:val="single" w:sz="4" w:space="0" w:color="000000"/>
            </w:tcBorders>
            <w:vAlign w:val="center"/>
          </w:tcPr>
          <w:p w14:paraId="7A45D901" w14:textId="77777777" w:rsidR="008355F6" w:rsidRPr="008355F6" w:rsidRDefault="008355F6" w:rsidP="00F2087C">
            <w:pPr>
              <w:spacing w:after="119" w:line="360" w:lineRule="auto"/>
              <w:ind w:right="51"/>
              <w:contextualSpacing/>
              <w:jc w:val="both"/>
              <w:rPr>
                <w:rFonts w:ascii="Arial" w:eastAsia="Arial" w:hAnsi="Arial" w:cs="Arial"/>
                <w:sz w:val="18"/>
              </w:rPr>
            </w:pPr>
            <w:r w:rsidRPr="008355F6">
              <w:rPr>
                <w:rFonts w:ascii="Arial" w:eastAsia="Arial" w:hAnsi="Arial" w:cs="Arial"/>
                <w:sz w:val="18"/>
              </w:rPr>
              <w:t xml:space="preserve">Estudo ou pesquisa, </w:t>
            </w:r>
            <w:r w:rsidRPr="008355F6">
              <w:rPr>
                <w:rFonts w:ascii="Arial" w:eastAsia="Arial" w:hAnsi="Arial" w:cs="Arial"/>
                <w:sz w:val="18"/>
                <w:u w:val="single"/>
              </w:rPr>
              <w:t>caso tenha sido realizada no exercício corrente</w:t>
            </w:r>
            <w:r w:rsidRPr="008355F6">
              <w:rPr>
                <w:rFonts w:ascii="Arial" w:eastAsia="Arial" w:hAnsi="Arial" w:cs="Arial"/>
                <w:sz w:val="18"/>
              </w:rPr>
              <w:t>, que demonstre a avaliação e o impacto das operações do FUNDO (isolada ou em conjunto com outros fundos) nas políticas estaduais de desenvolvimento.</w:t>
            </w:r>
          </w:p>
        </w:tc>
        <w:tc>
          <w:tcPr>
            <w:tcW w:w="1508" w:type="dxa"/>
            <w:tcBorders>
              <w:top w:val="single" w:sz="4" w:space="0" w:color="000000"/>
              <w:left w:val="single" w:sz="4" w:space="0" w:color="000000"/>
              <w:bottom w:val="single" w:sz="4" w:space="0" w:color="000000"/>
              <w:right w:val="single" w:sz="4" w:space="0" w:color="000000"/>
            </w:tcBorders>
            <w:vAlign w:val="center"/>
          </w:tcPr>
          <w:p w14:paraId="64A2F5DE" w14:textId="77777777" w:rsidR="008355F6" w:rsidRPr="00485E6E" w:rsidRDefault="008355F6" w:rsidP="00485E6E">
            <w:pPr>
              <w:spacing w:line="360" w:lineRule="auto"/>
              <w:ind w:right="51"/>
              <w:contextualSpacing/>
              <w:jc w:val="center"/>
              <w:rPr>
                <w:rFonts w:ascii="Arial" w:eastAsia="Arial" w:hAnsi="Arial" w:cs="Arial"/>
                <w:sz w:val="14"/>
                <w:szCs w:val="14"/>
              </w:rPr>
            </w:pPr>
            <w:r w:rsidRPr="00485E6E">
              <w:rPr>
                <w:rFonts w:ascii="Arial" w:eastAsia="Arial" w:hAnsi="Arial" w:cs="Arial"/>
                <w:sz w:val="14"/>
                <w:szCs w:val="14"/>
              </w:rPr>
              <w:t>PDF</w:t>
            </w:r>
          </w:p>
        </w:tc>
      </w:tr>
      <w:tr w:rsidR="008355F6" w:rsidRPr="008355F6" w14:paraId="0ED33099" w14:textId="77777777" w:rsidTr="00F2087C">
        <w:trPr>
          <w:cantSplit/>
        </w:trPr>
        <w:tc>
          <w:tcPr>
            <w:tcW w:w="1173" w:type="dxa"/>
            <w:tcBorders>
              <w:top w:val="single" w:sz="4" w:space="0" w:color="000000"/>
              <w:left w:val="single" w:sz="4" w:space="0" w:color="000000"/>
              <w:bottom w:val="single" w:sz="4" w:space="0" w:color="000000"/>
              <w:right w:val="single" w:sz="4" w:space="0" w:color="000000"/>
            </w:tcBorders>
            <w:vAlign w:val="center"/>
          </w:tcPr>
          <w:p w14:paraId="76D08EE6" w14:textId="77777777" w:rsidR="008355F6" w:rsidRPr="008355F6" w:rsidRDefault="008355F6" w:rsidP="00F2087C">
            <w:pPr>
              <w:spacing w:line="360" w:lineRule="auto"/>
              <w:ind w:right="46"/>
              <w:contextualSpacing/>
              <w:jc w:val="center"/>
              <w:rPr>
                <w:rFonts w:ascii="Arial" w:eastAsia="Arial" w:hAnsi="Arial" w:cs="Arial"/>
                <w:sz w:val="18"/>
              </w:rPr>
            </w:pPr>
            <w:r w:rsidRPr="008355F6">
              <w:rPr>
                <w:rFonts w:ascii="Arial" w:eastAsia="Arial" w:hAnsi="Arial" w:cs="Arial"/>
                <w:sz w:val="18"/>
              </w:rPr>
              <w:t>APRORC</w:t>
            </w:r>
          </w:p>
        </w:tc>
        <w:tc>
          <w:tcPr>
            <w:tcW w:w="6386" w:type="dxa"/>
            <w:tcBorders>
              <w:top w:val="single" w:sz="4" w:space="0" w:color="000000"/>
              <w:left w:val="single" w:sz="4" w:space="0" w:color="000000"/>
              <w:bottom w:val="single" w:sz="4" w:space="0" w:color="000000"/>
              <w:right w:val="single" w:sz="4" w:space="0" w:color="000000"/>
            </w:tcBorders>
            <w:vAlign w:val="center"/>
          </w:tcPr>
          <w:p w14:paraId="3A0707EA" w14:textId="77777777" w:rsidR="008355F6" w:rsidRPr="008355F6" w:rsidRDefault="008355F6" w:rsidP="00F2087C">
            <w:pPr>
              <w:spacing w:after="119" w:line="360" w:lineRule="auto"/>
              <w:ind w:right="51"/>
              <w:contextualSpacing/>
              <w:jc w:val="both"/>
              <w:rPr>
                <w:rFonts w:ascii="Arial" w:eastAsia="Arial" w:hAnsi="Arial" w:cs="Arial"/>
                <w:sz w:val="18"/>
              </w:rPr>
            </w:pPr>
            <w:r w:rsidRPr="008355F6">
              <w:rPr>
                <w:rFonts w:ascii="Arial" w:eastAsia="Arial" w:hAnsi="Arial" w:cs="Arial"/>
                <w:sz w:val="18"/>
              </w:rPr>
              <w:t>Cópia de atas de decisões colegiadas ou atos normativos que tenham deliberado/aprovado o orçamento do FUNDO para o exercício contendo os valores autorizados por linha de financiamento.</w:t>
            </w:r>
          </w:p>
        </w:tc>
        <w:tc>
          <w:tcPr>
            <w:tcW w:w="1508" w:type="dxa"/>
            <w:tcBorders>
              <w:top w:val="single" w:sz="4" w:space="0" w:color="000000"/>
              <w:left w:val="single" w:sz="4" w:space="0" w:color="000000"/>
              <w:bottom w:val="single" w:sz="4" w:space="0" w:color="000000"/>
              <w:right w:val="single" w:sz="4" w:space="0" w:color="000000"/>
            </w:tcBorders>
            <w:vAlign w:val="center"/>
          </w:tcPr>
          <w:p w14:paraId="3AC76750" w14:textId="77777777" w:rsidR="008355F6" w:rsidRPr="00485E6E" w:rsidRDefault="008355F6" w:rsidP="00485E6E">
            <w:pPr>
              <w:spacing w:line="360" w:lineRule="auto"/>
              <w:ind w:right="51"/>
              <w:contextualSpacing/>
              <w:jc w:val="center"/>
              <w:rPr>
                <w:rFonts w:ascii="Arial" w:eastAsia="Arial" w:hAnsi="Arial" w:cs="Arial"/>
                <w:sz w:val="14"/>
                <w:szCs w:val="14"/>
              </w:rPr>
            </w:pPr>
            <w:r w:rsidRPr="00485E6E">
              <w:rPr>
                <w:rFonts w:ascii="Arial" w:eastAsia="Arial" w:hAnsi="Arial" w:cs="Arial"/>
                <w:sz w:val="14"/>
                <w:szCs w:val="14"/>
              </w:rPr>
              <w:t>PDF</w:t>
            </w:r>
          </w:p>
        </w:tc>
      </w:tr>
      <w:tr w:rsidR="008355F6" w:rsidRPr="008355F6" w14:paraId="178EB70D" w14:textId="77777777" w:rsidTr="00F2087C">
        <w:tblPrEx>
          <w:tblCellMar>
            <w:top w:w="38" w:type="dxa"/>
            <w:right w:w="59" w:type="dxa"/>
          </w:tblCellMar>
        </w:tblPrEx>
        <w:trPr>
          <w:cantSplit/>
        </w:trPr>
        <w:tc>
          <w:tcPr>
            <w:tcW w:w="1173" w:type="dxa"/>
            <w:tcBorders>
              <w:top w:val="single" w:sz="4" w:space="0" w:color="000000"/>
              <w:left w:val="single" w:sz="4" w:space="0" w:color="000000"/>
              <w:bottom w:val="single" w:sz="4" w:space="0" w:color="000000"/>
              <w:right w:val="single" w:sz="4" w:space="0" w:color="000000"/>
            </w:tcBorders>
            <w:vAlign w:val="center"/>
          </w:tcPr>
          <w:p w14:paraId="56FC0A77" w14:textId="77777777" w:rsidR="008355F6" w:rsidRPr="008355F6" w:rsidRDefault="008355F6" w:rsidP="00F2087C">
            <w:pPr>
              <w:spacing w:line="360" w:lineRule="auto"/>
              <w:ind w:right="51"/>
              <w:contextualSpacing/>
              <w:jc w:val="center"/>
              <w:rPr>
                <w:rFonts w:ascii="Arial" w:hAnsi="Arial" w:cs="Times New Roman"/>
                <w:sz w:val="24"/>
              </w:rPr>
            </w:pPr>
            <w:r w:rsidRPr="008355F6">
              <w:rPr>
                <w:rFonts w:ascii="Arial" w:eastAsia="Arial" w:hAnsi="Arial" w:cs="Arial"/>
                <w:sz w:val="18"/>
              </w:rPr>
              <w:t xml:space="preserve">RELADM </w:t>
            </w:r>
          </w:p>
        </w:tc>
        <w:tc>
          <w:tcPr>
            <w:tcW w:w="6386" w:type="dxa"/>
            <w:tcBorders>
              <w:top w:val="single" w:sz="4" w:space="0" w:color="000000"/>
              <w:left w:val="single" w:sz="4" w:space="0" w:color="000000"/>
              <w:bottom w:val="single" w:sz="4" w:space="0" w:color="000000"/>
              <w:right w:val="single" w:sz="4" w:space="0" w:color="000000"/>
            </w:tcBorders>
            <w:vAlign w:val="center"/>
          </w:tcPr>
          <w:p w14:paraId="1E2A4981" w14:textId="77777777" w:rsidR="008355F6" w:rsidRPr="008355F6" w:rsidRDefault="008355F6" w:rsidP="00F2087C">
            <w:pPr>
              <w:spacing w:after="119" w:line="360" w:lineRule="auto"/>
              <w:ind w:right="51"/>
              <w:contextualSpacing/>
              <w:jc w:val="both"/>
              <w:rPr>
                <w:rFonts w:ascii="Arial" w:hAnsi="Arial" w:cs="Times New Roman"/>
                <w:sz w:val="24"/>
              </w:rPr>
            </w:pPr>
            <w:r w:rsidRPr="008355F6">
              <w:rPr>
                <w:rFonts w:ascii="Arial" w:eastAsia="Arial" w:hAnsi="Arial" w:cs="Arial"/>
                <w:sz w:val="18"/>
              </w:rPr>
              <w:t>Relatório anual da Administração sobre os negócios sociais e os principais fatos administrativos do exercício findo e o exame das demonstrações financeiras, elaborado com a finalidade de atendimento do inciso I do art. 133 da Lei 6.404/76, caso o FUNDO se enquadre nessa obrigatoriedade.</w:t>
            </w:r>
          </w:p>
        </w:tc>
        <w:tc>
          <w:tcPr>
            <w:tcW w:w="1508" w:type="dxa"/>
            <w:tcBorders>
              <w:top w:val="single" w:sz="4" w:space="0" w:color="000000"/>
              <w:left w:val="single" w:sz="4" w:space="0" w:color="000000"/>
              <w:bottom w:val="single" w:sz="4" w:space="0" w:color="000000"/>
              <w:right w:val="single" w:sz="4" w:space="0" w:color="000000"/>
            </w:tcBorders>
            <w:vAlign w:val="center"/>
          </w:tcPr>
          <w:p w14:paraId="57529E46" w14:textId="474CE235" w:rsidR="008355F6" w:rsidRPr="00485E6E" w:rsidRDefault="008355F6" w:rsidP="00485E6E">
            <w:pPr>
              <w:spacing w:line="360" w:lineRule="auto"/>
              <w:ind w:right="53"/>
              <w:contextualSpacing/>
              <w:jc w:val="center"/>
              <w:rPr>
                <w:rFonts w:ascii="Arial" w:hAnsi="Arial" w:cs="Times New Roman"/>
                <w:sz w:val="14"/>
                <w:szCs w:val="14"/>
              </w:rPr>
            </w:pPr>
            <w:r w:rsidRPr="00485E6E">
              <w:rPr>
                <w:rFonts w:ascii="Arial" w:eastAsia="Arial" w:hAnsi="Arial" w:cs="Arial"/>
                <w:sz w:val="14"/>
                <w:szCs w:val="14"/>
              </w:rPr>
              <w:t>PDF</w:t>
            </w:r>
          </w:p>
        </w:tc>
      </w:tr>
      <w:tr w:rsidR="008355F6" w:rsidRPr="008355F6" w14:paraId="66FDC367" w14:textId="77777777" w:rsidTr="00F2087C">
        <w:tblPrEx>
          <w:tblCellMar>
            <w:top w:w="38" w:type="dxa"/>
            <w:right w:w="59" w:type="dxa"/>
          </w:tblCellMar>
        </w:tblPrEx>
        <w:trPr>
          <w:cantSplit/>
        </w:trPr>
        <w:tc>
          <w:tcPr>
            <w:tcW w:w="1173" w:type="dxa"/>
            <w:tcBorders>
              <w:top w:val="single" w:sz="4" w:space="0" w:color="000000"/>
              <w:left w:val="single" w:sz="4" w:space="0" w:color="000000"/>
              <w:bottom w:val="single" w:sz="4" w:space="0" w:color="000000"/>
              <w:right w:val="single" w:sz="4" w:space="0" w:color="000000"/>
            </w:tcBorders>
            <w:vAlign w:val="center"/>
          </w:tcPr>
          <w:p w14:paraId="59113C79" w14:textId="77777777" w:rsidR="008355F6" w:rsidRPr="008355F6" w:rsidRDefault="008355F6" w:rsidP="00F2087C">
            <w:pPr>
              <w:spacing w:line="360" w:lineRule="auto"/>
              <w:ind w:right="51"/>
              <w:contextualSpacing/>
              <w:jc w:val="center"/>
              <w:rPr>
                <w:rFonts w:ascii="Arial" w:eastAsia="Arial" w:hAnsi="Arial" w:cs="Arial"/>
                <w:sz w:val="18"/>
              </w:rPr>
            </w:pPr>
            <w:r w:rsidRPr="008355F6">
              <w:rPr>
                <w:rFonts w:ascii="Arial" w:eastAsia="Arial" w:hAnsi="Arial" w:cs="Arial"/>
                <w:sz w:val="18"/>
              </w:rPr>
              <w:t>RELPCO</w:t>
            </w:r>
          </w:p>
        </w:tc>
        <w:tc>
          <w:tcPr>
            <w:tcW w:w="6386" w:type="dxa"/>
            <w:tcBorders>
              <w:top w:val="single" w:sz="4" w:space="0" w:color="000000"/>
              <w:left w:val="single" w:sz="4" w:space="0" w:color="000000"/>
              <w:bottom w:val="single" w:sz="4" w:space="0" w:color="000000"/>
              <w:right w:val="single" w:sz="4" w:space="0" w:color="000000"/>
            </w:tcBorders>
            <w:vAlign w:val="center"/>
          </w:tcPr>
          <w:p w14:paraId="0549C421" w14:textId="77777777" w:rsidR="008355F6" w:rsidRPr="008355F6" w:rsidRDefault="008355F6" w:rsidP="00F2087C">
            <w:pPr>
              <w:spacing w:after="119" w:line="360" w:lineRule="auto"/>
              <w:ind w:right="51"/>
              <w:contextualSpacing/>
              <w:jc w:val="both"/>
              <w:rPr>
                <w:rFonts w:ascii="Arial" w:eastAsia="Arial" w:hAnsi="Arial" w:cs="Arial"/>
                <w:sz w:val="18"/>
              </w:rPr>
            </w:pPr>
            <w:r w:rsidRPr="008355F6">
              <w:rPr>
                <w:rFonts w:ascii="Arial" w:eastAsia="Arial" w:hAnsi="Arial" w:cs="Arial"/>
                <w:sz w:val="18"/>
              </w:rPr>
              <w:t>Relatório de prestação de contas das atividades ou do desempenho do FUNDO no exercício, elaborado para fins de prestação de contas ao órgão colegiado responsável por sua aprovação ou instância supervisora do Estado.</w:t>
            </w:r>
          </w:p>
        </w:tc>
        <w:tc>
          <w:tcPr>
            <w:tcW w:w="1508" w:type="dxa"/>
            <w:tcBorders>
              <w:top w:val="single" w:sz="4" w:space="0" w:color="000000"/>
              <w:left w:val="single" w:sz="4" w:space="0" w:color="000000"/>
              <w:bottom w:val="single" w:sz="4" w:space="0" w:color="000000"/>
              <w:right w:val="single" w:sz="4" w:space="0" w:color="000000"/>
            </w:tcBorders>
            <w:vAlign w:val="center"/>
          </w:tcPr>
          <w:p w14:paraId="79F5D51D" w14:textId="77777777" w:rsidR="008355F6" w:rsidRPr="00485E6E" w:rsidRDefault="008355F6" w:rsidP="00485E6E">
            <w:pPr>
              <w:spacing w:line="360" w:lineRule="auto"/>
              <w:ind w:right="53"/>
              <w:contextualSpacing/>
              <w:jc w:val="center"/>
              <w:rPr>
                <w:rFonts w:ascii="Arial" w:eastAsia="Arial" w:hAnsi="Arial" w:cs="Arial"/>
                <w:sz w:val="14"/>
                <w:szCs w:val="14"/>
              </w:rPr>
            </w:pPr>
            <w:r w:rsidRPr="00485E6E">
              <w:rPr>
                <w:rFonts w:ascii="Arial" w:eastAsia="Arial" w:hAnsi="Arial" w:cs="Arial"/>
                <w:sz w:val="14"/>
                <w:szCs w:val="14"/>
              </w:rPr>
              <w:t>PDF</w:t>
            </w:r>
          </w:p>
        </w:tc>
      </w:tr>
      <w:tr w:rsidR="008355F6" w:rsidRPr="008355F6" w14:paraId="70608399" w14:textId="77777777" w:rsidTr="00F2087C">
        <w:tblPrEx>
          <w:tblCellMar>
            <w:top w:w="38" w:type="dxa"/>
            <w:right w:w="59" w:type="dxa"/>
          </w:tblCellMar>
        </w:tblPrEx>
        <w:trPr>
          <w:cantSplit/>
        </w:trPr>
        <w:tc>
          <w:tcPr>
            <w:tcW w:w="1173" w:type="dxa"/>
            <w:tcBorders>
              <w:top w:val="single" w:sz="4" w:space="0" w:color="000000"/>
              <w:left w:val="single" w:sz="4" w:space="0" w:color="000000"/>
              <w:bottom w:val="single" w:sz="4" w:space="0" w:color="000000"/>
              <w:right w:val="single" w:sz="4" w:space="0" w:color="000000"/>
            </w:tcBorders>
            <w:vAlign w:val="center"/>
          </w:tcPr>
          <w:p w14:paraId="303E28A6" w14:textId="77777777" w:rsidR="008355F6" w:rsidRPr="008355F6" w:rsidRDefault="008355F6" w:rsidP="00F2087C">
            <w:pPr>
              <w:spacing w:line="360" w:lineRule="auto"/>
              <w:ind w:right="51"/>
              <w:contextualSpacing/>
              <w:jc w:val="center"/>
              <w:rPr>
                <w:rFonts w:ascii="Arial" w:eastAsia="Arial" w:hAnsi="Arial" w:cs="Arial"/>
                <w:sz w:val="18"/>
              </w:rPr>
            </w:pPr>
            <w:r w:rsidRPr="008355F6">
              <w:rPr>
                <w:rFonts w:ascii="Arial" w:eastAsia="Arial" w:hAnsi="Arial" w:cs="Arial"/>
                <w:sz w:val="18"/>
              </w:rPr>
              <w:t>APROOP</w:t>
            </w:r>
          </w:p>
        </w:tc>
        <w:tc>
          <w:tcPr>
            <w:tcW w:w="6386" w:type="dxa"/>
            <w:tcBorders>
              <w:top w:val="single" w:sz="4" w:space="0" w:color="000000"/>
              <w:left w:val="single" w:sz="4" w:space="0" w:color="000000"/>
              <w:bottom w:val="single" w:sz="4" w:space="0" w:color="000000"/>
              <w:right w:val="single" w:sz="4" w:space="0" w:color="000000"/>
            </w:tcBorders>
            <w:vAlign w:val="center"/>
          </w:tcPr>
          <w:p w14:paraId="5BAA472A" w14:textId="77777777" w:rsidR="008355F6" w:rsidRPr="008355F6" w:rsidRDefault="008355F6" w:rsidP="00F2087C">
            <w:pPr>
              <w:spacing w:after="119" w:line="360" w:lineRule="auto"/>
              <w:ind w:right="51"/>
              <w:contextualSpacing/>
              <w:jc w:val="both"/>
              <w:rPr>
                <w:rFonts w:ascii="Arial" w:eastAsia="Arial" w:hAnsi="Arial" w:cs="Arial"/>
                <w:sz w:val="18"/>
              </w:rPr>
            </w:pPr>
            <w:r w:rsidRPr="008355F6">
              <w:rPr>
                <w:rFonts w:ascii="Arial" w:eastAsia="Arial" w:hAnsi="Arial" w:cs="Arial"/>
                <w:sz w:val="18"/>
              </w:rPr>
              <w:t>Relação dos atos normativos/deliberações da instância competente que aprovaram ou alteraram operações de financiamento do FUNDO no exercício, contendo identificação do ato e o valor do impacto na operação.</w:t>
            </w:r>
          </w:p>
        </w:tc>
        <w:tc>
          <w:tcPr>
            <w:tcW w:w="1508" w:type="dxa"/>
            <w:tcBorders>
              <w:top w:val="single" w:sz="4" w:space="0" w:color="000000"/>
              <w:left w:val="single" w:sz="4" w:space="0" w:color="000000"/>
              <w:bottom w:val="single" w:sz="4" w:space="0" w:color="000000"/>
              <w:right w:val="single" w:sz="4" w:space="0" w:color="000000"/>
            </w:tcBorders>
            <w:vAlign w:val="center"/>
          </w:tcPr>
          <w:p w14:paraId="2E78EE73" w14:textId="77777777" w:rsidR="008355F6" w:rsidRPr="00485E6E" w:rsidRDefault="008355F6" w:rsidP="00485E6E">
            <w:pPr>
              <w:spacing w:line="360" w:lineRule="auto"/>
              <w:ind w:right="53"/>
              <w:contextualSpacing/>
              <w:jc w:val="center"/>
              <w:rPr>
                <w:rFonts w:ascii="Arial" w:eastAsia="Arial" w:hAnsi="Arial" w:cs="Arial"/>
                <w:sz w:val="14"/>
                <w:szCs w:val="14"/>
              </w:rPr>
            </w:pPr>
            <w:r w:rsidRPr="00485E6E">
              <w:rPr>
                <w:rFonts w:ascii="Arial" w:eastAsia="Arial" w:hAnsi="Arial" w:cs="Arial"/>
                <w:sz w:val="14"/>
                <w:szCs w:val="14"/>
              </w:rPr>
              <w:t>PDF</w:t>
            </w:r>
          </w:p>
        </w:tc>
      </w:tr>
      <w:tr w:rsidR="008355F6" w:rsidRPr="008355F6" w14:paraId="731F4219" w14:textId="77777777" w:rsidTr="00F2087C">
        <w:tblPrEx>
          <w:tblCellMar>
            <w:top w:w="38" w:type="dxa"/>
            <w:right w:w="59" w:type="dxa"/>
          </w:tblCellMar>
        </w:tblPrEx>
        <w:trPr>
          <w:cantSplit/>
        </w:trPr>
        <w:tc>
          <w:tcPr>
            <w:tcW w:w="1173" w:type="dxa"/>
            <w:tcBorders>
              <w:top w:val="single" w:sz="4" w:space="0" w:color="000000"/>
              <w:left w:val="single" w:sz="4" w:space="0" w:color="000000"/>
              <w:bottom w:val="single" w:sz="4" w:space="0" w:color="000000"/>
              <w:right w:val="single" w:sz="4" w:space="0" w:color="000000"/>
            </w:tcBorders>
            <w:vAlign w:val="center"/>
          </w:tcPr>
          <w:p w14:paraId="41A56BE9" w14:textId="77777777" w:rsidR="008355F6" w:rsidRPr="008355F6" w:rsidRDefault="008355F6" w:rsidP="00F2087C">
            <w:pPr>
              <w:spacing w:line="360" w:lineRule="auto"/>
              <w:ind w:right="51"/>
              <w:contextualSpacing/>
              <w:jc w:val="center"/>
              <w:rPr>
                <w:rFonts w:ascii="Arial" w:eastAsia="Arial" w:hAnsi="Arial" w:cs="Arial"/>
                <w:sz w:val="18"/>
              </w:rPr>
            </w:pPr>
            <w:r w:rsidRPr="008355F6">
              <w:rPr>
                <w:rFonts w:ascii="Arial" w:eastAsia="Arial" w:hAnsi="Arial" w:cs="Arial"/>
                <w:sz w:val="18"/>
              </w:rPr>
              <w:t>APROLC</w:t>
            </w:r>
          </w:p>
        </w:tc>
        <w:tc>
          <w:tcPr>
            <w:tcW w:w="6386" w:type="dxa"/>
            <w:tcBorders>
              <w:top w:val="single" w:sz="4" w:space="0" w:color="000000"/>
              <w:left w:val="single" w:sz="4" w:space="0" w:color="000000"/>
              <w:bottom w:val="single" w:sz="4" w:space="0" w:color="000000"/>
              <w:right w:val="single" w:sz="4" w:space="0" w:color="000000"/>
            </w:tcBorders>
            <w:vAlign w:val="center"/>
          </w:tcPr>
          <w:p w14:paraId="02298FB5" w14:textId="77777777" w:rsidR="008355F6" w:rsidRPr="008355F6" w:rsidRDefault="008355F6" w:rsidP="00F2087C">
            <w:pPr>
              <w:spacing w:after="119" w:line="360" w:lineRule="auto"/>
              <w:ind w:right="51"/>
              <w:contextualSpacing/>
              <w:jc w:val="both"/>
              <w:rPr>
                <w:rFonts w:ascii="Arial" w:eastAsia="Arial" w:hAnsi="Arial" w:cs="Arial"/>
                <w:sz w:val="18"/>
              </w:rPr>
            </w:pPr>
            <w:r w:rsidRPr="008355F6">
              <w:rPr>
                <w:rFonts w:ascii="Arial" w:eastAsia="Arial" w:hAnsi="Arial" w:cs="Arial"/>
                <w:sz w:val="18"/>
              </w:rPr>
              <w:t xml:space="preserve">Relação de atos normativos/deliberações da instância competente que estabeleceram ou alteraram normas de operacionalização ou informações </w:t>
            </w:r>
            <w:r w:rsidRPr="008355F6">
              <w:rPr>
                <w:rFonts w:ascii="Arial" w:eastAsia="Arial" w:hAnsi="Arial" w:cs="Arial"/>
                <w:sz w:val="18"/>
              </w:rPr>
              <w:lastRenderedPageBreak/>
              <w:t>sobre as linhas de crédito do FUNDO no exercício, contendo indicação de onde podem ser obtidas na integra ou acompanhada de cópias dos respectivos atos, caso não sejam disponibilizados online.</w:t>
            </w:r>
          </w:p>
        </w:tc>
        <w:tc>
          <w:tcPr>
            <w:tcW w:w="1508" w:type="dxa"/>
            <w:tcBorders>
              <w:top w:val="single" w:sz="4" w:space="0" w:color="000000"/>
              <w:left w:val="single" w:sz="4" w:space="0" w:color="000000"/>
              <w:bottom w:val="single" w:sz="4" w:space="0" w:color="000000"/>
              <w:right w:val="single" w:sz="4" w:space="0" w:color="000000"/>
            </w:tcBorders>
            <w:vAlign w:val="center"/>
          </w:tcPr>
          <w:p w14:paraId="0F7ABFDD" w14:textId="77777777" w:rsidR="008355F6" w:rsidRPr="00485E6E" w:rsidRDefault="008355F6" w:rsidP="00485E6E">
            <w:pPr>
              <w:spacing w:line="360" w:lineRule="auto"/>
              <w:ind w:right="53"/>
              <w:contextualSpacing/>
              <w:jc w:val="center"/>
              <w:rPr>
                <w:rFonts w:ascii="Arial" w:eastAsia="Arial" w:hAnsi="Arial" w:cs="Arial"/>
                <w:sz w:val="14"/>
                <w:szCs w:val="14"/>
              </w:rPr>
            </w:pPr>
            <w:r w:rsidRPr="00485E6E">
              <w:rPr>
                <w:rFonts w:ascii="Arial" w:eastAsia="Arial" w:hAnsi="Arial" w:cs="Arial"/>
                <w:sz w:val="14"/>
                <w:szCs w:val="14"/>
              </w:rPr>
              <w:lastRenderedPageBreak/>
              <w:t>PDF</w:t>
            </w:r>
          </w:p>
        </w:tc>
      </w:tr>
      <w:tr w:rsidR="008355F6" w:rsidRPr="008355F6" w14:paraId="08D21D5E" w14:textId="77777777" w:rsidTr="00F2087C">
        <w:tblPrEx>
          <w:tblCellMar>
            <w:top w:w="38" w:type="dxa"/>
            <w:right w:w="59" w:type="dxa"/>
          </w:tblCellMar>
        </w:tblPrEx>
        <w:trPr>
          <w:cantSplit/>
        </w:trPr>
        <w:tc>
          <w:tcPr>
            <w:tcW w:w="1173" w:type="dxa"/>
            <w:tcBorders>
              <w:top w:val="single" w:sz="4" w:space="0" w:color="000000"/>
              <w:left w:val="single" w:sz="4" w:space="0" w:color="000000"/>
              <w:bottom w:val="single" w:sz="4" w:space="0" w:color="000000"/>
              <w:right w:val="single" w:sz="4" w:space="0" w:color="000000"/>
            </w:tcBorders>
            <w:vAlign w:val="center"/>
          </w:tcPr>
          <w:p w14:paraId="1137AE7F" w14:textId="77777777" w:rsidR="008355F6" w:rsidRPr="008355F6" w:rsidRDefault="008355F6" w:rsidP="00F2087C">
            <w:pPr>
              <w:spacing w:line="360" w:lineRule="auto"/>
              <w:ind w:right="51"/>
              <w:contextualSpacing/>
              <w:jc w:val="center"/>
              <w:rPr>
                <w:rFonts w:ascii="Arial" w:eastAsia="Arial" w:hAnsi="Arial" w:cs="Arial"/>
                <w:sz w:val="18"/>
              </w:rPr>
            </w:pPr>
            <w:r w:rsidRPr="008355F6">
              <w:rPr>
                <w:rFonts w:ascii="Arial" w:eastAsia="Arial" w:hAnsi="Arial" w:cs="Arial"/>
                <w:sz w:val="18"/>
              </w:rPr>
              <w:lastRenderedPageBreak/>
              <w:t>RELOPE</w:t>
            </w:r>
          </w:p>
        </w:tc>
        <w:tc>
          <w:tcPr>
            <w:tcW w:w="6386" w:type="dxa"/>
            <w:tcBorders>
              <w:top w:val="single" w:sz="4" w:space="0" w:color="000000"/>
              <w:left w:val="single" w:sz="4" w:space="0" w:color="000000"/>
              <w:bottom w:val="single" w:sz="4" w:space="0" w:color="000000"/>
              <w:right w:val="single" w:sz="4" w:space="0" w:color="000000"/>
            </w:tcBorders>
            <w:vAlign w:val="center"/>
          </w:tcPr>
          <w:p w14:paraId="202E09E4" w14:textId="77777777" w:rsidR="008355F6" w:rsidRPr="008355F6" w:rsidRDefault="008355F6" w:rsidP="00F2087C">
            <w:pPr>
              <w:spacing w:after="119" w:line="360" w:lineRule="auto"/>
              <w:ind w:right="51"/>
              <w:contextualSpacing/>
              <w:jc w:val="both"/>
              <w:rPr>
                <w:rFonts w:ascii="Arial" w:eastAsia="Arial" w:hAnsi="Arial" w:cs="Arial"/>
                <w:sz w:val="18"/>
              </w:rPr>
            </w:pPr>
            <w:r w:rsidRPr="008355F6">
              <w:rPr>
                <w:rFonts w:ascii="Arial" w:eastAsia="Arial" w:hAnsi="Arial" w:cs="Arial"/>
                <w:sz w:val="18"/>
              </w:rPr>
              <w:t xml:space="preserve">Relatório das operações ativas do FUNDO contendo o beneficiário, a operação/linha, o prazo da operação, o valor da operação, parcelas em atraso, </w:t>
            </w:r>
            <w:r w:rsidRPr="008355F6">
              <w:rPr>
                <w:rFonts w:ascii="Arial" w:hAnsi="Arial" w:cs="Times New Roman"/>
                <w:sz w:val="24"/>
              </w:rPr>
              <w:t xml:space="preserve"> </w:t>
            </w:r>
            <w:r w:rsidRPr="008355F6">
              <w:rPr>
                <w:rFonts w:ascii="Arial" w:eastAsia="Arial" w:hAnsi="Arial" w:cs="Arial"/>
                <w:sz w:val="18"/>
              </w:rPr>
              <w:t>data início atraso,  quantidade de dias de atraso o valor em atraso, classe de risco e valor do ajuste para perdas.</w:t>
            </w:r>
          </w:p>
        </w:tc>
        <w:tc>
          <w:tcPr>
            <w:tcW w:w="1508" w:type="dxa"/>
            <w:tcBorders>
              <w:top w:val="single" w:sz="4" w:space="0" w:color="000000"/>
              <w:left w:val="single" w:sz="4" w:space="0" w:color="000000"/>
              <w:bottom w:val="single" w:sz="4" w:space="0" w:color="000000"/>
              <w:right w:val="single" w:sz="4" w:space="0" w:color="000000"/>
            </w:tcBorders>
            <w:vAlign w:val="center"/>
          </w:tcPr>
          <w:p w14:paraId="213E3BCF" w14:textId="6B8EEE4F" w:rsidR="008355F6" w:rsidRPr="00485E6E" w:rsidRDefault="008355F6" w:rsidP="00485E6E">
            <w:pPr>
              <w:spacing w:line="241" w:lineRule="auto"/>
              <w:ind w:left="209" w:right="221"/>
              <w:contextualSpacing/>
              <w:jc w:val="center"/>
              <w:rPr>
                <w:rFonts w:ascii="Arial" w:hAnsi="Arial" w:cs="Times New Roman"/>
                <w:sz w:val="14"/>
                <w:szCs w:val="14"/>
              </w:rPr>
            </w:pPr>
            <w:r w:rsidRPr="00485E6E">
              <w:rPr>
                <w:rFonts w:ascii="Arial" w:eastAsia="Arial" w:hAnsi="Arial" w:cs="Arial"/>
                <w:sz w:val="14"/>
                <w:szCs w:val="14"/>
              </w:rPr>
              <w:t>PDF e</w:t>
            </w:r>
          </w:p>
          <w:p w14:paraId="6B892EB7" w14:textId="77777777" w:rsidR="008355F6" w:rsidRPr="00485E6E" w:rsidRDefault="008355F6" w:rsidP="00485E6E">
            <w:pPr>
              <w:spacing w:line="360" w:lineRule="auto"/>
              <w:ind w:right="53"/>
              <w:contextualSpacing/>
              <w:jc w:val="center"/>
              <w:rPr>
                <w:rFonts w:ascii="Arial" w:eastAsia="Arial" w:hAnsi="Arial" w:cs="Arial"/>
                <w:sz w:val="14"/>
                <w:szCs w:val="14"/>
              </w:rPr>
            </w:pPr>
            <w:r w:rsidRPr="00485E6E">
              <w:rPr>
                <w:rFonts w:ascii="Arial" w:eastAsia="Arial" w:hAnsi="Arial" w:cs="Arial"/>
                <w:sz w:val="14"/>
                <w:szCs w:val="14"/>
              </w:rPr>
              <w:t>XLS/XLSX/ ODS</w:t>
            </w:r>
          </w:p>
        </w:tc>
      </w:tr>
      <w:tr w:rsidR="008355F6" w:rsidRPr="008355F6" w14:paraId="1EA10D1D" w14:textId="77777777" w:rsidTr="00F2087C">
        <w:tblPrEx>
          <w:tblCellMar>
            <w:top w:w="38" w:type="dxa"/>
            <w:right w:w="59" w:type="dxa"/>
          </w:tblCellMar>
        </w:tblPrEx>
        <w:trPr>
          <w:cantSplit/>
        </w:trPr>
        <w:tc>
          <w:tcPr>
            <w:tcW w:w="1173" w:type="dxa"/>
            <w:tcBorders>
              <w:top w:val="single" w:sz="4" w:space="0" w:color="000000"/>
              <w:left w:val="single" w:sz="4" w:space="0" w:color="000000"/>
              <w:bottom w:val="single" w:sz="4" w:space="0" w:color="000000"/>
              <w:right w:val="single" w:sz="4" w:space="0" w:color="000000"/>
            </w:tcBorders>
            <w:vAlign w:val="center"/>
          </w:tcPr>
          <w:p w14:paraId="7FBD4E6D" w14:textId="77777777" w:rsidR="008355F6" w:rsidRPr="008355F6" w:rsidRDefault="008355F6" w:rsidP="00F2087C">
            <w:pPr>
              <w:spacing w:line="360" w:lineRule="auto"/>
              <w:ind w:right="49"/>
              <w:contextualSpacing/>
              <w:jc w:val="center"/>
              <w:rPr>
                <w:rFonts w:ascii="Arial" w:hAnsi="Arial" w:cs="Times New Roman"/>
                <w:sz w:val="24"/>
              </w:rPr>
            </w:pPr>
            <w:r w:rsidRPr="008355F6">
              <w:rPr>
                <w:rFonts w:ascii="Arial" w:eastAsia="Arial" w:hAnsi="Arial" w:cs="Arial"/>
                <w:sz w:val="18"/>
              </w:rPr>
              <w:t xml:space="preserve">DREPAS </w:t>
            </w:r>
          </w:p>
        </w:tc>
        <w:tc>
          <w:tcPr>
            <w:tcW w:w="6386" w:type="dxa"/>
            <w:tcBorders>
              <w:top w:val="single" w:sz="4" w:space="0" w:color="000000"/>
              <w:left w:val="single" w:sz="4" w:space="0" w:color="000000"/>
              <w:bottom w:val="single" w:sz="4" w:space="0" w:color="000000"/>
              <w:right w:val="single" w:sz="4" w:space="0" w:color="000000"/>
            </w:tcBorders>
            <w:vAlign w:val="center"/>
          </w:tcPr>
          <w:p w14:paraId="1C769D0B" w14:textId="77777777" w:rsidR="008355F6" w:rsidRPr="008355F6" w:rsidRDefault="008355F6" w:rsidP="00F2087C">
            <w:pPr>
              <w:spacing w:line="360" w:lineRule="auto"/>
              <w:contextualSpacing/>
              <w:jc w:val="both"/>
              <w:rPr>
                <w:rFonts w:ascii="Arial" w:hAnsi="Arial" w:cs="Times New Roman"/>
                <w:sz w:val="24"/>
              </w:rPr>
            </w:pPr>
            <w:r w:rsidRPr="008355F6">
              <w:rPr>
                <w:rFonts w:ascii="Arial" w:eastAsia="Arial" w:hAnsi="Arial" w:cs="Arial"/>
                <w:sz w:val="18"/>
              </w:rPr>
              <w:t xml:space="preserve">Demonstrativo dos repasses recebidos do Governo do Estado para aumento de participação no FUNDO no exercício. </w:t>
            </w:r>
          </w:p>
        </w:tc>
        <w:tc>
          <w:tcPr>
            <w:tcW w:w="1508" w:type="dxa"/>
            <w:tcBorders>
              <w:top w:val="single" w:sz="4" w:space="0" w:color="000000"/>
              <w:left w:val="single" w:sz="4" w:space="0" w:color="000000"/>
              <w:bottom w:val="single" w:sz="4" w:space="0" w:color="000000"/>
              <w:right w:val="single" w:sz="4" w:space="0" w:color="000000"/>
            </w:tcBorders>
            <w:vAlign w:val="center"/>
          </w:tcPr>
          <w:p w14:paraId="0D7362C6" w14:textId="65592B7B" w:rsidR="008355F6" w:rsidRPr="00485E6E" w:rsidRDefault="008355F6" w:rsidP="00485E6E">
            <w:pPr>
              <w:spacing w:line="360" w:lineRule="auto"/>
              <w:ind w:right="53"/>
              <w:contextualSpacing/>
              <w:jc w:val="center"/>
              <w:rPr>
                <w:rFonts w:ascii="Arial" w:hAnsi="Arial" w:cs="Times New Roman"/>
                <w:sz w:val="14"/>
                <w:szCs w:val="14"/>
              </w:rPr>
            </w:pPr>
            <w:r w:rsidRPr="00485E6E">
              <w:rPr>
                <w:rFonts w:ascii="Arial" w:eastAsia="Arial" w:hAnsi="Arial" w:cs="Arial"/>
                <w:sz w:val="14"/>
                <w:szCs w:val="14"/>
              </w:rPr>
              <w:t>PDF</w:t>
            </w:r>
          </w:p>
        </w:tc>
      </w:tr>
      <w:tr w:rsidR="008355F6" w:rsidRPr="008355F6" w14:paraId="565606A6" w14:textId="77777777" w:rsidTr="00F2087C">
        <w:tblPrEx>
          <w:tblCellMar>
            <w:top w:w="38" w:type="dxa"/>
            <w:right w:w="59" w:type="dxa"/>
          </w:tblCellMar>
        </w:tblPrEx>
        <w:trPr>
          <w:cantSplit/>
        </w:trPr>
        <w:tc>
          <w:tcPr>
            <w:tcW w:w="1173" w:type="dxa"/>
            <w:tcBorders>
              <w:top w:val="single" w:sz="4" w:space="0" w:color="000000"/>
              <w:left w:val="single" w:sz="4" w:space="0" w:color="000000"/>
              <w:bottom w:val="single" w:sz="4" w:space="0" w:color="000000"/>
              <w:right w:val="single" w:sz="4" w:space="0" w:color="000000"/>
            </w:tcBorders>
            <w:vAlign w:val="center"/>
          </w:tcPr>
          <w:p w14:paraId="2380DA71" w14:textId="77777777" w:rsidR="008355F6" w:rsidRPr="008355F6" w:rsidRDefault="008355F6" w:rsidP="00F2087C">
            <w:pPr>
              <w:spacing w:line="360" w:lineRule="auto"/>
              <w:ind w:right="55"/>
              <w:contextualSpacing/>
              <w:jc w:val="center"/>
              <w:rPr>
                <w:rFonts w:ascii="Arial" w:hAnsi="Arial" w:cs="Times New Roman"/>
                <w:sz w:val="24"/>
              </w:rPr>
            </w:pPr>
            <w:r w:rsidRPr="008355F6">
              <w:rPr>
                <w:rFonts w:ascii="Arial" w:eastAsia="Arial" w:hAnsi="Arial" w:cs="Arial"/>
                <w:sz w:val="18"/>
              </w:rPr>
              <w:t xml:space="preserve">TVDCAI </w:t>
            </w:r>
          </w:p>
        </w:tc>
        <w:tc>
          <w:tcPr>
            <w:tcW w:w="6386" w:type="dxa"/>
            <w:tcBorders>
              <w:top w:val="single" w:sz="4" w:space="0" w:color="000000"/>
              <w:left w:val="single" w:sz="4" w:space="0" w:color="000000"/>
              <w:bottom w:val="single" w:sz="4" w:space="0" w:color="000000"/>
              <w:right w:val="single" w:sz="4" w:space="0" w:color="000000"/>
            </w:tcBorders>
            <w:vAlign w:val="center"/>
          </w:tcPr>
          <w:p w14:paraId="2148F0C7" w14:textId="77777777" w:rsidR="008355F6" w:rsidRPr="008355F6" w:rsidRDefault="008355F6" w:rsidP="00F2087C">
            <w:pPr>
              <w:spacing w:line="360" w:lineRule="auto"/>
              <w:contextualSpacing/>
              <w:jc w:val="both"/>
              <w:rPr>
                <w:rFonts w:ascii="Arial" w:hAnsi="Arial" w:cs="Times New Roman"/>
                <w:sz w:val="24"/>
              </w:rPr>
            </w:pPr>
            <w:r w:rsidRPr="008355F6">
              <w:rPr>
                <w:rFonts w:ascii="Arial" w:eastAsia="Arial" w:hAnsi="Arial" w:cs="Arial"/>
                <w:sz w:val="18"/>
              </w:rPr>
              <w:t xml:space="preserve">Termo de verificação das disponibilidades em caixa ao final do exercício.  </w:t>
            </w:r>
          </w:p>
        </w:tc>
        <w:tc>
          <w:tcPr>
            <w:tcW w:w="1508" w:type="dxa"/>
            <w:tcBorders>
              <w:top w:val="single" w:sz="4" w:space="0" w:color="000000"/>
              <w:left w:val="single" w:sz="4" w:space="0" w:color="000000"/>
              <w:bottom w:val="single" w:sz="4" w:space="0" w:color="000000"/>
              <w:right w:val="single" w:sz="4" w:space="0" w:color="000000"/>
            </w:tcBorders>
            <w:vAlign w:val="center"/>
          </w:tcPr>
          <w:p w14:paraId="0649BFF6" w14:textId="28E60559" w:rsidR="008355F6" w:rsidRPr="00485E6E" w:rsidRDefault="008355F6" w:rsidP="00485E6E">
            <w:pPr>
              <w:spacing w:line="360" w:lineRule="auto"/>
              <w:ind w:right="53"/>
              <w:contextualSpacing/>
              <w:jc w:val="center"/>
              <w:rPr>
                <w:rFonts w:ascii="Arial" w:hAnsi="Arial" w:cs="Times New Roman"/>
                <w:sz w:val="14"/>
                <w:szCs w:val="14"/>
              </w:rPr>
            </w:pPr>
            <w:r w:rsidRPr="00485E6E">
              <w:rPr>
                <w:rFonts w:ascii="Arial" w:eastAsia="Arial" w:hAnsi="Arial" w:cs="Arial"/>
                <w:sz w:val="14"/>
                <w:szCs w:val="14"/>
              </w:rPr>
              <w:t>PDF</w:t>
            </w:r>
          </w:p>
        </w:tc>
      </w:tr>
      <w:tr w:rsidR="008355F6" w:rsidRPr="008355F6" w14:paraId="7B14ED7D" w14:textId="77777777" w:rsidTr="00F2087C">
        <w:tblPrEx>
          <w:tblCellMar>
            <w:top w:w="38" w:type="dxa"/>
            <w:right w:w="59" w:type="dxa"/>
          </w:tblCellMar>
        </w:tblPrEx>
        <w:trPr>
          <w:cantSplit/>
        </w:trPr>
        <w:tc>
          <w:tcPr>
            <w:tcW w:w="1173" w:type="dxa"/>
            <w:tcBorders>
              <w:top w:val="single" w:sz="4" w:space="0" w:color="000000"/>
              <w:left w:val="single" w:sz="4" w:space="0" w:color="000000"/>
              <w:bottom w:val="single" w:sz="4" w:space="0" w:color="000000"/>
              <w:right w:val="single" w:sz="4" w:space="0" w:color="000000"/>
            </w:tcBorders>
            <w:vAlign w:val="center"/>
          </w:tcPr>
          <w:p w14:paraId="3D49F6AE" w14:textId="77777777" w:rsidR="008355F6" w:rsidRPr="008355F6" w:rsidRDefault="008355F6" w:rsidP="00F2087C">
            <w:pPr>
              <w:spacing w:line="360" w:lineRule="auto"/>
              <w:ind w:right="54"/>
              <w:contextualSpacing/>
              <w:jc w:val="center"/>
              <w:rPr>
                <w:rFonts w:ascii="Arial" w:hAnsi="Arial" w:cs="Times New Roman"/>
                <w:sz w:val="24"/>
              </w:rPr>
            </w:pPr>
            <w:r w:rsidRPr="008355F6">
              <w:rPr>
                <w:rFonts w:ascii="Arial" w:eastAsia="Arial" w:hAnsi="Arial" w:cs="Arial"/>
                <w:sz w:val="18"/>
              </w:rPr>
              <w:t xml:space="preserve">TVDISPN </w:t>
            </w:r>
          </w:p>
        </w:tc>
        <w:tc>
          <w:tcPr>
            <w:tcW w:w="6386" w:type="dxa"/>
            <w:tcBorders>
              <w:top w:val="single" w:sz="4" w:space="0" w:color="000000"/>
              <w:left w:val="single" w:sz="4" w:space="0" w:color="000000"/>
              <w:bottom w:val="single" w:sz="4" w:space="0" w:color="000000"/>
              <w:right w:val="single" w:sz="4" w:space="0" w:color="000000"/>
            </w:tcBorders>
            <w:vAlign w:val="center"/>
          </w:tcPr>
          <w:p w14:paraId="59894C06" w14:textId="77777777" w:rsidR="008355F6" w:rsidRPr="008355F6" w:rsidRDefault="008355F6" w:rsidP="00F2087C">
            <w:pPr>
              <w:spacing w:line="360" w:lineRule="auto"/>
              <w:contextualSpacing/>
              <w:jc w:val="both"/>
              <w:rPr>
                <w:rFonts w:ascii="Arial" w:hAnsi="Arial" w:cs="Times New Roman"/>
                <w:sz w:val="24"/>
              </w:rPr>
            </w:pPr>
            <w:r w:rsidRPr="008355F6">
              <w:rPr>
                <w:rFonts w:ascii="Arial" w:eastAsia="Arial" w:hAnsi="Arial" w:cs="Arial"/>
                <w:sz w:val="18"/>
              </w:rPr>
              <w:t>Termo de verificação de disponibilidades bancárias, na forma do item 3.2 deste Anexo.</w:t>
            </w:r>
          </w:p>
        </w:tc>
        <w:tc>
          <w:tcPr>
            <w:tcW w:w="1508" w:type="dxa"/>
            <w:tcBorders>
              <w:top w:val="single" w:sz="4" w:space="0" w:color="000000"/>
              <w:left w:val="single" w:sz="4" w:space="0" w:color="000000"/>
              <w:bottom w:val="single" w:sz="4" w:space="0" w:color="000000"/>
              <w:right w:val="single" w:sz="4" w:space="0" w:color="000000"/>
            </w:tcBorders>
          </w:tcPr>
          <w:p w14:paraId="033661B8" w14:textId="1B67DDE2" w:rsidR="008355F6" w:rsidRPr="00485E6E" w:rsidRDefault="008355F6" w:rsidP="00485E6E">
            <w:pPr>
              <w:spacing w:line="241" w:lineRule="auto"/>
              <w:ind w:left="209" w:right="221"/>
              <w:contextualSpacing/>
              <w:jc w:val="center"/>
              <w:rPr>
                <w:rFonts w:ascii="Arial" w:hAnsi="Arial" w:cs="Times New Roman"/>
                <w:sz w:val="14"/>
                <w:szCs w:val="14"/>
              </w:rPr>
            </w:pPr>
            <w:r w:rsidRPr="00485E6E">
              <w:rPr>
                <w:rFonts w:ascii="Arial" w:eastAsia="Arial" w:hAnsi="Arial" w:cs="Arial"/>
                <w:sz w:val="14"/>
                <w:szCs w:val="14"/>
              </w:rPr>
              <w:t>PDF e</w:t>
            </w:r>
          </w:p>
          <w:p w14:paraId="584F73A9" w14:textId="7AB7E391" w:rsidR="008355F6" w:rsidRPr="00485E6E" w:rsidRDefault="008355F6" w:rsidP="00485E6E">
            <w:pPr>
              <w:spacing w:line="360" w:lineRule="auto"/>
              <w:contextualSpacing/>
              <w:jc w:val="center"/>
              <w:rPr>
                <w:rFonts w:ascii="Arial" w:hAnsi="Arial" w:cs="Times New Roman"/>
                <w:sz w:val="14"/>
                <w:szCs w:val="14"/>
              </w:rPr>
            </w:pPr>
            <w:r w:rsidRPr="00485E6E">
              <w:rPr>
                <w:rFonts w:ascii="Arial" w:eastAsia="Arial" w:hAnsi="Arial" w:cs="Arial"/>
                <w:sz w:val="14"/>
                <w:szCs w:val="14"/>
              </w:rPr>
              <w:t>XLS/XLSX/ ODS</w:t>
            </w:r>
          </w:p>
        </w:tc>
      </w:tr>
      <w:tr w:rsidR="008355F6" w:rsidRPr="008355F6" w14:paraId="5E75987B" w14:textId="77777777" w:rsidTr="00F2087C">
        <w:tblPrEx>
          <w:tblCellMar>
            <w:top w:w="38" w:type="dxa"/>
            <w:right w:w="59" w:type="dxa"/>
          </w:tblCellMar>
        </w:tblPrEx>
        <w:trPr>
          <w:cantSplit/>
        </w:trPr>
        <w:tc>
          <w:tcPr>
            <w:tcW w:w="1173" w:type="dxa"/>
            <w:tcBorders>
              <w:top w:val="single" w:sz="4" w:space="0" w:color="000000"/>
              <w:left w:val="single" w:sz="4" w:space="0" w:color="000000"/>
              <w:bottom w:val="single" w:sz="4" w:space="0" w:color="000000"/>
              <w:right w:val="single" w:sz="4" w:space="0" w:color="000000"/>
            </w:tcBorders>
            <w:vAlign w:val="center"/>
          </w:tcPr>
          <w:p w14:paraId="6CE7D61C" w14:textId="77777777" w:rsidR="008355F6" w:rsidRPr="008355F6" w:rsidRDefault="008355F6" w:rsidP="00F2087C">
            <w:pPr>
              <w:spacing w:line="360" w:lineRule="auto"/>
              <w:ind w:right="52"/>
              <w:contextualSpacing/>
              <w:jc w:val="center"/>
              <w:rPr>
                <w:rFonts w:ascii="Arial" w:hAnsi="Arial" w:cs="Times New Roman"/>
                <w:sz w:val="24"/>
              </w:rPr>
            </w:pPr>
            <w:r w:rsidRPr="008355F6">
              <w:rPr>
                <w:rFonts w:ascii="Arial" w:eastAsia="Arial" w:hAnsi="Arial" w:cs="Arial"/>
                <w:sz w:val="18"/>
              </w:rPr>
              <w:t xml:space="preserve">EXTBAN </w:t>
            </w:r>
          </w:p>
        </w:tc>
        <w:tc>
          <w:tcPr>
            <w:tcW w:w="6386" w:type="dxa"/>
            <w:tcBorders>
              <w:top w:val="single" w:sz="4" w:space="0" w:color="000000"/>
              <w:left w:val="single" w:sz="4" w:space="0" w:color="000000"/>
              <w:bottom w:val="single" w:sz="4" w:space="0" w:color="000000"/>
              <w:right w:val="single" w:sz="4" w:space="0" w:color="000000"/>
            </w:tcBorders>
            <w:vAlign w:val="center"/>
          </w:tcPr>
          <w:p w14:paraId="150DDA33" w14:textId="77777777" w:rsidR="008355F6" w:rsidRPr="008355F6" w:rsidRDefault="008355F6" w:rsidP="00F2087C">
            <w:pPr>
              <w:spacing w:line="360" w:lineRule="auto"/>
              <w:contextualSpacing/>
              <w:jc w:val="both"/>
              <w:rPr>
                <w:rFonts w:ascii="Arial" w:hAnsi="Arial" w:cs="Times New Roman"/>
                <w:sz w:val="24"/>
              </w:rPr>
            </w:pPr>
            <w:r w:rsidRPr="008355F6">
              <w:rPr>
                <w:rFonts w:ascii="Arial" w:eastAsia="Arial" w:hAnsi="Arial" w:cs="Arial"/>
                <w:sz w:val="18"/>
              </w:rPr>
              <w:t xml:space="preserve">Extratos bancários relativos ao mês de encerramento do exercício (inclusive das contas com saldo bancário zerado no exercício). </w:t>
            </w:r>
          </w:p>
        </w:tc>
        <w:tc>
          <w:tcPr>
            <w:tcW w:w="1508" w:type="dxa"/>
            <w:tcBorders>
              <w:top w:val="single" w:sz="4" w:space="0" w:color="000000"/>
              <w:left w:val="single" w:sz="4" w:space="0" w:color="000000"/>
              <w:bottom w:val="single" w:sz="4" w:space="0" w:color="000000"/>
              <w:right w:val="single" w:sz="4" w:space="0" w:color="000000"/>
            </w:tcBorders>
            <w:vAlign w:val="center"/>
          </w:tcPr>
          <w:p w14:paraId="4F788AE7" w14:textId="7BA221EA" w:rsidR="008355F6" w:rsidRPr="00485E6E" w:rsidRDefault="008355F6" w:rsidP="00485E6E">
            <w:pPr>
              <w:spacing w:line="360" w:lineRule="auto"/>
              <w:ind w:right="53"/>
              <w:contextualSpacing/>
              <w:jc w:val="center"/>
              <w:rPr>
                <w:rFonts w:ascii="Arial" w:hAnsi="Arial" w:cs="Times New Roman"/>
                <w:sz w:val="14"/>
                <w:szCs w:val="14"/>
              </w:rPr>
            </w:pPr>
            <w:r w:rsidRPr="00485E6E">
              <w:rPr>
                <w:rFonts w:ascii="Arial" w:eastAsia="Arial" w:hAnsi="Arial" w:cs="Arial"/>
                <w:sz w:val="14"/>
                <w:szCs w:val="14"/>
              </w:rPr>
              <w:t>PDF</w:t>
            </w:r>
          </w:p>
        </w:tc>
      </w:tr>
      <w:tr w:rsidR="008355F6" w:rsidRPr="008355F6" w14:paraId="67C596CF" w14:textId="77777777" w:rsidTr="00F2087C">
        <w:tblPrEx>
          <w:tblCellMar>
            <w:top w:w="38" w:type="dxa"/>
            <w:right w:w="59" w:type="dxa"/>
          </w:tblCellMar>
        </w:tblPrEx>
        <w:trPr>
          <w:cantSplit/>
        </w:trPr>
        <w:tc>
          <w:tcPr>
            <w:tcW w:w="1173" w:type="dxa"/>
            <w:tcBorders>
              <w:top w:val="single" w:sz="4" w:space="0" w:color="000000"/>
              <w:left w:val="single" w:sz="4" w:space="0" w:color="000000"/>
              <w:bottom w:val="single" w:sz="4" w:space="0" w:color="000000"/>
              <w:right w:val="single" w:sz="4" w:space="0" w:color="000000"/>
            </w:tcBorders>
            <w:vAlign w:val="center"/>
          </w:tcPr>
          <w:p w14:paraId="60679B58" w14:textId="77777777" w:rsidR="008355F6" w:rsidRPr="008355F6" w:rsidRDefault="008355F6" w:rsidP="00F2087C">
            <w:pPr>
              <w:spacing w:line="360" w:lineRule="auto"/>
              <w:ind w:right="52"/>
              <w:contextualSpacing/>
              <w:jc w:val="center"/>
              <w:rPr>
                <w:rFonts w:ascii="Arial" w:hAnsi="Arial" w:cs="Times New Roman"/>
                <w:sz w:val="24"/>
              </w:rPr>
            </w:pPr>
            <w:r w:rsidRPr="008355F6">
              <w:rPr>
                <w:rFonts w:ascii="Arial" w:eastAsia="Arial" w:hAnsi="Arial" w:cs="Arial"/>
                <w:sz w:val="18"/>
              </w:rPr>
              <w:t xml:space="preserve">BALPATN </w:t>
            </w:r>
          </w:p>
        </w:tc>
        <w:tc>
          <w:tcPr>
            <w:tcW w:w="6386" w:type="dxa"/>
            <w:tcBorders>
              <w:top w:val="single" w:sz="4" w:space="0" w:color="000000"/>
              <w:left w:val="single" w:sz="4" w:space="0" w:color="000000"/>
              <w:bottom w:val="single" w:sz="4" w:space="0" w:color="000000"/>
              <w:right w:val="single" w:sz="4" w:space="0" w:color="000000"/>
            </w:tcBorders>
            <w:vAlign w:val="center"/>
          </w:tcPr>
          <w:p w14:paraId="01BF780F" w14:textId="77777777" w:rsidR="008355F6" w:rsidRPr="008355F6" w:rsidRDefault="008355F6" w:rsidP="00F2087C">
            <w:pPr>
              <w:spacing w:line="360" w:lineRule="auto"/>
              <w:contextualSpacing/>
              <w:jc w:val="both"/>
              <w:rPr>
                <w:rFonts w:ascii="Arial" w:hAnsi="Arial" w:cs="Times New Roman"/>
                <w:sz w:val="24"/>
              </w:rPr>
            </w:pPr>
            <w:r w:rsidRPr="008355F6">
              <w:rPr>
                <w:rFonts w:ascii="Arial" w:eastAsia="Arial" w:hAnsi="Arial" w:cs="Arial"/>
                <w:sz w:val="18"/>
              </w:rPr>
              <w:t xml:space="preserve">Balanço Patrimonial do exercício, com a indicação dos saldos do exercício anterior (Inciso I do art. 176 da Lei 6.404/76).  </w:t>
            </w:r>
          </w:p>
        </w:tc>
        <w:tc>
          <w:tcPr>
            <w:tcW w:w="1508" w:type="dxa"/>
            <w:tcBorders>
              <w:top w:val="single" w:sz="4" w:space="0" w:color="000000"/>
              <w:left w:val="single" w:sz="4" w:space="0" w:color="000000"/>
              <w:bottom w:val="single" w:sz="4" w:space="0" w:color="000000"/>
              <w:right w:val="single" w:sz="4" w:space="0" w:color="000000"/>
            </w:tcBorders>
            <w:vAlign w:val="center"/>
          </w:tcPr>
          <w:p w14:paraId="296D78F2" w14:textId="15FC121C" w:rsidR="008355F6" w:rsidRPr="00485E6E" w:rsidRDefault="008355F6" w:rsidP="00485E6E">
            <w:pPr>
              <w:spacing w:line="360" w:lineRule="auto"/>
              <w:ind w:right="53"/>
              <w:contextualSpacing/>
              <w:jc w:val="center"/>
              <w:rPr>
                <w:rFonts w:ascii="Arial" w:hAnsi="Arial" w:cs="Times New Roman"/>
                <w:sz w:val="14"/>
                <w:szCs w:val="14"/>
              </w:rPr>
            </w:pPr>
            <w:r w:rsidRPr="00485E6E">
              <w:rPr>
                <w:rFonts w:ascii="Arial" w:eastAsia="Arial" w:hAnsi="Arial" w:cs="Arial"/>
                <w:sz w:val="14"/>
                <w:szCs w:val="14"/>
              </w:rPr>
              <w:t>PDF</w:t>
            </w:r>
          </w:p>
        </w:tc>
      </w:tr>
      <w:tr w:rsidR="008355F6" w:rsidRPr="008355F6" w14:paraId="5887131E" w14:textId="77777777" w:rsidTr="00F2087C">
        <w:tblPrEx>
          <w:tblCellMar>
            <w:top w:w="42" w:type="dxa"/>
            <w:right w:w="59" w:type="dxa"/>
          </w:tblCellMar>
        </w:tblPrEx>
        <w:trPr>
          <w:cantSplit/>
        </w:trPr>
        <w:tc>
          <w:tcPr>
            <w:tcW w:w="1173" w:type="dxa"/>
            <w:tcBorders>
              <w:top w:val="single" w:sz="4" w:space="0" w:color="000000"/>
              <w:left w:val="single" w:sz="4" w:space="0" w:color="000000"/>
              <w:bottom w:val="single" w:sz="4" w:space="0" w:color="000000"/>
              <w:right w:val="single" w:sz="4" w:space="0" w:color="000000"/>
            </w:tcBorders>
            <w:vAlign w:val="center"/>
          </w:tcPr>
          <w:p w14:paraId="22376B34" w14:textId="77777777" w:rsidR="008355F6" w:rsidRPr="008355F6" w:rsidRDefault="008355F6" w:rsidP="00F2087C">
            <w:pPr>
              <w:spacing w:line="360" w:lineRule="auto"/>
              <w:ind w:right="49"/>
              <w:contextualSpacing/>
              <w:jc w:val="center"/>
              <w:rPr>
                <w:rFonts w:ascii="Arial" w:hAnsi="Arial" w:cs="Times New Roman"/>
                <w:sz w:val="24"/>
              </w:rPr>
            </w:pPr>
            <w:r w:rsidRPr="008355F6">
              <w:rPr>
                <w:rFonts w:ascii="Arial" w:eastAsia="Arial" w:hAnsi="Arial" w:cs="Arial"/>
                <w:sz w:val="18"/>
              </w:rPr>
              <w:t xml:space="preserve">BALVER </w:t>
            </w:r>
          </w:p>
        </w:tc>
        <w:tc>
          <w:tcPr>
            <w:tcW w:w="6386" w:type="dxa"/>
            <w:tcBorders>
              <w:top w:val="single" w:sz="4" w:space="0" w:color="000000"/>
              <w:left w:val="single" w:sz="4" w:space="0" w:color="000000"/>
              <w:bottom w:val="single" w:sz="4" w:space="0" w:color="000000"/>
              <w:right w:val="single" w:sz="4" w:space="0" w:color="000000"/>
            </w:tcBorders>
            <w:vAlign w:val="center"/>
          </w:tcPr>
          <w:p w14:paraId="431861DD" w14:textId="77777777" w:rsidR="008355F6" w:rsidRPr="008355F6" w:rsidRDefault="008355F6" w:rsidP="00F2087C">
            <w:pPr>
              <w:spacing w:after="120" w:line="239" w:lineRule="auto"/>
              <w:contextualSpacing/>
              <w:jc w:val="both"/>
              <w:rPr>
                <w:rFonts w:ascii="Arial" w:hAnsi="Arial" w:cs="Times New Roman"/>
                <w:sz w:val="24"/>
              </w:rPr>
            </w:pPr>
            <w:r w:rsidRPr="008355F6">
              <w:rPr>
                <w:rFonts w:ascii="Arial" w:eastAsia="Arial" w:hAnsi="Arial" w:cs="Arial"/>
                <w:sz w:val="18"/>
              </w:rPr>
              <w:t>Balancete de verificação (analítico) que deu origem ao encerramento das Demonstrações Financeiras do exercício, com o saldo das contas de resultado.  (No caso de fechamento semestral, encaminhar os dois balancetes)  .</w:t>
            </w:r>
          </w:p>
        </w:tc>
        <w:tc>
          <w:tcPr>
            <w:tcW w:w="1508" w:type="dxa"/>
            <w:tcBorders>
              <w:top w:val="single" w:sz="4" w:space="0" w:color="000000"/>
              <w:left w:val="single" w:sz="4" w:space="0" w:color="000000"/>
              <w:bottom w:val="single" w:sz="4" w:space="0" w:color="000000"/>
              <w:right w:val="single" w:sz="4" w:space="0" w:color="000000"/>
            </w:tcBorders>
            <w:vAlign w:val="center"/>
          </w:tcPr>
          <w:p w14:paraId="196F2910" w14:textId="024F78A5" w:rsidR="008355F6" w:rsidRPr="00485E6E" w:rsidRDefault="008355F6" w:rsidP="00485E6E">
            <w:pPr>
              <w:spacing w:line="360" w:lineRule="auto"/>
              <w:ind w:right="53"/>
              <w:contextualSpacing/>
              <w:jc w:val="center"/>
              <w:rPr>
                <w:rFonts w:ascii="Arial" w:hAnsi="Arial" w:cs="Times New Roman"/>
                <w:sz w:val="14"/>
                <w:szCs w:val="14"/>
              </w:rPr>
            </w:pPr>
            <w:r w:rsidRPr="00485E6E">
              <w:rPr>
                <w:rFonts w:ascii="Arial" w:eastAsia="Arial" w:hAnsi="Arial" w:cs="Arial"/>
                <w:sz w:val="14"/>
                <w:szCs w:val="14"/>
              </w:rPr>
              <w:t>PDF</w:t>
            </w:r>
          </w:p>
        </w:tc>
      </w:tr>
      <w:tr w:rsidR="008355F6" w:rsidRPr="008355F6" w14:paraId="47C38FD8" w14:textId="77777777" w:rsidTr="00F2087C">
        <w:tblPrEx>
          <w:tblCellMar>
            <w:top w:w="39" w:type="dxa"/>
            <w:right w:w="10" w:type="dxa"/>
          </w:tblCellMar>
        </w:tblPrEx>
        <w:trPr>
          <w:cantSplit/>
        </w:trPr>
        <w:tc>
          <w:tcPr>
            <w:tcW w:w="1173" w:type="dxa"/>
            <w:tcBorders>
              <w:top w:val="single" w:sz="4" w:space="0" w:color="000000"/>
              <w:left w:val="single" w:sz="4" w:space="0" w:color="000000"/>
              <w:bottom w:val="single" w:sz="4" w:space="0" w:color="000000"/>
              <w:right w:val="single" w:sz="4" w:space="0" w:color="000000"/>
            </w:tcBorders>
            <w:vAlign w:val="center"/>
          </w:tcPr>
          <w:p w14:paraId="50F54A9A" w14:textId="77777777" w:rsidR="008355F6" w:rsidRPr="008355F6" w:rsidRDefault="008355F6" w:rsidP="00F2087C">
            <w:pPr>
              <w:spacing w:line="360" w:lineRule="auto"/>
              <w:ind w:right="98"/>
              <w:contextualSpacing/>
              <w:jc w:val="center"/>
              <w:rPr>
                <w:rFonts w:ascii="Arial" w:hAnsi="Arial" w:cs="Times New Roman"/>
                <w:sz w:val="24"/>
              </w:rPr>
            </w:pPr>
            <w:r w:rsidRPr="008355F6">
              <w:rPr>
                <w:rFonts w:ascii="Arial" w:eastAsia="Arial" w:hAnsi="Arial" w:cs="Arial"/>
                <w:sz w:val="18"/>
              </w:rPr>
              <w:t xml:space="preserve">DELPAC </w:t>
            </w:r>
          </w:p>
        </w:tc>
        <w:tc>
          <w:tcPr>
            <w:tcW w:w="6386" w:type="dxa"/>
            <w:tcBorders>
              <w:top w:val="single" w:sz="4" w:space="0" w:color="000000"/>
              <w:left w:val="single" w:sz="4" w:space="0" w:color="000000"/>
              <w:bottom w:val="single" w:sz="4" w:space="0" w:color="000000"/>
              <w:right w:val="single" w:sz="4" w:space="0" w:color="000000"/>
            </w:tcBorders>
            <w:vAlign w:val="center"/>
          </w:tcPr>
          <w:p w14:paraId="6D3BD494" w14:textId="77777777" w:rsidR="008355F6" w:rsidRPr="008355F6" w:rsidRDefault="008355F6" w:rsidP="00F2087C">
            <w:pPr>
              <w:spacing w:line="360" w:lineRule="auto"/>
              <w:contextualSpacing/>
              <w:jc w:val="both"/>
              <w:rPr>
                <w:rFonts w:ascii="Arial" w:hAnsi="Arial" w:cs="Times New Roman"/>
                <w:sz w:val="24"/>
              </w:rPr>
            </w:pPr>
            <w:r w:rsidRPr="008355F6">
              <w:rPr>
                <w:rFonts w:ascii="Arial" w:eastAsia="Arial" w:hAnsi="Arial" w:cs="Arial"/>
                <w:sz w:val="18"/>
              </w:rPr>
              <w:t xml:space="preserve">Demonstração dos Lucros ou Prejuízos Acumulados, com a indicação dos saldos do exercício anterior (Inciso II do art. 176 da Lei 6.404/76). </w:t>
            </w:r>
          </w:p>
        </w:tc>
        <w:tc>
          <w:tcPr>
            <w:tcW w:w="1508" w:type="dxa"/>
            <w:tcBorders>
              <w:top w:val="single" w:sz="4" w:space="0" w:color="000000"/>
              <w:left w:val="single" w:sz="4" w:space="0" w:color="000000"/>
              <w:bottom w:val="single" w:sz="4" w:space="0" w:color="000000"/>
              <w:right w:val="single" w:sz="4" w:space="0" w:color="000000"/>
            </w:tcBorders>
            <w:vAlign w:val="center"/>
          </w:tcPr>
          <w:p w14:paraId="2B571B6B" w14:textId="3DD3F575" w:rsidR="008355F6" w:rsidRPr="00485E6E" w:rsidRDefault="008355F6" w:rsidP="00485E6E">
            <w:pPr>
              <w:spacing w:line="360" w:lineRule="auto"/>
              <w:ind w:right="102"/>
              <w:contextualSpacing/>
              <w:jc w:val="center"/>
              <w:rPr>
                <w:rFonts w:ascii="Arial" w:hAnsi="Arial" w:cs="Times New Roman"/>
                <w:sz w:val="14"/>
                <w:szCs w:val="14"/>
              </w:rPr>
            </w:pPr>
            <w:r w:rsidRPr="00485E6E">
              <w:rPr>
                <w:rFonts w:ascii="Arial" w:eastAsia="Arial" w:hAnsi="Arial" w:cs="Arial"/>
                <w:sz w:val="14"/>
                <w:szCs w:val="14"/>
              </w:rPr>
              <w:t>PDF</w:t>
            </w:r>
          </w:p>
        </w:tc>
      </w:tr>
      <w:tr w:rsidR="008355F6" w:rsidRPr="008355F6" w14:paraId="615C5B7F" w14:textId="77777777" w:rsidTr="00F2087C">
        <w:tblPrEx>
          <w:tblCellMar>
            <w:top w:w="39" w:type="dxa"/>
            <w:right w:w="10" w:type="dxa"/>
          </w:tblCellMar>
        </w:tblPrEx>
        <w:trPr>
          <w:cantSplit/>
        </w:trPr>
        <w:tc>
          <w:tcPr>
            <w:tcW w:w="1173" w:type="dxa"/>
            <w:tcBorders>
              <w:top w:val="single" w:sz="4" w:space="0" w:color="000000"/>
              <w:left w:val="single" w:sz="4" w:space="0" w:color="000000"/>
              <w:bottom w:val="single" w:sz="4" w:space="0" w:color="000000"/>
              <w:right w:val="single" w:sz="4" w:space="0" w:color="000000"/>
            </w:tcBorders>
            <w:vAlign w:val="center"/>
          </w:tcPr>
          <w:p w14:paraId="34721F3F" w14:textId="77777777" w:rsidR="008355F6" w:rsidRPr="008355F6" w:rsidRDefault="008355F6" w:rsidP="00F2087C">
            <w:pPr>
              <w:spacing w:line="360" w:lineRule="auto"/>
              <w:ind w:right="103"/>
              <w:contextualSpacing/>
              <w:jc w:val="center"/>
              <w:rPr>
                <w:rFonts w:ascii="Arial" w:hAnsi="Arial" w:cs="Times New Roman"/>
                <w:sz w:val="24"/>
              </w:rPr>
            </w:pPr>
            <w:r w:rsidRPr="008355F6">
              <w:rPr>
                <w:rFonts w:ascii="Arial" w:eastAsia="Arial" w:hAnsi="Arial" w:cs="Arial"/>
                <w:sz w:val="18"/>
              </w:rPr>
              <w:t xml:space="preserve">DEMRES </w:t>
            </w:r>
          </w:p>
        </w:tc>
        <w:tc>
          <w:tcPr>
            <w:tcW w:w="6386" w:type="dxa"/>
            <w:tcBorders>
              <w:top w:val="single" w:sz="4" w:space="0" w:color="000000"/>
              <w:left w:val="single" w:sz="4" w:space="0" w:color="000000"/>
              <w:bottom w:val="single" w:sz="4" w:space="0" w:color="000000"/>
              <w:right w:val="single" w:sz="4" w:space="0" w:color="000000"/>
            </w:tcBorders>
            <w:vAlign w:val="center"/>
          </w:tcPr>
          <w:p w14:paraId="19257C32" w14:textId="77777777" w:rsidR="008355F6" w:rsidRPr="008355F6" w:rsidRDefault="008355F6" w:rsidP="00F2087C">
            <w:pPr>
              <w:spacing w:line="360" w:lineRule="auto"/>
              <w:contextualSpacing/>
              <w:jc w:val="both"/>
              <w:rPr>
                <w:rFonts w:ascii="Arial" w:hAnsi="Arial" w:cs="Times New Roman"/>
                <w:sz w:val="24"/>
              </w:rPr>
            </w:pPr>
            <w:r w:rsidRPr="008355F6">
              <w:rPr>
                <w:rFonts w:ascii="Arial" w:eastAsia="Arial" w:hAnsi="Arial" w:cs="Arial"/>
                <w:sz w:val="18"/>
              </w:rPr>
              <w:t xml:space="preserve">Demonstração do Resultado do Exercício, com a indicação dos saldos do exercício anterior (Inciso III do art. 176 da Lei 6.404/76).  </w:t>
            </w:r>
          </w:p>
        </w:tc>
        <w:tc>
          <w:tcPr>
            <w:tcW w:w="1508" w:type="dxa"/>
            <w:tcBorders>
              <w:top w:val="single" w:sz="4" w:space="0" w:color="000000"/>
              <w:left w:val="single" w:sz="4" w:space="0" w:color="000000"/>
              <w:bottom w:val="single" w:sz="4" w:space="0" w:color="000000"/>
              <w:right w:val="single" w:sz="4" w:space="0" w:color="000000"/>
            </w:tcBorders>
            <w:vAlign w:val="center"/>
          </w:tcPr>
          <w:p w14:paraId="4E1A4881" w14:textId="077C6718" w:rsidR="008355F6" w:rsidRPr="00485E6E" w:rsidRDefault="008355F6" w:rsidP="00485E6E">
            <w:pPr>
              <w:spacing w:line="360" w:lineRule="auto"/>
              <w:ind w:right="102"/>
              <w:contextualSpacing/>
              <w:jc w:val="center"/>
              <w:rPr>
                <w:rFonts w:ascii="Arial" w:hAnsi="Arial" w:cs="Times New Roman"/>
                <w:sz w:val="14"/>
                <w:szCs w:val="14"/>
              </w:rPr>
            </w:pPr>
            <w:r w:rsidRPr="00485E6E">
              <w:rPr>
                <w:rFonts w:ascii="Arial" w:eastAsia="Arial" w:hAnsi="Arial" w:cs="Arial"/>
                <w:sz w:val="14"/>
                <w:szCs w:val="14"/>
              </w:rPr>
              <w:t>PDF</w:t>
            </w:r>
          </w:p>
        </w:tc>
      </w:tr>
      <w:tr w:rsidR="008355F6" w:rsidRPr="008355F6" w14:paraId="7C4F5B43" w14:textId="77777777" w:rsidTr="00F2087C">
        <w:tblPrEx>
          <w:tblCellMar>
            <w:top w:w="39" w:type="dxa"/>
            <w:right w:w="10" w:type="dxa"/>
          </w:tblCellMar>
        </w:tblPrEx>
        <w:trPr>
          <w:cantSplit/>
        </w:trPr>
        <w:tc>
          <w:tcPr>
            <w:tcW w:w="1173" w:type="dxa"/>
            <w:tcBorders>
              <w:top w:val="single" w:sz="4" w:space="0" w:color="000000"/>
              <w:left w:val="single" w:sz="4" w:space="0" w:color="000000"/>
              <w:bottom w:val="single" w:sz="4" w:space="0" w:color="000000"/>
              <w:right w:val="single" w:sz="4" w:space="0" w:color="000000"/>
            </w:tcBorders>
            <w:vAlign w:val="center"/>
          </w:tcPr>
          <w:p w14:paraId="2F2F00C9" w14:textId="77777777" w:rsidR="008355F6" w:rsidRPr="008355F6" w:rsidRDefault="008355F6" w:rsidP="00F2087C">
            <w:pPr>
              <w:spacing w:line="360" w:lineRule="auto"/>
              <w:ind w:right="104"/>
              <w:contextualSpacing/>
              <w:jc w:val="center"/>
              <w:rPr>
                <w:rFonts w:ascii="Arial" w:hAnsi="Arial" w:cs="Times New Roman"/>
                <w:sz w:val="24"/>
              </w:rPr>
            </w:pPr>
            <w:r w:rsidRPr="008355F6">
              <w:rPr>
                <w:rFonts w:ascii="Arial" w:eastAsia="Arial" w:hAnsi="Arial" w:cs="Arial"/>
                <w:sz w:val="18"/>
              </w:rPr>
              <w:t xml:space="preserve">DEMUPL </w:t>
            </w:r>
          </w:p>
        </w:tc>
        <w:tc>
          <w:tcPr>
            <w:tcW w:w="6386" w:type="dxa"/>
            <w:tcBorders>
              <w:top w:val="single" w:sz="4" w:space="0" w:color="000000"/>
              <w:left w:val="single" w:sz="4" w:space="0" w:color="000000"/>
              <w:bottom w:val="single" w:sz="4" w:space="0" w:color="000000"/>
              <w:right w:val="single" w:sz="4" w:space="0" w:color="000000"/>
            </w:tcBorders>
            <w:vAlign w:val="center"/>
          </w:tcPr>
          <w:p w14:paraId="393DFD35" w14:textId="77777777" w:rsidR="008355F6" w:rsidRPr="008355F6" w:rsidRDefault="008355F6" w:rsidP="00F2087C">
            <w:pPr>
              <w:spacing w:line="360" w:lineRule="auto"/>
              <w:ind w:right="101"/>
              <w:contextualSpacing/>
              <w:jc w:val="both"/>
              <w:rPr>
                <w:rFonts w:ascii="Arial" w:hAnsi="Arial" w:cs="Times New Roman"/>
                <w:sz w:val="24"/>
              </w:rPr>
            </w:pPr>
            <w:r w:rsidRPr="008355F6">
              <w:rPr>
                <w:rFonts w:ascii="Arial" w:eastAsia="Arial" w:hAnsi="Arial" w:cs="Arial"/>
                <w:sz w:val="18"/>
              </w:rPr>
              <w:t xml:space="preserve">Demonstração das Mutações do Patrimônio Líquido, com a indicação dos saldos do exercício anterior, no caso de empresas em situação de “Estatal Dependente” ou “Fundações de Direito Privado” (Art. 3º da Resolução CFC 1437/13 e Resolução CFC nº 1.409/12 e item 22 da ITG 2002 – NBCT).  </w:t>
            </w:r>
          </w:p>
        </w:tc>
        <w:tc>
          <w:tcPr>
            <w:tcW w:w="1508" w:type="dxa"/>
            <w:tcBorders>
              <w:top w:val="single" w:sz="4" w:space="0" w:color="000000"/>
              <w:left w:val="single" w:sz="4" w:space="0" w:color="000000"/>
              <w:bottom w:val="single" w:sz="4" w:space="0" w:color="000000"/>
              <w:right w:val="single" w:sz="4" w:space="0" w:color="000000"/>
            </w:tcBorders>
            <w:vAlign w:val="center"/>
          </w:tcPr>
          <w:p w14:paraId="1A279A18" w14:textId="4A8BC92D" w:rsidR="008355F6" w:rsidRPr="00485E6E" w:rsidRDefault="008355F6" w:rsidP="00485E6E">
            <w:pPr>
              <w:spacing w:line="360" w:lineRule="auto"/>
              <w:ind w:right="102"/>
              <w:contextualSpacing/>
              <w:jc w:val="center"/>
              <w:rPr>
                <w:rFonts w:ascii="Arial" w:hAnsi="Arial" w:cs="Times New Roman"/>
                <w:sz w:val="14"/>
                <w:szCs w:val="14"/>
              </w:rPr>
            </w:pPr>
            <w:r w:rsidRPr="00485E6E">
              <w:rPr>
                <w:rFonts w:ascii="Arial" w:eastAsia="Arial" w:hAnsi="Arial" w:cs="Arial"/>
                <w:sz w:val="14"/>
                <w:szCs w:val="14"/>
              </w:rPr>
              <w:t>PDF</w:t>
            </w:r>
          </w:p>
        </w:tc>
      </w:tr>
      <w:tr w:rsidR="008355F6" w:rsidRPr="008355F6" w14:paraId="769F729E" w14:textId="77777777" w:rsidTr="00F2087C">
        <w:tblPrEx>
          <w:tblCellMar>
            <w:top w:w="39" w:type="dxa"/>
            <w:right w:w="10" w:type="dxa"/>
          </w:tblCellMar>
        </w:tblPrEx>
        <w:trPr>
          <w:cantSplit/>
        </w:trPr>
        <w:tc>
          <w:tcPr>
            <w:tcW w:w="1173" w:type="dxa"/>
            <w:tcBorders>
              <w:top w:val="single" w:sz="4" w:space="0" w:color="000000"/>
              <w:left w:val="single" w:sz="4" w:space="0" w:color="000000"/>
              <w:bottom w:val="single" w:sz="4" w:space="0" w:color="000000"/>
              <w:right w:val="single" w:sz="4" w:space="0" w:color="000000"/>
            </w:tcBorders>
            <w:vAlign w:val="center"/>
          </w:tcPr>
          <w:p w14:paraId="0B6D23A9" w14:textId="77777777" w:rsidR="008355F6" w:rsidRPr="008355F6" w:rsidRDefault="008355F6" w:rsidP="00F2087C">
            <w:pPr>
              <w:spacing w:line="360" w:lineRule="auto"/>
              <w:contextualSpacing/>
              <w:jc w:val="center"/>
              <w:rPr>
                <w:rFonts w:ascii="Arial" w:hAnsi="Arial" w:cs="Times New Roman"/>
                <w:sz w:val="24"/>
              </w:rPr>
            </w:pPr>
            <w:r w:rsidRPr="008355F6">
              <w:rPr>
                <w:rFonts w:ascii="Arial" w:eastAsia="Arial" w:hAnsi="Arial" w:cs="Arial"/>
                <w:sz w:val="18"/>
              </w:rPr>
              <w:t>DEMFCAPR</w:t>
            </w:r>
          </w:p>
        </w:tc>
        <w:tc>
          <w:tcPr>
            <w:tcW w:w="6386" w:type="dxa"/>
            <w:tcBorders>
              <w:top w:val="single" w:sz="4" w:space="0" w:color="000000"/>
              <w:left w:val="single" w:sz="4" w:space="0" w:color="000000"/>
              <w:bottom w:val="single" w:sz="4" w:space="0" w:color="000000"/>
              <w:right w:val="single" w:sz="4" w:space="0" w:color="000000"/>
            </w:tcBorders>
            <w:vAlign w:val="center"/>
          </w:tcPr>
          <w:p w14:paraId="74FDC9DB" w14:textId="77777777" w:rsidR="008355F6" w:rsidRPr="008355F6" w:rsidRDefault="008355F6" w:rsidP="00F2087C">
            <w:pPr>
              <w:spacing w:after="120" w:line="239" w:lineRule="auto"/>
              <w:contextualSpacing/>
              <w:jc w:val="both"/>
              <w:rPr>
                <w:rFonts w:ascii="Arial" w:hAnsi="Arial" w:cs="Times New Roman"/>
                <w:sz w:val="24"/>
              </w:rPr>
            </w:pPr>
            <w:r w:rsidRPr="008355F6">
              <w:rPr>
                <w:rFonts w:ascii="Arial" w:eastAsia="Arial" w:hAnsi="Arial" w:cs="Arial"/>
                <w:sz w:val="18"/>
              </w:rPr>
              <w:t xml:space="preserve">Demonstração dos Fluxos de Caixa, com a indicação dos saldos do exercício anterior (Inciso IV do art. 176 da Lei 6.404/76). </w:t>
            </w:r>
          </w:p>
        </w:tc>
        <w:tc>
          <w:tcPr>
            <w:tcW w:w="1508" w:type="dxa"/>
            <w:tcBorders>
              <w:top w:val="single" w:sz="4" w:space="0" w:color="000000"/>
              <w:left w:val="single" w:sz="4" w:space="0" w:color="000000"/>
              <w:bottom w:val="single" w:sz="4" w:space="0" w:color="000000"/>
              <w:right w:val="single" w:sz="4" w:space="0" w:color="000000"/>
            </w:tcBorders>
            <w:vAlign w:val="center"/>
          </w:tcPr>
          <w:p w14:paraId="4735D0FE" w14:textId="6FB1ABCC" w:rsidR="008355F6" w:rsidRPr="00485E6E" w:rsidRDefault="008355F6" w:rsidP="00485E6E">
            <w:pPr>
              <w:spacing w:line="360" w:lineRule="auto"/>
              <w:ind w:right="102"/>
              <w:contextualSpacing/>
              <w:jc w:val="center"/>
              <w:rPr>
                <w:rFonts w:ascii="Arial" w:hAnsi="Arial" w:cs="Times New Roman"/>
                <w:sz w:val="14"/>
                <w:szCs w:val="14"/>
              </w:rPr>
            </w:pPr>
            <w:r w:rsidRPr="00485E6E">
              <w:rPr>
                <w:rFonts w:ascii="Arial" w:eastAsia="Arial" w:hAnsi="Arial" w:cs="Arial"/>
                <w:sz w:val="14"/>
                <w:szCs w:val="14"/>
              </w:rPr>
              <w:t>PDF</w:t>
            </w:r>
          </w:p>
        </w:tc>
      </w:tr>
      <w:tr w:rsidR="008355F6" w:rsidRPr="008355F6" w14:paraId="72815E41" w14:textId="77777777" w:rsidTr="00F2087C">
        <w:tblPrEx>
          <w:tblCellMar>
            <w:top w:w="39" w:type="dxa"/>
            <w:right w:w="60" w:type="dxa"/>
          </w:tblCellMar>
        </w:tblPrEx>
        <w:trPr>
          <w:cantSplit/>
        </w:trPr>
        <w:tc>
          <w:tcPr>
            <w:tcW w:w="1173" w:type="dxa"/>
            <w:tcBorders>
              <w:top w:val="single" w:sz="4" w:space="0" w:color="000000"/>
              <w:left w:val="single" w:sz="4" w:space="0" w:color="000000"/>
              <w:bottom w:val="single" w:sz="4" w:space="0" w:color="000000"/>
              <w:right w:val="single" w:sz="4" w:space="0" w:color="000000"/>
            </w:tcBorders>
            <w:vAlign w:val="center"/>
          </w:tcPr>
          <w:p w14:paraId="5DFD0923" w14:textId="77777777" w:rsidR="008355F6" w:rsidRPr="008355F6" w:rsidRDefault="008355F6" w:rsidP="00F2087C">
            <w:pPr>
              <w:spacing w:line="360" w:lineRule="auto"/>
              <w:ind w:right="52"/>
              <w:contextualSpacing/>
              <w:jc w:val="center"/>
              <w:rPr>
                <w:rFonts w:ascii="Arial" w:hAnsi="Arial" w:cs="Times New Roman"/>
                <w:sz w:val="24"/>
              </w:rPr>
            </w:pPr>
            <w:r w:rsidRPr="008355F6">
              <w:rPr>
                <w:rFonts w:ascii="Arial" w:eastAsia="Arial" w:hAnsi="Arial" w:cs="Arial"/>
                <w:sz w:val="18"/>
              </w:rPr>
              <w:t xml:space="preserve">NEXDEM </w:t>
            </w:r>
          </w:p>
        </w:tc>
        <w:tc>
          <w:tcPr>
            <w:tcW w:w="6386" w:type="dxa"/>
            <w:tcBorders>
              <w:top w:val="single" w:sz="4" w:space="0" w:color="000000"/>
              <w:left w:val="single" w:sz="4" w:space="0" w:color="000000"/>
              <w:bottom w:val="single" w:sz="4" w:space="0" w:color="000000"/>
              <w:right w:val="single" w:sz="4" w:space="0" w:color="000000"/>
            </w:tcBorders>
            <w:vAlign w:val="center"/>
          </w:tcPr>
          <w:p w14:paraId="4F5479BA" w14:textId="77777777" w:rsidR="008355F6" w:rsidRPr="008355F6" w:rsidRDefault="008355F6" w:rsidP="00F2087C">
            <w:pPr>
              <w:spacing w:line="360" w:lineRule="auto"/>
              <w:contextualSpacing/>
              <w:jc w:val="both"/>
              <w:rPr>
                <w:rFonts w:ascii="Arial" w:hAnsi="Arial" w:cs="Times New Roman"/>
                <w:sz w:val="24"/>
              </w:rPr>
            </w:pPr>
            <w:r w:rsidRPr="008355F6">
              <w:rPr>
                <w:rFonts w:ascii="Arial" w:eastAsia="Arial" w:hAnsi="Arial" w:cs="Arial"/>
                <w:sz w:val="18"/>
              </w:rPr>
              <w:t xml:space="preserve">Notas Explicativas às Demonstrações Financeiras, contendo as informações que couberem à situação da empresa (artigo 176, §§4º e 5º da Lei 6.404/76). </w:t>
            </w:r>
          </w:p>
        </w:tc>
        <w:tc>
          <w:tcPr>
            <w:tcW w:w="1508" w:type="dxa"/>
            <w:tcBorders>
              <w:top w:val="single" w:sz="4" w:space="0" w:color="000000"/>
              <w:left w:val="single" w:sz="4" w:space="0" w:color="000000"/>
              <w:bottom w:val="single" w:sz="4" w:space="0" w:color="000000"/>
              <w:right w:val="single" w:sz="4" w:space="0" w:color="000000"/>
            </w:tcBorders>
            <w:vAlign w:val="center"/>
          </w:tcPr>
          <w:p w14:paraId="76CEB1A1" w14:textId="0E1892E5" w:rsidR="008355F6" w:rsidRPr="00485E6E" w:rsidRDefault="008355F6" w:rsidP="00485E6E">
            <w:pPr>
              <w:spacing w:line="360" w:lineRule="auto"/>
              <w:ind w:right="52"/>
              <w:contextualSpacing/>
              <w:jc w:val="center"/>
              <w:rPr>
                <w:rFonts w:ascii="Arial" w:hAnsi="Arial" w:cs="Times New Roman"/>
                <w:sz w:val="14"/>
                <w:szCs w:val="14"/>
              </w:rPr>
            </w:pPr>
            <w:r w:rsidRPr="00485E6E">
              <w:rPr>
                <w:rFonts w:ascii="Arial" w:eastAsia="Arial" w:hAnsi="Arial" w:cs="Arial"/>
                <w:sz w:val="14"/>
                <w:szCs w:val="14"/>
              </w:rPr>
              <w:t>PDF</w:t>
            </w:r>
          </w:p>
        </w:tc>
      </w:tr>
      <w:tr w:rsidR="008355F6" w:rsidRPr="008355F6" w14:paraId="71E67F48" w14:textId="77777777" w:rsidTr="00F2087C">
        <w:tblPrEx>
          <w:tblCellMar>
            <w:top w:w="39" w:type="dxa"/>
            <w:right w:w="60" w:type="dxa"/>
          </w:tblCellMar>
        </w:tblPrEx>
        <w:trPr>
          <w:cantSplit/>
        </w:trPr>
        <w:tc>
          <w:tcPr>
            <w:tcW w:w="1173" w:type="dxa"/>
            <w:tcBorders>
              <w:top w:val="single" w:sz="4" w:space="0" w:color="000000"/>
              <w:left w:val="single" w:sz="4" w:space="0" w:color="000000"/>
              <w:bottom w:val="single" w:sz="4" w:space="0" w:color="000000"/>
              <w:right w:val="single" w:sz="4" w:space="0" w:color="000000"/>
            </w:tcBorders>
            <w:vAlign w:val="center"/>
          </w:tcPr>
          <w:p w14:paraId="6809CBB0" w14:textId="77777777" w:rsidR="008355F6" w:rsidRPr="008355F6" w:rsidRDefault="008355F6" w:rsidP="00F2087C">
            <w:pPr>
              <w:spacing w:line="360" w:lineRule="auto"/>
              <w:contextualSpacing/>
              <w:jc w:val="center"/>
              <w:rPr>
                <w:rFonts w:ascii="Arial" w:hAnsi="Arial" w:cs="Times New Roman"/>
                <w:sz w:val="24"/>
              </w:rPr>
            </w:pPr>
            <w:r w:rsidRPr="008355F6">
              <w:rPr>
                <w:rFonts w:ascii="Arial" w:eastAsia="Arial" w:hAnsi="Arial" w:cs="Arial"/>
                <w:sz w:val="18"/>
              </w:rPr>
              <w:t>AGOCON</w:t>
            </w:r>
          </w:p>
        </w:tc>
        <w:tc>
          <w:tcPr>
            <w:tcW w:w="6386" w:type="dxa"/>
            <w:tcBorders>
              <w:top w:val="single" w:sz="4" w:space="0" w:color="000000"/>
              <w:left w:val="single" w:sz="4" w:space="0" w:color="000000"/>
              <w:bottom w:val="single" w:sz="4" w:space="0" w:color="000000"/>
              <w:right w:val="single" w:sz="4" w:space="0" w:color="000000"/>
            </w:tcBorders>
            <w:vAlign w:val="center"/>
          </w:tcPr>
          <w:p w14:paraId="5AD80450" w14:textId="77777777" w:rsidR="008355F6" w:rsidRPr="008355F6" w:rsidRDefault="008355F6" w:rsidP="00F2087C">
            <w:pPr>
              <w:spacing w:after="122" w:line="239" w:lineRule="auto"/>
              <w:ind w:right="55"/>
              <w:contextualSpacing/>
              <w:jc w:val="both"/>
              <w:rPr>
                <w:rFonts w:ascii="Arial" w:hAnsi="Arial" w:cs="Times New Roman"/>
                <w:sz w:val="24"/>
              </w:rPr>
            </w:pPr>
            <w:r w:rsidRPr="008355F6">
              <w:rPr>
                <w:rFonts w:ascii="Arial" w:eastAsia="Arial" w:hAnsi="Arial" w:cs="Arial"/>
                <w:sz w:val="18"/>
              </w:rPr>
              <w:t>Ata da Assembleia Geral Ordinária (AGO) ou Ata de reunião do órgão equivalente do FUNDO que deliberou sobre as contas dos administradores e votou as demonstrações financeiras do exercício (§5º do art. 134 da Lei 6404/76).</w:t>
            </w:r>
          </w:p>
        </w:tc>
        <w:tc>
          <w:tcPr>
            <w:tcW w:w="1508" w:type="dxa"/>
            <w:tcBorders>
              <w:top w:val="single" w:sz="4" w:space="0" w:color="000000"/>
              <w:left w:val="single" w:sz="4" w:space="0" w:color="000000"/>
              <w:bottom w:val="single" w:sz="4" w:space="0" w:color="000000"/>
              <w:right w:val="single" w:sz="4" w:space="0" w:color="000000"/>
            </w:tcBorders>
            <w:vAlign w:val="center"/>
          </w:tcPr>
          <w:p w14:paraId="2C2A680D" w14:textId="5FC81050" w:rsidR="008355F6" w:rsidRPr="00485E6E" w:rsidRDefault="008355F6" w:rsidP="00485E6E">
            <w:pPr>
              <w:spacing w:line="360" w:lineRule="auto"/>
              <w:ind w:right="52"/>
              <w:contextualSpacing/>
              <w:jc w:val="center"/>
              <w:rPr>
                <w:rFonts w:ascii="Arial" w:hAnsi="Arial" w:cs="Times New Roman"/>
                <w:sz w:val="14"/>
                <w:szCs w:val="14"/>
              </w:rPr>
            </w:pPr>
            <w:r w:rsidRPr="00485E6E">
              <w:rPr>
                <w:rFonts w:ascii="Arial" w:eastAsia="Arial" w:hAnsi="Arial" w:cs="Arial"/>
                <w:sz w:val="14"/>
                <w:szCs w:val="14"/>
              </w:rPr>
              <w:t>PDF</w:t>
            </w:r>
          </w:p>
        </w:tc>
      </w:tr>
      <w:tr w:rsidR="008355F6" w:rsidRPr="008355F6" w14:paraId="3F776F3F" w14:textId="77777777" w:rsidTr="00F2087C">
        <w:tblPrEx>
          <w:tblCellMar>
            <w:top w:w="39" w:type="dxa"/>
            <w:right w:w="60" w:type="dxa"/>
          </w:tblCellMar>
        </w:tblPrEx>
        <w:trPr>
          <w:cantSplit/>
        </w:trPr>
        <w:tc>
          <w:tcPr>
            <w:tcW w:w="1173" w:type="dxa"/>
            <w:tcBorders>
              <w:top w:val="single" w:sz="4" w:space="0" w:color="000000"/>
              <w:left w:val="single" w:sz="4" w:space="0" w:color="000000"/>
              <w:bottom w:val="single" w:sz="4" w:space="0" w:color="000000"/>
              <w:right w:val="single" w:sz="4" w:space="0" w:color="000000"/>
            </w:tcBorders>
            <w:vAlign w:val="center"/>
          </w:tcPr>
          <w:p w14:paraId="32ADCEB7" w14:textId="77777777" w:rsidR="008355F6" w:rsidRPr="008355F6" w:rsidRDefault="008355F6" w:rsidP="00F2087C">
            <w:pPr>
              <w:spacing w:line="360" w:lineRule="auto"/>
              <w:ind w:right="52"/>
              <w:contextualSpacing/>
              <w:jc w:val="center"/>
              <w:rPr>
                <w:rFonts w:ascii="Arial" w:hAnsi="Arial" w:cs="Times New Roman"/>
                <w:sz w:val="24"/>
              </w:rPr>
            </w:pPr>
            <w:r w:rsidRPr="008355F6">
              <w:rPr>
                <w:rFonts w:ascii="Arial" w:eastAsia="Arial" w:hAnsi="Arial" w:cs="Arial"/>
                <w:sz w:val="18"/>
              </w:rPr>
              <w:t xml:space="preserve">PARAUD </w:t>
            </w:r>
          </w:p>
        </w:tc>
        <w:tc>
          <w:tcPr>
            <w:tcW w:w="6386" w:type="dxa"/>
            <w:tcBorders>
              <w:top w:val="single" w:sz="4" w:space="0" w:color="000000"/>
              <w:left w:val="single" w:sz="4" w:space="0" w:color="000000"/>
              <w:bottom w:val="single" w:sz="4" w:space="0" w:color="000000"/>
              <w:right w:val="single" w:sz="4" w:space="0" w:color="000000"/>
            </w:tcBorders>
            <w:vAlign w:val="center"/>
          </w:tcPr>
          <w:p w14:paraId="50E00923" w14:textId="77777777" w:rsidR="008355F6" w:rsidRPr="008355F6" w:rsidRDefault="008355F6" w:rsidP="00F2087C">
            <w:pPr>
              <w:spacing w:line="360" w:lineRule="auto"/>
              <w:ind w:right="53"/>
              <w:contextualSpacing/>
              <w:jc w:val="both"/>
              <w:rPr>
                <w:rFonts w:ascii="Arial" w:hAnsi="Arial" w:cs="Times New Roman"/>
                <w:sz w:val="24"/>
              </w:rPr>
            </w:pPr>
            <w:r w:rsidRPr="008355F6">
              <w:rPr>
                <w:rFonts w:ascii="Arial" w:eastAsia="Arial" w:hAnsi="Arial" w:cs="Arial"/>
                <w:sz w:val="18"/>
              </w:rPr>
              <w:t xml:space="preserve">Parecer dos Auditores Independentes, se houver, sobre o relatório anual da Administração e o exame das demonstrações financeiras do exercício social (Inciso III do art. 133 da Lei 6.404/76).  </w:t>
            </w:r>
          </w:p>
        </w:tc>
        <w:tc>
          <w:tcPr>
            <w:tcW w:w="1508" w:type="dxa"/>
            <w:tcBorders>
              <w:top w:val="single" w:sz="4" w:space="0" w:color="000000"/>
              <w:left w:val="single" w:sz="4" w:space="0" w:color="000000"/>
              <w:bottom w:val="single" w:sz="4" w:space="0" w:color="000000"/>
              <w:right w:val="single" w:sz="4" w:space="0" w:color="000000"/>
            </w:tcBorders>
            <w:vAlign w:val="center"/>
          </w:tcPr>
          <w:p w14:paraId="3DCB6892" w14:textId="1926C4F3" w:rsidR="008355F6" w:rsidRPr="00485E6E" w:rsidRDefault="008355F6" w:rsidP="00485E6E">
            <w:pPr>
              <w:spacing w:line="360" w:lineRule="auto"/>
              <w:ind w:right="52"/>
              <w:contextualSpacing/>
              <w:jc w:val="center"/>
              <w:rPr>
                <w:rFonts w:ascii="Arial" w:hAnsi="Arial" w:cs="Times New Roman"/>
                <w:sz w:val="14"/>
                <w:szCs w:val="14"/>
              </w:rPr>
            </w:pPr>
            <w:r w:rsidRPr="00485E6E">
              <w:rPr>
                <w:rFonts w:ascii="Arial" w:eastAsia="Arial" w:hAnsi="Arial" w:cs="Arial"/>
                <w:sz w:val="14"/>
                <w:szCs w:val="14"/>
              </w:rPr>
              <w:t>PDF</w:t>
            </w:r>
          </w:p>
        </w:tc>
      </w:tr>
      <w:tr w:rsidR="008355F6" w:rsidRPr="008355F6" w14:paraId="229244B7" w14:textId="77777777" w:rsidTr="00F2087C">
        <w:tblPrEx>
          <w:tblCellMar>
            <w:top w:w="39" w:type="dxa"/>
            <w:right w:w="60" w:type="dxa"/>
          </w:tblCellMar>
        </w:tblPrEx>
        <w:trPr>
          <w:cantSplit/>
        </w:trPr>
        <w:tc>
          <w:tcPr>
            <w:tcW w:w="1173" w:type="dxa"/>
            <w:tcBorders>
              <w:top w:val="single" w:sz="4" w:space="0" w:color="000000"/>
              <w:left w:val="single" w:sz="4" w:space="0" w:color="000000"/>
              <w:bottom w:val="single" w:sz="4" w:space="0" w:color="000000"/>
              <w:right w:val="single" w:sz="4" w:space="0" w:color="000000"/>
            </w:tcBorders>
            <w:vAlign w:val="center"/>
          </w:tcPr>
          <w:p w14:paraId="63F3A54B" w14:textId="77777777" w:rsidR="008355F6" w:rsidRPr="008355F6" w:rsidRDefault="008355F6" w:rsidP="00F2087C">
            <w:pPr>
              <w:spacing w:line="360" w:lineRule="auto"/>
              <w:ind w:right="50"/>
              <w:contextualSpacing/>
              <w:jc w:val="center"/>
              <w:rPr>
                <w:rFonts w:ascii="Arial" w:hAnsi="Arial" w:cs="Times New Roman"/>
                <w:sz w:val="24"/>
              </w:rPr>
            </w:pPr>
            <w:r w:rsidRPr="008355F6">
              <w:rPr>
                <w:rFonts w:ascii="Arial" w:eastAsia="Arial" w:hAnsi="Arial" w:cs="Arial"/>
                <w:sz w:val="18"/>
              </w:rPr>
              <w:t xml:space="preserve">RELIND </w:t>
            </w:r>
          </w:p>
        </w:tc>
        <w:tc>
          <w:tcPr>
            <w:tcW w:w="6386" w:type="dxa"/>
            <w:tcBorders>
              <w:top w:val="single" w:sz="4" w:space="0" w:color="000000"/>
              <w:left w:val="single" w:sz="4" w:space="0" w:color="000000"/>
              <w:bottom w:val="single" w:sz="4" w:space="0" w:color="000000"/>
              <w:right w:val="single" w:sz="4" w:space="0" w:color="000000"/>
            </w:tcBorders>
            <w:vAlign w:val="center"/>
          </w:tcPr>
          <w:p w14:paraId="15190D2F" w14:textId="77777777" w:rsidR="008355F6" w:rsidRPr="008355F6" w:rsidRDefault="008355F6" w:rsidP="00F2087C">
            <w:pPr>
              <w:spacing w:line="360" w:lineRule="auto"/>
              <w:contextualSpacing/>
              <w:jc w:val="both"/>
              <w:rPr>
                <w:rFonts w:ascii="Arial" w:hAnsi="Arial" w:cs="Times New Roman"/>
                <w:sz w:val="24"/>
              </w:rPr>
            </w:pPr>
            <w:r w:rsidRPr="008355F6">
              <w:rPr>
                <w:rFonts w:ascii="Arial" w:eastAsia="Arial" w:hAnsi="Arial" w:cs="Arial"/>
                <w:sz w:val="18"/>
              </w:rPr>
              <w:t xml:space="preserve">Relatório Circunstanciado da Auditoria Independente, se houver contrato para este serviço no exercício.  </w:t>
            </w:r>
          </w:p>
        </w:tc>
        <w:tc>
          <w:tcPr>
            <w:tcW w:w="1508" w:type="dxa"/>
            <w:tcBorders>
              <w:top w:val="single" w:sz="4" w:space="0" w:color="000000"/>
              <w:left w:val="single" w:sz="4" w:space="0" w:color="000000"/>
              <w:bottom w:val="single" w:sz="4" w:space="0" w:color="000000"/>
              <w:right w:val="single" w:sz="4" w:space="0" w:color="000000"/>
            </w:tcBorders>
            <w:vAlign w:val="center"/>
          </w:tcPr>
          <w:p w14:paraId="7D1B7CDE" w14:textId="7F5E69BA" w:rsidR="008355F6" w:rsidRPr="00485E6E" w:rsidRDefault="008355F6" w:rsidP="00485E6E">
            <w:pPr>
              <w:spacing w:line="360" w:lineRule="auto"/>
              <w:ind w:right="52"/>
              <w:contextualSpacing/>
              <w:jc w:val="center"/>
              <w:rPr>
                <w:rFonts w:ascii="Arial" w:hAnsi="Arial" w:cs="Times New Roman"/>
                <w:sz w:val="14"/>
                <w:szCs w:val="14"/>
              </w:rPr>
            </w:pPr>
            <w:r w:rsidRPr="00485E6E">
              <w:rPr>
                <w:rFonts w:ascii="Arial" w:eastAsia="Arial" w:hAnsi="Arial" w:cs="Arial"/>
                <w:sz w:val="14"/>
                <w:szCs w:val="14"/>
              </w:rPr>
              <w:t>PDF</w:t>
            </w:r>
          </w:p>
        </w:tc>
      </w:tr>
      <w:tr w:rsidR="008355F6" w:rsidRPr="008355F6" w14:paraId="02140D1B" w14:textId="77777777" w:rsidTr="00F2087C">
        <w:tblPrEx>
          <w:tblCellMar>
            <w:top w:w="39" w:type="dxa"/>
            <w:right w:w="60" w:type="dxa"/>
          </w:tblCellMar>
        </w:tblPrEx>
        <w:trPr>
          <w:cantSplit/>
        </w:trPr>
        <w:tc>
          <w:tcPr>
            <w:tcW w:w="1173" w:type="dxa"/>
            <w:tcBorders>
              <w:top w:val="single" w:sz="4" w:space="0" w:color="000000"/>
              <w:left w:val="single" w:sz="4" w:space="0" w:color="000000"/>
              <w:bottom w:val="single" w:sz="4" w:space="0" w:color="000000"/>
              <w:right w:val="single" w:sz="4" w:space="0" w:color="000000"/>
            </w:tcBorders>
            <w:vAlign w:val="center"/>
          </w:tcPr>
          <w:p w14:paraId="6062E1E4" w14:textId="77777777" w:rsidR="008355F6" w:rsidRPr="008355F6" w:rsidRDefault="008355F6" w:rsidP="00F2087C">
            <w:pPr>
              <w:spacing w:line="360" w:lineRule="auto"/>
              <w:ind w:right="52"/>
              <w:contextualSpacing/>
              <w:jc w:val="center"/>
              <w:rPr>
                <w:rFonts w:ascii="Arial" w:eastAsia="Arial" w:hAnsi="Arial" w:cs="Arial"/>
                <w:sz w:val="18"/>
              </w:rPr>
            </w:pPr>
            <w:r w:rsidRPr="008355F6">
              <w:rPr>
                <w:rFonts w:ascii="Arial" w:eastAsia="Arial" w:hAnsi="Arial" w:cs="Arial"/>
                <w:sz w:val="18"/>
              </w:rPr>
              <w:t xml:space="preserve">PARCOF </w:t>
            </w:r>
          </w:p>
        </w:tc>
        <w:tc>
          <w:tcPr>
            <w:tcW w:w="6386" w:type="dxa"/>
            <w:tcBorders>
              <w:top w:val="single" w:sz="4" w:space="0" w:color="000000"/>
              <w:left w:val="single" w:sz="4" w:space="0" w:color="000000"/>
              <w:bottom w:val="single" w:sz="4" w:space="0" w:color="000000"/>
              <w:right w:val="single" w:sz="4" w:space="0" w:color="000000"/>
            </w:tcBorders>
            <w:vAlign w:val="center"/>
          </w:tcPr>
          <w:p w14:paraId="4C80D79F" w14:textId="77777777" w:rsidR="008355F6" w:rsidRPr="008355F6" w:rsidRDefault="008355F6" w:rsidP="00F2087C">
            <w:pPr>
              <w:spacing w:line="360" w:lineRule="auto"/>
              <w:ind w:right="52"/>
              <w:contextualSpacing/>
              <w:jc w:val="both"/>
              <w:rPr>
                <w:rFonts w:ascii="Arial" w:eastAsia="Arial" w:hAnsi="Arial" w:cs="Arial"/>
                <w:sz w:val="18"/>
              </w:rPr>
            </w:pPr>
            <w:r w:rsidRPr="008355F6">
              <w:rPr>
                <w:rFonts w:ascii="Arial" w:eastAsia="Arial" w:hAnsi="Arial" w:cs="Arial"/>
                <w:sz w:val="18"/>
              </w:rPr>
              <w:t xml:space="preserve">Parecer do Conselho Fiscal ou órgão equivalente, caso esteja constituído, sobre o Relatório Anual da Administração e o exame das Demonstrações Financeiras do FUNDO relativas ao exercício social (Inciso IV do artigo 133 e art. 240 da Lei 6.404/76 ou legislação específica do FUNDO).  </w:t>
            </w:r>
          </w:p>
        </w:tc>
        <w:tc>
          <w:tcPr>
            <w:tcW w:w="1508" w:type="dxa"/>
            <w:tcBorders>
              <w:top w:val="single" w:sz="4" w:space="0" w:color="000000"/>
              <w:left w:val="single" w:sz="4" w:space="0" w:color="000000"/>
              <w:bottom w:val="single" w:sz="4" w:space="0" w:color="000000"/>
              <w:right w:val="single" w:sz="4" w:space="0" w:color="000000"/>
            </w:tcBorders>
            <w:vAlign w:val="center"/>
          </w:tcPr>
          <w:p w14:paraId="05DCC8E8" w14:textId="640B0166" w:rsidR="008355F6" w:rsidRPr="00485E6E" w:rsidRDefault="008355F6" w:rsidP="00485E6E">
            <w:pPr>
              <w:spacing w:line="360" w:lineRule="auto"/>
              <w:ind w:right="52"/>
              <w:contextualSpacing/>
              <w:jc w:val="center"/>
              <w:rPr>
                <w:rFonts w:ascii="Arial" w:eastAsia="Arial" w:hAnsi="Arial" w:cs="Arial"/>
                <w:sz w:val="14"/>
                <w:szCs w:val="14"/>
              </w:rPr>
            </w:pPr>
            <w:r w:rsidRPr="00485E6E">
              <w:rPr>
                <w:rFonts w:ascii="Arial" w:eastAsia="Arial" w:hAnsi="Arial" w:cs="Arial"/>
                <w:sz w:val="14"/>
                <w:szCs w:val="14"/>
              </w:rPr>
              <w:t>PDF</w:t>
            </w:r>
          </w:p>
        </w:tc>
      </w:tr>
      <w:tr w:rsidR="008355F6" w:rsidRPr="008355F6" w14:paraId="05CA4780" w14:textId="77777777" w:rsidTr="00F2087C">
        <w:tblPrEx>
          <w:tblCellMar>
            <w:top w:w="39" w:type="dxa"/>
            <w:right w:w="60" w:type="dxa"/>
          </w:tblCellMar>
        </w:tblPrEx>
        <w:trPr>
          <w:cantSplit/>
        </w:trPr>
        <w:tc>
          <w:tcPr>
            <w:tcW w:w="1173" w:type="dxa"/>
            <w:tcBorders>
              <w:top w:val="single" w:sz="4" w:space="0" w:color="000000"/>
              <w:left w:val="single" w:sz="4" w:space="0" w:color="000000"/>
              <w:bottom w:val="single" w:sz="4" w:space="0" w:color="000000"/>
              <w:right w:val="single" w:sz="4" w:space="0" w:color="000000"/>
            </w:tcBorders>
            <w:vAlign w:val="center"/>
          </w:tcPr>
          <w:p w14:paraId="56476759" w14:textId="77777777" w:rsidR="008355F6" w:rsidRPr="008355F6" w:rsidRDefault="008355F6" w:rsidP="00F2087C">
            <w:pPr>
              <w:spacing w:line="360" w:lineRule="auto"/>
              <w:ind w:right="52"/>
              <w:contextualSpacing/>
              <w:jc w:val="center"/>
              <w:rPr>
                <w:rFonts w:ascii="Arial" w:eastAsia="Arial" w:hAnsi="Arial" w:cs="Arial"/>
                <w:sz w:val="18"/>
              </w:rPr>
            </w:pPr>
            <w:r w:rsidRPr="008355F6">
              <w:rPr>
                <w:rFonts w:ascii="Arial" w:eastAsia="Arial" w:hAnsi="Arial" w:cs="Arial"/>
                <w:sz w:val="18"/>
              </w:rPr>
              <w:lastRenderedPageBreak/>
              <w:t xml:space="preserve">PARCAD </w:t>
            </w:r>
          </w:p>
        </w:tc>
        <w:tc>
          <w:tcPr>
            <w:tcW w:w="6386" w:type="dxa"/>
            <w:tcBorders>
              <w:top w:val="single" w:sz="4" w:space="0" w:color="000000"/>
              <w:left w:val="single" w:sz="4" w:space="0" w:color="000000"/>
              <w:bottom w:val="single" w:sz="4" w:space="0" w:color="000000"/>
              <w:right w:val="single" w:sz="4" w:space="0" w:color="000000"/>
            </w:tcBorders>
            <w:vAlign w:val="center"/>
          </w:tcPr>
          <w:p w14:paraId="0C54B76D" w14:textId="77777777" w:rsidR="008355F6" w:rsidRPr="008355F6" w:rsidRDefault="008355F6" w:rsidP="00F2087C">
            <w:pPr>
              <w:spacing w:line="360" w:lineRule="auto"/>
              <w:ind w:right="52"/>
              <w:contextualSpacing/>
              <w:jc w:val="both"/>
              <w:rPr>
                <w:rFonts w:ascii="Arial" w:eastAsia="Arial" w:hAnsi="Arial" w:cs="Arial"/>
                <w:sz w:val="18"/>
              </w:rPr>
            </w:pPr>
            <w:r w:rsidRPr="008355F6">
              <w:rPr>
                <w:rFonts w:ascii="Arial" w:eastAsia="Arial" w:hAnsi="Arial" w:cs="Arial"/>
                <w:sz w:val="18"/>
              </w:rPr>
              <w:t xml:space="preserve">Parecer do Conselho de Administração ou “Órgão Deliberativo” equivalente, se houver, sobre o Relatório Anual da Administração e o exame das Demonstrações Financeiras do FUNDO relativas ao exercício (§2º do artigo 138 e art. 239 da Lei 6.404/76 ou legislação específica do FUNDO).  </w:t>
            </w:r>
          </w:p>
        </w:tc>
        <w:tc>
          <w:tcPr>
            <w:tcW w:w="1508" w:type="dxa"/>
            <w:tcBorders>
              <w:top w:val="single" w:sz="4" w:space="0" w:color="000000"/>
              <w:left w:val="single" w:sz="4" w:space="0" w:color="000000"/>
              <w:bottom w:val="single" w:sz="4" w:space="0" w:color="000000"/>
              <w:right w:val="single" w:sz="4" w:space="0" w:color="000000"/>
            </w:tcBorders>
            <w:vAlign w:val="center"/>
          </w:tcPr>
          <w:p w14:paraId="290D7EE8" w14:textId="15419793" w:rsidR="008355F6" w:rsidRPr="00485E6E" w:rsidRDefault="008355F6" w:rsidP="00485E6E">
            <w:pPr>
              <w:spacing w:line="360" w:lineRule="auto"/>
              <w:ind w:right="52"/>
              <w:contextualSpacing/>
              <w:jc w:val="center"/>
              <w:rPr>
                <w:rFonts w:ascii="Arial" w:eastAsia="Arial" w:hAnsi="Arial" w:cs="Arial"/>
                <w:sz w:val="14"/>
                <w:szCs w:val="14"/>
              </w:rPr>
            </w:pPr>
            <w:r w:rsidRPr="00485E6E">
              <w:rPr>
                <w:rFonts w:ascii="Arial" w:eastAsia="Arial" w:hAnsi="Arial" w:cs="Arial"/>
                <w:sz w:val="14"/>
                <w:szCs w:val="14"/>
              </w:rPr>
              <w:t>PDF</w:t>
            </w:r>
          </w:p>
        </w:tc>
      </w:tr>
      <w:tr w:rsidR="008355F6" w:rsidRPr="008355F6" w14:paraId="6037260C" w14:textId="77777777" w:rsidTr="00F2087C">
        <w:tblPrEx>
          <w:tblCellMar>
            <w:top w:w="0" w:type="dxa"/>
            <w:bottom w:w="5" w:type="dxa"/>
            <w:right w:w="10" w:type="dxa"/>
          </w:tblCellMar>
        </w:tblPrEx>
        <w:trPr>
          <w:cantSplit/>
        </w:trPr>
        <w:tc>
          <w:tcPr>
            <w:tcW w:w="1173" w:type="dxa"/>
            <w:tcBorders>
              <w:top w:val="single" w:sz="4" w:space="0" w:color="000000"/>
              <w:left w:val="single" w:sz="4" w:space="0" w:color="000000"/>
              <w:bottom w:val="single" w:sz="4" w:space="0" w:color="000000"/>
              <w:right w:val="single" w:sz="4" w:space="0" w:color="000000"/>
            </w:tcBorders>
            <w:vAlign w:val="center"/>
          </w:tcPr>
          <w:p w14:paraId="3C25BC56" w14:textId="77777777" w:rsidR="008355F6" w:rsidRPr="008355F6" w:rsidRDefault="008355F6" w:rsidP="00F2087C">
            <w:pPr>
              <w:spacing w:line="360" w:lineRule="auto"/>
              <w:ind w:right="98"/>
              <w:contextualSpacing/>
              <w:jc w:val="center"/>
              <w:rPr>
                <w:rFonts w:ascii="Arial" w:hAnsi="Arial" w:cs="Times New Roman"/>
                <w:sz w:val="24"/>
              </w:rPr>
            </w:pPr>
            <w:r w:rsidRPr="008355F6">
              <w:rPr>
                <w:rFonts w:ascii="Arial" w:eastAsia="Arial" w:hAnsi="Arial" w:cs="Arial"/>
                <w:sz w:val="18"/>
              </w:rPr>
              <w:t xml:space="preserve">PUBLRA </w:t>
            </w:r>
          </w:p>
        </w:tc>
        <w:tc>
          <w:tcPr>
            <w:tcW w:w="6386" w:type="dxa"/>
            <w:tcBorders>
              <w:top w:val="single" w:sz="4" w:space="0" w:color="000000"/>
              <w:left w:val="single" w:sz="4" w:space="0" w:color="000000"/>
              <w:bottom w:val="single" w:sz="4" w:space="0" w:color="000000"/>
              <w:right w:val="single" w:sz="4" w:space="0" w:color="000000"/>
            </w:tcBorders>
            <w:vAlign w:val="center"/>
          </w:tcPr>
          <w:p w14:paraId="0EB709FC" w14:textId="77777777" w:rsidR="008355F6" w:rsidRPr="008355F6" w:rsidRDefault="008355F6" w:rsidP="00F2087C">
            <w:pPr>
              <w:spacing w:after="103" w:line="360" w:lineRule="auto"/>
              <w:contextualSpacing/>
              <w:jc w:val="both"/>
              <w:rPr>
                <w:rFonts w:ascii="Arial" w:hAnsi="Arial" w:cs="Times New Roman"/>
                <w:sz w:val="24"/>
              </w:rPr>
            </w:pPr>
            <w:r w:rsidRPr="008355F6">
              <w:rPr>
                <w:rFonts w:ascii="Arial" w:eastAsia="Arial" w:hAnsi="Arial" w:cs="Arial"/>
                <w:sz w:val="18"/>
              </w:rPr>
              <w:t xml:space="preserve">Cópia da publicação do Relatório da Administração, das Demonstrações Financeiras, Ata ou deliberação do órgão responsável pela aprovação das contas do FUNDO (Inciso I e II do art. 133 da Lei 6.404/76 c/c § 5º do art. 134 da lei 6.404/76 ou por exigência da legislação específica do FUNDO).  </w:t>
            </w:r>
          </w:p>
        </w:tc>
        <w:tc>
          <w:tcPr>
            <w:tcW w:w="1508" w:type="dxa"/>
            <w:tcBorders>
              <w:top w:val="single" w:sz="4" w:space="0" w:color="000000"/>
              <w:left w:val="single" w:sz="4" w:space="0" w:color="000000"/>
              <w:bottom w:val="single" w:sz="4" w:space="0" w:color="000000"/>
              <w:right w:val="single" w:sz="4" w:space="0" w:color="000000"/>
            </w:tcBorders>
            <w:vAlign w:val="center"/>
          </w:tcPr>
          <w:p w14:paraId="1F06BAC0" w14:textId="10609D00" w:rsidR="008355F6" w:rsidRPr="00485E6E" w:rsidRDefault="008355F6" w:rsidP="00485E6E">
            <w:pPr>
              <w:spacing w:line="360" w:lineRule="auto"/>
              <w:ind w:right="102"/>
              <w:contextualSpacing/>
              <w:jc w:val="center"/>
              <w:rPr>
                <w:rFonts w:ascii="Arial" w:hAnsi="Arial" w:cs="Times New Roman"/>
                <w:sz w:val="14"/>
                <w:szCs w:val="14"/>
              </w:rPr>
            </w:pPr>
            <w:r w:rsidRPr="00485E6E">
              <w:rPr>
                <w:rFonts w:ascii="Arial" w:eastAsia="Arial" w:hAnsi="Arial" w:cs="Arial"/>
                <w:sz w:val="14"/>
                <w:szCs w:val="14"/>
              </w:rPr>
              <w:t>PDF</w:t>
            </w:r>
          </w:p>
        </w:tc>
      </w:tr>
      <w:tr w:rsidR="008355F6" w:rsidRPr="008355F6" w14:paraId="2362D4AA" w14:textId="77777777" w:rsidTr="00F2087C">
        <w:tblPrEx>
          <w:tblCellMar>
            <w:top w:w="0" w:type="dxa"/>
            <w:bottom w:w="5" w:type="dxa"/>
            <w:right w:w="10" w:type="dxa"/>
          </w:tblCellMar>
        </w:tblPrEx>
        <w:trPr>
          <w:cantSplit/>
        </w:trPr>
        <w:tc>
          <w:tcPr>
            <w:tcW w:w="1173" w:type="dxa"/>
            <w:tcBorders>
              <w:top w:val="single" w:sz="4" w:space="0" w:color="000000"/>
              <w:left w:val="single" w:sz="4" w:space="0" w:color="000000"/>
              <w:bottom w:val="single" w:sz="4" w:space="0" w:color="000000"/>
              <w:right w:val="single" w:sz="4" w:space="0" w:color="000000"/>
            </w:tcBorders>
            <w:vAlign w:val="center"/>
          </w:tcPr>
          <w:p w14:paraId="3EBB9372" w14:textId="77777777" w:rsidR="008355F6" w:rsidRPr="008355F6" w:rsidRDefault="008355F6" w:rsidP="00F2087C">
            <w:pPr>
              <w:spacing w:line="360" w:lineRule="auto"/>
              <w:ind w:right="98"/>
              <w:contextualSpacing/>
              <w:jc w:val="center"/>
              <w:rPr>
                <w:rFonts w:ascii="Arial" w:eastAsia="Arial" w:hAnsi="Arial" w:cs="Arial"/>
                <w:sz w:val="18"/>
              </w:rPr>
            </w:pPr>
            <w:r w:rsidRPr="008355F6">
              <w:rPr>
                <w:rFonts w:ascii="Arial" w:eastAsia="Arial" w:hAnsi="Arial" w:cs="Arial"/>
                <w:sz w:val="18"/>
              </w:rPr>
              <w:t>INVMOVS</w:t>
            </w:r>
          </w:p>
        </w:tc>
        <w:tc>
          <w:tcPr>
            <w:tcW w:w="6386" w:type="dxa"/>
            <w:tcBorders>
              <w:top w:val="single" w:sz="4" w:space="0" w:color="000000"/>
              <w:left w:val="single" w:sz="4" w:space="0" w:color="000000"/>
              <w:bottom w:val="single" w:sz="4" w:space="0" w:color="000000"/>
              <w:right w:val="single" w:sz="4" w:space="0" w:color="000000"/>
            </w:tcBorders>
            <w:vAlign w:val="bottom"/>
          </w:tcPr>
          <w:p w14:paraId="3D144445" w14:textId="77777777" w:rsidR="008355F6" w:rsidRPr="008355F6" w:rsidRDefault="008355F6" w:rsidP="00F2087C">
            <w:pPr>
              <w:spacing w:line="360" w:lineRule="auto"/>
              <w:contextualSpacing/>
              <w:jc w:val="both"/>
              <w:rPr>
                <w:rFonts w:ascii="Arial" w:hAnsi="Arial" w:cs="Times New Roman"/>
                <w:sz w:val="24"/>
              </w:rPr>
            </w:pPr>
            <w:r w:rsidRPr="008355F6">
              <w:rPr>
                <w:rFonts w:ascii="Arial" w:eastAsia="Arial" w:hAnsi="Arial" w:cs="Arial"/>
                <w:sz w:val="18"/>
              </w:rPr>
              <w:t xml:space="preserve">Inventário anual dos bens móveis, caso o fundo mantenha bens móveis contabilizados, contendo no mínimo as seguintes informações:  </w:t>
            </w:r>
          </w:p>
          <w:p w14:paraId="4D8BEC53" w14:textId="77777777" w:rsidR="008355F6" w:rsidRPr="008355F6" w:rsidRDefault="008355F6" w:rsidP="006F0FB6">
            <w:pPr>
              <w:numPr>
                <w:ilvl w:val="0"/>
                <w:numId w:val="46"/>
              </w:numPr>
              <w:contextualSpacing/>
              <w:jc w:val="both"/>
              <w:rPr>
                <w:rFonts w:ascii="Arial" w:hAnsi="Arial" w:cs="Times New Roman"/>
                <w:sz w:val="24"/>
              </w:rPr>
            </w:pPr>
            <w:r w:rsidRPr="008355F6">
              <w:rPr>
                <w:rFonts w:ascii="Arial" w:eastAsia="Arial" w:hAnsi="Arial" w:cs="Arial"/>
                <w:sz w:val="18"/>
              </w:rPr>
              <w:t xml:space="preserve">Número de patrimônio  </w:t>
            </w:r>
          </w:p>
          <w:p w14:paraId="0BF5FD27" w14:textId="77777777" w:rsidR="008355F6" w:rsidRPr="008355F6" w:rsidRDefault="008355F6" w:rsidP="006F0FB6">
            <w:pPr>
              <w:numPr>
                <w:ilvl w:val="0"/>
                <w:numId w:val="46"/>
              </w:numPr>
              <w:contextualSpacing/>
              <w:jc w:val="both"/>
              <w:rPr>
                <w:rFonts w:ascii="Arial" w:hAnsi="Arial" w:cs="Times New Roman"/>
                <w:sz w:val="24"/>
              </w:rPr>
            </w:pPr>
            <w:r w:rsidRPr="008355F6">
              <w:rPr>
                <w:rFonts w:ascii="Arial" w:eastAsia="Arial" w:hAnsi="Arial" w:cs="Arial"/>
                <w:sz w:val="18"/>
              </w:rPr>
              <w:t xml:space="preserve">Descrição do bem  </w:t>
            </w:r>
          </w:p>
          <w:p w14:paraId="76FD8234" w14:textId="77777777" w:rsidR="008355F6" w:rsidRPr="008355F6" w:rsidRDefault="008355F6" w:rsidP="006F0FB6">
            <w:pPr>
              <w:numPr>
                <w:ilvl w:val="0"/>
                <w:numId w:val="46"/>
              </w:numPr>
              <w:contextualSpacing/>
              <w:jc w:val="both"/>
              <w:rPr>
                <w:rFonts w:ascii="Arial" w:hAnsi="Arial" w:cs="Times New Roman"/>
                <w:sz w:val="24"/>
              </w:rPr>
            </w:pPr>
            <w:r w:rsidRPr="008355F6">
              <w:rPr>
                <w:rFonts w:ascii="Arial" w:eastAsia="Arial" w:hAnsi="Arial" w:cs="Arial"/>
                <w:sz w:val="18"/>
              </w:rPr>
              <w:t xml:space="preserve">Data de aquisição/incorporação  </w:t>
            </w:r>
          </w:p>
          <w:p w14:paraId="7678F834" w14:textId="77777777" w:rsidR="008355F6" w:rsidRPr="008355F6" w:rsidRDefault="008355F6" w:rsidP="006F0FB6">
            <w:pPr>
              <w:numPr>
                <w:ilvl w:val="0"/>
                <w:numId w:val="46"/>
              </w:numPr>
              <w:contextualSpacing/>
              <w:jc w:val="both"/>
              <w:rPr>
                <w:rFonts w:ascii="Arial" w:hAnsi="Arial" w:cs="Times New Roman"/>
                <w:sz w:val="24"/>
              </w:rPr>
            </w:pPr>
            <w:r w:rsidRPr="008355F6">
              <w:rPr>
                <w:rFonts w:ascii="Arial" w:eastAsia="Arial" w:hAnsi="Arial" w:cs="Arial"/>
                <w:sz w:val="18"/>
              </w:rPr>
              <w:t xml:space="preserve">Localização  </w:t>
            </w:r>
          </w:p>
          <w:p w14:paraId="19D6D1B6" w14:textId="77777777" w:rsidR="008355F6" w:rsidRPr="008355F6" w:rsidRDefault="008355F6" w:rsidP="006F0FB6">
            <w:pPr>
              <w:numPr>
                <w:ilvl w:val="0"/>
                <w:numId w:val="46"/>
              </w:numPr>
              <w:contextualSpacing/>
              <w:jc w:val="both"/>
              <w:rPr>
                <w:rFonts w:ascii="Arial" w:hAnsi="Arial" w:cs="Times New Roman"/>
                <w:sz w:val="24"/>
              </w:rPr>
            </w:pPr>
            <w:r w:rsidRPr="008355F6">
              <w:rPr>
                <w:rFonts w:ascii="Arial" w:eastAsia="Arial" w:hAnsi="Arial" w:cs="Arial"/>
                <w:sz w:val="18"/>
              </w:rPr>
              <w:t xml:space="preserve">Quantidade  </w:t>
            </w:r>
          </w:p>
          <w:p w14:paraId="6137FF78" w14:textId="77777777" w:rsidR="008355F6" w:rsidRPr="008355F6" w:rsidRDefault="008355F6" w:rsidP="006F0FB6">
            <w:pPr>
              <w:numPr>
                <w:ilvl w:val="0"/>
                <w:numId w:val="46"/>
              </w:numPr>
              <w:contextualSpacing/>
              <w:jc w:val="both"/>
              <w:rPr>
                <w:rFonts w:ascii="Arial" w:hAnsi="Arial" w:cs="Times New Roman"/>
                <w:sz w:val="24"/>
              </w:rPr>
            </w:pPr>
            <w:r w:rsidRPr="008355F6">
              <w:rPr>
                <w:rFonts w:ascii="Arial" w:eastAsia="Arial" w:hAnsi="Arial" w:cs="Arial"/>
                <w:sz w:val="18"/>
              </w:rPr>
              <w:t>Valor</w:t>
            </w:r>
            <w:r w:rsidRPr="008355F6">
              <w:rPr>
                <w:rFonts w:ascii="Arial" w:hAnsi="Arial" w:cs="Times New Roman"/>
                <w:sz w:val="18"/>
              </w:rPr>
              <w:t xml:space="preserve"> </w:t>
            </w:r>
            <w:r w:rsidRPr="008355F6">
              <w:rPr>
                <w:rFonts w:ascii="Arial" w:eastAsia="Arial" w:hAnsi="Arial" w:cs="Arial"/>
                <w:sz w:val="18"/>
              </w:rPr>
              <w:t>histórico e atualizado.</w:t>
            </w:r>
            <w:r w:rsidRPr="008355F6">
              <w:rPr>
                <w:rFonts w:ascii="Arial" w:hAnsi="Arial" w:cs="Times New Roman"/>
                <w:sz w:val="18"/>
              </w:rPr>
              <w:t xml:space="preserve"> </w:t>
            </w:r>
          </w:p>
          <w:p w14:paraId="3C507BF4" w14:textId="77777777" w:rsidR="008355F6" w:rsidRPr="008355F6" w:rsidRDefault="008355F6" w:rsidP="00F2087C">
            <w:pPr>
              <w:spacing w:line="360" w:lineRule="auto"/>
              <w:contextualSpacing/>
              <w:jc w:val="both"/>
              <w:rPr>
                <w:rFonts w:ascii="Arial" w:hAnsi="Arial" w:cs="Times New Roman"/>
                <w:sz w:val="24"/>
              </w:rPr>
            </w:pPr>
            <w:r w:rsidRPr="008355F6">
              <w:rPr>
                <w:rFonts w:ascii="Arial" w:eastAsia="Arial" w:hAnsi="Arial" w:cs="Arial"/>
                <w:sz w:val="18"/>
              </w:rPr>
              <w:t xml:space="preserve">Observações: </w:t>
            </w:r>
          </w:p>
          <w:p w14:paraId="76B025EA" w14:textId="77777777" w:rsidR="008355F6" w:rsidRPr="008355F6" w:rsidRDefault="008355F6" w:rsidP="006F0FB6">
            <w:pPr>
              <w:numPr>
                <w:ilvl w:val="0"/>
                <w:numId w:val="46"/>
              </w:numPr>
              <w:contextualSpacing/>
              <w:jc w:val="both"/>
              <w:rPr>
                <w:rFonts w:ascii="Arial" w:hAnsi="Arial" w:cs="Times New Roman"/>
                <w:sz w:val="24"/>
              </w:rPr>
            </w:pPr>
            <w:r w:rsidRPr="008355F6">
              <w:rPr>
                <w:rFonts w:ascii="Arial" w:eastAsia="Arial" w:hAnsi="Arial" w:cs="Arial"/>
                <w:sz w:val="18"/>
              </w:rPr>
              <w:t>A coluna valor deve ser totalizada.</w:t>
            </w:r>
          </w:p>
        </w:tc>
        <w:tc>
          <w:tcPr>
            <w:tcW w:w="1508" w:type="dxa"/>
            <w:tcBorders>
              <w:top w:val="single" w:sz="4" w:space="0" w:color="000000"/>
              <w:left w:val="single" w:sz="4" w:space="0" w:color="000000"/>
              <w:bottom w:val="single" w:sz="4" w:space="0" w:color="000000"/>
              <w:right w:val="single" w:sz="4" w:space="0" w:color="000000"/>
            </w:tcBorders>
            <w:vAlign w:val="center"/>
          </w:tcPr>
          <w:p w14:paraId="5EAB7FE3" w14:textId="6573BE1F" w:rsidR="008355F6" w:rsidRPr="00485E6E" w:rsidRDefault="008355F6" w:rsidP="00485E6E">
            <w:pPr>
              <w:spacing w:line="241" w:lineRule="auto"/>
              <w:ind w:right="270"/>
              <w:contextualSpacing/>
              <w:jc w:val="center"/>
              <w:rPr>
                <w:rFonts w:ascii="Arial" w:hAnsi="Arial" w:cs="Times New Roman"/>
                <w:sz w:val="14"/>
                <w:szCs w:val="14"/>
              </w:rPr>
            </w:pPr>
            <w:r w:rsidRPr="00485E6E">
              <w:rPr>
                <w:rFonts w:ascii="Arial" w:eastAsia="Arial" w:hAnsi="Arial" w:cs="Arial"/>
                <w:sz w:val="14"/>
                <w:szCs w:val="14"/>
              </w:rPr>
              <w:t>PDF e</w:t>
            </w:r>
          </w:p>
          <w:p w14:paraId="7456074C" w14:textId="77777777" w:rsidR="008355F6" w:rsidRPr="00485E6E" w:rsidRDefault="008355F6" w:rsidP="00485E6E">
            <w:pPr>
              <w:spacing w:line="360" w:lineRule="auto"/>
              <w:contextualSpacing/>
              <w:jc w:val="center"/>
              <w:rPr>
                <w:rFonts w:ascii="Arial" w:hAnsi="Arial" w:cs="Times New Roman"/>
                <w:sz w:val="14"/>
                <w:szCs w:val="14"/>
              </w:rPr>
            </w:pPr>
            <w:r w:rsidRPr="00485E6E">
              <w:rPr>
                <w:rFonts w:ascii="Arial" w:eastAsia="Arial" w:hAnsi="Arial" w:cs="Arial"/>
                <w:sz w:val="14"/>
                <w:szCs w:val="14"/>
              </w:rPr>
              <w:t>XLS/XLSX/ ODS</w:t>
            </w:r>
          </w:p>
        </w:tc>
      </w:tr>
      <w:tr w:rsidR="008355F6" w:rsidRPr="008355F6" w14:paraId="668B5DB2" w14:textId="77777777" w:rsidTr="00F2087C">
        <w:tblPrEx>
          <w:tblCellMar>
            <w:top w:w="38" w:type="dxa"/>
            <w:bottom w:w="5" w:type="dxa"/>
            <w:right w:w="58" w:type="dxa"/>
          </w:tblCellMar>
        </w:tblPrEx>
        <w:trPr>
          <w:cantSplit/>
        </w:trPr>
        <w:tc>
          <w:tcPr>
            <w:tcW w:w="1173" w:type="dxa"/>
            <w:tcBorders>
              <w:top w:val="single" w:sz="4" w:space="0" w:color="000000"/>
              <w:left w:val="single" w:sz="4" w:space="0" w:color="000000"/>
              <w:bottom w:val="single" w:sz="4" w:space="0" w:color="000000"/>
              <w:right w:val="single" w:sz="4" w:space="0" w:color="000000"/>
            </w:tcBorders>
            <w:vAlign w:val="center"/>
          </w:tcPr>
          <w:p w14:paraId="21854085" w14:textId="77777777" w:rsidR="008355F6" w:rsidRPr="008355F6" w:rsidRDefault="008355F6" w:rsidP="00F2087C">
            <w:pPr>
              <w:spacing w:line="360" w:lineRule="auto"/>
              <w:ind w:right="55"/>
              <w:contextualSpacing/>
              <w:jc w:val="center"/>
              <w:rPr>
                <w:rFonts w:ascii="Arial" w:hAnsi="Arial" w:cs="Times New Roman"/>
                <w:sz w:val="24"/>
              </w:rPr>
            </w:pPr>
            <w:r w:rsidRPr="008355F6">
              <w:rPr>
                <w:rFonts w:ascii="Arial" w:eastAsia="Arial" w:hAnsi="Arial" w:cs="Arial"/>
                <w:sz w:val="18"/>
              </w:rPr>
              <w:t xml:space="preserve">INVIMOS </w:t>
            </w:r>
          </w:p>
        </w:tc>
        <w:tc>
          <w:tcPr>
            <w:tcW w:w="6386" w:type="dxa"/>
            <w:tcBorders>
              <w:top w:val="single" w:sz="4" w:space="0" w:color="000000"/>
              <w:left w:val="single" w:sz="4" w:space="0" w:color="000000"/>
              <w:bottom w:val="single" w:sz="4" w:space="0" w:color="000000"/>
              <w:right w:val="single" w:sz="4" w:space="0" w:color="000000"/>
            </w:tcBorders>
            <w:vAlign w:val="bottom"/>
          </w:tcPr>
          <w:p w14:paraId="10090217" w14:textId="77777777" w:rsidR="008355F6" w:rsidRPr="008355F6" w:rsidRDefault="008355F6" w:rsidP="00F2087C">
            <w:pPr>
              <w:spacing w:line="360" w:lineRule="auto"/>
              <w:contextualSpacing/>
              <w:jc w:val="both"/>
              <w:rPr>
                <w:rFonts w:ascii="Arial" w:hAnsi="Arial" w:cs="Times New Roman"/>
                <w:sz w:val="24"/>
              </w:rPr>
            </w:pPr>
            <w:r w:rsidRPr="008355F6">
              <w:rPr>
                <w:rFonts w:ascii="Arial" w:eastAsia="Arial" w:hAnsi="Arial" w:cs="Arial"/>
                <w:sz w:val="18"/>
              </w:rPr>
              <w:t xml:space="preserve">Inventário anual dos bens imóveis de uso próprio ou não, caso o FUNDO mantenha bens imóveis contabilizados, contendo no mínimo as seguintes informações:  </w:t>
            </w:r>
          </w:p>
          <w:p w14:paraId="44A1E2AE" w14:textId="77777777" w:rsidR="008355F6" w:rsidRPr="008355F6" w:rsidRDefault="008355F6" w:rsidP="006F0FB6">
            <w:pPr>
              <w:numPr>
                <w:ilvl w:val="0"/>
                <w:numId w:val="47"/>
              </w:numPr>
              <w:contextualSpacing/>
              <w:jc w:val="both"/>
              <w:rPr>
                <w:rFonts w:ascii="Arial" w:hAnsi="Arial" w:cs="Times New Roman"/>
                <w:sz w:val="24"/>
              </w:rPr>
            </w:pPr>
            <w:r w:rsidRPr="008355F6">
              <w:rPr>
                <w:rFonts w:ascii="Arial" w:eastAsia="Arial" w:hAnsi="Arial" w:cs="Arial"/>
                <w:sz w:val="18"/>
              </w:rPr>
              <w:t xml:space="preserve">Relação dos imóveis que integram o patrimônio pessoa jurídica.  </w:t>
            </w:r>
          </w:p>
          <w:p w14:paraId="1181FB24" w14:textId="77777777" w:rsidR="008355F6" w:rsidRPr="008355F6" w:rsidRDefault="008355F6" w:rsidP="006F0FB6">
            <w:pPr>
              <w:numPr>
                <w:ilvl w:val="0"/>
                <w:numId w:val="47"/>
              </w:numPr>
              <w:contextualSpacing/>
              <w:jc w:val="both"/>
              <w:rPr>
                <w:rFonts w:ascii="Arial" w:hAnsi="Arial" w:cs="Times New Roman"/>
                <w:sz w:val="24"/>
              </w:rPr>
            </w:pPr>
            <w:r w:rsidRPr="008355F6">
              <w:rPr>
                <w:rFonts w:ascii="Arial" w:eastAsia="Arial" w:hAnsi="Arial" w:cs="Arial"/>
                <w:sz w:val="18"/>
              </w:rPr>
              <w:t xml:space="preserve">Caracterização do imóvel (número de registro, conforme certidão de matrícula ou certidão de ônus reais obtida no cartório de registro de imóveis; localização; área; estado de conservação; benfeitorias existentes; demais características)  </w:t>
            </w:r>
          </w:p>
          <w:p w14:paraId="428C43F5" w14:textId="77777777" w:rsidR="008355F6" w:rsidRPr="008355F6" w:rsidRDefault="008355F6" w:rsidP="006F0FB6">
            <w:pPr>
              <w:numPr>
                <w:ilvl w:val="0"/>
                <w:numId w:val="47"/>
              </w:numPr>
              <w:contextualSpacing/>
              <w:jc w:val="both"/>
              <w:rPr>
                <w:rFonts w:ascii="Arial" w:hAnsi="Arial" w:cs="Times New Roman"/>
                <w:sz w:val="24"/>
              </w:rPr>
            </w:pPr>
            <w:r w:rsidRPr="008355F6">
              <w:rPr>
                <w:rFonts w:ascii="Arial" w:eastAsia="Arial" w:hAnsi="Arial" w:cs="Arial"/>
                <w:sz w:val="18"/>
              </w:rPr>
              <w:t xml:space="preserve">Data de aquisição/construção ou incorporação  </w:t>
            </w:r>
          </w:p>
          <w:p w14:paraId="1A17EA78" w14:textId="77777777" w:rsidR="008355F6" w:rsidRPr="008355F6" w:rsidRDefault="008355F6" w:rsidP="006F0FB6">
            <w:pPr>
              <w:numPr>
                <w:ilvl w:val="0"/>
                <w:numId w:val="47"/>
              </w:numPr>
              <w:contextualSpacing/>
              <w:jc w:val="both"/>
              <w:rPr>
                <w:rFonts w:ascii="Arial" w:hAnsi="Arial" w:cs="Times New Roman"/>
                <w:sz w:val="24"/>
              </w:rPr>
            </w:pPr>
            <w:r w:rsidRPr="008355F6">
              <w:rPr>
                <w:rFonts w:ascii="Arial" w:eastAsia="Arial" w:hAnsi="Arial" w:cs="Arial"/>
                <w:sz w:val="18"/>
              </w:rPr>
              <w:t xml:space="preserve">Valor histórico e atualizado </w:t>
            </w:r>
          </w:p>
          <w:p w14:paraId="228AB69E" w14:textId="77777777" w:rsidR="008355F6" w:rsidRPr="008355F6" w:rsidRDefault="008355F6" w:rsidP="00F2087C">
            <w:pPr>
              <w:spacing w:line="360" w:lineRule="auto"/>
              <w:contextualSpacing/>
              <w:jc w:val="both"/>
              <w:rPr>
                <w:rFonts w:ascii="Arial" w:hAnsi="Arial" w:cs="Times New Roman"/>
                <w:sz w:val="24"/>
              </w:rPr>
            </w:pPr>
            <w:r w:rsidRPr="008355F6">
              <w:rPr>
                <w:rFonts w:ascii="Arial" w:eastAsia="Arial" w:hAnsi="Arial" w:cs="Arial"/>
                <w:sz w:val="18"/>
              </w:rPr>
              <w:t xml:space="preserve">Observações: </w:t>
            </w:r>
          </w:p>
          <w:p w14:paraId="3E8C87A4" w14:textId="77777777" w:rsidR="008355F6" w:rsidRPr="008355F6" w:rsidRDefault="008355F6" w:rsidP="006F0FB6">
            <w:pPr>
              <w:numPr>
                <w:ilvl w:val="0"/>
                <w:numId w:val="47"/>
              </w:numPr>
              <w:contextualSpacing/>
              <w:jc w:val="both"/>
              <w:rPr>
                <w:rFonts w:ascii="Arial" w:hAnsi="Arial" w:cs="Times New Roman"/>
                <w:sz w:val="24"/>
              </w:rPr>
            </w:pPr>
            <w:r w:rsidRPr="008355F6">
              <w:rPr>
                <w:rFonts w:ascii="Arial" w:eastAsia="Arial" w:hAnsi="Arial" w:cs="Arial"/>
                <w:sz w:val="18"/>
              </w:rPr>
              <w:t xml:space="preserve">Imóveis que não são de uso próprio (garantias ou disponíveis para venda) devem ser destacados;  </w:t>
            </w:r>
          </w:p>
        </w:tc>
        <w:tc>
          <w:tcPr>
            <w:tcW w:w="1508" w:type="dxa"/>
            <w:tcBorders>
              <w:top w:val="single" w:sz="4" w:space="0" w:color="000000"/>
              <w:left w:val="single" w:sz="4" w:space="0" w:color="000000"/>
              <w:bottom w:val="single" w:sz="4" w:space="0" w:color="000000"/>
              <w:right w:val="single" w:sz="4" w:space="0" w:color="000000"/>
            </w:tcBorders>
            <w:vAlign w:val="center"/>
          </w:tcPr>
          <w:p w14:paraId="303C79EB" w14:textId="2451A326" w:rsidR="008355F6" w:rsidRPr="00485E6E" w:rsidRDefault="008355F6" w:rsidP="00485E6E">
            <w:pPr>
              <w:spacing w:line="241" w:lineRule="auto"/>
              <w:ind w:left="209" w:right="222"/>
              <w:contextualSpacing/>
              <w:jc w:val="center"/>
              <w:rPr>
                <w:rFonts w:ascii="Arial" w:hAnsi="Arial" w:cs="Times New Roman"/>
                <w:sz w:val="14"/>
                <w:szCs w:val="14"/>
              </w:rPr>
            </w:pPr>
            <w:r w:rsidRPr="00485E6E">
              <w:rPr>
                <w:rFonts w:ascii="Arial" w:eastAsia="Arial" w:hAnsi="Arial" w:cs="Arial"/>
                <w:sz w:val="14"/>
                <w:szCs w:val="14"/>
              </w:rPr>
              <w:t>PDF e</w:t>
            </w:r>
          </w:p>
          <w:p w14:paraId="1B1DEFF6" w14:textId="6AECB441" w:rsidR="008355F6" w:rsidRPr="00485E6E" w:rsidRDefault="008355F6" w:rsidP="00485E6E">
            <w:pPr>
              <w:spacing w:line="360" w:lineRule="auto"/>
              <w:contextualSpacing/>
              <w:jc w:val="center"/>
              <w:rPr>
                <w:rFonts w:ascii="Arial" w:hAnsi="Arial" w:cs="Times New Roman"/>
                <w:sz w:val="14"/>
                <w:szCs w:val="14"/>
              </w:rPr>
            </w:pPr>
            <w:r w:rsidRPr="00485E6E">
              <w:rPr>
                <w:rFonts w:ascii="Arial" w:eastAsia="Arial" w:hAnsi="Arial" w:cs="Arial"/>
                <w:sz w:val="14"/>
                <w:szCs w:val="14"/>
              </w:rPr>
              <w:t>XLS/XLSX/ ODS</w:t>
            </w:r>
          </w:p>
        </w:tc>
      </w:tr>
      <w:tr w:rsidR="008355F6" w:rsidRPr="008355F6" w14:paraId="6F7439FC" w14:textId="77777777" w:rsidTr="00F2087C">
        <w:tblPrEx>
          <w:tblCellMar>
            <w:top w:w="38" w:type="dxa"/>
            <w:bottom w:w="5" w:type="dxa"/>
            <w:right w:w="58" w:type="dxa"/>
          </w:tblCellMar>
        </w:tblPrEx>
        <w:trPr>
          <w:cantSplit/>
        </w:trPr>
        <w:tc>
          <w:tcPr>
            <w:tcW w:w="1173" w:type="dxa"/>
            <w:tcBorders>
              <w:top w:val="single" w:sz="4" w:space="0" w:color="000000"/>
              <w:left w:val="single" w:sz="4" w:space="0" w:color="000000"/>
              <w:bottom w:val="single" w:sz="4" w:space="0" w:color="000000"/>
              <w:right w:val="single" w:sz="4" w:space="0" w:color="000000"/>
            </w:tcBorders>
            <w:vAlign w:val="center"/>
          </w:tcPr>
          <w:p w14:paraId="0B9671C0" w14:textId="77777777" w:rsidR="008355F6" w:rsidRPr="008355F6" w:rsidRDefault="008355F6" w:rsidP="00F2087C">
            <w:pPr>
              <w:spacing w:line="360" w:lineRule="auto"/>
              <w:ind w:right="52"/>
              <w:contextualSpacing/>
              <w:jc w:val="center"/>
              <w:rPr>
                <w:rFonts w:ascii="Arial" w:hAnsi="Arial" w:cs="Times New Roman"/>
                <w:sz w:val="24"/>
              </w:rPr>
            </w:pPr>
            <w:r w:rsidRPr="008355F6">
              <w:rPr>
                <w:rFonts w:ascii="Arial" w:eastAsia="Arial" w:hAnsi="Arial" w:cs="Arial"/>
                <w:sz w:val="18"/>
              </w:rPr>
              <w:t xml:space="preserve">INVALMO </w:t>
            </w:r>
          </w:p>
        </w:tc>
        <w:tc>
          <w:tcPr>
            <w:tcW w:w="6386" w:type="dxa"/>
            <w:tcBorders>
              <w:top w:val="single" w:sz="4" w:space="0" w:color="000000"/>
              <w:left w:val="single" w:sz="4" w:space="0" w:color="000000"/>
              <w:bottom w:val="single" w:sz="4" w:space="0" w:color="000000"/>
              <w:right w:val="single" w:sz="4" w:space="0" w:color="000000"/>
            </w:tcBorders>
            <w:vAlign w:val="bottom"/>
          </w:tcPr>
          <w:p w14:paraId="25967E6F" w14:textId="77777777" w:rsidR="008355F6" w:rsidRPr="008355F6" w:rsidRDefault="008355F6" w:rsidP="00F2087C">
            <w:pPr>
              <w:spacing w:line="360" w:lineRule="auto"/>
              <w:contextualSpacing/>
              <w:jc w:val="both"/>
              <w:rPr>
                <w:rFonts w:ascii="Arial" w:hAnsi="Arial" w:cs="Times New Roman"/>
                <w:sz w:val="24"/>
              </w:rPr>
            </w:pPr>
            <w:r w:rsidRPr="008355F6">
              <w:rPr>
                <w:rFonts w:ascii="Arial" w:eastAsia="Arial" w:hAnsi="Arial" w:cs="Arial"/>
                <w:sz w:val="18"/>
              </w:rPr>
              <w:t xml:space="preserve">Inventário anual dos bens em almoxarifado, caso o FUNDO mantenha itens em estoque, contendo no mínimo as seguintes informações:  </w:t>
            </w:r>
          </w:p>
          <w:p w14:paraId="197D3E32" w14:textId="77777777" w:rsidR="008355F6" w:rsidRPr="008355F6" w:rsidRDefault="008355F6" w:rsidP="006F0FB6">
            <w:pPr>
              <w:numPr>
                <w:ilvl w:val="0"/>
                <w:numId w:val="48"/>
              </w:numPr>
              <w:contextualSpacing/>
              <w:jc w:val="both"/>
              <w:rPr>
                <w:rFonts w:ascii="Arial" w:hAnsi="Arial" w:cs="Times New Roman"/>
                <w:sz w:val="24"/>
              </w:rPr>
            </w:pPr>
            <w:r w:rsidRPr="008355F6">
              <w:rPr>
                <w:rFonts w:ascii="Arial" w:eastAsia="Arial" w:hAnsi="Arial" w:cs="Arial"/>
                <w:sz w:val="18"/>
              </w:rPr>
              <w:t xml:space="preserve">Descrição dos bens  </w:t>
            </w:r>
          </w:p>
          <w:p w14:paraId="74C7BDC8" w14:textId="77777777" w:rsidR="008355F6" w:rsidRPr="008355F6" w:rsidRDefault="008355F6" w:rsidP="006F0FB6">
            <w:pPr>
              <w:numPr>
                <w:ilvl w:val="0"/>
                <w:numId w:val="48"/>
              </w:numPr>
              <w:contextualSpacing/>
              <w:jc w:val="both"/>
              <w:rPr>
                <w:rFonts w:ascii="Arial" w:hAnsi="Arial" w:cs="Times New Roman"/>
                <w:sz w:val="24"/>
              </w:rPr>
            </w:pPr>
            <w:r w:rsidRPr="008355F6">
              <w:rPr>
                <w:rFonts w:ascii="Arial" w:eastAsia="Arial" w:hAnsi="Arial" w:cs="Arial"/>
                <w:sz w:val="18"/>
              </w:rPr>
              <w:t xml:space="preserve">Quantidade  </w:t>
            </w:r>
          </w:p>
          <w:p w14:paraId="2DC895A6" w14:textId="77777777" w:rsidR="008355F6" w:rsidRPr="008355F6" w:rsidRDefault="008355F6" w:rsidP="006F0FB6">
            <w:pPr>
              <w:numPr>
                <w:ilvl w:val="0"/>
                <w:numId w:val="48"/>
              </w:numPr>
              <w:contextualSpacing/>
              <w:jc w:val="both"/>
              <w:rPr>
                <w:rFonts w:ascii="Arial" w:hAnsi="Arial" w:cs="Times New Roman"/>
                <w:sz w:val="24"/>
              </w:rPr>
            </w:pPr>
            <w:r w:rsidRPr="008355F6">
              <w:rPr>
                <w:rFonts w:ascii="Arial" w:eastAsia="Arial" w:hAnsi="Arial" w:cs="Arial"/>
                <w:sz w:val="18"/>
              </w:rPr>
              <w:t xml:space="preserve">Valor unitário  </w:t>
            </w:r>
          </w:p>
          <w:p w14:paraId="0321BBAE" w14:textId="77777777" w:rsidR="008355F6" w:rsidRPr="008355F6" w:rsidRDefault="008355F6" w:rsidP="006F0FB6">
            <w:pPr>
              <w:numPr>
                <w:ilvl w:val="0"/>
                <w:numId w:val="48"/>
              </w:numPr>
              <w:contextualSpacing/>
              <w:jc w:val="both"/>
              <w:rPr>
                <w:rFonts w:ascii="Arial" w:hAnsi="Arial" w:cs="Times New Roman"/>
                <w:sz w:val="24"/>
              </w:rPr>
            </w:pPr>
            <w:r w:rsidRPr="008355F6">
              <w:rPr>
                <w:rFonts w:ascii="Arial" w:eastAsia="Arial" w:hAnsi="Arial" w:cs="Arial"/>
                <w:sz w:val="18"/>
              </w:rPr>
              <w:t>Valor total</w:t>
            </w:r>
            <w:r w:rsidRPr="008355F6">
              <w:rPr>
                <w:rFonts w:ascii="Arial" w:hAnsi="Arial" w:cs="Times New Roman"/>
                <w:sz w:val="18"/>
              </w:rPr>
              <w:t xml:space="preserve">  </w:t>
            </w:r>
          </w:p>
          <w:p w14:paraId="4029A26E" w14:textId="77777777" w:rsidR="008355F6" w:rsidRPr="008355F6" w:rsidRDefault="008355F6" w:rsidP="00F2087C">
            <w:pPr>
              <w:spacing w:line="360" w:lineRule="auto"/>
              <w:contextualSpacing/>
              <w:jc w:val="both"/>
              <w:rPr>
                <w:rFonts w:ascii="Arial" w:hAnsi="Arial" w:cs="Times New Roman"/>
                <w:sz w:val="24"/>
              </w:rPr>
            </w:pPr>
            <w:r w:rsidRPr="008355F6">
              <w:rPr>
                <w:rFonts w:ascii="Arial" w:eastAsia="Arial" w:hAnsi="Arial" w:cs="Arial"/>
                <w:sz w:val="18"/>
              </w:rPr>
              <w:t xml:space="preserve">Observações: </w:t>
            </w:r>
          </w:p>
          <w:p w14:paraId="184933DA" w14:textId="77777777" w:rsidR="008355F6" w:rsidRPr="008355F6" w:rsidRDefault="008355F6" w:rsidP="006F0FB6">
            <w:pPr>
              <w:numPr>
                <w:ilvl w:val="0"/>
                <w:numId w:val="48"/>
              </w:numPr>
              <w:contextualSpacing/>
              <w:jc w:val="both"/>
              <w:rPr>
                <w:rFonts w:ascii="Arial" w:hAnsi="Arial" w:cs="Times New Roman"/>
                <w:sz w:val="24"/>
              </w:rPr>
            </w:pPr>
            <w:r w:rsidRPr="008355F6">
              <w:rPr>
                <w:rFonts w:ascii="Arial" w:eastAsia="Arial" w:hAnsi="Arial" w:cs="Arial"/>
                <w:sz w:val="18"/>
              </w:rPr>
              <w:t>A coluna valor total deve ser totalizada.</w:t>
            </w:r>
          </w:p>
        </w:tc>
        <w:tc>
          <w:tcPr>
            <w:tcW w:w="1508" w:type="dxa"/>
            <w:tcBorders>
              <w:top w:val="single" w:sz="4" w:space="0" w:color="000000"/>
              <w:left w:val="single" w:sz="4" w:space="0" w:color="000000"/>
              <w:bottom w:val="single" w:sz="4" w:space="0" w:color="000000"/>
              <w:right w:val="single" w:sz="4" w:space="0" w:color="000000"/>
            </w:tcBorders>
            <w:vAlign w:val="center"/>
          </w:tcPr>
          <w:p w14:paraId="4B56ED2A" w14:textId="15CC1E72" w:rsidR="008355F6" w:rsidRPr="00485E6E" w:rsidRDefault="008355F6" w:rsidP="00485E6E">
            <w:pPr>
              <w:spacing w:line="241" w:lineRule="auto"/>
              <w:ind w:left="209" w:right="222"/>
              <w:contextualSpacing/>
              <w:jc w:val="center"/>
              <w:rPr>
                <w:rFonts w:ascii="Arial" w:hAnsi="Arial" w:cs="Times New Roman"/>
                <w:sz w:val="14"/>
                <w:szCs w:val="14"/>
              </w:rPr>
            </w:pPr>
            <w:r w:rsidRPr="00485E6E">
              <w:rPr>
                <w:rFonts w:ascii="Arial" w:eastAsia="Arial" w:hAnsi="Arial" w:cs="Arial"/>
                <w:sz w:val="14"/>
                <w:szCs w:val="14"/>
              </w:rPr>
              <w:t>PDF e</w:t>
            </w:r>
          </w:p>
          <w:p w14:paraId="60D53C39" w14:textId="52B8C691" w:rsidR="008355F6" w:rsidRPr="00485E6E" w:rsidRDefault="008355F6" w:rsidP="00485E6E">
            <w:pPr>
              <w:spacing w:line="360" w:lineRule="auto"/>
              <w:contextualSpacing/>
              <w:jc w:val="center"/>
              <w:rPr>
                <w:rFonts w:ascii="Arial" w:hAnsi="Arial" w:cs="Times New Roman"/>
                <w:sz w:val="14"/>
                <w:szCs w:val="14"/>
              </w:rPr>
            </w:pPr>
            <w:r w:rsidRPr="00485E6E">
              <w:rPr>
                <w:rFonts w:ascii="Arial" w:eastAsia="Arial" w:hAnsi="Arial" w:cs="Arial"/>
                <w:sz w:val="14"/>
                <w:szCs w:val="14"/>
              </w:rPr>
              <w:t>XLS/XLSX/ ODS</w:t>
            </w:r>
          </w:p>
        </w:tc>
      </w:tr>
      <w:tr w:rsidR="008355F6" w:rsidRPr="008355F6" w14:paraId="0DDE95A6" w14:textId="77777777" w:rsidTr="00F2087C">
        <w:tblPrEx>
          <w:tblCellMar>
            <w:top w:w="38" w:type="dxa"/>
            <w:bottom w:w="5" w:type="dxa"/>
            <w:right w:w="58" w:type="dxa"/>
          </w:tblCellMar>
        </w:tblPrEx>
        <w:trPr>
          <w:cantSplit/>
        </w:trPr>
        <w:tc>
          <w:tcPr>
            <w:tcW w:w="1173" w:type="dxa"/>
            <w:tcBorders>
              <w:top w:val="single" w:sz="4" w:space="0" w:color="000000"/>
              <w:left w:val="single" w:sz="4" w:space="0" w:color="000000"/>
              <w:bottom w:val="single" w:sz="4" w:space="0" w:color="auto"/>
              <w:right w:val="single" w:sz="4" w:space="0" w:color="000000"/>
            </w:tcBorders>
            <w:vAlign w:val="center"/>
          </w:tcPr>
          <w:p w14:paraId="58E16C3C" w14:textId="77777777" w:rsidR="008355F6" w:rsidRPr="008355F6" w:rsidRDefault="008355F6" w:rsidP="00F2087C">
            <w:pPr>
              <w:spacing w:line="360" w:lineRule="auto"/>
              <w:ind w:right="52"/>
              <w:contextualSpacing/>
              <w:jc w:val="center"/>
              <w:rPr>
                <w:rFonts w:ascii="Arial" w:hAnsi="Arial" w:cs="Times New Roman"/>
                <w:sz w:val="24"/>
              </w:rPr>
            </w:pPr>
            <w:r w:rsidRPr="008355F6">
              <w:rPr>
                <w:rFonts w:ascii="Arial" w:eastAsia="Arial" w:hAnsi="Arial" w:cs="Arial"/>
                <w:sz w:val="18"/>
              </w:rPr>
              <w:t xml:space="preserve">INVINTN </w:t>
            </w:r>
          </w:p>
        </w:tc>
        <w:tc>
          <w:tcPr>
            <w:tcW w:w="6386" w:type="dxa"/>
            <w:tcBorders>
              <w:top w:val="single" w:sz="4" w:space="0" w:color="000000"/>
              <w:left w:val="single" w:sz="4" w:space="0" w:color="000000"/>
              <w:bottom w:val="single" w:sz="4" w:space="0" w:color="auto"/>
              <w:right w:val="single" w:sz="4" w:space="0" w:color="000000"/>
            </w:tcBorders>
            <w:vAlign w:val="center"/>
          </w:tcPr>
          <w:p w14:paraId="5B022505" w14:textId="77777777" w:rsidR="008355F6" w:rsidRPr="008355F6" w:rsidRDefault="008355F6" w:rsidP="00F2087C">
            <w:pPr>
              <w:spacing w:line="360" w:lineRule="auto"/>
              <w:contextualSpacing/>
              <w:jc w:val="both"/>
              <w:rPr>
                <w:rFonts w:ascii="Arial" w:hAnsi="Arial" w:cs="Times New Roman"/>
                <w:sz w:val="24"/>
              </w:rPr>
            </w:pPr>
            <w:r w:rsidRPr="008355F6">
              <w:rPr>
                <w:rFonts w:ascii="Arial" w:eastAsia="Arial" w:hAnsi="Arial" w:cs="Arial"/>
                <w:sz w:val="18"/>
              </w:rPr>
              <w:t xml:space="preserve">Inventário anual dos bens intangíveis, caso o FUNDO mantenha bens intangíveis contabilizados, contendo no mínimo as seguintes informações:  </w:t>
            </w:r>
          </w:p>
          <w:p w14:paraId="7C5307E1" w14:textId="77777777" w:rsidR="008355F6" w:rsidRPr="008355F6" w:rsidRDefault="008355F6" w:rsidP="006F0FB6">
            <w:pPr>
              <w:numPr>
                <w:ilvl w:val="0"/>
                <w:numId w:val="49"/>
              </w:numPr>
              <w:contextualSpacing/>
              <w:jc w:val="both"/>
              <w:rPr>
                <w:rFonts w:ascii="Arial" w:hAnsi="Arial" w:cs="Times New Roman"/>
                <w:sz w:val="24"/>
              </w:rPr>
            </w:pPr>
            <w:r w:rsidRPr="008355F6">
              <w:rPr>
                <w:rFonts w:ascii="Arial" w:eastAsia="Arial" w:hAnsi="Arial" w:cs="Arial"/>
                <w:sz w:val="18"/>
              </w:rPr>
              <w:t xml:space="preserve">Relação dos bens  </w:t>
            </w:r>
          </w:p>
          <w:p w14:paraId="1862457E" w14:textId="77777777" w:rsidR="008355F6" w:rsidRPr="008355F6" w:rsidRDefault="008355F6" w:rsidP="006F0FB6">
            <w:pPr>
              <w:numPr>
                <w:ilvl w:val="0"/>
                <w:numId w:val="49"/>
              </w:numPr>
              <w:contextualSpacing/>
              <w:jc w:val="both"/>
              <w:rPr>
                <w:rFonts w:ascii="Arial" w:hAnsi="Arial" w:cs="Times New Roman"/>
                <w:sz w:val="24"/>
              </w:rPr>
            </w:pPr>
            <w:r w:rsidRPr="008355F6">
              <w:rPr>
                <w:rFonts w:ascii="Arial" w:eastAsia="Arial" w:hAnsi="Arial" w:cs="Arial"/>
                <w:sz w:val="18"/>
              </w:rPr>
              <w:t xml:space="preserve">Caracterização (especificação resumida; número de registro de marca ou patente, caso exista, comprovado mediante certidão de registro)  </w:t>
            </w:r>
          </w:p>
          <w:p w14:paraId="0D10A4E7" w14:textId="77777777" w:rsidR="008355F6" w:rsidRPr="008355F6" w:rsidRDefault="008355F6" w:rsidP="006F0FB6">
            <w:pPr>
              <w:numPr>
                <w:ilvl w:val="0"/>
                <w:numId w:val="49"/>
              </w:numPr>
              <w:contextualSpacing/>
              <w:jc w:val="both"/>
              <w:rPr>
                <w:rFonts w:ascii="Arial" w:hAnsi="Arial" w:cs="Times New Roman"/>
                <w:sz w:val="24"/>
              </w:rPr>
            </w:pPr>
            <w:r w:rsidRPr="008355F6">
              <w:rPr>
                <w:rFonts w:ascii="Arial" w:eastAsia="Arial" w:hAnsi="Arial" w:cs="Arial"/>
                <w:sz w:val="18"/>
              </w:rPr>
              <w:t xml:space="preserve">Data de aquisição/produção/incorporação  </w:t>
            </w:r>
          </w:p>
          <w:p w14:paraId="5292F940" w14:textId="77777777" w:rsidR="008355F6" w:rsidRPr="008355F6" w:rsidRDefault="008355F6" w:rsidP="006F0FB6">
            <w:pPr>
              <w:numPr>
                <w:ilvl w:val="0"/>
                <w:numId w:val="50"/>
              </w:numPr>
              <w:contextualSpacing/>
              <w:jc w:val="both"/>
              <w:rPr>
                <w:rFonts w:ascii="Arial" w:hAnsi="Arial" w:cs="Times New Roman"/>
                <w:sz w:val="24"/>
              </w:rPr>
            </w:pPr>
            <w:r w:rsidRPr="008355F6">
              <w:rPr>
                <w:rFonts w:ascii="Arial" w:eastAsia="Arial" w:hAnsi="Arial" w:cs="Arial"/>
                <w:sz w:val="18"/>
              </w:rPr>
              <w:t xml:space="preserve">Valor histórico e valor atualizado  </w:t>
            </w:r>
          </w:p>
          <w:p w14:paraId="6B70E317" w14:textId="77777777" w:rsidR="008355F6" w:rsidRPr="008355F6" w:rsidRDefault="008355F6" w:rsidP="00F2087C">
            <w:pPr>
              <w:spacing w:line="360" w:lineRule="auto"/>
              <w:contextualSpacing/>
              <w:jc w:val="both"/>
              <w:rPr>
                <w:rFonts w:ascii="Arial" w:hAnsi="Arial" w:cs="Times New Roman"/>
                <w:sz w:val="24"/>
              </w:rPr>
            </w:pPr>
            <w:r w:rsidRPr="008355F6">
              <w:rPr>
                <w:rFonts w:ascii="Arial" w:eastAsia="Arial" w:hAnsi="Arial" w:cs="Arial"/>
                <w:sz w:val="18"/>
              </w:rPr>
              <w:t xml:space="preserve">Observações: </w:t>
            </w:r>
          </w:p>
          <w:p w14:paraId="64C4D733" w14:textId="77777777" w:rsidR="008355F6" w:rsidRPr="008355F6" w:rsidRDefault="008355F6" w:rsidP="006F0FB6">
            <w:pPr>
              <w:numPr>
                <w:ilvl w:val="0"/>
                <w:numId w:val="50"/>
              </w:numPr>
              <w:contextualSpacing/>
              <w:jc w:val="both"/>
              <w:rPr>
                <w:rFonts w:ascii="Arial" w:hAnsi="Arial" w:cs="Times New Roman"/>
                <w:sz w:val="24"/>
              </w:rPr>
            </w:pPr>
            <w:r w:rsidRPr="008355F6">
              <w:rPr>
                <w:rFonts w:ascii="Arial" w:eastAsia="Arial" w:hAnsi="Arial" w:cs="Arial"/>
                <w:sz w:val="18"/>
              </w:rPr>
              <w:t>A coluna valor total deve ser totalizada;</w:t>
            </w:r>
          </w:p>
        </w:tc>
        <w:tc>
          <w:tcPr>
            <w:tcW w:w="1508" w:type="dxa"/>
            <w:tcBorders>
              <w:top w:val="single" w:sz="4" w:space="0" w:color="000000"/>
              <w:left w:val="single" w:sz="4" w:space="0" w:color="000000"/>
              <w:bottom w:val="single" w:sz="4" w:space="0" w:color="auto"/>
              <w:right w:val="single" w:sz="4" w:space="0" w:color="000000"/>
            </w:tcBorders>
            <w:vAlign w:val="center"/>
          </w:tcPr>
          <w:p w14:paraId="6E80A474" w14:textId="15A689A3" w:rsidR="008355F6" w:rsidRPr="00485E6E" w:rsidRDefault="008355F6" w:rsidP="00485E6E">
            <w:pPr>
              <w:spacing w:line="241" w:lineRule="auto"/>
              <w:ind w:left="209" w:right="222"/>
              <w:contextualSpacing/>
              <w:jc w:val="center"/>
              <w:rPr>
                <w:rFonts w:ascii="Arial" w:hAnsi="Arial" w:cs="Times New Roman"/>
                <w:sz w:val="14"/>
                <w:szCs w:val="14"/>
              </w:rPr>
            </w:pPr>
            <w:r w:rsidRPr="00485E6E">
              <w:rPr>
                <w:rFonts w:ascii="Arial" w:eastAsia="Arial" w:hAnsi="Arial" w:cs="Arial"/>
                <w:sz w:val="14"/>
                <w:szCs w:val="14"/>
              </w:rPr>
              <w:t>PDF e</w:t>
            </w:r>
          </w:p>
          <w:p w14:paraId="5831E9AE" w14:textId="30FAE757" w:rsidR="008355F6" w:rsidRPr="00485E6E" w:rsidRDefault="008355F6" w:rsidP="00485E6E">
            <w:pPr>
              <w:spacing w:line="360" w:lineRule="auto"/>
              <w:contextualSpacing/>
              <w:jc w:val="center"/>
              <w:rPr>
                <w:rFonts w:ascii="Arial" w:hAnsi="Arial" w:cs="Times New Roman"/>
                <w:sz w:val="14"/>
                <w:szCs w:val="14"/>
              </w:rPr>
            </w:pPr>
            <w:r w:rsidRPr="00485E6E">
              <w:rPr>
                <w:rFonts w:ascii="Arial" w:eastAsia="Arial" w:hAnsi="Arial" w:cs="Arial"/>
                <w:sz w:val="14"/>
                <w:szCs w:val="14"/>
              </w:rPr>
              <w:t>XLS/XLSX/ ODS</w:t>
            </w:r>
          </w:p>
        </w:tc>
      </w:tr>
      <w:tr w:rsidR="008355F6" w:rsidRPr="008355F6" w14:paraId="3E152806" w14:textId="77777777" w:rsidTr="00F2087C">
        <w:tblPrEx>
          <w:tblCellMar>
            <w:top w:w="0" w:type="dxa"/>
            <w:right w:w="41" w:type="dxa"/>
          </w:tblCellMar>
        </w:tblPrEx>
        <w:trPr>
          <w:cantSplit/>
        </w:trPr>
        <w:tc>
          <w:tcPr>
            <w:tcW w:w="1173" w:type="dxa"/>
            <w:tcBorders>
              <w:top w:val="single" w:sz="4" w:space="0" w:color="000000"/>
              <w:left w:val="single" w:sz="4" w:space="0" w:color="000000"/>
              <w:bottom w:val="single" w:sz="4" w:space="0" w:color="000000"/>
              <w:right w:val="single" w:sz="4" w:space="0" w:color="000000"/>
            </w:tcBorders>
            <w:vAlign w:val="center"/>
          </w:tcPr>
          <w:p w14:paraId="2F1FC830" w14:textId="77777777" w:rsidR="008355F6" w:rsidRPr="008355F6" w:rsidRDefault="008355F6" w:rsidP="00F2087C">
            <w:pPr>
              <w:spacing w:line="360" w:lineRule="auto"/>
              <w:ind w:left="84"/>
              <w:contextualSpacing/>
              <w:jc w:val="center"/>
              <w:rPr>
                <w:rFonts w:ascii="Arial" w:hAnsi="Arial" w:cs="Times New Roman"/>
                <w:sz w:val="24"/>
              </w:rPr>
            </w:pPr>
            <w:r w:rsidRPr="008355F6">
              <w:rPr>
                <w:rFonts w:ascii="Arial" w:eastAsia="Arial" w:hAnsi="Arial" w:cs="Arial"/>
                <w:sz w:val="18"/>
              </w:rPr>
              <w:t>DOCSPCA</w:t>
            </w:r>
          </w:p>
        </w:tc>
        <w:tc>
          <w:tcPr>
            <w:tcW w:w="6386" w:type="dxa"/>
            <w:tcBorders>
              <w:top w:val="single" w:sz="4" w:space="0" w:color="000000"/>
              <w:left w:val="single" w:sz="4" w:space="0" w:color="000000"/>
              <w:bottom w:val="single" w:sz="4" w:space="0" w:color="000000"/>
              <w:right w:val="single" w:sz="4" w:space="0" w:color="000000"/>
            </w:tcBorders>
            <w:vAlign w:val="center"/>
          </w:tcPr>
          <w:p w14:paraId="714FACD4" w14:textId="77777777" w:rsidR="008355F6" w:rsidRPr="008355F6" w:rsidRDefault="008355F6" w:rsidP="00F2087C">
            <w:pPr>
              <w:spacing w:line="360" w:lineRule="auto"/>
              <w:ind w:right="49"/>
              <w:contextualSpacing/>
              <w:jc w:val="both"/>
              <w:rPr>
                <w:rFonts w:ascii="Arial" w:hAnsi="Arial" w:cs="Times New Roman"/>
                <w:sz w:val="24"/>
              </w:rPr>
            </w:pPr>
            <w:r w:rsidRPr="008355F6">
              <w:rPr>
                <w:rFonts w:ascii="Arial" w:eastAsia="Arial" w:hAnsi="Arial" w:cs="Arial"/>
                <w:sz w:val="18"/>
              </w:rPr>
              <w:t xml:space="preserve">Referência aos documentos não estruturados, constantes neste Anexo, bem como a justificativa de ausência para os arquivos não enviados. Estrutura e layout constantes do item 3.1 deste Anexo. </w:t>
            </w:r>
          </w:p>
        </w:tc>
        <w:tc>
          <w:tcPr>
            <w:tcW w:w="1508" w:type="dxa"/>
            <w:tcBorders>
              <w:top w:val="single" w:sz="4" w:space="0" w:color="000000"/>
              <w:left w:val="single" w:sz="4" w:space="0" w:color="000000"/>
              <w:bottom w:val="single" w:sz="4" w:space="0" w:color="000000"/>
              <w:right w:val="single" w:sz="4" w:space="0" w:color="000000"/>
            </w:tcBorders>
            <w:vAlign w:val="center"/>
          </w:tcPr>
          <w:p w14:paraId="18A64797" w14:textId="2489C621" w:rsidR="008355F6" w:rsidRPr="00485E6E" w:rsidRDefault="008355F6" w:rsidP="00485E6E">
            <w:pPr>
              <w:spacing w:line="360" w:lineRule="auto"/>
              <w:ind w:right="51"/>
              <w:contextualSpacing/>
              <w:jc w:val="center"/>
              <w:rPr>
                <w:rFonts w:ascii="Arial" w:hAnsi="Arial" w:cs="Times New Roman"/>
                <w:sz w:val="14"/>
                <w:szCs w:val="14"/>
              </w:rPr>
            </w:pPr>
            <w:r w:rsidRPr="00485E6E">
              <w:rPr>
                <w:rFonts w:ascii="Arial" w:eastAsia="Arial" w:hAnsi="Arial" w:cs="Arial"/>
                <w:sz w:val="14"/>
                <w:szCs w:val="14"/>
              </w:rPr>
              <w:t>XML</w:t>
            </w:r>
          </w:p>
        </w:tc>
      </w:tr>
    </w:tbl>
    <w:p w14:paraId="006122C5" w14:textId="77777777" w:rsidR="008355F6" w:rsidRDefault="008355F6" w:rsidP="008355F6"/>
    <w:p w14:paraId="38BB9713" w14:textId="0F9F9922" w:rsidR="008355F6" w:rsidRDefault="008355F6" w:rsidP="008355F6"/>
    <w:p w14:paraId="78C27009" w14:textId="5650FC6F" w:rsidR="008355F6" w:rsidRDefault="008355F6" w:rsidP="008355F6"/>
    <w:p w14:paraId="7BF10F34" w14:textId="77777777" w:rsidR="008355F6" w:rsidRDefault="008355F6" w:rsidP="008355F6"/>
    <w:p w14:paraId="3051D4CC" w14:textId="59790716" w:rsidR="009F62F9" w:rsidRPr="00715D39" w:rsidRDefault="00715D39" w:rsidP="0007578A">
      <w:pPr>
        <w:pStyle w:val="Ttulo2"/>
        <w:rPr>
          <w:lang w:eastAsia="pt-BR"/>
        </w:rPr>
      </w:pPr>
      <w:r w:rsidRPr="005B7FCC">
        <w:rPr>
          <w:lang w:val="pt-BR" w:eastAsia="pt-BR"/>
        </w:rPr>
        <w:t xml:space="preserve"> </w:t>
      </w:r>
      <w:bookmarkStart w:id="19" w:name="_Toc94806303"/>
      <w:r w:rsidR="009F62F9" w:rsidRPr="00BE500A">
        <w:rPr>
          <w:lang w:eastAsia="pt-BR"/>
        </w:rPr>
        <w:t>D</w:t>
      </w:r>
      <w:r w:rsidR="0053719A">
        <w:rPr>
          <w:lang w:eastAsia="pt-BR"/>
        </w:rPr>
        <w:t>as Assinaturas</w:t>
      </w:r>
      <w:bookmarkEnd w:id="19"/>
    </w:p>
    <w:p w14:paraId="4E5D64C9" w14:textId="77777777" w:rsidR="009F62F9" w:rsidRPr="00101E2D" w:rsidRDefault="009F62F9" w:rsidP="009F62F9">
      <w:pPr>
        <w:autoSpaceDE w:val="0"/>
        <w:autoSpaceDN w:val="0"/>
        <w:adjustRightInd w:val="0"/>
        <w:spacing w:after="0" w:line="240" w:lineRule="auto"/>
        <w:jc w:val="both"/>
        <w:rPr>
          <w:rFonts w:ascii="Arial" w:eastAsia="Times New Roman" w:hAnsi="Arial" w:cs="Arial"/>
          <w:b/>
          <w:lang w:eastAsia="pt-BR"/>
        </w:rPr>
      </w:pPr>
    </w:p>
    <w:p w14:paraId="6FF04237" w14:textId="2F085206" w:rsidR="009F62F9" w:rsidRPr="00101E2D" w:rsidRDefault="00715D39" w:rsidP="0007578A">
      <w:pPr>
        <w:pStyle w:val="Ttulo3"/>
      </w:pPr>
      <w:bookmarkStart w:id="20" w:name="_Toc94806304"/>
      <w:r>
        <w:t>D</w:t>
      </w:r>
      <w:r w:rsidR="0053719A">
        <w:rPr>
          <w:lang w:val="pt-BR"/>
        </w:rPr>
        <w:t>os Documentos Não Estruturados</w:t>
      </w:r>
      <w:bookmarkEnd w:id="20"/>
    </w:p>
    <w:p w14:paraId="1B549523" w14:textId="77777777" w:rsidR="009F62F9" w:rsidRPr="009B2D1C" w:rsidRDefault="009F62F9" w:rsidP="009F62F9">
      <w:pPr>
        <w:jc w:val="both"/>
        <w:rPr>
          <w:rFonts w:ascii="Arial" w:eastAsia="Calibri" w:hAnsi="Arial" w:cs="Arial"/>
          <w:szCs w:val="24"/>
        </w:rPr>
      </w:pPr>
      <w:r w:rsidRPr="009B2D1C">
        <w:rPr>
          <w:rFonts w:ascii="Arial" w:eastAsia="Calibri" w:hAnsi="Arial" w:cs="Arial"/>
          <w:szCs w:val="24"/>
        </w:rPr>
        <w:t>Todos os documentos não estruturados (</w:t>
      </w:r>
      <w:r w:rsidR="00532985">
        <w:rPr>
          <w:rFonts w:ascii="Arial" w:eastAsia="Calibri" w:hAnsi="Arial" w:cs="Arial"/>
          <w:szCs w:val="24"/>
        </w:rPr>
        <w:t>PDF</w:t>
      </w:r>
      <w:r w:rsidRPr="009B2D1C">
        <w:rPr>
          <w:rFonts w:ascii="Arial" w:eastAsia="Calibri" w:hAnsi="Arial" w:cs="Arial"/>
          <w:szCs w:val="24"/>
        </w:rPr>
        <w:t xml:space="preserve"> e XLS/</w:t>
      </w:r>
      <w:r w:rsidR="00240F51" w:rsidRPr="009B2D1C">
        <w:rPr>
          <w:rFonts w:ascii="Arial" w:eastAsia="Calibri" w:hAnsi="Arial" w:cs="Arial"/>
          <w:szCs w:val="24"/>
        </w:rPr>
        <w:t>XLSX/</w:t>
      </w:r>
      <w:r w:rsidRPr="009B2D1C">
        <w:rPr>
          <w:rFonts w:ascii="Arial" w:eastAsia="Calibri" w:hAnsi="Arial" w:cs="Arial"/>
          <w:szCs w:val="24"/>
        </w:rPr>
        <w:t xml:space="preserve">ODS) relacionados neste Anexo devem ser assinados por meio de certificado digital pelo Prefeito Municipal ou pelo Ordenador de Despesas das Unidades Gestoras. </w:t>
      </w:r>
    </w:p>
    <w:p w14:paraId="16EA1F2F" w14:textId="7E055CB6" w:rsidR="00C167CE" w:rsidRPr="0042494A" w:rsidRDefault="00C167CE" w:rsidP="00C167CE">
      <w:pPr>
        <w:jc w:val="both"/>
        <w:rPr>
          <w:rFonts w:ascii="Arial" w:eastAsia="Calibri" w:hAnsi="Arial" w:cs="Arial"/>
          <w:szCs w:val="24"/>
        </w:rPr>
      </w:pPr>
      <w:r w:rsidRPr="0042494A">
        <w:rPr>
          <w:rFonts w:ascii="Arial" w:eastAsia="Calibri" w:hAnsi="Arial" w:cs="Arial"/>
          <w:szCs w:val="24"/>
        </w:rPr>
        <w:t>Os documentos</w:t>
      </w:r>
      <w:r w:rsidRPr="0042494A">
        <w:rPr>
          <w:rFonts w:ascii="Arial" w:eastAsia="Calibri" w:hAnsi="Arial" w:cs="Arial"/>
          <w:strike/>
          <w:color w:val="FF0000"/>
          <w:szCs w:val="24"/>
        </w:rPr>
        <w:t xml:space="preserve"> </w:t>
      </w:r>
      <w:r w:rsidRPr="0042494A">
        <w:rPr>
          <w:rFonts w:ascii="Arial" w:eastAsia="Calibri" w:hAnsi="Arial" w:cs="Arial"/>
          <w:szCs w:val="24"/>
        </w:rPr>
        <w:t>BALPATN,</w:t>
      </w:r>
      <w:r w:rsidRPr="0042494A">
        <w:rPr>
          <w:rFonts w:ascii="Arial" w:eastAsia="Calibri" w:hAnsi="Arial" w:cs="Arial"/>
          <w:color w:val="FF0000"/>
          <w:szCs w:val="24"/>
        </w:rPr>
        <w:t xml:space="preserve"> </w:t>
      </w:r>
      <w:r w:rsidRPr="0042494A">
        <w:rPr>
          <w:rFonts w:ascii="Arial" w:eastAsia="Calibri" w:hAnsi="Arial" w:cs="Arial"/>
          <w:szCs w:val="24"/>
        </w:rPr>
        <w:t xml:space="preserve">BALVER, </w:t>
      </w:r>
      <w:r w:rsidR="00025EB0">
        <w:rPr>
          <w:rFonts w:ascii="Arial" w:eastAsia="Calibri" w:hAnsi="Arial" w:cs="Arial"/>
          <w:szCs w:val="24"/>
        </w:rPr>
        <w:t xml:space="preserve">DEMCADC, </w:t>
      </w:r>
      <w:r w:rsidRPr="0042494A">
        <w:rPr>
          <w:rFonts w:ascii="Arial" w:eastAsia="Calibri" w:hAnsi="Arial" w:cs="Arial"/>
          <w:szCs w:val="24"/>
        </w:rPr>
        <w:t>DEMCSE</w:t>
      </w:r>
      <w:r w:rsidR="004A00C4">
        <w:rPr>
          <w:rFonts w:ascii="Arial" w:eastAsia="Calibri" w:hAnsi="Arial" w:cs="Arial"/>
          <w:szCs w:val="24"/>
        </w:rPr>
        <w:t>, DEMCPA</w:t>
      </w:r>
      <w:r w:rsidRPr="0042494A">
        <w:rPr>
          <w:rFonts w:ascii="Arial" w:eastAsia="Calibri" w:hAnsi="Arial" w:cs="Arial"/>
          <w:szCs w:val="24"/>
        </w:rPr>
        <w:t>, DEMDFL, DEMDIF,</w:t>
      </w:r>
      <w:r w:rsidR="00025EB0">
        <w:rPr>
          <w:rFonts w:ascii="Arial" w:eastAsia="Calibri" w:hAnsi="Arial" w:cs="Arial"/>
          <w:szCs w:val="24"/>
        </w:rPr>
        <w:t xml:space="preserve"> DEMFCA, DEMPLI, DEMRAPG</w:t>
      </w:r>
      <w:r w:rsidRPr="0042494A">
        <w:rPr>
          <w:rFonts w:ascii="Arial" w:eastAsia="Calibri" w:hAnsi="Arial" w:cs="Arial"/>
          <w:szCs w:val="24"/>
        </w:rPr>
        <w:t>, LIQSAU, RELPAR,</w:t>
      </w:r>
      <w:r w:rsidR="00601BA2">
        <w:rPr>
          <w:rFonts w:ascii="Arial" w:eastAsia="Calibri" w:hAnsi="Arial" w:cs="Arial"/>
          <w:szCs w:val="24"/>
        </w:rPr>
        <w:t xml:space="preserve"> </w:t>
      </w:r>
      <w:r w:rsidRPr="0042494A">
        <w:rPr>
          <w:rFonts w:ascii="Arial" w:eastAsia="Calibri" w:hAnsi="Arial" w:cs="Arial"/>
          <w:szCs w:val="24"/>
        </w:rPr>
        <w:t>TVDISPN</w:t>
      </w:r>
      <w:r w:rsidR="009F4E01">
        <w:rPr>
          <w:rFonts w:ascii="Arial" w:eastAsia="Calibri" w:hAnsi="Arial" w:cs="Arial"/>
          <w:szCs w:val="24"/>
        </w:rPr>
        <w:t>, RECRERE, REOBRIG</w:t>
      </w:r>
      <w:r w:rsidRPr="0042494A">
        <w:rPr>
          <w:rFonts w:ascii="Arial" w:eastAsia="Calibri" w:hAnsi="Arial" w:cs="Arial"/>
          <w:szCs w:val="24"/>
        </w:rPr>
        <w:t xml:space="preserve"> </w:t>
      </w:r>
      <w:r w:rsidR="00446515" w:rsidRPr="0042494A">
        <w:rPr>
          <w:rFonts w:ascii="Arial" w:eastAsia="Calibri" w:hAnsi="Arial" w:cs="Arial"/>
          <w:szCs w:val="24"/>
        </w:rPr>
        <w:t xml:space="preserve">e NOTEXP </w:t>
      </w:r>
      <w:r w:rsidRPr="0042494A">
        <w:rPr>
          <w:rFonts w:ascii="Arial" w:eastAsia="Calibri" w:hAnsi="Arial" w:cs="Arial"/>
          <w:szCs w:val="24"/>
        </w:rPr>
        <w:t xml:space="preserve">deverão, também, ser assinados por meio de certificado digital pelo </w:t>
      </w:r>
      <w:r w:rsidR="001E384F">
        <w:rPr>
          <w:rFonts w:ascii="Arial" w:eastAsia="Calibri" w:hAnsi="Arial" w:cs="Arial"/>
          <w:szCs w:val="24"/>
        </w:rPr>
        <w:t xml:space="preserve">Contabilista </w:t>
      </w:r>
      <w:r w:rsidRPr="0042494A">
        <w:rPr>
          <w:rFonts w:ascii="Arial" w:eastAsia="Calibri" w:hAnsi="Arial" w:cs="Arial"/>
          <w:szCs w:val="24"/>
        </w:rPr>
        <w:t>Responsável.</w:t>
      </w:r>
    </w:p>
    <w:p w14:paraId="2EBAFBC8" w14:textId="77777777" w:rsidR="000C08A9" w:rsidRPr="009B2D1C" w:rsidRDefault="000C08A9" w:rsidP="000C08A9">
      <w:pPr>
        <w:jc w:val="both"/>
        <w:rPr>
          <w:rFonts w:ascii="Arial" w:eastAsia="Calibri" w:hAnsi="Arial" w:cs="Arial"/>
          <w:szCs w:val="24"/>
        </w:rPr>
      </w:pPr>
      <w:r w:rsidRPr="0042494A">
        <w:rPr>
          <w:rFonts w:ascii="Arial" w:eastAsia="Calibri" w:hAnsi="Arial" w:cs="Arial"/>
          <w:szCs w:val="24"/>
        </w:rPr>
        <w:t xml:space="preserve">Os documentos RELOCI, RELUCI </w:t>
      </w:r>
      <w:r w:rsidR="00446515" w:rsidRPr="0042494A">
        <w:rPr>
          <w:rFonts w:ascii="Arial" w:eastAsia="Calibri" w:hAnsi="Arial" w:cs="Arial"/>
          <w:szCs w:val="24"/>
        </w:rPr>
        <w:t>e RELACI</w:t>
      </w:r>
      <w:r w:rsidRPr="0042494A">
        <w:rPr>
          <w:rFonts w:ascii="Arial" w:eastAsia="Calibri" w:hAnsi="Arial" w:cs="Arial"/>
          <w:szCs w:val="24"/>
        </w:rPr>
        <w:t xml:space="preserve"> deverão, também, ser assinados por meio de certificado digital pelo Responsável pelo Controle Interno.</w:t>
      </w:r>
    </w:p>
    <w:p w14:paraId="5659F9DA" w14:textId="77777777" w:rsidR="009F62F9" w:rsidRPr="009B2D1C" w:rsidRDefault="009F62F9" w:rsidP="009F62F9">
      <w:pPr>
        <w:jc w:val="both"/>
        <w:rPr>
          <w:rFonts w:ascii="Arial" w:eastAsia="Times New Roman" w:hAnsi="Arial" w:cs="Arial"/>
          <w:color w:val="00B050"/>
          <w:lang w:eastAsia="pt-BR"/>
        </w:rPr>
      </w:pPr>
      <w:r w:rsidRPr="009B2D1C">
        <w:rPr>
          <w:rFonts w:ascii="Arial" w:eastAsia="Calibri" w:hAnsi="Arial" w:cs="Arial"/>
          <w:szCs w:val="24"/>
        </w:rPr>
        <w:t>Obs</w:t>
      </w:r>
      <w:r w:rsidR="000C41EE" w:rsidRPr="009B2D1C">
        <w:rPr>
          <w:rFonts w:ascii="Arial" w:eastAsia="Calibri" w:hAnsi="Arial" w:cs="Arial"/>
          <w:szCs w:val="24"/>
        </w:rPr>
        <w:t>.</w:t>
      </w:r>
      <w:r w:rsidRPr="009B2D1C">
        <w:rPr>
          <w:rFonts w:ascii="Arial" w:eastAsia="Calibri" w:hAnsi="Arial" w:cs="Arial"/>
          <w:szCs w:val="24"/>
        </w:rPr>
        <w:t>: Além das assinaturas acima exigidas, os documentos deverão ser assinados pelos responsáveis por sua elaboração. A assinatura por meio de certificado digital dispensa a assinatura manual do respectivo responsável.</w:t>
      </w:r>
      <w:r w:rsidRPr="009B2D1C">
        <w:rPr>
          <w:rFonts w:ascii="Arial" w:eastAsia="Times New Roman" w:hAnsi="Arial" w:cs="Arial"/>
          <w:color w:val="00B050"/>
          <w:lang w:eastAsia="pt-BR"/>
        </w:rPr>
        <w:t xml:space="preserve"> </w:t>
      </w:r>
    </w:p>
    <w:p w14:paraId="54D30400" w14:textId="77777777" w:rsidR="009F62F9" w:rsidRDefault="009F62F9" w:rsidP="009F62F9">
      <w:pPr>
        <w:ind w:left="360"/>
        <w:jc w:val="both"/>
      </w:pPr>
    </w:p>
    <w:p w14:paraId="3E4D4BBE" w14:textId="7A2A612E" w:rsidR="009F62F9" w:rsidRPr="00715D39" w:rsidRDefault="0053719A" w:rsidP="0007578A">
      <w:pPr>
        <w:pStyle w:val="Ttulo3"/>
      </w:pPr>
      <w:bookmarkStart w:id="21" w:name="_Toc94806305"/>
      <w:r>
        <w:t>D</w:t>
      </w:r>
      <w:r>
        <w:rPr>
          <w:lang w:val="pt-BR"/>
        </w:rPr>
        <w:t>os Documentos Estruturados</w:t>
      </w:r>
      <w:bookmarkEnd w:id="21"/>
    </w:p>
    <w:p w14:paraId="09B3D0BF" w14:textId="77777777" w:rsidR="00715D39" w:rsidRPr="009B2D1C" w:rsidRDefault="00715D39" w:rsidP="00715D39">
      <w:pPr>
        <w:jc w:val="both"/>
        <w:rPr>
          <w:rFonts w:ascii="Arial" w:eastAsia="Calibri" w:hAnsi="Arial" w:cs="Arial"/>
          <w:szCs w:val="24"/>
        </w:rPr>
      </w:pPr>
      <w:r w:rsidRPr="009B2D1C">
        <w:rPr>
          <w:rFonts w:ascii="Arial" w:eastAsia="Calibri" w:hAnsi="Arial" w:cs="Arial"/>
          <w:szCs w:val="24"/>
        </w:rPr>
        <w:t xml:space="preserve">Após o envio dos </w:t>
      </w:r>
      <w:r w:rsidR="00BE500A" w:rsidRPr="009B2D1C">
        <w:rPr>
          <w:rFonts w:ascii="Arial" w:eastAsia="Calibri" w:hAnsi="Arial" w:cs="Arial"/>
          <w:szCs w:val="24"/>
        </w:rPr>
        <w:t xml:space="preserve">arquivos </w:t>
      </w:r>
      <w:r w:rsidRPr="009B2D1C">
        <w:rPr>
          <w:rFonts w:ascii="Arial" w:eastAsia="Calibri" w:hAnsi="Arial" w:cs="Arial"/>
          <w:szCs w:val="24"/>
        </w:rPr>
        <w:t xml:space="preserve">estruturados (formato XML) e seu armazenamento no banco de dados do sistema, o </w:t>
      </w:r>
      <w:r w:rsidR="009449AA" w:rsidRPr="009B2D1C">
        <w:rPr>
          <w:rFonts w:ascii="Arial" w:eastAsia="Calibri" w:hAnsi="Arial" w:cs="Arial"/>
          <w:szCs w:val="24"/>
        </w:rPr>
        <w:t>CidadES</w:t>
      </w:r>
      <w:r w:rsidRPr="009B2D1C">
        <w:rPr>
          <w:rFonts w:ascii="Arial" w:eastAsia="Calibri" w:hAnsi="Arial" w:cs="Arial"/>
          <w:szCs w:val="24"/>
        </w:rPr>
        <w:t xml:space="preserve"> disponibilizará os </w:t>
      </w:r>
      <w:r w:rsidR="00BE500A" w:rsidRPr="009B2D1C">
        <w:rPr>
          <w:rFonts w:ascii="Arial" w:eastAsia="Calibri" w:hAnsi="Arial" w:cs="Arial"/>
          <w:szCs w:val="24"/>
        </w:rPr>
        <w:t xml:space="preserve">documentos </w:t>
      </w:r>
      <w:r w:rsidRPr="009B2D1C">
        <w:rPr>
          <w:rFonts w:ascii="Arial" w:eastAsia="Calibri" w:hAnsi="Arial" w:cs="Arial"/>
          <w:szCs w:val="24"/>
        </w:rPr>
        <w:t xml:space="preserve">gerados a partir destes </w:t>
      </w:r>
      <w:r w:rsidR="00BE500A" w:rsidRPr="009B2D1C">
        <w:rPr>
          <w:rFonts w:ascii="Arial" w:eastAsia="Calibri" w:hAnsi="Arial" w:cs="Arial"/>
          <w:szCs w:val="24"/>
        </w:rPr>
        <w:t>arquivos</w:t>
      </w:r>
      <w:r w:rsidRPr="009B2D1C">
        <w:rPr>
          <w:rFonts w:ascii="Arial" w:eastAsia="Calibri" w:hAnsi="Arial" w:cs="Arial"/>
          <w:szCs w:val="24"/>
        </w:rPr>
        <w:t xml:space="preserve">, que, </w:t>
      </w:r>
      <w:r w:rsidR="00781545" w:rsidRPr="009B2D1C">
        <w:rPr>
          <w:rFonts w:ascii="Arial" w:eastAsia="Calibri" w:hAnsi="Arial" w:cs="Arial"/>
          <w:szCs w:val="24"/>
        </w:rPr>
        <w:t>depois de</w:t>
      </w:r>
      <w:r w:rsidRPr="009B2D1C">
        <w:rPr>
          <w:rFonts w:ascii="Arial" w:eastAsia="Calibri" w:hAnsi="Arial" w:cs="Arial"/>
          <w:szCs w:val="24"/>
        </w:rPr>
        <w:t xml:space="preserve"> conferidos, deverão ser homologados mediante assinatura digital pelo Prefeito Municipa</w:t>
      </w:r>
      <w:r w:rsidR="00BE500A" w:rsidRPr="009B2D1C">
        <w:rPr>
          <w:rFonts w:ascii="Arial" w:eastAsia="Calibri" w:hAnsi="Arial" w:cs="Arial"/>
          <w:szCs w:val="24"/>
        </w:rPr>
        <w:t>l ou pelo Ordenador de Despesa.</w:t>
      </w:r>
    </w:p>
    <w:p w14:paraId="525BF31F" w14:textId="02AE3C83" w:rsidR="00BE500A" w:rsidRPr="002D5CF1" w:rsidRDefault="00BE500A" w:rsidP="00715D39">
      <w:pPr>
        <w:jc w:val="both"/>
        <w:rPr>
          <w:rFonts w:ascii="Arial" w:eastAsia="Calibri" w:hAnsi="Arial" w:cs="Arial"/>
          <w:szCs w:val="24"/>
        </w:rPr>
      </w:pPr>
      <w:r w:rsidRPr="005D1F83">
        <w:rPr>
          <w:rFonts w:ascii="Arial" w:eastAsia="Calibri" w:hAnsi="Arial" w:cs="Arial"/>
          <w:szCs w:val="24"/>
        </w:rPr>
        <w:t xml:space="preserve">Os documentos </w:t>
      </w:r>
      <w:r w:rsidR="005D1F83" w:rsidRPr="005D1F83">
        <w:rPr>
          <w:rFonts w:ascii="Arial" w:hAnsi="Arial" w:cs="Arial"/>
          <w:szCs w:val="24"/>
        </w:rPr>
        <w:t>APROPAT,</w:t>
      </w:r>
      <w:r w:rsidR="005D1F83" w:rsidRPr="005D1F83">
        <w:rPr>
          <w:rFonts w:ascii="Arial" w:eastAsia="Calibri" w:hAnsi="Arial" w:cs="Arial"/>
          <w:szCs w:val="24"/>
        </w:rPr>
        <w:t xml:space="preserve"> </w:t>
      </w:r>
      <w:r w:rsidRPr="005D1F83">
        <w:rPr>
          <w:rFonts w:ascii="Arial" w:eastAsia="Calibri" w:hAnsi="Arial" w:cs="Arial"/>
          <w:szCs w:val="24"/>
        </w:rPr>
        <w:t>BALORC, BALFIN, BALPAT, DEMVAP, DEMCAD, DEMRAP</w:t>
      </w:r>
      <w:r w:rsidR="00C42796" w:rsidRPr="005D1F83">
        <w:rPr>
          <w:rFonts w:ascii="Arial" w:eastAsia="Calibri" w:hAnsi="Arial" w:cs="Arial"/>
          <w:szCs w:val="24"/>
        </w:rPr>
        <w:t xml:space="preserve">, </w:t>
      </w:r>
      <w:r w:rsidRPr="005D1F83">
        <w:rPr>
          <w:rFonts w:ascii="Arial" w:eastAsia="Calibri" w:hAnsi="Arial" w:cs="Arial"/>
          <w:szCs w:val="24"/>
        </w:rPr>
        <w:t>TVDISP</w:t>
      </w:r>
      <w:r w:rsidR="00C42796" w:rsidRPr="005D1F83">
        <w:rPr>
          <w:rFonts w:ascii="Arial" w:eastAsia="Calibri" w:hAnsi="Arial" w:cs="Arial"/>
          <w:szCs w:val="24"/>
        </w:rPr>
        <w:t>,</w:t>
      </w:r>
      <w:r w:rsidRPr="005D1F83">
        <w:rPr>
          <w:rFonts w:ascii="Arial" w:eastAsia="Calibri" w:hAnsi="Arial" w:cs="Arial"/>
          <w:szCs w:val="24"/>
        </w:rPr>
        <w:t xml:space="preserve"> </w:t>
      </w:r>
      <w:r w:rsidR="00C42796" w:rsidRPr="005D1F83">
        <w:rPr>
          <w:rFonts w:ascii="Arial" w:hAnsi="Arial" w:cs="Arial"/>
          <w:szCs w:val="24"/>
        </w:rPr>
        <w:t xml:space="preserve">BALVERF, </w:t>
      </w:r>
      <w:r w:rsidR="00D60F79" w:rsidRPr="005D1F83">
        <w:rPr>
          <w:rFonts w:ascii="Arial" w:hAnsi="Arial" w:cs="Arial"/>
          <w:szCs w:val="24"/>
        </w:rPr>
        <w:t xml:space="preserve">BALVERF_E, </w:t>
      </w:r>
      <w:r w:rsidR="00C42796" w:rsidRPr="005D1F83">
        <w:rPr>
          <w:rFonts w:ascii="Arial" w:hAnsi="Arial" w:cs="Arial"/>
          <w:szCs w:val="24"/>
        </w:rPr>
        <w:t>BALEXOD</w:t>
      </w:r>
      <w:r w:rsidR="00D60F79" w:rsidRPr="005D1F83">
        <w:rPr>
          <w:rFonts w:ascii="Arial" w:hAnsi="Arial" w:cs="Arial"/>
          <w:szCs w:val="24"/>
        </w:rPr>
        <w:t>, BALEXOD_E</w:t>
      </w:r>
      <w:r w:rsidR="00C42796" w:rsidRPr="005D1F83">
        <w:rPr>
          <w:rFonts w:ascii="Arial" w:hAnsi="Arial" w:cs="Arial"/>
          <w:szCs w:val="24"/>
        </w:rPr>
        <w:t>, BALEXOR</w:t>
      </w:r>
      <w:r w:rsidR="00D60F79" w:rsidRPr="005D1F83">
        <w:rPr>
          <w:rFonts w:ascii="Arial" w:hAnsi="Arial" w:cs="Arial"/>
          <w:szCs w:val="24"/>
        </w:rPr>
        <w:t>, BALEXOR_E</w:t>
      </w:r>
      <w:r w:rsidR="00C42796" w:rsidRPr="005D1F83">
        <w:rPr>
          <w:rFonts w:ascii="Arial" w:hAnsi="Arial" w:cs="Arial"/>
          <w:szCs w:val="24"/>
        </w:rPr>
        <w:t xml:space="preserve">, BALEXOC, </w:t>
      </w:r>
      <w:r w:rsidR="005D1F83" w:rsidRPr="005D1F83">
        <w:rPr>
          <w:rFonts w:ascii="Arial" w:hAnsi="Arial" w:cs="Arial"/>
          <w:szCs w:val="24"/>
        </w:rPr>
        <w:t xml:space="preserve">DEMDAD, </w:t>
      </w:r>
      <w:r w:rsidR="00C42796" w:rsidRPr="005D1F83">
        <w:rPr>
          <w:rFonts w:ascii="Arial" w:hAnsi="Arial" w:cs="Arial"/>
          <w:szCs w:val="24"/>
        </w:rPr>
        <w:t>DEMDFLT, DEMDIFD</w:t>
      </w:r>
      <w:r w:rsidR="005D1F83" w:rsidRPr="005D1F83">
        <w:rPr>
          <w:rFonts w:ascii="Arial" w:hAnsi="Arial" w:cs="Arial"/>
          <w:szCs w:val="24"/>
        </w:rPr>
        <w:t>, DEMREC</w:t>
      </w:r>
      <w:r w:rsidR="00D31145" w:rsidRPr="005D1F83">
        <w:rPr>
          <w:rFonts w:ascii="Arial" w:hAnsi="Arial" w:cs="Arial"/>
          <w:szCs w:val="24"/>
        </w:rPr>
        <w:t xml:space="preserve"> e</w:t>
      </w:r>
      <w:r w:rsidR="00672168">
        <w:rPr>
          <w:rFonts w:ascii="Arial" w:hAnsi="Arial" w:cs="Arial"/>
          <w:szCs w:val="24"/>
        </w:rPr>
        <w:t xml:space="preserve"> NOTAEXP</w:t>
      </w:r>
      <w:r w:rsidR="00D31145" w:rsidRPr="005D1F83">
        <w:rPr>
          <w:rFonts w:ascii="Arial" w:hAnsi="Arial" w:cs="Arial"/>
          <w:szCs w:val="24"/>
        </w:rPr>
        <w:t xml:space="preserve"> </w:t>
      </w:r>
      <w:r w:rsidRPr="005D1F83">
        <w:rPr>
          <w:rFonts w:ascii="Arial" w:eastAsia="Calibri" w:hAnsi="Arial" w:cs="Arial"/>
          <w:szCs w:val="24"/>
        </w:rPr>
        <w:t xml:space="preserve">deverão, também, ser </w:t>
      </w:r>
      <w:r w:rsidRPr="002D5CF1">
        <w:rPr>
          <w:rFonts w:ascii="Arial" w:eastAsia="Calibri" w:hAnsi="Arial" w:cs="Arial"/>
          <w:szCs w:val="24"/>
        </w:rPr>
        <w:t xml:space="preserve">assinados por meio de certificado digital pelo </w:t>
      </w:r>
      <w:r w:rsidR="001E384F" w:rsidRPr="002D5CF1">
        <w:rPr>
          <w:rFonts w:ascii="Arial" w:eastAsia="Calibri" w:hAnsi="Arial" w:cs="Arial"/>
          <w:szCs w:val="24"/>
        </w:rPr>
        <w:t xml:space="preserve">Contabilista </w:t>
      </w:r>
      <w:r w:rsidRPr="002D5CF1">
        <w:rPr>
          <w:rFonts w:ascii="Arial" w:eastAsia="Calibri" w:hAnsi="Arial" w:cs="Arial"/>
          <w:szCs w:val="24"/>
        </w:rPr>
        <w:t>Responsável.</w:t>
      </w:r>
    </w:p>
    <w:p w14:paraId="2C8ACDE5" w14:textId="521DD2B9" w:rsidR="009A5D8F" w:rsidRPr="002D5CF1" w:rsidRDefault="002D5CF1" w:rsidP="002D5CF1">
      <w:pPr>
        <w:jc w:val="both"/>
        <w:rPr>
          <w:rFonts w:ascii="Arial" w:eastAsia="Calibri" w:hAnsi="Arial" w:cs="Arial"/>
          <w:color w:val="0070C0"/>
          <w:szCs w:val="24"/>
        </w:rPr>
      </w:pPr>
      <w:r w:rsidRPr="002D5CF1">
        <w:rPr>
          <w:rFonts w:ascii="Arial" w:eastAsia="Calibri" w:hAnsi="Arial" w:cs="Arial"/>
          <w:szCs w:val="24"/>
        </w:rPr>
        <w:t>O documento INFOCI deverá, também, ser assinado por meio de certificado digital pelo Responsável pelo Controle Interno.</w:t>
      </w:r>
      <w:r w:rsidR="009A5D8F">
        <w:rPr>
          <w:rFonts w:eastAsia="Calibri" w:cs="Arial"/>
          <w:szCs w:val="24"/>
        </w:rPr>
        <w:br w:type="page"/>
      </w:r>
    </w:p>
    <w:p w14:paraId="640997AA" w14:textId="0DB0DCF8" w:rsidR="009B2D1C" w:rsidRPr="00BB687C" w:rsidRDefault="009B2D1C" w:rsidP="00DD73EA">
      <w:pPr>
        <w:pStyle w:val="Ttulo1"/>
      </w:pPr>
      <w:bookmarkStart w:id="22" w:name="_Toc94806306"/>
      <w:r w:rsidRPr="00BB687C">
        <w:lastRenderedPageBreak/>
        <w:t xml:space="preserve">ESTRUTURA E </w:t>
      </w:r>
      <w:r w:rsidR="00804F1D">
        <w:rPr>
          <w:lang w:val="pt-BR"/>
        </w:rPr>
        <w:t>MODELO</w:t>
      </w:r>
      <w:r w:rsidRPr="00BB687C">
        <w:t xml:space="preserve"> DOS ARQUIVOS</w:t>
      </w:r>
      <w:bookmarkEnd w:id="22"/>
    </w:p>
    <w:p w14:paraId="5F0C4DEA" w14:textId="77777777" w:rsidR="009B2D1C" w:rsidRDefault="009B2D1C" w:rsidP="009B2D1C">
      <w:pPr>
        <w:spacing w:after="0" w:line="240" w:lineRule="auto"/>
        <w:rPr>
          <w:rFonts w:ascii="Arial" w:eastAsia="Times New Roman" w:hAnsi="Arial" w:cs="Arial"/>
          <w:b/>
          <w:sz w:val="28"/>
          <w:szCs w:val="28"/>
          <w:lang w:eastAsia="pt-BR"/>
        </w:rPr>
      </w:pPr>
    </w:p>
    <w:p w14:paraId="7615FF31" w14:textId="77777777" w:rsidR="009B2D1C" w:rsidRDefault="009B2D1C" w:rsidP="009B2D1C">
      <w:pPr>
        <w:spacing w:after="0" w:line="240" w:lineRule="auto"/>
        <w:rPr>
          <w:rFonts w:ascii="Arial" w:eastAsia="Times New Roman" w:hAnsi="Arial" w:cs="Arial"/>
          <w:b/>
          <w:sz w:val="28"/>
          <w:szCs w:val="28"/>
          <w:lang w:eastAsia="pt-BR"/>
        </w:rPr>
      </w:pPr>
    </w:p>
    <w:p w14:paraId="03071960" w14:textId="77777777" w:rsidR="00BB687C" w:rsidRPr="00313079" w:rsidRDefault="00BB687C" w:rsidP="00BB687C">
      <w:pPr>
        <w:pStyle w:val="Default"/>
        <w:spacing w:line="360" w:lineRule="auto"/>
        <w:jc w:val="both"/>
        <w:rPr>
          <w:rStyle w:val="eop"/>
          <w:sz w:val="22"/>
          <w:szCs w:val="22"/>
          <w:shd w:val="clear" w:color="auto" w:fill="FFFFFF"/>
        </w:rPr>
      </w:pPr>
      <w:bookmarkStart w:id="23" w:name="_Toc530397141"/>
      <w:bookmarkStart w:id="24" w:name="_Toc4223091"/>
      <w:bookmarkStart w:id="25" w:name="_Toc25565184"/>
      <w:bookmarkStart w:id="26" w:name="_Toc25565500"/>
      <w:bookmarkStart w:id="27" w:name="_Toc25565713"/>
      <w:bookmarkStart w:id="28" w:name="_Toc25565838"/>
      <w:bookmarkStart w:id="29" w:name="_Toc41116641"/>
      <w:r w:rsidRPr="0082387F">
        <w:rPr>
          <w:rStyle w:val="normaltextrun"/>
          <w:color w:val="auto"/>
          <w:sz w:val="22"/>
          <w:szCs w:val="22"/>
          <w:shd w:val="clear" w:color="auto" w:fill="FFFFFF"/>
        </w:rPr>
        <w:t xml:space="preserve">As remessas serão compostas por arquivos estruturados no formato XML. A especificação do documento XML adotada é a recomendação W3C </w:t>
      </w:r>
      <w:r>
        <w:rPr>
          <w:rStyle w:val="normaltextrun"/>
          <w:sz w:val="22"/>
          <w:szCs w:val="22"/>
          <w:shd w:val="clear" w:color="auto" w:fill="FFFFFF"/>
        </w:rPr>
        <w:t>para XML 1.0, disponível em www.w3.org/TR/REC-xml e a codificação dos </w:t>
      </w:r>
      <w:r>
        <w:rPr>
          <w:rStyle w:val="spellingerror"/>
          <w:sz w:val="22"/>
          <w:szCs w:val="22"/>
          <w:shd w:val="clear" w:color="auto" w:fill="FFFFFF"/>
        </w:rPr>
        <w:t>caracteres</w:t>
      </w:r>
      <w:r>
        <w:rPr>
          <w:rStyle w:val="normaltextrun"/>
          <w:sz w:val="22"/>
          <w:szCs w:val="22"/>
          <w:shd w:val="clear" w:color="auto" w:fill="FFFFFF"/>
        </w:rPr>
        <w:t xml:space="preserve"> em UTF-8. Assim todos os documentos XML serão </w:t>
      </w:r>
      <w:r w:rsidRPr="00313079">
        <w:rPr>
          <w:rStyle w:val="normaltextrun"/>
          <w:sz w:val="22"/>
          <w:szCs w:val="22"/>
          <w:shd w:val="clear" w:color="auto" w:fill="FFFFFF"/>
        </w:rPr>
        <w:t>iniciados com a declaração: &lt;?</w:t>
      </w:r>
      <w:r w:rsidRPr="00313079">
        <w:rPr>
          <w:rStyle w:val="spellingerror"/>
          <w:sz w:val="22"/>
          <w:szCs w:val="22"/>
          <w:shd w:val="clear" w:color="auto" w:fill="FFFFFF"/>
        </w:rPr>
        <w:t>xml</w:t>
      </w:r>
      <w:r w:rsidRPr="00313079">
        <w:rPr>
          <w:rStyle w:val="normaltextrun"/>
          <w:sz w:val="22"/>
          <w:szCs w:val="22"/>
          <w:shd w:val="clear" w:color="auto" w:fill="FFFFFF"/>
        </w:rPr>
        <w:t> </w:t>
      </w:r>
      <w:r w:rsidRPr="00313079">
        <w:rPr>
          <w:rStyle w:val="spellingerror"/>
          <w:sz w:val="22"/>
          <w:szCs w:val="22"/>
          <w:shd w:val="clear" w:color="auto" w:fill="FFFFFF"/>
        </w:rPr>
        <w:t>version</w:t>
      </w:r>
      <w:r w:rsidRPr="00313079">
        <w:rPr>
          <w:rStyle w:val="normaltextrun"/>
          <w:sz w:val="22"/>
          <w:szCs w:val="22"/>
          <w:shd w:val="clear" w:color="auto" w:fill="FFFFFF"/>
        </w:rPr>
        <w:t>="1.0" </w:t>
      </w:r>
      <w:r w:rsidRPr="00313079">
        <w:rPr>
          <w:rStyle w:val="spellingerror"/>
          <w:sz w:val="22"/>
          <w:szCs w:val="22"/>
          <w:shd w:val="clear" w:color="auto" w:fill="FFFFFF"/>
        </w:rPr>
        <w:t>encoding</w:t>
      </w:r>
      <w:r w:rsidRPr="00313079">
        <w:rPr>
          <w:rStyle w:val="normaltextrun"/>
          <w:sz w:val="22"/>
          <w:szCs w:val="22"/>
          <w:shd w:val="clear" w:color="auto" w:fill="FFFFFF"/>
        </w:rPr>
        <w:t>="UTF-8"?&gt;. </w:t>
      </w:r>
      <w:r w:rsidRPr="00313079">
        <w:rPr>
          <w:rStyle w:val="eop"/>
          <w:sz w:val="22"/>
          <w:szCs w:val="22"/>
          <w:shd w:val="clear" w:color="auto" w:fill="FFFFFF"/>
        </w:rPr>
        <w:t> </w:t>
      </w:r>
    </w:p>
    <w:p w14:paraId="400BB88C" w14:textId="7A4FC82E" w:rsidR="00BB687C" w:rsidRPr="00313079" w:rsidRDefault="00BB687C" w:rsidP="00BB687C">
      <w:pPr>
        <w:pStyle w:val="Default"/>
        <w:spacing w:line="360" w:lineRule="auto"/>
        <w:jc w:val="both"/>
        <w:rPr>
          <w:sz w:val="22"/>
          <w:szCs w:val="22"/>
        </w:rPr>
      </w:pPr>
      <w:r w:rsidRPr="00313079">
        <w:rPr>
          <w:sz w:val="22"/>
          <w:szCs w:val="22"/>
        </w:rPr>
        <w:t>O tamanho total dos arquivos enviados, compactados em um único arquivo, não poderá ultrapassar o tamanho máximo de 1</w:t>
      </w:r>
      <w:r>
        <w:rPr>
          <w:sz w:val="22"/>
          <w:szCs w:val="22"/>
        </w:rPr>
        <w:t>5</w:t>
      </w:r>
      <w:r w:rsidRPr="00313079">
        <w:rPr>
          <w:sz w:val="22"/>
          <w:szCs w:val="22"/>
        </w:rPr>
        <w:t>0 MB.</w:t>
      </w:r>
    </w:p>
    <w:p w14:paraId="1CB3B7F1" w14:textId="77777777" w:rsidR="00BB687C" w:rsidRPr="00313079" w:rsidRDefault="00BB687C" w:rsidP="00BB687C">
      <w:pPr>
        <w:pStyle w:val="Default"/>
        <w:spacing w:line="360" w:lineRule="auto"/>
        <w:jc w:val="both"/>
        <w:rPr>
          <w:sz w:val="22"/>
          <w:szCs w:val="22"/>
        </w:rPr>
      </w:pPr>
    </w:p>
    <w:p w14:paraId="35A44D4D" w14:textId="77777777" w:rsidR="00BB687C" w:rsidRPr="00313079" w:rsidRDefault="00BB687C" w:rsidP="00BB687C">
      <w:pPr>
        <w:pStyle w:val="Default"/>
        <w:spacing w:line="360" w:lineRule="auto"/>
        <w:jc w:val="both"/>
        <w:rPr>
          <w:sz w:val="22"/>
          <w:szCs w:val="22"/>
        </w:rPr>
      </w:pPr>
      <w:r w:rsidRPr="00313079">
        <w:rPr>
          <w:sz w:val="22"/>
          <w:szCs w:val="22"/>
        </w:rPr>
        <w:t>Este documento utiliza os seguintes tipos de dados:</w:t>
      </w:r>
    </w:p>
    <w:p w14:paraId="7B365803" w14:textId="77777777" w:rsidR="00BB687C" w:rsidRPr="00313079" w:rsidRDefault="00BB687C" w:rsidP="00BB687C">
      <w:pPr>
        <w:pStyle w:val="Default"/>
        <w:spacing w:line="360" w:lineRule="auto"/>
        <w:jc w:val="both"/>
        <w:rPr>
          <w:sz w:val="22"/>
          <w:szCs w:val="22"/>
        </w:rPr>
      </w:pPr>
    </w:p>
    <w:p w14:paraId="6EDB7182" w14:textId="77777777" w:rsidR="00BB687C" w:rsidRDefault="00BB687C" w:rsidP="00BB687C">
      <w:pPr>
        <w:numPr>
          <w:ilvl w:val="0"/>
          <w:numId w:val="34"/>
        </w:numPr>
        <w:spacing w:after="0" w:line="360" w:lineRule="auto"/>
        <w:jc w:val="both"/>
        <w:rPr>
          <w:rFonts w:ascii="Arial" w:eastAsia="Calibri" w:hAnsi="Arial" w:cs="Arial"/>
        </w:rPr>
      </w:pPr>
      <w:r w:rsidRPr="00313079">
        <w:rPr>
          <w:rFonts w:ascii="Arial" w:eastAsia="Calibri" w:hAnsi="Arial" w:cs="Arial"/>
          <w:b/>
        </w:rPr>
        <w:t>Decimal</w:t>
      </w:r>
      <w:r w:rsidRPr="00313079">
        <w:rPr>
          <w:rFonts w:ascii="Arial" w:eastAsia="Calibri" w:hAnsi="Arial" w:cs="Arial"/>
        </w:rPr>
        <w:t>: Não deverá ser utilizado caracter para separação de milhar.  Deverá ser utilizado o ponto para separação de inteiros e decimais. Não poderá conter caracters especiais. Os valores deverão ser maiores ou iguais a zero. Caso contrário será expressamente informado a sua permissão.</w:t>
      </w:r>
    </w:p>
    <w:p w14:paraId="739E8355" w14:textId="77777777" w:rsidR="00BB687C" w:rsidRPr="00313079" w:rsidRDefault="00BB687C" w:rsidP="00BB687C">
      <w:pPr>
        <w:spacing w:before="120" w:after="0" w:line="360" w:lineRule="auto"/>
        <w:ind w:left="352"/>
        <w:jc w:val="both"/>
        <w:rPr>
          <w:rFonts w:ascii="Arial" w:eastAsia="Calibri" w:hAnsi="Arial" w:cs="Arial"/>
        </w:rPr>
      </w:pPr>
      <w:r w:rsidRPr="00313079">
        <w:rPr>
          <w:rFonts w:ascii="Arial" w:eastAsia="Calibri" w:hAnsi="Arial" w:cs="Arial"/>
        </w:rPr>
        <w:t xml:space="preserve">Sintaxe: </w:t>
      </w:r>
      <w:r w:rsidRPr="00313079">
        <w:rPr>
          <w:rFonts w:ascii="Arial" w:eastAsia="Calibri" w:hAnsi="Arial" w:cs="Arial"/>
          <w:bCs/>
          <w:lang w:eastAsia="pt-BR"/>
        </w:rPr>
        <w:t>999999999999.99 (neste caso, decimal (14,2))</w:t>
      </w:r>
    </w:p>
    <w:p w14:paraId="23213E81" w14:textId="77777777" w:rsidR="00BB687C" w:rsidRDefault="00BB687C" w:rsidP="00BB687C">
      <w:pPr>
        <w:spacing w:after="0" w:line="360" w:lineRule="auto"/>
        <w:ind w:left="360" w:hanging="10"/>
        <w:jc w:val="both"/>
        <w:rPr>
          <w:rFonts w:ascii="Arial" w:eastAsia="Calibri" w:hAnsi="Arial" w:cs="Arial"/>
        </w:rPr>
      </w:pPr>
      <w:r w:rsidRPr="00313079">
        <w:rPr>
          <w:rFonts w:ascii="Arial" w:eastAsia="Calibri" w:hAnsi="Arial" w:cs="Arial"/>
        </w:rPr>
        <w:t>Exemplo: Valor decimal: 1.453,25. Tamanho indicado no layout do arquivo: (14,2) (tamanho de 14 inteiros e 02 decimais). Valor a ser enviado: 1453.25</w:t>
      </w:r>
    </w:p>
    <w:p w14:paraId="4D67A09F" w14:textId="77777777" w:rsidR="00BB687C" w:rsidRPr="00313079" w:rsidRDefault="00BB687C" w:rsidP="00BB687C">
      <w:pPr>
        <w:spacing w:after="0" w:line="360" w:lineRule="auto"/>
        <w:ind w:left="360" w:hanging="10"/>
        <w:jc w:val="both"/>
        <w:rPr>
          <w:rFonts w:ascii="Arial" w:eastAsia="Calibri" w:hAnsi="Arial" w:cs="Arial"/>
        </w:rPr>
      </w:pPr>
    </w:p>
    <w:p w14:paraId="1B89D1B9" w14:textId="77777777" w:rsidR="00BB687C" w:rsidRDefault="00BB687C" w:rsidP="00BB687C">
      <w:pPr>
        <w:numPr>
          <w:ilvl w:val="0"/>
          <w:numId w:val="34"/>
        </w:numPr>
        <w:spacing w:after="0" w:line="360" w:lineRule="auto"/>
        <w:jc w:val="both"/>
        <w:rPr>
          <w:rFonts w:ascii="Arial" w:eastAsia="Calibri" w:hAnsi="Arial" w:cs="Arial"/>
        </w:rPr>
      </w:pPr>
      <w:r w:rsidRPr="00313079">
        <w:rPr>
          <w:rFonts w:ascii="Arial" w:eastAsia="Calibri" w:hAnsi="Arial" w:cs="Arial"/>
          <w:b/>
        </w:rPr>
        <w:t>Inteiro</w:t>
      </w:r>
      <w:r w:rsidRPr="00313079">
        <w:rPr>
          <w:rFonts w:ascii="Arial" w:eastAsia="Calibri" w:hAnsi="Arial" w:cs="Arial"/>
        </w:rPr>
        <w:t>: Não deverá ser utilizado caracter para separação de milhar. Não poderá conter caracteres especiais.</w:t>
      </w:r>
    </w:p>
    <w:p w14:paraId="113F7782" w14:textId="77777777" w:rsidR="00BB687C" w:rsidRPr="00313079" w:rsidRDefault="00BB687C" w:rsidP="00BB687C">
      <w:pPr>
        <w:spacing w:before="120" w:after="0" w:line="360" w:lineRule="auto"/>
        <w:ind w:left="352"/>
        <w:jc w:val="both"/>
        <w:rPr>
          <w:rFonts w:ascii="Arial" w:eastAsia="Calibri" w:hAnsi="Arial" w:cs="Arial"/>
        </w:rPr>
      </w:pPr>
      <w:r w:rsidRPr="00313079">
        <w:rPr>
          <w:rFonts w:ascii="Arial" w:eastAsia="Calibri" w:hAnsi="Arial" w:cs="Arial"/>
        </w:rPr>
        <w:t xml:space="preserve">Sintaxe: </w:t>
      </w:r>
      <w:r w:rsidRPr="00313079">
        <w:rPr>
          <w:rFonts w:ascii="Arial" w:eastAsia="Calibri" w:hAnsi="Arial" w:cs="Arial"/>
          <w:bCs/>
          <w:lang w:eastAsia="pt-BR"/>
        </w:rPr>
        <w:t>99999 (neste caso, inteiro de tamanho 5)</w:t>
      </w:r>
    </w:p>
    <w:p w14:paraId="4AD86CC6" w14:textId="77777777" w:rsidR="00BB687C" w:rsidRDefault="00BB687C" w:rsidP="00BB687C">
      <w:pPr>
        <w:spacing w:after="0" w:line="360" w:lineRule="auto"/>
        <w:ind w:left="352"/>
        <w:jc w:val="both"/>
        <w:rPr>
          <w:rFonts w:ascii="Arial" w:eastAsia="Calibri" w:hAnsi="Arial" w:cs="Arial"/>
        </w:rPr>
      </w:pPr>
      <w:r w:rsidRPr="00313079">
        <w:rPr>
          <w:rFonts w:ascii="Arial" w:eastAsia="Calibri" w:hAnsi="Arial" w:cs="Arial"/>
        </w:rPr>
        <w:t>Exemplo: Valor: 1.453. Valor a ser enviado: 1453</w:t>
      </w:r>
    </w:p>
    <w:p w14:paraId="6BD1CAC2" w14:textId="77777777" w:rsidR="00BB687C" w:rsidRPr="00313079" w:rsidRDefault="00BB687C" w:rsidP="00BB687C">
      <w:pPr>
        <w:spacing w:after="0" w:line="360" w:lineRule="auto"/>
        <w:ind w:left="350"/>
        <w:jc w:val="both"/>
        <w:rPr>
          <w:rFonts w:ascii="Arial" w:eastAsia="Calibri" w:hAnsi="Arial" w:cs="Arial"/>
        </w:rPr>
      </w:pPr>
    </w:p>
    <w:p w14:paraId="6A5C64B8" w14:textId="77777777" w:rsidR="00BB687C" w:rsidRDefault="00BB687C" w:rsidP="00BB687C">
      <w:pPr>
        <w:numPr>
          <w:ilvl w:val="0"/>
          <w:numId w:val="34"/>
        </w:numPr>
        <w:spacing w:after="0" w:line="360" w:lineRule="auto"/>
        <w:jc w:val="both"/>
        <w:rPr>
          <w:rFonts w:ascii="Arial" w:eastAsia="Calibri" w:hAnsi="Arial" w:cs="Arial"/>
        </w:rPr>
      </w:pPr>
      <w:r w:rsidRPr="00313079">
        <w:rPr>
          <w:rFonts w:ascii="Arial" w:eastAsia="Calibri" w:hAnsi="Arial" w:cs="Arial"/>
          <w:b/>
          <w:bCs/>
        </w:rPr>
        <w:t xml:space="preserve">Caracter: </w:t>
      </w:r>
      <w:r w:rsidRPr="00313079">
        <w:rPr>
          <w:rFonts w:ascii="Arial" w:eastAsia="Calibri" w:hAnsi="Arial" w:cs="Arial"/>
        </w:rPr>
        <w:t>Campos do tipo caracter não deverão exceder ao tamanho máximo especificado.</w:t>
      </w:r>
    </w:p>
    <w:p w14:paraId="7590C493" w14:textId="77777777" w:rsidR="00BB687C" w:rsidRDefault="00BB687C" w:rsidP="00BB687C">
      <w:pPr>
        <w:spacing w:before="120" w:after="0" w:line="360" w:lineRule="auto"/>
        <w:ind w:left="-11" w:firstLine="357"/>
        <w:jc w:val="both"/>
        <w:rPr>
          <w:rFonts w:ascii="Arial" w:eastAsia="Calibri" w:hAnsi="Arial" w:cs="Arial"/>
          <w:bCs/>
          <w:lang w:eastAsia="pt-BR"/>
        </w:rPr>
      </w:pPr>
      <w:r w:rsidRPr="00313079">
        <w:rPr>
          <w:rFonts w:ascii="Arial" w:eastAsia="Calibri" w:hAnsi="Arial" w:cs="Arial"/>
        </w:rPr>
        <w:t xml:space="preserve">Sintaxe: </w:t>
      </w:r>
      <w:r w:rsidRPr="00313079">
        <w:rPr>
          <w:rFonts w:ascii="Arial" w:eastAsia="Calibri" w:hAnsi="Arial" w:cs="Arial"/>
          <w:bCs/>
          <w:lang w:eastAsia="pt-BR"/>
        </w:rPr>
        <w:t>XXXXXXXX (neste caso, caracter de tamanho 8)</w:t>
      </w:r>
    </w:p>
    <w:p w14:paraId="4DD24485" w14:textId="77777777" w:rsidR="00BB687C" w:rsidRPr="00313079" w:rsidRDefault="00BB687C" w:rsidP="00BB687C">
      <w:pPr>
        <w:spacing w:after="0" w:line="360" w:lineRule="auto"/>
        <w:ind w:left="-10" w:firstLine="360"/>
        <w:jc w:val="both"/>
        <w:rPr>
          <w:rFonts w:ascii="Arial" w:eastAsia="Calibri" w:hAnsi="Arial" w:cs="Arial"/>
        </w:rPr>
      </w:pPr>
    </w:p>
    <w:p w14:paraId="169B8BBE" w14:textId="77777777" w:rsidR="00BB687C" w:rsidRPr="00313079" w:rsidRDefault="00BB687C" w:rsidP="00BB687C">
      <w:pPr>
        <w:numPr>
          <w:ilvl w:val="0"/>
          <w:numId w:val="34"/>
        </w:numPr>
        <w:spacing w:after="0" w:line="360" w:lineRule="auto"/>
        <w:jc w:val="both"/>
        <w:rPr>
          <w:rFonts w:ascii="Arial" w:eastAsia="Calibri" w:hAnsi="Arial" w:cs="Arial"/>
        </w:rPr>
      </w:pPr>
      <w:r w:rsidRPr="00313079">
        <w:rPr>
          <w:rFonts w:ascii="Arial" w:eastAsia="Calibri" w:hAnsi="Arial" w:cs="Arial"/>
          <w:b/>
        </w:rPr>
        <w:t>Data</w:t>
      </w:r>
      <w:r w:rsidRPr="00313079">
        <w:rPr>
          <w:rFonts w:ascii="Arial" w:eastAsia="Calibri" w:hAnsi="Arial" w:cs="Arial"/>
        </w:rPr>
        <w:t xml:space="preserve">: Datas deverão ser preenchidas no formato AAAA-MM-DD. </w:t>
      </w:r>
    </w:p>
    <w:p w14:paraId="684CC14D" w14:textId="77777777" w:rsidR="00BB687C" w:rsidRPr="00313079" w:rsidRDefault="00BB687C" w:rsidP="00BB687C">
      <w:pPr>
        <w:spacing w:before="120" w:after="0" w:line="360" w:lineRule="auto"/>
        <w:ind w:left="352"/>
        <w:jc w:val="both"/>
        <w:rPr>
          <w:rFonts w:ascii="Arial" w:eastAsia="Calibri" w:hAnsi="Arial" w:cs="Arial"/>
        </w:rPr>
      </w:pPr>
      <w:r w:rsidRPr="00313079">
        <w:rPr>
          <w:rFonts w:ascii="Arial" w:eastAsia="Calibri" w:hAnsi="Arial" w:cs="Arial"/>
        </w:rPr>
        <w:t>Exemplo: 2018-07-03</w:t>
      </w:r>
    </w:p>
    <w:p w14:paraId="45C4B621" w14:textId="77777777" w:rsidR="00BB687C" w:rsidRDefault="00BB687C" w:rsidP="009B2D1C">
      <w:pPr>
        <w:rPr>
          <w:rFonts w:ascii="Arial" w:eastAsia="Calibri" w:hAnsi="Arial" w:cs="Arial"/>
          <w:b/>
          <w:bCs/>
          <w:iCs/>
          <w:lang w:eastAsia="pt-BR"/>
        </w:rPr>
      </w:pPr>
    </w:p>
    <w:bookmarkEnd w:id="23"/>
    <w:bookmarkEnd w:id="24"/>
    <w:bookmarkEnd w:id="25"/>
    <w:bookmarkEnd w:id="26"/>
    <w:bookmarkEnd w:id="27"/>
    <w:bookmarkEnd w:id="28"/>
    <w:bookmarkEnd w:id="29"/>
    <w:p w14:paraId="2BC650E2" w14:textId="77248BBB" w:rsidR="005C00E1" w:rsidRDefault="005C00E1">
      <w:pPr>
        <w:rPr>
          <w:rFonts w:ascii="Arial" w:eastAsia="Arial" w:hAnsi="Arial"/>
          <w:b/>
          <w:bCs/>
          <w:sz w:val="28"/>
          <w:szCs w:val="36"/>
          <w:lang w:val="en-US"/>
        </w:rPr>
      </w:pPr>
    </w:p>
    <w:p w14:paraId="50117434" w14:textId="77777777" w:rsidR="005C00E1" w:rsidRDefault="005C00E1">
      <w:pPr>
        <w:rPr>
          <w:rFonts w:ascii="Arial" w:eastAsia="Arial" w:hAnsi="Arial"/>
          <w:b/>
          <w:bCs/>
          <w:sz w:val="28"/>
          <w:szCs w:val="36"/>
          <w:lang w:val="en-US"/>
        </w:rPr>
      </w:pPr>
    </w:p>
    <w:p w14:paraId="5B29618F" w14:textId="576DD662" w:rsidR="00A60EA7" w:rsidRDefault="00A60EA7" w:rsidP="00804F1D">
      <w:pPr>
        <w:pStyle w:val="Ttulo2"/>
      </w:pPr>
      <w:bookmarkStart w:id="30" w:name="_Toc94806307"/>
      <w:r>
        <w:lastRenderedPageBreak/>
        <w:t>Arquivos Estruturados</w:t>
      </w:r>
      <w:bookmarkEnd w:id="30"/>
    </w:p>
    <w:p w14:paraId="5961A0F2" w14:textId="77777777" w:rsidR="00804F1D" w:rsidRDefault="00804F1D" w:rsidP="00804F1D"/>
    <w:p w14:paraId="76C22E4F" w14:textId="25522385" w:rsidR="00180538" w:rsidRPr="00180538" w:rsidRDefault="00180538" w:rsidP="00A60EA7">
      <w:pPr>
        <w:pStyle w:val="Ttulo3"/>
      </w:pPr>
      <w:bookmarkStart w:id="31" w:name="_Toc94806308"/>
      <w:r w:rsidRPr="00180538">
        <w:t>BALORC.XML (ou BalancoOrcamentario.xml)</w:t>
      </w:r>
      <w:bookmarkEnd w:id="31"/>
    </w:p>
    <w:p w14:paraId="12777813" w14:textId="483343A9" w:rsidR="00180538" w:rsidRPr="00180538" w:rsidRDefault="00180538" w:rsidP="00826CF9">
      <w:pPr>
        <w:spacing w:after="0" w:line="360" w:lineRule="auto"/>
        <w:jc w:val="both"/>
        <w:rPr>
          <w:rFonts w:ascii="Arial" w:hAnsi="Arial" w:cs="Arial"/>
        </w:rPr>
      </w:pPr>
      <w:r w:rsidRPr="00180538">
        <w:rPr>
          <w:rFonts w:ascii="Arial" w:hAnsi="Arial" w:cs="Arial"/>
          <w:b/>
          <w:bCs/>
        </w:rPr>
        <w:t>Descrição: </w:t>
      </w:r>
      <w:r w:rsidRPr="00180538">
        <w:rPr>
          <w:rFonts w:ascii="Arial" w:hAnsi="Arial" w:cs="Arial"/>
        </w:rPr>
        <w:t>Este arquivo conterá os dados referentes ao Balanço Orçamentário (Anexo 12 Lei 4.320/1964) da Prestação de Contas Anual dos respectivos responsáveis pelo encaminhamento ao TCEES</w:t>
      </w:r>
      <w:r w:rsidR="003445FB">
        <w:rPr>
          <w:rFonts w:ascii="Arial" w:hAnsi="Arial" w:cs="Arial"/>
        </w:rPr>
        <w:t>.</w:t>
      </w:r>
    </w:p>
    <w:p w14:paraId="0C462F9F" w14:textId="77777777" w:rsidR="00826CF9" w:rsidRDefault="00826CF9" w:rsidP="00826CF9">
      <w:pPr>
        <w:spacing w:after="0" w:line="240" w:lineRule="auto"/>
        <w:rPr>
          <w:rFonts w:ascii="Arial" w:hAnsi="Arial" w:cs="Arial"/>
          <w:b/>
          <w:bCs/>
          <w:sz w:val="20"/>
          <w:szCs w:val="20"/>
        </w:rPr>
      </w:pPr>
    </w:p>
    <w:p w14:paraId="7B9D9B82" w14:textId="77777777" w:rsidR="00180538" w:rsidRPr="00826CF9" w:rsidRDefault="00180538" w:rsidP="00826CF9">
      <w:pPr>
        <w:spacing w:after="0" w:line="240" w:lineRule="auto"/>
        <w:rPr>
          <w:rFonts w:ascii="Arial" w:hAnsi="Arial" w:cs="Arial"/>
          <w:b/>
          <w:bCs/>
          <w:sz w:val="20"/>
          <w:szCs w:val="20"/>
        </w:rPr>
      </w:pPr>
      <w:r w:rsidRPr="00826CF9">
        <w:rPr>
          <w:rFonts w:ascii="Arial" w:hAnsi="Arial" w:cs="Arial"/>
          <w:b/>
          <w:bCs/>
          <w:sz w:val="20"/>
          <w:szCs w:val="20"/>
        </w:rPr>
        <w:t>Estrutura:</w:t>
      </w:r>
    </w:p>
    <w:p w14:paraId="6863C5A2" w14:textId="77777777" w:rsidR="00180538" w:rsidRPr="00826CF9" w:rsidRDefault="00180538" w:rsidP="00826CF9">
      <w:pPr>
        <w:autoSpaceDE w:val="0"/>
        <w:autoSpaceDN w:val="0"/>
        <w:adjustRightInd w:val="0"/>
        <w:spacing w:after="0" w:line="240" w:lineRule="auto"/>
        <w:rPr>
          <w:rFonts w:ascii="Arial" w:hAnsi="Arial" w:cs="Arial"/>
          <w:sz w:val="20"/>
          <w:szCs w:val="20"/>
        </w:rPr>
      </w:pPr>
      <w:r w:rsidRPr="00826CF9">
        <w:rPr>
          <w:rFonts w:ascii="Arial" w:hAnsi="Arial" w:cs="Arial"/>
          <w:sz w:val="20"/>
          <w:szCs w:val="20"/>
          <w:lang w:eastAsia="pt-BR"/>
        </w:rPr>
        <w:t xml:space="preserve">&lt;?xml version="1.0" </w:t>
      </w:r>
      <w:r w:rsidRPr="00826CF9">
        <w:rPr>
          <w:rFonts w:ascii="Arial" w:hAnsi="Arial" w:cs="Arial"/>
          <w:sz w:val="20"/>
          <w:szCs w:val="20"/>
        </w:rPr>
        <w:t>encoding=“UTF-8”?&gt;</w:t>
      </w:r>
    </w:p>
    <w:p w14:paraId="56A1B7FC" w14:textId="77777777" w:rsidR="00180538" w:rsidRPr="00826CF9" w:rsidRDefault="00180538" w:rsidP="00826CF9">
      <w:pPr>
        <w:spacing w:after="0" w:line="240" w:lineRule="auto"/>
        <w:ind w:right="600"/>
        <w:rPr>
          <w:rFonts w:ascii="Arial" w:hAnsi="Arial" w:cs="Arial"/>
          <w:sz w:val="20"/>
          <w:szCs w:val="20"/>
          <w:lang w:eastAsia="pt-BR"/>
        </w:rPr>
      </w:pPr>
      <w:r w:rsidRPr="00826CF9">
        <w:rPr>
          <w:rFonts w:ascii="Arial" w:hAnsi="Arial" w:cs="Arial"/>
          <w:sz w:val="20"/>
          <w:szCs w:val="20"/>
          <w:lang w:eastAsia="pt-BR"/>
        </w:rPr>
        <w:t>&lt;PrestacaoContasAnual&gt;</w:t>
      </w:r>
    </w:p>
    <w:p w14:paraId="151C1A1D" w14:textId="77777777" w:rsidR="00180538" w:rsidRPr="00826CF9" w:rsidRDefault="00180538" w:rsidP="00826CF9">
      <w:pPr>
        <w:spacing w:after="0" w:line="240" w:lineRule="auto"/>
        <w:ind w:right="600" w:firstLine="708"/>
        <w:rPr>
          <w:rFonts w:ascii="Arial" w:hAnsi="Arial" w:cs="Arial"/>
          <w:sz w:val="20"/>
          <w:szCs w:val="20"/>
          <w:lang w:eastAsia="pt-BR"/>
        </w:rPr>
      </w:pPr>
      <w:r w:rsidRPr="00826CF9">
        <w:rPr>
          <w:rFonts w:ascii="Arial" w:hAnsi="Arial" w:cs="Arial"/>
          <w:sz w:val="20"/>
          <w:szCs w:val="20"/>
          <w:lang w:eastAsia="pt-BR"/>
        </w:rPr>
        <w:t>&lt;BalancoOrcamentario_Schema&gt;</w:t>
      </w:r>
    </w:p>
    <w:p w14:paraId="72227CA9" w14:textId="77777777" w:rsidR="00180538" w:rsidRPr="00826CF9" w:rsidRDefault="00180538" w:rsidP="00826CF9">
      <w:pPr>
        <w:spacing w:after="0" w:line="240" w:lineRule="auto"/>
        <w:ind w:right="600"/>
        <w:rPr>
          <w:rFonts w:ascii="Arial" w:hAnsi="Arial" w:cs="Arial"/>
          <w:sz w:val="20"/>
          <w:szCs w:val="20"/>
          <w:lang w:eastAsia="pt-BR"/>
        </w:rPr>
      </w:pPr>
      <w:r w:rsidRPr="00826CF9">
        <w:rPr>
          <w:rFonts w:ascii="Arial" w:hAnsi="Arial" w:cs="Arial"/>
          <w:sz w:val="20"/>
          <w:szCs w:val="20"/>
          <w:lang w:eastAsia="pt-BR"/>
        </w:rPr>
        <w:tab/>
      </w:r>
      <w:r w:rsidRPr="00826CF9">
        <w:rPr>
          <w:rFonts w:ascii="Arial" w:hAnsi="Arial" w:cs="Arial"/>
          <w:sz w:val="20"/>
          <w:szCs w:val="20"/>
          <w:lang w:eastAsia="pt-BR"/>
        </w:rPr>
        <w:tab/>
      </w:r>
    </w:p>
    <w:p w14:paraId="30154D17" w14:textId="77777777" w:rsidR="00180538" w:rsidRPr="00826CF9" w:rsidRDefault="00180538" w:rsidP="00826CF9">
      <w:pPr>
        <w:spacing w:after="0" w:line="240" w:lineRule="auto"/>
        <w:ind w:left="708" w:right="600" w:firstLine="708"/>
        <w:rPr>
          <w:rFonts w:ascii="Arial" w:hAnsi="Arial" w:cs="Arial"/>
          <w:sz w:val="20"/>
          <w:szCs w:val="20"/>
          <w:lang w:eastAsia="pt-BR"/>
        </w:rPr>
      </w:pPr>
      <w:r w:rsidRPr="00826CF9">
        <w:rPr>
          <w:rFonts w:ascii="Arial" w:hAnsi="Arial" w:cs="Arial"/>
          <w:sz w:val="20"/>
          <w:szCs w:val="20"/>
          <w:lang w:eastAsia="pt-BR"/>
        </w:rPr>
        <w:t>&lt;BalancoOrcamentario&gt;</w:t>
      </w:r>
    </w:p>
    <w:p w14:paraId="3C3B4233" w14:textId="77777777" w:rsidR="00180538" w:rsidRPr="00826CF9" w:rsidRDefault="00180538" w:rsidP="00826CF9">
      <w:pPr>
        <w:spacing w:after="0" w:line="240" w:lineRule="auto"/>
        <w:ind w:right="600"/>
        <w:rPr>
          <w:rFonts w:ascii="Arial" w:hAnsi="Arial" w:cs="Arial"/>
          <w:sz w:val="20"/>
          <w:szCs w:val="20"/>
          <w:lang w:eastAsia="pt-BR"/>
        </w:rPr>
      </w:pPr>
      <w:r w:rsidRPr="00826CF9">
        <w:rPr>
          <w:rFonts w:ascii="Arial" w:hAnsi="Arial" w:cs="Arial"/>
          <w:sz w:val="20"/>
          <w:szCs w:val="20"/>
          <w:lang w:eastAsia="pt-BR"/>
        </w:rPr>
        <w:tab/>
      </w:r>
      <w:r w:rsidRPr="00826CF9">
        <w:rPr>
          <w:rFonts w:ascii="Arial" w:hAnsi="Arial" w:cs="Arial"/>
          <w:sz w:val="20"/>
          <w:szCs w:val="20"/>
          <w:lang w:eastAsia="pt-BR"/>
        </w:rPr>
        <w:tab/>
      </w:r>
      <w:r w:rsidRPr="00826CF9">
        <w:rPr>
          <w:rFonts w:ascii="Arial" w:hAnsi="Arial" w:cs="Arial"/>
          <w:sz w:val="20"/>
          <w:szCs w:val="20"/>
          <w:lang w:eastAsia="pt-BR"/>
        </w:rPr>
        <w:tab/>
        <w:t>&lt;IdNumRegistro&gt;</w:t>
      </w:r>
      <w:r w:rsidRPr="00826CF9">
        <w:rPr>
          <w:rFonts w:ascii="Arial" w:hAnsi="Arial" w:cs="Arial"/>
          <w:b/>
          <w:bCs/>
          <w:sz w:val="20"/>
          <w:szCs w:val="20"/>
          <w:lang w:eastAsia="pt-BR"/>
        </w:rPr>
        <w:t>99999</w:t>
      </w:r>
      <w:r w:rsidRPr="00826CF9">
        <w:rPr>
          <w:rFonts w:ascii="Arial" w:hAnsi="Arial" w:cs="Arial"/>
          <w:sz w:val="20"/>
          <w:szCs w:val="20"/>
          <w:lang w:eastAsia="pt-BR"/>
        </w:rPr>
        <w:t>&lt;/IdNumRegistro&gt;</w:t>
      </w:r>
    </w:p>
    <w:p w14:paraId="48676602" w14:textId="77777777" w:rsidR="00180538" w:rsidRPr="00826CF9" w:rsidRDefault="00180538" w:rsidP="00826CF9">
      <w:pPr>
        <w:spacing w:after="0" w:line="240" w:lineRule="auto"/>
        <w:ind w:right="600"/>
        <w:rPr>
          <w:rFonts w:ascii="Arial" w:hAnsi="Arial" w:cs="Arial"/>
          <w:sz w:val="20"/>
          <w:szCs w:val="20"/>
          <w:lang w:eastAsia="pt-BR"/>
        </w:rPr>
      </w:pPr>
      <w:r w:rsidRPr="00826CF9">
        <w:rPr>
          <w:rFonts w:ascii="Arial" w:hAnsi="Arial" w:cs="Arial"/>
          <w:sz w:val="20"/>
          <w:szCs w:val="20"/>
          <w:lang w:eastAsia="pt-BR"/>
        </w:rPr>
        <w:tab/>
      </w:r>
      <w:r w:rsidRPr="00826CF9">
        <w:rPr>
          <w:rFonts w:ascii="Arial" w:hAnsi="Arial" w:cs="Arial"/>
          <w:sz w:val="20"/>
          <w:szCs w:val="20"/>
          <w:lang w:eastAsia="pt-BR"/>
        </w:rPr>
        <w:tab/>
      </w:r>
      <w:r w:rsidRPr="00826CF9">
        <w:rPr>
          <w:rFonts w:ascii="Arial" w:hAnsi="Arial" w:cs="Arial"/>
          <w:sz w:val="20"/>
          <w:szCs w:val="20"/>
          <w:lang w:eastAsia="pt-BR"/>
        </w:rPr>
        <w:tab/>
        <w:t>&lt;Codigo&gt;</w:t>
      </w:r>
      <w:r w:rsidRPr="00826CF9">
        <w:rPr>
          <w:rFonts w:ascii="Arial" w:hAnsi="Arial" w:cs="Arial"/>
          <w:b/>
          <w:bCs/>
          <w:sz w:val="20"/>
          <w:szCs w:val="20"/>
          <w:lang w:eastAsia="pt-BR"/>
        </w:rPr>
        <w:t>XXXXXXXX</w:t>
      </w:r>
      <w:r w:rsidRPr="00826CF9">
        <w:rPr>
          <w:rFonts w:ascii="Arial" w:hAnsi="Arial" w:cs="Arial"/>
          <w:sz w:val="20"/>
          <w:szCs w:val="20"/>
          <w:lang w:eastAsia="pt-BR"/>
        </w:rPr>
        <w:t>&lt;/Codigo&gt;</w:t>
      </w:r>
    </w:p>
    <w:p w14:paraId="41C13F81" w14:textId="77777777" w:rsidR="00180538" w:rsidRPr="00826CF9" w:rsidRDefault="00180538" w:rsidP="00826CF9">
      <w:pPr>
        <w:spacing w:after="0" w:line="240" w:lineRule="auto"/>
        <w:ind w:left="1416" w:right="600" w:firstLine="708"/>
        <w:rPr>
          <w:rFonts w:ascii="Arial" w:hAnsi="Arial" w:cs="Arial"/>
          <w:sz w:val="20"/>
          <w:szCs w:val="20"/>
          <w:lang w:eastAsia="pt-BR"/>
        </w:rPr>
      </w:pPr>
      <w:r w:rsidRPr="00826CF9">
        <w:rPr>
          <w:rFonts w:ascii="Arial" w:hAnsi="Arial" w:cs="Arial"/>
          <w:sz w:val="20"/>
          <w:szCs w:val="20"/>
          <w:lang w:eastAsia="pt-BR"/>
        </w:rPr>
        <w:t>&lt;Valor&gt;</w:t>
      </w:r>
      <w:r w:rsidRPr="00826CF9">
        <w:rPr>
          <w:rFonts w:ascii="Arial" w:hAnsi="Arial" w:cs="Arial"/>
          <w:b/>
          <w:bCs/>
          <w:sz w:val="20"/>
          <w:szCs w:val="20"/>
          <w:lang w:eastAsia="pt-BR"/>
        </w:rPr>
        <w:t>99999999999999.99</w:t>
      </w:r>
      <w:r w:rsidRPr="00826CF9">
        <w:rPr>
          <w:rFonts w:ascii="Arial" w:hAnsi="Arial" w:cs="Arial"/>
          <w:sz w:val="20"/>
          <w:szCs w:val="20"/>
          <w:lang w:eastAsia="pt-BR"/>
        </w:rPr>
        <w:t xml:space="preserve">&lt;/Valor&gt; </w:t>
      </w:r>
    </w:p>
    <w:p w14:paraId="2DAE1D78" w14:textId="77777777" w:rsidR="00180538" w:rsidRPr="00826CF9" w:rsidRDefault="00180538" w:rsidP="00826CF9">
      <w:pPr>
        <w:spacing w:after="0" w:line="240" w:lineRule="auto"/>
        <w:ind w:right="600"/>
        <w:rPr>
          <w:rFonts w:ascii="Arial" w:hAnsi="Arial" w:cs="Arial"/>
          <w:sz w:val="20"/>
          <w:szCs w:val="20"/>
          <w:lang w:eastAsia="pt-BR"/>
        </w:rPr>
      </w:pPr>
      <w:r w:rsidRPr="00826CF9">
        <w:rPr>
          <w:rFonts w:ascii="Arial" w:hAnsi="Arial" w:cs="Arial"/>
          <w:sz w:val="20"/>
          <w:szCs w:val="20"/>
          <w:lang w:eastAsia="pt-BR"/>
        </w:rPr>
        <w:tab/>
      </w:r>
      <w:r w:rsidRPr="00826CF9">
        <w:rPr>
          <w:rFonts w:ascii="Arial" w:hAnsi="Arial" w:cs="Arial"/>
          <w:sz w:val="20"/>
          <w:szCs w:val="20"/>
          <w:lang w:eastAsia="pt-BR"/>
        </w:rPr>
        <w:tab/>
        <w:t>&lt;/BalancoOrcamentario&gt;</w:t>
      </w:r>
    </w:p>
    <w:p w14:paraId="0BAD43C3" w14:textId="77777777" w:rsidR="00180538" w:rsidRPr="00826CF9" w:rsidRDefault="00180538" w:rsidP="00826CF9">
      <w:pPr>
        <w:spacing w:after="0" w:line="240" w:lineRule="auto"/>
        <w:ind w:right="600"/>
        <w:rPr>
          <w:rFonts w:ascii="Arial" w:hAnsi="Arial" w:cs="Arial"/>
          <w:sz w:val="20"/>
          <w:szCs w:val="20"/>
          <w:lang w:eastAsia="pt-BR"/>
        </w:rPr>
      </w:pPr>
    </w:p>
    <w:p w14:paraId="2CD083EA" w14:textId="683DD61D" w:rsidR="00180538" w:rsidRPr="00826CF9" w:rsidRDefault="004A00C4" w:rsidP="004A00C4">
      <w:pPr>
        <w:spacing w:after="0" w:line="240" w:lineRule="auto"/>
        <w:ind w:right="600"/>
        <w:rPr>
          <w:rFonts w:ascii="Arial" w:hAnsi="Arial" w:cs="Arial"/>
          <w:sz w:val="20"/>
          <w:szCs w:val="20"/>
          <w:lang w:eastAsia="pt-BR"/>
        </w:rPr>
      </w:pPr>
      <w:r>
        <w:rPr>
          <w:rFonts w:ascii="Arial" w:hAnsi="Arial" w:cs="Arial"/>
          <w:sz w:val="20"/>
          <w:szCs w:val="20"/>
          <w:lang w:eastAsia="pt-BR"/>
        </w:rPr>
        <w:tab/>
      </w:r>
      <w:r w:rsidR="00180538" w:rsidRPr="00826CF9">
        <w:rPr>
          <w:rFonts w:ascii="Arial" w:hAnsi="Arial" w:cs="Arial"/>
          <w:sz w:val="20"/>
          <w:szCs w:val="20"/>
          <w:lang w:eastAsia="pt-BR"/>
        </w:rPr>
        <w:t>&lt;/BalancoOrcamentario_Schema&gt;</w:t>
      </w:r>
    </w:p>
    <w:p w14:paraId="56616141" w14:textId="77777777" w:rsidR="00180538" w:rsidRDefault="00180538" w:rsidP="00826CF9">
      <w:pPr>
        <w:spacing w:after="0" w:line="240" w:lineRule="auto"/>
        <w:rPr>
          <w:rFonts w:ascii="Arial" w:hAnsi="Arial" w:cs="Arial"/>
          <w:sz w:val="20"/>
          <w:szCs w:val="20"/>
          <w:lang w:eastAsia="pt-BR"/>
        </w:rPr>
      </w:pPr>
      <w:r w:rsidRPr="00826CF9">
        <w:rPr>
          <w:rFonts w:ascii="Arial" w:hAnsi="Arial" w:cs="Arial"/>
          <w:sz w:val="20"/>
          <w:szCs w:val="20"/>
          <w:lang w:eastAsia="pt-BR"/>
        </w:rPr>
        <w:t>&lt;/PrestacaoContasAnual&gt;</w:t>
      </w:r>
    </w:p>
    <w:p w14:paraId="70DCCBC2" w14:textId="77777777" w:rsidR="00826CF9" w:rsidRDefault="00826CF9" w:rsidP="00826CF9">
      <w:pPr>
        <w:spacing w:after="0" w:line="240" w:lineRule="auto"/>
        <w:rPr>
          <w:rFonts w:ascii="Arial" w:hAnsi="Arial" w:cs="Arial"/>
          <w:sz w:val="20"/>
          <w:szCs w:val="20"/>
          <w:lang w:eastAsia="pt-BR"/>
        </w:rPr>
      </w:pPr>
    </w:p>
    <w:p w14:paraId="6181C6D0" w14:textId="77777777" w:rsidR="00826CF9" w:rsidRDefault="00826CF9" w:rsidP="00826CF9">
      <w:pPr>
        <w:spacing w:after="0" w:line="240" w:lineRule="auto"/>
        <w:rPr>
          <w:rFonts w:ascii="Arial" w:hAnsi="Arial" w:cs="Arial"/>
          <w:sz w:val="20"/>
          <w:szCs w:val="20"/>
          <w:lang w:eastAsia="pt-BR"/>
        </w:rPr>
      </w:pPr>
    </w:p>
    <w:tbl>
      <w:tblPr>
        <w:tblW w:w="904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390"/>
        <w:gridCol w:w="1133"/>
        <w:gridCol w:w="1507"/>
        <w:gridCol w:w="3016"/>
      </w:tblGrid>
      <w:tr w:rsidR="00826CF9" w:rsidRPr="001B39F9" w14:paraId="3620A465" w14:textId="77777777" w:rsidTr="00EE0371">
        <w:trPr>
          <w:tblHeader/>
          <w:jc w:val="center"/>
        </w:trPr>
        <w:tc>
          <w:tcPr>
            <w:tcW w:w="3390" w:type="dxa"/>
            <w:tcBorders>
              <w:bottom w:val="single" w:sz="6" w:space="0" w:color="auto"/>
            </w:tcBorders>
            <w:shd w:val="solid" w:color="C0C0C0" w:fill="auto"/>
            <w:vAlign w:val="center"/>
          </w:tcPr>
          <w:p w14:paraId="4AB504C9" w14:textId="77777777" w:rsidR="00826CF9" w:rsidRPr="00826CF9" w:rsidRDefault="00826CF9" w:rsidP="00EE0371">
            <w:pPr>
              <w:spacing w:before="120" w:after="120" w:line="240" w:lineRule="auto"/>
              <w:jc w:val="center"/>
              <w:rPr>
                <w:rFonts w:ascii="Arial" w:hAnsi="Arial" w:cs="Arial"/>
                <w:b/>
                <w:sz w:val="20"/>
                <w:szCs w:val="20"/>
              </w:rPr>
            </w:pPr>
            <w:r w:rsidRPr="00826CF9">
              <w:rPr>
                <w:rFonts w:ascii="Arial" w:hAnsi="Arial" w:cs="Arial"/>
                <w:b/>
                <w:bCs/>
              </w:rPr>
              <w:br w:type="page"/>
            </w:r>
            <w:r w:rsidRPr="00826CF9">
              <w:rPr>
                <w:rFonts w:ascii="Arial" w:hAnsi="Arial" w:cs="Arial"/>
                <w:b/>
                <w:sz w:val="20"/>
                <w:szCs w:val="20"/>
              </w:rPr>
              <w:t>Campo</w:t>
            </w:r>
          </w:p>
        </w:tc>
        <w:tc>
          <w:tcPr>
            <w:tcW w:w="1133" w:type="dxa"/>
            <w:tcBorders>
              <w:bottom w:val="single" w:sz="6" w:space="0" w:color="auto"/>
            </w:tcBorders>
            <w:shd w:val="solid" w:color="C0C0C0" w:fill="auto"/>
            <w:vAlign w:val="center"/>
          </w:tcPr>
          <w:p w14:paraId="1D856A17" w14:textId="77777777" w:rsidR="00826CF9" w:rsidRPr="00826CF9" w:rsidRDefault="00826CF9" w:rsidP="00EE0371">
            <w:pPr>
              <w:spacing w:before="120" w:after="120" w:line="240" w:lineRule="auto"/>
              <w:jc w:val="center"/>
              <w:rPr>
                <w:rFonts w:ascii="Arial" w:hAnsi="Arial" w:cs="Arial"/>
                <w:b/>
                <w:sz w:val="20"/>
                <w:szCs w:val="20"/>
              </w:rPr>
            </w:pPr>
            <w:r w:rsidRPr="00826CF9">
              <w:rPr>
                <w:rFonts w:ascii="Arial" w:hAnsi="Arial" w:cs="Arial"/>
                <w:b/>
                <w:sz w:val="20"/>
                <w:szCs w:val="20"/>
              </w:rPr>
              <w:t>Tipo</w:t>
            </w:r>
          </w:p>
        </w:tc>
        <w:tc>
          <w:tcPr>
            <w:tcW w:w="1507" w:type="dxa"/>
            <w:tcBorders>
              <w:bottom w:val="single" w:sz="6" w:space="0" w:color="auto"/>
            </w:tcBorders>
            <w:shd w:val="solid" w:color="C0C0C0" w:fill="auto"/>
            <w:vAlign w:val="center"/>
          </w:tcPr>
          <w:p w14:paraId="2243AA62" w14:textId="77777777" w:rsidR="00826CF9" w:rsidRPr="00826CF9" w:rsidRDefault="00826CF9" w:rsidP="00EE0371">
            <w:pPr>
              <w:spacing w:before="120" w:after="120" w:line="240" w:lineRule="auto"/>
              <w:jc w:val="center"/>
              <w:rPr>
                <w:rFonts w:ascii="Arial" w:hAnsi="Arial" w:cs="Arial"/>
                <w:b/>
                <w:sz w:val="20"/>
                <w:szCs w:val="20"/>
              </w:rPr>
            </w:pPr>
            <w:r w:rsidRPr="00826CF9">
              <w:rPr>
                <w:rFonts w:ascii="Arial" w:hAnsi="Arial" w:cs="Arial"/>
                <w:b/>
                <w:sz w:val="20"/>
                <w:szCs w:val="20"/>
              </w:rPr>
              <w:t>Tamanho</w:t>
            </w:r>
          </w:p>
        </w:tc>
        <w:tc>
          <w:tcPr>
            <w:tcW w:w="3016" w:type="dxa"/>
            <w:tcBorders>
              <w:bottom w:val="single" w:sz="6" w:space="0" w:color="auto"/>
            </w:tcBorders>
            <w:shd w:val="solid" w:color="C0C0C0" w:fill="auto"/>
            <w:vAlign w:val="center"/>
          </w:tcPr>
          <w:p w14:paraId="18EC23A8" w14:textId="77777777" w:rsidR="00826CF9" w:rsidRPr="00826CF9" w:rsidRDefault="00826CF9" w:rsidP="00EE0371">
            <w:pPr>
              <w:spacing w:before="120" w:after="120" w:line="240" w:lineRule="auto"/>
              <w:jc w:val="center"/>
              <w:rPr>
                <w:rFonts w:ascii="Arial" w:hAnsi="Arial" w:cs="Arial"/>
                <w:b/>
                <w:sz w:val="20"/>
                <w:szCs w:val="20"/>
              </w:rPr>
            </w:pPr>
            <w:r w:rsidRPr="00826CF9">
              <w:rPr>
                <w:rFonts w:ascii="Arial" w:hAnsi="Arial" w:cs="Arial"/>
                <w:b/>
                <w:sz w:val="20"/>
                <w:szCs w:val="20"/>
              </w:rPr>
              <w:t>Obrigatoriedade</w:t>
            </w:r>
          </w:p>
        </w:tc>
      </w:tr>
      <w:tr w:rsidR="00826CF9" w:rsidRPr="000711D4" w14:paraId="1093A124" w14:textId="77777777" w:rsidTr="00EE0371">
        <w:trPr>
          <w:jc w:val="center"/>
        </w:trPr>
        <w:tc>
          <w:tcPr>
            <w:tcW w:w="9046" w:type="dxa"/>
            <w:gridSpan w:val="4"/>
            <w:shd w:val="solid" w:color="BFBFBF" w:themeColor="background1" w:themeShade="BF" w:fill="auto"/>
            <w:vAlign w:val="center"/>
          </w:tcPr>
          <w:p w14:paraId="1D4F91A8" w14:textId="77777777" w:rsidR="00826CF9" w:rsidRPr="00826CF9" w:rsidRDefault="00826CF9" w:rsidP="00EE0371">
            <w:pPr>
              <w:spacing w:before="120" w:after="120" w:line="240" w:lineRule="auto"/>
              <w:jc w:val="center"/>
              <w:rPr>
                <w:rFonts w:ascii="Arial" w:hAnsi="Arial" w:cs="Arial"/>
                <w:color w:val="FF0000"/>
                <w:sz w:val="20"/>
                <w:szCs w:val="20"/>
              </w:rPr>
            </w:pPr>
            <w:r w:rsidRPr="00826CF9">
              <w:rPr>
                <w:rFonts w:ascii="Arial" w:hAnsi="Arial" w:cs="Arial"/>
                <w:b/>
                <w:sz w:val="20"/>
                <w:szCs w:val="20"/>
              </w:rPr>
              <w:t>Estrutura ‘BalancoOrcamentario’</w:t>
            </w:r>
          </w:p>
        </w:tc>
      </w:tr>
      <w:tr w:rsidR="00826CF9" w:rsidRPr="000711D4" w14:paraId="5AE5E7D8" w14:textId="77777777" w:rsidTr="00EE0371">
        <w:trPr>
          <w:jc w:val="center"/>
        </w:trPr>
        <w:tc>
          <w:tcPr>
            <w:tcW w:w="3390" w:type="dxa"/>
            <w:vAlign w:val="center"/>
          </w:tcPr>
          <w:p w14:paraId="0A99A405" w14:textId="77777777" w:rsidR="00826CF9" w:rsidRPr="00826CF9" w:rsidRDefault="00826CF9" w:rsidP="00EE0371">
            <w:pPr>
              <w:spacing w:before="120" w:after="120" w:line="240" w:lineRule="auto"/>
              <w:jc w:val="center"/>
              <w:rPr>
                <w:rFonts w:ascii="Arial" w:hAnsi="Arial" w:cs="Arial"/>
                <w:sz w:val="20"/>
                <w:szCs w:val="20"/>
              </w:rPr>
            </w:pPr>
            <w:r w:rsidRPr="00826CF9">
              <w:rPr>
                <w:rFonts w:ascii="Arial" w:hAnsi="Arial" w:cs="Arial"/>
                <w:sz w:val="20"/>
                <w:szCs w:val="20"/>
              </w:rPr>
              <w:t>IdNumRegistro</w:t>
            </w:r>
          </w:p>
        </w:tc>
        <w:tc>
          <w:tcPr>
            <w:tcW w:w="1133" w:type="dxa"/>
            <w:vAlign w:val="center"/>
          </w:tcPr>
          <w:p w14:paraId="4336014C" w14:textId="77777777" w:rsidR="00826CF9" w:rsidRPr="00826CF9" w:rsidRDefault="00826CF9" w:rsidP="00EE0371">
            <w:pPr>
              <w:spacing w:before="120" w:after="120" w:line="240" w:lineRule="auto"/>
              <w:jc w:val="center"/>
              <w:rPr>
                <w:rFonts w:ascii="Arial" w:hAnsi="Arial" w:cs="Arial"/>
                <w:sz w:val="20"/>
                <w:szCs w:val="20"/>
              </w:rPr>
            </w:pPr>
            <w:r w:rsidRPr="00826CF9">
              <w:rPr>
                <w:rFonts w:ascii="Arial" w:hAnsi="Arial" w:cs="Arial"/>
                <w:sz w:val="20"/>
                <w:szCs w:val="20"/>
              </w:rPr>
              <w:t>Inteiro</w:t>
            </w:r>
          </w:p>
        </w:tc>
        <w:tc>
          <w:tcPr>
            <w:tcW w:w="1507" w:type="dxa"/>
            <w:vAlign w:val="center"/>
          </w:tcPr>
          <w:p w14:paraId="09DCA445" w14:textId="77777777" w:rsidR="00826CF9" w:rsidRPr="00826CF9" w:rsidRDefault="00826CF9" w:rsidP="00EE0371">
            <w:pPr>
              <w:spacing w:before="120" w:after="120" w:line="240" w:lineRule="auto"/>
              <w:jc w:val="center"/>
              <w:rPr>
                <w:rFonts w:ascii="Arial" w:hAnsi="Arial" w:cs="Arial"/>
                <w:sz w:val="20"/>
                <w:szCs w:val="20"/>
              </w:rPr>
            </w:pPr>
            <w:r w:rsidRPr="00826CF9">
              <w:rPr>
                <w:rFonts w:ascii="Arial" w:hAnsi="Arial" w:cs="Arial"/>
                <w:sz w:val="20"/>
                <w:szCs w:val="20"/>
              </w:rPr>
              <w:t>05</w:t>
            </w:r>
          </w:p>
        </w:tc>
        <w:tc>
          <w:tcPr>
            <w:tcW w:w="3016" w:type="dxa"/>
            <w:vAlign w:val="center"/>
          </w:tcPr>
          <w:p w14:paraId="70968E81" w14:textId="77777777" w:rsidR="00826CF9" w:rsidRPr="00826CF9" w:rsidRDefault="00826CF9" w:rsidP="00EE0371">
            <w:pPr>
              <w:spacing w:before="120" w:after="120" w:line="240" w:lineRule="auto"/>
              <w:jc w:val="center"/>
              <w:rPr>
                <w:rFonts w:ascii="Arial" w:hAnsi="Arial" w:cs="Arial"/>
                <w:color w:val="FF0000"/>
                <w:sz w:val="20"/>
                <w:szCs w:val="20"/>
              </w:rPr>
            </w:pPr>
            <w:r w:rsidRPr="00826CF9">
              <w:rPr>
                <w:rFonts w:ascii="Arial" w:hAnsi="Arial" w:cs="Arial"/>
                <w:sz w:val="20"/>
                <w:szCs w:val="20"/>
              </w:rPr>
              <w:t>Obrigatório</w:t>
            </w:r>
          </w:p>
        </w:tc>
      </w:tr>
      <w:tr w:rsidR="00826CF9" w:rsidRPr="00642E83" w14:paraId="4A37D2C4" w14:textId="77777777" w:rsidTr="00EE0371">
        <w:trPr>
          <w:jc w:val="center"/>
        </w:trPr>
        <w:tc>
          <w:tcPr>
            <w:tcW w:w="3390" w:type="dxa"/>
            <w:vAlign w:val="center"/>
          </w:tcPr>
          <w:p w14:paraId="40FC2269" w14:textId="77777777" w:rsidR="00826CF9" w:rsidRPr="00826CF9" w:rsidRDefault="00826CF9" w:rsidP="00EE0371">
            <w:pPr>
              <w:spacing w:before="120" w:after="120" w:line="240" w:lineRule="auto"/>
              <w:jc w:val="center"/>
              <w:rPr>
                <w:rFonts w:ascii="Arial" w:hAnsi="Arial" w:cs="Arial"/>
                <w:sz w:val="20"/>
                <w:szCs w:val="20"/>
              </w:rPr>
            </w:pPr>
            <w:r w:rsidRPr="00826CF9">
              <w:rPr>
                <w:rFonts w:ascii="Arial" w:hAnsi="Arial" w:cs="Arial"/>
                <w:sz w:val="20"/>
                <w:szCs w:val="20"/>
                <w:lang w:eastAsia="pt-BR"/>
              </w:rPr>
              <w:t>Codigo</w:t>
            </w:r>
          </w:p>
        </w:tc>
        <w:tc>
          <w:tcPr>
            <w:tcW w:w="1133" w:type="dxa"/>
            <w:vAlign w:val="center"/>
          </w:tcPr>
          <w:p w14:paraId="23C0E0ED" w14:textId="77777777" w:rsidR="00826CF9" w:rsidRPr="00826CF9" w:rsidRDefault="00826CF9" w:rsidP="00EE0371">
            <w:pPr>
              <w:spacing w:before="120" w:after="120" w:line="240" w:lineRule="auto"/>
              <w:jc w:val="center"/>
              <w:rPr>
                <w:rFonts w:ascii="Arial" w:hAnsi="Arial" w:cs="Arial"/>
                <w:sz w:val="20"/>
                <w:szCs w:val="20"/>
              </w:rPr>
            </w:pPr>
            <w:r w:rsidRPr="00826CF9">
              <w:rPr>
                <w:rFonts w:ascii="Arial" w:hAnsi="Arial" w:cs="Arial"/>
                <w:sz w:val="20"/>
                <w:szCs w:val="20"/>
              </w:rPr>
              <w:t>Caracter</w:t>
            </w:r>
          </w:p>
        </w:tc>
        <w:tc>
          <w:tcPr>
            <w:tcW w:w="1507" w:type="dxa"/>
            <w:vAlign w:val="center"/>
          </w:tcPr>
          <w:p w14:paraId="3981A237" w14:textId="77777777" w:rsidR="00826CF9" w:rsidRPr="00826CF9" w:rsidRDefault="00826CF9" w:rsidP="00EE0371">
            <w:pPr>
              <w:spacing w:before="120" w:after="120" w:line="240" w:lineRule="auto"/>
              <w:jc w:val="center"/>
              <w:rPr>
                <w:rFonts w:ascii="Arial" w:hAnsi="Arial" w:cs="Arial"/>
                <w:sz w:val="20"/>
                <w:szCs w:val="20"/>
              </w:rPr>
            </w:pPr>
            <w:r w:rsidRPr="00826CF9">
              <w:rPr>
                <w:rFonts w:ascii="Arial" w:hAnsi="Arial" w:cs="Arial"/>
                <w:sz w:val="20"/>
                <w:szCs w:val="20"/>
              </w:rPr>
              <w:t>08</w:t>
            </w:r>
          </w:p>
        </w:tc>
        <w:tc>
          <w:tcPr>
            <w:tcW w:w="3016" w:type="dxa"/>
            <w:vAlign w:val="center"/>
          </w:tcPr>
          <w:p w14:paraId="3D38E1B6" w14:textId="77777777" w:rsidR="00826CF9" w:rsidRPr="00826CF9" w:rsidRDefault="00826CF9" w:rsidP="00EE0371">
            <w:pPr>
              <w:spacing w:before="120" w:after="120" w:line="240" w:lineRule="auto"/>
              <w:jc w:val="center"/>
              <w:rPr>
                <w:rFonts w:ascii="Arial" w:hAnsi="Arial" w:cs="Arial"/>
                <w:sz w:val="20"/>
                <w:szCs w:val="20"/>
              </w:rPr>
            </w:pPr>
            <w:r w:rsidRPr="00826CF9">
              <w:rPr>
                <w:rFonts w:ascii="Arial" w:hAnsi="Arial" w:cs="Arial"/>
                <w:sz w:val="20"/>
                <w:szCs w:val="20"/>
              </w:rPr>
              <w:t xml:space="preserve">Obrigatório. Ver Tabela 1 deste Anexo </w:t>
            </w:r>
          </w:p>
        </w:tc>
      </w:tr>
      <w:tr w:rsidR="00826CF9" w:rsidRPr="00642E83" w14:paraId="0689E48D" w14:textId="77777777" w:rsidTr="00EE0371">
        <w:trPr>
          <w:jc w:val="center"/>
        </w:trPr>
        <w:tc>
          <w:tcPr>
            <w:tcW w:w="3390" w:type="dxa"/>
            <w:vAlign w:val="center"/>
          </w:tcPr>
          <w:p w14:paraId="5A9D8643" w14:textId="77777777" w:rsidR="00826CF9" w:rsidRPr="00826CF9" w:rsidRDefault="00826CF9" w:rsidP="00EE0371">
            <w:pPr>
              <w:spacing w:before="120" w:after="120" w:line="240" w:lineRule="auto"/>
              <w:jc w:val="center"/>
              <w:rPr>
                <w:rFonts w:ascii="Arial" w:hAnsi="Arial" w:cs="Arial"/>
                <w:sz w:val="20"/>
                <w:szCs w:val="20"/>
              </w:rPr>
            </w:pPr>
            <w:r w:rsidRPr="00826CF9">
              <w:rPr>
                <w:rFonts w:ascii="Arial" w:hAnsi="Arial" w:cs="Arial"/>
                <w:sz w:val="20"/>
                <w:szCs w:val="20"/>
              </w:rPr>
              <w:t>Valor</w:t>
            </w:r>
          </w:p>
        </w:tc>
        <w:tc>
          <w:tcPr>
            <w:tcW w:w="1133" w:type="dxa"/>
            <w:vAlign w:val="center"/>
          </w:tcPr>
          <w:p w14:paraId="6834A91B" w14:textId="77777777" w:rsidR="00826CF9" w:rsidRPr="00826CF9" w:rsidRDefault="00826CF9" w:rsidP="00EE0371">
            <w:pPr>
              <w:spacing w:before="120" w:after="120" w:line="240" w:lineRule="auto"/>
              <w:jc w:val="center"/>
              <w:rPr>
                <w:rFonts w:ascii="Arial" w:hAnsi="Arial" w:cs="Arial"/>
                <w:sz w:val="20"/>
                <w:szCs w:val="20"/>
              </w:rPr>
            </w:pPr>
            <w:r w:rsidRPr="00826CF9">
              <w:rPr>
                <w:rFonts w:ascii="Arial" w:hAnsi="Arial" w:cs="Arial"/>
                <w:sz w:val="20"/>
                <w:szCs w:val="20"/>
              </w:rPr>
              <w:t>Decimal</w:t>
            </w:r>
          </w:p>
        </w:tc>
        <w:tc>
          <w:tcPr>
            <w:tcW w:w="1507" w:type="dxa"/>
            <w:vAlign w:val="center"/>
          </w:tcPr>
          <w:p w14:paraId="474858CF" w14:textId="77777777" w:rsidR="00826CF9" w:rsidRPr="00826CF9" w:rsidRDefault="00826CF9" w:rsidP="00EE0371">
            <w:pPr>
              <w:spacing w:before="120" w:after="120" w:line="240" w:lineRule="auto"/>
              <w:jc w:val="center"/>
              <w:rPr>
                <w:rFonts w:ascii="Arial" w:hAnsi="Arial" w:cs="Arial"/>
                <w:sz w:val="20"/>
                <w:szCs w:val="20"/>
              </w:rPr>
            </w:pPr>
            <w:r w:rsidRPr="00826CF9">
              <w:rPr>
                <w:rFonts w:ascii="Arial" w:hAnsi="Arial" w:cs="Arial"/>
                <w:sz w:val="20"/>
                <w:szCs w:val="20"/>
              </w:rPr>
              <w:t>(14,2)</w:t>
            </w:r>
          </w:p>
        </w:tc>
        <w:tc>
          <w:tcPr>
            <w:tcW w:w="3016" w:type="dxa"/>
            <w:vAlign w:val="center"/>
          </w:tcPr>
          <w:p w14:paraId="3D83DB89" w14:textId="77777777" w:rsidR="00826CF9" w:rsidRPr="00826CF9" w:rsidRDefault="00826CF9" w:rsidP="00EE0371">
            <w:pPr>
              <w:spacing w:before="120" w:after="120" w:line="240" w:lineRule="auto"/>
              <w:jc w:val="center"/>
              <w:rPr>
                <w:rFonts w:ascii="Arial" w:hAnsi="Arial" w:cs="Arial"/>
                <w:sz w:val="20"/>
                <w:szCs w:val="20"/>
              </w:rPr>
            </w:pPr>
            <w:r w:rsidRPr="00826CF9">
              <w:rPr>
                <w:rFonts w:ascii="Arial" w:hAnsi="Arial" w:cs="Arial"/>
                <w:sz w:val="20"/>
                <w:szCs w:val="20"/>
              </w:rPr>
              <w:t>Obrigatório</w:t>
            </w:r>
          </w:p>
        </w:tc>
      </w:tr>
    </w:tbl>
    <w:p w14:paraId="51BB23A2" w14:textId="77777777" w:rsidR="00180538" w:rsidRPr="00826CF9" w:rsidRDefault="00180538" w:rsidP="00826CF9">
      <w:pPr>
        <w:spacing w:after="0" w:line="240" w:lineRule="auto"/>
        <w:rPr>
          <w:rFonts w:ascii="Arial" w:hAnsi="Arial" w:cs="Arial"/>
          <w:b/>
          <w:bCs/>
          <w:sz w:val="20"/>
          <w:szCs w:val="20"/>
        </w:rPr>
      </w:pPr>
    </w:p>
    <w:p w14:paraId="6F8EBB20" w14:textId="77777777" w:rsidR="00180538" w:rsidRPr="00826CF9" w:rsidRDefault="00180538" w:rsidP="00826CF9">
      <w:pPr>
        <w:spacing w:after="0" w:line="240" w:lineRule="auto"/>
        <w:rPr>
          <w:rFonts w:ascii="Arial" w:eastAsia="Times New Roman" w:hAnsi="Arial" w:cs="Arial"/>
          <w:b/>
          <w:sz w:val="20"/>
          <w:szCs w:val="20"/>
          <w:lang w:eastAsia="pt-BR"/>
        </w:rPr>
      </w:pPr>
    </w:p>
    <w:p w14:paraId="5ECD80D6" w14:textId="77777777" w:rsidR="00180538" w:rsidRPr="00180538" w:rsidRDefault="00180538" w:rsidP="00180538">
      <w:pPr>
        <w:rPr>
          <w:rFonts w:ascii="Arial" w:eastAsia="Times New Roman" w:hAnsi="Arial" w:cs="Arial"/>
          <w:szCs w:val="24"/>
          <w:lang w:eastAsia="pt-BR"/>
        </w:rPr>
      </w:pPr>
    </w:p>
    <w:p w14:paraId="6C32C327" w14:textId="77777777" w:rsidR="00000DBD" w:rsidRDefault="00000DBD" w:rsidP="00180538">
      <w:pPr>
        <w:rPr>
          <w:rFonts w:eastAsia="Times New Roman" w:cs="Arial"/>
          <w:szCs w:val="24"/>
          <w:lang w:eastAsia="pt-BR"/>
        </w:rPr>
        <w:sectPr w:rsidR="00000DBD" w:rsidSect="00E7482B">
          <w:pgSz w:w="11906" w:h="16838"/>
          <w:pgMar w:top="1417" w:right="1133" w:bottom="1417" w:left="1701" w:header="708" w:footer="708" w:gutter="0"/>
          <w:cols w:space="708"/>
          <w:docGrid w:linePitch="360"/>
        </w:sectPr>
      </w:pPr>
    </w:p>
    <w:p w14:paraId="727594B1" w14:textId="77777777" w:rsidR="00180538" w:rsidRDefault="00180538" w:rsidP="00180538">
      <w:pPr>
        <w:rPr>
          <w:rFonts w:eastAsia="Times New Roman" w:cs="Arial"/>
          <w:szCs w:val="24"/>
          <w:lang w:eastAsia="pt-BR"/>
        </w:rPr>
      </w:pPr>
    </w:p>
    <w:p w14:paraId="23D64F4D" w14:textId="77777777" w:rsidR="009C39C3" w:rsidRPr="00B91C82" w:rsidRDefault="009C39C3" w:rsidP="009C39C3">
      <w:pPr>
        <w:spacing w:line="240" w:lineRule="auto"/>
        <w:jc w:val="center"/>
        <w:rPr>
          <w:rFonts w:ascii="Arial" w:eastAsia="Times New Roman" w:hAnsi="Arial" w:cs="Arial"/>
          <w:b/>
          <w:bCs/>
          <w:sz w:val="20"/>
          <w:szCs w:val="20"/>
          <w:lang w:eastAsia="pt-BR"/>
        </w:rPr>
      </w:pPr>
      <w:r w:rsidRPr="00B91C82">
        <w:rPr>
          <w:rFonts w:ascii="Arial" w:eastAsia="Times New Roman" w:hAnsi="Arial" w:cs="Arial"/>
          <w:b/>
          <w:bCs/>
          <w:sz w:val="20"/>
          <w:szCs w:val="20"/>
          <w:lang w:eastAsia="pt-BR"/>
        </w:rPr>
        <w:t>TABELA 1 - BALANÇO ORÇAMENTÁRIO</w:t>
      </w:r>
    </w:p>
    <w:p w14:paraId="6FAD0055" w14:textId="77777777" w:rsidR="009C39C3" w:rsidRPr="009C39C3" w:rsidRDefault="009C39C3" w:rsidP="009C39C3">
      <w:pPr>
        <w:spacing w:line="240" w:lineRule="auto"/>
        <w:jc w:val="center"/>
        <w:rPr>
          <w:rFonts w:ascii="Arial" w:eastAsia="Times New Roman" w:hAnsi="Arial" w:cs="Arial"/>
          <w:b/>
          <w:bCs/>
          <w:sz w:val="20"/>
          <w:szCs w:val="20"/>
          <w:lang w:eastAsia="pt-BR"/>
        </w:rPr>
      </w:pPr>
      <w:r w:rsidRPr="009C39C3">
        <w:rPr>
          <w:rFonts w:ascii="Arial" w:eastAsia="Times New Roman" w:hAnsi="Arial" w:cs="Arial"/>
          <w:b/>
          <w:bCs/>
          <w:sz w:val="20"/>
          <w:szCs w:val="20"/>
          <w:lang w:eastAsia="pt-BR"/>
        </w:rPr>
        <w:t>RECEITA – MUNICÍPIOS E CONSÓRCIOS</w:t>
      </w:r>
    </w:p>
    <w:tbl>
      <w:tblPr>
        <w:tblW w:w="14100" w:type="dxa"/>
        <w:tblInd w:w="55" w:type="dxa"/>
        <w:tblCellMar>
          <w:left w:w="70" w:type="dxa"/>
          <w:right w:w="70" w:type="dxa"/>
        </w:tblCellMar>
        <w:tblLook w:val="04A0" w:firstRow="1" w:lastRow="0" w:firstColumn="1" w:lastColumn="0" w:noHBand="0" w:noVBand="1"/>
      </w:tblPr>
      <w:tblGrid>
        <w:gridCol w:w="6100"/>
        <w:gridCol w:w="2480"/>
        <w:gridCol w:w="1820"/>
        <w:gridCol w:w="1920"/>
        <w:gridCol w:w="1780"/>
      </w:tblGrid>
      <w:tr w:rsidR="009C39C3" w:rsidRPr="009C39C3" w14:paraId="2146A2D5" w14:textId="77777777" w:rsidTr="004A7DC5">
        <w:trPr>
          <w:trHeight w:val="270"/>
        </w:trPr>
        <w:tc>
          <w:tcPr>
            <w:tcW w:w="6100" w:type="dxa"/>
            <w:vMerge w:val="restart"/>
            <w:tcBorders>
              <w:top w:val="single" w:sz="8" w:space="0" w:color="auto"/>
              <w:left w:val="single" w:sz="8" w:space="0" w:color="auto"/>
              <w:bottom w:val="single" w:sz="8" w:space="0" w:color="000000"/>
              <w:right w:val="single" w:sz="8" w:space="0" w:color="auto"/>
            </w:tcBorders>
            <w:shd w:val="clear" w:color="000000" w:fill="F2F2F2"/>
            <w:vAlign w:val="center"/>
            <w:hideMark/>
          </w:tcPr>
          <w:p w14:paraId="5AF2A208" w14:textId="77777777" w:rsidR="009C39C3" w:rsidRPr="009C39C3" w:rsidRDefault="009C39C3" w:rsidP="004A7DC5">
            <w:pPr>
              <w:spacing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RECEITAS ORÇAMENTÁRIAS</w:t>
            </w:r>
          </w:p>
        </w:tc>
        <w:tc>
          <w:tcPr>
            <w:tcW w:w="2480" w:type="dxa"/>
            <w:tcBorders>
              <w:top w:val="single" w:sz="8" w:space="0" w:color="auto"/>
              <w:left w:val="nil"/>
              <w:bottom w:val="nil"/>
              <w:right w:val="single" w:sz="8" w:space="0" w:color="auto"/>
            </w:tcBorders>
            <w:shd w:val="clear" w:color="000000" w:fill="F2F2F2"/>
            <w:vAlign w:val="center"/>
            <w:hideMark/>
          </w:tcPr>
          <w:p w14:paraId="293EEF24" w14:textId="77777777" w:rsidR="009C39C3" w:rsidRPr="009C39C3" w:rsidRDefault="009C39C3" w:rsidP="004A7DC5">
            <w:pPr>
              <w:spacing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 xml:space="preserve">PREVISÃO </w:t>
            </w:r>
          </w:p>
        </w:tc>
        <w:tc>
          <w:tcPr>
            <w:tcW w:w="1820" w:type="dxa"/>
            <w:tcBorders>
              <w:top w:val="single" w:sz="8" w:space="0" w:color="auto"/>
              <w:left w:val="nil"/>
              <w:bottom w:val="nil"/>
              <w:right w:val="single" w:sz="8" w:space="0" w:color="auto"/>
            </w:tcBorders>
            <w:shd w:val="clear" w:color="000000" w:fill="F2F2F2"/>
            <w:vAlign w:val="center"/>
            <w:hideMark/>
          </w:tcPr>
          <w:p w14:paraId="6E68F092" w14:textId="77777777" w:rsidR="009C39C3" w:rsidRPr="009C39C3" w:rsidRDefault="009C39C3" w:rsidP="004A7DC5">
            <w:pPr>
              <w:spacing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 xml:space="preserve">PREVISÃO </w:t>
            </w:r>
          </w:p>
        </w:tc>
        <w:tc>
          <w:tcPr>
            <w:tcW w:w="1920" w:type="dxa"/>
            <w:tcBorders>
              <w:top w:val="single" w:sz="8" w:space="0" w:color="auto"/>
              <w:left w:val="nil"/>
              <w:bottom w:val="nil"/>
              <w:right w:val="single" w:sz="8" w:space="0" w:color="auto"/>
            </w:tcBorders>
            <w:shd w:val="clear" w:color="000000" w:fill="F2F2F2"/>
            <w:vAlign w:val="center"/>
            <w:hideMark/>
          </w:tcPr>
          <w:p w14:paraId="4AE20F98" w14:textId="77777777" w:rsidR="009C39C3" w:rsidRPr="009C39C3" w:rsidRDefault="009C39C3" w:rsidP="004A7DC5">
            <w:pPr>
              <w:spacing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 xml:space="preserve">RECEITAS </w:t>
            </w:r>
          </w:p>
        </w:tc>
        <w:tc>
          <w:tcPr>
            <w:tcW w:w="1780" w:type="dxa"/>
            <w:tcBorders>
              <w:top w:val="single" w:sz="8" w:space="0" w:color="auto"/>
              <w:left w:val="nil"/>
              <w:bottom w:val="nil"/>
              <w:right w:val="single" w:sz="8" w:space="0" w:color="auto"/>
            </w:tcBorders>
            <w:shd w:val="clear" w:color="000000" w:fill="F2F2F2"/>
            <w:vAlign w:val="center"/>
            <w:hideMark/>
          </w:tcPr>
          <w:p w14:paraId="5D7D0C1D" w14:textId="77777777" w:rsidR="009C39C3" w:rsidRPr="009C39C3" w:rsidRDefault="009C39C3" w:rsidP="004A7DC5">
            <w:pPr>
              <w:spacing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SALDO</w:t>
            </w:r>
          </w:p>
        </w:tc>
      </w:tr>
      <w:tr w:rsidR="009C39C3" w:rsidRPr="009C39C3" w14:paraId="7865D9C9" w14:textId="77777777" w:rsidTr="004A7DC5">
        <w:trPr>
          <w:trHeight w:val="285"/>
        </w:trPr>
        <w:tc>
          <w:tcPr>
            <w:tcW w:w="6100" w:type="dxa"/>
            <w:vMerge/>
            <w:tcBorders>
              <w:top w:val="single" w:sz="8" w:space="0" w:color="auto"/>
              <w:left w:val="single" w:sz="8" w:space="0" w:color="auto"/>
              <w:bottom w:val="single" w:sz="8" w:space="0" w:color="000000"/>
              <w:right w:val="single" w:sz="8" w:space="0" w:color="auto"/>
            </w:tcBorders>
            <w:vAlign w:val="center"/>
            <w:hideMark/>
          </w:tcPr>
          <w:p w14:paraId="2DE1873E" w14:textId="77777777" w:rsidR="009C39C3" w:rsidRPr="009C39C3" w:rsidRDefault="009C39C3" w:rsidP="004A7DC5">
            <w:pPr>
              <w:spacing w:line="240" w:lineRule="auto"/>
              <w:rPr>
                <w:rFonts w:ascii="Arial Narrow" w:eastAsia="Times New Roman" w:hAnsi="Arial Narrow" w:cs="Arial"/>
                <w:b/>
                <w:bCs/>
                <w:sz w:val="18"/>
                <w:szCs w:val="18"/>
                <w:lang w:eastAsia="pt-BR"/>
              </w:rPr>
            </w:pPr>
          </w:p>
        </w:tc>
        <w:tc>
          <w:tcPr>
            <w:tcW w:w="2480" w:type="dxa"/>
            <w:tcBorders>
              <w:top w:val="nil"/>
              <w:left w:val="nil"/>
              <w:bottom w:val="single" w:sz="8" w:space="0" w:color="auto"/>
              <w:right w:val="single" w:sz="8" w:space="0" w:color="auto"/>
            </w:tcBorders>
            <w:shd w:val="clear" w:color="000000" w:fill="F2F2F2"/>
            <w:vAlign w:val="center"/>
            <w:hideMark/>
          </w:tcPr>
          <w:p w14:paraId="400E2266" w14:textId="77777777" w:rsidR="009C39C3" w:rsidRPr="009C39C3" w:rsidRDefault="009C39C3" w:rsidP="004A7DC5">
            <w:pPr>
              <w:spacing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INICIAL (a)</w:t>
            </w:r>
          </w:p>
        </w:tc>
        <w:tc>
          <w:tcPr>
            <w:tcW w:w="1820" w:type="dxa"/>
            <w:tcBorders>
              <w:top w:val="nil"/>
              <w:left w:val="nil"/>
              <w:bottom w:val="single" w:sz="8" w:space="0" w:color="auto"/>
              <w:right w:val="single" w:sz="8" w:space="0" w:color="auto"/>
            </w:tcBorders>
            <w:shd w:val="clear" w:color="000000" w:fill="F2F2F2"/>
            <w:vAlign w:val="center"/>
            <w:hideMark/>
          </w:tcPr>
          <w:p w14:paraId="794A8AD4" w14:textId="77777777" w:rsidR="009C39C3" w:rsidRPr="009C39C3" w:rsidRDefault="009C39C3" w:rsidP="004A7DC5">
            <w:pPr>
              <w:spacing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ATUALIZADA (b)</w:t>
            </w:r>
          </w:p>
        </w:tc>
        <w:tc>
          <w:tcPr>
            <w:tcW w:w="1920" w:type="dxa"/>
            <w:tcBorders>
              <w:top w:val="nil"/>
              <w:left w:val="nil"/>
              <w:bottom w:val="single" w:sz="8" w:space="0" w:color="auto"/>
              <w:right w:val="single" w:sz="8" w:space="0" w:color="auto"/>
            </w:tcBorders>
            <w:shd w:val="clear" w:color="000000" w:fill="F2F2F2"/>
            <w:vAlign w:val="center"/>
            <w:hideMark/>
          </w:tcPr>
          <w:p w14:paraId="3BBCD6CF" w14:textId="77777777" w:rsidR="009C39C3" w:rsidRPr="009C39C3" w:rsidRDefault="009C39C3" w:rsidP="004A7DC5">
            <w:pPr>
              <w:spacing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REALIZADAS (c)</w:t>
            </w:r>
          </w:p>
        </w:tc>
        <w:tc>
          <w:tcPr>
            <w:tcW w:w="1780" w:type="dxa"/>
            <w:tcBorders>
              <w:top w:val="nil"/>
              <w:left w:val="nil"/>
              <w:bottom w:val="single" w:sz="8" w:space="0" w:color="auto"/>
              <w:right w:val="single" w:sz="8" w:space="0" w:color="auto"/>
            </w:tcBorders>
            <w:shd w:val="clear" w:color="000000" w:fill="F2F2F2"/>
            <w:vAlign w:val="center"/>
            <w:hideMark/>
          </w:tcPr>
          <w:p w14:paraId="56899D56" w14:textId="77777777" w:rsidR="009C39C3" w:rsidRPr="009C39C3" w:rsidRDefault="009C39C3" w:rsidP="004A7DC5">
            <w:pPr>
              <w:spacing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(d) = (c-b)</w:t>
            </w:r>
          </w:p>
        </w:tc>
      </w:tr>
      <w:tr w:rsidR="009C39C3" w:rsidRPr="009C39C3" w14:paraId="2E226A62" w14:textId="77777777" w:rsidTr="004A7DC5">
        <w:trPr>
          <w:trHeight w:val="270"/>
        </w:trPr>
        <w:tc>
          <w:tcPr>
            <w:tcW w:w="6100" w:type="dxa"/>
            <w:tcBorders>
              <w:top w:val="nil"/>
              <w:left w:val="single" w:sz="8" w:space="0" w:color="auto"/>
              <w:bottom w:val="nil"/>
              <w:right w:val="single" w:sz="8" w:space="0" w:color="auto"/>
            </w:tcBorders>
            <w:shd w:val="clear" w:color="auto" w:fill="auto"/>
            <w:vAlign w:val="center"/>
            <w:hideMark/>
          </w:tcPr>
          <w:p w14:paraId="7660E349" w14:textId="77777777" w:rsidR="009C39C3" w:rsidRPr="009C39C3" w:rsidRDefault="009C39C3" w:rsidP="004A7DC5">
            <w:pPr>
              <w:spacing w:after="0" w:line="240" w:lineRule="auto"/>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RECEITAS CORRENTES (I)</w:t>
            </w:r>
          </w:p>
        </w:tc>
        <w:tc>
          <w:tcPr>
            <w:tcW w:w="2480" w:type="dxa"/>
            <w:tcBorders>
              <w:top w:val="nil"/>
              <w:left w:val="nil"/>
              <w:bottom w:val="nil"/>
              <w:right w:val="single" w:sz="8" w:space="0" w:color="auto"/>
            </w:tcBorders>
            <w:shd w:val="clear" w:color="auto" w:fill="auto"/>
            <w:vAlign w:val="center"/>
            <w:hideMark/>
          </w:tcPr>
          <w:p w14:paraId="7DFC5DAE" w14:textId="77777777" w:rsidR="009C39C3" w:rsidRPr="009C39C3" w:rsidRDefault="009C39C3" w:rsidP="004A7DC5">
            <w:pPr>
              <w:spacing w:after="0"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BOR.C011</w:t>
            </w:r>
          </w:p>
        </w:tc>
        <w:tc>
          <w:tcPr>
            <w:tcW w:w="1820" w:type="dxa"/>
            <w:tcBorders>
              <w:top w:val="nil"/>
              <w:left w:val="nil"/>
              <w:bottom w:val="nil"/>
              <w:right w:val="single" w:sz="8" w:space="0" w:color="auto"/>
            </w:tcBorders>
            <w:shd w:val="clear" w:color="auto" w:fill="auto"/>
            <w:vAlign w:val="center"/>
            <w:hideMark/>
          </w:tcPr>
          <w:p w14:paraId="55A2C748" w14:textId="77777777" w:rsidR="009C39C3" w:rsidRPr="009C39C3" w:rsidRDefault="009C39C3" w:rsidP="004A7DC5">
            <w:pPr>
              <w:spacing w:after="0"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BOR.D011</w:t>
            </w:r>
          </w:p>
        </w:tc>
        <w:tc>
          <w:tcPr>
            <w:tcW w:w="1920" w:type="dxa"/>
            <w:tcBorders>
              <w:top w:val="nil"/>
              <w:left w:val="nil"/>
              <w:bottom w:val="nil"/>
              <w:right w:val="single" w:sz="8" w:space="0" w:color="auto"/>
            </w:tcBorders>
            <w:shd w:val="clear" w:color="auto" w:fill="auto"/>
            <w:vAlign w:val="center"/>
            <w:hideMark/>
          </w:tcPr>
          <w:p w14:paraId="60C404B9" w14:textId="77777777" w:rsidR="009C39C3" w:rsidRPr="009C39C3" w:rsidRDefault="009C39C3" w:rsidP="004A7DC5">
            <w:pPr>
              <w:spacing w:after="0"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BOR.E011</w:t>
            </w:r>
          </w:p>
        </w:tc>
        <w:tc>
          <w:tcPr>
            <w:tcW w:w="1780" w:type="dxa"/>
            <w:tcBorders>
              <w:top w:val="nil"/>
              <w:left w:val="nil"/>
              <w:bottom w:val="nil"/>
              <w:right w:val="single" w:sz="8" w:space="0" w:color="auto"/>
            </w:tcBorders>
            <w:shd w:val="clear" w:color="auto" w:fill="auto"/>
            <w:vAlign w:val="center"/>
            <w:hideMark/>
          </w:tcPr>
          <w:p w14:paraId="5AF618CE" w14:textId="77777777" w:rsidR="009C39C3" w:rsidRPr="009C39C3" w:rsidRDefault="009C39C3" w:rsidP="004A7DC5">
            <w:pPr>
              <w:spacing w:after="0"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BOR.F011</w:t>
            </w:r>
          </w:p>
        </w:tc>
      </w:tr>
      <w:tr w:rsidR="009C39C3" w:rsidRPr="009C39C3" w14:paraId="2F1ADC5F" w14:textId="77777777" w:rsidTr="004A7DC5">
        <w:trPr>
          <w:trHeight w:val="270"/>
        </w:trPr>
        <w:tc>
          <w:tcPr>
            <w:tcW w:w="6100" w:type="dxa"/>
            <w:tcBorders>
              <w:top w:val="nil"/>
              <w:left w:val="single" w:sz="8" w:space="0" w:color="auto"/>
              <w:bottom w:val="nil"/>
              <w:right w:val="single" w:sz="8" w:space="0" w:color="auto"/>
            </w:tcBorders>
            <w:shd w:val="clear" w:color="auto" w:fill="auto"/>
            <w:vAlign w:val="center"/>
            <w:hideMark/>
          </w:tcPr>
          <w:p w14:paraId="7957F961" w14:textId="77777777" w:rsidR="009C39C3" w:rsidRPr="009C39C3" w:rsidRDefault="009C39C3" w:rsidP="004A7DC5">
            <w:pPr>
              <w:spacing w:after="0" w:line="240" w:lineRule="auto"/>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 xml:space="preserve">  Impostos, Taxas e Contribuições de Melhoria</w:t>
            </w:r>
          </w:p>
        </w:tc>
        <w:tc>
          <w:tcPr>
            <w:tcW w:w="2480" w:type="dxa"/>
            <w:tcBorders>
              <w:top w:val="nil"/>
              <w:left w:val="nil"/>
              <w:bottom w:val="nil"/>
              <w:right w:val="single" w:sz="8" w:space="0" w:color="auto"/>
            </w:tcBorders>
            <w:shd w:val="clear" w:color="auto" w:fill="auto"/>
            <w:vAlign w:val="center"/>
            <w:hideMark/>
          </w:tcPr>
          <w:p w14:paraId="3F06FEE4" w14:textId="77777777" w:rsidR="009C39C3" w:rsidRPr="009C39C3" w:rsidRDefault="009C39C3" w:rsidP="004A7DC5">
            <w:pPr>
              <w:spacing w:after="0"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BOR.C012</w:t>
            </w:r>
          </w:p>
        </w:tc>
        <w:tc>
          <w:tcPr>
            <w:tcW w:w="1820" w:type="dxa"/>
            <w:tcBorders>
              <w:top w:val="nil"/>
              <w:left w:val="nil"/>
              <w:bottom w:val="nil"/>
              <w:right w:val="single" w:sz="8" w:space="0" w:color="auto"/>
            </w:tcBorders>
            <w:shd w:val="clear" w:color="auto" w:fill="auto"/>
            <w:vAlign w:val="center"/>
            <w:hideMark/>
          </w:tcPr>
          <w:p w14:paraId="0A6D4606" w14:textId="77777777" w:rsidR="009C39C3" w:rsidRPr="009C39C3" w:rsidRDefault="009C39C3" w:rsidP="004A7DC5">
            <w:pPr>
              <w:spacing w:after="0"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BOR.D012</w:t>
            </w:r>
          </w:p>
        </w:tc>
        <w:tc>
          <w:tcPr>
            <w:tcW w:w="1920" w:type="dxa"/>
            <w:tcBorders>
              <w:top w:val="nil"/>
              <w:left w:val="nil"/>
              <w:bottom w:val="nil"/>
              <w:right w:val="single" w:sz="8" w:space="0" w:color="auto"/>
            </w:tcBorders>
            <w:shd w:val="clear" w:color="auto" w:fill="auto"/>
            <w:vAlign w:val="center"/>
            <w:hideMark/>
          </w:tcPr>
          <w:p w14:paraId="1D241BD0" w14:textId="77777777" w:rsidR="009C39C3" w:rsidRPr="009C39C3" w:rsidRDefault="009C39C3" w:rsidP="004A7DC5">
            <w:pPr>
              <w:spacing w:after="0"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BOR.E012</w:t>
            </w:r>
          </w:p>
        </w:tc>
        <w:tc>
          <w:tcPr>
            <w:tcW w:w="1780" w:type="dxa"/>
            <w:tcBorders>
              <w:top w:val="nil"/>
              <w:left w:val="nil"/>
              <w:bottom w:val="nil"/>
              <w:right w:val="single" w:sz="8" w:space="0" w:color="auto"/>
            </w:tcBorders>
            <w:shd w:val="clear" w:color="auto" w:fill="auto"/>
            <w:vAlign w:val="center"/>
            <w:hideMark/>
          </w:tcPr>
          <w:p w14:paraId="0D4BC6EB" w14:textId="77777777" w:rsidR="009C39C3" w:rsidRPr="009C39C3" w:rsidRDefault="009C39C3" w:rsidP="004A7DC5">
            <w:pPr>
              <w:spacing w:after="0"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BOR.F012</w:t>
            </w:r>
          </w:p>
        </w:tc>
      </w:tr>
      <w:tr w:rsidR="009C39C3" w:rsidRPr="009C39C3" w14:paraId="432ECCC6" w14:textId="77777777" w:rsidTr="004A7DC5">
        <w:trPr>
          <w:trHeight w:val="270"/>
        </w:trPr>
        <w:tc>
          <w:tcPr>
            <w:tcW w:w="6100" w:type="dxa"/>
            <w:tcBorders>
              <w:top w:val="nil"/>
              <w:left w:val="single" w:sz="8" w:space="0" w:color="auto"/>
              <w:bottom w:val="nil"/>
              <w:right w:val="single" w:sz="8" w:space="0" w:color="auto"/>
            </w:tcBorders>
            <w:shd w:val="clear" w:color="auto" w:fill="auto"/>
            <w:vAlign w:val="center"/>
            <w:hideMark/>
          </w:tcPr>
          <w:p w14:paraId="3484E86D" w14:textId="77777777" w:rsidR="009C39C3" w:rsidRPr="009C39C3" w:rsidRDefault="009C39C3" w:rsidP="004A7DC5">
            <w:pPr>
              <w:spacing w:after="0" w:line="240" w:lineRule="auto"/>
              <w:ind w:firstLineChars="100" w:firstLine="180"/>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Impostos</w:t>
            </w:r>
          </w:p>
        </w:tc>
        <w:tc>
          <w:tcPr>
            <w:tcW w:w="2480" w:type="dxa"/>
            <w:tcBorders>
              <w:top w:val="nil"/>
              <w:left w:val="nil"/>
              <w:bottom w:val="nil"/>
              <w:right w:val="single" w:sz="8" w:space="0" w:color="auto"/>
            </w:tcBorders>
            <w:shd w:val="clear" w:color="auto" w:fill="auto"/>
            <w:vAlign w:val="center"/>
            <w:hideMark/>
          </w:tcPr>
          <w:p w14:paraId="69D5751D"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BOR.C013</w:t>
            </w:r>
          </w:p>
        </w:tc>
        <w:tc>
          <w:tcPr>
            <w:tcW w:w="1820" w:type="dxa"/>
            <w:tcBorders>
              <w:top w:val="nil"/>
              <w:left w:val="nil"/>
              <w:bottom w:val="nil"/>
              <w:right w:val="single" w:sz="8" w:space="0" w:color="auto"/>
            </w:tcBorders>
            <w:shd w:val="clear" w:color="auto" w:fill="auto"/>
            <w:vAlign w:val="center"/>
            <w:hideMark/>
          </w:tcPr>
          <w:p w14:paraId="3CFAB95E"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BOR.D013</w:t>
            </w:r>
          </w:p>
        </w:tc>
        <w:tc>
          <w:tcPr>
            <w:tcW w:w="1920" w:type="dxa"/>
            <w:tcBorders>
              <w:top w:val="nil"/>
              <w:left w:val="nil"/>
              <w:bottom w:val="nil"/>
              <w:right w:val="single" w:sz="8" w:space="0" w:color="auto"/>
            </w:tcBorders>
            <w:shd w:val="clear" w:color="auto" w:fill="auto"/>
            <w:vAlign w:val="center"/>
            <w:hideMark/>
          </w:tcPr>
          <w:p w14:paraId="79A63133"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BOR.E013</w:t>
            </w:r>
          </w:p>
        </w:tc>
        <w:tc>
          <w:tcPr>
            <w:tcW w:w="1780" w:type="dxa"/>
            <w:tcBorders>
              <w:top w:val="nil"/>
              <w:left w:val="nil"/>
              <w:bottom w:val="nil"/>
              <w:right w:val="single" w:sz="8" w:space="0" w:color="auto"/>
            </w:tcBorders>
            <w:shd w:val="clear" w:color="auto" w:fill="auto"/>
            <w:vAlign w:val="center"/>
            <w:hideMark/>
          </w:tcPr>
          <w:p w14:paraId="77BA5A80"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BOR.F013</w:t>
            </w:r>
          </w:p>
        </w:tc>
      </w:tr>
      <w:tr w:rsidR="009C39C3" w:rsidRPr="009C39C3" w14:paraId="64599362" w14:textId="77777777" w:rsidTr="004A7DC5">
        <w:trPr>
          <w:trHeight w:val="270"/>
        </w:trPr>
        <w:tc>
          <w:tcPr>
            <w:tcW w:w="6100" w:type="dxa"/>
            <w:tcBorders>
              <w:top w:val="nil"/>
              <w:left w:val="single" w:sz="8" w:space="0" w:color="auto"/>
              <w:bottom w:val="nil"/>
              <w:right w:val="single" w:sz="8" w:space="0" w:color="auto"/>
            </w:tcBorders>
            <w:shd w:val="clear" w:color="auto" w:fill="auto"/>
            <w:vAlign w:val="center"/>
            <w:hideMark/>
          </w:tcPr>
          <w:p w14:paraId="75728D89" w14:textId="77777777" w:rsidR="009C39C3" w:rsidRPr="009C39C3" w:rsidRDefault="009C39C3" w:rsidP="004A7DC5">
            <w:pPr>
              <w:spacing w:after="0" w:line="240" w:lineRule="auto"/>
              <w:ind w:firstLineChars="100" w:firstLine="180"/>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Taxas</w:t>
            </w:r>
          </w:p>
        </w:tc>
        <w:tc>
          <w:tcPr>
            <w:tcW w:w="2480" w:type="dxa"/>
            <w:tcBorders>
              <w:top w:val="nil"/>
              <w:left w:val="nil"/>
              <w:bottom w:val="nil"/>
              <w:right w:val="single" w:sz="8" w:space="0" w:color="auto"/>
            </w:tcBorders>
            <w:shd w:val="clear" w:color="auto" w:fill="auto"/>
            <w:vAlign w:val="center"/>
            <w:hideMark/>
          </w:tcPr>
          <w:p w14:paraId="46ACB728"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BOR.C014</w:t>
            </w:r>
          </w:p>
        </w:tc>
        <w:tc>
          <w:tcPr>
            <w:tcW w:w="1820" w:type="dxa"/>
            <w:tcBorders>
              <w:top w:val="nil"/>
              <w:left w:val="nil"/>
              <w:bottom w:val="nil"/>
              <w:right w:val="single" w:sz="8" w:space="0" w:color="auto"/>
            </w:tcBorders>
            <w:shd w:val="clear" w:color="auto" w:fill="auto"/>
            <w:vAlign w:val="center"/>
            <w:hideMark/>
          </w:tcPr>
          <w:p w14:paraId="6AFB5311"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BOR.D014</w:t>
            </w:r>
          </w:p>
        </w:tc>
        <w:tc>
          <w:tcPr>
            <w:tcW w:w="1920" w:type="dxa"/>
            <w:tcBorders>
              <w:top w:val="nil"/>
              <w:left w:val="nil"/>
              <w:bottom w:val="nil"/>
              <w:right w:val="single" w:sz="8" w:space="0" w:color="auto"/>
            </w:tcBorders>
            <w:shd w:val="clear" w:color="auto" w:fill="auto"/>
            <w:vAlign w:val="center"/>
            <w:hideMark/>
          </w:tcPr>
          <w:p w14:paraId="46AEB5B3"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BOR.E014</w:t>
            </w:r>
          </w:p>
        </w:tc>
        <w:tc>
          <w:tcPr>
            <w:tcW w:w="1780" w:type="dxa"/>
            <w:tcBorders>
              <w:top w:val="nil"/>
              <w:left w:val="nil"/>
              <w:bottom w:val="nil"/>
              <w:right w:val="single" w:sz="8" w:space="0" w:color="auto"/>
            </w:tcBorders>
            <w:shd w:val="clear" w:color="auto" w:fill="auto"/>
            <w:vAlign w:val="center"/>
            <w:hideMark/>
          </w:tcPr>
          <w:p w14:paraId="377D7E0D"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BOR.F014</w:t>
            </w:r>
          </w:p>
        </w:tc>
      </w:tr>
      <w:tr w:rsidR="009C39C3" w:rsidRPr="009C39C3" w14:paraId="6E6159D2" w14:textId="77777777" w:rsidTr="004A7DC5">
        <w:trPr>
          <w:trHeight w:val="270"/>
        </w:trPr>
        <w:tc>
          <w:tcPr>
            <w:tcW w:w="6100" w:type="dxa"/>
            <w:tcBorders>
              <w:top w:val="nil"/>
              <w:left w:val="single" w:sz="8" w:space="0" w:color="auto"/>
              <w:bottom w:val="nil"/>
              <w:right w:val="single" w:sz="8" w:space="0" w:color="auto"/>
            </w:tcBorders>
            <w:shd w:val="clear" w:color="auto" w:fill="auto"/>
            <w:vAlign w:val="center"/>
            <w:hideMark/>
          </w:tcPr>
          <w:p w14:paraId="5B780E8F" w14:textId="77777777" w:rsidR="009C39C3" w:rsidRPr="009C39C3" w:rsidRDefault="009C39C3" w:rsidP="004A7DC5">
            <w:pPr>
              <w:spacing w:after="0" w:line="240" w:lineRule="auto"/>
              <w:ind w:firstLineChars="100" w:firstLine="180"/>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Contribuição de Melhoria</w:t>
            </w:r>
          </w:p>
        </w:tc>
        <w:tc>
          <w:tcPr>
            <w:tcW w:w="2480" w:type="dxa"/>
            <w:tcBorders>
              <w:top w:val="nil"/>
              <w:left w:val="nil"/>
              <w:bottom w:val="nil"/>
              <w:right w:val="single" w:sz="8" w:space="0" w:color="auto"/>
            </w:tcBorders>
            <w:shd w:val="clear" w:color="auto" w:fill="auto"/>
            <w:vAlign w:val="center"/>
            <w:hideMark/>
          </w:tcPr>
          <w:p w14:paraId="27D37CBC"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BOR.C015</w:t>
            </w:r>
          </w:p>
        </w:tc>
        <w:tc>
          <w:tcPr>
            <w:tcW w:w="1820" w:type="dxa"/>
            <w:tcBorders>
              <w:top w:val="nil"/>
              <w:left w:val="nil"/>
              <w:bottom w:val="nil"/>
              <w:right w:val="single" w:sz="8" w:space="0" w:color="auto"/>
            </w:tcBorders>
            <w:shd w:val="clear" w:color="auto" w:fill="auto"/>
            <w:vAlign w:val="center"/>
            <w:hideMark/>
          </w:tcPr>
          <w:p w14:paraId="77650AA4"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BOR.D015</w:t>
            </w:r>
          </w:p>
        </w:tc>
        <w:tc>
          <w:tcPr>
            <w:tcW w:w="1920" w:type="dxa"/>
            <w:tcBorders>
              <w:top w:val="nil"/>
              <w:left w:val="nil"/>
              <w:bottom w:val="nil"/>
              <w:right w:val="single" w:sz="8" w:space="0" w:color="auto"/>
            </w:tcBorders>
            <w:shd w:val="clear" w:color="auto" w:fill="auto"/>
            <w:vAlign w:val="center"/>
            <w:hideMark/>
          </w:tcPr>
          <w:p w14:paraId="7A562751"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BOR.E015</w:t>
            </w:r>
          </w:p>
        </w:tc>
        <w:tc>
          <w:tcPr>
            <w:tcW w:w="1780" w:type="dxa"/>
            <w:tcBorders>
              <w:top w:val="nil"/>
              <w:left w:val="nil"/>
              <w:bottom w:val="nil"/>
              <w:right w:val="single" w:sz="8" w:space="0" w:color="auto"/>
            </w:tcBorders>
            <w:shd w:val="clear" w:color="auto" w:fill="auto"/>
            <w:vAlign w:val="center"/>
            <w:hideMark/>
          </w:tcPr>
          <w:p w14:paraId="562F4470"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BOR.F015</w:t>
            </w:r>
          </w:p>
        </w:tc>
      </w:tr>
      <w:tr w:rsidR="009C39C3" w:rsidRPr="009C39C3" w14:paraId="4A0A5943" w14:textId="77777777" w:rsidTr="004A7DC5">
        <w:trPr>
          <w:trHeight w:val="270"/>
        </w:trPr>
        <w:tc>
          <w:tcPr>
            <w:tcW w:w="6100" w:type="dxa"/>
            <w:tcBorders>
              <w:top w:val="nil"/>
              <w:left w:val="single" w:sz="8" w:space="0" w:color="auto"/>
              <w:bottom w:val="nil"/>
              <w:right w:val="single" w:sz="8" w:space="0" w:color="auto"/>
            </w:tcBorders>
            <w:shd w:val="clear" w:color="auto" w:fill="auto"/>
            <w:vAlign w:val="center"/>
            <w:hideMark/>
          </w:tcPr>
          <w:p w14:paraId="27BFC507" w14:textId="77777777" w:rsidR="009C39C3" w:rsidRPr="009C39C3" w:rsidRDefault="009C39C3" w:rsidP="004A7DC5">
            <w:pPr>
              <w:spacing w:after="0" w:line="240" w:lineRule="auto"/>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 xml:space="preserve">  Contribuições</w:t>
            </w:r>
          </w:p>
        </w:tc>
        <w:tc>
          <w:tcPr>
            <w:tcW w:w="2480" w:type="dxa"/>
            <w:tcBorders>
              <w:top w:val="nil"/>
              <w:left w:val="nil"/>
              <w:bottom w:val="nil"/>
              <w:right w:val="single" w:sz="8" w:space="0" w:color="auto"/>
            </w:tcBorders>
            <w:shd w:val="clear" w:color="auto" w:fill="auto"/>
            <w:vAlign w:val="center"/>
            <w:hideMark/>
          </w:tcPr>
          <w:p w14:paraId="02F65B37" w14:textId="77777777" w:rsidR="009C39C3" w:rsidRPr="009C39C3" w:rsidRDefault="009C39C3" w:rsidP="004A7DC5">
            <w:pPr>
              <w:spacing w:after="0"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BOR.C016</w:t>
            </w:r>
          </w:p>
        </w:tc>
        <w:tc>
          <w:tcPr>
            <w:tcW w:w="1820" w:type="dxa"/>
            <w:tcBorders>
              <w:top w:val="nil"/>
              <w:left w:val="nil"/>
              <w:bottom w:val="nil"/>
              <w:right w:val="single" w:sz="8" w:space="0" w:color="auto"/>
            </w:tcBorders>
            <w:shd w:val="clear" w:color="auto" w:fill="auto"/>
            <w:vAlign w:val="center"/>
            <w:hideMark/>
          </w:tcPr>
          <w:p w14:paraId="4015ECE6" w14:textId="77777777" w:rsidR="009C39C3" w:rsidRPr="009C39C3" w:rsidRDefault="009C39C3" w:rsidP="004A7DC5">
            <w:pPr>
              <w:spacing w:after="0"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BOR.D016</w:t>
            </w:r>
          </w:p>
        </w:tc>
        <w:tc>
          <w:tcPr>
            <w:tcW w:w="1920" w:type="dxa"/>
            <w:tcBorders>
              <w:top w:val="nil"/>
              <w:left w:val="nil"/>
              <w:bottom w:val="nil"/>
              <w:right w:val="single" w:sz="8" w:space="0" w:color="auto"/>
            </w:tcBorders>
            <w:shd w:val="clear" w:color="auto" w:fill="auto"/>
            <w:vAlign w:val="center"/>
            <w:hideMark/>
          </w:tcPr>
          <w:p w14:paraId="242E1BEF" w14:textId="77777777" w:rsidR="009C39C3" w:rsidRPr="009C39C3" w:rsidRDefault="009C39C3" w:rsidP="004A7DC5">
            <w:pPr>
              <w:spacing w:after="0"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BOR.E016</w:t>
            </w:r>
          </w:p>
        </w:tc>
        <w:tc>
          <w:tcPr>
            <w:tcW w:w="1780" w:type="dxa"/>
            <w:tcBorders>
              <w:top w:val="nil"/>
              <w:left w:val="nil"/>
              <w:bottom w:val="nil"/>
              <w:right w:val="single" w:sz="8" w:space="0" w:color="auto"/>
            </w:tcBorders>
            <w:shd w:val="clear" w:color="auto" w:fill="auto"/>
            <w:vAlign w:val="center"/>
            <w:hideMark/>
          </w:tcPr>
          <w:p w14:paraId="17F26B48" w14:textId="77777777" w:rsidR="009C39C3" w:rsidRPr="009C39C3" w:rsidRDefault="009C39C3" w:rsidP="004A7DC5">
            <w:pPr>
              <w:spacing w:after="0"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BOR.F016</w:t>
            </w:r>
          </w:p>
        </w:tc>
      </w:tr>
      <w:tr w:rsidR="009C39C3" w:rsidRPr="009C39C3" w14:paraId="6B106569" w14:textId="77777777" w:rsidTr="004A7DC5">
        <w:trPr>
          <w:trHeight w:val="270"/>
        </w:trPr>
        <w:tc>
          <w:tcPr>
            <w:tcW w:w="6100" w:type="dxa"/>
            <w:tcBorders>
              <w:top w:val="nil"/>
              <w:left w:val="single" w:sz="8" w:space="0" w:color="auto"/>
              <w:bottom w:val="nil"/>
              <w:right w:val="single" w:sz="8" w:space="0" w:color="auto"/>
            </w:tcBorders>
            <w:shd w:val="clear" w:color="auto" w:fill="auto"/>
            <w:vAlign w:val="center"/>
            <w:hideMark/>
          </w:tcPr>
          <w:p w14:paraId="0A0F2A59" w14:textId="77777777" w:rsidR="009C39C3" w:rsidRPr="009C39C3" w:rsidRDefault="009C39C3" w:rsidP="004A7DC5">
            <w:pPr>
              <w:spacing w:after="0" w:line="240" w:lineRule="auto"/>
              <w:ind w:firstLineChars="100" w:firstLine="180"/>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Contribuições Sociais</w:t>
            </w:r>
          </w:p>
        </w:tc>
        <w:tc>
          <w:tcPr>
            <w:tcW w:w="2480" w:type="dxa"/>
            <w:tcBorders>
              <w:top w:val="nil"/>
              <w:left w:val="nil"/>
              <w:bottom w:val="nil"/>
              <w:right w:val="single" w:sz="8" w:space="0" w:color="auto"/>
            </w:tcBorders>
            <w:shd w:val="clear" w:color="auto" w:fill="auto"/>
            <w:vAlign w:val="center"/>
            <w:hideMark/>
          </w:tcPr>
          <w:p w14:paraId="02D844FE"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BOR.C017</w:t>
            </w:r>
          </w:p>
        </w:tc>
        <w:tc>
          <w:tcPr>
            <w:tcW w:w="1820" w:type="dxa"/>
            <w:tcBorders>
              <w:top w:val="nil"/>
              <w:left w:val="nil"/>
              <w:bottom w:val="nil"/>
              <w:right w:val="single" w:sz="8" w:space="0" w:color="auto"/>
            </w:tcBorders>
            <w:shd w:val="clear" w:color="auto" w:fill="auto"/>
            <w:vAlign w:val="center"/>
            <w:hideMark/>
          </w:tcPr>
          <w:p w14:paraId="3DDB81A4"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BOR.D017</w:t>
            </w:r>
          </w:p>
        </w:tc>
        <w:tc>
          <w:tcPr>
            <w:tcW w:w="1920" w:type="dxa"/>
            <w:tcBorders>
              <w:top w:val="nil"/>
              <w:left w:val="nil"/>
              <w:bottom w:val="nil"/>
              <w:right w:val="single" w:sz="8" w:space="0" w:color="auto"/>
            </w:tcBorders>
            <w:shd w:val="clear" w:color="auto" w:fill="auto"/>
            <w:vAlign w:val="center"/>
            <w:hideMark/>
          </w:tcPr>
          <w:p w14:paraId="2909415B"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BOR.E017</w:t>
            </w:r>
          </w:p>
        </w:tc>
        <w:tc>
          <w:tcPr>
            <w:tcW w:w="1780" w:type="dxa"/>
            <w:tcBorders>
              <w:top w:val="nil"/>
              <w:left w:val="nil"/>
              <w:bottom w:val="nil"/>
              <w:right w:val="single" w:sz="8" w:space="0" w:color="auto"/>
            </w:tcBorders>
            <w:shd w:val="clear" w:color="auto" w:fill="auto"/>
            <w:vAlign w:val="center"/>
            <w:hideMark/>
          </w:tcPr>
          <w:p w14:paraId="631D0331"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BOR.F017</w:t>
            </w:r>
          </w:p>
        </w:tc>
      </w:tr>
      <w:tr w:rsidR="009C39C3" w:rsidRPr="009C39C3" w14:paraId="78519A83" w14:textId="77777777" w:rsidTr="004A7DC5">
        <w:trPr>
          <w:trHeight w:val="270"/>
        </w:trPr>
        <w:tc>
          <w:tcPr>
            <w:tcW w:w="6100" w:type="dxa"/>
            <w:tcBorders>
              <w:top w:val="nil"/>
              <w:left w:val="single" w:sz="8" w:space="0" w:color="auto"/>
              <w:bottom w:val="nil"/>
              <w:right w:val="single" w:sz="8" w:space="0" w:color="auto"/>
            </w:tcBorders>
            <w:shd w:val="clear" w:color="auto" w:fill="auto"/>
            <w:vAlign w:val="center"/>
            <w:hideMark/>
          </w:tcPr>
          <w:p w14:paraId="6F0F5B96" w14:textId="77777777" w:rsidR="009C39C3" w:rsidRPr="009C39C3" w:rsidRDefault="009C39C3" w:rsidP="004A7DC5">
            <w:pPr>
              <w:spacing w:after="0" w:line="240" w:lineRule="auto"/>
              <w:ind w:firstLineChars="100" w:firstLine="180"/>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Contribuição para o Custeio do Serviço de Iluminação Pública</w:t>
            </w:r>
          </w:p>
        </w:tc>
        <w:tc>
          <w:tcPr>
            <w:tcW w:w="2480" w:type="dxa"/>
            <w:tcBorders>
              <w:top w:val="nil"/>
              <w:left w:val="nil"/>
              <w:bottom w:val="nil"/>
              <w:right w:val="single" w:sz="8" w:space="0" w:color="auto"/>
            </w:tcBorders>
            <w:shd w:val="clear" w:color="auto" w:fill="auto"/>
            <w:vAlign w:val="center"/>
            <w:hideMark/>
          </w:tcPr>
          <w:p w14:paraId="3B397FCE"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BOR.C019</w:t>
            </w:r>
          </w:p>
        </w:tc>
        <w:tc>
          <w:tcPr>
            <w:tcW w:w="1820" w:type="dxa"/>
            <w:tcBorders>
              <w:top w:val="nil"/>
              <w:left w:val="nil"/>
              <w:bottom w:val="nil"/>
              <w:right w:val="single" w:sz="8" w:space="0" w:color="auto"/>
            </w:tcBorders>
            <w:shd w:val="clear" w:color="auto" w:fill="auto"/>
            <w:vAlign w:val="center"/>
            <w:hideMark/>
          </w:tcPr>
          <w:p w14:paraId="27E8D47C"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BOR.D019</w:t>
            </w:r>
          </w:p>
        </w:tc>
        <w:tc>
          <w:tcPr>
            <w:tcW w:w="1920" w:type="dxa"/>
            <w:tcBorders>
              <w:top w:val="nil"/>
              <w:left w:val="nil"/>
              <w:bottom w:val="nil"/>
              <w:right w:val="single" w:sz="8" w:space="0" w:color="auto"/>
            </w:tcBorders>
            <w:shd w:val="clear" w:color="auto" w:fill="auto"/>
            <w:vAlign w:val="center"/>
            <w:hideMark/>
          </w:tcPr>
          <w:p w14:paraId="2A2C59F0"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BOR.E019</w:t>
            </w:r>
          </w:p>
        </w:tc>
        <w:tc>
          <w:tcPr>
            <w:tcW w:w="1780" w:type="dxa"/>
            <w:tcBorders>
              <w:top w:val="nil"/>
              <w:left w:val="nil"/>
              <w:bottom w:val="nil"/>
              <w:right w:val="single" w:sz="8" w:space="0" w:color="auto"/>
            </w:tcBorders>
            <w:shd w:val="clear" w:color="auto" w:fill="auto"/>
            <w:vAlign w:val="center"/>
            <w:hideMark/>
          </w:tcPr>
          <w:p w14:paraId="02830B35"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BOR.F019</w:t>
            </w:r>
          </w:p>
        </w:tc>
      </w:tr>
      <w:tr w:rsidR="009C39C3" w:rsidRPr="009C39C3" w14:paraId="283138FF" w14:textId="77777777" w:rsidTr="004A7DC5">
        <w:trPr>
          <w:trHeight w:val="270"/>
        </w:trPr>
        <w:tc>
          <w:tcPr>
            <w:tcW w:w="6100" w:type="dxa"/>
            <w:tcBorders>
              <w:top w:val="nil"/>
              <w:left w:val="single" w:sz="8" w:space="0" w:color="auto"/>
              <w:bottom w:val="nil"/>
              <w:right w:val="single" w:sz="8" w:space="0" w:color="auto"/>
            </w:tcBorders>
            <w:shd w:val="clear" w:color="auto" w:fill="auto"/>
            <w:vAlign w:val="center"/>
            <w:hideMark/>
          </w:tcPr>
          <w:p w14:paraId="6DA17E83" w14:textId="77777777" w:rsidR="009C39C3" w:rsidRPr="009C39C3" w:rsidRDefault="009C39C3" w:rsidP="004A7DC5">
            <w:pPr>
              <w:spacing w:after="0" w:line="240" w:lineRule="auto"/>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 xml:space="preserve">  Receita Patrimonial</w:t>
            </w:r>
          </w:p>
        </w:tc>
        <w:tc>
          <w:tcPr>
            <w:tcW w:w="2480" w:type="dxa"/>
            <w:tcBorders>
              <w:top w:val="nil"/>
              <w:left w:val="nil"/>
              <w:bottom w:val="nil"/>
              <w:right w:val="single" w:sz="8" w:space="0" w:color="auto"/>
            </w:tcBorders>
            <w:shd w:val="clear" w:color="auto" w:fill="auto"/>
            <w:vAlign w:val="center"/>
            <w:hideMark/>
          </w:tcPr>
          <w:p w14:paraId="677F6026" w14:textId="77777777" w:rsidR="009C39C3" w:rsidRPr="009C39C3" w:rsidRDefault="009C39C3" w:rsidP="004A7DC5">
            <w:pPr>
              <w:spacing w:after="0"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BOR.C020</w:t>
            </w:r>
          </w:p>
        </w:tc>
        <w:tc>
          <w:tcPr>
            <w:tcW w:w="1820" w:type="dxa"/>
            <w:tcBorders>
              <w:top w:val="nil"/>
              <w:left w:val="nil"/>
              <w:bottom w:val="nil"/>
              <w:right w:val="single" w:sz="8" w:space="0" w:color="auto"/>
            </w:tcBorders>
            <w:shd w:val="clear" w:color="auto" w:fill="auto"/>
            <w:vAlign w:val="center"/>
            <w:hideMark/>
          </w:tcPr>
          <w:p w14:paraId="1C9875B0" w14:textId="77777777" w:rsidR="009C39C3" w:rsidRPr="009C39C3" w:rsidRDefault="009C39C3" w:rsidP="004A7DC5">
            <w:pPr>
              <w:spacing w:after="0"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BOR.D020</w:t>
            </w:r>
          </w:p>
        </w:tc>
        <w:tc>
          <w:tcPr>
            <w:tcW w:w="1920" w:type="dxa"/>
            <w:tcBorders>
              <w:top w:val="nil"/>
              <w:left w:val="nil"/>
              <w:bottom w:val="nil"/>
              <w:right w:val="single" w:sz="8" w:space="0" w:color="auto"/>
            </w:tcBorders>
            <w:shd w:val="clear" w:color="auto" w:fill="auto"/>
            <w:vAlign w:val="center"/>
            <w:hideMark/>
          </w:tcPr>
          <w:p w14:paraId="1FE79949" w14:textId="77777777" w:rsidR="009C39C3" w:rsidRPr="009C39C3" w:rsidRDefault="009C39C3" w:rsidP="004A7DC5">
            <w:pPr>
              <w:spacing w:after="0"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BOR.E020</w:t>
            </w:r>
          </w:p>
        </w:tc>
        <w:tc>
          <w:tcPr>
            <w:tcW w:w="1780" w:type="dxa"/>
            <w:tcBorders>
              <w:top w:val="nil"/>
              <w:left w:val="nil"/>
              <w:bottom w:val="nil"/>
              <w:right w:val="single" w:sz="8" w:space="0" w:color="auto"/>
            </w:tcBorders>
            <w:shd w:val="clear" w:color="auto" w:fill="auto"/>
            <w:vAlign w:val="center"/>
            <w:hideMark/>
          </w:tcPr>
          <w:p w14:paraId="12F04FC7" w14:textId="77777777" w:rsidR="009C39C3" w:rsidRPr="009C39C3" w:rsidRDefault="009C39C3" w:rsidP="004A7DC5">
            <w:pPr>
              <w:spacing w:after="0"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BOR.F020</w:t>
            </w:r>
          </w:p>
        </w:tc>
      </w:tr>
      <w:tr w:rsidR="009C39C3" w:rsidRPr="009C39C3" w14:paraId="0258E3F4" w14:textId="77777777" w:rsidTr="004A7DC5">
        <w:trPr>
          <w:trHeight w:val="270"/>
        </w:trPr>
        <w:tc>
          <w:tcPr>
            <w:tcW w:w="6100" w:type="dxa"/>
            <w:tcBorders>
              <w:top w:val="nil"/>
              <w:left w:val="single" w:sz="8" w:space="0" w:color="auto"/>
              <w:bottom w:val="nil"/>
              <w:right w:val="single" w:sz="8" w:space="0" w:color="auto"/>
            </w:tcBorders>
            <w:shd w:val="clear" w:color="auto" w:fill="auto"/>
            <w:vAlign w:val="center"/>
            <w:hideMark/>
          </w:tcPr>
          <w:p w14:paraId="03644EDB" w14:textId="77777777" w:rsidR="009C39C3" w:rsidRPr="009C39C3" w:rsidRDefault="009C39C3" w:rsidP="004A7DC5">
            <w:pPr>
              <w:spacing w:after="0" w:line="240" w:lineRule="auto"/>
              <w:ind w:firstLineChars="100" w:firstLine="180"/>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Exploração do Patrimônio Imobiliário do Estado</w:t>
            </w:r>
          </w:p>
        </w:tc>
        <w:tc>
          <w:tcPr>
            <w:tcW w:w="2480" w:type="dxa"/>
            <w:tcBorders>
              <w:top w:val="nil"/>
              <w:left w:val="nil"/>
              <w:bottom w:val="nil"/>
              <w:right w:val="single" w:sz="8" w:space="0" w:color="auto"/>
            </w:tcBorders>
            <w:shd w:val="clear" w:color="auto" w:fill="auto"/>
            <w:vAlign w:val="center"/>
            <w:hideMark/>
          </w:tcPr>
          <w:p w14:paraId="3A31CE39"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BOR.C021</w:t>
            </w:r>
          </w:p>
        </w:tc>
        <w:tc>
          <w:tcPr>
            <w:tcW w:w="1820" w:type="dxa"/>
            <w:tcBorders>
              <w:top w:val="nil"/>
              <w:left w:val="nil"/>
              <w:bottom w:val="nil"/>
              <w:right w:val="single" w:sz="8" w:space="0" w:color="auto"/>
            </w:tcBorders>
            <w:shd w:val="clear" w:color="auto" w:fill="auto"/>
            <w:vAlign w:val="center"/>
            <w:hideMark/>
          </w:tcPr>
          <w:p w14:paraId="23C1300F"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BOR.D021</w:t>
            </w:r>
          </w:p>
        </w:tc>
        <w:tc>
          <w:tcPr>
            <w:tcW w:w="1920" w:type="dxa"/>
            <w:tcBorders>
              <w:top w:val="nil"/>
              <w:left w:val="nil"/>
              <w:bottom w:val="nil"/>
              <w:right w:val="single" w:sz="8" w:space="0" w:color="auto"/>
            </w:tcBorders>
            <w:shd w:val="clear" w:color="auto" w:fill="auto"/>
            <w:vAlign w:val="center"/>
            <w:hideMark/>
          </w:tcPr>
          <w:p w14:paraId="455D70A3"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BOR.E021</w:t>
            </w:r>
          </w:p>
        </w:tc>
        <w:tc>
          <w:tcPr>
            <w:tcW w:w="1780" w:type="dxa"/>
            <w:tcBorders>
              <w:top w:val="nil"/>
              <w:left w:val="nil"/>
              <w:bottom w:val="nil"/>
              <w:right w:val="single" w:sz="8" w:space="0" w:color="auto"/>
            </w:tcBorders>
            <w:shd w:val="clear" w:color="auto" w:fill="auto"/>
            <w:vAlign w:val="center"/>
            <w:hideMark/>
          </w:tcPr>
          <w:p w14:paraId="2CB6F81B"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BOR.F021</w:t>
            </w:r>
          </w:p>
        </w:tc>
      </w:tr>
      <w:tr w:rsidR="009C39C3" w:rsidRPr="009C39C3" w14:paraId="4F8F66BA" w14:textId="77777777" w:rsidTr="004A7DC5">
        <w:trPr>
          <w:trHeight w:val="270"/>
        </w:trPr>
        <w:tc>
          <w:tcPr>
            <w:tcW w:w="6100" w:type="dxa"/>
            <w:tcBorders>
              <w:top w:val="nil"/>
              <w:left w:val="single" w:sz="8" w:space="0" w:color="auto"/>
              <w:bottom w:val="nil"/>
              <w:right w:val="single" w:sz="8" w:space="0" w:color="auto"/>
            </w:tcBorders>
            <w:shd w:val="clear" w:color="auto" w:fill="auto"/>
            <w:vAlign w:val="center"/>
            <w:hideMark/>
          </w:tcPr>
          <w:p w14:paraId="272DA756" w14:textId="77777777" w:rsidR="009C39C3" w:rsidRPr="009C39C3" w:rsidRDefault="009C39C3" w:rsidP="004A7DC5">
            <w:pPr>
              <w:spacing w:after="0" w:line="240" w:lineRule="auto"/>
              <w:ind w:firstLineChars="100" w:firstLine="180"/>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Valores Mobiliários</w:t>
            </w:r>
          </w:p>
        </w:tc>
        <w:tc>
          <w:tcPr>
            <w:tcW w:w="2480" w:type="dxa"/>
            <w:tcBorders>
              <w:top w:val="nil"/>
              <w:left w:val="nil"/>
              <w:bottom w:val="nil"/>
              <w:right w:val="single" w:sz="8" w:space="0" w:color="auto"/>
            </w:tcBorders>
            <w:shd w:val="clear" w:color="auto" w:fill="auto"/>
            <w:vAlign w:val="center"/>
            <w:hideMark/>
          </w:tcPr>
          <w:p w14:paraId="1D7961B8"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BOR.C022</w:t>
            </w:r>
          </w:p>
        </w:tc>
        <w:tc>
          <w:tcPr>
            <w:tcW w:w="1820" w:type="dxa"/>
            <w:tcBorders>
              <w:top w:val="nil"/>
              <w:left w:val="nil"/>
              <w:bottom w:val="nil"/>
              <w:right w:val="single" w:sz="8" w:space="0" w:color="auto"/>
            </w:tcBorders>
            <w:shd w:val="clear" w:color="auto" w:fill="auto"/>
            <w:vAlign w:val="center"/>
            <w:hideMark/>
          </w:tcPr>
          <w:p w14:paraId="54A6814C"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BOR.D022</w:t>
            </w:r>
          </w:p>
        </w:tc>
        <w:tc>
          <w:tcPr>
            <w:tcW w:w="1920" w:type="dxa"/>
            <w:tcBorders>
              <w:top w:val="nil"/>
              <w:left w:val="nil"/>
              <w:bottom w:val="nil"/>
              <w:right w:val="single" w:sz="8" w:space="0" w:color="auto"/>
            </w:tcBorders>
            <w:shd w:val="clear" w:color="auto" w:fill="auto"/>
            <w:vAlign w:val="center"/>
            <w:hideMark/>
          </w:tcPr>
          <w:p w14:paraId="12BB15F5"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BOR.E022</w:t>
            </w:r>
          </w:p>
        </w:tc>
        <w:tc>
          <w:tcPr>
            <w:tcW w:w="1780" w:type="dxa"/>
            <w:tcBorders>
              <w:top w:val="nil"/>
              <w:left w:val="nil"/>
              <w:bottom w:val="nil"/>
              <w:right w:val="single" w:sz="8" w:space="0" w:color="auto"/>
            </w:tcBorders>
            <w:shd w:val="clear" w:color="auto" w:fill="auto"/>
            <w:vAlign w:val="center"/>
            <w:hideMark/>
          </w:tcPr>
          <w:p w14:paraId="2E460736"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BOR.F022</w:t>
            </w:r>
          </w:p>
        </w:tc>
      </w:tr>
      <w:tr w:rsidR="009C39C3" w:rsidRPr="009C39C3" w14:paraId="59C966A9" w14:textId="77777777" w:rsidTr="004A7DC5">
        <w:trPr>
          <w:trHeight w:val="270"/>
        </w:trPr>
        <w:tc>
          <w:tcPr>
            <w:tcW w:w="6100" w:type="dxa"/>
            <w:tcBorders>
              <w:top w:val="nil"/>
              <w:left w:val="single" w:sz="8" w:space="0" w:color="auto"/>
              <w:bottom w:val="nil"/>
              <w:right w:val="single" w:sz="8" w:space="0" w:color="auto"/>
            </w:tcBorders>
            <w:shd w:val="clear" w:color="auto" w:fill="auto"/>
            <w:vAlign w:val="center"/>
            <w:hideMark/>
          </w:tcPr>
          <w:p w14:paraId="4B64CBAE" w14:textId="77777777" w:rsidR="009C39C3" w:rsidRPr="009C39C3" w:rsidRDefault="009C39C3" w:rsidP="004A7DC5">
            <w:pPr>
              <w:spacing w:after="0" w:line="240" w:lineRule="auto"/>
              <w:ind w:firstLineChars="100" w:firstLine="180"/>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Delegação de Serviços Públicos mediante Concessão, Permissão, Autorização ou Licença</w:t>
            </w:r>
          </w:p>
        </w:tc>
        <w:tc>
          <w:tcPr>
            <w:tcW w:w="2480" w:type="dxa"/>
            <w:tcBorders>
              <w:top w:val="nil"/>
              <w:left w:val="nil"/>
              <w:bottom w:val="nil"/>
              <w:right w:val="single" w:sz="8" w:space="0" w:color="auto"/>
            </w:tcBorders>
            <w:shd w:val="clear" w:color="auto" w:fill="auto"/>
            <w:vAlign w:val="center"/>
            <w:hideMark/>
          </w:tcPr>
          <w:p w14:paraId="74E6B171"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BOR.C023</w:t>
            </w:r>
          </w:p>
        </w:tc>
        <w:tc>
          <w:tcPr>
            <w:tcW w:w="1820" w:type="dxa"/>
            <w:tcBorders>
              <w:top w:val="nil"/>
              <w:left w:val="nil"/>
              <w:bottom w:val="nil"/>
              <w:right w:val="single" w:sz="8" w:space="0" w:color="auto"/>
            </w:tcBorders>
            <w:shd w:val="clear" w:color="auto" w:fill="auto"/>
            <w:vAlign w:val="center"/>
            <w:hideMark/>
          </w:tcPr>
          <w:p w14:paraId="51323715"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BOR.D023</w:t>
            </w:r>
          </w:p>
        </w:tc>
        <w:tc>
          <w:tcPr>
            <w:tcW w:w="1920" w:type="dxa"/>
            <w:tcBorders>
              <w:top w:val="nil"/>
              <w:left w:val="nil"/>
              <w:bottom w:val="nil"/>
              <w:right w:val="single" w:sz="8" w:space="0" w:color="auto"/>
            </w:tcBorders>
            <w:shd w:val="clear" w:color="auto" w:fill="auto"/>
            <w:vAlign w:val="center"/>
            <w:hideMark/>
          </w:tcPr>
          <w:p w14:paraId="0E78045D"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BOR.E023</w:t>
            </w:r>
          </w:p>
        </w:tc>
        <w:tc>
          <w:tcPr>
            <w:tcW w:w="1780" w:type="dxa"/>
            <w:tcBorders>
              <w:top w:val="nil"/>
              <w:left w:val="nil"/>
              <w:bottom w:val="nil"/>
              <w:right w:val="single" w:sz="8" w:space="0" w:color="auto"/>
            </w:tcBorders>
            <w:shd w:val="clear" w:color="auto" w:fill="auto"/>
            <w:vAlign w:val="center"/>
            <w:hideMark/>
          </w:tcPr>
          <w:p w14:paraId="2D4C0E32"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BOR.F023</w:t>
            </w:r>
          </w:p>
        </w:tc>
      </w:tr>
      <w:tr w:rsidR="009C39C3" w:rsidRPr="009C39C3" w14:paraId="4AFFDAFD" w14:textId="77777777" w:rsidTr="004A7DC5">
        <w:trPr>
          <w:trHeight w:val="255"/>
        </w:trPr>
        <w:tc>
          <w:tcPr>
            <w:tcW w:w="6100" w:type="dxa"/>
            <w:tcBorders>
              <w:top w:val="nil"/>
              <w:left w:val="single" w:sz="8" w:space="0" w:color="auto"/>
              <w:bottom w:val="nil"/>
              <w:right w:val="single" w:sz="8" w:space="0" w:color="auto"/>
            </w:tcBorders>
            <w:shd w:val="clear" w:color="auto" w:fill="auto"/>
            <w:vAlign w:val="center"/>
          </w:tcPr>
          <w:p w14:paraId="1E743AB6" w14:textId="77777777" w:rsidR="009C39C3" w:rsidRPr="009C39C3" w:rsidRDefault="009C39C3" w:rsidP="004A7DC5">
            <w:pPr>
              <w:spacing w:after="0" w:line="240" w:lineRule="auto"/>
              <w:ind w:firstLineChars="100" w:firstLine="180"/>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Exploração de Recursos Naturais</w:t>
            </w:r>
          </w:p>
        </w:tc>
        <w:tc>
          <w:tcPr>
            <w:tcW w:w="2480" w:type="dxa"/>
            <w:tcBorders>
              <w:top w:val="nil"/>
              <w:left w:val="nil"/>
              <w:bottom w:val="nil"/>
              <w:right w:val="single" w:sz="8" w:space="0" w:color="auto"/>
            </w:tcBorders>
            <w:shd w:val="clear" w:color="auto" w:fill="auto"/>
            <w:vAlign w:val="center"/>
          </w:tcPr>
          <w:p w14:paraId="6BFD1F5F"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BOR.C090</w:t>
            </w:r>
          </w:p>
        </w:tc>
        <w:tc>
          <w:tcPr>
            <w:tcW w:w="1820" w:type="dxa"/>
            <w:tcBorders>
              <w:top w:val="nil"/>
              <w:left w:val="nil"/>
              <w:bottom w:val="nil"/>
              <w:right w:val="single" w:sz="8" w:space="0" w:color="auto"/>
            </w:tcBorders>
            <w:shd w:val="clear" w:color="auto" w:fill="auto"/>
            <w:vAlign w:val="center"/>
          </w:tcPr>
          <w:p w14:paraId="68A975BF"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BOR.D090</w:t>
            </w:r>
          </w:p>
        </w:tc>
        <w:tc>
          <w:tcPr>
            <w:tcW w:w="1920" w:type="dxa"/>
            <w:tcBorders>
              <w:top w:val="nil"/>
              <w:left w:val="nil"/>
              <w:bottom w:val="nil"/>
              <w:right w:val="single" w:sz="8" w:space="0" w:color="auto"/>
            </w:tcBorders>
            <w:shd w:val="clear" w:color="auto" w:fill="auto"/>
            <w:vAlign w:val="center"/>
          </w:tcPr>
          <w:p w14:paraId="48171281"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BOR.E090</w:t>
            </w:r>
          </w:p>
        </w:tc>
        <w:tc>
          <w:tcPr>
            <w:tcW w:w="1780" w:type="dxa"/>
            <w:tcBorders>
              <w:top w:val="nil"/>
              <w:left w:val="nil"/>
              <w:bottom w:val="nil"/>
              <w:right w:val="single" w:sz="8" w:space="0" w:color="auto"/>
            </w:tcBorders>
            <w:shd w:val="clear" w:color="auto" w:fill="auto"/>
            <w:vAlign w:val="center"/>
          </w:tcPr>
          <w:p w14:paraId="382DAAD7"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BOR.F090</w:t>
            </w:r>
          </w:p>
        </w:tc>
      </w:tr>
      <w:tr w:rsidR="009C39C3" w:rsidRPr="009C39C3" w14:paraId="5DE8BD2D" w14:textId="77777777" w:rsidTr="004A7DC5">
        <w:trPr>
          <w:trHeight w:val="255"/>
        </w:trPr>
        <w:tc>
          <w:tcPr>
            <w:tcW w:w="6100" w:type="dxa"/>
            <w:tcBorders>
              <w:top w:val="nil"/>
              <w:left w:val="single" w:sz="8" w:space="0" w:color="auto"/>
              <w:bottom w:val="nil"/>
              <w:right w:val="single" w:sz="8" w:space="0" w:color="auto"/>
            </w:tcBorders>
            <w:shd w:val="clear" w:color="auto" w:fill="auto"/>
            <w:vAlign w:val="center"/>
          </w:tcPr>
          <w:p w14:paraId="5480F06E" w14:textId="77777777" w:rsidR="009C39C3" w:rsidRPr="009C39C3" w:rsidRDefault="009C39C3" w:rsidP="004A7DC5">
            <w:pPr>
              <w:spacing w:after="0" w:line="240" w:lineRule="auto"/>
              <w:ind w:firstLineChars="100" w:firstLine="180"/>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Exploração do Patrimônio Intangível</w:t>
            </w:r>
          </w:p>
        </w:tc>
        <w:tc>
          <w:tcPr>
            <w:tcW w:w="2480" w:type="dxa"/>
            <w:tcBorders>
              <w:top w:val="nil"/>
              <w:left w:val="nil"/>
              <w:bottom w:val="nil"/>
              <w:right w:val="single" w:sz="8" w:space="0" w:color="auto"/>
            </w:tcBorders>
            <w:shd w:val="clear" w:color="auto" w:fill="auto"/>
            <w:vAlign w:val="center"/>
          </w:tcPr>
          <w:p w14:paraId="7194819A"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BOR.C091</w:t>
            </w:r>
          </w:p>
        </w:tc>
        <w:tc>
          <w:tcPr>
            <w:tcW w:w="1820" w:type="dxa"/>
            <w:tcBorders>
              <w:top w:val="nil"/>
              <w:left w:val="nil"/>
              <w:bottom w:val="nil"/>
              <w:right w:val="single" w:sz="8" w:space="0" w:color="auto"/>
            </w:tcBorders>
            <w:shd w:val="clear" w:color="auto" w:fill="auto"/>
            <w:vAlign w:val="center"/>
          </w:tcPr>
          <w:p w14:paraId="693CE262"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BOR.D091</w:t>
            </w:r>
          </w:p>
        </w:tc>
        <w:tc>
          <w:tcPr>
            <w:tcW w:w="1920" w:type="dxa"/>
            <w:tcBorders>
              <w:top w:val="nil"/>
              <w:left w:val="nil"/>
              <w:bottom w:val="nil"/>
              <w:right w:val="single" w:sz="8" w:space="0" w:color="auto"/>
            </w:tcBorders>
            <w:shd w:val="clear" w:color="auto" w:fill="auto"/>
            <w:vAlign w:val="center"/>
          </w:tcPr>
          <w:p w14:paraId="5FC5CA1A"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BOR.E091</w:t>
            </w:r>
          </w:p>
        </w:tc>
        <w:tc>
          <w:tcPr>
            <w:tcW w:w="1780" w:type="dxa"/>
            <w:tcBorders>
              <w:top w:val="nil"/>
              <w:left w:val="nil"/>
              <w:bottom w:val="nil"/>
              <w:right w:val="single" w:sz="8" w:space="0" w:color="auto"/>
            </w:tcBorders>
            <w:shd w:val="clear" w:color="auto" w:fill="auto"/>
            <w:vAlign w:val="center"/>
          </w:tcPr>
          <w:p w14:paraId="41E734FE"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BOR.F091</w:t>
            </w:r>
          </w:p>
        </w:tc>
      </w:tr>
      <w:tr w:rsidR="009C39C3" w:rsidRPr="009C39C3" w14:paraId="6452E9F3" w14:textId="77777777" w:rsidTr="004A7DC5">
        <w:trPr>
          <w:trHeight w:val="255"/>
        </w:trPr>
        <w:tc>
          <w:tcPr>
            <w:tcW w:w="6100" w:type="dxa"/>
            <w:tcBorders>
              <w:top w:val="nil"/>
              <w:left w:val="single" w:sz="8" w:space="0" w:color="auto"/>
              <w:bottom w:val="nil"/>
              <w:right w:val="single" w:sz="8" w:space="0" w:color="auto"/>
            </w:tcBorders>
            <w:shd w:val="clear" w:color="auto" w:fill="auto"/>
            <w:vAlign w:val="center"/>
            <w:hideMark/>
          </w:tcPr>
          <w:p w14:paraId="44AE5D6F" w14:textId="77777777" w:rsidR="009C39C3" w:rsidRPr="009C39C3" w:rsidRDefault="009C39C3" w:rsidP="004A7DC5">
            <w:pPr>
              <w:spacing w:after="0" w:line="240" w:lineRule="auto"/>
              <w:ind w:firstLineChars="100" w:firstLine="180"/>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Cessão de Direitos</w:t>
            </w:r>
          </w:p>
        </w:tc>
        <w:tc>
          <w:tcPr>
            <w:tcW w:w="2480" w:type="dxa"/>
            <w:tcBorders>
              <w:top w:val="nil"/>
              <w:left w:val="nil"/>
              <w:bottom w:val="nil"/>
              <w:right w:val="single" w:sz="8" w:space="0" w:color="auto"/>
            </w:tcBorders>
            <w:shd w:val="clear" w:color="auto" w:fill="auto"/>
            <w:vAlign w:val="center"/>
            <w:hideMark/>
          </w:tcPr>
          <w:p w14:paraId="70434F5A"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BOR.C026</w:t>
            </w:r>
          </w:p>
        </w:tc>
        <w:tc>
          <w:tcPr>
            <w:tcW w:w="1820" w:type="dxa"/>
            <w:tcBorders>
              <w:top w:val="nil"/>
              <w:left w:val="nil"/>
              <w:bottom w:val="nil"/>
              <w:right w:val="single" w:sz="8" w:space="0" w:color="auto"/>
            </w:tcBorders>
            <w:shd w:val="clear" w:color="auto" w:fill="auto"/>
            <w:vAlign w:val="center"/>
            <w:hideMark/>
          </w:tcPr>
          <w:p w14:paraId="61481C57"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BOR.D026</w:t>
            </w:r>
          </w:p>
        </w:tc>
        <w:tc>
          <w:tcPr>
            <w:tcW w:w="1920" w:type="dxa"/>
            <w:tcBorders>
              <w:top w:val="nil"/>
              <w:left w:val="nil"/>
              <w:bottom w:val="nil"/>
              <w:right w:val="single" w:sz="8" w:space="0" w:color="auto"/>
            </w:tcBorders>
            <w:shd w:val="clear" w:color="auto" w:fill="auto"/>
            <w:vAlign w:val="center"/>
            <w:hideMark/>
          </w:tcPr>
          <w:p w14:paraId="26741E22"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BOR.E026</w:t>
            </w:r>
          </w:p>
        </w:tc>
        <w:tc>
          <w:tcPr>
            <w:tcW w:w="1780" w:type="dxa"/>
            <w:tcBorders>
              <w:top w:val="nil"/>
              <w:left w:val="nil"/>
              <w:bottom w:val="nil"/>
              <w:right w:val="single" w:sz="8" w:space="0" w:color="auto"/>
            </w:tcBorders>
            <w:shd w:val="clear" w:color="auto" w:fill="auto"/>
            <w:vAlign w:val="center"/>
            <w:hideMark/>
          </w:tcPr>
          <w:p w14:paraId="4FB4C0BD"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BOR.F026</w:t>
            </w:r>
          </w:p>
        </w:tc>
      </w:tr>
      <w:tr w:rsidR="009C39C3" w:rsidRPr="009C39C3" w14:paraId="5DD29B7E" w14:textId="77777777" w:rsidTr="004A7DC5">
        <w:trPr>
          <w:trHeight w:val="270"/>
        </w:trPr>
        <w:tc>
          <w:tcPr>
            <w:tcW w:w="6100" w:type="dxa"/>
            <w:tcBorders>
              <w:top w:val="nil"/>
              <w:left w:val="single" w:sz="8" w:space="0" w:color="auto"/>
              <w:bottom w:val="nil"/>
              <w:right w:val="single" w:sz="8" w:space="0" w:color="auto"/>
            </w:tcBorders>
            <w:shd w:val="clear" w:color="auto" w:fill="auto"/>
            <w:vAlign w:val="center"/>
            <w:hideMark/>
          </w:tcPr>
          <w:p w14:paraId="5BE60091" w14:textId="77777777" w:rsidR="009C39C3" w:rsidRPr="009C39C3" w:rsidRDefault="009C39C3" w:rsidP="004A7DC5">
            <w:pPr>
              <w:spacing w:after="0" w:line="240" w:lineRule="auto"/>
              <w:ind w:firstLineChars="100" w:firstLine="180"/>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Demais Receitas Patrimoniais</w:t>
            </w:r>
          </w:p>
        </w:tc>
        <w:tc>
          <w:tcPr>
            <w:tcW w:w="2480" w:type="dxa"/>
            <w:tcBorders>
              <w:top w:val="nil"/>
              <w:left w:val="nil"/>
              <w:bottom w:val="nil"/>
              <w:right w:val="single" w:sz="8" w:space="0" w:color="auto"/>
            </w:tcBorders>
            <w:shd w:val="clear" w:color="auto" w:fill="auto"/>
            <w:vAlign w:val="center"/>
            <w:hideMark/>
          </w:tcPr>
          <w:p w14:paraId="21B0AD18"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BOR.C027</w:t>
            </w:r>
          </w:p>
        </w:tc>
        <w:tc>
          <w:tcPr>
            <w:tcW w:w="1820" w:type="dxa"/>
            <w:tcBorders>
              <w:top w:val="nil"/>
              <w:left w:val="nil"/>
              <w:bottom w:val="nil"/>
              <w:right w:val="single" w:sz="8" w:space="0" w:color="auto"/>
            </w:tcBorders>
            <w:shd w:val="clear" w:color="auto" w:fill="auto"/>
            <w:vAlign w:val="center"/>
            <w:hideMark/>
          </w:tcPr>
          <w:p w14:paraId="11ED3336"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BOR.D027</w:t>
            </w:r>
          </w:p>
        </w:tc>
        <w:tc>
          <w:tcPr>
            <w:tcW w:w="1920" w:type="dxa"/>
            <w:tcBorders>
              <w:top w:val="nil"/>
              <w:left w:val="nil"/>
              <w:bottom w:val="nil"/>
              <w:right w:val="single" w:sz="8" w:space="0" w:color="auto"/>
            </w:tcBorders>
            <w:shd w:val="clear" w:color="auto" w:fill="auto"/>
            <w:vAlign w:val="center"/>
            <w:hideMark/>
          </w:tcPr>
          <w:p w14:paraId="53D248A7"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BOR.E027</w:t>
            </w:r>
          </w:p>
        </w:tc>
        <w:tc>
          <w:tcPr>
            <w:tcW w:w="1780" w:type="dxa"/>
            <w:tcBorders>
              <w:top w:val="nil"/>
              <w:left w:val="nil"/>
              <w:bottom w:val="nil"/>
              <w:right w:val="single" w:sz="8" w:space="0" w:color="auto"/>
            </w:tcBorders>
            <w:shd w:val="clear" w:color="auto" w:fill="auto"/>
            <w:vAlign w:val="center"/>
            <w:hideMark/>
          </w:tcPr>
          <w:p w14:paraId="453A04B0"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BOR.F027</w:t>
            </w:r>
          </w:p>
        </w:tc>
      </w:tr>
      <w:tr w:rsidR="009C39C3" w:rsidRPr="009C39C3" w14:paraId="00C64517" w14:textId="77777777" w:rsidTr="004A7DC5">
        <w:trPr>
          <w:trHeight w:val="270"/>
        </w:trPr>
        <w:tc>
          <w:tcPr>
            <w:tcW w:w="6100" w:type="dxa"/>
            <w:tcBorders>
              <w:top w:val="nil"/>
              <w:left w:val="single" w:sz="8" w:space="0" w:color="auto"/>
              <w:bottom w:val="nil"/>
              <w:right w:val="single" w:sz="8" w:space="0" w:color="auto"/>
            </w:tcBorders>
            <w:shd w:val="clear" w:color="auto" w:fill="auto"/>
            <w:vAlign w:val="center"/>
            <w:hideMark/>
          </w:tcPr>
          <w:p w14:paraId="73A41C84" w14:textId="77777777" w:rsidR="009C39C3" w:rsidRPr="009C39C3" w:rsidRDefault="009C39C3" w:rsidP="004A7DC5">
            <w:pPr>
              <w:spacing w:after="0" w:line="240" w:lineRule="auto"/>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 xml:space="preserve">  Receita Agropecuária</w:t>
            </w:r>
          </w:p>
        </w:tc>
        <w:tc>
          <w:tcPr>
            <w:tcW w:w="2480" w:type="dxa"/>
            <w:tcBorders>
              <w:top w:val="nil"/>
              <w:left w:val="nil"/>
              <w:bottom w:val="nil"/>
              <w:right w:val="single" w:sz="8" w:space="0" w:color="auto"/>
            </w:tcBorders>
            <w:shd w:val="clear" w:color="auto" w:fill="auto"/>
            <w:vAlign w:val="center"/>
            <w:hideMark/>
          </w:tcPr>
          <w:p w14:paraId="79E6FBCB" w14:textId="77777777" w:rsidR="009C39C3" w:rsidRPr="009C39C3" w:rsidRDefault="009C39C3" w:rsidP="004A7DC5">
            <w:pPr>
              <w:spacing w:after="0"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BOR.C028</w:t>
            </w:r>
          </w:p>
        </w:tc>
        <w:tc>
          <w:tcPr>
            <w:tcW w:w="1820" w:type="dxa"/>
            <w:tcBorders>
              <w:top w:val="nil"/>
              <w:left w:val="nil"/>
              <w:bottom w:val="nil"/>
              <w:right w:val="single" w:sz="8" w:space="0" w:color="auto"/>
            </w:tcBorders>
            <w:shd w:val="clear" w:color="auto" w:fill="auto"/>
            <w:vAlign w:val="center"/>
            <w:hideMark/>
          </w:tcPr>
          <w:p w14:paraId="2D56A717" w14:textId="77777777" w:rsidR="009C39C3" w:rsidRPr="009C39C3" w:rsidRDefault="009C39C3" w:rsidP="004A7DC5">
            <w:pPr>
              <w:spacing w:after="0"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BOR.D028</w:t>
            </w:r>
          </w:p>
        </w:tc>
        <w:tc>
          <w:tcPr>
            <w:tcW w:w="1920" w:type="dxa"/>
            <w:tcBorders>
              <w:top w:val="nil"/>
              <w:left w:val="nil"/>
              <w:bottom w:val="nil"/>
              <w:right w:val="single" w:sz="8" w:space="0" w:color="auto"/>
            </w:tcBorders>
            <w:shd w:val="clear" w:color="auto" w:fill="auto"/>
            <w:vAlign w:val="center"/>
            <w:hideMark/>
          </w:tcPr>
          <w:p w14:paraId="7054D912" w14:textId="77777777" w:rsidR="009C39C3" w:rsidRPr="009C39C3" w:rsidRDefault="009C39C3" w:rsidP="004A7DC5">
            <w:pPr>
              <w:spacing w:after="0"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BOR.E028</w:t>
            </w:r>
          </w:p>
        </w:tc>
        <w:tc>
          <w:tcPr>
            <w:tcW w:w="1780" w:type="dxa"/>
            <w:tcBorders>
              <w:top w:val="nil"/>
              <w:left w:val="nil"/>
              <w:bottom w:val="nil"/>
              <w:right w:val="single" w:sz="8" w:space="0" w:color="auto"/>
            </w:tcBorders>
            <w:shd w:val="clear" w:color="auto" w:fill="auto"/>
            <w:vAlign w:val="center"/>
            <w:hideMark/>
          </w:tcPr>
          <w:p w14:paraId="02187ED4" w14:textId="77777777" w:rsidR="009C39C3" w:rsidRPr="009C39C3" w:rsidRDefault="009C39C3" w:rsidP="004A7DC5">
            <w:pPr>
              <w:spacing w:after="0"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BOR.F028</w:t>
            </w:r>
          </w:p>
        </w:tc>
      </w:tr>
      <w:tr w:rsidR="009C39C3" w:rsidRPr="009C39C3" w14:paraId="11CB8AE8" w14:textId="77777777" w:rsidTr="004A7DC5">
        <w:trPr>
          <w:trHeight w:val="270"/>
        </w:trPr>
        <w:tc>
          <w:tcPr>
            <w:tcW w:w="6100" w:type="dxa"/>
            <w:tcBorders>
              <w:top w:val="nil"/>
              <w:left w:val="single" w:sz="8" w:space="0" w:color="auto"/>
              <w:bottom w:val="nil"/>
              <w:right w:val="single" w:sz="8" w:space="0" w:color="auto"/>
            </w:tcBorders>
            <w:shd w:val="clear" w:color="auto" w:fill="auto"/>
            <w:vAlign w:val="center"/>
            <w:hideMark/>
          </w:tcPr>
          <w:p w14:paraId="51552E11" w14:textId="77777777" w:rsidR="009C39C3" w:rsidRPr="009C39C3" w:rsidRDefault="009C39C3" w:rsidP="004A7DC5">
            <w:pPr>
              <w:spacing w:after="0" w:line="240" w:lineRule="auto"/>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 xml:space="preserve">  Receita Industrial</w:t>
            </w:r>
          </w:p>
        </w:tc>
        <w:tc>
          <w:tcPr>
            <w:tcW w:w="2480" w:type="dxa"/>
            <w:tcBorders>
              <w:top w:val="nil"/>
              <w:left w:val="nil"/>
              <w:bottom w:val="nil"/>
              <w:right w:val="single" w:sz="8" w:space="0" w:color="auto"/>
            </w:tcBorders>
            <w:shd w:val="clear" w:color="auto" w:fill="auto"/>
            <w:vAlign w:val="center"/>
            <w:hideMark/>
          </w:tcPr>
          <w:p w14:paraId="4BD5212E" w14:textId="77777777" w:rsidR="009C39C3" w:rsidRPr="009C39C3" w:rsidRDefault="009C39C3" w:rsidP="004A7DC5">
            <w:pPr>
              <w:spacing w:after="0"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BOR.C032</w:t>
            </w:r>
          </w:p>
        </w:tc>
        <w:tc>
          <w:tcPr>
            <w:tcW w:w="1820" w:type="dxa"/>
            <w:tcBorders>
              <w:top w:val="nil"/>
              <w:left w:val="nil"/>
              <w:bottom w:val="nil"/>
              <w:right w:val="single" w:sz="8" w:space="0" w:color="auto"/>
            </w:tcBorders>
            <w:shd w:val="clear" w:color="auto" w:fill="auto"/>
            <w:vAlign w:val="center"/>
            <w:hideMark/>
          </w:tcPr>
          <w:p w14:paraId="4A66B4BB" w14:textId="77777777" w:rsidR="009C39C3" w:rsidRPr="009C39C3" w:rsidRDefault="009C39C3" w:rsidP="004A7DC5">
            <w:pPr>
              <w:spacing w:after="0"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BOR.D032</w:t>
            </w:r>
          </w:p>
        </w:tc>
        <w:tc>
          <w:tcPr>
            <w:tcW w:w="1920" w:type="dxa"/>
            <w:tcBorders>
              <w:top w:val="nil"/>
              <w:left w:val="nil"/>
              <w:bottom w:val="nil"/>
              <w:right w:val="single" w:sz="8" w:space="0" w:color="auto"/>
            </w:tcBorders>
            <w:shd w:val="clear" w:color="auto" w:fill="auto"/>
            <w:vAlign w:val="center"/>
            <w:hideMark/>
          </w:tcPr>
          <w:p w14:paraId="61304DA9" w14:textId="77777777" w:rsidR="009C39C3" w:rsidRPr="009C39C3" w:rsidRDefault="009C39C3" w:rsidP="004A7DC5">
            <w:pPr>
              <w:spacing w:after="0"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BOR.E032</w:t>
            </w:r>
          </w:p>
        </w:tc>
        <w:tc>
          <w:tcPr>
            <w:tcW w:w="1780" w:type="dxa"/>
            <w:tcBorders>
              <w:top w:val="nil"/>
              <w:left w:val="nil"/>
              <w:bottom w:val="nil"/>
              <w:right w:val="single" w:sz="8" w:space="0" w:color="auto"/>
            </w:tcBorders>
            <w:shd w:val="clear" w:color="auto" w:fill="auto"/>
            <w:vAlign w:val="center"/>
            <w:hideMark/>
          </w:tcPr>
          <w:p w14:paraId="15204389" w14:textId="77777777" w:rsidR="009C39C3" w:rsidRPr="009C39C3" w:rsidRDefault="009C39C3" w:rsidP="004A7DC5">
            <w:pPr>
              <w:spacing w:after="0"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BOR.F032</w:t>
            </w:r>
          </w:p>
        </w:tc>
      </w:tr>
      <w:tr w:rsidR="009C39C3" w:rsidRPr="009C39C3" w14:paraId="6053D121" w14:textId="77777777" w:rsidTr="004A7DC5">
        <w:trPr>
          <w:trHeight w:val="270"/>
        </w:trPr>
        <w:tc>
          <w:tcPr>
            <w:tcW w:w="6100" w:type="dxa"/>
            <w:tcBorders>
              <w:left w:val="single" w:sz="8" w:space="0" w:color="auto"/>
              <w:bottom w:val="nil"/>
              <w:right w:val="single" w:sz="8" w:space="0" w:color="auto"/>
            </w:tcBorders>
            <w:shd w:val="clear" w:color="auto" w:fill="auto"/>
            <w:vAlign w:val="center"/>
            <w:hideMark/>
          </w:tcPr>
          <w:p w14:paraId="489C993B" w14:textId="77777777" w:rsidR="009C39C3" w:rsidRPr="009C39C3" w:rsidRDefault="009C39C3" w:rsidP="004A7DC5">
            <w:pPr>
              <w:spacing w:after="0" w:line="240" w:lineRule="auto"/>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 xml:space="preserve">  Receita de Serviços</w:t>
            </w:r>
          </w:p>
        </w:tc>
        <w:tc>
          <w:tcPr>
            <w:tcW w:w="2480" w:type="dxa"/>
            <w:tcBorders>
              <w:left w:val="nil"/>
              <w:bottom w:val="nil"/>
              <w:right w:val="single" w:sz="8" w:space="0" w:color="auto"/>
            </w:tcBorders>
            <w:shd w:val="clear" w:color="auto" w:fill="auto"/>
            <w:vAlign w:val="center"/>
            <w:hideMark/>
          </w:tcPr>
          <w:p w14:paraId="3AAF5A0E" w14:textId="77777777" w:rsidR="009C39C3" w:rsidRPr="009C39C3" w:rsidRDefault="009C39C3" w:rsidP="004A7DC5">
            <w:pPr>
              <w:spacing w:after="0"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BOR.C037</w:t>
            </w:r>
          </w:p>
        </w:tc>
        <w:tc>
          <w:tcPr>
            <w:tcW w:w="1820" w:type="dxa"/>
            <w:tcBorders>
              <w:left w:val="nil"/>
              <w:bottom w:val="nil"/>
              <w:right w:val="single" w:sz="8" w:space="0" w:color="auto"/>
            </w:tcBorders>
            <w:shd w:val="clear" w:color="auto" w:fill="auto"/>
            <w:vAlign w:val="center"/>
            <w:hideMark/>
          </w:tcPr>
          <w:p w14:paraId="741E9AF5" w14:textId="77777777" w:rsidR="009C39C3" w:rsidRPr="009C39C3" w:rsidRDefault="009C39C3" w:rsidP="004A7DC5">
            <w:pPr>
              <w:spacing w:after="0"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BOR.D037</w:t>
            </w:r>
          </w:p>
        </w:tc>
        <w:tc>
          <w:tcPr>
            <w:tcW w:w="1920" w:type="dxa"/>
            <w:tcBorders>
              <w:left w:val="nil"/>
              <w:bottom w:val="nil"/>
              <w:right w:val="single" w:sz="8" w:space="0" w:color="auto"/>
            </w:tcBorders>
            <w:shd w:val="clear" w:color="auto" w:fill="auto"/>
            <w:vAlign w:val="center"/>
            <w:hideMark/>
          </w:tcPr>
          <w:p w14:paraId="552B9AF8" w14:textId="77777777" w:rsidR="009C39C3" w:rsidRPr="009C39C3" w:rsidRDefault="009C39C3" w:rsidP="004A7DC5">
            <w:pPr>
              <w:spacing w:after="0"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BOR.E037</w:t>
            </w:r>
          </w:p>
        </w:tc>
        <w:tc>
          <w:tcPr>
            <w:tcW w:w="1780" w:type="dxa"/>
            <w:tcBorders>
              <w:left w:val="nil"/>
              <w:bottom w:val="nil"/>
              <w:right w:val="single" w:sz="8" w:space="0" w:color="auto"/>
            </w:tcBorders>
            <w:shd w:val="clear" w:color="auto" w:fill="auto"/>
            <w:vAlign w:val="center"/>
            <w:hideMark/>
          </w:tcPr>
          <w:p w14:paraId="04E50094" w14:textId="77777777" w:rsidR="009C39C3" w:rsidRPr="009C39C3" w:rsidRDefault="009C39C3" w:rsidP="004A7DC5">
            <w:pPr>
              <w:spacing w:after="0"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BOR.F037</w:t>
            </w:r>
          </w:p>
        </w:tc>
      </w:tr>
      <w:tr w:rsidR="009C39C3" w:rsidRPr="009C39C3" w14:paraId="49CF0617" w14:textId="77777777" w:rsidTr="004A7DC5">
        <w:trPr>
          <w:trHeight w:val="270"/>
        </w:trPr>
        <w:tc>
          <w:tcPr>
            <w:tcW w:w="6100" w:type="dxa"/>
            <w:tcBorders>
              <w:top w:val="nil"/>
              <w:left w:val="single" w:sz="8" w:space="0" w:color="auto"/>
              <w:bottom w:val="nil"/>
              <w:right w:val="single" w:sz="8" w:space="0" w:color="auto"/>
            </w:tcBorders>
            <w:shd w:val="clear" w:color="auto" w:fill="auto"/>
            <w:vAlign w:val="center"/>
          </w:tcPr>
          <w:p w14:paraId="0A8AD501" w14:textId="77777777" w:rsidR="009C39C3" w:rsidRPr="009C39C3" w:rsidRDefault="009C39C3" w:rsidP="004A7DC5">
            <w:pPr>
              <w:spacing w:after="0" w:line="240" w:lineRule="auto"/>
              <w:ind w:firstLineChars="100" w:firstLine="180"/>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Serviços Administrativos e Comerciais Gerais</w:t>
            </w:r>
          </w:p>
        </w:tc>
        <w:tc>
          <w:tcPr>
            <w:tcW w:w="2480" w:type="dxa"/>
            <w:tcBorders>
              <w:top w:val="nil"/>
              <w:left w:val="nil"/>
              <w:bottom w:val="nil"/>
              <w:right w:val="single" w:sz="8" w:space="0" w:color="auto"/>
            </w:tcBorders>
            <w:shd w:val="clear" w:color="auto" w:fill="auto"/>
            <w:vAlign w:val="center"/>
          </w:tcPr>
          <w:p w14:paraId="0B1A3E11"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BOR.C092</w:t>
            </w:r>
          </w:p>
        </w:tc>
        <w:tc>
          <w:tcPr>
            <w:tcW w:w="1820" w:type="dxa"/>
            <w:tcBorders>
              <w:top w:val="nil"/>
              <w:left w:val="nil"/>
              <w:bottom w:val="nil"/>
              <w:right w:val="single" w:sz="8" w:space="0" w:color="auto"/>
            </w:tcBorders>
            <w:shd w:val="clear" w:color="auto" w:fill="auto"/>
            <w:vAlign w:val="center"/>
          </w:tcPr>
          <w:p w14:paraId="08CBB638"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BOR.D092</w:t>
            </w:r>
          </w:p>
        </w:tc>
        <w:tc>
          <w:tcPr>
            <w:tcW w:w="1920" w:type="dxa"/>
            <w:tcBorders>
              <w:top w:val="nil"/>
              <w:left w:val="nil"/>
              <w:bottom w:val="nil"/>
              <w:right w:val="single" w:sz="8" w:space="0" w:color="auto"/>
            </w:tcBorders>
            <w:shd w:val="clear" w:color="auto" w:fill="auto"/>
            <w:vAlign w:val="center"/>
          </w:tcPr>
          <w:p w14:paraId="0A1A43FC"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BOR.E092</w:t>
            </w:r>
          </w:p>
        </w:tc>
        <w:tc>
          <w:tcPr>
            <w:tcW w:w="1780" w:type="dxa"/>
            <w:tcBorders>
              <w:top w:val="nil"/>
              <w:left w:val="nil"/>
              <w:bottom w:val="nil"/>
              <w:right w:val="single" w:sz="8" w:space="0" w:color="auto"/>
            </w:tcBorders>
            <w:shd w:val="clear" w:color="auto" w:fill="auto"/>
            <w:vAlign w:val="center"/>
          </w:tcPr>
          <w:p w14:paraId="2CAED285"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BOR.F092</w:t>
            </w:r>
          </w:p>
        </w:tc>
      </w:tr>
      <w:tr w:rsidR="009C39C3" w:rsidRPr="009C39C3" w14:paraId="0687754A" w14:textId="77777777" w:rsidTr="004A7DC5">
        <w:trPr>
          <w:trHeight w:val="270"/>
        </w:trPr>
        <w:tc>
          <w:tcPr>
            <w:tcW w:w="6100" w:type="dxa"/>
            <w:tcBorders>
              <w:top w:val="nil"/>
              <w:left w:val="single" w:sz="8" w:space="0" w:color="auto"/>
              <w:bottom w:val="nil"/>
              <w:right w:val="single" w:sz="8" w:space="0" w:color="auto"/>
            </w:tcBorders>
            <w:shd w:val="clear" w:color="auto" w:fill="auto"/>
            <w:vAlign w:val="center"/>
          </w:tcPr>
          <w:p w14:paraId="26298F07" w14:textId="77777777" w:rsidR="009C39C3" w:rsidRPr="009C39C3" w:rsidRDefault="009C39C3" w:rsidP="004A7DC5">
            <w:pPr>
              <w:spacing w:after="0" w:line="240" w:lineRule="auto"/>
              <w:ind w:firstLineChars="100" w:firstLine="180"/>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 xml:space="preserve">Serviços e Atividades Referentes à Navegação e ao Transporte </w:t>
            </w:r>
          </w:p>
        </w:tc>
        <w:tc>
          <w:tcPr>
            <w:tcW w:w="2480" w:type="dxa"/>
            <w:tcBorders>
              <w:top w:val="nil"/>
              <w:left w:val="nil"/>
              <w:bottom w:val="nil"/>
              <w:right w:val="single" w:sz="8" w:space="0" w:color="auto"/>
            </w:tcBorders>
            <w:shd w:val="clear" w:color="auto" w:fill="auto"/>
            <w:vAlign w:val="center"/>
          </w:tcPr>
          <w:p w14:paraId="2360BDE3"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BOR.C093</w:t>
            </w:r>
          </w:p>
        </w:tc>
        <w:tc>
          <w:tcPr>
            <w:tcW w:w="1820" w:type="dxa"/>
            <w:tcBorders>
              <w:top w:val="nil"/>
              <w:left w:val="nil"/>
              <w:bottom w:val="nil"/>
              <w:right w:val="single" w:sz="8" w:space="0" w:color="auto"/>
            </w:tcBorders>
            <w:shd w:val="clear" w:color="auto" w:fill="auto"/>
            <w:vAlign w:val="center"/>
          </w:tcPr>
          <w:p w14:paraId="516165BC"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BOR.D093</w:t>
            </w:r>
          </w:p>
        </w:tc>
        <w:tc>
          <w:tcPr>
            <w:tcW w:w="1920" w:type="dxa"/>
            <w:tcBorders>
              <w:top w:val="nil"/>
              <w:left w:val="nil"/>
              <w:bottom w:val="nil"/>
              <w:right w:val="single" w:sz="8" w:space="0" w:color="auto"/>
            </w:tcBorders>
            <w:shd w:val="clear" w:color="auto" w:fill="auto"/>
            <w:vAlign w:val="center"/>
          </w:tcPr>
          <w:p w14:paraId="2088C6F3"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BOR.E093</w:t>
            </w:r>
          </w:p>
        </w:tc>
        <w:tc>
          <w:tcPr>
            <w:tcW w:w="1780" w:type="dxa"/>
            <w:tcBorders>
              <w:top w:val="nil"/>
              <w:left w:val="nil"/>
              <w:bottom w:val="nil"/>
              <w:right w:val="single" w:sz="8" w:space="0" w:color="auto"/>
            </w:tcBorders>
            <w:shd w:val="clear" w:color="auto" w:fill="auto"/>
            <w:vAlign w:val="center"/>
          </w:tcPr>
          <w:p w14:paraId="3A451019"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BOR.F093</w:t>
            </w:r>
          </w:p>
        </w:tc>
      </w:tr>
      <w:tr w:rsidR="009C39C3" w:rsidRPr="009C39C3" w14:paraId="3B47E0C7" w14:textId="77777777" w:rsidTr="004A7DC5">
        <w:trPr>
          <w:trHeight w:val="270"/>
        </w:trPr>
        <w:tc>
          <w:tcPr>
            <w:tcW w:w="6100" w:type="dxa"/>
            <w:tcBorders>
              <w:top w:val="nil"/>
              <w:left w:val="single" w:sz="8" w:space="0" w:color="auto"/>
              <w:bottom w:val="nil"/>
              <w:right w:val="single" w:sz="8" w:space="0" w:color="auto"/>
            </w:tcBorders>
            <w:shd w:val="clear" w:color="auto" w:fill="auto"/>
            <w:vAlign w:val="center"/>
          </w:tcPr>
          <w:p w14:paraId="15AB4212" w14:textId="77777777" w:rsidR="009C39C3" w:rsidRPr="009C39C3" w:rsidRDefault="009C39C3" w:rsidP="004A7DC5">
            <w:pPr>
              <w:spacing w:after="0" w:line="240" w:lineRule="auto"/>
              <w:ind w:firstLineChars="100" w:firstLine="180"/>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Serviços e Atividades Referentes à Saúde</w:t>
            </w:r>
          </w:p>
        </w:tc>
        <w:tc>
          <w:tcPr>
            <w:tcW w:w="2480" w:type="dxa"/>
            <w:tcBorders>
              <w:top w:val="nil"/>
              <w:left w:val="nil"/>
              <w:bottom w:val="nil"/>
              <w:right w:val="single" w:sz="8" w:space="0" w:color="auto"/>
            </w:tcBorders>
            <w:shd w:val="clear" w:color="auto" w:fill="auto"/>
            <w:vAlign w:val="center"/>
          </w:tcPr>
          <w:p w14:paraId="66126A21"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BOR.C094</w:t>
            </w:r>
          </w:p>
        </w:tc>
        <w:tc>
          <w:tcPr>
            <w:tcW w:w="1820" w:type="dxa"/>
            <w:tcBorders>
              <w:top w:val="nil"/>
              <w:left w:val="nil"/>
              <w:bottom w:val="nil"/>
              <w:right w:val="single" w:sz="8" w:space="0" w:color="auto"/>
            </w:tcBorders>
            <w:shd w:val="clear" w:color="auto" w:fill="auto"/>
            <w:vAlign w:val="center"/>
          </w:tcPr>
          <w:p w14:paraId="6B7E59AA"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BOR.D094</w:t>
            </w:r>
          </w:p>
        </w:tc>
        <w:tc>
          <w:tcPr>
            <w:tcW w:w="1920" w:type="dxa"/>
            <w:tcBorders>
              <w:top w:val="nil"/>
              <w:left w:val="nil"/>
              <w:bottom w:val="nil"/>
              <w:right w:val="single" w:sz="8" w:space="0" w:color="auto"/>
            </w:tcBorders>
            <w:shd w:val="clear" w:color="auto" w:fill="auto"/>
            <w:vAlign w:val="center"/>
          </w:tcPr>
          <w:p w14:paraId="6942BB40"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BOR.E094</w:t>
            </w:r>
          </w:p>
        </w:tc>
        <w:tc>
          <w:tcPr>
            <w:tcW w:w="1780" w:type="dxa"/>
            <w:tcBorders>
              <w:top w:val="nil"/>
              <w:left w:val="nil"/>
              <w:bottom w:val="nil"/>
              <w:right w:val="single" w:sz="8" w:space="0" w:color="auto"/>
            </w:tcBorders>
            <w:shd w:val="clear" w:color="auto" w:fill="auto"/>
            <w:vAlign w:val="center"/>
          </w:tcPr>
          <w:p w14:paraId="4016870D"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BOR.F094</w:t>
            </w:r>
          </w:p>
        </w:tc>
      </w:tr>
      <w:tr w:rsidR="009C39C3" w:rsidRPr="009C39C3" w14:paraId="35C4684F" w14:textId="77777777" w:rsidTr="004A7DC5">
        <w:trPr>
          <w:trHeight w:val="270"/>
        </w:trPr>
        <w:tc>
          <w:tcPr>
            <w:tcW w:w="6100" w:type="dxa"/>
            <w:tcBorders>
              <w:top w:val="nil"/>
              <w:left w:val="single" w:sz="8" w:space="0" w:color="auto"/>
              <w:bottom w:val="nil"/>
              <w:right w:val="single" w:sz="8" w:space="0" w:color="auto"/>
            </w:tcBorders>
            <w:shd w:val="clear" w:color="auto" w:fill="auto"/>
            <w:vAlign w:val="center"/>
          </w:tcPr>
          <w:p w14:paraId="4F871114" w14:textId="77777777" w:rsidR="009C39C3" w:rsidRPr="009C39C3" w:rsidRDefault="009C39C3" w:rsidP="004A7DC5">
            <w:pPr>
              <w:spacing w:after="0" w:line="240" w:lineRule="auto"/>
              <w:ind w:firstLineChars="100" w:firstLine="180"/>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Serviços e Atividades Financeiras</w:t>
            </w:r>
          </w:p>
        </w:tc>
        <w:tc>
          <w:tcPr>
            <w:tcW w:w="2480" w:type="dxa"/>
            <w:tcBorders>
              <w:top w:val="nil"/>
              <w:left w:val="nil"/>
              <w:bottom w:val="nil"/>
              <w:right w:val="single" w:sz="8" w:space="0" w:color="auto"/>
            </w:tcBorders>
            <w:shd w:val="clear" w:color="auto" w:fill="auto"/>
            <w:vAlign w:val="center"/>
          </w:tcPr>
          <w:p w14:paraId="0BA6FD7E"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BOR.C095</w:t>
            </w:r>
          </w:p>
        </w:tc>
        <w:tc>
          <w:tcPr>
            <w:tcW w:w="1820" w:type="dxa"/>
            <w:tcBorders>
              <w:top w:val="nil"/>
              <w:left w:val="nil"/>
              <w:bottom w:val="nil"/>
              <w:right w:val="single" w:sz="8" w:space="0" w:color="auto"/>
            </w:tcBorders>
            <w:shd w:val="clear" w:color="auto" w:fill="auto"/>
            <w:vAlign w:val="center"/>
          </w:tcPr>
          <w:p w14:paraId="20577A5B"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BOR.D095</w:t>
            </w:r>
          </w:p>
        </w:tc>
        <w:tc>
          <w:tcPr>
            <w:tcW w:w="1920" w:type="dxa"/>
            <w:tcBorders>
              <w:top w:val="nil"/>
              <w:left w:val="nil"/>
              <w:bottom w:val="nil"/>
              <w:right w:val="single" w:sz="8" w:space="0" w:color="auto"/>
            </w:tcBorders>
            <w:shd w:val="clear" w:color="auto" w:fill="auto"/>
            <w:vAlign w:val="center"/>
          </w:tcPr>
          <w:p w14:paraId="56FDB5A5"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BOR.E095</w:t>
            </w:r>
          </w:p>
        </w:tc>
        <w:tc>
          <w:tcPr>
            <w:tcW w:w="1780" w:type="dxa"/>
            <w:tcBorders>
              <w:top w:val="nil"/>
              <w:left w:val="nil"/>
              <w:bottom w:val="nil"/>
              <w:right w:val="single" w:sz="8" w:space="0" w:color="auto"/>
            </w:tcBorders>
            <w:shd w:val="clear" w:color="auto" w:fill="auto"/>
            <w:vAlign w:val="center"/>
          </w:tcPr>
          <w:p w14:paraId="5E2E6ACF"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BOR.F095</w:t>
            </w:r>
          </w:p>
        </w:tc>
      </w:tr>
      <w:tr w:rsidR="009C39C3" w:rsidRPr="009C39C3" w14:paraId="7FE78834" w14:textId="77777777" w:rsidTr="004A7DC5">
        <w:trPr>
          <w:trHeight w:val="270"/>
        </w:trPr>
        <w:tc>
          <w:tcPr>
            <w:tcW w:w="6100" w:type="dxa"/>
            <w:tcBorders>
              <w:top w:val="nil"/>
              <w:left w:val="single" w:sz="8" w:space="0" w:color="auto"/>
              <w:bottom w:val="nil"/>
              <w:right w:val="single" w:sz="8" w:space="0" w:color="auto"/>
            </w:tcBorders>
            <w:shd w:val="clear" w:color="auto" w:fill="auto"/>
            <w:vAlign w:val="center"/>
          </w:tcPr>
          <w:p w14:paraId="4AE261C2" w14:textId="77777777" w:rsidR="009C39C3" w:rsidRPr="009C39C3" w:rsidRDefault="009C39C3" w:rsidP="004A7DC5">
            <w:pPr>
              <w:spacing w:after="0" w:line="240" w:lineRule="auto"/>
              <w:ind w:firstLineChars="100" w:firstLine="180"/>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Outros Serviços</w:t>
            </w:r>
          </w:p>
        </w:tc>
        <w:tc>
          <w:tcPr>
            <w:tcW w:w="2480" w:type="dxa"/>
            <w:tcBorders>
              <w:top w:val="nil"/>
              <w:left w:val="nil"/>
              <w:bottom w:val="nil"/>
              <w:right w:val="single" w:sz="8" w:space="0" w:color="auto"/>
            </w:tcBorders>
            <w:shd w:val="clear" w:color="auto" w:fill="auto"/>
            <w:vAlign w:val="center"/>
          </w:tcPr>
          <w:p w14:paraId="69CD3F1E"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BOR.C096</w:t>
            </w:r>
          </w:p>
        </w:tc>
        <w:tc>
          <w:tcPr>
            <w:tcW w:w="1820" w:type="dxa"/>
            <w:tcBorders>
              <w:top w:val="nil"/>
              <w:left w:val="nil"/>
              <w:bottom w:val="nil"/>
              <w:right w:val="single" w:sz="8" w:space="0" w:color="auto"/>
            </w:tcBorders>
            <w:shd w:val="clear" w:color="auto" w:fill="auto"/>
            <w:vAlign w:val="center"/>
          </w:tcPr>
          <w:p w14:paraId="01FB5478"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BOR.D096</w:t>
            </w:r>
          </w:p>
        </w:tc>
        <w:tc>
          <w:tcPr>
            <w:tcW w:w="1920" w:type="dxa"/>
            <w:tcBorders>
              <w:top w:val="nil"/>
              <w:left w:val="nil"/>
              <w:bottom w:val="nil"/>
              <w:right w:val="single" w:sz="8" w:space="0" w:color="auto"/>
            </w:tcBorders>
            <w:shd w:val="clear" w:color="auto" w:fill="auto"/>
            <w:vAlign w:val="center"/>
          </w:tcPr>
          <w:p w14:paraId="21E428A8"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BOR.E096</w:t>
            </w:r>
          </w:p>
        </w:tc>
        <w:tc>
          <w:tcPr>
            <w:tcW w:w="1780" w:type="dxa"/>
            <w:tcBorders>
              <w:top w:val="nil"/>
              <w:left w:val="nil"/>
              <w:bottom w:val="nil"/>
              <w:right w:val="single" w:sz="8" w:space="0" w:color="auto"/>
            </w:tcBorders>
            <w:shd w:val="clear" w:color="auto" w:fill="auto"/>
            <w:vAlign w:val="center"/>
          </w:tcPr>
          <w:p w14:paraId="48F87D30"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BOR.F096</w:t>
            </w:r>
          </w:p>
        </w:tc>
      </w:tr>
      <w:tr w:rsidR="009C39C3" w:rsidRPr="009C39C3" w14:paraId="1BA60C78" w14:textId="77777777" w:rsidTr="004A7DC5">
        <w:trPr>
          <w:trHeight w:val="270"/>
        </w:trPr>
        <w:tc>
          <w:tcPr>
            <w:tcW w:w="6100" w:type="dxa"/>
            <w:tcBorders>
              <w:top w:val="nil"/>
              <w:left w:val="single" w:sz="8" w:space="0" w:color="auto"/>
              <w:bottom w:val="nil"/>
              <w:right w:val="single" w:sz="8" w:space="0" w:color="auto"/>
            </w:tcBorders>
            <w:shd w:val="clear" w:color="auto" w:fill="auto"/>
            <w:vAlign w:val="center"/>
            <w:hideMark/>
          </w:tcPr>
          <w:p w14:paraId="70613710" w14:textId="77777777" w:rsidR="009C39C3" w:rsidRPr="009C39C3" w:rsidRDefault="009C39C3" w:rsidP="004A7DC5">
            <w:pPr>
              <w:spacing w:after="0" w:line="240" w:lineRule="auto"/>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lastRenderedPageBreak/>
              <w:t xml:space="preserve">  Transferências Correntes</w:t>
            </w:r>
          </w:p>
        </w:tc>
        <w:tc>
          <w:tcPr>
            <w:tcW w:w="2480" w:type="dxa"/>
            <w:tcBorders>
              <w:top w:val="nil"/>
              <w:left w:val="nil"/>
              <w:bottom w:val="nil"/>
              <w:right w:val="single" w:sz="8" w:space="0" w:color="auto"/>
            </w:tcBorders>
            <w:shd w:val="clear" w:color="auto" w:fill="auto"/>
            <w:vAlign w:val="center"/>
            <w:hideMark/>
          </w:tcPr>
          <w:p w14:paraId="5C8A4A89" w14:textId="77777777" w:rsidR="009C39C3" w:rsidRPr="009C39C3" w:rsidRDefault="009C39C3" w:rsidP="004A7DC5">
            <w:pPr>
              <w:spacing w:after="0"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BOR.C038</w:t>
            </w:r>
          </w:p>
        </w:tc>
        <w:tc>
          <w:tcPr>
            <w:tcW w:w="1820" w:type="dxa"/>
            <w:tcBorders>
              <w:top w:val="nil"/>
              <w:left w:val="nil"/>
              <w:bottom w:val="nil"/>
              <w:right w:val="single" w:sz="8" w:space="0" w:color="auto"/>
            </w:tcBorders>
            <w:shd w:val="clear" w:color="auto" w:fill="auto"/>
            <w:vAlign w:val="center"/>
            <w:hideMark/>
          </w:tcPr>
          <w:p w14:paraId="405A4EFF" w14:textId="77777777" w:rsidR="009C39C3" w:rsidRPr="009C39C3" w:rsidRDefault="009C39C3" w:rsidP="004A7DC5">
            <w:pPr>
              <w:spacing w:after="0"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BOR.D038</w:t>
            </w:r>
          </w:p>
        </w:tc>
        <w:tc>
          <w:tcPr>
            <w:tcW w:w="1920" w:type="dxa"/>
            <w:tcBorders>
              <w:top w:val="nil"/>
              <w:left w:val="nil"/>
              <w:bottom w:val="nil"/>
              <w:right w:val="single" w:sz="8" w:space="0" w:color="auto"/>
            </w:tcBorders>
            <w:shd w:val="clear" w:color="auto" w:fill="auto"/>
            <w:vAlign w:val="center"/>
            <w:hideMark/>
          </w:tcPr>
          <w:p w14:paraId="639575AF" w14:textId="77777777" w:rsidR="009C39C3" w:rsidRPr="009C39C3" w:rsidRDefault="009C39C3" w:rsidP="004A7DC5">
            <w:pPr>
              <w:spacing w:after="0"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BOR.E038</w:t>
            </w:r>
          </w:p>
        </w:tc>
        <w:tc>
          <w:tcPr>
            <w:tcW w:w="1780" w:type="dxa"/>
            <w:tcBorders>
              <w:top w:val="nil"/>
              <w:left w:val="nil"/>
              <w:bottom w:val="nil"/>
              <w:right w:val="single" w:sz="8" w:space="0" w:color="auto"/>
            </w:tcBorders>
            <w:shd w:val="clear" w:color="auto" w:fill="auto"/>
            <w:vAlign w:val="center"/>
            <w:hideMark/>
          </w:tcPr>
          <w:p w14:paraId="77D0ADBC" w14:textId="77777777" w:rsidR="009C39C3" w:rsidRPr="009C39C3" w:rsidRDefault="009C39C3" w:rsidP="004A7DC5">
            <w:pPr>
              <w:spacing w:after="0"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BOR.F038</w:t>
            </w:r>
          </w:p>
        </w:tc>
      </w:tr>
      <w:tr w:rsidR="009C39C3" w:rsidRPr="009C39C3" w14:paraId="558B601C" w14:textId="77777777" w:rsidTr="004A7DC5">
        <w:trPr>
          <w:trHeight w:val="270"/>
        </w:trPr>
        <w:tc>
          <w:tcPr>
            <w:tcW w:w="6100" w:type="dxa"/>
            <w:tcBorders>
              <w:top w:val="nil"/>
              <w:left w:val="single" w:sz="8" w:space="0" w:color="auto"/>
              <w:bottom w:val="nil"/>
              <w:right w:val="single" w:sz="8" w:space="0" w:color="auto"/>
            </w:tcBorders>
            <w:shd w:val="clear" w:color="auto" w:fill="auto"/>
            <w:vAlign w:val="center"/>
          </w:tcPr>
          <w:p w14:paraId="4C392525" w14:textId="77777777" w:rsidR="009C39C3" w:rsidRPr="009C39C3" w:rsidRDefault="009C39C3" w:rsidP="004A7DC5">
            <w:pPr>
              <w:spacing w:after="0" w:line="240" w:lineRule="auto"/>
              <w:ind w:firstLineChars="100" w:firstLine="180"/>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Transferências da União e Suas Entidades</w:t>
            </w:r>
          </w:p>
        </w:tc>
        <w:tc>
          <w:tcPr>
            <w:tcW w:w="2480" w:type="dxa"/>
            <w:tcBorders>
              <w:top w:val="nil"/>
              <w:left w:val="nil"/>
              <w:bottom w:val="nil"/>
              <w:right w:val="single" w:sz="8" w:space="0" w:color="auto"/>
            </w:tcBorders>
            <w:shd w:val="clear" w:color="auto" w:fill="auto"/>
            <w:vAlign w:val="center"/>
          </w:tcPr>
          <w:p w14:paraId="4752D635"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BOR.C097</w:t>
            </w:r>
          </w:p>
        </w:tc>
        <w:tc>
          <w:tcPr>
            <w:tcW w:w="1820" w:type="dxa"/>
            <w:tcBorders>
              <w:top w:val="nil"/>
              <w:left w:val="nil"/>
              <w:bottom w:val="nil"/>
              <w:right w:val="single" w:sz="8" w:space="0" w:color="auto"/>
            </w:tcBorders>
            <w:shd w:val="clear" w:color="auto" w:fill="auto"/>
            <w:vAlign w:val="center"/>
          </w:tcPr>
          <w:p w14:paraId="4FF079F5"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BOR.D097</w:t>
            </w:r>
          </w:p>
        </w:tc>
        <w:tc>
          <w:tcPr>
            <w:tcW w:w="1920" w:type="dxa"/>
            <w:tcBorders>
              <w:top w:val="nil"/>
              <w:left w:val="nil"/>
              <w:bottom w:val="nil"/>
              <w:right w:val="single" w:sz="8" w:space="0" w:color="auto"/>
            </w:tcBorders>
            <w:shd w:val="clear" w:color="auto" w:fill="auto"/>
            <w:vAlign w:val="center"/>
          </w:tcPr>
          <w:p w14:paraId="57838983"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BOR.E097</w:t>
            </w:r>
          </w:p>
        </w:tc>
        <w:tc>
          <w:tcPr>
            <w:tcW w:w="1780" w:type="dxa"/>
            <w:tcBorders>
              <w:top w:val="nil"/>
              <w:left w:val="nil"/>
              <w:bottom w:val="nil"/>
              <w:right w:val="single" w:sz="8" w:space="0" w:color="auto"/>
            </w:tcBorders>
            <w:shd w:val="clear" w:color="auto" w:fill="auto"/>
            <w:vAlign w:val="center"/>
          </w:tcPr>
          <w:p w14:paraId="6C3F5ACD"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BOR.F097</w:t>
            </w:r>
          </w:p>
        </w:tc>
      </w:tr>
      <w:tr w:rsidR="009C39C3" w:rsidRPr="009C39C3" w14:paraId="5B5CBEA3" w14:textId="77777777" w:rsidTr="004A7DC5">
        <w:trPr>
          <w:trHeight w:val="270"/>
        </w:trPr>
        <w:tc>
          <w:tcPr>
            <w:tcW w:w="6100" w:type="dxa"/>
            <w:tcBorders>
              <w:top w:val="nil"/>
              <w:left w:val="single" w:sz="8" w:space="0" w:color="auto"/>
              <w:bottom w:val="nil"/>
              <w:right w:val="single" w:sz="8" w:space="0" w:color="auto"/>
            </w:tcBorders>
            <w:shd w:val="clear" w:color="auto" w:fill="auto"/>
            <w:vAlign w:val="center"/>
          </w:tcPr>
          <w:p w14:paraId="5EF2F2E7" w14:textId="77777777" w:rsidR="009C39C3" w:rsidRPr="009C39C3" w:rsidRDefault="009C39C3" w:rsidP="004A7DC5">
            <w:pPr>
              <w:spacing w:after="0" w:line="240" w:lineRule="auto"/>
              <w:ind w:firstLineChars="100" w:firstLine="180"/>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Transferências dos Estados e do DF e Suas Entidades</w:t>
            </w:r>
          </w:p>
        </w:tc>
        <w:tc>
          <w:tcPr>
            <w:tcW w:w="2480" w:type="dxa"/>
            <w:tcBorders>
              <w:top w:val="nil"/>
              <w:left w:val="nil"/>
              <w:bottom w:val="nil"/>
              <w:right w:val="single" w:sz="8" w:space="0" w:color="auto"/>
            </w:tcBorders>
            <w:shd w:val="clear" w:color="auto" w:fill="auto"/>
            <w:vAlign w:val="center"/>
          </w:tcPr>
          <w:p w14:paraId="295D74DE"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BOR.C098</w:t>
            </w:r>
          </w:p>
        </w:tc>
        <w:tc>
          <w:tcPr>
            <w:tcW w:w="1820" w:type="dxa"/>
            <w:tcBorders>
              <w:top w:val="nil"/>
              <w:left w:val="nil"/>
              <w:bottom w:val="nil"/>
              <w:right w:val="single" w:sz="8" w:space="0" w:color="auto"/>
            </w:tcBorders>
            <w:shd w:val="clear" w:color="auto" w:fill="auto"/>
            <w:vAlign w:val="center"/>
          </w:tcPr>
          <w:p w14:paraId="0159202D"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BOR.D098</w:t>
            </w:r>
          </w:p>
        </w:tc>
        <w:tc>
          <w:tcPr>
            <w:tcW w:w="1920" w:type="dxa"/>
            <w:tcBorders>
              <w:top w:val="nil"/>
              <w:left w:val="nil"/>
              <w:bottom w:val="nil"/>
              <w:right w:val="single" w:sz="8" w:space="0" w:color="auto"/>
            </w:tcBorders>
            <w:shd w:val="clear" w:color="auto" w:fill="auto"/>
            <w:vAlign w:val="center"/>
          </w:tcPr>
          <w:p w14:paraId="53340250"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BOR.E098</w:t>
            </w:r>
          </w:p>
        </w:tc>
        <w:tc>
          <w:tcPr>
            <w:tcW w:w="1780" w:type="dxa"/>
            <w:tcBorders>
              <w:top w:val="nil"/>
              <w:left w:val="nil"/>
              <w:bottom w:val="nil"/>
              <w:right w:val="single" w:sz="8" w:space="0" w:color="auto"/>
            </w:tcBorders>
            <w:shd w:val="clear" w:color="auto" w:fill="auto"/>
            <w:vAlign w:val="center"/>
          </w:tcPr>
          <w:p w14:paraId="0D499819"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BOR.F098</w:t>
            </w:r>
          </w:p>
        </w:tc>
      </w:tr>
      <w:tr w:rsidR="009C39C3" w:rsidRPr="009C39C3" w14:paraId="4C7809C1" w14:textId="77777777" w:rsidTr="004A7DC5">
        <w:trPr>
          <w:trHeight w:val="270"/>
        </w:trPr>
        <w:tc>
          <w:tcPr>
            <w:tcW w:w="6100" w:type="dxa"/>
            <w:tcBorders>
              <w:top w:val="nil"/>
              <w:left w:val="single" w:sz="8" w:space="0" w:color="auto"/>
              <w:bottom w:val="nil"/>
              <w:right w:val="single" w:sz="8" w:space="0" w:color="auto"/>
            </w:tcBorders>
            <w:shd w:val="clear" w:color="auto" w:fill="auto"/>
            <w:vAlign w:val="center"/>
          </w:tcPr>
          <w:p w14:paraId="100A5EF7" w14:textId="77777777" w:rsidR="009C39C3" w:rsidRPr="009C39C3" w:rsidRDefault="009C39C3" w:rsidP="004A7DC5">
            <w:pPr>
              <w:spacing w:after="0" w:line="240" w:lineRule="auto"/>
              <w:ind w:firstLineChars="100" w:firstLine="180"/>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Transferências dos Municípios e Suas Entidades</w:t>
            </w:r>
          </w:p>
        </w:tc>
        <w:tc>
          <w:tcPr>
            <w:tcW w:w="2480" w:type="dxa"/>
            <w:tcBorders>
              <w:top w:val="nil"/>
              <w:left w:val="nil"/>
              <w:bottom w:val="nil"/>
              <w:right w:val="single" w:sz="8" w:space="0" w:color="auto"/>
            </w:tcBorders>
            <w:shd w:val="clear" w:color="auto" w:fill="auto"/>
            <w:vAlign w:val="center"/>
          </w:tcPr>
          <w:p w14:paraId="78E9E4D9"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BOR.C099</w:t>
            </w:r>
          </w:p>
        </w:tc>
        <w:tc>
          <w:tcPr>
            <w:tcW w:w="1820" w:type="dxa"/>
            <w:tcBorders>
              <w:top w:val="nil"/>
              <w:left w:val="nil"/>
              <w:bottom w:val="nil"/>
              <w:right w:val="single" w:sz="8" w:space="0" w:color="auto"/>
            </w:tcBorders>
            <w:shd w:val="clear" w:color="auto" w:fill="auto"/>
            <w:vAlign w:val="center"/>
          </w:tcPr>
          <w:p w14:paraId="3FFD3EBC"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BOR.D099</w:t>
            </w:r>
          </w:p>
        </w:tc>
        <w:tc>
          <w:tcPr>
            <w:tcW w:w="1920" w:type="dxa"/>
            <w:tcBorders>
              <w:top w:val="nil"/>
              <w:left w:val="nil"/>
              <w:bottom w:val="nil"/>
              <w:right w:val="single" w:sz="8" w:space="0" w:color="auto"/>
            </w:tcBorders>
            <w:shd w:val="clear" w:color="auto" w:fill="auto"/>
            <w:vAlign w:val="center"/>
          </w:tcPr>
          <w:p w14:paraId="715C8D55"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BOR.E099</w:t>
            </w:r>
          </w:p>
        </w:tc>
        <w:tc>
          <w:tcPr>
            <w:tcW w:w="1780" w:type="dxa"/>
            <w:tcBorders>
              <w:top w:val="nil"/>
              <w:left w:val="nil"/>
              <w:bottom w:val="nil"/>
              <w:right w:val="single" w:sz="8" w:space="0" w:color="auto"/>
            </w:tcBorders>
            <w:shd w:val="clear" w:color="auto" w:fill="auto"/>
            <w:vAlign w:val="center"/>
          </w:tcPr>
          <w:p w14:paraId="06A6EA52"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BOR.F099</w:t>
            </w:r>
          </w:p>
        </w:tc>
      </w:tr>
      <w:tr w:rsidR="009C39C3" w:rsidRPr="009C39C3" w14:paraId="40A22B62" w14:textId="77777777" w:rsidTr="004A7DC5">
        <w:trPr>
          <w:trHeight w:val="270"/>
        </w:trPr>
        <w:tc>
          <w:tcPr>
            <w:tcW w:w="6100" w:type="dxa"/>
            <w:tcBorders>
              <w:top w:val="nil"/>
              <w:left w:val="single" w:sz="8" w:space="0" w:color="auto"/>
              <w:bottom w:val="nil"/>
              <w:right w:val="single" w:sz="8" w:space="0" w:color="auto"/>
            </w:tcBorders>
            <w:shd w:val="clear" w:color="auto" w:fill="auto"/>
            <w:vAlign w:val="center"/>
            <w:hideMark/>
          </w:tcPr>
          <w:p w14:paraId="341B1345" w14:textId="77777777" w:rsidR="009C39C3" w:rsidRPr="009C39C3" w:rsidRDefault="009C39C3" w:rsidP="004A7DC5">
            <w:pPr>
              <w:spacing w:after="0" w:line="240" w:lineRule="auto"/>
              <w:ind w:firstLineChars="100" w:firstLine="180"/>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Transferências de Instituições Privadas</w:t>
            </w:r>
          </w:p>
        </w:tc>
        <w:tc>
          <w:tcPr>
            <w:tcW w:w="2480" w:type="dxa"/>
            <w:tcBorders>
              <w:top w:val="nil"/>
              <w:left w:val="nil"/>
              <w:bottom w:val="nil"/>
              <w:right w:val="single" w:sz="8" w:space="0" w:color="auto"/>
            </w:tcBorders>
            <w:shd w:val="clear" w:color="auto" w:fill="auto"/>
            <w:vAlign w:val="center"/>
            <w:hideMark/>
          </w:tcPr>
          <w:p w14:paraId="0DBF15F6"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BOR.C040</w:t>
            </w:r>
          </w:p>
        </w:tc>
        <w:tc>
          <w:tcPr>
            <w:tcW w:w="1820" w:type="dxa"/>
            <w:tcBorders>
              <w:top w:val="nil"/>
              <w:left w:val="nil"/>
              <w:bottom w:val="nil"/>
              <w:right w:val="single" w:sz="8" w:space="0" w:color="auto"/>
            </w:tcBorders>
            <w:shd w:val="clear" w:color="auto" w:fill="auto"/>
            <w:vAlign w:val="center"/>
            <w:hideMark/>
          </w:tcPr>
          <w:p w14:paraId="76BA3450"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BOR.D040</w:t>
            </w:r>
          </w:p>
        </w:tc>
        <w:tc>
          <w:tcPr>
            <w:tcW w:w="1920" w:type="dxa"/>
            <w:tcBorders>
              <w:top w:val="nil"/>
              <w:left w:val="nil"/>
              <w:bottom w:val="nil"/>
              <w:right w:val="single" w:sz="8" w:space="0" w:color="auto"/>
            </w:tcBorders>
            <w:shd w:val="clear" w:color="auto" w:fill="auto"/>
            <w:vAlign w:val="center"/>
            <w:hideMark/>
          </w:tcPr>
          <w:p w14:paraId="6075D8DF"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BOR.E040</w:t>
            </w:r>
          </w:p>
        </w:tc>
        <w:tc>
          <w:tcPr>
            <w:tcW w:w="1780" w:type="dxa"/>
            <w:tcBorders>
              <w:top w:val="nil"/>
              <w:left w:val="nil"/>
              <w:bottom w:val="nil"/>
              <w:right w:val="single" w:sz="8" w:space="0" w:color="auto"/>
            </w:tcBorders>
            <w:shd w:val="clear" w:color="auto" w:fill="auto"/>
            <w:vAlign w:val="center"/>
            <w:hideMark/>
          </w:tcPr>
          <w:p w14:paraId="240DCDF0"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BOR.F040</w:t>
            </w:r>
          </w:p>
        </w:tc>
      </w:tr>
      <w:tr w:rsidR="009C39C3" w:rsidRPr="009C39C3" w14:paraId="3D53B37F" w14:textId="77777777" w:rsidTr="004A7DC5">
        <w:trPr>
          <w:trHeight w:val="270"/>
        </w:trPr>
        <w:tc>
          <w:tcPr>
            <w:tcW w:w="6100" w:type="dxa"/>
            <w:tcBorders>
              <w:top w:val="nil"/>
              <w:left w:val="single" w:sz="8" w:space="0" w:color="auto"/>
              <w:bottom w:val="nil"/>
              <w:right w:val="single" w:sz="8" w:space="0" w:color="auto"/>
            </w:tcBorders>
            <w:shd w:val="clear" w:color="auto" w:fill="auto"/>
            <w:vAlign w:val="center"/>
          </w:tcPr>
          <w:p w14:paraId="2867151C" w14:textId="77777777" w:rsidR="009C39C3" w:rsidRPr="009C39C3" w:rsidRDefault="009C39C3" w:rsidP="004A7DC5">
            <w:pPr>
              <w:spacing w:after="0" w:line="240" w:lineRule="auto"/>
              <w:ind w:firstLineChars="100" w:firstLine="180"/>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Transferências de Outras Instituições Públicas</w:t>
            </w:r>
          </w:p>
        </w:tc>
        <w:tc>
          <w:tcPr>
            <w:tcW w:w="2480" w:type="dxa"/>
            <w:tcBorders>
              <w:top w:val="nil"/>
              <w:left w:val="nil"/>
              <w:bottom w:val="nil"/>
              <w:right w:val="single" w:sz="8" w:space="0" w:color="auto"/>
            </w:tcBorders>
            <w:shd w:val="clear" w:color="auto" w:fill="auto"/>
            <w:vAlign w:val="center"/>
          </w:tcPr>
          <w:p w14:paraId="15A1AA17"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BOR.C100</w:t>
            </w:r>
          </w:p>
        </w:tc>
        <w:tc>
          <w:tcPr>
            <w:tcW w:w="1820" w:type="dxa"/>
            <w:tcBorders>
              <w:top w:val="nil"/>
              <w:left w:val="nil"/>
              <w:bottom w:val="nil"/>
              <w:right w:val="single" w:sz="8" w:space="0" w:color="auto"/>
            </w:tcBorders>
            <w:shd w:val="clear" w:color="auto" w:fill="auto"/>
            <w:vAlign w:val="center"/>
          </w:tcPr>
          <w:p w14:paraId="760702CD"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BOR.D100</w:t>
            </w:r>
          </w:p>
        </w:tc>
        <w:tc>
          <w:tcPr>
            <w:tcW w:w="1920" w:type="dxa"/>
            <w:tcBorders>
              <w:top w:val="nil"/>
              <w:left w:val="nil"/>
              <w:bottom w:val="nil"/>
              <w:right w:val="single" w:sz="8" w:space="0" w:color="auto"/>
            </w:tcBorders>
            <w:shd w:val="clear" w:color="auto" w:fill="auto"/>
            <w:vAlign w:val="center"/>
          </w:tcPr>
          <w:p w14:paraId="0603797F"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BOR.E100</w:t>
            </w:r>
          </w:p>
        </w:tc>
        <w:tc>
          <w:tcPr>
            <w:tcW w:w="1780" w:type="dxa"/>
            <w:tcBorders>
              <w:top w:val="nil"/>
              <w:left w:val="nil"/>
              <w:bottom w:val="nil"/>
              <w:right w:val="single" w:sz="8" w:space="0" w:color="auto"/>
            </w:tcBorders>
            <w:shd w:val="clear" w:color="auto" w:fill="auto"/>
            <w:vAlign w:val="center"/>
          </w:tcPr>
          <w:p w14:paraId="4E58BCE6"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BOR.F100</w:t>
            </w:r>
          </w:p>
        </w:tc>
      </w:tr>
      <w:tr w:rsidR="009C39C3" w:rsidRPr="009C39C3" w14:paraId="2F41E4AD" w14:textId="77777777" w:rsidTr="004A7DC5">
        <w:trPr>
          <w:trHeight w:val="270"/>
        </w:trPr>
        <w:tc>
          <w:tcPr>
            <w:tcW w:w="6100" w:type="dxa"/>
            <w:tcBorders>
              <w:top w:val="nil"/>
              <w:left w:val="single" w:sz="8" w:space="0" w:color="auto"/>
              <w:bottom w:val="nil"/>
              <w:right w:val="single" w:sz="8" w:space="0" w:color="auto"/>
            </w:tcBorders>
            <w:shd w:val="clear" w:color="auto" w:fill="auto"/>
            <w:vAlign w:val="center"/>
            <w:hideMark/>
          </w:tcPr>
          <w:p w14:paraId="4F19F736" w14:textId="77777777" w:rsidR="009C39C3" w:rsidRPr="009C39C3" w:rsidRDefault="009C39C3" w:rsidP="004A7DC5">
            <w:pPr>
              <w:spacing w:after="0" w:line="240" w:lineRule="auto"/>
              <w:ind w:firstLineChars="100" w:firstLine="180"/>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Transferências do Exterior</w:t>
            </w:r>
          </w:p>
        </w:tc>
        <w:tc>
          <w:tcPr>
            <w:tcW w:w="2480" w:type="dxa"/>
            <w:tcBorders>
              <w:top w:val="nil"/>
              <w:left w:val="nil"/>
              <w:bottom w:val="nil"/>
              <w:right w:val="single" w:sz="8" w:space="0" w:color="auto"/>
            </w:tcBorders>
            <w:shd w:val="clear" w:color="auto" w:fill="auto"/>
            <w:vAlign w:val="center"/>
            <w:hideMark/>
          </w:tcPr>
          <w:p w14:paraId="322DB7EC"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BOR.C041</w:t>
            </w:r>
          </w:p>
        </w:tc>
        <w:tc>
          <w:tcPr>
            <w:tcW w:w="1820" w:type="dxa"/>
            <w:tcBorders>
              <w:top w:val="nil"/>
              <w:left w:val="nil"/>
              <w:bottom w:val="nil"/>
              <w:right w:val="single" w:sz="8" w:space="0" w:color="auto"/>
            </w:tcBorders>
            <w:shd w:val="clear" w:color="auto" w:fill="auto"/>
            <w:vAlign w:val="center"/>
            <w:hideMark/>
          </w:tcPr>
          <w:p w14:paraId="1EF5A264"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BOR.D041</w:t>
            </w:r>
          </w:p>
        </w:tc>
        <w:tc>
          <w:tcPr>
            <w:tcW w:w="1920" w:type="dxa"/>
            <w:tcBorders>
              <w:top w:val="nil"/>
              <w:left w:val="nil"/>
              <w:bottom w:val="nil"/>
              <w:right w:val="single" w:sz="8" w:space="0" w:color="auto"/>
            </w:tcBorders>
            <w:shd w:val="clear" w:color="auto" w:fill="auto"/>
            <w:vAlign w:val="center"/>
            <w:hideMark/>
          </w:tcPr>
          <w:p w14:paraId="50639F02"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BOR.E041</w:t>
            </w:r>
          </w:p>
        </w:tc>
        <w:tc>
          <w:tcPr>
            <w:tcW w:w="1780" w:type="dxa"/>
            <w:tcBorders>
              <w:top w:val="nil"/>
              <w:left w:val="nil"/>
              <w:bottom w:val="nil"/>
              <w:right w:val="single" w:sz="8" w:space="0" w:color="auto"/>
            </w:tcBorders>
            <w:shd w:val="clear" w:color="auto" w:fill="auto"/>
            <w:vAlign w:val="center"/>
            <w:hideMark/>
          </w:tcPr>
          <w:p w14:paraId="18D7F0E9"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BOR.F041</w:t>
            </w:r>
          </w:p>
        </w:tc>
      </w:tr>
      <w:tr w:rsidR="009C39C3" w:rsidRPr="009C39C3" w14:paraId="423A47C4" w14:textId="77777777" w:rsidTr="004A7DC5">
        <w:trPr>
          <w:trHeight w:val="270"/>
        </w:trPr>
        <w:tc>
          <w:tcPr>
            <w:tcW w:w="6100" w:type="dxa"/>
            <w:tcBorders>
              <w:top w:val="nil"/>
              <w:left w:val="single" w:sz="8" w:space="0" w:color="auto"/>
              <w:bottom w:val="nil"/>
              <w:right w:val="single" w:sz="8" w:space="0" w:color="auto"/>
            </w:tcBorders>
            <w:shd w:val="clear" w:color="auto" w:fill="auto"/>
            <w:vAlign w:val="center"/>
            <w:hideMark/>
          </w:tcPr>
          <w:p w14:paraId="0DEE8603" w14:textId="77777777" w:rsidR="009C39C3" w:rsidRPr="009C39C3" w:rsidRDefault="009C39C3" w:rsidP="004A7DC5">
            <w:pPr>
              <w:spacing w:after="0" w:line="240" w:lineRule="auto"/>
              <w:ind w:firstLineChars="100" w:firstLine="180"/>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Transferências de Pessoas Físicas</w:t>
            </w:r>
          </w:p>
        </w:tc>
        <w:tc>
          <w:tcPr>
            <w:tcW w:w="2480" w:type="dxa"/>
            <w:tcBorders>
              <w:top w:val="nil"/>
              <w:left w:val="nil"/>
              <w:bottom w:val="nil"/>
              <w:right w:val="single" w:sz="8" w:space="0" w:color="auto"/>
            </w:tcBorders>
            <w:shd w:val="clear" w:color="auto" w:fill="auto"/>
            <w:vAlign w:val="center"/>
            <w:hideMark/>
          </w:tcPr>
          <w:p w14:paraId="1297C74E"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BOR.C042</w:t>
            </w:r>
          </w:p>
        </w:tc>
        <w:tc>
          <w:tcPr>
            <w:tcW w:w="1820" w:type="dxa"/>
            <w:tcBorders>
              <w:top w:val="nil"/>
              <w:left w:val="nil"/>
              <w:bottom w:val="nil"/>
              <w:right w:val="single" w:sz="8" w:space="0" w:color="auto"/>
            </w:tcBorders>
            <w:shd w:val="clear" w:color="auto" w:fill="auto"/>
            <w:vAlign w:val="center"/>
            <w:hideMark/>
          </w:tcPr>
          <w:p w14:paraId="63C5C73D"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BOR.D042</w:t>
            </w:r>
          </w:p>
        </w:tc>
        <w:tc>
          <w:tcPr>
            <w:tcW w:w="1920" w:type="dxa"/>
            <w:tcBorders>
              <w:top w:val="nil"/>
              <w:left w:val="nil"/>
              <w:bottom w:val="nil"/>
              <w:right w:val="single" w:sz="8" w:space="0" w:color="auto"/>
            </w:tcBorders>
            <w:shd w:val="clear" w:color="auto" w:fill="auto"/>
            <w:vAlign w:val="center"/>
            <w:hideMark/>
          </w:tcPr>
          <w:p w14:paraId="35794913"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BOR.E042</w:t>
            </w:r>
          </w:p>
        </w:tc>
        <w:tc>
          <w:tcPr>
            <w:tcW w:w="1780" w:type="dxa"/>
            <w:tcBorders>
              <w:top w:val="nil"/>
              <w:left w:val="nil"/>
              <w:bottom w:val="nil"/>
              <w:right w:val="single" w:sz="8" w:space="0" w:color="auto"/>
            </w:tcBorders>
            <w:shd w:val="clear" w:color="auto" w:fill="auto"/>
            <w:vAlign w:val="center"/>
            <w:hideMark/>
          </w:tcPr>
          <w:p w14:paraId="08F5368C"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BOR.F042</w:t>
            </w:r>
          </w:p>
        </w:tc>
      </w:tr>
      <w:tr w:rsidR="009C39C3" w:rsidRPr="009C39C3" w14:paraId="5E469338" w14:textId="77777777" w:rsidTr="004A7DC5">
        <w:trPr>
          <w:trHeight w:val="285"/>
        </w:trPr>
        <w:tc>
          <w:tcPr>
            <w:tcW w:w="6100" w:type="dxa"/>
            <w:tcBorders>
              <w:top w:val="nil"/>
              <w:left w:val="single" w:sz="8" w:space="0" w:color="auto"/>
              <w:bottom w:val="nil"/>
              <w:right w:val="single" w:sz="8" w:space="0" w:color="auto"/>
            </w:tcBorders>
            <w:shd w:val="clear" w:color="auto" w:fill="auto"/>
            <w:vAlign w:val="center"/>
          </w:tcPr>
          <w:p w14:paraId="50DFF8CD" w14:textId="4200AAEF" w:rsidR="009C39C3" w:rsidRPr="009C39C3" w:rsidRDefault="009C39C3" w:rsidP="004A7DC5">
            <w:pPr>
              <w:spacing w:after="0" w:line="240" w:lineRule="auto"/>
              <w:ind w:firstLineChars="100" w:firstLine="180"/>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Transferências Provenientes de Depósitos Não Identi</w:t>
            </w:r>
            <w:r w:rsidR="000B19AE">
              <w:rPr>
                <w:rFonts w:ascii="Arial Narrow" w:eastAsia="Times New Roman" w:hAnsi="Arial Narrow" w:cs="Arial"/>
                <w:sz w:val="18"/>
                <w:szCs w:val="18"/>
                <w:lang w:eastAsia="pt-BR"/>
              </w:rPr>
              <w:t>f</w:t>
            </w:r>
            <w:r w:rsidRPr="009C39C3">
              <w:rPr>
                <w:rFonts w:ascii="Arial Narrow" w:eastAsia="Times New Roman" w:hAnsi="Arial Narrow" w:cs="Arial"/>
                <w:sz w:val="18"/>
                <w:szCs w:val="18"/>
                <w:lang w:eastAsia="pt-BR"/>
              </w:rPr>
              <w:t>icados</w:t>
            </w:r>
          </w:p>
        </w:tc>
        <w:tc>
          <w:tcPr>
            <w:tcW w:w="2480" w:type="dxa"/>
            <w:tcBorders>
              <w:top w:val="nil"/>
              <w:left w:val="nil"/>
              <w:bottom w:val="nil"/>
              <w:right w:val="single" w:sz="8" w:space="0" w:color="auto"/>
            </w:tcBorders>
            <w:shd w:val="clear" w:color="auto" w:fill="auto"/>
            <w:vAlign w:val="center"/>
          </w:tcPr>
          <w:p w14:paraId="3B58BF11"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BOR.C101</w:t>
            </w:r>
          </w:p>
        </w:tc>
        <w:tc>
          <w:tcPr>
            <w:tcW w:w="1820" w:type="dxa"/>
            <w:tcBorders>
              <w:top w:val="nil"/>
              <w:left w:val="nil"/>
              <w:bottom w:val="nil"/>
              <w:right w:val="single" w:sz="8" w:space="0" w:color="auto"/>
            </w:tcBorders>
            <w:shd w:val="clear" w:color="auto" w:fill="auto"/>
            <w:vAlign w:val="center"/>
          </w:tcPr>
          <w:p w14:paraId="56A6CCE9"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BOR.D101</w:t>
            </w:r>
          </w:p>
        </w:tc>
        <w:tc>
          <w:tcPr>
            <w:tcW w:w="1920" w:type="dxa"/>
            <w:tcBorders>
              <w:top w:val="nil"/>
              <w:left w:val="nil"/>
              <w:bottom w:val="nil"/>
              <w:right w:val="single" w:sz="8" w:space="0" w:color="auto"/>
            </w:tcBorders>
            <w:shd w:val="clear" w:color="auto" w:fill="auto"/>
            <w:vAlign w:val="center"/>
          </w:tcPr>
          <w:p w14:paraId="580FE966"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BOR.E101</w:t>
            </w:r>
          </w:p>
        </w:tc>
        <w:tc>
          <w:tcPr>
            <w:tcW w:w="1780" w:type="dxa"/>
            <w:tcBorders>
              <w:top w:val="nil"/>
              <w:left w:val="nil"/>
              <w:bottom w:val="nil"/>
              <w:right w:val="single" w:sz="8" w:space="0" w:color="auto"/>
            </w:tcBorders>
            <w:shd w:val="clear" w:color="auto" w:fill="auto"/>
            <w:vAlign w:val="center"/>
          </w:tcPr>
          <w:p w14:paraId="7579D753"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BOR.F101</w:t>
            </w:r>
          </w:p>
        </w:tc>
      </w:tr>
      <w:tr w:rsidR="009C39C3" w:rsidRPr="009C39C3" w14:paraId="0600CE3F" w14:textId="77777777" w:rsidTr="004A7DC5">
        <w:trPr>
          <w:trHeight w:val="270"/>
        </w:trPr>
        <w:tc>
          <w:tcPr>
            <w:tcW w:w="6100" w:type="dxa"/>
            <w:tcBorders>
              <w:top w:val="nil"/>
              <w:left w:val="single" w:sz="8" w:space="0" w:color="auto"/>
              <w:bottom w:val="nil"/>
              <w:right w:val="single" w:sz="8" w:space="0" w:color="auto"/>
            </w:tcBorders>
            <w:shd w:val="clear" w:color="auto" w:fill="auto"/>
            <w:vAlign w:val="center"/>
            <w:hideMark/>
          </w:tcPr>
          <w:p w14:paraId="548AC626" w14:textId="77777777" w:rsidR="009C39C3" w:rsidRPr="009C39C3" w:rsidRDefault="009C39C3" w:rsidP="004A7DC5">
            <w:pPr>
              <w:spacing w:after="0" w:line="240" w:lineRule="auto"/>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 xml:space="preserve">  Outras Receitas Correntes</w:t>
            </w:r>
          </w:p>
        </w:tc>
        <w:tc>
          <w:tcPr>
            <w:tcW w:w="2480" w:type="dxa"/>
            <w:tcBorders>
              <w:top w:val="nil"/>
              <w:left w:val="nil"/>
              <w:bottom w:val="nil"/>
              <w:right w:val="single" w:sz="8" w:space="0" w:color="auto"/>
            </w:tcBorders>
            <w:shd w:val="clear" w:color="auto" w:fill="auto"/>
            <w:vAlign w:val="center"/>
            <w:hideMark/>
          </w:tcPr>
          <w:p w14:paraId="6AE094D7" w14:textId="77777777" w:rsidR="009C39C3" w:rsidRPr="009C39C3" w:rsidRDefault="009C39C3" w:rsidP="004A7DC5">
            <w:pPr>
              <w:spacing w:after="0"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BOR.C045</w:t>
            </w:r>
          </w:p>
        </w:tc>
        <w:tc>
          <w:tcPr>
            <w:tcW w:w="1820" w:type="dxa"/>
            <w:tcBorders>
              <w:top w:val="nil"/>
              <w:left w:val="nil"/>
              <w:bottom w:val="nil"/>
              <w:right w:val="single" w:sz="8" w:space="0" w:color="auto"/>
            </w:tcBorders>
            <w:shd w:val="clear" w:color="auto" w:fill="auto"/>
            <w:vAlign w:val="center"/>
            <w:hideMark/>
          </w:tcPr>
          <w:p w14:paraId="44BAF1AB" w14:textId="77777777" w:rsidR="009C39C3" w:rsidRPr="009C39C3" w:rsidRDefault="009C39C3" w:rsidP="004A7DC5">
            <w:pPr>
              <w:spacing w:after="0"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BOR.D045</w:t>
            </w:r>
          </w:p>
        </w:tc>
        <w:tc>
          <w:tcPr>
            <w:tcW w:w="1920" w:type="dxa"/>
            <w:tcBorders>
              <w:top w:val="nil"/>
              <w:left w:val="nil"/>
              <w:bottom w:val="nil"/>
              <w:right w:val="single" w:sz="8" w:space="0" w:color="auto"/>
            </w:tcBorders>
            <w:shd w:val="clear" w:color="auto" w:fill="auto"/>
            <w:vAlign w:val="center"/>
            <w:hideMark/>
          </w:tcPr>
          <w:p w14:paraId="52D606CF" w14:textId="77777777" w:rsidR="009C39C3" w:rsidRPr="009C39C3" w:rsidRDefault="009C39C3" w:rsidP="004A7DC5">
            <w:pPr>
              <w:spacing w:after="0"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BOR.E045</w:t>
            </w:r>
          </w:p>
        </w:tc>
        <w:tc>
          <w:tcPr>
            <w:tcW w:w="1780" w:type="dxa"/>
            <w:tcBorders>
              <w:top w:val="nil"/>
              <w:left w:val="nil"/>
              <w:bottom w:val="nil"/>
              <w:right w:val="single" w:sz="8" w:space="0" w:color="auto"/>
            </w:tcBorders>
            <w:shd w:val="clear" w:color="auto" w:fill="auto"/>
            <w:vAlign w:val="center"/>
            <w:hideMark/>
          </w:tcPr>
          <w:p w14:paraId="77D01D4B" w14:textId="77777777" w:rsidR="009C39C3" w:rsidRPr="009C39C3" w:rsidRDefault="009C39C3" w:rsidP="004A7DC5">
            <w:pPr>
              <w:spacing w:after="0"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BOR.F045</w:t>
            </w:r>
          </w:p>
        </w:tc>
      </w:tr>
      <w:tr w:rsidR="009C39C3" w:rsidRPr="009C39C3" w14:paraId="69B72C72" w14:textId="77777777" w:rsidTr="004A7DC5">
        <w:trPr>
          <w:trHeight w:val="270"/>
        </w:trPr>
        <w:tc>
          <w:tcPr>
            <w:tcW w:w="6100" w:type="dxa"/>
            <w:tcBorders>
              <w:top w:val="nil"/>
              <w:left w:val="single" w:sz="8" w:space="0" w:color="auto"/>
              <w:bottom w:val="nil"/>
              <w:right w:val="single" w:sz="8" w:space="0" w:color="auto"/>
            </w:tcBorders>
            <w:shd w:val="clear" w:color="auto" w:fill="auto"/>
            <w:vAlign w:val="center"/>
          </w:tcPr>
          <w:p w14:paraId="67F4EE12" w14:textId="77777777" w:rsidR="009C39C3" w:rsidRPr="009C39C3" w:rsidRDefault="009C39C3" w:rsidP="004A7DC5">
            <w:pPr>
              <w:spacing w:after="0" w:line="240" w:lineRule="auto"/>
              <w:ind w:firstLineChars="100" w:firstLine="180"/>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Multas Administrativas, Contratuais e Judiciais</w:t>
            </w:r>
          </w:p>
        </w:tc>
        <w:tc>
          <w:tcPr>
            <w:tcW w:w="2480" w:type="dxa"/>
            <w:tcBorders>
              <w:top w:val="nil"/>
              <w:left w:val="nil"/>
              <w:bottom w:val="nil"/>
              <w:right w:val="single" w:sz="8" w:space="0" w:color="auto"/>
            </w:tcBorders>
            <w:shd w:val="clear" w:color="auto" w:fill="auto"/>
            <w:vAlign w:val="center"/>
          </w:tcPr>
          <w:p w14:paraId="3A5E28AB"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BOR.C102</w:t>
            </w:r>
          </w:p>
        </w:tc>
        <w:tc>
          <w:tcPr>
            <w:tcW w:w="1820" w:type="dxa"/>
            <w:tcBorders>
              <w:top w:val="nil"/>
              <w:left w:val="nil"/>
              <w:bottom w:val="nil"/>
              <w:right w:val="single" w:sz="8" w:space="0" w:color="auto"/>
            </w:tcBorders>
            <w:shd w:val="clear" w:color="auto" w:fill="auto"/>
            <w:vAlign w:val="center"/>
          </w:tcPr>
          <w:p w14:paraId="494AF2D3"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BOR.D102</w:t>
            </w:r>
          </w:p>
        </w:tc>
        <w:tc>
          <w:tcPr>
            <w:tcW w:w="1920" w:type="dxa"/>
            <w:tcBorders>
              <w:top w:val="nil"/>
              <w:left w:val="nil"/>
              <w:bottom w:val="nil"/>
              <w:right w:val="single" w:sz="8" w:space="0" w:color="auto"/>
            </w:tcBorders>
            <w:shd w:val="clear" w:color="auto" w:fill="auto"/>
            <w:vAlign w:val="center"/>
          </w:tcPr>
          <w:p w14:paraId="5B526629"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BOR.E102</w:t>
            </w:r>
          </w:p>
        </w:tc>
        <w:tc>
          <w:tcPr>
            <w:tcW w:w="1780" w:type="dxa"/>
            <w:tcBorders>
              <w:top w:val="nil"/>
              <w:left w:val="nil"/>
              <w:bottom w:val="nil"/>
              <w:right w:val="single" w:sz="8" w:space="0" w:color="auto"/>
            </w:tcBorders>
            <w:shd w:val="clear" w:color="auto" w:fill="auto"/>
            <w:vAlign w:val="center"/>
          </w:tcPr>
          <w:p w14:paraId="0326271D"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BOR.F102</w:t>
            </w:r>
          </w:p>
        </w:tc>
      </w:tr>
      <w:tr w:rsidR="009C39C3" w:rsidRPr="009C39C3" w14:paraId="58FA1BD2" w14:textId="77777777" w:rsidTr="004A7DC5">
        <w:trPr>
          <w:trHeight w:val="270"/>
        </w:trPr>
        <w:tc>
          <w:tcPr>
            <w:tcW w:w="6100" w:type="dxa"/>
            <w:tcBorders>
              <w:top w:val="nil"/>
              <w:left w:val="single" w:sz="8" w:space="0" w:color="auto"/>
              <w:bottom w:val="nil"/>
              <w:right w:val="single" w:sz="8" w:space="0" w:color="auto"/>
            </w:tcBorders>
            <w:shd w:val="clear" w:color="auto" w:fill="auto"/>
            <w:vAlign w:val="center"/>
            <w:hideMark/>
          </w:tcPr>
          <w:p w14:paraId="3330F200" w14:textId="77777777" w:rsidR="009C39C3" w:rsidRPr="009C39C3" w:rsidRDefault="009C39C3" w:rsidP="004A7DC5">
            <w:pPr>
              <w:spacing w:after="0" w:line="240" w:lineRule="auto"/>
              <w:ind w:firstLineChars="100" w:firstLine="180"/>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Indenizações, Restituições e Ressarcimentos</w:t>
            </w:r>
          </w:p>
        </w:tc>
        <w:tc>
          <w:tcPr>
            <w:tcW w:w="2480" w:type="dxa"/>
            <w:tcBorders>
              <w:top w:val="nil"/>
              <w:left w:val="nil"/>
              <w:bottom w:val="nil"/>
              <w:right w:val="single" w:sz="8" w:space="0" w:color="auto"/>
            </w:tcBorders>
            <w:shd w:val="clear" w:color="auto" w:fill="auto"/>
            <w:vAlign w:val="center"/>
            <w:hideMark/>
          </w:tcPr>
          <w:p w14:paraId="77C0B9A5"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BOR.C047</w:t>
            </w:r>
          </w:p>
        </w:tc>
        <w:tc>
          <w:tcPr>
            <w:tcW w:w="1820" w:type="dxa"/>
            <w:tcBorders>
              <w:top w:val="nil"/>
              <w:left w:val="nil"/>
              <w:bottom w:val="nil"/>
              <w:right w:val="single" w:sz="8" w:space="0" w:color="auto"/>
            </w:tcBorders>
            <w:shd w:val="clear" w:color="auto" w:fill="auto"/>
            <w:vAlign w:val="center"/>
            <w:hideMark/>
          </w:tcPr>
          <w:p w14:paraId="379EF25E"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BOR.D047</w:t>
            </w:r>
          </w:p>
        </w:tc>
        <w:tc>
          <w:tcPr>
            <w:tcW w:w="1920" w:type="dxa"/>
            <w:tcBorders>
              <w:top w:val="nil"/>
              <w:left w:val="nil"/>
              <w:bottom w:val="nil"/>
              <w:right w:val="single" w:sz="8" w:space="0" w:color="auto"/>
            </w:tcBorders>
            <w:shd w:val="clear" w:color="auto" w:fill="auto"/>
            <w:vAlign w:val="center"/>
            <w:hideMark/>
          </w:tcPr>
          <w:p w14:paraId="67C4CAB3"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BOR.E047</w:t>
            </w:r>
          </w:p>
        </w:tc>
        <w:tc>
          <w:tcPr>
            <w:tcW w:w="1780" w:type="dxa"/>
            <w:tcBorders>
              <w:top w:val="nil"/>
              <w:left w:val="nil"/>
              <w:bottom w:val="nil"/>
              <w:right w:val="single" w:sz="8" w:space="0" w:color="auto"/>
            </w:tcBorders>
            <w:shd w:val="clear" w:color="auto" w:fill="auto"/>
            <w:vAlign w:val="center"/>
            <w:hideMark/>
          </w:tcPr>
          <w:p w14:paraId="03A12AF8"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BOR.F047</w:t>
            </w:r>
          </w:p>
        </w:tc>
      </w:tr>
      <w:tr w:rsidR="009C39C3" w:rsidRPr="009C39C3" w14:paraId="4AB335C8" w14:textId="77777777" w:rsidTr="004A7DC5">
        <w:trPr>
          <w:trHeight w:val="315"/>
        </w:trPr>
        <w:tc>
          <w:tcPr>
            <w:tcW w:w="6100" w:type="dxa"/>
            <w:tcBorders>
              <w:top w:val="nil"/>
              <w:left w:val="single" w:sz="8" w:space="0" w:color="auto"/>
              <w:bottom w:val="nil"/>
              <w:right w:val="single" w:sz="8" w:space="0" w:color="auto"/>
            </w:tcBorders>
            <w:shd w:val="clear" w:color="auto" w:fill="auto"/>
            <w:vAlign w:val="center"/>
          </w:tcPr>
          <w:p w14:paraId="0E0A3C2E" w14:textId="77777777" w:rsidR="009C39C3" w:rsidRPr="009C39C3" w:rsidRDefault="009C39C3" w:rsidP="004A7DC5">
            <w:pPr>
              <w:spacing w:after="0" w:line="240" w:lineRule="auto"/>
              <w:ind w:firstLineChars="100" w:firstLine="180"/>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Bens, Direitos e Valores Incorporados ao Patrimônio Público</w:t>
            </w:r>
          </w:p>
        </w:tc>
        <w:tc>
          <w:tcPr>
            <w:tcW w:w="2480" w:type="dxa"/>
            <w:tcBorders>
              <w:top w:val="nil"/>
              <w:left w:val="nil"/>
              <w:bottom w:val="nil"/>
              <w:right w:val="single" w:sz="8" w:space="0" w:color="auto"/>
            </w:tcBorders>
            <w:shd w:val="clear" w:color="auto" w:fill="auto"/>
            <w:vAlign w:val="center"/>
          </w:tcPr>
          <w:p w14:paraId="39B371F9"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BOR.C103</w:t>
            </w:r>
          </w:p>
        </w:tc>
        <w:tc>
          <w:tcPr>
            <w:tcW w:w="1820" w:type="dxa"/>
            <w:tcBorders>
              <w:top w:val="nil"/>
              <w:left w:val="nil"/>
              <w:bottom w:val="nil"/>
              <w:right w:val="single" w:sz="8" w:space="0" w:color="auto"/>
            </w:tcBorders>
            <w:shd w:val="clear" w:color="auto" w:fill="auto"/>
            <w:vAlign w:val="center"/>
          </w:tcPr>
          <w:p w14:paraId="34283F50"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BOR.D103</w:t>
            </w:r>
          </w:p>
        </w:tc>
        <w:tc>
          <w:tcPr>
            <w:tcW w:w="1920" w:type="dxa"/>
            <w:tcBorders>
              <w:top w:val="nil"/>
              <w:left w:val="nil"/>
              <w:bottom w:val="nil"/>
              <w:right w:val="single" w:sz="8" w:space="0" w:color="auto"/>
            </w:tcBorders>
            <w:shd w:val="clear" w:color="auto" w:fill="auto"/>
            <w:vAlign w:val="center"/>
          </w:tcPr>
          <w:p w14:paraId="0711C272"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BOR.E103</w:t>
            </w:r>
          </w:p>
        </w:tc>
        <w:tc>
          <w:tcPr>
            <w:tcW w:w="1780" w:type="dxa"/>
            <w:tcBorders>
              <w:top w:val="nil"/>
              <w:left w:val="nil"/>
              <w:bottom w:val="nil"/>
              <w:right w:val="single" w:sz="8" w:space="0" w:color="auto"/>
            </w:tcBorders>
            <w:shd w:val="clear" w:color="auto" w:fill="auto"/>
            <w:vAlign w:val="center"/>
          </w:tcPr>
          <w:p w14:paraId="4F5D55D9"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BOR.F103</w:t>
            </w:r>
          </w:p>
        </w:tc>
      </w:tr>
      <w:tr w:rsidR="009C39C3" w:rsidRPr="009C39C3" w14:paraId="48B8EBA7" w14:textId="77777777" w:rsidTr="004A7DC5">
        <w:trPr>
          <w:trHeight w:val="315"/>
        </w:trPr>
        <w:tc>
          <w:tcPr>
            <w:tcW w:w="6100" w:type="dxa"/>
            <w:tcBorders>
              <w:top w:val="nil"/>
              <w:left w:val="single" w:sz="8" w:space="0" w:color="auto"/>
              <w:bottom w:val="nil"/>
              <w:right w:val="single" w:sz="8" w:space="0" w:color="auto"/>
            </w:tcBorders>
            <w:shd w:val="clear" w:color="auto" w:fill="auto"/>
            <w:vAlign w:val="center"/>
            <w:hideMark/>
          </w:tcPr>
          <w:p w14:paraId="58230C3A" w14:textId="77777777" w:rsidR="009C39C3" w:rsidRPr="009C39C3" w:rsidRDefault="009C39C3" w:rsidP="004A7DC5">
            <w:pPr>
              <w:spacing w:after="0" w:line="240" w:lineRule="auto"/>
              <w:ind w:firstLineChars="100" w:firstLine="180"/>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Demais Receitas Correntes</w:t>
            </w:r>
          </w:p>
        </w:tc>
        <w:tc>
          <w:tcPr>
            <w:tcW w:w="2480" w:type="dxa"/>
            <w:tcBorders>
              <w:top w:val="nil"/>
              <w:left w:val="nil"/>
              <w:bottom w:val="nil"/>
              <w:right w:val="single" w:sz="8" w:space="0" w:color="auto"/>
            </w:tcBorders>
            <w:shd w:val="clear" w:color="auto" w:fill="auto"/>
            <w:vAlign w:val="center"/>
            <w:hideMark/>
          </w:tcPr>
          <w:p w14:paraId="5398ED5A"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BOR.C050</w:t>
            </w:r>
          </w:p>
        </w:tc>
        <w:tc>
          <w:tcPr>
            <w:tcW w:w="1820" w:type="dxa"/>
            <w:tcBorders>
              <w:top w:val="nil"/>
              <w:left w:val="nil"/>
              <w:bottom w:val="nil"/>
              <w:right w:val="single" w:sz="8" w:space="0" w:color="auto"/>
            </w:tcBorders>
            <w:shd w:val="clear" w:color="auto" w:fill="auto"/>
            <w:vAlign w:val="center"/>
            <w:hideMark/>
          </w:tcPr>
          <w:p w14:paraId="2CD67F32"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BOR.D050</w:t>
            </w:r>
          </w:p>
        </w:tc>
        <w:tc>
          <w:tcPr>
            <w:tcW w:w="1920" w:type="dxa"/>
            <w:tcBorders>
              <w:top w:val="nil"/>
              <w:left w:val="nil"/>
              <w:bottom w:val="nil"/>
              <w:right w:val="single" w:sz="8" w:space="0" w:color="auto"/>
            </w:tcBorders>
            <w:shd w:val="clear" w:color="auto" w:fill="auto"/>
            <w:vAlign w:val="center"/>
            <w:hideMark/>
          </w:tcPr>
          <w:p w14:paraId="3BDA716A"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BOR.E050</w:t>
            </w:r>
          </w:p>
        </w:tc>
        <w:tc>
          <w:tcPr>
            <w:tcW w:w="1780" w:type="dxa"/>
            <w:tcBorders>
              <w:top w:val="nil"/>
              <w:left w:val="nil"/>
              <w:bottom w:val="nil"/>
              <w:right w:val="single" w:sz="8" w:space="0" w:color="auto"/>
            </w:tcBorders>
            <w:shd w:val="clear" w:color="auto" w:fill="auto"/>
            <w:vAlign w:val="center"/>
            <w:hideMark/>
          </w:tcPr>
          <w:p w14:paraId="463DB797"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BOR.F050</w:t>
            </w:r>
          </w:p>
        </w:tc>
      </w:tr>
      <w:tr w:rsidR="009C39C3" w:rsidRPr="009C39C3" w14:paraId="216D6223" w14:textId="77777777" w:rsidTr="004A7DC5">
        <w:trPr>
          <w:trHeight w:val="270"/>
        </w:trPr>
        <w:tc>
          <w:tcPr>
            <w:tcW w:w="6100" w:type="dxa"/>
            <w:tcBorders>
              <w:top w:val="nil"/>
              <w:left w:val="single" w:sz="8" w:space="0" w:color="auto"/>
              <w:bottom w:val="nil"/>
              <w:right w:val="single" w:sz="8" w:space="0" w:color="auto"/>
            </w:tcBorders>
            <w:shd w:val="clear" w:color="auto" w:fill="auto"/>
            <w:vAlign w:val="center"/>
            <w:hideMark/>
          </w:tcPr>
          <w:p w14:paraId="793550AA" w14:textId="77777777" w:rsidR="009C39C3" w:rsidRPr="009C39C3" w:rsidRDefault="009C39C3" w:rsidP="004A7DC5">
            <w:pPr>
              <w:spacing w:after="0" w:line="240" w:lineRule="auto"/>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RECEITAS DE CAPITAL (II)</w:t>
            </w:r>
          </w:p>
        </w:tc>
        <w:tc>
          <w:tcPr>
            <w:tcW w:w="2480" w:type="dxa"/>
            <w:tcBorders>
              <w:top w:val="nil"/>
              <w:left w:val="nil"/>
              <w:bottom w:val="nil"/>
              <w:right w:val="single" w:sz="8" w:space="0" w:color="auto"/>
            </w:tcBorders>
            <w:shd w:val="clear" w:color="auto" w:fill="auto"/>
            <w:vAlign w:val="center"/>
            <w:hideMark/>
          </w:tcPr>
          <w:p w14:paraId="0D647249" w14:textId="77777777" w:rsidR="009C39C3" w:rsidRPr="009C39C3" w:rsidRDefault="009C39C3" w:rsidP="004A7DC5">
            <w:pPr>
              <w:spacing w:after="0"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BOR.C051</w:t>
            </w:r>
          </w:p>
        </w:tc>
        <w:tc>
          <w:tcPr>
            <w:tcW w:w="1820" w:type="dxa"/>
            <w:tcBorders>
              <w:top w:val="nil"/>
              <w:left w:val="nil"/>
              <w:bottom w:val="nil"/>
              <w:right w:val="single" w:sz="8" w:space="0" w:color="auto"/>
            </w:tcBorders>
            <w:shd w:val="clear" w:color="auto" w:fill="auto"/>
            <w:vAlign w:val="center"/>
            <w:hideMark/>
          </w:tcPr>
          <w:p w14:paraId="61811CFB" w14:textId="77777777" w:rsidR="009C39C3" w:rsidRPr="009C39C3" w:rsidRDefault="009C39C3" w:rsidP="004A7DC5">
            <w:pPr>
              <w:spacing w:after="0"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BOR.D051</w:t>
            </w:r>
          </w:p>
        </w:tc>
        <w:tc>
          <w:tcPr>
            <w:tcW w:w="1920" w:type="dxa"/>
            <w:tcBorders>
              <w:top w:val="nil"/>
              <w:left w:val="nil"/>
              <w:bottom w:val="nil"/>
              <w:right w:val="single" w:sz="8" w:space="0" w:color="auto"/>
            </w:tcBorders>
            <w:shd w:val="clear" w:color="auto" w:fill="auto"/>
            <w:vAlign w:val="center"/>
            <w:hideMark/>
          </w:tcPr>
          <w:p w14:paraId="3141A772" w14:textId="77777777" w:rsidR="009C39C3" w:rsidRPr="009C39C3" w:rsidRDefault="009C39C3" w:rsidP="004A7DC5">
            <w:pPr>
              <w:spacing w:after="0"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BOR.E051</w:t>
            </w:r>
          </w:p>
        </w:tc>
        <w:tc>
          <w:tcPr>
            <w:tcW w:w="1780" w:type="dxa"/>
            <w:tcBorders>
              <w:top w:val="nil"/>
              <w:left w:val="nil"/>
              <w:bottom w:val="nil"/>
              <w:right w:val="single" w:sz="8" w:space="0" w:color="auto"/>
            </w:tcBorders>
            <w:shd w:val="clear" w:color="auto" w:fill="auto"/>
            <w:vAlign w:val="center"/>
            <w:hideMark/>
          </w:tcPr>
          <w:p w14:paraId="3EC18739" w14:textId="77777777" w:rsidR="009C39C3" w:rsidRPr="009C39C3" w:rsidRDefault="009C39C3" w:rsidP="004A7DC5">
            <w:pPr>
              <w:spacing w:after="0"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BOR.F051</w:t>
            </w:r>
          </w:p>
        </w:tc>
      </w:tr>
      <w:tr w:rsidR="009C39C3" w:rsidRPr="009C39C3" w14:paraId="54F6F1AD" w14:textId="77777777" w:rsidTr="004A7DC5">
        <w:trPr>
          <w:trHeight w:val="270"/>
        </w:trPr>
        <w:tc>
          <w:tcPr>
            <w:tcW w:w="6100" w:type="dxa"/>
            <w:tcBorders>
              <w:top w:val="nil"/>
              <w:left w:val="single" w:sz="8" w:space="0" w:color="auto"/>
              <w:bottom w:val="nil"/>
              <w:right w:val="single" w:sz="8" w:space="0" w:color="auto"/>
            </w:tcBorders>
            <w:shd w:val="clear" w:color="auto" w:fill="auto"/>
            <w:vAlign w:val="center"/>
            <w:hideMark/>
          </w:tcPr>
          <w:p w14:paraId="7C5A96AD" w14:textId="77777777" w:rsidR="009C39C3" w:rsidRPr="009C39C3" w:rsidRDefault="009C39C3" w:rsidP="004A7DC5">
            <w:pPr>
              <w:spacing w:after="0" w:line="240" w:lineRule="auto"/>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Operações de Crédito</w:t>
            </w:r>
          </w:p>
        </w:tc>
        <w:tc>
          <w:tcPr>
            <w:tcW w:w="2480" w:type="dxa"/>
            <w:tcBorders>
              <w:top w:val="nil"/>
              <w:left w:val="nil"/>
              <w:bottom w:val="nil"/>
              <w:right w:val="single" w:sz="8" w:space="0" w:color="auto"/>
            </w:tcBorders>
            <w:shd w:val="clear" w:color="auto" w:fill="auto"/>
            <w:vAlign w:val="center"/>
            <w:hideMark/>
          </w:tcPr>
          <w:p w14:paraId="3A53735E" w14:textId="77777777" w:rsidR="009C39C3" w:rsidRPr="009C39C3" w:rsidRDefault="009C39C3" w:rsidP="004A7DC5">
            <w:pPr>
              <w:spacing w:after="0"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BOR.C052</w:t>
            </w:r>
          </w:p>
        </w:tc>
        <w:tc>
          <w:tcPr>
            <w:tcW w:w="1820" w:type="dxa"/>
            <w:tcBorders>
              <w:top w:val="nil"/>
              <w:left w:val="nil"/>
              <w:bottom w:val="nil"/>
              <w:right w:val="single" w:sz="8" w:space="0" w:color="auto"/>
            </w:tcBorders>
            <w:shd w:val="clear" w:color="auto" w:fill="auto"/>
            <w:vAlign w:val="center"/>
            <w:hideMark/>
          </w:tcPr>
          <w:p w14:paraId="2E7DB531" w14:textId="77777777" w:rsidR="009C39C3" w:rsidRPr="009C39C3" w:rsidRDefault="009C39C3" w:rsidP="004A7DC5">
            <w:pPr>
              <w:spacing w:after="0"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BOR.D052</w:t>
            </w:r>
          </w:p>
        </w:tc>
        <w:tc>
          <w:tcPr>
            <w:tcW w:w="1920" w:type="dxa"/>
            <w:tcBorders>
              <w:top w:val="nil"/>
              <w:left w:val="nil"/>
              <w:bottom w:val="nil"/>
              <w:right w:val="single" w:sz="8" w:space="0" w:color="auto"/>
            </w:tcBorders>
            <w:shd w:val="clear" w:color="auto" w:fill="auto"/>
            <w:vAlign w:val="center"/>
            <w:hideMark/>
          </w:tcPr>
          <w:p w14:paraId="279CDCB0" w14:textId="77777777" w:rsidR="009C39C3" w:rsidRPr="009C39C3" w:rsidRDefault="009C39C3" w:rsidP="004A7DC5">
            <w:pPr>
              <w:spacing w:after="0"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BOR.E052</w:t>
            </w:r>
          </w:p>
        </w:tc>
        <w:tc>
          <w:tcPr>
            <w:tcW w:w="1780" w:type="dxa"/>
            <w:tcBorders>
              <w:top w:val="nil"/>
              <w:left w:val="nil"/>
              <w:bottom w:val="nil"/>
              <w:right w:val="single" w:sz="8" w:space="0" w:color="auto"/>
            </w:tcBorders>
            <w:shd w:val="clear" w:color="auto" w:fill="auto"/>
            <w:vAlign w:val="center"/>
            <w:hideMark/>
          </w:tcPr>
          <w:p w14:paraId="47CB1524" w14:textId="77777777" w:rsidR="009C39C3" w:rsidRPr="009C39C3" w:rsidRDefault="009C39C3" w:rsidP="004A7DC5">
            <w:pPr>
              <w:spacing w:after="0"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BOR.F052</w:t>
            </w:r>
          </w:p>
        </w:tc>
      </w:tr>
      <w:tr w:rsidR="009C39C3" w:rsidRPr="009C39C3" w14:paraId="192ABAE1" w14:textId="77777777" w:rsidTr="004A7DC5">
        <w:trPr>
          <w:trHeight w:val="270"/>
        </w:trPr>
        <w:tc>
          <w:tcPr>
            <w:tcW w:w="6100" w:type="dxa"/>
            <w:tcBorders>
              <w:top w:val="nil"/>
              <w:left w:val="single" w:sz="8" w:space="0" w:color="auto"/>
              <w:bottom w:val="nil"/>
              <w:right w:val="single" w:sz="8" w:space="0" w:color="auto"/>
            </w:tcBorders>
            <w:shd w:val="clear" w:color="auto" w:fill="auto"/>
            <w:vAlign w:val="center"/>
            <w:hideMark/>
          </w:tcPr>
          <w:p w14:paraId="20A24D65" w14:textId="77777777" w:rsidR="009C39C3" w:rsidRPr="009C39C3" w:rsidRDefault="009C39C3" w:rsidP="004A7DC5">
            <w:pPr>
              <w:spacing w:after="0" w:line="240" w:lineRule="auto"/>
              <w:ind w:firstLineChars="100" w:firstLine="180"/>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Operações de Crédito – Mercado Interno</w:t>
            </w:r>
          </w:p>
        </w:tc>
        <w:tc>
          <w:tcPr>
            <w:tcW w:w="2480" w:type="dxa"/>
            <w:tcBorders>
              <w:top w:val="nil"/>
              <w:left w:val="nil"/>
              <w:bottom w:val="nil"/>
              <w:right w:val="single" w:sz="8" w:space="0" w:color="auto"/>
            </w:tcBorders>
            <w:shd w:val="clear" w:color="auto" w:fill="auto"/>
            <w:vAlign w:val="center"/>
            <w:hideMark/>
          </w:tcPr>
          <w:p w14:paraId="0D7FE37A"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BOR.C053</w:t>
            </w:r>
          </w:p>
        </w:tc>
        <w:tc>
          <w:tcPr>
            <w:tcW w:w="1820" w:type="dxa"/>
            <w:tcBorders>
              <w:top w:val="nil"/>
              <w:left w:val="nil"/>
              <w:bottom w:val="nil"/>
              <w:right w:val="single" w:sz="8" w:space="0" w:color="auto"/>
            </w:tcBorders>
            <w:shd w:val="clear" w:color="auto" w:fill="auto"/>
            <w:vAlign w:val="center"/>
            <w:hideMark/>
          </w:tcPr>
          <w:p w14:paraId="7E46733E"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BOR.D053</w:t>
            </w:r>
          </w:p>
        </w:tc>
        <w:tc>
          <w:tcPr>
            <w:tcW w:w="1920" w:type="dxa"/>
            <w:tcBorders>
              <w:top w:val="nil"/>
              <w:left w:val="nil"/>
              <w:bottom w:val="nil"/>
              <w:right w:val="single" w:sz="8" w:space="0" w:color="auto"/>
            </w:tcBorders>
            <w:shd w:val="clear" w:color="auto" w:fill="auto"/>
            <w:vAlign w:val="center"/>
            <w:hideMark/>
          </w:tcPr>
          <w:p w14:paraId="6FC00D01"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BOR.E053</w:t>
            </w:r>
          </w:p>
        </w:tc>
        <w:tc>
          <w:tcPr>
            <w:tcW w:w="1780" w:type="dxa"/>
            <w:tcBorders>
              <w:top w:val="nil"/>
              <w:left w:val="nil"/>
              <w:bottom w:val="nil"/>
              <w:right w:val="single" w:sz="8" w:space="0" w:color="auto"/>
            </w:tcBorders>
            <w:shd w:val="clear" w:color="auto" w:fill="auto"/>
            <w:vAlign w:val="center"/>
            <w:hideMark/>
          </w:tcPr>
          <w:p w14:paraId="35BFC664"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BOR.F053</w:t>
            </w:r>
          </w:p>
        </w:tc>
      </w:tr>
      <w:tr w:rsidR="009C39C3" w:rsidRPr="009C39C3" w14:paraId="70AD0D4A" w14:textId="77777777" w:rsidTr="004A7DC5">
        <w:trPr>
          <w:trHeight w:val="270"/>
        </w:trPr>
        <w:tc>
          <w:tcPr>
            <w:tcW w:w="6100" w:type="dxa"/>
            <w:tcBorders>
              <w:top w:val="nil"/>
              <w:left w:val="single" w:sz="8" w:space="0" w:color="auto"/>
              <w:bottom w:val="nil"/>
              <w:right w:val="single" w:sz="8" w:space="0" w:color="auto"/>
            </w:tcBorders>
            <w:shd w:val="clear" w:color="auto" w:fill="auto"/>
            <w:vAlign w:val="center"/>
            <w:hideMark/>
          </w:tcPr>
          <w:p w14:paraId="17500755" w14:textId="77777777" w:rsidR="009C39C3" w:rsidRPr="009C39C3" w:rsidRDefault="009C39C3" w:rsidP="004A7DC5">
            <w:pPr>
              <w:spacing w:after="0" w:line="240" w:lineRule="auto"/>
              <w:ind w:firstLineChars="100" w:firstLine="180"/>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Operações de Crédito – Mercado Externo</w:t>
            </w:r>
          </w:p>
        </w:tc>
        <w:tc>
          <w:tcPr>
            <w:tcW w:w="2480" w:type="dxa"/>
            <w:tcBorders>
              <w:top w:val="nil"/>
              <w:left w:val="nil"/>
              <w:bottom w:val="nil"/>
              <w:right w:val="single" w:sz="8" w:space="0" w:color="auto"/>
            </w:tcBorders>
            <w:shd w:val="clear" w:color="auto" w:fill="auto"/>
            <w:vAlign w:val="center"/>
            <w:hideMark/>
          </w:tcPr>
          <w:p w14:paraId="74360731"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BOR.C054</w:t>
            </w:r>
          </w:p>
        </w:tc>
        <w:tc>
          <w:tcPr>
            <w:tcW w:w="1820" w:type="dxa"/>
            <w:tcBorders>
              <w:top w:val="nil"/>
              <w:left w:val="nil"/>
              <w:bottom w:val="nil"/>
              <w:right w:val="single" w:sz="8" w:space="0" w:color="auto"/>
            </w:tcBorders>
            <w:shd w:val="clear" w:color="auto" w:fill="auto"/>
            <w:vAlign w:val="center"/>
            <w:hideMark/>
          </w:tcPr>
          <w:p w14:paraId="57BECF4C"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BOR.D054</w:t>
            </w:r>
          </w:p>
        </w:tc>
        <w:tc>
          <w:tcPr>
            <w:tcW w:w="1920" w:type="dxa"/>
            <w:tcBorders>
              <w:top w:val="nil"/>
              <w:left w:val="nil"/>
              <w:bottom w:val="nil"/>
              <w:right w:val="single" w:sz="8" w:space="0" w:color="auto"/>
            </w:tcBorders>
            <w:shd w:val="clear" w:color="auto" w:fill="auto"/>
            <w:vAlign w:val="center"/>
            <w:hideMark/>
          </w:tcPr>
          <w:p w14:paraId="4E23710C"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BOR.E054</w:t>
            </w:r>
          </w:p>
        </w:tc>
        <w:tc>
          <w:tcPr>
            <w:tcW w:w="1780" w:type="dxa"/>
            <w:tcBorders>
              <w:top w:val="nil"/>
              <w:left w:val="nil"/>
              <w:bottom w:val="nil"/>
              <w:right w:val="single" w:sz="8" w:space="0" w:color="auto"/>
            </w:tcBorders>
            <w:shd w:val="clear" w:color="auto" w:fill="auto"/>
            <w:vAlign w:val="center"/>
            <w:hideMark/>
          </w:tcPr>
          <w:p w14:paraId="40B4BC6A"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BOR.F054</w:t>
            </w:r>
          </w:p>
        </w:tc>
      </w:tr>
      <w:tr w:rsidR="009C39C3" w:rsidRPr="009C39C3" w14:paraId="1DA486EB" w14:textId="77777777" w:rsidTr="004A7DC5">
        <w:trPr>
          <w:trHeight w:val="270"/>
        </w:trPr>
        <w:tc>
          <w:tcPr>
            <w:tcW w:w="6100" w:type="dxa"/>
            <w:tcBorders>
              <w:top w:val="nil"/>
              <w:left w:val="single" w:sz="8" w:space="0" w:color="auto"/>
              <w:bottom w:val="nil"/>
              <w:right w:val="single" w:sz="8" w:space="0" w:color="auto"/>
            </w:tcBorders>
            <w:shd w:val="clear" w:color="auto" w:fill="auto"/>
            <w:vAlign w:val="center"/>
            <w:hideMark/>
          </w:tcPr>
          <w:p w14:paraId="39E3C778" w14:textId="77777777" w:rsidR="009C39C3" w:rsidRPr="009C39C3" w:rsidRDefault="009C39C3" w:rsidP="004A7DC5">
            <w:pPr>
              <w:spacing w:after="0" w:line="240" w:lineRule="auto"/>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Alienação de Bens</w:t>
            </w:r>
          </w:p>
        </w:tc>
        <w:tc>
          <w:tcPr>
            <w:tcW w:w="2480" w:type="dxa"/>
            <w:tcBorders>
              <w:top w:val="nil"/>
              <w:left w:val="nil"/>
              <w:bottom w:val="nil"/>
              <w:right w:val="single" w:sz="8" w:space="0" w:color="auto"/>
            </w:tcBorders>
            <w:shd w:val="clear" w:color="auto" w:fill="auto"/>
            <w:vAlign w:val="center"/>
            <w:hideMark/>
          </w:tcPr>
          <w:p w14:paraId="72681C89" w14:textId="77777777" w:rsidR="009C39C3" w:rsidRPr="009C39C3" w:rsidRDefault="009C39C3" w:rsidP="004A7DC5">
            <w:pPr>
              <w:spacing w:after="0"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BOR.C055</w:t>
            </w:r>
          </w:p>
        </w:tc>
        <w:tc>
          <w:tcPr>
            <w:tcW w:w="1820" w:type="dxa"/>
            <w:tcBorders>
              <w:top w:val="nil"/>
              <w:left w:val="nil"/>
              <w:bottom w:val="nil"/>
              <w:right w:val="single" w:sz="8" w:space="0" w:color="auto"/>
            </w:tcBorders>
            <w:shd w:val="clear" w:color="auto" w:fill="auto"/>
            <w:vAlign w:val="center"/>
            <w:hideMark/>
          </w:tcPr>
          <w:p w14:paraId="1F1B9AB9" w14:textId="77777777" w:rsidR="009C39C3" w:rsidRPr="009C39C3" w:rsidRDefault="009C39C3" w:rsidP="004A7DC5">
            <w:pPr>
              <w:spacing w:after="0"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BOR.D055</w:t>
            </w:r>
          </w:p>
        </w:tc>
        <w:tc>
          <w:tcPr>
            <w:tcW w:w="1920" w:type="dxa"/>
            <w:tcBorders>
              <w:top w:val="nil"/>
              <w:left w:val="nil"/>
              <w:bottom w:val="nil"/>
              <w:right w:val="single" w:sz="8" w:space="0" w:color="auto"/>
            </w:tcBorders>
            <w:shd w:val="clear" w:color="auto" w:fill="auto"/>
            <w:vAlign w:val="center"/>
            <w:hideMark/>
          </w:tcPr>
          <w:p w14:paraId="010B74DE" w14:textId="77777777" w:rsidR="009C39C3" w:rsidRPr="009C39C3" w:rsidRDefault="009C39C3" w:rsidP="004A7DC5">
            <w:pPr>
              <w:spacing w:after="0"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BOR.E055</w:t>
            </w:r>
          </w:p>
        </w:tc>
        <w:tc>
          <w:tcPr>
            <w:tcW w:w="1780" w:type="dxa"/>
            <w:tcBorders>
              <w:top w:val="nil"/>
              <w:left w:val="nil"/>
              <w:bottom w:val="nil"/>
              <w:right w:val="single" w:sz="8" w:space="0" w:color="auto"/>
            </w:tcBorders>
            <w:shd w:val="clear" w:color="auto" w:fill="auto"/>
            <w:vAlign w:val="center"/>
            <w:hideMark/>
          </w:tcPr>
          <w:p w14:paraId="2F8F0AF8" w14:textId="77777777" w:rsidR="009C39C3" w:rsidRPr="009C39C3" w:rsidRDefault="009C39C3" w:rsidP="004A7DC5">
            <w:pPr>
              <w:spacing w:after="0"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BOR.F055</w:t>
            </w:r>
          </w:p>
        </w:tc>
      </w:tr>
      <w:tr w:rsidR="009C39C3" w:rsidRPr="009C39C3" w14:paraId="204CF2E2" w14:textId="77777777" w:rsidTr="004A7DC5">
        <w:trPr>
          <w:trHeight w:val="270"/>
        </w:trPr>
        <w:tc>
          <w:tcPr>
            <w:tcW w:w="6100" w:type="dxa"/>
            <w:tcBorders>
              <w:top w:val="nil"/>
              <w:left w:val="single" w:sz="8" w:space="0" w:color="auto"/>
              <w:bottom w:val="nil"/>
              <w:right w:val="single" w:sz="8" w:space="0" w:color="auto"/>
            </w:tcBorders>
            <w:shd w:val="clear" w:color="auto" w:fill="auto"/>
            <w:vAlign w:val="center"/>
            <w:hideMark/>
          </w:tcPr>
          <w:p w14:paraId="4BD8948A" w14:textId="77777777" w:rsidR="009C39C3" w:rsidRPr="009C39C3" w:rsidRDefault="009C39C3" w:rsidP="004A7DC5">
            <w:pPr>
              <w:spacing w:after="0" w:line="240" w:lineRule="auto"/>
              <w:ind w:firstLineChars="100" w:firstLine="180"/>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Alienação de Bens Móveis</w:t>
            </w:r>
          </w:p>
        </w:tc>
        <w:tc>
          <w:tcPr>
            <w:tcW w:w="2480" w:type="dxa"/>
            <w:tcBorders>
              <w:top w:val="nil"/>
              <w:left w:val="nil"/>
              <w:bottom w:val="nil"/>
              <w:right w:val="single" w:sz="8" w:space="0" w:color="auto"/>
            </w:tcBorders>
            <w:shd w:val="clear" w:color="auto" w:fill="auto"/>
            <w:vAlign w:val="center"/>
            <w:hideMark/>
          </w:tcPr>
          <w:p w14:paraId="4EC745F1"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BOR.C056</w:t>
            </w:r>
          </w:p>
        </w:tc>
        <w:tc>
          <w:tcPr>
            <w:tcW w:w="1820" w:type="dxa"/>
            <w:tcBorders>
              <w:top w:val="nil"/>
              <w:left w:val="nil"/>
              <w:bottom w:val="nil"/>
              <w:right w:val="single" w:sz="8" w:space="0" w:color="auto"/>
            </w:tcBorders>
            <w:shd w:val="clear" w:color="auto" w:fill="auto"/>
            <w:vAlign w:val="center"/>
            <w:hideMark/>
          </w:tcPr>
          <w:p w14:paraId="4DD2FB94"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BOR.D056</w:t>
            </w:r>
          </w:p>
        </w:tc>
        <w:tc>
          <w:tcPr>
            <w:tcW w:w="1920" w:type="dxa"/>
            <w:tcBorders>
              <w:top w:val="nil"/>
              <w:left w:val="nil"/>
              <w:bottom w:val="nil"/>
              <w:right w:val="single" w:sz="8" w:space="0" w:color="auto"/>
            </w:tcBorders>
            <w:shd w:val="clear" w:color="auto" w:fill="auto"/>
            <w:vAlign w:val="center"/>
            <w:hideMark/>
          </w:tcPr>
          <w:p w14:paraId="320A2C1E"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BOR.E056</w:t>
            </w:r>
          </w:p>
        </w:tc>
        <w:tc>
          <w:tcPr>
            <w:tcW w:w="1780" w:type="dxa"/>
            <w:tcBorders>
              <w:top w:val="nil"/>
              <w:left w:val="nil"/>
              <w:bottom w:val="nil"/>
              <w:right w:val="single" w:sz="8" w:space="0" w:color="auto"/>
            </w:tcBorders>
            <w:shd w:val="clear" w:color="auto" w:fill="auto"/>
            <w:vAlign w:val="center"/>
            <w:hideMark/>
          </w:tcPr>
          <w:p w14:paraId="4B4B3C16"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BOR.F056</w:t>
            </w:r>
          </w:p>
        </w:tc>
      </w:tr>
      <w:tr w:rsidR="009C39C3" w:rsidRPr="009C39C3" w14:paraId="729F3835" w14:textId="77777777" w:rsidTr="004A7DC5">
        <w:trPr>
          <w:trHeight w:val="270"/>
        </w:trPr>
        <w:tc>
          <w:tcPr>
            <w:tcW w:w="6100" w:type="dxa"/>
            <w:tcBorders>
              <w:top w:val="nil"/>
              <w:left w:val="single" w:sz="8" w:space="0" w:color="auto"/>
              <w:bottom w:val="nil"/>
              <w:right w:val="single" w:sz="8" w:space="0" w:color="auto"/>
            </w:tcBorders>
            <w:shd w:val="clear" w:color="auto" w:fill="auto"/>
            <w:vAlign w:val="center"/>
            <w:hideMark/>
          </w:tcPr>
          <w:p w14:paraId="430E883E" w14:textId="77777777" w:rsidR="009C39C3" w:rsidRPr="009C39C3" w:rsidRDefault="009C39C3" w:rsidP="004A7DC5">
            <w:pPr>
              <w:spacing w:after="0" w:line="240" w:lineRule="auto"/>
              <w:ind w:firstLineChars="100" w:firstLine="180"/>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Alienação de Bens Imóveis</w:t>
            </w:r>
          </w:p>
        </w:tc>
        <w:tc>
          <w:tcPr>
            <w:tcW w:w="2480" w:type="dxa"/>
            <w:tcBorders>
              <w:top w:val="nil"/>
              <w:left w:val="nil"/>
              <w:bottom w:val="nil"/>
              <w:right w:val="single" w:sz="8" w:space="0" w:color="auto"/>
            </w:tcBorders>
            <w:shd w:val="clear" w:color="auto" w:fill="auto"/>
            <w:vAlign w:val="center"/>
            <w:hideMark/>
          </w:tcPr>
          <w:p w14:paraId="1F8D7895"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BOR.C057</w:t>
            </w:r>
          </w:p>
        </w:tc>
        <w:tc>
          <w:tcPr>
            <w:tcW w:w="1820" w:type="dxa"/>
            <w:tcBorders>
              <w:top w:val="nil"/>
              <w:left w:val="nil"/>
              <w:bottom w:val="nil"/>
              <w:right w:val="single" w:sz="8" w:space="0" w:color="auto"/>
            </w:tcBorders>
            <w:shd w:val="clear" w:color="auto" w:fill="auto"/>
            <w:vAlign w:val="center"/>
            <w:hideMark/>
          </w:tcPr>
          <w:p w14:paraId="1157BF9A"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BOR.D057</w:t>
            </w:r>
          </w:p>
        </w:tc>
        <w:tc>
          <w:tcPr>
            <w:tcW w:w="1920" w:type="dxa"/>
            <w:tcBorders>
              <w:top w:val="nil"/>
              <w:left w:val="nil"/>
              <w:bottom w:val="nil"/>
              <w:right w:val="single" w:sz="8" w:space="0" w:color="auto"/>
            </w:tcBorders>
            <w:shd w:val="clear" w:color="auto" w:fill="auto"/>
            <w:vAlign w:val="center"/>
            <w:hideMark/>
          </w:tcPr>
          <w:p w14:paraId="6E5E37C1"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BOR.E057</w:t>
            </w:r>
          </w:p>
        </w:tc>
        <w:tc>
          <w:tcPr>
            <w:tcW w:w="1780" w:type="dxa"/>
            <w:tcBorders>
              <w:top w:val="nil"/>
              <w:left w:val="nil"/>
              <w:bottom w:val="nil"/>
              <w:right w:val="single" w:sz="8" w:space="0" w:color="auto"/>
            </w:tcBorders>
            <w:shd w:val="clear" w:color="auto" w:fill="auto"/>
            <w:vAlign w:val="center"/>
            <w:hideMark/>
          </w:tcPr>
          <w:p w14:paraId="2F8DEBE3"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BOR.F057</w:t>
            </w:r>
          </w:p>
        </w:tc>
      </w:tr>
      <w:tr w:rsidR="009C39C3" w:rsidRPr="009C39C3" w14:paraId="1C74091A" w14:textId="77777777" w:rsidTr="004A7DC5">
        <w:trPr>
          <w:trHeight w:val="270"/>
        </w:trPr>
        <w:tc>
          <w:tcPr>
            <w:tcW w:w="6100" w:type="dxa"/>
            <w:tcBorders>
              <w:top w:val="nil"/>
              <w:left w:val="single" w:sz="8" w:space="0" w:color="auto"/>
              <w:bottom w:val="nil"/>
              <w:right w:val="single" w:sz="8" w:space="0" w:color="auto"/>
            </w:tcBorders>
            <w:shd w:val="clear" w:color="auto" w:fill="auto"/>
            <w:vAlign w:val="center"/>
          </w:tcPr>
          <w:p w14:paraId="613C33CD" w14:textId="77777777" w:rsidR="009C39C3" w:rsidRPr="009C39C3" w:rsidRDefault="009C39C3" w:rsidP="004A7DC5">
            <w:pPr>
              <w:spacing w:after="0" w:line="240" w:lineRule="auto"/>
              <w:ind w:firstLineChars="100" w:firstLine="180"/>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Alienação de Bens Intangíveis</w:t>
            </w:r>
          </w:p>
        </w:tc>
        <w:tc>
          <w:tcPr>
            <w:tcW w:w="2480" w:type="dxa"/>
            <w:tcBorders>
              <w:top w:val="nil"/>
              <w:left w:val="nil"/>
              <w:bottom w:val="nil"/>
              <w:right w:val="single" w:sz="8" w:space="0" w:color="auto"/>
            </w:tcBorders>
            <w:shd w:val="clear" w:color="auto" w:fill="auto"/>
            <w:vAlign w:val="center"/>
          </w:tcPr>
          <w:p w14:paraId="5D9C24B3"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BOR.C104</w:t>
            </w:r>
          </w:p>
        </w:tc>
        <w:tc>
          <w:tcPr>
            <w:tcW w:w="1820" w:type="dxa"/>
            <w:tcBorders>
              <w:top w:val="nil"/>
              <w:left w:val="nil"/>
              <w:bottom w:val="nil"/>
              <w:right w:val="single" w:sz="8" w:space="0" w:color="auto"/>
            </w:tcBorders>
            <w:shd w:val="clear" w:color="auto" w:fill="auto"/>
            <w:vAlign w:val="center"/>
          </w:tcPr>
          <w:p w14:paraId="4A38D014"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BOR.D104</w:t>
            </w:r>
          </w:p>
        </w:tc>
        <w:tc>
          <w:tcPr>
            <w:tcW w:w="1920" w:type="dxa"/>
            <w:tcBorders>
              <w:top w:val="nil"/>
              <w:left w:val="nil"/>
              <w:bottom w:val="nil"/>
              <w:right w:val="single" w:sz="8" w:space="0" w:color="auto"/>
            </w:tcBorders>
            <w:shd w:val="clear" w:color="auto" w:fill="auto"/>
            <w:vAlign w:val="center"/>
          </w:tcPr>
          <w:p w14:paraId="00935C12"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BOR.E104</w:t>
            </w:r>
          </w:p>
        </w:tc>
        <w:tc>
          <w:tcPr>
            <w:tcW w:w="1780" w:type="dxa"/>
            <w:tcBorders>
              <w:top w:val="nil"/>
              <w:left w:val="nil"/>
              <w:bottom w:val="nil"/>
              <w:right w:val="single" w:sz="8" w:space="0" w:color="auto"/>
            </w:tcBorders>
            <w:shd w:val="clear" w:color="auto" w:fill="auto"/>
            <w:vAlign w:val="center"/>
          </w:tcPr>
          <w:p w14:paraId="303FD8FC"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BOR.F104</w:t>
            </w:r>
          </w:p>
        </w:tc>
      </w:tr>
      <w:tr w:rsidR="009C39C3" w:rsidRPr="009C39C3" w14:paraId="550003A8" w14:textId="77777777" w:rsidTr="004A7DC5">
        <w:trPr>
          <w:trHeight w:val="270"/>
        </w:trPr>
        <w:tc>
          <w:tcPr>
            <w:tcW w:w="6100" w:type="dxa"/>
            <w:tcBorders>
              <w:top w:val="nil"/>
              <w:left w:val="single" w:sz="8" w:space="0" w:color="auto"/>
              <w:bottom w:val="nil"/>
              <w:right w:val="single" w:sz="8" w:space="0" w:color="auto"/>
            </w:tcBorders>
            <w:shd w:val="clear" w:color="auto" w:fill="auto"/>
            <w:vAlign w:val="center"/>
            <w:hideMark/>
          </w:tcPr>
          <w:p w14:paraId="2A8DE959" w14:textId="77777777" w:rsidR="009C39C3" w:rsidRPr="009C39C3" w:rsidRDefault="009C39C3" w:rsidP="004A7DC5">
            <w:pPr>
              <w:spacing w:after="0" w:line="240" w:lineRule="auto"/>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Amortizações de Empréstimos</w:t>
            </w:r>
          </w:p>
        </w:tc>
        <w:tc>
          <w:tcPr>
            <w:tcW w:w="2480" w:type="dxa"/>
            <w:tcBorders>
              <w:top w:val="nil"/>
              <w:left w:val="nil"/>
              <w:bottom w:val="nil"/>
              <w:right w:val="single" w:sz="8" w:space="0" w:color="auto"/>
            </w:tcBorders>
            <w:shd w:val="clear" w:color="auto" w:fill="auto"/>
            <w:vAlign w:val="center"/>
            <w:hideMark/>
          </w:tcPr>
          <w:p w14:paraId="213DD4B0" w14:textId="77777777" w:rsidR="009C39C3" w:rsidRPr="009C39C3" w:rsidRDefault="009C39C3" w:rsidP="004A7DC5">
            <w:pPr>
              <w:spacing w:after="0"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BOR.C058</w:t>
            </w:r>
          </w:p>
        </w:tc>
        <w:tc>
          <w:tcPr>
            <w:tcW w:w="1820" w:type="dxa"/>
            <w:tcBorders>
              <w:top w:val="nil"/>
              <w:left w:val="nil"/>
              <w:bottom w:val="nil"/>
              <w:right w:val="single" w:sz="8" w:space="0" w:color="auto"/>
            </w:tcBorders>
            <w:shd w:val="clear" w:color="auto" w:fill="auto"/>
            <w:vAlign w:val="center"/>
            <w:hideMark/>
          </w:tcPr>
          <w:p w14:paraId="5C151B7F" w14:textId="77777777" w:rsidR="009C39C3" w:rsidRPr="009C39C3" w:rsidRDefault="009C39C3" w:rsidP="004A7DC5">
            <w:pPr>
              <w:spacing w:after="0"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BOR.D058</w:t>
            </w:r>
          </w:p>
        </w:tc>
        <w:tc>
          <w:tcPr>
            <w:tcW w:w="1920" w:type="dxa"/>
            <w:tcBorders>
              <w:top w:val="nil"/>
              <w:left w:val="nil"/>
              <w:bottom w:val="nil"/>
              <w:right w:val="single" w:sz="8" w:space="0" w:color="auto"/>
            </w:tcBorders>
            <w:shd w:val="clear" w:color="auto" w:fill="auto"/>
            <w:vAlign w:val="center"/>
            <w:hideMark/>
          </w:tcPr>
          <w:p w14:paraId="30CCB822" w14:textId="77777777" w:rsidR="009C39C3" w:rsidRPr="009C39C3" w:rsidRDefault="009C39C3" w:rsidP="004A7DC5">
            <w:pPr>
              <w:spacing w:after="0"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BOR.E058</w:t>
            </w:r>
          </w:p>
        </w:tc>
        <w:tc>
          <w:tcPr>
            <w:tcW w:w="1780" w:type="dxa"/>
            <w:tcBorders>
              <w:top w:val="nil"/>
              <w:left w:val="nil"/>
              <w:bottom w:val="nil"/>
              <w:right w:val="single" w:sz="8" w:space="0" w:color="auto"/>
            </w:tcBorders>
            <w:shd w:val="clear" w:color="auto" w:fill="auto"/>
            <w:vAlign w:val="center"/>
            <w:hideMark/>
          </w:tcPr>
          <w:p w14:paraId="38C0BC2E" w14:textId="77777777" w:rsidR="009C39C3" w:rsidRPr="009C39C3" w:rsidRDefault="009C39C3" w:rsidP="004A7DC5">
            <w:pPr>
              <w:spacing w:after="0"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BOR.F058</w:t>
            </w:r>
          </w:p>
        </w:tc>
      </w:tr>
      <w:tr w:rsidR="009C39C3" w:rsidRPr="009C39C3" w14:paraId="207EE216" w14:textId="77777777" w:rsidTr="004A7DC5">
        <w:trPr>
          <w:trHeight w:val="270"/>
        </w:trPr>
        <w:tc>
          <w:tcPr>
            <w:tcW w:w="6100" w:type="dxa"/>
            <w:tcBorders>
              <w:top w:val="nil"/>
              <w:left w:val="single" w:sz="8" w:space="0" w:color="auto"/>
              <w:bottom w:val="nil"/>
              <w:right w:val="single" w:sz="8" w:space="0" w:color="auto"/>
            </w:tcBorders>
            <w:shd w:val="clear" w:color="auto" w:fill="auto"/>
            <w:vAlign w:val="center"/>
            <w:hideMark/>
          </w:tcPr>
          <w:p w14:paraId="7C9920CA" w14:textId="77777777" w:rsidR="009C39C3" w:rsidRPr="009C39C3" w:rsidRDefault="009C39C3" w:rsidP="004A7DC5">
            <w:pPr>
              <w:spacing w:after="0" w:line="240" w:lineRule="auto"/>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Transferências de Capital</w:t>
            </w:r>
          </w:p>
        </w:tc>
        <w:tc>
          <w:tcPr>
            <w:tcW w:w="2480" w:type="dxa"/>
            <w:tcBorders>
              <w:top w:val="nil"/>
              <w:left w:val="nil"/>
              <w:bottom w:val="nil"/>
              <w:right w:val="single" w:sz="8" w:space="0" w:color="auto"/>
            </w:tcBorders>
            <w:shd w:val="clear" w:color="auto" w:fill="auto"/>
            <w:vAlign w:val="center"/>
            <w:hideMark/>
          </w:tcPr>
          <w:p w14:paraId="198BE0A4" w14:textId="77777777" w:rsidR="009C39C3" w:rsidRPr="009C39C3" w:rsidRDefault="009C39C3" w:rsidP="004A7DC5">
            <w:pPr>
              <w:spacing w:after="0"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BOR.C059</w:t>
            </w:r>
          </w:p>
        </w:tc>
        <w:tc>
          <w:tcPr>
            <w:tcW w:w="1820" w:type="dxa"/>
            <w:tcBorders>
              <w:top w:val="nil"/>
              <w:left w:val="nil"/>
              <w:bottom w:val="nil"/>
              <w:right w:val="single" w:sz="8" w:space="0" w:color="auto"/>
            </w:tcBorders>
            <w:shd w:val="clear" w:color="auto" w:fill="auto"/>
            <w:vAlign w:val="center"/>
            <w:hideMark/>
          </w:tcPr>
          <w:p w14:paraId="2635C5C7" w14:textId="77777777" w:rsidR="009C39C3" w:rsidRPr="009C39C3" w:rsidRDefault="009C39C3" w:rsidP="004A7DC5">
            <w:pPr>
              <w:spacing w:after="0"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BOR.D059</w:t>
            </w:r>
          </w:p>
        </w:tc>
        <w:tc>
          <w:tcPr>
            <w:tcW w:w="1920" w:type="dxa"/>
            <w:tcBorders>
              <w:top w:val="nil"/>
              <w:left w:val="nil"/>
              <w:bottom w:val="nil"/>
              <w:right w:val="single" w:sz="8" w:space="0" w:color="auto"/>
            </w:tcBorders>
            <w:shd w:val="clear" w:color="auto" w:fill="auto"/>
            <w:vAlign w:val="center"/>
            <w:hideMark/>
          </w:tcPr>
          <w:p w14:paraId="77F120BB" w14:textId="77777777" w:rsidR="009C39C3" w:rsidRPr="009C39C3" w:rsidRDefault="009C39C3" w:rsidP="004A7DC5">
            <w:pPr>
              <w:spacing w:after="0"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BOR.E059</w:t>
            </w:r>
          </w:p>
        </w:tc>
        <w:tc>
          <w:tcPr>
            <w:tcW w:w="1780" w:type="dxa"/>
            <w:tcBorders>
              <w:top w:val="nil"/>
              <w:left w:val="nil"/>
              <w:bottom w:val="nil"/>
              <w:right w:val="single" w:sz="8" w:space="0" w:color="auto"/>
            </w:tcBorders>
            <w:shd w:val="clear" w:color="auto" w:fill="auto"/>
            <w:vAlign w:val="center"/>
            <w:hideMark/>
          </w:tcPr>
          <w:p w14:paraId="7881A409" w14:textId="77777777" w:rsidR="009C39C3" w:rsidRPr="009C39C3" w:rsidRDefault="009C39C3" w:rsidP="004A7DC5">
            <w:pPr>
              <w:spacing w:after="0"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BOR.F059</w:t>
            </w:r>
          </w:p>
        </w:tc>
      </w:tr>
      <w:tr w:rsidR="009C39C3" w:rsidRPr="009C39C3" w14:paraId="791BCB7E" w14:textId="77777777" w:rsidTr="004A7DC5">
        <w:trPr>
          <w:trHeight w:val="270"/>
        </w:trPr>
        <w:tc>
          <w:tcPr>
            <w:tcW w:w="6100" w:type="dxa"/>
            <w:tcBorders>
              <w:top w:val="nil"/>
              <w:left w:val="single" w:sz="8" w:space="0" w:color="auto"/>
              <w:bottom w:val="nil"/>
              <w:right w:val="single" w:sz="8" w:space="0" w:color="auto"/>
            </w:tcBorders>
            <w:shd w:val="clear" w:color="auto" w:fill="auto"/>
            <w:vAlign w:val="center"/>
          </w:tcPr>
          <w:p w14:paraId="3EB4205D" w14:textId="77777777" w:rsidR="009C39C3" w:rsidRPr="009C39C3" w:rsidRDefault="009C39C3" w:rsidP="004A7DC5">
            <w:pPr>
              <w:spacing w:after="0" w:line="240" w:lineRule="auto"/>
              <w:ind w:firstLineChars="100" w:firstLine="180"/>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Transferências da União e Suas Entidades</w:t>
            </w:r>
          </w:p>
        </w:tc>
        <w:tc>
          <w:tcPr>
            <w:tcW w:w="2480" w:type="dxa"/>
            <w:tcBorders>
              <w:top w:val="nil"/>
              <w:left w:val="nil"/>
              <w:bottom w:val="nil"/>
              <w:right w:val="single" w:sz="8" w:space="0" w:color="auto"/>
            </w:tcBorders>
            <w:shd w:val="clear" w:color="auto" w:fill="auto"/>
            <w:vAlign w:val="center"/>
          </w:tcPr>
          <w:p w14:paraId="1F4A565F"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BOR.C105</w:t>
            </w:r>
          </w:p>
        </w:tc>
        <w:tc>
          <w:tcPr>
            <w:tcW w:w="1820" w:type="dxa"/>
            <w:tcBorders>
              <w:top w:val="nil"/>
              <w:left w:val="nil"/>
              <w:bottom w:val="nil"/>
              <w:right w:val="single" w:sz="8" w:space="0" w:color="auto"/>
            </w:tcBorders>
            <w:shd w:val="clear" w:color="auto" w:fill="auto"/>
            <w:vAlign w:val="center"/>
          </w:tcPr>
          <w:p w14:paraId="01E0320A"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BOR.D105</w:t>
            </w:r>
          </w:p>
        </w:tc>
        <w:tc>
          <w:tcPr>
            <w:tcW w:w="1920" w:type="dxa"/>
            <w:tcBorders>
              <w:top w:val="nil"/>
              <w:left w:val="nil"/>
              <w:bottom w:val="nil"/>
              <w:right w:val="single" w:sz="8" w:space="0" w:color="auto"/>
            </w:tcBorders>
            <w:shd w:val="clear" w:color="auto" w:fill="auto"/>
            <w:vAlign w:val="center"/>
          </w:tcPr>
          <w:p w14:paraId="10EC4D9A"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BOR.E105</w:t>
            </w:r>
          </w:p>
        </w:tc>
        <w:tc>
          <w:tcPr>
            <w:tcW w:w="1780" w:type="dxa"/>
            <w:tcBorders>
              <w:top w:val="nil"/>
              <w:left w:val="nil"/>
              <w:bottom w:val="nil"/>
              <w:right w:val="single" w:sz="8" w:space="0" w:color="auto"/>
            </w:tcBorders>
            <w:shd w:val="clear" w:color="auto" w:fill="auto"/>
            <w:vAlign w:val="center"/>
          </w:tcPr>
          <w:p w14:paraId="5469C79E"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BOR.F105</w:t>
            </w:r>
          </w:p>
        </w:tc>
      </w:tr>
      <w:tr w:rsidR="009C39C3" w:rsidRPr="009C39C3" w14:paraId="2AC47240" w14:textId="77777777" w:rsidTr="004A7DC5">
        <w:trPr>
          <w:trHeight w:val="270"/>
        </w:trPr>
        <w:tc>
          <w:tcPr>
            <w:tcW w:w="6100" w:type="dxa"/>
            <w:tcBorders>
              <w:top w:val="nil"/>
              <w:left w:val="single" w:sz="8" w:space="0" w:color="auto"/>
              <w:bottom w:val="nil"/>
              <w:right w:val="single" w:sz="8" w:space="0" w:color="auto"/>
            </w:tcBorders>
            <w:shd w:val="clear" w:color="auto" w:fill="auto"/>
            <w:vAlign w:val="center"/>
          </w:tcPr>
          <w:p w14:paraId="3A5A8B79" w14:textId="77777777" w:rsidR="009C39C3" w:rsidRPr="009C39C3" w:rsidRDefault="009C39C3" w:rsidP="004A7DC5">
            <w:pPr>
              <w:spacing w:after="0" w:line="240" w:lineRule="auto"/>
              <w:ind w:firstLineChars="100" w:firstLine="180"/>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Transferências dos Estados e do DF e Suas Entidades</w:t>
            </w:r>
          </w:p>
        </w:tc>
        <w:tc>
          <w:tcPr>
            <w:tcW w:w="2480" w:type="dxa"/>
            <w:tcBorders>
              <w:top w:val="nil"/>
              <w:left w:val="nil"/>
              <w:bottom w:val="nil"/>
              <w:right w:val="single" w:sz="8" w:space="0" w:color="auto"/>
            </w:tcBorders>
            <w:shd w:val="clear" w:color="auto" w:fill="auto"/>
            <w:vAlign w:val="center"/>
          </w:tcPr>
          <w:p w14:paraId="3EA56D9C"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BOR.C106</w:t>
            </w:r>
          </w:p>
        </w:tc>
        <w:tc>
          <w:tcPr>
            <w:tcW w:w="1820" w:type="dxa"/>
            <w:tcBorders>
              <w:top w:val="nil"/>
              <w:left w:val="nil"/>
              <w:bottom w:val="nil"/>
              <w:right w:val="single" w:sz="8" w:space="0" w:color="auto"/>
            </w:tcBorders>
            <w:shd w:val="clear" w:color="auto" w:fill="auto"/>
            <w:vAlign w:val="center"/>
          </w:tcPr>
          <w:p w14:paraId="6B6ACC8A"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BOR.D106</w:t>
            </w:r>
          </w:p>
        </w:tc>
        <w:tc>
          <w:tcPr>
            <w:tcW w:w="1920" w:type="dxa"/>
            <w:tcBorders>
              <w:top w:val="nil"/>
              <w:left w:val="nil"/>
              <w:bottom w:val="nil"/>
              <w:right w:val="single" w:sz="8" w:space="0" w:color="auto"/>
            </w:tcBorders>
            <w:shd w:val="clear" w:color="auto" w:fill="auto"/>
            <w:vAlign w:val="center"/>
          </w:tcPr>
          <w:p w14:paraId="7B35C649"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BOR.E106</w:t>
            </w:r>
          </w:p>
        </w:tc>
        <w:tc>
          <w:tcPr>
            <w:tcW w:w="1780" w:type="dxa"/>
            <w:tcBorders>
              <w:top w:val="nil"/>
              <w:left w:val="nil"/>
              <w:bottom w:val="nil"/>
              <w:right w:val="single" w:sz="8" w:space="0" w:color="auto"/>
            </w:tcBorders>
            <w:shd w:val="clear" w:color="auto" w:fill="auto"/>
            <w:vAlign w:val="center"/>
          </w:tcPr>
          <w:p w14:paraId="5904DDF9"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BOR.F106</w:t>
            </w:r>
          </w:p>
        </w:tc>
      </w:tr>
      <w:tr w:rsidR="009C39C3" w:rsidRPr="009C39C3" w14:paraId="0E965C4A" w14:textId="77777777" w:rsidTr="004A7DC5">
        <w:trPr>
          <w:trHeight w:val="270"/>
        </w:trPr>
        <w:tc>
          <w:tcPr>
            <w:tcW w:w="6100" w:type="dxa"/>
            <w:tcBorders>
              <w:top w:val="nil"/>
              <w:left w:val="single" w:sz="8" w:space="0" w:color="auto"/>
              <w:bottom w:val="nil"/>
              <w:right w:val="single" w:sz="8" w:space="0" w:color="auto"/>
            </w:tcBorders>
            <w:shd w:val="clear" w:color="auto" w:fill="auto"/>
            <w:vAlign w:val="center"/>
          </w:tcPr>
          <w:p w14:paraId="4D5FBE17" w14:textId="77777777" w:rsidR="009C39C3" w:rsidRPr="009C39C3" w:rsidRDefault="009C39C3" w:rsidP="004A7DC5">
            <w:pPr>
              <w:spacing w:after="0" w:line="240" w:lineRule="auto"/>
              <w:ind w:firstLineChars="100" w:firstLine="180"/>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Transferências dos Municípios e Suas Entidades</w:t>
            </w:r>
          </w:p>
        </w:tc>
        <w:tc>
          <w:tcPr>
            <w:tcW w:w="2480" w:type="dxa"/>
            <w:tcBorders>
              <w:top w:val="nil"/>
              <w:left w:val="nil"/>
              <w:bottom w:val="nil"/>
              <w:right w:val="single" w:sz="8" w:space="0" w:color="auto"/>
            </w:tcBorders>
            <w:shd w:val="clear" w:color="auto" w:fill="auto"/>
            <w:vAlign w:val="center"/>
          </w:tcPr>
          <w:p w14:paraId="6D0C6513"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BOR.C107</w:t>
            </w:r>
          </w:p>
        </w:tc>
        <w:tc>
          <w:tcPr>
            <w:tcW w:w="1820" w:type="dxa"/>
            <w:tcBorders>
              <w:top w:val="nil"/>
              <w:left w:val="nil"/>
              <w:bottom w:val="nil"/>
              <w:right w:val="single" w:sz="8" w:space="0" w:color="auto"/>
            </w:tcBorders>
            <w:shd w:val="clear" w:color="auto" w:fill="auto"/>
            <w:vAlign w:val="center"/>
          </w:tcPr>
          <w:p w14:paraId="0F8E7940"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BOR.D107</w:t>
            </w:r>
          </w:p>
        </w:tc>
        <w:tc>
          <w:tcPr>
            <w:tcW w:w="1920" w:type="dxa"/>
            <w:tcBorders>
              <w:top w:val="nil"/>
              <w:left w:val="nil"/>
              <w:bottom w:val="nil"/>
              <w:right w:val="single" w:sz="8" w:space="0" w:color="auto"/>
            </w:tcBorders>
            <w:shd w:val="clear" w:color="auto" w:fill="auto"/>
            <w:vAlign w:val="center"/>
          </w:tcPr>
          <w:p w14:paraId="67CE3CBA"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BOR.E107</w:t>
            </w:r>
          </w:p>
        </w:tc>
        <w:tc>
          <w:tcPr>
            <w:tcW w:w="1780" w:type="dxa"/>
            <w:tcBorders>
              <w:top w:val="nil"/>
              <w:left w:val="nil"/>
              <w:bottom w:val="nil"/>
              <w:right w:val="single" w:sz="8" w:space="0" w:color="auto"/>
            </w:tcBorders>
            <w:shd w:val="clear" w:color="auto" w:fill="auto"/>
            <w:vAlign w:val="center"/>
          </w:tcPr>
          <w:p w14:paraId="6DFC996A"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BOR.F107</w:t>
            </w:r>
          </w:p>
        </w:tc>
      </w:tr>
      <w:tr w:rsidR="009C39C3" w:rsidRPr="009C39C3" w14:paraId="64122378" w14:textId="77777777" w:rsidTr="004A7DC5">
        <w:trPr>
          <w:trHeight w:val="270"/>
        </w:trPr>
        <w:tc>
          <w:tcPr>
            <w:tcW w:w="6100" w:type="dxa"/>
            <w:tcBorders>
              <w:top w:val="nil"/>
              <w:left w:val="single" w:sz="8" w:space="0" w:color="auto"/>
              <w:bottom w:val="nil"/>
              <w:right w:val="single" w:sz="8" w:space="0" w:color="auto"/>
            </w:tcBorders>
            <w:shd w:val="clear" w:color="auto" w:fill="auto"/>
            <w:vAlign w:val="center"/>
            <w:hideMark/>
          </w:tcPr>
          <w:p w14:paraId="395F4233" w14:textId="77777777" w:rsidR="009C39C3" w:rsidRPr="009C39C3" w:rsidRDefault="009C39C3" w:rsidP="004A7DC5">
            <w:pPr>
              <w:spacing w:after="0" w:line="240" w:lineRule="auto"/>
              <w:ind w:firstLineChars="100" w:firstLine="180"/>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Transferências de Instituições Privadas</w:t>
            </w:r>
          </w:p>
        </w:tc>
        <w:tc>
          <w:tcPr>
            <w:tcW w:w="2480" w:type="dxa"/>
            <w:tcBorders>
              <w:top w:val="nil"/>
              <w:left w:val="nil"/>
              <w:bottom w:val="nil"/>
              <w:right w:val="single" w:sz="8" w:space="0" w:color="auto"/>
            </w:tcBorders>
            <w:shd w:val="clear" w:color="auto" w:fill="auto"/>
            <w:vAlign w:val="center"/>
            <w:hideMark/>
          </w:tcPr>
          <w:p w14:paraId="167B64AA"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BOR.C061</w:t>
            </w:r>
          </w:p>
        </w:tc>
        <w:tc>
          <w:tcPr>
            <w:tcW w:w="1820" w:type="dxa"/>
            <w:tcBorders>
              <w:top w:val="nil"/>
              <w:left w:val="nil"/>
              <w:bottom w:val="nil"/>
              <w:right w:val="single" w:sz="8" w:space="0" w:color="auto"/>
            </w:tcBorders>
            <w:shd w:val="clear" w:color="auto" w:fill="auto"/>
            <w:vAlign w:val="center"/>
            <w:hideMark/>
          </w:tcPr>
          <w:p w14:paraId="16D181D6"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BOR.D061</w:t>
            </w:r>
          </w:p>
        </w:tc>
        <w:tc>
          <w:tcPr>
            <w:tcW w:w="1920" w:type="dxa"/>
            <w:tcBorders>
              <w:top w:val="nil"/>
              <w:left w:val="nil"/>
              <w:bottom w:val="nil"/>
              <w:right w:val="single" w:sz="8" w:space="0" w:color="auto"/>
            </w:tcBorders>
            <w:shd w:val="clear" w:color="auto" w:fill="auto"/>
            <w:vAlign w:val="center"/>
            <w:hideMark/>
          </w:tcPr>
          <w:p w14:paraId="7E6EAB6E"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BOR.E061</w:t>
            </w:r>
          </w:p>
        </w:tc>
        <w:tc>
          <w:tcPr>
            <w:tcW w:w="1780" w:type="dxa"/>
            <w:tcBorders>
              <w:top w:val="nil"/>
              <w:left w:val="nil"/>
              <w:bottom w:val="nil"/>
              <w:right w:val="single" w:sz="8" w:space="0" w:color="auto"/>
            </w:tcBorders>
            <w:shd w:val="clear" w:color="auto" w:fill="auto"/>
            <w:vAlign w:val="center"/>
            <w:hideMark/>
          </w:tcPr>
          <w:p w14:paraId="76B3A01B"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BOR.F061</w:t>
            </w:r>
          </w:p>
        </w:tc>
      </w:tr>
      <w:tr w:rsidR="009C39C3" w:rsidRPr="009C39C3" w14:paraId="701375E9" w14:textId="77777777" w:rsidTr="004A7DC5">
        <w:trPr>
          <w:trHeight w:val="270"/>
        </w:trPr>
        <w:tc>
          <w:tcPr>
            <w:tcW w:w="6100" w:type="dxa"/>
            <w:tcBorders>
              <w:top w:val="nil"/>
              <w:left w:val="single" w:sz="8" w:space="0" w:color="auto"/>
              <w:bottom w:val="nil"/>
              <w:right w:val="single" w:sz="8" w:space="0" w:color="auto"/>
            </w:tcBorders>
            <w:shd w:val="clear" w:color="auto" w:fill="auto"/>
            <w:vAlign w:val="center"/>
            <w:hideMark/>
          </w:tcPr>
          <w:p w14:paraId="26E78F95" w14:textId="77777777" w:rsidR="009C39C3" w:rsidRPr="009C39C3" w:rsidRDefault="009C39C3" w:rsidP="004A7DC5">
            <w:pPr>
              <w:spacing w:after="0" w:line="240" w:lineRule="auto"/>
              <w:ind w:firstLineChars="100" w:firstLine="180"/>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Transferências do Exterior</w:t>
            </w:r>
          </w:p>
        </w:tc>
        <w:tc>
          <w:tcPr>
            <w:tcW w:w="2480" w:type="dxa"/>
            <w:tcBorders>
              <w:top w:val="nil"/>
              <w:left w:val="nil"/>
              <w:bottom w:val="nil"/>
              <w:right w:val="single" w:sz="8" w:space="0" w:color="auto"/>
            </w:tcBorders>
            <w:shd w:val="clear" w:color="auto" w:fill="auto"/>
            <w:vAlign w:val="center"/>
            <w:hideMark/>
          </w:tcPr>
          <w:p w14:paraId="1C7C0A91"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BOR.C062</w:t>
            </w:r>
          </w:p>
        </w:tc>
        <w:tc>
          <w:tcPr>
            <w:tcW w:w="1820" w:type="dxa"/>
            <w:tcBorders>
              <w:top w:val="nil"/>
              <w:left w:val="nil"/>
              <w:bottom w:val="nil"/>
              <w:right w:val="single" w:sz="8" w:space="0" w:color="auto"/>
            </w:tcBorders>
            <w:shd w:val="clear" w:color="auto" w:fill="auto"/>
            <w:vAlign w:val="center"/>
            <w:hideMark/>
          </w:tcPr>
          <w:p w14:paraId="5DAE226F"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BOR.D062</w:t>
            </w:r>
          </w:p>
        </w:tc>
        <w:tc>
          <w:tcPr>
            <w:tcW w:w="1920" w:type="dxa"/>
            <w:tcBorders>
              <w:top w:val="nil"/>
              <w:left w:val="nil"/>
              <w:bottom w:val="nil"/>
              <w:right w:val="single" w:sz="8" w:space="0" w:color="auto"/>
            </w:tcBorders>
            <w:shd w:val="clear" w:color="auto" w:fill="auto"/>
            <w:vAlign w:val="center"/>
            <w:hideMark/>
          </w:tcPr>
          <w:p w14:paraId="7C6BDA48"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BOR.E062</w:t>
            </w:r>
          </w:p>
        </w:tc>
        <w:tc>
          <w:tcPr>
            <w:tcW w:w="1780" w:type="dxa"/>
            <w:tcBorders>
              <w:top w:val="nil"/>
              <w:left w:val="nil"/>
              <w:bottom w:val="nil"/>
              <w:right w:val="single" w:sz="8" w:space="0" w:color="auto"/>
            </w:tcBorders>
            <w:shd w:val="clear" w:color="auto" w:fill="auto"/>
            <w:vAlign w:val="center"/>
            <w:hideMark/>
          </w:tcPr>
          <w:p w14:paraId="50A1F3D1"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BOR.F062</w:t>
            </w:r>
          </w:p>
        </w:tc>
      </w:tr>
      <w:tr w:rsidR="009C39C3" w:rsidRPr="009C39C3" w14:paraId="6C3403DF" w14:textId="77777777" w:rsidTr="004A7DC5">
        <w:trPr>
          <w:trHeight w:val="270"/>
        </w:trPr>
        <w:tc>
          <w:tcPr>
            <w:tcW w:w="6100" w:type="dxa"/>
            <w:tcBorders>
              <w:top w:val="nil"/>
              <w:left w:val="single" w:sz="8" w:space="0" w:color="auto"/>
              <w:right w:val="single" w:sz="8" w:space="0" w:color="auto"/>
            </w:tcBorders>
            <w:shd w:val="clear" w:color="auto" w:fill="auto"/>
            <w:vAlign w:val="center"/>
            <w:hideMark/>
          </w:tcPr>
          <w:p w14:paraId="359F5572" w14:textId="77777777" w:rsidR="009C39C3" w:rsidRPr="009C39C3" w:rsidRDefault="009C39C3" w:rsidP="004A7DC5">
            <w:pPr>
              <w:spacing w:after="0" w:line="240" w:lineRule="auto"/>
              <w:ind w:firstLineChars="100" w:firstLine="180"/>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Transferências de Pessoas Físicas</w:t>
            </w:r>
          </w:p>
        </w:tc>
        <w:tc>
          <w:tcPr>
            <w:tcW w:w="2480" w:type="dxa"/>
            <w:tcBorders>
              <w:top w:val="nil"/>
              <w:left w:val="nil"/>
              <w:right w:val="single" w:sz="8" w:space="0" w:color="auto"/>
            </w:tcBorders>
            <w:shd w:val="clear" w:color="auto" w:fill="auto"/>
            <w:vAlign w:val="center"/>
            <w:hideMark/>
          </w:tcPr>
          <w:p w14:paraId="3C9DBC2C"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BOR.C063</w:t>
            </w:r>
          </w:p>
        </w:tc>
        <w:tc>
          <w:tcPr>
            <w:tcW w:w="1820" w:type="dxa"/>
            <w:tcBorders>
              <w:top w:val="nil"/>
              <w:left w:val="nil"/>
              <w:right w:val="single" w:sz="8" w:space="0" w:color="auto"/>
            </w:tcBorders>
            <w:shd w:val="clear" w:color="auto" w:fill="auto"/>
            <w:vAlign w:val="center"/>
            <w:hideMark/>
          </w:tcPr>
          <w:p w14:paraId="0A48C1F3"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BOR.D063</w:t>
            </w:r>
          </w:p>
        </w:tc>
        <w:tc>
          <w:tcPr>
            <w:tcW w:w="1920" w:type="dxa"/>
            <w:tcBorders>
              <w:top w:val="nil"/>
              <w:left w:val="nil"/>
              <w:right w:val="single" w:sz="8" w:space="0" w:color="auto"/>
            </w:tcBorders>
            <w:shd w:val="clear" w:color="auto" w:fill="auto"/>
            <w:vAlign w:val="center"/>
            <w:hideMark/>
          </w:tcPr>
          <w:p w14:paraId="24453237"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BOR.E063</w:t>
            </w:r>
          </w:p>
        </w:tc>
        <w:tc>
          <w:tcPr>
            <w:tcW w:w="1780" w:type="dxa"/>
            <w:tcBorders>
              <w:top w:val="nil"/>
              <w:left w:val="nil"/>
              <w:right w:val="single" w:sz="8" w:space="0" w:color="auto"/>
            </w:tcBorders>
            <w:shd w:val="clear" w:color="auto" w:fill="auto"/>
            <w:vAlign w:val="center"/>
            <w:hideMark/>
          </w:tcPr>
          <w:p w14:paraId="0DA41E88"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BOR.F063</w:t>
            </w:r>
          </w:p>
        </w:tc>
      </w:tr>
      <w:tr w:rsidR="009C39C3" w:rsidRPr="009C39C3" w14:paraId="03B39D3F" w14:textId="77777777" w:rsidTr="004A7DC5">
        <w:trPr>
          <w:trHeight w:val="270"/>
        </w:trPr>
        <w:tc>
          <w:tcPr>
            <w:tcW w:w="6100" w:type="dxa"/>
            <w:tcBorders>
              <w:top w:val="nil"/>
              <w:left w:val="single" w:sz="8" w:space="0" w:color="auto"/>
              <w:right w:val="single" w:sz="8" w:space="0" w:color="auto"/>
            </w:tcBorders>
            <w:shd w:val="clear" w:color="auto" w:fill="auto"/>
            <w:vAlign w:val="center"/>
            <w:hideMark/>
          </w:tcPr>
          <w:p w14:paraId="22857242" w14:textId="77777777" w:rsidR="009C39C3" w:rsidRPr="009C39C3" w:rsidRDefault="009C39C3" w:rsidP="004A7DC5">
            <w:pPr>
              <w:spacing w:after="0" w:line="240" w:lineRule="auto"/>
              <w:ind w:firstLineChars="100" w:firstLine="180"/>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Transferências de Outras Instituições Públicas</w:t>
            </w:r>
          </w:p>
        </w:tc>
        <w:tc>
          <w:tcPr>
            <w:tcW w:w="2480" w:type="dxa"/>
            <w:tcBorders>
              <w:top w:val="nil"/>
              <w:left w:val="nil"/>
              <w:right w:val="single" w:sz="8" w:space="0" w:color="auto"/>
            </w:tcBorders>
            <w:shd w:val="clear" w:color="auto" w:fill="auto"/>
            <w:vAlign w:val="center"/>
            <w:hideMark/>
          </w:tcPr>
          <w:p w14:paraId="747D0558"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BOR.C064</w:t>
            </w:r>
          </w:p>
        </w:tc>
        <w:tc>
          <w:tcPr>
            <w:tcW w:w="1820" w:type="dxa"/>
            <w:tcBorders>
              <w:top w:val="nil"/>
              <w:left w:val="nil"/>
              <w:right w:val="single" w:sz="8" w:space="0" w:color="auto"/>
            </w:tcBorders>
            <w:shd w:val="clear" w:color="auto" w:fill="auto"/>
            <w:vAlign w:val="center"/>
            <w:hideMark/>
          </w:tcPr>
          <w:p w14:paraId="7B430A16"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BOR.D064</w:t>
            </w:r>
          </w:p>
        </w:tc>
        <w:tc>
          <w:tcPr>
            <w:tcW w:w="1920" w:type="dxa"/>
            <w:tcBorders>
              <w:top w:val="nil"/>
              <w:left w:val="nil"/>
              <w:right w:val="single" w:sz="8" w:space="0" w:color="auto"/>
            </w:tcBorders>
            <w:shd w:val="clear" w:color="auto" w:fill="auto"/>
            <w:vAlign w:val="center"/>
            <w:hideMark/>
          </w:tcPr>
          <w:p w14:paraId="55E6D76A"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BOR.E064</w:t>
            </w:r>
          </w:p>
        </w:tc>
        <w:tc>
          <w:tcPr>
            <w:tcW w:w="1780" w:type="dxa"/>
            <w:tcBorders>
              <w:top w:val="nil"/>
              <w:left w:val="nil"/>
              <w:right w:val="single" w:sz="8" w:space="0" w:color="auto"/>
            </w:tcBorders>
            <w:shd w:val="clear" w:color="auto" w:fill="auto"/>
            <w:vAlign w:val="center"/>
            <w:hideMark/>
          </w:tcPr>
          <w:p w14:paraId="13E2ED3B"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BOR.F064</w:t>
            </w:r>
          </w:p>
        </w:tc>
      </w:tr>
      <w:tr w:rsidR="009C39C3" w:rsidRPr="009C39C3" w14:paraId="07618C42" w14:textId="77777777" w:rsidTr="004A7DC5">
        <w:trPr>
          <w:trHeight w:val="270"/>
        </w:trPr>
        <w:tc>
          <w:tcPr>
            <w:tcW w:w="6100" w:type="dxa"/>
            <w:tcBorders>
              <w:left w:val="single" w:sz="8" w:space="0" w:color="auto"/>
              <w:bottom w:val="nil"/>
              <w:right w:val="single" w:sz="8" w:space="0" w:color="auto"/>
            </w:tcBorders>
            <w:shd w:val="clear" w:color="auto" w:fill="auto"/>
            <w:vAlign w:val="center"/>
          </w:tcPr>
          <w:p w14:paraId="1CA41ED4" w14:textId="32DD83D2" w:rsidR="009C39C3" w:rsidRPr="009C39C3" w:rsidRDefault="009C39C3" w:rsidP="004A7DC5">
            <w:pPr>
              <w:spacing w:after="0" w:line="240" w:lineRule="auto"/>
              <w:ind w:firstLineChars="100" w:firstLine="180"/>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Transferências Povenientes de Depósitos Não Identi</w:t>
            </w:r>
            <w:r w:rsidR="000B19AE">
              <w:rPr>
                <w:rFonts w:ascii="Arial Narrow" w:eastAsia="Times New Roman" w:hAnsi="Arial Narrow" w:cs="Arial"/>
                <w:sz w:val="18"/>
                <w:szCs w:val="18"/>
                <w:lang w:eastAsia="pt-BR"/>
              </w:rPr>
              <w:t>f</w:t>
            </w:r>
            <w:r w:rsidRPr="009C39C3">
              <w:rPr>
                <w:rFonts w:ascii="Arial Narrow" w:eastAsia="Times New Roman" w:hAnsi="Arial Narrow" w:cs="Arial"/>
                <w:sz w:val="18"/>
                <w:szCs w:val="18"/>
                <w:lang w:eastAsia="pt-BR"/>
              </w:rPr>
              <w:t>icados</w:t>
            </w:r>
          </w:p>
        </w:tc>
        <w:tc>
          <w:tcPr>
            <w:tcW w:w="2480" w:type="dxa"/>
            <w:tcBorders>
              <w:left w:val="nil"/>
              <w:bottom w:val="nil"/>
              <w:right w:val="single" w:sz="8" w:space="0" w:color="auto"/>
            </w:tcBorders>
            <w:shd w:val="clear" w:color="auto" w:fill="auto"/>
            <w:vAlign w:val="center"/>
          </w:tcPr>
          <w:p w14:paraId="5F3F738B"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BOR.C108</w:t>
            </w:r>
          </w:p>
        </w:tc>
        <w:tc>
          <w:tcPr>
            <w:tcW w:w="1820" w:type="dxa"/>
            <w:tcBorders>
              <w:left w:val="nil"/>
              <w:bottom w:val="nil"/>
              <w:right w:val="single" w:sz="8" w:space="0" w:color="auto"/>
            </w:tcBorders>
            <w:shd w:val="clear" w:color="auto" w:fill="auto"/>
            <w:vAlign w:val="center"/>
          </w:tcPr>
          <w:p w14:paraId="2040951B"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BOR.D108</w:t>
            </w:r>
          </w:p>
        </w:tc>
        <w:tc>
          <w:tcPr>
            <w:tcW w:w="1920" w:type="dxa"/>
            <w:tcBorders>
              <w:left w:val="nil"/>
              <w:bottom w:val="nil"/>
              <w:right w:val="single" w:sz="8" w:space="0" w:color="auto"/>
            </w:tcBorders>
            <w:shd w:val="clear" w:color="auto" w:fill="auto"/>
            <w:vAlign w:val="center"/>
          </w:tcPr>
          <w:p w14:paraId="68A4FF14"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BOR.E108</w:t>
            </w:r>
          </w:p>
        </w:tc>
        <w:tc>
          <w:tcPr>
            <w:tcW w:w="1780" w:type="dxa"/>
            <w:tcBorders>
              <w:left w:val="nil"/>
              <w:bottom w:val="nil"/>
              <w:right w:val="single" w:sz="8" w:space="0" w:color="auto"/>
            </w:tcBorders>
            <w:shd w:val="clear" w:color="auto" w:fill="auto"/>
            <w:vAlign w:val="center"/>
          </w:tcPr>
          <w:p w14:paraId="1CDA8D0A"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BOR.F108</w:t>
            </w:r>
          </w:p>
        </w:tc>
      </w:tr>
      <w:tr w:rsidR="009C39C3" w:rsidRPr="009C39C3" w14:paraId="487F593E" w14:textId="77777777" w:rsidTr="004A7DC5">
        <w:trPr>
          <w:trHeight w:val="270"/>
        </w:trPr>
        <w:tc>
          <w:tcPr>
            <w:tcW w:w="6100" w:type="dxa"/>
            <w:tcBorders>
              <w:top w:val="nil"/>
              <w:left w:val="single" w:sz="8" w:space="0" w:color="auto"/>
              <w:bottom w:val="nil"/>
              <w:right w:val="single" w:sz="8" w:space="0" w:color="auto"/>
            </w:tcBorders>
            <w:shd w:val="clear" w:color="auto" w:fill="auto"/>
            <w:vAlign w:val="center"/>
            <w:hideMark/>
          </w:tcPr>
          <w:p w14:paraId="444E685D" w14:textId="77777777" w:rsidR="009C39C3" w:rsidRPr="009C39C3" w:rsidRDefault="009C39C3" w:rsidP="004A7DC5">
            <w:pPr>
              <w:spacing w:after="0" w:line="240" w:lineRule="auto"/>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Outras Receitas de  Capital</w:t>
            </w:r>
          </w:p>
        </w:tc>
        <w:tc>
          <w:tcPr>
            <w:tcW w:w="2480" w:type="dxa"/>
            <w:tcBorders>
              <w:top w:val="nil"/>
              <w:left w:val="nil"/>
              <w:bottom w:val="nil"/>
              <w:right w:val="single" w:sz="8" w:space="0" w:color="auto"/>
            </w:tcBorders>
            <w:shd w:val="clear" w:color="auto" w:fill="auto"/>
            <w:vAlign w:val="center"/>
            <w:hideMark/>
          </w:tcPr>
          <w:p w14:paraId="0F068DF5" w14:textId="77777777" w:rsidR="009C39C3" w:rsidRPr="009C39C3" w:rsidRDefault="009C39C3" w:rsidP="004A7DC5">
            <w:pPr>
              <w:spacing w:after="0"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BOR.C067</w:t>
            </w:r>
          </w:p>
        </w:tc>
        <w:tc>
          <w:tcPr>
            <w:tcW w:w="1820" w:type="dxa"/>
            <w:tcBorders>
              <w:top w:val="nil"/>
              <w:left w:val="nil"/>
              <w:bottom w:val="nil"/>
              <w:right w:val="single" w:sz="8" w:space="0" w:color="auto"/>
            </w:tcBorders>
            <w:shd w:val="clear" w:color="auto" w:fill="auto"/>
            <w:vAlign w:val="center"/>
            <w:hideMark/>
          </w:tcPr>
          <w:p w14:paraId="09809F23" w14:textId="77777777" w:rsidR="009C39C3" w:rsidRPr="009C39C3" w:rsidRDefault="009C39C3" w:rsidP="004A7DC5">
            <w:pPr>
              <w:spacing w:after="0"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BOR.D067</w:t>
            </w:r>
          </w:p>
        </w:tc>
        <w:tc>
          <w:tcPr>
            <w:tcW w:w="1920" w:type="dxa"/>
            <w:tcBorders>
              <w:top w:val="nil"/>
              <w:left w:val="nil"/>
              <w:bottom w:val="nil"/>
              <w:right w:val="single" w:sz="8" w:space="0" w:color="auto"/>
            </w:tcBorders>
            <w:shd w:val="clear" w:color="auto" w:fill="auto"/>
            <w:vAlign w:val="center"/>
            <w:hideMark/>
          </w:tcPr>
          <w:p w14:paraId="2665BEDC" w14:textId="77777777" w:rsidR="009C39C3" w:rsidRPr="009C39C3" w:rsidRDefault="009C39C3" w:rsidP="004A7DC5">
            <w:pPr>
              <w:spacing w:after="0"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BOR.E067</w:t>
            </w:r>
          </w:p>
        </w:tc>
        <w:tc>
          <w:tcPr>
            <w:tcW w:w="1780" w:type="dxa"/>
            <w:tcBorders>
              <w:top w:val="nil"/>
              <w:left w:val="nil"/>
              <w:bottom w:val="nil"/>
              <w:right w:val="single" w:sz="8" w:space="0" w:color="auto"/>
            </w:tcBorders>
            <w:shd w:val="clear" w:color="auto" w:fill="auto"/>
            <w:vAlign w:val="center"/>
            <w:hideMark/>
          </w:tcPr>
          <w:p w14:paraId="2857B9CB" w14:textId="77777777" w:rsidR="009C39C3" w:rsidRPr="009C39C3" w:rsidRDefault="009C39C3" w:rsidP="004A7DC5">
            <w:pPr>
              <w:spacing w:after="0"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BOR.F067</w:t>
            </w:r>
          </w:p>
        </w:tc>
      </w:tr>
      <w:tr w:rsidR="009C39C3" w:rsidRPr="009C39C3" w14:paraId="18BBDC2A" w14:textId="77777777" w:rsidTr="004A7DC5">
        <w:trPr>
          <w:trHeight w:val="270"/>
        </w:trPr>
        <w:tc>
          <w:tcPr>
            <w:tcW w:w="6100" w:type="dxa"/>
            <w:tcBorders>
              <w:top w:val="nil"/>
              <w:left w:val="single" w:sz="8" w:space="0" w:color="auto"/>
              <w:bottom w:val="nil"/>
              <w:right w:val="single" w:sz="8" w:space="0" w:color="auto"/>
            </w:tcBorders>
            <w:shd w:val="clear" w:color="auto" w:fill="auto"/>
            <w:vAlign w:val="center"/>
            <w:hideMark/>
          </w:tcPr>
          <w:p w14:paraId="588F77B6" w14:textId="77777777" w:rsidR="009C39C3" w:rsidRPr="009C39C3" w:rsidRDefault="009C39C3" w:rsidP="004A7DC5">
            <w:pPr>
              <w:spacing w:after="0" w:line="240" w:lineRule="auto"/>
              <w:ind w:firstLineChars="100" w:firstLine="180"/>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lastRenderedPageBreak/>
              <w:t>Integralização do Capital Social</w:t>
            </w:r>
          </w:p>
        </w:tc>
        <w:tc>
          <w:tcPr>
            <w:tcW w:w="2480" w:type="dxa"/>
            <w:tcBorders>
              <w:top w:val="nil"/>
              <w:left w:val="nil"/>
              <w:bottom w:val="nil"/>
              <w:right w:val="single" w:sz="8" w:space="0" w:color="auto"/>
            </w:tcBorders>
            <w:shd w:val="clear" w:color="auto" w:fill="auto"/>
            <w:vAlign w:val="center"/>
            <w:hideMark/>
          </w:tcPr>
          <w:p w14:paraId="12F0794E"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BOR.C068</w:t>
            </w:r>
          </w:p>
        </w:tc>
        <w:tc>
          <w:tcPr>
            <w:tcW w:w="1820" w:type="dxa"/>
            <w:tcBorders>
              <w:top w:val="nil"/>
              <w:left w:val="nil"/>
              <w:bottom w:val="nil"/>
              <w:right w:val="single" w:sz="8" w:space="0" w:color="auto"/>
            </w:tcBorders>
            <w:shd w:val="clear" w:color="auto" w:fill="auto"/>
            <w:vAlign w:val="center"/>
            <w:hideMark/>
          </w:tcPr>
          <w:p w14:paraId="2E6A664D"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BOR.D068</w:t>
            </w:r>
          </w:p>
        </w:tc>
        <w:tc>
          <w:tcPr>
            <w:tcW w:w="1920" w:type="dxa"/>
            <w:tcBorders>
              <w:top w:val="nil"/>
              <w:left w:val="nil"/>
              <w:bottom w:val="nil"/>
              <w:right w:val="single" w:sz="8" w:space="0" w:color="auto"/>
            </w:tcBorders>
            <w:shd w:val="clear" w:color="auto" w:fill="auto"/>
            <w:vAlign w:val="center"/>
            <w:hideMark/>
          </w:tcPr>
          <w:p w14:paraId="42E35DF5"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BOR.E068</w:t>
            </w:r>
          </w:p>
        </w:tc>
        <w:tc>
          <w:tcPr>
            <w:tcW w:w="1780" w:type="dxa"/>
            <w:tcBorders>
              <w:top w:val="nil"/>
              <w:left w:val="nil"/>
              <w:bottom w:val="nil"/>
              <w:right w:val="single" w:sz="8" w:space="0" w:color="auto"/>
            </w:tcBorders>
            <w:shd w:val="clear" w:color="auto" w:fill="auto"/>
            <w:vAlign w:val="center"/>
            <w:hideMark/>
          </w:tcPr>
          <w:p w14:paraId="27984C82"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BOR.F068</w:t>
            </w:r>
          </w:p>
        </w:tc>
      </w:tr>
      <w:tr w:rsidR="009C39C3" w:rsidRPr="009C39C3" w14:paraId="76DB984A" w14:textId="77777777" w:rsidTr="004A7DC5">
        <w:trPr>
          <w:trHeight w:val="270"/>
        </w:trPr>
        <w:tc>
          <w:tcPr>
            <w:tcW w:w="6100" w:type="dxa"/>
            <w:tcBorders>
              <w:top w:val="nil"/>
              <w:left w:val="single" w:sz="8" w:space="0" w:color="auto"/>
              <w:bottom w:val="nil"/>
              <w:right w:val="single" w:sz="8" w:space="0" w:color="auto"/>
            </w:tcBorders>
            <w:shd w:val="clear" w:color="auto" w:fill="auto"/>
            <w:vAlign w:val="center"/>
          </w:tcPr>
          <w:p w14:paraId="79F9EEED" w14:textId="77777777" w:rsidR="009C39C3" w:rsidRPr="009C39C3" w:rsidRDefault="009C39C3" w:rsidP="004A7DC5">
            <w:pPr>
              <w:spacing w:after="0" w:line="240" w:lineRule="auto"/>
              <w:ind w:firstLineChars="100" w:firstLine="180"/>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Resgate de Títulos do Tesouro</w:t>
            </w:r>
          </w:p>
        </w:tc>
        <w:tc>
          <w:tcPr>
            <w:tcW w:w="2480" w:type="dxa"/>
            <w:tcBorders>
              <w:top w:val="nil"/>
              <w:left w:val="nil"/>
              <w:bottom w:val="nil"/>
              <w:right w:val="single" w:sz="8" w:space="0" w:color="auto"/>
            </w:tcBorders>
            <w:shd w:val="clear" w:color="auto" w:fill="auto"/>
            <w:vAlign w:val="center"/>
          </w:tcPr>
          <w:p w14:paraId="044FF8BB"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BOR.C086</w:t>
            </w:r>
          </w:p>
        </w:tc>
        <w:tc>
          <w:tcPr>
            <w:tcW w:w="1820" w:type="dxa"/>
            <w:tcBorders>
              <w:top w:val="nil"/>
              <w:left w:val="nil"/>
              <w:bottom w:val="nil"/>
              <w:right w:val="single" w:sz="8" w:space="0" w:color="auto"/>
            </w:tcBorders>
            <w:shd w:val="clear" w:color="auto" w:fill="auto"/>
            <w:vAlign w:val="center"/>
          </w:tcPr>
          <w:p w14:paraId="0B05D084"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BOR.D086</w:t>
            </w:r>
          </w:p>
        </w:tc>
        <w:tc>
          <w:tcPr>
            <w:tcW w:w="1920" w:type="dxa"/>
            <w:tcBorders>
              <w:top w:val="nil"/>
              <w:left w:val="nil"/>
              <w:bottom w:val="nil"/>
              <w:right w:val="single" w:sz="8" w:space="0" w:color="auto"/>
            </w:tcBorders>
            <w:shd w:val="clear" w:color="auto" w:fill="auto"/>
            <w:vAlign w:val="center"/>
          </w:tcPr>
          <w:p w14:paraId="791CFC5D"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BOR.E086</w:t>
            </w:r>
          </w:p>
        </w:tc>
        <w:tc>
          <w:tcPr>
            <w:tcW w:w="1780" w:type="dxa"/>
            <w:tcBorders>
              <w:top w:val="nil"/>
              <w:left w:val="nil"/>
              <w:bottom w:val="nil"/>
              <w:right w:val="single" w:sz="8" w:space="0" w:color="auto"/>
            </w:tcBorders>
            <w:shd w:val="clear" w:color="auto" w:fill="auto"/>
            <w:vAlign w:val="center"/>
          </w:tcPr>
          <w:p w14:paraId="680A86A0"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BOR.F086</w:t>
            </w:r>
          </w:p>
        </w:tc>
      </w:tr>
      <w:tr w:rsidR="009C39C3" w:rsidRPr="009C39C3" w14:paraId="40561765" w14:textId="77777777" w:rsidTr="004A7DC5">
        <w:trPr>
          <w:trHeight w:val="270"/>
        </w:trPr>
        <w:tc>
          <w:tcPr>
            <w:tcW w:w="6100" w:type="dxa"/>
            <w:tcBorders>
              <w:top w:val="nil"/>
              <w:left w:val="single" w:sz="8" w:space="0" w:color="auto"/>
              <w:bottom w:val="nil"/>
              <w:right w:val="single" w:sz="8" w:space="0" w:color="auto"/>
            </w:tcBorders>
            <w:shd w:val="clear" w:color="auto" w:fill="auto"/>
            <w:vAlign w:val="center"/>
            <w:hideMark/>
          </w:tcPr>
          <w:p w14:paraId="616E4BDD" w14:textId="77777777" w:rsidR="009C39C3" w:rsidRPr="009C39C3" w:rsidRDefault="009C39C3" w:rsidP="004A7DC5">
            <w:pPr>
              <w:spacing w:after="0" w:line="240" w:lineRule="auto"/>
              <w:ind w:firstLineChars="100" w:firstLine="180"/>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Demais Receitas de Capital</w:t>
            </w:r>
          </w:p>
        </w:tc>
        <w:tc>
          <w:tcPr>
            <w:tcW w:w="2480" w:type="dxa"/>
            <w:tcBorders>
              <w:top w:val="nil"/>
              <w:left w:val="nil"/>
              <w:bottom w:val="nil"/>
              <w:right w:val="single" w:sz="8" w:space="0" w:color="auto"/>
            </w:tcBorders>
            <w:shd w:val="clear" w:color="auto" w:fill="auto"/>
            <w:vAlign w:val="center"/>
            <w:hideMark/>
          </w:tcPr>
          <w:p w14:paraId="5F613639"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BOR.C070</w:t>
            </w:r>
          </w:p>
        </w:tc>
        <w:tc>
          <w:tcPr>
            <w:tcW w:w="1820" w:type="dxa"/>
            <w:tcBorders>
              <w:top w:val="nil"/>
              <w:left w:val="nil"/>
              <w:bottom w:val="nil"/>
              <w:right w:val="single" w:sz="8" w:space="0" w:color="auto"/>
            </w:tcBorders>
            <w:shd w:val="clear" w:color="auto" w:fill="auto"/>
            <w:vAlign w:val="center"/>
            <w:hideMark/>
          </w:tcPr>
          <w:p w14:paraId="2F6A19DA"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BOR.D070</w:t>
            </w:r>
          </w:p>
        </w:tc>
        <w:tc>
          <w:tcPr>
            <w:tcW w:w="1920" w:type="dxa"/>
            <w:tcBorders>
              <w:top w:val="nil"/>
              <w:left w:val="nil"/>
              <w:bottom w:val="nil"/>
              <w:right w:val="single" w:sz="8" w:space="0" w:color="auto"/>
            </w:tcBorders>
            <w:shd w:val="clear" w:color="auto" w:fill="auto"/>
            <w:vAlign w:val="center"/>
            <w:hideMark/>
          </w:tcPr>
          <w:p w14:paraId="146E7E50"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BOR.E070</w:t>
            </w:r>
          </w:p>
        </w:tc>
        <w:tc>
          <w:tcPr>
            <w:tcW w:w="1780" w:type="dxa"/>
            <w:tcBorders>
              <w:top w:val="nil"/>
              <w:left w:val="nil"/>
              <w:bottom w:val="nil"/>
              <w:right w:val="single" w:sz="8" w:space="0" w:color="auto"/>
            </w:tcBorders>
            <w:shd w:val="clear" w:color="auto" w:fill="auto"/>
            <w:vAlign w:val="center"/>
            <w:hideMark/>
          </w:tcPr>
          <w:p w14:paraId="6DF08CCA"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BOR.F070</w:t>
            </w:r>
          </w:p>
        </w:tc>
      </w:tr>
      <w:tr w:rsidR="009C39C3" w:rsidRPr="009C39C3" w14:paraId="4FD45DCB" w14:textId="77777777" w:rsidTr="004A7DC5">
        <w:trPr>
          <w:trHeight w:val="285"/>
        </w:trPr>
        <w:tc>
          <w:tcPr>
            <w:tcW w:w="610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1CC5AD4" w14:textId="77777777" w:rsidR="009C39C3" w:rsidRPr="009C39C3" w:rsidRDefault="009C39C3" w:rsidP="004A7DC5">
            <w:pPr>
              <w:spacing w:after="0" w:line="240" w:lineRule="auto"/>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SUBTOTAL DAS RECEITAS (III) = (I + II)</w:t>
            </w:r>
          </w:p>
        </w:tc>
        <w:tc>
          <w:tcPr>
            <w:tcW w:w="2480" w:type="dxa"/>
            <w:tcBorders>
              <w:top w:val="single" w:sz="8" w:space="0" w:color="auto"/>
              <w:left w:val="nil"/>
              <w:bottom w:val="single" w:sz="8" w:space="0" w:color="auto"/>
              <w:right w:val="single" w:sz="8" w:space="0" w:color="auto"/>
            </w:tcBorders>
            <w:shd w:val="clear" w:color="auto" w:fill="auto"/>
            <w:vAlign w:val="center"/>
            <w:hideMark/>
          </w:tcPr>
          <w:p w14:paraId="57C54863" w14:textId="77777777" w:rsidR="009C39C3" w:rsidRPr="009C39C3" w:rsidRDefault="009C39C3" w:rsidP="004A7DC5">
            <w:pPr>
              <w:spacing w:after="0"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BOR.C072</w:t>
            </w:r>
          </w:p>
        </w:tc>
        <w:tc>
          <w:tcPr>
            <w:tcW w:w="1820" w:type="dxa"/>
            <w:tcBorders>
              <w:top w:val="single" w:sz="8" w:space="0" w:color="auto"/>
              <w:left w:val="nil"/>
              <w:bottom w:val="single" w:sz="8" w:space="0" w:color="auto"/>
              <w:right w:val="single" w:sz="8" w:space="0" w:color="auto"/>
            </w:tcBorders>
            <w:shd w:val="clear" w:color="auto" w:fill="auto"/>
            <w:vAlign w:val="center"/>
            <w:hideMark/>
          </w:tcPr>
          <w:p w14:paraId="4676E1D8" w14:textId="77777777" w:rsidR="009C39C3" w:rsidRPr="009C39C3" w:rsidRDefault="009C39C3" w:rsidP="004A7DC5">
            <w:pPr>
              <w:spacing w:after="0"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BOR.D072</w:t>
            </w:r>
          </w:p>
        </w:tc>
        <w:tc>
          <w:tcPr>
            <w:tcW w:w="1920" w:type="dxa"/>
            <w:tcBorders>
              <w:top w:val="single" w:sz="8" w:space="0" w:color="auto"/>
              <w:left w:val="nil"/>
              <w:bottom w:val="single" w:sz="8" w:space="0" w:color="auto"/>
              <w:right w:val="single" w:sz="8" w:space="0" w:color="auto"/>
            </w:tcBorders>
            <w:shd w:val="clear" w:color="auto" w:fill="auto"/>
            <w:vAlign w:val="center"/>
            <w:hideMark/>
          </w:tcPr>
          <w:p w14:paraId="59C2FA2D" w14:textId="77777777" w:rsidR="009C39C3" w:rsidRPr="009C39C3" w:rsidRDefault="009C39C3" w:rsidP="004A7DC5">
            <w:pPr>
              <w:spacing w:after="0"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BOR.E072</w:t>
            </w:r>
          </w:p>
        </w:tc>
        <w:tc>
          <w:tcPr>
            <w:tcW w:w="1780" w:type="dxa"/>
            <w:tcBorders>
              <w:top w:val="single" w:sz="8" w:space="0" w:color="auto"/>
              <w:left w:val="nil"/>
              <w:bottom w:val="single" w:sz="8" w:space="0" w:color="auto"/>
              <w:right w:val="single" w:sz="8" w:space="0" w:color="auto"/>
            </w:tcBorders>
            <w:shd w:val="clear" w:color="auto" w:fill="auto"/>
            <w:vAlign w:val="center"/>
            <w:hideMark/>
          </w:tcPr>
          <w:p w14:paraId="280480F7" w14:textId="77777777" w:rsidR="009C39C3" w:rsidRPr="009C39C3" w:rsidRDefault="009C39C3" w:rsidP="004A7DC5">
            <w:pPr>
              <w:spacing w:after="0"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BOR.F072</w:t>
            </w:r>
          </w:p>
        </w:tc>
      </w:tr>
      <w:tr w:rsidR="009C39C3" w:rsidRPr="009C39C3" w14:paraId="69AF0C0A" w14:textId="77777777" w:rsidTr="004A7DC5">
        <w:trPr>
          <w:trHeight w:val="270"/>
        </w:trPr>
        <w:tc>
          <w:tcPr>
            <w:tcW w:w="6100" w:type="dxa"/>
            <w:tcBorders>
              <w:top w:val="nil"/>
              <w:left w:val="single" w:sz="8" w:space="0" w:color="auto"/>
              <w:bottom w:val="nil"/>
              <w:right w:val="nil"/>
            </w:tcBorders>
            <w:shd w:val="clear" w:color="auto" w:fill="auto"/>
            <w:vAlign w:val="center"/>
            <w:hideMark/>
          </w:tcPr>
          <w:p w14:paraId="211F1B53" w14:textId="77777777" w:rsidR="009C39C3" w:rsidRPr="009C39C3" w:rsidRDefault="009C39C3" w:rsidP="004A7DC5">
            <w:pPr>
              <w:spacing w:after="0" w:line="240" w:lineRule="auto"/>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OPERAÇÕES DE CRÉDITO / REFINANCIAMENTO (IV)</w:t>
            </w:r>
          </w:p>
        </w:tc>
        <w:tc>
          <w:tcPr>
            <w:tcW w:w="2480" w:type="dxa"/>
            <w:tcBorders>
              <w:top w:val="nil"/>
              <w:left w:val="single" w:sz="8" w:space="0" w:color="auto"/>
              <w:bottom w:val="nil"/>
              <w:right w:val="single" w:sz="8" w:space="0" w:color="auto"/>
            </w:tcBorders>
            <w:shd w:val="clear" w:color="auto" w:fill="auto"/>
            <w:vAlign w:val="center"/>
            <w:hideMark/>
          </w:tcPr>
          <w:p w14:paraId="41680C2E" w14:textId="77777777" w:rsidR="009C39C3" w:rsidRPr="009C39C3" w:rsidRDefault="009C39C3" w:rsidP="004A7DC5">
            <w:pPr>
              <w:spacing w:after="0"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BOR.C073</w:t>
            </w:r>
          </w:p>
        </w:tc>
        <w:tc>
          <w:tcPr>
            <w:tcW w:w="1820" w:type="dxa"/>
            <w:tcBorders>
              <w:top w:val="nil"/>
              <w:left w:val="nil"/>
              <w:bottom w:val="nil"/>
              <w:right w:val="single" w:sz="8" w:space="0" w:color="auto"/>
            </w:tcBorders>
            <w:shd w:val="clear" w:color="auto" w:fill="auto"/>
            <w:vAlign w:val="center"/>
            <w:hideMark/>
          </w:tcPr>
          <w:p w14:paraId="4FA8100F" w14:textId="77777777" w:rsidR="009C39C3" w:rsidRPr="009C39C3" w:rsidRDefault="009C39C3" w:rsidP="004A7DC5">
            <w:pPr>
              <w:spacing w:after="0"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BOR.D073</w:t>
            </w:r>
          </w:p>
        </w:tc>
        <w:tc>
          <w:tcPr>
            <w:tcW w:w="1920" w:type="dxa"/>
            <w:tcBorders>
              <w:top w:val="nil"/>
              <w:left w:val="nil"/>
              <w:bottom w:val="nil"/>
              <w:right w:val="single" w:sz="8" w:space="0" w:color="auto"/>
            </w:tcBorders>
            <w:shd w:val="clear" w:color="auto" w:fill="auto"/>
            <w:vAlign w:val="center"/>
            <w:hideMark/>
          </w:tcPr>
          <w:p w14:paraId="7D7CF6FF" w14:textId="77777777" w:rsidR="009C39C3" w:rsidRPr="009C39C3" w:rsidRDefault="009C39C3" w:rsidP="004A7DC5">
            <w:pPr>
              <w:spacing w:after="0"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BOR.E073</w:t>
            </w:r>
          </w:p>
        </w:tc>
        <w:tc>
          <w:tcPr>
            <w:tcW w:w="1780" w:type="dxa"/>
            <w:tcBorders>
              <w:top w:val="nil"/>
              <w:left w:val="nil"/>
              <w:bottom w:val="nil"/>
              <w:right w:val="single" w:sz="8" w:space="0" w:color="auto"/>
            </w:tcBorders>
            <w:shd w:val="clear" w:color="auto" w:fill="auto"/>
            <w:vAlign w:val="center"/>
            <w:hideMark/>
          </w:tcPr>
          <w:p w14:paraId="3E1C95E3" w14:textId="77777777" w:rsidR="009C39C3" w:rsidRPr="009C39C3" w:rsidRDefault="009C39C3" w:rsidP="004A7DC5">
            <w:pPr>
              <w:spacing w:after="0"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BOR.F073</w:t>
            </w:r>
          </w:p>
        </w:tc>
      </w:tr>
      <w:tr w:rsidR="009C39C3" w:rsidRPr="009C39C3" w14:paraId="37F34153" w14:textId="77777777" w:rsidTr="004A7DC5">
        <w:trPr>
          <w:trHeight w:val="270"/>
        </w:trPr>
        <w:tc>
          <w:tcPr>
            <w:tcW w:w="6100" w:type="dxa"/>
            <w:tcBorders>
              <w:top w:val="nil"/>
              <w:left w:val="single" w:sz="8" w:space="0" w:color="auto"/>
              <w:bottom w:val="nil"/>
              <w:right w:val="nil"/>
            </w:tcBorders>
            <w:shd w:val="clear" w:color="auto" w:fill="auto"/>
            <w:vAlign w:val="center"/>
            <w:hideMark/>
          </w:tcPr>
          <w:p w14:paraId="7B6DCF05" w14:textId="77777777" w:rsidR="009C39C3" w:rsidRPr="009C39C3" w:rsidRDefault="009C39C3" w:rsidP="004A7DC5">
            <w:pPr>
              <w:spacing w:after="0" w:line="240" w:lineRule="auto"/>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Operações de Crédito Internas</w:t>
            </w:r>
          </w:p>
        </w:tc>
        <w:tc>
          <w:tcPr>
            <w:tcW w:w="2480" w:type="dxa"/>
            <w:tcBorders>
              <w:top w:val="nil"/>
              <w:left w:val="single" w:sz="8" w:space="0" w:color="auto"/>
              <w:bottom w:val="nil"/>
              <w:right w:val="single" w:sz="8" w:space="0" w:color="auto"/>
            </w:tcBorders>
            <w:shd w:val="clear" w:color="auto" w:fill="auto"/>
            <w:vAlign w:val="center"/>
            <w:hideMark/>
          </w:tcPr>
          <w:p w14:paraId="3EABE887" w14:textId="77777777" w:rsidR="009C39C3" w:rsidRPr="009C39C3" w:rsidRDefault="009C39C3" w:rsidP="004A7DC5">
            <w:pPr>
              <w:spacing w:after="0"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BOR.C074</w:t>
            </w:r>
          </w:p>
        </w:tc>
        <w:tc>
          <w:tcPr>
            <w:tcW w:w="1820" w:type="dxa"/>
            <w:tcBorders>
              <w:top w:val="nil"/>
              <w:left w:val="nil"/>
              <w:bottom w:val="nil"/>
              <w:right w:val="single" w:sz="8" w:space="0" w:color="auto"/>
            </w:tcBorders>
            <w:shd w:val="clear" w:color="auto" w:fill="auto"/>
            <w:vAlign w:val="center"/>
            <w:hideMark/>
          </w:tcPr>
          <w:p w14:paraId="64046AAB" w14:textId="77777777" w:rsidR="009C39C3" w:rsidRPr="009C39C3" w:rsidRDefault="009C39C3" w:rsidP="004A7DC5">
            <w:pPr>
              <w:spacing w:after="0"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BOR.D074</w:t>
            </w:r>
          </w:p>
        </w:tc>
        <w:tc>
          <w:tcPr>
            <w:tcW w:w="1920" w:type="dxa"/>
            <w:tcBorders>
              <w:top w:val="nil"/>
              <w:left w:val="nil"/>
              <w:bottom w:val="nil"/>
              <w:right w:val="single" w:sz="8" w:space="0" w:color="auto"/>
            </w:tcBorders>
            <w:shd w:val="clear" w:color="auto" w:fill="auto"/>
            <w:vAlign w:val="center"/>
            <w:hideMark/>
          </w:tcPr>
          <w:p w14:paraId="187D03FB" w14:textId="77777777" w:rsidR="009C39C3" w:rsidRPr="009C39C3" w:rsidRDefault="009C39C3" w:rsidP="004A7DC5">
            <w:pPr>
              <w:spacing w:after="0"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BOR.E074</w:t>
            </w:r>
          </w:p>
        </w:tc>
        <w:tc>
          <w:tcPr>
            <w:tcW w:w="1780" w:type="dxa"/>
            <w:tcBorders>
              <w:top w:val="nil"/>
              <w:left w:val="nil"/>
              <w:bottom w:val="nil"/>
              <w:right w:val="single" w:sz="8" w:space="0" w:color="auto"/>
            </w:tcBorders>
            <w:shd w:val="clear" w:color="auto" w:fill="auto"/>
            <w:vAlign w:val="center"/>
            <w:hideMark/>
          </w:tcPr>
          <w:p w14:paraId="0F0E7034" w14:textId="77777777" w:rsidR="009C39C3" w:rsidRPr="009C39C3" w:rsidRDefault="009C39C3" w:rsidP="004A7DC5">
            <w:pPr>
              <w:spacing w:after="0"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BOR.F074</w:t>
            </w:r>
          </w:p>
        </w:tc>
      </w:tr>
      <w:tr w:rsidR="009C39C3" w:rsidRPr="009C39C3" w14:paraId="5A96D694" w14:textId="77777777" w:rsidTr="004A7DC5">
        <w:trPr>
          <w:trHeight w:val="270"/>
        </w:trPr>
        <w:tc>
          <w:tcPr>
            <w:tcW w:w="6100" w:type="dxa"/>
            <w:tcBorders>
              <w:top w:val="nil"/>
              <w:left w:val="single" w:sz="8" w:space="0" w:color="auto"/>
              <w:bottom w:val="nil"/>
              <w:right w:val="nil"/>
            </w:tcBorders>
            <w:shd w:val="clear" w:color="auto" w:fill="auto"/>
            <w:vAlign w:val="center"/>
            <w:hideMark/>
          </w:tcPr>
          <w:p w14:paraId="0A1DDD1B" w14:textId="77777777" w:rsidR="009C39C3" w:rsidRPr="009C39C3" w:rsidRDefault="009C39C3" w:rsidP="004A7DC5">
            <w:pPr>
              <w:spacing w:after="0" w:line="240" w:lineRule="auto"/>
              <w:ind w:firstLineChars="100" w:firstLine="180"/>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Mobiliária</w:t>
            </w:r>
          </w:p>
        </w:tc>
        <w:tc>
          <w:tcPr>
            <w:tcW w:w="2480" w:type="dxa"/>
            <w:tcBorders>
              <w:top w:val="nil"/>
              <w:left w:val="single" w:sz="8" w:space="0" w:color="auto"/>
              <w:bottom w:val="nil"/>
              <w:right w:val="single" w:sz="8" w:space="0" w:color="auto"/>
            </w:tcBorders>
            <w:shd w:val="clear" w:color="auto" w:fill="auto"/>
            <w:vAlign w:val="center"/>
            <w:hideMark/>
          </w:tcPr>
          <w:p w14:paraId="36B80104"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BOR.C075</w:t>
            </w:r>
          </w:p>
        </w:tc>
        <w:tc>
          <w:tcPr>
            <w:tcW w:w="1820" w:type="dxa"/>
            <w:tcBorders>
              <w:top w:val="nil"/>
              <w:left w:val="nil"/>
              <w:bottom w:val="nil"/>
              <w:right w:val="single" w:sz="8" w:space="0" w:color="auto"/>
            </w:tcBorders>
            <w:shd w:val="clear" w:color="auto" w:fill="auto"/>
            <w:vAlign w:val="center"/>
            <w:hideMark/>
          </w:tcPr>
          <w:p w14:paraId="4C0BD6BC"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BOR.D075</w:t>
            </w:r>
          </w:p>
        </w:tc>
        <w:tc>
          <w:tcPr>
            <w:tcW w:w="1920" w:type="dxa"/>
            <w:tcBorders>
              <w:top w:val="nil"/>
              <w:left w:val="nil"/>
              <w:bottom w:val="nil"/>
              <w:right w:val="single" w:sz="8" w:space="0" w:color="auto"/>
            </w:tcBorders>
            <w:shd w:val="clear" w:color="auto" w:fill="auto"/>
            <w:vAlign w:val="center"/>
            <w:hideMark/>
          </w:tcPr>
          <w:p w14:paraId="7D39D3CB"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BOR.E075</w:t>
            </w:r>
          </w:p>
        </w:tc>
        <w:tc>
          <w:tcPr>
            <w:tcW w:w="1780" w:type="dxa"/>
            <w:tcBorders>
              <w:top w:val="nil"/>
              <w:left w:val="nil"/>
              <w:bottom w:val="nil"/>
              <w:right w:val="single" w:sz="8" w:space="0" w:color="auto"/>
            </w:tcBorders>
            <w:shd w:val="clear" w:color="auto" w:fill="auto"/>
            <w:vAlign w:val="center"/>
            <w:hideMark/>
          </w:tcPr>
          <w:p w14:paraId="2E7F095C"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BOR.F075</w:t>
            </w:r>
          </w:p>
        </w:tc>
      </w:tr>
      <w:tr w:rsidR="009C39C3" w:rsidRPr="009C39C3" w14:paraId="38F40256" w14:textId="77777777" w:rsidTr="004A7DC5">
        <w:trPr>
          <w:trHeight w:val="270"/>
        </w:trPr>
        <w:tc>
          <w:tcPr>
            <w:tcW w:w="6100" w:type="dxa"/>
            <w:tcBorders>
              <w:top w:val="nil"/>
              <w:left w:val="single" w:sz="8" w:space="0" w:color="auto"/>
              <w:bottom w:val="nil"/>
              <w:right w:val="nil"/>
            </w:tcBorders>
            <w:shd w:val="clear" w:color="auto" w:fill="auto"/>
            <w:vAlign w:val="center"/>
            <w:hideMark/>
          </w:tcPr>
          <w:p w14:paraId="67B2C288" w14:textId="77777777" w:rsidR="009C39C3" w:rsidRPr="009C39C3" w:rsidRDefault="009C39C3" w:rsidP="004A7DC5">
            <w:pPr>
              <w:spacing w:after="0" w:line="240" w:lineRule="auto"/>
              <w:ind w:firstLineChars="100" w:firstLine="180"/>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Contratual</w:t>
            </w:r>
          </w:p>
        </w:tc>
        <w:tc>
          <w:tcPr>
            <w:tcW w:w="2480" w:type="dxa"/>
            <w:tcBorders>
              <w:top w:val="nil"/>
              <w:left w:val="single" w:sz="8" w:space="0" w:color="auto"/>
              <w:bottom w:val="nil"/>
              <w:right w:val="single" w:sz="8" w:space="0" w:color="auto"/>
            </w:tcBorders>
            <w:shd w:val="clear" w:color="auto" w:fill="auto"/>
            <w:vAlign w:val="center"/>
            <w:hideMark/>
          </w:tcPr>
          <w:p w14:paraId="4FDDC248"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BOR.C076</w:t>
            </w:r>
          </w:p>
        </w:tc>
        <w:tc>
          <w:tcPr>
            <w:tcW w:w="1820" w:type="dxa"/>
            <w:tcBorders>
              <w:top w:val="nil"/>
              <w:left w:val="nil"/>
              <w:bottom w:val="nil"/>
              <w:right w:val="single" w:sz="8" w:space="0" w:color="auto"/>
            </w:tcBorders>
            <w:shd w:val="clear" w:color="auto" w:fill="auto"/>
            <w:vAlign w:val="center"/>
            <w:hideMark/>
          </w:tcPr>
          <w:p w14:paraId="09732D0F"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BOR.D076</w:t>
            </w:r>
          </w:p>
        </w:tc>
        <w:tc>
          <w:tcPr>
            <w:tcW w:w="1920" w:type="dxa"/>
            <w:tcBorders>
              <w:top w:val="nil"/>
              <w:left w:val="nil"/>
              <w:bottom w:val="nil"/>
              <w:right w:val="single" w:sz="8" w:space="0" w:color="auto"/>
            </w:tcBorders>
            <w:shd w:val="clear" w:color="auto" w:fill="auto"/>
            <w:vAlign w:val="center"/>
            <w:hideMark/>
          </w:tcPr>
          <w:p w14:paraId="22945751"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BOR.E076</w:t>
            </w:r>
          </w:p>
        </w:tc>
        <w:tc>
          <w:tcPr>
            <w:tcW w:w="1780" w:type="dxa"/>
            <w:tcBorders>
              <w:top w:val="nil"/>
              <w:left w:val="nil"/>
              <w:bottom w:val="nil"/>
              <w:right w:val="single" w:sz="8" w:space="0" w:color="auto"/>
            </w:tcBorders>
            <w:shd w:val="clear" w:color="auto" w:fill="auto"/>
            <w:vAlign w:val="center"/>
            <w:hideMark/>
          </w:tcPr>
          <w:p w14:paraId="2FE6811D"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BOR.F076</w:t>
            </w:r>
          </w:p>
        </w:tc>
      </w:tr>
      <w:tr w:rsidR="009C39C3" w:rsidRPr="009C39C3" w14:paraId="5CEBEDBE" w14:textId="77777777" w:rsidTr="004A7DC5">
        <w:trPr>
          <w:trHeight w:val="270"/>
        </w:trPr>
        <w:tc>
          <w:tcPr>
            <w:tcW w:w="6100" w:type="dxa"/>
            <w:tcBorders>
              <w:top w:val="nil"/>
              <w:left w:val="single" w:sz="8" w:space="0" w:color="auto"/>
              <w:bottom w:val="nil"/>
              <w:right w:val="nil"/>
            </w:tcBorders>
            <w:shd w:val="clear" w:color="auto" w:fill="auto"/>
            <w:vAlign w:val="center"/>
            <w:hideMark/>
          </w:tcPr>
          <w:p w14:paraId="040A7E0E" w14:textId="77777777" w:rsidR="009C39C3" w:rsidRPr="009C39C3" w:rsidRDefault="009C39C3" w:rsidP="004A7DC5">
            <w:pPr>
              <w:spacing w:after="0" w:line="240" w:lineRule="auto"/>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Operações de Crédito Externas</w:t>
            </w:r>
          </w:p>
        </w:tc>
        <w:tc>
          <w:tcPr>
            <w:tcW w:w="2480" w:type="dxa"/>
            <w:tcBorders>
              <w:top w:val="nil"/>
              <w:left w:val="single" w:sz="8" w:space="0" w:color="auto"/>
              <w:bottom w:val="nil"/>
              <w:right w:val="single" w:sz="8" w:space="0" w:color="auto"/>
            </w:tcBorders>
            <w:shd w:val="clear" w:color="auto" w:fill="auto"/>
            <w:vAlign w:val="center"/>
            <w:hideMark/>
          </w:tcPr>
          <w:p w14:paraId="21928647" w14:textId="77777777" w:rsidR="009C39C3" w:rsidRPr="009C39C3" w:rsidRDefault="009C39C3" w:rsidP="004A7DC5">
            <w:pPr>
              <w:spacing w:after="0"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BOR.C077</w:t>
            </w:r>
          </w:p>
        </w:tc>
        <w:tc>
          <w:tcPr>
            <w:tcW w:w="1820" w:type="dxa"/>
            <w:tcBorders>
              <w:top w:val="nil"/>
              <w:left w:val="nil"/>
              <w:bottom w:val="nil"/>
              <w:right w:val="single" w:sz="8" w:space="0" w:color="auto"/>
            </w:tcBorders>
            <w:shd w:val="clear" w:color="auto" w:fill="auto"/>
            <w:vAlign w:val="center"/>
            <w:hideMark/>
          </w:tcPr>
          <w:p w14:paraId="0D360532" w14:textId="77777777" w:rsidR="009C39C3" w:rsidRPr="009C39C3" w:rsidRDefault="009C39C3" w:rsidP="004A7DC5">
            <w:pPr>
              <w:spacing w:after="0"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BOR.D077</w:t>
            </w:r>
          </w:p>
        </w:tc>
        <w:tc>
          <w:tcPr>
            <w:tcW w:w="1920" w:type="dxa"/>
            <w:tcBorders>
              <w:top w:val="nil"/>
              <w:left w:val="nil"/>
              <w:bottom w:val="nil"/>
              <w:right w:val="single" w:sz="8" w:space="0" w:color="auto"/>
            </w:tcBorders>
            <w:shd w:val="clear" w:color="auto" w:fill="auto"/>
            <w:vAlign w:val="center"/>
            <w:hideMark/>
          </w:tcPr>
          <w:p w14:paraId="6C7219DD" w14:textId="77777777" w:rsidR="009C39C3" w:rsidRPr="009C39C3" w:rsidRDefault="009C39C3" w:rsidP="004A7DC5">
            <w:pPr>
              <w:spacing w:after="0"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BOR.E077</w:t>
            </w:r>
          </w:p>
        </w:tc>
        <w:tc>
          <w:tcPr>
            <w:tcW w:w="1780" w:type="dxa"/>
            <w:tcBorders>
              <w:top w:val="nil"/>
              <w:left w:val="nil"/>
              <w:bottom w:val="nil"/>
              <w:right w:val="single" w:sz="8" w:space="0" w:color="auto"/>
            </w:tcBorders>
            <w:shd w:val="clear" w:color="auto" w:fill="auto"/>
            <w:vAlign w:val="center"/>
            <w:hideMark/>
          </w:tcPr>
          <w:p w14:paraId="70573728" w14:textId="77777777" w:rsidR="009C39C3" w:rsidRPr="009C39C3" w:rsidRDefault="009C39C3" w:rsidP="004A7DC5">
            <w:pPr>
              <w:spacing w:after="0"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BOR.F077</w:t>
            </w:r>
          </w:p>
        </w:tc>
      </w:tr>
      <w:tr w:rsidR="009C39C3" w:rsidRPr="009C39C3" w14:paraId="63E155CC" w14:textId="77777777" w:rsidTr="004A7DC5">
        <w:trPr>
          <w:trHeight w:val="270"/>
        </w:trPr>
        <w:tc>
          <w:tcPr>
            <w:tcW w:w="6100" w:type="dxa"/>
            <w:tcBorders>
              <w:top w:val="nil"/>
              <w:left w:val="single" w:sz="8" w:space="0" w:color="auto"/>
              <w:bottom w:val="nil"/>
              <w:right w:val="nil"/>
            </w:tcBorders>
            <w:shd w:val="clear" w:color="auto" w:fill="auto"/>
            <w:vAlign w:val="center"/>
            <w:hideMark/>
          </w:tcPr>
          <w:p w14:paraId="620C87BC" w14:textId="77777777" w:rsidR="009C39C3" w:rsidRPr="009C39C3" w:rsidRDefault="009C39C3" w:rsidP="004A7DC5">
            <w:pPr>
              <w:spacing w:after="0" w:line="240" w:lineRule="auto"/>
              <w:ind w:firstLineChars="100" w:firstLine="180"/>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Mobiliária</w:t>
            </w:r>
          </w:p>
        </w:tc>
        <w:tc>
          <w:tcPr>
            <w:tcW w:w="2480" w:type="dxa"/>
            <w:tcBorders>
              <w:top w:val="nil"/>
              <w:left w:val="single" w:sz="8" w:space="0" w:color="auto"/>
              <w:bottom w:val="nil"/>
              <w:right w:val="single" w:sz="8" w:space="0" w:color="auto"/>
            </w:tcBorders>
            <w:shd w:val="clear" w:color="auto" w:fill="auto"/>
            <w:vAlign w:val="center"/>
            <w:hideMark/>
          </w:tcPr>
          <w:p w14:paraId="15C01EDA"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BOR.C078</w:t>
            </w:r>
          </w:p>
        </w:tc>
        <w:tc>
          <w:tcPr>
            <w:tcW w:w="1820" w:type="dxa"/>
            <w:tcBorders>
              <w:top w:val="nil"/>
              <w:left w:val="nil"/>
              <w:bottom w:val="nil"/>
              <w:right w:val="single" w:sz="8" w:space="0" w:color="auto"/>
            </w:tcBorders>
            <w:shd w:val="clear" w:color="auto" w:fill="auto"/>
            <w:vAlign w:val="center"/>
            <w:hideMark/>
          </w:tcPr>
          <w:p w14:paraId="066C45B9"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BOR.D078</w:t>
            </w:r>
          </w:p>
        </w:tc>
        <w:tc>
          <w:tcPr>
            <w:tcW w:w="1920" w:type="dxa"/>
            <w:tcBorders>
              <w:top w:val="nil"/>
              <w:left w:val="nil"/>
              <w:bottom w:val="nil"/>
              <w:right w:val="single" w:sz="8" w:space="0" w:color="auto"/>
            </w:tcBorders>
            <w:shd w:val="clear" w:color="auto" w:fill="auto"/>
            <w:vAlign w:val="center"/>
            <w:hideMark/>
          </w:tcPr>
          <w:p w14:paraId="02BB8A5A"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BOR.E078</w:t>
            </w:r>
          </w:p>
        </w:tc>
        <w:tc>
          <w:tcPr>
            <w:tcW w:w="1780" w:type="dxa"/>
            <w:tcBorders>
              <w:top w:val="nil"/>
              <w:left w:val="nil"/>
              <w:bottom w:val="nil"/>
              <w:right w:val="single" w:sz="8" w:space="0" w:color="auto"/>
            </w:tcBorders>
            <w:shd w:val="clear" w:color="auto" w:fill="auto"/>
            <w:vAlign w:val="center"/>
            <w:hideMark/>
          </w:tcPr>
          <w:p w14:paraId="6FB73E63"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BOR.F078</w:t>
            </w:r>
          </w:p>
        </w:tc>
      </w:tr>
      <w:tr w:rsidR="009C39C3" w:rsidRPr="009C39C3" w14:paraId="6B33AA7F" w14:textId="77777777" w:rsidTr="004A7DC5">
        <w:trPr>
          <w:trHeight w:val="285"/>
        </w:trPr>
        <w:tc>
          <w:tcPr>
            <w:tcW w:w="6100" w:type="dxa"/>
            <w:tcBorders>
              <w:top w:val="nil"/>
              <w:left w:val="single" w:sz="8" w:space="0" w:color="auto"/>
              <w:bottom w:val="nil"/>
              <w:right w:val="nil"/>
            </w:tcBorders>
            <w:shd w:val="clear" w:color="auto" w:fill="auto"/>
            <w:vAlign w:val="center"/>
            <w:hideMark/>
          </w:tcPr>
          <w:p w14:paraId="56A5715D" w14:textId="77777777" w:rsidR="009C39C3" w:rsidRPr="009C39C3" w:rsidRDefault="009C39C3" w:rsidP="004A7DC5">
            <w:pPr>
              <w:spacing w:after="0" w:line="240" w:lineRule="auto"/>
              <w:ind w:firstLineChars="100" w:firstLine="180"/>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Contratual</w:t>
            </w:r>
          </w:p>
        </w:tc>
        <w:tc>
          <w:tcPr>
            <w:tcW w:w="2480" w:type="dxa"/>
            <w:tcBorders>
              <w:top w:val="nil"/>
              <w:left w:val="single" w:sz="8" w:space="0" w:color="auto"/>
              <w:bottom w:val="nil"/>
              <w:right w:val="single" w:sz="8" w:space="0" w:color="auto"/>
            </w:tcBorders>
            <w:shd w:val="clear" w:color="auto" w:fill="auto"/>
            <w:vAlign w:val="center"/>
            <w:hideMark/>
          </w:tcPr>
          <w:p w14:paraId="23FAD919"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BOR.C079</w:t>
            </w:r>
          </w:p>
        </w:tc>
        <w:tc>
          <w:tcPr>
            <w:tcW w:w="1820" w:type="dxa"/>
            <w:tcBorders>
              <w:top w:val="nil"/>
              <w:left w:val="nil"/>
              <w:bottom w:val="nil"/>
              <w:right w:val="single" w:sz="8" w:space="0" w:color="auto"/>
            </w:tcBorders>
            <w:shd w:val="clear" w:color="auto" w:fill="auto"/>
            <w:vAlign w:val="center"/>
            <w:hideMark/>
          </w:tcPr>
          <w:p w14:paraId="69676587"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BOR.D079</w:t>
            </w:r>
          </w:p>
        </w:tc>
        <w:tc>
          <w:tcPr>
            <w:tcW w:w="1920" w:type="dxa"/>
            <w:tcBorders>
              <w:top w:val="nil"/>
              <w:left w:val="nil"/>
              <w:bottom w:val="nil"/>
              <w:right w:val="single" w:sz="8" w:space="0" w:color="auto"/>
            </w:tcBorders>
            <w:shd w:val="clear" w:color="auto" w:fill="auto"/>
            <w:vAlign w:val="center"/>
            <w:hideMark/>
          </w:tcPr>
          <w:p w14:paraId="3EAED6E4"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BOR.E079</w:t>
            </w:r>
          </w:p>
        </w:tc>
        <w:tc>
          <w:tcPr>
            <w:tcW w:w="1780" w:type="dxa"/>
            <w:tcBorders>
              <w:top w:val="nil"/>
              <w:left w:val="nil"/>
              <w:bottom w:val="nil"/>
              <w:right w:val="single" w:sz="8" w:space="0" w:color="auto"/>
            </w:tcBorders>
            <w:shd w:val="clear" w:color="auto" w:fill="auto"/>
            <w:vAlign w:val="center"/>
            <w:hideMark/>
          </w:tcPr>
          <w:p w14:paraId="5476C36A"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BOR.F079</w:t>
            </w:r>
          </w:p>
        </w:tc>
      </w:tr>
      <w:tr w:rsidR="009C39C3" w:rsidRPr="009C39C3" w14:paraId="1B7E8309" w14:textId="77777777" w:rsidTr="004A7DC5">
        <w:trPr>
          <w:trHeight w:val="285"/>
        </w:trPr>
        <w:tc>
          <w:tcPr>
            <w:tcW w:w="610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820C70B" w14:textId="77777777" w:rsidR="009C39C3" w:rsidRPr="009C39C3" w:rsidRDefault="009C39C3" w:rsidP="004A7DC5">
            <w:pPr>
              <w:spacing w:after="0" w:line="240" w:lineRule="auto"/>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SUBTOTAL COM REFINANCIAMENTO (V) = (III + IV)</w:t>
            </w:r>
          </w:p>
        </w:tc>
        <w:tc>
          <w:tcPr>
            <w:tcW w:w="2480" w:type="dxa"/>
            <w:tcBorders>
              <w:top w:val="single" w:sz="8" w:space="0" w:color="auto"/>
              <w:left w:val="nil"/>
              <w:bottom w:val="nil"/>
              <w:right w:val="single" w:sz="8" w:space="0" w:color="auto"/>
            </w:tcBorders>
            <w:shd w:val="clear" w:color="auto" w:fill="auto"/>
            <w:vAlign w:val="center"/>
            <w:hideMark/>
          </w:tcPr>
          <w:p w14:paraId="5C80C30B" w14:textId="77777777" w:rsidR="009C39C3" w:rsidRPr="009C39C3" w:rsidRDefault="009C39C3" w:rsidP="004A7DC5">
            <w:pPr>
              <w:spacing w:after="0"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BOR.C080</w:t>
            </w:r>
          </w:p>
        </w:tc>
        <w:tc>
          <w:tcPr>
            <w:tcW w:w="1820" w:type="dxa"/>
            <w:tcBorders>
              <w:top w:val="single" w:sz="8" w:space="0" w:color="auto"/>
              <w:left w:val="nil"/>
              <w:bottom w:val="nil"/>
              <w:right w:val="single" w:sz="8" w:space="0" w:color="auto"/>
            </w:tcBorders>
            <w:shd w:val="clear" w:color="auto" w:fill="auto"/>
            <w:vAlign w:val="center"/>
            <w:hideMark/>
          </w:tcPr>
          <w:p w14:paraId="52C752DD" w14:textId="77777777" w:rsidR="009C39C3" w:rsidRPr="009C39C3" w:rsidRDefault="009C39C3" w:rsidP="004A7DC5">
            <w:pPr>
              <w:spacing w:after="0"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BOR.D080</w:t>
            </w:r>
          </w:p>
        </w:tc>
        <w:tc>
          <w:tcPr>
            <w:tcW w:w="1920" w:type="dxa"/>
            <w:tcBorders>
              <w:top w:val="single" w:sz="8" w:space="0" w:color="auto"/>
              <w:left w:val="nil"/>
              <w:bottom w:val="nil"/>
              <w:right w:val="single" w:sz="8" w:space="0" w:color="auto"/>
            </w:tcBorders>
            <w:shd w:val="clear" w:color="auto" w:fill="auto"/>
            <w:vAlign w:val="center"/>
            <w:hideMark/>
          </w:tcPr>
          <w:p w14:paraId="43C2C845" w14:textId="77777777" w:rsidR="009C39C3" w:rsidRPr="009C39C3" w:rsidRDefault="009C39C3" w:rsidP="004A7DC5">
            <w:pPr>
              <w:spacing w:after="0"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BOR.E080</w:t>
            </w:r>
          </w:p>
        </w:tc>
        <w:tc>
          <w:tcPr>
            <w:tcW w:w="1780" w:type="dxa"/>
            <w:tcBorders>
              <w:top w:val="single" w:sz="8" w:space="0" w:color="auto"/>
              <w:left w:val="nil"/>
              <w:bottom w:val="single" w:sz="8" w:space="0" w:color="auto"/>
              <w:right w:val="single" w:sz="8" w:space="0" w:color="auto"/>
            </w:tcBorders>
            <w:shd w:val="clear" w:color="auto" w:fill="auto"/>
            <w:vAlign w:val="center"/>
            <w:hideMark/>
          </w:tcPr>
          <w:p w14:paraId="2289CCB2" w14:textId="77777777" w:rsidR="009C39C3" w:rsidRPr="009C39C3" w:rsidRDefault="009C39C3" w:rsidP="004A7DC5">
            <w:pPr>
              <w:spacing w:after="0"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BOR.F080</w:t>
            </w:r>
          </w:p>
        </w:tc>
      </w:tr>
      <w:tr w:rsidR="009C39C3" w:rsidRPr="009C39C3" w14:paraId="0A3375FA" w14:textId="77777777" w:rsidTr="009C39C3">
        <w:trPr>
          <w:trHeight w:val="285"/>
        </w:trPr>
        <w:tc>
          <w:tcPr>
            <w:tcW w:w="6100" w:type="dxa"/>
            <w:tcBorders>
              <w:top w:val="nil"/>
              <w:left w:val="single" w:sz="8" w:space="0" w:color="auto"/>
              <w:bottom w:val="single" w:sz="8" w:space="0" w:color="auto"/>
              <w:right w:val="single" w:sz="8" w:space="0" w:color="auto"/>
            </w:tcBorders>
            <w:shd w:val="clear" w:color="auto" w:fill="auto"/>
            <w:vAlign w:val="center"/>
            <w:hideMark/>
          </w:tcPr>
          <w:p w14:paraId="5F75B6DA" w14:textId="77777777" w:rsidR="009C39C3" w:rsidRPr="009C39C3" w:rsidRDefault="009C39C3" w:rsidP="004A7DC5">
            <w:pPr>
              <w:spacing w:after="0" w:line="240" w:lineRule="auto"/>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DÉFICIT (VI)</w:t>
            </w:r>
          </w:p>
        </w:tc>
        <w:tc>
          <w:tcPr>
            <w:tcW w:w="2480" w:type="dxa"/>
            <w:tcBorders>
              <w:top w:val="single" w:sz="8" w:space="0" w:color="auto"/>
              <w:left w:val="nil"/>
              <w:bottom w:val="single" w:sz="8" w:space="0" w:color="auto"/>
              <w:right w:val="single" w:sz="8" w:space="0" w:color="auto"/>
            </w:tcBorders>
            <w:shd w:val="clear" w:color="auto" w:fill="808080" w:themeFill="background1" w:themeFillShade="80"/>
            <w:vAlign w:val="center"/>
            <w:hideMark/>
          </w:tcPr>
          <w:p w14:paraId="41F4A715" w14:textId="77777777" w:rsidR="009C39C3" w:rsidRPr="009C39C3" w:rsidRDefault="009C39C3" w:rsidP="004A7DC5">
            <w:pPr>
              <w:spacing w:after="0" w:line="240" w:lineRule="auto"/>
              <w:jc w:val="center"/>
              <w:rPr>
                <w:rFonts w:ascii="Arial Narrow" w:eastAsia="Times New Roman" w:hAnsi="Arial Narrow" w:cs="Arial"/>
                <w:b/>
                <w:bCs/>
                <w:strike/>
                <w:sz w:val="18"/>
                <w:szCs w:val="18"/>
                <w:lang w:eastAsia="pt-BR"/>
              </w:rPr>
            </w:pPr>
          </w:p>
        </w:tc>
        <w:tc>
          <w:tcPr>
            <w:tcW w:w="1820" w:type="dxa"/>
            <w:tcBorders>
              <w:top w:val="single" w:sz="8" w:space="0" w:color="auto"/>
              <w:left w:val="nil"/>
              <w:bottom w:val="single" w:sz="8" w:space="0" w:color="auto"/>
              <w:right w:val="single" w:sz="8" w:space="0" w:color="auto"/>
            </w:tcBorders>
            <w:shd w:val="clear" w:color="auto" w:fill="808080" w:themeFill="background1" w:themeFillShade="80"/>
            <w:vAlign w:val="center"/>
            <w:hideMark/>
          </w:tcPr>
          <w:p w14:paraId="61BA9AF5" w14:textId="77777777" w:rsidR="009C39C3" w:rsidRPr="009C39C3" w:rsidRDefault="009C39C3" w:rsidP="004A7DC5">
            <w:pPr>
              <w:spacing w:after="0" w:line="240" w:lineRule="auto"/>
              <w:jc w:val="center"/>
              <w:rPr>
                <w:rFonts w:ascii="Arial Narrow" w:eastAsia="Times New Roman" w:hAnsi="Arial Narrow" w:cs="Arial"/>
                <w:b/>
                <w:bCs/>
                <w:strike/>
                <w:sz w:val="18"/>
                <w:szCs w:val="18"/>
                <w:lang w:eastAsia="pt-BR"/>
              </w:rPr>
            </w:pPr>
          </w:p>
        </w:tc>
        <w:tc>
          <w:tcPr>
            <w:tcW w:w="1920" w:type="dxa"/>
            <w:tcBorders>
              <w:top w:val="single" w:sz="8" w:space="0" w:color="auto"/>
              <w:left w:val="nil"/>
              <w:bottom w:val="single" w:sz="8" w:space="0" w:color="auto"/>
              <w:right w:val="single" w:sz="8" w:space="0" w:color="auto"/>
            </w:tcBorders>
            <w:shd w:val="clear" w:color="auto" w:fill="auto"/>
            <w:vAlign w:val="center"/>
            <w:hideMark/>
          </w:tcPr>
          <w:p w14:paraId="4ED78A09" w14:textId="77777777" w:rsidR="009C39C3" w:rsidRPr="009C39C3" w:rsidRDefault="009C39C3" w:rsidP="004A7DC5">
            <w:pPr>
              <w:spacing w:after="0"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BOR.E081</w:t>
            </w:r>
          </w:p>
        </w:tc>
        <w:tc>
          <w:tcPr>
            <w:tcW w:w="1780" w:type="dxa"/>
            <w:tcBorders>
              <w:top w:val="nil"/>
              <w:left w:val="nil"/>
              <w:bottom w:val="single" w:sz="8" w:space="0" w:color="auto"/>
              <w:right w:val="single" w:sz="8" w:space="0" w:color="auto"/>
            </w:tcBorders>
            <w:shd w:val="clear" w:color="000000" w:fill="808080"/>
            <w:vAlign w:val="center"/>
            <w:hideMark/>
          </w:tcPr>
          <w:p w14:paraId="3DD75DBA" w14:textId="77777777" w:rsidR="009C39C3" w:rsidRPr="009C39C3" w:rsidRDefault="009C39C3" w:rsidP="004A7DC5">
            <w:pPr>
              <w:spacing w:after="0"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 </w:t>
            </w:r>
          </w:p>
        </w:tc>
      </w:tr>
      <w:tr w:rsidR="009C39C3" w:rsidRPr="009C39C3" w14:paraId="2534CB10" w14:textId="77777777" w:rsidTr="004A7DC5">
        <w:trPr>
          <w:trHeight w:val="285"/>
        </w:trPr>
        <w:tc>
          <w:tcPr>
            <w:tcW w:w="6100" w:type="dxa"/>
            <w:tcBorders>
              <w:top w:val="nil"/>
              <w:left w:val="single" w:sz="8" w:space="0" w:color="auto"/>
              <w:bottom w:val="single" w:sz="8" w:space="0" w:color="auto"/>
              <w:right w:val="single" w:sz="8" w:space="0" w:color="auto"/>
            </w:tcBorders>
            <w:shd w:val="clear" w:color="auto" w:fill="auto"/>
            <w:vAlign w:val="center"/>
            <w:hideMark/>
          </w:tcPr>
          <w:p w14:paraId="73419D48" w14:textId="77777777" w:rsidR="009C39C3" w:rsidRPr="009C39C3" w:rsidRDefault="009C39C3" w:rsidP="004A7DC5">
            <w:pPr>
              <w:spacing w:after="0" w:line="240" w:lineRule="auto"/>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TOTAL (VII) = (V + VI)</w:t>
            </w:r>
          </w:p>
        </w:tc>
        <w:tc>
          <w:tcPr>
            <w:tcW w:w="2480" w:type="dxa"/>
            <w:tcBorders>
              <w:top w:val="nil"/>
              <w:left w:val="nil"/>
              <w:bottom w:val="single" w:sz="8" w:space="0" w:color="auto"/>
              <w:right w:val="single" w:sz="8" w:space="0" w:color="auto"/>
            </w:tcBorders>
            <w:shd w:val="clear" w:color="auto" w:fill="auto"/>
            <w:vAlign w:val="center"/>
            <w:hideMark/>
          </w:tcPr>
          <w:p w14:paraId="373BCC77" w14:textId="77777777" w:rsidR="009C39C3" w:rsidRPr="009C39C3" w:rsidRDefault="009C39C3" w:rsidP="004A7DC5">
            <w:pPr>
              <w:spacing w:after="0"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BOR.C082</w:t>
            </w:r>
          </w:p>
        </w:tc>
        <w:tc>
          <w:tcPr>
            <w:tcW w:w="1820" w:type="dxa"/>
            <w:tcBorders>
              <w:top w:val="nil"/>
              <w:left w:val="nil"/>
              <w:bottom w:val="single" w:sz="8" w:space="0" w:color="auto"/>
              <w:right w:val="single" w:sz="8" w:space="0" w:color="auto"/>
            </w:tcBorders>
            <w:shd w:val="clear" w:color="auto" w:fill="auto"/>
            <w:vAlign w:val="center"/>
            <w:hideMark/>
          </w:tcPr>
          <w:p w14:paraId="0C1FCE12" w14:textId="77777777" w:rsidR="009C39C3" w:rsidRPr="009C39C3" w:rsidRDefault="009C39C3" w:rsidP="004A7DC5">
            <w:pPr>
              <w:spacing w:after="0"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BOR.D082</w:t>
            </w:r>
          </w:p>
        </w:tc>
        <w:tc>
          <w:tcPr>
            <w:tcW w:w="1920" w:type="dxa"/>
            <w:tcBorders>
              <w:top w:val="nil"/>
              <w:left w:val="nil"/>
              <w:bottom w:val="single" w:sz="8" w:space="0" w:color="auto"/>
              <w:right w:val="single" w:sz="8" w:space="0" w:color="auto"/>
            </w:tcBorders>
            <w:shd w:val="clear" w:color="auto" w:fill="auto"/>
            <w:vAlign w:val="center"/>
            <w:hideMark/>
          </w:tcPr>
          <w:p w14:paraId="3B313E0A" w14:textId="77777777" w:rsidR="009C39C3" w:rsidRPr="009C39C3" w:rsidRDefault="009C39C3" w:rsidP="004A7DC5">
            <w:pPr>
              <w:spacing w:after="0"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BOR.E082</w:t>
            </w:r>
          </w:p>
        </w:tc>
        <w:tc>
          <w:tcPr>
            <w:tcW w:w="1780" w:type="dxa"/>
            <w:tcBorders>
              <w:top w:val="nil"/>
              <w:left w:val="nil"/>
              <w:bottom w:val="single" w:sz="8" w:space="0" w:color="auto"/>
              <w:right w:val="single" w:sz="8" w:space="0" w:color="auto"/>
            </w:tcBorders>
            <w:shd w:val="clear" w:color="auto" w:fill="auto"/>
            <w:vAlign w:val="center"/>
            <w:hideMark/>
          </w:tcPr>
          <w:p w14:paraId="6B25D3A1" w14:textId="77777777" w:rsidR="009C39C3" w:rsidRPr="009C39C3" w:rsidRDefault="009C39C3" w:rsidP="004A7DC5">
            <w:pPr>
              <w:spacing w:after="0"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 BOR.F082</w:t>
            </w:r>
          </w:p>
        </w:tc>
      </w:tr>
      <w:tr w:rsidR="009C39C3" w:rsidRPr="009C39C3" w14:paraId="246DBFE4" w14:textId="77777777" w:rsidTr="004A7DC5">
        <w:trPr>
          <w:trHeight w:val="555"/>
        </w:trPr>
        <w:tc>
          <w:tcPr>
            <w:tcW w:w="6100" w:type="dxa"/>
            <w:tcBorders>
              <w:top w:val="nil"/>
              <w:left w:val="single" w:sz="8" w:space="0" w:color="auto"/>
              <w:bottom w:val="nil"/>
              <w:right w:val="single" w:sz="8" w:space="0" w:color="auto"/>
            </w:tcBorders>
            <w:shd w:val="clear" w:color="auto" w:fill="auto"/>
            <w:vAlign w:val="center"/>
            <w:hideMark/>
          </w:tcPr>
          <w:p w14:paraId="755EFD26" w14:textId="77777777" w:rsidR="009C39C3" w:rsidRPr="009C39C3" w:rsidRDefault="009C39C3" w:rsidP="004A7DC5">
            <w:pPr>
              <w:spacing w:after="0" w:line="240" w:lineRule="auto"/>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SALDOS DE EXERCÍCIOS ANTERIORES</w:t>
            </w:r>
            <w:r w:rsidRPr="009C39C3">
              <w:rPr>
                <w:rFonts w:ascii="Arial Narrow" w:eastAsia="Times New Roman" w:hAnsi="Arial Narrow" w:cs="Arial"/>
                <w:b/>
                <w:bCs/>
                <w:sz w:val="18"/>
                <w:szCs w:val="18"/>
                <w:lang w:eastAsia="pt-BR"/>
              </w:rPr>
              <w:br/>
              <w:t>(UTILIZADOS PARA CRÉDITOS ADICIONAIS)</w:t>
            </w:r>
          </w:p>
        </w:tc>
        <w:tc>
          <w:tcPr>
            <w:tcW w:w="2480" w:type="dxa"/>
            <w:tcBorders>
              <w:top w:val="nil"/>
              <w:left w:val="nil"/>
              <w:bottom w:val="nil"/>
              <w:right w:val="single" w:sz="8" w:space="0" w:color="auto"/>
            </w:tcBorders>
            <w:shd w:val="clear" w:color="auto" w:fill="auto"/>
            <w:vAlign w:val="center"/>
            <w:hideMark/>
          </w:tcPr>
          <w:p w14:paraId="5822A0ED" w14:textId="77777777" w:rsidR="009C39C3" w:rsidRPr="009C39C3" w:rsidRDefault="009C39C3" w:rsidP="004A7DC5">
            <w:pPr>
              <w:spacing w:after="0"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BOR.C083 </w:t>
            </w:r>
          </w:p>
        </w:tc>
        <w:tc>
          <w:tcPr>
            <w:tcW w:w="1820" w:type="dxa"/>
            <w:tcBorders>
              <w:top w:val="nil"/>
              <w:left w:val="nil"/>
              <w:bottom w:val="nil"/>
              <w:right w:val="single" w:sz="8" w:space="0" w:color="auto"/>
            </w:tcBorders>
            <w:shd w:val="clear" w:color="auto" w:fill="auto"/>
            <w:vAlign w:val="center"/>
            <w:hideMark/>
          </w:tcPr>
          <w:p w14:paraId="43848355" w14:textId="77777777" w:rsidR="009C39C3" w:rsidRPr="009C39C3" w:rsidRDefault="009C39C3" w:rsidP="004A7DC5">
            <w:pPr>
              <w:spacing w:after="0"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BOR.D083</w:t>
            </w:r>
          </w:p>
        </w:tc>
        <w:tc>
          <w:tcPr>
            <w:tcW w:w="1920" w:type="dxa"/>
            <w:tcBorders>
              <w:top w:val="nil"/>
              <w:left w:val="nil"/>
              <w:bottom w:val="nil"/>
              <w:right w:val="single" w:sz="8" w:space="0" w:color="auto"/>
            </w:tcBorders>
            <w:shd w:val="clear" w:color="auto" w:fill="auto"/>
            <w:vAlign w:val="center"/>
            <w:hideMark/>
          </w:tcPr>
          <w:p w14:paraId="4DAF288C" w14:textId="77777777" w:rsidR="009C39C3" w:rsidRPr="009C39C3" w:rsidRDefault="009C39C3" w:rsidP="004A7DC5">
            <w:pPr>
              <w:spacing w:after="0"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BOR.E083</w:t>
            </w:r>
          </w:p>
        </w:tc>
        <w:tc>
          <w:tcPr>
            <w:tcW w:w="1780" w:type="dxa"/>
            <w:tcBorders>
              <w:top w:val="nil"/>
              <w:left w:val="nil"/>
              <w:bottom w:val="nil"/>
              <w:right w:val="single" w:sz="8" w:space="0" w:color="auto"/>
            </w:tcBorders>
            <w:shd w:val="clear" w:color="000000" w:fill="808080"/>
            <w:vAlign w:val="center"/>
            <w:hideMark/>
          </w:tcPr>
          <w:p w14:paraId="53B36670" w14:textId="77777777" w:rsidR="009C39C3" w:rsidRPr="009C39C3" w:rsidRDefault="009C39C3" w:rsidP="004A7DC5">
            <w:pPr>
              <w:spacing w:after="0" w:line="240" w:lineRule="auto"/>
              <w:jc w:val="center"/>
              <w:rPr>
                <w:rFonts w:ascii="Arial Narrow" w:eastAsia="Times New Roman" w:hAnsi="Arial Narrow" w:cs="Arial"/>
                <w:b/>
                <w:bCs/>
                <w:sz w:val="18"/>
                <w:szCs w:val="18"/>
                <w:lang w:eastAsia="pt-BR"/>
              </w:rPr>
            </w:pPr>
            <w:r w:rsidRPr="009C39C3">
              <w:rPr>
                <w:rFonts w:ascii="Arial Narrow" w:eastAsia="Times New Roman" w:hAnsi="Arial Narrow" w:cs="Arial"/>
                <w:b/>
                <w:bCs/>
                <w:sz w:val="18"/>
                <w:szCs w:val="18"/>
                <w:lang w:eastAsia="pt-BR"/>
              </w:rPr>
              <w:t> </w:t>
            </w:r>
          </w:p>
        </w:tc>
      </w:tr>
      <w:tr w:rsidR="009C39C3" w:rsidRPr="009C39C3" w14:paraId="33B7D518" w14:textId="77777777" w:rsidTr="004A7DC5">
        <w:trPr>
          <w:trHeight w:val="270"/>
        </w:trPr>
        <w:tc>
          <w:tcPr>
            <w:tcW w:w="6100" w:type="dxa"/>
            <w:tcBorders>
              <w:top w:val="nil"/>
              <w:left w:val="single" w:sz="8" w:space="0" w:color="auto"/>
              <w:right w:val="single" w:sz="8" w:space="0" w:color="auto"/>
            </w:tcBorders>
            <w:shd w:val="clear" w:color="auto" w:fill="auto"/>
            <w:vAlign w:val="center"/>
          </w:tcPr>
          <w:p w14:paraId="21674235" w14:textId="77777777" w:rsidR="009C39C3" w:rsidRPr="009C39C3" w:rsidRDefault="009C39C3" w:rsidP="004A7DC5">
            <w:pPr>
              <w:spacing w:after="0" w:line="240" w:lineRule="auto"/>
              <w:ind w:firstLineChars="100" w:firstLine="180"/>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Recursos Arrecadados em Exercícios Anteriores</w:t>
            </w:r>
          </w:p>
        </w:tc>
        <w:tc>
          <w:tcPr>
            <w:tcW w:w="2480" w:type="dxa"/>
            <w:tcBorders>
              <w:top w:val="nil"/>
              <w:left w:val="nil"/>
              <w:right w:val="single" w:sz="8" w:space="0" w:color="auto"/>
            </w:tcBorders>
            <w:shd w:val="clear" w:color="auto" w:fill="auto"/>
            <w:vAlign w:val="center"/>
          </w:tcPr>
          <w:p w14:paraId="11639D76"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BOR.C071</w:t>
            </w:r>
          </w:p>
        </w:tc>
        <w:tc>
          <w:tcPr>
            <w:tcW w:w="1820" w:type="dxa"/>
            <w:tcBorders>
              <w:top w:val="nil"/>
              <w:left w:val="nil"/>
              <w:right w:val="single" w:sz="8" w:space="0" w:color="auto"/>
            </w:tcBorders>
            <w:shd w:val="clear" w:color="auto" w:fill="auto"/>
            <w:vAlign w:val="center"/>
          </w:tcPr>
          <w:p w14:paraId="359C5FCE"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BOR.D071</w:t>
            </w:r>
          </w:p>
        </w:tc>
        <w:tc>
          <w:tcPr>
            <w:tcW w:w="1920" w:type="dxa"/>
            <w:tcBorders>
              <w:top w:val="nil"/>
              <w:left w:val="nil"/>
              <w:right w:val="single" w:sz="8" w:space="0" w:color="auto"/>
            </w:tcBorders>
            <w:shd w:val="clear" w:color="auto" w:fill="808080" w:themeFill="background1" w:themeFillShade="80"/>
            <w:vAlign w:val="center"/>
          </w:tcPr>
          <w:p w14:paraId="4B14348E" w14:textId="77777777" w:rsidR="009C39C3" w:rsidRPr="009C39C3" w:rsidRDefault="009C39C3" w:rsidP="004A7DC5">
            <w:pPr>
              <w:spacing w:after="0" w:line="240" w:lineRule="auto"/>
              <w:jc w:val="center"/>
              <w:rPr>
                <w:rFonts w:ascii="Arial Narrow" w:eastAsia="Times New Roman" w:hAnsi="Arial Narrow" w:cs="Arial"/>
                <w:sz w:val="18"/>
                <w:szCs w:val="18"/>
                <w:highlight w:val="darkGray"/>
                <w:lang w:eastAsia="pt-BR"/>
              </w:rPr>
            </w:pPr>
          </w:p>
        </w:tc>
        <w:tc>
          <w:tcPr>
            <w:tcW w:w="1780" w:type="dxa"/>
            <w:tcBorders>
              <w:top w:val="nil"/>
              <w:left w:val="nil"/>
              <w:right w:val="single" w:sz="8" w:space="0" w:color="auto"/>
            </w:tcBorders>
            <w:shd w:val="clear" w:color="000000" w:fill="808080"/>
            <w:vAlign w:val="center"/>
          </w:tcPr>
          <w:p w14:paraId="613119CE"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p>
        </w:tc>
      </w:tr>
      <w:tr w:rsidR="009C39C3" w:rsidRPr="009C39C3" w14:paraId="5FC9FD6E" w14:textId="77777777" w:rsidTr="004A7DC5">
        <w:trPr>
          <w:trHeight w:val="270"/>
        </w:trPr>
        <w:tc>
          <w:tcPr>
            <w:tcW w:w="6100" w:type="dxa"/>
            <w:tcBorders>
              <w:top w:val="nil"/>
              <w:left w:val="single" w:sz="8" w:space="0" w:color="auto"/>
              <w:right w:val="single" w:sz="8" w:space="0" w:color="auto"/>
            </w:tcBorders>
            <w:shd w:val="clear" w:color="auto" w:fill="auto"/>
            <w:vAlign w:val="center"/>
            <w:hideMark/>
          </w:tcPr>
          <w:p w14:paraId="2E76CAB8" w14:textId="77777777" w:rsidR="009C39C3" w:rsidRPr="009C39C3" w:rsidRDefault="009C39C3" w:rsidP="004A7DC5">
            <w:pPr>
              <w:spacing w:after="0" w:line="240" w:lineRule="auto"/>
              <w:ind w:firstLineChars="100" w:firstLine="180"/>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Superávit Financeiro</w:t>
            </w:r>
          </w:p>
        </w:tc>
        <w:tc>
          <w:tcPr>
            <w:tcW w:w="2480" w:type="dxa"/>
            <w:tcBorders>
              <w:top w:val="nil"/>
              <w:left w:val="nil"/>
              <w:right w:val="single" w:sz="8" w:space="0" w:color="auto"/>
            </w:tcBorders>
            <w:shd w:val="clear" w:color="000000" w:fill="808080"/>
            <w:vAlign w:val="center"/>
            <w:hideMark/>
          </w:tcPr>
          <w:p w14:paraId="1E4BB5E2"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 </w:t>
            </w:r>
          </w:p>
        </w:tc>
        <w:tc>
          <w:tcPr>
            <w:tcW w:w="1820" w:type="dxa"/>
            <w:tcBorders>
              <w:top w:val="nil"/>
              <w:left w:val="nil"/>
              <w:right w:val="single" w:sz="8" w:space="0" w:color="auto"/>
            </w:tcBorders>
            <w:shd w:val="clear" w:color="auto" w:fill="auto"/>
            <w:vAlign w:val="center"/>
            <w:hideMark/>
          </w:tcPr>
          <w:p w14:paraId="598D6C0D"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BOR.D084</w:t>
            </w:r>
          </w:p>
        </w:tc>
        <w:tc>
          <w:tcPr>
            <w:tcW w:w="1920" w:type="dxa"/>
            <w:tcBorders>
              <w:top w:val="nil"/>
              <w:left w:val="nil"/>
              <w:right w:val="single" w:sz="8" w:space="0" w:color="auto"/>
            </w:tcBorders>
            <w:shd w:val="clear" w:color="auto" w:fill="auto"/>
            <w:vAlign w:val="center"/>
            <w:hideMark/>
          </w:tcPr>
          <w:p w14:paraId="21771D78"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BOR.E084</w:t>
            </w:r>
          </w:p>
        </w:tc>
        <w:tc>
          <w:tcPr>
            <w:tcW w:w="1780" w:type="dxa"/>
            <w:tcBorders>
              <w:top w:val="nil"/>
              <w:left w:val="nil"/>
              <w:right w:val="single" w:sz="8" w:space="0" w:color="auto"/>
            </w:tcBorders>
            <w:shd w:val="clear" w:color="000000" w:fill="808080"/>
            <w:vAlign w:val="center"/>
            <w:hideMark/>
          </w:tcPr>
          <w:p w14:paraId="71B249E6"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 </w:t>
            </w:r>
          </w:p>
        </w:tc>
      </w:tr>
      <w:tr w:rsidR="009C39C3" w:rsidRPr="009C39C3" w14:paraId="606F18A7" w14:textId="77777777" w:rsidTr="004A7DC5">
        <w:trPr>
          <w:trHeight w:val="285"/>
        </w:trPr>
        <w:tc>
          <w:tcPr>
            <w:tcW w:w="6100" w:type="dxa"/>
            <w:tcBorders>
              <w:top w:val="nil"/>
              <w:left w:val="single" w:sz="8" w:space="0" w:color="auto"/>
              <w:bottom w:val="single" w:sz="8" w:space="0" w:color="auto"/>
              <w:right w:val="single" w:sz="8" w:space="0" w:color="auto"/>
            </w:tcBorders>
            <w:shd w:val="clear" w:color="auto" w:fill="auto"/>
            <w:vAlign w:val="center"/>
            <w:hideMark/>
          </w:tcPr>
          <w:p w14:paraId="630C4EFC" w14:textId="77777777" w:rsidR="009C39C3" w:rsidRPr="009C39C3" w:rsidRDefault="009C39C3" w:rsidP="004A7DC5">
            <w:pPr>
              <w:spacing w:after="0" w:line="240" w:lineRule="auto"/>
              <w:ind w:firstLineChars="100" w:firstLine="180"/>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Reabertura de créditos adicionais</w:t>
            </w:r>
          </w:p>
        </w:tc>
        <w:tc>
          <w:tcPr>
            <w:tcW w:w="2480" w:type="dxa"/>
            <w:tcBorders>
              <w:top w:val="nil"/>
              <w:left w:val="nil"/>
              <w:bottom w:val="single" w:sz="8" w:space="0" w:color="auto"/>
              <w:right w:val="single" w:sz="8" w:space="0" w:color="auto"/>
            </w:tcBorders>
            <w:shd w:val="clear" w:color="000000" w:fill="808080"/>
            <w:vAlign w:val="center"/>
            <w:hideMark/>
          </w:tcPr>
          <w:p w14:paraId="6A3EF435"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 </w:t>
            </w:r>
          </w:p>
        </w:tc>
        <w:tc>
          <w:tcPr>
            <w:tcW w:w="1820" w:type="dxa"/>
            <w:tcBorders>
              <w:top w:val="nil"/>
              <w:left w:val="nil"/>
              <w:bottom w:val="single" w:sz="8" w:space="0" w:color="auto"/>
              <w:right w:val="single" w:sz="8" w:space="0" w:color="auto"/>
            </w:tcBorders>
            <w:shd w:val="clear" w:color="auto" w:fill="auto"/>
            <w:vAlign w:val="center"/>
            <w:hideMark/>
          </w:tcPr>
          <w:p w14:paraId="0C2B8D38"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BOR.D085</w:t>
            </w:r>
          </w:p>
        </w:tc>
        <w:tc>
          <w:tcPr>
            <w:tcW w:w="1920" w:type="dxa"/>
            <w:tcBorders>
              <w:top w:val="nil"/>
              <w:left w:val="nil"/>
              <w:bottom w:val="single" w:sz="8" w:space="0" w:color="auto"/>
              <w:right w:val="single" w:sz="8" w:space="0" w:color="auto"/>
            </w:tcBorders>
            <w:shd w:val="clear" w:color="auto" w:fill="auto"/>
            <w:vAlign w:val="center"/>
            <w:hideMark/>
          </w:tcPr>
          <w:p w14:paraId="7DD54966"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BOR.E085</w:t>
            </w:r>
          </w:p>
        </w:tc>
        <w:tc>
          <w:tcPr>
            <w:tcW w:w="1780" w:type="dxa"/>
            <w:tcBorders>
              <w:top w:val="nil"/>
              <w:left w:val="nil"/>
              <w:bottom w:val="single" w:sz="8" w:space="0" w:color="auto"/>
              <w:right w:val="single" w:sz="8" w:space="0" w:color="auto"/>
            </w:tcBorders>
            <w:shd w:val="clear" w:color="000000" w:fill="808080"/>
            <w:vAlign w:val="center"/>
            <w:hideMark/>
          </w:tcPr>
          <w:p w14:paraId="7A6DC6C3" w14:textId="77777777" w:rsidR="009C39C3" w:rsidRPr="009C39C3" w:rsidRDefault="009C39C3" w:rsidP="004A7DC5">
            <w:pPr>
              <w:spacing w:after="0" w:line="240" w:lineRule="auto"/>
              <w:jc w:val="center"/>
              <w:rPr>
                <w:rFonts w:ascii="Arial Narrow" w:eastAsia="Times New Roman" w:hAnsi="Arial Narrow" w:cs="Arial"/>
                <w:sz w:val="18"/>
                <w:szCs w:val="18"/>
                <w:lang w:eastAsia="pt-BR"/>
              </w:rPr>
            </w:pPr>
            <w:r w:rsidRPr="009C39C3">
              <w:rPr>
                <w:rFonts w:ascii="Arial Narrow" w:eastAsia="Times New Roman" w:hAnsi="Arial Narrow" w:cs="Arial"/>
                <w:sz w:val="18"/>
                <w:szCs w:val="18"/>
                <w:lang w:eastAsia="pt-BR"/>
              </w:rPr>
              <w:t> </w:t>
            </w:r>
          </w:p>
        </w:tc>
      </w:tr>
    </w:tbl>
    <w:p w14:paraId="2111BB93" w14:textId="77777777" w:rsidR="00F90AA0" w:rsidRDefault="00F90AA0" w:rsidP="00180538">
      <w:pPr>
        <w:rPr>
          <w:rFonts w:eastAsia="Times New Roman" w:cs="Arial"/>
          <w:szCs w:val="24"/>
          <w:lang w:eastAsia="pt-BR"/>
        </w:rPr>
        <w:sectPr w:rsidR="00F90AA0" w:rsidSect="00E7482B">
          <w:pgSz w:w="16838" w:h="11906" w:orient="landscape" w:code="9"/>
          <w:pgMar w:top="1134" w:right="1418" w:bottom="1701" w:left="1418" w:header="709" w:footer="709" w:gutter="0"/>
          <w:cols w:space="708"/>
          <w:docGrid w:linePitch="360"/>
        </w:sectPr>
      </w:pPr>
    </w:p>
    <w:p w14:paraId="4055C860" w14:textId="77777777" w:rsidR="002F1E8D" w:rsidRPr="002F1E8D" w:rsidRDefault="002F1E8D" w:rsidP="002F1E8D">
      <w:pPr>
        <w:spacing w:line="240" w:lineRule="auto"/>
        <w:jc w:val="center"/>
        <w:rPr>
          <w:rFonts w:ascii="Arial" w:eastAsia="Times New Roman" w:hAnsi="Arial" w:cs="Arial"/>
          <w:b/>
          <w:bCs/>
          <w:sz w:val="20"/>
          <w:szCs w:val="20"/>
          <w:lang w:eastAsia="pt-BR"/>
        </w:rPr>
      </w:pPr>
      <w:r w:rsidRPr="002F1E8D">
        <w:rPr>
          <w:rFonts w:ascii="Arial" w:eastAsia="Times New Roman" w:hAnsi="Arial" w:cs="Arial"/>
          <w:b/>
          <w:bCs/>
          <w:sz w:val="20"/>
          <w:szCs w:val="20"/>
          <w:lang w:eastAsia="pt-BR"/>
        </w:rPr>
        <w:lastRenderedPageBreak/>
        <w:t>TABELA 1 - BALANÇO ORÇAMENTÁRIO</w:t>
      </w:r>
    </w:p>
    <w:p w14:paraId="35F4D9C7" w14:textId="77777777" w:rsidR="002F1E8D" w:rsidRPr="002F1E8D" w:rsidRDefault="002F1E8D" w:rsidP="002F1E8D">
      <w:pPr>
        <w:spacing w:line="240" w:lineRule="auto"/>
        <w:jc w:val="center"/>
        <w:rPr>
          <w:rFonts w:ascii="Arial" w:eastAsia="Times New Roman" w:hAnsi="Arial" w:cs="Arial"/>
          <w:b/>
          <w:bCs/>
          <w:sz w:val="20"/>
          <w:szCs w:val="20"/>
          <w:lang w:eastAsia="pt-BR"/>
        </w:rPr>
      </w:pPr>
      <w:r w:rsidRPr="002F1E8D">
        <w:rPr>
          <w:rFonts w:ascii="Arial" w:eastAsia="Times New Roman" w:hAnsi="Arial" w:cs="Arial"/>
          <w:b/>
          <w:bCs/>
          <w:sz w:val="20"/>
          <w:szCs w:val="20"/>
          <w:lang w:eastAsia="pt-BR"/>
        </w:rPr>
        <w:t>RECEITA – ESTADO</w:t>
      </w:r>
    </w:p>
    <w:tbl>
      <w:tblPr>
        <w:tblW w:w="14100" w:type="dxa"/>
        <w:tblInd w:w="55" w:type="dxa"/>
        <w:tblCellMar>
          <w:left w:w="70" w:type="dxa"/>
          <w:right w:w="70" w:type="dxa"/>
        </w:tblCellMar>
        <w:tblLook w:val="04A0" w:firstRow="1" w:lastRow="0" w:firstColumn="1" w:lastColumn="0" w:noHBand="0" w:noVBand="1"/>
      </w:tblPr>
      <w:tblGrid>
        <w:gridCol w:w="6100"/>
        <w:gridCol w:w="2480"/>
        <w:gridCol w:w="1820"/>
        <w:gridCol w:w="1920"/>
        <w:gridCol w:w="1780"/>
      </w:tblGrid>
      <w:tr w:rsidR="002F1E8D" w:rsidRPr="002F1E8D" w14:paraId="5FD2576F" w14:textId="77777777" w:rsidTr="00326F06">
        <w:trPr>
          <w:trHeight w:val="270"/>
        </w:trPr>
        <w:tc>
          <w:tcPr>
            <w:tcW w:w="6100" w:type="dxa"/>
            <w:vMerge w:val="restart"/>
            <w:tcBorders>
              <w:top w:val="single" w:sz="8" w:space="0" w:color="auto"/>
              <w:left w:val="single" w:sz="8" w:space="0" w:color="auto"/>
              <w:bottom w:val="single" w:sz="8" w:space="0" w:color="000000"/>
              <w:right w:val="single" w:sz="8" w:space="0" w:color="auto"/>
            </w:tcBorders>
            <w:shd w:val="clear" w:color="000000" w:fill="F2F2F2"/>
            <w:vAlign w:val="center"/>
            <w:hideMark/>
          </w:tcPr>
          <w:p w14:paraId="0D53650A" w14:textId="77777777" w:rsidR="002F1E8D" w:rsidRPr="002F1E8D" w:rsidRDefault="002F1E8D" w:rsidP="00326F06">
            <w:pPr>
              <w:spacing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RECEITAS ORÇAMENTÁRIAS</w:t>
            </w:r>
          </w:p>
        </w:tc>
        <w:tc>
          <w:tcPr>
            <w:tcW w:w="2480" w:type="dxa"/>
            <w:tcBorders>
              <w:top w:val="single" w:sz="8" w:space="0" w:color="auto"/>
              <w:left w:val="nil"/>
              <w:bottom w:val="nil"/>
              <w:right w:val="single" w:sz="8" w:space="0" w:color="auto"/>
            </w:tcBorders>
            <w:shd w:val="clear" w:color="000000" w:fill="F2F2F2"/>
            <w:vAlign w:val="center"/>
            <w:hideMark/>
          </w:tcPr>
          <w:p w14:paraId="5357D785" w14:textId="77777777" w:rsidR="002F1E8D" w:rsidRPr="002F1E8D" w:rsidRDefault="002F1E8D" w:rsidP="00326F06">
            <w:pPr>
              <w:spacing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 xml:space="preserve">PREVISÃO </w:t>
            </w:r>
          </w:p>
        </w:tc>
        <w:tc>
          <w:tcPr>
            <w:tcW w:w="1820" w:type="dxa"/>
            <w:tcBorders>
              <w:top w:val="single" w:sz="8" w:space="0" w:color="auto"/>
              <w:left w:val="nil"/>
              <w:bottom w:val="nil"/>
              <w:right w:val="single" w:sz="8" w:space="0" w:color="auto"/>
            </w:tcBorders>
            <w:shd w:val="clear" w:color="000000" w:fill="F2F2F2"/>
            <w:vAlign w:val="center"/>
            <w:hideMark/>
          </w:tcPr>
          <w:p w14:paraId="6BF3ED91" w14:textId="77777777" w:rsidR="002F1E8D" w:rsidRPr="002F1E8D" w:rsidRDefault="002F1E8D" w:rsidP="00326F06">
            <w:pPr>
              <w:spacing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 xml:space="preserve">PREVISÃO </w:t>
            </w:r>
          </w:p>
        </w:tc>
        <w:tc>
          <w:tcPr>
            <w:tcW w:w="1920" w:type="dxa"/>
            <w:tcBorders>
              <w:top w:val="single" w:sz="8" w:space="0" w:color="auto"/>
              <w:left w:val="nil"/>
              <w:bottom w:val="nil"/>
              <w:right w:val="single" w:sz="8" w:space="0" w:color="auto"/>
            </w:tcBorders>
            <w:shd w:val="clear" w:color="000000" w:fill="F2F2F2"/>
            <w:vAlign w:val="center"/>
            <w:hideMark/>
          </w:tcPr>
          <w:p w14:paraId="07EDD53B" w14:textId="77777777" w:rsidR="002F1E8D" w:rsidRPr="002F1E8D" w:rsidRDefault="002F1E8D" w:rsidP="00326F06">
            <w:pPr>
              <w:spacing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 xml:space="preserve">RECEITAS </w:t>
            </w:r>
          </w:p>
        </w:tc>
        <w:tc>
          <w:tcPr>
            <w:tcW w:w="1780" w:type="dxa"/>
            <w:tcBorders>
              <w:top w:val="single" w:sz="8" w:space="0" w:color="auto"/>
              <w:left w:val="nil"/>
              <w:bottom w:val="nil"/>
              <w:right w:val="single" w:sz="8" w:space="0" w:color="auto"/>
            </w:tcBorders>
            <w:shd w:val="clear" w:color="000000" w:fill="F2F2F2"/>
            <w:vAlign w:val="center"/>
            <w:hideMark/>
          </w:tcPr>
          <w:p w14:paraId="4A19EE28" w14:textId="77777777" w:rsidR="002F1E8D" w:rsidRPr="002F1E8D" w:rsidRDefault="002F1E8D" w:rsidP="00326F06">
            <w:pPr>
              <w:spacing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SALDO</w:t>
            </w:r>
          </w:p>
        </w:tc>
      </w:tr>
      <w:tr w:rsidR="002F1E8D" w:rsidRPr="002F1E8D" w14:paraId="7F33B249" w14:textId="77777777" w:rsidTr="00326F06">
        <w:trPr>
          <w:trHeight w:val="285"/>
        </w:trPr>
        <w:tc>
          <w:tcPr>
            <w:tcW w:w="6100" w:type="dxa"/>
            <w:vMerge/>
            <w:tcBorders>
              <w:top w:val="single" w:sz="8" w:space="0" w:color="auto"/>
              <w:left w:val="single" w:sz="8" w:space="0" w:color="auto"/>
              <w:bottom w:val="single" w:sz="8" w:space="0" w:color="000000"/>
              <w:right w:val="single" w:sz="8" w:space="0" w:color="auto"/>
            </w:tcBorders>
            <w:vAlign w:val="center"/>
            <w:hideMark/>
          </w:tcPr>
          <w:p w14:paraId="2371348A" w14:textId="77777777" w:rsidR="002F1E8D" w:rsidRPr="002F1E8D" w:rsidRDefault="002F1E8D" w:rsidP="00326F06">
            <w:pPr>
              <w:spacing w:line="240" w:lineRule="auto"/>
              <w:rPr>
                <w:rFonts w:ascii="Arial Narrow" w:eastAsia="Times New Roman" w:hAnsi="Arial Narrow" w:cs="Arial"/>
                <w:b/>
                <w:bCs/>
                <w:sz w:val="18"/>
                <w:szCs w:val="18"/>
                <w:lang w:eastAsia="pt-BR"/>
              </w:rPr>
            </w:pPr>
          </w:p>
        </w:tc>
        <w:tc>
          <w:tcPr>
            <w:tcW w:w="2480" w:type="dxa"/>
            <w:tcBorders>
              <w:top w:val="nil"/>
              <w:left w:val="nil"/>
              <w:bottom w:val="single" w:sz="8" w:space="0" w:color="auto"/>
              <w:right w:val="single" w:sz="8" w:space="0" w:color="auto"/>
            </w:tcBorders>
            <w:shd w:val="clear" w:color="000000" w:fill="F2F2F2"/>
            <w:vAlign w:val="center"/>
            <w:hideMark/>
          </w:tcPr>
          <w:p w14:paraId="48F9453C" w14:textId="77777777" w:rsidR="002F1E8D" w:rsidRPr="002F1E8D" w:rsidRDefault="002F1E8D" w:rsidP="00326F06">
            <w:pPr>
              <w:spacing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INICIAL (a)</w:t>
            </w:r>
          </w:p>
        </w:tc>
        <w:tc>
          <w:tcPr>
            <w:tcW w:w="1820" w:type="dxa"/>
            <w:tcBorders>
              <w:top w:val="nil"/>
              <w:left w:val="nil"/>
              <w:bottom w:val="single" w:sz="8" w:space="0" w:color="auto"/>
              <w:right w:val="single" w:sz="8" w:space="0" w:color="auto"/>
            </w:tcBorders>
            <w:shd w:val="clear" w:color="000000" w:fill="F2F2F2"/>
            <w:vAlign w:val="center"/>
            <w:hideMark/>
          </w:tcPr>
          <w:p w14:paraId="1DE1E3FE" w14:textId="77777777" w:rsidR="002F1E8D" w:rsidRPr="002F1E8D" w:rsidRDefault="002F1E8D" w:rsidP="00326F06">
            <w:pPr>
              <w:spacing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ATUALIZADA (b)</w:t>
            </w:r>
          </w:p>
        </w:tc>
        <w:tc>
          <w:tcPr>
            <w:tcW w:w="1920" w:type="dxa"/>
            <w:tcBorders>
              <w:top w:val="nil"/>
              <w:left w:val="nil"/>
              <w:bottom w:val="single" w:sz="8" w:space="0" w:color="auto"/>
              <w:right w:val="single" w:sz="8" w:space="0" w:color="auto"/>
            </w:tcBorders>
            <w:shd w:val="clear" w:color="000000" w:fill="F2F2F2"/>
            <w:vAlign w:val="center"/>
            <w:hideMark/>
          </w:tcPr>
          <w:p w14:paraId="7DF44EE7" w14:textId="77777777" w:rsidR="002F1E8D" w:rsidRPr="002F1E8D" w:rsidRDefault="002F1E8D" w:rsidP="00326F06">
            <w:pPr>
              <w:spacing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REALIZADAS (c)</w:t>
            </w:r>
          </w:p>
        </w:tc>
        <w:tc>
          <w:tcPr>
            <w:tcW w:w="1780" w:type="dxa"/>
            <w:tcBorders>
              <w:top w:val="nil"/>
              <w:left w:val="nil"/>
              <w:bottom w:val="single" w:sz="8" w:space="0" w:color="auto"/>
              <w:right w:val="single" w:sz="8" w:space="0" w:color="auto"/>
            </w:tcBorders>
            <w:shd w:val="clear" w:color="000000" w:fill="F2F2F2"/>
            <w:vAlign w:val="center"/>
            <w:hideMark/>
          </w:tcPr>
          <w:p w14:paraId="2083E6A3" w14:textId="77777777" w:rsidR="002F1E8D" w:rsidRPr="002F1E8D" w:rsidRDefault="002F1E8D" w:rsidP="00326F06">
            <w:pPr>
              <w:spacing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(d) = (c-b)</w:t>
            </w:r>
          </w:p>
        </w:tc>
      </w:tr>
      <w:tr w:rsidR="002F1E8D" w:rsidRPr="002F1E8D" w14:paraId="0835EDE4" w14:textId="77777777" w:rsidTr="00326F06">
        <w:trPr>
          <w:trHeight w:val="270"/>
        </w:trPr>
        <w:tc>
          <w:tcPr>
            <w:tcW w:w="6100" w:type="dxa"/>
            <w:tcBorders>
              <w:top w:val="nil"/>
              <w:left w:val="single" w:sz="8" w:space="0" w:color="auto"/>
              <w:bottom w:val="nil"/>
              <w:right w:val="single" w:sz="8" w:space="0" w:color="auto"/>
            </w:tcBorders>
            <w:shd w:val="clear" w:color="auto" w:fill="auto"/>
            <w:vAlign w:val="center"/>
            <w:hideMark/>
          </w:tcPr>
          <w:p w14:paraId="7D4B87C3" w14:textId="77777777" w:rsidR="002F1E8D" w:rsidRPr="002F1E8D" w:rsidRDefault="002F1E8D" w:rsidP="00326F06">
            <w:pPr>
              <w:spacing w:after="0" w:line="240" w:lineRule="auto"/>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RECEITAS CORRENTES (I)</w:t>
            </w:r>
          </w:p>
        </w:tc>
        <w:tc>
          <w:tcPr>
            <w:tcW w:w="2480" w:type="dxa"/>
            <w:tcBorders>
              <w:top w:val="nil"/>
              <w:left w:val="nil"/>
              <w:bottom w:val="nil"/>
              <w:right w:val="single" w:sz="8" w:space="0" w:color="auto"/>
            </w:tcBorders>
            <w:shd w:val="clear" w:color="auto" w:fill="auto"/>
            <w:vAlign w:val="center"/>
            <w:hideMark/>
          </w:tcPr>
          <w:p w14:paraId="55A43DBF" w14:textId="77777777" w:rsidR="002F1E8D" w:rsidRPr="002F1E8D" w:rsidRDefault="002F1E8D" w:rsidP="00326F06">
            <w:pPr>
              <w:spacing w:after="0"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BOR.C011</w:t>
            </w:r>
          </w:p>
        </w:tc>
        <w:tc>
          <w:tcPr>
            <w:tcW w:w="1820" w:type="dxa"/>
            <w:tcBorders>
              <w:top w:val="nil"/>
              <w:left w:val="nil"/>
              <w:bottom w:val="nil"/>
              <w:right w:val="single" w:sz="8" w:space="0" w:color="auto"/>
            </w:tcBorders>
            <w:shd w:val="clear" w:color="auto" w:fill="auto"/>
            <w:vAlign w:val="center"/>
            <w:hideMark/>
          </w:tcPr>
          <w:p w14:paraId="18E1B69C" w14:textId="77777777" w:rsidR="002F1E8D" w:rsidRPr="002F1E8D" w:rsidRDefault="002F1E8D" w:rsidP="00326F06">
            <w:pPr>
              <w:spacing w:after="0"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BOR.D011</w:t>
            </w:r>
          </w:p>
        </w:tc>
        <w:tc>
          <w:tcPr>
            <w:tcW w:w="1920" w:type="dxa"/>
            <w:tcBorders>
              <w:top w:val="nil"/>
              <w:left w:val="nil"/>
              <w:bottom w:val="nil"/>
              <w:right w:val="single" w:sz="8" w:space="0" w:color="auto"/>
            </w:tcBorders>
            <w:shd w:val="clear" w:color="auto" w:fill="auto"/>
            <w:vAlign w:val="center"/>
            <w:hideMark/>
          </w:tcPr>
          <w:p w14:paraId="26273991" w14:textId="77777777" w:rsidR="002F1E8D" w:rsidRPr="002F1E8D" w:rsidRDefault="002F1E8D" w:rsidP="00326F06">
            <w:pPr>
              <w:spacing w:after="0"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BOR.E011</w:t>
            </w:r>
          </w:p>
        </w:tc>
        <w:tc>
          <w:tcPr>
            <w:tcW w:w="1780" w:type="dxa"/>
            <w:tcBorders>
              <w:top w:val="nil"/>
              <w:left w:val="nil"/>
              <w:bottom w:val="nil"/>
              <w:right w:val="single" w:sz="8" w:space="0" w:color="auto"/>
            </w:tcBorders>
            <w:shd w:val="clear" w:color="auto" w:fill="auto"/>
            <w:vAlign w:val="center"/>
            <w:hideMark/>
          </w:tcPr>
          <w:p w14:paraId="49D840AC" w14:textId="77777777" w:rsidR="002F1E8D" w:rsidRPr="002F1E8D" w:rsidRDefault="002F1E8D" w:rsidP="00326F06">
            <w:pPr>
              <w:spacing w:after="0"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BOR.F011</w:t>
            </w:r>
          </w:p>
        </w:tc>
      </w:tr>
      <w:tr w:rsidR="002F1E8D" w:rsidRPr="002F1E8D" w14:paraId="74243C4E" w14:textId="77777777" w:rsidTr="00326F06">
        <w:trPr>
          <w:trHeight w:val="270"/>
        </w:trPr>
        <w:tc>
          <w:tcPr>
            <w:tcW w:w="6100" w:type="dxa"/>
            <w:tcBorders>
              <w:top w:val="nil"/>
              <w:left w:val="single" w:sz="8" w:space="0" w:color="auto"/>
              <w:bottom w:val="nil"/>
              <w:right w:val="single" w:sz="8" w:space="0" w:color="auto"/>
            </w:tcBorders>
            <w:shd w:val="clear" w:color="auto" w:fill="auto"/>
            <w:vAlign w:val="center"/>
            <w:hideMark/>
          </w:tcPr>
          <w:p w14:paraId="17F3EA6B" w14:textId="77777777" w:rsidR="002F1E8D" w:rsidRPr="002F1E8D" w:rsidRDefault="002F1E8D" w:rsidP="00326F06">
            <w:pPr>
              <w:spacing w:after="0" w:line="240" w:lineRule="auto"/>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 xml:space="preserve">  Receita Tributária</w:t>
            </w:r>
          </w:p>
        </w:tc>
        <w:tc>
          <w:tcPr>
            <w:tcW w:w="2480" w:type="dxa"/>
            <w:tcBorders>
              <w:top w:val="nil"/>
              <w:left w:val="nil"/>
              <w:bottom w:val="nil"/>
              <w:right w:val="single" w:sz="8" w:space="0" w:color="auto"/>
            </w:tcBorders>
            <w:shd w:val="clear" w:color="auto" w:fill="auto"/>
            <w:vAlign w:val="center"/>
            <w:hideMark/>
          </w:tcPr>
          <w:p w14:paraId="0374D341" w14:textId="77777777" w:rsidR="002F1E8D" w:rsidRPr="002F1E8D" w:rsidRDefault="002F1E8D" w:rsidP="00326F06">
            <w:pPr>
              <w:spacing w:after="0"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BOR.C012</w:t>
            </w:r>
          </w:p>
        </w:tc>
        <w:tc>
          <w:tcPr>
            <w:tcW w:w="1820" w:type="dxa"/>
            <w:tcBorders>
              <w:top w:val="nil"/>
              <w:left w:val="nil"/>
              <w:bottom w:val="nil"/>
              <w:right w:val="single" w:sz="8" w:space="0" w:color="auto"/>
            </w:tcBorders>
            <w:shd w:val="clear" w:color="auto" w:fill="auto"/>
            <w:vAlign w:val="center"/>
            <w:hideMark/>
          </w:tcPr>
          <w:p w14:paraId="33D929EC" w14:textId="77777777" w:rsidR="002F1E8D" w:rsidRPr="002F1E8D" w:rsidRDefault="002F1E8D" w:rsidP="00326F06">
            <w:pPr>
              <w:spacing w:after="0"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BOR.D012</w:t>
            </w:r>
          </w:p>
        </w:tc>
        <w:tc>
          <w:tcPr>
            <w:tcW w:w="1920" w:type="dxa"/>
            <w:tcBorders>
              <w:top w:val="nil"/>
              <w:left w:val="nil"/>
              <w:bottom w:val="nil"/>
              <w:right w:val="single" w:sz="8" w:space="0" w:color="auto"/>
            </w:tcBorders>
            <w:shd w:val="clear" w:color="auto" w:fill="auto"/>
            <w:vAlign w:val="center"/>
            <w:hideMark/>
          </w:tcPr>
          <w:p w14:paraId="2D2A1D40" w14:textId="77777777" w:rsidR="002F1E8D" w:rsidRPr="002F1E8D" w:rsidRDefault="002F1E8D" w:rsidP="00326F06">
            <w:pPr>
              <w:spacing w:after="0"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BOR.E012</w:t>
            </w:r>
          </w:p>
        </w:tc>
        <w:tc>
          <w:tcPr>
            <w:tcW w:w="1780" w:type="dxa"/>
            <w:tcBorders>
              <w:top w:val="nil"/>
              <w:left w:val="nil"/>
              <w:bottom w:val="nil"/>
              <w:right w:val="single" w:sz="8" w:space="0" w:color="auto"/>
            </w:tcBorders>
            <w:shd w:val="clear" w:color="auto" w:fill="auto"/>
            <w:vAlign w:val="center"/>
            <w:hideMark/>
          </w:tcPr>
          <w:p w14:paraId="43B0E3E9" w14:textId="77777777" w:rsidR="002F1E8D" w:rsidRPr="002F1E8D" w:rsidRDefault="002F1E8D" w:rsidP="00326F06">
            <w:pPr>
              <w:spacing w:after="0"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BOR.F012</w:t>
            </w:r>
          </w:p>
        </w:tc>
      </w:tr>
      <w:tr w:rsidR="002F1E8D" w:rsidRPr="002F1E8D" w14:paraId="7BA2B06B" w14:textId="77777777" w:rsidTr="00326F06">
        <w:trPr>
          <w:trHeight w:val="270"/>
        </w:trPr>
        <w:tc>
          <w:tcPr>
            <w:tcW w:w="6100" w:type="dxa"/>
            <w:tcBorders>
              <w:top w:val="nil"/>
              <w:left w:val="single" w:sz="8" w:space="0" w:color="auto"/>
              <w:bottom w:val="nil"/>
              <w:right w:val="single" w:sz="8" w:space="0" w:color="auto"/>
            </w:tcBorders>
            <w:shd w:val="clear" w:color="auto" w:fill="auto"/>
            <w:vAlign w:val="center"/>
            <w:hideMark/>
          </w:tcPr>
          <w:p w14:paraId="2D2A744C" w14:textId="77777777" w:rsidR="002F1E8D" w:rsidRPr="002F1E8D" w:rsidRDefault="002F1E8D" w:rsidP="00326F06">
            <w:pPr>
              <w:spacing w:after="0" w:line="240" w:lineRule="auto"/>
              <w:ind w:firstLineChars="100" w:firstLine="180"/>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Impostos</w:t>
            </w:r>
          </w:p>
        </w:tc>
        <w:tc>
          <w:tcPr>
            <w:tcW w:w="2480" w:type="dxa"/>
            <w:tcBorders>
              <w:top w:val="nil"/>
              <w:left w:val="nil"/>
              <w:bottom w:val="nil"/>
              <w:right w:val="single" w:sz="8" w:space="0" w:color="auto"/>
            </w:tcBorders>
            <w:shd w:val="clear" w:color="auto" w:fill="auto"/>
            <w:vAlign w:val="center"/>
            <w:hideMark/>
          </w:tcPr>
          <w:p w14:paraId="50BC5A1B"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BOR.C013</w:t>
            </w:r>
          </w:p>
        </w:tc>
        <w:tc>
          <w:tcPr>
            <w:tcW w:w="1820" w:type="dxa"/>
            <w:tcBorders>
              <w:top w:val="nil"/>
              <w:left w:val="nil"/>
              <w:bottom w:val="nil"/>
              <w:right w:val="single" w:sz="8" w:space="0" w:color="auto"/>
            </w:tcBorders>
            <w:shd w:val="clear" w:color="auto" w:fill="auto"/>
            <w:vAlign w:val="center"/>
            <w:hideMark/>
          </w:tcPr>
          <w:p w14:paraId="64D9971F"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BOR.D013</w:t>
            </w:r>
          </w:p>
        </w:tc>
        <w:tc>
          <w:tcPr>
            <w:tcW w:w="1920" w:type="dxa"/>
            <w:tcBorders>
              <w:top w:val="nil"/>
              <w:left w:val="nil"/>
              <w:bottom w:val="nil"/>
              <w:right w:val="single" w:sz="8" w:space="0" w:color="auto"/>
            </w:tcBorders>
            <w:shd w:val="clear" w:color="auto" w:fill="auto"/>
            <w:vAlign w:val="center"/>
            <w:hideMark/>
          </w:tcPr>
          <w:p w14:paraId="0A876DE3"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BOR.E013</w:t>
            </w:r>
          </w:p>
        </w:tc>
        <w:tc>
          <w:tcPr>
            <w:tcW w:w="1780" w:type="dxa"/>
            <w:tcBorders>
              <w:top w:val="nil"/>
              <w:left w:val="nil"/>
              <w:bottom w:val="nil"/>
              <w:right w:val="single" w:sz="8" w:space="0" w:color="auto"/>
            </w:tcBorders>
            <w:shd w:val="clear" w:color="auto" w:fill="auto"/>
            <w:vAlign w:val="center"/>
            <w:hideMark/>
          </w:tcPr>
          <w:p w14:paraId="088F46FB"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BOR.F013</w:t>
            </w:r>
          </w:p>
        </w:tc>
      </w:tr>
      <w:tr w:rsidR="002F1E8D" w:rsidRPr="002F1E8D" w14:paraId="5A075967" w14:textId="77777777" w:rsidTr="00326F06">
        <w:trPr>
          <w:trHeight w:val="270"/>
        </w:trPr>
        <w:tc>
          <w:tcPr>
            <w:tcW w:w="6100" w:type="dxa"/>
            <w:tcBorders>
              <w:top w:val="nil"/>
              <w:left w:val="single" w:sz="8" w:space="0" w:color="auto"/>
              <w:bottom w:val="nil"/>
              <w:right w:val="single" w:sz="8" w:space="0" w:color="auto"/>
            </w:tcBorders>
            <w:shd w:val="clear" w:color="auto" w:fill="auto"/>
            <w:vAlign w:val="center"/>
            <w:hideMark/>
          </w:tcPr>
          <w:p w14:paraId="2B5703A4" w14:textId="77777777" w:rsidR="002F1E8D" w:rsidRPr="002F1E8D" w:rsidRDefault="002F1E8D" w:rsidP="00326F06">
            <w:pPr>
              <w:spacing w:after="0" w:line="240" w:lineRule="auto"/>
              <w:ind w:firstLineChars="100" w:firstLine="180"/>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Taxas</w:t>
            </w:r>
          </w:p>
        </w:tc>
        <w:tc>
          <w:tcPr>
            <w:tcW w:w="2480" w:type="dxa"/>
            <w:tcBorders>
              <w:top w:val="nil"/>
              <w:left w:val="nil"/>
              <w:bottom w:val="nil"/>
              <w:right w:val="single" w:sz="8" w:space="0" w:color="auto"/>
            </w:tcBorders>
            <w:shd w:val="clear" w:color="auto" w:fill="auto"/>
            <w:vAlign w:val="center"/>
            <w:hideMark/>
          </w:tcPr>
          <w:p w14:paraId="44336D57"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BOR.C014</w:t>
            </w:r>
          </w:p>
        </w:tc>
        <w:tc>
          <w:tcPr>
            <w:tcW w:w="1820" w:type="dxa"/>
            <w:tcBorders>
              <w:top w:val="nil"/>
              <w:left w:val="nil"/>
              <w:bottom w:val="nil"/>
              <w:right w:val="single" w:sz="8" w:space="0" w:color="auto"/>
            </w:tcBorders>
            <w:shd w:val="clear" w:color="auto" w:fill="auto"/>
            <w:vAlign w:val="center"/>
            <w:hideMark/>
          </w:tcPr>
          <w:p w14:paraId="03F67661"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BOR.D014</w:t>
            </w:r>
          </w:p>
        </w:tc>
        <w:tc>
          <w:tcPr>
            <w:tcW w:w="1920" w:type="dxa"/>
            <w:tcBorders>
              <w:top w:val="nil"/>
              <w:left w:val="nil"/>
              <w:bottom w:val="nil"/>
              <w:right w:val="single" w:sz="8" w:space="0" w:color="auto"/>
            </w:tcBorders>
            <w:shd w:val="clear" w:color="auto" w:fill="auto"/>
            <w:vAlign w:val="center"/>
            <w:hideMark/>
          </w:tcPr>
          <w:p w14:paraId="21281D90"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BOR.E014</w:t>
            </w:r>
          </w:p>
        </w:tc>
        <w:tc>
          <w:tcPr>
            <w:tcW w:w="1780" w:type="dxa"/>
            <w:tcBorders>
              <w:top w:val="nil"/>
              <w:left w:val="nil"/>
              <w:bottom w:val="nil"/>
              <w:right w:val="single" w:sz="8" w:space="0" w:color="auto"/>
            </w:tcBorders>
            <w:shd w:val="clear" w:color="auto" w:fill="auto"/>
            <w:vAlign w:val="center"/>
            <w:hideMark/>
          </w:tcPr>
          <w:p w14:paraId="1B02EB3E"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BOR.F014</w:t>
            </w:r>
          </w:p>
        </w:tc>
      </w:tr>
      <w:tr w:rsidR="002F1E8D" w:rsidRPr="002F1E8D" w14:paraId="2F3715FC" w14:textId="77777777" w:rsidTr="00326F06">
        <w:trPr>
          <w:trHeight w:val="270"/>
        </w:trPr>
        <w:tc>
          <w:tcPr>
            <w:tcW w:w="6100" w:type="dxa"/>
            <w:tcBorders>
              <w:top w:val="nil"/>
              <w:left w:val="single" w:sz="8" w:space="0" w:color="auto"/>
              <w:bottom w:val="nil"/>
              <w:right w:val="single" w:sz="8" w:space="0" w:color="auto"/>
            </w:tcBorders>
            <w:shd w:val="clear" w:color="auto" w:fill="auto"/>
            <w:vAlign w:val="center"/>
            <w:hideMark/>
          </w:tcPr>
          <w:p w14:paraId="66FDA0E1" w14:textId="77777777" w:rsidR="002F1E8D" w:rsidRPr="002F1E8D" w:rsidRDefault="002F1E8D" w:rsidP="00326F06">
            <w:pPr>
              <w:spacing w:after="0" w:line="240" w:lineRule="auto"/>
              <w:ind w:firstLineChars="100" w:firstLine="180"/>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Contribuição de Melhoria</w:t>
            </w:r>
          </w:p>
        </w:tc>
        <w:tc>
          <w:tcPr>
            <w:tcW w:w="2480" w:type="dxa"/>
            <w:tcBorders>
              <w:top w:val="nil"/>
              <w:left w:val="nil"/>
              <w:bottom w:val="nil"/>
              <w:right w:val="single" w:sz="8" w:space="0" w:color="auto"/>
            </w:tcBorders>
            <w:shd w:val="clear" w:color="auto" w:fill="auto"/>
            <w:vAlign w:val="center"/>
            <w:hideMark/>
          </w:tcPr>
          <w:p w14:paraId="2B11B720"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BOR.C015</w:t>
            </w:r>
          </w:p>
        </w:tc>
        <w:tc>
          <w:tcPr>
            <w:tcW w:w="1820" w:type="dxa"/>
            <w:tcBorders>
              <w:top w:val="nil"/>
              <w:left w:val="nil"/>
              <w:bottom w:val="nil"/>
              <w:right w:val="single" w:sz="8" w:space="0" w:color="auto"/>
            </w:tcBorders>
            <w:shd w:val="clear" w:color="auto" w:fill="auto"/>
            <w:vAlign w:val="center"/>
            <w:hideMark/>
          </w:tcPr>
          <w:p w14:paraId="61AB02DE"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BOR.D015</w:t>
            </w:r>
          </w:p>
        </w:tc>
        <w:tc>
          <w:tcPr>
            <w:tcW w:w="1920" w:type="dxa"/>
            <w:tcBorders>
              <w:top w:val="nil"/>
              <w:left w:val="nil"/>
              <w:bottom w:val="nil"/>
              <w:right w:val="single" w:sz="8" w:space="0" w:color="auto"/>
            </w:tcBorders>
            <w:shd w:val="clear" w:color="auto" w:fill="auto"/>
            <w:vAlign w:val="center"/>
            <w:hideMark/>
          </w:tcPr>
          <w:p w14:paraId="7899D9FC"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BOR.E015</w:t>
            </w:r>
          </w:p>
        </w:tc>
        <w:tc>
          <w:tcPr>
            <w:tcW w:w="1780" w:type="dxa"/>
            <w:tcBorders>
              <w:top w:val="nil"/>
              <w:left w:val="nil"/>
              <w:bottom w:val="nil"/>
              <w:right w:val="single" w:sz="8" w:space="0" w:color="auto"/>
            </w:tcBorders>
            <w:shd w:val="clear" w:color="auto" w:fill="auto"/>
            <w:vAlign w:val="center"/>
            <w:hideMark/>
          </w:tcPr>
          <w:p w14:paraId="414C827F"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BOR.F015</w:t>
            </w:r>
          </w:p>
        </w:tc>
      </w:tr>
      <w:tr w:rsidR="002F1E8D" w:rsidRPr="002F1E8D" w14:paraId="5CA22781" w14:textId="77777777" w:rsidTr="00326F06">
        <w:trPr>
          <w:trHeight w:val="270"/>
        </w:trPr>
        <w:tc>
          <w:tcPr>
            <w:tcW w:w="6100" w:type="dxa"/>
            <w:tcBorders>
              <w:top w:val="nil"/>
              <w:left w:val="single" w:sz="8" w:space="0" w:color="auto"/>
              <w:bottom w:val="nil"/>
              <w:right w:val="single" w:sz="8" w:space="0" w:color="auto"/>
            </w:tcBorders>
            <w:shd w:val="clear" w:color="auto" w:fill="auto"/>
            <w:vAlign w:val="center"/>
            <w:hideMark/>
          </w:tcPr>
          <w:p w14:paraId="6F5321D6" w14:textId="77777777" w:rsidR="002F1E8D" w:rsidRPr="002F1E8D" w:rsidRDefault="002F1E8D" w:rsidP="00326F06">
            <w:pPr>
              <w:spacing w:after="0" w:line="240" w:lineRule="auto"/>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 xml:space="preserve">  Receita de Contribuições</w:t>
            </w:r>
          </w:p>
        </w:tc>
        <w:tc>
          <w:tcPr>
            <w:tcW w:w="2480" w:type="dxa"/>
            <w:tcBorders>
              <w:top w:val="nil"/>
              <w:left w:val="nil"/>
              <w:bottom w:val="nil"/>
              <w:right w:val="single" w:sz="8" w:space="0" w:color="auto"/>
            </w:tcBorders>
            <w:shd w:val="clear" w:color="auto" w:fill="auto"/>
            <w:vAlign w:val="center"/>
            <w:hideMark/>
          </w:tcPr>
          <w:p w14:paraId="6345FEE8" w14:textId="77777777" w:rsidR="002F1E8D" w:rsidRPr="002F1E8D" w:rsidRDefault="002F1E8D" w:rsidP="00326F06">
            <w:pPr>
              <w:spacing w:after="0"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BOR.C016</w:t>
            </w:r>
          </w:p>
        </w:tc>
        <w:tc>
          <w:tcPr>
            <w:tcW w:w="1820" w:type="dxa"/>
            <w:tcBorders>
              <w:top w:val="nil"/>
              <w:left w:val="nil"/>
              <w:bottom w:val="nil"/>
              <w:right w:val="single" w:sz="8" w:space="0" w:color="auto"/>
            </w:tcBorders>
            <w:shd w:val="clear" w:color="auto" w:fill="auto"/>
            <w:vAlign w:val="center"/>
            <w:hideMark/>
          </w:tcPr>
          <w:p w14:paraId="0F510757" w14:textId="77777777" w:rsidR="002F1E8D" w:rsidRPr="002F1E8D" w:rsidRDefault="002F1E8D" w:rsidP="00326F06">
            <w:pPr>
              <w:spacing w:after="0"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BOR.D016</w:t>
            </w:r>
          </w:p>
        </w:tc>
        <w:tc>
          <w:tcPr>
            <w:tcW w:w="1920" w:type="dxa"/>
            <w:tcBorders>
              <w:top w:val="nil"/>
              <w:left w:val="nil"/>
              <w:bottom w:val="nil"/>
              <w:right w:val="single" w:sz="8" w:space="0" w:color="auto"/>
            </w:tcBorders>
            <w:shd w:val="clear" w:color="auto" w:fill="auto"/>
            <w:vAlign w:val="center"/>
            <w:hideMark/>
          </w:tcPr>
          <w:p w14:paraId="32934E27" w14:textId="77777777" w:rsidR="002F1E8D" w:rsidRPr="002F1E8D" w:rsidRDefault="002F1E8D" w:rsidP="00326F06">
            <w:pPr>
              <w:spacing w:after="0"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BOR.E016</w:t>
            </w:r>
          </w:p>
        </w:tc>
        <w:tc>
          <w:tcPr>
            <w:tcW w:w="1780" w:type="dxa"/>
            <w:tcBorders>
              <w:top w:val="nil"/>
              <w:left w:val="nil"/>
              <w:bottom w:val="nil"/>
              <w:right w:val="single" w:sz="8" w:space="0" w:color="auto"/>
            </w:tcBorders>
            <w:shd w:val="clear" w:color="auto" w:fill="auto"/>
            <w:vAlign w:val="center"/>
            <w:hideMark/>
          </w:tcPr>
          <w:p w14:paraId="5829F4D3" w14:textId="77777777" w:rsidR="002F1E8D" w:rsidRPr="002F1E8D" w:rsidRDefault="002F1E8D" w:rsidP="00326F06">
            <w:pPr>
              <w:spacing w:after="0"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BOR.F016</w:t>
            </w:r>
          </w:p>
        </w:tc>
      </w:tr>
      <w:tr w:rsidR="002F1E8D" w:rsidRPr="002F1E8D" w14:paraId="512E8741" w14:textId="77777777" w:rsidTr="00326F06">
        <w:trPr>
          <w:trHeight w:val="270"/>
        </w:trPr>
        <w:tc>
          <w:tcPr>
            <w:tcW w:w="6100" w:type="dxa"/>
            <w:tcBorders>
              <w:top w:val="nil"/>
              <w:left w:val="single" w:sz="8" w:space="0" w:color="auto"/>
              <w:bottom w:val="nil"/>
              <w:right w:val="single" w:sz="8" w:space="0" w:color="auto"/>
            </w:tcBorders>
            <w:shd w:val="clear" w:color="auto" w:fill="auto"/>
            <w:vAlign w:val="center"/>
            <w:hideMark/>
          </w:tcPr>
          <w:p w14:paraId="53D26C6F" w14:textId="77777777" w:rsidR="002F1E8D" w:rsidRPr="002F1E8D" w:rsidRDefault="002F1E8D" w:rsidP="00326F06">
            <w:pPr>
              <w:spacing w:after="0" w:line="240" w:lineRule="auto"/>
              <w:ind w:firstLineChars="100" w:firstLine="180"/>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Contribuições Sociais</w:t>
            </w:r>
          </w:p>
        </w:tc>
        <w:tc>
          <w:tcPr>
            <w:tcW w:w="2480" w:type="dxa"/>
            <w:tcBorders>
              <w:top w:val="nil"/>
              <w:left w:val="nil"/>
              <w:bottom w:val="nil"/>
              <w:right w:val="single" w:sz="8" w:space="0" w:color="auto"/>
            </w:tcBorders>
            <w:shd w:val="clear" w:color="auto" w:fill="auto"/>
            <w:vAlign w:val="center"/>
            <w:hideMark/>
          </w:tcPr>
          <w:p w14:paraId="4A96BFBB"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BOR.C017</w:t>
            </w:r>
          </w:p>
        </w:tc>
        <w:tc>
          <w:tcPr>
            <w:tcW w:w="1820" w:type="dxa"/>
            <w:tcBorders>
              <w:top w:val="nil"/>
              <w:left w:val="nil"/>
              <w:bottom w:val="nil"/>
              <w:right w:val="single" w:sz="8" w:space="0" w:color="auto"/>
            </w:tcBorders>
            <w:shd w:val="clear" w:color="auto" w:fill="auto"/>
            <w:vAlign w:val="center"/>
            <w:hideMark/>
          </w:tcPr>
          <w:p w14:paraId="144647DF"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BOR.D017</w:t>
            </w:r>
          </w:p>
        </w:tc>
        <w:tc>
          <w:tcPr>
            <w:tcW w:w="1920" w:type="dxa"/>
            <w:tcBorders>
              <w:top w:val="nil"/>
              <w:left w:val="nil"/>
              <w:bottom w:val="nil"/>
              <w:right w:val="single" w:sz="8" w:space="0" w:color="auto"/>
            </w:tcBorders>
            <w:shd w:val="clear" w:color="auto" w:fill="auto"/>
            <w:vAlign w:val="center"/>
            <w:hideMark/>
          </w:tcPr>
          <w:p w14:paraId="673FEECE"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BOR.E017</w:t>
            </w:r>
          </w:p>
        </w:tc>
        <w:tc>
          <w:tcPr>
            <w:tcW w:w="1780" w:type="dxa"/>
            <w:tcBorders>
              <w:top w:val="nil"/>
              <w:left w:val="nil"/>
              <w:bottom w:val="nil"/>
              <w:right w:val="single" w:sz="8" w:space="0" w:color="auto"/>
            </w:tcBorders>
            <w:shd w:val="clear" w:color="auto" w:fill="auto"/>
            <w:vAlign w:val="center"/>
            <w:hideMark/>
          </w:tcPr>
          <w:p w14:paraId="1AB948E7"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BOR.F017</w:t>
            </w:r>
          </w:p>
        </w:tc>
      </w:tr>
      <w:tr w:rsidR="002F1E8D" w:rsidRPr="002F1E8D" w14:paraId="7AADDDF6" w14:textId="77777777" w:rsidTr="00326F06">
        <w:trPr>
          <w:trHeight w:val="270"/>
        </w:trPr>
        <w:tc>
          <w:tcPr>
            <w:tcW w:w="6100" w:type="dxa"/>
            <w:tcBorders>
              <w:top w:val="nil"/>
              <w:left w:val="single" w:sz="8" w:space="0" w:color="auto"/>
              <w:bottom w:val="nil"/>
              <w:right w:val="single" w:sz="8" w:space="0" w:color="auto"/>
            </w:tcBorders>
            <w:shd w:val="clear" w:color="auto" w:fill="auto"/>
            <w:vAlign w:val="center"/>
            <w:hideMark/>
          </w:tcPr>
          <w:p w14:paraId="0107B171" w14:textId="77777777" w:rsidR="002F1E8D" w:rsidRPr="002F1E8D" w:rsidRDefault="002F1E8D" w:rsidP="00326F06">
            <w:pPr>
              <w:spacing w:after="0" w:line="240" w:lineRule="auto"/>
              <w:ind w:firstLineChars="100" w:firstLine="180"/>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Contribuição de Intervenção no Domínio Econômico</w:t>
            </w:r>
          </w:p>
        </w:tc>
        <w:tc>
          <w:tcPr>
            <w:tcW w:w="2480" w:type="dxa"/>
            <w:tcBorders>
              <w:top w:val="nil"/>
              <w:left w:val="nil"/>
              <w:bottom w:val="nil"/>
              <w:right w:val="single" w:sz="8" w:space="0" w:color="auto"/>
            </w:tcBorders>
            <w:shd w:val="clear" w:color="auto" w:fill="auto"/>
            <w:vAlign w:val="center"/>
            <w:hideMark/>
          </w:tcPr>
          <w:p w14:paraId="1F2EF3F3"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BOR.C018</w:t>
            </w:r>
          </w:p>
        </w:tc>
        <w:tc>
          <w:tcPr>
            <w:tcW w:w="1820" w:type="dxa"/>
            <w:tcBorders>
              <w:top w:val="nil"/>
              <w:left w:val="nil"/>
              <w:bottom w:val="nil"/>
              <w:right w:val="single" w:sz="8" w:space="0" w:color="auto"/>
            </w:tcBorders>
            <w:shd w:val="clear" w:color="auto" w:fill="auto"/>
            <w:vAlign w:val="center"/>
            <w:hideMark/>
          </w:tcPr>
          <w:p w14:paraId="67517815"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BOR.D018</w:t>
            </w:r>
          </w:p>
        </w:tc>
        <w:tc>
          <w:tcPr>
            <w:tcW w:w="1920" w:type="dxa"/>
            <w:tcBorders>
              <w:top w:val="nil"/>
              <w:left w:val="nil"/>
              <w:bottom w:val="nil"/>
              <w:right w:val="single" w:sz="8" w:space="0" w:color="auto"/>
            </w:tcBorders>
            <w:shd w:val="clear" w:color="auto" w:fill="auto"/>
            <w:vAlign w:val="center"/>
            <w:hideMark/>
          </w:tcPr>
          <w:p w14:paraId="3B78BBEC"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BOR.E018</w:t>
            </w:r>
          </w:p>
        </w:tc>
        <w:tc>
          <w:tcPr>
            <w:tcW w:w="1780" w:type="dxa"/>
            <w:tcBorders>
              <w:top w:val="nil"/>
              <w:left w:val="nil"/>
              <w:bottom w:val="nil"/>
              <w:right w:val="single" w:sz="8" w:space="0" w:color="auto"/>
            </w:tcBorders>
            <w:shd w:val="clear" w:color="auto" w:fill="auto"/>
            <w:vAlign w:val="center"/>
            <w:hideMark/>
          </w:tcPr>
          <w:p w14:paraId="21CE1950"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BOR.F018</w:t>
            </w:r>
          </w:p>
        </w:tc>
      </w:tr>
      <w:tr w:rsidR="002F1E8D" w:rsidRPr="002F1E8D" w14:paraId="1DFFBF0B" w14:textId="77777777" w:rsidTr="00326F06">
        <w:trPr>
          <w:trHeight w:val="270"/>
        </w:trPr>
        <w:tc>
          <w:tcPr>
            <w:tcW w:w="6100" w:type="dxa"/>
            <w:tcBorders>
              <w:top w:val="nil"/>
              <w:left w:val="single" w:sz="8" w:space="0" w:color="auto"/>
              <w:bottom w:val="nil"/>
              <w:right w:val="single" w:sz="8" w:space="0" w:color="auto"/>
            </w:tcBorders>
            <w:shd w:val="clear" w:color="auto" w:fill="auto"/>
            <w:vAlign w:val="center"/>
            <w:hideMark/>
          </w:tcPr>
          <w:p w14:paraId="7B2926A4" w14:textId="77777777" w:rsidR="002F1E8D" w:rsidRPr="002F1E8D" w:rsidRDefault="002F1E8D" w:rsidP="00326F06">
            <w:pPr>
              <w:spacing w:after="0" w:line="240" w:lineRule="auto"/>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 xml:space="preserve">  Receita Patrimonial</w:t>
            </w:r>
          </w:p>
        </w:tc>
        <w:tc>
          <w:tcPr>
            <w:tcW w:w="2480" w:type="dxa"/>
            <w:tcBorders>
              <w:top w:val="nil"/>
              <w:left w:val="nil"/>
              <w:bottom w:val="nil"/>
              <w:right w:val="single" w:sz="8" w:space="0" w:color="auto"/>
            </w:tcBorders>
            <w:shd w:val="clear" w:color="auto" w:fill="auto"/>
            <w:vAlign w:val="center"/>
            <w:hideMark/>
          </w:tcPr>
          <w:p w14:paraId="74BC6094" w14:textId="77777777" w:rsidR="002F1E8D" w:rsidRPr="002F1E8D" w:rsidRDefault="002F1E8D" w:rsidP="00326F06">
            <w:pPr>
              <w:spacing w:after="0"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BOR.C020</w:t>
            </w:r>
          </w:p>
        </w:tc>
        <w:tc>
          <w:tcPr>
            <w:tcW w:w="1820" w:type="dxa"/>
            <w:tcBorders>
              <w:top w:val="nil"/>
              <w:left w:val="nil"/>
              <w:bottom w:val="nil"/>
              <w:right w:val="single" w:sz="8" w:space="0" w:color="auto"/>
            </w:tcBorders>
            <w:shd w:val="clear" w:color="auto" w:fill="auto"/>
            <w:vAlign w:val="center"/>
            <w:hideMark/>
          </w:tcPr>
          <w:p w14:paraId="79D20978" w14:textId="77777777" w:rsidR="002F1E8D" w:rsidRPr="002F1E8D" w:rsidRDefault="002F1E8D" w:rsidP="00326F06">
            <w:pPr>
              <w:spacing w:after="0"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BOR.D020</w:t>
            </w:r>
          </w:p>
        </w:tc>
        <w:tc>
          <w:tcPr>
            <w:tcW w:w="1920" w:type="dxa"/>
            <w:tcBorders>
              <w:top w:val="nil"/>
              <w:left w:val="nil"/>
              <w:bottom w:val="nil"/>
              <w:right w:val="single" w:sz="8" w:space="0" w:color="auto"/>
            </w:tcBorders>
            <w:shd w:val="clear" w:color="auto" w:fill="auto"/>
            <w:vAlign w:val="center"/>
            <w:hideMark/>
          </w:tcPr>
          <w:p w14:paraId="09C23C9B" w14:textId="77777777" w:rsidR="002F1E8D" w:rsidRPr="002F1E8D" w:rsidRDefault="002F1E8D" w:rsidP="00326F06">
            <w:pPr>
              <w:spacing w:after="0"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BOR.E020</w:t>
            </w:r>
          </w:p>
        </w:tc>
        <w:tc>
          <w:tcPr>
            <w:tcW w:w="1780" w:type="dxa"/>
            <w:tcBorders>
              <w:top w:val="nil"/>
              <w:left w:val="nil"/>
              <w:bottom w:val="nil"/>
              <w:right w:val="single" w:sz="8" w:space="0" w:color="auto"/>
            </w:tcBorders>
            <w:shd w:val="clear" w:color="auto" w:fill="auto"/>
            <w:vAlign w:val="center"/>
            <w:hideMark/>
          </w:tcPr>
          <w:p w14:paraId="7B9BAB18" w14:textId="77777777" w:rsidR="002F1E8D" w:rsidRPr="002F1E8D" w:rsidRDefault="002F1E8D" w:rsidP="00326F06">
            <w:pPr>
              <w:spacing w:after="0"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BOR.F020</w:t>
            </w:r>
          </w:p>
        </w:tc>
      </w:tr>
      <w:tr w:rsidR="002F1E8D" w:rsidRPr="002F1E8D" w14:paraId="2F397CF2" w14:textId="77777777" w:rsidTr="00326F06">
        <w:trPr>
          <w:trHeight w:val="270"/>
        </w:trPr>
        <w:tc>
          <w:tcPr>
            <w:tcW w:w="6100" w:type="dxa"/>
            <w:tcBorders>
              <w:top w:val="nil"/>
              <w:left w:val="single" w:sz="8" w:space="0" w:color="auto"/>
              <w:bottom w:val="nil"/>
              <w:right w:val="single" w:sz="8" w:space="0" w:color="auto"/>
            </w:tcBorders>
            <w:shd w:val="clear" w:color="auto" w:fill="auto"/>
            <w:vAlign w:val="center"/>
            <w:hideMark/>
          </w:tcPr>
          <w:p w14:paraId="7750BE44" w14:textId="77777777" w:rsidR="002F1E8D" w:rsidRPr="002F1E8D" w:rsidRDefault="002F1E8D" w:rsidP="00326F06">
            <w:pPr>
              <w:spacing w:after="0" w:line="240" w:lineRule="auto"/>
              <w:ind w:firstLineChars="100" w:firstLine="180"/>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Receitas Imobiliárias</w:t>
            </w:r>
          </w:p>
        </w:tc>
        <w:tc>
          <w:tcPr>
            <w:tcW w:w="2480" w:type="dxa"/>
            <w:tcBorders>
              <w:top w:val="nil"/>
              <w:left w:val="nil"/>
              <w:bottom w:val="nil"/>
              <w:right w:val="single" w:sz="8" w:space="0" w:color="auto"/>
            </w:tcBorders>
            <w:shd w:val="clear" w:color="auto" w:fill="auto"/>
            <w:vAlign w:val="center"/>
            <w:hideMark/>
          </w:tcPr>
          <w:p w14:paraId="6FA03C86"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BOR.C021</w:t>
            </w:r>
          </w:p>
        </w:tc>
        <w:tc>
          <w:tcPr>
            <w:tcW w:w="1820" w:type="dxa"/>
            <w:tcBorders>
              <w:top w:val="nil"/>
              <w:left w:val="nil"/>
              <w:bottom w:val="nil"/>
              <w:right w:val="single" w:sz="8" w:space="0" w:color="auto"/>
            </w:tcBorders>
            <w:shd w:val="clear" w:color="auto" w:fill="auto"/>
            <w:vAlign w:val="center"/>
            <w:hideMark/>
          </w:tcPr>
          <w:p w14:paraId="713ECA67"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BOR.D021</w:t>
            </w:r>
          </w:p>
        </w:tc>
        <w:tc>
          <w:tcPr>
            <w:tcW w:w="1920" w:type="dxa"/>
            <w:tcBorders>
              <w:top w:val="nil"/>
              <w:left w:val="nil"/>
              <w:bottom w:val="nil"/>
              <w:right w:val="single" w:sz="8" w:space="0" w:color="auto"/>
            </w:tcBorders>
            <w:shd w:val="clear" w:color="auto" w:fill="auto"/>
            <w:vAlign w:val="center"/>
            <w:hideMark/>
          </w:tcPr>
          <w:p w14:paraId="10E7B6A6"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BOR.E021</w:t>
            </w:r>
          </w:p>
        </w:tc>
        <w:tc>
          <w:tcPr>
            <w:tcW w:w="1780" w:type="dxa"/>
            <w:tcBorders>
              <w:top w:val="nil"/>
              <w:left w:val="nil"/>
              <w:bottom w:val="nil"/>
              <w:right w:val="single" w:sz="8" w:space="0" w:color="auto"/>
            </w:tcBorders>
            <w:shd w:val="clear" w:color="auto" w:fill="auto"/>
            <w:vAlign w:val="center"/>
            <w:hideMark/>
          </w:tcPr>
          <w:p w14:paraId="2456C111"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BOR.F021</w:t>
            </w:r>
          </w:p>
        </w:tc>
      </w:tr>
      <w:tr w:rsidR="002F1E8D" w:rsidRPr="002F1E8D" w14:paraId="52674733" w14:textId="77777777" w:rsidTr="00326F06">
        <w:trPr>
          <w:trHeight w:val="270"/>
        </w:trPr>
        <w:tc>
          <w:tcPr>
            <w:tcW w:w="6100" w:type="dxa"/>
            <w:tcBorders>
              <w:top w:val="nil"/>
              <w:left w:val="single" w:sz="8" w:space="0" w:color="auto"/>
              <w:bottom w:val="nil"/>
              <w:right w:val="single" w:sz="8" w:space="0" w:color="auto"/>
            </w:tcBorders>
            <w:shd w:val="clear" w:color="auto" w:fill="auto"/>
            <w:vAlign w:val="center"/>
            <w:hideMark/>
          </w:tcPr>
          <w:p w14:paraId="4B7B2C9A" w14:textId="77777777" w:rsidR="002F1E8D" w:rsidRPr="002F1E8D" w:rsidRDefault="002F1E8D" w:rsidP="00326F06">
            <w:pPr>
              <w:spacing w:after="0" w:line="240" w:lineRule="auto"/>
              <w:ind w:firstLineChars="100" w:firstLine="180"/>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Receitas de Valores Mobiliários</w:t>
            </w:r>
          </w:p>
        </w:tc>
        <w:tc>
          <w:tcPr>
            <w:tcW w:w="2480" w:type="dxa"/>
            <w:tcBorders>
              <w:top w:val="nil"/>
              <w:left w:val="nil"/>
              <w:bottom w:val="nil"/>
              <w:right w:val="single" w:sz="8" w:space="0" w:color="auto"/>
            </w:tcBorders>
            <w:shd w:val="clear" w:color="auto" w:fill="auto"/>
            <w:vAlign w:val="center"/>
            <w:hideMark/>
          </w:tcPr>
          <w:p w14:paraId="4F6ADDDF"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BOR.C022</w:t>
            </w:r>
          </w:p>
        </w:tc>
        <w:tc>
          <w:tcPr>
            <w:tcW w:w="1820" w:type="dxa"/>
            <w:tcBorders>
              <w:top w:val="nil"/>
              <w:left w:val="nil"/>
              <w:bottom w:val="nil"/>
              <w:right w:val="single" w:sz="8" w:space="0" w:color="auto"/>
            </w:tcBorders>
            <w:shd w:val="clear" w:color="auto" w:fill="auto"/>
            <w:vAlign w:val="center"/>
            <w:hideMark/>
          </w:tcPr>
          <w:p w14:paraId="51CE8A41"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BOR.D022</w:t>
            </w:r>
          </w:p>
        </w:tc>
        <w:tc>
          <w:tcPr>
            <w:tcW w:w="1920" w:type="dxa"/>
            <w:tcBorders>
              <w:top w:val="nil"/>
              <w:left w:val="nil"/>
              <w:bottom w:val="nil"/>
              <w:right w:val="single" w:sz="8" w:space="0" w:color="auto"/>
            </w:tcBorders>
            <w:shd w:val="clear" w:color="auto" w:fill="auto"/>
            <w:vAlign w:val="center"/>
            <w:hideMark/>
          </w:tcPr>
          <w:p w14:paraId="7B9ABC12"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BOR.E022</w:t>
            </w:r>
          </w:p>
        </w:tc>
        <w:tc>
          <w:tcPr>
            <w:tcW w:w="1780" w:type="dxa"/>
            <w:tcBorders>
              <w:top w:val="nil"/>
              <w:left w:val="nil"/>
              <w:bottom w:val="nil"/>
              <w:right w:val="single" w:sz="8" w:space="0" w:color="auto"/>
            </w:tcBorders>
            <w:shd w:val="clear" w:color="auto" w:fill="auto"/>
            <w:vAlign w:val="center"/>
            <w:hideMark/>
          </w:tcPr>
          <w:p w14:paraId="7A2E0448"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BOR.F022</w:t>
            </w:r>
          </w:p>
        </w:tc>
      </w:tr>
      <w:tr w:rsidR="002F1E8D" w:rsidRPr="002F1E8D" w14:paraId="5455B45D" w14:textId="77777777" w:rsidTr="00326F06">
        <w:trPr>
          <w:trHeight w:val="270"/>
        </w:trPr>
        <w:tc>
          <w:tcPr>
            <w:tcW w:w="6100" w:type="dxa"/>
            <w:tcBorders>
              <w:top w:val="nil"/>
              <w:left w:val="single" w:sz="8" w:space="0" w:color="auto"/>
              <w:bottom w:val="nil"/>
              <w:right w:val="single" w:sz="8" w:space="0" w:color="auto"/>
            </w:tcBorders>
            <w:shd w:val="clear" w:color="auto" w:fill="auto"/>
            <w:vAlign w:val="center"/>
            <w:hideMark/>
          </w:tcPr>
          <w:p w14:paraId="5F2351E8" w14:textId="77777777" w:rsidR="002F1E8D" w:rsidRPr="002F1E8D" w:rsidRDefault="002F1E8D" w:rsidP="00326F06">
            <w:pPr>
              <w:spacing w:after="0" w:line="240" w:lineRule="auto"/>
              <w:ind w:firstLineChars="100" w:firstLine="180"/>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Receita de Concessões e Permissões</w:t>
            </w:r>
          </w:p>
        </w:tc>
        <w:tc>
          <w:tcPr>
            <w:tcW w:w="2480" w:type="dxa"/>
            <w:tcBorders>
              <w:top w:val="nil"/>
              <w:left w:val="nil"/>
              <w:bottom w:val="nil"/>
              <w:right w:val="single" w:sz="8" w:space="0" w:color="auto"/>
            </w:tcBorders>
            <w:shd w:val="clear" w:color="auto" w:fill="auto"/>
            <w:vAlign w:val="center"/>
            <w:hideMark/>
          </w:tcPr>
          <w:p w14:paraId="690A1E13"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BOR.C023</w:t>
            </w:r>
          </w:p>
        </w:tc>
        <w:tc>
          <w:tcPr>
            <w:tcW w:w="1820" w:type="dxa"/>
            <w:tcBorders>
              <w:top w:val="nil"/>
              <w:left w:val="nil"/>
              <w:bottom w:val="nil"/>
              <w:right w:val="single" w:sz="8" w:space="0" w:color="auto"/>
            </w:tcBorders>
            <w:shd w:val="clear" w:color="auto" w:fill="auto"/>
            <w:vAlign w:val="center"/>
            <w:hideMark/>
          </w:tcPr>
          <w:p w14:paraId="4430B537"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BOR.D023</w:t>
            </w:r>
          </w:p>
        </w:tc>
        <w:tc>
          <w:tcPr>
            <w:tcW w:w="1920" w:type="dxa"/>
            <w:tcBorders>
              <w:top w:val="nil"/>
              <w:left w:val="nil"/>
              <w:bottom w:val="nil"/>
              <w:right w:val="single" w:sz="8" w:space="0" w:color="auto"/>
            </w:tcBorders>
            <w:shd w:val="clear" w:color="auto" w:fill="auto"/>
            <w:vAlign w:val="center"/>
            <w:hideMark/>
          </w:tcPr>
          <w:p w14:paraId="1BA4D18E"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BOR.E023</w:t>
            </w:r>
          </w:p>
        </w:tc>
        <w:tc>
          <w:tcPr>
            <w:tcW w:w="1780" w:type="dxa"/>
            <w:tcBorders>
              <w:top w:val="nil"/>
              <w:left w:val="nil"/>
              <w:bottom w:val="nil"/>
              <w:right w:val="single" w:sz="8" w:space="0" w:color="auto"/>
            </w:tcBorders>
            <w:shd w:val="clear" w:color="auto" w:fill="auto"/>
            <w:vAlign w:val="center"/>
            <w:hideMark/>
          </w:tcPr>
          <w:p w14:paraId="1D07EE82"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BOR.F023</w:t>
            </w:r>
          </w:p>
        </w:tc>
      </w:tr>
      <w:tr w:rsidR="002F1E8D" w:rsidRPr="002F1E8D" w14:paraId="020FDE84" w14:textId="77777777" w:rsidTr="00326F06">
        <w:trPr>
          <w:trHeight w:val="270"/>
        </w:trPr>
        <w:tc>
          <w:tcPr>
            <w:tcW w:w="6100" w:type="dxa"/>
            <w:tcBorders>
              <w:top w:val="nil"/>
              <w:left w:val="single" w:sz="8" w:space="0" w:color="auto"/>
              <w:bottom w:val="nil"/>
              <w:right w:val="single" w:sz="8" w:space="0" w:color="auto"/>
            </w:tcBorders>
            <w:shd w:val="clear" w:color="auto" w:fill="auto"/>
            <w:vAlign w:val="center"/>
            <w:hideMark/>
          </w:tcPr>
          <w:p w14:paraId="76F52408" w14:textId="77777777" w:rsidR="002F1E8D" w:rsidRPr="002F1E8D" w:rsidRDefault="002F1E8D" w:rsidP="00326F06">
            <w:pPr>
              <w:spacing w:after="0" w:line="240" w:lineRule="auto"/>
              <w:ind w:firstLineChars="100" w:firstLine="180"/>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Compensações Financeiras</w:t>
            </w:r>
          </w:p>
        </w:tc>
        <w:tc>
          <w:tcPr>
            <w:tcW w:w="2480" w:type="dxa"/>
            <w:tcBorders>
              <w:top w:val="nil"/>
              <w:left w:val="nil"/>
              <w:bottom w:val="nil"/>
              <w:right w:val="single" w:sz="8" w:space="0" w:color="auto"/>
            </w:tcBorders>
            <w:shd w:val="clear" w:color="auto" w:fill="auto"/>
            <w:vAlign w:val="center"/>
            <w:hideMark/>
          </w:tcPr>
          <w:p w14:paraId="3574355A"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BOR.C024</w:t>
            </w:r>
          </w:p>
        </w:tc>
        <w:tc>
          <w:tcPr>
            <w:tcW w:w="1820" w:type="dxa"/>
            <w:tcBorders>
              <w:top w:val="nil"/>
              <w:left w:val="nil"/>
              <w:bottom w:val="nil"/>
              <w:right w:val="single" w:sz="8" w:space="0" w:color="auto"/>
            </w:tcBorders>
            <w:shd w:val="clear" w:color="auto" w:fill="auto"/>
            <w:vAlign w:val="center"/>
            <w:hideMark/>
          </w:tcPr>
          <w:p w14:paraId="462F8DA5"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BOR.D024</w:t>
            </w:r>
          </w:p>
        </w:tc>
        <w:tc>
          <w:tcPr>
            <w:tcW w:w="1920" w:type="dxa"/>
            <w:tcBorders>
              <w:top w:val="nil"/>
              <w:left w:val="nil"/>
              <w:bottom w:val="nil"/>
              <w:right w:val="single" w:sz="8" w:space="0" w:color="auto"/>
            </w:tcBorders>
            <w:shd w:val="clear" w:color="auto" w:fill="auto"/>
            <w:vAlign w:val="center"/>
            <w:hideMark/>
          </w:tcPr>
          <w:p w14:paraId="2959C584"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BOR.E024</w:t>
            </w:r>
          </w:p>
        </w:tc>
        <w:tc>
          <w:tcPr>
            <w:tcW w:w="1780" w:type="dxa"/>
            <w:tcBorders>
              <w:top w:val="nil"/>
              <w:left w:val="nil"/>
              <w:bottom w:val="nil"/>
              <w:right w:val="single" w:sz="8" w:space="0" w:color="auto"/>
            </w:tcBorders>
            <w:shd w:val="clear" w:color="auto" w:fill="auto"/>
            <w:vAlign w:val="center"/>
            <w:hideMark/>
          </w:tcPr>
          <w:p w14:paraId="73FB12DF"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BOR.F024</w:t>
            </w:r>
          </w:p>
        </w:tc>
      </w:tr>
      <w:tr w:rsidR="002F1E8D" w:rsidRPr="002F1E8D" w14:paraId="57266A10" w14:textId="77777777" w:rsidTr="00326F06">
        <w:trPr>
          <w:trHeight w:val="495"/>
        </w:trPr>
        <w:tc>
          <w:tcPr>
            <w:tcW w:w="6100" w:type="dxa"/>
            <w:tcBorders>
              <w:top w:val="nil"/>
              <w:left w:val="single" w:sz="8" w:space="0" w:color="auto"/>
              <w:bottom w:val="nil"/>
              <w:right w:val="single" w:sz="8" w:space="0" w:color="auto"/>
            </w:tcBorders>
            <w:shd w:val="clear" w:color="auto" w:fill="auto"/>
            <w:vAlign w:val="center"/>
            <w:hideMark/>
          </w:tcPr>
          <w:p w14:paraId="35D817D7" w14:textId="77777777" w:rsidR="002F1E8D" w:rsidRPr="002F1E8D" w:rsidRDefault="002F1E8D" w:rsidP="00326F06">
            <w:pPr>
              <w:spacing w:after="0" w:line="240" w:lineRule="auto"/>
              <w:ind w:firstLineChars="100" w:firstLine="180"/>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Receita Decorrente do Direito de Exploração de Bens Públicos em Áreas de Domínio Público</w:t>
            </w:r>
          </w:p>
        </w:tc>
        <w:tc>
          <w:tcPr>
            <w:tcW w:w="2480" w:type="dxa"/>
            <w:tcBorders>
              <w:top w:val="nil"/>
              <w:left w:val="nil"/>
              <w:bottom w:val="nil"/>
              <w:right w:val="single" w:sz="8" w:space="0" w:color="auto"/>
            </w:tcBorders>
            <w:shd w:val="clear" w:color="auto" w:fill="auto"/>
            <w:vAlign w:val="center"/>
            <w:hideMark/>
          </w:tcPr>
          <w:p w14:paraId="3E175B30"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BOR.C025</w:t>
            </w:r>
          </w:p>
        </w:tc>
        <w:tc>
          <w:tcPr>
            <w:tcW w:w="1820" w:type="dxa"/>
            <w:tcBorders>
              <w:top w:val="nil"/>
              <w:left w:val="nil"/>
              <w:bottom w:val="nil"/>
              <w:right w:val="single" w:sz="8" w:space="0" w:color="auto"/>
            </w:tcBorders>
            <w:shd w:val="clear" w:color="auto" w:fill="auto"/>
            <w:vAlign w:val="center"/>
            <w:hideMark/>
          </w:tcPr>
          <w:p w14:paraId="2112273E"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BOR.D025</w:t>
            </w:r>
          </w:p>
        </w:tc>
        <w:tc>
          <w:tcPr>
            <w:tcW w:w="1920" w:type="dxa"/>
            <w:tcBorders>
              <w:top w:val="nil"/>
              <w:left w:val="nil"/>
              <w:bottom w:val="nil"/>
              <w:right w:val="single" w:sz="8" w:space="0" w:color="auto"/>
            </w:tcBorders>
            <w:shd w:val="clear" w:color="auto" w:fill="auto"/>
            <w:vAlign w:val="center"/>
            <w:hideMark/>
          </w:tcPr>
          <w:p w14:paraId="50783117"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BOR.E025</w:t>
            </w:r>
          </w:p>
        </w:tc>
        <w:tc>
          <w:tcPr>
            <w:tcW w:w="1780" w:type="dxa"/>
            <w:tcBorders>
              <w:top w:val="nil"/>
              <w:left w:val="nil"/>
              <w:bottom w:val="nil"/>
              <w:right w:val="single" w:sz="8" w:space="0" w:color="auto"/>
            </w:tcBorders>
            <w:shd w:val="clear" w:color="auto" w:fill="auto"/>
            <w:vAlign w:val="center"/>
            <w:hideMark/>
          </w:tcPr>
          <w:p w14:paraId="2E0028B5"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BOR.F025</w:t>
            </w:r>
          </w:p>
        </w:tc>
      </w:tr>
      <w:tr w:rsidR="002F1E8D" w:rsidRPr="002F1E8D" w14:paraId="77B1CFCA" w14:textId="77777777" w:rsidTr="00326F06">
        <w:trPr>
          <w:trHeight w:val="255"/>
        </w:trPr>
        <w:tc>
          <w:tcPr>
            <w:tcW w:w="6100" w:type="dxa"/>
            <w:tcBorders>
              <w:top w:val="nil"/>
              <w:left w:val="single" w:sz="8" w:space="0" w:color="auto"/>
              <w:bottom w:val="nil"/>
              <w:right w:val="single" w:sz="8" w:space="0" w:color="auto"/>
            </w:tcBorders>
            <w:shd w:val="clear" w:color="auto" w:fill="auto"/>
            <w:vAlign w:val="center"/>
            <w:hideMark/>
          </w:tcPr>
          <w:p w14:paraId="77BFDE7F" w14:textId="77777777" w:rsidR="002F1E8D" w:rsidRPr="002F1E8D" w:rsidRDefault="002F1E8D" w:rsidP="00326F06">
            <w:pPr>
              <w:spacing w:after="0" w:line="240" w:lineRule="auto"/>
              <w:ind w:firstLineChars="100" w:firstLine="180"/>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Receita da Cessão de Direitos</w:t>
            </w:r>
          </w:p>
        </w:tc>
        <w:tc>
          <w:tcPr>
            <w:tcW w:w="2480" w:type="dxa"/>
            <w:tcBorders>
              <w:top w:val="nil"/>
              <w:left w:val="nil"/>
              <w:bottom w:val="nil"/>
              <w:right w:val="single" w:sz="8" w:space="0" w:color="auto"/>
            </w:tcBorders>
            <w:shd w:val="clear" w:color="auto" w:fill="auto"/>
            <w:vAlign w:val="center"/>
            <w:hideMark/>
          </w:tcPr>
          <w:p w14:paraId="16C7A38D"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BOR.C026</w:t>
            </w:r>
          </w:p>
        </w:tc>
        <w:tc>
          <w:tcPr>
            <w:tcW w:w="1820" w:type="dxa"/>
            <w:tcBorders>
              <w:top w:val="nil"/>
              <w:left w:val="nil"/>
              <w:bottom w:val="nil"/>
              <w:right w:val="single" w:sz="8" w:space="0" w:color="auto"/>
            </w:tcBorders>
            <w:shd w:val="clear" w:color="auto" w:fill="auto"/>
            <w:vAlign w:val="center"/>
            <w:hideMark/>
          </w:tcPr>
          <w:p w14:paraId="03DA23FB"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BOR.D026</w:t>
            </w:r>
          </w:p>
        </w:tc>
        <w:tc>
          <w:tcPr>
            <w:tcW w:w="1920" w:type="dxa"/>
            <w:tcBorders>
              <w:top w:val="nil"/>
              <w:left w:val="nil"/>
              <w:bottom w:val="nil"/>
              <w:right w:val="single" w:sz="8" w:space="0" w:color="auto"/>
            </w:tcBorders>
            <w:shd w:val="clear" w:color="auto" w:fill="auto"/>
            <w:vAlign w:val="center"/>
            <w:hideMark/>
          </w:tcPr>
          <w:p w14:paraId="62A2F9CC"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BOR.E026</w:t>
            </w:r>
          </w:p>
        </w:tc>
        <w:tc>
          <w:tcPr>
            <w:tcW w:w="1780" w:type="dxa"/>
            <w:tcBorders>
              <w:top w:val="nil"/>
              <w:left w:val="nil"/>
              <w:bottom w:val="nil"/>
              <w:right w:val="single" w:sz="8" w:space="0" w:color="auto"/>
            </w:tcBorders>
            <w:shd w:val="clear" w:color="auto" w:fill="auto"/>
            <w:vAlign w:val="center"/>
            <w:hideMark/>
          </w:tcPr>
          <w:p w14:paraId="2155E7FE"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BOR.F026</w:t>
            </w:r>
          </w:p>
        </w:tc>
      </w:tr>
      <w:tr w:rsidR="002F1E8D" w:rsidRPr="002F1E8D" w14:paraId="149544B0" w14:textId="77777777" w:rsidTr="00326F06">
        <w:trPr>
          <w:trHeight w:val="270"/>
        </w:trPr>
        <w:tc>
          <w:tcPr>
            <w:tcW w:w="6100" w:type="dxa"/>
            <w:tcBorders>
              <w:top w:val="nil"/>
              <w:left w:val="single" w:sz="8" w:space="0" w:color="auto"/>
              <w:bottom w:val="nil"/>
              <w:right w:val="single" w:sz="8" w:space="0" w:color="auto"/>
            </w:tcBorders>
            <w:shd w:val="clear" w:color="auto" w:fill="auto"/>
            <w:vAlign w:val="center"/>
            <w:hideMark/>
          </w:tcPr>
          <w:p w14:paraId="7B7D7463" w14:textId="77777777" w:rsidR="002F1E8D" w:rsidRPr="002F1E8D" w:rsidRDefault="002F1E8D" w:rsidP="00326F06">
            <w:pPr>
              <w:spacing w:after="0" w:line="240" w:lineRule="auto"/>
              <w:ind w:firstLineChars="100" w:firstLine="180"/>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Outras Receitas Patrimoniais</w:t>
            </w:r>
          </w:p>
        </w:tc>
        <w:tc>
          <w:tcPr>
            <w:tcW w:w="2480" w:type="dxa"/>
            <w:tcBorders>
              <w:top w:val="nil"/>
              <w:left w:val="nil"/>
              <w:bottom w:val="nil"/>
              <w:right w:val="single" w:sz="8" w:space="0" w:color="auto"/>
            </w:tcBorders>
            <w:shd w:val="clear" w:color="auto" w:fill="auto"/>
            <w:vAlign w:val="center"/>
            <w:hideMark/>
          </w:tcPr>
          <w:p w14:paraId="16E6EB7C"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BOR.C027</w:t>
            </w:r>
          </w:p>
        </w:tc>
        <w:tc>
          <w:tcPr>
            <w:tcW w:w="1820" w:type="dxa"/>
            <w:tcBorders>
              <w:top w:val="nil"/>
              <w:left w:val="nil"/>
              <w:bottom w:val="nil"/>
              <w:right w:val="single" w:sz="8" w:space="0" w:color="auto"/>
            </w:tcBorders>
            <w:shd w:val="clear" w:color="auto" w:fill="auto"/>
            <w:vAlign w:val="center"/>
            <w:hideMark/>
          </w:tcPr>
          <w:p w14:paraId="33E4AEB7"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BOR.D027</w:t>
            </w:r>
          </w:p>
        </w:tc>
        <w:tc>
          <w:tcPr>
            <w:tcW w:w="1920" w:type="dxa"/>
            <w:tcBorders>
              <w:top w:val="nil"/>
              <w:left w:val="nil"/>
              <w:bottom w:val="nil"/>
              <w:right w:val="single" w:sz="8" w:space="0" w:color="auto"/>
            </w:tcBorders>
            <w:shd w:val="clear" w:color="auto" w:fill="auto"/>
            <w:vAlign w:val="center"/>
            <w:hideMark/>
          </w:tcPr>
          <w:p w14:paraId="670F84EF"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BOR.E027</w:t>
            </w:r>
          </w:p>
        </w:tc>
        <w:tc>
          <w:tcPr>
            <w:tcW w:w="1780" w:type="dxa"/>
            <w:tcBorders>
              <w:top w:val="nil"/>
              <w:left w:val="nil"/>
              <w:bottom w:val="nil"/>
              <w:right w:val="single" w:sz="8" w:space="0" w:color="auto"/>
            </w:tcBorders>
            <w:shd w:val="clear" w:color="auto" w:fill="auto"/>
            <w:vAlign w:val="center"/>
            <w:hideMark/>
          </w:tcPr>
          <w:p w14:paraId="596BB896"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BOR.F027</w:t>
            </w:r>
          </w:p>
        </w:tc>
      </w:tr>
      <w:tr w:rsidR="002F1E8D" w:rsidRPr="002F1E8D" w14:paraId="67EA5EBE" w14:textId="77777777" w:rsidTr="00326F06">
        <w:trPr>
          <w:trHeight w:val="270"/>
        </w:trPr>
        <w:tc>
          <w:tcPr>
            <w:tcW w:w="6100" w:type="dxa"/>
            <w:tcBorders>
              <w:top w:val="nil"/>
              <w:left w:val="single" w:sz="8" w:space="0" w:color="auto"/>
              <w:bottom w:val="nil"/>
              <w:right w:val="single" w:sz="8" w:space="0" w:color="auto"/>
            </w:tcBorders>
            <w:shd w:val="clear" w:color="auto" w:fill="auto"/>
            <w:vAlign w:val="center"/>
            <w:hideMark/>
          </w:tcPr>
          <w:p w14:paraId="3D78C085" w14:textId="77777777" w:rsidR="002F1E8D" w:rsidRPr="002F1E8D" w:rsidRDefault="002F1E8D" w:rsidP="00326F06">
            <w:pPr>
              <w:spacing w:after="0" w:line="240" w:lineRule="auto"/>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 xml:space="preserve">  Receita Agropecuária</w:t>
            </w:r>
          </w:p>
        </w:tc>
        <w:tc>
          <w:tcPr>
            <w:tcW w:w="2480" w:type="dxa"/>
            <w:tcBorders>
              <w:top w:val="nil"/>
              <w:left w:val="nil"/>
              <w:bottom w:val="nil"/>
              <w:right w:val="single" w:sz="8" w:space="0" w:color="auto"/>
            </w:tcBorders>
            <w:shd w:val="clear" w:color="auto" w:fill="auto"/>
            <w:vAlign w:val="center"/>
            <w:hideMark/>
          </w:tcPr>
          <w:p w14:paraId="5C7E8B14" w14:textId="77777777" w:rsidR="002F1E8D" w:rsidRPr="002F1E8D" w:rsidRDefault="002F1E8D" w:rsidP="00326F06">
            <w:pPr>
              <w:spacing w:after="0"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BOR.C028</w:t>
            </w:r>
          </w:p>
        </w:tc>
        <w:tc>
          <w:tcPr>
            <w:tcW w:w="1820" w:type="dxa"/>
            <w:tcBorders>
              <w:top w:val="nil"/>
              <w:left w:val="nil"/>
              <w:bottom w:val="nil"/>
              <w:right w:val="single" w:sz="8" w:space="0" w:color="auto"/>
            </w:tcBorders>
            <w:shd w:val="clear" w:color="auto" w:fill="auto"/>
            <w:vAlign w:val="center"/>
            <w:hideMark/>
          </w:tcPr>
          <w:p w14:paraId="7DAA5328" w14:textId="77777777" w:rsidR="002F1E8D" w:rsidRPr="002F1E8D" w:rsidRDefault="002F1E8D" w:rsidP="00326F06">
            <w:pPr>
              <w:spacing w:after="0"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BOR.D028</w:t>
            </w:r>
          </w:p>
        </w:tc>
        <w:tc>
          <w:tcPr>
            <w:tcW w:w="1920" w:type="dxa"/>
            <w:tcBorders>
              <w:top w:val="nil"/>
              <w:left w:val="nil"/>
              <w:bottom w:val="nil"/>
              <w:right w:val="single" w:sz="8" w:space="0" w:color="auto"/>
            </w:tcBorders>
            <w:shd w:val="clear" w:color="auto" w:fill="auto"/>
            <w:vAlign w:val="center"/>
            <w:hideMark/>
          </w:tcPr>
          <w:p w14:paraId="0A451E05" w14:textId="77777777" w:rsidR="002F1E8D" w:rsidRPr="002F1E8D" w:rsidRDefault="002F1E8D" w:rsidP="00326F06">
            <w:pPr>
              <w:spacing w:after="0"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BOR.E028</w:t>
            </w:r>
          </w:p>
        </w:tc>
        <w:tc>
          <w:tcPr>
            <w:tcW w:w="1780" w:type="dxa"/>
            <w:tcBorders>
              <w:top w:val="nil"/>
              <w:left w:val="nil"/>
              <w:bottom w:val="nil"/>
              <w:right w:val="single" w:sz="8" w:space="0" w:color="auto"/>
            </w:tcBorders>
            <w:shd w:val="clear" w:color="auto" w:fill="auto"/>
            <w:vAlign w:val="center"/>
            <w:hideMark/>
          </w:tcPr>
          <w:p w14:paraId="189D5C4B" w14:textId="77777777" w:rsidR="002F1E8D" w:rsidRPr="002F1E8D" w:rsidRDefault="002F1E8D" w:rsidP="00326F06">
            <w:pPr>
              <w:spacing w:after="0"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BOR.F028</w:t>
            </w:r>
          </w:p>
        </w:tc>
      </w:tr>
      <w:tr w:rsidR="002F1E8D" w:rsidRPr="002F1E8D" w14:paraId="5059AA7B" w14:textId="77777777" w:rsidTr="00326F06">
        <w:trPr>
          <w:trHeight w:val="270"/>
        </w:trPr>
        <w:tc>
          <w:tcPr>
            <w:tcW w:w="6100" w:type="dxa"/>
            <w:tcBorders>
              <w:top w:val="nil"/>
              <w:left w:val="single" w:sz="8" w:space="0" w:color="auto"/>
              <w:bottom w:val="nil"/>
              <w:right w:val="single" w:sz="8" w:space="0" w:color="auto"/>
            </w:tcBorders>
            <w:shd w:val="clear" w:color="auto" w:fill="auto"/>
            <w:vAlign w:val="center"/>
            <w:hideMark/>
          </w:tcPr>
          <w:p w14:paraId="25419364" w14:textId="77777777" w:rsidR="002F1E8D" w:rsidRPr="002F1E8D" w:rsidRDefault="002F1E8D" w:rsidP="00326F06">
            <w:pPr>
              <w:spacing w:after="0" w:line="240" w:lineRule="auto"/>
              <w:ind w:firstLineChars="100" w:firstLine="180"/>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Receita da Produção Vegetal</w:t>
            </w:r>
          </w:p>
        </w:tc>
        <w:tc>
          <w:tcPr>
            <w:tcW w:w="2480" w:type="dxa"/>
            <w:tcBorders>
              <w:top w:val="nil"/>
              <w:left w:val="nil"/>
              <w:bottom w:val="nil"/>
              <w:right w:val="single" w:sz="8" w:space="0" w:color="auto"/>
            </w:tcBorders>
            <w:shd w:val="clear" w:color="auto" w:fill="auto"/>
            <w:vAlign w:val="center"/>
            <w:hideMark/>
          </w:tcPr>
          <w:p w14:paraId="5FC01A2D"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BOR.C029</w:t>
            </w:r>
          </w:p>
        </w:tc>
        <w:tc>
          <w:tcPr>
            <w:tcW w:w="1820" w:type="dxa"/>
            <w:tcBorders>
              <w:top w:val="nil"/>
              <w:left w:val="nil"/>
              <w:bottom w:val="nil"/>
              <w:right w:val="single" w:sz="8" w:space="0" w:color="auto"/>
            </w:tcBorders>
            <w:shd w:val="clear" w:color="auto" w:fill="auto"/>
            <w:vAlign w:val="center"/>
            <w:hideMark/>
          </w:tcPr>
          <w:p w14:paraId="67B908B0"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BOR.D029</w:t>
            </w:r>
          </w:p>
        </w:tc>
        <w:tc>
          <w:tcPr>
            <w:tcW w:w="1920" w:type="dxa"/>
            <w:tcBorders>
              <w:top w:val="nil"/>
              <w:left w:val="nil"/>
              <w:bottom w:val="nil"/>
              <w:right w:val="single" w:sz="8" w:space="0" w:color="auto"/>
            </w:tcBorders>
            <w:shd w:val="clear" w:color="auto" w:fill="auto"/>
            <w:vAlign w:val="center"/>
            <w:hideMark/>
          </w:tcPr>
          <w:p w14:paraId="408F27B2"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BOR.E029</w:t>
            </w:r>
          </w:p>
        </w:tc>
        <w:tc>
          <w:tcPr>
            <w:tcW w:w="1780" w:type="dxa"/>
            <w:tcBorders>
              <w:top w:val="nil"/>
              <w:left w:val="nil"/>
              <w:bottom w:val="nil"/>
              <w:right w:val="single" w:sz="8" w:space="0" w:color="auto"/>
            </w:tcBorders>
            <w:shd w:val="clear" w:color="auto" w:fill="auto"/>
            <w:vAlign w:val="center"/>
            <w:hideMark/>
          </w:tcPr>
          <w:p w14:paraId="4EF2B6BF"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BOR.F029</w:t>
            </w:r>
          </w:p>
        </w:tc>
      </w:tr>
      <w:tr w:rsidR="002F1E8D" w:rsidRPr="002F1E8D" w14:paraId="2868D49B" w14:textId="77777777" w:rsidTr="00326F06">
        <w:trPr>
          <w:trHeight w:val="270"/>
        </w:trPr>
        <w:tc>
          <w:tcPr>
            <w:tcW w:w="6100" w:type="dxa"/>
            <w:tcBorders>
              <w:top w:val="nil"/>
              <w:left w:val="single" w:sz="8" w:space="0" w:color="auto"/>
              <w:bottom w:val="nil"/>
              <w:right w:val="single" w:sz="8" w:space="0" w:color="auto"/>
            </w:tcBorders>
            <w:shd w:val="clear" w:color="auto" w:fill="auto"/>
            <w:vAlign w:val="center"/>
            <w:hideMark/>
          </w:tcPr>
          <w:p w14:paraId="1AEE1C82" w14:textId="77777777" w:rsidR="002F1E8D" w:rsidRPr="002F1E8D" w:rsidRDefault="002F1E8D" w:rsidP="00326F06">
            <w:pPr>
              <w:spacing w:after="0" w:line="240" w:lineRule="auto"/>
              <w:ind w:firstLineChars="100" w:firstLine="180"/>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Receita da Produção Animal e Derivados</w:t>
            </w:r>
          </w:p>
        </w:tc>
        <w:tc>
          <w:tcPr>
            <w:tcW w:w="2480" w:type="dxa"/>
            <w:tcBorders>
              <w:top w:val="nil"/>
              <w:left w:val="nil"/>
              <w:bottom w:val="nil"/>
              <w:right w:val="single" w:sz="8" w:space="0" w:color="auto"/>
            </w:tcBorders>
            <w:shd w:val="clear" w:color="auto" w:fill="auto"/>
            <w:vAlign w:val="center"/>
            <w:hideMark/>
          </w:tcPr>
          <w:p w14:paraId="3BC86950"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BOR.C030</w:t>
            </w:r>
          </w:p>
        </w:tc>
        <w:tc>
          <w:tcPr>
            <w:tcW w:w="1820" w:type="dxa"/>
            <w:tcBorders>
              <w:top w:val="nil"/>
              <w:left w:val="nil"/>
              <w:bottom w:val="nil"/>
              <w:right w:val="single" w:sz="8" w:space="0" w:color="auto"/>
            </w:tcBorders>
            <w:shd w:val="clear" w:color="auto" w:fill="auto"/>
            <w:vAlign w:val="center"/>
            <w:hideMark/>
          </w:tcPr>
          <w:p w14:paraId="127D03D9"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BOR.D030</w:t>
            </w:r>
          </w:p>
        </w:tc>
        <w:tc>
          <w:tcPr>
            <w:tcW w:w="1920" w:type="dxa"/>
            <w:tcBorders>
              <w:top w:val="nil"/>
              <w:left w:val="nil"/>
              <w:bottom w:val="nil"/>
              <w:right w:val="single" w:sz="8" w:space="0" w:color="auto"/>
            </w:tcBorders>
            <w:shd w:val="clear" w:color="auto" w:fill="auto"/>
            <w:vAlign w:val="center"/>
            <w:hideMark/>
          </w:tcPr>
          <w:p w14:paraId="610950E1"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BOR.E030</w:t>
            </w:r>
          </w:p>
        </w:tc>
        <w:tc>
          <w:tcPr>
            <w:tcW w:w="1780" w:type="dxa"/>
            <w:tcBorders>
              <w:top w:val="nil"/>
              <w:left w:val="nil"/>
              <w:bottom w:val="nil"/>
              <w:right w:val="single" w:sz="8" w:space="0" w:color="auto"/>
            </w:tcBorders>
            <w:shd w:val="clear" w:color="auto" w:fill="auto"/>
            <w:vAlign w:val="center"/>
            <w:hideMark/>
          </w:tcPr>
          <w:p w14:paraId="3D70B8A8"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BOR.F030</w:t>
            </w:r>
          </w:p>
        </w:tc>
      </w:tr>
      <w:tr w:rsidR="002F1E8D" w:rsidRPr="002F1E8D" w14:paraId="72EBE6AD" w14:textId="77777777" w:rsidTr="00326F06">
        <w:trPr>
          <w:trHeight w:val="270"/>
        </w:trPr>
        <w:tc>
          <w:tcPr>
            <w:tcW w:w="6100" w:type="dxa"/>
            <w:tcBorders>
              <w:top w:val="nil"/>
              <w:left w:val="single" w:sz="8" w:space="0" w:color="auto"/>
              <w:bottom w:val="nil"/>
              <w:right w:val="single" w:sz="8" w:space="0" w:color="auto"/>
            </w:tcBorders>
            <w:shd w:val="clear" w:color="auto" w:fill="auto"/>
            <w:vAlign w:val="center"/>
            <w:hideMark/>
          </w:tcPr>
          <w:p w14:paraId="58B11466" w14:textId="77777777" w:rsidR="002F1E8D" w:rsidRPr="002F1E8D" w:rsidRDefault="002F1E8D" w:rsidP="00326F06">
            <w:pPr>
              <w:spacing w:after="0" w:line="240" w:lineRule="auto"/>
              <w:ind w:firstLineChars="100" w:firstLine="180"/>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Outras Receitas Agropecuárias</w:t>
            </w:r>
          </w:p>
        </w:tc>
        <w:tc>
          <w:tcPr>
            <w:tcW w:w="2480" w:type="dxa"/>
            <w:tcBorders>
              <w:top w:val="nil"/>
              <w:left w:val="nil"/>
              <w:bottom w:val="nil"/>
              <w:right w:val="single" w:sz="8" w:space="0" w:color="auto"/>
            </w:tcBorders>
            <w:shd w:val="clear" w:color="auto" w:fill="auto"/>
            <w:vAlign w:val="center"/>
            <w:hideMark/>
          </w:tcPr>
          <w:p w14:paraId="1C6881F2"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BOR.C031</w:t>
            </w:r>
          </w:p>
        </w:tc>
        <w:tc>
          <w:tcPr>
            <w:tcW w:w="1820" w:type="dxa"/>
            <w:tcBorders>
              <w:top w:val="nil"/>
              <w:left w:val="nil"/>
              <w:bottom w:val="nil"/>
              <w:right w:val="single" w:sz="8" w:space="0" w:color="auto"/>
            </w:tcBorders>
            <w:shd w:val="clear" w:color="auto" w:fill="auto"/>
            <w:vAlign w:val="center"/>
            <w:hideMark/>
          </w:tcPr>
          <w:p w14:paraId="704DE22D"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BOR.D031</w:t>
            </w:r>
          </w:p>
        </w:tc>
        <w:tc>
          <w:tcPr>
            <w:tcW w:w="1920" w:type="dxa"/>
            <w:tcBorders>
              <w:top w:val="nil"/>
              <w:left w:val="nil"/>
              <w:bottom w:val="nil"/>
              <w:right w:val="single" w:sz="8" w:space="0" w:color="auto"/>
            </w:tcBorders>
            <w:shd w:val="clear" w:color="auto" w:fill="auto"/>
            <w:vAlign w:val="center"/>
            <w:hideMark/>
          </w:tcPr>
          <w:p w14:paraId="76EABA33"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BOR.E031</w:t>
            </w:r>
          </w:p>
        </w:tc>
        <w:tc>
          <w:tcPr>
            <w:tcW w:w="1780" w:type="dxa"/>
            <w:tcBorders>
              <w:top w:val="nil"/>
              <w:left w:val="nil"/>
              <w:bottom w:val="nil"/>
              <w:right w:val="single" w:sz="8" w:space="0" w:color="auto"/>
            </w:tcBorders>
            <w:shd w:val="clear" w:color="auto" w:fill="auto"/>
            <w:vAlign w:val="center"/>
            <w:hideMark/>
          </w:tcPr>
          <w:p w14:paraId="25F63F6C"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BOR.F031</w:t>
            </w:r>
          </w:p>
        </w:tc>
      </w:tr>
      <w:tr w:rsidR="002F1E8D" w:rsidRPr="002F1E8D" w14:paraId="4DFA0997" w14:textId="77777777" w:rsidTr="00326F06">
        <w:trPr>
          <w:trHeight w:val="270"/>
        </w:trPr>
        <w:tc>
          <w:tcPr>
            <w:tcW w:w="6100" w:type="dxa"/>
            <w:tcBorders>
              <w:top w:val="nil"/>
              <w:left w:val="single" w:sz="8" w:space="0" w:color="auto"/>
              <w:bottom w:val="nil"/>
              <w:right w:val="single" w:sz="8" w:space="0" w:color="auto"/>
            </w:tcBorders>
            <w:shd w:val="clear" w:color="auto" w:fill="auto"/>
            <w:vAlign w:val="center"/>
            <w:hideMark/>
          </w:tcPr>
          <w:p w14:paraId="5EFD6FE2" w14:textId="77777777" w:rsidR="002F1E8D" w:rsidRPr="002F1E8D" w:rsidRDefault="002F1E8D" w:rsidP="00326F06">
            <w:pPr>
              <w:spacing w:after="0" w:line="240" w:lineRule="auto"/>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 xml:space="preserve">  Receita Industrial</w:t>
            </w:r>
          </w:p>
        </w:tc>
        <w:tc>
          <w:tcPr>
            <w:tcW w:w="2480" w:type="dxa"/>
            <w:tcBorders>
              <w:top w:val="nil"/>
              <w:left w:val="nil"/>
              <w:bottom w:val="nil"/>
              <w:right w:val="single" w:sz="8" w:space="0" w:color="auto"/>
            </w:tcBorders>
            <w:shd w:val="clear" w:color="auto" w:fill="auto"/>
            <w:vAlign w:val="center"/>
            <w:hideMark/>
          </w:tcPr>
          <w:p w14:paraId="3BBA26D1" w14:textId="77777777" w:rsidR="002F1E8D" w:rsidRPr="002F1E8D" w:rsidRDefault="002F1E8D" w:rsidP="00326F06">
            <w:pPr>
              <w:spacing w:after="0"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BOR.C032</w:t>
            </w:r>
          </w:p>
        </w:tc>
        <w:tc>
          <w:tcPr>
            <w:tcW w:w="1820" w:type="dxa"/>
            <w:tcBorders>
              <w:top w:val="nil"/>
              <w:left w:val="nil"/>
              <w:bottom w:val="nil"/>
              <w:right w:val="single" w:sz="8" w:space="0" w:color="auto"/>
            </w:tcBorders>
            <w:shd w:val="clear" w:color="auto" w:fill="auto"/>
            <w:vAlign w:val="center"/>
            <w:hideMark/>
          </w:tcPr>
          <w:p w14:paraId="6F6FE11C" w14:textId="77777777" w:rsidR="002F1E8D" w:rsidRPr="002F1E8D" w:rsidRDefault="002F1E8D" w:rsidP="00326F06">
            <w:pPr>
              <w:spacing w:after="0"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BOR.D032</w:t>
            </w:r>
          </w:p>
        </w:tc>
        <w:tc>
          <w:tcPr>
            <w:tcW w:w="1920" w:type="dxa"/>
            <w:tcBorders>
              <w:top w:val="nil"/>
              <w:left w:val="nil"/>
              <w:bottom w:val="nil"/>
              <w:right w:val="single" w:sz="8" w:space="0" w:color="auto"/>
            </w:tcBorders>
            <w:shd w:val="clear" w:color="auto" w:fill="auto"/>
            <w:vAlign w:val="center"/>
            <w:hideMark/>
          </w:tcPr>
          <w:p w14:paraId="321BF06D" w14:textId="77777777" w:rsidR="002F1E8D" w:rsidRPr="002F1E8D" w:rsidRDefault="002F1E8D" w:rsidP="00326F06">
            <w:pPr>
              <w:spacing w:after="0"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BOR.E032</w:t>
            </w:r>
          </w:p>
        </w:tc>
        <w:tc>
          <w:tcPr>
            <w:tcW w:w="1780" w:type="dxa"/>
            <w:tcBorders>
              <w:top w:val="nil"/>
              <w:left w:val="nil"/>
              <w:bottom w:val="nil"/>
              <w:right w:val="single" w:sz="8" w:space="0" w:color="auto"/>
            </w:tcBorders>
            <w:shd w:val="clear" w:color="auto" w:fill="auto"/>
            <w:vAlign w:val="center"/>
            <w:hideMark/>
          </w:tcPr>
          <w:p w14:paraId="74E345CF" w14:textId="77777777" w:rsidR="002F1E8D" w:rsidRPr="002F1E8D" w:rsidRDefault="002F1E8D" w:rsidP="00326F06">
            <w:pPr>
              <w:spacing w:after="0"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BOR.F032</w:t>
            </w:r>
          </w:p>
        </w:tc>
      </w:tr>
      <w:tr w:rsidR="002F1E8D" w:rsidRPr="002F1E8D" w14:paraId="7C198DE3" w14:textId="77777777" w:rsidTr="00326F06">
        <w:trPr>
          <w:trHeight w:val="270"/>
        </w:trPr>
        <w:tc>
          <w:tcPr>
            <w:tcW w:w="6100" w:type="dxa"/>
            <w:tcBorders>
              <w:top w:val="nil"/>
              <w:left w:val="single" w:sz="8" w:space="0" w:color="auto"/>
              <w:bottom w:val="nil"/>
              <w:right w:val="single" w:sz="8" w:space="0" w:color="auto"/>
            </w:tcBorders>
            <w:shd w:val="clear" w:color="auto" w:fill="auto"/>
            <w:vAlign w:val="center"/>
            <w:hideMark/>
          </w:tcPr>
          <w:p w14:paraId="0C4EB535" w14:textId="77777777" w:rsidR="002F1E8D" w:rsidRPr="002F1E8D" w:rsidRDefault="002F1E8D" w:rsidP="00326F06">
            <w:pPr>
              <w:spacing w:after="0" w:line="240" w:lineRule="auto"/>
              <w:ind w:firstLineChars="100" w:firstLine="180"/>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Receita da Indústria Extrativa Mineral</w:t>
            </w:r>
          </w:p>
        </w:tc>
        <w:tc>
          <w:tcPr>
            <w:tcW w:w="2480" w:type="dxa"/>
            <w:tcBorders>
              <w:top w:val="nil"/>
              <w:left w:val="nil"/>
              <w:bottom w:val="nil"/>
              <w:right w:val="single" w:sz="8" w:space="0" w:color="auto"/>
            </w:tcBorders>
            <w:shd w:val="clear" w:color="auto" w:fill="auto"/>
            <w:vAlign w:val="center"/>
            <w:hideMark/>
          </w:tcPr>
          <w:p w14:paraId="428A7371"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BOR.C033</w:t>
            </w:r>
          </w:p>
        </w:tc>
        <w:tc>
          <w:tcPr>
            <w:tcW w:w="1820" w:type="dxa"/>
            <w:tcBorders>
              <w:top w:val="nil"/>
              <w:left w:val="nil"/>
              <w:bottom w:val="nil"/>
              <w:right w:val="single" w:sz="8" w:space="0" w:color="auto"/>
            </w:tcBorders>
            <w:shd w:val="clear" w:color="auto" w:fill="auto"/>
            <w:vAlign w:val="center"/>
            <w:hideMark/>
          </w:tcPr>
          <w:p w14:paraId="547B90F0"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BOR.D033</w:t>
            </w:r>
          </w:p>
        </w:tc>
        <w:tc>
          <w:tcPr>
            <w:tcW w:w="1920" w:type="dxa"/>
            <w:tcBorders>
              <w:top w:val="nil"/>
              <w:left w:val="nil"/>
              <w:bottom w:val="nil"/>
              <w:right w:val="single" w:sz="8" w:space="0" w:color="auto"/>
            </w:tcBorders>
            <w:shd w:val="clear" w:color="auto" w:fill="auto"/>
            <w:vAlign w:val="center"/>
            <w:hideMark/>
          </w:tcPr>
          <w:p w14:paraId="23742DB1"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BOR.E033</w:t>
            </w:r>
          </w:p>
        </w:tc>
        <w:tc>
          <w:tcPr>
            <w:tcW w:w="1780" w:type="dxa"/>
            <w:tcBorders>
              <w:top w:val="nil"/>
              <w:left w:val="nil"/>
              <w:bottom w:val="nil"/>
              <w:right w:val="single" w:sz="8" w:space="0" w:color="auto"/>
            </w:tcBorders>
            <w:shd w:val="clear" w:color="auto" w:fill="auto"/>
            <w:vAlign w:val="center"/>
            <w:hideMark/>
          </w:tcPr>
          <w:p w14:paraId="3B09A55C"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BOR.F033</w:t>
            </w:r>
          </w:p>
        </w:tc>
      </w:tr>
      <w:tr w:rsidR="002F1E8D" w:rsidRPr="002F1E8D" w14:paraId="17EA96FF" w14:textId="77777777" w:rsidTr="00326F06">
        <w:trPr>
          <w:trHeight w:val="270"/>
        </w:trPr>
        <w:tc>
          <w:tcPr>
            <w:tcW w:w="6100" w:type="dxa"/>
            <w:tcBorders>
              <w:top w:val="nil"/>
              <w:left w:val="single" w:sz="8" w:space="0" w:color="auto"/>
              <w:bottom w:val="nil"/>
              <w:right w:val="single" w:sz="8" w:space="0" w:color="auto"/>
            </w:tcBorders>
            <w:shd w:val="clear" w:color="auto" w:fill="auto"/>
            <w:vAlign w:val="center"/>
            <w:hideMark/>
          </w:tcPr>
          <w:p w14:paraId="7B654B00" w14:textId="77777777" w:rsidR="002F1E8D" w:rsidRPr="002F1E8D" w:rsidRDefault="002F1E8D" w:rsidP="00326F06">
            <w:pPr>
              <w:spacing w:after="0" w:line="240" w:lineRule="auto"/>
              <w:ind w:firstLineChars="100" w:firstLine="180"/>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Receita da Indústria de Transformação</w:t>
            </w:r>
          </w:p>
        </w:tc>
        <w:tc>
          <w:tcPr>
            <w:tcW w:w="2480" w:type="dxa"/>
            <w:tcBorders>
              <w:top w:val="nil"/>
              <w:left w:val="nil"/>
              <w:bottom w:val="nil"/>
              <w:right w:val="single" w:sz="8" w:space="0" w:color="auto"/>
            </w:tcBorders>
            <w:shd w:val="clear" w:color="auto" w:fill="auto"/>
            <w:vAlign w:val="center"/>
            <w:hideMark/>
          </w:tcPr>
          <w:p w14:paraId="77FB43D8"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BOR.C034</w:t>
            </w:r>
          </w:p>
        </w:tc>
        <w:tc>
          <w:tcPr>
            <w:tcW w:w="1820" w:type="dxa"/>
            <w:tcBorders>
              <w:top w:val="nil"/>
              <w:left w:val="nil"/>
              <w:bottom w:val="nil"/>
              <w:right w:val="single" w:sz="8" w:space="0" w:color="auto"/>
            </w:tcBorders>
            <w:shd w:val="clear" w:color="auto" w:fill="auto"/>
            <w:vAlign w:val="center"/>
            <w:hideMark/>
          </w:tcPr>
          <w:p w14:paraId="7D66B79E"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BOR.D034</w:t>
            </w:r>
          </w:p>
        </w:tc>
        <w:tc>
          <w:tcPr>
            <w:tcW w:w="1920" w:type="dxa"/>
            <w:tcBorders>
              <w:top w:val="nil"/>
              <w:left w:val="nil"/>
              <w:bottom w:val="nil"/>
              <w:right w:val="single" w:sz="8" w:space="0" w:color="auto"/>
            </w:tcBorders>
            <w:shd w:val="clear" w:color="auto" w:fill="auto"/>
            <w:vAlign w:val="center"/>
            <w:hideMark/>
          </w:tcPr>
          <w:p w14:paraId="689F15DE"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BOR.E034</w:t>
            </w:r>
          </w:p>
        </w:tc>
        <w:tc>
          <w:tcPr>
            <w:tcW w:w="1780" w:type="dxa"/>
            <w:tcBorders>
              <w:top w:val="nil"/>
              <w:left w:val="nil"/>
              <w:bottom w:val="nil"/>
              <w:right w:val="single" w:sz="8" w:space="0" w:color="auto"/>
            </w:tcBorders>
            <w:shd w:val="clear" w:color="auto" w:fill="auto"/>
            <w:vAlign w:val="center"/>
            <w:hideMark/>
          </w:tcPr>
          <w:p w14:paraId="3A16CE06"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BOR.F034</w:t>
            </w:r>
          </w:p>
        </w:tc>
      </w:tr>
      <w:tr w:rsidR="002F1E8D" w:rsidRPr="002F1E8D" w14:paraId="368CEAA2" w14:textId="77777777" w:rsidTr="00326F06">
        <w:trPr>
          <w:trHeight w:val="270"/>
        </w:trPr>
        <w:tc>
          <w:tcPr>
            <w:tcW w:w="6100" w:type="dxa"/>
            <w:tcBorders>
              <w:top w:val="nil"/>
              <w:left w:val="single" w:sz="8" w:space="0" w:color="auto"/>
              <w:right w:val="single" w:sz="8" w:space="0" w:color="auto"/>
            </w:tcBorders>
            <w:shd w:val="clear" w:color="auto" w:fill="auto"/>
            <w:vAlign w:val="center"/>
            <w:hideMark/>
          </w:tcPr>
          <w:p w14:paraId="1DAF6DCF" w14:textId="77777777" w:rsidR="002F1E8D" w:rsidRPr="002F1E8D" w:rsidRDefault="002F1E8D" w:rsidP="00326F06">
            <w:pPr>
              <w:spacing w:after="0" w:line="240" w:lineRule="auto"/>
              <w:ind w:firstLineChars="100" w:firstLine="180"/>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Receita da Indústria de Construção</w:t>
            </w:r>
          </w:p>
        </w:tc>
        <w:tc>
          <w:tcPr>
            <w:tcW w:w="2480" w:type="dxa"/>
            <w:tcBorders>
              <w:top w:val="nil"/>
              <w:left w:val="nil"/>
              <w:right w:val="single" w:sz="8" w:space="0" w:color="auto"/>
            </w:tcBorders>
            <w:shd w:val="clear" w:color="auto" w:fill="auto"/>
            <w:vAlign w:val="center"/>
            <w:hideMark/>
          </w:tcPr>
          <w:p w14:paraId="6E146860"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BOR.C035</w:t>
            </w:r>
          </w:p>
        </w:tc>
        <w:tc>
          <w:tcPr>
            <w:tcW w:w="1820" w:type="dxa"/>
            <w:tcBorders>
              <w:top w:val="nil"/>
              <w:left w:val="nil"/>
              <w:right w:val="single" w:sz="8" w:space="0" w:color="auto"/>
            </w:tcBorders>
            <w:shd w:val="clear" w:color="auto" w:fill="auto"/>
            <w:vAlign w:val="center"/>
            <w:hideMark/>
          </w:tcPr>
          <w:p w14:paraId="1FF52456"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BOR.D035</w:t>
            </w:r>
          </w:p>
        </w:tc>
        <w:tc>
          <w:tcPr>
            <w:tcW w:w="1920" w:type="dxa"/>
            <w:tcBorders>
              <w:top w:val="nil"/>
              <w:left w:val="nil"/>
              <w:right w:val="single" w:sz="8" w:space="0" w:color="auto"/>
            </w:tcBorders>
            <w:shd w:val="clear" w:color="auto" w:fill="auto"/>
            <w:vAlign w:val="center"/>
            <w:hideMark/>
          </w:tcPr>
          <w:p w14:paraId="1A7FBBA8"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BOR.E035</w:t>
            </w:r>
          </w:p>
        </w:tc>
        <w:tc>
          <w:tcPr>
            <w:tcW w:w="1780" w:type="dxa"/>
            <w:tcBorders>
              <w:top w:val="nil"/>
              <w:left w:val="nil"/>
              <w:right w:val="single" w:sz="8" w:space="0" w:color="auto"/>
            </w:tcBorders>
            <w:shd w:val="clear" w:color="auto" w:fill="auto"/>
            <w:vAlign w:val="center"/>
            <w:hideMark/>
          </w:tcPr>
          <w:p w14:paraId="314EC94A"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BOR.F035</w:t>
            </w:r>
          </w:p>
        </w:tc>
      </w:tr>
      <w:tr w:rsidR="002F1E8D" w:rsidRPr="002F1E8D" w14:paraId="745B4099" w14:textId="77777777" w:rsidTr="00326F06">
        <w:trPr>
          <w:trHeight w:val="270"/>
        </w:trPr>
        <w:tc>
          <w:tcPr>
            <w:tcW w:w="6100" w:type="dxa"/>
            <w:tcBorders>
              <w:top w:val="nil"/>
              <w:left w:val="single" w:sz="8" w:space="0" w:color="auto"/>
              <w:right w:val="single" w:sz="8" w:space="0" w:color="auto"/>
            </w:tcBorders>
            <w:shd w:val="clear" w:color="auto" w:fill="auto"/>
            <w:vAlign w:val="center"/>
            <w:hideMark/>
          </w:tcPr>
          <w:p w14:paraId="57121F05" w14:textId="77777777" w:rsidR="002F1E8D" w:rsidRPr="002F1E8D" w:rsidRDefault="002F1E8D" w:rsidP="00326F06">
            <w:pPr>
              <w:spacing w:after="0" w:line="240" w:lineRule="auto"/>
              <w:ind w:firstLineChars="100" w:firstLine="180"/>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Outras Receitas Industriais</w:t>
            </w:r>
          </w:p>
        </w:tc>
        <w:tc>
          <w:tcPr>
            <w:tcW w:w="2480" w:type="dxa"/>
            <w:tcBorders>
              <w:top w:val="nil"/>
              <w:left w:val="nil"/>
              <w:right w:val="single" w:sz="8" w:space="0" w:color="auto"/>
            </w:tcBorders>
            <w:shd w:val="clear" w:color="auto" w:fill="auto"/>
            <w:vAlign w:val="center"/>
            <w:hideMark/>
          </w:tcPr>
          <w:p w14:paraId="6D3CD84F"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BOR.C036</w:t>
            </w:r>
          </w:p>
        </w:tc>
        <w:tc>
          <w:tcPr>
            <w:tcW w:w="1820" w:type="dxa"/>
            <w:tcBorders>
              <w:top w:val="nil"/>
              <w:left w:val="nil"/>
              <w:right w:val="single" w:sz="8" w:space="0" w:color="auto"/>
            </w:tcBorders>
            <w:shd w:val="clear" w:color="auto" w:fill="auto"/>
            <w:vAlign w:val="center"/>
            <w:hideMark/>
          </w:tcPr>
          <w:p w14:paraId="52433234"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BOR.D036</w:t>
            </w:r>
          </w:p>
        </w:tc>
        <w:tc>
          <w:tcPr>
            <w:tcW w:w="1920" w:type="dxa"/>
            <w:tcBorders>
              <w:top w:val="nil"/>
              <w:left w:val="nil"/>
              <w:right w:val="single" w:sz="8" w:space="0" w:color="auto"/>
            </w:tcBorders>
            <w:shd w:val="clear" w:color="auto" w:fill="auto"/>
            <w:vAlign w:val="center"/>
            <w:hideMark/>
          </w:tcPr>
          <w:p w14:paraId="76E9D71E"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BOR.E036</w:t>
            </w:r>
          </w:p>
        </w:tc>
        <w:tc>
          <w:tcPr>
            <w:tcW w:w="1780" w:type="dxa"/>
            <w:tcBorders>
              <w:top w:val="nil"/>
              <w:left w:val="nil"/>
              <w:right w:val="single" w:sz="8" w:space="0" w:color="auto"/>
            </w:tcBorders>
            <w:shd w:val="clear" w:color="auto" w:fill="auto"/>
            <w:vAlign w:val="center"/>
            <w:hideMark/>
          </w:tcPr>
          <w:p w14:paraId="03EE9F20"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BOR.F036</w:t>
            </w:r>
          </w:p>
        </w:tc>
      </w:tr>
      <w:tr w:rsidR="002F1E8D" w:rsidRPr="002F1E8D" w14:paraId="30E298B6" w14:textId="77777777" w:rsidTr="00326F06">
        <w:trPr>
          <w:trHeight w:val="270"/>
        </w:trPr>
        <w:tc>
          <w:tcPr>
            <w:tcW w:w="6100" w:type="dxa"/>
            <w:tcBorders>
              <w:left w:val="single" w:sz="8" w:space="0" w:color="auto"/>
              <w:bottom w:val="nil"/>
              <w:right w:val="single" w:sz="8" w:space="0" w:color="auto"/>
            </w:tcBorders>
            <w:shd w:val="clear" w:color="auto" w:fill="auto"/>
            <w:vAlign w:val="center"/>
            <w:hideMark/>
          </w:tcPr>
          <w:p w14:paraId="6BCA33B4" w14:textId="77777777" w:rsidR="002F1E8D" w:rsidRPr="002F1E8D" w:rsidRDefault="002F1E8D" w:rsidP="00326F06">
            <w:pPr>
              <w:spacing w:after="0" w:line="240" w:lineRule="auto"/>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 xml:space="preserve">  Receita de Serviços</w:t>
            </w:r>
          </w:p>
        </w:tc>
        <w:tc>
          <w:tcPr>
            <w:tcW w:w="2480" w:type="dxa"/>
            <w:tcBorders>
              <w:left w:val="nil"/>
              <w:bottom w:val="nil"/>
              <w:right w:val="single" w:sz="8" w:space="0" w:color="auto"/>
            </w:tcBorders>
            <w:shd w:val="clear" w:color="auto" w:fill="auto"/>
            <w:vAlign w:val="center"/>
            <w:hideMark/>
          </w:tcPr>
          <w:p w14:paraId="472E5FA0" w14:textId="77777777" w:rsidR="002F1E8D" w:rsidRPr="002F1E8D" w:rsidRDefault="002F1E8D" w:rsidP="00326F06">
            <w:pPr>
              <w:spacing w:after="0"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BOR.C037</w:t>
            </w:r>
          </w:p>
        </w:tc>
        <w:tc>
          <w:tcPr>
            <w:tcW w:w="1820" w:type="dxa"/>
            <w:tcBorders>
              <w:left w:val="nil"/>
              <w:bottom w:val="nil"/>
              <w:right w:val="single" w:sz="8" w:space="0" w:color="auto"/>
            </w:tcBorders>
            <w:shd w:val="clear" w:color="auto" w:fill="auto"/>
            <w:vAlign w:val="center"/>
            <w:hideMark/>
          </w:tcPr>
          <w:p w14:paraId="591751DE" w14:textId="77777777" w:rsidR="002F1E8D" w:rsidRPr="002F1E8D" w:rsidRDefault="002F1E8D" w:rsidP="00326F06">
            <w:pPr>
              <w:spacing w:after="0"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BOR.D037</w:t>
            </w:r>
          </w:p>
        </w:tc>
        <w:tc>
          <w:tcPr>
            <w:tcW w:w="1920" w:type="dxa"/>
            <w:tcBorders>
              <w:left w:val="nil"/>
              <w:bottom w:val="nil"/>
              <w:right w:val="single" w:sz="8" w:space="0" w:color="auto"/>
            </w:tcBorders>
            <w:shd w:val="clear" w:color="auto" w:fill="auto"/>
            <w:vAlign w:val="center"/>
            <w:hideMark/>
          </w:tcPr>
          <w:p w14:paraId="6EAC9C32" w14:textId="77777777" w:rsidR="002F1E8D" w:rsidRPr="002F1E8D" w:rsidRDefault="002F1E8D" w:rsidP="00326F06">
            <w:pPr>
              <w:spacing w:after="0"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BOR.E037</w:t>
            </w:r>
          </w:p>
        </w:tc>
        <w:tc>
          <w:tcPr>
            <w:tcW w:w="1780" w:type="dxa"/>
            <w:tcBorders>
              <w:left w:val="nil"/>
              <w:bottom w:val="nil"/>
              <w:right w:val="single" w:sz="8" w:space="0" w:color="auto"/>
            </w:tcBorders>
            <w:shd w:val="clear" w:color="auto" w:fill="auto"/>
            <w:vAlign w:val="center"/>
            <w:hideMark/>
          </w:tcPr>
          <w:p w14:paraId="6EF10F3D" w14:textId="77777777" w:rsidR="002F1E8D" w:rsidRPr="002F1E8D" w:rsidRDefault="002F1E8D" w:rsidP="00326F06">
            <w:pPr>
              <w:spacing w:after="0"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BOR.F037</w:t>
            </w:r>
          </w:p>
        </w:tc>
      </w:tr>
      <w:tr w:rsidR="002F1E8D" w:rsidRPr="002F1E8D" w14:paraId="3DBD0897" w14:textId="77777777" w:rsidTr="00326F06">
        <w:trPr>
          <w:trHeight w:val="270"/>
        </w:trPr>
        <w:tc>
          <w:tcPr>
            <w:tcW w:w="6100" w:type="dxa"/>
            <w:tcBorders>
              <w:top w:val="nil"/>
              <w:left w:val="single" w:sz="8" w:space="0" w:color="auto"/>
              <w:bottom w:val="nil"/>
              <w:right w:val="single" w:sz="8" w:space="0" w:color="auto"/>
            </w:tcBorders>
            <w:shd w:val="clear" w:color="auto" w:fill="auto"/>
            <w:vAlign w:val="center"/>
            <w:hideMark/>
          </w:tcPr>
          <w:p w14:paraId="00095A35" w14:textId="77777777" w:rsidR="002F1E8D" w:rsidRPr="002F1E8D" w:rsidRDefault="002F1E8D" w:rsidP="00326F06">
            <w:pPr>
              <w:spacing w:after="0" w:line="240" w:lineRule="auto"/>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lastRenderedPageBreak/>
              <w:t xml:space="preserve">  Transferências Correntes</w:t>
            </w:r>
          </w:p>
        </w:tc>
        <w:tc>
          <w:tcPr>
            <w:tcW w:w="2480" w:type="dxa"/>
            <w:tcBorders>
              <w:top w:val="nil"/>
              <w:left w:val="nil"/>
              <w:bottom w:val="nil"/>
              <w:right w:val="single" w:sz="8" w:space="0" w:color="auto"/>
            </w:tcBorders>
            <w:shd w:val="clear" w:color="auto" w:fill="auto"/>
            <w:vAlign w:val="center"/>
            <w:hideMark/>
          </w:tcPr>
          <w:p w14:paraId="01D65FCD" w14:textId="77777777" w:rsidR="002F1E8D" w:rsidRPr="002F1E8D" w:rsidRDefault="002F1E8D" w:rsidP="00326F06">
            <w:pPr>
              <w:spacing w:after="0"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BOR.C038</w:t>
            </w:r>
          </w:p>
        </w:tc>
        <w:tc>
          <w:tcPr>
            <w:tcW w:w="1820" w:type="dxa"/>
            <w:tcBorders>
              <w:top w:val="nil"/>
              <w:left w:val="nil"/>
              <w:bottom w:val="nil"/>
              <w:right w:val="single" w:sz="8" w:space="0" w:color="auto"/>
            </w:tcBorders>
            <w:shd w:val="clear" w:color="auto" w:fill="auto"/>
            <w:vAlign w:val="center"/>
            <w:hideMark/>
          </w:tcPr>
          <w:p w14:paraId="1825E5F6" w14:textId="77777777" w:rsidR="002F1E8D" w:rsidRPr="002F1E8D" w:rsidRDefault="002F1E8D" w:rsidP="00326F06">
            <w:pPr>
              <w:spacing w:after="0"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BOR.D038</w:t>
            </w:r>
          </w:p>
        </w:tc>
        <w:tc>
          <w:tcPr>
            <w:tcW w:w="1920" w:type="dxa"/>
            <w:tcBorders>
              <w:top w:val="nil"/>
              <w:left w:val="nil"/>
              <w:bottom w:val="nil"/>
              <w:right w:val="single" w:sz="8" w:space="0" w:color="auto"/>
            </w:tcBorders>
            <w:shd w:val="clear" w:color="auto" w:fill="auto"/>
            <w:vAlign w:val="center"/>
            <w:hideMark/>
          </w:tcPr>
          <w:p w14:paraId="00F3CF21" w14:textId="77777777" w:rsidR="002F1E8D" w:rsidRPr="002F1E8D" w:rsidRDefault="002F1E8D" w:rsidP="00326F06">
            <w:pPr>
              <w:spacing w:after="0"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BOR.E038</w:t>
            </w:r>
          </w:p>
        </w:tc>
        <w:tc>
          <w:tcPr>
            <w:tcW w:w="1780" w:type="dxa"/>
            <w:tcBorders>
              <w:top w:val="nil"/>
              <w:left w:val="nil"/>
              <w:bottom w:val="nil"/>
              <w:right w:val="single" w:sz="8" w:space="0" w:color="auto"/>
            </w:tcBorders>
            <w:shd w:val="clear" w:color="auto" w:fill="auto"/>
            <w:vAlign w:val="center"/>
            <w:hideMark/>
          </w:tcPr>
          <w:p w14:paraId="245DCE38" w14:textId="77777777" w:rsidR="002F1E8D" w:rsidRPr="002F1E8D" w:rsidRDefault="002F1E8D" w:rsidP="00326F06">
            <w:pPr>
              <w:spacing w:after="0"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BOR.F038</w:t>
            </w:r>
          </w:p>
        </w:tc>
      </w:tr>
      <w:tr w:rsidR="002F1E8D" w:rsidRPr="002F1E8D" w14:paraId="71372AA8" w14:textId="77777777" w:rsidTr="00326F06">
        <w:trPr>
          <w:trHeight w:val="270"/>
        </w:trPr>
        <w:tc>
          <w:tcPr>
            <w:tcW w:w="6100" w:type="dxa"/>
            <w:tcBorders>
              <w:top w:val="nil"/>
              <w:left w:val="single" w:sz="8" w:space="0" w:color="auto"/>
              <w:bottom w:val="nil"/>
              <w:right w:val="single" w:sz="8" w:space="0" w:color="auto"/>
            </w:tcBorders>
            <w:shd w:val="clear" w:color="auto" w:fill="auto"/>
            <w:vAlign w:val="center"/>
            <w:hideMark/>
          </w:tcPr>
          <w:p w14:paraId="17FF583F" w14:textId="77777777" w:rsidR="002F1E8D" w:rsidRPr="002F1E8D" w:rsidRDefault="002F1E8D" w:rsidP="00326F06">
            <w:pPr>
              <w:spacing w:after="0" w:line="240" w:lineRule="auto"/>
              <w:ind w:firstLineChars="100" w:firstLine="180"/>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Transferências Intergovernamentais</w:t>
            </w:r>
          </w:p>
        </w:tc>
        <w:tc>
          <w:tcPr>
            <w:tcW w:w="2480" w:type="dxa"/>
            <w:tcBorders>
              <w:top w:val="nil"/>
              <w:left w:val="nil"/>
              <w:bottom w:val="nil"/>
              <w:right w:val="single" w:sz="8" w:space="0" w:color="auto"/>
            </w:tcBorders>
            <w:shd w:val="clear" w:color="auto" w:fill="auto"/>
            <w:vAlign w:val="center"/>
            <w:hideMark/>
          </w:tcPr>
          <w:p w14:paraId="39E91A57"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BOR.C039</w:t>
            </w:r>
          </w:p>
        </w:tc>
        <w:tc>
          <w:tcPr>
            <w:tcW w:w="1820" w:type="dxa"/>
            <w:tcBorders>
              <w:top w:val="nil"/>
              <w:left w:val="nil"/>
              <w:bottom w:val="nil"/>
              <w:right w:val="single" w:sz="8" w:space="0" w:color="auto"/>
            </w:tcBorders>
            <w:shd w:val="clear" w:color="auto" w:fill="auto"/>
            <w:vAlign w:val="center"/>
            <w:hideMark/>
          </w:tcPr>
          <w:p w14:paraId="3EA450F3"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BOR.D039</w:t>
            </w:r>
          </w:p>
        </w:tc>
        <w:tc>
          <w:tcPr>
            <w:tcW w:w="1920" w:type="dxa"/>
            <w:tcBorders>
              <w:top w:val="nil"/>
              <w:left w:val="nil"/>
              <w:bottom w:val="nil"/>
              <w:right w:val="single" w:sz="8" w:space="0" w:color="auto"/>
            </w:tcBorders>
            <w:shd w:val="clear" w:color="auto" w:fill="auto"/>
            <w:vAlign w:val="center"/>
            <w:hideMark/>
          </w:tcPr>
          <w:p w14:paraId="40C24FD9"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BOR.E039</w:t>
            </w:r>
          </w:p>
        </w:tc>
        <w:tc>
          <w:tcPr>
            <w:tcW w:w="1780" w:type="dxa"/>
            <w:tcBorders>
              <w:top w:val="nil"/>
              <w:left w:val="nil"/>
              <w:bottom w:val="nil"/>
              <w:right w:val="single" w:sz="8" w:space="0" w:color="auto"/>
            </w:tcBorders>
            <w:shd w:val="clear" w:color="auto" w:fill="auto"/>
            <w:vAlign w:val="center"/>
            <w:hideMark/>
          </w:tcPr>
          <w:p w14:paraId="797DFBF0"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BOR.F039</w:t>
            </w:r>
          </w:p>
        </w:tc>
      </w:tr>
      <w:tr w:rsidR="002F1E8D" w:rsidRPr="002F1E8D" w14:paraId="1CE6F864" w14:textId="77777777" w:rsidTr="00326F06">
        <w:trPr>
          <w:trHeight w:val="270"/>
        </w:trPr>
        <w:tc>
          <w:tcPr>
            <w:tcW w:w="6100" w:type="dxa"/>
            <w:tcBorders>
              <w:top w:val="nil"/>
              <w:left w:val="single" w:sz="8" w:space="0" w:color="auto"/>
              <w:bottom w:val="nil"/>
              <w:right w:val="single" w:sz="8" w:space="0" w:color="auto"/>
            </w:tcBorders>
            <w:shd w:val="clear" w:color="auto" w:fill="auto"/>
            <w:vAlign w:val="center"/>
            <w:hideMark/>
          </w:tcPr>
          <w:p w14:paraId="6C6C74A0" w14:textId="77777777" w:rsidR="002F1E8D" w:rsidRPr="002F1E8D" w:rsidRDefault="002F1E8D" w:rsidP="00326F06">
            <w:pPr>
              <w:spacing w:after="0" w:line="240" w:lineRule="auto"/>
              <w:ind w:firstLineChars="100" w:firstLine="180"/>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Transferências de Instituições Privadas</w:t>
            </w:r>
          </w:p>
        </w:tc>
        <w:tc>
          <w:tcPr>
            <w:tcW w:w="2480" w:type="dxa"/>
            <w:tcBorders>
              <w:top w:val="nil"/>
              <w:left w:val="nil"/>
              <w:bottom w:val="nil"/>
              <w:right w:val="single" w:sz="8" w:space="0" w:color="auto"/>
            </w:tcBorders>
            <w:shd w:val="clear" w:color="auto" w:fill="auto"/>
            <w:vAlign w:val="center"/>
            <w:hideMark/>
          </w:tcPr>
          <w:p w14:paraId="17C3193C"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BOR.C040</w:t>
            </w:r>
          </w:p>
        </w:tc>
        <w:tc>
          <w:tcPr>
            <w:tcW w:w="1820" w:type="dxa"/>
            <w:tcBorders>
              <w:top w:val="nil"/>
              <w:left w:val="nil"/>
              <w:bottom w:val="nil"/>
              <w:right w:val="single" w:sz="8" w:space="0" w:color="auto"/>
            </w:tcBorders>
            <w:shd w:val="clear" w:color="auto" w:fill="auto"/>
            <w:vAlign w:val="center"/>
            <w:hideMark/>
          </w:tcPr>
          <w:p w14:paraId="32ABD70F"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BOR.D040</w:t>
            </w:r>
          </w:p>
        </w:tc>
        <w:tc>
          <w:tcPr>
            <w:tcW w:w="1920" w:type="dxa"/>
            <w:tcBorders>
              <w:top w:val="nil"/>
              <w:left w:val="nil"/>
              <w:bottom w:val="nil"/>
              <w:right w:val="single" w:sz="8" w:space="0" w:color="auto"/>
            </w:tcBorders>
            <w:shd w:val="clear" w:color="auto" w:fill="auto"/>
            <w:vAlign w:val="center"/>
            <w:hideMark/>
          </w:tcPr>
          <w:p w14:paraId="05662023"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BOR.E040</w:t>
            </w:r>
          </w:p>
        </w:tc>
        <w:tc>
          <w:tcPr>
            <w:tcW w:w="1780" w:type="dxa"/>
            <w:tcBorders>
              <w:top w:val="nil"/>
              <w:left w:val="nil"/>
              <w:bottom w:val="nil"/>
              <w:right w:val="single" w:sz="8" w:space="0" w:color="auto"/>
            </w:tcBorders>
            <w:shd w:val="clear" w:color="auto" w:fill="auto"/>
            <w:vAlign w:val="center"/>
            <w:hideMark/>
          </w:tcPr>
          <w:p w14:paraId="39EB8F58"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BOR.F040</w:t>
            </w:r>
          </w:p>
        </w:tc>
      </w:tr>
      <w:tr w:rsidR="002F1E8D" w:rsidRPr="002F1E8D" w14:paraId="198C9F5A" w14:textId="77777777" w:rsidTr="00326F06">
        <w:trPr>
          <w:trHeight w:val="270"/>
        </w:trPr>
        <w:tc>
          <w:tcPr>
            <w:tcW w:w="6100" w:type="dxa"/>
            <w:tcBorders>
              <w:top w:val="nil"/>
              <w:left w:val="single" w:sz="8" w:space="0" w:color="auto"/>
              <w:bottom w:val="nil"/>
              <w:right w:val="single" w:sz="8" w:space="0" w:color="auto"/>
            </w:tcBorders>
            <w:shd w:val="clear" w:color="auto" w:fill="auto"/>
            <w:vAlign w:val="center"/>
            <w:hideMark/>
          </w:tcPr>
          <w:p w14:paraId="63D3CA80" w14:textId="77777777" w:rsidR="002F1E8D" w:rsidRPr="002F1E8D" w:rsidRDefault="002F1E8D" w:rsidP="00326F06">
            <w:pPr>
              <w:spacing w:after="0" w:line="240" w:lineRule="auto"/>
              <w:ind w:firstLineChars="100" w:firstLine="180"/>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Transferências do Exterior</w:t>
            </w:r>
          </w:p>
        </w:tc>
        <w:tc>
          <w:tcPr>
            <w:tcW w:w="2480" w:type="dxa"/>
            <w:tcBorders>
              <w:top w:val="nil"/>
              <w:left w:val="nil"/>
              <w:bottom w:val="nil"/>
              <w:right w:val="single" w:sz="8" w:space="0" w:color="auto"/>
            </w:tcBorders>
            <w:shd w:val="clear" w:color="auto" w:fill="auto"/>
            <w:vAlign w:val="center"/>
            <w:hideMark/>
          </w:tcPr>
          <w:p w14:paraId="4F0C76DA"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BOR.C041</w:t>
            </w:r>
          </w:p>
        </w:tc>
        <w:tc>
          <w:tcPr>
            <w:tcW w:w="1820" w:type="dxa"/>
            <w:tcBorders>
              <w:top w:val="nil"/>
              <w:left w:val="nil"/>
              <w:bottom w:val="nil"/>
              <w:right w:val="single" w:sz="8" w:space="0" w:color="auto"/>
            </w:tcBorders>
            <w:shd w:val="clear" w:color="auto" w:fill="auto"/>
            <w:vAlign w:val="center"/>
            <w:hideMark/>
          </w:tcPr>
          <w:p w14:paraId="2C3867AE"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BOR.D041</w:t>
            </w:r>
          </w:p>
        </w:tc>
        <w:tc>
          <w:tcPr>
            <w:tcW w:w="1920" w:type="dxa"/>
            <w:tcBorders>
              <w:top w:val="nil"/>
              <w:left w:val="nil"/>
              <w:bottom w:val="nil"/>
              <w:right w:val="single" w:sz="8" w:space="0" w:color="auto"/>
            </w:tcBorders>
            <w:shd w:val="clear" w:color="auto" w:fill="auto"/>
            <w:vAlign w:val="center"/>
            <w:hideMark/>
          </w:tcPr>
          <w:p w14:paraId="0AEE59ED"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BOR.E041</w:t>
            </w:r>
          </w:p>
        </w:tc>
        <w:tc>
          <w:tcPr>
            <w:tcW w:w="1780" w:type="dxa"/>
            <w:tcBorders>
              <w:top w:val="nil"/>
              <w:left w:val="nil"/>
              <w:bottom w:val="nil"/>
              <w:right w:val="single" w:sz="8" w:space="0" w:color="auto"/>
            </w:tcBorders>
            <w:shd w:val="clear" w:color="auto" w:fill="auto"/>
            <w:vAlign w:val="center"/>
            <w:hideMark/>
          </w:tcPr>
          <w:p w14:paraId="74FC9929"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BOR.F041</w:t>
            </w:r>
          </w:p>
        </w:tc>
      </w:tr>
      <w:tr w:rsidR="002F1E8D" w:rsidRPr="002F1E8D" w14:paraId="099F135D" w14:textId="77777777" w:rsidTr="00326F06">
        <w:trPr>
          <w:trHeight w:val="270"/>
        </w:trPr>
        <w:tc>
          <w:tcPr>
            <w:tcW w:w="6100" w:type="dxa"/>
            <w:tcBorders>
              <w:top w:val="nil"/>
              <w:left w:val="single" w:sz="8" w:space="0" w:color="auto"/>
              <w:bottom w:val="nil"/>
              <w:right w:val="single" w:sz="8" w:space="0" w:color="auto"/>
            </w:tcBorders>
            <w:shd w:val="clear" w:color="auto" w:fill="auto"/>
            <w:vAlign w:val="center"/>
            <w:hideMark/>
          </w:tcPr>
          <w:p w14:paraId="42C9F113" w14:textId="77777777" w:rsidR="002F1E8D" w:rsidRPr="002F1E8D" w:rsidRDefault="002F1E8D" w:rsidP="00326F06">
            <w:pPr>
              <w:spacing w:after="0" w:line="240" w:lineRule="auto"/>
              <w:ind w:firstLineChars="100" w:firstLine="180"/>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Transferências de Pessoas</w:t>
            </w:r>
          </w:p>
        </w:tc>
        <w:tc>
          <w:tcPr>
            <w:tcW w:w="2480" w:type="dxa"/>
            <w:tcBorders>
              <w:top w:val="nil"/>
              <w:left w:val="nil"/>
              <w:bottom w:val="nil"/>
              <w:right w:val="single" w:sz="8" w:space="0" w:color="auto"/>
            </w:tcBorders>
            <w:shd w:val="clear" w:color="auto" w:fill="auto"/>
            <w:vAlign w:val="center"/>
            <w:hideMark/>
          </w:tcPr>
          <w:p w14:paraId="58323447"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BOR.C042</w:t>
            </w:r>
          </w:p>
        </w:tc>
        <w:tc>
          <w:tcPr>
            <w:tcW w:w="1820" w:type="dxa"/>
            <w:tcBorders>
              <w:top w:val="nil"/>
              <w:left w:val="nil"/>
              <w:bottom w:val="nil"/>
              <w:right w:val="single" w:sz="8" w:space="0" w:color="auto"/>
            </w:tcBorders>
            <w:shd w:val="clear" w:color="auto" w:fill="auto"/>
            <w:vAlign w:val="center"/>
            <w:hideMark/>
          </w:tcPr>
          <w:p w14:paraId="190C617C"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BOR.D042</w:t>
            </w:r>
          </w:p>
        </w:tc>
        <w:tc>
          <w:tcPr>
            <w:tcW w:w="1920" w:type="dxa"/>
            <w:tcBorders>
              <w:top w:val="nil"/>
              <w:left w:val="nil"/>
              <w:bottom w:val="nil"/>
              <w:right w:val="single" w:sz="8" w:space="0" w:color="auto"/>
            </w:tcBorders>
            <w:shd w:val="clear" w:color="auto" w:fill="auto"/>
            <w:vAlign w:val="center"/>
            <w:hideMark/>
          </w:tcPr>
          <w:p w14:paraId="0B0495C9"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BOR.E042</w:t>
            </w:r>
          </w:p>
        </w:tc>
        <w:tc>
          <w:tcPr>
            <w:tcW w:w="1780" w:type="dxa"/>
            <w:tcBorders>
              <w:top w:val="nil"/>
              <w:left w:val="nil"/>
              <w:bottom w:val="nil"/>
              <w:right w:val="single" w:sz="8" w:space="0" w:color="auto"/>
            </w:tcBorders>
            <w:shd w:val="clear" w:color="auto" w:fill="auto"/>
            <w:vAlign w:val="center"/>
            <w:hideMark/>
          </w:tcPr>
          <w:p w14:paraId="49F2FB4A"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BOR.F042</w:t>
            </w:r>
          </w:p>
        </w:tc>
      </w:tr>
      <w:tr w:rsidR="002F1E8D" w:rsidRPr="002F1E8D" w14:paraId="78E097D3" w14:textId="77777777" w:rsidTr="00326F06">
        <w:trPr>
          <w:trHeight w:val="285"/>
        </w:trPr>
        <w:tc>
          <w:tcPr>
            <w:tcW w:w="6100" w:type="dxa"/>
            <w:tcBorders>
              <w:top w:val="nil"/>
              <w:left w:val="single" w:sz="8" w:space="0" w:color="auto"/>
              <w:bottom w:val="nil"/>
              <w:right w:val="single" w:sz="8" w:space="0" w:color="auto"/>
            </w:tcBorders>
            <w:shd w:val="clear" w:color="auto" w:fill="auto"/>
            <w:vAlign w:val="center"/>
            <w:hideMark/>
          </w:tcPr>
          <w:p w14:paraId="36B68338" w14:textId="77777777" w:rsidR="002F1E8D" w:rsidRPr="002F1E8D" w:rsidRDefault="002F1E8D" w:rsidP="00326F06">
            <w:pPr>
              <w:spacing w:after="0" w:line="240" w:lineRule="auto"/>
              <w:ind w:firstLineChars="100" w:firstLine="180"/>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Transferências de Convênios</w:t>
            </w:r>
          </w:p>
        </w:tc>
        <w:tc>
          <w:tcPr>
            <w:tcW w:w="2480" w:type="dxa"/>
            <w:tcBorders>
              <w:top w:val="nil"/>
              <w:left w:val="nil"/>
              <w:bottom w:val="nil"/>
              <w:right w:val="single" w:sz="8" w:space="0" w:color="auto"/>
            </w:tcBorders>
            <w:shd w:val="clear" w:color="auto" w:fill="auto"/>
            <w:vAlign w:val="center"/>
            <w:hideMark/>
          </w:tcPr>
          <w:p w14:paraId="12D4CA2C"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BOR.C043</w:t>
            </w:r>
          </w:p>
        </w:tc>
        <w:tc>
          <w:tcPr>
            <w:tcW w:w="1820" w:type="dxa"/>
            <w:tcBorders>
              <w:top w:val="nil"/>
              <w:left w:val="nil"/>
              <w:bottom w:val="nil"/>
              <w:right w:val="single" w:sz="8" w:space="0" w:color="auto"/>
            </w:tcBorders>
            <w:shd w:val="clear" w:color="auto" w:fill="auto"/>
            <w:vAlign w:val="center"/>
            <w:hideMark/>
          </w:tcPr>
          <w:p w14:paraId="085CB0C3"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BOR.D043</w:t>
            </w:r>
          </w:p>
        </w:tc>
        <w:tc>
          <w:tcPr>
            <w:tcW w:w="1920" w:type="dxa"/>
            <w:tcBorders>
              <w:top w:val="nil"/>
              <w:left w:val="nil"/>
              <w:bottom w:val="nil"/>
              <w:right w:val="single" w:sz="8" w:space="0" w:color="auto"/>
            </w:tcBorders>
            <w:shd w:val="clear" w:color="auto" w:fill="auto"/>
            <w:vAlign w:val="center"/>
            <w:hideMark/>
          </w:tcPr>
          <w:p w14:paraId="66F5D3D9"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BOR.E043</w:t>
            </w:r>
          </w:p>
        </w:tc>
        <w:tc>
          <w:tcPr>
            <w:tcW w:w="1780" w:type="dxa"/>
            <w:tcBorders>
              <w:top w:val="nil"/>
              <w:left w:val="nil"/>
              <w:bottom w:val="nil"/>
              <w:right w:val="single" w:sz="8" w:space="0" w:color="auto"/>
            </w:tcBorders>
            <w:shd w:val="clear" w:color="auto" w:fill="auto"/>
            <w:vAlign w:val="center"/>
            <w:hideMark/>
          </w:tcPr>
          <w:p w14:paraId="7FCD0FB5"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BOR.F043</w:t>
            </w:r>
          </w:p>
        </w:tc>
      </w:tr>
      <w:tr w:rsidR="002F1E8D" w:rsidRPr="002F1E8D" w14:paraId="29E3E75D" w14:textId="77777777" w:rsidTr="00326F06">
        <w:trPr>
          <w:trHeight w:val="270"/>
        </w:trPr>
        <w:tc>
          <w:tcPr>
            <w:tcW w:w="6100" w:type="dxa"/>
            <w:tcBorders>
              <w:top w:val="nil"/>
              <w:left w:val="single" w:sz="8" w:space="0" w:color="auto"/>
              <w:bottom w:val="nil"/>
              <w:right w:val="single" w:sz="8" w:space="0" w:color="auto"/>
            </w:tcBorders>
            <w:shd w:val="clear" w:color="auto" w:fill="auto"/>
            <w:vAlign w:val="center"/>
            <w:hideMark/>
          </w:tcPr>
          <w:p w14:paraId="5B2D6A45" w14:textId="77777777" w:rsidR="002F1E8D" w:rsidRPr="002F1E8D" w:rsidRDefault="002F1E8D" w:rsidP="00326F06">
            <w:pPr>
              <w:spacing w:after="0" w:line="240" w:lineRule="auto"/>
              <w:ind w:firstLineChars="100" w:firstLine="180"/>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Transferências para o Combate à Fome</w:t>
            </w:r>
          </w:p>
        </w:tc>
        <w:tc>
          <w:tcPr>
            <w:tcW w:w="2480" w:type="dxa"/>
            <w:tcBorders>
              <w:top w:val="nil"/>
              <w:left w:val="nil"/>
              <w:bottom w:val="nil"/>
              <w:right w:val="single" w:sz="8" w:space="0" w:color="auto"/>
            </w:tcBorders>
            <w:shd w:val="clear" w:color="auto" w:fill="auto"/>
            <w:vAlign w:val="center"/>
            <w:hideMark/>
          </w:tcPr>
          <w:p w14:paraId="7852B334"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BOR.C044</w:t>
            </w:r>
          </w:p>
        </w:tc>
        <w:tc>
          <w:tcPr>
            <w:tcW w:w="1820" w:type="dxa"/>
            <w:tcBorders>
              <w:top w:val="nil"/>
              <w:left w:val="nil"/>
              <w:bottom w:val="nil"/>
              <w:right w:val="single" w:sz="8" w:space="0" w:color="auto"/>
            </w:tcBorders>
            <w:shd w:val="clear" w:color="auto" w:fill="auto"/>
            <w:vAlign w:val="center"/>
            <w:hideMark/>
          </w:tcPr>
          <w:p w14:paraId="17B1BF70"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BOR.D044</w:t>
            </w:r>
          </w:p>
        </w:tc>
        <w:tc>
          <w:tcPr>
            <w:tcW w:w="1920" w:type="dxa"/>
            <w:tcBorders>
              <w:top w:val="nil"/>
              <w:left w:val="nil"/>
              <w:bottom w:val="nil"/>
              <w:right w:val="single" w:sz="8" w:space="0" w:color="auto"/>
            </w:tcBorders>
            <w:shd w:val="clear" w:color="auto" w:fill="auto"/>
            <w:vAlign w:val="center"/>
            <w:hideMark/>
          </w:tcPr>
          <w:p w14:paraId="1909F4BF"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BOR.E044</w:t>
            </w:r>
          </w:p>
        </w:tc>
        <w:tc>
          <w:tcPr>
            <w:tcW w:w="1780" w:type="dxa"/>
            <w:tcBorders>
              <w:top w:val="nil"/>
              <w:left w:val="nil"/>
              <w:bottom w:val="nil"/>
              <w:right w:val="single" w:sz="8" w:space="0" w:color="auto"/>
            </w:tcBorders>
            <w:shd w:val="clear" w:color="auto" w:fill="auto"/>
            <w:vAlign w:val="center"/>
            <w:hideMark/>
          </w:tcPr>
          <w:p w14:paraId="2DFEFAAF"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BOR.F044</w:t>
            </w:r>
          </w:p>
        </w:tc>
      </w:tr>
      <w:tr w:rsidR="002F1E8D" w:rsidRPr="002F1E8D" w14:paraId="15A8139E" w14:textId="77777777" w:rsidTr="00326F06">
        <w:trPr>
          <w:trHeight w:val="270"/>
        </w:trPr>
        <w:tc>
          <w:tcPr>
            <w:tcW w:w="6100" w:type="dxa"/>
            <w:tcBorders>
              <w:top w:val="nil"/>
              <w:left w:val="single" w:sz="8" w:space="0" w:color="auto"/>
              <w:bottom w:val="nil"/>
              <w:right w:val="single" w:sz="8" w:space="0" w:color="auto"/>
            </w:tcBorders>
            <w:shd w:val="clear" w:color="auto" w:fill="auto"/>
            <w:vAlign w:val="center"/>
            <w:hideMark/>
          </w:tcPr>
          <w:p w14:paraId="272FA1D2" w14:textId="77777777" w:rsidR="002F1E8D" w:rsidRPr="002F1E8D" w:rsidRDefault="002F1E8D" w:rsidP="00326F06">
            <w:pPr>
              <w:spacing w:after="0" w:line="240" w:lineRule="auto"/>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 xml:space="preserve">  Outras Receitas Correntes</w:t>
            </w:r>
          </w:p>
        </w:tc>
        <w:tc>
          <w:tcPr>
            <w:tcW w:w="2480" w:type="dxa"/>
            <w:tcBorders>
              <w:top w:val="nil"/>
              <w:left w:val="nil"/>
              <w:bottom w:val="nil"/>
              <w:right w:val="single" w:sz="8" w:space="0" w:color="auto"/>
            </w:tcBorders>
            <w:shd w:val="clear" w:color="auto" w:fill="auto"/>
            <w:vAlign w:val="center"/>
            <w:hideMark/>
          </w:tcPr>
          <w:p w14:paraId="695FB041" w14:textId="77777777" w:rsidR="002F1E8D" w:rsidRPr="002F1E8D" w:rsidRDefault="002F1E8D" w:rsidP="00326F06">
            <w:pPr>
              <w:spacing w:after="0"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BOR.C045</w:t>
            </w:r>
          </w:p>
        </w:tc>
        <w:tc>
          <w:tcPr>
            <w:tcW w:w="1820" w:type="dxa"/>
            <w:tcBorders>
              <w:top w:val="nil"/>
              <w:left w:val="nil"/>
              <w:bottom w:val="nil"/>
              <w:right w:val="single" w:sz="8" w:space="0" w:color="auto"/>
            </w:tcBorders>
            <w:shd w:val="clear" w:color="auto" w:fill="auto"/>
            <w:vAlign w:val="center"/>
            <w:hideMark/>
          </w:tcPr>
          <w:p w14:paraId="16F9ABF2" w14:textId="77777777" w:rsidR="002F1E8D" w:rsidRPr="002F1E8D" w:rsidRDefault="002F1E8D" w:rsidP="00326F06">
            <w:pPr>
              <w:spacing w:after="0"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BOR.D045</w:t>
            </w:r>
          </w:p>
        </w:tc>
        <w:tc>
          <w:tcPr>
            <w:tcW w:w="1920" w:type="dxa"/>
            <w:tcBorders>
              <w:top w:val="nil"/>
              <w:left w:val="nil"/>
              <w:bottom w:val="nil"/>
              <w:right w:val="single" w:sz="8" w:space="0" w:color="auto"/>
            </w:tcBorders>
            <w:shd w:val="clear" w:color="auto" w:fill="auto"/>
            <w:vAlign w:val="center"/>
            <w:hideMark/>
          </w:tcPr>
          <w:p w14:paraId="03461FD6" w14:textId="77777777" w:rsidR="002F1E8D" w:rsidRPr="002F1E8D" w:rsidRDefault="002F1E8D" w:rsidP="00326F06">
            <w:pPr>
              <w:spacing w:after="0"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BOR.E045</w:t>
            </w:r>
          </w:p>
        </w:tc>
        <w:tc>
          <w:tcPr>
            <w:tcW w:w="1780" w:type="dxa"/>
            <w:tcBorders>
              <w:top w:val="nil"/>
              <w:left w:val="nil"/>
              <w:bottom w:val="nil"/>
              <w:right w:val="single" w:sz="8" w:space="0" w:color="auto"/>
            </w:tcBorders>
            <w:shd w:val="clear" w:color="auto" w:fill="auto"/>
            <w:vAlign w:val="center"/>
            <w:hideMark/>
          </w:tcPr>
          <w:p w14:paraId="343FFBB5" w14:textId="77777777" w:rsidR="002F1E8D" w:rsidRPr="002F1E8D" w:rsidRDefault="002F1E8D" w:rsidP="00326F06">
            <w:pPr>
              <w:spacing w:after="0"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BOR.F045</w:t>
            </w:r>
          </w:p>
        </w:tc>
      </w:tr>
      <w:tr w:rsidR="002F1E8D" w:rsidRPr="002F1E8D" w14:paraId="5522901E" w14:textId="77777777" w:rsidTr="00326F06">
        <w:trPr>
          <w:trHeight w:val="270"/>
        </w:trPr>
        <w:tc>
          <w:tcPr>
            <w:tcW w:w="6100" w:type="dxa"/>
            <w:tcBorders>
              <w:top w:val="nil"/>
              <w:left w:val="single" w:sz="8" w:space="0" w:color="auto"/>
              <w:bottom w:val="nil"/>
              <w:right w:val="single" w:sz="8" w:space="0" w:color="auto"/>
            </w:tcBorders>
            <w:shd w:val="clear" w:color="auto" w:fill="auto"/>
            <w:vAlign w:val="center"/>
            <w:hideMark/>
          </w:tcPr>
          <w:p w14:paraId="6C055C1A" w14:textId="77777777" w:rsidR="002F1E8D" w:rsidRPr="002F1E8D" w:rsidRDefault="002F1E8D" w:rsidP="00326F06">
            <w:pPr>
              <w:spacing w:after="0" w:line="240" w:lineRule="auto"/>
              <w:ind w:firstLineChars="100" w:firstLine="180"/>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Multas e Juros de Mora</w:t>
            </w:r>
          </w:p>
        </w:tc>
        <w:tc>
          <w:tcPr>
            <w:tcW w:w="2480" w:type="dxa"/>
            <w:tcBorders>
              <w:top w:val="nil"/>
              <w:left w:val="nil"/>
              <w:bottom w:val="nil"/>
              <w:right w:val="single" w:sz="8" w:space="0" w:color="auto"/>
            </w:tcBorders>
            <w:shd w:val="clear" w:color="auto" w:fill="auto"/>
            <w:vAlign w:val="center"/>
            <w:hideMark/>
          </w:tcPr>
          <w:p w14:paraId="24AB4B21"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BOR.C046</w:t>
            </w:r>
          </w:p>
        </w:tc>
        <w:tc>
          <w:tcPr>
            <w:tcW w:w="1820" w:type="dxa"/>
            <w:tcBorders>
              <w:top w:val="nil"/>
              <w:left w:val="nil"/>
              <w:bottom w:val="nil"/>
              <w:right w:val="single" w:sz="8" w:space="0" w:color="auto"/>
            </w:tcBorders>
            <w:shd w:val="clear" w:color="auto" w:fill="auto"/>
            <w:vAlign w:val="center"/>
            <w:hideMark/>
          </w:tcPr>
          <w:p w14:paraId="5A6E0A3A"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BOR.D046</w:t>
            </w:r>
          </w:p>
        </w:tc>
        <w:tc>
          <w:tcPr>
            <w:tcW w:w="1920" w:type="dxa"/>
            <w:tcBorders>
              <w:top w:val="nil"/>
              <w:left w:val="nil"/>
              <w:bottom w:val="nil"/>
              <w:right w:val="single" w:sz="8" w:space="0" w:color="auto"/>
            </w:tcBorders>
            <w:shd w:val="clear" w:color="auto" w:fill="auto"/>
            <w:vAlign w:val="center"/>
            <w:hideMark/>
          </w:tcPr>
          <w:p w14:paraId="4A8B39B9"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BOR.E046</w:t>
            </w:r>
          </w:p>
        </w:tc>
        <w:tc>
          <w:tcPr>
            <w:tcW w:w="1780" w:type="dxa"/>
            <w:tcBorders>
              <w:top w:val="nil"/>
              <w:left w:val="nil"/>
              <w:bottom w:val="nil"/>
              <w:right w:val="single" w:sz="8" w:space="0" w:color="auto"/>
            </w:tcBorders>
            <w:shd w:val="clear" w:color="auto" w:fill="auto"/>
            <w:vAlign w:val="center"/>
            <w:hideMark/>
          </w:tcPr>
          <w:p w14:paraId="5A324233"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BOR.F046</w:t>
            </w:r>
          </w:p>
        </w:tc>
      </w:tr>
      <w:tr w:rsidR="002F1E8D" w:rsidRPr="002F1E8D" w14:paraId="57851A63" w14:textId="77777777" w:rsidTr="00326F06">
        <w:trPr>
          <w:trHeight w:val="270"/>
        </w:trPr>
        <w:tc>
          <w:tcPr>
            <w:tcW w:w="6100" w:type="dxa"/>
            <w:tcBorders>
              <w:top w:val="nil"/>
              <w:left w:val="single" w:sz="8" w:space="0" w:color="auto"/>
              <w:bottom w:val="nil"/>
              <w:right w:val="single" w:sz="8" w:space="0" w:color="auto"/>
            </w:tcBorders>
            <w:shd w:val="clear" w:color="auto" w:fill="auto"/>
            <w:vAlign w:val="center"/>
            <w:hideMark/>
          </w:tcPr>
          <w:p w14:paraId="29FFB6D3" w14:textId="77777777" w:rsidR="002F1E8D" w:rsidRPr="002F1E8D" w:rsidRDefault="002F1E8D" w:rsidP="00326F06">
            <w:pPr>
              <w:spacing w:after="0" w:line="240" w:lineRule="auto"/>
              <w:ind w:firstLineChars="100" w:firstLine="180"/>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Indenizações e Restituições</w:t>
            </w:r>
          </w:p>
        </w:tc>
        <w:tc>
          <w:tcPr>
            <w:tcW w:w="2480" w:type="dxa"/>
            <w:tcBorders>
              <w:top w:val="nil"/>
              <w:left w:val="nil"/>
              <w:bottom w:val="nil"/>
              <w:right w:val="single" w:sz="8" w:space="0" w:color="auto"/>
            </w:tcBorders>
            <w:shd w:val="clear" w:color="auto" w:fill="auto"/>
            <w:vAlign w:val="center"/>
            <w:hideMark/>
          </w:tcPr>
          <w:p w14:paraId="52159405"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BOR.C047</w:t>
            </w:r>
          </w:p>
        </w:tc>
        <w:tc>
          <w:tcPr>
            <w:tcW w:w="1820" w:type="dxa"/>
            <w:tcBorders>
              <w:top w:val="nil"/>
              <w:left w:val="nil"/>
              <w:bottom w:val="nil"/>
              <w:right w:val="single" w:sz="8" w:space="0" w:color="auto"/>
            </w:tcBorders>
            <w:shd w:val="clear" w:color="auto" w:fill="auto"/>
            <w:vAlign w:val="center"/>
            <w:hideMark/>
          </w:tcPr>
          <w:p w14:paraId="20DC55B7"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BOR.D047</w:t>
            </w:r>
          </w:p>
        </w:tc>
        <w:tc>
          <w:tcPr>
            <w:tcW w:w="1920" w:type="dxa"/>
            <w:tcBorders>
              <w:top w:val="nil"/>
              <w:left w:val="nil"/>
              <w:bottom w:val="nil"/>
              <w:right w:val="single" w:sz="8" w:space="0" w:color="auto"/>
            </w:tcBorders>
            <w:shd w:val="clear" w:color="auto" w:fill="auto"/>
            <w:vAlign w:val="center"/>
            <w:hideMark/>
          </w:tcPr>
          <w:p w14:paraId="3FD11569"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BOR.E047</w:t>
            </w:r>
          </w:p>
        </w:tc>
        <w:tc>
          <w:tcPr>
            <w:tcW w:w="1780" w:type="dxa"/>
            <w:tcBorders>
              <w:top w:val="nil"/>
              <w:left w:val="nil"/>
              <w:bottom w:val="nil"/>
              <w:right w:val="single" w:sz="8" w:space="0" w:color="auto"/>
            </w:tcBorders>
            <w:shd w:val="clear" w:color="auto" w:fill="auto"/>
            <w:vAlign w:val="center"/>
            <w:hideMark/>
          </w:tcPr>
          <w:p w14:paraId="532F455E"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BOR.F047</w:t>
            </w:r>
          </w:p>
        </w:tc>
      </w:tr>
      <w:tr w:rsidR="002F1E8D" w:rsidRPr="002F1E8D" w14:paraId="52D26F13" w14:textId="77777777" w:rsidTr="00326F06">
        <w:trPr>
          <w:trHeight w:val="270"/>
        </w:trPr>
        <w:tc>
          <w:tcPr>
            <w:tcW w:w="6100" w:type="dxa"/>
            <w:tcBorders>
              <w:top w:val="nil"/>
              <w:left w:val="single" w:sz="8" w:space="0" w:color="auto"/>
              <w:bottom w:val="nil"/>
              <w:right w:val="single" w:sz="8" w:space="0" w:color="auto"/>
            </w:tcBorders>
            <w:shd w:val="clear" w:color="auto" w:fill="auto"/>
            <w:vAlign w:val="center"/>
            <w:hideMark/>
          </w:tcPr>
          <w:p w14:paraId="28522FBE" w14:textId="77777777" w:rsidR="002F1E8D" w:rsidRPr="002F1E8D" w:rsidRDefault="002F1E8D" w:rsidP="00326F06">
            <w:pPr>
              <w:spacing w:after="0" w:line="240" w:lineRule="auto"/>
              <w:ind w:firstLineChars="100" w:firstLine="180"/>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Receita da Dívida Ativa</w:t>
            </w:r>
          </w:p>
        </w:tc>
        <w:tc>
          <w:tcPr>
            <w:tcW w:w="2480" w:type="dxa"/>
            <w:tcBorders>
              <w:top w:val="nil"/>
              <w:left w:val="nil"/>
              <w:bottom w:val="nil"/>
              <w:right w:val="single" w:sz="8" w:space="0" w:color="auto"/>
            </w:tcBorders>
            <w:shd w:val="clear" w:color="auto" w:fill="auto"/>
            <w:vAlign w:val="center"/>
            <w:hideMark/>
          </w:tcPr>
          <w:p w14:paraId="73FE5573"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BOR.C048</w:t>
            </w:r>
          </w:p>
        </w:tc>
        <w:tc>
          <w:tcPr>
            <w:tcW w:w="1820" w:type="dxa"/>
            <w:tcBorders>
              <w:top w:val="nil"/>
              <w:left w:val="nil"/>
              <w:bottom w:val="nil"/>
              <w:right w:val="single" w:sz="8" w:space="0" w:color="auto"/>
            </w:tcBorders>
            <w:shd w:val="clear" w:color="auto" w:fill="auto"/>
            <w:vAlign w:val="center"/>
            <w:hideMark/>
          </w:tcPr>
          <w:p w14:paraId="7F211D47"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BOR.D048</w:t>
            </w:r>
          </w:p>
        </w:tc>
        <w:tc>
          <w:tcPr>
            <w:tcW w:w="1920" w:type="dxa"/>
            <w:tcBorders>
              <w:top w:val="nil"/>
              <w:left w:val="nil"/>
              <w:bottom w:val="nil"/>
              <w:right w:val="single" w:sz="8" w:space="0" w:color="auto"/>
            </w:tcBorders>
            <w:shd w:val="clear" w:color="auto" w:fill="auto"/>
            <w:vAlign w:val="center"/>
            <w:hideMark/>
          </w:tcPr>
          <w:p w14:paraId="346D1A6A"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BOR.E048</w:t>
            </w:r>
          </w:p>
        </w:tc>
        <w:tc>
          <w:tcPr>
            <w:tcW w:w="1780" w:type="dxa"/>
            <w:tcBorders>
              <w:top w:val="nil"/>
              <w:left w:val="nil"/>
              <w:bottom w:val="nil"/>
              <w:right w:val="single" w:sz="8" w:space="0" w:color="auto"/>
            </w:tcBorders>
            <w:shd w:val="clear" w:color="auto" w:fill="auto"/>
            <w:vAlign w:val="center"/>
            <w:hideMark/>
          </w:tcPr>
          <w:p w14:paraId="589B2475"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BOR.F048</w:t>
            </w:r>
          </w:p>
        </w:tc>
      </w:tr>
      <w:tr w:rsidR="002F1E8D" w:rsidRPr="002F1E8D" w14:paraId="29A9B1C0" w14:textId="77777777" w:rsidTr="00326F06">
        <w:trPr>
          <w:trHeight w:val="270"/>
        </w:trPr>
        <w:tc>
          <w:tcPr>
            <w:tcW w:w="6100" w:type="dxa"/>
            <w:tcBorders>
              <w:top w:val="nil"/>
              <w:left w:val="single" w:sz="8" w:space="0" w:color="auto"/>
              <w:bottom w:val="nil"/>
              <w:right w:val="single" w:sz="8" w:space="0" w:color="auto"/>
            </w:tcBorders>
            <w:shd w:val="clear" w:color="auto" w:fill="auto"/>
            <w:vAlign w:val="center"/>
            <w:hideMark/>
          </w:tcPr>
          <w:p w14:paraId="6DFC0C2F" w14:textId="77777777" w:rsidR="002F1E8D" w:rsidRPr="002F1E8D" w:rsidRDefault="002F1E8D" w:rsidP="00326F06">
            <w:pPr>
              <w:spacing w:after="0" w:line="240" w:lineRule="auto"/>
              <w:ind w:firstLineChars="100" w:firstLine="180"/>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Receitas Decorrentes de Aportes Periódicos para Amortização de Déficit Atuarial do RPPS</w:t>
            </w:r>
          </w:p>
        </w:tc>
        <w:tc>
          <w:tcPr>
            <w:tcW w:w="2480" w:type="dxa"/>
            <w:tcBorders>
              <w:top w:val="nil"/>
              <w:left w:val="nil"/>
              <w:bottom w:val="nil"/>
              <w:right w:val="single" w:sz="8" w:space="0" w:color="auto"/>
            </w:tcBorders>
            <w:shd w:val="clear" w:color="auto" w:fill="auto"/>
            <w:vAlign w:val="center"/>
            <w:hideMark/>
          </w:tcPr>
          <w:p w14:paraId="796C5092"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BOR.C049</w:t>
            </w:r>
          </w:p>
        </w:tc>
        <w:tc>
          <w:tcPr>
            <w:tcW w:w="1820" w:type="dxa"/>
            <w:tcBorders>
              <w:top w:val="nil"/>
              <w:left w:val="nil"/>
              <w:bottom w:val="nil"/>
              <w:right w:val="single" w:sz="8" w:space="0" w:color="auto"/>
            </w:tcBorders>
            <w:shd w:val="clear" w:color="auto" w:fill="auto"/>
            <w:vAlign w:val="center"/>
            <w:hideMark/>
          </w:tcPr>
          <w:p w14:paraId="4B5BE7A6"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BOR.D049</w:t>
            </w:r>
          </w:p>
        </w:tc>
        <w:tc>
          <w:tcPr>
            <w:tcW w:w="1920" w:type="dxa"/>
            <w:tcBorders>
              <w:top w:val="nil"/>
              <w:left w:val="nil"/>
              <w:bottom w:val="nil"/>
              <w:right w:val="single" w:sz="8" w:space="0" w:color="auto"/>
            </w:tcBorders>
            <w:shd w:val="clear" w:color="auto" w:fill="auto"/>
            <w:vAlign w:val="center"/>
            <w:hideMark/>
          </w:tcPr>
          <w:p w14:paraId="1FD2B9D4"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BOR.E049</w:t>
            </w:r>
          </w:p>
        </w:tc>
        <w:tc>
          <w:tcPr>
            <w:tcW w:w="1780" w:type="dxa"/>
            <w:tcBorders>
              <w:top w:val="nil"/>
              <w:left w:val="nil"/>
              <w:bottom w:val="nil"/>
              <w:right w:val="single" w:sz="8" w:space="0" w:color="auto"/>
            </w:tcBorders>
            <w:shd w:val="clear" w:color="auto" w:fill="auto"/>
            <w:vAlign w:val="center"/>
            <w:hideMark/>
          </w:tcPr>
          <w:p w14:paraId="722FAA6B"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BOR.F049</w:t>
            </w:r>
          </w:p>
        </w:tc>
      </w:tr>
      <w:tr w:rsidR="002F1E8D" w:rsidRPr="002F1E8D" w14:paraId="1E46DBE1" w14:textId="77777777" w:rsidTr="00326F06">
        <w:trPr>
          <w:trHeight w:val="315"/>
        </w:trPr>
        <w:tc>
          <w:tcPr>
            <w:tcW w:w="6100" w:type="dxa"/>
            <w:tcBorders>
              <w:top w:val="nil"/>
              <w:left w:val="single" w:sz="8" w:space="0" w:color="auto"/>
              <w:bottom w:val="nil"/>
              <w:right w:val="single" w:sz="8" w:space="0" w:color="auto"/>
            </w:tcBorders>
            <w:shd w:val="clear" w:color="auto" w:fill="auto"/>
            <w:vAlign w:val="center"/>
            <w:hideMark/>
          </w:tcPr>
          <w:p w14:paraId="6E14D55C" w14:textId="77777777" w:rsidR="002F1E8D" w:rsidRPr="002F1E8D" w:rsidRDefault="002F1E8D" w:rsidP="00326F06">
            <w:pPr>
              <w:spacing w:after="0" w:line="240" w:lineRule="auto"/>
              <w:ind w:firstLineChars="100" w:firstLine="180"/>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Receitas Correntes Diversas</w:t>
            </w:r>
          </w:p>
        </w:tc>
        <w:tc>
          <w:tcPr>
            <w:tcW w:w="2480" w:type="dxa"/>
            <w:tcBorders>
              <w:top w:val="nil"/>
              <w:left w:val="nil"/>
              <w:bottom w:val="nil"/>
              <w:right w:val="single" w:sz="8" w:space="0" w:color="auto"/>
            </w:tcBorders>
            <w:shd w:val="clear" w:color="auto" w:fill="auto"/>
            <w:vAlign w:val="center"/>
            <w:hideMark/>
          </w:tcPr>
          <w:p w14:paraId="304A169F"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BOR.C050</w:t>
            </w:r>
          </w:p>
        </w:tc>
        <w:tc>
          <w:tcPr>
            <w:tcW w:w="1820" w:type="dxa"/>
            <w:tcBorders>
              <w:top w:val="nil"/>
              <w:left w:val="nil"/>
              <w:bottom w:val="nil"/>
              <w:right w:val="single" w:sz="8" w:space="0" w:color="auto"/>
            </w:tcBorders>
            <w:shd w:val="clear" w:color="auto" w:fill="auto"/>
            <w:vAlign w:val="center"/>
            <w:hideMark/>
          </w:tcPr>
          <w:p w14:paraId="25529054"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BOR.D050</w:t>
            </w:r>
          </w:p>
        </w:tc>
        <w:tc>
          <w:tcPr>
            <w:tcW w:w="1920" w:type="dxa"/>
            <w:tcBorders>
              <w:top w:val="nil"/>
              <w:left w:val="nil"/>
              <w:bottom w:val="nil"/>
              <w:right w:val="single" w:sz="8" w:space="0" w:color="auto"/>
            </w:tcBorders>
            <w:shd w:val="clear" w:color="auto" w:fill="auto"/>
            <w:vAlign w:val="center"/>
            <w:hideMark/>
          </w:tcPr>
          <w:p w14:paraId="6B77B3B0"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BOR.E050</w:t>
            </w:r>
          </w:p>
        </w:tc>
        <w:tc>
          <w:tcPr>
            <w:tcW w:w="1780" w:type="dxa"/>
            <w:tcBorders>
              <w:top w:val="nil"/>
              <w:left w:val="nil"/>
              <w:bottom w:val="nil"/>
              <w:right w:val="single" w:sz="8" w:space="0" w:color="auto"/>
            </w:tcBorders>
            <w:shd w:val="clear" w:color="auto" w:fill="auto"/>
            <w:vAlign w:val="center"/>
            <w:hideMark/>
          </w:tcPr>
          <w:p w14:paraId="6A356A96"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BOR.F050</w:t>
            </w:r>
          </w:p>
        </w:tc>
      </w:tr>
      <w:tr w:rsidR="002F1E8D" w:rsidRPr="002F1E8D" w14:paraId="590B91FA" w14:textId="77777777" w:rsidTr="00326F06">
        <w:trPr>
          <w:trHeight w:val="270"/>
        </w:trPr>
        <w:tc>
          <w:tcPr>
            <w:tcW w:w="6100" w:type="dxa"/>
            <w:tcBorders>
              <w:top w:val="nil"/>
              <w:left w:val="single" w:sz="8" w:space="0" w:color="auto"/>
              <w:bottom w:val="nil"/>
              <w:right w:val="single" w:sz="8" w:space="0" w:color="auto"/>
            </w:tcBorders>
            <w:shd w:val="clear" w:color="auto" w:fill="auto"/>
            <w:vAlign w:val="center"/>
            <w:hideMark/>
          </w:tcPr>
          <w:p w14:paraId="1F6E02FC" w14:textId="77777777" w:rsidR="002F1E8D" w:rsidRPr="002F1E8D" w:rsidRDefault="002F1E8D" w:rsidP="00326F06">
            <w:pPr>
              <w:spacing w:after="0" w:line="240" w:lineRule="auto"/>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RECEITAS DE CAPITAL (II)</w:t>
            </w:r>
          </w:p>
        </w:tc>
        <w:tc>
          <w:tcPr>
            <w:tcW w:w="2480" w:type="dxa"/>
            <w:tcBorders>
              <w:top w:val="nil"/>
              <w:left w:val="nil"/>
              <w:bottom w:val="nil"/>
              <w:right w:val="single" w:sz="8" w:space="0" w:color="auto"/>
            </w:tcBorders>
            <w:shd w:val="clear" w:color="auto" w:fill="auto"/>
            <w:vAlign w:val="center"/>
            <w:hideMark/>
          </w:tcPr>
          <w:p w14:paraId="5A753285" w14:textId="77777777" w:rsidR="002F1E8D" w:rsidRPr="002F1E8D" w:rsidRDefault="002F1E8D" w:rsidP="00326F06">
            <w:pPr>
              <w:spacing w:after="0"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BOR.C051</w:t>
            </w:r>
          </w:p>
        </w:tc>
        <w:tc>
          <w:tcPr>
            <w:tcW w:w="1820" w:type="dxa"/>
            <w:tcBorders>
              <w:top w:val="nil"/>
              <w:left w:val="nil"/>
              <w:bottom w:val="nil"/>
              <w:right w:val="single" w:sz="8" w:space="0" w:color="auto"/>
            </w:tcBorders>
            <w:shd w:val="clear" w:color="auto" w:fill="auto"/>
            <w:vAlign w:val="center"/>
            <w:hideMark/>
          </w:tcPr>
          <w:p w14:paraId="5D200243" w14:textId="77777777" w:rsidR="002F1E8D" w:rsidRPr="002F1E8D" w:rsidRDefault="002F1E8D" w:rsidP="00326F06">
            <w:pPr>
              <w:spacing w:after="0"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BOR.D051</w:t>
            </w:r>
          </w:p>
        </w:tc>
        <w:tc>
          <w:tcPr>
            <w:tcW w:w="1920" w:type="dxa"/>
            <w:tcBorders>
              <w:top w:val="nil"/>
              <w:left w:val="nil"/>
              <w:bottom w:val="nil"/>
              <w:right w:val="single" w:sz="8" w:space="0" w:color="auto"/>
            </w:tcBorders>
            <w:shd w:val="clear" w:color="auto" w:fill="auto"/>
            <w:vAlign w:val="center"/>
            <w:hideMark/>
          </w:tcPr>
          <w:p w14:paraId="3003BE66" w14:textId="77777777" w:rsidR="002F1E8D" w:rsidRPr="002F1E8D" w:rsidRDefault="002F1E8D" w:rsidP="00326F06">
            <w:pPr>
              <w:spacing w:after="0"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BOR.E051</w:t>
            </w:r>
          </w:p>
        </w:tc>
        <w:tc>
          <w:tcPr>
            <w:tcW w:w="1780" w:type="dxa"/>
            <w:tcBorders>
              <w:top w:val="nil"/>
              <w:left w:val="nil"/>
              <w:bottom w:val="nil"/>
              <w:right w:val="single" w:sz="8" w:space="0" w:color="auto"/>
            </w:tcBorders>
            <w:shd w:val="clear" w:color="auto" w:fill="auto"/>
            <w:vAlign w:val="center"/>
            <w:hideMark/>
          </w:tcPr>
          <w:p w14:paraId="1AAC24C6" w14:textId="77777777" w:rsidR="002F1E8D" w:rsidRPr="002F1E8D" w:rsidRDefault="002F1E8D" w:rsidP="00326F06">
            <w:pPr>
              <w:spacing w:after="0"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BOR.F051</w:t>
            </w:r>
          </w:p>
        </w:tc>
      </w:tr>
      <w:tr w:rsidR="002F1E8D" w:rsidRPr="002F1E8D" w14:paraId="29D00C6C" w14:textId="77777777" w:rsidTr="00326F06">
        <w:trPr>
          <w:trHeight w:val="270"/>
        </w:trPr>
        <w:tc>
          <w:tcPr>
            <w:tcW w:w="6100" w:type="dxa"/>
            <w:tcBorders>
              <w:top w:val="nil"/>
              <w:left w:val="single" w:sz="8" w:space="0" w:color="auto"/>
              <w:bottom w:val="nil"/>
              <w:right w:val="single" w:sz="8" w:space="0" w:color="auto"/>
            </w:tcBorders>
            <w:shd w:val="clear" w:color="auto" w:fill="auto"/>
            <w:vAlign w:val="center"/>
            <w:hideMark/>
          </w:tcPr>
          <w:p w14:paraId="2BEBF9B1" w14:textId="77777777" w:rsidR="002F1E8D" w:rsidRPr="002F1E8D" w:rsidRDefault="002F1E8D" w:rsidP="00326F06">
            <w:pPr>
              <w:spacing w:after="0" w:line="240" w:lineRule="auto"/>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Operações de Crédito</w:t>
            </w:r>
          </w:p>
        </w:tc>
        <w:tc>
          <w:tcPr>
            <w:tcW w:w="2480" w:type="dxa"/>
            <w:tcBorders>
              <w:top w:val="nil"/>
              <w:left w:val="nil"/>
              <w:bottom w:val="nil"/>
              <w:right w:val="single" w:sz="8" w:space="0" w:color="auto"/>
            </w:tcBorders>
            <w:shd w:val="clear" w:color="auto" w:fill="auto"/>
            <w:vAlign w:val="center"/>
            <w:hideMark/>
          </w:tcPr>
          <w:p w14:paraId="16D6B4EC" w14:textId="77777777" w:rsidR="002F1E8D" w:rsidRPr="002F1E8D" w:rsidRDefault="002F1E8D" w:rsidP="00326F06">
            <w:pPr>
              <w:spacing w:after="0"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BOR.C052</w:t>
            </w:r>
          </w:p>
        </w:tc>
        <w:tc>
          <w:tcPr>
            <w:tcW w:w="1820" w:type="dxa"/>
            <w:tcBorders>
              <w:top w:val="nil"/>
              <w:left w:val="nil"/>
              <w:bottom w:val="nil"/>
              <w:right w:val="single" w:sz="8" w:space="0" w:color="auto"/>
            </w:tcBorders>
            <w:shd w:val="clear" w:color="auto" w:fill="auto"/>
            <w:vAlign w:val="center"/>
            <w:hideMark/>
          </w:tcPr>
          <w:p w14:paraId="45E78F5C" w14:textId="77777777" w:rsidR="002F1E8D" w:rsidRPr="002F1E8D" w:rsidRDefault="002F1E8D" w:rsidP="00326F06">
            <w:pPr>
              <w:spacing w:after="0"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BOR.D052</w:t>
            </w:r>
          </w:p>
        </w:tc>
        <w:tc>
          <w:tcPr>
            <w:tcW w:w="1920" w:type="dxa"/>
            <w:tcBorders>
              <w:top w:val="nil"/>
              <w:left w:val="nil"/>
              <w:bottom w:val="nil"/>
              <w:right w:val="single" w:sz="8" w:space="0" w:color="auto"/>
            </w:tcBorders>
            <w:shd w:val="clear" w:color="auto" w:fill="auto"/>
            <w:vAlign w:val="center"/>
            <w:hideMark/>
          </w:tcPr>
          <w:p w14:paraId="5F739D27" w14:textId="77777777" w:rsidR="002F1E8D" w:rsidRPr="002F1E8D" w:rsidRDefault="002F1E8D" w:rsidP="00326F06">
            <w:pPr>
              <w:spacing w:after="0"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BOR.E052</w:t>
            </w:r>
          </w:p>
        </w:tc>
        <w:tc>
          <w:tcPr>
            <w:tcW w:w="1780" w:type="dxa"/>
            <w:tcBorders>
              <w:top w:val="nil"/>
              <w:left w:val="nil"/>
              <w:bottom w:val="nil"/>
              <w:right w:val="single" w:sz="8" w:space="0" w:color="auto"/>
            </w:tcBorders>
            <w:shd w:val="clear" w:color="auto" w:fill="auto"/>
            <w:vAlign w:val="center"/>
            <w:hideMark/>
          </w:tcPr>
          <w:p w14:paraId="7160CE1C" w14:textId="77777777" w:rsidR="002F1E8D" w:rsidRPr="002F1E8D" w:rsidRDefault="002F1E8D" w:rsidP="00326F06">
            <w:pPr>
              <w:spacing w:after="0"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BOR.F052</w:t>
            </w:r>
          </w:p>
        </w:tc>
      </w:tr>
      <w:tr w:rsidR="002F1E8D" w:rsidRPr="002F1E8D" w14:paraId="6098A4DE" w14:textId="77777777" w:rsidTr="00326F06">
        <w:trPr>
          <w:trHeight w:val="270"/>
        </w:trPr>
        <w:tc>
          <w:tcPr>
            <w:tcW w:w="6100" w:type="dxa"/>
            <w:tcBorders>
              <w:top w:val="nil"/>
              <w:left w:val="single" w:sz="8" w:space="0" w:color="auto"/>
              <w:bottom w:val="nil"/>
              <w:right w:val="single" w:sz="8" w:space="0" w:color="auto"/>
            </w:tcBorders>
            <w:shd w:val="clear" w:color="auto" w:fill="auto"/>
            <w:vAlign w:val="center"/>
            <w:hideMark/>
          </w:tcPr>
          <w:p w14:paraId="2D7955A4" w14:textId="77777777" w:rsidR="002F1E8D" w:rsidRPr="002F1E8D" w:rsidRDefault="002F1E8D" w:rsidP="00326F06">
            <w:pPr>
              <w:spacing w:after="0" w:line="240" w:lineRule="auto"/>
              <w:ind w:firstLineChars="100" w:firstLine="180"/>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Operações de Crédito Internas</w:t>
            </w:r>
          </w:p>
        </w:tc>
        <w:tc>
          <w:tcPr>
            <w:tcW w:w="2480" w:type="dxa"/>
            <w:tcBorders>
              <w:top w:val="nil"/>
              <w:left w:val="nil"/>
              <w:bottom w:val="nil"/>
              <w:right w:val="single" w:sz="8" w:space="0" w:color="auto"/>
            </w:tcBorders>
            <w:shd w:val="clear" w:color="auto" w:fill="auto"/>
            <w:vAlign w:val="center"/>
            <w:hideMark/>
          </w:tcPr>
          <w:p w14:paraId="22D73638"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BOR.C053</w:t>
            </w:r>
          </w:p>
        </w:tc>
        <w:tc>
          <w:tcPr>
            <w:tcW w:w="1820" w:type="dxa"/>
            <w:tcBorders>
              <w:top w:val="nil"/>
              <w:left w:val="nil"/>
              <w:bottom w:val="nil"/>
              <w:right w:val="single" w:sz="8" w:space="0" w:color="auto"/>
            </w:tcBorders>
            <w:shd w:val="clear" w:color="auto" w:fill="auto"/>
            <w:vAlign w:val="center"/>
            <w:hideMark/>
          </w:tcPr>
          <w:p w14:paraId="3547BA51"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BOR.D053</w:t>
            </w:r>
          </w:p>
        </w:tc>
        <w:tc>
          <w:tcPr>
            <w:tcW w:w="1920" w:type="dxa"/>
            <w:tcBorders>
              <w:top w:val="nil"/>
              <w:left w:val="nil"/>
              <w:bottom w:val="nil"/>
              <w:right w:val="single" w:sz="8" w:space="0" w:color="auto"/>
            </w:tcBorders>
            <w:shd w:val="clear" w:color="auto" w:fill="auto"/>
            <w:vAlign w:val="center"/>
            <w:hideMark/>
          </w:tcPr>
          <w:p w14:paraId="1BC38334"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BOR.E053</w:t>
            </w:r>
          </w:p>
        </w:tc>
        <w:tc>
          <w:tcPr>
            <w:tcW w:w="1780" w:type="dxa"/>
            <w:tcBorders>
              <w:top w:val="nil"/>
              <w:left w:val="nil"/>
              <w:bottom w:val="nil"/>
              <w:right w:val="single" w:sz="8" w:space="0" w:color="auto"/>
            </w:tcBorders>
            <w:shd w:val="clear" w:color="auto" w:fill="auto"/>
            <w:vAlign w:val="center"/>
            <w:hideMark/>
          </w:tcPr>
          <w:p w14:paraId="368D2A33"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BOR.F053</w:t>
            </w:r>
          </w:p>
        </w:tc>
      </w:tr>
      <w:tr w:rsidR="002F1E8D" w:rsidRPr="002F1E8D" w14:paraId="1D20B8D1" w14:textId="77777777" w:rsidTr="00326F06">
        <w:trPr>
          <w:trHeight w:val="270"/>
        </w:trPr>
        <w:tc>
          <w:tcPr>
            <w:tcW w:w="6100" w:type="dxa"/>
            <w:tcBorders>
              <w:top w:val="nil"/>
              <w:left w:val="single" w:sz="8" w:space="0" w:color="auto"/>
              <w:bottom w:val="nil"/>
              <w:right w:val="single" w:sz="8" w:space="0" w:color="auto"/>
            </w:tcBorders>
            <w:shd w:val="clear" w:color="auto" w:fill="auto"/>
            <w:vAlign w:val="center"/>
            <w:hideMark/>
          </w:tcPr>
          <w:p w14:paraId="5AF9B748" w14:textId="77777777" w:rsidR="002F1E8D" w:rsidRPr="002F1E8D" w:rsidRDefault="002F1E8D" w:rsidP="00326F06">
            <w:pPr>
              <w:spacing w:after="0" w:line="240" w:lineRule="auto"/>
              <w:ind w:firstLineChars="100" w:firstLine="180"/>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Operações de Crédito Externas</w:t>
            </w:r>
          </w:p>
        </w:tc>
        <w:tc>
          <w:tcPr>
            <w:tcW w:w="2480" w:type="dxa"/>
            <w:tcBorders>
              <w:top w:val="nil"/>
              <w:left w:val="nil"/>
              <w:bottom w:val="nil"/>
              <w:right w:val="single" w:sz="8" w:space="0" w:color="auto"/>
            </w:tcBorders>
            <w:shd w:val="clear" w:color="auto" w:fill="auto"/>
            <w:vAlign w:val="center"/>
            <w:hideMark/>
          </w:tcPr>
          <w:p w14:paraId="38F92ECE"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BOR.C054</w:t>
            </w:r>
          </w:p>
        </w:tc>
        <w:tc>
          <w:tcPr>
            <w:tcW w:w="1820" w:type="dxa"/>
            <w:tcBorders>
              <w:top w:val="nil"/>
              <w:left w:val="nil"/>
              <w:bottom w:val="nil"/>
              <w:right w:val="single" w:sz="8" w:space="0" w:color="auto"/>
            </w:tcBorders>
            <w:shd w:val="clear" w:color="auto" w:fill="auto"/>
            <w:vAlign w:val="center"/>
            <w:hideMark/>
          </w:tcPr>
          <w:p w14:paraId="4A857305"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BOR.D054</w:t>
            </w:r>
          </w:p>
        </w:tc>
        <w:tc>
          <w:tcPr>
            <w:tcW w:w="1920" w:type="dxa"/>
            <w:tcBorders>
              <w:top w:val="nil"/>
              <w:left w:val="nil"/>
              <w:bottom w:val="nil"/>
              <w:right w:val="single" w:sz="8" w:space="0" w:color="auto"/>
            </w:tcBorders>
            <w:shd w:val="clear" w:color="auto" w:fill="auto"/>
            <w:vAlign w:val="center"/>
            <w:hideMark/>
          </w:tcPr>
          <w:p w14:paraId="7C9A6D04"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BOR.E054</w:t>
            </w:r>
          </w:p>
        </w:tc>
        <w:tc>
          <w:tcPr>
            <w:tcW w:w="1780" w:type="dxa"/>
            <w:tcBorders>
              <w:top w:val="nil"/>
              <w:left w:val="nil"/>
              <w:bottom w:val="nil"/>
              <w:right w:val="single" w:sz="8" w:space="0" w:color="auto"/>
            </w:tcBorders>
            <w:shd w:val="clear" w:color="auto" w:fill="auto"/>
            <w:vAlign w:val="center"/>
            <w:hideMark/>
          </w:tcPr>
          <w:p w14:paraId="4B55295D"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BOR.F054</w:t>
            </w:r>
          </w:p>
        </w:tc>
      </w:tr>
      <w:tr w:rsidR="002F1E8D" w:rsidRPr="002F1E8D" w14:paraId="2E0C2AE1" w14:textId="77777777" w:rsidTr="00326F06">
        <w:trPr>
          <w:trHeight w:val="270"/>
        </w:trPr>
        <w:tc>
          <w:tcPr>
            <w:tcW w:w="6100" w:type="dxa"/>
            <w:tcBorders>
              <w:top w:val="nil"/>
              <w:left w:val="single" w:sz="8" w:space="0" w:color="auto"/>
              <w:bottom w:val="nil"/>
              <w:right w:val="single" w:sz="8" w:space="0" w:color="auto"/>
            </w:tcBorders>
            <w:shd w:val="clear" w:color="auto" w:fill="auto"/>
            <w:vAlign w:val="center"/>
            <w:hideMark/>
          </w:tcPr>
          <w:p w14:paraId="0B5EF036" w14:textId="77777777" w:rsidR="002F1E8D" w:rsidRPr="002F1E8D" w:rsidRDefault="002F1E8D" w:rsidP="00326F06">
            <w:pPr>
              <w:spacing w:after="0" w:line="240" w:lineRule="auto"/>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Alienação de Bens</w:t>
            </w:r>
          </w:p>
        </w:tc>
        <w:tc>
          <w:tcPr>
            <w:tcW w:w="2480" w:type="dxa"/>
            <w:tcBorders>
              <w:top w:val="nil"/>
              <w:left w:val="nil"/>
              <w:bottom w:val="nil"/>
              <w:right w:val="single" w:sz="8" w:space="0" w:color="auto"/>
            </w:tcBorders>
            <w:shd w:val="clear" w:color="auto" w:fill="auto"/>
            <w:vAlign w:val="center"/>
            <w:hideMark/>
          </w:tcPr>
          <w:p w14:paraId="543209A1" w14:textId="77777777" w:rsidR="002F1E8D" w:rsidRPr="002F1E8D" w:rsidRDefault="002F1E8D" w:rsidP="00326F06">
            <w:pPr>
              <w:spacing w:after="0"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BOR.C055</w:t>
            </w:r>
          </w:p>
        </w:tc>
        <w:tc>
          <w:tcPr>
            <w:tcW w:w="1820" w:type="dxa"/>
            <w:tcBorders>
              <w:top w:val="nil"/>
              <w:left w:val="nil"/>
              <w:bottom w:val="nil"/>
              <w:right w:val="single" w:sz="8" w:space="0" w:color="auto"/>
            </w:tcBorders>
            <w:shd w:val="clear" w:color="auto" w:fill="auto"/>
            <w:vAlign w:val="center"/>
            <w:hideMark/>
          </w:tcPr>
          <w:p w14:paraId="1EA8404E" w14:textId="77777777" w:rsidR="002F1E8D" w:rsidRPr="002F1E8D" w:rsidRDefault="002F1E8D" w:rsidP="00326F06">
            <w:pPr>
              <w:spacing w:after="0"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BOR.D055</w:t>
            </w:r>
          </w:p>
        </w:tc>
        <w:tc>
          <w:tcPr>
            <w:tcW w:w="1920" w:type="dxa"/>
            <w:tcBorders>
              <w:top w:val="nil"/>
              <w:left w:val="nil"/>
              <w:bottom w:val="nil"/>
              <w:right w:val="single" w:sz="8" w:space="0" w:color="auto"/>
            </w:tcBorders>
            <w:shd w:val="clear" w:color="auto" w:fill="auto"/>
            <w:vAlign w:val="center"/>
            <w:hideMark/>
          </w:tcPr>
          <w:p w14:paraId="37B7A982" w14:textId="77777777" w:rsidR="002F1E8D" w:rsidRPr="002F1E8D" w:rsidRDefault="002F1E8D" w:rsidP="00326F06">
            <w:pPr>
              <w:spacing w:after="0"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BOR.E055</w:t>
            </w:r>
          </w:p>
        </w:tc>
        <w:tc>
          <w:tcPr>
            <w:tcW w:w="1780" w:type="dxa"/>
            <w:tcBorders>
              <w:top w:val="nil"/>
              <w:left w:val="nil"/>
              <w:bottom w:val="nil"/>
              <w:right w:val="single" w:sz="8" w:space="0" w:color="auto"/>
            </w:tcBorders>
            <w:shd w:val="clear" w:color="auto" w:fill="auto"/>
            <w:vAlign w:val="center"/>
            <w:hideMark/>
          </w:tcPr>
          <w:p w14:paraId="1BEEAA68" w14:textId="77777777" w:rsidR="002F1E8D" w:rsidRPr="002F1E8D" w:rsidRDefault="002F1E8D" w:rsidP="00326F06">
            <w:pPr>
              <w:spacing w:after="0"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BOR.F055</w:t>
            </w:r>
          </w:p>
        </w:tc>
      </w:tr>
      <w:tr w:rsidR="002F1E8D" w:rsidRPr="002F1E8D" w14:paraId="49A762BE" w14:textId="77777777" w:rsidTr="00326F06">
        <w:trPr>
          <w:trHeight w:val="270"/>
        </w:trPr>
        <w:tc>
          <w:tcPr>
            <w:tcW w:w="6100" w:type="dxa"/>
            <w:tcBorders>
              <w:top w:val="nil"/>
              <w:left w:val="single" w:sz="8" w:space="0" w:color="auto"/>
              <w:bottom w:val="nil"/>
              <w:right w:val="single" w:sz="8" w:space="0" w:color="auto"/>
            </w:tcBorders>
            <w:shd w:val="clear" w:color="auto" w:fill="auto"/>
            <w:vAlign w:val="center"/>
            <w:hideMark/>
          </w:tcPr>
          <w:p w14:paraId="23D5BE13" w14:textId="77777777" w:rsidR="002F1E8D" w:rsidRPr="002F1E8D" w:rsidRDefault="002F1E8D" w:rsidP="00326F06">
            <w:pPr>
              <w:spacing w:after="0" w:line="240" w:lineRule="auto"/>
              <w:ind w:firstLineChars="100" w:firstLine="180"/>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Alienação de Bens Móveis</w:t>
            </w:r>
          </w:p>
        </w:tc>
        <w:tc>
          <w:tcPr>
            <w:tcW w:w="2480" w:type="dxa"/>
            <w:tcBorders>
              <w:top w:val="nil"/>
              <w:left w:val="nil"/>
              <w:bottom w:val="nil"/>
              <w:right w:val="single" w:sz="8" w:space="0" w:color="auto"/>
            </w:tcBorders>
            <w:shd w:val="clear" w:color="auto" w:fill="auto"/>
            <w:vAlign w:val="center"/>
            <w:hideMark/>
          </w:tcPr>
          <w:p w14:paraId="59E9AB8D"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BOR.C056</w:t>
            </w:r>
          </w:p>
        </w:tc>
        <w:tc>
          <w:tcPr>
            <w:tcW w:w="1820" w:type="dxa"/>
            <w:tcBorders>
              <w:top w:val="nil"/>
              <w:left w:val="nil"/>
              <w:bottom w:val="nil"/>
              <w:right w:val="single" w:sz="8" w:space="0" w:color="auto"/>
            </w:tcBorders>
            <w:shd w:val="clear" w:color="auto" w:fill="auto"/>
            <w:vAlign w:val="center"/>
            <w:hideMark/>
          </w:tcPr>
          <w:p w14:paraId="74673974"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BOR.D056</w:t>
            </w:r>
          </w:p>
        </w:tc>
        <w:tc>
          <w:tcPr>
            <w:tcW w:w="1920" w:type="dxa"/>
            <w:tcBorders>
              <w:top w:val="nil"/>
              <w:left w:val="nil"/>
              <w:bottom w:val="nil"/>
              <w:right w:val="single" w:sz="8" w:space="0" w:color="auto"/>
            </w:tcBorders>
            <w:shd w:val="clear" w:color="auto" w:fill="auto"/>
            <w:vAlign w:val="center"/>
            <w:hideMark/>
          </w:tcPr>
          <w:p w14:paraId="3714134C"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BOR.E056</w:t>
            </w:r>
          </w:p>
        </w:tc>
        <w:tc>
          <w:tcPr>
            <w:tcW w:w="1780" w:type="dxa"/>
            <w:tcBorders>
              <w:top w:val="nil"/>
              <w:left w:val="nil"/>
              <w:bottom w:val="nil"/>
              <w:right w:val="single" w:sz="8" w:space="0" w:color="auto"/>
            </w:tcBorders>
            <w:shd w:val="clear" w:color="auto" w:fill="auto"/>
            <w:vAlign w:val="center"/>
            <w:hideMark/>
          </w:tcPr>
          <w:p w14:paraId="183523B4"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BOR.F056</w:t>
            </w:r>
          </w:p>
        </w:tc>
      </w:tr>
      <w:tr w:rsidR="002F1E8D" w:rsidRPr="002F1E8D" w14:paraId="726EE6AE" w14:textId="77777777" w:rsidTr="00326F06">
        <w:trPr>
          <w:trHeight w:val="270"/>
        </w:trPr>
        <w:tc>
          <w:tcPr>
            <w:tcW w:w="6100" w:type="dxa"/>
            <w:tcBorders>
              <w:top w:val="nil"/>
              <w:left w:val="single" w:sz="8" w:space="0" w:color="auto"/>
              <w:bottom w:val="nil"/>
              <w:right w:val="single" w:sz="8" w:space="0" w:color="auto"/>
            </w:tcBorders>
            <w:shd w:val="clear" w:color="auto" w:fill="auto"/>
            <w:vAlign w:val="center"/>
            <w:hideMark/>
          </w:tcPr>
          <w:p w14:paraId="3583EF43" w14:textId="77777777" w:rsidR="002F1E8D" w:rsidRPr="002F1E8D" w:rsidRDefault="002F1E8D" w:rsidP="00326F06">
            <w:pPr>
              <w:spacing w:after="0" w:line="240" w:lineRule="auto"/>
              <w:ind w:firstLineChars="100" w:firstLine="180"/>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Alienação de Bens Imóveis</w:t>
            </w:r>
          </w:p>
        </w:tc>
        <w:tc>
          <w:tcPr>
            <w:tcW w:w="2480" w:type="dxa"/>
            <w:tcBorders>
              <w:top w:val="nil"/>
              <w:left w:val="nil"/>
              <w:bottom w:val="nil"/>
              <w:right w:val="single" w:sz="8" w:space="0" w:color="auto"/>
            </w:tcBorders>
            <w:shd w:val="clear" w:color="auto" w:fill="auto"/>
            <w:vAlign w:val="center"/>
            <w:hideMark/>
          </w:tcPr>
          <w:p w14:paraId="217EA7D2"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BOR.C057</w:t>
            </w:r>
          </w:p>
        </w:tc>
        <w:tc>
          <w:tcPr>
            <w:tcW w:w="1820" w:type="dxa"/>
            <w:tcBorders>
              <w:top w:val="nil"/>
              <w:left w:val="nil"/>
              <w:bottom w:val="nil"/>
              <w:right w:val="single" w:sz="8" w:space="0" w:color="auto"/>
            </w:tcBorders>
            <w:shd w:val="clear" w:color="auto" w:fill="auto"/>
            <w:vAlign w:val="center"/>
            <w:hideMark/>
          </w:tcPr>
          <w:p w14:paraId="12F8EBE6"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BOR.D057</w:t>
            </w:r>
          </w:p>
        </w:tc>
        <w:tc>
          <w:tcPr>
            <w:tcW w:w="1920" w:type="dxa"/>
            <w:tcBorders>
              <w:top w:val="nil"/>
              <w:left w:val="nil"/>
              <w:bottom w:val="nil"/>
              <w:right w:val="single" w:sz="8" w:space="0" w:color="auto"/>
            </w:tcBorders>
            <w:shd w:val="clear" w:color="auto" w:fill="auto"/>
            <w:vAlign w:val="center"/>
            <w:hideMark/>
          </w:tcPr>
          <w:p w14:paraId="727E8A67"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BOR.E057</w:t>
            </w:r>
          </w:p>
        </w:tc>
        <w:tc>
          <w:tcPr>
            <w:tcW w:w="1780" w:type="dxa"/>
            <w:tcBorders>
              <w:top w:val="nil"/>
              <w:left w:val="nil"/>
              <w:bottom w:val="nil"/>
              <w:right w:val="single" w:sz="8" w:space="0" w:color="auto"/>
            </w:tcBorders>
            <w:shd w:val="clear" w:color="auto" w:fill="auto"/>
            <w:vAlign w:val="center"/>
            <w:hideMark/>
          </w:tcPr>
          <w:p w14:paraId="7B9085EE"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BOR.F057</w:t>
            </w:r>
          </w:p>
        </w:tc>
      </w:tr>
      <w:tr w:rsidR="002F1E8D" w:rsidRPr="002F1E8D" w14:paraId="6CCD8ABE" w14:textId="77777777" w:rsidTr="00326F06">
        <w:trPr>
          <w:trHeight w:val="270"/>
        </w:trPr>
        <w:tc>
          <w:tcPr>
            <w:tcW w:w="6100" w:type="dxa"/>
            <w:tcBorders>
              <w:top w:val="nil"/>
              <w:left w:val="single" w:sz="8" w:space="0" w:color="auto"/>
              <w:bottom w:val="nil"/>
              <w:right w:val="single" w:sz="8" w:space="0" w:color="auto"/>
            </w:tcBorders>
            <w:shd w:val="clear" w:color="auto" w:fill="auto"/>
            <w:vAlign w:val="center"/>
            <w:hideMark/>
          </w:tcPr>
          <w:p w14:paraId="23949EB8" w14:textId="77777777" w:rsidR="002F1E8D" w:rsidRPr="002F1E8D" w:rsidRDefault="002F1E8D" w:rsidP="00326F06">
            <w:pPr>
              <w:spacing w:after="0" w:line="240" w:lineRule="auto"/>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Amortizações de Empréstimos</w:t>
            </w:r>
          </w:p>
        </w:tc>
        <w:tc>
          <w:tcPr>
            <w:tcW w:w="2480" w:type="dxa"/>
            <w:tcBorders>
              <w:top w:val="nil"/>
              <w:left w:val="nil"/>
              <w:bottom w:val="nil"/>
              <w:right w:val="single" w:sz="8" w:space="0" w:color="auto"/>
            </w:tcBorders>
            <w:shd w:val="clear" w:color="auto" w:fill="auto"/>
            <w:vAlign w:val="center"/>
            <w:hideMark/>
          </w:tcPr>
          <w:p w14:paraId="1799B5EA" w14:textId="77777777" w:rsidR="002F1E8D" w:rsidRPr="002F1E8D" w:rsidRDefault="002F1E8D" w:rsidP="00326F06">
            <w:pPr>
              <w:spacing w:after="0"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BOR.C058</w:t>
            </w:r>
          </w:p>
        </w:tc>
        <w:tc>
          <w:tcPr>
            <w:tcW w:w="1820" w:type="dxa"/>
            <w:tcBorders>
              <w:top w:val="nil"/>
              <w:left w:val="nil"/>
              <w:bottom w:val="nil"/>
              <w:right w:val="single" w:sz="8" w:space="0" w:color="auto"/>
            </w:tcBorders>
            <w:shd w:val="clear" w:color="auto" w:fill="auto"/>
            <w:vAlign w:val="center"/>
            <w:hideMark/>
          </w:tcPr>
          <w:p w14:paraId="7EE486E7" w14:textId="77777777" w:rsidR="002F1E8D" w:rsidRPr="002F1E8D" w:rsidRDefault="002F1E8D" w:rsidP="00326F06">
            <w:pPr>
              <w:spacing w:after="0"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BOR.D058</w:t>
            </w:r>
          </w:p>
        </w:tc>
        <w:tc>
          <w:tcPr>
            <w:tcW w:w="1920" w:type="dxa"/>
            <w:tcBorders>
              <w:top w:val="nil"/>
              <w:left w:val="nil"/>
              <w:bottom w:val="nil"/>
              <w:right w:val="single" w:sz="8" w:space="0" w:color="auto"/>
            </w:tcBorders>
            <w:shd w:val="clear" w:color="auto" w:fill="auto"/>
            <w:vAlign w:val="center"/>
            <w:hideMark/>
          </w:tcPr>
          <w:p w14:paraId="20185544" w14:textId="77777777" w:rsidR="002F1E8D" w:rsidRPr="002F1E8D" w:rsidRDefault="002F1E8D" w:rsidP="00326F06">
            <w:pPr>
              <w:spacing w:after="0"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BOR.E058</w:t>
            </w:r>
          </w:p>
        </w:tc>
        <w:tc>
          <w:tcPr>
            <w:tcW w:w="1780" w:type="dxa"/>
            <w:tcBorders>
              <w:top w:val="nil"/>
              <w:left w:val="nil"/>
              <w:bottom w:val="nil"/>
              <w:right w:val="single" w:sz="8" w:space="0" w:color="auto"/>
            </w:tcBorders>
            <w:shd w:val="clear" w:color="auto" w:fill="auto"/>
            <w:vAlign w:val="center"/>
            <w:hideMark/>
          </w:tcPr>
          <w:p w14:paraId="608BC33B" w14:textId="77777777" w:rsidR="002F1E8D" w:rsidRPr="002F1E8D" w:rsidRDefault="002F1E8D" w:rsidP="00326F06">
            <w:pPr>
              <w:spacing w:after="0"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BOR.F058</w:t>
            </w:r>
          </w:p>
        </w:tc>
      </w:tr>
      <w:tr w:rsidR="002F1E8D" w:rsidRPr="002F1E8D" w14:paraId="4349D38C" w14:textId="77777777" w:rsidTr="00326F06">
        <w:trPr>
          <w:trHeight w:val="270"/>
        </w:trPr>
        <w:tc>
          <w:tcPr>
            <w:tcW w:w="6100" w:type="dxa"/>
            <w:tcBorders>
              <w:top w:val="nil"/>
              <w:left w:val="single" w:sz="8" w:space="0" w:color="auto"/>
              <w:bottom w:val="nil"/>
              <w:right w:val="single" w:sz="8" w:space="0" w:color="auto"/>
            </w:tcBorders>
            <w:shd w:val="clear" w:color="auto" w:fill="auto"/>
            <w:vAlign w:val="center"/>
            <w:hideMark/>
          </w:tcPr>
          <w:p w14:paraId="245092D6" w14:textId="77777777" w:rsidR="002F1E8D" w:rsidRPr="002F1E8D" w:rsidRDefault="002F1E8D" w:rsidP="00326F06">
            <w:pPr>
              <w:spacing w:after="0" w:line="240" w:lineRule="auto"/>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Transferências de Capital</w:t>
            </w:r>
          </w:p>
        </w:tc>
        <w:tc>
          <w:tcPr>
            <w:tcW w:w="2480" w:type="dxa"/>
            <w:tcBorders>
              <w:top w:val="nil"/>
              <w:left w:val="nil"/>
              <w:bottom w:val="nil"/>
              <w:right w:val="single" w:sz="8" w:space="0" w:color="auto"/>
            </w:tcBorders>
            <w:shd w:val="clear" w:color="auto" w:fill="auto"/>
            <w:vAlign w:val="center"/>
            <w:hideMark/>
          </w:tcPr>
          <w:p w14:paraId="421DE04D" w14:textId="77777777" w:rsidR="002F1E8D" w:rsidRPr="002F1E8D" w:rsidRDefault="002F1E8D" w:rsidP="00326F06">
            <w:pPr>
              <w:spacing w:after="0"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BOR.C059</w:t>
            </w:r>
          </w:p>
        </w:tc>
        <w:tc>
          <w:tcPr>
            <w:tcW w:w="1820" w:type="dxa"/>
            <w:tcBorders>
              <w:top w:val="nil"/>
              <w:left w:val="nil"/>
              <w:bottom w:val="nil"/>
              <w:right w:val="single" w:sz="8" w:space="0" w:color="auto"/>
            </w:tcBorders>
            <w:shd w:val="clear" w:color="auto" w:fill="auto"/>
            <w:vAlign w:val="center"/>
            <w:hideMark/>
          </w:tcPr>
          <w:p w14:paraId="0F32CB88" w14:textId="77777777" w:rsidR="002F1E8D" w:rsidRPr="002F1E8D" w:rsidRDefault="002F1E8D" w:rsidP="00326F06">
            <w:pPr>
              <w:spacing w:after="0"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BOR.D059</w:t>
            </w:r>
          </w:p>
        </w:tc>
        <w:tc>
          <w:tcPr>
            <w:tcW w:w="1920" w:type="dxa"/>
            <w:tcBorders>
              <w:top w:val="nil"/>
              <w:left w:val="nil"/>
              <w:bottom w:val="nil"/>
              <w:right w:val="single" w:sz="8" w:space="0" w:color="auto"/>
            </w:tcBorders>
            <w:shd w:val="clear" w:color="auto" w:fill="auto"/>
            <w:vAlign w:val="center"/>
            <w:hideMark/>
          </w:tcPr>
          <w:p w14:paraId="2AB6E6EA" w14:textId="77777777" w:rsidR="002F1E8D" w:rsidRPr="002F1E8D" w:rsidRDefault="002F1E8D" w:rsidP="00326F06">
            <w:pPr>
              <w:spacing w:after="0"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BOR.E059</w:t>
            </w:r>
          </w:p>
        </w:tc>
        <w:tc>
          <w:tcPr>
            <w:tcW w:w="1780" w:type="dxa"/>
            <w:tcBorders>
              <w:top w:val="nil"/>
              <w:left w:val="nil"/>
              <w:bottom w:val="nil"/>
              <w:right w:val="single" w:sz="8" w:space="0" w:color="auto"/>
            </w:tcBorders>
            <w:shd w:val="clear" w:color="auto" w:fill="auto"/>
            <w:vAlign w:val="center"/>
            <w:hideMark/>
          </w:tcPr>
          <w:p w14:paraId="45C575ED" w14:textId="77777777" w:rsidR="002F1E8D" w:rsidRPr="002F1E8D" w:rsidRDefault="002F1E8D" w:rsidP="00326F06">
            <w:pPr>
              <w:spacing w:after="0"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BOR.F059</w:t>
            </w:r>
          </w:p>
        </w:tc>
      </w:tr>
      <w:tr w:rsidR="002F1E8D" w:rsidRPr="002F1E8D" w14:paraId="7FFBB2A3" w14:textId="77777777" w:rsidTr="00326F06">
        <w:trPr>
          <w:trHeight w:val="270"/>
        </w:trPr>
        <w:tc>
          <w:tcPr>
            <w:tcW w:w="6100" w:type="dxa"/>
            <w:tcBorders>
              <w:top w:val="nil"/>
              <w:left w:val="single" w:sz="8" w:space="0" w:color="auto"/>
              <w:bottom w:val="nil"/>
              <w:right w:val="single" w:sz="8" w:space="0" w:color="auto"/>
            </w:tcBorders>
            <w:shd w:val="clear" w:color="auto" w:fill="auto"/>
            <w:vAlign w:val="center"/>
            <w:hideMark/>
          </w:tcPr>
          <w:p w14:paraId="02458285" w14:textId="77777777" w:rsidR="002F1E8D" w:rsidRPr="002F1E8D" w:rsidRDefault="002F1E8D" w:rsidP="00326F06">
            <w:pPr>
              <w:spacing w:after="0" w:line="240" w:lineRule="auto"/>
              <w:ind w:firstLineChars="100" w:firstLine="180"/>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Transferências Intergovernamentais</w:t>
            </w:r>
          </w:p>
        </w:tc>
        <w:tc>
          <w:tcPr>
            <w:tcW w:w="2480" w:type="dxa"/>
            <w:tcBorders>
              <w:top w:val="nil"/>
              <w:left w:val="nil"/>
              <w:bottom w:val="nil"/>
              <w:right w:val="single" w:sz="8" w:space="0" w:color="auto"/>
            </w:tcBorders>
            <w:shd w:val="clear" w:color="auto" w:fill="auto"/>
            <w:vAlign w:val="center"/>
            <w:hideMark/>
          </w:tcPr>
          <w:p w14:paraId="3FACE7EE"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BOR.C060</w:t>
            </w:r>
          </w:p>
        </w:tc>
        <w:tc>
          <w:tcPr>
            <w:tcW w:w="1820" w:type="dxa"/>
            <w:tcBorders>
              <w:top w:val="nil"/>
              <w:left w:val="nil"/>
              <w:bottom w:val="nil"/>
              <w:right w:val="single" w:sz="8" w:space="0" w:color="auto"/>
            </w:tcBorders>
            <w:shd w:val="clear" w:color="auto" w:fill="auto"/>
            <w:vAlign w:val="center"/>
            <w:hideMark/>
          </w:tcPr>
          <w:p w14:paraId="674A7778"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BOR.D060</w:t>
            </w:r>
          </w:p>
        </w:tc>
        <w:tc>
          <w:tcPr>
            <w:tcW w:w="1920" w:type="dxa"/>
            <w:tcBorders>
              <w:top w:val="nil"/>
              <w:left w:val="nil"/>
              <w:bottom w:val="nil"/>
              <w:right w:val="single" w:sz="8" w:space="0" w:color="auto"/>
            </w:tcBorders>
            <w:shd w:val="clear" w:color="auto" w:fill="auto"/>
            <w:vAlign w:val="center"/>
            <w:hideMark/>
          </w:tcPr>
          <w:p w14:paraId="2ED6178D"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BOR.E060</w:t>
            </w:r>
          </w:p>
        </w:tc>
        <w:tc>
          <w:tcPr>
            <w:tcW w:w="1780" w:type="dxa"/>
            <w:tcBorders>
              <w:top w:val="nil"/>
              <w:left w:val="nil"/>
              <w:bottom w:val="nil"/>
              <w:right w:val="single" w:sz="8" w:space="0" w:color="auto"/>
            </w:tcBorders>
            <w:shd w:val="clear" w:color="auto" w:fill="auto"/>
            <w:vAlign w:val="center"/>
            <w:hideMark/>
          </w:tcPr>
          <w:p w14:paraId="665257B5"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BOR.F060</w:t>
            </w:r>
          </w:p>
        </w:tc>
      </w:tr>
      <w:tr w:rsidR="002F1E8D" w:rsidRPr="002F1E8D" w14:paraId="3C863099" w14:textId="77777777" w:rsidTr="00326F06">
        <w:trPr>
          <w:trHeight w:val="270"/>
        </w:trPr>
        <w:tc>
          <w:tcPr>
            <w:tcW w:w="6100" w:type="dxa"/>
            <w:tcBorders>
              <w:top w:val="nil"/>
              <w:left w:val="single" w:sz="8" w:space="0" w:color="auto"/>
              <w:bottom w:val="nil"/>
              <w:right w:val="single" w:sz="8" w:space="0" w:color="auto"/>
            </w:tcBorders>
            <w:shd w:val="clear" w:color="auto" w:fill="auto"/>
            <w:vAlign w:val="center"/>
            <w:hideMark/>
          </w:tcPr>
          <w:p w14:paraId="76010907" w14:textId="77777777" w:rsidR="002F1E8D" w:rsidRPr="002F1E8D" w:rsidRDefault="002F1E8D" w:rsidP="00326F06">
            <w:pPr>
              <w:spacing w:after="0" w:line="240" w:lineRule="auto"/>
              <w:ind w:firstLineChars="100" w:firstLine="180"/>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Transferências de Instituições Privadas</w:t>
            </w:r>
          </w:p>
        </w:tc>
        <w:tc>
          <w:tcPr>
            <w:tcW w:w="2480" w:type="dxa"/>
            <w:tcBorders>
              <w:top w:val="nil"/>
              <w:left w:val="nil"/>
              <w:bottom w:val="nil"/>
              <w:right w:val="single" w:sz="8" w:space="0" w:color="auto"/>
            </w:tcBorders>
            <w:shd w:val="clear" w:color="auto" w:fill="auto"/>
            <w:vAlign w:val="center"/>
            <w:hideMark/>
          </w:tcPr>
          <w:p w14:paraId="20C44E73"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BOR.C061</w:t>
            </w:r>
          </w:p>
        </w:tc>
        <w:tc>
          <w:tcPr>
            <w:tcW w:w="1820" w:type="dxa"/>
            <w:tcBorders>
              <w:top w:val="nil"/>
              <w:left w:val="nil"/>
              <w:bottom w:val="nil"/>
              <w:right w:val="single" w:sz="8" w:space="0" w:color="auto"/>
            </w:tcBorders>
            <w:shd w:val="clear" w:color="auto" w:fill="auto"/>
            <w:vAlign w:val="center"/>
            <w:hideMark/>
          </w:tcPr>
          <w:p w14:paraId="260263D3"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BOR.D061</w:t>
            </w:r>
          </w:p>
        </w:tc>
        <w:tc>
          <w:tcPr>
            <w:tcW w:w="1920" w:type="dxa"/>
            <w:tcBorders>
              <w:top w:val="nil"/>
              <w:left w:val="nil"/>
              <w:bottom w:val="nil"/>
              <w:right w:val="single" w:sz="8" w:space="0" w:color="auto"/>
            </w:tcBorders>
            <w:shd w:val="clear" w:color="auto" w:fill="auto"/>
            <w:vAlign w:val="center"/>
            <w:hideMark/>
          </w:tcPr>
          <w:p w14:paraId="44BC6B85"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BOR.E061</w:t>
            </w:r>
          </w:p>
        </w:tc>
        <w:tc>
          <w:tcPr>
            <w:tcW w:w="1780" w:type="dxa"/>
            <w:tcBorders>
              <w:top w:val="nil"/>
              <w:left w:val="nil"/>
              <w:bottom w:val="nil"/>
              <w:right w:val="single" w:sz="8" w:space="0" w:color="auto"/>
            </w:tcBorders>
            <w:shd w:val="clear" w:color="auto" w:fill="auto"/>
            <w:vAlign w:val="center"/>
            <w:hideMark/>
          </w:tcPr>
          <w:p w14:paraId="0B75AD4E"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BOR.F061</w:t>
            </w:r>
          </w:p>
        </w:tc>
      </w:tr>
      <w:tr w:rsidR="002F1E8D" w:rsidRPr="002F1E8D" w14:paraId="5EA29BD0" w14:textId="77777777" w:rsidTr="00326F06">
        <w:trPr>
          <w:trHeight w:val="270"/>
        </w:trPr>
        <w:tc>
          <w:tcPr>
            <w:tcW w:w="6100" w:type="dxa"/>
            <w:tcBorders>
              <w:top w:val="nil"/>
              <w:left w:val="single" w:sz="8" w:space="0" w:color="auto"/>
              <w:bottom w:val="nil"/>
              <w:right w:val="single" w:sz="8" w:space="0" w:color="auto"/>
            </w:tcBorders>
            <w:shd w:val="clear" w:color="auto" w:fill="auto"/>
            <w:vAlign w:val="center"/>
            <w:hideMark/>
          </w:tcPr>
          <w:p w14:paraId="03033E52" w14:textId="77777777" w:rsidR="002F1E8D" w:rsidRPr="002F1E8D" w:rsidRDefault="002F1E8D" w:rsidP="00326F06">
            <w:pPr>
              <w:spacing w:after="0" w:line="240" w:lineRule="auto"/>
              <w:ind w:firstLineChars="100" w:firstLine="180"/>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Transferências do Exterior</w:t>
            </w:r>
          </w:p>
        </w:tc>
        <w:tc>
          <w:tcPr>
            <w:tcW w:w="2480" w:type="dxa"/>
            <w:tcBorders>
              <w:top w:val="nil"/>
              <w:left w:val="nil"/>
              <w:bottom w:val="nil"/>
              <w:right w:val="single" w:sz="8" w:space="0" w:color="auto"/>
            </w:tcBorders>
            <w:shd w:val="clear" w:color="auto" w:fill="auto"/>
            <w:vAlign w:val="center"/>
            <w:hideMark/>
          </w:tcPr>
          <w:p w14:paraId="2E7A7002"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BOR.C062</w:t>
            </w:r>
          </w:p>
        </w:tc>
        <w:tc>
          <w:tcPr>
            <w:tcW w:w="1820" w:type="dxa"/>
            <w:tcBorders>
              <w:top w:val="nil"/>
              <w:left w:val="nil"/>
              <w:bottom w:val="nil"/>
              <w:right w:val="single" w:sz="8" w:space="0" w:color="auto"/>
            </w:tcBorders>
            <w:shd w:val="clear" w:color="auto" w:fill="auto"/>
            <w:vAlign w:val="center"/>
            <w:hideMark/>
          </w:tcPr>
          <w:p w14:paraId="2A27DA9E"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BOR.D062</w:t>
            </w:r>
          </w:p>
        </w:tc>
        <w:tc>
          <w:tcPr>
            <w:tcW w:w="1920" w:type="dxa"/>
            <w:tcBorders>
              <w:top w:val="nil"/>
              <w:left w:val="nil"/>
              <w:bottom w:val="nil"/>
              <w:right w:val="single" w:sz="8" w:space="0" w:color="auto"/>
            </w:tcBorders>
            <w:shd w:val="clear" w:color="auto" w:fill="auto"/>
            <w:vAlign w:val="center"/>
            <w:hideMark/>
          </w:tcPr>
          <w:p w14:paraId="55FA9A5E"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BOR.E062</w:t>
            </w:r>
          </w:p>
        </w:tc>
        <w:tc>
          <w:tcPr>
            <w:tcW w:w="1780" w:type="dxa"/>
            <w:tcBorders>
              <w:top w:val="nil"/>
              <w:left w:val="nil"/>
              <w:bottom w:val="nil"/>
              <w:right w:val="single" w:sz="8" w:space="0" w:color="auto"/>
            </w:tcBorders>
            <w:shd w:val="clear" w:color="auto" w:fill="auto"/>
            <w:vAlign w:val="center"/>
            <w:hideMark/>
          </w:tcPr>
          <w:p w14:paraId="0A00E01E"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BOR.F062</w:t>
            </w:r>
          </w:p>
        </w:tc>
      </w:tr>
      <w:tr w:rsidR="002F1E8D" w:rsidRPr="002F1E8D" w14:paraId="20BAC6F4" w14:textId="77777777" w:rsidTr="00326F06">
        <w:trPr>
          <w:trHeight w:val="270"/>
        </w:trPr>
        <w:tc>
          <w:tcPr>
            <w:tcW w:w="6100" w:type="dxa"/>
            <w:tcBorders>
              <w:top w:val="nil"/>
              <w:left w:val="single" w:sz="8" w:space="0" w:color="auto"/>
              <w:right w:val="single" w:sz="8" w:space="0" w:color="auto"/>
            </w:tcBorders>
            <w:shd w:val="clear" w:color="auto" w:fill="auto"/>
            <w:vAlign w:val="center"/>
            <w:hideMark/>
          </w:tcPr>
          <w:p w14:paraId="1F406E41" w14:textId="77777777" w:rsidR="002F1E8D" w:rsidRPr="002F1E8D" w:rsidRDefault="002F1E8D" w:rsidP="00326F06">
            <w:pPr>
              <w:spacing w:after="0" w:line="240" w:lineRule="auto"/>
              <w:ind w:firstLineChars="100" w:firstLine="180"/>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Transferências de Pessoas</w:t>
            </w:r>
          </w:p>
        </w:tc>
        <w:tc>
          <w:tcPr>
            <w:tcW w:w="2480" w:type="dxa"/>
            <w:tcBorders>
              <w:top w:val="nil"/>
              <w:left w:val="nil"/>
              <w:right w:val="single" w:sz="8" w:space="0" w:color="auto"/>
            </w:tcBorders>
            <w:shd w:val="clear" w:color="auto" w:fill="auto"/>
            <w:vAlign w:val="center"/>
            <w:hideMark/>
          </w:tcPr>
          <w:p w14:paraId="05D2787A"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BOR.C063</w:t>
            </w:r>
          </w:p>
        </w:tc>
        <w:tc>
          <w:tcPr>
            <w:tcW w:w="1820" w:type="dxa"/>
            <w:tcBorders>
              <w:top w:val="nil"/>
              <w:left w:val="nil"/>
              <w:right w:val="single" w:sz="8" w:space="0" w:color="auto"/>
            </w:tcBorders>
            <w:shd w:val="clear" w:color="auto" w:fill="auto"/>
            <w:vAlign w:val="center"/>
            <w:hideMark/>
          </w:tcPr>
          <w:p w14:paraId="76649105"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BOR.D063</w:t>
            </w:r>
          </w:p>
        </w:tc>
        <w:tc>
          <w:tcPr>
            <w:tcW w:w="1920" w:type="dxa"/>
            <w:tcBorders>
              <w:top w:val="nil"/>
              <w:left w:val="nil"/>
              <w:right w:val="single" w:sz="8" w:space="0" w:color="auto"/>
            </w:tcBorders>
            <w:shd w:val="clear" w:color="auto" w:fill="auto"/>
            <w:vAlign w:val="center"/>
            <w:hideMark/>
          </w:tcPr>
          <w:p w14:paraId="0B1C6F92"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BOR.E063</w:t>
            </w:r>
          </w:p>
        </w:tc>
        <w:tc>
          <w:tcPr>
            <w:tcW w:w="1780" w:type="dxa"/>
            <w:tcBorders>
              <w:top w:val="nil"/>
              <w:left w:val="nil"/>
              <w:right w:val="single" w:sz="8" w:space="0" w:color="auto"/>
            </w:tcBorders>
            <w:shd w:val="clear" w:color="auto" w:fill="auto"/>
            <w:vAlign w:val="center"/>
            <w:hideMark/>
          </w:tcPr>
          <w:p w14:paraId="5CF0E62A"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BOR.F063</w:t>
            </w:r>
          </w:p>
        </w:tc>
      </w:tr>
      <w:tr w:rsidR="002F1E8D" w:rsidRPr="002F1E8D" w14:paraId="700ABE9E" w14:textId="77777777" w:rsidTr="00326F06">
        <w:trPr>
          <w:trHeight w:val="270"/>
        </w:trPr>
        <w:tc>
          <w:tcPr>
            <w:tcW w:w="6100" w:type="dxa"/>
            <w:tcBorders>
              <w:top w:val="nil"/>
              <w:left w:val="single" w:sz="8" w:space="0" w:color="auto"/>
              <w:right w:val="single" w:sz="8" w:space="0" w:color="auto"/>
            </w:tcBorders>
            <w:shd w:val="clear" w:color="auto" w:fill="auto"/>
            <w:vAlign w:val="center"/>
            <w:hideMark/>
          </w:tcPr>
          <w:p w14:paraId="386F557C" w14:textId="77777777" w:rsidR="002F1E8D" w:rsidRPr="002F1E8D" w:rsidRDefault="002F1E8D" w:rsidP="00326F06">
            <w:pPr>
              <w:spacing w:after="0" w:line="240" w:lineRule="auto"/>
              <w:ind w:firstLineChars="100" w:firstLine="180"/>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Transferências de Outras Instit. Públicas</w:t>
            </w:r>
          </w:p>
        </w:tc>
        <w:tc>
          <w:tcPr>
            <w:tcW w:w="2480" w:type="dxa"/>
            <w:tcBorders>
              <w:top w:val="nil"/>
              <w:left w:val="nil"/>
              <w:right w:val="single" w:sz="8" w:space="0" w:color="auto"/>
            </w:tcBorders>
            <w:shd w:val="clear" w:color="auto" w:fill="auto"/>
            <w:vAlign w:val="center"/>
            <w:hideMark/>
          </w:tcPr>
          <w:p w14:paraId="222F3D88"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BOR.C064</w:t>
            </w:r>
          </w:p>
        </w:tc>
        <w:tc>
          <w:tcPr>
            <w:tcW w:w="1820" w:type="dxa"/>
            <w:tcBorders>
              <w:top w:val="nil"/>
              <w:left w:val="nil"/>
              <w:right w:val="single" w:sz="8" w:space="0" w:color="auto"/>
            </w:tcBorders>
            <w:shd w:val="clear" w:color="auto" w:fill="auto"/>
            <w:vAlign w:val="center"/>
            <w:hideMark/>
          </w:tcPr>
          <w:p w14:paraId="095848D3"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BOR.D064</w:t>
            </w:r>
          </w:p>
        </w:tc>
        <w:tc>
          <w:tcPr>
            <w:tcW w:w="1920" w:type="dxa"/>
            <w:tcBorders>
              <w:top w:val="nil"/>
              <w:left w:val="nil"/>
              <w:right w:val="single" w:sz="8" w:space="0" w:color="auto"/>
            </w:tcBorders>
            <w:shd w:val="clear" w:color="auto" w:fill="auto"/>
            <w:vAlign w:val="center"/>
            <w:hideMark/>
          </w:tcPr>
          <w:p w14:paraId="1AEE85E5"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BOR.E064</w:t>
            </w:r>
          </w:p>
        </w:tc>
        <w:tc>
          <w:tcPr>
            <w:tcW w:w="1780" w:type="dxa"/>
            <w:tcBorders>
              <w:top w:val="nil"/>
              <w:left w:val="nil"/>
              <w:right w:val="single" w:sz="8" w:space="0" w:color="auto"/>
            </w:tcBorders>
            <w:shd w:val="clear" w:color="auto" w:fill="auto"/>
            <w:vAlign w:val="center"/>
            <w:hideMark/>
          </w:tcPr>
          <w:p w14:paraId="4B93615B"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BOR.F064</w:t>
            </w:r>
          </w:p>
        </w:tc>
      </w:tr>
      <w:tr w:rsidR="002F1E8D" w:rsidRPr="002F1E8D" w14:paraId="012430CF" w14:textId="77777777" w:rsidTr="00326F06">
        <w:trPr>
          <w:trHeight w:val="270"/>
        </w:trPr>
        <w:tc>
          <w:tcPr>
            <w:tcW w:w="6100" w:type="dxa"/>
            <w:tcBorders>
              <w:left w:val="single" w:sz="8" w:space="0" w:color="auto"/>
              <w:bottom w:val="nil"/>
              <w:right w:val="single" w:sz="8" w:space="0" w:color="auto"/>
            </w:tcBorders>
            <w:shd w:val="clear" w:color="auto" w:fill="auto"/>
            <w:vAlign w:val="center"/>
            <w:hideMark/>
          </w:tcPr>
          <w:p w14:paraId="673F9614" w14:textId="77777777" w:rsidR="002F1E8D" w:rsidRPr="002F1E8D" w:rsidRDefault="002F1E8D" w:rsidP="00326F06">
            <w:pPr>
              <w:spacing w:after="0" w:line="240" w:lineRule="auto"/>
              <w:ind w:firstLineChars="100" w:firstLine="180"/>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Transferências de Convênios</w:t>
            </w:r>
          </w:p>
        </w:tc>
        <w:tc>
          <w:tcPr>
            <w:tcW w:w="2480" w:type="dxa"/>
            <w:tcBorders>
              <w:left w:val="nil"/>
              <w:bottom w:val="nil"/>
              <w:right w:val="single" w:sz="8" w:space="0" w:color="auto"/>
            </w:tcBorders>
            <w:shd w:val="clear" w:color="auto" w:fill="auto"/>
            <w:vAlign w:val="center"/>
            <w:hideMark/>
          </w:tcPr>
          <w:p w14:paraId="0D6D5FA6"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BOR.C065</w:t>
            </w:r>
          </w:p>
        </w:tc>
        <w:tc>
          <w:tcPr>
            <w:tcW w:w="1820" w:type="dxa"/>
            <w:tcBorders>
              <w:left w:val="nil"/>
              <w:bottom w:val="nil"/>
              <w:right w:val="single" w:sz="8" w:space="0" w:color="auto"/>
            </w:tcBorders>
            <w:shd w:val="clear" w:color="auto" w:fill="auto"/>
            <w:vAlign w:val="center"/>
            <w:hideMark/>
          </w:tcPr>
          <w:p w14:paraId="37FB29BD"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BOR.D065</w:t>
            </w:r>
          </w:p>
        </w:tc>
        <w:tc>
          <w:tcPr>
            <w:tcW w:w="1920" w:type="dxa"/>
            <w:tcBorders>
              <w:left w:val="nil"/>
              <w:bottom w:val="nil"/>
              <w:right w:val="single" w:sz="8" w:space="0" w:color="auto"/>
            </w:tcBorders>
            <w:shd w:val="clear" w:color="auto" w:fill="auto"/>
            <w:vAlign w:val="center"/>
            <w:hideMark/>
          </w:tcPr>
          <w:p w14:paraId="397D079C"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BOR.E065</w:t>
            </w:r>
          </w:p>
        </w:tc>
        <w:tc>
          <w:tcPr>
            <w:tcW w:w="1780" w:type="dxa"/>
            <w:tcBorders>
              <w:left w:val="nil"/>
              <w:bottom w:val="nil"/>
              <w:right w:val="single" w:sz="8" w:space="0" w:color="auto"/>
            </w:tcBorders>
            <w:shd w:val="clear" w:color="auto" w:fill="auto"/>
            <w:vAlign w:val="center"/>
            <w:hideMark/>
          </w:tcPr>
          <w:p w14:paraId="0C99BE3F"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BOR.F065</w:t>
            </w:r>
          </w:p>
        </w:tc>
      </w:tr>
      <w:tr w:rsidR="002F1E8D" w:rsidRPr="002F1E8D" w14:paraId="1AB1F761" w14:textId="77777777" w:rsidTr="00326F06">
        <w:trPr>
          <w:trHeight w:val="270"/>
        </w:trPr>
        <w:tc>
          <w:tcPr>
            <w:tcW w:w="6100" w:type="dxa"/>
            <w:tcBorders>
              <w:top w:val="nil"/>
              <w:left w:val="single" w:sz="8" w:space="0" w:color="auto"/>
              <w:bottom w:val="nil"/>
              <w:right w:val="single" w:sz="8" w:space="0" w:color="auto"/>
            </w:tcBorders>
            <w:shd w:val="clear" w:color="auto" w:fill="auto"/>
            <w:vAlign w:val="center"/>
            <w:hideMark/>
          </w:tcPr>
          <w:p w14:paraId="64713855" w14:textId="77777777" w:rsidR="002F1E8D" w:rsidRPr="002F1E8D" w:rsidRDefault="002F1E8D" w:rsidP="00326F06">
            <w:pPr>
              <w:spacing w:after="0" w:line="240" w:lineRule="auto"/>
              <w:ind w:firstLineChars="100" w:firstLine="180"/>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Transferências para o Combate à Fome</w:t>
            </w:r>
          </w:p>
        </w:tc>
        <w:tc>
          <w:tcPr>
            <w:tcW w:w="2480" w:type="dxa"/>
            <w:tcBorders>
              <w:top w:val="nil"/>
              <w:left w:val="nil"/>
              <w:bottom w:val="nil"/>
              <w:right w:val="single" w:sz="8" w:space="0" w:color="auto"/>
            </w:tcBorders>
            <w:shd w:val="clear" w:color="auto" w:fill="auto"/>
            <w:vAlign w:val="center"/>
            <w:hideMark/>
          </w:tcPr>
          <w:p w14:paraId="668B0B7D"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BOR.C066</w:t>
            </w:r>
          </w:p>
        </w:tc>
        <w:tc>
          <w:tcPr>
            <w:tcW w:w="1820" w:type="dxa"/>
            <w:tcBorders>
              <w:top w:val="nil"/>
              <w:left w:val="nil"/>
              <w:bottom w:val="nil"/>
              <w:right w:val="single" w:sz="8" w:space="0" w:color="auto"/>
            </w:tcBorders>
            <w:shd w:val="clear" w:color="auto" w:fill="auto"/>
            <w:vAlign w:val="center"/>
            <w:hideMark/>
          </w:tcPr>
          <w:p w14:paraId="7F44B451"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BOR.D066</w:t>
            </w:r>
          </w:p>
        </w:tc>
        <w:tc>
          <w:tcPr>
            <w:tcW w:w="1920" w:type="dxa"/>
            <w:tcBorders>
              <w:top w:val="nil"/>
              <w:left w:val="nil"/>
              <w:bottom w:val="nil"/>
              <w:right w:val="single" w:sz="8" w:space="0" w:color="auto"/>
            </w:tcBorders>
            <w:shd w:val="clear" w:color="auto" w:fill="auto"/>
            <w:vAlign w:val="center"/>
            <w:hideMark/>
          </w:tcPr>
          <w:p w14:paraId="09C67593"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BOR.E066</w:t>
            </w:r>
          </w:p>
        </w:tc>
        <w:tc>
          <w:tcPr>
            <w:tcW w:w="1780" w:type="dxa"/>
            <w:tcBorders>
              <w:top w:val="nil"/>
              <w:left w:val="nil"/>
              <w:bottom w:val="nil"/>
              <w:right w:val="single" w:sz="8" w:space="0" w:color="auto"/>
            </w:tcBorders>
            <w:shd w:val="clear" w:color="auto" w:fill="auto"/>
            <w:vAlign w:val="center"/>
            <w:hideMark/>
          </w:tcPr>
          <w:p w14:paraId="1D993C7B"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BOR.F066</w:t>
            </w:r>
          </w:p>
        </w:tc>
      </w:tr>
      <w:tr w:rsidR="002F1E8D" w:rsidRPr="002F1E8D" w14:paraId="62F9ED3F" w14:textId="77777777" w:rsidTr="00326F06">
        <w:trPr>
          <w:trHeight w:val="270"/>
        </w:trPr>
        <w:tc>
          <w:tcPr>
            <w:tcW w:w="6100" w:type="dxa"/>
            <w:tcBorders>
              <w:top w:val="nil"/>
              <w:left w:val="single" w:sz="8" w:space="0" w:color="auto"/>
              <w:bottom w:val="nil"/>
              <w:right w:val="single" w:sz="8" w:space="0" w:color="auto"/>
            </w:tcBorders>
            <w:shd w:val="clear" w:color="auto" w:fill="auto"/>
            <w:vAlign w:val="center"/>
            <w:hideMark/>
          </w:tcPr>
          <w:p w14:paraId="386BFCA9" w14:textId="77777777" w:rsidR="002F1E8D" w:rsidRPr="002F1E8D" w:rsidRDefault="002F1E8D" w:rsidP="00326F06">
            <w:pPr>
              <w:spacing w:after="0" w:line="240" w:lineRule="auto"/>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Outras Receitas de  Capital</w:t>
            </w:r>
          </w:p>
        </w:tc>
        <w:tc>
          <w:tcPr>
            <w:tcW w:w="2480" w:type="dxa"/>
            <w:tcBorders>
              <w:top w:val="nil"/>
              <w:left w:val="nil"/>
              <w:bottom w:val="nil"/>
              <w:right w:val="single" w:sz="8" w:space="0" w:color="auto"/>
            </w:tcBorders>
            <w:shd w:val="clear" w:color="auto" w:fill="auto"/>
            <w:vAlign w:val="center"/>
            <w:hideMark/>
          </w:tcPr>
          <w:p w14:paraId="21C8B09E" w14:textId="77777777" w:rsidR="002F1E8D" w:rsidRPr="002F1E8D" w:rsidRDefault="002F1E8D" w:rsidP="00326F06">
            <w:pPr>
              <w:spacing w:after="0"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BOR.C067</w:t>
            </w:r>
          </w:p>
        </w:tc>
        <w:tc>
          <w:tcPr>
            <w:tcW w:w="1820" w:type="dxa"/>
            <w:tcBorders>
              <w:top w:val="nil"/>
              <w:left w:val="nil"/>
              <w:bottom w:val="nil"/>
              <w:right w:val="single" w:sz="8" w:space="0" w:color="auto"/>
            </w:tcBorders>
            <w:shd w:val="clear" w:color="auto" w:fill="auto"/>
            <w:vAlign w:val="center"/>
            <w:hideMark/>
          </w:tcPr>
          <w:p w14:paraId="2B2C7358" w14:textId="77777777" w:rsidR="002F1E8D" w:rsidRPr="002F1E8D" w:rsidRDefault="002F1E8D" w:rsidP="00326F06">
            <w:pPr>
              <w:spacing w:after="0"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BOR.D067</w:t>
            </w:r>
          </w:p>
        </w:tc>
        <w:tc>
          <w:tcPr>
            <w:tcW w:w="1920" w:type="dxa"/>
            <w:tcBorders>
              <w:top w:val="nil"/>
              <w:left w:val="nil"/>
              <w:bottom w:val="nil"/>
              <w:right w:val="single" w:sz="8" w:space="0" w:color="auto"/>
            </w:tcBorders>
            <w:shd w:val="clear" w:color="auto" w:fill="auto"/>
            <w:vAlign w:val="center"/>
            <w:hideMark/>
          </w:tcPr>
          <w:p w14:paraId="6351B78E" w14:textId="77777777" w:rsidR="002F1E8D" w:rsidRPr="002F1E8D" w:rsidRDefault="002F1E8D" w:rsidP="00326F06">
            <w:pPr>
              <w:spacing w:after="0"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BOR.E067</w:t>
            </w:r>
          </w:p>
        </w:tc>
        <w:tc>
          <w:tcPr>
            <w:tcW w:w="1780" w:type="dxa"/>
            <w:tcBorders>
              <w:top w:val="nil"/>
              <w:left w:val="nil"/>
              <w:bottom w:val="nil"/>
              <w:right w:val="single" w:sz="8" w:space="0" w:color="auto"/>
            </w:tcBorders>
            <w:shd w:val="clear" w:color="auto" w:fill="auto"/>
            <w:vAlign w:val="center"/>
            <w:hideMark/>
          </w:tcPr>
          <w:p w14:paraId="50FBB274" w14:textId="77777777" w:rsidR="002F1E8D" w:rsidRPr="002F1E8D" w:rsidRDefault="002F1E8D" w:rsidP="00326F06">
            <w:pPr>
              <w:spacing w:after="0"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BOR.F067</w:t>
            </w:r>
          </w:p>
        </w:tc>
      </w:tr>
      <w:tr w:rsidR="002F1E8D" w:rsidRPr="002F1E8D" w14:paraId="035A3CBE" w14:textId="77777777" w:rsidTr="00326F06">
        <w:trPr>
          <w:trHeight w:val="270"/>
        </w:trPr>
        <w:tc>
          <w:tcPr>
            <w:tcW w:w="6100" w:type="dxa"/>
            <w:tcBorders>
              <w:top w:val="nil"/>
              <w:left w:val="single" w:sz="8" w:space="0" w:color="auto"/>
              <w:bottom w:val="nil"/>
              <w:right w:val="single" w:sz="8" w:space="0" w:color="auto"/>
            </w:tcBorders>
            <w:shd w:val="clear" w:color="auto" w:fill="auto"/>
            <w:vAlign w:val="center"/>
            <w:hideMark/>
          </w:tcPr>
          <w:p w14:paraId="290F7350" w14:textId="77777777" w:rsidR="002F1E8D" w:rsidRPr="002F1E8D" w:rsidRDefault="002F1E8D" w:rsidP="00326F06">
            <w:pPr>
              <w:spacing w:after="0" w:line="240" w:lineRule="auto"/>
              <w:ind w:firstLineChars="100" w:firstLine="180"/>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Integralização do Capital Social</w:t>
            </w:r>
          </w:p>
        </w:tc>
        <w:tc>
          <w:tcPr>
            <w:tcW w:w="2480" w:type="dxa"/>
            <w:tcBorders>
              <w:top w:val="nil"/>
              <w:left w:val="nil"/>
              <w:bottom w:val="nil"/>
              <w:right w:val="single" w:sz="8" w:space="0" w:color="auto"/>
            </w:tcBorders>
            <w:shd w:val="clear" w:color="auto" w:fill="auto"/>
            <w:vAlign w:val="center"/>
            <w:hideMark/>
          </w:tcPr>
          <w:p w14:paraId="50C78D57"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BOR.C068</w:t>
            </w:r>
          </w:p>
        </w:tc>
        <w:tc>
          <w:tcPr>
            <w:tcW w:w="1820" w:type="dxa"/>
            <w:tcBorders>
              <w:top w:val="nil"/>
              <w:left w:val="nil"/>
              <w:bottom w:val="nil"/>
              <w:right w:val="single" w:sz="8" w:space="0" w:color="auto"/>
            </w:tcBorders>
            <w:shd w:val="clear" w:color="auto" w:fill="auto"/>
            <w:vAlign w:val="center"/>
            <w:hideMark/>
          </w:tcPr>
          <w:p w14:paraId="1286352D"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BOR.D068</w:t>
            </w:r>
          </w:p>
        </w:tc>
        <w:tc>
          <w:tcPr>
            <w:tcW w:w="1920" w:type="dxa"/>
            <w:tcBorders>
              <w:top w:val="nil"/>
              <w:left w:val="nil"/>
              <w:bottom w:val="nil"/>
              <w:right w:val="single" w:sz="8" w:space="0" w:color="auto"/>
            </w:tcBorders>
            <w:shd w:val="clear" w:color="auto" w:fill="auto"/>
            <w:vAlign w:val="center"/>
            <w:hideMark/>
          </w:tcPr>
          <w:p w14:paraId="41B2A869"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BOR.E068</w:t>
            </w:r>
          </w:p>
        </w:tc>
        <w:tc>
          <w:tcPr>
            <w:tcW w:w="1780" w:type="dxa"/>
            <w:tcBorders>
              <w:top w:val="nil"/>
              <w:left w:val="nil"/>
              <w:bottom w:val="nil"/>
              <w:right w:val="single" w:sz="8" w:space="0" w:color="auto"/>
            </w:tcBorders>
            <w:shd w:val="clear" w:color="auto" w:fill="auto"/>
            <w:vAlign w:val="center"/>
            <w:hideMark/>
          </w:tcPr>
          <w:p w14:paraId="7DF38C4C"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BOR.F068</w:t>
            </w:r>
          </w:p>
        </w:tc>
      </w:tr>
      <w:tr w:rsidR="002F1E8D" w:rsidRPr="002F1E8D" w14:paraId="1506030B" w14:textId="77777777" w:rsidTr="00326F06">
        <w:trPr>
          <w:trHeight w:val="270"/>
        </w:trPr>
        <w:tc>
          <w:tcPr>
            <w:tcW w:w="6100" w:type="dxa"/>
            <w:tcBorders>
              <w:top w:val="nil"/>
              <w:left w:val="single" w:sz="8" w:space="0" w:color="auto"/>
              <w:bottom w:val="nil"/>
              <w:right w:val="single" w:sz="8" w:space="0" w:color="auto"/>
            </w:tcBorders>
            <w:shd w:val="clear" w:color="auto" w:fill="auto"/>
            <w:vAlign w:val="center"/>
            <w:hideMark/>
          </w:tcPr>
          <w:p w14:paraId="37D905B0" w14:textId="77777777" w:rsidR="002F1E8D" w:rsidRPr="002F1E8D" w:rsidRDefault="002F1E8D" w:rsidP="00326F06">
            <w:pPr>
              <w:spacing w:after="0" w:line="240" w:lineRule="auto"/>
              <w:ind w:firstLineChars="100" w:firstLine="180"/>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Receitas da Dív. Ativa Prov. da Amortiz. Emp. e Financiamento</w:t>
            </w:r>
          </w:p>
        </w:tc>
        <w:tc>
          <w:tcPr>
            <w:tcW w:w="2480" w:type="dxa"/>
            <w:tcBorders>
              <w:top w:val="nil"/>
              <w:left w:val="nil"/>
              <w:bottom w:val="nil"/>
              <w:right w:val="single" w:sz="8" w:space="0" w:color="auto"/>
            </w:tcBorders>
            <w:shd w:val="clear" w:color="auto" w:fill="auto"/>
            <w:vAlign w:val="center"/>
            <w:hideMark/>
          </w:tcPr>
          <w:p w14:paraId="1BBC016A"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BOR.C069</w:t>
            </w:r>
          </w:p>
        </w:tc>
        <w:tc>
          <w:tcPr>
            <w:tcW w:w="1820" w:type="dxa"/>
            <w:tcBorders>
              <w:top w:val="nil"/>
              <w:left w:val="nil"/>
              <w:bottom w:val="nil"/>
              <w:right w:val="single" w:sz="8" w:space="0" w:color="auto"/>
            </w:tcBorders>
            <w:shd w:val="clear" w:color="auto" w:fill="auto"/>
            <w:vAlign w:val="center"/>
            <w:hideMark/>
          </w:tcPr>
          <w:p w14:paraId="168EF622"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BOR.D069</w:t>
            </w:r>
          </w:p>
        </w:tc>
        <w:tc>
          <w:tcPr>
            <w:tcW w:w="1920" w:type="dxa"/>
            <w:tcBorders>
              <w:top w:val="nil"/>
              <w:left w:val="nil"/>
              <w:bottom w:val="nil"/>
              <w:right w:val="single" w:sz="8" w:space="0" w:color="auto"/>
            </w:tcBorders>
            <w:shd w:val="clear" w:color="auto" w:fill="auto"/>
            <w:vAlign w:val="center"/>
            <w:hideMark/>
          </w:tcPr>
          <w:p w14:paraId="058539CA"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BOR.E069</w:t>
            </w:r>
          </w:p>
        </w:tc>
        <w:tc>
          <w:tcPr>
            <w:tcW w:w="1780" w:type="dxa"/>
            <w:tcBorders>
              <w:top w:val="nil"/>
              <w:left w:val="nil"/>
              <w:bottom w:val="nil"/>
              <w:right w:val="single" w:sz="8" w:space="0" w:color="auto"/>
            </w:tcBorders>
            <w:shd w:val="clear" w:color="auto" w:fill="auto"/>
            <w:vAlign w:val="center"/>
            <w:hideMark/>
          </w:tcPr>
          <w:p w14:paraId="6306C024"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BOR.F069</w:t>
            </w:r>
          </w:p>
        </w:tc>
      </w:tr>
      <w:tr w:rsidR="002F1E8D" w:rsidRPr="002F1E8D" w14:paraId="3E1425C4" w14:textId="77777777" w:rsidTr="00326F06">
        <w:trPr>
          <w:trHeight w:val="270"/>
        </w:trPr>
        <w:tc>
          <w:tcPr>
            <w:tcW w:w="6100" w:type="dxa"/>
            <w:tcBorders>
              <w:top w:val="nil"/>
              <w:left w:val="single" w:sz="8" w:space="0" w:color="auto"/>
              <w:bottom w:val="nil"/>
              <w:right w:val="single" w:sz="8" w:space="0" w:color="auto"/>
            </w:tcBorders>
            <w:shd w:val="clear" w:color="auto" w:fill="auto"/>
            <w:vAlign w:val="center"/>
          </w:tcPr>
          <w:p w14:paraId="22AF67EF" w14:textId="77777777" w:rsidR="002F1E8D" w:rsidRPr="002F1E8D" w:rsidRDefault="002F1E8D" w:rsidP="00326F06">
            <w:pPr>
              <w:spacing w:after="0" w:line="240" w:lineRule="auto"/>
              <w:ind w:firstLineChars="100" w:firstLine="180"/>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lastRenderedPageBreak/>
              <w:t>Receita Auferida por Detentores de Títulos do Tesouro Nacional Resgatados</w:t>
            </w:r>
          </w:p>
        </w:tc>
        <w:tc>
          <w:tcPr>
            <w:tcW w:w="2480" w:type="dxa"/>
            <w:tcBorders>
              <w:top w:val="nil"/>
              <w:left w:val="nil"/>
              <w:bottom w:val="nil"/>
              <w:right w:val="single" w:sz="8" w:space="0" w:color="auto"/>
            </w:tcBorders>
            <w:shd w:val="clear" w:color="auto" w:fill="auto"/>
            <w:vAlign w:val="center"/>
          </w:tcPr>
          <w:p w14:paraId="3E32F25F"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BOR.C086</w:t>
            </w:r>
          </w:p>
        </w:tc>
        <w:tc>
          <w:tcPr>
            <w:tcW w:w="1820" w:type="dxa"/>
            <w:tcBorders>
              <w:top w:val="nil"/>
              <w:left w:val="nil"/>
              <w:bottom w:val="nil"/>
              <w:right w:val="single" w:sz="8" w:space="0" w:color="auto"/>
            </w:tcBorders>
            <w:shd w:val="clear" w:color="auto" w:fill="auto"/>
            <w:vAlign w:val="center"/>
          </w:tcPr>
          <w:p w14:paraId="43890958"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BOR.D086</w:t>
            </w:r>
          </w:p>
        </w:tc>
        <w:tc>
          <w:tcPr>
            <w:tcW w:w="1920" w:type="dxa"/>
            <w:tcBorders>
              <w:top w:val="nil"/>
              <w:left w:val="nil"/>
              <w:bottom w:val="nil"/>
              <w:right w:val="single" w:sz="8" w:space="0" w:color="auto"/>
            </w:tcBorders>
            <w:shd w:val="clear" w:color="auto" w:fill="auto"/>
            <w:vAlign w:val="center"/>
          </w:tcPr>
          <w:p w14:paraId="7B383ED8"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BOR.E086</w:t>
            </w:r>
          </w:p>
        </w:tc>
        <w:tc>
          <w:tcPr>
            <w:tcW w:w="1780" w:type="dxa"/>
            <w:tcBorders>
              <w:top w:val="nil"/>
              <w:left w:val="nil"/>
              <w:bottom w:val="nil"/>
              <w:right w:val="single" w:sz="8" w:space="0" w:color="auto"/>
            </w:tcBorders>
            <w:shd w:val="clear" w:color="auto" w:fill="auto"/>
            <w:vAlign w:val="center"/>
          </w:tcPr>
          <w:p w14:paraId="37CFE86B"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BOR.F086</w:t>
            </w:r>
          </w:p>
        </w:tc>
      </w:tr>
      <w:tr w:rsidR="002F1E8D" w:rsidRPr="002F1E8D" w14:paraId="78405DC1" w14:textId="77777777" w:rsidTr="00326F06">
        <w:trPr>
          <w:trHeight w:val="270"/>
        </w:trPr>
        <w:tc>
          <w:tcPr>
            <w:tcW w:w="6100" w:type="dxa"/>
            <w:tcBorders>
              <w:top w:val="nil"/>
              <w:left w:val="single" w:sz="8" w:space="0" w:color="auto"/>
              <w:bottom w:val="nil"/>
              <w:right w:val="single" w:sz="8" w:space="0" w:color="auto"/>
            </w:tcBorders>
            <w:shd w:val="clear" w:color="auto" w:fill="auto"/>
            <w:vAlign w:val="center"/>
          </w:tcPr>
          <w:p w14:paraId="25F9A254" w14:textId="77777777" w:rsidR="002F1E8D" w:rsidRPr="002F1E8D" w:rsidRDefault="002F1E8D" w:rsidP="00326F06">
            <w:pPr>
              <w:spacing w:after="0" w:line="240" w:lineRule="auto"/>
              <w:ind w:firstLineChars="100" w:firstLine="180"/>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Receitas de Alienação de Certificados de Potencial Adicional de Construção - CEPAC</w:t>
            </w:r>
          </w:p>
        </w:tc>
        <w:tc>
          <w:tcPr>
            <w:tcW w:w="2480" w:type="dxa"/>
            <w:tcBorders>
              <w:top w:val="nil"/>
              <w:left w:val="nil"/>
              <w:bottom w:val="nil"/>
              <w:right w:val="single" w:sz="8" w:space="0" w:color="auto"/>
            </w:tcBorders>
            <w:shd w:val="clear" w:color="auto" w:fill="auto"/>
            <w:vAlign w:val="center"/>
          </w:tcPr>
          <w:p w14:paraId="74D526FC"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BOR.C087</w:t>
            </w:r>
          </w:p>
        </w:tc>
        <w:tc>
          <w:tcPr>
            <w:tcW w:w="1820" w:type="dxa"/>
            <w:tcBorders>
              <w:top w:val="nil"/>
              <w:left w:val="nil"/>
              <w:bottom w:val="nil"/>
              <w:right w:val="single" w:sz="8" w:space="0" w:color="auto"/>
            </w:tcBorders>
            <w:shd w:val="clear" w:color="auto" w:fill="auto"/>
            <w:vAlign w:val="center"/>
          </w:tcPr>
          <w:p w14:paraId="304593C6"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BOR.D087</w:t>
            </w:r>
          </w:p>
        </w:tc>
        <w:tc>
          <w:tcPr>
            <w:tcW w:w="1920" w:type="dxa"/>
            <w:tcBorders>
              <w:top w:val="nil"/>
              <w:left w:val="nil"/>
              <w:bottom w:val="nil"/>
              <w:right w:val="single" w:sz="8" w:space="0" w:color="auto"/>
            </w:tcBorders>
            <w:shd w:val="clear" w:color="auto" w:fill="auto"/>
            <w:vAlign w:val="center"/>
          </w:tcPr>
          <w:p w14:paraId="7842E114"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BOR.E087</w:t>
            </w:r>
          </w:p>
        </w:tc>
        <w:tc>
          <w:tcPr>
            <w:tcW w:w="1780" w:type="dxa"/>
            <w:tcBorders>
              <w:top w:val="nil"/>
              <w:left w:val="nil"/>
              <w:bottom w:val="nil"/>
              <w:right w:val="single" w:sz="8" w:space="0" w:color="auto"/>
            </w:tcBorders>
            <w:shd w:val="clear" w:color="auto" w:fill="auto"/>
            <w:vAlign w:val="center"/>
          </w:tcPr>
          <w:p w14:paraId="38C1A76A"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BOR.F087</w:t>
            </w:r>
          </w:p>
        </w:tc>
      </w:tr>
      <w:tr w:rsidR="002F1E8D" w:rsidRPr="002F1E8D" w14:paraId="61A68333" w14:textId="77777777" w:rsidTr="00326F06">
        <w:trPr>
          <w:trHeight w:val="270"/>
        </w:trPr>
        <w:tc>
          <w:tcPr>
            <w:tcW w:w="6100" w:type="dxa"/>
            <w:tcBorders>
              <w:top w:val="nil"/>
              <w:left w:val="single" w:sz="8" w:space="0" w:color="auto"/>
              <w:bottom w:val="nil"/>
              <w:right w:val="single" w:sz="8" w:space="0" w:color="auto"/>
            </w:tcBorders>
            <w:shd w:val="clear" w:color="auto" w:fill="auto"/>
            <w:vAlign w:val="center"/>
            <w:hideMark/>
          </w:tcPr>
          <w:p w14:paraId="5859A38E" w14:textId="77777777" w:rsidR="002F1E8D" w:rsidRPr="002F1E8D" w:rsidRDefault="002F1E8D" w:rsidP="00326F06">
            <w:pPr>
              <w:spacing w:after="0" w:line="240" w:lineRule="auto"/>
              <w:ind w:firstLineChars="100" w:firstLine="180"/>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Outras Receitas de Capital</w:t>
            </w:r>
          </w:p>
        </w:tc>
        <w:tc>
          <w:tcPr>
            <w:tcW w:w="2480" w:type="dxa"/>
            <w:tcBorders>
              <w:top w:val="nil"/>
              <w:left w:val="nil"/>
              <w:bottom w:val="nil"/>
              <w:right w:val="single" w:sz="8" w:space="0" w:color="auto"/>
            </w:tcBorders>
            <w:shd w:val="clear" w:color="auto" w:fill="auto"/>
            <w:vAlign w:val="center"/>
            <w:hideMark/>
          </w:tcPr>
          <w:p w14:paraId="01E474E7"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BOR.C070</w:t>
            </w:r>
          </w:p>
        </w:tc>
        <w:tc>
          <w:tcPr>
            <w:tcW w:w="1820" w:type="dxa"/>
            <w:tcBorders>
              <w:top w:val="nil"/>
              <w:left w:val="nil"/>
              <w:bottom w:val="nil"/>
              <w:right w:val="single" w:sz="8" w:space="0" w:color="auto"/>
            </w:tcBorders>
            <w:shd w:val="clear" w:color="auto" w:fill="auto"/>
            <w:vAlign w:val="center"/>
            <w:hideMark/>
          </w:tcPr>
          <w:p w14:paraId="34656E20"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BOR.D070</w:t>
            </w:r>
          </w:p>
        </w:tc>
        <w:tc>
          <w:tcPr>
            <w:tcW w:w="1920" w:type="dxa"/>
            <w:tcBorders>
              <w:top w:val="nil"/>
              <w:left w:val="nil"/>
              <w:bottom w:val="nil"/>
              <w:right w:val="single" w:sz="8" w:space="0" w:color="auto"/>
            </w:tcBorders>
            <w:shd w:val="clear" w:color="auto" w:fill="auto"/>
            <w:vAlign w:val="center"/>
            <w:hideMark/>
          </w:tcPr>
          <w:p w14:paraId="323EA1E9"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BOR.E070</w:t>
            </w:r>
          </w:p>
        </w:tc>
        <w:tc>
          <w:tcPr>
            <w:tcW w:w="1780" w:type="dxa"/>
            <w:tcBorders>
              <w:top w:val="nil"/>
              <w:left w:val="nil"/>
              <w:bottom w:val="nil"/>
              <w:right w:val="single" w:sz="8" w:space="0" w:color="auto"/>
            </w:tcBorders>
            <w:shd w:val="clear" w:color="auto" w:fill="auto"/>
            <w:vAlign w:val="center"/>
            <w:hideMark/>
          </w:tcPr>
          <w:p w14:paraId="27D641C9"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BOR.F070</w:t>
            </w:r>
          </w:p>
        </w:tc>
      </w:tr>
      <w:tr w:rsidR="002F1E8D" w:rsidRPr="002F1E8D" w14:paraId="02F79B47" w14:textId="77777777" w:rsidTr="00326F06">
        <w:trPr>
          <w:trHeight w:val="285"/>
        </w:trPr>
        <w:tc>
          <w:tcPr>
            <w:tcW w:w="610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C042ACC" w14:textId="77777777" w:rsidR="002F1E8D" w:rsidRPr="002F1E8D" w:rsidRDefault="002F1E8D" w:rsidP="00326F06">
            <w:pPr>
              <w:spacing w:after="0" w:line="240" w:lineRule="auto"/>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SUBTOTAL DAS RECEITAS (III) = (I + II)</w:t>
            </w:r>
          </w:p>
        </w:tc>
        <w:tc>
          <w:tcPr>
            <w:tcW w:w="2480" w:type="dxa"/>
            <w:tcBorders>
              <w:top w:val="single" w:sz="8" w:space="0" w:color="auto"/>
              <w:left w:val="nil"/>
              <w:bottom w:val="single" w:sz="8" w:space="0" w:color="auto"/>
              <w:right w:val="single" w:sz="8" w:space="0" w:color="auto"/>
            </w:tcBorders>
            <w:shd w:val="clear" w:color="auto" w:fill="auto"/>
            <w:vAlign w:val="center"/>
            <w:hideMark/>
          </w:tcPr>
          <w:p w14:paraId="56EAA3D5" w14:textId="77777777" w:rsidR="002F1E8D" w:rsidRPr="002F1E8D" w:rsidRDefault="002F1E8D" w:rsidP="00326F06">
            <w:pPr>
              <w:spacing w:after="0"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BOR.C072</w:t>
            </w:r>
          </w:p>
        </w:tc>
        <w:tc>
          <w:tcPr>
            <w:tcW w:w="1820" w:type="dxa"/>
            <w:tcBorders>
              <w:top w:val="single" w:sz="8" w:space="0" w:color="auto"/>
              <w:left w:val="nil"/>
              <w:bottom w:val="single" w:sz="8" w:space="0" w:color="auto"/>
              <w:right w:val="single" w:sz="8" w:space="0" w:color="auto"/>
            </w:tcBorders>
            <w:shd w:val="clear" w:color="auto" w:fill="auto"/>
            <w:vAlign w:val="center"/>
            <w:hideMark/>
          </w:tcPr>
          <w:p w14:paraId="029C066A" w14:textId="77777777" w:rsidR="002F1E8D" w:rsidRPr="002F1E8D" w:rsidRDefault="002F1E8D" w:rsidP="00326F06">
            <w:pPr>
              <w:spacing w:after="0"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BOR.D072</w:t>
            </w:r>
          </w:p>
        </w:tc>
        <w:tc>
          <w:tcPr>
            <w:tcW w:w="1920" w:type="dxa"/>
            <w:tcBorders>
              <w:top w:val="single" w:sz="8" w:space="0" w:color="auto"/>
              <w:left w:val="nil"/>
              <w:bottom w:val="single" w:sz="8" w:space="0" w:color="auto"/>
              <w:right w:val="single" w:sz="8" w:space="0" w:color="auto"/>
            </w:tcBorders>
            <w:shd w:val="clear" w:color="auto" w:fill="auto"/>
            <w:vAlign w:val="center"/>
            <w:hideMark/>
          </w:tcPr>
          <w:p w14:paraId="36AEB06E" w14:textId="77777777" w:rsidR="002F1E8D" w:rsidRPr="002F1E8D" w:rsidRDefault="002F1E8D" w:rsidP="00326F06">
            <w:pPr>
              <w:spacing w:after="0"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BOR.E072</w:t>
            </w:r>
          </w:p>
        </w:tc>
        <w:tc>
          <w:tcPr>
            <w:tcW w:w="1780" w:type="dxa"/>
            <w:tcBorders>
              <w:top w:val="single" w:sz="8" w:space="0" w:color="auto"/>
              <w:left w:val="nil"/>
              <w:bottom w:val="single" w:sz="8" w:space="0" w:color="auto"/>
              <w:right w:val="single" w:sz="8" w:space="0" w:color="auto"/>
            </w:tcBorders>
            <w:shd w:val="clear" w:color="auto" w:fill="auto"/>
            <w:vAlign w:val="center"/>
            <w:hideMark/>
          </w:tcPr>
          <w:p w14:paraId="66B32DF9" w14:textId="77777777" w:rsidR="002F1E8D" w:rsidRPr="002F1E8D" w:rsidRDefault="002F1E8D" w:rsidP="00326F06">
            <w:pPr>
              <w:spacing w:after="0"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BOR.F072</w:t>
            </w:r>
          </w:p>
        </w:tc>
      </w:tr>
      <w:tr w:rsidR="002F1E8D" w:rsidRPr="002F1E8D" w14:paraId="259CFA58" w14:textId="77777777" w:rsidTr="00326F06">
        <w:trPr>
          <w:trHeight w:val="270"/>
        </w:trPr>
        <w:tc>
          <w:tcPr>
            <w:tcW w:w="6100" w:type="dxa"/>
            <w:tcBorders>
              <w:top w:val="nil"/>
              <w:left w:val="single" w:sz="8" w:space="0" w:color="auto"/>
              <w:bottom w:val="nil"/>
              <w:right w:val="nil"/>
            </w:tcBorders>
            <w:shd w:val="clear" w:color="auto" w:fill="auto"/>
            <w:vAlign w:val="center"/>
            <w:hideMark/>
          </w:tcPr>
          <w:p w14:paraId="700CA2E5" w14:textId="77777777" w:rsidR="002F1E8D" w:rsidRPr="002F1E8D" w:rsidRDefault="002F1E8D" w:rsidP="00326F06">
            <w:pPr>
              <w:spacing w:after="0" w:line="240" w:lineRule="auto"/>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OPERAÇÕES DE CRÉDITO / REFINANCIAMENTO (IV)</w:t>
            </w:r>
          </w:p>
        </w:tc>
        <w:tc>
          <w:tcPr>
            <w:tcW w:w="2480" w:type="dxa"/>
            <w:tcBorders>
              <w:top w:val="nil"/>
              <w:left w:val="single" w:sz="8" w:space="0" w:color="auto"/>
              <w:bottom w:val="nil"/>
              <w:right w:val="single" w:sz="8" w:space="0" w:color="auto"/>
            </w:tcBorders>
            <w:shd w:val="clear" w:color="auto" w:fill="auto"/>
            <w:vAlign w:val="center"/>
            <w:hideMark/>
          </w:tcPr>
          <w:p w14:paraId="2FD21C90" w14:textId="77777777" w:rsidR="002F1E8D" w:rsidRPr="002F1E8D" w:rsidRDefault="002F1E8D" w:rsidP="00326F06">
            <w:pPr>
              <w:spacing w:after="0"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BOR.C073</w:t>
            </w:r>
          </w:p>
        </w:tc>
        <w:tc>
          <w:tcPr>
            <w:tcW w:w="1820" w:type="dxa"/>
            <w:tcBorders>
              <w:top w:val="nil"/>
              <w:left w:val="nil"/>
              <w:bottom w:val="nil"/>
              <w:right w:val="single" w:sz="8" w:space="0" w:color="auto"/>
            </w:tcBorders>
            <w:shd w:val="clear" w:color="auto" w:fill="auto"/>
            <w:vAlign w:val="center"/>
            <w:hideMark/>
          </w:tcPr>
          <w:p w14:paraId="2A9E83F9" w14:textId="77777777" w:rsidR="002F1E8D" w:rsidRPr="002F1E8D" w:rsidRDefault="002F1E8D" w:rsidP="00326F06">
            <w:pPr>
              <w:spacing w:after="0"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BOR.D073</w:t>
            </w:r>
          </w:p>
        </w:tc>
        <w:tc>
          <w:tcPr>
            <w:tcW w:w="1920" w:type="dxa"/>
            <w:tcBorders>
              <w:top w:val="nil"/>
              <w:left w:val="nil"/>
              <w:bottom w:val="nil"/>
              <w:right w:val="single" w:sz="8" w:space="0" w:color="auto"/>
            </w:tcBorders>
            <w:shd w:val="clear" w:color="auto" w:fill="auto"/>
            <w:vAlign w:val="center"/>
            <w:hideMark/>
          </w:tcPr>
          <w:p w14:paraId="1E39C21F" w14:textId="77777777" w:rsidR="002F1E8D" w:rsidRPr="002F1E8D" w:rsidRDefault="002F1E8D" w:rsidP="00326F06">
            <w:pPr>
              <w:spacing w:after="0"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BOR.E073</w:t>
            </w:r>
          </w:p>
        </w:tc>
        <w:tc>
          <w:tcPr>
            <w:tcW w:w="1780" w:type="dxa"/>
            <w:tcBorders>
              <w:top w:val="nil"/>
              <w:left w:val="nil"/>
              <w:bottom w:val="nil"/>
              <w:right w:val="single" w:sz="8" w:space="0" w:color="auto"/>
            </w:tcBorders>
            <w:shd w:val="clear" w:color="auto" w:fill="auto"/>
            <w:vAlign w:val="center"/>
            <w:hideMark/>
          </w:tcPr>
          <w:p w14:paraId="28D8F0DC" w14:textId="77777777" w:rsidR="002F1E8D" w:rsidRPr="002F1E8D" w:rsidRDefault="002F1E8D" w:rsidP="00326F06">
            <w:pPr>
              <w:spacing w:after="0"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BOR.F073</w:t>
            </w:r>
          </w:p>
        </w:tc>
      </w:tr>
      <w:tr w:rsidR="002F1E8D" w:rsidRPr="002F1E8D" w14:paraId="1EDF5500" w14:textId="77777777" w:rsidTr="00326F06">
        <w:trPr>
          <w:trHeight w:val="270"/>
        </w:trPr>
        <w:tc>
          <w:tcPr>
            <w:tcW w:w="6100" w:type="dxa"/>
            <w:tcBorders>
              <w:top w:val="nil"/>
              <w:left w:val="single" w:sz="8" w:space="0" w:color="auto"/>
              <w:bottom w:val="nil"/>
              <w:right w:val="nil"/>
            </w:tcBorders>
            <w:shd w:val="clear" w:color="auto" w:fill="auto"/>
            <w:vAlign w:val="center"/>
            <w:hideMark/>
          </w:tcPr>
          <w:p w14:paraId="123CD451" w14:textId="77777777" w:rsidR="002F1E8D" w:rsidRPr="002F1E8D" w:rsidRDefault="002F1E8D" w:rsidP="00326F06">
            <w:pPr>
              <w:spacing w:after="0" w:line="240" w:lineRule="auto"/>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Operações de Crédito Internas</w:t>
            </w:r>
          </w:p>
        </w:tc>
        <w:tc>
          <w:tcPr>
            <w:tcW w:w="2480" w:type="dxa"/>
            <w:tcBorders>
              <w:top w:val="nil"/>
              <w:left w:val="single" w:sz="8" w:space="0" w:color="auto"/>
              <w:bottom w:val="nil"/>
              <w:right w:val="single" w:sz="8" w:space="0" w:color="auto"/>
            </w:tcBorders>
            <w:shd w:val="clear" w:color="auto" w:fill="auto"/>
            <w:vAlign w:val="center"/>
            <w:hideMark/>
          </w:tcPr>
          <w:p w14:paraId="42A9F2CE" w14:textId="77777777" w:rsidR="002F1E8D" w:rsidRPr="002F1E8D" w:rsidRDefault="002F1E8D" w:rsidP="00326F06">
            <w:pPr>
              <w:spacing w:after="0"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BOR.C074</w:t>
            </w:r>
          </w:p>
        </w:tc>
        <w:tc>
          <w:tcPr>
            <w:tcW w:w="1820" w:type="dxa"/>
            <w:tcBorders>
              <w:top w:val="nil"/>
              <w:left w:val="nil"/>
              <w:bottom w:val="nil"/>
              <w:right w:val="single" w:sz="8" w:space="0" w:color="auto"/>
            </w:tcBorders>
            <w:shd w:val="clear" w:color="auto" w:fill="auto"/>
            <w:vAlign w:val="center"/>
            <w:hideMark/>
          </w:tcPr>
          <w:p w14:paraId="0CD49857" w14:textId="77777777" w:rsidR="002F1E8D" w:rsidRPr="002F1E8D" w:rsidRDefault="002F1E8D" w:rsidP="00326F06">
            <w:pPr>
              <w:spacing w:after="0"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BOR.D074</w:t>
            </w:r>
          </w:p>
        </w:tc>
        <w:tc>
          <w:tcPr>
            <w:tcW w:w="1920" w:type="dxa"/>
            <w:tcBorders>
              <w:top w:val="nil"/>
              <w:left w:val="nil"/>
              <w:bottom w:val="nil"/>
              <w:right w:val="single" w:sz="8" w:space="0" w:color="auto"/>
            </w:tcBorders>
            <w:shd w:val="clear" w:color="auto" w:fill="auto"/>
            <w:vAlign w:val="center"/>
            <w:hideMark/>
          </w:tcPr>
          <w:p w14:paraId="52E4EA5E" w14:textId="77777777" w:rsidR="002F1E8D" w:rsidRPr="002F1E8D" w:rsidRDefault="002F1E8D" w:rsidP="00326F06">
            <w:pPr>
              <w:spacing w:after="0"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BOR.E074</w:t>
            </w:r>
          </w:p>
        </w:tc>
        <w:tc>
          <w:tcPr>
            <w:tcW w:w="1780" w:type="dxa"/>
            <w:tcBorders>
              <w:top w:val="nil"/>
              <w:left w:val="nil"/>
              <w:bottom w:val="nil"/>
              <w:right w:val="single" w:sz="8" w:space="0" w:color="auto"/>
            </w:tcBorders>
            <w:shd w:val="clear" w:color="auto" w:fill="auto"/>
            <w:vAlign w:val="center"/>
            <w:hideMark/>
          </w:tcPr>
          <w:p w14:paraId="32FFEACC" w14:textId="77777777" w:rsidR="002F1E8D" w:rsidRPr="002F1E8D" w:rsidRDefault="002F1E8D" w:rsidP="00326F06">
            <w:pPr>
              <w:spacing w:after="0"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BOR.F074</w:t>
            </w:r>
          </w:p>
        </w:tc>
      </w:tr>
      <w:tr w:rsidR="002F1E8D" w:rsidRPr="002F1E8D" w14:paraId="623B418A" w14:textId="77777777" w:rsidTr="00326F06">
        <w:trPr>
          <w:trHeight w:val="270"/>
        </w:trPr>
        <w:tc>
          <w:tcPr>
            <w:tcW w:w="6100" w:type="dxa"/>
            <w:tcBorders>
              <w:top w:val="nil"/>
              <w:left w:val="single" w:sz="8" w:space="0" w:color="auto"/>
              <w:bottom w:val="nil"/>
              <w:right w:val="nil"/>
            </w:tcBorders>
            <w:shd w:val="clear" w:color="auto" w:fill="auto"/>
            <w:vAlign w:val="center"/>
            <w:hideMark/>
          </w:tcPr>
          <w:p w14:paraId="78CCA003" w14:textId="77777777" w:rsidR="002F1E8D" w:rsidRPr="002F1E8D" w:rsidRDefault="002F1E8D" w:rsidP="00326F06">
            <w:pPr>
              <w:spacing w:after="0" w:line="240" w:lineRule="auto"/>
              <w:ind w:firstLineChars="100" w:firstLine="180"/>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Mobiliária</w:t>
            </w:r>
          </w:p>
        </w:tc>
        <w:tc>
          <w:tcPr>
            <w:tcW w:w="2480" w:type="dxa"/>
            <w:tcBorders>
              <w:top w:val="nil"/>
              <w:left w:val="single" w:sz="8" w:space="0" w:color="auto"/>
              <w:bottom w:val="nil"/>
              <w:right w:val="single" w:sz="8" w:space="0" w:color="auto"/>
            </w:tcBorders>
            <w:shd w:val="clear" w:color="auto" w:fill="auto"/>
            <w:vAlign w:val="center"/>
            <w:hideMark/>
          </w:tcPr>
          <w:p w14:paraId="5D238A13"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BOR.C075</w:t>
            </w:r>
          </w:p>
        </w:tc>
        <w:tc>
          <w:tcPr>
            <w:tcW w:w="1820" w:type="dxa"/>
            <w:tcBorders>
              <w:top w:val="nil"/>
              <w:left w:val="nil"/>
              <w:bottom w:val="nil"/>
              <w:right w:val="single" w:sz="8" w:space="0" w:color="auto"/>
            </w:tcBorders>
            <w:shd w:val="clear" w:color="auto" w:fill="auto"/>
            <w:vAlign w:val="center"/>
            <w:hideMark/>
          </w:tcPr>
          <w:p w14:paraId="3774E5D3"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BOR.D075</w:t>
            </w:r>
          </w:p>
        </w:tc>
        <w:tc>
          <w:tcPr>
            <w:tcW w:w="1920" w:type="dxa"/>
            <w:tcBorders>
              <w:top w:val="nil"/>
              <w:left w:val="nil"/>
              <w:bottom w:val="nil"/>
              <w:right w:val="single" w:sz="8" w:space="0" w:color="auto"/>
            </w:tcBorders>
            <w:shd w:val="clear" w:color="auto" w:fill="auto"/>
            <w:vAlign w:val="center"/>
            <w:hideMark/>
          </w:tcPr>
          <w:p w14:paraId="1AA1B136"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BOR.E075</w:t>
            </w:r>
          </w:p>
        </w:tc>
        <w:tc>
          <w:tcPr>
            <w:tcW w:w="1780" w:type="dxa"/>
            <w:tcBorders>
              <w:top w:val="nil"/>
              <w:left w:val="nil"/>
              <w:bottom w:val="nil"/>
              <w:right w:val="single" w:sz="8" w:space="0" w:color="auto"/>
            </w:tcBorders>
            <w:shd w:val="clear" w:color="auto" w:fill="auto"/>
            <w:vAlign w:val="center"/>
            <w:hideMark/>
          </w:tcPr>
          <w:p w14:paraId="48182B20"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BOR.F075</w:t>
            </w:r>
          </w:p>
        </w:tc>
      </w:tr>
      <w:tr w:rsidR="002F1E8D" w:rsidRPr="002F1E8D" w14:paraId="10E721D9" w14:textId="77777777" w:rsidTr="00326F06">
        <w:trPr>
          <w:trHeight w:val="270"/>
        </w:trPr>
        <w:tc>
          <w:tcPr>
            <w:tcW w:w="6100" w:type="dxa"/>
            <w:tcBorders>
              <w:top w:val="nil"/>
              <w:left w:val="single" w:sz="8" w:space="0" w:color="auto"/>
              <w:bottom w:val="nil"/>
              <w:right w:val="nil"/>
            </w:tcBorders>
            <w:shd w:val="clear" w:color="auto" w:fill="auto"/>
            <w:vAlign w:val="center"/>
            <w:hideMark/>
          </w:tcPr>
          <w:p w14:paraId="164E3FF3" w14:textId="77777777" w:rsidR="002F1E8D" w:rsidRPr="002F1E8D" w:rsidRDefault="002F1E8D" w:rsidP="00326F06">
            <w:pPr>
              <w:spacing w:after="0" w:line="240" w:lineRule="auto"/>
              <w:ind w:firstLineChars="100" w:firstLine="180"/>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Contratual</w:t>
            </w:r>
          </w:p>
        </w:tc>
        <w:tc>
          <w:tcPr>
            <w:tcW w:w="2480" w:type="dxa"/>
            <w:tcBorders>
              <w:top w:val="nil"/>
              <w:left w:val="single" w:sz="8" w:space="0" w:color="auto"/>
              <w:bottom w:val="nil"/>
              <w:right w:val="single" w:sz="8" w:space="0" w:color="auto"/>
            </w:tcBorders>
            <w:shd w:val="clear" w:color="auto" w:fill="auto"/>
            <w:vAlign w:val="center"/>
            <w:hideMark/>
          </w:tcPr>
          <w:p w14:paraId="52F80792"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BOR.C076</w:t>
            </w:r>
          </w:p>
        </w:tc>
        <w:tc>
          <w:tcPr>
            <w:tcW w:w="1820" w:type="dxa"/>
            <w:tcBorders>
              <w:top w:val="nil"/>
              <w:left w:val="nil"/>
              <w:bottom w:val="nil"/>
              <w:right w:val="single" w:sz="8" w:space="0" w:color="auto"/>
            </w:tcBorders>
            <w:shd w:val="clear" w:color="auto" w:fill="auto"/>
            <w:vAlign w:val="center"/>
            <w:hideMark/>
          </w:tcPr>
          <w:p w14:paraId="10475205"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BOR.D076</w:t>
            </w:r>
          </w:p>
        </w:tc>
        <w:tc>
          <w:tcPr>
            <w:tcW w:w="1920" w:type="dxa"/>
            <w:tcBorders>
              <w:top w:val="nil"/>
              <w:left w:val="nil"/>
              <w:bottom w:val="nil"/>
              <w:right w:val="single" w:sz="8" w:space="0" w:color="auto"/>
            </w:tcBorders>
            <w:shd w:val="clear" w:color="auto" w:fill="auto"/>
            <w:vAlign w:val="center"/>
            <w:hideMark/>
          </w:tcPr>
          <w:p w14:paraId="1B224576"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BOR.E076</w:t>
            </w:r>
          </w:p>
        </w:tc>
        <w:tc>
          <w:tcPr>
            <w:tcW w:w="1780" w:type="dxa"/>
            <w:tcBorders>
              <w:top w:val="nil"/>
              <w:left w:val="nil"/>
              <w:bottom w:val="nil"/>
              <w:right w:val="single" w:sz="8" w:space="0" w:color="auto"/>
            </w:tcBorders>
            <w:shd w:val="clear" w:color="auto" w:fill="auto"/>
            <w:vAlign w:val="center"/>
            <w:hideMark/>
          </w:tcPr>
          <w:p w14:paraId="0CCF89D3"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BOR.F076</w:t>
            </w:r>
          </w:p>
        </w:tc>
      </w:tr>
      <w:tr w:rsidR="002F1E8D" w:rsidRPr="002F1E8D" w14:paraId="25EB708F" w14:textId="77777777" w:rsidTr="00326F06">
        <w:trPr>
          <w:trHeight w:val="270"/>
        </w:trPr>
        <w:tc>
          <w:tcPr>
            <w:tcW w:w="6100" w:type="dxa"/>
            <w:tcBorders>
              <w:top w:val="nil"/>
              <w:left w:val="single" w:sz="8" w:space="0" w:color="auto"/>
              <w:bottom w:val="nil"/>
              <w:right w:val="nil"/>
            </w:tcBorders>
            <w:shd w:val="clear" w:color="auto" w:fill="auto"/>
            <w:vAlign w:val="center"/>
            <w:hideMark/>
          </w:tcPr>
          <w:p w14:paraId="0E0A2C2B" w14:textId="77777777" w:rsidR="002F1E8D" w:rsidRPr="002F1E8D" w:rsidRDefault="002F1E8D" w:rsidP="00326F06">
            <w:pPr>
              <w:spacing w:after="0" w:line="240" w:lineRule="auto"/>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Operações de Crédito Externas</w:t>
            </w:r>
          </w:p>
        </w:tc>
        <w:tc>
          <w:tcPr>
            <w:tcW w:w="2480" w:type="dxa"/>
            <w:tcBorders>
              <w:top w:val="nil"/>
              <w:left w:val="single" w:sz="8" w:space="0" w:color="auto"/>
              <w:bottom w:val="nil"/>
              <w:right w:val="single" w:sz="8" w:space="0" w:color="auto"/>
            </w:tcBorders>
            <w:shd w:val="clear" w:color="auto" w:fill="auto"/>
            <w:vAlign w:val="center"/>
            <w:hideMark/>
          </w:tcPr>
          <w:p w14:paraId="374D3926" w14:textId="77777777" w:rsidR="002F1E8D" w:rsidRPr="002F1E8D" w:rsidRDefault="002F1E8D" w:rsidP="00326F06">
            <w:pPr>
              <w:spacing w:after="0"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BOR.C077</w:t>
            </w:r>
          </w:p>
        </w:tc>
        <w:tc>
          <w:tcPr>
            <w:tcW w:w="1820" w:type="dxa"/>
            <w:tcBorders>
              <w:top w:val="nil"/>
              <w:left w:val="nil"/>
              <w:bottom w:val="nil"/>
              <w:right w:val="single" w:sz="8" w:space="0" w:color="auto"/>
            </w:tcBorders>
            <w:shd w:val="clear" w:color="auto" w:fill="auto"/>
            <w:vAlign w:val="center"/>
            <w:hideMark/>
          </w:tcPr>
          <w:p w14:paraId="2896443E" w14:textId="77777777" w:rsidR="002F1E8D" w:rsidRPr="002F1E8D" w:rsidRDefault="002F1E8D" w:rsidP="00326F06">
            <w:pPr>
              <w:spacing w:after="0"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BOR.D077</w:t>
            </w:r>
          </w:p>
        </w:tc>
        <w:tc>
          <w:tcPr>
            <w:tcW w:w="1920" w:type="dxa"/>
            <w:tcBorders>
              <w:top w:val="nil"/>
              <w:left w:val="nil"/>
              <w:bottom w:val="nil"/>
              <w:right w:val="single" w:sz="8" w:space="0" w:color="auto"/>
            </w:tcBorders>
            <w:shd w:val="clear" w:color="auto" w:fill="auto"/>
            <w:vAlign w:val="center"/>
            <w:hideMark/>
          </w:tcPr>
          <w:p w14:paraId="27C4C568" w14:textId="77777777" w:rsidR="002F1E8D" w:rsidRPr="002F1E8D" w:rsidRDefault="002F1E8D" w:rsidP="00326F06">
            <w:pPr>
              <w:spacing w:after="0"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BOR.E077</w:t>
            </w:r>
          </w:p>
        </w:tc>
        <w:tc>
          <w:tcPr>
            <w:tcW w:w="1780" w:type="dxa"/>
            <w:tcBorders>
              <w:top w:val="nil"/>
              <w:left w:val="nil"/>
              <w:bottom w:val="nil"/>
              <w:right w:val="single" w:sz="8" w:space="0" w:color="auto"/>
            </w:tcBorders>
            <w:shd w:val="clear" w:color="auto" w:fill="auto"/>
            <w:vAlign w:val="center"/>
            <w:hideMark/>
          </w:tcPr>
          <w:p w14:paraId="42D5FA2D" w14:textId="77777777" w:rsidR="002F1E8D" w:rsidRPr="002F1E8D" w:rsidRDefault="002F1E8D" w:rsidP="00326F06">
            <w:pPr>
              <w:spacing w:after="0"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BOR.F077</w:t>
            </w:r>
          </w:p>
        </w:tc>
      </w:tr>
      <w:tr w:rsidR="002F1E8D" w:rsidRPr="002F1E8D" w14:paraId="6EEB340F" w14:textId="77777777" w:rsidTr="00326F06">
        <w:trPr>
          <w:trHeight w:val="270"/>
        </w:trPr>
        <w:tc>
          <w:tcPr>
            <w:tcW w:w="6100" w:type="dxa"/>
            <w:tcBorders>
              <w:top w:val="nil"/>
              <w:left w:val="single" w:sz="8" w:space="0" w:color="auto"/>
              <w:bottom w:val="nil"/>
              <w:right w:val="nil"/>
            </w:tcBorders>
            <w:shd w:val="clear" w:color="auto" w:fill="auto"/>
            <w:vAlign w:val="center"/>
            <w:hideMark/>
          </w:tcPr>
          <w:p w14:paraId="5449DA1E" w14:textId="77777777" w:rsidR="002F1E8D" w:rsidRPr="002F1E8D" w:rsidRDefault="002F1E8D" w:rsidP="00326F06">
            <w:pPr>
              <w:spacing w:after="0" w:line="240" w:lineRule="auto"/>
              <w:ind w:firstLineChars="100" w:firstLine="180"/>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Mobiliária</w:t>
            </w:r>
          </w:p>
        </w:tc>
        <w:tc>
          <w:tcPr>
            <w:tcW w:w="2480" w:type="dxa"/>
            <w:tcBorders>
              <w:top w:val="nil"/>
              <w:left w:val="single" w:sz="8" w:space="0" w:color="auto"/>
              <w:bottom w:val="nil"/>
              <w:right w:val="single" w:sz="8" w:space="0" w:color="auto"/>
            </w:tcBorders>
            <w:shd w:val="clear" w:color="auto" w:fill="auto"/>
            <w:vAlign w:val="center"/>
            <w:hideMark/>
          </w:tcPr>
          <w:p w14:paraId="30418545"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BOR.C078</w:t>
            </w:r>
          </w:p>
        </w:tc>
        <w:tc>
          <w:tcPr>
            <w:tcW w:w="1820" w:type="dxa"/>
            <w:tcBorders>
              <w:top w:val="nil"/>
              <w:left w:val="nil"/>
              <w:bottom w:val="nil"/>
              <w:right w:val="single" w:sz="8" w:space="0" w:color="auto"/>
            </w:tcBorders>
            <w:shd w:val="clear" w:color="auto" w:fill="auto"/>
            <w:vAlign w:val="center"/>
            <w:hideMark/>
          </w:tcPr>
          <w:p w14:paraId="5CA26FC5"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BOR.D078</w:t>
            </w:r>
          </w:p>
        </w:tc>
        <w:tc>
          <w:tcPr>
            <w:tcW w:w="1920" w:type="dxa"/>
            <w:tcBorders>
              <w:top w:val="nil"/>
              <w:left w:val="nil"/>
              <w:bottom w:val="nil"/>
              <w:right w:val="single" w:sz="8" w:space="0" w:color="auto"/>
            </w:tcBorders>
            <w:shd w:val="clear" w:color="auto" w:fill="auto"/>
            <w:vAlign w:val="center"/>
            <w:hideMark/>
          </w:tcPr>
          <w:p w14:paraId="5EA6D240"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BOR.E078</w:t>
            </w:r>
          </w:p>
        </w:tc>
        <w:tc>
          <w:tcPr>
            <w:tcW w:w="1780" w:type="dxa"/>
            <w:tcBorders>
              <w:top w:val="nil"/>
              <w:left w:val="nil"/>
              <w:bottom w:val="nil"/>
              <w:right w:val="single" w:sz="8" w:space="0" w:color="auto"/>
            </w:tcBorders>
            <w:shd w:val="clear" w:color="auto" w:fill="auto"/>
            <w:vAlign w:val="center"/>
            <w:hideMark/>
          </w:tcPr>
          <w:p w14:paraId="40DCBA7D"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BOR.F078</w:t>
            </w:r>
          </w:p>
        </w:tc>
      </w:tr>
      <w:tr w:rsidR="002F1E8D" w:rsidRPr="002F1E8D" w14:paraId="326B0F47" w14:textId="77777777" w:rsidTr="00326F06">
        <w:trPr>
          <w:trHeight w:val="285"/>
        </w:trPr>
        <w:tc>
          <w:tcPr>
            <w:tcW w:w="6100" w:type="dxa"/>
            <w:tcBorders>
              <w:top w:val="nil"/>
              <w:left w:val="single" w:sz="8" w:space="0" w:color="auto"/>
              <w:bottom w:val="nil"/>
              <w:right w:val="nil"/>
            </w:tcBorders>
            <w:shd w:val="clear" w:color="auto" w:fill="auto"/>
            <w:vAlign w:val="center"/>
            <w:hideMark/>
          </w:tcPr>
          <w:p w14:paraId="50391DCE" w14:textId="77777777" w:rsidR="002F1E8D" w:rsidRPr="002F1E8D" w:rsidRDefault="002F1E8D" w:rsidP="00326F06">
            <w:pPr>
              <w:spacing w:after="0" w:line="240" w:lineRule="auto"/>
              <w:ind w:firstLineChars="100" w:firstLine="180"/>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Contratual</w:t>
            </w:r>
          </w:p>
        </w:tc>
        <w:tc>
          <w:tcPr>
            <w:tcW w:w="2480" w:type="dxa"/>
            <w:tcBorders>
              <w:top w:val="nil"/>
              <w:left w:val="single" w:sz="8" w:space="0" w:color="auto"/>
              <w:bottom w:val="nil"/>
              <w:right w:val="single" w:sz="8" w:space="0" w:color="auto"/>
            </w:tcBorders>
            <w:shd w:val="clear" w:color="auto" w:fill="auto"/>
            <w:vAlign w:val="center"/>
            <w:hideMark/>
          </w:tcPr>
          <w:p w14:paraId="3A395981"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BOR.C079</w:t>
            </w:r>
          </w:p>
        </w:tc>
        <w:tc>
          <w:tcPr>
            <w:tcW w:w="1820" w:type="dxa"/>
            <w:tcBorders>
              <w:top w:val="nil"/>
              <w:left w:val="nil"/>
              <w:bottom w:val="nil"/>
              <w:right w:val="single" w:sz="8" w:space="0" w:color="auto"/>
            </w:tcBorders>
            <w:shd w:val="clear" w:color="auto" w:fill="auto"/>
            <w:vAlign w:val="center"/>
            <w:hideMark/>
          </w:tcPr>
          <w:p w14:paraId="452B7265"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BOR.D079</w:t>
            </w:r>
          </w:p>
        </w:tc>
        <w:tc>
          <w:tcPr>
            <w:tcW w:w="1920" w:type="dxa"/>
            <w:tcBorders>
              <w:top w:val="nil"/>
              <w:left w:val="nil"/>
              <w:bottom w:val="nil"/>
              <w:right w:val="single" w:sz="8" w:space="0" w:color="auto"/>
            </w:tcBorders>
            <w:shd w:val="clear" w:color="auto" w:fill="auto"/>
            <w:vAlign w:val="center"/>
            <w:hideMark/>
          </w:tcPr>
          <w:p w14:paraId="2ED05FF0"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BOR.E079</w:t>
            </w:r>
          </w:p>
        </w:tc>
        <w:tc>
          <w:tcPr>
            <w:tcW w:w="1780" w:type="dxa"/>
            <w:tcBorders>
              <w:top w:val="nil"/>
              <w:left w:val="nil"/>
              <w:bottom w:val="nil"/>
              <w:right w:val="single" w:sz="8" w:space="0" w:color="auto"/>
            </w:tcBorders>
            <w:shd w:val="clear" w:color="auto" w:fill="auto"/>
            <w:vAlign w:val="center"/>
            <w:hideMark/>
          </w:tcPr>
          <w:p w14:paraId="0AFD4C76"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BOR.F079</w:t>
            </w:r>
          </w:p>
        </w:tc>
      </w:tr>
      <w:tr w:rsidR="002F1E8D" w:rsidRPr="002F1E8D" w14:paraId="72F701BE" w14:textId="77777777" w:rsidTr="00326F06">
        <w:trPr>
          <w:trHeight w:val="285"/>
        </w:trPr>
        <w:tc>
          <w:tcPr>
            <w:tcW w:w="610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035EA6A" w14:textId="77777777" w:rsidR="002F1E8D" w:rsidRPr="002F1E8D" w:rsidRDefault="002F1E8D" w:rsidP="00326F06">
            <w:pPr>
              <w:spacing w:after="0" w:line="240" w:lineRule="auto"/>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SUBTOTAL COM REFINANCIAMENTO (V) = (III + IV)</w:t>
            </w:r>
          </w:p>
        </w:tc>
        <w:tc>
          <w:tcPr>
            <w:tcW w:w="2480" w:type="dxa"/>
            <w:tcBorders>
              <w:top w:val="single" w:sz="8" w:space="0" w:color="auto"/>
              <w:left w:val="nil"/>
              <w:bottom w:val="nil"/>
              <w:right w:val="single" w:sz="8" w:space="0" w:color="auto"/>
            </w:tcBorders>
            <w:shd w:val="clear" w:color="auto" w:fill="auto"/>
            <w:vAlign w:val="center"/>
            <w:hideMark/>
          </w:tcPr>
          <w:p w14:paraId="3F6EB342" w14:textId="77777777" w:rsidR="002F1E8D" w:rsidRPr="002F1E8D" w:rsidRDefault="002F1E8D" w:rsidP="00326F06">
            <w:pPr>
              <w:spacing w:after="0"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BOR.C080</w:t>
            </w:r>
          </w:p>
        </w:tc>
        <w:tc>
          <w:tcPr>
            <w:tcW w:w="1820" w:type="dxa"/>
            <w:tcBorders>
              <w:top w:val="single" w:sz="8" w:space="0" w:color="auto"/>
              <w:left w:val="nil"/>
              <w:bottom w:val="nil"/>
              <w:right w:val="single" w:sz="8" w:space="0" w:color="auto"/>
            </w:tcBorders>
            <w:shd w:val="clear" w:color="auto" w:fill="auto"/>
            <w:vAlign w:val="center"/>
            <w:hideMark/>
          </w:tcPr>
          <w:p w14:paraId="14DFC126" w14:textId="77777777" w:rsidR="002F1E8D" w:rsidRPr="002F1E8D" w:rsidRDefault="002F1E8D" w:rsidP="00326F06">
            <w:pPr>
              <w:spacing w:after="0"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BOR.D080</w:t>
            </w:r>
          </w:p>
        </w:tc>
        <w:tc>
          <w:tcPr>
            <w:tcW w:w="1920" w:type="dxa"/>
            <w:tcBorders>
              <w:top w:val="single" w:sz="8" w:space="0" w:color="auto"/>
              <w:left w:val="nil"/>
              <w:bottom w:val="nil"/>
              <w:right w:val="single" w:sz="8" w:space="0" w:color="auto"/>
            </w:tcBorders>
            <w:shd w:val="clear" w:color="auto" w:fill="auto"/>
            <w:vAlign w:val="center"/>
            <w:hideMark/>
          </w:tcPr>
          <w:p w14:paraId="67017DEF" w14:textId="77777777" w:rsidR="002F1E8D" w:rsidRPr="002F1E8D" w:rsidRDefault="002F1E8D" w:rsidP="00326F06">
            <w:pPr>
              <w:spacing w:after="0"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BOR.E080</w:t>
            </w:r>
          </w:p>
        </w:tc>
        <w:tc>
          <w:tcPr>
            <w:tcW w:w="1780" w:type="dxa"/>
            <w:tcBorders>
              <w:top w:val="single" w:sz="8" w:space="0" w:color="auto"/>
              <w:left w:val="nil"/>
              <w:bottom w:val="single" w:sz="8" w:space="0" w:color="auto"/>
              <w:right w:val="single" w:sz="8" w:space="0" w:color="auto"/>
            </w:tcBorders>
            <w:shd w:val="clear" w:color="auto" w:fill="auto"/>
            <w:vAlign w:val="center"/>
            <w:hideMark/>
          </w:tcPr>
          <w:p w14:paraId="3F491D54" w14:textId="77777777" w:rsidR="002F1E8D" w:rsidRPr="002F1E8D" w:rsidRDefault="002F1E8D" w:rsidP="00326F06">
            <w:pPr>
              <w:spacing w:after="0"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BOR.F080</w:t>
            </w:r>
          </w:p>
        </w:tc>
      </w:tr>
      <w:tr w:rsidR="002F1E8D" w:rsidRPr="002F1E8D" w14:paraId="08DFDE76" w14:textId="77777777" w:rsidTr="00326F06">
        <w:trPr>
          <w:trHeight w:val="285"/>
        </w:trPr>
        <w:tc>
          <w:tcPr>
            <w:tcW w:w="6100" w:type="dxa"/>
            <w:tcBorders>
              <w:top w:val="nil"/>
              <w:left w:val="single" w:sz="8" w:space="0" w:color="auto"/>
              <w:bottom w:val="single" w:sz="8" w:space="0" w:color="auto"/>
              <w:right w:val="single" w:sz="8" w:space="0" w:color="auto"/>
            </w:tcBorders>
            <w:shd w:val="clear" w:color="auto" w:fill="auto"/>
            <w:vAlign w:val="center"/>
            <w:hideMark/>
          </w:tcPr>
          <w:p w14:paraId="090ADB40" w14:textId="77777777" w:rsidR="002F1E8D" w:rsidRPr="002F1E8D" w:rsidRDefault="002F1E8D" w:rsidP="00326F06">
            <w:pPr>
              <w:spacing w:after="0" w:line="240" w:lineRule="auto"/>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DÉFICIT (VI)</w:t>
            </w:r>
          </w:p>
        </w:tc>
        <w:tc>
          <w:tcPr>
            <w:tcW w:w="2480" w:type="dxa"/>
            <w:tcBorders>
              <w:top w:val="single" w:sz="8" w:space="0" w:color="auto"/>
              <w:left w:val="nil"/>
              <w:bottom w:val="single" w:sz="8" w:space="0" w:color="auto"/>
              <w:right w:val="single" w:sz="8" w:space="0" w:color="auto"/>
            </w:tcBorders>
            <w:shd w:val="clear" w:color="auto" w:fill="808080" w:themeFill="background1" w:themeFillShade="80"/>
            <w:vAlign w:val="center"/>
          </w:tcPr>
          <w:p w14:paraId="0089D83B" w14:textId="77777777" w:rsidR="002F1E8D" w:rsidRPr="002F1E8D" w:rsidRDefault="002F1E8D" w:rsidP="00326F06">
            <w:pPr>
              <w:spacing w:after="0" w:line="240" w:lineRule="auto"/>
              <w:jc w:val="center"/>
              <w:rPr>
                <w:rFonts w:ascii="Arial Narrow" w:eastAsia="Times New Roman" w:hAnsi="Arial Narrow" w:cs="Arial"/>
                <w:b/>
                <w:bCs/>
                <w:sz w:val="18"/>
                <w:szCs w:val="18"/>
                <w:highlight w:val="darkGray"/>
                <w:lang w:eastAsia="pt-BR"/>
              </w:rPr>
            </w:pPr>
          </w:p>
        </w:tc>
        <w:tc>
          <w:tcPr>
            <w:tcW w:w="1820" w:type="dxa"/>
            <w:tcBorders>
              <w:top w:val="single" w:sz="8" w:space="0" w:color="auto"/>
              <w:left w:val="nil"/>
              <w:bottom w:val="single" w:sz="8" w:space="0" w:color="auto"/>
              <w:right w:val="single" w:sz="8" w:space="0" w:color="auto"/>
            </w:tcBorders>
            <w:shd w:val="clear" w:color="auto" w:fill="808080" w:themeFill="background1" w:themeFillShade="80"/>
            <w:vAlign w:val="center"/>
          </w:tcPr>
          <w:p w14:paraId="433908D4" w14:textId="77777777" w:rsidR="002F1E8D" w:rsidRPr="002F1E8D" w:rsidRDefault="002F1E8D" w:rsidP="00326F06">
            <w:pPr>
              <w:spacing w:after="0" w:line="240" w:lineRule="auto"/>
              <w:jc w:val="center"/>
              <w:rPr>
                <w:rFonts w:ascii="Arial Narrow" w:eastAsia="Times New Roman" w:hAnsi="Arial Narrow" w:cs="Arial"/>
                <w:b/>
                <w:bCs/>
                <w:sz w:val="18"/>
                <w:szCs w:val="18"/>
                <w:highlight w:val="darkGray"/>
                <w:lang w:eastAsia="pt-BR"/>
              </w:rPr>
            </w:pPr>
          </w:p>
        </w:tc>
        <w:tc>
          <w:tcPr>
            <w:tcW w:w="1920" w:type="dxa"/>
            <w:tcBorders>
              <w:top w:val="single" w:sz="8" w:space="0" w:color="auto"/>
              <w:left w:val="nil"/>
              <w:bottom w:val="single" w:sz="8" w:space="0" w:color="auto"/>
              <w:right w:val="single" w:sz="8" w:space="0" w:color="auto"/>
            </w:tcBorders>
            <w:shd w:val="clear" w:color="auto" w:fill="auto"/>
            <w:vAlign w:val="center"/>
            <w:hideMark/>
          </w:tcPr>
          <w:p w14:paraId="7E148C19" w14:textId="77777777" w:rsidR="002F1E8D" w:rsidRPr="002F1E8D" w:rsidRDefault="002F1E8D" w:rsidP="00326F06">
            <w:pPr>
              <w:spacing w:after="0"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BOR.E081</w:t>
            </w:r>
          </w:p>
        </w:tc>
        <w:tc>
          <w:tcPr>
            <w:tcW w:w="1780" w:type="dxa"/>
            <w:tcBorders>
              <w:top w:val="nil"/>
              <w:left w:val="nil"/>
              <w:bottom w:val="single" w:sz="8" w:space="0" w:color="auto"/>
              <w:right w:val="single" w:sz="8" w:space="0" w:color="auto"/>
            </w:tcBorders>
            <w:shd w:val="clear" w:color="000000" w:fill="808080"/>
            <w:vAlign w:val="center"/>
            <w:hideMark/>
          </w:tcPr>
          <w:p w14:paraId="754F93A4" w14:textId="77777777" w:rsidR="002F1E8D" w:rsidRPr="002F1E8D" w:rsidRDefault="002F1E8D" w:rsidP="00326F06">
            <w:pPr>
              <w:spacing w:after="0"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 </w:t>
            </w:r>
          </w:p>
        </w:tc>
      </w:tr>
      <w:tr w:rsidR="002F1E8D" w:rsidRPr="002F1E8D" w14:paraId="3B1F8E4D" w14:textId="77777777" w:rsidTr="00326F06">
        <w:trPr>
          <w:trHeight w:val="285"/>
        </w:trPr>
        <w:tc>
          <w:tcPr>
            <w:tcW w:w="6100" w:type="dxa"/>
            <w:tcBorders>
              <w:top w:val="nil"/>
              <w:left w:val="single" w:sz="8" w:space="0" w:color="auto"/>
              <w:bottom w:val="single" w:sz="8" w:space="0" w:color="auto"/>
              <w:right w:val="single" w:sz="8" w:space="0" w:color="auto"/>
            </w:tcBorders>
            <w:shd w:val="clear" w:color="auto" w:fill="auto"/>
            <w:vAlign w:val="center"/>
            <w:hideMark/>
          </w:tcPr>
          <w:p w14:paraId="0F660D4B" w14:textId="77777777" w:rsidR="002F1E8D" w:rsidRPr="002F1E8D" w:rsidRDefault="002F1E8D" w:rsidP="00326F06">
            <w:pPr>
              <w:spacing w:after="0" w:line="240" w:lineRule="auto"/>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TOTAL (VII) = (V + VI)</w:t>
            </w:r>
          </w:p>
        </w:tc>
        <w:tc>
          <w:tcPr>
            <w:tcW w:w="2480" w:type="dxa"/>
            <w:tcBorders>
              <w:top w:val="nil"/>
              <w:left w:val="nil"/>
              <w:bottom w:val="single" w:sz="8" w:space="0" w:color="auto"/>
              <w:right w:val="single" w:sz="8" w:space="0" w:color="auto"/>
            </w:tcBorders>
            <w:shd w:val="clear" w:color="auto" w:fill="auto"/>
            <w:vAlign w:val="center"/>
            <w:hideMark/>
          </w:tcPr>
          <w:p w14:paraId="5918A11B" w14:textId="77777777" w:rsidR="002F1E8D" w:rsidRPr="002F1E8D" w:rsidRDefault="002F1E8D" w:rsidP="00326F06">
            <w:pPr>
              <w:spacing w:after="0"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BOR.C082</w:t>
            </w:r>
          </w:p>
        </w:tc>
        <w:tc>
          <w:tcPr>
            <w:tcW w:w="1820" w:type="dxa"/>
            <w:tcBorders>
              <w:top w:val="nil"/>
              <w:left w:val="nil"/>
              <w:bottom w:val="single" w:sz="8" w:space="0" w:color="auto"/>
              <w:right w:val="single" w:sz="8" w:space="0" w:color="auto"/>
            </w:tcBorders>
            <w:shd w:val="clear" w:color="auto" w:fill="auto"/>
            <w:vAlign w:val="center"/>
            <w:hideMark/>
          </w:tcPr>
          <w:p w14:paraId="20E95EC1" w14:textId="77777777" w:rsidR="002F1E8D" w:rsidRPr="002F1E8D" w:rsidRDefault="002F1E8D" w:rsidP="00326F06">
            <w:pPr>
              <w:spacing w:after="0"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BOR.D082</w:t>
            </w:r>
          </w:p>
        </w:tc>
        <w:tc>
          <w:tcPr>
            <w:tcW w:w="1920" w:type="dxa"/>
            <w:tcBorders>
              <w:top w:val="nil"/>
              <w:left w:val="nil"/>
              <w:bottom w:val="single" w:sz="8" w:space="0" w:color="auto"/>
              <w:right w:val="single" w:sz="8" w:space="0" w:color="auto"/>
            </w:tcBorders>
            <w:shd w:val="clear" w:color="auto" w:fill="auto"/>
            <w:vAlign w:val="center"/>
            <w:hideMark/>
          </w:tcPr>
          <w:p w14:paraId="33E4D2B4" w14:textId="77777777" w:rsidR="002F1E8D" w:rsidRPr="002F1E8D" w:rsidRDefault="002F1E8D" w:rsidP="00326F06">
            <w:pPr>
              <w:spacing w:after="0"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BOR.E082</w:t>
            </w:r>
          </w:p>
        </w:tc>
        <w:tc>
          <w:tcPr>
            <w:tcW w:w="1780" w:type="dxa"/>
            <w:tcBorders>
              <w:top w:val="nil"/>
              <w:left w:val="nil"/>
              <w:bottom w:val="single" w:sz="8" w:space="0" w:color="auto"/>
              <w:right w:val="single" w:sz="8" w:space="0" w:color="auto"/>
            </w:tcBorders>
            <w:shd w:val="clear" w:color="auto" w:fill="auto"/>
            <w:vAlign w:val="center"/>
            <w:hideMark/>
          </w:tcPr>
          <w:p w14:paraId="6C740CE5" w14:textId="77777777" w:rsidR="002F1E8D" w:rsidRPr="002F1E8D" w:rsidRDefault="002F1E8D" w:rsidP="00326F06">
            <w:pPr>
              <w:spacing w:after="0"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 BOR.F082</w:t>
            </w:r>
          </w:p>
        </w:tc>
      </w:tr>
      <w:tr w:rsidR="002F1E8D" w:rsidRPr="002F1E8D" w14:paraId="39A28703" w14:textId="77777777" w:rsidTr="00326F06">
        <w:trPr>
          <w:trHeight w:val="555"/>
        </w:trPr>
        <w:tc>
          <w:tcPr>
            <w:tcW w:w="6100" w:type="dxa"/>
            <w:tcBorders>
              <w:top w:val="nil"/>
              <w:left w:val="single" w:sz="8" w:space="0" w:color="auto"/>
              <w:bottom w:val="nil"/>
              <w:right w:val="single" w:sz="8" w:space="0" w:color="auto"/>
            </w:tcBorders>
            <w:shd w:val="clear" w:color="auto" w:fill="auto"/>
            <w:vAlign w:val="center"/>
            <w:hideMark/>
          </w:tcPr>
          <w:p w14:paraId="44A2E309" w14:textId="77777777" w:rsidR="002F1E8D" w:rsidRPr="002F1E8D" w:rsidRDefault="002F1E8D" w:rsidP="00326F06">
            <w:pPr>
              <w:spacing w:after="0" w:line="240" w:lineRule="auto"/>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SALDOS DE EXERCÍCIOS ANTERIORES</w:t>
            </w:r>
            <w:r w:rsidRPr="002F1E8D">
              <w:rPr>
                <w:rFonts w:ascii="Arial Narrow" w:eastAsia="Times New Roman" w:hAnsi="Arial Narrow" w:cs="Arial"/>
                <w:b/>
                <w:bCs/>
                <w:sz w:val="18"/>
                <w:szCs w:val="18"/>
                <w:lang w:eastAsia="pt-BR"/>
              </w:rPr>
              <w:br/>
              <w:t>(UTILIZADOS PARA CRÉDITOS ADICIONAIS)</w:t>
            </w:r>
          </w:p>
        </w:tc>
        <w:tc>
          <w:tcPr>
            <w:tcW w:w="2480" w:type="dxa"/>
            <w:tcBorders>
              <w:top w:val="nil"/>
              <w:left w:val="nil"/>
              <w:bottom w:val="nil"/>
              <w:right w:val="single" w:sz="8" w:space="0" w:color="auto"/>
            </w:tcBorders>
            <w:shd w:val="clear" w:color="auto" w:fill="auto"/>
            <w:vAlign w:val="center"/>
            <w:hideMark/>
          </w:tcPr>
          <w:p w14:paraId="37EC998D" w14:textId="77777777" w:rsidR="002F1E8D" w:rsidRPr="002F1E8D" w:rsidRDefault="002F1E8D" w:rsidP="00326F06">
            <w:pPr>
              <w:spacing w:after="0"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 BOR.C083</w:t>
            </w:r>
          </w:p>
        </w:tc>
        <w:tc>
          <w:tcPr>
            <w:tcW w:w="1820" w:type="dxa"/>
            <w:tcBorders>
              <w:top w:val="nil"/>
              <w:left w:val="nil"/>
              <w:bottom w:val="nil"/>
              <w:right w:val="single" w:sz="8" w:space="0" w:color="auto"/>
            </w:tcBorders>
            <w:shd w:val="clear" w:color="auto" w:fill="auto"/>
            <w:vAlign w:val="center"/>
            <w:hideMark/>
          </w:tcPr>
          <w:p w14:paraId="0ACB826E" w14:textId="77777777" w:rsidR="002F1E8D" w:rsidRPr="002F1E8D" w:rsidRDefault="002F1E8D" w:rsidP="00326F06">
            <w:pPr>
              <w:spacing w:after="0"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BOR.D083</w:t>
            </w:r>
          </w:p>
        </w:tc>
        <w:tc>
          <w:tcPr>
            <w:tcW w:w="1920" w:type="dxa"/>
            <w:tcBorders>
              <w:top w:val="nil"/>
              <w:left w:val="nil"/>
              <w:bottom w:val="nil"/>
              <w:right w:val="single" w:sz="8" w:space="0" w:color="auto"/>
            </w:tcBorders>
            <w:shd w:val="clear" w:color="auto" w:fill="auto"/>
            <w:vAlign w:val="center"/>
            <w:hideMark/>
          </w:tcPr>
          <w:p w14:paraId="3C575F06" w14:textId="77777777" w:rsidR="002F1E8D" w:rsidRPr="002F1E8D" w:rsidRDefault="002F1E8D" w:rsidP="00326F06">
            <w:pPr>
              <w:spacing w:after="0"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BOR.E083</w:t>
            </w:r>
          </w:p>
        </w:tc>
        <w:tc>
          <w:tcPr>
            <w:tcW w:w="1780" w:type="dxa"/>
            <w:tcBorders>
              <w:top w:val="nil"/>
              <w:left w:val="nil"/>
              <w:bottom w:val="nil"/>
              <w:right w:val="single" w:sz="8" w:space="0" w:color="auto"/>
            </w:tcBorders>
            <w:shd w:val="clear" w:color="000000" w:fill="808080"/>
            <w:vAlign w:val="center"/>
            <w:hideMark/>
          </w:tcPr>
          <w:p w14:paraId="7EE53155" w14:textId="77777777" w:rsidR="002F1E8D" w:rsidRPr="002F1E8D" w:rsidRDefault="002F1E8D" w:rsidP="00326F06">
            <w:pPr>
              <w:spacing w:after="0" w:line="240" w:lineRule="auto"/>
              <w:jc w:val="center"/>
              <w:rPr>
                <w:rFonts w:ascii="Arial Narrow" w:eastAsia="Times New Roman" w:hAnsi="Arial Narrow" w:cs="Arial"/>
                <w:b/>
                <w:bCs/>
                <w:sz w:val="18"/>
                <w:szCs w:val="18"/>
                <w:lang w:eastAsia="pt-BR"/>
              </w:rPr>
            </w:pPr>
            <w:r w:rsidRPr="002F1E8D">
              <w:rPr>
                <w:rFonts w:ascii="Arial Narrow" w:eastAsia="Times New Roman" w:hAnsi="Arial Narrow" w:cs="Arial"/>
                <w:b/>
                <w:bCs/>
                <w:sz w:val="18"/>
                <w:szCs w:val="18"/>
                <w:lang w:eastAsia="pt-BR"/>
              </w:rPr>
              <w:t> </w:t>
            </w:r>
          </w:p>
        </w:tc>
      </w:tr>
      <w:tr w:rsidR="002F1E8D" w:rsidRPr="002F1E8D" w14:paraId="304653C7" w14:textId="77777777" w:rsidTr="00326F06">
        <w:trPr>
          <w:trHeight w:val="270"/>
        </w:trPr>
        <w:tc>
          <w:tcPr>
            <w:tcW w:w="6100" w:type="dxa"/>
            <w:tcBorders>
              <w:top w:val="nil"/>
              <w:left w:val="single" w:sz="8" w:space="0" w:color="auto"/>
              <w:right w:val="single" w:sz="8" w:space="0" w:color="auto"/>
            </w:tcBorders>
            <w:shd w:val="clear" w:color="auto" w:fill="auto"/>
            <w:vAlign w:val="center"/>
          </w:tcPr>
          <w:p w14:paraId="2B223EC1" w14:textId="77777777" w:rsidR="002F1E8D" w:rsidRPr="002F1E8D" w:rsidRDefault="002F1E8D" w:rsidP="00326F06">
            <w:pPr>
              <w:spacing w:after="0" w:line="240" w:lineRule="auto"/>
              <w:ind w:firstLineChars="100" w:firstLine="180"/>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Recursos Arrecadados em Exercícios Anteriores</w:t>
            </w:r>
          </w:p>
        </w:tc>
        <w:tc>
          <w:tcPr>
            <w:tcW w:w="2480" w:type="dxa"/>
            <w:tcBorders>
              <w:top w:val="nil"/>
              <w:left w:val="nil"/>
              <w:right w:val="single" w:sz="8" w:space="0" w:color="auto"/>
            </w:tcBorders>
            <w:shd w:val="clear" w:color="auto" w:fill="auto"/>
            <w:vAlign w:val="center"/>
          </w:tcPr>
          <w:p w14:paraId="5BCE4296"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BOR.C071</w:t>
            </w:r>
          </w:p>
        </w:tc>
        <w:tc>
          <w:tcPr>
            <w:tcW w:w="1820" w:type="dxa"/>
            <w:tcBorders>
              <w:top w:val="nil"/>
              <w:left w:val="nil"/>
              <w:right w:val="single" w:sz="8" w:space="0" w:color="auto"/>
            </w:tcBorders>
            <w:shd w:val="clear" w:color="auto" w:fill="auto"/>
            <w:vAlign w:val="center"/>
          </w:tcPr>
          <w:p w14:paraId="12DD517B"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BOR.D071</w:t>
            </w:r>
          </w:p>
        </w:tc>
        <w:tc>
          <w:tcPr>
            <w:tcW w:w="1920" w:type="dxa"/>
            <w:tcBorders>
              <w:top w:val="nil"/>
              <w:left w:val="nil"/>
              <w:right w:val="single" w:sz="8" w:space="0" w:color="auto"/>
            </w:tcBorders>
            <w:shd w:val="clear" w:color="auto" w:fill="808080" w:themeFill="background1" w:themeFillShade="80"/>
            <w:vAlign w:val="center"/>
          </w:tcPr>
          <w:p w14:paraId="4F8B9F1E"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p>
        </w:tc>
        <w:tc>
          <w:tcPr>
            <w:tcW w:w="1780" w:type="dxa"/>
            <w:tcBorders>
              <w:top w:val="nil"/>
              <w:left w:val="nil"/>
              <w:right w:val="single" w:sz="8" w:space="0" w:color="auto"/>
            </w:tcBorders>
            <w:shd w:val="clear" w:color="000000" w:fill="808080"/>
            <w:vAlign w:val="center"/>
          </w:tcPr>
          <w:p w14:paraId="3A642E05"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p>
        </w:tc>
      </w:tr>
      <w:tr w:rsidR="002F1E8D" w:rsidRPr="002F1E8D" w14:paraId="372C57E4" w14:textId="77777777" w:rsidTr="00326F06">
        <w:trPr>
          <w:trHeight w:val="270"/>
        </w:trPr>
        <w:tc>
          <w:tcPr>
            <w:tcW w:w="6100" w:type="dxa"/>
            <w:tcBorders>
              <w:top w:val="nil"/>
              <w:left w:val="single" w:sz="8" w:space="0" w:color="auto"/>
              <w:right w:val="single" w:sz="8" w:space="0" w:color="auto"/>
            </w:tcBorders>
            <w:shd w:val="clear" w:color="auto" w:fill="auto"/>
            <w:vAlign w:val="center"/>
            <w:hideMark/>
          </w:tcPr>
          <w:p w14:paraId="1508CA98" w14:textId="77777777" w:rsidR="002F1E8D" w:rsidRPr="002F1E8D" w:rsidRDefault="002F1E8D" w:rsidP="00326F06">
            <w:pPr>
              <w:spacing w:after="0" w:line="240" w:lineRule="auto"/>
              <w:ind w:firstLineChars="100" w:firstLine="180"/>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Superávit Financeiro</w:t>
            </w:r>
          </w:p>
        </w:tc>
        <w:tc>
          <w:tcPr>
            <w:tcW w:w="2480" w:type="dxa"/>
            <w:tcBorders>
              <w:top w:val="nil"/>
              <w:left w:val="nil"/>
              <w:right w:val="single" w:sz="8" w:space="0" w:color="auto"/>
            </w:tcBorders>
            <w:shd w:val="clear" w:color="000000" w:fill="808080"/>
            <w:vAlign w:val="center"/>
            <w:hideMark/>
          </w:tcPr>
          <w:p w14:paraId="0D50DFC5"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 </w:t>
            </w:r>
          </w:p>
        </w:tc>
        <w:tc>
          <w:tcPr>
            <w:tcW w:w="1820" w:type="dxa"/>
            <w:tcBorders>
              <w:top w:val="nil"/>
              <w:left w:val="nil"/>
              <w:right w:val="single" w:sz="8" w:space="0" w:color="auto"/>
            </w:tcBorders>
            <w:shd w:val="clear" w:color="auto" w:fill="auto"/>
            <w:vAlign w:val="center"/>
            <w:hideMark/>
          </w:tcPr>
          <w:p w14:paraId="72A54508"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BOR.D084</w:t>
            </w:r>
          </w:p>
        </w:tc>
        <w:tc>
          <w:tcPr>
            <w:tcW w:w="1920" w:type="dxa"/>
            <w:tcBorders>
              <w:top w:val="nil"/>
              <w:left w:val="nil"/>
              <w:right w:val="single" w:sz="8" w:space="0" w:color="auto"/>
            </w:tcBorders>
            <w:shd w:val="clear" w:color="auto" w:fill="auto"/>
            <w:vAlign w:val="center"/>
            <w:hideMark/>
          </w:tcPr>
          <w:p w14:paraId="49563426"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BOR.E084</w:t>
            </w:r>
          </w:p>
        </w:tc>
        <w:tc>
          <w:tcPr>
            <w:tcW w:w="1780" w:type="dxa"/>
            <w:tcBorders>
              <w:top w:val="nil"/>
              <w:left w:val="nil"/>
              <w:right w:val="single" w:sz="8" w:space="0" w:color="auto"/>
            </w:tcBorders>
            <w:shd w:val="clear" w:color="000000" w:fill="808080"/>
            <w:vAlign w:val="center"/>
            <w:hideMark/>
          </w:tcPr>
          <w:p w14:paraId="0B1B738B"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 </w:t>
            </w:r>
          </w:p>
        </w:tc>
      </w:tr>
      <w:tr w:rsidR="002F1E8D" w:rsidRPr="002F1E8D" w14:paraId="395360F1" w14:textId="77777777" w:rsidTr="00326F06">
        <w:trPr>
          <w:trHeight w:val="285"/>
        </w:trPr>
        <w:tc>
          <w:tcPr>
            <w:tcW w:w="6100" w:type="dxa"/>
            <w:tcBorders>
              <w:top w:val="nil"/>
              <w:left w:val="single" w:sz="8" w:space="0" w:color="auto"/>
              <w:bottom w:val="single" w:sz="8" w:space="0" w:color="auto"/>
              <w:right w:val="single" w:sz="8" w:space="0" w:color="auto"/>
            </w:tcBorders>
            <w:shd w:val="clear" w:color="auto" w:fill="auto"/>
            <w:vAlign w:val="center"/>
            <w:hideMark/>
          </w:tcPr>
          <w:p w14:paraId="3B3488BD" w14:textId="77777777" w:rsidR="002F1E8D" w:rsidRPr="002F1E8D" w:rsidRDefault="002F1E8D" w:rsidP="00326F06">
            <w:pPr>
              <w:spacing w:after="0" w:line="240" w:lineRule="auto"/>
              <w:ind w:firstLineChars="100" w:firstLine="180"/>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Reabertura de créditos adicionais</w:t>
            </w:r>
          </w:p>
        </w:tc>
        <w:tc>
          <w:tcPr>
            <w:tcW w:w="2480" w:type="dxa"/>
            <w:tcBorders>
              <w:top w:val="nil"/>
              <w:left w:val="nil"/>
              <w:bottom w:val="single" w:sz="8" w:space="0" w:color="auto"/>
              <w:right w:val="single" w:sz="8" w:space="0" w:color="auto"/>
            </w:tcBorders>
            <w:shd w:val="clear" w:color="000000" w:fill="808080"/>
            <w:vAlign w:val="center"/>
            <w:hideMark/>
          </w:tcPr>
          <w:p w14:paraId="696E9C5D"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 </w:t>
            </w:r>
          </w:p>
        </w:tc>
        <w:tc>
          <w:tcPr>
            <w:tcW w:w="1820" w:type="dxa"/>
            <w:tcBorders>
              <w:top w:val="nil"/>
              <w:left w:val="nil"/>
              <w:bottom w:val="single" w:sz="8" w:space="0" w:color="auto"/>
              <w:right w:val="single" w:sz="8" w:space="0" w:color="auto"/>
            </w:tcBorders>
            <w:shd w:val="clear" w:color="auto" w:fill="auto"/>
            <w:vAlign w:val="center"/>
            <w:hideMark/>
          </w:tcPr>
          <w:p w14:paraId="53719697"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BOR.D085</w:t>
            </w:r>
          </w:p>
        </w:tc>
        <w:tc>
          <w:tcPr>
            <w:tcW w:w="1920" w:type="dxa"/>
            <w:tcBorders>
              <w:top w:val="nil"/>
              <w:left w:val="nil"/>
              <w:bottom w:val="single" w:sz="8" w:space="0" w:color="auto"/>
              <w:right w:val="single" w:sz="8" w:space="0" w:color="auto"/>
            </w:tcBorders>
            <w:shd w:val="clear" w:color="auto" w:fill="auto"/>
            <w:vAlign w:val="center"/>
            <w:hideMark/>
          </w:tcPr>
          <w:p w14:paraId="47AB13E5"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BOR.E085</w:t>
            </w:r>
          </w:p>
        </w:tc>
        <w:tc>
          <w:tcPr>
            <w:tcW w:w="1780" w:type="dxa"/>
            <w:tcBorders>
              <w:top w:val="nil"/>
              <w:left w:val="nil"/>
              <w:bottom w:val="single" w:sz="8" w:space="0" w:color="auto"/>
              <w:right w:val="single" w:sz="8" w:space="0" w:color="auto"/>
            </w:tcBorders>
            <w:shd w:val="clear" w:color="000000" w:fill="808080"/>
            <w:vAlign w:val="center"/>
            <w:hideMark/>
          </w:tcPr>
          <w:p w14:paraId="09270765" w14:textId="77777777" w:rsidR="002F1E8D" w:rsidRPr="002F1E8D" w:rsidRDefault="002F1E8D" w:rsidP="00326F06">
            <w:pPr>
              <w:spacing w:after="0" w:line="240" w:lineRule="auto"/>
              <w:jc w:val="center"/>
              <w:rPr>
                <w:rFonts w:ascii="Arial Narrow" w:eastAsia="Times New Roman" w:hAnsi="Arial Narrow" w:cs="Arial"/>
                <w:sz w:val="18"/>
                <w:szCs w:val="18"/>
                <w:lang w:eastAsia="pt-BR"/>
              </w:rPr>
            </w:pPr>
            <w:r w:rsidRPr="002F1E8D">
              <w:rPr>
                <w:rFonts w:ascii="Arial Narrow" w:eastAsia="Times New Roman" w:hAnsi="Arial Narrow" w:cs="Arial"/>
                <w:sz w:val="18"/>
                <w:szCs w:val="18"/>
                <w:lang w:eastAsia="pt-BR"/>
              </w:rPr>
              <w:t> </w:t>
            </w:r>
          </w:p>
        </w:tc>
      </w:tr>
    </w:tbl>
    <w:p w14:paraId="4EBAE0AE" w14:textId="77777777" w:rsidR="004A7DC5" w:rsidRDefault="004A7DC5" w:rsidP="00F90AA0">
      <w:pPr>
        <w:spacing w:line="240" w:lineRule="auto"/>
        <w:jc w:val="center"/>
        <w:rPr>
          <w:rFonts w:ascii="Arial" w:eastAsia="Times New Roman" w:hAnsi="Arial" w:cs="Arial"/>
          <w:b/>
          <w:bCs/>
          <w:sz w:val="20"/>
          <w:szCs w:val="20"/>
          <w:lang w:eastAsia="pt-BR"/>
        </w:rPr>
      </w:pPr>
      <w:r>
        <w:rPr>
          <w:rFonts w:ascii="Arial" w:eastAsia="Times New Roman" w:hAnsi="Arial" w:cs="Arial"/>
          <w:b/>
          <w:bCs/>
          <w:sz w:val="20"/>
          <w:szCs w:val="20"/>
          <w:lang w:eastAsia="pt-BR"/>
        </w:rPr>
        <w:br w:type="page"/>
      </w:r>
    </w:p>
    <w:p w14:paraId="724A58F6" w14:textId="77777777" w:rsidR="00A81D7F" w:rsidRPr="00F90AA0" w:rsidRDefault="00A81D7F" w:rsidP="00A81D7F">
      <w:pPr>
        <w:spacing w:line="240" w:lineRule="auto"/>
        <w:jc w:val="center"/>
        <w:rPr>
          <w:rFonts w:ascii="Arial" w:eastAsia="Times New Roman" w:hAnsi="Arial" w:cs="Arial"/>
          <w:b/>
          <w:bCs/>
          <w:sz w:val="20"/>
          <w:szCs w:val="20"/>
          <w:lang w:eastAsia="pt-BR"/>
        </w:rPr>
      </w:pPr>
      <w:r w:rsidRPr="00F90AA0">
        <w:rPr>
          <w:rFonts w:ascii="Arial" w:eastAsia="Times New Roman" w:hAnsi="Arial" w:cs="Arial"/>
          <w:b/>
          <w:bCs/>
          <w:sz w:val="20"/>
          <w:szCs w:val="20"/>
          <w:lang w:eastAsia="pt-BR"/>
        </w:rPr>
        <w:lastRenderedPageBreak/>
        <w:t>DESPESA</w:t>
      </w:r>
    </w:p>
    <w:tbl>
      <w:tblPr>
        <w:tblW w:w="13906" w:type="dxa"/>
        <w:tblInd w:w="55" w:type="dxa"/>
        <w:tblCellMar>
          <w:left w:w="70" w:type="dxa"/>
          <w:right w:w="70" w:type="dxa"/>
        </w:tblCellMar>
        <w:tblLook w:val="04A0" w:firstRow="1" w:lastRow="0" w:firstColumn="1" w:lastColumn="0" w:noHBand="0" w:noVBand="1"/>
      </w:tblPr>
      <w:tblGrid>
        <w:gridCol w:w="2709"/>
        <w:gridCol w:w="1842"/>
        <w:gridCol w:w="1984"/>
        <w:gridCol w:w="1843"/>
        <w:gridCol w:w="1984"/>
        <w:gridCol w:w="1701"/>
        <w:gridCol w:w="1843"/>
      </w:tblGrid>
      <w:tr w:rsidR="00A81D7F" w:rsidRPr="00D2722A" w14:paraId="7914AB9B" w14:textId="77777777" w:rsidTr="00326F06">
        <w:trPr>
          <w:trHeight w:val="270"/>
        </w:trPr>
        <w:tc>
          <w:tcPr>
            <w:tcW w:w="2709" w:type="dxa"/>
            <w:vMerge w:val="restart"/>
            <w:tcBorders>
              <w:top w:val="single" w:sz="6" w:space="0" w:color="auto"/>
              <w:left w:val="single" w:sz="8" w:space="0" w:color="auto"/>
              <w:bottom w:val="single" w:sz="8" w:space="0" w:color="000000"/>
              <w:right w:val="nil"/>
            </w:tcBorders>
            <w:shd w:val="clear" w:color="auto" w:fill="F2F2F2" w:themeFill="background1" w:themeFillShade="F2"/>
            <w:vAlign w:val="center"/>
            <w:hideMark/>
          </w:tcPr>
          <w:p w14:paraId="2943C8D5" w14:textId="77777777" w:rsidR="00A81D7F" w:rsidRPr="00A81D7F" w:rsidRDefault="00A81D7F" w:rsidP="00326F06">
            <w:pPr>
              <w:spacing w:after="0" w:line="240" w:lineRule="auto"/>
              <w:jc w:val="center"/>
              <w:rPr>
                <w:rFonts w:ascii="Arial Narrow" w:eastAsia="Times New Roman" w:hAnsi="Arial Narrow" w:cs="Arial"/>
                <w:b/>
                <w:bCs/>
                <w:sz w:val="18"/>
                <w:szCs w:val="18"/>
                <w:lang w:eastAsia="pt-BR"/>
              </w:rPr>
            </w:pPr>
            <w:r w:rsidRPr="00A81D7F">
              <w:rPr>
                <w:rFonts w:ascii="Arial Narrow" w:eastAsia="Times New Roman" w:hAnsi="Arial Narrow" w:cs="Arial"/>
                <w:b/>
                <w:bCs/>
                <w:sz w:val="18"/>
                <w:szCs w:val="18"/>
                <w:lang w:eastAsia="pt-BR"/>
              </w:rPr>
              <w:t>DESPESAS ORÇAMENTÁRIAS</w:t>
            </w:r>
          </w:p>
        </w:tc>
        <w:tc>
          <w:tcPr>
            <w:tcW w:w="1842" w:type="dxa"/>
            <w:tcBorders>
              <w:top w:val="single" w:sz="6" w:space="0" w:color="auto"/>
              <w:left w:val="single" w:sz="8" w:space="0" w:color="auto"/>
              <w:bottom w:val="nil"/>
              <w:right w:val="single" w:sz="8" w:space="0" w:color="auto"/>
            </w:tcBorders>
            <w:shd w:val="clear" w:color="auto" w:fill="F2F2F2" w:themeFill="background1" w:themeFillShade="F2"/>
            <w:vAlign w:val="center"/>
            <w:hideMark/>
          </w:tcPr>
          <w:p w14:paraId="287C69C6" w14:textId="77777777" w:rsidR="00A81D7F" w:rsidRPr="00A81D7F" w:rsidRDefault="00A81D7F" w:rsidP="00326F06">
            <w:pPr>
              <w:spacing w:after="0" w:line="240" w:lineRule="auto"/>
              <w:jc w:val="center"/>
              <w:rPr>
                <w:rFonts w:ascii="Arial Narrow" w:eastAsia="Times New Roman" w:hAnsi="Arial Narrow" w:cs="Arial"/>
                <w:b/>
                <w:bCs/>
                <w:sz w:val="18"/>
                <w:szCs w:val="18"/>
                <w:lang w:eastAsia="pt-BR"/>
              </w:rPr>
            </w:pPr>
            <w:r w:rsidRPr="00A81D7F">
              <w:rPr>
                <w:rFonts w:ascii="Arial Narrow" w:eastAsia="Times New Roman" w:hAnsi="Arial Narrow" w:cs="Arial"/>
                <w:b/>
                <w:bCs/>
                <w:sz w:val="18"/>
                <w:szCs w:val="18"/>
                <w:lang w:eastAsia="pt-BR"/>
              </w:rPr>
              <w:t>DOTAÇÃO INICIAL</w:t>
            </w:r>
          </w:p>
        </w:tc>
        <w:tc>
          <w:tcPr>
            <w:tcW w:w="1984" w:type="dxa"/>
            <w:tcBorders>
              <w:top w:val="single" w:sz="6" w:space="0" w:color="auto"/>
              <w:left w:val="nil"/>
              <w:bottom w:val="nil"/>
              <w:right w:val="single" w:sz="8" w:space="0" w:color="auto"/>
            </w:tcBorders>
            <w:shd w:val="clear" w:color="auto" w:fill="F2F2F2" w:themeFill="background1" w:themeFillShade="F2"/>
            <w:vAlign w:val="center"/>
            <w:hideMark/>
          </w:tcPr>
          <w:p w14:paraId="47F294F7" w14:textId="77777777" w:rsidR="00A81D7F" w:rsidRPr="00A81D7F" w:rsidRDefault="00A81D7F" w:rsidP="00326F06">
            <w:pPr>
              <w:spacing w:after="0" w:line="240" w:lineRule="auto"/>
              <w:jc w:val="center"/>
              <w:rPr>
                <w:rFonts w:ascii="Arial Narrow" w:eastAsia="Times New Roman" w:hAnsi="Arial Narrow" w:cs="Arial"/>
                <w:b/>
                <w:bCs/>
                <w:sz w:val="18"/>
                <w:szCs w:val="18"/>
                <w:lang w:eastAsia="pt-BR"/>
              </w:rPr>
            </w:pPr>
            <w:r w:rsidRPr="00A81D7F">
              <w:rPr>
                <w:rFonts w:ascii="Arial Narrow" w:eastAsia="Times New Roman" w:hAnsi="Arial Narrow" w:cs="Arial"/>
                <w:b/>
                <w:bCs/>
                <w:sz w:val="18"/>
                <w:szCs w:val="18"/>
                <w:lang w:eastAsia="pt-BR"/>
              </w:rPr>
              <w:t>DOTAÇÃO ATUALIZADA</w:t>
            </w:r>
          </w:p>
        </w:tc>
        <w:tc>
          <w:tcPr>
            <w:tcW w:w="1843" w:type="dxa"/>
            <w:tcBorders>
              <w:top w:val="single" w:sz="6" w:space="0" w:color="auto"/>
              <w:left w:val="nil"/>
              <w:bottom w:val="nil"/>
              <w:right w:val="single" w:sz="8" w:space="0" w:color="auto"/>
            </w:tcBorders>
            <w:shd w:val="clear" w:color="auto" w:fill="F2F2F2" w:themeFill="background1" w:themeFillShade="F2"/>
            <w:vAlign w:val="center"/>
            <w:hideMark/>
          </w:tcPr>
          <w:p w14:paraId="40499EDF" w14:textId="77777777" w:rsidR="00A81D7F" w:rsidRPr="00A81D7F" w:rsidRDefault="00A81D7F" w:rsidP="00326F06">
            <w:pPr>
              <w:spacing w:after="0" w:line="240" w:lineRule="auto"/>
              <w:jc w:val="center"/>
              <w:rPr>
                <w:rFonts w:ascii="Arial Narrow" w:eastAsia="Times New Roman" w:hAnsi="Arial Narrow" w:cs="Arial"/>
                <w:b/>
                <w:bCs/>
                <w:sz w:val="18"/>
                <w:szCs w:val="18"/>
                <w:lang w:eastAsia="pt-BR"/>
              </w:rPr>
            </w:pPr>
            <w:r w:rsidRPr="00A81D7F">
              <w:rPr>
                <w:rFonts w:ascii="Arial Narrow" w:eastAsia="Times New Roman" w:hAnsi="Arial Narrow" w:cs="Arial"/>
                <w:b/>
                <w:bCs/>
                <w:sz w:val="18"/>
                <w:szCs w:val="18"/>
                <w:lang w:eastAsia="pt-BR"/>
              </w:rPr>
              <w:t>DESPESAS EMPENHADAS</w:t>
            </w:r>
          </w:p>
        </w:tc>
        <w:tc>
          <w:tcPr>
            <w:tcW w:w="1984" w:type="dxa"/>
            <w:tcBorders>
              <w:top w:val="single" w:sz="6" w:space="0" w:color="auto"/>
              <w:left w:val="nil"/>
              <w:bottom w:val="nil"/>
              <w:right w:val="single" w:sz="8" w:space="0" w:color="auto"/>
            </w:tcBorders>
            <w:shd w:val="clear" w:color="auto" w:fill="F2F2F2" w:themeFill="background1" w:themeFillShade="F2"/>
            <w:vAlign w:val="center"/>
            <w:hideMark/>
          </w:tcPr>
          <w:p w14:paraId="6360B45D" w14:textId="77777777" w:rsidR="00A81D7F" w:rsidRPr="00A81D7F" w:rsidRDefault="00A81D7F" w:rsidP="00326F06">
            <w:pPr>
              <w:spacing w:after="0" w:line="240" w:lineRule="auto"/>
              <w:jc w:val="center"/>
              <w:rPr>
                <w:rFonts w:ascii="Arial Narrow" w:eastAsia="Times New Roman" w:hAnsi="Arial Narrow" w:cs="Arial"/>
                <w:b/>
                <w:bCs/>
                <w:sz w:val="18"/>
                <w:szCs w:val="18"/>
                <w:lang w:eastAsia="pt-BR"/>
              </w:rPr>
            </w:pPr>
            <w:r w:rsidRPr="00A81D7F">
              <w:rPr>
                <w:rFonts w:ascii="Arial Narrow" w:eastAsia="Times New Roman" w:hAnsi="Arial Narrow" w:cs="Arial"/>
                <w:b/>
                <w:bCs/>
                <w:sz w:val="18"/>
                <w:szCs w:val="18"/>
                <w:lang w:eastAsia="pt-BR"/>
              </w:rPr>
              <w:t>DESPESAS LIQUIDADAS</w:t>
            </w:r>
          </w:p>
        </w:tc>
        <w:tc>
          <w:tcPr>
            <w:tcW w:w="1701" w:type="dxa"/>
            <w:tcBorders>
              <w:top w:val="single" w:sz="6" w:space="0" w:color="auto"/>
              <w:left w:val="nil"/>
              <w:bottom w:val="nil"/>
              <w:right w:val="single" w:sz="8" w:space="0" w:color="auto"/>
            </w:tcBorders>
            <w:shd w:val="clear" w:color="auto" w:fill="F2F2F2" w:themeFill="background1" w:themeFillShade="F2"/>
            <w:vAlign w:val="center"/>
            <w:hideMark/>
          </w:tcPr>
          <w:p w14:paraId="0FF44E72" w14:textId="77777777" w:rsidR="00A81D7F" w:rsidRPr="00A81D7F" w:rsidRDefault="00A81D7F" w:rsidP="00326F06">
            <w:pPr>
              <w:spacing w:after="0" w:line="240" w:lineRule="auto"/>
              <w:jc w:val="center"/>
              <w:rPr>
                <w:rFonts w:ascii="Arial Narrow" w:eastAsia="Times New Roman" w:hAnsi="Arial Narrow" w:cs="Arial"/>
                <w:b/>
                <w:bCs/>
                <w:sz w:val="18"/>
                <w:szCs w:val="18"/>
                <w:lang w:eastAsia="pt-BR"/>
              </w:rPr>
            </w:pPr>
            <w:r w:rsidRPr="00A81D7F">
              <w:rPr>
                <w:rFonts w:ascii="Arial Narrow" w:eastAsia="Times New Roman" w:hAnsi="Arial Narrow" w:cs="Arial"/>
                <w:b/>
                <w:bCs/>
                <w:sz w:val="18"/>
                <w:szCs w:val="18"/>
                <w:lang w:eastAsia="pt-BR"/>
              </w:rPr>
              <w:t xml:space="preserve">DESPESAS PAGAS </w:t>
            </w:r>
          </w:p>
        </w:tc>
        <w:tc>
          <w:tcPr>
            <w:tcW w:w="1843" w:type="dxa"/>
            <w:tcBorders>
              <w:top w:val="single" w:sz="6" w:space="0" w:color="auto"/>
              <w:left w:val="nil"/>
              <w:bottom w:val="nil"/>
              <w:right w:val="single" w:sz="8" w:space="0" w:color="auto"/>
            </w:tcBorders>
            <w:shd w:val="clear" w:color="auto" w:fill="F2F2F2" w:themeFill="background1" w:themeFillShade="F2"/>
            <w:vAlign w:val="center"/>
            <w:hideMark/>
          </w:tcPr>
          <w:p w14:paraId="2A722C27" w14:textId="77777777" w:rsidR="00A81D7F" w:rsidRPr="00A81D7F" w:rsidRDefault="00A81D7F" w:rsidP="00326F06">
            <w:pPr>
              <w:spacing w:after="0" w:line="240" w:lineRule="auto"/>
              <w:jc w:val="center"/>
              <w:rPr>
                <w:rFonts w:ascii="Arial Narrow" w:eastAsia="Times New Roman" w:hAnsi="Arial Narrow" w:cs="Arial"/>
                <w:b/>
                <w:bCs/>
                <w:sz w:val="18"/>
                <w:szCs w:val="18"/>
                <w:lang w:eastAsia="pt-BR"/>
              </w:rPr>
            </w:pPr>
            <w:r w:rsidRPr="00A81D7F">
              <w:rPr>
                <w:rFonts w:ascii="Arial Narrow" w:eastAsia="Times New Roman" w:hAnsi="Arial Narrow" w:cs="Arial"/>
                <w:b/>
                <w:bCs/>
                <w:sz w:val="18"/>
                <w:szCs w:val="18"/>
                <w:lang w:eastAsia="pt-BR"/>
              </w:rPr>
              <w:t>SALDO DA DOTAÇÃO</w:t>
            </w:r>
          </w:p>
        </w:tc>
      </w:tr>
      <w:tr w:rsidR="00A81D7F" w:rsidRPr="00D2722A" w14:paraId="3168FABD" w14:textId="77777777" w:rsidTr="00326F06">
        <w:trPr>
          <w:trHeight w:val="240"/>
        </w:trPr>
        <w:tc>
          <w:tcPr>
            <w:tcW w:w="2709" w:type="dxa"/>
            <w:vMerge/>
            <w:tcBorders>
              <w:top w:val="nil"/>
              <w:left w:val="single" w:sz="8" w:space="0" w:color="auto"/>
              <w:bottom w:val="single" w:sz="8" w:space="0" w:color="000000"/>
              <w:right w:val="nil"/>
            </w:tcBorders>
            <w:shd w:val="clear" w:color="auto" w:fill="F2F2F2" w:themeFill="background1" w:themeFillShade="F2"/>
            <w:vAlign w:val="center"/>
            <w:hideMark/>
          </w:tcPr>
          <w:p w14:paraId="2908588A" w14:textId="77777777" w:rsidR="00A81D7F" w:rsidRPr="00A81D7F" w:rsidRDefault="00A81D7F" w:rsidP="00326F06">
            <w:pPr>
              <w:spacing w:after="0" w:line="240" w:lineRule="auto"/>
              <w:rPr>
                <w:rFonts w:ascii="Arial Narrow" w:eastAsia="Times New Roman" w:hAnsi="Arial Narrow" w:cs="Arial"/>
                <w:b/>
                <w:bCs/>
                <w:sz w:val="18"/>
                <w:szCs w:val="18"/>
                <w:lang w:eastAsia="pt-BR"/>
              </w:rPr>
            </w:pPr>
          </w:p>
        </w:tc>
        <w:tc>
          <w:tcPr>
            <w:tcW w:w="1842" w:type="dxa"/>
            <w:tcBorders>
              <w:top w:val="nil"/>
              <w:left w:val="single" w:sz="8" w:space="0" w:color="auto"/>
              <w:bottom w:val="single" w:sz="8" w:space="0" w:color="auto"/>
              <w:right w:val="single" w:sz="8" w:space="0" w:color="auto"/>
            </w:tcBorders>
            <w:shd w:val="clear" w:color="auto" w:fill="F2F2F2" w:themeFill="background1" w:themeFillShade="F2"/>
            <w:vAlign w:val="center"/>
            <w:hideMark/>
          </w:tcPr>
          <w:p w14:paraId="40396A18" w14:textId="77777777" w:rsidR="00A81D7F" w:rsidRPr="00A81D7F" w:rsidRDefault="00A81D7F" w:rsidP="00326F06">
            <w:pPr>
              <w:spacing w:after="0" w:line="240" w:lineRule="auto"/>
              <w:jc w:val="center"/>
              <w:rPr>
                <w:rFonts w:ascii="Arial Narrow" w:eastAsia="Times New Roman" w:hAnsi="Arial Narrow" w:cs="Arial"/>
                <w:b/>
                <w:bCs/>
                <w:sz w:val="18"/>
                <w:szCs w:val="18"/>
                <w:lang w:eastAsia="pt-BR"/>
              </w:rPr>
            </w:pPr>
            <w:r w:rsidRPr="00A81D7F">
              <w:rPr>
                <w:rFonts w:ascii="Arial Narrow" w:eastAsia="Times New Roman" w:hAnsi="Arial Narrow" w:cs="Arial"/>
                <w:b/>
                <w:bCs/>
                <w:sz w:val="18"/>
                <w:szCs w:val="18"/>
                <w:lang w:eastAsia="pt-BR"/>
              </w:rPr>
              <w:t>(e)</w:t>
            </w:r>
          </w:p>
        </w:tc>
        <w:tc>
          <w:tcPr>
            <w:tcW w:w="1984" w:type="dxa"/>
            <w:tcBorders>
              <w:top w:val="nil"/>
              <w:left w:val="nil"/>
              <w:bottom w:val="single" w:sz="8" w:space="0" w:color="auto"/>
              <w:right w:val="single" w:sz="8" w:space="0" w:color="auto"/>
            </w:tcBorders>
            <w:shd w:val="clear" w:color="auto" w:fill="F2F2F2" w:themeFill="background1" w:themeFillShade="F2"/>
            <w:vAlign w:val="center"/>
            <w:hideMark/>
          </w:tcPr>
          <w:p w14:paraId="75A7EAE4" w14:textId="77777777" w:rsidR="00A81D7F" w:rsidRPr="00A81D7F" w:rsidRDefault="00A81D7F" w:rsidP="00326F06">
            <w:pPr>
              <w:spacing w:after="0" w:line="240" w:lineRule="auto"/>
              <w:jc w:val="center"/>
              <w:rPr>
                <w:rFonts w:ascii="Arial Narrow" w:eastAsia="Times New Roman" w:hAnsi="Arial Narrow" w:cs="Arial"/>
                <w:b/>
                <w:bCs/>
                <w:sz w:val="18"/>
                <w:szCs w:val="18"/>
                <w:lang w:eastAsia="pt-BR"/>
              </w:rPr>
            </w:pPr>
            <w:r w:rsidRPr="00A81D7F">
              <w:rPr>
                <w:rFonts w:ascii="Arial Narrow" w:eastAsia="Times New Roman" w:hAnsi="Arial Narrow" w:cs="Arial"/>
                <w:b/>
                <w:bCs/>
                <w:sz w:val="18"/>
                <w:szCs w:val="18"/>
                <w:lang w:eastAsia="pt-BR"/>
              </w:rPr>
              <w:t>(f)</w:t>
            </w:r>
          </w:p>
        </w:tc>
        <w:tc>
          <w:tcPr>
            <w:tcW w:w="1843" w:type="dxa"/>
            <w:tcBorders>
              <w:top w:val="nil"/>
              <w:left w:val="nil"/>
              <w:bottom w:val="single" w:sz="8" w:space="0" w:color="auto"/>
              <w:right w:val="single" w:sz="8" w:space="0" w:color="auto"/>
            </w:tcBorders>
            <w:shd w:val="clear" w:color="auto" w:fill="F2F2F2" w:themeFill="background1" w:themeFillShade="F2"/>
            <w:vAlign w:val="center"/>
            <w:hideMark/>
          </w:tcPr>
          <w:p w14:paraId="45EB144E" w14:textId="77777777" w:rsidR="00A81D7F" w:rsidRPr="00A81D7F" w:rsidRDefault="00A81D7F" w:rsidP="00326F06">
            <w:pPr>
              <w:spacing w:after="0" w:line="240" w:lineRule="auto"/>
              <w:jc w:val="center"/>
              <w:rPr>
                <w:rFonts w:ascii="Arial Narrow" w:eastAsia="Times New Roman" w:hAnsi="Arial Narrow" w:cs="Arial"/>
                <w:b/>
                <w:bCs/>
                <w:sz w:val="18"/>
                <w:szCs w:val="18"/>
                <w:lang w:eastAsia="pt-BR"/>
              </w:rPr>
            </w:pPr>
            <w:r w:rsidRPr="00A81D7F">
              <w:rPr>
                <w:rFonts w:ascii="Arial Narrow" w:eastAsia="Times New Roman" w:hAnsi="Arial Narrow" w:cs="Arial"/>
                <w:b/>
                <w:bCs/>
                <w:sz w:val="18"/>
                <w:szCs w:val="18"/>
                <w:lang w:eastAsia="pt-BR"/>
              </w:rPr>
              <w:t>(g)</w:t>
            </w:r>
          </w:p>
        </w:tc>
        <w:tc>
          <w:tcPr>
            <w:tcW w:w="1984" w:type="dxa"/>
            <w:tcBorders>
              <w:top w:val="nil"/>
              <w:left w:val="nil"/>
              <w:bottom w:val="single" w:sz="8" w:space="0" w:color="auto"/>
              <w:right w:val="single" w:sz="8" w:space="0" w:color="auto"/>
            </w:tcBorders>
            <w:shd w:val="clear" w:color="auto" w:fill="F2F2F2" w:themeFill="background1" w:themeFillShade="F2"/>
            <w:vAlign w:val="center"/>
            <w:hideMark/>
          </w:tcPr>
          <w:p w14:paraId="6676C854" w14:textId="77777777" w:rsidR="00A81D7F" w:rsidRPr="00A81D7F" w:rsidRDefault="00A81D7F" w:rsidP="00326F06">
            <w:pPr>
              <w:spacing w:after="0" w:line="240" w:lineRule="auto"/>
              <w:jc w:val="center"/>
              <w:rPr>
                <w:rFonts w:ascii="Arial Narrow" w:eastAsia="Times New Roman" w:hAnsi="Arial Narrow" w:cs="Arial"/>
                <w:b/>
                <w:bCs/>
                <w:sz w:val="18"/>
                <w:szCs w:val="18"/>
                <w:lang w:eastAsia="pt-BR"/>
              </w:rPr>
            </w:pPr>
            <w:r w:rsidRPr="00A81D7F">
              <w:rPr>
                <w:rFonts w:ascii="Arial Narrow" w:eastAsia="Times New Roman" w:hAnsi="Arial Narrow" w:cs="Arial"/>
                <w:b/>
                <w:bCs/>
                <w:sz w:val="18"/>
                <w:szCs w:val="18"/>
                <w:lang w:eastAsia="pt-BR"/>
              </w:rPr>
              <w:t>(h)</w:t>
            </w:r>
          </w:p>
        </w:tc>
        <w:tc>
          <w:tcPr>
            <w:tcW w:w="1701" w:type="dxa"/>
            <w:tcBorders>
              <w:top w:val="nil"/>
              <w:left w:val="nil"/>
              <w:bottom w:val="single" w:sz="8" w:space="0" w:color="auto"/>
              <w:right w:val="single" w:sz="8" w:space="0" w:color="auto"/>
            </w:tcBorders>
            <w:shd w:val="clear" w:color="auto" w:fill="F2F2F2" w:themeFill="background1" w:themeFillShade="F2"/>
            <w:vAlign w:val="center"/>
            <w:hideMark/>
          </w:tcPr>
          <w:p w14:paraId="75F0301B" w14:textId="77777777" w:rsidR="00A81D7F" w:rsidRPr="00A81D7F" w:rsidRDefault="00A81D7F" w:rsidP="00326F06">
            <w:pPr>
              <w:spacing w:after="0" w:line="240" w:lineRule="auto"/>
              <w:jc w:val="center"/>
              <w:rPr>
                <w:rFonts w:ascii="Arial Narrow" w:eastAsia="Times New Roman" w:hAnsi="Arial Narrow" w:cs="Arial"/>
                <w:b/>
                <w:bCs/>
                <w:sz w:val="18"/>
                <w:szCs w:val="18"/>
                <w:lang w:eastAsia="pt-BR"/>
              </w:rPr>
            </w:pPr>
            <w:r w:rsidRPr="00A81D7F">
              <w:rPr>
                <w:rFonts w:ascii="Arial Narrow" w:eastAsia="Times New Roman" w:hAnsi="Arial Narrow" w:cs="Arial"/>
                <w:b/>
                <w:bCs/>
                <w:sz w:val="18"/>
                <w:szCs w:val="18"/>
                <w:lang w:eastAsia="pt-BR"/>
              </w:rPr>
              <w:t>(i)</w:t>
            </w:r>
          </w:p>
        </w:tc>
        <w:tc>
          <w:tcPr>
            <w:tcW w:w="1843" w:type="dxa"/>
            <w:tcBorders>
              <w:top w:val="nil"/>
              <w:left w:val="nil"/>
              <w:bottom w:val="single" w:sz="8" w:space="0" w:color="auto"/>
              <w:right w:val="single" w:sz="8" w:space="0" w:color="auto"/>
            </w:tcBorders>
            <w:shd w:val="clear" w:color="auto" w:fill="F2F2F2" w:themeFill="background1" w:themeFillShade="F2"/>
            <w:vAlign w:val="center"/>
            <w:hideMark/>
          </w:tcPr>
          <w:p w14:paraId="1A7263BD" w14:textId="77777777" w:rsidR="00A81D7F" w:rsidRPr="00A81D7F" w:rsidRDefault="00A81D7F" w:rsidP="00326F06">
            <w:pPr>
              <w:spacing w:after="0" w:line="240" w:lineRule="auto"/>
              <w:jc w:val="center"/>
              <w:rPr>
                <w:rFonts w:ascii="Arial Narrow" w:eastAsia="Times New Roman" w:hAnsi="Arial Narrow" w:cs="Arial"/>
                <w:b/>
                <w:bCs/>
                <w:sz w:val="18"/>
                <w:szCs w:val="18"/>
                <w:lang w:eastAsia="pt-BR"/>
              </w:rPr>
            </w:pPr>
            <w:r w:rsidRPr="00A81D7F">
              <w:rPr>
                <w:rFonts w:ascii="Arial Narrow" w:eastAsia="Times New Roman" w:hAnsi="Arial Narrow" w:cs="Arial"/>
                <w:b/>
                <w:bCs/>
                <w:sz w:val="18"/>
                <w:szCs w:val="18"/>
                <w:lang w:eastAsia="pt-BR"/>
              </w:rPr>
              <w:t xml:space="preserve"> (j) = (f - g) </w:t>
            </w:r>
          </w:p>
        </w:tc>
      </w:tr>
      <w:tr w:rsidR="00A81D7F" w:rsidRPr="00D2722A" w14:paraId="4935C5E8" w14:textId="77777777" w:rsidTr="00326F06">
        <w:trPr>
          <w:trHeight w:val="270"/>
        </w:trPr>
        <w:tc>
          <w:tcPr>
            <w:tcW w:w="2709" w:type="dxa"/>
            <w:tcBorders>
              <w:top w:val="nil"/>
              <w:left w:val="single" w:sz="8" w:space="0" w:color="auto"/>
              <w:bottom w:val="nil"/>
              <w:right w:val="single" w:sz="8" w:space="0" w:color="auto"/>
            </w:tcBorders>
            <w:shd w:val="clear" w:color="auto" w:fill="auto"/>
            <w:vAlign w:val="center"/>
            <w:hideMark/>
          </w:tcPr>
          <w:p w14:paraId="2367FD87" w14:textId="77777777" w:rsidR="00A81D7F" w:rsidRPr="00A81D7F" w:rsidRDefault="00A81D7F" w:rsidP="00326F06">
            <w:pPr>
              <w:spacing w:after="0" w:line="240" w:lineRule="auto"/>
              <w:rPr>
                <w:rFonts w:ascii="Arial Narrow" w:eastAsia="Times New Roman" w:hAnsi="Arial Narrow" w:cs="Arial"/>
                <w:b/>
                <w:bCs/>
                <w:sz w:val="18"/>
                <w:szCs w:val="18"/>
                <w:lang w:eastAsia="pt-BR"/>
              </w:rPr>
            </w:pPr>
            <w:r w:rsidRPr="00A81D7F">
              <w:rPr>
                <w:rFonts w:ascii="Arial Narrow" w:eastAsia="Times New Roman" w:hAnsi="Arial Narrow" w:cs="Arial"/>
                <w:b/>
                <w:bCs/>
                <w:sz w:val="18"/>
                <w:szCs w:val="18"/>
                <w:lang w:eastAsia="pt-BR"/>
              </w:rPr>
              <w:t>DESPESAS CORRENTES (VIII)</w:t>
            </w:r>
          </w:p>
        </w:tc>
        <w:tc>
          <w:tcPr>
            <w:tcW w:w="1842" w:type="dxa"/>
            <w:tcBorders>
              <w:top w:val="nil"/>
              <w:left w:val="nil"/>
              <w:bottom w:val="nil"/>
              <w:right w:val="single" w:sz="8" w:space="0" w:color="auto"/>
            </w:tcBorders>
            <w:shd w:val="clear" w:color="auto" w:fill="auto"/>
            <w:vAlign w:val="center"/>
            <w:hideMark/>
          </w:tcPr>
          <w:p w14:paraId="6775E7DA" w14:textId="77777777" w:rsidR="00A81D7F" w:rsidRPr="00A81D7F" w:rsidRDefault="00A81D7F" w:rsidP="00326F06">
            <w:pPr>
              <w:spacing w:after="0" w:line="240" w:lineRule="auto"/>
              <w:jc w:val="center"/>
              <w:rPr>
                <w:rFonts w:ascii="Arial Narrow" w:eastAsia="Times New Roman" w:hAnsi="Arial Narrow" w:cs="Arial"/>
                <w:b/>
                <w:bCs/>
                <w:sz w:val="18"/>
                <w:szCs w:val="18"/>
                <w:lang w:eastAsia="pt-BR"/>
              </w:rPr>
            </w:pPr>
            <w:r w:rsidRPr="00A81D7F">
              <w:rPr>
                <w:rFonts w:ascii="Arial Narrow" w:eastAsia="Times New Roman" w:hAnsi="Arial Narrow" w:cs="Arial"/>
                <w:b/>
                <w:bCs/>
                <w:sz w:val="18"/>
                <w:szCs w:val="18"/>
                <w:lang w:eastAsia="pt-BR"/>
              </w:rPr>
              <w:t>BOD.C010</w:t>
            </w:r>
          </w:p>
        </w:tc>
        <w:tc>
          <w:tcPr>
            <w:tcW w:w="1984" w:type="dxa"/>
            <w:tcBorders>
              <w:top w:val="nil"/>
              <w:left w:val="nil"/>
              <w:bottom w:val="nil"/>
              <w:right w:val="single" w:sz="8" w:space="0" w:color="auto"/>
            </w:tcBorders>
            <w:shd w:val="clear" w:color="auto" w:fill="auto"/>
            <w:vAlign w:val="center"/>
            <w:hideMark/>
          </w:tcPr>
          <w:p w14:paraId="314C7ECC" w14:textId="77777777" w:rsidR="00A81D7F" w:rsidRPr="00A81D7F" w:rsidRDefault="00A81D7F" w:rsidP="00326F06">
            <w:pPr>
              <w:spacing w:after="0" w:line="240" w:lineRule="auto"/>
              <w:jc w:val="center"/>
              <w:rPr>
                <w:rFonts w:ascii="Arial Narrow" w:eastAsia="Times New Roman" w:hAnsi="Arial Narrow" w:cs="Arial"/>
                <w:b/>
                <w:bCs/>
                <w:sz w:val="18"/>
                <w:szCs w:val="18"/>
                <w:lang w:eastAsia="pt-BR"/>
              </w:rPr>
            </w:pPr>
            <w:r w:rsidRPr="00A81D7F">
              <w:rPr>
                <w:rFonts w:ascii="Arial Narrow" w:eastAsia="Times New Roman" w:hAnsi="Arial Narrow" w:cs="Arial"/>
                <w:b/>
                <w:bCs/>
                <w:sz w:val="18"/>
                <w:szCs w:val="18"/>
                <w:lang w:eastAsia="pt-BR"/>
              </w:rPr>
              <w:t>BOD.D010</w:t>
            </w:r>
          </w:p>
        </w:tc>
        <w:tc>
          <w:tcPr>
            <w:tcW w:w="1843" w:type="dxa"/>
            <w:tcBorders>
              <w:top w:val="nil"/>
              <w:left w:val="nil"/>
              <w:bottom w:val="nil"/>
              <w:right w:val="single" w:sz="8" w:space="0" w:color="auto"/>
            </w:tcBorders>
            <w:shd w:val="clear" w:color="auto" w:fill="auto"/>
            <w:vAlign w:val="center"/>
            <w:hideMark/>
          </w:tcPr>
          <w:p w14:paraId="5EA92176" w14:textId="77777777" w:rsidR="00A81D7F" w:rsidRPr="00A81D7F" w:rsidRDefault="00A81D7F" w:rsidP="00326F06">
            <w:pPr>
              <w:spacing w:after="0" w:line="240" w:lineRule="auto"/>
              <w:jc w:val="center"/>
              <w:rPr>
                <w:rFonts w:ascii="Arial Narrow" w:eastAsia="Times New Roman" w:hAnsi="Arial Narrow" w:cs="Arial"/>
                <w:b/>
                <w:bCs/>
                <w:sz w:val="18"/>
                <w:szCs w:val="18"/>
                <w:lang w:eastAsia="pt-BR"/>
              </w:rPr>
            </w:pPr>
            <w:r w:rsidRPr="00A81D7F">
              <w:rPr>
                <w:rFonts w:ascii="Arial Narrow" w:eastAsia="Times New Roman" w:hAnsi="Arial Narrow" w:cs="Arial"/>
                <w:b/>
                <w:bCs/>
                <w:sz w:val="18"/>
                <w:szCs w:val="18"/>
                <w:lang w:eastAsia="pt-BR"/>
              </w:rPr>
              <w:t>BOD.E010</w:t>
            </w:r>
          </w:p>
        </w:tc>
        <w:tc>
          <w:tcPr>
            <w:tcW w:w="1984" w:type="dxa"/>
            <w:tcBorders>
              <w:top w:val="nil"/>
              <w:left w:val="nil"/>
              <w:bottom w:val="nil"/>
              <w:right w:val="single" w:sz="8" w:space="0" w:color="auto"/>
            </w:tcBorders>
            <w:shd w:val="clear" w:color="auto" w:fill="auto"/>
            <w:vAlign w:val="center"/>
            <w:hideMark/>
          </w:tcPr>
          <w:p w14:paraId="1975A567" w14:textId="77777777" w:rsidR="00A81D7F" w:rsidRPr="00A81D7F" w:rsidRDefault="00A81D7F" w:rsidP="00326F06">
            <w:pPr>
              <w:spacing w:after="0" w:line="240" w:lineRule="auto"/>
              <w:jc w:val="center"/>
              <w:rPr>
                <w:rFonts w:ascii="Arial Narrow" w:eastAsia="Times New Roman" w:hAnsi="Arial Narrow" w:cs="Arial"/>
                <w:b/>
                <w:bCs/>
                <w:sz w:val="18"/>
                <w:szCs w:val="18"/>
                <w:lang w:eastAsia="pt-BR"/>
              </w:rPr>
            </w:pPr>
            <w:r w:rsidRPr="00A81D7F">
              <w:rPr>
                <w:rFonts w:ascii="Arial Narrow" w:eastAsia="Times New Roman" w:hAnsi="Arial Narrow" w:cs="Arial"/>
                <w:b/>
                <w:bCs/>
                <w:sz w:val="18"/>
                <w:szCs w:val="18"/>
                <w:lang w:eastAsia="pt-BR"/>
              </w:rPr>
              <w:t>BOD.F010</w:t>
            </w:r>
          </w:p>
        </w:tc>
        <w:tc>
          <w:tcPr>
            <w:tcW w:w="1701" w:type="dxa"/>
            <w:tcBorders>
              <w:top w:val="nil"/>
              <w:left w:val="nil"/>
              <w:bottom w:val="nil"/>
              <w:right w:val="single" w:sz="8" w:space="0" w:color="auto"/>
            </w:tcBorders>
            <w:shd w:val="clear" w:color="auto" w:fill="auto"/>
            <w:vAlign w:val="center"/>
            <w:hideMark/>
          </w:tcPr>
          <w:p w14:paraId="51572BB8" w14:textId="77777777" w:rsidR="00A81D7F" w:rsidRPr="00A81D7F" w:rsidRDefault="00A81D7F" w:rsidP="00326F06">
            <w:pPr>
              <w:spacing w:after="0" w:line="240" w:lineRule="auto"/>
              <w:jc w:val="center"/>
              <w:rPr>
                <w:rFonts w:ascii="Arial Narrow" w:eastAsia="Times New Roman" w:hAnsi="Arial Narrow" w:cs="Arial"/>
                <w:b/>
                <w:bCs/>
                <w:sz w:val="18"/>
                <w:szCs w:val="18"/>
                <w:lang w:eastAsia="pt-BR"/>
              </w:rPr>
            </w:pPr>
            <w:r w:rsidRPr="00A81D7F">
              <w:rPr>
                <w:rFonts w:ascii="Arial Narrow" w:eastAsia="Times New Roman" w:hAnsi="Arial Narrow" w:cs="Arial"/>
                <w:b/>
                <w:bCs/>
                <w:sz w:val="18"/>
                <w:szCs w:val="18"/>
                <w:lang w:eastAsia="pt-BR"/>
              </w:rPr>
              <w:t>BOD.G010</w:t>
            </w:r>
          </w:p>
        </w:tc>
        <w:tc>
          <w:tcPr>
            <w:tcW w:w="1843" w:type="dxa"/>
            <w:tcBorders>
              <w:top w:val="nil"/>
              <w:left w:val="nil"/>
              <w:bottom w:val="nil"/>
              <w:right w:val="single" w:sz="8" w:space="0" w:color="auto"/>
            </w:tcBorders>
            <w:shd w:val="clear" w:color="auto" w:fill="auto"/>
            <w:vAlign w:val="center"/>
            <w:hideMark/>
          </w:tcPr>
          <w:p w14:paraId="183520BE" w14:textId="77777777" w:rsidR="00A81D7F" w:rsidRPr="00A81D7F" w:rsidRDefault="00A81D7F" w:rsidP="00326F06">
            <w:pPr>
              <w:spacing w:after="0" w:line="240" w:lineRule="auto"/>
              <w:jc w:val="center"/>
              <w:rPr>
                <w:rFonts w:ascii="Arial Narrow" w:eastAsia="Times New Roman" w:hAnsi="Arial Narrow" w:cs="Arial"/>
                <w:b/>
                <w:bCs/>
                <w:sz w:val="18"/>
                <w:szCs w:val="18"/>
                <w:lang w:eastAsia="pt-BR"/>
              </w:rPr>
            </w:pPr>
            <w:r w:rsidRPr="00A81D7F">
              <w:rPr>
                <w:rFonts w:ascii="Arial Narrow" w:eastAsia="Times New Roman" w:hAnsi="Arial Narrow" w:cs="Arial"/>
                <w:b/>
                <w:bCs/>
                <w:sz w:val="18"/>
                <w:szCs w:val="18"/>
                <w:lang w:eastAsia="pt-BR"/>
              </w:rPr>
              <w:t>BOD.H010</w:t>
            </w:r>
          </w:p>
        </w:tc>
      </w:tr>
      <w:tr w:rsidR="00A81D7F" w:rsidRPr="00D2722A" w14:paraId="15FD62B8" w14:textId="77777777" w:rsidTr="00326F06">
        <w:trPr>
          <w:trHeight w:val="270"/>
        </w:trPr>
        <w:tc>
          <w:tcPr>
            <w:tcW w:w="2709" w:type="dxa"/>
            <w:tcBorders>
              <w:top w:val="nil"/>
              <w:left w:val="single" w:sz="8" w:space="0" w:color="auto"/>
              <w:bottom w:val="nil"/>
              <w:right w:val="nil"/>
            </w:tcBorders>
            <w:shd w:val="clear" w:color="auto" w:fill="auto"/>
            <w:vAlign w:val="center"/>
            <w:hideMark/>
          </w:tcPr>
          <w:p w14:paraId="2EF6278E" w14:textId="77777777" w:rsidR="00A81D7F" w:rsidRPr="00A81D7F" w:rsidRDefault="00A81D7F" w:rsidP="00326F06">
            <w:pPr>
              <w:spacing w:after="0" w:line="240" w:lineRule="auto"/>
              <w:ind w:firstLineChars="100" w:firstLine="180"/>
              <w:rPr>
                <w:rFonts w:ascii="Arial Narrow" w:eastAsia="Times New Roman" w:hAnsi="Arial Narrow" w:cs="Arial"/>
                <w:sz w:val="18"/>
                <w:szCs w:val="18"/>
                <w:lang w:eastAsia="pt-BR"/>
              </w:rPr>
            </w:pPr>
            <w:r w:rsidRPr="00A81D7F">
              <w:rPr>
                <w:rFonts w:ascii="Arial Narrow" w:eastAsia="Times New Roman" w:hAnsi="Arial Narrow" w:cs="Arial"/>
                <w:sz w:val="18"/>
                <w:szCs w:val="18"/>
                <w:lang w:eastAsia="pt-BR"/>
              </w:rPr>
              <w:t>Pessoal e Encargos Sociais</w:t>
            </w:r>
          </w:p>
        </w:tc>
        <w:tc>
          <w:tcPr>
            <w:tcW w:w="1842" w:type="dxa"/>
            <w:tcBorders>
              <w:top w:val="nil"/>
              <w:left w:val="single" w:sz="8" w:space="0" w:color="auto"/>
              <w:bottom w:val="nil"/>
              <w:right w:val="single" w:sz="8" w:space="0" w:color="auto"/>
            </w:tcBorders>
            <w:shd w:val="clear" w:color="auto" w:fill="auto"/>
            <w:vAlign w:val="center"/>
            <w:hideMark/>
          </w:tcPr>
          <w:p w14:paraId="345836FF" w14:textId="77777777" w:rsidR="00A81D7F" w:rsidRPr="00A81D7F" w:rsidRDefault="00A81D7F" w:rsidP="00326F06">
            <w:pPr>
              <w:spacing w:after="0" w:line="240" w:lineRule="auto"/>
              <w:jc w:val="center"/>
              <w:rPr>
                <w:rFonts w:ascii="Arial Narrow" w:eastAsia="Times New Roman" w:hAnsi="Arial Narrow" w:cs="Arial"/>
                <w:sz w:val="18"/>
                <w:szCs w:val="18"/>
                <w:lang w:eastAsia="pt-BR"/>
              </w:rPr>
            </w:pPr>
            <w:r w:rsidRPr="00A81D7F">
              <w:rPr>
                <w:rFonts w:ascii="Arial Narrow" w:eastAsia="Times New Roman" w:hAnsi="Arial Narrow" w:cs="Arial"/>
                <w:sz w:val="18"/>
                <w:szCs w:val="18"/>
                <w:lang w:eastAsia="pt-BR"/>
              </w:rPr>
              <w:t>BOD.C011</w:t>
            </w:r>
          </w:p>
        </w:tc>
        <w:tc>
          <w:tcPr>
            <w:tcW w:w="1984" w:type="dxa"/>
            <w:tcBorders>
              <w:top w:val="nil"/>
              <w:left w:val="nil"/>
              <w:bottom w:val="nil"/>
              <w:right w:val="single" w:sz="8" w:space="0" w:color="auto"/>
            </w:tcBorders>
            <w:shd w:val="clear" w:color="auto" w:fill="auto"/>
            <w:vAlign w:val="center"/>
            <w:hideMark/>
          </w:tcPr>
          <w:p w14:paraId="3742A842" w14:textId="77777777" w:rsidR="00A81D7F" w:rsidRPr="00A81D7F" w:rsidRDefault="00A81D7F" w:rsidP="00326F06">
            <w:pPr>
              <w:spacing w:after="0" w:line="240" w:lineRule="auto"/>
              <w:jc w:val="center"/>
              <w:rPr>
                <w:rFonts w:ascii="Arial Narrow" w:eastAsia="Times New Roman" w:hAnsi="Arial Narrow" w:cs="Arial"/>
                <w:sz w:val="18"/>
                <w:szCs w:val="18"/>
                <w:lang w:eastAsia="pt-BR"/>
              </w:rPr>
            </w:pPr>
            <w:r w:rsidRPr="00A81D7F">
              <w:rPr>
                <w:rFonts w:ascii="Arial Narrow" w:eastAsia="Times New Roman" w:hAnsi="Arial Narrow" w:cs="Arial"/>
                <w:sz w:val="18"/>
                <w:szCs w:val="18"/>
                <w:lang w:eastAsia="pt-BR"/>
              </w:rPr>
              <w:t>BOD.D011</w:t>
            </w:r>
          </w:p>
        </w:tc>
        <w:tc>
          <w:tcPr>
            <w:tcW w:w="1843" w:type="dxa"/>
            <w:tcBorders>
              <w:top w:val="nil"/>
              <w:left w:val="nil"/>
              <w:bottom w:val="nil"/>
              <w:right w:val="single" w:sz="8" w:space="0" w:color="auto"/>
            </w:tcBorders>
            <w:shd w:val="clear" w:color="auto" w:fill="auto"/>
            <w:vAlign w:val="center"/>
            <w:hideMark/>
          </w:tcPr>
          <w:p w14:paraId="133DBABB" w14:textId="77777777" w:rsidR="00A81D7F" w:rsidRPr="00A81D7F" w:rsidRDefault="00A81D7F" w:rsidP="00326F06">
            <w:pPr>
              <w:spacing w:after="0" w:line="240" w:lineRule="auto"/>
              <w:jc w:val="center"/>
              <w:rPr>
                <w:rFonts w:ascii="Arial Narrow" w:eastAsia="Times New Roman" w:hAnsi="Arial Narrow" w:cs="Arial"/>
                <w:sz w:val="18"/>
                <w:szCs w:val="18"/>
                <w:lang w:eastAsia="pt-BR"/>
              </w:rPr>
            </w:pPr>
            <w:r w:rsidRPr="00A81D7F">
              <w:rPr>
                <w:rFonts w:ascii="Arial Narrow" w:eastAsia="Times New Roman" w:hAnsi="Arial Narrow" w:cs="Arial"/>
                <w:sz w:val="18"/>
                <w:szCs w:val="18"/>
                <w:lang w:eastAsia="pt-BR"/>
              </w:rPr>
              <w:t>BOD.E011</w:t>
            </w:r>
          </w:p>
        </w:tc>
        <w:tc>
          <w:tcPr>
            <w:tcW w:w="1984" w:type="dxa"/>
            <w:tcBorders>
              <w:top w:val="nil"/>
              <w:left w:val="nil"/>
              <w:bottom w:val="nil"/>
              <w:right w:val="single" w:sz="8" w:space="0" w:color="auto"/>
            </w:tcBorders>
            <w:shd w:val="clear" w:color="auto" w:fill="auto"/>
            <w:vAlign w:val="center"/>
            <w:hideMark/>
          </w:tcPr>
          <w:p w14:paraId="423147BD" w14:textId="77777777" w:rsidR="00A81D7F" w:rsidRPr="00A81D7F" w:rsidRDefault="00A81D7F" w:rsidP="00326F06">
            <w:pPr>
              <w:spacing w:after="0" w:line="240" w:lineRule="auto"/>
              <w:jc w:val="center"/>
              <w:rPr>
                <w:rFonts w:ascii="Arial Narrow" w:eastAsia="Times New Roman" w:hAnsi="Arial Narrow" w:cs="Arial"/>
                <w:sz w:val="18"/>
                <w:szCs w:val="18"/>
                <w:lang w:eastAsia="pt-BR"/>
              </w:rPr>
            </w:pPr>
            <w:r w:rsidRPr="00A81D7F">
              <w:rPr>
                <w:rFonts w:ascii="Arial Narrow" w:eastAsia="Times New Roman" w:hAnsi="Arial Narrow" w:cs="Arial"/>
                <w:sz w:val="18"/>
                <w:szCs w:val="18"/>
                <w:lang w:eastAsia="pt-BR"/>
              </w:rPr>
              <w:t>BOD.F011</w:t>
            </w:r>
          </w:p>
        </w:tc>
        <w:tc>
          <w:tcPr>
            <w:tcW w:w="1701" w:type="dxa"/>
            <w:tcBorders>
              <w:top w:val="nil"/>
              <w:left w:val="nil"/>
              <w:bottom w:val="nil"/>
              <w:right w:val="single" w:sz="8" w:space="0" w:color="auto"/>
            </w:tcBorders>
            <w:shd w:val="clear" w:color="auto" w:fill="auto"/>
            <w:vAlign w:val="center"/>
            <w:hideMark/>
          </w:tcPr>
          <w:p w14:paraId="7799F326" w14:textId="77777777" w:rsidR="00A81D7F" w:rsidRPr="00A81D7F" w:rsidRDefault="00A81D7F" w:rsidP="00326F06">
            <w:pPr>
              <w:spacing w:after="0" w:line="240" w:lineRule="auto"/>
              <w:jc w:val="center"/>
              <w:rPr>
                <w:rFonts w:ascii="Arial Narrow" w:eastAsia="Times New Roman" w:hAnsi="Arial Narrow" w:cs="Arial"/>
                <w:sz w:val="18"/>
                <w:szCs w:val="18"/>
                <w:lang w:eastAsia="pt-BR"/>
              </w:rPr>
            </w:pPr>
            <w:r w:rsidRPr="00A81D7F">
              <w:rPr>
                <w:rFonts w:ascii="Arial Narrow" w:eastAsia="Times New Roman" w:hAnsi="Arial Narrow" w:cs="Arial"/>
                <w:sz w:val="18"/>
                <w:szCs w:val="18"/>
                <w:lang w:eastAsia="pt-BR"/>
              </w:rPr>
              <w:t>BOD.G011</w:t>
            </w:r>
          </w:p>
        </w:tc>
        <w:tc>
          <w:tcPr>
            <w:tcW w:w="1843" w:type="dxa"/>
            <w:tcBorders>
              <w:top w:val="nil"/>
              <w:left w:val="nil"/>
              <w:bottom w:val="nil"/>
              <w:right w:val="single" w:sz="8" w:space="0" w:color="auto"/>
            </w:tcBorders>
            <w:shd w:val="clear" w:color="auto" w:fill="auto"/>
            <w:vAlign w:val="center"/>
            <w:hideMark/>
          </w:tcPr>
          <w:p w14:paraId="681202AC" w14:textId="77777777" w:rsidR="00A81D7F" w:rsidRPr="00A81D7F" w:rsidRDefault="00A81D7F" w:rsidP="00326F06">
            <w:pPr>
              <w:spacing w:after="0" w:line="240" w:lineRule="auto"/>
              <w:jc w:val="center"/>
              <w:rPr>
                <w:rFonts w:ascii="Arial Narrow" w:eastAsia="Times New Roman" w:hAnsi="Arial Narrow" w:cs="Arial"/>
                <w:sz w:val="18"/>
                <w:szCs w:val="18"/>
                <w:lang w:eastAsia="pt-BR"/>
              </w:rPr>
            </w:pPr>
            <w:r w:rsidRPr="00A81D7F">
              <w:rPr>
                <w:rFonts w:ascii="Arial Narrow" w:eastAsia="Times New Roman" w:hAnsi="Arial Narrow" w:cs="Arial"/>
                <w:sz w:val="18"/>
                <w:szCs w:val="18"/>
                <w:lang w:eastAsia="pt-BR"/>
              </w:rPr>
              <w:t>BOD.H011</w:t>
            </w:r>
          </w:p>
        </w:tc>
      </w:tr>
      <w:tr w:rsidR="00A81D7F" w:rsidRPr="00D2722A" w14:paraId="266833ED" w14:textId="77777777" w:rsidTr="00326F06">
        <w:trPr>
          <w:trHeight w:val="270"/>
        </w:trPr>
        <w:tc>
          <w:tcPr>
            <w:tcW w:w="2709" w:type="dxa"/>
            <w:tcBorders>
              <w:top w:val="nil"/>
              <w:left w:val="single" w:sz="8" w:space="0" w:color="auto"/>
              <w:bottom w:val="nil"/>
              <w:right w:val="nil"/>
            </w:tcBorders>
            <w:shd w:val="clear" w:color="auto" w:fill="auto"/>
            <w:vAlign w:val="center"/>
            <w:hideMark/>
          </w:tcPr>
          <w:p w14:paraId="34C0E557" w14:textId="77777777" w:rsidR="00A81D7F" w:rsidRPr="00A81D7F" w:rsidRDefault="00A81D7F" w:rsidP="00326F06">
            <w:pPr>
              <w:spacing w:after="0" w:line="240" w:lineRule="auto"/>
              <w:ind w:firstLineChars="100" w:firstLine="180"/>
              <w:rPr>
                <w:rFonts w:ascii="Arial Narrow" w:eastAsia="Times New Roman" w:hAnsi="Arial Narrow" w:cs="Arial"/>
                <w:sz w:val="18"/>
                <w:szCs w:val="18"/>
                <w:lang w:eastAsia="pt-BR"/>
              </w:rPr>
            </w:pPr>
            <w:r w:rsidRPr="00A81D7F">
              <w:rPr>
                <w:rFonts w:ascii="Arial Narrow" w:eastAsia="Times New Roman" w:hAnsi="Arial Narrow" w:cs="Arial"/>
                <w:sz w:val="18"/>
                <w:szCs w:val="18"/>
                <w:lang w:eastAsia="pt-BR"/>
              </w:rPr>
              <w:t>Juros e Encargos da Dívida</w:t>
            </w:r>
          </w:p>
        </w:tc>
        <w:tc>
          <w:tcPr>
            <w:tcW w:w="1842" w:type="dxa"/>
            <w:tcBorders>
              <w:top w:val="nil"/>
              <w:left w:val="single" w:sz="8" w:space="0" w:color="auto"/>
              <w:bottom w:val="nil"/>
              <w:right w:val="single" w:sz="8" w:space="0" w:color="auto"/>
            </w:tcBorders>
            <w:shd w:val="clear" w:color="auto" w:fill="auto"/>
            <w:vAlign w:val="center"/>
            <w:hideMark/>
          </w:tcPr>
          <w:p w14:paraId="672B12CB" w14:textId="77777777" w:rsidR="00A81D7F" w:rsidRPr="00A81D7F" w:rsidRDefault="00A81D7F" w:rsidP="00326F06">
            <w:pPr>
              <w:spacing w:after="0" w:line="240" w:lineRule="auto"/>
              <w:jc w:val="center"/>
              <w:rPr>
                <w:rFonts w:ascii="Arial Narrow" w:eastAsia="Times New Roman" w:hAnsi="Arial Narrow" w:cs="Arial"/>
                <w:sz w:val="18"/>
                <w:szCs w:val="18"/>
                <w:lang w:eastAsia="pt-BR"/>
              </w:rPr>
            </w:pPr>
            <w:r w:rsidRPr="00A81D7F">
              <w:rPr>
                <w:rFonts w:ascii="Arial Narrow" w:eastAsia="Times New Roman" w:hAnsi="Arial Narrow" w:cs="Arial"/>
                <w:sz w:val="18"/>
                <w:szCs w:val="18"/>
                <w:lang w:eastAsia="pt-BR"/>
              </w:rPr>
              <w:t>BOD.C012</w:t>
            </w:r>
          </w:p>
        </w:tc>
        <w:tc>
          <w:tcPr>
            <w:tcW w:w="1984" w:type="dxa"/>
            <w:tcBorders>
              <w:top w:val="nil"/>
              <w:left w:val="nil"/>
              <w:bottom w:val="nil"/>
              <w:right w:val="single" w:sz="8" w:space="0" w:color="auto"/>
            </w:tcBorders>
            <w:shd w:val="clear" w:color="auto" w:fill="auto"/>
            <w:vAlign w:val="center"/>
            <w:hideMark/>
          </w:tcPr>
          <w:p w14:paraId="7A7CEDEE" w14:textId="77777777" w:rsidR="00A81D7F" w:rsidRPr="00A81D7F" w:rsidRDefault="00A81D7F" w:rsidP="00326F06">
            <w:pPr>
              <w:spacing w:after="0" w:line="240" w:lineRule="auto"/>
              <w:jc w:val="center"/>
              <w:rPr>
                <w:rFonts w:ascii="Arial Narrow" w:eastAsia="Times New Roman" w:hAnsi="Arial Narrow" w:cs="Arial"/>
                <w:sz w:val="18"/>
                <w:szCs w:val="18"/>
                <w:lang w:eastAsia="pt-BR"/>
              </w:rPr>
            </w:pPr>
            <w:r w:rsidRPr="00A81D7F">
              <w:rPr>
                <w:rFonts w:ascii="Arial Narrow" w:eastAsia="Times New Roman" w:hAnsi="Arial Narrow" w:cs="Arial"/>
                <w:sz w:val="18"/>
                <w:szCs w:val="18"/>
                <w:lang w:eastAsia="pt-BR"/>
              </w:rPr>
              <w:t>BOD.D012</w:t>
            </w:r>
          </w:p>
        </w:tc>
        <w:tc>
          <w:tcPr>
            <w:tcW w:w="1843" w:type="dxa"/>
            <w:tcBorders>
              <w:top w:val="nil"/>
              <w:left w:val="nil"/>
              <w:bottom w:val="nil"/>
              <w:right w:val="single" w:sz="8" w:space="0" w:color="auto"/>
            </w:tcBorders>
            <w:shd w:val="clear" w:color="auto" w:fill="auto"/>
            <w:vAlign w:val="center"/>
            <w:hideMark/>
          </w:tcPr>
          <w:p w14:paraId="25C0AACA" w14:textId="77777777" w:rsidR="00A81D7F" w:rsidRPr="00A81D7F" w:rsidRDefault="00A81D7F" w:rsidP="00326F06">
            <w:pPr>
              <w:spacing w:after="0" w:line="240" w:lineRule="auto"/>
              <w:jc w:val="center"/>
              <w:rPr>
                <w:rFonts w:ascii="Arial Narrow" w:eastAsia="Times New Roman" w:hAnsi="Arial Narrow" w:cs="Arial"/>
                <w:sz w:val="18"/>
                <w:szCs w:val="18"/>
                <w:lang w:eastAsia="pt-BR"/>
              </w:rPr>
            </w:pPr>
            <w:r w:rsidRPr="00A81D7F">
              <w:rPr>
                <w:rFonts w:ascii="Arial Narrow" w:eastAsia="Times New Roman" w:hAnsi="Arial Narrow" w:cs="Arial"/>
                <w:sz w:val="18"/>
                <w:szCs w:val="18"/>
                <w:lang w:eastAsia="pt-BR"/>
              </w:rPr>
              <w:t>BOD.E012</w:t>
            </w:r>
          </w:p>
        </w:tc>
        <w:tc>
          <w:tcPr>
            <w:tcW w:w="1984" w:type="dxa"/>
            <w:tcBorders>
              <w:top w:val="nil"/>
              <w:left w:val="nil"/>
              <w:bottom w:val="nil"/>
              <w:right w:val="single" w:sz="8" w:space="0" w:color="auto"/>
            </w:tcBorders>
            <w:shd w:val="clear" w:color="auto" w:fill="auto"/>
            <w:vAlign w:val="center"/>
            <w:hideMark/>
          </w:tcPr>
          <w:p w14:paraId="6B64CD70" w14:textId="77777777" w:rsidR="00A81D7F" w:rsidRPr="00A81D7F" w:rsidRDefault="00A81D7F" w:rsidP="00326F06">
            <w:pPr>
              <w:spacing w:after="0" w:line="240" w:lineRule="auto"/>
              <w:jc w:val="center"/>
              <w:rPr>
                <w:rFonts w:ascii="Arial Narrow" w:eastAsia="Times New Roman" w:hAnsi="Arial Narrow" w:cs="Arial"/>
                <w:sz w:val="18"/>
                <w:szCs w:val="18"/>
                <w:lang w:eastAsia="pt-BR"/>
              </w:rPr>
            </w:pPr>
            <w:r w:rsidRPr="00A81D7F">
              <w:rPr>
                <w:rFonts w:ascii="Arial Narrow" w:eastAsia="Times New Roman" w:hAnsi="Arial Narrow" w:cs="Arial"/>
                <w:sz w:val="18"/>
                <w:szCs w:val="18"/>
                <w:lang w:eastAsia="pt-BR"/>
              </w:rPr>
              <w:t>BOD.F012</w:t>
            </w:r>
          </w:p>
        </w:tc>
        <w:tc>
          <w:tcPr>
            <w:tcW w:w="1701" w:type="dxa"/>
            <w:tcBorders>
              <w:top w:val="nil"/>
              <w:left w:val="nil"/>
              <w:bottom w:val="nil"/>
              <w:right w:val="single" w:sz="8" w:space="0" w:color="auto"/>
            </w:tcBorders>
            <w:shd w:val="clear" w:color="auto" w:fill="auto"/>
            <w:vAlign w:val="center"/>
            <w:hideMark/>
          </w:tcPr>
          <w:p w14:paraId="152A3B86" w14:textId="77777777" w:rsidR="00A81D7F" w:rsidRPr="00A81D7F" w:rsidRDefault="00A81D7F" w:rsidP="00326F06">
            <w:pPr>
              <w:spacing w:after="0" w:line="240" w:lineRule="auto"/>
              <w:jc w:val="center"/>
              <w:rPr>
                <w:rFonts w:ascii="Arial Narrow" w:eastAsia="Times New Roman" w:hAnsi="Arial Narrow" w:cs="Arial"/>
                <w:sz w:val="18"/>
                <w:szCs w:val="18"/>
                <w:lang w:eastAsia="pt-BR"/>
              </w:rPr>
            </w:pPr>
            <w:r w:rsidRPr="00A81D7F">
              <w:rPr>
                <w:rFonts w:ascii="Arial Narrow" w:eastAsia="Times New Roman" w:hAnsi="Arial Narrow" w:cs="Arial"/>
                <w:sz w:val="18"/>
                <w:szCs w:val="18"/>
                <w:lang w:eastAsia="pt-BR"/>
              </w:rPr>
              <w:t>BOD.G012</w:t>
            </w:r>
          </w:p>
        </w:tc>
        <w:tc>
          <w:tcPr>
            <w:tcW w:w="1843" w:type="dxa"/>
            <w:tcBorders>
              <w:top w:val="nil"/>
              <w:left w:val="nil"/>
              <w:bottom w:val="nil"/>
              <w:right w:val="single" w:sz="8" w:space="0" w:color="auto"/>
            </w:tcBorders>
            <w:shd w:val="clear" w:color="auto" w:fill="auto"/>
            <w:vAlign w:val="center"/>
            <w:hideMark/>
          </w:tcPr>
          <w:p w14:paraId="103A44A5" w14:textId="77777777" w:rsidR="00A81D7F" w:rsidRPr="00A81D7F" w:rsidRDefault="00A81D7F" w:rsidP="00326F06">
            <w:pPr>
              <w:spacing w:after="0" w:line="240" w:lineRule="auto"/>
              <w:jc w:val="center"/>
              <w:rPr>
                <w:rFonts w:ascii="Arial Narrow" w:eastAsia="Times New Roman" w:hAnsi="Arial Narrow" w:cs="Arial"/>
                <w:sz w:val="18"/>
                <w:szCs w:val="18"/>
                <w:lang w:eastAsia="pt-BR"/>
              </w:rPr>
            </w:pPr>
            <w:r w:rsidRPr="00A81D7F">
              <w:rPr>
                <w:rFonts w:ascii="Arial Narrow" w:eastAsia="Times New Roman" w:hAnsi="Arial Narrow" w:cs="Arial"/>
                <w:sz w:val="18"/>
                <w:szCs w:val="18"/>
                <w:lang w:eastAsia="pt-BR"/>
              </w:rPr>
              <w:t>BOD.H012</w:t>
            </w:r>
          </w:p>
        </w:tc>
      </w:tr>
      <w:tr w:rsidR="00A81D7F" w:rsidRPr="00D2722A" w14:paraId="068EC8C9" w14:textId="77777777" w:rsidTr="00326F06">
        <w:trPr>
          <w:trHeight w:val="270"/>
        </w:trPr>
        <w:tc>
          <w:tcPr>
            <w:tcW w:w="2709" w:type="dxa"/>
            <w:tcBorders>
              <w:top w:val="nil"/>
              <w:left w:val="single" w:sz="8" w:space="0" w:color="auto"/>
              <w:bottom w:val="nil"/>
              <w:right w:val="nil"/>
            </w:tcBorders>
            <w:shd w:val="clear" w:color="auto" w:fill="auto"/>
            <w:vAlign w:val="center"/>
            <w:hideMark/>
          </w:tcPr>
          <w:p w14:paraId="069CD79A" w14:textId="77777777" w:rsidR="00A81D7F" w:rsidRPr="00A81D7F" w:rsidRDefault="00A81D7F" w:rsidP="00326F06">
            <w:pPr>
              <w:spacing w:after="0" w:line="240" w:lineRule="auto"/>
              <w:ind w:firstLineChars="100" w:firstLine="180"/>
              <w:rPr>
                <w:rFonts w:ascii="Arial Narrow" w:eastAsia="Times New Roman" w:hAnsi="Arial Narrow" w:cs="Arial"/>
                <w:sz w:val="18"/>
                <w:szCs w:val="18"/>
                <w:lang w:eastAsia="pt-BR"/>
              </w:rPr>
            </w:pPr>
            <w:r w:rsidRPr="00A81D7F">
              <w:rPr>
                <w:rFonts w:ascii="Arial Narrow" w:eastAsia="Times New Roman" w:hAnsi="Arial Narrow" w:cs="Arial"/>
                <w:sz w:val="18"/>
                <w:szCs w:val="18"/>
                <w:lang w:eastAsia="pt-BR"/>
              </w:rPr>
              <w:t>Outras Despesas Correntes</w:t>
            </w:r>
          </w:p>
        </w:tc>
        <w:tc>
          <w:tcPr>
            <w:tcW w:w="1842" w:type="dxa"/>
            <w:tcBorders>
              <w:top w:val="nil"/>
              <w:left w:val="single" w:sz="8" w:space="0" w:color="auto"/>
              <w:bottom w:val="nil"/>
              <w:right w:val="single" w:sz="8" w:space="0" w:color="auto"/>
            </w:tcBorders>
            <w:shd w:val="clear" w:color="auto" w:fill="auto"/>
            <w:vAlign w:val="center"/>
            <w:hideMark/>
          </w:tcPr>
          <w:p w14:paraId="4A07F3E1" w14:textId="77777777" w:rsidR="00A81D7F" w:rsidRPr="00A81D7F" w:rsidRDefault="00A81D7F" w:rsidP="00326F06">
            <w:pPr>
              <w:spacing w:after="0" w:line="240" w:lineRule="auto"/>
              <w:jc w:val="center"/>
              <w:rPr>
                <w:rFonts w:ascii="Arial Narrow" w:eastAsia="Times New Roman" w:hAnsi="Arial Narrow" w:cs="Arial"/>
                <w:sz w:val="18"/>
                <w:szCs w:val="18"/>
                <w:lang w:eastAsia="pt-BR"/>
              </w:rPr>
            </w:pPr>
            <w:r w:rsidRPr="00A81D7F">
              <w:rPr>
                <w:rFonts w:ascii="Arial Narrow" w:eastAsia="Times New Roman" w:hAnsi="Arial Narrow" w:cs="Arial"/>
                <w:sz w:val="18"/>
                <w:szCs w:val="18"/>
                <w:lang w:eastAsia="pt-BR"/>
              </w:rPr>
              <w:t>BOD.C013</w:t>
            </w:r>
          </w:p>
        </w:tc>
        <w:tc>
          <w:tcPr>
            <w:tcW w:w="1984" w:type="dxa"/>
            <w:tcBorders>
              <w:top w:val="nil"/>
              <w:left w:val="nil"/>
              <w:bottom w:val="nil"/>
              <w:right w:val="single" w:sz="8" w:space="0" w:color="auto"/>
            </w:tcBorders>
            <w:shd w:val="clear" w:color="auto" w:fill="auto"/>
            <w:vAlign w:val="center"/>
            <w:hideMark/>
          </w:tcPr>
          <w:p w14:paraId="2E23DCC6" w14:textId="77777777" w:rsidR="00A81D7F" w:rsidRPr="00A81D7F" w:rsidRDefault="00A81D7F" w:rsidP="00326F06">
            <w:pPr>
              <w:spacing w:after="0" w:line="240" w:lineRule="auto"/>
              <w:jc w:val="center"/>
              <w:rPr>
                <w:rFonts w:ascii="Arial Narrow" w:eastAsia="Times New Roman" w:hAnsi="Arial Narrow" w:cs="Arial"/>
                <w:sz w:val="18"/>
                <w:szCs w:val="18"/>
                <w:lang w:eastAsia="pt-BR"/>
              </w:rPr>
            </w:pPr>
            <w:r w:rsidRPr="00A81D7F">
              <w:rPr>
                <w:rFonts w:ascii="Arial Narrow" w:eastAsia="Times New Roman" w:hAnsi="Arial Narrow" w:cs="Arial"/>
                <w:sz w:val="18"/>
                <w:szCs w:val="18"/>
                <w:lang w:eastAsia="pt-BR"/>
              </w:rPr>
              <w:t>BOD.D013</w:t>
            </w:r>
          </w:p>
        </w:tc>
        <w:tc>
          <w:tcPr>
            <w:tcW w:w="1843" w:type="dxa"/>
            <w:tcBorders>
              <w:top w:val="nil"/>
              <w:left w:val="nil"/>
              <w:bottom w:val="nil"/>
              <w:right w:val="single" w:sz="8" w:space="0" w:color="auto"/>
            </w:tcBorders>
            <w:shd w:val="clear" w:color="auto" w:fill="auto"/>
            <w:vAlign w:val="center"/>
            <w:hideMark/>
          </w:tcPr>
          <w:p w14:paraId="30D97032" w14:textId="77777777" w:rsidR="00A81D7F" w:rsidRPr="00A81D7F" w:rsidRDefault="00A81D7F" w:rsidP="00326F06">
            <w:pPr>
              <w:spacing w:after="0" w:line="240" w:lineRule="auto"/>
              <w:jc w:val="center"/>
              <w:rPr>
                <w:rFonts w:ascii="Arial Narrow" w:eastAsia="Times New Roman" w:hAnsi="Arial Narrow" w:cs="Arial"/>
                <w:sz w:val="18"/>
                <w:szCs w:val="18"/>
                <w:lang w:eastAsia="pt-BR"/>
              </w:rPr>
            </w:pPr>
            <w:r w:rsidRPr="00A81D7F">
              <w:rPr>
                <w:rFonts w:ascii="Arial Narrow" w:eastAsia="Times New Roman" w:hAnsi="Arial Narrow" w:cs="Arial"/>
                <w:sz w:val="18"/>
                <w:szCs w:val="18"/>
                <w:lang w:eastAsia="pt-BR"/>
              </w:rPr>
              <w:t>BOD.E013</w:t>
            </w:r>
          </w:p>
        </w:tc>
        <w:tc>
          <w:tcPr>
            <w:tcW w:w="1984" w:type="dxa"/>
            <w:tcBorders>
              <w:top w:val="nil"/>
              <w:left w:val="nil"/>
              <w:bottom w:val="nil"/>
              <w:right w:val="single" w:sz="8" w:space="0" w:color="auto"/>
            </w:tcBorders>
            <w:shd w:val="clear" w:color="auto" w:fill="auto"/>
            <w:vAlign w:val="center"/>
            <w:hideMark/>
          </w:tcPr>
          <w:p w14:paraId="20B206F5" w14:textId="77777777" w:rsidR="00A81D7F" w:rsidRPr="00A81D7F" w:rsidRDefault="00A81D7F" w:rsidP="00326F06">
            <w:pPr>
              <w:spacing w:after="0" w:line="240" w:lineRule="auto"/>
              <w:jc w:val="center"/>
              <w:rPr>
                <w:rFonts w:ascii="Arial Narrow" w:eastAsia="Times New Roman" w:hAnsi="Arial Narrow" w:cs="Arial"/>
                <w:sz w:val="18"/>
                <w:szCs w:val="18"/>
                <w:lang w:eastAsia="pt-BR"/>
              </w:rPr>
            </w:pPr>
            <w:r w:rsidRPr="00A81D7F">
              <w:rPr>
                <w:rFonts w:ascii="Arial Narrow" w:eastAsia="Times New Roman" w:hAnsi="Arial Narrow" w:cs="Arial"/>
                <w:sz w:val="18"/>
                <w:szCs w:val="18"/>
                <w:lang w:eastAsia="pt-BR"/>
              </w:rPr>
              <w:t>BOD.F013</w:t>
            </w:r>
          </w:p>
        </w:tc>
        <w:tc>
          <w:tcPr>
            <w:tcW w:w="1701" w:type="dxa"/>
            <w:tcBorders>
              <w:top w:val="nil"/>
              <w:left w:val="nil"/>
              <w:bottom w:val="nil"/>
              <w:right w:val="single" w:sz="8" w:space="0" w:color="auto"/>
            </w:tcBorders>
            <w:shd w:val="clear" w:color="auto" w:fill="auto"/>
            <w:vAlign w:val="center"/>
            <w:hideMark/>
          </w:tcPr>
          <w:p w14:paraId="68C1A1D8" w14:textId="77777777" w:rsidR="00A81D7F" w:rsidRPr="00A81D7F" w:rsidRDefault="00A81D7F" w:rsidP="00326F06">
            <w:pPr>
              <w:spacing w:after="0" w:line="240" w:lineRule="auto"/>
              <w:jc w:val="center"/>
              <w:rPr>
                <w:rFonts w:ascii="Arial Narrow" w:eastAsia="Times New Roman" w:hAnsi="Arial Narrow" w:cs="Arial"/>
                <w:sz w:val="18"/>
                <w:szCs w:val="18"/>
                <w:lang w:eastAsia="pt-BR"/>
              </w:rPr>
            </w:pPr>
            <w:r w:rsidRPr="00A81D7F">
              <w:rPr>
                <w:rFonts w:ascii="Arial Narrow" w:eastAsia="Times New Roman" w:hAnsi="Arial Narrow" w:cs="Arial"/>
                <w:sz w:val="18"/>
                <w:szCs w:val="18"/>
                <w:lang w:eastAsia="pt-BR"/>
              </w:rPr>
              <w:t>BOD.G013</w:t>
            </w:r>
          </w:p>
        </w:tc>
        <w:tc>
          <w:tcPr>
            <w:tcW w:w="1843" w:type="dxa"/>
            <w:tcBorders>
              <w:top w:val="nil"/>
              <w:left w:val="nil"/>
              <w:bottom w:val="nil"/>
              <w:right w:val="single" w:sz="8" w:space="0" w:color="auto"/>
            </w:tcBorders>
            <w:shd w:val="clear" w:color="auto" w:fill="auto"/>
            <w:vAlign w:val="center"/>
            <w:hideMark/>
          </w:tcPr>
          <w:p w14:paraId="676AC830" w14:textId="77777777" w:rsidR="00A81D7F" w:rsidRPr="00A81D7F" w:rsidRDefault="00A81D7F" w:rsidP="00326F06">
            <w:pPr>
              <w:spacing w:after="0" w:line="240" w:lineRule="auto"/>
              <w:jc w:val="center"/>
              <w:rPr>
                <w:rFonts w:ascii="Arial Narrow" w:eastAsia="Times New Roman" w:hAnsi="Arial Narrow" w:cs="Arial"/>
                <w:sz w:val="18"/>
                <w:szCs w:val="18"/>
                <w:lang w:eastAsia="pt-BR"/>
              </w:rPr>
            </w:pPr>
            <w:r w:rsidRPr="00A81D7F">
              <w:rPr>
                <w:rFonts w:ascii="Arial Narrow" w:eastAsia="Times New Roman" w:hAnsi="Arial Narrow" w:cs="Arial"/>
                <w:sz w:val="18"/>
                <w:szCs w:val="18"/>
                <w:lang w:eastAsia="pt-BR"/>
              </w:rPr>
              <w:t>BOD.H013</w:t>
            </w:r>
          </w:p>
        </w:tc>
      </w:tr>
      <w:tr w:rsidR="00A81D7F" w:rsidRPr="00D2722A" w14:paraId="31E20C21" w14:textId="77777777" w:rsidTr="00326F06">
        <w:trPr>
          <w:trHeight w:val="270"/>
        </w:trPr>
        <w:tc>
          <w:tcPr>
            <w:tcW w:w="2709" w:type="dxa"/>
            <w:tcBorders>
              <w:top w:val="nil"/>
              <w:left w:val="single" w:sz="8" w:space="0" w:color="auto"/>
              <w:bottom w:val="nil"/>
              <w:right w:val="nil"/>
            </w:tcBorders>
            <w:shd w:val="clear" w:color="auto" w:fill="auto"/>
            <w:vAlign w:val="center"/>
            <w:hideMark/>
          </w:tcPr>
          <w:p w14:paraId="2EB9775A" w14:textId="77777777" w:rsidR="00A81D7F" w:rsidRPr="00A81D7F" w:rsidRDefault="00A81D7F" w:rsidP="00326F06">
            <w:pPr>
              <w:spacing w:after="0" w:line="240" w:lineRule="auto"/>
              <w:rPr>
                <w:rFonts w:ascii="Arial Narrow" w:eastAsia="Times New Roman" w:hAnsi="Arial Narrow" w:cs="Arial"/>
                <w:sz w:val="18"/>
                <w:szCs w:val="18"/>
                <w:lang w:eastAsia="pt-BR"/>
              </w:rPr>
            </w:pPr>
            <w:r w:rsidRPr="00A81D7F">
              <w:rPr>
                <w:rFonts w:ascii="Arial Narrow" w:eastAsia="Times New Roman" w:hAnsi="Arial Narrow" w:cs="Arial"/>
                <w:sz w:val="18"/>
                <w:szCs w:val="18"/>
                <w:lang w:eastAsia="pt-BR"/>
              </w:rPr>
              <w:t> </w:t>
            </w:r>
          </w:p>
        </w:tc>
        <w:tc>
          <w:tcPr>
            <w:tcW w:w="1842" w:type="dxa"/>
            <w:tcBorders>
              <w:top w:val="nil"/>
              <w:left w:val="single" w:sz="8" w:space="0" w:color="auto"/>
              <w:bottom w:val="nil"/>
              <w:right w:val="single" w:sz="8" w:space="0" w:color="auto"/>
            </w:tcBorders>
            <w:shd w:val="clear" w:color="auto" w:fill="auto"/>
            <w:vAlign w:val="center"/>
            <w:hideMark/>
          </w:tcPr>
          <w:p w14:paraId="1C24713E" w14:textId="77777777" w:rsidR="00A81D7F" w:rsidRPr="00A81D7F" w:rsidRDefault="00A81D7F" w:rsidP="00326F06">
            <w:pPr>
              <w:spacing w:after="0" w:line="240" w:lineRule="auto"/>
              <w:rPr>
                <w:rFonts w:ascii="Arial Narrow" w:eastAsia="Times New Roman" w:hAnsi="Arial Narrow" w:cs="Arial"/>
                <w:sz w:val="18"/>
                <w:szCs w:val="18"/>
                <w:lang w:eastAsia="pt-BR"/>
              </w:rPr>
            </w:pPr>
            <w:r w:rsidRPr="00A81D7F">
              <w:rPr>
                <w:rFonts w:ascii="Arial Narrow" w:eastAsia="Times New Roman" w:hAnsi="Arial Narrow" w:cs="Arial"/>
                <w:sz w:val="18"/>
                <w:szCs w:val="18"/>
                <w:lang w:eastAsia="pt-BR"/>
              </w:rPr>
              <w:t> </w:t>
            </w:r>
          </w:p>
        </w:tc>
        <w:tc>
          <w:tcPr>
            <w:tcW w:w="1984" w:type="dxa"/>
            <w:tcBorders>
              <w:top w:val="nil"/>
              <w:left w:val="nil"/>
              <w:bottom w:val="nil"/>
              <w:right w:val="single" w:sz="8" w:space="0" w:color="auto"/>
            </w:tcBorders>
            <w:shd w:val="clear" w:color="auto" w:fill="auto"/>
            <w:vAlign w:val="center"/>
            <w:hideMark/>
          </w:tcPr>
          <w:p w14:paraId="3D191E2E" w14:textId="77777777" w:rsidR="00A81D7F" w:rsidRPr="00A81D7F" w:rsidRDefault="00A81D7F" w:rsidP="00326F06">
            <w:pPr>
              <w:spacing w:after="0" w:line="240" w:lineRule="auto"/>
              <w:rPr>
                <w:rFonts w:ascii="Arial Narrow" w:eastAsia="Times New Roman" w:hAnsi="Arial Narrow" w:cs="Arial"/>
                <w:sz w:val="18"/>
                <w:szCs w:val="18"/>
                <w:lang w:eastAsia="pt-BR"/>
              </w:rPr>
            </w:pPr>
            <w:r w:rsidRPr="00A81D7F">
              <w:rPr>
                <w:rFonts w:ascii="Arial Narrow" w:eastAsia="Times New Roman" w:hAnsi="Arial Narrow" w:cs="Arial"/>
                <w:sz w:val="18"/>
                <w:szCs w:val="18"/>
                <w:lang w:eastAsia="pt-BR"/>
              </w:rPr>
              <w:t> </w:t>
            </w:r>
          </w:p>
        </w:tc>
        <w:tc>
          <w:tcPr>
            <w:tcW w:w="1843" w:type="dxa"/>
            <w:tcBorders>
              <w:top w:val="nil"/>
              <w:left w:val="nil"/>
              <w:bottom w:val="nil"/>
              <w:right w:val="single" w:sz="8" w:space="0" w:color="auto"/>
            </w:tcBorders>
            <w:shd w:val="clear" w:color="auto" w:fill="auto"/>
            <w:vAlign w:val="center"/>
            <w:hideMark/>
          </w:tcPr>
          <w:p w14:paraId="07A7AF91" w14:textId="77777777" w:rsidR="00A81D7F" w:rsidRPr="00A81D7F" w:rsidRDefault="00A81D7F" w:rsidP="00326F06">
            <w:pPr>
              <w:spacing w:after="0" w:line="240" w:lineRule="auto"/>
              <w:rPr>
                <w:rFonts w:ascii="Arial Narrow" w:eastAsia="Times New Roman" w:hAnsi="Arial Narrow" w:cs="Arial"/>
                <w:sz w:val="18"/>
                <w:szCs w:val="18"/>
                <w:lang w:eastAsia="pt-BR"/>
              </w:rPr>
            </w:pPr>
            <w:r w:rsidRPr="00A81D7F">
              <w:rPr>
                <w:rFonts w:ascii="Arial Narrow" w:eastAsia="Times New Roman" w:hAnsi="Arial Narrow" w:cs="Arial"/>
                <w:sz w:val="18"/>
                <w:szCs w:val="18"/>
                <w:lang w:eastAsia="pt-BR"/>
              </w:rPr>
              <w:t> </w:t>
            </w:r>
          </w:p>
        </w:tc>
        <w:tc>
          <w:tcPr>
            <w:tcW w:w="1984" w:type="dxa"/>
            <w:tcBorders>
              <w:top w:val="nil"/>
              <w:left w:val="nil"/>
              <w:bottom w:val="nil"/>
              <w:right w:val="single" w:sz="8" w:space="0" w:color="auto"/>
            </w:tcBorders>
            <w:shd w:val="clear" w:color="auto" w:fill="auto"/>
            <w:vAlign w:val="center"/>
            <w:hideMark/>
          </w:tcPr>
          <w:p w14:paraId="470713E2" w14:textId="77777777" w:rsidR="00A81D7F" w:rsidRPr="00A81D7F" w:rsidRDefault="00A81D7F" w:rsidP="00326F06">
            <w:pPr>
              <w:spacing w:after="0" w:line="240" w:lineRule="auto"/>
              <w:rPr>
                <w:rFonts w:ascii="Arial Narrow" w:eastAsia="Times New Roman" w:hAnsi="Arial Narrow" w:cs="Arial"/>
                <w:sz w:val="18"/>
                <w:szCs w:val="18"/>
                <w:lang w:eastAsia="pt-BR"/>
              </w:rPr>
            </w:pPr>
            <w:r w:rsidRPr="00A81D7F">
              <w:rPr>
                <w:rFonts w:ascii="Arial Narrow" w:eastAsia="Times New Roman" w:hAnsi="Arial Narrow" w:cs="Arial"/>
                <w:sz w:val="18"/>
                <w:szCs w:val="18"/>
                <w:lang w:eastAsia="pt-BR"/>
              </w:rPr>
              <w:t> </w:t>
            </w:r>
          </w:p>
        </w:tc>
        <w:tc>
          <w:tcPr>
            <w:tcW w:w="1701" w:type="dxa"/>
            <w:tcBorders>
              <w:top w:val="nil"/>
              <w:left w:val="nil"/>
              <w:bottom w:val="nil"/>
              <w:right w:val="single" w:sz="8" w:space="0" w:color="auto"/>
            </w:tcBorders>
            <w:shd w:val="clear" w:color="auto" w:fill="auto"/>
            <w:vAlign w:val="center"/>
            <w:hideMark/>
          </w:tcPr>
          <w:p w14:paraId="7592A681" w14:textId="77777777" w:rsidR="00A81D7F" w:rsidRPr="00A81D7F" w:rsidRDefault="00A81D7F" w:rsidP="00326F06">
            <w:pPr>
              <w:spacing w:after="0" w:line="240" w:lineRule="auto"/>
              <w:rPr>
                <w:rFonts w:ascii="Arial Narrow" w:eastAsia="Times New Roman" w:hAnsi="Arial Narrow" w:cs="Arial"/>
                <w:sz w:val="18"/>
                <w:szCs w:val="18"/>
                <w:lang w:eastAsia="pt-BR"/>
              </w:rPr>
            </w:pPr>
            <w:r w:rsidRPr="00A81D7F">
              <w:rPr>
                <w:rFonts w:ascii="Arial Narrow" w:eastAsia="Times New Roman" w:hAnsi="Arial Narrow" w:cs="Arial"/>
                <w:sz w:val="18"/>
                <w:szCs w:val="18"/>
                <w:lang w:eastAsia="pt-BR"/>
              </w:rPr>
              <w:t> </w:t>
            </w:r>
          </w:p>
        </w:tc>
        <w:tc>
          <w:tcPr>
            <w:tcW w:w="1843" w:type="dxa"/>
            <w:tcBorders>
              <w:top w:val="nil"/>
              <w:left w:val="nil"/>
              <w:bottom w:val="nil"/>
              <w:right w:val="single" w:sz="8" w:space="0" w:color="auto"/>
            </w:tcBorders>
            <w:shd w:val="clear" w:color="auto" w:fill="auto"/>
            <w:vAlign w:val="center"/>
            <w:hideMark/>
          </w:tcPr>
          <w:p w14:paraId="160AA82A" w14:textId="77777777" w:rsidR="00A81D7F" w:rsidRPr="00A81D7F" w:rsidRDefault="00A81D7F" w:rsidP="00326F06">
            <w:pPr>
              <w:spacing w:after="0" w:line="240" w:lineRule="auto"/>
              <w:rPr>
                <w:rFonts w:ascii="Arial Narrow" w:eastAsia="Times New Roman" w:hAnsi="Arial Narrow" w:cs="Arial"/>
                <w:sz w:val="18"/>
                <w:szCs w:val="18"/>
                <w:lang w:eastAsia="pt-BR"/>
              </w:rPr>
            </w:pPr>
            <w:r w:rsidRPr="00A81D7F">
              <w:rPr>
                <w:rFonts w:ascii="Arial Narrow" w:eastAsia="Times New Roman" w:hAnsi="Arial Narrow" w:cs="Arial"/>
                <w:sz w:val="18"/>
                <w:szCs w:val="18"/>
                <w:lang w:eastAsia="pt-BR"/>
              </w:rPr>
              <w:t> </w:t>
            </w:r>
          </w:p>
        </w:tc>
      </w:tr>
      <w:tr w:rsidR="00A81D7F" w:rsidRPr="00D2722A" w14:paraId="54E915E2" w14:textId="77777777" w:rsidTr="00326F06">
        <w:trPr>
          <w:trHeight w:val="270"/>
        </w:trPr>
        <w:tc>
          <w:tcPr>
            <w:tcW w:w="2709" w:type="dxa"/>
            <w:tcBorders>
              <w:top w:val="nil"/>
              <w:left w:val="single" w:sz="8" w:space="0" w:color="auto"/>
              <w:bottom w:val="nil"/>
              <w:right w:val="nil"/>
            </w:tcBorders>
            <w:shd w:val="clear" w:color="auto" w:fill="auto"/>
            <w:vAlign w:val="center"/>
            <w:hideMark/>
          </w:tcPr>
          <w:p w14:paraId="47F822A8" w14:textId="77777777" w:rsidR="00A81D7F" w:rsidRPr="00A81D7F" w:rsidRDefault="00A81D7F" w:rsidP="00326F06">
            <w:pPr>
              <w:spacing w:after="0" w:line="240" w:lineRule="auto"/>
              <w:rPr>
                <w:rFonts w:ascii="Arial Narrow" w:eastAsia="Times New Roman" w:hAnsi="Arial Narrow" w:cs="Arial"/>
                <w:b/>
                <w:bCs/>
                <w:sz w:val="18"/>
                <w:szCs w:val="18"/>
                <w:lang w:eastAsia="pt-BR"/>
              </w:rPr>
            </w:pPr>
            <w:r w:rsidRPr="00A81D7F">
              <w:rPr>
                <w:rFonts w:ascii="Arial Narrow" w:eastAsia="Times New Roman" w:hAnsi="Arial Narrow" w:cs="Arial"/>
                <w:b/>
                <w:bCs/>
                <w:sz w:val="18"/>
                <w:szCs w:val="18"/>
                <w:lang w:eastAsia="pt-BR"/>
              </w:rPr>
              <w:t>DESPESAS DE CAPITAL (IX)</w:t>
            </w:r>
          </w:p>
        </w:tc>
        <w:tc>
          <w:tcPr>
            <w:tcW w:w="1842" w:type="dxa"/>
            <w:tcBorders>
              <w:top w:val="nil"/>
              <w:left w:val="single" w:sz="8" w:space="0" w:color="auto"/>
              <w:bottom w:val="nil"/>
              <w:right w:val="single" w:sz="8" w:space="0" w:color="auto"/>
            </w:tcBorders>
            <w:shd w:val="clear" w:color="auto" w:fill="auto"/>
            <w:vAlign w:val="center"/>
            <w:hideMark/>
          </w:tcPr>
          <w:p w14:paraId="15566A9D" w14:textId="77777777" w:rsidR="00A81D7F" w:rsidRPr="00A81D7F" w:rsidRDefault="00A81D7F" w:rsidP="00326F06">
            <w:pPr>
              <w:spacing w:after="0" w:line="240" w:lineRule="auto"/>
              <w:jc w:val="center"/>
              <w:rPr>
                <w:rFonts w:ascii="Arial Narrow" w:eastAsia="Times New Roman" w:hAnsi="Arial Narrow" w:cs="Arial"/>
                <w:b/>
                <w:bCs/>
                <w:sz w:val="18"/>
                <w:szCs w:val="18"/>
                <w:lang w:eastAsia="pt-BR"/>
              </w:rPr>
            </w:pPr>
            <w:r w:rsidRPr="00A81D7F">
              <w:rPr>
                <w:rFonts w:ascii="Arial Narrow" w:eastAsia="Times New Roman" w:hAnsi="Arial Narrow" w:cs="Arial"/>
                <w:b/>
                <w:bCs/>
                <w:sz w:val="18"/>
                <w:szCs w:val="18"/>
                <w:lang w:eastAsia="pt-BR"/>
              </w:rPr>
              <w:t>BOD.C015</w:t>
            </w:r>
          </w:p>
        </w:tc>
        <w:tc>
          <w:tcPr>
            <w:tcW w:w="1984" w:type="dxa"/>
            <w:tcBorders>
              <w:top w:val="nil"/>
              <w:left w:val="nil"/>
              <w:bottom w:val="nil"/>
              <w:right w:val="single" w:sz="8" w:space="0" w:color="auto"/>
            </w:tcBorders>
            <w:shd w:val="clear" w:color="auto" w:fill="auto"/>
            <w:vAlign w:val="center"/>
            <w:hideMark/>
          </w:tcPr>
          <w:p w14:paraId="2F44CBDF" w14:textId="77777777" w:rsidR="00A81D7F" w:rsidRPr="00A81D7F" w:rsidRDefault="00A81D7F" w:rsidP="00326F06">
            <w:pPr>
              <w:spacing w:after="0" w:line="240" w:lineRule="auto"/>
              <w:jc w:val="center"/>
              <w:rPr>
                <w:rFonts w:ascii="Arial Narrow" w:eastAsia="Times New Roman" w:hAnsi="Arial Narrow" w:cs="Arial"/>
                <w:b/>
                <w:bCs/>
                <w:sz w:val="18"/>
                <w:szCs w:val="18"/>
                <w:lang w:eastAsia="pt-BR"/>
              </w:rPr>
            </w:pPr>
            <w:r w:rsidRPr="00A81D7F">
              <w:rPr>
                <w:rFonts w:ascii="Arial Narrow" w:eastAsia="Times New Roman" w:hAnsi="Arial Narrow" w:cs="Arial"/>
                <w:b/>
                <w:bCs/>
                <w:sz w:val="18"/>
                <w:szCs w:val="18"/>
                <w:lang w:eastAsia="pt-BR"/>
              </w:rPr>
              <w:t>BOD.D015</w:t>
            </w:r>
          </w:p>
        </w:tc>
        <w:tc>
          <w:tcPr>
            <w:tcW w:w="1843" w:type="dxa"/>
            <w:tcBorders>
              <w:top w:val="nil"/>
              <w:left w:val="nil"/>
              <w:bottom w:val="nil"/>
              <w:right w:val="single" w:sz="8" w:space="0" w:color="auto"/>
            </w:tcBorders>
            <w:shd w:val="clear" w:color="auto" w:fill="auto"/>
            <w:vAlign w:val="center"/>
            <w:hideMark/>
          </w:tcPr>
          <w:p w14:paraId="7D4E04BF" w14:textId="77777777" w:rsidR="00A81D7F" w:rsidRPr="00A81D7F" w:rsidRDefault="00A81D7F" w:rsidP="00326F06">
            <w:pPr>
              <w:spacing w:after="0" w:line="240" w:lineRule="auto"/>
              <w:jc w:val="center"/>
              <w:rPr>
                <w:rFonts w:ascii="Arial Narrow" w:eastAsia="Times New Roman" w:hAnsi="Arial Narrow" w:cs="Arial"/>
                <w:b/>
                <w:bCs/>
                <w:sz w:val="18"/>
                <w:szCs w:val="18"/>
                <w:lang w:eastAsia="pt-BR"/>
              </w:rPr>
            </w:pPr>
            <w:r w:rsidRPr="00A81D7F">
              <w:rPr>
                <w:rFonts w:ascii="Arial Narrow" w:eastAsia="Times New Roman" w:hAnsi="Arial Narrow" w:cs="Arial"/>
                <w:b/>
                <w:bCs/>
                <w:sz w:val="18"/>
                <w:szCs w:val="18"/>
                <w:lang w:eastAsia="pt-BR"/>
              </w:rPr>
              <w:t>BOD.E015</w:t>
            </w:r>
          </w:p>
        </w:tc>
        <w:tc>
          <w:tcPr>
            <w:tcW w:w="1984" w:type="dxa"/>
            <w:tcBorders>
              <w:top w:val="nil"/>
              <w:left w:val="nil"/>
              <w:bottom w:val="nil"/>
              <w:right w:val="single" w:sz="8" w:space="0" w:color="auto"/>
            </w:tcBorders>
            <w:shd w:val="clear" w:color="auto" w:fill="auto"/>
            <w:vAlign w:val="center"/>
            <w:hideMark/>
          </w:tcPr>
          <w:p w14:paraId="35191251" w14:textId="77777777" w:rsidR="00A81D7F" w:rsidRPr="00A81D7F" w:rsidRDefault="00A81D7F" w:rsidP="00326F06">
            <w:pPr>
              <w:spacing w:after="0" w:line="240" w:lineRule="auto"/>
              <w:jc w:val="center"/>
              <w:rPr>
                <w:rFonts w:ascii="Arial Narrow" w:eastAsia="Times New Roman" w:hAnsi="Arial Narrow" w:cs="Arial"/>
                <w:b/>
                <w:bCs/>
                <w:sz w:val="18"/>
                <w:szCs w:val="18"/>
                <w:lang w:eastAsia="pt-BR"/>
              </w:rPr>
            </w:pPr>
            <w:r w:rsidRPr="00A81D7F">
              <w:rPr>
                <w:rFonts w:ascii="Arial Narrow" w:eastAsia="Times New Roman" w:hAnsi="Arial Narrow" w:cs="Arial"/>
                <w:b/>
                <w:bCs/>
                <w:sz w:val="18"/>
                <w:szCs w:val="18"/>
                <w:lang w:eastAsia="pt-BR"/>
              </w:rPr>
              <w:t>BOD.F015</w:t>
            </w:r>
          </w:p>
        </w:tc>
        <w:tc>
          <w:tcPr>
            <w:tcW w:w="1701" w:type="dxa"/>
            <w:tcBorders>
              <w:top w:val="nil"/>
              <w:left w:val="nil"/>
              <w:bottom w:val="nil"/>
              <w:right w:val="single" w:sz="8" w:space="0" w:color="auto"/>
            </w:tcBorders>
            <w:shd w:val="clear" w:color="auto" w:fill="auto"/>
            <w:vAlign w:val="center"/>
            <w:hideMark/>
          </w:tcPr>
          <w:p w14:paraId="1DE07BE1" w14:textId="77777777" w:rsidR="00A81D7F" w:rsidRPr="00A81D7F" w:rsidRDefault="00A81D7F" w:rsidP="00326F06">
            <w:pPr>
              <w:spacing w:after="0" w:line="240" w:lineRule="auto"/>
              <w:jc w:val="center"/>
              <w:rPr>
                <w:rFonts w:ascii="Arial Narrow" w:eastAsia="Times New Roman" w:hAnsi="Arial Narrow" w:cs="Arial"/>
                <w:b/>
                <w:bCs/>
                <w:sz w:val="18"/>
                <w:szCs w:val="18"/>
                <w:lang w:eastAsia="pt-BR"/>
              </w:rPr>
            </w:pPr>
            <w:r w:rsidRPr="00A81D7F">
              <w:rPr>
                <w:rFonts w:ascii="Arial Narrow" w:eastAsia="Times New Roman" w:hAnsi="Arial Narrow" w:cs="Arial"/>
                <w:b/>
                <w:bCs/>
                <w:sz w:val="18"/>
                <w:szCs w:val="18"/>
                <w:lang w:eastAsia="pt-BR"/>
              </w:rPr>
              <w:t>BOD.G015</w:t>
            </w:r>
          </w:p>
        </w:tc>
        <w:tc>
          <w:tcPr>
            <w:tcW w:w="1843" w:type="dxa"/>
            <w:tcBorders>
              <w:top w:val="nil"/>
              <w:left w:val="nil"/>
              <w:bottom w:val="nil"/>
              <w:right w:val="single" w:sz="8" w:space="0" w:color="auto"/>
            </w:tcBorders>
            <w:shd w:val="clear" w:color="auto" w:fill="auto"/>
            <w:vAlign w:val="center"/>
            <w:hideMark/>
          </w:tcPr>
          <w:p w14:paraId="47FD2108" w14:textId="77777777" w:rsidR="00A81D7F" w:rsidRPr="00A81D7F" w:rsidRDefault="00A81D7F" w:rsidP="00326F06">
            <w:pPr>
              <w:spacing w:after="0" w:line="240" w:lineRule="auto"/>
              <w:jc w:val="center"/>
              <w:rPr>
                <w:rFonts w:ascii="Arial Narrow" w:eastAsia="Times New Roman" w:hAnsi="Arial Narrow" w:cs="Arial"/>
                <w:b/>
                <w:bCs/>
                <w:sz w:val="18"/>
                <w:szCs w:val="18"/>
                <w:lang w:eastAsia="pt-BR"/>
              </w:rPr>
            </w:pPr>
            <w:r w:rsidRPr="00A81D7F">
              <w:rPr>
                <w:rFonts w:ascii="Arial Narrow" w:eastAsia="Times New Roman" w:hAnsi="Arial Narrow" w:cs="Arial"/>
                <w:b/>
                <w:bCs/>
                <w:sz w:val="18"/>
                <w:szCs w:val="18"/>
                <w:lang w:eastAsia="pt-BR"/>
              </w:rPr>
              <w:t>BOD.H015</w:t>
            </w:r>
          </w:p>
        </w:tc>
      </w:tr>
      <w:tr w:rsidR="00A81D7F" w:rsidRPr="00D2722A" w14:paraId="640378F1" w14:textId="77777777" w:rsidTr="00326F06">
        <w:trPr>
          <w:trHeight w:val="270"/>
        </w:trPr>
        <w:tc>
          <w:tcPr>
            <w:tcW w:w="2709" w:type="dxa"/>
            <w:tcBorders>
              <w:top w:val="nil"/>
              <w:left w:val="single" w:sz="8" w:space="0" w:color="auto"/>
              <w:bottom w:val="nil"/>
              <w:right w:val="nil"/>
            </w:tcBorders>
            <w:shd w:val="clear" w:color="auto" w:fill="auto"/>
            <w:vAlign w:val="center"/>
            <w:hideMark/>
          </w:tcPr>
          <w:p w14:paraId="0CF9611C" w14:textId="77777777" w:rsidR="00A81D7F" w:rsidRPr="00A81D7F" w:rsidRDefault="00A81D7F" w:rsidP="00326F06">
            <w:pPr>
              <w:spacing w:after="0" w:line="240" w:lineRule="auto"/>
              <w:ind w:firstLineChars="100" w:firstLine="180"/>
              <w:rPr>
                <w:rFonts w:ascii="Arial Narrow" w:eastAsia="Times New Roman" w:hAnsi="Arial Narrow" w:cs="Arial"/>
                <w:sz w:val="18"/>
                <w:szCs w:val="18"/>
                <w:lang w:eastAsia="pt-BR"/>
              </w:rPr>
            </w:pPr>
            <w:r w:rsidRPr="00A81D7F">
              <w:rPr>
                <w:rFonts w:ascii="Arial Narrow" w:eastAsia="Times New Roman" w:hAnsi="Arial Narrow" w:cs="Arial"/>
                <w:sz w:val="18"/>
                <w:szCs w:val="18"/>
                <w:lang w:eastAsia="pt-BR"/>
              </w:rPr>
              <w:t>Investimentos</w:t>
            </w:r>
          </w:p>
        </w:tc>
        <w:tc>
          <w:tcPr>
            <w:tcW w:w="1842" w:type="dxa"/>
            <w:tcBorders>
              <w:top w:val="nil"/>
              <w:left w:val="single" w:sz="8" w:space="0" w:color="auto"/>
              <w:bottom w:val="nil"/>
              <w:right w:val="single" w:sz="8" w:space="0" w:color="auto"/>
            </w:tcBorders>
            <w:shd w:val="clear" w:color="auto" w:fill="auto"/>
            <w:vAlign w:val="center"/>
            <w:hideMark/>
          </w:tcPr>
          <w:p w14:paraId="560F3920" w14:textId="77777777" w:rsidR="00A81D7F" w:rsidRPr="00A81D7F" w:rsidRDefault="00A81D7F" w:rsidP="00326F06">
            <w:pPr>
              <w:spacing w:after="0" w:line="240" w:lineRule="auto"/>
              <w:jc w:val="center"/>
              <w:rPr>
                <w:rFonts w:ascii="Arial Narrow" w:eastAsia="Times New Roman" w:hAnsi="Arial Narrow" w:cs="Arial"/>
                <w:sz w:val="18"/>
                <w:szCs w:val="18"/>
                <w:lang w:eastAsia="pt-BR"/>
              </w:rPr>
            </w:pPr>
            <w:r w:rsidRPr="00A81D7F">
              <w:rPr>
                <w:rFonts w:ascii="Arial Narrow" w:eastAsia="Times New Roman" w:hAnsi="Arial Narrow" w:cs="Arial"/>
                <w:sz w:val="18"/>
                <w:szCs w:val="18"/>
                <w:lang w:eastAsia="pt-BR"/>
              </w:rPr>
              <w:t>BOD.C016</w:t>
            </w:r>
          </w:p>
        </w:tc>
        <w:tc>
          <w:tcPr>
            <w:tcW w:w="1984" w:type="dxa"/>
            <w:tcBorders>
              <w:top w:val="nil"/>
              <w:left w:val="nil"/>
              <w:bottom w:val="nil"/>
              <w:right w:val="single" w:sz="8" w:space="0" w:color="auto"/>
            </w:tcBorders>
            <w:shd w:val="clear" w:color="auto" w:fill="auto"/>
            <w:vAlign w:val="center"/>
            <w:hideMark/>
          </w:tcPr>
          <w:p w14:paraId="210F652E" w14:textId="77777777" w:rsidR="00A81D7F" w:rsidRPr="00A81D7F" w:rsidRDefault="00A81D7F" w:rsidP="00326F06">
            <w:pPr>
              <w:spacing w:after="0" w:line="240" w:lineRule="auto"/>
              <w:jc w:val="center"/>
              <w:rPr>
                <w:rFonts w:ascii="Arial Narrow" w:eastAsia="Times New Roman" w:hAnsi="Arial Narrow" w:cs="Arial"/>
                <w:sz w:val="18"/>
                <w:szCs w:val="18"/>
                <w:lang w:eastAsia="pt-BR"/>
              </w:rPr>
            </w:pPr>
            <w:r w:rsidRPr="00A81D7F">
              <w:rPr>
                <w:rFonts w:ascii="Arial Narrow" w:eastAsia="Times New Roman" w:hAnsi="Arial Narrow" w:cs="Arial"/>
                <w:sz w:val="18"/>
                <w:szCs w:val="18"/>
                <w:lang w:eastAsia="pt-BR"/>
              </w:rPr>
              <w:t>BOD.D016</w:t>
            </w:r>
          </w:p>
        </w:tc>
        <w:tc>
          <w:tcPr>
            <w:tcW w:w="1843" w:type="dxa"/>
            <w:tcBorders>
              <w:top w:val="nil"/>
              <w:left w:val="nil"/>
              <w:bottom w:val="nil"/>
              <w:right w:val="single" w:sz="8" w:space="0" w:color="auto"/>
            </w:tcBorders>
            <w:shd w:val="clear" w:color="auto" w:fill="auto"/>
            <w:vAlign w:val="center"/>
            <w:hideMark/>
          </w:tcPr>
          <w:p w14:paraId="66A96668" w14:textId="77777777" w:rsidR="00A81D7F" w:rsidRPr="00A81D7F" w:rsidRDefault="00A81D7F" w:rsidP="00326F06">
            <w:pPr>
              <w:spacing w:after="0" w:line="240" w:lineRule="auto"/>
              <w:jc w:val="center"/>
              <w:rPr>
                <w:rFonts w:ascii="Arial Narrow" w:eastAsia="Times New Roman" w:hAnsi="Arial Narrow" w:cs="Arial"/>
                <w:sz w:val="18"/>
                <w:szCs w:val="18"/>
                <w:lang w:eastAsia="pt-BR"/>
              </w:rPr>
            </w:pPr>
            <w:r w:rsidRPr="00A81D7F">
              <w:rPr>
                <w:rFonts w:ascii="Arial Narrow" w:eastAsia="Times New Roman" w:hAnsi="Arial Narrow" w:cs="Arial"/>
                <w:sz w:val="18"/>
                <w:szCs w:val="18"/>
                <w:lang w:eastAsia="pt-BR"/>
              </w:rPr>
              <w:t>BOD.E016</w:t>
            </w:r>
          </w:p>
        </w:tc>
        <w:tc>
          <w:tcPr>
            <w:tcW w:w="1984" w:type="dxa"/>
            <w:tcBorders>
              <w:top w:val="nil"/>
              <w:left w:val="nil"/>
              <w:bottom w:val="nil"/>
              <w:right w:val="single" w:sz="8" w:space="0" w:color="auto"/>
            </w:tcBorders>
            <w:shd w:val="clear" w:color="auto" w:fill="auto"/>
            <w:vAlign w:val="center"/>
            <w:hideMark/>
          </w:tcPr>
          <w:p w14:paraId="0BCA95AD" w14:textId="77777777" w:rsidR="00A81D7F" w:rsidRPr="00A81D7F" w:rsidRDefault="00A81D7F" w:rsidP="00326F06">
            <w:pPr>
              <w:spacing w:after="0" w:line="240" w:lineRule="auto"/>
              <w:jc w:val="center"/>
              <w:rPr>
                <w:rFonts w:ascii="Arial Narrow" w:eastAsia="Times New Roman" w:hAnsi="Arial Narrow" w:cs="Arial"/>
                <w:sz w:val="18"/>
                <w:szCs w:val="18"/>
                <w:lang w:eastAsia="pt-BR"/>
              </w:rPr>
            </w:pPr>
            <w:r w:rsidRPr="00A81D7F">
              <w:rPr>
                <w:rFonts w:ascii="Arial Narrow" w:eastAsia="Times New Roman" w:hAnsi="Arial Narrow" w:cs="Arial"/>
                <w:sz w:val="18"/>
                <w:szCs w:val="18"/>
                <w:lang w:eastAsia="pt-BR"/>
              </w:rPr>
              <w:t>BOD.F016</w:t>
            </w:r>
          </w:p>
        </w:tc>
        <w:tc>
          <w:tcPr>
            <w:tcW w:w="1701" w:type="dxa"/>
            <w:tcBorders>
              <w:top w:val="nil"/>
              <w:left w:val="nil"/>
              <w:bottom w:val="nil"/>
              <w:right w:val="single" w:sz="8" w:space="0" w:color="auto"/>
            </w:tcBorders>
            <w:shd w:val="clear" w:color="auto" w:fill="auto"/>
            <w:vAlign w:val="center"/>
            <w:hideMark/>
          </w:tcPr>
          <w:p w14:paraId="75DCC4EB" w14:textId="77777777" w:rsidR="00A81D7F" w:rsidRPr="00A81D7F" w:rsidRDefault="00A81D7F" w:rsidP="00326F06">
            <w:pPr>
              <w:spacing w:after="0" w:line="240" w:lineRule="auto"/>
              <w:jc w:val="center"/>
              <w:rPr>
                <w:rFonts w:ascii="Arial Narrow" w:eastAsia="Times New Roman" w:hAnsi="Arial Narrow" w:cs="Arial"/>
                <w:sz w:val="18"/>
                <w:szCs w:val="18"/>
                <w:lang w:eastAsia="pt-BR"/>
              </w:rPr>
            </w:pPr>
            <w:r w:rsidRPr="00A81D7F">
              <w:rPr>
                <w:rFonts w:ascii="Arial Narrow" w:eastAsia="Times New Roman" w:hAnsi="Arial Narrow" w:cs="Arial"/>
                <w:sz w:val="18"/>
                <w:szCs w:val="18"/>
                <w:lang w:eastAsia="pt-BR"/>
              </w:rPr>
              <w:t>BOD.G016</w:t>
            </w:r>
          </w:p>
        </w:tc>
        <w:tc>
          <w:tcPr>
            <w:tcW w:w="1843" w:type="dxa"/>
            <w:tcBorders>
              <w:top w:val="nil"/>
              <w:left w:val="nil"/>
              <w:bottom w:val="nil"/>
              <w:right w:val="single" w:sz="8" w:space="0" w:color="auto"/>
            </w:tcBorders>
            <w:shd w:val="clear" w:color="auto" w:fill="auto"/>
            <w:vAlign w:val="center"/>
            <w:hideMark/>
          </w:tcPr>
          <w:p w14:paraId="317B589E" w14:textId="77777777" w:rsidR="00A81D7F" w:rsidRPr="00A81D7F" w:rsidRDefault="00A81D7F" w:rsidP="00326F06">
            <w:pPr>
              <w:spacing w:after="0" w:line="240" w:lineRule="auto"/>
              <w:jc w:val="center"/>
              <w:rPr>
                <w:rFonts w:ascii="Arial Narrow" w:eastAsia="Times New Roman" w:hAnsi="Arial Narrow" w:cs="Arial"/>
                <w:sz w:val="18"/>
                <w:szCs w:val="18"/>
                <w:lang w:eastAsia="pt-BR"/>
              </w:rPr>
            </w:pPr>
            <w:r w:rsidRPr="00A81D7F">
              <w:rPr>
                <w:rFonts w:ascii="Arial Narrow" w:eastAsia="Times New Roman" w:hAnsi="Arial Narrow" w:cs="Arial"/>
                <w:sz w:val="18"/>
                <w:szCs w:val="18"/>
                <w:lang w:eastAsia="pt-BR"/>
              </w:rPr>
              <w:t>BOD.H016</w:t>
            </w:r>
          </w:p>
        </w:tc>
      </w:tr>
      <w:tr w:rsidR="00A81D7F" w:rsidRPr="00D2722A" w14:paraId="30B91DAD" w14:textId="77777777" w:rsidTr="00326F06">
        <w:trPr>
          <w:trHeight w:val="270"/>
        </w:trPr>
        <w:tc>
          <w:tcPr>
            <w:tcW w:w="2709" w:type="dxa"/>
            <w:tcBorders>
              <w:top w:val="nil"/>
              <w:left w:val="single" w:sz="8" w:space="0" w:color="auto"/>
              <w:bottom w:val="nil"/>
              <w:right w:val="nil"/>
            </w:tcBorders>
            <w:shd w:val="clear" w:color="auto" w:fill="auto"/>
            <w:vAlign w:val="center"/>
            <w:hideMark/>
          </w:tcPr>
          <w:p w14:paraId="7443A3B1" w14:textId="77777777" w:rsidR="00A81D7F" w:rsidRPr="00A81D7F" w:rsidRDefault="00A81D7F" w:rsidP="00326F06">
            <w:pPr>
              <w:spacing w:after="0" w:line="240" w:lineRule="auto"/>
              <w:ind w:firstLineChars="100" w:firstLine="180"/>
              <w:rPr>
                <w:rFonts w:ascii="Arial Narrow" w:eastAsia="Times New Roman" w:hAnsi="Arial Narrow" w:cs="Arial"/>
                <w:sz w:val="18"/>
                <w:szCs w:val="18"/>
                <w:lang w:eastAsia="pt-BR"/>
              </w:rPr>
            </w:pPr>
            <w:r w:rsidRPr="00A81D7F">
              <w:rPr>
                <w:rFonts w:ascii="Arial Narrow" w:eastAsia="Times New Roman" w:hAnsi="Arial Narrow" w:cs="Arial"/>
                <w:sz w:val="18"/>
                <w:szCs w:val="18"/>
                <w:lang w:eastAsia="pt-BR"/>
              </w:rPr>
              <w:t>Inversões Financeiras</w:t>
            </w:r>
          </w:p>
        </w:tc>
        <w:tc>
          <w:tcPr>
            <w:tcW w:w="1842" w:type="dxa"/>
            <w:tcBorders>
              <w:top w:val="nil"/>
              <w:left w:val="single" w:sz="8" w:space="0" w:color="auto"/>
              <w:bottom w:val="nil"/>
              <w:right w:val="single" w:sz="8" w:space="0" w:color="auto"/>
            </w:tcBorders>
            <w:shd w:val="clear" w:color="auto" w:fill="auto"/>
            <w:vAlign w:val="center"/>
            <w:hideMark/>
          </w:tcPr>
          <w:p w14:paraId="61EBBDF3" w14:textId="77777777" w:rsidR="00A81D7F" w:rsidRPr="00A81D7F" w:rsidRDefault="00A81D7F" w:rsidP="00326F06">
            <w:pPr>
              <w:spacing w:after="0" w:line="240" w:lineRule="auto"/>
              <w:jc w:val="center"/>
              <w:rPr>
                <w:rFonts w:ascii="Arial Narrow" w:eastAsia="Times New Roman" w:hAnsi="Arial Narrow" w:cs="Arial"/>
                <w:sz w:val="18"/>
                <w:szCs w:val="18"/>
                <w:lang w:eastAsia="pt-BR"/>
              </w:rPr>
            </w:pPr>
            <w:r w:rsidRPr="00A81D7F">
              <w:rPr>
                <w:rFonts w:ascii="Arial Narrow" w:eastAsia="Times New Roman" w:hAnsi="Arial Narrow" w:cs="Arial"/>
                <w:sz w:val="18"/>
                <w:szCs w:val="18"/>
                <w:lang w:eastAsia="pt-BR"/>
              </w:rPr>
              <w:t>BOD.C017</w:t>
            </w:r>
          </w:p>
        </w:tc>
        <w:tc>
          <w:tcPr>
            <w:tcW w:w="1984" w:type="dxa"/>
            <w:tcBorders>
              <w:top w:val="nil"/>
              <w:left w:val="nil"/>
              <w:bottom w:val="nil"/>
              <w:right w:val="single" w:sz="8" w:space="0" w:color="auto"/>
            </w:tcBorders>
            <w:shd w:val="clear" w:color="auto" w:fill="auto"/>
            <w:vAlign w:val="center"/>
            <w:hideMark/>
          </w:tcPr>
          <w:p w14:paraId="2BE30ED6" w14:textId="77777777" w:rsidR="00A81D7F" w:rsidRPr="00A81D7F" w:rsidRDefault="00A81D7F" w:rsidP="00326F06">
            <w:pPr>
              <w:spacing w:after="0" w:line="240" w:lineRule="auto"/>
              <w:jc w:val="center"/>
              <w:rPr>
                <w:rFonts w:ascii="Arial Narrow" w:eastAsia="Times New Roman" w:hAnsi="Arial Narrow" w:cs="Arial"/>
                <w:sz w:val="18"/>
                <w:szCs w:val="18"/>
                <w:lang w:eastAsia="pt-BR"/>
              </w:rPr>
            </w:pPr>
            <w:r w:rsidRPr="00A81D7F">
              <w:rPr>
                <w:rFonts w:ascii="Arial Narrow" w:eastAsia="Times New Roman" w:hAnsi="Arial Narrow" w:cs="Arial"/>
                <w:sz w:val="18"/>
                <w:szCs w:val="18"/>
                <w:lang w:eastAsia="pt-BR"/>
              </w:rPr>
              <w:t>BOD.D017</w:t>
            </w:r>
          </w:p>
        </w:tc>
        <w:tc>
          <w:tcPr>
            <w:tcW w:w="1843" w:type="dxa"/>
            <w:tcBorders>
              <w:top w:val="nil"/>
              <w:left w:val="nil"/>
              <w:bottom w:val="nil"/>
              <w:right w:val="single" w:sz="8" w:space="0" w:color="auto"/>
            </w:tcBorders>
            <w:shd w:val="clear" w:color="auto" w:fill="auto"/>
            <w:vAlign w:val="center"/>
            <w:hideMark/>
          </w:tcPr>
          <w:p w14:paraId="40BCEF60" w14:textId="77777777" w:rsidR="00A81D7F" w:rsidRPr="00A81D7F" w:rsidRDefault="00A81D7F" w:rsidP="00326F06">
            <w:pPr>
              <w:spacing w:after="0" w:line="240" w:lineRule="auto"/>
              <w:jc w:val="center"/>
              <w:rPr>
                <w:rFonts w:ascii="Arial Narrow" w:eastAsia="Times New Roman" w:hAnsi="Arial Narrow" w:cs="Arial"/>
                <w:sz w:val="18"/>
                <w:szCs w:val="18"/>
                <w:lang w:eastAsia="pt-BR"/>
              </w:rPr>
            </w:pPr>
            <w:r w:rsidRPr="00A81D7F">
              <w:rPr>
                <w:rFonts w:ascii="Arial Narrow" w:eastAsia="Times New Roman" w:hAnsi="Arial Narrow" w:cs="Arial"/>
                <w:sz w:val="18"/>
                <w:szCs w:val="18"/>
                <w:lang w:eastAsia="pt-BR"/>
              </w:rPr>
              <w:t>BOD.E017</w:t>
            </w:r>
          </w:p>
        </w:tc>
        <w:tc>
          <w:tcPr>
            <w:tcW w:w="1984" w:type="dxa"/>
            <w:tcBorders>
              <w:top w:val="nil"/>
              <w:left w:val="nil"/>
              <w:bottom w:val="nil"/>
              <w:right w:val="single" w:sz="8" w:space="0" w:color="auto"/>
            </w:tcBorders>
            <w:shd w:val="clear" w:color="auto" w:fill="auto"/>
            <w:vAlign w:val="center"/>
            <w:hideMark/>
          </w:tcPr>
          <w:p w14:paraId="2B38023B" w14:textId="77777777" w:rsidR="00A81D7F" w:rsidRPr="00A81D7F" w:rsidRDefault="00A81D7F" w:rsidP="00326F06">
            <w:pPr>
              <w:spacing w:after="0" w:line="240" w:lineRule="auto"/>
              <w:jc w:val="center"/>
              <w:rPr>
                <w:rFonts w:ascii="Arial Narrow" w:eastAsia="Times New Roman" w:hAnsi="Arial Narrow" w:cs="Arial"/>
                <w:sz w:val="18"/>
                <w:szCs w:val="18"/>
                <w:lang w:eastAsia="pt-BR"/>
              </w:rPr>
            </w:pPr>
            <w:r w:rsidRPr="00A81D7F">
              <w:rPr>
                <w:rFonts w:ascii="Arial Narrow" w:eastAsia="Times New Roman" w:hAnsi="Arial Narrow" w:cs="Arial"/>
                <w:sz w:val="18"/>
                <w:szCs w:val="18"/>
                <w:lang w:eastAsia="pt-BR"/>
              </w:rPr>
              <w:t>BOD.F017</w:t>
            </w:r>
          </w:p>
        </w:tc>
        <w:tc>
          <w:tcPr>
            <w:tcW w:w="1701" w:type="dxa"/>
            <w:tcBorders>
              <w:top w:val="nil"/>
              <w:left w:val="nil"/>
              <w:bottom w:val="nil"/>
              <w:right w:val="single" w:sz="8" w:space="0" w:color="auto"/>
            </w:tcBorders>
            <w:shd w:val="clear" w:color="auto" w:fill="auto"/>
            <w:vAlign w:val="center"/>
            <w:hideMark/>
          </w:tcPr>
          <w:p w14:paraId="1EBA486F" w14:textId="77777777" w:rsidR="00A81D7F" w:rsidRPr="00A81D7F" w:rsidRDefault="00A81D7F" w:rsidP="00326F06">
            <w:pPr>
              <w:spacing w:after="0" w:line="240" w:lineRule="auto"/>
              <w:jc w:val="center"/>
              <w:rPr>
                <w:rFonts w:ascii="Arial Narrow" w:eastAsia="Times New Roman" w:hAnsi="Arial Narrow" w:cs="Arial"/>
                <w:sz w:val="18"/>
                <w:szCs w:val="18"/>
                <w:lang w:eastAsia="pt-BR"/>
              </w:rPr>
            </w:pPr>
            <w:r w:rsidRPr="00A81D7F">
              <w:rPr>
                <w:rFonts w:ascii="Arial Narrow" w:eastAsia="Times New Roman" w:hAnsi="Arial Narrow" w:cs="Arial"/>
                <w:sz w:val="18"/>
                <w:szCs w:val="18"/>
                <w:lang w:eastAsia="pt-BR"/>
              </w:rPr>
              <w:t>BOD.G017</w:t>
            </w:r>
          </w:p>
        </w:tc>
        <w:tc>
          <w:tcPr>
            <w:tcW w:w="1843" w:type="dxa"/>
            <w:tcBorders>
              <w:top w:val="nil"/>
              <w:left w:val="nil"/>
              <w:bottom w:val="nil"/>
              <w:right w:val="single" w:sz="8" w:space="0" w:color="auto"/>
            </w:tcBorders>
            <w:shd w:val="clear" w:color="auto" w:fill="auto"/>
            <w:vAlign w:val="center"/>
            <w:hideMark/>
          </w:tcPr>
          <w:p w14:paraId="6B798A3C" w14:textId="77777777" w:rsidR="00A81D7F" w:rsidRPr="00A81D7F" w:rsidRDefault="00A81D7F" w:rsidP="00326F06">
            <w:pPr>
              <w:spacing w:after="0" w:line="240" w:lineRule="auto"/>
              <w:jc w:val="center"/>
              <w:rPr>
                <w:rFonts w:ascii="Arial Narrow" w:eastAsia="Times New Roman" w:hAnsi="Arial Narrow" w:cs="Arial"/>
                <w:sz w:val="18"/>
                <w:szCs w:val="18"/>
                <w:lang w:eastAsia="pt-BR"/>
              </w:rPr>
            </w:pPr>
            <w:r w:rsidRPr="00A81D7F">
              <w:rPr>
                <w:rFonts w:ascii="Arial Narrow" w:eastAsia="Times New Roman" w:hAnsi="Arial Narrow" w:cs="Arial"/>
                <w:sz w:val="18"/>
                <w:szCs w:val="18"/>
                <w:lang w:eastAsia="pt-BR"/>
              </w:rPr>
              <w:t>BOD.H017</w:t>
            </w:r>
          </w:p>
        </w:tc>
      </w:tr>
      <w:tr w:rsidR="00A81D7F" w:rsidRPr="00D2722A" w14:paraId="723810B0" w14:textId="77777777" w:rsidTr="00326F06">
        <w:trPr>
          <w:trHeight w:val="270"/>
        </w:trPr>
        <w:tc>
          <w:tcPr>
            <w:tcW w:w="2709" w:type="dxa"/>
            <w:tcBorders>
              <w:top w:val="nil"/>
              <w:left w:val="single" w:sz="8" w:space="0" w:color="auto"/>
              <w:bottom w:val="nil"/>
              <w:right w:val="nil"/>
            </w:tcBorders>
            <w:shd w:val="clear" w:color="auto" w:fill="auto"/>
            <w:vAlign w:val="center"/>
            <w:hideMark/>
          </w:tcPr>
          <w:p w14:paraId="48B455AE" w14:textId="77777777" w:rsidR="00A81D7F" w:rsidRPr="00A81D7F" w:rsidRDefault="00A81D7F" w:rsidP="00326F06">
            <w:pPr>
              <w:spacing w:after="0" w:line="240" w:lineRule="auto"/>
              <w:ind w:firstLineChars="100" w:firstLine="180"/>
              <w:rPr>
                <w:rFonts w:ascii="Arial Narrow" w:eastAsia="Times New Roman" w:hAnsi="Arial Narrow" w:cs="Arial"/>
                <w:sz w:val="18"/>
                <w:szCs w:val="18"/>
                <w:lang w:eastAsia="pt-BR"/>
              </w:rPr>
            </w:pPr>
            <w:r w:rsidRPr="00A81D7F">
              <w:rPr>
                <w:rFonts w:ascii="Arial Narrow" w:eastAsia="Times New Roman" w:hAnsi="Arial Narrow" w:cs="Arial"/>
                <w:sz w:val="18"/>
                <w:szCs w:val="18"/>
                <w:lang w:eastAsia="pt-BR"/>
              </w:rPr>
              <w:t xml:space="preserve">Amortização da Dívida  </w:t>
            </w:r>
          </w:p>
        </w:tc>
        <w:tc>
          <w:tcPr>
            <w:tcW w:w="1842" w:type="dxa"/>
            <w:tcBorders>
              <w:top w:val="nil"/>
              <w:left w:val="single" w:sz="8" w:space="0" w:color="auto"/>
              <w:bottom w:val="nil"/>
              <w:right w:val="single" w:sz="8" w:space="0" w:color="auto"/>
            </w:tcBorders>
            <w:shd w:val="clear" w:color="auto" w:fill="auto"/>
            <w:vAlign w:val="center"/>
            <w:hideMark/>
          </w:tcPr>
          <w:p w14:paraId="4947DA43" w14:textId="77777777" w:rsidR="00A81D7F" w:rsidRPr="00A81D7F" w:rsidRDefault="00A81D7F" w:rsidP="00326F06">
            <w:pPr>
              <w:spacing w:after="0" w:line="240" w:lineRule="auto"/>
              <w:jc w:val="center"/>
              <w:rPr>
                <w:rFonts w:ascii="Arial Narrow" w:eastAsia="Times New Roman" w:hAnsi="Arial Narrow" w:cs="Arial"/>
                <w:sz w:val="18"/>
                <w:szCs w:val="18"/>
                <w:lang w:eastAsia="pt-BR"/>
              </w:rPr>
            </w:pPr>
            <w:r w:rsidRPr="00A81D7F">
              <w:rPr>
                <w:rFonts w:ascii="Arial Narrow" w:eastAsia="Times New Roman" w:hAnsi="Arial Narrow" w:cs="Arial"/>
                <w:sz w:val="18"/>
                <w:szCs w:val="18"/>
                <w:lang w:eastAsia="pt-BR"/>
              </w:rPr>
              <w:t>BOD.C018</w:t>
            </w:r>
          </w:p>
        </w:tc>
        <w:tc>
          <w:tcPr>
            <w:tcW w:w="1984" w:type="dxa"/>
            <w:tcBorders>
              <w:top w:val="nil"/>
              <w:left w:val="nil"/>
              <w:bottom w:val="nil"/>
              <w:right w:val="single" w:sz="8" w:space="0" w:color="auto"/>
            </w:tcBorders>
            <w:shd w:val="clear" w:color="auto" w:fill="auto"/>
            <w:vAlign w:val="center"/>
            <w:hideMark/>
          </w:tcPr>
          <w:p w14:paraId="648D2550" w14:textId="77777777" w:rsidR="00A81D7F" w:rsidRPr="00A81D7F" w:rsidRDefault="00A81D7F" w:rsidP="00326F06">
            <w:pPr>
              <w:spacing w:after="0" w:line="240" w:lineRule="auto"/>
              <w:jc w:val="center"/>
              <w:rPr>
                <w:rFonts w:ascii="Arial Narrow" w:eastAsia="Times New Roman" w:hAnsi="Arial Narrow" w:cs="Arial"/>
                <w:sz w:val="18"/>
                <w:szCs w:val="18"/>
                <w:lang w:eastAsia="pt-BR"/>
              </w:rPr>
            </w:pPr>
            <w:r w:rsidRPr="00A81D7F">
              <w:rPr>
                <w:rFonts w:ascii="Arial Narrow" w:eastAsia="Times New Roman" w:hAnsi="Arial Narrow" w:cs="Arial"/>
                <w:sz w:val="18"/>
                <w:szCs w:val="18"/>
                <w:lang w:eastAsia="pt-BR"/>
              </w:rPr>
              <w:t>BOD.D018</w:t>
            </w:r>
          </w:p>
        </w:tc>
        <w:tc>
          <w:tcPr>
            <w:tcW w:w="1843" w:type="dxa"/>
            <w:tcBorders>
              <w:top w:val="nil"/>
              <w:left w:val="nil"/>
              <w:bottom w:val="nil"/>
              <w:right w:val="single" w:sz="8" w:space="0" w:color="auto"/>
            </w:tcBorders>
            <w:shd w:val="clear" w:color="auto" w:fill="auto"/>
            <w:vAlign w:val="center"/>
            <w:hideMark/>
          </w:tcPr>
          <w:p w14:paraId="15DD5A43" w14:textId="77777777" w:rsidR="00A81D7F" w:rsidRPr="00A81D7F" w:rsidRDefault="00A81D7F" w:rsidP="00326F06">
            <w:pPr>
              <w:spacing w:after="0" w:line="240" w:lineRule="auto"/>
              <w:jc w:val="center"/>
              <w:rPr>
                <w:rFonts w:ascii="Arial Narrow" w:eastAsia="Times New Roman" w:hAnsi="Arial Narrow" w:cs="Arial"/>
                <w:sz w:val="18"/>
                <w:szCs w:val="18"/>
                <w:lang w:eastAsia="pt-BR"/>
              </w:rPr>
            </w:pPr>
            <w:r w:rsidRPr="00A81D7F">
              <w:rPr>
                <w:rFonts w:ascii="Arial Narrow" w:eastAsia="Times New Roman" w:hAnsi="Arial Narrow" w:cs="Arial"/>
                <w:sz w:val="18"/>
                <w:szCs w:val="18"/>
                <w:lang w:eastAsia="pt-BR"/>
              </w:rPr>
              <w:t>BOD.E018</w:t>
            </w:r>
          </w:p>
        </w:tc>
        <w:tc>
          <w:tcPr>
            <w:tcW w:w="1984" w:type="dxa"/>
            <w:tcBorders>
              <w:top w:val="nil"/>
              <w:left w:val="nil"/>
              <w:bottom w:val="nil"/>
              <w:right w:val="single" w:sz="8" w:space="0" w:color="auto"/>
            </w:tcBorders>
            <w:shd w:val="clear" w:color="auto" w:fill="auto"/>
            <w:vAlign w:val="center"/>
            <w:hideMark/>
          </w:tcPr>
          <w:p w14:paraId="67DC7AE7" w14:textId="77777777" w:rsidR="00A81D7F" w:rsidRPr="00A81D7F" w:rsidRDefault="00A81D7F" w:rsidP="00326F06">
            <w:pPr>
              <w:spacing w:after="0" w:line="240" w:lineRule="auto"/>
              <w:jc w:val="center"/>
              <w:rPr>
                <w:rFonts w:ascii="Arial Narrow" w:eastAsia="Times New Roman" w:hAnsi="Arial Narrow" w:cs="Arial"/>
                <w:sz w:val="18"/>
                <w:szCs w:val="18"/>
                <w:lang w:eastAsia="pt-BR"/>
              </w:rPr>
            </w:pPr>
            <w:r w:rsidRPr="00A81D7F">
              <w:rPr>
                <w:rFonts w:ascii="Arial Narrow" w:eastAsia="Times New Roman" w:hAnsi="Arial Narrow" w:cs="Arial"/>
                <w:sz w:val="18"/>
                <w:szCs w:val="18"/>
                <w:lang w:eastAsia="pt-BR"/>
              </w:rPr>
              <w:t>BOD.F018</w:t>
            </w:r>
          </w:p>
        </w:tc>
        <w:tc>
          <w:tcPr>
            <w:tcW w:w="1701" w:type="dxa"/>
            <w:tcBorders>
              <w:top w:val="nil"/>
              <w:left w:val="nil"/>
              <w:bottom w:val="nil"/>
              <w:right w:val="single" w:sz="8" w:space="0" w:color="auto"/>
            </w:tcBorders>
            <w:shd w:val="clear" w:color="auto" w:fill="auto"/>
            <w:vAlign w:val="center"/>
            <w:hideMark/>
          </w:tcPr>
          <w:p w14:paraId="1063E376" w14:textId="77777777" w:rsidR="00A81D7F" w:rsidRPr="00A81D7F" w:rsidRDefault="00A81D7F" w:rsidP="00326F06">
            <w:pPr>
              <w:spacing w:after="0" w:line="240" w:lineRule="auto"/>
              <w:jc w:val="center"/>
              <w:rPr>
                <w:rFonts w:ascii="Arial Narrow" w:eastAsia="Times New Roman" w:hAnsi="Arial Narrow" w:cs="Arial"/>
                <w:sz w:val="18"/>
                <w:szCs w:val="18"/>
                <w:lang w:eastAsia="pt-BR"/>
              </w:rPr>
            </w:pPr>
            <w:r w:rsidRPr="00A81D7F">
              <w:rPr>
                <w:rFonts w:ascii="Arial Narrow" w:eastAsia="Times New Roman" w:hAnsi="Arial Narrow" w:cs="Arial"/>
                <w:sz w:val="18"/>
                <w:szCs w:val="18"/>
                <w:lang w:eastAsia="pt-BR"/>
              </w:rPr>
              <w:t>BOD.G018</w:t>
            </w:r>
          </w:p>
        </w:tc>
        <w:tc>
          <w:tcPr>
            <w:tcW w:w="1843" w:type="dxa"/>
            <w:tcBorders>
              <w:top w:val="nil"/>
              <w:left w:val="nil"/>
              <w:bottom w:val="nil"/>
              <w:right w:val="single" w:sz="8" w:space="0" w:color="auto"/>
            </w:tcBorders>
            <w:shd w:val="clear" w:color="auto" w:fill="auto"/>
            <w:vAlign w:val="center"/>
            <w:hideMark/>
          </w:tcPr>
          <w:p w14:paraId="6319DCCA" w14:textId="77777777" w:rsidR="00A81D7F" w:rsidRPr="00A81D7F" w:rsidRDefault="00A81D7F" w:rsidP="00326F06">
            <w:pPr>
              <w:spacing w:after="0" w:line="240" w:lineRule="auto"/>
              <w:jc w:val="center"/>
              <w:rPr>
                <w:rFonts w:ascii="Arial Narrow" w:eastAsia="Times New Roman" w:hAnsi="Arial Narrow" w:cs="Arial"/>
                <w:sz w:val="18"/>
                <w:szCs w:val="18"/>
                <w:lang w:eastAsia="pt-BR"/>
              </w:rPr>
            </w:pPr>
            <w:r w:rsidRPr="00A81D7F">
              <w:rPr>
                <w:rFonts w:ascii="Arial Narrow" w:eastAsia="Times New Roman" w:hAnsi="Arial Narrow" w:cs="Arial"/>
                <w:sz w:val="18"/>
                <w:szCs w:val="18"/>
                <w:lang w:eastAsia="pt-BR"/>
              </w:rPr>
              <w:t>BOD.H018</w:t>
            </w:r>
          </w:p>
        </w:tc>
      </w:tr>
      <w:tr w:rsidR="00A81D7F" w:rsidRPr="00D2722A" w14:paraId="108B7594" w14:textId="77777777" w:rsidTr="009B4D16">
        <w:trPr>
          <w:trHeight w:val="270"/>
        </w:trPr>
        <w:tc>
          <w:tcPr>
            <w:tcW w:w="2709" w:type="dxa"/>
            <w:tcBorders>
              <w:top w:val="nil"/>
              <w:left w:val="single" w:sz="8" w:space="0" w:color="auto"/>
              <w:bottom w:val="nil"/>
              <w:right w:val="nil"/>
            </w:tcBorders>
            <w:shd w:val="clear" w:color="auto" w:fill="auto"/>
            <w:vAlign w:val="center"/>
            <w:hideMark/>
          </w:tcPr>
          <w:p w14:paraId="6BE531F0" w14:textId="77777777" w:rsidR="00A81D7F" w:rsidRPr="00A81D7F" w:rsidRDefault="00A81D7F" w:rsidP="00326F06">
            <w:pPr>
              <w:spacing w:after="0" w:line="240" w:lineRule="auto"/>
              <w:rPr>
                <w:rFonts w:ascii="Arial Narrow" w:eastAsia="Times New Roman" w:hAnsi="Arial Narrow" w:cs="Arial"/>
                <w:b/>
                <w:bCs/>
                <w:sz w:val="18"/>
                <w:szCs w:val="18"/>
                <w:lang w:eastAsia="pt-BR"/>
              </w:rPr>
            </w:pPr>
            <w:r w:rsidRPr="00A81D7F">
              <w:rPr>
                <w:rFonts w:ascii="Arial Narrow" w:eastAsia="Times New Roman" w:hAnsi="Arial Narrow" w:cs="Arial"/>
                <w:b/>
                <w:bCs/>
                <w:sz w:val="18"/>
                <w:szCs w:val="18"/>
                <w:lang w:eastAsia="pt-BR"/>
              </w:rPr>
              <w:t> </w:t>
            </w:r>
          </w:p>
        </w:tc>
        <w:tc>
          <w:tcPr>
            <w:tcW w:w="1842" w:type="dxa"/>
            <w:tcBorders>
              <w:top w:val="nil"/>
              <w:left w:val="single" w:sz="8" w:space="0" w:color="auto"/>
              <w:bottom w:val="nil"/>
              <w:right w:val="single" w:sz="8" w:space="0" w:color="auto"/>
            </w:tcBorders>
            <w:shd w:val="clear" w:color="auto" w:fill="auto"/>
            <w:vAlign w:val="center"/>
            <w:hideMark/>
          </w:tcPr>
          <w:p w14:paraId="52B9A3B8" w14:textId="77777777" w:rsidR="00A81D7F" w:rsidRPr="00A81D7F" w:rsidRDefault="00A81D7F" w:rsidP="00326F06">
            <w:pPr>
              <w:spacing w:after="0" w:line="240" w:lineRule="auto"/>
              <w:jc w:val="center"/>
              <w:rPr>
                <w:rFonts w:ascii="Arial Narrow" w:eastAsia="Times New Roman" w:hAnsi="Arial Narrow" w:cs="Arial"/>
                <w:sz w:val="18"/>
                <w:szCs w:val="18"/>
                <w:lang w:eastAsia="pt-BR"/>
              </w:rPr>
            </w:pPr>
            <w:r w:rsidRPr="00A81D7F">
              <w:rPr>
                <w:rFonts w:ascii="Arial Narrow" w:eastAsia="Times New Roman" w:hAnsi="Arial Narrow" w:cs="Arial"/>
                <w:sz w:val="18"/>
                <w:szCs w:val="18"/>
                <w:lang w:eastAsia="pt-BR"/>
              </w:rPr>
              <w:t> </w:t>
            </w:r>
          </w:p>
        </w:tc>
        <w:tc>
          <w:tcPr>
            <w:tcW w:w="1984" w:type="dxa"/>
            <w:tcBorders>
              <w:top w:val="nil"/>
              <w:left w:val="nil"/>
              <w:bottom w:val="nil"/>
              <w:right w:val="single" w:sz="8" w:space="0" w:color="auto"/>
            </w:tcBorders>
            <w:shd w:val="clear" w:color="auto" w:fill="auto"/>
            <w:vAlign w:val="center"/>
            <w:hideMark/>
          </w:tcPr>
          <w:p w14:paraId="36CABA76" w14:textId="77777777" w:rsidR="00A81D7F" w:rsidRPr="00A81D7F" w:rsidRDefault="00A81D7F" w:rsidP="00326F06">
            <w:pPr>
              <w:spacing w:after="0" w:line="240" w:lineRule="auto"/>
              <w:jc w:val="center"/>
              <w:rPr>
                <w:rFonts w:ascii="Arial Narrow" w:eastAsia="Times New Roman" w:hAnsi="Arial Narrow" w:cs="Arial"/>
                <w:sz w:val="18"/>
                <w:szCs w:val="18"/>
                <w:lang w:eastAsia="pt-BR"/>
              </w:rPr>
            </w:pPr>
            <w:r w:rsidRPr="00A81D7F">
              <w:rPr>
                <w:rFonts w:ascii="Arial Narrow" w:eastAsia="Times New Roman" w:hAnsi="Arial Narrow" w:cs="Arial"/>
                <w:sz w:val="18"/>
                <w:szCs w:val="18"/>
                <w:lang w:eastAsia="pt-BR"/>
              </w:rPr>
              <w:t> </w:t>
            </w:r>
          </w:p>
        </w:tc>
        <w:tc>
          <w:tcPr>
            <w:tcW w:w="1843" w:type="dxa"/>
            <w:tcBorders>
              <w:top w:val="nil"/>
              <w:left w:val="nil"/>
              <w:right w:val="single" w:sz="8" w:space="0" w:color="auto"/>
            </w:tcBorders>
            <w:shd w:val="clear" w:color="auto" w:fill="auto"/>
            <w:vAlign w:val="center"/>
            <w:hideMark/>
          </w:tcPr>
          <w:p w14:paraId="1A601AEF" w14:textId="77777777" w:rsidR="00A81D7F" w:rsidRPr="00A81D7F" w:rsidRDefault="00A81D7F" w:rsidP="00326F06">
            <w:pPr>
              <w:spacing w:after="0" w:line="240" w:lineRule="auto"/>
              <w:jc w:val="center"/>
              <w:rPr>
                <w:rFonts w:ascii="Arial Narrow" w:eastAsia="Times New Roman" w:hAnsi="Arial Narrow" w:cs="Arial"/>
                <w:sz w:val="18"/>
                <w:szCs w:val="18"/>
                <w:lang w:eastAsia="pt-BR"/>
              </w:rPr>
            </w:pPr>
            <w:r w:rsidRPr="00A81D7F">
              <w:rPr>
                <w:rFonts w:ascii="Arial Narrow" w:eastAsia="Times New Roman" w:hAnsi="Arial Narrow" w:cs="Arial"/>
                <w:sz w:val="18"/>
                <w:szCs w:val="18"/>
                <w:lang w:eastAsia="pt-BR"/>
              </w:rPr>
              <w:t> </w:t>
            </w:r>
          </w:p>
        </w:tc>
        <w:tc>
          <w:tcPr>
            <w:tcW w:w="1984" w:type="dxa"/>
            <w:tcBorders>
              <w:top w:val="nil"/>
              <w:left w:val="nil"/>
              <w:right w:val="single" w:sz="8" w:space="0" w:color="auto"/>
            </w:tcBorders>
            <w:shd w:val="clear" w:color="auto" w:fill="auto"/>
            <w:vAlign w:val="center"/>
            <w:hideMark/>
          </w:tcPr>
          <w:p w14:paraId="73F60309" w14:textId="77777777" w:rsidR="00A81D7F" w:rsidRPr="00A81D7F" w:rsidRDefault="00A81D7F" w:rsidP="00326F06">
            <w:pPr>
              <w:spacing w:after="0" w:line="240" w:lineRule="auto"/>
              <w:jc w:val="center"/>
              <w:rPr>
                <w:rFonts w:ascii="Arial Narrow" w:eastAsia="Times New Roman" w:hAnsi="Arial Narrow" w:cs="Arial"/>
                <w:sz w:val="18"/>
                <w:szCs w:val="18"/>
                <w:lang w:eastAsia="pt-BR"/>
              </w:rPr>
            </w:pPr>
            <w:r w:rsidRPr="00A81D7F">
              <w:rPr>
                <w:rFonts w:ascii="Arial Narrow" w:eastAsia="Times New Roman" w:hAnsi="Arial Narrow" w:cs="Arial"/>
                <w:sz w:val="18"/>
                <w:szCs w:val="18"/>
                <w:lang w:eastAsia="pt-BR"/>
              </w:rPr>
              <w:t> </w:t>
            </w:r>
          </w:p>
        </w:tc>
        <w:tc>
          <w:tcPr>
            <w:tcW w:w="1701" w:type="dxa"/>
            <w:tcBorders>
              <w:top w:val="nil"/>
              <w:left w:val="nil"/>
              <w:right w:val="single" w:sz="8" w:space="0" w:color="auto"/>
            </w:tcBorders>
            <w:shd w:val="clear" w:color="auto" w:fill="auto"/>
            <w:vAlign w:val="center"/>
            <w:hideMark/>
          </w:tcPr>
          <w:p w14:paraId="3FDF63A9" w14:textId="77777777" w:rsidR="00A81D7F" w:rsidRPr="00A81D7F" w:rsidRDefault="00A81D7F" w:rsidP="00326F06">
            <w:pPr>
              <w:spacing w:after="0" w:line="240" w:lineRule="auto"/>
              <w:jc w:val="center"/>
              <w:rPr>
                <w:rFonts w:ascii="Arial Narrow" w:eastAsia="Times New Roman" w:hAnsi="Arial Narrow" w:cs="Arial"/>
                <w:sz w:val="18"/>
                <w:szCs w:val="18"/>
                <w:lang w:eastAsia="pt-BR"/>
              </w:rPr>
            </w:pPr>
            <w:r w:rsidRPr="00A81D7F">
              <w:rPr>
                <w:rFonts w:ascii="Arial Narrow" w:eastAsia="Times New Roman" w:hAnsi="Arial Narrow" w:cs="Arial"/>
                <w:sz w:val="18"/>
                <w:szCs w:val="18"/>
                <w:lang w:eastAsia="pt-BR"/>
              </w:rPr>
              <w:t> </w:t>
            </w:r>
          </w:p>
        </w:tc>
        <w:tc>
          <w:tcPr>
            <w:tcW w:w="1843" w:type="dxa"/>
            <w:tcBorders>
              <w:top w:val="nil"/>
              <w:left w:val="nil"/>
              <w:bottom w:val="nil"/>
              <w:right w:val="single" w:sz="8" w:space="0" w:color="auto"/>
            </w:tcBorders>
            <w:shd w:val="clear" w:color="auto" w:fill="auto"/>
            <w:vAlign w:val="center"/>
            <w:hideMark/>
          </w:tcPr>
          <w:p w14:paraId="77FF19BE" w14:textId="77777777" w:rsidR="00A81D7F" w:rsidRPr="00A81D7F" w:rsidRDefault="00A81D7F" w:rsidP="00326F06">
            <w:pPr>
              <w:spacing w:after="0" w:line="240" w:lineRule="auto"/>
              <w:jc w:val="center"/>
              <w:rPr>
                <w:rFonts w:ascii="Arial Narrow" w:eastAsia="Times New Roman" w:hAnsi="Arial Narrow" w:cs="Arial"/>
                <w:sz w:val="18"/>
                <w:szCs w:val="18"/>
                <w:lang w:eastAsia="pt-BR"/>
              </w:rPr>
            </w:pPr>
            <w:r w:rsidRPr="00A81D7F">
              <w:rPr>
                <w:rFonts w:ascii="Arial Narrow" w:eastAsia="Times New Roman" w:hAnsi="Arial Narrow" w:cs="Arial"/>
                <w:sz w:val="18"/>
                <w:szCs w:val="18"/>
                <w:lang w:eastAsia="pt-BR"/>
              </w:rPr>
              <w:t> </w:t>
            </w:r>
          </w:p>
        </w:tc>
      </w:tr>
      <w:tr w:rsidR="00A81D7F" w:rsidRPr="00D2722A" w14:paraId="54B62D43" w14:textId="77777777" w:rsidTr="009B4D16">
        <w:trPr>
          <w:trHeight w:val="255"/>
        </w:trPr>
        <w:tc>
          <w:tcPr>
            <w:tcW w:w="2709" w:type="dxa"/>
            <w:tcBorders>
              <w:top w:val="nil"/>
              <w:left w:val="single" w:sz="8" w:space="0" w:color="auto"/>
              <w:right w:val="nil"/>
            </w:tcBorders>
            <w:shd w:val="clear" w:color="auto" w:fill="auto"/>
            <w:vAlign w:val="center"/>
            <w:hideMark/>
          </w:tcPr>
          <w:p w14:paraId="512A6371" w14:textId="77777777" w:rsidR="00A81D7F" w:rsidRPr="00A81D7F" w:rsidRDefault="00A81D7F" w:rsidP="00326F06">
            <w:pPr>
              <w:spacing w:after="0" w:line="240" w:lineRule="auto"/>
              <w:rPr>
                <w:rFonts w:ascii="Arial Narrow" w:eastAsia="Times New Roman" w:hAnsi="Arial Narrow" w:cs="Arial"/>
                <w:b/>
                <w:bCs/>
                <w:sz w:val="18"/>
                <w:szCs w:val="18"/>
                <w:lang w:eastAsia="pt-BR"/>
              </w:rPr>
            </w:pPr>
            <w:r w:rsidRPr="00A81D7F">
              <w:rPr>
                <w:rFonts w:ascii="Arial Narrow" w:eastAsia="Times New Roman" w:hAnsi="Arial Narrow" w:cs="Arial"/>
                <w:b/>
                <w:bCs/>
                <w:sz w:val="18"/>
                <w:szCs w:val="18"/>
                <w:lang w:eastAsia="pt-BR"/>
              </w:rPr>
              <w:t>RESERVA DE CONTINGÊNCIA (X)</w:t>
            </w:r>
          </w:p>
        </w:tc>
        <w:tc>
          <w:tcPr>
            <w:tcW w:w="1842" w:type="dxa"/>
            <w:tcBorders>
              <w:top w:val="nil"/>
              <w:left w:val="single" w:sz="8" w:space="0" w:color="auto"/>
              <w:bottom w:val="nil"/>
              <w:right w:val="single" w:sz="8" w:space="0" w:color="auto"/>
            </w:tcBorders>
            <w:shd w:val="clear" w:color="auto" w:fill="auto"/>
            <w:vAlign w:val="center"/>
            <w:hideMark/>
          </w:tcPr>
          <w:p w14:paraId="6235B420" w14:textId="77777777" w:rsidR="00A81D7F" w:rsidRPr="00A81D7F" w:rsidRDefault="00A81D7F" w:rsidP="00326F06">
            <w:pPr>
              <w:spacing w:after="0" w:line="240" w:lineRule="auto"/>
              <w:jc w:val="center"/>
              <w:rPr>
                <w:rFonts w:ascii="Arial Narrow" w:eastAsia="Times New Roman" w:hAnsi="Arial Narrow" w:cs="Arial"/>
                <w:b/>
                <w:bCs/>
                <w:sz w:val="18"/>
                <w:szCs w:val="18"/>
                <w:lang w:eastAsia="pt-BR"/>
              </w:rPr>
            </w:pPr>
            <w:r w:rsidRPr="00A81D7F">
              <w:rPr>
                <w:rFonts w:ascii="Arial Narrow" w:eastAsia="Times New Roman" w:hAnsi="Arial Narrow" w:cs="Arial"/>
                <w:b/>
                <w:bCs/>
                <w:sz w:val="18"/>
                <w:szCs w:val="18"/>
                <w:lang w:eastAsia="pt-BR"/>
              </w:rPr>
              <w:t>BOD.C020</w:t>
            </w:r>
          </w:p>
        </w:tc>
        <w:tc>
          <w:tcPr>
            <w:tcW w:w="1984" w:type="dxa"/>
            <w:tcBorders>
              <w:top w:val="nil"/>
              <w:left w:val="nil"/>
              <w:bottom w:val="nil"/>
              <w:right w:val="single" w:sz="8" w:space="0" w:color="auto"/>
            </w:tcBorders>
            <w:shd w:val="clear" w:color="auto" w:fill="auto"/>
            <w:vAlign w:val="center"/>
            <w:hideMark/>
          </w:tcPr>
          <w:p w14:paraId="414C13CE" w14:textId="77777777" w:rsidR="00A81D7F" w:rsidRPr="00A81D7F" w:rsidRDefault="00A81D7F" w:rsidP="00326F06">
            <w:pPr>
              <w:spacing w:after="0" w:line="240" w:lineRule="auto"/>
              <w:jc w:val="center"/>
              <w:rPr>
                <w:rFonts w:ascii="Arial Narrow" w:eastAsia="Times New Roman" w:hAnsi="Arial Narrow" w:cs="Arial"/>
                <w:b/>
                <w:bCs/>
                <w:sz w:val="18"/>
                <w:szCs w:val="18"/>
                <w:lang w:eastAsia="pt-BR"/>
              </w:rPr>
            </w:pPr>
            <w:r w:rsidRPr="00A81D7F">
              <w:rPr>
                <w:rFonts w:ascii="Arial Narrow" w:eastAsia="Times New Roman" w:hAnsi="Arial Narrow" w:cs="Arial"/>
                <w:b/>
                <w:bCs/>
                <w:sz w:val="18"/>
                <w:szCs w:val="18"/>
                <w:lang w:eastAsia="pt-BR"/>
              </w:rPr>
              <w:t>BOD.D020</w:t>
            </w:r>
          </w:p>
        </w:tc>
        <w:tc>
          <w:tcPr>
            <w:tcW w:w="1843" w:type="dxa"/>
            <w:tcBorders>
              <w:top w:val="nil"/>
              <w:left w:val="nil"/>
              <w:bottom w:val="single" w:sz="8" w:space="0" w:color="auto"/>
              <w:right w:val="single" w:sz="8" w:space="0" w:color="auto"/>
            </w:tcBorders>
            <w:shd w:val="clear" w:color="auto" w:fill="808080" w:themeFill="background1" w:themeFillShade="80"/>
            <w:vAlign w:val="center"/>
          </w:tcPr>
          <w:p w14:paraId="1EA09A0F" w14:textId="77777777" w:rsidR="00A81D7F" w:rsidRPr="009B4D16" w:rsidRDefault="00A81D7F" w:rsidP="00326F06">
            <w:pPr>
              <w:spacing w:after="0" w:line="240" w:lineRule="auto"/>
              <w:jc w:val="center"/>
              <w:rPr>
                <w:rFonts w:ascii="Arial Narrow" w:eastAsia="Times New Roman" w:hAnsi="Arial Narrow" w:cs="Arial"/>
                <w:b/>
                <w:bCs/>
                <w:strike/>
                <w:sz w:val="18"/>
                <w:szCs w:val="18"/>
                <w:lang w:eastAsia="pt-BR"/>
              </w:rPr>
            </w:pPr>
          </w:p>
        </w:tc>
        <w:tc>
          <w:tcPr>
            <w:tcW w:w="1984" w:type="dxa"/>
            <w:tcBorders>
              <w:top w:val="nil"/>
              <w:left w:val="nil"/>
              <w:bottom w:val="single" w:sz="8" w:space="0" w:color="auto"/>
              <w:right w:val="single" w:sz="8" w:space="0" w:color="auto"/>
            </w:tcBorders>
            <w:shd w:val="clear" w:color="auto" w:fill="808080" w:themeFill="background1" w:themeFillShade="80"/>
            <w:vAlign w:val="center"/>
          </w:tcPr>
          <w:p w14:paraId="1242EB39" w14:textId="77777777" w:rsidR="00A81D7F" w:rsidRPr="009B4D16" w:rsidRDefault="00A81D7F" w:rsidP="00326F06">
            <w:pPr>
              <w:spacing w:after="0" w:line="240" w:lineRule="auto"/>
              <w:jc w:val="center"/>
              <w:rPr>
                <w:rFonts w:ascii="Arial Narrow" w:eastAsia="Times New Roman" w:hAnsi="Arial Narrow" w:cs="Arial"/>
                <w:b/>
                <w:bCs/>
                <w:sz w:val="18"/>
                <w:szCs w:val="18"/>
                <w:highlight w:val="darkGray"/>
                <w:lang w:eastAsia="pt-BR"/>
              </w:rPr>
            </w:pPr>
          </w:p>
        </w:tc>
        <w:tc>
          <w:tcPr>
            <w:tcW w:w="1701" w:type="dxa"/>
            <w:tcBorders>
              <w:top w:val="nil"/>
              <w:left w:val="nil"/>
              <w:bottom w:val="single" w:sz="8" w:space="0" w:color="auto"/>
              <w:right w:val="single" w:sz="8" w:space="0" w:color="auto"/>
            </w:tcBorders>
            <w:shd w:val="clear" w:color="auto" w:fill="808080" w:themeFill="background1" w:themeFillShade="80"/>
            <w:vAlign w:val="center"/>
          </w:tcPr>
          <w:p w14:paraId="2C469EE8" w14:textId="77777777" w:rsidR="00A81D7F" w:rsidRPr="009B4D16" w:rsidRDefault="00A81D7F" w:rsidP="00326F06">
            <w:pPr>
              <w:spacing w:after="0" w:line="240" w:lineRule="auto"/>
              <w:jc w:val="center"/>
              <w:rPr>
                <w:rFonts w:ascii="Arial Narrow" w:eastAsia="Times New Roman" w:hAnsi="Arial Narrow" w:cs="Arial"/>
                <w:b/>
                <w:bCs/>
                <w:sz w:val="18"/>
                <w:szCs w:val="18"/>
                <w:highlight w:val="darkGray"/>
                <w:lang w:eastAsia="pt-BR"/>
              </w:rPr>
            </w:pPr>
          </w:p>
        </w:tc>
        <w:tc>
          <w:tcPr>
            <w:tcW w:w="1843" w:type="dxa"/>
            <w:tcBorders>
              <w:top w:val="nil"/>
              <w:left w:val="nil"/>
              <w:bottom w:val="nil"/>
              <w:right w:val="single" w:sz="8" w:space="0" w:color="auto"/>
            </w:tcBorders>
            <w:shd w:val="clear" w:color="auto" w:fill="auto"/>
            <w:vAlign w:val="center"/>
            <w:hideMark/>
          </w:tcPr>
          <w:p w14:paraId="2C4B02C6" w14:textId="77777777" w:rsidR="00A81D7F" w:rsidRPr="00A81D7F" w:rsidRDefault="00A81D7F" w:rsidP="00326F06">
            <w:pPr>
              <w:spacing w:after="0" w:line="240" w:lineRule="auto"/>
              <w:jc w:val="center"/>
              <w:rPr>
                <w:rFonts w:ascii="Arial Narrow" w:eastAsia="Times New Roman" w:hAnsi="Arial Narrow" w:cs="Arial"/>
                <w:b/>
                <w:bCs/>
                <w:sz w:val="18"/>
                <w:szCs w:val="18"/>
                <w:lang w:eastAsia="pt-BR"/>
              </w:rPr>
            </w:pPr>
            <w:r w:rsidRPr="00A81D7F">
              <w:rPr>
                <w:rFonts w:ascii="Arial Narrow" w:eastAsia="Times New Roman" w:hAnsi="Arial Narrow" w:cs="Arial"/>
                <w:b/>
                <w:bCs/>
                <w:sz w:val="18"/>
                <w:szCs w:val="18"/>
                <w:lang w:eastAsia="pt-BR"/>
              </w:rPr>
              <w:t>BOD.H020</w:t>
            </w:r>
          </w:p>
        </w:tc>
      </w:tr>
      <w:tr w:rsidR="00A81D7F" w:rsidRPr="00D2722A" w14:paraId="1A11CC62" w14:textId="77777777" w:rsidTr="009B4D16">
        <w:trPr>
          <w:trHeight w:val="345"/>
        </w:trPr>
        <w:tc>
          <w:tcPr>
            <w:tcW w:w="2709"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BF33A2E" w14:textId="77777777" w:rsidR="00A81D7F" w:rsidRPr="00A81D7F" w:rsidRDefault="00A81D7F" w:rsidP="00326F06">
            <w:pPr>
              <w:spacing w:after="0" w:line="240" w:lineRule="auto"/>
              <w:rPr>
                <w:rFonts w:ascii="Arial Narrow" w:eastAsia="Times New Roman" w:hAnsi="Arial Narrow" w:cs="Arial"/>
                <w:b/>
                <w:bCs/>
                <w:sz w:val="18"/>
                <w:szCs w:val="18"/>
                <w:lang w:eastAsia="pt-BR"/>
              </w:rPr>
            </w:pPr>
            <w:r w:rsidRPr="00A81D7F">
              <w:rPr>
                <w:rFonts w:ascii="Arial Narrow" w:eastAsia="Times New Roman" w:hAnsi="Arial Narrow" w:cs="Arial"/>
                <w:b/>
                <w:bCs/>
                <w:sz w:val="18"/>
                <w:szCs w:val="18"/>
                <w:lang w:eastAsia="pt-BR"/>
              </w:rPr>
              <w:t>SUBTOTAL DAS DESPESAS (XI) = (VIII + IX + X)</w:t>
            </w:r>
          </w:p>
        </w:tc>
        <w:tc>
          <w:tcPr>
            <w:tcW w:w="1842" w:type="dxa"/>
            <w:tcBorders>
              <w:top w:val="single" w:sz="8" w:space="0" w:color="auto"/>
              <w:left w:val="nil"/>
              <w:bottom w:val="nil"/>
              <w:right w:val="single" w:sz="8" w:space="0" w:color="auto"/>
            </w:tcBorders>
            <w:shd w:val="clear" w:color="auto" w:fill="auto"/>
            <w:vAlign w:val="center"/>
            <w:hideMark/>
          </w:tcPr>
          <w:p w14:paraId="6D0BE48E" w14:textId="77777777" w:rsidR="00A81D7F" w:rsidRPr="00A81D7F" w:rsidRDefault="00A81D7F" w:rsidP="00326F06">
            <w:pPr>
              <w:spacing w:after="0" w:line="240" w:lineRule="auto"/>
              <w:jc w:val="center"/>
              <w:rPr>
                <w:rFonts w:ascii="Arial Narrow" w:eastAsia="Times New Roman" w:hAnsi="Arial Narrow" w:cs="Arial"/>
                <w:b/>
                <w:bCs/>
                <w:sz w:val="18"/>
                <w:szCs w:val="18"/>
                <w:lang w:eastAsia="pt-BR"/>
              </w:rPr>
            </w:pPr>
            <w:r w:rsidRPr="00A81D7F">
              <w:rPr>
                <w:rFonts w:ascii="Arial Narrow" w:eastAsia="Times New Roman" w:hAnsi="Arial Narrow" w:cs="Arial"/>
                <w:b/>
                <w:bCs/>
                <w:sz w:val="18"/>
                <w:szCs w:val="18"/>
                <w:lang w:eastAsia="pt-BR"/>
              </w:rPr>
              <w:t>BOD.C023</w:t>
            </w:r>
          </w:p>
        </w:tc>
        <w:tc>
          <w:tcPr>
            <w:tcW w:w="1984" w:type="dxa"/>
            <w:tcBorders>
              <w:top w:val="single" w:sz="8" w:space="0" w:color="auto"/>
              <w:left w:val="nil"/>
              <w:bottom w:val="nil"/>
              <w:right w:val="single" w:sz="8" w:space="0" w:color="auto"/>
            </w:tcBorders>
            <w:shd w:val="clear" w:color="auto" w:fill="auto"/>
            <w:vAlign w:val="center"/>
            <w:hideMark/>
          </w:tcPr>
          <w:p w14:paraId="7C4C0083" w14:textId="77777777" w:rsidR="00A81D7F" w:rsidRPr="00A81D7F" w:rsidRDefault="00A81D7F" w:rsidP="00326F06">
            <w:pPr>
              <w:spacing w:after="0" w:line="240" w:lineRule="auto"/>
              <w:jc w:val="center"/>
              <w:rPr>
                <w:rFonts w:ascii="Arial Narrow" w:eastAsia="Times New Roman" w:hAnsi="Arial Narrow" w:cs="Arial"/>
                <w:b/>
                <w:bCs/>
                <w:sz w:val="18"/>
                <w:szCs w:val="18"/>
                <w:lang w:eastAsia="pt-BR"/>
              </w:rPr>
            </w:pPr>
            <w:r w:rsidRPr="00A81D7F">
              <w:rPr>
                <w:rFonts w:ascii="Arial Narrow" w:eastAsia="Times New Roman" w:hAnsi="Arial Narrow" w:cs="Arial"/>
                <w:b/>
                <w:bCs/>
                <w:sz w:val="18"/>
                <w:szCs w:val="18"/>
                <w:lang w:eastAsia="pt-BR"/>
              </w:rPr>
              <w:t>BOD.D023</w:t>
            </w:r>
          </w:p>
        </w:tc>
        <w:tc>
          <w:tcPr>
            <w:tcW w:w="1843" w:type="dxa"/>
            <w:tcBorders>
              <w:top w:val="single" w:sz="8" w:space="0" w:color="auto"/>
              <w:left w:val="nil"/>
              <w:bottom w:val="nil"/>
              <w:right w:val="single" w:sz="8" w:space="0" w:color="auto"/>
            </w:tcBorders>
            <w:shd w:val="clear" w:color="auto" w:fill="auto"/>
            <w:vAlign w:val="center"/>
            <w:hideMark/>
          </w:tcPr>
          <w:p w14:paraId="0ABC9535" w14:textId="77777777" w:rsidR="00A81D7F" w:rsidRPr="00A81D7F" w:rsidRDefault="00A81D7F" w:rsidP="00326F06">
            <w:pPr>
              <w:spacing w:after="0" w:line="240" w:lineRule="auto"/>
              <w:jc w:val="center"/>
              <w:rPr>
                <w:rFonts w:ascii="Arial Narrow" w:eastAsia="Times New Roman" w:hAnsi="Arial Narrow" w:cs="Arial"/>
                <w:b/>
                <w:bCs/>
                <w:sz w:val="18"/>
                <w:szCs w:val="18"/>
                <w:lang w:eastAsia="pt-BR"/>
              </w:rPr>
            </w:pPr>
            <w:r w:rsidRPr="00A81D7F">
              <w:rPr>
                <w:rFonts w:ascii="Arial Narrow" w:eastAsia="Times New Roman" w:hAnsi="Arial Narrow" w:cs="Arial"/>
                <w:b/>
                <w:bCs/>
                <w:sz w:val="18"/>
                <w:szCs w:val="18"/>
                <w:lang w:eastAsia="pt-BR"/>
              </w:rPr>
              <w:t>BOD.E023</w:t>
            </w:r>
          </w:p>
        </w:tc>
        <w:tc>
          <w:tcPr>
            <w:tcW w:w="1984" w:type="dxa"/>
            <w:tcBorders>
              <w:top w:val="single" w:sz="8" w:space="0" w:color="auto"/>
              <w:left w:val="nil"/>
              <w:bottom w:val="nil"/>
              <w:right w:val="single" w:sz="8" w:space="0" w:color="auto"/>
            </w:tcBorders>
            <w:shd w:val="clear" w:color="auto" w:fill="auto"/>
            <w:vAlign w:val="center"/>
            <w:hideMark/>
          </w:tcPr>
          <w:p w14:paraId="7FB4D037" w14:textId="77777777" w:rsidR="00A81D7F" w:rsidRPr="00A81D7F" w:rsidRDefault="00A81D7F" w:rsidP="00326F06">
            <w:pPr>
              <w:spacing w:after="0" w:line="240" w:lineRule="auto"/>
              <w:jc w:val="center"/>
              <w:rPr>
                <w:rFonts w:ascii="Arial Narrow" w:eastAsia="Times New Roman" w:hAnsi="Arial Narrow" w:cs="Arial"/>
                <w:b/>
                <w:bCs/>
                <w:sz w:val="18"/>
                <w:szCs w:val="18"/>
                <w:lang w:eastAsia="pt-BR"/>
              </w:rPr>
            </w:pPr>
            <w:r w:rsidRPr="00A81D7F">
              <w:rPr>
                <w:rFonts w:ascii="Arial Narrow" w:eastAsia="Times New Roman" w:hAnsi="Arial Narrow" w:cs="Arial"/>
                <w:b/>
                <w:bCs/>
                <w:sz w:val="18"/>
                <w:szCs w:val="18"/>
                <w:lang w:eastAsia="pt-BR"/>
              </w:rPr>
              <w:t>BOD.F023</w:t>
            </w:r>
          </w:p>
        </w:tc>
        <w:tc>
          <w:tcPr>
            <w:tcW w:w="1701" w:type="dxa"/>
            <w:tcBorders>
              <w:top w:val="single" w:sz="8" w:space="0" w:color="auto"/>
              <w:left w:val="nil"/>
              <w:bottom w:val="nil"/>
              <w:right w:val="single" w:sz="8" w:space="0" w:color="auto"/>
            </w:tcBorders>
            <w:shd w:val="clear" w:color="auto" w:fill="auto"/>
            <w:vAlign w:val="center"/>
            <w:hideMark/>
          </w:tcPr>
          <w:p w14:paraId="56A4D680" w14:textId="77777777" w:rsidR="00A81D7F" w:rsidRPr="00A81D7F" w:rsidRDefault="00A81D7F" w:rsidP="00326F06">
            <w:pPr>
              <w:spacing w:after="0" w:line="240" w:lineRule="auto"/>
              <w:jc w:val="center"/>
              <w:rPr>
                <w:rFonts w:ascii="Arial Narrow" w:eastAsia="Times New Roman" w:hAnsi="Arial Narrow" w:cs="Arial"/>
                <w:b/>
                <w:bCs/>
                <w:sz w:val="18"/>
                <w:szCs w:val="18"/>
                <w:lang w:eastAsia="pt-BR"/>
              </w:rPr>
            </w:pPr>
            <w:r w:rsidRPr="00A81D7F">
              <w:rPr>
                <w:rFonts w:ascii="Arial Narrow" w:eastAsia="Times New Roman" w:hAnsi="Arial Narrow" w:cs="Arial"/>
                <w:b/>
                <w:bCs/>
                <w:sz w:val="18"/>
                <w:szCs w:val="18"/>
                <w:lang w:eastAsia="pt-BR"/>
              </w:rPr>
              <w:t>BOD.G023</w:t>
            </w:r>
          </w:p>
        </w:tc>
        <w:tc>
          <w:tcPr>
            <w:tcW w:w="1843" w:type="dxa"/>
            <w:tcBorders>
              <w:top w:val="single" w:sz="8" w:space="0" w:color="auto"/>
              <w:left w:val="nil"/>
              <w:bottom w:val="nil"/>
              <w:right w:val="single" w:sz="8" w:space="0" w:color="auto"/>
            </w:tcBorders>
            <w:shd w:val="clear" w:color="auto" w:fill="auto"/>
            <w:vAlign w:val="center"/>
            <w:hideMark/>
          </w:tcPr>
          <w:p w14:paraId="0CC5C48B" w14:textId="77777777" w:rsidR="00A81D7F" w:rsidRPr="00A81D7F" w:rsidRDefault="00A81D7F" w:rsidP="00326F06">
            <w:pPr>
              <w:spacing w:after="0" w:line="240" w:lineRule="auto"/>
              <w:jc w:val="center"/>
              <w:rPr>
                <w:rFonts w:ascii="Arial Narrow" w:eastAsia="Times New Roman" w:hAnsi="Arial Narrow" w:cs="Arial"/>
                <w:b/>
                <w:bCs/>
                <w:sz w:val="18"/>
                <w:szCs w:val="18"/>
                <w:lang w:eastAsia="pt-BR"/>
              </w:rPr>
            </w:pPr>
            <w:r w:rsidRPr="00A81D7F">
              <w:rPr>
                <w:rFonts w:ascii="Arial Narrow" w:eastAsia="Times New Roman" w:hAnsi="Arial Narrow" w:cs="Arial"/>
                <w:b/>
                <w:bCs/>
                <w:sz w:val="18"/>
                <w:szCs w:val="18"/>
                <w:lang w:eastAsia="pt-BR"/>
              </w:rPr>
              <w:t>BOD.H023</w:t>
            </w:r>
          </w:p>
        </w:tc>
      </w:tr>
      <w:tr w:rsidR="00A81D7F" w:rsidRPr="00D2722A" w14:paraId="21D5A9D3" w14:textId="77777777" w:rsidTr="00326F06">
        <w:trPr>
          <w:trHeight w:val="345"/>
        </w:trPr>
        <w:tc>
          <w:tcPr>
            <w:tcW w:w="2709" w:type="dxa"/>
            <w:tcBorders>
              <w:top w:val="nil"/>
              <w:left w:val="single" w:sz="8" w:space="0" w:color="auto"/>
              <w:bottom w:val="single" w:sz="8" w:space="0" w:color="auto"/>
              <w:right w:val="single" w:sz="8" w:space="0" w:color="auto"/>
            </w:tcBorders>
            <w:shd w:val="clear" w:color="auto" w:fill="auto"/>
            <w:vAlign w:val="center"/>
            <w:hideMark/>
          </w:tcPr>
          <w:p w14:paraId="37DA94CF" w14:textId="77777777" w:rsidR="00A81D7F" w:rsidRPr="00A81D7F" w:rsidRDefault="00A81D7F" w:rsidP="00326F06">
            <w:pPr>
              <w:spacing w:after="0" w:line="240" w:lineRule="auto"/>
              <w:rPr>
                <w:rFonts w:ascii="Arial Narrow" w:eastAsia="Times New Roman" w:hAnsi="Arial Narrow" w:cs="Arial"/>
                <w:b/>
                <w:bCs/>
                <w:sz w:val="18"/>
                <w:szCs w:val="18"/>
                <w:lang w:eastAsia="pt-BR"/>
              </w:rPr>
            </w:pPr>
            <w:r w:rsidRPr="00A81D7F">
              <w:rPr>
                <w:rFonts w:ascii="Arial Narrow" w:eastAsia="Times New Roman" w:hAnsi="Arial Narrow" w:cs="Arial"/>
                <w:b/>
                <w:bCs/>
                <w:sz w:val="18"/>
                <w:szCs w:val="18"/>
                <w:lang w:eastAsia="pt-BR"/>
              </w:rPr>
              <w:t>AMORTIZAÇÃO DA DÍVIDA / REFINANCIAMENTO (XII)</w:t>
            </w:r>
          </w:p>
        </w:tc>
        <w:tc>
          <w:tcPr>
            <w:tcW w:w="1842" w:type="dxa"/>
            <w:tcBorders>
              <w:top w:val="single" w:sz="8" w:space="0" w:color="auto"/>
              <w:left w:val="nil"/>
              <w:bottom w:val="single" w:sz="8" w:space="0" w:color="auto"/>
              <w:right w:val="nil"/>
            </w:tcBorders>
            <w:shd w:val="clear" w:color="auto" w:fill="auto"/>
            <w:vAlign w:val="center"/>
            <w:hideMark/>
          </w:tcPr>
          <w:p w14:paraId="578B8E6F" w14:textId="77777777" w:rsidR="00A81D7F" w:rsidRPr="00A81D7F" w:rsidRDefault="00A81D7F" w:rsidP="00326F06">
            <w:pPr>
              <w:spacing w:after="0" w:line="240" w:lineRule="auto"/>
              <w:jc w:val="center"/>
              <w:rPr>
                <w:rFonts w:ascii="Arial Narrow" w:eastAsia="Times New Roman" w:hAnsi="Arial Narrow" w:cs="Arial"/>
                <w:b/>
                <w:bCs/>
                <w:sz w:val="18"/>
                <w:szCs w:val="18"/>
                <w:lang w:eastAsia="pt-BR"/>
              </w:rPr>
            </w:pPr>
            <w:r w:rsidRPr="00A81D7F">
              <w:rPr>
                <w:rFonts w:ascii="Arial Narrow" w:eastAsia="Times New Roman" w:hAnsi="Arial Narrow" w:cs="Arial"/>
                <w:b/>
                <w:bCs/>
                <w:sz w:val="18"/>
                <w:szCs w:val="18"/>
                <w:lang w:eastAsia="pt-BR"/>
              </w:rPr>
              <w:t>BOD.C024</w:t>
            </w:r>
          </w:p>
        </w:tc>
        <w:tc>
          <w:tcPr>
            <w:tcW w:w="198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FE40BDF" w14:textId="77777777" w:rsidR="00A81D7F" w:rsidRPr="00A81D7F" w:rsidRDefault="00A81D7F" w:rsidP="00326F06">
            <w:pPr>
              <w:spacing w:after="0" w:line="240" w:lineRule="auto"/>
              <w:jc w:val="center"/>
              <w:rPr>
                <w:rFonts w:ascii="Arial Narrow" w:eastAsia="Times New Roman" w:hAnsi="Arial Narrow" w:cs="Arial"/>
                <w:b/>
                <w:bCs/>
                <w:sz w:val="18"/>
                <w:szCs w:val="18"/>
                <w:lang w:eastAsia="pt-BR"/>
              </w:rPr>
            </w:pPr>
            <w:r w:rsidRPr="00A81D7F">
              <w:rPr>
                <w:rFonts w:ascii="Arial Narrow" w:eastAsia="Times New Roman" w:hAnsi="Arial Narrow" w:cs="Arial"/>
                <w:b/>
                <w:bCs/>
                <w:sz w:val="18"/>
                <w:szCs w:val="18"/>
                <w:lang w:eastAsia="pt-BR"/>
              </w:rPr>
              <w:t>BOD.D024</w:t>
            </w:r>
          </w:p>
        </w:tc>
        <w:tc>
          <w:tcPr>
            <w:tcW w:w="1843" w:type="dxa"/>
            <w:tcBorders>
              <w:top w:val="single" w:sz="8" w:space="0" w:color="auto"/>
              <w:left w:val="nil"/>
              <w:bottom w:val="single" w:sz="8" w:space="0" w:color="auto"/>
              <w:right w:val="single" w:sz="8" w:space="0" w:color="auto"/>
            </w:tcBorders>
            <w:shd w:val="clear" w:color="auto" w:fill="auto"/>
            <w:vAlign w:val="center"/>
            <w:hideMark/>
          </w:tcPr>
          <w:p w14:paraId="0AA831CC" w14:textId="77777777" w:rsidR="00A81D7F" w:rsidRPr="00A81D7F" w:rsidRDefault="00A81D7F" w:rsidP="00326F06">
            <w:pPr>
              <w:spacing w:after="0" w:line="240" w:lineRule="auto"/>
              <w:jc w:val="center"/>
              <w:rPr>
                <w:rFonts w:ascii="Arial Narrow" w:eastAsia="Times New Roman" w:hAnsi="Arial Narrow" w:cs="Arial"/>
                <w:b/>
                <w:bCs/>
                <w:sz w:val="18"/>
                <w:szCs w:val="18"/>
                <w:lang w:eastAsia="pt-BR"/>
              </w:rPr>
            </w:pPr>
            <w:r w:rsidRPr="00A81D7F">
              <w:rPr>
                <w:rFonts w:ascii="Arial Narrow" w:eastAsia="Times New Roman" w:hAnsi="Arial Narrow" w:cs="Arial"/>
                <w:b/>
                <w:bCs/>
                <w:sz w:val="18"/>
                <w:szCs w:val="18"/>
                <w:lang w:eastAsia="pt-BR"/>
              </w:rPr>
              <w:t>BOD.E024</w:t>
            </w:r>
          </w:p>
        </w:tc>
        <w:tc>
          <w:tcPr>
            <w:tcW w:w="1984" w:type="dxa"/>
            <w:tcBorders>
              <w:top w:val="single" w:sz="8" w:space="0" w:color="auto"/>
              <w:left w:val="nil"/>
              <w:bottom w:val="single" w:sz="8" w:space="0" w:color="auto"/>
              <w:right w:val="single" w:sz="8" w:space="0" w:color="auto"/>
            </w:tcBorders>
            <w:shd w:val="clear" w:color="auto" w:fill="auto"/>
            <w:vAlign w:val="center"/>
            <w:hideMark/>
          </w:tcPr>
          <w:p w14:paraId="718B1308" w14:textId="77777777" w:rsidR="00A81D7F" w:rsidRPr="00A81D7F" w:rsidRDefault="00A81D7F" w:rsidP="00326F06">
            <w:pPr>
              <w:spacing w:after="0" w:line="240" w:lineRule="auto"/>
              <w:jc w:val="center"/>
              <w:rPr>
                <w:rFonts w:ascii="Arial Narrow" w:eastAsia="Times New Roman" w:hAnsi="Arial Narrow" w:cs="Arial"/>
                <w:b/>
                <w:bCs/>
                <w:sz w:val="18"/>
                <w:szCs w:val="18"/>
                <w:lang w:eastAsia="pt-BR"/>
              </w:rPr>
            </w:pPr>
            <w:r w:rsidRPr="00A81D7F">
              <w:rPr>
                <w:rFonts w:ascii="Arial Narrow" w:eastAsia="Times New Roman" w:hAnsi="Arial Narrow" w:cs="Arial"/>
                <w:b/>
                <w:bCs/>
                <w:sz w:val="18"/>
                <w:szCs w:val="18"/>
                <w:lang w:eastAsia="pt-BR"/>
              </w:rPr>
              <w:t>BOD.F024</w:t>
            </w:r>
          </w:p>
        </w:tc>
        <w:tc>
          <w:tcPr>
            <w:tcW w:w="1701" w:type="dxa"/>
            <w:tcBorders>
              <w:top w:val="single" w:sz="8" w:space="0" w:color="auto"/>
              <w:left w:val="nil"/>
              <w:bottom w:val="single" w:sz="8" w:space="0" w:color="auto"/>
              <w:right w:val="single" w:sz="8" w:space="0" w:color="auto"/>
            </w:tcBorders>
            <w:shd w:val="clear" w:color="auto" w:fill="auto"/>
            <w:vAlign w:val="center"/>
            <w:hideMark/>
          </w:tcPr>
          <w:p w14:paraId="7F661562" w14:textId="77777777" w:rsidR="00A81D7F" w:rsidRPr="00A81D7F" w:rsidRDefault="00A81D7F" w:rsidP="00326F06">
            <w:pPr>
              <w:spacing w:after="0" w:line="240" w:lineRule="auto"/>
              <w:jc w:val="center"/>
              <w:rPr>
                <w:rFonts w:ascii="Arial Narrow" w:eastAsia="Times New Roman" w:hAnsi="Arial Narrow" w:cs="Arial"/>
                <w:b/>
                <w:bCs/>
                <w:sz w:val="18"/>
                <w:szCs w:val="18"/>
                <w:lang w:eastAsia="pt-BR"/>
              </w:rPr>
            </w:pPr>
            <w:r w:rsidRPr="00A81D7F">
              <w:rPr>
                <w:rFonts w:ascii="Arial Narrow" w:eastAsia="Times New Roman" w:hAnsi="Arial Narrow" w:cs="Arial"/>
                <w:b/>
                <w:bCs/>
                <w:sz w:val="18"/>
                <w:szCs w:val="18"/>
                <w:lang w:eastAsia="pt-BR"/>
              </w:rPr>
              <w:t>BOD.G024</w:t>
            </w:r>
          </w:p>
        </w:tc>
        <w:tc>
          <w:tcPr>
            <w:tcW w:w="1843" w:type="dxa"/>
            <w:tcBorders>
              <w:top w:val="single" w:sz="8" w:space="0" w:color="auto"/>
              <w:left w:val="nil"/>
              <w:bottom w:val="single" w:sz="8" w:space="0" w:color="auto"/>
              <w:right w:val="single" w:sz="8" w:space="0" w:color="auto"/>
            </w:tcBorders>
            <w:shd w:val="clear" w:color="auto" w:fill="auto"/>
            <w:vAlign w:val="center"/>
            <w:hideMark/>
          </w:tcPr>
          <w:p w14:paraId="0A4F5DFF" w14:textId="77777777" w:rsidR="00A81D7F" w:rsidRPr="00A81D7F" w:rsidRDefault="00A81D7F" w:rsidP="00326F06">
            <w:pPr>
              <w:spacing w:after="0" w:line="240" w:lineRule="auto"/>
              <w:jc w:val="center"/>
              <w:rPr>
                <w:rFonts w:ascii="Arial Narrow" w:eastAsia="Times New Roman" w:hAnsi="Arial Narrow" w:cs="Arial"/>
                <w:b/>
                <w:bCs/>
                <w:sz w:val="18"/>
                <w:szCs w:val="18"/>
                <w:lang w:eastAsia="pt-BR"/>
              </w:rPr>
            </w:pPr>
            <w:r w:rsidRPr="00A81D7F">
              <w:rPr>
                <w:rFonts w:ascii="Arial Narrow" w:eastAsia="Times New Roman" w:hAnsi="Arial Narrow" w:cs="Arial"/>
                <w:b/>
                <w:bCs/>
                <w:sz w:val="18"/>
                <w:szCs w:val="18"/>
                <w:lang w:eastAsia="pt-BR"/>
              </w:rPr>
              <w:t>BOD.H024</w:t>
            </w:r>
          </w:p>
        </w:tc>
      </w:tr>
      <w:tr w:rsidR="00A81D7F" w:rsidRPr="00D2722A" w14:paraId="7FA692BA" w14:textId="77777777" w:rsidTr="00326F06">
        <w:trPr>
          <w:trHeight w:val="270"/>
        </w:trPr>
        <w:tc>
          <w:tcPr>
            <w:tcW w:w="2709" w:type="dxa"/>
            <w:tcBorders>
              <w:top w:val="nil"/>
              <w:left w:val="single" w:sz="8" w:space="0" w:color="auto"/>
              <w:bottom w:val="nil"/>
              <w:right w:val="nil"/>
            </w:tcBorders>
            <w:shd w:val="clear" w:color="auto" w:fill="auto"/>
            <w:vAlign w:val="center"/>
            <w:hideMark/>
          </w:tcPr>
          <w:p w14:paraId="1CE0C13F" w14:textId="77777777" w:rsidR="00A81D7F" w:rsidRPr="00A81D7F" w:rsidRDefault="00A81D7F" w:rsidP="00326F06">
            <w:pPr>
              <w:spacing w:after="0" w:line="240" w:lineRule="auto"/>
              <w:rPr>
                <w:rFonts w:ascii="Arial Narrow" w:eastAsia="Times New Roman" w:hAnsi="Arial Narrow" w:cs="Arial"/>
                <w:b/>
                <w:bCs/>
                <w:sz w:val="18"/>
                <w:szCs w:val="18"/>
                <w:lang w:eastAsia="pt-BR"/>
              </w:rPr>
            </w:pPr>
            <w:r w:rsidRPr="00A81D7F">
              <w:rPr>
                <w:rFonts w:ascii="Arial Narrow" w:eastAsia="Times New Roman" w:hAnsi="Arial Narrow" w:cs="Arial"/>
                <w:b/>
                <w:bCs/>
                <w:sz w:val="18"/>
                <w:szCs w:val="18"/>
                <w:lang w:eastAsia="pt-BR"/>
              </w:rPr>
              <w:t>Amortização da Dívida Interna</w:t>
            </w:r>
          </w:p>
        </w:tc>
        <w:tc>
          <w:tcPr>
            <w:tcW w:w="1842" w:type="dxa"/>
            <w:tcBorders>
              <w:top w:val="nil"/>
              <w:left w:val="single" w:sz="8" w:space="0" w:color="auto"/>
              <w:bottom w:val="nil"/>
              <w:right w:val="nil"/>
            </w:tcBorders>
            <w:shd w:val="clear" w:color="auto" w:fill="auto"/>
            <w:vAlign w:val="center"/>
            <w:hideMark/>
          </w:tcPr>
          <w:p w14:paraId="75624D33" w14:textId="77777777" w:rsidR="00A81D7F" w:rsidRPr="00A81D7F" w:rsidRDefault="00A81D7F" w:rsidP="00326F06">
            <w:pPr>
              <w:spacing w:after="0" w:line="240" w:lineRule="auto"/>
              <w:jc w:val="center"/>
              <w:rPr>
                <w:rFonts w:ascii="Arial Narrow" w:eastAsia="Times New Roman" w:hAnsi="Arial Narrow" w:cs="Arial"/>
                <w:b/>
                <w:bCs/>
                <w:sz w:val="18"/>
                <w:szCs w:val="18"/>
                <w:lang w:eastAsia="pt-BR"/>
              </w:rPr>
            </w:pPr>
            <w:r w:rsidRPr="00A81D7F">
              <w:rPr>
                <w:rFonts w:ascii="Arial Narrow" w:eastAsia="Times New Roman" w:hAnsi="Arial Narrow" w:cs="Arial"/>
                <w:b/>
                <w:bCs/>
                <w:sz w:val="18"/>
                <w:szCs w:val="18"/>
                <w:lang w:eastAsia="pt-BR"/>
              </w:rPr>
              <w:t>BOD.C025</w:t>
            </w:r>
          </w:p>
        </w:tc>
        <w:tc>
          <w:tcPr>
            <w:tcW w:w="1984" w:type="dxa"/>
            <w:tcBorders>
              <w:top w:val="nil"/>
              <w:left w:val="single" w:sz="8" w:space="0" w:color="auto"/>
              <w:bottom w:val="nil"/>
              <w:right w:val="single" w:sz="8" w:space="0" w:color="auto"/>
            </w:tcBorders>
            <w:shd w:val="clear" w:color="auto" w:fill="auto"/>
            <w:vAlign w:val="center"/>
            <w:hideMark/>
          </w:tcPr>
          <w:p w14:paraId="57388A06" w14:textId="77777777" w:rsidR="00A81D7F" w:rsidRPr="00A81D7F" w:rsidRDefault="00A81D7F" w:rsidP="00326F06">
            <w:pPr>
              <w:spacing w:after="0" w:line="240" w:lineRule="auto"/>
              <w:jc w:val="center"/>
              <w:rPr>
                <w:rFonts w:ascii="Arial Narrow" w:eastAsia="Times New Roman" w:hAnsi="Arial Narrow" w:cs="Arial"/>
                <w:b/>
                <w:bCs/>
                <w:sz w:val="18"/>
                <w:szCs w:val="18"/>
                <w:lang w:eastAsia="pt-BR"/>
              </w:rPr>
            </w:pPr>
            <w:r w:rsidRPr="00A81D7F">
              <w:rPr>
                <w:rFonts w:ascii="Arial Narrow" w:eastAsia="Times New Roman" w:hAnsi="Arial Narrow" w:cs="Arial"/>
                <w:b/>
                <w:bCs/>
                <w:sz w:val="18"/>
                <w:szCs w:val="18"/>
                <w:lang w:eastAsia="pt-BR"/>
              </w:rPr>
              <w:t>BOD.D025</w:t>
            </w:r>
          </w:p>
        </w:tc>
        <w:tc>
          <w:tcPr>
            <w:tcW w:w="1843" w:type="dxa"/>
            <w:tcBorders>
              <w:top w:val="nil"/>
              <w:left w:val="nil"/>
              <w:bottom w:val="nil"/>
              <w:right w:val="single" w:sz="8" w:space="0" w:color="auto"/>
            </w:tcBorders>
            <w:shd w:val="clear" w:color="auto" w:fill="auto"/>
            <w:vAlign w:val="center"/>
            <w:hideMark/>
          </w:tcPr>
          <w:p w14:paraId="2F13E29F" w14:textId="77777777" w:rsidR="00A81D7F" w:rsidRPr="00A81D7F" w:rsidRDefault="00A81D7F" w:rsidP="00326F06">
            <w:pPr>
              <w:spacing w:after="0" w:line="240" w:lineRule="auto"/>
              <w:jc w:val="center"/>
              <w:rPr>
                <w:rFonts w:ascii="Arial Narrow" w:eastAsia="Times New Roman" w:hAnsi="Arial Narrow" w:cs="Arial"/>
                <w:b/>
                <w:bCs/>
                <w:sz w:val="18"/>
                <w:szCs w:val="18"/>
                <w:lang w:eastAsia="pt-BR"/>
              </w:rPr>
            </w:pPr>
            <w:r w:rsidRPr="00A81D7F">
              <w:rPr>
                <w:rFonts w:ascii="Arial Narrow" w:eastAsia="Times New Roman" w:hAnsi="Arial Narrow" w:cs="Arial"/>
                <w:b/>
                <w:bCs/>
                <w:sz w:val="18"/>
                <w:szCs w:val="18"/>
                <w:lang w:eastAsia="pt-BR"/>
              </w:rPr>
              <w:t>BOD.E025</w:t>
            </w:r>
          </w:p>
        </w:tc>
        <w:tc>
          <w:tcPr>
            <w:tcW w:w="1984" w:type="dxa"/>
            <w:tcBorders>
              <w:top w:val="nil"/>
              <w:left w:val="nil"/>
              <w:bottom w:val="nil"/>
              <w:right w:val="single" w:sz="8" w:space="0" w:color="auto"/>
            </w:tcBorders>
            <w:shd w:val="clear" w:color="auto" w:fill="auto"/>
            <w:vAlign w:val="center"/>
            <w:hideMark/>
          </w:tcPr>
          <w:p w14:paraId="28E9AA75" w14:textId="77777777" w:rsidR="00A81D7F" w:rsidRPr="00A81D7F" w:rsidRDefault="00A81D7F" w:rsidP="00326F06">
            <w:pPr>
              <w:spacing w:after="0" w:line="240" w:lineRule="auto"/>
              <w:jc w:val="center"/>
              <w:rPr>
                <w:rFonts w:ascii="Arial Narrow" w:eastAsia="Times New Roman" w:hAnsi="Arial Narrow" w:cs="Arial"/>
                <w:b/>
                <w:bCs/>
                <w:sz w:val="18"/>
                <w:szCs w:val="18"/>
                <w:lang w:eastAsia="pt-BR"/>
              </w:rPr>
            </w:pPr>
            <w:r w:rsidRPr="00A81D7F">
              <w:rPr>
                <w:rFonts w:ascii="Arial Narrow" w:eastAsia="Times New Roman" w:hAnsi="Arial Narrow" w:cs="Arial"/>
                <w:b/>
                <w:bCs/>
                <w:sz w:val="18"/>
                <w:szCs w:val="18"/>
                <w:lang w:eastAsia="pt-BR"/>
              </w:rPr>
              <w:t>BOD.F025</w:t>
            </w:r>
          </w:p>
        </w:tc>
        <w:tc>
          <w:tcPr>
            <w:tcW w:w="1701" w:type="dxa"/>
            <w:tcBorders>
              <w:top w:val="nil"/>
              <w:left w:val="nil"/>
              <w:bottom w:val="nil"/>
              <w:right w:val="single" w:sz="8" w:space="0" w:color="auto"/>
            </w:tcBorders>
            <w:shd w:val="clear" w:color="auto" w:fill="auto"/>
            <w:vAlign w:val="center"/>
            <w:hideMark/>
          </w:tcPr>
          <w:p w14:paraId="273D02ED" w14:textId="77777777" w:rsidR="00A81D7F" w:rsidRPr="00A81D7F" w:rsidRDefault="00A81D7F" w:rsidP="00326F06">
            <w:pPr>
              <w:spacing w:after="0" w:line="240" w:lineRule="auto"/>
              <w:jc w:val="center"/>
              <w:rPr>
                <w:rFonts w:ascii="Arial Narrow" w:eastAsia="Times New Roman" w:hAnsi="Arial Narrow" w:cs="Arial"/>
                <w:b/>
                <w:bCs/>
                <w:sz w:val="18"/>
                <w:szCs w:val="18"/>
                <w:lang w:eastAsia="pt-BR"/>
              </w:rPr>
            </w:pPr>
            <w:r w:rsidRPr="00A81D7F">
              <w:rPr>
                <w:rFonts w:ascii="Arial Narrow" w:eastAsia="Times New Roman" w:hAnsi="Arial Narrow" w:cs="Arial"/>
                <w:b/>
                <w:bCs/>
                <w:sz w:val="18"/>
                <w:szCs w:val="18"/>
                <w:lang w:eastAsia="pt-BR"/>
              </w:rPr>
              <w:t>BOD.G025</w:t>
            </w:r>
          </w:p>
        </w:tc>
        <w:tc>
          <w:tcPr>
            <w:tcW w:w="1843" w:type="dxa"/>
            <w:tcBorders>
              <w:top w:val="nil"/>
              <w:left w:val="nil"/>
              <w:bottom w:val="nil"/>
              <w:right w:val="single" w:sz="8" w:space="0" w:color="auto"/>
            </w:tcBorders>
            <w:shd w:val="clear" w:color="auto" w:fill="auto"/>
            <w:vAlign w:val="center"/>
            <w:hideMark/>
          </w:tcPr>
          <w:p w14:paraId="6AA60F51" w14:textId="77777777" w:rsidR="00A81D7F" w:rsidRPr="00A81D7F" w:rsidRDefault="00A81D7F" w:rsidP="00326F06">
            <w:pPr>
              <w:spacing w:after="0" w:line="240" w:lineRule="auto"/>
              <w:jc w:val="center"/>
              <w:rPr>
                <w:rFonts w:ascii="Arial Narrow" w:eastAsia="Times New Roman" w:hAnsi="Arial Narrow" w:cs="Arial"/>
                <w:b/>
                <w:bCs/>
                <w:sz w:val="18"/>
                <w:szCs w:val="18"/>
                <w:lang w:eastAsia="pt-BR"/>
              </w:rPr>
            </w:pPr>
            <w:r w:rsidRPr="00A81D7F">
              <w:rPr>
                <w:rFonts w:ascii="Arial Narrow" w:eastAsia="Times New Roman" w:hAnsi="Arial Narrow" w:cs="Arial"/>
                <w:b/>
                <w:bCs/>
                <w:sz w:val="18"/>
                <w:szCs w:val="18"/>
                <w:lang w:eastAsia="pt-BR"/>
              </w:rPr>
              <w:t>BOD.H025</w:t>
            </w:r>
          </w:p>
        </w:tc>
      </w:tr>
      <w:tr w:rsidR="00A81D7F" w:rsidRPr="00D2722A" w14:paraId="4467F886" w14:textId="77777777" w:rsidTr="00326F06">
        <w:trPr>
          <w:trHeight w:val="270"/>
        </w:trPr>
        <w:tc>
          <w:tcPr>
            <w:tcW w:w="2709" w:type="dxa"/>
            <w:tcBorders>
              <w:top w:val="nil"/>
              <w:left w:val="single" w:sz="8" w:space="0" w:color="auto"/>
              <w:bottom w:val="nil"/>
              <w:right w:val="nil"/>
            </w:tcBorders>
            <w:shd w:val="clear" w:color="auto" w:fill="auto"/>
            <w:vAlign w:val="center"/>
            <w:hideMark/>
          </w:tcPr>
          <w:p w14:paraId="3457F6E3" w14:textId="77777777" w:rsidR="00A81D7F" w:rsidRPr="00A81D7F" w:rsidRDefault="00A81D7F" w:rsidP="00326F06">
            <w:pPr>
              <w:spacing w:after="0" w:line="240" w:lineRule="auto"/>
              <w:ind w:firstLineChars="100" w:firstLine="180"/>
              <w:rPr>
                <w:rFonts w:ascii="Arial Narrow" w:eastAsia="Times New Roman" w:hAnsi="Arial Narrow" w:cs="Arial"/>
                <w:sz w:val="18"/>
                <w:szCs w:val="18"/>
                <w:lang w:eastAsia="pt-BR"/>
              </w:rPr>
            </w:pPr>
            <w:r w:rsidRPr="00A81D7F">
              <w:rPr>
                <w:rFonts w:ascii="Arial Narrow" w:eastAsia="Times New Roman" w:hAnsi="Arial Narrow" w:cs="Arial"/>
                <w:sz w:val="18"/>
                <w:szCs w:val="18"/>
                <w:lang w:eastAsia="pt-BR"/>
              </w:rPr>
              <w:t>Dívida Mobiliária</w:t>
            </w:r>
          </w:p>
        </w:tc>
        <w:tc>
          <w:tcPr>
            <w:tcW w:w="1842" w:type="dxa"/>
            <w:tcBorders>
              <w:top w:val="nil"/>
              <w:left w:val="single" w:sz="8" w:space="0" w:color="auto"/>
              <w:bottom w:val="nil"/>
              <w:right w:val="nil"/>
            </w:tcBorders>
            <w:shd w:val="clear" w:color="auto" w:fill="auto"/>
            <w:vAlign w:val="center"/>
            <w:hideMark/>
          </w:tcPr>
          <w:p w14:paraId="2DA72C1F" w14:textId="77777777" w:rsidR="00A81D7F" w:rsidRPr="00A81D7F" w:rsidRDefault="00A81D7F" w:rsidP="00326F06">
            <w:pPr>
              <w:spacing w:after="0" w:line="240" w:lineRule="auto"/>
              <w:jc w:val="center"/>
              <w:rPr>
                <w:rFonts w:ascii="Arial Narrow" w:eastAsia="Times New Roman" w:hAnsi="Arial Narrow" w:cs="Arial"/>
                <w:sz w:val="18"/>
                <w:szCs w:val="18"/>
                <w:lang w:eastAsia="pt-BR"/>
              </w:rPr>
            </w:pPr>
            <w:r w:rsidRPr="00A81D7F">
              <w:rPr>
                <w:rFonts w:ascii="Arial Narrow" w:eastAsia="Times New Roman" w:hAnsi="Arial Narrow" w:cs="Arial"/>
                <w:sz w:val="18"/>
                <w:szCs w:val="18"/>
                <w:lang w:eastAsia="pt-BR"/>
              </w:rPr>
              <w:t>BOD.C026</w:t>
            </w:r>
          </w:p>
        </w:tc>
        <w:tc>
          <w:tcPr>
            <w:tcW w:w="1984" w:type="dxa"/>
            <w:tcBorders>
              <w:top w:val="nil"/>
              <w:left w:val="single" w:sz="8" w:space="0" w:color="auto"/>
              <w:bottom w:val="nil"/>
              <w:right w:val="single" w:sz="8" w:space="0" w:color="auto"/>
            </w:tcBorders>
            <w:shd w:val="clear" w:color="auto" w:fill="auto"/>
            <w:vAlign w:val="center"/>
            <w:hideMark/>
          </w:tcPr>
          <w:p w14:paraId="015469F2" w14:textId="77777777" w:rsidR="00A81D7F" w:rsidRPr="00A81D7F" w:rsidRDefault="00A81D7F" w:rsidP="00326F06">
            <w:pPr>
              <w:spacing w:after="0" w:line="240" w:lineRule="auto"/>
              <w:jc w:val="center"/>
              <w:rPr>
                <w:rFonts w:ascii="Arial Narrow" w:eastAsia="Times New Roman" w:hAnsi="Arial Narrow" w:cs="Arial"/>
                <w:sz w:val="18"/>
                <w:szCs w:val="18"/>
                <w:lang w:eastAsia="pt-BR"/>
              </w:rPr>
            </w:pPr>
            <w:r w:rsidRPr="00A81D7F">
              <w:rPr>
                <w:rFonts w:ascii="Arial Narrow" w:eastAsia="Times New Roman" w:hAnsi="Arial Narrow" w:cs="Arial"/>
                <w:sz w:val="18"/>
                <w:szCs w:val="18"/>
                <w:lang w:eastAsia="pt-BR"/>
              </w:rPr>
              <w:t>BOD.D026</w:t>
            </w:r>
          </w:p>
        </w:tc>
        <w:tc>
          <w:tcPr>
            <w:tcW w:w="1843" w:type="dxa"/>
            <w:tcBorders>
              <w:top w:val="nil"/>
              <w:left w:val="nil"/>
              <w:bottom w:val="nil"/>
              <w:right w:val="single" w:sz="8" w:space="0" w:color="auto"/>
            </w:tcBorders>
            <w:shd w:val="clear" w:color="auto" w:fill="auto"/>
            <w:vAlign w:val="center"/>
            <w:hideMark/>
          </w:tcPr>
          <w:p w14:paraId="1E7123BC" w14:textId="77777777" w:rsidR="00A81D7F" w:rsidRPr="00A81D7F" w:rsidRDefault="00A81D7F" w:rsidP="00326F06">
            <w:pPr>
              <w:spacing w:after="0" w:line="240" w:lineRule="auto"/>
              <w:jc w:val="center"/>
              <w:rPr>
                <w:rFonts w:ascii="Arial Narrow" w:eastAsia="Times New Roman" w:hAnsi="Arial Narrow" w:cs="Arial"/>
                <w:sz w:val="18"/>
                <w:szCs w:val="18"/>
                <w:lang w:eastAsia="pt-BR"/>
              </w:rPr>
            </w:pPr>
            <w:r w:rsidRPr="00A81D7F">
              <w:rPr>
                <w:rFonts w:ascii="Arial Narrow" w:eastAsia="Times New Roman" w:hAnsi="Arial Narrow" w:cs="Arial"/>
                <w:sz w:val="18"/>
                <w:szCs w:val="18"/>
                <w:lang w:eastAsia="pt-BR"/>
              </w:rPr>
              <w:t>BOD.E026</w:t>
            </w:r>
          </w:p>
        </w:tc>
        <w:tc>
          <w:tcPr>
            <w:tcW w:w="1984" w:type="dxa"/>
            <w:tcBorders>
              <w:top w:val="nil"/>
              <w:left w:val="nil"/>
              <w:bottom w:val="nil"/>
              <w:right w:val="single" w:sz="8" w:space="0" w:color="auto"/>
            </w:tcBorders>
            <w:shd w:val="clear" w:color="auto" w:fill="auto"/>
            <w:vAlign w:val="center"/>
            <w:hideMark/>
          </w:tcPr>
          <w:p w14:paraId="7574AD53" w14:textId="77777777" w:rsidR="00A81D7F" w:rsidRPr="00A81D7F" w:rsidRDefault="00A81D7F" w:rsidP="00326F06">
            <w:pPr>
              <w:spacing w:after="0" w:line="240" w:lineRule="auto"/>
              <w:jc w:val="center"/>
              <w:rPr>
                <w:rFonts w:ascii="Arial Narrow" w:eastAsia="Times New Roman" w:hAnsi="Arial Narrow" w:cs="Arial"/>
                <w:sz w:val="18"/>
                <w:szCs w:val="18"/>
                <w:lang w:eastAsia="pt-BR"/>
              </w:rPr>
            </w:pPr>
            <w:r w:rsidRPr="00A81D7F">
              <w:rPr>
                <w:rFonts w:ascii="Arial Narrow" w:eastAsia="Times New Roman" w:hAnsi="Arial Narrow" w:cs="Arial"/>
                <w:sz w:val="18"/>
                <w:szCs w:val="18"/>
                <w:lang w:eastAsia="pt-BR"/>
              </w:rPr>
              <w:t>BOD.F026</w:t>
            </w:r>
          </w:p>
        </w:tc>
        <w:tc>
          <w:tcPr>
            <w:tcW w:w="1701" w:type="dxa"/>
            <w:tcBorders>
              <w:top w:val="nil"/>
              <w:left w:val="nil"/>
              <w:bottom w:val="nil"/>
              <w:right w:val="single" w:sz="8" w:space="0" w:color="auto"/>
            </w:tcBorders>
            <w:shd w:val="clear" w:color="auto" w:fill="auto"/>
            <w:vAlign w:val="center"/>
            <w:hideMark/>
          </w:tcPr>
          <w:p w14:paraId="182A402E" w14:textId="77777777" w:rsidR="00A81D7F" w:rsidRPr="00A81D7F" w:rsidRDefault="00A81D7F" w:rsidP="00326F06">
            <w:pPr>
              <w:spacing w:after="0" w:line="240" w:lineRule="auto"/>
              <w:jc w:val="center"/>
              <w:rPr>
                <w:rFonts w:ascii="Arial Narrow" w:eastAsia="Times New Roman" w:hAnsi="Arial Narrow" w:cs="Arial"/>
                <w:sz w:val="18"/>
                <w:szCs w:val="18"/>
                <w:lang w:eastAsia="pt-BR"/>
              </w:rPr>
            </w:pPr>
            <w:r w:rsidRPr="00A81D7F">
              <w:rPr>
                <w:rFonts w:ascii="Arial Narrow" w:eastAsia="Times New Roman" w:hAnsi="Arial Narrow" w:cs="Arial"/>
                <w:sz w:val="18"/>
                <w:szCs w:val="18"/>
                <w:lang w:eastAsia="pt-BR"/>
              </w:rPr>
              <w:t>BOD.G026</w:t>
            </w:r>
          </w:p>
        </w:tc>
        <w:tc>
          <w:tcPr>
            <w:tcW w:w="1843" w:type="dxa"/>
            <w:tcBorders>
              <w:top w:val="nil"/>
              <w:left w:val="nil"/>
              <w:bottom w:val="nil"/>
              <w:right w:val="single" w:sz="8" w:space="0" w:color="auto"/>
            </w:tcBorders>
            <w:shd w:val="clear" w:color="auto" w:fill="auto"/>
            <w:vAlign w:val="center"/>
            <w:hideMark/>
          </w:tcPr>
          <w:p w14:paraId="27ECD9B0" w14:textId="77777777" w:rsidR="00A81D7F" w:rsidRPr="00A81D7F" w:rsidRDefault="00A81D7F" w:rsidP="00326F06">
            <w:pPr>
              <w:spacing w:after="0" w:line="240" w:lineRule="auto"/>
              <w:jc w:val="center"/>
              <w:rPr>
                <w:rFonts w:ascii="Arial Narrow" w:eastAsia="Times New Roman" w:hAnsi="Arial Narrow" w:cs="Arial"/>
                <w:sz w:val="18"/>
                <w:szCs w:val="18"/>
                <w:lang w:eastAsia="pt-BR"/>
              </w:rPr>
            </w:pPr>
            <w:r w:rsidRPr="00A81D7F">
              <w:rPr>
                <w:rFonts w:ascii="Arial Narrow" w:eastAsia="Times New Roman" w:hAnsi="Arial Narrow" w:cs="Arial"/>
                <w:sz w:val="18"/>
                <w:szCs w:val="18"/>
                <w:lang w:eastAsia="pt-BR"/>
              </w:rPr>
              <w:t>BOD.H026</w:t>
            </w:r>
          </w:p>
        </w:tc>
      </w:tr>
      <w:tr w:rsidR="00A81D7F" w:rsidRPr="00D2722A" w14:paraId="385C5D9F" w14:textId="77777777" w:rsidTr="00326F06">
        <w:trPr>
          <w:trHeight w:val="270"/>
        </w:trPr>
        <w:tc>
          <w:tcPr>
            <w:tcW w:w="2709" w:type="dxa"/>
            <w:tcBorders>
              <w:top w:val="nil"/>
              <w:left w:val="single" w:sz="8" w:space="0" w:color="auto"/>
              <w:bottom w:val="nil"/>
              <w:right w:val="nil"/>
            </w:tcBorders>
            <w:shd w:val="clear" w:color="auto" w:fill="auto"/>
            <w:vAlign w:val="center"/>
            <w:hideMark/>
          </w:tcPr>
          <w:p w14:paraId="63B6005F" w14:textId="77777777" w:rsidR="00A81D7F" w:rsidRPr="00A81D7F" w:rsidRDefault="00A81D7F" w:rsidP="00326F06">
            <w:pPr>
              <w:spacing w:after="0" w:line="240" w:lineRule="auto"/>
              <w:ind w:firstLineChars="100" w:firstLine="180"/>
              <w:rPr>
                <w:rFonts w:ascii="Arial Narrow" w:eastAsia="Times New Roman" w:hAnsi="Arial Narrow" w:cs="Arial"/>
                <w:sz w:val="18"/>
                <w:szCs w:val="18"/>
                <w:lang w:eastAsia="pt-BR"/>
              </w:rPr>
            </w:pPr>
            <w:r w:rsidRPr="00A81D7F">
              <w:rPr>
                <w:rFonts w:ascii="Arial Narrow" w:eastAsia="Times New Roman" w:hAnsi="Arial Narrow" w:cs="Arial"/>
                <w:sz w:val="18"/>
                <w:szCs w:val="18"/>
                <w:lang w:eastAsia="pt-BR"/>
              </w:rPr>
              <w:t>Outras Dívidas</w:t>
            </w:r>
          </w:p>
        </w:tc>
        <w:tc>
          <w:tcPr>
            <w:tcW w:w="1842" w:type="dxa"/>
            <w:tcBorders>
              <w:top w:val="nil"/>
              <w:left w:val="single" w:sz="8" w:space="0" w:color="auto"/>
              <w:bottom w:val="nil"/>
              <w:right w:val="nil"/>
            </w:tcBorders>
            <w:shd w:val="clear" w:color="auto" w:fill="auto"/>
            <w:vAlign w:val="center"/>
            <w:hideMark/>
          </w:tcPr>
          <w:p w14:paraId="58393898" w14:textId="77777777" w:rsidR="00A81D7F" w:rsidRPr="00A81D7F" w:rsidRDefault="00A81D7F" w:rsidP="00326F06">
            <w:pPr>
              <w:spacing w:after="0" w:line="240" w:lineRule="auto"/>
              <w:jc w:val="center"/>
              <w:rPr>
                <w:rFonts w:ascii="Arial Narrow" w:eastAsia="Times New Roman" w:hAnsi="Arial Narrow" w:cs="Arial"/>
                <w:sz w:val="18"/>
                <w:szCs w:val="18"/>
                <w:lang w:eastAsia="pt-BR"/>
              </w:rPr>
            </w:pPr>
            <w:r w:rsidRPr="00A81D7F">
              <w:rPr>
                <w:rFonts w:ascii="Arial Narrow" w:eastAsia="Times New Roman" w:hAnsi="Arial Narrow" w:cs="Arial"/>
                <w:sz w:val="18"/>
                <w:szCs w:val="18"/>
                <w:lang w:eastAsia="pt-BR"/>
              </w:rPr>
              <w:t>BOD.C027</w:t>
            </w:r>
          </w:p>
        </w:tc>
        <w:tc>
          <w:tcPr>
            <w:tcW w:w="1984" w:type="dxa"/>
            <w:tcBorders>
              <w:top w:val="nil"/>
              <w:left w:val="single" w:sz="8" w:space="0" w:color="auto"/>
              <w:bottom w:val="nil"/>
              <w:right w:val="single" w:sz="8" w:space="0" w:color="auto"/>
            </w:tcBorders>
            <w:shd w:val="clear" w:color="auto" w:fill="auto"/>
            <w:vAlign w:val="center"/>
            <w:hideMark/>
          </w:tcPr>
          <w:p w14:paraId="263CF144" w14:textId="77777777" w:rsidR="00A81D7F" w:rsidRPr="00A81D7F" w:rsidRDefault="00A81D7F" w:rsidP="00326F06">
            <w:pPr>
              <w:spacing w:after="0" w:line="240" w:lineRule="auto"/>
              <w:jc w:val="center"/>
              <w:rPr>
                <w:rFonts w:ascii="Arial Narrow" w:eastAsia="Times New Roman" w:hAnsi="Arial Narrow" w:cs="Arial"/>
                <w:sz w:val="18"/>
                <w:szCs w:val="18"/>
                <w:lang w:eastAsia="pt-BR"/>
              </w:rPr>
            </w:pPr>
            <w:r w:rsidRPr="00A81D7F">
              <w:rPr>
                <w:rFonts w:ascii="Arial Narrow" w:eastAsia="Times New Roman" w:hAnsi="Arial Narrow" w:cs="Arial"/>
                <w:sz w:val="18"/>
                <w:szCs w:val="18"/>
                <w:lang w:eastAsia="pt-BR"/>
              </w:rPr>
              <w:t>BOD.D027</w:t>
            </w:r>
          </w:p>
        </w:tc>
        <w:tc>
          <w:tcPr>
            <w:tcW w:w="1843" w:type="dxa"/>
            <w:tcBorders>
              <w:top w:val="nil"/>
              <w:left w:val="nil"/>
              <w:bottom w:val="nil"/>
              <w:right w:val="single" w:sz="8" w:space="0" w:color="auto"/>
            </w:tcBorders>
            <w:shd w:val="clear" w:color="auto" w:fill="auto"/>
            <w:vAlign w:val="center"/>
            <w:hideMark/>
          </w:tcPr>
          <w:p w14:paraId="0B009393" w14:textId="77777777" w:rsidR="00A81D7F" w:rsidRPr="00A81D7F" w:rsidRDefault="00A81D7F" w:rsidP="00326F06">
            <w:pPr>
              <w:spacing w:after="0" w:line="240" w:lineRule="auto"/>
              <w:jc w:val="center"/>
              <w:rPr>
                <w:rFonts w:ascii="Arial Narrow" w:eastAsia="Times New Roman" w:hAnsi="Arial Narrow" w:cs="Arial"/>
                <w:sz w:val="18"/>
                <w:szCs w:val="18"/>
                <w:lang w:eastAsia="pt-BR"/>
              </w:rPr>
            </w:pPr>
            <w:r w:rsidRPr="00A81D7F">
              <w:rPr>
                <w:rFonts w:ascii="Arial Narrow" w:eastAsia="Times New Roman" w:hAnsi="Arial Narrow" w:cs="Arial"/>
                <w:sz w:val="18"/>
                <w:szCs w:val="18"/>
                <w:lang w:eastAsia="pt-BR"/>
              </w:rPr>
              <w:t>BOD.E027</w:t>
            </w:r>
          </w:p>
        </w:tc>
        <w:tc>
          <w:tcPr>
            <w:tcW w:w="1984" w:type="dxa"/>
            <w:tcBorders>
              <w:top w:val="nil"/>
              <w:left w:val="nil"/>
              <w:bottom w:val="nil"/>
              <w:right w:val="single" w:sz="8" w:space="0" w:color="auto"/>
            </w:tcBorders>
            <w:shd w:val="clear" w:color="auto" w:fill="auto"/>
            <w:vAlign w:val="center"/>
            <w:hideMark/>
          </w:tcPr>
          <w:p w14:paraId="302A2806" w14:textId="77777777" w:rsidR="00A81D7F" w:rsidRPr="00A81D7F" w:rsidRDefault="00A81D7F" w:rsidP="00326F06">
            <w:pPr>
              <w:spacing w:after="0" w:line="240" w:lineRule="auto"/>
              <w:jc w:val="center"/>
              <w:rPr>
                <w:rFonts w:ascii="Arial Narrow" w:eastAsia="Times New Roman" w:hAnsi="Arial Narrow" w:cs="Arial"/>
                <w:sz w:val="18"/>
                <w:szCs w:val="18"/>
                <w:lang w:eastAsia="pt-BR"/>
              </w:rPr>
            </w:pPr>
            <w:r w:rsidRPr="00A81D7F">
              <w:rPr>
                <w:rFonts w:ascii="Arial Narrow" w:eastAsia="Times New Roman" w:hAnsi="Arial Narrow" w:cs="Arial"/>
                <w:sz w:val="18"/>
                <w:szCs w:val="18"/>
                <w:lang w:eastAsia="pt-BR"/>
              </w:rPr>
              <w:t>BOD.F027</w:t>
            </w:r>
          </w:p>
        </w:tc>
        <w:tc>
          <w:tcPr>
            <w:tcW w:w="1701" w:type="dxa"/>
            <w:tcBorders>
              <w:top w:val="nil"/>
              <w:left w:val="nil"/>
              <w:bottom w:val="nil"/>
              <w:right w:val="single" w:sz="8" w:space="0" w:color="auto"/>
            </w:tcBorders>
            <w:shd w:val="clear" w:color="auto" w:fill="auto"/>
            <w:vAlign w:val="center"/>
            <w:hideMark/>
          </w:tcPr>
          <w:p w14:paraId="5C4E3BCE" w14:textId="77777777" w:rsidR="00A81D7F" w:rsidRPr="00A81D7F" w:rsidRDefault="00A81D7F" w:rsidP="00326F06">
            <w:pPr>
              <w:spacing w:after="0" w:line="240" w:lineRule="auto"/>
              <w:jc w:val="center"/>
              <w:rPr>
                <w:rFonts w:ascii="Arial Narrow" w:eastAsia="Times New Roman" w:hAnsi="Arial Narrow" w:cs="Arial"/>
                <w:sz w:val="18"/>
                <w:szCs w:val="18"/>
                <w:lang w:eastAsia="pt-BR"/>
              </w:rPr>
            </w:pPr>
            <w:r w:rsidRPr="00A81D7F">
              <w:rPr>
                <w:rFonts w:ascii="Arial Narrow" w:eastAsia="Times New Roman" w:hAnsi="Arial Narrow" w:cs="Arial"/>
                <w:sz w:val="18"/>
                <w:szCs w:val="18"/>
                <w:lang w:eastAsia="pt-BR"/>
              </w:rPr>
              <w:t>BOD.G027</w:t>
            </w:r>
          </w:p>
        </w:tc>
        <w:tc>
          <w:tcPr>
            <w:tcW w:w="1843" w:type="dxa"/>
            <w:tcBorders>
              <w:top w:val="nil"/>
              <w:left w:val="nil"/>
              <w:bottom w:val="nil"/>
              <w:right w:val="single" w:sz="8" w:space="0" w:color="auto"/>
            </w:tcBorders>
            <w:shd w:val="clear" w:color="auto" w:fill="auto"/>
            <w:vAlign w:val="center"/>
            <w:hideMark/>
          </w:tcPr>
          <w:p w14:paraId="40592E92" w14:textId="77777777" w:rsidR="00A81D7F" w:rsidRPr="00A81D7F" w:rsidRDefault="00A81D7F" w:rsidP="00326F06">
            <w:pPr>
              <w:spacing w:after="0" w:line="240" w:lineRule="auto"/>
              <w:jc w:val="center"/>
              <w:rPr>
                <w:rFonts w:ascii="Arial Narrow" w:eastAsia="Times New Roman" w:hAnsi="Arial Narrow" w:cs="Arial"/>
                <w:sz w:val="18"/>
                <w:szCs w:val="18"/>
                <w:lang w:eastAsia="pt-BR"/>
              </w:rPr>
            </w:pPr>
            <w:r w:rsidRPr="00A81D7F">
              <w:rPr>
                <w:rFonts w:ascii="Arial Narrow" w:eastAsia="Times New Roman" w:hAnsi="Arial Narrow" w:cs="Arial"/>
                <w:sz w:val="18"/>
                <w:szCs w:val="18"/>
                <w:lang w:eastAsia="pt-BR"/>
              </w:rPr>
              <w:t>BOD.H027</w:t>
            </w:r>
          </w:p>
        </w:tc>
      </w:tr>
      <w:tr w:rsidR="00A81D7F" w:rsidRPr="00D2722A" w14:paraId="6DFA884A" w14:textId="77777777" w:rsidTr="00326F06">
        <w:trPr>
          <w:trHeight w:val="270"/>
        </w:trPr>
        <w:tc>
          <w:tcPr>
            <w:tcW w:w="2709" w:type="dxa"/>
            <w:tcBorders>
              <w:top w:val="nil"/>
              <w:left w:val="single" w:sz="8" w:space="0" w:color="auto"/>
              <w:bottom w:val="nil"/>
              <w:right w:val="nil"/>
            </w:tcBorders>
            <w:shd w:val="clear" w:color="auto" w:fill="auto"/>
            <w:vAlign w:val="center"/>
            <w:hideMark/>
          </w:tcPr>
          <w:p w14:paraId="4A807AA6" w14:textId="77777777" w:rsidR="00A81D7F" w:rsidRPr="00A81D7F" w:rsidRDefault="00A81D7F" w:rsidP="00326F06">
            <w:pPr>
              <w:spacing w:after="0" w:line="240" w:lineRule="auto"/>
              <w:rPr>
                <w:rFonts w:ascii="Arial Narrow" w:eastAsia="Times New Roman" w:hAnsi="Arial Narrow" w:cs="Arial"/>
                <w:b/>
                <w:bCs/>
                <w:sz w:val="18"/>
                <w:szCs w:val="18"/>
                <w:lang w:eastAsia="pt-BR"/>
              </w:rPr>
            </w:pPr>
            <w:r w:rsidRPr="00A81D7F">
              <w:rPr>
                <w:rFonts w:ascii="Arial Narrow" w:eastAsia="Times New Roman" w:hAnsi="Arial Narrow" w:cs="Arial"/>
                <w:b/>
                <w:bCs/>
                <w:sz w:val="18"/>
                <w:szCs w:val="18"/>
                <w:lang w:eastAsia="pt-BR"/>
              </w:rPr>
              <w:t>Amortização da Dívida Externa</w:t>
            </w:r>
          </w:p>
        </w:tc>
        <w:tc>
          <w:tcPr>
            <w:tcW w:w="1842" w:type="dxa"/>
            <w:tcBorders>
              <w:top w:val="nil"/>
              <w:left w:val="single" w:sz="8" w:space="0" w:color="auto"/>
              <w:bottom w:val="nil"/>
              <w:right w:val="nil"/>
            </w:tcBorders>
            <w:shd w:val="clear" w:color="auto" w:fill="auto"/>
            <w:vAlign w:val="center"/>
            <w:hideMark/>
          </w:tcPr>
          <w:p w14:paraId="3DEDFCA2" w14:textId="77777777" w:rsidR="00A81D7F" w:rsidRPr="00A81D7F" w:rsidRDefault="00A81D7F" w:rsidP="00326F06">
            <w:pPr>
              <w:spacing w:after="0" w:line="240" w:lineRule="auto"/>
              <w:jc w:val="center"/>
              <w:rPr>
                <w:rFonts w:ascii="Arial Narrow" w:eastAsia="Times New Roman" w:hAnsi="Arial Narrow" w:cs="Arial"/>
                <w:b/>
                <w:bCs/>
                <w:sz w:val="18"/>
                <w:szCs w:val="18"/>
                <w:lang w:eastAsia="pt-BR"/>
              </w:rPr>
            </w:pPr>
            <w:r w:rsidRPr="00A81D7F">
              <w:rPr>
                <w:rFonts w:ascii="Arial Narrow" w:eastAsia="Times New Roman" w:hAnsi="Arial Narrow" w:cs="Arial"/>
                <w:b/>
                <w:bCs/>
                <w:sz w:val="18"/>
                <w:szCs w:val="18"/>
                <w:lang w:eastAsia="pt-BR"/>
              </w:rPr>
              <w:t>BOD.C028</w:t>
            </w:r>
          </w:p>
        </w:tc>
        <w:tc>
          <w:tcPr>
            <w:tcW w:w="1984" w:type="dxa"/>
            <w:tcBorders>
              <w:top w:val="nil"/>
              <w:left w:val="single" w:sz="8" w:space="0" w:color="auto"/>
              <w:bottom w:val="nil"/>
              <w:right w:val="single" w:sz="8" w:space="0" w:color="auto"/>
            </w:tcBorders>
            <w:shd w:val="clear" w:color="auto" w:fill="auto"/>
            <w:vAlign w:val="center"/>
            <w:hideMark/>
          </w:tcPr>
          <w:p w14:paraId="6E01B3E2" w14:textId="77777777" w:rsidR="00A81D7F" w:rsidRPr="00A81D7F" w:rsidRDefault="00A81D7F" w:rsidP="00326F06">
            <w:pPr>
              <w:spacing w:after="0" w:line="240" w:lineRule="auto"/>
              <w:jc w:val="center"/>
              <w:rPr>
                <w:rFonts w:ascii="Arial Narrow" w:eastAsia="Times New Roman" w:hAnsi="Arial Narrow" w:cs="Arial"/>
                <w:b/>
                <w:bCs/>
                <w:sz w:val="18"/>
                <w:szCs w:val="18"/>
                <w:lang w:eastAsia="pt-BR"/>
              </w:rPr>
            </w:pPr>
            <w:r w:rsidRPr="00A81D7F">
              <w:rPr>
                <w:rFonts w:ascii="Arial Narrow" w:eastAsia="Times New Roman" w:hAnsi="Arial Narrow" w:cs="Arial"/>
                <w:b/>
                <w:bCs/>
                <w:sz w:val="18"/>
                <w:szCs w:val="18"/>
                <w:lang w:eastAsia="pt-BR"/>
              </w:rPr>
              <w:t>BOD.D028</w:t>
            </w:r>
          </w:p>
        </w:tc>
        <w:tc>
          <w:tcPr>
            <w:tcW w:w="1843" w:type="dxa"/>
            <w:tcBorders>
              <w:top w:val="nil"/>
              <w:left w:val="nil"/>
              <w:bottom w:val="nil"/>
              <w:right w:val="single" w:sz="8" w:space="0" w:color="auto"/>
            </w:tcBorders>
            <w:shd w:val="clear" w:color="auto" w:fill="auto"/>
            <w:vAlign w:val="center"/>
            <w:hideMark/>
          </w:tcPr>
          <w:p w14:paraId="525EC78E" w14:textId="77777777" w:rsidR="00A81D7F" w:rsidRPr="00A81D7F" w:rsidRDefault="00A81D7F" w:rsidP="00326F06">
            <w:pPr>
              <w:spacing w:after="0" w:line="240" w:lineRule="auto"/>
              <w:jc w:val="center"/>
              <w:rPr>
                <w:rFonts w:ascii="Arial Narrow" w:eastAsia="Times New Roman" w:hAnsi="Arial Narrow" w:cs="Arial"/>
                <w:b/>
                <w:bCs/>
                <w:sz w:val="18"/>
                <w:szCs w:val="18"/>
                <w:lang w:eastAsia="pt-BR"/>
              </w:rPr>
            </w:pPr>
            <w:r w:rsidRPr="00A81D7F">
              <w:rPr>
                <w:rFonts w:ascii="Arial Narrow" w:eastAsia="Times New Roman" w:hAnsi="Arial Narrow" w:cs="Arial"/>
                <w:b/>
                <w:bCs/>
                <w:sz w:val="18"/>
                <w:szCs w:val="18"/>
                <w:lang w:eastAsia="pt-BR"/>
              </w:rPr>
              <w:t>BOD.E028</w:t>
            </w:r>
          </w:p>
        </w:tc>
        <w:tc>
          <w:tcPr>
            <w:tcW w:w="1984" w:type="dxa"/>
            <w:tcBorders>
              <w:top w:val="nil"/>
              <w:left w:val="nil"/>
              <w:bottom w:val="nil"/>
              <w:right w:val="single" w:sz="8" w:space="0" w:color="auto"/>
            </w:tcBorders>
            <w:shd w:val="clear" w:color="auto" w:fill="auto"/>
            <w:vAlign w:val="center"/>
            <w:hideMark/>
          </w:tcPr>
          <w:p w14:paraId="191A8681" w14:textId="77777777" w:rsidR="00A81D7F" w:rsidRPr="00A81D7F" w:rsidRDefault="00A81D7F" w:rsidP="00326F06">
            <w:pPr>
              <w:spacing w:after="0" w:line="240" w:lineRule="auto"/>
              <w:jc w:val="center"/>
              <w:rPr>
                <w:rFonts w:ascii="Arial Narrow" w:eastAsia="Times New Roman" w:hAnsi="Arial Narrow" w:cs="Arial"/>
                <w:b/>
                <w:bCs/>
                <w:sz w:val="18"/>
                <w:szCs w:val="18"/>
                <w:lang w:eastAsia="pt-BR"/>
              </w:rPr>
            </w:pPr>
            <w:r w:rsidRPr="00A81D7F">
              <w:rPr>
                <w:rFonts w:ascii="Arial Narrow" w:eastAsia="Times New Roman" w:hAnsi="Arial Narrow" w:cs="Arial"/>
                <w:b/>
                <w:bCs/>
                <w:sz w:val="18"/>
                <w:szCs w:val="18"/>
                <w:lang w:eastAsia="pt-BR"/>
              </w:rPr>
              <w:t>BOD.F028</w:t>
            </w:r>
          </w:p>
        </w:tc>
        <w:tc>
          <w:tcPr>
            <w:tcW w:w="1701" w:type="dxa"/>
            <w:tcBorders>
              <w:top w:val="nil"/>
              <w:left w:val="nil"/>
              <w:bottom w:val="nil"/>
              <w:right w:val="single" w:sz="8" w:space="0" w:color="auto"/>
            </w:tcBorders>
            <w:shd w:val="clear" w:color="auto" w:fill="auto"/>
            <w:vAlign w:val="center"/>
            <w:hideMark/>
          </w:tcPr>
          <w:p w14:paraId="29A6B644" w14:textId="77777777" w:rsidR="00A81D7F" w:rsidRPr="00A81D7F" w:rsidRDefault="00A81D7F" w:rsidP="00326F06">
            <w:pPr>
              <w:spacing w:after="0" w:line="240" w:lineRule="auto"/>
              <w:jc w:val="center"/>
              <w:rPr>
                <w:rFonts w:ascii="Arial Narrow" w:eastAsia="Times New Roman" w:hAnsi="Arial Narrow" w:cs="Arial"/>
                <w:b/>
                <w:bCs/>
                <w:sz w:val="18"/>
                <w:szCs w:val="18"/>
                <w:lang w:eastAsia="pt-BR"/>
              </w:rPr>
            </w:pPr>
            <w:r w:rsidRPr="00A81D7F">
              <w:rPr>
                <w:rFonts w:ascii="Arial Narrow" w:eastAsia="Times New Roman" w:hAnsi="Arial Narrow" w:cs="Arial"/>
                <w:b/>
                <w:bCs/>
                <w:sz w:val="18"/>
                <w:szCs w:val="18"/>
                <w:lang w:eastAsia="pt-BR"/>
              </w:rPr>
              <w:t>BOD.G028</w:t>
            </w:r>
          </w:p>
        </w:tc>
        <w:tc>
          <w:tcPr>
            <w:tcW w:w="1843" w:type="dxa"/>
            <w:tcBorders>
              <w:top w:val="nil"/>
              <w:left w:val="nil"/>
              <w:bottom w:val="nil"/>
              <w:right w:val="single" w:sz="8" w:space="0" w:color="auto"/>
            </w:tcBorders>
            <w:shd w:val="clear" w:color="auto" w:fill="auto"/>
            <w:vAlign w:val="center"/>
            <w:hideMark/>
          </w:tcPr>
          <w:p w14:paraId="7BAB1967" w14:textId="77777777" w:rsidR="00A81D7F" w:rsidRPr="00A81D7F" w:rsidRDefault="00A81D7F" w:rsidP="00326F06">
            <w:pPr>
              <w:spacing w:after="0" w:line="240" w:lineRule="auto"/>
              <w:jc w:val="center"/>
              <w:rPr>
                <w:rFonts w:ascii="Arial Narrow" w:eastAsia="Times New Roman" w:hAnsi="Arial Narrow" w:cs="Arial"/>
                <w:b/>
                <w:bCs/>
                <w:sz w:val="18"/>
                <w:szCs w:val="18"/>
                <w:lang w:eastAsia="pt-BR"/>
              </w:rPr>
            </w:pPr>
            <w:r w:rsidRPr="00A81D7F">
              <w:rPr>
                <w:rFonts w:ascii="Arial Narrow" w:eastAsia="Times New Roman" w:hAnsi="Arial Narrow" w:cs="Arial"/>
                <w:b/>
                <w:bCs/>
                <w:sz w:val="18"/>
                <w:szCs w:val="18"/>
                <w:lang w:eastAsia="pt-BR"/>
              </w:rPr>
              <w:t>BOD.H028</w:t>
            </w:r>
          </w:p>
        </w:tc>
      </w:tr>
      <w:tr w:rsidR="00A81D7F" w:rsidRPr="00D2722A" w14:paraId="79A210AA" w14:textId="77777777" w:rsidTr="00326F06">
        <w:trPr>
          <w:trHeight w:val="270"/>
        </w:trPr>
        <w:tc>
          <w:tcPr>
            <w:tcW w:w="2709" w:type="dxa"/>
            <w:tcBorders>
              <w:top w:val="nil"/>
              <w:left w:val="single" w:sz="8" w:space="0" w:color="auto"/>
              <w:bottom w:val="nil"/>
              <w:right w:val="nil"/>
            </w:tcBorders>
            <w:shd w:val="clear" w:color="auto" w:fill="auto"/>
            <w:vAlign w:val="center"/>
            <w:hideMark/>
          </w:tcPr>
          <w:p w14:paraId="3F4B7319" w14:textId="77777777" w:rsidR="00A81D7F" w:rsidRPr="00A81D7F" w:rsidRDefault="00A81D7F" w:rsidP="00326F06">
            <w:pPr>
              <w:spacing w:after="0" w:line="240" w:lineRule="auto"/>
              <w:ind w:firstLineChars="100" w:firstLine="180"/>
              <w:rPr>
                <w:rFonts w:ascii="Arial Narrow" w:eastAsia="Times New Roman" w:hAnsi="Arial Narrow" w:cs="Arial"/>
                <w:sz w:val="18"/>
                <w:szCs w:val="18"/>
                <w:lang w:eastAsia="pt-BR"/>
              </w:rPr>
            </w:pPr>
            <w:r w:rsidRPr="00A81D7F">
              <w:rPr>
                <w:rFonts w:ascii="Arial Narrow" w:eastAsia="Times New Roman" w:hAnsi="Arial Narrow" w:cs="Arial"/>
                <w:sz w:val="18"/>
                <w:szCs w:val="18"/>
                <w:lang w:eastAsia="pt-BR"/>
              </w:rPr>
              <w:t>Dívida Mobiliária</w:t>
            </w:r>
          </w:p>
        </w:tc>
        <w:tc>
          <w:tcPr>
            <w:tcW w:w="1842" w:type="dxa"/>
            <w:tcBorders>
              <w:top w:val="nil"/>
              <w:left w:val="single" w:sz="8" w:space="0" w:color="auto"/>
              <w:bottom w:val="nil"/>
              <w:right w:val="nil"/>
            </w:tcBorders>
            <w:shd w:val="clear" w:color="auto" w:fill="auto"/>
            <w:vAlign w:val="center"/>
            <w:hideMark/>
          </w:tcPr>
          <w:p w14:paraId="4C8B556E" w14:textId="77777777" w:rsidR="00A81D7F" w:rsidRPr="00A81D7F" w:rsidRDefault="00A81D7F" w:rsidP="00326F06">
            <w:pPr>
              <w:spacing w:after="0" w:line="240" w:lineRule="auto"/>
              <w:jc w:val="center"/>
              <w:rPr>
                <w:rFonts w:ascii="Arial Narrow" w:eastAsia="Times New Roman" w:hAnsi="Arial Narrow" w:cs="Arial"/>
                <w:sz w:val="18"/>
                <w:szCs w:val="18"/>
                <w:lang w:eastAsia="pt-BR"/>
              </w:rPr>
            </w:pPr>
            <w:r w:rsidRPr="00A81D7F">
              <w:rPr>
                <w:rFonts w:ascii="Arial Narrow" w:eastAsia="Times New Roman" w:hAnsi="Arial Narrow" w:cs="Arial"/>
                <w:sz w:val="18"/>
                <w:szCs w:val="18"/>
                <w:lang w:eastAsia="pt-BR"/>
              </w:rPr>
              <w:t>BOD.C029</w:t>
            </w:r>
          </w:p>
        </w:tc>
        <w:tc>
          <w:tcPr>
            <w:tcW w:w="1984" w:type="dxa"/>
            <w:tcBorders>
              <w:top w:val="nil"/>
              <w:left w:val="single" w:sz="8" w:space="0" w:color="auto"/>
              <w:bottom w:val="nil"/>
              <w:right w:val="single" w:sz="8" w:space="0" w:color="auto"/>
            </w:tcBorders>
            <w:shd w:val="clear" w:color="auto" w:fill="auto"/>
            <w:vAlign w:val="center"/>
            <w:hideMark/>
          </w:tcPr>
          <w:p w14:paraId="18594484" w14:textId="77777777" w:rsidR="00A81D7F" w:rsidRPr="00A81D7F" w:rsidRDefault="00A81D7F" w:rsidP="00326F06">
            <w:pPr>
              <w:spacing w:after="0" w:line="240" w:lineRule="auto"/>
              <w:jc w:val="center"/>
              <w:rPr>
                <w:rFonts w:ascii="Arial Narrow" w:eastAsia="Times New Roman" w:hAnsi="Arial Narrow" w:cs="Arial"/>
                <w:sz w:val="18"/>
                <w:szCs w:val="18"/>
                <w:lang w:eastAsia="pt-BR"/>
              </w:rPr>
            </w:pPr>
            <w:r w:rsidRPr="00A81D7F">
              <w:rPr>
                <w:rFonts w:ascii="Arial Narrow" w:eastAsia="Times New Roman" w:hAnsi="Arial Narrow" w:cs="Arial"/>
                <w:sz w:val="18"/>
                <w:szCs w:val="18"/>
                <w:lang w:eastAsia="pt-BR"/>
              </w:rPr>
              <w:t>BOD.D029</w:t>
            </w:r>
          </w:p>
        </w:tc>
        <w:tc>
          <w:tcPr>
            <w:tcW w:w="1843" w:type="dxa"/>
            <w:tcBorders>
              <w:top w:val="nil"/>
              <w:left w:val="nil"/>
              <w:bottom w:val="nil"/>
              <w:right w:val="single" w:sz="8" w:space="0" w:color="auto"/>
            </w:tcBorders>
            <w:shd w:val="clear" w:color="auto" w:fill="auto"/>
            <w:vAlign w:val="center"/>
            <w:hideMark/>
          </w:tcPr>
          <w:p w14:paraId="33A6307B" w14:textId="77777777" w:rsidR="00A81D7F" w:rsidRPr="00A81D7F" w:rsidRDefault="00A81D7F" w:rsidP="00326F06">
            <w:pPr>
              <w:spacing w:after="0" w:line="240" w:lineRule="auto"/>
              <w:jc w:val="center"/>
              <w:rPr>
                <w:rFonts w:ascii="Arial Narrow" w:eastAsia="Times New Roman" w:hAnsi="Arial Narrow" w:cs="Arial"/>
                <w:sz w:val="18"/>
                <w:szCs w:val="18"/>
                <w:lang w:eastAsia="pt-BR"/>
              </w:rPr>
            </w:pPr>
            <w:r w:rsidRPr="00A81D7F">
              <w:rPr>
                <w:rFonts w:ascii="Arial Narrow" w:eastAsia="Times New Roman" w:hAnsi="Arial Narrow" w:cs="Arial"/>
                <w:sz w:val="18"/>
                <w:szCs w:val="18"/>
                <w:lang w:eastAsia="pt-BR"/>
              </w:rPr>
              <w:t>BOD.E029</w:t>
            </w:r>
          </w:p>
        </w:tc>
        <w:tc>
          <w:tcPr>
            <w:tcW w:w="1984" w:type="dxa"/>
            <w:tcBorders>
              <w:top w:val="nil"/>
              <w:left w:val="nil"/>
              <w:bottom w:val="nil"/>
              <w:right w:val="single" w:sz="8" w:space="0" w:color="auto"/>
            </w:tcBorders>
            <w:shd w:val="clear" w:color="auto" w:fill="auto"/>
            <w:vAlign w:val="center"/>
            <w:hideMark/>
          </w:tcPr>
          <w:p w14:paraId="099E9ED3" w14:textId="77777777" w:rsidR="00A81D7F" w:rsidRPr="00A81D7F" w:rsidRDefault="00A81D7F" w:rsidP="00326F06">
            <w:pPr>
              <w:spacing w:after="0" w:line="240" w:lineRule="auto"/>
              <w:jc w:val="center"/>
              <w:rPr>
                <w:rFonts w:ascii="Arial Narrow" w:eastAsia="Times New Roman" w:hAnsi="Arial Narrow" w:cs="Arial"/>
                <w:sz w:val="18"/>
                <w:szCs w:val="18"/>
                <w:lang w:eastAsia="pt-BR"/>
              </w:rPr>
            </w:pPr>
            <w:r w:rsidRPr="00A81D7F">
              <w:rPr>
                <w:rFonts w:ascii="Arial Narrow" w:eastAsia="Times New Roman" w:hAnsi="Arial Narrow" w:cs="Arial"/>
                <w:sz w:val="18"/>
                <w:szCs w:val="18"/>
                <w:lang w:eastAsia="pt-BR"/>
              </w:rPr>
              <w:t>BOD.F029</w:t>
            </w:r>
          </w:p>
        </w:tc>
        <w:tc>
          <w:tcPr>
            <w:tcW w:w="1701" w:type="dxa"/>
            <w:tcBorders>
              <w:top w:val="nil"/>
              <w:left w:val="nil"/>
              <w:bottom w:val="nil"/>
              <w:right w:val="single" w:sz="8" w:space="0" w:color="auto"/>
            </w:tcBorders>
            <w:shd w:val="clear" w:color="auto" w:fill="auto"/>
            <w:vAlign w:val="center"/>
            <w:hideMark/>
          </w:tcPr>
          <w:p w14:paraId="253FCAB6" w14:textId="77777777" w:rsidR="00A81D7F" w:rsidRPr="00A81D7F" w:rsidRDefault="00A81D7F" w:rsidP="00326F06">
            <w:pPr>
              <w:spacing w:after="0" w:line="240" w:lineRule="auto"/>
              <w:jc w:val="center"/>
              <w:rPr>
                <w:rFonts w:ascii="Arial Narrow" w:eastAsia="Times New Roman" w:hAnsi="Arial Narrow" w:cs="Arial"/>
                <w:sz w:val="18"/>
                <w:szCs w:val="18"/>
                <w:lang w:eastAsia="pt-BR"/>
              </w:rPr>
            </w:pPr>
            <w:r w:rsidRPr="00A81D7F">
              <w:rPr>
                <w:rFonts w:ascii="Arial Narrow" w:eastAsia="Times New Roman" w:hAnsi="Arial Narrow" w:cs="Arial"/>
                <w:sz w:val="18"/>
                <w:szCs w:val="18"/>
                <w:lang w:eastAsia="pt-BR"/>
              </w:rPr>
              <w:t>BOD.G029</w:t>
            </w:r>
          </w:p>
        </w:tc>
        <w:tc>
          <w:tcPr>
            <w:tcW w:w="1843" w:type="dxa"/>
            <w:tcBorders>
              <w:top w:val="nil"/>
              <w:left w:val="nil"/>
              <w:bottom w:val="nil"/>
              <w:right w:val="single" w:sz="8" w:space="0" w:color="auto"/>
            </w:tcBorders>
            <w:shd w:val="clear" w:color="auto" w:fill="auto"/>
            <w:vAlign w:val="center"/>
            <w:hideMark/>
          </w:tcPr>
          <w:p w14:paraId="1B507B97" w14:textId="77777777" w:rsidR="00A81D7F" w:rsidRPr="00A81D7F" w:rsidRDefault="00A81D7F" w:rsidP="00326F06">
            <w:pPr>
              <w:spacing w:after="0" w:line="240" w:lineRule="auto"/>
              <w:jc w:val="center"/>
              <w:rPr>
                <w:rFonts w:ascii="Arial Narrow" w:eastAsia="Times New Roman" w:hAnsi="Arial Narrow" w:cs="Arial"/>
                <w:sz w:val="18"/>
                <w:szCs w:val="18"/>
                <w:lang w:eastAsia="pt-BR"/>
              </w:rPr>
            </w:pPr>
            <w:r w:rsidRPr="00A81D7F">
              <w:rPr>
                <w:rFonts w:ascii="Arial Narrow" w:eastAsia="Times New Roman" w:hAnsi="Arial Narrow" w:cs="Arial"/>
                <w:sz w:val="18"/>
                <w:szCs w:val="18"/>
                <w:lang w:eastAsia="pt-BR"/>
              </w:rPr>
              <w:t>BOD.H029</w:t>
            </w:r>
          </w:p>
        </w:tc>
      </w:tr>
      <w:tr w:rsidR="00A81D7F" w:rsidRPr="00D2722A" w14:paraId="03E35CE6" w14:textId="77777777" w:rsidTr="00326F06">
        <w:trPr>
          <w:trHeight w:val="270"/>
        </w:trPr>
        <w:tc>
          <w:tcPr>
            <w:tcW w:w="2709" w:type="dxa"/>
            <w:tcBorders>
              <w:top w:val="nil"/>
              <w:left w:val="single" w:sz="8" w:space="0" w:color="auto"/>
              <w:bottom w:val="nil"/>
              <w:right w:val="nil"/>
            </w:tcBorders>
            <w:shd w:val="clear" w:color="auto" w:fill="auto"/>
            <w:vAlign w:val="center"/>
            <w:hideMark/>
          </w:tcPr>
          <w:p w14:paraId="59664E88" w14:textId="77777777" w:rsidR="00A81D7F" w:rsidRPr="00A81D7F" w:rsidRDefault="00A81D7F" w:rsidP="00326F06">
            <w:pPr>
              <w:spacing w:after="0" w:line="240" w:lineRule="auto"/>
              <w:ind w:firstLineChars="100" w:firstLine="180"/>
              <w:rPr>
                <w:rFonts w:ascii="Arial Narrow" w:eastAsia="Times New Roman" w:hAnsi="Arial Narrow" w:cs="Arial"/>
                <w:sz w:val="18"/>
                <w:szCs w:val="18"/>
                <w:lang w:eastAsia="pt-BR"/>
              </w:rPr>
            </w:pPr>
            <w:r w:rsidRPr="00A81D7F">
              <w:rPr>
                <w:rFonts w:ascii="Arial Narrow" w:eastAsia="Times New Roman" w:hAnsi="Arial Narrow" w:cs="Arial"/>
                <w:sz w:val="18"/>
                <w:szCs w:val="18"/>
                <w:lang w:eastAsia="pt-BR"/>
              </w:rPr>
              <w:t>Outras Dívidas</w:t>
            </w:r>
          </w:p>
        </w:tc>
        <w:tc>
          <w:tcPr>
            <w:tcW w:w="1842" w:type="dxa"/>
            <w:tcBorders>
              <w:top w:val="nil"/>
              <w:left w:val="single" w:sz="8" w:space="0" w:color="auto"/>
              <w:bottom w:val="nil"/>
              <w:right w:val="nil"/>
            </w:tcBorders>
            <w:shd w:val="clear" w:color="auto" w:fill="auto"/>
            <w:vAlign w:val="center"/>
            <w:hideMark/>
          </w:tcPr>
          <w:p w14:paraId="44DF8C26" w14:textId="77777777" w:rsidR="00A81D7F" w:rsidRPr="00A81D7F" w:rsidRDefault="00A81D7F" w:rsidP="00326F06">
            <w:pPr>
              <w:spacing w:after="0" w:line="240" w:lineRule="auto"/>
              <w:jc w:val="center"/>
              <w:rPr>
                <w:rFonts w:ascii="Arial Narrow" w:eastAsia="Times New Roman" w:hAnsi="Arial Narrow" w:cs="Arial"/>
                <w:sz w:val="18"/>
                <w:szCs w:val="18"/>
                <w:lang w:eastAsia="pt-BR"/>
              </w:rPr>
            </w:pPr>
            <w:r w:rsidRPr="00A81D7F">
              <w:rPr>
                <w:rFonts w:ascii="Arial Narrow" w:eastAsia="Times New Roman" w:hAnsi="Arial Narrow" w:cs="Arial"/>
                <w:sz w:val="18"/>
                <w:szCs w:val="18"/>
                <w:lang w:eastAsia="pt-BR"/>
              </w:rPr>
              <w:t>BOD.C030</w:t>
            </w:r>
          </w:p>
        </w:tc>
        <w:tc>
          <w:tcPr>
            <w:tcW w:w="1984" w:type="dxa"/>
            <w:tcBorders>
              <w:top w:val="nil"/>
              <w:left w:val="single" w:sz="8" w:space="0" w:color="auto"/>
              <w:bottom w:val="single" w:sz="6" w:space="0" w:color="auto"/>
              <w:right w:val="single" w:sz="8" w:space="0" w:color="auto"/>
            </w:tcBorders>
            <w:shd w:val="clear" w:color="auto" w:fill="auto"/>
            <w:vAlign w:val="center"/>
            <w:hideMark/>
          </w:tcPr>
          <w:p w14:paraId="4F10785A" w14:textId="77777777" w:rsidR="00A81D7F" w:rsidRPr="00A81D7F" w:rsidRDefault="00A81D7F" w:rsidP="00326F06">
            <w:pPr>
              <w:spacing w:after="0" w:line="240" w:lineRule="auto"/>
              <w:jc w:val="center"/>
              <w:rPr>
                <w:rFonts w:ascii="Arial Narrow" w:eastAsia="Times New Roman" w:hAnsi="Arial Narrow" w:cs="Arial"/>
                <w:sz w:val="18"/>
                <w:szCs w:val="18"/>
                <w:lang w:eastAsia="pt-BR"/>
              </w:rPr>
            </w:pPr>
            <w:r w:rsidRPr="00A81D7F">
              <w:rPr>
                <w:rFonts w:ascii="Arial Narrow" w:eastAsia="Times New Roman" w:hAnsi="Arial Narrow" w:cs="Arial"/>
                <w:sz w:val="18"/>
                <w:szCs w:val="18"/>
                <w:lang w:eastAsia="pt-BR"/>
              </w:rPr>
              <w:t>BOD.D030</w:t>
            </w:r>
          </w:p>
        </w:tc>
        <w:tc>
          <w:tcPr>
            <w:tcW w:w="1843" w:type="dxa"/>
            <w:tcBorders>
              <w:top w:val="nil"/>
              <w:left w:val="nil"/>
              <w:bottom w:val="single" w:sz="6" w:space="0" w:color="auto"/>
              <w:right w:val="single" w:sz="8" w:space="0" w:color="auto"/>
            </w:tcBorders>
            <w:shd w:val="clear" w:color="auto" w:fill="auto"/>
            <w:vAlign w:val="center"/>
            <w:hideMark/>
          </w:tcPr>
          <w:p w14:paraId="45E5F9C6" w14:textId="77777777" w:rsidR="00A81D7F" w:rsidRPr="00A81D7F" w:rsidRDefault="00A81D7F" w:rsidP="00326F06">
            <w:pPr>
              <w:spacing w:after="0" w:line="240" w:lineRule="auto"/>
              <w:jc w:val="center"/>
              <w:rPr>
                <w:rFonts w:ascii="Arial Narrow" w:eastAsia="Times New Roman" w:hAnsi="Arial Narrow" w:cs="Arial"/>
                <w:sz w:val="18"/>
                <w:szCs w:val="18"/>
                <w:lang w:eastAsia="pt-BR"/>
              </w:rPr>
            </w:pPr>
            <w:r w:rsidRPr="00A81D7F">
              <w:rPr>
                <w:rFonts w:ascii="Arial Narrow" w:eastAsia="Times New Roman" w:hAnsi="Arial Narrow" w:cs="Arial"/>
                <w:sz w:val="18"/>
                <w:szCs w:val="18"/>
                <w:lang w:eastAsia="pt-BR"/>
              </w:rPr>
              <w:t>BOD.E030</w:t>
            </w:r>
          </w:p>
        </w:tc>
        <w:tc>
          <w:tcPr>
            <w:tcW w:w="1984" w:type="dxa"/>
            <w:tcBorders>
              <w:top w:val="nil"/>
              <w:left w:val="nil"/>
              <w:bottom w:val="single" w:sz="6" w:space="0" w:color="auto"/>
              <w:right w:val="single" w:sz="8" w:space="0" w:color="auto"/>
            </w:tcBorders>
            <w:shd w:val="clear" w:color="auto" w:fill="auto"/>
            <w:vAlign w:val="center"/>
            <w:hideMark/>
          </w:tcPr>
          <w:p w14:paraId="22ABFC0B" w14:textId="77777777" w:rsidR="00A81D7F" w:rsidRPr="00A81D7F" w:rsidRDefault="00A81D7F" w:rsidP="00326F06">
            <w:pPr>
              <w:spacing w:after="0" w:line="240" w:lineRule="auto"/>
              <w:jc w:val="center"/>
              <w:rPr>
                <w:rFonts w:ascii="Arial Narrow" w:eastAsia="Times New Roman" w:hAnsi="Arial Narrow" w:cs="Arial"/>
                <w:sz w:val="18"/>
                <w:szCs w:val="18"/>
                <w:lang w:eastAsia="pt-BR"/>
              </w:rPr>
            </w:pPr>
            <w:r w:rsidRPr="00A81D7F">
              <w:rPr>
                <w:rFonts w:ascii="Arial Narrow" w:eastAsia="Times New Roman" w:hAnsi="Arial Narrow" w:cs="Arial"/>
                <w:sz w:val="18"/>
                <w:szCs w:val="18"/>
                <w:lang w:eastAsia="pt-BR"/>
              </w:rPr>
              <w:t>BOD.F030</w:t>
            </w:r>
          </w:p>
        </w:tc>
        <w:tc>
          <w:tcPr>
            <w:tcW w:w="1701" w:type="dxa"/>
            <w:tcBorders>
              <w:top w:val="nil"/>
              <w:left w:val="nil"/>
              <w:bottom w:val="single" w:sz="6" w:space="0" w:color="auto"/>
              <w:right w:val="single" w:sz="8" w:space="0" w:color="auto"/>
            </w:tcBorders>
            <w:shd w:val="clear" w:color="auto" w:fill="auto"/>
            <w:vAlign w:val="center"/>
            <w:hideMark/>
          </w:tcPr>
          <w:p w14:paraId="3AF1070A" w14:textId="77777777" w:rsidR="00A81D7F" w:rsidRPr="00A81D7F" w:rsidRDefault="00A81D7F" w:rsidP="00326F06">
            <w:pPr>
              <w:spacing w:after="0" w:line="240" w:lineRule="auto"/>
              <w:jc w:val="center"/>
              <w:rPr>
                <w:rFonts w:ascii="Arial Narrow" w:eastAsia="Times New Roman" w:hAnsi="Arial Narrow" w:cs="Arial"/>
                <w:sz w:val="18"/>
                <w:szCs w:val="18"/>
                <w:lang w:eastAsia="pt-BR"/>
              </w:rPr>
            </w:pPr>
            <w:r w:rsidRPr="00A81D7F">
              <w:rPr>
                <w:rFonts w:ascii="Arial Narrow" w:eastAsia="Times New Roman" w:hAnsi="Arial Narrow" w:cs="Arial"/>
                <w:sz w:val="18"/>
                <w:szCs w:val="18"/>
                <w:lang w:eastAsia="pt-BR"/>
              </w:rPr>
              <w:t>BOD.G030</w:t>
            </w:r>
          </w:p>
        </w:tc>
        <w:tc>
          <w:tcPr>
            <w:tcW w:w="1843" w:type="dxa"/>
            <w:tcBorders>
              <w:top w:val="nil"/>
              <w:left w:val="nil"/>
              <w:bottom w:val="nil"/>
              <w:right w:val="single" w:sz="8" w:space="0" w:color="auto"/>
            </w:tcBorders>
            <w:shd w:val="clear" w:color="auto" w:fill="auto"/>
            <w:vAlign w:val="center"/>
            <w:hideMark/>
          </w:tcPr>
          <w:p w14:paraId="4BA7EAB1" w14:textId="77777777" w:rsidR="00A81D7F" w:rsidRPr="00A81D7F" w:rsidRDefault="00A81D7F" w:rsidP="00326F06">
            <w:pPr>
              <w:spacing w:after="0" w:line="240" w:lineRule="auto"/>
              <w:jc w:val="center"/>
              <w:rPr>
                <w:rFonts w:ascii="Arial Narrow" w:eastAsia="Times New Roman" w:hAnsi="Arial Narrow" w:cs="Arial"/>
                <w:sz w:val="18"/>
                <w:szCs w:val="18"/>
                <w:lang w:eastAsia="pt-BR"/>
              </w:rPr>
            </w:pPr>
            <w:r w:rsidRPr="00A81D7F">
              <w:rPr>
                <w:rFonts w:ascii="Arial Narrow" w:eastAsia="Times New Roman" w:hAnsi="Arial Narrow" w:cs="Arial"/>
                <w:sz w:val="18"/>
                <w:szCs w:val="18"/>
                <w:lang w:eastAsia="pt-BR"/>
              </w:rPr>
              <w:t>BOD.H030</w:t>
            </w:r>
          </w:p>
        </w:tc>
      </w:tr>
      <w:tr w:rsidR="00A81D7F" w:rsidRPr="00D2722A" w14:paraId="0BF9E717" w14:textId="77777777" w:rsidTr="00326F06">
        <w:trPr>
          <w:trHeight w:val="270"/>
        </w:trPr>
        <w:tc>
          <w:tcPr>
            <w:tcW w:w="2709"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46F99CE" w14:textId="77777777" w:rsidR="00A81D7F" w:rsidRPr="00A81D7F" w:rsidRDefault="00A81D7F" w:rsidP="00326F06">
            <w:pPr>
              <w:spacing w:after="0" w:line="240" w:lineRule="auto"/>
              <w:rPr>
                <w:rFonts w:ascii="Arial Narrow" w:eastAsia="Times New Roman" w:hAnsi="Arial Narrow" w:cs="Arial"/>
                <w:b/>
                <w:bCs/>
                <w:sz w:val="18"/>
                <w:szCs w:val="18"/>
                <w:lang w:eastAsia="pt-BR"/>
              </w:rPr>
            </w:pPr>
            <w:r w:rsidRPr="00A81D7F">
              <w:rPr>
                <w:rFonts w:ascii="Arial Narrow" w:eastAsia="Times New Roman" w:hAnsi="Arial Narrow" w:cs="Arial"/>
                <w:b/>
                <w:bCs/>
                <w:sz w:val="18"/>
                <w:szCs w:val="18"/>
                <w:lang w:eastAsia="pt-BR"/>
              </w:rPr>
              <w:t>SUBTOTAL C/ REFINANCIAMENTO (XIII) = (XI + XII)</w:t>
            </w:r>
          </w:p>
        </w:tc>
        <w:tc>
          <w:tcPr>
            <w:tcW w:w="1842" w:type="dxa"/>
            <w:tcBorders>
              <w:top w:val="single" w:sz="8" w:space="0" w:color="auto"/>
              <w:left w:val="nil"/>
              <w:bottom w:val="single" w:sz="8" w:space="0" w:color="auto"/>
              <w:right w:val="single" w:sz="8" w:space="0" w:color="auto"/>
            </w:tcBorders>
            <w:shd w:val="clear" w:color="auto" w:fill="auto"/>
            <w:vAlign w:val="center"/>
            <w:hideMark/>
          </w:tcPr>
          <w:p w14:paraId="086C3ACC" w14:textId="77777777" w:rsidR="00A81D7F" w:rsidRPr="00A81D7F" w:rsidRDefault="00A81D7F" w:rsidP="00326F06">
            <w:pPr>
              <w:spacing w:after="0" w:line="240" w:lineRule="auto"/>
              <w:jc w:val="center"/>
              <w:rPr>
                <w:rFonts w:ascii="Arial Narrow" w:eastAsia="Times New Roman" w:hAnsi="Arial Narrow" w:cs="Arial"/>
                <w:b/>
                <w:bCs/>
                <w:sz w:val="18"/>
                <w:szCs w:val="18"/>
                <w:lang w:eastAsia="pt-BR"/>
              </w:rPr>
            </w:pPr>
            <w:r w:rsidRPr="00A81D7F">
              <w:rPr>
                <w:rFonts w:ascii="Arial Narrow" w:eastAsia="Times New Roman" w:hAnsi="Arial Narrow" w:cs="Arial"/>
                <w:b/>
                <w:bCs/>
                <w:sz w:val="18"/>
                <w:szCs w:val="18"/>
                <w:lang w:eastAsia="pt-BR"/>
              </w:rPr>
              <w:t>BOD.C032</w:t>
            </w:r>
          </w:p>
        </w:tc>
        <w:tc>
          <w:tcPr>
            <w:tcW w:w="1984" w:type="dxa"/>
            <w:tcBorders>
              <w:top w:val="single" w:sz="6" w:space="0" w:color="auto"/>
              <w:left w:val="nil"/>
              <w:bottom w:val="single" w:sz="8" w:space="0" w:color="auto"/>
              <w:right w:val="single" w:sz="8" w:space="0" w:color="auto"/>
            </w:tcBorders>
            <w:shd w:val="clear" w:color="auto" w:fill="auto"/>
            <w:vAlign w:val="center"/>
            <w:hideMark/>
          </w:tcPr>
          <w:p w14:paraId="3B18581C" w14:textId="77777777" w:rsidR="00A81D7F" w:rsidRPr="00A81D7F" w:rsidRDefault="00A81D7F" w:rsidP="00326F06">
            <w:pPr>
              <w:spacing w:after="0" w:line="240" w:lineRule="auto"/>
              <w:jc w:val="center"/>
              <w:rPr>
                <w:rFonts w:ascii="Arial Narrow" w:eastAsia="Times New Roman" w:hAnsi="Arial Narrow" w:cs="Arial"/>
                <w:b/>
                <w:bCs/>
                <w:sz w:val="18"/>
                <w:szCs w:val="18"/>
                <w:lang w:eastAsia="pt-BR"/>
              </w:rPr>
            </w:pPr>
            <w:r w:rsidRPr="00A81D7F">
              <w:rPr>
                <w:rFonts w:ascii="Arial Narrow" w:eastAsia="Times New Roman" w:hAnsi="Arial Narrow" w:cs="Arial"/>
                <w:b/>
                <w:bCs/>
                <w:sz w:val="18"/>
                <w:szCs w:val="18"/>
                <w:lang w:eastAsia="pt-BR"/>
              </w:rPr>
              <w:t>BOD.D032</w:t>
            </w:r>
          </w:p>
        </w:tc>
        <w:tc>
          <w:tcPr>
            <w:tcW w:w="1843" w:type="dxa"/>
            <w:tcBorders>
              <w:top w:val="single" w:sz="6" w:space="0" w:color="auto"/>
              <w:left w:val="nil"/>
              <w:bottom w:val="single" w:sz="8" w:space="0" w:color="auto"/>
              <w:right w:val="single" w:sz="8" w:space="0" w:color="auto"/>
            </w:tcBorders>
            <w:shd w:val="clear" w:color="auto" w:fill="auto"/>
            <w:vAlign w:val="center"/>
            <w:hideMark/>
          </w:tcPr>
          <w:p w14:paraId="2FF90643" w14:textId="77777777" w:rsidR="00A81D7F" w:rsidRPr="00A81D7F" w:rsidRDefault="00A81D7F" w:rsidP="00326F06">
            <w:pPr>
              <w:spacing w:after="0" w:line="240" w:lineRule="auto"/>
              <w:jc w:val="center"/>
              <w:rPr>
                <w:rFonts w:ascii="Arial Narrow" w:eastAsia="Times New Roman" w:hAnsi="Arial Narrow" w:cs="Arial"/>
                <w:b/>
                <w:bCs/>
                <w:sz w:val="18"/>
                <w:szCs w:val="18"/>
                <w:lang w:eastAsia="pt-BR"/>
              </w:rPr>
            </w:pPr>
            <w:r w:rsidRPr="00A81D7F">
              <w:rPr>
                <w:rFonts w:ascii="Arial Narrow" w:eastAsia="Times New Roman" w:hAnsi="Arial Narrow" w:cs="Arial"/>
                <w:b/>
                <w:bCs/>
                <w:sz w:val="18"/>
                <w:szCs w:val="18"/>
                <w:lang w:eastAsia="pt-BR"/>
              </w:rPr>
              <w:t>BOD.E032</w:t>
            </w:r>
          </w:p>
        </w:tc>
        <w:tc>
          <w:tcPr>
            <w:tcW w:w="1984" w:type="dxa"/>
            <w:tcBorders>
              <w:top w:val="single" w:sz="6" w:space="0" w:color="auto"/>
              <w:left w:val="nil"/>
              <w:bottom w:val="single" w:sz="8" w:space="0" w:color="auto"/>
              <w:right w:val="single" w:sz="8" w:space="0" w:color="auto"/>
            </w:tcBorders>
            <w:shd w:val="clear" w:color="auto" w:fill="auto"/>
            <w:vAlign w:val="center"/>
            <w:hideMark/>
          </w:tcPr>
          <w:p w14:paraId="7F71F4E1" w14:textId="77777777" w:rsidR="00A81D7F" w:rsidRPr="00A81D7F" w:rsidRDefault="00A81D7F" w:rsidP="00326F06">
            <w:pPr>
              <w:spacing w:after="0" w:line="240" w:lineRule="auto"/>
              <w:jc w:val="center"/>
              <w:rPr>
                <w:rFonts w:ascii="Arial Narrow" w:eastAsia="Times New Roman" w:hAnsi="Arial Narrow" w:cs="Arial"/>
                <w:b/>
                <w:bCs/>
                <w:sz w:val="18"/>
                <w:szCs w:val="18"/>
                <w:lang w:eastAsia="pt-BR"/>
              </w:rPr>
            </w:pPr>
            <w:r w:rsidRPr="00A81D7F">
              <w:rPr>
                <w:rFonts w:ascii="Arial Narrow" w:eastAsia="Times New Roman" w:hAnsi="Arial Narrow" w:cs="Arial"/>
                <w:b/>
                <w:bCs/>
                <w:sz w:val="18"/>
                <w:szCs w:val="18"/>
                <w:lang w:eastAsia="pt-BR"/>
              </w:rPr>
              <w:t>BOD.F032</w:t>
            </w:r>
          </w:p>
        </w:tc>
        <w:tc>
          <w:tcPr>
            <w:tcW w:w="1701" w:type="dxa"/>
            <w:tcBorders>
              <w:top w:val="single" w:sz="6" w:space="0" w:color="auto"/>
              <w:left w:val="nil"/>
              <w:bottom w:val="single" w:sz="8" w:space="0" w:color="auto"/>
              <w:right w:val="single" w:sz="8" w:space="0" w:color="auto"/>
            </w:tcBorders>
            <w:shd w:val="clear" w:color="auto" w:fill="auto"/>
            <w:vAlign w:val="center"/>
            <w:hideMark/>
          </w:tcPr>
          <w:p w14:paraId="51CC52F3" w14:textId="77777777" w:rsidR="00A81D7F" w:rsidRPr="00A81D7F" w:rsidRDefault="00A81D7F" w:rsidP="00326F06">
            <w:pPr>
              <w:spacing w:after="0" w:line="240" w:lineRule="auto"/>
              <w:jc w:val="center"/>
              <w:rPr>
                <w:rFonts w:ascii="Arial Narrow" w:eastAsia="Times New Roman" w:hAnsi="Arial Narrow" w:cs="Arial"/>
                <w:b/>
                <w:bCs/>
                <w:sz w:val="18"/>
                <w:szCs w:val="18"/>
                <w:lang w:eastAsia="pt-BR"/>
              </w:rPr>
            </w:pPr>
            <w:r w:rsidRPr="00A81D7F">
              <w:rPr>
                <w:rFonts w:ascii="Arial Narrow" w:eastAsia="Times New Roman" w:hAnsi="Arial Narrow" w:cs="Arial"/>
                <w:b/>
                <w:bCs/>
                <w:sz w:val="18"/>
                <w:szCs w:val="18"/>
                <w:lang w:eastAsia="pt-BR"/>
              </w:rPr>
              <w:t>BOD.G032</w:t>
            </w:r>
          </w:p>
        </w:tc>
        <w:tc>
          <w:tcPr>
            <w:tcW w:w="1843" w:type="dxa"/>
            <w:tcBorders>
              <w:top w:val="single" w:sz="8" w:space="0" w:color="auto"/>
              <w:left w:val="nil"/>
              <w:bottom w:val="single" w:sz="8" w:space="0" w:color="auto"/>
              <w:right w:val="single" w:sz="8" w:space="0" w:color="auto"/>
            </w:tcBorders>
            <w:shd w:val="clear" w:color="auto" w:fill="auto"/>
            <w:vAlign w:val="center"/>
            <w:hideMark/>
          </w:tcPr>
          <w:p w14:paraId="26970DD2" w14:textId="77777777" w:rsidR="00A81D7F" w:rsidRPr="00A81D7F" w:rsidRDefault="00A81D7F" w:rsidP="00326F06">
            <w:pPr>
              <w:spacing w:after="0" w:line="240" w:lineRule="auto"/>
              <w:jc w:val="center"/>
              <w:rPr>
                <w:rFonts w:ascii="Arial Narrow" w:eastAsia="Times New Roman" w:hAnsi="Arial Narrow" w:cs="Arial"/>
                <w:b/>
                <w:bCs/>
                <w:sz w:val="18"/>
                <w:szCs w:val="18"/>
                <w:lang w:eastAsia="pt-BR"/>
              </w:rPr>
            </w:pPr>
            <w:r w:rsidRPr="00A81D7F">
              <w:rPr>
                <w:rFonts w:ascii="Arial Narrow" w:eastAsia="Times New Roman" w:hAnsi="Arial Narrow" w:cs="Arial"/>
                <w:b/>
                <w:bCs/>
                <w:sz w:val="18"/>
                <w:szCs w:val="18"/>
                <w:lang w:eastAsia="pt-BR"/>
              </w:rPr>
              <w:t>BOD.H032</w:t>
            </w:r>
          </w:p>
        </w:tc>
      </w:tr>
      <w:tr w:rsidR="00A81D7F" w:rsidRPr="00D2722A" w14:paraId="0D3B3793" w14:textId="77777777" w:rsidTr="00A81D7F">
        <w:trPr>
          <w:trHeight w:val="285"/>
        </w:trPr>
        <w:tc>
          <w:tcPr>
            <w:tcW w:w="2709" w:type="dxa"/>
            <w:tcBorders>
              <w:top w:val="nil"/>
              <w:left w:val="single" w:sz="8" w:space="0" w:color="auto"/>
              <w:bottom w:val="single" w:sz="8" w:space="0" w:color="auto"/>
              <w:right w:val="single" w:sz="8" w:space="0" w:color="auto"/>
            </w:tcBorders>
            <w:shd w:val="clear" w:color="auto" w:fill="auto"/>
            <w:vAlign w:val="center"/>
            <w:hideMark/>
          </w:tcPr>
          <w:p w14:paraId="0D2320DF" w14:textId="77777777" w:rsidR="00A81D7F" w:rsidRPr="00A81D7F" w:rsidRDefault="00A81D7F" w:rsidP="00326F06">
            <w:pPr>
              <w:spacing w:after="0" w:line="240" w:lineRule="auto"/>
              <w:rPr>
                <w:rFonts w:ascii="Arial Narrow" w:eastAsia="Times New Roman" w:hAnsi="Arial Narrow" w:cs="Arial"/>
                <w:b/>
                <w:bCs/>
                <w:sz w:val="18"/>
                <w:szCs w:val="18"/>
                <w:lang w:eastAsia="pt-BR"/>
              </w:rPr>
            </w:pPr>
            <w:r w:rsidRPr="00A81D7F">
              <w:rPr>
                <w:rFonts w:ascii="Arial Narrow" w:eastAsia="Times New Roman" w:hAnsi="Arial Narrow" w:cs="Arial"/>
                <w:b/>
                <w:bCs/>
                <w:sz w:val="18"/>
                <w:szCs w:val="18"/>
                <w:lang w:eastAsia="pt-BR"/>
              </w:rPr>
              <w:t>SUPERAVIT (XIV)</w:t>
            </w:r>
          </w:p>
        </w:tc>
        <w:tc>
          <w:tcPr>
            <w:tcW w:w="1842" w:type="dxa"/>
            <w:tcBorders>
              <w:top w:val="nil"/>
              <w:left w:val="nil"/>
              <w:bottom w:val="single" w:sz="8" w:space="0" w:color="auto"/>
              <w:right w:val="single" w:sz="8" w:space="0" w:color="auto"/>
            </w:tcBorders>
            <w:shd w:val="clear" w:color="auto" w:fill="808080" w:themeFill="background1" w:themeFillShade="80"/>
            <w:vAlign w:val="center"/>
            <w:hideMark/>
          </w:tcPr>
          <w:p w14:paraId="17B0B161" w14:textId="77777777" w:rsidR="00A81D7F" w:rsidRPr="00A81D7F" w:rsidRDefault="00A81D7F" w:rsidP="00326F06">
            <w:pPr>
              <w:spacing w:after="0" w:line="240" w:lineRule="auto"/>
              <w:jc w:val="center"/>
              <w:rPr>
                <w:rFonts w:ascii="Arial Narrow" w:eastAsia="Times New Roman" w:hAnsi="Arial Narrow" w:cs="Arial"/>
                <w:b/>
                <w:bCs/>
                <w:strike/>
                <w:sz w:val="18"/>
                <w:szCs w:val="18"/>
                <w:lang w:eastAsia="pt-BR"/>
              </w:rPr>
            </w:pPr>
          </w:p>
        </w:tc>
        <w:tc>
          <w:tcPr>
            <w:tcW w:w="1984" w:type="dxa"/>
            <w:tcBorders>
              <w:top w:val="nil"/>
              <w:left w:val="nil"/>
              <w:bottom w:val="single" w:sz="8" w:space="0" w:color="auto"/>
              <w:right w:val="single" w:sz="8" w:space="0" w:color="auto"/>
            </w:tcBorders>
            <w:shd w:val="clear" w:color="auto" w:fill="808080" w:themeFill="background1" w:themeFillShade="80"/>
            <w:vAlign w:val="center"/>
            <w:hideMark/>
          </w:tcPr>
          <w:p w14:paraId="709189B6" w14:textId="77777777" w:rsidR="00A81D7F" w:rsidRPr="00A81D7F" w:rsidRDefault="00A81D7F" w:rsidP="00326F06">
            <w:pPr>
              <w:spacing w:after="0" w:line="240" w:lineRule="auto"/>
              <w:jc w:val="center"/>
              <w:rPr>
                <w:rFonts w:ascii="Arial Narrow" w:eastAsia="Times New Roman" w:hAnsi="Arial Narrow" w:cs="Arial"/>
                <w:b/>
                <w:bCs/>
                <w:strike/>
                <w:sz w:val="18"/>
                <w:szCs w:val="18"/>
                <w:lang w:eastAsia="pt-BR"/>
              </w:rPr>
            </w:pPr>
          </w:p>
        </w:tc>
        <w:tc>
          <w:tcPr>
            <w:tcW w:w="1843" w:type="dxa"/>
            <w:tcBorders>
              <w:top w:val="nil"/>
              <w:left w:val="nil"/>
              <w:bottom w:val="single" w:sz="8" w:space="0" w:color="auto"/>
              <w:right w:val="single" w:sz="8" w:space="0" w:color="auto"/>
            </w:tcBorders>
            <w:shd w:val="clear" w:color="auto" w:fill="auto"/>
            <w:vAlign w:val="center"/>
            <w:hideMark/>
          </w:tcPr>
          <w:p w14:paraId="1A5D0328" w14:textId="77777777" w:rsidR="00A81D7F" w:rsidRPr="00A81D7F" w:rsidRDefault="00A81D7F" w:rsidP="00326F06">
            <w:pPr>
              <w:spacing w:after="0" w:line="240" w:lineRule="auto"/>
              <w:jc w:val="center"/>
              <w:rPr>
                <w:rFonts w:ascii="Arial Narrow" w:eastAsia="Times New Roman" w:hAnsi="Arial Narrow" w:cs="Arial"/>
                <w:b/>
                <w:bCs/>
                <w:sz w:val="18"/>
                <w:szCs w:val="18"/>
                <w:lang w:eastAsia="pt-BR"/>
              </w:rPr>
            </w:pPr>
            <w:r w:rsidRPr="00A81D7F">
              <w:rPr>
                <w:rFonts w:ascii="Arial Narrow" w:eastAsia="Times New Roman" w:hAnsi="Arial Narrow" w:cs="Arial"/>
                <w:b/>
                <w:bCs/>
                <w:sz w:val="18"/>
                <w:szCs w:val="18"/>
                <w:lang w:eastAsia="pt-BR"/>
              </w:rPr>
              <w:t>BOD.E033</w:t>
            </w:r>
          </w:p>
        </w:tc>
        <w:tc>
          <w:tcPr>
            <w:tcW w:w="1984" w:type="dxa"/>
            <w:tcBorders>
              <w:top w:val="nil"/>
              <w:left w:val="nil"/>
              <w:bottom w:val="single" w:sz="8" w:space="0" w:color="auto"/>
              <w:right w:val="nil"/>
            </w:tcBorders>
            <w:shd w:val="clear" w:color="000000" w:fill="808080"/>
            <w:vAlign w:val="center"/>
            <w:hideMark/>
          </w:tcPr>
          <w:p w14:paraId="7D4EC8B4" w14:textId="77777777" w:rsidR="00A81D7F" w:rsidRPr="00A81D7F" w:rsidRDefault="00A81D7F" w:rsidP="00326F06">
            <w:pPr>
              <w:spacing w:after="0" w:line="240" w:lineRule="auto"/>
              <w:jc w:val="center"/>
              <w:rPr>
                <w:rFonts w:ascii="Arial Narrow" w:eastAsia="Times New Roman" w:hAnsi="Arial Narrow" w:cs="Arial"/>
                <w:b/>
                <w:bCs/>
                <w:sz w:val="18"/>
                <w:szCs w:val="18"/>
                <w:lang w:eastAsia="pt-BR"/>
              </w:rPr>
            </w:pPr>
            <w:r w:rsidRPr="00A81D7F">
              <w:rPr>
                <w:rFonts w:ascii="Arial Narrow" w:eastAsia="Times New Roman" w:hAnsi="Arial Narrow" w:cs="Arial"/>
                <w:b/>
                <w:bCs/>
                <w:sz w:val="18"/>
                <w:szCs w:val="18"/>
                <w:lang w:eastAsia="pt-BR"/>
              </w:rPr>
              <w:t> </w:t>
            </w:r>
          </w:p>
        </w:tc>
        <w:tc>
          <w:tcPr>
            <w:tcW w:w="1701" w:type="dxa"/>
            <w:tcBorders>
              <w:top w:val="nil"/>
              <w:left w:val="nil"/>
              <w:bottom w:val="single" w:sz="8" w:space="0" w:color="auto"/>
              <w:right w:val="nil"/>
            </w:tcBorders>
            <w:shd w:val="clear" w:color="000000" w:fill="808080"/>
            <w:vAlign w:val="center"/>
            <w:hideMark/>
          </w:tcPr>
          <w:p w14:paraId="5276A3EA" w14:textId="77777777" w:rsidR="00A81D7F" w:rsidRPr="00A81D7F" w:rsidRDefault="00A81D7F" w:rsidP="00326F06">
            <w:pPr>
              <w:spacing w:after="0" w:line="240" w:lineRule="auto"/>
              <w:jc w:val="center"/>
              <w:rPr>
                <w:rFonts w:ascii="Arial Narrow" w:eastAsia="Times New Roman" w:hAnsi="Arial Narrow" w:cs="Arial"/>
                <w:b/>
                <w:bCs/>
                <w:sz w:val="18"/>
                <w:szCs w:val="18"/>
                <w:lang w:eastAsia="pt-BR"/>
              </w:rPr>
            </w:pPr>
            <w:r w:rsidRPr="00A81D7F">
              <w:rPr>
                <w:rFonts w:ascii="Arial Narrow" w:eastAsia="Times New Roman" w:hAnsi="Arial Narrow" w:cs="Arial"/>
                <w:b/>
                <w:bCs/>
                <w:sz w:val="18"/>
                <w:szCs w:val="18"/>
                <w:lang w:eastAsia="pt-BR"/>
              </w:rPr>
              <w:t> </w:t>
            </w:r>
          </w:p>
        </w:tc>
        <w:tc>
          <w:tcPr>
            <w:tcW w:w="1843" w:type="dxa"/>
            <w:tcBorders>
              <w:top w:val="nil"/>
              <w:left w:val="nil"/>
              <w:bottom w:val="single" w:sz="8" w:space="0" w:color="auto"/>
              <w:right w:val="single" w:sz="8" w:space="0" w:color="auto"/>
            </w:tcBorders>
            <w:shd w:val="clear" w:color="000000" w:fill="808080"/>
            <w:vAlign w:val="center"/>
            <w:hideMark/>
          </w:tcPr>
          <w:p w14:paraId="2C7B3208" w14:textId="77777777" w:rsidR="00A81D7F" w:rsidRPr="00A81D7F" w:rsidRDefault="00A81D7F" w:rsidP="00326F06">
            <w:pPr>
              <w:spacing w:after="0" w:line="240" w:lineRule="auto"/>
              <w:jc w:val="center"/>
              <w:rPr>
                <w:rFonts w:ascii="Arial Narrow" w:eastAsia="Times New Roman" w:hAnsi="Arial Narrow" w:cs="Arial"/>
                <w:b/>
                <w:bCs/>
                <w:sz w:val="18"/>
                <w:szCs w:val="18"/>
                <w:lang w:eastAsia="pt-BR"/>
              </w:rPr>
            </w:pPr>
            <w:r w:rsidRPr="00A81D7F">
              <w:rPr>
                <w:rFonts w:ascii="Arial Narrow" w:eastAsia="Times New Roman" w:hAnsi="Arial Narrow" w:cs="Arial"/>
                <w:b/>
                <w:bCs/>
                <w:sz w:val="18"/>
                <w:szCs w:val="18"/>
                <w:lang w:eastAsia="pt-BR"/>
              </w:rPr>
              <w:t> </w:t>
            </w:r>
          </w:p>
        </w:tc>
      </w:tr>
      <w:tr w:rsidR="00A81D7F" w:rsidRPr="00D2722A" w14:paraId="6BDE3A52" w14:textId="77777777" w:rsidTr="00326F06">
        <w:trPr>
          <w:trHeight w:val="285"/>
        </w:trPr>
        <w:tc>
          <w:tcPr>
            <w:tcW w:w="2709" w:type="dxa"/>
            <w:tcBorders>
              <w:top w:val="nil"/>
              <w:left w:val="single" w:sz="8" w:space="0" w:color="auto"/>
              <w:bottom w:val="single" w:sz="8" w:space="0" w:color="auto"/>
              <w:right w:val="single" w:sz="8" w:space="0" w:color="auto"/>
            </w:tcBorders>
            <w:shd w:val="clear" w:color="auto" w:fill="auto"/>
            <w:vAlign w:val="center"/>
            <w:hideMark/>
          </w:tcPr>
          <w:p w14:paraId="33CFADA3" w14:textId="77777777" w:rsidR="00A81D7F" w:rsidRPr="00A81D7F" w:rsidRDefault="00A81D7F" w:rsidP="00326F06">
            <w:pPr>
              <w:spacing w:after="0" w:line="240" w:lineRule="auto"/>
              <w:rPr>
                <w:rFonts w:ascii="Arial Narrow" w:eastAsia="Times New Roman" w:hAnsi="Arial Narrow" w:cs="Arial"/>
                <w:b/>
                <w:bCs/>
                <w:sz w:val="18"/>
                <w:szCs w:val="18"/>
                <w:lang w:eastAsia="pt-BR"/>
              </w:rPr>
            </w:pPr>
            <w:r w:rsidRPr="00A81D7F">
              <w:rPr>
                <w:rFonts w:ascii="Arial Narrow" w:eastAsia="Times New Roman" w:hAnsi="Arial Narrow" w:cs="Arial"/>
                <w:b/>
                <w:bCs/>
                <w:sz w:val="18"/>
                <w:szCs w:val="18"/>
                <w:lang w:eastAsia="pt-BR"/>
              </w:rPr>
              <w:t>TOTAL (XV) = (XIII + XIV)</w:t>
            </w:r>
          </w:p>
        </w:tc>
        <w:tc>
          <w:tcPr>
            <w:tcW w:w="1842" w:type="dxa"/>
            <w:tcBorders>
              <w:top w:val="nil"/>
              <w:left w:val="nil"/>
              <w:bottom w:val="single" w:sz="8" w:space="0" w:color="auto"/>
              <w:right w:val="single" w:sz="8" w:space="0" w:color="auto"/>
            </w:tcBorders>
            <w:shd w:val="clear" w:color="auto" w:fill="auto"/>
            <w:vAlign w:val="center"/>
            <w:hideMark/>
          </w:tcPr>
          <w:p w14:paraId="414518A3" w14:textId="77777777" w:rsidR="00A81D7F" w:rsidRPr="00A81D7F" w:rsidRDefault="00A81D7F" w:rsidP="00326F06">
            <w:pPr>
              <w:spacing w:after="0" w:line="240" w:lineRule="auto"/>
              <w:jc w:val="center"/>
              <w:rPr>
                <w:rFonts w:ascii="Arial Narrow" w:eastAsia="Times New Roman" w:hAnsi="Arial Narrow" w:cs="Arial"/>
                <w:b/>
                <w:bCs/>
                <w:sz w:val="18"/>
                <w:szCs w:val="18"/>
                <w:lang w:eastAsia="pt-BR"/>
              </w:rPr>
            </w:pPr>
            <w:r w:rsidRPr="00A81D7F">
              <w:rPr>
                <w:rFonts w:ascii="Arial Narrow" w:eastAsia="Times New Roman" w:hAnsi="Arial Narrow" w:cs="Arial"/>
                <w:b/>
                <w:bCs/>
                <w:sz w:val="18"/>
                <w:szCs w:val="18"/>
                <w:lang w:eastAsia="pt-BR"/>
              </w:rPr>
              <w:t>BOD.C034</w:t>
            </w:r>
          </w:p>
        </w:tc>
        <w:tc>
          <w:tcPr>
            <w:tcW w:w="1984" w:type="dxa"/>
            <w:tcBorders>
              <w:top w:val="nil"/>
              <w:left w:val="nil"/>
              <w:bottom w:val="single" w:sz="8" w:space="0" w:color="auto"/>
              <w:right w:val="single" w:sz="8" w:space="0" w:color="auto"/>
            </w:tcBorders>
            <w:shd w:val="clear" w:color="auto" w:fill="auto"/>
            <w:vAlign w:val="center"/>
            <w:hideMark/>
          </w:tcPr>
          <w:p w14:paraId="12CEF790" w14:textId="77777777" w:rsidR="00A81D7F" w:rsidRPr="00A81D7F" w:rsidRDefault="00A81D7F" w:rsidP="00326F06">
            <w:pPr>
              <w:spacing w:after="0" w:line="240" w:lineRule="auto"/>
              <w:jc w:val="center"/>
              <w:rPr>
                <w:rFonts w:ascii="Arial Narrow" w:eastAsia="Times New Roman" w:hAnsi="Arial Narrow" w:cs="Arial"/>
                <w:b/>
                <w:bCs/>
                <w:sz w:val="18"/>
                <w:szCs w:val="18"/>
                <w:lang w:eastAsia="pt-BR"/>
              </w:rPr>
            </w:pPr>
            <w:r w:rsidRPr="00A81D7F">
              <w:rPr>
                <w:rFonts w:ascii="Arial Narrow" w:eastAsia="Times New Roman" w:hAnsi="Arial Narrow" w:cs="Arial"/>
                <w:b/>
                <w:bCs/>
                <w:sz w:val="18"/>
                <w:szCs w:val="18"/>
                <w:lang w:eastAsia="pt-BR"/>
              </w:rPr>
              <w:t>BOD.D034</w:t>
            </w:r>
          </w:p>
        </w:tc>
        <w:tc>
          <w:tcPr>
            <w:tcW w:w="1843" w:type="dxa"/>
            <w:tcBorders>
              <w:top w:val="nil"/>
              <w:left w:val="nil"/>
              <w:bottom w:val="single" w:sz="8" w:space="0" w:color="auto"/>
              <w:right w:val="single" w:sz="8" w:space="0" w:color="auto"/>
            </w:tcBorders>
            <w:shd w:val="clear" w:color="auto" w:fill="auto"/>
            <w:vAlign w:val="center"/>
            <w:hideMark/>
          </w:tcPr>
          <w:p w14:paraId="28FC1AB1" w14:textId="77777777" w:rsidR="00A81D7F" w:rsidRPr="00A81D7F" w:rsidRDefault="00A81D7F" w:rsidP="00326F06">
            <w:pPr>
              <w:spacing w:after="0" w:line="240" w:lineRule="auto"/>
              <w:jc w:val="center"/>
              <w:rPr>
                <w:rFonts w:ascii="Arial Narrow" w:eastAsia="Times New Roman" w:hAnsi="Arial Narrow" w:cs="Arial"/>
                <w:b/>
                <w:bCs/>
                <w:sz w:val="18"/>
                <w:szCs w:val="18"/>
                <w:lang w:eastAsia="pt-BR"/>
              </w:rPr>
            </w:pPr>
            <w:r w:rsidRPr="00A81D7F">
              <w:rPr>
                <w:rFonts w:ascii="Arial Narrow" w:eastAsia="Times New Roman" w:hAnsi="Arial Narrow" w:cs="Arial"/>
                <w:b/>
                <w:bCs/>
                <w:sz w:val="18"/>
                <w:szCs w:val="18"/>
                <w:lang w:eastAsia="pt-BR"/>
              </w:rPr>
              <w:t>BOD.E034</w:t>
            </w:r>
          </w:p>
        </w:tc>
        <w:tc>
          <w:tcPr>
            <w:tcW w:w="1984" w:type="dxa"/>
            <w:tcBorders>
              <w:top w:val="nil"/>
              <w:left w:val="nil"/>
              <w:bottom w:val="single" w:sz="8" w:space="0" w:color="auto"/>
              <w:right w:val="single" w:sz="8" w:space="0" w:color="auto"/>
            </w:tcBorders>
            <w:shd w:val="clear" w:color="auto" w:fill="auto"/>
            <w:vAlign w:val="center"/>
            <w:hideMark/>
          </w:tcPr>
          <w:p w14:paraId="6A98C7CC" w14:textId="77777777" w:rsidR="00A81D7F" w:rsidRPr="00A81D7F" w:rsidRDefault="00A81D7F" w:rsidP="00326F06">
            <w:pPr>
              <w:spacing w:after="0" w:line="240" w:lineRule="auto"/>
              <w:jc w:val="center"/>
              <w:rPr>
                <w:rFonts w:ascii="Arial Narrow" w:eastAsia="Times New Roman" w:hAnsi="Arial Narrow" w:cs="Arial"/>
                <w:b/>
                <w:bCs/>
                <w:sz w:val="18"/>
                <w:szCs w:val="18"/>
                <w:lang w:eastAsia="pt-BR"/>
              </w:rPr>
            </w:pPr>
            <w:r w:rsidRPr="00A81D7F">
              <w:rPr>
                <w:rFonts w:ascii="Arial Narrow" w:eastAsia="Times New Roman" w:hAnsi="Arial Narrow" w:cs="Arial"/>
                <w:b/>
                <w:bCs/>
                <w:sz w:val="18"/>
                <w:szCs w:val="18"/>
                <w:lang w:eastAsia="pt-BR"/>
              </w:rPr>
              <w:t>BOD.F034</w:t>
            </w:r>
          </w:p>
        </w:tc>
        <w:tc>
          <w:tcPr>
            <w:tcW w:w="1701" w:type="dxa"/>
            <w:tcBorders>
              <w:top w:val="nil"/>
              <w:left w:val="nil"/>
              <w:bottom w:val="single" w:sz="8" w:space="0" w:color="auto"/>
              <w:right w:val="single" w:sz="8" w:space="0" w:color="auto"/>
            </w:tcBorders>
            <w:shd w:val="clear" w:color="auto" w:fill="auto"/>
            <w:vAlign w:val="center"/>
            <w:hideMark/>
          </w:tcPr>
          <w:p w14:paraId="0235D29A" w14:textId="77777777" w:rsidR="00A81D7F" w:rsidRPr="00A81D7F" w:rsidRDefault="00A81D7F" w:rsidP="00326F06">
            <w:pPr>
              <w:spacing w:after="0" w:line="240" w:lineRule="auto"/>
              <w:jc w:val="center"/>
              <w:rPr>
                <w:rFonts w:ascii="Arial Narrow" w:eastAsia="Times New Roman" w:hAnsi="Arial Narrow" w:cs="Arial"/>
                <w:b/>
                <w:bCs/>
                <w:sz w:val="18"/>
                <w:szCs w:val="18"/>
                <w:lang w:eastAsia="pt-BR"/>
              </w:rPr>
            </w:pPr>
            <w:r w:rsidRPr="00A81D7F">
              <w:rPr>
                <w:rFonts w:ascii="Arial Narrow" w:eastAsia="Times New Roman" w:hAnsi="Arial Narrow" w:cs="Arial"/>
                <w:b/>
                <w:bCs/>
                <w:sz w:val="18"/>
                <w:szCs w:val="18"/>
                <w:lang w:eastAsia="pt-BR"/>
              </w:rPr>
              <w:t>BOD.G034</w:t>
            </w:r>
          </w:p>
        </w:tc>
        <w:tc>
          <w:tcPr>
            <w:tcW w:w="1843" w:type="dxa"/>
            <w:tcBorders>
              <w:top w:val="nil"/>
              <w:left w:val="nil"/>
              <w:bottom w:val="single" w:sz="8" w:space="0" w:color="auto"/>
              <w:right w:val="single" w:sz="8" w:space="0" w:color="auto"/>
            </w:tcBorders>
            <w:shd w:val="clear" w:color="000000" w:fill="808080"/>
            <w:vAlign w:val="center"/>
            <w:hideMark/>
          </w:tcPr>
          <w:p w14:paraId="65DD0A3A" w14:textId="77777777" w:rsidR="00A81D7F" w:rsidRPr="00A81D7F" w:rsidRDefault="00A81D7F" w:rsidP="00326F06">
            <w:pPr>
              <w:spacing w:after="0" w:line="240" w:lineRule="auto"/>
              <w:jc w:val="center"/>
              <w:rPr>
                <w:rFonts w:ascii="Arial Narrow" w:eastAsia="Times New Roman" w:hAnsi="Arial Narrow" w:cs="Arial"/>
                <w:b/>
                <w:bCs/>
                <w:sz w:val="18"/>
                <w:szCs w:val="18"/>
                <w:lang w:eastAsia="pt-BR"/>
              </w:rPr>
            </w:pPr>
            <w:r w:rsidRPr="00A81D7F">
              <w:rPr>
                <w:rFonts w:ascii="Arial Narrow" w:eastAsia="Times New Roman" w:hAnsi="Arial Narrow" w:cs="Arial"/>
                <w:b/>
                <w:bCs/>
                <w:sz w:val="18"/>
                <w:szCs w:val="18"/>
                <w:lang w:eastAsia="pt-BR"/>
              </w:rPr>
              <w:t> </w:t>
            </w:r>
          </w:p>
        </w:tc>
      </w:tr>
      <w:tr w:rsidR="00A81D7F" w:rsidRPr="00D2722A" w14:paraId="3AA42662" w14:textId="77777777" w:rsidTr="00326F06">
        <w:trPr>
          <w:trHeight w:val="285"/>
        </w:trPr>
        <w:tc>
          <w:tcPr>
            <w:tcW w:w="2709" w:type="dxa"/>
            <w:tcBorders>
              <w:top w:val="single" w:sz="8" w:space="0" w:color="auto"/>
              <w:left w:val="single" w:sz="8" w:space="0" w:color="auto"/>
              <w:bottom w:val="single" w:sz="8" w:space="0" w:color="auto"/>
              <w:right w:val="single" w:sz="8" w:space="0" w:color="auto"/>
            </w:tcBorders>
            <w:shd w:val="clear" w:color="auto" w:fill="auto"/>
            <w:vAlign w:val="center"/>
          </w:tcPr>
          <w:p w14:paraId="4770582B" w14:textId="77777777" w:rsidR="00A81D7F" w:rsidRPr="00A81D7F" w:rsidRDefault="00A81D7F" w:rsidP="00326F06">
            <w:pPr>
              <w:spacing w:after="0" w:line="240" w:lineRule="auto"/>
              <w:rPr>
                <w:rFonts w:ascii="Arial Narrow" w:eastAsia="Times New Roman" w:hAnsi="Arial Narrow" w:cs="Arial"/>
                <w:b/>
                <w:bCs/>
                <w:sz w:val="18"/>
                <w:szCs w:val="18"/>
                <w:lang w:eastAsia="pt-BR"/>
              </w:rPr>
            </w:pPr>
            <w:r w:rsidRPr="00A81D7F">
              <w:rPr>
                <w:rFonts w:ascii="Arial Narrow" w:eastAsia="Times New Roman" w:hAnsi="Arial Narrow" w:cs="Arial"/>
                <w:b/>
                <w:bCs/>
                <w:sz w:val="18"/>
                <w:szCs w:val="18"/>
                <w:lang w:eastAsia="pt-BR"/>
              </w:rPr>
              <w:t>Reserva do RPPS</w:t>
            </w:r>
          </w:p>
        </w:tc>
        <w:tc>
          <w:tcPr>
            <w:tcW w:w="1842" w:type="dxa"/>
            <w:tcBorders>
              <w:top w:val="single" w:sz="8" w:space="0" w:color="auto"/>
              <w:left w:val="nil"/>
              <w:bottom w:val="single" w:sz="8" w:space="0" w:color="auto"/>
              <w:right w:val="single" w:sz="8" w:space="0" w:color="auto"/>
            </w:tcBorders>
            <w:shd w:val="clear" w:color="auto" w:fill="auto"/>
            <w:vAlign w:val="center"/>
          </w:tcPr>
          <w:p w14:paraId="3BF3578B" w14:textId="77777777" w:rsidR="00A81D7F" w:rsidRPr="00A81D7F" w:rsidRDefault="00A81D7F" w:rsidP="00326F06">
            <w:pPr>
              <w:spacing w:after="0" w:line="240" w:lineRule="auto"/>
              <w:jc w:val="center"/>
              <w:rPr>
                <w:rFonts w:ascii="Arial Narrow" w:eastAsia="Times New Roman" w:hAnsi="Arial Narrow" w:cs="Arial"/>
                <w:b/>
                <w:bCs/>
                <w:sz w:val="18"/>
                <w:szCs w:val="18"/>
                <w:lang w:eastAsia="pt-BR"/>
              </w:rPr>
            </w:pPr>
            <w:r w:rsidRPr="00A81D7F">
              <w:rPr>
                <w:rFonts w:ascii="Arial Narrow" w:eastAsia="Times New Roman" w:hAnsi="Arial Narrow" w:cs="Arial"/>
                <w:b/>
                <w:bCs/>
                <w:sz w:val="18"/>
                <w:szCs w:val="18"/>
                <w:lang w:eastAsia="pt-BR"/>
              </w:rPr>
              <w:t>BOD.C021</w:t>
            </w:r>
          </w:p>
        </w:tc>
        <w:tc>
          <w:tcPr>
            <w:tcW w:w="1984" w:type="dxa"/>
            <w:tcBorders>
              <w:top w:val="single" w:sz="8" w:space="0" w:color="auto"/>
              <w:left w:val="nil"/>
              <w:bottom w:val="single" w:sz="8" w:space="0" w:color="auto"/>
              <w:right w:val="single" w:sz="8" w:space="0" w:color="auto"/>
            </w:tcBorders>
            <w:shd w:val="clear" w:color="auto" w:fill="auto"/>
            <w:vAlign w:val="center"/>
          </w:tcPr>
          <w:p w14:paraId="017234E2" w14:textId="77777777" w:rsidR="00A81D7F" w:rsidRPr="00A81D7F" w:rsidRDefault="00A81D7F" w:rsidP="00326F06">
            <w:pPr>
              <w:spacing w:after="0" w:line="240" w:lineRule="auto"/>
              <w:jc w:val="center"/>
              <w:rPr>
                <w:rFonts w:ascii="Arial Narrow" w:eastAsia="Times New Roman" w:hAnsi="Arial Narrow" w:cs="Arial"/>
                <w:b/>
                <w:bCs/>
                <w:sz w:val="18"/>
                <w:szCs w:val="18"/>
                <w:lang w:eastAsia="pt-BR"/>
              </w:rPr>
            </w:pPr>
            <w:r w:rsidRPr="00A81D7F">
              <w:rPr>
                <w:rFonts w:ascii="Arial Narrow" w:eastAsia="Times New Roman" w:hAnsi="Arial Narrow" w:cs="Arial"/>
                <w:b/>
                <w:bCs/>
                <w:sz w:val="18"/>
                <w:szCs w:val="18"/>
                <w:lang w:eastAsia="pt-BR"/>
              </w:rPr>
              <w:t>BOD.D021</w:t>
            </w:r>
          </w:p>
        </w:tc>
        <w:tc>
          <w:tcPr>
            <w:tcW w:w="1843" w:type="dxa"/>
            <w:tcBorders>
              <w:top w:val="single" w:sz="8" w:space="0" w:color="auto"/>
              <w:left w:val="nil"/>
              <w:bottom w:val="single" w:sz="8" w:space="0" w:color="auto"/>
              <w:right w:val="single" w:sz="8" w:space="0" w:color="auto"/>
            </w:tcBorders>
            <w:shd w:val="clear" w:color="auto" w:fill="808080" w:themeFill="background1" w:themeFillShade="80"/>
            <w:vAlign w:val="center"/>
          </w:tcPr>
          <w:p w14:paraId="15637D39" w14:textId="77777777" w:rsidR="00A81D7F" w:rsidRPr="00A81D7F" w:rsidRDefault="00A81D7F" w:rsidP="00326F06">
            <w:pPr>
              <w:spacing w:after="0" w:line="240" w:lineRule="auto"/>
              <w:jc w:val="center"/>
              <w:rPr>
                <w:rFonts w:ascii="Arial Narrow" w:eastAsia="Times New Roman" w:hAnsi="Arial Narrow" w:cs="Arial"/>
                <w:b/>
                <w:bCs/>
                <w:sz w:val="18"/>
                <w:szCs w:val="18"/>
                <w:lang w:eastAsia="pt-BR"/>
              </w:rPr>
            </w:pPr>
          </w:p>
        </w:tc>
        <w:tc>
          <w:tcPr>
            <w:tcW w:w="1984" w:type="dxa"/>
            <w:tcBorders>
              <w:top w:val="single" w:sz="8" w:space="0" w:color="auto"/>
              <w:left w:val="nil"/>
              <w:bottom w:val="single" w:sz="8" w:space="0" w:color="auto"/>
              <w:right w:val="single" w:sz="8" w:space="0" w:color="auto"/>
            </w:tcBorders>
            <w:shd w:val="clear" w:color="auto" w:fill="808080" w:themeFill="background1" w:themeFillShade="80"/>
            <w:vAlign w:val="center"/>
          </w:tcPr>
          <w:p w14:paraId="24C7B340" w14:textId="77777777" w:rsidR="00A81D7F" w:rsidRPr="00A81D7F" w:rsidRDefault="00A81D7F" w:rsidP="00326F06">
            <w:pPr>
              <w:spacing w:after="0" w:line="240" w:lineRule="auto"/>
              <w:jc w:val="center"/>
              <w:rPr>
                <w:rFonts w:ascii="Arial Narrow" w:eastAsia="Times New Roman" w:hAnsi="Arial Narrow" w:cs="Arial"/>
                <w:b/>
                <w:bCs/>
                <w:sz w:val="18"/>
                <w:szCs w:val="18"/>
                <w:lang w:eastAsia="pt-BR"/>
              </w:rPr>
            </w:pPr>
          </w:p>
        </w:tc>
        <w:tc>
          <w:tcPr>
            <w:tcW w:w="1701" w:type="dxa"/>
            <w:tcBorders>
              <w:top w:val="single" w:sz="8" w:space="0" w:color="auto"/>
              <w:left w:val="nil"/>
              <w:bottom w:val="single" w:sz="8" w:space="0" w:color="auto"/>
              <w:right w:val="single" w:sz="8" w:space="0" w:color="auto"/>
            </w:tcBorders>
            <w:shd w:val="clear" w:color="auto" w:fill="808080" w:themeFill="background1" w:themeFillShade="80"/>
            <w:vAlign w:val="center"/>
          </w:tcPr>
          <w:p w14:paraId="1C345E6E" w14:textId="77777777" w:rsidR="00A81D7F" w:rsidRPr="00A81D7F" w:rsidRDefault="00A81D7F" w:rsidP="00326F06">
            <w:pPr>
              <w:spacing w:after="0" w:line="240" w:lineRule="auto"/>
              <w:jc w:val="center"/>
              <w:rPr>
                <w:rFonts w:ascii="Arial Narrow" w:eastAsia="Times New Roman" w:hAnsi="Arial Narrow" w:cs="Arial"/>
                <w:b/>
                <w:bCs/>
                <w:sz w:val="18"/>
                <w:szCs w:val="18"/>
                <w:lang w:eastAsia="pt-BR"/>
              </w:rPr>
            </w:pPr>
          </w:p>
        </w:tc>
        <w:tc>
          <w:tcPr>
            <w:tcW w:w="1843" w:type="dxa"/>
            <w:tcBorders>
              <w:top w:val="single" w:sz="8" w:space="0" w:color="auto"/>
              <w:left w:val="nil"/>
              <w:bottom w:val="single" w:sz="8" w:space="0" w:color="auto"/>
              <w:right w:val="single" w:sz="8" w:space="0" w:color="auto"/>
            </w:tcBorders>
            <w:shd w:val="clear" w:color="000000" w:fill="808080"/>
            <w:vAlign w:val="center"/>
          </w:tcPr>
          <w:p w14:paraId="20175853" w14:textId="77777777" w:rsidR="00A81D7F" w:rsidRPr="00A81D7F" w:rsidRDefault="00A81D7F" w:rsidP="00326F06">
            <w:pPr>
              <w:spacing w:after="0" w:line="240" w:lineRule="auto"/>
              <w:jc w:val="center"/>
              <w:rPr>
                <w:rFonts w:ascii="Arial Narrow" w:eastAsia="Times New Roman" w:hAnsi="Arial Narrow" w:cs="Arial"/>
                <w:b/>
                <w:bCs/>
                <w:sz w:val="18"/>
                <w:szCs w:val="18"/>
                <w:lang w:eastAsia="pt-BR"/>
              </w:rPr>
            </w:pPr>
          </w:p>
        </w:tc>
      </w:tr>
    </w:tbl>
    <w:p w14:paraId="46613E9A" w14:textId="77777777" w:rsidR="00F90AA0" w:rsidRDefault="00F90AA0" w:rsidP="00180538">
      <w:pPr>
        <w:rPr>
          <w:rFonts w:eastAsia="Times New Roman" w:cs="Arial"/>
          <w:szCs w:val="24"/>
          <w:lang w:eastAsia="pt-BR"/>
        </w:rPr>
        <w:sectPr w:rsidR="00F90AA0" w:rsidSect="00E7482B">
          <w:pgSz w:w="16838" w:h="11906" w:orient="landscape" w:code="9"/>
          <w:pgMar w:top="1134" w:right="1418" w:bottom="1701" w:left="1418" w:header="709" w:footer="709" w:gutter="0"/>
          <w:cols w:space="708"/>
          <w:docGrid w:linePitch="360"/>
        </w:sectPr>
      </w:pPr>
    </w:p>
    <w:p w14:paraId="1BAB768F" w14:textId="77777777" w:rsidR="00F90AA0" w:rsidRPr="00F90AA0" w:rsidRDefault="00F90AA0" w:rsidP="00F90AA0">
      <w:pPr>
        <w:jc w:val="both"/>
        <w:rPr>
          <w:rFonts w:ascii="Arial" w:hAnsi="Arial" w:cs="Arial"/>
          <w:b/>
        </w:rPr>
      </w:pPr>
      <w:r w:rsidRPr="00F90AA0">
        <w:rPr>
          <w:rFonts w:ascii="Arial" w:hAnsi="Arial" w:cs="Arial"/>
          <w:b/>
        </w:rPr>
        <w:lastRenderedPageBreak/>
        <w:t>Observações:</w:t>
      </w:r>
    </w:p>
    <w:p w14:paraId="1BF012E9" w14:textId="77777777" w:rsidR="00F90AA0" w:rsidRPr="00F90AA0" w:rsidRDefault="00F90AA0" w:rsidP="00F90AA0">
      <w:pPr>
        <w:jc w:val="both"/>
        <w:rPr>
          <w:rFonts w:ascii="Arial" w:hAnsi="Arial" w:cs="Arial"/>
        </w:rPr>
      </w:pPr>
      <w:r w:rsidRPr="00F90AA0">
        <w:rPr>
          <w:rFonts w:ascii="Arial" w:hAnsi="Arial" w:cs="Arial"/>
        </w:rPr>
        <w:t>1. A elaboração do Balanço Orçamentário e seus anexos seguirá a metodologia especificada na IPC 07 (Instruções de Procedimentos Contábeis </w:t>
      </w:r>
      <w:r w:rsidRPr="00F90AA0">
        <w:rPr>
          <w:rFonts w:ascii="Arial" w:hAnsi="Arial" w:cs="Arial"/>
        </w:rPr>
        <w:noBreakHyphen/>
        <w:t> STN) observada à classificação das contas contábeis pertencentes ao Plano de Contas do TCEES (CidadES).</w:t>
      </w:r>
    </w:p>
    <w:p w14:paraId="641228A5" w14:textId="77777777" w:rsidR="00F90AA0" w:rsidRPr="00F90AA0" w:rsidRDefault="00F90AA0" w:rsidP="00F90AA0">
      <w:pPr>
        <w:jc w:val="both"/>
        <w:rPr>
          <w:rFonts w:ascii="Arial" w:hAnsi="Arial" w:cs="Arial"/>
        </w:rPr>
      </w:pPr>
      <w:r w:rsidRPr="00F90AA0">
        <w:rPr>
          <w:rFonts w:ascii="Arial" w:hAnsi="Arial" w:cs="Arial"/>
        </w:rPr>
        <w:t>2. Quando relevante, o detalhamento das receitas e despesas intraorçamentárias deverá ser apresentado em notas explicativas. Recomenda</w:t>
      </w:r>
      <w:r w:rsidRPr="00F90AA0">
        <w:rPr>
          <w:rFonts w:ascii="Arial" w:hAnsi="Arial" w:cs="Arial"/>
        </w:rPr>
        <w:noBreakHyphen/>
        <w:t>se ainda, a utilização de notas explicativas para esclarecimentos a respeito da utilização do superávit financeiro e de reaberturas de créditos especiais e extraordinários, bem como suas influências no resultado orçamentário, de forma a possibilitar a correta interpretação das informações.</w:t>
      </w:r>
    </w:p>
    <w:p w14:paraId="27AE1E08" w14:textId="77777777" w:rsidR="00F90AA0" w:rsidRPr="00F90AA0" w:rsidRDefault="00F90AA0" w:rsidP="00F90AA0">
      <w:pPr>
        <w:jc w:val="both"/>
        <w:rPr>
          <w:rFonts w:ascii="Arial" w:hAnsi="Arial" w:cs="Arial"/>
        </w:rPr>
      </w:pPr>
      <w:r w:rsidRPr="00F90AA0">
        <w:rPr>
          <w:rFonts w:ascii="Arial" w:hAnsi="Arial" w:cs="Arial"/>
        </w:rPr>
        <w:t>3. No nível de detalhamento em que são apresentadas no modelo (3º nível – Espécie), as receitas serão informadas pelos valores líquidos das respectivas deduções, tais como restituições, descontos, retificações, deduções para o Fundeb.</w:t>
      </w:r>
    </w:p>
    <w:p w14:paraId="5DC2D572" w14:textId="77777777" w:rsidR="00F90AA0" w:rsidRPr="00F90AA0" w:rsidRDefault="00F90AA0" w:rsidP="00F90AA0">
      <w:pPr>
        <w:jc w:val="both"/>
        <w:rPr>
          <w:rFonts w:ascii="Arial" w:hAnsi="Arial" w:cs="Arial"/>
        </w:rPr>
      </w:pPr>
      <w:r w:rsidRPr="00F90AA0">
        <w:rPr>
          <w:rFonts w:ascii="Arial" w:hAnsi="Arial" w:cs="Arial"/>
        </w:rPr>
        <w:t>4. Os dados informados nos campos BOR.F011 até BOR.F087,  bem como os dados informados nos campos BOD.H010 até BOD.H032,  aceitarão valores positivos ou negativos.</w:t>
      </w:r>
    </w:p>
    <w:p w14:paraId="16836DA1" w14:textId="77777777" w:rsidR="00F90AA0" w:rsidRDefault="00F90AA0" w:rsidP="00F90AA0">
      <w:pPr>
        <w:jc w:val="both"/>
        <w:rPr>
          <w:rFonts w:ascii="Arial" w:hAnsi="Arial" w:cs="Arial"/>
        </w:rPr>
      </w:pPr>
    </w:p>
    <w:p w14:paraId="4B116C97" w14:textId="77777777" w:rsidR="003B653E" w:rsidRDefault="003B653E" w:rsidP="00F90AA0">
      <w:pPr>
        <w:jc w:val="both"/>
        <w:rPr>
          <w:rFonts w:ascii="Arial" w:hAnsi="Arial" w:cs="Arial"/>
        </w:rPr>
        <w:sectPr w:rsidR="003B653E" w:rsidSect="00E7482B">
          <w:pgSz w:w="16838" w:h="11906" w:orient="landscape"/>
          <w:pgMar w:top="1701" w:right="1417" w:bottom="1701" w:left="1417" w:header="708" w:footer="708" w:gutter="0"/>
          <w:cols w:space="708"/>
          <w:docGrid w:linePitch="360"/>
        </w:sectPr>
      </w:pPr>
    </w:p>
    <w:p w14:paraId="767FB20C" w14:textId="77777777" w:rsidR="003B653E" w:rsidRDefault="003B653E" w:rsidP="003B653E">
      <w:pPr>
        <w:spacing w:line="240" w:lineRule="auto"/>
        <w:jc w:val="center"/>
        <w:rPr>
          <w:rFonts w:ascii="Arial" w:eastAsia="Times New Roman" w:hAnsi="Arial" w:cs="Arial"/>
          <w:b/>
          <w:bCs/>
          <w:sz w:val="20"/>
          <w:szCs w:val="20"/>
          <w:lang w:eastAsia="pt-BR"/>
        </w:rPr>
      </w:pPr>
      <w:r w:rsidRPr="003B653E">
        <w:rPr>
          <w:rFonts w:ascii="Arial" w:eastAsia="Times New Roman" w:hAnsi="Arial" w:cs="Arial"/>
          <w:b/>
          <w:bCs/>
          <w:sz w:val="20"/>
          <w:szCs w:val="20"/>
          <w:lang w:eastAsia="pt-BR"/>
        </w:rPr>
        <w:lastRenderedPageBreak/>
        <w:t>QUADRO DA EXECUÇÃO DOS RESTOS A PAGAR NÃO PROCESSADOS</w:t>
      </w:r>
    </w:p>
    <w:p w14:paraId="1BDE645B" w14:textId="77777777" w:rsidR="003B653E" w:rsidRPr="003B653E" w:rsidRDefault="003B653E" w:rsidP="003B653E">
      <w:pPr>
        <w:spacing w:line="240" w:lineRule="auto"/>
        <w:jc w:val="center"/>
        <w:rPr>
          <w:rFonts w:ascii="Arial" w:eastAsia="Times New Roman" w:hAnsi="Arial" w:cs="Arial"/>
          <w:b/>
          <w:bCs/>
          <w:sz w:val="20"/>
          <w:szCs w:val="20"/>
          <w:lang w:eastAsia="pt-BR"/>
        </w:rPr>
      </w:pPr>
    </w:p>
    <w:tbl>
      <w:tblPr>
        <w:tblW w:w="13086" w:type="dxa"/>
        <w:tblInd w:w="55" w:type="dxa"/>
        <w:tblCellMar>
          <w:left w:w="70" w:type="dxa"/>
          <w:right w:w="70" w:type="dxa"/>
        </w:tblCellMar>
        <w:tblLook w:val="04A0" w:firstRow="1" w:lastRow="0" w:firstColumn="1" w:lastColumn="0" w:noHBand="0" w:noVBand="1"/>
      </w:tblPr>
      <w:tblGrid>
        <w:gridCol w:w="3276"/>
        <w:gridCol w:w="1640"/>
        <w:gridCol w:w="1903"/>
        <w:gridCol w:w="1418"/>
        <w:gridCol w:w="1535"/>
        <w:gridCol w:w="1460"/>
        <w:gridCol w:w="1854"/>
      </w:tblGrid>
      <w:tr w:rsidR="003B653E" w:rsidRPr="00F25EA0" w14:paraId="61E5330D" w14:textId="77777777" w:rsidTr="00EE0371">
        <w:trPr>
          <w:trHeight w:val="285"/>
        </w:trPr>
        <w:tc>
          <w:tcPr>
            <w:tcW w:w="3276" w:type="dxa"/>
            <w:vMerge w:val="restart"/>
            <w:tcBorders>
              <w:top w:val="single" w:sz="6" w:space="0" w:color="auto"/>
              <w:left w:val="single" w:sz="8" w:space="0" w:color="auto"/>
              <w:bottom w:val="single" w:sz="8" w:space="0" w:color="000000"/>
              <w:right w:val="single" w:sz="8" w:space="0" w:color="auto"/>
            </w:tcBorders>
            <w:shd w:val="clear" w:color="auto" w:fill="F2F2F2" w:themeFill="background1" w:themeFillShade="F2"/>
            <w:vAlign w:val="center"/>
            <w:hideMark/>
          </w:tcPr>
          <w:p w14:paraId="3DBCC369" w14:textId="77777777" w:rsidR="003B653E" w:rsidRPr="00F25EA0" w:rsidRDefault="003B653E" w:rsidP="003B653E">
            <w:pPr>
              <w:spacing w:after="0" w:line="240" w:lineRule="auto"/>
              <w:jc w:val="center"/>
              <w:rPr>
                <w:rFonts w:ascii="Arial Narrow" w:eastAsia="Times New Roman" w:hAnsi="Arial Narrow" w:cs="Arial"/>
                <w:b/>
                <w:bCs/>
                <w:sz w:val="18"/>
                <w:szCs w:val="18"/>
                <w:u w:val="single"/>
                <w:lang w:eastAsia="pt-BR"/>
              </w:rPr>
            </w:pPr>
            <w:r w:rsidRPr="00F25EA0">
              <w:rPr>
                <w:rFonts w:ascii="Arial Narrow" w:eastAsia="Times New Roman" w:hAnsi="Arial Narrow" w:cs="Arial"/>
                <w:b/>
                <w:bCs/>
                <w:sz w:val="18"/>
                <w:szCs w:val="18"/>
                <w:u w:val="single"/>
                <w:lang w:eastAsia="pt-BR"/>
              </w:rPr>
              <w:t>RESTOS A PAGAR NÃO PROCESSADOS</w:t>
            </w:r>
          </w:p>
        </w:tc>
        <w:tc>
          <w:tcPr>
            <w:tcW w:w="3543" w:type="dxa"/>
            <w:gridSpan w:val="2"/>
            <w:tcBorders>
              <w:top w:val="single" w:sz="6" w:space="0" w:color="auto"/>
              <w:left w:val="nil"/>
              <w:bottom w:val="single" w:sz="8" w:space="0" w:color="auto"/>
              <w:right w:val="single" w:sz="8" w:space="0" w:color="000000"/>
            </w:tcBorders>
            <w:shd w:val="clear" w:color="auto" w:fill="F2F2F2" w:themeFill="background1" w:themeFillShade="F2"/>
            <w:vAlign w:val="center"/>
            <w:hideMark/>
          </w:tcPr>
          <w:p w14:paraId="0DA17082" w14:textId="77777777" w:rsidR="003B653E" w:rsidRPr="00F25EA0" w:rsidRDefault="003B653E" w:rsidP="003B653E">
            <w:pPr>
              <w:spacing w:after="0" w:line="240" w:lineRule="auto"/>
              <w:jc w:val="center"/>
              <w:rPr>
                <w:rFonts w:ascii="Arial Narrow" w:eastAsia="Times New Roman" w:hAnsi="Arial Narrow" w:cs="Arial"/>
                <w:b/>
                <w:bCs/>
                <w:sz w:val="18"/>
                <w:szCs w:val="18"/>
                <w:lang w:eastAsia="pt-BR"/>
              </w:rPr>
            </w:pPr>
            <w:r w:rsidRPr="00F25EA0">
              <w:rPr>
                <w:rFonts w:ascii="Arial Narrow" w:eastAsia="Times New Roman" w:hAnsi="Arial Narrow" w:cs="Arial"/>
                <w:b/>
                <w:bCs/>
                <w:sz w:val="18"/>
                <w:szCs w:val="18"/>
                <w:lang w:eastAsia="pt-BR"/>
              </w:rPr>
              <w:t>INSCRITOS</w:t>
            </w:r>
          </w:p>
        </w:tc>
        <w:tc>
          <w:tcPr>
            <w:tcW w:w="1418" w:type="dxa"/>
            <w:vMerge w:val="restart"/>
            <w:tcBorders>
              <w:top w:val="single" w:sz="6" w:space="0" w:color="auto"/>
              <w:left w:val="single" w:sz="8" w:space="0" w:color="auto"/>
              <w:bottom w:val="single" w:sz="8" w:space="0" w:color="000000"/>
              <w:right w:val="single" w:sz="8" w:space="0" w:color="auto"/>
            </w:tcBorders>
            <w:shd w:val="clear" w:color="auto" w:fill="F2F2F2" w:themeFill="background1" w:themeFillShade="F2"/>
            <w:vAlign w:val="center"/>
            <w:hideMark/>
          </w:tcPr>
          <w:p w14:paraId="0565EB25" w14:textId="77777777" w:rsidR="003B653E" w:rsidRPr="00F25EA0" w:rsidRDefault="003B653E" w:rsidP="003B653E">
            <w:pPr>
              <w:spacing w:after="0" w:line="240" w:lineRule="auto"/>
              <w:jc w:val="center"/>
              <w:rPr>
                <w:rFonts w:ascii="Arial Narrow" w:eastAsia="Times New Roman" w:hAnsi="Arial Narrow" w:cs="Arial"/>
                <w:b/>
                <w:bCs/>
                <w:sz w:val="18"/>
                <w:szCs w:val="18"/>
                <w:lang w:eastAsia="pt-BR"/>
              </w:rPr>
            </w:pPr>
            <w:r w:rsidRPr="00F25EA0">
              <w:rPr>
                <w:rFonts w:ascii="Arial Narrow" w:eastAsia="Times New Roman" w:hAnsi="Arial Narrow" w:cs="Arial"/>
                <w:b/>
                <w:bCs/>
                <w:sz w:val="18"/>
                <w:szCs w:val="18"/>
                <w:lang w:eastAsia="pt-BR"/>
              </w:rPr>
              <w:t>LIQUIDADOS  (c)</w:t>
            </w:r>
          </w:p>
        </w:tc>
        <w:tc>
          <w:tcPr>
            <w:tcW w:w="1535" w:type="dxa"/>
            <w:vMerge w:val="restart"/>
            <w:tcBorders>
              <w:top w:val="single" w:sz="6" w:space="0" w:color="auto"/>
              <w:left w:val="single" w:sz="8" w:space="0" w:color="auto"/>
              <w:bottom w:val="single" w:sz="8" w:space="0" w:color="000000"/>
              <w:right w:val="single" w:sz="8" w:space="0" w:color="auto"/>
            </w:tcBorders>
            <w:shd w:val="clear" w:color="auto" w:fill="F2F2F2" w:themeFill="background1" w:themeFillShade="F2"/>
            <w:vAlign w:val="center"/>
            <w:hideMark/>
          </w:tcPr>
          <w:p w14:paraId="31FA9B98" w14:textId="77777777" w:rsidR="003B653E" w:rsidRPr="00F25EA0" w:rsidRDefault="003B653E" w:rsidP="003B653E">
            <w:pPr>
              <w:spacing w:after="0" w:line="240" w:lineRule="auto"/>
              <w:jc w:val="center"/>
              <w:rPr>
                <w:rFonts w:ascii="Arial Narrow" w:eastAsia="Times New Roman" w:hAnsi="Arial Narrow" w:cs="Arial"/>
                <w:b/>
                <w:bCs/>
                <w:sz w:val="18"/>
                <w:szCs w:val="18"/>
                <w:lang w:eastAsia="pt-BR"/>
              </w:rPr>
            </w:pPr>
            <w:r w:rsidRPr="00F25EA0">
              <w:rPr>
                <w:rFonts w:ascii="Arial Narrow" w:eastAsia="Times New Roman" w:hAnsi="Arial Narrow" w:cs="Arial"/>
                <w:b/>
                <w:bCs/>
                <w:sz w:val="18"/>
                <w:szCs w:val="18"/>
                <w:lang w:eastAsia="pt-BR"/>
              </w:rPr>
              <w:t>PAGOS (d)</w:t>
            </w:r>
          </w:p>
        </w:tc>
        <w:tc>
          <w:tcPr>
            <w:tcW w:w="1460" w:type="dxa"/>
            <w:vMerge w:val="restart"/>
            <w:tcBorders>
              <w:top w:val="single" w:sz="6" w:space="0" w:color="auto"/>
              <w:left w:val="single" w:sz="8" w:space="0" w:color="auto"/>
              <w:bottom w:val="single" w:sz="8" w:space="0" w:color="000000"/>
              <w:right w:val="single" w:sz="8" w:space="0" w:color="auto"/>
            </w:tcBorders>
            <w:shd w:val="clear" w:color="auto" w:fill="F2F2F2" w:themeFill="background1" w:themeFillShade="F2"/>
            <w:vAlign w:val="center"/>
            <w:hideMark/>
          </w:tcPr>
          <w:p w14:paraId="762FF60D" w14:textId="77777777" w:rsidR="003B653E" w:rsidRPr="00F25EA0" w:rsidRDefault="003B653E" w:rsidP="003B653E">
            <w:pPr>
              <w:spacing w:after="0" w:line="240" w:lineRule="auto"/>
              <w:jc w:val="center"/>
              <w:rPr>
                <w:rFonts w:ascii="Arial Narrow" w:eastAsia="Times New Roman" w:hAnsi="Arial Narrow" w:cs="Arial"/>
                <w:b/>
                <w:bCs/>
                <w:sz w:val="18"/>
                <w:szCs w:val="18"/>
                <w:lang w:eastAsia="pt-BR"/>
              </w:rPr>
            </w:pPr>
            <w:r w:rsidRPr="00F25EA0">
              <w:rPr>
                <w:rFonts w:ascii="Arial Narrow" w:eastAsia="Times New Roman" w:hAnsi="Arial Narrow" w:cs="Arial"/>
                <w:b/>
                <w:bCs/>
                <w:sz w:val="18"/>
                <w:szCs w:val="18"/>
                <w:lang w:eastAsia="pt-BR"/>
              </w:rPr>
              <w:t>CANCELADOS (e)</w:t>
            </w:r>
          </w:p>
        </w:tc>
        <w:tc>
          <w:tcPr>
            <w:tcW w:w="1854" w:type="dxa"/>
            <w:tcBorders>
              <w:top w:val="single" w:sz="6" w:space="0" w:color="auto"/>
              <w:left w:val="nil"/>
              <w:bottom w:val="single" w:sz="8" w:space="0" w:color="auto"/>
              <w:right w:val="single" w:sz="8" w:space="0" w:color="auto"/>
            </w:tcBorders>
            <w:shd w:val="clear" w:color="auto" w:fill="F2F2F2" w:themeFill="background1" w:themeFillShade="F2"/>
            <w:vAlign w:val="center"/>
            <w:hideMark/>
          </w:tcPr>
          <w:p w14:paraId="28FF36C7" w14:textId="77777777" w:rsidR="003B653E" w:rsidRPr="00F25EA0" w:rsidRDefault="003B653E" w:rsidP="003B653E">
            <w:pPr>
              <w:spacing w:after="0" w:line="240" w:lineRule="auto"/>
              <w:jc w:val="center"/>
              <w:rPr>
                <w:rFonts w:ascii="Arial Narrow" w:eastAsia="Times New Roman" w:hAnsi="Arial Narrow" w:cs="Arial"/>
                <w:b/>
                <w:bCs/>
                <w:sz w:val="18"/>
                <w:szCs w:val="18"/>
                <w:lang w:eastAsia="pt-BR"/>
              </w:rPr>
            </w:pPr>
            <w:r w:rsidRPr="00F25EA0">
              <w:rPr>
                <w:rFonts w:ascii="Arial Narrow" w:eastAsia="Times New Roman" w:hAnsi="Arial Narrow" w:cs="Arial"/>
                <w:b/>
                <w:bCs/>
                <w:sz w:val="18"/>
                <w:szCs w:val="18"/>
                <w:lang w:eastAsia="pt-BR"/>
              </w:rPr>
              <w:t xml:space="preserve">SALDO </w:t>
            </w:r>
            <w:r w:rsidR="009B4D16">
              <w:rPr>
                <w:rFonts w:ascii="Arial Narrow" w:eastAsia="Times New Roman" w:hAnsi="Arial Narrow" w:cs="Arial"/>
                <w:b/>
                <w:bCs/>
                <w:sz w:val="18"/>
                <w:szCs w:val="18"/>
                <w:lang w:eastAsia="pt-BR"/>
              </w:rPr>
              <w:t>A PAGAR</w:t>
            </w:r>
          </w:p>
        </w:tc>
      </w:tr>
      <w:tr w:rsidR="003B653E" w:rsidRPr="00F25EA0" w14:paraId="09D89A14" w14:textId="77777777" w:rsidTr="00EE0371">
        <w:trPr>
          <w:trHeight w:val="1095"/>
        </w:trPr>
        <w:tc>
          <w:tcPr>
            <w:tcW w:w="3276" w:type="dxa"/>
            <w:vMerge/>
            <w:tcBorders>
              <w:top w:val="nil"/>
              <w:left w:val="single" w:sz="8" w:space="0" w:color="auto"/>
              <w:bottom w:val="single" w:sz="8" w:space="0" w:color="000000"/>
              <w:right w:val="single" w:sz="8" w:space="0" w:color="auto"/>
            </w:tcBorders>
            <w:shd w:val="clear" w:color="auto" w:fill="F2F2F2" w:themeFill="background1" w:themeFillShade="F2"/>
            <w:vAlign w:val="center"/>
            <w:hideMark/>
          </w:tcPr>
          <w:p w14:paraId="30E473DB" w14:textId="77777777" w:rsidR="003B653E" w:rsidRPr="00F25EA0" w:rsidRDefault="003B653E" w:rsidP="003B653E">
            <w:pPr>
              <w:spacing w:after="0" w:line="240" w:lineRule="auto"/>
              <w:rPr>
                <w:rFonts w:ascii="Arial Narrow" w:eastAsia="Times New Roman" w:hAnsi="Arial Narrow" w:cs="Arial"/>
                <w:b/>
                <w:bCs/>
                <w:sz w:val="18"/>
                <w:szCs w:val="18"/>
                <w:u w:val="single"/>
                <w:lang w:eastAsia="pt-BR"/>
              </w:rPr>
            </w:pPr>
          </w:p>
        </w:tc>
        <w:tc>
          <w:tcPr>
            <w:tcW w:w="1640" w:type="dxa"/>
            <w:tcBorders>
              <w:top w:val="nil"/>
              <w:left w:val="nil"/>
              <w:bottom w:val="single" w:sz="8" w:space="0" w:color="auto"/>
              <w:right w:val="single" w:sz="8" w:space="0" w:color="auto"/>
            </w:tcBorders>
            <w:shd w:val="clear" w:color="auto" w:fill="F2F2F2" w:themeFill="background1" w:themeFillShade="F2"/>
            <w:vAlign w:val="center"/>
            <w:hideMark/>
          </w:tcPr>
          <w:p w14:paraId="473D753F" w14:textId="77777777" w:rsidR="003B653E" w:rsidRPr="00F25EA0" w:rsidRDefault="003B653E" w:rsidP="003B653E">
            <w:pPr>
              <w:spacing w:after="0" w:line="240" w:lineRule="auto"/>
              <w:jc w:val="center"/>
              <w:rPr>
                <w:rFonts w:ascii="Arial Narrow" w:eastAsia="Times New Roman" w:hAnsi="Arial Narrow" w:cs="Arial"/>
                <w:b/>
                <w:bCs/>
                <w:sz w:val="18"/>
                <w:szCs w:val="18"/>
                <w:lang w:eastAsia="pt-BR"/>
              </w:rPr>
            </w:pPr>
            <w:r w:rsidRPr="00F25EA0">
              <w:rPr>
                <w:rFonts w:ascii="Arial Narrow" w:eastAsia="Times New Roman" w:hAnsi="Arial Narrow" w:cs="Arial"/>
                <w:b/>
                <w:bCs/>
                <w:sz w:val="18"/>
                <w:szCs w:val="18"/>
                <w:lang w:eastAsia="pt-BR"/>
              </w:rPr>
              <w:t>EM EXERCÍCIOS ANTERIORES (a)</w:t>
            </w:r>
          </w:p>
        </w:tc>
        <w:tc>
          <w:tcPr>
            <w:tcW w:w="1903" w:type="dxa"/>
            <w:tcBorders>
              <w:top w:val="nil"/>
              <w:left w:val="nil"/>
              <w:bottom w:val="single" w:sz="8" w:space="0" w:color="auto"/>
              <w:right w:val="single" w:sz="8" w:space="0" w:color="auto"/>
            </w:tcBorders>
            <w:shd w:val="clear" w:color="auto" w:fill="F2F2F2" w:themeFill="background1" w:themeFillShade="F2"/>
            <w:vAlign w:val="center"/>
            <w:hideMark/>
          </w:tcPr>
          <w:p w14:paraId="1BC7BFD1" w14:textId="77777777" w:rsidR="003B653E" w:rsidRPr="00F25EA0" w:rsidRDefault="003B653E" w:rsidP="003B653E">
            <w:pPr>
              <w:spacing w:after="0" w:line="240" w:lineRule="auto"/>
              <w:jc w:val="center"/>
              <w:rPr>
                <w:rFonts w:ascii="Arial Narrow" w:eastAsia="Times New Roman" w:hAnsi="Arial Narrow" w:cs="Arial"/>
                <w:b/>
                <w:bCs/>
                <w:sz w:val="18"/>
                <w:szCs w:val="18"/>
                <w:lang w:eastAsia="pt-BR"/>
              </w:rPr>
            </w:pPr>
            <w:r w:rsidRPr="00F25EA0">
              <w:rPr>
                <w:rFonts w:ascii="Arial Narrow" w:eastAsia="Times New Roman" w:hAnsi="Arial Narrow" w:cs="Arial"/>
                <w:b/>
                <w:bCs/>
                <w:sz w:val="18"/>
                <w:szCs w:val="18"/>
                <w:lang w:eastAsia="pt-BR"/>
              </w:rPr>
              <w:t>EM 31 DE DEZEMBRO DO EXERCÍCIO ANTERIOR (b)</w:t>
            </w:r>
          </w:p>
        </w:tc>
        <w:tc>
          <w:tcPr>
            <w:tcW w:w="1418" w:type="dxa"/>
            <w:vMerge/>
            <w:tcBorders>
              <w:top w:val="nil"/>
              <w:left w:val="single" w:sz="8" w:space="0" w:color="auto"/>
              <w:bottom w:val="single" w:sz="8" w:space="0" w:color="000000"/>
              <w:right w:val="single" w:sz="8" w:space="0" w:color="auto"/>
            </w:tcBorders>
            <w:shd w:val="clear" w:color="auto" w:fill="F2F2F2" w:themeFill="background1" w:themeFillShade="F2"/>
            <w:vAlign w:val="center"/>
            <w:hideMark/>
          </w:tcPr>
          <w:p w14:paraId="591664CE" w14:textId="77777777" w:rsidR="003B653E" w:rsidRPr="00F25EA0" w:rsidRDefault="003B653E" w:rsidP="003B653E">
            <w:pPr>
              <w:spacing w:after="0" w:line="240" w:lineRule="auto"/>
              <w:rPr>
                <w:rFonts w:ascii="Arial Narrow" w:eastAsia="Times New Roman" w:hAnsi="Arial Narrow" w:cs="Arial"/>
                <w:b/>
                <w:bCs/>
                <w:sz w:val="18"/>
                <w:szCs w:val="18"/>
                <w:lang w:eastAsia="pt-BR"/>
              </w:rPr>
            </w:pPr>
          </w:p>
        </w:tc>
        <w:tc>
          <w:tcPr>
            <w:tcW w:w="1535" w:type="dxa"/>
            <w:vMerge/>
            <w:tcBorders>
              <w:top w:val="nil"/>
              <w:left w:val="single" w:sz="8" w:space="0" w:color="auto"/>
              <w:bottom w:val="single" w:sz="8" w:space="0" w:color="000000"/>
              <w:right w:val="single" w:sz="8" w:space="0" w:color="auto"/>
            </w:tcBorders>
            <w:shd w:val="clear" w:color="auto" w:fill="F2F2F2" w:themeFill="background1" w:themeFillShade="F2"/>
            <w:vAlign w:val="center"/>
            <w:hideMark/>
          </w:tcPr>
          <w:p w14:paraId="4B260F4C" w14:textId="77777777" w:rsidR="003B653E" w:rsidRPr="00F25EA0" w:rsidRDefault="003B653E" w:rsidP="003B653E">
            <w:pPr>
              <w:spacing w:after="0" w:line="240" w:lineRule="auto"/>
              <w:rPr>
                <w:rFonts w:ascii="Arial Narrow" w:eastAsia="Times New Roman" w:hAnsi="Arial Narrow" w:cs="Arial"/>
                <w:b/>
                <w:bCs/>
                <w:sz w:val="18"/>
                <w:szCs w:val="18"/>
                <w:lang w:eastAsia="pt-BR"/>
              </w:rPr>
            </w:pPr>
          </w:p>
        </w:tc>
        <w:tc>
          <w:tcPr>
            <w:tcW w:w="1460" w:type="dxa"/>
            <w:vMerge/>
            <w:tcBorders>
              <w:top w:val="nil"/>
              <w:left w:val="single" w:sz="8" w:space="0" w:color="auto"/>
              <w:bottom w:val="single" w:sz="8" w:space="0" w:color="000000"/>
              <w:right w:val="single" w:sz="8" w:space="0" w:color="auto"/>
            </w:tcBorders>
            <w:shd w:val="clear" w:color="auto" w:fill="F2F2F2" w:themeFill="background1" w:themeFillShade="F2"/>
            <w:vAlign w:val="center"/>
            <w:hideMark/>
          </w:tcPr>
          <w:p w14:paraId="0E25B5FF" w14:textId="77777777" w:rsidR="003B653E" w:rsidRPr="00F25EA0" w:rsidRDefault="003B653E" w:rsidP="003B653E">
            <w:pPr>
              <w:spacing w:after="0" w:line="240" w:lineRule="auto"/>
              <w:rPr>
                <w:rFonts w:ascii="Arial Narrow" w:eastAsia="Times New Roman" w:hAnsi="Arial Narrow" w:cs="Arial"/>
                <w:b/>
                <w:bCs/>
                <w:sz w:val="18"/>
                <w:szCs w:val="18"/>
                <w:lang w:eastAsia="pt-BR"/>
              </w:rPr>
            </w:pPr>
          </w:p>
        </w:tc>
        <w:tc>
          <w:tcPr>
            <w:tcW w:w="1854" w:type="dxa"/>
            <w:tcBorders>
              <w:top w:val="nil"/>
              <w:left w:val="nil"/>
              <w:bottom w:val="single" w:sz="8" w:space="0" w:color="auto"/>
              <w:right w:val="single" w:sz="8" w:space="0" w:color="auto"/>
            </w:tcBorders>
            <w:shd w:val="clear" w:color="auto" w:fill="F2F2F2" w:themeFill="background1" w:themeFillShade="F2"/>
            <w:vAlign w:val="center"/>
            <w:hideMark/>
          </w:tcPr>
          <w:p w14:paraId="57C3B3E1" w14:textId="77777777" w:rsidR="003B653E" w:rsidRPr="00F25EA0" w:rsidRDefault="003B653E" w:rsidP="003B653E">
            <w:pPr>
              <w:spacing w:after="0" w:line="240" w:lineRule="auto"/>
              <w:jc w:val="center"/>
              <w:rPr>
                <w:rFonts w:ascii="Arial Narrow" w:eastAsia="Times New Roman" w:hAnsi="Arial Narrow" w:cs="Arial"/>
                <w:b/>
                <w:bCs/>
                <w:sz w:val="20"/>
                <w:szCs w:val="20"/>
                <w:lang w:eastAsia="pt-BR"/>
              </w:rPr>
            </w:pPr>
            <w:r w:rsidRPr="00F25EA0">
              <w:rPr>
                <w:rFonts w:ascii="Arial Narrow" w:eastAsia="Times New Roman" w:hAnsi="Arial Narrow" w:cs="Arial"/>
                <w:b/>
                <w:bCs/>
                <w:sz w:val="20"/>
                <w:szCs w:val="20"/>
                <w:lang w:eastAsia="pt-BR"/>
              </w:rPr>
              <w:t>(f)=(a+b-d-e)</w:t>
            </w:r>
          </w:p>
        </w:tc>
      </w:tr>
      <w:tr w:rsidR="003B653E" w:rsidRPr="00F25EA0" w14:paraId="3EB86D68" w14:textId="77777777" w:rsidTr="00EE0371">
        <w:trPr>
          <w:trHeight w:val="285"/>
        </w:trPr>
        <w:tc>
          <w:tcPr>
            <w:tcW w:w="3276" w:type="dxa"/>
            <w:tcBorders>
              <w:top w:val="nil"/>
              <w:left w:val="single" w:sz="8" w:space="0" w:color="auto"/>
              <w:bottom w:val="nil"/>
              <w:right w:val="single" w:sz="8" w:space="0" w:color="auto"/>
            </w:tcBorders>
            <w:shd w:val="clear" w:color="auto" w:fill="auto"/>
            <w:vAlign w:val="center"/>
            <w:hideMark/>
          </w:tcPr>
          <w:p w14:paraId="559BB4DA" w14:textId="77777777" w:rsidR="003B653E" w:rsidRPr="00F25EA0" w:rsidRDefault="003B653E" w:rsidP="003B653E">
            <w:pPr>
              <w:spacing w:after="0" w:line="240" w:lineRule="auto"/>
              <w:rPr>
                <w:rFonts w:ascii="Arial Narrow" w:eastAsia="Times New Roman" w:hAnsi="Arial Narrow" w:cs="Arial"/>
                <w:sz w:val="18"/>
                <w:szCs w:val="18"/>
                <w:lang w:eastAsia="pt-BR"/>
              </w:rPr>
            </w:pPr>
            <w:r w:rsidRPr="00F25EA0">
              <w:rPr>
                <w:rFonts w:ascii="Arial Narrow" w:eastAsia="Times New Roman" w:hAnsi="Arial Narrow" w:cs="Arial"/>
                <w:sz w:val="18"/>
                <w:szCs w:val="18"/>
                <w:lang w:eastAsia="pt-BR"/>
              </w:rPr>
              <w:t> </w:t>
            </w:r>
          </w:p>
        </w:tc>
        <w:tc>
          <w:tcPr>
            <w:tcW w:w="1640" w:type="dxa"/>
            <w:tcBorders>
              <w:top w:val="nil"/>
              <w:left w:val="nil"/>
              <w:bottom w:val="nil"/>
              <w:right w:val="single" w:sz="8" w:space="0" w:color="auto"/>
            </w:tcBorders>
            <w:shd w:val="clear" w:color="auto" w:fill="auto"/>
            <w:vAlign w:val="center"/>
            <w:hideMark/>
          </w:tcPr>
          <w:p w14:paraId="5175E2E4" w14:textId="77777777" w:rsidR="003B653E" w:rsidRPr="00F25EA0" w:rsidRDefault="003B653E" w:rsidP="003B653E">
            <w:pPr>
              <w:spacing w:after="0" w:line="240" w:lineRule="auto"/>
              <w:rPr>
                <w:rFonts w:ascii="Arial Narrow" w:eastAsia="Times New Roman" w:hAnsi="Arial Narrow" w:cs="Arial"/>
                <w:sz w:val="18"/>
                <w:szCs w:val="18"/>
                <w:lang w:eastAsia="pt-BR"/>
              </w:rPr>
            </w:pPr>
            <w:r w:rsidRPr="00F25EA0">
              <w:rPr>
                <w:rFonts w:ascii="Arial Narrow" w:eastAsia="Times New Roman" w:hAnsi="Arial Narrow" w:cs="Arial"/>
                <w:sz w:val="18"/>
                <w:szCs w:val="18"/>
                <w:lang w:eastAsia="pt-BR"/>
              </w:rPr>
              <w:t> </w:t>
            </w:r>
          </w:p>
        </w:tc>
        <w:tc>
          <w:tcPr>
            <w:tcW w:w="1903" w:type="dxa"/>
            <w:tcBorders>
              <w:top w:val="nil"/>
              <w:left w:val="nil"/>
              <w:bottom w:val="nil"/>
              <w:right w:val="single" w:sz="8" w:space="0" w:color="auto"/>
            </w:tcBorders>
            <w:shd w:val="clear" w:color="auto" w:fill="auto"/>
            <w:vAlign w:val="center"/>
            <w:hideMark/>
          </w:tcPr>
          <w:p w14:paraId="328E1A8C" w14:textId="77777777" w:rsidR="003B653E" w:rsidRPr="00F25EA0" w:rsidRDefault="003B653E" w:rsidP="003B653E">
            <w:pPr>
              <w:spacing w:after="0" w:line="240" w:lineRule="auto"/>
              <w:rPr>
                <w:rFonts w:ascii="Arial Narrow" w:eastAsia="Times New Roman" w:hAnsi="Arial Narrow" w:cs="Arial"/>
                <w:sz w:val="18"/>
                <w:szCs w:val="18"/>
                <w:lang w:eastAsia="pt-BR"/>
              </w:rPr>
            </w:pPr>
            <w:r w:rsidRPr="00F25EA0">
              <w:rPr>
                <w:rFonts w:ascii="Arial Narrow" w:eastAsia="Times New Roman" w:hAnsi="Arial Narrow" w:cs="Arial"/>
                <w:sz w:val="18"/>
                <w:szCs w:val="18"/>
                <w:lang w:eastAsia="pt-BR"/>
              </w:rPr>
              <w:t> </w:t>
            </w:r>
          </w:p>
        </w:tc>
        <w:tc>
          <w:tcPr>
            <w:tcW w:w="1418" w:type="dxa"/>
            <w:tcBorders>
              <w:top w:val="nil"/>
              <w:left w:val="nil"/>
              <w:bottom w:val="nil"/>
              <w:right w:val="single" w:sz="8" w:space="0" w:color="auto"/>
            </w:tcBorders>
            <w:shd w:val="clear" w:color="auto" w:fill="auto"/>
            <w:vAlign w:val="center"/>
            <w:hideMark/>
          </w:tcPr>
          <w:p w14:paraId="109D3EE9" w14:textId="77777777" w:rsidR="003B653E" w:rsidRPr="00F25EA0" w:rsidRDefault="003B653E" w:rsidP="003B653E">
            <w:pPr>
              <w:spacing w:after="0" w:line="240" w:lineRule="auto"/>
              <w:rPr>
                <w:rFonts w:ascii="Arial Narrow" w:eastAsia="Times New Roman" w:hAnsi="Arial Narrow" w:cs="Arial"/>
                <w:sz w:val="18"/>
                <w:szCs w:val="18"/>
                <w:lang w:eastAsia="pt-BR"/>
              </w:rPr>
            </w:pPr>
            <w:r w:rsidRPr="00F25EA0">
              <w:rPr>
                <w:rFonts w:ascii="Arial Narrow" w:eastAsia="Times New Roman" w:hAnsi="Arial Narrow" w:cs="Arial"/>
                <w:sz w:val="18"/>
                <w:szCs w:val="18"/>
                <w:lang w:eastAsia="pt-BR"/>
              </w:rPr>
              <w:t> </w:t>
            </w:r>
          </w:p>
        </w:tc>
        <w:tc>
          <w:tcPr>
            <w:tcW w:w="1535" w:type="dxa"/>
            <w:tcBorders>
              <w:top w:val="nil"/>
              <w:left w:val="nil"/>
              <w:bottom w:val="nil"/>
              <w:right w:val="single" w:sz="8" w:space="0" w:color="auto"/>
            </w:tcBorders>
            <w:shd w:val="clear" w:color="auto" w:fill="auto"/>
            <w:vAlign w:val="center"/>
            <w:hideMark/>
          </w:tcPr>
          <w:p w14:paraId="7B832025" w14:textId="77777777" w:rsidR="003B653E" w:rsidRPr="00F25EA0" w:rsidRDefault="003B653E" w:rsidP="003B653E">
            <w:pPr>
              <w:spacing w:after="0" w:line="240" w:lineRule="auto"/>
              <w:rPr>
                <w:rFonts w:ascii="Arial Narrow" w:eastAsia="Times New Roman" w:hAnsi="Arial Narrow" w:cs="Arial"/>
                <w:sz w:val="18"/>
                <w:szCs w:val="18"/>
                <w:lang w:eastAsia="pt-BR"/>
              </w:rPr>
            </w:pPr>
            <w:r w:rsidRPr="00F25EA0">
              <w:rPr>
                <w:rFonts w:ascii="Arial Narrow" w:eastAsia="Times New Roman" w:hAnsi="Arial Narrow" w:cs="Arial"/>
                <w:sz w:val="18"/>
                <w:szCs w:val="18"/>
                <w:lang w:eastAsia="pt-BR"/>
              </w:rPr>
              <w:t> </w:t>
            </w:r>
          </w:p>
        </w:tc>
        <w:tc>
          <w:tcPr>
            <w:tcW w:w="1460" w:type="dxa"/>
            <w:tcBorders>
              <w:top w:val="nil"/>
              <w:left w:val="nil"/>
              <w:bottom w:val="nil"/>
              <w:right w:val="single" w:sz="8" w:space="0" w:color="auto"/>
            </w:tcBorders>
            <w:shd w:val="clear" w:color="auto" w:fill="auto"/>
            <w:vAlign w:val="center"/>
            <w:hideMark/>
          </w:tcPr>
          <w:p w14:paraId="707531C9" w14:textId="77777777" w:rsidR="003B653E" w:rsidRPr="00F25EA0" w:rsidRDefault="003B653E" w:rsidP="003B653E">
            <w:pPr>
              <w:spacing w:after="0" w:line="240" w:lineRule="auto"/>
              <w:rPr>
                <w:rFonts w:ascii="Arial Narrow" w:eastAsia="Times New Roman" w:hAnsi="Arial Narrow" w:cs="Arial"/>
                <w:sz w:val="18"/>
                <w:szCs w:val="18"/>
                <w:lang w:eastAsia="pt-BR"/>
              </w:rPr>
            </w:pPr>
            <w:r w:rsidRPr="00F25EA0">
              <w:rPr>
                <w:rFonts w:ascii="Arial Narrow" w:eastAsia="Times New Roman" w:hAnsi="Arial Narrow" w:cs="Arial"/>
                <w:sz w:val="18"/>
                <w:szCs w:val="18"/>
                <w:lang w:eastAsia="pt-BR"/>
              </w:rPr>
              <w:t> </w:t>
            </w:r>
          </w:p>
        </w:tc>
        <w:tc>
          <w:tcPr>
            <w:tcW w:w="1854" w:type="dxa"/>
            <w:tcBorders>
              <w:top w:val="nil"/>
              <w:left w:val="nil"/>
              <w:bottom w:val="nil"/>
              <w:right w:val="single" w:sz="8" w:space="0" w:color="auto"/>
            </w:tcBorders>
            <w:shd w:val="clear" w:color="auto" w:fill="auto"/>
            <w:vAlign w:val="center"/>
            <w:hideMark/>
          </w:tcPr>
          <w:p w14:paraId="5B03E015" w14:textId="77777777" w:rsidR="003B653E" w:rsidRPr="00F25EA0" w:rsidRDefault="003B653E" w:rsidP="003B653E">
            <w:pPr>
              <w:spacing w:after="0" w:line="240" w:lineRule="auto"/>
              <w:rPr>
                <w:rFonts w:ascii="Arial Narrow" w:eastAsia="Times New Roman" w:hAnsi="Arial Narrow" w:cs="Arial"/>
                <w:sz w:val="18"/>
                <w:szCs w:val="18"/>
                <w:lang w:eastAsia="pt-BR"/>
              </w:rPr>
            </w:pPr>
            <w:r w:rsidRPr="00F25EA0">
              <w:rPr>
                <w:rFonts w:ascii="Arial Narrow" w:eastAsia="Times New Roman" w:hAnsi="Arial Narrow" w:cs="Arial"/>
                <w:sz w:val="18"/>
                <w:szCs w:val="18"/>
                <w:lang w:eastAsia="pt-BR"/>
              </w:rPr>
              <w:t> </w:t>
            </w:r>
          </w:p>
        </w:tc>
      </w:tr>
      <w:tr w:rsidR="003B653E" w:rsidRPr="00F25EA0" w14:paraId="5CC3054A" w14:textId="77777777" w:rsidTr="00EE0371">
        <w:trPr>
          <w:trHeight w:val="285"/>
        </w:trPr>
        <w:tc>
          <w:tcPr>
            <w:tcW w:w="3276" w:type="dxa"/>
            <w:tcBorders>
              <w:top w:val="nil"/>
              <w:left w:val="single" w:sz="8" w:space="0" w:color="auto"/>
              <w:bottom w:val="nil"/>
              <w:right w:val="single" w:sz="8" w:space="0" w:color="auto"/>
            </w:tcBorders>
            <w:shd w:val="clear" w:color="auto" w:fill="auto"/>
            <w:vAlign w:val="center"/>
            <w:hideMark/>
          </w:tcPr>
          <w:p w14:paraId="4449F836" w14:textId="77777777" w:rsidR="003B653E" w:rsidRPr="00F25EA0" w:rsidRDefault="003B653E" w:rsidP="003B653E">
            <w:pPr>
              <w:spacing w:after="0" w:line="240" w:lineRule="auto"/>
              <w:rPr>
                <w:rFonts w:ascii="Arial Narrow" w:eastAsia="Times New Roman" w:hAnsi="Arial Narrow" w:cs="Arial"/>
                <w:b/>
                <w:bCs/>
                <w:sz w:val="18"/>
                <w:szCs w:val="18"/>
                <w:lang w:eastAsia="pt-BR"/>
              </w:rPr>
            </w:pPr>
            <w:r w:rsidRPr="00F25EA0">
              <w:rPr>
                <w:rFonts w:ascii="Arial Narrow" w:eastAsia="Times New Roman" w:hAnsi="Arial Narrow" w:cs="Arial"/>
                <w:b/>
                <w:bCs/>
                <w:sz w:val="18"/>
                <w:szCs w:val="18"/>
                <w:lang w:eastAsia="pt-BR"/>
              </w:rPr>
              <w:t>DESPESAS CORRENTES</w:t>
            </w:r>
          </w:p>
        </w:tc>
        <w:tc>
          <w:tcPr>
            <w:tcW w:w="1640" w:type="dxa"/>
            <w:tcBorders>
              <w:top w:val="nil"/>
              <w:left w:val="nil"/>
              <w:bottom w:val="nil"/>
              <w:right w:val="single" w:sz="8" w:space="0" w:color="auto"/>
            </w:tcBorders>
            <w:shd w:val="clear" w:color="auto" w:fill="auto"/>
            <w:vAlign w:val="center"/>
            <w:hideMark/>
          </w:tcPr>
          <w:p w14:paraId="64C409C1" w14:textId="77777777" w:rsidR="003B653E" w:rsidRPr="00F25EA0" w:rsidRDefault="003B653E" w:rsidP="003B653E">
            <w:pPr>
              <w:spacing w:after="0" w:line="240" w:lineRule="auto"/>
              <w:jc w:val="center"/>
              <w:rPr>
                <w:rFonts w:ascii="Arial Narrow" w:eastAsia="Times New Roman" w:hAnsi="Arial Narrow" w:cs="Arial"/>
                <w:b/>
                <w:bCs/>
                <w:sz w:val="18"/>
                <w:szCs w:val="18"/>
                <w:lang w:eastAsia="pt-BR"/>
              </w:rPr>
            </w:pPr>
            <w:r w:rsidRPr="00F25EA0">
              <w:rPr>
                <w:rFonts w:ascii="Arial Narrow" w:eastAsia="Times New Roman" w:hAnsi="Arial Narrow" w:cs="Arial"/>
                <w:b/>
                <w:bCs/>
                <w:sz w:val="18"/>
                <w:szCs w:val="18"/>
                <w:lang w:eastAsia="pt-BR"/>
              </w:rPr>
              <w:t>RNP.C010</w:t>
            </w:r>
          </w:p>
        </w:tc>
        <w:tc>
          <w:tcPr>
            <w:tcW w:w="1903" w:type="dxa"/>
            <w:tcBorders>
              <w:top w:val="nil"/>
              <w:left w:val="nil"/>
              <w:bottom w:val="nil"/>
              <w:right w:val="single" w:sz="8" w:space="0" w:color="auto"/>
            </w:tcBorders>
            <w:shd w:val="clear" w:color="auto" w:fill="auto"/>
            <w:vAlign w:val="center"/>
            <w:hideMark/>
          </w:tcPr>
          <w:p w14:paraId="4FB71EA8" w14:textId="77777777" w:rsidR="003B653E" w:rsidRPr="00F25EA0" w:rsidRDefault="003B653E" w:rsidP="003B653E">
            <w:pPr>
              <w:spacing w:after="0" w:line="240" w:lineRule="auto"/>
              <w:jc w:val="center"/>
              <w:rPr>
                <w:rFonts w:ascii="Arial Narrow" w:eastAsia="Times New Roman" w:hAnsi="Arial Narrow" w:cs="Arial"/>
                <w:b/>
                <w:bCs/>
                <w:sz w:val="18"/>
                <w:szCs w:val="18"/>
                <w:lang w:eastAsia="pt-BR"/>
              </w:rPr>
            </w:pPr>
            <w:r w:rsidRPr="00F25EA0">
              <w:rPr>
                <w:rFonts w:ascii="Arial Narrow" w:eastAsia="Times New Roman" w:hAnsi="Arial Narrow" w:cs="Arial"/>
                <w:b/>
                <w:bCs/>
                <w:sz w:val="18"/>
                <w:szCs w:val="18"/>
                <w:lang w:eastAsia="pt-BR"/>
              </w:rPr>
              <w:t>RNP.D010</w:t>
            </w:r>
          </w:p>
        </w:tc>
        <w:tc>
          <w:tcPr>
            <w:tcW w:w="1418" w:type="dxa"/>
            <w:tcBorders>
              <w:top w:val="nil"/>
              <w:left w:val="nil"/>
              <w:bottom w:val="nil"/>
              <w:right w:val="single" w:sz="8" w:space="0" w:color="auto"/>
            </w:tcBorders>
            <w:shd w:val="clear" w:color="auto" w:fill="auto"/>
            <w:vAlign w:val="center"/>
            <w:hideMark/>
          </w:tcPr>
          <w:p w14:paraId="3F20024D" w14:textId="77777777" w:rsidR="003B653E" w:rsidRPr="00F25EA0" w:rsidRDefault="003B653E" w:rsidP="003B653E">
            <w:pPr>
              <w:spacing w:after="0" w:line="240" w:lineRule="auto"/>
              <w:jc w:val="center"/>
              <w:rPr>
                <w:rFonts w:ascii="Arial Narrow" w:eastAsia="Times New Roman" w:hAnsi="Arial Narrow" w:cs="Arial"/>
                <w:b/>
                <w:bCs/>
                <w:sz w:val="18"/>
                <w:szCs w:val="18"/>
                <w:lang w:eastAsia="pt-BR"/>
              </w:rPr>
            </w:pPr>
            <w:r w:rsidRPr="00F25EA0">
              <w:rPr>
                <w:rFonts w:ascii="Arial Narrow" w:eastAsia="Times New Roman" w:hAnsi="Arial Narrow" w:cs="Arial"/>
                <w:b/>
                <w:bCs/>
                <w:sz w:val="18"/>
                <w:szCs w:val="18"/>
                <w:lang w:eastAsia="pt-BR"/>
              </w:rPr>
              <w:t>RNP.E010</w:t>
            </w:r>
          </w:p>
        </w:tc>
        <w:tc>
          <w:tcPr>
            <w:tcW w:w="1535" w:type="dxa"/>
            <w:tcBorders>
              <w:top w:val="nil"/>
              <w:left w:val="nil"/>
              <w:bottom w:val="nil"/>
              <w:right w:val="single" w:sz="8" w:space="0" w:color="auto"/>
            </w:tcBorders>
            <w:shd w:val="clear" w:color="auto" w:fill="auto"/>
            <w:vAlign w:val="center"/>
            <w:hideMark/>
          </w:tcPr>
          <w:p w14:paraId="4A0513B2" w14:textId="77777777" w:rsidR="003B653E" w:rsidRPr="00F25EA0" w:rsidRDefault="003B653E" w:rsidP="003B653E">
            <w:pPr>
              <w:spacing w:after="0" w:line="240" w:lineRule="auto"/>
              <w:jc w:val="center"/>
              <w:rPr>
                <w:rFonts w:ascii="Arial Narrow" w:eastAsia="Times New Roman" w:hAnsi="Arial Narrow" w:cs="Arial"/>
                <w:b/>
                <w:bCs/>
                <w:sz w:val="18"/>
                <w:szCs w:val="18"/>
                <w:lang w:eastAsia="pt-BR"/>
              </w:rPr>
            </w:pPr>
            <w:r w:rsidRPr="00F25EA0">
              <w:rPr>
                <w:rFonts w:ascii="Arial Narrow" w:eastAsia="Times New Roman" w:hAnsi="Arial Narrow" w:cs="Arial"/>
                <w:b/>
                <w:bCs/>
                <w:sz w:val="18"/>
                <w:szCs w:val="18"/>
                <w:lang w:eastAsia="pt-BR"/>
              </w:rPr>
              <w:t>RNP.F010</w:t>
            </w:r>
          </w:p>
        </w:tc>
        <w:tc>
          <w:tcPr>
            <w:tcW w:w="1460" w:type="dxa"/>
            <w:tcBorders>
              <w:top w:val="nil"/>
              <w:left w:val="nil"/>
              <w:bottom w:val="nil"/>
              <w:right w:val="single" w:sz="8" w:space="0" w:color="auto"/>
            </w:tcBorders>
            <w:shd w:val="clear" w:color="auto" w:fill="auto"/>
            <w:vAlign w:val="center"/>
            <w:hideMark/>
          </w:tcPr>
          <w:p w14:paraId="3FD177B2" w14:textId="77777777" w:rsidR="003B653E" w:rsidRPr="00F25EA0" w:rsidRDefault="003B653E" w:rsidP="003B653E">
            <w:pPr>
              <w:spacing w:after="0" w:line="240" w:lineRule="auto"/>
              <w:jc w:val="center"/>
              <w:rPr>
                <w:rFonts w:ascii="Arial Narrow" w:eastAsia="Times New Roman" w:hAnsi="Arial Narrow" w:cs="Arial"/>
                <w:b/>
                <w:bCs/>
                <w:sz w:val="18"/>
                <w:szCs w:val="18"/>
                <w:lang w:eastAsia="pt-BR"/>
              </w:rPr>
            </w:pPr>
            <w:r w:rsidRPr="00F25EA0">
              <w:rPr>
                <w:rFonts w:ascii="Arial Narrow" w:eastAsia="Times New Roman" w:hAnsi="Arial Narrow" w:cs="Arial"/>
                <w:b/>
                <w:bCs/>
                <w:sz w:val="18"/>
                <w:szCs w:val="18"/>
                <w:lang w:eastAsia="pt-BR"/>
              </w:rPr>
              <w:t>RNP.G010</w:t>
            </w:r>
          </w:p>
        </w:tc>
        <w:tc>
          <w:tcPr>
            <w:tcW w:w="1854" w:type="dxa"/>
            <w:tcBorders>
              <w:top w:val="nil"/>
              <w:left w:val="nil"/>
              <w:bottom w:val="nil"/>
              <w:right w:val="single" w:sz="8" w:space="0" w:color="auto"/>
            </w:tcBorders>
            <w:shd w:val="clear" w:color="auto" w:fill="auto"/>
            <w:vAlign w:val="center"/>
            <w:hideMark/>
          </w:tcPr>
          <w:p w14:paraId="61E9ADF2" w14:textId="77777777" w:rsidR="003B653E" w:rsidRPr="00F25EA0" w:rsidRDefault="003B653E" w:rsidP="003B653E">
            <w:pPr>
              <w:spacing w:after="0" w:line="240" w:lineRule="auto"/>
              <w:jc w:val="center"/>
              <w:rPr>
                <w:rFonts w:ascii="Arial Narrow" w:eastAsia="Times New Roman" w:hAnsi="Arial Narrow" w:cs="Arial"/>
                <w:b/>
                <w:bCs/>
                <w:sz w:val="18"/>
                <w:szCs w:val="18"/>
                <w:lang w:eastAsia="pt-BR"/>
              </w:rPr>
            </w:pPr>
            <w:r w:rsidRPr="00F25EA0">
              <w:rPr>
                <w:rFonts w:ascii="Arial Narrow" w:eastAsia="Times New Roman" w:hAnsi="Arial Narrow" w:cs="Arial"/>
                <w:b/>
                <w:bCs/>
                <w:sz w:val="18"/>
                <w:szCs w:val="18"/>
                <w:lang w:eastAsia="pt-BR"/>
              </w:rPr>
              <w:t>RNP.H010</w:t>
            </w:r>
          </w:p>
        </w:tc>
      </w:tr>
      <w:tr w:rsidR="003B653E" w:rsidRPr="00F25EA0" w14:paraId="6359FC0B" w14:textId="77777777" w:rsidTr="00EE0371">
        <w:trPr>
          <w:trHeight w:val="285"/>
        </w:trPr>
        <w:tc>
          <w:tcPr>
            <w:tcW w:w="3276" w:type="dxa"/>
            <w:tcBorders>
              <w:top w:val="nil"/>
              <w:left w:val="single" w:sz="8" w:space="0" w:color="auto"/>
              <w:bottom w:val="nil"/>
              <w:right w:val="nil"/>
            </w:tcBorders>
            <w:shd w:val="clear" w:color="auto" w:fill="auto"/>
            <w:vAlign w:val="center"/>
            <w:hideMark/>
          </w:tcPr>
          <w:p w14:paraId="40AEC2B2" w14:textId="77777777" w:rsidR="003B653E" w:rsidRPr="00F25EA0" w:rsidRDefault="003B653E" w:rsidP="003B653E">
            <w:pPr>
              <w:spacing w:after="0" w:line="240" w:lineRule="auto"/>
              <w:ind w:firstLineChars="100" w:firstLine="180"/>
              <w:rPr>
                <w:rFonts w:ascii="Arial Narrow" w:eastAsia="Times New Roman" w:hAnsi="Arial Narrow" w:cs="Arial"/>
                <w:sz w:val="18"/>
                <w:szCs w:val="18"/>
                <w:lang w:eastAsia="pt-BR"/>
              </w:rPr>
            </w:pPr>
            <w:r w:rsidRPr="00F25EA0">
              <w:rPr>
                <w:rFonts w:ascii="Arial Narrow" w:eastAsia="Times New Roman" w:hAnsi="Arial Narrow" w:cs="Arial"/>
                <w:sz w:val="18"/>
                <w:szCs w:val="18"/>
                <w:lang w:eastAsia="pt-BR"/>
              </w:rPr>
              <w:t>Pessoal e Encargos Sociais</w:t>
            </w:r>
          </w:p>
        </w:tc>
        <w:tc>
          <w:tcPr>
            <w:tcW w:w="1640" w:type="dxa"/>
            <w:tcBorders>
              <w:top w:val="nil"/>
              <w:left w:val="single" w:sz="8" w:space="0" w:color="auto"/>
              <w:bottom w:val="nil"/>
              <w:right w:val="single" w:sz="8" w:space="0" w:color="auto"/>
            </w:tcBorders>
            <w:shd w:val="clear" w:color="auto" w:fill="auto"/>
            <w:vAlign w:val="center"/>
            <w:hideMark/>
          </w:tcPr>
          <w:p w14:paraId="0B700633" w14:textId="77777777" w:rsidR="003B653E" w:rsidRPr="00F25EA0" w:rsidRDefault="003B653E" w:rsidP="003B653E">
            <w:pPr>
              <w:spacing w:after="0" w:line="240" w:lineRule="auto"/>
              <w:jc w:val="center"/>
              <w:rPr>
                <w:rFonts w:ascii="Arial Narrow" w:eastAsia="Times New Roman" w:hAnsi="Arial Narrow" w:cs="Arial"/>
                <w:sz w:val="18"/>
                <w:szCs w:val="18"/>
                <w:lang w:eastAsia="pt-BR"/>
              </w:rPr>
            </w:pPr>
            <w:r w:rsidRPr="00F25EA0">
              <w:rPr>
                <w:rFonts w:ascii="Arial Narrow" w:eastAsia="Times New Roman" w:hAnsi="Arial Narrow" w:cs="Arial"/>
                <w:sz w:val="18"/>
                <w:szCs w:val="18"/>
                <w:lang w:eastAsia="pt-BR"/>
              </w:rPr>
              <w:t>RNP.C011</w:t>
            </w:r>
          </w:p>
        </w:tc>
        <w:tc>
          <w:tcPr>
            <w:tcW w:w="1903" w:type="dxa"/>
            <w:tcBorders>
              <w:top w:val="nil"/>
              <w:left w:val="nil"/>
              <w:bottom w:val="nil"/>
              <w:right w:val="single" w:sz="8" w:space="0" w:color="auto"/>
            </w:tcBorders>
            <w:shd w:val="clear" w:color="auto" w:fill="auto"/>
            <w:vAlign w:val="center"/>
            <w:hideMark/>
          </w:tcPr>
          <w:p w14:paraId="63AA9CB4" w14:textId="77777777" w:rsidR="003B653E" w:rsidRPr="00F25EA0" w:rsidRDefault="003B653E" w:rsidP="003B653E">
            <w:pPr>
              <w:spacing w:after="0" w:line="240" w:lineRule="auto"/>
              <w:jc w:val="center"/>
              <w:rPr>
                <w:rFonts w:ascii="Arial Narrow" w:eastAsia="Times New Roman" w:hAnsi="Arial Narrow" w:cs="Arial"/>
                <w:sz w:val="18"/>
                <w:szCs w:val="18"/>
                <w:lang w:eastAsia="pt-BR"/>
              </w:rPr>
            </w:pPr>
            <w:r w:rsidRPr="00F25EA0">
              <w:rPr>
                <w:rFonts w:ascii="Arial Narrow" w:eastAsia="Times New Roman" w:hAnsi="Arial Narrow" w:cs="Arial"/>
                <w:sz w:val="18"/>
                <w:szCs w:val="18"/>
                <w:lang w:eastAsia="pt-BR"/>
              </w:rPr>
              <w:t>RNP.D011</w:t>
            </w:r>
          </w:p>
        </w:tc>
        <w:tc>
          <w:tcPr>
            <w:tcW w:w="1418" w:type="dxa"/>
            <w:tcBorders>
              <w:top w:val="nil"/>
              <w:left w:val="nil"/>
              <w:bottom w:val="nil"/>
              <w:right w:val="single" w:sz="8" w:space="0" w:color="auto"/>
            </w:tcBorders>
            <w:shd w:val="clear" w:color="auto" w:fill="auto"/>
            <w:vAlign w:val="center"/>
            <w:hideMark/>
          </w:tcPr>
          <w:p w14:paraId="234A9EDA" w14:textId="77777777" w:rsidR="003B653E" w:rsidRPr="00F25EA0" w:rsidRDefault="003B653E" w:rsidP="003B653E">
            <w:pPr>
              <w:spacing w:after="0" w:line="240" w:lineRule="auto"/>
              <w:jc w:val="center"/>
              <w:rPr>
                <w:rFonts w:ascii="Arial Narrow" w:eastAsia="Times New Roman" w:hAnsi="Arial Narrow" w:cs="Arial"/>
                <w:sz w:val="18"/>
                <w:szCs w:val="18"/>
                <w:lang w:eastAsia="pt-BR"/>
              </w:rPr>
            </w:pPr>
            <w:r w:rsidRPr="00F25EA0">
              <w:rPr>
                <w:rFonts w:ascii="Arial Narrow" w:eastAsia="Times New Roman" w:hAnsi="Arial Narrow" w:cs="Arial"/>
                <w:sz w:val="18"/>
                <w:szCs w:val="18"/>
                <w:lang w:eastAsia="pt-BR"/>
              </w:rPr>
              <w:t>RNP.E011</w:t>
            </w:r>
          </w:p>
        </w:tc>
        <w:tc>
          <w:tcPr>
            <w:tcW w:w="1535" w:type="dxa"/>
            <w:tcBorders>
              <w:top w:val="nil"/>
              <w:left w:val="nil"/>
              <w:bottom w:val="nil"/>
              <w:right w:val="single" w:sz="8" w:space="0" w:color="auto"/>
            </w:tcBorders>
            <w:shd w:val="clear" w:color="auto" w:fill="auto"/>
            <w:vAlign w:val="center"/>
            <w:hideMark/>
          </w:tcPr>
          <w:p w14:paraId="00BCD589" w14:textId="77777777" w:rsidR="003B653E" w:rsidRPr="00F25EA0" w:rsidRDefault="003B653E" w:rsidP="003B653E">
            <w:pPr>
              <w:spacing w:after="0" w:line="240" w:lineRule="auto"/>
              <w:jc w:val="center"/>
              <w:rPr>
                <w:rFonts w:ascii="Arial Narrow" w:eastAsia="Times New Roman" w:hAnsi="Arial Narrow" w:cs="Arial"/>
                <w:sz w:val="18"/>
                <w:szCs w:val="18"/>
                <w:lang w:eastAsia="pt-BR"/>
              </w:rPr>
            </w:pPr>
            <w:r w:rsidRPr="00F25EA0">
              <w:rPr>
                <w:rFonts w:ascii="Arial Narrow" w:eastAsia="Times New Roman" w:hAnsi="Arial Narrow" w:cs="Arial"/>
                <w:sz w:val="18"/>
                <w:szCs w:val="18"/>
                <w:lang w:eastAsia="pt-BR"/>
              </w:rPr>
              <w:t>RNP.F011</w:t>
            </w:r>
          </w:p>
        </w:tc>
        <w:tc>
          <w:tcPr>
            <w:tcW w:w="1460" w:type="dxa"/>
            <w:tcBorders>
              <w:top w:val="nil"/>
              <w:left w:val="nil"/>
              <w:bottom w:val="nil"/>
              <w:right w:val="single" w:sz="8" w:space="0" w:color="auto"/>
            </w:tcBorders>
            <w:shd w:val="clear" w:color="auto" w:fill="auto"/>
            <w:vAlign w:val="center"/>
            <w:hideMark/>
          </w:tcPr>
          <w:p w14:paraId="67588F0E" w14:textId="77777777" w:rsidR="003B653E" w:rsidRPr="00F25EA0" w:rsidRDefault="003B653E" w:rsidP="003B653E">
            <w:pPr>
              <w:spacing w:after="0" w:line="240" w:lineRule="auto"/>
              <w:jc w:val="center"/>
              <w:rPr>
                <w:rFonts w:ascii="Arial Narrow" w:eastAsia="Times New Roman" w:hAnsi="Arial Narrow" w:cs="Arial"/>
                <w:sz w:val="18"/>
                <w:szCs w:val="18"/>
                <w:lang w:eastAsia="pt-BR"/>
              </w:rPr>
            </w:pPr>
            <w:r w:rsidRPr="00F25EA0">
              <w:rPr>
                <w:rFonts w:ascii="Arial Narrow" w:eastAsia="Times New Roman" w:hAnsi="Arial Narrow" w:cs="Arial"/>
                <w:sz w:val="18"/>
                <w:szCs w:val="18"/>
                <w:lang w:eastAsia="pt-BR"/>
              </w:rPr>
              <w:t>RNP.G011</w:t>
            </w:r>
          </w:p>
        </w:tc>
        <w:tc>
          <w:tcPr>
            <w:tcW w:w="1854" w:type="dxa"/>
            <w:tcBorders>
              <w:top w:val="nil"/>
              <w:left w:val="nil"/>
              <w:bottom w:val="nil"/>
              <w:right w:val="single" w:sz="8" w:space="0" w:color="auto"/>
            </w:tcBorders>
            <w:shd w:val="clear" w:color="auto" w:fill="auto"/>
            <w:vAlign w:val="center"/>
            <w:hideMark/>
          </w:tcPr>
          <w:p w14:paraId="4B750552" w14:textId="77777777" w:rsidR="003B653E" w:rsidRPr="00F25EA0" w:rsidRDefault="003B653E" w:rsidP="003B653E">
            <w:pPr>
              <w:spacing w:after="0" w:line="240" w:lineRule="auto"/>
              <w:jc w:val="center"/>
              <w:rPr>
                <w:rFonts w:ascii="Arial Narrow" w:eastAsia="Times New Roman" w:hAnsi="Arial Narrow" w:cs="Arial"/>
                <w:sz w:val="18"/>
                <w:szCs w:val="18"/>
                <w:lang w:eastAsia="pt-BR"/>
              </w:rPr>
            </w:pPr>
            <w:r w:rsidRPr="00F25EA0">
              <w:rPr>
                <w:rFonts w:ascii="Arial Narrow" w:eastAsia="Times New Roman" w:hAnsi="Arial Narrow" w:cs="Arial"/>
                <w:sz w:val="18"/>
                <w:szCs w:val="18"/>
                <w:lang w:eastAsia="pt-BR"/>
              </w:rPr>
              <w:t>RNP.H011</w:t>
            </w:r>
          </w:p>
        </w:tc>
      </w:tr>
      <w:tr w:rsidR="003B653E" w:rsidRPr="00F25EA0" w14:paraId="0B8D70DF" w14:textId="77777777" w:rsidTr="00EE0371">
        <w:trPr>
          <w:trHeight w:val="285"/>
        </w:trPr>
        <w:tc>
          <w:tcPr>
            <w:tcW w:w="3276" w:type="dxa"/>
            <w:tcBorders>
              <w:top w:val="nil"/>
              <w:left w:val="single" w:sz="8" w:space="0" w:color="auto"/>
              <w:bottom w:val="nil"/>
              <w:right w:val="nil"/>
            </w:tcBorders>
            <w:shd w:val="clear" w:color="auto" w:fill="auto"/>
            <w:vAlign w:val="center"/>
            <w:hideMark/>
          </w:tcPr>
          <w:p w14:paraId="0E27295C" w14:textId="77777777" w:rsidR="003B653E" w:rsidRPr="00F25EA0" w:rsidRDefault="003B653E" w:rsidP="003B653E">
            <w:pPr>
              <w:spacing w:after="0" w:line="240" w:lineRule="auto"/>
              <w:ind w:firstLineChars="100" w:firstLine="180"/>
              <w:rPr>
                <w:rFonts w:ascii="Arial Narrow" w:eastAsia="Times New Roman" w:hAnsi="Arial Narrow" w:cs="Arial"/>
                <w:sz w:val="18"/>
                <w:szCs w:val="18"/>
                <w:lang w:eastAsia="pt-BR"/>
              </w:rPr>
            </w:pPr>
            <w:r w:rsidRPr="00F25EA0">
              <w:rPr>
                <w:rFonts w:ascii="Arial Narrow" w:eastAsia="Times New Roman" w:hAnsi="Arial Narrow" w:cs="Arial"/>
                <w:sz w:val="18"/>
                <w:szCs w:val="18"/>
                <w:lang w:eastAsia="pt-BR"/>
              </w:rPr>
              <w:t>Juros e Encargos da Dívida</w:t>
            </w:r>
          </w:p>
        </w:tc>
        <w:tc>
          <w:tcPr>
            <w:tcW w:w="1640" w:type="dxa"/>
            <w:tcBorders>
              <w:top w:val="nil"/>
              <w:left w:val="single" w:sz="8" w:space="0" w:color="auto"/>
              <w:bottom w:val="nil"/>
              <w:right w:val="single" w:sz="8" w:space="0" w:color="auto"/>
            </w:tcBorders>
            <w:shd w:val="clear" w:color="auto" w:fill="auto"/>
            <w:vAlign w:val="center"/>
            <w:hideMark/>
          </w:tcPr>
          <w:p w14:paraId="0F6A6F77" w14:textId="77777777" w:rsidR="003B653E" w:rsidRPr="00F25EA0" w:rsidRDefault="003B653E" w:rsidP="003B653E">
            <w:pPr>
              <w:spacing w:after="0" w:line="240" w:lineRule="auto"/>
              <w:jc w:val="center"/>
              <w:rPr>
                <w:rFonts w:ascii="Arial Narrow" w:eastAsia="Times New Roman" w:hAnsi="Arial Narrow" w:cs="Arial"/>
                <w:sz w:val="18"/>
                <w:szCs w:val="18"/>
                <w:lang w:eastAsia="pt-BR"/>
              </w:rPr>
            </w:pPr>
            <w:r w:rsidRPr="00F25EA0">
              <w:rPr>
                <w:rFonts w:ascii="Arial Narrow" w:eastAsia="Times New Roman" w:hAnsi="Arial Narrow" w:cs="Arial"/>
                <w:sz w:val="18"/>
                <w:szCs w:val="18"/>
                <w:lang w:eastAsia="pt-BR"/>
              </w:rPr>
              <w:t>RNP.C012</w:t>
            </w:r>
          </w:p>
        </w:tc>
        <w:tc>
          <w:tcPr>
            <w:tcW w:w="1903" w:type="dxa"/>
            <w:tcBorders>
              <w:top w:val="nil"/>
              <w:left w:val="nil"/>
              <w:bottom w:val="nil"/>
              <w:right w:val="single" w:sz="8" w:space="0" w:color="auto"/>
            </w:tcBorders>
            <w:shd w:val="clear" w:color="auto" w:fill="auto"/>
            <w:vAlign w:val="center"/>
            <w:hideMark/>
          </w:tcPr>
          <w:p w14:paraId="0142CED3" w14:textId="77777777" w:rsidR="003B653E" w:rsidRPr="00F25EA0" w:rsidRDefault="003B653E" w:rsidP="003B653E">
            <w:pPr>
              <w:spacing w:after="0" w:line="240" w:lineRule="auto"/>
              <w:jc w:val="center"/>
              <w:rPr>
                <w:rFonts w:ascii="Arial Narrow" w:eastAsia="Times New Roman" w:hAnsi="Arial Narrow" w:cs="Arial"/>
                <w:sz w:val="18"/>
                <w:szCs w:val="18"/>
                <w:lang w:eastAsia="pt-BR"/>
              </w:rPr>
            </w:pPr>
            <w:r w:rsidRPr="00F25EA0">
              <w:rPr>
                <w:rFonts w:ascii="Arial Narrow" w:eastAsia="Times New Roman" w:hAnsi="Arial Narrow" w:cs="Arial"/>
                <w:sz w:val="18"/>
                <w:szCs w:val="18"/>
                <w:lang w:eastAsia="pt-BR"/>
              </w:rPr>
              <w:t>RNP.D012</w:t>
            </w:r>
          </w:p>
        </w:tc>
        <w:tc>
          <w:tcPr>
            <w:tcW w:w="1418" w:type="dxa"/>
            <w:tcBorders>
              <w:top w:val="nil"/>
              <w:left w:val="nil"/>
              <w:bottom w:val="nil"/>
              <w:right w:val="single" w:sz="8" w:space="0" w:color="auto"/>
            </w:tcBorders>
            <w:shd w:val="clear" w:color="auto" w:fill="auto"/>
            <w:vAlign w:val="center"/>
            <w:hideMark/>
          </w:tcPr>
          <w:p w14:paraId="7B0516AB" w14:textId="77777777" w:rsidR="003B653E" w:rsidRPr="00F25EA0" w:rsidRDefault="003B653E" w:rsidP="003B653E">
            <w:pPr>
              <w:spacing w:after="0" w:line="240" w:lineRule="auto"/>
              <w:jc w:val="center"/>
              <w:rPr>
                <w:rFonts w:ascii="Arial Narrow" w:eastAsia="Times New Roman" w:hAnsi="Arial Narrow" w:cs="Arial"/>
                <w:sz w:val="18"/>
                <w:szCs w:val="18"/>
                <w:lang w:eastAsia="pt-BR"/>
              </w:rPr>
            </w:pPr>
            <w:r w:rsidRPr="00F25EA0">
              <w:rPr>
                <w:rFonts w:ascii="Arial Narrow" w:eastAsia="Times New Roman" w:hAnsi="Arial Narrow" w:cs="Arial"/>
                <w:sz w:val="18"/>
                <w:szCs w:val="18"/>
                <w:lang w:eastAsia="pt-BR"/>
              </w:rPr>
              <w:t>RNP.E012</w:t>
            </w:r>
          </w:p>
        </w:tc>
        <w:tc>
          <w:tcPr>
            <w:tcW w:w="1535" w:type="dxa"/>
            <w:tcBorders>
              <w:top w:val="nil"/>
              <w:left w:val="nil"/>
              <w:bottom w:val="nil"/>
              <w:right w:val="single" w:sz="8" w:space="0" w:color="auto"/>
            </w:tcBorders>
            <w:shd w:val="clear" w:color="auto" w:fill="auto"/>
            <w:vAlign w:val="center"/>
            <w:hideMark/>
          </w:tcPr>
          <w:p w14:paraId="0D4389CC" w14:textId="77777777" w:rsidR="003B653E" w:rsidRPr="00F25EA0" w:rsidRDefault="003B653E" w:rsidP="003B653E">
            <w:pPr>
              <w:spacing w:after="0" w:line="240" w:lineRule="auto"/>
              <w:jc w:val="center"/>
              <w:rPr>
                <w:rFonts w:ascii="Arial Narrow" w:eastAsia="Times New Roman" w:hAnsi="Arial Narrow" w:cs="Arial"/>
                <w:sz w:val="18"/>
                <w:szCs w:val="18"/>
                <w:lang w:eastAsia="pt-BR"/>
              </w:rPr>
            </w:pPr>
            <w:r w:rsidRPr="00F25EA0">
              <w:rPr>
                <w:rFonts w:ascii="Arial Narrow" w:eastAsia="Times New Roman" w:hAnsi="Arial Narrow" w:cs="Arial"/>
                <w:sz w:val="18"/>
                <w:szCs w:val="18"/>
                <w:lang w:eastAsia="pt-BR"/>
              </w:rPr>
              <w:t>RNP.F012</w:t>
            </w:r>
          </w:p>
        </w:tc>
        <w:tc>
          <w:tcPr>
            <w:tcW w:w="1460" w:type="dxa"/>
            <w:tcBorders>
              <w:top w:val="nil"/>
              <w:left w:val="nil"/>
              <w:bottom w:val="nil"/>
              <w:right w:val="single" w:sz="8" w:space="0" w:color="auto"/>
            </w:tcBorders>
            <w:shd w:val="clear" w:color="auto" w:fill="auto"/>
            <w:vAlign w:val="center"/>
            <w:hideMark/>
          </w:tcPr>
          <w:p w14:paraId="730A16DF" w14:textId="77777777" w:rsidR="003B653E" w:rsidRPr="00F25EA0" w:rsidRDefault="003B653E" w:rsidP="003B653E">
            <w:pPr>
              <w:spacing w:after="0" w:line="240" w:lineRule="auto"/>
              <w:jc w:val="center"/>
              <w:rPr>
                <w:rFonts w:ascii="Arial Narrow" w:eastAsia="Times New Roman" w:hAnsi="Arial Narrow" w:cs="Arial"/>
                <w:sz w:val="18"/>
                <w:szCs w:val="18"/>
                <w:lang w:eastAsia="pt-BR"/>
              </w:rPr>
            </w:pPr>
            <w:r w:rsidRPr="00F25EA0">
              <w:rPr>
                <w:rFonts w:ascii="Arial Narrow" w:eastAsia="Times New Roman" w:hAnsi="Arial Narrow" w:cs="Arial"/>
                <w:sz w:val="18"/>
                <w:szCs w:val="18"/>
                <w:lang w:eastAsia="pt-BR"/>
              </w:rPr>
              <w:t>RNP.G012</w:t>
            </w:r>
          </w:p>
        </w:tc>
        <w:tc>
          <w:tcPr>
            <w:tcW w:w="1854" w:type="dxa"/>
            <w:tcBorders>
              <w:top w:val="nil"/>
              <w:left w:val="nil"/>
              <w:bottom w:val="nil"/>
              <w:right w:val="single" w:sz="8" w:space="0" w:color="auto"/>
            </w:tcBorders>
            <w:shd w:val="clear" w:color="auto" w:fill="auto"/>
            <w:vAlign w:val="center"/>
            <w:hideMark/>
          </w:tcPr>
          <w:p w14:paraId="651C58F4" w14:textId="77777777" w:rsidR="003B653E" w:rsidRPr="00F25EA0" w:rsidRDefault="003B653E" w:rsidP="003B653E">
            <w:pPr>
              <w:spacing w:after="0" w:line="240" w:lineRule="auto"/>
              <w:jc w:val="center"/>
              <w:rPr>
                <w:rFonts w:ascii="Arial Narrow" w:eastAsia="Times New Roman" w:hAnsi="Arial Narrow" w:cs="Arial"/>
                <w:sz w:val="18"/>
                <w:szCs w:val="18"/>
                <w:lang w:eastAsia="pt-BR"/>
              </w:rPr>
            </w:pPr>
            <w:r w:rsidRPr="00F25EA0">
              <w:rPr>
                <w:rFonts w:ascii="Arial Narrow" w:eastAsia="Times New Roman" w:hAnsi="Arial Narrow" w:cs="Arial"/>
                <w:sz w:val="18"/>
                <w:szCs w:val="18"/>
                <w:lang w:eastAsia="pt-BR"/>
              </w:rPr>
              <w:t>RNP.H012</w:t>
            </w:r>
          </w:p>
        </w:tc>
      </w:tr>
      <w:tr w:rsidR="003B653E" w:rsidRPr="00F25EA0" w14:paraId="560F8F0E" w14:textId="77777777" w:rsidTr="00EE0371">
        <w:trPr>
          <w:trHeight w:val="285"/>
        </w:trPr>
        <w:tc>
          <w:tcPr>
            <w:tcW w:w="3276" w:type="dxa"/>
            <w:tcBorders>
              <w:top w:val="nil"/>
              <w:left w:val="single" w:sz="8" w:space="0" w:color="auto"/>
              <w:bottom w:val="nil"/>
              <w:right w:val="nil"/>
            </w:tcBorders>
            <w:shd w:val="clear" w:color="auto" w:fill="auto"/>
            <w:vAlign w:val="center"/>
            <w:hideMark/>
          </w:tcPr>
          <w:p w14:paraId="4C2FC186" w14:textId="77777777" w:rsidR="003B653E" w:rsidRPr="00F25EA0" w:rsidRDefault="003B653E" w:rsidP="003B653E">
            <w:pPr>
              <w:spacing w:after="0" w:line="240" w:lineRule="auto"/>
              <w:ind w:firstLineChars="100" w:firstLine="180"/>
              <w:rPr>
                <w:rFonts w:ascii="Arial Narrow" w:eastAsia="Times New Roman" w:hAnsi="Arial Narrow" w:cs="Arial"/>
                <w:sz w:val="18"/>
                <w:szCs w:val="18"/>
                <w:lang w:eastAsia="pt-BR"/>
              </w:rPr>
            </w:pPr>
            <w:r w:rsidRPr="00F25EA0">
              <w:rPr>
                <w:rFonts w:ascii="Arial Narrow" w:eastAsia="Times New Roman" w:hAnsi="Arial Narrow" w:cs="Arial"/>
                <w:sz w:val="18"/>
                <w:szCs w:val="18"/>
                <w:lang w:eastAsia="pt-BR"/>
              </w:rPr>
              <w:t>Outras Despesas Correntes</w:t>
            </w:r>
          </w:p>
        </w:tc>
        <w:tc>
          <w:tcPr>
            <w:tcW w:w="1640" w:type="dxa"/>
            <w:tcBorders>
              <w:top w:val="nil"/>
              <w:left w:val="single" w:sz="8" w:space="0" w:color="auto"/>
              <w:bottom w:val="nil"/>
              <w:right w:val="single" w:sz="8" w:space="0" w:color="auto"/>
            </w:tcBorders>
            <w:shd w:val="clear" w:color="auto" w:fill="auto"/>
            <w:vAlign w:val="center"/>
            <w:hideMark/>
          </w:tcPr>
          <w:p w14:paraId="5F201974" w14:textId="77777777" w:rsidR="003B653E" w:rsidRPr="00F25EA0" w:rsidRDefault="003B653E" w:rsidP="003B653E">
            <w:pPr>
              <w:spacing w:after="0" w:line="240" w:lineRule="auto"/>
              <w:jc w:val="center"/>
              <w:rPr>
                <w:rFonts w:ascii="Arial Narrow" w:eastAsia="Times New Roman" w:hAnsi="Arial Narrow" w:cs="Arial"/>
                <w:sz w:val="18"/>
                <w:szCs w:val="18"/>
                <w:lang w:eastAsia="pt-BR"/>
              </w:rPr>
            </w:pPr>
            <w:r w:rsidRPr="00F25EA0">
              <w:rPr>
                <w:rFonts w:ascii="Arial Narrow" w:eastAsia="Times New Roman" w:hAnsi="Arial Narrow" w:cs="Arial"/>
                <w:sz w:val="18"/>
                <w:szCs w:val="18"/>
                <w:lang w:eastAsia="pt-BR"/>
              </w:rPr>
              <w:t>RNP.C013</w:t>
            </w:r>
          </w:p>
        </w:tc>
        <w:tc>
          <w:tcPr>
            <w:tcW w:w="1903" w:type="dxa"/>
            <w:tcBorders>
              <w:top w:val="nil"/>
              <w:left w:val="nil"/>
              <w:bottom w:val="nil"/>
              <w:right w:val="single" w:sz="8" w:space="0" w:color="auto"/>
            </w:tcBorders>
            <w:shd w:val="clear" w:color="auto" w:fill="auto"/>
            <w:vAlign w:val="center"/>
            <w:hideMark/>
          </w:tcPr>
          <w:p w14:paraId="6D7D66EE" w14:textId="77777777" w:rsidR="003B653E" w:rsidRPr="00F25EA0" w:rsidRDefault="003B653E" w:rsidP="003B653E">
            <w:pPr>
              <w:spacing w:after="0" w:line="240" w:lineRule="auto"/>
              <w:jc w:val="center"/>
              <w:rPr>
                <w:rFonts w:ascii="Arial Narrow" w:eastAsia="Times New Roman" w:hAnsi="Arial Narrow" w:cs="Arial"/>
                <w:sz w:val="18"/>
                <w:szCs w:val="18"/>
                <w:lang w:eastAsia="pt-BR"/>
              </w:rPr>
            </w:pPr>
            <w:r w:rsidRPr="00F25EA0">
              <w:rPr>
                <w:rFonts w:ascii="Arial Narrow" w:eastAsia="Times New Roman" w:hAnsi="Arial Narrow" w:cs="Arial"/>
                <w:sz w:val="18"/>
                <w:szCs w:val="18"/>
                <w:lang w:eastAsia="pt-BR"/>
              </w:rPr>
              <w:t>RNP.D013</w:t>
            </w:r>
          </w:p>
        </w:tc>
        <w:tc>
          <w:tcPr>
            <w:tcW w:w="1418" w:type="dxa"/>
            <w:tcBorders>
              <w:top w:val="nil"/>
              <w:left w:val="nil"/>
              <w:bottom w:val="nil"/>
              <w:right w:val="single" w:sz="8" w:space="0" w:color="auto"/>
            </w:tcBorders>
            <w:shd w:val="clear" w:color="auto" w:fill="auto"/>
            <w:vAlign w:val="center"/>
            <w:hideMark/>
          </w:tcPr>
          <w:p w14:paraId="7EE2B8F6" w14:textId="77777777" w:rsidR="003B653E" w:rsidRPr="00F25EA0" w:rsidRDefault="003B653E" w:rsidP="003B653E">
            <w:pPr>
              <w:spacing w:after="0" w:line="240" w:lineRule="auto"/>
              <w:jc w:val="center"/>
              <w:rPr>
                <w:rFonts w:ascii="Arial Narrow" w:eastAsia="Times New Roman" w:hAnsi="Arial Narrow" w:cs="Arial"/>
                <w:sz w:val="18"/>
                <w:szCs w:val="18"/>
                <w:lang w:eastAsia="pt-BR"/>
              </w:rPr>
            </w:pPr>
            <w:r w:rsidRPr="00F25EA0">
              <w:rPr>
                <w:rFonts w:ascii="Arial Narrow" w:eastAsia="Times New Roman" w:hAnsi="Arial Narrow" w:cs="Arial"/>
                <w:sz w:val="18"/>
                <w:szCs w:val="18"/>
                <w:lang w:eastAsia="pt-BR"/>
              </w:rPr>
              <w:t>RNP.E013</w:t>
            </w:r>
          </w:p>
        </w:tc>
        <w:tc>
          <w:tcPr>
            <w:tcW w:w="1535" w:type="dxa"/>
            <w:tcBorders>
              <w:top w:val="nil"/>
              <w:left w:val="nil"/>
              <w:bottom w:val="nil"/>
              <w:right w:val="single" w:sz="8" w:space="0" w:color="auto"/>
            </w:tcBorders>
            <w:shd w:val="clear" w:color="auto" w:fill="auto"/>
            <w:vAlign w:val="center"/>
            <w:hideMark/>
          </w:tcPr>
          <w:p w14:paraId="5ADEA2FC" w14:textId="77777777" w:rsidR="003B653E" w:rsidRPr="00F25EA0" w:rsidRDefault="003B653E" w:rsidP="003B653E">
            <w:pPr>
              <w:spacing w:after="0" w:line="240" w:lineRule="auto"/>
              <w:jc w:val="center"/>
              <w:rPr>
                <w:rFonts w:ascii="Arial Narrow" w:eastAsia="Times New Roman" w:hAnsi="Arial Narrow" w:cs="Arial"/>
                <w:sz w:val="18"/>
                <w:szCs w:val="18"/>
                <w:lang w:eastAsia="pt-BR"/>
              </w:rPr>
            </w:pPr>
            <w:r w:rsidRPr="00F25EA0">
              <w:rPr>
                <w:rFonts w:ascii="Arial Narrow" w:eastAsia="Times New Roman" w:hAnsi="Arial Narrow" w:cs="Arial"/>
                <w:sz w:val="18"/>
                <w:szCs w:val="18"/>
                <w:lang w:eastAsia="pt-BR"/>
              </w:rPr>
              <w:t>RNP.F013</w:t>
            </w:r>
          </w:p>
        </w:tc>
        <w:tc>
          <w:tcPr>
            <w:tcW w:w="1460" w:type="dxa"/>
            <w:tcBorders>
              <w:top w:val="nil"/>
              <w:left w:val="nil"/>
              <w:bottom w:val="nil"/>
              <w:right w:val="single" w:sz="8" w:space="0" w:color="auto"/>
            </w:tcBorders>
            <w:shd w:val="clear" w:color="auto" w:fill="auto"/>
            <w:vAlign w:val="center"/>
            <w:hideMark/>
          </w:tcPr>
          <w:p w14:paraId="2A1F93DC" w14:textId="77777777" w:rsidR="003B653E" w:rsidRPr="00F25EA0" w:rsidRDefault="003B653E" w:rsidP="003B653E">
            <w:pPr>
              <w:spacing w:after="0" w:line="240" w:lineRule="auto"/>
              <w:jc w:val="center"/>
              <w:rPr>
                <w:rFonts w:ascii="Arial Narrow" w:eastAsia="Times New Roman" w:hAnsi="Arial Narrow" w:cs="Arial"/>
                <w:sz w:val="18"/>
                <w:szCs w:val="18"/>
                <w:lang w:eastAsia="pt-BR"/>
              </w:rPr>
            </w:pPr>
            <w:r w:rsidRPr="00F25EA0">
              <w:rPr>
                <w:rFonts w:ascii="Arial Narrow" w:eastAsia="Times New Roman" w:hAnsi="Arial Narrow" w:cs="Arial"/>
                <w:sz w:val="18"/>
                <w:szCs w:val="18"/>
                <w:lang w:eastAsia="pt-BR"/>
              </w:rPr>
              <w:t>RNP.G013</w:t>
            </w:r>
          </w:p>
        </w:tc>
        <w:tc>
          <w:tcPr>
            <w:tcW w:w="1854" w:type="dxa"/>
            <w:tcBorders>
              <w:top w:val="nil"/>
              <w:left w:val="nil"/>
              <w:bottom w:val="nil"/>
              <w:right w:val="single" w:sz="8" w:space="0" w:color="auto"/>
            </w:tcBorders>
            <w:shd w:val="clear" w:color="auto" w:fill="auto"/>
            <w:vAlign w:val="center"/>
            <w:hideMark/>
          </w:tcPr>
          <w:p w14:paraId="1878317F" w14:textId="77777777" w:rsidR="003B653E" w:rsidRPr="00F25EA0" w:rsidRDefault="003B653E" w:rsidP="003B653E">
            <w:pPr>
              <w:spacing w:after="0" w:line="240" w:lineRule="auto"/>
              <w:jc w:val="center"/>
              <w:rPr>
                <w:rFonts w:ascii="Arial Narrow" w:eastAsia="Times New Roman" w:hAnsi="Arial Narrow" w:cs="Arial"/>
                <w:sz w:val="18"/>
                <w:szCs w:val="18"/>
                <w:lang w:eastAsia="pt-BR"/>
              </w:rPr>
            </w:pPr>
            <w:r w:rsidRPr="00F25EA0">
              <w:rPr>
                <w:rFonts w:ascii="Arial Narrow" w:eastAsia="Times New Roman" w:hAnsi="Arial Narrow" w:cs="Arial"/>
                <w:sz w:val="18"/>
                <w:szCs w:val="18"/>
                <w:lang w:eastAsia="pt-BR"/>
              </w:rPr>
              <w:t>RNP.H013</w:t>
            </w:r>
          </w:p>
        </w:tc>
      </w:tr>
      <w:tr w:rsidR="003B653E" w:rsidRPr="00F25EA0" w14:paraId="59E139A5" w14:textId="77777777" w:rsidTr="00EE0371">
        <w:trPr>
          <w:trHeight w:val="285"/>
        </w:trPr>
        <w:tc>
          <w:tcPr>
            <w:tcW w:w="3276" w:type="dxa"/>
            <w:tcBorders>
              <w:top w:val="nil"/>
              <w:left w:val="single" w:sz="8" w:space="0" w:color="auto"/>
              <w:bottom w:val="nil"/>
              <w:right w:val="nil"/>
            </w:tcBorders>
            <w:shd w:val="clear" w:color="auto" w:fill="auto"/>
            <w:vAlign w:val="center"/>
            <w:hideMark/>
          </w:tcPr>
          <w:p w14:paraId="2DEFF596" w14:textId="77777777" w:rsidR="003B653E" w:rsidRPr="00F25EA0" w:rsidRDefault="003B653E" w:rsidP="003B653E">
            <w:pPr>
              <w:spacing w:after="0" w:line="240" w:lineRule="auto"/>
              <w:rPr>
                <w:rFonts w:ascii="Arial Narrow" w:eastAsia="Times New Roman" w:hAnsi="Arial Narrow" w:cs="Arial"/>
                <w:sz w:val="18"/>
                <w:szCs w:val="18"/>
                <w:lang w:eastAsia="pt-BR"/>
              </w:rPr>
            </w:pPr>
            <w:r w:rsidRPr="00F25EA0">
              <w:rPr>
                <w:rFonts w:ascii="Arial Narrow" w:eastAsia="Times New Roman" w:hAnsi="Arial Narrow" w:cs="Arial"/>
                <w:sz w:val="18"/>
                <w:szCs w:val="18"/>
                <w:lang w:eastAsia="pt-BR"/>
              </w:rPr>
              <w:t> </w:t>
            </w:r>
          </w:p>
        </w:tc>
        <w:tc>
          <w:tcPr>
            <w:tcW w:w="1640" w:type="dxa"/>
            <w:tcBorders>
              <w:top w:val="nil"/>
              <w:left w:val="single" w:sz="8" w:space="0" w:color="auto"/>
              <w:bottom w:val="nil"/>
              <w:right w:val="single" w:sz="8" w:space="0" w:color="auto"/>
            </w:tcBorders>
            <w:shd w:val="clear" w:color="auto" w:fill="auto"/>
            <w:vAlign w:val="center"/>
            <w:hideMark/>
          </w:tcPr>
          <w:p w14:paraId="69AD4BBD" w14:textId="77777777" w:rsidR="003B653E" w:rsidRPr="00F25EA0" w:rsidRDefault="003B653E" w:rsidP="003B653E">
            <w:pPr>
              <w:spacing w:after="0" w:line="240" w:lineRule="auto"/>
              <w:jc w:val="center"/>
              <w:rPr>
                <w:rFonts w:ascii="Arial Narrow" w:eastAsia="Times New Roman" w:hAnsi="Arial Narrow" w:cs="Arial"/>
                <w:sz w:val="18"/>
                <w:szCs w:val="18"/>
                <w:lang w:eastAsia="pt-BR"/>
              </w:rPr>
            </w:pPr>
            <w:r w:rsidRPr="00F25EA0">
              <w:rPr>
                <w:rFonts w:ascii="Arial Narrow" w:eastAsia="Times New Roman" w:hAnsi="Arial Narrow" w:cs="Arial"/>
                <w:sz w:val="18"/>
                <w:szCs w:val="18"/>
                <w:lang w:eastAsia="pt-BR"/>
              </w:rPr>
              <w:t> </w:t>
            </w:r>
          </w:p>
        </w:tc>
        <w:tc>
          <w:tcPr>
            <w:tcW w:w="1903" w:type="dxa"/>
            <w:tcBorders>
              <w:top w:val="nil"/>
              <w:left w:val="nil"/>
              <w:bottom w:val="nil"/>
              <w:right w:val="single" w:sz="8" w:space="0" w:color="auto"/>
            </w:tcBorders>
            <w:shd w:val="clear" w:color="auto" w:fill="auto"/>
            <w:vAlign w:val="center"/>
            <w:hideMark/>
          </w:tcPr>
          <w:p w14:paraId="383F801B" w14:textId="77777777" w:rsidR="003B653E" w:rsidRPr="00F25EA0" w:rsidRDefault="003B653E" w:rsidP="003B653E">
            <w:pPr>
              <w:spacing w:after="0" w:line="240" w:lineRule="auto"/>
              <w:jc w:val="center"/>
              <w:rPr>
                <w:rFonts w:ascii="Arial Narrow" w:eastAsia="Times New Roman" w:hAnsi="Arial Narrow" w:cs="Arial"/>
                <w:sz w:val="18"/>
                <w:szCs w:val="18"/>
                <w:lang w:eastAsia="pt-BR"/>
              </w:rPr>
            </w:pPr>
            <w:r w:rsidRPr="00F25EA0">
              <w:rPr>
                <w:rFonts w:ascii="Arial Narrow" w:eastAsia="Times New Roman" w:hAnsi="Arial Narrow" w:cs="Arial"/>
                <w:sz w:val="18"/>
                <w:szCs w:val="18"/>
                <w:lang w:eastAsia="pt-BR"/>
              </w:rPr>
              <w:t> </w:t>
            </w:r>
          </w:p>
        </w:tc>
        <w:tc>
          <w:tcPr>
            <w:tcW w:w="1418" w:type="dxa"/>
            <w:tcBorders>
              <w:top w:val="nil"/>
              <w:left w:val="nil"/>
              <w:bottom w:val="nil"/>
              <w:right w:val="single" w:sz="8" w:space="0" w:color="auto"/>
            </w:tcBorders>
            <w:shd w:val="clear" w:color="auto" w:fill="auto"/>
            <w:vAlign w:val="center"/>
            <w:hideMark/>
          </w:tcPr>
          <w:p w14:paraId="77225B9B" w14:textId="77777777" w:rsidR="003B653E" w:rsidRPr="00F25EA0" w:rsidRDefault="003B653E" w:rsidP="003B653E">
            <w:pPr>
              <w:spacing w:after="0" w:line="240" w:lineRule="auto"/>
              <w:jc w:val="center"/>
              <w:rPr>
                <w:rFonts w:ascii="Arial Narrow" w:eastAsia="Times New Roman" w:hAnsi="Arial Narrow" w:cs="Arial"/>
                <w:sz w:val="18"/>
                <w:szCs w:val="18"/>
                <w:lang w:eastAsia="pt-BR"/>
              </w:rPr>
            </w:pPr>
            <w:r w:rsidRPr="00F25EA0">
              <w:rPr>
                <w:rFonts w:ascii="Arial Narrow" w:eastAsia="Times New Roman" w:hAnsi="Arial Narrow" w:cs="Arial"/>
                <w:sz w:val="18"/>
                <w:szCs w:val="18"/>
                <w:lang w:eastAsia="pt-BR"/>
              </w:rPr>
              <w:t> </w:t>
            </w:r>
          </w:p>
        </w:tc>
        <w:tc>
          <w:tcPr>
            <w:tcW w:w="1535" w:type="dxa"/>
            <w:tcBorders>
              <w:top w:val="nil"/>
              <w:left w:val="nil"/>
              <w:bottom w:val="nil"/>
              <w:right w:val="single" w:sz="8" w:space="0" w:color="auto"/>
            </w:tcBorders>
            <w:shd w:val="clear" w:color="auto" w:fill="auto"/>
            <w:vAlign w:val="center"/>
            <w:hideMark/>
          </w:tcPr>
          <w:p w14:paraId="7C21344E" w14:textId="77777777" w:rsidR="003B653E" w:rsidRPr="00F25EA0" w:rsidRDefault="003B653E" w:rsidP="003B653E">
            <w:pPr>
              <w:spacing w:after="0" w:line="240" w:lineRule="auto"/>
              <w:jc w:val="center"/>
              <w:rPr>
                <w:rFonts w:ascii="Arial Narrow" w:eastAsia="Times New Roman" w:hAnsi="Arial Narrow" w:cs="Arial"/>
                <w:sz w:val="18"/>
                <w:szCs w:val="18"/>
                <w:lang w:eastAsia="pt-BR"/>
              </w:rPr>
            </w:pPr>
            <w:r w:rsidRPr="00F25EA0">
              <w:rPr>
                <w:rFonts w:ascii="Arial Narrow" w:eastAsia="Times New Roman" w:hAnsi="Arial Narrow" w:cs="Arial"/>
                <w:sz w:val="18"/>
                <w:szCs w:val="18"/>
                <w:lang w:eastAsia="pt-BR"/>
              </w:rPr>
              <w:t> </w:t>
            </w:r>
          </w:p>
        </w:tc>
        <w:tc>
          <w:tcPr>
            <w:tcW w:w="1460" w:type="dxa"/>
            <w:tcBorders>
              <w:top w:val="nil"/>
              <w:left w:val="nil"/>
              <w:bottom w:val="nil"/>
              <w:right w:val="single" w:sz="8" w:space="0" w:color="auto"/>
            </w:tcBorders>
            <w:shd w:val="clear" w:color="auto" w:fill="auto"/>
            <w:vAlign w:val="center"/>
            <w:hideMark/>
          </w:tcPr>
          <w:p w14:paraId="20E07CDD" w14:textId="77777777" w:rsidR="003B653E" w:rsidRPr="00F25EA0" w:rsidRDefault="003B653E" w:rsidP="003B653E">
            <w:pPr>
              <w:spacing w:after="0" w:line="240" w:lineRule="auto"/>
              <w:jc w:val="center"/>
              <w:rPr>
                <w:rFonts w:ascii="Arial Narrow" w:eastAsia="Times New Roman" w:hAnsi="Arial Narrow" w:cs="Arial"/>
                <w:sz w:val="18"/>
                <w:szCs w:val="18"/>
                <w:lang w:eastAsia="pt-BR"/>
              </w:rPr>
            </w:pPr>
            <w:r w:rsidRPr="00F25EA0">
              <w:rPr>
                <w:rFonts w:ascii="Arial Narrow" w:eastAsia="Times New Roman" w:hAnsi="Arial Narrow" w:cs="Arial"/>
                <w:sz w:val="18"/>
                <w:szCs w:val="18"/>
                <w:lang w:eastAsia="pt-BR"/>
              </w:rPr>
              <w:t> </w:t>
            </w:r>
          </w:p>
        </w:tc>
        <w:tc>
          <w:tcPr>
            <w:tcW w:w="1854" w:type="dxa"/>
            <w:tcBorders>
              <w:top w:val="nil"/>
              <w:left w:val="nil"/>
              <w:bottom w:val="nil"/>
              <w:right w:val="single" w:sz="8" w:space="0" w:color="auto"/>
            </w:tcBorders>
            <w:shd w:val="clear" w:color="auto" w:fill="auto"/>
            <w:vAlign w:val="center"/>
            <w:hideMark/>
          </w:tcPr>
          <w:p w14:paraId="5F22ECBF" w14:textId="77777777" w:rsidR="003B653E" w:rsidRPr="00F25EA0" w:rsidRDefault="003B653E" w:rsidP="003B653E">
            <w:pPr>
              <w:spacing w:after="0" w:line="240" w:lineRule="auto"/>
              <w:jc w:val="center"/>
              <w:rPr>
                <w:rFonts w:ascii="Arial Narrow" w:eastAsia="Times New Roman" w:hAnsi="Arial Narrow" w:cs="Arial"/>
                <w:sz w:val="18"/>
                <w:szCs w:val="18"/>
                <w:lang w:eastAsia="pt-BR"/>
              </w:rPr>
            </w:pPr>
            <w:r w:rsidRPr="00F25EA0">
              <w:rPr>
                <w:rFonts w:ascii="Arial Narrow" w:eastAsia="Times New Roman" w:hAnsi="Arial Narrow" w:cs="Arial"/>
                <w:sz w:val="18"/>
                <w:szCs w:val="18"/>
                <w:lang w:eastAsia="pt-BR"/>
              </w:rPr>
              <w:t> </w:t>
            </w:r>
          </w:p>
        </w:tc>
      </w:tr>
      <w:tr w:rsidR="003B653E" w:rsidRPr="00F25EA0" w14:paraId="24C9FB58" w14:textId="77777777" w:rsidTr="00EE0371">
        <w:trPr>
          <w:trHeight w:val="285"/>
        </w:trPr>
        <w:tc>
          <w:tcPr>
            <w:tcW w:w="3276" w:type="dxa"/>
            <w:tcBorders>
              <w:top w:val="nil"/>
              <w:left w:val="single" w:sz="8" w:space="0" w:color="auto"/>
              <w:bottom w:val="nil"/>
              <w:right w:val="nil"/>
            </w:tcBorders>
            <w:shd w:val="clear" w:color="auto" w:fill="auto"/>
            <w:vAlign w:val="center"/>
            <w:hideMark/>
          </w:tcPr>
          <w:p w14:paraId="306D5C1D" w14:textId="77777777" w:rsidR="003B653E" w:rsidRPr="00F25EA0" w:rsidRDefault="003B653E" w:rsidP="003B653E">
            <w:pPr>
              <w:spacing w:after="0" w:line="240" w:lineRule="auto"/>
              <w:rPr>
                <w:rFonts w:ascii="Arial Narrow" w:eastAsia="Times New Roman" w:hAnsi="Arial Narrow" w:cs="Arial"/>
                <w:b/>
                <w:bCs/>
                <w:sz w:val="18"/>
                <w:szCs w:val="18"/>
                <w:lang w:eastAsia="pt-BR"/>
              </w:rPr>
            </w:pPr>
            <w:r w:rsidRPr="00F25EA0">
              <w:rPr>
                <w:rFonts w:ascii="Arial Narrow" w:eastAsia="Times New Roman" w:hAnsi="Arial Narrow" w:cs="Arial"/>
                <w:b/>
                <w:bCs/>
                <w:sz w:val="18"/>
                <w:szCs w:val="18"/>
                <w:lang w:eastAsia="pt-BR"/>
              </w:rPr>
              <w:t>DESPESAS DE CAPITAL</w:t>
            </w:r>
          </w:p>
        </w:tc>
        <w:tc>
          <w:tcPr>
            <w:tcW w:w="1640" w:type="dxa"/>
            <w:tcBorders>
              <w:top w:val="nil"/>
              <w:left w:val="single" w:sz="8" w:space="0" w:color="auto"/>
              <w:bottom w:val="nil"/>
              <w:right w:val="single" w:sz="8" w:space="0" w:color="auto"/>
            </w:tcBorders>
            <w:shd w:val="clear" w:color="auto" w:fill="auto"/>
            <w:vAlign w:val="center"/>
            <w:hideMark/>
          </w:tcPr>
          <w:p w14:paraId="6E7390F6" w14:textId="77777777" w:rsidR="003B653E" w:rsidRPr="00F25EA0" w:rsidRDefault="003B653E" w:rsidP="003B653E">
            <w:pPr>
              <w:spacing w:after="0" w:line="240" w:lineRule="auto"/>
              <w:jc w:val="center"/>
              <w:rPr>
                <w:rFonts w:ascii="Arial Narrow" w:eastAsia="Times New Roman" w:hAnsi="Arial Narrow" w:cs="Arial"/>
                <w:b/>
                <w:bCs/>
                <w:sz w:val="18"/>
                <w:szCs w:val="18"/>
                <w:lang w:eastAsia="pt-BR"/>
              </w:rPr>
            </w:pPr>
            <w:r w:rsidRPr="00F25EA0">
              <w:rPr>
                <w:rFonts w:ascii="Arial Narrow" w:eastAsia="Times New Roman" w:hAnsi="Arial Narrow" w:cs="Arial"/>
                <w:b/>
                <w:bCs/>
                <w:sz w:val="18"/>
                <w:szCs w:val="18"/>
                <w:lang w:eastAsia="pt-BR"/>
              </w:rPr>
              <w:t>RNP.C015</w:t>
            </w:r>
          </w:p>
        </w:tc>
        <w:tc>
          <w:tcPr>
            <w:tcW w:w="1903" w:type="dxa"/>
            <w:tcBorders>
              <w:top w:val="nil"/>
              <w:left w:val="nil"/>
              <w:bottom w:val="nil"/>
              <w:right w:val="single" w:sz="8" w:space="0" w:color="auto"/>
            </w:tcBorders>
            <w:shd w:val="clear" w:color="auto" w:fill="auto"/>
            <w:vAlign w:val="center"/>
            <w:hideMark/>
          </w:tcPr>
          <w:p w14:paraId="628D11B2" w14:textId="77777777" w:rsidR="003B653E" w:rsidRPr="00F25EA0" w:rsidRDefault="003B653E" w:rsidP="003B653E">
            <w:pPr>
              <w:spacing w:after="0" w:line="240" w:lineRule="auto"/>
              <w:jc w:val="center"/>
              <w:rPr>
                <w:rFonts w:ascii="Arial Narrow" w:eastAsia="Times New Roman" w:hAnsi="Arial Narrow" w:cs="Arial"/>
                <w:b/>
                <w:bCs/>
                <w:sz w:val="18"/>
                <w:szCs w:val="18"/>
                <w:lang w:eastAsia="pt-BR"/>
              </w:rPr>
            </w:pPr>
            <w:r w:rsidRPr="00F25EA0">
              <w:rPr>
                <w:rFonts w:ascii="Arial Narrow" w:eastAsia="Times New Roman" w:hAnsi="Arial Narrow" w:cs="Arial"/>
                <w:b/>
                <w:bCs/>
                <w:sz w:val="18"/>
                <w:szCs w:val="18"/>
                <w:lang w:eastAsia="pt-BR"/>
              </w:rPr>
              <w:t>RNP.D015</w:t>
            </w:r>
          </w:p>
        </w:tc>
        <w:tc>
          <w:tcPr>
            <w:tcW w:w="1418" w:type="dxa"/>
            <w:tcBorders>
              <w:top w:val="nil"/>
              <w:left w:val="nil"/>
              <w:bottom w:val="nil"/>
              <w:right w:val="single" w:sz="8" w:space="0" w:color="auto"/>
            </w:tcBorders>
            <w:shd w:val="clear" w:color="auto" w:fill="auto"/>
            <w:vAlign w:val="center"/>
            <w:hideMark/>
          </w:tcPr>
          <w:p w14:paraId="58ECBBE5" w14:textId="77777777" w:rsidR="003B653E" w:rsidRPr="00F25EA0" w:rsidRDefault="003B653E" w:rsidP="003B653E">
            <w:pPr>
              <w:spacing w:after="0" w:line="240" w:lineRule="auto"/>
              <w:jc w:val="center"/>
              <w:rPr>
                <w:rFonts w:ascii="Arial Narrow" w:eastAsia="Times New Roman" w:hAnsi="Arial Narrow" w:cs="Arial"/>
                <w:b/>
                <w:bCs/>
                <w:sz w:val="18"/>
                <w:szCs w:val="18"/>
                <w:lang w:eastAsia="pt-BR"/>
              </w:rPr>
            </w:pPr>
            <w:r w:rsidRPr="00F25EA0">
              <w:rPr>
                <w:rFonts w:ascii="Arial Narrow" w:eastAsia="Times New Roman" w:hAnsi="Arial Narrow" w:cs="Arial"/>
                <w:b/>
                <w:bCs/>
                <w:sz w:val="18"/>
                <w:szCs w:val="18"/>
                <w:lang w:eastAsia="pt-BR"/>
              </w:rPr>
              <w:t>RNP.E015</w:t>
            </w:r>
          </w:p>
        </w:tc>
        <w:tc>
          <w:tcPr>
            <w:tcW w:w="1535" w:type="dxa"/>
            <w:tcBorders>
              <w:top w:val="nil"/>
              <w:left w:val="nil"/>
              <w:bottom w:val="nil"/>
              <w:right w:val="single" w:sz="8" w:space="0" w:color="auto"/>
            </w:tcBorders>
            <w:shd w:val="clear" w:color="auto" w:fill="auto"/>
            <w:vAlign w:val="center"/>
            <w:hideMark/>
          </w:tcPr>
          <w:p w14:paraId="0CF11F0E" w14:textId="77777777" w:rsidR="003B653E" w:rsidRPr="00F25EA0" w:rsidRDefault="003B653E" w:rsidP="003B653E">
            <w:pPr>
              <w:spacing w:after="0" w:line="240" w:lineRule="auto"/>
              <w:jc w:val="center"/>
              <w:rPr>
                <w:rFonts w:ascii="Arial Narrow" w:eastAsia="Times New Roman" w:hAnsi="Arial Narrow" w:cs="Arial"/>
                <w:b/>
                <w:bCs/>
                <w:sz w:val="18"/>
                <w:szCs w:val="18"/>
                <w:lang w:eastAsia="pt-BR"/>
              </w:rPr>
            </w:pPr>
            <w:r w:rsidRPr="00F25EA0">
              <w:rPr>
                <w:rFonts w:ascii="Arial Narrow" w:eastAsia="Times New Roman" w:hAnsi="Arial Narrow" w:cs="Arial"/>
                <w:b/>
                <w:bCs/>
                <w:sz w:val="18"/>
                <w:szCs w:val="18"/>
                <w:lang w:eastAsia="pt-BR"/>
              </w:rPr>
              <w:t>RNP.F015</w:t>
            </w:r>
          </w:p>
        </w:tc>
        <w:tc>
          <w:tcPr>
            <w:tcW w:w="1460" w:type="dxa"/>
            <w:tcBorders>
              <w:top w:val="nil"/>
              <w:left w:val="nil"/>
              <w:bottom w:val="nil"/>
              <w:right w:val="single" w:sz="8" w:space="0" w:color="auto"/>
            </w:tcBorders>
            <w:shd w:val="clear" w:color="auto" w:fill="auto"/>
            <w:vAlign w:val="center"/>
            <w:hideMark/>
          </w:tcPr>
          <w:p w14:paraId="19410DEA" w14:textId="77777777" w:rsidR="003B653E" w:rsidRPr="00F25EA0" w:rsidRDefault="003B653E" w:rsidP="003B653E">
            <w:pPr>
              <w:spacing w:after="0" w:line="240" w:lineRule="auto"/>
              <w:jc w:val="center"/>
              <w:rPr>
                <w:rFonts w:ascii="Arial Narrow" w:eastAsia="Times New Roman" w:hAnsi="Arial Narrow" w:cs="Arial"/>
                <w:b/>
                <w:bCs/>
                <w:sz w:val="18"/>
                <w:szCs w:val="18"/>
                <w:lang w:eastAsia="pt-BR"/>
              </w:rPr>
            </w:pPr>
            <w:r w:rsidRPr="00F25EA0">
              <w:rPr>
                <w:rFonts w:ascii="Arial Narrow" w:eastAsia="Times New Roman" w:hAnsi="Arial Narrow" w:cs="Arial"/>
                <w:b/>
                <w:bCs/>
                <w:sz w:val="18"/>
                <w:szCs w:val="18"/>
                <w:lang w:eastAsia="pt-BR"/>
              </w:rPr>
              <w:t>RNP.G015</w:t>
            </w:r>
          </w:p>
        </w:tc>
        <w:tc>
          <w:tcPr>
            <w:tcW w:w="1854" w:type="dxa"/>
            <w:tcBorders>
              <w:top w:val="nil"/>
              <w:left w:val="nil"/>
              <w:bottom w:val="nil"/>
              <w:right w:val="single" w:sz="8" w:space="0" w:color="auto"/>
            </w:tcBorders>
            <w:shd w:val="clear" w:color="auto" w:fill="auto"/>
            <w:vAlign w:val="center"/>
            <w:hideMark/>
          </w:tcPr>
          <w:p w14:paraId="6FBF9BD4" w14:textId="77777777" w:rsidR="003B653E" w:rsidRPr="00F25EA0" w:rsidRDefault="003B653E" w:rsidP="003B653E">
            <w:pPr>
              <w:spacing w:after="0" w:line="240" w:lineRule="auto"/>
              <w:jc w:val="center"/>
              <w:rPr>
                <w:rFonts w:ascii="Arial Narrow" w:eastAsia="Times New Roman" w:hAnsi="Arial Narrow" w:cs="Arial"/>
                <w:b/>
                <w:bCs/>
                <w:sz w:val="18"/>
                <w:szCs w:val="18"/>
                <w:lang w:eastAsia="pt-BR"/>
              </w:rPr>
            </w:pPr>
            <w:r w:rsidRPr="00F25EA0">
              <w:rPr>
                <w:rFonts w:ascii="Arial Narrow" w:eastAsia="Times New Roman" w:hAnsi="Arial Narrow" w:cs="Arial"/>
                <w:b/>
                <w:bCs/>
                <w:sz w:val="18"/>
                <w:szCs w:val="18"/>
                <w:lang w:eastAsia="pt-BR"/>
              </w:rPr>
              <w:t>RNP.H015</w:t>
            </w:r>
          </w:p>
        </w:tc>
      </w:tr>
      <w:tr w:rsidR="003B653E" w:rsidRPr="00F25EA0" w14:paraId="250AE980" w14:textId="77777777" w:rsidTr="00EE0371">
        <w:trPr>
          <w:trHeight w:val="285"/>
        </w:trPr>
        <w:tc>
          <w:tcPr>
            <w:tcW w:w="3276" w:type="dxa"/>
            <w:tcBorders>
              <w:top w:val="nil"/>
              <w:left w:val="single" w:sz="8" w:space="0" w:color="auto"/>
              <w:bottom w:val="nil"/>
              <w:right w:val="nil"/>
            </w:tcBorders>
            <w:shd w:val="clear" w:color="auto" w:fill="auto"/>
            <w:vAlign w:val="center"/>
            <w:hideMark/>
          </w:tcPr>
          <w:p w14:paraId="73BC2506" w14:textId="77777777" w:rsidR="003B653E" w:rsidRPr="00F25EA0" w:rsidRDefault="003B653E" w:rsidP="003B653E">
            <w:pPr>
              <w:spacing w:after="0" w:line="240" w:lineRule="auto"/>
              <w:ind w:firstLineChars="100" w:firstLine="180"/>
              <w:rPr>
                <w:rFonts w:ascii="Arial Narrow" w:eastAsia="Times New Roman" w:hAnsi="Arial Narrow" w:cs="Arial"/>
                <w:sz w:val="18"/>
                <w:szCs w:val="18"/>
                <w:lang w:eastAsia="pt-BR"/>
              </w:rPr>
            </w:pPr>
            <w:r w:rsidRPr="00F25EA0">
              <w:rPr>
                <w:rFonts w:ascii="Arial Narrow" w:eastAsia="Times New Roman" w:hAnsi="Arial Narrow" w:cs="Arial"/>
                <w:sz w:val="18"/>
                <w:szCs w:val="18"/>
                <w:lang w:eastAsia="pt-BR"/>
              </w:rPr>
              <w:t>Investimentos</w:t>
            </w:r>
          </w:p>
        </w:tc>
        <w:tc>
          <w:tcPr>
            <w:tcW w:w="1640" w:type="dxa"/>
            <w:tcBorders>
              <w:top w:val="nil"/>
              <w:left w:val="single" w:sz="8" w:space="0" w:color="auto"/>
              <w:bottom w:val="nil"/>
              <w:right w:val="single" w:sz="8" w:space="0" w:color="auto"/>
            </w:tcBorders>
            <w:shd w:val="clear" w:color="auto" w:fill="auto"/>
            <w:vAlign w:val="center"/>
            <w:hideMark/>
          </w:tcPr>
          <w:p w14:paraId="13E55104" w14:textId="77777777" w:rsidR="003B653E" w:rsidRPr="00F25EA0" w:rsidRDefault="003B653E" w:rsidP="003B653E">
            <w:pPr>
              <w:spacing w:after="0" w:line="240" w:lineRule="auto"/>
              <w:jc w:val="center"/>
              <w:rPr>
                <w:rFonts w:ascii="Arial Narrow" w:eastAsia="Times New Roman" w:hAnsi="Arial Narrow" w:cs="Arial"/>
                <w:sz w:val="18"/>
                <w:szCs w:val="18"/>
                <w:lang w:eastAsia="pt-BR"/>
              </w:rPr>
            </w:pPr>
            <w:r w:rsidRPr="00F25EA0">
              <w:rPr>
                <w:rFonts w:ascii="Arial Narrow" w:eastAsia="Times New Roman" w:hAnsi="Arial Narrow" w:cs="Arial"/>
                <w:sz w:val="18"/>
                <w:szCs w:val="18"/>
                <w:lang w:eastAsia="pt-BR"/>
              </w:rPr>
              <w:t>RNP.C016</w:t>
            </w:r>
          </w:p>
        </w:tc>
        <w:tc>
          <w:tcPr>
            <w:tcW w:w="1903" w:type="dxa"/>
            <w:tcBorders>
              <w:top w:val="nil"/>
              <w:left w:val="nil"/>
              <w:bottom w:val="nil"/>
              <w:right w:val="single" w:sz="8" w:space="0" w:color="auto"/>
            </w:tcBorders>
            <w:shd w:val="clear" w:color="auto" w:fill="auto"/>
            <w:vAlign w:val="center"/>
            <w:hideMark/>
          </w:tcPr>
          <w:p w14:paraId="5F61C76A" w14:textId="77777777" w:rsidR="003B653E" w:rsidRPr="00F25EA0" w:rsidRDefault="003B653E" w:rsidP="003B653E">
            <w:pPr>
              <w:spacing w:after="0" w:line="240" w:lineRule="auto"/>
              <w:jc w:val="center"/>
              <w:rPr>
                <w:rFonts w:ascii="Arial Narrow" w:eastAsia="Times New Roman" w:hAnsi="Arial Narrow" w:cs="Arial"/>
                <w:sz w:val="18"/>
                <w:szCs w:val="18"/>
                <w:lang w:eastAsia="pt-BR"/>
              </w:rPr>
            </w:pPr>
            <w:r w:rsidRPr="00F25EA0">
              <w:rPr>
                <w:rFonts w:ascii="Arial Narrow" w:eastAsia="Times New Roman" w:hAnsi="Arial Narrow" w:cs="Arial"/>
                <w:sz w:val="18"/>
                <w:szCs w:val="18"/>
                <w:lang w:eastAsia="pt-BR"/>
              </w:rPr>
              <w:t>RNP.D016</w:t>
            </w:r>
          </w:p>
        </w:tc>
        <w:tc>
          <w:tcPr>
            <w:tcW w:w="1418" w:type="dxa"/>
            <w:tcBorders>
              <w:top w:val="nil"/>
              <w:left w:val="nil"/>
              <w:bottom w:val="nil"/>
              <w:right w:val="single" w:sz="8" w:space="0" w:color="auto"/>
            </w:tcBorders>
            <w:shd w:val="clear" w:color="auto" w:fill="auto"/>
            <w:vAlign w:val="center"/>
            <w:hideMark/>
          </w:tcPr>
          <w:p w14:paraId="452C19DB" w14:textId="77777777" w:rsidR="003B653E" w:rsidRPr="00F25EA0" w:rsidRDefault="003B653E" w:rsidP="003B653E">
            <w:pPr>
              <w:spacing w:after="0" w:line="240" w:lineRule="auto"/>
              <w:jc w:val="center"/>
              <w:rPr>
                <w:rFonts w:ascii="Arial Narrow" w:eastAsia="Times New Roman" w:hAnsi="Arial Narrow" w:cs="Arial"/>
                <w:sz w:val="18"/>
                <w:szCs w:val="18"/>
                <w:lang w:eastAsia="pt-BR"/>
              </w:rPr>
            </w:pPr>
            <w:r w:rsidRPr="00F25EA0">
              <w:rPr>
                <w:rFonts w:ascii="Arial Narrow" w:eastAsia="Times New Roman" w:hAnsi="Arial Narrow" w:cs="Arial"/>
                <w:sz w:val="18"/>
                <w:szCs w:val="18"/>
                <w:lang w:eastAsia="pt-BR"/>
              </w:rPr>
              <w:t>RNP.E016</w:t>
            </w:r>
          </w:p>
        </w:tc>
        <w:tc>
          <w:tcPr>
            <w:tcW w:w="1535" w:type="dxa"/>
            <w:tcBorders>
              <w:top w:val="nil"/>
              <w:left w:val="nil"/>
              <w:bottom w:val="nil"/>
              <w:right w:val="single" w:sz="8" w:space="0" w:color="auto"/>
            </w:tcBorders>
            <w:shd w:val="clear" w:color="auto" w:fill="auto"/>
            <w:vAlign w:val="center"/>
            <w:hideMark/>
          </w:tcPr>
          <w:p w14:paraId="47E8B30F" w14:textId="77777777" w:rsidR="003B653E" w:rsidRPr="00F25EA0" w:rsidRDefault="003B653E" w:rsidP="003B653E">
            <w:pPr>
              <w:spacing w:after="0" w:line="240" w:lineRule="auto"/>
              <w:jc w:val="center"/>
              <w:rPr>
                <w:rFonts w:ascii="Arial Narrow" w:eastAsia="Times New Roman" w:hAnsi="Arial Narrow" w:cs="Arial"/>
                <w:sz w:val="18"/>
                <w:szCs w:val="18"/>
                <w:lang w:eastAsia="pt-BR"/>
              </w:rPr>
            </w:pPr>
            <w:r w:rsidRPr="00F25EA0">
              <w:rPr>
                <w:rFonts w:ascii="Arial Narrow" w:eastAsia="Times New Roman" w:hAnsi="Arial Narrow" w:cs="Arial"/>
                <w:sz w:val="18"/>
                <w:szCs w:val="18"/>
                <w:lang w:eastAsia="pt-BR"/>
              </w:rPr>
              <w:t>RNP.F016</w:t>
            </w:r>
          </w:p>
        </w:tc>
        <w:tc>
          <w:tcPr>
            <w:tcW w:w="1460" w:type="dxa"/>
            <w:tcBorders>
              <w:top w:val="nil"/>
              <w:left w:val="nil"/>
              <w:bottom w:val="nil"/>
              <w:right w:val="single" w:sz="8" w:space="0" w:color="auto"/>
            </w:tcBorders>
            <w:shd w:val="clear" w:color="auto" w:fill="auto"/>
            <w:vAlign w:val="center"/>
            <w:hideMark/>
          </w:tcPr>
          <w:p w14:paraId="452A31BF" w14:textId="77777777" w:rsidR="003B653E" w:rsidRPr="00F25EA0" w:rsidRDefault="003B653E" w:rsidP="003B653E">
            <w:pPr>
              <w:spacing w:after="0" w:line="240" w:lineRule="auto"/>
              <w:jc w:val="center"/>
              <w:rPr>
                <w:rFonts w:ascii="Arial Narrow" w:eastAsia="Times New Roman" w:hAnsi="Arial Narrow" w:cs="Arial"/>
                <w:sz w:val="18"/>
                <w:szCs w:val="18"/>
                <w:lang w:eastAsia="pt-BR"/>
              </w:rPr>
            </w:pPr>
            <w:r w:rsidRPr="00F25EA0">
              <w:rPr>
                <w:rFonts w:ascii="Arial Narrow" w:eastAsia="Times New Roman" w:hAnsi="Arial Narrow" w:cs="Arial"/>
                <w:sz w:val="18"/>
                <w:szCs w:val="18"/>
                <w:lang w:eastAsia="pt-BR"/>
              </w:rPr>
              <w:t>RNP.G016</w:t>
            </w:r>
          </w:p>
        </w:tc>
        <w:tc>
          <w:tcPr>
            <w:tcW w:w="1854" w:type="dxa"/>
            <w:tcBorders>
              <w:top w:val="nil"/>
              <w:left w:val="nil"/>
              <w:bottom w:val="nil"/>
              <w:right w:val="single" w:sz="8" w:space="0" w:color="auto"/>
            </w:tcBorders>
            <w:shd w:val="clear" w:color="auto" w:fill="auto"/>
            <w:vAlign w:val="center"/>
            <w:hideMark/>
          </w:tcPr>
          <w:p w14:paraId="7EC34A6B" w14:textId="77777777" w:rsidR="003B653E" w:rsidRPr="00F25EA0" w:rsidRDefault="003B653E" w:rsidP="003B653E">
            <w:pPr>
              <w:spacing w:after="0" w:line="240" w:lineRule="auto"/>
              <w:jc w:val="center"/>
              <w:rPr>
                <w:rFonts w:ascii="Arial Narrow" w:eastAsia="Times New Roman" w:hAnsi="Arial Narrow" w:cs="Arial"/>
                <w:sz w:val="18"/>
                <w:szCs w:val="18"/>
                <w:lang w:eastAsia="pt-BR"/>
              </w:rPr>
            </w:pPr>
            <w:r w:rsidRPr="00F25EA0">
              <w:rPr>
                <w:rFonts w:ascii="Arial Narrow" w:eastAsia="Times New Roman" w:hAnsi="Arial Narrow" w:cs="Arial"/>
                <w:sz w:val="18"/>
                <w:szCs w:val="18"/>
                <w:lang w:eastAsia="pt-BR"/>
              </w:rPr>
              <w:t>RNP.H016</w:t>
            </w:r>
          </w:p>
        </w:tc>
      </w:tr>
      <w:tr w:rsidR="003B653E" w:rsidRPr="00F25EA0" w14:paraId="7BA28D5A" w14:textId="77777777" w:rsidTr="00EE0371">
        <w:trPr>
          <w:trHeight w:val="285"/>
        </w:trPr>
        <w:tc>
          <w:tcPr>
            <w:tcW w:w="3276" w:type="dxa"/>
            <w:tcBorders>
              <w:top w:val="nil"/>
              <w:left w:val="single" w:sz="8" w:space="0" w:color="auto"/>
              <w:bottom w:val="nil"/>
              <w:right w:val="nil"/>
            </w:tcBorders>
            <w:shd w:val="clear" w:color="auto" w:fill="auto"/>
            <w:vAlign w:val="center"/>
            <w:hideMark/>
          </w:tcPr>
          <w:p w14:paraId="2EACAC71" w14:textId="77777777" w:rsidR="003B653E" w:rsidRPr="00F25EA0" w:rsidRDefault="003B653E" w:rsidP="003B653E">
            <w:pPr>
              <w:spacing w:after="0" w:line="240" w:lineRule="auto"/>
              <w:ind w:firstLineChars="100" w:firstLine="180"/>
              <w:rPr>
                <w:rFonts w:ascii="Arial Narrow" w:eastAsia="Times New Roman" w:hAnsi="Arial Narrow" w:cs="Arial"/>
                <w:sz w:val="18"/>
                <w:szCs w:val="18"/>
                <w:lang w:eastAsia="pt-BR"/>
              </w:rPr>
            </w:pPr>
            <w:r w:rsidRPr="00F25EA0">
              <w:rPr>
                <w:rFonts w:ascii="Arial Narrow" w:eastAsia="Times New Roman" w:hAnsi="Arial Narrow" w:cs="Arial"/>
                <w:sz w:val="18"/>
                <w:szCs w:val="18"/>
                <w:lang w:eastAsia="pt-BR"/>
              </w:rPr>
              <w:t>Inversões Financeiras</w:t>
            </w:r>
          </w:p>
        </w:tc>
        <w:tc>
          <w:tcPr>
            <w:tcW w:w="1640" w:type="dxa"/>
            <w:tcBorders>
              <w:top w:val="nil"/>
              <w:left w:val="single" w:sz="8" w:space="0" w:color="auto"/>
              <w:bottom w:val="nil"/>
              <w:right w:val="single" w:sz="8" w:space="0" w:color="auto"/>
            </w:tcBorders>
            <w:shd w:val="clear" w:color="auto" w:fill="auto"/>
            <w:vAlign w:val="center"/>
            <w:hideMark/>
          </w:tcPr>
          <w:p w14:paraId="316035D5" w14:textId="77777777" w:rsidR="003B653E" w:rsidRPr="00F25EA0" w:rsidRDefault="003B653E" w:rsidP="003B653E">
            <w:pPr>
              <w:spacing w:after="0" w:line="240" w:lineRule="auto"/>
              <w:jc w:val="center"/>
              <w:rPr>
                <w:rFonts w:ascii="Arial Narrow" w:eastAsia="Times New Roman" w:hAnsi="Arial Narrow" w:cs="Arial"/>
                <w:sz w:val="18"/>
                <w:szCs w:val="18"/>
                <w:lang w:eastAsia="pt-BR"/>
              </w:rPr>
            </w:pPr>
            <w:r w:rsidRPr="00F25EA0">
              <w:rPr>
                <w:rFonts w:ascii="Arial Narrow" w:eastAsia="Times New Roman" w:hAnsi="Arial Narrow" w:cs="Arial"/>
                <w:sz w:val="18"/>
                <w:szCs w:val="18"/>
                <w:lang w:eastAsia="pt-BR"/>
              </w:rPr>
              <w:t>RNP.C017</w:t>
            </w:r>
          </w:p>
        </w:tc>
        <w:tc>
          <w:tcPr>
            <w:tcW w:w="1903" w:type="dxa"/>
            <w:tcBorders>
              <w:top w:val="nil"/>
              <w:left w:val="nil"/>
              <w:bottom w:val="nil"/>
              <w:right w:val="single" w:sz="8" w:space="0" w:color="auto"/>
            </w:tcBorders>
            <w:shd w:val="clear" w:color="auto" w:fill="auto"/>
            <w:vAlign w:val="center"/>
            <w:hideMark/>
          </w:tcPr>
          <w:p w14:paraId="52FDEA7E" w14:textId="77777777" w:rsidR="003B653E" w:rsidRPr="00F25EA0" w:rsidRDefault="003B653E" w:rsidP="003B653E">
            <w:pPr>
              <w:spacing w:after="0" w:line="240" w:lineRule="auto"/>
              <w:jc w:val="center"/>
              <w:rPr>
                <w:rFonts w:ascii="Arial Narrow" w:eastAsia="Times New Roman" w:hAnsi="Arial Narrow" w:cs="Arial"/>
                <w:sz w:val="18"/>
                <w:szCs w:val="18"/>
                <w:lang w:eastAsia="pt-BR"/>
              </w:rPr>
            </w:pPr>
            <w:r w:rsidRPr="00F25EA0">
              <w:rPr>
                <w:rFonts w:ascii="Arial Narrow" w:eastAsia="Times New Roman" w:hAnsi="Arial Narrow" w:cs="Arial"/>
                <w:sz w:val="18"/>
                <w:szCs w:val="18"/>
                <w:lang w:eastAsia="pt-BR"/>
              </w:rPr>
              <w:t>RNP.D017</w:t>
            </w:r>
          </w:p>
        </w:tc>
        <w:tc>
          <w:tcPr>
            <w:tcW w:w="1418" w:type="dxa"/>
            <w:tcBorders>
              <w:top w:val="nil"/>
              <w:left w:val="nil"/>
              <w:bottom w:val="nil"/>
              <w:right w:val="single" w:sz="8" w:space="0" w:color="auto"/>
            </w:tcBorders>
            <w:shd w:val="clear" w:color="auto" w:fill="auto"/>
            <w:vAlign w:val="center"/>
            <w:hideMark/>
          </w:tcPr>
          <w:p w14:paraId="7219D3DD" w14:textId="77777777" w:rsidR="003B653E" w:rsidRPr="00F25EA0" w:rsidRDefault="003B653E" w:rsidP="003B653E">
            <w:pPr>
              <w:spacing w:after="0" w:line="240" w:lineRule="auto"/>
              <w:jc w:val="center"/>
              <w:rPr>
                <w:rFonts w:ascii="Arial Narrow" w:eastAsia="Times New Roman" w:hAnsi="Arial Narrow" w:cs="Arial"/>
                <w:sz w:val="18"/>
                <w:szCs w:val="18"/>
                <w:lang w:eastAsia="pt-BR"/>
              </w:rPr>
            </w:pPr>
            <w:r w:rsidRPr="00F25EA0">
              <w:rPr>
                <w:rFonts w:ascii="Arial Narrow" w:eastAsia="Times New Roman" w:hAnsi="Arial Narrow" w:cs="Arial"/>
                <w:sz w:val="18"/>
                <w:szCs w:val="18"/>
                <w:lang w:eastAsia="pt-BR"/>
              </w:rPr>
              <w:t>RNP.E017</w:t>
            </w:r>
          </w:p>
        </w:tc>
        <w:tc>
          <w:tcPr>
            <w:tcW w:w="1535" w:type="dxa"/>
            <w:tcBorders>
              <w:top w:val="nil"/>
              <w:left w:val="nil"/>
              <w:bottom w:val="nil"/>
              <w:right w:val="single" w:sz="8" w:space="0" w:color="auto"/>
            </w:tcBorders>
            <w:shd w:val="clear" w:color="auto" w:fill="auto"/>
            <w:vAlign w:val="center"/>
            <w:hideMark/>
          </w:tcPr>
          <w:p w14:paraId="63E1BB4C" w14:textId="77777777" w:rsidR="003B653E" w:rsidRPr="00F25EA0" w:rsidRDefault="003B653E" w:rsidP="003B653E">
            <w:pPr>
              <w:spacing w:after="0" w:line="240" w:lineRule="auto"/>
              <w:jc w:val="center"/>
              <w:rPr>
                <w:rFonts w:ascii="Arial Narrow" w:eastAsia="Times New Roman" w:hAnsi="Arial Narrow" w:cs="Arial"/>
                <w:sz w:val="18"/>
                <w:szCs w:val="18"/>
                <w:lang w:eastAsia="pt-BR"/>
              </w:rPr>
            </w:pPr>
            <w:r w:rsidRPr="00F25EA0">
              <w:rPr>
                <w:rFonts w:ascii="Arial Narrow" w:eastAsia="Times New Roman" w:hAnsi="Arial Narrow" w:cs="Arial"/>
                <w:sz w:val="18"/>
                <w:szCs w:val="18"/>
                <w:lang w:eastAsia="pt-BR"/>
              </w:rPr>
              <w:t>RNP.F017</w:t>
            </w:r>
          </w:p>
        </w:tc>
        <w:tc>
          <w:tcPr>
            <w:tcW w:w="1460" w:type="dxa"/>
            <w:tcBorders>
              <w:top w:val="nil"/>
              <w:left w:val="nil"/>
              <w:bottom w:val="nil"/>
              <w:right w:val="single" w:sz="8" w:space="0" w:color="auto"/>
            </w:tcBorders>
            <w:shd w:val="clear" w:color="auto" w:fill="auto"/>
            <w:vAlign w:val="center"/>
            <w:hideMark/>
          </w:tcPr>
          <w:p w14:paraId="65DB2FBE" w14:textId="77777777" w:rsidR="003B653E" w:rsidRPr="00F25EA0" w:rsidRDefault="003B653E" w:rsidP="003B653E">
            <w:pPr>
              <w:spacing w:after="0" w:line="240" w:lineRule="auto"/>
              <w:jc w:val="center"/>
              <w:rPr>
                <w:rFonts w:ascii="Arial Narrow" w:eastAsia="Times New Roman" w:hAnsi="Arial Narrow" w:cs="Arial"/>
                <w:sz w:val="18"/>
                <w:szCs w:val="18"/>
                <w:lang w:eastAsia="pt-BR"/>
              </w:rPr>
            </w:pPr>
            <w:r w:rsidRPr="00F25EA0">
              <w:rPr>
                <w:rFonts w:ascii="Arial Narrow" w:eastAsia="Times New Roman" w:hAnsi="Arial Narrow" w:cs="Arial"/>
                <w:sz w:val="18"/>
                <w:szCs w:val="18"/>
                <w:lang w:eastAsia="pt-BR"/>
              </w:rPr>
              <w:t>RNP.G017</w:t>
            </w:r>
          </w:p>
        </w:tc>
        <w:tc>
          <w:tcPr>
            <w:tcW w:w="1854" w:type="dxa"/>
            <w:tcBorders>
              <w:top w:val="nil"/>
              <w:left w:val="nil"/>
              <w:bottom w:val="nil"/>
              <w:right w:val="single" w:sz="8" w:space="0" w:color="auto"/>
            </w:tcBorders>
            <w:shd w:val="clear" w:color="auto" w:fill="auto"/>
            <w:vAlign w:val="center"/>
            <w:hideMark/>
          </w:tcPr>
          <w:p w14:paraId="24C383C3" w14:textId="77777777" w:rsidR="003B653E" w:rsidRPr="00F25EA0" w:rsidRDefault="003B653E" w:rsidP="003B653E">
            <w:pPr>
              <w:spacing w:after="0" w:line="240" w:lineRule="auto"/>
              <w:jc w:val="center"/>
              <w:rPr>
                <w:rFonts w:ascii="Arial Narrow" w:eastAsia="Times New Roman" w:hAnsi="Arial Narrow" w:cs="Arial"/>
                <w:sz w:val="18"/>
                <w:szCs w:val="18"/>
                <w:lang w:eastAsia="pt-BR"/>
              </w:rPr>
            </w:pPr>
            <w:r w:rsidRPr="00F25EA0">
              <w:rPr>
                <w:rFonts w:ascii="Arial Narrow" w:eastAsia="Times New Roman" w:hAnsi="Arial Narrow" w:cs="Arial"/>
                <w:sz w:val="18"/>
                <w:szCs w:val="18"/>
                <w:lang w:eastAsia="pt-BR"/>
              </w:rPr>
              <w:t>RNP.H017</w:t>
            </w:r>
          </w:p>
        </w:tc>
      </w:tr>
      <w:tr w:rsidR="003B653E" w:rsidRPr="00F25EA0" w14:paraId="08214B8E" w14:textId="77777777" w:rsidTr="00EE0371">
        <w:trPr>
          <w:trHeight w:val="285"/>
        </w:trPr>
        <w:tc>
          <w:tcPr>
            <w:tcW w:w="3276" w:type="dxa"/>
            <w:tcBorders>
              <w:top w:val="nil"/>
              <w:left w:val="single" w:sz="8" w:space="0" w:color="auto"/>
              <w:bottom w:val="nil"/>
              <w:right w:val="nil"/>
            </w:tcBorders>
            <w:shd w:val="clear" w:color="auto" w:fill="auto"/>
            <w:vAlign w:val="center"/>
            <w:hideMark/>
          </w:tcPr>
          <w:p w14:paraId="2615BAC5" w14:textId="77777777" w:rsidR="003B653E" w:rsidRPr="00F25EA0" w:rsidRDefault="003B653E" w:rsidP="003B653E">
            <w:pPr>
              <w:spacing w:after="0" w:line="240" w:lineRule="auto"/>
              <w:ind w:firstLineChars="100" w:firstLine="180"/>
              <w:rPr>
                <w:rFonts w:ascii="Arial Narrow" w:eastAsia="Times New Roman" w:hAnsi="Arial Narrow" w:cs="Arial"/>
                <w:sz w:val="18"/>
                <w:szCs w:val="18"/>
                <w:lang w:eastAsia="pt-BR"/>
              </w:rPr>
            </w:pPr>
            <w:r w:rsidRPr="00F25EA0">
              <w:rPr>
                <w:rFonts w:ascii="Arial Narrow" w:eastAsia="Times New Roman" w:hAnsi="Arial Narrow" w:cs="Arial"/>
                <w:sz w:val="18"/>
                <w:szCs w:val="18"/>
                <w:lang w:eastAsia="pt-BR"/>
              </w:rPr>
              <w:t>Amortização da Dívida</w:t>
            </w:r>
          </w:p>
        </w:tc>
        <w:tc>
          <w:tcPr>
            <w:tcW w:w="1640" w:type="dxa"/>
            <w:tcBorders>
              <w:top w:val="nil"/>
              <w:left w:val="single" w:sz="8" w:space="0" w:color="auto"/>
              <w:bottom w:val="nil"/>
              <w:right w:val="single" w:sz="8" w:space="0" w:color="auto"/>
            </w:tcBorders>
            <w:shd w:val="clear" w:color="auto" w:fill="auto"/>
            <w:vAlign w:val="center"/>
            <w:hideMark/>
          </w:tcPr>
          <w:p w14:paraId="2AAAE1D2" w14:textId="77777777" w:rsidR="003B653E" w:rsidRPr="00F25EA0" w:rsidRDefault="003B653E" w:rsidP="003B653E">
            <w:pPr>
              <w:spacing w:after="0" w:line="240" w:lineRule="auto"/>
              <w:jc w:val="center"/>
              <w:rPr>
                <w:rFonts w:ascii="Arial Narrow" w:eastAsia="Times New Roman" w:hAnsi="Arial Narrow" w:cs="Arial"/>
                <w:sz w:val="18"/>
                <w:szCs w:val="18"/>
                <w:lang w:eastAsia="pt-BR"/>
              </w:rPr>
            </w:pPr>
            <w:r w:rsidRPr="00F25EA0">
              <w:rPr>
                <w:rFonts w:ascii="Arial Narrow" w:eastAsia="Times New Roman" w:hAnsi="Arial Narrow" w:cs="Arial"/>
                <w:sz w:val="18"/>
                <w:szCs w:val="18"/>
                <w:lang w:eastAsia="pt-BR"/>
              </w:rPr>
              <w:t>RNP.C018</w:t>
            </w:r>
          </w:p>
        </w:tc>
        <w:tc>
          <w:tcPr>
            <w:tcW w:w="1903" w:type="dxa"/>
            <w:tcBorders>
              <w:top w:val="nil"/>
              <w:left w:val="nil"/>
              <w:bottom w:val="nil"/>
              <w:right w:val="single" w:sz="8" w:space="0" w:color="auto"/>
            </w:tcBorders>
            <w:shd w:val="clear" w:color="auto" w:fill="auto"/>
            <w:vAlign w:val="center"/>
            <w:hideMark/>
          </w:tcPr>
          <w:p w14:paraId="78A60F5A" w14:textId="77777777" w:rsidR="003B653E" w:rsidRPr="00F25EA0" w:rsidRDefault="003B653E" w:rsidP="003B653E">
            <w:pPr>
              <w:spacing w:after="0" w:line="240" w:lineRule="auto"/>
              <w:jc w:val="center"/>
              <w:rPr>
                <w:rFonts w:ascii="Arial Narrow" w:eastAsia="Times New Roman" w:hAnsi="Arial Narrow" w:cs="Arial"/>
                <w:sz w:val="18"/>
                <w:szCs w:val="18"/>
                <w:lang w:eastAsia="pt-BR"/>
              </w:rPr>
            </w:pPr>
            <w:r w:rsidRPr="00F25EA0">
              <w:rPr>
                <w:rFonts w:ascii="Arial Narrow" w:eastAsia="Times New Roman" w:hAnsi="Arial Narrow" w:cs="Arial"/>
                <w:sz w:val="18"/>
                <w:szCs w:val="18"/>
                <w:lang w:eastAsia="pt-BR"/>
              </w:rPr>
              <w:t>RNP.D018</w:t>
            </w:r>
          </w:p>
        </w:tc>
        <w:tc>
          <w:tcPr>
            <w:tcW w:w="1418" w:type="dxa"/>
            <w:tcBorders>
              <w:top w:val="nil"/>
              <w:left w:val="nil"/>
              <w:bottom w:val="nil"/>
              <w:right w:val="single" w:sz="8" w:space="0" w:color="auto"/>
            </w:tcBorders>
            <w:shd w:val="clear" w:color="auto" w:fill="auto"/>
            <w:vAlign w:val="center"/>
            <w:hideMark/>
          </w:tcPr>
          <w:p w14:paraId="15A7D646" w14:textId="77777777" w:rsidR="003B653E" w:rsidRPr="00F25EA0" w:rsidRDefault="003B653E" w:rsidP="003B653E">
            <w:pPr>
              <w:spacing w:after="0" w:line="240" w:lineRule="auto"/>
              <w:jc w:val="center"/>
              <w:rPr>
                <w:rFonts w:ascii="Arial Narrow" w:eastAsia="Times New Roman" w:hAnsi="Arial Narrow" w:cs="Arial"/>
                <w:sz w:val="18"/>
                <w:szCs w:val="18"/>
                <w:lang w:eastAsia="pt-BR"/>
              </w:rPr>
            </w:pPr>
            <w:r w:rsidRPr="00F25EA0">
              <w:rPr>
                <w:rFonts w:ascii="Arial Narrow" w:eastAsia="Times New Roman" w:hAnsi="Arial Narrow" w:cs="Arial"/>
                <w:sz w:val="18"/>
                <w:szCs w:val="18"/>
                <w:lang w:eastAsia="pt-BR"/>
              </w:rPr>
              <w:t>RNP.E018</w:t>
            </w:r>
          </w:p>
        </w:tc>
        <w:tc>
          <w:tcPr>
            <w:tcW w:w="1535" w:type="dxa"/>
            <w:tcBorders>
              <w:top w:val="nil"/>
              <w:left w:val="nil"/>
              <w:bottom w:val="nil"/>
              <w:right w:val="single" w:sz="8" w:space="0" w:color="auto"/>
            </w:tcBorders>
            <w:shd w:val="clear" w:color="auto" w:fill="auto"/>
            <w:vAlign w:val="center"/>
            <w:hideMark/>
          </w:tcPr>
          <w:p w14:paraId="62D40887" w14:textId="77777777" w:rsidR="003B653E" w:rsidRPr="00F25EA0" w:rsidRDefault="003B653E" w:rsidP="003B653E">
            <w:pPr>
              <w:spacing w:after="0" w:line="240" w:lineRule="auto"/>
              <w:jc w:val="center"/>
              <w:rPr>
                <w:rFonts w:ascii="Arial Narrow" w:eastAsia="Times New Roman" w:hAnsi="Arial Narrow" w:cs="Arial"/>
                <w:sz w:val="18"/>
                <w:szCs w:val="18"/>
                <w:lang w:eastAsia="pt-BR"/>
              </w:rPr>
            </w:pPr>
            <w:r w:rsidRPr="00F25EA0">
              <w:rPr>
                <w:rFonts w:ascii="Arial Narrow" w:eastAsia="Times New Roman" w:hAnsi="Arial Narrow" w:cs="Arial"/>
                <w:sz w:val="18"/>
                <w:szCs w:val="18"/>
                <w:lang w:eastAsia="pt-BR"/>
              </w:rPr>
              <w:t>RNP.F018</w:t>
            </w:r>
          </w:p>
        </w:tc>
        <w:tc>
          <w:tcPr>
            <w:tcW w:w="1460" w:type="dxa"/>
            <w:tcBorders>
              <w:top w:val="nil"/>
              <w:left w:val="nil"/>
              <w:bottom w:val="nil"/>
              <w:right w:val="single" w:sz="8" w:space="0" w:color="auto"/>
            </w:tcBorders>
            <w:shd w:val="clear" w:color="auto" w:fill="auto"/>
            <w:vAlign w:val="center"/>
            <w:hideMark/>
          </w:tcPr>
          <w:p w14:paraId="7B581FB8" w14:textId="77777777" w:rsidR="003B653E" w:rsidRPr="00F25EA0" w:rsidRDefault="003B653E" w:rsidP="003B653E">
            <w:pPr>
              <w:spacing w:after="0" w:line="240" w:lineRule="auto"/>
              <w:jc w:val="center"/>
              <w:rPr>
                <w:rFonts w:ascii="Arial Narrow" w:eastAsia="Times New Roman" w:hAnsi="Arial Narrow" w:cs="Arial"/>
                <w:sz w:val="18"/>
                <w:szCs w:val="18"/>
                <w:lang w:eastAsia="pt-BR"/>
              </w:rPr>
            </w:pPr>
            <w:r w:rsidRPr="00F25EA0">
              <w:rPr>
                <w:rFonts w:ascii="Arial Narrow" w:eastAsia="Times New Roman" w:hAnsi="Arial Narrow" w:cs="Arial"/>
                <w:sz w:val="18"/>
                <w:szCs w:val="18"/>
                <w:lang w:eastAsia="pt-BR"/>
              </w:rPr>
              <w:t>RNP.G018</w:t>
            </w:r>
          </w:p>
        </w:tc>
        <w:tc>
          <w:tcPr>
            <w:tcW w:w="1854" w:type="dxa"/>
            <w:tcBorders>
              <w:top w:val="nil"/>
              <w:left w:val="nil"/>
              <w:bottom w:val="nil"/>
              <w:right w:val="single" w:sz="8" w:space="0" w:color="auto"/>
            </w:tcBorders>
            <w:shd w:val="clear" w:color="auto" w:fill="auto"/>
            <w:vAlign w:val="center"/>
            <w:hideMark/>
          </w:tcPr>
          <w:p w14:paraId="7EC5DFA2" w14:textId="77777777" w:rsidR="003B653E" w:rsidRPr="00F25EA0" w:rsidRDefault="003B653E" w:rsidP="003B653E">
            <w:pPr>
              <w:spacing w:after="0" w:line="240" w:lineRule="auto"/>
              <w:jc w:val="center"/>
              <w:rPr>
                <w:rFonts w:ascii="Arial Narrow" w:eastAsia="Times New Roman" w:hAnsi="Arial Narrow" w:cs="Arial"/>
                <w:sz w:val="18"/>
                <w:szCs w:val="18"/>
                <w:lang w:eastAsia="pt-BR"/>
              </w:rPr>
            </w:pPr>
            <w:r w:rsidRPr="00F25EA0">
              <w:rPr>
                <w:rFonts w:ascii="Arial Narrow" w:eastAsia="Times New Roman" w:hAnsi="Arial Narrow" w:cs="Arial"/>
                <w:sz w:val="18"/>
                <w:szCs w:val="18"/>
                <w:lang w:eastAsia="pt-BR"/>
              </w:rPr>
              <w:t>RNP.H018</w:t>
            </w:r>
          </w:p>
        </w:tc>
      </w:tr>
      <w:tr w:rsidR="003B653E" w:rsidRPr="00F25EA0" w14:paraId="43EB0632" w14:textId="77777777" w:rsidTr="00EE0371">
        <w:trPr>
          <w:trHeight w:val="285"/>
        </w:trPr>
        <w:tc>
          <w:tcPr>
            <w:tcW w:w="3276" w:type="dxa"/>
            <w:tcBorders>
              <w:top w:val="nil"/>
              <w:left w:val="single" w:sz="8" w:space="0" w:color="auto"/>
              <w:bottom w:val="nil"/>
              <w:right w:val="nil"/>
            </w:tcBorders>
            <w:shd w:val="clear" w:color="auto" w:fill="auto"/>
            <w:vAlign w:val="center"/>
            <w:hideMark/>
          </w:tcPr>
          <w:p w14:paraId="005C4A40" w14:textId="77777777" w:rsidR="003B653E" w:rsidRPr="00F25EA0" w:rsidRDefault="003B653E" w:rsidP="003B653E">
            <w:pPr>
              <w:spacing w:after="0" w:line="240" w:lineRule="auto"/>
              <w:rPr>
                <w:rFonts w:ascii="Arial Narrow" w:eastAsia="Times New Roman" w:hAnsi="Arial Narrow" w:cs="Arial"/>
                <w:b/>
                <w:bCs/>
                <w:sz w:val="18"/>
                <w:szCs w:val="18"/>
                <w:lang w:eastAsia="pt-BR"/>
              </w:rPr>
            </w:pPr>
            <w:r w:rsidRPr="00F25EA0">
              <w:rPr>
                <w:rFonts w:ascii="Arial Narrow" w:eastAsia="Times New Roman" w:hAnsi="Arial Narrow" w:cs="Arial"/>
                <w:b/>
                <w:bCs/>
                <w:sz w:val="18"/>
                <w:szCs w:val="18"/>
                <w:lang w:eastAsia="pt-BR"/>
              </w:rPr>
              <w:t> </w:t>
            </w:r>
          </w:p>
        </w:tc>
        <w:tc>
          <w:tcPr>
            <w:tcW w:w="1640" w:type="dxa"/>
            <w:tcBorders>
              <w:top w:val="nil"/>
              <w:left w:val="single" w:sz="8" w:space="0" w:color="auto"/>
              <w:bottom w:val="nil"/>
              <w:right w:val="single" w:sz="8" w:space="0" w:color="auto"/>
            </w:tcBorders>
            <w:shd w:val="clear" w:color="auto" w:fill="auto"/>
            <w:vAlign w:val="center"/>
            <w:hideMark/>
          </w:tcPr>
          <w:p w14:paraId="6F992D8C" w14:textId="77777777" w:rsidR="003B653E" w:rsidRPr="00F25EA0" w:rsidRDefault="003B653E" w:rsidP="003B653E">
            <w:pPr>
              <w:spacing w:after="0" w:line="240" w:lineRule="auto"/>
              <w:jc w:val="center"/>
              <w:rPr>
                <w:rFonts w:ascii="Arial Narrow" w:eastAsia="Times New Roman" w:hAnsi="Arial Narrow" w:cs="Arial"/>
                <w:b/>
                <w:bCs/>
                <w:sz w:val="18"/>
                <w:szCs w:val="18"/>
                <w:lang w:eastAsia="pt-BR"/>
              </w:rPr>
            </w:pPr>
            <w:r w:rsidRPr="00F25EA0">
              <w:rPr>
                <w:rFonts w:ascii="Arial Narrow" w:eastAsia="Times New Roman" w:hAnsi="Arial Narrow" w:cs="Arial"/>
                <w:b/>
                <w:bCs/>
                <w:sz w:val="18"/>
                <w:szCs w:val="18"/>
                <w:lang w:eastAsia="pt-BR"/>
              </w:rPr>
              <w:t> </w:t>
            </w:r>
          </w:p>
        </w:tc>
        <w:tc>
          <w:tcPr>
            <w:tcW w:w="1903" w:type="dxa"/>
            <w:tcBorders>
              <w:top w:val="nil"/>
              <w:left w:val="nil"/>
              <w:bottom w:val="nil"/>
              <w:right w:val="single" w:sz="8" w:space="0" w:color="auto"/>
            </w:tcBorders>
            <w:shd w:val="clear" w:color="auto" w:fill="auto"/>
            <w:vAlign w:val="center"/>
            <w:hideMark/>
          </w:tcPr>
          <w:p w14:paraId="62754BD2" w14:textId="77777777" w:rsidR="003B653E" w:rsidRPr="00F25EA0" w:rsidRDefault="003B653E" w:rsidP="003B653E">
            <w:pPr>
              <w:spacing w:after="0" w:line="240" w:lineRule="auto"/>
              <w:jc w:val="center"/>
              <w:rPr>
                <w:rFonts w:ascii="Arial Narrow" w:eastAsia="Times New Roman" w:hAnsi="Arial Narrow" w:cs="Arial"/>
                <w:b/>
                <w:bCs/>
                <w:sz w:val="18"/>
                <w:szCs w:val="18"/>
                <w:lang w:eastAsia="pt-BR"/>
              </w:rPr>
            </w:pPr>
            <w:r w:rsidRPr="00F25EA0">
              <w:rPr>
                <w:rFonts w:ascii="Arial Narrow" w:eastAsia="Times New Roman" w:hAnsi="Arial Narrow" w:cs="Arial"/>
                <w:b/>
                <w:bCs/>
                <w:sz w:val="18"/>
                <w:szCs w:val="18"/>
                <w:lang w:eastAsia="pt-BR"/>
              </w:rPr>
              <w:t> </w:t>
            </w:r>
          </w:p>
        </w:tc>
        <w:tc>
          <w:tcPr>
            <w:tcW w:w="1418" w:type="dxa"/>
            <w:tcBorders>
              <w:top w:val="nil"/>
              <w:left w:val="nil"/>
              <w:bottom w:val="nil"/>
              <w:right w:val="single" w:sz="8" w:space="0" w:color="auto"/>
            </w:tcBorders>
            <w:shd w:val="clear" w:color="auto" w:fill="auto"/>
            <w:vAlign w:val="center"/>
            <w:hideMark/>
          </w:tcPr>
          <w:p w14:paraId="48EA982C" w14:textId="77777777" w:rsidR="003B653E" w:rsidRPr="00F25EA0" w:rsidRDefault="003B653E" w:rsidP="003B653E">
            <w:pPr>
              <w:spacing w:after="0" w:line="240" w:lineRule="auto"/>
              <w:jc w:val="center"/>
              <w:rPr>
                <w:rFonts w:ascii="Arial Narrow" w:eastAsia="Times New Roman" w:hAnsi="Arial Narrow" w:cs="Arial"/>
                <w:b/>
                <w:bCs/>
                <w:sz w:val="18"/>
                <w:szCs w:val="18"/>
                <w:lang w:eastAsia="pt-BR"/>
              </w:rPr>
            </w:pPr>
            <w:r w:rsidRPr="00F25EA0">
              <w:rPr>
                <w:rFonts w:ascii="Arial Narrow" w:eastAsia="Times New Roman" w:hAnsi="Arial Narrow" w:cs="Arial"/>
                <w:b/>
                <w:bCs/>
                <w:sz w:val="18"/>
                <w:szCs w:val="18"/>
                <w:lang w:eastAsia="pt-BR"/>
              </w:rPr>
              <w:t> </w:t>
            </w:r>
          </w:p>
        </w:tc>
        <w:tc>
          <w:tcPr>
            <w:tcW w:w="1535" w:type="dxa"/>
            <w:tcBorders>
              <w:top w:val="nil"/>
              <w:left w:val="nil"/>
              <w:bottom w:val="nil"/>
              <w:right w:val="single" w:sz="8" w:space="0" w:color="auto"/>
            </w:tcBorders>
            <w:shd w:val="clear" w:color="auto" w:fill="auto"/>
            <w:vAlign w:val="center"/>
            <w:hideMark/>
          </w:tcPr>
          <w:p w14:paraId="6ADCA480" w14:textId="77777777" w:rsidR="003B653E" w:rsidRPr="00F25EA0" w:rsidRDefault="003B653E" w:rsidP="003B653E">
            <w:pPr>
              <w:spacing w:after="0" w:line="240" w:lineRule="auto"/>
              <w:jc w:val="center"/>
              <w:rPr>
                <w:rFonts w:ascii="Arial Narrow" w:eastAsia="Times New Roman" w:hAnsi="Arial Narrow" w:cs="Arial"/>
                <w:b/>
                <w:bCs/>
                <w:sz w:val="18"/>
                <w:szCs w:val="18"/>
                <w:lang w:eastAsia="pt-BR"/>
              </w:rPr>
            </w:pPr>
            <w:r w:rsidRPr="00F25EA0">
              <w:rPr>
                <w:rFonts w:ascii="Arial Narrow" w:eastAsia="Times New Roman" w:hAnsi="Arial Narrow" w:cs="Arial"/>
                <w:b/>
                <w:bCs/>
                <w:sz w:val="18"/>
                <w:szCs w:val="18"/>
                <w:lang w:eastAsia="pt-BR"/>
              </w:rPr>
              <w:t> </w:t>
            </w:r>
          </w:p>
        </w:tc>
        <w:tc>
          <w:tcPr>
            <w:tcW w:w="1460" w:type="dxa"/>
            <w:tcBorders>
              <w:top w:val="nil"/>
              <w:left w:val="nil"/>
              <w:bottom w:val="nil"/>
              <w:right w:val="single" w:sz="8" w:space="0" w:color="auto"/>
            </w:tcBorders>
            <w:shd w:val="clear" w:color="auto" w:fill="auto"/>
            <w:vAlign w:val="center"/>
            <w:hideMark/>
          </w:tcPr>
          <w:p w14:paraId="2D9FBE82" w14:textId="77777777" w:rsidR="003B653E" w:rsidRPr="00F25EA0" w:rsidRDefault="003B653E" w:rsidP="003B653E">
            <w:pPr>
              <w:spacing w:after="0" w:line="240" w:lineRule="auto"/>
              <w:jc w:val="center"/>
              <w:rPr>
                <w:rFonts w:ascii="Arial Narrow" w:eastAsia="Times New Roman" w:hAnsi="Arial Narrow" w:cs="Arial"/>
                <w:b/>
                <w:bCs/>
                <w:sz w:val="18"/>
                <w:szCs w:val="18"/>
                <w:lang w:eastAsia="pt-BR"/>
              </w:rPr>
            </w:pPr>
            <w:r w:rsidRPr="00F25EA0">
              <w:rPr>
                <w:rFonts w:ascii="Arial Narrow" w:eastAsia="Times New Roman" w:hAnsi="Arial Narrow" w:cs="Arial"/>
                <w:b/>
                <w:bCs/>
                <w:sz w:val="18"/>
                <w:szCs w:val="18"/>
                <w:lang w:eastAsia="pt-BR"/>
              </w:rPr>
              <w:t> </w:t>
            </w:r>
          </w:p>
        </w:tc>
        <w:tc>
          <w:tcPr>
            <w:tcW w:w="1854" w:type="dxa"/>
            <w:tcBorders>
              <w:top w:val="nil"/>
              <w:left w:val="nil"/>
              <w:bottom w:val="nil"/>
              <w:right w:val="single" w:sz="8" w:space="0" w:color="auto"/>
            </w:tcBorders>
            <w:shd w:val="clear" w:color="auto" w:fill="auto"/>
            <w:vAlign w:val="center"/>
            <w:hideMark/>
          </w:tcPr>
          <w:p w14:paraId="645C4C61" w14:textId="77777777" w:rsidR="003B653E" w:rsidRPr="00F25EA0" w:rsidRDefault="003B653E" w:rsidP="003B653E">
            <w:pPr>
              <w:spacing w:after="0" w:line="240" w:lineRule="auto"/>
              <w:jc w:val="center"/>
              <w:rPr>
                <w:rFonts w:ascii="Arial Narrow" w:eastAsia="Times New Roman" w:hAnsi="Arial Narrow" w:cs="Arial"/>
                <w:lang w:eastAsia="pt-BR"/>
              </w:rPr>
            </w:pPr>
            <w:r w:rsidRPr="00F25EA0">
              <w:rPr>
                <w:rFonts w:ascii="Arial Narrow" w:eastAsia="Times New Roman" w:hAnsi="Arial Narrow" w:cs="Arial"/>
                <w:lang w:eastAsia="pt-BR"/>
              </w:rPr>
              <w:t> </w:t>
            </w:r>
          </w:p>
        </w:tc>
      </w:tr>
      <w:tr w:rsidR="003B653E" w:rsidRPr="00F25EA0" w14:paraId="107B56CD" w14:textId="77777777" w:rsidTr="00EE0371">
        <w:trPr>
          <w:trHeight w:val="285"/>
        </w:trPr>
        <w:tc>
          <w:tcPr>
            <w:tcW w:w="327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A5987A7" w14:textId="77777777" w:rsidR="003B653E" w:rsidRPr="00F25EA0" w:rsidRDefault="003B653E" w:rsidP="003B653E">
            <w:pPr>
              <w:spacing w:after="0" w:line="240" w:lineRule="auto"/>
              <w:rPr>
                <w:rFonts w:ascii="Arial Narrow" w:eastAsia="Times New Roman" w:hAnsi="Arial Narrow" w:cs="Arial"/>
                <w:b/>
                <w:bCs/>
                <w:sz w:val="18"/>
                <w:szCs w:val="18"/>
                <w:lang w:eastAsia="pt-BR"/>
              </w:rPr>
            </w:pPr>
            <w:r w:rsidRPr="00F25EA0">
              <w:rPr>
                <w:rFonts w:ascii="Arial Narrow" w:eastAsia="Times New Roman" w:hAnsi="Arial Narrow" w:cs="Arial"/>
                <w:b/>
                <w:bCs/>
                <w:sz w:val="18"/>
                <w:szCs w:val="18"/>
                <w:lang w:eastAsia="pt-BR"/>
              </w:rPr>
              <w:t>TOTAL</w:t>
            </w:r>
          </w:p>
        </w:tc>
        <w:tc>
          <w:tcPr>
            <w:tcW w:w="1640" w:type="dxa"/>
            <w:tcBorders>
              <w:top w:val="single" w:sz="8" w:space="0" w:color="auto"/>
              <w:left w:val="nil"/>
              <w:bottom w:val="single" w:sz="8" w:space="0" w:color="auto"/>
              <w:right w:val="single" w:sz="8" w:space="0" w:color="auto"/>
            </w:tcBorders>
            <w:shd w:val="clear" w:color="auto" w:fill="auto"/>
            <w:vAlign w:val="center"/>
            <w:hideMark/>
          </w:tcPr>
          <w:p w14:paraId="47B5E331" w14:textId="77777777" w:rsidR="003B653E" w:rsidRPr="00F25EA0" w:rsidRDefault="003B653E" w:rsidP="003B653E">
            <w:pPr>
              <w:spacing w:after="0" w:line="240" w:lineRule="auto"/>
              <w:jc w:val="center"/>
              <w:rPr>
                <w:rFonts w:ascii="Arial Narrow" w:eastAsia="Times New Roman" w:hAnsi="Arial Narrow" w:cs="Arial"/>
                <w:sz w:val="18"/>
                <w:szCs w:val="18"/>
                <w:lang w:eastAsia="pt-BR"/>
              </w:rPr>
            </w:pPr>
            <w:r w:rsidRPr="00F25EA0">
              <w:rPr>
                <w:rFonts w:ascii="Arial Narrow" w:eastAsia="Times New Roman" w:hAnsi="Arial Narrow" w:cs="Arial"/>
                <w:sz w:val="18"/>
                <w:szCs w:val="18"/>
                <w:lang w:eastAsia="pt-BR"/>
              </w:rPr>
              <w:t>RNP.C020</w:t>
            </w:r>
          </w:p>
        </w:tc>
        <w:tc>
          <w:tcPr>
            <w:tcW w:w="1903" w:type="dxa"/>
            <w:tcBorders>
              <w:top w:val="single" w:sz="8" w:space="0" w:color="auto"/>
              <w:left w:val="nil"/>
              <w:bottom w:val="single" w:sz="8" w:space="0" w:color="auto"/>
              <w:right w:val="single" w:sz="8" w:space="0" w:color="auto"/>
            </w:tcBorders>
            <w:shd w:val="clear" w:color="auto" w:fill="auto"/>
            <w:vAlign w:val="center"/>
            <w:hideMark/>
          </w:tcPr>
          <w:p w14:paraId="27D99A41" w14:textId="77777777" w:rsidR="003B653E" w:rsidRPr="00F25EA0" w:rsidRDefault="003B653E" w:rsidP="003B653E">
            <w:pPr>
              <w:spacing w:after="0" w:line="240" w:lineRule="auto"/>
              <w:jc w:val="center"/>
              <w:rPr>
                <w:rFonts w:ascii="Arial Narrow" w:eastAsia="Times New Roman" w:hAnsi="Arial Narrow" w:cs="Arial"/>
                <w:sz w:val="18"/>
                <w:szCs w:val="18"/>
                <w:lang w:eastAsia="pt-BR"/>
              </w:rPr>
            </w:pPr>
            <w:r w:rsidRPr="00F25EA0">
              <w:rPr>
                <w:rFonts w:ascii="Arial Narrow" w:eastAsia="Times New Roman" w:hAnsi="Arial Narrow" w:cs="Arial"/>
                <w:sz w:val="18"/>
                <w:szCs w:val="18"/>
                <w:lang w:eastAsia="pt-BR"/>
              </w:rPr>
              <w:t>RNP.D020</w:t>
            </w:r>
          </w:p>
        </w:tc>
        <w:tc>
          <w:tcPr>
            <w:tcW w:w="1418" w:type="dxa"/>
            <w:tcBorders>
              <w:top w:val="single" w:sz="8" w:space="0" w:color="auto"/>
              <w:left w:val="nil"/>
              <w:bottom w:val="single" w:sz="8" w:space="0" w:color="auto"/>
              <w:right w:val="single" w:sz="8" w:space="0" w:color="auto"/>
            </w:tcBorders>
            <w:shd w:val="clear" w:color="auto" w:fill="auto"/>
            <w:vAlign w:val="center"/>
            <w:hideMark/>
          </w:tcPr>
          <w:p w14:paraId="61FF8614" w14:textId="77777777" w:rsidR="003B653E" w:rsidRPr="00F25EA0" w:rsidRDefault="003B653E" w:rsidP="003B653E">
            <w:pPr>
              <w:spacing w:after="0" w:line="240" w:lineRule="auto"/>
              <w:jc w:val="center"/>
              <w:rPr>
                <w:rFonts w:ascii="Arial Narrow" w:eastAsia="Times New Roman" w:hAnsi="Arial Narrow" w:cs="Arial"/>
                <w:sz w:val="18"/>
                <w:szCs w:val="18"/>
                <w:lang w:eastAsia="pt-BR"/>
              </w:rPr>
            </w:pPr>
            <w:r w:rsidRPr="00F25EA0">
              <w:rPr>
                <w:rFonts w:ascii="Arial Narrow" w:eastAsia="Times New Roman" w:hAnsi="Arial Narrow" w:cs="Arial"/>
                <w:sz w:val="18"/>
                <w:szCs w:val="18"/>
                <w:lang w:eastAsia="pt-BR"/>
              </w:rPr>
              <w:t>RNP.E020</w:t>
            </w:r>
          </w:p>
        </w:tc>
        <w:tc>
          <w:tcPr>
            <w:tcW w:w="1535" w:type="dxa"/>
            <w:tcBorders>
              <w:top w:val="single" w:sz="8" w:space="0" w:color="auto"/>
              <w:left w:val="nil"/>
              <w:bottom w:val="single" w:sz="8" w:space="0" w:color="auto"/>
              <w:right w:val="single" w:sz="8" w:space="0" w:color="auto"/>
            </w:tcBorders>
            <w:shd w:val="clear" w:color="auto" w:fill="auto"/>
            <w:vAlign w:val="center"/>
            <w:hideMark/>
          </w:tcPr>
          <w:p w14:paraId="22C79EA2" w14:textId="77777777" w:rsidR="003B653E" w:rsidRPr="00F25EA0" w:rsidRDefault="003B653E" w:rsidP="003B653E">
            <w:pPr>
              <w:spacing w:after="0" w:line="240" w:lineRule="auto"/>
              <w:jc w:val="center"/>
              <w:rPr>
                <w:rFonts w:ascii="Arial Narrow" w:eastAsia="Times New Roman" w:hAnsi="Arial Narrow" w:cs="Arial"/>
                <w:sz w:val="18"/>
                <w:szCs w:val="18"/>
                <w:lang w:eastAsia="pt-BR"/>
              </w:rPr>
            </w:pPr>
            <w:r w:rsidRPr="00F25EA0">
              <w:rPr>
                <w:rFonts w:ascii="Arial Narrow" w:eastAsia="Times New Roman" w:hAnsi="Arial Narrow" w:cs="Arial"/>
                <w:sz w:val="18"/>
                <w:szCs w:val="18"/>
                <w:lang w:eastAsia="pt-BR"/>
              </w:rPr>
              <w:t>RNP.F020</w:t>
            </w:r>
          </w:p>
        </w:tc>
        <w:tc>
          <w:tcPr>
            <w:tcW w:w="1460" w:type="dxa"/>
            <w:tcBorders>
              <w:top w:val="single" w:sz="8" w:space="0" w:color="auto"/>
              <w:left w:val="nil"/>
              <w:bottom w:val="single" w:sz="8" w:space="0" w:color="auto"/>
              <w:right w:val="single" w:sz="8" w:space="0" w:color="auto"/>
            </w:tcBorders>
            <w:shd w:val="clear" w:color="auto" w:fill="auto"/>
            <w:vAlign w:val="center"/>
            <w:hideMark/>
          </w:tcPr>
          <w:p w14:paraId="5F1D7FDF" w14:textId="77777777" w:rsidR="003B653E" w:rsidRPr="00F25EA0" w:rsidRDefault="003B653E" w:rsidP="003B653E">
            <w:pPr>
              <w:spacing w:after="0" w:line="240" w:lineRule="auto"/>
              <w:jc w:val="center"/>
              <w:rPr>
                <w:rFonts w:ascii="Arial Narrow" w:eastAsia="Times New Roman" w:hAnsi="Arial Narrow" w:cs="Arial"/>
                <w:sz w:val="18"/>
                <w:szCs w:val="18"/>
                <w:lang w:eastAsia="pt-BR"/>
              </w:rPr>
            </w:pPr>
            <w:r w:rsidRPr="00F25EA0">
              <w:rPr>
                <w:rFonts w:ascii="Arial Narrow" w:eastAsia="Times New Roman" w:hAnsi="Arial Narrow" w:cs="Arial"/>
                <w:sz w:val="18"/>
                <w:szCs w:val="18"/>
                <w:lang w:eastAsia="pt-BR"/>
              </w:rPr>
              <w:t>RNP.G020</w:t>
            </w:r>
          </w:p>
        </w:tc>
        <w:tc>
          <w:tcPr>
            <w:tcW w:w="1854" w:type="dxa"/>
            <w:tcBorders>
              <w:top w:val="single" w:sz="8" w:space="0" w:color="auto"/>
              <w:left w:val="nil"/>
              <w:bottom w:val="single" w:sz="8" w:space="0" w:color="auto"/>
              <w:right w:val="single" w:sz="8" w:space="0" w:color="auto"/>
            </w:tcBorders>
            <w:shd w:val="clear" w:color="auto" w:fill="auto"/>
            <w:vAlign w:val="center"/>
            <w:hideMark/>
          </w:tcPr>
          <w:p w14:paraId="09BF71BF" w14:textId="77777777" w:rsidR="003B653E" w:rsidRPr="00F25EA0" w:rsidRDefault="003B653E" w:rsidP="003B653E">
            <w:pPr>
              <w:spacing w:after="0" w:line="240" w:lineRule="auto"/>
              <w:jc w:val="center"/>
              <w:rPr>
                <w:rFonts w:ascii="Arial Narrow" w:eastAsia="Times New Roman" w:hAnsi="Arial Narrow" w:cs="Arial"/>
                <w:sz w:val="18"/>
                <w:szCs w:val="18"/>
                <w:lang w:eastAsia="pt-BR"/>
              </w:rPr>
            </w:pPr>
            <w:r w:rsidRPr="00F25EA0">
              <w:rPr>
                <w:rFonts w:ascii="Arial Narrow" w:eastAsia="Times New Roman" w:hAnsi="Arial Narrow" w:cs="Arial"/>
                <w:sz w:val="18"/>
                <w:szCs w:val="18"/>
                <w:lang w:eastAsia="pt-BR"/>
              </w:rPr>
              <w:t>RNP.H020</w:t>
            </w:r>
          </w:p>
        </w:tc>
      </w:tr>
    </w:tbl>
    <w:p w14:paraId="66BDA29A" w14:textId="77777777" w:rsidR="003B653E" w:rsidRDefault="003B653E" w:rsidP="00F90AA0">
      <w:pPr>
        <w:jc w:val="both"/>
        <w:rPr>
          <w:rFonts w:ascii="Arial" w:hAnsi="Arial" w:cs="Arial"/>
        </w:rPr>
      </w:pPr>
    </w:p>
    <w:p w14:paraId="1413EDA0" w14:textId="77777777" w:rsidR="003B653E" w:rsidRPr="003B653E" w:rsidRDefault="003B653E" w:rsidP="003B653E">
      <w:pPr>
        <w:rPr>
          <w:rFonts w:ascii="Arial" w:hAnsi="Arial" w:cs="Arial"/>
          <w:b/>
        </w:rPr>
      </w:pPr>
      <w:r w:rsidRPr="003B653E">
        <w:rPr>
          <w:rFonts w:ascii="Arial" w:hAnsi="Arial" w:cs="Arial"/>
          <w:b/>
        </w:rPr>
        <w:t>Observaç</w:t>
      </w:r>
      <w:r w:rsidR="006132D3">
        <w:rPr>
          <w:rFonts w:ascii="Arial" w:hAnsi="Arial" w:cs="Arial"/>
          <w:b/>
        </w:rPr>
        <w:t>ão</w:t>
      </w:r>
      <w:r w:rsidRPr="003B653E">
        <w:rPr>
          <w:rFonts w:ascii="Arial" w:hAnsi="Arial" w:cs="Arial"/>
          <w:b/>
        </w:rPr>
        <w:t>:</w:t>
      </w:r>
    </w:p>
    <w:p w14:paraId="5B8FDA61" w14:textId="77777777" w:rsidR="003B653E" w:rsidRPr="003B653E" w:rsidRDefault="003B653E" w:rsidP="003B653E">
      <w:pPr>
        <w:rPr>
          <w:rFonts w:ascii="Arial" w:hAnsi="Arial" w:cs="Arial"/>
        </w:rPr>
      </w:pPr>
      <w:r w:rsidRPr="003B653E">
        <w:rPr>
          <w:rFonts w:ascii="Arial" w:hAnsi="Arial" w:cs="Arial"/>
        </w:rPr>
        <w:t>1) O Quadro não aceitará valores negativos.</w:t>
      </w:r>
    </w:p>
    <w:p w14:paraId="38B9B17A" w14:textId="77777777" w:rsidR="003B653E" w:rsidRDefault="003B653E" w:rsidP="00F90AA0">
      <w:pPr>
        <w:jc w:val="both"/>
        <w:rPr>
          <w:rFonts w:ascii="Arial" w:hAnsi="Arial" w:cs="Arial"/>
        </w:rPr>
      </w:pPr>
    </w:p>
    <w:p w14:paraId="46DA60EC" w14:textId="77777777" w:rsidR="007349FC" w:rsidRPr="003B653E" w:rsidRDefault="007349FC" w:rsidP="00F90AA0">
      <w:pPr>
        <w:jc w:val="both"/>
        <w:rPr>
          <w:rFonts w:ascii="Arial" w:hAnsi="Arial" w:cs="Arial"/>
        </w:rPr>
        <w:sectPr w:rsidR="007349FC" w:rsidRPr="003B653E" w:rsidSect="00E7482B">
          <w:pgSz w:w="16838" w:h="11906" w:orient="landscape"/>
          <w:pgMar w:top="1701" w:right="1417" w:bottom="1701" w:left="1417" w:header="708" w:footer="708" w:gutter="0"/>
          <w:cols w:space="708"/>
          <w:docGrid w:linePitch="360"/>
        </w:sectPr>
      </w:pPr>
    </w:p>
    <w:p w14:paraId="42C52223" w14:textId="77777777" w:rsidR="007349FC" w:rsidRDefault="007349FC" w:rsidP="007349FC">
      <w:pPr>
        <w:spacing w:line="240" w:lineRule="auto"/>
        <w:jc w:val="center"/>
        <w:rPr>
          <w:rFonts w:ascii="Arial" w:eastAsia="Times New Roman" w:hAnsi="Arial" w:cs="Arial"/>
          <w:b/>
          <w:bCs/>
          <w:sz w:val="20"/>
          <w:szCs w:val="20"/>
          <w:lang w:eastAsia="pt-BR"/>
        </w:rPr>
      </w:pPr>
    </w:p>
    <w:p w14:paraId="1FBB81D7" w14:textId="77777777" w:rsidR="00F90AA0" w:rsidRDefault="007349FC" w:rsidP="007349FC">
      <w:pPr>
        <w:spacing w:line="240" w:lineRule="auto"/>
        <w:jc w:val="center"/>
        <w:rPr>
          <w:rFonts w:ascii="Arial" w:eastAsia="Times New Roman" w:hAnsi="Arial" w:cs="Arial"/>
          <w:b/>
          <w:bCs/>
          <w:sz w:val="20"/>
          <w:szCs w:val="20"/>
          <w:lang w:eastAsia="pt-BR"/>
        </w:rPr>
      </w:pPr>
      <w:r w:rsidRPr="007349FC">
        <w:rPr>
          <w:rFonts w:ascii="Arial" w:eastAsia="Times New Roman" w:hAnsi="Arial" w:cs="Arial"/>
          <w:b/>
          <w:bCs/>
          <w:sz w:val="20"/>
          <w:szCs w:val="20"/>
          <w:lang w:eastAsia="pt-BR"/>
        </w:rPr>
        <w:t xml:space="preserve">QUADRO DA EXECUÇÃO DOS RESTOS A PAGAR </w:t>
      </w:r>
      <w:r w:rsidR="009B4D16">
        <w:rPr>
          <w:rFonts w:ascii="Arial" w:eastAsia="Times New Roman" w:hAnsi="Arial" w:cs="Arial"/>
          <w:b/>
          <w:bCs/>
          <w:sz w:val="20"/>
          <w:szCs w:val="20"/>
          <w:lang w:eastAsia="pt-BR"/>
        </w:rPr>
        <w:t>PROCESSADOS</w:t>
      </w:r>
    </w:p>
    <w:p w14:paraId="7770E8DF" w14:textId="77777777" w:rsidR="007349FC" w:rsidRDefault="007349FC" w:rsidP="007349FC">
      <w:pPr>
        <w:spacing w:line="240" w:lineRule="auto"/>
        <w:jc w:val="center"/>
        <w:rPr>
          <w:rFonts w:ascii="Arial" w:eastAsia="Times New Roman" w:hAnsi="Arial" w:cs="Arial"/>
          <w:b/>
          <w:bCs/>
          <w:sz w:val="20"/>
          <w:szCs w:val="20"/>
          <w:lang w:eastAsia="pt-BR"/>
        </w:rPr>
      </w:pPr>
    </w:p>
    <w:tbl>
      <w:tblPr>
        <w:tblW w:w="12064" w:type="dxa"/>
        <w:tblInd w:w="55" w:type="dxa"/>
        <w:tblCellMar>
          <w:left w:w="70" w:type="dxa"/>
          <w:right w:w="70" w:type="dxa"/>
        </w:tblCellMar>
        <w:tblLook w:val="04A0" w:firstRow="1" w:lastRow="0" w:firstColumn="1" w:lastColumn="0" w:noHBand="0" w:noVBand="1"/>
      </w:tblPr>
      <w:tblGrid>
        <w:gridCol w:w="3276"/>
        <w:gridCol w:w="1640"/>
        <w:gridCol w:w="2045"/>
        <w:gridCol w:w="1340"/>
        <w:gridCol w:w="1460"/>
        <w:gridCol w:w="2303"/>
      </w:tblGrid>
      <w:tr w:rsidR="007349FC" w:rsidRPr="00C57567" w14:paraId="28C908E3" w14:textId="77777777" w:rsidTr="00EE0371">
        <w:trPr>
          <w:trHeight w:val="285"/>
        </w:trPr>
        <w:tc>
          <w:tcPr>
            <w:tcW w:w="3276" w:type="dxa"/>
            <w:vMerge w:val="restart"/>
            <w:tcBorders>
              <w:top w:val="single" w:sz="6" w:space="0" w:color="auto"/>
              <w:left w:val="single" w:sz="8" w:space="0" w:color="auto"/>
              <w:bottom w:val="single" w:sz="8" w:space="0" w:color="000000"/>
              <w:right w:val="single" w:sz="8" w:space="0" w:color="auto"/>
            </w:tcBorders>
            <w:shd w:val="pct5" w:color="auto" w:fill="auto"/>
            <w:vAlign w:val="center"/>
            <w:hideMark/>
          </w:tcPr>
          <w:p w14:paraId="41A2B610" w14:textId="77777777" w:rsidR="007349FC" w:rsidRPr="00C57567" w:rsidRDefault="007349FC" w:rsidP="007349FC">
            <w:pPr>
              <w:spacing w:after="0" w:line="240" w:lineRule="auto"/>
              <w:jc w:val="center"/>
              <w:rPr>
                <w:rFonts w:ascii="Arial Narrow" w:eastAsia="Times New Roman" w:hAnsi="Arial Narrow" w:cs="Arial"/>
                <w:b/>
                <w:bCs/>
                <w:sz w:val="18"/>
                <w:szCs w:val="18"/>
                <w:u w:val="single"/>
                <w:lang w:eastAsia="pt-BR"/>
              </w:rPr>
            </w:pPr>
            <w:r w:rsidRPr="00C57567">
              <w:rPr>
                <w:rFonts w:ascii="Arial Narrow" w:eastAsia="Times New Roman" w:hAnsi="Arial Narrow" w:cs="Arial"/>
                <w:b/>
                <w:bCs/>
                <w:sz w:val="18"/>
                <w:szCs w:val="18"/>
                <w:u w:val="single"/>
                <w:lang w:eastAsia="pt-BR"/>
              </w:rPr>
              <w:t>RESTOS A PAGAR PROCESSAD</w:t>
            </w:r>
            <w:r w:rsidR="009B4D16">
              <w:rPr>
                <w:rFonts w:ascii="Arial Narrow" w:eastAsia="Times New Roman" w:hAnsi="Arial Narrow" w:cs="Arial"/>
                <w:b/>
                <w:bCs/>
                <w:sz w:val="18"/>
                <w:szCs w:val="18"/>
                <w:u w:val="single"/>
                <w:lang w:eastAsia="pt-BR"/>
              </w:rPr>
              <w:t>OS</w:t>
            </w:r>
          </w:p>
        </w:tc>
        <w:tc>
          <w:tcPr>
            <w:tcW w:w="3685" w:type="dxa"/>
            <w:gridSpan w:val="2"/>
            <w:tcBorders>
              <w:top w:val="single" w:sz="6" w:space="0" w:color="auto"/>
              <w:left w:val="nil"/>
              <w:bottom w:val="single" w:sz="8" w:space="0" w:color="auto"/>
              <w:right w:val="single" w:sz="8" w:space="0" w:color="000000"/>
            </w:tcBorders>
            <w:shd w:val="pct5" w:color="auto" w:fill="auto"/>
            <w:vAlign w:val="center"/>
            <w:hideMark/>
          </w:tcPr>
          <w:p w14:paraId="1A2F51D1" w14:textId="77777777" w:rsidR="007349FC" w:rsidRPr="00C57567" w:rsidRDefault="007349FC" w:rsidP="007349FC">
            <w:pPr>
              <w:spacing w:after="0" w:line="240" w:lineRule="auto"/>
              <w:jc w:val="center"/>
              <w:rPr>
                <w:rFonts w:ascii="Arial Narrow" w:eastAsia="Times New Roman" w:hAnsi="Arial Narrow" w:cs="Arial"/>
                <w:b/>
                <w:bCs/>
                <w:sz w:val="18"/>
                <w:szCs w:val="18"/>
                <w:lang w:eastAsia="pt-BR"/>
              </w:rPr>
            </w:pPr>
            <w:r w:rsidRPr="00C57567">
              <w:rPr>
                <w:rFonts w:ascii="Arial Narrow" w:eastAsia="Times New Roman" w:hAnsi="Arial Narrow" w:cs="Arial"/>
                <w:b/>
                <w:bCs/>
                <w:sz w:val="18"/>
                <w:szCs w:val="18"/>
                <w:lang w:eastAsia="pt-BR"/>
              </w:rPr>
              <w:t>INSCRITOS</w:t>
            </w:r>
          </w:p>
        </w:tc>
        <w:tc>
          <w:tcPr>
            <w:tcW w:w="1340" w:type="dxa"/>
            <w:vMerge w:val="restart"/>
            <w:tcBorders>
              <w:top w:val="single" w:sz="6" w:space="0" w:color="auto"/>
              <w:left w:val="single" w:sz="8" w:space="0" w:color="auto"/>
              <w:bottom w:val="single" w:sz="8" w:space="0" w:color="000000"/>
              <w:right w:val="single" w:sz="8" w:space="0" w:color="auto"/>
            </w:tcBorders>
            <w:shd w:val="pct5" w:color="auto" w:fill="auto"/>
            <w:vAlign w:val="center"/>
            <w:hideMark/>
          </w:tcPr>
          <w:p w14:paraId="246275C6" w14:textId="77777777" w:rsidR="007349FC" w:rsidRPr="00C57567" w:rsidRDefault="007349FC" w:rsidP="007349FC">
            <w:pPr>
              <w:spacing w:after="0" w:line="240" w:lineRule="auto"/>
              <w:jc w:val="center"/>
              <w:rPr>
                <w:rFonts w:ascii="Arial Narrow" w:eastAsia="Times New Roman" w:hAnsi="Arial Narrow" w:cs="Arial"/>
                <w:b/>
                <w:bCs/>
                <w:sz w:val="18"/>
                <w:szCs w:val="18"/>
                <w:lang w:eastAsia="pt-BR"/>
              </w:rPr>
            </w:pPr>
            <w:r w:rsidRPr="00C57567">
              <w:rPr>
                <w:rFonts w:ascii="Arial Narrow" w:eastAsia="Times New Roman" w:hAnsi="Arial Narrow" w:cs="Arial"/>
                <w:b/>
                <w:bCs/>
                <w:sz w:val="18"/>
                <w:szCs w:val="18"/>
                <w:lang w:eastAsia="pt-BR"/>
              </w:rPr>
              <w:t>PAGOS (c)</w:t>
            </w:r>
          </w:p>
        </w:tc>
        <w:tc>
          <w:tcPr>
            <w:tcW w:w="1460" w:type="dxa"/>
            <w:vMerge w:val="restart"/>
            <w:tcBorders>
              <w:top w:val="single" w:sz="6" w:space="0" w:color="auto"/>
              <w:left w:val="single" w:sz="8" w:space="0" w:color="auto"/>
              <w:bottom w:val="single" w:sz="8" w:space="0" w:color="000000"/>
              <w:right w:val="single" w:sz="8" w:space="0" w:color="auto"/>
            </w:tcBorders>
            <w:shd w:val="pct5" w:color="auto" w:fill="auto"/>
            <w:vAlign w:val="center"/>
            <w:hideMark/>
          </w:tcPr>
          <w:p w14:paraId="704D0544" w14:textId="77777777" w:rsidR="007349FC" w:rsidRPr="00C57567" w:rsidRDefault="007349FC" w:rsidP="007349FC">
            <w:pPr>
              <w:spacing w:after="0" w:line="240" w:lineRule="auto"/>
              <w:jc w:val="center"/>
              <w:rPr>
                <w:rFonts w:ascii="Arial Narrow" w:eastAsia="Times New Roman" w:hAnsi="Arial Narrow" w:cs="Arial"/>
                <w:b/>
                <w:bCs/>
                <w:sz w:val="18"/>
                <w:szCs w:val="18"/>
                <w:lang w:eastAsia="pt-BR"/>
              </w:rPr>
            </w:pPr>
            <w:r w:rsidRPr="00C57567">
              <w:rPr>
                <w:rFonts w:ascii="Arial Narrow" w:eastAsia="Times New Roman" w:hAnsi="Arial Narrow" w:cs="Arial"/>
                <w:b/>
                <w:bCs/>
                <w:sz w:val="18"/>
                <w:szCs w:val="18"/>
                <w:lang w:eastAsia="pt-BR"/>
              </w:rPr>
              <w:t>CANCELADOS (d)</w:t>
            </w:r>
          </w:p>
        </w:tc>
        <w:tc>
          <w:tcPr>
            <w:tcW w:w="2303" w:type="dxa"/>
            <w:tcBorders>
              <w:top w:val="single" w:sz="6" w:space="0" w:color="auto"/>
              <w:left w:val="nil"/>
              <w:bottom w:val="single" w:sz="8" w:space="0" w:color="auto"/>
              <w:right w:val="single" w:sz="8" w:space="0" w:color="auto"/>
            </w:tcBorders>
            <w:shd w:val="pct5" w:color="auto" w:fill="auto"/>
            <w:vAlign w:val="center"/>
            <w:hideMark/>
          </w:tcPr>
          <w:p w14:paraId="55D007D3" w14:textId="77777777" w:rsidR="007349FC" w:rsidRPr="00C57567" w:rsidRDefault="007349FC" w:rsidP="007349FC">
            <w:pPr>
              <w:spacing w:after="0" w:line="240" w:lineRule="auto"/>
              <w:jc w:val="center"/>
              <w:rPr>
                <w:rFonts w:ascii="Arial Narrow" w:eastAsia="Times New Roman" w:hAnsi="Arial Narrow" w:cs="Arial"/>
                <w:b/>
                <w:bCs/>
                <w:sz w:val="18"/>
                <w:szCs w:val="18"/>
                <w:lang w:eastAsia="pt-BR"/>
              </w:rPr>
            </w:pPr>
            <w:r w:rsidRPr="00C57567">
              <w:rPr>
                <w:rFonts w:ascii="Arial Narrow" w:eastAsia="Times New Roman" w:hAnsi="Arial Narrow" w:cs="Arial"/>
                <w:b/>
                <w:bCs/>
                <w:sz w:val="18"/>
                <w:szCs w:val="18"/>
                <w:lang w:eastAsia="pt-BR"/>
              </w:rPr>
              <w:t xml:space="preserve">SALDO </w:t>
            </w:r>
            <w:r w:rsidR="009B4D16">
              <w:rPr>
                <w:rFonts w:ascii="Arial Narrow" w:eastAsia="Times New Roman" w:hAnsi="Arial Narrow" w:cs="Arial"/>
                <w:b/>
                <w:bCs/>
                <w:sz w:val="18"/>
                <w:szCs w:val="18"/>
                <w:lang w:eastAsia="pt-BR"/>
              </w:rPr>
              <w:t>A PAGAR</w:t>
            </w:r>
          </w:p>
        </w:tc>
      </w:tr>
      <w:tr w:rsidR="007349FC" w:rsidRPr="00C57567" w14:paraId="43E9FB48" w14:textId="77777777" w:rsidTr="00EE0371">
        <w:trPr>
          <w:trHeight w:val="1095"/>
        </w:trPr>
        <w:tc>
          <w:tcPr>
            <w:tcW w:w="3276" w:type="dxa"/>
            <w:vMerge/>
            <w:tcBorders>
              <w:top w:val="nil"/>
              <w:left w:val="single" w:sz="8" w:space="0" w:color="auto"/>
              <w:bottom w:val="single" w:sz="8" w:space="0" w:color="000000"/>
              <w:right w:val="single" w:sz="8" w:space="0" w:color="auto"/>
            </w:tcBorders>
            <w:shd w:val="pct5" w:color="auto" w:fill="auto"/>
            <w:vAlign w:val="center"/>
            <w:hideMark/>
          </w:tcPr>
          <w:p w14:paraId="4366C122" w14:textId="77777777" w:rsidR="007349FC" w:rsidRPr="00C57567" w:rsidRDefault="007349FC" w:rsidP="007349FC">
            <w:pPr>
              <w:spacing w:after="0" w:line="240" w:lineRule="auto"/>
              <w:rPr>
                <w:rFonts w:ascii="Arial Narrow" w:eastAsia="Times New Roman" w:hAnsi="Arial Narrow" w:cs="Arial"/>
                <w:b/>
                <w:bCs/>
                <w:sz w:val="18"/>
                <w:szCs w:val="18"/>
                <w:u w:val="single"/>
                <w:lang w:eastAsia="pt-BR"/>
              </w:rPr>
            </w:pPr>
          </w:p>
        </w:tc>
        <w:tc>
          <w:tcPr>
            <w:tcW w:w="1640" w:type="dxa"/>
            <w:tcBorders>
              <w:top w:val="nil"/>
              <w:left w:val="nil"/>
              <w:bottom w:val="single" w:sz="8" w:space="0" w:color="auto"/>
              <w:right w:val="single" w:sz="8" w:space="0" w:color="auto"/>
            </w:tcBorders>
            <w:shd w:val="pct5" w:color="auto" w:fill="auto"/>
            <w:vAlign w:val="center"/>
            <w:hideMark/>
          </w:tcPr>
          <w:p w14:paraId="580C18EE" w14:textId="77777777" w:rsidR="007349FC" w:rsidRPr="00C57567" w:rsidRDefault="007349FC" w:rsidP="007349FC">
            <w:pPr>
              <w:spacing w:after="0" w:line="240" w:lineRule="auto"/>
              <w:jc w:val="center"/>
              <w:rPr>
                <w:rFonts w:ascii="Arial Narrow" w:eastAsia="Times New Roman" w:hAnsi="Arial Narrow" w:cs="Arial"/>
                <w:b/>
                <w:bCs/>
                <w:sz w:val="18"/>
                <w:szCs w:val="18"/>
                <w:lang w:eastAsia="pt-BR"/>
              </w:rPr>
            </w:pPr>
            <w:r w:rsidRPr="00C57567">
              <w:rPr>
                <w:rFonts w:ascii="Arial Narrow" w:eastAsia="Times New Roman" w:hAnsi="Arial Narrow" w:cs="Arial"/>
                <w:b/>
                <w:bCs/>
                <w:sz w:val="18"/>
                <w:szCs w:val="18"/>
                <w:lang w:eastAsia="pt-BR"/>
              </w:rPr>
              <w:t>EM EXERCÍCIOS ANTERIORES (a)</w:t>
            </w:r>
          </w:p>
        </w:tc>
        <w:tc>
          <w:tcPr>
            <w:tcW w:w="2045" w:type="dxa"/>
            <w:tcBorders>
              <w:top w:val="nil"/>
              <w:left w:val="nil"/>
              <w:bottom w:val="single" w:sz="8" w:space="0" w:color="auto"/>
              <w:right w:val="single" w:sz="8" w:space="0" w:color="auto"/>
            </w:tcBorders>
            <w:shd w:val="pct5" w:color="auto" w:fill="auto"/>
            <w:vAlign w:val="center"/>
            <w:hideMark/>
          </w:tcPr>
          <w:p w14:paraId="63254BA9" w14:textId="77777777" w:rsidR="007349FC" w:rsidRPr="00C57567" w:rsidRDefault="007349FC" w:rsidP="007349FC">
            <w:pPr>
              <w:spacing w:after="0" w:line="240" w:lineRule="auto"/>
              <w:jc w:val="center"/>
              <w:rPr>
                <w:rFonts w:ascii="Arial Narrow" w:eastAsia="Times New Roman" w:hAnsi="Arial Narrow" w:cs="Arial"/>
                <w:b/>
                <w:bCs/>
                <w:sz w:val="18"/>
                <w:szCs w:val="18"/>
                <w:lang w:eastAsia="pt-BR"/>
              </w:rPr>
            </w:pPr>
            <w:r w:rsidRPr="00C57567">
              <w:rPr>
                <w:rFonts w:ascii="Arial Narrow" w:eastAsia="Times New Roman" w:hAnsi="Arial Narrow" w:cs="Arial"/>
                <w:b/>
                <w:bCs/>
                <w:sz w:val="18"/>
                <w:szCs w:val="18"/>
                <w:lang w:eastAsia="pt-BR"/>
              </w:rPr>
              <w:t>EM 31 DE DEZEMBRO DO EXERCÍCIO ANTERIOR (b)</w:t>
            </w:r>
          </w:p>
        </w:tc>
        <w:tc>
          <w:tcPr>
            <w:tcW w:w="1340" w:type="dxa"/>
            <w:vMerge/>
            <w:tcBorders>
              <w:top w:val="nil"/>
              <w:left w:val="single" w:sz="8" w:space="0" w:color="auto"/>
              <w:bottom w:val="single" w:sz="8" w:space="0" w:color="000000"/>
              <w:right w:val="single" w:sz="8" w:space="0" w:color="auto"/>
            </w:tcBorders>
            <w:shd w:val="pct5" w:color="auto" w:fill="auto"/>
            <w:vAlign w:val="center"/>
            <w:hideMark/>
          </w:tcPr>
          <w:p w14:paraId="28D46D22" w14:textId="77777777" w:rsidR="007349FC" w:rsidRPr="00C57567" w:rsidRDefault="007349FC" w:rsidP="007349FC">
            <w:pPr>
              <w:spacing w:after="0" w:line="240" w:lineRule="auto"/>
              <w:rPr>
                <w:rFonts w:ascii="Arial Narrow" w:eastAsia="Times New Roman" w:hAnsi="Arial Narrow" w:cs="Arial"/>
                <w:b/>
                <w:bCs/>
                <w:sz w:val="18"/>
                <w:szCs w:val="18"/>
                <w:lang w:eastAsia="pt-BR"/>
              </w:rPr>
            </w:pPr>
          </w:p>
        </w:tc>
        <w:tc>
          <w:tcPr>
            <w:tcW w:w="1460" w:type="dxa"/>
            <w:vMerge/>
            <w:tcBorders>
              <w:top w:val="nil"/>
              <w:left w:val="single" w:sz="8" w:space="0" w:color="auto"/>
              <w:bottom w:val="single" w:sz="8" w:space="0" w:color="000000"/>
              <w:right w:val="single" w:sz="8" w:space="0" w:color="auto"/>
            </w:tcBorders>
            <w:shd w:val="pct5" w:color="auto" w:fill="auto"/>
            <w:vAlign w:val="center"/>
            <w:hideMark/>
          </w:tcPr>
          <w:p w14:paraId="786B89EA" w14:textId="77777777" w:rsidR="007349FC" w:rsidRPr="00C57567" w:rsidRDefault="007349FC" w:rsidP="007349FC">
            <w:pPr>
              <w:spacing w:after="0" w:line="240" w:lineRule="auto"/>
              <w:rPr>
                <w:rFonts w:ascii="Arial Narrow" w:eastAsia="Times New Roman" w:hAnsi="Arial Narrow" w:cs="Arial"/>
                <w:b/>
                <w:bCs/>
                <w:sz w:val="18"/>
                <w:szCs w:val="18"/>
                <w:lang w:eastAsia="pt-BR"/>
              </w:rPr>
            </w:pPr>
          </w:p>
        </w:tc>
        <w:tc>
          <w:tcPr>
            <w:tcW w:w="2303" w:type="dxa"/>
            <w:tcBorders>
              <w:top w:val="nil"/>
              <w:left w:val="nil"/>
              <w:bottom w:val="single" w:sz="8" w:space="0" w:color="auto"/>
              <w:right w:val="single" w:sz="8" w:space="0" w:color="auto"/>
            </w:tcBorders>
            <w:shd w:val="pct5" w:color="auto" w:fill="auto"/>
            <w:vAlign w:val="center"/>
            <w:hideMark/>
          </w:tcPr>
          <w:p w14:paraId="5096CAAC" w14:textId="77777777" w:rsidR="007349FC" w:rsidRPr="00C57567" w:rsidRDefault="007349FC" w:rsidP="007349FC">
            <w:pPr>
              <w:spacing w:after="0" w:line="240" w:lineRule="auto"/>
              <w:jc w:val="center"/>
              <w:rPr>
                <w:rFonts w:ascii="Arial Narrow" w:eastAsia="Times New Roman" w:hAnsi="Arial Narrow" w:cs="Arial"/>
                <w:b/>
                <w:bCs/>
                <w:lang w:eastAsia="pt-BR"/>
              </w:rPr>
            </w:pPr>
            <w:r w:rsidRPr="00C57567">
              <w:rPr>
                <w:rFonts w:ascii="Arial Narrow" w:eastAsia="Times New Roman" w:hAnsi="Arial Narrow" w:cs="Arial"/>
                <w:b/>
                <w:bCs/>
                <w:lang w:eastAsia="pt-BR"/>
              </w:rPr>
              <w:t>(e)=(a+b-c-d)</w:t>
            </w:r>
          </w:p>
        </w:tc>
      </w:tr>
      <w:tr w:rsidR="007349FC" w:rsidRPr="00C57567" w14:paraId="7C1CAAB0" w14:textId="77777777" w:rsidTr="00EE0371">
        <w:trPr>
          <w:trHeight w:val="285"/>
        </w:trPr>
        <w:tc>
          <w:tcPr>
            <w:tcW w:w="3276" w:type="dxa"/>
            <w:tcBorders>
              <w:top w:val="nil"/>
              <w:left w:val="single" w:sz="8" w:space="0" w:color="auto"/>
              <w:bottom w:val="nil"/>
              <w:right w:val="single" w:sz="8" w:space="0" w:color="auto"/>
            </w:tcBorders>
            <w:shd w:val="clear" w:color="auto" w:fill="auto"/>
            <w:vAlign w:val="center"/>
            <w:hideMark/>
          </w:tcPr>
          <w:p w14:paraId="0259C7FC" w14:textId="77777777" w:rsidR="007349FC" w:rsidRPr="00C57567" w:rsidRDefault="007349FC" w:rsidP="007349FC">
            <w:pPr>
              <w:spacing w:after="0" w:line="240" w:lineRule="auto"/>
              <w:rPr>
                <w:rFonts w:ascii="Arial Narrow" w:eastAsia="Times New Roman" w:hAnsi="Arial Narrow" w:cs="Arial"/>
                <w:sz w:val="18"/>
                <w:szCs w:val="18"/>
                <w:lang w:eastAsia="pt-BR"/>
              </w:rPr>
            </w:pPr>
            <w:r w:rsidRPr="00C57567">
              <w:rPr>
                <w:rFonts w:ascii="Arial Narrow" w:eastAsia="Times New Roman" w:hAnsi="Arial Narrow" w:cs="Arial"/>
                <w:sz w:val="18"/>
                <w:szCs w:val="18"/>
                <w:lang w:eastAsia="pt-BR"/>
              </w:rPr>
              <w:t> </w:t>
            </w:r>
          </w:p>
        </w:tc>
        <w:tc>
          <w:tcPr>
            <w:tcW w:w="1640" w:type="dxa"/>
            <w:tcBorders>
              <w:top w:val="nil"/>
              <w:left w:val="nil"/>
              <w:bottom w:val="nil"/>
              <w:right w:val="single" w:sz="8" w:space="0" w:color="auto"/>
            </w:tcBorders>
            <w:shd w:val="clear" w:color="auto" w:fill="auto"/>
            <w:vAlign w:val="center"/>
            <w:hideMark/>
          </w:tcPr>
          <w:p w14:paraId="4959C552" w14:textId="77777777" w:rsidR="007349FC" w:rsidRPr="00C57567" w:rsidRDefault="007349FC" w:rsidP="007349FC">
            <w:pPr>
              <w:spacing w:after="0" w:line="240" w:lineRule="auto"/>
              <w:rPr>
                <w:rFonts w:ascii="Arial Narrow" w:eastAsia="Times New Roman" w:hAnsi="Arial Narrow" w:cs="Arial"/>
                <w:sz w:val="18"/>
                <w:szCs w:val="18"/>
                <w:lang w:eastAsia="pt-BR"/>
              </w:rPr>
            </w:pPr>
            <w:r w:rsidRPr="00C57567">
              <w:rPr>
                <w:rFonts w:ascii="Arial Narrow" w:eastAsia="Times New Roman" w:hAnsi="Arial Narrow" w:cs="Arial"/>
                <w:sz w:val="18"/>
                <w:szCs w:val="18"/>
                <w:lang w:eastAsia="pt-BR"/>
              </w:rPr>
              <w:t> </w:t>
            </w:r>
          </w:p>
        </w:tc>
        <w:tc>
          <w:tcPr>
            <w:tcW w:w="2045" w:type="dxa"/>
            <w:tcBorders>
              <w:top w:val="nil"/>
              <w:left w:val="nil"/>
              <w:bottom w:val="nil"/>
              <w:right w:val="single" w:sz="8" w:space="0" w:color="auto"/>
            </w:tcBorders>
            <w:shd w:val="clear" w:color="auto" w:fill="auto"/>
            <w:vAlign w:val="center"/>
            <w:hideMark/>
          </w:tcPr>
          <w:p w14:paraId="13F3AC2B" w14:textId="77777777" w:rsidR="007349FC" w:rsidRPr="00C57567" w:rsidRDefault="007349FC" w:rsidP="007349FC">
            <w:pPr>
              <w:spacing w:after="0" w:line="240" w:lineRule="auto"/>
              <w:rPr>
                <w:rFonts w:ascii="Arial Narrow" w:eastAsia="Times New Roman" w:hAnsi="Arial Narrow" w:cs="Arial"/>
                <w:sz w:val="18"/>
                <w:szCs w:val="18"/>
                <w:lang w:eastAsia="pt-BR"/>
              </w:rPr>
            </w:pPr>
            <w:r w:rsidRPr="00C57567">
              <w:rPr>
                <w:rFonts w:ascii="Arial Narrow" w:eastAsia="Times New Roman" w:hAnsi="Arial Narrow" w:cs="Arial"/>
                <w:sz w:val="18"/>
                <w:szCs w:val="18"/>
                <w:lang w:eastAsia="pt-BR"/>
              </w:rPr>
              <w:t> </w:t>
            </w:r>
          </w:p>
        </w:tc>
        <w:tc>
          <w:tcPr>
            <w:tcW w:w="1340" w:type="dxa"/>
            <w:tcBorders>
              <w:top w:val="nil"/>
              <w:left w:val="nil"/>
              <w:bottom w:val="nil"/>
              <w:right w:val="single" w:sz="8" w:space="0" w:color="auto"/>
            </w:tcBorders>
            <w:shd w:val="clear" w:color="auto" w:fill="auto"/>
            <w:vAlign w:val="center"/>
            <w:hideMark/>
          </w:tcPr>
          <w:p w14:paraId="06209BC8" w14:textId="77777777" w:rsidR="007349FC" w:rsidRPr="00C57567" w:rsidRDefault="007349FC" w:rsidP="007349FC">
            <w:pPr>
              <w:spacing w:after="0" w:line="240" w:lineRule="auto"/>
              <w:rPr>
                <w:rFonts w:ascii="Arial Narrow" w:eastAsia="Times New Roman" w:hAnsi="Arial Narrow" w:cs="Arial"/>
                <w:sz w:val="18"/>
                <w:szCs w:val="18"/>
                <w:lang w:eastAsia="pt-BR"/>
              </w:rPr>
            </w:pPr>
            <w:r w:rsidRPr="00C57567">
              <w:rPr>
                <w:rFonts w:ascii="Arial Narrow" w:eastAsia="Times New Roman" w:hAnsi="Arial Narrow" w:cs="Arial"/>
                <w:sz w:val="18"/>
                <w:szCs w:val="18"/>
                <w:lang w:eastAsia="pt-BR"/>
              </w:rPr>
              <w:t> </w:t>
            </w:r>
          </w:p>
        </w:tc>
        <w:tc>
          <w:tcPr>
            <w:tcW w:w="1460" w:type="dxa"/>
            <w:tcBorders>
              <w:top w:val="nil"/>
              <w:left w:val="nil"/>
              <w:bottom w:val="nil"/>
              <w:right w:val="single" w:sz="8" w:space="0" w:color="auto"/>
            </w:tcBorders>
            <w:shd w:val="clear" w:color="auto" w:fill="auto"/>
            <w:vAlign w:val="center"/>
            <w:hideMark/>
          </w:tcPr>
          <w:p w14:paraId="2C04F6F0" w14:textId="77777777" w:rsidR="007349FC" w:rsidRPr="00C57567" w:rsidRDefault="007349FC" w:rsidP="007349FC">
            <w:pPr>
              <w:spacing w:after="0" w:line="240" w:lineRule="auto"/>
              <w:rPr>
                <w:rFonts w:ascii="Arial Narrow" w:eastAsia="Times New Roman" w:hAnsi="Arial Narrow" w:cs="Arial"/>
                <w:sz w:val="18"/>
                <w:szCs w:val="18"/>
                <w:lang w:eastAsia="pt-BR"/>
              </w:rPr>
            </w:pPr>
            <w:r w:rsidRPr="00C57567">
              <w:rPr>
                <w:rFonts w:ascii="Arial Narrow" w:eastAsia="Times New Roman" w:hAnsi="Arial Narrow" w:cs="Arial"/>
                <w:sz w:val="18"/>
                <w:szCs w:val="18"/>
                <w:lang w:eastAsia="pt-BR"/>
              </w:rPr>
              <w:t> </w:t>
            </w:r>
          </w:p>
        </w:tc>
        <w:tc>
          <w:tcPr>
            <w:tcW w:w="2303" w:type="dxa"/>
            <w:tcBorders>
              <w:top w:val="nil"/>
              <w:left w:val="nil"/>
              <w:bottom w:val="nil"/>
              <w:right w:val="single" w:sz="8" w:space="0" w:color="auto"/>
            </w:tcBorders>
            <w:shd w:val="clear" w:color="auto" w:fill="auto"/>
            <w:vAlign w:val="center"/>
            <w:hideMark/>
          </w:tcPr>
          <w:p w14:paraId="55822044" w14:textId="77777777" w:rsidR="007349FC" w:rsidRPr="00C57567" w:rsidRDefault="007349FC" w:rsidP="007349FC">
            <w:pPr>
              <w:spacing w:after="0" w:line="240" w:lineRule="auto"/>
              <w:rPr>
                <w:rFonts w:ascii="Arial Narrow" w:eastAsia="Times New Roman" w:hAnsi="Arial Narrow" w:cs="Arial"/>
                <w:sz w:val="18"/>
                <w:szCs w:val="18"/>
                <w:lang w:eastAsia="pt-BR"/>
              </w:rPr>
            </w:pPr>
            <w:r w:rsidRPr="00C57567">
              <w:rPr>
                <w:rFonts w:ascii="Arial Narrow" w:eastAsia="Times New Roman" w:hAnsi="Arial Narrow" w:cs="Arial"/>
                <w:sz w:val="18"/>
                <w:szCs w:val="18"/>
                <w:lang w:eastAsia="pt-BR"/>
              </w:rPr>
              <w:t> </w:t>
            </w:r>
          </w:p>
        </w:tc>
      </w:tr>
      <w:tr w:rsidR="007349FC" w:rsidRPr="00C57567" w14:paraId="062B4107" w14:textId="77777777" w:rsidTr="00EE0371">
        <w:trPr>
          <w:trHeight w:val="285"/>
        </w:trPr>
        <w:tc>
          <w:tcPr>
            <w:tcW w:w="3276" w:type="dxa"/>
            <w:tcBorders>
              <w:top w:val="nil"/>
              <w:left w:val="single" w:sz="8" w:space="0" w:color="auto"/>
              <w:bottom w:val="nil"/>
              <w:right w:val="single" w:sz="8" w:space="0" w:color="auto"/>
            </w:tcBorders>
            <w:shd w:val="clear" w:color="auto" w:fill="auto"/>
            <w:vAlign w:val="center"/>
            <w:hideMark/>
          </w:tcPr>
          <w:p w14:paraId="72CD27E8" w14:textId="77777777" w:rsidR="007349FC" w:rsidRPr="00C57567" w:rsidRDefault="007349FC" w:rsidP="007349FC">
            <w:pPr>
              <w:spacing w:after="0" w:line="240" w:lineRule="auto"/>
              <w:rPr>
                <w:rFonts w:ascii="Arial Narrow" w:eastAsia="Times New Roman" w:hAnsi="Arial Narrow" w:cs="Arial"/>
                <w:b/>
                <w:bCs/>
                <w:sz w:val="18"/>
                <w:szCs w:val="18"/>
                <w:lang w:eastAsia="pt-BR"/>
              </w:rPr>
            </w:pPr>
            <w:r w:rsidRPr="00C57567">
              <w:rPr>
                <w:rFonts w:ascii="Arial Narrow" w:eastAsia="Times New Roman" w:hAnsi="Arial Narrow" w:cs="Arial"/>
                <w:b/>
                <w:bCs/>
                <w:sz w:val="18"/>
                <w:szCs w:val="18"/>
                <w:lang w:eastAsia="pt-BR"/>
              </w:rPr>
              <w:t>DESPESAS CORRENTES</w:t>
            </w:r>
          </w:p>
        </w:tc>
        <w:tc>
          <w:tcPr>
            <w:tcW w:w="1640" w:type="dxa"/>
            <w:tcBorders>
              <w:top w:val="nil"/>
              <w:left w:val="nil"/>
              <w:bottom w:val="nil"/>
              <w:right w:val="single" w:sz="8" w:space="0" w:color="auto"/>
            </w:tcBorders>
            <w:shd w:val="clear" w:color="auto" w:fill="auto"/>
            <w:vAlign w:val="center"/>
            <w:hideMark/>
          </w:tcPr>
          <w:p w14:paraId="4380E6CB" w14:textId="77777777" w:rsidR="007349FC" w:rsidRPr="00C57567" w:rsidRDefault="007349FC" w:rsidP="007349FC">
            <w:pPr>
              <w:spacing w:after="0" w:line="240" w:lineRule="auto"/>
              <w:jc w:val="center"/>
              <w:rPr>
                <w:rFonts w:ascii="Arial Narrow" w:eastAsia="Times New Roman" w:hAnsi="Arial Narrow" w:cs="Arial"/>
                <w:b/>
                <w:bCs/>
                <w:sz w:val="18"/>
                <w:szCs w:val="18"/>
                <w:lang w:eastAsia="pt-BR"/>
              </w:rPr>
            </w:pPr>
            <w:r w:rsidRPr="00C57567">
              <w:rPr>
                <w:rFonts w:ascii="Arial Narrow" w:eastAsia="Times New Roman" w:hAnsi="Arial Narrow" w:cs="Arial"/>
                <w:b/>
                <w:bCs/>
                <w:sz w:val="18"/>
                <w:szCs w:val="18"/>
                <w:lang w:eastAsia="pt-BR"/>
              </w:rPr>
              <w:t>RPP.C010</w:t>
            </w:r>
          </w:p>
        </w:tc>
        <w:tc>
          <w:tcPr>
            <w:tcW w:w="2045" w:type="dxa"/>
            <w:tcBorders>
              <w:top w:val="nil"/>
              <w:left w:val="nil"/>
              <w:bottom w:val="nil"/>
              <w:right w:val="single" w:sz="8" w:space="0" w:color="auto"/>
            </w:tcBorders>
            <w:shd w:val="clear" w:color="auto" w:fill="auto"/>
            <w:vAlign w:val="center"/>
            <w:hideMark/>
          </w:tcPr>
          <w:p w14:paraId="4322C8CC" w14:textId="77777777" w:rsidR="007349FC" w:rsidRPr="00C57567" w:rsidRDefault="007349FC" w:rsidP="007349FC">
            <w:pPr>
              <w:spacing w:after="0" w:line="240" w:lineRule="auto"/>
              <w:jc w:val="center"/>
              <w:rPr>
                <w:rFonts w:ascii="Arial Narrow" w:eastAsia="Times New Roman" w:hAnsi="Arial Narrow" w:cs="Arial"/>
                <w:b/>
                <w:bCs/>
                <w:sz w:val="18"/>
                <w:szCs w:val="18"/>
                <w:lang w:eastAsia="pt-BR"/>
              </w:rPr>
            </w:pPr>
            <w:r w:rsidRPr="00C57567">
              <w:rPr>
                <w:rFonts w:ascii="Arial Narrow" w:eastAsia="Times New Roman" w:hAnsi="Arial Narrow" w:cs="Arial"/>
                <w:b/>
                <w:bCs/>
                <w:sz w:val="18"/>
                <w:szCs w:val="18"/>
                <w:lang w:eastAsia="pt-BR"/>
              </w:rPr>
              <w:t>RPP.D010</w:t>
            </w:r>
          </w:p>
        </w:tc>
        <w:tc>
          <w:tcPr>
            <w:tcW w:w="1340" w:type="dxa"/>
            <w:tcBorders>
              <w:top w:val="nil"/>
              <w:left w:val="nil"/>
              <w:bottom w:val="nil"/>
              <w:right w:val="single" w:sz="8" w:space="0" w:color="auto"/>
            </w:tcBorders>
            <w:shd w:val="clear" w:color="auto" w:fill="auto"/>
            <w:vAlign w:val="center"/>
            <w:hideMark/>
          </w:tcPr>
          <w:p w14:paraId="287E05CA" w14:textId="77777777" w:rsidR="007349FC" w:rsidRPr="00C57567" w:rsidRDefault="007349FC" w:rsidP="007349FC">
            <w:pPr>
              <w:spacing w:after="0" w:line="240" w:lineRule="auto"/>
              <w:jc w:val="center"/>
              <w:rPr>
                <w:rFonts w:ascii="Arial Narrow" w:eastAsia="Times New Roman" w:hAnsi="Arial Narrow" w:cs="Arial"/>
                <w:b/>
                <w:bCs/>
                <w:sz w:val="18"/>
                <w:szCs w:val="18"/>
                <w:lang w:eastAsia="pt-BR"/>
              </w:rPr>
            </w:pPr>
            <w:r w:rsidRPr="00C57567">
              <w:rPr>
                <w:rFonts w:ascii="Arial Narrow" w:eastAsia="Times New Roman" w:hAnsi="Arial Narrow" w:cs="Arial"/>
                <w:b/>
                <w:bCs/>
                <w:sz w:val="18"/>
                <w:szCs w:val="18"/>
                <w:lang w:eastAsia="pt-BR"/>
              </w:rPr>
              <w:t>RPP.E010</w:t>
            </w:r>
          </w:p>
        </w:tc>
        <w:tc>
          <w:tcPr>
            <w:tcW w:w="1460" w:type="dxa"/>
            <w:tcBorders>
              <w:top w:val="nil"/>
              <w:left w:val="nil"/>
              <w:bottom w:val="nil"/>
              <w:right w:val="single" w:sz="8" w:space="0" w:color="auto"/>
            </w:tcBorders>
            <w:shd w:val="clear" w:color="auto" w:fill="auto"/>
            <w:vAlign w:val="center"/>
            <w:hideMark/>
          </w:tcPr>
          <w:p w14:paraId="05B0DB65" w14:textId="77777777" w:rsidR="007349FC" w:rsidRPr="00C57567" w:rsidRDefault="007349FC" w:rsidP="007349FC">
            <w:pPr>
              <w:spacing w:after="0" w:line="240" w:lineRule="auto"/>
              <w:jc w:val="center"/>
              <w:rPr>
                <w:rFonts w:ascii="Arial Narrow" w:eastAsia="Times New Roman" w:hAnsi="Arial Narrow" w:cs="Arial"/>
                <w:b/>
                <w:bCs/>
                <w:sz w:val="18"/>
                <w:szCs w:val="18"/>
                <w:lang w:eastAsia="pt-BR"/>
              </w:rPr>
            </w:pPr>
            <w:r w:rsidRPr="00C57567">
              <w:rPr>
                <w:rFonts w:ascii="Arial Narrow" w:eastAsia="Times New Roman" w:hAnsi="Arial Narrow" w:cs="Arial"/>
                <w:b/>
                <w:bCs/>
                <w:sz w:val="18"/>
                <w:szCs w:val="18"/>
                <w:lang w:eastAsia="pt-BR"/>
              </w:rPr>
              <w:t>RPP.F010</w:t>
            </w:r>
          </w:p>
        </w:tc>
        <w:tc>
          <w:tcPr>
            <w:tcW w:w="2303" w:type="dxa"/>
            <w:tcBorders>
              <w:top w:val="nil"/>
              <w:left w:val="nil"/>
              <w:bottom w:val="nil"/>
              <w:right w:val="single" w:sz="8" w:space="0" w:color="auto"/>
            </w:tcBorders>
            <w:shd w:val="clear" w:color="auto" w:fill="auto"/>
            <w:vAlign w:val="center"/>
            <w:hideMark/>
          </w:tcPr>
          <w:p w14:paraId="6CDD7054" w14:textId="77777777" w:rsidR="007349FC" w:rsidRPr="00C57567" w:rsidRDefault="007349FC" w:rsidP="007349FC">
            <w:pPr>
              <w:spacing w:after="0" w:line="240" w:lineRule="auto"/>
              <w:jc w:val="center"/>
              <w:rPr>
                <w:rFonts w:ascii="Arial Narrow" w:eastAsia="Times New Roman" w:hAnsi="Arial Narrow" w:cs="Arial"/>
                <w:b/>
                <w:bCs/>
                <w:sz w:val="18"/>
                <w:szCs w:val="18"/>
                <w:lang w:eastAsia="pt-BR"/>
              </w:rPr>
            </w:pPr>
            <w:r w:rsidRPr="00C57567">
              <w:rPr>
                <w:rFonts w:ascii="Arial Narrow" w:eastAsia="Times New Roman" w:hAnsi="Arial Narrow" w:cs="Arial"/>
                <w:b/>
                <w:bCs/>
                <w:sz w:val="18"/>
                <w:szCs w:val="18"/>
                <w:lang w:eastAsia="pt-BR"/>
              </w:rPr>
              <w:t>RPP.G010</w:t>
            </w:r>
          </w:p>
        </w:tc>
      </w:tr>
      <w:tr w:rsidR="007349FC" w:rsidRPr="00C57567" w14:paraId="3CBD2C80" w14:textId="77777777" w:rsidTr="00EE0371">
        <w:trPr>
          <w:trHeight w:val="285"/>
        </w:trPr>
        <w:tc>
          <w:tcPr>
            <w:tcW w:w="3276" w:type="dxa"/>
            <w:tcBorders>
              <w:top w:val="nil"/>
              <w:left w:val="single" w:sz="8" w:space="0" w:color="auto"/>
              <w:bottom w:val="nil"/>
              <w:right w:val="nil"/>
            </w:tcBorders>
            <w:shd w:val="clear" w:color="auto" w:fill="auto"/>
            <w:vAlign w:val="center"/>
            <w:hideMark/>
          </w:tcPr>
          <w:p w14:paraId="446A5C6B" w14:textId="77777777" w:rsidR="007349FC" w:rsidRPr="00C57567" w:rsidRDefault="007349FC" w:rsidP="007349FC">
            <w:pPr>
              <w:spacing w:after="0" w:line="240" w:lineRule="auto"/>
              <w:ind w:firstLineChars="100" w:firstLine="180"/>
              <w:rPr>
                <w:rFonts w:ascii="Arial Narrow" w:eastAsia="Times New Roman" w:hAnsi="Arial Narrow" w:cs="Arial"/>
                <w:sz w:val="18"/>
                <w:szCs w:val="18"/>
                <w:lang w:eastAsia="pt-BR"/>
              </w:rPr>
            </w:pPr>
            <w:r w:rsidRPr="00C57567">
              <w:rPr>
                <w:rFonts w:ascii="Arial Narrow" w:eastAsia="Times New Roman" w:hAnsi="Arial Narrow" w:cs="Arial"/>
                <w:sz w:val="18"/>
                <w:szCs w:val="18"/>
                <w:lang w:eastAsia="pt-BR"/>
              </w:rPr>
              <w:t>Pessoal e Encargos Sociais</w:t>
            </w:r>
          </w:p>
        </w:tc>
        <w:tc>
          <w:tcPr>
            <w:tcW w:w="1640" w:type="dxa"/>
            <w:tcBorders>
              <w:top w:val="nil"/>
              <w:left w:val="single" w:sz="8" w:space="0" w:color="auto"/>
              <w:bottom w:val="nil"/>
              <w:right w:val="single" w:sz="8" w:space="0" w:color="auto"/>
            </w:tcBorders>
            <w:shd w:val="clear" w:color="auto" w:fill="auto"/>
            <w:vAlign w:val="center"/>
            <w:hideMark/>
          </w:tcPr>
          <w:p w14:paraId="3F685B86" w14:textId="77777777" w:rsidR="007349FC" w:rsidRPr="00C57567" w:rsidRDefault="007349FC" w:rsidP="007349FC">
            <w:pPr>
              <w:spacing w:after="0" w:line="240" w:lineRule="auto"/>
              <w:jc w:val="center"/>
              <w:rPr>
                <w:rFonts w:ascii="Arial Narrow" w:eastAsia="Times New Roman" w:hAnsi="Arial Narrow" w:cs="Arial"/>
                <w:sz w:val="18"/>
                <w:szCs w:val="18"/>
                <w:lang w:eastAsia="pt-BR"/>
              </w:rPr>
            </w:pPr>
            <w:r w:rsidRPr="00C57567">
              <w:rPr>
                <w:rFonts w:ascii="Arial Narrow" w:eastAsia="Times New Roman" w:hAnsi="Arial Narrow" w:cs="Arial"/>
                <w:sz w:val="18"/>
                <w:szCs w:val="18"/>
                <w:lang w:eastAsia="pt-BR"/>
              </w:rPr>
              <w:t>RPP.C011</w:t>
            </w:r>
          </w:p>
        </w:tc>
        <w:tc>
          <w:tcPr>
            <w:tcW w:w="2045" w:type="dxa"/>
            <w:tcBorders>
              <w:top w:val="nil"/>
              <w:left w:val="nil"/>
              <w:bottom w:val="nil"/>
              <w:right w:val="single" w:sz="8" w:space="0" w:color="auto"/>
            </w:tcBorders>
            <w:shd w:val="clear" w:color="auto" w:fill="auto"/>
            <w:vAlign w:val="center"/>
            <w:hideMark/>
          </w:tcPr>
          <w:p w14:paraId="218BF7AD" w14:textId="77777777" w:rsidR="007349FC" w:rsidRPr="00C57567" w:rsidRDefault="007349FC" w:rsidP="007349FC">
            <w:pPr>
              <w:spacing w:after="0" w:line="240" w:lineRule="auto"/>
              <w:jc w:val="center"/>
              <w:rPr>
                <w:rFonts w:ascii="Arial Narrow" w:eastAsia="Times New Roman" w:hAnsi="Arial Narrow" w:cs="Arial"/>
                <w:sz w:val="18"/>
                <w:szCs w:val="18"/>
                <w:lang w:eastAsia="pt-BR"/>
              </w:rPr>
            </w:pPr>
            <w:r w:rsidRPr="00C57567">
              <w:rPr>
                <w:rFonts w:ascii="Arial Narrow" w:eastAsia="Times New Roman" w:hAnsi="Arial Narrow" w:cs="Arial"/>
                <w:sz w:val="18"/>
                <w:szCs w:val="18"/>
                <w:lang w:eastAsia="pt-BR"/>
              </w:rPr>
              <w:t>RPP.D011</w:t>
            </w:r>
          </w:p>
        </w:tc>
        <w:tc>
          <w:tcPr>
            <w:tcW w:w="1340" w:type="dxa"/>
            <w:tcBorders>
              <w:top w:val="nil"/>
              <w:left w:val="nil"/>
              <w:bottom w:val="nil"/>
              <w:right w:val="single" w:sz="8" w:space="0" w:color="auto"/>
            </w:tcBorders>
            <w:shd w:val="clear" w:color="auto" w:fill="auto"/>
            <w:vAlign w:val="center"/>
            <w:hideMark/>
          </w:tcPr>
          <w:p w14:paraId="11A97314" w14:textId="77777777" w:rsidR="007349FC" w:rsidRPr="00C57567" w:rsidRDefault="007349FC" w:rsidP="007349FC">
            <w:pPr>
              <w:spacing w:after="0" w:line="240" w:lineRule="auto"/>
              <w:jc w:val="center"/>
              <w:rPr>
                <w:rFonts w:ascii="Arial Narrow" w:eastAsia="Times New Roman" w:hAnsi="Arial Narrow" w:cs="Arial"/>
                <w:sz w:val="18"/>
                <w:szCs w:val="18"/>
                <w:lang w:eastAsia="pt-BR"/>
              </w:rPr>
            </w:pPr>
            <w:r w:rsidRPr="00C57567">
              <w:rPr>
                <w:rFonts w:ascii="Arial Narrow" w:eastAsia="Times New Roman" w:hAnsi="Arial Narrow" w:cs="Arial"/>
                <w:sz w:val="18"/>
                <w:szCs w:val="18"/>
                <w:lang w:eastAsia="pt-BR"/>
              </w:rPr>
              <w:t>RPP.E011</w:t>
            </w:r>
          </w:p>
        </w:tc>
        <w:tc>
          <w:tcPr>
            <w:tcW w:w="1460" w:type="dxa"/>
            <w:tcBorders>
              <w:top w:val="nil"/>
              <w:left w:val="nil"/>
              <w:bottom w:val="nil"/>
              <w:right w:val="single" w:sz="8" w:space="0" w:color="auto"/>
            </w:tcBorders>
            <w:shd w:val="clear" w:color="auto" w:fill="auto"/>
            <w:vAlign w:val="center"/>
            <w:hideMark/>
          </w:tcPr>
          <w:p w14:paraId="2CB087D4" w14:textId="77777777" w:rsidR="007349FC" w:rsidRPr="00C57567" w:rsidRDefault="007349FC" w:rsidP="007349FC">
            <w:pPr>
              <w:spacing w:after="0" w:line="240" w:lineRule="auto"/>
              <w:jc w:val="center"/>
              <w:rPr>
                <w:rFonts w:ascii="Arial Narrow" w:eastAsia="Times New Roman" w:hAnsi="Arial Narrow" w:cs="Arial"/>
                <w:sz w:val="18"/>
                <w:szCs w:val="18"/>
                <w:lang w:eastAsia="pt-BR"/>
              </w:rPr>
            </w:pPr>
            <w:r w:rsidRPr="00C57567">
              <w:rPr>
                <w:rFonts w:ascii="Arial Narrow" w:eastAsia="Times New Roman" w:hAnsi="Arial Narrow" w:cs="Arial"/>
                <w:sz w:val="18"/>
                <w:szCs w:val="18"/>
                <w:lang w:eastAsia="pt-BR"/>
              </w:rPr>
              <w:t>RPP.F011</w:t>
            </w:r>
          </w:p>
        </w:tc>
        <w:tc>
          <w:tcPr>
            <w:tcW w:w="2303" w:type="dxa"/>
            <w:tcBorders>
              <w:top w:val="nil"/>
              <w:left w:val="nil"/>
              <w:bottom w:val="nil"/>
              <w:right w:val="single" w:sz="8" w:space="0" w:color="auto"/>
            </w:tcBorders>
            <w:shd w:val="clear" w:color="auto" w:fill="auto"/>
            <w:vAlign w:val="center"/>
            <w:hideMark/>
          </w:tcPr>
          <w:p w14:paraId="0B57A763" w14:textId="77777777" w:rsidR="007349FC" w:rsidRPr="00C57567" w:rsidRDefault="007349FC" w:rsidP="007349FC">
            <w:pPr>
              <w:spacing w:after="0" w:line="240" w:lineRule="auto"/>
              <w:jc w:val="center"/>
              <w:rPr>
                <w:rFonts w:ascii="Arial Narrow" w:eastAsia="Times New Roman" w:hAnsi="Arial Narrow" w:cs="Arial"/>
                <w:sz w:val="18"/>
                <w:szCs w:val="18"/>
                <w:lang w:eastAsia="pt-BR"/>
              </w:rPr>
            </w:pPr>
            <w:r w:rsidRPr="00C57567">
              <w:rPr>
                <w:rFonts w:ascii="Arial Narrow" w:eastAsia="Times New Roman" w:hAnsi="Arial Narrow" w:cs="Arial"/>
                <w:sz w:val="18"/>
                <w:szCs w:val="18"/>
                <w:lang w:eastAsia="pt-BR"/>
              </w:rPr>
              <w:t>RPP.G011</w:t>
            </w:r>
          </w:p>
        </w:tc>
      </w:tr>
      <w:tr w:rsidR="007349FC" w:rsidRPr="00C57567" w14:paraId="63F00996" w14:textId="77777777" w:rsidTr="00EE0371">
        <w:trPr>
          <w:trHeight w:val="285"/>
        </w:trPr>
        <w:tc>
          <w:tcPr>
            <w:tcW w:w="3276" w:type="dxa"/>
            <w:tcBorders>
              <w:top w:val="nil"/>
              <w:left w:val="single" w:sz="8" w:space="0" w:color="auto"/>
              <w:bottom w:val="nil"/>
              <w:right w:val="nil"/>
            </w:tcBorders>
            <w:shd w:val="clear" w:color="auto" w:fill="auto"/>
            <w:vAlign w:val="center"/>
            <w:hideMark/>
          </w:tcPr>
          <w:p w14:paraId="4060F26E" w14:textId="77777777" w:rsidR="007349FC" w:rsidRPr="00C57567" w:rsidRDefault="007349FC" w:rsidP="007349FC">
            <w:pPr>
              <w:spacing w:after="0" w:line="240" w:lineRule="auto"/>
              <w:ind w:firstLineChars="100" w:firstLine="180"/>
              <w:rPr>
                <w:rFonts w:ascii="Arial Narrow" w:eastAsia="Times New Roman" w:hAnsi="Arial Narrow" w:cs="Arial"/>
                <w:sz w:val="18"/>
                <w:szCs w:val="18"/>
                <w:lang w:eastAsia="pt-BR"/>
              </w:rPr>
            </w:pPr>
            <w:r w:rsidRPr="00C57567">
              <w:rPr>
                <w:rFonts w:ascii="Arial Narrow" w:eastAsia="Times New Roman" w:hAnsi="Arial Narrow" w:cs="Arial"/>
                <w:sz w:val="18"/>
                <w:szCs w:val="18"/>
                <w:lang w:eastAsia="pt-BR"/>
              </w:rPr>
              <w:t>Juros e Encargos da Dívida</w:t>
            </w:r>
          </w:p>
        </w:tc>
        <w:tc>
          <w:tcPr>
            <w:tcW w:w="1640" w:type="dxa"/>
            <w:tcBorders>
              <w:top w:val="nil"/>
              <w:left w:val="single" w:sz="8" w:space="0" w:color="auto"/>
              <w:bottom w:val="nil"/>
              <w:right w:val="single" w:sz="8" w:space="0" w:color="auto"/>
            </w:tcBorders>
            <w:shd w:val="clear" w:color="auto" w:fill="auto"/>
            <w:vAlign w:val="center"/>
            <w:hideMark/>
          </w:tcPr>
          <w:p w14:paraId="62414E2F" w14:textId="77777777" w:rsidR="007349FC" w:rsidRPr="00C57567" w:rsidRDefault="007349FC" w:rsidP="007349FC">
            <w:pPr>
              <w:spacing w:after="0" w:line="240" w:lineRule="auto"/>
              <w:jc w:val="center"/>
              <w:rPr>
                <w:rFonts w:ascii="Arial Narrow" w:eastAsia="Times New Roman" w:hAnsi="Arial Narrow" w:cs="Arial"/>
                <w:sz w:val="18"/>
                <w:szCs w:val="18"/>
                <w:lang w:eastAsia="pt-BR"/>
              </w:rPr>
            </w:pPr>
            <w:r w:rsidRPr="00C57567">
              <w:rPr>
                <w:rFonts w:ascii="Arial Narrow" w:eastAsia="Times New Roman" w:hAnsi="Arial Narrow" w:cs="Arial"/>
                <w:sz w:val="18"/>
                <w:szCs w:val="18"/>
                <w:lang w:eastAsia="pt-BR"/>
              </w:rPr>
              <w:t>RPP.C012</w:t>
            </w:r>
          </w:p>
        </w:tc>
        <w:tc>
          <w:tcPr>
            <w:tcW w:w="2045" w:type="dxa"/>
            <w:tcBorders>
              <w:top w:val="nil"/>
              <w:left w:val="nil"/>
              <w:bottom w:val="nil"/>
              <w:right w:val="single" w:sz="8" w:space="0" w:color="auto"/>
            </w:tcBorders>
            <w:shd w:val="clear" w:color="auto" w:fill="auto"/>
            <w:vAlign w:val="center"/>
            <w:hideMark/>
          </w:tcPr>
          <w:p w14:paraId="7E61544F" w14:textId="77777777" w:rsidR="007349FC" w:rsidRPr="00C57567" w:rsidRDefault="007349FC" w:rsidP="007349FC">
            <w:pPr>
              <w:spacing w:after="0" w:line="240" w:lineRule="auto"/>
              <w:jc w:val="center"/>
              <w:rPr>
                <w:rFonts w:ascii="Arial Narrow" w:eastAsia="Times New Roman" w:hAnsi="Arial Narrow" w:cs="Arial"/>
                <w:sz w:val="18"/>
                <w:szCs w:val="18"/>
                <w:lang w:eastAsia="pt-BR"/>
              </w:rPr>
            </w:pPr>
            <w:r w:rsidRPr="00C57567">
              <w:rPr>
                <w:rFonts w:ascii="Arial Narrow" w:eastAsia="Times New Roman" w:hAnsi="Arial Narrow" w:cs="Arial"/>
                <w:sz w:val="18"/>
                <w:szCs w:val="18"/>
                <w:lang w:eastAsia="pt-BR"/>
              </w:rPr>
              <w:t>RPP.D012</w:t>
            </w:r>
          </w:p>
        </w:tc>
        <w:tc>
          <w:tcPr>
            <w:tcW w:w="1340" w:type="dxa"/>
            <w:tcBorders>
              <w:top w:val="nil"/>
              <w:left w:val="nil"/>
              <w:bottom w:val="nil"/>
              <w:right w:val="single" w:sz="8" w:space="0" w:color="auto"/>
            </w:tcBorders>
            <w:shd w:val="clear" w:color="auto" w:fill="auto"/>
            <w:vAlign w:val="center"/>
            <w:hideMark/>
          </w:tcPr>
          <w:p w14:paraId="76EC68D6" w14:textId="77777777" w:rsidR="007349FC" w:rsidRPr="00C57567" w:rsidRDefault="007349FC" w:rsidP="007349FC">
            <w:pPr>
              <w:spacing w:after="0" w:line="240" w:lineRule="auto"/>
              <w:jc w:val="center"/>
              <w:rPr>
                <w:rFonts w:ascii="Arial Narrow" w:eastAsia="Times New Roman" w:hAnsi="Arial Narrow" w:cs="Arial"/>
                <w:sz w:val="18"/>
                <w:szCs w:val="18"/>
                <w:lang w:eastAsia="pt-BR"/>
              </w:rPr>
            </w:pPr>
            <w:r w:rsidRPr="00C57567">
              <w:rPr>
                <w:rFonts w:ascii="Arial Narrow" w:eastAsia="Times New Roman" w:hAnsi="Arial Narrow" w:cs="Arial"/>
                <w:sz w:val="18"/>
                <w:szCs w:val="18"/>
                <w:lang w:eastAsia="pt-BR"/>
              </w:rPr>
              <w:t>RPP.E012</w:t>
            </w:r>
          </w:p>
        </w:tc>
        <w:tc>
          <w:tcPr>
            <w:tcW w:w="1460" w:type="dxa"/>
            <w:tcBorders>
              <w:top w:val="nil"/>
              <w:left w:val="nil"/>
              <w:bottom w:val="nil"/>
              <w:right w:val="single" w:sz="8" w:space="0" w:color="auto"/>
            </w:tcBorders>
            <w:shd w:val="clear" w:color="auto" w:fill="auto"/>
            <w:vAlign w:val="center"/>
            <w:hideMark/>
          </w:tcPr>
          <w:p w14:paraId="667EC99C" w14:textId="77777777" w:rsidR="007349FC" w:rsidRPr="00C57567" w:rsidRDefault="007349FC" w:rsidP="007349FC">
            <w:pPr>
              <w:spacing w:after="0" w:line="240" w:lineRule="auto"/>
              <w:jc w:val="center"/>
              <w:rPr>
                <w:rFonts w:ascii="Arial Narrow" w:eastAsia="Times New Roman" w:hAnsi="Arial Narrow" w:cs="Arial"/>
                <w:sz w:val="18"/>
                <w:szCs w:val="18"/>
                <w:lang w:eastAsia="pt-BR"/>
              </w:rPr>
            </w:pPr>
            <w:r w:rsidRPr="00C57567">
              <w:rPr>
                <w:rFonts w:ascii="Arial Narrow" w:eastAsia="Times New Roman" w:hAnsi="Arial Narrow" w:cs="Arial"/>
                <w:sz w:val="18"/>
                <w:szCs w:val="18"/>
                <w:lang w:eastAsia="pt-BR"/>
              </w:rPr>
              <w:t>RPP.F012</w:t>
            </w:r>
          </w:p>
        </w:tc>
        <w:tc>
          <w:tcPr>
            <w:tcW w:w="2303" w:type="dxa"/>
            <w:tcBorders>
              <w:top w:val="nil"/>
              <w:left w:val="nil"/>
              <w:bottom w:val="nil"/>
              <w:right w:val="single" w:sz="8" w:space="0" w:color="auto"/>
            </w:tcBorders>
            <w:shd w:val="clear" w:color="auto" w:fill="auto"/>
            <w:vAlign w:val="center"/>
            <w:hideMark/>
          </w:tcPr>
          <w:p w14:paraId="290946DB" w14:textId="77777777" w:rsidR="007349FC" w:rsidRPr="00C57567" w:rsidRDefault="007349FC" w:rsidP="007349FC">
            <w:pPr>
              <w:spacing w:after="0" w:line="240" w:lineRule="auto"/>
              <w:jc w:val="center"/>
              <w:rPr>
                <w:rFonts w:ascii="Arial Narrow" w:eastAsia="Times New Roman" w:hAnsi="Arial Narrow" w:cs="Arial"/>
                <w:sz w:val="18"/>
                <w:szCs w:val="18"/>
                <w:lang w:eastAsia="pt-BR"/>
              </w:rPr>
            </w:pPr>
            <w:r w:rsidRPr="00C57567">
              <w:rPr>
                <w:rFonts w:ascii="Arial Narrow" w:eastAsia="Times New Roman" w:hAnsi="Arial Narrow" w:cs="Arial"/>
                <w:sz w:val="18"/>
                <w:szCs w:val="18"/>
                <w:lang w:eastAsia="pt-BR"/>
              </w:rPr>
              <w:t>RPP.G012</w:t>
            </w:r>
          </w:p>
        </w:tc>
      </w:tr>
      <w:tr w:rsidR="007349FC" w:rsidRPr="00C57567" w14:paraId="4F8D35FF" w14:textId="77777777" w:rsidTr="00EE0371">
        <w:trPr>
          <w:trHeight w:val="285"/>
        </w:trPr>
        <w:tc>
          <w:tcPr>
            <w:tcW w:w="3276" w:type="dxa"/>
            <w:tcBorders>
              <w:top w:val="nil"/>
              <w:left w:val="single" w:sz="8" w:space="0" w:color="auto"/>
              <w:bottom w:val="nil"/>
              <w:right w:val="nil"/>
            </w:tcBorders>
            <w:shd w:val="clear" w:color="auto" w:fill="auto"/>
            <w:vAlign w:val="center"/>
            <w:hideMark/>
          </w:tcPr>
          <w:p w14:paraId="0AACAB05" w14:textId="77777777" w:rsidR="007349FC" w:rsidRPr="00C57567" w:rsidRDefault="007349FC" w:rsidP="007349FC">
            <w:pPr>
              <w:spacing w:after="0" w:line="240" w:lineRule="auto"/>
              <w:ind w:firstLineChars="100" w:firstLine="180"/>
              <w:rPr>
                <w:rFonts w:ascii="Arial Narrow" w:eastAsia="Times New Roman" w:hAnsi="Arial Narrow" w:cs="Arial"/>
                <w:sz w:val="18"/>
                <w:szCs w:val="18"/>
                <w:lang w:eastAsia="pt-BR"/>
              </w:rPr>
            </w:pPr>
            <w:r w:rsidRPr="00C57567">
              <w:rPr>
                <w:rFonts w:ascii="Arial Narrow" w:eastAsia="Times New Roman" w:hAnsi="Arial Narrow" w:cs="Arial"/>
                <w:sz w:val="18"/>
                <w:szCs w:val="18"/>
                <w:lang w:eastAsia="pt-BR"/>
              </w:rPr>
              <w:t>Outras Despesas Correntes</w:t>
            </w:r>
          </w:p>
        </w:tc>
        <w:tc>
          <w:tcPr>
            <w:tcW w:w="1640" w:type="dxa"/>
            <w:tcBorders>
              <w:top w:val="nil"/>
              <w:left w:val="single" w:sz="8" w:space="0" w:color="auto"/>
              <w:bottom w:val="nil"/>
              <w:right w:val="single" w:sz="8" w:space="0" w:color="auto"/>
            </w:tcBorders>
            <w:shd w:val="clear" w:color="auto" w:fill="auto"/>
            <w:vAlign w:val="center"/>
            <w:hideMark/>
          </w:tcPr>
          <w:p w14:paraId="1D298508" w14:textId="77777777" w:rsidR="007349FC" w:rsidRPr="00C57567" w:rsidRDefault="007349FC" w:rsidP="007349FC">
            <w:pPr>
              <w:spacing w:after="0" w:line="240" w:lineRule="auto"/>
              <w:jc w:val="center"/>
              <w:rPr>
                <w:rFonts w:ascii="Arial Narrow" w:eastAsia="Times New Roman" w:hAnsi="Arial Narrow" w:cs="Arial"/>
                <w:sz w:val="18"/>
                <w:szCs w:val="18"/>
                <w:lang w:eastAsia="pt-BR"/>
              </w:rPr>
            </w:pPr>
            <w:r w:rsidRPr="00C57567">
              <w:rPr>
                <w:rFonts w:ascii="Arial Narrow" w:eastAsia="Times New Roman" w:hAnsi="Arial Narrow" w:cs="Arial"/>
                <w:sz w:val="18"/>
                <w:szCs w:val="18"/>
                <w:lang w:eastAsia="pt-BR"/>
              </w:rPr>
              <w:t>RPP.C013</w:t>
            </w:r>
          </w:p>
        </w:tc>
        <w:tc>
          <w:tcPr>
            <w:tcW w:w="2045" w:type="dxa"/>
            <w:tcBorders>
              <w:top w:val="nil"/>
              <w:left w:val="nil"/>
              <w:bottom w:val="nil"/>
              <w:right w:val="single" w:sz="8" w:space="0" w:color="auto"/>
            </w:tcBorders>
            <w:shd w:val="clear" w:color="auto" w:fill="auto"/>
            <w:vAlign w:val="center"/>
            <w:hideMark/>
          </w:tcPr>
          <w:p w14:paraId="5CE14FCF" w14:textId="77777777" w:rsidR="007349FC" w:rsidRPr="00C57567" w:rsidRDefault="007349FC" w:rsidP="007349FC">
            <w:pPr>
              <w:spacing w:after="0" w:line="240" w:lineRule="auto"/>
              <w:jc w:val="center"/>
              <w:rPr>
                <w:rFonts w:ascii="Arial Narrow" w:eastAsia="Times New Roman" w:hAnsi="Arial Narrow" w:cs="Arial"/>
                <w:sz w:val="18"/>
                <w:szCs w:val="18"/>
                <w:lang w:eastAsia="pt-BR"/>
              </w:rPr>
            </w:pPr>
            <w:r w:rsidRPr="00C57567">
              <w:rPr>
                <w:rFonts w:ascii="Arial Narrow" w:eastAsia="Times New Roman" w:hAnsi="Arial Narrow" w:cs="Arial"/>
                <w:sz w:val="18"/>
                <w:szCs w:val="18"/>
                <w:lang w:eastAsia="pt-BR"/>
              </w:rPr>
              <w:t>RPP.D013</w:t>
            </w:r>
          </w:p>
        </w:tc>
        <w:tc>
          <w:tcPr>
            <w:tcW w:w="1340" w:type="dxa"/>
            <w:tcBorders>
              <w:top w:val="nil"/>
              <w:left w:val="nil"/>
              <w:bottom w:val="nil"/>
              <w:right w:val="single" w:sz="8" w:space="0" w:color="auto"/>
            </w:tcBorders>
            <w:shd w:val="clear" w:color="auto" w:fill="auto"/>
            <w:vAlign w:val="center"/>
            <w:hideMark/>
          </w:tcPr>
          <w:p w14:paraId="4ABF921D" w14:textId="77777777" w:rsidR="007349FC" w:rsidRPr="00C57567" w:rsidRDefault="007349FC" w:rsidP="007349FC">
            <w:pPr>
              <w:spacing w:after="0" w:line="240" w:lineRule="auto"/>
              <w:jc w:val="center"/>
              <w:rPr>
                <w:rFonts w:ascii="Arial Narrow" w:eastAsia="Times New Roman" w:hAnsi="Arial Narrow" w:cs="Arial"/>
                <w:sz w:val="18"/>
                <w:szCs w:val="18"/>
                <w:lang w:eastAsia="pt-BR"/>
              </w:rPr>
            </w:pPr>
            <w:r w:rsidRPr="00C57567">
              <w:rPr>
                <w:rFonts w:ascii="Arial Narrow" w:eastAsia="Times New Roman" w:hAnsi="Arial Narrow" w:cs="Arial"/>
                <w:sz w:val="18"/>
                <w:szCs w:val="18"/>
                <w:lang w:eastAsia="pt-BR"/>
              </w:rPr>
              <w:t>RPP.E013</w:t>
            </w:r>
          </w:p>
        </w:tc>
        <w:tc>
          <w:tcPr>
            <w:tcW w:w="1460" w:type="dxa"/>
            <w:tcBorders>
              <w:top w:val="nil"/>
              <w:left w:val="nil"/>
              <w:bottom w:val="nil"/>
              <w:right w:val="single" w:sz="8" w:space="0" w:color="auto"/>
            </w:tcBorders>
            <w:shd w:val="clear" w:color="auto" w:fill="auto"/>
            <w:vAlign w:val="center"/>
            <w:hideMark/>
          </w:tcPr>
          <w:p w14:paraId="32553B2D" w14:textId="77777777" w:rsidR="007349FC" w:rsidRPr="00C57567" w:rsidRDefault="007349FC" w:rsidP="007349FC">
            <w:pPr>
              <w:spacing w:after="0" w:line="240" w:lineRule="auto"/>
              <w:jc w:val="center"/>
              <w:rPr>
                <w:rFonts w:ascii="Arial Narrow" w:eastAsia="Times New Roman" w:hAnsi="Arial Narrow" w:cs="Arial"/>
                <w:sz w:val="18"/>
                <w:szCs w:val="18"/>
                <w:lang w:eastAsia="pt-BR"/>
              </w:rPr>
            </w:pPr>
            <w:r w:rsidRPr="00C57567">
              <w:rPr>
                <w:rFonts w:ascii="Arial Narrow" w:eastAsia="Times New Roman" w:hAnsi="Arial Narrow" w:cs="Arial"/>
                <w:sz w:val="18"/>
                <w:szCs w:val="18"/>
                <w:lang w:eastAsia="pt-BR"/>
              </w:rPr>
              <w:t>RPP.F013</w:t>
            </w:r>
          </w:p>
        </w:tc>
        <w:tc>
          <w:tcPr>
            <w:tcW w:w="2303" w:type="dxa"/>
            <w:tcBorders>
              <w:top w:val="nil"/>
              <w:left w:val="nil"/>
              <w:bottom w:val="nil"/>
              <w:right w:val="single" w:sz="8" w:space="0" w:color="auto"/>
            </w:tcBorders>
            <w:shd w:val="clear" w:color="auto" w:fill="auto"/>
            <w:vAlign w:val="center"/>
            <w:hideMark/>
          </w:tcPr>
          <w:p w14:paraId="0ACC029F" w14:textId="77777777" w:rsidR="007349FC" w:rsidRPr="00C57567" w:rsidRDefault="007349FC" w:rsidP="007349FC">
            <w:pPr>
              <w:spacing w:after="0" w:line="240" w:lineRule="auto"/>
              <w:jc w:val="center"/>
              <w:rPr>
                <w:rFonts w:ascii="Arial Narrow" w:eastAsia="Times New Roman" w:hAnsi="Arial Narrow" w:cs="Arial"/>
                <w:sz w:val="18"/>
                <w:szCs w:val="18"/>
                <w:lang w:eastAsia="pt-BR"/>
              </w:rPr>
            </w:pPr>
            <w:r w:rsidRPr="00C57567">
              <w:rPr>
                <w:rFonts w:ascii="Arial Narrow" w:eastAsia="Times New Roman" w:hAnsi="Arial Narrow" w:cs="Arial"/>
                <w:sz w:val="18"/>
                <w:szCs w:val="18"/>
                <w:lang w:eastAsia="pt-BR"/>
              </w:rPr>
              <w:t>RPP.G013</w:t>
            </w:r>
          </w:p>
        </w:tc>
      </w:tr>
      <w:tr w:rsidR="007349FC" w:rsidRPr="00C57567" w14:paraId="4326B318" w14:textId="77777777" w:rsidTr="00EE0371">
        <w:trPr>
          <w:trHeight w:val="285"/>
        </w:trPr>
        <w:tc>
          <w:tcPr>
            <w:tcW w:w="3276" w:type="dxa"/>
            <w:tcBorders>
              <w:top w:val="nil"/>
              <w:left w:val="single" w:sz="8" w:space="0" w:color="auto"/>
              <w:bottom w:val="nil"/>
              <w:right w:val="nil"/>
            </w:tcBorders>
            <w:shd w:val="clear" w:color="auto" w:fill="auto"/>
            <w:vAlign w:val="center"/>
            <w:hideMark/>
          </w:tcPr>
          <w:p w14:paraId="775D663A" w14:textId="77777777" w:rsidR="007349FC" w:rsidRPr="00C57567" w:rsidRDefault="007349FC" w:rsidP="007349FC">
            <w:pPr>
              <w:spacing w:after="0" w:line="240" w:lineRule="auto"/>
              <w:rPr>
                <w:rFonts w:ascii="Arial Narrow" w:eastAsia="Times New Roman" w:hAnsi="Arial Narrow" w:cs="Arial"/>
                <w:sz w:val="18"/>
                <w:szCs w:val="18"/>
                <w:lang w:eastAsia="pt-BR"/>
              </w:rPr>
            </w:pPr>
            <w:r w:rsidRPr="00C57567">
              <w:rPr>
                <w:rFonts w:ascii="Arial Narrow" w:eastAsia="Times New Roman" w:hAnsi="Arial Narrow" w:cs="Arial"/>
                <w:sz w:val="18"/>
                <w:szCs w:val="18"/>
                <w:lang w:eastAsia="pt-BR"/>
              </w:rPr>
              <w:t> </w:t>
            </w:r>
          </w:p>
        </w:tc>
        <w:tc>
          <w:tcPr>
            <w:tcW w:w="1640" w:type="dxa"/>
            <w:tcBorders>
              <w:top w:val="nil"/>
              <w:left w:val="single" w:sz="8" w:space="0" w:color="auto"/>
              <w:bottom w:val="nil"/>
              <w:right w:val="single" w:sz="8" w:space="0" w:color="auto"/>
            </w:tcBorders>
            <w:shd w:val="clear" w:color="auto" w:fill="auto"/>
            <w:vAlign w:val="center"/>
            <w:hideMark/>
          </w:tcPr>
          <w:p w14:paraId="5527C32B" w14:textId="77777777" w:rsidR="007349FC" w:rsidRPr="00C57567" w:rsidRDefault="007349FC" w:rsidP="007349FC">
            <w:pPr>
              <w:spacing w:after="0" w:line="240" w:lineRule="auto"/>
              <w:jc w:val="center"/>
              <w:rPr>
                <w:rFonts w:ascii="Arial Narrow" w:eastAsia="Times New Roman" w:hAnsi="Arial Narrow" w:cs="Arial"/>
                <w:sz w:val="18"/>
                <w:szCs w:val="18"/>
                <w:lang w:eastAsia="pt-BR"/>
              </w:rPr>
            </w:pPr>
            <w:r w:rsidRPr="00C57567">
              <w:rPr>
                <w:rFonts w:ascii="Arial Narrow" w:eastAsia="Times New Roman" w:hAnsi="Arial Narrow" w:cs="Arial"/>
                <w:sz w:val="18"/>
                <w:szCs w:val="18"/>
                <w:lang w:eastAsia="pt-BR"/>
              </w:rPr>
              <w:t> </w:t>
            </w:r>
          </w:p>
        </w:tc>
        <w:tc>
          <w:tcPr>
            <w:tcW w:w="2045" w:type="dxa"/>
            <w:tcBorders>
              <w:top w:val="nil"/>
              <w:left w:val="nil"/>
              <w:bottom w:val="nil"/>
              <w:right w:val="single" w:sz="8" w:space="0" w:color="auto"/>
            </w:tcBorders>
            <w:shd w:val="clear" w:color="auto" w:fill="auto"/>
            <w:vAlign w:val="center"/>
            <w:hideMark/>
          </w:tcPr>
          <w:p w14:paraId="71772B73" w14:textId="77777777" w:rsidR="007349FC" w:rsidRPr="00C57567" w:rsidRDefault="007349FC" w:rsidP="007349FC">
            <w:pPr>
              <w:spacing w:after="0" w:line="240" w:lineRule="auto"/>
              <w:jc w:val="center"/>
              <w:rPr>
                <w:rFonts w:ascii="Arial Narrow" w:eastAsia="Times New Roman" w:hAnsi="Arial Narrow" w:cs="Arial"/>
                <w:sz w:val="18"/>
                <w:szCs w:val="18"/>
                <w:lang w:eastAsia="pt-BR"/>
              </w:rPr>
            </w:pPr>
            <w:r w:rsidRPr="00C57567">
              <w:rPr>
                <w:rFonts w:ascii="Arial Narrow" w:eastAsia="Times New Roman" w:hAnsi="Arial Narrow" w:cs="Arial"/>
                <w:sz w:val="18"/>
                <w:szCs w:val="18"/>
                <w:lang w:eastAsia="pt-BR"/>
              </w:rPr>
              <w:t> </w:t>
            </w:r>
          </w:p>
        </w:tc>
        <w:tc>
          <w:tcPr>
            <w:tcW w:w="1340" w:type="dxa"/>
            <w:tcBorders>
              <w:top w:val="nil"/>
              <w:left w:val="nil"/>
              <w:bottom w:val="nil"/>
              <w:right w:val="single" w:sz="8" w:space="0" w:color="auto"/>
            </w:tcBorders>
            <w:shd w:val="clear" w:color="auto" w:fill="auto"/>
            <w:vAlign w:val="center"/>
            <w:hideMark/>
          </w:tcPr>
          <w:p w14:paraId="03CACB06" w14:textId="77777777" w:rsidR="007349FC" w:rsidRPr="00C57567" w:rsidRDefault="007349FC" w:rsidP="007349FC">
            <w:pPr>
              <w:spacing w:after="0" w:line="240" w:lineRule="auto"/>
              <w:jc w:val="center"/>
              <w:rPr>
                <w:rFonts w:ascii="Arial Narrow" w:eastAsia="Times New Roman" w:hAnsi="Arial Narrow" w:cs="Arial"/>
                <w:sz w:val="18"/>
                <w:szCs w:val="18"/>
                <w:lang w:eastAsia="pt-BR"/>
              </w:rPr>
            </w:pPr>
            <w:r w:rsidRPr="00C57567">
              <w:rPr>
                <w:rFonts w:ascii="Arial Narrow" w:eastAsia="Times New Roman" w:hAnsi="Arial Narrow" w:cs="Arial"/>
                <w:sz w:val="18"/>
                <w:szCs w:val="18"/>
                <w:lang w:eastAsia="pt-BR"/>
              </w:rPr>
              <w:t> </w:t>
            </w:r>
          </w:p>
        </w:tc>
        <w:tc>
          <w:tcPr>
            <w:tcW w:w="1460" w:type="dxa"/>
            <w:tcBorders>
              <w:top w:val="nil"/>
              <w:left w:val="nil"/>
              <w:bottom w:val="nil"/>
              <w:right w:val="single" w:sz="8" w:space="0" w:color="auto"/>
            </w:tcBorders>
            <w:shd w:val="clear" w:color="auto" w:fill="auto"/>
            <w:vAlign w:val="center"/>
            <w:hideMark/>
          </w:tcPr>
          <w:p w14:paraId="15DB5C8E" w14:textId="77777777" w:rsidR="007349FC" w:rsidRPr="00C57567" w:rsidRDefault="007349FC" w:rsidP="007349FC">
            <w:pPr>
              <w:spacing w:after="0" w:line="240" w:lineRule="auto"/>
              <w:jc w:val="center"/>
              <w:rPr>
                <w:rFonts w:ascii="Arial Narrow" w:eastAsia="Times New Roman" w:hAnsi="Arial Narrow" w:cs="Arial"/>
                <w:sz w:val="18"/>
                <w:szCs w:val="18"/>
                <w:lang w:eastAsia="pt-BR"/>
              </w:rPr>
            </w:pPr>
            <w:r w:rsidRPr="00C57567">
              <w:rPr>
                <w:rFonts w:ascii="Arial Narrow" w:eastAsia="Times New Roman" w:hAnsi="Arial Narrow" w:cs="Arial"/>
                <w:sz w:val="18"/>
                <w:szCs w:val="18"/>
                <w:lang w:eastAsia="pt-BR"/>
              </w:rPr>
              <w:t> </w:t>
            </w:r>
          </w:p>
        </w:tc>
        <w:tc>
          <w:tcPr>
            <w:tcW w:w="2303" w:type="dxa"/>
            <w:tcBorders>
              <w:top w:val="nil"/>
              <w:left w:val="nil"/>
              <w:bottom w:val="nil"/>
              <w:right w:val="single" w:sz="8" w:space="0" w:color="auto"/>
            </w:tcBorders>
            <w:shd w:val="clear" w:color="auto" w:fill="auto"/>
            <w:vAlign w:val="center"/>
            <w:hideMark/>
          </w:tcPr>
          <w:p w14:paraId="1B7A6FFB" w14:textId="77777777" w:rsidR="007349FC" w:rsidRPr="00C57567" w:rsidRDefault="007349FC" w:rsidP="007349FC">
            <w:pPr>
              <w:spacing w:after="0" w:line="240" w:lineRule="auto"/>
              <w:jc w:val="center"/>
              <w:rPr>
                <w:rFonts w:ascii="Arial Narrow" w:eastAsia="Times New Roman" w:hAnsi="Arial Narrow" w:cs="Arial"/>
                <w:sz w:val="18"/>
                <w:szCs w:val="18"/>
                <w:lang w:eastAsia="pt-BR"/>
              </w:rPr>
            </w:pPr>
            <w:r w:rsidRPr="00C57567">
              <w:rPr>
                <w:rFonts w:ascii="Arial Narrow" w:eastAsia="Times New Roman" w:hAnsi="Arial Narrow" w:cs="Arial"/>
                <w:sz w:val="18"/>
                <w:szCs w:val="18"/>
                <w:lang w:eastAsia="pt-BR"/>
              </w:rPr>
              <w:t> </w:t>
            </w:r>
          </w:p>
        </w:tc>
      </w:tr>
      <w:tr w:rsidR="007349FC" w:rsidRPr="00C57567" w14:paraId="14B9E76E" w14:textId="77777777" w:rsidTr="00EE0371">
        <w:trPr>
          <w:trHeight w:val="285"/>
        </w:trPr>
        <w:tc>
          <w:tcPr>
            <w:tcW w:w="3276" w:type="dxa"/>
            <w:tcBorders>
              <w:top w:val="nil"/>
              <w:left w:val="single" w:sz="8" w:space="0" w:color="auto"/>
              <w:bottom w:val="nil"/>
              <w:right w:val="nil"/>
            </w:tcBorders>
            <w:shd w:val="clear" w:color="auto" w:fill="auto"/>
            <w:vAlign w:val="center"/>
            <w:hideMark/>
          </w:tcPr>
          <w:p w14:paraId="3EB1816D" w14:textId="77777777" w:rsidR="007349FC" w:rsidRPr="00C57567" w:rsidRDefault="007349FC" w:rsidP="007349FC">
            <w:pPr>
              <w:spacing w:after="0" w:line="240" w:lineRule="auto"/>
              <w:rPr>
                <w:rFonts w:ascii="Arial Narrow" w:eastAsia="Times New Roman" w:hAnsi="Arial Narrow" w:cs="Arial"/>
                <w:b/>
                <w:bCs/>
                <w:sz w:val="18"/>
                <w:szCs w:val="18"/>
                <w:lang w:eastAsia="pt-BR"/>
              </w:rPr>
            </w:pPr>
            <w:r w:rsidRPr="00C57567">
              <w:rPr>
                <w:rFonts w:ascii="Arial Narrow" w:eastAsia="Times New Roman" w:hAnsi="Arial Narrow" w:cs="Arial"/>
                <w:b/>
                <w:bCs/>
                <w:sz w:val="18"/>
                <w:szCs w:val="18"/>
                <w:lang w:eastAsia="pt-BR"/>
              </w:rPr>
              <w:t>DESPESAS DE CAPITAL</w:t>
            </w:r>
          </w:p>
        </w:tc>
        <w:tc>
          <w:tcPr>
            <w:tcW w:w="1640" w:type="dxa"/>
            <w:tcBorders>
              <w:top w:val="nil"/>
              <w:left w:val="single" w:sz="8" w:space="0" w:color="auto"/>
              <w:bottom w:val="nil"/>
              <w:right w:val="single" w:sz="8" w:space="0" w:color="auto"/>
            </w:tcBorders>
            <w:shd w:val="clear" w:color="auto" w:fill="auto"/>
            <w:vAlign w:val="center"/>
            <w:hideMark/>
          </w:tcPr>
          <w:p w14:paraId="3ABF070B" w14:textId="77777777" w:rsidR="007349FC" w:rsidRPr="00C57567" w:rsidRDefault="007349FC" w:rsidP="007349FC">
            <w:pPr>
              <w:spacing w:after="0" w:line="240" w:lineRule="auto"/>
              <w:jc w:val="center"/>
              <w:rPr>
                <w:rFonts w:ascii="Arial Narrow" w:eastAsia="Times New Roman" w:hAnsi="Arial Narrow" w:cs="Arial"/>
                <w:b/>
                <w:bCs/>
                <w:sz w:val="18"/>
                <w:szCs w:val="18"/>
                <w:lang w:eastAsia="pt-BR"/>
              </w:rPr>
            </w:pPr>
            <w:r w:rsidRPr="00C57567">
              <w:rPr>
                <w:rFonts w:ascii="Arial Narrow" w:eastAsia="Times New Roman" w:hAnsi="Arial Narrow" w:cs="Arial"/>
                <w:b/>
                <w:bCs/>
                <w:sz w:val="18"/>
                <w:szCs w:val="18"/>
                <w:lang w:eastAsia="pt-BR"/>
              </w:rPr>
              <w:t>RPP.C015</w:t>
            </w:r>
          </w:p>
        </w:tc>
        <w:tc>
          <w:tcPr>
            <w:tcW w:w="2045" w:type="dxa"/>
            <w:tcBorders>
              <w:top w:val="nil"/>
              <w:left w:val="nil"/>
              <w:bottom w:val="nil"/>
              <w:right w:val="single" w:sz="8" w:space="0" w:color="auto"/>
            </w:tcBorders>
            <w:shd w:val="clear" w:color="auto" w:fill="auto"/>
            <w:vAlign w:val="center"/>
            <w:hideMark/>
          </w:tcPr>
          <w:p w14:paraId="4D7DFFAC" w14:textId="77777777" w:rsidR="007349FC" w:rsidRPr="00C57567" w:rsidRDefault="007349FC" w:rsidP="007349FC">
            <w:pPr>
              <w:spacing w:after="0" w:line="240" w:lineRule="auto"/>
              <w:jc w:val="center"/>
              <w:rPr>
                <w:rFonts w:ascii="Arial Narrow" w:eastAsia="Times New Roman" w:hAnsi="Arial Narrow" w:cs="Arial"/>
                <w:b/>
                <w:bCs/>
                <w:sz w:val="18"/>
                <w:szCs w:val="18"/>
                <w:lang w:eastAsia="pt-BR"/>
              </w:rPr>
            </w:pPr>
            <w:r w:rsidRPr="00C57567">
              <w:rPr>
                <w:rFonts w:ascii="Arial Narrow" w:eastAsia="Times New Roman" w:hAnsi="Arial Narrow" w:cs="Arial"/>
                <w:b/>
                <w:bCs/>
                <w:sz w:val="18"/>
                <w:szCs w:val="18"/>
                <w:lang w:eastAsia="pt-BR"/>
              </w:rPr>
              <w:t>RPP.D015</w:t>
            </w:r>
          </w:p>
        </w:tc>
        <w:tc>
          <w:tcPr>
            <w:tcW w:w="1340" w:type="dxa"/>
            <w:tcBorders>
              <w:top w:val="nil"/>
              <w:left w:val="nil"/>
              <w:bottom w:val="nil"/>
              <w:right w:val="single" w:sz="8" w:space="0" w:color="auto"/>
            </w:tcBorders>
            <w:shd w:val="clear" w:color="auto" w:fill="auto"/>
            <w:vAlign w:val="center"/>
            <w:hideMark/>
          </w:tcPr>
          <w:p w14:paraId="75C638AE" w14:textId="77777777" w:rsidR="007349FC" w:rsidRPr="00C57567" w:rsidRDefault="007349FC" w:rsidP="007349FC">
            <w:pPr>
              <w:spacing w:after="0" w:line="240" w:lineRule="auto"/>
              <w:jc w:val="center"/>
              <w:rPr>
                <w:rFonts w:ascii="Arial Narrow" w:eastAsia="Times New Roman" w:hAnsi="Arial Narrow" w:cs="Arial"/>
                <w:b/>
                <w:bCs/>
                <w:sz w:val="18"/>
                <w:szCs w:val="18"/>
                <w:lang w:eastAsia="pt-BR"/>
              </w:rPr>
            </w:pPr>
            <w:r w:rsidRPr="00C57567">
              <w:rPr>
                <w:rFonts w:ascii="Arial Narrow" w:eastAsia="Times New Roman" w:hAnsi="Arial Narrow" w:cs="Arial"/>
                <w:b/>
                <w:bCs/>
                <w:sz w:val="18"/>
                <w:szCs w:val="18"/>
                <w:lang w:eastAsia="pt-BR"/>
              </w:rPr>
              <w:t>RPP.E015</w:t>
            </w:r>
          </w:p>
        </w:tc>
        <w:tc>
          <w:tcPr>
            <w:tcW w:w="1460" w:type="dxa"/>
            <w:tcBorders>
              <w:top w:val="nil"/>
              <w:left w:val="nil"/>
              <w:bottom w:val="nil"/>
              <w:right w:val="single" w:sz="8" w:space="0" w:color="auto"/>
            </w:tcBorders>
            <w:shd w:val="clear" w:color="auto" w:fill="auto"/>
            <w:vAlign w:val="center"/>
            <w:hideMark/>
          </w:tcPr>
          <w:p w14:paraId="50796B30" w14:textId="77777777" w:rsidR="007349FC" w:rsidRPr="00C57567" w:rsidRDefault="007349FC" w:rsidP="007349FC">
            <w:pPr>
              <w:spacing w:after="0" w:line="240" w:lineRule="auto"/>
              <w:jc w:val="center"/>
              <w:rPr>
                <w:rFonts w:ascii="Arial Narrow" w:eastAsia="Times New Roman" w:hAnsi="Arial Narrow" w:cs="Arial"/>
                <w:b/>
                <w:bCs/>
                <w:sz w:val="18"/>
                <w:szCs w:val="18"/>
                <w:lang w:eastAsia="pt-BR"/>
              </w:rPr>
            </w:pPr>
            <w:r w:rsidRPr="00C57567">
              <w:rPr>
                <w:rFonts w:ascii="Arial Narrow" w:eastAsia="Times New Roman" w:hAnsi="Arial Narrow" w:cs="Arial"/>
                <w:b/>
                <w:bCs/>
                <w:sz w:val="18"/>
                <w:szCs w:val="18"/>
                <w:lang w:eastAsia="pt-BR"/>
              </w:rPr>
              <w:t>RPP.F015</w:t>
            </w:r>
          </w:p>
        </w:tc>
        <w:tc>
          <w:tcPr>
            <w:tcW w:w="2303" w:type="dxa"/>
            <w:tcBorders>
              <w:top w:val="nil"/>
              <w:left w:val="nil"/>
              <w:bottom w:val="nil"/>
              <w:right w:val="single" w:sz="8" w:space="0" w:color="auto"/>
            </w:tcBorders>
            <w:shd w:val="clear" w:color="auto" w:fill="auto"/>
            <w:vAlign w:val="center"/>
            <w:hideMark/>
          </w:tcPr>
          <w:p w14:paraId="5D11F391" w14:textId="77777777" w:rsidR="007349FC" w:rsidRPr="00C57567" w:rsidRDefault="007349FC" w:rsidP="007349FC">
            <w:pPr>
              <w:spacing w:after="0" w:line="240" w:lineRule="auto"/>
              <w:jc w:val="center"/>
              <w:rPr>
                <w:rFonts w:ascii="Arial Narrow" w:eastAsia="Times New Roman" w:hAnsi="Arial Narrow" w:cs="Arial"/>
                <w:b/>
                <w:bCs/>
                <w:sz w:val="18"/>
                <w:szCs w:val="18"/>
                <w:lang w:eastAsia="pt-BR"/>
              </w:rPr>
            </w:pPr>
            <w:r w:rsidRPr="00C57567">
              <w:rPr>
                <w:rFonts w:ascii="Arial Narrow" w:eastAsia="Times New Roman" w:hAnsi="Arial Narrow" w:cs="Arial"/>
                <w:b/>
                <w:bCs/>
                <w:sz w:val="18"/>
                <w:szCs w:val="18"/>
                <w:lang w:eastAsia="pt-BR"/>
              </w:rPr>
              <w:t>RPP.G015</w:t>
            </w:r>
          </w:p>
        </w:tc>
      </w:tr>
      <w:tr w:rsidR="007349FC" w:rsidRPr="00C57567" w14:paraId="6CA95201" w14:textId="77777777" w:rsidTr="00EE0371">
        <w:trPr>
          <w:trHeight w:val="285"/>
        </w:trPr>
        <w:tc>
          <w:tcPr>
            <w:tcW w:w="3276" w:type="dxa"/>
            <w:tcBorders>
              <w:top w:val="nil"/>
              <w:left w:val="single" w:sz="8" w:space="0" w:color="auto"/>
              <w:bottom w:val="nil"/>
              <w:right w:val="nil"/>
            </w:tcBorders>
            <w:shd w:val="clear" w:color="auto" w:fill="auto"/>
            <w:vAlign w:val="center"/>
            <w:hideMark/>
          </w:tcPr>
          <w:p w14:paraId="3AF03410" w14:textId="77777777" w:rsidR="007349FC" w:rsidRPr="00C57567" w:rsidRDefault="007349FC" w:rsidP="007349FC">
            <w:pPr>
              <w:spacing w:after="0" w:line="240" w:lineRule="auto"/>
              <w:ind w:firstLineChars="100" w:firstLine="180"/>
              <w:rPr>
                <w:rFonts w:ascii="Arial Narrow" w:eastAsia="Times New Roman" w:hAnsi="Arial Narrow" w:cs="Arial"/>
                <w:sz w:val="18"/>
                <w:szCs w:val="18"/>
                <w:lang w:eastAsia="pt-BR"/>
              </w:rPr>
            </w:pPr>
            <w:r w:rsidRPr="00C57567">
              <w:rPr>
                <w:rFonts w:ascii="Arial Narrow" w:eastAsia="Times New Roman" w:hAnsi="Arial Narrow" w:cs="Arial"/>
                <w:sz w:val="18"/>
                <w:szCs w:val="18"/>
                <w:lang w:eastAsia="pt-BR"/>
              </w:rPr>
              <w:t>Investimentos</w:t>
            </w:r>
          </w:p>
        </w:tc>
        <w:tc>
          <w:tcPr>
            <w:tcW w:w="1640" w:type="dxa"/>
            <w:tcBorders>
              <w:top w:val="nil"/>
              <w:left w:val="single" w:sz="8" w:space="0" w:color="auto"/>
              <w:bottom w:val="nil"/>
              <w:right w:val="single" w:sz="8" w:space="0" w:color="auto"/>
            </w:tcBorders>
            <w:shd w:val="clear" w:color="auto" w:fill="auto"/>
            <w:vAlign w:val="center"/>
            <w:hideMark/>
          </w:tcPr>
          <w:p w14:paraId="2C0A2022" w14:textId="77777777" w:rsidR="007349FC" w:rsidRPr="00C57567" w:rsidRDefault="007349FC" w:rsidP="007349FC">
            <w:pPr>
              <w:spacing w:after="0" w:line="240" w:lineRule="auto"/>
              <w:jc w:val="center"/>
              <w:rPr>
                <w:rFonts w:ascii="Arial Narrow" w:eastAsia="Times New Roman" w:hAnsi="Arial Narrow" w:cs="Arial"/>
                <w:sz w:val="18"/>
                <w:szCs w:val="18"/>
                <w:lang w:eastAsia="pt-BR"/>
              </w:rPr>
            </w:pPr>
            <w:r w:rsidRPr="00C57567">
              <w:rPr>
                <w:rFonts w:ascii="Arial Narrow" w:eastAsia="Times New Roman" w:hAnsi="Arial Narrow" w:cs="Arial"/>
                <w:sz w:val="18"/>
                <w:szCs w:val="18"/>
                <w:lang w:eastAsia="pt-BR"/>
              </w:rPr>
              <w:t>RPP.C016</w:t>
            </w:r>
          </w:p>
        </w:tc>
        <w:tc>
          <w:tcPr>
            <w:tcW w:w="2045" w:type="dxa"/>
            <w:tcBorders>
              <w:top w:val="nil"/>
              <w:left w:val="nil"/>
              <w:bottom w:val="nil"/>
              <w:right w:val="single" w:sz="8" w:space="0" w:color="auto"/>
            </w:tcBorders>
            <w:shd w:val="clear" w:color="auto" w:fill="auto"/>
            <w:vAlign w:val="center"/>
            <w:hideMark/>
          </w:tcPr>
          <w:p w14:paraId="1B7F756C" w14:textId="77777777" w:rsidR="007349FC" w:rsidRPr="00C57567" w:rsidRDefault="007349FC" w:rsidP="007349FC">
            <w:pPr>
              <w:spacing w:after="0" w:line="240" w:lineRule="auto"/>
              <w:jc w:val="center"/>
              <w:rPr>
                <w:rFonts w:ascii="Arial Narrow" w:eastAsia="Times New Roman" w:hAnsi="Arial Narrow" w:cs="Arial"/>
                <w:sz w:val="18"/>
                <w:szCs w:val="18"/>
                <w:lang w:eastAsia="pt-BR"/>
              </w:rPr>
            </w:pPr>
            <w:r w:rsidRPr="00C57567">
              <w:rPr>
                <w:rFonts w:ascii="Arial Narrow" w:eastAsia="Times New Roman" w:hAnsi="Arial Narrow" w:cs="Arial"/>
                <w:sz w:val="18"/>
                <w:szCs w:val="18"/>
                <w:lang w:eastAsia="pt-BR"/>
              </w:rPr>
              <w:t>RPP.D016</w:t>
            </w:r>
          </w:p>
        </w:tc>
        <w:tc>
          <w:tcPr>
            <w:tcW w:w="1340" w:type="dxa"/>
            <w:tcBorders>
              <w:top w:val="nil"/>
              <w:left w:val="nil"/>
              <w:bottom w:val="nil"/>
              <w:right w:val="single" w:sz="8" w:space="0" w:color="auto"/>
            </w:tcBorders>
            <w:shd w:val="clear" w:color="auto" w:fill="auto"/>
            <w:vAlign w:val="center"/>
            <w:hideMark/>
          </w:tcPr>
          <w:p w14:paraId="03C86523" w14:textId="77777777" w:rsidR="007349FC" w:rsidRPr="00C57567" w:rsidRDefault="007349FC" w:rsidP="007349FC">
            <w:pPr>
              <w:spacing w:after="0" w:line="240" w:lineRule="auto"/>
              <w:jc w:val="center"/>
              <w:rPr>
                <w:rFonts w:ascii="Arial Narrow" w:eastAsia="Times New Roman" w:hAnsi="Arial Narrow" w:cs="Arial"/>
                <w:sz w:val="18"/>
                <w:szCs w:val="18"/>
                <w:lang w:eastAsia="pt-BR"/>
              </w:rPr>
            </w:pPr>
            <w:r w:rsidRPr="00C57567">
              <w:rPr>
                <w:rFonts w:ascii="Arial Narrow" w:eastAsia="Times New Roman" w:hAnsi="Arial Narrow" w:cs="Arial"/>
                <w:sz w:val="18"/>
                <w:szCs w:val="18"/>
                <w:lang w:eastAsia="pt-BR"/>
              </w:rPr>
              <w:t>RPP.E016</w:t>
            </w:r>
          </w:p>
        </w:tc>
        <w:tc>
          <w:tcPr>
            <w:tcW w:w="1460" w:type="dxa"/>
            <w:tcBorders>
              <w:top w:val="nil"/>
              <w:left w:val="nil"/>
              <w:bottom w:val="nil"/>
              <w:right w:val="single" w:sz="8" w:space="0" w:color="auto"/>
            </w:tcBorders>
            <w:shd w:val="clear" w:color="auto" w:fill="auto"/>
            <w:vAlign w:val="center"/>
            <w:hideMark/>
          </w:tcPr>
          <w:p w14:paraId="39DCAC55" w14:textId="77777777" w:rsidR="007349FC" w:rsidRPr="00C57567" w:rsidRDefault="007349FC" w:rsidP="007349FC">
            <w:pPr>
              <w:spacing w:after="0" w:line="240" w:lineRule="auto"/>
              <w:jc w:val="center"/>
              <w:rPr>
                <w:rFonts w:ascii="Arial Narrow" w:eastAsia="Times New Roman" w:hAnsi="Arial Narrow" w:cs="Arial"/>
                <w:sz w:val="18"/>
                <w:szCs w:val="18"/>
                <w:lang w:eastAsia="pt-BR"/>
              </w:rPr>
            </w:pPr>
            <w:r w:rsidRPr="00C57567">
              <w:rPr>
                <w:rFonts w:ascii="Arial Narrow" w:eastAsia="Times New Roman" w:hAnsi="Arial Narrow" w:cs="Arial"/>
                <w:sz w:val="18"/>
                <w:szCs w:val="18"/>
                <w:lang w:eastAsia="pt-BR"/>
              </w:rPr>
              <w:t>RPP.F016</w:t>
            </w:r>
          </w:p>
        </w:tc>
        <w:tc>
          <w:tcPr>
            <w:tcW w:w="2303" w:type="dxa"/>
            <w:tcBorders>
              <w:top w:val="nil"/>
              <w:left w:val="nil"/>
              <w:bottom w:val="nil"/>
              <w:right w:val="single" w:sz="8" w:space="0" w:color="auto"/>
            </w:tcBorders>
            <w:shd w:val="clear" w:color="auto" w:fill="auto"/>
            <w:vAlign w:val="center"/>
            <w:hideMark/>
          </w:tcPr>
          <w:p w14:paraId="61CC10B1" w14:textId="77777777" w:rsidR="007349FC" w:rsidRPr="00C57567" w:rsidRDefault="007349FC" w:rsidP="007349FC">
            <w:pPr>
              <w:spacing w:after="0" w:line="240" w:lineRule="auto"/>
              <w:jc w:val="center"/>
              <w:rPr>
                <w:rFonts w:ascii="Arial Narrow" w:eastAsia="Times New Roman" w:hAnsi="Arial Narrow" w:cs="Arial"/>
                <w:sz w:val="18"/>
                <w:szCs w:val="18"/>
                <w:lang w:eastAsia="pt-BR"/>
              </w:rPr>
            </w:pPr>
            <w:r w:rsidRPr="00C57567">
              <w:rPr>
                <w:rFonts w:ascii="Arial Narrow" w:eastAsia="Times New Roman" w:hAnsi="Arial Narrow" w:cs="Arial"/>
                <w:sz w:val="18"/>
                <w:szCs w:val="18"/>
                <w:lang w:eastAsia="pt-BR"/>
              </w:rPr>
              <w:t>RPP.G016</w:t>
            </w:r>
          </w:p>
        </w:tc>
      </w:tr>
      <w:tr w:rsidR="007349FC" w:rsidRPr="00C57567" w14:paraId="6826137D" w14:textId="77777777" w:rsidTr="00EE0371">
        <w:trPr>
          <w:trHeight w:val="285"/>
        </w:trPr>
        <w:tc>
          <w:tcPr>
            <w:tcW w:w="3276" w:type="dxa"/>
            <w:tcBorders>
              <w:top w:val="nil"/>
              <w:left w:val="single" w:sz="8" w:space="0" w:color="auto"/>
              <w:bottom w:val="nil"/>
              <w:right w:val="nil"/>
            </w:tcBorders>
            <w:shd w:val="clear" w:color="auto" w:fill="auto"/>
            <w:vAlign w:val="center"/>
            <w:hideMark/>
          </w:tcPr>
          <w:p w14:paraId="36BBEC4C" w14:textId="77777777" w:rsidR="007349FC" w:rsidRPr="00C57567" w:rsidRDefault="007349FC" w:rsidP="007349FC">
            <w:pPr>
              <w:spacing w:after="0" w:line="240" w:lineRule="auto"/>
              <w:ind w:firstLineChars="100" w:firstLine="180"/>
              <w:rPr>
                <w:rFonts w:ascii="Arial Narrow" w:eastAsia="Times New Roman" w:hAnsi="Arial Narrow" w:cs="Arial"/>
                <w:sz w:val="18"/>
                <w:szCs w:val="18"/>
                <w:lang w:eastAsia="pt-BR"/>
              </w:rPr>
            </w:pPr>
            <w:r w:rsidRPr="00C57567">
              <w:rPr>
                <w:rFonts w:ascii="Arial Narrow" w:eastAsia="Times New Roman" w:hAnsi="Arial Narrow" w:cs="Arial"/>
                <w:sz w:val="18"/>
                <w:szCs w:val="18"/>
                <w:lang w:eastAsia="pt-BR"/>
              </w:rPr>
              <w:t>Inversões Financeiras</w:t>
            </w:r>
          </w:p>
        </w:tc>
        <w:tc>
          <w:tcPr>
            <w:tcW w:w="1640" w:type="dxa"/>
            <w:tcBorders>
              <w:top w:val="nil"/>
              <w:left w:val="single" w:sz="8" w:space="0" w:color="auto"/>
              <w:bottom w:val="nil"/>
              <w:right w:val="single" w:sz="8" w:space="0" w:color="auto"/>
            </w:tcBorders>
            <w:shd w:val="clear" w:color="auto" w:fill="auto"/>
            <w:vAlign w:val="center"/>
            <w:hideMark/>
          </w:tcPr>
          <w:p w14:paraId="6264E3DE" w14:textId="77777777" w:rsidR="007349FC" w:rsidRPr="00C57567" w:rsidRDefault="007349FC" w:rsidP="007349FC">
            <w:pPr>
              <w:spacing w:after="0" w:line="240" w:lineRule="auto"/>
              <w:jc w:val="center"/>
              <w:rPr>
                <w:rFonts w:ascii="Arial Narrow" w:eastAsia="Times New Roman" w:hAnsi="Arial Narrow" w:cs="Arial"/>
                <w:sz w:val="18"/>
                <w:szCs w:val="18"/>
                <w:lang w:eastAsia="pt-BR"/>
              </w:rPr>
            </w:pPr>
            <w:r w:rsidRPr="00C57567">
              <w:rPr>
                <w:rFonts w:ascii="Arial Narrow" w:eastAsia="Times New Roman" w:hAnsi="Arial Narrow" w:cs="Arial"/>
                <w:sz w:val="18"/>
                <w:szCs w:val="18"/>
                <w:lang w:eastAsia="pt-BR"/>
              </w:rPr>
              <w:t>RPP.C017</w:t>
            </w:r>
          </w:p>
        </w:tc>
        <w:tc>
          <w:tcPr>
            <w:tcW w:w="2045" w:type="dxa"/>
            <w:tcBorders>
              <w:top w:val="nil"/>
              <w:left w:val="nil"/>
              <w:bottom w:val="nil"/>
              <w:right w:val="single" w:sz="8" w:space="0" w:color="auto"/>
            </w:tcBorders>
            <w:shd w:val="clear" w:color="auto" w:fill="auto"/>
            <w:vAlign w:val="center"/>
            <w:hideMark/>
          </w:tcPr>
          <w:p w14:paraId="5386A7B2" w14:textId="77777777" w:rsidR="007349FC" w:rsidRPr="00C57567" w:rsidRDefault="007349FC" w:rsidP="007349FC">
            <w:pPr>
              <w:spacing w:after="0" w:line="240" w:lineRule="auto"/>
              <w:jc w:val="center"/>
              <w:rPr>
                <w:rFonts w:ascii="Arial Narrow" w:eastAsia="Times New Roman" w:hAnsi="Arial Narrow" w:cs="Arial"/>
                <w:sz w:val="18"/>
                <w:szCs w:val="18"/>
                <w:lang w:eastAsia="pt-BR"/>
              </w:rPr>
            </w:pPr>
            <w:r w:rsidRPr="00C57567">
              <w:rPr>
                <w:rFonts w:ascii="Arial Narrow" w:eastAsia="Times New Roman" w:hAnsi="Arial Narrow" w:cs="Arial"/>
                <w:sz w:val="18"/>
                <w:szCs w:val="18"/>
                <w:lang w:eastAsia="pt-BR"/>
              </w:rPr>
              <w:t>RPP.D017</w:t>
            </w:r>
          </w:p>
        </w:tc>
        <w:tc>
          <w:tcPr>
            <w:tcW w:w="1340" w:type="dxa"/>
            <w:tcBorders>
              <w:top w:val="nil"/>
              <w:left w:val="nil"/>
              <w:bottom w:val="nil"/>
              <w:right w:val="single" w:sz="8" w:space="0" w:color="auto"/>
            </w:tcBorders>
            <w:shd w:val="clear" w:color="auto" w:fill="auto"/>
            <w:vAlign w:val="center"/>
            <w:hideMark/>
          </w:tcPr>
          <w:p w14:paraId="6FDC2EA7" w14:textId="77777777" w:rsidR="007349FC" w:rsidRPr="00C57567" w:rsidRDefault="007349FC" w:rsidP="007349FC">
            <w:pPr>
              <w:spacing w:after="0" w:line="240" w:lineRule="auto"/>
              <w:jc w:val="center"/>
              <w:rPr>
                <w:rFonts w:ascii="Arial Narrow" w:eastAsia="Times New Roman" w:hAnsi="Arial Narrow" w:cs="Arial"/>
                <w:sz w:val="18"/>
                <w:szCs w:val="18"/>
                <w:lang w:eastAsia="pt-BR"/>
              </w:rPr>
            </w:pPr>
            <w:r w:rsidRPr="00C57567">
              <w:rPr>
                <w:rFonts w:ascii="Arial Narrow" w:eastAsia="Times New Roman" w:hAnsi="Arial Narrow" w:cs="Arial"/>
                <w:sz w:val="18"/>
                <w:szCs w:val="18"/>
                <w:lang w:eastAsia="pt-BR"/>
              </w:rPr>
              <w:t>RPP.E017</w:t>
            </w:r>
          </w:p>
        </w:tc>
        <w:tc>
          <w:tcPr>
            <w:tcW w:w="1460" w:type="dxa"/>
            <w:tcBorders>
              <w:top w:val="nil"/>
              <w:left w:val="nil"/>
              <w:bottom w:val="nil"/>
              <w:right w:val="single" w:sz="8" w:space="0" w:color="auto"/>
            </w:tcBorders>
            <w:shd w:val="clear" w:color="auto" w:fill="auto"/>
            <w:vAlign w:val="center"/>
            <w:hideMark/>
          </w:tcPr>
          <w:p w14:paraId="6CF6B872" w14:textId="77777777" w:rsidR="007349FC" w:rsidRPr="00C57567" w:rsidRDefault="007349FC" w:rsidP="007349FC">
            <w:pPr>
              <w:spacing w:after="0" w:line="240" w:lineRule="auto"/>
              <w:jc w:val="center"/>
              <w:rPr>
                <w:rFonts w:ascii="Arial Narrow" w:eastAsia="Times New Roman" w:hAnsi="Arial Narrow" w:cs="Arial"/>
                <w:sz w:val="18"/>
                <w:szCs w:val="18"/>
                <w:lang w:eastAsia="pt-BR"/>
              </w:rPr>
            </w:pPr>
            <w:r w:rsidRPr="00C57567">
              <w:rPr>
                <w:rFonts w:ascii="Arial Narrow" w:eastAsia="Times New Roman" w:hAnsi="Arial Narrow" w:cs="Arial"/>
                <w:sz w:val="18"/>
                <w:szCs w:val="18"/>
                <w:lang w:eastAsia="pt-BR"/>
              </w:rPr>
              <w:t>RPP.F017</w:t>
            </w:r>
          </w:p>
        </w:tc>
        <w:tc>
          <w:tcPr>
            <w:tcW w:w="2303" w:type="dxa"/>
            <w:tcBorders>
              <w:top w:val="nil"/>
              <w:left w:val="nil"/>
              <w:bottom w:val="nil"/>
              <w:right w:val="single" w:sz="8" w:space="0" w:color="auto"/>
            </w:tcBorders>
            <w:shd w:val="clear" w:color="auto" w:fill="auto"/>
            <w:vAlign w:val="center"/>
            <w:hideMark/>
          </w:tcPr>
          <w:p w14:paraId="500EF050" w14:textId="77777777" w:rsidR="007349FC" w:rsidRPr="00C57567" w:rsidRDefault="007349FC" w:rsidP="007349FC">
            <w:pPr>
              <w:spacing w:after="0" w:line="240" w:lineRule="auto"/>
              <w:jc w:val="center"/>
              <w:rPr>
                <w:rFonts w:ascii="Arial Narrow" w:eastAsia="Times New Roman" w:hAnsi="Arial Narrow" w:cs="Arial"/>
                <w:sz w:val="18"/>
                <w:szCs w:val="18"/>
                <w:lang w:eastAsia="pt-BR"/>
              </w:rPr>
            </w:pPr>
            <w:r w:rsidRPr="00C57567">
              <w:rPr>
                <w:rFonts w:ascii="Arial Narrow" w:eastAsia="Times New Roman" w:hAnsi="Arial Narrow" w:cs="Arial"/>
                <w:sz w:val="18"/>
                <w:szCs w:val="18"/>
                <w:lang w:eastAsia="pt-BR"/>
              </w:rPr>
              <w:t>RPP.G017</w:t>
            </w:r>
          </w:p>
        </w:tc>
      </w:tr>
      <w:tr w:rsidR="007349FC" w:rsidRPr="00C57567" w14:paraId="55F9826F" w14:textId="77777777" w:rsidTr="00EE0371">
        <w:trPr>
          <w:trHeight w:val="285"/>
        </w:trPr>
        <w:tc>
          <w:tcPr>
            <w:tcW w:w="3276" w:type="dxa"/>
            <w:tcBorders>
              <w:top w:val="nil"/>
              <w:left w:val="single" w:sz="8" w:space="0" w:color="auto"/>
              <w:bottom w:val="nil"/>
              <w:right w:val="nil"/>
            </w:tcBorders>
            <w:shd w:val="clear" w:color="auto" w:fill="auto"/>
            <w:vAlign w:val="center"/>
            <w:hideMark/>
          </w:tcPr>
          <w:p w14:paraId="17C687DE" w14:textId="77777777" w:rsidR="007349FC" w:rsidRPr="00C57567" w:rsidRDefault="007349FC" w:rsidP="007349FC">
            <w:pPr>
              <w:spacing w:after="0" w:line="240" w:lineRule="auto"/>
              <w:ind w:firstLineChars="100" w:firstLine="180"/>
              <w:rPr>
                <w:rFonts w:ascii="Arial Narrow" w:eastAsia="Times New Roman" w:hAnsi="Arial Narrow" w:cs="Arial"/>
                <w:sz w:val="18"/>
                <w:szCs w:val="18"/>
                <w:lang w:eastAsia="pt-BR"/>
              </w:rPr>
            </w:pPr>
            <w:r w:rsidRPr="00C57567">
              <w:rPr>
                <w:rFonts w:ascii="Arial Narrow" w:eastAsia="Times New Roman" w:hAnsi="Arial Narrow" w:cs="Arial"/>
                <w:sz w:val="18"/>
                <w:szCs w:val="18"/>
                <w:lang w:eastAsia="pt-BR"/>
              </w:rPr>
              <w:t>Amortização da Dívida</w:t>
            </w:r>
          </w:p>
        </w:tc>
        <w:tc>
          <w:tcPr>
            <w:tcW w:w="1640" w:type="dxa"/>
            <w:tcBorders>
              <w:top w:val="nil"/>
              <w:left w:val="single" w:sz="8" w:space="0" w:color="auto"/>
              <w:bottom w:val="nil"/>
              <w:right w:val="single" w:sz="8" w:space="0" w:color="auto"/>
            </w:tcBorders>
            <w:shd w:val="clear" w:color="auto" w:fill="auto"/>
            <w:vAlign w:val="center"/>
            <w:hideMark/>
          </w:tcPr>
          <w:p w14:paraId="365700E1" w14:textId="77777777" w:rsidR="007349FC" w:rsidRPr="00C57567" w:rsidRDefault="007349FC" w:rsidP="007349FC">
            <w:pPr>
              <w:spacing w:after="0" w:line="240" w:lineRule="auto"/>
              <w:jc w:val="center"/>
              <w:rPr>
                <w:rFonts w:ascii="Arial Narrow" w:eastAsia="Times New Roman" w:hAnsi="Arial Narrow" w:cs="Arial"/>
                <w:sz w:val="18"/>
                <w:szCs w:val="18"/>
                <w:lang w:eastAsia="pt-BR"/>
              </w:rPr>
            </w:pPr>
            <w:r w:rsidRPr="00C57567">
              <w:rPr>
                <w:rFonts w:ascii="Arial Narrow" w:eastAsia="Times New Roman" w:hAnsi="Arial Narrow" w:cs="Arial"/>
                <w:sz w:val="18"/>
                <w:szCs w:val="18"/>
                <w:lang w:eastAsia="pt-BR"/>
              </w:rPr>
              <w:t>RPP.C018</w:t>
            </w:r>
          </w:p>
        </w:tc>
        <w:tc>
          <w:tcPr>
            <w:tcW w:w="2045" w:type="dxa"/>
            <w:tcBorders>
              <w:top w:val="nil"/>
              <w:left w:val="nil"/>
              <w:bottom w:val="nil"/>
              <w:right w:val="single" w:sz="8" w:space="0" w:color="auto"/>
            </w:tcBorders>
            <w:shd w:val="clear" w:color="auto" w:fill="auto"/>
            <w:vAlign w:val="center"/>
            <w:hideMark/>
          </w:tcPr>
          <w:p w14:paraId="42C9782D" w14:textId="77777777" w:rsidR="007349FC" w:rsidRPr="00C57567" w:rsidRDefault="007349FC" w:rsidP="007349FC">
            <w:pPr>
              <w:spacing w:after="0" w:line="240" w:lineRule="auto"/>
              <w:jc w:val="center"/>
              <w:rPr>
                <w:rFonts w:ascii="Arial Narrow" w:eastAsia="Times New Roman" w:hAnsi="Arial Narrow" w:cs="Arial"/>
                <w:sz w:val="18"/>
                <w:szCs w:val="18"/>
                <w:lang w:eastAsia="pt-BR"/>
              </w:rPr>
            </w:pPr>
            <w:r w:rsidRPr="00C57567">
              <w:rPr>
                <w:rFonts w:ascii="Arial Narrow" w:eastAsia="Times New Roman" w:hAnsi="Arial Narrow" w:cs="Arial"/>
                <w:sz w:val="18"/>
                <w:szCs w:val="18"/>
                <w:lang w:eastAsia="pt-BR"/>
              </w:rPr>
              <w:t>RPP.D018</w:t>
            </w:r>
          </w:p>
        </w:tc>
        <w:tc>
          <w:tcPr>
            <w:tcW w:w="1340" w:type="dxa"/>
            <w:tcBorders>
              <w:top w:val="nil"/>
              <w:left w:val="nil"/>
              <w:bottom w:val="nil"/>
              <w:right w:val="single" w:sz="8" w:space="0" w:color="auto"/>
            </w:tcBorders>
            <w:shd w:val="clear" w:color="auto" w:fill="auto"/>
            <w:vAlign w:val="center"/>
            <w:hideMark/>
          </w:tcPr>
          <w:p w14:paraId="46143847" w14:textId="77777777" w:rsidR="007349FC" w:rsidRPr="00C57567" w:rsidRDefault="007349FC" w:rsidP="007349FC">
            <w:pPr>
              <w:spacing w:after="0" w:line="240" w:lineRule="auto"/>
              <w:jc w:val="center"/>
              <w:rPr>
                <w:rFonts w:ascii="Arial Narrow" w:eastAsia="Times New Roman" w:hAnsi="Arial Narrow" w:cs="Arial"/>
                <w:sz w:val="18"/>
                <w:szCs w:val="18"/>
                <w:lang w:eastAsia="pt-BR"/>
              </w:rPr>
            </w:pPr>
            <w:r w:rsidRPr="00C57567">
              <w:rPr>
                <w:rFonts w:ascii="Arial Narrow" w:eastAsia="Times New Roman" w:hAnsi="Arial Narrow" w:cs="Arial"/>
                <w:sz w:val="18"/>
                <w:szCs w:val="18"/>
                <w:lang w:eastAsia="pt-BR"/>
              </w:rPr>
              <w:t>RPP.E018</w:t>
            </w:r>
          </w:p>
        </w:tc>
        <w:tc>
          <w:tcPr>
            <w:tcW w:w="1460" w:type="dxa"/>
            <w:tcBorders>
              <w:top w:val="nil"/>
              <w:left w:val="nil"/>
              <w:bottom w:val="nil"/>
              <w:right w:val="single" w:sz="8" w:space="0" w:color="auto"/>
            </w:tcBorders>
            <w:shd w:val="clear" w:color="auto" w:fill="auto"/>
            <w:vAlign w:val="center"/>
            <w:hideMark/>
          </w:tcPr>
          <w:p w14:paraId="10BFE525" w14:textId="77777777" w:rsidR="007349FC" w:rsidRPr="00C57567" w:rsidRDefault="007349FC" w:rsidP="007349FC">
            <w:pPr>
              <w:spacing w:after="0" w:line="240" w:lineRule="auto"/>
              <w:jc w:val="center"/>
              <w:rPr>
                <w:rFonts w:ascii="Arial Narrow" w:eastAsia="Times New Roman" w:hAnsi="Arial Narrow" w:cs="Arial"/>
                <w:sz w:val="18"/>
                <w:szCs w:val="18"/>
                <w:lang w:eastAsia="pt-BR"/>
              </w:rPr>
            </w:pPr>
            <w:r w:rsidRPr="00C57567">
              <w:rPr>
                <w:rFonts w:ascii="Arial Narrow" w:eastAsia="Times New Roman" w:hAnsi="Arial Narrow" w:cs="Arial"/>
                <w:sz w:val="18"/>
                <w:szCs w:val="18"/>
                <w:lang w:eastAsia="pt-BR"/>
              </w:rPr>
              <w:t>RPP.F018</w:t>
            </w:r>
          </w:p>
        </w:tc>
        <w:tc>
          <w:tcPr>
            <w:tcW w:w="2303" w:type="dxa"/>
            <w:tcBorders>
              <w:top w:val="nil"/>
              <w:left w:val="nil"/>
              <w:bottom w:val="nil"/>
              <w:right w:val="single" w:sz="8" w:space="0" w:color="auto"/>
            </w:tcBorders>
            <w:shd w:val="clear" w:color="auto" w:fill="auto"/>
            <w:vAlign w:val="center"/>
            <w:hideMark/>
          </w:tcPr>
          <w:p w14:paraId="2CC67EC1" w14:textId="77777777" w:rsidR="007349FC" w:rsidRPr="00C57567" w:rsidRDefault="007349FC" w:rsidP="007349FC">
            <w:pPr>
              <w:spacing w:after="0" w:line="240" w:lineRule="auto"/>
              <w:jc w:val="center"/>
              <w:rPr>
                <w:rFonts w:ascii="Arial Narrow" w:eastAsia="Times New Roman" w:hAnsi="Arial Narrow" w:cs="Arial"/>
                <w:sz w:val="18"/>
                <w:szCs w:val="18"/>
                <w:lang w:eastAsia="pt-BR"/>
              </w:rPr>
            </w:pPr>
            <w:r w:rsidRPr="00C57567">
              <w:rPr>
                <w:rFonts w:ascii="Arial Narrow" w:eastAsia="Times New Roman" w:hAnsi="Arial Narrow" w:cs="Arial"/>
                <w:sz w:val="18"/>
                <w:szCs w:val="18"/>
                <w:lang w:eastAsia="pt-BR"/>
              </w:rPr>
              <w:t>RPP.G018</w:t>
            </w:r>
          </w:p>
        </w:tc>
      </w:tr>
      <w:tr w:rsidR="007349FC" w:rsidRPr="00C57567" w14:paraId="3AD22B30" w14:textId="77777777" w:rsidTr="00EE0371">
        <w:trPr>
          <w:trHeight w:val="285"/>
        </w:trPr>
        <w:tc>
          <w:tcPr>
            <w:tcW w:w="3276" w:type="dxa"/>
            <w:tcBorders>
              <w:top w:val="nil"/>
              <w:left w:val="single" w:sz="8" w:space="0" w:color="auto"/>
              <w:bottom w:val="nil"/>
              <w:right w:val="nil"/>
            </w:tcBorders>
            <w:shd w:val="clear" w:color="auto" w:fill="auto"/>
            <w:vAlign w:val="center"/>
            <w:hideMark/>
          </w:tcPr>
          <w:p w14:paraId="600DD1BC" w14:textId="77777777" w:rsidR="007349FC" w:rsidRPr="00C57567" w:rsidRDefault="007349FC" w:rsidP="007349FC">
            <w:pPr>
              <w:spacing w:after="0" w:line="240" w:lineRule="auto"/>
              <w:rPr>
                <w:rFonts w:ascii="Arial Narrow" w:eastAsia="Times New Roman" w:hAnsi="Arial Narrow" w:cs="Arial"/>
                <w:b/>
                <w:bCs/>
                <w:sz w:val="18"/>
                <w:szCs w:val="18"/>
                <w:lang w:eastAsia="pt-BR"/>
              </w:rPr>
            </w:pPr>
            <w:r w:rsidRPr="00C57567">
              <w:rPr>
                <w:rFonts w:ascii="Arial Narrow" w:eastAsia="Times New Roman" w:hAnsi="Arial Narrow" w:cs="Arial"/>
                <w:b/>
                <w:bCs/>
                <w:sz w:val="18"/>
                <w:szCs w:val="18"/>
                <w:lang w:eastAsia="pt-BR"/>
              </w:rPr>
              <w:t> </w:t>
            </w:r>
          </w:p>
        </w:tc>
        <w:tc>
          <w:tcPr>
            <w:tcW w:w="1640" w:type="dxa"/>
            <w:tcBorders>
              <w:top w:val="nil"/>
              <w:left w:val="single" w:sz="8" w:space="0" w:color="auto"/>
              <w:bottom w:val="nil"/>
              <w:right w:val="single" w:sz="8" w:space="0" w:color="auto"/>
            </w:tcBorders>
            <w:shd w:val="clear" w:color="auto" w:fill="auto"/>
            <w:vAlign w:val="center"/>
            <w:hideMark/>
          </w:tcPr>
          <w:p w14:paraId="0D340B57" w14:textId="77777777" w:rsidR="007349FC" w:rsidRPr="00C57567" w:rsidRDefault="007349FC" w:rsidP="007349FC">
            <w:pPr>
              <w:spacing w:after="0" w:line="240" w:lineRule="auto"/>
              <w:jc w:val="center"/>
              <w:rPr>
                <w:rFonts w:ascii="Arial Narrow" w:eastAsia="Times New Roman" w:hAnsi="Arial Narrow" w:cs="Arial"/>
                <w:b/>
                <w:bCs/>
                <w:sz w:val="18"/>
                <w:szCs w:val="18"/>
                <w:lang w:eastAsia="pt-BR"/>
              </w:rPr>
            </w:pPr>
            <w:r w:rsidRPr="00C57567">
              <w:rPr>
                <w:rFonts w:ascii="Arial Narrow" w:eastAsia="Times New Roman" w:hAnsi="Arial Narrow" w:cs="Arial"/>
                <w:b/>
                <w:bCs/>
                <w:sz w:val="18"/>
                <w:szCs w:val="18"/>
                <w:lang w:eastAsia="pt-BR"/>
              </w:rPr>
              <w:t> </w:t>
            </w:r>
          </w:p>
        </w:tc>
        <w:tc>
          <w:tcPr>
            <w:tcW w:w="2045" w:type="dxa"/>
            <w:tcBorders>
              <w:top w:val="nil"/>
              <w:left w:val="nil"/>
              <w:bottom w:val="nil"/>
              <w:right w:val="single" w:sz="8" w:space="0" w:color="auto"/>
            </w:tcBorders>
            <w:shd w:val="clear" w:color="auto" w:fill="auto"/>
            <w:vAlign w:val="center"/>
            <w:hideMark/>
          </w:tcPr>
          <w:p w14:paraId="20A3CD9E" w14:textId="77777777" w:rsidR="007349FC" w:rsidRPr="00C57567" w:rsidRDefault="007349FC" w:rsidP="007349FC">
            <w:pPr>
              <w:spacing w:after="0" w:line="240" w:lineRule="auto"/>
              <w:jc w:val="center"/>
              <w:rPr>
                <w:rFonts w:ascii="Arial Narrow" w:eastAsia="Times New Roman" w:hAnsi="Arial Narrow" w:cs="Arial"/>
                <w:b/>
                <w:bCs/>
                <w:sz w:val="18"/>
                <w:szCs w:val="18"/>
                <w:lang w:eastAsia="pt-BR"/>
              </w:rPr>
            </w:pPr>
            <w:r w:rsidRPr="00C57567">
              <w:rPr>
                <w:rFonts w:ascii="Arial Narrow" w:eastAsia="Times New Roman" w:hAnsi="Arial Narrow" w:cs="Arial"/>
                <w:b/>
                <w:bCs/>
                <w:sz w:val="18"/>
                <w:szCs w:val="18"/>
                <w:lang w:eastAsia="pt-BR"/>
              </w:rPr>
              <w:t> </w:t>
            </w:r>
          </w:p>
        </w:tc>
        <w:tc>
          <w:tcPr>
            <w:tcW w:w="1340" w:type="dxa"/>
            <w:tcBorders>
              <w:top w:val="nil"/>
              <w:left w:val="nil"/>
              <w:bottom w:val="nil"/>
              <w:right w:val="single" w:sz="8" w:space="0" w:color="auto"/>
            </w:tcBorders>
            <w:shd w:val="clear" w:color="auto" w:fill="auto"/>
            <w:vAlign w:val="center"/>
            <w:hideMark/>
          </w:tcPr>
          <w:p w14:paraId="4713E50A" w14:textId="77777777" w:rsidR="007349FC" w:rsidRPr="00C57567" w:rsidRDefault="007349FC" w:rsidP="007349FC">
            <w:pPr>
              <w:spacing w:after="0" w:line="240" w:lineRule="auto"/>
              <w:jc w:val="center"/>
              <w:rPr>
                <w:rFonts w:ascii="Arial Narrow" w:eastAsia="Times New Roman" w:hAnsi="Arial Narrow" w:cs="Arial"/>
                <w:b/>
                <w:bCs/>
                <w:sz w:val="18"/>
                <w:szCs w:val="18"/>
                <w:lang w:eastAsia="pt-BR"/>
              </w:rPr>
            </w:pPr>
            <w:r w:rsidRPr="00C57567">
              <w:rPr>
                <w:rFonts w:ascii="Arial Narrow" w:eastAsia="Times New Roman" w:hAnsi="Arial Narrow" w:cs="Arial"/>
                <w:b/>
                <w:bCs/>
                <w:sz w:val="18"/>
                <w:szCs w:val="18"/>
                <w:lang w:eastAsia="pt-BR"/>
              </w:rPr>
              <w:t> </w:t>
            </w:r>
          </w:p>
        </w:tc>
        <w:tc>
          <w:tcPr>
            <w:tcW w:w="1460" w:type="dxa"/>
            <w:tcBorders>
              <w:top w:val="nil"/>
              <w:left w:val="nil"/>
              <w:bottom w:val="nil"/>
              <w:right w:val="single" w:sz="8" w:space="0" w:color="auto"/>
            </w:tcBorders>
            <w:shd w:val="clear" w:color="auto" w:fill="auto"/>
            <w:vAlign w:val="center"/>
            <w:hideMark/>
          </w:tcPr>
          <w:p w14:paraId="614684C7" w14:textId="77777777" w:rsidR="007349FC" w:rsidRPr="00C57567" w:rsidRDefault="007349FC" w:rsidP="007349FC">
            <w:pPr>
              <w:spacing w:after="0" w:line="240" w:lineRule="auto"/>
              <w:jc w:val="center"/>
              <w:rPr>
                <w:rFonts w:ascii="Arial Narrow" w:eastAsia="Times New Roman" w:hAnsi="Arial Narrow" w:cs="Arial"/>
                <w:b/>
                <w:bCs/>
                <w:sz w:val="18"/>
                <w:szCs w:val="18"/>
                <w:lang w:eastAsia="pt-BR"/>
              </w:rPr>
            </w:pPr>
            <w:r w:rsidRPr="00C57567">
              <w:rPr>
                <w:rFonts w:ascii="Arial Narrow" w:eastAsia="Times New Roman" w:hAnsi="Arial Narrow" w:cs="Arial"/>
                <w:b/>
                <w:bCs/>
                <w:sz w:val="18"/>
                <w:szCs w:val="18"/>
                <w:lang w:eastAsia="pt-BR"/>
              </w:rPr>
              <w:t> </w:t>
            </w:r>
          </w:p>
        </w:tc>
        <w:tc>
          <w:tcPr>
            <w:tcW w:w="2303" w:type="dxa"/>
            <w:tcBorders>
              <w:top w:val="nil"/>
              <w:left w:val="nil"/>
              <w:bottom w:val="nil"/>
              <w:right w:val="single" w:sz="8" w:space="0" w:color="auto"/>
            </w:tcBorders>
            <w:shd w:val="clear" w:color="auto" w:fill="auto"/>
            <w:vAlign w:val="center"/>
            <w:hideMark/>
          </w:tcPr>
          <w:p w14:paraId="69609F75" w14:textId="77777777" w:rsidR="007349FC" w:rsidRPr="00C57567" w:rsidRDefault="007349FC" w:rsidP="007349FC">
            <w:pPr>
              <w:spacing w:after="0" w:line="240" w:lineRule="auto"/>
              <w:jc w:val="center"/>
              <w:rPr>
                <w:rFonts w:ascii="Arial Narrow" w:eastAsia="Times New Roman" w:hAnsi="Arial Narrow" w:cs="Arial"/>
                <w:lang w:eastAsia="pt-BR"/>
              </w:rPr>
            </w:pPr>
            <w:r w:rsidRPr="00C57567">
              <w:rPr>
                <w:rFonts w:ascii="Arial Narrow" w:eastAsia="Times New Roman" w:hAnsi="Arial Narrow" w:cs="Arial"/>
                <w:lang w:eastAsia="pt-BR"/>
              </w:rPr>
              <w:t> </w:t>
            </w:r>
          </w:p>
        </w:tc>
      </w:tr>
      <w:tr w:rsidR="007349FC" w:rsidRPr="00C57567" w14:paraId="297A15B4" w14:textId="77777777" w:rsidTr="00EE0371">
        <w:trPr>
          <w:trHeight w:val="360"/>
        </w:trPr>
        <w:tc>
          <w:tcPr>
            <w:tcW w:w="327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BCFA88E" w14:textId="77777777" w:rsidR="007349FC" w:rsidRPr="00C57567" w:rsidRDefault="007349FC" w:rsidP="007349FC">
            <w:pPr>
              <w:spacing w:after="0" w:line="240" w:lineRule="auto"/>
              <w:rPr>
                <w:rFonts w:ascii="Arial Narrow" w:eastAsia="Times New Roman" w:hAnsi="Arial Narrow" w:cs="Arial"/>
                <w:b/>
                <w:bCs/>
                <w:sz w:val="18"/>
                <w:szCs w:val="18"/>
                <w:lang w:eastAsia="pt-BR"/>
              </w:rPr>
            </w:pPr>
            <w:r w:rsidRPr="00C57567">
              <w:rPr>
                <w:rFonts w:ascii="Arial Narrow" w:eastAsia="Times New Roman" w:hAnsi="Arial Narrow" w:cs="Arial"/>
                <w:b/>
                <w:bCs/>
                <w:sz w:val="18"/>
                <w:szCs w:val="18"/>
                <w:lang w:eastAsia="pt-BR"/>
              </w:rPr>
              <w:t>TOTAL</w:t>
            </w:r>
          </w:p>
        </w:tc>
        <w:tc>
          <w:tcPr>
            <w:tcW w:w="1640" w:type="dxa"/>
            <w:tcBorders>
              <w:top w:val="single" w:sz="8" w:space="0" w:color="auto"/>
              <w:left w:val="nil"/>
              <w:bottom w:val="single" w:sz="8" w:space="0" w:color="auto"/>
              <w:right w:val="single" w:sz="8" w:space="0" w:color="auto"/>
            </w:tcBorders>
            <w:shd w:val="clear" w:color="auto" w:fill="auto"/>
            <w:vAlign w:val="center"/>
            <w:hideMark/>
          </w:tcPr>
          <w:p w14:paraId="58821A70" w14:textId="77777777" w:rsidR="007349FC" w:rsidRPr="00C57567" w:rsidRDefault="007349FC" w:rsidP="007349FC">
            <w:pPr>
              <w:spacing w:after="0" w:line="240" w:lineRule="auto"/>
              <w:jc w:val="center"/>
              <w:rPr>
                <w:rFonts w:ascii="Arial Narrow" w:eastAsia="Times New Roman" w:hAnsi="Arial Narrow" w:cs="Arial"/>
                <w:sz w:val="18"/>
                <w:szCs w:val="18"/>
                <w:lang w:eastAsia="pt-BR"/>
              </w:rPr>
            </w:pPr>
            <w:r w:rsidRPr="00C57567">
              <w:rPr>
                <w:rFonts w:ascii="Arial Narrow" w:eastAsia="Times New Roman" w:hAnsi="Arial Narrow" w:cs="Arial"/>
                <w:sz w:val="18"/>
                <w:szCs w:val="18"/>
                <w:lang w:eastAsia="pt-BR"/>
              </w:rPr>
              <w:t>RPP.C020</w:t>
            </w:r>
          </w:p>
        </w:tc>
        <w:tc>
          <w:tcPr>
            <w:tcW w:w="2045" w:type="dxa"/>
            <w:tcBorders>
              <w:top w:val="single" w:sz="8" w:space="0" w:color="auto"/>
              <w:left w:val="nil"/>
              <w:bottom w:val="single" w:sz="8" w:space="0" w:color="auto"/>
              <w:right w:val="single" w:sz="8" w:space="0" w:color="auto"/>
            </w:tcBorders>
            <w:shd w:val="clear" w:color="auto" w:fill="auto"/>
            <w:vAlign w:val="center"/>
            <w:hideMark/>
          </w:tcPr>
          <w:p w14:paraId="123D2623" w14:textId="77777777" w:rsidR="007349FC" w:rsidRPr="00C57567" w:rsidRDefault="007349FC" w:rsidP="007349FC">
            <w:pPr>
              <w:spacing w:after="0" w:line="240" w:lineRule="auto"/>
              <w:jc w:val="center"/>
              <w:rPr>
                <w:rFonts w:ascii="Arial Narrow" w:eastAsia="Times New Roman" w:hAnsi="Arial Narrow" w:cs="Arial"/>
                <w:sz w:val="18"/>
                <w:szCs w:val="18"/>
                <w:lang w:eastAsia="pt-BR"/>
              </w:rPr>
            </w:pPr>
            <w:r w:rsidRPr="00C57567">
              <w:rPr>
                <w:rFonts w:ascii="Arial Narrow" w:eastAsia="Times New Roman" w:hAnsi="Arial Narrow" w:cs="Arial"/>
                <w:sz w:val="18"/>
                <w:szCs w:val="18"/>
                <w:lang w:eastAsia="pt-BR"/>
              </w:rPr>
              <w:t>RPP.D020</w:t>
            </w:r>
          </w:p>
        </w:tc>
        <w:tc>
          <w:tcPr>
            <w:tcW w:w="1340" w:type="dxa"/>
            <w:tcBorders>
              <w:top w:val="single" w:sz="8" w:space="0" w:color="auto"/>
              <w:left w:val="nil"/>
              <w:bottom w:val="single" w:sz="8" w:space="0" w:color="auto"/>
              <w:right w:val="single" w:sz="8" w:space="0" w:color="auto"/>
            </w:tcBorders>
            <w:shd w:val="clear" w:color="auto" w:fill="auto"/>
            <w:vAlign w:val="center"/>
            <w:hideMark/>
          </w:tcPr>
          <w:p w14:paraId="4EECD253" w14:textId="77777777" w:rsidR="007349FC" w:rsidRPr="00C57567" w:rsidRDefault="007349FC" w:rsidP="007349FC">
            <w:pPr>
              <w:spacing w:after="0" w:line="240" w:lineRule="auto"/>
              <w:jc w:val="center"/>
              <w:rPr>
                <w:rFonts w:ascii="Arial Narrow" w:eastAsia="Times New Roman" w:hAnsi="Arial Narrow" w:cs="Arial"/>
                <w:sz w:val="18"/>
                <w:szCs w:val="18"/>
                <w:lang w:eastAsia="pt-BR"/>
              </w:rPr>
            </w:pPr>
            <w:r w:rsidRPr="00C57567">
              <w:rPr>
                <w:rFonts w:ascii="Arial Narrow" w:eastAsia="Times New Roman" w:hAnsi="Arial Narrow" w:cs="Arial"/>
                <w:sz w:val="18"/>
                <w:szCs w:val="18"/>
                <w:lang w:eastAsia="pt-BR"/>
              </w:rPr>
              <w:t>RPP.E020</w:t>
            </w:r>
          </w:p>
        </w:tc>
        <w:tc>
          <w:tcPr>
            <w:tcW w:w="1460" w:type="dxa"/>
            <w:tcBorders>
              <w:top w:val="single" w:sz="8" w:space="0" w:color="auto"/>
              <w:left w:val="nil"/>
              <w:bottom w:val="single" w:sz="8" w:space="0" w:color="auto"/>
              <w:right w:val="single" w:sz="8" w:space="0" w:color="auto"/>
            </w:tcBorders>
            <w:shd w:val="clear" w:color="auto" w:fill="auto"/>
            <w:vAlign w:val="center"/>
            <w:hideMark/>
          </w:tcPr>
          <w:p w14:paraId="6E4D8A2C" w14:textId="77777777" w:rsidR="007349FC" w:rsidRPr="00C57567" w:rsidRDefault="007349FC" w:rsidP="007349FC">
            <w:pPr>
              <w:spacing w:after="0" w:line="240" w:lineRule="auto"/>
              <w:jc w:val="center"/>
              <w:rPr>
                <w:rFonts w:ascii="Arial Narrow" w:eastAsia="Times New Roman" w:hAnsi="Arial Narrow" w:cs="Arial"/>
                <w:sz w:val="18"/>
                <w:szCs w:val="18"/>
                <w:lang w:eastAsia="pt-BR"/>
              </w:rPr>
            </w:pPr>
            <w:r w:rsidRPr="00C57567">
              <w:rPr>
                <w:rFonts w:ascii="Arial Narrow" w:eastAsia="Times New Roman" w:hAnsi="Arial Narrow" w:cs="Arial"/>
                <w:sz w:val="18"/>
                <w:szCs w:val="18"/>
                <w:lang w:eastAsia="pt-BR"/>
              </w:rPr>
              <w:t>RPP.F020</w:t>
            </w:r>
          </w:p>
        </w:tc>
        <w:tc>
          <w:tcPr>
            <w:tcW w:w="2303" w:type="dxa"/>
            <w:tcBorders>
              <w:top w:val="single" w:sz="8" w:space="0" w:color="auto"/>
              <w:left w:val="nil"/>
              <w:bottom w:val="single" w:sz="8" w:space="0" w:color="auto"/>
              <w:right w:val="single" w:sz="8" w:space="0" w:color="auto"/>
            </w:tcBorders>
            <w:shd w:val="clear" w:color="auto" w:fill="auto"/>
            <w:vAlign w:val="center"/>
            <w:hideMark/>
          </w:tcPr>
          <w:p w14:paraId="2FBAB9E3" w14:textId="77777777" w:rsidR="007349FC" w:rsidRPr="00C57567" w:rsidRDefault="007349FC" w:rsidP="007349FC">
            <w:pPr>
              <w:spacing w:after="0" w:line="240" w:lineRule="auto"/>
              <w:jc w:val="center"/>
              <w:rPr>
                <w:rFonts w:ascii="Arial Narrow" w:eastAsia="Times New Roman" w:hAnsi="Arial Narrow" w:cs="Arial"/>
                <w:sz w:val="18"/>
                <w:szCs w:val="18"/>
                <w:lang w:eastAsia="pt-BR"/>
              </w:rPr>
            </w:pPr>
            <w:r w:rsidRPr="00C57567">
              <w:rPr>
                <w:rFonts w:ascii="Arial Narrow" w:eastAsia="Times New Roman" w:hAnsi="Arial Narrow" w:cs="Arial"/>
                <w:sz w:val="18"/>
                <w:szCs w:val="18"/>
                <w:lang w:eastAsia="pt-BR"/>
              </w:rPr>
              <w:t>RPP.G020</w:t>
            </w:r>
          </w:p>
        </w:tc>
      </w:tr>
    </w:tbl>
    <w:p w14:paraId="4B9F64DE" w14:textId="77777777" w:rsidR="007349FC" w:rsidRDefault="007349FC" w:rsidP="007349FC">
      <w:pPr>
        <w:spacing w:line="240" w:lineRule="auto"/>
        <w:jc w:val="center"/>
        <w:rPr>
          <w:rFonts w:ascii="Arial" w:eastAsia="Times New Roman" w:hAnsi="Arial" w:cs="Arial"/>
          <w:b/>
          <w:bCs/>
          <w:sz w:val="20"/>
          <w:szCs w:val="20"/>
          <w:lang w:eastAsia="pt-BR"/>
        </w:rPr>
      </w:pPr>
    </w:p>
    <w:p w14:paraId="3CED879E" w14:textId="77777777" w:rsidR="007349FC" w:rsidRPr="007349FC" w:rsidRDefault="007349FC" w:rsidP="007349FC">
      <w:pPr>
        <w:rPr>
          <w:rFonts w:ascii="Arial" w:hAnsi="Arial" w:cs="Arial"/>
          <w:b/>
        </w:rPr>
      </w:pPr>
      <w:r w:rsidRPr="007349FC">
        <w:rPr>
          <w:rFonts w:ascii="Arial" w:hAnsi="Arial" w:cs="Arial"/>
          <w:b/>
        </w:rPr>
        <w:t>Observaç</w:t>
      </w:r>
      <w:r w:rsidR="006132D3">
        <w:rPr>
          <w:rFonts w:ascii="Arial" w:hAnsi="Arial" w:cs="Arial"/>
          <w:b/>
        </w:rPr>
        <w:t>ão</w:t>
      </w:r>
      <w:r w:rsidRPr="007349FC">
        <w:rPr>
          <w:rFonts w:ascii="Arial" w:hAnsi="Arial" w:cs="Arial"/>
          <w:b/>
        </w:rPr>
        <w:t>:</w:t>
      </w:r>
    </w:p>
    <w:p w14:paraId="7F78929C" w14:textId="77777777" w:rsidR="007349FC" w:rsidRPr="007349FC" w:rsidRDefault="007349FC" w:rsidP="007349FC">
      <w:pPr>
        <w:rPr>
          <w:rFonts w:ascii="Arial" w:hAnsi="Arial" w:cs="Arial"/>
        </w:rPr>
      </w:pPr>
      <w:r w:rsidRPr="007349FC">
        <w:rPr>
          <w:rFonts w:ascii="Arial" w:hAnsi="Arial" w:cs="Arial"/>
        </w:rPr>
        <w:t>1) O Quadro não aceitará valores negativos.</w:t>
      </w:r>
    </w:p>
    <w:p w14:paraId="4F9D5F2F" w14:textId="77777777" w:rsidR="007349FC" w:rsidRPr="007349FC" w:rsidRDefault="007349FC" w:rsidP="007349FC">
      <w:pPr>
        <w:spacing w:line="240" w:lineRule="auto"/>
        <w:jc w:val="center"/>
        <w:rPr>
          <w:rFonts w:ascii="Arial" w:eastAsia="Times New Roman" w:hAnsi="Arial" w:cs="Arial"/>
          <w:b/>
          <w:bCs/>
          <w:sz w:val="20"/>
          <w:szCs w:val="20"/>
          <w:lang w:eastAsia="pt-BR"/>
        </w:rPr>
        <w:sectPr w:rsidR="007349FC" w:rsidRPr="007349FC" w:rsidSect="00E7482B">
          <w:pgSz w:w="16838" w:h="11906" w:orient="landscape" w:code="9"/>
          <w:pgMar w:top="1134" w:right="1418" w:bottom="1701" w:left="1418" w:header="709" w:footer="709" w:gutter="0"/>
          <w:cols w:space="708"/>
          <w:docGrid w:linePitch="360"/>
        </w:sectPr>
      </w:pPr>
    </w:p>
    <w:p w14:paraId="6359794B" w14:textId="02766052" w:rsidR="004B32B4" w:rsidRDefault="004B32B4" w:rsidP="00A60EA7">
      <w:pPr>
        <w:pStyle w:val="Ttulo3"/>
      </w:pPr>
      <w:bookmarkStart w:id="32" w:name="_Toc94806309"/>
      <w:r w:rsidRPr="004B32B4">
        <w:lastRenderedPageBreak/>
        <w:t>BALPAT.XML (ou BalancoPatrimonial.xml)</w:t>
      </w:r>
      <w:bookmarkEnd w:id="32"/>
    </w:p>
    <w:p w14:paraId="6224DC3C" w14:textId="77777777" w:rsidR="004B32B4" w:rsidRPr="004B32B4" w:rsidRDefault="004B32B4" w:rsidP="004B32B4">
      <w:pPr>
        <w:spacing w:after="0" w:line="360" w:lineRule="auto"/>
        <w:jc w:val="both"/>
        <w:rPr>
          <w:rFonts w:ascii="Arial" w:hAnsi="Arial" w:cs="Arial"/>
          <w:b/>
          <w:bCs/>
        </w:rPr>
      </w:pPr>
      <w:r w:rsidRPr="004B32B4">
        <w:rPr>
          <w:rFonts w:ascii="Arial" w:hAnsi="Arial" w:cs="Arial"/>
          <w:b/>
          <w:bCs/>
        </w:rPr>
        <w:t>Descrição: </w:t>
      </w:r>
      <w:r w:rsidRPr="004B32B4">
        <w:rPr>
          <w:rFonts w:ascii="Arial" w:hAnsi="Arial" w:cs="Arial"/>
          <w:bCs/>
        </w:rPr>
        <w:t>Este arquivo conterá os dados referentes ao Balanço Patrimonial (Anexo 14 Lei 4.320/1964) da Prestação de Contas Anual dos respectivos responsáveis pelo encaminhamento ao TCEES</w:t>
      </w:r>
      <w:r w:rsidR="003445FB">
        <w:rPr>
          <w:rFonts w:ascii="Arial" w:hAnsi="Arial" w:cs="Arial"/>
          <w:bCs/>
        </w:rPr>
        <w:t>.</w:t>
      </w:r>
    </w:p>
    <w:p w14:paraId="3B21C24A" w14:textId="77777777" w:rsidR="004B32B4" w:rsidRDefault="004B32B4" w:rsidP="004B32B4">
      <w:pPr>
        <w:spacing w:after="0" w:line="240" w:lineRule="auto"/>
        <w:rPr>
          <w:b/>
          <w:bCs/>
        </w:rPr>
      </w:pPr>
    </w:p>
    <w:p w14:paraId="19275838" w14:textId="77777777" w:rsidR="004B32B4" w:rsidRPr="004B32B4" w:rsidRDefault="004B32B4" w:rsidP="004B32B4">
      <w:pPr>
        <w:spacing w:after="0" w:line="240" w:lineRule="auto"/>
        <w:rPr>
          <w:rFonts w:ascii="Arial" w:hAnsi="Arial" w:cs="Arial"/>
          <w:b/>
          <w:bCs/>
        </w:rPr>
      </w:pPr>
      <w:r w:rsidRPr="004B32B4">
        <w:rPr>
          <w:rFonts w:ascii="Arial" w:hAnsi="Arial" w:cs="Arial"/>
          <w:b/>
          <w:bCs/>
        </w:rPr>
        <w:t>Estrutura:</w:t>
      </w:r>
    </w:p>
    <w:p w14:paraId="15700CD3" w14:textId="77777777" w:rsidR="004B32B4" w:rsidRPr="004B32B4" w:rsidRDefault="004B32B4" w:rsidP="004B32B4">
      <w:pPr>
        <w:autoSpaceDE w:val="0"/>
        <w:autoSpaceDN w:val="0"/>
        <w:adjustRightInd w:val="0"/>
        <w:spacing w:after="0" w:line="240" w:lineRule="auto"/>
        <w:rPr>
          <w:rFonts w:ascii="Arial" w:hAnsi="Arial" w:cs="Arial"/>
          <w:sz w:val="20"/>
          <w:szCs w:val="20"/>
        </w:rPr>
      </w:pPr>
      <w:r w:rsidRPr="004B32B4">
        <w:rPr>
          <w:rFonts w:ascii="Arial" w:hAnsi="Arial" w:cs="Arial"/>
          <w:sz w:val="20"/>
          <w:szCs w:val="20"/>
          <w:lang w:eastAsia="pt-BR"/>
        </w:rPr>
        <w:t xml:space="preserve">&lt;?xml version="1.0" </w:t>
      </w:r>
      <w:r w:rsidRPr="004B32B4">
        <w:rPr>
          <w:rFonts w:ascii="Arial" w:hAnsi="Arial" w:cs="Arial"/>
          <w:sz w:val="20"/>
          <w:szCs w:val="20"/>
        </w:rPr>
        <w:t>encoding=“UTF-8”?&gt;</w:t>
      </w:r>
    </w:p>
    <w:p w14:paraId="06A8C223" w14:textId="77777777" w:rsidR="004B32B4" w:rsidRPr="004B32B4" w:rsidRDefault="004B32B4" w:rsidP="004B32B4">
      <w:pPr>
        <w:spacing w:after="0" w:line="240" w:lineRule="auto"/>
        <w:ind w:right="600"/>
        <w:rPr>
          <w:rFonts w:ascii="Arial" w:hAnsi="Arial" w:cs="Arial"/>
          <w:sz w:val="20"/>
          <w:szCs w:val="20"/>
          <w:lang w:eastAsia="pt-BR"/>
        </w:rPr>
      </w:pPr>
      <w:r w:rsidRPr="004B32B4">
        <w:rPr>
          <w:rFonts w:ascii="Arial" w:hAnsi="Arial" w:cs="Arial"/>
          <w:sz w:val="20"/>
          <w:szCs w:val="20"/>
          <w:lang w:eastAsia="pt-BR"/>
        </w:rPr>
        <w:t>&lt;PrestacaoContasAnual&gt;</w:t>
      </w:r>
    </w:p>
    <w:p w14:paraId="132C7722" w14:textId="77777777" w:rsidR="004B32B4" w:rsidRPr="004B32B4" w:rsidRDefault="004B32B4" w:rsidP="004B32B4">
      <w:pPr>
        <w:spacing w:after="0" w:line="240" w:lineRule="auto"/>
        <w:ind w:right="600" w:firstLine="708"/>
        <w:rPr>
          <w:rFonts w:ascii="Arial" w:hAnsi="Arial" w:cs="Arial"/>
          <w:sz w:val="20"/>
          <w:szCs w:val="20"/>
          <w:lang w:eastAsia="pt-BR"/>
        </w:rPr>
      </w:pPr>
      <w:r w:rsidRPr="004B32B4">
        <w:rPr>
          <w:rFonts w:ascii="Arial" w:hAnsi="Arial" w:cs="Arial"/>
          <w:sz w:val="20"/>
          <w:szCs w:val="20"/>
          <w:lang w:eastAsia="pt-BR"/>
        </w:rPr>
        <w:t>&lt;BalancoPatrimonial_Schema&gt;</w:t>
      </w:r>
    </w:p>
    <w:p w14:paraId="2BE31298" w14:textId="77777777" w:rsidR="004B32B4" w:rsidRPr="004B32B4" w:rsidRDefault="004B32B4" w:rsidP="004B32B4">
      <w:pPr>
        <w:spacing w:after="0" w:line="240" w:lineRule="auto"/>
        <w:ind w:right="600" w:firstLine="708"/>
        <w:rPr>
          <w:rFonts w:ascii="Arial" w:hAnsi="Arial" w:cs="Arial"/>
          <w:sz w:val="20"/>
          <w:szCs w:val="20"/>
          <w:lang w:eastAsia="pt-BR"/>
        </w:rPr>
      </w:pPr>
    </w:p>
    <w:p w14:paraId="414D1062" w14:textId="77777777" w:rsidR="004B32B4" w:rsidRPr="004B32B4" w:rsidRDefault="004B32B4" w:rsidP="004B32B4">
      <w:pPr>
        <w:spacing w:after="0" w:line="240" w:lineRule="auto"/>
        <w:ind w:right="600"/>
        <w:rPr>
          <w:rFonts w:ascii="Arial" w:hAnsi="Arial" w:cs="Arial"/>
          <w:sz w:val="20"/>
          <w:szCs w:val="20"/>
          <w:lang w:eastAsia="pt-BR"/>
        </w:rPr>
      </w:pPr>
      <w:r w:rsidRPr="004B32B4">
        <w:rPr>
          <w:rFonts w:ascii="Arial" w:hAnsi="Arial" w:cs="Arial"/>
          <w:sz w:val="20"/>
          <w:szCs w:val="20"/>
          <w:lang w:eastAsia="pt-BR"/>
        </w:rPr>
        <w:tab/>
      </w:r>
      <w:r w:rsidRPr="004B32B4">
        <w:rPr>
          <w:rFonts w:ascii="Arial" w:hAnsi="Arial" w:cs="Arial"/>
          <w:sz w:val="20"/>
          <w:szCs w:val="20"/>
          <w:lang w:eastAsia="pt-BR"/>
        </w:rPr>
        <w:tab/>
        <w:t>&lt;BalancoPatrimonial&gt;</w:t>
      </w:r>
    </w:p>
    <w:p w14:paraId="447A5E29" w14:textId="77777777" w:rsidR="004B32B4" w:rsidRPr="004B32B4" w:rsidRDefault="004B32B4" w:rsidP="004B32B4">
      <w:pPr>
        <w:spacing w:after="0" w:line="240" w:lineRule="auto"/>
        <w:ind w:left="1416" w:right="600" w:firstLine="708"/>
        <w:rPr>
          <w:rFonts w:ascii="Arial" w:hAnsi="Arial" w:cs="Arial"/>
          <w:sz w:val="20"/>
          <w:szCs w:val="20"/>
          <w:lang w:eastAsia="pt-BR"/>
        </w:rPr>
      </w:pPr>
      <w:r w:rsidRPr="004B32B4">
        <w:rPr>
          <w:rFonts w:ascii="Arial" w:hAnsi="Arial" w:cs="Arial"/>
          <w:sz w:val="20"/>
          <w:szCs w:val="20"/>
          <w:lang w:eastAsia="pt-BR"/>
        </w:rPr>
        <w:t>&lt;IdNumRegistro&gt;</w:t>
      </w:r>
      <w:r w:rsidRPr="004B32B4">
        <w:rPr>
          <w:rFonts w:ascii="Arial" w:hAnsi="Arial" w:cs="Arial"/>
          <w:b/>
          <w:bCs/>
          <w:sz w:val="20"/>
          <w:szCs w:val="20"/>
          <w:lang w:eastAsia="pt-BR"/>
        </w:rPr>
        <w:t>99999</w:t>
      </w:r>
      <w:r w:rsidRPr="004B32B4">
        <w:rPr>
          <w:rFonts w:ascii="Arial" w:hAnsi="Arial" w:cs="Arial"/>
          <w:sz w:val="20"/>
          <w:szCs w:val="20"/>
          <w:lang w:eastAsia="pt-BR"/>
        </w:rPr>
        <w:t>&lt;/IdNumRegistro&gt;</w:t>
      </w:r>
    </w:p>
    <w:p w14:paraId="257B2D94" w14:textId="77777777" w:rsidR="004B32B4" w:rsidRPr="004B32B4" w:rsidRDefault="004B32B4" w:rsidP="004B32B4">
      <w:pPr>
        <w:spacing w:after="0" w:line="240" w:lineRule="auto"/>
        <w:ind w:left="1416" w:right="600" w:firstLine="708"/>
        <w:rPr>
          <w:rFonts w:ascii="Arial" w:hAnsi="Arial" w:cs="Arial"/>
          <w:sz w:val="20"/>
          <w:szCs w:val="20"/>
          <w:lang w:eastAsia="pt-BR"/>
        </w:rPr>
      </w:pPr>
      <w:r w:rsidRPr="004B32B4">
        <w:rPr>
          <w:rFonts w:ascii="Arial" w:hAnsi="Arial" w:cs="Arial"/>
          <w:sz w:val="20"/>
          <w:szCs w:val="20"/>
          <w:lang w:eastAsia="pt-BR"/>
        </w:rPr>
        <w:t>&lt;Codigo&gt;</w:t>
      </w:r>
      <w:r w:rsidRPr="004B32B4">
        <w:rPr>
          <w:rFonts w:ascii="Arial" w:hAnsi="Arial" w:cs="Arial"/>
          <w:b/>
          <w:bCs/>
          <w:sz w:val="20"/>
          <w:szCs w:val="20"/>
          <w:lang w:eastAsia="pt-BR"/>
        </w:rPr>
        <w:t>XXXXXXXX</w:t>
      </w:r>
      <w:r w:rsidRPr="004B32B4">
        <w:rPr>
          <w:rFonts w:ascii="Arial" w:hAnsi="Arial" w:cs="Arial"/>
          <w:sz w:val="20"/>
          <w:szCs w:val="20"/>
          <w:lang w:eastAsia="pt-BR"/>
        </w:rPr>
        <w:t>&lt;/Codigo&gt;</w:t>
      </w:r>
    </w:p>
    <w:p w14:paraId="019042B6" w14:textId="77777777" w:rsidR="004B32B4" w:rsidRPr="004B32B4" w:rsidRDefault="004B32B4" w:rsidP="004B32B4">
      <w:pPr>
        <w:spacing w:after="0" w:line="240" w:lineRule="auto"/>
        <w:ind w:left="1416" w:right="600" w:firstLine="708"/>
        <w:rPr>
          <w:rFonts w:ascii="Arial" w:hAnsi="Arial" w:cs="Arial"/>
          <w:sz w:val="20"/>
          <w:szCs w:val="20"/>
          <w:lang w:eastAsia="pt-BR"/>
        </w:rPr>
      </w:pPr>
      <w:r w:rsidRPr="004B32B4">
        <w:rPr>
          <w:rFonts w:ascii="Arial" w:hAnsi="Arial" w:cs="Arial"/>
          <w:sz w:val="20"/>
          <w:szCs w:val="20"/>
          <w:lang w:eastAsia="pt-BR"/>
        </w:rPr>
        <w:t>&lt;Valor&gt;</w:t>
      </w:r>
      <w:r w:rsidRPr="004B32B4">
        <w:rPr>
          <w:rFonts w:ascii="Arial" w:hAnsi="Arial" w:cs="Arial"/>
          <w:b/>
          <w:bCs/>
          <w:sz w:val="20"/>
          <w:szCs w:val="20"/>
          <w:lang w:eastAsia="pt-BR"/>
        </w:rPr>
        <w:t>99999999999999.99</w:t>
      </w:r>
      <w:r w:rsidRPr="004B32B4">
        <w:rPr>
          <w:rFonts w:ascii="Arial" w:hAnsi="Arial" w:cs="Arial"/>
          <w:sz w:val="20"/>
          <w:szCs w:val="20"/>
          <w:lang w:eastAsia="pt-BR"/>
        </w:rPr>
        <w:t xml:space="preserve">&lt;/Valor&gt; </w:t>
      </w:r>
    </w:p>
    <w:p w14:paraId="165BFF96" w14:textId="34692750" w:rsidR="004B32B4" w:rsidRPr="004B32B4" w:rsidRDefault="004B32B4" w:rsidP="004B32B4">
      <w:pPr>
        <w:spacing w:after="0" w:line="240" w:lineRule="auto"/>
        <w:ind w:left="708" w:right="600" w:firstLine="708"/>
        <w:rPr>
          <w:rFonts w:ascii="Arial" w:hAnsi="Arial" w:cs="Arial"/>
          <w:sz w:val="20"/>
          <w:szCs w:val="20"/>
          <w:lang w:eastAsia="pt-BR"/>
        </w:rPr>
      </w:pPr>
      <w:r w:rsidRPr="004B32B4">
        <w:rPr>
          <w:rFonts w:ascii="Arial" w:hAnsi="Arial" w:cs="Arial"/>
          <w:sz w:val="20"/>
          <w:szCs w:val="20"/>
          <w:lang w:eastAsia="pt-BR"/>
        </w:rPr>
        <w:t>&lt;/BalancoPatrimonial&gt;</w:t>
      </w:r>
    </w:p>
    <w:p w14:paraId="52EE1EE3" w14:textId="77777777" w:rsidR="004B32B4" w:rsidRPr="004B32B4" w:rsidRDefault="004B32B4" w:rsidP="004B32B4">
      <w:pPr>
        <w:spacing w:after="0" w:line="240" w:lineRule="auto"/>
        <w:ind w:left="708" w:right="600" w:firstLine="708"/>
        <w:rPr>
          <w:rFonts w:ascii="Arial" w:hAnsi="Arial" w:cs="Arial"/>
          <w:sz w:val="20"/>
          <w:szCs w:val="20"/>
          <w:lang w:eastAsia="pt-BR"/>
        </w:rPr>
      </w:pPr>
    </w:p>
    <w:p w14:paraId="1423DF22" w14:textId="77777777" w:rsidR="004B32B4" w:rsidRPr="004B32B4" w:rsidRDefault="004B32B4" w:rsidP="004B32B4">
      <w:pPr>
        <w:spacing w:after="0" w:line="240" w:lineRule="auto"/>
        <w:ind w:right="600" w:firstLine="708"/>
        <w:rPr>
          <w:rFonts w:ascii="Arial" w:hAnsi="Arial" w:cs="Arial"/>
          <w:sz w:val="20"/>
          <w:szCs w:val="20"/>
          <w:lang w:eastAsia="pt-BR"/>
        </w:rPr>
      </w:pPr>
      <w:r w:rsidRPr="004B32B4">
        <w:rPr>
          <w:rFonts w:ascii="Arial" w:hAnsi="Arial" w:cs="Arial"/>
          <w:sz w:val="20"/>
          <w:szCs w:val="20"/>
          <w:lang w:eastAsia="pt-BR"/>
        </w:rPr>
        <w:t>&lt;/BalancoPatrimonial_Schema&gt;</w:t>
      </w:r>
    </w:p>
    <w:p w14:paraId="3F33C7B6" w14:textId="77777777" w:rsidR="004B32B4" w:rsidRPr="004B32B4" w:rsidRDefault="004B32B4" w:rsidP="004B32B4">
      <w:pPr>
        <w:spacing w:after="0" w:line="240" w:lineRule="auto"/>
        <w:ind w:right="600"/>
        <w:rPr>
          <w:rFonts w:ascii="Arial" w:hAnsi="Arial" w:cs="Arial"/>
          <w:sz w:val="20"/>
          <w:szCs w:val="20"/>
          <w:lang w:eastAsia="pt-BR"/>
        </w:rPr>
      </w:pPr>
      <w:r w:rsidRPr="004B32B4">
        <w:rPr>
          <w:rFonts w:ascii="Arial" w:hAnsi="Arial" w:cs="Arial"/>
          <w:sz w:val="20"/>
          <w:szCs w:val="20"/>
          <w:lang w:eastAsia="pt-BR"/>
        </w:rPr>
        <w:t>&lt;/PrestacaoContasAnual&gt;</w:t>
      </w:r>
    </w:p>
    <w:p w14:paraId="408158F9" w14:textId="77777777" w:rsidR="009A5D8F" w:rsidRDefault="009A5D8F" w:rsidP="004B32B4">
      <w:pPr>
        <w:spacing w:after="0" w:line="240" w:lineRule="auto"/>
        <w:jc w:val="both"/>
        <w:rPr>
          <w:rFonts w:ascii="Arial" w:eastAsia="Calibri" w:hAnsi="Arial" w:cs="Arial"/>
          <w:sz w:val="20"/>
          <w:szCs w:val="20"/>
        </w:rPr>
      </w:pPr>
    </w:p>
    <w:p w14:paraId="3D3F29B7" w14:textId="77777777" w:rsidR="004B32B4" w:rsidRDefault="004B32B4" w:rsidP="004B32B4">
      <w:pPr>
        <w:spacing w:after="0" w:line="240" w:lineRule="auto"/>
        <w:jc w:val="both"/>
        <w:rPr>
          <w:rFonts w:ascii="Arial" w:eastAsia="Calibri" w:hAnsi="Arial" w:cs="Arial"/>
          <w:sz w:val="20"/>
          <w:szCs w:val="20"/>
        </w:rPr>
      </w:pPr>
    </w:p>
    <w:tbl>
      <w:tblPr>
        <w:tblW w:w="904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390"/>
        <w:gridCol w:w="1133"/>
        <w:gridCol w:w="1507"/>
        <w:gridCol w:w="3016"/>
      </w:tblGrid>
      <w:tr w:rsidR="004B32B4" w:rsidRPr="00D13D93" w14:paraId="09326541" w14:textId="77777777" w:rsidTr="00EE0371">
        <w:trPr>
          <w:tblHeader/>
          <w:jc w:val="center"/>
        </w:trPr>
        <w:tc>
          <w:tcPr>
            <w:tcW w:w="3390" w:type="dxa"/>
            <w:tcBorders>
              <w:bottom w:val="single" w:sz="6" w:space="0" w:color="auto"/>
            </w:tcBorders>
            <w:shd w:val="solid" w:color="C0C0C0" w:fill="auto"/>
            <w:vAlign w:val="center"/>
          </w:tcPr>
          <w:p w14:paraId="3B30227B" w14:textId="77777777" w:rsidR="004B32B4" w:rsidRPr="004B32B4" w:rsidRDefault="004B32B4" w:rsidP="00EE0371">
            <w:pPr>
              <w:spacing w:before="120" w:after="120" w:line="240" w:lineRule="auto"/>
              <w:jc w:val="center"/>
              <w:rPr>
                <w:rFonts w:ascii="Arial" w:hAnsi="Arial" w:cs="Arial"/>
                <w:b/>
                <w:sz w:val="20"/>
                <w:szCs w:val="20"/>
              </w:rPr>
            </w:pPr>
            <w:r w:rsidRPr="004B32B4">
              <w:rPr>
                <w:rFonts w:ascii="Arial" w:hAnsi="Arial" w:cs="Arial"/>
                <w:b/>
                <w:bCs/>
              </w:rPr>
              <w:br w:type="page"/>
            </w:r>
            <w:r w:rsidRPr="004B32B4">
              <w:rPr>
                <w:rFonts w:ascii="Arial" w:hAnsi="Arial" w:cs="Arial"/>
                <w:b/>
                <w:sz w:val="20"/>
                <w:szCs w:val="20"/>
              </w:rPr>
              <w:t>Campo</w:t>
            </w:r>
          </w:p>
        </w:tc>
        <w:tc>
          <w:tcPr>
            <w:tcW w:w="1133" w:type="dxa"/>
            <w:tcBorders>
              <w:bottom w:val="single" w:sz="6" w:space="0" w:color="auto"/>
            </w:tcBorders>
            <w:shd w:val="solid" w:color="C0C0C0" w:fill="auto"/>
            <w:vAlign w:val="center"/>
          </w:tcPr>
          <w:p w14:paraId="40A789B9" w14:textId="77777777" w:rsidR="004B32B4" w:rsidRPr="004B32B4" w:rsidRDefault="004B32B4" w:rsidP="00EE0371">
            <w:pPr>
              <w:spacing w:before="120" w:after="120" w:line="240" w:lineRule="auto"/>
              <w:jc w:val="center"/>
              <w:rPr>
                <w:rFonts w:ascii="Arial" w:hAnsi="Arial" w:cs="Arial"/>
                <w:b/>
                <w:sz w:val="20"/>
                <w:szCs w:val="20"/>
              </w:rPr>
            </w:pPr>
            <w:r w:rsidRPr="004B32B4">
              <w:rPr>
                <w:rFonts w:ascii="Arial" w:hAnsi="Arial" w:cs="Arial"/>
                <w:b/>
                <w:sz w:val="20"/>
                <w:szCs w:val="20"/>
              </w:rPr>
              <w:t>Tipo</w:t>
            </w:r>
          </w:p>
        </w:tc>
        <w:tc>
          <w:tcPr>
            <w:tcW w:w="1507" w:type="dxa"/>
            <w:tcBorders>
              <w:bottom w:val="single" w:sz="6" w:space="0" w:color="auto"/>
            </w:tcBorders>
            <w:shd w:val="solid" w:color="C0C0C0" w:fill="auto"/>
            <w:vAlign w:val="center"/>
          </w:tcPr>
          <w:p w14:paraId="765B4B28" w14:textId="77777777" w:rsidR="004B32B4" w:rsidRPr="004B32B4" w:rsidRDefault="004B32B4" w:rsidP="00EE0371">
            <w:pPr>
              <w:spacing w:before="120" w:after="120" w:line="240" w:lineRule="auto"/>
              <w:jc w:val="center"/>
              <w:rPr>
                <w:rFonts w:ascii="Arial" w:hAnsi="Arial" w:cs="Arial"/>
                <w:b/>
                <w:sz w:val="20"/>
                <w:szCs w:val="20"/>
              </w:rPr>
            </w:pPr>
            <w:r w:rsidRPr="004B32B4">
              <w:rPr>
                <w:rFonts w:ascii="Arial" w:hAnsi="Arial" w:cs="Arial"/>
                <w:b/>
                <w:sz w:val="20"/>
                <w:szCs w:val="20"/>
              </w:rPr>
              <w:t>Tamanho</w:t>
            </w:r>
          </w:p>
        </w:tc>
        <w:tc>
          <w:tcPr>
            <w:tcW w:w="3016" w:type="dxa"/>
            <w:tcBorders>
              <w:bottom w:val="single" w:sz="6" w:space="0" w:color="auto"/>
            </w:tcBorders>
            <w:shd w:val="solid" w:color="C0C0C0" w:fill="auto"/>
            <w:vAlign w:val="center"/>
          </w:tcPr>
          <w:p w14:paraId="275F2C47" w14:textId="77777777" w:rsidR="004B32B4" w:rsidRPr="004B32B4" w:rsidRDefault="004B32B4" w:rsidP="00EE0371">
            <w:pPr>
              <w:spacing w:before="120" w:after="120" w:line="240" w:lineRule="auto"/>
              <w:jc w:val="center"/>
              <w:rPr>
                <w:rFonts w:ascii="Arial" w:hAnsi="Arial" w:cs="Arial"/>
                <w:b/>
                <w:sz w:val="20"/>
                <w:szCs w:val="20"/>
              </w:rPr>
            </w:pPr>
            <w:r w:rsidRPr="004B32B4">
              <w:rPr>
                <w:rFonts w:ascii="Arial" w:hAnsi="Arial" w:cs="Arial"/>
                <w:b/>
                <w:sz w:val="20"/>
                <w:szCs w:val="20"/>
              </w:rPr>
              <w:t>Obrigatoriedade</w:t>
            </w:r>
          </w:p>
        </w:tc>
      </w:tr>
      <w:tr w:rsidR="004B32B4" w:rsidRPr="00D13D93" w14:paraId="115024D0" w14:textId="77777777" w:rsidTr="00EE0371">
        <w:trPr>
          <w:jc w:val="center"/>
        </w:trPr>
        <w:tc>
          <w:tcPr>
            <w:tcW w:w="9046" w:type="dxa"/>
            <w:gridSpan w:val="4"/>
            <w:shd w:val="solid" w:color="BFBFBF" w:themeColor="background1" w:themeShade="BF" w:fill="auto"/>
            <w:vAlign w:val="center"/>
          </w:tcPr>
          <w:p w14:paraId="6D6330B3" w14:textId="77777777" w:rsidR="004B32B4" w:rsidRPr="004B32B4" w:rsidRDefault="004B32B4" w:rsidP="00EE0371">
            <w:pPr>
              <w:spacing w:before="120" w:after="120" w:line="240" w:lineRule="auto"/>
              <w:jc w:val="center"/>
              <w:rPr>
                <w:rFonts w:ascii="Arial" w:hAnsi="Arial" w:cs="Arial"/>
                <w:color w:val="FF0000"/>
                <w:sz w:val="20"/>
                <w:szCs w:val="20"/>
              </w:rPr>
            </w:pPr>
            <w:r w:rsidRPr="004B32B4">
              <w:rPr>
                <w:rFonts w:ascii="Arial" w:hAnsi="Arial" w:cs="Arial"/>
                <w:b/>
                <w:sz w:val="20"/>
                <w:szCs w:val="20"/>
              </w:rPr>
              <w:t>Estrutura ‘BalancoPatrimonial’</w:t>
            </w:r>
          </w:p>
        </w:tc>
      </w:tr>
      <w:tr w:rsidR="004B32B4" w:rsidRPr="00642E83" w14:paraId="379641FB" w14:textId="77777777" w:rsidTr="00EE0371">
        <w:trPr>
          <w:jc w:val="center"/>
        </w:trPr>
        <w:tc>
          <w:tcPr>
            <w:tcW w:w="3390" w:type="dxa"/>
            <w:vAlign w:val="center"/>
          </w:tcPr>
          <w:p w14:paraId="4AA0F4B0" w14:textId="77777777" w:rsidR="004B32B4" w:rsidRPr="004B32B4" w:rsidRDefault="004B32B4" w:rsidP="00EE0371">
            <w:pPr>
              <w:spacing w:before="120" w:after="120" w:line="240" w:lineRule="auto"/>
              <w:jc w:val="center"/>
              <w:rPr>
                <w:rFonts w:ascii="Arial" w:hAnsi="Arial" w:cs="Arial"/>
                <w:sz w:val="20"/>
                <w:szCs w:val="20"/>
              </w:rPr>
            </w:pPr>
            <w:r w:rsidRPr="004B32B4">
              <w:rPr>
                <w:rFonts w:ascii="Arial" w:hAnsi="Arial" w:cs="Arial"/>
                <w:sz w:val="20"/>
                <w:szCs w:val="20"/>
              </w:rPr>
              <w:t>IdNumRegistro</w:t>
            </w:r>
          </w:p>
        </w:tc>
        <w:tc>
          <w:tcPr>
            <w:tcW w:w="1133" w:type="dxa"/>
            <w:vAlign w:val="center"/>
          </w:tcPr>
          <w:p w14:paraId="1BD7D576" w14:textId="77777777" w:rsidR="004B32B4" w:rsidRPr="004B32B4" w:rsidRDefault="004B32B4" w:rsidP="00EE0371">
            <w:pPr>
              <w:spacing w:before="120" w:after="120" w:line="240" w:lineRule="auto"/>
              <w:jc w:val="center"/>
              <w:rPr>
                <w:rFonts w:ascii="Arial" w:hAnsi="Arial" w:cs="Arial"/>
                <w:sz w:val="20"/>
                <w:szCs w:val="20"/>
              </w:rPr>
            </w:pPr>
            <w:r w:rsidRPr="004B32B4">
              <w:rPr>
                <w:rFonts w:ascii="Arial" w:hAnsi="Arial" w:cs="Arial"/>
                <w:sz w:val="20"/>
                <w:szCs w:val="20"/>
              </w:rPr>
              <w:t>Inteiro</w:t>
            </w:r>
          </w:p>
        </w:tc>
        <w:tc>
          <w:tcPr>
            <w:tcW w:w="1507" w:type="dxa"/>
            <w:vAlign w:val="center"/>
          </w:tcPr>
          <w:p w14:paraId="4224DB52" w14:textId="77777777" w:rsidR="004B32B4" w:rsidRPr="004B32B4" w:rsidRDefault="004B32B4" w:rsidP="00EE0371">
            <w:pPr>
              <w:spacing w:before="120" w:after="120" w:line="240" w:lineRule="auto"/>
              <w:jc w:val="center"/>
              <w:rPr>
                <w:rFonts w:ascii="Arial" w:hAnsi="Arial" w:cs="Arial"/>
                <w:sz w:val="20"/>
                <w:szCs w:val="20"/>
              </w:rPr>
            </w:pPr>
            <w:r w:rsidRPr="004B32B4">
              <w:rPr>
                <w:rFonts w:ascii="Arial" w:hAnsi="Arial" w:cs="Arial"/>
                <w:sz w:val="20"/>
                <w:szCs w:val="20"/>
              </w:rPr>
              <w:t>05</w:t>
            </w:r>
          </w:p>
        </w:tc>
        <w:tc>
          <w:tcPr>
            <w:tcW w:w="3016" w:type="dxa"/>
            <w:vAlign w:val="center"/>
          </w:tcPr>
          <w:p w14:paraId="1AFEAF42" w14:textId="77777777" w:rsidR="004B32B4" w:rsidRPr="004B32B4" w:rsidRDefault="004B32B4" w:rsidP="00EE0371">
            <w:pPr>
              <w:spacing w:before="120" w:after="120" w:line="240" w:lineRule="auto"/>
              <w:jc w:val="center"/>
              <w:rPr>
                <w:rFonts w:ascii="Arial" w:hAnsi="Arial" w:cs="Arial"/>
                <w:color w:val="FF0000"/>
                <w:sz w:val="20"/>
                <w:szCs w:val="20"/>
              </w:rPr>
            </w:pPr>
            <w:r w:rsidRPr="004B32B4">
              <w:rPr>
                <w:rFonts w:ascii="Arial" w:hAnsi="Arial" w:cs="Arial"/>
                <w:sz w:val="20"/>
                <w:szCs w:val="20"/>
              </w:rPr>
              <w:t>Obrigatório</w:t>
            </w:r>
          </w:p>
        </w:tc>
      </w:tr>
      <w:tr w:rsidR="004B32B4" w:rsidRPr="00642E83" w14:paraId="36D48305" w14:textId="77777777" w:rsidTr="00EE0371">
        <w:trPr>
          <w:jc w:val="center"/>
        </w:trPr>
        <w:tc>
          <w:tcPr>
            <w:tcW w:w="3390" w:type="dxa"/>
            <w:vAlign w:val="center"/>
          </w:tcPr>
          <w:p w14:paraId="1A6E0D35" w14:textId="77777777" w:rsidR="004B32B4" w:rsidRPr="004B32B4" w:rsidRDefault="004B32B4" w:rsidP="00EE0371">
            <w:pPr>
              <w:spacing w:before="120" w:after="120" w:line="240" w:lineRule="auto"/>
              <w:jc w:val="center"/>
              <w:rPr>
                <w:rFonts w:ascii="Arial" w:hAnsi="Arial" w:cs="Arial"/>
                <w:sz w:val="20"/>
                <w:szCs w:val="20"/>
              </w:rPr>
            </w:pPr>
            <w:r w:rsidRPr="004B32B4">
              <w:rPr>
                <w:rFonts w:ascii="Arial" w:hAnsi="Arial" w:cs="Arial"/>
                <w:sz w:val="20"/>
                <w:szCs w:val="20"/>
                <w:lang w:eastAsia="pt-BR"/>
              </w:rPr>
              <w:t>Codigo</w:t>
            </w:r>
          </w:p>
        </w:tc>
        <w:tc>
          <w:tcPr>
            <w:tcW w:w="1133" w:type="dxa"/>
            <w:vAlign w:val="center"/>
          </w:tcPr>
          <w:p w14:paraId="0AFD67A0" w14:textId="77777777" w:rsidR="004B32B4" w:rsidRPr="004B32B4" w:rsidRDefault="004B32B4" w:rsidP="00EE0371">
            <w:pPr>
              <w:spacing w:before="120" w:after="120" w:line="240" w:lineRule="auto"/>
              <w:jc w:val="center"/>
              <w:rPr>
                <w:rFonts w:ascii="Arial" w:hAnsi="Arial" w:cs="Arial"/>
                <w:sz w:val="20"/>
                <w:szCs w:val="20"/>
              </w:rPr>
            </w:pPr>
            <w:r w:rsidRPr="004B32B4">
              <w:rPr>
                <w:rFonts w:ascii="Arial" w:hAnsi="Arial" w:cs="Arial"/>
                <w:sz w:val="20"/>
                <w:szCs w:val="20"/>
              </w:rPr>
              <w:t>Caracter</w:t>
            </w:r>
          </w:p>
        </w:tc>
        <w:tc>
          <w:tcPr>
            <w:tcW w:w="1507" w:type="dxa"/>
            <w:vAlign w:val="center"/>
          </w:tcPr>
          <w:p w14:paraId="367D0F89" w14:textId="77777777" w:rsidR="004B32B4" w:rsidRPr="004B32B4" w:rsidRDefault="004B32B4" w:rsidP="00EE0371">
            <w:pPr>
              <w:spacing w:before="120" w:after="120" w:line="240" w:lineRule="auto"/>
              <w:jc w:val="center"/>
              <w:rPr>
                <w:rFonts w:ascii="Arial" w:hAnsi="Arial" w:cs="Arial"/>
                <w:sz w:val="20"/>
                <w:szCs w:val="20"/>
              </w:rPr>
            </w:pPr>
            <w:r w:rsidRPr="004B32B4">
              <w:rPr>
                <w:rFonts w:ascii="Arial" w:hAnsi="Arial" w:cs="Arial"/>
                <w:sz w:val="20"/>
                <w:szCs w:val="20"/>
              </w:rPr>
              <w:t>08</w:t>
            </w:r>
          </w:p>
        </w:tc>
        <w:tc>
          <w:tcPr>
            <w:tcW w:w="3016" w:type="dxa"/>
            <w:vAlign w:val="center"/>
          </w:tcPr>
          <w:p w14:paraId="76C9CD43" w14:textId="77777777" w:rsidR="004B32B4" w:rsidRPr="004B32B4" w:rsidRDefault="004B32B4" w:rsidP="00EE0371">
            <w:pPr>
              <w:spacing w:before="120" w:after="120" w:line="240" w:lineRule="auto"/>
              <w:jc w:val="center"/>
              <w:rPr>
                <w:rFonts w:ascii="Arial" w:hAnsi="Arial" w:cs="Arial"/>
                <w:sz w:val="20"/>
                <w:szCs w:val="20"/>
              </w:rPr>
            </w:pPr>
            <w:r w:rsidRPr="004B32B4">
              <w:rPr>
                <w:rFonts w:ascii="Arial" w:hAnsi="Arial" w:cs="Arial"/>
                <w:sz w:val="20"/>
                <w:szCs w:val="20"/>
              </w:rPr>
              <w:t>Obrigatório. Ver Tabela 2 deste Anexo</w:t>
            </w:r>
          </w:p>
        </w:tc>
      </w:tr>
      <w:tr w:rsidR="004B32B4" w:rsidRPr="00642E83" w14:paraId="6961FC57" w14:textId="77777777" w:rsidTr="00EE0371">
        <w:trPr>
          <w:jc w:val="center"/>
        </w:trPr>
        <w:tc>
          <w:tcPr>
            <w:tcW w:w="3390" w:type="dxa"/>
            <w:vAlign w:val="center"/>
          </w:tcPr>
          <w:p w14:paraId="11B31E14" w14:textId="77777777" w:rsidR="004B32B4" w:rsidRPr="004B32B4" w:rsidRDefault="004B32B4" w:rsidP="00EE0371">
            <w:pPr>
              <w:spacing w:before="120" w:after="120" w:line="240" w:lineRule="auto"/>
              <w:jc w:val="center"/>
              <w:rPr>
                <w:rFonts w:ascii="Arial" w:hAnsi="Arial" w:cs="Arial"/>
                <w:sz w:val="20"/>
                <w:szCs w:val="20"/>
              </w:rPr>
            </w:pPr>
            <w:r w:rsidRPr="004B32B4">
              <w:rPr>
                <w:rFonts w:ascii="Arial" w:hAnsi="Arial" w:cs="Arial"/>
                <w:sz w:val="20"/>
                <w:szCs w:val="20"/>
              </w:rPr>
              <w:t>Valor</w:t>
            </w:r>
          </w:p>
        </w:tc>
        <w:tc>
          <w:tcPr>
            <w:tcW w:w="1133" w:type="dxa"/>
            <w:vAlign w:val="center"/>
          </w:tcPr>
          <w:p w14:paraId="1F958EC7" w14:textId="77777777" w:rsidR="004B32B4" w:rsidRPr="004B32B4" w:rsidRDefault="004B32B4" w:rsidP="00EE0371">
            <w:pPr>
              <w:spacing w:before="120" w:after="120" w:line="240" w:lineRule="auto"/>
              <w:jc w:val="center"/>
              <w:rPr>
                <w:rFonts w:ascii="Arial" w:hAnsi="Arial" w:cs="Arial"/>
                <w:sz w:val="20"/>
                <w:szCs w:val="20"/>
              </w:rPr>
            </w:pPr>
            <w:r w:rsidRPr="004B32B4">
              <w:rPr>
                <w:rFonts w:ascii="Arial" w:hAnsi="Arial" w:cs="Arial"/>
                <w:sz w:val="20"/>
                <w:szCs w:val="20"/>
              </w:rPr>
              <w:t>Decimal</w:t>
            </w:r>
          </w:p>
        </w:tc>
        <w:tc>
          <w:tcPr>
            <w:tcW w:w="1507" w:type="dxa"/>
            <w:vAlign w:val="center"/>
          </w:tcPr>
          <w:p w14:paraId="479333E5" w14:textId="77777777" w:rsidR="004B32B4" w:rsidRPr="004B32B4" w:rsidRDefault="004B32B4" w:rsidP="00EE0371">
            <w:pPr>
              <w:spacing w:before="120" w:after="120" w:line="240" w:lineRule="auto"/>
              <w:jc w:val="center"/>
              <w:rPr>
                <w:rFonts w:ascii="Arial" w:hAnsi="Arial" w:cs="Arial"/>
                <w:sz w:val="20"/>
                <w:szCs w:val="20"/>
              </w:rPr>
            </w:pPr>
            <w:r w:rsidRPr="004B32B4">
              <w:rPr>
                <w:rFonts w:ascii="Arial" w:hAnsi="Arial" w:cs="Arial"/>
                <w:sz w:val="20"/>
                <w:szCs w:val="20"/>
              </w:rPr>
              <w:t>(14,2)</w:t>
            </w:r>
          </w:p>
        </w:tc>
        <w:tc>
          <w:tcPr>
            <w:tcW w:w="3016" w:type="dxa"/>
            <w:vAlign w:val="center"/>
          </w:tcPr>
          <w:p w14:paraId="753ABC98" w14:textId="77777777" w:rsidR="004B32B4" w:rsidRPr="004B32B4" w:rsidRDefault="004B32B4" w:rsidP="00EE0371">
            <w:pPr>
              <w:spacing w:before="120" w:after="120" w:line="240" w:lineRule="auto"/>
              <w:jc w:val="center"/>
              <w:rPr>
                <w:rFonts w:ascii="Arial" w:hAnsi="Arial" w:cs="Arial"/>
                <w:sz w:val="20"/>
                <w:szCs w:val="20"/>
              </w:rPr>
            </w:pPr>
            <w:r w:rsidRPr="004B32B4">
              <w:rPr>
                <w:rFonts w:ascii="Arial" w:hAnsi="Arial" w:cs="Arial"/>
                <w:sz w:val="20"/>
                <w:szCs w:val="20"/>
              </w:rPr>
              <w:t>Obrigatório</w:t>
            </w:r>
          </w:p>
        </w:tc>
      </w:tr>
    </w:tbl>
    <w:p w14:paraId="026DD8CE" w14:textId="77777777" w:rsidR="004B32B4" w:rsidRDefault="004B32B4" w:rsidP="004B32B4">
      <w:pPr>
        <w:spacing w:after="0" w:line="240" w:lineRule="auto"/>
        <w:jc w:val="both"/>
        <w:rPr>
          <w:rFonts w:ascii="Arial" w:eastAsia="Calibri" w:hAnsi="Arial" w:cs="Arial"/>
          <w:sz w:val="20"/>
          <w:szCs w:val="20"/>
        </w:rPr>
      </w:pPr>
    </w:p>
    <w:p w14:paraId="0E00700F" w14:textId="77777777" w:rsidR="009548D7" w:rsidRPr="009548D7" w:rsidRDefault="009548D7" w:rsidP="009548D7">
      <w:pPr>
        <w:spacing w:after="0" w:line="240" w:lineRule="auto"/>
        <w:rPr>
          <w:rFonts w:ascii="Arial" w:hAnsi="Arial" w:cs="Arial"/>
          <w:sz w:val="20"/>
          <w:szCs w:val="20"/>
          <w:lang w:eastAsia="pt-BR"/>
        </w:rPr>
      </w:pPr>
    </w:p>
    <w:p w14:paraId="41D7AF37" w14:textId="77777777" w:rsidR="009548D7" w:rsidRPr="009548D7" w:rsidRDefault="009548D7" w:rsidP="009548D7">
      <w:pPr>
        <w:spacing w:after="0" w:line="240" w:lineRule="auto"/>
        <w:rPr>
          <w:rFonts w:ascii="Arial" w:hAnsi="Arial" w:cs="Arial"/>
          <w:sz w:val="20"/>
          <w:szCs w:val="20"/>
          <w:lang w:eastAsia="pt-BR"/>
        </w:rPr>
      </w:pPr>
    </w:p>
    <w:p w14:paraId="74134F16" w14:textId="77777777" w:rsidR="009548D7" w:rsidRDefault="009548D7" w:rsidP="009548D7">
      <w:pPr>
        <w:keepNext/>
        <w:spacing w:after="0" w:line="240" w:lineRule="auto"/>
        <w:rPr>
          <w:rFonts w:ascii="Arial" w:hAnsi="Arial" w:cs="Arial"/>
          <w:b/>
          <w:bCs/>
          <w:sz w:val="20"/>
          <w:szCs w:val="20"/>
        </w:rPr>
      </w:pPr>
    </w:p>
    <w:p w14:paraId="23CDF90D" w14:textId="77777777" w:rsidR="009548D7" w:rsidRDefault="009548D7" w:rsidP="009548D7">
      <w:pPr>
        <w:keepNext/>
        <w:spacing w:after="0" w:line="240" w:lineRule="auto"/>
        <w:rPr>
          <w:rFonts w:ascii="Arial" w:hAnsi="Arial" w:cs="Arial"/>
          <w:b/>
          <w:bCs/>
          <w:sz w:val="20"/>
          <w:szCs w:val="20"/>
        </w:rPr>
        <w:sectPr w:rsidR="009548D7" w:rsidSect="00E7482B">
          <w:pgSz w:w="11906" w:h="16838"/>
          <w:pgMar w:top="1417" w:right="1133" w:bottom="1417" w:left="1701" w:header="708" w:footer="708" w:gutter="0"/>
          <w:cols w:space="708"/>
          <w:docGrid w:linePitch="360"/>
        </w:sectPr>
      </w:pPr>
    </w:p>
    <w:p w14:paraId="2FD83D84" w14:textId="77777777" w:rsidR="009B4545" w:rsidRDefault="009B4545" w:rsidP="009B4545">
      <w:pPr>
        <w:spacing w:after="0" w:line="240" w:lineRule="auto"/>
        <w:jc w:val="center"/>
        <w:rPr>
          <w:rFonts w:ascii="Arial" w:eastAsia="Times New Roman" w:hAnsi="Arial" w:cs="Arial"/>
          <w:b/>
          <w:bCs/>
          <w:sz w:val="20"/>
          <w:szCs w:val="20"/>
          <w:lang w:eastAsia="pt-BR"/>
        </w:rPr>
      </w:pPr>
      <w:r w:rsidRPr="009548D7">
        <w:rPr>
          <w:rFonts w:ascii="Arial" w:eastAsia="Times New Roman" w:hAnsi="Arial" w:cs="Arial"/>
          <w:b/>
          <w:bCs/>
          <w:sz w:val="20"/>
          <w:szCs w:val="20"/>
          <w:lang w:eastAsia="pt-BR"/>
        </w:rPr>
        <w:lastRenderedPageBreak/>
        <w:t>TABELA 2 - BALANÇO PATRIMONIAL</w:t>
      </w:r>
    </w:p>
    <w:p w14:paraId="15BCC9F9" w14:textId="77777777" w:rsidR="009B4545" w:rsidRDefault="009B4545" w:rsidP="009B4545">
      <w:pPr>
        <w:spacing w:after="0" w:line="240" w:lineRule="auto"/>
        <w:jc w:val="center"/>
        <w:rPr>
          <w:rFonts w:ascii="Arial" w:eastAsia="Times New Roman" w:hAnsi="Arial" w:cs="Arial"/>
          <w:b/>
          <w:bCs/>
          <w:sz w:val="20"/>
          <w:szCs w:val="20"/>
          <w:lang w:eastAsia="pt-BR"/>
        </w:rPr>
      </w:pPr>
      <w:r w:rsidRPr="009B4545">
        <w:rPr>
          <w:rFonts w:ascii="Arial" w:eastAsia="Times New Roman" w:hAnsi="Arial" w:cs="Arial"/>
          <w:b/>
          <w:bCs/>
          <w:sz w:val="20"/>
          <w:szCs w:val="20"/>
          <w:lang w:eastAsia="pt-BR"/>
        </w:rPr>
        <w:t>MUNICÍPIOS E CONSÓRCIOS</w:t>
      </w:r>
    </w:p>
    <w:p w14:paraId="069D00D8" w14:textId="77777777" w:rsidR="00EC4B4F" w:rsidRDefault="00EC4B4F" w:rsidP="009B4545">
      <w:pPr>
        <w:spacing w:after="0" w:line="240" w:lineRule="auto"/>
        <w:jc w:val="center"/>
        <w:rPr>
          <w:rFonts w:ascii="Arial" w:eastAsia="Times New Roman" w:hAnsi="Arial" w:cs="Arial"/>
          <w:b/>
          <w:bCs/>
          <w:sz w:val="20"/>
          <w:szCs w:val="20"/>
          <w:lang w:eastAsia="pt-BR"/>
        </w:rPr>
      </w:pPr>
    </w:p>
    <w:tbl>
      <w:tblPr>
        <w:tblW w:w="15322" w:type="dxa"/>
        <w:tblInd w:w="-497" w:type="dxa"/>
        <w:tblCellMar>
          <w:left w:w="70" w:type="dxa"/>
          <w:right w:w="70" w:type="dxa"/>
        </w:tblCellMar>
        <w:tblLook w:val="04A0" w:firstRow="1" w:lastRow="0" w:firstColumn="1" w:lastColumn="0" w:noHBand="0" w:noVBand="1"/>
      </w:tblPr>
      <w:tblGrid>
        <w:gridCol w:w="4410"/>
        <w:gridCol w:w="767"/>
        <w:gridCol w:w="1063"/>
        <w:gridCol w:w="1262"/>
        <w:gridCol w:w="4562"/>
        <w:gridCol w:w="775"/>
        <w:gridCol w:w="1063"/>
        <w:gridCol w:w="1420"/>
      </w:tblGrid>
      <w:tr w:rsidR="0008341F" w:rsidRPr="009548D7" w14:paraId="6D7B182C" w14:textId="77777777" w:rsidTr="000525CD">
        <w:trPr>
          <w:trHeight w:val="270"/>
        </w:trPr>
        <w:tc>
          <w:tcPr>
            <w:tcW w:w="7502" w:type="dxa"/>
            <w:gridSpan w:val="4"/>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244A4D3A" w14:textId="77777777" w:rsidR="0008341F" w:rsidRPr="009548D7" w:rsidRDefault="0008341F" w:rsidP="000525CD">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ATIVO</w:t>
            </w:r>
          </w:p>
        </w:tc>
        <w:tc>
          <w:tcPr>
            <w:tcW w:w="7820" w:type="dxa"/>
            <w:gridSpan w:val="4"/>
            <w:tcBorders>
              <w:top w:val="single" w:sz="8" w:space="0" w:color="auto"/>
              <w:left w:val="nil"/>
              <w:bottom w:val="single" w:sz="8" w:space="0" w:color="auto"/>
              <w:right w:val="single" w:sz="8" w:space="0" w:color="auto"/>
            </w:tcBorders>
            <w:shd w:val="clear" w:color="000000" w:fill="D9D9D9"/>
            <w:noWrap/>
            <w:vAlign w:val="center"/>
            <w:hideMark/>
          </w:tcPr>
          <w:p w14:paraId="51816E8E" w14:textId="77777777" w:rsidR="0008341F" w:rsidRPr="009548D7" w:rsidRDefault="0008341F" w:rsidP="000525CD">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PASSIVO E PATRIMÔNIO LÍQUIDO</w:t>
            </w:r>
          </w:p>
        </w:tc>
      </w:tr>
      <w:tr w:rsidR="0008341F" w:rsidRPr="009548D7" w14:paraId="782679B9" w14:textId="77777777" w:rsidTr="000525CD">
        <w:trPr>
          <w:trHeight w:val="270"/>
        </w:trPr>
        <w:tc>
          <w:tcPr>
            <w:tcW w:w="4410" w:type="dxa"/>
            <w:tcBorders>
              <w:top w:val="nil"/>
              <w:left w:val="single" w:sz="8" w:space="0" w:color="auto"/>
              <w:bottom w:val="single" w:sz="8" w:space="0" w:color="auto"/>
            </w:tcBorders>
            <w:shd w:val="clear" w:color="000000" w:fill="D9D9D9"/>
            <w:noWrap/>
            <w:vAlign w:val="center"/>
            <w:hideMark/>
          </w:tcPr>
          <w:p w14:paraId="265B40FA" w14:textId="77777777" w:rsidR="0008341F" w:rsidRPr="009548D7" w:rsidRDefault="0008341F" w:rsidP="000525CD">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Especificação</w:t>
            </w:r>
          </w:p>
        </w:tc>
        <w:tc>
          <w:tcPr>
            <w:tcW w:w="767" w:type="dxa"/>
            <w:tcBorders>
              <w:top w:val="nil"/>
              <w:bottom w:val="single" w:sz="8" w:space="0" w:color="auto"/>
              <w:right w:val="single" w:sz="4" w:space="0" w:color="auto"/>
            </w:tcBorders>
            <w:shd w:val="clear" w:color="000000" w:fill="D9D9D9"/>
            <w:noWrap/>
            <w:vAlign w:val="center"/>
          </w:tcPr>
          <w:p w14:paraId="15D88D5E" w14:textId="77777777" w:rsidR="0008341F" w:rsidRPr="009548D7" w:rsidRDefault="0008341F" w:rsidP="000525CD">
            <w:pPr>
              <w:spacing w:after="0" w:line="240" w:lineRule="auto"/>
              <w:jc w:val="center"/>
              <w:rPr>
                <w:rFonts w:ascii="Arial Narrow" w:eastAsia="Times New Roman" w:hAnsi="Arial Narrow" w:cs="Arial"/>
                <w:b/>
                <w:bCs/>
                <w:sz w:val="16"/>
                <w:szCs w:val="16"/>
                <w:lang w:eastAsia="pt-BR"/>
              </w:rPr>
            </w:pPr>
          </w:p>
        </w:tc>
        <w:tc>
          <w:tcPr>
            <w:tcW w:w="1063" w:type="dxa"/>
            <w:tcBorders>
              <w:top w:val="nil"/>
              <w:left w:val="single" w:sz="4" w:space="0" w:color="auto"/>
              <w:bottom w:val="single" w:sz="8" w:space="0" w:color="auto"/>
              <w:right w:val="single" w:sz="8" w:space="0" w:color="auto"/>
            </w:tcBorders>
            <w:shd w:val="clear" w:color="000000" w:fill="D9D9D9"/>
            <w:noWrap/>
            <w:vAlign w:val="center"/>
            <w:hideMark/>
          </w:tcPr>
          <w:p w14:paraId="2FB3FAC2" w14:textId="77777777" w:rsidR="0008341F" w:rsidRPr="009548D7" w:rsidRDefault="0008341F" w:rsidP="000525CD">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Exercício Atual</w:t>
            </w:r>
          </w:p>
        </w:tc>
        <w:tc>
          <w:tcPr>
            <w:tcW w:w="1262" w:type="dxa"/>
            <w:tcBorders>
              <w:top w:val="nil"/>
              <w:left w:val="nil"/>
              <w:bottom w:val="single" w:sz="8" w:space="0" w:color="auto"/>
              <w:right w:val="single" w:sz="8" w:space="0" w:color="auto"/>
            </w:tcBorders>
            <w:shd w:val="clear" w:color="000000" w:fill="D9D9D9"/>
            <w:noWrap/>
            <w:vAlign w:val="center"/>
            <w:hideMark/>
          </w:tcPr>
          <w:p w14:paraId="26A7B361" w14:textId="77777777" w:rsidR="0008341F" w:rsidRPr="009548D7" w:rsidRDefault="0008341F" w:rsidP="000525CD">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Exercício Anterior</w:t>
            </w:r>
          </w:p>
        </w:tc>
        <w:tc>
          <w:tcPr>
            <w:tcW w:w="4562" w:type="dxa"/>
            <w:tcBorders>
              <w:top w:val="nil"/>
              <w:left w:val="single" w:sz="4" w:space="0" w:color="auto"/>
              <w:bottom w:val="single" w:sz="8" w:space="0" w:color="auto"/>
            </w:tcBorders>
            <w:shd w:val="clear" w:color="000000" w:fill="D9D9D9"/>
            <w:noWrap/>
            <w:vAlign w:val="center"/>
            <w:hideMark/>
          </w:tcPr>
          <w:p w14:paraId="0A994DFC" w14:textId="77777777" w:rsidR="0008341F" w:rsidRPr="009548D7" w:rsidRDefault="0008341F" w:rsidP="000525CD">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Especificação</w:t>
            </w:r>
          </w:p>
        </w:tc>
        <w:tc>
          <w:tcPr>
            <w:tcW w:w="775" w:type="dxa"/>
            <w:tcBorders>
              <w:top w:val="nil"/>
              <w:bottom w:val="single" w:sz="8" w:space="0" w:color="auto"/>
              <w:right w:val="single" w:sz="8" w:space="0" w:color="auto"/>
            </w:tcBorders>
            <w:shd w:val="clear" w:color="000000" w:fill="D9D9D9"/>
            <w:noWrap/>
            <w:vAlign w:val="center"/>
          </w:tcPr>
          <w:p w14:paraId="36516370" w14:textId="77777777" w:rsidR="0008341F" w:rsidRPr="009548D7" w:rsidRDefault="0008341F" w:rsidP="000525CD">
            <w:pPr>
              <w:spacing w:after="0" w:line="240" w:lineRule="auto"/>
              <w:jc w:val="center"/>
              <w:rPr>
                <w:rFonts w:ascii="Arial Narrow" w:eastAsia="Times New Roman" w:hAnsi="Arial Narrow" w:cs="Arial"/>
                <w:b/>
                <w:bCs/>
                <w:sz w:val="16"/>
                <w:szCs w:val="16"/>
                <w:lang w:eastAsia="pt-BR"/>
              </w:rPr>
            </w:pPr>
          </w:p>
        </w:tc>
        <w:tc>
          <w:tcPr>
            <w:tcW w:w="1063" w:type="dxa"/>
            <w:tcBorders>
              <w:top w:val="nil"/>
              <w:left w:val="nil"/>
              <w:bottom w:val="single" w:sz="8" w:space="0" w:color="auto"/>
              <w:right w:val="single" w:sz="8" w:space="0" w:color="auto"/>
            </w:tcBorders>
            <w:shd w:val="clear" w:color="000000" w:fill="D9D9D9"/>
            <w:noWrap/>
            <w:vAlign w:val="center"/>
            <w:hideMark/>
          </w:tcPr>
          <w:p w14:paraId="6B607D93" w14:textId="77777777" w:rsidR="0008341F" w:rsidRPr="009548D7" w:rsidRDefault="0008341F" w:rsidP="000525CD">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Exercício Atual</w:t>
            </w:r>
          </w:p>
        </w:tc>
        <w:tc>
          <w:tcPr>
            <w:tcW w:w="1420" w:type="dxa"/>
            <w:tcBorders>
              <w:top w:val="nil"/>
              <w:left w:val="nil"/>
              <w:bottom w:val="single" w:sz="8" w:space="0" w:color="auto"/>
              <w:right w:val="single" w:sz="8" w:space="0" w:color="auto"/>
            </w:tcBorders>
            <w:shd w:val="clear" w:color="000000" w:fill="D9D9D9"/>
            <w:noWrap/>
            <w:vAlign w:val="center"/>
            <w:hideMark/>
          </w:tcPr>
          <w:p w14:paraId="6FBE71F3" w14:textId="77777777" w:rsidR="0008341F" w:rsidRPr="009548D7" w:rsidRDefault="0008341F" w:rsidP="000525CD">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Exercício Anterior</w:t>
            </w:r>
          </w:p>
        </w:tc>
      </w:tr>
      <w:tr w:rsidR="0008341F" w:rsidRPr="009548D7" w14:paraId="63A6DCBE" w14:textId="77777777" w:rsidTr="000525CD">
        <w:trPr>
          <w:trHeight w:val="255"/>
        </w:trPr>
        <w:tc>
          <w:tcPr>
            <w:tcW w:w="4410" w:type="dxa"/>
            <w:tcBorders>
              <w:top w:val="nil"/>
              <w:left w:val="single" w:sz="8" w:space="0" w:color="auto"/>
              <w:bottom w:val="nil"/>
            </w:tcBorders>
            <w:shd w:val="clear" w:color="auto" w:fill="auto"/>
            <w:noWrap/>
            <w:vAlign w:val="center"/>
            <w:hideMark/>
          </w:tcPr>
          <w:p w14:paraId="7718B78C" w14:textId="77777777" w:rsidR="0008341F" w:rsidRPr="009548D7" w:rsidRDefault="0008341F" w:rsidP="000525CD">
            <w:pPr>
              <w:spacing w:after="0" w:line="240" w:lineRule="auto"/>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ATIVO CIRCULANTE</w:t>
            </w:r>
          </w:p>
        </w:tc>
        <w:tc>
          <w:tcPr>
            <w:tcW w:w="767" w:type="dxa"/>
            <w:tcBorders>
              <w:top w:val="nil"/>
              <w:bottom w:val="nil"/>
              <w:right w:val="single" w:sz="4" w:space="0" w:color="auto"/>
            </w:tcBorders>
            <w:shd w:val="clear" w:color="auto" w:fill="auto"/>
            <w:noWrap/>
            <w:vAlign w:val="center"/>
          </w:tcPr>
          <w:p w14:paraId="0A46741E" w14:textId="77777777" w:rsidR="0008341F" w:rsidRPr="009548D7" w:rsidRDefault="0008341F" w:rsidP="000525CD">
            <w:pPr>
              <w:spacing w:after="0" w:line="240" w:lineRule="auto"/>
              <w:jc w:val="center"/>
              <w:rPr>
                <w:rFonts w:ascii="Arial Narrow" w:eastAsia="Times New Roman" w:hAnsi="Arial Narrow" w:cs="Arial"/>
                <w:b/>
                <w:bCs/>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4BE158EC" w14:textId="77777777" w:rsidR="0008341F" w:rsidRPr="009548D7" w:rsidRDefault="0008341F" w:rsidP="000525CD">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BPA.D009</w:t>
            </w:r>
          </w:p>
        </w:tc>
        <w:tc>
          <w:tcPr>
            <w:tcW w:w="1262" w:type="dxa"/>
            <w:tcBorders>
              <w:top w:val="nil"/>
              <w:left w:val="nil"/>
              <w:bottom w:val="nil"/>
              <w:right w:val="single" w:sz="8" w:space="0" w:color="auto"/>
            </w:tcBorders>
            <w:shd w:val="clear" w:color="auto" w:fill="auto"/>
            <w:noWrap/>
            <w:vAlign w:val="center"/>
            <w:hideMark/>
          </w:tcPr>
          <w:p w14:paraId="1F1D2E27" w14:textId="77777777" w:rsidR="0008341F" w:rsidRPr="009548D7" w:rsidRDefault="0008341F" w:rsidP="000525CD">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BPA.E009</w:t>
            </w:r>
          </w:p>
        </w:tc>
        <w:tc>
          <w:tcPr>
            <w:tcW w:w="4562" w:type="dxa"/>
            <w:tcBorders>
              <w:top w:val="nil"/>
              <w:left w:val="nil"/>
              <w:bottom w:val="nil"/>
            </w:tcBorders>
            <w:shd w:val="clear" w:color="auto" w:fill="auto"/>
            <w:noWrap/>
            <w:vAlign w:val="center"/>
            <w:hideMark/>
          </w:tcPr>
          <w:p w14:paraId="3D804E88" w14:textId="77777777" w:rsidR="0008341F" w:rsidRPr="009548D7" w:rsidRDefault="0008341F" w:rsidP="000525CD">
            <w:pPr>
              <w:spacing w:after="0" w:line="240" w:lineRule="auto"/>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PASSIVO CIRCULANTE</w:t>
            </w:r>
          </w:p>
        </w:tc>
        <w:tc>
          <w:tcPr>
            <w:tcW w:w="775" w:type="dxa"/>
            <w:tcBorders>
              <w:top w:val="nil"/>
              <w:bottom w:val="nil"/>
              <w:right w:val="single" w:sz="8" w:space="0" w:color="auto"/>
            </w:tcBorders>
            <w:shd w:val="clear" w:color="auto" w:fill="auto"/>
            <w:noWrap/>
            <w:vAlign w:val="center"/>
          </w:tcPr>
          <w:p w14:paraId="7E51925E" w14:textId="77777777" w:rsidR="0008341F" w:rsidRPr="009548D7" w:rsidRDefault="0008341F" w:rsidP="000525CD">
            <w:pPr>
              <w:spacing w:after="0" w:line="240" w:lineRule="auto"/>
              <w:jc w:val="center"/>
              <w:rPr>
                <w:rFonts w:ascii="Arial Narrow" w:eastAsia="Times New Roman" w:hAnsi="Arial Narrow" w:cs="Arial"/>
                <w:b/>
                <w:bCs/>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1A690D9F" w14:textId="77777777" w:rsidR="0008341F" w:rsidRPr="009548D7" w:rsidRDefault="0008341F" w:rsidP="000525CD">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BPA.H009</w:t>
            </w:r>
          </w:p>
        </w:tc>
        <w:tc>
          <w:tcPr>
            <w:tcW w:w="1420" w:type="dxa"/>
            <w:tcBorders>
              <w:top w:val="nil"/>
              <w:left w:val="nil"/>
              <w:bottom w:val="nil"/>
              <w:right w:val="single" w:sz="8" w:space="0" w:color="auto"/>
            </w:tcBorders>
            <w:shd w:val="clear" w:color="auto" w:fill="auto"/>
            <w:noWrap/>
            <w:vAlign w:val="center"/>
            <w:hideMark/>
          </w:tcPr>
          <w:p w14:paraId="4B3C4EC6" w14:textId="77777777" w:rsidR="0008341F" w:rsidRPr="009548D7" w:rsidRDefault="0008341F" w:rsidP="000525CD">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BPA.I009</w:t>
            </w:r>
          </w:p>
        </w:tc>
      </w:tr>
      <w:tr w:rsidR="0008341F" w:rsidRPr="009548D7" w14:paraId="5D74FE0C" w14:textId="77777777" w:rsidTr="000525CD">
        <w:trPr>
          <w:trHeight w:val="255"/>
        </w:trPr>
        <w:tc>
          <w:tcPr>
            <w:tcW w:w="4410" w:type="dxa"/>
            <w:tcBorders>
              <w:top w:val="nil"/>
              <w:left w:val="single" w:sz="8" w:space="0" w:color="auto"/>
              <w:bottom w:val="nil"/>
            </w:tcBorders>
            <w:shd w:val="clear" w:color="auto" w:fill="auto"/>
            <w:noWrap/>
            <w:vAlign w:val="center"/>
            <w:hideMark/>
          </w:tcPr>
          <w:p w14:paraId="136F448F" w14:textId="77777777" w:rsidR="0008341F" w:rsidRPr="009548D7" w:rsidRDefault="0008341F" w:rsidP="000525CD">
            <w:pPr>
              <w:spacing w:after="0" w:line="240" w:lineRule="auto"/>
              <w:rPr>
                <w:rFonts w:ascii="Arial Narrow" w:eastAsia="Times New Roman" w:hAnsi="Arial Narrow" w:cs="Arial"/>
                <w:color w:val="0070C0"/>
                <w:sz w:val="16"/>
                <w:szCs w:val="16"/>
                <w:lang w:eastAsia="pt-BR"/>
              </w:rPr>
            </w:pPr>
            <w:r w:rsidRPr="009548D7">
              <w:rPr>
                <w:rFonts w:ascii="Arial Narrow" w:eastAsia="Times New Roman" w:hAnsi="Arial Narrow" w:cs="Arial"/>
                <w:color w:val="0070C0"/>
                <w:sz w:val="16"/>
                <w:szCs w:val="16"/>
                <w:lang w:eastAsia="pt-BR"/>
              </w:rPr>
              <w:t> </w:t>
            </w:r>
          </w:p>
        </w:tc>
        <w:tc>
          <w:tcPr>
            <w:tcW w:w="767" w:type="dxa"/>
            <w:tcBorders>
              <w:top w:val="nil"/>
              <w:bottom w:val="nil"/>
              <w:right w:val="single" w:sz="4" w:space="0" w:color="auto"/>
            </w:tcBorders>
            <w:shd w:val="clear" w:color="auto" w:fill="auto"/>
            <w:noWrap/>
            <w:vAlign w:val="center"/>
          </w:tcPr>
          <w:p w14:paraId="2EA5EC21" w14:textId="77777777" w:rsidR="0008341F" w:rsidRPr="009548D7" w:rsidRDefault="0008341F" w:rsidP="000525CD">
            <w:pPr>
              <w:spacing w:after="0" w:line="240" w:lineRule="auto"/>
              <w:rPr>
                <w:rFonts w:ascii="Arial Narrow" w:eastAsia="Times New Roman" w:hAnsi="Arial Narrow" w:cs="Arial"/>
                <w:color w:val="0070C0"/>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2E608116" w14:textId="77777777" w:rsidR="0008341F" w:rsidRPr="009548D7" w:rsidRDefault="0008341F" w:rsidP="000525CD">
            <w:pPr>
              <w:spacing w:after="0" w:line="240" w:lineRule="auto"/>
              <w:rPr>
                <w:rFonts w:ascii="Arial Narrow" w:eastAsia="Times New Roman" w:hAnsi="Arial Narrow" w:cs="Arial"/>
                <w:color w:val="0070C0"/>
                <w:sz w:val="16"/>
                <w:szCs w:val="16"/>
                <w:lang w:eastAsia="pt-BR"/>
              </w:rPr>
            </w:pPr>
            <w:r w:rsidRPr="009548D7">
              <w:rPr>
                <w:rFonts w:ascii="Arial Narrow" w:eastAsia="Times New Roman" w:hAnsi="Arial Narrow" w:cs="Arial"/>
                <w:color w:val="0070C0"/>
                <w:sz w:val="16"/>
                <w:szCs w:val="16"/>
                <w:lang w:eastAsia="pt-BR"/>
              </w:rPr>
              <w:t> </w:t>
            </w:r>
          </w:p>
        </w:tc>
        <w:tc>
          <w:tcPr>
            <w:tcW w:w="1262" w:type="dxa"/>
            <w:tcBorders>
              <w:top w:val="nil"/>
              <w:left w:val="nil"/>
              <w:bottom w:val="nil"/>
              <w:right w:val="single" w:sz="8" w:space="0" w:color="auto"/>
            </w:tcBorders>
            <w:shd w:val="clear" w:color="auto" w:fill="auto"/>
            <w:noWrap/>
            <w:vAlign w:val="center"/>
            <w:hideMark/>
          </w:tcPr>
          <w:p w14:paraId="4744ED54" w14:textId="77777777" w:rsidR="0008341F" w:rsidRPr="009548D7" w:rsidRDefault="0008341F" w:rsidP="000525CD">
            <w:pPr>
              <w:spacing w:after="0" w:line="240" w:lineRule="auto"/>
              <w:rPr>
                <w:rFonts w:ascii="Arial Narrow" w:eastAsia="Times New Roman" w:hAnsi="Arial Narrow" w:cs="Arial"/>
                <w:color w:val="0070C0"/>
                <w:sz w:val="16"/>
                <w:szCs w:val="16"/>
                <w:lang w:eastAsia="pt-BR"/>
              </w:rPr>
            </w:pPr>
            <w:r w:rsidRPr="009548D7">
              <w:rPr>
                <w:rFonts w:ascii="Arial Narrow" w:eastAsia="Times New Roman" w:hAnsi="Arial Narrow" w:cs="Arial"/>
                <w:color w:val="0070C0"/>
                <w:sz w:val="16"/>
                <w:szCs w:val="16"/>
                <w:lang w:eastAsia="pt-BR"/>
              </w:rPr>
              <w:t> </w:t>
            </w:r>
          </w:p>
        </w:tc>
        <w:tc>
          <w:tcPr>
            <w:tcW w:w="4562" w:type="dxa"/>
            <w:tcBorders>
              <w:top w:val="nil"/>
              <w:left w:val="nil"/>
              <w:bottom w:val="nil"/>
            </w:tcBorders>
            <w:shd w:val="clear" w:color="auto" w:fill="auto"/>
            <w:noWrap/>
            <w:vAlign w:val="center"/>
            <w:hideMark/>
          </w:tcPr>
          <w:p w14:paraId="3A517C2B" w14:textId="77777777" w:rsidR="0008341F" w:rsidRPr="009548D7" w:rsidRDefault="0008341F" w:rsidP="000525CD">
            <w:pPr>
              <w:spacing w:after="0" w:line="240" w:lineRule="auto"/>
              <w:rPr>
                <w:rFonts w:ascii="Arial Narrow" w:eastAsia="Times New Roman" w:hAnsi="Arial Narrow" w:cs="Arial"/>
                <w:color w:val="0070C0"/>
                <w:sz w:val="16"/>
                <w:szCs w:val="16"/>
                <w:lang w:eastAsia="pt-BR"/>
              </w:rPr>
            </w:pPr>
          </w:p>
        </w:tc>
        <w:tc>
          <w:tcPr>
            <w:tcW w:w="775" w:type="dxa"/>
            <w:tcBorders>
              <w:top w:val="nil"/>
              <w:bottom w:val="nil"/>
              <w:right w:val="single" w:sz="8" w:space="0" w:color="auto"/>
            </w:tcBorders>
            <w:shd w:val="clear" w:color="auto" w:fill="auto"/>
            <w:noWrap/>
            <w:vAlign w:val="center"/>
          </w:tcPr>
          <w:p w14:paraId="6315507D"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43BDC791"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w:t>
            </w:r>
          </w:p>
        </w:tc>
        <w:tc>
          <w:tcPr>
            <w:tcW w:w="1420" w:type="dxa"/>
            <w:tcBorders>
              <w:top w:val="nil"/>
              <w:left w:val="nil"/>
              <w:bottom w:val="nil"/>
              <w:right w:val="single" w:sz="8" w:space="0" w:color="auto"/>
            </w:tcBorders>
            <w:shd w:val="clear" w:color="auto" w:fill="auto"/>
            <w:noWrap/>
            <w:vAlign w:val="center"/>
            <w:hideMark/>
          </w:tcPr>
          <w:p w14:paraId="629DDEB0"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w:t>
            </w:r>
          </w:p>
        </w:tc>
      </w:tr>
      <w:tr w:rsidR="0008341F" w:rsidRPr="009548D7" w14:paraId="0C1A8145" w14:textId="77777777" w:rsidTr="000525CD">
        <w:trPr>
          <w:trHeight w:val="270"/>
        </w:trPr>
        <w:tc>
          <w:tcPr>
            <w:tcW w:w="4410" w:type="dxa"/>
            <w:tcBorders>
              <w:top w:val="nil"/>
              <w:left w:val="single" w:sz="8" w:space="0" w:color="auto"/>
              <w:bottom w:val="nil"/>
            </w:tcBorders>
            <w:shd w:val="clear" w:color="auto" w:fill="auto"/>
            <w:noWrap/>
            <w:vAlign w:val="center"/>
            <w:hideMark/>
          </w:tcPr>
          <w:p w14:paraId="6C42F2B7" w14:textId="54DCEC6D" w:rsidR="0008341F" w:rsidRPr="009548D7" w:rsidRDefault="000525CD" w:rsidP="000525CD">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08341F" w:rsidRPr="009548D7">
              <w:rPr>
                <w:rFonts w:ascii="Arial Narrow" w:eastAsia="Times New Roman" w:hAnsi="Arial Narrow" w:cs="Arial"/>
                <w:sz w:val="16"/>
                <w:szCs w:val="16"/>
                <w:lang w:eastAsia="pt-BR"/>
              </w:rPr>
              <w:t>Caixa e Equivalentes de Caixa</w:t>
            </w:r>
          </w:p>
        </w:tc>
        <w:tc>
          <w:tcPr>
            <w:tcW w:w="767" w:type="dxa"/>
            <w:tcBorders>
              <w:top w:val="nil"/>
              <w:bottom w:val="nil"/>
              <w:right w:val="single" w:sz="4" w:space="0" w:color="auto"/>
            </w:tcBorders>
            <w:shd w:val="clear" w:color="auto" w:fill="auto"/>
            <w:noWrap/>
            <w:vAlign w:val="center"/>
          </w:tcPr>
          <w:p w14:paraId="5F6646F2"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71BCA47A"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BPA.D011</w:t>
            </w:r>
          </w:p>
        </w:tc>
        <w:tc>
          <w:tcPr>
            <w:tcW w:w="1262" w:type="dxa"/>
            <w:tcBorders>
              <w:top w:val="nil"/>
              <w:left w:val="nil"/>
              <w:bottom w:val="nil"/>
              <w:right w:val="single" w:sz="8" w:space="0" w:color="auto"/>
            </w:tcBorders>
            <w:shd w:val="clear" w:color="auto" w:fill="auto"/>
            <w:noWrap/>
            <w:vAlign w:val="center"/>
            <w:hideMark/>
          </w:tcPr>
          <w:p w14:paraId="6CFED21B"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BPA.E011</w:t>
            </w:r>
          </w:p>
        </w:tc>
        <w:tc>
          <w:tcPr>
            <w:tcW w:w="5337" w:type="dxa"/>
            <w:gridSpan w:val="2"/>
            <w:tcBorders>
              <w:top w:val="nil"/>
              <w:left w:val="nil"/>
              <w:bottom w:val="nil"/>
              <w:right w:val="single" w:sz="8" w:space="0" w:color="auto"/>
            </w:tcBorders>
            <w:shd w:val="clear" w:color="000000" w:fill="FFFFFF"/>
            <w:noWrap/>
            <w:vAlign w:val="center"/>
            <w:hideMark/>
          </w:tcPr>
          <w:p w14:paraId="587D215B" w14:textId="099F49FC" w:rsidR="0008341F" w:rsidRPr="009548D7" w:rsidRDefault="00EE460F" w:rsidP="00447A82">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08341F" w:rsidRPr="009548D7">
              <w:rPr>
                <w:rFonts w:ascii="Arial Narrow" w:eastAsia="Times New Roman" w:hAnsi="Arial Narrow" w:cs="Arial"/>
                <w:sz w:val="16"/>
                <w:szCs w:val="16"/>
                <w:lang w:eastAsia="pt-BR"/>
              </w:rPr>
              <w:t>Obrigações Trabalhistas, Previdenciárias e Assistenciais a Pagar a Curto Prazo</w:t>
            </w:r>
          </w:p>
        </w:tc>
        <w:tc>
          <w:tcPr>
            <w:tcW w:w="1063" w:type="dxa"/>
            <w:tcBorders>
              <w:top w:val="nil"/>
              <w:left w:val="nil"/>
              <w:bottom w:val="nil"/>
              <w:right w:val="single" w:sz="8" w:space="0" w:color="auto"/>
            </w:tcBorders>
            <w:shd w:val="clear" w:color="auto" w:fill="auto"/>
            <w:noWrap/>
            <w:vAlign w:val="center"/>
            <w:hideMark/>
          </w:tcPr>
          <w:p w14:paraId="53758DE7"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BPA.H011</w:t>
            </w:r>
          </w:p>
        </w:tc>
        <w:tc>
          <w:tcPr>
            <w:tcW w:w="1420" w:type="dxa"/>
            <w:tcBorders>
              <w:top w:val="nil"/>
              <w:left w:val="nil"/>
              <w:bottom w:val="nil"/>
              <w:right w:val="single" w:sz="8" w:space="0" w:color="auto"/>
            </w:tcBorders>
            <w:shd w:val="clear" w:color="auto" w:fill="auto"/>
            <w:noWrap/>
            <w:vAlign w:val="center"/>
            <w:hideMark/>
          </w:tcPr>
          <w:p w14:paraId="5FD1BBB2"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BPA.I011</w:t>
            </w:r>
          </w:p>
        </w:tc>
      </w:tr>
      <w:tr w:rsidR="0008341F" w:rsidRPr="009548D7" w14:paraId="270F339E" w14:textId="77777777" w:rsidTr="000525CD">
        <w:trPr>
          <w:trHeight w:val="255"/>
        </w:trPr>
        <w:tc>
          <w:tcPr>
            <w:tcW w:w="4410" w:type="dxa"/>
            <w:tcBorders>
              <w:top w:val="nil"/>
              <w:left w:val="single" w:sz="8" w:space="0" w:color="auto"/>
              <w:bottom w:val="nil"/>
            </w:tcBorders>
            <w:shd w:val="clear" w:color="auto" w:fill="auto"/>
            <w:noWrap/>
            <w:vAlign w:val="center"/>
            <w:hideMark/>
          </w:tcPr>
          <w:p w14:paraId="6FDDF33A" w14:textId="7D57332C" w:rsidR="0008341F" w:rsidRPr="009548D7" w:rsidRDefault="000525CD" w:rsidP="000525CD">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08341F" w:rsidRPr="009548D7">
              <w:rPr>
                <w:rFonts w:ascii="Arial Narrow" w:eastAsia="Times New Roman" w:hAnsi="Arial Narrow" w:cs="Arial"/>
                <w:sz w:val="16"/>
                <w:szCs w:val="16"/>
                <w:lang w:eastAsia="pt-BR"/>
              </w:rPr>
              <w:t>Créditos a Curto Prazo</w:t>
            </w:r>
          </w:p>
        </w:tc>
        <w:tc>
          <w:tcPr>
            <w:tcW w:w="767" w:type="dxa"/>
            <w:tcBorders>
              <w:top w:val="nil"/>
              <w:bottom w:val="nil"/>
              <w:right w:val="single" w:sz="4" w:space="0" w:color="auto"/>
            </w:tcBorders>
            <w:shd w:val="clear" w:color="auto" w:fill="auto"/>
            <w:noWrap/>
            <w:vAlign w:val="center"/>
          </w:tcPr>
          <w:p w14:paraId="30C8FCFF"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299E7F1B"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BPA.D012</w:t>
            </w:r>
          </w:p>
        </w:tc>
        <w:tc>
          <w:tcPr>
            <w:tcW w:w="1262" w:type="dxa"/>
            <w:tcBorders>
              <w:top w:val="nil"/>
              <w:left w:val="nil"/>
              <w:bottom w:val="nil"/>
              <w:right w:val="single" w:sz="8" w:space="0" w:color="auto"/>
            </w:tcBorders>
            <w:shd w:val="clear" w:color="auto" w:fill="auto"/>
            <w:noWrap/>
            <w:vAlign w:val="center"/>
            <w:hideMark/>
          </w:tcPr>
          <w:p w14:paraId="407EF8B0"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BPA.E012</w:t>
            </w:r>
          </w:p>
        </w:tc>
        <w:tc>
          <w:tcPr>
            <w:tcW w:w="4562" w:type="dxa"/>
            <w:tcBorders>
              <w:top w:val="nil"/>
              <w:left w:val="nil"/>
              <w:bottom w:val="nil"/>
            </w:tcBorders>
            <w:shd w:val="clear" w:color="000000" w:fill="FFFFFF"/>
            <w:noWrap/>
            <w:vAlign w:val="center"/>
            <w:hideMark/>
          </w:tcPr>
          <w:p w14:paraId="62175585" w14:textId="1A6DA348" w:rsidR="0008341F" w:rsidRPr="009548D7" w:rsidRDefault="00EE460F" w:rsidP="00EE460F">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08341F" w:rsidRPr="009548D7">
              <w:rPr>
                <w:rFonts w:ascii="Arial Narrow" w:eastAsia="Times New Roman" w:hAnsi="Arial Narrow" w:cs="Arial"/>
                <w:sz w:val="16"/>
                <w:szCs w:val="16"/>
                <w:lang w:eastAsia="pt-BR"/>
              </w:rPr>
              <w:t>Pessoal a Pagar</w:t>
            </w:r>
          </w:p>
        </w:tc>
        <w:tc>
          <w:tcPr>
            <w:tcW w:w="775" w:type="dxa"/>
            <w:tcBorders>
              <w:top w:val="nil"/>
              <w:bottom w:val="nil"/>
              <w:right w:val="single" w:sz="8" w:space="0" w:color="auto"/>
            </w:tcBorders>
            <w:shd w:val="clear" w:color="auto" w:fill="auto"/>
            <w:noWrap/>
            <w:vAlign w:val="center"/>
          </w:tcPr>
          <w:p w14:paraId="3438CA80"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01BD5BA8"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BPA.H012</w:t>
            </w:r>
          </w:p>
        </w:tc>
        <w:tc>
          <w:tcPr>
            <w:tcW w:w="1420" w:type="dxa"/>
            <w:tcBorders>
              <w:top w:val="nil"/>
              <w:left w:val="nil"/>
              <w:bottom w:val="nil"/>
              <w:right w:val="single" w:sz="8" w:space="0" w:color="auto"/>
            </w:tcBorders>
            <w:shd w:val="clear" w:color="auto" w:fill="auto"/>
            <w:noWrap/>
            <w:vAlign w:val="center"/>
            <w:hideMark/>
          </w:tcPr>
          <w:p w14:paraId="5871F6A0"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BPA.I012</w:t>
            </w:r>
          </w:p>
        </w:tc>
      </w:tr>
      <w:tr w:rsidR="0008341F" w:rsidRPr="009548D7" w14:paraId="305C88AD" w14:textId="77777777" w:rsidTr="000525CD">
        <w:trPr>
          <w:trHeight w:val="255"/>
        </w:trPr>
        <w:tc>
          <w:tcPr>
            <w:tcW w:w="4410" w:type="dxa"/>
            <w:tcBorders>
              <w:top w:val="nil"/>
              <w:left w:val="single" w:sz="8" w:space="0" w:color="auto"/>
              <w:bottom w:val="nil"/>
            </w:tcBorders>
            <w:shd w:val="clear" w:color="auto" w:fill="auto"/>
            <w:noWrap/>
            <w:vAlign w:val="center"/>
            <w:hideMark/>
          </w:tcPr>
          <w:p w14:paraId="0D3BF690" w14:textId="65DDB58F" w:rsidR="0008341F" w:rsidRPr="009548D7" w:rsidRDefault="000525CD" w:rsidP="000525CD">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08341F" w:rsidRPr="009548D7">
              <w:rPr>
                <w:rFonts w:ascii="Arial Narrow" w:eastAsia="Times New Roman" w:hAnsi="Arial Narrow" w:cs="Arial"/>
                <w:sz w:val="16"/>
                <w:szCs w:val="16"/>
                <w:lang w:eastAsia="pt-BR"/>
              </w:rPr>
              <w:t>Créditos Tributários a Receber</w:t>
            </w:r>
          </w:p>
        </w:tc>
        <w:tc>
          <w:tcPr>
            <w:tcW w:w="767" w:type="dxa"/>
            <w:tcBorders>
              <w:top w:val="nil"/>
              <w:bottom w:val="nil"/>
              <w:right w:val="single" w:sz="4" w:space="0" w:color="auto"/>
            </w:tcBorders>
            <w:shd w:val="clear" w:color="auto" w:fill="auto"/>
            <w:noWrap/>
            <w:vAlign w:val="center"/>
          </w:tcPr>
          <w:p w14:paraId="506EB4B3"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42170E52"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BPA.D013</w:t>
            </w:r>
          </w:p>
        </w:tc>
        <w:tc>
          <w:tcPr>
            <w:tcW w:w="1262" w:type="dxa"/>
            <w:tcBorders>
              <w:top w:val="nil"/>
              <w:left w:val="nil"/>
              <w:bottom w:val="nil"/>
              <w:right w:val="single" w:sz="8" w:space="0" w:color="auto"/>
            </w:tcBorders>
            <w:shd w:val="clear" w:color="auto" w:fill="auto"/>
            <w:noWrap/>
            <w:vAlign w:val="center"/>
            <w:hideMark/>
          </w:tcPr>
          <w:p w14:paraId="098D2AB9"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BPA.E013</w:t>
            </w:r>
          </w:p>
        </w:tc>
        <w:tc>
          <w:tcPr>
            <w:tcW w:w="4562" w:type="dxa"/>
            <w:tcBorders>
              <w:top w:val="nil"/>
              <w:left w:val="nil"/>
              <w:bottom w:val="nil"/>
            </w:tcBorders>
            <w:shd w:val="clear" w:color="000000" w:fill="FFFFFF"/>
            <w:noWrap/>
            <w:vAlign w:val="center"/>
            <w:hideMark/>
          </w:tcPr>
          <w:p w14:paraId="07ACA0E6" w14:textId="7117AE09" w:rsidR="0008341F" w:rsidRPr="009548D7" w:rsidRDefault="00EE460F" w:rsidP="00EE460F">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08341F" w:rsidRPr="009548D7">
              <w:rPr>
                <w:rFonts w:ascii="Arial Narrow" w:eastAsia="Times New Roman" w:hAnsi="Arial Narrow" w:cs="Arial"/>
                <w:sz w:val="16"/>
                <w:szCs w:val="16"/>
                <w:lang w:eastAsia="pt-BR"/>
              </w:rPr>
              <w:t>Benefícios Previdenciários a Pagar</w:t>
            </w:r>
          </w:p>
        </w:tc>
        <w:tc>
          <w:tcPr>
            <w:tcW w:w="775" w:type="dxa"/>
            <w:tcBorders>
              <w:top w:val="nil"/>
              <w:bottom w:val="nil"/>
              <w:right w:val="single" w:sz="8" w:space="0" w:color="auto"/>
            </w:tcBorders>
            <w:shd w:val="clear" w:color="auto" w:fill="auto"/>
            <w:noWrap/>
            <w:vAlign w:val="center"/>
          </w:tcPr>
          <w:p w14:paraId="04A5590C"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5655CB65"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BPA.H013</w:t>
            </w:r>
          </w:p>
        </w:tc>
        <w:tc>
          <w:tcPr>
            <w:tcW w:w="1420" w:type="dxa"/>
            <w:tcBorders>
              <w:top w:val="nil"/>
              <w:left w:val="nil"/>
              <w:bottom w:val="nil"/>
              <w:right w:val="single" w:sz="8" w:space="0" w:color="auto"/>
            </w:tcBorders>
            <w:shd w:val="clear" w:color="auto" w:fill="auto"/>
            <w:noWrap/>
            <w:vAlign w:val="center"/>
            <w:hideMark/>
          </w:tcPr>
          <w:p w14:paraId="3468B7B6"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BPA.I013</w:t>
            </w:r>
          </w:p>
        </w:tc>
      </w:tr>
      <w:tr w:rsidR="0008341F" w:rsidRPr="009548D7" w14:paraId="071F924F" w14:textId="77777777" w:rsidTr="000525CD">
        <w:trPr>
          <w:trHeight w:val="255"/>
        </w:trPr>
        <w:tc>
          <w:tcPr>
            <w:tcW w:w="4410" w:type="dxa"/>
            <w:tcBorders>
              <w:top w:val="nil"/>
              <w:left w:val="single" w:sz="8" w:space="0" w:color="auto"/>
              <w:bottom w:val="nil"/>
            </w:tcBorders>
            <w:shd w:val="clear" w:color="auto" w:fill="auto"/>
            <w:noWrap/>
            <w:vAlign w:val="center"/>
            <w:hideMark/>
          </w:tcPr>
          <w:p w14:paraId="68F41A3B" w14:textId="204954B9" w:rsidR="0008341F" w:rsidRPr="009548D7" w:rsidRDefault="000525CD" w:rsidP="000525CD">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08341F" w:rsidRPr="009548D7">
              <w:rPr>
                <w:rFonts w:ascii="Arial Narrow" w:eastAsia="Times New Roman" w:hAnsi="Arial Narrow" w:cs="Arial"/>
                <w:sz w:val="16"/>
                <w:szCs w:val="16"/>
                <w:lang w:eastAsia="pt-BR"/>
              </w:rPr>
              <w:t>Clientes</w:t>
            </w:r>
          </w:p>
        </w:tc>
        <w:tc>
          <w:tcPr>
            <w:tcW w:w="767" w:type="dxa"/>
            <w:tcBorders>
              <w:top w:val="nil"/>
              <w:bottom w:val="nil"/>
              <w:right w:val="single" w:sz="4" w:space="0" w:color="auto"/>
            </w:tcBorders>
            <w:shd w:val="clear" w:color="auto" w:fill="auto"/>
            <w:noWrap/>
            <w:vAlign w:val="center"/>
          </w:tcPr>
          <w:p w14:paraId="779F2AEA"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303E38E9"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BPA.D014</w:t>
            </w:r>
          </w:p>
        </w:tc>
        <w:tc>
          <w:tcPr>
            <w:tcW w:w="1262" w:type="dxa"/>
            <w:tcBorders>
              <w:top w:val="nil"/>
              <w:left w:val="nil"/>
              <w:bottom w:val="nil"/>
              <w:right w:val="single" w:sz="8" w:space="0" w:color="auto"/>
            </w:tcBorders>
            <w:shd w:val="clear" w:color="auto" w:fill="auto"/>
            <w:noWrap/>
            <w:vAlign w:val="center"/>
            <w:hideMark/>
          </w:tcPr>
          <w:p w14:paraId="5E1A1DAE"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BPA.E014</w:t>
            </w:r>
          </w:p>
        </w:tc>
        <w:tc>
          <w:tcPr>
            <w:tcW w:w="4562" w:type="dxa"/>
            <w:tcBorders>
              <w:top w:val="nil"/>
              <w:left w:val="nil"/>
              <w:bottom w:val="nil"/>
            </w:tcBorders>
            <w:shd w:val="clear" w:color="000000" w:fill="FFFFFF"/>
            <w:noWrap/>
            <w:vAlign w:val="center"/>
            <w:hideMark/>
          </w:tcPr>
          <w:p w14:paraId="2AF190A7" w14:textId="47200697" w:rsidR="0008341F" w:rsidRPr="009548D7" w:rsidRDefault="00EE460F" w:rsidP="00EE460F">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08341F" w:rsidRPr="009548D7">
              <w:rPr>
                <w:rFonts w:ascii="Arial Narrow" w:eastAsia="Times New Roman" w:hAnsi="Arial Narrow" w:cs="Arial"/>
                <w:sz w:val="16"/>
                <w:szCs w:val="16"/>
                <w:lang w:eastAsia="pt-BR"/>
              </w:rPr>
              <w:t>Benefícios Assistenciais a Pagar</w:t>
            </w:r>
          </w:p>
        </w:tc>
        <w:tc>
          <w:tcPr>
            <w:tcW w:w="775" w:type="dxa"/>
            <w:tcBorders>
              <w:top w:val="nil"/>
              <w:bottom w:val="nil"/>
              <w:right w:val="single" w:sz="8" w:space="0" w:color="auto"/>
            </w:tcBorders>
            <w:shd w:val="clear" w:color="auto" w:fill="auto"/>
            <w:noWrap/>
            <w:vAlign w:val="center"/>
          </w:tcPr>
          <w:p w14:paraId="1047147D"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11E9AD45"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BPA.H014</w:t>
            </w:r>
          </w:p>
        </w:tc>
        <w:tc>
          <w:tcPr>
            <w:tcW w:w="1420" w:type="dxa"/>
            <w:tcBorders>
              <w:top w:val="nil"/>
              <w:left w:val="nil"/>
              <w:bottom w:val="nil"/>
              <w:right w:val="single" w:sz="8" w:space="0" w:color="auto"/>
            </w:tcBorders>
            <w:shd w:val="clear" w:color="auto" w:fill="auto"/>
            <w:noWrap/>
            <w:vAlign w:val="center"/>
            <w:hideMark/>
          </w:tcPr>
          <w:p w14:paraId="4CA8E9D6"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BPA.I014</w:t>
            </w:r>
          </w:p>
        </w:tc>
      </w:tr>
      <w:tr w:rsidR="0008341F" w:rsidRPr="009548D7" w14:paraId="3AAD0745" w14:textId="77777777" w:rsidTr="000525CD">
        <w:trPr>
          <w:trHeight w:val="255"/>
        </w:trPr>
        <w:tc>
          <w:tcPr>
            <w:tcW w:w="4410" w:type="dxa"/>
            <w:tcBorders>
              <w:top w:val="nil"/>
              <w:left w:val="single" w:sz="8" w:space="0" w:color="auto"/>
              <w:bottom w:val="nil"/>
            </w:tcBorders>
            <w:shd w:val="clear" w:color="auto" w:fill="auto"/>
            <w:noWrap/>
            <w:vAlign w:val="center"/>
            <w:hideMark/>
          </w:tcPr>
          <w:p w14:paraId="613C92D3" w14:textId="06A88583" w:rsidR="0008341F" w:rsidRPr="009548D7" w:rsidRDefault="000525CD" w:rsidP="000525CD">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08341F" w:rsidRPr="009548D7">
              <w:rPr>
                <w:rFonts w:ascii="Arial Narrow" w:eastAsia="Times New Roman" w:hAnsi="Arial Narrow" w:cs="Arial"/>
                <w:sz w:val="16"/>
                <w:szCs w:val="16"/>
                <w:lang w:eastAsia="pt-BR"/>
              </w:rPr>
              <w:t>Créditos de Transferências a Receber</w:t>
            </w:r>
          </w:p>
        </w:tc>
        <w:tc>
          <w:tcPr>
            <w:tcW w:w="767" w:type="dxa"/>
            <w:tcBorders>
              <w:top w:val="nil"/>
              <w:bottom w:val="nil"/>
              <w:right w:val="single" w:sz="4" w:space="0" w:color="auto"/>
            </w:tcBorders>
            <w:shd w:val="clear" w:color="auto" w:fill="auto"/>
            <w:noWrap/>
            <w:vAlign w:val="center"/>
          </w:tcPr>
          <w:p w14:paraId="6BD99658"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1569AB2D"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BPA.D015</w:t>
            </w:r>
          </w:p>
        </w:tc>
        <w:tc>
          <w:tcPr>
            <w:tcW w:w="1262" w:type="dxa"/>
            <w:tcBorders>
              <w:top w:val="nil"/>
              <w:left w:val="nil"/>
              <w:bottom w:val="nil"/>
              <w:right w:val="single" w:sz="8" w:space="0" w:color="auto"/>
            </w:tcBorders>
            <w:shd w:val="clear" w:color="auto" w:fill="auto"/>
            <w:noWrap/>
            <w:vAlign w:val="center"/>
            <w:hideMark/>
          </w:tcPr>
          <w:p w14:paraId="11D8A4E8"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BPA.E015</w:t>
            </w:r>
          </w:p>
        </w:tc>
        <w:tc>
          <w:tcPr>
            <w:tcW w:w="4562" w:type="dxa"/>
            <w:tcBorders>
              <w:top w:val="nil"/>
              <w:left w:val="nil"/>
              <w:bottom w:val="nil"/>
            </w:tcBorders>
            <w:shd w:val="clear" w:color="000000" w:fill="FFFFFF"/>
            <w:noWrap/>
            <w:vAlign w:val="center"/>
            <w:hideMark/>
          </w:tcPr>
          <w:p w14:paraId="3F3B1DAA" w14:textId="4A567B11" w:rsidR="0008341F" w:rsidRPr="009548D7" w:rsidRDefault="00EE460F" w:rsidP="00EE460F">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08341F" w:rsidRPr="009548D7">
              <w:rPr>
                <w:rFonts w:ascii="Arial Narrow" w:eastAsia="Times New Roman" w:hAnsi="Arial Narrow" w:cs="Arial"/>
                <w:sz w:val="16"/>
                <w:szCs w:val="16"/>
                <w:lang w:eastAsia="pt-BR"/>
              </w:rPr>
              <w:t>Encargos Sociais a Pagar</w:t>
            </w:r>
          </w:p>
        </w:tc>
        <w:tc>
          <w:tcPr>
            <w:tcW w:w="775" w:type="dxa"/>
            <w:tcBorders>
              <w:top w:val="nil"/>
              <w:bottom w:val="nil"/>
              <w:right w:val="single" w:sz="8" w:space="0" w:color="auto"/>
            </w:tcBorders>
            <w:shd w:val="clear" w:color="auto" w:fill="auto"/>
            <w:noWrap/>
            <w:vAlign w:val="center"/>
          </w:tcPr>
          <w:p w14:paraId="59EDE43D"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1659DE11"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BPA.H015</w:t>
            </w:r>
          </w:p>
        </w:tc>
        <w:tc>
          <w:tcPr>
            <w:tcW w:w="1420" w:type="dxa"/>
            <w:tcBorders>
              <w:top w:val="nil"/>
              <w:left w:val="nil"/>
              <w:bottom w:val="nil"/>
              <w:right w:val="single" w:sz="8" w:space="0" w:color="auto"/>
            </w:tcBorders>
            <w:shd w:val="clear" w:color="auto" w:fill="auto"/>
            <w:noWrap/>
            <w:vAlign w:val="center"/>
            <w:hideMark/>
          </w:tcPr>
          <w:p w14:paraId="10A8E6DB"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BPA.I015</w:t>
            </w:r>
          </w:p>
        </w:tc>
      </w:tr>
      <w:tr w:rsidR="0008341F" w:rsidRPr="009548D7" w14:paraId="7BAAD456" w14:textId="77777777" w:rsidTr="000525CD">
        <w:trPr>
          <w:trHeight w:val="255"/>
        </w:trPr>
        <w:tc>
          <w:tcPr>
            <w:tcW w:w="4410" w:type="dxa"/>
            <w:tcBorders>
              <w:top w:val="nil"/>
              <w:left w:val="single" w:sz="8" w:space="0" w:color="auto"/>
              <w:bottom w:val="nil"/>
            </w:tcBorders>
            <w:shd w:val="clear" w:color="auto" w:fill="auto"/>
            <w:noWrap/>
            <w:vAlign w:val="center"/>
            <w:hideMark/>
          </w:tcPr>
          <w:p w14:paraId="1AFCC640" w14:textId="77A202C7" w:rsidR="0008341F" w:rsidRPr="009548D7" w:rsidRDefault="000525CD" w:rsidP="000525CD">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08341F" w:rsidRPr="009548D7">
              <w:rPr>
                <w:rFonts w:ascii="Arial Narrow" w:eastAsia="Times New Roman" w:hAnsi="Arial Narrow" w:cs="Arial"/>
                <w:sz w:val="16"/>
                <w:szCs w:val="16"/>
                <w:lang w:eastAsia="pt-BR"/>
              </w:rPr>
              <w:t>Empréstimos e Financiamentos Concedidos</w:t>
            </w:r>
          </w:p>
        </w:tc>
        <w:tc>
          <w:tcPr>
            <w:tcW w:w="767" w:type="dxa"/>
            <w:tcBorders>
              <w:top w:val="nil"/>
              <w:bottom w:val="nil"/>
              <w:right w:val="single" w:sz="4" w:space="0" w:color="auto"/>
            </w:tcBorders>
            <w:shd w:val="clear" w:color="auto" w:fill="auto"/>
            <w:noWrap/>
            <w:vAlign w:val="center"/>
          </w:tcPr>
          <w:p w14:paraId="6E4E331B"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490B72F1"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BPA.D016</w:t>
            </w:r>
          </w:p>
        </w:tc>
        <w:tc>
          <w:tcPr>
            <w:tcW w:w="1262" w:type="dxa"/>
            <w:tcBorders>
              <w:top w:val="nil"/>
              <w:left w:val="nil"/>
              <w:bottom w:val="nil"/>
              <w:right w:val="single" w:sz="8" w:space="0" w:color="auto"/>
            </w:tcBorders>
            <w:shd w:val="clear" w:color="auto" w:fill="auto"/>
            <w:noWrap/>
            <w:vAlign w:val="center"/>
            <w:hideMark/>
          </w:tcPr>
          <w:p w14:paraId="57456330"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BPA.E016</w:t>
            </w:r>
          </w:p>
        </w:tc>
        <w:tc>
          <w:tcPr>
            <w:tcW w:w="4562" w:type="dxa"/>
            <w:tcBorders>
              <w:top w:val="nil"/>
              <w:left w:val="nil"/>
              <w:bottom w:val="nil"/>
            </w:tcBorders>
            <w:shd w:val="clear" w:color="auto" w:fill="auto"/>
            <w:noWrap/>
            <w:vAlign w:val="center"/>
            <w:hideMark/>
          </w:tcPr>
          <w:p w14:paraId="1BFB07E6" w14:textId="1D659606" w:rsidR="0008341F" w:rsidRPr="009548D7" w:rsidRDefault="00EE460F" w:rsidP="00EE460F">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08341F" w:rsidRPr="009548D7">
              <w:rPr>
                <w:rFonts w:ascii="Arial Narrow" w:eastAsia="Times New Roman" w:hAnsi="Arial Narrow" w:cs="Arial"/>
                <w:sz w:val="16"/>
                <w:szCs w:val="16"/>
                <w:lang w:eastAsia="pt-BR"/>
              </w:rPr>
              <w:t>Empréstimos e Financiamentos a Curto Prazo</w:t>
            </w:r>
          </w:p>
        </w:tc>
        <w:tc>
          <w:tcPr>
            <w:tcW w:w="775" w:type="dxa"/>
            <w:tcBorders>
              <w:top w:val="nil"/>
              <w:bottom w:val="nil"/>
              <w:right w:val="single" w:sz="8" w:space="0" w:color="auto"/>
            </w:tcBorders>
            <w:shd w:val="clear" w:color="auto" w:fill="auto"/>
            <w:noWrap/>
            <w:vAlign w:val="center"/>
          </w:tcPr>
          <w:p w14:paraId="086AC5C5"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0331C76C"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BPA.H016</w:t>
            </w:r>
          </w:p>
        </w:tc>
        <w:tc>
          <w:tcPr>
            <w:tcW w:w="1420" w:type="dxa"/>
            <w:tcBorders>
              <w:top w:val="nil"/>
              <w:left w:val="nil"/>
              <w:bottom w:val="nil"/>
              <w:right w:val="single" w:sz="8" w:space="0" w:color="auto"/>
            </w:tcBorders>
            <w:shd w:val="clear" w:color="auto" w:fill="auto"/>
            <w:noWrap/>
            <w:vAlign w:val="center"/>
            <w:hideMark/>
          </w:tcPr>
          <w:p w14:paraId="27BC3E32"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BPA.I016</w:t>
            </w:r>
          </w:p>
        </w:tc>
      </w:tr>
      <w:tr w:rsidR="0008341F" w:rsidRPr="009548D7" w14:paraId="5C1447A9" w14:textId="77777777" w:rsidTr="000525CD">
        <w:trPr>
          <w:trHeight w:val="255"/>
        </w:trPr>
        <w:tc>
          <w:tcPr>
            <w:tcW w:w="4410" w:type="dxa"/>
            <w:tcBorders>
              <w:top w:val="nil"/>
              <w:left w:val="single" w:sz="8" w:space="0" w:color="auto"/>
              <w:bottom w:val="nil"/>
            </w:tcBorders>
            <w:shd w:val="clear" w:color="auto" w:fill="auto"/>
            <w:noWrap/>
            <w:vAlign w:val="center"/>
            <w:hideMark/>
          </w:tcPr>
          <w:p w14:paraId="63A0E5B8" w14:textId="66FDE473" w:rsidR="0008341F" w:rsidRPr="009548D7" w:rsidRDefault="000525CD" w:rsidP="000525CD">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08341F" w:rsidRPr="009548D7">
              <w:rPr>
                <w:rFonts w:ascii="Arial Narrow" w:eastAsia="Times New Roman" w:hAnsi="Arial Narrow" w:cs="Arial"/>
                <w:sz w:val="16"/>
                <w:szCs w:val="16"/>
                <w:lang w:eastAsia="pt-BR"/>
              </w:rPr>
              <w:t>Dívida Ativa Tributária</w:t>
            </w:r>
          </w:p>
        </w:tc>
        <w:tc>
          <w:tcPr>
            <w:tcW w:w="767" w:type="dxa"/>
            <w:tcBorders>
              <w:top w:val="nil"/>
              <w:bottom w:val="nil"/>
              <w:right w:val="single" w:sz="4" w:space="0" w:color="auto"/>
            </w:tcBorders>
            <w:shd w:val="clear" w:color="auto" w:fill="auto"/>
            <w:noWrap/>
            <w:vAlign w:val="center"/>
          </w:tcPr>
          <w:p w14:paraId="2E99B510"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59C3EBE5"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BPA.D017</w:t>
            </w:r>
          </w:p>
        </w:tc>
        <w:tc>
          <w:tcPr>
            <w:tcW w:w="1262" w:type="dxa"/>
            <w:tcBorders>
              <w:top w:val="nil"/>
              <w:left w:val="nil"/>
              <w:bottom w:val="nil"/>
              <w:right w:val="single" w:sz="8" w:space="0" w:color="auto"/>
            </w:tcBorders>
            <w:shd w:val="clear" w:color="auto" w:fill="auto"/>
            <w:noWrap/>
            <w:vAlign w:val="center"/>
            <w:hideMark/>
          </w:tcPr>
          <w:p w14:paraId="4C3D9C2A"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BPA.E017</w:t>
            </w:r>
          </w:p>
        </w:tc>
        <w:tc>
          <w:tcPr>
            <w:tcW w:w="4562" w:type="dxa"/>
            <w:tcBorders>
              <w:top w:val="nil"/>
              <w:left w:val="nil"/>
              <w:bottom w:val="nil"/>
            </w:tcBorders>
            <w:shd w:val="clear" w:color="auto" w:fill="auto"/>
            <w:noWrap/>
            <w:vAlign w:val="center"/>
            <w:hideMark/>
          </w:tcPr>
          <w:p w14:paraId="729CC747" w14:textId="6143EFD9" w:rsidR="0008341F" w:rsidRPr="009548D7" w:rsidRDefault="00EE460F" w:rsidP="00EE460F">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08341F" w:rsidRPr="009548D7">
              <w:rPr>
                <w:rFonts w:ascii="Arial Narrow" w:eastAsia="Times New Roman" w:hAnsi="Arial Narrow" w:cs="Arial"/>
                <w:sz w:val="16"/>
                <w:szCs w:val="16"/>
                <w:lang w:eastAsia="pt-BR"/>
              </w:rPr>
              <w:t>Fornecedores e Contas a Pagar a Curto Prazo</w:t>
            </w:r>
          </w:p>
        </w:tc>
        <w:tc>
          <w:tcPr>
            <w:tcW w:w="775" w:type="dxa"/>
            <w:tcBorders>
              <w:top w:val="nil"/>
              <w:bottom w:val="nil"/>
              <w:right w:val="single" w:sz="8" w:space="0" w:color="auto"/>
            </w:tcBorders>
            <w:shd w:val="clear" w:color="auto" w:fill="auto"/>
            <w:noWrap/>
            <w:vAlign w:val="center"/>
          </w:tcPr>
          <w:p w14:paraId="0395EEB3"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29F2FEE7"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BPA.H017</w:t>
            </w:r>
          </w:p>
        </w:tc>
        <w:tc>
          <w:tcPr>
            <w:tcW w:w="1420" w:type="dxa"/>
            <w:tcBorders>
              <w:top w:val="nil"/>
              <w:left w:val="nil"/>
              <w:bottom w:val="nil"/>
              <w:right w:val="single" w:sz="8" w:space="0" w:color="auto"/>
            </w:tcBorders>
            <w:shd w:val="clear" w:color="auto" w:fill="auto"/>
            <w:noWrap/>
            <w:vAlign w:val="center"/>
            <w:hideMark/>
          </w:tcPr>
          <w:p w14:paraId="6A29AE65"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BPA.I017</w:t>
            </w:r>
          </w:p>
        </w:tc>
      </w:tr>
      <w:tr w:rsidR="0008341F" w:rsidRPr="009548D7" w14:paraId="7BF2FF25" w14:textId="77777777" w:rsidTr="000525CD">
        <w:trPr>
          <w:trHeight w:val="255"/>
        </w:trPr>
        <w:tc>
          <w:tcPr>
            <w:tcW w:w="4410" w:type="dxa"/>
            <w:tcBorders>
              <w:top w:val="nil"/>
              <w:left w:val="single" w:sz="8" w:space="0" w:color="auto"/>
              <w:bottom w:val="nil"/>
            </w:tcBorders>
            <w:shd w:val="clear" w:color="auto" w:fill="auto"/>
            <w:noWrap/>
            <w:vAlign w:val="center"/>
            <w:hideMark/>
          </w:tcPr>
          <w:p w14:paraId="110DF89D" w14:textId="54D04785" w:rsidR="0008341F" w:rsidRPr="009548D7" w:rsidRDefault="000525CD" w:rsidP="000525CD">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08341F" w:rsidRPr="009548D7">
              <w:rPr>
                <w:rFonts w:ascii="Arial Narrow" w:eastAsia="Times New Roman" w:hAnsi="Arial Narrow" w:cs="Arial"/>
                <w:sz w:val="16"/>
                <w:szCs w:val="16"/>
                <w:lang w:eastAsia="pt-BR"/>
              </w:rPr>
              <w:t>Dívida Ativa Não Tributária</w:t>
            </w:r>
          </w:p>
        </w:tc>
        <w:tc>
          <w:tcPr>
            <w:tcW w:w="767" w:type="dxa"/>
            <w:tcBorders>
              <w:top w:val="nil"/>
              <w:bottom w:val="nil"/>
              <w:right w:val="single" w:sz="4" w:space="0" w:color="auto"/>
            </w:tcBorders>
            <w:shd w:val="clear" w:color="auto" w:fill="auto"/>
            <w:noWrap/>
            <w:vAlign w:val="center"/>
          </w:tcPr>
          <w:p w14:paraId="600746D2"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1234D171"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BPA.D018</w:t>
            </w:r>
          </w:p>
        </w:tc>
        <w:tc>
          <w:tcPr>
            <w:tcW w:w="1262" w:type="dxa"/>
            <w:tcBorders>
              <w:top w:val="nil"/>
              <w:left w:val="nil"/>
              <w:bottom w:val="nil"/>
              <w:right w:val="single" w:sz="8" w:space="0" w:color="auto"/>
            </w:tcBorders>
            <w:shd w:val="clear" w:color="auto" w:fill="auto"/>
            <w:noWrap/>
            <w:vAlign w:val="center"/>
            <w:hideMark/>
          </w:tcPr>
          <w:p w14:paraId="0F5385CA"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BPA.E018</w:t>
            </w:r>
          </w:p>
        </w:tc>
        <w:tc>
          <w:tcPr>
            <w:tcW w:w="4562" w:type="dxa"/>
            <w:tcBorders>
              <w:top w:val="nil"/>
              <w:left w:val="nil"/>
              <w:bottom w:val="nil"/>
            </w:tcBorders>
            <w:shd w:val="clear" w:color="auto" w:fill="auto"/>
            <w:noWrap/>
            <w:vAlign w:val="center"/>
            <w:hideMark/>
          </w:tcPr>
          <w:p w14:paraId="12405088" w14:textId="2B8115D6" w:rsidR="0008341F" w:rsidRPr="009548D7" w:rsidRDefault="00EE460F" w:rsidP="00EE460F">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08341F" w:rsidRPr="009548D7">
              <w:rPr>
                <w:rFonts w:ascii="Arial Narrow" w:eastAsia="Times New Roman" w:hAnsi="Arial Narrow" w:cs="Arial"/>
                <w:sz w:val="16"/>
                <w:szCs w:val="16"/>
                <w:lang w:eastAsia="pt-BR"/>
              </w:rPr>
              <w:t>Obrigações Fiscais a Curto Prazo</w:t>
            </w:r>
          </w:p>
        </w:tc>
        <w:tc>
          <w:tcPr>
            <w:tcW w:w="775" w:type="dxa"/>
            <w:tcBorders>
              <w:top w:val="nil"/>
              <w:bottom w:val="nil"/>
              <w:right w:val="single" w:sz="8" w:space="0" w:color="auto"/>
            </w:tcBorders>
            <w:shd w:val="clear" w:color="auto" w:fill="auto"/>
            <w:noWrap/>
            <w:vAlign w:val="center"/>
          </w:tcPr>
          <w:p w14:paraId="485E2315"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5E74C6E0"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BPA.H018</w:t>
            </w:r>
          </w:p>
        </w:tc>
        <w:tc>
          <w:tcPr>
            <w:tcW w:w="1420" w:type="dxa"/>
            <w:tcBorders>
              <w:top w:val="nil"/>
              <w:left w:val="nil"/>
              <w:bottom w:val="nil"/>
              <w:right w:val="single" w:sz="8" w:space="0" w:color="auto"/>
            </w:tcBorders>
            <w:shd w:val="clear" w:color="auto" w:fill="auto"/>
            <w:noWrap/>
            <w:vAlign w:val="center"/>
            <w:hideMark/>
          </w:tcPr>
          <w:p w14:paraId="40FE6EF2"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BPA.I018</w:t>
            </w:r>
          </w:p>
        </w:tc>
      </w:tr>
      <w:tr w:rsidR="0008341F" w:rsidRPr="009548D7" w14:paraId="77286F77" w14:textId="77777777" w:rsidTr="000525CD">
        <w:trPr>
          <w:trHeight w:val="255"/>
        </w:trPr>
        <w:tc>
          <w:tcPr>
            <w:tcW w:w="4410" w:type="dxa"/>
            <w:tcBorders>
              <w:top w:val="nil"/>
              <w:left w:val="single" w:sz="8" w:space="0" w:color="auto"/>
              <w:bottom w:val="nil"/>
            </w:tcBorders>
            <w:shd w:val="clear" w:color="auto" w:fill="auto"/>
            <w:noWrap/>
            <w:vAlign w:val="center"/>
          </w:tcPr>
          <w:p w14:paraId="3433285A" w14:textId="6D489170" w:rsidR="0008341F" w:rsidRPr="009548D7" w:rsidRDefault="000525CD" w:rsidP="000525CD">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08341F" w:rsidRPr="009548D7">
              <w:rPr>
                <w:rFonts w:ascii="Arial Narrow" w:eastAsia="Times New Roman" w:hAnsi="Arial Narrow" w:cs="Arial"/>
                <w:sz w:val="16"/>
                <w:szCs w:val="16"/>
                <w:lang w:eastAsia="pt-BR"/>
              </w:rPr>
              <w:t>(-) Ajuste de Perdas de Créditos a Curto Prazo</w:t>
            </w:r>
          </w:p>
        </w:tc>
        <w:tc>
          <w:tcPr>
            <w:tcW w:w="767" w:type="dxa"/>
            <w:tcBorders>
              <w:top w:val="nil"/>
              <w:bottom w:val="nil"/>
              <w:right w:val="single" w:sz="4" w:space="0" w:color="auto"/>
            </w:tcBorders>
            <w:shd w:val="clear" w:color="auto" w:fill="auto"/>
            <w:noWrap/>
            <w:vAlign w:val="center"/>
          </w:tcPr>
          <w:p w14:paraId="299FCC8E"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tcPr>
          <w:p w14:paraId="72771E7A"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BPA.D019</w:t>
            </w:r>
          </w:p>
        </w:tc>
        <w:tc>
          <w:tcPr>
            <w:tcW w:w="1262" w:type="dxa"/>
            <w:tcBorders>
              <w:top w:val="nil"/>
              <w:left w:val="nil"/>
              <w:bottom w:val="nil"/>
              <w:right w:val="single" w:sz="8" w:space="0" w:color="auto"/>
            </w:tcBorders>
            <w:shd w:val="clear" w:color="auto" w:fill="auto"/>
            <w:noWrap/>
            <w:vAlign w:val="center"/>
          </w:tcPr>
          <w:p w14:paraId="5ED925AE"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BPA.E019</w:t>
            </w:r>
          </w:p>
        </w:tc>
        <w:tc>
          <w:tcPr>
            <w:tcW w:w="4562" w:type="dxa"/>
            <w:tcBorders>
              <w:top w:val="nil"/>
              <w:left w:val="nil"/>
              <w:bottom w:val="nil"/>
            </w:tcBorders>
            <w:shd w:val="clear" w:color="auto" w:fill="auto"/>
            <w:noWrap/>
            <w:vAlign w:val="center"/>
          </w:tcPr>
          <w:p w14:paraId="4B876BB0" w14:textId="2D8D9DA7" w:rsidR="0008341F" w:rsidRPr="0008341F" w:rsidRDefault="00EE460F" w:rsidP="00EE460F">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08341F" w:rsidRPr="0008341F">
              <w:rPr>
                <w:rFonts w:ascii="Arial Narrow" w:eastAsia="Times New Roman" w:hAnsi="Arial Narrow" w:cs="Arial"/>
                <w:sz w:val="16"/>
                <w:szCs w:val="16"/>
                <w:lang w:eastAsia="pt-BR"/>
              </w:rPr>
              <w:t>Transferências Fiscais a Curto Prazo</w:t>
            </w:r>
          </w:p>
        </w:tc>
        <w:tc>
          <w:tcPr>
            <w:tcW w:w="775" w:type="dxa"/>
            <w:tcBorders>
              <w:top w:val="nil"/>
              <w:bottom w:val="nil"/>
              <w:right w:val="single" w:sz="8" w:space="0" w:color="auto"/>
            </w:tcBorders>
            <w:shd w:val="clear" w:color="auto" w:fill="auto"/>
            <w:noWrap/>
            <w:vAlign w:val="center"/>
          </w:tcPr>
          <w:p w14:paraId="253B12DC" w14:textId="77777777" w:rsidR="0008341F" w:rsidRPr="00A552EC" w:rsidRDefault="0008341F" w:rsidP="000525CD">
            <w:pPr>
              <w:spacing w:after="0" w:line="240" w:lineRule="auto"/>
              <w:jc w:val="center"/>
              <w:rPr>
                <w:rFonts w:ascii="Arial Narrow" w:eastAsia="Times New Roman" w:hAnsi="Arial Narrow" w:cs="Arial"/>
                <w:color w:val="0070C0"/>
                <w:sz w:val="16"/>
                <w:szCs w:val="16"/>
                <w:lang w:eastAsia="pt-BR"/>
              </w:rPr>
            </w:pPr>
          </w:p>
        </w:tc>
        <w:tc>
          <w:tcPr>
            <w:tcW w:w="1063" w:type="dxa"/>
            <w:tcBorders>
              <w:top w:val="nil"/>
              <w:left w:val="nil"/>
              <w:bottom w:val="nil"/>
              <w:right w:val="single" w:sz="8" w:space="0" w:color="auto"/>
            </w:tcBorders>
            <w:shd w:val="clear" w:color="auto" w:fill="auto"/>
            <w:noWrap/>
            <w:vAlign w:val="center"/>
          </w:tcPr>
          <w:p w14:paraId="664F462E" w14:textId="77777777" w:rsidR="0008341F" w:rsidRPr="0008341F" w:rsidRDefault="0008341F" w:rsidP="000525CD">
            <w:pPr>
              <w:spacing w:after="0" w:line="240" w:lineRule="auto"/>
              <w:jc w:val="center"/>
              <w:rPr>
                <w:rFonts w:ascii="Arial Narrow" w:eastAsia="Times New Roman" w:hAnsi="Arial Narrow" w:cs="Arial"/>
                <w:sz w:val="16"/>
                <w:szCs w:val="16"/>
                <w:lang w:eastAsia="pt-BR"/>
              </w:rPr>
            </w:pPr>
            <w:r w:rsidRPr="0008341F">
              <w:rPr>
                <w:rFonts w:ascii="Arial Narrow" w:eastAsia="Times New Roman" w:hAnsi="Arial Narrow" w:cs="Arial"/>
                <w:sz w:val="16"/>
                <w:szCs w:val="16"/>
                <w:lang w:eastAsia="pt-BR"/>
              </w:rPr>
              <w:t>BPA.H091</w:t>
            </w:r>
          </w:p>
        </w:tc>
        <w:tc>
          <w:tcPr>
            <w:tcW w:w="1420" w:type="dxa"/>
            <w:tcBorders>
              <w:top w:val="nil"/>
              <w:left w:val="nil"/>
              <w:bottom w:val="nil"/>
              <w:right w:val="single" w:sz="8" w:space="0" w:color="auto"/>
            </w:tcBorders>
            <w:shd w:val="clear" w:color="auto" w:fill="auto"/>
            <w:noWrap/>
            <w:vAlign w:val="center"/>
          </w:tcPr>
          <w:p w14:paraId="0A443EC3" w14:textId="77777777" w:rsidR="0008341F" w:rsidRPr="0008341F" w:rsidRDefault="0008341F" w:rsidP="000525CD">
            <w:pPr>
              <w:spacing w:after="0" w:line="240" w:lineRule="auto"/>
              <w:jc w:val="center"/>
              <w:rPr>
                <w:rFonts w:ascii="Arial Narrow" w:eastAsia="Times New Roman" w:hAnsi="Arial Narrow" w:cs="Arial"/>
                <w:sz w:val="16"/>
                <w:szCs w:val="16"/>
                <w:lang w:eastAsia="pt-BR"/>
              </w:rPr>
            </w:pPr>
            <w:r w:rsidRPr="0008341F">
              <w:rPr>
                <w:rFonts w:ascii="Arial Narrow" w:eastAsia="Times New Roman" w:hAnsi="Arial Narrow" w:cs="Arial"/>
                <w:sz w:val="16"/>
                <w:szCs w:val="16"/>
                <w:lang w:eastAsia="pt-BR"/>
              </w:rPr>
              <w:t>BPA.I091</w:t>
            </w:r>
          </w:p>
        </w:tc>
      </w:tr>
      <w:tr w:rsidR="0008341F" w:rsidRPr="009548D7" w14:paraId="3D58E429" w14:textId="77777777" w:rsidTr="000525CD">
        <w:trPr>
          <w:trHeight w:val="255"/>
        </w:trPr>
        <w:tc>
          <w:tcPr>
            <w:tcW w:w="4410" w:type="dxa"/>
            <w:tcBorders>
              <w:top w:val="nil"/>
              <w:left w:val="single" w:sz="8" w:space="0" w:color="auto"/>
              <w:bottom w:val="nil"/>
            </w:tcBorders>
            <w:shd w:val="clear" w:color="auto" w:fill="auto"/>
            <w:noWrap/>
            <w:vAlign w:val="center"/>
            <w:hideMark/>
          </w:tcPr>
          <w:p w14:paraId="65492403" w14:textId="7FABC3E8" w:rsidR="0008341F" w:rsidRPr="0008341F" w:rsidRDefault="000525CD" w:rsidP="000525CD">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08341F" w:rsidRPr="0008341F">
              <w:rPr>
                <w:rFonts w:ascii="Arial Narrow" w:eastAsia="Times New Roman" w:hAnsi="Arial Narrow" w:cs="Arial"/>
                <w:sz w:val="16"/>
                <w:szCs w:val="16"/>
                <w:lang w:eastAsia="pt-BR"/>
              </w:rPr>
              <w:t>Demais Créditos e Valores a Curto Prazo</w:t>
            </w:r>
          </w:p>
        </w:tc>
        <w:tc>
          <w:tcPr>
            <w:tcW w:w="767" w:type="dxa"/>
            <w:tcBorders>
              <w:top w:val="nil"/>
              <w:bottom w:val="nil"/>
              <w:right w:val="single" w:sz="4" w:space="0" w:color="auto"/>
            </w:tcBorders>
            <w:shd w:val="clear" w:color="auto" w:fill="auto"/>
            <w:noWrap/>
            <w:vAlign w:val="center"/>
          </w:tcPr>
          <w:p w14:paraId="41F763A0"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4AB5D77A"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BPA.D020</w:t>
            </w:r>
          </w:p>
        </w:tc>
        <w:tc>
          <w:tcPr>
            <w:tcW w:w="1262" w:type="dxa"/>
            <w:tcBorders>
              <w:top w:val="nil"/>
              <w:left w:val="nil"/>
              <w:bottom w:val="nil"/>
              <w:right w:val="single" w:sz="8" w:space="0" w:color="auto"/>
            </w:tcBorders>
            <w:shd w:val="clear" w:color="auto" w:fill="auto"/>
            <w:noWrap/>
            <w:vAlign w:val="center"/>
            <w:hideMark/>
          </w:tcPr>
          <w:p w14:paraId="3D1841CE"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BPA.E020</w:t>
            </w:r>
          </w:p>
        </w:tc>
        <w:tc>
          <w:tcPr>
            <w:tcW w:w="4562" w:type="dxa"/>
            <w:tcBorders>
              <w:top w:val="nil"/>
              <w:left w:val="nil"/>
              <w:bottom w:val="nil"/>
            </w:tcBorders>
            <w:shd w:val="clear" w:color="auto" w:fill="auto"/>
            <w:noWrap/>
            <w:vAlign w:val="center"/>
            <w:hideMark/>
          </w:tcPr>
          <w:p w14:paraId="66A1578C" w14:textId="0B5F74AE" w:rsidR="0008341F" w:rsidRPr="0008341F" w:rsidRDefault="00EE460F" w:rsidP="00EE460F">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08341F" w:rsidRPr="0008341F">
              <w:rPr>
                <w:rFonts w:ascii="Arial Narrow" w:eastAsia="Times New Roman" w:hAnsi="Arial Narrow" w:cs="Arial"/>
                <w:sz w:val="16"/>
                <w:szCs w:val="16"/>
                <w:lang w:eastAsia="pt-BR"/>
              </w:rPr>
              <w:t>Provisões a Curto Prazo</w:t>
            </w:r>
          </w:p>
        </w:tc>
        <w:tc>
          <w:tcPr>
            <w:tcW w:w="775" w:type="dxa"/>
            <w:tcBorders>
              <w:top w:val="nil"/>
              <w:bottom w:val="nil"/>
              <w:right w:val="single" w:sz="8" w:space="0" w:color="auto"/>
            </w:tcBorders>
            <w:shd w:val="clear" w:color="auto" w:fill="auto"/>
            <w:noWrap/>
            <w:vAlign w:val="center"/>
          </w:tcPr>
          <w:p w14:paraId="56A87C49"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18B4E1FA"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BPA.H019</w:t>
            </w:r>
          </w:p>
        </w:tc>
        <w:tc>
          <w:tcPr>
            <w:tcW w:w="1420" w:type="dxa"/>
            <w:tcBorders>
              <w:top w:val="nil"/>
              <w:left w:val="nil"/>
              <w:bottom w:val="nil"/>
              <w:right w:val="single" w:sz="8" w:space="0" w:color="auto"/>
            </w:tcBorders>
            <w:shd w:val="clear" w:color="auto" w:fill="auto"/>
            <w:noWrap/>
            <w:vAlign w:val="center"/>
            <w:hideMark/>
          </w:tcPr>
          <w:p w14:paraId="6E4DE50C"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BPA.I019</w:t>
            </w:r>
          </w:p>
        </w:tc>
      </w:tr>
      <w:tr w:rsidR="0008341F" w:rsidRPr="009548D7" w14:paraId="1E42BEB2" w14:textId="77777777" w:rsidTr="000525CD">
        <w:trPr>
          <w:trHeight w:val="255"/>
        </w:trPr>
        <w:tc>
          <w:tcPr>
            <w:tcW w:w="4410" w:type="dxa"/>
            <w:tcBorders>
              <w:top w:val="nil"/>
              <w:left w:val="single" w:sz="8" w:space="0" w:color="auto"/>
              <w:bottom w:val="nil"/>
            </w:tcBorders>
            <w:shd w:val="clear" w:color="auto" w:fill="auto"/>
            <w:noWrap/>
            <w:vAlign w:val="center"/>
            <w:hideMark/>
          </w:tcPr>
          <w:p w14:paraId="1635DAD4" w14:textId="06D43EBE" w:rsidR="0008341F" w:rsidRPr="0008341F" w:rsidRDefault="000525CD" w:rsidP="000525CD">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08341F" w:rsidRPr="0008341F">
              <w:rPr>
                <w:rFonts w:ascii="Arial Narrow" w:eastAsia="Times New Roman" w:hAnsi="Arial Narrow" w:cs="Arial"/>
                <w:sz w:val="16"/>
                <w:szCs w:val="16"/>
                <w:lang w:eastAsia="pt-BR"/>
              </w:rPr>
              <w:t>Investimentos e Aplicações Temporárias a Curto Prazo</w:t>
            </w:r>
          </w:p>
        </w:tc>
        <w:tc>
          <w:tcPr>
            <w:tcW w:w="767" w:type="dxa"/>
            <w:tcBorders>
              <w:top w:val="nil"/>
              <w:bottom w:val="nil"/>
              <w:right w:val="single" w:sz="4" w:space="0" w:color="auto"/>
            </w:tcBorders>
            <w:shd w:val="clear" w:color="auto" w:fill="auto"/>
            <w:noWrap/>
            <w:vAlign w:val="center"/>
          </w:tcPr>
          <w:p w14:paraId="2B18BA01"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6EA47AAC"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BPA.D021</w:t>
            </w:r>
          </w:p>
        </w:tc>
        <w:tc>
          <w:tcPr>
            <w:tcW w:w="1262" w:type="dxa"/>
            <w:tcBorders>
              <w:top w:val="nil"/>
              <w:left w:val="nil"/>
              <w:bottom w:val="nil"/>
              <w:right w:val="single" w:sz="8" w:space="0" w:color="auto"/>
            </w:tcBorders>
            <w:shd w:val="clear" w:color="auto" w:fill="auto"/>
            <w:noWrap/>
            <w:vAlign w:val="center"/>
            <w:hideMark/>
          </w:tcPr>
          <w:p w14:paraId="37030F2C"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BPA.E021</w:t>
            </w:r>
          </w:p>
        </w:tc>
        <w:tc>
          <w:tcPr>
            <w:tcW w:w="4562" w:type="dxa"/>
            <w:tcBorders>
              <w:top w:val="nil"/>
              <w:left w:val="nil"/>
              <w:bottom w:val="nil"/>
            </w:tcBorders>
            <w:shd w:val="clear" w:color="000000" w:fill="FFFFFF"/>
            <w:noWrap/>
            <w:vAlign w:val="center"/>
            <w:hideMark/>
          </w:tcPr>
          <w:p w14:paraId="0B69DA0A" w14:textId="02D5E19D" w:rsidR="0008341F" w:rsidRPr="0008341F" w:rsidRDefault="00EE460F" w:rsidP="00EE460F">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08341F" w:rsidRPr="0008341F">
              <w:rPr>
                <w:rFonts w:ascii="Arial Narrow" w:eastAsia="Times New Roman" w:hAnsi="Arial Narrow" w:cs="Arial"/>
                <w:sz w:val="16"/>
                <w:szCs w:val="16"/>
                <w:lang w:eastAsia="pt-BR"/>
              </w:rPr>
              <w:t>Provisões para Riscos Trabalhistas a Curto Prazo</w:t>
            </w:r>
          </w:p>
        </w:tc>
        <w:tc>
          <w:tcPr>
            <w:tcW w:w="775" w:type="dxa"/>
            <w:tcBorders>
              <w:top w:val="nil"/>
              <w:bottom w:val="nil"/>
              <w:right w:val="single" w:sz="8" w:space="0" w:color="auto"/>
            </w:tcBorders>
            <w:shd w:val="clear" w:color="auto" w:fill="auto"/>
            <w:noWrap/>
            <w:vAlign w:val="center"/>
          </w:tcPr>
          <w:p w14:paraId="76DE56F2"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4ABA6D49"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BPA.H020</w:t>
            </w:r>
          </w:p>
        </w:tc>
        <w:tc>
          <w:tcPr>
            <w:tcW w:w="1420" w:type="dxa"/>
            <w:tcBorders>
              <w:top w:val="nil"/>
              <w:left w:val="nil"/>
              <w:bottom w:val="nil"/>
              <w:right w:val="single" w:sz="8" w:space="0" w:color="auto"/>
            </w:tcBorders>
            <w:shd w:val="clear" w:color="auto" w:fill="auto"/>
            <w:noWrap/>
            <w:vAlign w:val="center"/>
            <w:hideMark/>
          </w:tcPr>
          <w:p w14:paraId="6CFF6E98"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BPA.I020</w:t>
            </w:r>
          </w:p>
        </w:tc>
      </w:tr>
      <w:tr w:rsidR="0008341F" w:rsidRPr="009548D7" w14:paraId="240B1051" w14:textId="77777777" w:rsidTr="000525CD">
        <w:trPr>
          <w:trHeight w:val="255"/>
        </w:trPr>
        <w:tc>
          <w:tcPr>
            <w:tcW w:w="4410" w:type="dxa"/>
            <w:tcBorders>
              <w:top w:val="nil"/>
              <w:left w:val="single" w:sz="8" w:space="0" w:color="auto"/>
              <w:bottom w:val="nil"/>
            </w:tcBorders>
            <w:shd w:val="clear" w:color="auto" w:fill="auto"/>
            <w:noWrap/>
            <w:vAlign w:val="center"/>
            <w:hideMark/>
          </w:tcPr>
          <w:p w14:paraId="019A87B6" w14:textId="079DC9C4" w:rsidR="0008341F" w:rsidRPr="0008341F" w:rsidRDefault="000525CD" w:rsidP="000525CD">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08341F" w:rsidRPr="0008341F">
              <w:rPr>
                <w:rFonts w:ascii="Arial Narrow" w:eastAsia="Times New Roman" w:hAnsi="Arial Narrow" w:cs="Arial"/>
                <w:sz w:val="16"/>
                <w:szCs w:val="16"/>
                <w:lang w:eastAsia="pt-BR"/>
              </w:rPr>
              <w:t>Estoques</w:t>
            </w:r>
          </w:p>
        </w:tc>
        <w:tc>
          <w:tcPr>
            <w:tcW w:w="767" w:type="dxa"/>
            <w:tcBorders>
              <w:top w:val="nil"/>
              <w:bottom w:val="nil"/>
              <w:right w:val="single" w:sz="4" w:space="0" w:color="auto"/>
            </w:tcBorders>
            <w:shd w:val="clear" w:color="auto" w:fill="auto"/>
            <w:noWrap/>
            <w:vAlign w:val="center"/>
          </w:tcPr>
          <w:p w14:paraId="20550AD0"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798CA228"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BPA.D022</w:t>
            </w:r>
          </w:p>
        </w:tc>
        <w:tc>
          <w:tcPr>
            <w:tcW w:w="1262" w:type="dxa"/>
            <w:tcBorders>
              <w:top w:val="nil"/>
              <w:left w:val="nil"/>
              <w:bottom w:val="nil"/>
              <w:right w:val="single" w:sz="8" w:space="0" w:color="auto"/>
            </w:tcBorders>
            <w:shd w:val="clear" w:color="auto" w:fill="auto"/>
            <w:noWrap/>
            <w:vAlign w:val="center"/>
            <w:hideMark/>
          </w:tcPr>
          <w:p w14:paraId="2335C0A5"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BPA.E022</w:t>
            </w:r>
          </w:p>
        </w:tc>
        <w:tc>
          <w:tcPr>
            <w:tcW w:w="4562" w:type="dxa"/>
            <w:tcBorders>
              <w:top w:val="nil"/>
              <w:left w:val="nil"/>
              <w:bottom w:val="nil"/>
            </w:tcBorders>
            <w:shd w:val="clear" w:color="000000" w:fill="FFFFFF"/>
            <w:noWrap/>
            <w:vAlign w:val="center"/>
            <w:hideMark/>
          </w:tcPr>
          <w:p w14:paraId="602C4F95" w14:textId="623CF39D" w:rsidR="0008341F" w:rsidRPr="009548D7" w:rsidRDefault="00EE460F" w:rsidP="000525CD">
            <w:pPr>
              <w:spacing w:after="0" w:line="240" w:lineRule="auto"/>
              <w:ind w:firstLineChars="200" w:firstLine="320"/>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08341F" w:rsidRPr="009548D7">
              <w:rPr>
                <w:rFonts w:ascii="Arial Narrow" w:eastAsia="Times New Roman" w:hAnsi="Arial Narrow" w:cs="Arial"/>
                <w:sz w:val="16"/>
                <w:szCs w:val="16"/>
                <w:lang w:eastAsia="pt-BR"/>
              </w:rPr>
              <w:t>Provisões para Riscos Fiscais a Curto Prazo</w:t>
            </w:r>
          </w:p>
        </w:tc>
        <w:tc>
          <w:tcPr>
            <w:tcW w:w="775" w:type="dxa"/>
            <w:tcBorders>
              <w:top w:val="nil"/>
              <w:bottom w:val="nil"/>
              <w:right w:val="single" w:sz="8" w:space="0" w:color="auto"/>
            </w:tcBorders>
            <w:shd w:val="clear" w:color="auto" w:fill="auto"/>
            <w:noWrap/>
            <w:vAlign w:val="center"/>
          </w:tcPr>
          <w:p w14:paraId="1EF5F893"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5D4DD307"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BPA.H021</w:t>
            </w:r>
          </w:p>
        </w:tc>
        <w:tc>
          <w:tcPr>
            <w:tcW w:w="1420" w:type="dxa"/>
            <w:tcBorders>
              <w:top w:val="nil"/>
              <w:left w:val="nil"/>
              <w:bottom w:val="nil"/>
              <w:right w:val="single" w:sz="8" w:space="0" w:color="auto"/>
            </w:tcBorders>
            <w:shd w:val="clear" w:color="auto" w:fill="auto"/>
            <w:noWrap/>
            <w:vAlign w:val="center"/>
            <w:hideMark/>
          </w:tcPr>
          <w:p w14:paraId="0DA59328"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BPA.I021</w:t>
            </w:r>
          </w:p>
        </w:tc>
      </w:tr>
      <w:tr w:rsidR="0008341F" w:rsidRPr="009548D7" w14:paraId="6C00EADF" w14:textId="77777777" w:rsidTr="000525CD">
        <w:trPr>
          <w:trHeight w:val="255"/>
        </w:trPr>
        <w:tc>
          <w:tcPr>
            <w:tcW w:w="4410" w:type="dxa"/>
            <w:tcBorders>
              <w:top w:val="nil"/>
              <w:left w:val="single" w:sz="8" w:space="0" w:color="auto"/>
              <w:bottom w:val="nil"/>
            </w:tcBorders>
            <w:shd w:val="clear" w:color="auto" w:fill="auto"/>
            <w:noWrap/>
            <w:vAlign w:val="center"/>
            <w:hideMark/>
          </w:tcPr>
          <w:p w14:paraId="577DC266" w14:textId="254FA281" w:rsidR="0008341F" w:rsidRPr="009548D7" w:rsidRDefault="000525CD" w:rsidP="000525CD">
            <w:pPr>
              <w:spacing w:after="0" w:line="240" w:lineRule="auto"/>
              <w:rPr>
                <w:rFonts w:ascii="Arial Narrow" w:eastAsia="Times New Roman" w:hAnsi="Arial Narrow" w:cs="Arial"/>
                <w:sz w:val="16"/>
                <w:szCs w:val="16"/>
                <w:lang w:eastAsia="pt-BR"/>
              </w:rPr>
            </w:pPr>
            <w:r>
              <w:rPr>
                <w:rFonts w:ascii="Arial Narrow" w:hAnsi="Arial Narrow" w:cs="Arial"/>
                <w:sz w:val="16"/>
                <w:szCs w:val="16"/>
              </w:rPr>
              <w:t xml:space="preserve">     </w:t>
            </w:r>
            <w:r w:rsidR="0008341F" w:rsidRPr="006B69C6">
              <w:rPr>
                <w:rFonts w:ascii="Arial Narrow" w:hAnsi="Arial Narrow" w:cs="Arial"/>
                <w:sz w:val="16"/>
                <w:szCs w:val="16"/>
              </w:rPr>
              <w:t>Ativo não Circulante Mantido para Venda</w:t>
            </w:r>
          </w:p>
        </w:tc>
        <w:tc>
          <w:tcPr>
            <w:tcW w:w="767" w:type="dxa"/>
            <w:tcBorders>
              <w:top w:val="nil"/>
              <w:bottom w:val="nil"/>
              <w:right w:val="single" w:sz="4" w:space="0" w:color="auto"/>
            </w:tcBorders>
            <w:shd w:val="clear" w:color="auto" w:fill="auto"/>
            <w:noWrap/>
            <w:vAlign w:val="center"/>
          </w:tcPr>
          <w:p w14:paraId="0E97AE21"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6BFFF11E"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6B69C6">
              <w:rPr>
                <w:rFonts w:ascii="Arial Narrow" w:hAnsi="Arial Narrow" w:cs="Arial"/>
                <w:sz w:val="16"/>
                <w:szCs w:val="16"/>
              </w:rPr>
              <w:t>BPA.D072</w:t>
            </w:r>
          </w:p>
        </w:tc>
        <w:tc>
          <w:tcPr>
            <w:tcW w:w="1262" w:type="dxa"/>
            <w:tcBorders>
              <w:top w:val="nil"/>
              <w:left w:val="nil"/>
              <w:bottom w:val="nil"/>
              <w:right w:val="single" w:sz="8" w:space="0" w:color="auto"/>
            </w:tcBorders>
            <w:shd w:val="clear" w:color="auto" w:fill="auto"/>
            <w:noWrap/>
            <w:vAlign w:val="center"/>
            <w:hideMark/>
          </w:tcPr>
          <w:p w14:paraId="54D1F087"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6B69C6">
              <w:rPr>
                <w:rFonts w:ascii="Arial Narrow" w:hAnsi="Arial Narrow" w:cs="Arial"/>
                <w:sz w:val="16"/>
                <w:szCs w:val="16"/>
              </w:rPr>
              <w:t>BPA.E072</w:t>
            </w:r>
          </w:p>
        </w:tc>
        <w:tc>
          <w:tcPr>
            <w:tcW w:w="4562" w:type="dxa"/>
            <w:tcBorders>
              <w:top w:val="nil"/>
              <w:left w:val="nil"/>
              <w:bottom w:val="nil"/>
            </w:tcBorders>
            <w:shd w:val="clear" w:color="000000" w:fill="FFFFFF"/>
            <w:noWrap/>
            <w:vAlign w:val="center"/>
            <w:hideMark/>
          </w:tcPr>
          <w:p w14:paraId="150542C9" w14:textId="575AB4FD" w:rsidR="0008341F" w:rsidRPr="009548D7" w:rsidRDefault="00EE460F" w:rsidP="000525CD">
            <w:pPr>
              <w:spacing w:after="0" w:line="240" w:lineRule="auto"/>
              <w:ind w:firstLineChars="200" w:firstLine="320"/>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08341F" w:rsidRPr="009548D7">
              <w:rPr>
                <w:rFonts w:ascii="Arial Narrow" w:eastAsia="Times New Roman" w:hAnsi="Arial Narrow" w:cs="Arial"/>
                <w:sz w:val="16"/>
                <w:szCs w:val="16"/>
                <w:lang w:eastAsia="pt-BR"/>
              </w:rPr>
              <w:t>Provisões para Riscos Cíveis a Curto Prazo</w:t>
            </w:r>
          </w:p>
        </w:tc>
        <w:tc>
          <w:tcPr>
            <w:tcW w:w="775" w:type="dxa"/>
            <w:tcBorders>
              <w:top w:val="nil"/>
              <w:bottom w:val="nil"/>
              <w:right w:val="single" w:sz="8" w:space="0" w:color="auto"/>
            </w:tcBorders>
            <w:shd w:val="clear" w:color="auto" w:fill="auto"/>
            <w:noWrap/>
            <w:vAlign w:val="center"/>
          </w:tcPr>
          <w:p w14:paraId="05DFE766"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79BCE761"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BPA.H022</w:t>
            </w:r>
          </w:p>
        </w:tc>
        <w:tc>
          <w:tcPr>
            <w:tcW w:w="1420" w:type="dxa"/>
            <w:tcBorders>
              <w:top w:val="nil"/>
              <w:left w:val="nil"/>
              <w:bottom w:val="nil"/>
              <w:right w:val="single" w:sz="8" w:space="0" w:color="auto"/>
            </w:tcBorders>
            <w:shd w:val="clear" w:color="auto" w:fill="auto"/>
            <w:noWrap/>
            <w:vAlign w:val="center"/>
            <w:hideMark/>
          </w:tcPr>
          <w:p w14:paraId="5F055E56"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BPA.I022</w:t>
            </w:r>
          </w:p>
        </w:tc>
      </w:tr>
      <w:tr w:rsidR="0008341F" w:rsidRPr="006B69C6" w14:paraId="1AEE1C5B" w14:textId="77777777" w:rsidTr="000525CD">
        <w:trPr>
          <w:trHeight w:hRule="exact" w:val="232"/>
        </w:trPr>
        <w:tc>
          <w:tcPr>
            <w:tcW w:w="4410" w:type="dxa"/>
            <w:tcBorders>
              <w:top w:val="nil"/>
              <w:left w:val="single" w:sz="8" w:space="0" w:color="auto"/>
              <w:bottom w:val="nil"/>
            </w:tcBorders>
            <w:shd w:val="clear" w:color="auto" w:fill="auto"/>
            <w:noWrap/>
            <w:vAlign w:val="center"/>
          </w:tcPr>
          <w:p w14:paraId="7A3F60D9" w14:textId="4919C16A" w:rsidR="0008341F" w:rsidRPr="006B69C6" w:rsidRDefault="000525CD" w:rsidP="000525CD">
            <w:pPr>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08341F" w:rsidRPr="006B69C6">
              <w:rPr>
                <w:rFonts w:ascii="Arial Narrow" w:eastAsia="Times New Roman" w:hAnsi="Arial Narrow" w:cs="Arial"/>
                <w:sz w:val="16"/>
                <w:szCs w:val="16"/>
                <w:lang w:eastAsia="pt-BR"/>
              </w:rPr>
              <w:t>VPD Pagas Antecipadamente</w:t>
            </w:r>
          </w:p>
        </w:tc>
        <w:tc>
          <w:tcPr>
            <w:tcW w:w="767" w:type="dxa"/>
            <w:tcBorders>
              <w:top w:val="nil"/>
              <w:bottom w:val="nil"/>
              <w:right w:val="single" w:sz="4" w:space="0" w:color="auto"/>
            </w:tcBorders>
            <w:shd w:val="clear" w:color="auto" w:fill="auto"/>
            <w:noWrap/>
            <w:vAlign w:val="center"/>
          </w:tcPr>
          <w:p w14:paraId="6C735E23" w14:textId="77777777" w:rsidR="0008341F" w:rsidRPr="006B69C6" w:rsidRDefault="0008341F" w:rsidP="000525CD">
            <w:pPr>
              <w:jc w:val="center"/>
              <w:rPr>
                <w:rFonts w:ascii="Arial Narrow" w:eastAsia="Times New Roman" w:hAnsi="Arial Narrow" w:cs="Arial"/>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tcPr>
          <w:p w14:paraId="20EF67EB" w14:textId="77777777" w:rsidR="0008341F" w:rsidRPr="006B69C6" w:rsidRDefault="0008341F" w:rsidP="000525CD">
            <w:pPr>
              <w:jc w:val="center"/>
              <w:rPr>
                <w:rFonts w:ascii="Arial Narrow" w:eastAsia="Times New Roman" w:hAnsi="Arial Narrow" w:cs="Arial"/>
                <w:sz w:val="16"/>
                <w:szCs w:val="16"/>
                <w:lang w:eastAsia="pt-BR"/>
              </w:rPr>
            </w:pPr>
            <w:r w:rsidRPr="006B69C6">
              <w:rPr>
                <w:rFonts w:ascii="Arial Narrow" w:eastAsia="Times New Roman" w:hAnsi="Arial Narrow" w:cs="Arial"/>
                <w:sz w:val="16"/>
                <w:szCs w:val="16"/>
                <w:lang w:eastAsia="pt-BR"/>
              </w:rPr>
              <w:t>BPA.D023</w:t>
            </w:r>
          </w:p>
        </w:tc>
        <w:tc>
          <w:tcPr>
            <w:tcW w:w="1262" w:type="dxa"/>
            <w:tcBorders>
              <w:top w:val="nil"/>
              <w:left w:val="nil"/>
              <w:bottom w:val="nil"/>
              <w:right w:val="single" w:sz="8" w:space="0" w:color="auto"/>
            </w:tcBorders>
            <w:shd w:val="clear" w:color="auto" w:fill="auto"/>
            <w:noWrap/>
            <w:vAlign w:val="center"/>
          </w:tcPr>
          <w:p w14:paraId="1B7257F3" w14:textId="77777777" w:rsidR="0008341F" w:rsidRPr="006B69C6" w:rsidRDefault="0008341F" w:rsidP="000525CD">
            <w:pPr>
              <w:jc w:val="center"/>
              <w:rPr>
                <w:rFonts w:ascii="Arial Narrow" w:eastAsia="Times New Roman" w:hAnsi="Arial Narrow" w:cs="Arial"/>
                <w:sz w:val="16"/>
                <w:szCs w:val="16"/>
                <w:lang w:eastAsia="pt-BR"/>
              </w:rPr>
            </w:pPr>
            <w:r w:rsidRPr="006B69C6">
              <w:rPr>
                <w:rFonts w:ascii="Arial Narrow" w:eastAsia="Times New Roman" w:hAnsi="Arial Narrow" w:cs="Arial"/>
                <w:sz w:val="16"/>
                <w:szCs w:val="16"/>
                <w:lang w:eastAsia="pt-BR"/>
              </w:rPr>
              <w:t>BPA.E023</w:t>
            </w:r>
          </w:p>
        </w:tc>
        <w:tc>
          <w:tcPr>
            <w:tcW w:w="4562" w:type="dxa"/>
            <w:tcBorders>
              <w:top w:val="nil"/>
              <w:left w:val="nil"/>
              <w:bottom w:val="nil"/>
            </w:tcBorders>
            <w:shd w:val="clear" w:color="000000" w:fill="FFFFFF"/>
            <w:noWrap/>
            <w:vAlign w:val="center"/>
          </w:tcPr>
          <w:p w14:paraId="0CA4B3E3" w14:textId="4DDE2E6B" w:rsidR="0008341F" w:rsidRPr="006B69C6" w:rsidRDefault="00EE460F" w:rsidP="000525CD">
            <w:pPr>
              <w:spacing w:after="0" w:line="240" w:lineRule="auto"/>
              <w:ind w:firstLineChars="200" w:firstLine="320"/>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08341F" w:rsidRPr="006B69C6">
              <w:rPr>
                <w:rFonts w:ascii="Arial Narrow" w:eastAsia="Times New Roman" w:hAnsi="Arial Narrow" w:cs="Arial"/>
                <w:sz w:val="16"/>
                <w:szCs w:val="16"/>
                <w:lang w:eastAsia="pt-BR"/>
              </w:rPr>
              <w:t>Provisões p/Riscos Decorrentes de Contratos de PPP a Curto Prazo</w:t>
            </w:r>
          </w:p>
        </w:tc>
        <w:tc>
          <w:tcPr>
            <w:tcW w:w="775" w:type="dxa"/>
            <w:tcBorders>
              <w:top w:val="nil"/>
              <w:bottom w:val="nil"/>
              <w:right w:val="single" w:sz="8" w:space="0" w:color="auto"/>
            </w:tcBorders>
            <w:shd w:val="clear" w:color="auto" w:fill="auto"/>
            <w:noWrap/>
            <w:vAlign w:val="center"/>
          </w:tcPr>
          <w:p w14:paraId="2595BE31" w14:textId="77777777" w:rsidR="0008341F" w:rsidRPr="006B69C6"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tcPr>
          <w:p w14:paraId="7CAE3683" w14:textId="77777777" w:rsidR="0008341F" w:rsidRPr="006B69C6" w:rsidRDefault="0008341F" w:rsidP="000525CD">
            <w:pPr>
              <w:spacing w:after="0" w:line="240" w:lineRule="auto"/>
              <w:jc w:val="center"/>
              <w:rPr>
                <w:rFonts w:ascii="Arial Narrow" w:eastAsia="Times New Roman" w:hAnsi="Arial Narrow" w:cs="Arial"/>
                <w:sz w:val="16"/>
                <w:szCs w:val="16"/>
                <w:lang w:eastAsia="pt-BR"/>
              </w:rPr>
            </w:pPr>
            <w:r w:rsidRPr="006B69C6">
              <w:rPr>
                <w:rFonts w:ascii="Arial Narrow" w:eastAsia="Times New Roman" w:hAnsi="Arial Narrow" w:cs="Arial"/>
                <w:sz w:val="16"/>
                <w:szCs w:val="16"/>
                <w:lang w:eastAsia="pt-BR"/>
              </w:rPr>
              <w:t>BPA.H023</w:t>
            </w:r>
          </w:p>
        </w:tc>
        <w:tc>
          <w:tcPr>
            <w:tcW w:w="1420" w:type="dxa"/>
            <w:tcBorders>
              <w:top w:val="nil"/>
              <w:left w:val="nil"/>
              <w:bottom w:val="nil"/>
              <w:right w:val="single" w:sz="8" w:space="0" w:color="auto"/>
            </w:tcBorders>
            <w:shd w:val="clear" w:color="auto" w:fill="auto"/>
            <w:noWrap/>
            <w:vAlign w:val="center"/>
          </w:tcPr>
          <w:p w14:paraId="426E4231" w14:textId="77777777" w:rsidR="0008341F" w:rsidRPr="006B69C6" w:rsidRDefault="0008341F" w:rsidP="000525CD">
            <w:pPr>
              <w:spacing w:after="0" w:line="240" w:lineRule="auto"/>
              <w:jc w:val="center"/>
              <w:rPr>
                <w:rFonts w:ascii="Arial Narrow" w:eastAsia="Times New Roman" w:hAnsi="Arial Narrow" w:cs="Arial"/>
                <w:sz w:val="16"/>
                <w:szCs w:val="16"/>
                <w:lang w:eastAsia="pt-BR"/>
              </w:rPr>
            </w:pPr>
            <w:r w:rsidRPr="006B69C6">
              <w:rPr>
                <w:rFonts w:ascii="Arial Narrow" w:eastAsia="Times New Roman" w:hAnsi="Arial Narrow" w:cs="Arial"/>
                <w:sz w:val="16"/>
                <w:szCs w:val="16"/>
                <w:lang w:eastAsia="pt-BR"/>
              </w:rPr>
              <w:t>BPA.I023</w:t>
            </w:r>
          </w:p>
        </w:tc>
      </w:tr>
      <w:tr w:rsidR="0008341F" w:rsidRPr="006B69C6" w14:paraId="50D8EA23" w14:textId="77777777" w:rsidTr="000525CD">
        <w:trPr>
          <w:trHeight w:hRule="exact" w:val="227"/>
        </w:trPr>
        <w:tc>
          <w:tcPr>
            <w:tcW w:w="4410" w:type="dxa"/>
            <w:tcBorders>
              <w:top w:val="nil"/>
              <w:left w:val="single" w:sz="8" w:space="0" w:color="auto"/>
              <w:bottom w:val="nil"/>
            </w:tcBorders>
            <w:shd w:val="clear" w:color="auto" w:fill="auto"/>
            <w:noWrap/>
            <w:vAlign w:val="center"/>
          </w:tcPr>
          <w:p w14:paraId="3BC29EA2" w14:textId="77777777" w:rsidR="0008341F" w:rsidRPr="006B69C6" w:rsidRDefault="0008341F" w:rsidP="000525CD">
            <w:pPr>
              <w:spacing w:after="0" w:line="240" w:lineRule="auto"/>
              <w:ind w:firstLineChars="100" w:firstLine="160"/>
              <w:rPr>
                <w:rFonts w:ascii="Arial Narrow" w:eastAsia="Times New Roman" w:hAnsi="Arial Narrow" w:cs="Arial"/>
                <w:sz w:val="16"/>
                <w:szCs w:val="16"/>
                <w:lang w:eastAsia="pt-BR"/>
              </w:rPr>
            </w:pPr>
          </w:p>
        </w:tc>
        <w:tc>
          <w:tcPr>
            <w:tcW w:w="767" w:type="dxa"/>
            <w:tcBorders>
              <w:top w:val="nil"/>
              <w:bottom w:val="nil"/>
              <w:right w:val="single" w:sz="4" w:space="0" w:color="auto"/>
            </w:tcBorders>
            <w:shd w:val="clear" w:color="auto" w:fill="auto"/>
            <w:noWrap/>
            <w:vAlign w:val="center"/>
          </w:tcPr>
          <w:p w14:paraId="344C82F2" w14:textId="77777777" w:rsidR="0008341F" w:rsidRPr="006B69C6"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tcPr>
          <w:p w14:paraId="76484C70" w14:textId="77777777" w:rsidR="0008341F" w:rsidRPr="006B69C6" w:rsidRDefault="0008341F" w:rsidP="000525CD">
            <w:pPr>
              <w:spacing w:after="0" w:line="240" w:lineRule="auto"/>
              <w:jc w:val="center"/>
              <w:rPr>
                <w:rFonts w:ascii="Arial Narrow" w:eastAsia="Times New Roman" w:hAnsi="Arial Narrow" w:cs="Arial"/>
                <w:sz w:val="16"/>
                <w:szCs w:val="16"/>
                <w:lang w:eastAsia="pt-BR"/>
              </w:rPr>
            </w:pPr>
          </w:p>
        </w:tc>
        <w:tc>
          <w:tcPr>
            <w:tcW w:w="1262" w:type="dxa"/>
            <w:tcBorders>
              <w:top w:val="nil"/>
              <w:left w:val="nil"/>
              <w:bottom w:val="nil"/>
              <w:right w:val="single" w:sz="8" w:space="0" w:color="auto"/>
            </w:tcBorders>
            <w:shd w:val="clear" w:color="auto" w:fill="auto"/>
            <w:noWrap/>
            <w:vAlign w:val="center"/>
          </w:tcPr>
          <w:p w14:paraId="4EA94C50" w14:textId="77777777" w:rsidR="0008341F" w:rsidRPr="006B69C6" w:rsidRDefault="0008341F" w:rsidP="000525CD">
            <w:pPr>
              <w:spacing w:after="0" w:line="240" w:lineRule="auto"/>
              <w:jc w:val="center"/>
              <w:rPr>
                <w:rFonts w:ascii="Arial Narrow" w:eastAsia="Times New Roman" w:hAnsi="Arial Narrow" w:cs="Arial"/>
                <w:sz w:val="16"/>
                <w:szCs w:val="16"/>
                <w:lang w:eastAsia="pt-BR"/>
              </w:rPr>
            </w:pPr>
          </w:p>
        </w:tc>
        <w:tc>
          <w:tcPr>
            <w:tcW w:w="4562" w:type="dxa"/>
            <w:tcBorders>
              <w:top w:val="nil"/>
              <w:left w:val="nil"/>
              <w:bottom w:val="nil"/>
            </w:tcBorders>
            <w:shd w:val="clear" w:color="000000" w:fill="FFFFFF"/>
            <w:noWrap/>
            <w:vAlign w:val="center"/>
            <w:hideMark/>
          </w:tcPr>
          <w:p w14:paraId="4FE17AFE" w14:textId="5FA796E9" w:rsidR="0008341F" w:rsidRPr="006B69C6" w:rsidRDefault="00EE460F" w:rsidP="000525CD">
            <w:pPr>
              <w:ind w:firstLineChars="200" w:firstLine="320"/>
              <w:rPr>
                <w:rFonts w:ascii="Arial Narrow" w:eastAsia="Times New Roman" w:hAnsi="Arial Narrow" w:cs="Arial"/>
                <w:sz w:val="16"/>
                <w:szCs w:val="16"/>
                <w:lang w:eastAsia="pt-BR"/>
              </w:rPr>
            </w:pPr>
            <w:r>
              <w:rPr>
                <w:rFonts w:ascii="Arial Narrow" w:hAnsi="Arial Narrow" w:cs="Arial"/>
                <w:sz w:val="16"/>
                <w:szCs w:val="16"/>
              </w:rPr>
              <w:t xml:space="preserve"> </w:t>
            </w:r>
            <w:r w:rsidR="0008341F" w:rsidRPr="006B69C6">
              <w:rPr>
                <w:rFonts w:ascii="Arial Narrow" w:hAnsi="Arial Narrow" w:cs="Arial"/>
                <w:sz w:val="16"/>
                <w:szCs w:val="16"/>
              </w:rPr>
              <w:t>Provisão p/ Obrigações Decorr. da Atuação Govern. a Curto Prazo</w:t>
            </w:r>
          </w:p>
        </w:tc>
        <w:tc>
          <w:tcPr>
            <w:tcW w:w="775" w:type="dxa"/>
            <w:tcBorders>
              <w:top w:val="nil"/>
              <w:bottom w:val="nil"/>
              <w:right w:val="single" w:sz="8" w:space="0" w:color="auto"/>
            </w:tcBorders>
            <w:shd w:val="clear" w:color="auto" w:fill="auto"/>
            <w:noWrap/>
            <w:vAlign w:val="center"/>
          </w:tcPr>
          <w:p w14:paraId="18384BA0" w14:textId="77777777" w:rsidR="0008341F" w:rsidRPr="006B69C6" w:rsidRDefault="0008341F" w:rsidP="000525CD">
            <w:pPr>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tcPr>
          <w:p w14:paraId="42B9FB70" w14:textId="77777777" w:rsidR="0008341F" w:rsidRPr="006B69C6" w:rsidRDefault="0008341F" w:rsidP="000525CD">
            <w:pPr>
              <w:jc w:val="center"/>
              <w:rPr>
                <w:rFonts w:ascii="Arial Narrow" w:eastAsia="Times New Roman" w:hAnsi="Arial Narrow" w:cs="Arial"/>
                <w:sz w:val="16"/>
                <w:szCs w:val="16"/>
                <w:lang w:eastAsia="pt-BR"/>
              </w:rPr>
            </w:pPr>
            <w:r w:rsidRPr="006B69C6">
              <w:rPr>
                <w:rFonts w:ascii="Arial Narrow" w:hAnsi="Arial Narrow" w:cs="Arial"/>
                <w:sz w:val="16"/>
                <w:szCs w:val="16"/>
              </w:rPr>
              <w:t>BPA.H072</w:t>
            </w:r>
          </w:p>
        </w:tc>
        <w:tc>
          <w:tcPr>
            <w:tcW w:w="1420" w:type="dxa"/>
            <w:tcBorders>
              <w:top w:val="nil"/>
              <w:left w:val="nil"/>
              <w:bottom w:val="nil"/>
              <w:right w:val="single" w:sz="8" w:space="0" w:color="auto"/>
            </w:tcBorders>
            <w:shd w:val="clear" w:color="auto" w:fill="auto"/>
            <w:noWrap/>
            <w:vAlign w:val="center"/>
          </w:tcPr>
          <w:p w14:paraId="73EFC802" w14:textId="77777777" w:rsidR="0008341F" w:rsidRPr="006B69C6" w:rsidRDefault="0008341F" w:rsidP="000525CD">
            <w:pPr>
              <w:jc w:val="center"/>
              <w:rPr>
                <w:rFonts w:ascii="Arial Narrow" w:eastAsia="Times New Roman" w:hAnsi="Arial Narrow" w:cs="Arial"/>
                <w:sz w:val="16"/>
                <w:szCs w:val="16"/>
                <w:lang w:eastAsia="pt-BR"/>
              </w:rPr>
            </w:pPr>
            <w:r w:rsidRPr="006B69C6">
              <w:rPr>
                <w:rFonts w:ascii="Arial Narrow" w:hAnsi="Arial Narrow" w:cs="Arial"/>
                <w:sz w:val="16"/>
                <w:szCs w:val="16"/>
              </w:rPr>
              <w:t>BPA.I072</w:t>
            </w:r>
          </w:p>
        </w:tc>
      </w:tr>
      <w:tr w:rsidR="0008341F" w:rsidRPr="009548D7" w14:paraId="1CEF1E3A" w14:textId="77777777" w:rsidTr="000525CD">
        <w:trPr>
          <w:trHeight w:val="240"/>
        </w:trPr>
        <w:tc>
          <w:tcPr>
            <w:tcW w:w="4410" w:type="dxa"/>
            <w:tcBorders>
              <w:top w:val="nil"/>
              <w:left w:val="single" w:sz="8" w:space="0" w:color="auto"/>
              <w:bottom w:val="nil"/>
            </w:tcBorders>
            <w:shd w:val="clear" w:color="auto" w:fill="auto"/>
            <w:noWrap/>
            <w:vAlign w:val="center"/>
            <w:hideMark/>
          </w:tcPr>
          <w:p w14:paraId="2C9B32D5" w14:textId="77777777" w:rsidR="0008341F" w:rsidRPr="009548D7" w:rsidRDefault="0008341F" w:rsidP="000525CD">
            <w:pPr>
              <w:spacing w:after="0" w:line="240" w:lineRule="auto"/>
              <w:ind w:firstLineChars="200" w:firstLine="320"/>
              <w:rPr>
                <w:rFonts w:ascii="Arial Narrow" w:eastAsia="Times New Roman" w:hAnsi="Arial Narrow" w:cs="Arial"/>
                <w:color w:val="00B050"/>
                <w:sz w:val="16"/>
                <w:szCs w:val="16"/>
                <w:lang w:eastAsia="pt-BR"/>
              </w:rPr>
            </w:pPr>
            <w:r w:rsidRPr="009548D7">
              <w:rPr>
                <w:rFonts w:ascii="Arial Narrow" w:eastAsia="Times New Roman" w:hAnsi="Arial Narrow" w:cs="Arial"/>
                <w:color w:val="00B050"/>
                <w:sz w:val="16"/>
                <w:szCs w:val="16"/>
                <w:lang w:eastAsia="pt-BR"/>
              </w:rPr>
              <w:t> </w:t>
            </w:r>
          </w:p>
        </w:tc>
        <w:tc>
          <w:tcPr>
            <w:tcW w:w="767" w:type="dxa"/>
            <w:tcBorders>
              <w:top w:val="nil"/>
              <w:bottom w:val="nil"/>
              <w:right w:val="single" w:sz="4" w:space="0" w:color="auto"/>
            </w:tcBorders>
            <w:shd w:val="clear" w:color="auto" w:fill="auto"/>
            <w:noWrap/>
            <w:vAlign w:val="center"/>
          </w:tcPr>
          <w:p w14:paraId="58F9E15B" w14:textId="77777777" w:rsidR="0008341F" w:rsidRPr="009548D7" w:rsidRDefault="0008341F" w:rsidP="000525CD">
            <w:pPr>
              <w:spacing w:after="0" w:line="240" w:lineRule="auto"/>
              <w:ind w:firstLineChars="200" w:firstLine="320"/>
              <w:rPr>
                <w:rFonts w:ascii="Arial Narrow" w:eastAsia="Times New Roman" w:hAnsi="Arial Narrow" w:cs="Arial"/>
                <w:color w:val="00B050"/>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054740F2"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w:t>
            </w:r>
          </w:p>
        </w:tc>
        <w:tc>
          <w:tcPr>
            <w:tcW w:w="1262" w:type="dxa"/>
            <w:tcBorders>
              <w:top w:val="nil"/>
              <w:left w:val="nil"/>
              <w:bottom w:val="nil"/>
              <w:right w:val="single" w:sz="8" w:space="0" w:color="auto"/>
            </w:tcBorders>
            <w:shd w:val="clear" w:color="auto" w:fill="auto"/>
            <w:noWrap/>
            <w:vAlign w:val="center"/>
            <w:hideMark/>
          </w:tcPr>
          <w:p w14:paraId="19933213"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w:t>
            </w:r>
          </w:p>
        </w:tc>
        <w:tc>
          <w:tcPr>
            <w:tcW w:w="4562" w:type="dxa"/>
            <w:tcBorders>
              <w:top w:val="nil"/>
              <w:left w:val="nil"/>
              <w:bottom w:val="nil"/>
            </w:tcBorders>
            <w:shd w:val="clear" w:color="000000" w:fill="FFFFFF"/>
            <w:noWrap/>
            <w:vAlign w:val="center"/>
            <w:hideMark/>
          </w:tcPr>
          <w:p w14:paraId="3EF4B22F" w14:textId="3B5552E5" w:rsidR="0008341F" w:rsidRPr="009548D7" w:rsidRDefault="00EE460F" w:rsidP="000525CD">
            <w:pPr>
              <w:spacing w:after="0" w:line="240" w:lineRule="auto"/>
              <w:ind w:firstLineChars="200" w:firstLine="320"/>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08341F" w:rsidRPr="009548D7">
              <w:rPr>
                <w:rFonts w:ascii="Arial Narrow" w:eastAsia="Times New Roman" w:hAnsi="Arial Narrow" w:cs="Arial"/>
                <w:sz w:val="16"/>
                <w:szCs w:val="16"/>
                <w:lang w:eastAsia="pt-BR"/>
              </w:rPr>
              <w:t>Outras Provisões a Curto Prazo</w:t>
            </w:r>
          </w:p>
        </w:tc>
        <w:tc>
          <w:tcPr>
            <w:tcW w:w="775" w:type="dxa"/>
            <w:tcBorders>
              <w:top w:val="nil"/>
              <w:bottom w:val="nil"/>
              <w:right w:val="single" w:sz="8" w:space="0" w:color="auto"/>
            </w:tcBorders>
            <w:shd w:val="clear" w:color="auto" w:fill="auto"/>
            <w:noWrap/>
            <w:vAlign w:val="center"/>
          </w:tcPr>
          <w:p w14:paraId="4C648027"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46953228"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BPA.H024</w:t>
            </w:r>
          </w:p>
        </w:tc>
        <w:tc>
          <w:tcPr>
            <w:tcW w:w="1420" w:type="dxa"/>
            <w:tcBorders>
              <w:top w:val="nil"/>
              <w:left w:val="nil"/>
              <w:bottom w:val="nil"/>
              <w:right w:val="single" w:sz="8" w:space="0" w:color="auto"/>
            </w:tcBorders>
            <w:shd w:val="clear" w:color="auto" w:fill="auto"/>
            <w:noWrap/>
            <w:vAlign w:val="center"/>
            <w:hideMark/>
          </w:tcPr>
          <w:p w14:paraId="64B20823"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BPA.I024</w:t>
            </w:r>
          </w:p>
        </w:tc>
      </w:tr>
      <w:tr w:rsidR="0008341F" w:rsidRPr="009548D7" w14:paraId="3DC03646" w14:textId="77777777" w:rsidTr="000525CD">
        <w:trPr>
          <w:trHeight w:val="240"/>
        </w:trPr>
        <w:tc>
          <w:tcPr>
            <w:tcW w:w="4410" w:type="dxa"/>
            <w:tcBorders>
              <w:top w:val="nil"/>
              <w:left w:val="single" w:sz="8" w:space="0" w:color="auto"/>
              <w:bottom w:val="nil"/>
            </w:tcBorders>
            <w:shd w:val="clear" w:color="auto" w:fill="auto"/>
            <w:noWrap/>
            <w:vAlign w:val="center"/>
            <w:hideMark/>
          </w:tcPr>
          <w:p w14:paraId="1C67660C" w14:textId="77777777" w:rsidR="0008341F" w:rsidRPr="009548D7" w:rsidRDefault="0008341F" w:rsidP="000525CD">
            <w:pPr>
              <w:spacing w:after="0" w:line="240" w:lineRule="auto"/>
              <w:rPr>
                <w:rFonts w:ascii="Arial Narrow" w:eastAsia="Times New Roman" w:hAnsi="Arial Narrow" w:cs="Arial"/>
                <w:color w:val="0070C0"/>
                <w:sz w:val="16"/>
                <w:szCs w:val="16"/>
                <w:lang w:eastAsia="pt-BR"/>
              </w:rPr>
            </w:pPr>
            <w:r w:rsidRPr="009548D7">
              <w:rPr>
                <w:rFonts w:ascii="Arial Narrow" w:eastAsia="Times New Roman" w:hAnsi="Arial Narrow" w:cs="Arial"/>
                <w:color w:val="0070C0"/>
                <w:sz w:val="16"/>
                <w:szCs w:val="16"/>
                <w:lang w:eastAsia="pt-BR"/>
              </w:rPr>
              <w:t> </w:t>
            </w:r>
          </w:p>
        </w:tc>
        <w:tc>
          <w:tcPr>
            <w:tcW w:w="767" w:type="dxa"/>
            <w:tcBorders>
              <w:top w:val="nil"/>
              <w:bottom w:val="nil"/>
              <w:right w:val="single" w:sz="4" w:space="0" w:color="auto"/>
            </w:tcBorders>
            <w:shd w:val="clear" w:color="auto" w:fill="auto"/>
            <w:noWrap/>
            <w:vAlign w:val="center"/>
          </w:tcPr>
          <w:p w14:paraId="45C29F12" w14:textId="77777777" w:rsidR="0008341F" w:rsidRPr="009548D7" w:rsidRDefault="0008341F" w:rsidP="000525CD">
            <w:pPr>
              <w:spacing w:after="0" w:line="240" w:lineRule="auto"/>
              <w:rPr>
                <w:rFonts w:ascii="Arial Narrow" w:eastAsia="Times New Roman" w:hAnsi="Arial Narrow" w:cs="Arial"/>
                <w:color w:val="0070C0"/>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565D3EAB" w14:textId="77777777" w:rsidR="0008341F" w:rsidRPr="009548D7" w:rsidRDefault="0008341F" w:rsidP="000525CD">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 </w:t>
            </w:r>
          </w:p>
        </w:tc>
        <w:tc>
          <w:tcPr>
            <w:tcW w:w="1262" w:type="dxa"/>
            <w:tcBorders>
              <w:top w:val="nil"/>
              <w:left w:val="nil"/>
              <w:bottom w:val="nil"/>
              <w:right w:val="single" w:sz="8" w:space="0" w:color="auto"/>
            </w:tcBorders>
            <w:shd w:val="clear" w:color="auto" w:fill="auto"/>
            <w:noWrap/>
            <w:vAlign w:val="center"/>
            <w:hideMark/>
          </w:tcPr>
          <w:p w14:paraId="523A0AC0" w14:textId="77777777" w:rsidR="0008341F" w:rsidRPr="009548D7" w:rsidRDefault="0008341F" w:rsidP="000525CD">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 </w:t>
            </w:r>
          </w:p>
        </w:tc>
        <w:tc>
          <w:tcPr>
            <w:tcW w:w="4562" w:type="dxa"/>
            <w:tcBorders>
              <w:top w:val="nil"/>
              <w:left w:val="nil"/>
              <w:bottom w:val="nil"/>
            </w:tcBorders>
            <w:shd w:val="clear" w:color="auto" w:fill="auto"/>
            <w:noWrap/>
            <w:vAlign w:val="center"/>
            <w:hideMark/>
          </w:tcPr>
          <w:p w14:paraId="17BB3F6B" w14:textId="03E0CE51" w:rsidR="0008341F" w:rsidRPr="009548D7" w:rsidRDefault="00EE460F" w:rsidP="00EE460F">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08341F" w:rsidRPr="009548D7">
              <w:rPr>
                <w:rFonts w:ascii="Arial Narrow" w:eastAsia="Times New Roman" w:hAnsi="Arial Narrow" w:cs="Arial"/>
                <w:sz w:val="16"/>
                <w:szCs w:val="16"/>
                <w:lang w:eastAsia="pt-BR"/>
              </w:rPr>
              <w:t>Demais Obrigações a Curto Prazo</w:t>
            </w:r>
          </w:p>
        </w:tc>
        <w:tc>
          <w:tcPr>
            <w:tcW w:w="775" w:type="dxa"/>
            <w:tcBorders>
              <w:top w:val="nil"/>
              <w:bottom w:val="nil"/>
              <w:right w:val="single" w:sz="8" w:space="0" w:color="auto"/>
            </w:tcBorders>
            <w:shd w:val="clear" w:color="auto" w:fill="auto"/>
            <w:noWrap/>
            <w:vAlign w:val="center"/>
          </w:tcPr>
          <w:p w14:paraId="057CB348"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1BF6889B"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BPA.H025</w:t>
            </w:r>
          </w:p>
        </w:tc>
        <w:tc>
          <w:tcPr>
            <w:tcW w:w="1420" w:type="dxa"/>
            <w:tcBorders>
              <w:top w:val="nil"/>
              <w:left w:val="nil"/>
              <w:bottom w:val="nil"/>
              <w:right w:val="single" w:sz="8" w:space="0" w:color="auto"/>
            </w:tcBorders>
            <w:shd w:val="clear" w:color="auto" w:fill="auto"/>
            <w:noWrap/>
            <w:vAlign w:val="center"/>
            <w:hideMark/>
          </w:tcPr>
          <w:p w14:paraId="5BE365AB"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BPA.I025</w:t>
            </w:r>
          </w:p>
        </w:tc>
      </w:tr>
      <w:tr w:rsidR="0008341F" w:rsidRPr="009548D7" w14:paraId="6C2CFA94" w14:textId="77777777" w:rsidTr="000525CD">
        <w:trPr>
          <w:trHeight w:val="255"/>
        </w:trPr>
        <w:tc>
          <w:tcPr>
            <w:tcW w:w="4410" w:type="dxa"/>
            <w:tcBorders>
              <w:top w:val="nil"/>
              <w:left w:val="single" w:sz="8" w:space="0" w:color="auto"/>
              <w:bottom w:val="nil"/>
            </w:tcBorders>
            <w:shd w:val="clear" w:color="auto" w:fill="auto"/>
            <w:noWrap/>
            <w:vAlign w:val="center"/>
            <w:hideMark/>
          </w:tcPr>
          <w:p w14:paraId="11EEFD84" w14:textId="77777777" w:rsidR="0008341F" w:rsidRPr="009548D7" w:rsidRDefault="0008341F" w:rsidP="000525CD">
            <w:pPr>
              <w:spacing w:after="0" w:line="240" w:lineRule="auto"/>
              <w:rPr>
                <w:rFonts w:ascii="Arial Narrow" w:eastAsia="Times New Roman" w:hAnsi="Arial Narrow" w:cs="Arial"/>
                <w:color w:val="0070C0"/>
                <w:sz w:val="16"/>
                <w:szCs w:val="16"/>
                <w:lang w:eastAsia="pt-BR"/>
              </w:rPr>
            </w:pPr>
            <w:r w:rsidRPr="009548D7">
              <w:rPr>
                <w:rFonts w:ascii="Arial Narrow" w:eastAsia="Times New Roman" w:hAnsi="Arial Narrow" w:cs="Arial"/>
                <w:color w:val="0070C0"/>
                <w:sz w:val="16"/>
                <w:szCs w:val="16"/>
                <w:lang w:eastAsia="pt-BR"/>
              </w:rPr>
              <w:t> </w:t>
            </w:r>
          </w:p>
        </w:tc>
        <w:tc>
          <w:tcPr>
            <w:tcW w:w="767" w:type="dxa"/>
            <w:tcBorders>
              <w:top w:val="nil"/>
              <w:bottom w:val="nil"/>
              <w:right w:val="single" w:sz="4" w:space="0" w:color="auto"/>
            </w:tcBorders>
            <w:shd w:val="clear" w:color="auto" w:fill="auto"/>
            <w:noWrap/>
            <w:vAlign w:val="center"/>
          </w:tcPr>
          <w:p w14:paraId="18805B84" w14:textId="77777777" w:rsidR="0008341F" w:rsidRPr="009548D7" w:rsidRDefault="0008341F" w:rsidP="000525CD">
            <w:pPr>
              <w:spacing w:after="0" w:line="240" w:lineRule="auto"/>
              <w:rPr>
                <w:rFonts w:ascii="Arial Narrow" w:eastAsia="Times New Roman" w:hAnsi="Arial Narrow" w:cs="Arial"/>
                <w:b/>
                <w:bCs/>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0F439107"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w:t>
            </w:r>
          </w:p>
        </w:tc>
        <w:tc>
          <w:tcPr>
            <w:tcW w:w="1262" w:type="dxa"/>
            <w:tcBorders>
              <w:top w:val="nil"/>
              <w:left w:val="nil"/>
              <w:bottom w:val="nil"/>
              <w:right w:val="single" w:sz="8" w:space="0" w:color="auto"/>
            </w:tcBorders>
            <w:shd w:val="clear" w:color="auto" w:fill="auto"/>
            <w:noWrap/>
            <w:vAlign w:val="center"/>
            <w:hideMark/>
          </w:tcPr>
          <w:p w14:paraId="2E1F6441"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w:t>
            </w:r>
          </w:p>
        </w:tc>
        <w:tc>
          <w:tcPr>
            <w:tcW w:w="4562" w:type="dxa"/>
            <w:tcBorders>
              <w:top w:val="nil"/>
              <w:left w:val="nil"/>
              <w:bottom w:val="nil"/>
            </w:tcBorders>
            <w:shd w:val="clear" w:color="auto" w:fill="auto"/>
            <w:noWrap/>
            <w:vAlign w:val="center"/>
            <w:hideMark/>
          </w:tcPr>
          <w:p w14:paraId="0555D9A0" w14:textId="77777777" w:rsidR="0008341F" w:rsidRPr="009548D7" w:rsidRDefault="0008341F" w:rsidP="000525CD">
            <w:pPr>
              <w:spacing w:after="0" w:line="240" w:lineRule="auto"/>
              <w:rPr>
                <w:rFonts w:ascii="Arial Narrow" w:eastAsia="Times New Roman" w:hAnsi="Arial Narrow" w:cs="Arial"/>
                <w:color w:val="0070C0"/>
                <w:sz w:val="16"/>
                <w:szCs w:val="16"/>
                <w:lang w:eastAsia="pt-BR"/>
              </w:rPr>
            </w:pPr>
          </w:p>
        </w:tc>
        <w:tc>
          <w:tcPr>
            <w:tcW w:w="775" w:type="dxa"/>
            <w:tcBorders>
              <w:top w:val="nil"/>
              <w:bottom w:val="nil"/>
              <w:right w:val="single" w:sz="8" w:space="0" w:color="auto"/>
            </w:tcBorders>
            <w:shd w:val="clear" w:color="auto" w:fill="auto"/>
            <w:noWrap/>
            <w:vAlign w:val="center"/>
          </w:tcPr>
          <w:p w14:paraId="498A7197" w14:textId="77777777" w:rsidR="0008341F" w:rsidRPr="009548D7" w:rsidRDefault="0008341F" w:rsidP="000525CD">
            <w:pPr>
              <w:spacing w:after="0" w:line="240" w:lineRule="auto"/>
              <w:rPr>
                <w:rFonts w:ascii="Arial Narrow" w:eastAsia="Times New Roman" w:hAnsi="Arial Narrow" w:cs="Arial"/>
                <w:b/>
                <w:bCs/>
                <w:sz w:val="16"/>
                <w:szCs w:val="16"/>
                <w:lang w:eastAsia="pt-BR"/>
              </w:rPr>
            </w:pPr>
          </w:p>
        </w:tc>
        <w:tc>
          <w:tcPr>
            <w:tcW w:w="1063" w:type="dxa"/>
            <w:tcBorders>
              <w:top w:val="nil"/>
              <w:left w:val="nil"/>
              <w:bottom w:val="nil"/>
              <w:right w:val="single" w:sz="8" w:space="0" w:color="auto"/>
            </w:tcBorders>
            <w:shd w:val="clear" w:color="000000" w:fill="FFFFFF"/>
            <w:noWrap/>
            <w:vAlign w:val="center"/>
            <w:hideMark/>
          </w:tcPr>
          <w:p w14:paraId="5F349CF9"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w:t>
            </w:r>
          </w:p>
        </w:tc>
        <w:tc>
          <w:tcPr>
            <w:tcW w:w="1420" w:type="dxa"/>
            <w:tcBorders>
              <w:top w:val="nil"/>
              <w:left w:val="nil"/>
              <w:bottom w:val="nil"/>
              <w:right w:val="single" w:sz="8" w:space="0" w:color="auto"/>
            </w:tcBorders>
            <w:shd w:val="clear" w:color="000000" w:fill="FFFFFF"/>
            <w:noWrap/>
            <w:vAlign w:val="center"/>
            <w:hideMark/>
          </w:tcPr>
          <w:p w14:paraId="0076E49D"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w:t>
            </w:r>
          </w:p>
        </w:tc>
      </w:tr>
      <w:tr w:rsidR="0008341F" w:rsidRPr="009548D7" w14:paraId="40EF2C3B" w14:textId="77777777" w:rsidTr="000525CD">
        <w:trPr>
          <w:trHeight w:val="255"/>
        </w:trPr>
        <w:tc>
          <w:tcPr>
            <w:tcW w:w="4410" w:type="dxa"/>
            <w:tcBorders>
              <w:top w:val="nil"/>
              <w:left w:val="single" w:sz="8" w:space="0" w:color="auto"/>
              <w:bottom w:val="nil"/>
            </w:tcBorders>
            <w:shd w:val="clear" w:color="auto" w:fill="auto"/>
            <w:noWrap/>
            <w:vAlign w:val="center"/>
            <w:hideMark/>
          </w:tcPr>
          <w:p w14:paraId="1495EBAB" w14:textId="77777777" w:rsidR="0008341F" w:rsidRPr="009548D7" w:rsidRDefault="0008341F" w:rsidP="000525CD">
            <w:pPr>
              <w:spacing w:after="0" w:line="240" w:lineRule="auto"/>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ATIVO NÃO CIRCULANTE</w:t>
            </w:r>
          </w:p>
        </w:tc>
        <w:tc>
          <w:tcPr>
            <w:tcW w:w="767" w:type="dxa"/>
            <w:tcBorders>
              <w:top w:val="nil"/>
              <w:bottom w:val="nil"/>
              <w:right w:val="single" w:sz="4" w:space="0" w:color="auto"/>
            </w:tcBorders>
            <w:shd w:val="clear" w:color="auto" w:fill="auto"/>
            <w:noWrap/>
            <w:vAlign w:val="center"/>
          </w:tcPr>
          <w:p w14:paraId="567EAD5A" w14:textId="77777777" w:rsidR="0008341F" w:rsidRPr="009548D7" w:rsidRDefault="0008341F" w:rsidP="000525CD">
            <w:pPr>
              <w:spacing w:after="0" w:line="240" w:lineRule="auto"/>
              <w:jc w:val="center"/>
              <w:rPr>
                <w:rFonts w:ascii="Arial Narrow" w:eastAsia="Times New Roman" w:hAnsi="Arial Narrow" w:cs="Arial"/>
                <w:b/>
                <w:bCs/>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54CD324E" w14:textId="77777777" w:rsidR="0008341F" w:rsidRPr="009548D7" w:rsidRDefault="0008341F" w:rsidP="000525CD">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BPA.D027</w:t>
            </w:r>
          </w:p>
        </w:tc>
        <w:tc>
          <w:tcPr>
            <w:tcW w:w="1262" w:type="dxa"/>
            <w:tcBorders>
              <w:top w:val="nil"/>
              <w:left w:val="nil"/>
              <w:bottom w:val="nil"/>
              <w:right w:val="single" w:sz="8" w:space="0" w:color="auto"/>
            </w:tcBorders>
            <w:shd w:val="clear" w:color="auto" w:fill="auto"/>
            <w:noWrap/>
            <w:vAlign w:val="center"/>
            <w:hideMark/>
          </w:tcPr>
          <w:p w14:paraId="5F0FC7A8" w14:textId="77777777" w:rsidR="0008341F" w:rsidRPr="009548D7" w:rsidRDefault="0008341F" w:rsidP="000525CD">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BPA.E027</w:t>
            </w:r>
          </w:p>
        </w:tc>
        <w:tc>
          <w:tcPr>
            <w:tcW w:w="4562" w:type="dxa"/>
            <w:tcBorders>
              <w:top w:val="nil"/>
              <w:left w:val="nil"/>
              <w:bottom w:val="nil"/>
            </w:tcBorders>
            <w:shd w:val="clear" w:color="auto" w:fill="auto"/>
            <w:noWrap/>
            <w:vAlign w:val="center"/>
            <w:hideMark/>
          </w:tcPr>
          <w:p w14:paraId="7B6B5264" w14:textId="77777777" w:rsidR="0008341F" w:rsidRPr="009548D7" w:rsidRDefault="0008341F" w:rsidP="000525CD">
            <w:pPr>
              <w:spacing w:after="0" w:line="240" w:lineRule="auto"/>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PASSIVO NÃO-CIRCULANTE</w:t>
            </w:r>
          </w:p>
        </w:tc>
        <w:tc>
          <w:tcPr>
            <w:tcW w:w="775" w:type="dxa"/>
            <w:tcBorders>
              <w:top w:val="nil"/>
              <w:bottom w:val="nil"/>
              <w:right w:val="single" w:sz="8" w:space="0" w:color="auto"/>
            </w:tcBorders>
            <w:shd w:val="clear" w:color="auto" w:fill="auto"/>
            <w:noWrap/>
            <w:vAlign w:val="center"/>
          </w:tcPr>
          <w:p w14:paraId="5F44C8C7" w14:textId="77777777" w:rsidR="0008341F" w:rsidRPr="009548D7" w:rsidRDefault="0008341F" w:rsidP="000525CD">
            <w:pPr>
              <w:spacing w:after="0" w:line="240" w:lineRule="auto"/>
              <w:jc w:val="center"/>
              <w:rPr>
                <w:rFonts w:ascii="Arial Narrow" w:eastAsia="Times New Roman" w:hAnsi="Arial Narrow" w:cs="Arial"/>
                <w:b/>
                <w:bCs/>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6CD75D45" w14:textId="77777777" w:rsidR="0008341F" w:rsidRPr="009548D7" w:rsidRDefault="0008341F" w:rsidP="000525CD">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BPA.H027</w:t>
            </w:r>
          </w:p>
        </w:tc>
        <w:tc>
          <w:tcPr>
            <w:tcW w:w="1420" w:type="dxa"/>
            <w:tcBorders>
              <w:top w:val="nil"/>
              <w:left w:val="nil"/>
              <w:bottom w:val="nil"/>
              <w:right w:val="single" w:sz="8" w:space="0" w:color="auto"/>
            </w:tcBorders>
            <w:shd w:val="clear" w:color="auto" w:fill="auto"/>
            <w:noWrap/>
            <w:vAlign w:val="center"/>
            <w:hideMark/>
          </w:tcPr>
          <w:p w14:paraId="1D221E40" w14:textId="77777777" w:rsidR="0008341F" w:rsidRPr="009548D7" w:rsidRDefault="0008341F" w:rsidP="000525CD">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BPA.I027</w:t>
            </w:r>
          </w:p>
        </w:tc>
      </w:tr>
      <w:tr w:rsidR="0008341F" w:rsidRPr="009548D7" w14:paraId="1143BF4A" w14:textId="77777777" w:rsidTr="000525CD">
        <w:trPr>
          <w:trHeight w:val="255"/>
        </w:trPr>
        <w:tc>
          <w:tcPr>
            <w:tcW w:w="4410" w:type="dxa"/>
            <w:tcBorders>
              <w:top w:val="nil"/>
              <w:left w:val="single" w:sz="8" w:space="0" w:color="auto"/>
              <w:bottom w:val="nil"/>
            </w:tcBorders>
            <w:shd w:val="clear" w:color="auto" w:fill="auto"/>
            <w:noWrap/>
            <w:vAlign w:val="center"/>
            <w:hideMark/>
          </w:tcPr>
          <w:p w14:paraId="3280A901" w14:textId="77777777" w:rsidR="0008341F" w:rsidRPr="009548D7" w:rsidRDefault="0008341F" w:rsidP="000525CD">
            <w:pPr>
              <w:spacing w:after="0" w:line="240" w:lineRule="auto"/>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 </w:t>
            </w:r>
          </w:p>
        </w:tc>
        <w:tc>
          <w:tcPr>
            <w:tcW w:w="767" w:type="dxa"/>
            <w:tcBorders>
              <w:top w:val="nil"/>
              <w:bottom w:val="nil"/>
              <w:right w:val="single" w:sz="4" w:space="0" w:color="auto"/>
            </w:tcBorders>
            <w:shd w:val="clear" w:color="auto" w:fill="auto"/>
            <w:noWrap/>
            <w:vAlign w:val="center"/>
          </w:tcPr>
          <w:p w14:paraId="0CE04F7A" w14:textId="77777777" w:rsidR="0008341F" w:rsidRPr="009548D7" w:rsidRDefault="0008341F" w:rsidP="000525CD">
            <w:pPr>
              <w:spacing w:after="0" w:line="240" w:lineRule="auto"/>
              <w:jc w:val="center"/>
              <w:rPr>
                <w:rFonts w:ascii="Arial Narrow" w:eastAsia="Times New Roman" w:hAnsi="Arial Narrow" w:cs="Arial"/>
                <w:b/>
                <w:bCs/>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1455B312" w14:textId="77777777" w:rsidR="0008341F" w:rsidRPr="009548D7" w:rsidRDefault="0008341F" w:rsidP="000525CD">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 </w:t>
            </w:r>
          </w:p>
        </w:tc>
        <w:tc>
          <w:tcPr>
            <w:tcW w:w="1262" w:type="dxa"/>
            <w:tcBorders>
              <w:top w:val="nil"/>
              <w:left w:val="nil"/>
              <w:bottom w:val="nil"/>
              <w:right w:val="single" w:sz="8" w:space="0" w:color="auto"/>
            </w:tcBorders>
            <w:shd w:val="clear" w:color="auto" w:fill="auto"/>
            <w:noWrap/>
            <w:vAlign w:val="center"/>
            <w:hideMark/>
          </w:tcPr>
          <w:p w14:paraId="36C37269" w14:textId="77777777" w:rsidR="0008341F" w:rsidRPr="009548D7" w:rsidRDefault="0008341F" w:rsidP="000525CD">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 </w:t>
            </w:r>
          </w:p>
        </w:tc>
        <w:tc>
          <w:tcPr>
            <w:tcW w:w="4562" w:type="dxa"/>
            <w:tcBorders>
              <w:top w:val="nil"/>
              <w:left w:val="nil"/>
              <w:bottom w:val="nil"/>
            </w:tcBorders>
            <w:shd w:val="clear" w:color="auto" w:fill="auto"/>
            <w:noWrap/>
            <w:vAlign w:val="center"/>
            <w:hideMark/>
          </w:tcPr>
          <w:p w14:paraId="0308FAD1" w14:textId="77777777" w:rsidR="0008341F" w:rsidRPr="009548D7" w:rsidRDefault="0008341F" w:rsidP="000525CD">
            <w:pPr>
              <w:spacing w:after="0" w:line="240" w:lineRule="auto"/>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 </w:t>
            </w:r>
          </w:p>
        </w:tc>
        <w:tc>
          <w:tcPr>
            <w:tcW w:w="775" w:type="dxa"/>
            <w:tcBorders>
              <w:top w:val="nil"/>
              <w:bottom w:val="nil"/>
              <w:right w:val="single" w:sz="8" w:space="0" w:color="auto"/>
            </w:tcBorders>
            <w:shd w:val="clear" w:color="000000" w:fill="FFFFFF"/>
            <w:noWrap/>
            <w:vAlign w:val="center"/>
          </w:tcPr>
          <w:p w14:paraId="0A8AE125" w14:textId="77777777" w:rsidR="0008341F" w:rsidRPr="009548D7" w:rsidRDefault="0008341F" w:rsidP="000525CD">
            <w:pPr>
              <w:spacing w:after="0" w:line="240" w:lineRule="auto"/>
              <w:ind w:firstLineChars="100" w:firstLine="160"/>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000000" w:fill="FFFFFF"/>
            <w:noWrap/>
            <w:vAlign w:val="center"/>
            <w:hideMark/>
          </w:tcPr>
          <w:p w14:paraId="0CEC0B49" w14:textId="77777777" w:rsidR="0008341F" w:rsidRPr="009548D7" w:rsidRDefault="0008341F" w:rsidP="000525CD">
            <w:pPr>
              <w:spacing w:after="0" w:line="240" w:lineRule="auto"/>
              <w:ind w:firstLineChars="100" w:firstLine="16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w:t>
            </w:r>
          </w:p>
        </w:tc>
        <w:tc>
          <w:tcPr>
            <w:tcW w:w="1420" w:type="dxa"/>
            <w:tcBorders>
              <w:top w:val="nil"/>
              <w:left w:val="nil"/>
              <w:bottom w:val="nil"/>
              <w:right w:val="single" w:sz="8" w:space="0" w:color="auto"/>
            </w:tcBorders>
            <w:shd w:val="clear" w:color="000000" w:fill="FFFFFF"/>
            <w:noWrap/>
            <w:vAlign w:val="center"/>
            <w:hideMark/>
          </w:tcPr>
          <w:p w14:paraId="56799486" w14:textId="77777777" w:rsidR="0008341F" w:rsidRPr="009548D7" w:rsidRDefault="0008341F" w:rsidP="000525CD">
            <w:pPr>
              <w:spacing w:after="0" w:line="240" w:lineRule="auto"/>
              <w:ind w:firstLineChars="100" w:firstLine="16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w:t>
            </w:r>
          </w:p>
        </w:tc>
      </w:tr>
      <w:tr w:rsidR="0005315D" w:rsidRPr="009548D7" w14:paraId="4142AA05" w14:textId="77777777" w:rsidTr="000525CD">
        <w:trPr>
          <w:trHeight w:val="255"/>
        </w:trPr>
        <w:tc>
          <w:tcPr>
            <w:tcW w:w="4410" w:type="dxa"/>
            <w:tcBorders>
              <w:top w:val="nil"/>
              <w:left w:val="single" w:sz="8" w:space="0" w:color="auto"/>
              <w:bottom w:val="nil"/>
            </w:tcBorders>
            <w:shd w:val="clear" w:color="auto" w:fill="auto"/>
            <w:noWrap/>
            <w:vAlign w:val="center"/>
            <w:hideMark/>
          </w:tcPr>
          <w:p w14:paraId="6F0E27F6" w14:textId="34DDCBE4" w:rsidR="0005315D" w:rsidRPr="009548D7" w:rsidRDefault="000525CD" w:rsidP="000525CD">
            <w:pPr>
              <w:spacing w:after="0" w:line="240" w:lineRule="auto"/>
              <w:rPr>
                <w:rFonts w:ascii="Arial Narrow" w:eastAsia="Times New Roman" w:hAnsi="Arial Narrow" w:cs="Arial"/>
                <w:b/>
                <w:bCs/>
                <w:sz w:val="16"/>
                <w:szCs w:val="16"/>
                <w:lang w:eastAsia="pt-BR"/>
              </w:rPr>
            </w:pPr>
            <w:r>
              <w:rPr>
                <w:rFonts w:ascii="Arial Narrow" w:eastAsia="Times New Roman" w:hAnsi="Arial Narrow" w:cs="Arial"/>
                <w:b/>
                <w:bCs/>
                <w:sz w:val="16"/>
                <w:szCs w:val="16"/>
                <w:lang w:eastAsia="pt-BR"/>
              </w:rPr>
              <w:t xml:space="preserve">     </w:t>
            </w:r>
            <w:r w:rsidR="0005315D" w:rsidRPr="009548D7">
              <w:rPr>
                <w:rFonts w:ascii="Arial Narrow" w:eastAsia="Times New Roman" w:hAnsi="Arial Narrow" w:cs="Arial"/>
                <w:b/>
                <w:bCs/>
                <w:sz w:val="16"/>
                <w:szCs w:val="16"/>
                <w:lang w:eastAsia="pt-BR"/>
              </w:rPr>
              <w:t>Ativo Realizável a Longo Prazo</w:t>
            </w:r>
          </w:p>
        </w:tc>
        <w:tc>
          <w:tcPr>
            <w:tcW w:w="767" w:type="dxa"/>
            <w:tcBorders>
              <w:top w:val="nil"/>
              <w:bottom w:val="nil"/>
              <w:right w:val="single" w:sz="4" w:space="0" w:color="auto"/>
            </w:tcBorders>
            <w:shd w:val="clear" w:color="auto" w:fill="auto"/>
            <w:noWrap/>
            <w:vAlign w:val="center"/>
          </w:tcPr>
          <w:p w14:paraId="0D1FFD69" w14:textId="77777777" w:rsidR="0005315D" w:rsidRPr="009548D7" w:rsidRDefault="0005315D" w:rsidP="000525CD">
            <w:pPr>
              <w:spacing w:after="0" w:line="240" w:lineRule="auto"/>
              <w:jc w:val="center"/>
              <w:rPr>
                <w:rFonts w:ascii="Arial Narrow" w:eastAsia="Times New Roman" w:hAnsi="Arial Narrow" w:cs="Arial"/>
                <w:b/>
                <w:bCs/>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1F494E22" w14:textId="77777777" w:rsidR="0005315D" w:rsidRPr="009548D7" w:rsidRDefault="0005315D" w:rsidP="000525CD">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BPA.D029</w:t>
            </w:r>
          </w:p>
        </w:tc>
        <w:tc>
          <w:tcPr>
            <w:tcW w:w="1262" w:type="dxa"/>
            <w:tcBorders>
              <w:top w:val="nil"/>
              <w:left w:val="nil"/>
              <w:bottom w:val="nil"/>
              <w:right w:val="single" w:sz="8" w:space="0" w:color="auto"/>
            </w:tcBorders>
            <w:shd w:val="clear" w:color="auto" w:fill="auto"/>
            <w:noWrap/>
            <w:vAlign w:val="center"/>
            <w:hideMark/>
          </w:tcPr>
          <w:p w14:paraId="5A472F8A" w14:textId="77777777" w:rsidR="0005315D" w:rsidRPr="009548D7" w:rsidRDefault="0005315D" w:rsidP="000525CD">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BPA.E029</w:t>
            </w:r>
          </w:p>
        </w:tc>
        <w:tc>
          <w:tcPr>
            <w:tcW w:w="5337" w:type="dxa"/>
            <w:gridSpan w:val="2"/>
            <w:tcBorders>
              <w:top w:val="nil"/>
              <w:left w:val="nil"/>
              <w:bottom w:val="nil"/>
              <w:right w:val="single" w:sz="8" w:space="0" w:color="auto"/>
            </w:tcBorders>
            <w:shd w:val="clear" w:color="000000" w:fill="FFFFFF"/>
            <w:noWrap/>
            <w:vAlign w:val="center"/>
            <w:hideMark/>
          </w:tcPr>
          <w:p w14:paraId="71295251" w14:textId="30299041" w:rsidR="0005315D" w:rsidRPr="009548D7" w:rsidRDefault="00100799" w:rsidP="00100799">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05315D" w:rsidRPr="009548D7">
              <w:rPr>
                <w:rFonts w:ascii="Arial Narrow" w:eastAsia="Times New Roman" w:hAnsi="Arial Narrow" w:cs="Arial"/>
                <w:sz w:val="16"/>
                <w:szCs w:val="16"/>
                <w:lang w:eastAsia="pt-BR"/>
              </w:rPr>
              <w:t>Obrigações Trabalhistas, Previdenciárias e Asssitenciais a Pagar a Longo Prazo</w:t>
            </w:r>
          </w:p>
        </w:tc>
        <w:tc>
          <w:tcPr>
            <w:tcW w:w="1063" w:type="dxa"/>
            <w:tcBorders>
              <w:top w:val="nil"/>
              <w:left w:val="nil"/>
              <w:bottom w:val="nil"/>
              <w:right w:val="single" w:sz="8" w:space="0" w:color="auto"/>
            </w:tcBorders>
            <w:shd w:val="clear" w:color="auto" w:fill="auto"/>
            <w:noWrap/>
            <w:vAlign w:val="center"/>
            <w:hideMark/>
          </w:tcPr>
          <w:p w14:paraId="5947D9D9" w14:textId="77777777" w:rsidR="0005315D" w:rsidRPr="009548D7" w:rsidRDefault="0005315D"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BPA.H029</w:t>
            </w:r>
          </w:p>
        </w:tc>
        <w:tc>
          <w:tcPr>
            <w:tcW w:w="1420" w:type="dxa"/>
            <w:tcBorders>
              <w:top w:val="nil"/>
              <w:left w:val="nil"/>
              <w:bottom w:val="nil"/>
              <w:right w:val="single" w:sz="8" w:space="0" w:color="auto"/>
            </w:tcBorders>
            <w:shd w:val="clear" w:color="auto" w:fill="auto"/>
            <w:noWrap/>
            <w:vAlign w:val="center"/>
            <w:hideMark/>
          </w:tcPr>
          <w:p w14:paraId="347D2D61" w14:textId="77777777" w:rsidR="0005315D" w:rsidRPr="009548D7" w:rsidRDefault="0005315D"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BPA.I029</w:t>
            </w:r>
          </w:p>
        </w:tc>
      </w:tr>
      <w:tr w:rsidR="0008341F" w:rsidRPr="009548D7" w14:paraId="049CDC13" w14:textId="77777777" w:rsidTr="000525CD">
        <w:trPr>
          <w:trHeight w:val="255"/>
        </w:trPr>
        <w:tc>
          <w:tcPr>
            <w:tcW w:w="4410" w:type="dxa"/>
            <w:tcBorders>
              <w:top w:val="nil"/>
              <w:left w:val="single" w:sz="8" w:space="0" w:color="auto"/>
              <w:bottom w:val="nil"/>
            </w:tcBorders>
            <w:shd w:val="clear" w:color="auto" w:fill="auto"/>
            <w:noWrap/>
            <w:vAlign w:val="center"/>
            <w:hideMark/>
          </w:tcPr>
          <w:p w14:paraId="35815C1B" w14:textId="4A1B2DFA" w:rsidR="0008341F" w:rsidRPr="009548D7" w:rsidRDefault="000525CD" w:rsidP="000525CD">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08341F" w:rsidRPr="009548D7">
              <w:rPr>
                <w:rFonts w:ascii="Arial Narrow" w:eastAsia="Times New Roman" w:hAnsi="Arial Narrow" w:cs="Arial"/>
                <w:sz w:val="16"/>
                <w:szCs w:val="16"/>
                <w:lang w:eastAsia="pt-BR"/>
              </w:rPr>
              <w:t>Créditos a Longo Prazo</w:t>
            </w:r>
          </w:p>
        </w:tc>
        <w:tc>
          <w:tcPr>
            <w:tcW w:w="767" w:type="dxa"/>
            <w:tcBorders>
              <w:top w:val="nil"/>
              <w:bottom w:val="nil"/>
              <w:right w:val="single" w:sz="4" w:space="0" w:color="auto"/>
            </w:tcBorders>
            <w:shd w:val="clear" w:color="auto" w:fill="auto"/>
            <w:noWrap/>
            <w:vAlign w:val="center"/>
          </w:tcPr>
          <w:p w14:paraId="3EB74CED"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190F0720"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BPA.D030</w:t>
            </w:r>
          </w:p>
        </w:tc>
        <w:tc>
          <w:tcPr>
            <w:tcW w:w="1262" w:type="dxa"/>
            <w:tcBorders>
              <w:top w:val="nil"/>
              <w:left w:val="nil"/>
              <w:bottom w:val="nil"/>
              <w:right w:val="single" w:sz="8" w:space="0" w:color="auto"/>
            </w:tcBorders>
            <w:shd w:val="clear" w:color="auto" w:fill="auto"/>
            <w:noWrap/>
            <w:vAlign w:val="center"/>
            <w:hideMark/>
          </w:tcPr>
          <w:p w14:paraId="70912718"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BPA.E030</w:t>
            </w:r>
          </w:p>
        </w:tc>
        <w:tc>
          <w:tcPr>
            <w:tcW w:w="4562" w:type="dxa"/>
            <w:tcBorders>
              <w:top w:val="nil"/>
              <w:left w:val="nil"/>
              <w:bottom w:val="nil"/>
            </w:tcBorders>
            <w:shd w:val="clear" w:color="000000" w:fill="FFFFFF"/>
            <w:noWrap/>
            <w:vAlign w:val="center"/>
            <w:hideMark/>
          </w:tcPr>
          <w:p w14:paraId="0B95C712" w14:textId="49340273" w:rsidR="0008341F" w:rsidRPr="009548D7" w:rsidRDefault="00100799" w:rsidP="00100799">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08341F" w:rsidRPr="009548D7">
              <w:rPr>
                <w:rFonts w:ascii="Arial Narrow" w:eastAsia="Times New Roman" w:hAnsi="Arial Narrow" w:cs="Arial"/>
                <w:sz w:val="16"/>
                <w:szCs w:val="16"/>
                <w:lang w:eastAsia="pt-BR"/>
              </w:rPr>
              <w:t>Pessoal a Pagar</w:t>
            </w:r>
          </w:p>
        </w:tc>
        <w:tc>
          <w:tcPr>
            <w:tcW w:w="775" w:type="dxa"/>
            <w:tcBorders>
              <w:top w:val="nil"/>
              <w:bottom w:val="nil"/>
              <w:right w:val="single" w:sz="8" w:space="0" w:color="auto"/>
            </w:tcBorders>
            <w:shd w:val="clear" w:color="auto" w:fill="auto"/>
            <w:noWrap/>
            <w:vAlign w:val="center"/>
          </w:tcPr>
          <w:p w14:paraId="0C02C10E"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60B4DC73"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BPA.H030</w:t>
            </w:r>
          </w:p>
        </w:tc>
        <w:tc>
          <w:tcPr>
            <w:tcW w:w="1420" w:type="dxa"/>
            <w:tcBorders>
              <w:top w:val="nil"/>
              <w:left w:val="nil"/>
              <w:bottom w:val="nil"/>
              <w:right w:val="single" w:sz="8" w:space="0" w:color="auto"/>
            </w:tcBorders>
            <w:shd w:val="clear" w:color="auto" w:fill="auto"/>
            <w:noWrap/>
            <w:vAlign w:val="center"/>
            <w:hideMark/>
          </w:tcPr>
          <w:p w14:paraId="157A019F"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BPA.I030</w:t>
            </w:r>
          </w:p>
        </w:tc>
      </w:tr>
      <w:tr w:rsidR="0008341F" w:rsidRPr="009548D7" w14:paraId="6306EEA4" w14:textId="77777777" w:rsidTr="000525CD">
        <w:trPr>
          <w:trHeight w:val="255"/>
        </w:trPr>
        <w:tc>
          <w:tcPr>
            <w:tcW w:w="4410" w:type="dxa"/>
            <w:tcBorders>
              <w:top w:val="nil"/>
              <w:left w:val="single" w:sz="8" w:space="0" w:color="auto"/>
              <w:bottom w:val="nil"/>
            </w:tcBorders>
            <w:shd w:val="clear" w:color="auto" w:fill="auto"/>
            <w:noWrap/>
            <w:vAlign w:val="center"/>
            <w:hideMark/>
          </w:tcPr>
          <w:p w14:paraId="10B377EF" w14:textId="517B5E58" w:rsidR="0008341F" w:rsidRPr="009548D7" w:rsidRDefault="000525CD" w:rsidP="000525CD">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08341F" w:rsidRPr="009548D7">
              <w:rPr>
                <w:rFonts w:ascii="Arial Narrow" w:eastAsia="Times New Roman" w:hAnsi="Arial Narrow" w:cs="Arial"/>
                <w:sz w:val="16"/>
                <w:szCs w:val="16"/>
                <w:lang w:eastAsia="pt-BR"/>
              </w:rPr>
              <w:t>Créditos Tributários a Receber</w:t>
            </w:r>
          </w:p>
        </w:tc>
        <w:tc>
          <w:tcPr>
            <w:tcW w:w="767" w:type="dxa"/>
            <w:tcBorders>
              <w:top w:val="nil"/>
              <w:bottom w:val="nil"/>
              <w:right w:val="single" w:sz="4" w:space="0" w:color="auto"/>
            </w:tcBorders>
            <w:shd w:val="clear" w:color="auto" w:fill="auto"/>
            <w:noWrap/>
            <w:vAlign w:val="center"/>
          </w:tcPr>
          <w:p w14:paraId="500CB3AF"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125632B1"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BPA.D031</w:t>
            </w:r>
          </w:p>
        </w:tc>
        <w:tc>
          <w:tcPr>
            <w:tcW w:w="1262" w:type="dxa"/>
            <w:tcBorders>
              <w:top w:val="nil"/>
              <w:left w:val="nil"/>
              <w:bottom w:val="nil"/>
              <w:right w:val="single" w:sz="8" w:space="0" w:color="auto"/>
            </w:tcBorders>
            <w:shd w:val="clear" w:color="auto" w:fill="auto"/>
            <w:noWrap/>
            <w:vAlign w:val="center"/>
            <w:hideMark/>
          </w:tcPr>
          <w:p w14:paraId="0FE37C48"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BPA.E031</w:t>
            </w:r>
          </w:p>
        </w:tc>
        <w:tc>
          <w:tcPr>
            <w:tcW w:w="4562" w:type="dxa"/>
            <w:tcBorders>
              <w:top w:val="nil"/>
              <w:left w:val="nil"/>
              <w:bottom w:val="nil"/>
            </w:tcBorders>
            <w:shd w:val="clear" w:color="000000" w:fill="FFFFFF"/>
            <w:noWrap/>
            <w:vAlign w:val="center"/>
            <w:hideMark/>
          </w:tcPr>
          <w:p w14:paraId="252390AD" w14:textId="3FF1DF23" w:rsidR="0008341F" w:rsidRPr="009548D7" w:rsidRDefault="00100799" w:rsidP="00100799">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08341F" w:rsidRPr="009548D7">
              <w:rPr>
                <w:rFonts w:ascii="Arial Narrow" w:eastAsia="Times New Roman" w:hAnsi="Arial Narrow" w:cs="Arial"/>
                <w:sz w:val="16"/>
                <w:szCs w:val="16"/>
                <w:lang w:eastAsia="pt-BR"/>
              </w:rPr>
              <w:t>Benefícios Previdenciários a Pagar</w:t>
            </w:r>
          </w:p>
        </w:tc>
        <w:tc>
          <w:tcPr>
            <w:tcW w:w="775" w:type="dxa"/>
            <w:tcBorders>
              <w:top w:val="nil"/>
              <w:bottom w:val="nil"/>
              <w:right w:val="single" w:sz="8" w:space="0" w:color="auto"/>
            </w:tcBorders>
            <w:shd w:val="clear" w:color="auto" w:fill="auto"/>
            <w:noWrap/>
            <w:vAlign w:val="center"/>
          </w:tcPr>
          <w:p w14:paraId="6072115D"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131118CB"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BPA.H031</w:t>
            </w:r>
          </w:p>
        </w:tc>
        <w:tc>
          <w:tcPr>
            <w:tcW w:w="1420" w:type="dxa"/>
            <w:tcBorders>
              <w:top w:val="nil"/>
              <w:left w:val="nil"/>
              <w:bottom w:val="nil"/>
              <w:right w:val="single" w:sz="8" w:space="0" w:color="auto"/>
            </w:tcBorders>
            <w:shd w:val="clear" w:color="auto" w:fill="auto"/>
            <w:noWrap/>
            <w:vAlign w:val="center"/>
            <w:hideMark/>
          </w:tcPr>
          <w:p w14:paraId="11F0EED4"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BPA.I031</w:t>
            </w:r>
          </w:p>
        </w:tc>
      </w:tr>
      <w:tr w:rsidR="0008341F" w:rsidRPr="009548D7" w14:paraId="2A89B6F7" w14:textId="77777777" w:rsidTr="000525CD">
        <w:trPr>
          <w:trHeight w:val="255"/>
        </w:trPr>
        <w:tc>
          <w:tcPr>
            <w:tcW w:w="4410" w:type="dxa"/>
            <w:tcBorders>
              <w:top w:val="nil"/>
              <w:left w:val="single" w:sz="8" w:space="0" w:color="auto"/>
              <w:bottom w:val="nil"/>
            </w:tcBorders>
            <w:shd w:val="clear" w:color="auto" w:fill="auto"/>
            <w:noWrap/>
            <w:vAlign w:val="center"/>
            <w:hideMark/>
          </w:tcPr>
          <w:p w14:paraId="1BFDE930" w14:textId="3D47DF7A" w:rsidR="0008341F" w:rsidRPr="009548D7" w:rsidRDefault="000525CD" w:rsidP="000525CD">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08341F" w:rsidRPr="009548D7">
              <w:rPr>
                <w:rFonts w:ascii="Arial Narrow" w:eastAsia="Times New Roman" w:hAnsi="Arial Narrow" w:cs="Arial"/>
                <w:sz w:val="16"/>
                <w:szCs w:val="16"/>
                <w:lang w:eastAsia="pt-BR"/>
              </w:rPr>
              <w:t>Clientes</w:t>
            </w:r>
          </w:p>
        </w:tc>
        <w:tc>
          <w:tcPr>
            <w:tcW w:w="767" w:type="dxa"/>
            <w:tcBorders>
              <w:top w:val="nil"/>
              <w:bottom w:val="nil"/>
              <w:right w:val="single" w:sz="4" w:space="0" w:color="auto"/>
            </w:tcBorders>
            <w:shd w:val="clear" w:color="auto" w:fill="auto"/>
            <w:noWrap/>
            <w:vAlign w:val="center"/>
          </w:tcPr>
          <w:p w14:paraId="76E7A795"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3014F478"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BPA.D032</w:t>
            </w:r>
          </w:p>
        </w:tc>
        <w:tc>
          <w:tcPr>
            <w:tcW w:w="1262" w:type="dxa"/>
            <w:tcBorders>
              <w:top w:val="nil"/>
              <w:left w:val="nil"/>
              <w:bottom w:val="nil"/>
              <w:right w:val="single" w:sz="8" w:space="0" w:color="auto"/>
            </w:tcBorders>
            <w:shd w:val="clear" w:color="auto" w:fill="auto"/>
            <w:noWrap/>
            <w:vAlign w:val="center"/>
            <w:hideMark/>
          </w:tcPr>
          <w:p w14:paraId="2EF36474"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BPA.E032</w:t>
            </w:r>
          </w:p>
        </w:tc>
        <w:tc>
          <w:tcPr>
            <w:tcW w:w="4562" w:type="dxa"/>
            <w:tcBorders>
              <w:top w:val="nil"/>
              <w:left w:val="nil"/>
              <w:bottom w:val="nil"/>
            </w:tcBorders>
            <w:shd w:val="clear" w:color="000000" w:fill="FFFFFF"/>
            <w:noWrap/>
            <w:vAlign w:val="center"/>
            <w:hideMark/>
          </w:tcPr>
          <w:p w14:paraId="4A618D35" w14:textId="2763139D" w:rsidR="0008341F" w:rsidRPr="009548D7" w:rsidRDefault="00100799" w:rsidP="00100799">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08341F" w:rsidRPr="009548D7">
              <w:rPr>
                <w:rFonts w:ascii="Arial Narrow" w:eastAsia="Times New Roman" w:hAnsi="Arial Narrow" w:cs="Arial"/>
                <w:sz w:val="16"/>
                <w:szCs w:val="16"/>
                <w:lang w:eastAsia="pt-BR"/>
              </w:rPr>
              <w:t>Benefícios Assistenciais a Pagar</w:t>
            </w:r>
          </w:p>
        </w:tc>
        <w:tc>
          <w:tcPr>
            <w:tcW w:w="775" w:type="dxa"/>
            <w:tcBorders>
              <w:top w:val="nil"/>
              <w:bottom w:val="nil"/>
              <w:right w:val="single" w:sz="8" w:space="0" w:color="auto"/>
            </w:tcBorders>
            <w:shd w:val="clear" w:color="auto" w:fill="auto"/>
            <w:noWrap/>
            <w:vAlign w:val="center"/>
          </w:tcPr>
          <w:p w14:paraId="1B7306A5"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26D299FF"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BPA.H032</w:t>
            </w:r>
          </w:p>
        </w:tc>
        <w:tc>
          <w:tcPr>
            <w:tcW w:w="1420" w:type="dxa"/>
            <w:tcBorders>
              <w:top w:val="nil"/>
              <w:left w:val="nil"/>
              <w:bottom w:val="nil"/>
              <w:right w:val="single" w:sz="8" w:space="0" w:color="auto"/>
            </w:tcBorders>
            <w:shd w:val="clear" w:color="auto" w:fill="auto"/>
            <w:noWrap/>
            <w:vAlign w:val="center"/>
            <w:hideMark/>
          </w:tcPr>
          <w:p w14:paraId="786A8BFF"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BPA.I032</w:t>
            </w:r>
          </w:p>
        </w:tc>
      </w:tr>
      <w:tr w:rsidR="0008341F" w:rsidRPr="009548D7" w14:paraId="626FCB5D" w14:textId="77777777" w:rsidTr="000525CD">
        <w:trPr>
          <w:trHeight w:val="255"/>
        </w:trPr>
        <w:tc>
          <w:tcPr>
            <w:tcW w:w="4410" w:type="dxa"/>
            <w:tcBorders>
              <w:top w:val="nil"/>
              <w:left w:val="single" w:sz="8" w:space="0" w:color="auto"/>
            </w:tcBorders>
            <w:shd w:val="clear" w:color="auto" w:fill="auto"/>
            <w:noWrap/>
            <w:vAlign w:val="center"/>
            <w:hideMark/>
          </w:tcPr>
          <w:p w14:paraId="003CE8FE" w14:textId="34A70774" w:rsidR="0008341F" w:rsidRPr="009548D7" w:rsidRDefault="000525CD" w:rsidP="000525CD">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08341F" w:rsidRPr="009548D7">
              <w:rPr>
                <w:rFonts w:ascii="Arial Narrow" w:eastAsia="Times New Roman" w:hAnsi="Arial Narrow" w:cs="Arial"/>
                <w:sz w:val="16"/>
                <w:szCs w:val="16"/>
                <w:lang w:eastAsia="pt-BR"/>
              </w:rPr>
              <w:t>Empréstimos e Financiamentos Concedidos</w:t>
            </w:r>
          </w:p>
        </w:tc>
        <w:tc>
          <w:tcPr>
            <w:tcW w:w="767" w:type="dxa"/>
            <w:tcBorders>
              <w:top w:val="nil"/>
              <w:right w:val="single" w:sz="4" w:space="0" w:color="auto"/>
            </w:tcBorders>
            <w:shd w:val="clear" w:color="auto" w:fill="auto"/>
            <w:noWrap/>
            <w:vAlign w:val="center"/>
          </w:tcPr>
          <w:p w14:paraId="3BC301C9"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right w:val="single" w:sz="8" w:space="0" w:color="auto"/>
            </w:tcBorders>
            <w:shd w:val="clear" w:color="auto" w:fill="auto"/>
            <w:noWrap/>
            <w:vAlign w:val="center"/>
            <w:hideMark/>
          </w:tcPr>
          <w:p w14:paraId="432847A0"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BPA.D033</w:t>
            </w:r>
          </w:p>
        </w:tc>
        <w:tc>
          <w:tcPr>
            <w:tcW w:w="1262" w:type="dxa"/>
            <w:tcBorders>
              <w:top w:val="nil"/>
              <w:left w:val="nil"/>
              <w:right w:val="single" w:sz="8" w:space="0" w:color="auto"/>
            </w:tcBorders>
            <w:shd w:val="clear" w:color="auto" w:fill="auto"/>
            <w:noWrap/>
            <w:vAlign w:val="center"/>
            <w:hideMark/>
          </w:tcPr>
          <w:p w14:paraId="7B50918C"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BPA.E033</w:t>
            </w:r>
          </w:p>
        </w:tc>
        <w:tc>
          <w:tcPr>
            <w:tcW w:w="4562" w:type="dxa"/>
            <w:tcBorders>
              <w:top w:val="nil"/>
              <w:left w:val="nil"/>
            </w:tcBorders>
            <w:shd w:val="clear" w:color="000000" w:fill="FFFFFF"/>
            <w:noWrap/>
            <w:vAlign w:val="center"/>
            <w:hideMark/>
          </w:tcPr>
          <w:p w14:paraId="5CECB28D" w14:textId="6ACC4F9E" w:rsidR="0008341F" w:rsidRPr="009548D7" w:rsidRDefault="00100799" w:rsidP="00100799">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08341F" w:rsidRPr="009548D7">
              <w:rPr>
                <w:rFonts w:ascii="Arial Narrow" w:eastAsia="Times New Roman" w:hAnsi="Arial Narrow" w:cs="Arial"/>
                <w:sz w:val="16"/>
                <w:szCs w:val="16"/>
                <w:lang w:eastAsia="pt-BR"/>
              </w:rPr>
              <w:t>Encargos Sociais a Pagar</w:t>
            </w:r>
          </w:p>
        </w:tc>
        <w:tc>
          <w:tcPr>
            <w:tcW w:w="775" w:type="dxa"/>
            <w:tcBorders>
              <w:top w:val="nil"/>
              <w:right w:val="single" w:sz="8" w:space="0" w:color="auto"/>
            </w:tcBorders>
            <w:shd w:val="clear" w:color="auto" w:fill="auto"/>
            <w:noWrap/>
            <w:vAlign w:val="center"/>
          </w:tcPr>
          <w:p w14:paraId="7F8AAD73"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nil"/>
              <w:right w:val="single" w:sz="8" w:space="0" w:color="auto"/>
            </w:tcBorders>
            <w:shd w:val="clear" w:color="auto" w:fill="auto"/>
            <w:noWrap/>
            <w:vAlign w:val="center"/>
            <w:hideMark/>
          </w:tcPr>
          <w:p w14:paraId="062D1A01"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BPA.H033</w:t>
            </w:r>
          </w:p>
        </w:tc>
        <w:tc>
          <w:tcPr>
            <w:tcW w:w="1420" w:type="dxa"/>
            <w:tcBorders>
              <w:top w:val="nil"/>
              <w:left w:val="nil"/>
              <w:right w:val="single" w:sz="8" w:space="0" w:color="auto"/>
            </w:tcBorders>
            <w:shd w:val="clear" w:color="auto" w:fill="auto"/>
            <w:noWrap/>
            <w:vAlign w:val="center"/>
            <w:hideMark/>
          </w:tcPr>
          <w:p w14:paraId="0B4B4A58"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BPA.I033</w:t>
            </w:r>
          </w:p>
        </w:tc>
      </w:tr>
      <w:tr w:rsidR="0008341F" w:rsidRPr="009548D7" w14:paraId="20279267" w14:textId="77777777" w:rsidTr="000525CD">
        <w:trPr>
          <w:trHeight w:val="255"/>
        </w:trPr>
        <w:tc>
          <w:tcPr>
            <w:tcW w:w="4410" w:type="dxa"/>
            <w:tcBorders>
              <w:top w:val="nil"/>
              <w:left w:val="single" w:sz="8" w:space="0" w:color="auto"/>
            </w:tcBorders>
            <w:shd w:val="clear" w:color="auto" w:fill="auto"/>
            <w:noWrap/>
            <w:vAlign w:val="center"/>
            <w:hideMark/>
          </w:tcPr>
          <w:p w14:paraId="75D98DDE" w14:textId="27E8F751" w:rsidR="0008341F" w:rsidRPr="009548D7" w:rsidRDefault="000525CD" w:rsidP="000525CD">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08341F" w:rsidRPr="009548D7">
              <w:rPr>
                <w:rFonts w:ascii="Arial Narrow" w:eastAsia="Times New Roman" w:hAnsi="Arial Narrow" w:cs="Arial"/>
                <w:sz w:val="16"/>
                <w:szCs w:val="16"/>
                <w:lang w:eastAsia="pt-BR"/>
              </w:rPr>
              <w:t>Dívida Ativa Tributária</w:t>
            </w:r>
          </w:p>
        </w:tc>
        <w:tc>
          <w:tcPr>
            <w:tcW w:w="767" w:type="dxa"/>
            <w:tcBorders>
              <w:top w:val="nil"/>
              <w:right w:val="single" w:sz="4" w:space="0" w:color="auto"/>
            </w:tcBorders>
            <w:shd w:val="clear" w:color="auto" w:fill="auto"/>
            <w:noWrap/>
            <w:vAlign w:val="center"/>
          </w:tcPr>
          <w:p w14:paraId="36246ABF"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right w:val="single" w:sz="8" w:space="0" w:color="auto"/>
            </w:tcBorders>
            <w:shd w:val="clear" w:color="auto" w:fill="auto"/>
            <w:noWrap/>
            <w:vAlign w:val="center"/>
            <w:hideMark/>
          </w:tcPr>
          <w:p w14:paraId="2E1FE6D9"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BPA.D034</w:t>
            </w:r>
          </w:p>
        </w:tc>
        <w:tc>
          <w:tcPr>
            <w:tcW w:w="1262" w:type="dxa"/>
            <w:tcBorders>
              <w:top w:val="nil"/>
              <w:left w:val="nil"/>
              <w:right w:val="single" w:sz="8" w:space="0" w:color="auto"/>
            </w:tcBorders>
            <w:shd w:val="clear" w:color="auto" w:fill="auto"/>
            <w:noWrap/>
            <w:vAlign w:val="center"/>
            <w:hideMark/>
          </w:tcPr>
          <w:p w14:paraId="18E7D4EC"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BPA.E034</w:t>
            </w:r>
          </w:p>
        </w:tc>
        <w:tc>
          <w:tcPr>
            <w:tcW w:w="4562" w:type="dxa"/>
            <w:tcBorders>
              <w:top w:val="nil"/>
              <w:left w:val="nil"/>
            </w:tcBorders>
            <w:shd w:val="clear" w:color="auto" w:fill="auto"/>
            <w:noWrap/>
            <w:vAlign w:val="center"/>
            <w:hideMark/>
          </w:tcPr>
          <w:p w14:paraId="10E01D28" w14:textId="63916B89" w:rsidR="0008341F" w:rsidRPr="009548D7" w:rsidRDefault="00100799" w:rsidP="00100799">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08341F" w:rsidRPr="009548D7">
              <w:rPr>
                <w:rFonts w:ascii="Arial Narrow" w:eastAsia="Times New Roman" w:hAnsi="Arial Narrow" w:cs="Arial"/>
                <w:sz w:val="16"/>
                <w:szCs w:val="16"/>
                <w:lang w:eastAsia="pt-BR"/>
              </w:rPr>
              <w:t>Empréstimos e Financiamentos a Longo Prazo</w:t>
            </w:r>
          </w:p>
        </w:tc>
        <w:tc>
          <w:tcPr>
            <w:tcW w:w="775" w:type="dxa"/>
            <w:tcBorders>
              <w:top w:val="nil"/>
              <w:right w:val="single" w:sz="8" w:space="0" w:color="auto"/>
            </w:tcBorders>
            <w:shd w:val="clear" w:color="auto" w:fill="auto"/>
            <w:noWrap/>
            <w:vAlign w:val="center"/>
          </w:tcPr>
          <w:p w14:paraId="00CB3C96"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nil"/>
              <w:right w:val="single" w:sz="8" w:space="0" w:color="auto"/>
            </w:tcBorders>
            <w:shd w:val="clear" w:color="auto" w:fill="auto"/>
            <w:noWrap/>
            <w:vAlign w:val="center"/>
            <w:hideMark/>
          </w:tcPr>
          <w:p w14:paraId="0FDFEAB0"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BPA.H034</w:t>
            </w:r>
          </w:p>
        </w:tc>
        <w:tc>
          <w:tcPr>
            <w:tcW w:w="1420" w:type="dxa"/>
            <w:tcBorders>
              <w:top w:val="nil"/>
              <w:left w:val="nil"/>
              <w:right w:val="single" w:sz="8" w:space="0" w:color="auto"/>
            </w:tcBorders>
            <w:shd w:val="clear" w:color="auto" w:fill="auto"/>
            <w:noWrap/>
            <w:vAlign w:val="center"/>
            <w:hideMark/>
          </w:tcPr>
          <w:p w14:paraId="1C3B0B27"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BPA.I034</w:t>
            </w:r>
          </w:p>
        </w:tc>
      </w:tr>
      <w:tr w:rsidR="0008341F" w:rsidRPr="009548D7" w14:paraId="52E46D80" w14:textId="77777777" w:rsidTr="000525CD">
        <w:trPr>
          <w:trHeight w:val="255"/>
        </w:trPr>
        <w:tc>
          <w:tcPr>
            <w:tcW w:w="4410" w:type="dxa"/>
            <w:tcBorders>
              <w:top w:val="nil"/>
              <w:left w:val="single" w:sz="8" w:space="0" w:color="auto"/>
              <w:bottom w:val="nil"/>
            </w:tcBorders>
            <w:shd w:val="clear" w:color="auto" w:fill="auto"/>
            <w:noWrap/>
            <w:vAlign w:val="center"/>
            <w:hideMark/>
          </w:tcPr>
          <w:p w14:paraId="2928303B" w14:textId="3D9F763B" w:rsidR="0008341F" w:rsidRPr="009548D7" w:rsidRDefault="000525CD" w:rsidP="000525CD">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lastRenderedPageBreak/>
              <w:t xml:space="preserve">               </w:t>
            </w:r>
            <w:r w:rsidR="0008341F" w:rsidRPr="009548D7">
              <w:rPr>
                <w:rFonts w:ascii="Arial Narrow" w:eastAsia="Times New Roman" w:hAnsi="Arial Narrow" w:cs="Arial"/>
                <w:sz w:val="16"/>
                <w:szCs w:val="16"/>
                <w:lang w:eastAsia="pt-BR"/>
              </w:rPr>
              <w:t>Divida Ativa não Tributária</w:t>
            </w:r>
          </w:p>
        </w:tc>
        <w:tc>
          <w:tcPr>
            <w:tcW w:w="767" w:type="dxa"/>
            <w:tcBorders>
              <w:top w:val="nil"/>
              <w:bottom w:val="nil"/>
              <w:right w:val="single" w:sz="4" w:space="0" w:color="auto"/>
            </w:tcBorders>
            <w:shd w:val="clear" w:color="auto" w:fill="auto"/>
            <w:noWrap/>
            <w:vAlign w:val="center"/>
          </w:tcPr>
          <w:p w14:paraId="05CF091D"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729D45CE"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BPA.D035</w:t>
            </w:r>
          </w:p>
        </w:tc>
        <w:tc>
          <w:tcPr>
            <w:tcW w:w="1262" w:type="dxa"/>
            <w:tcBorders>
              <w:top w:val="nil"/>
              <w:left w:val="nil"/>
              <w:bottom w:val="nil"/>
              <w:right w:val="single" w:sz="8" w:space="0" w:color="auto"/>
            </w:tcBorders>
            <w:shd w:val="clear" w:color="auto" w:fill="auto"/>
            <w:noWrap/>
            <w:vAlign w:val="center"/>
            <w:hideMark/>
          </w:tcPr>
          <w:p w14:paraId="168BF519"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BPA.E035</w:t>
            </w:r>
          </w:p>
        </w:tc>
        <w:tc>
          <w:tcPr>
            <w:tcW w:w="4562" w:type="dxa"/>
            <w:tcBorders>
              <w:top w:val="nil"/>
              <w:left w:val="nil"/>
              <w:bottom w:val="nil"/>
            </w:tcBorders>
            <w:shd w:val="clear" w:color="auto" w:fill="auto"/>
            <w:noWrap/>
            <w:vAlign w:val="center"/>
            <w:hideMark/>
          </w:tcPr>
          <w:p w14:paraId="124688B1" w14:textId="4E39A204" w:rsidR="0008341F" w:rsidRPr="009548D7" w:rsidRDefault="00100799" w:rsidP="00100799">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08341F" w:rsidRPr="009548D7">
              <w:rPr>
                <w:rFonts w:ascii="Arial Narrow" w:eastAsia="Times New Roman" w:hAnsi="Arial Narrow" w:cs="Arial"/>
                <w:sz w:val="16"/>
                <w:szCs w:val="16"/>
                <w:lang w:eastAsia="pt-BR"/>
              </w:rPr>
              <w:t>Fornecedores e Contas a Pagar a Longo Prazo</w:t>
            </w:r>
          </w:p>
        </w:tc>
        <w:tc>
          <w:tcPr>
            <w:tcW w:w="775" w:type="dxa"/>
            <w:tcBorders>
              <w:top w:val="nil"/>
              <w:bottom w:val="nil"/>
              <w:right w:val="single" w:sz="8" w:space="0" w:color="auto"/>
            </w:tcBorders>
            <w:shd w:val="clear" w:color="auto" w:fill="auto"/>
            <w:noWrap/>
            <w:vAlign w:val="center"/>
          </w:tcPr>
          <w:p w14:paraId="36F6A227"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2EB78052"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BPA.H035</w:t>
            </w:r>
          </w:p>
        </w:tc>
        <w:tc>
          <w:tcPr>
            <w:tcW w:w="1420" w:type="dxa"/>
            <w:tcBorders>
              <w:top w:val="nil"/>
              <w:left w:val="nil"/>
              <w:bottom w:val="nil"/>
              <w:right w:val="single" w:sz="8" w:space="0" w:color="auto"/>
            </w:tcBorders>
            <w:shd w:val="clear" w:color="auto" w:fill="auto"/>
            <w:noWrap/>
            <w:vAlign w:val="center"/>
            <w:hideMark/>
          </w:tcPr>
          <w:p w14:paraId="50C28E93"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BPA.I035</w:t>
            </w:r>
          </w:p>
        </w:tc>
      </w:tr>
      <w:tr w:rsidR="0008341F" w:rsidRPr="009548D7" w14:paraId="7BA65F83" w14:textId="77777777" w:rsidTr="000525CD">
        <w:trPr>
          <w:trHeight w:val="255"/>
        </w:trPr>
        <w:tc>
          <w:tcPr>
            <w:tcW w:w="4410" w:type="dxa"/>
            <w:tcBorders>
              <w:top w:val="nil"/>
              <w:left w:val="single" w:sz="8" w:space="0" w:color="auto"/>
              <w:bottom w:val="nil"/>
            </w:tcBorders>
            <w:shd w:val="clear" w:color="auto" w:fill="auto"/>
            <w:noWrap/>
            <w:vAlign w:val="center"/>
          </w:tcPr>
          <w:p w14:paraId="2049A803" w14:textId="0C6BC67B" w:rsidR="0008341F" w:rsidRPr="009B4545" w:rsidRDefault="000525CD" w:rsidP="000525CD">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08341F" w:rsidRPr="009B4545">
              <w:rPr>
                <w:rFonts w:ascii="Arial Narrow" w:eastAsia="Times New Roman" w:hAnsi="Arial Narrow" w:cs="Arial"/>
                <w:sz w:val="16"/>
                <w:szCs w:val="16"/>
                <w:lang w:eastAsia="pt-BR"/>
              </w:rPr>
              <w:t>Créditos Previdenciários do RPPS</w:t>
            </w:r>
          </w:p>
        </w:tc>
        <w:tc>
          <w:tcPr>
            <w:tcW w:w="767" w:type="dxa"/>
            <w:tcBorders>
              <w:top w:val="nil"/>
              <w:bottom w:val="nil"/>
              <w:right w:val="single" w:sz="4" w:space="0" w:color="auto"/>
            </w:tcBorders>
            <w:shd w:val="clear" w:color="auto" w:fill="auto"/>
            <w:noWrap/>
            <w:vAlign w:val="center"/>
          </w:tcPr>
          <w:p w14:paraId="44BF2CC4" w14:textId="77777777" w:rsidR="0008341F" w:rsidRPr="009B4545"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tcPr>
          <w:p w14:paraId="75254573" w14:textId="77777777" w:rsidR="0008341F" w:rsidRPr="009B4545" w:rsidRDefault="0008341F" w:rsidP="000525CD">
            <w:pPr>
              <w:spacing w:after="0" w:line="240" w:lineRule="auto"/>
              <w:jc w:val="center"/>
              <w:rPr>
                <w:rFonts w:ascii="Arial Narrow" w:eastAsia="Times New Roman" w:hAnsi="Arial Narrow" w:cs="Arial"/>
                <w:sz w:val="16"/>
                <w:szCs w:val="16"/>
                <w:lang w:eastAsia="pt-BR"/>
              </w:rPr>
            </w:pPr>
            <w:r w:rsidRPr="009B4545">
              <w:rPr>
                <w:rFonts w:ascii="Arial Narrow" w:eastAsia="Times New Roman" w:hAnsi="Arial Narrow" w:cs="Arial"/>
                <w:sz w:val="16"/>
                <w:szCs w:val="16"/>
                <w:lang w:eastAsia="pt-BR"/>
              </w:rPr>
              <w:t>BPA.D073</w:t>
            </w:r>
          </w:p>
        </w:tc>
        <w:tc>
          <w:tcPr>
            <w:tcW w:w="1262" w:type="dxa"/>
            <w:tcBorders>
              <w:top w:val="nil"/>
              <w:left w:val="nil"/>
              <w:bottom w:val="nil"/>
              <w:right w:val="single" w:sz="8" w:space="0" w:color="auto"/>
            </w:tcBorders>
            <w:shd w:val="clear" w:color="auto" w:fill="auto"/>
            <w:noWrap/>
            <w:vAlign w:val="center"/>
          </w:tcPr>
          <w:p w14:paraId="31E63C59" w14:textId="77777777" w:rsidR="0008341F" w:rsidRPr="009B4545" w:rsidRDefault="0008341F" w:rsidP="000525CD">
            <w:pPr>
              <w:spacing w:after="0" w:line="240" w:lineRule="auto"/>
              <w:jc w:val="center"/>
              <w:rPr>
                <w:rFonts w:ascii="Arial Narrow" w:eastAsia="Times New Roman" w:hAnsi="Arial Narrow" w:cs="Arial"/>
                <w:sz w:val="16"/>
                <w:szCs w:val="16"/>
                <w:lang w:eastAsia="pt-BR"/>
              </w:rPr>
            </w:pPr>
            <w:r w:rsidRPr="009B4545">
              <w:rPr>
                <w:rFonts w:ascii="Arial Narrow" w:eastAsia="Times New Roman" w:hAnsi="Arial Narrow" w:cs="Arial"/>
                <w:sz w:val="16"/>
                <w:szCs w:val="16"/>
                <w:lang w:eastAsia="pt-BR"/>
              </w:rPr>
              <w:t>BPA.E073</w:t>
            </w:r>
          </w:p>
        </w:tc>
        <w:tc>
          <w:tcPr>
            <w:tcW w:w="4562" w:type="dxa"/>
            <w:tcBorders>
              <w:top w:val="nil"/>
              <w:left w:val="nil"/>
              <w:bottom w:val="nil"/>
            </w:tcBorders>
            <w:shd w:val="clear" w:color="auto" w:fill="auto"/>
            <w:noWrap/>
            <w:vAlign w:val="center"/>
          </w:tcPr>
          <w:p w14:paraId="68A5E7A3" w14:textId="26F67D39" w:rsidR="0008341F" w:rsidRPr="009548D7" w:rsidRDefault="00100799" w:rsidP="00100799">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08341F" w:rsidRPr="009548D7">
              <w:rPr>
                <w:rFonts w:ascii="Arial Narrow" w:eastAsia="Times New Roman" w:hAnsi="Arial Narrow" w:cs="Arial"/>
                <w:sz w:val="16"/>
                <w:szCs w:val="16"/>
                <w:lang w:eastAsia="pt-BR"/>
              </w:rPr>
              <w:t>Obrigações Fiscais a Longo Prazo</w:t>
            </w:r>
          </w:p>
        </w:tc>
        <w:tc>
          <w:tcPr>
            <w:tcW w:w="775" w:type="dxa"/>
            <w:tcBorders>
              <w:top w:val="nil"/>
              <w:bottom w:val="nil"/>
              <w:right w:val="single" w:sz="8" w:space="0" w:color="auto"/>
            </w:tcBorders>
            <w:shd w:val="clear" w:color="auto" w:fill="auto"/>
            <w:noWrap/>
            <w:vAlign w:val="center"/>
          </w:tcPr>
          <w:p w14:paraId="3FB45918"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tcPr>
          <w:p w14:paraId="04CAB162"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BPA.H036</w:t>
            </w:r>
          </w:p>
        </w:tc>
        <w:tc>
          <w:tcPr>
            <w:tcW w:w="1420" w:type="dxa"/>
            <w:tcBorders>
              <w:top w:val="nil"/>
              <w:left w:val="nil"/>
              <w:bottom w:val="nil"/>
              <w:right w:val="single" w:sz="8" w:space="0" w:color="auto"/>
            </w:tcBorders>
            <w:shd w:val="clear" w:color="auto" w:fill="auto"/>
            <w:noWrap/>
            <w:vAlign w:val="center"/>
          </w:tcPr>
          <w:p w14:paraId="6F03B0E6"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BPA.I036</w:t>
            </w:r>
          </w:p>
        </w:tc>
      </w:tr>
      <w:tr w:rsidR="0008341F" w:rsidRPr="009548D7" w14:paraId="4FCAE4D4" w14:textId="77777777" w:rsidTr="000525CD">
        <w:trPr>
          <w:trHeight w:val="255"/>
        </w:trPr>
        <w:tc>
          <w:tcPr>
            <w:tcW w:w="4410" w:type="dxa"/>
            <w:tcBorders>
              <w:top w:val="nil"/>
              <w:left w:val="single" w:sz="8" w:space="0" w:color="auto"/>
              <w:bottom w:val="nil"/>
            </w:tcBorders>
            <w:shd w:val="clear" w:color="auto" w:fill="auto"/>
            <w:noWrap/>
            <w:vAlign w:val="center"/>
          </w:tcPr>
          <w:p w14:paraId="38AB1D73" w14:textId="50AA07B6" w:rsidR="0008341F" w:rsidRPr="009B4545" w:rsidRDefault="000525CD" w:rsidP="000525CD">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08341F" w:rsidRPr="00806700">
              <w:rPr>
                <w:rFonts w:ascii="Arial Narrow" w:eastAsia="Times New Roman" w:hAnsi="Arial Narrow" w:cs="Arial"/>
                <w:sz w:val="16"/>
                <w:szCs w:val="16"/>
                <w:lang w:eastAsia="pt-BR"/>
              </w:rPr>
              <w:t>Outros Créditos a Longo Prazo</w:t>
            </w:r>
          </w:p>
        </w:tc>
        <w:tc>
          <w:tcPr>
            <w:tcW w:w="767" w:type="dxa"/>
            <w:tcBorders>
              <w:top w:val="nil"/>
              <w:bottom w:val="nil"/>
              <w:right w:val="single" w:sz="4" w:space="0" w:color="auto"/>
            </w:tcBorders>
            <w:shd w:val="clear" w:color="auto" w:fill="auto"/>
            <w:noWrap/>
            <w:vAlign w:val="center"/>
          </w:tcPr>
          <w:p w14:paraId="17959E2B" w14:textId="77777777" w:rsidR="0008341F" w:rsidRPr="009B4545"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tcPr>
          <w:p w14:paraId="61E1A5D8" w14:textId="77777777" w:rsidR="0008341F" w:rsidRPr="009B4545" w:rsidRDefault="0008341F" w:rsidP="000525CD">
            <w:pPr>
              <w:spacing w:after="0" w:line="240" w:lineRule="auto"/>
              <w:jc w:val="center"/>
              <w:rPr>
                <w:rFonts w:ascii="Arial Narrow" w:eastAsia="Times New Roman" w:hAnsi="Arial Narrow" w:cs="Arial"/>
                <w:sz w:val="16"/>
                <w:szCs w:val="16"/>
                <w:lang w:eastAsia="pt-BR"/>
              </w:rPr>
            </w:pPr>
            <w:r w:rsidRPr="00806700">
              <w:rPr>
                <w:rFonts w:ascii="Arial Narrow" w:eastAsia="Times New Roman" w:hAnsi="Arial Narrow" w:cs="Arial"/>
                <w:sz w:val="16"/>
                <w:szCs w:val="16"/>
                <w:lang w:eastAsia="pt-BR"/>
              </w:rPr>
              <w:t>BPA.D090</w:t>
            </w:r>
          </w:p>
        </w:tc>
        <w:tc>
          <w:tcPr>
            <w:tcW w:w="1262" w:type="dxa"/>
            <w:tcBorders>
              <w:top w:val="nil"/>
              <w:left w:val="nil"/>
              <w:bottom w:val="nil"/>
              <w:right w:val="single" w:sz="8" w:space="0" w:color="auto"/>
            </w:tcBorders>
            <w:shd w:val="clear" w:color="auto" w:fill="auto"/>
            <w:noWrap/>
            <w:vAlign w:val="center"/>
          </w:tcPr>
          <w:p w14:paraId="28A44196" w14:textId="77777777" w:rsidR="0008341F" w:rsidRPr="009B4545" w:rsidRDefault="0008341F" w:rsidP="000525CD">
            <w:pPr>
              <w:spacing w:after="0" w:line="240" w:lineRule="auto"/>
              <w:jc w:val="center"/>
              <w:rPr>
                <w:rFonts w:ascii="Arial Narrow" w:eastAsia="Times New Roman" w:hAnsi="Arial Narrow" w:cs="Arial"/>
                <w:sz w:val="16"/>
                <w:szCs w:val="16"/>
                <w:lang w:eastAsia="pt-BR"/>
              </w:rPr>
            </w:pPr>
            <w:r w:rsidRPr="00806700">
              <w:rPr>
                <w:rFonts w:ascii="Arial Narrow" w:eastAsia="Times New Roman" w:hAnsi="Arial Narrow" w:cs="Arial"/>
                <w:sz w:val="16"/>
                <w:szCs w:val="16"/>
                <w:lang w:eastAsia="pt-BR"/>
              </w:rPr>
              <w:t>BPA.E090</w:t>
            </w:r>
          </w:p>
        </w:tc>
        <w:tc>
          <w:tcPr>
            <w:tcW w:w="4562" w:type="dxa"/>
            <w:tcBorders>
              <w:top w:val="nil"/>
              <w:left w:val="nil"/>
              <w:bottom w:val="nil"/>
            </w:tcBorders>
            <w:shd w:val="clear" w:color="auto" w:fill="auto"/>
            <w:noWrap/>
            <w:vAlign w:val="center"/>
          </w:tcPr>
          <w:p w14:paraId="4074E378" w14:textId="35E7549F" w:rsidR="0008341F" w:rsidRPr="0008341F" w:rsidRDefault="00100799" w:rsidP="00100799">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08341F" w:rsidRPr="0008341F">
              <w:rPr>
                <w:rFonts w:ascii="Arial Narrow" w:eastAsia="Times New Roman" w:hAnsi="Arial Narrow" w:cs="Arial"/>
                <w:sz w:val="16"/>
                <w:szCs w:val="16"/>
                <w:lang w:eastAsia="pt-BR"/>
              </w:rPr>
              <w:t>Transferências Fiscais a Longo Prazo</w:t>
            </w:r>
          </w:p>
        </w:tc>
        <w:tc>
          <w:tcPr>
            <w:tcW w:w="775" w:type="dxa"/>
            <w:tcBorders>
              <w:top w:val="nil"/>
              <w:bottom w:val="nil"/>
              <w:right w:val="single" w:sz="8" w:space="0" w:color="auto"/>
            </w:tcBorders>
            <w:shd w:val="clear" w:color="auto" w:fill="auto"/>
            <w:noWrap/>
            <w:vAlign w:val="center"/>
          </w:tcPr>
          <w:p w14:paraId="5F475379"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tcPr>
          <w:p w14:paraId="4E5A43D7" w14:textId="77777777" w:rsidR="0008341F" w:rsidRPr="0008341F" w:rsidRDefault="0008341F" w:rsidP="000525CD">
            <w:pPr>
              <w:spacing w:after="0" w:line="240" w:lineRule="auto"/>
              <w:jc w:val="center"/>
              <w:rPr>
                <w:rFonts w:ascii="Arial Narrow" w:eastAsia="Times New Roman" w:hAnsi="Arial Narrow" w:cs="Arial"/>
                <w:sz w:val="16"/>
                <w:szCs w:val="16"/>
                <w:lang w:eastAsia="pt-BR"/>
              </w:rPr>
            </w:pPr>
            <w:r w:rsidRPr="0008341F">
              <w:rPr>
                <w:rFonts w:ascii="Arial Narrow" w:eastAsia="Times New Roman" w:hAnsi="Arial Narrow" w:cs="Arial"/>
                <w:sz w:val="16"/>
                <w:szCs w:val="16"/>
                <w:lang w:eastAsia="pt-BR"/>
              </w:rPr>
              <w:t>BPA.H092</w:t>
            </w:r>
          </w:p>
        </w:tc>
        <w:tc>
          <w:tcPr>
            <w:tcW w:w="1420" w:type="dxa"/>
            <w:tcBorders>
              <w:top w:val="nil"/>
              <w:left w:val="nil"/>
              <w:bottom w:val="nil"/>
              <w:right w:val="single" w:sz="8" w:space="0" w:color="auto"/>
            </w:tcBorders>
            <w:shd w:val="clear" w:color="auto" w:fill="auto"/>
            <w:noWrap/>
            <w:vAlign w:val="center"/>
          </w:tcPr>
          <w:p w14:paraId="77E964BF" w14:textId="77777777" w:rsidR="0008341F" w:rsidRPr="0008341F" w:rsidRDefault="0008341F" w:rsidP="000525CD">
            <w:pPr>
              <w:spacing w:after="0" w:line="240" w:lineRule="auto"/>
              <w:jc w:val="center"/>
              <w:rPr>
                <w:rFonts w:ascii="Arial Narrow" w:eastAsia="Times New Roman" w:hAnsi="Arial Narrow" w:cs="Arial"/>
                <w:sz w:val="16"/>
                <w:szCs w:val="16"/>
                <w:lang w:eastAsia="pt-BR"/>
              </w:rPr>
            </w:pPr>
            <w:r w:rsidRPr="0008341F">
              <w:rPr>
                <w:rFonts w:ascii="Arial Narrow" w:eastAsia="Times New Roman" w:hAnsi="Arial Narrow" w:cs="Arial"/>
                <w:sz w:val="16"/>
                <w:szCs w:val="16"/>
                <w:lang w:eastAsia="pt-BR"/>
              </w:rPr>
              <w:t>BPA.I092</w:t>
            </w:r>
          </w:p>
        </w:tc>
      </w:tr>
      <w:tr w:rsidR="0008341F" w:rsidRPr="009548D7" w14:paraId="052B5F5A" w14:textId="77777777" w:rsidTr="000525CD">
        <w:trPr>
          <w:trHeight w:val="255"/>
        </w:trPr>
        <w:tc>
          <w:tcPr>
            <w:tcW w:w="4410" w:type="dxa"/>
            <w:tcBorders>
              <w:top w:val="nil"/>
              <w:left w:val="single" w:sz="8" w:space="0" w:color="auto"/>
              <w:bottom w:val="nil"/>
            </w:tcBorders>
            <w:shd w:val="clear" w:color="auto" w:fill="auto"/>
            <w:noWrap/>
            <w:vAlign w:val="center"/>
          </w:tcPr>
          <w:p w14:paraId="35B97328" w14:textId="5A950F09" w:rsidR="0008341F" w:rsidRPr="00806700" w:rsidRDefault="000525CD" w:rsidP="000525CD">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08341F" w:rsidRPr="00806700">
              <w:rPr>
                <w:rFonts w:ascii="Arial Narrow" w:eastAsia="Times New Roman" w:hAnsi="Arial Narrow" w:cs="Arial"/>
                <w:sz w:val="16"/>
                <w:szCs w:val="16"/>
                <w:lang w:eastAsia="pt-BR"/>
              </w:rPr>
              <w:t>(-) Ajuste de Perdas de Créditos a Longo Prazo</w:t>
            </w:r>
          </w:p>
        </w:tc>
        <w:tc>
          <w:tcPr>
            <w:tcW w:w="767" w:type="dxa"/>
            <w:tcBorders>
              <w:top w:val="nil"/>
              <w:bottom w:val="nil"/>
              <w:right w:val="single" w:sz="4" w:space="0" w:color="auto"/>
            </w:tcBorders>
            <w:shd w:val="clear" w:color="auto" w:fill="auto"/>
            <w:noWrap/>
            <w:vAlign w:val="center"/>
          </w:tcPr>
          <w:p w14:paraId="26838CB7" w14:textId="77777777" w:rsidR="0008341F" w:rsidRPr="00806700"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tcPr>
          <w:p w14:paraId="1FBA1163" w14:textId="77777777" w:rsidR="0008341F" w:rsidRPr="00806700" w:rsidRDefault="0008341F" w:rsidP="000525CD">
            <w:pPr>
              <w:spacing w:after="0" w:line="240" w:lineRule="auto"/>
              <w:jc w:val="center"/>
              <w:rPr>
                <w:rFonts w:ascii="Arial Narrow" w:eastAsia="Times New Roman" w:hAnsi="Arial Narrow" w:cs="Arial"/>
                <w:sz w:val="16"/>
                <w:szCs w:val="16"/>
                <w:lang w:eastAsia="pt-BR"/>
              </w:rPr>
            </w:pPr>
            <w:r w:rsidRPr="00806700">
              <w:rPr>
                <w:rFonts w:ascii="Arial Narrow" w:eastAsia="Times New Roman" w:hAnsi="Arial Narrow" w:cs="Arial"/>
                <w:sz w:val="16"/>
                <w:szCs w:val="16"/>
                <w:lang w:eastAsia="pt-BR"/>
              </w:rPr>
              <w:t>BPA.D036</w:t>
            </w:r>
          </w:p>
        </w:tc>
        <w:tc>
          <w:tcPr>
            <w:tcW w:w="1262" w:type="dxa"/>
            <w:tcBorders>
              <w:top w:val="nil"/>
              <w:left w:val="nil"/>
              <w:bottom w:val="nil"/>
              <w:right w:val="single" w:sz="8" w:space="0" w:color="auto"/>
            </w:tcBorders>
            <w:shd w:val="clear" w:color="auto" w:fill="auto"/>
            <w:noWrap/>
            <w:vAlign w:val="center"/>
          </w:tcPr>
          <w:p w14:paraId="4039D2B0" w14:textId="77777777" w:rsidR="0008341F" w:rsidRPr="00806700" w:rsidRDefault="0008341F" w:rsidP="000525CD">
            <w:pPr>
              <w:spacing w:after="0" w:line="240" w:lineRule="auto"/>
              <w:jc w:val="center"/>
              <w:rPr>
                <w:rFonts w:ascii="Arial Narrow" w:eastAsia="Times New Roman" w:hAnsi="Arial Narrow" w:cs="Arial"/>
                <w:sz w:val="16"/>
                <w:szCs w:val="16"/>
                <w:lang w:eastAsia="pt-BR"/>
              </w:rPr>
            </w:pPr>
            <w:r w:rsidRPr="00806700">
              <w:rPr>
                <w:rFonts w:ascii="Arial Narrow" w:eastAsia="Times New Roman" w:hAnsi="Arial Narrow" w:cs="Arial"/>
                <w:sz w:val="16"/>
                <w:szCs w:val="16"/>
                <w:lang w:eastAsia="pt-BR"/>
              </w:rPr>
              <w:t>BPA.E036</w:t>
            </w:r>
          </w:p>
        </w:tc>
        <w:tc>
          <w:tcPr>
            <w:tcW w:w="4562" w:type="dxa"/>
            <w:tcBorders>
              <w:top w:val="nil"/>
              <w:left w:val="nil"/>
              <w:bottom w:val="nil"/>
            </w:tcBorders>
            <w:shd w:val="clear" w:color="auto" w:fill="auto"/>
            <w:noWrap/>
            <w:vAlign w:val="center"/>
          </w:tcPr>
          <w:p w14:paraId="05548DF8" w14:textId="6057CB67" w:rsidR="0008341F" w:rsidRPr="0008341F" w:rsidRDefault="00100799" w:rsidP="00100799">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08341F" w:rsidRPr="0008341F">
              <w:rPr>
                <w:rFonts w:ascii="Arial Narrow" w:eastAsia="Times New Roman" w:hAnsi="Arial Narrow" w:cs="Arial"/>
                <w:sz w:val="16"/>
                <w:szCs w:val="16"/>
                <w:lang w:eastAsia="pt-BR"/>
              </w:rPr>
              <w:t>Provisões a Longo Prazo</w:t>
            </w:r>
          </w:p>
        </w:tc>
        <w:tc>
          <w:tcPr>
            <w:tcW w:w="775" w:type="dxa"/>
            <w:tcBorders>
              <w:top w:val="nil"/>
              <w:bottom w:val="nil"/>
              <w:right w:val="single" w:sz="8" w:space="0" w:color="auto"/>
            </w:tcBorders>
            <w:shd w:val="clear" w:color="auto" w:fill="auto"/>
            <w:noWrap/>
            <w:vAlign w:val="center"/>
          </w:tcPr>
          <w:p w14:paraId="17D72961"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tcPr>
          <w:p w14:paraId="345B3040" w14:textId="77777777" w:rsidR="0008341F" w:rsidRPr="0008341F" w:rsidRDefault="0008341F" w:rsidP="000525CD">
            <w:pPr>
              <w:spacing w:after="0" w:line="240" w:lineRule="auto"/>
              <w:jc w:val="center"/>
              <w:rPr>
                <w:rFonts w:ascii="Arial Narrow" w:eastAsia="Times New Roman" w:hAnsi="Arial Narrow" w:cs="Arial"/>
                <w:sz w:val="16"/>
                <w:szCs w:val="16"/>
                <w:lang w:eastAsia="pt-BR"/>
              </w:rPr>
            </w:pPr>
            <w:r w:rsidRPr="0008341F">
              <w:rPr>
                <w:rFonts w:ascii="Arial Narrow" w:eastAsia="Times New Roman" w:hAnsi="Arial Narrow" w:cs="Arial"/>
                <w:sz w:val="16"/>
                <w:szCs w:val="16"/>
                <w:lang w:eastAsia="pt-BR"/>
              </w:rPr>
              <w:t>BPA.H037</w:t>
            </w:r>
          </w:p>
        </w:tc>
        <w:tc>
          <w:tcPr>
            <w:tcW w:w="1420" w:type="dxa"/>
            <w:tcBorders>
              <w:top w:val="nil"/>
              <w:left w:val="nil"/>
              <w:bottom w:val="nil"/>
              <w:right w:val="single" w:sz="8" w:space="0" w:color="auto"/>
            </w:tcBorders>
            <w:shd w:val="clear" w:color="auto" w:fill="auto"/>
            <w:noWrap/>
            <w:vAlign w:val="center"/>
          </w:tcPr>
          <w:p w14:paraId="2956E211" w14:textId="77777777" w:rsidR="0008341F" w:rsidRPr="0008341F" w:rsidRDefault="0008341F" w:rsidP="000525CD">
            <w:pPr>
              <w:spacing w:after="0" w:line="240" w:lineRule="auto"/>
              <w:jc w:val="center"/>
              <w:rPr>
                <w:rFonts w:ascii="Arial Narrow" w:eastAsia="Times New Roman" w:hAnsi="Arial Narrow" w:cs="Arial"/>
                <w:sz w:val="16"/>
                <w:szCs w:val="16"/>
                <w:lang w:eastAsia="pt-BR"/>
              </w:rPr>
            </w:pPr>
            <w:r w:rsidRPr="0008341F">
              <w:rPr>
                <w:rFonts w:ascii="Arial Narrow" w:eastAsia="Times New Roman" w:hAnsi="Arial Narrow" w:cs="Arial"/>
                <w:sz w:val="16"/>
                <w:szCs w:val="16"/>
                <w:lang w:eastAsia="pt-BR"/>
              </w:rPr>
              <w:t>BPA.I037</w:t>
            </w:r>
          </w:p>
        </w:tc>
      </w:tr>
      <w:tr w:rsidR="0008341F" w:rsidRPr="009548D7" w14:paraId="577B46EF" w14:textId="77777777" w:rsidTr="000525CD">
        <w:trPr>
          <w:trHeight w:val="255"/>
        </w:trPr>
        <w:tc>
          <w:tcPr>
            <w:tcW w:w="4410" w:type="dxa"/>
            <w:tcBorders>
              <w:top w:val="nil"/>
              <w:left w:val="single" w:sz="8" w:space="0" w:color="auto"/>
              <w:bottom w:val="nil"/>
            </w:tcBorders>
            <w:shd w:val="clear" w:color="auto" w:fill="auto"/>
            <w:noWrap/>
            <w:vAlign w:val="center"/>
            <w:hideMark/>
          </w:tcPr>
          <w:p w14:paraId="6BF5A382" w14:textId="1CCDF079" w:rsidR="0008341F" w:rsidRPr="0008341F" w:rsidRDefault="000525CD" w:rsidP="000525CD">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08341F" w:rsidRPr="0008341F">
              <w:rPr>
                <w:rFonts w:ascii="Arial Narrow" w:eastAsia="Times New Roman" w:hAnsi="Arial Narrow" w:cs="Arial"/>
                <w:sz w:val="16"/>
                <w:szCs w:val="16"/>
                <w:lang w:eastAsia="pt-BR"/>
              </w:rPr>
              <w:t>Demais Créditos e Valores a Longo Prazo</w:t>
            </w:r>
          </w:p>
        </w:tc>
        <w:tc>
          <w:tcPr>
            <w:tcW w:w="767" w:type="dxa"/>
            <w:tcBorders>
              <w:top w:val="nil"/>
              <w:bottom w:val="nil"/>
              <w:right w:val="single" w:sz="4" w:space="0" w:color="auto"/>
            </w:tcBorders>
            <w:shd w:val="clear" w:color="auto" w:fill="auto"/>
            <w:noWrap/>
            <w:vAlign w:val="center"/>
          </w:tcPr>
          <w:p w14:paraId="498EABAF" w14:textId="77777777" w:rsidR="0008341F" w:rsidRPr="00806700"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015D435A" w14:textId="77777777" w:rsidR="0008341F" w:rsidRPr="00806700"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BPA.D037</w:t>
            </w:r>
          </w:p>
        </w:tc>
        <w:tc>
          <w:tcPr>
            <w:tcW w:w="1262" w:type="dxa"/>
            <w:tcBorders>
              <w:top w:val="nil"/>
              <w:left w:val="nil"/>
              <w:bottom w:val="nil"/>
              <w:right w:val="single" w:sz="8" w:space="0" w:color="auto"/>
            </w:tcBorders>
            <w:shd w:val="clear" w:color="auto" w:fill="auto"/>
            <w:noWrap/>
            <w:vAlign w:val="center"/>
            <w:hideMark/>
          </w:tcPr>
          <w:p w14:paraId="71ED80F3" w14:textId="77777777" w:rsidR="0008341F" w:rsidRPr="00806700"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BPA.E037</w:t>
            </w:r>
          </w:p>
        </w:tc>
        <w:tc>
          <w:tcPr>
            <w:tcW w:w="4562" w:type="dxa"/>
            <w:tcBorders>
              <w:top w:val="nil"/>
              <w:left w:val="nil"/>
              <w:bottom w:val="nil"/>
            </w:tcBorders>
            <w:shd w:val="clear" w:color="auto" w:fill="auto"/>
            <w:noWrap/>
            <w:vAlign w:val="center"/>
            <w:hideMark/>
          </w:tcPr>
          <w:p w14:paraId="3F78DF64" w14:textId="67DC972B" w:rsidR="0008341F" w:rsidRPr="0008341F" w:rsidRDefault="00100799" w:rsidP="00100799">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08341F" w:rsidRPr="0008341F">
              <w:rPr>
                <w:rFonts w:ascii="Arial Narrow" w:eastAsia="Times New Roman" w:hAnsi="Arial Narrow" w:cs="Arial"/>
                <w:sz w:val="16"/>
                <w:szCs w:val="16"/>
                <w:lang w:eastAsia="pt-BR"/>
              </w:rPr>
              <w:t>Provisões para Riscos Trabalhistas a Longo Prazo</w:t>
            </w:r>
          </w:p>
        </w:tc>
        <w:tc>
          <w:tcPr>
            <w:tcW w:w="775" w:type="dxa"/>
            <w:tcBorders>
              <w:top w:val="nil"/>
              <w:bottom w:val="nil"/>
              <w:right w:val="single" w:sz="8" w:space="0" w:color="auto"/>
            </w:tcBorders>
            <w:shd w:val="clear" w:color="auto" w:fill="auto"/>
            <w:noWrap/>
            <w:vAlign w:val="center"/>
          </w:tcPr>
          <w:p w14:paraId="1B1EE11D"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0AAECA97"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BPA.H038</w:t>
            </w:r>
          </w:p>
        </w:tc>
        <w:tc>
          <w:tcPr>
            <w:tcW w:w="1420" w:type="dxa"/>
            <w:tcBorders>
              <w:top w:val="nil"/>
              <w:left w:val="nil"/>
              <w:bottom w:val="nil"/>
              <w:right w:val="single" w:sz="8" w:space="0" w:color="auto"/>
            </w:tcBorders>
            <w:shd w:val="clear" w:color="auto" w:fill="auto"/>
            <w:noWrap/>
            <w:vAlign w:val="center"/>
            <w:hideMark/>
          </w:tcPr>
          <w:p w14:paraId="6E9EA70B"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BPA.I038</w:t>
            </w:r>
          </w:p>
        </w:tc>
      </w:tr>
      <w:tr w:rsidR="0008341F" w:rsidRPr="009548D7" w14:paraId="5C1880E9" w14:textId="77777777" w:rsidTr="000525CD">
        <w:trPr>
          <w:trHeight w:val="255"/>
        </w:trPr>
        <w:tc>
          <w:tcPr>
            <w:tcW w:w="4410" w:type="dxa"/>
            <w:tcBorders>
              <w:top w:val="nil"/>
              <w:left w:val="single" w:sz="8" w:space="0" w:color="auto"/>
              <w:bottom w:val="nil"/>
            </w:tcBorders>
            <w:shd w:val="clear" w:color="auto" w:fill="auto"/>
            <w:noWrap/>
            <w:vAlign w:val="center"/>
            <w:hideMark/>
          </w:tcPr>
          <w:p w14:paraId="2F5D1511" w14:textId="1FB6F689" w:rsidR="0008341F" w:rsidRPr="0008341F" w:rsidRDefault="000525CD" w:rsidP="000525CD">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08341F" w:rsidRPr="0008341F">
              <w:rPr>
                <w:rFonts w:ascii="Arial Narrow" w:eastAsia="Times New Roman" w:hAnsi="Arial Narrow" w:cs="Arial"/>
                <w:sz w:val="16"/>
                <w:szCs w:val="16"/>
                <w:lang w:eastAsia="pt-BR"/>
              </w:rPr>
              <w:t>Investimentos e Aplicações Temporárias a Longo Prazo</w:t>
            </w:r>
          </w:p>
        </w:tc>
        <w:tc>
          <w:tcPr>
            <w:tcW w:w="767" w:type="dxa"/>
            <w:tcBorders>
              <w:top w:val="nil"/>
              <w:bottom w:val="nil"/>
              <w:right w:val="single" w:sz="4" w:space="0" w:color="auto"/>
            </w:tcBorders>
            <w:shd w:val="clear" w:color="auto" w:fill="auto"/>
            <w:noWrap/>
            <w:vAlign w:val="center"/>
          </w:tcPr>
          <w:p w14:paraId="20FE09A4"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4CC49199"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BPA.D038</w:t>
            </w:r>
          </w:p>
        </w:tc>
        <w:tc>
          <w:tcPr>
            <w:tcW w:w="1262" w:type="dxa"/>
            <w:tcBorders>
              <w:top w:val="nil"/>
              <w:left w:val="nil"/>
              <w:bottom w:val="nil"/>
              <w:right w:val="single" w:sz="8" w:space="0" w:color="auto"/>
            </w:tcBorders>
            <w:shd w:val="clear" w:color="auto" w:fill="auto"/>
            <w:noWrap/>
            <w:vAlign w:val="center"/>
            <w:hideMark/>
          </w:tcPr>
          <w:p w14:paraId="2C127D30"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BPA.E038</w:t>
            </w:r>
          </w:p>
        </w:tc>
        <w:tc>
          <w:tcPr>
            <w:tcW w:w="4562" w:type="dxa"/>
            <w:tcBorders>
              <w:top w:val="nil"/>
              <w:left w:val="nil"/>
              <w:bottom w:val="nil"/>
            </w:tcBorders>
            <w:shd w:val="clear" w:color="000000" w:fill="FFFFFF"/>
            <w:noWrap/>
            <w:vAlign w:val="center"/>
            <w:hideMark/>
          </w:tcPr>
          <w:p w14:paraId="5C5975C6" w14:textId="6E876F53" w:rsidR="0008341F" w:rsidRPr="0008341F" w:rsidRDefault="00100799" w:rsidP="00100799">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08341F" w:rsidRPr="0008341F">
              <w:rPr>
                <w:rFonts w:ascii="Arial Narrow" w:eastAsia="Times New Roman" w:hAnsi="Arial Narrow" w:cs="Arial"/>
                <w:sz w:val="16"/>
                <w:szCs w:val="16"/>
                <w:lang w:eastAsia="pt-BR"/>
              </w:rPr>
              <w:t>Provisões Matemáticas Previdenciárias a Longo Prazo</w:t>
            </w:r>
          </w:p>
        </w:tc>
        <w:tc>
          <w:tcPr>
            <w:tcW w:w="775" w:type="dxa"/>
            <w:tcBorders>
              <w:top w:val="nil"/>
              <w:bottom w:val="nil"/>
              <w:right w:val="single" w:sz="8" w:space="0" w:color="auto"/>
            </w:tcBorders>
            <w:shd w:val="clear" w:color="auto" w:fill="auto"/>
            <w:noWrap/>
            <w:vAlign w:val="center"/>
          </w:tcPr>
          <w:p w14:paraId="6F0816E0"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2462896F"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BPA.H039</w:t>
            </w:r>
          </w:p>
        </w:tc>
        <w:tc>
          <w:tcPr>
            <w:tcW w:w="1420" w:type="dxa"/>
            <w:tcBorders>
              <w:top w:val="nil"/>
              <w:left w:val="nil"/>
              <w:bottom w:val="nil"/>
              <w:right w:val="single" w:sz="8" w:space="0" w:color="auto"/>
            </w:tcBorders>
            <w:shd w:val="clear" w:color="auto" w:fill="auto"/>
            <w:noWrap/>
            <w:vAlign w:val="center"/>
            <w:hideMark/>
          </w:tcPr>
          <w:p w14:paraId="733F3D1D"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BPA.I039</w:t>
            </w:r>
          </w:p>
        </w:tc>
      </w:tr>
      <w:tr w:rsidR="0008341F" w:rsidRPr="009548D7" w14:paraId="6D923701" w14:textId="77777777" w:rsidTr="000525CD">
        <w:trPr>
          <w:trHeight w:val="255"/>
        </w:trPr>
        <w:tc>
          <w:tcPr>
            <w:tcW w:w="4410" w:type="dxa"/>
            <w:tcBorders>
              <w:top w:val="nil"/>
              <w:left w:val="single" w:sz="8" w:space="0" w:color="auto"/>
              <w:bottom w:val="nil"/>
            </w:tcBorders>
            <w:shd w:val="clear" w:color="auto" w:fill="auto"/>
            <w:noWrap/>
            <w:vAlign w:val="center"/>
            <w:hideMark/>
          </w:tcPr>
          <w:p w14:paraId="331662C1" w14:textId="3E406B98" w:rsidR="0008341F" w:rsidRPr="0008341F" w:rsidRDefault="000525CD" w:rsidP="000525CD">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08341F" w:rsidRPr="0008341F">
              <w:rPr>
                <w:rFonts w:ascii="Arial Narrow" w:eastAsia="Times New Roman" w:hAnsi="Arial Narrow" w:cs="Arial"/>
                <w:sz w:val="16"/>
                <w:szCs w:val="16"/>
                <w:lang w:eastAsia="pt-BR"/>
              </w:rPr>
              <w:t>Estoques</w:t>
            </w:r>
          </w:p>
        </w:tc>
        <w:tc>
          <w:tcPr>
            <w:tcW w:w="767" w:type="dxa"/>
            <w:tcBorders>
              <w:top w:val="nil"/>
              <w:bottom w:val="nil"/>
              <w:right w:val="single" w:sz="4" w:space="0" w:color="auto"/>
            </w:tcBorders>
            <w:shd w:val="clear" w:color="auto" w:fill="auto"/>
            <w:noWrap/>
            <w:vAlign w:val="center"/>
          </w:tcPr>
          <w:p w14:paraId="7CD76678"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6E82FA0F"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BPA.D039</w:t>
            </w:r>
          </w:p>
        </w:tc>
        <w:tc>
          <w:tcPr>
            <w:tcW w:w="1262" w:type="dxa"/>
            <w:tcBorders>
              <w:top w:val="nil"/>
              <w:left w:val="nil"/>
              <w:bottom w:val="nil"/>
              <w:right w:val="single" w:sz="8" w:space="0" w:color="auto"/>
            </w:tcBorders>
            <w:shd w:val="clear" w:color="auto" w:fill="auto"/>
            <w:noWrap/>
            <w:vAlign w:val="center"/>
            <w:hideMark/>
          </w:tcPr>
          <w:p w14:paraId="31C00404"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BPA.E039</w:t>
            </w:r>
          </w:p>
        </w:tc>
        <w:tc>
          <w:tcPr>
            <w:tcW w:w="4562" w:type="dxa"/>
            <w:tcBorders>
              <w:top w:val="nil"/>
              <w:left w:val="nil"/>
              <w:bottom w:val="nil"/>
            </w:tcBorders>
            <w:shd w:val="clear" w:color="000000" w:fill="FFFFFF"/>
            <w:noWrap/>
            <w:vAlign w:val="center"/>
            <w:hideMark/>
          </w:tcPr>
          <w:p w14:paraId="2E66DCF4" w14:textId="0B443F31" w:rsidR="0008341F" w:rsidRPr="0008341F" w:rsidRDefault="00100799" w:rsidP="00100799">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08341F" w:rsidRPr="0008341F">
              <w:rPr>
                <w:rFonts w:ascii="Arial Narrow" w:eastAsia="Times New Roman" w:hAnsi="Arial Narrow" w:cs="Arial"/>
                <w:sz w:val="16"/>
                <w:szCs w:val="16"/>
                <w:lang w:eastAsia="pt-BR"/>
              </w:rPr>
              <w:t>Provisões para Riscos Fiscais a Longo Prazo</w:t>
            </w:r>
          </w:p>
        </w:tc>
        <w:tc>
          <w:tcPr>
            <w:tcW w:w="775" w:type="dxa"/>
            <w:tcBorders>
              <w:top w:val="nil"/>
              <w:bottom w:val="nil"/>
              <w:right w:val="single" w:sz="8" w:space="0" w:color="auto"/>
            </w:tcBorders>
            <w:shd w:val="clear" w:color="auto" w:fill="auto"/>
            <w:noWrap/>
            <w:vAlign w:val="center"/>
          </w:tcPr>
          <w:p w14:paraId="3B374BC4"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536270D9"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BPA.H040</w:t>
            </w:r>
          </w:p>
        </w:tc>
        <w:tc>
          <w:tcPr>
            <w:tcW w:w="1420" w:type="dxa"/>
            <w:tcBorders>
              <w:top w:val="nil"/>
              <w:left w:val="nil"/>
              <w:bottom w:val="nil"/>
              <w:right w:val="single" w:sz="8" w:space="0" w:color="auto"/>
            </w:tcBorders>
            <w:shd w:val="clear" w:color="auto" w:fill="auto"/>
            <w:noWrap/>
            <w:vAlign w:val="center"/>
            <w:hideMark/>
          </w:tcPr>
          <w:p w14:paraId="02901C16"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BPA.I040</w:t>
            </w:r>
          </w:p>
        </w:tc>
      </w:tr>
      <w:tr w:rsidR="0008341F" w:rsidRPr="009548D7" w14:paraId="0989DBCD" w14:textId="77777777" w:rsidTr="000525CD">
        <w:trPr>
          <w:trHeight w:val="255"/>
        </w:trPr>
        <w:tc>
          <w:tcPr>
            <w:tcW w:w="4410" w:type="dxa"/>
            <w:tcBorders>
              <w:top w:val="nil"/>
              <w:left w:val="single" w:sz="8" w:space="0" w:color="auto"/>
              <w:bottom w:val="nil"/>
            </w:tcBorders>
            <w:shd w:val="clear" w:color="auto" w:fill="auto"/>
            <w:noWrap/>
            <w:vAlign w:val="center"/>
            <w:hideMark/>
          </w:tcPr>
          <w:p w14:paraId="1D55185B" w14:textId="12F367CE" w:rsidR="0008341F" w:rsidRPr="0008341F" w:rsidRDefault="000525CD" w:rsidP="000525CD">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08341F" w:rsidRPr="0008341F">
              <w:rPr>
                <w:rFonts w:ascii="Arial Narrow" w:eastAsia="Times New Roman" w:hAnsi="Arial Narrow" w:cs="Arial"/>
                <w:sz w:val="16"/>
                <w:szCs w:val="16"/>
                <w:lang w:eastAsia="pt-BR"/>
              </w:rPr>
              <w:t>VPD Pagas Antecipadamente</w:t>
            </w:r>
          </w:p>
        </w:tc>
        <w:tc>
          <w:tcPr>
            <w:tcW w:w="767" w:type="dxa"/>
            <w:tcBorders>
              <w:top w:val="nil"/>
              <w:bottom w:val="nil"/>
              <w:right w:val="single" w:sz="4" w:space="0" w:color="auto"/>
            </w:tcBorders>
            <w:shd w:val="clear" w:color="auto" w:fill="auto"/>
            <w:noWrap/>
            <w:vAlign w:val="center"/>
          </w:tcPr>
          <w:p w14:paraId="64941055"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1F436C57"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BPA.D040</w:t>
            </w:r>
          </w:p>
        </w:tc>
        <w:tc>
          <w:tcPr>
            <w:tcW w:w="1262" w:type="dxa"/>
            <w:tcBorders>
              <w:top w:val="nil"/>
              <w:left w:val="nil"/>
              <w:bottom w:val="nil"/>
              <w:right w:val="single" w:sz="8" w:space="0" w:color="auto"/>
            </w:tcBorders>
            <w:shd w:val="clear" w:color="auto" w:fill="auto"/>
            <w:noWrap/>
            <w:vAlign w:val="center"/>
            <w:hideMark/>
          </w:tcPr>
          <w:p w14:paraId="78A008D0"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BPA.E040</w:t>
            </w:r>
          </w:p>
        </w:tc>
        <w:tc>
          <w:tcPr>
            <w:tcW w:w="4562" w:type="dxa"/>
            <w:tcBorders>
              <w:top w:val="nil"/>
              <w:left w:val="nil"/>
              <w:bottom w:val="nil"/>
            </w:tcBorders>
            <w:shd w:val="clear" w:color="000000" w:fill="FFFFFF"/>
            <w:noWrap/>
            <w:vAlign w:val="center"/>
            <w:hideMark/>
          </w:tcPr>
          <w:p w14:paraId="2E7F1125" w14:textId="4D389A48" w:rsidR="0008341F" w:rsidRPr="0008341F" w:rsidRDefault="00100799" w:rsidP="00100799">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08341F" w:rsidRPr="0008341F">
              <w:rPr>
                <w:rFonts w:ascii="Arial Narrow" w:eastAsia="Times New Roman" w:hAnsi="Arial Narrow" w:cs="Arial"/>
                <w:sz w:val="16"/>
                <w:szCs w:val="16"/>
                <w:lang w:eastAsia="pt-BR"/>
              </w:rPr>
              <w:t>Provisões para Riscos Cíveis a Longo Prazo</w:t>
            </w:r>
          </w:p>
        </w:tc>
        <w:tc>
          <w:tcPr>
            <w:tcW w:w="775" w:type="dxa"/>
            <w:tcBorders>
              <w:top w:val="nil"/>
              <w:bottom w:val="nil"/>
              <w:right w:val="single" w:sz="8" w:space="0" w:color="auto"/>
            </w:tcBorders>
            <w:shd w:val="clear" w:color="auto" w:fill="auto"/>
            <w:noWrap/>
            <w:vAlign w:val="center"/>
          </w:tcPr>
          <w:p w14:paraId="5BC17C66"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28CE4B98"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BPA.H041</w:t>
            </w:r>
          </w:p>
        </w:tc>
        <w:tc>
          <w:tcPr>
            <w:tcW w:w="1420" w:type="dxa"/>
            <w:tcBorders>
              <w:top w:val="nil"/>
              <w:left w:val="nil"/>
              <w:bottom w:val="nil"/>
              <w:right w:val="single" w:sz="8" w:space="0" w:color="auto"/>
            </w:tcBorders>
            <w:shd w:val="clear" w:color="auto" w:fill="auto"/>
            <w:noWrap/>
            <w:vAlign w:val="center"/>
            <w:hideMark/>
          </w:tcPr>
          <w:p w14:paraId="0D36C756"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BPA.I041</w:t>
            </w:r>
          </w:p>
        </w:tc>
      </w:tr>
      <w:tr w:rsidR="0008341F" w:rsidRPr="009548D7" w14:paraId="188AB1F7" w14:textId="77777777" w:rsidTr="000525CD">
        <w:trPr>
          <w:trHeight w:val="285"/>
        </w:trPr>
        <w:tc>
          <w:tcPr>
            <w:tcW w:w="4410" w:type="dxa"/>
            <w:tcBorders>
              <w:top w:val="nil"/>
              <w:left w:val="single" w:sz="8" w:space="0" w:color="auto"/>
              <w:bottom w:val="nil"/>
            </w:tcBorders>
            <w:shd w:val="clear" w:color="auto" w:fill="auto"/>
            <w:noWrap/>
            <w:vAlign w:val="center"/>
            <w:hideMark/>
          </w:tcPr>
          <w:p w14:paraId="08C20BBC" w14:textId="3A45E80D" w:rsidR="0008341F" w:rsidRPr="0008341F" w:rsidRDefault="000525CD" w:rsidP="000525CD">
            <w:pPr>
              <w:spacing w:after="0" w:line="240" w:lineRule="auto"/>
              <w:rPr>
                <w:rFonts w:ascii="Arial Narrow" w:eastAsia="Times New Roman" w:hAnsi="Arial Narrow" w:cs="Arial"/>
                <w:sz w:val="16"/>
                <w:szCs w:val="16"/>
                <w:lang w:eastAsia="pt-BR"/>
              </w:rPr>
            </w:pPr>
            <w:r>
              <w:rPr>
                <w:rFonts w:ascii="Arial Narrow" w:eastAsia="Times New Roman" w:hAnsi="Arial Narrow" w:cs="Arial"/>
                <w:b/>
                <w:bCs/>
                <w:sz w:val="16"/>
                <w:szCs w:val="16"/>
                <w:lang w:eastAsia="pt-BR"/>
              </w:rPr>
              <w:t xml:space="preserve">     </w:t>
            </w:r>
            <w:r w:rsidR="0008341F" w:rsidRPr="0008341F">
              <w:rPr>
                <w:rFonts w:ascii="Arial Narrow" w:eastAsia="Times New Roman" w:hAnsi="Arial Narrow" w:cs="Arial"/>
                <w:b/>
                <w:bCs/>
                <w:sz w:val="16"/>
                <w:szCs w:val="16"/>
                <w:lang w:eastAsia="pt-BR"/>
              </w:rPr>
              <w:t>Investimentos</w:t>
            </w:r>
          </w:p>
        </w:tc>
        <w:tc>
          <w:tcPr>
            <w:tcW w:w="767" w:type="dxa"/>
            <w:tcBorders>
              <w:top w:val="nil"/>
              <w:bottom w:val="nil"/>
              <w:right w:val="single" w:sz="4" w:space="0" w:color="auto"/>
            </w:tcBorders>
            <w:shd w:val="clear" w:color="auto" w:fill="auto"/>
            <w:noWrap/>
            <w:vAlign w:val="center"/>
          </w:tcPr>
          <w:p w14:paraId="1748F0FC"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6451A42C"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b/>
                <w:bCs/>
                <w:sz w:val="16"/>
                <w:szCs w:val="16"/>
                <w:lang w:eastAsia="pt-BR"/>
              </w:rPr>
              <w:t>BPA.D041</w:t>
            </w:r>
          </w:p>
        </w:tc>
        <w:tc>
          <w:tcPr>
            <w:tcW w:w="1262" w:type="dxa"/>
            <w:tcBorders>
              <w:top w:val="nil"/>
              <w:left w:val="nil"/>
              <w:bottom w:val="nil"/>
              <w:right w:val="single" w:sz="8" w:space="0" w:color="auto"/>
            </w:tcBorders>
            <w:shd w:val="clear" w:color="auto" w:fill="auto"/>
            <w:noWrap/>
            <w:vAlign w:val="center"/>
            <w:hideMark/>
          </w:tcPr>
          <w:p w14:paraId="2B1427C4"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b/>
                <w:bCs/>
                <w:sz w:val="16"/>
                <w:szCs w:val="16"/>
                <w:lang w:eastAsia="pt-BR"/>
              </w:rPr>
              <w:t>BPA.E041</w:t>
            </w:r>
          </w:p>
        </w:tc>
        <w:tc>
          <w:tcPr>
            <w:tcW w:w="4562" w:type="dxa"/>
            <w:tcBorders>
              <w:top w:val="nil"/>
              <w:left w:val="nil"/>
              <w:bottom w:val="nil"/>
            </w:tcBorders>
            <w:shd w:val="clear" w:color="000000" w:fill="FFFFFF"/>
            <w:noWrap/>
            <w:vAlign w:val="center"/>
            <w:hideMark/>
          </w:tcPr>
          <w:p w14:paraId="3F4666BD" w14:textId="6F76ED9C" w:rsidR="0008341F" w:rsidRPr="0008341F" w:rsidRDefault="00100799" w:rsidP="00100799">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08341F" w:rsidRPr="0008341F">
              <w:rPr>
                <w:rFonts w:ascii="Arial Narrow" w:eastAsia="Times New Roman" w:hAnsi="Arial Narrow" w:cs="Arial"/>
                <w:sz w:val="16"/>
                <w:szCs w:val="16"/>
                <w:lang w:eastAsia="pt-BR"/>
              </w:rPr>
              <w:t>Provisões p/Riscos Decorrentes de Contratos de PPP a Longo Prazo</w:t>
            </w:r>
          </w:p>
        </w:tc>
        <w:tc>
          <w:tcPr>
            <w:tcW w:w="775" w:type="dxa"/>
            <w:tcBorders>
              <w:top w:val="nil"/>
              <w:bottom w:val="nil"/>
              <w:right w:val="single" w:sz="8" w:space="0" w:color="auto"/>
            </w:tcBorders>
            <w:shd w:val="clear" w:color="auto" w:fill="auto"/>
            <w:noWrap/>
            <w:vAlign w:val="center"/>
          </w:tcPr>
          <w:p w14:paraId="0AE04704"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59111C93"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BPA.H042</w:t>
            </w:r>
          </w:p>
        </w:tc>
        <w:tc>
          <w:tcPr>
            <w:tcW w:w="1420" w:type="dxa"/>
            <w:tcBorders>
              <w:top w:val="nil"/>
              <w:left w:val="nil"/>
              <w:bottom w:val="nil"/>
              <w:right w:val="single" w:sz="8" w:space="0" w:color="auto"/>
            </w:tcBorders>
            <w:shd w:val="clear" w:color="auto" w:fill="auto"/>
            <w:noWrap/>
            <w:vAlign w:val="center"/>
            <w:hideMark/>
          </w:tcPr>
          <w:p w14:paraId="00820F1E"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BPA.I042</w:t>
            </w:r>
          </w:p>
        </w:tc>
      </w:tr>
      <w:tr w:rsidR="0008341F" w:rsidRPr="009548D7" w14:paraId="642D1FCB" w14:textId="77777777" w:rsidTr="000525CD">
        <w:trPr>
          <w:trHeight w:val="240"/>
        </w:trPr>
        <w:tc>
          <w:tcPr>
            <w:tcW w:w="4410" w:type="dxa"/>
            <w:tcBorders>
              <w:top w:val="nil"/>
              <w:left w:val="single" w:sz="8" w:space="0" w:color="auto"/>
              <w:bottom w:val="nil"/>
            </w:tcBorders>
            <w:shd w:val="clear" w:color="auto" w:fill="auto"/>
            <w:vAlign w:val="center"/>
            <w:hideMark/>
          </w:tcPr>
          <w:p w14:paraId="1BDA0FD3" w14:textId="35BC17C3" w:rsidR="0008341F" w:rsidRPr="0008341F" w:rsidRDefault="000525CD" w:rsidP="000525CD">
            <w:pPr>
              <w:spacing w:after="0" w:line="240" w:lineRule="auto"/>
              <w:rPr>
                <w:rFonts w:ascii="Arial Narrow" w:eastAsia="Times New Roman" w:hAnsi="Arial Narrow" w:cs="Arial"/>
                <w:b/>
                <w:bCs/>
                <w:sz w:val="16"/>
                <w:szCs w:val="16"/>
                <w:lang w:eastAsia="pt-BR"/>
              </w:rPr>
            </w:pPr>
            <w:r>
              <w:rPr>
                <w:rFonts w:ascii="Arial Narrow" w:eastAsia="Times New Roman" w:hAnsi="Arial Narrow" w:cs="Arial"/>
                <w:sz w:val="16"/>
                <w:szCs w:val="16"/>
                <w:lang w:eastAsia="pt-BR"/>
              </w:rPr>
              <w:t xml:space="preserve">          </w:t>
            </w:r>
            <w:r w:rsidR="0008341F" w:rsidRPr="0008341F">
              <w:rPr>
                <w:rFonts w:ascii="Arial Narrow" w:eastAsia="Times New Roman" w:hAnsi="Arial Narrow" w:cs="Arial"/>
                <w:sz w:val="16"/>
                <w:szCs w:val="16"/>
                <w:lang w:eastAsia="pt-BR"/>
              </w:rPr>
              <w:t>Participações Permanentes</w:t>
            </w:r>
          </w:p>
        </w:tc>
        <w:tc>
          <w:tcPr>
            <w:tcW w:w="767" w:type="dxa"/>
            <w:tcBorders>
              <w:top w:val="nil"/>
              <w:bottom w:val="nil"/>
              <w:right w:val="single" w:sz="4" w:space="0" w:color="auto"/>
            </w:tcBorders>
            <w:shd w:val="clear" w:color="auto" w:fill="auto"/>
            <w:noWrap/>
            <w:vAlign w:val="center"/>
          </w:tcPr>
          <w:p w14:paraId="179DCE62" w14:textId="77777777" w:rsidR="0008341F" w:rsidRPr="009548D7" w:rsidRDefault="0008341F" w:rsidP="000525CD">
            <w:pPr>
              <w:spacing w:after="0" w:line="240" w:lineRule="auto"/>
              <w:jc w:val="center"/>
              <w:rPr>
                <w:rFonts w:ascii="Arial Narrow" w:eastAsia="Times New Roman" w:hAnsi="Arial Narrow" w:cs="Arial"/>
                <w:b/>
                <w:bCs/>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1C0354B1" w14:textId="77777777" w:rsidR="0008341F" w:rsidRPr="009548D7" w:rsidRDefault="0008341F" w:rsidP="000525CD">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sz w:val="16"/>
                <w:szCs w:val="16"/>
                <w:lang w:eastAsia="pt-BR"/>
              </w:rPr>
              <w:t>BPA.D042</w:t>
            </w:r>
          </w:p>
        </w:tc>
        <w:tc>
          <w:tcPr>
            <w:tcW w:w="1262" w:type="dxa"/>
            <w:tcBorders>
              <w:top w:val="nil"/>
              <w:left w:val="nil"/>
              <w:bottom w:val="nil"/>
              <w:right w:val="single" w:sz="8" w:space="0" w:color="auto"/>
            </w:tcBorders>
            <w:shd w:val="clear" w:color="auto" w:fill="auto"/>
            <w:noWrap/>
            <w:vAlign w:val="center"/>
            <w:hideMark/>
          </w:tcPr>
          <w:p w14:paraId="46D4C648" w14:textId="77777777" w:rsidR="0008341F" w:rsidRPr="009548D7" w:rsidRDefault="0008341F" w:rsidP="000525CD">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sz w:val="16"/>
                <w:szCs w:val="16"/>
                <w:lang w:eastAsia="pt-BR"/>
              </w:rPr>
              <w:t>BPA.E042</w:t>
            </w:r>
          </w:p>
        </w:tc>
        <w:tc>
          <w:tcPr>
            <w:tcW w:w="4562" w:type="dxa"/>
            <w:tcBorders>
              <w:top w:val="nil"/>
              <w:left w:val="nil"/>
              <w:bottom w:val="nil"/>
            </w:tcBorders>
            <w:shd w:val="clear" w:color="000000" w:fill="FFFFFF"/>
            <w:noWrap/>
            <w:vAlign w:val="center"/>
            <w:hideMark/>
          </w:tcPr>
          <w:p w14:paraId="6BC78E49" w14:textId="3B833B93" w:rsidR="0008341F" w:rsidRPr="0008341F" w:rsidRDefault="00100799" w:rsidP="00100799">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08341F" w:rsidRPr="0008341F">
              <w:rPr>
                <w:rFonts w:ascii="Arial Narrow" w:eastAsia="Times New Roman" w:hAnsi="Arial Narrow" w:cs="Arial"/>
                <w:sz w:val="16"/>
                <w:szCs w:val="16"/>
                <w:lang w:eastAsia="pt-BR"/>
              </w:rPr>
              <w:t>Provisão p/ Obrigações Decorr. da Atuação Govern. a Longo Prazo</w:t>
            </w:r>
          </w:p>
        </w:tc>
        <w:tc>
          <w:tcPr>
            <w:tcW w:w="775" w:type="dxa"/>
            <w:tcBorders>
              <w:top w:val="nil"/>
              <w:bottom w:val="nil"/>
              <w:right w:val="single" w:sz="8" w:space="0" w:color="auto"/>
            </w:tcBorders>
            <w:shd w:val="clear" w:color="auto" w:fill="auto"/>
            <w:noWrap/>
            <w:vAlign w:val="center"/>
          </w:tcPr>
          <w:p w14:paraId="61AA6BAC"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61F187B7"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C12313">
              <w:rPr>
                <w:rFonts w:ascii="Arial Narrow" w:eastAsia="Times New Roman" w:hAnsi="Arial Narrow" w:cs="Arial"/>
                <w:sz w:val="16"/>
                <w:szCs w:val="16"/>
                <w:lang w:eastAsia="pt-BR"/>
              </w:rPr>
              <w:t>BPA.H073</w:t>
            </w:r>
          </w:p>
        </w:tc>
        <w:tc>
          <w:tcPr>
            <w:tcW w:w="1420" w:type="dxa"/>
            <w:tcBorders>
              <w:top w:val="nil"/>
              <w:left w:val="nil"/>
              <w:bottom w:val="nil"/>
              <w:right w:val="single" w:sz="8" w:space="0" w:color="auto"/>
            </w:tcBorders>
            <w:shd w:val="clear" w:color="auto" w:fill="auto"/>
            <w:noWrap/>
            <w:vAlign w:val="center"/>
            <w:hideMark/>
          </w:tcPr>
          <w:p w14:paraId="09F05658"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C12313">
              <w:rPr>
                <w:rFonts w:ascii="Arial Narrow" w:eastAsia="Times New Roman" w:hAnsi="Arial Narrow" w:cs="Arial"/>
                <w:sz w:val="16"/>
                <w:szCs w:val="16"/>
                <w:lang w:eastAsia="pt-BR"/>
              </w:rPr>
              <w:t>BPA.I073</w:t>
            </w:r>
          </w:p>
        </w:tc>
      </w:tr>
      <w:tr w:rsidR="000525CD" w:rsidRPr="006B69C6" w14:paraId="29680D2A" w14:textId="77777777" w:rsidTr="000525CD">
        <w:trPr>
          <w:trHeight w:val="255"/>
        </w:trPr>
        <w:tc>
          <w:tcPr>
            <w:tcW w:w="5177" w:type="dxa"/>
            <w:gridSpan w:val="2"/>
            <w:tcBorders>
              <w:top w:val="nil"/>
              <w:left w:val="single" w:sz="8" w:space="0" w:color="auto"/>
              <w:bottom w:val="nil"/>
              <w:right w:val="single" w:sz="4" w:space="0" w:color="auto"/>
            </w:tcBorders>
            <w:shd w:val="clear" w:color="auto" w:fill="auto"/>
            <w:noWrap/>
            <w:vAlign w:val="center"/>
            <w:hideMark/>
          </w:tcPr>
          <w:p w14:paraId="02F5DFCB" w14:textId="0C3FEFE5" w:rsidR="000525CD" w:rsidRPr="009548D7" w:rsidRDefault="000525CD" w:rsidP="000525CD">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Pr="0008341F">
              <w:rPr>
                <w:rFonts w:ascii="Arial Narrow" w:eastAsia="Times New Roman" w:hAnsi="Arial Narrow" w:cs="Arial"/>
                <w:sz w:val="16"/>
                <w:szCs w:val="16"/>
                <w:lang w:eastAsia="pt-BR"/>
              </w:rPr>
              <w:t>Participações Avaliadas pelo Método de Equivalência Patrimonial</w:t>
            </w:r>
          </w:p>
        </w:tc>
        <w:tc>
          <w:tcPr>
            <w:tcW w:w="1063" w:type="dxa"/>
            <w:tcBorders>
              <w:top w:val="nil"/>
              <w:left w:val="single" w:sz="4" w:space="0" w:color="auto"/>
              <w:bottom w:val="nil"/>
              <w:right w:val="single" w:sz="8" w:space="0" w:color="auto"/>
            </w:tcBorders>
            <w:shd w:val="clear" w:color="auto" w:fill="auto"/>
            <w:noWrap/>
            <w:hideMark/>
          </w:tcPr>
          <w:p w14:paraId="2D970E5E" w14:textId="77777777" w:rsidR="000525CD" w:rsidRPr="009548D7" w:rsidRDefault="000525CD"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BPA.D043</w:t>
            </w:r>
          </w:p>
        </w:tc>
        <w:tc>
          <w:tcPr>
            <w:tcW w:w="1262" w:type="dxa"/>
            <w:tcBorders>
              <w:top w:val="nil"/>
              <w:left w:val="nil"/>
              <w:bottom w:val="nil"/>
              <w:right w:val="single" w:sz="8" w:space="0" w:color="auto"/>
            </w:tcBorders>
            <w:shd w:val="clear" w:color="auto" w:fill="auto"/>
            <w:noWrap/>
            <w:hideMark/>
          </w:tcPr>
          <w:p w14:paraId="170EF8A8" w14:textId="77777777" w:rsidR="000525CD" w:rsidRPr="009548D7" w:rsidRDefault="000525CD"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BPA.E043</w:t>
            </w:r>
          </w:p>
        </w:tc>
        <w:tc>
          <w:tcPr>
            <w:tcW w:w="4562" w:type="dxa"/>
            <w:tcBorders>
              <w:top w:val="nil"/>
              <w:left w:val="nil"/>
              <w:bottom w:val="nil"/>
            </w:tcBorders>
            <w:shd w:val="clear" w:color="000000" w:fill="FFFFFF"/>
            <w:noWrap/>
            <w:vAlign w:val="center"/>
            <w:hideMark/>
          </w:tcPr>
          <w:p w14:paraId="3465FA9B" w14:textId="0D36C1B5" w:rsidR="000525CD" w:rsidRPr="0008341F" w:rsidRDefault="00100799" w:rsidP="00100799">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0525CD" w:rsidRPr="0008341F">
              <w:rPr>
                <w:rFonts w:ascii="Arial Narrow" w:eastAsia="Times New Roman" w:hAnsi="Arial Narrow" w:cs="Arial"/>
                <w:sz w:val="16"/>
                <w:szCs w:val="16"/>
                <w:lang w:eastAsia="pt-BR"/>
              </w:rPr>
              <w:t>Outras Provisões a Longo Prazo</w:t>
            </w:r>
          </w:p>
        </w:tc>
        <w:tc>
          <w:tcPr>
            <w:tcW w:w="775" w:type="dxa"/>
            <w:tcBorders>
              <w:top w:val="nil"/>
              <w:bottom w:val="nil"/>
              <w:right w:val="single" w:sz="8" w:space="0" w:color="auto"/>
            </w:tcBorders>
            <w:shd w:val="clear" w:color="auto" w:fill="auto"/>
            <w:noWrap/>
            <w:vAlign w:val="center"/>
          </w:tcPr>
          <w:p w14:paraId="474BE147" w14:textId="77777777" w:rsidR="000525CD" w:rsidRPr="006B69C6" w:rsidRDefault="000525CD"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450E39E2" w14:textId="77777777" w:rsidR="000525CD" w:rsidRPr="006B69C6" w:rsidRDefault="000525CD"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BPA.H043</w:t>
            </w:r>
          </w:p>
        </w:tc>
        <w:tc>
          <w:tcPr>
            <w:tcW w:w="1420" w:type="dxa"/>
            <w:tcBorders>
              <w:top w:val="nil"/>
              <w:left w:val="nil"/>
              <w:bottom w:val="nil"/>
              <w:right w:val="single" w:sz="8" w:space="0" w:color="auto"/>
            </w:tcBorders>
            <w:shd w:val="clear" w:color="auto" w:fill="auto"/>
            <w:noWrap/>
            <w:vAlign w:val="center"/>
            <w:hideMark/>
          </w:tcPr>
          <w:p w14:paraId="4DCF6BD1" w14:textId="77777777" w:rsidR="000525CD" w:rsidRPr="006B69C6" w:rsidRDefault="000525CD"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BPA.I043</w:t>
            </w:r>
          </w:p>
        </w:tc>
      </w:tr>
      <w:tr w:rsidR="0008341F" w:rsidRPr="009548D7" w14:paraId="55358598" w14:textId="77777777" w:rsidTr="000525CD">
        <w:trPr>
          <w:trHeight w:hRule="exact" w:val="312"/>
        </w:trPr>
        <w:tc>
          <w:tcPr>
            <w:tcW w:w="4410" w:type="dxa"/>
            <w:tcBorders>
              <w:top w:val="nil"/>
              <w:left w:val="single" w:sz="8" w:space="0" w:color="auto"/>
              <w:bottom w:val="nil"/>
            </w:tcBorders>
            <w:shd w:val="clear" w:color="auto" w:fill="auto"/>
            <w:noWrap/>
            <w:vAlign w:val="center"/>
          </w:tcPr>
          <w:p w14:paraId="17CDCEBD" w14:textId="4037F438" w:rsidR="0008341F" w:rsidRPr="0008341F" w:rsidRDefault="000525CD" w:rsidP="000525CD">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08341F" w:rsidRPr="0008341F">
              <w:rPr>
                <w:rFonts w:ascii="Arial Narrow" w:eastAsia="Times New Roman" w:hAnsi="Arial Narrow" w:cs="Arial"/>
                <w:sz w:val="16"/>
                <w:szCs w:val="16"/>
                <w:lang w:eastAsia="pt-BR"/>
              </w:rPr>
              <w:t>Participações Avaliadas pelo Método de Custo</w:t>
            </w:r>
          </w:p>
        </w:tc>
        <w:tc>
          <w:tcPr>
            <w:tcW w:w="767" w:type="dxa"/>
            <w:tcBorders>
              <w:top w:val="nil"/>
              <w:bottom w:val="nil"/>
              <w:right w:val="single" w:sz="4" w:space="0" w:color="auto"/>
            </w:tcBorders>
            <w:shd w:val="clear" w:color="auto" w:fill="auto"/>
            <w:noWrap/>
            <w:vAlign w:val="center"/>
          </w:tcPr>
          <w:p w14:paraId="4D80F144"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tcPr>
          <w:p w14:paraId="66B497EA"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BPA.D044</w:t>
            </w:r>
          </w:p>
        </w:tc>
        <w:tc>
          <w:tcPr>
            <w:tcW w:w="1262" w:type="dxa"/>
            <w:tcBorders>
              <w:top w:val="nil"/>
              <w:left w:val="nil"/>
              <w:bottom w:val="nil"/>
              <w:right w:val="single" w:sz="8" w:space="0" w:color="auto"/>
            </w:tcBorders>
            <w:shd w:val="clear" w:color="auto" w:fill="auto"/>
            <w:noWrap/>
            <w:vAlign w:val="center"/>
          </w:tcPr>
          <w:p w14:paraId="3934E086"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BPA.E044</w:t>
            </w:r>
          </w:p>
        </w:tc>
        <w:tc>
          <w:tcPr>
            <w:tcW w:w="4562" w:type="dxa"/>
            <w:tcBorders>
              <w:top w:val="nil"/>
              <w:left w:val="nil"/>
              <w:bottom w:val="nil"/>
            </w:tcBorders>
            <w:shd w:val="clear" w:color="000000" w:fill="FFFFFF"/>
            <w:noWrap/>
            <w:vAlign w:val="center"/>
          </w:tcPr>
          <w:p w14:paraId="3C963977" w14:textId="080D038E" w:rsidR="0008341F" w:rsidRPr="0008341F" w:rsidRDefault="00100799" w:rsidP="000525CD">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08341F" w:rsidRPr="0008341F">
              <w:rPr>
                <w:rFonts w:ascii="Arial Narrow" w:eastAsia="Times New Roman" w:hAnsi="Arial Narrow" w:cs="Arial"/>
                <w:sz w:val="16"/>
                <w:szCs w:val="16"/>
                <w:lang w:eastAsia="pt-BR"/>
              </w:rPr>
              <w:t>Demais Obrigações a Longo Prazo</w:t>
            </w:r>
          </w:p>
        </w:tc>
        <w:tc>
          <w:tcPr>
            <w:tcW w:w="775" w:type="dxa"/>
            <w:tcBorders>
              <w:top w:val="nil"/>
              <w:bottom w:val="nil"/>
              <w:right w:val="single" w:sz="8" w:space="0" w:color="auto"/>
            </w:tcBorders>
            <w:shd w:val="clear" w:color="auto" w:fill="auto"/>
            <w:noWrap/>
            <w:vAlign w:val="center"/>
          </w:tcPr>
          <w:p w14:paraId="6A275A54"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tcPr>
          <w:p w14:paraId="02C12907"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BPA.H044</w:t>
            </w:r>
          </w:p>
        </w:tc>
        <w:tc>
          <w:tcPr>
            <w:tcW w:w="1420" w:type="dxa"/>
            <w:tcBorders>
              <w:top w:val="nil"/>
              <w:left w:val="nil"/>
              <w:bottom w:val="nil"/>
              <w:right w:val="single" w:sz="8" w:space="0" w:color="auto"/>
            </w:tcBorders>
            <w:shd w:val="clear" w:color="auto" w:fill="auto"/>
            <w:noWrap/>
            <w:vAlign w:val="center"/>
          </w:tcPr>
          <w:p w14:paraId="474FA338"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BPA.I044</w:t>
            </w:r>
          </w:p>
        </w:tc>
      </w:tr>
      <w:tr w:rsidR="000525CD" w:rsidRPr="009548D7" w14:paraId="0531AB75" w14:textId="77777777" w:rsidTr="000525CD">
        <w:trPr>
          <w:trHeight w:val="255"/>
        </w:trPr>
        <w:tc>
          <w:tcPr>
            <w:tcW w:w="5177" w:type="dxa"/>
            <w:gridSpan w:val="2"/>
            <w:tcBorders>
              <w:top w:val="nil"/>
              <w:left w:val="single" w:sz="8" w:space="0" w:color="auto"/>
              <w:bottom w:val="nil"/>
              <w:right w:val="single" w:sz="4" w:space="0" w:color="auto"/>
            </w:tcBorders>
            <w:shd w:val="clear" w:color="auto" w:fill="auto"/>
            <w:noWrap/>
            <w:vAlign w:val="center"/>
            <w:hideMark/>
          </w:tcPr>
          <w:p w14:paraId="67115020" w14:textId="6D607235" w:rsidR="000525CD" w:rsidRPr="009548D7" w:rsidRDefault="000525CD" w:rsidP="000525CD">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Pr="0008341F">
              <w:rPr>
                <w:rFonts w:ascii="Arial Narrow" w:eastAsia="Times New Roman" w:hAnsi="Arial Narrow" w:cs="Arial"/>
                <w:sz w:val="16"/>
                <w:szCs w:val="16"/>
                <w:lang w:eastAsia="pt-BR"/>
              </w:rPr>
              <w:t>(-) Redução ao Valor Recuperável de Participações</w:t>
            </w:r>
            <w:r>
              <w:rPr>
                <w:rFonts w:ascii="Arial Narrow" w:eastAsia="Times New Roman" w:hAnsi="Arial Narrow" w:cs="Arial"/>
                <w:sz w:val="16"/>
                <w:szCs w:val="16"/>
                <w:lang w:eastAsia="pt-BR"/>
              </w:rPr>
              <w:t xml:space="preserve"> </w:t>
            </w:r>
            <w:r w:rsidRPr="0008341F">
              <w:rPr>
                <w:rFonts w:ascii="Arial Narrow" w:eastAsia="Times New Roman" w:hAnsi="Arial Narrow" w:cs="Arial"/>
                <w:sz w:val="16"/>
                <w:szCs w:val="16"/>
                <w:lang w:eastAsia="pt-BR"/>
              </w:rPr>
              <w:t>Permanentes</w:t>
            </w:r>
          </w:p>
        </w:tc>
        <w:tc>
          <w:tcPr>
            <w:tcW w:w="1063" w:type="dxa"/>
            <w:tcBorders>
              <w:top w:val="nil"/>
              <w:left w:val="single" w:sz="4" w:space="0" w:color="auto"/>
              <w:bottom w:val="nil"/>
              <w:right w:val="single" w:sz="8" w:space="0" w:color="auto"/>
            </w:tcBorders>
            <w:shd w:val="clear" w:color="auto" w:fill="auto"/>
            <w:noWrap/>
            <w:vAlign w:val="center"/>
            <w:hideMark/>
          </w:tcPr>
          <w:p w14:paraId="1E3BD65C" w14:textId="77777777" w:rsidR="000525CD" w:rsidRPr="009548D7" w:rsidRDefault="000525CD"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BPA.D045</w:t>
            </w:r>
          </w:p>
        </w:tc>
        <w:tc>
          <w:tcPr>
            <w:tcW w:w="1262" w:type="dxa"/>
            <w:tcBorders>
              <w:top w:val="nil"/>
              <w:left w:val="nil"/>
              <w:bottom w:val="nil"/>
              <w:right w:val="single" w:sz="8" w:space="0" w:color="auto"/>
            </w:tcBorders>
            <w:shd w:val="clear" w:color="auto" w:fill="auto"/>
            <w:noWrap/>
            <w:vAlign w:val="center"/>
            <w:hideMark/>
          </w:tcPr>
          <w:p w14:paraId="789B5A97" w14:textId="77777777" w:rsidR="000525CD" w:rsidRPr="009548D7" w:rsidRDefault="000525CD"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BPA.E045</w:t>
            </w:r>
          </w:p>
        </w:tc>
        <w:tc>
          <w:tcPr>
            <w:tcW w:w="4562" w:type="dxa"/>
            <w:tcBorders>
              <w:top w:val="nil"/>
              <w:left w:val="nil"/>
              <w:bottom w:val="nil"/>
            </w:tcBorders>
            <w:shd w:val="clear" w:color="000000" w:fill="FFFFFF"/>
            <w:noWrap/>
            <w:vAlign w:val="center"/>
            <w:hideMark/>
          </w:tcPr>
          <w:p w14:paraId="7AEF4485" w14:textId="148AD32B" w:rsidR="000525CD" w:rsidRPr="0008341F" w:rsidRDefault="00100799" w:rsidP="00100799">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0525CD" w:rsidRPr="0008341F">
              <w:rPr>
                <w:rFonts w:ascii="Arial Narrow" w:eastAsia="Times New Roman" w:hAnsi="Arial Narrow" w:cs="Arial"/>
                <w:sz w:val="16"/>
                <w:szCs w:val="16"/>
                <w:lang w:eastAsia="pt-BR"/>
              </w:rPr>
              <w:t>Resultado Diferido</w:t>
            </w:r>
          </w:p>
        </w:tc>
        <w:tc>
          <w:tcPr>
            <w:tcW w:w="775" w:type="dxa"/>
            <w:tcBorders>
              <w:top w:val="nil"/>
              <w:bottom w:val="nil"/>
              <w:right w:val="single" w:sz="8" w:space="0" w:color="auto"/>
            </w:tcBorders>
            <w:shd w:val="clear" w:color="auto" w:fill="auto"/>
            <w:noWrap/>
            <w:vAlign w:val="center"/>
          </w:tcPr>
          <w:p w14:paraId="48249149" w14:textId="77777777" w:rsidR="000525CD" w:rsidRPr="009548D7" w:rsidRDefault="000525CD"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3DE677CF" w14:textId="77777777" w:rsidR="000525CD" w:rsidRPr="009548D7" w:rsidRDefault="000525CD"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BPA.H045</w:t>
            </w:r>
          </w:p>
        </w:tc>
        <w:tc>
          <w:tcPr>
            <w:tcW w:w="1420" w:type="dxa"/>
            <w:tcBorders>
              <w:top w:val="nil"/>
              <w:left w:val="nil"/>
              <w:bottom w:val="nil"/>
              <w:right w:val="single" w:sz="8" w:space="0" w:color="auto"/>
            </w:tcBorders>
            <w:shd w:val="clear" w:color="auto" w:fill="auto"/>
            <w:noWrap/>
            <w:vAlign w:val="center"/>
            <w:hideMark/>
          </w:tcPr>
          <w:p w14:paraId="4D8F1551" w14:textId="77777777" w:rsidR="000525CD" w:rsidRPr="009548D7" w:rsidRDefault="000525CD"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BPA.I045</w:t>
            </w:r>
          </w:p>
        </w:tc>
      </w:tr>
      <w:tr w:rsidR="0008341F" w:rsidRPr="009548D7" w14:paraId="78598F8C" w14:textId="77777777" w:rsidTr="000525CD">
        <w:trPr>
          <w:trHeight w:val="255"/>
        </w:trPr>
        <w:tc>
          <w:tcPr>
            <w:tcW w:w="4410" w:type="dxa"/>
            <w:tcBorders>
              <w:top w:val="nil"/>
              <w:left w:val="single" w:sz="8" w:space="0" w:color="auto"/>
              <w:bottom w:val="nil"/>
            </w:tcBorders>
            <w:shd w:val="clear" w:color="auto" w:fill="auto"/>
            <w:noWrap/>
            <w:vAlign w:val="center"/>
            <w:hideMark/>
          </w:tcPr>
          <w:p w14:paraId="5D8B519D" w14:textId="4E111A80" w:rsidR="0008341F" w:rsidRPr="009548D7" w:rsidRDefault="000525CD" w:rsidP="000525CD">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08341F" w:rsidRPr="009548D7">
              <w:rPr>
                <w:rFonts w:ascii="Arial Narrow" w:eastAsia="Times New Roman" w:hAnsi="Arial Narrow" w:cs="Arial"/>
                <w:sz w:val="16"/>
                <w:szCs w:val="16"/>
                <w:lang w:eastAsia="pt-BR"/>
              </w:rPr>
              <w:t>Propriedades para Investimento</w:t>
            </w:r>
          </w:p>
        </w:tc>
        <w:tc>
          <w:tcPr>
            <w:tcW w:w="767" w:type="dxa"/>
            <w:tcBorders>
              <w:top w:val="nil"/>
              <w:bottom w:val="nil"/>
              <w:right w:val="single" w:sz="4" w:space="0" w:color="auto"/>
            </w:tcBorders>
            <w:shd w:val="clear" w:color="auto" w:fill="auto"/>
            <w:noWrap/>
            <w:vAlign w:val="center"/>
          </w:tcPr>
          <w:p w14:paraId="44C6D105"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1A4D969E"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BPA.D046</w:t>
            </w:r>
          </w:p>
        </w:tc>
        <w:tc>
          <w:tcPr>
            <w:tcW w:w="1262" w:type="dxa"/>
            <w:tcBorders>
              <w:top w:val="nil"/>
              <w:left w:val="nil"/>
              <w:bottom w:val="nil"/>
              <w:right w:val="single" w:sz="8" w:space="0" w:color="auto"/>
            </w:tcBorders>
            <w:shd w:val="clear" w:color="auto" w:fill="auto"/>
            <w:noWrap/>
            <w:vAlign w:val="center"/>
            <w:hideMark/>
          </w:tcPr>
          <w:p w14:paraId="2D97F128"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BPA.E046</w:t>
            </w:r>
          </w:p>
        </w:tc>
        <w:tc>
          <w:tcPr>
            <w:tcW w:w="4562" w:type="dxa"/>
            <w:tcBorders>
              <w:top w:val="nil"/>
              <w:left w:val="nil"/>
              <w:bottom w:val="nil"/>
            </w:tcBorders>
            <w:shd w:val="clear" w:color="auto" w:fill="auto"/>
            <w:noWrap/>
            <w:vAlign w:val="center"/>
          </w:tcPr>
          <w:p w14:paraId="390B697E" w14:textId="77777777" w:rsidR="0008341F" w:rsidRPr="009548D7" w:rsidRDefault="0008341F" w:rsidP="000525CD">
            <w:pPr>
              <w:spacing w:after="0" w:line="240" w:lineRule="auto"/>
              <w:rPr>
                <w:rFonts w:ascii="Arial Narrow" w:eastAsia="Times New Roman" w:hAnsi="Arial Narrow" w:cs="Arial"/>
                <w:sz w:val="16"/>
                <w:szCs w:val="16"/>
                <w:lang w:eastAsia="pt-BR"/>
              </w:rPr>
            </w:pPr>
          </w:p>
        </w:tc>
        <w:tc>
          <w:tcPr>
            <w:tcW w:w="775" w:type="dxa"/>
            <w:tcBorders>
              <w:top w:val="nil"/>
              <w:bottom w:val="nil"/>
              <w:right w:val="single" w:sz="8" w:space="0" w:color="auto"/>
            </w:tcBorders>
            <w:shd w:val="clear" w:color="auto" w:fill="auto"/>
            <w:noWrap/>
            <w:vAlign w:val="center"/>
          </w:tcPr>
          <w:p w14:paraId="05DAD813"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tcPr>
          <w:p w14:paraId="37A00773"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p>
        </w:tc>
        <w:tc>
          <w:tcPr>
            <w:tcW w:w="1420" w:type="dxa"/>
            <w:tcBorders>
              <w:top w:val="nil"/>
              <w:left w:val="nil"/>
              <w:bottom w:val="nil"/>
              <w:right w:val="single" w:sz="8" w:space="0" w:color="auto"/>
            </w:tcBorders>
            <w:shd w:val="clear" w:color="auto" w:fill="auto"/>
            <w:noWrap/>
            <w:vAlign w:val="center"/>
          </w:tcPr>
          <w:p w14:paraId="114AA99C"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p>
        </w:tc>
      </w:tr>
      <w:tr w:rsidR="0008341F" w:rsidRPr="009548D7" w14:paraId="45A68B60" w14:textId="77777777" w:rsidTr="000525CD">
        <w:trPr>
          <w:trHeight w:val="255"/>
        </w:trPr>
        <w:tc>
          <w:tcPr>
            <w:tcW w:w="4410" w:type="dxa"/>
            <w:tcBorders>
              <w:top w:val="nil"/>
              <w:left w:val="single" w:sz="8" w:space="0" w:color="auto"/>
              <w:bottom w:val="nil"/>
            </w:tcBorders>
            <w:shd w:val="clear" w:color="auto" w:fill="auto"/>
            <w:noWrap/>
            <w:vAlign w:val="center"/>
            <w:hideMark/>
          </w:tcPr>
          <w:p w14:paraId="1EE4F1CF" w14:textId="47C48E5E" w:rsidR="0008341F" w:rsidRPr="009548D7" w:rsidRDefault="000525CD" w:rsidP="000525CD">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08341F" w:rsidRPr="009548D7">
              <w:rPr>
                <w:rFonts w:ascii="Arial Narrow" w:eastAsia="Times New Roman" w:hAnsi="Arial Narrow" w:cs="Arial"/>
                <w:sz w:val="16"/>
                <w:szCs w:val="16"/>
                <w:lang w:eastAsia="pt-BR"/>
              </w:rPr>
              <w:t>(-) Depreciação Acumulada de Propriedades para Investimento</w:t>
            </w:r>
          </w:p>
        </w:tc>
        <w:tc>
          <w:tcPr>
            <w:tcW w:w="767" w:type="dxa"/>
            <w:tcBorders>
              <w:top w:val="nil"/>
              <w:bottom w:val="nil"/>
              <w:right w:val="single" w:sz="4" w:space="0" w:color="auto"/>
            </w:tcBorders>
            <w:shd w:val="clear" w:color="auto" w:fill="auto"/>
            <w:noWrap/>
            <w:vAlign w:val="center"/>
          </w:tcPr>
          <w:p w14:paraId="501D6718"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1308D5D8"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BPA.D047</w:t>
            </w:r>
          </w:p>
        </w:tc>
        <w:tc>
          <w:tcPr>
            <w:tcW w:w="1262" w:type="dxa"/>
            <w:tcBorders>
              <w:top w:val="nil"/>
              <w:left w:val="nil"/>
              <w:bottom w:val="nil"/>
              <w:right w:val="single" w:sz="8" w:space="0" w:color="auto"/>
            </w:tcBorders>
            <w:shd w:val="clear" w:color="auto" w:fill="auto"/>
            <w:noWrap/>
            <w:vAlign w:val="center"/>
            <w:hideMark/>
          </w:tcPr>
          <w:p w14:paraId="550075F1"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BPA.E047</w:t>
            </w:r>
          </w:p>
        </w:tc>
        <w:tc>
          <w:tcPr>
            <w:tcW w:w="4562" w:type="dxa"/>
            <w:tcBorders>
              <w:top w:val="nil"/>
              <w:left w:val="nil"/>
              <w:bottom w:val="nil"/>
            </w:tcBorders>
            <w:shd w:val="clear" w:color="auto" w:fill="auto"/>
            <w:noWrap/>
            <w:vAlign w:val="center"/>
            <w:hideMark/>
          </w:tcPr>
          <w:p w14:paraId="0DB97A6B" w14:textId="77777777" w:rsidR="0008341F" w:rsidRPr="009548D7" w:rsidRDefault="0008341F" w:rsidP="000525CD">
            <w:pPr>
              <w:spacing w:after="0" w:line="240" w:lineRule="auto"/>
              <w:ind w:firstLineChars="100" w:firstLine="160"/>
              <w:rPr>
                <w:rFonts w:ascii="Arial Narrow" w:eastAsia="Times New Roman" w:hAnsi="Arial Narrow" w:cs="Arial"/>
                <w:sz w:val="16"/>
                <w:szCs w:val="16"/>
                <w:lang w:eastAsia="pt-BR"/>
              </w:rPr>
            </w:pPr>
          </w:p>
        </w:tc>
        <w:tc>
          <w:tcPr>
            <w:tcW w:w="775" w:type="dxa"/>
            <w:tcBorders>
              <w:top w:val="nil"/>
              <w:bottom w:val="nil"/>
              <w:right w:val="single" w:sz="8" w:space="0" w:color="auto"/>
            </w:tcBorders>
            <w:shd w:val="clear" w:color="auto" w:fill="auto"/>
            <w:noWrap/>
            <w:vAlign w:val="center"/>
          </w:tcPr>
          <w:p w14:paraId="1F9A0283"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725F126F"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p>
        </w:tc>
        <w:tc>
          <w:tcPr>
            <w:tcW w:w="1420" w:type="dxa"/>
            <w:tcBorders>
              <w:top w:val="nil"/>
              <w:left w:val="nil"/>
              <w:bottom w:val="nil"/>
              <w:right w:val="single" w:sz="8" w:space="0" w:color="auto"/>
            </w:tcBorders>
            <w:shd w:val="clear" w:color="auto" w:fill="auto"/>
            <w:noWrap/>
            <w:vAlign w:val="center"/>
            <w:hideMark/>
          </w:tcPr>
          <w:p w14:paraId="44532B07"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p>
        </w:tc>
      </w:tr>
      <w:tr w:rsidR="0008341F" w:rsidRPr="009548D7" w14:paraId="5B058B8F" w14:textId="77777777" w:rsidTr="000525CD">
        <w:trPr>
          <w:trHeight w:val="255"/>
        </w:trPr>
        <w:tc>
          <w:tcPr>
            <w:tcW w:w="5177" w:type="dxa"/>
            <w:gridSpan w:val="2"/>
            <w:tcBorders>
              <w:top w:val="nil"/>
              <w:left w:val="single" w:sz="8" w:space="0" w:color="auto"/>
              <w:bottom w:val="nil"/>
              <w:right w:val="single" w:sz="4" w:space="0" w:color="auto"/>
            </w:tcBorders>
            <w:shd w:val="clear" w:color="auto" w:fill="auto"/>
            <w:noWrap/>
            <w:vAlign w:val="center"/>
            <w:hideMark/>
          </w:tcPr>
          <w:p w14:paraId="5A2BB812" w14:textId="56CFE04E" w:rsidR="0008341F" w:rsidRPr="009548D7" w:rsidRDefault="000525CD" w:rsidP="0008341F">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08341F" w:rsidRPr="009548D7">
              <w:rPr>
                <w:rFonts w:ascii="Arial Narrow" w:eastAsia="Times New Roman" w:hAnsi="Arial Narrow" w:cs="Arial"/>
                <w:sz w:val="16"/>
                <w:szCs w:val="16"/>
                <w:lang w:eastAsia="pt-BR"/>
              </w:rPr>
              <w:t>(-) Redução ao Valor Recuperável de Propriedades para Investimento</w:t>
            </w:r>
          </w:p>
        </w:tc>
        <w:tc>
          <w:tcPr>
            <w:tcW w:w="1063" w:type="dxa"/>
            <w:tcBorders>
              <w:top w:val="nil"/>
              <w:left w:val="single" w:sz="4" w:space="0" w:color="auto"/>
              <w:bottom w:val="nil"/>
              <w:right w:val="single" w:sz="8" w:space="0" w:color="auto"/>
            </w:tcBorders>
            <w:shd w:val="clear" w:color="auto" w:fill="auto"/>
            <w:noWrap/>
            <w:vAlign w:val="center"/>
            <w:hideMark/>
          </w:tcPr>
          <w:p w14:paraId="5A4176BC"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BPA.D048</w:t>
            </w:r>
          </w:p>
        </w:tc>
        <w:tc>
          <w:tcPr>
            <w:tcW w:w="1262" w:type="dxa"/>
            <w:tcBorders>
              <w:top w:val="nil"/>
              <w:left w:val="nil"/>
              <w:bottom w:val="nil"/>
              <w:right w:val="single" w:sz="8" w:space="0" w:color="auto"/>
            </w:tcBorders>
            <w:shd w:val="clear" w:color="auto" w:fill="auto"/>
            <w:noWrap/>
            <w:vAlign w:val="center"/>
            <w:hideMark/>
          </w:tcPr>
          <w:p w14:paraId="1C74EF3A"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BPA.E048</w:t>
            </w:r>
          </w:p>
        </w:tc>
        <w:tc>
          <w:tcPr>
            <w:tcW w:w="4562" w:type="dxa"/>
            <w:tcBorders>
              <w:top w:val="nil"/>
              <w:left w:val="nil"/>
              <w:bottom w:val="nil"/>
            </w:tcBorders>
            <w:shd w:val="clear" w:color="auto" w:fill="auto"/>
            <w:noWrap/>
            <w:vAlign w:val="center"/>
            <w:hideMark/>
          </w:tcPr>
          <w:p w14:paraId="4D0A513F" w14:textId="77777777" w:rsidR="0008341F" w:rsidRPr="009548D7" w:rsidRDefault="0008341F" w:rsidP="000525CD">
            <w:pPr>
              <w:spacing w:after="0" w:line="240" w:lineRule="auto"/>
              <w:rPr>
                <w:rFonts w:ascii="Arial Narrow" w:eastAsia="Times New Roman" w:hAnsi="Arial Narrow" w:cs="Arial"/>
                <w:color w:val="0070C0"/>
                <w:sz w:val="16"/>
                <w:szCs w:val="16"/>
                <w:lang w:eastAsia="pt-BR"/>
              </w:rPr>
            </w:pPr>
            <w:r w:rsidRPr="009548D7">
              <w:rPr>
                <w:rFonts w:ascii="Arial Narrow" w:eastAsia="Times New Roman" w:hAnsi="Arial Narrow" w:cs="Arial"/>
                <w:color w:val="0070C0"/>
                <w:sz w:val="16"/>
                <w:szCs w:val="16"/>
                <w:lang w:eastAsia="pt-BR"/>
              </w:rPr>
              <w:t> </w:t>
            </w:r>
          </w:p>
        </w:tc>
        <w:tc>
          <w:tcPr>
            <w:tcW w:w="775" w:type="dxa"/>
            <w:tcBorders>
              <w:top w:val="nil"/>
              <w:bottom w:val="nil"/>
              <w:right w:val="single" w:sz="8" w:space="0" w:color="auto"/>
            </w:tcBorders>
            <w:shd w:val="clear" w:color="auto" w:fill="auto"/>
            <w:noWrap/>
            <w:vAlign w:val="center"/>
          </w:tcPr>
          <w:p w14:paraId="1FDBBB2D" w14:textId="77777777" w:rsidR="0008341F" w:rsidRPr="009548D7" w:rsidRDefault="0008341F" w:rsidP="000525CD">
            <w:pPr>
              <w:spacing w:after="0" w:line="240" w:lineRule="auto"/>
              <w:rPr>
                <w:rFonts w:ascii="Arial Narrow" w:eastAsia="Times New Roman" w:hAnsi="Arial Narrow" w:cs="Arial"/>
                <w:color w:val="0070C0"/>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4BA8664B" w14:textId="77777777" w:rsidR="0008341F" w:rsidRPr="009548D7" w:rsidRDefault="0008341F" w:rsidP="000525CD">
            <w:pPr>
              <w:spacing w:after="0" w:line="240" w:lineRule="auto"/>
              <w:jc w:val="center"/>
              <w:rPr>
                <w:rFonts w:ascii="Arial Narrow" w:eastAsia="Times New Roman" w:hAnsi="Arial Narrow" w:cs="Arial"/>
                <w:color w:val="0070C0"/>
                <w:sz w:val="16"/>
                <w:szCs w:val="16"/>
                <w:lang w:eastAsia="pt-BR"/>
              </w:rPr>
            </w:pPr>
            <w:r w:rsidRPr="009548D7">
              <w:rPr>
                <w:rFonts w:ascii="Arial Narrow" w:eastAsia="Times New Roman" w:hAnsi="Arial Narrow" w:cs="Arial"/>
                <w:color w:val="0070C0"/>
                <w:sz w:val="16"/>
                <w:szCs w:val="16"/>
                <w:lang w:eastAsia="pt-BR"/>
              </w:rPr>
              <w:t> </w:t>
            </w:r>
          </w:p>
        </w:tc>
        <w:tc>
          <w:tcPr>
            <w:tcW w:w="1420" w:type="dxa"/>
            <w:tcBorders>
              <w:top w:val="nil"/>
              <w:left w:val="nil"/>
              <w:bottom w:val="nil"/>
              <w:right w:val="single" w:sz="8" w:space="0" w:color="auto"/>
            </w:tcBorders>
            <w:shd w:val="clear" w:color="auto" w:fill="auto"/>
            <w:noWrap/>
            <w:vAlign w:val="center"/>
            <w:hideMark/>
          </w:tcPr>
          <w:p w14:paraId="166926E3" w14:textId="77777777" w:rsidR="0008341F" w:rsidRPr="009548D7" w:rsidRDefault="0008341F" w:rsidP="000525CD">
            <w:pPr>
              <w:spacing w:after="0" w:line="240" w:lineRule="auto"/>
              <w:rPr>
                <w:rFonts w:ascii="Arial Narrow" w:eastAsia="Times New Roman" w:hAnsi="Arial Narrow" w:cs="Arial"/>
                <w:color w:val="0070C0"/>
                <w:sz w:val="16"/>
                <w:szCs w:val="16"/>
                <w:lang w:eastAsia="pt-BR"/>
              </w:rPr>
            </w:pPr>
            <w:r w:rsidRPr="009548D7">
              <w:rPr>
                <w:rFonts w:ascii="Arial Narrow" w:eastAsia="Times New Roman" w:hAnsi="Arial Narrow" w:cs="Arial"/>
                <w:color w:val="0070C0"/>
                <w:sz w:val="16"/>
                <w:szCs w:val="16"/>
                <w:lang w:eastAsia="pt-BR"/>
              </w:rPr>
              <w:t> </w:t>
            </w:r>
          </w:p>
        </w:tc>
      </w:tr>
      <w:tr w:rsidR="0008341F" w:rsidRPr="009548D7" w14:paraId="47D7BB02" w14:textId="77777777" w:rsidTr="000525CD">
        <w:trPr>
          <w:trHeight w:val="270"/>
        </w:trPr>
        <w:tc>
          <w:tcPr>
            <w:tcW w:w="4410" w:type="dxa"/>
            <w:tcBorders>
              <w:top w:val="nil"/>
              <w:left w:val="single" w:sz="8" w:space="0" w:color="auto"/>
              <w:bottom w:val="nil"/>
            </w:tcBorders>
            <w:shd w:val="clear" w:color="auto" w:fill="auto"/>
            <w:noWrap/>
            <w:vAlign w:val="center"/>
            <w:hideMark/>
          </w:tcPr>
          <w:p w14:paraId="7EC7D685" w14:textId="1751B631" w:rsidR="0008341F" w:rsidRPr="009548D7" w:rsidRDefault="000525CD" w:rsidP="000525CD">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08341F" w:rsidRPr="009548D7">
              <w:rPr>
                <w:rFonts w:ascii="Arial Narrow" w:eastAsia="Times New Roman" w:hAnsi="Arial Narrow" w:cs="Arial"/>
                <w:sz w:val="16"/>
                <w:szCs w:val="16"/>
                <w:lang w:eastAsia="pt-BR"/>
              </w:rPr>
              <w:t>Investimentos do RPPS de Longo Prazo</w:t>
            </w:r>
          </w:p>
        </w:tc>
        <w:tc>
          <w:tcPr>
            <w:tcW w:w="767" w:type="dxa"/>
            <w:tcBorders>
              <w:top w:val="nil"/>
              <w:bottom w:val="nil"/>
              <w:right w:val="single" w:sz="4" w:space="0" w:color="auto"/>
            </w:tcBorders>
            <w:shd w:val="clear" w:color="auto" w:fill="auto"/>
            <w:noWrap/>
            <w:vAlign w:val="center"/>
          </w:tcPr>
          <w:p w14:paraId="537DA9E5"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16EBA084"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BPA.D049</w:t>
            </w:r>
          </w:p>
        </w:tc>
        <w:tc>
          <w:tcPr>
            <w:tcW w:w="1262" w:type="dxa"/>
            <w:tcBorders>
              <w:top w:val="nil"/>
              <w:left w:val="nil"/>
              <w:bottom w:val="nil"/>
              <w:right w:val="single" w:sz="8" w:space="0" w:color="auto"/>
            </w:tcBorders>
            <w:shd w:val="clear" w:color="auto" w:fill="auto"/>
            <w:noWrap/>
            <w:vAlign w:val="center"/>
            <w:hideMark/>
          </w:tcPr>
          <w:p w14:paraId="6879B820"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BPA.E049</w:t>
            </w:r>
          </w:p>
        </w:tc>
        <w:tc>
          <w:tcPr>
            <w:tcW w:w="4562" w:type="dxa"/>
            <w:tcBorders>
              <w:top w:val="nil"/>
              <w:left w:val="nil"/>
              <w:bottom w:val="nil"/>
            </w:tcBorders>
            <w:shd w:val="clear" w:color="auto" w:fill="auto"/>
            <w:noWrap/>
            <w:vAlign w:val="center"/>
            <w:hideMark/>
          </w:tcPr>
          <w:p w14:paraId="20998B1A" w14:textId="77777777" w:rsidR="0008341F" w:rsidRPr="009548D7" w:rsidRDefault="0008341F" w:rsidP="000525CD">
            <w:pPr>
              <w:spacing w:after="0" w:line="240" w:lineRule="auto"/>
              <w:rPr>
                <w:rFonts w:ascii="Arial Narrow" w:eastAsia="Times New Roman" w:hAnsi="Arial Narrow" w:cs="Arial"/>
                <w:color w:val="0070C0"/>
                <w:sz w:val="16"/>
                <w:szCs w:val="16"/>
                <w:lang w:eastAsia="pt-BR"/>
              </w:rPr>
            </w:pPr>
            <w:r w:rsidRPr="009548D7">
              <w:rPr>
                <w:rFonts w:ascii="Arial Narrow" w:eastAsia="Times New Roman" w:hAnsi="Arial Narrow" w:cs="Arial"/>
                <w:color w:val="0070C0"/>
                <w:sz w:val="16"/>
                <w:szCs w:val="16"/>
                <w:lang w:eastAsia="pt-BR"/>
              </w:rPr>
              <w:t> </w:t>
            </w:r>
          </w:p>
        </w:tc>
        <w:tc>
          <w:tcPr>
            <w:tcW w:w="775" w:type="dxa"/>
            <w:tcBorders>
              <w:top w:val="nil"/>
              <w:bottom w:val="single" w:sz="8" w:space="0" w:color="auto"/>
              <w:right w:val="single" w:sz="8" w:space="0" w:color="auto"/>
            </w:tcBorders>
            <w:shd w:val="clear" w:color="auto" w:fill="auto"/>
            <w:noWrap/>
            <w:vAlign w:val="center"/>
          </w:tcPr>
          <w:p w14:paraId="3D7A385E" w14:textId="77777777" w:rsidR="0008341F" w:rsidRPr="009548D7" w:rsidRDefault="0008341F" w:rsidP="000525CD">
            <w:pPr>
              <w:spacing w:after="0" w:line="240" w:lineRule="auto"/>
              <w:rPr>
                <w:rFonts w:ascii="Arial Narrow" w:eastAsia="Times New Roman" w:hAnsi="Arial Narrow" w:cs="Arial"/>
                <w:color w:val="0070C0"/>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14D13269" w14:textId="77777777" w:rsidR="0008341F" w:rsidRPr="009548D7" w:rsidRDefault="0008341F" w:rsidP="000525CD">
            <w:pPr>
              <w:spacing w:after="0" w:line="240" w:lineRule="auto"/>
              <w:jc w:val="center"/>
              <w:rPr>
                <w:rFonts w:ascii="Arial Narrow" w:eastAsia="Times New Roman" w:hAnsi="Arial Narrow" w:cs="Arial"/>
                <w:color w:val="0070C0"/>
                <w:sz w:val="16"/>
                <w:szCs w:val="16"/>
                <w:lang w:eastAsia="pt-BR"/>
              </w:rPr>
            </w:pPr>
            <w:r w:rsidRPr="009548D7">
              <w:rPr>
                <w:rFonts w:ascii="Arial Narrow" w:eastAsia="Times New Roman" w:hAnsi="Arial Narrow" w:cs="Arial"/>
                <w:color w:val="0070C0"/>
                <w:sz w:val="16"/>
                <w:szCs w:val="16"/>
                <w:lang w:eastAsia="pt-BR"/>
              </w:rPr>
              <w:t> </w:t>
            </w:r>
          </w:p>
        </w:tc>
        <w:tc>
          <w:tcPr>
            <w:tcW w:w="1420" w:type="dxa"/>
            <w:tcBorders>
              <w:top w:val="nil"/>
              <w:left w:val="nil"/>
              <w:bottom w:val="nil"/>
              <w:right w:val="single" w:sz="8" w:space="0" w:color="auto"/>
            </w:tcBorders>
            <w:shd w:val="clear" w:color="auto" w:fill="auto"/>
            <w:noWrap/>
            <w:vAlign w:val="center"/>
            <w:hideMark/>
          </w:tcPr>
          <w:p w14:paraId="3887ABD4" w14:textId="77777777" w:rsidR="0008341F" w:rsidRPr="009548D7" w:rsidRDefault="0008341F" w:rsidP="000525CD">
            <w:pPr>
              <w:spacing w:after="0" w:line="240" w:lineRule="auto"/>
              <w:rPr>
                <w:rFonts w:ascii="Arial Narrow" w:eastAsia="Times New Roman" w:hAnsi="Arial Narrow" w:cs="Arial"/>
                <w:color w:val="0070C0"/>
                <w:sz w:val="16"/>
                <w:szCs w:val="16"/>
                <w:lang w:eastAsia="pt-BR"/>
              </w:rPr>
            </w:pPr>
            <w:r w:rsidRPr="009548D7">
              <w:rPr>
                <w:rFonts w:ascii="Arial Narrow" w:eastAsia="Times New Roman" w:hAnsi="Arial Narrow" w:cs="Arial"/>
                <w:color w:val="0070C0"/>
                <w:sz w:val="16"/>
                <w:szCs w:val="16"/>
                <w:lang w:eastAsia="pt-BR"/>
              </w:rPr>
              <w:t> </w:t>
            </w:r>
          </w:p>
        </w:tc>
      </w:tr>
      <w:tr w:rsidR="0008341F" w:rsidRPr="009548D7" w14:paraId="5838B68B" w14:textId="77777777" w:rsidTr="000525CD">
        <w:trPr>
          <w:trHeight w:val="270"/>
        </w:trPr>
        <w:tc>
          <w:tcPr>
            <w:tcW w:w="4410" w:type="dxa"/>
            <w:tcBorders>
              <w:top w:val="nil"/>
              <w:left w:val="single" w:sz="8" w:space="0" w:color="auto"/>
              <w:bottom w:val="nil"/>
            </w:tcBorders>
            <w:shd w:val="clear" w:color="auto" w:fill="auto"/>
            <w:noWrap/>
            <w:vAlign w:val="center"/>
            <w:hideMark/>
          </w:tcPr>
          <w:p w14:paraId="3A2E1125" w14:textId="45FF2F6B" w:rsidR="0008341F" w:rsidRPr="009548D7" w:rsidRDefault="000525CD" w:rsidP="000525CD">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08341F" w:rsidRPr="009548D7">
              <w:rPr>
                <w:rFonts w:ascii="Arial Narrow" w:eastAsia="Times New Roman" w:hAnsi="Arial Narrow" w:cs="Arial"/>
                <w:sz w:val="16"/>
                <w:szCs w:val="16"/>
                <w:lang w:eastAsia="pt-BR"/>
              </w:rPr>
              <w:t xml:space="preserve">(-) Redução ao Valor Recuperável de Investimentos do RPPS </w:t>
            </w:r>
          </w:p>
        </w:tc>
        <w:tc>
          <w:tcPr>
            <w:tcW w:w="767" w:type="dxa"/>
            <w:tcBorders>
              <w:top w:val="nil"/>
              <w:bottom w:val="nil"/>
              <w:right w:val="single" w:sz="4" w:space="0" w:color="auto"/>
            </w:tcBorders>
            <w:shd w:val="clear" w:color="auto" w:fill="auto"/>
            <w:noWrap/>
            <w:vAlign w:val="center"/>
          </w:tcPr>
          <w:p w14:paraId="145494FB"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0BE4212D"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BPA.D050</w:t>
            </w:r>
          </w:p>
        </w:tc>
        <w:tc>
          <w:tcPr>
            <w:tcW w:w="1262" w:type="dxa"/>
            <w:tcBorders>
              <w:top w:val="nil"/>
              <w:left w:val="nil"/>
              <w:bottom w:val="nil"/>
              <w:right w:val="single" w:sz="8" w:space="0" w:color="auto"/>
            </w:tcBorders>
            <w:shd w:val="clear" w:color="auto" w:fill="auto"/>
            <w:noWrap/>
            <w:vAlign w:val="center"/>
            <w:hideMark/>
          </w:tcPr>
          <w:p w14:paraId="49D97378"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BPA.E050</w:t>
            </w:r>
          </w:p>
        </w:tc>
        <w:tc>
          <w:tcPr>
            <w:tcW w:w="4562" w:type="dxa"/>
            <w:tcBorders>
              <w:top w:val="single" w:sz="8" w:space="0" w:color="auto"/>
              <w:left w:val="nil"/>
              <w:bottom w:val="single" w:sz="8" w:space="0" w:color="auto"/>
            </w:tcBorders>
            <w:shd w:val="clear" w:color="auto" w:fill="auto"/>
            <w:noWrap/>
            <w:vAlign w:val="center"/>
            <w:hideMark/>
          </w:tcPr>
          <w:p w14:paraId="362F9E4F" w14:textId="77777777" w:rsidR="0008341F" w:rsidRPr="009548D7" w:rsidRDefault="0008341F" w:rsidP="000525CD">
            <w:pPr>
              <w:spacing w:after="0" w:line="240" w:lineRule="auto"/>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TOTAL DO PASSIVO</w:t>
            </w:r>
          </w:p>
        </w:tc>
        <w:tc>
          <w:tcPr>
            <w:tcW w:w="775" w:type="dxa"/>
            <w:tcBorders>
              <w:top w:val="nil"/>
              <w:bottom w:val="nil"/>
              <w:right w:val="single" w:sz="8" w:space="0" w:color="auto"/>
            </w:tcBorders>
            <w:shd w:val="clear" w:color="auto" w:fill="auto"/>
            <w:noWrap/>
            <w:vAlign w:val="center"/>
          </w:tcPr>
          <w:p w14:paraId="5BD8FCC3" w14:textId="77777777" w:rsidR="0008341F" w:rsidRPr="009548D7" w:rsidRDefault="0008341F" w:rsidP="000525CD">
            <w:pPr>
              <w:spacing w:after="0" w:line="240" w:lineRule="auto"/>
              <w:jc w:val="center"/>
              <w:rPr>
                <w:rFonts w:ascii="Arial Narrow" w:eastAsia="Times New Roman" w:hAnsi="Arial Narrow" w:cs="Arial"/>
                <w:b/>
                <w:bCs/>
                <w:sz w:val="16"/>
                <w:szCs w:val="16"/>
                <w:lang w:eastAsia="pt-BR"/>
              </w:rPr>
            </w:pPr>
          </w:p>
        </w:tc>
        <w:tc>
          <w:tcPr>
            <w:tcW w:w="1063" w:type="dxa"/>
            <w:tcBorders>
              <w:top w:val="single" w:sz="8" w:space="0" w:color="auto"/>
              <w:left w:val="nil"/>
              <w:bottom w:val="single" w:sz="8" w:space="0" w:color="auto"/>
              <w:right w:val="single" w:sz="8" w:space="0" w:color="auto"/>
            </w:tcBorders>
            <w:shd w:val="clear" w:color="auto" w:fill="auto"/>
            <w:noWrap/>
            <w:vAlign w:val="center"/>
            <w:hideMark/>
          </w:tcPr>
          <w:p w14:paraId="2E65AA4B" w14:textId="77777777" w:rsidR="0008341F" w:rsidRPr="009548D7" w:rsidRDefault="0008341F" w:rsidP="000525CD">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BPA.H048</w:t>
            </w:r>
          </w:p>
        </w:tc>
        <w:tc>
          <w:tcPr>
            <w:tcW w:w="1420" w:type="dxa"/>
            <w:tcBorders>
              <w:top w:val="single" w:sz="8" w:space="0" w:color="auto"/>
              <w:left w:val="nil"/>
              <w:bottom w:val="single" w:sz="8" w:space="0" w:color="auto"/>
              <w:right w:val="single" w:sz="8" w:space="0" w:color="auto"/>
            </w:tcBorders>
            <w:shd w:val="clear" w:color="auto" w:fill="auto"/>
            <w:noWrap/>
            <w:vAlign w:val="center"/>
            <w:hideMark/>
          </w:tcPr>
          <w:p w14:paraId="0D42D6D7" w14:textId="77777777" w:rsidR="0008341F" w:rsidRPr="009548D7" w:rsidRDefault="0008341F" w:rsidP="000525CD">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BPA.I48</w:t>
            </w:r>
          </w:p>
        </w:tc>
      </w:tr>
      <w:tr w:rsidR="0008341F" w:rsidRPr="009548D7" w14:paraId="56938284" w14:textId="77777777" w:rsidTr="000525CD">
        <w:trPr>
          <w:trHeight w:val="270"/>
        </w:trPr>
        <w:tc>
          <w:tcPr>
            <w:tcW w:w="4410" w:type="dxa"/>
            <w:tcBorders>
              <w:top w:val="nil"/>
              <w:left w:val="single" w:sz="8" w:space="0" w:color="auto"/>
              <w:bottom w:val="nil"/>
            </w:tcBorders>
            <w:shd w:val="clear" w:color="auto" w:fill="auto"/>
            <w:noWrap/>
            <w:vAlign w:val="center"/>
            <w:hideMark/>
          </w:tcPr>
          <w:p w14:paraId="12BFD46E" w14:textId="52AF69D8" w:rsidR="0008341F" w:rsidRPr="009548D7" w:rsidRDefault="000525CD" w:rsidP="000525CD">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08341F" w:rsidRPr="009548D7">
              <w:rPr>
                <w:rFonts w:ascii="Arial Narrow" w:eastAsia="Times New Roman" w:hAnsi="Arial Narrow" w:cs="Arial"/>
                <w:sz w:val="16"/>
                <w:szCs w:val="16"/>
                <w:lang w:eastAsia="pt-BR"/>
              </w:rPr>
              <w:t>Demais Investimentos Permanentes</w:t>
            </w:r>
          </w:p>
        </w:tc>
        <w:tc>
          <w:tcPr>
            <w:tcW w:w="767" w:type="dxa"/>
            <w:tcBorders>
              <w:top w:val="nil"/>
              <w:bottom w:val="nil"/>
              <w:right w:val="single" w:sz="4" w:space="0" w:color="auto"/>
            </w:tcBorders>
            <w:shd w:val="clear" w:color="auto" w:fill="auto"/>
            <w:noWrap/>
            <w:vAlign w:val="center"/>
          </w:tcPr>
          <w:p w14:paraId="644542F2"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50262697"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BPA.D051</w:t>
            </w:r>
          </w:p>
        </w:tc>
        <w:tc>
          <w:tcPr>
            <w:tcW w:w="1262" w:type="dxa"/>
            <w:tcBorders>
              <w:top w:val="nil"/>
              <w:left w:val="nil"/>
              <w:bottom w:val="nil"/>
            </w:tcBorders>
            <w:shd w:val="clear" w:color="auto" w:fill="auto"/>
            <w:noWrap/>
            <w:vAlign w:val="center"/>
            <w:hideMark/>
          </w:tcPr>
          <w:p w14:paraId="62A33F2D"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BPA.E051</w:t>
            </w:r>
          </w:p>
        </w:tc>
        <w:tc>
          <w:tcPr>
            <w:tcW w:w="7820" w:type="dxa"/>
            <w:gridSpan w:val="4"/>
            <w:tcBorders>
              <w:top w:val="single" w:sz="8" w:space="0" w:color="auto"/>
              <w:bottom w:val="single" w:sz="8" w:space="0" w:color="auto"/>
              <w:right w:val="single" w:sz="8" w:space="0" w:color="000000"/>
            </w:tcBorders>
            <w:shd w:val="clear" w:color="000000" w:fill="D9D9D9"/>
            <w:noWrap/>
            <w:vAlign w:val="center"/>
            <w:hideMark/>
          </w:tcPr>
          <w:p w14:paraId="2BBB96C3" w14:textId="77777777" w:rsidR="0008341F" w:rsidRPr="009548D7" w:rsidRDefault="0008341F" w:rsidP="000525CD">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PATRIMÔNIO LÍQUIDO</w:t>
            </w:r>
          </w:p>
        </w:tc>
      </w:tr>
      <w:tr w:rsidR="0008341F" w:rsidRPr="009548D7" w14:paraId="10CA33A8" w14:textId="77777777" w:rsidTr="000525CD">
        <w:trPr>
          <w:trHeight w:val="240"/>
        </w:trPr>
        <w:tc>
          <w:tcPr>
            <w:tcW w:w="5177" w:type="dxa"/>
            <w:gridSpan w:val="2"/>
            <w:tcBorders>
              <w:top w:val="nil"/>
              <w:left w:val="single" w:sz="8" w:space="0" w:color="auto"/>
              <w:bottom w:val="nil"/>
              <w:right w:val="single" w:sz="4" w:space="0" w:color="auto"/>
            </w:tcBorders>
            <w:shd w:val="clear" w:color="auto" w:fill="auto"/>
            <w:noWrap/>
            <w:vAlign w:val="center"/>
            <w:hideMark/>
          </w:tcPr>
          <w:p w14:paraId="2F576E28" w14:textId="5E3A7BCC" w:rsidR="0008341F" w:rsidRPr="009548D7" w:rsidRDefault="000525CD" w:rsidP="00447A82">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08341F" w:rsidRPr="009548D7">
              <w:rPr>
                <w:rFonts w:ascii="Arial Narrow" w:eastAsia="Times New Roman" w:hAnsi="Arial Narrow" w:cs="Arial"/>
                <w:sz w:val="16"/>
                <w:szCs w:val="16"/>
                <w:lang w:eastAsia="pt-BR"/>
              </w:rPr>
              <w:t>(-) Redução ao Valor Recuperável de Demais Investimentos Permanentes</w:t>
            </w:r>
          </w:p>
        </w:tc>
        <w:tc>
          <w:tcPr>
            <w:tcW w:w="1063" w:type="dxa"/>
            <w:tcBorders>
              <w:top w:val="nil"/>
              <w:left w:val="single" w:sz="4" w:space="0" w:color="auto"/>
              <w:bottom w:val="nil"/>
              <w:right w:val="single" w:sz="8" w:space="0" w:color="auto"/>
            </w:tcBorders>
            <w:shd w:val="clear" w:color="auto" w:fill="auto"/>
            <w:noWrap/>
            <w:vAlign w:val="center"/>
            <w:hideMark/>
          </w:tcPr>
          <w:p w14:paraId="4829C8AD"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BPA.D052</w:t>
            </w:r>
          </w:p>
        </w:tc>
        <w:tc>
          <w:tcPr>
            <w:tcW w:w="1262" w:type="dxa"/>
            <w:tcBorders>
              <w:top w:val="nil"/>
              <w:left w:val="nil"/>
              <w:bottom w:val="nil"/>
              <w:right w:val="single" w:sz="8" w:space="0" w:color="auto"/>
            </w:tcBorders>
            <w:shd w:val="clear" w:color="auto" w:fill="auto"/>
            <w:noWrap/>
            <w:vAlign w:val="center"/>
            <w:hideMark/>
          </w:tcPr>
          <w:p w14:paraId="06046E04"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BPA.E052</w:t>
            </w:r>
          </w:p>
        </w:tc>
        <w:tc>
          <w:tcPr>
            <w:tcW w:w="4562" w:type="dxa"/>
            <w:tcBorders>
              <w:top w:val="nil"/>
              <w:left w:val="nil"/>
              <w:bottom w:val="single" w:sz="8" w:space="0" w:color="auto"/>
            </w:tcBorders>
            <w:shd w:val="clear" w:color="000000" w:fill="D9D9D9"/>
            <w:noWrap/>
            <w:vAlign w:val="center"/>
            <w:hideMark/>
          </w:tcPr>
          <w:p w14:paraId="72FD48C5" w14:textId="77777777" w:rsidR="0008341F" w:rsidRPr="009548D7" w:rsidRDefault="0008341F" w:rsidP="000525CD">
            <w:pPr>
              <w:spacing w:after="0" w:line="240" w:lineRule="auto"/>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ESPECIFICAÇÃO</w:t>
            </w:r>
          </w:p>
        </w:tc>
        <w:tc>
          <w:tcPr>
            <w:tcW w:w="775" w:type="dxa"/>
            <w:tcBorders>
              <w:top w:val="nil"/>
              <w:bottom w:val="single" w:sz="8" w:space="0" w:color="auto"/>
              <w:right w:val="single" w:sz="8" w:space="0" w:color="auto"/>
            </w:tcBorders>
            <w:shd w:val="clear" w:color="000000" w:fill="D9D9D9"/>
            <w:noWrap/>
            <w:vAlign w:val="center"/>
          </w:tcPr>
          <w:p w14:paraId="79DDAC0B" w14:textId="77777777" w:rsidR="0008341F" w:rsidRPr="009548D7" w:rsidRDefault="0008341F" w:rsidP="000525CD">
            <w:pPr>
              <w:spacing w:after="0" w:line="240" w:lineRule="auto"/>
              <w:rPr>
                <w:rFonts w:ascii="Arial Narrow" w:eastAsia="Times New Roman" w:hAnsi="Arial Narrow" w:cs="Arial"/>
                <w:b/>
                <w:bCs/>
                <w:sz w:val="16"/>
                <w:szCs w:val="16"/>
                <w:lang w:eastAsia="pt-BR"/>
              </w:rPr>
            </w:pPr>
          </w:p>
        </w:tc>
        <w:tc>
          <w:tcPr>
            <w:tcW w:w="1063" w:type="dxa"/>
            <w:tcBorders>
              <w:top w:val="nil"/>
              <w:left w:val="nil"/>
              <w:bottom w:val="single" w:sz="8" w:space="0" w:color="auto"/>
              <w:right w:val="single" w:sz="8" w:space="0" w:color="auto"/>
            </w:tcBorders>
            <w:shd w:val="clear" w:color="000000" w:fill="D9D9D9"/>
            <w:noWrap/>
            <w:vAlign w:val="center"/>
            <w:hideMark/>
          </w:tcPr>
          <w:p w14:paraId="481E1336" w14:textId="77777777" w:rsidR="0008341F" w:rsidRPr="009548D7" w:rsidRDefault="0008341F" w:rsidP="000525CD">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Exercício Atual</w:t>
            </w:r>
          </w:p>
        </w:tc>
        <w:tc>
          <w:tcPr>
            <w:tcW w:w="1420" w:type="dxa"/>
            <w:tcBorders>
              <w:top w:val="nil"/>
              <w:left w:val="nil"/>
              <w:bottom w:val="single" w:sz="8" w:space="0" w:color="auto"/>
              <w:right w:val="single" w:sz="8" w:space="0" w:color="auto"/>
            </w:tcBorders>
            <w:shd w:val="clear" w:color="000000" w:fill="D9D9D9"/>
            <w:noWrap/>
            <w:vAlign w:val="center"/>
            <w:hideMark/>
          </w:tcPr>
          <w:p w14:paraId="44D3EA24" w14:textId="77777777" w:rsidR="0008341F" w:rsidRPr="009548D7" w:rsidRDefault="0008341F" w:rsidP="000525CD">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Exercício Anterior</w:t>
            </w:r>
          </w:p>
        </w:tc>
      </w:tr>
      <w:tr w:rsidR="0008341F" w:rsidRPr="009548D7" w14:paraId="070DDE04" w14:textId="77777777" w:rsidTr="000525CD">
        <w:trPr>
          <w:trHeight w:val="255"/>
        </w:trPr>
        <w:tc>
          <w:tcPr>
            <w:tcW w:w="4410" w:type="dxa"/>
            <w:tcBorders>
              <w:top w:val="nil"/>
              <w:left w:val="single" w:sz="8" w:space="0" w:color="auto"/>
              <w:bottom w:val="nil"/>
            </w:tcBorders>
            <w:shd w:val="clear" w:color="auto" w:fill="auto"/>
            <w:noWrap/>
            <w:vAlign w:val="center"/>
            <w:hideMark/>
          </w:tcPr>
          <w:p w14:paraId="382C7FEF" w14:textId="3FC1D7B4" w:rsidR="0008341F" w:rsidRPr="009548D7" w:rsidRDefault="00EE460F" w:rsidP="00EE460F">
            <w:pPr>
              <w:spacing w:after="0" w:line="240" w:lineRule="auto"/>
              <w:rPr>
                <w:rFonts w:ascii="Arial Narrow" w:eastAsia="Times New Roman" w:hAnsi="Arial Narrow" w:cs="Arial"/>
                <w:sz w:val="16"/>
                <w:szCs w:val="16"/>
                <w:lang w:eastAsia="pt-BR"/>
              </w:rPr>
            </w:pPr>
            <w:r>
              <w:rPr>
                <w:rFonts w:ascii="Arial Narrow" w:eastAsia="Times New Roman" w:hAnsi="Arial Narrow" w:cs="Arial"/>
                <w:bCs/>
                <w:sz w:val="16"/>
                <w:szCs w:val="16"/>
                <w:lang w:eastAsia="pt-BR"/>
              </w:rPr>
              <w:t xml:space="preserve">          </w:t>
            </w:r>
            <w:r w:rsidR="0008341F" w:rsidRPr="00353139">
              <w:rPr>
                <w:rFonts w:ascii="Arial Narrow" w:eastAsia="Times New Roman" w:hAnsi="Arial Narrow" w:cs="Arial"/>
                <w:bCs/>
                <w:sz w:val="16"/>
                <w:szCs w:val="16"/>
                <w:lang w:eastAsia="pt-BR"/>
              </w:rPr>
              <w:t>(-) Depreciação Acumulada de Outros Investimentos</w:t>
            </w:r>
          </w:p>
        </w:tc>
        <w:tc>
          <w:tcPr>
            <w:tcW w:w="767" w:type="dxa"/>
            <w:tcBorders>
              <w:top w:val="nil"/>
              <w:bottom w:val="nil"/>
              <w:right w:val="single" w:sz="4" w:space="0" w:color="auto"/>
            </w:tcBorders>
            <w:shd w:val="clear" w:color="auto" w:fill="auto"/>
            <w:noWrap/>
            <w:vAlign w:val="center"/>
          </w:tcPr>
          <w:p w14:paraId="1E34CDBE"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6AC5A44C"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353139">
              <w:rPr>
                <w:rFonts w:ascii="Arial Narrow" w:eastAsia="Times New Roman" w:hAnsi="Arial Narrow" w:cs="Arial"/>
                <w:bCs/>
                <w:sz w:val="16"/>
                <w:szCs w:val="16"/>
                <w:lang w:eastAsia="pt-BR"/>
              </w:rPr>
              <w:t>BPA.D091</w:t>
            </w:r>
          </w:p>
        </w:tc>
        <w:tc>
          <w:tcPr>
            <w:tcW w:w="1262" w:type="dxa"/>
            <w:tcBorders>
              <w:top w:val="nil"/>
              <w:left w:val="nil"/>
              <w:bottom w:val="nil"/>
              <w:right w:val="single" w:sz="8" w:space="0" w:color="auto"/>
            </w:tcBorders>
            <w:shd w:val="clear" w:color="auto" w:fill="auto"/>
            <w:noWrap/>
            <w:vAlign w:val="center"/>
            <w:hideMark/>
          </w:tcPr>
          <w:p w14:paraId="3B3CF33E"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353139">
              <w:rPr>
                <w:rFonts w:ascii="Arial Narrow" w:eastAsia="Times New Roman" w:hAnsi="Arial Narrow" w:cs="Arial"/>
                <w:bCs/>
                <w:sz w:val="16"/>
                <w:szCs w:val="16"/>
                <w:lang w:eastAsia="pt-BR"/>
              </w:rPr>
              <w:t>BPA.E091</w:t>
            </w:r>
          </w:p>
        </w:tc>
        <w:tc>
          <w:tcPr>
            <w:tcW w:w="4562" w:type="dxa"/>
            <w:tcBorders>
              <w:top w:val="nil"/>
              <w:left w:val="nil"/>
              <w:bottom w:val="nil"/>
            </w:tcBorders>
            <w:shd w:val="clear" w:color="auto" w:fill="auto"/>
            <w:vAlign w:val="center"/>
            <w:hideMark/>
          </w:tcPr>
          <w:p w14:paraId="2C4C6046" w14:textId="77777777" w:rsidR="0008341F" w:rsidRPr="009548D7" w:rsidRDefault="0008341F" w:rsidP="000525CD">
            <w:pPr>
              <w:spacing w:after="0" w:line="240" w:lineRule="auto"/>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xml:space="preserve">Patrimônio Social/Capital Social  </w:t>
            </w:r>
          </w:p>
        </w:tc>
        <w:tc>
          <w:tcPr>
            <w:tcW w:w="775" w:type="dxa"/>
            <w:tcBorders>
              <w:top w:val="nil"/>
              <w:bottom w:val="nil"/>
              <w:right w:val="single" w:sz="8" w:space="0" w:color="auto"/>
            </w:tcBorders>
            <w:shd w:val="clear" w:color="auto" w:fill="auto"/>
            <w:noWrap/>
            <w:vAlign w:val="center"/>
          </w:tcPr>
          <w:p w14:paraId="0916339A"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33C64A14"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BPA.H051</w:t>
            </w:r>
          </w:p>
        </w:tc>
        <w:tc>
          <w:tcPr>
            <w:tcW w:w="1420" w:type="dxa"/>
            <w:tcBorders>
              <w:top w:val="nil"/>
              <w:left w:val="nil"/>
              <w:bottom w:val="nil"/>
              <w:right w:val="single" w:sz="8" w:space="0" w:color="auto"/>
            </w:tcBorders>
            <w:shd w:val="clear" w:color="auto" w:fill="auto"/>
            <w:noWrap/>
            <w:vAlign w:val="center"/>
            <w:hideMark/>
          </w:tcPr>
          <w:p w14:paraId="59149E68"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BPA.I051</w:t>
            </w:r>
          </w:p>
        </w:tc>
      </w:tr>
      <w:tr w:rsidR="0008341F" w:rsidRPr="009548D7" w14:paraId="52F4808F" w14:textId="77777777" w:rsidTr="000525CD">
        <w:trPr>
          <w:trHeight w:val="255"/>
        </w:trPr>
        <w:tc>
          <w:tcPr>
            <w:tcW w:w="4410" w:type="dxa"/>
            <w:tcBorders>
              <w:top w:val="nil"/>
              <w:left w:val="single" w:sz="8" w:space="0" w:color="auto"/>
              <w:bottom w:val="nil"/>
            </w:tcBorders>
            <w:shd w:val="clear" w:color="auto" w:fill="auto"/>
            <w:noWrap/>
            <w:vAlign w:val="center"/>
          </w:tcPr>
          <w:p w14:paraId="3A0AF7F3" w14:textId="4E9B6926" w:rsidR="0008341F" w:rsidRPr="00353139" w:rsidRDefault="00EE460F" w:rsidP="000525CD">
            <w:pPr>
              <w:spacing w:after="0" w:line="240" w:lineRule="auto"/>
              <w:rPr>
                <w:rFonts w:ascii="Arial Narrow" w:eastAsia="Times New Roman" w:hAnsi="Arial Narrow" w:cs="Arial"/>
                <w:sz w:val="16"/>
                <w:szCs w:val="16"/>
                <w:lang w:eastAsia="pt-BR"/>
              </w:rPr>
            </w:pPr>
            <w:r>
              <w:rPr>
                <w:rFonts w:ascii="Arial Narrow" w:eastAsia="Times New Roman" w:hAnsi="Arial Narrow" w:cs="Arial"/>
                <w:b/>
                <w:bCs/>
                <w:sz w:val="16"/>
                <w:szCs w:val="16"/>
                <w:lang w:eastAsia="pt-BR"/>
              </w:rPr>
              <w:t xml:space="preserve">     </w:t>
            </w:r>
            <w:r w:rsidR="0008341F" w:rsidRPr="00353139">
              <w:rPr>
                <w:rFonts w:ascii="Arial Narrow" w:eastAsia="Times New Roman" w:hAnsi="Arial Narrow" w:cs="Arial"/>
                <w:b/>
                <w:bCs/>
                <w:sz w:val="16"/>
                <w:szCs w:val="16"/>
                <w:lang w:eastAsia="pt-BR"/>
              </w:rPr>
              <w:t>Imobilizado</w:t>
            </w:r>
          </w:p>
        </w:tc>
        <w:tc>
          <w:tcPr>
            <w:tcW w:w="767" w:type="dxa"/>
            <w:tcBorders>
              <w:top w:val="nil"/>
              <w:bottom w:val="nil"/>
              <w:right w:val="single" w:sz="4" w:space="0" w:color="auto"/>
            </w:tcBorders>
            <w:shd w:val="clear" w:color="auto" w:fill="auto"/>
            <w:noWrap/>
            <w:vAlign w:val="center"/>
          </w:tcPr>
          <w:p w14:paraId="51D6FD78" w14:textId="77777777" w:rsidR="0008341F" w:rsidRPr="00353139"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tcPr>
          <w:p w14:paraId="3FC6B66A" w14:textId="77777777" w:rsidR="0008341F" w:rsidRPr="00353139" w:rsidRDefault="0008341F" w:rsidP="000525CD">
            <w:pPr>
              <w:spacing w:after="0" w:line="240" w:lineRule="auto"/>
              <w:jc w:val="center"/>
              <w:rPr>
                <w:rFonts w:ascii="Arial Narrow" w:eastAsia="Times New Roman" w:hAnsi="Arial Narrow" w:cs="Arial"/>
                <w:sz w:val="16"/>
                <w:szCs w:val="16"/>
                <w:lang w:eastAsia="pt-BR"/>
              </w:rPr>
            </w:pPr>
            <w:r w:rsidRPr="00353139">
              <w:rPr>
                <w:rFonts w:ascii="Arial Narrow" w:eastAsia="Times New Roman" w:hAnsi="Arial Narrow" w:cs="Arial"/>
                <w:b/>
                <w:bCs/>
                <w:sz w:val="16"/>
                <w:szCs w:val="16"/>
                <w:lang w:eastAsia="pt-BR"/>
              </w:rPr>
              <w:t>BPA.D053</w:t>
            </w:r>
          </w:p>
        </w:tc>
        <w:tc>
          <w:tcPr>
            <w:tcW w:w="1262" w:type="dxa"/>
            <w:tcBorders>
              <w:top w:val="nil"/>
              <w:left w:val="nil"/>
              <w:bottom w:val="nil"/>
              <w:right w:val="single" w:sz="8" w:space="0" w:color="auto"/>
            </w:tcBorders>
            <w:shd w:val="clear" w:color="auto" w:fill="auto"/>
            <w:noWrap/>
            <w:vAlign w:val="center"/>
          </w:tcPr>
          <w:p w14:paraId="4550E7D5" w14:textId="77777777" w:rsidR="0008341F" w:rsidRPr="00353139" w:rsidRDefault="0008341F" w:rsidP="000525CD">
            <w:pPr>
              <w:spacing w:after="0" w:line="240" w:lineRule="auto"/>
              <w:jc w:val="center"/>
              <w:rPr>
                <w:rFonts w:ascii="Arial Narrow" w:eastAsia="Times New Roman" w:hAnsi="Arial Narrow" w:cs="Arial"/>
                <w:sz w:val="16"/>
                <w:szCs w:val="16"/>
                <w:lang w:eastAsia="pt-BR"/>
              </w:rPr>
            </w:pPr>
            <w:r w:rsidRPr="00353139">
              <w:rPr>
                <w:rFonts w:ascii="Arial Narrow" w:eastAsia="Times New Roman" w:hAnsi="Arial Narrow" w:cs="Arial"/>
                <w:b/>
                <w:bCs/>
                <w:sz w:val="16"/>
                <w:szCs w:val="16"/>
                <w:lang w:eastAsia="pt-BR"/>
              </w:rPr>
              <w:t>BPA.E053</w:t>
            </w:r>
          </w:p>
        </w:tc>
        <w:tc>
          <w:tcPr>
            <w:tcW w:w="4562" w:type="dxa"/>
            <w:tcBorders>
              <w:top w:val="nil"/>
              <w:left w:val="nil"/>
              <w:bottom w:val="nil"/>
            </w:tcBorders>
            <w:shd w:val="clear" w:color="auto" w:fill="auto"/>
            <w:vAlign w:val="center"/>
          </w:tcPr>
          <w:p w14:paraId="4BDAC2BA" w14:textId="77777777" w:rsidR="0008341F" w:rsidRPr="00353139" w:rsidRDefault="0008341F" w:rsidP="000525CD">
            <w:pPr>
              <w:spacing w:after="0" w:line="240" w:lineRule="auto"/>
              <w:rPr>
                <w:rFonts w:ascii="Arial Narrow" w:eastAsia="Times New Roman" w:hAnsi="Arial Narrow" w:cs="Arial"/>
                <w:sz w:val="16"/>
                <w:szCs w:val="16"/>
                <w:lang w:eastAsia="pt-BR"/>
              </w:rPr>
            </w:pPr>
            <w:r w:rsidRPr="00353139">
              <w:rPr>
                <w:rFonts w:ascii="Arial Narrow" w:eastAsia="Times New Roman" w:hAnsi="Arial Narrow" w:cs="Arial"/>
                <w:sz w:val="16"/>
                <w:szCs w:val="16"/>
                <w:lang w:eastAsia="pt-BR"/>
              </w:rPr>
              <w:t>Adiantamento para Futuro Aumento de Capital</w:t>
            </w:r>
          </w:p>
        </w:tc>
        <w:tc>
          <w:tcPr>
            <w:tcW w:w="775" w:type="dxa"/>
            <w:tcBorders>
              <w:top w:val="nil"/>
              <w:bottom w:val="nil"/>
              <w:right w:val="single" w:sz="8" w:space="0" w:color="auto"/>
            </w:tcBorders>
            <w:shd w:val="clear" w:color="auto" w:fill="auto"/>
            <w:noWrap/>
            <w:vAlign w:val="center"/>
          </w:tcPr>
          <w:p w14:paraId="226D2613"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tcPr>
          <w:p w14:paraId="505A6BD6"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BPA.H052</w:t>
            </w:r>
          </w:p>
        </w:tc>
        <w:tc>
          <w:tcPr>
            <w:tcW w:w="1420" w:type="dxa"/>
            <w:tcBorders>
              <w:top w:val="nil"/>
              <w:left w:val="nil"/>
              <w:bottom w:val="nil"/>
              <w:right w:val="single" w:sz="8" w:space="0" w:color="auto"/>
            </w:tcBorders>
            <w:shd w:val="clear" w:color="auto" w:fill="auto"/>
            <w:noWrap/>
            <w:vAlign w:val="center"/>
          </w:tcPr>
          <w:p w14:paraId="37E7CEC7"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BPA.I052</w:t>
            </w:r>
          </w:p>
        </w:tc>
      </w:tr>
      <w:tr w:rsidR="0008341F" w:rsidRPr="009548D7" w14:paraId="2EB44972" w14:textId="77777777" w:rsidTr="000525CD">
        <w:trPr>
          <w:trHeight w:val="225"/>
        </w:trPr>
        <w:tc>
          <w:tcPr>
            <w:tcW w:w="4410" w:type="dxa"/>
            <w:tcBorders>
              <w:top w:val="nil"/>
              <w:left w:val="single" w:sz="8" w:space="0" w:color="auto"/>
              <w:bottom w:val="nil"/>
            </w:tcBorders>
            <w:shd w:val="clear" w:color="auto" w:fill="auto"/>
            <w:noWrap/>
            <w:vAlign w:val="center"/>
            <w:hideMark/>
          </w:tcPr>
          <w:p w14:paraId="08F4C6BE" w14:textId="0357F6C1" w:rsidR="0008341F" w:rsidRPr="00353139" w:rsidRDefault="00EE460F" w:rsidP="00EE460F">
            <w:pPr>
              <w:spacing w:after="0" w:line="240" w:lineRule="auto"/>
              <w:rPr>
                <w:rFonts w:ascii="Arial Narrow" w:eastAsia="Times New Roman" w:hAnsi="Arial Narrow" w:cs="Arial"/>
                <w:b/>
                <w:bCs/>
                <w:sz w:val="16"/>
                <w:szCs w:val="16"/>
                <w:lang w:eastAsia="pt-BR"/>
              </w:rPr>
            </w:pPr>
            <w:r>
              <w:rPr>
                <w:rFonts w:ascii="Arial Narrow" w:eastAsia="Times New Roman" w:hAnsi="Arial Narrow" w:cs="Arial"/>
                <w:sz w:val="16"/>
                <w:szCs w:val="16"/>
                <w:lang w:eastAsia="pt-BR"/>
              </w:rPr>
              <w:t xml:space="preserve">          </w:t>
            </w:r>
            <w:r w:rsidR="0008341F" w:rsidRPr="009548D7">
              <w:rPr>
                <w:rFonts w:ascii="Arial Narrow" w:eastAsia="Times New Roman" w:hAnsi="Arial Narrow" w:cs="Arial"/>
                <w:sz w:val="16"/>
                <w:szCs w:val="16"/>
                <w:lang w:eastAsia="pt-BR"/>
              </w:rPr>
              <w:t>Bens Móveis</w:t>
            </w:r>
          </w:p>
        </w:tc>
        <w:tc>
          <w:tcPr>
            <w:tcW w:w="767" w:type="dxa"/>
            <w:tcBorders>
              <w:top w:val="nil"/>
              <w:bottom w:val="nil"/>
              <w:right w:val="single" w:sz="4" w:space="0" w:color="auto"/>
            </w:tcBorders>
            <w:shd w:val="clear" w:color="auto" w:fill="auto"/>
            <w:noWrap/>
            <w:vAlign w:val="center"/>
          </w:tcPr>
          <w:p w14:paraId="317923DE" w14:textId="77777777" w:rsidR="0008341F" w:rsidRPr="00353139"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0F61C202" w14:textId="77777777" w:rsidR="0008341F" w:rsidRPr="00353139"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BPA.D054</w:t>
            </w:r>
          </w:p>
        </w:tc>
        <w:tc>
          <w:tcPr>
            <w:tcW w:w="1262" w:type="dxa"/>
            <w:tcBorders>
              <w:top w:val="nil"/>
              <w:left w:val="nil"/>
              <w:bottom w:val="nil"/>
              <w:right w:val="single" w:sz="8" w:space="0" w:color="auto"/>
            </w:tcBorders>
            <w:shd w:val="clear" w:color="auto" w:fill="auto"/>
            <w:noWrap/>
            <w:vAlign w:val="center"/>
            <w:hideMark/>
          </w:tcPr>
          <w:p w14:paraId="345C8FB5" w14:textId="77777777" w:rsidR="0008341F" w:rsidRPr="00353139"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BPA.E054</w:t>
            </w:r>
          </w:p>
        </w:tc>
        <w:tc>
          <w:tcPr>
            <w:tcW w:w="4562" w:type="dxa"/>
            <w:tcBorders>
              <w:top w:val="nil"/>
              <w:left w:val="nil"/>
              <w:bottom w:val="nil"/>
            </w:tcBorders>
            <w:shd w:val="clear" w:color="auto" w:fill="auto"/>
            <w:vAlign w:val="center"/>
            <w:hideMark/>
          </w:tcPr>
          <w:p w14:paraId="5E01E972" w14:textId="77777777" w:rsidR="0008341F" w:rsidRPr="00353139" w:rsidRDefault="0008341F" w:rsidP="000525CD">
            <w:pPr>
              <w:spacing w:after="0" w:line="240" w:lineRule="auto"/>
              <w:rPr>
                <w:rFonts w:ascii="Arial Narrow" w:eastAsia="Times New Roman" w:hAnsi="Arial Narrow" w:cs="Arial"/>
                <w:sz w:val="16"/>
                <w:szCs w:val="16"/>
                <w:lang w:eastAsia="pt-BR"/>
              </w:rPr>
            </w:pPr>
            <w:r w:rsidRPr="00353139">
              <w:rPr>
                <w:rFonts w:ascii="Arial Narrow" w:eastAsia="Times New Roman" w:hAnsi="Arial Narrow" w:cs="Arial"/>
                <w:sz w:val="16"/>
                <w:szCs w:val="16"/>
                <w:lang w:eastAsia="pt-BR"/>
              </w:rPr>
              <w:t>Reservas de Capital</w:t>
            </w:r>
          </w:p>
        </w:tc>
        <w:tc>
          <w:tcPr>
            <w:tcW w:w="775" w:type="dxa"/>
            <w:tcBorders>
              <w:top w:val="nil"/>
              <w:bottom w:val="nil"/>
              <w:right w:val="single" w:sz="8" w:space="0" w:color="auto"/>
            </w:tcBorders>
            <w:shd w:val="clear" w:color="auto" w:fill="auto"/>
            <w:noWrap/>
            <w:vAlign w:val="center"/>
          </w:tcPr>
          <w:p w14:paraId="0A659A53"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76DE28CF"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BPA.H053</w:t>
            </w:r>
          </w:p>
        </w:tc>
        <w:tc>
          <w:tcPr>
            <w:tcW w:w="1420" w:type="dxa"/>
            <w:tcBorders>
              <w:top w:val="nil"/>
              <w:left w:val="nil"/>
              <w:bottom w:val="nil"/>
              <w:right w:val="single" w:sz="8" w:space="0" w:color="auto"/>
            </w:tcBorders>
            <w:shd w:val="clear" w:color="auto" w:fill="auto"/>
            <w:noWrap/>
            <w:vAlign w:val="center"/>
            <w:hideMark/>
          </w:tcPr>
          <w:p w14:paraId="43D0720E"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BPA.I053</w:t>
            </w:r>
          </w:p>
        </w:tc>
      </w:tr>
      <w:tr w:rsidR="0008341F" w:rsidRPr="009548D7" w14:paraId="1193EF0B" w14:textId="77777777" w:rsidTr="000525CD">
        <w:trPr>
          <w:trHeight w:val="255"/>
        </w:trPr>
        <w:tc>
          <w:tcPr>
            <w:tcW w:w="5177" w:type="dxa"/>
            <w:gridSpan w:val="2"/>
            <w:tcBorders>
              <w:top w:val="nil"/>
              <w:left w:val="single" w:sz="8" w:space="0" w:color="auto"/>
              <w:bottom w:val="nil"/>
              <w:right w:val="single" w:sz="4" w:space="0" w:color="auto"/>
            </w:tcBorders>
            <w:shd w:val="clear" w:color="auto" w:fill="auto"/>
            <w:vAlign w:val="center"/>
            <w:hideMark/>
          </w:tcPr>
          <w:p w14:paraId="205BF063" w14:textId="07DAD9A9" w:rsidR="0008341F" w:rsidRPr="009548D7" w:rsidRDefault="00EE460F" w:rsidP="0008341F">
            <w:pPr>
              <w:spacing w:after="0" w:line="240" w:lineRule="auto"/>
              <w:rPr>
                <w:rFonts w:ascii="Arial Narrow" w:eastAsia="Times New Roman" w:hAnsi="Arial Narrow" w:cs="Arial"/>
                <w:b/>
                <w:bCs/>
                <w:sz w:val="16"/>
                <w:szCs w:val="16"/>
                <w:lang w:eastAsia="pt-BR"/>
              </w:rPr>
            </w:pPr>
            <w:r>
              <w:rPr>
                <w:rFonts w:ascii="Arial Narrow" w:eastAsia="Times New Roman" w:hAnsi="Arial Narrow" w:cs="Arial"/>
                <w:sz w:val="16"/>
                <w:szCs w:val="16"/>
                <w:lang w:eastAsia="pt-BR"/>
              </w:rPr>
              <w:t xml:space="preserve">          </w:t>
            </w:r>
            <w:r w:rsidR="0008341F" w:rsidRPr="009548D7">
              <w:rPr>
                <w:rFonts w:ascii="Arial Narrow" w:eastAsia="Times New Roman" w:hAnsi="Arial Narrow" w:cs="Arial"/>
                <w:sz w:val="16"/>
                <w:szCs w:val="16"/>
                <w:lang w:eastAsia="pt-BR"/>
              </w:rPr>
              <w:t>(-) Depreciação, Exaustão e Amortização Acumuladas de Bens Móveis</w:t>
            </w:r>
          </w:p>
        </w:tc>
        <w:tc>
          <w:tcPr>
            <w:tcW w:w="1063" w:type="dxa"/>
            <w:tcBorders>
              <w:top w:val="nil"/>
              <w:left w:val="single" w:sz="4" w:space="0" w:color="auto"/>
              <w:bottom w:val="nil"/>
              <w:right w:val="single" w:sz="8" w:space="0" w:color="auto"/>
            </w:tcBorders>
            <w:shd w:val="clear" w:color="auto" w:fill="auto"/>
            <w:noWrap/>
            <w:vAlign w:val="center"/>
            <w:hideMark/>
          </w:tcPr>
          <w:p w14:paraId="0221BF84" w14:textId="77777777" w:rsidR="0008341F" w:rsidRPr="009548D7" w:rsidRDefault="0008341F" w:rsidP="000525CD">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sz w:val="16"/>
                <w:szCs w:val="16"/>
                <w:lang w:eastAsia="pt-BR"/>
              </w:rPr>
              <w:t>BPA.D055</w:t>
            </w:r>
          </w:p>
        </w:tc>
        <w:tc>
          <w:tcPr>
            <w:tcW w:w="1262" w:type="dxa"/>
            <w:tcBorders>
              <w:top w:val="nil"/>
              <w:left w:val="nil"/>
              <w:bottom w:val="nil"/>
              <w:right w:val="single" w:sz="8" w:space="0" w:color="auto"/>
            </w:tcBorders>
            <w:shd w:val="clear" w:color="auto" w:fill="auto"/>
            <w:noWrap/>
            <w:vAlign w:val="center"/>
            <w:hideMark/>
          </w:tcPr>
          <w:p w14:paraId="63BCCB3F" w14:textId="77777777" w:rsidR="0008341F" w:rsidRPr="009548D7" w:rsidRDefault="0008341F" w:rsidP="000525CD">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sz w:val="16"/>
                <w:szCs w:val="16"/>
                <w:lang w:eastAsia="pt-BR"/>
              </w:rPr>
              <w:t>BPA.E055</w:t>
            </w:r>
          </w:p>
        </w:tc>
        <w:tc>
          <w:tcPr>
            <w:tcW w:w="4562" w:type="dxa"/>
            <w:tcBorders>
              <w:top w:val="nil"/>
              <w:left w:val="nil"/>
              <w:bottom w:val="nil"/>
            </w:tcBorders>
            <w:shd w:val="clear" w:color="auto" w:fill="auto"/>
            <w:noWrap/>
            <w:vAlign w:val="center"/>
            <w:hideMark/>
          </w:tcPr>
          <w:p w14:paraId="5CCE14BE" w14:textId="77777777" w:rsidR="0008341F" w:rsidRPr="009548D7" w:rsidRDefault="0008341F" w:rsidP="000525CD">
            <w:pPr>
              <w:spacing w:after="0" w:line="240" w:lineRule="auto"/>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Ajustes de Avaliação Patrimonial</w:t>
            </w:r>
          </w:p>
        </w:tc>
        <w:tc>
          <w:tcPr>
            <w:tcW w:w="775" w:type="dxa"/>
            <w:tcBorders>
              <w:top w:val="nil"/>
              <w:bottom w:val="nil"/>
              <w:right w:val="single" w:sz="8" w:space="0" w:color="auto"/>
            </w:tcBorders>
            <w:shd w:val="clear" w:color="auto" w:fill="auto"/>
            <w:noWrap/>
            <w:vAlign w:val="center"/>
          </w:tcPr>
          <w:p w14:paraId="68FE9A3B"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0A6FC824"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BPA.H054</w:t>
            </w:r>
          </w:p>
        </w:tc>
        <w:tc>
          <w:tcPr>
            <w:tcW w:w="1420" w:type="dxa"/>
            <w:tcBorders>
              <w:top w:val="nil"/>
              <w:left w:val="nil"/>
              <w:bottom w:val="nil"/>
              <w:right w:val="single" w:sz="8" w:space="0" w:color="auto"/>
            </w:tcBorders>
            <w:shd w:val="clear" w:color="auto" w:fill="auto"/>
            <w:noWrap/>
            <w:vAlign w:val="center"/>
            <w:hideMark/>
          </w:tcPr>
          <w:p w14:paraId="7D5DC678"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BPA.I054</w:t>
            </w:r>
          </w:p>
        </w:tc>
      </w:tr>
      <w:tr w:rsidR="0008341F" w:rsidRPr="009548D7" w14:paraId="4D636C5C" w14:textId="77777777" w:rsidTr="000525CD">
        <w:trPr>
          <w:trHeight w:val="255"/>
        </w:trPr>
        <w:tc>
          <w:tcPr>
            <w:tcW w:w="4410" w:type="dxa"/>
            <w:tcBorders>
              <w:top w:val="nil"/>
              <w:left w:val="single" w:sz="8" w:space="0" w:color="auto"/>
              <w:bottom w:val="nil"/>
            </w:tcBorders>
            <w:shd w:val="clear" w:color="auto" w:fill="auto"/>
            <w:noWrap/>
            <w:vAlign w:val="center"/>
            <w:hideMark/>
          </w:tcPr>
          <w:p w14:paraId="73463FCD" w14:textId="71DCDBA5" w:rsidR="0008341F" w:rsidRPr="009548D7" w:rsidRDefault="00EE460F" w:rsidP="000525CD">
            <w:pPr>
              <w:spacing w:after="0" w:line="240" w:lineRule="auto"/>
              <w:ind w:firstLineChars="200" w:firstLine="320"/>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08341F" w:rsidRPr="009548D7">
              <w:rPr>
                <w:rFonts w:ascii="Arial Narrow" w:eastAsia="Times New Roman" w:hAnsi="Arial Narrow" w:cs="Arial"/>
                <w:sz w:val="16"/>
                <w:szCs w:val="16"/>
                <w:lang w:eastAsia="pt-BR"/>
              </w:rPr>
              <w:t>(-) Redução ao Valor Recuperável de Bens Móveis</w:t>
            </w:r>
          </w:p>
        </w:tc>
        <w:tc>
          <w:tcPr>
            <w:tcW w:w="767" w:type="dxa"/>
            <w:tcBorders>
              <w:top w:val="nil"/>
              <w:bottom w:val="nil"/>
              <w:right w:val="single" w:sz="4" w:space="0" w:color="auto"/>
            </w:tcBorders>
            <w:shd w:val="clear" w:color="auto" w:fill="auto"/>
            <w:noWrap/>
            <w:vAlign w:val="center"/>
          </w:tcPr>
          <w:p w14:paraId="690A8E43"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550084AB"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BPA.D056</w:t>
            </w:r>
          </w:p>
        </w:tc>
        <w:tc>
          <w:tcPr>
            <w:tcW w:w="1262" w:type="dxa"/>
            <w:tcBorders>
              <w:top w:val="nil"/>
              <w:left w:val="nil"/>
              <w:bottom w:val="nil"/>
              <w:right w:val="single" w:sz="8" w:space="0" w:color="auto"/>
            </w:tcBorders>
            <w:shd w:val="clear" w:color="auto" w:fill="auto"/>
            <w:noWrap/>
            <w:vAlign w:val="center"/>
            <w:hideMark/>
          </w:tcPr>
          <w:p w14:paraId="0FEE7648"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BPA.E056</w:t>
            </w:r>
          </w:p>
        </w:tc>
        <w:tc>
          <w:tcPr>
            <w:tcW w:w="4562" w:type="dxa"/>
            <w:tcBorders>
              <w:top w:val="nil"/>
              <w:left w:val="nil"/>
              <w:bottom w:val="nil"/>
            </w:tcBorders>
            <w:shd w:val="clear" w:color="auto" w:fill="auto"/>
            <w:noWrap/>
            <w:vAlign w:val="center"/>
            <w:hideMark/>
          </w:tcPr>
          <w:p w14:paraId="4A3C59AF" w14:textId="77777777" w:rsidR="0008341F" w:rsidRPr="009548D7" w:rsidRDefault="0008341F" w:rsidP="000525CD">
            <w:pPr>
              <w:spacing w:after="0" w:line="240" w:lineRule="auto"/>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Reservas de Lucros</w:t>
            </w:r>
          </w:p>
        </w:tc>
        <w:tc>
          <w:tcPr>
            <w:tcW w:w="775" w:type="dxa"/>
            <w:tcBorders>
              <w:top w:val="nil"/>
              <w:bottom w:val="nil"/>
              <w:right w:val="single" w:sz="8" w:space="0" w:color="auto"/>
            </w:tcBorders>
            <w:shd w:val="clear" w:color="auto" w:fill="auto"/>
            <w:noWrap/>
            <w:vAlign w:val="center"/>
          </w:tcPr>
          <w:p w14:paraId="08496AE4"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039657EA"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BPA.H055</w:t>
            </w:r>
          </w:p>
        </w:tc>
        <w:tc>
          <w:tcPr>
            <w:tcW w:w="1420" w:type="dxa"/>
            <w:tcBorders>
              <w:top w:val="nil"/>
              <w:left w:val="nil"/>
              <w:bottom w:val="nil"/>
              <w:right w:val="single" w:sz="8" w:space="0" w:color="auto"/>
            </w:tcBorders>
            <w:shd w:val="clear" w:color="auto" w:fill="auto"/>
            <w:noWrap/>
            <w:vAlign w:val="center"/>
            <w:hideMark/>
          </w:tcPr>
          <w:p w14:paraId="39B7707E"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BPA.I055</w:t>
            </w:r>
          </w:p>
        </w:tc>
      </w:tr>
      <w:tr w:rsidR="0008341F" w:rsidRPr="009548D7" w14:paraId="2BB8D53F" w14:textId="77777777" w:rsidTr="000525CD">
        <w:trPr>
          <w:trHeight w:val="255"/>
        </w:trPr>
        <w:tc>
          <w:tcPr>
            <w:tcW w:w="4410" w:type="dxa"/>
            <w:tcBorders>
              <w:top w:val="nil"/>
              <w:left w:val="single" w:sz="8" w:space="0" w:color="auto"/>
              <w:bottom w:val="nil"/>
            </w:tcBorders>
            <w:shd w:val="clear" w:color="auto" w:fill="auto"/>
            <w:noWrap/>
            <w:vAlign w:val="center"/>
            <w:hideMark/>
          </w:tcPr>
          <w:p w14:paraId="7A40F669" w14:textId="4F128FAF" w:rsidR="0008341F" w:rsidRPr="009548D7" w:rsidRDefault="00EE460F" w:rsidP="00EE460F">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08341F" w:rsidRPr="009548D7">
              <w:rPr>
                <w:rFonts w:ascii="Arial Narrow" w:eastAsia="Times New Roman" w:hAnsi="Arial Narrow" w:cs="Arial"/>
                <w:sz w:val="16"/>
                <w:szCs w:val="16"/>
                <w:lang w:eastAsia="pt-BR"/>
              </w:rPr>
              <w:t>Bens Imóveis</w:t>
            </w:r>
          </w:p>
        </w:tc>
        <w:tc>
          <w:tcPr>
            <w:tcW w:w="767" w:type="dxa"/>
            <w:tcBorders>
              <w:top w:val="nil"/>
              <w:bottom w:val="nil"/>
              <w:right w:val="single" w:sz="4" w:space="0" w:color="auto"/>
            </w:tcBorders>
            <w:shd w:val="clear" w:color="auto" w:fill="auto"/>
            <w:noWrap/>
            <w:vAlign w:val="center"/>
          </w:tcPr>
          <w:p w14:paraId="293A170D"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34931FC5"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BPA.D057</w:t>
            </w:r>
          </w:p>
        </w:tc>
        <w:tc>
          <w:tcPr>
            <w:tcW w:w="1262" w:type="dxa"/>
            <w:tcBorders>
              <w:top w:val="nil"/>
              <w:left w:val="nil"/>
              <w:bottom w:val="nil"/>
              <w:right w:val="single" w:sz="8" w:space="0" w:color="auto"/>
            </w:tcBorders>
            <w:shd w:val="clear" w:color="auto" w:fill="auto"/>
            <w:noWrap/>
            <w:vAlign w:val="center"/>
            <w:hideMark/>
          </w:tcPr>
          <w:p w14:paraId="0B369E70"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BPA.E057</w:t>
            </w:r>
          </w:p>
        </w:tc>
        <w:tc>
          <w:tcPr>
            <w:tcW w:w="4562" w:type="dxa"/>
            <w:tcBorders>
              <w:top w:val="nil"/>
              <w:left w:val="nil"/>
              <w:bottom w:val="nil"/>
            </w:tcBorders>
            <w:shd w:val="clear" w:color="auto" w:fill="auto"/>
            <w:noWrap/>
            <w:vAlign w:val="center"/>
            <w:hideMark/>
          </w:tcPr>
          <w:p w14:paraId="4968E84F" w14:textId="77777777" w:rsidR="0008341F" w:rsidRPr="009548D7" w:rsidRDefault="0008341F" w:rsidP="000525CD">
            <w:pPr>
              <w:spacing w:after="0" w:line="240" w:lineRule="auto"/>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Demais Reservas</w:t>
            </w:r>
          </w:p>
        </w:tc>
        <w:tc>
          <w:tcPr>
            <w:tcW w:w="775" w:type="dxa"/>
            <w:tcBorders>
              <w:top w:val="nil"/>
              <w:bottom w:val="nil"/>
              <w:right w:val="single" w:sz="8" w:space="0" w:color="auto"/>
            </w:tcBorders>
            <w:shd w:val="clear" w:color="auto" w:fill="auto"/>
            <w:noWrap/>
            <w:vAlign w:val="center"/>
          </w:tcPr>
          <w:p w14:paraId="58A4EC53"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4A0B0CE2"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BPA.H056</w:t>
            </w:r>
          </w:p>
        </w:tc>
        <w:tc>
          <w:tcPr>
            <w:tcW w:w="1420" w:type="dxa"/>
            <w:tcBorders>
              <w:top w:val="nil"/>
              <w:left w:val="nil"/>
              <w:bottom w:val="nil"/>
              <w:right w:val="single" w:sz="8" w:space="0" w:color="auto"/>
            </w:tcBorders>
            <w:shd w:val="clear" w:color="auto" w:fill="auto"/>
            <w:noWrap/>
            <w:vAlign w:val="center"/>
            <w:hideMark/>
          </w:tcPr>
          <w:p w14:paraId="24FA270D"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BPA.I056</w:t>
            </w:r>
          </w:p>
        </w:tc>
      </w:tr>
      <w:tr w:rsidR="0008341F" w:rsidRPr="009548D7" w14:paraId="55DBE74F" w14:textId="77777777" w:rsidTr="000525CD">
        <w:trPr>
          <w:trHeight w:val="255"/>
        </w:trPr>
        <w:tc>
          <w:tcPr>
            <w:tcW w:w="5177" w:type="dxa"/>
            <w:gridSpan w:val="2"/>
            <w:tcBorders>
              <w:top w:val="nil"/>
              <w:left w:val="single" w:sz="8" w:space="0" w:color="auto"/>
              <w:bottom w:val="nil"/>
              <w:right w:val="single" w:sz="4" w:space="0" w:color="auto"/>
            </w:tcBorders>
            <w:shd w:val="clear" w:color="auto" w:fill="auto"/>
            <w:noWrap/>
            <w:vAlign w:val="center"/>
            <w:hideMark/>
          </w:tcPr>
          <w:p w14:paraId="734ACB03" w14:textId="604D0F40" w:rsidR="0008341F" w:rsidRPr="009548D7" w:rsidRDefault="00EE460F" w:rsidP="0008341F">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08341F" w:rsidRPr="009548D7">
              <w:rPr>
                <w:rFonts w:ascii="Arial Narrow" w:eastAsia="Times New Roman" w:hAnsi="Arial Narrow" w:cs="Arial"/>
                <w:sz w:val="16"/>
                <w:szCs w:val="16"/>
                <w:lang w:eastAsia="pt-BR"/>
              </w:rPr>
              <w:t>(-) Depreciação, Exaustão e Amortização Acumuladas de Bens Imóveis</w:t>
            </w:r>
          </w:p>
        </w:tc>
        <w:tc>
          <w:tcPr>
            <w:tcW w:w="1063" w:type="dxa"/>
            <w:tcBorders>
              <w:top w:val="nil"/>
              <w:left w:val="single" w:sz="4" w:space="0" w:color="auto"/>
              <w:bottom w:val="nil"/>
              <w:right w:val="single" w:sz="8" w:space="0" w:color="auto"/>
            </w:tcBorders>
            <w:shd w:val="clear" w:color="auto" w:fill="auto"/>
            <w:noWrap/>
            <w:vAlign w:val="center"/>
            <w:hideMark/>
          </w:tcPr>
          <w:p w14:paraId="175B14A0"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BPA.D058</w:t>
            </w:r>
          </w:p>
        </w:tc>
        <w:tc>
          <w:tcPr>
            <w:tcW w:w="1262" w:type="dxa"/>
            <w:tcBorders>
              <w:top w:val="nil"/>
              <w:left w:val="nil"/>
              <w:bottom w:val="nil"/>
              <w:right w:val="single" w:sz="8" w:space="0" w:color="auto"/>
            </w:tcBorders>
            <w:shd w:val="clear" w:color="auto" w:fill="auto"/>
            <w:noWrap/>
            <w:vAlign w:val="center"/>
            <w:hideMark/>
          </w:tcPr>
          <w:p w14:paraId="1C32EC35"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BPA.E058</w:t>
            </w:r>
          </w:p>
        </w:tc>
        <w:tc>
          <w:tcPr>
            <w:tcW w:w="4562" w:type="dxa"/>
            <w:tcBorders>
              <w:top w:val="nil"/>
              <w:left w:val="nil"/>
              <w:bottom w:val="nil"/>
            </w:tcBorders>
            <w:shd w:val="clear" w:color="auto" w:fill="auto"/>
            <w:noWrap/>
            <w:vAlign w:val="center"/>
            <w:hideMark/>
          </w:tcPr>
          <w:p w14:paraId="689C7BED" w14:textId="77777777" w:rsidR="0008341F" w:rsidRPr="009548D7" w:rsidRDefault="0008341F" w:rsidP="000525CD">
            <w:pPr>
              <w:spacing w:after="0" w:line="240" w:lineRule="auto"/>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Resultados Acumulados</w:t>
            </w:r>
          </w:p>
        </w:tc>
        <w:tc>
          <w:tcPr>
            <w:tcW w:w="775" w:type="dxa"/>
            <w:tcBorders>
              <w:top w:val="nil"/>
              <w:bottom w:val="nil"/>
              <w:right w:val="single" w:sz="8" w:space="0" w:color="auto"/>
            </w:tcBorders>
            <w:shd w:val="clear" w:color="auto" w:fill="auto"/>
            <w:noWrap/>
            <w:vAlign w:val="center"/>
          </w:tcPr>
          <w:p w14:paraId="564B28A9"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1C63B503"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BPA.H057</w:t>
            </w:r>
          </w:p>
        </w:tc>
        <w:tc>
          <w:tcPr>
            <w:tcW w:w="1420" w:type="dxa"/>
            <w:tcBorders>
              <w:top w:val="nil"/>
              <w:left w:val="nil"/>
              <w:bottom w:val="nil"/>
              <w:right w:val="single" w:sz="8" w:space="0" w:color="auto"/>
            </w:tcBorders>
            <w:shd w:val="clear" w:color="auto" w:fill="auto"/>
            <w:noWrap/>
            <w:vAlign w:val="center"/>
            <w:hideMark/>
          </w:tcPr>
          <w:p w14:paraId="3823F0DC"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BPA.I057</w:t>
            </w:r>
          </w:p>
        </w:tc>
      </w:tr>
      <w:tr w:rsidR="0008341F" w:rsidRPr="009548D7" w14:paraId="2AB10403" w14:textId="77777777" w:rsidTr="000525CD">
        <w:trPr>
          <w:trHeight w:val="255"/>
        </w:trPr>
        <w:tc>
          <w:tcPr>
            <w:tcW w:w="4410" w:type="dxa"/>
            <w:tcBorders>
              <w:top w:val="nil"/>
              <w:left w:val="single" w:sz="8" w:space="0" w:color="auto"/>
            </w:tcBorders>
            <w:shd w:val="clear" w:color="auto" w:fill="auto"/>
            <w:noWrap/>
            <w:vAlign w:val="center"/>
            <w:hideMark/>
          </w:tcPr>
          <w:p w14:paraId="7045B529" w14:textId="3B742ACB" w:rsidR="0008341F" w:rsidRPr="009548D7" w:rsidRDefault="00EE460F" w:rsidP="00EE460F">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08341F" w:rsidRPr="009548D7">
              <w:rPr>
                <w:rFonts w:ascii="Arial Narrow" w:eastAsia="Times New Roman" w:hAnsi="Arial Narrow" w:cs="Arial"/>
                <w:sz w:val="16"/>
                <w:szCs w:val="16"/>
                <w:lang w:eastAsia="pt-BR"/>
              </w:rPr>
              <w:t>(-) Redução ao Valor Recuperável de Bens Imóveis</w:t>
            </w:r>
          </w:p>
        </w:tc>
        <w:tc>
          <w:tcPr>
            <w:tcW w:w="767" w:type="dxa"/>
            <w:tcBorders>
              <w:top w:val="nil"/>
              <w:right w:val="single" w:sz="4" w:space="0" w:color="auto"/>
            </w:tcBorders>
            <w:shd w:val="clear" w:color="auto" w:fill="auto"/>
            <w:noWrap/>
            <w:vAlign w:val="center"/>
          </w:tcPr>
          <w:p w14:paraId="3D43E293"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right w:val="single" w:sz="8" w:space="0" w:color="auto"/>
            </w:tcBorders>
            <w:shd w:val="clear" w:color="auto" w:fill="auto"/>
            <w:noWrap/>
            <w:vAlign w:val="center"/>
            <w:hideMark/>
          </w:tcPr>
          <w:p w14:paraId="705804D4"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BPA.D059</w:t>
            </w:r>
          </w:p>
        </w:tc>
        <w:tc>
          <w:tcPr>
            <w:tcW w:w="1262" w:type="dxa"/>
            <w:tcBorders>
              <w:top w:val="nil"/>
              <w:left w:val="nil"/>
              <w:right w:val="single" w:sz="8" w:space="0" w:color="auto"/>
            </w:tcBorders>
            <w:shd w:val="clear" w:color="auto" w:fill="auto"/>
            <w:noWrap/>
            <w:vAlign w:val="center"/>
            <w:hideMark/>
          </w:tcPr>
          <w:p w14:paraId="7BBE3AA3"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BPA.E059</w:t>
            </w:r>
          </w:p>
        </w:tc>
        <w:tc>
          <w:tcPr>
            <w:tcW w:w="4562" w:type="dxa"/>
            <w:tcBorders>
              <w:top w:val="nil"/>
              <w:left w:val="nil"/>
              <w:bottom w:val="nil"/>
            </w:tcBorders>
            <w:shd w:val="clear" w:color="auto" w:fill="auto"/>
            <w:noWrap/>
            <w:vAlign w:val="center"/>
            <w:hideMark/>
          </w:tcPr>
          <w:p w14:paraId="4BDC88B5" w14:textId="77777777" w:rsidR="0008341F" w:rsidRPr="009548D7" w:rsidRDefault="0008341F" w:rsidP="000525CD">
            <w:pPr>
              <w:spacing w:after="0" w:line="240" w:lineRule="auto"/>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Resultado do Exercício</w:t>
            </w:r>
          </w:p>
        </w:tc>
        <w:tc>
          <w:tcPr>
            <w:tcW w:w="775" w:type="dxa"/>
            <w:tcBorders>
              <w:top w:val="nil"/>
              <w:bottom w:val="nil"/>
              <w:right w:val="single" w:sz="8" w:space="0" w:color="auto"/>
            </w:tcBorders>
            <w:shd w:val="clear" w:color="auto" w:fill="auto"/>
            <w:noWrap/>
            <w:vAlign w:val="center"/>
          </w:tcPr>
          <w:p w14:paraId="66756D94"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41F9C133"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BPA.H058</w:t>
            </w:r>
          </w:p>
        </w:tc>
        <w:tc>
          <w:tcPr>
            <w:tcW w:w="1420" w:type="dxa"/>
            <w:tcBorders>
              <w:top w:val="nil"/>
              <w:left w:val="nil"/>
              <w:bottom w:val="nil"/>
              <w:right w:val="single" w:sz="8" w:space="0" w:color="auto"/>
            </w:tcBorders>
            <w:shd w:val="clear" w:color="auto" w:fill="auto"/>
            <w:noWrap/>
            <w:vAlign w:val="center"/>
            <w:hideMark/>
          </w:tcPr>
          <w:p w14:paraId="257593BA"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BPA.I058</w:t>
            </w:r>
          </w:p>
        </w:tc>
      </w:tr>
      <w:tr w:rsidR="0008341F" w:rsidRPr="009548D7" w14:paraId="0C419B8D" w14:textId="77777777" w:rsidTr="000525CD">
        <w:trPr>
          <w:trHeight w:val="255"/>
        </w:trPr>
        <w:tc>
          <w:tcPr>
            <w:tcW w:w="4410" w:type="dxa"/>
            <w:tcBorders>
              <w:top w:val="nil"/>
              <w:left w:val="single" w:sz="8" w:space="0" w:color="auto"/>
            </w:tcBorders>
            <w:shd w:val="clear" w:color="auto" w:fill="auto"/>
            <w:noWrap/>
            <w:vAlign w:val="center"/>
            <w:hideMark/>
          </w:tcPr>
          <w:p w14:paraId="63F3BED4" w14:textId="7BD25488" w:rsidR="0008341F" w:rsidRPr="009548D7" w:rsidRDefault="00EE460F" w:rsidP="00EE460F">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08341F" w:rsidRPr="00EC4B4F">
              <w:rPr>
                <w:rFonts w:ascii="Arial Narrow" w:eastAsia="Times New Roman" w:hAnsi="Arial Narrow" w:cs="Arial"/>
                <w:sz w:val="16"/>
                <w:szCs w:val="16"/>
                <w:lang w:eastAsia="pt-BR"/>
              </w:rPr>
              <w:t>(-) Subvenção Governamental para Investimentos</w:t>
            </w:r>
          </w:p>
        </w:tc>
        <w:tc>
          <w:tcPr>
            <w:tcW w:w="767" w:type="dxa"/>
            <w:tcBorders>
              <w:top w:val="nil"/>
              <w:right w:val="single" w:sz="4" w:space="0" w:color="auto"/>
            </w:tcBorders>
            <w:shd w:val="clear" w:color="auto" w:fill="auto"/>
            <w:noWrap/>
            <w:vAlign w:val="center"/>
          </w:tcPr>
          <w:p w14:paraId="18ECBFC2"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right w:val="single" w:sz="8" w:space="0" w:color="auto"/>
            </w:tcBorders>
            <w:shd w:val="clear" w:color="auto" w:fill="auto"/>
            <w:noWrap/>
            <w:vAlign w:val="center"/>
            <w:hideMark/>
          </w:tcPr>
          <w:p w14:paraId="4D8528CD"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EC4B4F">
              <w:rPr>
                <w:rFonts w:ascii="Arial Narrow" w:eastAsia="Times New Roman" w:hAnsi="Arial Narrow" w:cs="Arial"/>
                <w:sz w:val="16"/>
                <w:szCs w:val="16"/>
                <w:lang w:eastAsia="pt-BR"/>
              </w:rPr>
              <w:t>BPA.D074</w:t>
            </w:r>
          </w:p>
        </w:tc>
        <w:tc>
          <w:tcPr>
            <w:tcW w:w="1262" w:type="dxa"/>
            <w:tcBorders>
              <w:top w:val="nil"/>
              <w:left w:val="nil"/>
              <w:right w:val="single" w:sz="8" w:space="0" w:color="auto"/>
            </w:tcBorders>
            <w:shd w:val="clear" w:color="auto" w:fill="auto"/>
            <w:noWrap/>
            <w:vAlign w:val="center"/>
            <w:hideMark/>
          </w:tcPr>
          <w:p w14:paraId="087B2A93"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EC4B4F">
              <w:rPr>
                <w:rFonts w:ascii="Arial Narrow" w:eastAsia="Times New Roman" w:hAnsi="Arial Narrow" w:cs="Arial"/>
                <w:sz w:val="16"/>
                <w:szCs w:val="16"/>
                <w:lang w:eastAsia="pt-BR"/>
              </w:rPr>
              <w:t>BPA.E074</w:t>
            </w:r>
          </w:p>
        </w:tc>
        <w:tc>
          <w:tcPr>
            <w:tcW w:w="4562" w:type="dxa"/>
            <w:tcBorders>
              <w:top w:val="nil"/>
              <w:left w:val="nil"/>
            </w:tcBorders>
            <w:shd w:val="clear" w:color="auto" w:fill="auto"/>
            <w:noWrap/>
            <w:vAlign w:val="center"/>
            <w:hideMark/>
          </w:tcPr>
          <w:p w14:paraId="781D04AB" w14:textId="77777777" w:rsidR="0008341F" w:rsidRPr="009548D7" w:rsidRDefault="0008341F" w:rsidP="000525CD">
            <w:pPr>
              <w:spacing w:after="0" w:line="240" w:lineRule="auto"/>
              <w:ind w:firstLineChars="100" w:firstLine="16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Resultado de Exercícios Anteriores</w:t>
            </w:r>
          </w:p>
        </w:tc>
        <w:tc>
          <w:tcPr>
            <w:tcW w:w="775" w:type="dxa"/>
            <w:tcBorders>
              <w:top w:val="nil"/>
              <w:right w:val="single" w:sz="8" w:space="0" w:color="auto"/>
            </w:tcBorders>
            <w:shd w:val="clear" w:color="auto" w:fill="auto"/>
            <w:noWrap/>
            <w:vAlign w:val="center"/>
          </w:tcPr>
          <w:p w14:paraId="0C4907F7"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nil"/>
              <w:right w:val="single" w:sz="8" w:space="0" w:color="auto"/>
            </w:tcBorders>
            <w:shd w:val="clear" w:color="auto" w:fill="auto"/>
            <w:noWrap/>
            <w:vAlign w:val="center"/>
            <w:hideMark/>
          </w:tcPr>
          <w:p w14:paraId="68C33B50"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BPA.H059</w:t>
            </w:r>
          </w:p>
        </w:tc>
        <w:tc>
          <w:tcPr>
            <w:tcW w:w="1420" w:type="dxa"/>
            <w:tcBorders>
              <w:top w:val="nil"/>
              <w:left w:val="nil"/>
              <w:right w:val="single" w:sz="8" w:space="0" w:color="auto"/>
            </w:tcBorders>
            <w:shd w:val="clear" w:color="auto" w:fill="auto"/>
            <w:noWrap/>
            <w:vAlign w:val="center"/>
            <w:hideMark/>
          </w:tcPr>
          <w:p w14:paraId="24C748D3"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BPA.I059</w:t>
            </w:r>
          </w:p>
        </w:tc>
      </w:tr>
      <w:tr w:rsidR="0008341F" w:rsidRPr="009548D7" w14:paraId="34B3CAD3" w14:textId="77777777" w:rsidTr="000525CD">
        <w:trPr>
          <w:trHeight w:val="255"/>
        </w:trPr>
        <w:tc>
          <w:tcPr>
            <w:tcW w:w="4410" w:type="dxa"/>
            <w:tcBorders>
              <w:top w:val="nil"/>
              <w:left w:val="single" w:sz="8" w:space="0" w:color="auto"/>
            </w:tcBorders>
            <w:shd w:val="clear" w:color="auto" w:fill="auto"/>
            <w:noWrap/>
            <w:vAlign w:val="center"/>
          </w:tcPr>
          <w:p w14:paraId="4BF91BFB" w14:textId="58A0E3BB" w:rsidR="0008341F" w:rsidRPr="00EC4B4F" w:rsidRDefault="00EE460F" w:rsidP="000525CD">
            <w:pPr>
              <w:spacing w:after="0" w:line="240" w:lineRule="auto"/>
              <w:rPr>
                <w:rFonts w:ascii="Arial Narrow" w:eastAsia="Times New Roman" w:hAnsi="Arial Narrow" w:cs="Arial"/>
                <w:b/>
                <w:bCs/>
                <w:sz w:val="16"/>
                <w:szCs w:val="16"/>
                <w:lang w:eastAsia="pt-BR"/>
              </w:rPr>
            </w:pPr>
            <w:r>
              <w:rPr>
                <w:rFonts w:ascii="Arial Narrow" w:eastAsia="Times New Roman" w:hAnsi="Arial Narrow" w:cs="Arial"/>
                <w:b/>
                <w:bCs/>
                <w:sz w:val="16"/>
                <w:szCs w:val="16"/>
                <w:lang w:eastAsia="pt-BR"/>
              </w:rPr>
              <w:t xml:space="preserve">     </w:t>
            </w:r>
            <w:r w:rsidR="0008341F" w:rsidRPr="009548D7">
              <w:rPr>
                <w:rFonts w:ascii="Arial Narrow" w:eastAsia="Times New Roman" w:hAnsi="Arial Narrow" w:cs="Arial"/>
                <w:b/>
                <w:bCs/>
                <w:sz w:val="16"/>
                <w:szCs w:val="16"/>
                <w:lang w:eastAsia="pt-BR"/>
              </w:rPr>
              <w:t>Intangível</w:t>
            </w:r>
          </w:p>
        </w:tc>
        <w:tc>
          <w:tcPr>
            <w:tcW w:w="767" w:type="dxa"/>
            <w:tcBorders>
              <w:top w:val="nil"/>
              <w:right w:val="single" w:sz="4" w:space="0" w:color="auto"/>
            </w:tcBorders>
            <w:shd w:val="clear" w:color="auto" w:fill="auto"/>
            <w:noWrap/>
            <w:vAlign w:val="center"/>
          </w:tcPr>
          <w:p w14:paraId="2EB34905" w14:textId="77777777" w:rsidR="0008341F" w:rsidRPr="00EC4B4F"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right w:val="single" w:sz="8" w:space="0" w:color="auto"/>
            </w:tcBorders>
            <w:shd w:val="clear" w:color="auto" w:fill="auto"/>
            <w:noWrap/>
            <w:vAlign w:val="center"/>
          </w:tcPr>
          <w:p w14:paraId="2F0520AE" w14:textId="77777777" w:rsidR="0008341F" w:rsidRPr="00EC4B4F"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b/>
                <w:bCs/>
                <w:sz w:val="16"/>
                <w:szCs w:val="16"/>
                <w:lang w:eastAsia="pt-BR"/>
              </w:rPr>
              <w:t>BPA.D060</w:t>
            </w:r>
          </w:p>
        </w:tc>
        <w:tc>
          <w:tcPr>
            <w:tcW w:w="1262" w:type="dxa"/>
            <w:tcBorders>
              <w:top w:val="nil"/>
              <w:left w:val="nil"/>
              <w:right w:val="single" w:sz="8" w:space="0" w:color="auto"/>
            </w:tcBorders>
            <w:shd w:val="clear" w:color="auto" w:fill="auto"/>
            <w:noWrap/>
            <w:vAlign w:val="center"/>
          </w:tcPr>
          <w:p w14:paraId="72C38135" w14:textId="77777777" w:rsidR="0008341F" w:rsidRPr="00EC4B4F"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b/>
                <w:bCs/>
                <w:sz w:val="16"/>
                <w:szCs w:val="16"/>
                <w:lang w:eastAsia="pt-BR"/>
              </w:rPr>
              <w:t>BPA.E060</w:t>
            </w:r>
          </w:p>
        </w:tc>
        <w:tc>
          <w:tcPr>
            <w:tcW w:w="4562" w:type="dxa"/>
            <w:tcBorders>
              <w:top w:val="nil"/>
              <w:left w:val="nil"/>
            </w:tcBorders>
            <w:shd w:val="clear" w:color="auto" w:fill="auto"/>
            <w:noWrap/>
            <w:vAlign w:val="center"/>
            <w:hideMark/>
          </w:tcPr>
          <w:p w14:paraId="5140D1D4" w14:textId="77777777" w:rsidR="0008341F" w:rsidRPr="009548D7" w:rsidRDefault="0008341F" w:rsidP="000525CD">
            <w:pPr>
              <w:spacing w:after="0" w:line="240" w:lineRule="auto"/>
              <w:ind w:firstLineChars="100" w:firstLine="16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Ajustes de Exercícios Anteriores</w:t>
            </w:r>
          </w:p>
        </w:tc>
        <w:tc>
          <w:tcPr>
            <w:tcW w:w="775" w:type="dxa"/>
            <w:tcBorders>
              <w:top w:val="nil"/>
              <w:right w:val="single" w:sz="8" w:space="0" w:color="auto"/>
            </w:tcBorders>
            <w:shd w:val="clear" w:color="auto" w:fill="auto"/>
            <w:noWrap/>
            <w:vAlign w:val="center"/>
          </w:tcPr>
          <w:p w14:paraId="3EBE8A5B"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nil"/>
              <w:right w:val="single" w:sz="8" w:space="0" w:color="auto"/>
            </w:tcBorders>
            <w:shd w:val="clear" w:color="auto" w:fill="auto"/>
            <w:noWrap/>
            <w:vAlign w:val="center"/>
            <w:hideMark/>
          </w:tcPr>
          <w:p w14:paraId="2ECEA4D1"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BPA.H060</w:t>
            </w:r>
          </w:p>
        </w:tc>
        <w:tc>
          <w:tcPr>
            <w:tcW w:w="1420" w:type="dxa"/>
            <w:tcBorders>
              <w:top w:val="nil"/>
              <w:left w:val="nil"/>
              <w:right w:val="single" w:sz="8" w:space="0" w:color="auto"/>
            </w:tcBorders>
            <w:shd w:val="clear" w:color="auto" w:fill="auto"/>
            <w:noWrap/>
            <w:vAlign w:val="center"/>
            <w:hideMark/>
          </w:tcPr>
          <w:p w14:paraId="4895C502"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BPA.I060</w:t>
            </w:r>
          </w:p>
        </w:tc>
      </w:tr>
      <w:tr w:rsidR="0008341F" w:rsidRPr="009548D7" w14:paraId="70F6252B" w14:textId="77777777" w:rsidTr="000525CD">
        <w:trPr>
          <w:trHeight w:val="225"/>
        </w:trPr>
        <w:tc>
          <w:tcPr>
            <w:tcW w:w="4410" w:type="dxa"/>
            <w:tcBorders>
              <w:top w:val="nil"/>
              <w:left w:val="single" w:sz="8" w:space="0" w:color="auto"/>
            </w:tcBorders>
            <w:shd w:val="clear" w:color="auto" w:fill="auto"/>
            <w:vAlign w:val="center"/>
            <w:hideMark/>
          </w:tcPr>
          <w:p w14:paraId="7078C61C" w14:textId="1FD0E76B" w:rsidR="0008341F" w:rsidRPr="009548D7" w:rsidRDefault="00EE460F" w:rsidP="00EE460F">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08341F" w:rsidRPr="009548D7">
              <w:rPr>
                <w:rFonts w:ascii="Arial Narrow" w:eastAsia="Times New Roman" w:hAnsi="Arial Narrow" w:cs="Arial"/>
                <w:sz w:val="16"/>
                <w:szCs w:val="16"/>
                <w:lang w:eastAsia="pt-BR"/>
              </w:rPr>
              <w:t>Softwares</w:t>
            </w:r>
          </w:p>
        </w:tc>
        <w:tc>
          <w:tcPr>
            <w:tcW w:w="767" w:type="dxa"/>
            <w:tcBorders>
              <w:top w:val="nil"/>
              <w:right w:val="single" w:sz="4" w:space="0" w:color="auto"/>
            </w:tcBorders>
            <w:shd w:val="clear" w:color="auto" w:fill="auto"/>
            <w:noWrap/>
            <w:vAlign w:val="center"/>
          </w:tcPr>
          <w:p w14:paraId="6455089F"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right w:val="single" w:sz="8" w:space="0" w:color="auto"/>
            </w:tcBorders>
            <w:shd w:val="clear" w:color="auto" w:fill="auto"/>
            <w:noWrap/>
            <w:vAlign w:val="center"/>
            <w:hideMark/>
          </w:tcPr>
          <w:p w14:paraId="2D389DB2"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BPA.D061</w:t>
            </w:r>
          </w:p>
        </w:tc>
        <w:tc>
          <w:tcPr>
            <w:tcW w:w="1262" w:type="dxa"/>
            <w:tcBorders>
              <w:top w:val="nil"/>
              <w:left w:val="nil"/>
              <w:right w:val="single" w:sz="8" w:space="0" w:color="auto"/>
            </w:tcBorders>
            <w:shd w:val="clear" w:color="auto" w:fill="auto"/>
            <w:noWrap/>
            <w:vAlign w:val="center"/>
            <w:hideMark/>
          </w:tcPr>
          <w:p w14:paraId="700678A6"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BPA.E061</w:t>
            </w:r>
          </w:p>
        </w:tc>
        <w:tc>
          <w:tcPr>
            <w:tcW w:w="4562" w:type="dxa"/>
            <w:tcBorders>
              <w:top w:val="nil"/>
              <w:left w:val="nil"/>
              <w:bottom w:val="nil"/>
            </w:tcBorders>
            <w:shd w:val="clear" w:color="auto" w:fill="auto"/>
            <w:noWrap/>
            <w:vAlign w:val="center"/>
            <w:hideMark/>
          </w:tcPr>
          <w:p w14:paraId="434F60FB" w14:textId="77777777" w:rsidR="0008341F" w:rsidRPr="009548D7" w:rsidRDefault="0008341F" w:rsidP="000525CD">
            <w:pPr>
              <w:spacing w:after="0" w:line="240" w:lineRule="auto"/>
              <w:ind w:firstLineChars="100" w:firstLine="16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Outros resultados</w:t>
            </w:r>
          </w:p>
        </w:tc>
        <w:tc>
          <w:tcPr>
            <w:tcW w:w="775" w:type="dxa"/>
            <w:tcBorders>
              <w:top w:val="nil"/>
              <w:bottom w:val="nil"/>
              <w:right w:val="single" w:sz="8" w:space="0" w:color="auto"/>
            </w:tcBorders>
            <w:shd w:val="clear" w:color="auto" w:fill="auto"/>
            <w:noWrap/>
            <w:vAlign w:val="center"/>
          </w:tcPr>
          <w:p w14:paraId="57484D95"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0BD52326"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BPA.H061</w:t>
            </w:r>
          </w:p>
        </w:tc>
        <w:tc>
          <w:tcPr>
            <w:tcW w:w="1420" w:type="dxa"/>
            <w:tcBorders>
              <w:top w:val="nil"/>
              <w:left w:val="nil"/>
              <w:bottom w:val="nil"/>
              <w:right w:val="single" w:sz="8" w:space="0" w:color="auto"/>
            </w:tcBorders>
            <w:shd w:val="clear" w:color="auto" w:fill="auto"/>
            <w:noWrap/>
            <w:vAlign w:val="center"/>
            <w:hideMark/>
          </w:tcPr>
          <w:p w14:paraId="0AB2305D"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BPA.I061</w:t>
            </w:r>
          </w:p>
        </w:tc>
      </w:tr>
      <w:tr w:rsidR="0008341F" w:rsidRPr="009548D7" w14:paraId="681A16EF" w14:textId="77777777" w:rsidTr="000525CD">
        <w:trPr>
          <w:trHeight w:val="255"/>
        </w:trPr>
        <w:tc>
          <w:tcPr>
            <w:tcW w:w="4410" w:type="dxa"/>
            <w:tcBorders>
              <w:left w:val="single" w:sz="8" w:space="0" w:color="auto"/>
              <w:bottom w:val="nil"/>
            </w:tcBorders>
            <w:shd w:val="clear" w:color="auto" w:fill="auto"/>
            <w:noWrap/>
            <w:vAlign w:val="center"/>
            <w:hideMark/>
          </w:tcPr>
          <w:p w14:paraId="2DFCC41B" w14:textId="616A45C8" w:rsidR="0008341F" w:rsidRPr="009548D7" w:rsidRDefault="00EE460F" w:rsidP="000525CD">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08341F" w:rsidRPr="009548D7">
              <w:rPr>
                <w:rFonts w:ascii="Arial Narrow" w:eastAsia="Times New Roman" w:hAnsi="Arial Narrow" w:cs="Arial"/>
                <w:sz w:val="16"/>
                <w:szCs w:val="16"/>
                <w:lang w:eastAsia="pt-BR"/>
              </w:rPr>
              <w:t>(-) Amortização Acumulada de softwares</w:t>
            </w:r>
          </w:p>
        </w:tc>
        <w:tc>
          <w:tcPr>
            <w:tcW w:w="767" w:type="dxa"/>
            <w:tcBorders>
              <w:bottom w:val="nil"/>
              <w:right w:val="single" w:sz="4" w:space="0" w:color="auto"/>
            </w:tcBorders>
            <w:shd w:val="clear" w:color="auto" w:fill="auto"/>
            <w:noWrap/>
            <w:vAlign w:val="center"/>
          </w:tcPr>
          <w:p w14:paraId="54FBFF6C"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left w:val="single" w:sz="4" w:space="0" w:color="auto"/>
              <w:bottom w:val="nil"/>
              <w:right w:val="single" w:sz="8" w:space="0" w:color="auto"/>
            </w:tcBorders>
            <w:shd w:val="clear" w:color="auto" w:fill="auto"/>
            <w:noWrap/>
            <w:vAlign w:val="center"/>
            <w:hideMark/>
          </w:tcPr>
          <w:p w14:paraId="6282B43D"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BPA.D062</w:t>
            </w:r>
          </w:p>
        </w:tc>
        <w:tc>
          <w:tcPr>
            <w:tcW w:w="1262" w:type="dxa"/>
            <w:tcBorders>
              <w:left w:val="nil"/>
              <w:bottom w:val="nil"/>
              <w:right w:val="single" w:sz="8" w:space="0" w:color="auto"/>
            </w:tcBorders>
            <w:shd w:val="clear" w:color="auto" w:fill="auto"/>
            <w:noWrap/>
            <w:vAlign w:val="center"/>
            <w:hideMark/>
          </w:tcPr>
          <w:p w14:paraId="4B49787A"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BPA.E062</w:t>
            </w:r>
          </w:p>
        </w:tc>
        <w:tc>
          <w:tcPr>
            <w:tcW w:w="4562" w:type="dxa"/>
            <w:tcBorders>
              <w:top w:val="nil"/>
              <w:left w:val="nil"/>
              <w:bottom w:val="nil"/>
            </w:tcBorders>
            <w:shd w:val="clear" w:color="auto" w:fill="auto"/>
            <w:noWrap/>
            <w:vAlign w:val="center"/>
            <w:hideMark/>
          </w:tcPr>
          <w:p w14:paraId="5C9FC4DF" w14:textId="77777777" w:rsidR="0008341F" w:rsidRPr="009548D7" w:rsidRDefault="0008341F" w:rsidP="000525CD">
            <w:pPr>
              <w:spacing w:after="0" w:line="240" w:lineRule="auto"/>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Ações/Cotas em Tesouraria</w:t>
            </w:r>
          </w:p>
        </w:tc>
        <w:tc>
          <w:tcPr>
            <w:tcW w:w="775" w:type="dxa"/>
            <w:tcBorders>
              <w:top w:val="nil"/>
              <w:bottom w:val="nil"/>
              <w:right w:val="single" w:sz="8" w:space="0" w:color="auto"/>
            </w:tcBorders>
            <w:shd w:val="clear" w:color="auto" w:fill="auto"/>
            <w:noWrap/>
            <w:vAlign w:val="center"/>
          </w:tcPr>
          <w:p w14:paraId="78509612"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469A226E"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BPA.H062</w:t>
            </w:r>
          </w:p>
        </w:tc>
        <w:tc>
          <w:tcPr>
            <w:tcW w:w="1420" w:type="dxa"/>
            <w:tcBorders>
              <w:top w:val="nil"/>
              <w:left w:val="nil"/>
              <w:bottom w:val="nil"/>
              <w:right w:val="single" w:sz="8" w:space="0" w:color="auto"/>
            </w:tcBorders>
            <w:shd w:val="clear" w:color="auto" w:fill="auto"/>
            <w:noWrap/>
            <w:vAlign w:val="center"/>
            <w:hideMark/>
          </w:tcPr>
          <w:p w14:paraId="2227B366"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BPA.I062</w:t>
            </w:r>
          </w:p>
        </w:tc>
      </w:tr>
      <w:tr w:rsidR="0008341F" w:rsidRPr="009548D7" w14:paraId="5122AD36" w14:textId="77777777" w:rsidTr="000525CD">
        <w:trPr>
          <w:trHeight w:val="255"/>
        </w:trPr>
        <w:tc>
          <w:tcPr>
            <w:tcW w:w="4410" w:type="dxa"/>
            <w:tcBorders>
              <w:top w:val="nil"/>
              <w:left w:val="single" w:sz="8" w:space="0" w:color="auto"/>
              <w:bottom w:val="nil"/>
            </w:tcBorders>
            <w:shd w:val="clear" w:color="auto" w:fill="auto"/>
            <w:noWrap/>
            <w:vAlign w:val="center"/>
            <w:hideMark/>
          </w:tcPr>
          <w:p w14:paraId="4BEEC895" w14:textId="76811C39" w:rsidR="0008341F" w:rsidRPr="009548D7" w:rsidRDefault="00EE460F" w:rsidP="000525CD">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lastRenderedPageBreak/>
              <w:t xml:space="preserve">          </w:t>
            </w:r>
            <w:r w:rsidR="0008341F" w:rsidRPr="009548D7">
              <w:rPr>
                <w:rFonts w:ascii="Arial Narrow" w:eastAsia="Times New Roman" w:hAnsi="Arial Narrow" w:cs="Arial"/>
                <w:sz w:val="16"/>
                <w:szCs w:val="16"/>
                <w:lang w:eastAsia="pt-BR"/>
              </w:rPr>
              <w:t>(-) Redução ao Valor Recuperável de softwares</w:t>
            </w:r>
          </w:p>
        </w:tc>
        <w:tc>
          <w:tcPr>
            <w:tcW w:w="767" w:type="dxa"/>
            <w:tcBorders>
              <w:top w:val="nil"/>
              <w:bottom w:val="nil"/>
              <w:right w:val="single" w:sz="4" w:space="0" w:color="auto"/>
            </w:tcBorders>
            <w:shd w:val="clear" w:color="auto" w:fill="auto"/>
            <w:noWrap/>
            <w:vAlign w:val="center"/>
          </w:tcPr>
          <w:p w14:paraId="2291DC57"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50BEB1C6"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BPA.D063</w:t>
            </w:r>
          </w:p>
        </w:tc>
        <w:tc>
          <w:tcPr>
            <w:tcW w:w="1262" w:type="dxa"/>
            <w:tcBorders>
              <w:top w:val="nil"/>
              <w:left w:val="nil"/>
              <w:bottom w:val="nil"/>
              <w:right w:val="single" w:sz="8" w:space="0" w:color="auto"/>
            </w:tcBorders>
            <w:shd w:val="clear" w:color="auto" w:fill="auto"/>
            <w:noWrap/>
            <w:vAlign w:val="center"/>
            <w:hideMark/>
          </w:tcPr>
          <w:p w14:paraId="3EB6CD4D"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BPA.E063</w:t>
            </w:r>
          </w:p>
        </w:tc>
        <w:tc>
          <w:tcPr>
            <w:tcW w:w="4562" w:type="dxa"/>
            <w:tcBorders>
              <w:top w:val="nil"/>
              <w:left w:val="nil"/>
              <w:bottom w:val="nil"/>
            </w:tcBorders>
            <w:shd w:val="clear" w:color="auto" w:fill="auto"/>
            <w:vAlign w:val="center"/>
          </w:tcPr>
          <w:p w14:paraId="05EECAAF" w14:textId="77777777" w:rsidR="0008341F" w:rsidRPr="009548D7" w:rsidRDefault="0008341F" w:rsidP="000525CD">
            <w:pPr>
              <w:spacing w:after="0" w:line="240" w:lineRule="auto"/>
              <w:rPr>
                <w:rFonts w:ascii="Arial Narrow" w:eastAsia="Times New Roman" w:hAnsi="Arial Narrow" w:cs="Arial"/>
                <w:sz w:val="16"/>
                <w:szCs w:val="16"/>
                <w:lang w:eastAsia="pt-BR"/>
              </w:rPr>
            </w:pPr>
          </w:p>
        </w:tc>
        <w:tc>
          <w:tcPr>
            <w:tcW w:w="775" w:type="dxa"/>
            <w:tcBorders>
              <w:top w:val="nil"/>
              <w:bottom w:val="nil"/>
              <w:right w:val="single" w:sz="8" w:space="0" w:color="auto"/>
            </w:tcBorders>
            <w:shd w:val="clear" w:color="auto" w:fill="auto"/>
            <w:noWrap/>
            <w:vAlign w:val="center"/>
          </w:tcPr>
          <w:p w14:paraId="34E24888"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tcPr>
          <w:p w14:paraId="680562A5"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p>
        </w:tc>
        <w:tc>
          <w:tcPr>
            <w:tcW w:w="1420" w:type="dxa"/>
            <w:tcBorders>
              <w:top w:val="nil"/>
              <w:left w:val="nil"/>
              <w:bottom w:val="nil"/>
              <w:right w:val="single" w:sz="8" w:space="0" w:color="auto"/>
            </w:tcBorders>
            <w:shd w:val="clear" w:color="auto" w:fill="auto"/>
            <w:noWrap/>
            <w:vAlign w:val="center"/>
          </w:tcPr>
          <w:p w14:paraId="31A63A98"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p>
        </w:tc>
      </w:tr>
      <w:tr w:rsidR="0008341F" w:rsidRPr="009548D7" w14:paraId="5E19E3BB" w14:textId="77777777" w:rsidTr="000525CD">
        <w:trPr>
          <w:trHeight w:val="255"/>
        </w:trPr>
        <w:tc>
          <w:tcPr>
            <w:tcW w:w="4410" w:type="dxa"/>
            <w:tcBorders>
              <w:top w:val="nil"/>
              <w:left w:val="single" w:sz="8" w:space="0" w:color="auto"/>
              <w:bottom w:val="nil"/>
            </w:tcBorders>
            <w:shd w:val="clear" w:color="auto" w:fill="auto"/>
            <w:noWrap/>
            <w:vAlign w:val="center"/>
            <w:hideMark/>
          </w:tcPr>
          <w:p w14:paraId="3A5BE236" w14:textId="388D9438" w:rsidR="0008341F" w:rsidRPr="009548D7" w:rsidRDefault="00EE460F" w:rsidP="000525CD">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08341F" w:rsidRPr="009548D7">
              <w:rPr>
                <w:rFonts w:ascii="Arial Narrow" w:eastAsia="Times New Roman" w:hAnsi="Arial Narrow" w:cs="Arial"/>
                <w:sz w:val="16"/>
                <w:szCs w:val="16"/>
                <w:lang w:eastAsia="pt-BR"/>
              </w:rPr>
              <w:t>Marcas, Direitos e Patentes Industriais</w:t>
            </w:r>
          </w:p>
        </w:tc>
        <w:tc>
          <w:tcPr>
            <w:tcW w:w="767" w:type="dxa"/>
            <w:tcBorders>
              <w:top w:val="nil"/>
              <w:bottom w:val="nil"/>
              <w:right w:val="single" w:sz="4" w:space="0" w:color="auto"/>
            </w:tcBorders>
            <w:shd w:val="clear" w:color="auto" w:fill="auto"/>
            <w:noWrap/>
            <w:vAlign w:val="center"/>
          </w:tcPr>
          <w:p w14:paraId="7201F32D"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4FDB0314"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BPA.D064</w:t>
            </w:r>
          </w:p>
        </w:tc>
        <w:tc>
          <w:tcPr>
            <w:tcW w:w="1262" w:type="dxa"/>
            <w:tcBorders>
              <w:top w:val="nil"/>
              <w:left w:val="nil"/>
              <w:bottom w:val="nil"/>
              <w:right w:val="single" w:sz="8" w:space="0" w:color="auto"/>
            </w:tcBorders>
            <w:shd w:val="clear" w:color="auto" w:fill="auto"/>
            <w:noWrap/>
            <w:vAlign w:val="center"/>
            <w:hideMark/>
          </w:tcPr>
          <w:p w14:paraId="2011E850"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BPA.E064</w:t>
            </w:r>
          </w:p>
        </w:tc>
        <w:tc>
          <w:tcPr>
            <w:tcW w:w="4562" w:type="dxa"/>
            <w:tcBorders>
              <w:top w:val="nil"/>
              <w:left w:val="nil"/>
              <w:bottom w:val="nil"/>
            </w:tcBorders>
            <w:shd w:val="clear" w:color="auto" w:fill="auto"/>
            <w:noWrap/>
            <w:vAlign w:val="center"/>
            <w:hideMark/>
          </w:tcPr>
          <w:p w14:paraId="6A0A1AEE" w14:textId="77777777" w:rsidR="0008341F" w:rsidRPr="009548D7" w:rsidRDefault="0008341F" w:rsidP="000525CD">
            <w:pPr>
              <w:spacing w:after="0" w:line="240" w:lineRule="auto"/>
              <w:ind w:firstLineChars="100" w:firstLine="16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w:t>
            </w:r>
          </w:p>
        </w:tc>
        <w:tc>
          <w:tcPr>
            <w:tcW w:w="775" w:type="dxa"/>
            <w:tcBorders>
              <w:top w:val="nil"/>
              <w:bottom w:val="nil"/>
              <w:right w:val="single" w:sz="8" w:space="0" w:color="auto"/>
            </w:tcBorders>
            <w:shd w:val="clear" w:color="auto" w:fill="auto"/>
            <w:noWrap/>
            <w:vAlign w:val="center"/>
          </w:tcPr>
          <w:p w14:paraId="20B7FC72" w14:textId="77777777" w:rsidR="0008341F" w:rsidRPr="009548D7" w:rsidRDefault="0008341F" w:rsidP="000525CD">
            <w:pPr>
              <w:spacing w:after="0" w:line="240" w:lineRule="auto"/>
              <w:ind w:firstLineChars="100" w:firstLine="160"/>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4D5C6F0A"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w:t>
            </w:r>
          </w:p>
        </w:tc>
        <w:tc>
          <w:tcPr>
            <w:tcW w:w="1420" w:type="dxa"/>
            <w:tcBorders>
              <w:top w:val="nil"/>
              <w:left w:val="nil"/>
              <w:bottom w:val="nil"/>
              <w:right w:val="single" w:sz="8" w:space="0" w:color="auto"/>
            </w:tcBorders>
            <w:shd w:val="clear" w:color="auto" w:fill="auto"/>
            <w:noWrap/>
            <w:vAlign w:val="center"/>
            <w:hideMark/>
          </w:tcPr>
          <w:p w14:paraId="6E1CB35D"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w:t>
            </w:r>
          </w:p>
        </w:tc>
      </w:tr>
      <w:tr w:rsidR="0008341F" w:rsidRPr="009548D7" w14:paraId="6C22ABA0" w14:textId="77777777" w:rsidTr="000525CD">
        <w:trPr>
          <w:trHeight w:val="255"/>
        </w:trPr>
        <w:tc>
          <w:tcPr>
            <w:tcW w:w="5177" w:type="dxa"/>
            <w:gridSpan w:val="2"/>
            <w:tcBorders>
              <w:top w:val="nil"/>
              <w:left w:val="single" w:sz="8" w:space="0" w:color="auto"/>
              <w:bottom w:val="nil"/>
              <w:right w:val="single" w:sz="4" w:space="0" w:color="auto"/>
            </w:tcBorders>
            <w:shd w:val="clear" w:color="auto" w:fill="auto"/>
            <w:noWrap/>
            <w:vAlign w:val="center"/>
            <w:hideMark/>
          </w:tcPr>
          <w:p w14:paraId="66A8B45B" w14:textId="719B2A06" w:rsidR="0008341F" w:rsidRPr="009548D7" w:rsidRDefault="00EE460F" w:rsidP="0008341F">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08341F" w:rsidRPr="009548D7">
              <w:rPr>
                <w:rFonts w:ascii="Arial Narrow" w:eastAsia="Times New Roman" w:hAnsi="Arial Narrow" w:cs="Arial"/>
                <w:sz w:val="16"/>
                <w:szCs w:val="16"/>
                <w:lang w:eastAsia="pt-BR"/>
              </w:rPr>
              <w:t>(-) Amortização Acumulada de Marcas, Direitos e Patentes Industriais</w:t>
            </w:r>
          </w:p>
        </w:tc>
        <w:tc>
          <w:tcPr>
            <w:tcW w:w="1063" w:type="dxa"/>
            <w:tcBorders>
              <w:top w:val="nil"/>
              <w:left w:val="single" w:sz="4" w:space="0" w:color="auto"/>
              <w:bottom w:val="nil"/>
              <w:right w:val="single" w:sz="8" w:space="0" w:color="auto"/>
            </w:tcBorders>
            <w:shd w:val="clear" w:color="auto" w:fill="auto"/>
            <w:noWrap/>
            <w:vAlign w:val="center"/>
            <w:hideMark/>
          </w:tcPr>
          <w:p w14:paraId="711C0636"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BPA.D065</w:t>
            </w:r>
          </w:p>
        </w:tc>
        <w:tc>
          <w:tcPr>
            <w:tcW w:w="1262" w:type="dxa"/>
            <w:tcBorders>
              <w:top w:val="nil"/>
              <w:left w:val="nil"/>
              <w:bottom w:val="nil"/>
              <w:right w:val="single" w:sz="8" w:space="0" w:color="auto"/>
            </w:tcBorders>
            <w:shd w:val="clear" w:color="auto" w:fill="auto"/>
            <w:noWrap/>
            <w:vAlign w:val="center"/>
            <w:hideMark/>
          </w:tcPr>
          <w:p w14:paraId="5B2728D2"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BPA.E065</w:t>
            </w:r>
          </w:p>
        </w:tc>
        <w:tc>
          <w:tcPr>
            <w:tcW w:w="4562" w:type="dxa"/>
            <w:tcBorders>
              <w:top w:val="nil"/>
              <w:left w:val="nil"/>
              <w:bottom w:val="nil"/>
            </w:tcBorders>
            <w:shd w:val="clear" w:color="auto" w:fill="auto"/>
            <w:noWrap/>
            <w:vAlign w:val="center"/>
            <w:hideMark/>
          </w:tcPr>
          <w:p w14:paraId="0855ED04" w14:textId="77777777" w:rsidR="0008341F" w:rsidRPr="009548D7" w:rsidRDefault="0008341F" w:rsidP="000525CD">
            <w:pPr>
              <w:spacing w:after="0" w:line="240" w:lineRule="auto"/>
              <w:rPr>
                <w:rFonts w:ascii="Arial Narrow" w:eastAsia="Times New Roman" w:hAnsi="Arial Narrow" w:cs="Arial"/>
                <w:color w:val="0070C0"/>
                <w:sz w:val="16"/>
                <w:szCs w:val="16"/>
                <w:lang w:eastAsia="pt-BR"/>
              </w:rPr>
            </w:pPr>
          </w:p>
        </w:tc>
        <w:tc>
          <w:tcPr>
            <w:tcW w:w="775" w:type="dxa"/>
            <w:tcBorders>
              <w:top w:val="nil"/>
              <w:bottom w:val="nil"/>
              <w:right w:val="single" w:sz="8" w:space="0" w:color="auto"/>
            </w:tcBorders>
            <w:shd w:val="clear" w:color="auto" w:fill="auto"/>
            <w:noWrap/>
            <w:vAlign w:val="center"/>
          </w:tcPr>
          <w:p w14:paraId="63725511" w14:textId="77777777" w:rsidR="0008341F" w:rsidRPr="009548D7" w:rsidRDefault="0008341F" w:rsidP="000525CD">
            <w:pPr>
              <w:spacing w:after="0" w:line="240" w:lineRule="auto"/>
              <w:rPr>
                <w:rFonts w:ascii="Arial Narrow" w:eastAsia="Times New Roman" w:hAnsi="Arial Narrow" w:cs="Arial"/>
                <w:color w:val="0070C0"/>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34366A3B"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w:t>
            </w:r>
          </w:p>
        </w:tc>
        <w:tc>
          <w:tcPr>
            <w:tcW w:w="1420" w:type="dxa"/>
            <w:tcBorders>
              <w:top w:val="nil"/>
              <w:left w:val="nil"/>
              <w:bottom w:val="nil"/>
              <w:right w:val="single" w:sz="8" w:space="0" w:color="auto"/>
            </w:tcBorders>
            <w:shd w:val="clear" w:color="auto" w:fill="auto"/>
            <w:noWrap/>
            <w:vAlign w:val="center"/>
            <w:hideMark/>
          </w:tcPr>
          <w:p w14:paraId="26963958"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w:t>
            </w:r>
          </w:p>
        </w:tc>
      </w:tr>
      <w:tr w:rsidR="0008341F" w:rsidRPr="009548D7" w14:paraId="3BD847E5" w14:textId="77777777" w:rsidTr="000525CD">
        <w:trPr>
          <w:trHeight w:val="255"/>
        </w:trPr>
        <w:tc>
          <w:tcPr>
            <w:tcW w:w="5177" w:type="dxa"/>
            <w:gridSpan w:val="2"/>
            <w:tcBorders>
              <w:top w:val="nil"/>
              <w:left w:val="single" w:sz="8" w:space="0" w:color="auto"/>
              <w:bottom w:val="nil"/>
              <w:right w:val="single" w:sz="4" w:space="0" w:color="auto"/>
            </w:tcBorders>
            <w:shd w:val="clear" w:color="auto" w:fill="auto"/>
            <w:noWrap/>
            <w:vAlign w:val="center"/>
            <w:hideMark/>
          </w:tcPr>
          <w:p w14:paraId="05024C8C" w14:textId="6D77FB21" w:rsidR="0008341F" w:rsidRPr="009548D7" w:rsidRDefault="00EE460F" w:rsidP="00EE460F">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08341F" w:rsidRPr="009548D7">
              <w:rPr>
                <w:rFonts w:ascii="Arial Narrow" w:eastAsia="Times New Roman" w:hAnsi="Arial Narrow" w:cs="Arial"/>
                <w:sz w:val="16"/>
                <w:szCs w:val="16"/>
                <w:lang w:eastAsia="pt-BR"/>
              </w:rPr>
              <w:t>(-) Redução ao Valor Recuperável de Marcas, Direitos e Patentes Industriais</w:t>
            </w:r>
          </w:p>
        </w:tc>
        <w:tc>
          <w:tcPr>
            <w:tcW w:w="1063" w:type="dxa"/>
            <w:tcBorders>
              <w:top w:val="nil"/>
              <w:left w:val="single" w:sz="4" w:space="0" w:color="auto"/>
              <w:bottom w:val="nil"/>
              <w:right w:val="single" w:sz="8" w:space="0" w:color="auto"/>
            </w:tcBorders>
            <w:shd w:val="clear" w:color="auto" w:fill="auto"/>
            <w:noWrap/>
            <w:vAlign w:val="center"/>
            <w:hideMark/>
          </w:tcPr>
          <w:p w14:paraId="443F397A"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BPA.D066</w:t>
            </w:r>
          </w:p>
        </w:tc>
        <w:tc>
          <w:tcPr>
            <w:tcW w:w="1262" w:type="dxa"/>
            <w:tcBorders>
              <w:top w:val="nil"/>
              <w:left w:val="nil"/>
              <w:bottom w:val="nil"/>
              <w:right w:val="single" w:sz="8" w:space="0" w:color="auto"/>
            </w:tcBorders>
            <w:shd w:val="clear" w:color="auto" w:fill="auto"/>
            <w:noWrap/>
            <w:vAlign w:val="center"/>
            <w:hideMark/>
          </w:tcPr>
          <w:p w14:paraId="488CD403"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BPA.E066</w:t>
            </w:r>
          </w:p>
        </w:tc>
        <w:tc>
          <w:tcPr>
            <w:tcW w:w="4562" w:type="dxa"/>
            <w:tcBorders>
              <w:top w:val="nil"/>
              <w:left w:val="nil"/>
              <w:bottom w:val="nil"/>
            </w:tcBorders>
            <w:shd w:val="clear" w:color="auto" w:fill="auto"/>
            <w:noWrap/>
            <w:vAlign w:val="center"/>
            <w:hideMark/>
          </w:tcPr>
          <w:p w14:paraId="5DAE56FF" w14:textId="77777777" w:rsidR="0008341F" w:rsidRPr="009548D7" w:rsidRDefault="0008341F" w:rsidP="000525CD">
            <w:pPr>
              <w:spacing w:after="0" w:line="240" w:lineRule="auto"/>
              <w:ind w:firstLineChars="100" w:firstLine="160"/>
              <w:rPr>
                <w:rFonts w:ascii="Arial Narrow" w:eastAsia="Times New Roman" w:hAnsi="Arial Narrow" w:cs="Arial"/>
                <w:color w:val="00B050"/>
                <w:sz w:val="16"/>
                <w:szCs w:val="16"/>
                <w:lang w:eastAsia="pt-BR"/>
              </w:rPr>
            </w:pPr>
            <w:r w:rsidRPr="009548D7">
              <w:rPr>
                <w:rFonts w:ascii="Arial Narrow" w:eastAsia="Times New Roman" w:hAnsi="Arial Narrow" w:cs="Arial"/>
                <w:color w:val="00B050"/>
                <w:sz w:val="16"/>
                <w:szCs w:val="16"/>
                <w:lang w:eastAsia="pt-BR"/>
              </w:rPr>
              <w:t> </w:t>
            </w:r>
          </w:p>
        </w:tc>
        <w:tc>
          <w:tcPr>
            <w:tcW w:w="775" w:type="dxa"/>
            <w:tcBorders>
              <w:top w:val="nil"/>
              <w:bottom w:val="nil"/>
              <w:right w:val="single" w:sz="8" w:space="0" w:color="auto"/>
            </w:tcBorders>
            <w:shd w:val="clear" w:color="auto" w:fill="auto"/>
            <w:noWrap/>
            <w:vAlign w:val="center"/>
          </w:tcPr>
          <w:p w14:paraId="044C61A9" w14:textId="77777777" w:rsidR="0008341F" w:rsidRPr="009548D7" w:rsidRDefault="0008341F" w:rsidP="000525CD">
            <w:pPr>
              <w:spacing w:after="0" w:line="240" w:lineRule="auto"/>
              <w:ind w:firstLineChars="100" w:firstLine="160"/>
              <w:rPr>
                <w:rFonts w:ascii="Arial Narrow" w:eastAsia="Times New Roman" w:hAnsi="Arial Narrow" w:cs="Arial"/>
                <w:color w:val="00B050"/>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014B4EE4"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w:t>
            </w:r>
          </w:p>
        </w:tc>
        <w:tc>
          <w:tcPr>
            <w:tcW w:w="1420" w:type="dxa"/>
            <w:tcBorders>
              <w:top w:val="nil"/>
              <w:left w:val="nil"/>
              <w:bottom w:val="nil"/>
              <w:right w:val="single" w:sz="8" w:space="0" w:color="auto"/>
            </w:tcBorders>
            <w:shd w:val="clear" w:color="auto" w:fill="auto"/>
            <w:noWrap/>
            <w:vAlign w:val="center"/>
            <w:hideMark/>
          </w:tcPr>
          <w:p w14:paraId="411E20AC"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w:t>
            </w:r>
          </w:p>
        </w:tc>
      </w:tr>
      <w:tr w:rsidR="0008341F" w:rsidRPr="009548D7" w14:paraId="7A09C870" w14:textId="77777777" w:rsidTr="000525CD">
        <w:trPr>
          <w:trHeight w:val="255"/>
        </w:trPr>
        <w:tc>
          <w:tcPr>
            <w:tcW w:w="4410" w:type="dxa"/>
            <w:tcBorders>
              <w:top w:val="nil"/>
              <w:left w:val="single" w:sz="8" w:space="0" w:color="auto"/>
              <w:bottom w:val="nil"/>
            </w:tcBorders>
            <w:shd w:val="clear" w:color="auto" w:fill="auto"/>
            <w:noWrap/>
            <w:vAlign w:val="center"/>
            <w:hideMark/>
          </w:tcPr>
          <w:p w14:paraId="734AE039" w14:textId="625000BF" w:rsidR="0008341F" w:rsidRPr="009548D7" w:rsidRDefault="00EE460F" w:rsidP="0008341F">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08341F" w:rsidRPr="009548D7">
              <w:rPr>
                <w:rFonts w:ascii="Arial Narrow" w:eastAsia="Times New Roman" w:hAnsi="Arial Narrow" w:cs="Arial"/>
                <w:sz w:val="16"/>
                <w:szCs w:val="16"/>
                <w:lang w:eastAsia="pt-BR"/>
              </w:rPr>
              <w:t>Direitos de Uso de Imóveis</w:t>
            </w:r>
          </w:p>
        </w:tc>
        <w:tc>
          <w:tcPr>
            <w:tcW w:w="767" w:type="dxa"/>
            <w:tcBorders>
              <w:top w:val="nil"/>
              <w:bottom w:val="nil"/>
              <w:right w:val="single" w:sz="4" w:space="0" w:color="auto"/>
            </w:tcBorders>
            <w:shd w:val="clear" w:color="auto" w:fill="auto"/>
            <w:noWrap/>
            <w:vAlign w:val="center"/>
          </w:tcPr>
          <w:p w14:paraId="1A88E837"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1141430D"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BPA.D067</w:t>
            </w:r>
          </w:p>
        </w:tc>
        <w:tc>
          <w:tcPr>
            <w:tcW w:w="1262" w:type="dxa"/>
            <w:tcBorders>
              <w:top w:val="nil"/>
              <w:left w:val="nil"/>
              <w:bottom w:val="nil"/>
              <w:right w:val="single" w:sz="8" w:space="0" w:color="auto"/>
            </w:tcBorders>
            <w:shd w:val="clear" w:color="auto" w:fill="auto"/>
            <w:noWrap/>
            <w:vAlign w:val="center"/>
            <w:hideMark/>
          </w:tcPr>
          <w:p w14:paraId="0FB5FEA0"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BPA.E067</w:t>
            </w:r>
          </w:p>
        </w:tc>
        <w:tc>
          <w:tcPr>
            <w:tcW w:w="4562" w:type="dxa"/>
            <w:tcBorders>
              <w:top w:val="nil"/>
              <w:left w:val="nil"/>
              <w:bottom w:val="nil"/>
            </w:tcBorders>
            <w:shd w:val="clear" w:color="auto" w:fill="auto"/>
            <w:noWrap/>
            <w:vAlign w:val="center"/>
            <w:hideMark/>
          </w:tcPr>
          <w:p w14:paraId="53F5FCBE" w14:textId="77777777" w:rsidR="0008341F" w:rsidRPr="009548D7" w:rsidRDefault="0008341F" w:rsidP="000525CD">
            <w:pPr>
              <w:spacing w:after="0" w:line="240" w:lineRule="auto"/>
              <w:ind w:firstLineChars="100" w:firstLine="16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w:t>
            </w:r>
          </w:p>
        </w:tc>
        <w:tc>
          <w:tcPr>
            <w:tcW w:w="775" w:type="dxa"/>
            <w:tcBorders>
              <w:top w:val="nil"/>
              <w:bottom w:val="nil"/>
              <w:right w:val="single" w:sz="8" w:space="0" w:color="auto"/>
            </w:tcBorders>
            <w:shd w:val="clear" w:color="auto" w:fill="auto"/>
            <w:noWrap/>
            <w:vAlign w:val="center"/>
          </w:tcPr>
          <w:p w14:paraId="1EEDDCD7" w14:textId="77777777" w:rsidR="0008341F" w:rsidRPr="009548D7" w:rsidRDefault="0008341F" w:rsidP="000525CD">
            <w:pPr>
              <w:spacing w:after="0" w:line="240" w:lineRule="auto"/>
              <w:ind w:firstLineChars="100" w:firstLine="160"/>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263DF973"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w:t>
            </w:r>
          </w:p>
        </w:tc>
        <w:tc>
          <w:tcPr>
            <w:tcW w:w="1420" w:type="dxa"/>
            <w:tcBorders>
              <w:top w:val="nil"/>
              <w:left w:val="nil"/>
              <w:bottom w:val="nil"/>
              <w:right w:val="single" w:sz="8" w:space="0" w:color="auto"/>
            </w:tcBorders>
            <w:shd w:val="clear" w:color="auto" w:fill="auto"/>
            <w:noWrap/>
            <w:vAlign w:val="center"/>
            <w:hideMark/>
          </w:tcPr>
          <w:p w14:paraId="32978659"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w:t>
            </w:r>
          </w:p>
        </w:tc>
      </w:tr>
      <w:tr w:rsidR="0008341F" w:rsidRPr="009548D7" w14:paraId="7AC04E4A" w14:textId="77777777" w:rsidTr="000525CD">
        <w:trPr>
          <w:trHeight w:val="255"/>
        </w:trPr>
        <w:tc>
          <w:tcPr>
            <w:tcW w:w="4410" w:type="dxa"/>
            <w:tcBorders>
              <w:top w:val="nil"/>
              <w:left w:val="single" w:sz="8" w:space="0" w:color="auto"/>
              <w:bottom w:val="nil"/>
            </w:tcBorders>
            <w:shd w:val="clear" w:color="auto" w:fill="auto"/>
            <w:noWrap/>
            <w:vAlign w:val="center"/>
            <w:hideMark/>
          </w:tcPr>
          <w:p w14:paraId="645B7529" w14:textId="49C7908C" w:rsidR="0008341F" w:rsidRPr="009548D7" w:rsidRDefault="00EE460F" w:rsidP="0008341F">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08341F" w:rsidRPr="009548D7">
              <w:rPr>
                <w:rFonts w:ascii="Arial Narrow" w:eastAsia="Times New Roman" w:hAnsi="Arial Narrow" w:cs="Arial"/>
                <w:sz w:val="16"/>
                <w:szCs w:val="16"/>
                <w:lang w:eastAsia="pt-BR"/>
              </w:rPr>
              <w:t>(-) Amortização Acumulada de Direitos de uso de Imóveis</w:t>
            </w:r>
          </w:p>
        </w:tc>
        <w:tc>
          <w:tcPr>
            <w:tcW w:w="767" w:type="dxa"/>
            <w:tcBorders>
              <w:top w:val="nil"/>
              <w:bottom w:val="nil"/>
              <w:right w:val="single" w:sz="4" w:space="0" w:color="auto"/>
            </w:tcBorders>
            <w:shd w:val="clear" w:color="auto" w:fill="auto"/>
            <w:noWrap/>
            <w:vAlign w:val="center"/>
          </w:tcPr>
          <w:p w14:paraId="23AA8521"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5FC217A8"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BPA.D068</w:t>
            </w:r>
          </w:p>
        </w:tc>
        <w:tc>
          <w:tcPr>
            <w:tcW w:w="1262" w:type="dxa"/>
            <w:tcBorders>
              <w:top w:val="nil"/>
              <w:left w:val="nil"/>
              <w:bottom w:val="nil"/>
              <w:right w:val="single" w:sz="8" w:space="0" w:color="auto"/>
            </w:tcBorders>
            <w:shd w:val="clear" w:color="auto" w:fill="auto"/>
            <w:noWrap/>
            <w:vAlign w:val="center"/>
            <w:hideMark/>
          </w:tcPr>
          <w:p w14:paraId="34126B9D"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BPA.E068</w:t>
            </w:r>
          </w:p>
        </w:tc>
        <w:tc>
          <w:tcPr>
            <w:tcW w:w="4562" w:type="dxa"/>
            <w:tcBorders>
              <w:top w:val="nil"/>
              <w:left w:val="nil"/>
              <w:bottom w:val="nil"/>
            </w:tcBorders>
            <w:shd w:val="clear" w:color="auto" w:fill="auto"/>
            <w:noWrap/>
            <w:vAlign w:val="center"/>
            <w:hideMark/>
          </w:tcPr>
          <w:p w14:paraId="41B728DF" w14:textId="77777777" w:rsidR="0008341F" w:rsidRPr="009548D7" w:rsidRDefault="0008341F" w:rsidP="000525CD">
            <w:pPr>
              <w:spacing w:after="0" w:line="240" w:lineRule="auto"/>
              <w:ind w:firstLineChars="100" w:firstLine="16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w:t>
            </w:r>
          </w:p>
        </w:tc>
        <w:tc>
          <w:tcPr>
            <w:tcW w:w="775" w:type="dxa"/>
            <w:tcBorders>
              <w:top w:val="nil"/>
              <w:bottom w:val="nil"/>
              <w:right w:val="single" w:sz="8" w:space="0" w:color="auto"/>
            </w:tcBorders>
            <w:shd w:val="clear" w:color="auto" w:fill="auto"/>
            <w:noWrap/>
            <w:vAlign w:val="center"/>
          </w:tcPr>
          <w:p w14:paraId="2AA7CDC0" w14:textId="77777777" w:rsidR="0008341F" w:rsidRPr="009548D7" w:rsidRDefault="0008341F" w:rsidP="000525CD">
            <w:pPr>
              <w:spacing w:after="0" w:line="240" w:lineRule="auto"/>
              <w:ind w:firstLineChars="100" w:firstLine="160"/>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028D1752" w14:textId="77777777" w:rsidR="0008341F" w:rsidRPr="009548D7" w:rsidRDefault="0008341F" w:rsidP="000525CD">
            <w:pPr>
              <w:spacing w:after="0" w:line="240" w:lineRule="auto"/>
              <w:jc w:val="center"/>
              <w:rPr>
                <w:rFonts w:ascii="Arial Narrow" w:eastAsia="Times New Roman" w:hAnsi="Arial Narrow" w:cs="Arial"/>
                <w:color w:val="0070C0"/>
                <w:sz w:val="16"/>
                <w:szCs w:val="16"/>
                <w:lang w:eastAsia="pt-BR"/>
              </w:rPr>
            </w:pPr>
            <w:r w:rsidRPr="009548D7">
              <w:rPr>
                <w:rFonts w:ascii="Arial Narrow" w:eastAsia="Times New Roman" w:hAnsi="Arial Narrow" w:cs="Arial"/>
                <w:color w:val="0070C0"/>
                <w:sz w:val="16"/>
                <w:szCs w:val="16"/>
                <w:lang w:eastAsia="pt-BR"/>
              </w:rPr>
              <w:t> </w:t>
            </w:r>
          </w:p>
        </w:tc>
        <w:tc>
          <w:tcPr>
            <w:tcW w:w="1420" w:type="dxa"/>
            <w:tcBorders>
              <w:top w:val="nil"/>
              <w:left w:val="nil"/>
              <w:bottom w:val="nil"/>
              <w:right w:val="single" w:sz="8" w:space="0" w:color="auto"/>
            </w:tcBorders>
            <w:shd w:val="clear" w:color="auto" w:fill="auto"/>
            <w:noWrap/>
            <w:vAlign w:val="center"/>
            <w:hideMark/>
          </w:tcPr>
          <w:p w14:paraId="79C44CB9" w14:textId="77777777" w:rsidR="0008341F" w:rsidRPr="009548D7" w:rsidRDefault="0008341F" w:rsidP="000525CD">
            <w:pPr>
              <w:spacing w:after="0" w:line="240" w:lineRule="auto"/>
              <w:jc w:val="center"/>
              <w:rPr>
                <w:rFonts w:ascii="Arial Narrow" w:eastAsia="Times New Roman" w:hAnsi="Arial Narrow" w:cs="Arial"/>
                <w:color w:val="0070C0"/>
                <w:sz w:val="16"/>
                <w:szCs w:val="16"/>
                <w:lang w:eastAsia="pt-BR"/>
              </w:rPr>
            </w:pPr>
            <w:r w:rsidRPr="009548D7">
              <w:rPr>
                <w:rFonts w:ascii="Arial Narrow" w:eastAsia="Times New Roman" w:hAnsi="Arial Narrow" w:cs="Arial"/>
                <w:color w:val="0070C0"/>
                <w:sz w:val="16"/>
                <w:szCs w:val="16"/>
                <w:lang w:eastAsia="pt-BR"/>
              </w:rPr>
              <w:t> </w:t>
            </w:r>
          </w:p>
        </w:tc>
      </w:tr>
      <w:tr w:rsidR="0008341F" w:rsidRPr="009548D7" w14:paraId="384A662E" w14:textId="77777777" w:rsidTr="000525CD">
        <w:trPr>
          <w:trHeight w:val="255"/>
        </w:trPr>
        <w:tc>
          <w:tcPr>
            <w:tcW w:w="4410" w:type="dxa"/>
            <w:tcBorders>
              <w:top w:val="nil"/>
              <w:left w:val="single" w:sz="8" w:space="0" w:color="auto"/>
              <w:bottom w:val="nil"/>
            </w:tcBorders>
            <w:shd w:val="clear" w:color="auto" w:fill="auto"/>
            <w:noWrap/>
            <w:vAlign w:val="center"/>
            <w:hideMark/>
          </w:tcPr>
          <w:p w14:paraId="3E88722E" w14:textId="52462781" w:rsidR="0008341F" w:rsidRPr="009548D7" w:rsidRDefault="00EE460F" w:rsidP="0008341F">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08341F" w:rsidRPr="009548D7">
              <w:rPr>
                <w:rFonts w:ascii="Arial Narrow" w:eastAsia="Times New Roman" w:hAnsi="Arial Narrow" w:cs="Arial"/>
                <w:sz w:val="16"/>
                <w:szCs w:val="16"/>
                <w:lang w:eastAsia="pt-BR"/>
              </w:rPr>
              <w:t>(-) Redução ao Valor Recuperável de Direitos de Uso de Imóveis</w:t>
            </w:r>
          </w:p>
        </w:tc>
        <w:tc>
          <w:tcPr>
            <w:tcW w:w="767" w:type="dxa"/>
            <w:tcBorders>
              <w:top w:val="nil"/>
              <w:bottom w:val="nil"/>
              <w:right w:val="single" w:sz="4" w:space="0" w:color="auto"/>
            </w:tcBorders>
            <w:shd w:val="clear" w:color="auto" w:fill="auto"/>
            <w:noWrap/>
            <w:vAlign w:val="center"/>
          </w:tcPr>
          <w:p w14:paraId="13912DF3"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439C7195"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BPA.D069</w:t>
            </w:r>
          </w:p>
        </w:tc>
        <w:tc>
          <w:tcPr>
            <w:tcW w:w="1262" w:type="dxa"/>
            <w:tcBorders>
              <w:top w:val="nil"/>
              <w:left w:val="nil"/>
              <w:bottom w:val="nil"/>
              <w:right w:val="single" w:sz="8" w:space="0" w:color="auto"/>
            </w:tcBorders>
            <w:shd w:val="clear" w:color="auto" w:fill="auto"/>
            <w:noWrap/>
            <w:vAlign w:val="center"/>
            <w:hideMark/>
          </w:tcPr>
          <w:p w14:paraId="63BE44B5" w14:textId="77777777" w:rsidR="0008341F" w:rsidRPr="009548D7"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BPA.E069</w:t>
            </w:r>
          </w:p>
        </w:tc>
        <w:tc>
          <w:tcPr>
            <w:tcW w:w="4562" w:type="dxa"/>
            <w:tcBorders>
              <w:top w:val="nil"/>
              <w:left w:val="nil"/>
              <w:bottom w:val="nil"/>
            </w:tcBorders>
            <w:shd w:val="clear" w:color="auto" w:fill="auto"/>
            <w:noWrap/>
            <w:vAlign w:val="center"/>
            <w:hideMark/>
          </w:tcPr>
          <w:p w14:paraId="155EBCF5" w14:textId="77777777" w:rsidR="0008341F" w:rsidRPr="009548D7" w:rsidRDefault="0008341F" w:rsidP="000525CD">
            <w:pPr>
              <w:spacing w:after="0" w:line="240" w:lineRule="auto"/>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 </w:t>
            </w:r>
          </w:p>
        </w:tc>
        <w:tc>
          <w:tcPr>
            <w:tcW w:w="775" w:type="dxa"/>
            <w:tcBorders>
              <w:top w:val="nil"/>
              <w:bottom w:val="nil"/>
              <w:right w:val="single" w:sz="8" w:space="0" w:color="auto"/>
            </w:tcBorders>
            <w:shd w:val="clear" w:color="auto" w:fill="auto"/>
            <w:noWrap/>
            <w:vAlign w:val="center"/>
          </w:tcPr>
          <w:p w14:paraId="6E83B760" w14:textId="77777777" w:rsidR="0008341F" w:rsidRPr="009548D7" w:rsidRDefault="0008341F" w:rsidP="000525CD">
            <w:pPr>
              <w:spacing w:after="0" w:line="240" w:lineRule="auto"/>
              <w:rPr>
                <w:rFonts w:ascii="Arial Narrow" w:eastAsia="Times New Roman" w:hAnsi="Arial Narrow" w:cs="Arial"/>
                <w:b/>
                <w:bCs/>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4E1EDCCE" w14:textId="77777777" w:rsidR="0008341F" w:rsidRPr="009548D7" w:rsidRDefault="0008341F" w:rsidP="000525CD">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 </w:t>
            </w:r>
          </w:p>
        </w:tc>
        <w:tc>
          <w:tcPr>
            <w:tcW w:w="1420" w:type="dxa"/>
            <w:tcBorders>
              <w:top w:val="nil"/>
              <w:left w:val="nil"/>
              <w:bottom w:val="nil"/>
              <w:right w:val="single" w:sz="8" w:space="0" w:color="auto"/>
            </w:tcBorders>
            <w:shd w:val="clear" w:color="auto" w:fill="auto"/>
            <w:noWrap/>
            <w:vAlign w:val="center"/>
            <w:hideMark/>
          </w:tcPr>
          <w:p w14:paraId="1109994A" w14:textId="77777777" w:rsidR="0008341F" w:rsidRPr="009548D7" w:rsidRDefault="0008341F" w:rsidP="000525CD">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 </w:t>
            </w:r>
          </w:p>
        </w:tc>
      </w:tr>
      <w:tr w:rsidR="0008341F" w:rsidRPr="009548D7" w14:paraId="2DDC7003" w14:textId="77777777" w:rsidTr="000525CD">
        <w:trPr>
          <w:trHeight w:val="255"/>
        </w:trPr>
        <w:tc>
          <w:tcPr>
            <w:tcW w:w="4410" w:type="dxa"/>
            <w:tcBorders>
              <w:top w:val="nil"/>
              <w:left w:val="single" w:sz="8" w:space="0" w:color="auto"/>
              <w:bottom w:val="nil"/>
            </w:tcBorders>
            <w:shd w:val="clear" w:color="auto" w:fill="auto"/>
            <w:noWrap/>
            <w:vAlign w:val="center"/>
            <w:hideMark/>
          </w:tcPr>
          <w:p w14:paraId="193EB254" w14:textId="7BC55CB7" w:rsidR="0008341F" w:rsidRPr="009548D7" w:rsidRDefault="00EE460F" w:rsidP="00EE460F">
            <w:pPr>
              <w:spacing w:after="0" w:line="240" w:lineRule="auto"/>
              <w:rPr>
                <w:rFonts w:ascii="Arial Narrow" w:eastAsia="Times New Roman" w:hAnsi="Arial Narrow" w:cs="Arial"/>
                <w:b/>
                <w:bCs/>
                <w:sz w:val="16"/>
                <w:szCs w:val="16"/>
                <w:lang w:eastAsia="pt-BR"/>
              </w:rPr>
            </w:pPr>
            <w:r>
              <w:rPr>
                <w:rFonts w:ascii="Arial Narrow" w:eastAsia="Times New Roman" w:hAnsi="Arial Narrow" w:cs="Arial"/>
                <w:bCs/>
                <w:sz w:val="16"/>
                <w:szCs w:val="16"/>
                <w:lang w:eastAsia="pt-BR"/>
              </w:rPr>
              <w:t xml:space="preserve">          </w:t>
            </w:r>
            <w:r w:rsidR="0008341F" w:rsidRPr="00353139">
              <w:rPr>
                <w:rFonts w:ascii="Arial Narrow" w:eastAsia="Times New Roman" w:hAnsi="Arial Narrow" w:cs="Arial"/>
                <w:bCs/>
                <w:sz w:val="16"/>
                <w:szCs w:val="16"/>
                <w:lang w:eastAsia="pt-BR"/>
              </w:rPr>
              <w:t>(-) Outras Amortizações Acumuladas</w:t>
            </w:r>
          </w:p>
        </w:tc>
        <w:tc>
          <w:tcPr>
            <w:tcW w:w="767" w:type="dxa"/>
            <w:tcBorders>
              <w:top w:val="nil"/>
              <w:bottom w:val="nil"/>
              <w:right w:val="single" w:sz="4" w:space="0" w:color="auto"/>
            </w:tcBorders>
            <w:shd w:val="clear" w:color="auto" w:fill="auto"/>
            <w:noWrap/>
            <w:vAlign w:val="center"/>
          </w:tcPr>
          <w:p w14:paraId="154BFC29" w14:textId="77777777" w:rsidR="0008341F" w:rsidRPr="009548D7" w:rsidRDefault="0008341F" w:rsidP="000525CD">
            <w:pPr>
              <w:spacing w:after="0" w:line="240" w:lineRule="auto"/>
              <w:jc w:val="center"/>
              <w:rPr>
                <w:rFonts w:ascii="Arial Narrow" w:eastAsia="Times New Roman" w:hAnsi="Arial Narrow" w:cs="Arial"/>
                <w:b/>
                <w:bCs/>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1F157ADA" w14:textId="77777777" w:rsidR="0008341F" w:rsidRPr="009548D7" w:rsidRDefault="0008341F" w:rsidP="000525CD">
            <w:pPr>
              <w:spacing w:after="0" w:line="240" w:lineRule="auto"/>
              <w:jc w:val="center"/>
              <w:rPr>
                <w:rFonts w:ascii="Arial Narrow" w:eastAsia="Times New Roman" w:hAnsi="Arial Narrow" w:cs="Arial"/>
                <w:b/>
                <w:bCs/>
                <w:sz w:val="16"/>
                <w:szCs w:val="16"/>
                <w:lang w:eastAsia="pt-BR"/>
              </w:rPr>
            </w:pPr>
            <w:r w:rsidRPr="00353139">
              <w:rPr>
                <w:rFonts w:ascii="Arial Narrow" w:eastAsia="Times New Roman" w:hAnsi="Arial Narrow" w:cs="Arial"/>
                <w:bCs/>
                <w:sz w:val="16"/>
                <w:szCs w:val="16"/>
                <w:lang w:eastAsia="pt-BR"/>
              </w:rPr>
              <w:t>BPA.D092</w:t>
            </w:r>
          </w:p>
        </w:tc>
        <w:tc>
          <w:tcPr>
            <w:tcW w:w="1262" w:type="dxa"/>
            <w:tcBorders>
              <w:top w:val="nil"/>
              <w:left w:val="nil"/>
              <w:bottom w:val="nil"/>
              <w:right w:val="single" w:sz="8" w:space="0" w:color="auto"/>
            </w:tcBorders>
            <w:shd w:val="clear" w:color="auto" w:fill="auto"/>
            <w:noWrap/>
            <w:vAlign w:val="center"/>
            <w:hideMark/>
          </w:tcPr>
          <w:p w14:paraId="1616BB64" w14:textId="77777777" w:rsidR="0008341F" w:rsidRPr="009548D7" w:rsidRDefault="0008341F" w:rsidP="000525CD">
            <w:pPr>
              <w:spacing w:after="0" w:line="240" w:lineRule="auto"/>
              <w:jc w:val="center"/>
              <w:rPr>
                <w:rFonts w:ascii="Arial Narrow" w:eastAsia="Times New Roman" w:hAnsi="Arial Narrow" w:cs="Arial"/>
                <w:b/>
                <w:bCs/>
                <w:sz w:val="16"/>
                <w:szCs w:val="16"/>
                <w:lang w:eastAsia="pt-BR"/>
              </w:rPr>
            </w:pPr>
            <w:r w:rsidRPr="00353139">
              <w:rPr>
                <w:rFonts w:ascii="Arial Narrow" w:eastAsia="Times New Roman" w:hAnsi="Arial Narrow" w:cs="Arial"/>
                <w:bCs/>
                <w:sz w:val="16"/>
                <w:szCs w:val="16"/>
                <w:lang w:eastAsia="pt-BR"/>
              </w:rPr>
              <w:t>BPA.E092</w:t>
            </w:r>
          </w:p>
        </w:tc>
        <w:tc>
          <w:tcPr>
            <w:tcW w:w="4562" w:type="dxa"/>
            <w:tcBorders>
              <w:top w:val="nil"/>
              <w:left w:val="nil"/>
            </w:tcBorders>
            <w:shd w:val="clear" w:color="auto" w:fill="auto"/>
            <w:noWrap/>
            <w:vAlign w:val="center"/>
          </w:tcPr>
          <w:p w14:paraId="011F95AB" w14:textId="77777777" w:rsidR="0008341F" w:rsidRPr="009548D7" w:rsidRDefault="0008341F" w:rsidP="000525CD">
            <w:pPr>
              <w:spacing w:after="0" w:line="240" w:lineRule="auto"/>
              <w:rPr>
                <w:rFonts w:ascii="Arial Narrow" w:eastAsia="Times New Roman" w:hAnsi="Arial Narrow" w:cs="Arial"/>
                <w:b/>
                <w:bCs/>
                <w:sz w:val="16"/>
                <w:szCs w:val="16"/>
                <w:lang w:eastAsia="pt-BR"/>
              </w:rPr>
            </w:pPr>
          </w:p>
        </w:tc>
        <w:tc>
          <w:tcPr>
            <w:tcW w:w="775" w:type="dxa"/>
            <w:tcBorders>
              <w:top w:val="nil"/>
              <w:right w:val="single" w:sz="8" w:space="0" w:color="auto"/>
            </w:tcBorders>
            <w:shd w:val="clear" w:color="auto" w:fill="auto"/>
            <w:noWrap/>
            <w:vAlign w:val="center"/>
          </w:tcPr>
          <w:p w14:paraId="33BD6649" w14:textId="77777777" w:rsidR="0008341F" w:rsidRPr="009548D7" w:rsidRDefault="0008341F" w:rsidP="000525CD">
            <w:pPr>
              <w:spacing w:after="0" w:line="240" w:lineRule="auto"/>
              <w:jc w:val="center"/>
              <w:rPr>
                <w:rFonts w:ascii="Arial Narrow" w:eastAsia="Times New Roman" w:hAnsi="Arial Narrow" w:cs="Arial"/>
                <w:b/>
                <w:bCs/>
                <w:sz w:val="16"/>
                <w:szCs w:val="16"/>
                <w:lang w:eastAsia="pt-BR"/>
              </w:rPr>
            </w:pPr>
          </w:p>
        </w:tc>
        <w:tc>
          <w:tcPr>
            <w:tcW w:w="1063" w:type="dxa"/>
            <w:tcBorders>
              <w:top w:val="nil"/>
              <w:left w:val="nil"/>
              <w:right w:val="single" w:sz="8" w:space="0" w:color="auto"/>
            </w:tcBorders>
            <w:shd w:val="clear" w:color="auto" w:fill="auto"/>
            <w:noWrap/>
            <w:vAlign w:val="center"/>
          </w:tcPr>
          <w:p w14:paraId="0409DBF6" w14:textId="77777777" w:rsidR="0008341F" w:rsidRPr="009548D7" w:rsidRDefault="0008341F" w:rsidP="000525CD">
            <w:pPr>
              <w:spacing w:after="0" w:line="240" w:lineRule="auto"/>
              <w:jc w:val="center"/>
              <w:rPr>
                <w:rFonts w:ascii="Arial Narrow" w:eastAsia="Times New Roman" w:hAnsi="Arial Narrow" w:cs="Arial"/>
                <w:b/>
                <w:bCs/>
                <w:sz w:val="16"/>
                <w:szCs w:val="16"/>
                <w:lang w:eastAsia="pt-BR"/>
              </w:rPr>
            </w:pPr>
          </w:p>
        </w:tc>
        <w:tc>
          <w:tcPr>
            <w:tcW w:w="1420" w:type="dxa"/>
            <w:tcBorders>
              <w:top w:val="nil"/>
              <w:left w:val="nil"/>
              <w:right w:val="single" w:sz="8" w:space="0" w:color="auto"/>
            </w:tcBorders>
            <w:shd w:val="clear" w:color="auto" w:fill="auto"/>
            <w:noWrap/>
            <w:vAlign w:val="center"/>
          </w:tcPr>
          <w:p w14:paraId="09481864" w14:textId="77777777" w:rsidR="0008341F" w:rsidRPr="009548D7" w:rsidRDefault="0008341F" w:rsidP="000525CD">
            <w:pPr>
              <w:spacing w:after="0" w:line="240" w:lineRule="auto"/>
              <w:jc w:val="center"/>
              <w:rPr>
                <w:rFonts w:ascii="Arial Narrow" w:eastAsia="Times New Roman" w:hAnsi="Arial Narrow" w:cs="Arial"/>
                <w:b/>
                <w:bCs/>
                <w:sz w:val="16"/>
                <w:szCs w:val="16"/>
                <w:lang w:eastAsia="pt-BR"/>
              </w:rPr>
            </w:pPr>
          </w:p>
        </w:tc>
      </w:tr>
      <w:tr w:rsidR="0008341F" w:rsidRPr="009548D7" w14:paraId="6DDC6A8C" w14:textId="77777777" w:rsidTr="000525CD">
        <w:trPr>
          <w:trHeight w:val="255"/>
        </w:trPr>
        <w:tc>
          <w:tcPr>
            <w:tcW w:w="4410" w:type="dxa"/>
            <w:tcBorders>
              <w:top w:val="nil"/>
              <w:left w:val="single" w:sz="8" w:space="0" w:color="auto"/>
              <w:bottom w:val="nil"/>
            </w:tcBorders>
            <w:shd w:val="clear" w:color="auto" w:fill="auto"/>
            <w:noWrap/>
            <w:vAlign w:val="center"/>
          </w:tcPr>
          <w:p w14:paraId="7CC1DD58" w14:textId="7E1B9908" w:rsidR="0008341F" w:rsidRPr="00353139" w:rsidRDefault="00EE460F" w:rsidP="00EE460F">
            <w:pPr>
              <w:spacing w:after="0" w:line="240" w:lineRule="auto"/>
              <w:rPr>
                <w:rFonts w:ascii="Arial Narrow" w:eastAsia="Times New Roman" w:hAnsi="Arial Narrow" w:cs="Arial"/>
                <w:sz w:val="16"/>
                <w:szCs w:val="16"/>
                <w:lang w:eastAsia="pt-BR"/>
              </w:rPr>
            </w:pPr>
            <w:r>
              <w:rPr>
                <w:rFonts w:ascii="Arial Narrow" w:eastAsia="Times New Roman" w:hAnsi="Arial Narrow" w:cs="Arial"/>
                <w:bCs/>
                <w:sz w:val="16"/>
                <w:szCs w:val="16"/>
                <w:lang w:eastAsia="pt-BR"/>
              </w:rPr>
              <w:t xml:space="preserve">          </w:t>
            </w:r>
            <w:r w:rsidR="0008341F" w:rsidRPr="00353139">
              <w:rPr>
                <w:rFonts w:ascii="Arial Narrow" w:eastAsia="Times New Roman" w:hAnsi="Arial Narrow" w:cs="Arial"/>
                <w:bCs/>
                <w:sz w:val="16"/>
                <w:szCs w:val="16"/>
                <w:lang w:eastAsia="pt-BR"/>
              </w:rPr>
              <w:t>(-) Otras Reduções ao Valor Recuperável de Intangível</w:t>
            </w:r>
          </w:p>
        </w:tc>
        <w:tc>
          <w:tcPr>
            <w:tcW w:w="767" w:type="dxa"/>
            <w:tcBorders>
              <w:top w:val="nil"/>
              <w:bottom w:val="nil"/>
              <w:right w:val="single" w:sz="4" w:space="0" w:color="auto"/>
            </w:tcBorders>
            <w:shd w:val="clear" w:color="auto" w:fill="auto"/>
            <w:noWrap/>
            <w:vAlign w:val="center"/>
          </w:tcPr>
          <w:p w14:paraId="34556EA5" w14:textId="77777777" w:rsidR="0008341F" w:rsidRPr="00353139" w:rsidRDefault="0008341F" w:rsidP="000525CD">
            <w:pPr>
              <w:spacing w:after="0" w:line="240" w:lineRule="auto"/>
              <w:jc w:val="center"/>
              <w:rPr>
                <w:rFonts w:ascii="Arial Narrow" w:eastAsia="Times New Roman" w:hAnsi="Arial Narrow" w:cs="Arial"/>
                <w:b/>
                <w:bCs/>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tcPr>
          <w:p w14:paraId="4C8280F0" w14:textId="77777777" w:rsidR="0008341F" w:rsidRPr="00353139" w:rsidRDefault="0008341F" w:rsidP="000525CD">
            <w:pPr>
              <w:spacing w:after="0" w:line="240" w:lineRule="auto"/>
              <w:jc w:val="center"/>
              <w:rPr>
                <w:rFonts w:ascii="Arial Narrow" w:eastAsia="Times New Roman" w:hAnsi="Arial Narrow" w:cs="Arial"/>
                <w:sz w:val="16"/>
                <w:szCs w:val="16"/>
                <w:lang w:eastAsia="pt-BR"/>
              </w:rPr>
            </w:pPr>
            <w:r w:rsidRPr="00353139">
              <w:rPr>
                <w:rFonts w:ascii="Arial Narrow" w:eastAsia="Times New Roman" w:hAnsi="Arial Narrow" w:cs="Arial"/>
                <w:bCs/>
                <w:sz w:val="16"/>
                <w:szCs w:val="16"/>
                <w:lang w:eastAsia="pt-BR"/>
              </w:rPr>
              <w:t>BPA.D093</w:t>
            </w:r>
          </w:p>
        </w:tc>
        <w:tc>
          <w:tcPr>
            <w:tcW w:w="1262" w:type="dxa"/>
            <w:tcBorders>
              <w:top w:val="nil"/>
              <w:left w:val="nil"/>
              <w:bottom w:val="nil"/>
              <w:right w:val="single" w:sz="8" w:space="0" w:color="auto"/>
            </w:tcBorders>
            <w:shd w:val="clear" w:color="auto" w:fill="auto"/>
            <w:noWrap/>
            <w:vAlign w:val="center"/>
          </w:tcPr>
          <w:p w14:paraId="45995E97" w14:textId="77777777" w:rsidR="0008341F" w:rsidRPr="00353139" w:rsidRDefault="0008341F" w:rsidP="000525CD">
            <w:pPr>
              <w:spacing w:after="0" w:line="240" w:lineRule="auto"/>
              <w:jc w:val="center"/>
              <w:rPr>
                <w:rFonts w:ascii="Arial Narrow" w:eastAsia="Times New Roman" w:hAnsi="Arial Narrow" w:cs="Arial"/>
                <w:sz w:val="16"/>
                <w:szCs w:val="16"/>
                <w:lang w:eastAsia="pt-BR"/>
              </w:rPr>
            </w:pPr>
            <w:r w:rsidRPr="00353139">
              <w:rPr>
                <w:rFonts w:ascii="Arial Narrow" w:eastAsia="Times New Roman" w:hAnsi="Arial Narrow" w:cs="Arial"/>
                <w:bCs/>
                <w:sz w:val="16"/>
                <w:szCs w:val="16"/>
                <w:lang w:eastAsia="pt-BR"/>
              </w:rPr>
              <w:t>BPA.E093</w:t>
            </w:r>
          </w:p>
        </w:tc>
        <w:tc>
          <w:tcPr>
            <w:tcW w:w="4562" w:type="dxa"/>
            <w:tcBorders>
              <w:top w:val="nil"/>
              <w:left w:val="nil"/>
            </w:tcBorders>
            <w:shd w:val="clear" w:color="auto" w:fill="auto"/>
            <w:noWrap/>
            <w:vAlign w:val="center"/>
          </w:tcPr>
          <w:p w14:paraId="27CE93CF" w14:textId="77777777" w:rsidR="0008341F" w:rsidRPr="009548D7" w:rsidRDefault="0008341F" w:rsidP="000525CD">
            <w:pPr>
              <w:spacing w:after="0" w:line="240" w:lineRule="auto"/>
              <w:rPr>
                <w:rFonts w:ascii="Arial Narrow" w:eastAsia="Times New Roman" w:hAnsi="Arial Narrow" w:cs="Arial"/>
                <w:b/>
                <w:bCs/>
                <w:sz w:val="16"/>
                <w:szCs w:val="16"/>
                <w:lang w:eastAsia="pt-BR"/>
              </w:rPr>
            </w:pPr>
          </w:p>
        </w:tc>
        <w:tc>
          <w:tcPr>
            <w:tcW w:w="775" w:type="dxa"/>
            <w:tcBorders>
              <w:top w:val="nil"/>
              <w:right w:val="single" w:sz="8" w:space="0" w:color="auto"/>
            </w:tcBorders>
            <w:shd w:val="clear" w:color="auto" w:fill="auto"/>
            <w:noWrap/>
            <w:vAlign w:val="center"/>
          </w:tcPr>
          <w:p w14:paraId="3B093495" w14:textId="77777777" w:rsidR="0008341F" w:rsidRPr="009548D7" w:rsidRDefault="0008341F" w:rsidP="000525CD">
            <w:pPr>
              <w:spacing w:after="0" w:line="240" w:lineRule="auto"/>
              <w:jc w:val="center"/>
              <w:rPr>
                <w:rFonts w:ascii="Arial Narrow" w:eastAsia="Times New Roman" w:hAnsi="Arial Narrow" w:cs="Arial"/>
                <w:b/>
                <w:bCs/>
                <w:sz w:val="16"/>
                <w:szCs w:val="16"/>
                <w:lang w:eastAsia="pt-BR"/>
              </w:rPr>
            </w:pPr>
          </w:p>
        </w:tc>
        <w:tc>
          <w:tcPr>
            <w:tcW w:w="1063" w:type="dxa"/>
            <w:tcBorders>
              <w:top w:val="nil"/>
              <w:left w:val="nil"/>
              <w:right w:val="single" w:sz="8" w:space="0" w:color="auto"/>
            </w:tcBorders>
            <w:shd w:val="clear" w:color="auto" w:fill="auto"/>
            <w:noWrap/>
            <w:vAlign w:val="center"/>
          </w:tcPr>
          <w:p w14:paraId="6B32FD6F" w14:textId="77777777" w:rsidR="0008341F" w:rsidRPr="009548D7" w:rsidRDefault="0008341F" w:rsidP="000525CD">
            <w:pPr>
              <w:spacing w:after="0" w:line="240" w:lineRule="auto"/>
              <w:jc w:val="center"/>
              <w:rPr>
                <w:rFonts w:ascii="Arial Narrow" w:eastAsia="Times New Roman" w:hAnsi="Arial Narrow" w:cs="Arial"/>
                <w:b/>
                <w:bCs/>
                <w:sz w:val="16"/>
                <w:szCs w:val="16"/>
                <w:lang w:eastAsia="pt-BR"/>
              </w:rPr>
            </w:pPr>
          </w:p>
        </w:tc>
        <w:tc>
          <w:tcPr>
            <w:tcW w:w="1420" w:type="dxa"/>
            <w:tcBorders>
              <w:top w:val="nil"/>
              <w:left w:val="nil"/>
              <w:right w:val="single" w:sz="8" w:space="0" w:color="auto"/>
            </w:tcBorders>
            <w:shd w:val="clear" w:color="auto" w:fill="auto"/>
            <w:noWrap/>
            <w:vAlign w:val="center"/>
          </w:tcPr>
          <w:p w14:paraId="1E318C34" w14:textId="77777777" w:rsidR="0008341F" w:rsidRPr="009548D7" w:rsidRDefault="0008341F" w:rsidP="000525CD">
            <w:pPr>
              <w:spacing w:after="0" w:line="240" w:lineRule="auto"/>
              <w:jc w:val="center"/>
              <w:rPr>
                <w:rFonts w:ascii="Arial Narrow" w:eastAsia="Times New Roman" w:hAnsi="Arial Narrow" w:cs="Arial"/>
                <w:b/>
                <w:bCs/>
                <w:sz w:val="16"/>
                <w:szCs w:val="16"/>
                <w:lang w:eastAsia="pt-BR"/>
              </w:rPr>
            </w:pPr>
          </w:p>
        </w:tc>
      </w:tr>
      <w:tr w:rsidR="0008341F" w:rsidRPr="009548D7" w14:paraId="167C2530" w14:textId="77777777" w:rsidTr="000525CD">
        <w:trPr>
          <w:trHeight w:val="255"/>
        </w:trPr>
        <w:tc>
          <w:tcPr>
            <w:tcW w:w="4410" w:type="dxa"/>
            <w:tcBorders>
              <w:top w:val="nil"/>
              <w:left w:val="single" w:sz="8" w:space="0" w:color="auto"/>
              <w:bottom w:val="nil"/>
            </w:tcBorders>
            <w:shd w:val="clear" w:color="auto" w:fill="auto"/>
            <w:noWrap/>
            <w:vAlign w:val="center"/>
          </w:tcPr>
          <w:p w14:paraId="3BF07DE3" w14:textId="272165F3" w:rsidR="0008341F" w:rsidRPr="00353139" w:rsidRDefault="00EE460F" w:rsidP="000525CD">
            <w:pPr>
              <w:spacing w:after="0" w:line="240" w:lineRule="auto"/>
              <w:rPr>
                <w:rFonts w:ascii="Arial Narrow" w:eastAsia="Times New Roman" w:hAnsi="Arial Narrow" w:cs="Arial"/>
                <w:sz w:val="16"/>
                <w:szCs w:val="16"/>
                <w:lang w:eastAsia="pt-BR"/>
              </w:rPr>
            </w:pPr>
            <w:r>
              <w:rPr>
                <w:rFonts w:ascii="Arial Narrow" w:eastAsia="Times New Roman" w:hAnsi="Arial Narrow" w:cs="Arial"/>
                <w:b/>
                <w:bCs/>
                <w:sz w:val="16"/>
                <w:szCs w:val="16"/>
                <w:lang w:eastAsia="pt-BR"/>
              </w:rPr>
              <w:t xml:space="preserve">     </w:t>
            </w:r>
            <w:r w:rsidR="0008341F" w:rsidRPr="009548D7">
              <w:rPr>
                <w:rFonts w:ascii="Arial Narrow" w:eastAsia="Times New Roman" w:hAnsi="Arial Narrow" w:cs="Arial"/>
                <w:b/>
                <w:bCs/>
                <w:sz w:val="16"/>
                <w:szCs w:val="16"/>
                <w:lang w:eastAsia="pt-BR"/>
              </w:rPr>
              <w:t>Diferido</w:t>
            </w:r>
          </w:p>
        </w:tc>
        <w:tc>
          <w:tcPr>
            <w:tcW w:w="767" w:type="dxa"/>
            <w:tcBorders>
              <w:top w:val="nil"/>
              <w:bottom w:val="nil"/>
              <w:right w:val="single" w:sz="4" w:space="0" w:color="auto"/>
            </w:tcBorders>
            <w:shd w:val="clear" w:color="auto" w:fill="auto"/>
            <w:noWrap/>
            <w:vAlign w:val="center"/>
          </w:tcPr>
          <w:p w14:paraId="141A3F37" w14:textId="77777777" w:rsidR="0008341F" w:rsidRPr="00353139" w:rsidRDefault="0008341F" w:rsidP="000525CD">
            <w:pPr>
              <w:spacing w:after="0" w:line="240" w:lineRule="auto"/>
              <w:jc w:val="center"/>
              <w:rPr>
                <w:rFonts w:ascii="Arial Narrow" w:eastAsia="Times New Roman" w:hAnsi="Arial Narrow" w:cs="Arial"/>
                <w:b/>
                <w:bCs/>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tcPr>
          <w:p w14:paraId="4DF7DAF9" w14:textId="77777777" w:rsidR="0008341F" w:rsidRPr="00353139"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b/>
                <w:bCs/>
                <w:sz w:val="16"/>
                <w:szCs w:val="16"/>
                <w:lang w:eastAsia="pt-BR"/>
              </w:rPr>
              <w:t>BPA.D070</w:t>
            </w:r>
          </w:p>
        </w:tc>
        <w:tc>
          <w:tcPr>
            <w:tcW w:w="1262" w:type="dxa"/>
            <w:tcBorders>
              <w:top w:val="nil"/>
              <w:left w:val="nil"/>
              <w:bottom w:val="nil"/>
              <w:right w:val="single" w:sz="8" w:space="0" w:color="auto"/>
            </w:tcBorders>
            <w:shd w:val="clear" w:color="auto" w:fill="auto"/>
            <w:noWrap/>
            <w:vAlign w:val="center"/>
          </w:tcPr>
          <w:p w14:paraId="389872ED" w14:textId="77777777" w:rsidR="0008341F" w:rsidRPr="00353139" w:rsidRDefault="0008341F" w:rsidP="000525CD">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b/>
                <w:bCs/>
                <w:sz w:val="16"/>
                <w:szCs w:val="16"/>
                <w:lang w:eastAsia="pt-BR"/>
              </w:rPr>
              <w:t>BPA.E070</w:t>
            </w:r>
          </w:p>
        </w:tc>
        <w:tc>
          <w:tcPr>
            <w:tcW w:w="4562" w:type="dxa"/>
            <w:tcBorders>
              <w:top w:val="nil"/>
              <w:left w:val="nil"/>
            </w:tcBorders>
            <w:shd w:val="clear" w:color="auto" w:fill="auto"/>
            <w:noWrap/>
            <w:vAlign w:val="center"/>
          </w:tcPr>
          <w:p w14:paraId="4B7DBA39" w14:textId="77777777" w:rsidR="0008341F" w:rsidRPr="009548D7" w:rsidRDefault="0008341F" w:rsidP="000525CD">
            <w:pPr>
              <w:spacing w:after="0" w:line="240" w:lineRule="auto"/>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TOTAL DO PATRIMÔNIO LÍQUIDO</w:t>
            </w:r>
          </w:p>
        </w:tc>
        <w:tc>
          <w:tcPr>
            <w:tcW w:w="775" w:type="dxa"/>
            <w:tcBorders>
              <w:top w:val="nil"/>
              <w:right w:val="single" w:sz="8" w:space="0" w:color="auto"/>
            </w:tcBorders>
            <w:shd w:val="clear" w:color="auto" w:fill="auto"/>
            <w:noWrap/>
            <w:vAlign w:val="center"/>
          </w:tcPr>
          <w:p w14:paraId="315E0B87" w14:textId="77777777" w:rsidR="0008341F" w:rsidRPr="009548D7" w:rsidRDefault="0008341F" w:rsidP="000525CD">
            <w:pPr>
              <w:spacing w:after="0" w:line="240" w:lineRule="auto"/>
              <w:jc w:val="center"/>
              <w:rPr>
                <w:rFonts w:ascii="Arial Narrow" w:eastAsia="Times New Roman" w:hAnsi="Arial Narrow" w:cs="Arial"/>
                <w:b/>
                <w:bCs/>
                <w:sz w:val="16"/>
                <w:szCs w:val="16"/>
                <w:lang w:eastAsia="pt-BR"/>
              </w:rPr>
            </w:pPr>
          </w:p>
        </w:tc>
        <w:tc>
          <w:tcPr>
            <w:tcW w:w="1063" w:type="dxa"/>
            <w:tcBorders>
              <w:top w:val="nil"/>
              <w:left w:val="nil"/>
              <w:right w:val="single" w:sz="8" w:space="0" w:color="auto"/>
            </w:tcBorders>
            <w:shd w:val="clear" w:color="auto" w:fill="auto"/>
            <w:noWrap/>
            <w:vAlign w:val="center"/>
          </w:tcPr>
          <w:p w14:paraId="7FED0651" w14:textId="77777777" w:rsidR="0008341F" w:rsidRPr="009548D7" w:rsidRDefault="0008341F" w:rsidP="000525CD">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BPA.H070</w:t>
            </w:r>
          </w:p>
        </w:tc>
        <w:tc>
          <w:tcPr>
            <w:tcW w:w="1420" w:type="dxa"/>
            <w:tcBorders>
              <w:top w:val="nil"/>
              <w:left w:val="nil"/>
              <w:right w:val="single" w:sz="8" w:space="0" w:color="auto"/>
            </w:tcBorders>
            <w:shd w:val="clear" w:color="auto" w:fill="auto"/>
            <w:noWrap/>
            <w:vAlign w:val="center"/>
          </w:tcPr>
          <w:p w14:paraId="43184E2E" w14:textId="77777777" w:rsidR="0008341F" w:rsidRPr="009548D7" w:rsidRDefault="0008341F" w:rsidP="000525CD">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BPA.I070</w:t>
            </w:r>
          </w:p>
        </w:tc>
      </w:tr>
      <w:tr w:rsidR="0008341F" w:rsidRPr="009548D7" w14:paraId="1E5826E2" w14:textId="77777777" w:rsidTr="000525CD">
        <w:trPr>
          <w:trHeight w:val="270"/>
        </w:trPr>
        <w:tc>
          <w:tcPr>
            <w:tcW w:w="4410" w:type="dxa"/>
            <w:tcBorders>
              <w:top w:val="single" w:sz="8" w:space="0" w:color="auto"/>
              <w:left w:val="single" w:sz="8" w:space="0" w:color="auto"/>
              <w:bottom w:val="single" w:sz="8" w:space="0" w:color="auto"/>
            </w:tcBorders>
            <w:shd w:val="clear" w:color="000000" w:fill="auto"/>
            <w:noWrap/>
            <w:vAlign w:val="center"/>
          </w:tcPr>
          <w:p w14:paraId="33AB5A2F" w14:textId="77777777" w:rsidR="0008341F" w:rsidRPr="009548D7" w:rsidRDefault="0008341F" w:rsidP="000525CD">
            <w:pPr>
              <w:spacing w:after="0" w:line="240" w:lineRule="auto"/>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TOTAL DO ATIVO</w:t>
            </w:r>
          </w:p>
        </w:tc>
        <w:tc>
          <w:tcPr>
            <w:tcW w:w="767" w:type="dxa"/>
            <w:tcBorders>
              <w:top w:val="single" w:sz="8" w:space="0" w:color="auto"/>
              <w:bottom w:val="single" w:sz="4" w:space="0" w:color="auto"/>
              <w:right w:val="single" w:sz="4" w:space="0" w:color="auto"/>
            </w:tcBorders>
            <w:shd w:val="clear" w:color="000000" w:fill="auto"/>
            <w:noWrap/>
            <w:vAlign w:val="center"/>
          </w:tcPr>
          <w:p w14:paraId="4FAF9C4F" w14:textId="77777777" w:rsidR="0008341F" w:rsidRPr="009548D7" w:rsidRDefault="0008341F" w:rsidP="000525CD">
            <w:pPr>
              <w:spacing w:after="0" w:line="240" w:lineRule="auto"/>
              <w:jc w:val="center"/>
              <w:rPr>
                <w:rFonts w:ascii="Arial Narrow" w:eastAsia="Times New Roman" w:hAnsi="Arial Narrow" w:cs="Arial"/>
                <w:b/>
                <w:bCs/>
                <w:sz w:val="16"/>
                <w:szCs w:val="16"/>
                <w:lang w:eastAsia="pt-BR"/>
              </w:rPr>
            </w:pPr>
          </w:p>
        </w:tc>
        <w:tc>
          <w:tcPr>
            <w:tcW w:w="1063" w:type="dxa"/>
            <w:tcBorders>
              <w:top w:val="single" w:sz="8" w:space="0" w:color="auto"/>
              <w:left w:val="single" w:sz="4" w:space="0" w:color="auto"/>
              <w:bottom w:val="single" w:sz="8" w:space="0" w:color="auto"/>
              <w:right w:val="single" w:sz="8" w:space="0" w:color="auto"/>
            </w:tcBorders>
            <w:shd w:val="clear" w:color="000000" w:fill="auto"/>
            <w:noWrap/>
            <w:vAlign w:val="center"/>
          </w:tcPr>
          <w:p w14:paraId="1F0C575F" w14:textId="77777777" w:rsidR="0008341F" w:rsidRPr="009548D7" w:rsidRDefault="0008341F" w:rsidP="000525CD">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BPA.D071</w:t>
            </w:r>
          </w:p>
        </w:tc>
        <w:tc>
          <w:tcPr>
            <w:tcW w:w="1262" w:type="dxa"/>
            <w:tcBorders>
              <w:top w:val="single" w:sz="8" w:space="0" w:color="auto"/>
              <w:left w:val="nil"/>
              <w:bottom w:val="single" w:sz="8" w:space="0" w:color="auto"/>
              <w:right w:val="single" w:sz="8" w:space="0" w:color="auto"/>
            </w:tcBorders>
            <w:shd w:val="clear" w:color="000000" w:fill="auto"/>
            <w:noWrap/>
            <w:vAlign w:val="center"/>
          </w:tcPr>
          <w:p w14:paraId="378094BB" w14:textId="77777777" w:rsidR="0008341F" w:rsidRPr="009548D7" w:rsidRDefault="0008341F" w:rsidP="000525CD">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BPA.E071</w:t>
            </w:r>
          </w:p>
        </w:tc>
        <w:tc>
          <w:tcPr>
            <w:tcW w:w="4562" w:type="dxa"/>
            <w:tcBorders>
              <w:top w:val="single" w:sz="8" w:space="0" w:color="auto"/>
              <w:left w:val="nil"/>
              <w:bottom w:val="single" w:sz="8" w:space="0" w:color="auto"/>
            </w:tcBorders>
            <w:shd w:val="clear" w:color="000000" w:fill="auto"/>
            <w:noWrap/>
            <w:vAlign w:val="center"/>
          </w:tcPr>
          <w:p w14:paraId="5AD68CC5" w14:textId="77777777" w:rsidR="0008341F" w:rsidRPr="009548D7" w:rsidRDefault="0008341F" w:rsidP="000525CD">
            <w:pPr>
              <w:spacing w:after="0" w:line="240" w:lineRule="auto"/>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TOTAL DO PASSIVO E DO PATRIMÔNIO LÍQUIDO</w:t>
            </w:r>
          </w:p>
        </w:tc>
        <w:tc>
          <w:tcPr>
            <w:tcW w:w="775" w:type="dxa"/>
            <w:tcBorders>
              <w:top w:val="single" w:sz="8" w:space="0" w:color="auto"/>
              <w:bottom w:val="single" w:sz="8" w:space="0" w:color="auto"/>
              <w:right w:val="single" w:sz="8" w:space="0" w:color="auto"/>
            </w:tcBorders>
            <w:shd w:val="clear" w:color="000000" w:fill="auto"/>
            <w:noWrap/>
            <w:vAlign w:val="center"/>
          </w:tcPr>
          <w:p w14:paraId="73E33C4D" w14:textId="77777777" w:rsidR="0008341F" w:rsidRPr="009548D7" w:rsidRDefault="0008341F" w:rsidP="000525CD">
            <w:pPr>
              <w:spacing w:after="0" w:line="240" w:lineRule="auto"/>
              <w:jc w:val="center"/>
              <w:rPr>
                <w:rFonts w:ascii="Arial Narrow" w:eastAsia="Times New Roman" w:hAnsi="Arial Narrow" w:cs="Arial"/>
                <w:b/>
                <w:bCs/>
                <w:sz w:val="16"/>
                <w:szCs w:val="16"/>
                <w:lang w:eastAsia="pt-BR"/>
              </w:rPr>
            </w:pPr>
          </w:p>
        </w:tc>
        <w:tc>
          <w:tcPr>
            <w:tcW w:w="1063" w:type="dxa"/>
            <w:tcBorders>
              <w:top w:val="single" w:sz="8" w:space="0" w:color="auto"/>
              <w:left w:val="nil"/>
              <w:bottom w:val="single" w:sz="8" w:space="0" w:color="auto"/>
              <w:right w:val="single" w:sz="8" w:space="0" w:color="auto"/>
            </w:tcBorders>
            <w:shd w:val="clear" w:color="000000" w:fill="auto"/>
            <w:noWrap/>
            <w:vAlign w:val="center"/>
          </w:tcPr>
          <w:p w14:paraId="6F8D54E6" w14:textId="77777777" w:rsidR="0008341F" w:rsidRPr="009548D7" w:rsidRDefault="0008341F" w:rsidP="000525CD">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BPA.H071</w:t>
            </w:r>
          </w:p>
        </w:tc>
        <w:tc>
          <w:tcPr>
            <w:tcW w:w="1420" w:type="dxa"/>
            <w:tcBorders>
              <w:top w:val="single" w:sz="8" w:space="0" w:color="auto"/>
              <w:left w:val="nil"/>
              <w:bottom w:val="single" w:sz="8" w:space="0" w:color="auto"/>
              <w:right w:val="single" w:sz="8" w:space="0" w:color="auto"/>
            </w:tcBorders>
            <w:shd w:val="clear" w:color="000000" w:fill="auto"/>
            <w:noWrap/>
            <w:vAlign w:val="center"/>
          </w:tcPr>
          <w:p w14:paraId="1BFEF05F" w14:textId="77777777" w:rsidR="0008341F" w:rsidRPr="009548D7" w:rsidRDefault="0008341F" w:rsidP="000525CD">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BPA.I071</w:t>
            </w:r>
          </w:p>
        </w:tc>
      </w:tr>
    </w:tbl>
    <w:p w14:paraId="03712616" w14:textId="3F910C7F" w:rsidR="00EC4B4F" w:rsidRDefault="00EC4B4F" w:rsidP="009B4545">
      <w:pPr>
        <w:spacing w:after="0" w:line="240" w:lineRule="auto"/>
        <w:jc w:val="center"/>
        <w:rPr>
          <w:rFonts w:ascii="Arial" w:eastAsia="Times New Roman" w:hAnsi="Arial" w:cs="Arial"/>
          <w:b/>
          <w:bCs/>
          <w:sz w:val="20"/>
          <w:szCs w:val="20"/>
          <w:lang w:eastAsia="pt-BR"/>
        </w:rPr>
      </w:pPr>
    </w:p>
    <w:tbl>
      <w:tblPr>
        <w:tblW w:w="15332" w:type="dxa"/>
        <w:tblInd w:w="-497" w:type="dxa"/>
        <w:tblCellMar>
          <w:left w:w="70" w:type="dxa"/>
          <w:right w:w="70" w:type="dxa"/>
        </w:tblCellMar>
        <w:tblLook w:val="04A0" w:firstRow="1" w:lastRow="0" w:firstColumn="1" w:lastColumn="0" w:noHBand="0" w:noVBand="1"/>
      </w:tblPr>
      <w:tblGrid>
        <w:gridCol w:w="10"/>
        <w:gridCol w:w="4400"/>
        <w:gridCol w:w="10"/>
        <w:gridCol w:w="757"/>
        <w:gridCol w:w="10"/>
        <w:gridCol w:w="1053"/>
        <w:gridCol w:w="10"/>
        <w:gridCol w:w="1252"/>
        <w:gridCol w:w="10"/>
        <w:gridCol w:w="4552"/>
        <w:gridCol w:w="10"/>
        <w:gridCol w:w="765"/>
        <w:gridCol w:w="10"/>
        <w:gridCol w:w="1053"/>
        <w:gridCol w:w="10"/>
        <w:gridCol w:w="1410"/>
        <w:gridCol w:w="10"/>
      </w:tblGrid>
      <w:tr w:rsidR="009B4545" w:rsidRPr="009548D7" w14:paraId="7085A4A4" w14:textId="77777777" w:rsidTr="0005315D">
        <w:trPr>
          <w:gridBefore w:val="1"/>
          <w:wBefore w:w="10" w:type="dxa"/>
          <w:trHeight w:val="615"/>
        </w:trPr>
        <w:tc>
          <w:tcPr>
            <w:tcW w:w="15322" w:type="dxa"/>
            <w:gridSpan w:val="16"/>
            <w:tcBorders>
              <w:left w:val="nil"/>
              <w:bottom w:val="single" w:sz="8" w:space="0" w:color="auto"/>
              <w:right w:val="nil"/>
            </w:tcBorders>
            <w:shd w:val="clear" w:color="auto" w:fill="auto"/>
            <w:noWrap/>
            <w:vAlign w:val="bottom"/>
            <w:hideMark/>
          </w:tcPr>
          <w:p w14:paraId="523D0A43" w14:textId="77777777" w:rsidR="009B4545" w:rsidRPr="009548D7" w:rsidRDefault="009B4545" w:rsidP="00326F06">
            <w:pPr>
              <w:spacing w:after="0" w:line="240" w:lineRule="auto"/>
              <w:jc w:val="center"/>
              <w:rPr>
                <w:rFonts w:ascii="Arial" w:eastAsia="Times New Roman" w:hAnsi="Arial" w:cs="Arial"/>
                <w:b/>
                <w:bCs/>
                <w:sz w:val="20"/>
                <w:szCs w:val="20"/>
                <w:lang w:eastAsia="pt-BR"/>
              </w:rPr>
            </w:pPr>
            <w:r w:rsidRPr="009548D7">
              <w:rPr>
                <w:rFonts w:ascii="Arial" w:eastAsia="Times New Roman" w:hAnsi="Arial" w:cs="Arial"/>
                <w:b/>
                <w:bCs/>
                <w:sz w:val="20"/>
                <w:szCs w:val="20"/>
                <w:lang w:eastAsia="pt-BR"/>
              </w:rPr>
              <w:t>ATIVOS E PASSIVOS FINANCEIROS E PERMANENTES – LEI N.º 4.320/64</w:t>
            </w:r>
          </w:p>
          <w:p w14:paraId="0ABF8608" w14:textId="77777777" w:rsidR="009B4545" w:rsidRPr="009548D7" w:rsidRDefault="009B4545" w:rsidP="00326F06">
            <w:pPr>
              <w:spacing w:after="0" w:line="240" w:lineRule="auto"/>
              <w:jc w:val="center"/>
              <w:rPr>
                <w:rFonts w:ascii="Arial" w:eastAsia="Times New Roman" w:hAnsi="Arial" w:cs="Arial"/>
                <w:b/>
                <w:bCs/>
                <w:sz w:val="20"/>
                <w:szCs w:val="20"/>
                <w:lang w:eastAsia="pt-BR"/>
              </w:rPr>
            </w:pPr>
          </w:p>
        </w:tc>
      </w:tr>
      <w:tr w:rsidR="009B4545" w:rsidRPr="009548D7" w14:paraId="1B87F89E" w14:textId="77777777" w:rsidTr="0005315D">
        <w:trPr>
          <w:gridBefore w:val="1"/>
          <w:wBefore w:w="10" w:type="dxa"/>
          <w:trHeight w:val="285"/>
        </w:trPr>
        <w:tc>
          <w:tcPr>
            <w:tcW w:w="4410" w:type="dxa"/>
            <w:gridSpan w:val="2"/>
            <w:tcBorders>
              <w:top w:val="nil"/>
              <w:left w:val="single" w:sz="8" w:space="0" w:color="auto"/>
              <w:bottom w:val="single" w:sz="8" w:space="0" w:color="auto"/>
            </w:tcBorders>
            <w:shd w:val="clear" w:color="000000" w:fill="D9D9D9"/>
            <w:noWrap/>
            <w:vAlign w:val="center"/>
            <w:hideMark/>
          </w:tcPr>
          <w:p w14:paraId="520A0935" w14:textId="77777777" w:rsidR="009B4545" w:rsidRPr="009548D7" w:rsidRDefault="009B4545" w:rsidP="00326F06">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ATIVO</w:t>
            </w:r>
          </w:p>
        </w:tc>
        <w:tc>
          <w:tcPr>
            <w:tcW w:w="767" w:type="dxa"/>
            <w:gridSpan w:val="2"/>
            <w:tcBorders>
              <w:top w:val="nil"/>
              <w:bottom w:val="single" w:sz="4" w:space="0" w:color="auto"/>
              <w:right w:val="single" w:sz="8" w:space="0" w:color="auto"/>
            </w:tcBorders>
            <w:shd w:val="clear" w:color="000000" w:fill="D9D9D9"/>
            <w:noWrap/>
            <w:vAlign w:val="center"/>
          </w:tcPr>
          <w:p w14:paraId="66102A2A" w14:textId="531710CA" w:rsidR="009B4545" w:rsidRPr="009548D7" w:rsidRDefault="009B4545" w:rsidP="00326F06">
            <w:pPr>
              <w:spacing w:after="0" w:line="240" w:lineRule="auto"/>
              <w:jc w:val="center"/>
              <w:rPr>
                <w:rFonts w:ascii="Arial Narrow" w:eastAsia="Times New Roman" w:hAnsi="Arial Narrow" w:cs="Arial"/>
                <w:b/>
                <w:bCs/>
                <w:sz w:val="16"/>
                <w:szCs w:val="16"/>
                <w:lang w:eastAsia="pt-BR"/>
              </w:rPr>
            </w:pPr>
          </w:p>
        </w:tc>
        <w:tc>
          <w:tcPr>
            <w:tcW w:w="1063" w:type="dxa"/>
            <w:gridSpan w:val="2"/>
            <w:vMerge w:val="restart"/>
            <w:tcBorders>
              <w:top w:val="nil"/>
              <w:left w:val="single" w:sz="8" w:space="0" w:color="auto"/>
              <w:bottom w:val="single" w:sz="8" w:space="0" w:color="000000"/>
              <w:right w:val="single" w:sz="8" w:space="0" w:color="auto"/>
            </w:tcBorders>
            <w:shd w:val="clear" w:color="000000" w:fill="D9D9D9"/>
            <w:noWrap/>
            <w:vAlign w:val="center"/>
            <w:hideMark/>
          </w:tcPr>
          <w:p w14:paraId="152E8D63" w14:textId="77777777" w:rsidR="009B4545" w:rsidRPr="009548D7" w:rsidRDefault="009B4545" w:rsidP="00326F06">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Exercício Atual</w:t>
            </w:r>
          </w:p>
        </w:tc>
        <w:tc>
          <w:tcPr>
            <w:tcW w:w="1262" w:type="dxa"/>
            <w:gridSpan w:val="2"/>
            <w:vMerge w:val="restart"/>
            <w:tcBorders>
              <w:top w:val="nil"/>
              <w:left w:val="single" w:sz="8" w:space="0" w:color="auto"/>
              <w:bottom w:val="single" w:sz="8" w:space="0" w:color="000000"/>
              <w:right w:val="single" w:sz="8" w:space="0" w:color="auto"/>
            </w:tcBorders>
            <w:shd w:val="clear" w:color="000000" w:fill="D9D9D9"/>
            <w:noWrap/>
            <w:vAlign w:val="center"/>
            <w:hideMark/>
          </w:tcPr>
          <w:p w14:paraId="35F2D9AB" w14:textId="77777777" w:rsidR="009B4545" w:rsidRPr="009548D7" w:rsidRDefault="009B4545" w:rsidP="00326F06">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Exercício Anterior</w:t>
            </w:r>
          </w:p>
        </w:tc>
        <w:tc>
          <w:tcPr>
            <w:tcW w:w="4562" w:type="dxa"/>
            <w:gridSpan w:val="2"/>
            <w:tcBorders>
              <w:top w:val="nil"/>
              <w:left w:val="nil"/>
              <w:bottom w:val="single" w:sz="4" w:space="0" w:color="auto"/>
            </w:tcBorders>
            <w:shd w:val="clear" w:color="000000" w:fill="D9D9D9"/>
            <w:noWrap/>
            <w:vAlign w:val="center"/>
            <w:hideMark/>
          </w:tcPr>
          <w:p w14:paraId="409552A2" w14:textId="77777777" w:rsidR="009B4545" w:rsidRPr="009548D7" w:rsidRDefault="009B4545" w:rsidP="00326F06">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PASSIVO</w:t>
            </w:r>
          </w:p>
        </w:tc>
        <w:tc>
          <w:tcPr>
            <w:tcW w:w="775" w:type="dxa"/>
            <w:gridSpan w:val="2"/>
            <w:tcBorders>
              <w:top w:val="nil"/>
              <w:bottom w:val="single" w:sz="4" w:space="0" w:color="auto"/>
              <w:right w:val="single" w:sz="8" w:space="0" w:color="auto"/>
            </w:tcBorders>
            <w:shd w:val="clear" w:color="000000" w:fill="D9D9D9"/>
            <w:noWrap/>
            <w:vAlign w:val="center"/>
          </w:tcPr>
          <w:p w14:paraId="3B8FDEB4" w14:textId="42F36D34" w:rsidR="009B4545" w:rsidRPr="009548D7" w:rsidRDefault="009B4545" w:rsidP="00326F06">
            <w:pPr>
              <w:spacing w:after="0" w:line="240" w:lineRule="auto"/>
              <w:jc w:val="center"/>
              <w:rPr>
                <w:rFonts w:ascii="Arial Narrow" w:eastAsia="Times New Roman" w:hAnsi="Arial Narrow" w:cs="Arial"/>
                <w:b/>
                <w:bCs/>
                <w:sz w:val="16"/>
                <w:szCs w:val="16"/>
                <w:lang w:eastAsia="pt-BR"/>
              </w:rPr>
            </w:pPr>
          </w:p>
        </w:tc>
        <w:tc>
          <w:tcPr>
            <w:tcW w:w="1063" w:type="dxa"/>
            <w:gridSpan w:val="2"/>
            <w:vMerge w:val="restart"/>
            <w:tcBorders>
              <w:top w:val="nil"/>
              <w:left w:val="single" w:sz="8" w:space="0" w:color="auto"/>
              <w:bottom w:val="single" w:sz="8" w:space="0" w:color="000000"/>
              <w:right w:val="single" w:sz="8" w:space="0" w:color="auto"/>
            </w:tcBorders>
            <w:shd w:val="clear" w:color="000000" w:fill="D9D9D9"/>
            <w:noWrap/>
            <w:vAlign w:val="center"/>
            <w:hideMark/>
          </w:tcPr>
          <w:p w14:paraId="195F6EAB" w14:textId="77777777" w:rsidR="009B4545" w:rsidRPr="009548D7" w:rsidRDefault="009B4545" w:rsidP="00326F06">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Exercício Atual</w:t>
            </w:r>
          </w:p>
        </w:tc>
        <w:tc>
          <w:tcPr>
            <w:tcW w:w="1420" w:type="dxa"/>
            <w:gridSpan w:val="2"/>
            <w:vMerge w:val="restart"/>
            <w:tcBorders>
              <w:top w:val="nil"/>
              <w:left w:val="nil"/>
              <w:bottom w:val="single" w:sz="8" w:space="0" w:color="000000"/>
              <w:right w:val="single" w:sz="8" w:space="0" w:color="auto"/>
            </w:tcBorders>
            <w:shd w:val="clear" w:color="000000" w:fill="D9D9D9"/>
            <w:noWrap/>
            <w:vAlign w:val="center"/>
            <w:hideMark/>
          </w:tcPr>
          <w:p w14:paraId="7D255056" w14:textId="77777777" w:rsidR="009B4545" w:rsidRPr="009548D7" w:rsidRDefault="009B4545" w:rsidP="00326F06">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Exercício Anterior</w:t>
            </w:r>
          </w:p>
        </w:tc>
      </w:tr>
      <w:tr w:rsidR="009B4545" w:rsidRPr="009548D7" w14:paraId="72FC5058" w14:textId="77777777" w:rsidTr="0005315D">
        <w:trPr>
          <w:gridBefore w:val="1"/>
          <w:wBefore w:w="10" w:type="dxa"/>
          <w:trHeight w:val="285"/>
        </w:trPr>
        <w:tc>
          <w:tcPr>
            <w:tcW w:w="4410" w:type="dxa"/>
            <w:gridSpan w:val="2"/>
            <w:tcBorders>
              <w:top w:val="nil"/>
              <w:left w:val="single" w:sz="8" w:space="0" w:color="auto"/>
              <w:bottom w:val="single" w:sz="8" w:space="0" w:color="auto"/>
            </w:tcBorders>
            <w:shd w:val="clear" w:color="000000" w:fill="D9D9D9"/>
            <w:noWrap/>
            <w:vAlign w:val="center"/>
            <w:hideMark/>
          </w:tcPr>
          <w:p w14:paraId="4A59852A" w14:textId="77777777" w:rsidR="009B4545" w:rsidRPr="009548D7" w:rsidRDefault="009B4545" w:rsidP="00326F06">
            <w:pPr>
              <w:spacing w:after="0" w:line="240" w:lineRule="auto"/>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Especificação</w:t>
            </w:r>
          </w:p>
        </w:tc>
        <w:tc>
          <w:tcPr>
            <w:tcW w:w="767" w:type="dxa"/>
            <w:gridSpan w:val="2"/>
            <w:tcBorders>
              <w:top w:val="single" w:sz="4" w:space="0" w:color="auto"/>
              <w:bottom w:val="single" w:sz="4" w:space="0" w:color="auto"/>
              <w:right w:val="single" w:sz="8" w:space="0" w:color="auto"/>
            </w:tcBorders>
            <w:shd w:val="clear" w:color="000000" w:fill="D9D9D9"/>
            <w:vAlign w:val="center"/>
          </w:tcPr>
          <w:p w14:paraId="675665D6" w14:textId="77777777" w:rsidR="009B4545" w:rsidRPr="009548D7" w:rsidRDefault="009B4545" w:rsidP="00326F06">
            <w:pPr>
              <w:spacing w:after="0" w:line="240" w:lineRule="auto"/>
              <w:rPr>
                <w:rFonts w:ascii="Arial Narrow" w:eastAsia="Times New Roman" w:hAnsi="Arial Narrow" w:cs="Arial"/>
                <w:b/>
                <w:bCs/>
                <w:sz w:val="16"/>
                <w:szCs w:val="16"/>
                <w:lang w:eastAsia="pt-BR"/>
              </w:rPr>
            </w:pPr>
          </w:p>
        </w:tc>
        <w:tc>
          <w:tcPr>
            <w:tcW w:w="1063" w:type="dxa"/>
            <w:gridSpan w:val="2"/>
            <w:vMerge/>
            <w:tcBorders>
              <w:top w:val="nil"/>
              <w:left w:val="single" w:sz="8" w:space="0" w:color="auto"/>
              <w:bottom w:val="single" w:sz="8" w:space="0" w:color="000000"/>
              <w:right w:val="single" w:sz="8" w:space="0" w:color="auto"/>
            </w:tcBorders>
            <w:vAlign w:val="center"/>
            <w:hideMark/>
          </w:tcPr>
          <w:p w14:paraId="788DAAD1" w14:textId="77777777" w:rsidR="009B4545" w:rsidRPr="009548D7" w:rsidRDefault="009B4545" w:rsidP="00326F06">
            <w:pPr>
              <w:spacing w:after="0" w:line="240" w:lineRule="auto"/>
              <w:rPr>
                <w:rFonts w:ascii="Arial Narrow" w:eastAsia="Times New Roman" w:hAnsi="Arial Narrow" w:cs="Arial"/>
                <w:b/>
                <w:bCs/>
                <w:sz w:val="16"/>
                <w:szCs w:val="16"/>
                <w:lang w:eastAsia="pt-BR"/>
              </w:rPr>
            </w:pPr>
          </w:p>
        </w:tc>
        <w:tc>
          <w:tcPr>
            <w:tcW w:w="1262" w:type="dxa"/>
            <w:gridSpan w:val="2"/>
            <w:vMerge/>
            <w:tcBorders>
              <w:top w:val="nil"/>
              <w:left w:val="single" w:sz="8" w:space="0" w:color="auto"/>
              <w:bottom w:val="single" w:sz="8" w:space="0" w:color="000000"/>
              <w:right w:val="single" w:sz="8" w:space="0" w:color="auto"/>
            </w:tcBorders>
            <w:vAlign w:val="center"/>
            <w:hideMark/>
          </w:tcPr>
          <w:p w14:paraId="6DDEF93A" w14:textId="77777777" w:rsidR="009B4545" w:rsidRPr="009548D7" w:rsidRDefault="009B4545" w:rsidP="00326F06">
            <w:pPr>
              <w:spacing w:after="0" w:line="240" w:lineRule="auto"/>
              <w:rPr>
                <w:rFonts w:ascii="Arial Narrow" w:eastAsia="Times New Roman" w:hAnsi="Arial Narrow" w:cs="Arial"/>
                <w:b/>
                <w:bCs/>
                <w:sz w:val="16"/>
                <w:szCs w:val="16"/>
                <w:lang w:eastAsia="pt-BR"/>
              </w:rPr>
            </w:pPr>
          </w:p>
        </w:tc>
        <w:tc>
          <w:tcPr>
            <w:tcW w:w="4562" w:type="dxa"/>
            <w:gridSpan w:val="2"/>
            <w:tcBorders>
              <w:top w:val="single" w:sz="8" w:space="0" w:color="auto"/>
              <w:left w:val="nil"/>
              <w:bottom w:val="single" w:sz="8" w:space="0" w:color="auto"/>
            </w:tcBorders>
            <w:shd w:val="clear" w:color="000000" w:fill="D9D9D9"/>
            <w:noWrap/>
            <w:vAlign w:val="center"/>
            <w:hideMark/>
          </w:tcPr>
          <w:p w14:paraId="1E0C1617" w14:textId="77777777" w:rsidR="009B4545" w:rsidRPr="009548D7" w:rsidRDefault="009B4545" w:rsidP="00326F06">
            <w:pPr>
              <w:spacing w:after="0" w:line="240" w:lineRule="auto"/>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Especificação</w:t>
            </w:r>
          </w:p>
        </w:tc>
        <w:tc>
          <w:tcPr>
            <w:tcW w:w="775" w:type="dxa"/>
            <w:gridSpan w:val="2"/>
            <w:tcBorders>
              <w:top w:val="single" w:sz="4" w:space="0" w:color="auto"/>
              <w:bottom w:val="single" w:sz="4" w:space="0" w:color="auto"/>
              <w:right w:val="single" w:sz="8" w:space="0" w:color="auto"/>
            </w:tcBorders>
            <w:shd w:val="clear" w:color="000000" w:fill="D9D9D9"/>
            <w:vAlign w:val="center"/>
          </w:tcPr>
          <w:p w14:paraId="50B8391C" w14:textId="77777777" w:rsidR="009B4545" w:rsidRPr="009548D7" w:rsidRDefault="009B4545" w:rsidP="00326F06">
            <w:pPr>
              <w:spacing w:after="0" w:line="240" w:lineRule="auto"/>
              <w:rPr>
                <w:rFonts w:ascii="Arial Narrow" w:eastAsia="Times New Roman" w:hAnsi="Arial Narrow" w:cs="Arial"/>
                <w:b/>
                <w:bCs/>
                <w:sz w:val="16"/>
                <w:szCs w:val="16"/>
                <w:lang w:eastAsia="pt-BR"/>
              </w:rPr>
            </w:pPr>
          </w:p>
        </w:tc>
        <w:tc>
          <w:tcPr>
            <w:tcW w:w="1063" w:type="dxa"/>
            <w:gridSpan w:val="2"/>
            <w:vMerge/>
            <w:tcBorders>
              <w:top w:val="nil"/>
              <w:left w:val="single" w:sz="8" w:space="0" w:color="auto"/>
              <w:bottom w:val="single" w:sz="8" w:space="0" w:color="000000"/>
              <w:right w:val="single" w:sz="8" w:space="0" w:color="auto"/>
            </w:tcBorders>
            <w:vAlign w:val="center"/>
            <w:hideMark/>
          </w:tcPr>
          <w:p w14:paraId="4673CF52" w14:textId="77777777" w:rsidR="009B4545" w:rsidRPr="009548D7" w:rsidRDefault="009B4545" w:rsidP="00326F06">
            <w:pPr>
              <w:spacing w:after="0" w:line="240" w:lineRule="auto"/>
              <w:rPr>
                <w:rFonts w:ascii="Arial Narrow" w:eastAsia="Times New Roman" w:hAnsi="Arial Narrow" w:cs="Arial"/>
                <w:b/>
                <w:bCs/>
                <w:sz w:val="16"/>
                <w:szCs w:val="16"/>
                <w:lang w:eastAsia="pt-BR"/>
              </w:rPr>
            </w:pPr>
          </w:p>
        </w:tc>
        <w:tc>
          <w:tcPr>
            <w:tcW w:w="1420" w:type="dxa"/>
            <w:gridSpan w:val="2"/>
            <w:vMerge/>
            <w:tcBorders>
              <w:top w:val="nil"/>
              <w:left w:val="nil"/>
              <w:bottom w:val="single" w:sz="8" w:space="0" w:color="000000"/>
              <w:right w:val="single" w:sz="8" w:space="0" w:color="auto"/>
            </w:tcBorders>
            <w:vAlign w:val="center"/>
            <w:hideMark/>
          </w:tcPr>
          <w:p w14:paraId="63E5690F" w14:textId="77777777" w:rsidR="009B4545" w:rsidRPr="009548D7" w:rsidRDefault="009B4545" w:rsidP="00326F06">
            <w:pPr>
              <w:spacing w:after="0" w:line="240" w:lineRule="auto"/>
              <w:rPr>
                <w:rFonts w:ascii="Arial Narrow" w:eastAsia="Times New Roman" w:hAnsi="Arial Narrow" w:cs="Arial"/>
                <w:b/>
                <w:bCs/>
                <w:sz w:val="16"/>
                <w:szCs w:val="16"/>
                <w:lang w:eastAsia="pt-BR"/>
              </w:rPr>
            </w:pPr>
          </w:p>
        </w:tc>
      </w:tr>
      <w:tr w:rsidR="009B4545" w:rsidRPr="009548D7" w14:paraId="03EDDA4F" w14:textId="77777777" w:rsidTr="0005315D">
        <w:trPr>
          <w:gridBefore w:val="1"/>
          <w:wBefore w:w="10" w:type="dxa"/>
          <w:trHeight w:val="340"/>
        </w:trPr>
        <w:tc>
          <w:tcPr>
            <w:tcW w:w="4410" w:type="dxa"/>
            <w:gridSpan w:val="2"/>
            <w:tcBorders>
              <w:top w:val="nil"/>
              <w:left w:val="single" w:sz="8" w:space="0" w:color="auto"/>
              <w:bottom w:val="single" w:sz="4" w:space="0" w:color="auto"/>
            </w:tcBorders>
            <w:shd w:val="clear" w:color="auto" w:fill="auto"/>
            <w:noWrap/>
            <w:vAlign w:val="center"/>
            <w:hideMark/>
          </w:tcPr>
          <w:p w14:paraId="54A32F63" w14:textId="77777777" w:rsidR="009B4545" w:rsidRPr="009548D7" w:rsidRDefault="009B4545" w:rsidP="00326F06">
            <w:pPr>
              <w:spacing w:after="0" w:line="240" w:lineRule="auto"/>
              <w:rPr>
                <w:rFonts w:ascii="Arial Narrow" w:eastAsia="Times New Roman" w:hAnsi="Arial Narrow" w:cs="Arial"/>
                <w:b/>
                <w:bCs/>
                <w:sz w:val="20"/>
                <w:szCs w:val="20"/>
                <w:lang w:eastAsia="pt-BR"/>
              </w:rPr>
            </w:pPr>
            <w:r w:rsidRPr="009548D7">
              <w:rPr>
                <w:rFonts w:ascii="Arial Narrow" w:eastAsia="Times New Roman" w:hAnsi="Arial Narrow" w:cs="Arial"/>
                <w:b/>
                <w:bCs/>
                <w:sz w:val="20"/>
                <w:szCs w:val="20"/>
                <w:lang w:eastAsia="pt-BR"/>
              </w:rPr>
              <w:t>ATIVO FINANCEIRO</w:t>
            </w:r>
          </w:p>
        </w:tc>
        <w:tc>
          <w:tcPr>
            <w:tcW w:w="767" w:type="dxa"/>
            <w:gridSpan w:val="2"/>
            <w:tcBorders>
              <w:top w:val="single" w:sz="4" w:space="0" w:color="auto"/>
              <w:bottom w:val="single" w:sz="4" w:space="0" w:color="auto"/>
              <w:right w:val="single" w:sz="8" w:space="0" w:color="auto"/>
            </w:tcBorders>
            <w:shd w:val="clear" w:color="auto" w:fill="auto"/>
            <w:noWrap/>
            <w:vAlign w:val="center"/>
          </w:tcPr>
          <w:p w14:paraId="135DC6B4" w14:textId="36EBEBA0" w:rsidR="009B4545" w:rsidRPr="009548D7" w:rsidRDefault="009B4545" w:rsidP="00326F06">
            <w:pPr>
              <w:spacing w:after="0" w:line="240" w:lineRule="auto"/>
              <w:jc w:val="center"/>
              <w:rPr>
                <w:rFonts w:ascii="Arial Narrow" w:eastAsia="Times New Roman" w:hAnsi="Arial Narrow" w:cs="Arial"/>
                <w:b/>
                <w:bCs/>
                <w:sz w:val="16"/>
                <w:szCs w:val="16"/>
                <w:lang w:eastAsia="pt-BR"/>
              </w:rPr>
            </w:pPr>
          </w:p>
        </w:tc>
        <w:tc>
          <w:tcPr>
            <w:tcW w:w="1063" w:type="dxa"/>
            <w:gridSpan w:val="2"/>
            <w:tcBorders>
              <w:top w:val="nil"/>
              <w:left w:val="nil"/>
              <w:bottom w:val="nil"/>
              <w:right w:val="single" w:sz="8" w:space="0" w:color="auto"/>
            </w:tcBorders>
            <w:shd w:val="clear" w:color="auto" w:fill="auto"/>
            <w:noWrap/>
            <w:vAlign w:val="center"/>
            <w:hideMark/>
          </w:tcPr>
          <w:p w14:paraId="0F9CA3C9" w14:textId="77777777" w:rsidR="009B4545" w:rsidRPr="009548D7" w:rsidRDefault="009B4545" w:rsidP="00326F06">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BPA.D075</w:t>
            </w:r>
          </w:p>
        </w:tc>
        <w:tc>
          <w:tcPr>
            <w:tcW w:w="1262" w:type="dxa"/>
            <w:gridSpan w:val="2"/>
            <w:tcBorders>
              <w:top w:val="nil"/>
              <w:left w:val="nil"/>
              <w:bottom w:val="nil"/>
              <w:right w:val="single" w:sz="8" w:space="0" w:color="auto"/>
            </w:tcBorders>
            <w:shd w:val="clear" w:color="auto" w:fill="auto"/>
            <w:noWrap/>
            <w:vAlign w:val="center"/>
            <w:hideMark/>
          </w:tcPr>
          <w:p w14:paraId="074418EF" w14:textId="77777777" w:rsidR="009B4545" w:rsidRPr="009548D7" w:rsidRDefault="009B4545" w:rsidP="00326F06">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BPA.E075</w:t>
            </w:r>
          </w:p>
        </w:tc>
        <w:tc>
          <w:tcPr>
            <w:tcW w:w="4562" w:type="dxa"/>
            <w:gridSpan w:val="2"/>
            <w:tcBorders>
              <w:top w:val="nil"/>
              <w:left w:val="nil"/>
              <w:bottom w:val="single" w:sz="4" w:space="0" w:color="auto"/>
            </w:tcBorders>
            <w:shd w:val="clear" w:color="auto" w:fill="auto"/>
            <w:noWrap/>
            <w:vAlign w:val="center"/>
            <w:hideMark/>
          </w:tcPr>
          <w:p w14:paraId="5A7D442B" w14:textId="77777777" w:rsidR="009B4545" w:rsidRPr="009548D7" w:rsidRDefault="009B4545" w:rsidP="00326F06">
            <w:pPr>
              <w:spacing w:after="0" w:line="240" w:lineRule="auto"/>
              <w:rPr>
                <w:rFonts w:ascii="Arial Narrow" w:eastAsia="Times New Roman" w:hAnsi="Arial Narrow" w:cs="Arial"/>
                <w:b/>
                <w:bCs/>
                <w:sz w:val="20"/>
                <w:szCs w:val="20"/>
                <w:lang w:eastAsia="pt-BR"/>
              </w:rPr>
            </w:pPr>
            <w:r w:rsidRPr="009548D7">
              <w:rPr>
                <w:rFonts w:ascii="Arial Narrow" w:eastAsia="Times New Roman" w:hAnsi="Arial Narrow" w:cs="Arial"/>
                <w:b/>
                <w:bCs/>
                <w:sz w:val="20"/>
                <w:szCs w:val="20"/>
                <w:lang w:eastAsia="pt-BR"/>
              </w:rPr>
              <w:t>PASSIVO FINANCEIRO</w:t>
            </w:r>
          </w:p>
        </w:tc>
        <w:tc>
          <w:tcPr>
            <w:tcW w:w="775" w:type="dxa"/>
            <w:gridSpan w:val="2"/>
            <w:tcBorders>
              <w:top w:val="single" w:sz="4" w:space="0" w:color="auto"/>
              <w:bottom w:val="single" w:sz="4" w:space="0" w:color="auto"/>
              <w:right w:val="single" w:sz="8" w:space="0" w:color="auto"/>
            </w:tcBorders>
            <w:shd w:val="clear" w:color="auto" w:fill="auto"/>
            <w:noWrap/>
            <w:vAlign w:val="center"/>
          </w:tcPr>
          <w:p w14:paraId="12ACFA12" w14:textId="0FB13544" w:rsidR="009B4545" w:rsidRPr="009548D7" w:rsidRDefault="009B4545" w:rsidP="00326F06">
            <w:pPr>
              <w:spacing w:after="0" w:line="240" w:lineRule="auto"/>
              <w:jc w:val="center"/>
              <w:rPr>
                <w:rFonts w:ascii="Arial Narrow" w:eastAsia="Times New Roman" w:hAnsi="Arial Narrow" w:cs="Arial"/>
                <w:b/>
                <w:bCs/>
                <w:sz w:val="16"/>
                <w:szCs w:val="16"/>
                <w:lang w:eastAsia="pt-BR"/>
              </w:rPr>
            </w:pPr>
          </w:p>
        </w:tc>
        <w:tc>
          <w:tcPr>
            <w:tcW w:w="1063" w:type="dxa"/>
            <w:gridSpan w:val="2"/>
            <w:tcBorders>
              <w:top w:val="nil"/>
              <w:left w:val="nil"/>
              <w:bottom w:val="nil"/>
              <w:right w:val="single" w:sz="8" w:space="0" w:color="auto"/>
            </w:tcBorders>
            <w:shd w:val="clear" w:color="auto" w:fill="auto"/>
            <w:noWrap/>
            <w:vAlign w:val="center"/>
            <w:hideMark/>
          </w:tcPr>
          <w:p w14:paraId="11022CDB" w14:textId="77777777" w:rsidR="009B4545" w:rsidRPr="009548D7" w:rsidRDefault="009B4545" w:rsidP="00326F06">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BPA.H075</w:t>
            </w:r>
          </w:p>
        </w:tc>
        <w:tc>
          <w:tcPr>
            <w:tcW w:w="1420" w:type="dxa"/>
            <w:gridSpan w:val="2"/>
            <w:tcBorders>
              <w:top w:val="nil"/>
              <w:left w:val="nil"/>
              <w:bottom w:val="nil"/>
              <w:right w:val="single" w:sz="8" w:space="0" w:color="auto"/>
            </w:tcBorders>
            <w:shd w:val="clear" w:color="auto" w:fill="auto"/>
            <w:noWrap/>
            <w:vAlign w:val="center"/>
            <w:hideMark/>
          </w:tcPr>
          <w:p w14:paraId="1B7F7666" w14:textId="77777777" w:rsidR="009B4545" w:rsidRPr="009548D7" w:rsidRDefault="009B4545" w:rsidP="00326F06">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BPA.I075</w:t>
            </w:r>
          </w:p>
        </w:tc>
      </w:tr>
      <w:tr w:rsidR="009B4545" w:rsidRPr="009548D7" w14:paraId="41ADA690" w14:textId="77777777" w:rsidTr="0005315D">
        <w:trPr>
          <w:gridBefore w:val="1"/>
          <w:wBefore w:w="10" w:type="dxa"/>
          <w:trHeight w:val="340"/>
        </w:trPr>
        <w:tc>
          <w:tcPr>
            <w:tcW w:w="4410" w:type="dxa"/>
            <w:gridSpan w:val="2"/>
            <w:tcBorders>
              <w:top w:val="nil"/>
              <w:left w:val="single" w:sz="8" w:space="0" w:color="auto"/>
              <w:bottom w:val="nil"/>
            </w:tcBorders>
            <w:shd w:val="clear" w:color="auto" w:fill="auto"/>
            <w:noWrap/>
            <w:vAlign w:val="center"/>
            <w:hideMark/>
          </w:tcPr>
          <w:p w14:paraId="56DCC577" w14:textId="77777777" w:rsidR="009B4545" w:rsidRPr="009548D7" w:rsidRDefault="009B4545" w:rsidP="00326F06">
            <w:pPr>
              <w:spacing w:after="0" w:line="240" w:lineRule="auto"/>
              <w:rPr>
                <w:rFonts w:ascii="Arial Narrow" w:eastAsia="Times New Roman" w:hAnsi="Arial Narrow" w:cs="Arial"/>
                <w:b/>
                <w:bCs/>
                <w:sz w:val="20"/>
                <w:szCs w:val="20"/>
                <w:lang w:eastAsia="pt-BR"/>
              </w:rPr>
            </w:pPr>
            <w:r w:rsidRPr="009548D7">
              <w:rPr>
                <w:rFonts w:ascii="Arial Narrow" w:eastAsia="Times New Roman" w:hAnsi="Arial Narrow" w:cs="Arial"/>
                <w:b/>
                <w:bCs/>
                <w:sz w:val="20"/>
                <w:szCs w:val="20"/>
                <w:lang w:eastAsia="pt-BR"/>
              </w:rPr>
              <w:t>ATIVO PERMANENTE</w:t>
            </w:r>
          </w:p>
        </w:tc>
        <w:tc>
          <w:tcPr>
            <w:tcW w:w="767" w:type="dxa"/>
            <w:gridSpan w:val="2"/>
            <w:tcBorders>
              <w:top w:val="single" w:sz="4" w:space="0" w:color="auto"/>
              <w:bottom w:val="single" w:sz="4" w:space="0" w:color="auto"/>
              <w:right w:val="single" w:sz="8" w:space="0" w:color="auto"/>
            </w:tcBorders>
            <w:shd w:val="clear" w:color="auto" w:fill="auto"/>
            <w:noWrap/>
            <w:vAlign w:val="center"/>
          </w:tcPr>
          <w:p w14:paraId="6E904BFB" w14:textId="13BB3597" w:rsidR="009B4545" w:rsidRPr="009548D7" w:rsidRDefault="009B4545" w:rsidP="00326F06">
            <w:pPr>
              <w:spacing w:after="0" w:line="240" w:lineRule="auto"/>
              <w:jc w:val="center"/>
              <w:rPr>
                <w:rFonts w:ascii="Arial Narrow" w:eastAsia="Times New Roman" w:hAnsi="Arial Narrow" w:cs="Arial"/>
                <w:b/>
                <w:bCs/>
                <w:sz w:val="16"/>
                <w:szCs w:val="16"/>
                <w:lang w:eastAsia="pt-BR"/>
              </w:rPr>
            </w:pPr>
          </w:p>
        </w:tc>
        <w:tc>
          <w:tcPr>
            <w:tcW w:w="1063" w:type="dxa"/>
            <w:gridSpan w:val="2"/>
            <w:tcBorders>
              <w:top w:val="nil"/>
              <w:left w:val="nil"/>
              <w:bottom w:val="nil"/>
              <w:right w:val="single" w:sz="8" w:space="0" w:color="auto"/>
            </w:tcBorders>
            <w:shd w:val="clear" w:color="auto" w:fill="auto"/>
            <w:noWrap/>
            <w:vAlign w:val="center"/>
            <w:hideMark/>
          </w:tcPr>
          <w:p w14:paraId="30BFCFA6" w14:textId="77777777" w:rsidR="009B4545" w:rsidRPr="009548D7" w:rsidRDefault="009B4545" w:rsidP="00326F06">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BPA.D076</w:t>
            </w:r>
          </w:p>
        </w:tc>
        <w:tc>
          <w:tcPr>
            <w:tcW w:w="1262" w:type="dxa"/>
            <w:gridSpan w:val="2"/>
            <w:tcBorders>
              <w:top w:val="nil"/>
              <w:left w:val="nil"/>
              <w:bottom w:val="nil"/>
              <w:right w:val="single" w:sz="8" w:space="0" w:color="auto"/>
            </w:tcBorders>
            <w:shd w:val="clear" w:color="auto" w:fill="auto"/>
            <w:noWrap/>
            <w:vAlign w:val="center"/>
            <w:hideMark/>
          </w:tcPr>
          <w:p w14:paraId="498DE9B2" w14:textId="77777777" w:rsidR="009B4545" w:rsidRPr="009548D7" w:rsidRDefault="009B4545" w:rsidP="00326F06">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BPA.E076</w:t>
            </w:r>
          </w:p>
        </w:tc>
        <w:tc>
          <w:tcPr>
            <w:tcW w:w="4562" w:type="dxa"/>
            <w:gridSpan w:val="2"/>
            <w:tcBorders>
              <w:top w:val="nil"/>
              <w:left w:val="nil"/>
              <w:bottom w:val="nil"/>
            </w:tcBorders>
            <w:shd w:val="clear" w:color="auto" w:fill="auto"/>
            <w:noWrap/>
            <w:vAlign w:val="center"/>
            <w:hideMark/>
          </w:tcPr>
          <w:p w14:paraId="644B3C0F" w14:textId="77777777" w:rsidR="009B4545" w:rsidRPr="009548D7" w:rsidRDefault="009B4545" w:rsidP="00326F06">
            <w:pPr>
              <w:spacing w:after="0" w:line="240" w:lineRule="auto"/>
              <w:rPr>
                <w:rFonts w:ascii="Arial Narrow" w:eastAsia="Times New Roman" w:hAnsi="Arial Narrow" w:cs="Arial"/>
                <w:b/>
                <w:bCs/>
                <w:sz w:val="20"/>
                <w:szCs w:val="20"/>
                <w:lang w:eastAsia="pt-BR"/>
              </w:rPr>
            </w:pPr>
            <w:r w:rsidRPr="009548D7">
              <w:rPr>
                <w:rFonts w:ascii="Arial Narrow" w:eastAsia="Times New Roman" w:hAnsi="Arial Narrow" w:cs="Arial"/>
                <w:b/>
                <w:bCs/>
                <w:sz w:val="20"/>
                <w:szCs w:val="20"/>
                <w:lang w:eastAsia="pt-BR"/>
              </w:rPr>
              <w:t>PASSIVO PERMANENTE</w:t>
            </w:r>
          </w:p>
        </w:tc>
        <w:tc>
          <w:tcPr>
            <w:tcW w:w="775" w:type="dxa"/>
            <w:gridSpan w:val="2"/>
            <w:tcBorders>
              <w:top w:val="single" w:sz="4" w:space="0" w:color="auto"/>
              <w:bottom w:val="single" w:sz="4" w:space="0" w:color="auto"/>
              <w:right w:val="single" w:sz="8" w:space="0" w:color="auto"/>
            </w:tcBorders>
            <w:shd w:val="clear" w:color="auto" w:fill="auto"/>
            <w:noWrap/>
            <w:vAlign w:val="center"/>
          </w:tcPr>
          <w:p w14:paraId="354C08F5" w14:textId="1C552F39" w:rsidR="009B4545" w:rsidRPr="009548D7" w:rsidRDefault="009B4545" w:rsidP="00326F06">
            <w:pPr>
              <w:spacing w:after="0" w:line="240" w:lineRule="auto"/>
              <w:jc w:val="center"/>
              <w:rPr>
                <w:rFonts w:ascii="Arial Narrow" w:eastAsia="Times New Roman" w:hAnsi="Arial Narrow" w:cs="Arial"/>
                <w:b/>
                <w:bCs/>
                <w:sz w:val="16"/>
                <w:szCs w:val="16"/>
                <w:lang w:eastAsia="pt-BR"/>
              </w:rPr>
            </w:pPr>
          </w:p>
        </w:tc>
        <w:tc>
          <w:tcPr>
            <w:tcW w:w="1063" w:type="dxa"/>
            <w:gridSpan w:val="2"/>
            <w:tcBorders>
              <w:top w:val="nil"/>
              <w:left w:val="nil"/>
              <w:bottom w:val="nil"/>
              <w:right w:val="single" w:sz="8" w:space="0" w:color="auto"/>
            </w:tcBorders>
            <w:shd w:val="clear" w:color="auto" w:fill="auto"/>
            <w:noWrap/>
            <w:vAlign w:val="center"/>
            <w:hideMark/>
          </w:tcPr>
          <w:p w14:paraId="41005BFF" w14:textId="77777777" w:rsidR="009B4545" w:rsidRPr="009548D7" w:rsidRDefault="009B4545" w:rsidP="00326F06">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BPA.H076</w:t>
            </w:r>
          </w:p>
        </w:tc>
        <w:tc>
          <w:tcPr>
            <w:tcW w:w="1420" w:type="dxa"/>
            <w:gridSpan w:val="2"/>
            <w:tcBorders>
              <w:top w:val="nil"/>
              <w:left w:val="nil"/>
              <w:bottom w:val="nil"/>
              <w:right w:val="single" w:sz="8" w:space="0" w:color="auto"/>
            </w:tcBorders>
            <w:shd w:val="clear" w:color="auto" w:fill="auto"/>
            <w:noWrap/>
            <w:vAlign w:val="center"/>
            <w:hideMark/>
          </w:tcPr>
          <w:p w14:paraId="45D619EE" w14:textId="77777777" w:rsidR="009B4545" w:rsidRPr="009548D7" w:rsidRDefault="009B4545" w:rsidP="00326F06">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BPA.I076</w:t>
            </w:r>
          </w:p>
        </w:tc>
      </w:tr>
      <w:tr w:rsidR="009B4545" w:rsidRPr="009548D7" w14:paraId="2F7C1B34" w14:textId="77777777" w:rsidTr="0005315D">
        <w:trPr>
          <w:gridBefore w:val="1"/>
          <w:wBefore w:w="10" w:type="dxa"/>
          <w:trHeight w:val="340"/>
        </w:trPr>
        <w:tc>
          <w:tcPr>
            <w:tcW w:w="4410" w:type="dxa"/>
            <w:gridSpan w:val="2"/>
            <w:tcBorders>
              <w:top w:val="single" w:sz="8" w:space="0" w:color="auto"/>
              <w:left w:val="single" w:sz="8" w:space="0" w:color="auto"/>
              <w:bottom w:val="single" w:sz="8" w:space="0" w:color="auto"/>
            </w:tcBorders>
            <w:shd w:val="clear" w:color="auto" w:fill="auto"/>
            <w:noWrap/>
            <w:vAlign w:val="center"/>
            <w:hideMark/>
          </w:tcPr>
          <w:p w14:paraId="3DDBB9C1" w14:textId="77777777" w:rsidR="009B4545" w:rsidRPr="009548D7" w:rsidRDefault="009B4545" w:rsidP="00326F06">
            <w:pPr>
              <w:spacing w:after="0" w:line="240" w:lineRule="auto"/>
              <w:rPr>
                <w:rFonts w:ascii="Arial Narrow" w:eastAsia="Times New Roman" w:hAnsi="Arial Narrow" w:cs="Arial"/>
                <w:b/>
                <w:bCs/>
                <w:sz w:val="20"/>
                <w:szCs w:val="20"/>
                <w:lang w:eastAsia="pt-BR"/>
              </w:rPr>
            </w:pPr>
            <w:r w:rsidRPr="009548D7">
              <w:rPr>
                <w:rFonts w:ascii="Arial Narrow" w:eastAsia="Times New Roman" w:hAnsi="Arial Narrow" w:cs="Arial"/>
                <w:b/>
                <w:bCs/>
                <w:sz w:val="20"/>
                <w:szCs w:val="20"/>
                <w:lang w:eastAsia="pt-BR"/>
              </w:rPr>
              <w:t>TOTAL DO ATIVO (I)</w:t>
            </w:r>
          </w:p>
        </w:tc>
        <w:tc>
          <w:tcPr>
            <w:tcW w:w="767" w:type="dxa"/>
            <w:gridSpan w:val="2"/>
            <w:tcBorders>
              <w:top w:val="single" w:sz="4" w:space="0" w:color="auto"/>
              <w:bottom w:val="single" w:sz="8" w:space="0" w:color="auto"/>
              <w:right w:val="single" w:sz="8" w:space="0" w:color="auto"/>
            </w:tcBorders>
            <w:shd w:val="clear" w:color="auto" w:fill="auto"/>
            <w:noWrap/>
            <w:vAlign w:val="center"/>
          </w:tcPr>
          <w:p w14:paraId="3171F9FB" w14:textId="10039AE1" w:rsidR="009B4545" w:rsidRPr="009548D7" w:rsidRDefault="009B4545" w:rsidP="00326F06">
            <w:pPr>
              <w:spacing w:after="0" w:line="240" w:lineRule="auto"/>
              <w:jc w:val="center"/>
              <w:rPr>
                <w:rFonts w:ascii="Arial Narrow" w:eastAsia="Times New Roman" w:hAnsi="Arial Narrow" w:cs="Arial"/>
                <w:b/>
                <w:bCs/>
                <w:sz w:val="16"/>
                <w:szCs w:val="16"/>
                <w:lang w:eastAsia="pt-BR"/>
              </w:rPr>
            </w:pPr>
          </w:p>
        </w:tc>
        <w:tc>
          <w:tcPr>
            <w:tcW w:w="1063" w:type="dxa"/>
            <w:gridSpan w:val="2"/>
            <w:tcBorders>
              <w:top w:val="nil"/>
              <w:left w:val="nil"/>
              <w:bottom w:val="single" w:sz="8" w:space="0" w:color="auto"/>
              <w:right w:val="single" w:sz="8" w:space="0" w:color="auto"/>
            </w:tcBorders>
            <w:shd w:val="clear" w:color="auto" w:fill="auto"/>
            <w:noWrap/>
            <w:vAlign w:val="center"/>
            <w:hideMark/>
          </w:tcPr>
          <w:p w14:paraId="7C8FD5FE" w14:textId="77777777" w:rsidR="009B4545" w:rsidRPr="009548D7" w:rsidRDefault="009B4545" w:rsidP="00326F06">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BPA.D077</w:t>
            </w:r>
          </w:p>
        </w:tc>
        <w:tc>
          <w:tcPr>
            <w:tcW w:w="1262" w:type="dxa"/>
            <w:gridSpan w:val="2"/>
            <w:tcBorders>
              <w:top w:val="nil"/>
              <w:left w:val="nil"/>
              <w:bottom w:val="single" w:sz="8" w:space="0" w:color="auto"/>
              <w:right w:val="single" w:sz="8" w:space="0" w:color="auto"/>
            </w:tcBorders>
            <w:shd w:val="clear" w:color="auto" w:fill="auto"/>
            <w:noWrap/>
            <w:vAlign w:val="center"/>
            <w:hideMark/>
          </w:tcPr>
          <w:p w14:paraId="351159E0" w14:textId="77777777" w:rsidR="009B4545" w:rsidRPr="009548D7" w:rsidRDefault="009B4545" w:rsidP="00326F06">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BPA.E077</w:t>
            </w:r>
          </w:p>
        </w:tc>
        <w:tc>
          <w:tcPr>
            <w:tcW w:w="4562" w:type="dxa"/>
            <w:gridSpan w:val="2"/>
            <w:tcBorders>
              <w:top w:val="single" w:sz="8" w:space="0" w:color="auto"/>
              <w:left w:val="nil"/>
              <w:bottom w:val="single" w:sz="8" w:space="0" w:color="auto"/>
            </w:tcBorders>
            <w:shd w:val="clear" w:color="auto" w:fill="auto"/>
            <w:noWrap/>
            <w:vAlign w:val="center"/>
            <w:hideMark/>
          </w:tcPr>
          <w:p w14:paraId="75B1AFBA" w14:textId="77777777" w:rsidR="009B4545" w:rsidRPr="009548D7" w:rsidRDefault="009B4545" w:rsidP="00326F06">
            <w:pPr>
              <w:spacing w:after="0" w:line="240" w:lineRule="auto"/>
              <w:rPr>
                <w:rFonts w:ascii="Arial Narrow" w:eastAsia="Times New Roman" w:hAnsi="Arial Narrow" w:cs="Arial"/>
                <w:b/>
                <w:bCs/>
                <w:sz w:val="20"/>
                <w:szCs w:val="20"/>
                <w:lang w:eastAsia="pt-BR"/>
              </w:rPr>
            </w:pPr>
            <w:r w:rsidRPr="009548D7">
              <w:rPr>
                <w:rFonts w:ascii="Arial Narrow" w:eastAsia="Times New Roman" w:hAnsi="Arial Narrow" w:cs="Arial"/>
                <w:b/>
                <w:bCs/>
                <w:sz w:val="20"/>
                <w:szCs w:val="20"/>
                <w:lang w:eastAsia="pt-BR"/>
              </w:rPr>
              <w:t>TOTAL DO PASSIVO (II)</w:t>
            </w:r>
          </w:p>
        </w:tc>
        <w:tc>
          <w:tcPr>
            <w:tcW w:w="775" w:type="dxa"/>
            <w:gridSpan w:val="2"/>
            <w:tcBorders>
              <w:top w:val="single" w:sz="4" w:space="0" w:color="auto"/>
              <w:bottom w:val="single" w:sz="4" w:space="0" w:color="auto"/>
              <w:right w:val="single" w:sz="8" w:space="0" w:color="auto"/>
            </w:tcBorders>
            <w:shd w:val="clear" w:color="auto" w:fill="auto"/>
            <w:noWrap/>
            <w:vAlign w:val="center"/>
          </w:tcPr>
          <w:p w14:paraId="3CAF6C1B" w14:textId="0B01560F" w:rsidR="009B4545" w:rsidRPr="009548D7" w:rsidRDefault="009B4545" w:rsidP="00326F06">
            <w:pPr>
              <w:spacing w:after="0" w:line="240" w:lineRule="auto"/>
              <w:jc w:val="center"/>
              <w:rPr>
                <w:rFonts w:ascii="Arial Narrow" w:eastAsia="Times New Roman" w:hAnsi="Arial Narrow" w:cs="Arial"/>
                <w:b/>
                <w:bCs/>
                <w:sz w:val="16"/>
                <w:szCs w:val="16"/>
                <w:lang w:eastAsia="pt-BR"/>
              </w:rPr>
            </w:pPr>
          </w:p>
        </w:tc>
        <w:tc>
          <w:tcPr>
            <w:tcW w:w="1063" w:type="dxa"/>
            <w:gridSpan w:val="2"/>
            <w:tcBorders>
              <w:top w:val="nil"/>
              <w:left w:val="nil"/>
              <w:bottom w:val="single" w:sz="8" w:space="0" w:color="auto"/>
              <w:right w:val="single" w:sz="8" w:space="0" w:color="auto"/>
            </w:tcBorders>
            <w:shd w:val="clear" w:color="auto" w:fill="auto"/>
            <w:noWrap/>
            <w:vAlign w:val="center"/>
            <w:hideMark/>
          </w:tcPr>
          <w:p w14:paraId="30D31343" w14:textId="77777777" w:rsidR="009B4545" w:rsidRPr="009548D7" w:rsidRDefault="009B4545" w:rsidP="00326F06">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BPA.H077</w:t>
            </w:r>
          </w:p>
        </w:tc>
        <w:tc>
          <w:tcPr>
            <w:tcW w:w="1420" w:type="dxa"/>
            <w:gridSpan w:val="2"/>
            <w:tcBorders>
              <w:top w:val="nil"/>
              <w:left w:val="nil"/>
              <w:bottom w:val="single" w:sz="8" w:space="0" w:color="auto"/>
              <w:right w:val="single" w:sz="8" w:space="0" w:color="auto"/>
            </w:tcBorders>
            <w:shd w:val="clear" w:color="auto" w:fill="auto"/>
            <w:noWrap/>
            <w:vAlign w:val="center"/>
            <w:hideMark/>
          </w:tcPr>
          <w:p w14:paraId="2C96C7CF" w14:textId="77777777" w:rsidR="009B4545" w:rsidRPr="009548D7" w:rsidRDefault="009B4545" w:rsidP="00326F06">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BPA.I077</w:t>
            </w:r>
          </w:p>
        </w:tc>
      </w:tr>
      <w:tr w:rsidR="009B4545" w:rsidRPr="009548D7" w14:paraId="1FE278CA" w14:textId="77777777" w:rsidTr="0005315D">
        <w:trPr>
          <w:gridBefore w:val="1"/>
          <w:wBefore w:w="10" w:type="dxa"/>
          <w:trHeight w:val="340"/>
        </w:trPr>
        <w:tc>
          <w:tcPr>
            <w:tcW w:w="12064" w:type="dxa"/>
            <w:gridSpan w:val="10"/>
            <w:tcBorders>
              <w:top w:val="single" w:sz="8" w:space="0" w:color="auto"/>
              <w:left w:val="single" w:sz="8" w:space="0" w:color="auto"/>
              <w:bottom w:val="single" w:sz="8" w:space="0" w:color="auto"/>
            </w:tcBorders>
            <w:shd w:val="clear" w:color="000000" w:fill="auto"/>
            <w:noWrap/>
            <w:vAlign w:val="center"/>
            <w:hideMark/>
          </w:tcPr>
          <w:p w14:paraId="472C6CE9" w14:textId="77777777" w:rsidR="009B4545" w:rsidRPr="009548D7" w:rsidRDefault="009B4545" w:rsidP="00326F06">
            <w:pPr>
              <w:spacing w:after="0" w:line="240" w:lineRule="auto"/>
              <w:rPr>
                <w:rFonts w:ascii="Arial Narrow" w:eastAsia="Times New Roman" w:hAnsi="Arial Narrow" w:cs="Arial"/>
                <w:b/>
                <w:bCs/>
                <w:sz w:val="20"/>
                <w:szCs w:val="20"/>
                <w:lang w:eastAsia="pt-BR"/>
              </w:rPr>
            </w:pPr>
            <w:r w:rsidRPr="009548D7">
              <w:rPr>
                <w:rFonts w:ascii="Arial Narrow" w:eastAsia="Times New Roman" w:hAnsi="Arial Narrow" w:cs="Arial"/>
                <w:b/>
                <w:bCs/>
                <w:sz w:val="20"/>
                <w:szCs w:val="20"/>
                <w:lang w:eastAsia="pt-BR"/>
              </w:rPr>
              <w:t>SALDO PATRIMONIAL (I - II)</w:t>
            </w:r>
          </w:p>
        </w:tc>
        <w:tc>
          <w:tcPr>
            <w:tcW w:w="775" w:type="dxa"/>
            <w:gridSpan w:val="2"/>
            <w:tcBorders>
              <w:top w:val="single" w:sz="4" w:space="0" w:color="auto"/>
              <w:bottom w:val="single" w:sz="8" w:space="0" w:color="auto"/>
              <w:right w:val="nil"/>
            </w:tcBorders>
            <w:shd w:val="clear" w:color="000000" w:fill="auto"/>
            <w:noWrap/>
            <w:vAlign w:val="center"/>
          </w:tcPr>
          <w:p w14:paraId="0E5B0A61" w14:textId="4D4F2157" w:rsidR="009B4545" w:rsidRPr="009548D7" w:rsidRDefault="009B4545" w:rsidP="00326F06">
            <w:pPr>
              <w:spacing w:after="0" w:line="240" w:lineRule="auto"/>
              <w:jc w:val="center"/>
              <w:rPr>
                <w:rFonts w:ascii="Arial Narrow" w:eastAsia="Times New Roman" w:hAnsi="Arial Narrow" w:cs="Arial"/>
                <w:b/>
                <w:bCs/>
                <w:sz w:val="16"/>
                <w:szCs w:val="16"/>
                <w:lang w:eastAsia="pt-BR"/>
              </w:rPr>
            </w:pPr>
          </w:p>
        </w:tc>
        <w:tc>
          <w:tcPr>
            <w:tcW w:w="1063" w:type="dxa"/>
            <w:gridSpan w:val="2"/>
            <w:tcBorders>
              <w:top w:val="single" w:sz="8" w:space="0" w:color="auto"/>
              <w:left w:val="single" w:sz="8" w:space="0" w:color="auto"/>
              <w:bottom w:val="single" w:sz="8" w:space="0" w:color="auto"/>
              <w:right w:val="nil"/>
            </w:tcBorders>
            <w:shd w:val="clear" w:color="000000" w:fill="auto"/>
            <w:noWrap/>
            <w:vAlign w:val="center"/>
            <w:hideMark/>
          </w:tcPr>
          <w:p w14:paraId="55A9D5A6" w14:textId="77777777" w:rsidR="009B4545" w:rsidRPr="009548D7" w:rsidRDefault="009B4545" w:rsidP="00326F06">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BPA.H078</w:t>
            </w:r>
          </w:p>
        </w:tc>
        <w:tc>
          <w:tcPr>
            <w:tcW w:w="1420" w:type="dxa"/>
            <w:gridSpan w:val="2"/>
            <w:tcBorders>
              <w:top w:val="single" w:sz="8" w:space="0" w:color="auto"/>
              <w:left w:val="single" w:sz="8" w:space="0" w:color="auto"/>
              <w:bottom w:val="single" w:sz="8" w:space="0" w:color="auto"/>
              <w:right w:val="single" w:sz="8" w:space="0" w:color="auto"/>
            </w:tcBorders>
            <w:shd w:val="clear" w:color="000000" w:fill="auto"/>
            <w:noWrap/>
            <w:vAlign w:val="center"/>
            <w:hideMark/>
          </w:tcPr>
          <w:p w14:paraId="6F7613CC" w14:textId="77777777" w:rsidR="009B4545" w:rsidRPr="009548D7" w:rsidRDefault="009B4545" w:rsidP="00326F06">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BPA.I078</w:t>
            </w:r>
          </w:p>
        </w:tc>
      </w:tr>
      <w:tr w:rsidR="009B4545" w:rsidRPr="009548D7" w14:paraId="1BB54D32" w14:textId="77777777" w:rsidTr="0005315D">
        <w:trPr>
          <w:gridBefore w:val="1"/>
          <w:wBefore w:w="10" w:type="dxa"/>
          <w:trHeight w:val="345"/>
        </w:trPr>
        <w:tc>
          <w:tcPr>
            <w:tcW w:w="4410" w:type="dxa"/>
            <w:gridSpan w:val="2"/>
            <w:tcBorders>
              <w:top w:val="nil"/>
              <w:left w:val="nil"/>
              <w:bottom w:val="nil"/>
              <w:right w:val="nil"/>
            </w:tcBorders>
            <w:shd w:val="clear" w:color="auto" w:fill="auto"/>
            <w:noWrap/>
            <w:vAlign w:val="center"/>
            <w:hideMark/>
          </w:tcPr>
          <w:p w14:paraId="4E40A4A4" w14:textId="77777777" w:rsidR="009B4545" w:rsidRPr="009548D7" w:rsidRDefault="009B4545" w:rsidP="00326F06">
            <w:pPr>
              <w:spacing w:after="0" w:line="240" w:lineRule="auto"/>
              <w:rPr>
                <w:rFonts w:ascii="Arial Narrow" w:eastAsia="Times New Roman" w:hAnsi="Arial Narrow" w:cs="Arial"/>
                <w:b/>
                <w:bCs/>
                <w:sz w:val="16"/>
                <w:szCs w:val="16"/>
                <w:lang w:eastAsia="pt-BR"/>
              </w:rPr>
            </w:pPr>
          </w:p>
        </w:tc>
        <w:tc>
          <w:tcPr>
            <w:tcW w:w="767" w:type="dxa"/>
            <w:gridSpan w:val="2"/>
            <w:tcBorders>
              <w:top w:val="nil"/>
              <w:left w:val="nil"/>
              <w:bottom w:val="nil"/>
              <w:right w:val="nil"/>
            </w:tcBorders>
            <w:shd w:val="clear" w:color="auto" w:fill="auto"/>
            <w:noWrap/>
            <w:vAlign w:val="center"/>
            <w:hideMark/>
          </w:tcPr>
          <w:p w14:paraId="20F8F774" w14:textId="77777777" w:rsidR="009B4545" w:rsidRPr="009548D7" w:rsidRDefault="009B4545" w:rsidP="00326F06">
            <w:pPr>
              <w:spacing w:after="0" w:line="240" w:lineRule="auto"/>
              <w:rPr>
                <w:rFonts w:ascii="Arial Narrow" w:eastAsia="Times New Roman" w:hAnsi="Arial Narrow" w:cs="Arial"/>
                <w:b/>
                <w:bCs/>
                <w:sz w:val="16"/>
                <w:szCs w:val="16"/>
                <w:lang w:eastAsia="pt-BR"/>
              </w:rPr>
            </w:pPr>
          </w:p>
        </w:tc>
        <w:tc>
          <w:tcPr>
            <w:tcW w:w="1063" w:type="dxa"/>
            <w:gridSpan w:val="2"/>
            <w:tcBorders>
              <w:top w:val="nil"/>
              <w:left w:val="nil"/>
              <w:bottom w:val="nil"/>
              <w:right w:val="nil"/>
            </w:tcBorders>
            <w:shd w:val="clear" w:color="auto" w:fill="auto"/>
            <w:noWrap/>
            <w:vAlign w:val="center"/>
            <w:hideMark/>
          </w:tcPr>
          <w:p w14:paraId="0A39E8BF" w14:textId="77777777" w:rsidR="009B4545" w:rsidRPr="009548D7" w:rsidRDefault="009B4545" w:rsidP="00326F06">
            <w:pPr>
              <w:spacing w:after="0" w:line="240" w:lineRule="auto"/>
              <w:jc w:val="center"/>
              <w:rPr>
                <w:rFonts w:ascii="Arial Narrow" w:eastAsia="Times New Roman" w:hAnsi="Arial Narrow" w:cs="Arial"/>
                <w:b/>
                <w:bCs/>
                <w:sz w:val="16"/>
                <w:szCs w:val="16"/>
                <w:lang w:eastAsia="pt-BR"/>
              </w:rPr>
            </w:pPr>
          </w:p>
        </w:tc>
        <w:tc>
          <w:tcPr>
            <w:tcW w:w="1262" w:type="dxa"/>
            <w:gridSpan w:val="2"/>
            <w:tcBorders>
              <w:top w:val="nil"/>
              <w:left w:val="nil"/>
              <w:bottom w:val="nil"/>
              <w:right w:val="nil"/>
            </w:tcBorders>
            <w:shd w:val="clear" w:color="auto" w:fill="auto"/>
            <w:noWrap/>
            <w:vAlign w:val="center"/>
            <w:hideMark/>
          </w:tcPr>
          <w:p w14:paraId="6AA2A56D" w14:textId="0C3136A6" w:rsidR="0005315D" w:rsidRPr="009548D7" w:rsidRDefault="0005315D" w:rsidP="0005315D">
            <w:pPr>
              <w:spacing w:after="0" w:line="240" w:lineRule="auto"/>
              <w:rPr>
                <w:rFonts w:ascii="Arial Narrow" w:eastAsia="Times New Roman" w:hAnsi="Arial Narrow" w:cs="Arial"/>
                <w:b/>
                <w:bCs/>
                <w:sz w:val="16"/>
                <w:szCs w:val="16"/>
                <w:lang w:eastAsia="pt-BR"/>
              </w:rPr>
            </w:pPr>
          </w:p>
        </w:tc>
        <w:tc>
          <w:tcPr>
            <w:tcW w:w="4562" w:type="dxa"/>
            <w:gridSpan w:val="2"/>
            <w:tcBorders>
              <w:top w:val="nil"/>
              <w:left w:val="nil"/>
              <w:bottom w:val="nil"/>
              <w:right w:val="nil"/>
            </w:tcBorders>
            <w:shd w:val="clear" w:color="auto" w:fill="auto"/>
            <w:noWrap/>
            <w:vAlign w:val="center"/>
            <w:hideMark/>
          </w:tcPr>
          <w:p w14:paraId="7CB12FB8" w14:textId="77777777" w:rsidR="009B4545" w:rsidRPr="009548D7" w:rsidRDefault="009B4545" w:rsidP="00326F06">
            <w:pPr>
              <w:spacing w:after="0" w:line="240" w:lineRule="auto"/>
              <w:rPr>
                <w:rFonts w:ascii="Arial Narrow" w:eastAsia="Times New Roman" w:hAnsi="Arial Narrow" w:cs="Arial"/>
                <w:b/>
                <w:bCs/>
                <w:sz w:val="16"/>
                <w:szCs w:val="16"/>
                <w:lang w:eastAsia="pt-BR"/>
              </w:rPr>
            </w:pPr>
          </w:p>
        </w:tc>
        <w:tc>
          <w:tcPr>
            <w:tcW w:w="775" w:type="dxa"/>
            <w:gridSpan w:val="2"/>
            <w:tcBorders>
              <w:top w:val="nil"/>
              <w:left w:val="nil"/>
              <w:bottom w:val="nil"/>
              <w:right w:val="nil"/>
            </w:tcBorders>
            <w:shd w:val="clear" w:color="auto" w:fill="auto"/>
            <w:noWrap/>
            <w:vAlign w:val="center"/>
            <w:hideMark/>
          </w:tcPr>
          <w:p w14:paraId="34809FFA" w14:textId="77777777" w:rsidR="009B4545" w:rsidRPr="009548D7" w:rsidRDefault="009B4545" w:rsidP="00326F06">
            <w:pPr>
              <w:spacing w:after="0" w:line="240" w:lineRule="auto"/>
              <w:rPr>
                <w:rFonts w:ascii="Arial Narrow" w:eastAsia="Times New Roman" w:hAnsi="Arial Narrow" w:cs="Arial"/>
                <w:b/>
                <w:bCs/>
                <w:sz w:val="16"/>
                <w:szCs w:val="16"/>
                <w:lang w:eastAsia="pt-BR"/>
              </w:rPr>
            </w:pPr>
          </w:p>
        </w:tc>
        <w:tc>
          <w:tcPr>
            <w:tcW w:w="1063" w:type="dxa"/>
            <w:gridSpan w:val="2"/>
            <w:tcBorders>
              <w:top w:val="nil"/>
              <w:left w:val="nil"/>
              <w:bottom w:val="nil"/>
              <w:right w:val="nil"/>
            </w:tcBorders>
            <w:shd w:val="clear" w:color="auto" w:fill="auto"/>
            <w:noWrap/>
            <w:vAlign w:val="center"/>
            <w:hideMark/>
          </w:tcPr>
          <w:p w14:paraId="458616A8" w14:textId="77777777" w:rsidR="009B4545" w:rsidRPr="009548D7" w:rsidRDefault="009B4545" w:rsidP="00326F06">
            <w:pPr>
              <w:spacing w:after="0" w:line="240" w:lineRule="auto"/>
              <w:jc w:val="center"/>
              <w:rPr>
                <w:rFonts w:ascii="Arial Narrow" w:eastAsia="Times New Roman" w:hAnsi="Arial Narrow" w:cs="Arial"/>
                <w:b/>
                <w:bCs/>
                <w:sz w:val="16"/>
                <w:szCs w:val="16"/>
                <w:lang w:eastAsia="pt-BR"/>
              </w:rPr>
            </w:pPr>
          </w:p>
        </w:tc>
        <w:tc>
          <w:tcPr>
            <w:tcW w:w="1420" w:type="dxa"/>
            <w:gridSpan w:val="2"/>
            <w:tcBorders>
              <w:top w:val="nil"/>
              <w:left w:val="nil"/>
              <w:bottom w:val="nil"/>
              <w:right w:val="nil"/>
            </w:tcBorders>
            <w:shd w:val="clear" w:color="auto" w:fill="auto"/>
            <w:noWrap/>
            <w:vAlign w:val="center"/>
            <w:hideMark/>
          </w:tcPr>
          <w:p w14:paraId="442006E5" w14:textId="77777777" w:rsidR="009B4545" w:rsidRPr="009548D7" w:rsidRDefault="009B4545" w:rsidP="00326F06">
            <w:pPr>
              <w:spacing w:after="0" w:line="240" w:lineRule="auto"/>
              <w:jc w:val="center"/>
              <w:rPr>
                <w:rFonts w:ascii="Arial Narrow" w:eastAsia="Times New Roman" w:hAnsi="Arial Narrow" w:cs="Arial"/>
                <w:b/>
                <w:bCs/>
                <w:sz w:val="16"/>
                <w:szCs w:val="16"/>
                <w:lang w:eastAsia="pt-BR"/>
              </w:rPr>
            </w:pPr>
          </w:p>
        </w:tc>
      </w:tr>
      <w:tr w:rsidR="009B4545" w:rsidRPr="009548D7" w14:paraId="03EF4A15" w14:textId="77777777" w:rsidTr="0005315D">
        <w:trPr>
          <w:gridAfter w:val="1"/>
          <w:wAfter w:w="10" w:type="dxa"/>
          <w:trHeight w:val="270"/>
        </w:trPr>
        <w:tc>
          <w:tcPr>
            <w:tcW w:w="15322" w:type="dxa"/>
            <w:gridSpan w:val="16"/>
            <w:tcBorders>
              <w:top w:val="nil"/>
              <w:left w:val="nil"/>
              <w:bottom w:val="single" w:sz="8" w:space="0" w:color="auto"/>
              <w:right w:val="nil"/>
            </w:tcBorders>
            <w:shd w:val="clear" w:color="auto" w:fill="auto"/>
            <w:noWrap/>
            <w:vAlign w:val="center"/>
            <w:hideMark/>
          </w:tcPr>
          <w:p w14:paraId="7F75016D" w14:textId="79BFBA33" w:rsidR="009B4545" w:rsidRPr="009548D7" w:rsidRDefault="009B4545" w:rsidP="00326F06">
            <w:pPr>
              <w:spacing w:after="0" w:line="240" w:lineRule="auto"/>
              <w:jc w:val="center"/>
              <w:rPr>
                <w:rFonts w:ascii="Arial" w:eastAsia="Times New Roman" w:hAnsi="Arial" w:cs="Arial"/>
                <w:b/>
                <w:bCs/>
                <w:sz w:val="20"/>
                <w:szCs w:val="20"/>
                <w:lang w:eastAsia="pt-BR"/>
              </w:rPr>
            </w:pPr>
            <w:r w:rsidRPr="009548D7">
              <w:rPr>
                <w:rFonts w:ascii="Arial" w:hAnsi="Arial"/>
              </w:rPr>
              <w:br w:type="page"/>
            </w:r>
            <w:r w:rsidRPr="009548D7">
              <w:rPr>
                <w:rFonts w:ascii="Arial" w:eastAsia="Times New Roman" w:hAnsi="Arial" w:cs="Arial"/>
                <w:b/>
                <w:bCs/>
                <w:sz w:val="20"/>
                <w:szCs w:val="20"/>
                <w:lang w:eastAsia="pt-BR"/>
              </w:rPr>
              <w:t>CONTAS DE COMPENSAÇÃO – LEI N.º 4.320/64</w:t>
            </w:r>
          </w:p>
          <w:p w14:paraId="46C4B8B8" w14:textId="77777777" w:rsidR="009B4545" w:rsidRPr="009548D7" w:rsidRDefault="009B4545" w:rsidP="00326F06">
            <w:pPr>
              <w:spacing w:after="0" w:line="240" w:lineRule="auto"/>
              <w:jc w:val="center"/>
              <w:rPr>
                <w:rFonts w:ascii="Arial" w:eastAsia="Times New Roman" w:hAnsi="Arial" w:cs="Arial"/>
                <w:b/>
                <w:bCs/>
                <w:sz w:val="20"/>
                <w:szCs w:val="20"/>
                <w:lang w:eastAsia="pt-BR"/>
              </w:rPr>
            </w:pPr>
          </w:p>
        </w:tc>
      </w:tr>
      <w:tr w:rsidR="009B4545" w:rsidRPr="009548D7" w14:paraId="2E51486E" w14:textId="77777777" w:rsidTr="0005315D">
        <w:trPr>
          <w:gridAfter w:val="1"/>
          <w:wAfter w:w="10" w:type="dxa"/>
          <w:trHeight w:val="285"/>
        </w:trPr>
        <w:tc>
          <w:tcPr>
            <w:tcW w:w="4410" w:type="dxa"/>
            <w:gridSpan w:val="2"/>
            <w:tcBorders>
              <w:top w:val="nil"/>
              <w:left w:val="single" w:sz="8" w:space="0" w:color="auto"/>
              <w:bottom w:val="single" w:sz="8" w:space="0" w:color="auto"/>
            </w:tcBorders>
            <w:shd w:val="clear" w:color="000000" w:fill="D9D9D9"/>
            <w:noWrap/>
            <w:vAlign w:val="center"/>
            <w:hideMark/>
          </w:tcPr>
          <w:p w14:paraId="0DF9B5F0" w14:textId="77777777" w:rsidR="009B4545" w:rsidRPr="009548D7" w:rsidRDefault="009B4545" w:rsidP="00326F06">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ATIVO</w:t>
            </w:r>
          </w:p>
        </w:tc>
        <w:tc>
          <w:tcPr>
            <w:tcW w:w="767" w:type="dxa"/>
            <w:gridSpan w:val="2"/>
            <w:tcBorders>
              <w:top w:val="nil"/>
              <w:bottom w:val="single" w:sz="8" w:space="0" w:color="000000"/>
              <w:right w:val="single" w:sz="8" w:space="0" w:color="auto"/>
            </w:tcBorders>
            <w:shd w:val="clear" w:color="000000" w:fill="D9D9D9"/>
            <w:noWrap/>
            <w:vAlign w:val="center"/>
          </w:tcPr>
          <w:p w14:paraId="3FC57567" w14:textId="6D8ADD8F" w:rsidR="009B4545" w:rsidRPr="009548D7" w:rsidRDefault="009B4545" w:rsidP="00326F06">
            <w:pPr>
              <w:spacing w:after="0" w:line="240" w:lineRule="auto"/>
              <w:jc w:val="center"/>
              <w:rPr>
                <w:rFonts w:ascii="Arial Narrow" w:eastAsia="Times New Roman" w:hAnsi="Arial Narrow" w:cs="Arial"/>
                <w:b/>
                <w:bCs/>
                <w:sz w:val="16"/>
                <w:szCs w:val="16"/>
                <w:lang w:eastAsia="pt-BR"/>
              </w:rPr>
            </w:pPr>
          </w:p>
        </w:tc>
        <w:tc>
          <w:tcPr>
            <w:tcW w:w="1063" w:type="dxa"/>
            <w:gridSpan w:val="2"/>
            <w:vMerge w:val="restart"/>
            <w:tcBorders>
              <w:top w:val="nil"/>
              <w:left w:val="single" w:sz="8" w:space="0" w:color="auto"/>
              <w:bottom w:val="single" w:sz="8" w:space="0" w:color="000000"/>
              <w:right w:val="single" w:sz="8" w:space="0" w:color="auto"/>
            </w:tcBorders>
            <w:shd w:val="clear" w:color="000000" w:fill="D9D9D9"/>
            <w:noWrap/>
            <w:vAlign w:val="center"/>
            <w:hideMark/>
          </w:tcPr>
          <w:p w14:paraId="1535D99F" w14:textId="77777777" w:rsidR="009B4545" w:rsidRPr="009548D7" w:rsidRDefault="009B4545" w:rsidP="00326F06">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Exercício Atual</w:t>
            </w:r>
          </w:p>
        </w:tc>
        <w:tc>
          <w:tcPr>
            <w:tcW w:w="1262" w:type="dxa"/>
            <w:gridSpan w:val="2"/>
            <w:vMerge w:val="restart"/>
            <w:tcBorders>
              <w:top w:val="nil"/>
              <w:left w:val="single" w:sz="8" w:space="0" w:color="auto"/>
              <w:bottom w:val="single" w:sz="8" w:space="0" w:color="000000"/>
              <w:right w:val="single" w:sz="8" w:space="0" w:color="auto"/>
            </w:tcBorders>
            <w:shd w:val="clear" w:color="000000" w:fill="D9D9D9"/>
            <w:noWrap/>
            <w:vAlign w:val="center"/>
            <w:hideMark/>
          </w:tcPr>
          <w:p w14:paraId="4DEA5D23" w14:textId="77777777" w:rsidR="009B4545" w:rsidRPr="009548D7" w:rsidRDefault="009B4545" w:rsidP="00326F06">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Exercício Anterior</w:t>
            </w:r>
          </w:p>
        </w:tc>
        <w:tc>
          <w:tcPr>
            <w:tcW w:w="4562" w:type="dxa"/>
            <w:gridSpan w:val="2"/>
            <w:tcBorders>
              <w:top w:val="nil"/>
              <w:left w:val="nil"/>
              <w:bottom w:val="single" w:sz="4" w:space="0" w:color="auto"/>
            </w:tcBorders>
            <w:shd w:val="clear" w:color="000000" w:fill="D9D9D9"/>
            <w:noWrap/>
            <w:vAlign w:val="center"/>
            <w:hideMark/>
          </w:tcPr>
          <w:p w14:paraId="3303E048" w14:textId="77777777" w:rsidR="009B4545" w:rsidRPr="009548D7" w:rsidRDefault="009B4545" w:rsidP="00326F06">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PASSIVO</w:t>
            </w:r>
          </w:p>
        </w:tc>
        <w:tc>
          <w:tcPr>
            <w:tcW w:w="775" w:type="dxa"/>
            <w:gridSpan w:val="2"/>
            <w:tcBorders>
              <w:top w:val="nil"/>
              <w:bottom w:val="single" w:sz="8" w:space="0" w:color="000000"/>
              <w:right w:val="single" w:sz="8" w:space="0" w:color="auto"/>
            </w:tcBorders>
            <w:shd w:val="clear" w:color="000000" w:fill="D9D9D9"/>
            <w:noWrap/>
            <w:vAlign w:val="center"/>
          </w:tcPr>
          <w:p w14:paraId="36BFF875" w14:textId="616A416A" w:rsidR="009B4545" w:rsidRPr="009548D7" w:rsidRDefault="009B4545" w:rsidP="00326F06">
            <w:pPr>
              <w:spacing w:after="0" w:line="240" w:lineRule="auto"/>
              <w:jc w:val="center"/>
              <w:rPr>
                <w:rFonts w:ascii="Arial Narrow" w:eastAsia="Times New Roman" w:hAnsi="Arial Narrow" w:cs="Arial"/>
                <w:b/>
                <w:bCs/>
                <w:sz w:val="16"/>
                <w:szCs w:val="16"/>
                <w:lang w:eastAsia="pt-BR"/>
              </w:rPr>
            </w:pPr>
          </w:p>
        </w:tc>
        <w:tc>
          <w:tcPr>
            <w:tcW w:w="1063" w:type="dxa"/>
            <w:gridSpan w:val="2"/>
            <w:vMerge w:val="restart"/>
            <w:tcBorders>
              <w:top w:val="nil"/>
              <w:left w:val="single" w:sz="8" w:space="0" w:color="auto"/>
              <w:bottom w:val="single" w:sz="8" w:space="0" w:color="000000"/>
              <w:right w:val="single" w:sz="8" w:space="0" w:color="auto"/>
            </w:tcBorders>
            <w:shd w:val="clear" w:color="000000" w:fill="D9D9D9"/>
            <w:noWrap/>
            <w:vAlign w:val="center"/>
            <w:hideMark/>
          </w:tcPr>
          <w:p w14:paraId="7DAB7339" w14:textId="77777777" w:rsidR="009B4545" w:rsidRPr="009548D7" w:rsidRDefault="009B4545" w:rsidP="00326F06">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Exercício Atual</w:t>
            </w:r>
          </w:p>
        </w:tc>
        <w:tc>
          <w:tcPr>
            <w:tcW w:w="1420" w:type="dxa"/>
            <w:gridSpan w:val="2"/>
            <w:vMerge w:val="restart"/>
            <w:tcBorders>
              <w:top w:val="nil"/>
              <w:left w:val="nil"/>
              <w:bottom w:val="single" w:sz="8" w:space="0" w:color="000000"/>
              <w:right w:val="single" w:sz="8" w:space="0" w:color="auto"/>
            </w:tcBorders>
            <w:shd w:val="clear" w:color="000000" w:fill="D9D9D9"/>
            <w:noWrap/>
            <w:vAlign w:val="center"/>
            <w:hideMark/>
          </w:tcPr>
          <w:p w14:paraId="35703FED" w14:textId="77777777" w:rsidR="009B4545" w:rsidRPr="009548D7" w:rsidRDefault="009B4545" w:rsidP="00326F06">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Exercício Anterior</w:t>
            </w:r>
          </w:p>
        </w:tc>
      </w:tr>
      <w:tr w:rsidR="009B4545" w:rsidRPr="009548D7" w14:paraId="759A298E" w14:textId="77777777" w:rsidTr="0005315D">
        <w:trPr>
          <w:gridAfter w:val="1"/>
          <w:wAfter w:w="10" w:type="dxa"/>
          <w:trHeight w:val="255"/>
        </w:trPr>
        <w:tc>
          <w:tcPr>
            <w:tcW w:w="4410" w:type="dxa"/>
            <w:gridSpan w:val="2"/>
            <w:tcBorders>
              <w:top w:val="nil"/>
              <w:left w:val="single" w:sz="8" w:space="0" w:color="auto"/>
              <w:bottom w:val="single" w:sz="8" w:space="0" w:color="auto"/>
            </w:tcBorders>
            <w:shd w:val="clear" w:color="000000" w:fill="D9D9D9"/>
            <w:noWrap/>
            <w:vAlign w:val="center"/>
            <w:hideMark/>
          </w:tcPr>
          <w:p w14:paraId="7F547BEC" w14:textId="77777777" w:rsidR="009B4545" w:rsidRPr="009548D7" w:rsidRDefault="009B4545" w:rsidP="00326F06">
            <w:pPr>
              <w:spacing w:after="0" w:line="240" w:lineRule="auto"/>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Especificação</w:t>
            </w:r>
          </w:p>
        </w:tc>
        <w:tc>
          <w:tcPr>
            <w:tcW w:w="767" w:type="dxa"/>
            <w:gridSpan w:val="2"/>
            <w:tcBorders>
              <w:top w:val="nil"/>
              <w:bottom w:val="single" w:sz="8" w:space="0" w:color="000000"/>
              <w:right w:val="single" w:sz="8" w:space="0" w:color="auto"/>
            </w:tcBorders>
            <w:shd w:val="clear" w:color="000000" w:fill="D9D9D9"/>
            <w:vAlign w:val="center"/>
          </w:tcPr>
          <w:p w14:paraId="67231660" w14:textId="77777777" w:rsidR="009B4545" w:rsidRPr="009548D7" w:rsidRDefault="009B4545" w:rsidP="00326F06">
            <w:pPr>
              <w:spacing w:after="0" w:line="240" w:lineRule="auto"/>
              <w:rPr>
                <w:rFonts w:ascii="Arial Narrow" w:eastAsia="Times New Roman" w:hAnsi="Arial Narrow" w:cs="Arial"/>
                <w:b/>
                <w:bCs/>
                <w:sz w:val="16"/>
                <w:szCs w:val="16"/>
                <w:lang w:eastAsia="pt-BR"/>
              </w:rPr>
            </w:pPr>
          </w:p>
        </w:tc>
        <w:tc>
          <w:tcPr>
            <w:tcW w:w="1063" w:type="dxa"/>
            <w:gridSpan w:val="2"/>
            <w:vMerge/>
            <w:tcBorders>
              <w:top w:val="nil"/>
              <w:left w:val="single" w:sz="8" w:space="0" w:color="auto"/>
              <w:bottom w:val="single" w:sz="8" w:space="0" w:color="000000"/>
              <w:right w:val="single" w:sz="8" w:space="0" w:color="auto"/>
            </w:tcBorders>
            <w:vAlign w:val="center"/>
            <w:hideMark/>
          </w:tcPr>
          <w:p w14:paraId="481E54A4" w14:textId="77777777" w:rsidR="009B4545" w:rsidRPr="009548D7" w:rsidRDefault="009B4545" w:rsidP="00326F06">
            <w:pPr>
              <w:spacing w:after="0" w:line="240" w:lineRule="auto"/>
              <w:rPr>
                <w:rFonts w:ascii="Arial Narrow" w:eastAsia="Times New Roman" w:hAnsi="Arial Narrow" w:cs="Arial"/>
                <w:b/>
                <w:bCs/>
                <w:sz w:val="16"/>
                <w:szCs w:val="16"/>
                <w:lang w:eastAsia="pt-BR"/>
              </w:rPr>
            </w:pPr>
          </w:p>
        </w:tc>
        <w:tc>
          <w:tcPr>
            <w:tcW w:w="1262" w:type="dxa"/>
            <w:gridSpan w:val="2"/>
            <w:vMerge/>
            <w:tcBorders>
              <w:top w:val="nil"/>
              <w:left w:val="single" w:sz="8" w:space="0" w:color="auto"/>
              <w:bottom w:val="single" w:sz="8" w:space="0" w:color="000000"/>
              <w:right w:val="single" w:sz="8" w:space="0" w:color="auto"/>
            </w:tcBorders>
            <w:vAlign w:val="center"/>
            <w:hideMark/>
          </w:tcPr>
          <w:p w14:paraId="4EA1E368" w14:textId="77777777" w:rsidR="009B4545" w:rsidRPr="009548D7" w:rsidRDefault="009B4545" w:rsidP="00326F06">
            <w:pPr>
              <w:spacing w:after="0" w:line="240" w:lineRule="auto"/>
              <w:rPr>
                <w:rFonts w:ascii="Arial Narrow" w:eastAsia="Times New Roman" w:hAnsi="Arial Narrow" w:cs="Arial"/>
                <w:b/>
                <w:bCs/>
                <w:sz w:val="16"/>
                <w:szCs w:val="16"/>
                <w:lang w:eastAsia="pt-BR"/>
              </w:rPr>
            </w:pPr>
          </w:p>
        </w:tc>
        <w:tc>
          <w:tcPr>
            <w:tcW w:w="4562" w:type="dxa"/>
            <w:gridSpan w:val="2"/>
            <w:tcBorders>
              <w:top w:val="single" w:sz="8" w:space="0" w:color="auto"/>
              <w:left w:val="nil"/>
              <w:bottom w:val="single" w:sz="8" w:space="0" w:color="auto"/>
            </w:tcBorders>
            <w:shd w:val="clear" w:color="000000" w:fill="D9D9D9"/>
            <w:noWrap/>
            <w:vAlign w:val="center"/>
            <w:hideMark/>
          </w:tcPr>
          <w:p w14:paraId="339DDFBA" w14:textId="77777777" w:rsidR="009B4545" w:rsidRPr="009548D7" w:rsidRDefault="009B4545" w:rsidP="00326F06">
            <w:pPr>
              <w:spacing w:after="0" w:line="240" w:lineRule="auto"/>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Especificação</w:t>
            </w:r>
          </w:p>
        </w:tc>
        <w:tc>
          <w:tcPr>
            <w:tcW w:w="775" w:type="dxa"/>
            <w:gridSpan w:val="2"/>
            <w:tcBorders>
              <w:top w:val="nil"/>
              <w:bottom w:val="single" w:sz="8" w:space="0" w:color="000000"/>
              <w:right w:val="single" w:sz="8" w:space="0" w:color="auto"/>
            </w:tcBorders>
            <w:shd w:val="clear" w:color="000000" w:fill="D9D9D9"/>
            <w:vAlign w:val="center"/>
          </w:tcPr>
          <w:p w14:paraId="4A9CBF55" w14:textId="77777777" w:rsidR="009B4545" w:rsidRPr="009548D7" w:rsidRDefault="009B4545" w:rsidP="00326F06">
            <w:pPr>
              <w:spacing w:after="0" w:line="240" w:lineRule="auto"/>
              <w:rPr>
                <w:rFonts w:ascii="Arial Narrow" w:eastAsia="Times New Roman" w:hAnsi="Arial Narrow" w:cs="Arial"/>
                <w:b/>
                <w:bCs/>
                <w:sz w:val="16"/>
                <w:szCs w:val="16"/>
                <w:lang w:eastAsia="pt-BR"/>
              </w:rPr>
            </w:pPr>
          </w:p>
        </w:tc>
        <w:tc>
          <w:tcPr>
            <w:tcW w:w="1063" w:type="dxa"/>
            <w:gridSpan w:val="2"/>
            <w:vMerge/>
            <w:tcBorders>
              <w:top w:val="nil"/>
              <w:left w:val="single" w:sz="8" w:space="0" w:color="auto"/>
              <w:bottom w:val="single" w:sz="8" w:space="0" w:color="000000"/>
              <w:right w:val="single" w:sz="8" w:space="0" w:color="auto"/>
            </w:tcBorders>
            <w:vAlign w:val="center"/>
            <w:hideMark/>
          </w:tcPr>
          <w:p w14:paraId="7A64F4C5" w14:textId="77777777" w:rsidR="009B4545" w:rsidRPr="009548D7" w:rsidRDefault="009B4545" w:rsidP="00326F06">
            <w:pPr>
              <w:spacing w:after="0" w:line="240" w:lineRule="auto"/>
              <w:rPr>
                <w:rFonts w:ascii="Arial Narrow" w:eastAsia="Times New Roman" w:hAnsi="Arial Narrow" w:cs="Arial"/>
                <w:b/>
                <w:bCs/>
                <w:sz w:val="16"/>
                <w:szCs w:val="16"/>
                <w:lang w:eastAsia="pt-BR"/>
              </w:rPr>
            </w:pPr>
          </w:p>
        </w:tc>
        <w:tc>
          <w:tcPr>
            <w:tcW w:w="1420" w:type="dxa"/>
            <w:gridSpan w:val="2"/>
            <w:vMerge/>
            <w:tcBorders>
              <w:top w:val="nil"/>
              <w:left w:val="nil"/>
              <w:bottom w:val="single" w:sz="8" w:space="0" w:color="000000"/>
              <w:right w:val="single" w:sz="8" w:space="0" w:color="auto"/>
            </w:tcBorders>
            <w:vAlign w:val="center"/>
            <w:hideMark/>
          </w:tcPr>
          <w:p w14:paraId="0E0F220E" w14:textId="77777777" w:rsidR="009B4545" w:rsidRPr="009548D7" w:rsidRDefault="009B4545" w:rsidP="00326F06">
            <w:pPr>
              <w:spacing w:after="0" w:line="240" w:lineRule="auto"/>
              <w:rPr>
                <w:rFonts w:ascii="Arial Narrow" w:eastAsia="Times New Roman" w:hAnsi="Arial Narrow" w:cs="Arial"/>
                <w:b/>
                <w:bCs/>
                <w:sz w:val="16"/>
                <w:szCs w:val="16"/>
                <w:lang w:eastAsia="pt-BR"/>
              </w:rPr>
            </w:pPr>
          </w:p>
        </w:tc>
      </w:tr>
      <w:tr w:rsidR="009B4545" w:rsidRPr="009548D7" w14:paraId="75F5B597" w14:textId="77777777" w:rsidTr="0005315D">
        <w:trPr>
          <w:gridAfter w:val="1"/>
          <w:wAfter w:w="10" w:type="dxa"/>
          <w:trHeight w:val="270"/>
        </w:trPr>
        <w:tc>
          <w:tcPr>
            <w:tcW w:w="4410" w:type="dxa"/>
            <w:gridSpan w:val="2"/>
            <w:tcBorders>
              <w:top w:val="nil"/>
              <w:left w:val="single" w:sz="8" w:space="0" w:color="auto"/>
              <w:bottom w:val="nil"/>
            </w:tcBorders>
            <w:shd w:val="clear" w:color="000000" w:fill="FFFFFF"/>
            <w:noWrap/>
            <w:vAlign w:val="center"/>
            <w:hideMark/>
          </w:tcPr>
          <w:p w14:paraId="36392ED0" w14:textId="77777777" w:rsidR="009B4545" w:rsidRPr="009548D7" w:rsidRDefault="009B4545" w:rsidP="00326F06">
            <w:pPr>
              <w:spacing w:after="0" w:line="240" w:lineRule="auto"/>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Atos Potenciais Ativos</w:t>
            </w:r>
          </w:p>
        </w:tc>
        <w:tc>
          <w:tcPr>
            <w:tcW w:w="767" w:type="dxa"/>
            <w:gridSpan w:val="2"/>
            <w:tcBorders>
              <w:top w:val="nil"/>
              <w:bottom w:val="nil"/>
              <w:right w:val="single" w:sz="8" w:space="0" w:color="auto"/>
            </w:tcBorders>
            <w:shd w:val="clear" w:color="auto" w:fill="auto"/>
            <w:noWrap/>
            <w:vAlign w:val="center"/>
          </w:tcPr>
          <w:p w14:paraId="4AC5AFB6" w14:textId="0362A313" w:rsidR="009B4545" w:rsidRPr="009548D7" w:rsidRDefault="009B4545" w:rsidP="00326F06">
            <w:pPr>
              <w:spacing w:after="0" w:line="240" w:lineRule="auto"/>
              <w:jc w:val="center"/>
              <w:rPr>
                <w:rFonts w:ascii="Arial Narrow" w:eastAsia="Times New Roman" w:hAnsi="Arial Narrow" w:cs="Arial"/>
                <w:b/>
                <w:bCs/>
                <w:sz w:val="16"/>
                <w:szCs w:val="16"/>
                <w:lang w:eastAsia="pt-BR"/>
              </w:rPr>
            </w:pPr>
          </w:p>
        </w:tc>
        <w:tc>
          <w:tcPr>
            <w:tcW w:w="1063" w:type="dxa"/>
            <w:gridSpan w:val="2"/>
            <w:tcBorders>
              <w:top w:val="nil"/>
              <w:left w:val="nil"/>
              <w:bottom w:val="nil"/>
              <w:right w:val="single" w:sz="8" w:space="0" w:color="auto"/>
            </w:tcBorders>
            <w:shd w:val="clear" w:color="auto" w:fill="auto"/>
            <w:noWrap/>
            <w:vAlign w:val="center"/>
            <w:hideMark/>
          </w:tcPr>
          <w:p w14:paraId="1CF2C444" w14:textId="77777777" w:rsidR="009B4545" w:rsidRPr="009548D7" w:rsidRDefault="009B4545" w:rsidP="00326F06">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BPA.D083</w:t>
            </w:r>
          </w:p>
        </w:tc>
        <w:tc>
          <w:tcPr>
            <w:tcW w:w="1262" w:type="dxa"/>
            <w:gridSpan w:val="2"/>
            <w:tcBorders>
              <w:top w:val="nil"/>
              <w:left w:val="nil"/>
              <w:bottom w:val="nil"/>
              <w:right w:val="single" w:sz="8" w:space="0" w:color="auto"/>
            </w:tcBorders>
            <w:shd w:val="clear" w:color="auto" w:fill="auto"/>
            <w:noWrap/>
            <w:vAlign w:val="center"/>
            <w:hideMark/>
          </w:tcPr>
          <w:p w14:paraId="286034CE" w14:textId="77777777" w:rsidR="009B4545" w:rsidRPr="009548D7" w:rsidRDefault="009B4545" w:rsidP="00326F06">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BPA.E083</w:t>
            </w:r>
          </w:p>
        </w:tc>
        <w:tc>
          <w:tcPr>
            <w:tcW w:w="4562" w:type="dxa"/>
            <w:gridSpan w:val="2"/>
            <w:tcBorders>
              <w:top w:val="nil"/>
              <w:left w:val="nil"/>
              <w:bottom w:val="nil"/>
            </w:tcBorders>
            <w:shd w:val="clear" w:color="000000" w:fill="FFFFFF"/>
            <w:noWrap/>
            <w:vAlign w:val="center"/>
            <w:hideMark/>
          </w:tcPr>
          <w:p w14:paraId="0DD67CFC" w14:textId="77777777" w:rsidR="009B4545" w:rsidRPr="009548D7" w:rsidRDefault="009B4545" w:rsidP="00326F06">
            <w:pPr>
              <w:spacing w:after="0" w:line="240" w:lineRule="auto"/>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Atos Potenciais Passivos</w:t>
            </w:r>
          </w:p>
        </w:tc>
        <w:tc>
          <w:tcPr>
            <w:tcW w:w="775" w:type="dxa"/>
            <w:gridSpan w:val="2"/>
            <w:tcBorders>
              <w:top w:val="nil"/>
              <w:bottom w:val="nil"/>
              <w:right w:val="single" w:sz="8" w:space="0" w:color="auto"/>
            </w:tcBorders>
            <w:shd w:val="clear" w:color="auto" w:fill="auto"/>
            <w:noWrap/>
            <w:vAlign w:val="center"/>
          </w:tcPr>
          <w:p w14:paraId="78858139" w14:textId="445C6782" w:rsidR="009B4545" w:rsidRPr="009548D7" w:rsidRDefault="009B4545" w:rsidP="00326F06">
            <w:pPr>
              <w:spacing w:after="0" w:line="240" w:lineRule="auto"/>
              <w:jc w:val="center"/>
              <w:rPr>
                <w:rFonts w:ascii="Arial Narrow" w:eastAsia="Times New Roman" w:hAnsi="Arial Narrow" w:cs="Arial"/>
                <w:b/>
                <w:bCs/>
                <w:sz w:val="16"/>
                <w:szCs w:val="16"/>
                <w:lang w:eastAsia="pt-BR"/>
              </w:rPr>
            </w:pPr>
          </w:p>
        </w:tc>
        <w:tc>
          <w:tcPr>
            <w:tcW w:w="1063" w:type="dxa"/>
            <w:gridSpan w:val="2"/>
            <w:tcBorders>
              <w:top w:val="nil"/>
              <w:left w:val="nil"/>
              <w:bottom w:val="nil"/>
              <w:right w:val="single" w:sz="8" w:space="0" w:color="auto"/>
            </w:tcBorders>
            <w:shd w:val="clear" w:color="auto" w:fill="auto"/>
            <w:noWrap/>
            <w:vAlign w:val="center"/>
            <w:hideMark/>
          </w:tcPr>
          <w:p w14:paraId="34BB51F5" w14:textId="77777777" w:rsidR="009B4545" w:rsidRPr="009548D7" w:rsidRDefault="009B4545" w:rsidP="00326F06">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BPA.H083</w:t>
            </w:r>
          </w:p>
        </w:tc>
        <w:tc>
          <w:tcPr>
            <w:tcW w:w="1420" w:type="dxa"/>
            <w:gridSpan w:val="2"/>
            <w:tcBorders>
              <w:top w:val="nil"/>
              <w:left w:val="nil"/>
              <w:bottom w:val="nil"/>
              <w:right w:val="single" w:sz="8" w:space="0" w:color="auto"/>
            </w:tcBorders>
            <w:shd w:val="clear" w:color="auto" w:fill="auto"/>
            <w:noWrap/>
            <w:vAlign w:val="center"/>
            <w:hideMark/>
          </w:tcPr>
          <w:p w14:paraId="1143ED5D" w14:textId="77777777" w:rsidR="009B4545" w:rsidRPr="009548D7" w:rsidRDefault="009B4545" w:rsidP="00326F06">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BPA.I083</w:t>
            </w:r>
          </w:p>
        </w:tc>
      </w:tr>
      <w:tr w:rsidR="009B4545" w:rsidRPr="009548D7" w14:paraId="31BE6028" w14:textId="77777777" w:rsidTr="0005315D">
        <w:trPr>
          <w:gridAfter w:val="1"/>
          <w:wAfter w:w="10" w:type="dxa"/>
          <w:trHeight w:val="255"/>
        </w:trPr>
        <w:tc>
          <w:tcPr>
            <w:tcW w:w="4410" w:type="dxa"/>
            <w:gridSpan w:val="2"/>
            <w:tcBorders>
              <w:top w:val="nil"/>
              <w:left w:val="single" w:sz="8" w:space="0" w:color="auto"/>
              <w:bottom w:val="nil"/>
            </w:tcBorders>
            <w:shd w:val="clear" w:color="auto" w:fill="auto"/>
            <w:noWrap/>
            <w:vAlign w:val="center"/>
            <w:hideMark/>
          </w:tcPr>
          <w:p w14:paraId="6E445385" w14:textId="77777777" w:rsidR="009B4545" w:rsidRPr="009548D7" w:rsidRDefault="009B4545" w:rsidP="00326F06">
            <w:pPr>
              <w:spacing w:after="0" w:line="240" w:lineRule="auto"/>
              <w:ind w:firstLineChars="200" w:firstLine="32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xml:space="preserve">Garantias e Contragarantias Recebidas </w:t>
            </w:r>
          </w:p>
        </w:tc>
        <w:tc>
          <w:tcPr>
            <w:tcW w:w="767" w:type="dxa"/>
            <w:gridSpan w:val="2"/>
            <w:tcBorders>
              <w:top w:val="nil"/>
              <w:bottom w:val="nil"/>
              <w:right w:val="single" w:sz="8" w:space="0" w:color="auto"/>
            </w:tcBorders>
            <w:shd w:val="clear" w:color="auto" w:fill="auto"/>
            <w:noWrap/>
            <w:vAlign w:val="center"/>
          </w:tcPr>
          <w:p w14:paraId="4E450449" w14:textId="7A16C792" w:rsidR="009B4545" w:rsidRPr="009548D7" w:rsidRDefault="009B4545" w:rsidP="00326F06">
            <w:pPr>
              <w:spacing w:after="0" w:line="240" w:lineRule="auto"/>
              <w:jc w:val="center"/>
              <w:rPr>
                <w:rFonts w:ascii="Arial Narrow" w:eastAsia="Times New Roman" w:hAnsi="Arial Narrow" w:cs="Arial"/>
                <w:sz w:val="16"/>
                <w:szCs w:val="16"/>
                <w:lang w:eastAsia="pt-BR"/>
              </w:rPr>
            </w:pPr>
          </w:p>
        </w:tc>
        <w:tc>
          <w:tcPr>
            <w:tcW w:w="1063" w:type="dxa"/>
            <w:gridSpan w:val="2"/>
            <w:tcBorders>
              <w:top w:val="nil"/>
              <w:left w:val="nil"/>
              <w:bottom w:val="nil"/>
              <w:right w:val="single" w:sz="8" w:space="0" w:color="auto"/>
            </w:tcBorders>
            <w:shd w:val="clear" w:color="auto" w:fill="auto"/>
            <w:noWrap/>
            <w:vAlign w:val="center"/>
            <w:hideMark/>
          </w:tcPr>
          <w:p w14:paraId="48C23ECF" w14:textId="77777777" w:rsidR="009B4545" w:rsidRPr="009548D7" w:rsidRDefault="009B4545" w:rsidP="00326F06">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BPA.D084</w:t>
            </w:r>
          </w:p>
        </w:tc>
        <w:tc>
          <w:tcPr>
            <w:tcW w:w="1262" w:type="dxa"/>
            <w:gridSpan w:val="2"/>
            <w:tcBorders>
              <w:top w:val="nil"/>
              <w:left w:val="nil"/>
              <w:bottom w:val="nil"/>
              <w:right w:val="single" w:sz="8" w:space="0" w:color="auto"/>
            </w:tcBorders>
            <w:shd w:val="clear" w:color="auto" w:fill="auto"/>
            <w:noWrap/>
            <w:vAlign w:val="center"/>
            <w:hideMark/>
          </w:tcPr>
          <w:p w14:paraId="5EF06051" w14:textId="77777777" w:rsidR="009B4545" w:rsidRPr="009548D7" w:rsidRDefault="009B4545" w:rsidP="00326F06">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BPA.E084</w:t>
            </w:r>
          </w:p>
        </w:tc>
        <w:tc>
          <w:tcPr>
            <w:tcW w:w="4562" w:type="dxa"/>
            <w:gridSpan w:val="2"/>
            <w:tcBorders>
              <w:top w:val="nil"/>
              <w:left w:val="nil"/>
              <w:bottom w:val="nil"/>
            </w:tcBorders>
            <w:shd w:val="clear" w:color="000000" w:fill="FFFFFF"/>
            <w:noWrap/>
            <w:vAlign w:val="center"/>
            <w:hideMark/>
          </w:tcPr>
          <w:p w14:paraId="46ABEA74" w14:textId="77777777" w:rsidR="009B4545" w:rsidRPr="009548D7" w:rsidRDefault="009B4545" w:rsidP="00326F06">
            <w:pPr>
              <w:spacing w:after="0" w:line="240" w:lineRule="auto"/>
              <w:ind w:firstLineChars="200" w:firstLine="32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xml:space="preserve">Garantias e Contragarantias Concedidas </w:t>
            </w:r>
          </w:p>
        </w:tc>
        <w:tc>
          <w:tcPr>
            <w:tcW w:w="775" w:type="dxa"/>
            <w:gridSpan w:val="2"/>
            <w:tcBorders>
              <w:top w:val="nil"/>
              <w:bottom w:val="nil"/>
              <w:right w:val="single" w:sz="8" w:space="0" w:color="auto"/>
            </w:tcBorders>
            <w:shd w:val="clear" w:color="auto" w:fill="auto"/>
            <w:noWrap/>
            <w:vAlign w:val="center"/>
          </w:tcPr>
          <w:p w14:paraId="4C4E349D" w14:textId="27FBC490" w:rsidR="009B4545" w:rsidRPr="009548D7" w:rsidRDefault="009B4545" w:rsidP="00326F06">
            <w:pPr>
              <w:spacing w:after="0" w:line="240" w:lineRule="auto"/>
              <w:jc w:val="center"/>
              <w:rPr>
                <w:rFonts w:ascii="Arial Narrow" w:eastAsia="Times New Roman" w:hAnsi="Arial Narrow" w:cs="Arial"/>
                <w:sz w:val="16"/>
                <w:szCs w:val="16"/>
                <w:lang w:eastAsia="pt-BR"/>
              </w:rPr>
            </w:pPr>
          </w:p>
        </w:tc>
        <w:tc>
          <w:tcPr>
            <w:tcW w:w="1063" w:type="dxa"/>
            <w:gridSpan w:val="2"/>
            <w:tcBorders>
              <w:top w:val="nil"/>
              <w:left w:val="nil"/>
              <w:bottom w:val="nil"/>
              <w:right w:val="single" w:sz="8" w:space="0" w:color="auto"/>
            </w:tcBorders>
            <w:shd w:val="clear" w:color="auto" w:fill="auto"/>
            <w:noWrap/>
            <w:vAlign w:val="center"/>
            <w:hideMark/>
          </w:tcPr>
          <w:p w14:paraId="6F454805" w14:textId="77777777" w:rsidR="009B4545" w:rsidRPr="009548D7" w:rsidRDefault="009B4545" w:rsidP="00326F06">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BPA.H084</w:t>
            </w:r>
          </w:p>
        </w:tc>
        <w:tc>
          <w:tcPr>
            <w:tcW w:w="1420" w:type="dxa"/>
            <w:gridSpan w:val="2"/>
            <w:tcBorders>
              <w:top w:val="nil"/>
              <w:left w:val="nil"/>
              <w:bottom w:val="nil"/>
              <w:right w:val="single" w:sz="8" w:space="0" w:color="auto"/>
            </w:tcBorders>
            <w:shd w:val="clear" w:color="auto" w:fill="auto"/>
            <w:noWrap/>
            <w:vAlign w:val="center"/>
            <w:hideMark/>
          </w:tcPr>
          <w:p w14:paraId="4FE8D19D" w14:textId="77777777" w:rsidR="009B4545" w:rsidRPr="009548D7" w:rsidRDefault="009B4545" w:rsidP="00326F06">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BPA.I084</w:t>
            </w:r>
          </w:p>
        </w:tc>
      </w:tr>
      <w:tr w:rsidR="009B4545" w:rsidRPr="009548D7" w14:paraId="07E1421E" w14:textId="77777777" w:rsidTr="0005315D">
        <w:trPr>
          <w:gridAfter w:val="1"/>
          <w:wAfter w:w="10" w:type="dxa"/>
          <w:trHeight w:val="255"/>
        </w:trPr>
        <w:tc>
          <w:tcPr>
            <w:tcW w:w="4410" w:type="dxa"/>
            <w:gridSpan w:val="2"/>
            <w:tcBorders>
              <w:top w:val="nil"/>
              <w:left w:val="single" w:sz="8" w:space="0" w:color="auto"/>
              <w:bottom w:val="nil"/>
            </w:tcBorders>
            <w:shd w:val="clear" w:color="auto" w:fill="auto"/>
            <w:noWrap/>
            <w:vAlign w:val="center"/>
            <w:hideMark/>
          </w:tcPr>
          <w:p w14:paraId="6F7BBC7D" w14:textId="77777777" w:rsidR="009B4545" w:rsidRPr="009548D7" w:rsidRDefault="009B4545" w:rsidP="00326F06">
            <w:pPr>
              <w:spacing w:after="0" w:line="240" w:lineRule="auto"/>
              <w:ind w:firstLineChars="200" w:firstLine="32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Direitos Conveniados e Outros Instrumentos Congêneres</w:t>
            </w:r>
          </w:p>
        </w:tc>
        <w:tc>
          <w:tcPr>
            <w:tcW w:w="767" w:type="dxa"/>
            <w:gridSpan w:val="2"/>
            <w:tcBorders>
              <w:top w:val="nil"/>
              <w:bottom w:val="nil"/>
              <w:right w:val="single" w:sz="8" w:space="0" w:color="auto"/>
            </w:tcBorders>
            <w:shd w:val="clear" w:color="auto" w:fill="auto"/>
            <w:noWrap/>
            <w:vAlign w:val="center"/>
          </w:tcPr>
          <w:p w14:paraId="78FAFF11" w14:textId="56F32AAB" w:rsidR="009B4545" w:rsidRPr="009548D7" w:rsidRDefault="009B4545" w:rsidP="00326F06">
            <w:pPr>
              <w:spacing w:after="0" w:line="240" w:lineRule="auto"/>
              <w:jc w:val="center"/>
              <w:rPr>
                <w:rFonts w:ascii="Arial Narrow" w:eastAsia="Times New Roman" w:hAnsi="Arial Narrow" w:cs="Arial"/>
                <w:sz w:val="16"/>
                <w:szCs w:val="16"/>
                <w:lang w:eastAsia="pt-BR"/>
              </w:rPr>
            </w:pPr>
          </w:p>
        </w:tc>
        <w:tc>
          <w:tcPr>
            <w:tcW w:w="1063" w:type="dxa"/>
            <w:gridSpan w:val="2"/>
            <w:tcBorders>
              <w:top w:val="nil"/>
              <w:left w:val="nil"/>
              <w:bottom w:val="nil"/>
              <w:right w:val="single" w:sz="8" w:space="0" w:color="auto"/>
            </w:tcBorders>
            <w:shd w:val="clear" w:color="auto" w:fill="auto"/>
            <w:noWrap/>
            <w:vAlign w:val="center"/>
            <w:hideMark/>
          </w:tcPr>
          <w:p w14:paraId="50183286" w14:textId="77777777" w:rsidR="009B4545" w:rsidRPr="009548D7" w:rsidRDefault="009B4545" w:rsidP="00326F06">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BPA.D085</w:t>
            </w:r>
          </w:p>
        </w:tc>
        <w:tc>
          <w:tcPr>
            <w:tcW w:w="1262" w:type="dxa"/>
            <w:gridSpan w:val="2"/>
            <w:tcBorders>
              <w:top w:val="nil"/>
              <w:left w:val="nil"/>
              <w:bottom w:val="nil"/>
              <w:right w:val="single" w:sz="8" w:space="0" w:color="auto"/>
            </w:tcBorders>
            <w:shd w:val="clear" w:color="auto" w:fill="auto"/>
            <w:noWrap/>
            <w:vAlign w:val="center"/>
            <w:hideMark/>
          </w:tcPr>
          <w:p w14:paraId="4B57288E" w14:textId="77777777" w:rsidR="009B4545" w:rsidRPr="009548D7" w:rsidRDefault="009B4545" w:rsidP="00326F06">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BPA.E085</w:t>
            </w:r>
          </w:p>
        </w:tc>
        <w:tc>
          <w:tcPr>
            <w:tcW w:w="4562" w:type="dxa"/>
            <w:gridSpan w:val="2"/>
            <w:tcBorders>
              <w:top w:val="nil"/>
              <w:left w:val="nil"/>
              <w:bottom w:val="nil"/>
            </w:tcBorders>
            <w:shd w:val="clear" w:color="000000" w:fill="FFFFFF"/>
            <w:noWrap/>
            <w:vAlign w:val="center"/>
            <w:hideMark/>
          </w:tcPr>
          <w:p w14:paraId="69BB9C4F" w14:textId="77777777" w:rsidR="009B4545" w:rsidRPr="009548D7" w:rsidRDefault="009B4545" w:rsidP="00326F06">
            <w:pPr>
              <w:spacing w:after="0" w:line="240" w:lineRule="auto"/>
              <w:ind w:firstLineChars="200" w:firstLine="32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xml:space="preserve">Obrigações Conveniadas e Outros Instrumentos Congêneres </w:t>
            </w:r>
          </w:p>
        </w:tc>
        <w:tc>
          <w:tcPr>
            <w:tcW w:w="775" w:type="dxa"/>
            <w:gridSpan w:val="2"/>
            <w:tcBorders>
              <w:top w:val="nil"/>
              <w:bottom w:val="nil"/>
              <w:right w:val="single" w:sz="8" w:space="0" w:color="auto"/>
            </w:tcBorders>
            <w:shd w:val="clear" w:color="auto" w:fill="auto"/>
            <w:noWrap/>
            <w:vAlign w:val="center"/>
          </w:tcPr>
          <w:p w14:paraId="5D6882E6" w14:textId="00B09618" w:rsidR="009B4545" w:rsidRPr="009548D7" w:rsidRDefault="009B4545" w:rsidP="00326F06">
            <w:pPr>
              <w:spacing w:after="0" w:line="240" w:lineRule="auto"/>
              <w:jc w:val="center"/>
              <w:rPr>
                <w:rFonts w:ascii="Arial Narrow" w:eastAsia="Times New Roman" w:hAnsi="Arial Narrow" w:cs="Arial"/>
                <w:sz w:val="16"/>
                <w:szCs w:val="16"/>
                <w:lang w:eastAsia="pt-BR"/>
              </w:rPr>
            </w:pPr>
          </w:p>
        </w:tc>
        <w:tc>
          <w:tcPr>
            <w:tcW w:w="1063" w:type="dxa"/>
            <w:gridSpan w:val="2"/>
            <w:tcBorders>
              <w:top w:val="nil"/>
              <w:left w:val="nil"/>
              <w:bottom w:val="nil"/>
              <w:right w:val="single" w:sz="8" w:space="0" w:color="auto"/>
            </w:tcBorders>
            <w:shd w:val="clear" w:color="auto" w:fill="auto"/>
            <w:noWrap/>
            <w:vAlign w:val="center"/>
            <w:hideMark/>
          </w:tcPr>
          <w:p w14:paraId="0D72A998" w14:textId="77777777" w:rsidR="009B4545" w:rsidRPr="009548D7" w:rsidRDefault="009B4545" w:rsidP="00326F06">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BPA.H085</w:t>
            </w:r>
          </w:p>
        </w:tc>
        <w:tc>
          <w:tcPr>
            <w:tcW w:w="1420" w:type="dxa"/>
            <w:gridSpan w:val="2"/>
            <w:tcBorders>
              <w:top w:val="nil"/>
              <w:left w:val="nil"/>
              <w:bottom w:val="nil"/>
              <w:right w:val="single" w:sz="8" w:space="0" w:color="auto"/>
            </w:tcBorders>
            <w:shd w:val="clear" w:color="auto" w:fill="auto"/>
            <w:noWrap/>
            <w:vAlign w:val="center"/>
            <w:hideMark/>
          </w:tcPr>
          <w:p w14:paraId="02E0DF40" w14:textId="77777777" w:rsidR="009B4545" w:rsidRPr="009548D7" w:rsidRDefault="009B4545" w:rsidP="00326F06">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BPA.I085</w:t>
            </w:r>
          </w:p>
        </w:tc>
      </w:tr>
      <w:tr w:rsidR="009B4545" w:rsidRPr="009548D7" w14:paraId="3FF38C87" w14:textId="77777777" w:rsidTr="0005315D">
        <w:trPr>
          <w:gridAfter w:val="1"/>
          <w:wAfter w:w="10" w:type="dxa"/>
          <w:trHeight w:val="255"/>
        </w:trPr>
        <w:tc>
          <w:tcPr>
            <w:tcW w:w="4410" w:type="dxa"/>
            <w:gridSpan w:val="2"/>
            <w:tcBorders>
              <w:top w:val="nil"/>
              <w:left w:val="single" w:sz="8" w:space="0" w:color="auto"/>
              <w:bottom w:val="nil"/>
            </w:tcBorders>
            <w:shd w:val="clear" w:color="auto" w:fill="auto"/>
            <w:noWrap/>
            <w:vAlign w:val="center"/>
            <w:hideMark/>
          </w:tcPr>
          <w:p w14:paraId="67B21E4A" w14:textId="77777777" w:rsidR="009B4545" w:rsidRPr="009548D7" w:rsidRDefault="009B4545" w:rsidP="00326F06">
            <w:pPr>
              <w:spacing w:after="0" w:line="240" w:lineRule="auto"/>
              <w:ind w:firstLineChars="200" w:firstLine="32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xml:space="preserve">Direitos Contratuais </w:t>
            </w:r>
          </w:p>
        </w:tc>
        <w:tc>
          <w:tcPr>
            <w:tcW w:w="767" w:type="dxa"/>
            <w:gridSpan w:val="2"/>
            <w:tcBorders>
              <w:top w:val="nil"/>
              <w:bottom w:val="nil"/>
              <w:right w:val="single" w:sz="8" w:space="0" w:color="auto"/>
            </w:tcBorders>
            <w:shd w:val="clear" w:color="auto" w:fill="auto"/>
            <w:noWrap/>
            <w:vAlign w:val="center"/>
          </w:tcPr>
          <w:p w14:paraId="3740DFDB" w14:textId="49B8BB10" w:rsidR="009B4545" w:rsidRPr="009548D7" w:rsidRDefault="009B4545" w:rsidP="00326F06">
            <w:pPr>
              <w:spacing w:after="0" w:line="240" w:lineRule="auto"/>
              <w:jc w:val="center"/>
              <w:rPr>
                <w:rFonts w:ascii="Arial Narrow" w:eastAsia="Times New Roman" w:hAnsi="Arial Narrow" w:cs="Arial"/>
                <w:sz w:val="16"/>
                <w:szCs w:val="16"/>
                <w:lang w:eastAsia="pt-BR"/>
              </w:rPr>
            </w:pPr>
          </w:p>
        </w:tc>
        <w:tc>
          <w:tcPr>
            <w:tcW w:w="1063" w:type="dxa"/>
            <w:gridSpan w:val="2"/>
            <w:tcBorders>
              <w:top w:val="nil"/>
              <w:left w:val="nil"/>
              <w:bottom w:val="nil"/>
              <w:right w:val="single" w:sz="8" w:space="0" w:color="auto"/>
            </w:tcBorders>
            <w:shd w:val="clear" w:color="auto" w:fill="auto"/>
            <w:noWrap/>
            <w:vAlign w:val="center"/>
            <w:hideMark/>
          </w:tcPr>
          <w:p w14:paraId="4ED89D17" w14:textId="77777777" w:rsidR="009B4545" w:rsidRPr="009548D7" w:rsidRDefault="009B4545" w:rsidP="00326F06">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BPA.D086</w:t>
            </w:r>
          </w:p>
        </w:tc>
        <w:tc>
          <w:tcPr>
            <w:tcW w:w="1262" w:type="dxa"/>
            <w:gridSpan w:val="2"/>
            <w:tcBorders>
              <w:top w:val="nil"/>
              <w:left w:val="nil"/>
              <w:bottom w:val="nil"/>
              <w:right w:val="single" w:sz="8" w:space="0" w:color="auto"/>
            </w:tcBorders>
            <w:shd w:val="clear" w:color="auto" w:fill="auto"/>
            <w:noWrap/>
            <w:vAlign w:val="center"/>
            <w:hideMark/>
          </w:tcPr>
          <w:p w14:paraId="670F4E99" w14:textId="77777777" w:rsidR="009B4545" w:rsidRPr="009548D7" w:rsidRDefault="009B4545" w:rsidP="00326F06">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BPA.E086</w:t>
            </w:r>
          </w:p>
        </w:tc>
        <w:tc>
          <w:tcPr>
            <w:tcW w:w="4562" w:type="dxa"/>
            <w:gridSpan w:val="2"/>
            <w:tcBorders>
              <w:top w:val="nil"/>
              <w:left w:val="nil"/>
              <w:bottom w:val="nil"/>
            </w:tcBorders>
            <w:shd w:val="clear" w:color="000000" w:fill="FFFFFF"/>
            <w:noWrap/>
            <w:vAlign w:val="center"/>
            <w:hideMark/>
          </w:tcPr>
          <w:p w14:paraId="51473C37" w14:textId="77777777" w:rsidR="009B4545" w:rsidRPr="009548D7" w:rsidRDefault="009B4545" w:rsidP="00326F06">
            <w:pPr>
              <w:spacing w:after="0" w:line="240" w:lineRule="auto"/>
              <w:ind w:firstLineChars="200" w:firstLine="32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Obrigações Contratuais</w:t>
            </w:r>
          </w:p>
        </w:tc>
        <w:tc>
          <w:tcPr>
            <w:tcW w:w="775" w:type="dxa"/>
            <w:gridSpan w:val="2"/>
            <w:tcBorders>
              <w:top w:val="nil"/>
              <w:bottom w:val="nil"/>
              <w:right w:val="single" w:sz="8" w:space="0" w:color="auto"/>
            </w:tcBorders>
            <w:shd w:val="clear" w:color="auto" w:fill="auto"/>
            <w:noWrap/>
            <w:vAlign w:val="center"/>
          </w:tcPr>
          <w:p w14:paraId="34DDF4C1" w14:textId="117AB8AA" w:rsidR="009B4545" w:rsidRPr="009548D7" w:rsidRDefault="009B4545" w:rsidP="00326F06">
            <w:pPr>
              <w:spacing w:after="0" w:line="240" w:lineRule="auto"/>
              <w:jc w:val="center"/>
              <w:rPr>
                <w:rFonts w:ascii="Arial Narrow" w:eastAsia="Times New Roman" w:hAnsi="Arial Narrow" w:cs="Arial"/>
                <w:sz w:val="16"/>
                <w:szCs w:val="16"/>
                <w:lang w:eastAsia="pt-BR"/>
              </w:rPr>
            </w:pPr>
          </w:p>
        </w:tc>
        <w:tc>
          <w:tcPr>
            <w:tcW w:w="1063" w:type="dxa"/>
            <w:gridSpan w:val="2"/>
            <w:tcBorders>
              <w:top w:val="nil"/>
              <w:left w:val="nil"/>
              <w:bottom w:val="nil"/>
              <w:right w:val="single" w:sz="8" w:space="0" w:color="auto"/>
            </w:tcBorders>
            <w:shd w:val="clear" w:color="auto" w:fill="auto"/>
            <w:noWrap/>
            <w:vAlign w:val="center"/>
            <w:hideMark/>
          </w:tcPr>
          <w:p w14:paraId="420363BC" w14:textId="77777777" w:rsidR="009B4545" w:rsidRPr="009548D7" w:rsidRDefault="009B4545" w:rsidP="00326F06">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BPA.H086</w:t>
            </w:r>
          </w:p>
        </w:tc>
        <w:tc>
          <w:tcPr>
            <w:tcW w:w="1420" w:type="dxa"/>
            <w:gridSpan w:val="2"/>
            <w:tcBorders>
              <w:top w:val="nil"/>
              <w:left w:val="nil"/>
              <w:bottom w:val="nil"/>
              <w:right w:val="single" w:sz="8" w:space="0" w:color="auto"/>
            </w:tcBorders>
            <w:shd w:val="clear" w:color="auto" w:fill="auto"/>
            <w:noWrap/>
            <w:vAlign w:val="center"/>
            <w:hideMark/>
          </w:tcPr>
          <w:p w14:paraId="1715F20D" w14:textId="77777777" w:rsidR="009B4545" w:rsidRPr="009548D7" w:rsidRDefault="009B4545" w:rsidP="00326F06">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BPA.I086</w:t>
            </w:r>
          </w:p>
        </w:tc>
      </w:tr>
      <w:tr w:rsidR="009B4545" w:rsidRPr="009548D7" w14:paraId="6C96E139" w14:textId="77777777" w:rsidTr="0005315D">
        <w:trPr>
          <w:gridAfter w:val="1"/>
          <w:wAfter w:w="10" w:type="dxa"/>
          <w:trHeight w:val="270"/>
        </w:trPr>
        <w:tc>
          <w:tcPr>
            <w:tcW w:w="4410" w:type="dxa"/>
            <w:gridSpan w:val="2"/>
            <w:tcBorders>
              <w:top w:val="nil"/>
              <w:left w:val="single" w:sz="8" w:space="0" w:color="auto"/>
              <w:bottom w:val="single" w:sz="8" w:space="0" w:color="auto"/>
            </w:tcBorders>
            <w:shd w:val="clear" w:color="auto" w:fill="auto"/>
            <w:noWrap/>
            <w:vAlign w:val="center"/>
            <w:hideMark/>
          </w:tcPr>
          <w:p w14:paraId="7D62EC88" w14:textId="77777777" w:rsidR="009B4545" w:rsidRPr="009548D7" w:rsidRDefault="009B4545" w:rsidP="00326F06">
            <w:pPr>
              <w:spacing w:after="0" w:line="240" w:lineRule="auto"/>
              <w:ind w:firstLineChars="200" w:firstLine="32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Outros Atos Potenciais Ativos</w:t>
            </w:r>
          </w:p>
        </w:tc>
        <w:tc>
          <w:tcPr>
            <w:tcW w:w="767" w:type="dxa"/>
            <w:gridSpan w:val="2"/>
            <w:tcBorders>
              <w:top w:val="nil"/>
              <w:bottom w:val="single" w:sz="8" w:space="0" w:color="auto"/>
              <w:right w:val="single" w:sz="8" w:space="0" w:color="auto"/>
            </w:tcBorders>
            <w:shd w:val="clear" w:color="auto" w:fill="auto"/>
            <w:noWrap/>
            <w:vAlign w:val="center"/>
          </w:tcPr>
          <w:p w14:paraId="57192746" w14:textId="4EED1F97" w:rsidR="009B4545" w:rsidRPr="009548D7" w:rsidRDefault="009B4545" w:rsidP="00326F06">
            <w:pPr>
              <w:spacing w:after="0" w:line="240" w:lineRule="auto"/>
              <w:jc w:val="center"/>
              <w:rPr>
                <w:rFonts w:ascii="Arial Narrow" w:eastAsia="Times New Roman" w:hAnsi="Arial Narrow" w:cs="Arial"/>
                <w:sz w:val="16"/>
                <w:szCs w:val="16"/>
                <w:lang w:eastAsia="pt-BR"/>
              </w:rPr>
            </w:pPr>
          </w:p>
        </w:tc>
        <w:tc>
          <w:tcPr>
            <w:tcW w:w="1063" w:type="dxa"/>
            <w:gridSpan w:val="2"/>
            <w:tcBorders>
              <w:top w:val="nil"/>
              <w:left w:val="nil"/>
              <w:bottom w:val="single" w:sz="8" w:space="0" w:color="auto"/>
              <w:right w:val="single" w:sz="8" w:space="0" w:color="auto"/>
            </w:tcBorders>
            <w:shd w:val="clear" w:color="auto" w:fill="auto"/>
            <w:noWrap/>
            <w:vAlign w:val="center"/>
            <w:hideMark/>
          </w:tcPr>
          <w:p w14:paraId="7B048AA8" w14:textId="77777777" w:rsidR="009B4545" w:rsidRPr="009548D7" w:rsidRDefault="009B4545" w:rsidP="00326F06">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BPA.D087</w:t>
            </w:r>
          </w:p>
        </w:tc>
        <w:tc>
          <w:tcPr>
            <w:tcW w:w="1262" w:type="dxa"/>
            <w:gridSpan w:val="2"/>
            <w:tcBorders>
              <w:top w:val="nil"/>
              <w:left w:val="nil"/>
              <w:bottom w:val="single" w:sz="8" w:space="0" w:color="auto"/>
              <w:right w:val="single" w:sz="8" w:space="0" w:color="auto"/>
            </w:tcBorders>
            <w:shd w:val="clear" w:color="auto" w:fill="auto"/>
            <w:noWrap/>
            <w:vAlign w:val="center"/>
            <w:hideMark/>
          </w:tcPr>
          <w:p w14:paraId="78485440" w14:textId="77777777" w:rsidR="009B4545" w:rsidRPr="009548D7" w:rsidRDefault="009B4545" w:rsidP="00326F06">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BPA.E087</w:t>
            </w:r>
          </w:p>
        </w:tc>
        <w:tc>
          <w:tcPr>
            <w:tcW w:w="4562" w:type="dxa"/>
            <w:gridSpan w:val="2"/>
            <w:tcBorders>
              <w:top w:val="nil"/>
              <w:left w:val="nil"/>
              <w:bottom w:val="single" w:sz="8" w:space="0" w:color="auto"/>
            </w:tcBorders>
            <w:shd w:val="clear" w:color="000000" w:fill="FFFFFF"/>
            <w:noWrap/>
            <w:vAlign w:val="center"/>
            <w:hideMark/>
          </w:tcPr>
          <w:p w14:paraId="09D519F5" w14:textId="77777777" w:rsidR="009B4545" w:rsidRPr="009548D7" w:rsidRDefault="009B4545" w:rsidP="00326F06">
            <w:pPr>
              <w:spacing w:after="0" w:line="240" w:lineRule="auto"/>
              <w:ind w:firstLineChars="200" w:firstLine="32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xml:space="preserve">Outros Atos Potenciais Passivos </w:t>
            </w:r>
          </w:p>
        </w:tc>
        <w:tc>
          <w:tcPr>
            <w:tcW w:w="775" w:type="dxa"/>
            <w:gridSpan w:val="2"/>
            <w:tcBorders>
              <w:top w:val="nil"/>
              <w:bottom w:val="single" w:sz="8" w:space="0" w:color="auto"/>
              <w:right w:val="single" w:sz="8" w:space="0" w:color="auto"/>
            </w:tcBorders>
            <w:shd w:val="clear" w:color="auto" w:fill="auto"/>
            <w:noWrap/>
            <w:vAlign w:val="center"/>
          </w:tcPr>
          <w:p w14:paraId="4F518579" w14:textId="2C0B101A" w:rsidR="009B4545" w:rsidRPr="009548D7" w:rsidRDefault="009B4545" w:rsidP="00326F06">
            <w:pPr>
              <w:spacing w:after="0" w:line="240" w:lineRule="auto"/>
              <w:jc w:val="center"/>
              <w:rPr>
                <w:rFonts w:ascii="Arial Narrow" w:eastAsia="Times New Roman" w:hAnsi="Arial Narrow" w:cs="Arial"/>
                <w:sz w:val="16"/>
                <w:szCs w:val="16"/>
                <w:lang w:eastAsia="pt-BR"/>
              </w:rPr>
            </w:pPr>
          </w:p>
        </w:tc>
        <w:tc>
          <w:tcPr>
            <w:tcW w:w="1063" w:type="dxa"/>
            <w:gridSpan w:val="2"/>
            <w:tcBorders>
              <w:top w:val="nil"/>
              <w:left w:val="nil"/>
              <w:bottom w:val="single" w:sz="8" w:space="0" w:color="auto"/>
              <w:right w:val="single" w:sz="8" w:space="0" w:color="auto"/>
            </w:tcBorders>
            <w:shd w:val="clear" w:color="auto" w:fill="auto"/>
            <w:noWrap/>
            <w:vAlign w:val="center"/>
            <w:hideMark/>
          </w:tcPr>
          <w:p w14:paraId="057A5903" w14:textId="77777777" w:rsidR="009B4545" w:rsidRPr="009548D7" w:rsidRDefault="009B4545" w:rsidP="00326F06">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BPA.H087</w:t>
            </w:r>
          </w:p>
        </w:tc>
        <w:tc>
          <w:tcPr>
            <w:tcW w:w="1420" w:type="dxa"/>
            <w:gridSpan w:val="2"/>
            <w:tcBorders>
              <w:top w:val="nil"/>
              <w:left w:val="nil"/>
              <w:bottom w:val="single" w:sz="8" w:space="0" w:color="auto"/>
              <w:right w:val="single" w:sz="8" w:space="0" w:color="auto"/>
            </w:tcBorders>
            <w:shd w:val="clear" w:color="auto" w:fill="auto"/>
            <w:noWrap/>
            <w:vAlign w:val="center"/>
            <w:hideMark/>
          </w:tcPr>
          <w:p w14:paraId="41B58AB4" w14:textId="77777777" w:rsidR="009B4545" w:rsidRPr="009548D7" w:rsidRDefault="009B4545" w:rsidP="00326F06">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BPA.I087</w:t>
            </w:r>
          </w:p>
        </w:tc>
      </w:tr>
    </w:tbl>
    <w:p w14:paraId="25FC3678" w14:textId="77777777" w:rsidR="003F0939" w:rsidRPr="009548D7" w:rsidRDefault="003F0939" w:rsidP="003F0939">
      <w:pPr>
        <w:spacing w:after="0" w:line="360" w:lineRule="auto"/>
        <w:jc w:val="both"/>
        <w:rPr>
          <w:rFonts w:ascii="Arial" w:hAnsi="Arial"/>
          <w:b/>
        </w:rPr>
      </w:pPr>
      <w:r w:rsidRPr="009548D7">
        <w:rPr>
          <w:rFonts w:ascii="Arial" w:hAnsi="Arial"/>
          <w:b/>
        </w:rPr>
        <w:lastRenderedPageBreak/>
        <w:t>Observações:</w:t>
      </w:r>
    </w:p>
    <w:p w14:paraId="57C2578F" w14:textId="77777777" w:rsidR="003F0939" w:rsidRPr="009548D7" w:rsidRDefault="003F0939" w:rsidP="003F0939">
      <w:pPr>
        <w:jc w:val="both"/>
        <w:rPr>
          <w:rFonts w:ascii="Arial" w:hAnsi="Arial"/>
        </w:rPr>
      </w:pPr>
      <w:r w:rsidRPr="009548D7">
        <w:rPr>
          <w:rFonts w:ascii="Arial" w:hAnsi="Arial"/>
        </w:rPr>
        <w:t>1. A elaboração do Balanço Patrimonial seguirá a metodologia especificada na IPC 04 (Instruções de Procedimentos Contábeis </w:t>
      </w:r>
      <w:r w:rsidRPr="009548D7">
        <w:rPr>
          <w:rFonts w:ascii="Arial" w:hAnsi="Arial"/>
        </w:rPr>
        <w:noBreakHyphen/>
        <w:t> STN) observada à classificação das contas contábeis pertencentes ao Plano de Contas do TCEES (CidadES).</w:t>
      </w:r>
    </w:p>
    <w:p w14:paraId="55A5EB1B" w14:textId="77777777" w:rsidR="003F0939" w:rsidRPr="009548D7" w:rsidRDefault="003F0939" w:rsidP="003F0939">
      <w:pPr>
        <w:jc w:val="both"/>
        <w:rPr>
          <w:rFonts w:ascii="Arial" w:hAnsi="Arial"/>
        </w:rPr>
      </w:pPr>
      <w:r w:rsidRPr="009548D7">
        <w:rPr>
          <w:rFonts w:ascii="Arial" w:hAnsi="Arial"/>
        </w:rPr>
        <w:t>2. Os campos BPA.H078, BPA.H051,  BPA.H054, BPA.H057, BPA.H058, BPA.H059, BPA.H060, BPA.H061, BPA.H070, BPA.I078, BPA.I051,  PA.I054, BPA.I057, BPA.I058, BPA.I059, BPA.I060, BPA.I061, BPA.I070 admitirão valores negativos.</w:t>
      </w:r>
    </w:p>
    <w:p w14:paraId="6F26E0A3" w14:textId="4184AE06" w:rsidR="0005315D" w:rsidRDefault="0005315D" w:rsidP="0005315D">
      <w:pPr>
        <w:keepNext/>
        <w:spacing w:after="0" w:line="240" w:lineRule="auto"/>
        <w:rPr>
          <w:rFonts w:ascii="Arial" w:eastAsia="Times New Roman" w:hAnsi="Arial" w:cs="Arial"/>
          <w:b/>
          <w:bCs/>
          <w:lang w:eastAsia="pt-BR"/>
        </w:rPr>
      </w:pPr>
    </w:p>
    <w:p w14:paraId="1A14E9BC" w14:textId="2F5784B3" w:rsidR="0005315D" w:rsidRDefault="0005315D" w:rsidP="0005315D">
      <w:pPr>
        <w:keepNext/>
        <w:spacing w:after="0" w:line="240" w:lineRule="auto"/>
        <w:rPr>
          <w:rFonts w:ascii="Arial" w:eastAsia="Times New Roman" w:hAnsi="Arial" w:cs="Arial"/>
          <w:b/>
          <w:bCs/>
          <w:lang w:eastAsia="pt-BR"/>
        </w:rPr>
      </w:pPr>
    </w:p>
    <w:p w14:paraId="4B8A91BB" w14:textId="77777777" w:rsidR="0005315D" w:rsidRDefault="0005315D" w:rsidP="0005315D">
      <w:pPr>
        <w:keepNext/>
        <w:spacing w:after="0" w:line="240" w:lineRule="auto"/>
        <w:rPr>
          <w:rFonts w:ascii="Arial" w:eastAsia="Times New Roman" w:hAnsi="Arial" w:cs="Arial"/>
          <w:b/>
          <w:bCs/>
          <w:lang w:eastAsia="pt-BR"/>
        </w:rPr>
      </w:pPr>
    </w:p>
    <w:p w14:paraId="04C0A958" w14:textId="4D19BAFA" w:rsidR="009B4545" w:rsidRPr="009B4545" w:rsidRDefault="009B4545" w:rsidP="0005315D">
      <w:pPr>
        <w:keepNext/>
        <w:spacing w:after="0" w:line="240" w:lineRule="auto"/>
        <w:jc w:val="center"/>
        <w:rPr>
          <w:rFonts w:ascii="Arial" w:eastAsia="Times New Roman" w:hAnsi="Arial" w:cs="Arial"/>
          <w:b/>
          <w:bCs/>
          <w:sz w:val="20"/>
          <w:szCs w:val="20"/>
          <w:lang w:eastAsia="pt-BR"/>
        </w:rPr>
      </w:pPr>
      <w:r w:rsidRPr="009B4545">
        <w:rPr>
          <w:rFonts w:ascii="Arial" w:eastAsia="Times New Roman" w:hAnsi="Arial" w:cs="Arial"/>
          <w:b/>
          <w:bCs/>
          <w:sz w:val="20"/>
          <w:szCs w:val="20"/>
          <w:lang w:eastAsia="pt-BR"/>
        </w:rPr>
        <w:t>TABELA 2 - BALANÇO PATRIMONIAL</w:t>
      </w:r>
    </w:p>
    <w:p w14:paraId="6E2D400D" w14:textId="77777777" w:rsidR="009B4545" w:rsidRDefault="009B4545" w:rsidP="009B4545">
      <w:pPr>
        <w:spacing w:after="0" w:line="240" w:lineRule="auto"/>
        <w:jc w:val="center"/>
        <w:rPr>
          <w:rFonts w:ascii="Arial" w:eastAsia="Times New Roman" w:hAnsi="Arial" w:cs="Arial"/>
          <w:b/>
          <w:bCs/>
          <w:sz w:val="20"/>
          <w:szCs w:val="20"/>
          <w:lang w:eastAsia="pt-BR"/>
        </w:rPr>
      </w:pPr>
      <w:r w:rsidRPr="009B4545">
        <w:rPr>
          <w:rFonts w:ascii="Arial" w:eastAsia="Times New Roman" w:hAnsi="Arial" w:cs="Arial"/>
          <w:b/>
          <w:bCs/>
          <w:sz w:val="20"/>
          <w:szCs w:val="20"/>
          <w:lang w:eastAsia="pt-BR"/>
        </w:rPr>
        <w:t>ESTADO</w:t>
      </w:r>
    </w:p>
    <w:p w14:paraId="58FF1D92" w14:textId="77777777" w:rsidR="001C4FCB" w:rsidRDefault="001C4FCB" w:rsidP="009B4545">
      <w:pPr>
        <w:spacing w:after="0" w:line="240" w:lineRule="auto"/>
        <w:jc w:val="center"/>
        <w:rPr>
          <w:rFonts w:ascii="Arial" w:eastAsia="Times New Roman" w:hAnsi="Arial" w:cs="Arial"/>
          <w:b/>
          <w:bCs/>
          <w:sz w:val="20"/>
          <w:szCs w:val="20"/>
          <w:lang w:eastAsia="pt-BR"/>
        </w:rPr>
      </w:pPr>
    </w:p>
    <w:p w14:paraId="78ED5A9A" w14:textId="5C36BB99" w:rsidR="001C4FCB" w:rsidRDefault="001C4FCB" w:rsidP="009B4545">
      <w:pPr>
        <w:spacing w:after="0" w:line="240" w:lineRule="auto"/>
        <w:jc w:val="center"/>
        <w:rPr>
          <w:rFonts w:ascii="Arial" w:eastAsia="Times New Roman" w:hAnsi="Arial" w:cs="Arial"/>
          <w:b/>
          <w:bCs/>
          <w:sz w:val="20"/>
          <w:szCs w:val="20"/>
          <w:lang w:eastAsia="pt-BR"/>
        </w:rPr>
      </w:pPr>
    </w:p>
    <w:tbl>
      <w:tblPr>
        <w:tblW w:w="15322" w:type="dxa"/>
        <w:tblInd w:w="-497" w:type="dxa"/>
        <w:tblCellMar>
          <w:left w:w="70" w:type="dxa"/>
          <w:right w:w="70" w:type="dxa"/>
        </w:tblCellMar>
        <w:tblLook w:val="04A0" w:firstRow="1" w:lastRow="0" w:firstColumn="1" w:lastColumn="0" w:noHBand="0" w:noVBand="1"/>
      </w:tblPr>
      <w:tblGrid>
        <w:gridCol w:w="4410"/>
        <w:gridCol w:w="767"/>
        <w:gridCol w:w="1063"/>
        <w:gridCol w:w="1262"/>
        <w:gridCol w:w="4562"/>
        <w:gridCol w:w="775"/>
        <w:gridCol w:w="1063"/>
        <w:gridCol w:w="1420"/>
      </w:tblGrid>
      <w:tr w:rsidR="00C77F0A" w:rsidRPr="009548D7" w14:paraId="5D2E0689" w14:textId="77777777" w:rsidTr="0015273C">
        <w:trPr>
          <w:trHeight w:val="270"/>
        </w:trPr>
        <w:tc>
          <w:tcPr>
            <w:tcW w:w="7502" w:type="dxa"/>
            <w:gridSpan w:val="4"/>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311BBD2C" w14:textId="77777777" w:rsidR="00C77F0A" w:rsidRPr="009548D7" w:rsidRDefault="00C77F0A" w:rsidP="0015273C">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ATIVO</w:t>
            </w:r>
          </w:p>
        </w:tc>
        <w:tc>
          <w:tcPr>
            <w:tcW w:w="7820" w:type="dxa"/>
            <w:gridSpan w:val="4"/>
            <w:tcBorders>
              <w:top w:val="single" w:sz="8" w:space="0" w:color="auto"/>
              <w:left w:val="nil"/>
              <w:bottom w:val="single" w:sz="8" w:space="0" w:color="auto"/>
              <w:right w:val="single" w:sz="8" w:space="0" w:color="auto"/>
            </w:tcBorders>
            <w:shd w:val="clear" w:color="000000" w:fill="D9D9D9"/>
            <w:noWrap/>
            <w:vAlign w:val="center"/>
            <w:hideMark/>
          </w:tcPr>
          <w:p w14:paraId="103505D9" w14:textId="77777777" w:rsidR="00C77F0A" w:rsidRPr="009548D7" w:rsidRDefault="00C77F0A" w:rsidP="0015273C">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PASSIVO E PATRIMÔNIO LÍQUIDO</w:t>
            </w:r>
          </w:p>
        </w:tc>
      </w:tr>
      <w:tr w:rsidR="00C77F0A" w:rsidRPr="009548D7" w14:paraId="504C8ADD" w14:textId="77777777" w:rsidTr="0015273C">
        <w:trPr>
          <w:trHeight w:val="270"/>
        </w:trPr>
        <w:tc>
          <w:tcPr>
            <w:tcW w:w="4410" w:type="dxa"/>
            <w:tcBorders>
              <w:top w:val="nil"/>
              <w:left w:val="single" w:sz="8" w:space="0" w:color="auto"/>
              <w:bottom w:val="single" w:sz="8" w:space="0" w:color="auto"/>
            </w:tcBorders>
            <w:shd w:val="clear" w:color="000000" w:fill="D9D9D9"/>
            <w:noWrap/>
            <w:vAlign w:val="center"/>
            <w:hideMark/>
          </w:tcPr>
          <w:p w14:paraId="49BD9228" w14:textId="77777777" w:rsidR="00C77F0A" w:rsidRPr="009548D7" w:rsidRDefault="00C77F0A" w:rsidP="0015273C">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Especificação</w:t>
            </w:r>
          </w:p>
        </w:tc>
        <w:tc>
          <w:tcPr>
            <w:tcW w:w="767" w:type="dxa"/>
            <w:tcBorders>
              <w:top w:val="nil"/>
              <w:bottom w:val="single" w:sz="8" w:space="0" w:color="auto"/>
              <w:right w:val="nil"/>
            </w:tcBorders>
            <w:shd w:val="clear" w:color="000000" w:fill="D9D9D9"/>
            <w:noWrap/>
            <w:vAlign w:val="center"/>
          </w:tcPr>
          <w:p w14:paraId="089CE0F3" w14:textId="77777777" w:rsidR="00C77F0A" w:rsidRPr="009548D7" w:rsidRDefault="00C77F0A" w:rsidP="0015273C">
            <w:pPr>
              <w:spacing w:after="0" w:line="240" w:lineRule="auto"/>
              <w:jc w:val="center"/>
              <w:rPr>
                <w:rFonts w:ascii="Arial Narrow" w:eastAsia="Times New Roman" w:hAnsi="Arial Narrow" w:cs="Arial"/>
                <w:b/>
                <w:bCs/>
                <w:sz w:val="16"/>
                <w:szCs w:val="16"/>
                <w:lang w:eastAsia="pt-BR"/>
              </w:rPr>
            </w:pPr>
          </w:p>
        </w:tc>
        <w:tc>
          <w:tcPr>
            <w:tcW w:w="1063" w:type="dxa"/>
            <w:tcBorders>
              <w:top w:val="nil"/>
              <w:left w:val="single" w:sz="8" w:space="0" w:color="auto"/>
              <w:bottom w:val="single" w:sz="8" w:space="0" w:color="auto"/>
              <w:right w:val="single" w:sz="8" w:space="0" w:color="auto"/>
            </w:tcBorders>
            <w:shd w:val="clear" w:color="000000" w:fill="D9D9D9"/>
            <w:noWrap/>
            <w:vAlign w:val="center"/>
            <w:hideMark/>
          </w:tcPr>
          <w:p w14:paraId="056E8AA5" w14:textId="77777777" w:rsidR="00C77F0A" w:rsidRPr="009548D7" w:rsidRDefault="00C77F0A" w:rsidP="0015273C">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Exercício Atual</w:t>
            </w:r>
          </w:p>
        </w:tc>
        <w:tc>
          <w:tcPr>
            <w:tcW w:w="1262" w:type="dxa"/>
            <w:tcBorders>
              <w:top w:val="nil"/>
              <w:left w:val="nil"/>
              <w:bottom w:val="single" w:sz="8" w:space="0" w:color="auto"/>
              <w:right w:val="single" w:sz="8" w:space="0" w:color="auto"/>
            </w:tcBorders>
            <w:shd w:val="clear" w:color="000000" w:fill="D9D9D9"/>
            <w:noWrap/>
            <w:vAlign w:val="center"/>
            <w:hideMark/>
          </w:tcPr>
          <w:p w14:paraId="7CC9908A" w14:textId="77777777" w:rsidR="00C77F0A" w:rsidRPr="009548D7" w:rsidRDefault="00C77F0A" w:rsidP="0015273C">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Exercício Anterior</w:t>
            </w:r>
          </w:p>
        </w:tc>
        <w:tc>
          <w:tcPr>
            <w:tcW w:w="4562" w:type="dxa"/>
            <w:tcBorders>
              <w:top w:val="nil"/>
              <w:left w:val="single" w:sz="4" w:space="0" w:color="auto"/>
              <w:bottom w:val="single" w:sz="8" w:space="0" w:color="auto"/>
            </w:tcBorders>
            <w:shd w:val="clear" w:color="000000" w:fill="D9D9D9"/>
            <w:noWrap/>
            <w:vAlign w:val="center"/>
            <w:hideMark/>
          </w:tcPr>
          <w:p w14:paraId="5BBAEB9A" w14:textId="77777777" w:rsidR="00C77F0A" w:rsidRPr="009548D7" w:rsidRDefault="00C77F0A" w:rsidP="0015273C">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Especificação</w:t>
            </w:r>
          </w:p>
        </w:tc>
        <w:tc>
          <w:tcPr>
            <w:tcW w:w="775" w:type="dxa"/>
            <w:tcBorders>
              <w:top w:val="nil"/>
              <w:bottom w:val="single" w:sz="8" w:space="0" w:color="auto"/>
              <w:right w:val="single" w:sz="8" w:space="0" w:color="auto"/>
            </w:tcBorders>
            <w:shd w:val="clear" w:color="000000" w:fill="D9D9D9"/>
            <w:noWrap/>
            <w:vAlign w:val="center"/>
          </w:tcPr>
          <w:p w14:paraId="2CED5B52" w14:textId="77777777" w:rsidR="00C77F0A" w:rsidRPr="009548D7" w:rsidRDefault="00C77F0A" w:rsidP="0015273C">
            <w:pPr>
              <w:spacing w:after="0" w:line="240" w:lineRule="auto"/>
              <w:jc w:val="center"/>
              <w:rPr>
                <w:rFonts w:ascii="Arial Narrow" w:eastAsia="Times New Roman" w:hAnsi="Arial Narrow" w:cs="Arial"/>
                <w:b/>
                <w:bCs/>
                <w:sz w:val="16"/>
                <w:szCs w:val="16"/>
                <w:lang w:eastAsia="pt-BR"/>
              </w:rPr>
            </w:pPr>
          </w:p>
        </w:tc>
        <w:tc>
          <w:tcPr>
            <w:tcW w:w="1063" w:type="dxa"/>
            <w:tcBorders>
              <w:top w:val="nil"/>
              <w:left w:val="nil"/>
              <w:bottom w:val="single" w:sz="8" w:space="0" w:color="auto"/>
              <w:right w:val="single" w:sz="8" w:space="0" w:color="auto"/>
            </w:tcBorders>
            <w:shd w:val="clear" w:color="000000" w:fill="D9D9D9"/>
            <w:noWrap/>
            <w:vAlign w:val="center"/>
            <w:hideMark/>
          </w:tcPr>
          <w:p w14:paraId="28D5339B" w14:textId="77777777" w:rsidR="00C77F0A" w:rsidRPr="009548D7" w:rsidRDefault="00C77F0A" w:rsidP="0015273C">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Exercício Atual</w:t>
            </w:r>
          </w:p>
        </w:tc>
        <w:tc>
          <w:tcPr>
            <w:tcW w:w="1420" w:type="dxa"/>
            <w:tcBorders>
              <w:top w:val="nil"/>
              <w:left w:val="nil"/>
              <w:bottom w:val="single" w:sz="8" w:space="0" w:color="auto"/>
              <w:right w:val="single" w:sz="8" w:space="0" w:color="auto"/>
            </w:tcBorders>
            <w:shd w:val="clear" w:color="000000" w:fill="D9D9D9"/>
            <w:noWrap/>
            <w:vAlign w:val="center"/>
            <w:hideMark/>
          </w:tcPr>
          <w:p w14:paraId="16297A7B" w14:textId="77777777" w:rsidR="00C77F0A" w:rsidRPr="009548D7" w:rsidRDefault="00C77F0A" w:rsidP="0015273C">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Exercício Anterior</w:t>
            </w:r>
          </w:p>
        </w:tc>
      </w:tr>
      <w:tr w:rsidR="00C77F0A" w:rsidRPr="009548D7" w14:paraId="771568BE" w14:textId="77777777" w:rsidTr="0015273C">
        <w:trPr>
          <w:trHeight w:val="255"/>
        </w:trPr>
        <w:tc>
          <w:tcPr>
            <w:tcW w:w="4410" w:type="dxa"/>
            <w:tcBorders>
              <w:top w:val="nil"/>
              <w:left w:val="single" w:sz="8" w:space="0" w:color="auto"/>
              <w:bottom w:val="nil"/>
            </w:tcBorders>
            <w:shd w:val="clear" w:color="auto" w:fill="auto"/>
            <w:noWrap/>
            <w:vAlign w:val="center"/>
            <w:hideMark/>
          </w:tcPr>
          <w:p w14:paraId="23781362" w14:textId="77777777" w:rsidR="00C77F0A" w:rsidRPr="009548D7" w:rsidRDefault="00C77F0A" w:rsidP="0015273C">
            <w:pPr>
              <w:spacing w:after="0" w:line="240" w:lineRule="auto"/>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ATIVO CIRCULANTE</w:t>
            </w:r>
          </w:p>
        </w:tc>
        <w:tc>
          <w:tcPr>
            <w:tcW w:w="767" w:type="dxa"/>
            <w:tcBorders>
              <w:top w:val="nil"/>
              <w:bottom w:val="nil"/>
              <w:right w:val="single" w:sz="8" w:space="0" w:color="auto"/>
            </w:tcBorders>
            <w:shd w:val="clear" w:color="auto" w:fill="auto"/>
            <w:noWrap/>
            <w:vAlign w:val="center"/>
          </w:tcPr>
          <w:p w14:paraId="508C5AEF" w14:textId="77777777" w:rsidR="00C77F0A" w:rsidRPr="009548D7" w:rsidRDefault="00C77F0A" w:rsidP="0015273C">
            <w:pPr>
              <w:spacing w:after="0" w:line="240" w:lineRule="auto"/>
              <w:jc w:val="center"/>
              <w:rPr>
                <w:rFonts w:ascii="Arial Narrow" w:eastAsia="Times New Roman" w:hAnsi="Arial Narrow" w:cs="Arial"/>
                <w:b/>
                <w:bCs/>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338975D7" w14:textId="77777777" w:rsidR="00C77F0A" w:rsidRPr="009548D7" w:rsidRDefault="00C77F0A" w:rsidP="0015273C">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BPA.D009</w:t>
            </w:r>
          </w:p>
        </w:tc>
        <w:tc>
          <w:tcPr>
            <w:tcW w:w="1262" w:type="dxa"/>
            <w:tcBorders>
              <w:top w:val="nil"/>
              <w:left w:val="nil"/>
              <w:bottom w:val="nil"/>
              <w:right w:val="single" w:sz="8" w:space="0" w:color="auto"/>
            </w:tcBorders>
            <w:shd w:val="clear" w:color="auto" w:fill="auto"/>
            <w:noWrap/>
            <w:vAlign w:val="center"/>
            <w:hideMark/>
          </w:tcPr>
          <w:p w14:paraId="3B7A8BFA" w14:textId="77777777" w:rsidR="00C77F0A" w:rsidRPr="009548D7" w:rsidRDefault="00C77F0A" w:rsidP="0015273C">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BPA.E009</w:t>
            </w:r>
          </w:p>
        </w:tc>
        <w:tc>
          <w:tcPr>
            <w:tcW w:w="4562" w:type="dxa"/>
            <w:tcBorders>
              <w:top w:val="nil"/>
              <w:left w:val="nil"/>
              <w:bottom w:val="nil"/>
            </w:tcBorders>
            <w:shd w:val="clear" w:color="auto" w:fill="auto"/>
            <w:noWrap/>
            <w:vAlign w:val="center"/>
            <w:hideMark/>
          </w:tcPr>
          <w:p w14:paraId="6758CB9C" w14:textId="77777777" w:rsidR="00C77F0A" w:rsidRPr="009548D7" w:rsidRDefault="00C77F0A" w:rsidP="0015273C">
            <w:pPr>
              <w:spacing w:after="0" w:line="240" w:lineRule="auto"/>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PASSIVO CIRCULANTE</w:t>
            </w:r>
          </w:p>
        </w:tc>
        <w:tc>
          <w:tcPr>
            <w:tcW w:w="775" w:type="dxa"/>
            <w:tcBorders>
              <w:top w:val="nil"/>
              <w:bottom w:val="nil"/>
              <w:right w:val="single" w:sz="8" w:space="0" w:color="auto"/>
            </w:tcBorders>
            <w:shd w:val="clear" w:color="auto" w:fill="auto"/>
            <w:noWrap/>
            <w:vAlign w:val="center"/>
          </w:tcPr>
          <w:p w14:paraId="54881F0D" w14:textId="77777777" w:rsidR="00C77F0A" w:rsidRPr="009548D7" w:rsidRDefault="00C77F0A" w:rsidP="0015273C">
            <w:pPr>
              <w:spacing w:after="0" w:line="240" w:lineRule="auto"/>
              <w:jc w:val="center"/>
              <w:rPr>
                <w:rFonts w:ascii="Arial Narrow" w:eastAsia="Times New Roman" w:hAnsi="Arial Narrow" w:cs="Arial"/>
                <w:b/>
                <w:bCs/>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051C0779" w14:textId="77777777" w:rsidR="00C77F0A" w:rsidRPr="009548D7" w:rsidRDefault="00C77F0A" w:rsidP="0015273C">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BPA.H009</w:t>
            </w:r>
          </w:p>
        </w:tc>
        <w:tc>
          <w:tcPr>
            <w:tcW w:w="1420" w:type="dxa"/>
            <w:tcBorders>
              <w:top w:val="nil"/>
              <w:left w:val="nil"/>
              <w:bottom w:val="nil"/>
              <w:right w:val="single" w:sz="8" w:space="0" w:color="auto"/>
            </w:tcBorders>
            <w:shd w:val="clear" w:color="auto" w:fill="auto"/>
            <w:noWrap/>
            <w:vAlign w:val="center"/>
            <w:hideMark/>
          </w:tcPr>
          <w:p w14:paraId="1F5766F4" w14:textId="77777777" w:rsidR="00C77F0A" w:rsidRPr="009548D7" w:rsidRDefault="00C77F0A" w:rsidP="0015273C">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BPA.I009</w:t>
            </w:r>
          </w:p>
        </w:tc>
      </w:tr>
      <w:tr w:rsidR="00C77F0A" w:rsidRPr="009548D7" w14:paraId="155E74E7" w14:textId="77777777" w:rsidTr="0015273C">
        <w:trPr>
          <w:trHeight w:val="255"/>
        </w:trPr>
        <w:tc>
          <w:tcPr>
            <w:tcW w:w="4410" w:type="dxa"/>
            <w:tcBorders>
              <w:top w:val="nil"/>
              <w:left w:val="single" w:sz="8" w:space="0" w:color="auto"/>
              <w:bottom w:val="nil"/>
            </w:tcBorders>
            <w:shd w:val="clear" w:color="auto" w:fill="auto"/>
            <w:noWrap/>
            <w:vAlign w:val="center"/>
            <w:hideMark/>
          </w:tcPr>
          <w:p w14:paraId="0B603384" w14:textId="77777777" w:rsidR="00C77F0A" w:rsidRPr="009548D7" w:rsidRDefault="00C77F0A" w:rsidP="0015273C">
            <w:pPr>
              <w:spacing w:after="0" w:line="240" w:lineRule="auto"/>
              <w:rPr>
                <w:rFonts w:ascii="Arial Narrow" w:eastAsia="Times New Roman" w:hAnsi="Arial Narrow" w:cs="Arial"/>
                <w:color w:val="0070C0"/>
                <w:sz w:val="16"/>
                <w:szCs w:val="16"/>
                <w:lang w:eastAsia="pt-BR"/>
              </w:rPr>
            </w:pPr>
            <w:r w:rsidRPr="009548D7">
              <w:rPr>
                <w:rFonts w:ascii="Arial Narrow" w:eastAsia="Times New Roman" w:hAnsi="Arial Narrow" w:cs="Arial"/>
                <w:color w:val="0070C0"/>
                <w:sz w:val="16"/>
                <w:szCs w:val="16"/>
                <w:lang w:eastAsia="pt-BR"/>
              </w:rPr>
              <w:t> </w:t>
            </w:r>
          </w:p>
        </w:tc>
        <w:tc>
          <w:tcPr>
            <w:tcW w:w="767" w:type="dxa"/>
            <w:tcBorders>
              <w:top w:val="nil"/>
              <w:bottom w:val="nil"/>
              <w:right w:val="single" w:sz="8" w:space="0" w:color="auto"/>
            </w:tcBorders>
            <w:shd w:val="clear" w:color="auto" w:fill="auto"/>
            <w:noWrap/>
            <w:vAlign w:val="center"/>
          </w:tcPr>
          <w:p w14:paraId="04A5176A" w14:textId="77777777" w:rsidR="00C77F0A" w:rsidRPr="009548D7" w:rsidRDefault="00C77F0A" w:rsidP="0015273C">
            <w:pPr>
              <w:spacing w:after="0" w:line="240" w:lineRule="auto"/>
              <w:rPr>
                <w:rFonts w:ascii="Arial Narrow" w:eastAsia="Times New Roman" w:hAnsi="Arial Narrow" w:cs="Arial"/>
                <w:color w:val="0070C0"/>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4C7FE36C" w14:textId="77777777" w:rsidR="00C77F0A" w:rsidRPr="009548D7" w:rsidRDefault="00C77F0A" w:rsidP="0015273C">
            <w:pPr>
              <w:spacing w:after="0" w:line="240" w:lineRule="auto"/>
              <w:rPr>
                <w:rFonts w:ascii="Arial Narrow" w:eastAsia="Times New Roman" w:hAnsi="Arial Narrow" w:cs="Arial"/>
                <w:color w:val="0070C0"/>
                <w:sz w:val="16"/>
                <w:szCs w:val="16"/>
                <w:lang w:eastAsia="pt-BR"/>
              </w:rPr>
            </w:pPr>
            <w:r w:rsidRPr="009548D7">
              <w:rPr>
                <w:rFonts w:ascii="Arial Narrow" w:eastAsia="Times New Roman" w:hAnsi="Arial Narrow" w:cs="Arial"/>
                <w:color w:val="0070C0"/>
                <w:sz w:val="16"/>
                <w:szCs w:val="16"/>
                <w:lang w:eastAsia="pt-BR"/>
              </w:rPr>
              <w:t> </w:t>
            </w:r>
          </w:p>
        </w:tc>
        <w:tc>
          <w:tcPr>
            <w:tcW w:w="1262" w:type="dxa"/>
            <w:tcBorders>
              <w:top w:val="nil"/>
              <w:left w:val="nil"/>
              <w:bottom w:val="nil"/>
              <w:right w:val="single" w:sz="8" w:space="0" w:color="auto"/>
            </w:tcBorders>
            <w:shd w:val="clear" w:color="auto" w:fill="auto"/>
            <w:noWrap/>
            <w:vAlign w:val="center"/>
            <w:hideMark/>
          </w:tcPr>
          <w:p w14:paraId="61447CA0" w14:textId="77777777" w:rsidR="00C77F0A" w:rsidRPr="009548D7" w:rsidRDefault="00C77F0A" w:rsidP="0015273C">
            <w:pPr>
              <w:spacing w:after="0" w:line="240" w:lineRule="auto"/>
              <w:rPr>
                <w:rFonts w:ascii="Arial Narrow" w:eastAsia="Times New Roman" w:hAnsi="Arial Narrow" w:cs="Arial"/>
                <w:color w:val="0070C0"/>
                <w:sz w:val="16"/>
                <w:szCs w:val="16"/>
                <w:lang w:eastAsia="pt-BR"/>
              </w:rPr>
            </w:pPr>
            <w:r w:rsidRPr="009548D7">
              <w:rPr>
                <w:rFonts w:ascii="Arial Narrow" w:eastAsia="Times New Roman" w:hAnsi="Arial Narrow" w:cs="Arial"/>
                <w:color w:val="0070C0"/>
                <w:sz w:val="16"/>
                <w:szCs w:val="16"/>
                <w:lang w:eastAsia="pt-BR"/>
              </w:rPr>
              <w:t> </w:t>
            </w:r>
          </w:p>
        </w:tc>
        <w:tc>
          <w:tcPr>
            <w:tcW w:w="4562" w:type="dxa"/>
            <w:tcBorders>
              <w:top w:val="nil"/>
              <w:left w:val="nil"/>
              <w:bottom w:val="nil"/>
            </w:tcBorders>
            <w:shd w:val="clear" w:color="auto" w:fill="auto"/>
            <w:noWrap/>
            <w:vAlign w:val="center"/>
            <w:hideMark/>
          </w:tcPr>
          <w:p w14:paraId="1B6DF087" w14:textId="77777777" w:rsidR="00C77F0A" w:rsidRPr="009548D7" w:rsidRDefault="00C77F0A" w:rsidP="0015273C">
            <w:pPr>
              <w:spacing w:after="0" w:line="240" w:lineRule="auto"/>
              <w:rPr>
                <w:rFonts w:ascii="Arial Narrow" w:eastAsia="Times New Roman" w:hAnsi="Arial Narrow" w:cs="Arial"/>
                <w:color w:val="0070C0"/>
                <w:sz w:val="16"/>
                <w:szCs w:val="16"/>
                <w:lang w:eastAsia="pt-BR"/>
              </w:rPr>
            </w:pPr>
          </w:p>
        </w:tc>
        <w:tc>
          <w:tcPr>
            <w:tcW w:w="775" w:type="dxa"/>
            <w:tcBorders>
              <w:top w:val="nil"/>
              <w:bottom w:val="nil"/>
              <w:right w:val="single" w:sz="8" w:space="0" w:color="auto"/>
            </w:tcBorders>
            <w:shd w:val="clear" w:color="auto" w:fill="auto"/>
            <w:noWrap/>
            <w:vAlign w:val="center"/>
          </w:tcPr>
          <w:p w14:paraId="63B11BD2"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1C852AA5"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w:t>
            </w:r>
          </w:p>
        </w:tc>
        <w:tc>
          <w:tcPr>
            <w:tcW w:w="1420" w:type="dxa"/>
            <w:tcBorders>
              <w:top w:val="nil"/>
              <w:left w:val="nil"/>
              <w:bottom w:val="nil"/>
              <w:right w:val="single" w:sz="8" w:space="0" w:color="auto"/>
            </w:tcBorders>
            <w:shd w:val="clear" w:color="auto" w:fill="auto"/>
            <w:noWrap/>
            <w:vAlign w:val="center"/>
            <w:hideMark/>
          </w:tcPr>
          <w:p w14:paraId="3BC1D03C"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w:t>
            </w:r>
          </w:p>
        </w:tc>
      </w:tr>
      <w:tr w:rsidR="00C77F0A" w:rsidRPr="009548D7" w14:paraId="6EF91769" w14:textId="77777777" w:rsidTr="0015273C">
        <w:trPr>
          <w:trHeight w:val="270"/>
        </w:trPr>
        <w:tc>
          <w:tcPr>
            <w:tcW w:w="4410" w:type="dxa"/>
            <w:tcBorders>
              <w:top w:val="nil"/>
              <w:left w:val="single" w:sz="8" w:space="0" w:color="auto"/>
              <w:bottom w:val="nil"/>
            </w:tcBorders>
            <w:shd w:val="clear" w:color="auto" w:fill="auto"/>
            <w:noWrap/>
            <w:vAlign w:val="center"/>
            <w:hideMark/>
          </w:tcPr>
          <w:p w14:paraId="63B772FF" w14:textId="77777777" w:rsidR="00C77F0A" w:rsidRPr="009548D7" w:rsidRDefault="00C77F0A" w:rsidP="0015273C">
            <w:pPr>
              <w:spacing w:after="0" w:line="240" w:lineRule="auto"/>
              <w:ind w:firstLineChars="100" w:firstLine="16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Caixa e Equivalentes de Caixa</w:t>
            </w:r>
          </w:p>
        </w:tc>
        <w:tc>
          <w:tcPr>
            <w:tcW w:w="767" w:type="dxa"/>
            <w:tcBorders>
              <w:top w:val="nil"/>
              <w:bottom w:val="nil"/>
              <w:right w:val="single" w:sz="8" w:space="0" w:color="auto"/>
            </w:tcBorders>
            <w:shd w:val="clear" w:color="auto" w:fill="auto"/>
            <w:noWrap/>
            <w:vAlign w:val="center"/>
          </w:tcPr>
          <w:p w14:paraId="0FC37981"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59190DAC"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BPA.D011</w:t>
            </w:r>
          </w:p>
        </w:tc>
        <w:tc>
          <w:tcPr>
            <w:tcW w:w="1262" w:type="dxa"/>
            <w:tcBorders>
              <w:top w:val="nil"/>
              <w:left w:val="nil"/>
              <w:bottom w:val="nil"/>
              <w:right w:val="single" w:sz="8" w:space="0" w:color="auto"/>
            </w:tcBorders>
            <w:shd w:val="clear" w:color="auto" w:fill="auto"/>
            <w:noWrap/>
            <w:vAlign w:val="center"/>
            <w:hideMark/>
          </w:tcPr>
          <w:p w14:paraId="312E6816"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BPA.E011</w:t>
            </w:r>
          </w:p>
        </w:tc>
        <w:tc>
          <w:tcPr>
            <w:tcW w:w="4562" w:type="dxa"/>
            <w:tcBorders>
              <w:top w:val="nil"/>
              <w:left w:val="nil"/>
              <w:bottom w:val="nil"/>
            </w:tcBorders>
            <w:shd w:val="clear" w:color="000000" w:fill="FFFFFF"/>
            <w:noWrap/>
            <w:vAlign w:val="center"/>
            <w:hideMark/>
          </w:tcPr>
          <w:p w14:paraId="5C5BDD58" w14:textId="77777777" w:rsidR="00C77F0A" w:rsidRPr="009548D7" w:rsidRDefault="00C77F0A" w:rsidP="0015273C">
            <w:pPr>
              <w:spacing w:after="0" w:line="240" w:lineRule="auto"/>
              <w:ind w:firstLineChars="100" w:firstLine="16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Obrigações Trabalhistas, Previdenciárias e Assistenciais a Pagar a Curto Prazo</w:t>
            </w:r>
          </w:p>
        </w:tc>
        <w:tc>
          <w:tcPr>
            <w:tcW w:w="775" w:type="dxa"/>
            <w:tcBorders>
              <w:top w:val="nil"/>
              <w:bottom w:val="nil"/>
              <w:right w:val="single" w:sz="8" w:space="0" w:color="auto"/>
            </w:tcBorders>
            <w:shd w:val="clear" w:color="auto" w:fill="auto"/>
            <w:noWrap/>
            <w:vAlign w:val="center"/>
          </w:tcPr>
          <w:p w14:paraId="4B477281"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0F008A2B"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BPA.H011</w:t>
            </w:r>
          </w:p>
        </w:tc>
        <w:tc>
          <w:tcPr>
            <w:tcW w:w="1420" w:type="dxa"/>
            <w:tcBorders>
              <w:top w:val="nil"/>
              <w:left w:val="nil"/>
              <w:bottom w:val="nil"/>
              <w:right w:val="single" w:sz="8" w:space="0" w:color="auto"/>
            </w:tcBorders>
            <w:shd w:val="clear" w:color="auto" w:fill="auto"/>
            <w:noWrap/>
            <w:vAlign w:val="center"/>
            <w:hideMark/>
          </w:tcPr>
          <w:p w14:paraId="22C15C27"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BPA.I011</w:t>
            </w:r>
          </w:p>
        </w:tc>
      </w:tr>
      <w:tr w:rsidR="00C77F0A" w:rsidRPr="009548D7" w14:paraId="47BA3BBD" w14:textId="77777777" w:rsidTr="0015273C">
        <w:trPr>
          <w:trHeight w:val="255"/>
        </w:trPr>
        <w:tc>
          <w:tcPr>
            <w:tcW w:w="4410" w:type="dxa"/>
            <w:tcBorders>
              <w:top w:val="nil"/>
              <w:left w:val="single" w:sz="8" w:space="0" w:color="auto"/>
              <w:bottom w:val="nil"/>
            </w:tcBorders>
            <w:shd w:val="clear" w:color="auto" w:fill="auto"/>
            <w:noWrap/>
            <w:vAlign w:val="center"/>
            <w:hideMark/>
          </w:tcPr>
          <w:p w14:paraId="65040FC7" w14:textId="77777777" w:rsidR="00C77F0A" w:rsidRPr="009548D7" w:rsidRDefault="00C77F0A" w:rsidP="0015273C">
            <w:pPr>
              <w:spacing w:after="0" w:line="240" w:lineRule="auto"/>
              <w:ind w:firstLineChars="100" w:firstLine="16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Créditos a Curto Prazo</w:t>
            </w:r>
          </w:p>
        </w:tc>
        <w:tc>
          <w:tcPr>
            <w:tcW w:w="767" w:type="dxa"/>
            <w:tcBorders>
              <w:top w:val="nil"/>
              <w:bottom w:val="nil"/>
              <w:right w:val="single" w:sz="8" w:space="0" w:color="auto"/>
            </w:tcBorders>
            <w:shd w:val="clear" w:color="auto" w:fill="auto"/>
            <w:noWrap/>
            <w:vAlign w:val="center"/>
          </w:tcPr>
          <w:p w14:paraId="67DE3037"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51EC8F89"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BPA.D012</w:t>
            </w:r>
          </w:p>
        </w:tc>
        <w:tc>
          <w:tcPr>
            <w:tcW w:w="1262" w:type="dxa"/>
            <w:tcBorders>
              <w:top w:val="nil"/>
              <w:left w:val="nil"/>
              <w:bottom w:val="nil"/>
              <w:right w:val="single" w:sz="8" w:space="0" w:color="auto"/>
            </w:tcBorders>
            <w:shd w:val="clear" w:color="auto" w:fill="auto"/>
            <w:noWrap/>
            <w:vAlign w:val="center"/>
            <w:hideMark/>
          </w:tcPr>
          <w:p w14:paraId="7B4B67A3"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BPA.E012</w:t>
            </w:r>
          </w:p>
        </w:tc>
        <w:tc>
          <w:tcPr>
            <w:tcW w:w="4562" w:type="dxa"/>
            <w:tcBorders>
              <w:top w:val="nil"/>
              <w:left w:val="nil"/>
              <w:bottom w:val="nil"/>
            </w:tcBorders>
            <w:shd w:val="clear" w:color="000000" w:fill="FFFFFF"/>
            <w:noWrap/>
            <w:vAlign w:val="center"/>
            <w:hideMark/>
          </w:tcPr>
          <w:p w14:paraId="16D3D57F" w14:textId="77777777" w:rsidR="00C77F0A" w:rsidRPr="009548D7" w:rsidRDefault="00C77F0A" w:rsidP="0015273C">
            <w:pPr>
              <w:spacing w:after="0" w:line="240" w:lineRule="auto"/>
              <w:ind w:firstLineChars="200" w:firstLine="32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Pessoal a Pagar</w:t>
            </w:r>
          </w:p>
        </w:tc>
        <w:tc>
          <w:tcPr>
            <w:tcW w:w="775" w:type="dxa"/>
            <w:tcBorders>
              <w:top w:val="nil"/>
              <w:bottom w:val="nil"/>
              <w:right w:val="single" w:sz="8" w:space="0" w:color="auto"/>
            </w:tcBorders>
            <w:shd w:val="clear" w:color="auto" w:fill="auto"/>
            <w:noWrap/>
            <w:vAlign w:val="center"/>
          </w:tcPr>
          <w:p w14:paraId="57B23796"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6B0B5626"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BPA.H012</w:t>
            </w:r>
          </w:p>
        </w:tc>
        <w:tc>
          <w:tcPr>
            <w:tcW w:w="1420" w:type="dxa"/>
            <w:tcBorders>
              <w:top w:val="nil"/>
              <w:left w:val="nil"/>
              <w:bottom w:val="nil"/>
              <w:right w:val="single" w:sz="8" w:space="0" w:color="auto"/>
            </w:tcBorders>
            <w:shd w:val="clear" w:color="auto" w:fill="auto"/>
            <w:noWrap/>
            <w:vAlign w:val="center"/>
            <w:hideMark/>
          </w:tcPr>
          <w:p w14:paraId="2CF4D5C9"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BPA.I012</w:t>
            </w:r>
          </w:p>
        </w:tc>
      </w:tr>
      <w:tr w:rsidR="00C77F0A" w:rsidRPr="009548D7" w14:paraId="47C3BDFC" w14:textId="77777777" w:rsidTr="0015273C">
        <w:trPr>
          <w:trHeight w:val="255"/>
        </w:trPr>
        <w:tc>
          <w:tcPr>
            <w:tcW w:w="4410" w:type="dxa"/>
            <w:tcBorders>
              <w:top w:val="nil"/>
              <w:left w:val="single" w:sz="8" w:space="0" w:color="auto"/>
              <w:bottom w:val="nil"/>
            </w:tcBorders>
            <w:shd w:val="clear" w:color="auto" w:fill="auto"/>
            <w:noWrap/>
            <w:vAlign w:val="center"/>
            <w:hideMark/>
          </w:tcPr>
          <w:p w14:paraId="4E929295" w14:textId="77777777" w:rsidR="00C77F0A" w:rsidRPr="009548D7" w:rsidRDefault="00C77F0A" w:rsidP="0015273C">
            <w:pPr>
              <w:spacing w:after="0" w:line="240" w:lineRule="auto"/>
              <w:ind w:firstLineChars="200" w:firstLine="32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Créditos Tributários a Receber</w:t>
            </w:r>
          </w:p>
        </w:tc>
        <w:tc>
          <w:tcPr>
            <w:tcW w:w="767" w:type="dxa"/>
            <w:tcBorders>
              <w:top w:val="nil"/>
              <w:bottom w:val="nil"/>
              <w:right w:val="single" w:sz="8" w:space="0" w:color="auto"/>
            </w:tcBorders>
            <w:shd w:val="clear" w:color="auto" w:fill="auto"/>
            <w:noWrap/>
            <w:vAlign w:val="center"/>
          </w:tcPr>
          <w:p w14:paraId="680E3E8F"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0582EB64"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BPA.D013</w:t>
            </w:r>
          </w:p>
        </w:tc>
        <w:tc>
          <w:tcPr>
            <w:tcW w:w="1262" w:type="dxa"/>
            <w:tcBorders>
              <w:top w:val="nil"/>
              <w:left w:val="nil"/>
              <w:bottom w:val="nil"/>
              <w:right w:val="single" w:sz="8" w:space="0" w:color="auto"/>
            </w:tcBorders>
            <w:shd w:val="clear" w:color="auto" w:fill="auto"/>
            <w:noWrap/>
            <w:vAlign w:val="center"/>
            <w:hideMark/>
          </w:tcPr>
          <w:p w14:paraId="0A8CFCF9"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BPA.E013</w:t>
            </w:r>
          </w:p>
        </w:tc>
        <w:tc>
          <w:tcPr>
            <w:tcW w:w="4562" w:type="dxa"/>
            <w:tcBorders>
              <w:top w:val="nil"/>
              <w:left w:val="nil"/>
              <w:bottom w:val="nil"/>
            </w:tcBorders>
            <w:shd w:val="clear" w:color="000000" w:fill="FFFFFF"/>
            <w:noWrap/>
            <w:vAlign w:val="center"/>
            <w:hideMark/>
          </w:tcPr>
          <w:p w14:paraId="5DD1A549" w14:textId="77777777" w:rsidR="00C77F0A" w:rsidRPr="009548D7" w:rsidRDefault="00C77F0A" w:rsidP="0015273C">
            <w:pPr>
              <w:spacing w:after="0" w:line="240" w:lineRule="auto"/>
              <w:ind w:firstLineChars="200" w:firstLine="32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Benefícios Previdenciários a Pagar</w:t>
            </w:r>
          </w:p>
        </w:tc>
        <w:tc>
          <w:tcPr>
            <w:tcW w:w="775" w:type="dxa"/>
            <w:tcBorders>
              <w:top w:val="nil"/>
              <w:bottom w:val="nil"/>
              <w:right w:val="single" w:sz="8" w:space="0" w:color="auto"/>
            </w:tcBorders>
            <w:shd w:val="clear" w:color="auto" w:fill="auto"/>
            <w:noWrap/>
            <w:vAlign w:val="center"/>
          </w:tcPr>
          <w:p w14:paraId="4EBED0A3"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0956E55E"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BPA.H013</w:t>
            </w:r>
          </w:p>
        </w:tc>
        <w:tc>
          <w:tcPr>
            <w:tcW w:w="1420" w:type="dxa"/>
            <w:tcBorders>
              <w:top w:val="nil"/>
              <w:left w:val="nil"/>
              <w:bottom w:val="nil"/>
              <w:right w:val="single" w:sz="8" w:space="0" w:color="auto"/>
            </w:tcBorders>
            <w:shd w:val="clear" w:color="auto" w:fill="auto"/>
            <w:noWrap/>
            <w:vAlign w:val="center"/>
            <w:hideMark/>
          </w:tcPr>
          <w:p w14:paraId="65AA0D0E"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BPA.I013</w:t>
            </w:r>
          </w:p>
        </w:tc>
      </w:tr>
      <w:tr w:rsidR="00C77F0A" w:rsidRPr="009548D7" w14:paraId="42987DF9" w14:textId="77777777" w:rsidTr="0015273C">
        <w:trPr>
          <w:trHeight w:val="255"/>
        </w:trPr>
        <w:tc>
          <w:tcPr>
            <w:tcW w:w="4410" w:type="dxa"/>
            <w:tcBorders>
              <w:top w:val="nil"/>
              <w:left w:val="single" w:sz="8" w:space="0" w:color="auto"/>
              <w:bottom w:val="nil"/>
            </w:tcBorders>
            <w:shd w:val="clear" w:color="auto" w:fill="auto"/>
            <w:noWrap/>
            <w:vAlign w:val="center"/>
            <w:hideMark/>
          </w:tcPr>
          <w:p w14:paraId="3B5C359A" w14:textId="77777777" w:rsidR="00C77F0A" w:rsidRPr="009548D7" w:rsidRDefault="00C77F0A" w:rsidP="0015273C">
            <w:pPr>
              <w:spacing w:after="0" w:line="240" w:lineRule="auto"/>
              <w:ind w:firstLineChars="200" w:firstLine="32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Clientes</w:t>
            </w:r>
          </w:p>
        </w:tc>
        <w:tc>
          <w:tcPr>
            <w:tcW w:w="767" w:type="dxa"/>
            <w:tcBorders>
              <w:top w:val="nil"/>
              <w:bottom w:val="nil"/>
              <w:right w:val="single" w:sz="8" w:space="0" w:color="auto"/>
            </w:tcBorders>
            <w:shd w:val="clear" w:color="auto" w:fill="auto"/>
            <w:noWrap/>
            <w:vAlign w:val="center"/>
          </w:tcPr>
          <w:p w14:paraId="5B81329B"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067F4019"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BPA.D014</w:t>
            </w:r>
          </w:p>
        </w:tc>
        <w:tc>
          <w:tcPr>
            <w:tcW w:w="1262" w:type="dxa"/>
            <w:tcBorders>
              <w:top w:val="nil"/>
              <w:left w:val="nil"/>
              <w:bottom w:val="nil"/>
              <w:right w:val="single" w:sz="8" w:space="0" w:color="auto"/>
            </w:tcBorders>
            <w:shd w:val="clear" w:color="auto" w:fill="auto"/>
            <w:noWrap/>
            <w:vAlign w:val="center"/>
            <w:hideMark/>
          </w:tcPr>
          <w:p w14:paraId="5ACAC61D"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BPA.E014</w:t>
            </w:r>
          </w:p>
        </w:tc>
        <w:tc>
          <w:tcPr>
            <w:tcW w:w="4562" w:type="dxa"/>
            <w:tcBorders>
              <w:top w:val="nil"/>
              <w:left w:val="nil"/>
              <w:bottom w:val="nil"/>
            </w:tcBorders>
            <w:shd w:val="clear" w:color="000000" w:fill="FFFFFF"/>
            <w:noWrap/>
            <w:vAlign w:val="center"/>
            <w:hideMark/>
          </w:tcPr>
          <w:p w14:paraId="301F27DE" w14:textId="77777777" w:rsidR="00C77F0A" w:rsidRPr="009548D7" w:rsidRDefault="00C77F0A" w:rsidP="0015273C">
            <w:pPr>
              <w:spacing w:after="0" w:line="240" w:lineRule="auto"/>
              <w:ind w:firstLineChars="200" w:firstLine="32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Benefícios Assistenciais a Pagar</w:t>
            </w:r>
          </w:p>
        </w:tc>
        <w:tc>
          <w:tcPr>
            <w:tcW w:w="775" w:type="dxa"/>
            <w:tcBorders>
              <w:top w:val="nil"/>
              <w:bottom w:val="nil"/>
              <w:right w:val="single" w:sz="8" w:space="0" w:color="auto"/>
            </w:tcBorders>
            <w:shd w:val="clear" w:color="auto" w:fill="auto"/>
            <w:noWrap/>
            <w:vAlign w:val="center"/>
          </w:tcPr>
          <w:p w14:paraId="3649479D"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344D3551"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BPA.H014</w:t>
            </w:r>
          </w:p>
        </w:tc>
        <w:tc>
          <w:tcPr>
            <w:tcW w:w="1420" w:type="dxa"/>
            <w:tcBorders>
              <w:top w:val="nil"/>
              <w:left w:val="nil"/>
              <w:bottom w:val="nil"/>
              <w:right w:val="single" w:sz="8" w:space="0" w:color="auto"/>
            </w:tcBorders>
            <w:shd w:val="clear" w:color="auto" w:fill="auto"/>
            <w:noWrap/>
            <w:vAlign w:val="center"/>
            <w:hideMark/>
          </w:tcPr>
          <w:p w14:paraId="110331C1"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BPA.I014</w:t>
            </w:r>
          </w:p>
        </w:tc>
      </w:tr>
      <w:tr w:rsidR="00C77F0A" w:rsidRPr="009548D7" w14:paraId="680810DB" w14:textId="77777777" w:rsidTr="0015273C">
        <w:trPr>
          <w:trHeight w:val="255"/>
        </w:trPr>
        <w:tc>
          <w:tcPr>
            <w:tcW w:w="4410" w:type="dxa"/>
            <w:tcBorders>
              <w:top w:val="nil"/>
              <w:left w:val="single" w:sz="8" w:space="0" w:color="auto"/>
              <w:bottom w:val="nil"/>
            </w:tcBorders>
            <w:shd w:val="clear" w:color="auto" w:fill="auto"/>
            <w:noWrap/>
            <w:vAlign w:val="center"/>
            <w:hideMark/>
          </w:tcPr>
          <w:p w14:paraId="6F259085" w14:textId="77777777" w:rsidR="00C77F0A" w:rsidRPr="009548D7" w:rsidRDefault="00C77F0A" w:rsidP="0015273C">
            <w:pPr>
              <w:spacing w:after="0" w:line="240" w:lineRule="auto"/>
              <w:ind w:firstLineChars="200" w:firstLine="32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Créditos de Transferências a Receber</w:t>
            </w:r>
          </w:p>
        </w:tc>
        <w:tc>
          <w:tcPr>
            <w:tcW w:w="767" w:type="dxa"/>
            <w:tcBorders>
              <w:top w:val="nil"/>
              <w:bottom w:val="nil"/>
              <w:right w:val="single" w:sz="8" w:space="0" w:color="auto"/>
            </w:tcBorders>
            <w:shd w:val="clear" w:color="auto" w:fill="auto"/>
            <w:noWrap/>
            <w:vAlign w:val="center"/>
          </w:tcPr>
          <w:p w14:paraId="0F264112"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499B01AA"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BPA.D015</w:t>
            </w:r>
          </w:p>
        </w:tc>
        <w:tc>
          <w:tcPr>
            <w:tcW w:w="1262" w:type="dxa"/>
            <w:tcBorders>
              <w:top w:val="nil"/>
              <w:left w:val="nil"/>
              <w:bottom w:val="nil"/>
              <w:right w:val="single" w:sz="8" w:space="0" w:color="auto"/>
            </w:tcBorders>
            <w:shd w:val="clear" w:color="auto" w:fill="auto"/>
            <w:noWrap/>
            <w:vAlign w:val="center"/>
            <w:hideMark/>
          </w:tcPr>
          <w:p w14:paraId="5A9BC474"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BPA.E015</w:t>
            </w:r>
          </w:p>
        </w:tc>
        <w:tc>
          <w:tcPr>
            <w:tcW w:w="4562" w:type="dxa"/>
            <w:tcBorders>
              <w:top w:val="nil"/>
              <w:left w:val="nil"/>
              <w:bottom w:val="nil"/>
            </w:tcBorders>
            <w:shd w:val="clear" w:color="000000" w:fill="FFFFFF"/>
            <w:noWrap/>
            <w:vAlign w:val="center"/>
            <w:hideMark/>
          </w:tcPr>
          <w:p w14:paraId="24CC6CFC" w14:textId="77777777" w:rsidR="00C77F0A" w:rsidRPr="009548D7" w:rsidRDefault="00C77F0A" w:rsidP="0015273C">
            <w:pPr>
              <w:spacing w:after="0" w:line="240" w:lineRule="auto"/>
              <w:ind w:firstLineChars="200" w:firstLine="32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Encargos Sociais a Pagar</w:t>
            </w:r>
          </w:p>
        </w:tc>
        <w:tc>
          <w:tcPr>
            <w:tcW w:w="775" w:type="dxa"/>
            <w:tcBorders>
              <w:top w:val="nil"/>
              <w:bottom w:val="nil"/>
              <w:right w:val="single" w:sz="8" w:space="0" w:color="auto"/>
            </w:tcBorders>
            <w:shd w:val="clear" w:color="auto" w:fill="auto"/>
            <w:noWrap/>
            <w:vAlign w:val="center"/>
          </w:tcPr>
          <w:p w14:paraId="517DC707"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61493C52"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BPA.H015</w:t>
            </w:r>
          </w:p>
        </w:tc>
        <w:tc>
          <w:tcPr>
            <w:tcW w:w="1420" w:type="dxa"/>
            <w:tcBorders>
              <w:top w:val="nil"/>
              <w:left w:val="nil"/>
              <w:bottom w:val="nil"/>
              <w:right w:val="single" w:sz="8" w:space="0" w:color="auto"/>
            </w:tcBorders>
            <w:shd w:val="clear" w:color="auto" w:fill="auto"/>
            <w:noWrap/>
            <w:vAlign w:val="center"/>
            <w:hideMark/>
          </w:tcPr>
          <w:p w14:paraId="519BFB64"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BPA.I015</w:t>
            </w:r>
          </w:p>
        </w:tc>
      </w:tr>
      <w:tr w:rsidR="00C77F0A" w:rsidRPr="009548D7" w14:paraId="49C4D435" w14:textId="77777777" w:rsidTr="0015273C">
        <w:trPr>
          <w:trHeight w:val="255"/>
        </w:trPr>
        <w:tc>
          <w:tcPr>
            <w:tcW w:w="4410" w:type="dxa"/>
            <w:tcBorders>
              <w:top w:val="nil"/>
              <w:left w:val="single" w:sz="8" w:space="0" w:color="auto"/>
              <w:bottom w:val="nil"/>
            </w:tcBorders>
            <w:shd w:val="clear" w:color="auto" w:fill="auto"/>
            <w:noWrap/>
            <w:vAlign w:val="center"/>
            <w:hideMark/>
          </w:tcPr>
          <w:p w14:paraId="187B801F" w14:textId="77777777" w:rsidR="00C77F0A" w:rsidRPr="009548D7" w:rsidRDefault="00C77F0A" w:rsidP="0015273C">
            <w:pPr>
              <w:spacing w:after="0" w:line="240" w:lineRule="auto"/>
              <w:ind w:firstLineChars="200" w:firstLine="32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Empréstimos e Financiamentos Concedidos</w:t>
            </w:r>
          </w:p>
        </w:tc>
        <w:tc>
          <w:tcPr>
            <w:tcW w:w="767" w:type="dxa"/>
            <w:tcBorders>
              <w:top w:val="nil"/>
              <w:bottom w:val="nil"/>
              <w:right w:val="single" w:sz="8" w:space="0" w:color="auto"/>
            </w:tcBorders>
            <w:shd w:val="clear" w:color="auto" w:fill="auto"/>
            <w:noWrap/>
            <w:vAlign w:val="center"/>
          </w:tcPr>
          <w:p w14:paraId="54EEE194"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6B50CD12"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BPA.D016</w:t>
            </w:r>
          </w:p>
        </w:tc>
        <w:tc>
          <w:tcPr>
            <w:tcW w:w="1262" w:type="dxa"/>
            <w:tcBorders>
              <w:top w:val="nil"/>
              <w:left w:val="nil"/>
              <w:bottom w:val="nil"/>
              <w:right w:val="single" w:sz="8" w:space="0" w:color="auto"/>
            </w:tcBorders>
            <w:shd w:val="clear" w:color="auto" w:fill="auto"/>
            <w:noWrap/>
            <w:vAlign w:val="center"/>
            <w:hideMark/>
          </w:tcPr>
          <w:p w14:paraId="15D8115F"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BPA.E016</w:t>
            </w:r>
          </w:p>
        </w:tc>
        <w:tc>
          <w:tcPr>
            <w:tcW w:w="4562" w:type="dxa"/>
            <w:tcBorders>
              <w:top w:val="nil"/>
              <w:left w:val="nil"/>
              <w:bottom w:val="nil"/>
            </w:tcBorders>
            <w:shd w:val="clear" w:color="auto" w:fill="auto"/>
            <w:noWrap/>
            <w:vAlign w:val="center"/>
            <w:hideMark/>
          </w:tcPr>
          <w:p w14:paraId="1D1F174C" w14:textId="77777777" w:rsidR="00C77F0A" w:rsidRPr="009548D7" w:rsidRDefault="00C77F0A" w:rsidP="0015273C">
            <w:pPr>
              <w:spacing w:after="0" w:line="240" w:lineRule="auto"/>
              <w:ind w:firstLineChars="100" w:firstLine="16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Empréstimos e Financiamentos a Curto Prazo</w:t>
            </w:r>
          </w:p>
        </w:tc>
        <w:tc>
          <w:tcPr>
            <w:tcW w:w="775" w:type="dxa"/>
            <w:tcBorders>
              <w:top w:val="nil"/>
              <w:bottom w:val="nil"/>
              <w:right w:val="single" w:sz="8" w:space="0" w:color="auto"/>
            </w:tcBorders>
            <w:shd w:val="clear" w:color="auto" w:fill="auto"/>
            <w:noWrap/>
            <w:vAlign w:val="center"/>
          </w:tcPr>
          <w:p w14:paraId="4CCD7169"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0084A8D5"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BPA.H016</w:t>
            </w:r>
          </w:p>
        </w:tc>
        <w:tc>
          <w:tcPr>
            <w:tcW w:w="1420" w:type="dxa"/>
            <w:tcBorders>
              <w:top w:val="nil"/>
              <w:left w:val="nil"/>
              <w:bottom w:val="nil"/>
              <w:right w:val="single" w:sz="8" w:space="0" w:color="auto"/>
            </w:tcBorders>
            <w:shd w:val="clear" w:color="auto" w:fill="auto"/>
            <w:noWrap/>
            <w:vAlign w:val="center"/>
            <w:hideMark/>
          </w:tcPr>
          <w:p w14:paraId="7C4DA521"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BPA.I016</w:t>
            </w:r>
          </w:p>
        </w:tc>
      </w:tr>
      <w:tr w:rsidR="00C77F0A" w:rsidRPr="009548D7" w14:paraId="3687A292" w14:textId="77777777" w:rsidTr="0015273C">
        <w:trPr>
          <w:trHeight w:val="255"/>
        </w:trPr>
        <w:tc>
          <w:tcPr>
            <w:tcW w:w="4410" w:type="dxa"/>
            <w:tcBorders>
              <w:top w:val="nil"/>
              <w:left w:val="single" w:sz="8" w:space="0" w:color="auto"/>
              <w:bottom w:val="nil"/>
            </w:tcBorders>
            <w:shd w:val="clear" w:color="auto" w:fill="auto"/>
            <w:noWrap/>
            <w:vAlign w:val="center"/>
            <w:hideMark/>
          </w:tcPr>
          <w:p w14:paraId="1F0DC5F4" w14:textId="77777777" w:rsidR="00C77F0A" w:rsidRPr="009548D7" w:rsidRDefault="00C77F0A" w:rsidP="0015273C">
            <w:pPr>
              <w:spacing w:after="0" w:line="240" w:lineRule="auto"/>
              <w:ind w:firstLineChars="200" w:firstLine="32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Dívida Ativa Tributária</w:t>
            </w:r>
          </w:p>
        </w:tc>
        <w:tc>
          <w:tcPr>
            <w:tcW w:w="767" w:type="dxa"/>
            <w:tcBorders>
              <w:top w:val="nil"/>
              <w:bottom w:val="nil"/>
              <w:right w:val="single" w:sz="8" w:space="0" w:color="auto"/>
            </w:tcBorders>
            <w:shd w:val="clear" w:color="auto" w:fill="auto"/>
            <w:noWrap/>
            <w:vAlign w:val="center"/>
          </w:tcPr>
          <w:p w14:paraId="6E6FED2A"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56EA680E"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BPA.D017</w:t>
            </w:r>
          </w:p>
        </w:tc>
        <w:tc>
          <w:tcPr>
            <w:tcW w:w="1262" w:type="dxa"/>
            <w:tcBorders>
              <w:top w:val="nil"/>
              <w:left w:val="nil"/>
              <w:bottom w:val="nil"/>
              <w:right w:val="single" w:sz="8" w:space="0" w:color="auto"/>
            </w:tcBorders>
            <w:shd w:val="clear" w:color="auto" w:fill="auto"/>
            <w:noWrap/>
            <w:vAlign w:val="center"/>
            <w:hideMark/>
          </w:tcPr>
          <w:p w14:paraId="79A6CE67"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BPA.E017</w:t>
            </w:r>
          </w:p>
        </w:tc>
        <w:tc>
          <w:tcPr>
            <w:tcW w:w="4562" w:type="dxa"/>
            <w:tcBorders>
              <w:top w:val="nil"/>
              <w:left w:val="nil"/>
              <w:bottom w:val="nil"/>
            </w:tcBorders>
            <w:shd w:val="clear" w:color="auto" w:fill="auto"/>
            <w:noWrap/>
            <w:vAlign w:val="center"/>
            <w:hideMark/>
          </w:tcPr>
          <w:p w14:paraId="0F494626" w14:textId="77777777" w:rsidR="00C77F0A" w:rsidRPr="009548D7" w:rsidRDefault="00C77F0A" w:rsidP="0015273C">
            <w:pPr>
              <w:spacing w:after="0" w:line="240" w:lineRule="auto"/>
              <w:ind w:firstLineChars="100" w:firstLine="16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Fornecedores e Contas a Pagar a Curto Prazo</w:t>
            </w:r>
          </w:p>
        </w:tc>
        <w:tc>
          <w:tcPr>
            <w:tcW w:w="775" w:type="dxa"/>
            <w:tcBorders>
              <w:top w:val="nil"/>
              <w:bottom w:val="nil"/>
              <w:right w:val="single" w:sz="8" w:space="0" w:color="auto"/>
            </w:tcBorders>
            <w:shd w:val="clear" w:color="auto" w:fill="auto"/>
            <w:noWrap/>
            <w:vAlign w:val="center"/>
          </w:tcPr>
          <w:p w14:paraId="0914D5AF"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7F563EB0"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BPA.H017</w:t>
            </w:r>
          </w:p>
        </w:tc>
        <w:tc>
          <w:tcPr>
            <w:tcW w:w="1420" w:type="dxa"/>
            <w:tcBorders>
              <w:top w:val="nil"/>
              <w:left w:val="nil"/>
              <w:bottom w:val="nil"/>
              <w:right w:val="single" w:sz="8" w:space="0" w:color="auto"/>
            </w:tcBorders>
            <w:shd w:val="clear" w:color="auto" w:fill="auto"/>
            <w:noWrap/>
            <w:vAlign w:val="center"/>
            <w:hideMark/>
          </w:tcPr>
          <w:p w14:paraId="2AAFD4E8"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BPA.I017</w:t>
            </w:r>
          </w:p>
        </w:tc>
      </w:tr>
      <w:tr w:rsidR="00C77F0A" w:rsidRPr="009548D7" w14:paraId="3423368E" w14:textId="77777777" w:rsidTr="0015273C">
        <w:trPr>
          <w:trHeight w:val="255"/>
        </w:trPr>
        <w:tc>
          <w:tcPr>
            <w:tcW w:w="4410" w:type="dxa"/>
            <w:tcBorders>
              <w:top w:val="nil"/>
              <w:left w:val="single" w:sz="8" w:space="0" w:color="auto"/>
              <w:bottom w:val="nil"/>
            </w:tcBorders>
            <w:shd w:val="clear" w:color="auto" w:fill="auto"/>
            <w:noWrap/>
            <w:vAlign w:val="center"/>
            <w:hideMark/>
          </w:tcPr>
          <w:p w14:paraId="0C749029" w14:textId="77777777" w:rsidR="00C77F0A" w:rsidRPr="009548D7" w:rsidRDefault="00C77F0A" w:rsidP="0015273C">
            <w:pPr>
              <w:spacing w:after="0" w:line="240" w:lineRule="auto"/>
              <w:ind w:firstLineChars="200" w:firstLine="32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Dívida Ativa Não Tributária</w:t>
            </w:r>
          </w:p>
        </w:tc>
        <w:tc>
          <w:tcPr>
            <w:tcW w:w="767" w:type="dxa"/>
            <w:tcBorders>
              <w:top w:val="nil"/>
              <w:bottom w:val="nil"/>
              <w:right w:val="single" w:sz="8" w:space="0" w:color="auto"/>
            </w:tcBorders>
            <w:shd w:val="clear" w:color="auto" w:fill="auto"/>
            <w:noWrap/>
            <w:vAlign w:val="center"/>
          </w:tcPr>
          <w:p w14:paraId="6ECB358E"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04D27F6D"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BPA.D018</w:t>
            </w:r>
          </w:p>
        </w:tc>
        <w:tc>
          <w:tcPr>
            <w:tcW w:w="1262" w:type="dxa"/>
            <w:tcBorders>
              <w:top w:val="nil"/>
              <w:left w:val="nil"/>
              <w:bottom w:val="nil"/>
              <w:right w:val="single" w:sz="8" w:space="0" w:color="auto"/>
            </w:tcBorders>
            <w:shd w:val="clear" w:color="auto" w:fill="auto"/>
            <w:noWrap/>
            <w:vAlign w:val="center"/>
            <w:hideMark/>
          </w:tcPr>
          <w:p w14:paraId="1A6F2F5F"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BPA.E018</w:t>
            </w:r>
          </w:p>
        </w:tc>
        <w:tc>
          <w:tcPr>
            <w:tcW w:w="4562" w:type="dxa"/>
            <w:tcBorders>
              <w:top w:val="nil"/>
              <w:left w:val="nil"/>
              <w:bottom w:val="nil"/>
            </w:tcBorders>
            <w:shd w:val="clear" w:color="auto" w:fill="auto"/>
            <w:noWrap/>
            <w:vAlign w:val="center"/>
            <w:hideMark/>
          </w:tcPr>
          <w:p w14:paraId="367920E2" w14:textId="77777777" w:rsidR="00C77F0A" w:rsidRPr="009548D7" w:rsidRDefault="00C77F0A" w:rsidP="0015273C">
            <w:pPr>
              <w:spacing w:after="0" w:line="240" w:lineRule="auto"/>
              <w:ind w:firstLineChars="100" w:firstLine="16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Obrigações Fiscais a Curto Prazo</w:t>
            </w:r>
          </w:p>
        </w:tc>
        <w:tc>
          <w:tcPr>
            <w:tcW w:w="775" w:type="dxa"/>
            <w:tcBorders>
              <w:top w:val="nil"/>
              <w:bottom w:val="nil"/>
              <w:right w:val="single" w:sz="8" w:space="0" w:color="auto"/>
            </w:tcBorders>
            <w:shd w:val="clear" w:color="auto" w:fill="auto"/>
            <w:noWrap/>
            <w:vAlign w:val="center"/>
          </w:tcPr>
          <w:p w14:paraId="5FEF61FB"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7D8EB8E4"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BPA.H018</w:t>
            </w:r>
          </w:p>
        </w:tc>
        <w:tc>
          <w:tcPr>
            <w:tcW w:w="1420" w:type="dxa"/>
            <w:tcBorders>
              <w:top w:val="nil"/>
              <w:left w:val="nil"/>
              <w:bottom w:val="nil"/>
              <w:right w:val="single" w:sz="8" w:space="0" w:color="auto"/>
            </w:tcBorders>
            <w:shd w:val="clear" w:color="auto" w:fill="auto"/>
            <w:noWrap/>
            <w:vAlign w:val="center"/>
            <w:hideMark/>
          </w:tcPr>
          <w:p w14:paraId="6757F371"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BPA.I018</w:t>
            </w:r>
          </w:p>
        </w:tc>
      </w:tr>
      <w:tr w:rsidR="00C77F0A" w:rsidRPr="009548D7" w14:paraId="21D108F0" w14:textId="77777777" w:rsidTr="0015273C">
        <w:trPr>
          <w:trHeight w:val="255"/>
        </w:trPr>
        <w:tc>
          <w:tcPr>
            <w:tcW w:w="4410" w:type="dxa"/>
            <w:tcBorders>
              <w:top w:val="nil"/>
              <w:left w:val="single" w:sz="8" w:space="0" w:color="auto"/>
              <w:bottom w:val="nil"/>
            </w:tcBorders>
            <w:shd w:val="clear" w:color="auto" w:fill="auto"/>
            <w:noWrap/>
            <w:vAlign w:val="center"/>
          </w:tcPr>
          <w:p w14:paraId="45F0ACC5" w14:textId="77777777" w:rsidR="00C77F0A" w:rsidRPr="009548D7" w:rsidRDefault="00C77F0A" w:rsidP="0015273C">
            <w:pPr>
              <w:spacing w:after="0" w:line="240" w:lineRule="auto"/>
              <w:ind w:firstLineChars="200" w:firstLine="32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Ajuste de Perdas de Créditos a Curto Prazo</w:t>
            </w:r>
          </w:p>
        </w:tc>
        <w:tc>
          <w:tcPr>
            <w:tcW w:w="767" w:type="dxa"/>
            <w:tcBorders>
              <w:top w:val="nil"/>
              <w:bottom w:val="nil"/>
              <w:right w:val="single" w:sz="8" w:space="0" w:color="auto"/>
            </w:tcBorders>
            <w:shd w:val="clear" w:color="auto" w:fill="auto"/>
            <w:noWrap/>
            <w:vAlign w:val="center"/>
          </w:tcPr>
          <w:p w14:paraId="3D20CA79"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tcPr>
          <w:p w14:paraId="2E0453AF"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BPA.D019</w:t>
            </w:r>
          </w:p>
        </w:tc>
        <w:tc>
          <w:tcPr>
            <w:tcW w:w="1262" w:type="dxa"/>
            <w:tcBorders>
              <w:top w:val="nil"/>
              <w:left w:val="nil"/>
              <w:bottom w:val="nil"/>
              <w:right w:val="single" w:sz="8" w:space="0" w:color="auto"/>
            </w:tcBorders>
            <w:shd w:val="clear" w:color="auto" w:fill="auto"/>
            <w:noWrap/>
            <w:vAlign w:val="center"/>
          </w:tcPr>
          <w:p w14:paraId="770B1E3D"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BPA.E019</w:t>
            </w:r>
          </w:p>
        </w:tc>
        <w:tc>
          <w:tcPr>
            <w:tcW w:w="4562" w:type="dxa"/>
            <w:tcBorders>
              <w:top w:val="nil"/>
              <w:left w:val="nil"/>
              <w:bottom w:val="nil"/>
            </w:tcBorders>
            <w:shd w:val="clear" w:color="auto" w:fill="auto"/>
            <w:noWrap/>
            <w:vAlign w:val="center"/>
          </w:tcPr>
          <w:p w14:paraId="0093F6CF" w14:textId="77777777" w:rsidR="00C77F0A" w:rsidRPr="004B2CE7" w:rsidRDefault="00C77F0A" w:rsidP="0015273C">
            <w:pPr>
              <w:spacing w:after="0" w:line="240" w:lineRule="auto"/>
              <w:ind w:firstLineChars="100" w:firstLine="160"/>
              <w:rPr>
                <w:rFonts w:ascii="Arial Narrow" w:eastAsia="Times New Roman" w:hAnsi="Arial Narrow" w:cs="Arial"/>
                <w:sz w:val="16"/>
                <w:szCs w:val="16"/>
                <w:lang w:eastAsia="pt-BR"/>
              </w:rPr>
            </w:pPr>
            <w:r w:rsidRPr="004B2CE7">
              <w:rPr>
                <w:rFonts w:ascii="Arial Narrow" w:eastAsia="Times New Roman" w:hAnsi="Arial Narrow" w:cs="Arial"/>
                <w:sz w:val="16"/>
                <w:szCs w:val="16"/>
                <w:lang w:eastAsia="pt-BR"/>
              </w:rPr>
              <w:t>Transferências Fiscais a Curto Prazo</w:t>
            </w:r>
          </w:p>
        </w:tc>
        <w:tc>
          <w:tcPr>
            <w:tcW w:w="775" w:type="dxa"/>
            <w:tcBorders>
              <w:top w:val="nil"/>
              <w:bottom w:val="nil"/>
              <w:right w:val="single" w:sz="8" w:space="0" w:color="auto"/>
            </w:tcBorders>
            <w:shd w:val="clear" w:color="auto" w:fill="auto"/>
            <w:noWrap/>
            <w:vAlign w:val="center"/>
          </w:tcPr>
          <w:p w14:paraId="4770255C" w14:textId="77777777" w:rsidR="00C77F0A" w:rsidRPr="004B2CE7"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tcPr>
          <w:p w14:paraId="3456232D" w14:textId="77777777" w:rsidR="00C77F0A" w:rsidRPr="004B2CE7" w:rsidRDefault="00C77F0A" w:rsidP="0015273C">
            <w:pPr>
              <w:spacing w:after="0" w:line="240" w:lineRule="auto"/>
              <w:jc w:val="center"/>
              <w:rPr>
                <w:rFonts w:ascii="Arial Narrow" w:eastAsia="Times New Roman" w:hAnsi="Arial Narrow" w:cs="Arial"/>
                <w:sz w:val="16"/>
                <w:szCs w:val="16"/>
                <w:lang w:eastAsia="pt-BR"/>
              </w:rPr>
            </w:pPr>
            <w:r w:rsidRPr="004B2CE7">
              <w:rPr>
                <w:rFonts w:ascii="Arial Narrow" w:eastAsia="Times New Roman" w:hAnsi="Arial Narrow" w:cs="Arial"/>
                <w:sz w:val="16"/>
                <w:szCs w:val="16"/>
                <w:lang w:eastAsia="pt-BR"/>
              </w:rPr>
              <w:t>BPA.H091</w:t>
            </w:r>
          </w:p>
        </w:tc>
        <w:tc>
          <w:tcPr>
            <w:tcW w:w="1420" w:type="dxa"/>
            <w:tcBorders>
              <w:top w:val="nil"/>
              <w:left w:val="nil"/>
              <w:bottom w:val="nil"/>
              <w:right w:val="single" w:sz="8" w:space="0" w:color="auto"/>
            </w:tcBorders>
            <w:shd w:val="clear" w:color="auto" w:fill="auto"/>
            <w:noWrap/>
            <w:vAlign w:val="center"/>
          </w:tcPr>
          <w:p w14:paraId="679031BD" w14:textId="77777777" w:rsidR="00C77F0A" w:rsidRPr="004B2CE7" w:rsidRDefault="00C77F0A" w:rsidP="0015273C">
            <w:pPr>
              <w:spacing w:after="0" w:line="240" w:lineRule="auto"/>
              <w:jc w:val="center"/>
              <w:rPr>
                <w:rFonts w:ascii="Arial Narrow" w:eastAsia="Times New Roman" w:hAnsi="Arial Narrow" w:cs="Arial"/>
                <w:sz w:val="16"/>
                <w:szCs w:val="16"/>
                <w:lang w:eastAsia="pt-BR"/>
              </w:rPr>
            </w:pPr>
            <w:r w:rsidRPr="004B2CE7">
              <w:rPr>
                <w:rFonts w:ascii="Arial Narrow" w:eastAsia="Times New Roman" w:hAnsi="Arial Narrow" w:cs="Arial"/>
                <w:sz w:val="16"/>
                <w:szCs w:val="16"/>
                <w:lang w:eastAsia="pt-BR"/>
              </w:rPr>
              <w:t>BPA.I091</w:t>
            </w:r>
          </w:p>
        </w:tc>
      </w:tr>
      <w:tr w:rsidR="00C77F0A" w:rsidRPr="009548D7" w14:paraId="73C25222" w14:textId="77777777" w:rsidTr="0015273C">
        <w:trPr>
          <w:trHeight w:val="255"/>
        </w:trPr>
        <w:tc>
          <w:tcPr>
            <w:tcW w:w="4410" w:type="dxa"/>
            <w:tcBorders>
              <w:top w:val="nil"/>
              <w:left w:val="single" w:sz="8" w:space="0" w:color="auto"/>
              <w:bottom w:val="nil"/>
            </w:tcBorders>
            <w:shd w:val="clear" w:color="auto" w:fill="auto"/>
            <w:noWrap/>
            <w:vAlign w:val="center"/>
          </w:tcPr>
          <w:p w14:paraId="6B509A87" w14:textId="77777777" w:rsidR="00C77F0A" w:rsidRPr="009548D7" w:rsidRDefault="00C77F0A" w:rsidP="00C77F0A">
            <w:pPr>
              <w:spacing w:after="0" w:line="240" w:lineRule="auto"/>
              <w:ind w:firstLineChars="200" w:firstLine="32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Demais Créditos e Valores a Curto Prazo</w:t>
            </w:r>
          </w:p>
        </w:tc>
        <w:tc>
          <w:tcPr>
            <w:tcW w:w="767" w:type="dxa"/>
            <w:tcBorders>
              <w:top w:val="nil"/>
              <w:bottom w:val="nil"/>
              <w:right w:val="single" w:sz="8" w:space="0" w:color="auto"/>
            </w:tcBorders>
            <w:shd w:val="clear" w:color="auto" w:fill="auto"/>
            <w:noWrap/>
            <w:vAlign w:val="center"/>
          </w:tcPr>
          <w:p w14:paraId="0E4527DB" w14:textId="77777777" w:rsidR="00C77F0A" w:rsidRPr="009548D7" w:rsidRDefault="00C77F0A" w:rsidP="00C77F0A">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tcPr>
          <w:p w14:paraId="0E16A4F3" w14:textId="77777777" w:rsidR="00C77F0A" w:rsidRPr="009548D7" w:rsidRDefault="00C77F0A" w:rsidP="00C77F0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BPA.D020</w:t>
            </w:r>
          </w:p>
        </w:tc>
        <w:tc>
          <w:tcPr>
            <w:tcW w:w="1262" w:type="dxa"/>
            <w:tcBorders>
              <w:top w:val="nil"/>
              <w:left w:val="nil"/>
              <w:bottom w:val="nil"/>
              <w:right w:val="single" w:sz="8" w:space="0" w:color="auto"/>
            </w:tcBorders>
            <w:shd w:val="clear" w:color="auto" w:fill="auto"/>
            <w:noWrap/>
            <w:vAlign w:val="center"/>
          </w:tcPr>
          <w:p w14:paraId="15C2AE16" w14:textId="77777777" w:rsidR="00C77F0A" w:rsidRPr="009548D7" w:rsidRDefault="00C77F0A" w:rsidP="00C77F0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BPA.E020</w:t>
            </w:r>
          </w:p>
        </w:tc>
        <w:tc>
          <w:tcPr>
            <w:tcW w:w="4562" w:type="dxa"/>
            <w:tcBorders>
              <w:top w:val="nil"/>
              <w:left w:val="nil"/>
              <w:bottom w:val="nil"/>
            </w:tcBorders>
            <w:shd w:val="clear" w:color="auto" w:fill="auto"/>
            <w:noWrap/>
            <w:vAlign w:val="center"/>
          </w:tcPr>
          <w:p w14:paraId="689D311F" w14:textId="599D3AFC" w:rsidR="00C77F0A" w:rsidRPr="00842791" w:rsidRDefault="00C77F0A" w:rsidP="00C77F0A">
            <w:pPr>
              <w:spacing w:after="0" w:line="240" w:lineRule="auto"/>
              <w:ind w:firstLineChars="100" w:firstLine="160"/>
              <w:rPr>
                <w:rFonts w:ascii="Arial Narrow" w:eastAsia="Times New Roman" w:hAnsi="Arial Narrow" w:cs="Arial"/>
                <w:strike/>
                <w:color w:val="FF0000"/>
                <w:sz w:val="16"/>
                <w:szCs w:val="16"/>
                <w:lang w:eastAsia="pt-BR"/>
              </w:rPr>
            </w:pPr>
            <w:r w:rsidRPr="009548D7">
              <w:rPr>
                <w:rFonts w:ascii="Arial Narrow" w:eastAsia="Times New Roman" w:hAnsi="Arial Narrow" w:cs="Arial"/>
                <w:sz w:val="16"/>
                <w:szCs w:val="16"/>
                <w:lang w:eastAsia="pt-BR"/>
              </w:rPr>
              <w:t>Provisões a Curto Prazo</w:t>
            </w:r>
          </w:p>
        </w:tc>
        <w:tc>
          <w:tcPr>
            <w:tcW w:w="775" w:type="dxa"/>
            <w:tcBorders>
              <w:top w:val="nil"/>
              <w:bottom w:val="nil"/>
              <w:right w:val="single" w:sz="8" w:space="0" w:color="auto"/>
            </w:tcBorders>
            <w:shd w:val="clear" w:color="auto" w:fill="auto"/>
            <w:noWrap/>
            <w:vAlign w:val="center"/>
          </w:tcPr>
          <w:p w14:paraId="717255C4" w14:textId="77777777" w:rsidR="00C77F0A" w:rsidRPr="00842791" w:rsidRDefault="00C77F0A" w:rsidP="00C77F0A">
            <w:pPr>
              <w:spacing w:after="0" w:line="240" w:lineRule="auto"/>
              <w:jc w:val="center"/>
              <w:rPr>
                <w:rFonts w:ascii="Arial Narrow" w:eastAsia="Times New Roman" w:hAnsi="Arial Narrow" w:cs="Arial"/>
                <w:strike/>
                <w:color w:val="FF0000"/>
                <w:sz w:val="16"/>
                <w:szCs w:val="16"/>
                <w:lang w:eastAsia="pt-BR"/>
              </w:rPr>
            </w:pPr>
          </w:p>
        </w:tc>
        <w:tc>
          <w:tcPr>
            <w:tcW w:w="1063" w:type="dxa"/>
            <w:tcBorders>
              <w:top w:val="nil"/>
              <w:left w:val="nil"/>
              <w:bottom w:val="nil"/>
              <w:right w:val="single" w:sz="8" w:space="0" w:color="auto"/>
            </w:tcBorders>
            <w:shd w:val="clear" w:color="auto" w:fill="auto"/>
            <w:noWrap/>
            <w:vAlign w:val="center"/>
          </w:tcPr>
          <w:p w14:paraId="4A51226F" w14:textId="7FECB2AE" w:rsidR="00C77F0A" w:rsidRPr="00842791" w:rsidRDefault="00C77F0A" w:rsidP="00C77F0A">
            <w:pPr>
              <w:spacing w:after="0" w:line="240" w:lineRule="auto"/>
              <w:jc w:val="center"/>
              <w:rPr>
                <w:rFonts w:ascii="Arial Narrow" w:eastAsia="Times New Roman" w:hAnsi="Arial Narrow" w:cs="Arial"/>
                <w:strike/>
                <w:color w:val="FF0000"/>
                <w:sz w:val="16"/>
                <w:szCs w:val="16"/>
                <w:lang w:eastAsia="pt-BR"/>
              </w:rPr>
            </w:pPr>
            <w:r w:rsidRPr="009548D7">
              <w:rPr>
                <w:rFonts w:ascii="Arial Narrow" w:eastAsia="Times New Roman" w:hAnsi="Arial Narrow" w:cs="Arial"/>
                <w:sz w:val="16"/>
                <w:szCs w:val="16"/>
                <w:lang w:eastAsia="pt-BR"/>
              </w:rPr>
              <w:t>BPA.H019</w:t>
            </w:r>
          </w:p>
        </w:tc>
        <w:tc>
          <w:tcPr>
            <w:tcW w:w="1420" w:type="dxa"/>
            <w:tcBorders>
              <w:top w:val="nil"/>
              <w:left w:val="nil"/>
              <w:bottom w:val="nil"/>
              <w:right w:val="single" w:sz="8" w:space="0" w:color="auto"/>
            </w:tcBorders>
            <w:shd w:val="clear" w:color="auto" w:fill="auto"/>
            <w:noWrap/>
            <w:vAlign w:val="center"/>
          </w:tcPr>
          <w:p w14:paraId="25A2DB43" w14:textId="368FB4F2" w:rsidR="00C77F0A" w:rsidRPr="00842791" w:rsidRDefault="00C77F0A" w:rsidP="00C77F0A">
            <w:pPr>
              <w:spacing w:after="0" w:line="240" w:lineRule="auto"/>
              <w:jc w:val="center"/>
              <w:rPr>
                <w:rFonts w:ascii="Arial Narrow" w:eastAsia="Times New Roman" w:hAnsi="Arial Narrow" w:cs="Arial"/>
                <w:strike/>
                <w:color w:val="FF0000"/>
                <w:sz w:val="16"/>
                <w:szCs w:val="16"/>
                <w:lang w:eastAsia="pt-BR"/>
              </w:rPr>
            </w:pPr>
            <w:r w:rsidRPr="009548D7">
              <w:rPr>
                <w:rFonts w:ascii="Arial Narrow" w:eastAsia="Times New Roman" w:hAnsi="Arial Narrow" w:cs="Arial"/>
                <w:sz w:val="16"/>
                <w:szCs w:val="16"/>
                <w:lang w:eastAsia="pt-BR"/>
              </w:rPr>
              <w:t>BPA.I019</w:t>
            </w:r>
          </w:p>
        </w:tc>
      </w:tr>
      <w:tr w:rsidR="00C77F0A" w:rsidRPr="009548D7" w14:paraId="349CB299" w14:textId="77777777" w:rsidTr="0015273C">
        <w:trPr>
          <w:trHeight w:val="255"/>
        </w:trPr>
        <w:tc>
          <w:tcPr>
            <w:tcW w:w="4410" w:type="dxa"/>
            <w:tcBorders>
              <w:top w:val="nil"/>
              <w:left w:val="single" w:sz="8" w:space="0" w:color="auto"/>
              <w:bottom w:val="nil"/>
            </w:tcBorders>
            <w:shd w:val="clear" w:color="auto" w:fill="auto"/>
            <w:noWrap/>
            <w:vAlign w:val="center"/>
          </w:tcPr>
          <w:p w14:paraId="00D5D66B" w14:textId="77777777" w:rsidR="00C77F0A" w:rsidRPr="009548D7" w:rsidRDefault="00C77F0A" w:rsidP="00C77F0A">
            <w:pPr>
              <w:spacing w:after="0" w:line="240" w:lineRule="auto"/>
              <w:ind w:firstLineChars="100" w:firstLine="16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Investimentos e Aplicações Temporárias a Curto Prazo</w:t>
            </w:r>
          </w:p>
        </w:tc>
        <w:tc>
          <w:tcPr>
            <w:tcW w:w="767" w:type="dxa"/>
            <w:tcBorders>
              <w:top w:val="nil"/>
              <w:bottom w:val="nil"/>
              <w:right w:val="single" w:sz="8" w:space="0" w:color="auto"/>
            </w:tcBorders>
            <w:shd w:val="clear" w:color="auto" w:fill="auto"/>
            <w:noWrap/>
            <w:vAlign w:val="center"/>
          </w:tcPr>
          <w:p w14:paraId="268F8849" w14:textId="77777777" w:rsidR="00C77F0A" w:rsidRPr="009548D7" w:rsidRDefault="00C77F0A" w:rsidP="00C77F0A">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tcPr>
          <w:p w14:paraId="6B6C21F3" w14:textId="77777777" w:rsidR="00C77F0A" w:rsidRPr="009548D7" w:rsidRDefault="00C77F0A" w:rsidP="00C77F0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BPA.D021</w:t>
            </w:r>
          </w:p>
        </w:tc>
        <w:tc>
          <w:tcPr>
            <w:tcW w:w="1262" w:type="dxa"/>
            <w:tcBorders>
              <w:top w:val="nil"/>
              <w:left w:val="nil"/>
              <w:bottom w:val="nil"/>
              <w:right w:val="single" w:sz="8" w:space="0" w:color="auto"/>
            </w:tcBorders>
            <w:shd w:val="clear" w:color="auto" w:fill="auto"/>
            <w:noWrap/>
            <w:vAlign w:val="center"/>
          </w:tcPr>
          <w:p w14:paraId="2E5F4CEB" w14:textId="77777777" w:rsidR="00C77F0A" w:rsidRPr="009548D7" w:rsidRDefault="00C77F0A" w:rsidP="00C77F0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BPA.E021</w:t>
            </w:r>
          </w:p>
        </w:tc>
        <w:tc>
          <w:tcPr>
            <w:tcW w:w="4562" w:type="dxa"/>
            <w:tcBorders>
              <w:top w:val="nil"/>
              <w:left w:val="nil"/>
              <w:bottom w:val="nil"/>
            </w:tcBorders>
            <w:shd w:val="clear" w:color="auto" w:fill="auto"/>
            <w:noWrap/>
            <w:vAlign w:val="center"/>
            <w:hideMark/>
          </w:tcPr>
          <w:p w14:paraId="1916A951" w14:textId="028E8933" w:rsidR="00C77F0A" w:rsidRPr="009548D7" w:rsidRDefault="00C77F0A" w:rsidP="00C77F0A">
            <w:pPr>
              <w:spacing w:after="0" w:line="240" w:lineRule="auto"/>
              <w:ind w:firstLineChars="100" w:firstLine="16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Provisões para Riscos Trabalhistas a Curto Prazo</w:t>
            </w:r>
          </w:p>
        </w:tc>
        <w:tc>
          <w:tcPr>
            <w:tcW w:w="775" w:type="dxa"/>
            <w:tcBorders>
              <w:top w:val="nil"/>
              <w:bottom w:val="nil"/>
              <w:right w:val="single" w:sz="8" w:space="0" w:color="auto"/>
            </w:tcBorders>
            <w:shd w:val="clear" w:color="auto" w:fill="auto"/>
            <w:noWrap/>
            <w:vAlign w:val="center"/>
          </w:tcPr>
          <w:p w14:paraId="156A4904" w14:textId="77777777" w:rsidR="00C77F0A" w:rsidRPr="009548D7" w:rsidRDefault="00C77F0A" w:rsidP="00C77F0A">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297FE7F6" w14:textId="6CBD27F2" w:rsidR="00C77F0A" w:rsidRPr="009548D7" w:rsidRDefault="00C77F0A" w:rsidP="00C77F0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BPA.H020</w:t>
            </w:r>
          </w:p>
        </w:tc>
        <w:tc>
          <w:tcPr>
            <w:tcW w:w="1420" w:type="dxa"/>
            <w:tcBorders>
              <w:top w:val="nil"/>
              <w:left w:val="nil"/>
              <w:bottom w:val="nil"/>
              <w:right w:val="single" w:sz="8" w:space="0" w:color="auto"/>
            </w:tcBorders>
            <w:shd w:val="clear" w:color="auto" w:fill="auto"/>
            <w:noWrap/>
            <w:vAlign w:val="center"/>
            <w:hideMark/>
          </w:tcPr>
          <w:p w14:paraId="2AF2831D" w14:textId="69EAD467" w:rsidR="00C77F0A" w:rsidRPr="009548D7" w:rsidRDefault="00C77F0A" w:rsidP="00C77F0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BPA.I020</w:t>
            </w:r>
          </w:p>
        </w:tc>
      </w:tr>
      <w:tr w:rsidR="00C77F0A" w:rsidRPr="009548D7" w14:paraId="6B6F982E" w14:textId="77777777" w:rsidTr="0015273C">
        <w:trPr>
          <w:trHeight w:val="255"/>
        </w:trPr>
        <w:tc>
          <w:tcPr>
            <w:tcW w:w="4410" w:type="dxa"/>
            <w:tcBorders>
              <w:top w:val="nil"/>
              <w:left w:val="single" w:sz="8" w:space="0" w:color="auto"/>
              <w:bottom w:val="nil"/>
            </w:tcBorders>
            <w:shd w:val="clear" w:color="auto" w:fill="auto"/>
            <w:noWrap/>
            <w:vAlign w:val="center"/>
          </w:tcPr>
          <w:p w14:paraId="7A7C60DC" w14:textId="77777777" w:rsidR="00C77F0A" w:rsidRPr="009548D7" w:rsidRDefault="00C77F0A" w:rsidP="00C77F0A">
            <w:pPr>
              <w:spacing w:after="0" w:line="240" w:lineRule="auto"/>
              <w:ind w:firstLineChars="100" w:firstLine="16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Estoques</w:t>
            </w:r>
          </w:p>
        </w:tc>
        <w:tc>
          <w:tcPr>
            <w:tcW w:w="767" w:type="dxa"/>
            <w:tcBorders>
              <w:top w:val="nil"/>
              <w:bottom w:val="nil"/>
              <w:right w:val="single" w:sz="8" w:space="0" w:color="auto"/>
            </w:tcBorders>
            <w:shd w:val="clear" w:color="auto" w:fill="auto"/>
            <w:noWrap/>
            <w:vAlign w:val="center"/>
          </w:tcPr>
          <w:p w14:paraId="109CCA7E" w14:textId="77777777" w:rsidR="00C77F0A" w:rsidRPr="009548D7" w:rsidRDefault="00C77F0A" w:rsidP="00C77F0A">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tcPr>
          <w:p w14:paraId="6A10ECE8" w14:textId="77777777" w:rsidR="00C77F0A" w:rsidRPr="009548D7" w:rsidRDefault="00C77F0A" w:rsidP="00C77F0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BPA.D022</w:t>
            </w:r>
          </w:p>
        </w:tc>
        <w:tc>
          <w:tcPr>
            <w:tcW w:w="1262" w:type="dxa"/>
            <w:tcBorders>
              <w:top w:val="nil"/>
              <w:left w:val="nil"/>
              <w:bottom w:val="nil"/>
              <w:right w:val="single" w:sz="8" w:space="0" w:color="auto"/>
            </w:tcBorders>
            <w:shd w:val="clear" w:color="auto" w:fill="auto"/>
            <w:noWrap/>
            <w:vAlign w:val="center"/>
          </w:tcPr>
          <w:p w14:paraId="265D75C5" w14:textId="77777777" w:rsidR="00C77F0A" w:rsidRPr="009548D7" w:rsidRDefault="00C77F0A" w:rsidP="00C77F0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BPA.E022</w:t>
            </w:r>
          </w:p>
        </w:tc>
        <w:tc>
          <w:tcPr>
            <w:tcW w:w="4562" w:type="dxa"/>
            <w:tcBorders>
              <w:top w:val="nil"/>
              <w:left w:val="nil"/>
              <w:bottom w:val="nil"/>
            </w:tcBorders>
            <w:shd w:val="clear" w:color="000000" w:fill="FFFFFF"/>
            <w:noWrap/>
            <w:vAlign w:val="center"/>
            <w:hideMark/>
          </w:tcPr>
          <w:p w14:paraId="6A7BD936" w14:textId="5C4B40CF" w:rsidR="00C77F0A" w:rsidRPr="009548D7" w:rsidRDefault="00C77F0A" w:rsidP="00C77F0A">
            <w:pPr>
              <w:spacing w:after="0" w:line="240" w:lineRule="auto"/>
              <w:ind w:firstLineChars="200" w:firstLine="32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Provisões para Riscos Fiscais a Curto Prazo</w:t>
            </w:r>
          </w:p>
        </w:tc>
        <w:tc>
          <w:tcPr>
            <w:tcW w:w="775" w:type="dxa"/>
            <w:tcBorders>
              <w:top w:val="nil"/>
              <w:bottom w:val="nil"/>
              <w:right w:val="single" w:sz="8" w:space="0" w:color="auto"/>
            </w:tcBorders>
            <w:shd w:val="clear" w:color="auto" w:fill="auto"/>
            <w:noWrap/>
            <w:vAlign w:val="center"/>
          </w:tcPr>
          <w:p w14:paraId="2C48D3DF" w14:textId="77777777" w:rsidR="00C77F0A" w:rsidRPr="009548D7" w:rsidRDefault="00C77F0A" w:rsidP="00C77F0A">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00F4D108" w14:textId="4547B375" w:rsidR="00C77F0A" w:rsidRPr="009548D7" w:rsidRDefault="00C77F0A" w:rsidP="00C77F0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BPA.H021</w:t>
            </w:r>
          </w:p>
        </w:tc>
        <w:tc>
          <w:tcPr>
            <w:tcW w:w="1420" w:type="dxa"/>
            <w:tcBorders>
              <w:top w:val="nil"/>
              <w:left w:val="nil"/>
              <w:bottom w:val="nil"/>
              <w:right w:val="single" w:sz="8" w:space="0" w:color="auto"/>
            </w:tcBorders>
            <w:shd w:val="clear" w:color="auto" w:fill="auto"/>
            <w:noWrap/>
            <w:vAlign w:val="center"/>
            <w:hideMark/>
          </w:tcPr>
          <w:p w14:paraId="4B03CA2A" w14:textId="576D3A4C" w:rsidR="00C77F0A" w:rsidRPr="009548D7" w:rsidRDefault="00C77F0A" w:rsidP="00C77F0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BPA.I021</w:t>
            </w:r>
          </w:p>
        </w:tc>
      </w:tr>
      <w:tr w:rsidR="00C77F0A" w:rsidRPr="009548D7" w14:paraId="5E951BA3" w14:textId="77777777" w:rsidTr="0015273C">
        <w:trPr>
          <w:trHeight w:val="255"/>
        </w:trPr>
        <w:tc>
          <w:tcPr>
            <w:tcW w:w="4410" w:type="dxa"/>
            <w:tcBorders>
              <w:top w:val="nil"/>
              <w:left w:val="single" w:sz="8" w:space="0" w:color="auto"/>
              <w:bottom w:val="nil"/>
            </w:tcBorders>
            <w:shd w:val="clear" w:color="auto" w:fill="auto"/>
            <w:noWrap/>
            <w:vAlign w:val="center"/>
          </w:tcPr>
          <w:p w14:paraId="332E09BC" w14:textId="77777777" w:rsidR="00C77F0A" w:rsidRPr="009548D7" w:rsidRDefault="00C77F0A" w:rsidP="00C77F0A">
            <w:pPr>
              <w:spacing w:after="0" w:line="240" w:lineRule="auto"/>
              <w:ind w:firstLineChars="100" w:firstLine="160"/>
              <w:rPr>
                <w:rFonts w:ascii="Arial Narrow" w:eastAsia="Times New Roman" w:hAnsi="Arial Narrow" w:cs="Arial"/>
                <w:sz w:val="16"/>
                <w:szCs w:val="16"/>
                <w:lang w:eastAsia="pt-BR"/>
              </w:rPr>
            </w:pPr>
            <w:r w:rsidRPr="003D0024">
              <w:rPr>
                <w:rFonts w:ascii="Arial Narrow" w:eastAsia="Times New Roman" w:hAnsi="Arial Narrow" w:cs="Arial"/>
                <w:sz w:val="16"/>
                <w:szCs w:val="16"/>
                <w:lang w:eastAsia="pt-BR"/>
              </w:rPr>
              <w:t xml:space="preserve">Ativo não Circulante Mantido para Venda </w:t>
            </w:r>
          </w:p>
        </w:tc>
        <w:tc>
          <w:tcPr>
            <w:tcW w:w="767" w:type="dxa"/>
            <w:tcBorders>
              <w:top w:val="nil"/>
              <w:bottom w:val="nil"/>
              <w:right w:val="single" w:sz="8" w:space="0" w:color="auto"/>
            </w:tcBorders>
            <w:shd w:val="clear" w:color="auto" w:fill="auto"/>
            <w:noWrap/>
            <w:vAlign w:val="center"/>
          </w:tcPr>
          <w:p w14:paraId="08382FDE" w14:textId="77777777" w:rsidR="00C77F0A" w:rsidRPr="009548D7" w:rsidRDefault="00C77F0A" w:rsidP="00C77F0A">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tcPr>
          <w:p w14:paraId="6E90FE75" w14:textId="77777777" w:rsidR="00C77F0A" w:rsidRPr="009548D7" w:rsidRDefault="00C77F0A" w:rsidP="00C77F0A">
            <w:pPr>
              <w:spacing w:after="0" w:line="240" w:lineRule="auto"/>
              <w:jc w:val="center"/>
              <w:rPr>
                <w:rFonts w:ascii="Arial Narrow" w:eastAsia="Times New Roman" w:hAnsi="Arial Narrow" w:cs="Arial"/>
                <w:sz w:val="16"/>
                <w:szCs w:val="16"/>
                <w:lang w:eastAsia="pt-BR"/>
              </w:rPr>
            </w:pPr>
            <w:r w:rsidRPr="003D0024">
              <w:rPr>
                <w:rFonts w:ascii="Arial Narrow" w:eastAsia="Times New Roman" w:hAnsi="Arial Narrow" w:cs="Arial"/>
                <w:sz w:val="16"/>
                <w:szCs w:val="16"/>
                <w:lang w:eastAsia="pt-BR"/>
              </w:rPr>
              <w:t>BPA.D072</w:t>
            </w:r>
          </w:p>
        </w:tc>
        <w:tc>
          <w:tcPr>
            <w:tcW w:w="1262" w:type="dxa"/>
            <w:tcBorders>
              <w:top w:val="nil"/>
              <w:left w:val="nil"/>
              <w:bottom w:val="nil"/>
              <w:right w:val="single" w:sz="8" w:space="0" w:color="auto"/>
            </w:tcBorders>
            <w:shd w:val="clear" w:color="auto" w:fill="auto"/>
            <w:noWrap/>
            <w:vAlign w:val="center"/>
          </w:tcPr>
          <w:p w14:paraId="4B7ED227" w14:textId="77777777" w:rsidR="00C77F0A" w:rsidRPr="009548D7" w:rsidRDefault="00C77F0A" w:rsidP="00C77F0A">
            <w:pPr>
              <w:spacing w:after="0" w:line="240" w:lineRule="auto"/>
              <w:jc w:val="center"/>
              <w:rPr>
                <w:rFonts w:ascii="Arial Narrow" w:eastAsia="Times New Roman" w:hAnsi="Arial Narrow" w:cs="Arial"/>
                <w:sz w:val="16"/>
                <w:szCs w:val="16"/>
                <w:lang w:eastAsia="pt-BR"/>
              </w:rPr>
            </w:pPr>
            <w:r w:rsidRPr="003D0024">
              <w:rPr>
                <w:rFonts w:ascii="Arial Narrow" w:eastAsia="Times New Roman" w:hAnsi="Arial Narrow" w:cs="Arial"/>
                <w:sz w:val="16"/>
                <w:szCs w:val="16"/>
                <w:lang w:eastAsia="pt-BR"/>
              </w:rPr>
              <w:t>BPA.E072</w:t>
            </w:r>
          </w:p>
        </w:tc>
        <w:tc>
          <w:tcPr>
            <w:tcW w:w="4562" w:type="dxa"/>
            <w:tcBorders>
              <w:top w:val="nil"/>
              <w:left w:val="nil"/>
              <w:bottom w:val="nil"/>
            </w:tcBorders>
            <w:shd w:val="clear" w:color="000000" w:fill="FFFFFF"/>
            <w:noWrap/>
            <w:vAlign w:val="center"/>
            <w:hideMark/>
          </w:tcPr>
          <w:p w14:paraId="5B51018D" w14:textId="1C606B80" w:rsidR="00C77F0A" w:rsidRPr="009548D7" w:rsidRDefault="00C77F0A" w:rsidP="00C77F0A">
            <w:pPr>
              <w:spacing w:after="0" w:line="240" w:lineRule="auto"/>
              <w:ind w:firstLineChars="200" w:firstLine="32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Provisões para Riscos Cíveis a Curto Prazo</w:t>
            </w:r>
          </w:p>
        </w:tc>
        <w:tc>
          <w:tcPr>
            <w:tcW w:w="775" w:type="dxa"/>
            <w:tcBorders>
              <w:top w:val="nil"/>
              <w:bottom w:val="nil"/>
              <w:right w:val="single" w:sz="8" w:space="0" w:color="auto"/>
            </w:tcBorders>
            <w:shd w:val="clear" w:color="auto" w:fill="auto"/>
            <w:noWrap/>
            <w:vAlign w:val="center"/>
          </w:tcPr>
          <w:p w14:paraId="4DB560D4" w14:textId="77777777" w:rsidR="00C77F0A" w:rsidRPr="009548D7" w:rsidRDefault="00C77F0A" w:rsidP="00C77F0A">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4250805A" w14:textId="003E61B3" w:rsidR="00C77F0A" w:rsidRPr="009548D7" w:rsidRDefault="00C77F0A" w:rsidP="00C77F0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BPA.H022</w:t>
            </w:r>
          </w:p>
        </w:tc>
        <w:tc>
          <w:tcPr>
            <w:tcW w:w="1420" w:type="dxa"/>
            <w:tcBorders>
              <w:top w:val="nil"/>
              <w:left w:val="nil"/>
              <w:bottom w:val="nil"/>
              <w:right w:val="single" w:sz="8" w:space="0" w:color="auto"/>
            </w:tcBorders>
            <w:shd w:val="clear" w:color="auto" w:fill="auto"/>
            <w:noWrap/>
            <w:vAlign w:val="center"/>
            <w:hideMark/>
          </w:tcPr>
          <w:p w14:paraId="2558E6A5" w14:textId="72984D50" w:rsidR="00C77F0A" w:rsidRPr="009548D7" w:rsidRDefault="00C77F0A" w:rsidP="00C77F0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BPA.I022</w:t>
            </w:r>
          </w:p>
        </w:tc>
      </w:tr>
      <w:tr w:rsidR="00C77F0A" w:rsidRPr="009548D7" w14:paraId="3D44E3EC" w14:textId="77777777" w:rsidTr="0015273C">
        <w:trPr>
          <w:trHeight w:val="255"/>
        </w:trPr>
        <w:tc>
          <w:tcPr>
            <w:tcW w:w="4410" w:type="dxa"/>
            <w:tcBorders>
              <w:top w:val="nil"/>
              <w:left w:val="single" w:sz="8" w:space="0" w:color="auto"/>
              <w:bottom w:val="nil"/>
            </w:tcBorders>
            <w:shd w:val="clear" w:color="auto" w:fill="auto"/>
            <w:noWrap/>
            <w:vAlign w:val="center"/>
          </w:tcPr>
          <w:p w14:paraId="195211EF" w14:textId="77777777" w:rsidR="00C77F0A" w:rsidRPr="006B69C6" w:rsidRDefault="00C77F0A" w:rsidP="00C77F0A">
            <w:pPr>
              <w:spacing w:after="0" w:line="240" w:lineRule="auto"/>
              <w:ind w:firstLineChars="100" w:firstLine="160"/>
              <w:rPr>
                <w:rFonts w:ascii="Arial Narrow" w:eastAsia="Times New Roman" w:hAnsi="Arial Narrow" w:cs="Arial"/>
                <w:sz w:val="16"/>
                <w:szCs w:val="16"/>
                <w:lang w:eastAsia="pt-BR"/>
              </w:rPr>
            </w:pPr>
            <w:r w:rsidRPr="006B69C6">
              <w:rPr>
                <w:rFonts w:ascii="Arial Narrow" w:eastAsia="Times New Roman" w:hAnsi="Arial Narrow" w:cs="Arial"/>
                <w:sz w:val="16"/>
                <w:szCs w:val="16"/>
                <w:lang w:eastAsia="pt-BR"/>
              </w:rPr>
              <w:lastRenderedPageBreak/>
              <w:t>VPD Pagas Antecipadamente</w:t>
            </w:r>
          </w:p>
        </w:tc>
        <w:tc>
          <w:tcPr>
            <w:tcW w:w="767" w:type="dxa"/>
            <w:tcBorders>
              <w:top w:val="nil"/>
              <w:bottom w:val="nil"/>
              <w:right w:val="single" w:sz="8" w:space="0" w:color="auto"/>
            </w:tcBorders>
            <w:shd w:val="clear" w:color="auto" w:fill="auto"/>
            <w:noWrap/>
            <w:vAlign w:val="center"/>
          </w:tcPr>
          <w:p w14:paraId="7C86CFDE" w14:textId="77777777" w:rsidR="00C77F0A" w:rsidRPr="006B69C6" w:rsidRDefault="00C77F0A" w:rsidP="00C77F0A">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tcPr>
          <w:p w14:paraId="5AE173E1" w14:textId="77777777" w:rsidR="00C77F0A" w:rsidRPr="006B69C6" w:rsidRDefault="00C77F0A" w:rsidP="00C77F0A">
            <w:pPr>
              <w:spacing w:after="0" w:line="240" w:lineRule="auto"/>
              <w:jc w:val="center"/>
              <w:rPr>
                <w:rFonts w:ascii="Arial Narrow" w:eastAsia="Times New Roman" w:hAnsi="Arial Narrow" w:cs="Arial"/>
                <w:sz w:val="16"/>
                <w:szCs w:val="16"/>
                <w:lang w:eastAsia="pt-BR"/>
              </w:rPr>
            </w:pPr>
            <w:r w:rsidRPr="006B69C6">
              <w:rPr>
                <w:rFonts w:ascii="Arial Narrow" w:eastAsia="Times New Roman" w:hAnsi="Arial Narrow" w:cs="Arial"/>
                <w:sz w:val="16"/>
                <w:szCs w:val="16"/>
                <w:lang w:eastAsia="pt-BR"/>
              </w:rPr>
              <w:t>BPA.D023</w:t>
            </w:r>
          </w:p>
        </w:tc>
        <w:tc>
          <w:tcPr>
            <w:tcW w:w="1262" w:type="dxa"/>
            <w:tcBorders>
              <w:top w:val="nil"/>
              <w:left w:val="nil"/>
              <w:bottom w:val="nil"/>
              <w:right w:val="single" w:sz="8" w:space="0" w:color="auto"/>
            </w:tcBorders>
            <w:shd w:val="clear" w:color="auto" w:fill="auto"/>
            <w:noWrap/>
            <w:vAlign w:val="center"/>
          </w:tcPr>
          <w:p w14:paraId="16275EE0" w14:textId="77777777" w:rsidR="00C77F0A" w:rsidRPr="006B69C6" w:rsidRDefault="00C77F0A" w:rsidP="00C77F0A">
            <w:pPr>
              <w:spacing w:after="0" w:line="240" w:lineRule="auto"/>
              <w:jc w:val="center"/>
              <w:rPr>
                <w:rFonts w:ascii="Arial Narrow" w:eastAsia="Times New Roman" w:hAnsi="Arial Narrow" w:cs="Arial"/>
                <w:sz w:val="16"/>
                <w:szCs w:val="16"/>
                <w:lang w:eastAsia="pt-BR"/>
              </w:rPr>
            </w:pPr>
            <w:r w:rsidRPr="006B69C6">
              <w:rPr>
                <w:rFonts w:ascii="Arial Narrow" w:eastAsia="Times New Roman" w:hAnsi="Arial Narrow" w:cs="Arial"/>
                <w:sz w:val="16"/>
                <w:szCs w:val="16"/>
                <w:lang w:eastAsia="pt-BR"/>
              </w:rPr>
              <w:t>BPA.E023</w:t>
            </w:r>
          </w:p>
        </w:tc>
        <w:tc>
          <w:tcPr>
            <w:tcW w:w="4562" w:type="dxa"/>
            <w:tcBorders>
              <w:top w:val="nil"/>
              <w:left w:val="nil"/>
              <w:bottom w:val="nil"/>
            </w:tcBorders>
            <w:shd w:val="clear" w:color="000000" w:fill="FFFFFF"/>
            <w:noWrap/>
            <w:vAlign w:val="center"/>
            <w:hideMark/>
          </w:tcPr>
          <w:p w14:paraId="031883A1" w14:textId="77777777" w:rsidR="00C77F0A" w:rsidRPr="003D0024" w:rsidRDefault="00C77F0A" w:rsidP="00C77F0A">
            <w:pPr>
              <w:spacing w:after="0" w:line="240" w:lineRule="auto"/>
              <w:ind w:firstLineChars="200" w:firstLine="320"/>
              <w:rPr>
                <w:rFonts w:ascii="Arial Narrow" w:eastAsia="Times New Roman" w:hAnsi="Arial Narrow" w:cs="Arial"/>
                <w:sz w:val="16"/>
                <w:szCs w:val="16"/>
                <w:lang w:eastAsia="pt-BR"/>
              </w:rPr>
            </w:pPr>
            <w:r w:rsidRPr="003D0024">
              <w:rPr>
                <w:rFonts w:ascii="Arial Narrow" w:eastAsia="Times New Roman" w:hAnsi="Arial Narrow" w:cs="Arial"/>
                <w:sz w:val="16"/>
                <w:szCs w:val="16"/>
                <w:lang w:eastAsia="pt-BR"/>
              </w:rPr>
              <w:t>Provisão para Repartição de Créditos a Curto Prazo</w:t>
            </w:r>
          </w:p>
          <w:p w14:paraId="7F6F6C92" w14:textId="57DAE1E2" w:rsidR="00C77F0A" w:rsidRPr="009548D7" w:rsidRDefault="00C77F0A" w:rsidP="00C77F0A">
            <w:pPr>
              <w:spacing w:after="0" w:line="240" w:lineRule="auto"/>
              <w:ind w:firstLineChars="200" w:firstLine="320"/>
              <w:rPr>
                <w:rFonts w:ascii="Arial Narrow" w:eastAsia="Times New Roman" w:hAnsi="Arial Narrow" w:cs="Arial"/>
                <w:sz w:val="16"/>
                <w:szCs w:val="16"/>
                <w:lang w:eastAsia="pt-BR"/>
              </w:rPr>
            </w:pPr>
          </w:p>
        </w:tc>
        <w:tc>
          <w:tcPr>
            <w:tcW w:w="775" w:type="dxa"/>
            <w:tcBorders>
              <w:top w:val="nil"/>
              <w:bottom w:val="nil"/>
              <w:right w:val="single" w:sz="8" w:space="0" w:color="auto"/>
            </w:tcBorders>
            <w:shd w:val="clear" w:color="auto" w:fill="auto"/>
            <w:noWrap/>
            <w:vAlign w:val="center"/>
          </w:tcPr>
          <w:p w14:paraId="70A51BE4" w14:textId="77777777" w:rsidR="00C77F0A" w:rsidRPr="009548D7" w:rsidRDefault="00C77F0A" w:rsidP="00C77F0A">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092BE79A" w14:textId="35165DAB" w:rsidR="00C77F0A" w:rsidRPr="009548D7" w:rsidRDefault="00C77F0A" w:rsidP="00C77F0A">
            <w:pPr>
              <w:spacing w:after="0" w:line="240" w:lineRule="auto"/>
              <w:jc w:val="center"/>
              <w:rPr>
                <w:rFonts w:ascii="Arial Narrow" w:eastAsia="Times New Roman" w:hAnsi="Arial Narrow" w:cs="Arial"/>
                <w:sz w:val="16"/>
                <w:szCs w:val="16"/>
                <w:lang w:eastAsia="pt-BR"/>
              </w:rPr>
            </w:pPr>
            <w:r w:rsidRPr="003D0024">
              <w:rPr>
                <w:rFonts w:ascii="Arial Narrow" w:eastAsia="Times New Roman" w:hAnsi="Arial Narrow" w:cs="Arial"/>
                <w:sz w:val="16"/>
                <w:szCs w:val="16"/>
                <w:lang w:eastAsia="pt-BR"/>
              </w:rPr>
              <w:t>BPA.H089</w:t>
            </w:r>
          </w:p>
        </w:tc>
        <w:tc>
          <w:tcPr>
            <w:tcW w:w="1420" w:type="dxa"/>
            <w:tcBorders>
              <w:top w:val="nil"/>
              <w:left w:val="nil"/>
              <w:bottom w:val="nil"/>
              <w:right w:val="single" w:sz="8" w:space="0" w:color="auto"/>
            </w:tcBorders>
            <w:shd w:val="clear" w:color="auto" w:fill="auto"/>
            <w:noWrap/>
            <w:vAlign w:val="center"/>
            <w:hideMark/>
          </w:tcPr>
          <w:p w14:paraId="7460B677" w14:textId="43901B12" w:rsidR="00C77F0A" w:rsidRPr="009548D7" w:rsidRDefault="00C77F0A" w:rsidP="00C77F0A">
            <w:pPr>
              <w:spacing w:after="0" w:line="240" w:lineRule="auto"/>
              <w:jc w:val="center"/>
              <w:rPr>
                <w:rFonts w:ascii="Arial Narrow" w:eastAsia="Times New Roman" w:hAnsi="Arial Narrow" w:cs="Arial"/>
                <w:sz w:val="16"/>
                <w:szCs w:val="16"/>
                <w:lang w:eastAsia="pt-BR"/>
              </w:rPr>
            </w:pPr>
            <w:r w:rsidRPr="003D0024">
              <w:rPr>
                <w:rFonts w:ascii="Arial Narrow" w:eastAsia="Times New Roman" w:hAnsi="Arial Narrow" w:cs="Arial"/>
                <w:sz w:val="16"/>
                <w:szCs w:val="16"/>
                <w:lang w:eastAsia="pt-BR"/>
              </w:rPr>
              <w:t>BPA.I089</w:t>
            </w:r>
          </w:p>
        </w:tc>
      </w:tr>
      <w:tr w:rsidR="00C77F0A" w:rsidRPr="009548D7" w14:paraId="1FE7C08C" w14:textId="77777777" w:rsidTr="0015273C">
        <w:trPr>
          <w:trHeight w:hRule="exact" w:val="232"/>
        </w:trPr>
        <w:tc>
          <w:tcPr>
            <w:tcW w:w="4410" w:type="dxa"/>
            <w:tcBorders>
              <w:top w:val="nil"/>
              <w:left w:val="single" w:sz="8" w:space="0" w:color="auto"/>
              <w:bottom w:val="nil"/>
            </w:tcBorders>
            <w:shd w:val="clear" w:color="auto" w:fill="auto"/>
            <w:noWrap/>
            <w:vAlign w:val="center"/>
          </w:tcPr>
          <w:p w14:paraId="16E8B5C5" w14:textId="77777777" w:rsidR="00C77F0A" w:rsidRPr="006B69C6" w:rsidRDefault="00C77F0A" w:rsidP="00C77F0A">
            <w:pPr>
              <w:spacing w:after="0" w:line="240" w:lineRule="auto"/>
              <w:ind w:firstLineChars="100" w:firstLine="160"/>
              <w:rPr>
                <w:rFonts w:ascii="Arial Narrow" w:eastAsia="Times New Roman" w:hAnsi="Arial Narrow" w:cs="Arial"/>
                <w:sz w:val="16"/>
                <w:szCs w:val="16"/>
                <w:lang w:eastAsia="pt-BR"/>
              </w:rPr>
            </w:pPr>
          </w:p>
        </w:tc>
        <w:tc>
          <w:tcPr>
            <w:tcW w:w="767" w:type="dxa"/>
            <w:tcBorders>
              <w:top w:val="nil"/>
              <w:bottom w:val="nil"/>
              <w:right w:val="single" w:sz="8" w:space="0" w:color="auto"/>
            </w:tcBorders>
            <w:shd w:val="clear" w:color="auto" w:fill="auto"/>
            <w:noWrap/>
            <w:vAlign w:val="center"/>
          </w:tcPr>
          <w:p w14:paraId="789202A8" w14:textId="77777777" w:rsidR="00C77F0A" w:rsidRPr="006B69C6" w:rsidRDefault="00C77F0A" w:rsidP="00C77F0A">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tcPr>
          <w:p w14:paraId="147CDACC" w14:textId="77777777" w:rsidR="00C77F0A" w:rsidRPr="006B69C6" w:rsidRDefault="00C77F0A" w:rsidP="00C77F0A">
            <w:pPr>
              <w:spacing w:after="0" w:line="240" w:lineRule="auto"/>
              <w:jc w:val="center"/>
              <w:rPr>
                <w:rFonts w:ascii="Arial Narrow" w:eastAsia="Times New Roman" w:hAnsi="Arial Narrow" w:cs="Arial"/>
                <w:sz w:val="16"/>
                <w:szCs w:val="16"/>
                <w:lang w:eastAsia="pt-BR"/>
              </w:rPr>
            </w:pPr>
          </w:p>
        </w:tc>
        <w:tc>
          <w:tcPr>
            <w:tcW w:w="1262" w:type="dxa"/>
            <w:tcBorders>
              <w:top w:val="nil"/>
              <w:left w:val="nil"/>
              <w:bottom w:val="nil"/>
              <w:right w:val="single" w:sz="8" w:space="0" w:color="auto"/>
            </w:tcBorders>
            <w:shd w:val="clear" w:color="auto" w:fill="auto"/>
            <w:noWrap/>
            <w:vAlign w:val="center"/>
          </w:tcPr>
          <w:p w14:paraId="14E29004" w14:textId="77777777" w:rsidR="00C77F0A" w:rsidRPr="006B69C6" w:rsidRDefault="00C77F0A" w:rsidP="00C77F0A">
            <w:pPr>
              <w:spacing w:after="0" w:line="240" w:lineRule="auto"/>
              <w:jc w:val="center"/>
              <w:rPr>
                <w:rFonts w:ascii="Arial Narrow" w:eastAsia="Times New Roman" w:hAnsi="Arial Narrow" w:cs="Arial"/>
                <w:sz w:val="16"/>
                <w:szCs w:val="16"/>
                <w:lang w:eastAsia="pt-BR"/>
              </w:rPr>
            </w:pPr>
          </w:p>
        </w:tc>
        <w:tc>
          <w:tcPr>
            <w:tcW w:w="4562" w:type="dxa"/>
            <w:tcBorders>
              <w:top w:val="nil"/>
              <w:left w:val="nil"/>
              <w:bottom w:val="nil"/>
            </w:tcBorders>
            <w:shd w:val="clear" w:color="000000" w:fill="FFFFFF"/>
            <w:noWrap/>
            <w:vAlign w:val="center"/>
          </w:tcPr>
          <w:p w14:paraId="02830802" w14:textId="0A6B6A38" w:rsidR="00C77F0A" w:rsidRPr="006B69C6" w:rsidRDefault="00C77F0A" w:rsidP="00C77F0A">
            <w:pPr>
              <w:spacing w:after="0" w:line="240" w:lineRule="auto"/>
              <w:ind w:firstLineChars="200" w:firstLine="320"/>
              <w:rPr>
                <w:rFonts w:ascii="Arial Narrow" w:eastAsia="Times New Roman" w:hAnsi="Arial Narrow" w:cs="Arial"/>
                <w:sz w:val="16"/>
                <w:szCs w:val="16"/>
                <w:lang w:eastAsia="pt-BR"/>
              </w:rPr>
            </w:pPr>
            <w:r w:rsidRPr="006B69C6">
              <w:rPr>
                <w:rFonts w:ascii="Arial Narrow" w:eastAsia="Times New Roman" w:hAnsi="Arial Narrow" w:cs="Arial"/>
                <w:sz w:val="16"/>
                <w:szCs w:val="16"/>
                <w:lang w:eastAsia="pt-BR"/>
              </w:rPr>
              <w:t>Provisões p/Riscos Decorrentes de Contratos de PPP a Curto Prazo</w:t>
            </w:r>
          </w:p>
        </w:tc>
        <w:tc>
          <w:tcPr>
            <w:tcW w:w="775" w:type="dxa"/>
            <w:tcBorders>
              <w:top w:val="nil"/>
              <w:bottom w:val="nil"/>
              <w:right w:val="single" w:sz="8" w:space="0" w:color="auto"/>
            </w:tcBorders>
            <w:shd w:val="clear" w:color="auto" w:fill="auto"/>
            <w:noWrap/>
            <w:vAlign w:val="center"/>
          </w:tcPr>
          <w:p w14:paraId="77D6E3A1" w14:textId="77777777" w:rsidR="00C77F0A" w:rsidRPr="003D0024" w:rsidRDefault="00C77F0A" w:rsidP="00C77F0A">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tcPr>
          <w:p w14:paraId="09E78C75" w14:textId="236ACF63" w:rsidR="00C77F0A" w:rsidRPr="003D0024" w:rsidRDefault="00C77F0A" w:rsidP="00C77F0A">
            <w:pPr>
              <w:spacing w:after="0" w:line="240" w:lineRule="auto"/>
              <w:jc w:val="center"/>
              <w:rPr>
                <w:rFonts w:ascii="Arial Narrow" w:eastAsia="Times New Roman" w:hAnsi="Arial Narrow" w:cs="Arial"/>
                <w:sz w:val="16"/>
                <w:szCs w:val="16"/>
                <w:lang w:eastAsia="pt-BR"/>
              </w:rPr>
            </w:pPr>
            <w:r w:rsidRPr="006B69C6">
              <w:rPr>
                <w:rFonts w:ascii="Arial Narrow" w:eastAsia="Times New Roman" w:hAnsi="Arial Narrow" w:cs="Arial"/>
                <w:sz w:val="16"/>
                <w:szCs w:val="16"/>
                <w:lang w:eastAsia="pt-BR"/>
              </w:rPr>
              <w:t>BPA.H023</w:t>
            </w:r>
          </w:p>
        </w:tc>
        <w:tc>
          <w:tcPr>
            <w:tcW w:w="1420" w:type="dxa"/>
            <w:tcBorders>
              <w:top w:val="nil"/>
              <w:left w:val="nil"/>
              <w:bottom w:val="nil"/>
              <w:right w:val="single" w:sz="8" w:space="0" w:color="auto"/>
            </w:tcBorders>
            <w:shd w:val="clear" w:color="auto" w:fill="auto"/>
            <w:noWrap/>
            <w:vAlign w:val="center"/>
          </w:tcPr>
          <w:p w14:paraId="13041D61" w14:textId="28C482F4" w:rsidR="00C77F0A" w:rsidRPr="003D0024" w:rsidRDefault="00C77F0A" w:rsidP="00C77F0A">
            <w:pPr>
              <w:spacing w:after="0" w:line="240" w:lineRule="auto"/>
              <w:jc w:val="center"/>
              <w:rPr>
                <w:rFonts w:ascii="Arial Narrow" w:eastAsia="Times New Roman" w:hAnsi="Arial Narrow" w:cs="Arial"/>
                <w:sz w:val="16"/>
                <w:szCs w:val="16"/>
                <w:lang w:eastAsia="pt-BR"/>
              </w:rPr>
            </w:pPr>
            <w:r w:rsidRPr="006B69C6">
              <w:rPr>
                <w:rFonts w:ascii="Arial Narrow" w:eastAsia="Times New Roman" w:hAnsi="Arial Narrow" w:cs="Arial"/>
                <w:sz w:val="16"/>
                <w:szCs w:val="16"/>
                <w:lang w:eastAsia="pt-BR"/>
              </w:rPr>
              <w:t>BPA.I023</w:t>
            </w:r>
          </w:p>
        </w:tc>
      </w:tr>
      <w:tr w:rsidR="00C77F0A" w:rsidRPr="009548D7" w14:paraId="3C904A2D" w14:textId="77777777" w:rsidTr="0015273C">
        <w:trPr>
          <w:trHeight w:hRule="exact" w:val="232"/>
        </w:trPr>
        <w:tc>
          <w:tcPr>
            <w:tcW w:w="4410" w:type="dxa"/>
            <w:tcBorders>
              <w:top w:val="nil"/>
              <w:left w:val="single" w:sz="8" w:space="0" w:color="auto"/>
              <w:bottom w:val="nil"/>
            </w:tcBorders>
            <w:shd w:val="clear" w:color="auto" w:fill="auto"/>
            <w:noWrap/>
            <w:vAlign w:val="center"/>
          </w:tcPr>
          <w:p w14:paraId="18D27814" w14:textId="77777777" w:rsidR="00C77F0A" w:rsidRPr="006B69C6" w:rsidRDefault="00C77F0A" w:rsidP="00C77F0A">
            <w:pPr>
              <w:ind w:firstLineChars="100" w:firstLine="160"/>
              <w:rPr>
                <w:rFonts w:ascii="Arial Narrow" w:eastAsia="Times New Roman" w:hAnsi="Arial Narrow" w:cs="Arial"/>
                <w:sz w:val="16"/>
                <w:szCs w:val="16"/>
                <w:lang w:eastAsia="pt-BR"/>
              </w:rPr>
            </w:pPr>
          </w:p>
        </w:tc>
        <w:tc>
          <w:tcPr>
            <w:tcW w:w="767" w:type="dxa"/>
            <w:tcBorders>
              <w:top w:val="nil"/>
              <w:bottom w:val="nil"/>
              <w:right w:val="single" w:sz="8" w:space="0" w:color="auto"/>
            </w:tcBorders>
            <w:shd w:val="clear" w:color="auto" w:fill="auto"/>
            <w:noWrap/>
            <w:vAlign w:val="center"/>
          </w:tcPr>
          <w:p w14:paraId="5D555A1A" w14:textId="77777777" w:rsidR="00C77F0A" w:rsidRPr="006B69C6" w:rsidRDefault="00C77F0A" w:rsidP="00C77F0A">
            <w:pPr>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tcPr>
          <w:p w14:paraId="2E6E722F" w14:textId="77777777" w:rsidR="00C77F0A" w:rsidRPr="006B69C6" w:rsidRDefault="00C77F0A" w:rsidP="00C77F0A">
            <w:pPr>
              <w:jc w:val="center"/>
              <w:rPr>
                <w:rFonts w:ascii="Arial Narrow" w:eastAsia="Times New Roman" w:hAnsi="Arial Narrow" w:cs="Arial"/>
                <w:sz w:val="16"/>
                <w:szCs w:val="16"/>
                <w:lang w:eastAsia="pt-BR"/>
              </w:rPr>
            </w:pPr>
          </w:p>
        </w:tc>
        <w:tc>
          <w:tcPr>
            <w:tcW w:w="1262" w:type="dxa"/>
            <w:tcBorders>
              <w:top w:val="nil"/>
              <w:left w:val="nil"/>
              <w:bottom w:val="nil"/>
              <w:right w:val="single" w:sz="8" w:space="0" w:color="auto"/>
            </w:tcBorders>
            <w:shd w:val="clear" w:color="auto" w:fill="auto"/>
            <w:noWrap/>
            <w:vAlign w:val="center"/>
          </w:tcPr>
          <w:p w14:paraId="5E1F4DA3" w14:textId="77777777" w:rsidR="00C77F0A" w:rsidRPr="006B69C6" w:rsidRDefault="00C77F0A" w:rsidP="00C77F0A">
            <w:pPr>
              <w:jc w:val="center"/>
              <w:rPr>
                <w:rFonts w:ascii="Arial Narrow" w:eastAsia="Times New Roman" w:hAnsi="Arial Narrow" w:cs="Arial"/>
                <w:sz w:val="16"/>
                <w:szCs w:val="16"/>
                <w:lang w:eastAsia="pt-BR"/>
              </w:rPr>
            </w:pPr>
          </w:p>
        </w:tc>
        <w:tc>
          <w:tcPr>
            <w:tcW w:w="4562" w:type="dxa"/>
            <w:tcBorders>
              <w:top w:val="nil"/>
              <w:left w:val="nil"/>
              <w:bottom w:val="nil"/>
            </w:tcBorders>
            <w:shd w:val="clear" w:color="000000" w:fill="FFFFFF"/>
            <w:noWrap/>
            <w:vAlign w:val="center"/>
          </w:tcPr>
          <w:p w14:paraId="71F25AE0" w14:textId="61FF634D" w:rsidR="00C77F0A" w:rsidRPr="006B69C6" w:rsidRDefault="00C77F0A" w:rsidP="00C77F0A">
            <w:pPr>
              <w:spacing w:after="0" w:line="240" w:lineRule="auto"/>
              <w:ind w:firstLineChars="200" w:firstLine="320"/>
              <w:rPr>
                <w:rFonts w:ascii="Arial Narrow" w:eastAsia="Times New Roman" w:hAnsi="Arial Narrow" w:cs="Arial"/>
                <w:sz w:val="16"/>
                <w:szCs w:val="16"/>
                <w:lang w:eastAsia="pt-BR"/>
              </w:rPr>
            </w:pPr>
            <w:r w:rsidRPr="006B69C6">
              <w:rPr>
                <w:rFonts w:ascii="Arial Narrow" w:hAnsi="Arial Narrow" w:cs="Arial"/>
                <w:sz w:val="16"/>
                <w:szCs w:val="16"/>
              </w:rPr>
              <w:t>Provisão p/ Obrigações Decorr. da Atuação Govern. a Curto Prazo</w:t>
            </w:r>
          </w:p>
        </w:tc>
        <w:tc>
          <w:tcPr>
            <w:tcW w:w="775" w:type="dxa"/>
            <w:tcBorders>
              <w:top w:val="nil"/>
              <w:bottom w:val="nil"/>
              <w:right w:val="single" w:sz="8" w:space="0" w:color="auto"/>
            </w:tcBorders>
            <w:shd w:val="clear" w:color="auto" w:fill="auto"/>
            <w:noWrap/>
            <w:vAlign w:val="center"/>
          </w:tcPr>
          <w:p w14:paraId="79953C75" w14:textId="77777777" w:rsidR="00C77F0A" w:rsidRPr="006B69C6" w:rsidRDefault="00C77F0A" w:rsidP="00C77F0A">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tcPr>
          <w:p w14:paraId="6D3D42B9" w14:textId="6C3BD065" w:rsidR="00C77F0A" w:rsidRPr="006B69C6" w:rsidRDefault="00C77F0A" w:rsidP="00C77F0A">
            <w:pPr>
              <w:spacing w:after="0" w:line="240" w:lineRule="auto"/>
              <w:jc w:val="center"/>
              <w:rPr>
                <w:rFonts w:ascii="Arial Narrow" w:eastAsia="Times New Roman" w:hAnsi="Arial Narrow" w:cs="Arial"/>
                <w:sz w:val="16"/>
                <w:szCs w:val="16"/>
                <w:lang w:eastAsia="pt-BR"/>
              </w:rPr>
            </w:pPr>
            <w:r w:rsidRPr="006B69C6">
              <w:rPr>
                <w:rFonts w:ascii="Arial Narrow" w:hAnsi="Arial Narrow" w:cs="Arial"/>
                <w:sz w:val="16"/>
                <w:szCs w:val="16"/>
              </w:rPr>
              <w:t>BPA.H072</w:t>
            </w:r>
          </w:p>
        </w:tc>
        <w:tc>
          <w:tcPr>
            <w:tcW w:w="1420" w:type="dxa"/>
            <w:tcBorders>
              <w:top w:val="nil"/>
              <w:left w:val="nil"/>
              <w:bottom w:val="nil"/>
              <w:right w:val="single" w:sz="8" w:space="0" w:color="auto"/>
            </w:tcBorders>
            <w:shd w:val="clear" w:color="auto" w:fill="auto"/>
            <w:noWrap/>
            <w:vAlign w:val="center"/>
          </w:tcPr>
          <w:p w14:paraId="6235948A" w14:textId="74B7AFD6" w:rsidR="00C77F0A" w:rsidRPr="006B69C6" w:rsidRDefault="00C77F0A" w:rsidP="00C77F0A">
            <w:pPr>
              <w:spacing w:after="0" w:line="240" w:lineRule="auto"/>
              <w:jc w:val="center"/>
              <w:rPr>
                <w:rFonts w:ascii="Arial Narrow" w:eastAsia="Times New Roman" w:hAnsi="Arial Narrow" w:cs="Arial"/>
                <w:sz w:val="16"/>
                <w:szCs w:val="16"/>
                <w:lang w:eastAsia="pt-BR"/>
              </w:rPr>
            </w:pPr>
            <w:r w:rsidRPr="006B69C6">
              <w:rPr>
                <w:rFonts w:ascii="Arial Narrow" w:hAnsi="Arial Narrow" w:cs="Arial"/>
                <w:sz w:val="16"/>
                <w:szCs w:val="16"/>
              </w:rPr>
              <w:t>BPA.I072</w:t>
            </w:r>
          </w:p>
        </w:tc>
      </w:tr>
      <w:tr w:rsidR="00C77F0A" w:rsidRPr="009548D7" w14:paraId="2ECD83BD" w14:textId="77777777" w:rsidTr="0015273C">
        <w:trPr>
          <w:trHeight w:hRule="exact" w:val="227"/>
        </w:trPr>
        <w:tc>
          <w:tcPr>
            <w:tcW w:w="4410" w:type="dxa"/>
            <w:tcBorders>
              <w:top w:val="nil"/>
              <w:left w:val="single" w:sz="8" w:space="0" w:color="auto"/>
              <w:bottom w:val="nil"/>
            </w:tcBorders>
            <w:shd w:val="clear" w:color="auto" w:fill="auto"/>
            <w:noWrap/>
            <w:vAlign w:val="center"/>
          </w:tcPr>
          <w:p w14:paraId="067A643D" w14:textId="77777777" w:rsidR="00C77F0A" w:rsidRPr="006B69C6" w:rsidRDefault="00C77F0A" w:rsidP="00C77F0A">
            <w:pPr>
              <w:spacing w:after="0" w:line="240" w:lineRule="auto"/>
              <w:ind w:firstLineChars="100" w:firstLine="160"/>
              <w:rPr>
                <w:rFonts w:ascii="Arial Narrow" w:eastAsia="Times New Roman" w:hAnsi="Arial Narrow" w:cs="Arial"/>
                <w:sz w:val="16"/>
                <w:szCs w:val="16"/>
                <w:lang w:eastAsia="pt-BR"/>
              </w:rPr>
            </w:pPr>
          </w:p>
        </w:tc>
        <w:tc>
          <w:tcPr>
            <w:tcW w:w="767" w:type="dxa"/>
            <w:tcBorders>
              <w:top w:val="nil"/>
              <w:bottom w:val="nil"/>
              <w:right w:val="single" w:sz="8" w:space="0" w:color="auto"/>
            </w:tcBorders>
            <w:shd w:val="clear" w:color="auto" w:fill="auto"/>
            <w:noWrap/>
            <w:vAlign w:val="center"/>
          </w:tcPr>
          <w:p w14:paraId="20641B01" w14:textId="77777777" w:rsidR="00C77F0A" w:rsidRPr="006B69C6" w:rsidRDefault="00C77F0A" w:rsidP="00C77F0A">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tcPr>
          <w:p w14:paraId="3B6CBA99" w14:textId="77777777" w:rsidR="00C77F0A" w:rsidRPr="006B69C6" w:rsidRDefault="00C77F0A" w:rsidP="00C77F0A">
            <w:pPr>
              <w:spacing w:after="0" w:line="240" w:lineRule="auto"/>
              <w:jc w:val="center"/>
              <w:rPr>
                <w:rFonts w:ascii="Arial Narrow" w:eastAsia="Times New Roman" w:hAnsi="Arial Narrow" w:cs="Arial"/>
                <w:sz w:val="16"/>
                <w:szCs w:val="16"/>
                <w:lang w:eastAsia="pt-BR"/>
              </w:rPr>
            </w:pPr>
          </w:p>
        </w:tc>
        <w:tc>
          <w:tcPr>
            <w:tcW w:w="1262" w:type="dxa"/>
            <w:tcBorders>
              <w:top w:val="nil"/>
              <w:left w:val="nil"/>
              <w:bottom w:val="nil"/>
              <w:right w:val="single" w:sz="8" w:space="0" w:color="auto"/>
            </w:tcBorders>
            <w:shd w:val="clear" w:color="auto" w:fill="auto"/>
            <w:noWrap/>
            <w:vAlign w:val="center"/>
          </w:tcPr>
          <w:p w14:paraId="553F5320" w14:textId="77777777" w:rsidR="00C77F0A" w:rsidRPr="006B69C6" w:rsidRDefault="00C77F0A" w:rsidP="00C77F0A">
            <w:pPr>
              <w:spacing w:after="0" w:line="240" w:lineRule="auto"/>
              <w:jc w:val="center"/>
              <w:rPr>
                <w:rFonts w:ascii="Arial Narrow" w:eastAsia="Times New Roman" w:hAnsi="Arial Narrow" w:cs="Arial"/>
                <w:sz w:val="16"/>
                <w:szCs w:val="16"/>
                <w:lang w:eastAsia="pt-BR"/>
              </w:rPr>
            </w:pPr>
          </w:p>
        </w:tc>
        <w:tc>
          <w:tcPr>
            <w:tcW w:w="4562" w:type="dxa"/>
            <w:tcBorders>
              <w:top w:val="nil"/>
              <w:left w:val="nil"/>
              <w:bottom w:val="nil"/>
            </w:tcBorders>
            <w:shd w:val="clear" w:color="000000" w:fill="FFFFFF"/>
            <w:noWrap/>
            <w:vAlign w:val="center"/>
            <w:hideMark/>
          </w:tcPr>
          <w:p w14:paraId="7964E0C4" w14:textId="79656D8E" w:rsidR="00C77F0A" w:rsidRPr="006B69C6" w:rsidRDefault="00C77F0A" w:rsidP="00C77F0A">
            <w:pPr>
              <w:ind w:firstLineChars="200" w:firstLine="32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Outras Provisões a Curto Prazo</w:t>
            </w:r>
          </w:p>
        </w:tc>
        <w:tc>
          <w:tcPr>
            <w:tcW w:w="775" w:type="dxa"/>
            <w:tcBorders>
              <w:top w:val="nil"/>
              <w:bottom w:val="nil"/>
              <w:right w:val="single" w:sz="8" w:space="0" w:color="auto"/>
            </w:tcBorders>
            <w:shd w:val="clear" w:color="auto" w:fill="auto"/>
            <w:noWrap/>
            <w:vAlign w:val="center"/>
          </w:tcPr>
          <w:p w14:paraId="2E0FBFDB" w14:textId="77777777" w:rsidR="00C77F0A" w:rsidRPr="006B69C6" w:rsidRDefault="00C77F0A" w:rsidP="00C77F0A">
            <w:pPr>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tcPr>
          <w:p w14:paraId="2D4009C1" w14:textId="12E29018" w:rsidR="00C77F0A" w:rsidRPr="006B69C6" w:rsidRDefault="00C77F0A" w:rsidP="00C77F0A">
            <w:pPr>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BPA.H024</w:t>
            </w:r>
          </w:p>
        </w:tc>
        <w:tc>
          <w:tcPr>
            <w:tcW w:w="1420" w:type="dxa"/>
            <w:tcBorders>
              <w:top w:val="nil"/>
              <w:left w:val="nil"/>
              <w:bottom w:val="nil"/>
              <w:right w:val="single" w:sz="8" w:space="0" w:color="auto"/>
            </w:tcBorders>
            <w:shd w:val="clear" w:color="auto" w:fill="auto"/>
            <w:noWrap/>
            <w:vAlign w:val="center"/>
          </w:tcPr>
          <w:p w14:paraId="0CC2F8C0" w14:textId="66077E7A" w:rsidR="00C77F0A" w:rsidRPr="006B69C6" w:rsidRDefault="00C77F0A" w:rsidP="00C77F0A">
            <w:pPr>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BPA.I024</w:t>
            </w:r>
          </w:p>
        </w:tc>
      </w:tr>
      <w:tr w:rsidR="00C77F0A" w:rsidRPr="009548D7" w14:paraId="79CBBFCA" w14:textId="77777777" w:rsidTr="0015273C">
        <w:trPr>
          <w:trHeight w:val="240"/>
        </w:trPr>
        <w:tc>
          <w:tcPr>
            <w:tcW w:w="4410" w:type="dxa"/>
            <w:tcBorders>
              <w:top w:val="nil"/>
              <w:left w:val="single" w:sz="8" w:space="0" w:color="auto"/>
              <w:bottom w:val="nil"/>
            </w:tcBorders>
            <w:shd w:val="clear" w:color="auto" w:fill="auto"/>
            <w:noWrap/>
            <w:vAlign w:val="center"/>
            <w:hideMark/>
          </w:tcPr>
          <w:p w14:paraId="1D43C706" w14:textId="77777777" w:rsidR="00C77F0A" w:rsidRPr="009548D7" w:rsidRDefault="00C77F0A" w:rsidP="00C77F0A">
            <w:pPr>
              <w:spacing w:after="0" w:line="240" w:lineRule="auto"/>
              <w:ind w:firstLineChars="200" w:firstLine="320"/>
              <w:rPr>
                <w:rFonts w:ascii="Arial Narrow" w:eastAsia="Times New Roman" w:hAnsi="Arial Narrow" w:cs="Arial"/>
                <w:color w:val="00B050"/>
                <w:sz w:val="16"/>
                <w:szCs w:val="16"/>
                <w:lang w:eastAsia="pt-BR"/>
              </w:rPr>
            </w:pPr>
            <w:r w:rsidRPr="009548D7">
              <w:rPr>
                <w:rFonts w:ascii="Arial Narrow" w:eastAsia="Times New Roman" w:hAnsi="Arial Narrow" w:cs="Arial"/>
                <w:color w:val="00B050"/>
                <w:sz w:val="16"/>
                <w:szCs w:val="16"/>
                <w:lang w:eastAsia="pt-BR"/>
              </w:rPr>
              <w:t> </w:t>
            </w:r>
          </w:p>
        </w:tc>
        <w:tc>
          <w:tcPr>
            <w:tcW w:w="767" w:type="dxa"/>
            <w:tcBorders>
              <w:top w:val="nil"/>
              <w:bottom w:val="nil"/>
              <w:right w:val="nil"/>
            </w:tcBorders>
            <w:shd w:val="clear" w:color="auto" w:fill="auto"/>
            <w:noWrap/>
            <w:vAlign w:val="center"/>
          </w:tcPr>
          <w:p w14:paraId="4C36F118" w14:textId="77777777" w:rsidR="00C77F0A" w:rsidRPr="009548D7" w:rsidRDefault="00C77F0A" w:rsidP="00C77F0A">
            <w:pPr>
              <w:spacing w:after="0" w:line="240" w:lineRule="auto"/>
              <w:ind w:firstLineChars="200" w:firstLine="320"/>
              <w:rPr>
                <w:rFonts w:ascii="Arial Narrow" w:eastAsia="Times New Roman" w:hAnsi="Arial Narrow" w:cs="Arial"/>
                <w:color w:val="00B050"/>
                <w:sz w:val="16"/>
                <w:szCs w:val="16"/>
                <w:lang w:eastAsia="pt-BR"/>
              </w:rPr>
            </w:pPr>
          </w:p>
        </w:tc>
        <w:tc>
          <w:tcPr>
            <w:tcW w:w="1063" w:type="dxa"/>
            <w:tcBorders>
              <w:top w:val="nil"/>
              <w:left w:val="single" w:sz="8" w:space="0" w:color="auto"/>
              <w:bottom w:val="nil"/>
              <w:right w:val="single" w:sz="8" w:space="0" w:color="auto"/>
            </w:tcBorders>
            <w:shd w:val="clear" w:color="auto" w:fill="auto"/>
            <w:noWrap/>
            <w:vAlign w:val="center"/>
            <w:hideMark/>
          </w:tcPr>
          <w:p w14:paraId="72CBFD3B" w14:textId="77777777" w:rsidR="00C77F0A" w:rsidRPr="009548D7" w:rsidRDefault="00C77F0A" w:rsidP="00C77F0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w:t>
            </w:r>
          </w:p>
        </w:tc>
        <w:tc>
          <w:tcPr>
            <w:tcW w:w="1262" w:type="dxa"/>
            <w:tcBorders>
              <w:top w:val="nil"/>
              <w:left w:val="nil"/>
              <w:bottom w:val="nil"/>
              <w:right w:val="single" w:sz="8" w:space="0" w:color="auto"/>
            </w:tcBorders>
            <w:shd w:val="clear" w:color="auto" w:fill="auto"/>
            <w:noWrap/>
            <w:vAlign w:val="center"/>
            <w:hideMark/>
          </w:tcPr>
          <w:p w14:paraId="16BEC6A2" w14:textId="77777777" w:rsidR="00C77F0A" w:rsidRPr="009548D7" w:rsidRDefault="00C77F0A" w:rsidP="00C77F0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w:t>
            </w:r>
          </w:p>
        </w:tc>
        <w:tc>
          <w:tcPr>
            <w:tcW w:w="4562" w:type="dxa"/>
            <w:tcBorders>
              <w:top w:val="nil"/>
              <w:left w:val="nil"/>
              <w:bottom w:val="nil"/>
            </w:tcBorders>
            <w:shd w:val="clear" w:color="000000" w:fill="FFFFFF"/>
            <w:noWrap/>
            <w:vAlign w:val="center"/>
            <w:hideMark/>
          </w:tcPr>
          <w:p w14:paraId="2FD6F49E" w14:textId="3DCE769B" w:rsidR="00C77F0A" w:rsidRPr="009548D7" w:rsidRDefault="00C77F0A" w:rsidP="00C77F0A">
            <w:pPr>
              <w:spacing w:after="0" w:line="240" w:lineRule="auto"/>
              <w:ind w:firstLineChars="94" w:firstLine="15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Demais Obrigações a Curto Prazo</w:t>
            </w:r>
          </w:p>
        </w:tc>
        <w:tc>
          <w:tcPr>
            <w:tcW w:w="775" w:type="dxa"/>
            <w:tcBorders>
              <w:top w:val="nil"/>
              <w:bottom w:val="nil"/>
              <w:right w:val="single" w:sz="8" w:space="0" w:color="auto"/>
            </w:tcBorders>
            <w:shd w:val="clear" w:color="auto" w:fill="auto"/>
            <w:noWrap/>
            <w:vAlign w:val="center"/>
          </w:tcPr>
          <w:p w14:paraId="64731AFA" w14:textId="77777777" w:rsidR="00C77F0A" w:rsidRPr="009548D7" w:rsidRDefault="00C77F0A" w:rsidP="00C77F0A">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2EDED0E6" w14:textId="4F309B0E" w:rsidR="00C77F0A" w:rsidRPr="009548D7" w:rsidRDefault="00C77F0A" w:rsidP="00C77F0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BPA.H025</w:t>
            </w:r>
          </w:p>
        </w:tc>
        <w:tc>
          <w:tcPr>
            <w:tcW w:w="1420" w:type="dxa"/>
            <w:tcBorders>
              <w:top w:val="nil"/>
              <w:left w:val="nil"/>
              <w:bottom w:val="nil"/>
              <w:right w:val="single" w:sz="8" w:space="0" w:color="auto"/>
            </w:tcBorders>
            <w:shd w:val="clear" w:color="auto" w:fill="auto"/>
            <w:noWrap/>
            <w:vAlign w:val="center"/>
            <w:hideMark/>
          </w:tcPr>
          <w:p w14:paraId="3500C67F" w14:textId="5DACC10D" w:rsidR="00C77F0A" w:rsidRPr="009548D7" w:rsidRDefault="00C77F0A" w:rsidP="00C77F0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BPA.I025</w:t>
            </w:r>
          </w:p>
        </w:tc>
      </w:tr>
      <w:tr w:rsidR="00C77F0A" w:rsidRPr="009548D7" w14:paraId="24D4AAB8" w14:textId="77777777" w:rsidTr="00C77F0A">
        <w:trPr>
          <w:trHeight w:val="240"/>
        </w:trPr>
        <w:tc>
          <w:tcPr>
            <w:tcW w:w="4410" w:type="dxa"/>
            <w:tcBorders>
              <w:top w:val="nil"/>
              <w:left w:val="single" w:sz="8" w:space="0" w:color="auto"/>
              <w:bottom w:val="nil"/>
            </w:tcBorders>
            <w:shd w:val="clear" w:color="auto" w:fill="auto"/>
            <w:noWrap/>
            <w:vAlign w:val="center"/>
            <w:hideMark/>
          </w:tcPr>
          <w:p w14:paraId="1889976E" w14:textId="77777777" w:rsidR="00C77F0A" w:rsidRPr="009548D7" w:rsidRDefault="00C77F0A" w:rsidP="0015273C">
            <w:pPr>
              <w:spacing w:after="0" w:line="240" w:lineRule="auto"/>
              <w:rPr>
                <w:rFonts w:ascii="Arial Narrow" w:eastAsia="Times New Roman" w:hAnsi="Arial Narrow" w:cs="Arial"/>
                <w:color w:val="0070C0"/>
                <w:sz w:val="16"/>
                <w:szCs w:val="16"/>
                <w:lang w:eastAsia="pt-BR"/>
              </w:rPr>
            </w:pPr>
            <w:r w:rsidRPr="009548D7">
              <w:rPr>
                <w:rFonts w:ascii="Arial Narrow" w:eastAsia="Times New Roman" w:hAnsi="Arial Narrow" w:cs="Arial"/>
                <w:color w:val="0070C0"/>
                <w:sz w:val="16"/>
                <w:szCs w:val="16"/>
                <w:lang w:eastAsia="pt-BR"/>
              </w:rPr>
              <w:t> </w:t>
            </w:r>
          </w:p>
        </w:tc>
        <w:tc>
          <w:tcPr>
            <w:tcW w:w="767" w:type="dxa"/>
            <w:tcBorders>
              <w:top w:val="nil"/>
              <w:bottom w:val="nil"/>
              <w:right w:val="nil"/>
            </w:tcBorders>
            <w:shd w:val="clear" w:color="auto" w:fill="auto"/>
            <w:noWrap/>
            <w:vAlign w:val="center"/>
          </w:tcPr>
          <w:p w14:paraId="718311ED" w14:textId="77777777" w:rsidR="00C77F0A" w:rsidRPr="009548D7" w:rsidRDefault="00C77F0A" w:rsidP="0015273C">
            <w:pPr>
              <w:spacing w:after="0" w:line="240" w:lineRule="auto"/>
              <w:rPr>
                <w:rFonts w:ascii="Arial Narrow" w:eastAsia="Times New Roman" w:hAnsi="Arial Narrow" w:cs="Arial"/>
                <w:color w:val="0070C0"/>
                <w:sz w:val="16"/>
                <w:szCs w:val="16"/>
                <w:lang w:eastAsia="pt-BR"/>
              </w:rPr>
            </w:pPr>
          </w:p>
        </w:tc>
        <w:tc>
          <w:tcPr>
            <w:tcW w:w="1063" w:type="dxa"/>
            <w:tcBorders>
              <w:top w:val="nil"/>
              <w:left w:val="single" w:sz="8" w:space="0" w:color="auto"/>
              <w:bottom w:val="nil"/>
              <w:right w:val="single" w:sz="8" w:space="0" w:color="auto"/>
            </w:tcBorders>
            <w:shd w:val="clear" w:color="auto" w:fill="auto"/>
            <w:noWrap/>
            <w:vAlign w:val="center"/>
            <w:hideMark/>
          </w:tcPr>
          <w:p w14:paraId="4C53AF6D" w14:textId="77777777" w:rsidR="00C77F0A" w:rsidRPr="009548D7" w:rsidRDefault="00C77F0A" w:rsidP="0015273C">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 </w:t>
            </w:r>
          </w:p>
        </w:tc>
        <w:tc>
          <w:tcPr>
            <w:tcW w:w="1262" w:type="dxa"/>
            <w:tcBorders>
              <w:top w:val="nil"/>
              <w:left w:val="nil"/>
              <w:bottom w:val="nil"/>
              <w:right w:val="single" w:sz="8" w:space="0" w:color="auto"/>
            </w:tcBorders>
            <w:shd w:val="clear" w:color="auto" w:fill="auto"/>
            <w:noWrap/>
            <w:vAlign w:val="center"/>
            <w:hideMark/>
          </w:tcPr>
          <w:p w14:paraId="417DCC07" w14:textId="77777777" w:rsidR="00C77F0A" w:rsidRPr="009548D7" w:rsidRDefault="00C77F0A" w:rsidP="0015273C">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 </w:t>
            </w:r>
          </w:p>
        </w:tc>
        <w:tc>
          <w:tcPr>
            <w:tcW w:w="4562" w:type="dxa"/>
            <w:tcBorders>
              <w:top w:val="nil"/>
              <w:left w:val="nil"/>
              <w:bottom w:val="nil"/>
            </w:tcBorders>
            <w:shd w:val="clear" w:color="auto" w:fill="auto"/>
            <w:noWrap/>
            <w:vAlign w:val="center"/>
          </w:tcPr>
          <w:p w14:paraId="120903CF" w14:textId="7020F3FA" w:rsidR="00C77F0A" w:rsidRPr="009548D7" w:rsidRDefault="00C77F0A" w:rsidP="0015273C">
            <w:pPr>
              <w:spacing w:after="0" w:line="240" w:lineRule="auto"/>
              <w:ind w:firstLineChars="100" w:firstLine="160"/>
              <w:rPr>
                <w:rFonts w:ascii="Arial Narrow" w:eastAsia="Times New Roman" w:hAnsi="Arial Narrow" w:cs="Arial"/>
                <w:sz w:val="16"/>
                <w:szCs w:val="16"/>
                <w:lang w:eastAsia="pt-BR"/>
              </w:rPr>
            </w:pPr>
          </w:p>
        </w:tc>
        <w:tc>
          <w:tcPr>
            <w:tcW w:w="775" w:type="dxa"/>
            <w:tcBorders>
              <w:top w:val="nil"/>
              <w:bottom w:val="nil"/>
              <w:right w:val="single" w:sz="8" w:space="0" w:color="auto"/>
            </w:tcBorders>
            <w:shd w:val="clear" w:color="auto" w:fill="auto"/>
            <w:noWrap/>
            <w:vAlign w:val="center"/>
          </w:tcPr>
          <w:p w14:paraId="7EE3D8D0"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tcPr>
          <w:p w14:paraId="0601A1BF" w14:textId="547D9098" w:rsidR="00C77F0A" w:rsidRPr="009548D7" w:rsidRDefault="00C77F0A" w:rsidP="0015273C">
            <w:pPr>
              <w:spacing w:after="0" w:line="240" w:lineRule="auto"/>
              <w:jc w:val="center"/>
              <w:rPr>
                <w:rFonts w:ascii="Arial Narrow" w:eastAsia="Times New Roman" w:hAnsi="Arial Narrow" w:cs="Arial"/>
                <w:sz w:val="16"/>
                <w:szCs w:val="16"/>
                <w:lang w:eastAsia="pt-BR"/>
              </w:rPr>
            </w:pPr>
          </w:p>
        </w:tc>
        <w:tc>
          <w:tcPr>
            <w:tcW w:w="1420" w:type="dxa"/>
            <w:tcBorders>
              <w:top w:val="nil"/>
              <w:left w:val="nil"/>
              <w:bottom w:val="nil"/>
              <w:right w:val="single" w:sz="8" w:space="0" w:color="auto"/>
            </w:tcBorders>
            <w:shd w:val="clear" w:color="auto" w:fill="auto"/>
            <w:noWrap/>
            <w:vAlign w:val="center"/>
          </w:tcPr>
          <w:p w14:paraId="07A6CB5F" w14:textId="4D83CDDE" w:rsidR="00C77F0A" w:rsidRPr="009548D7" w:rsidRDefault="00C77F0A" w:rsidP="0015273C">
            <w:pPr>
              <w:spacing w:after="0" w:line="240" w:lineRule="auto"/>
              <w:jc w:val="center"/>
              <w:rPr>
                <w:rFonts w:ascii="Arial Narrow" w:eastAsia="Times New Roman" w:hAnsi="Arial Narrow" w:cs="Arial"/>
                <w:sz w:val="16"/>
                <w:szCs w:val="16"/>
                <w:lang w:eastAsia="pt-BR"/>
              </w:rPr>
            </w:pPr>
          </w:p>
        </w:tc>
      </w:tr>
      <w:tr w:rsidR="00C77F0A" w:rsidRPr="009548D7" w14:paraId="70814701" w14:textId="77777777" w:rsidTr="0015273C">
        <w:trPr>
          <w:trHeight w:val="255"/>
        </w:trPr>
        <w:tc>
          <w:tcPr>
            <w:tcW w:w="4410" w:type="dxa"/>
            <w:tcBorders>
              <w:top w:val="nil"/>
              <w:left w:val="single" w:sz="8" w:space="0" w:color="auto"/>
              <w:bottom w:val="nil"/>
            </w:tcBorders>
            <w:shd w:val="clear" w:color="auto" w:fill="auto"/>
            <w:noWrap/>
            <w:vAlign w:val="center"/>
            <w:hideMark/>
          </w:tcPr>
          <w:p w14:paraId="60C26641" w14:textId="77777777" w:rsidR="00C77F0A" w:rsidRPr="009548D7" w:rsidRDefault="00C77F0A" w:rsidP="0015273C">
            <w:pPr>
              <w:spacing w:after="0" w:line="240" w:lineRule="auto"/>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ATIVO NÃO CIRCULANTE</w:t>
            </w:r>
          </w:p>
        </w:tc>
        <w:tc>
          <w:tcPr>
            <w:tcW w:w="767" w:type="dxa"/>
            <w:tcBorders>
              <w:top w:val="nil"/>
              <w:bottom w:val="nil"/>
              <w:right w:val="single" w:sz="8" w:space="0" w:color="auto"/>
            </w:tcBorders>
            <w:shd w:val="clear" w:color="auto" w:fill="auto"/>
            <w:noWrap/>
            <w:vAlign w:val="center"/>
          </w:tcPr>
          <w:p w14:paraId="1CD9B9D6" w14:textId="77777777" w:rsidR="00C77F0A" w:rsidRPr="009548D7" w:rsidRDefault="00C77F0A" w:rsidP="0015273C">
            <w:pPr>
              <w:spacing w:after="0" w:line="240" w:lineRule="auto"/>
              <w:jc w:val="center"/>
              <w:rPr>
                <w:rFonts w:ascii="Arial Narrow" w:eastAsia="Times New Roman" w:hAnsi="Arial Narrow" w:cs="Arial"/>
                <w:b/>
                <w:bCs/>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67BB01A2" w14:textId="77777777" w:rsidR="00C77F0A" w:rsidRPr="009548D7" w:rsidRDefault="00C77F0A" w:rsidP="0015273C">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BPA.D027</w:t>
            </w:r>
          </w:p>
        </w:tc>
        <w:tc>
          <w:tcPr>
            <w:tcW w:w="1262" w:type="dxa"/>
            <w:tcBorders>
              <w:top w:val="nil"/>
              <w:left w:val="nil"/>
              <w:bottom w:val="nil"/>
              <w:right w:val="single" w:sz="8" w:space="0" w:color="auto"/>
            </w:tcBorders>
            <w:shd w:val="clear" w:color="auto" w:fill="auto"/>
            <w:noWrap/>
            <w:vAlign w:val="center"/>
            <w:hideMark/>
          </w:tcPr>
          <w:p w14:paraId="0C3A9B37" w14:textId="77777777" w:rsidR="00C77F0A" w:rsidRPr="009548D7" w:rsidRDefault="00C77F0A" w:rsidP="0015273C">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BPA.E027</w:t>
            </w:r>
          </w:p>
        </w:tc>
        <w:tc>
          <w:tcPr>
            <w:tcW w:w="4562" w:type="dxa"/>
            <w:tcBorders>
              <w:top w:val="nil"/>
              <w:left w:val="nil"/>
              <w:bottom w:val="nil"/>
            </w:tcBorders>
            <w:shd w:val="clear" w:color="auto" w:fill="auto"/>
            <w:noWrap/>
            <w:vAlign w:val="center"/>
            <w:hideMark/>
          </w:tcPr>
          <w:p w14:paraId="3F614E05" w14:textId="77777777" w:rsidR="00C77F0A" w:rsidRPr="009548D7" w:rsidRDefault="00C77F0A" w:rsidP="0015273C">
            <w:pPr>
              <w:spacing w:after="0" w:line="240" w:lineRule="auto"/>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PASSIVO NÃO-CIRCULANTE</w:t>
            </w:r>
          </w:p>
        </w:tc>
        <w:tc>
          <w:tcPr>
            <w:tcW w:w="775" w:type="dxa"/>
            <w:tcBorders>
              <w:top w:val="nil"/>
              <w:bottom w:val="nil"/>
              <w:right w:val="single" w:sz="8" w:space="0" w:color="auto"/>
            </w:tcBorders>
            <w:shd w:val="clear" w:color="auto" w:fill="auto"/>
            <w:noWrap/>
            <w:vAlign w:val="center"/>
          </w:tcPr>
          <w:p w14:paraId="12FAE2C5" w14:textId="77777777" w:rsidR="00C77F0A" w:rsidRPr="009548D7" w:rsidRDefault="00C77F0A" w:rsidP="0015273C">
            <w:pPr>
              <w:spacing w:after="0" w:line="240" w:lineRule="auto"/>
              <w:jc w:val="center"/>
              <w:rPr>
                <w:rFonts w:ascii="Arial Narrow" w:eastAsia="Times New Roman" w:hAnsi="Arial Narrow" w:cs="Arial"/>
                <w:b/>
                <w:bCs/>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3DDA67F3" w14:textId="77777777" w:rsidR="00C77F0A" w:rsidRPr="009548D7" w:rsidRDefault="00C77F0A" w:rsidP="0015273C">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BPA.H027</w:t>
            </w:r>
          </w:p>
        </w:tc>
        <w:tc>
          <w:tcPr>
            <w:tcW w:w="1420" w:type="dxa"/>
            <w:tcBorders>
              <w:top w:val="nil"/>
              <w:left w:val="nil"/>
              <w:bottom w:val="nil"/>
              <w:right w:val="single" w:sz="8" w:space="0" w:color="auto"/>
            </w:tcBorders>
            <w:shd w:val="clear" w:color="auto" w:fill="auto"/>
            <w:noWrap/>
            <w:vAlign w:val="center"/>
            <w:hideMark/>
          </w:tcPr>
          <w:p w14:paraId="7ED29A95" w14:textId="77777777" w:rsidR="00C77F0A" w:rsidRPr="009548D7" w:rsidRDefault="00C77F0A" w:rsidP="0015273C">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BPA.I027</w:t>
            </w:r>
          </w:p>
        </w:tc>
      </w:tr>
      <w:tr w:rsidR="00C77F0A" w:rsidRPr="009548D7" w14:paraId="1F310162" w14:textId="77777777" w:rsidTr="0015273C">
        <w:trPr>
          <w:trHeight w:val="255"/>
        </w:trPr>
        <w:tc>
          <w:tcPr>
            <w:tcW w:w="4410" w:type="dxa"/>
            <w:tcBorders>
              <w:top w:val="nil"/>
              <w:left w:val="single" w:sz="8" w:space="0" w:color="auto"/>
              <w:bottom w:val="nil"/>
            </w:tcBorders>
            <w:shd w:val="clear" w:color="auto" w:fill="auto"/>
            <w:noWrap/>
            <w:vAlign w:val="center"/>
            <w:hideMark/>
          </w:tcPr>
          <w:p w14:paraId="2A8DDB63" w14:textId="77777777" w:rsidR="00C77F0A" w:rsidRPr="009548D7" w:rsidRDefault="00C77F0A" w:rsidP="0015273C">
            <w:pPr>
              <w:spacing w:after="0" w:line="240" w:lineRule="auto"/>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 </w:t>
            </w:r>
          </w:p>
        </w:tc>
        <w:tc>
          <w:tcPr>
            <w:tcW w:w="767" w:type="dxa"/>
            <w:tcBorders>
              <w:top w:val="nil"/>
              <w:bottom w:val="nil"/>
              <w:right w:val="single" w:sz="8" w:space="0" w:color="auto"/>
            </w:tcBorders>
            <w:shd w:val="clear" w:color="auto" w:fill="auto"/>
            <w:noWrap/>
            <w:vAlign w:val="center"/>
          </w:tcPr>
          <w:p w14:paraId="1F263FB5" w14:textId="77777777" w:rsidR="00C77F0A" w:rsidRPr="009548D7" w:rsidRDefault="00C77F0A" w:rsidP="0015273C">
            <w:pPr>
              <w:spacing w:after="0" w:line="240" w:lineRule="auto"/>
              <w:jc w:val="center"/>
              <w:rPr>
                <w:rFonts w:ascii="Arial Narrow" w:eastAsia="Times New Roman" w:hAnsi="Arial Narrow" w:cs="Arial"/>
                <w:b/>
                <w:bCs/>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1966B4F5" w14:textId="77777777" w:rsidR="00C77F0A" w:rsidRPr="009548D7" w:rsidRDefault="00C77F0A" w:rsidP="0015273C">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 </w:t>
            </w:r>
          </w:p>
        </w:tc>
        <w:tc>
          <w:tcPr>
            <w:tcW w:w="1262" w:type="dxa"/>
            <w:tcBorders>
              <w:top w:val="nil"/>
              <w:left w:val="nil"/>
              <w:bottom w:val="nil"/>
              <w:right w:val="single" w:sz="8" w:space="0" w:color="auto"/>
            </w:tcBorders>
            <w:shd w:val="clear" w:color="auto" w:fill="auto"/>
            <w:noWrap/>
            <w:vAlign w:val="center"/>
            <w:hideMark/>
          </w:tcPr>
          <w:p w14:paraId="1438E94F" w14:textId="77777777" w:rsidR="00C77F0A" w:rsidRPr="009548D7" w:rsidRDefault="00C77F0A" w:rsidP="0015273C">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 </w:t>
            </w:r>
          </w:p>
        </w:tc>
        <w:tc>
          <w:tcPr>
            <w:tcW w:w="4562" w:type="dxa"/>
            <w:tcBorders>
              <w:top w:val="nil"/>
              <w:left w:val="nil"/>
              <w:bottom w:val="nil"/>
            </w:tcBorders>
            <w:shd w:val="clear" w:color="auto" w:fill="auto"/>
            <w:noWrap/>
            <w:vAlign w:val="center"/>
            <w:hideMark/>
          </w:tcPr>
          <w:p w14:paraId="665B280E" w14:textId="77777777" w:rsidR="00C77F0A" w:rsidRPr="009548D7" w:rsidRDefault="00C77F0A" w:rsidP="0015273C">
            <w:pPr>
              <w:spacing w:after="0" w:line="240" w:lineRule="auto"/>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 </w:t>
            </w:r>
          </w:p>
        </w:tc>
        <w:tc>
          <w:tcPr>
            <w:tcW w:w="775" w:type="dxa"/>
            <w:tcBorders>
              <w:top w:val="nil"/>
              <w:bottom w:val="nil"/>
              <w:right w:val="single" w:sz="8" w:space="0" w:color="auto"/>
            </w:tcBorders>
            <w:shd w:val="clear" w:color="000000" w:fill="FFFFFF"/>
            <w:noWrap/>
            <w:vAlign w:val="center"/>
          </w:tcPr>
          <w:p w14:paraId="521C8F4E" w14:textId="77777777" w:rsidR="00C77F0A" w:rsidRPr="009548D7" w:rsidRDefault="00C77F0A" w:rsidP="0015273C">
            <w:pPr>
              <w:spacing w:after="0" w:line="240" w:lineRule="auto"/>
              <w:ind w:firstLineChars="100" w:firstLine="160"/>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000000" w:fill="FFFFFF"/>
            <w:noWrap/>
            <w:vAlign w:val="center"/>
            <w:hideMark/>
          </w:tcPr>
          <w:p w14:paraId="2CB28498" w14:textId="77777777" w:rsidR="00C77F0A" w:rsidRPr="009548D7" w:rsidRDefault="00C77F0A" w:rsidP="0015273C">
            <w:pPr>
              <w:spacing w:after="0" w:line="240" w:lineRule="auto"/>
              <w:ind w:firstLineChars="100" w:firstLine="16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w:t>
            </w:r>
          </w:p>
        </w:tc>
        <w:tc>
          <w:tcPr>
            <w:tcW w:w="1420" w:type="dxa"/>
            <w:tcBorders>
              <w:top w:val="nil"/>
              <w:left w:val="nil"/>
              <w:bottom w:val="nil"/>
              <w:right w:val="single" w:sz="8" w:space="0" w:color="auto"/>
            </w:tcBorders>
            <w:shd w:val="clear" w:color="000000" w:fill="FFFFFF"/>
            <w:noWrap/>
            <w:vAlign w:val="center"/>
            <w:hideMark/>
          </w:tcPr>
          <w:p w14:paraId="57958C37" w14:textId="77777777" w:rsidR="00C77F0A" w:rsidRPr="009548D7" w:rsidRDefault="00C77F0A" w:rsidP="0015273C">
            <w:pPr>
              <w:spacing w:after="0" w:line="240" w:lineRule="auto"/>
              <w:ind w:firstLineChars="100" w:firstLine="16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w:t>
            </w:r>
          </w:p>
        </w:tc>
      </w:tr>
      <w:tr w:rsidR="00C77F0A" w:rsidRPr="009548D7" w14:paraId="246730EF" w14:textId="77777777" w:rsidTr="0015273C">
        <w:trPr>
          <w:trHeight w:val="255"/>
        </w:trPr>
        <w:tc>
          <w:tcPr>
            <w:tcW w:w="4410" w:type="dxa"/>
            <w:tcBorders>
              <w:top w:val="nil"/>
              <w:left w:val="single" w:sz="8" w:space="0" w:color="auto"/>
              <w:bottom w:val="nil"/>
            </w:tcBorders>
            <w:shd w:val="clear" w:color="auto" w:fill="auto"/>
            <w:noWrap/>
            <w:vAlign w:val="center"/>
            <w:hideMark/>
          </w:tcPr>
          <w:p w14:paraId="360ED98E" w14:textId="77777777" w:rsidR="00C77F0A" w:rsidRPr="009548D7" w:rsidRDefault="00C77F0A" w:rsidP="0015273C">
            <w:pPr>
              <w:spacing w:after="0" w:line="240" w:lineRule="auto"/>
              <w:ind w:firstLineChars="100" w:firstLine="161"/>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Ativo Realizável a Longo Prazo</w:t>
            </w:r>
          </w:p>
        </w:tc>
        <w:tc>
          <w:tcPr>
            <w:tcW w:w="767" w:type="dxa"/>
            <w:tcBorders>
              <w:top w:val="nil"/>
              <w:bottom w:val="nil"/>
              <w:right w:val="single" w:sz="8" w:space="0" w:color="auto"/>
            </w:tcBorders>
            <w:shd w:val="clear" w:color="auto" w:fill="auto"/>
            <w:noWrap/>
            <w:vAlign w:val="center"/>
          </w:tcPr>
          <w:p w14:paraId="72BCE4F7" w14:textId="77777777" w:rsidR="00C77F0A" w:rsidRPr="009548D7" w:rsidRDefault="00C77F0A" w:rsidP="0015273C">
            <w:pPr>
              <w:spacing w:after="0" w:line="240" w:lineRule="auto"/>
              <w:jc w:val="center"/>
              <w:rPr>
                <w:rFonts w:ascii="Arial Narrow" w:eastAsia="Times New Roman" w:hAnsi="Arial Narrow" w:cs="Arial"/>
                <w:b/>
                <w:bCs/>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53A8C367" w14:textId="77777777" w:rsidR="00C77F0A" w:rsidRPr="009548D7" w:rsidRDefault="00C77F0A" w:rsidP="0015273C">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BPA.D029</w:t>
            </w:r>
          </w:p>
        </w:tc>
        <w:tc>
          <w:tcPr>
            <w:tcW w:w="1262" w:type="dxa"/>
            <w:tcBorders>
              <w:top w:val="nil"/>
              <w:left w:val="nil"/>
              <w:bottom w:val="nil"/>
              <w:right w:val="single" w:sz="8" w:space="0" w:color="auto"/>
            </w:tcBorders>
            <w:shd w:val="clear" w:color="auto" w:fill="auto"/>
            <w:noWrap/>
            <w:vAlign w:val="center"/>
            <w:hideMark/>
          </w:tcPr>
          <w:p w14:paraId="0C5D2102" w14:textId="77777777" w:rsidR="00C77F0A" w:rsidRPr="009548D7" w:rsidRDefault="00C77F0A" w:rsidP="0015273C">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BPA.E029</w:t>
            </w:r>
          </w:p>
        </w:tc>
        <w:tc>
          <w:tcPr>
            <w:tcW w:w="4562" w:type="dxa"/>
            <w:tcBorders>
              <w:top w:val="nil"/>
              <w:left w:val="nil"/>
              <w:bottom w:val="nil"/>
            </w:tcBorders>
            <w:shd w:val="clear" w:color="000000" w:fill="FFFFFF"/>
            <w:noWrap/>
            <w:vAlign w:val="center"/>
            <w:hideMark/>
          </w:tcPr>
          <w:p w14:paraId="6BC8145A" w14:textId="77777777" w:rsidR="00C77F0A" w:rsidRPr="009548D7" w:rsidRDefault="00C77F0A" w:rsidP="0015273C">
            <w:pPr>
              <w:spacing w:after="0" w:line="240" w:lineRule="auto"/>
              <w:ind w:firstLineChars="100" w:firstLine="16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Obrigações Trabalhistas, Previdenciárias e Asssitenciais a Pagar a Longo Prazo</w:t>
            </w:r>
          </w:p>
        </w:tc>
        <w:tc>
          <w:tcPr>
            <w:tcW w:w="775" w:type="dxa"/>
            <w:tcBorders>
              <w:top w:val="nil"/>
              <w:bottom w:val="nil"/>
              <w:right w:val="single" w:sz="8" w:space="0" w:color="auto"/>
            </w:tcBorders>
            <w:shd w:val="clear" w:color="auto" w:fill="auto"/>
            <w:noWrap/>
            <w:vAlign w:val="center"/>
          </w:tcPr>
          <w:p w14:paraId="75C1BD99"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24938EFE"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BPA.H029</w:t>
            </w:r>
          </w:p>
        </w:tc>
        <w:tc>
          <w:tcPr>
            <w:tcW w:w="1420" w:type="dxa"/>
            <w:tcBorders>
              <w:top w:val="nil"/>
              <w:left w:val="nil"/>
              <w:bottom w:val="nil"/>
              <w:right w:val="single" w:sz="8" w:space="0" w:color="auto"/>
            </w:tcBorders>
            <w:shd w:val="clear" w:color="auto" w:fill="auto"/>
            <w:noWrap/>
            <w:vAlign w:val="center"/>
            <w:hideMark/>
          </w:tcPr>
          <w:p w14:paraId="4BE17C37"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BPA.I029</w:t>
            </w:r>
          </w:p>
        </w:tc>
      </w:tr>
      <w:tr w:rsidR="00C77F0A" w:rsidRPr="009548D7" w14:paraId="50190381" w14:textId="77777777" w:rsidTr="0015273C">
        <w:trPr>
          <w:trHeight w:val="255"/>
        </w:trPr>
        <w:tc>
          <w:tcPr>
            <w:tcW w:w="4410" w:type="dxa"/>
            <w:tcBorders>
              <w:top w:val="nil"/>
              <w:left w:val="single" w:sz="8" w:space="0" w:color="auto"/>
              <w:bottom w:val="nil"/>
            </w:tcBorders>
            <w:shd w:val="clear" w:color="auto" w:fill="auto"/>
            <w:noWrap/>
            <w:vAlign w:val="center"/>
            <w:hideMark/>
          </w:tcPr>
          <w:p w14:paraId="25CD0A55" w14:textId="77777777" w:rsidR="00C77F0A" w:rsidRPr="009548D7" w:rsidRDefault="00C77F0A" w:rsidP="0015273C">
            <w:pPr>
              <w:spacing w:after="0" w:line="240" w:lineRule="auto"/>
              <w:ind w:firstLineChars="200" w:firstLine="32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Créditos a Longo Prazo</w:t>
            </w:r>
          </w:p>
        </w:tc>
        <w:tc>
          <w:tcPr>
            <w:tcW w:w="767" w:type="dxa"/>
            <w:tcBorders>
              <w:top w:val="nil"/>
              <w:bottom w:val="nil"/>
              <w:right w:val="single" w:sz="8" w:space="0" w:color="auto"/>
            </w:tcBorders>
            <w:shd w:val="clear" w:color="auto" w:fill="auto"/>
            <w:noWrap/>
            <w:vAlign w:val="center"/>
          </w:tcPr>
          <w:p w14:paraId="4612199F"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3F6DD230"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BPA.D030</w:t>
            </w:r>
          </w:p>
        </w:tc>
        <w:tc>
          <w:tcPr>
            <w:tcW w:w="1262" w:type="dxa"/>
            <w:tcBorders>
              <w:top w:val="nil"/>
              <w:left w:val="nil"/>
              <w:bottom w:val="nil"/>
              <w:right w:val="single" w:sz="8" w:space="0" w:color="auto"/>
            </w:tcBorders>
            <w:shd w:val="clear" w:color="auto" w:fill="auto"/>
            <w:noWrap/>
            <w:vAlign w:val="center"/>
            <w:hideMark/>
          </w:tcPr>
          <w:p w14:paraId="732544B7"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BPA.E030</w:t>
            </w:r>
          </w:p>
        </w:tc>
        <w:tc>
          <w:tcPr>
            <w:tcW w:w="4562" w:type="dxa"/>
            <w:tcBorders>
              <w:top w:val="nil"/>
              <w:left w:val="nil"/>
              <w:bottom w:val="nil"/>
            </w:tcBorders>
            <w:shd w:val="clear" w:color="000000" w:fill="FFFFFF"/>
            <w:noWrap/>
            <w:vAlign w:val="center"/>
            <w:hideMark/>
          </w:tcPr>
          <w:p w14:paraId="77CA130B" w14:textId="77777777" w:rsidR="00C77F0A" w:rsidRPr="009548D7" w:rsidRDefault="00C77F0A" w:rsidP="0015273C">
            <w:pPr>
              <w:spacing w:after="0" w:line="240" w:lineRule="auto"/>
              <w:ind w:firstLineChars="200" w:firstLine="32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Pessoal a Pagar</w:t>
            </w:r>
          </w:p>
        </w:tc>
        <w:tc>
          <w:tcPr>
            <w:tcW w:w="775" w:type="dxa"/>
            <w:tcBorders>
              <w:top w:val="nil"/>
              <w:bottom w:val="nil"/>
              <w:right w:val="single" w:sz="8" w:space="0" w:color="auto"/>
            </w:tcBorders>
            <w:shd w:val="clear" w:color="auto" w:fill="auto"/>
            <w:noWrap/>
            <w:vAlign w:val="center"/>
          </w:tcPr>
          <w:p w14:paraId="1E4982DC"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052E0120"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BPA.H030</w:t>
            </w:r>
          </w:p>
        </w:tc>
        <w:tc>
          <w:tcPr>
            <w:tcW w:w="1420" w:type="dxa"/>
            <w:tcBorders>
              <w:top w:val="nil"/>
              <w:left w:val="nil"/>
              <w:bottom w:val="nil"/>
              <w:right w:val="single" w:sz="8" w:space="0" w:color="auto"/>
            </w:tcBorders>
            <w:shd w:val="clear" w:color="auto" w:fill="auto"/>
            <w:noWrap/>
            <w:vAlign w:val="center"/>
            <w:hideMark/>
          </w:tcPr>
          <w:p w14:paraId="50EDDBE0"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BPA.I030</w:t>
            </w:r>
          </w:p>
        </w:tc>
      </w:tr>
      <w:tr w:rsidR="00C77F0A" w:rsidRPr="009548D7" w14:paraId="143B9E60" w14:textId="77777777" w:rsidTr="0015273C">
        <w:trPr>
          <w:trHeight w:val="255"/>
        </w:trPr>
        <w:tc>
          <w:tcPr>
            <w:tcW w:w="4410" w:type="dxa"/>
            <w:tcBorders>
              <w:top w:val="nil"/>
              <w:left w:val="single" w:sz="8" w:space="0" w:color="auto"/>
              <w:bottom w:val="nil"/>
            </w:tcBorders>
            <w:shd w:val="clear" w:color="auto" w:fill="auto"/>
            <w:noWrap/>
            <w:vAlign w:val="center"/>
            <w:hideMark/>
          </w:tcPr>
          <w:p w14:paraId="6AA8519D" w14:textId="77777777" w:rsidR="00C77F0A" w:rsidRPr="009548D7" w:rsidRDefault="00C77F0A" w:rsidP="0015273C">
            <w:pPr>
              <w:spacing w:after="0" w:line="240" w:lineRule="auto"/>
              <w:ind w:firstLineChars="300" w:firstLine="48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Créditos Tributários a Receber</w:t>
            </w:r>
          </w:p>
        </w:tc>
        <w:tc>
          <w:tcPr>
            <w:tcW w:w="767" w:type="dxa"/>
            <w:tcBorders>
              <w:top w:val="nil"/>
              <w:bottom w:val="nil"/>
              <w:right w:val="single" w:sz="8" w:space="0" w:color="auto"/>
            </w:tcBorders>
            <w:shd w:val="clear" w:color="auto" w:fill="auto"/>
            <w:noWrap/>
            <w:vAlign w:val="center"/>
          </w:tcPr>
          <w:p w14:paraId="564FE780"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5270EFD1"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BPA.D031</w:t>
            </w:r>
          </w:p>
        </w:tc>
        <w:tc>
          <w:tcPr>
            <w:tcW w:w="1262" w:type="dxa"/>
            <w:tcBorders>
              <w:top w:val="nil"/>
              <w:left w:val="nil"/>
              <w:bottom w:val="nil"/>
              <w:right w:val="single" w:sz="8" w:space="0" w:color="auto"/>
            </w:tcBorders>
            <w:shd w:val="clear" w:color="auto" w:fill="auto"/>
            <w:noWrap/>
            <w:vAlign w:val="center"/>
            <w:hideMark/>
          </w:tcPr>
          <w:p w14:paraId="51AD085B"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BPA.E031</w:t>
            </w:r>
          </w:p>
        </w:tc>
        <w:tc>
          <w:tcPr>
            <w:tcW w:w="4562" w:type="dxa"/>
            <w:tcBorders>
              <w:top w:val="nil"/>
              <w:left w:val="nil"/>
              <w:bottom w:val="nil"/>
            </w:tcBorders>
            <w:shd w:val="clear" w:color="000000" w:fill="FFFFFF"/>
            <w:noWrap/>
            <w:vAlign w:val="center"/>
            <w:hideMark/>
          </w:tcPr>
          <w:p w14:paraId="76266651" w14:textId="77777777" w:rsidR="00C77F0A" w:rsidRPr="009548D7" w:rsidRDefault="00C77F0A" w:rsidP="0015273C">
            <w:pPr>
              <w:spacing w:after="0" w:line="240" w:lineRule="auto"/>
              <w:ind w:firstLineChars="200" w:firstLine="32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Benefícios Previdenciários a Pagar</w:t>
            </w:r>
          </w:p>
        </w:tc>
        <w:tc>
          <w:tcPr>
            <w:tcW w:w="775" w:type="dxa"/>
            <w:tcBorders>
              <w:top w:val="nil"/>
              <w:bottom w:val="nil"/>
              <w:right w:val="single" w:sz="8" w:space="0" w:color="auto"/>
            </w:tcBorders>
            <w:shd w:val="clear" w:color="auto" w:fill="auto"/>
            <w:noWrap/>
            <w:vAlign w:val="center"/>
          </w:tcPr>
          <w:p w14:paraId="3A303AC5"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674B6F75"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BPA.H031</w:t>
            </w:r>
          </w:p>
        </w:tc>
        <w:tc>
          <w:tcPr>
            <w:tcW w:w="1420" w:type="dxa"/>
            <w:tcBorders>
              <w:top w:val="nil"/>
              <w:left w:val="nil"/>
              <w:bottom w:val="nil"/>
              <w:right w:val="single" w:sz="8" w:space="0" w:color="auto"/>
            </w:tcBorders>
            <w:shd w:val="clear" w:color="auto" w:fill="auto"/>
            <w:noWrap/>
            <w:vAlign w:val="center"/>
            <w:hideMark/>
          </w:tcPr>
          <w:p w14:paraId="53FFB7D1"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BPA.I031</w:t>
            </w:r>
          </w:p>
        </w:tc>
      </w:tr>
      <w:tr w:rsidR="00C77F0A" w:rsidRPr="009548D7" w14:paraId="2B85AD22" w14:textId="77777777" w:rsidTr="0015273C">
        <w:trPr>
          <w:trHeight w:val="255"/>
        </w:trPr>
        <w:tc>
          <w:tcPr>
            <w:tcW w:w="4410" w:type="dxa"/>
            <w:tcBorders>
              <w:top w:val="nil"/>
              <w:left w:val="single" w:sz="8" w:space="0" w:color="auto"/>
              <w:bottom w:val="nil"/>
            </w:tcBorders>
            <w:shd w:val="clear" w:color="auto" w:fill="auto"/>
            <w:noWrap/>
            <w:vAlign w:val="center"/>
            <w:hideMark/>
          </w:tcPr>
          <w:p w14:paraId="4E378D5C" w14:textId="77777777" w:rsidR="00C77F0A" w:rsidRPr="009548D7" w:rsidRDefault="00C77F0A" w:rsidP="0015273C">
            <w:pPr>
              <w:spacing w:after="0" w:line="240" w:lineRule="auto"/>
              <w:ind w:firstLineChars="300" w:firstLine="48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Clientes</w:t>
            </w:r>
          </w:p>
        </w:tc>
        <w:tc>
          <w:tcPr>
            <w:tcW w:w="767" w:type="dxa"/>
            <w:tcBorders>
              <w:top w:val="nil"/>
              <w:bottom w:val="nil"/>
              <w:right w:val="single" w:sz="8" w:space="0" w:color="auto"/>
            </w:tcBorders>
            <w:shd w:val="clear" w:color="auto" w:fill="auto"/>
            <w:noWrap/>
            <w:vAlign w:val="center"/>
          </w:tcPr>
          <w:p w14:paraId="4436DD03"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07C986B9"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BPA.D032</w:t>
            </w:r>
          </w:p>
        </w:tc>
        <w:tc>
          <w:tcPr>
            <w:tcW w:w="1262" w:type="dxa"/>
            <w:tcBorders>
              <w:top w:val="nil"/>
              <w:left w:val="nil"/>
              <w:bottom w:val="nil"/>
              <w:right w:val="single" w:sz="8" w:space="0" w:color="auto"/>
            </w:tcBorders>
            <w:shd w:val="clear" w:color="auto" w:fill="auto"/>
            <w:noWrap/>
            <w:vAlign w:val="center"/>
            <w:hideMark/>
          </w:tcPr>
          <w:p w14:paraId="59421762"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BPA.E032</w:t>
            </w:r>
          </w:p>
        </w:tc>
        <w:tc>
          <w:tcPr>
            <w:tcW w:w="4562" w:type="dxa"/>
            <w:tcBorders>
              <w:top w:val="nil"/>
              <w:left w:val="nil"/>
              <w:bottom w:val="nil"/>
            </w:tcBorders>
            <w:shd w:val="clear" w:color="000000" w:fill="FFFFFF"/>
            <w:noWrap/>
            <w:vAlign w:val="center"/>
            <w:hideMark/>
          </w:tcPr>
          <w:p w14:paraId="578802EF" w14:textId="77777777" w:rsidR="00C77F0A" w:rsidRPr="009548D7" w:rsidRDefault="00C77F0A" w:rsidP="0015273C">
            <w:pPr>
              <w:spacing w:after="0" w:line="240" w:lineRule="auto"/>
              <w:ind w:firstLineChars="200" w:firstLine="32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Benefícios Assistenciais a Pagar</w:t>
            </w:r>
          </w:p>
        </w:tc>
        <w:tc>
          <w:tcPr>
            <w:tcW w:w="775" w:type="dxa"/>
            <w:tcBorders>
              <w:top w:val="nil"/>
              <w:bottom w:val="nil"/>
              <w:right w:val="single" w:sz="8" w:space="0" w:color="auto"/>
            </w:tcBorders>
            <w:shd w:val="clear" w:color="auto" w:fill="auto"/>
            <w:noWrap/>
            <w:vAlign w:val="center"/>
          </w:tcPr>
          <w:p w14:paraId="17E58017"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5A6FB018"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BPA.H032</w:t>
            </w:r>
          </w:p>
        </w:tc>
        <w:tc>
          <w:tcPr>
            <w:tcW w:w="1420" w:type="dxa"/>
            <w:tcBorders>
              <w:top w:val="nil"/>
              <w:left w:val="nil"/>
              <w:bottom w:val="nil"/>
              <w:right w:val="single" w:sz="8" w:space="0" w:color="auto"/>
            </w:tcBorders>
            <w:shd w:val="clear" w:color="auto" w:fill="auto"/>
            <w:noWrap/>
            <w:vAlign w:val="center"/>
            <w:hideMark/>
          </w:tcPr>
          <w:p w14:paraId="09C37C56"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BPA.I032</w:t>
            </w:r>
          </w:p>
        </w:tc>
      </w:tr>
      <w:tr w:rsidR="00C77F0A" w:rsidRPr="009548D7" w14:paraId="30D1A891" w14:textId="77777777" w:rsidTr="0015273C">
        <w:trPr>
          <w:trHeight w:val="255"/>
        </w:trPr>
        <w:tc>
          <w:tcPr>
            <w:tcW w:w="4410" w:type="dxa"/>
            <w:tcBorders>
              <w:top w:val="nil"/>
              <w:left w:val="single" w:sz="8" w:space="0" w:color="auto"/>
            </w:tcBorders>
            <w:shd w:val="clear" w:color="auto" w:fill="auto"/>
            <w:noWrap/>
            <w:vAlign w:val="center"/>
            <w:hideMark/>
          </w:tcPr>
          <w:p w14:paraId="424FCC8A" w14:textId="77777777" w:rsidR="00C77F0A" w:rsidRPr="009548D7" w:rsidRDefault="00C77F0A" w:rsidP="0015273C">
            <w:pPr>
              <w:spacing w:after="0" w:line="240" w:lineRule="auto"/>
              <w:ind w:firstLineChars="300" w:firstLine="48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Empréstimos e Financiamentos Concedidos</w:t>
            </w:r>
          </w:p>
        </w:tc>
        <w:tc>
          <w:tcPr>
            <w:tcW w:w="767" w:type="dxa"/>
            <w:tcBorders>
              <w:top w:val="nil"/>
              <w:right w:val="single" w:sz="8" w:space="0" w:color="auto"/>
            </w:tcBorders>
            <w:shd w:val="clear" w:color="auto" w:fill="auto"/>
            <w:noWrap/>
            <w:vAlign w:val="center"/>
          </w:tcPr>
          <w:p w14:paraId="0A66A626"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right w:val="single" w:sz="8" w:space="0" w:color="auto"/>
            </w:tcBorders>
            <w:shd w:val="clear" w:color="auto" w:fill="auto"/>
            <w:noWrap/>
            <w:vAlign w:val="center"/>
            <w:hideMark/>
          </w:tcPr>
          <w:p w14:paraId="1F00B561"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BPA.D033</w:t>
            </w:r>
          </w:p>
        </w:tc>
        <w:tc>
          <w:tcPr>
            <w:tcW w:w="1262" w:type="dxa"/>
            <w:tcBorders>
              <w:top w:val="nil"/>
              <w:left w:val="nil"/>
              <w:right w:val="single" w:sz="8" w:space="0" w:color="auto"/>
            </w:tcBorders>
            <w:shd w:val="clear" w:color="auto" w:fill="auto"/>
            <w:noWrap/>
            <w:vAlign w:val="center"/>
            <w:hideMark/>
          </w:tcPr>
          <w:p w14:paraId="793B1F34"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BPA.E033</w:t>
            </w:r>
          </w:p>
        </w:tc>
        <w:tc>
          <w:tcPr>
            <w:tcW w:w="4562" w:type="dxa"/>
            <w:tcBorders>
              <w:top w:val="nil"/>
              <w:left w:val="nil"/>
            </w:tcBorders>
            <w:shd w:val="clear" w:color="000000" w:fill="FFFFFF"/>
            <w:noWrap/>
            <w:vAlign w:val="center"/>
            <w:hideMark/>
          </w:tcPr>
          <w:p w14:paraId="6C290D57" w14:textId="77777777" w:rsidR="00C77F0A" w:rsidRPr="009548D7" w:rsidRDefault="00C77F0A" w:rsidP="0015273C">
            <w:pPr>
              <w:spacing w:after="0" w:line="240" w:lineRule="auto"/>
              <w:ind w:firstLineChars="200" w:firstLine="32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Encargos Sociais a Pagar</w:t>
            </w:r>
          </w:p>
        </w:tc>
        <w:tc>
          <w:tcPr>
            <w:tcW w:w="775" w:type="dxa"/>
            <w:tcBorders>
              <w:top w:val="nil"/>
              <w:right w:val="single" w:sz="8" w:space="0" w:color="auto"/>
            </w:tcBorders>
            <w:shd w:val="clear" w:color="auto" w:fill="auto"/>
            <w:noWrap/>
            <w:vAlign w:val="center"/>
          </w:tcPr>
          <w:p w14:paraId="7DF1C1C1"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right w:val="single" w:sz="8" w:space="0" w:color="auto"/>
            </w:tcBorders>
            <w:shd w:val="clear" w:color="auto" w:fill="auto"/>
            <w:noWrap/>
            <w:vAlign w:val="center"/>
            <w:hideMark/>
          </w:tcPr>
          <w:p w14:paraId="3EA312C2"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BPA.H033</w:t>
            </w:r>
          </w:p>
        </w:tc>
        <w:tc>
          <w:tcPr>
            <w:tcW w:w="1420" w:type="dxa"/>
            <w:tcBorders>
              <w:top w:val="nil"/>
              <w:left w:val="nil"/>
              <w:right w:val="single" w:sz="8" w:space="0" w:color="auto"/>
            </w:tcBorders>
            <w:shd w:val="clear" w:color="auto" w:fill="auto"/>
            <w:noWrap/>
            <w:vAlign w:val="center"/>
            <w:hideMark/>
          </w:tcPr>
          <w:p w14:paraId="111369E1"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BPA.I033</w:t>
            </w:r>
          </w:p>
        </w:tc>
      </w:tr>
      <w:tr w:rsidR="00C77F0A" w:rsidRPr="009548D7" w14:paraId="70F8C79E" w14:textId="77777777" w:rsidTr="0015273C">
        <w:trPr>
          <w:trHeight w:val="255"/>
        </w:trPr>
        <w:tc>
          <w:tcPr>
            <w:tcW w:w="4410" w:type="dxa"/>
            <w:tcBorders>
              <w:top w:val="nil"/>
              <w:left w:val="single" w:sz="8" w:space="0" w:color="auto"/>
            </w:tcBorders>
            <w:shd w:val="clear" w:color="auto" w:fill="auto"/>
            <w:noWrap/>
            <w:vAlign w:val="center"/>
            <w:hideMark/>
          </w:tcPr>
          <w:p w14:paraId="763C959E" w14:textId="77777777" w:rsidR="00C77F0A" w:rsidRPr="009548D7" w:rsidRDefault="00C77F0A" w:rsidP="0015273C">
            <w:pPr>
              <w:spacing w:after="0" w:line="240" w:lineRule="auto"/>
              <w:ind w:firstLineChars="300" w:firstLine="48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Dívida Ativa Tributária</w:t>
            </w:r>
          </w:p>
        </w:tc>
        <w:tc>
          <w:tcPr>
            <w:tcW w:w="767" w:type="dxa"/>
            <w:tcBorders>
              <w:top w:val="nil"/>
              <w:right w:val="single" w:sz="8" w:space="0" w:color="auto"/>
            </w:tcBorders>
            <w:shd w:val="clear" w:color="auto" w:fill="auto"/>
            <w:noWrap/>
            <w:vAlign w:val="center"/>
          </w:tcPr>
          <w:p w14:paraId="0D44D187"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right w:val="single" w:sz="8" w:space="0" w:color="auto"/>
            </w:tcBorders>
            <w:shd w:val="clear" w:color="auto" w:fill="auto"/>
            <w:noWrap/>
            <w:vAlign w:val="center"/>
            <w:hideMark/>
          </w:tcPr>
          <w:p w14:paraId="2426D6BA"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BPA.D034</w:t>
            </w:r>
          </w:p>
        </w:tc>
        <w:tc>
          <w:tcPr>
            <w:tcW w:w="1262" w:type="dxa"/>
            <w:tcBorders>
              <w:top w:val="nil"/>
              <w:left w:val="nil"/>
              <w:right w:val="single" w:sz="8" w:space="0" w:color="auto"/>
            </w:tcBorders>
            <w:shd w:val="clear" w:color="auto" w:fill="auto"/>
            <w:noWrap/>
            <w:vAlign w:val="center"/>
            <w:hideMark/>
          </w:tcPr>
          <w:p w14:paraId="01085745"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BPA.E034</w:t>
            </w:r>
          </w:p>
        </w:tc>
        <w:tc>
          <w:tcPr>
            <w:tcW w:w="4562" w:type="dxa"/>
            <w:tcBorders>
              <w:top w:val="nil"/>
              <w:left w:val="nil"/>
            </w:tcBorders>
            <w:shd w:val="clear" w:color="auto" w:fill="auto"/>
            <w:noWrap/>
            <w:vAlign w:val="center"/>
            <w:hideMark/>
          </w:tcPr>
          <w:p w14:paraId="3808A04C" w14:textId="77777777" w:rsidR="00C77F0A" w:rsidRPr="009548D7" w:rsidRDefault="00C77F0A" w:rsidP="0015273C">
            <w:pPr>
              <w:spacing w:after="0" w:line="240" w:lineRule="auto"/>
              <w:ind w:firstLineChars="100" w:firstLine="16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Empréstimos e Financiamentos a Longo Prazo</w:t>
            </w:r>
          </w:p>
        </w:tc>
        <w:tc>
          <w:tcPr>
            <w:tcW w:w="775" w:type="dxa"/>
            <w:tcBorders>
              <w:top w:val="nil"/>
              <w:right w:val="single" w:sz="8" w:space="0" w:color="auto"/>
            </w:tcBorders>
            <w:shd w:val="clear" w:color="auto" w:fill="auto"/>
            <w:noWrap/>
            <w:vAlign w:val="center"/>
          </w:tcPr>
          <w:p w14:paraId="3DFA6039"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right w:val="single" w:sz="8" w:space="0" w:color="auto"/>
            </w:tcBorders>
            <w:shd w:val="clear" w:color="auto" w:fill="auto"/>
            <w:noWrap/>
            <w:vAlign w:val="center"/>
            <w:hideMark/>
          </w:tcPr>
          <w:p w14:paraId="494A3D21"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BPA.H034</w:t>
            </w:r>
          </w:p>
        </w:tc>
        <w:tc>
          <w:tcPr>
            <w:tcW w:w="1420" w:type="dxa"/>
            <w:tcBorders>
              <w:top w:val="nil"/>
              <w:left w:val="nil"/>
              <w:right w:val="single" w:sz="8" w:space="0" w:color="auto"/>
            </w:tcBorders>
            <w:shd w:val="clear" w:color="auto" w:fill="auto"/>
            <w:noWrap/>
            <w:vAlign w:val="center"/>
            <w:hideMark/>
          </w:tcPr>
          <w:p w14:paraId="4017ED56"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BPA.I034</w:t>
            </w:r>
          </w:p>
        </w:tc>
      </w:tr>
      <w:tr w:rsidR="00C77F0A" w:rsidRPr="009548D7" w14:paraId="370343FE" w14:textId="77777777" w:rsidTr="0015273C">
        <w:trPr>
          <w:trHeight w:val="255"/>
        </w:trPr>
        <w:tc>
          <w:tcPr>
            <w:tcW w:w="4410" w:type="dxa"/>
            <w:tcBorders>
              <w:top w:val="nil"/>
              <w:left w:val="single" w:sz="8" w:space="0" w:color="auto"/>
              <w:bottom w:val="nil"/>
            </w:tcBorders>
            <w:shd w:val="clear" w:color="auto" w:fill="auto"/>
            <w:noWrap/>
            <w:vAlign w:val="center"/>
            <w:hideMark/>
          </w:tcPr>
          <w:p w14:paraId="130EEE44" w14:textId="77777777" w:rsidR="00C77F0A" w:rsidRPr="009548D7" w:rsidRDefault="00C77F0A" w:rsidP="0015273C">
            <w:pPr>
              <w:spacing w:after="0" w:line="240" w:lineRule="auto"/>
              <w:ind w:firstLineChars="300" w:firstLine="48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Divida Ativa não Tributária</w:t>
            </w:r>
          </w:p>
        </w:tc>
        <w:tc>
          <w:tcPr>
            <w:tcW w:w="767" w:type="dxa"/>
            <w:tcBorders>
              <w:top w:val="nil"/>
              <w:bottom w:val="nil"/>
              <w:right w:val="single" w:sz="8" w:space="0" w:color="auto"/>
            </w:tcBorders>
            <w:shd w:val="clear" w:color="auto" w:fill="auto"/>
            <w:noWrap/>
            <w:vAlign w:val="center"/>
          </w:tcPr>
          <w:p w14:paraId="3ED74F8A"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65133ABF"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BPA.D035</w:t>
            </w:r>
          </w:p>
        </w:tc>
        <w:tc>
          <w:tcPr>
            <w:tcW w:w="1262" w:type="dxa"/>
            <w:tcBorders>
              <w:top w:val="nil"/>
              <w:left w:val="nil"/>
              <w:bottom w:val="nil"/>
              <w:right w:val="single" w:sz="8" w:space="0" w:color="auto"/>
            </w:tcBorders>
            <w:shd w:val="clear" w:color="auto" w:fill="auto"/>
            <w:noWrap/>
            <w:vAlign w:val="center"/>
            <w:hideMark/>
          </w:tcPr>
          <w:p w14:paraId="2DC19485"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BPA.E035</w:t>
            </w:r>
          </w:p>
        </w:tc>
        <w:tc>
          <w:tcPr>
            <w:tcW w:w="4562" w:type="dxa"/>
            <w:tcBorders>
              <w:top w:val="nil"/>
              <w:left w:val="nil"/>
              <w:bottom w:val="nil"/>
            </w:tcBorders>
            <w:shd w:val="clear" w:color="auto" w:fill="auto"/>
            <w:noWrap/>
            <w:vAlign w:val="center"/>
            <w:hideMark/>
          </w:tcPr>
          <w:p w14:paraId="766B71B4" w14:textId="77777777" w:rsidR="00C77F0A" w:rsidRPr="009548D7" w:rsidRDefault="00C77F0A" w:rsidP="0015273C">
            <w:pPr>
              <w:spacing w:after="0" w:line="240" w:lineRule="auto"/>
              <w:ind w:firstLineChars="100" w:firstLine="16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Fornecedores e Contas a Pagar a Longo Prazo</w:t>
            </w:r>
          </w:p>
        </w:tc>
        <w:tc>
          <w:tcPr>
            <w:tcW w:w="775" w:type="dxa"/>
            <w:tcBorders>
              <w:top w:val="nil"/>
              <w:bottom w:val="nil"/>
              <w:right w:val="single" w:sz="8" w:space="0" w:color="auto"/>
            </w:tcBorders>
            <w:shd w:val="clear" w:color="auto" w:fill="auto"/>
            <w:noWrap/>
            <w:vAlign w:val="center"/>
          </w:tcPr>
          <w:p w14:paraId="12F5F9DC"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017F1CF4"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BPA.H035</w:t>
            </w:r>
          </w:p>
        </w:tc>
        <w:tc>
          <w:tcPr>
            <w:tcW w:w="1420" w:type="dxa"/>
            <w:tcBorders>
              <w:top w:val="nil"/>
              <w:left w:val="nil"/>
              <w:bottom w:val="nil"/>
              <w:right w:val="single" w:sz="8" w:space="0" w:color="auto"/>
            </w:tcBorders>
            <w:shd w:val="clear" w:color="auto" w:fill="auto"/>
            <w:noWrap/>
            <w:vAlign w:val="center"/>
            <w:hideMark/>
          </w:tcPr>
          <w:p w14:paraId="048680AE"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BPA.I035</w:t>
            </w:r>
          </w:p>
        </w:tc>
      </w:tr>
      <w:tr w:rsidR="00C77F0A" w:rsidRPr="009548D7" w14:paraId="28FA7925" w14:textId="77777777" w:rsidTr="0015273C">
        <w:trPr>
          <w:trHeight w:val="255"/>
        </w:trPr>
        <w:tc>
          <w:tcPr>
            <w:tcW w:w="4410" w:type="dxa"/>
            <w:tcBorders>
              <w:top w:val="nil"/>
              <w:left w:val="single" w:sz="8" w:space="0" w:color="auto"/>
              <w:bottom w:val="nil"/>
            </w:tcBorders>
            <w:shd w:val="clear" w:color="auto" w:fill="auto"/>
            <w:noWrap/>
            <w:vAlign w:val="center"/>
          </w:tcPr>
          <w:p w14:paraId="13542FC4" w14:textId="77777777" w:rsidR="00C77F0A" w:rsidRPr="009B4545" w:rsidRDefault="00C77F0A" w:rsidP="0015273C">
            <w:pPr>
              <w:spacing w:after="0" w:line="240" w:lineRule="auto"/>
              <w:ind w:firstLineChars="300" w:firstLine="480"/>
              <w:rPr>
                <w:rFonts w:ascii="Arial Narrow" w:eastAsia="Times New Roman" w:hAnsi="Arial Narrow" w:cs="Arial"/>
                <w:sz w:val="16"/>
                <w:szCs w:val="16"/>
                <w:lang w:eastAsia="pt-BR"/>
              </w:rPr>
            </w:pPr>
            <w:r w:rsidRPr="009B4545">
              <w:rPr>
                <w:rFonts w:ascii="Arial Narrow" w:eastAsia="Times New Roman" w:hAnsi="Arial Narrow" w:cs="Arial"/>
                <w:sz w:val="16"/>
                <w:szCs w:val="16"/>
                <w:lang w:eastAsia="pt-BR"/>
              </w:rPr>
              <w:t>Créditos Previdenciários do RPPS</w:t>
            </w:r>
          </w:p>
        </w:tc>
        <w:tc>
          <w:tcPr>
            <w:tcW w:w="767" w:type="dxa"/>
            <w:tcBorders>
              <w:top w:val="nil"/>
              <w:bottom w:val="nil"/>
              <w:right w:val="single" w:sz="8" w:space="0" w:color="auto"/>
            </w:tcBorders>
            <w:shd w:val="clear" w:color="auto" w:fill="auto"/>
            <w:noWrap/>
            <w:vAlign w:val="center"/>
          </w:tcPr>
          <w:p w14:paraId="1FB9272E" w14:textId="77777777" w:rsidR="00C77F0A" w:rsidRPr="009B4545"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tcPr>
          <w:p w14:paraId="1D20D34C" w14:textId="77777777" w:rsidR="00C77F0A" w:rsidRPr="009B4545" w:rsidRDefault="00C77F0A" w:rsidP="0015273C">
            <w:pPr>
              <w:spacing w:after="0" w:line="240" w:lineRule="auto"/>
              <w:jc w:val="center"/>
              <w:rPr>
                <w:rFonts w:ascii="Arial Narrow" w:eastAsia="Times New Roman" w:hAnsi="Arial Narrow" w:cs="Arial"/>
                <w:sz w:val="16"/>
                <w:szCs w:val="16"/>
                <w:lang w:eastAsia="pt-BR"/>
              </w:rPr>
            </w:pPr>
            <w:r w:rsidRPr="009B4545">
              <w:rPr>
                <w:rFonts w:ascii="Arial Narrow" w:eastAsia="Times New Roman" w:hAnsi="Arial Narrow" w:cs="Arial"/>
                <w:sz w:val="16"/>
                <w:szCs w:val="16"/>
                <w:lang w:eastAsia="pt-BR"/>
              </w:rPr>
              <w:t>BPA.D073</w:t>
            </w:r>
          </w:p>
        </w:tc>
        <w:tc>
          <w:tcPr>
            <w:tcW w:w="1262" w:type="dxa"/>
            <w:tcBorders>
              <w:top w:val="nil"/>
              <w:left w:val="nil"/>
              <w:bottom w:val="nil"/>
              <w:right w:val="single" w:sz="8" w:space="0" w:color="auto"/>
            </w:tcBorders>
            <w:shd w:val="clear" w:color="auto" w:fill="auto"/>
            <w:noWrap/>
            <w:vAlign w:val="center"/>
          </w:tcPr>
          <w:p w14:paraId="0F56DE4F" w14:textId="77777777" w:rsidR="00C77F0A" w:rsidRPr="009B4545" w:rsidRDefault="00C77F0A" w:rsidP="0015273C">
            <w:pPr>
              <w:spacing w:after="0" w:line="240" w:lineRule="auto"/>
              <w:jc w:val="center"/>
              <w:rPr>
                <w:rFonts w:ascii="Arial Narrow" w:eastAsia="Times New Roman" w:hAnsi="Arial Narrow" w:cs="Arial"/>
                <w:sz w:val="16"/>
                <w:szCs w:val="16"/>
                <w:lang w:eastAsia="pt-BR"/>
              </w:rPr>
            </w:pPr>
            <w:r w:rsidRPr="009B4545">
              <w:rPr>
                <w:rFonts w:ascii="Arial Narrow" w:eastAsia="Times New Roman" w:hAnsi="Arial Narrow" w:cs="Arial"/>
                <w:sz w:val="16"/>
                <w:szCs w:val="16"/>
                <w:lang w:eastAsia="pt-BR"/>
              </w:rPr>
              <w:t>BPA.E073</w:t>
            </w:r>
          </w:p>
        </w:tc>
        <w:tc>
          <w:tcPr>
            <w:tcW w:w="4562" w:type="dxa"/>
            <w:tcBorders>
              <w:top w:val="nil"/>
              <w:left w:val="nil"/>
              <w:bottom w:val="nil"/>
            </w:tcBorders>
            <w:shd w:val="clear" w:color="auto" w:fill="auto"/>
            <w:noWrap/>
            <w:vAlign w:val="center"/>
          </w:tcPr>
          <w:p w14:paraId="129B2C0F" w14:textId="77777777" w:rsidR="00C77F0A" w:rsidRPr="009548D7" w:rsidRDefault="00C77F0A" w:rsidP="0015273C">
            <w:pPr>
              <w:spacing w:after="0" w:line="240" w:lineRule="auto"/>
              <w:ind w:firstLineChars="100" w:firstLine="16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Obrigações Fiscais a Longo Prazo</w:t>
            </w:r>
          </w:p>
        </w:tc>
        <w:tc>
          <w:tcPr>
            <w:tcW w:w="775" w:type="dxa"/>
            <w:tcBorders>
              <w:top w:val="nil"/>
              <w:bottom w:val="nil"/>
              <w:right w:val="single" w:sz="8" w:space="0" w:color="auto"/>
            </w:tcBorders>
            <w:shd w:val="clear" w:color="auto" w:fill="auto"/>
            <w:noWrap/>
            <w:vAlign w:val="center"/>
          </w:tcPr>
          <w:p w14:paraId="65F5E721"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tcPr>
          <w:p w14:paraId="25B0D939"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BPA.H036</w:t>
            </w:r>
          </w:p>
        </w:tc>
        <w:tc>
          <w:tcPr>
            <w:tcW w:w="1420" w:type="dxa"/>
            <w:tcBorders>
              <w:top w:val="nil"/>
              <w:left w:val="nil"/>
              <w:bottom w:val="nil"/>
              <w:right w:val="single" w:sz="8" w:space="0" w:color="auto"/>
            </w:tcBorders>
            <w:shd w:val="clear" w:color="auto" w:fill="auto"/>
            <w:noWrap/>
            <w:vAlign w:val="center"/>
          </w:tcPr>
          <w:p w14:paraId="0C8A1955"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BPA.I036</w:t>
            </w:r>
          </w:p>
        </w:tc>
      </w:tr>
      <w:tr w:rsidR="00C77F0A" w:rsidRPr="009548D7" w14:paraId="79621C8C" w14:textId="77777777" w:rsidTr="0015273C">
        <w:trPr>
          <w:trHeight w:val="255"/>
        </w:trPr>
        <w:tc>
          <w:tcPr>
            <w:tcW w:w="4410" w:type="dxa"/>
            <w:tcBorders>
              <w:top w:val="nil"/>
              <w:left w:val="single" w:sz="8" w:space="0" w:color="auto"/>
              <w:bottom w:val="nil"/>
            </w:tcBorders>
            <w:shd w:val="clear" w:color="auto" w:fill="auto"/>
            <w:noWrap/>
            <w:vAlign w:val="center"/>
          </w:tcPr>
          <w:p w14:paraId="2C063AD0" w14:textId="77777777" w:rsidR="00C77F0A" w:rsidRPr="009B4545" w:rsidRDefault="00C77F0A" w:rsidP="0015273C">
            <w:pPr>
              <w:spacing w:after="0" w:line="240" w:lineRule="auto"/>
              <w:ind w:firstLineChars="300" w:firstLine="480"/>
              <w:rPr>
                <w:rFonts w:ascii="Arial Narrow" w:eastAsia="Times New Roman" w:hAnsi="Arial Narrow" w:cs="Arial"/>
                <w:sz w:val="16"/>
                <w:szCs w:val="16"/>
                <w:lang w:eastAsia="pt-BR"/>
              </w:rPr>
            </w:pPr>
            <w:r w:rsidRPr="00806700">
              <w:rPr>
                <w:rFonts w:ascii="Arial Narrow" w:eastAsia="Times New Roman" w:hAnsi="Arial Narrow" w:cs="Arial"/>
                <w:sz w:val="16"/>
                <w:szCs w:val="16"/>
                <w:lang w:eastAsia="pt-BR"/>
              </w:rPr>
              <w:t>Outros Créditos a Longo Prazo</w:t>
            </w:r>
          </w:p>
        </w:tc>
        <w:tc>
          <w:tcPr>
            <w:tcW w:w="767" w:type="dxa"/>
            <w:tcBorders>
              <w:top w:val="nil"/>
              <w:bottom w:val="nil"/>
              <w:right w:val="single" w:sz="8" w:space="0" w:color="auto"/>
            </w:tcBorders>
            <w:shd w:val="clear" w:color="auto" w:fill="auto"/>
            <w:noWrap/>
            <w:vAlign w:val="center"/>
          </w:tcPr>
          <w:p w14:paraId="060B0426" w14:textId="77777777" w:rsidR="00C77F0A" w:rsidRPr="009B4545"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tcPr>
          <w:p w14:paraId="6FAADD53" w14:textId="77777777" w:rsidR="00C77F0A" w:rsidRPr="009B4545" w:rsidRDefault="00C77F0A" w:rsidP="0015273C">
            <w:pPr>
              <w:spacing w:after="0" w:line="240" w:lineRule="auto"/>
              <w:jc w:val="center"/>
              <w:rPr>
                <w:rFonts w:ascii="Arial Narrow" w:eastAsia="Times New Roman" w:hAnsi="Arial Narrow" w:cs="Arial"/>
                <w:sz w:val="16"/>
                <w:szCs w:val="16"/>
                <w:lang w:eastAsia="pt-BR"/>
              </w:rPr>
            </w:pPr>
            <w:r w:rsidRPr="00806700">
              <w:rPr>
                <w:rFonts w:ascii="Arial Narrow" w:eastAsia="Times New Roman" w:hAnsi="Arial Narrow" w:cs="Arial"/>
                <w:sz w:val="16"/>
                <w:szCs w:val="16"/>
                <w:lang w:eastAsia="pt-BR"/>
              </w:rPr>
              <w:t>BPA.D090</w:t>
            </w:r>
          </w:p>
        </w:tc>
        <w:tc>
          <w:tcPr>
            <w:tcW w:w="1262" w:type="dxa"/>
            <w:tcBorders>
              <w:top w:val="nil"/>
              <w:left w:val="nil"/>
              <w:bottom w:val="nil"/>
              <w:right w:val="single" w:sz="8" w:space="0" w:color="auto"/>
            </w:tcBorders>
            <w:shd w:val="clear" w:color="auto" w:fill="auto"/>
            <w:noWrap/>
            <w:vAlign w:val="center"/>
          </w:tcPr>
          <w:p w14:paraId="08F9A9D9" w14:textId="77777777" w:rsidR="00C77F0A" w:rsidRPr="009B4545" w:rsidRDefault="00C77F0A" w:rsidP="0015273C">
            <w:pPr>
              <w:spacing w:after="0" w:line="240" w:lineRule="auto"/>
              <w:jc w:val="center"/>
              <w:rPr>
                <w:rFonts w:ascii="Arial Narrow" w:eastAsia="Times New Roman" w:hAnsi="Arial Narrow" w:cs="Arial"/>
                <w:sz w:val="16"/>
                <w:szCs w:val="16"/>
                <w:lang w:eastAsia="pt-BR"/>
              </w:rPr>
            </w:pPr>
            <w:r w:rsidRPr="00806700">
              <w:rPr>
                <w:rFonts w:ascii="Arial Narrow" w:eastAsia="Times New Roman" w:hAnsi="Arial Narrow" w:cs="Arial"/>
                <w:sz w:val="16"/>
                <w:szCs w:val="16"/>
                <w:lang w:eastAsia="pt-BR"/>
              </w:rPr>
              <w:t>BPA.E090</w:t>
            </w:r>
          </w:p>
        </w:tc>
        <w:tc>
          <w:tcPr>
            <w:tcW w:w="4562" w:type="dxa"/>
            <w:tcBorders>
              <w:top w:val="nil"/>
              <w:left w:val="nil"/>
              <w:bottom w:val="nil"/>
            </w:tcBorders>
            <w:shd w:val="clear" w:color="auto" w:fill="auto"/>
            <w:noWrap/>
            <w:vAlign w:val="center"/>
          </w:tcPr>
          <w:p w14:paraId="6CF5A480" w14:textId="77777777" w:rsidR="00C77F0A" w:rsidRPr="004B2CE7" w:rsidRDefault="00C77F0A" w:rsidP="0015273C">
            <w:pPr>
              <w:spacing w:after="0" w:line="240" w:lineRule="auto"/>
              <w:ind w:firstLineChars="100" w:firstLine="160"/>
              <w:rPr>
                <w:rFonts w:ascii="Arial Narrow" w:eastAsia="Times New Roman" w:hAnsi="Arial Narrow" w:cs="Arial"/>
                <w:sz w:val="16"/>
                <w:szCs w:val="16"/>
                <w:lang w:eastAsia="pt-BR"/>
              </w:rPr>
            </w:pPr>
            <w:r w:rsidRPr="004B2CE7">
              <w:rPr>
                <w:rFonts w:ascii="Arial Narrow" w:eastAsia="Times New Roman" w:hAnsi="Arial Narrow" w:cs="Arial"/>
                <w:sz w:val="16"/>
                <w:szCs w:val="16"/>
                <w:lang w:eastAsia="pt-BR"/>
              </w:rPr>
              <w:t>Transferências Fiscais a Longo Prazo</w:t>
            </w:r>
          </w:p>
        </w:tc>
        <w:tc>
          <w:tcPr>
            <w:tcW w:w="775" w:type="dxa"/>
            <w:tcBorders>
              <w:top w:val="nil"/>
              <w:bottom w:val="nil"/>
              <w:right w:val="single" w:sz="8" w:space="0" w:color="auto"/>
            </w:tcBorders>
            <w:shd w:val="clear" w:color="auto" w:fill="auto"/>
            <w:noWrap/>
            <w:vAlign w:val="center"/>
          </w:tcPr>
          <w:p w14:paraId="26B4A4F5" w14:textId="77777777" w:rsidR="00C77F0A" w:rsidRPr="004B2CE7"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tcPr>
          <w:p w14:paraId="7B29188D" w14:textId="6B3CC1AA" w:rsidR="00C77F0A" w:rsidRPr="004B2CE7" w:rsidRDefault="00C77F0A" w:rsidP="0015273C">
            <w:pPr>
              <w:spacing w:after="0" w:line="240" w:lineRule="auto"/>
              <w:jc w:val="center"/>
              <w:rPr>
                <w:rFonts w:ascii="Arial Narrow" w:eastAsia="Times New Roman" w:hAnsi="Arial Narrow" w:cs="Arial"/>
                <w:sz w:val="16"/>
                <w:szCs w:val="16"/>
                <w:lang w:eastAsia="pt-BR"/>
              </w:rPr>
            </w:pPr>
            <w:r w:rsidRPr="004B2CE7">
              <w:rPr>
                <w:rFonts w:ascii="Arial Narrow" w:eastAsia="Times New Roman" w:hAnsi="Arial Narrow" w:cs="Arial"/>
                <w:sz w:val="16"/>
                <w:szCs w:val="16"/>
                <w:lang w:eastAsia="pt-BR"/>
              </w:rPr>
              <w:t>BPA.H09</w:t>
            </w:r>
            <w:r w:rsidR="006C0D8A">
              <w:rPr>
                <w:rFonts w:ascii="Arial Narrow" w:eastAsia="Times New Roman" w:hAnsi="Arial Narrow" w:cs="Arial"/>
                <w:sz w:val="16"/>
                <w:szCs w:val="16"/>
                <w:lang w:eastAsia="pt-BR"/>
              </w:rPr>
              <w:t>2</w:t>
            </w:r>
          </w:p>
        </w:tc>
        <w:tc>
          <w:tcPr>
            <w:tcW w:w="1420" w:type="dxa"/>
            <w:tcBorders>
              <w:top w:val="nil"/>
              <w:left w:val="nil"/>
              <w:bottom w:val="nil"/>
              <w:right w:val="single" w:sz="8" w:space="0" w:color="auto"/>
            </w:tcBorders>
            <w:shd w:val="clear" w:color="auto" w:fill="auto"/>
            <w:noWrap/>
            <w:vAlign w:val="center"/>
          </w:tcPr>
          <w:p w14:paraId="729FD959" w14:textId="35F3FF7F" w:rsidR="00C77F0A" w:rsidRPr="004B2CE7" w:rsidRDefault="00C77F0A" w:rsidP="0015273C">
            <w:pPr>
              <w:spacing w:after="0" w:line="240" w:lineRule="auto"/>
              <w:jc w:val="center"/>
              <w:rPr>
                <w:rFonts w:ascii="Arial Narrow" w:eastAsia="Times New Roman" w:hAnsi="Arial Narrow" w:cs="Arial"/>
                <w:sz w:val="16"/>
                <w:szCs w:val="16"/>
                <w:lang w:eastAsia="pt-BR"/>
              </w:rPr>
            </w:pPr>
            <w:r w:rsidRPr="004B2CE7">
              <w:rPr>
                <w:rFonts w:ascii="Arial Narrow" w:eastAsia="Times New Roman" w:hAnsi="Arial Narrow" w:cs="Arial"/>
                <w:sz w:val="16"/>
                <w:szCs w:val="16"/>
                <w:lang w:eastAsia="pt-BR"/>
              </w:rPr>
              <w:t>BPA.I09</w:t>
            </w:r>
            <w:r w:rsidR="006C0D8A">
              <w:rPr>
                <w:rFonts w:ascii="Arial Narrow" w:eastAsia="Times New Roman" w:hAnsi="Arial Narrow" w:cs="Arial"/>
                <w:sz w:val="16"/>
                <w:szCs w:val="16"/>
                <w:lang w:eastAsia="pt-BR"/>
              </w:rPr>
              <w:t>2</w:t>
            </w:r>
          </w:p>
        </w:tc>
      </w:tr>
      <w:tr w:rsidR="00C77F0A" w:rsidRPr="009548D7" w14:paraId="233EC249" w14:textId="77777777" w:rsidTr="0015273C">
        <w:trPr>
          <w:trHeight w:val="255"/>
        </w:trPr>
        <w:tc>
          <w:tcPr>
            <w:tcW w:w="4410" w:type="dxa"/>
            <w:tcBorders>
              <w:top w:val="nil"/>
              <w:left w:val="single" w:sz="8" w:space="0" w:color="auto"/>
              <w:bottom w:val="nil"/>
            </w:tcBorders>
            <w:shd w:val="clear" w:color="auto" w:fill="auto"/>
            <w:noWrap/>
            <w:vAlign w:val="center"/>
          </w:tcPr>
          <w:p w14:paraId="43EE1262" w14:textId="77777777" w:rsidR="00C77F0A" w:rsidRPr="00806700" w:rsidRDefault="00C77F0A" w:rsidP="0015273C">
            <w:pPr>
              <w:spacing w:after="0" w:line="240" w:lineRule="auto"/>
              <w:ind w:firstLineChars="300" w:firstLine="480"/>
              <w:rPr>
                <w:rFonts w:ascii="Arial Narrow" w:eastAsia="Times New Roman" w:hAnsi="Arial Narrow" w:cs="Arial"/>
                <w:sz w:val="16"/>
                <w:szCs w:val="16"/>
                <w:lang w:eastAsia="pt-BR"/>
              </w:rPr>
            </w:pPr>
            <w:r w:rsidRPr="00806700">
              <w:rPr>
                <w:rFonts w:ascii="Arial Narrow" w:eastAsia="Times New Roman" w:hAnsi="Arial Narrow" w:cs="Arial"/>
                <w:sz w:val="16"/>
                <w:szCs w:val="16"/>
                <w:lang w:eastAsia="pt-BR"/>
              </w:rPr>
              <w:t>(-) Ajuste de Perdas de Créditos a Longo Prazo</w:t>
            </w:r>
          </w:p>
        </w:tc>
        <w:tc>
          <w:tcPr>
            <w:tcW w:w="767" w:type="dxa"/>
            <w:tcBorders>
              <w:top w:val="nil"/>
              <w:bottom w:val="nil"/>
              <w:right w:val="single" w:sz="8" w:space="0" w:color="auto"/>
            </w:tcBorders>
            <w:shd w:val="clear" w:color="auto" w:fill="auto"/>
            <w:noWrap/>
            <w:vAlign w:val="center"/>
          </w:tcPr>
          <w:p w14:paraId="1F440641" w14:textId="77777777" w:rsidR="00C77F0A" w:rsidRPr="00806700"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tcPr>
          <w:p w14:paraId="0FB0BE7D" w14:textId="77777777" w:rsidR="00C77F0A" w:rsidRPr="00806700" w:rsidRDefault="00C77F0A" w:rsidP="0015273C">
            <w:pPr>
              <w:spacing w:after="0" w:line="240" w:lineRule="auto"/>
              <w:jc w:val="center"/>
              <w:rPr>
                <w:rFonts w:ascii="Arial Narrow" w:eastAsia="Times New Roman" w:hAnsi="Arial Narrow" w:cs="Arial"/>
                <w:sz w:val="16"/>
                <w:szCs w:val="16"/>
                <w:lang w:eastAsia="pt-BR"/>
              </w:rPr>
            </w:pPr>
            <w:r w:rsidRPr="00806700">
              <w:rPr>
                <w:rFonts w:ascii="Arial Narrow" w:eastAsia="Times New Roman" w:hAnsi="Arial Narrow" w:cs="Arial"/>
                <w:sz w:val="16"/>
                <w:szCs w:val="16"/>
                <w:lang w:eastAsia="pt-BR"/>
              </w:rPr>
              <w:t>BPA.D036</w:t>
            </w:r>
          </w:p>
        </w:tc>
        <w:tc>
          <w:tcPr>
            <w:tcW w:w="1262" w:type="dxa"/>
            <w:tcBorders>
              <w:top w:val="nil"/>
              <w:left w:val="nil"/>
              <w:bottom w:val="nil"/>
              <w:right w:val="single" w:sz="8" w:space="0" w:color="auto"/>
            </w:tcBorders>
            <w:shd w:val="clear" w:color="auto" w:fill="auto"/>
            <w:noWrap/>
            <w:vAlign w:val="center"/>
          </w:tcPr>
          <w:p w14:paraId="0A8870D8" w14:textId="77777777" w:rsidR="00C77F0A" w:rsidRPr="00806700" w:rsidRDefault="00C77F0A" w:rsidP="0015273C">
            <w:pPr>
              <w:spacing w:after="0" w:line="240" w:lineRule="auto"/>
              <w:jc w:val="center"/>
              <w:rPr>
                <w:rFonts w:ascii="Arial Narrow" w:eastAsia="Times New Roman" w:hAnsi="Arial Narrow" w:cs="Arial"/>
                <w:sz w:val="16"/>
                <w:szCs w:val="16"/>
                <w:lang w:eastAsia="pt-BR"/>
              </w:rPr>
            </w:pPr>
            <w:r w:rsidRPr="00806700">
              <w:rPr>
                <w:rFonts w:ascii="Arial Narrow" w:eastAsia="Times New Roman" w:hAnsi="Arial Narrow" w:cs="Arial"/>
                <w:sz w:val="16"/>
                <w:szCs w:val="16"/>
                <w:lang w:eastAsia="pt-BR"/>
              </w:rPr>
              <w:t>BPA.E036</w:t>
            </w:r>
          </w:p>
        </w:tc>
        <w:tc>
          <w:tcPr>
            <w:tcW w:w="4562" w:type="dxa"/>
            <w:tcBorders>
              <w:top w:val="nil"/>
              <w:left w:val="nil"/>
              <w:bottom w:val="nil"/>
            </w:tcBorders>
            <w:shd w:val="clear" w:color="auto" w:fill="auto"/>
            <w:noWrap/>
            <w:vAlign w:val="center"/>
          </w:tcPr>
          <w:p w14:paraId="2F5DC11F" w14:textId="77777777" w:rsidR="00C77F0A" w:rsidRPr="009548D7" w:rsidRDefault="00C77F0A" w:rsidP="0015273C">
            <w:pPr>
              <w:spacing w:after="0" w:line="240" w:lineRule="auto"/>
              <w:ind w:firstLineChars="100" w:firstLine="16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Provisões a Longo Prazo</w:t>
            </w:r>
          </w:p>
        </w:tc>
        <w:tc>
          <w:tcPr>
            <w:tcW w:w="775" w:type="dxa"/>
            <w:tcBorders>
              <w:top w:val="nil"/>
              <w:bottom w:val="nil"/>
              <w:right w:val="single" w:sz="8" w:space="0" w:color="auto"/>
            </w:tcBorders>
            <w:shd w:val="clear" w:color="auto" w:fill="auto"/>
            <w:noWrap/>
            <w:vAlign w:val="center"/>
          </w:tcPr>
          <w:p w14:paraId="3AC69402"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tcPr>
          <w:p w14:paraId="6F28F115"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BPA.H037</w:t>
            </w:r>
          </w:p>
        </w:tc>
        <w:tc>
          <w:tcPr>
            <w:tcW w:w="1420" w:type="dxa"/>
            <w:tcBorders>
              <w:top w:val="nil"/>
              <w:left w:val="nil"/>
              <w:bottom w:val="nil"/>
              <w:right w:val="single" w:sz="8" w:space="0" w:color="auto"/>
            </w:tcBorders>
            <w:shd w:val="clear" w:color="auto" w:fill="auto"/>
            <w:noWrap/>
            <w:vAlign w:val="center"/>
          </w:tcPr>
          <w:p w14:paraId="10B5A319"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BPA.I037</w:t>
            </w:r>
          </w:p>
        </w:tc>
      </w:tr>
      <w:tr w:rsidR="00C77F0A" w:rsidRPr="009548D7" w14:paraId="1D1E9C63" w14:textId="77777777" w:rsidTr="0015273C">
        <w:trPr>
          <w:trHeight w:val="255"/>
        </w:trPr>
        <w:tc>
          <w:tcPr>
            <w:tcW w:w="4410" w:type="dxa"/>
            <w:tcBorders>
              <w:top w:val="nil"/>
              <w:left w:val="single" w:sz="8" w:space="0" w:color="auto"/>
              <w:bottom w:val="nil"/>
            </w:tcBorders>
            <w:shd w:val="clear" w:color="auto" w:fill="auto"/>
            <w:noWrap/>
            <w:vAlign w:val="center"/>
            <w:hideMark/>
          </w:tcPr>
          <w:p w14:paraId="39B039F2" w14:textId="77777777" w:rsidR="00C77F0A" w:rsidRPr="00806700" w:rsidRDefault="00C77F0A" w:rsidP="0015273C">
            <w:pPr>
              <w:spacing w:after="0" w:line="240" w:lineRule="auto"/>
              <w:ind w:firstLineChars="300" w:firstLine="48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Demais Créditos e Valores a Longo Prazo</w:t>
            </w:r>
          </w:p>
        </w:tc>
        <w:tc>
          <w:tcPr>
            <w:tcW w:w="767" w:type="dxa"/>
            <w:tcBorders>
              <w:top w:val="nil"/>
              <w:bottom w:val="nil"/>
              <w:right w:val="single" w:sz="8" w:space="0" w:color="auto"/>
            </w:tcBorders>
            <w:shd w:val="clear" w:color="auto" w:fill="auto"/>
            <w:noWrap/>
            <w:vAlign w:val="center"/>
          </w:tcPr>
          <w:p w14:paraId="38ABC112" w14:textId="77777777" w:rsidR="00C77F0A" w:rsidRPr="00806700"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301AA64F" w14:textId="77777777" w:rsidR="00C77F0A" w:rsidRPr="00806700"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BPA.D037</w:t>
            </w:r>
          </w:p>
        </w:tc>
        <w:tc>
          <w:tcPr>
            <w:tcW w:w="1262" w:type="dxa"/>
            <w:tcBorders>
              <w:top w:val="nil"/>
              <w:left w:val="nil"/>
              <w:bottom w:val="nil"/>
              <w:right w:val="single" w:sz="8" w:space="0" w:color="auto"/>
            </w:tcBorders>
            <w:shd w:val="clear" w:color="auto" w:fill="auto"/>
            <w:noWrap/>
            <w:vAlign w:val="center"/>
            <w:hideMark/>
          </w:tcPr>
          <w:p w14:paraId="096AE537" w14:textId="77777777" w:rsidR="00C77F0A" w:rsidRPr="00806700"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BPA.E037</w:t>
            </w:r>
          </w:p>
        </w:tc>
        <w:tc>
          <w:tcPr>
            <w:tcW w:w="4562" w:type="dxa"/>
            <w:tcBorders>
              <w:top w:val="nil"/>
              <w:left w:val="nil"/>
              <w:bottom w:val="nil"/>
            </w:tcBorders>
            <w:shd w:val="clear" w:color="auto" w:fill="auto"/>
            <w:noWrap/>
            <w:vAlign w:val="center"/>
            <w:hideMark/>
          </w:tcPr>
          <w:p w14:paraId="64E83184" w14:textId="77777777" w:rsidR="00C77F0A" w:rsidRPr="009548D7" w:rsidRDefault="00C77F0A" w:rsidP="0015273C">
            <w:pPr>
              <w:spacing w:after="0" w:line="240" w:lineRule="auto"/>
              <w:ind w:firstLineChars="100" w:firstLine="16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Provisões para Riscos Trabalhistas a Longo Prazo</w:t>
            </w:r>
          </w:p>
        </w:tc>
        <w:tc>
          <w:tcPr>
            <w:tcW w:w="775" w:type="dxa"/>
            <w:tcBorders>
              <w:top w:val="nil"/>
              <w:bottom w:val="nil"/>
              <w:right w:val="single" w:sz="8" w:space="0" w:color="auto"/>
            </w:tcBorders>
            <w:shd w:val="clear" w:color="auto" w:fill="auto"/>
            <w:noWrap/>
            <w:vAlign w:val="center"/>
          </w:tcPr>
          <w:p w14:paraId="3AC07A2F"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051C1FC4"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BPA.H038</w:t>
            </w:r>
          </w:p>
        </w:tc>
        <w:tc>
          <w:tcPr>
            <w:tcW w:w="1420" w:type="dxa"/>
            <w:tcBorders>
              <w:top w:val="nil"/>
              <w:left w:val="nil"/>
              <w:bottom w:val="nil"/>
              <w:right w:val="single" w:sz="8" w:space="0" w:color="auto"/>
            </w:tcBorders>
            <w:shd w:val="clear" w:color="auto" w:fill="auto"/>
            <w:noWrap/>
            <w:vAlign w:val="center"/>
            <w:hideMark/>
          </w:tcPr>
          <w:p w14:paraId="22FB48A5"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BPA.I038</w:t>
            </w:r>
          </w:p>
        </w:tc>
      </w:tr>
      <w:tr w:rsidR="00C77F0A" w:rsidRPr="009548D7" w14:paraId="6479FA01" w14:textId="77777777" w:rsidTr="0015273C">
        <w:trPr>
          <w:trHeight w:val="255"/>
        </w:trPr>
        <w:tc>
          <w:tcPr>
            <w:tcW w:w="4410" w:type="dxa"/>
            <w:tcBorders>
              <w:top w:val="nil"/>
              <w:left w:val="single" w:sz="8" w:space="0" w:color="auto"/>
              <w:bottom w:val="nil"/>
            </w:tcBorders>
            <w:shd w:val="clear" w:color="auto" w:fill="auto"/>
            <w:noWrap/>
            <w:vAlign w:val="center"/>
            <w:hideMark/>
          </w:tcPr>
          <w:p w14:paraId="3A624F84" w14:textId="77777777" w:rsidR="00C77F0A" w:rsidRPr="009548D7" w:rsidRDefault="00C77F0A" w:rsidP="0015273C">
            <w:pPr>
              <w:spacing w:after="0" w:line="240" w:lineRule="auto"/>
              <w:ind w:firstLineChars="200" w:firstLine="32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Investimentos e Aplicações Temporárias a Longo Prazo</w:t>
            </w:r>
          </w:p>
        </w:tc>
        <w:tc>
          <w:tcPr>
            <w:tcW w:w="767" w:type="dxa"/>
            <w:tcBorders>
              <w:top w:val="nil"/>
              <w:bottom w:val="nil"/>
              <w:right w:val="single" w:sz="8" w:space="0" w:color="auto"/>
            </w:tcBorders>
            <w:shd w:val="clear" w:color="auto" w:fill="auto"/>
            <w:noWrap/>
            <w:vAlign w:val="center"/>
          </w:tcPr>
          <w:p w14:paraId="689154B7"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2A6BE18D"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BPA.D038</w:t>
            </w:r>
          </w:p>
        </w:tc>
        <w:tc>
          <w:tcPr>
            <w:tcW w:w="1262" w:type="dxa"/>
            <w:tcBorders>
              <w:top w:val="nil"/>
              <w:left w:val="nil"/>
              <w:bottom w:val="nil"/>
              <w:right w:val="single" w:sz="8" w:space="0" w:color="auto"/>
            </w:tcBorders>
            <w:shd w:val="clear" w:color="auto" w:fill="auto"/>
            <w:noWrap/>
            <w:vAlign w:val="center"/>
            <w:hideMark/>
          </w:tcPr>
          <w:p w14:paraId="07B89560"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BPA.E038</w:t>
            </w:r>
          </w:p>
        </w:tc>
        <w:tc>
          <w:tcPr>
            <w:tcW w:w="4562" w:type="dxa"/>
            <w:tcBorders>
              <w:top w:val="nil"/>
              <w:left w:val="nil"/>
              <w:bottom w:val="nil"/>
            </w:tcBorders>
            <w:shd w:val="clear" w:color="000000" w:fill="FFFFFF"/>
            <w:noWrap/>
            <w:vAlign w:val="center"/>
            <w:hideMark/>
          </w:tcPr>
          <w:p w14:paraId="4F472B5D" w14:textId="77777777" w:rsidR="00C77F0A" w:rsidRPr="009548D7" w:rsidRDefault="00C77F0A" w:rsidP="0015273C">
            <w:pPr>
              <w:spacing w:after="0" w:line="240" w:lineRule="auto"/>
              <w:ind w:firstLineChars="200" w:firstLine="32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Provisões Matemáticas Previdenciárias a Longo Prazo</w:t>
            </w:r>
          </w:p>
        </w:tc>
        <w:tc>
          <w:tcPr>
            <w:tcW w:w="775" w:type="dxa"/>
            <w:tcBorders>
              <w:top w:val="nil"/>
              <w:bottom w:val="nil"/>
              <w:right w:val="single" w:sz="8" w:space="0" w:color="auto"/>
            </w:tcBorders>
            <w:shd w:val="clear" w:color="auto" w:fill="auto"/>
            <w:noWrap/>
            <w:vAlign w:val="center"/>
          </w:tcPr>
          <w:p w14:paraId="78575E0E"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4AC04608"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BPA.H039</w:t>
            </w:r>
          </w:p>
        </w:tc>
        <w:tc>
          <w:tcPr>
            <w:tcW w:w="1420" w:type="dxa"/>
            <w:tcBorders>
              <w:top w:val="nil"/>
              <w:left w:val="nil"/>
              <w:bottom w:val="nil"/>
              <w:right w:val="single" w:sz="8" w:space="0" w:color="auto"/>
            </w:tcBorders>
            <w:shd w:val="clear" w:color="auto" w:fill="auto"/>
            <w:noWrap/>
            <w:vAlign w:val="center"/>
            <w:hideMark/>
          </w:tcPr>
          <w:p w14:paraId="4D4B7FFD"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BPA.I039</w:t>
            </w:r>
          </w:p>
        </w:tc>
      </w:tr>
      <w:tr w:rsidR="00C77F0A" w:rsidRPr="009548D7" w14:paraId="5891267A" w14:textId="77777777" w:rsidTr="0015273C">
        <w:trPr>
          <w:trHeight w:val="255"/>
        </w:trPr>
        <w:tc>
          <w:tcPr>
            <w:tcW w:w="4410" w:type="dxa"/>
            <w:tcBorders>
              <w:top w:val="nil"/>
              <w:left w:val="single" w:sz="8" w:space="0" w:color="auto"/>
              <w:bottom w:val="nil"/>
            </w:tcBorders>
            <w:shd w:val="clear" w:color="auto" w:fill="auto"/>
            <w:noWrap/>
            <w:vAlign w:val="center"/>
            <w:hideMark/>
          </w:tcPr>
          <w:p w14:paraId="3678E430" w14:textId="77777777" w:rsidR="00C77F0A" w:rsidRPr="009548D7" w:rsidRDefault="00C77F0A" w:rsidP="0015273C">
            <w:pPr>
              <w:spacing w:after="0" w:line="240" w:lineRule="auto"/>
              <w:ind w:firstLineChars="200" w:firstLine="32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xml:space="preserve">     Estoques</w:t>
            </w:r>
          </w:p>
        </w:tc>
        <w:tc>
          <w:tcPr>
            <w:tcW w:w="767" w:type="dxa"/>
            <w:tcBorders>
              <w:top w:val="nil"/>
              <w:bottom w:val="nil"/>
              <w:right w:val="single" w:sz="8" w:space="0" w:color="auto"/>
            </w:tcBorders>
            <w:shd w:val="clear" w:color="auto" w:fill="auto"/>
            <w:noWrap/>
            <w:vAlign w:val="center"/>
          </w:tcPr>
          <w:p w14:paraId="56D6C786"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08B14177"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BPA.D039</w:t>
            </w:r>
          </w:p>
        </w:tc>
        <w:tc>
          <w:tcPr>
            <w:tcW w:w="1262" w:type="dxa"/>
            <w:tcBorders>
              <w:top w:val="nil"/>
              <w:left w:val="nil"/>
              <w:bottom w:val="nil"/>
              <w:right w:val="single" w:sz="8" w:space="0" w:color="auto"/>
            </w:tcBorders>
            <w:shd w:val="clear" w:color="auto" w:fill="auto"/>
            <w:noWrap/>
            <w:vAlign w:val="center"/>
            <w:hideMark/>
          </w:tcPr>
          <w:p w14:paraId="13292748"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BPA.E039</w:t>
            </w:r>
          </w:p>
        </w:tc>
        <w:tc>
          <w:tcPr>
            <w:tcW w:w="4562" w:type="dxa"/>
            <w:tcBorders>
              <w:top w:val="nil"/>
              <w:left w:val="nil"/>
              <w:bottom w:val="nil"/>
            </w:tcBorders>
            <w:shd w:val="clear" w:color="000000" w:fill="FFFFFF"/>
            <w:noWrap/>
            <w:vAlign w:val="center"/>
            <w:hideMark/>
          </w:tcPr>
          <w:p w14:paraId="2CD4BFB6" w14:textId="77777777" w:rsidR="00C77F0A" w:rsidRPr="009548D7" w:rsidRDefault="00C77F0A" w:rsidP="0015273C">
            <w:pPr>
              <w:spacing w:after="0" w:line="240" w:lineRule="auto"/>
              <w:ind w:firstLineChars="200" w:firstLine="32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Provisões para Riscos Fiscais a Longo Prazo</w:t>
            </w:r>
          </w:p>
        </w:tc>
        <w:tc>
          <w:tcPr>
            <w:tcW w:w="775" w:type="dxa"/>
            <w:tcBorders>
              <w:top w:val="nil"/>
              <w:bottom w:val="nil"/>
              <w:right w:val="single" w:sz="8" w:space="0" w:color="auto"/>
            </w:tcBorders>
            <w:shd w:val="clear" w:color="auto" w:fill="auto"/>
            <w:noWrap/>
            <w:vAlign w:val="center"/>
          </w:tcPr>
          <w:p w14:paraId="78CB78B0"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30E1F465"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BPA.H040</w:t>
            </w:r>
          </w:p>
        </w:tc>
        <w:tc>
          <w:tcPr>
            <w:tcW w:w="1420" w:type="dxa"/>
            <w:tcBorders>
              <w:top w:val="nil"/>
              <w:left w:val="nil"/>
              <w:bottom w:val="nil"/>
              <w:right w:val="single" w:sz="8" w:space="0" w:color="auto"/>
            </w:tcBorders>
            <w:shd w:val="clear" w:color="auto" w:fill="auto"/>
            <w:noWrap/>
            <w:vAlign w:val="center"/>
            <w:hideMark/>
          </w:tcPr>
          <w:p w14:paraId="6769954A"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BPA.I040</w:t>
            </w:r>
          </w:p>
        </w:tc>
      </w:tr>
      <w:tr w:rsidR="00C77F0A" w:rsidRPr="009548D7" w14:paraId="1B03F392" w14:textId="77777777" w:rsidTr="0015273C">
        <w:trPr>
          <w:trHeight w:val="255"/>
        </w:trPr>
        <w:tc>
          <w:tcPr>
            <w:tcW w:w="4410" w:type="dxa"/>
            <w:tcBorders>
              <w:top w:val="nil"/>
              <w:left w:val="single" w:sz="8" w:space="0" w:color="auto"/>
              <w:bottom w:val="nil"/>
            </w:tcBorders>
            <w:shd w:val="clear" w:color="auto" w:fill="auto"/>
            <w:noWrap/>
            <w:vAlign w:val="center"/>
            <w:hideMark/>
          </w:tcPr>
          <w:p w14:paraId="537DF40E" w14:textId="77777777" w:rsidR="00C77F0A" w:rsidRPr="009548D7" w:rsidRDefault="00C77F0A" w:rsidP="0015273C">
            <w:pPr>
              <w:spacing w:after="0" w:line="240" w:lineRule="auto"/>
              <w:ind w:firstLineChars="100" w:firstLine="16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xml:space="preserve">     VPD Pagas Antecipadamente</w:t>
            </w:r>
          </w:p>
        </w:tc>
        <w:tc>
          <w:tcPr>
            <w:tcW w:w="767" w:type="dxa"/>
            <w:tcBorders>
              <w:top w:val="nil"/>
              <w:bottom w:val="nil"/>
              <w:right w:val="single" w:sz="8" w:space="0" w:color="auto"/>
            </w:tcBorders>
            <w:shd w:val="clear" w:color="auto" w:fill="auto"/>
            <w:noWrap/>
            <w:vAlign w:val="center"/>
          </w:tcPr>
          <w:p w14:paraId="22089FD8"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3FE8E461"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BPA.D040</w:t>
            </w:r>
          </w:p>
        </w:tc>
        <w:tc>
          <w:tcPr>
            <w:tcW w:w="1262" w:type="dxa"/>
            <w:tcBorders>
              <w:top w:val="nil"/>
              <w:left w:val="nil"/>
              <w:bottom w:val="nil"/>
              <w:right w:val="single" w:sz="8" w:space="0" w:color="auto"/>
            </w:tcBorders>
            <w:shd w:val="clear" w:color="auto" w:fill="auto"/>
            <w:noWrap/>
            <w:vAlign w:val="center"/>
            <w:hideMark/>
          </w:tcPr>
          <w:p w14:paraId="648E3EF1"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BPA.E040</w:t>
            </w:r>
          </w:p>
        </w:tc>
        <w:tc>
          <w:tcPr>
            <w:tcW w:w="4562" w:type="dxa"/>
            <w:tcBorders>
              <w:top w:val="nil"/>
              <w:left w:val="nil"/>
              <w:bottom w:val="nil"/>
            </w:tcBorders>
            <w:shd w:val="clear" w:color="000000" w:fill="FFFFFF"/>
            <w:noWrap/>
            <w:vAlign w:val="center"/>
            <w:hideMark/>
          </w:tcPr>
          <w:p w14:paraId="40119E5C" w14:textId="77777777" w:rsidR="00C77F0A" w:rsidRPr="009548D7" w:rsidRDefault="00C77F0A" w:rsidP="0015273C">
            <w:pPr>
              <w:spacing w:after="0" w:line="240" w:lineRule="auto"/>
              <w:ind w:firstLineChars="200" w:firstLine="32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Provisões para Riscos Cíveis a Longo Prazo</w:t>
            </w:r>
          </w:p>
        </w:tc>
        <w:tc>
          <w:tcPr>
            <w:tcW w:w="775" w:type="dxa"/>
            <w:tcBorders>
              <w:top w:val="nil"/>
              <w:bottom w:val="nil"/>
              <w:right w:val="single" w:sz="8" w:space="0" w:color="auto"/>
            </w:tcBorders>
            <w:shd w:val="clear" w:color="auto" w:fill="auto"/>
            <w:noWrap/>
            <w:vAlign w:val="center"/>
          </w:tcPr>
          <w:p w14:paraId="7EF4FE18"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17C4D449"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BPA.H041</w:t>
            </w:r>
          </w:p>
        </w:tc>
        <w:tc>
          <w:tcPr>
            <w:tcW w:w="1420" w:type="dxa"/>
            <w:tcBorders>
              <w:top w:val="nil"/>
              <w:left w:val="nil"/>
              <w:bottom w:val="nil"/>
              <w:right w:val="single" w:sz="8" w:space="0" w:color="auto"/>
            </w:tcBorders>
            <w:shd w:val="clear" w:color="auto" w:fill="auto"/>
            <w:noWrap/>
            <w:vAlign w:val="center"/>
            <w:hideMark/>
          </w:tcPr>
          <w:p w14:paraId="7510A7D8"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BPA.I041</w:t>
            </w:r>
          </w:p>
        </w:tc>
      </w:tr>
      <w:tr w:rsidR="00C77F0A" w:rsidRPr="009548D7" w14:paraId="4FF13FDE" w14:textId="77777777" w:rsidTr="0015273C">
        <w:trPr>
          <w:trHeight w:val="285"/>
        </w:trPr>
        <w:tc>
          <w:tcPr>
            <w:tcW w:w="4410" w:type="dxa"/>
            <w:tcBorders>
              <w:top w:val="nil"/>
              <w:left w:val="single" w:sz="8" w:space="0" w:color="auto"/>
              <w:bottom w:val="nil"/>
            </w:tcBorders>
            <w:shd w:val="clear" w:color="auto" w:fill="auto"/>
            <w:noWrap/>
            <w:vAlign w:val="center"/>
          </w:tcPr>
          <w:p w14:paraId="01A3E350" w14:textId="77777777" w:rsidR="00C77F0A" w:rsidRPr="009548D7" w:rsidRDefault="00C77F0A" w:rsidP="0015273C">
            <w:pPr>
              <w:spacing w:after="0" w:line="240" w:lineRule="auto"/>
              <w:ind w:firstLineChars="100" w:firstLine="160"/>
              <w:rPr>
                <w:rFonts w:ascii="Arial Narrow" w:eastAsia="Times New Roman" w:hAnsi="Arial Narrow" w:cs="Arial"/>
                <w:sz w:val="16"/>
                <w:szCs w:val="16"/>
                <w:lang w:eastAsia="pt-BR"/>
              </w:rPr>
            </w:pPr>
          </w:p>
        </w:tc>
        <w:tc>
          <w:tcPr>
            <w:tcW w:w="767" w:type="dxa"/>
            <w:tcBorders>
              <w:top w:val="nil"/>
              <w:bottom w:val="nil"/>
              <w:right w:val="single" w:sz="8" w:space="0" w:color="auto"/>
            </w:tcBorders>
            <w:shd w:val="clear" w:color="auto" w:fill="auto"/>
            <w:noWrap/>
            <w:vAlign w:val="center"/>
          </w:tcPr>
          <w:p w14:paraId="07541B2E"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tcPr>
          <w:p w14:paraId="40A36025"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p>
        </w:tc>
        <w:tc>
          <w:tcPr>
            <w:tcW w:w="1262" w:type="dxa"/>
            <w:tcBorders>
              <w:top w:val="nil"/>
              <w:left w:val="nil"/>
              <w:bottom w:val="nil"/>
              <w:right w:val="single" w:sz="8" w:space="0" w:color="auto"/>
            </w:tcBorders>
            <w:shd w:val="clear" w:color="auto" w:fill="auto"/>
            <w:noWrap/>
            <w:vAlign w:val="center"/>
          </w:tcPr>
          <w:p w14:paraId="56AC45C4"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p>
        </w:tc>
        <w:tc>
          <w:tcPr>
            <w:tcW w:w="4562" w:type="dxa"/>
            <w:tcBorders>
              <w:top w:val="nil"/>
              <w:left w:val="nil"/>
              <w:bottom w:val="nil"/>
            </w:tcBorders>
            <w:shd w:val="clear" w:color="000000" w:fill="FFFFFF"/>
            <w:noWrap/>
            <w:vAlign w:val="center"/>
            <w:hideMark/>
          </w:tcPr>
          <w:p w14:paraId="29FD5BF4" w14:textId="77777777" w:rsidR="00C77F0A" w:rsidRPr="009548D7" w:rsidRDefault="00C77F0A" w:rsidP="0015273C">
            <w:pPr>
              <w:spacing w:after="0" w:line="240" w:lineRule="auto"/>
              <w:ind w:firstLineChars="200" w:firstLine="320"/>
              <w:rPr>
                <w:rFonts w:ascii="Arial Narrow" w:eastAsia="Times New Roman" w:hAnsi="Arial Narrow" w:cs="Arial"/>
                <w:sz w:val="16"/>
                <w:szCs w:val="16"/>
                <w:lang w:eastAsia="pt-BR"/>
              </w:rPr>
            </w:pPr>
            <w:r w:rsidRPr="008459C1">
              <w:rPr>
                <w:rFonts w:ascii="Arial Narrow" w:eastAsia="Times New Roman" w:hAnsi="Arial Narrow" w:cs="Arial"/>
                <w:sz w:val="16"/>
                <w:szCs w:val="16"/>
                <w:lang w:eastAsia="pt-BR"/>
              </w:rPr>
              <w:t>Provisão para Repartição de Créditos a Longo Prazo</w:t>
            </w:r>
          </w:p>
        </w:tc>
        <w:tc>
          <w:tcPr>
            <w:tcW w:w="775" w:type="dxa"/>
            <w:tcBorders>
              <w:top w:val="nil"/>
              <w:bottom w:val="nil"/>
              <w:right w:val="single" w:sz="8" w:space="0" w:color="auto"/>
            </w:tcBorders>
            <w:shd w:val="clear" w:color="auto" w:fill="auto"/>
            <w:noWrap/>
            <w:vAlign w:val="center"/>
          </w:tcPr>
          <w:p w14:paraId="77BD5AC2"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364FAA61"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8459C1">
              <w:rPr>
                <w:rFonts w:ascii="Arial Narrow" w:eastAsia="Times New Roman" w:hAnsi="Arial Narrow" w:cs="Arial"/>
                <w:sz w:val="16"/>
                <w:szCs w:val="16"/>
                <w:lang w:eastAsia="pt-BR"/>
              </w:rPr>
              <w:t>BPA.H090</w:t>
            </w:r>
          </w:p>
        </w:tc>
        <w:tc>
          <w:tcPr>
            <w:tcW w:w="1420" w:type="dxa"/>
            <w:tcBorders>
              <w:top w:val="nil"/>
              <w:left w:val="nil"/>
              <w:bottom w:val="nil"/>
              <w:right w:val="single" w:sz="8" w:space="0" w:color="auto"/>
            </w:tcBorders>
            <w:shd w:val="clear" w:color="auto" w:fill="auto"/>
            <w:noWrap/>
            <w:vAlign w:val="center"/>
            <w:hideMark/>
          </w:tcPr>
          <w:p w14:paraId="29482647"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8459C1">
              <w:rPr>
                <w:rFonts w:ascii="Arial Narrow" w:eastAsia="Times New Roman" w:hAnsi="Arial Narrow" w:cs="Arial"/>
                <w:sz w:val="16"/>
                <w:szCs w:val="16"/>
                <w:lang w:eastAsia="pt-BR"/>
              </w:rPr>
              <w:t>BPA.I090</w:t>
            </w:r>
          </w:p>
        </w:tc>
      </w:tr>
      <w:tr w:rsidR="00C77F0A" w:rsidRPr="009548D7" w14:paraId="0984EC03" w14:textId="77777777" w:rsidTr="0015273C">
        <w:trPr>
          <w:trHeight w:val="240"/>
        </w:trPr>
        <w:tc>
          <w:tcPr>
            <w:tcW w:w="4410" w:type="dxa"/>
            <w:tcBorders>
              <w:top w:val="nil"/>
              <w:left w:val="single" w:sz="8" w:space="0" w:color="auto"/>
              <w:bottom w:val="nil"/>
            </w:tcBorders>
            <w:shd w:val="clear" w:color="auto" w:fill="auto"/>
            <w:vAlign w:val="center"/>
          </w:tcPr>
          <w:p w14:paraId="752C0BD3" w14:textId="77777777" w:rsidR="00C77F0A" w:rsidRPr="009548D7" w:rsidRDefault="00C77F0A" w:rsidP="0015273C">
            <w:pPr>
              <w:spacing w:after="0" w:line="240" w:lineRule="auto"/>
              <w:ind w:firstLineChars="100" w:firstLine="161"/>
              <w:rPr>
                <w:rFonts w:ascii="Arial Narrow" w:eastAsia="Times New Roman" w:hAnsi="Arial Narrow" w:cs="Arial"/>
                <w:b/>
                <w:bCs/>
                <w:sz w:val="16"/>
                <w:szCs w:val="16"/>
                <w:lang w:eastAsia="pt-BR"/>
              </w:rPr>
            </w:pPr>
          </w:p>
        </w:tc>
        <w:tc>
          <w:tcPr>
            <w:tcW w:w="767" w:type="dxa"/>
            <w:tcBorders>
              <w:top w:val="nil"/>
              <w:bottom w:val="nil"/>
              <w:right w:val="single" w:sz="8" w:space="0" w:color="auto"/>
            </w:tcBorders>
            <w:shd w:val="clear" w:color="auto" w:fill="auto"/>
            <w:noWrap/>
            <w:vAlign w:val="center"/>
          </w:tcPr>
          <w:p w14:paraId="35CE983C" w14:textId="77777777" w:rsidR="00C77F0A" w:rsidRPr="009548D7" w:rsidRDefault="00C77F0A" w:rsidP="0015273C">
            <w:pPr>
              <w:spacing w:after="0" w:line="240" w:lineRule="auto"/>
              <w:jc w:val="center"/>
              <w:rPr>
                <w:rFonts w:ascii="Arial Narrow" w:eastAsia="Times New Roman" w:hAnsi="Arial Narrow" w:cs="Arial"/>
                <w:b/>
                <w:bCs/>
                <w:sz w:val="16"/>
                <w:szCs w:val="16"/>
                <w:lang w:eastAsia="pt-BR"/>
              </w:rPr>
            </w:pPr>
          </w:p>
        </w:tc>
        <w:tc>
          <w:tcPr>
            <w:tcW w:w="1063" w:type="dxa"/>
            <w:tcBorders>
              <w:top w:val="nil"/>
              <w:left w:val="nil"/>
              <w:bottom w:val="nil"/>
              <w:right w:val="single" w:sz="8" w:space="0" w:color="auto"/>
            </w:tcBorders>
            <w:shd w:val="clear" w:color="auto" w:fill="auto"/>
            <w:noWrap/>
            <w:vAlign w:val="center"/>
          </w:tcPr>
          <w:p w14:paraId="51B315EE" w14:textId="77777777" w:rsidR="00C77F0A" w:rsidRPr="009548D7" w:rsidRDefault="00C77F0A" w:rsidP="0015273C">
            <w:pPr>
              <w:spacing w:after="0" w:line="240" w:lineRule="auto"/>
              <w:jc w:val="center"/>
              <w:rPr>
                <w:rFonts w:ascii="Arial Narrow" w:eastAsia="Times New Roman" w:hAnsi="Arial Narrow" w:cs="Arial"/>
                <w:b/>
                <w:bCs/>
                <w:sz w:val="16"/>
                <w:szCs w:val="16"/>
                <w:lang w:eastAsia="pt-BR"/>
              </w:rPr>
            </w:pPr>
          </w:p>
        </w:tc>
        <w:tc>
          <w:tcPr>
            <w:tcW w:w="1262" w:type="dxa"/>
            <w:tcBorders>
              <w:top w:val="nil"/>
              <w:left w:val="nil"/>
              <w:bottom w:val="nil"/>
              <w:right w:val="single" w:sz="8" w:space="0" w:color="auto"/>
            </w:tcBorders>
            <w:shd w:val="clear" w:color="auto" w:fill="auto"/>
            <w:noWrap/>
            <w:vAlign w:val="center"/>
          </w:tcPr>
          <w:p w14:paraId="5E5D2706" w14:textId="77777777" w:rsidR="00C77F0A" w:rsidRPr="009548D7" w:rsidRDefault="00C77F0A" w:rsidP="0015273C">
            <w:pPr>
              <w:spacing w:after="0" w:line="240" w:lineRule="auto"/>
              <w:jc w:val="center"/>
              <w:rPr>
                <w:rFonts w:ascii="Arial Narrow" w:eastAsia="Times New Roman" w:hAnsi="Arial Narrow" w:cs="Arial"/>
                <w:b/>
                <w:bCs/>
                <w:sz w:val="16"/>
                <w:szCs w:val="16"/>
                <w:lang w:eastAsia="pt-BR"/>
              </w:rPr>
            </w:pPr>
          </w:p>
        </w:tc>
        <w:tc>
          <w:tcPr>
            <w:tcW w:w="4562" w:type="dxa"/>
            <w:tcBorders>
              <w:top w:val="nil"/>
              <w:left w:val="nil"/>
              <w:bottom w:val="nil"/>
            </w:tcBorders>
            <w:shd w:val="clear" w:color="000000" w:fill="FFFFFF"/>
            <w:noWrap/>
            <w:vAlign w:val="center"/>
          </w:tcPr>
          <w:p w14:paraId="36AEE9AC" w14:textId="77777777" w:rsidR="00C77F0A" w:rsidRPr="009548D7" w:rsidRDefault="00C77F0A" w:rsidP="0015273C">
            <w:pPr>
              <w:spacing w:after="0" w:line="240" w:lineRule="auto"/>
              <w:ind w:firstLineChars="200" w:firstLine="32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Provisões p</w:t>
            </w:r>
            <w:r>
              <w:rPr>
                <w:rFonts w:ascii="Arial Narrow" w:eastAsia="Times New Roman" w:hAnsi="Arial Narrow" w:cs="Arial"/>
                <w:sz w:val="16"/>
                <w:szCs w:val="16"/>
                <w:lang w:eastAsia="pt-BR"/>
              </w:rPr>
              <w:t>/</w:t>
            </w:r>
            <w:r w:rsidRPr="009548D7">
              <w:rPr>
                <w:rFonts w:ascii="Arial Narrow" w:eastAsia="Times New Roman" w:hAnsi="Arial Narrow" w:cs="Arial"/>
                <w:sz w:val="16"/>
                <w:szCs w:val="16"/>
                <w:lang w:eastAsia="pt-BR"/>
              </w:rPr>
              <w:t>Riscos Decorrentes de Contratos de PPP a Longo Prazo</w:t>
            </w:r>
          </w:p>
        </w:tc>
        <w:tc>
          <w:tcPr>
            <w:tcW w:w="775" w:type="dxa"/>
            <w:tcBorders>
              <w:top w:val="nil"/>
              <w:bottom w:val="nil"/>
              <w:right w:val="single" w:sz="8" w:space="0" w:color="auto"/>
            </w:tcBorders>
            <w:shd w:val="clear" w:color="auto" w:fill="auto"/>
            <w:noWrap/>
            <w:vAlign w:val="center"/>
          </w:tcPr>
          <w:p w14:paraId="6F4732D0" w14:textId="77777777" w:rsidR="00C77F0A" w:rsidRPr="008459C1"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tcPr>
          <w:p w14:paraId="197552C5" w14:textId="77777777" w:rsidR="00C77F0A" w:rsidRPr="008459C1"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BPA.H042</w:t>
            </w:r>
          </w:p>
        </w:tc>
        <w:tc>
          <w:tcPr>
            <w:tcW w:w="1420" w:type="dxa"/>
            <w:tcBorders>
              <w:top w:val="nil"/>
              <w:left w:val="nil"/>
              <w:bottom w:val="nil"/>
              <w:right w:val="single" w:sz="8" w:space="0" w:color="auto"/>
            </w:tcBorders>
            <w:shd w:val="clear" w:color="auto" w:fill="auto"/>
            <w:noWrap/>
            <w:vAlign w:val="center"/>
          </w:tcPr>
          <w:p w14:paraId="44F5171F" w14:textId="77777777" w:rsidR="00C77F0A" w:rsidRPr="008459C1"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BPA.I042</w:t>
            </w:r>
          </w:p>
        </w:tc>
      </w:tr>
      <w:tr w:rsidR="00C77F0A" w:rsidRPr="009548D7" w14:paraId="6C5108F0" w14:textId="77777777" w:rsidTr="0015273C">
        <w:trPr>
          <w:trHeight w:val="240"/>
        </w:trPr>
        <w:tc>
          <w:tcPr>
            <w:tcW w:w="4410" w:type="dxa"/>
            <w:tcBorders>
              <w:top w:val="nil"/>
              <w:left w:val="single" w:sz="8" w:space="0" w:color="auto"/>
              <w:bottom w:val="nil"/>
            </w:tcBorders>
            <w:shd w:val="clear" w:color="auto" w:fill="auto"/>
            <w:vAlign w:val="center"/>
            <w:hideMark/>
          </w:tcPr>
          <w:p w14:paraId="4B5EEA35" w14:textId="77777777" w:rsidR="00C77F0A" w:rsidRPr="009548D7" w:rsidRDefault="00C77F0A" w:rsidP="0015273C">
            <w:pPr>
              <w:spacing w:after="0" w:line="240" w:lineRule="auto"/>
              <w:ind w:firstLineChars="100" w:firstLine="161"/>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Investimentos</w:t>
            </w:r>
          </w:p>
        </w:tc>
        <w:tc>
          <w:tcPr>
            <w:tcW w:w="767" w:type="dxa"/>
            <w:tcBorders>
              <w:top w:val="nil"/>
              <w:bottom w:val="nil"/>
              <w:right w:val="single" w:sz="8" w:space="0" w:color="auto"/>
            </w:tcBorders>
            <w:shd w:val="clear" w:color="auto" w:fill="auto"/>
            <w:noWrap/>
            <w:vAlign w:val="center"/>
          </w:tcPr>
          <w:p w14:paraId="134BD929" w14:textId="77777777" w:rsidR="00C77F0A" w:rsidRPr="009548D7" w:rsidRDefault="00C77F0A" w:rsidP="0015273C">
            <w:pPr>
              <w:spacing w:after="0" w:line="240" w:lineRule="auto"/>
              <w:jc w:val="center"/>
              <w:rPr>
                <w:rFonts w:ascii="Arial Narrow" w:eastAsia="Times New Roman" w:hAnsi="Arial Narrow" w:cs="Arial"/>
                <w:b/>
                <w:bCs/>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5FD6AE91" w14:textId="77777777" w:rsidR="00C77F0A" w:rsidRPr="009548D7" w:rsidRDefault="00C77F0A" w:rsidP="0015273C">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BPA.D041</w:t>
            </w:r>
          </w:p>
        </w:tc>
        <w:tc>
          <w:tcPr>
            <w:tcW w:w="1262" w:type="dxa"/>
            <w:tcBorders>
              <w:top w:val="nil"/>
              <w:left w:val="nil"/>
              <w:bottom w:val="nil"/>
              <w:right w:val="single" w:sz="8" w:space="0" w:color="auto"/>
            </w:tcBorders>
            <w:shd w:val="clear" w:color="auto" w:fill="auto"/>
            <w:noWrap/>
            <w:vAlign w:val="center"/>
            <w:hideMark/>
          </w:tcPr>
          <w:p w14:paraId="49F3E51D" w14:textId="77777777" w:rsidR="00C77F0A" w:rsidRPr="009548D7" w:rsidRDefault="00C77F0A" w:rsidP="0015273C">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BPA.E041</w:t>
            </w:r>
          </w:p>
        </w:tc>
        <w:tc>
          <w:tcPr>
            <w:tcW w:w="4562" w:type="dxa"/>
            <w:tcBorders>
              <w:top w:val="nil"/>
              <w:left w:val="nil"/>
              <w:bottom w:val="nil"/>
            </w:tcBorders>
            <w:shd w:val="clear" w:color="000000" w:fill="FFFFFF"/>
            <w:noWrap/>
            <w:vAlign w:val="center"/>
            <w:hideMark/>
          </w:tcPr>
          <w:p w14:paraId="2CA96DB7" w14:textId="77777777" w:rsidR="00C77F0A" w:rsidRPr="009548D7" w:rsidRDefault="00C77F0A" w:rsidP="0015273C">
            <w:pPr>
              <w:spacing w:after="0" w:line="240" w:lineRule="auto"/>
              <w:ind w:firstLineChars="200" w:firstLine="320"/>
              <w:rPr>
                <w:rFonts w:ascii="Arial Narrow" w:eastAsia="Times New Roman" w:hAnsi="Arial Narrow" w:cs="Arial"/>
                <w:sz w:val="16"/>
                <w:szCs w:val="16"/>
                <w:lang w:eastAsia="pt-BR"/>
              </w:rPr>
            </w:pPr>
            <w:r w:rsidRPr="00C12313">
              <w:rPr>
                <w:rFonts w:ascii="Arial Narrow" w:eastAsia="Times New Roman" w:hAnsi="Arial Narrow" w:cs="Arial"/>
                <w:sz w:val="16"/>
                <w:szCs w:val="16"/>
                <w:lang w:eastAsia="pt-BR"/>
              </w:rPr>
              <w:t>Provisão p/ Obrigações Decorr. da Atuação Govern. a Longo Prazo</w:t>
            </w:r>
          </w:p>
        </w:tc>
        <w:tc>
          <w:tcPr>
            <w:tcW w:w="775" w:type="dxa"/>
            <w:tcBorders>
              <w:top w:val="nil"/>
              <w:bottom w:val="nil"/>
              <w:right w:val="single" w:sz="8" w:space="0" w:color="auto"/>
            </w:tcBorders>
            <w:shd w:val="clear" w:color="auto" w:fill="auto"/>
            <w:noWrap/>
            <w:vAlign w:val="center"/>
          </w:tcPr>
          <w:p w14:paraId="7AE2D9B2"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6BC68828"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C12313">
              <w:rPr>
                <w:rFonts w:ascii="Arial Narrow" w:eastAsia="Times New Roman" w:hAnsi="Arial Narrow" w:cs="Arial"/>
                <w:sz w:val="16"/>
                <w:szCs w:val="16"/>
                <w:lang w:eastAsia="pt-BR"/>
              </w:rPr>
              <w:t>BPA.H073</w:t>
            </w:r>
          </w:p>
        </w:tc>
        <w:tc>
          <w:tcPr>
            <w:tcW w:w="1420" w:type="dxa"/>
            <w:tcBorders>
              <w:top w:val="nil"/>
              <w:left w:val="nil"/>
              <w:bottom w:val="nil"/>
              <w:right w:val="single" w:sz="8" w:space="0" w:color="auto"/>
            </w:tcBorders>
            <w:shd w:val="clear" w:color="auto" w:fill="auto"/>
            <w:noWrap/>
            <w:vAlign w:val="center"/>
            <w:hideMark/>
          </w:tcPr>
          <w:p w14:paraId="3A626888"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C12313">
              <w:rPr>
                <w:rFonts w:ascii="Arial Narrow" w:eastAsia="Times New Roman" w:hAnsi="Arial Narrow" w:cs="Arial"/>
                <w:sz w:val="16"/>
                <w:szCs w:val="16"/>
                <w:lang w:eastAsia="pt-BR"/>
              </w:rPr>
              <w:t>BPA.I073</w:t>
            </w:r>
          </w:p>
        </w:tc>
      </w:tr>
      <w:tr w:rsidR="00C77F0A" w:rsidRPr="009548D7" w14:paraId="7C042091" w14:textId="77777777" w:rsidTr="0015273C">
        <w:trPr>
          <w:trHeight w:val="255"/>
        </w:trPr>
        <w:tc>
          <w:tcPr>
            <w:tcW w:w="4410" w:type="dxa"/>
            <w:tcBorders>
              <w:top w:val="nil"/>
              <w:left w:val="single" w:sz="8" w:space="0" w:color="auto"/>
              <w:bottom w:val="nil"/>
            </w:tcBorders>
            <w:shd w:val="clear" w:color="auto" w:fill="auto"/>
            <w:noWrap/>
            <w:vAlign w:val="center"/>
            <w:hideMark/>
          </w:tcPr>
          <w:p w14:paraId="7BD0CFBA" w14:textId="77777777" w:rsidR="00C77F0A" w:rsidRPr="009548D7" w:rsidRDefault="00C77F0A" w:rsidP="0015273C">
            <w:pPr>
              <w:spacing w:after="0" w:line="240" w:lineRule="auto"/>
              <w:ind w:firstLineChars="200" w:firstLine="32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Participações Permanentes</w:t>
            </w:r>
          </w:p>
        </w:tc>
        <w:tc>
          <w:tcPr>
            <w:tcW w:w="767" w:type="dxa"/>
            <w:tcBorders>
              <w:top w:val="nil"/>
              <w:bottom w:val="nil"/>
              <w:right w:val="single" w:sz="8" w:space="0" w:color="auto"/>
            </w:tcBorders>
            <w:shd w:val="clear" w:color="auto" w:fill="auto"/>
            <w:noWrap/>
            <w:vAlign w:val="center"/>
          </w:tcPr>
          <w:p w14:paraId="14BE0C2F"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59E6130E"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BPA.D042</w:t>
            </w:r>
          </w:p>
        </w:tc>
        <w:tc>
          <w:tcPr>
            <w:tcW w:w="1262" w:type="dxa"/>
            <w:tcBorders>
              <w:top w:val="nil"/>
              <w:left w:val="nil"/>
              <w:bottom w:val="nil"/>
              <w:right w:val="single" w:sz="8" w:space="0" w:color="auto"/>
            </w:tcBorders>
            <w:shd w:val="clear" w:color="auto" w:fill="auto"/>
            <w:noWrap/>
            <w:vAlign w:val="center"/>
            <w:hideMark/>
          </w:tcPr>
          <w:p w14:paraId="6A75F1D3"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BPA.E042</w:t>
            </w:r>
          </w:p>
        </w:tc>
        <w:tc>
          <w:tcPr>
            <w:tcW w:w="4562" w:type="dxa"/>
            <w:tcBorders>
              <w:top w:val="nil"/>
              <w:left w:val="nil"/>
              <w:bottom w:val="nil"/>
            </w:tcBorders>
            <w:shd w:val="clear" w:color="000000" w:fill="FFFFFF"/>
            <w:noWrap/>
            <w:vAlign w:val="center"/>
            <w:hideMark/>
          </w:tcPr>
          <w:p w14:paraId="49CB2184" w14:textId="77777777" w:rsidR="00C77F0A" w:rsidRPr="006B69C6" w:rsidRDefault="00C77F0A" w:rsidP="0015273C">
            <w:pPr>
              <w:spacing w:after="0" w:line="240" w:lineRule="auto"/>
              <w:ind w:firstLineChars="200" w:firstLine="32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Outras Provisões a Longo Prazo</w:t>
            </w:r>
          </w:p>
        </w:tc>
        <w:tc>
          <w:tcPr>
            <w:tcW w:w="775" w:type="dxa"/>
            <w:tcBorders>
              <w:top w:val="nil"/>
              <w:bottom w:val="nil"/>
              <w:right w:val="single" w:sz="8" w:space="0" w:color="auto"/>
            </w:tcBorders>
            <w:shd w:val="clear" w:color="auto" w:fill="auto"/>
            <w:noWrap/>
            <w:vAlign w:val="center"/>
          </w:tcPr>
          <w:p w14:paraId="10D19415" w14:textId="77777777" w:rsidR="00C77F0A" w:rsidRPr="006B69C6"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532A95E9" w14:textId="77777777" w:rsidR="00C77F0A" w:rsidRPr="006B69C6"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BPA.H043</w:t>
            </w:r>
          </w:p>
        </w:tc>
        <w:tc>
          <w:tcPr>
            <w:tcW w:w="1420" w:type="dxa"/>
            <w:tcBorders>
              <w:top w:val="nil"/>
              <w:left w:val="nil"/>
              <w:bottom w:val="nil"/>
              <w:right w:val="single" w:sz="8" w:space="0" w:color="auto"/>
            </w:tcBorders>
            <w:shd w:val="clear" w:color="auto" w:fill="auto"/>
            <w:noWrap/>
            <w:vAlign w:val="center"/>
            <w:hideMark/>
          </w:tcPr>
          <w:p w14:paraId="23C5F2E6" w14:textId="77777777" w:rsidR="00C77F0A" w:rsidRPr="006B69C6"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BPA.I043</w:t>
            </w:r>
          </w:p>
        </w:tc>
      </w:tr>
      <w:tr w:rsidR="00C77F0A" w:rsidRPr="009548D7" w14:paraId="30301A8A" w14:textId="77777777" w:rsidTr="0015273C">
        <w:trPr>
          <w:trHeight w:hRule="exact" w:val="312"/>
        </w:trPr>
        <w:tc>
          <w:tcPr>
            <w:tcW w:w="4410" w:type="dxa"/>
            <w:tcBorders>
              <w:top w:val="nil"/>
              <w:left w:val="single" w:sz="8" w:space="0" w:color="auto"/>
              <w:bottom w:val="nil"/>
            </w:tcBorders>
            <w:shd w:val="clear" w:color="auto" w:fill="auto"/>
            <w:noWrap/>
            <w:vAlign w:val="center"/>
          </w:tcPr>
          <w:p w14:paraId="456251A9" w14:textId="77777777" w:rsidR="00C77F0A" w:rsidRPr="009548D7" w:rsidRDefault="00C77F0A" w:rsidP="0015273C">
            <w:pPr>
              <w:spacing w:after="0" w:line="240" w:lineRule="auto"/>
              <w:ind w:left="497"/>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Participações Avaliadas pelo Método de Equivalência Patrimonial</w:t>
            </w:r>
          </w:p>
        </w:tc>
        <w:tc>
          <w:tcPr>
            <w:tcW w:w="767" w:type="dxa"/>
            <w:tcBorders>
              <w:top w:val="nil"/>
              <w:bottom w:val="nil"/>
              <w:right w:val="single" w:sz="8" w:space="0" w:color="auto"/>
            </w:tcBorders>
            <w:shd w:val="clear" w:color="auto" w:fill="auto"/>
            <w:noWrap/>
          </w:tcPr>
          <w:p w14:paraId="67E3AB51"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tcPr>
          <w:p w14:paraId="243023FC"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BPA.D043</w:t>
            </w:r>
          </w:p>
        </w:tc>
        <w:tc>
          <w:tcPr>
            <w:tcW w:w="1262" w:type="dxa"/>
            <w:tcBorders>
              <w:top w:val="nil"/>
              <w:left w:val="nil"/>
              <w:bottom w:val="nil"/>
              <w:right w:val="single" w:sz="8" w:space="0" w:color="auto"/>
            </w:tcBorders>
            <w:shd w:val="clear" w:color="auto" w:fill="auto"/>
            <w:noWrap/>
          </w:tcPr>
          <w:p w14:paraId="65E1410D"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BPA.E043</w:t>
            </w:r>
          </w:p>
        </w:tc>
        <w:tc>
          <w:tcPr>
            <w:tcW w:w="4562" w:type="dxa"/>
            <w:tcBorders>
              <w:top w:val="nil"/>
              <w:left w:val="nil"/>
              <w:bottom w:val="nil"/>
            </w:tcBorders>
            <w:shd w:val="clear" w:color="000000" w:fill="FFFFFF"/>
            <w:noWrap/>
            <w:vAlign w:val="center"/>
          </w:tcPr>
          <w:p w14:paraId="0D898D02" w14:textId="77777777" w:rsidR="00C77F0A" w:rsidRPr="009548D7" w:rsidRDefault="00C77F0A" w:rsidP="0015273C">
            <w:pPr>
              <w:spacing w:after="0" w:line="240" w:lineRule="auto"/>
              <w:ind w:firstLineChars="200" w:firstLine="32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Demais Obrigações a Longo Prazo</w:t>
            </w:r>
          </w:p>
        </w:tc>
        <w:tc>
          <w:tcPr>
            <w:tcW w:w="775" w:type="dxa"/>
            <w:tcBorders>
              <w:top w:val="nil"/>
              <w:bottom w:val="nil"/>
              <w:right w:val="single" w:sz="8" w:space="0" w:color="auto"/>
            </w:tcBorders>
            <w:shd w:val="clear" w:color="auto" w:fill="auto"/>
            <w:noWrap/>
            <w:vAlign w:val="center"/>
          </w:tcPr>
          <w:p w14:paraId="70F32DCF"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tcPr>
          <w:p w14:paraId="3C316538"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BPA.H044</w:t>
            </w:r>
          </w:p>
        </w:tc>
        <w:tc>
          <w:tcPr>
            <w:tcW w:w="1420" w:type="dxa"/>
            <w:tcBorders>
              <w:top w:val="nil"/>
              <w:left w:val="nil"/>
              <w:bottom w:val="nil"/>
              <w:right w:val="single" w:sz="8" w:space="0" w:color="auto"/>
            </w:tcBorders>
            <w:shd w:val="clear" w:color="auto" w:fill="auto"/>
            <w:noWrap/>
            <w:vAlign w:val="center"/>
          </w:tcPr>
          <w:p w14:paraId="4E04FB78"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BPA.I044</w:t>
            </w:r>
          </w:p>
        </w:tc>
      </w:tr>
      <w:tr w:rsidR="00C77F0A" w:rsidRPr="009548D7" w14:paraId="52C495CE" w14:textId="77777777" w:rsidTr="0015273C">
        <w:trPr>
          <w:trHeight w:val="255"/>
        </w:trPr>
        <w:tc>
          <w:tcPr>
            <w:tcW w:w="4410" w:type="dxa"/>
            <w:tcBorders>
              <w:top w:val="nil"/>
              <w:left w:val="single" w:sz="8" w:space="0" w:color="auto"/>
              <w:bottom w:val="nil"/>
            </w:tcBorders>
            <w:shd w:val="clear" w:color="auto" w:fill="auto"/>
            <w:noWrap/>
            <w:vAlign w:val="center"/>
            <w:hideMark/>
          </w:tcPr>
          <w:p w14:paraId="4076E1D8" w14:textId="77777777" w:rsidR="00C77F0A" w:rsidRPr="009548D7" w:rsidRDefault="00C77F0A" w:rsidP="0015273C">
            <w:pPr>
              <w:spacing w:after="0" w:line="240" w:lineRule="auto"/>
              <w:ind w:left="497"/>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Participações Avaliadas pelo Método de Custo</w:t>
            </w:r>
          </w:p>
        </w:tc>
        <w:tc>
          <w:tcPr>
            <w:tcW w:w="767" w:type="dxa"/>
            <w:tcBorders>
              <w:top w:val="nil"/>
              <w:bottom w:val="nil"/>
              <w:right w:val="single" w:sz="8" w:space="0" w:color="auto"/>
            </w:tcBorders>
            <w:shd w:val="clear" w:color="auto" w:fill="auto"/>
            <w:noWrap/>
            <w:vAlign w:val="center"/>
          </w:tcPr>
          <w:p w14:paraId="2BC300C6"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73017595"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BPA.D044</w:t>
            </w:r>
          </w:p>
        </w:tc>
        <w:tc>
          <w:tcPr>
            <w:tcW w:w="1262" w:type="dxa"/>
            <w:tcBorders>
              <w:top w:val="nil"/>
              <w:left w:val="nil"/>
              <w:bottom w:val="nil"/>
              <w:right w:val="single" w:sz="8" w:space="0" w:color="auto"/>
            </w:tcBorders>
            <w:shd w:val="clear" w:color="auto" w:fill="auto"/>
            <w:noWrap/>
            <w:vAlign w:val="center"/>
            <w:hideMark/>
          </w:tcPr>
          <w:p w14:paraId="1A08C42D"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BPA.E044</w:t>
            </w:r>
          </w:p>
        </w:tc>
        <w:tc>
          <w:tcPr>
            <w:tcW w:w="4562" w:type="dxa"/>
            <w:tcBorders>
              <w:top w:val="nil"/>
              <w:left w:val="nil"/>
              <w:bottom w:val="nil"/>
            </w:tcBorders>
            <w:shd w:val="clear" w:color="000000" w:fill="FFFFFF"/>
            <w:noWrap/>
            <w:vAlign w:val="center"/>
            <w:hideMark/>
          </w:tcPr>
          <w:p w14:paraId="5D5AAD51" w14:textId="77777777" w:rsidR="00C77F0A" w:rsidRPr="009548D7" w:rsidRDefault="00C77F0A" w:rsidP="0015273C">
            <w:pPr>
              <w:spacing w:after="0" w:line="240" w:lineRule="auto"/>
              <w:ind w:firstLineChars="100" w:firstLine="16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Resultado Diferido</w:t>
            </w:r>
          </w:p>
        </w:tc>
        <w:tc>
          <w:tcPr>
            <w:tcW w:w="775" w:type="dxa"/>
            <w:tcBorders>
              <w:top w:val="nil"/>
              <w:bottom w:val="nil"/>
              <w:right w:val="single" w:sz="8" w:space="0" w:color="auto"/>
            </w:tcBorders>
            <w:shd w:val="clear" w:color="auto" w:fill="auto"/>
            <w:noWrap/>
            <w:vAlign w:val="center"/>
          </w:tcPr>
          <w:p w14:paraId="7AB7D463"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795BE39B"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BPA.H045</w:t>
            </w:r>
          </w:p>
        </w:tc>
        <w:tc>
          <w:tcPr>
            <w:tcW w:w="1420" w:type="dxa"/>
            <w:tcBorders>
              <w:top w:val="nil"/>
              <w:left w:val="nil"/>
              <w:bottom w:val="nil"/>
              <w:right w:val="single" w:sz="8" w:space="0" w:color="auto"/>
            </w:tcBorders>
            <w:shd w:val="clear" w:color="auto" w:fill="auto"/>
            <w:noWrap/>
            <w:vAlign w:val="center"/>
            <w:hideMark/>
          </w:tcPr>
          <w:p w14:paraId="5537A512"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BPA.I045</w:t>
            </w:r>
          </w:p>
        </w:tc>
      </w:tr>
      <w:tr w:rsidR="00C77F0A" w:rsidRPr="009548D7" w14:paraId="71528805" w14:textId="77777777" w:rsidTr="0015273C">
        <w:trPr>
          <w:trHeight w:val="255"/>
        </w:trPr>
        <w:tc>
          <w:tcPr>
            <w:tcW w:w="4410" w:type="dxa"/>
            <w:tcBorders>
              <w:top w:val="nil"/>
              <w:left w:val="single" w:sz="8" w:space="0" w:color="auto"/>
              <w:bottom w:val="nil"/>
            </w:tcBorders>
            <w:shd w:val="clear" w:color="auto" w:fill="auto"/>
            <w:noWrap/>
            <w:vAlign w:val="center"/>
            <w:hideMark/>
          </w:tcPr>
          <w:p w14:paraId="5AB3D9C0" w14:textId="77777777" w:rsidR="00C77F0A" w:rsidRPr="009548D7" w:rsidRDefault="00C77F0A" w:rsidP="0015273C">
            <w:pPr>
              <w:spacing w:after="0" w:line="240" w:lineRule="auto"/>
              <w:ind w:firstLineChars="300" w:firstLine="48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Redução ao Valor Recuperável de Participações Permanentes</w:t>
            </w:r>
          </w:p>
        </w:tc>
        <w:tc>
          <w:tcPr>
            <w:tcW w:w="767" w:type="dxa"/>
            <w:tcBorders>
              <w:top w:val="nil"/>
              <w:bottom w:val="nil"/>
              <w:right w:val="single" w:sz="8" w:space="0" w:color="auto"/>
            </w:tcBorders>
            <w:shd w:val="clear" w:color="auto" w:fill="auto"/>
            <w:noWrap/>
            <w:vAlign w:val="center"/>
          </w:tcPr>
          <w:p w14:paraId="40B57364"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0C18989A"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BPA.D045</w:t>
            </w:r>
          </w:p>
        </w:tc>
        <w:tc>
          <w:tcPr>
            <w:tcW w:w="1262" w:type="dxa"/>
            <w:tcBorders>
              <w:top w:val="nil"/>
              <w:left w:val="nil"/>
              <w:bottom w:val="nil"/>
              <w:right w:val="single" w:sz="8" w:space="0" w:color="auto"/>
            </w:tcBorders>
            <w:shd w:val="clear" w:color="auto" w:fill="auto"/>
            <w:noWrap/>
            <w:vAlign w:val="center"/>
            <w:hideMark/>
          </w:tcPr>
          <w:p w14:paraId="26A2F42F"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BPA.E045</w:t>
            </w:r>
          </w:p>
        </w:tc>
        <w:tc>
          <w:tcPr>
            <w:tcW w:w="4562" w:type="dxa"/>
            <w:tcBorders>
              <w:top w:val="nil"/>
              <w:left w:val="nil"/>
              <w:bottom w:val="nil"/>
            </w:tcBorders>
            <w:shd w:val="clear" w:color="auto" w:fill="auto"/>
            <w:noWrap/>
            <w:vAlign w:val="center"/>
          </w:tcPr>
          <w:p w14:paraId="547E774E" w14:textId="77777777" w:rsidR="00C77F0A" w:rsidRPr="009548D7" w:rsidRDefault="00C77F0A" w:rsidP="0015273C">
            <w:pPr>
              <w:spacing w:after="0" w:line="240" w:lineRule="auto"/>
              <w:ind w:firstLineChars="100" w:firstLine="160"/>
              <w:rPr>
                <w:rFonts w:ascii="Arial Narrow" w:eastAsia="Times New Roman" w:hAnsi="Arial Narrow" w:cs="Arial"/>
                <w:sz w:val="16"/>
                <w:szCs w:val="16"/>
                <w:lang w:eastAsia="pt-BR"/>
              </w:rPr>
            </w:pPr>
          </w:p>
        </w:tc>
        <w:tc>
          <w:tcPr>
            <w:tcW w:w="775" w:type="dxa"/>
            <w:tcBorders>
              <w:top w:val="nil"/>
              <w:bottom w:val="nil"/>
              <w:right w:val="single" w:sz="8" w:space="0" w:color="auto"/>
            </w:tcBorders>
            <w:shd w:val="clear" w:color="auto" w:fill="auto"/>
            <w:noWrap/>
            <w:vAlign w:val="center"/>
          </w:tcPr>
          <w:p w14:paraId="12B3C913"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tcPr>
          <w:p w14:paraId="16359A4C"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p>
        </w:tc>
        <w:tc>
          <w:tcPr>
            <w:tcW w:w="1420" w:type="dxa"/>
            <w:tcBorders>
              <w:top w:val="nil"/>
              <w:left w:val="nil"/>
              <w:bottom w:val="nil"/>
              <w:right w:val="single" w:sz="8" w:space="0" w:color="auto"/>
            </w:tcBorders>
            <w:shd w:val="clear" w:color="auto" w:fill="auto"/>
            <w:noWrap/>
            <w:vAlign w:val="center"/>
          </w:tcPr>
          <w:p w14:paraId="216D1886"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p>
        </w:tc>
      </w:tr>
      <w:tr w:rsidR="00C77F0A" w:rsidRPr="009548D7" w14:paraId="076D330D" w14:textId="77777777" w:rsidTr="0015273C">
        <w:trPr>
          <w:trHeight w:val="255"/>
        </w:trPr>
        <w:tc>
          <w:tcPr>
            <w:tcW w:w="4410" w:type="dxa"/>
            <w:tcBorders>
              <w:top w:val="nil"/>
              <w:left w:val="single" w:sz="8" w:space="0" w:color="auto"/>
              <w:bottom w:val="nil"/>
            </w:tcBorders>
            <w:shd w:val="clear" w:color="auto" w:fill="auto"/>
            <w:noWrap/>
            <w:vAlign w:val="center"/>
            <w:hideMark/>
          </w:tcPr>
          <w:p w14:paraId="063922A1" w14:textId="77777777" w:rsidR="00C77F0A" w:rsidRPr="009548D7" w:rsidRDefault="00C77F0A" w:rsidP="0015273C">
            <w:pPr>
              <w:spacing w:after="0" w:line="240" w:lineRule="auto"/>
              <w:ind w:firstLineChars="200" w:firstLine="32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Propriedades para Investimento</w:t>
            </w:r>
          </w:p>
        </w:tc>
        <w:tc>
          <w:tcPr>
            <w:tcW w:w="767" w:type="dxa"/>
            <w:tcBorders>
              <w:top w:val="nil"/>
              <w:bottom w:val="nil"/>
              <w:right w:val="single" w:sz="8" w:space="0" w:color="auto"/>
            </w:tcBorders>
            <w:shd w:val="clear" w:color="auto" w:fill="auto"/>
            <w:noWrap/>
            <w:vAlign w:val="center"/>
          </w:tcPr>
          <w:p w14:paraId="58F222E0"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5C30C18B"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BPA.D046</w:t>
            </w:r>
          </w:p>
        </w:tc>
        <w:tc>
          <w:tcPr>
            <w:tcW w:w="1262" w:type="dxa"/>
            <w:tcBorders>
              <w:top w:val="nil"/>
              <w:left w:val="nil"/>
              <w:bottom w:val="nil"/>
              <w:right w:val="single" w:sz="8" w:space="0" w:color="auto"/>
            </w:tcBorders>
            <w:shd w:val="clear" w:color="auto" w:fill="auto"/>
            <w:noWrap/>
            <w:vAlign w:val="center"/>
            <w:hideMark/>
          </w:tcPr>
          <w:p w14:paraId="557DC6FD"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BPA.E046</w:t>
            </w:r>
          </w:p>
        </w:tc>
        <w:tc>
          <w:tcPr>
            <w:tcW w:w="4562" w:type="dxa"/>
            <w:tcBorders>
              <w:top w:val="nil"/>
              <w:left w:val="nil"/>
              <w:bottom w:val="nil"/>
            </w:tcBorders>
            <w:shd w:val="clear" w:color="auto" w:fill="auto"/>
            <w:noWrap/>
            <w:vAlign w:val="center"/>
            <w:hideMark/>
          </w:tcPr>
          <w:p w14:paraId="5547BB6A" w14:textId="77777777" w:rsidR="00C77F0A" w:rsidRPr="009548D7" w:rsidRDefault="00C77F0A" w:rsidP="0015273C">
            <w:pPr>
              <w:spacing w:after="0" w:line="240" w:lineRule="auto"/>
              <w:ind w:firstLineChars="100" w:firstLine="160"/>
              <w:rPr>
                <w:rFonts w:ascii="Arial Narrow" w:eastAsia="Times New Roman" w:hAnsi="Arial Narrow" w:cs="Arial"/>
                <w:sz w:val="16"/>
                <w:szCs w:val="16"/>
                <w:lang w:eastAsia="pt-BR"/>
              </w:rPr>
            </w:pPr>
          </w:p>
        </w:tc>
        <w:tc>
          <w:tcPr>
            <w:tcW w:w="775" w:type="dxa"/>
            <w:tcBorders>
              <w:top w:val="nil"/>
              <w:bottom w:val="nil"/>
              <w:right w:val="single" w:sz="8" w:space="0" w:color="auto"/>
            </w:tcBorders>
            <w:shd w:val="clear" w:color="auto" w:fill="auto"/>
            <w:noWrap/>
            <w:vAlign w:val="center"/>
          </w:tcPr>
          <w:p w14:paraId="3BEDB3BD"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29153885"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p>
        </w:tc>
        <w:tc>
          <w:tcPr>
            <w:tcW w:w="1420" w:type="dxa"/>
            <w:tcBorders>
              <w:top w:val="nil"/>
              <w:left w:val="nil"/>
              <w:bottom w:val="nil"/>
              <w:right w:val="single" w:sz="8" w:space="0" w:color="auto"/>
            </w:tcBorders>
            <w:shd w:val="clear" w:color="auto" w:fill="auto"/>
            <w:noWrap/>
            <w:vAlign w:val="center"/>
            <w:hideMark/>
          </w:tcPr>
          <w:p w14:paraId="2E261E82"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p>
        </w:tc>
      </w:tr>
      <w:tr w:rsidR="00C77F0A" w:rsidRPr="009548D7" w14:paraId="2565E0C2" w14:textId="77777777" w:rsidTr="00523310">
        <w:trPr>
          <w:trHeight w:val="255"/>
        </w:trPr>
        <w:tc>
          <w:tcPr>
            <w:tcW w:w="4410" w:type="dxa"/>
            <w:tcBorders>
              <w:top w:val="nil"/>
              <w:left w:val="single" w:sz="8" w:space="0" w:color="auto"/>
            </w:tcBorders>
            <w:shd w:val="clear" w:color="auto" w:fill="auto"/>
            <w:noWrap/>
            <w:vAlign w:val="center"/>
            <w:hideMark/>
          </w:tcPr>
          <w:p w14:paraId="034C3AB1" w14:textId="77777777" w:rsidR="00C77F0A" w:rsidRPr="009548D7" w:rsidRDefault="00C77F0A" w:rsidP="0015273C">
            <w:pPr>
              <w:spacing w:after="0" w:line="240" w:lineRule="auto"/>
              <w:ind w:firstLineChars="200" w:firstLine="32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Depreciação Acumulada de Propriedades para Investimento</w:t>
            </w:r>
          </w:p>
        </w:tc>
        <w:tc>
          <w:tcPr>
            <w:tcW w:w="767" w:type="dxa"/>
            <w:tcBorders>
              <w:top w:val="nil"/>
              <w:right w:val="single" w:sz="8" w:space="0" w:color="auto"/>
            </w:tcBorders>
            <w:shd w:val="clear" w:color="auto" w:fill="auto"/>
            <w:noWrap/>
            <w:vAlign w:val="center"/>
          </w:tcPr>
          <w:p w14:paraId="1E7437EC"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right w:val="single" w:sz="8" w:space="0" w:color="auto"/>
            </w:tcBorders>
            <w:shd w:val="clear" w:color="auto" w:fill="auto"/>
            <w:noWrap/>
            <w:vAlign w:val="center"/>
            <w:hideMark/>
          </w:tcPr>
          <w:p w14:paraId="6B92253C"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BPA.D047</w:t>
            </w:r>
          </w:p>
        </w:tc>
        <w:tc>
          <w:tcPr>
            <w:tcW w:w="1262" w:type="dxa"/>
            <w:tcBorders>
              <w:top w:val="nil"/>
              <w:left w:val="nil"/>
              <w:right w:val="single" w:sz="8" w:space="0" w:color="auto"/>
            </w:tcBorders>
            <w:shd w:val="clear" w:color="auto" w:fill="auto"/>
            <w:noWrap/>
            <w:vAlign w:val="center"/>
            <w:hideMark/>
          </w:tcPr>
          <w:p w14:paraId="60AB7118"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BPA.E047</w:t>
            </w:r>
          </w:p>
        </w:tc>
        <w:tc>
          <w:tcPr>
            <w:tcW w:w="4562" w:type="dxa"/>
            <w:tcBorders>
              <w:top w:val="nil"/>
              <w:left w:val="nil"/>
            </w:tcBorders>
            <w:shd w:val="clear" w:color="auto" w:fill="auto"/>
            <w:noWrap/>
            <w:vAlign w:val="center"/>
            <w:hideMark/>
          </w:tcPr>
          <w:p w14:paraId="2C1EA121" w14:textId="77777777" w:rsidR="00C77F0A" w:rsidRPr="009548D7" w:rsidRDefault="00C77F0A" w:rsidP="0015273C">
            <w:pPr>
              <w:spacing w:after="0" w:line="240" w:lineRule="auto"/>
              <w:rPr>
                <w:rFonts w:ascii="Arial Narrow" w:eastAsia="Times New Roman" w:hAnsi="Arial Narrow" w:cs="Arial"/>
                <w:color w:val="0070C0"/>
                <w:sz w:val="16"/>
                <w:szCs w:val="16"/>
                <w:lang w:eastAsia="pt-BR"/>
              </w:rPr>
            </w:pPr>
            <w:r w:rsidRPr="009548D7">
              <w:rPr>
                <w:rFonts w:ascii="Arial Narrow" w:eastAsia="Times New Roman" w:hAnsi="Arial Narrow" w:cs="Arial"/>
                <w:color w:val="0070C0"/>
                <w:sz w:val="16"/>
                <w:szCs w:val="16"/>
                <w:lang w:eastAsia="pt-BR"/>
              </w:rPr>
              <w:t> </w:t>
            </w:r>
          </w:p>
        </w:tc>
        <w:tc>
          <w:tcPr>
            <w:tcW w:w="775" w:type="dxa"/>
            <w:tcBorders>
              <w:top w:val="nil"/>
              <w:right w:val="single" w:sz="8" w:space="0" w:color="auto"/>
            </w:tcBorders>
            <w:shd w:val="clear" w:color="auto" w:fill="auto"/>
            <w:noWrap/>
            <w:vAlign w:val="center"/>
          </w:tcPr>
          <w:p w14:paraId="2E1828AF" w14:textId="77777777" w:rsidR="00C77F0A" w:rsidRPr="009548D7" w:rsidRDefault="00C77F0A" w:rsidP="0015273C">
            <w:pPr>
              <w:spacing w:after="0" w:line="240" w:lineRule="auto"/>
              <w:rPr>
                <w:rFonts w:ascii="Arial Narrow" w:eastAsia="Times New Roman" w:hAnsi="Arial Narrow" w:cs="Arial"/>
                <w:color w:val="0070C0"/>
                <w:sz w:val="16"/>
                <w:szCs w:val="16"/>
                <w:lang w:eastAsia="pt-BR"/>
              </w:rPr>
            </w:pPr>
          </w:p>
        </w:tc>
        <w:tc>
          <w:tcPr>
            <w:tcW w:w="1063" w:type="dxa"/>
            <w:tcBorders>
              <w:top w:val="nil"/>
              <w:left w:val="nil"/>
              <w:right w:val="single" w:sz="8" w:space="0" w:color="auto"/>
            </w:tcBorders>
            <w:shd w:val="clear" w:color="auto" w:fill="auto"/>
            <w:noWrap/>
            <w:vAlign w:val="center"/>
            <w:hideMark/>
          </w:tcPr>
          <w:p w14:paraId="6FDD962A" w14:textId="77777777" w:rsidR="00C77F0A" w:rsidRPr="009548D7" w:rsidRDefault="00C77F0A" w:rsidP="0015273C">
            <w:pPr>
              <w:spacing w:after="0" w:line="240" w:lineRule="auto"/>
              <w:jc w:val="center"/>
              <w:rPr>
                <w:rFonts w:ascii="Arial Narrow" w:eastAsia="Times New Roman" w:hAnsi="Arial Narrow" w:cs="Arial"/>
                <w:color w:val="0070C0"/>
                <w:sz w:val="16"/>
                <w:szCs w:val="16"/>
                <w:lang w:eastAsia="pt-BR"/>
              </w:rPr>
            </w:pPr>
            <w:r w:rsidRPr="009548D7">
              <w:rPr>
                <w:rFonts w:ascii="Arial Narrow" w:eastAsia="Times New Roman" w:hAnsi="Arial Narrow" w:cs="Arial"/>
                <w:color w:val="0070C0"/>
                <w:sz w:val="16"/>
                <w:szCs w:val="16"/>
                <w:lang w:eastAsia="pt-BR"/>
              </w:rPr>
              <w:t> </w:t>
            </w:r>
          </w:p>
        </w:tc>
        <w:tc>
          <w:tcPr>
            <w:tcW w:w="1420" w:type="dxa"/>
            <w:tcBorders>
              <w:top w:val="nil"/>
              <w:left w:val="nil"/>
              <w:right w:val="single" w:sz="8" w:space="0" w:color="auto"/>
            </w:tcBorders>
            <w:shd w:val="clear" w:color="auto" w:fill="auto"/>
            <w:noWrap/>
            <w:vAlign w:val="center"/>
            <w:hideMark/>
          </w:tcPr>
          <w:p w14:paraId="22D6CC3C" w14:textId="77777777" w:rsidR="00C77F0A" w:rsidRPr="009548D7" w:rsidRDefault="00C77F0A" w:rsidP="0015273C">
            <w:pPr>
              <w:spacing w:after="0" w:line="240" w:lineRule="auto"/>
              <w:rPr>
                <w:rFonts w:ascii="Arial Narrow" w:eastAsia="Times New Roman" w:hAnsi="Arial Narrow" w:cs="Arial"/>
                <w:color w:val="0070C0"/>
                <w:sz w:val="16"/>
                <w:szCs w:val="16"/>
                <w:lang w:eastAsia="pt-BR"/>
              </w:rPr>
            </w:pPr>
            <w:r w:rsidRPr="009548D7">
              <w:rPr>
                <w:rFonts w:ascii="Arial Narrow" w:eastAsia="Times New Roman" w:hAnsi="Arial Narrow" w:cs="Arial"/>
                <w:color w:val="0070C0"/>
                <w:sz w:val="16"/>
                <w:szCs w:val="16"/>
                <w:lang w:eastAsia="pt-BR"/>
              </w:rPr>
              <w:t> </w:t>
            </w:r>
          </w:p>
        </w:tc>
      </w:tr>
      <w:tr w:rsidR="00C77F0A" w:rsidRPr="009548D7" w14:paraId="311682B4" w14:textId="77777777" w:rsidTr="00523310">
        <w:trPr>
          <w:trHeight w:val="270"/>
        </w:trPr>
        <w:tc>
          <w:tcPr>
            <w:tcW w:w="4410" w:type="dxa"/>
            <w:tcBorders>
              <w:top w:val="nil"/>
              <w:left w:val="single" w:sz="8" w:space="0" w:color="auto"/>
              <w:bottom w:val="single" w:sz="4" w:space="0" w:color="auto"/>
            </w:tcBorders>
            <w:shd w:val="clear" w:color="auto" w:fill="auto"/>
            <w:noWrap/>
            <w:vAlign w:val="center"/>
            <w:hideMark/>
          </w:tcPr>
          <w:p w14:paraId="506C267A" w14:textId="77777777" w:rsidR="00C77F0A" w:rsidRPr="009548D7" w:rsidRDefault="00C77F0A" w:rsidP="0015273C">
            <w:pPr>
              <w:spacing w:after="0" w:line="240" w:lineRule="auto"/>
              <w:ind w:firstLineChars="200" w:firstLine="32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lastRenderedPageBreak/>
              <w:t>(-) Redução ao Valor Recuperável de Propriedades para Investimento</w:t>
            </w:r>
          </w:p>
        </w:tc>
        <w:tc>
          <w:tcPr>
            <w:tcW w:w="767" w:type="dxa"/>
            <w:tcBorders>
              <w:top w:val="nil"/>
              <w:bottom w:val="single" w:sz="4" w:space="0" w:color="auto"/>
              <w:right w:val="single" w:sz="8" w:space="0" w:color="auto"/>
            </w:tcBorders>
            <w:shd w:val="clear" w:color="auto" w:fill="auto"/>
            <w:noWrap/>
            <w:vAlign w:val="center"/>
          </w:tcPr>
          <w:p w14:paraId="600CF268"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single" w:sz="4" w:space="0" w:color="auto"/>
              <w:right w:val="single" w:sz="8" w:space="0" w:color="auto"/>
            </w:tcBorders>
            <w:shd w:val="clear" w:color="auto" w:fill="auto"/>
            <w:noWrap/>
            <w:vAlign w:val="center"/>
            <w:hideMark/>
          </w:tcPr>
          <w:p w14:paraId="6BBC62AF"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BPA.D048</w:t>
            </w:r>
          </w:p>
        </w:tc>
        <w:tc>
          <w:tcPr>
            <w:tcW w:w="1262" w:type="dxa"/>
            <w:tcBorders>
              <w:top w:val="nil"/>
              <w:left w:val="nil"/>
              <w:bottom w:val="single" w:sz="4" w:space="0" w:color="auto"/>
              <w:right w:val="single" w:sz="8" w:space="0" w:color="auto"/>
            </w:tcBorders>
            <w:shd w:val="clear" w:color="auto" w:fill="auto"/>
            <w:noWrap/>
            <w:vAlign w:val="center"/>
            <w:hideMark/>
          </w:tcPr>
          <w:p w14:paraId="3522CAC9"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BPA.E048</w:t>
            </w:r>
          </w:p>
        </w:tc>
        <w:tc>
          <w:tcPr>
            <w:tcW w:w="4562" w:type="dxa"/>
            <w:tcBorders>
              <w:top w:val="nil"/>
              <w:left w:val="nil"/>
              <w:bottom w:val="single" w:sz="4" w:space="0" w:color="auto"/>
            </w:tcBorders>
            <w:shd w:val="clear" w:color="auto" w:fill="auto"/>
            <w:noWrap/>
            <w:vAlign w:val="center"/>
            <w:hideMark/>
          </w:tcPr>
          <w:p w14:paraId="12CA5A90" w14:textId="77777777" w:rsidR="00C77F0A" w:rsidRPr="009548D7" w:rsidRDefault="00C77F0A" w:rsidP="0015273C">
            <w:pPr>
              <w:spacing w:after="0" w:line="240" w:lineRule="auto"/>
              <w:rPr>
                <w:rFonts w:ascii="Arial Narrow" w:eastAsia="Times New Roman" w:hAnsi="Arial Narrow" w:cs="Arial"/>
                <w:color w:val="0070C0"/>
                <w:sz w:val="16"/>
                <w:szCs w:val="16"/>
                <w:lang w:eastAsia="pt-BR"/>
              </w:rPr>
            </w:pPr>
            <w:r w:rsidRPr="009548D7">
              <w:rPr>
                <w:rFonts w:ascii="Arial Narrow" w:eastAsia="Times New Roman" w:hAnsi="Arial Narrow" w:cs="Arial"/>
                <w:color w:val="0070C0"/>
                <w:sz w:val="16"/>
                <w:szCs w:val="16"/>
                <w:lang w:eastAsia="pt-BR"/>
              </w:rPr>
              <w:t> </w:t>
            </w:r>
          </w:p>
        </w:tc>
        <w:tc>
          <w:tcPr>
            <w:tcW w:w="775" w:type="dxa"/>
            <w:tcBorders>
              <w:top w:val="nil"/>
              <w:bottom w:val="single" w:sz="4" w:space="0" w:color="auto"/>
              <w:right w:val="single" w:sz="8" w:space="0" w:color="auto"/>
            </w:tcBorders>
            <w:shd w:val="clear" w:color="auto" w:fill="auto"/>
            <w:noWrap/>
            <w:vAlign w:val="center"/>
          </w:tcPr>
          <w:p w14:paraId="7800FC1C" w14:textId="77777777" w:rsidR="00C77F0A" w:rsidRPr="009548D7" w:rsidRDefault="00C77F0A" w:rsidP="0015273C">
            <w:pPr>
              <w:spacing w:after="0" w:line="240" w:lineRule="auto"/>
              <w:rPr>
                <w:rFonts w:ascii="Arial Narrow" w:eastAsia="Times New Roman" w:hAnsi="Arial Narrow" w:cs="Arial"/>
                <w:color w:val="0070C0"/>
                <w:sz w:val="16"/>
                <w:szCs w:val="16"/>
                <w:lang w:eastAsia="pt-BR"/>
              </w:rPr>
            </w:pPr>
          </w:p>
        </w:tc>
        <w:tc>
          <w:tcPr>
            <w:tcW w:w="1063" w:type="dxa"/>
            <w:tcBorders>
              <w:top w:val="nil"/>
              <w:left w:val="nil"/>
              <w:bottom w:val="single" w:sz="4" w:space="0" w:color="auto"/>
              <w:right w:val="single" w:sz="8" w:space="0" w:color="auto"/>
            </w:tcBorders>
            <w:shd w:val="clear" w:color="auto" w:fill="auto"/>
            <w:noWrap/>
            <w:vAlign w:val="center"/>
            <w:hideMark/>
          </w:tcPr>
          <w:p w14:paraId="58D4A80B" w14:textId="77777777" w:rsidR="00C77F0A" w:rsidRPr="009548D7" w:rsidRDefault="00C77F0A" w:rsidP="0015273C">
            <w:pPr>
              <w:spacing w:after="0" w:line="240" w:lineRule="auto"/>
              <w:jc w:val="center"/>
              <w:rPr>
                <w:rFonts w:ascii="Arial Narrow" w:eastAsia="Times New Roman" w:hAnsi="Arial Narrow" w:cs="Arial"/>
                <w:color w:val="0070C0"/>
                <w:sz w:val="16"/>
                <w:szCs w:val="16"/>
                <w:lang w:eastAsia="pt-BR"/>
              </w:rPr>
            </w:pPr>
            <w:r w:rsidRPr="009548D7">
              <w:rPr>
                <w:rFonts w:ascii="Arial Narrow" w:eastAsia="Times New Roman" w:hAnsi="Arial Narrow" w:cs="Arial"/>
                <w:color w:val="0070C0"/>
                <w:sz w:val="16"/>
                <w:szCs w:val="16"/>
                <w:lang w:eastAsia="pt-BR"/>
              </w:rPr>
              <w:t> </w:t>
            </w:r>
          </w:p>
        </w:tc>
        <w:tc>
          <w:tcPr>
            <w:tcW w:w="1420" w:type="dxa"/>
            <w:tcBorders>
              <w:top w:val="nil"/>
              <w:left w:val="nil"/>
              <w:bottom w:val="single" w:sz="4" w:space="0" w:color="auto"/>
              <w:right w:val="single" w:sz="8" w:space="0" w:color="auto"/>
            </w:tcBorders>
            <w:shd w:val="clear" w:color="auto" w:fill="auto"/>
            <w:noWrap/>
            <w:vAlign w:val="center"/>
            <w:hideMark/>
          </w:tcPr>
          <w:p w14:paraId="713FA128" w14:textId="77777777" w:rsidR="00C77F0A" w:rsidRPr="009548D7" w:rsidRDefault="00C77F0A" w:rsidP="0015273C">
            <w:pPr>
              <w:spacing w:after="0" w:line="240" w:lineRule="auto"/>
              <w:rPr>
                <w:rFonts w:ascii="Arial Narrow" w:eastAsia="Times New Roman" w:hAnsi="Arial Narrow" w:cs="Arial"/>
                <w:color w:val="0070C0"/>
                <w:sz w:val="16"/>
                <w:szCs w:val="16"/>
                <w:lang w:eastAsia="pt-BR"/>
              </w:rPr>
            </w:pPr>
            <w:r w:rsidRPr="009548D7">
              <w:rPr>
                <w:rFonts w:ascii="Arial Narrow" w:eastAsia="Times New Roman" w:hAnsi="Arial Narrow" w:cs="Arial"/>
                <w:color w:val="0070C0"/>
                <w:sz w:val="16"/>
                <w:szCs w:val="16"/>
                <w:lang w:eastAsia="pt-BR"/>
              </w:rPr>
              <w:t> </w:t>
            </w:r>
          </w:p>
        </w:tc>
      </w:tr>
      <w:tr w:rsidR="00C77F0A" w:rsidRPr="009548D7" w14:paraId="5D0A7B77" w14:textId="77777777" w:rsidTr="00523310">
        <w:trPr>
          <w:trHeight w:val="270"/>
        </w:trPr>
        <w:tc>
          <w:tcPr>
            <w:tcW w:w="4410" w:type="dxa"/>
            <w:tcBorders>
              <w:top w:val="single" w:sz="4" w:space="0" w:color="auto"/>
              <w:left w:val="single" w:sz="8" w:space="0" w:color="auto"/>
              <w:bottom w:val="nil"/>
            </w:tcBorders>
            <w:shd w:val="clear" w:color="auto" w:fill="auto"/>
            <w:noWrap/>
            <w:vAlign w:val="center"/>
            <w:hideMark/>
          </w:tcPr>
          <w:p w14:paraId="47A100F1" w14:textId="77777777" w:rsidR="00C77F0A" w:rsidRPr="009548D7" w:rsidRDefault="00C77F0A" w:rsidP="0015273C">
            <w:pPr>
              <w:spacing w:after="0" w:line="240" w:lineRule="auto"/>
              <w:ind w:firstLineChars="200" w:firstLine="32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Investimentos do RPPS de Longo Prazo</w:t>
            </w:r>
          </w:p>
        </w:tc>
        <w:tc>
          <w:tcPr>
            <w:tcW w:w="767" w:type="dxa"/>
            <w:tcBorders>
              <w:top w:val="single" w:sz="4" w:space="0" w:color="auto"/>
              <w:bottom w:val="nil"/>
              <w:right w:val="single" w:sz="8" w:space="0" w:color="auto"/>
            </w:tcBorders>
            <w:shd w:val="clear" w:color="auto" w:fill="auto"/>
            <w:noWrap/>
            <w:vAlign w:val="center"/>
          </w:tcPr>
          <w:p w14:paraId="06ADF752"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single" w:sz="4" w:space="0" w:color="auto"/>
              <w:left w:val="nil"/>
              <w:bottom w:val="nil"/>
              <w:right w:val="single" w:sz="8" w:space="0" w:color="auto"/>
            </w:tcBorders>
            <w:shd w:val="clear" w:color="auto" w:fill="auto"/>
            <w:noWrap/>
            <w:vAlign w:val="center"/>
            <w:hideMark/>
          </w:tcPr>
          <w:p w14:paraId="5AF5A921"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BPA.D049</w:t>
            </w:r>
          </w:p>
        </w:tc>
        <w:tc>
          <w:tcPr>
            <w:tcW w:w="1262" w:type="dxa"/>
            <w:tcBorders>
              <w:top w:val="single" w:sz="4" w:space="0" w:color="auto"/>
              <w:left w:val="nil"/>
              <w:bottom w:val="nil"/>
              <w:right w:val="single" w:sz="8" w:space="0" w:color="auto"/>
            </w:tcBorders>
            <w:shd w:val="clear" w:color="auto" w:fill="auto"/>
            <w:noWrap/>
            <w:vAlign w:val="center"/>
            <w:hideMark/>
          </w:tcPr>
          <w:p w14:paraId="1D663480"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BPA.E049</w:t>
            </w:r>
          </w:p>
        </w:tc>
        <w:tc>
          <w:tcPr>
            <w:tcW w:w="4562" w:type="dxa"/>
            <w:tcBorders>
              <w:top w:val="single" w:sz="4" w:space="0" w:color="auto"/>
              <w:left w:val="nil"/>
              <w:bottom w:val="single" w:sz="8" w:space="0" w:color="auto"/>
            </w:tcBorders>
            <w:shd w:val="clear" w:color="auto" w:fill="auto"/>
            <w:noWrap/>
            <w:vAlign w:val="center"/>
            <w:hideMark/>
          </w:tcPr>
          <w:p w14:paraId="74F8E059" w14:textId="77777777" w:rsidR="00C77F0A" w:rsidRPr="009548D7" w:rsidRDefault="00C77F0A" w:rsidP="0015273C">
            <w:pPr>
              <w:spacing w:after="0" w:line="240" w:lineRule="auto"/>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TOTAL DO PASSIVO</w:t>
            </w:r>
          </w:p>
        </w:tc>
        <w:tc>
          <w:tcPr>
            <w:tcW w:w="775" w:type="dxa"/>
            <w:tcBorders>
              <w:top w:val="single" w:sz="4" w:space="0" w:color="auto"/>
              <w:bottom w:val="nil"/>
              <w:right w:val="single" w:sz="8" w:space="0" w:color="auto"/>
            </w:tcBorders>
            <w:shd w:val="clear" w:color="auto" w:fill="auto"/>
            <w:noWrap/>
            <w:vAlign w:val="center"/>
          </w:tcPr>
          <w:p w14:paraId="0AC3ABF9" w14:textId="77777777" w:rsidR="00C77F0A" w:rsidRPr="009548D7" w:rsidRDefault="00C77F0A" w:rsidP="0015273C">
            <w:pPr>
              <w:spacing w:after="0" w:line="240" w:lineRule="auto"/>
              <w:jc w:val="center"/>
              <w:rPr>
                <w:rFonts w:ascii="Arial Narrow" w:eastAsia="Times New Roman" w:hAnsi="Arial Narrow" w:cs="Arial"/>
                <w:b/>
                <w:bCs/>
                <w:sz w:val="16"/>
                <w:szCs w:val="16"/>
                <w:lang w:eastAsia="pt-BR"/>
              </w:rPr>
            </w:pPr>
          </w:p>
        </w:tc>
        <w:tc>
          <w:tcPr>
            <w:tcW w:w="1063" w:type="dxa"/>
            <w:tcBorders>
              <w:top w:val="single" w:sz="4" w:space="0" w:color="auto"/>
              <w:left w:val="nil"/>
              <w:bottom w:val="single" w:sz="8" w:space="0" w:color="auto"/>
              <w:right w:val="single" w:sz="8" w:space="0" w:color="auto"/>
            </w:tcBorders>
            <w:shd w:val="clear" w:color="auto" w:fill="auto"/>
            <w:noWrap/>
            <w:vAlign w:val="center"/>
            <w:hideMark/>
          </w:tcPr>
          <w:p w14:paraId="0FA929D4" w14:textId="77777777" w:rsidR="00C77F0A" w:rsidRPr="009548D7" w:rsidRDefault="00C77F0A" w:rsidP="0015273C">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BPA.H048</w:t>
            </w:r>
          </w:p>
        </w:tc>
        <w:tc>
          <w:tcPr>
            <w:tcW w:w="1420" w:type="dxa"/>
            <w:tcBorders>
              <w:top w:val="single" w:sz="4" w:space="0" w:color="auto"/>
              <w:left w:val="nil"/>
              <w:bottom w:val="single" w:sz="8" w:space="0" w:color="auto"/>
              <w:right w:val="single" w:sz="8" w:space="0" w:color="auto"/>
            </w:tcBorders>
            <w:shd w:val="clear" w:color="auto" w:fill="auto"/>
            <w:noWrap/>
            <w:vAlign w:val="center"/>
            <w:hideMark/>
          </w:tcPr>
          <w:p w14:paraId="67B67099" w14:textId="77777777" w:rsidR="00C77F0A" w:rsidRPr="009548D7" w:rsidRDefault="00C77F0A" w:rsidP="0015273C">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BPA.I48</w:t>
            </w:r>
          </w:p>
        </w:tc>
      </w:tr>
      <w:tr w:rsidR="00C77F0A" w:rsidRPr="009548D7" w14:paraId="57A94A69" w14:textId="77777777" w:rsidTr="0015273C">
        <w:trPr>
          <w:trHeight w:val="270"/>
        </w:trPr>
        <w:tc>
          <w:tcPr>
            <w:tcW w:w="4410" w:type="dxa"/>
            <w:tcBorders>
              <w:top w:val="nil"/>
              <w:left w:val="single" w:sz="8" w:space="0" w:color="auto"/>
              <w:bottom w:val="nil"/>
            </w:tcBorders>
            <w:shd w:val="clear" w:color="auto" w:fill="auto"/>
            <w:noWrap/>
            <w:vAlign w:val="center"/>
            <w:hideMark/>
          </w:tcPr>
          <w:p w14:paraId="762F74EB" w14:textId="77777777" w:rsidR="00C77F0A" w:rsidRPr="009548D7" w:rsidRDefault="00C77F0A" w:rsidP="0015273C">
            <w:pPr>
              <w:spacing w:after="0" w:line="240" w:lineRule="auto"/>
              <w:ind w:firstLineChars="200" w:firstLine="32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xml:space="preserve">(-) Redução ao Valor Recuperável de Investimentos do RPPS </w:t>
            </w:r>
          </w:p>
        </w:tc>
        <w:tc>
          <w:tcPr>
            <w:tcW w:w="767" w:type="dxa"/>
            <w:tcBorders>
              <w:top w:val="nil"/>
              <w:bottom w:val="nil"/>
              <w:right w:val="single" w:sz="8" w:space="0" w:color="auto"/>
            </w:tcBorders>
            <w:shd w:val="clear" w:color="auto" w:fill="auto"/>
            <w:noWrap/>
            <w:vAlign w:val="center"/>
          </w:tcPr>
          <w:p w14:paraId="15A562C5"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04CADBBD"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BPA.D050</w:t>
            </w:r>
          </w:p>
        </w:tc>
        <w:tc>
          <w:tcPr>
            <w:tcW w:w="1262" w:type="dxa"/>
            <w:tcBorders>
              <w:top w:val="nil"/>
              <w:left w:val="nil"/>
              <w:bottom w:val="nil"/>
              <w:right w:val="single" w:sz="8" w:space="0" w:color="auto"/>
            </w:tcBorders>
            <w:shd w:val="clear" w:color="auto" w:fill="auto"/>
            <w:noWrap/>
            <w:vAlign w:val="center"/>
            <w:hideMark/>
          </w:tcPr>
          <w:p w14:paraId="755C8FAA"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BPA.E050</w:t>
            </w:r>
          </w:p>
        </w:tc>
        <w:tc>
          <w:tcPr>
            <w:tcW w:w="7820" w:type="dxa"/>
            <w:gridSpan w:val="4"/>
            <w:tcBorders>
              <w:top w:val="single" w:sz="8" w:space="0" w:color="auto"/>
              <w:left w:val="nil"/>
              <w:bottom w:val="single" w:sz="8" w:space="0" w:color="auto"/>
              <w:right w:val="single" w:sz="8" w:space="0" w:color="000000"/>
            </w:tcBorders>
            <w:shd w:val="clear" w:color="000000" w:fill="D9D9D9"/>
            <w:noWrap/>
            <w:vAlign w:val="center"/>
            <w:hideMark/>
          </w:tcPr>
          <w:p w14:paraId="7B005AD3" w14:textId="77777777" w:rsidR="00C77F0A" w:rsidRPr="009548D7" w:rsidRDefault="00C77F0A" w:rsidP="0015273C">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PATRIMÔNIO LÍQUIDO</w:t>
            </w:r>
          </w:p>
        </w:tc>
      </w:tr>
      <w:tr w:rsidR="00C77F0A" w:rsidRPr="009548D7" w14:paraId="70FC0C85" w14:textId="77777777" w:rsidTr="0015273C">
        <w:trPr>
          <w:trHeight w:val="240"/>
        </w:trPr>
        <w:tc>
          <w:tcPr>
            <w:tcW w:w="4410" w:type="dxa"/>
            <w:tcBorders>
              <w:top w:val="nil"/>
              <w:left w:val="single" w:sz="8" w:space="0" w:color="auto"/>
              <w:bottom w:val="nil"/>
            </w:tcBorders>
            <w:shd w:val="clear" w:color="auto" w:fill="auto"/>
            <w:noWrap/>
            <w:vAlign w:val="center"/>
            <w:hideMark/>
          </w:tcPr>
          <w:p w14:paraId="14987E6E" w14:textId="77777777" w:rsidR="00C77F0A" w:rsidRPr="009548D7" w:rsidRDefault="00C77F0A" w:rsidP="0015273C">
            <w:pPr>
              <w:spacing w:after="0" w:line="240" w:lineRule="auto"/>
              <w:ind w:firstLineChars="200" w:firstLine="32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Demais Investimentos Permanentes</w:t>
            </w:r>
          </w:p>
        </w:tc>
        <w:tc>
          <w:tcPr>
            <w:tcW w:w="767" w:type="dxa"/>
            <w:tcBorders>
              <w:top w:val="nil"/>
              <w:bottom w:val="nil"/>
              <w:right w:val="single" w:sz="8" w:space="0" w:color="auto"/>
            </w:tcBorders>
            <w:shd w:val="clear" w:color="auto" w:fill="auto"/>
            <w:noWrap/>
            <w:vAlign w:val="center"/>
          </w:tcPr>
          <w:p w14:paraId="39370519"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0ECB6055"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BPA.D051</w:t>
            </w:r>
          </w:p>
        </w:tc>
        <w:tc>
          <w:tcPr>
            <w:tcW w:w="1262" w:type="dxa"/>
            <w:tcBorders>
              <w:top w:val="nil"/>
              <w:left w:val="nil"/>
              <w:bottom w:val="nil"/>
              <w:right w:val="single" w:sz="8" w:space="0" w:color="auto"/>
            </w:tcBorders>
            <w:shd w:val="clear" w:color="auto" w:fill="auto"/>
            <w:noWrap/>
            <w:vAlign w:val="center"/>
            <w:hideMark/>
          </w:tcPr>
          <w:p w14:paraId="2B3B64F6"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BPA.E051</w:t>
            </w:r>
          </w:p>
        </w:tc>
        <w:tc>
          <w:tcPr>
            <w:tcW w:w="4562" w:type="dxa"/>
            <w:tcBorders>
              <w:top w:val="nil"/>
              <w:left w:val="nil"/>
              <w:bottom w:val="single" w:sz="8" w:space="0" w:color="auto"/>
            </w:tcBorders>
            <w:shd w:val="clear" w:color="000000" w:fill="D9D9D9"/>
            <w:noWrap/>
            <w:vAlign w:val="center"/>
            <w:hideMark/>
          </w:tcPr>
          <w:p w14:paraId="209D012B" w14:textId="77777777" w:rsidR="00C77F0A" w:rsidRPr="009548D7" w:rsidRDefault="00C77F0A" w:rsidP="0015273C">
            <w:pPr>
              <w:spacing w:after="0" w:line="240" w:lineRule="auto"/>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ESPECIFICAÇÃO</w:t>
            </w:r>
          </w:p>
        </w:tc>
        <w:tc>
          <w:tcPr>
            <w:tcW w:w="775" w:type="dxa"/>
            <w:tcBorders>
              <w:top w:val="nil"/>
              <w:bottom w:val="single" w:sz="8" w:space="0" w:color="auto"/>
              <w:right w:val="single" w:sz="8" w:space="0" w:color="auto"/>
            </w:tcBorders>
            <w:shd w:val="clear" w:color="000000" w:fill="D9D9D9"/>
            <w:noWrap/>
            <w:vAlign w:val="center"/>
          </w:tcPr>
          <w:p w14:paraId="42429341" w14:textId="77777777" w:rsidR="00C77F0A" w:rsidRPr="009548D7" w:rsidRDefault="00C77F0A" w:rsidP="0015273C">
            <w:pPr>
              <w:spacing w:after="0" w:line="240" w:lineRule="auto"/>
              <w:rPr>
                <w:rFonts w:ascii="Arial Narrow" w:eastAsia="Times New Roman" w:hAnsi="Arial Narrow" w:cs="Arial"/>
                <w:b/>
                <w:bCs/>
                <w:sz w:val="16"/>
                <w:szCs w:val="16"/>
                <w:lang w:eastAsia="pt-BR"/>
              </w:rPr>
            </w:pPr>
          </w:p>
        </w:tc>
        <w:tc>
          <w:tcPr>
            <w:tcW w:w="1063" w:type="dxa"/>
            <w:tcBorders>
              <w:top w:val="nil"/>
              <w:left w:val="nil"/>
              <w:bottom w:val="single" w:sz="8" w:space="0" w:color="auto"/>
              <w:right w:val="single" w:sz="8" w:space="0" w:color="auto"/>
            </w:tcBorders>
            <w:shd w:val="clear" w:color="000000" w:fill="D9D9D9"/>
            <w:noWrap/>
            <w:vAlign w:val="center"/>
            <w:hideMark/>
          </w:tcPr>
          <w:p w14:paraId="0F180D24" w14:textId="77777777" w:rsidR="00C77F0A" w:rsidRPr="009548D7" w:rsidRDefault="00C77F0A" w:rsidP="0015273C">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Exercício Atual</w:t>
            </w:r>
          </w:p>
        </w:tc>
        <w:tc>
          <w:tcPr>
            <w:tcW w:w="1420" w:type="dxa"/>
            <w:tcBorders>
              <w:top w:val="nil"/>
              <w:left w:val="nil"/>
              <w:bottom w:val="single" w:sz="8" w:space="0" w:color="auto"/>
              <w:right w:val="single" w:sz="8" w:space="0" w:color="auto"/>
            </w:tcBorders>
            <w:shd w:val="clear" w:color="000000" w:fill="D9D9D9"/>
            <w:noWrap/>
            <w:vAlign w:val="center"/>
            <w:hideMark/>
          </w:tcPr>
          <w:p w14:paraId="28BCE077" w14:textId="77777777" w:rsidR="00C77F0A" w:rsidRPr="009548D7" w:rsidRDefault="00C77F0A" w:rsidP="0015273C">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Exercício Anterior</w:t>
            </w:r>
          </w:p>
        </w:tc>
      </w:tr>
      <w:tr w:rsidR="00C77F0A" w:rsidRPr="009548D7" w14:paraId="72AA34BB" w14:textId="77777777" w:rsidTr="0015273C">
        <w:trPr>
          <w:trHeight w:val="255"/>
        </w:trPr>
        <w:tc>
          <w:tcPr>
            <w:tcW w:w="4410" w:type="dxa"/>
            <w:tcBorders>
              <w:top w:val="nil"/>
              <w:left w:val="single" w:sz="8" w:space="0" w:color="auto"/>
              <w:bottom w:val="nil"/>
            </w:tcBorders>
            <w:shd w:val="clear" w:color="auto" w:fill="auto"/>
            <w:noWrap/>
            <w:vAlign w:val="center"/>
            <w:hideMark/>
          </w:tcPr>
          <w:p w14:paraId="10793B9C" w14:textId="77777777" w:rsidR="00C77F0A" w:rsidRPr="009548D7" w:rsidRDefault="00C77F0A" w:rsidP="0015273C">
            <w:pPr>
              <w:spacing w:after="0" w:line="240" w:lineRule="auto"/>
              <w:ind w:firstLineChars="200" w:firstLine="32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Redução ao Valor Recuperável de Demais Investimentos Permanentes</w:t>
            </w:r>
          </w:p>
        </w:tc>
        <w:tc>
          <w:tcPr>
            <w:tcW w:w="767" w:type="dxa"/>
            <w:tcBorders>
              <w:top w:val="nil"/>
              <w:bottom w:val="nil"/>
              <w:right w:val="single" w:sz="8" w:space="0" w:color="auto"/>
            </w:tcBorders>
            <w:shd w:val="clear" w:color="auto" w:fill="auto"/>
            <w:noWrap/>
            <w:vAlign w:val="center"/>
          </w:tcPr>
          <w:p w14:paraId="15F09BBA"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4A92F00F"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BPA.D052</w:t>
            </w:r>
          </w:p>
        </w:tc>
        <w:tc>
          <w:tcPr>
            <w:tcW w:w="1262" w:type="dxa"/>
            <w:tcBorders>
              <w:top w:val="nil"/>
              <w:left w:val="nil"/>
              <w:bottom w:val="nil"/>
              <w:right w:val="single" w:sz="8" w:space="0" w:color="auto"/>
            </w:tcBorders>
            <w:shd w:val="clear" w:color="auto" w:fill="auto"/>
            <w:noWrap/>
            <w:vAlign w:val="center"/>
            <w:hideMark/>
          </w:tcPr>
          <w:p w14:paraId="02103FDA"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BPA.E052</w:t>
            </w:r>
          </w:p>
        </w:tc>
        <w:tc>
          <w:tcPr>
            <w:tcW w:w="4562" w:type="dxa"/>
            <w:tcBorders>
              <w:top w:val="nil"/>
              <w:left w:val="nil"/>
              <w:bottom w:val="nil"/>
            </w:tcBorders>
            <w:shd w:val="clear" w:color="auto" w:fill="auto"/>
            <w:vAlign w:val="center"/>
            <w:hideMark/>
          </w:tcPr>
          <w:p w14:paraId="446E3DDA" w14:textId="77777777" w:rsidR="00C77F0A" w:rsidRPr="009548D7" w:rsidRDefault="00C77F0A" w:rsidP="0015273C">
            <w:pPr>
              <w:spacing w:after="0" w:line="240" w:lineRule="auto"/>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xml:space="preserve">Patrimônio Social/Capital Social  </w:t>
            </w:r>
          </w:p>
        </w:tc>
        <w:tc>
          <w:tcPr>
            <w:tcW w:w="775" w:type="dxa"/>
            <w:tcBorders>
              <w:top w:val="nil"/>
              <w:bottom w:val="nil"/>
              <w:right w:val="single" w:sz="8" w:space="0" w:color="auto"/>
            </w:tcBorders>
            <w:shd w:val="clear" w:color="auto" w:fill="auto"/>
            <w:noWrap/>
            <w:vAlign w:val="center"/>
          </w:tcPr>
          <w:p w14:paraId="54479BC1"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5A2F1780"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BPA.H051</w:t>
            </w:r>
          </w:p>
        </w:tc>
        <w:tc>
          <w:tcPr>
            <w:tcW w:w="1420" w:type="dxa"/>
            <w:tcBorders>
              <w:top w:val="nil"/>
              <w:left w:val="nil"/>
              <w:bottom w:val="nil"/>
              <w:right w:val="single" w:sz="8" w:space="0" w:color="auto"/>
            </w:tcBorders>
            <w:shd w:val="clear" w:color="auto" w:fill="auto"/>
            <w:noWrap/>
            <w:vAlign w:val="center"/>
            <w:hideMark/>
          </w:tcPr>
          <w:p w14:paraId="5BA561EA"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BPA.I051</w:t>
            </w:r>
          </w:p>
        </w:tc>
      </w:tr>
      <w:tr w:rsidR="00C77F0A" w:rsidRPr="009548D7" w14:paraId="4AC21D11" w14:textId="77777777" w:rsidTr="0015273C">
        <w:trPr>
          <w:trHeight w:val="255"/>
        </w:trPr>
        <w:tc>
          <w:tcPr>
            <w:tcW w:w="4410" w:type="dxa"/>
            <w:tcBorders>
              <w:top w:val="nil"/>
              <w:left w:val="single" w:sz="8" w:space="0" w:color="auto"/>
              <w:bottom w:val="nil"/>
            </w:tcBorders>
            <w:shd w:val="clear" w:color="auto" w:fill="auto"/>
            <w:noWrap/>
            <w:vAlign w:val="center"/>
          </w:tcPr>
          <w:p w14:paraId="06B5EB43" w14:textId="77777777" w:rsidR="00C77F0A" w:rsidRPr="00806700" w:rsidRDefault="00C77F0A" w:rsidP="0015273C">
            <w:pPr>
              <w:spacing w:after="0" w:line="240" w:lineRule="auto"/>
              <w:ind w:firstLineChars="200" w:firstLine="320"/>
              <w:rPr>
                <w:rFonts w:ascii="Arial Narrow" w:eastAsia="Times New Roman" w:hAnsi="Arial Narrow" w:cs="Arial"/>
                <w:sz w:val="16"/>
                <w:szCs w:val="16"/>
                <w:lang w:eastAsia="pt-BR"/>
              </w:rPr>
            </w:pPr>
            <w:r w:rsidRPr="00806700">
              <w:rPr>
                <w:rFonts w:ascii="Arial Narrow" w:eastAsia="Times New Roman" w:hAnsi="Arial Narrow" w:cs="Arial"/>
                <w:bCs/>
                <w:sz w:val="16"/>
                <w:szCs w:val="16"/>
                <w:lang w:eastAsia="pt-BR"/>
              </w:rPr>
              <w:t>(-) Depreciação Acumulada de Outros Investimentos</w:t>
            </w:r>
          </w:p>
        </w:tc>
        <w:tc>
          <w:tcPr>
            <w:tcW w:w="767" w:type="dxa"/>
            <w:tcBorders>
              <w:top w:val="nil"/>
              <w:bottom w:val="nil"/>
              <w:right w:val="single" w:sz="8" w:space="0" w:color="auto"/>
            </w:tcBorders>
            <w:shd w:val="clear" w:color="auto" w:fill="auto"/>
            <w:noWrap/>
            <w:vAlign w:val="center"/>
          </w:tcPr>
          <w:p w14:paraId="0C0F309A" w14:textId="77777777" w:rsidR="00C77F0A" w:rsidRPr="00806700"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tcPr>
          <w:p w14:paraId="3DC82D75" w14:textId="77777777" w:rsidR="00C77F0A" w:rsidRPr="00806700" w:rsidRDefault="00C77F0A" w:rsidP="0015273C">
            <w:pPr>
              <w:spacing w:after="0" w:line="240" w:lineRule="auto"/>
              <w:jc w:val="center"/>
              <w:rPr>
                <w:rFonts w:ascii="Arial Narrow" w:eastAsia="Times New Roman" w:hAnsi="Arial Narrow" w:cs="Arial"/>
                <w:sz w:val="16"/>
                <w:szCs w:val="16"/>
                <w:lang w:eastAsia="pt-BR"/>
              </w:rPr>
            </w:pPr>
            <w:r w:rsidRPr="00806700">
              <w:rPr>
                <w:rFonts w:ascii="Arial Narrow" w:eastAsia="Times New Roman" w:hAnsi="Arial Narrow" w:cs="Arial"/>
                <w:bCs/>
                <w:sz w:val="16"/>
                <w:szCs w:val="16"/>
                <w:lang w:eastAsia="pt-BR"/>
              </w:rPr>
              <w:t>BPA.D091</w:t>
            </w:r>
          </w:p>
        </w:tc>
        <w:tc>
          <w:tcPr>
            <w:tcW w:w="1262" w:type="dxa"/>
            <w:tcBorders>
              <w:top w:val="nil"/>
              <w:left w:val="nil"/>
              <w:bottom w:val="nil"/>
              <w:right w:val="single" w:sz="8" w:space="0" w:color="auto"/>
            </w:tcBorders>
            <w:shd w:val="clear" w:color="auto" w:fill="auto"/>
            <w:noWrap/>
            <w:vAlign w:val="center"/>
          </w:tcPr>
          <w:p w14:paraId="4384AD1B" w14:textId="77777777" w:rsidR="00C77F0A" w:rsidRPr="00806700" w:rsidRDefault="00C77F0A" w:rsidP="0015273C">
            <w:pPr>
              <w:spacing w:after="0" w:line="240" w:lineRule="auto"/>
              <w:jc w:val="center"/>
              <w:rPr>
                <w:rFonts w:ascii="Arial Narrow" w:eastAsia="Times New Roman" w:hAnsi="Arial Narrow" w:cs="Arial"/>
                <w:sz w:val="16"/>
                <w:szCs w:val="16"/>
                <w:lang w:eastAsia="pt-BR"/>
              </w:rPr>
            </w:pPr>
            <w:r w:rsidRPr="00806700">
              <w:rPr>
                <w:rFonts w:ascii="Arial Narrow" w:eastAsia="Times New Roman" w:hAnsi="Arial Narrow" w:cs="Arial"/>
                <w:bCs/>
                <w:sz w:val="16"/>
                <w:szCs w:val="16"/>
                <w:lang w:eastAsia="pt-BR"/>
              </w:rPr>
              <w:t>BPA.E091</w:t>
            </w:r>
          </w:p>
        </w:tc>
        <w:tc>
          <w:tcPr>
            <w:tcW w:w="4562" w:type="dxa"/>
            <w:tcBorders>
              <w:top w:val="nil"/>
              <w:left w:val="nil"/>
              <w:bottom w:val="nil"/>
            </w:tcBorders>
            <w:shd w:val="clear" w:color="auto" w:fill="auto"/>
            <w:vAlign w:val="center"/>
          </w:tcPr>
          <w:p w14:paraId="53F1C936" w14:textId="77777777" w:rsidR="00C77F0A" w:rsidRPr="009548D7" w:rsidRDefault="00C77F0A" w:rsidP="0015273C">
            <w:pPr>
              <w:spacing w:after="0" w:line="240" w:lineRule="auto"/>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Adiantamento para Futuro Aumento de Capital</w:t>
            </w:r>
          </w:p>
        </w:tc>
        <w:tc>
          <w:tcPr>
            <w:tcW w:w="775" w:type="dxa"/>
            <w:tcBorders>
              <w:top w:val="nil"/>
              <w:bottom w:val="nil"/>
              <w:right w:val="single" w:sz="8" w:space="0" w:color="auto"/>
            </w:tcBorders>
            <w:shd w:val="clear" w:color="auto" w:fill="auto"/>
            <w:noWrap/>
            <w:vAlign w:val="center"/>
          </w:tcPr>
          <w:p w14:paraId="7DC105BD"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tcPr>
          <w:p w14:paraId="71061DCA"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BPA.H052</w:t>
            </w:r>
          </w:p>
        </w:tc>
        <w:tc>
          <w:tcPr>
            <w:tcW w:w="1420" w:type="dxa"/>
            <w:tcBorders>
              <w:top w:val="nil"/>
              <w:left w:val="nil"/>
              <w:bottom w:val="nil"/>
              <w:right w:val="single" w:sz="8" w:space="0" w:color="auto"/>
            </w:tcBorders>
            <w:shd w:val="clear" w:color="auto" w:fill="auto"/>
            <w:noWrap/>
            <w:vAlign w:val="center"/>
          </w:tcPr>
          <w:p w14:paraId="12B1D196"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BPA.I052</w:t>
            </w:r>
          </w:p>
        </w:tc>
      </w:tr>
      <w:tr w:rsidR="00C77F0A" w:rsidRPr="009548D7" w14:paraId="759B1D14" w14:textId="77777777" w:rsidTr="0015273C">
        <w:trPr>
          <w:trHeight w:val="225"/>
        </w:trPr>
        <w:tc>
          <w:tcPr>
            <w:tcW w:w="4410" w:type="dxa"/>
            <w:tcBorders>
              <w:top w:val="nil"/>
              <w:left w:val="single" w:sz="8" w:space="0" w:color="auto"/>
              <w:bottom w:val="nil"/>
            </w:tcBorders>
            <w:shd w:val="clear" w:color="auto" w:fill="auto"/>
            <w:noWrap/>
            <w:vAlign w:val="center"/>
            <w:hideMark/>
          </w:tcPr>
          <w:p w14:paraId="13E1EA26" w14:textId="77777777" w:rsidR="00C77F0A" w:rsidRPr="00806700" w:rsidRDefault="00C77F0A" w:rsidP="0015273C">
            <w:pPr>
              <w:spacing w:after="0" w:line="240" w:lineRule="auto"/>
              <w:ind w:firstLineChars="100" w:firstLine="161"/>
              <w:rPr>
                <w:rFonts w:ascii="Arial Narrow" w:eastAsia="Times New Roman" w:hAnsi="Arial Narrow" w:cs="Arial"/>
                <w:b/>
                <w:bCs/>
                <w:sz w:val="16"/>
                <w:szCs w:val="16"/>
                <w:lang w:eastAsia="pt-BR"/>
              </w:rPr>
            </w:pPr>
            <w:r w:rsidRPr="00806700">
              <w:rPr>
                <w:rFonts w:ascii="Arial Narrow" w:eastAsia="Times New Roman" w:hAnsi="Arial Narrow" w:cs="Arial"/>
                <w:b/>
                <w:bCs/>
                <w:sz w:val="16"/>
                <w:szCs w:val="16"/>
                <w:lang w:eastAsia="pt-BR"/>
              </w:rPr>
              <w:t>Imobilizado</w:t>
            </w:r>
          </w:p>
        </w:tc>
        <w:tc>
          <w:tcPr>
            <w:tcW w:w="767" w:type="dxa"/>
            <w:tcBorders>
              <w:top w:val="nil"/>
              <w:bottom w:val="nil"/>
              <w:right w:val="single" w:sz="8" w:space="0" w:color="auto"/>
            </w:tcBorders>
            <w:shd w:val="clear" w:color="auto" w:fill="auto"/>
            <w:noWrap/>
            <w:vAlign w:val="center"/>
          </w:tcPr>
          <w:p w14:paraId="5CE06688" w14:textId="77777777" w:rsidR="00C77F0A" w:rsidRPr="00806700"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27CA4820" w14:textId="77777777" w:rsidR="00C77F0A" w:rsidRPr="00806700" w:rsidRDefault="00C77F0A" w:rsidP="0015273C">
            <w:pPr>
              <w:spacing w:after="0" w:line="240" w:lineRule="auto"/>
              <w:jc w:val="center"/>
              <w:rPr>
                <w:rFonts w:ascii="Arial Narrow" w:eastAsia="Times New Roman" w:hAnsi="Arial Narrow" w:cs="Arial"/>
                <w:sz w:val="16"/>
                <w:szCs w:val="16"/>
                <w:lang w:eastAsia="pt-BR"/>
              </w:rPr>
            </w:pPr>
            <w:r w:rsidRPr="00806700">
              <w:rPr>
                <w:rFonts w:ascii="Arial Narrow" w:eastAsia="Times New Roman" w:hAnsi="Arial Narrow" w:cs="Arial"/>
                <w:b/>
                <w:bCs/>
                <w:sz w:val="16"/>
                <w:szCs w:val="16"/>
                <w:lang w:eastAsia="pt-BR"/>
              </w:rPr>
              <w:t>BPA.D053</w:t>
            </w:r>
          </w:p>
        </w:tc>
        <w:tc>
          <w:tcPr>
            <w:tcW w:w="1262" w:type="dxa"/>
            <w:tcBorders>
              <w:top w:val="nil"/>
              <w:left w:val="nil"/>
              <w:bottom w:val="nil"/>
              <w:right w:val="single" w:sz="8" w:space="0" w:color="auto"/>
            </w:tcBorders>
            <w:shd w:val="clear" w:color="auto" w:fill="auto"/>
            <w:noWrap/>
            <w:vAlign w:val="center"/>
            <w:hideMark/>
          </w:tcPr>
          <w:p w14:paraId="163DA980" w14:textId="77777777" w:rsidR="00C77F0A" w:rsidRPr="00806700" w:rsidRDefault="00C77F0A" w:rsidP="0015273C">
            <w:pPr>
              <w:spacing w:after="0" w:line="240" w:lineRule="auto"/>
              <w:jc w:val="center"/>
              <w:rPr>
                <w:rFonts w:ascii="Arial Narrow" w:eastAsia="Times New Roman" w:hAnsi="Arial Narrow" w:cs="Arial"/>
                <w:sz w:val="16"/>
                <w:szCs w:val="16"/>
                <w:lang w:eastAsia="pt-BR"/>
              </w:rPr>
            </w:pPr>
            <w:r w:rsidRPr="00806700">
              <w:rPr>
                <w:rFonts w:ascii="Arial Narrow" w:eastAsia="Times New Roman" w:hAnsi="Arial Narrow" w:cs="Arial"/>
                <w:b/>
                <w:bCs/>
                <w:sz w:val="16"/>
                <w:szCs w:val="16"/>
                <w:lang w:eastAsia="pt-BR"/>
              </w:rPr>
              <w:t>BPA.E053</w:t>
            </w:r>
          </w:p>
        </w:tc>
        <w:tc>
          <w:tcPr>
            <w:tcW w:w="4562" w:type="dxa"/>
            <w:tcBorders>
              <w:top w:val="nil"/>
              <w:left w:val="nil"/>
              <w:bottom w:val="nil"/>
            </w:tcBorders>
            <w:shd w:val="clear" w:color="auto" w:fill="auto"/>
            <w:vAlign w:val="center"/>
            <w:hideMark/>
          </w:tcPr>
          <w:p w14:paraId="569C5DFA" w14:textId="77777777" w:rsidR="00C77F0A" w:rsidRPr="009548D7" w:rsidRDefault="00C77F0A" w:rsidP="0015273C">
            <w:pPr>
              <w:spacing w:after="0" w:line="240" w:lineRule="auto"/>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Reservas de Capital</w:t>
            </w:r>
          </w:p>
        </w:tc>
        <w:tc>
          <w:tcPr>
            <w:tcW w:w="775" w:type="dxa"/>
            <w:tcBorders>
              <w:top w:val="nil"/>
              <w:bottom w:val="nil"/>
              <w:right w:val="single" w:sz="8" w:space="0" w:color="auto"/>
            </w:tcBorders>
            <w:shd w:val="clear" w:color="auto" w:fill="auto"/>
            <w:noWrap/>
            <w:vAlign w:val="center"/>
          </w:tcPr>
          <w:p w14:paraId="47CE2ECA"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4BE5D599"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BPA.H053</w:t>
            </w:r>
          </w:p>
        </w:tc>
        <w:tc>
          <w:tcPr>
            <w:tcW w:w="1420" w:type="dxa"/>
            <w:tcBorders>
              <w:top w:val="nil"/>
              <w:left w:val="nil"/>
              <w:bottom w:val="nil"/>
              <w:right w:val="single" w:sz="8" w:space="0" w:color="auto"/>
            </w:tcBorders>
            <w:shd w:val="clear" w:color="auto" w:fill="auto"/>
            <w:noWrap/>
            <w:vAlign w:val="center"/>
            <w:hideMark/>
          </w:tcPr>
          <w:p w14:paraId="4B401CBB"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BPA.I053</w:t>
            </w:r>
          </w:p>
        </w:tc>
      </w:tr>
      <w:tr w:rsidR="00C77F0A" w:rsidRPr="009548D7" w14:paraId="3C37D32D" w14:textId="77777777" w:rsidTr="0015273C">
        <w:trPr>
          <w:trHeight w:val="255"/>
        </w:trPr>
        <w:tc>
          <w:tcPr>
            <w:tcW w:w="4410" w:type="dxa"/>
            <w:tcBorders>
              <w:top w:val="nil"/>
              <w:left w:val="single" w:sz="8" w:space="0" w:color="auto"/>
              <w:bottom w:val="nil"/>
            </w:tcBorders>
            <w:shd w:val="clear" w:color="auto" w:fill="auto"/>
            <w:vAlign w:val="center"/>
            <w:hideMark/>
          </w:tcPr>
          <w:p w14:paraId="5AB77EBA" w14:textId="77777777" w:rsidR="00C77F0A" w:rsidRPr="009548D7" w:rsidRDefault="00C77F0A" w:rsidP="0015273C">
            <w:pPr>
              <w:spacing w:after="0" w:line="240" w:lineRule="auto"/>
              <w:ind w:firstLineChars="200" w:firstLine="320"/>
              <w:rPr>
                <w:rFonts w:ascii="Arial Narrow" w:eastAsia="Times New Roman" w:hAnsi="Arial Narrow" w:cs="Arial"/>
                <w:b/>
                <w:bCs/>
                <w:sz w:val="16"/>
                <w:szCs w:val="16"/>
                <w:lang w:eastAsia="pt-BR"/>
              </w:rPr>
            </w:pPr>
            <w:r w:rsidRPr="009548D7">
              <w:rPr>
                <w:rFonts w:ascii="Arial Narrow" w:eastAsia="Times New Roman" w:hAnsi="Arial Narrow" w:cs="Arial"/>
                <w:sz w:val="16"/>
                <w:szCs w:val="16"/>
                <w:lang w:eastAsia="pt-BR"/>
              </w:rPr>
              <w:t>Bens Móveis</w:t>
            </w:r>
          </w:p>
        </w:tc>
        <w:tc>
          <w:tcPr>
            <w:tcW w:w="767" w:type="dxa"/>
            <w:tcBorders>
              <w:top w:val="nil"/>
              <w:bottom w:val="nil"/>
              <w:right w:val="single" w:sz="8" w:space="0" w:color="auto"/>
            </w:tcBorders>
            <w:shd w:val="clear" w:color="auto" w:fill="auto"/>
            <w:noWrap/>
            <w:vAlign w:val="center"/>
          </w:tcPr>
          <w:p w14:paraId="4C858627" w14:textId="77777777" w:rsidR="00C77F0A" w:rsidRPr="009548D7" w:rsidRDefault="00C77F0A" w:rsidP="0015273C">
            <w:pPr>
              <w:spacing w:after="0" w:line="240" w:lineRule="auto"/>
              <w:jc w:val="center"/>
              <w:rPr>
                <w:rFonts w:ascii="Arial Narrow" w:eastAsia="Times New Roman" w:hAnsi="Arial Narrow" w:cs="Arial"/>
                <w:b/>
                <w:bCs/>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3978652E" w14:textId="77777777" w:rsidR="00C77F0A" w:rsidRPr="009548D7" w:rsidRDefault="00C77F0A" w:rsidP="0015273C">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sz w:val="16"/>
                <w:szCs w:val="16"/>
                <w:lang w:eastAsia="pt-BR"/>
              </w:rPr>
              <w:t>BPA.D054</w:t>
            </w:r>
          </w:p>
        </w:tc>
        <w:tc>
          <w:tcPr>
            <w:tcW w:w="1262" w:type="dxa"/>
            <w:tcBorders>
              <w:top w:val="nil"/>
              <w:left w:val="nil"/>
              <w:bottom w:val="nil"/>
              <w:right w:val="single" w:sz="8" w:space="0" w:color="auto"/>
            </w:tcBorders>
            <w:shd w:val="clear" w:color="auto" w:fill="auto"/>
            <w:noWrap/>
            <w:vAlign w:val="center"/>
            <w:hideMark/>
          </w:tcPr>
          <w:p w14:paraId="5ACE5579" w14:textId="77777777" w:rsidR="00C77F0A" w:rsidRPr="009548D7" w:rsidRDefault="00C77F0A" w:rsidP="0015273C">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sz w:val="16"/>
                <w:szCs w:val="16"/>
                <w:lang w:eastAsia="pt-BR"/>
              </w:rPr>
              <w:t>BPA.E054</w:t>
            </w:r>
          </w:p>
        </w:tc>
        <w:tc>
          <w:tcPr>
            <w:tcW w:w="4562" w:type="dxa"/>
            <w:tcBorders>
              <w:top w:val="nil"/>
              <w:left w:val="nil"/>
              <w:bottom w:val="nil"/>
            </w:tcBorders>
            <w:shd w:val="clear" w:color="auto" w:fill="auto"/>
            <w:noWrap/>
            <w:vAlign w:val="center"/>
            <w:hideMark/>
          </w:tcPr>
          <w:p w14:paraId="38B1F2E7" w14:textId="77777777" w:rsidR="00C77F0A" w:rsidRPr="009548D7" w:rsidRDefault="00C77F0A" w:rsidP="0015273C">
            <w:pPr>
              <w:spacing w:after="0" w:line="240" w:lineRule="auto"/>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Ajustes de Avaliação Patrimonial</w:t>
            </w:r>
          </w:p>
        </w:tc>
        <w:tc>
          <w:tcPr>
            <w:tcW w:w="775" w:type="dxa"/>
            <w:tcBorders>
              <w:top w:val="nil"/>
              <w:bottom w:val="nil"/>
              <w:right w:val="single" w:sz="8" w:space="0" w:color="auto"/>
            </w:tcBorders>
            <w:shd w:val="clear" w:color="auto" w:fill="auto"/>
            <w:noWrap/>
            <w:vAlign w:val="center"/>
          </w:tcPr>
          <w:p w14:paraId="1DC049A2"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74D58ACA"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BPA.H054</w:t>
            </w:r>
          </w:p>
        </w:tc>
        <w:tc>
          <w:tcPr>
            <w:tcW w:w="1420" w:type="dxa"/>
            <w:tcBorders>
              <w:top w:val="nil"/>
              <w:left w:val="nil"/>
              <w:bottom w:val="nil"/>
              <w:right w:val="single" w:sz="8" w:space="0" w:color="auto"/>
            </w:tcBorders>
            <w:shd w:val="clear" w:color="auto" w:fill="auto"/>
            <w:noWrap/>
            <w:vAlign w:val="center"/>
            <w:hideMark/>
          </w:tcPr>
          <w:p w14:paraId="3F3A5767"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BPA.I054</w:t>
            </w:r>
          </w:p>
        </w:tc>
      </w:tr>
      <w:tr w:rsidR="00C77F0A" w:rsidRPr="009548D7" w14:paraId="0E24B3E2" w14:textId="77777777" w:rsidTr="0015273C">
        <w:trPr>
          <w:trHeight w:val="255"/>
        </w:trPr>
        <w:tc>
          <w:tcPr>
            <w:tcW w:w="4410" w:type="dxa"/>
            <w:tcBorders>
              <w:top w:val="nil"/>
              <w:left w:val="single" w:sz="8" w:space="0" w:color="auto"/>
              <w:bottom w:val="nil"/>
            </w:tcBorders>
            <w:shd w:val="clear" w:color="auto" w:fill="auto"/>
            <w:noWrap/>
            <w:vAlign w:val="center"/>
            <w:hideMark/>
          </w:tcPr>
          <w:p w14:paraId="44AD2722" w14:textId="77777777" w:rsidR="00C77F0A" w:rsidRPr="009548D7" w:rsidRDefault="00C77F0A" w:rsidP="0015273C">
            <w:pPr>
              <w:spacing w:after="0" w:line="240" w:lineRule="auto"/>
              <w:ind w:firstLineChars="200" w:firstLine="32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Depreciação, Exaustão e Amortização Acumuladas de Bens Móveis</w:t>
            </w:r>
          </w:p>
        </w:tc>
        <w:tc>
          <w:tcPr>
            <w:tcW w:w="767" w:type="dxa"/>
            <w:tcBorders>
              <w:top w:val="nil"/>
              <w:bottom w:val="nil"/>
              <w:right w:val="single" w:sz="8" w:space="0" w:color="auto"/>
            </w:tcBorders>
            <w:shd w:val="clear" w:color="auto" w:fill="auto"/>
            <w:noWrap/>
            <w:vAlign w:val="center"/>
          </w:tcPr>
          <w:p w14:paraId="41C32FA0"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7806D2A8"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BPA.D055</w:t>
            </w:r>
          </w:p>
        </w:tc>
        <w:tc>
          <w:tcPr>
            <w:tcW w:w="1262" w:type="dxa"/>
            <w:tcBorders>
              <w:top w:val="nil"/>
              <w:left w:val="nil"/>
              <w:bottom w:val="nil"/>
              <w:right w:val="single" w:sz="8" w:space="0" w:color="auto"/>
            </w:tcBorders>
            <w:shd w:val="clear" w:color="auto" w:fill="auto"/>
            <w:noWrap/>
            <w:vAlign w:val="center"/>
            <w:hideMark/>
          </w:tcPr>
          <w:p w14:paraId="38CC6673"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BPA.E055</w:t>
            </w:r>
          </w:p>
        </w:tc>
        <w:tc>
          <w:tcPr>
            <w:tcW w:w="4562" w:type="dxa"/>
            <w:tcBorders>
              <w:top w:val="nil"/>
              <w:left w:val="nil"/>
              <w:bottom w:val="nil"/>
            </w:tcBorders>
            <w:shd w:val="clear" w:color="auto" w:fill="auto"/>
            <w:noWrap/>
            <w:vAlign w:val="center"/>
            <w:hideMark/>
          </w:tcPr>
          <w:p w14:paraId="14832784" w14:textId="77777777" w:rsidR="00C77F0A" w:rsidRPr="009548D7" w:rsidRDefault="00C77F0A" w:rsidP="0015273C">
            <w:pPr>
              <w:spacing w:after="0" w:line="240" w:lineRule="auto"/>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Reservas de Lucros</w:t>
            </w:r>
          </w:p>
        </w:tc>
        <w:tc>
          <w:tcPr>
            <w:tcW w:w="775" w:type="dxa"/>
            <w:tcBorders>
              <w:top w:val="nil"/>
              <w:bottom w:val="nil"/>
              <w:right w:val="single" w:sz="8" w:space="0" w:color="auto"/>
            </w:tcBorders>
            <w:shd w:val="clear" w:color="auto" w:fill="auto"/>
            <w:noWrap/>
            <w:vAlign w:val="center"/>
          </w:tcPr>
          <w:p w14:paraId="068FAF59"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5146AC3E"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BPA.H055</w:t>
            </w:r>
          </w:p>
        </w:tc>
        <w:tc>
          <w:tcPr>
            <w:tcW w:w="1420" w:type="dxa"/>
            <w:tcBorders>
              <w:top w:val="nil"/>
              <w:left w:val="nil"/>
              <w:bottom w:val="nil"/>
              <w:right w:val="single" w:sz="8" w:space="0" w:color="auto"/>
            </w:tcBorders>
            <w:shd w:val="clear" w:color="auto" w:fill="auto"/>
            <w:noWrap/>
            <w:vAlign w:val="center"/>
            <w:hideMark/>
          </w:tcPr>
          <w:p w14:paraId="1F4AA83B"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BPA.I055</w:t>
            </w:r>
          </w:p>
        </w:tc>
      </w:tr>
      <w:tr w:rsidR="00C77F0A" w:rsidRPr="009548D7" w14:paraId="55577A08" w14:textId="77777777" w:rsidTr="0015273C">
        <w:trPr>
          <w:trHeight w:val="255"/>
        </w:trPr>
        <w:tc>
          <w:tcPr>
            <w:tcW w:w="4410" w:type="dxa"/>
            <w:tcBorders>
              <w:top w:val="nil"/>
              <w:left w:val="single" w:sz="8" w:space="0" w:color="auto"/>
              <w:bottom w:val="nil"/>
            </w:tcBorders>
            <w:shd w:val="clear" w:color="auto" w:fill="auto"/>
            <w:noWrap/>
            <w:vAlign w:val="center"/>
            <w:hideMark/>
          </w:tcPr>
          <w:p w14:paraId="31158D6A" w14:textId="77777777" w:rsidR="00C77F0A" w:rsidRPr="009548D7" w:rsidRDefault="00C77F0A" w:rsidP="0015273C">
            <w:pPr>
              <w:spacing w:after="0" w:line="240" w:lineRule="auto"/>
              <w:ind w:firstLineChars="200" w:firstLine="32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Redução ao Valor Recuperável de Bens Móveis</w:t>
            </w:r>
          </w:p>
        </w:tc>
        <w:tc>
          <w:tcPr>
            <w:tcW w:w="767" w:type="dxa"/>
            <w:tcBorders>
              <w:top w:val="nil"/>
              <w:bottom w:val="nil"/>
              <w:right w:val="single" w:sz="8" w:space="0" w:color="auto"/>
            </w:tcBorders>
            <w:shd w:val="clear" w:color="auto" w:fill="auto"/>
            <w:noWrap/>
            <w:vAlign w:val="center"/>
          </w:tcPr>
          <w:p w14:paraId="22DEEAB6"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5CDEFB5E"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BPA.D056</w:t>
            </w:r>
          </w:p>
        </w:tc>
        <w:tc>
          <w:tcPr>
            <w:tcW w:w="1262" w:type="dxa"/>
            <w:tcBorders>
              <w:top w:val="nil"/>
              <w:left w:val="nil"/>
              <w:bottom w:val="nil"/>
              <w:right w:val="single" w:sz="8" w:space="0" w:color="auto"/>
            </w:tcBorders>
            <w:shd w:val="clear" w:color="auto" w:fill="auto"/>
            <w:noWrap/>
            <w:vAlign w:val="center"/>
            <w:hideMark/>
          </w:tcPr>
          <w:p w14:paraId="715E2847"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BPA.E056</w:t>
            </w:r>
          </w:p>
        </w:tc>
        <w:tc>
          <w:tcPr>
            <w:tcW w:w="4562" w:type="dxa"/>
            <w:tcBorders>
              <w:top w:val="nil"/>
              <w:left w:val="nil"/>
              <w:bottom w:val="nil"/>
            </w:tcBorders>
            <w:shd w:val="clear" w:color="auto" w:fill="auto"/>
            <w:noWrap/>
            <w:vAlign w:val="center"/>
            <w:hideMark/>
          </w:tcPr>
          <w:p w14:paraId="443C118C" w14:textId="77777777" w:rsidR="00C77F0A" w:rsidRPr="009548D7" w:rsidRDefault="00C77F0A" w:rsidP="0015273C">
            <w:pPr>
              <w:spacing w:after="0" w:line="240" w:lineRule="auto"/>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Demais Reservas</w:t>
            </w:r>
          </w:p>
        </w:tc>
        <w:tc>
          <w:tcPr>
            <w:tcW w:w="775" w:type="dxa"/>
            <w:tcBorders>
              <w:top w:val="nil"/>
              <w:bottom w:val="nil"/>
              <w:right w:val="single" w:sz="8" w:space="0" w:color="auto"/>
            </w:tcBorders>
            <w:shd w:val="clear" w:color="auto" w:fill="auto"/>
            <w:noWrap/>
            <w:vAlign w:val="center"/>
          </w:tcPr>
          <w:p w14:paraId="4F79F51C"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14BD176E"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BPA.H056</w:t>
            </w:r>
          </w:p>
        </w:tc>
        <w:tc>
          <w:tcPr>
            <w:tcW w:w="1420" w:type="dxa"/>
            <w:tcBorders>
              <w:top w:val="nil"/>
              <w:left w:val="nil"/>
              <w:bottom w:val="nil"/>
              <w:right w:val="single" w:sz="8" w:space="0" w:color="auto"/>
            </w:tcBorders>
            <w:shd w:val="clear" w:color="auto" w:fill="auto"/>
            <w:noWrap/>
            <w:vAlign w:val="center"/>
            <w:hideMark/>
          </w:tcPr>
          <w:p w14:paraId="35388BC9"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BPA.I056</w:t>
            </w:r>
          </w:p>
        </w:tc>
      </w:tr>
      <w:tr w:rsidR="00C77F0A" w:rsidRPr="009548D7" w14:paraId="6058A4E3" w14:textId="77777777" w:rsidTr="0015273C">
        <w:trPr>
          <w:trHeight w:val="255"/>
        </w:trPr>
        <w:tc>
          <w:tcPr>
            <w:tcW w:w="4410" w:type="dxa"/>
            <w:tcBorders>
              <w:top w:val="nil"/>
              <w:left w:val="single" w:sz="8" w:space="0" w:color="auto"/>
              <w:bottom w:val="nil"/>
            </w:tcBorders>
            <w:shd w:val="clear" w:color="auto" w:fill="auto"/>
            <w:noWrap/>
            <w:vAlign w:val="center"/>
            <w:hideMark/>
          </w:tcPr>
          <w:p w14:paraId="17F160D9" w14:textId="77777777" w:rsidR="00C77F0A" w:rsidRPr="009548D7" w:rsidRDefault="00C77F0A" w:rsidP="0015273C">
            <w:pPr>
              <w:spacing w:after="0" w:line="240" w:lineRule="auto"/>
              <w:ind w:firstLineChars="200" w:firstLine="32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Bens Imóveis</w:t>
            </w:r>
          </w:p>
        </w:tc>
        <w:tc>
          <w:tcPr>
            <w:tcW w:w="767" w:type="dxa"/>
            <w:tcBorders>
              <w:top w:val="nil"/>
              <w:bottom w:val="nil"/>
              <w:right w:val="single" w:sz="8" w:space="0" w:color="auto"/>
            </w:tcBorders>
            <w:shd w:val="clear" w:color="auto" w:fill="auto"/>
            <w:noWrap/>
            <w:vAlign w:val="center"/>
          </w:tcPr>
          <w:p w14:paraId="221D1371"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507F88C7"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BPA.D057</w:t>
            </w:r>
          </w:p>
        </w:tc>
        <w:tc>
          <w:tcPr>
            <w:tcW w:w="1262" w:type="dxa"/>
            <w:tcBorders>
              <w:top w:val="nil"/>
              <w:left w:val="nil"/>
              <w:bottom w:val="nil"/>
              <w:right w:val="single" w:sz="8" w:space="0" w:color="auto"/>
            </w:tcBorders>
            <w:shd w:val="clear" w:color="auto" w:fill="auto"/>
            <w:noWrap/>
            <w:vAlign w:val="center"/>
            <w:hideMark/>
          </w:tcPr>
          <w:p w14:paraId="47AF1302"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BPA.E057</w:t>
            </w:r>
          </w:p>
        </w:tc>
        <w:tc>
          <w:tcPr>
            <w:tcW w:w="4562" w:type="dxa"/>
            <w:tcBorders>
              <w:top w:val="nil"/>
              <w:left w:val="nil"/>
              <w:bottom w:val="nil"/>
            </w:tcBorders>
            <w:shd w:val="clear" w:color="auto" w:fill="auto"/>
            <w:noWrap/>
            <w:vAlign w:val="center"/>
            <w:hideMark/>
          </w:tcPr>
          <w:p w14:paraId="22790FF7" w14:textId="77777777" w:rsidR="00C77F0A" w:rsidRPr="009548D7" w:rsidRDefault="00C77F0A" w:rsidP="0015273C">
            <w:pPr>
              <w:spacing w:after="0" w:line="240" w:lineRule="auto"/>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Resultados Acumulados</w:t>
            </w:r>
          </w:p>
        </w:tc>
        <w:tc>
          <w:tcPr>
            <w:tcW w:w="775" w:type="dxa"/>
            <w:tcBorders>
              <w:top w:val="nil"/>
              <w:bottom w:val="nil"/>
              <w:right w:val="single" w:sz="8" w:space="0" w:color="auto"/>
            </w:tcBorders>
            <w:shd w:val="clear" w:color="auto" w:fill="auto"/>
            <w:noWrap/>
            <w:vAlign w:val="center"/>
          </w:tcPr>
          <w:p w14:paraId="19664136"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02E07D3A"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BPA.H057</w:t>
            </w:r>
          </w:p>
        </w:tc>
        <w:tc>
          <w:tcPr>
            <w:tcW w:w="1420" w:type="dxa"/>
            <w:tcBorders>
              <w:top w:val="nil"/>
              <w:left w:val="nil"/>
              <w:bottom w:val="nil"/>
              <w:right w:val="single" w:sz="8" w:space="0" w:color="auto"/>
            </w:tcBorders>
            <w:shd w:val="clear" w:color="auto" w:fill="auto"/>
            <w:noWrap/>
            <w:vAlign w:val="center"/>
            <w:hideMark/>
          </w:tcPr>
          <w:p w14:paraId="7930CDEB"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BPA.I057</w:t>
            </w:r>
          </w:p>
        </w:tc>
      </w:tr>
      <w:tr w:rsidR="00C77F0A" w:rsidRPr="009548D7" w14:paraId="7F4BCE38" w14:textId="77777777" w:rsidTr="0015273C">
        <w:trPr>
          <w:trHeight w:val="255"/>
        </w:trPr>
        <w:tc>
          <w:tcPr>
            <w:tcW w:w="4410" w:type="dxa"/>
            <w:tcBorders>
              <w:top w:val="nil"/>
              <w:left w:val="single" w:sz="8" w:space="0" w:color="auto"/>
            </w:tcBorders>
            <w:shd w:val="clear" w:color="auto" w:fill="auto"/>
            <w:noWrap/>
            <w:vAlign w:val="center"/>
            <w:hideMark/>
          </w:tcPr>
          <w:p w14:paraId="43BA7441" w14:textId="77777777" w:rsidR="00C77F0A" w:rsidRPr="009548D7" w:rsidRDefault="00C77F0A" w:rsidP="0015273C">
            <w:pPr>
              <w:spacing w:after="0" w:line="240" w:lineRule="auto"/>
              <w:ind w:firstLineChars="200" w:firstLine="32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Depreciação, Exaustão e Amortização Acumuladas de Bens Imóveis</w:t>
            </w:r>
          </w:p>
        </w:tc>
        <w:tc>
          <w:tcPr>
            <w:tcW w:w="767" w:type="dxa"/>
            <w:tcBorders>
              <w:top w:val="nil"/>
              <w:right w:val="single" w:sz="8" w:space="0" w:color="auto"/>
            </w:tcBorders>
            <w:shd w:val="clear" w:color="auto" w:fill="auto"/>
            <w:noWrap/>
            <w:vAlign w:val="center"/>
          </w:tcPr>
          <w:p w14:paraId="630AA8A5"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right w:val="single" w:sz="8" w:space="0" w:color="auto"/>
            </w:tcBorders>
            <w:shd w:val="clear" w:color="auto" w:fill="auto"/>
            <w:noWrap/>
            <w:vAlign w:val="center"/>
            <w:hideMark/>
          </w:tcPr>
          <w:p w14:paraId="2AF4A346"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BPA.D058</w:t>
            </w:r>
          </w:p>
        </w:tc>
        <w:tc>
          <w:tcPr>
            <w:tcW w:w="1262" w:type="dxa"/>
            <w:tcBorders>
              <w:top w:val="nil"/>
              <w:left w:val="nil"/>
              <w:right w:val="single" w:sz="8" w:space="0" w:color="auto"/>
            </w:tcBorders>
            <w:shd w:val="clear" w:color="auto" w:fill="auto"/>
            <w:noWrap/>
            <w:vAlign w:val="center"/>
            <w:hideMark/>
          </w:tcPr>
          <w:p w14:paraId="06288C66"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BPA.E058</w:t>
            </w:r>
          </w:p>
        </w:tc>
        <w:tc>
          <w:tcPr>
            <w:tcW w:w="4562" w:type="dxa"/>
            <w:tcBorders>
              <w:top w:val="nil"/>
              <w:left w:val="nil"/>
              <w:bottom w:val="nil"/>
            </w:tcBorders>
            <w:shd w:val="clear" w:color="auto" w:fill="auto"/>
            <w:noWrap/>
            <w:vAlign w:val="center"/>
            <w:hideMark/>
          </w:tcPr>
          <w:p w14:paraId="5C9EE1F8" w14:textId="77777777" w:rsidR="00C77F0A" w:rsidRPr="009548D7" w:rsidRDefault="00C77F0A" w:rsidP="0015273C">
            <w:pPr>
              <w:spacing w:after="0" w:line="240" w:lineRule="auto"/>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Resultado do Exercício</w:t>
            </w:r>
          </w:p>
        </w:tc>
        <w:tc>
          <w:tcPr>
            <w:tcW w:w="775" w:type="dxa"/>
            <w:tcBorders>
              <w:top w:val="nil"/>
              <w:bottom w:val="nil"/>
              <w:right w:val="single" w:sz="8" w:space="0" w:color="auto"/>
            </w:tcBorders>
            <w:shd w:val="clear" w:color="auto" w:fill="auto"/>
            <w:noWrap/>
            <w:vAlign w:val="center"/>
          </w:tcPr>
          <w:p w14:paraId="564FDAC8"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508915E1"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BPA.H058</w:t>
            </w:r>
          </w:p>
        </w:tc>
        <w:tc>
          <w:tcPr>
            <w:tcW w:w="1420" w:type="dxa"/>
            <w:tcBorders>
              <w:top w:val="nil"/>
              <w:left w:val="nil"/>
              <w:bottom w:val="nil"/>
              <w:right w:val="single" w:sz="8" w:space="0" w:color="auto"/>
            </w:tcBorders>
            <w:shd w:val="clear" w:color="auto" w:fill="auto"/>
            <w:noWrap/>
            <w:vAlign w:val="center"/>
            <w:hideMark/>
          </w:tcPr>
          <w:p w14:paraId="36192FCE"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BPA.I058</w:t>
            </w:r>
          </w:p>
        </w:tc>
      </w:tr>
      <w:tr w:rsidR="00C77F0A" w:rsidRPr="009548D7" w14:paraId="2B5CCFE3" w14:textId="77777777" w:rsidTr="0015273C">
        <w:trPr>
          <w:trHeight w:val="255"/>
        </w:trPr>
        <w:tc>
          <w:tcPr>
            <w:tcW w:w="4410" w:type="dxa"/>
            <w:tcBorders>
              <w:top w:val="nil"/>
              <w:left w:val="single" w:sz="8" w:space="0" w:color="auto"/>
            </w:tcBorders>
            <w:shd w:val="clear" w:color="auto" w:fill="auto"/>
            <w:noWrap/>
            <w:vAlign w:val="center"/>
            <w:hideMark/>
          </w:tcPr>
          <w:p w14:paraId="1A333920" w14:textId="77777777" w:rsidR="00C77F0A" w:rsidRPr="009548D7" w:rsidRDefault="00C77F0A" w:rsidP="0015273C">
            <w:pPr>
              <w:spacing w:after="0" w:line="240" w:lineRule="auto"/>
              <w:ind w:firstLineChars="200" w:firstLine="32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Redução ao Valor Recuperável de Bens Imóveis</w:t>
            </w:r>
          </w:p>
        </w:tc>
        <w:tc>
          <w:tcPr>
            <w:tcW w:w="767" w:type="dxa"/>
            <w:tcBorders>
              <w:top w:val="nil"/>
              <w:right w:val="single" w:sz="8" w:space="0" w:color="auto"/>
            </w:tcBorders>
            <w:shd w:val="clear" w:color="auto" w:fill="auto"/>
            <w:noWrap/>
            <w:vAlign w:val="center"/>
          </w:tcPr>
          <w:p w14:paraId="3A2340FD"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right w:val="single" w:sz="8" w:space="0" w:color="auto"/>
            </w:tcBorders>
            <w:shd w:val="clear" w:color="auto" w:fill="auto"/>
            <w:noWrap/>
            <w:vAlign w:val="center"/>
            <w:hideMark/>
          </w:tcPr>
          <w:p w14:paraId="758104DF"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BPA.D059</w:t>
            </w:r>
          </w:p>
        </w:tc>
        <w:tc>
          <w:tcPr>
            <w:tcW w:w="1262" w:type="dxa"/>
            <w:tcBorders>
              <w:top w:val="nil"/>
              <w:left w:val="nil"/>
              <w:right w:val="single" w:sz="8" w:space="0" w:color="auto"/>
            </w:tcBorders>
            <w:shd w:val="clear" w:color="auto" w:fill="auto"/>
            <w:noWrap/>
            <w:vAlign w:val="center"/>
            <w:hideMark/>
          </w:tcPr>
          <w:p w14:paraId="71A4CC7B"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BPA.E059</w:t>
            </w:r>
          </w:p>
        </w:tc>
        <w:tc>
          <w:tcPr>
            <w:tcW w:w="4562" w:type="dxa"/>
            <w:tcBorders>
              <w:top w:val="nil"/>
              <w:left w:val="nil"/>
            </w:tcBorders>
            <w:shd w:val="clear" w:color="auto" w:fill="auto"/>
            <w:noWrap/>
            <w:vAlign w:val="center"/>
            <w:hideMark/>
          </w:tcPr>
          <w:p w14:paraId="5A45730F" w14:textId="77777777" w:rsidR="00C77F0A" w:rsidRPr="009548D7" w:rsidRDefault="00C77F0A" w:rsidP="0015273C">
            <w:pPr>
              <w:spacing w:after="0" w:line="240" w:lineRule="auto"/>
              <w:ind w:firstLineChars="100" w:firstLine="16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Resultado de Exercícios Anteriores</w:t>
            </w:r>
          </w:p>
        </w:tc>
        <w:tc>
          <w:tcPr>
            <w:tcW w:w="775" w:type="dxa"/>
            <w:tcBorders>
              <w:top w:val="nil"/>
              <w:right w:val="single" w:sz="8" w:space="0" w:color="auto"/>
            </w:tcBorders>
            <w:shd w:val="clear" w:color="auto" w:fill="auto"/>
            <w:noWrap/>
            <w:vAlign w:val="center"/>
          </w:tcPr>
          <w:p w14:paraId="355BE157"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right w:val="single" w:sz="8" w:space="0" w:color="auto"/>
            </w:tcBorders>
            <w:shd w:val="clear" w:color="auto" w:fill="auto"/>
            <w:noWrap/>
            <w:vAlign w:val="center"/>
            <w:hideMark/>
          </w:tcPr>
          <w:p w14:paraId="20E086BF"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BPA.H059</w:t>
            </w:r>
          </w:p>
        </w:tc>
        <w:tc>
          <w:tcPr>
            <w:tcW w:w="1420" w:type="dxa"/>
            <w:tcBorders>
              <w:top w:val="nil"/>
              <w:left w:val="nil"/>
              <w:right w:val="single" w:sz="8" w:space="0" w:color="auto"/>
            </w:tcBorders>
            <w:shd w:val="clear" w:color="auto" w:fill="auto"/>
            <w:noWrap/>
            <w:vAlign w:val="center"/>
            <w:hideMark/>
          </w:tcPr>
          <w:p w14:paraId="609E1371"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BPA.I059</w:t>
            </w:r>
          </w:p>
        </w:tc>
      </w:tr>
      <w:tr w:rsidR="00C77F0A" w:rsidRPr="009548D7" w14:paraId="389FFFEA" w14:textId="77777777" w:rsidTr="0015273C">
        <w:trPr>
          <w:trHeight w:val="255"/>
        </w:trPr>
        <w:tc>
          <w:tcPr>
            <w:tcW w:w="4410" w:type="dxa"/>
            <w:tcBorders>
              <w:top w:val="nil"/>
              <w:left w:val="single" w:sz="8" w:space="0" w:color="auto"/>
            </w:tcBorders>
            <w:shd w:val="clear" w:color="auto" w:fill="auto"/>
            <w:noWrap/>
            <w:vAlign w:val="center"/>
          </w:tcPr>
          <w:p w14:paraId="229FF848" w14:textId="77777777" w:rsidR="00C77F0A" w:rsidRPr="001C4FCB" w:rsidRDefault="00C77F0A" w:rsidP="0015273C">
            <w:pPr>
              <w:spacing w:after="0" w:line="240" w:lineRule="auto"/>
              <w:ind w:firstLineChars="100" w:firstLine="160"/>
              <w:rPr>
                <w:rFonts w:ascii="Arial Narrow" w:eastAsia="Times New Roman" w:hAnsi="Arial Narrow" w:cs="Arial"/>
                <w:b/>
                <w:bCs/>
                <w:sz w:val="16"/>
                <w:szCs w:val="16"/>
                <w:lang w:eastAsia="pt-BR"/>
              </w:rPr>
            </w:pPr>
            <w:r w:rsidRPr="001C4FCB">
              <w:rPr>
                <w:rFonts w:ascii="Arial Narrow" w:eastAsia="Times New Roman" w:hAnsi="Arial Narrow" w:cs="Arial"/>
                <w:sz w:val="16"/>
                <w:szCs w:val="16"/>
                <w:lang w:eastAsia="pt-BR"/>
              </w:rPr>
              <w:t xml:space="preserve">    (-) Subvenção Governamental para Investimentos</w:t>
            </w:r>
          </w:p>
        </w:tc>
        <w:tc>
          <w:tcPr>
            <w:tcW w:w="767" w:type="dxa"/>
            <w:tcBorders>
              <w:top w:val="nil"/>
              <w:right w:val="single" w:sz="8" w:space="0" w:color="auto"/>
            </w:tcBorders>
            <w:shd w:val="clear" w:color="auto" w:fill="auto"/>
            <w:noWrap/>
            <w:vAlign w:val="center"/>
          </w:tcPr>
          <w:p w14:paraId="6E049A33" w14:textId="77777777" w:rsidR="00C77F0A" w:rsidRPr="001C4FCB"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right w:val="single" w:sz="8" w:space="0" w:color="auto"/>
            </w:tcBorders>
            <w:shd w:val="clear" w:color="auto" w:fill="auto"/>
            <w:noWrap/>
            <w:vAlign w:val="center"/>
          </w:tcPr>
          <w:p w14:paraId="419C91A2" w14:textId="77777777" w:rsidR="00C77F0A" w:rsidRPr="001C4FCB" w:rsidRDefault="00C77F0A" w:rsidP="0015273C">
            <w:pPr>
              <w:spacing w:after="0" w:line="240" w:lineRule="auto"/>
              <w:jc w:val="center"/>
              <w:rPr>
                <w:rFonts w:ascii="Arial Narrow" w:eastAsia="Times New Roman" w:hAnsi="Arial Narrow" w:cs="Arial"/>
                <w:sz w:val="16"/>
                <w:szCs w:val="16"/>
                <w:lang w:eastAsia="pt-BR"/>
              </w:rPr>
            </w:pPr>
            <w:r w:rsidRPr="001C4FCB">
              <w:rPr>
                <w:rFonts w:ascii="Arial Narrow" w:eastAsia="Times New Roman" w:hAnsi="Arial Narrow" w:cs="Arial"/>
                <w:sz w:val="16"/>
                <w:szCs w:val="16"/>
                <w:lang w:eastAsia="pt-BR"/>
              </w:rPr>
              <w:t>BPA.D074</w:t>
            </w:r>
          </w:p>
        </w:tc>
        <w:tc>
          <w:tcPr>
            <w:tcW w:w="1262" w:type="dxa"/>
            <w:tcBorders>
              <w:top w:val="nil"/>
              <w:left w:val="nil"/>
              <w:right w:val="single" w:sz="8" w:space="0" w:color="auto"/>
            </w:tcBorders>
            <w:shd w:val="clear" w:color="auto" w:fill="auto"/>
            <w:noWrap/>
            <w:vAlign w:val="center"/>
          </w:tcPr>
          <w:p w14:paraId="2E8BDE7A" w14:textId="77777777" w:rsidR="00C77F0A" w:rsidRPr="001C4FCB" w:rsidRDefault="00C77F0A" w:rsidP="0015273C">
            <w:pPr>
              <w:spacing w:after="0" w:line="240" w:lineRule="auto"/>
              <w:jc w:val="center"/>
              <w:rPr>
                <w:rFonts w:ascii="Arial Narrow" w:eastAsia="Times New Roman" w:hAnsi="Arial Narrow" w:cs="Arial"/>
                <w:sz w:val="16"/>
                <w:szCs w:val="16"/>
                <w:lang w:eastAsia="pt-BR"/>
              </w:rPr>
            </w:pPr>
            <w:r w:rsidRPr="001C4FCB">
              <w:rPr>
                <w:rFonts w:ascii="Arial Narrow" w:eastAsia="Times New Roman" w:hAnsi="Arial Narrow" w:cs="Arial"/>
                <w:sz w:val="16"/>
                <w:szCs w:val="16"/>
                <w:lang w:eastAsia="pt-BR"/>
              </w:rPr>
              <w:t>BPA.E074</w:t>
            </w:r>
          </w:p>
        </w:tc>
        <w:tc>
          <w:tcPr>
            <w:tcW w:w="4562" w:type="dxa"/>
            <w:tcBorders>
              <w:top w:val="nil"/>
              <w:left w:val="nil"/>
            </w:tcBorders>
            <w:shd w:val="clear" w:color="auto" w:fill="auto"/>
            <w:noWrap/>
            <w:vAlign w:val="center"/>
            <w:hideMark/>
          </w:tcPr>
          <w:p w14:paraId="46E2B401" w14:textId="77777777" w:rsidR="00C77F0A" w:rsidRPr="009548D7" w:rsidRDefault="00C77F0A" w:rsidP="0015273C">
            <w:pPr>
              <w:spacing w:after="0" w:line="240" w:lineRule="auto"/>
              <w:ind w:firstLineChars="100" w:firstLine="16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Ajustes de Exercícios Anteriores</w:t>
            </w:r>
          </w:p>
        </w:tc>
        <w:tc>
          <w:tcPr>
            <w:tcW w:w="775" w:type="dxa"/>
            <w:tcBorders>
              <w:top w:val="nil"/>
              <w:right w:val="single" w:sz="8" w:space="0" w:color="auto"/>
            </w:tcBorders>
            <w:shd w:val="clear" w:color="auto" w:fill="auto"/>
            <w:noWrap/>
            <w:vAlign w:val="center"/>
          </w:tcPr>
          <w:p w14:paraId="0220615C"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right w:val="single" w:sz="8" w:space="0" w:color="auto"/>
            </w:tcBorders>
            <w:shd w:val="clear" w:color="auto" w:fill="auto"/>
            <w:noWrap/>
            <w:vAlign w:val="center"/>
            <w:hideMark/>
          </w:tcPr>
          <w:p w14:paraId="2F43B57A"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BPA.H060</w:t>
            </w:r>
          </w:p>
        </w:tc>
        <w:tc>
          <w:tcPr>
            <w:tcW w:w="1420" w:type="dxa"/>
            <w:tcBorders>
              <w:top w:val="nil"/>
              <w:left w:val="nil"/>
              <w:right w:val="single" w:sz="8" w:space="0" w:color="auto"/>
            </w:tcBorders>
            <w:shd w:val="clear" w:color="auto" w:fill="auto"/>
            <w:noWrap/>
            <w:vAlign w:val="center"/>
            <w:hideMark/>
          </w:tcPr>
          <w:p w14:paraId="5395E5DC"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BPA.I060</w:t>
            </w:r>
          </w:p>
        </w:tc>
      </w:tr>
      <w:tr w:rsidR="00C77F0A" w:rsidRPr="009548D7" w14:paraId="625F1EE2" w14:textId="77777777" w:rsidTr="0015273C">
        <w:trPr>
          <w:trHeight w:val="225"/>
        </w:trPr>
        <w:tc>
          <w:tcPr>
            <w:tcW w:w="4410" w:type="dxa"/>
            <w:tcBorders>
              <w:top w:val="nil"/>
              <w:left w:val="single" w:sz="8" w:space="0" w:color="auto"/>
            </w:tcBorders>
            <w:shd w:val="clear" w:color="auto" w:fill="auto"/>
            <w:vAlign w:val="center"/>
            <w:hideMark/>
          </w:tcPr>
          <w:p w14:paraId="6D29896C" w14:textId="77777777" w:rsidR="00C77F0A" w:rsidRPr="009548D7" w:rsidRDefault="00C77F0A" w:rsidP="0015273C">
            <w:pPr>
              <w:spacing w:after="0" w:line="240" w:lineRule="auto"/>
              <w:ind w:firstLineChars="300" w:firstLine="482"/>
              <w:rPr>
                <w:rFonts w:ascii="Arial Narrow" w:eastAsia="Times New Roman" w:hAnsi="Arial Narrow" w:cs="Arial"/>
                <w:sz w:val="16"/>
                <w:szCs w:val="16"/>
                <w:lang w:eastAsia="pt-BR"/>
              </w:rPr>
            </w:pPr>
            <w:r w:rsidRPr="009548D7">
              <w:rPr>
                <w:rFonts w:ascii="Arial Narrow" w:eastAsia="Times New Roman" w:hAnsi="Arial Narrow" w:cs="Arial"/>
                <w:b/>
                <w:bCs/>
                <w:sz w:val="16"/>
                <w:szCs w:val="16"/>
                <w:lang w:eastAsia="pt-BR"/>
              </w:rPr>
              <w:t>Intangível</w:t>
            </w:r>
          </w:p>
        </w:tc>
        <w:tc>
          <w:tcPr>
            <w:tcW w:w="767" w:type="dxa"/>
            <w:tcBorders>
              <w:top w:val="nil"/>
              <w:right w:val="single" w:sz="8" w:space="0" w:color="auto"/>
            </w:tcBorders>
            <w:shd w:val="clear" w:color="auto" w:fill="auto"/>
            <w:noWrap/>
            <w:vAlign w:val="center"/>
          </w:tcPr>
          <w:p w14:paraId="6D89F722"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right w:val="single" w:sz="8" w:space="0" w:color="auto"/>
            </w:tcBorders>
            <w:shd w:val="clear" w:color="auto" w:fill="auto"/>
            <w:noWrap/>
            <w:vAlign w:val="center"/>
            <w:hideMark/>
          </w:tcPr>
          <w:p w14:paraId="60DAB9C7"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b/>
                <w:bCs/>
                <w:sz w:val="16"/>
                <w:szCs w:val="16"/>
                <w:lang w:eastAsia="pt-BR"/>
              </w:rPr>
              <w:t>BPA.D060</w:t>
            </w:r>
          </w:p>
        </w:tc>
        <w:tc>
          <w:tcPr>
            <w:tcW w:w="1262" w:type="dxa"/>
            <w:tcBorders>
              <w:top w:val="nil"/>
              <w:left w:val="nil"/>
              <w:right w:val="single" w:sz="8" w:space="0" w:color="auto"/>
            </w:tcBorders>
            <w:shd w:val="clear" w:color="auto" w:fill="auto"/>
            <w:noWrap/>
            <w:vAlign w:val="center"/>
            <w:hideMark/>
          </w:tcPr>
          <w:p w14:paraId="4215ECD2"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b/>
                <w:bCs/>
                <w:sz w:val="16"/>
                <w:szCs w:val="16"/>
                <w:lang w:eastAsia="pt-BR"/>
              </w:rPr>
              <w:t>BPA.E060</w:t>
            </w:r>
          </w:p>
        </w:tc>
        <w:tc>
          <w:tcPr>
            <w:tcW w:w="4562" w:type="dxa"/>
            <w:tcBorders>
              <w:top w:val="nil"/>
              <w:left w:val="nil"/>
              <w:bottom w:val="nil"/>
            </w:tcBorders>
            <w:shd w:val="clear" w:color="auto" w:fill="auto"/>
            <w:noWrap/>
            <w:vAlign w:val="center"/>
            <w:hideMark/>
          </w:tcPr>
          <w:p w14:paraId="5E2B12D9" w14:textId="77777777" w:rsidR="00C77F0A" w:rsidRPr="009548D7" w:rsidRDefault="00C77F0A" w:rsidP="0015273C">
            <w:pPr>
              <w:spacing w:after="0" w:line="240" w:lineRule="auto"/>
              <w:ind w:firstLineChars="100" w:firstLine="16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Outros resultados</w:t>
            </w:r>
          </w:p>
        </w:tc>
        <w:tc>
          <w:tcPr>
            <w:tcW w:w="775" w:type="dxa"/>
            <w:tcBorders>
              <w:top w:val="nil"/>
              <w:bottom w:val="nil"/>
              <w:right w:val="single" w:sz="8" w:space="0" w:color="auto"/>
            </w:tcBorders>
            <w:shd w:val="clear" w:color="auto" w:fill="auto"/>
            <w:noWrap/>
            <w:vAlign w:val="center"/>
          </w:tcPr>
          <w:p w14:paraId="357EF183"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620410E5"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BPA.H061</w:t>
            </w:r>
          </w:p>
        </w:tc>
        <w:tc>
          <w:tcPr>
            <w:tcW w:w="1420" w:type="dxa"/>
            <w:tcBorders>
              <w:top w:val="nil"/>
              <w:left w:val="nil"/>
              <w:bottom w:val="nil"/>
              <w:right w:val="single" w:sz="8" w:space="0" w:color="auto"/>
            </w:tcBorders>
            <w:shd w:val="clear" w:color="auto" w:fill="auto"/>
            <w:noWrap/>
            <w:vAlign w:val="center"/>
            <w:hideMark/>
          </w:tcPr>
          <w:p w14:paraId="51090705"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BPA.I061</w:t>
            </w:r>
          </w:p>
        </w:tc>
      </w:tr>
      <w:tr w:rsidR="00C77F0A" w:rsidRPr="009548D7" w14:paraId="64755A0B" w14:textId="77777777" w:rsidTr="0015273C">
        <w:trPr>
          <w:trHeight w:val="255"/>
        </w:trPr>
        <w:tc>
          <w:tcPr>
            <w:tcW w:w="4410" w:type="dxa"/>
            <w:tcBorders>
              <w:left w:val="single" w:sz="8" w:space="0" w:color="auto"/>
              <w:bottom w:val="nil"/>
            </w:tcBorders>
            <w:shd w:val="clear" w:color="auto" w:fill="auto"/>
            <w:noWrap/>
            <w:vAlign w:val="center"/>
            <w:hideMark/>
          </w:tcPr>
          <w:p w14:paraId="7630BCA8" w14:textId="77777777" w:rsidR="00C77F0A" w:rsidRPr="009548D7" w:rsidRDefault="00C77F0A" w:rsidP="0015273C">
            <w:pPr>
              <w:spacing w:after="0" w:line="240" w:lineRule="auto"/>
              <w:ind w:firstLineChars="300" w:firstLine="48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Softwares</w:t>
            </w:r>
          </w:p>
        </w:tc>
        <w:tc>
          <w:tcPr>
            <w:tcW w:w="767" w:type="dxa"/>
            <w:tcBorders>
              <w:bottom w:val="nil"/>
              <w:right w:val="single" w:sz="8" w:space="0" w:color="auto"/>
            </w:tcBorders>
            <w:shd w:val="clear" w:color="auto" w:fill="auto"/>
            <w:noWrap/>
            <w:vAlign w:val="center"/>
          </w:tcPr>
          <w:p w14:paraId="46C28333"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left w:val="nil"/>
              <w:bottom w:val="nil"/>
              <w:right w:val="single" w:sz="8" w:space="0" w:color="auto"/>
            </w:tcBorders>
            <w:shd w:val="clear" w:color="auto" w:fill="auto"/>
            <w:noWrap/>
            <w:vAlign w:val="center"/>
            <w:hideMark/>
          </w:tcPr>
          <w:p w14:paraId="2F301345"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BPA.D061</w:t>
            </w:r>
          </w:p>
        </w:tc>
        <w:tc>
          <w:tcPr>
            <w:tcW w:w="1262" w:type="dxa"/>
            <w:tcBorders>
              <w:left w:val="nil"/>
              <w:bottom w:val="nil"/>
              <w:right w:val="single" w:sz="8" w:space="0" w:color="auto"/>
            </w:tcBorders>
            <w:shd w:val="clear" w:color="auto" w:fill="auto"/>
            <w:noWrap/>
            <w:vAlign w:val="center"/>
            <w:hideMark/>
          </w:tcPr>
          <w:p w14:paraId="62600C71"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BPA.E061</w:t>
            </w:r>
          </w:p>
        </w:tc>
        <w:tc>
          <w:tcPr>
            <w:tcW w:w="4562" w:type="dxa"/>
            <w:tcBorders>
              <w:top w:val="nil"/>
              <w:left w:val="nil"/>
              <w:bottom w:val="nil"/>
            </w:tcBorders>
            <w:shd w:val="clear" w:color="auto" w:fill="auto"/>
            <w:noWrap/>
            <w:vAlign w:val="center"/>
            <w:hideMark/>
          </w:tcPr>
          <w:p w14:paraId="19CA24BE" w14:textId="77777777" w:rsidR="00C77F0A" w:rsidRPr="009548D7" w:rsidRDefault="00C77F0A" w:rsidP="0015273C">
            <w:pPr>
              <w:spacing w:after="0" w:line="240" w:lineRule="auto"/>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Ações/Cotas em Tesouraria</w:t>
            </w:r>
          </w:p>
        </w:tc>
        <w:tc>
          <w:tcPr>
            <w:tcW w:w="775" w:type="dxa"/>
            <w:tcBorders>
              <w:top w:val="nil"/>
              <w:bottom w:val="nil"/>
              <w:right w:val="single" w:sz="8" w:space="0" w:color="auto"/>
            </w:tcBorders>
            <w:shd w:val="clear" w:color="auto" w:fill="auto"/>
            <w:noWrap/>
            <w:vAlign w:val="center"/>
          </w:tcPr>
          <w:p w14:paraId="7AF050C1"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7057041B"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BPA.H062</w:t>
            </w:r>
          </w:p>
        </w:tc>
        <w:tc>
          <w:tcPr>
            <w:tcW w:w="1420" w:type="dxa"/>
            <w:tcBorders>
              <w:top w:val="nil"/>
              <w:left w:val="nil"/>
              <w:bottom w:val="nil"/>
              <w:right w:val="single" w:sz="8" w:space="0" w:color="auto"/>
            </w:tcBorders>
            <w:shd w:val="clear" w:color="auto" w:fill="auto"/>
            <w:noWrap/>
            <w:vAlign w:val="center"/>
            <w:hideMark/>
          </w:tcPr>
          <w:p w14:paraId="554573B9"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BPA.I062</w:t>
            </w:r>
          </w:p>
        </w:tc>
      </w:tr>
      <w:tr w:rsidR="00C77F0A" w:rsidRPr="009548D7" w14:paraId="7C666C88" w14:textId="77777777" w:rsidTr="0015273C">
        <w:trPr>
          <w:trHeight w:val="255"/>
        </w:trPr>
        <w:tc>
          <w:tcPr>
            <w:tcW w:w="4410" w:type="dxa"/>
            <w:tcBorders>
              <w:top w:val="nil"/>
              <w:left w:val="single" w:sz="8" w:space="0" w:color="auto"/>
              <w:bottom w:val="nil"/>
            </w:tcBorders>
            <w:shd w:val="clear" w:color="auto" w:fill="auto"/>
            <w:noWrap/>
            <w:vAlign w:val="center"/>
            <w:hideMark/>
          </w:tcPr>
          <w:p w14:paraId="050C5009" w14:textId="77777777" w:rsidR="00C77F0A" w:rsidRPr="009548D7" w:rsidRDefault="00C77F0A" w:rsidP="0015273C">
            <w:pPr>
              <w:spacing w:after="0" w:line="240" w:lineRule="auto"/>
              <w:ind w:firstLineChars="300" w:firstLine="48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Amortização Acumulada de softwares</w:t>
            </w:r>
          </w:p>
        </w:tc>
        <w:tc>
          <w:tcPr>
            <w:tcW w:w="767" w:type="dxa"/>
            <w:tcBorders>
              <w:top w:val="nil"/>
              <w:bottom w:val="nil"/>
              <w:right w:val="single" w:sz="8" w:space="0" w:color="auto"/>
            </w:tcBorders>
            <w:shd w:val="clear" w:color="auto" w:fill="auto"/>
            <w:noWrap/>
            <w:vAlign w:val="center"/>
          </w:tcPr>
          <w:p w14:paraId="44671C4C"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42B55DD6"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BPA.D062</w:t>
            </w:r>
          </w:p>
        </w:tc>
        <w:tc>
          <w:tcPr>
            <w:tcW w:w="1262" w:type="dxa"/>
            <w:tcBorders>
              <w:top w:val="nil"/>
              <w:left w:val="nil"/>
              <w:bottom w:val="nil"/>
              <w:right w:val="single" w:sz="8" w:space="0" w:color="auto"/>
            </w:tcBorders>
            <w:shd w:val="clear" w:color="auto" w:fill="auto"/>
            <w:noWrap/>
            <w:vAlign w:val="center"/>
            <w:hideMark/>
          </w:tcPr>
          <w:p w14:paraId="42DDA67F"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BPA.E062</w:t>
            </w:r>
          </w:p>
        </w:tc>
        <w:tc>
          <w:tcPr>
            <w:tcW w:w="4562" w:type="dxa"/>
            <w:tcBorders>
              <w:top w:val="nil"/>
              <w:left w:val="nil"/>
              <w:bottom w:val="nil"/>
            </w:tcBorders>
            <w:shd w:val="clear" w:color="auto" w:fill="auto"/>
            <w:vAlign w:val="center"/>
          </w:tcPr>
          <w:p w14:paraId="4C49221D" w14:textId="77777777" w:rsidR="00C77F0A" w:rsidRPr="009548D7" w:rsidRDefault="00C77F0A" w:rsidP="0015273C">
            <w:pPr>
              <w:spacing w:after="0" w:line="240" w:lineRule="auto"/>
              <w:rPr>
                <w:rFonts w:ascii="Arial Narrow" w:eastAsia="Times New Roman" w:hAnsi="Arial Narrow" w:cs="Arial"/>
                <w:sz w:val="16"/>
                <w:szCs w:val="16"/>
                <w:lang w:eastAsia="pt-BR"/>
              </w:rPr>
            </w:pPr>
          </w:p>
        </w:tc>
        <w:tc>
          <w:tcPr>
            <w:tcW w:w="775" w:type="dxa"/>
            <w:tcBorders>
              <w:top w:val="nil"/>
              <w:bottom w:val="nil"/>
              <w:right w:val="single" w:sz="8" w:space="0" w:color="auto"/>
            </w:tcBorders>
            <w:shd w:val="clear" w:color="auto" w:fill="auto"/>
            <w:noWrap/>
            <w:vAlign w:val="center"/>
          </w:tcPr>
          <w:p w14:paraId="2CAE936B"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tcPr>
          <w:p w14:paraId="405A4464"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p>
        </w:tc>
        <w:tc>
          <w:tcPr>
            <w:tcW w:w="1420" w:type="dxa"/>
            <w:tcBorders>
              <w:top w:val="nil"/>
              <w:left w:val="nil"/>
              <w:bottom w:val="nil"/>
              <w:right w:val="single" w:sz="8" w:space="0" w:color="auto"/>
            </w:tcBorders>
            <w:shd w:val="clear" w:color="auto" w:fill="auto"/>
            <w:noWrap/>
            <w:vAlign w:val="center"/>
          </w:tcPr>
          <w:p w14:paraId="61FE85F8"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p>
        </w:tc>
      </w:tr>
      <w:tr w:rsidR="00C77F0A" w:rsidRPr="009548D7" w14:paraId="002C51BD" w14:textId="77777777" w:rsidTr="0015273C">
        <w:trPr>
          <w:trHeight w:val="255"/>
        </w:trPr>
        <w:tc>
          <w:tcPr>
            <w:tcW w:w="4410" w:type="dxa"/>
            <w:tcBorders>
              <w:top w:val="nil"/>
              <w:left w:val="single" w:sz="8" w:space="0" w:color="auto"/>
              <w:bottom w:val="nil"/>
            </w:tcBorders>
            <w:shd w:val="clear" w:color="auto" w:fill="auto"/>
            <w:noWrap/>
            <w:vAlign w:val="center"/>
            <w:hideMark/>
          </w:tcPr>
          <w:p w14:paraId="005E9DC3" w14:textId="77777777" w:rsidR="00C77F0A" w:rsidRPr="009548D7" w:rsidRDefault="00C77F0A" w:rsidP="0015273C">
            <w:pPr>
              <w:spacing w:after="0" w:line="240" w:lineRule="auto"/>
              <w:ind w:firstLineChars="300" w:firstLine="48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Redução ao Valor Recuperável de softwares</w:t>
            </w:r>
          </w:p>
        </w:tc>
        <w:tc>
          <w:tcPr>
            <w:tcW w:w="767" w:type="dxa"/>
            <w:tcBorders>
              <w:top w:val="nil"/>
              <w:bottom w:val="nil"/>
              <w:right w:val="single" w:sz="8" w:space="0" w:color="auto"/>
            </w:tcBorders>
            <w:shd w:val="clear" w:color="auto" w:fill="auto"/>
            <w:noWrap/>
            <w:vAlign w:val="center"/>
          </w:tcPr>
          <w:p w14:paraId="48D6FB29"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7A6E2C02"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BPA.D063</w:t>
            </w:r>
          </w:p>
        </w:tc>
        <w:tc>
          <w:tcPr>
            <w:tcW w:w="1262" w:type="dxa"/>
            <w:tcBorders>
              <w:top w:val="nil"/>
              <w:left w:val="nil"/>
              <w:bottom w:val="nil"/>
              <w:right w:val="single" w:sz="8" w:space="0" w:color="auto"/>
            </w:tcBorders>
            <w:shd w:val="clear" w:color="auto" w:fill="auto"/>
            <w:noWrap/>
            <w:vAlign w:val="center"/>
            <w:hideMark/>
          </w:tcPr>
          <w:p w14:paraId="6F9B4854"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BPA.E063</w:t>
            </w:r>
          </w:p>
        </w:tc>
        <w:tc>
          <w:tcPr>
            <w:tcW w:w="4562" w:type="dxa"/>
            <w:tcBorders>
              <w:top w:val="nil"/>
              <w:left w:val="nil"/>
              <w:bottom w:val="nil"/>
            </w:tcBorders>
            <w:shd w:val="clear" w:color="auto" w:fill="auto"/>
            <w:noWrap/>
            <w:vAlign w:val="center"/>
            <w:hideMark/>
          </w:tcPr>
          <w:p w14:paraId="3332A53E" w14:textId="77777777" w:rsidR="00C77F0A" w:rsidRPr="009548D7" w:rsidRDefault="00C77F0A" w:rsidP="0015273C">
            <w:pPr>
              <w:spacing w:after="0" w:line="240" w:lineRule="auto"/>
              <w:ind w:firstLineChars="100" w:firstLine="16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w:t>
            </w:r>
          </w:p>
        </w:tc>
        <w:tc>
          <w:tcPr>
            <w:tcW w:w="775" w:type="dxa"/>
            <w:tcBorders>
              <w:top w:val="nil"/>
              <w:bottom w:val="nil"/>
              <w:right w:val="single" w:sz="8" w:space="0" w:color="auto"/>
            </w:tcBorders>
            <w:shd w:val="clear" w:color="auto" w:fill="auto"/>
            <w:noWrap/>
            <w:vAlign w:val="center"/>
          </w:tcPr>
          <w:p w14:paraId="38FA1690" w14:textId="77777777" w:rsidR="00C77F0A" w:rsidRPr="009548D7" w:rsidRDefault="00C77F0A" w:rsidP="0015273C">
            <w:pPr>
              <w:spacing w:after="0" w:line="240" w:lineRule="auto"/>
              <w:ind w:firstLineChars="100" w:firstLine="160"/>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6D406063"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w:t>
            </w:r>
          </w:p>
        </w:tc>
        <w:tc>
          <w:tcPr>
            <w:tcW w:w="1420" w:type="dxa"/>
            <w:tcBorders>
              <w:top w:val="nil"/>
              <w:left w:val="nil"/>
              <w:bottom w:val="nil"/>
              <w:right w:val="single" w:sz="8" w:space="0" w:color="auto"/>
            </w:tcBorders>
            <w:shd w:val="clear" w:color="auto" w:fill="auto"/>
            <w:noWrap/>
            <w:vAlign w:val="center"/>
            <w:hideMark/>
          </w:tcPr>
          <w:p w14:paraId="59BE9A25"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w:t>
            </w:r>
          </w:p>
        </w:tc>
      </w:tr>
      <w:tr w:rsidR="00C77F0A" w:rsidRPr="009548D7" w14:paraId="6ACC8A5A" w14:textId="77777777" w:rsidTr="0015273C">
        <w:trPr>
          <w:trHeight w:val="255"/>
        </w:trPr>
        <w:tc>
          <w:tcPr>
            <w:tcW w:w="4410" w:type="dxa"/>
            <w:tcBorders>
              <w:top w:val="nil"/>
              <w:left w:val="single" w:sz="8" w:space="0" w:color="auto"/>
              <w:bottom w:val="nil"/>
            </w:tcBorders>
            <w:shd w:val="clear" w:color="auto" w:fill="auto"/>
            <w:noWrap/>
            <w:vAlign w:val="center"/>
            <w:hideMark/>
          </w:tcPr>
          <w:p w14:paraId="3F488066" w14:textId="77777777" w:rsidR="00C77F0A" w:rsidRPr="009548D7" w:rsidRDefault="00C77F0A" w:rsidP="0015273C">
            <w:pPr>
              <w:spacing w:after="0" w:line="240" w:lineRule="auto"/>
              <w:ind w:left="497"/>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Marcas, Direitos e Patentes Industriais</w:t>
            </w:r>
          </w:p>
        </w:tc>
        <w:tc>
          <w:tcPr>
            <w:tcW w:w="767" w:type="dxa"/>
            <w:tcBorders>
              <w:top w:val="nil"/>
              <w:bottom w:val="nil"/>
              <w:right w:val="single" w:sz="8" w:space="0" w:color="auto"/>
            </w:tcBorders>
            <w:shd w:val="clear" w:color="auto" w:fill="auto"/>
            <w:noWrap/>
            <w:vAlign w:val="center"/>
          </w:tcPr>
          <w:p w14:paraId="5B72A07F"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57840F63"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BPA.D064</w:t>
            </w:r>
          </w:p>
        </w:tc>
        <w:tc>
          <w:tcPr>
            <w:tcW w:w="1262" w:type="dxa"/>
            <w:tcBorders>
              <w:top w:val="nil"/>
              <w:left w:val="nil"/>
              <w:bottom w:val="nil"/>
              <w:right w:val="single" w:sz="8" w:space="0" w:color="auto"/>
            </w:tcBorders>
            <w:shd w:val="clear" w:color="auto" w:fill="auto"/>
            <w:noWrap/>
            <w:vAlign w:val="center"/>
            <w:hideMark/>
          </w:tcPr>
          <w:p w14:paraId="004F2E59"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BPA.E064</w:t>
            </w:r>
          </w:p>
        </w:tc>
        <w:tc>
          <w:tcPr>
            <w:tcW w:w="4562" w:type="dxa"/>
            <w:tcBorders>
              <w:top w:val="nil"/>
              <w:left w:val="nil"/>
              <w:bottom w:val="nil"/>
            </w:tcBorders>
            <w:shd w:val="clear" w:color="auto" w:fill="auto"/>
            <w:noWrap/>
            <w:vAlign w:val="center"/>
            <w:hideMark/>
          </w:tcPr>
          <w:p w14:paraId="78B1B697" w14:textId="77777777" w:rsidR="00C77F0A" w:rsidRPr="009548D7" w:rsidRDefault="00C77F0A" w:rsidP="0015273C">
            <w:pPr>
              <w:spacing w:after="0" w:line="240" w:lineRule="auto"/>
              <w:rPr>
                <w:rFonts w:ascii="Arial Narrow" w:eastAsia="Times New Roman" w:hAnsi="Arial Narrow" w:cs="Arial"/>
                <w:color w:val="0070C0"/>
                <w:sz w:val="16"/>
                <w:szCs w:val="16"/>
                <w:lang w:eastAsia="pt-BR"/>
              </w:rPr>
            </w:pPr>
          </w:p>
        </w:tc>
        <w:tc>
          <w:tcPr>
            <w:tcW w:w="775" w:type="dxa"/>
            <w:tcBorders>
              <w:top w:val="nil"/>
              <w:bottom w:val="nil"/>
              <w:right w:val="single" w:sz="8" w:space="0" w:color="auto"/>
            </w:tcBorders>
            <w:shd w:val="clear" w:color="auto" w:fill="auto"/>
            <w:noWrap/>
            <w:vAlign w:val="center"/>
          </w:tcPr>
          <w:p w14:paraId="54B6A9C7" w14:textId="77777777" w:rsidR="00C77F0A" w:rsidRPr="009548D7" w:rsidRDefault="00C77F0A" w:rsidP="0015273C">
            <w:pPr>
              <w:spacing w:after="0" w:line="240" w:lineRule="auto"/>
              <w:rPr>
                <w:rFonts w:ascii="Arial Narrow" w:eastAsia="Times New Roman" w:hAnsi="Arial Narrow" w:cs="Arial"/>
                <w:color w:val="0070C0"/>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7E9C274F"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w:t>
            </w:r>
          </w:p>
        </w:tc>
        <w:tc>
          <w:tcPr>
            <w:tcW w:w="1420" w:type="dxa"/>
            <w:tcBorders>
              <w:top w:val="nil"/>
              <w:left w:val="nil"/>
              <w:bottom w:val="nil"/>
              <w:right w:val="single" w:sz="8" w:space="0" w:color="auto"/>
            </w:tcBorders>
            <w:shd w:val="clear" w:color="auto" w:fill="auto"/>
            <w:noWrap/>
            <w:vAlign w:val="center"/>
            <w:hideMark/>
          </w:tcPr>
          <w:p w14:paraId="479CF0BE"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w:t>
            </w:r>
          </w:p>
        </w:tc>
      </w:tr>
      <w:tr w:rsidR="00C77F0A" w:rsidRPr="009548D7" w14:paraId="53ED6BCA" w14:textId="77777777" w:rsidTr="0015273C">
        <w:trPr>
          <w:trHeight w:val="255"/>
        </w:trPr>
        <w:tc>
          <w:tcPr>
            <w:tcW w:w="4410" w:type="dxa"/>
            <w:tcBorders>
              <w:top w:val="nil"/>
              <w:left w:val="single" w:sz="8" w:space="0" w:color="auto"/>
              <w:bottom w:val="nil"/>
            </w:tcBorders>
            <w:shd w:val="clear" w:color="auto" w:fill="auto"/>
            <w:noWrap/>
            <w:vAlign w:val="center"/>
            <w:hideMark/>
          </w:tcPr>
          <w:p w14:paraId="43E49D06" w14:textId="77777777" w:rsidR="00C77F0A" w:rsidRPr="009548D7" w:rsidRDefault="00C77F0A" w:rsidP="0015273C">
            <w:pPr>
              <w:spacing w:after="0" w:line="240" w:lineRule="auto"/>
              <w:ind w:left="497"/>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Amortização Acumulada de Marcas, Direitos e Patentes Industriais</w:t>
            </w:r>
          </w:p>
        </w:tc>
        <w:tc>
          <w:tcPr>
            <w:tcW w:w="767" w:type="dxa"/>
            <w:tcBorders>
              <w:top w:val="nil"/>
              <w:bottom w:val="nil"/>
              <w:right w:val="single" w:sz="8" w:space="0" w:color="auto"/>
            </w:tcBorders>
            <w:shd w:val="clear" w:color="auto" w:fill="auto"/>
            <w:noWrap/>
            <w:vAlign w:val="center"/>
          </w:tcPr>
          <w:p w14:paraId="3468D29C"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346485F0"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BPA.D065</w:t>
            </w:r>
          </w:p>
        </w:tc>
        <w:tc>
          <w:tcPr>
            <w:tcW w:w="1262" w:type="dxa"/>
            <w:tcBorders>
              <w:top w:val="nil"/>
              <w:left w:val="nil"/>
              <w:bottom w:val="nil"/>
              <w:right w:val="single" w:sz="8" w:space="0" w:color="auto"/>
            </w:tcBorders>
            <w:shd w:val="clear" w:color="auto" w:fill="auto"/>
            <w:noWrap/>
            <w:vAlign w:val="center"/>
            <w:hideMark/>
          </w:tcPr>
          <w:p w14:paraId="0F7304CF"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BPA.E065</w:t>
            </w:r>
          </w:p>
        </w:tc>
        <w:tc>
          <w:tcPr>
            <w:tcW w:w="4562" w:type="dxa"/>
            <w:tcBorders>
              <w:top w:val="nil"/>
              <w:left w:val="nil"/>
              <w:bottom w:val="nil"/>
            </w:tcBorders>
            <w:shd w:val="clear" w:color="auto" w:fill="auto"/>
            <w:noWrap/>
            <w:vAlign w:val="center"/>
            <w:hideMark/>
          </w:tcPr>
          <w:p w14:paraId="4A8C2AA7" w14:textId="77777777" w:rsidR="00C77F0A" w:rsidRPr="009548D7" w:rsidRDefault="00C77F0A" w:rsidP="0015273C">
            <w:pPr>
              <w:spacing w:after="0" w:line="240" w:lineRule="auto"/>
              <w:ind w:firstLineChars="100" w:firstLine="160"/>
              <w:rPr>
                <w:rFonts w:ascii="Arial Narrow" w:eastAsia="Times New Roman" w:hAnsi="Arial Narrow" w:cs="Arial"/>
                <w:color w:val="00B050"/>
                <w:sz w:val="16"/>
                <w:szCs w:val="16"/>
                <w:lang w:eastAsia="pt-BR"/>
              </w:rPr>
            </w:pPr>
            <w:r w:rsidRPr="009548D7">
              <w:rPr>
                <w:rFonts w:ascii="Arial Narrow" w:eastAsia="Times New Roman" w:hAnsi="Arial Narrow" w:cs="Arial"/>
                <w:color w:val="00B050"/>
                <w:sz w:val="16"/>
                <w:szCs w:val="16"/>
                <w:lang w:eastAsia="pt-BR"/>
              </w:rPr>
              <w:t> </w:t>
            </w:r>
          </w:p>
        </w:tc>
        <w:tc>
          <w:tcPr>
            <w:tcW w:w="775" w:type="dxa"/>
            <w:tcBorders>
              <w:top w:val="nil"/>
              <w:bottom w:val="nil"/>
              <w:right w:val="single" w:sz="8" w:space="0" w:color="auto"/>
            </w:tcBorders>
            <w:shd w:val="clear" w:color="auto" w:fill="auto"/>
            <w:noWrap/>
            <w:vAlign w:val="center"/>
          </w:tcPr>
          <w:p w14:paraId="7E4D1E02" w14:textId="77777777" w:rsidR="00C77F0A" w:rsidRPr="009548D7" w:rsidRDefault="00C77F0A" w:rsidP="0015273C">
            <w:pPr>
              <w:spacing w:after="0" w:line="240" w:lineRule="auto"/>
              <w:ind w:firstLineChars="100" w:firstLine="160"/>
              <w:rPr>
                <w:rFonts w:ascii="Arial Narrow" w:eastAsia="Times New Roman" w:hAnsi="Arial Narrow" w:cs="Arial"/>
                <w:color w:val="00B050"/>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6F852EA8"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w:t>
            </w:r>
          </w:p>
        </w:tc>
        <w:tc>
          <w:tcPr>
            <w:tcW w:w="1420" w:type="dxa"/>
            <w:tcBorders>
              <w:top w:val="nil"/>
              <w:left w:val="nil"/>
              <w:bottom w:val="nil"/>
              <w:right w:val="single" w:sz="8" w:space="0" w:color="auto"/>
            </w:tcBorders>
            <w:shd w:val="clear" w:color="auto" w:fill="auto"/>
            <w:noWrap/>
            <w:vAlign w:val="center"/>
            <w:hideMark/>
          </w:tcPr>
          <w:p w14:paraId="635BCDA7"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w:t>
            </w:r>
          </w:p>
        </w:tc>
      </w:tr>
      <w:tr w:rsidR="00C77F0A" w:rsidRPr="009548D7" w14:paraId="2FBD1D27" w14:textId="77777777" w:rsidTr="0015273C">
        <w:trPr>
          <w:trHeight w:val="255"/>
        </w:trPr>
        <w:tc>
          <w:tcPr>
            <w:tcW w:w="4410" w:type="dxa"/>
            <w:tcBorders>
              <w:top w:val="nil"/>
              <w:left w:val="single" w:sz="8" w:space="0" w:color="auto"/>
              <w:bottom w:val="nil"/>
            </w:tcBorders>
            <w:shd w:val="clear" w:color="auto" w:fill="auto"/>
            <w:noWrap/>
            <w:vAlign w:val="center"/>
            <w:hideMark/>
          </w:tcPr>
          <w:p w14:paraId="564D0258" w14:textId="77777777" w:rsidR="00C77F0A" w:rsidRPr="009548D7" w:rsidRDefault="00C77F0A" w:rsidP="0015273C">
            <w:pPr>
              <w:spacing w:after="0" w:line="240" w:lineRule="auto"/>
              <w:ind w:firstLineChars="300" w:firstLine="48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Redução ao Valor Recuperável de Marcas, Direitos e Patentes Industriais</w:t>
            </w:r>
          </w:p>
        </w:tc>
        <w:tc>
          <w:tcPr>
            <w:tcW w:w="767" w:type="dxa"/>
            <w:tcBorders>
              <w:top w:val="nil"/>
              <w:bottom w:val="nil"/>
              <w:right w:val="single" w:sz="8" w:space="0" w:color="auto"/>
            </w:tcBorders>
            <w:shd w:val="clear" w:color="auto" w:fill="auto"/>
            <w:noWrap/>
            <w:vAlign w:val="center"/>
          </w:tcPr>
          <w:p w14:paraId="635FBB44"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6A9FFC9D"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BPA.D066</w:t>
            </w:r>
          </w:p>
        </w:tc>
        <w:tc>
          <w:tcPr>
            <w:tcW w:w="1262" w:type="dxa"/>
            <w:tcBorders>
              <w:top w:val="nil"/>
              <w:left w:val="nil"/>
              <w:bottom w:val="nil"/>
              <w:right w:val="single" w:sz="8" w:space="0" w:color="auto"/>
            </w:tcBorders>
            <w:shd w:val="clear" w:color="auto" w:fill="auto"/>
            <w:noWrap/>
            <w:vAlign w:val="center"/>
            <w:hideMark/>
          </w:tcPr>
          <w:p w14:paraId="16AAF5DE"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BPA.E066</w:t>
            </w:r>
          </w:p>
        </w:tc>
        <w:tc>
          <w:tcPr>
            <w:tcW w:w="4562" w:type="dxa"/>
            <w:tcBorders>
              <w:top w:val="nil"/>
              <w:left w:val="nil"/>
              <w:bottom w:val="nil"/>
            </w:tcBorders>
            <w:shd w:val="clear" w:color="auto" w:fill="auto"/>
            <w:noWrap/>
            <w:vAlign w:val="center"/>
            <w:hideMark/>
          </w:tcPr>
          <w:p w14:paraId="37A70F87" w14:textId="77777777" w:rsidR="00C77F0A" w:rsidRPr="009548D7" w:rsidRDefault="00C77F0A" w:rsidP="0015273C">
            <w:pPr>
              <w:spacing w:after="0" w:line="240" w:lineRule="auto"/>
              <w:ind w:firstLineChars="100" w:firstLine="16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w:t>
            </w:r>
          </w:p>
        </w:tc>
        <w:tc>
          <w:tcPr>
            <w:tcW w:w="775" w:type="dxa"/>
            <w:tcBorders>
              <w:top w:val="nil"/>
              <w:bottom w:val="nil"/>
              <w:right w:val="single" w:sz="8" w:space="0" w:color="auto"/>
            </w:tcBorders>
            <w:shd w:val="clear" w:color="auto" w:fill="auto"/>
            <w:noWrap/>
            <w:vAlign w:val="center"/>
          </w:tcPr>
          <w:p w14:paraId="1F0B8BA1" w14:textId="77777777" w:rsidR="00C77F0A" w:rsidRPr="009548D7" w:rsidRDefault="00C77F0A" w:rsidP="0015273C">
            <w:pPr>
              <w:spacing w:after="0" w:line="240" w:lineRule="auto"/>
              <w:ind w:firstLineChars="100" w:firstLine="160"/>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18F8744F"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w:t>
            </w:r>
          </w:p>
        </w:tc>
        <w:tc>
          <w:tcPr>
            <w:tcW w:w="1420" w:type="dxa"/>
            <w:tcBorders>
              <w:top w:val="nil"/>
              <w:left w:val="nil"/>
              <w:bottom w:val="nil"/>
              <w:right w:val="single" w:sz="8" w:space="0" w:color="auto"/>
            </w:tcBorders>
            <w:shd w:val="clear" w:color="auto" w:fill="auto"/>
            <w:noWrap/>
            <w:vAlign w:val="center"/>
            <w:hideMark/>
          </w:tcPr>
          <w:p w14:paraId="0E92C5DB"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w:t>
            </w:r>
          </w:p>
        </w:tc>
      </w:tr>
      <w:tr w:rsidR="00C77F0A" w:rsidRPr="009548D7" w14:paraId="53A19337" w14:textId="77777777" w:rsidTr="0015273C">
        <w:trPr>
          <w:trHeight w:val="255"/>
        </w:trPr>
        <w:tc>
          <w:tcPr>
            <w:tcW w:w="4410" w:type="dxa"/>
            <w:tcBorders>
              <w:top w:val="nil"/>
              <w:left w:val="single" w:sz="8" w:space="0" w:color="auto"/>
              <w:bottom w:val="nil"/>
            </w:tcBorders>
            <w:shd w:val="clear" w:color="auto" w:fill="auto"/>
            <w:noWrap/>
            <w:vAlign w:val="center"/>
            <w:hideMark/>
          </w:tcPr>
          <w:p w14:paraId="05143CA9" w14:textId="77777777" w:rsidR="00C77F0A" w:rsidRPr="009548D7" w:rsidRDefault="00C77F0A" w:rsidP="0015273C">
            <w:pPr>
              <w:spacing w:after="0" w:line="240" w:lineRule="auto"/>
              <w:ind w:firstLineChars="300" w:firstLine="48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Direitos de Uso de Imóveis</w:t>
            </w:r>
          </w:p>
        </w:tc>
        <w:tc>
          <w:tcPr>
            <w:tcW w:w="767" w:type="dxa"/>
            <w:tcBorders>
              <w:top w:val="nil"/>
              <w:bottom w:val="nil"/>
              <w:right w:val="single" w:sz="8" w:space="0" w:color="auto"/>
            </w:tcBorders>
            <w:shd w:val="clear" w:color="auto" w:fill="auto"/>
            <w:noWrap/>
            <w:vAlign w:val="center"/>
          </w:tcPr>
          <w:p w14:paraId="7467CA8D"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4CD2750A"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BPA.D067</w:t>
            </w:r>
          </w:p>
        </w:tc>
        <w:tc>
          <w:tcPr>
            <w:tcW w:w="1262" w:type="dxa"/>
            <w:tcBorders>
              <w:top w:val="nil"/>
              <w:left w:val="nil"/>
              <w:bottom w:val="nil"/>
              <w:right w:val="single" w:sz="8" w:space="0" w:color="auto"/>
            </w:tcBorders>
            <w:shd w:val="clear" w:color="auto" w:fill="auto"/>
            <w:noWrap/>
            <w:vAlign w:val="center"/>
            <w:hideMark/>
          </w:tcPr>
          <w:p w14:paraId="40E0D72D"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BPA.E067</w:t>
            </w:r>
          </w:p>
        </w:tc>
        <w:tc>
          <w:tcPr>
            <w:tcW w:w="4562" w:type="dxa"/>
            <w:tcBorders>
              <w:top w:val="nil"/>
              <w:left w:val="nil"/>
              <w:bottom w:val="nil"/>
            </w:tcBorders>
            <w:shd w:val="clear" w:color="auto" w:fill="auto"/>
            <w:noWrap/>
            <w:vAlign w:val="center"/>
            <w:hideMark/>
          </w:tcPr>
          <w:p w14:paraId="0CABAB53" w14:textId="77777777" w:rsidR="00C77F0A" w:rsidRPr="009548D7" w:rsidRDefault="00C77F0A" w:rsidP="0015273C">
            <w:pPr>
              <w:spacing w:after="0" w:line="240" w:lineRule="auto"/>
              <w:ind w:firstLineChars="100" w:firstLine="16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w:t>
            </w:r>
          </w:p>
        </w:tc>
        <w:tc>
          <w:tcPr>
            <w:tcW w:w="775" w:type="dxa"/>
            <w:tcBorders>
              <w:top w:val="nil"/>
              <w:bottom w:val="nil"/>
              <w:right w:val="single" w:sz="8" w:space="0" w:color="auto"/>
            </w:tcBorders>
            <w:shd w:val="clear" w:color="auto" w:fill="auto"/>
            <w:noWrap/>
            <w:vAlign w:val="center"/>
          </w:tcPr>
          <w:p w14:paraId="30D837B1" w14:textId="77777777" w:rsidR="00C77F0A" w:rsidRPr="009548D7" w:rsidRDefault="00C77F0A" w:rsidP="0015273C">
            <w:pPr>
              <w:spacing w:after="0" w:line="240" w:lineRule="auto"/>
              <w:ind w:firstLineChars="100" w:firstLine="160"/>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71DD3F0A" w14:textId="77777777" w:rsidR="00C77F0A" w:rsidRPr="009548D7" w:rsidRDefault="00C77F0A" w:rsidP="0015273C">
            <w:pPr>
              <w:spacing w:after="0" w:line="240" w:lineRule="auto"/>
              <w:jc w:val="center"/>
              <w:rPr>
                <w:rFonts w:ascii="Arial Narrow" w:eastAsia="Times New Roman" w:hAnsi="Arial Narrow" w:cs="Arial"/>
                <w:color w:val="0070C0"/>
                <w:sz w:val="16"/>
                <w:szCs w:val="16"/>
                <w:lang w:eastAsia="pt-BR"/>
              </w:rPr>
            </w:pPr>
            <w:r w:rsidRPr="009548D7">
              <w:rPr>
                <w:rFonts w:ascii="Arial Narrow" w:eastAsia="Times New Roman" w:hAnsi="Arial Narrow" w:cs="Arial"/>
                <w:color w:val="0070C0"/>
                <w:sz w:val="16"/>
                <w:szCs w:val="16"/>
                <w:lang w:eastAsia="pt-BR"/>
              </w:rPr>
              <w:t> </w:t>
            </w:r>
          </w:p>
        </w:tc>
        <w:tc>
          <w:tcPr>
            <w:tcW w:w="1420" w:type="dxa"/>
            <w:tcBorders>
              <w:top w:val="nil"/>
              <w:left w:val="nil"/>
              <w:bottom w:val="nil"/>
              <w:right w:val="single" w:sz="8" w:space="0" w:color="auto"/>
            </w:tcBorders>
            <w:shd w:val="clear" w:color="auto" w:fill="auto"/>
            <w:noWrap/>
            <w:vAlign w:val="center"/>
            <w:hideMark/>
          </w:tcPr>
          <w:p w14:paraId="4FC8563F" w14:textId="77777777" w:rsidR="00C77F0A" w:rsidRPr="009548D7" w:rsidRDefault="00C77F0A" w:rsidP="0015273C">
            <w:pPr>
              <w:spacing w:after="0" w:line="240" w:lineRule="auto"/>
              <w:jc w:val="center"/>
              <w:rPr>
                <w:rFonts w:ascii="Arial Narrow" w:eastAsia="Times New Roman" w:hAnsi="Arial Narrow" w:cs="Arial"/>
                <w:color w:val="0070C0"/>
                <w:sz w:val="16"/>
                <w:szCs w:val="16"/>
                <w:lang w:eastAsia="pt-BR"/>
              </w:rPr>
            </w:pPr>
            <w:r w:rsidRPr="009548D7">
              <w:rPr>
                <w:rFonts w:ascii="Arial Narrow" w:eastAsia="Times New Roman" w:hAnsi="Arial Narrow" w:cs="Arial"/>
                <w:color w:val="0070C0"/>
                <w:sz w:val="16"/>
                <w:szCs w:val="16"/>
                <w:lang w:eastAsia="pt-BR"/>
              </w:rPr>
              <w:t> </w:t>
            </w:r>
          </w:p>
        </w:tc>
      </w:tr>
      <w:tr w:rsidR="00C77F0A" w:rsidRPr="009548D7" w14:paraId="59F31A35" w14:textId="77777777" w:rsidTr="0015273C">
        <w:trPr>
          <w:trHeight w:val="255"/>
        </w:trPr>
        <w:tc>
          <w:tcPr>
            <w:tcW w:w="4410" w:type="dxa"/>
            <w:tcBorders>
              <w:top w:val="nil"/>
              <w:left w:val="single" w:sz="8" w:space="0" w:color="auto"/>
              <w:bottom w:val="nil"/>
            </w:tcBorders>
            <w:shd w:val="clear" w:color="auto" w:fill="auto"/>
            <w:noWrap/>
            <w:vAlign w:val="center"/>
            <w:hideMark/>
          </w:tcPr>
          <w:p w14:paraId="78998722" w14:textId="77777777" w:rsidR="00C77F0A" w:rsidRPr="009548D7" w:rsidRDefault="00C77F0A" w:rsidP="0015273C">
            <w:pPr>
              <w:spacing w:after="0" w:line="240" w:lineRule="auto"/>
              <w:ind w:firstLineChars="300" w:firstLine="48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Amortização Acumulada de Direitos de uso de Imóveis</w:t>
            </w:r>
          </w:p>
        </w:tc>
        <w:tc>
          <w:tcPr>
            <w:tcW w:w="767" w:type="dxa"/>
            <w:tcBorders>
              <w:top w:val="nil"/>
              <w:bottom w:val="nil"/>
              <w:right w:val="single" w:sz="8" w:space="0" w:color="auto"/>
            </w:tcBorders>
            <w:shd w:val="clear" w:color="auto" w:fill="auto"/>
            <w:noWrap/>
            <w:vAlign w:val="center"/>
          </w:tcPr>
          <w:p w14:paraId="34E2219B"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623013B2"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BPA.D068</w:t>
            </w:r>
          </w:p>
        </w:tc>
        <w:tc>
          <w:tcPr>
            <w:tcW w:w="1262" w:type="dxa"/>
            <w:tcBorders>
              <w:top w:val="nil"/>
              <w:left w:val="nil"/>
              <w:bottom w:val="nil"/>
              <w:right w:val="single" w:sz="8" w:space="0" w:color="auto"/>
            </w:tcBorders>
            <w:shd w:val="clear" w:color="auto" w:fill="auto"/>
            <w:noWrap/>
            <w:vAlign w:val="center"/>
            <w:hideMark/>
          </w:tcPr>
          <w:p w14:paraId="69706C14" w14:textId="77777777" w:rsidR="00C77F0A" w:rsidRPr="009548D7" w:rsidRDefault="00C77F0A" w:rsidP="0015273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BPA.E068</w:t>
            </w:r>
          </w:p>
        </w:tc>
        <w:tc>
          <w:tcPr>
            <w:tcW w:w="4562" w:type="dxa"/>
            <w:tcBorders>
              <w:top w:val="nil"/>
              <w:left w:val="nil"/>
              <w:bottom w:val="nil"/>
            </w:tcBorders>
            <w:shd w:val="clear" w:color="auto" w:fill="auto"/>
            <w:noWrap/>
            <w:vAlign w:val="center"/>
            <w:hideMark/>
          </w:tcPr>
          <w:p w14:paraId="18EF21FF" w14:textId="77777777" w:rsidR="00C77F0A" w:rsidRPr="009548D7" w:rsidRDefault="00C77F0A" w:rsidP="0015273C">
            <w:pPr>
              <w:spacing w:after="0" w:line="240" w:lineRule="auto"/>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 </w:t>
            </w:r>
          </w:p>
        </w:tc>
        <w:tc>
          <w:tcPr>
            <w:tcW w:w="775" w:type="dxa"/>
            <w:tcBorders>
              <w:top w:val="nil"/>
              <w:bottom w:val="nil"/>
              <w:right w:val="single" w:sz="8" w:space="0" w:color="auto"/>
            </w:tcBorders>
            <w:shd w:val="clear" w:color="auto" w:fill="auto"/>
            <w:noWrap/>
            <w:vAlign w:val="center"/>
          </w:tcPr>
          <w:p w14:paraId="28F7E83D" w14:textId="77777777" w:rsidR="00C77F0A" w:rsidRPr="009548D7" w:rsidRDefault="00C77F0A" w:rsidP="0015273C">
            <w:pPr>
              <w:spacing w:after="0" w:line="240" w:lineRule="auto"/>
              <w:rPr>
                <w:rFonts w:ascii="Arial Narrow" w:eastAsia="Times New Roman" w:hAnsi="Arial Narrow" w:cs="Arial"/>
                <w:b/>
                <w:bCs/>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49953344" w14:textId="77777777" w:rsidR="00C77F0A" w:rsidRPr="009548D7" w:rsidRDefault="00C77F0A" w:rsidP="0015273C">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 </w:t>
            </w:r>
          </w:p>
        </w:tc>
        <w:tc>
          <w:tcPr>
            <w:tcW w:w="1420" w:type="dxa"/>
            <w:tcBorders>
              <w:top w:val="nil"/>
              <w:left w:val="nil"/>
              <w:bottom w:val="nil"/>
              <w:right w:val="single" w:sz="8" w:space="0" w:color="auto"/>
            </w:tcBorders>
            <w:shd w:val="clear" w:color="auto" w:fill="auto"/>
            <w:noWrap/>
            <w:vAlign w:val="center"/>
            <w:hideMark/>
          </w:tcPr>
          <w:p w14:paraId="7BDCA000" w14:textId="77777777" w:rsidR="00C77F0A" w:rsidRPr="009548D7" w:rsidRDefault="00C77F0A" w:rsidP="0015273C">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 </w:t>
            </w:r>
          </w:p>
        </w:tc>
      </w:tr>
      <w:tr w:rsidR="00C77F0A" w:rsidRPr="009548D7" w14:paraId="75DFCDB3" w14:textId="77777777" w:rsidTr="0015273C">
        <w:trPr>
          <w:trHeight w:val="255"/>
        </w:trPr>
        <w:tc>
          <w:tcPr>
            <w:tcW w:w="4410" w:type="dxa"/>
            <w:tcBorders>
              <w:top w:val="nil"/>
              <w:left w:val="single" w:sz="8" w:space="0" w:color="auto"/>
              <w:bottom w:val="nil"/>
            </w:tcBorders>
            <w:shd w:val="clear" w:color="auto" w:fill="auto"/>
            <w:noWrap/>
            <w:vAlign w:val="center"/>
            <w:hideMark/>
          </w:tcPr>
          <w:p w14:paraId="5E4146FB" w14:textId="77777777" w:rsidR="00C77F0A" w:rsidRPr="009548D7" w:rsidRDefault="00C77F0A" w:rsidP="0015273C">
            <w:pPr>
              <w:spacing w:after="0" w:line="240" w:lineRule="auto"/>
              <w:ind w:firstLineChars="100" w:firstLine="160"/>
              <w:rPr>
                <w:rFonts w:ascii="Arial Narrow" w:eastAsia="Times New Roman" w:hAnsi="Arial Narrow" w:cs="Arial"/>
                <w:b/>
                <w:bCs/>
                <w:sz w:val="16"/>
                <w:szCs w:val="16"/>
                <w:lang w:eastAsia="pt-BR"/>
              </w:rPr>
            </w:pPr>
            <w:r w:rsidRPr="009548D7">
              <w:rPr>
                <w:rFonts w:ascii="Arial Narrow" w:eastAsia="Times New Roman" w:hAnsi="Arial Narrow" w:cs="Arial"/>
                <w:sz w:val="16"/>
                <w:szCs w:val="16"/>
                <w:lang w:eastAsia="pt-BR"/>
              </w:rPr>
              <w:t>(-) Redução ao Valor Recuperável de Direitos de Uso de Imóveis</w:t>
            </w:r>
          </w:p>
        </w:tc>
        <w:tc>
          <w:tcPr>
            <w:tcW w:w="767" w:type="dxa"/>
            <w:tcBorders>
              <w:top w:val="nil"/>
              <w:bottom w:val="nil"/>
              <w:right w:val="single" w:sz="8" w:space="0" w:color="auto"/>
            </w:tcBorders>
            <w:shd w:val="clear" w:color="auto" w:fill="auto"/>
            <w:noWrap/>
            <w:vAlign w:val="center"/>
          </w:tcPr>
          <w:p w14:paraId="094D0253" w14:textId="77777777" w:rsidR="00C77F0A" w:rsidRPr="009548D7" w:rsidRDefault="00C77F0A" w:rsidP="0015273C">
            <w:pPr>
              <w:spacing w:after="0" w:line="240" w:lineRule="auto"/>
              <w:jc w:val="center"/>
              <w:rPr>
                <w:rFonts w:ascii="Arial Narrow" w:eastAsia="Times New Roman" w:hAnsi="Arial Narrow" w:cs="Arial"/>
                <w:b/>
                <w:bCs/>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6A5ED648" w14:textId="77777777" w:rsidR="00C77F0A" w:rsidRPr="009548D7" w:rsidRDefault="00C77F0A" w:rsidP="0015273C">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sz w:val="16"/>
                <w:szCs w:val="16"/>
                <w:lang w:eastAsia="pt-BR"/>
              </w:rPr>
              <w:t>BPA.D069</w:t>
            </w:r>
          </w:p>
        </w:tc>
        <w:tc>
          <w:tcPr>
            <w:tcW w:w="1262" w:type="dxa"/>
            <w:tcBorders>
              <w:top w:val="nil"/>
              <w:left w:val="nil"/>
              <w:bottom w:val="nil"/>
              <w:right w:val="single" w:sz="8" w:space="0" w:color="auto"/>
            </w:tcBorders>
            <w:shd w:val="clear" w:color="auto" w:fill="auto"/>
            <w:noWrap/>
            <w:vAlign w:val="center"/>
            <w:hideMark/>
          </w:tcPr>
          <w:p w14:paraId="534F87D5" w14:textId="77777777" w:rsidR="00C77F0A" w:rsidRPr="009548D7" w:rsidRDefault="00C77F0A" w:rsidP="0015273C">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sz w:val="16"/>
                <w:szCs w:val="16"/>
                <w:lang w:eastAsia="pt-BR"/>
              </w:rPr>
              <w:t>BPA.E069</w:t>
            </w:r>
          </w:p>
        </w:tc>
        <w:tc>
          <w:tcPr>
            <w:tcW w:w="4562" w:type="dxa"/>
            <w:tcBorders>
              <w:top w:val="nil"/>
              <w:left w:val="nil"/>
            </w:tcBorders>
            <w:shd w:val="clear" w:color="auto" w:fill="auto"/>
            <w:noWrap/>
            <w:vAlign w:val="center"/>
          </w:tcPr>
          <w:p w14:paraId="2D1AE400" w14:textId="77777777" w:rsidR="00C77F0A" w:rsidRPr="009548D7" w:rsidRDefault="00C77F0A" w:rsidP="0015273C">
            <w:pPr>
              <w:spacing w:after="0" w:line="240" w:lineRule="auto"/>
              <w:rPr>
                <w:rFonts w:ascii="Arial Narrow" w:eastAsia="Times New Roman" w:hAnsi="Arial Narrow" w:cs="Arial"/>
                <w:b/>
                <w:bCs/>
                <w:sz w:val="16"/>
                <w:szCs w:val="16"/>
                <w:lang w:eastAsia="pt-BR"/>
              </w:rPr>
            </w:pPr>
          </w:p>
        </w:tc>
        <w:tc>
          <w:tcPr>
            <w:tcW w:w="775" w:type="dxa"/>
            <w:tcBorders>
              <w:top w:val="nil"/>
              <w:right w:val="single" w:sz="8" w:space="0" w:color="auto"/>
            </w:tcBorders>
            <w:shd w:val="clear" w:color="auto" w:fill="auto"/>
            <w:noWrap/>
            <w:vAlign w:val="center"/>
          </w:tcPr>
          <w:p w14:paraId="7BA9A3DF" w14:textId="77777777" w:rsidR="00C77F0A" w:rsidRPr="009548D7" w:rsidRDefault="00C77F0A" w:rsidP="0015273C">
            <w:pPr>
              <w:spacing w:after="0" w:line="240" w:lineRule="auto"/>
              <w:jc w:val="center"/>
              <w:rPr>
                <w:rFonts w:ascii="Arial Narrow" w:eastAsia="Times New Roman" w:hAnsi="Arial Narrow" w:cs="Arial"/>
                <w:b/>
                <w:bCs/>
                <w:sz w:val="16"/>
                <w:szCs w:val="16"/>
                <w:lang w:eastAsia="pt-BR"/>
              </w:rPr>
            </w:pPr>
          </w:p>
        </w:tc>
        <w:tc>
          <w:tcPr>
            <w:tcW w:w="1063" w:type="dxa"/>
            <w:tcBorders>
              <w:top w:val="nil"/>
              <w:left w:val="nil"/>
              <w:right w:val="single" w:sz="8" w:space="0" w:color="auto"/>
            </w:tcBorders>
            <w:shd w:val="clear" w:color="auto" w:fill="auto"/>
            <w:noWrap/>
            <w:vAlign w:val="center"/>
          </w:tcPr>
          <w:p w14:paraId="360093FB" w14:textId="77777777" w:rsidR="00C77F0A" w:rsidRPr="009548D7" w:rsidRDefault="00C77F0A" w:rsidP="0015273C">
            <w:pPr>
              <w:spacing w:after="0" w:line="240" w:lineRule="auto"/>
              <w:jc w:val="center"/>
              <w:rPr>
                <w:rFonts w:ascii="Arial Narrow" w:eastAsia="Times New Roman" w:hAnsi="Arial Narrow" w:cs="Arial"/>
                <w:b/>
                <w:bCs/>
                <w:sz w:val="16"/>
                <w:szCs w:val="16"/>
                <w:lang w:eastAsia="pt-BR"/>
              </w:rPr>
            </w:pPr>
          </w:p>
        </w:tc>
        <w:tc>
          <w:tcPr>
            <w:tcW w:w="1420" w:type="dxa"/>
            <w:tcBorders>
              <w:top w:val="nil"/>
              <w:left w:val="nil"/>
              <w:right w:val="single" w:sz="8" w:space="0" w:color="auto"/>
            </w:tcBorders>
            <w:shd w:val="clear" w:color="auto" w:fill="auto"/>
            <w:noWrap/>
            <w:vAlign w:val="center"/>
          </w:tcPr>
          <w:p w14:paraId="4F39C24C" w14:textId="77777777" w:rsidR="00C77F0A" w:rsidRPr="009548D7" w:rsidRDefault="00C77F0A" w:rsidP="0015273C">
            <w:pPr>
              <w:spacing w:after="0" w:line="240" w:lineRule="auto"/>
              <w:jc w:val="center"/>
              <w:rPr>
                <w:rFonts w:ascii="Arial Narrow" w:eastAsia="Times New Roman" w:hAnsi="Arial Narrow" w:cs="Arial"/>
                <w:b/>
                <w:bCs/>
                <w:sz w:val="16"/>
                <w:szCs w:val="16"/>
                <w:lang w:eastAsia="pt-BR"/>
              </w:rPr>
            </w:pPr>
          </w:p>
        </w:tc>
      </w:tr>
      <w:tr w:rsidR="00C77F0A" w:rsidRPr="009548D7" w14:paraId="098815F4" w14:textId="77777777" w:rsidTr="0015273C">
        <w:trPr>
          <w:trHeight w:val="255"/>
        </w:trPr>
        <w:tc>
          <w:tcPr>
            <w:tcW w:w="4410" w:type="dxa"/>
            <w:tcBorders>
              <w:top w:val="nil"/>
              <w:left w:val="single" w:sz="8" w:space="0" w:color="auto"/>
              <w:bottom w:val="nil"/>
            </w:tcBorders>
            <w:shd w:val="clear" w:color="auto" w:fill="auto"/>
            <w:noWrap/>
            <w:vAlign w:val="center"/>
          </w:tcPr>
          <w:p w14:paraId="25E3420B" w14:textId="77777777" w:rsidR="00C77F0A" w:rsidRPr="00853884" w:rsidRDefault="00C77F0A" w:rsidP="0015273C">
            <w:pPr>
              <w:spacing w:after="0" w:line="240" w:lineRule="auto"/>
              <w:ind w:firstLineChars="100" w:firstLine="160"/>
              <w:rPr>
                <w:rFonts w:ascii="Arial Narrow" w:eastAsia="Times New Roman" w:hAnsi="Arial Narrow" w:cs="Arial"/>
                <w:sz w:val="16"/>
                <w:szCs w:val="16"/>
                <w:lang w:eastAsia="pt-BR"/>
              </w:rPr>
            </w:pPr>
            <w:r w:rsidRPr="00853884">
              <w:rPr>
                <w:rFonts w:ascii="Arial Narrow" w:eastAsia="Times New Roman" w:hAnsi="Arial Narrow" w:cs="Arial"/>
                <w:bCs/>
                <w:sz w:val="16"/>
                <w:szCs w:val="16"/>
                <w:lang w:eastAsia="pt-BR"/>
              </w:rPr>
              <w:t xml:space="preserve">   (-) Outras Amortizações Acumuladas</w:t>
            </w:r>
          </w:p>
        </w:tc>
        <w:tc>
          <w:tcPr>
            <w:tcW w:w="767" w:type="dxa"/>
            <w:tcBorders>
              <w:top w:val="nil"/>
              <w:bottom w:val="nil"/>
              <w:right w:val="single" w:sz="8" w:space="0" w:color="auto"/>
            </w:tcBorders>
            <w:shd w:val="clear" w:color="auto" w:fill="auto"/>
            <w:noWrap/>
            <w:vAlign w:val="center"/>
          </w:tcPr>
          <w:p w14:paraId="1A6956C5" w14:textId="77777777" w:rsidR="00C77F0A" w:rsidRPr="00853884" w:rsidRDefault="00C77F0A" w:rsidP="0015273C">
            <w:pPr>
              <w:spacing w:after="0" w:line="240" w:lineRule="auto"/>
              <w:jc w:val="center"/>
              <w:rPr>
                <w:rFonts w:ascii="Arial Narrow" w:eastAsia="Times New Roman" w:hAnsi="Arial Narrow" w:cs="Arial"/>
                <w:b/>
                <w:bCs/>
                <w:sz w:val="16"/>
                <w:szCs w:val="16"/>
                <w:lang w:eastAsia="pt-BR"/>
              </w:rPr>
            </w:pPr>
          </w:p>
        </w:tc>
        <w:tc>
          <w:tcPr>
            <w:tcW w:w="1063" w:type="dxa"/>
            <w:tcBorders>
              <w:top w:val="nil"/>
              <w:left w:val="nil"/>
              <w:bottom w:val="nil"/>
              <w:right w:val="single" w:sz="8" w:space="0" w:color="auto"/>
            </w:tcBorders>
            <w:shd w:val="clear" w:color="auto" w:fill="auto"/>
            <w:noWrap/>
            <w:vAlign w:val="center"/>
          </w:tcPr>
          <w:p w14:paraId="563294F0" w14:textId="77777777" w:rsidR="00C77F0A" w:rsidRPr="00853884" w:rsidRDefault="00C77F0A" w:rsidP="0015273C">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bCs/>
                <w:sz w:val="16"/>
                <w:szCs w:val="16"/>
                <w:lang w:eastAsia="pt-BR"/>
              </w:rPr>
              <w:t>BPA.D092</w:t>
            </w:r>
          </w:p>
        </w:tc>
        <w:tc>
          <w:tcPr>
            <w:tcW w:w="1262" w:type="dxa"/>
            <w:tcBorders>
              <w:top w:val="nil"/>
              <w:left w:val="nil"/>
              <w:bottom w:val="nil"/>
              <w:right w:val="single" w:sz="8" w:space="0" w:color="auto"/>
            </w:tcBorders>
            <w:shd w:val="clear" w:color="auto" w:fill="auto"/>
            <w:noWrap/>
            <w:vAlign w:val="center"/>
          </w:tcPr>
          <w:p w14:paraId="6D889F11" w14:textId="77777777" w:rsidR="00C77F0A" w:rsidRPr="00853884" w:rsidRDefault="00C77F0A" w:rsidP="0015273C">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bCs/>
                <w:sz w:val="16"/>
                <w:szCs w:val="16"/>
                <w:lang w:eastAsia="pt-BR"/>
              </w:rPr>
              <w:t>BPA.E092</w:t>
            </w:r>
          </w:p>
        </w:tc>
        <w:tc>
          <w:tcPr>
            <w:tcW w:w="4562" w:type="dxa"/>
            <w:tcBorders>
              <w:top w:val="nil"/>
              <w:left w:val="nil"/>
            </w:tcBorders>
            <w:shd w:val="clear" w:color="auto" w:fill="auto"/>
            <w:noWrap/>
            <w:vAlign w:val="center"/>
          </w:tcPr>
          <w:p w14:paraId="2D4B2DE3" w14:textId="77777777" w:rsidR="00C77F0A" w:rsidRPr="009548D7" w:rsidRDefault="00C77F0A" w:rsidP="0015273C">
            <w:pPr>
              <w:spacing w:after="0" w:line="240" w:lineRule="auto"/>
              <w:rPr>
                <w:rFonts w:ascii="Arial Narrow" w:eastAsia="Times New Roman" w:hAnsi="Arial Narrow" w:cs="Arial"/>
                <w:b/>
                <w:bCs/>
                <w:sz w:val="16"/>
                <w:szCs w:val="16"/>
                <w:lang w:eastAsia="pt-BR"/>
              </w:rPr>
            </w:pPr>
          </w:p>
        </w:tc>
        <w:tc>
          <w:tcPr>
            <w:tcW w:w="775" w:type="dxa"/>
            <w:tcBorders>
              <w:top w:val="nil"/>
              <w:right w:val="single" w:sz="8" w:space="0" w:color="auto"/>
            </w:tcBorders>
            <w:shd w:val="clear" w:color="auto" w:fill="auto"/>
            <w:noWrap/>
            <w:vAlign w:val="center"/>
          </w:tcPr>
          <w:p w14:paraId="382C27B8" w14:textId="77777777" w:rsidR="00C77F0A" w:rsidRPr="009548D7" w:rsidRDefault="00C77F0A" w:rsidP="0015273C">
            <w:pPr>
              <w:spacing w:after="0" w:line="240" w:lineRule="auto"/>
              <w:jc w:val="center"/>
              <w:rPr>
                <w:rFonts w:ascii="Arial Narrow" w:eastAsia="Times New Roman" w:hAnsi="Arial Narrow" w:cs="Arial"/>
                <w:b/>
                <w:bCs/>
                <w:sz w:val="16"/>
                <w:szCs w:val="16"/>
                <w:lang w:eastAsia="pt-BR"/>
              </w:rPr>
            </w:pPr>
          </w:p>
        </w:tc>
        <w:tc>
          <w:tcPr>
            <w:tcW w:w="1063" w:type="dxa"/>
            <w:tcBorders>
              <w:top w:val="nil"/>
              <w:left w:val="nil"/>
              <w:right w:val="single" w:sz="8" w:space="0" w:color="auto"/>
            </w:tcBorders>
            <w:shd w:val="clear" w:color="auto" w:fill="auto"/>
            <w:noWrap/>
            <w:vAlign w:val="center"/>
          </w:tcPr>
          <w:p w14:paraId="10FC97E9" w14:textId="77777777" w:rsidR="00C77F0A" w:rsidRPr="009548D7" w:rsidRDefault="00C77F0A" w:rsidP="0015273C">
            <w:pPr>
              <w:spacing w:after="0" w:line="240" w:lineRule="auto"/>
              <w:jc w:val="center"/>
              <w:rPr>
                <w:rFonts w:ascii="Arial Narrow" w:eastAsia="Times New Roman" w:hAnsi="Arial Narrow" w:cs="Arial"/>
                <w:b/>
                <w:bCs/>
                <w:sz w:val="16"/>
                <w:szCs w:val="16"/>
                <w:lang w:eastAsia="pt-BR"/>
              </w:rPr>
            </w:pPr>
          </w:p>
        </w:tc>
        <w:tc>
          <w:tcPr>
            <w:tcW w:w="1420" w:type="dxa"/>
            <w:tcBorders>
              <w:top w:val="nil"/>
              <w:left w:val="nil"/>
              <w:right w:val="single" w:sz="8" w:space="0" w:color="auto"/>
            </w:tcBorders>
            <w:shd w:val="clear" w:color="auto" w:fill="auto"/>
            <w:noWrap/>
            <w:vAlign w:val="center"/>
          </w:tcPr>
          <w:p w14:paraId="455C85DC" w14:textId="77777777" w:rsidR="00C77F0A" w:rsidRPr="009548D7" w:rsidRDefault="00C77F0A" w:rsidP="0015273C">
            <w:pPr>
              <w:spacing w:after="0" w:line="240" w:lineRule="auto"/>
              <w:jc w:val="center"/>
              <w:rPr>
                <w:rFonts w:ascii="Arial Narrow" w:eastAsia="Times New Roman" w:hAnsi="Arial Narrow" w:cs="Arial"/>
                <w:b/>
                <w:bCs/>
                <w:sz w:val="16"/>
                <w:szCs w:val="16"/>
                <w:lang w:eastAsia="pt-BR"/>
              </w:rPr>
            </w:pPr>
          </w:p>
        </w:tc>
      </w:tr>
      <w:tr w:rsidR="00C77F0A" w:rsidRPr="009548D7" w14:paraId="0E9A3440" w14:textId="77777777" w:rsidTr="0015273C">
        <w:trPr>
          <w:trHeight w:val="255"/>
        </w:trPr>
        <w:tc>
          <w:tcPr>
            <w:tcW w:w="4410" w:type="dxa"/>
            <w:tcBorders>
              <w:top w:val="nil"/>
              <w:left w:val="single" w:sz="8" w:space="0" w:color="auto"/>
              <w:bottom w:val="nil"/>
            </w:tcBorders>
            <w:shd w:val="clear" w:color="auto" w:fill="auto"/>
            <w:noWrap/>
            <w:vAlign w:val="center"/>
          </w:tcPr>
          <w:p w14:paraId="44BEDAA0" w14:textId="77777777" w:rsidR="00C77F0A" w:rsidRPr="00853884" w:rsidRDefault="00C77F0A" w:rsidP="0015273C">
            <w:pPr>
              <w:spacing w:after="0" w:line="240" w:lineRule="auto"/>
              <w:ind w:firstLineChars="100" w:firstLine="160"/>
              <w:rPr>
                <w:rFonts w:ascii="Arial Narrow" w:eastAsia="Times New Roman" w:hAnsi="Arial Narrow" w:cs="Arial"/>
                <w:sz w:val="16"/>
                <w:szCs w:val="16"/>
                <w:lang w:eastAsia="pt-BR"/>
              </w:rPr>
            </w:pPr>
            <w:r w:rsidRPr="00853884">
              <w:rPr>
                <w:rFonts w:ascii="Arial Narrow" w:eastAsia="Times New Roman" w:hAnsi="Arial Narrow" w:cs="Arial"/>
                <w:bCs/>
                <w:sz w:val="16"/>
                <w:szCs w:val="16"/>
                <w:lang w:eastAsia="pt-BR"/>
              </w:rPr>
              <w:t xml:space="preserve">   (-) Otras Reduções ao Valor Recuperável de Intangível</w:t>
            </w:r>
          </w:p>
        </w:tc>
        <w:tc>
          <w:tcPr>
            <w:tcW w:w="767" w:type="dxa"/>
            <w:tcBorders>
              <w:top w:val="nil"/>
              <w:bottom w:val="nil"/>
              <w:right w:val="single" w:sz="8" w:space="0" w:color="auto"/>
            </w:tcBorders>
            <w:shd w:val="clear" w:color="auto" w:fill="auto"/>
            <w:noWrap/>
            <w:vAlign w:val="center"/>
          </w:tcPr>
          <w:p w14:paraId="68D613AC" w14:textId="77777777" w:rsidR="00C77F0A" w:rsidRPr="00853884" w:rsidRDefault="00C77F0A" w:rsidP="0015273C">
            <w:pPr>
              <w:spacing w:after="0" w:line="240" w:lineRule="auto"/>
              <w:jc w:val="center"/>
              <w:rPr>
                <w:rFonts w:ascii="Arial Narrow" w:eastAsia="Times New Roman" w:hAnsi="Arial Narrow" w:cs="Arial"/>
                <w:b/>
                <w:bCs/>
                <w:sz w:val="16"/>
                <w:szCs w:val="16"/>
                <w:lang w:eastAsia="pt-BR"/>
              </w:rPr>
            </w:pPr>
          </w:p>
        </w:tc>
        <w:tc>
          <w:tcPr>
            <w:tcW w:w="1063" w:type="dxa"/>
            <w:tcBorders>
              <w:top w:val="nil"/>
              <w:left w:val="nil"/>
              <w:bottom w:val="nil"/>
              <w:right w:val="single" w:sz="8" w:space="0" w:color="auto"/>
            </w:tcBorders>
            <w:shd w:val="clear" w:color="auto" w:fill="auto"/>
            <w:noWrap/>
            <w:vAlign w:val="center"/>
          </w:tcPr>
          <w:p w14:paraId="77BDAEBC" w14:textId="77777777" w:rsidR="00C77F0A" w:rsidRPr="00853884" w:rsidRDefault="00C77F0A" w:rsidP="0015273C">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bCs/>
                <w:sz w:val="16"/>
                <w:szCs w:val="16"/>
                <w:lang w:eastAsia="pt-BR"/>
              </w:rPr>
              <w:t>BPA.D093</w:t>
            </w:r>
          </w:p>
        </w:tc>
        <w:tc>
          <w:tcPr>
            <w:tcW w:w="1262" w:type="dxa"/>
            <w:tcBorders>
              <w:top w:val="nil"/>
              <w:left w:val="nil"/>
              <w:bottom w:val="nil"/>
              <w:right w:val="single" w:sz="8" w:space="0" w:color="auto"/>
            </w:tcBorders>
            <w:shd w:val="clear" w:color="auto" w:fill="auto"/>
            <w:noWrap/>
            <w:vAlign w:val="center"/>
          </w:tcPr>
          <w:p w14:paraId="42E548CD" w14:textId="77777777" w:rsidR="00C77F0A" w:rsidRPr="00853884" w:rsidRDefault="00C77F0A" w:rsidP="0015273C">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bCs/>
                <w:sz w:val="16"/>
                <w:szCs w:val="16"/>
                <w:lang w:eastAsia="pt-BR"/>
              </w:rPr>
              <w:t>BPA.E093</w:t>
            </w:r>
          </w:p>
        </w:tc>
        <w:tc>
          <w:tcPr>
            <w:tcW w:w="4562" w:type="dxa"/>
            <w:tcBorders>
              <w:top w:val="nil"/>
              <w:left w:val="nil"/>
            </w:tcBorders>
            <w:shd w:val="clear" w:color="auto" w:fill="auto"/>
            <w:noWrap/>
            <w:vAlign w:val="center"/>
          </w:tcPr>
          <w:p w14:paraId="7126A687" w14:textId="77777777" w:rsidR="00C77F0A" w:rsidRPr="009548D7" w:rsidRDefault="00C77F0A" w:rsidP="0015273C">
            <w:pPr>
              <w:spacing w:after="0" w:line="240" w:lineRule="auto"/>
              <w:rPr>
                <w:rFonts w:ascii="Arial Narrow" w:eastAsia="Times New Roman" w:hAnsi="Arial Narrow" w:cs="Arial"/>
                <w:b/>
                <w:bCs/>
                <w:sz w:val="16"/>
                <w:szCs w:val="16"/>
                <w:lang w:eastAsia="pt-BR"/>
              </w:rPr>
            </w:pPr>
          </w:p>
        </w:tc>
        <w:tc>
          <w:tcPr>
            <w:tcW w:w="775" w:type="dxa"/>
            <w:tcBorders>
              <w:top w:val="nil"/>
              <w:right w:val="single" w:sz="8" w:space="0" w:color="auto"/>
            </w:tcBorders>
            <w:shd w:val="clear" w:color="auto" w:fill="auto"/>
            <w:noWrap/>
            <w:vAlign w:val="center"/>
          </w:tcPr>
          <w:p w14:paraId="72CF82E0" w14:textId="77777777" w:rsidR="00C77F0A" w:rsidRPr="009548D7" w:rsidRDefault="00C77F0A" w:rsidP="0015273C">
            <w:pPr>
              <w:spacing w:after="0" w:line="240" w:lineRule="auto"/>
              <w:jc w:val="center"/>
              <w:rPr>
                <w:rFonts w:ascii="Arial Narrow" w:eastAsia="Times New Roman" w:hAnsi="Arial Narrow" w:cs="Arial"/>
                <w:b/>
                <w:bCs/>
                <w:sz w:val="16"/>
                <w:szCs w:val="16"/>
                <w:lang w:eastAsia="pt-BR"/>
              </w:rPr>
            </w:pPr>
          </w:p>
        </w:tc>
        <w:tc>
          <w:tcPr>
            <w:tcW w:w="1063" w:type="dxa"/>
            <w:tcBorders>
              <w:top w:val="nil"/>
              <w:left w:val="nil"/>
              <w:right w:val="single" w:sz="8" w:space="0" w:color="auto"/>
            </w:tcBorders>
            <w:shd w:val="clear" w:color="auto" w:fill="auto"/>
            <w:noWrap/>
            <w:vAlign w:val="center"/>
          </w:tcPr>
          <w:p w14:paraId="1DDCB2B4" w14:textId="77777777" w:rsidR="00C77F0A" w:rsidRPr="009548D7" w:rsidRDefault="00C77F0A" w:rsidP="0015273C">
            <w:pPr>
              <w:spacing w:after="0" w:line="240" w:lineRule="auto"/>
              <w:jc w:val="center"/>
              <w:rPr>
                <w:rFonts w:ascii="Arial Narrow" w:eastAsia="Times New Roman" w:hAnsi="Arial Narrow" w:cs="Arial"/>
                <w:b/>
                <w:bCs/>
                <w:sz w:val="16"/>
                <w:szCs w:val="16"/>
                <w:lang w:eastAsia="pt-BR"/>
              </w:rPr>
            </w:pPr>
          </w:p>
        </w:tc>
        <w:tc>
          <w:tcPr>
            <w:tcW w:w="1420" w:type="dxa"/>
            <w:tcBorders>
              <w:top w:val="nil"/>
              <w:left w:val="nil"/>
              <w:right w:val="single" w:sz="8" w:space="0" w:color="auto"/>
            </w:tcBorders>
            <w:shd w:val="clear" w:color="auto" w:fill="auto"/>
            <w:noWrap/>
            <w:vAlign w:val="center"/>
          </w:tcPr>
          <w:p w14:paraId="36C06973" w14:textId="77777777" w:rsidR="00C77F0A" w:rsidRPr="009548D7" w:rsidRDefault="00C77F0A" w:rsidP="0015273C">
            <w:pPr>
              <w:spacing w:after="0" w:line="240" w:lineRule="auto"/>
              <w:jc w:val="center"/>
              <w:rPr>
                <w:rFonts w:ascii="Arial Narrow" w:eastAsia="Times New Roman" w:hAnsi="Arial Narrow" w:cs="Arial"/>
                <w:b/>
                <w:bCs/>
                <w:sz w:val="16"/>
                <w:szCs w:val="16"/>
                <w:lang w:eastAsia="pt-BR"/>
              </w:rPr>
            </w:pPr>
          </w:p>
        </w:tc>
      </w:tr>
      <w:tr w:rsidR="00C77F0A" w:rsidRPr="009548D7" w14:paraId="2389DF6B" w14:textId="77777777" w:rsidTr="0015273C">
        <w:trPr>
          <w:trHeight w:val="270"/>
        </w:trPr>
        <w:tc>
          <w:tcPr>
            <w:tcW w:w="4410" w:type="dxa"/>
            <w:tcBorders>
              <w:top w:val="nil"/>
              <w:left w:val="single" w:sz="8" w:space="0" w:color="auto"/>
              <w:bottom w:val="nil"/>
            </w:tcBorders>
            <w:shd w:val="clear" w:color="auto" w:fill="auto"/>
            <w:noWrap/>
            <w:vAlign w:val="center"/>
            <w:hideMark/>
          </w:tcPr>
          <w:p w14:paraId="4CD33C10" w14:textId="77777777" w:rsidR="00C77F0A" w:rsidRPr="00853884" w:rsidRDefault="00C77F0A" w:rsidP="0015273C">
            <w:pPr>
              <w:spacing w:after="0" w:line="240" w:lineRule="auto"/>
              <w:ind w:firstLine="136"/>
              <w:rPr>
                <w:rFonts w:ascii="Arial Narrow" w:eastAsia="Times New Roman" w:hAnsi="Arial Narrow" w:cs="Arial"/>
                <w:b/>
                <w:bCs/>
                <w:sz w:val="16"/>
                <w:szCs w:val="16"/>
                <w:lang w:eastAsia="pt-BR"/>
              </w:rPr>
            </w:pPr>
            <w:r w:rsidRPr="00853884">
              <w:rPr>
                <w:rFonts w:ascii="Arial Narrow" w:eastAsia="Times New Roman" w:hAnsi="Arial Narrow" w:cs="Arial"/>
                <w:b/>
                <w:bCs/>
                <w:sz w:val="16"/>
                <w:szCs w:val="16"/>
                <w:lang w:eastAsia="pt-BR"/>
              </w:rPr>
              <w:t>Diferido</w:t>
            </w:r>
          </w:p>
        </w:tc>
        <w:tc>
          <w:tcPr>
            <w:tcW w:w="767" w:type="dxa"/>
            <w:tcBorders>
              <w:top w:val="nil"/>
              <w:bottom w:val="nil"/>
              <w:right w:val="single" w:sz="8" w:space="0" w:color="auto"/>
            </w:tcBorders>
            <w:shd w:val="clear" w:color="auto" w:fill="auto"/>
            <w:noWrap/>
            <w:vAlign w:val="center"/>
          </w:tcPr>
          <w:p w14:paraId="5EB41038" w14:textId="77777777" w:rsidR="00C77F0A" w:rsidRPr="00853884" w:rsidRDefault="00C77F0A" w:rsidP="0015273C">
            <w:pPr>
              <w:spacing w:after="0" w:line="240" w:lineRule="auto"/>
              <w:jc w:val="center"/>
              <w:rPr>
                <w:rFonts w:ascii="Arial Narrow" w:eastAsia="Times New Roman" w:hAnsi="Arial Narrow" w:cs="Arial"/>
                <w:b/>
                <w:bCs/>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3CDF2F74" w14:textId="77777777" w:rsidR="00C77F0A" w:rsidRPr="00853884" w:rsidRDefault="00C77F0A" w:rsidP="0015273C">
            <w:pPr>
              <w:spacing w:after="0" w:line="240" w:lineRule="auto"/>
              <w:jc w:val="center"/>
              <w:rPr>
                <w:rFonts w:ascii="Arial Narrow" w:eastAsia="Times New Roman" w:hAnsi="Arial Narrow" w:cs="Arial"/>
                <w:b/>
                <w:bCs/>
                <w:sz w:val="16"/>
                <w:szCs w:val="16"/>
                <w:lang w:eastAsia="pt-BR"/>
              </w:rPr>
            </w:pPr>
            <w:r w:rsidRPr="00853884">
              <w:rPr>
                <w:rFonts w:ascii="Arial Narrow" w:eastAsia="Times New Roman" w:hAnsi="Arial Narrow" w:cs="Arial"/>
                <w:b/>
                <w:bCs/>
                <w:sz w:val="16"/>
                <w:szCs w:val="16"/>
                <w:lang w:eastAsia="pt-BR"/>
              </w:rPr>
              <w:t>BPA.D070</w:t>
            </w:r>
          </w:p>
        </w:tc>
        <w:tc>
          <w:tcPr>
            <w:tcW w:w="1262" w:type="dxa"/>
            <w:tcBorders>
              <w:top w:val="nil"/>
              <w:left w:val="nil"/>
              <w:bottom w:val="nil"/>
              <w:right w:val="single" w:sz="8" w:space="0" w:color="auto"/>
            </w:tcBorders>
            <w:shd w:val="clear" w:color="auto" w:fill="auto"/>
            <w:noWrap/>
            <w:vAlign w:val="center"/>
            <w:hideMark/>
          </w:tcPr>
          <w:p w14:paraId="592C3953" w14:textId="77777777" w:rsidR="00C77F0A" w:rsidRPr="00853884" w:rsidRDefault="00C77F0A" w:rsidP="0015273C">
            <w:pPr>
              <w:spacing w:after="0" w:line="240" w:lineRule="auto"/>
              <w:jc w:val="center"/>
              <w:rPr>
                <w:rFonts w:ascii="Arial Narrow" w:eastAsia="Times New Roman" w:hAnsi="Arial Narrow" w:cs="Arial"/>
                <w:b/>
                <w:bCs/>
                <w:sz w:val="16"/>
                <w:szCs w:val="16"/>
                <w:lang w:eastAsia="pt-BR"/>
              </w:rPr>
            </w:pPr>
            <w:r w:rsidRPr="00853884">
              <w:rPr>
                <w:rFonts w:ascii="Arial Narrow" w:eastAsia="Times New Roman" w:hAnsi="Arial Narrow" w:cs="Arial"/>
                <w:b/>
                <w:bCs/>
                <w:sz w:val="16"/>
                <w:szCs w:val="16"/>
                <w:lang w:eastAsia="pt-BR"/>
              </w:rPr>
              <w:t>BPA.E070</w:t>
            </w:r>
          </w:p>
        </w:tc>
        <w:tc>
          <w:tcPr>
            <w:tcW w:w="4562" w:type="dxa"/>
            <w:tcBorders>
              <w:left w:val="nil"/>
              <w:bottom w:val="single" w:sz="8" w:space="0" w:color="auto"/>
            </w:tcBorders>
            <w:shd w:val="clear" w:color="000000" w:fill="auto"/>
            <w:noWrap/>
            <w:vAlign w:val="center"/>
            <w:hideMark/>
          </w:tcPr>
          <w:p w14:paraId="10A00A3C" w14:textId="77777777" w:rsidR="00C77F0A" w:rsidRPr="009548D7" w:rsidRDefault="00C77F0A" w:rsidP="0015273C">
            <w:pPr>
              <w:spacing w:after="0" w:line="240" w:lineRule="auto"/>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TOTAL DO PATRIMÔNIO LÍQUIDO</w:t>
            </w:r>
          </w:p>
        </w:tc>
        <w:tc>
          <w:tcPr>
            <w:tcW w:w="775" w:type="dxa"/>
            <w:tcBorders>
              <w:bottom w:val="single" w:sz="8" w:space="0" w:color="auto"/>
              <w:right w:val="single" w:sz="8" w:space="0" w:color="auto"/>
            </w:tcBorders>
            <w:shd w:val="clear" w:color="000000" w:fill="auto"/>
            <w:noWrap/>
            <w:vAlign w:val="center"/>
          </w:tcPr>
          <w:p w14:paraId="66B5548B" w14:textId="77777777" w:rsidR="00C77F0A" w:rsidRPr="009548D7" w:rsidRDefault="00C77F0A" w:rsidP="0015273C">
            <w:pPr>
              <w:spacing w:after="0" w:line="240" w:lineRule="auto"/>
              <w:jc w:val="center"/>
              <w:rPr>
                <w:rFonts w:ascii="Arial Narrow" w:eastAsia="Times New Roman" w:hAnsi="Arial Narrow" w:cs="Arial"/>
                <w:b/>
                <w:bCs/>
                <w:sz w:val="16"/>
                <w:szCs w:val="16"/>
                <w:lang w:eastAsia="pt-BR"/>
              </w:rPr>
            </w:pPr>
          </w:p>
        </w:tc>
        <w:tc>
          <w:tcPr>
            <w:tcW w:w="1063" w:type="dxa"/>
            <w:tcBorders>
              <w:left w:val="nil"/>
              <w:bottom w:val="single" w:sz="8" w:space="0" w:color="auto"/>
              <w:right w:val="single" w:sz="8" w:space="0" w:color="auto"/>
            </w:tcBorders>
            <w:shd w:val="clear" w:color="000000" w:fill="auto"/>
            <w:noWrap/>
            <w:vAlign w:val="center"/>
            <w:hideMark/>
          </w:tcPr>
          <w:p w14:paraId="557953E7" w14:textId="77777777" w:rsidR="00C77F0A" w:rsidRPr="009548D7" w:rsidRDefault="00C77F0A" w:rsidP="0015273C">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BPA.H070</w:t>
            </w:r>
          </w:p>
        </w:tc>
        <w:tc>
          <w:tcPr>
            <w:tcW w:w="1420" w:type="dxa"/>
            <w:tcBorders>
              <w:left w:val="nil"/>
              <w:bottom w:val="single" w:sz="8" w:space="0" w:color="auto"/>
              <w:right w:val="single" w:sz="8" w:space="0" w:color="auto"/>
            </w:tcBorders>
            <w:shd w:val="clear" w:color="000000" w:fill="auto"/>
            <w:noWrap/>
            <w:vAlign w:val="center"/>
            <w:hideMark/>
          </w:tcPr>
          <w:p w14:paraId="2A94A4FA" w14:textId="77777777" w:rsidR="00C77F0A" w:rsidRPr="009548D7" w:rsidRDefault="00C77F0A" w:rsidP="0015273C">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BPA.I070</w:t>
            </w:r>
          </w:p>
        </w:tc>
      </w:tr>
      <w:tr w:rsidR="00C77F0A" w:rsidRPr="009548D7" w14:paraId="0835358A" w14:textId="77777777" w:rsidTr="0015273C">
        <w:trPr>
          <w:trHeight w:val="270"/>
        </w:trPr>
        <w:tc>
          <w:tcPr>
            <w:tcW w:w="4410" w:type="dxa"/>
            <w:tcBorders>
              <w:top w:val="single" w:sz="8" w:space="0" w:color="auto"/>
              <w:left w:val="single" w:sz="8" w:space="0" w:color="auto"/>
              <w:bottom w:val="single" w:sz="8" w:space="0" w:color="auto"/>
            </w:tcBorders>
            <w:shd w:val="clear" w:color="000000" w:fill="auto"/>
            <w:noWrap/>
            <w:vAlign w:val="center"/>
          </w:tcPr>
          <w:p w14:paraId="7B4CC21E" w14:textId="77777777" w:rsidR="00C77F0A" w:rsidRPr="009548D7" w:rsidRDefault="00C77F0A" w:rsidP="0015273C">
            <w:pPr>
              <w:spacing w:after="0" w:line="240" w:lineRule="auto"/>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TOTAL DO ATIVO</w:t>
            </w:r>
          </w:p>
        </w:tc>
        <w:tc>
          <w:tcPr>
            <w:tcW w:w="767" w:type="dxa"/>
            <w:tcBorders>
              <w:top w:val="single" w:sz="8" w:space="0" w:color="auto"/>
              <w:bottom w:val="single" w:sz="8" w:space="0" w:color="auto"/>
              <w:right w:val="single" w:sz="8" w:space="0" w:color="auto"/>
            </w:tcBorders>
            <w:shd w:val="clear" w:color="000000" w:fill="auto"/>
            <w:noWrap/>
            <w:vAlign w:val="center"/>
          </w:tcPr>
          <w:p w14:paraId="4ABFE638" w14:textId="77777777" w:rsidR="00C77F0A" w:rsidRPr="009548D7" w:rsidRDefault="00C77F0A" w:rsidP="0015273C">
            <w:pPr>
              <w:spacing w:after="0" w:line="240" w:lineRule="auto"/>
              <w:jc w:val="center"/>
              <w:rPr>
                <w:rFonts w:ascii="Arial Narrow" w:eastAsia="Times New Roman" w:hAnsi="Arial Narrow" w:cs="Arial"/>
                <w:b/>
                <w:bCs/>
                <w:sz w:val="16"/>
                <w:szCs w:val="16"/>
                <w:lang w:eastAsia="pt-BR"/>
              </w:rPr>
            </w:pPr>
          </w:p>
        </w:tc>
        <w:tc>
          <w:tcPr>
            <w:tcW w:w="1063" w:type="dxa"/>
            <w:tcBorders>
              <w:top w:val="single" w:sz="8" w:space="0" w:color="auto"/>
              <w:left w:val="nil"/>
              <w:bottom w:val="single" w:sz="8" w:space="0" w:color="auto"/>
              <w:right w:val="single" w:sz="8" w:space="0" w:color="auto"/>
            </w:tcBorders>
            <w:shd w:val="clear" w:color="000000" w:fill="auto"/>
            <w:noWrap/>
            <w:vAlign w:val="center"/>
          </w:tcPr>
          <w:p w14:paraId="3EEFCCC8" w14:textId="77777777" w:rsidR="00C77F0A" w:rsidRPr="009548D7" w:rsidRDefault="00C77F0A" w:rsidP="0015273C">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BPA.D071</w:t>
            </w:r>
          </w:p>
        </w:tc>
        <w:tc>
          <w:tcPr>
            <w:tcW w:w="1262" w:type="dxa"/>
            <w:tcBorders>
              <w:top w:val="single" w:sz="8" w:space="0" w:color="auto"/>
              <w:left w:val="nil"/>
              <w:bottom w:val="single" w:sz="8" w:space="0" w:color="auto"/>
              <w:right w:val="single" w:sz="8" w:space="0" w:color="auto"/>
            </w:tcBorders>
            <w:shd w:val="clear" w:color="000000" w:fill="auto"/>
            <w:noWrap/>
            <w:vAlign w:val="center"/>
          </w:tcPr>
          <w:p w14:paraId="108FF7B7" w14:textId="77777777" w:rsidR="00C77F0A" w:rsidRPr="009548D7" w:rsidRDefault="00C77F0A" w:rsidP="0015273C">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BPA.E071</w:t>
            </w:r>
          </w:p>
        </w:tc>
        <w:tc>
          <w:tcPr>
            <w:tcW w:w="4562" w:type="dxa"/>
            <w:tcBorders>
              <w:top w:val="single" w:sz="8" w:space="0" w:color="auto"/>
              <w:left w:val="nil"/>
              <w:bottom w:val="single" w:sz="8" w:space="0" w:color="auto"/>
            </w:tcBorders>
            <w:shd w:val="clear" w:color="000000" w:fill="auto"/>
            <w:noWrap/>
            <w:vAlign w:val="center"/>
          </w:tcPr>
          <w:p w14:paraId="7E1EDFE6" w14:textId="77777777" w:rsidR="00C77F0A" w:rsidRPr="009548D7" w:rsidRDefault="00C77F0A" w:rsidP="0015273C">
            <w:pPr>
              <w:spacing w:after="0" w:line="240" w:lineRule="auto"/>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TOTAL DO PASSIVO E DO PATRIMÔNIO LÍQUIDO</w:t>
            </w:r>
          </w:p>
        </w:tc>
        <w:tc>
          <w:tcPr>
            <w:tcW w:w="775" w:type="dxa"/>
            <w:tcBorders>
              <w:top w:val="single" w:sz="8" w:space="0" w:color="auto"/>
              <w:bottom w:val="single" w:sz="8" w:space="0" w:color="auto"/>
              <w:right w:val="single" w:sz="8" w:space="0" w:color="auto"/>
            </w:tcBorders>
            <w:shd w:val="clear" w:color="000000" w:fill="auto"/>
            <w:noWrap/>
            <w:vAlign w:val="center"/>
          </w:tcPr>
          <w:p w14:paraId="01807225" w14:textId="77777777" w:rsidR="00C77F0A" w:rsidRPr="009548D7" w:rsidRDefault="00C77F0A" w:rsidP="0015273C">
            <w:pPr>
              <w:spacing w:after="0" w:line="240" w:lineRule="auto"/>
              <w:jc w:val="center"/>
              <w:rPr>
                <w:rFonts w:ascii="Arial Narrow" w:eastAsia="Times New Roman" w:hAnsi="Arial Narrow" w:cs="Arial"/>
                <w:b/>
                <w:bCs/>
                <w:sz w:val="16"/>
                <w:szCs w:val="16"/>
                <w:lang w:eastAsia="pt-BR"/>
              </w:rPr>
            </w:pPr>
          </w:p>
        </w:tc>
        <w:tc>
          <w:tcPr>
            <w:tcW w:w="1063" w:type="dxa"/>
            <w:tcBorders>
              <w:top w:val="single" w:sz="8" w:space="0" w:color="auto"/>
              <w:left w:val="nil"/>
              <w:bottom w:val="single" w:sz="8" w:space="0" w:color="auto"/>
              <w:right w:val="single" w:sz="8" w:space="0" w:color="auto"/>
            </w:tcBorders>
            <w:shd w:val="clear" w:color="000000" w:fill="auto"/>
            <w:noWrap/>
            <w:vAlign w:val="center"/>
          </w:tcPr>
          <w:p w14:paraId="37A7A506" w14:textId="77777777" w:rsidR="00C77F0A" w:rsidRPr="009548D7" w:rsidRDefault="00C77F0A" w:rsidP="0015273C">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BPA.H071</w:t>
            </w:r>
          </w:p>
        </w:tc>
        <w:tc>
          <w:tcPr>
            <w:tcW w:w="1420" w:type="dxa"/>
            <w:tcBorders>
              <w:top w:val="single" w:sz="8" w:space="0" w:color="auto"/>
              <w:left w:val="nil"/>
              <w:bottom w:val="single" w:sz="8" w:space="0" w:color="auto"/>
              <w:right w:val="single" w:sz="8" w:space="0" w:color="auto"/>
            </w:tcBorders>
            <w:shd w:val="clear" w:color="000000" w:fill="auto"/>
            <w:noWrap/>
            <w:vAlign w:val="center"/>
          </w:tcPr>
          <w:p w14:paraId="357297C5" w14:textId="77777777" w:rsidR="00C77F0A" w:rsidRPr="009548D7" w:rsidRDefault="00C77F0A" w:rsidP="0015273C">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BPA.I071</w:t>
            </w:r>
          </w:p>
        </w:tc>
      </w:tr>
    </w:tbl>
    <w:p w14:paraId="3AC7D42B" w14:textId="77777777" w:rsidR="00E32C57" w:rsidRPr="009B4545" w:rsidRDefault="00E32C57" w:rsidP="009B4545">
      <w:pPr>
        <w:spacing w:after="0" w:line="240" w:lineRule="auto"/>
        <w:jc w:val="center"/>
        <w:rPr>
          <w:rFonts w:ascii="Arial" w:eastAsia="Times New Roman" w:hAnsi="Arial" w:cs="Arial"/>
          <w:b/>
          <w:bCs/>
          <w:sz w:val="20"/>
          <w:szCs w:val="20"/>
          <w:lang w:eastAsia="pt-BR"/>
        </w:rPr>
      </w:pPr>
    </w:p>
    <w:p w14:paraId="44B9C1BA" w14:textId="77777777" w:rsidR="009B4545" w:rsidRPr="009B4545" w:rsidRDefault="009B4545" w:rsidP="009B4545">
      <w:pPr>
        <w:tabs>
          <w:tab w:val="left" w:pos="13405"/>
        </w:tabs>
        <w:spacing w:after="0" w:line="240" w:lineRule="auto"/>
        <w:ind w:left="-497"/>
        <w:rPr>
          <w:rFonts w:ascii="Arial Narrow" w:eastAsia="Times New Roman" w:hAnsi="Arial Narrow" w:cs="Arial"/>
          <w:b/>
          <w:bCs/>
          <w:sz w:val="16"/>
          <w:szCs w:val="16"/>
          <w:lang w:eastAsia="pt-BR"/>
        </w:rPr>
      </w:pPr>
      <w:r w:rsidRPr="009B4545">
        <w:rPr>
          <w:rFonts w:ascii="Arial Narrow" w:eastAsia="Times New Roman" w:hAnsi="Arial Narrow" w:cs="Arial"/>
          <w:b/>
          <w:bCs/>
          <w:sz w:val="20"/>
          <w:szCs w:val="20"/>
          <w:lang w:eastAsia="pt-BR"/>
        </w:rPr>
        <w:tab/>
      </w:r>
    </w:p>
    <w:tbl>
      <w:tblPr>
        <w:tblW w:w="15322" w:type="dxa"/>
        <w:tblInd w:w="-487" w:type="dxa"/>
        <w:tblCellMar>
          <w:left w:w="70" w:type="dxa"/>
          <w:right w:w="70" w:type="dxa"/>
        </w:tblCellMar>
        <w:tblLook w:val="04A0" w:firstRow="1" w:lastRow="0" w:firstColumn="1" w:lastColumn="0" w:noHBand="0" w:noVBand="1"/>
      </w:tblPr>
      <w:tblGrid>
        <w:gridCol w:w="4410"/>
        <w:gridCol w:w="767"/>
        <w:gridCol w:w="1063"/>
        <w:gridCol w:w="1262"/>
        <w:gridCol w:w="4562"/>
        <w:gridCol w:w="775"/>
        <w:gridCol w:w="1063"/>
        <w:gridCol w:w="1420"/>
      </w:tblGrid>
      <w:tr w:rsidR="009B4545" w:rsidRPr="009B4545" w14:paraId="5B66BAF3" w14:textId="77777777" w:rsidTr="001C4FCB">
        <w:trPr>
          <w:trHeight w:val="615"/>
        </w:trPr>
        <w:tc>
          <w:tcPr>
            <w:tcW w:w="15322" w:type="dxa"/>
            <w:gridSpan w:val="8"/>
            <w:tcBorders>
              <w:left w:val="nil"/>
              <w:bottom w:val="single" w:sz="8" w:space="0" w:color="auto"/>
              <w:right w:val="nil"/>
            </w:tcBorders>
            <w:shd w:val="clear" w:color="auto" w:fill="auto"/>
            <w:noWrap/>
            <w:vAlign w:val="bottom"/>
            <w:hideMark/>
          </w:tcPr>
          <w:p w14:paraId="2549D91C" w14:textId="77777777" w:rsidR="009B4545" w:rsidRPr="009B4545" w:rsidRDefault="009B4545" w:rsidP="00326F06">
            <w:pPr>
              <w:spacing w:after="0" w:line="240" w:lineRule="auto"/>
              <w:jc w:val="center"/>
              <w:rPr>
                <w:rFonts w:ascii="Arial" w:eastAsia="Times New Roman" w:hAnsi="Arial" w:cs="Arial"/>
                <w:b/>
                <w:bCs/>
                <w:sz w:val="20"/>
                <w:szCs w:val="20"/>
                <w:lang w:eastAsia="pt-BR"/>
              </w:rPr>
            </w:pPr>
          </w:p>
          <w:p w14:paraId="1D1AC72A" w14:textId="77777777" w:rsidR="009B4545" w:rsidRPr="009B4545" w:rsidRDefault="009B4545" w:rsidP="00326F06">
            <w:pPr>
              <w:spacing w:after="0" w:line="240" w:lineRule="auto"/>
              <w:jc w:val="center"/>
              <w:rPr>
                <w:rFonts w:ascii="Arial" w:eastAsia="Times New Roman" w:hAnsi="Arial" w:cs="Arial"/>
                <w:b/>
                <w:bCs/>
                <w:sz w:val="20"/>
                <w:szCs w:val="20"/>
                <w:lang w:eastAsia="pt-BR"/>
              </w:rPr>
            </w:pPr>
            <w:r w:rsidRPr="009B4545">
              <w:rPr>
                <w:rFonts w:ascii="Arial" w:eastAsia="Times New Roman" w:hAnsi="Arial" w:cs="Arial"/>
                <w:b/>
                <w:bCs/>
                <w:sz w:val="20"/>
                <w:szCs w:val="20"/>
                <w:lang w:eastAsia="pt-BR"/>
              </w:rPr>
              <w:t>ATIVOS E PASSIVOS FINANCEIROS E PERMANENTES – LEI N.º 4.320/64</w:t>
            </w:r>
          </w:p>
          <w:p w14:paraId="27574E62" w14:textId="77777777" w:rsidR="009B4545" w:rsidRPr="009B4545" w:rsidRDefault="009B4545" w:rsidP="00326F06">
            <w:pPr>
              <w:spacing w:after="0" w:line="240" w:lineRule="auto"/>
              <w:jc w:val="center"/>
              <w:rPr>
                <w:rFonts w:ascii="Arial" w:eastAsia="Times New Roman" w:hAnsi="Arial" w:cs="Arial"/>
                <w:b/>
                <w:bCs/>
                <w:sz w:val="20"/>
                <w:szCs w:val="20"/>
                <w:lang w:eastAsia="pt-BR"/>
              </w:rPr>
            </w:pPr>
          </w:p>
        </w:tc>
      </w:tr>
      <w:tr w:rsidR="009B4545" w:rsidRPr="009B4545" w14:paraId="047D8B55" w14:textId="77777777" w:rsidTr="008B41CC">
        <w:trPr>
          <w:trHeight w:val="285"/>
        </w:trPr>
        <w:tc>
          <w:tcPr>
            <w:tcW w:w="4410" w:type="dxa"/>
            <w:tcBorders>
              <w:top w:val="nil"/>
              <w:left w:val="single" w:sz="8" w:space="0" w:color="auto"/>
              <w:bottom w:val="single" w:sz="8" w:space="0" w:color="auto"/>
            </w:tcBorders>
            <w:shd w:val="clear" w:color="000000" w:fill="D9D9D9"/>
            <w:noWrap/>
            <w:vAlign w:val="center"/>
            <w:hideMark/>
          </w:tcPr>
          <w:p w14:paraId="0F1EE2B5" w14:textId="77777777" w:rsidR="009B4545" w:rsidRPr="009B4545" w:rsidRDefault="009B4545" w:rsidP="00326F06">
            <w:pPr>
              <w:spacing w:after="0" w:line="240" w:lineRule="auto"/>
              <w:jc w:val="center"/>
              <w:rPr>
                <w:rFonts w:ascii="Arial Narrow" w:eastAsia="Times New Roman" w:hAnsi="Arial Narrow" w:cs="Arial"/>
                <w:b/>
                <w:bCs/>
                <w:sz w:val="16"/>
                <w:szCs w:val="16"/>
                <w:lang w:eastAsia="pt-BR"/>
              </w:rPr>
            </w:pPr>
            <w:r w:rsidRPr="009B4545">
              <w:rPr>
                <w:rFonts w:ascii="Arial Narrow" w:eastAsia="Times New Roman" w:hAnsi="Arial Narrow" w:cs="Arial"/>
                <w:b/>
                <w:bCs/>
                <w:sz w:val="16"/>
                <w:szCs w:val="16"/>
                <w:lang w:eastAsia="pt-BR"/>
              </w:rPr>
              <w:t>ATIVO</w:t>
            </w:r>
          </w:p>
        </w:tc>
        <w:tc>
          <w:tcPr>
            <w:tcW w:w="767" w:type="dxa"/>
            <w:tcBorders>
              <w:top w:val="nil"/>
              <w:bottom w:val="single" w:sz="4" w:space="0" w:color="auto"/>
              <w:right w:val="single" w:sz="8" w:space="0" w:color="auto"/>
            </w:tcBorders>
            <w:shd w:val="clear" w:color="000000" w:fill="D9D9D9"/>
            <w:noWrap/>
            <w:vAlign w:val="center"/>
          </w:tcPr>
          <w:p w14:paraId="2EEBF8D8" w14:textId="7C3C168B" w:rsidR="009B4545" w:rsidRPr="009B4545" w:rsidRDefault="009B4545" w:rsidP="00326F06">
            <w:pPr>
              <w:spacing w:after="0" w:line="240" w:lineRule="auto"/>
              <w:jc w:val="center"/>
              <w:rPr>
                <w:rFonts w:ascii="Arial Narrow" w:eastAsia="Times New Roman" w:hAnsi="Arial Narrow" w:cs="Arial"/>
                <w:b/>
                <w:bCs/>
                <w:sz w:val="16"/>
                <w:szCs w:val="16"/>
                <w:lang w:eastAsia="pt-BR"/>
              </w:rPr>
            </w:pPr>
          </w:p>
        </w:tc>
        <w:tc>
          <w:tcPr>
            <w:tcW w:w="1063" w:type="dxa"/>
            <w:vMerge w:val="restart"/>
            <w:tcBorders>
              <w:top w:val="nil"/>
              <w:left w:val="single" w:sz="8" w:space="0" w:color="auto"/>
              <w:bottom w:val="single" w:sz="8" w:space="0" w:color="000000"/>
              <w:right w:val="single" w:sz="8" w:space="0" w:color="auto"/>
            </w:tcBorders>
            <w:shd w:val="clear" w:color="000000" w:fill="D9D9D9"/>
            <w:noWrap/>
            <w:vAlign w:val="center"/>
            <w:hideMark/>
          </w:tcPr>
          <w:p w14:paraId="2DB64E10" w14:textId="77777777" w:rsidR="009B4545" w:rsidRPr="009B4545" w:rsidRDefault="009B4545" w:rsidP="00326F06">
            <w:pPr>
              <w:spacing w:after="0" w:line="240" w:lineRule="auto"/>
              <w:jc w:val="center"/>
              <w:rPr>
                <w:rFonts w:ascii="Arial Narrow" w:eastAsia="Times New Roman" w:hAnsi="Arial Narrow" w:cs="Arial"/>
                <w:b/>
                <w:bCs/>
                <w:sz w:val="16"/>
                <w:szCs w:val="16"/>
                <w:lang w:eastAsia="pt-BR"/>
              </w:rPr>
            </w:pPr>
            <w:r w:rsidRPr="009B4545">
              <w:rPr>
                <w:rFonts w:ascii="Arial Narrow" w:eastAsia="Times New Roman" w:hAnsi="Arial Narrow" w:cs="Arial"/>
                <w:b/>
                <w:bCs/>
                <w:sz w:val="16"/>
                <w:szCs w:val="16"/>
                <w:lang w:eastAsia="pt-BR"/>
              </w:rPr>
              <w:t>Exercício Atual</w:t>
            </w:r>
          </w:p>
        </w:tc>
        <w:tc>
          <w:tcPr>
            <w:tcW w:w="1262" w:type="dxa"/>
            <w:vMerge w:val="restart"/>
            <w:tcBorders>
              <w:top w:val="nil"/>
              <w:left w:val="single" w:sz="8" w:space="0" w:color="auto"/>
              <w:bottom w:val="single" w:sz="8" w:space="0" w:color="000000"/>
              <w:right w:val="single" w:sz="8" w:space="0" w:color="auto"/>
            </w:tcBorders>
            <w:shd w:val="clear" w:color="000000" w:fill="D9D9D9"/>
            <w:noWrap/>
            <w:vAlign w:val="center"/>
            <w:hideMark/>
          </w:tcPr>
          <w:p w14:paraId="45DD7C40" w14:textId="77777777" w:rsidR="009B4545" w:rsidRPr="009B4545" w:rsidRDefault="009B4545" w:rsidP="00326F06">
            <w:pPr>
              <w:spacing w:after="0" w:line="240" w:lineRule="auto"/>
              <w:jc w:val="center"/>
              <w:rPr>
                <w:rFonts w:ascii="Arial Narrow" w:eastAsia="Times New Roman" w:hAnsi="Arial Narrow" w:cs="Arial"/>
                <w:b/>
                <w:bCs/>
                <w:sz w:val="16"/>
                <w:szCs w:val="16"/>
                <w:lang w:eastAsia="pt-BR"/>
              </w:rPr>
            </w:pPr>
            <w:r w:rsidRPr="009B4545">
              <w:rPr>
                <w:rFonts w:ascii="Arial Narrow" w:eastAsia="Times New Roman" w:hAnsi="Arial Narrow" w:cs="Arial"/>
                <w:b/>
                <w:bCs/>
                <w:sz w:val="16"/>
                <w:szCs w:val="16"/>
                <w:lang w:eastAsia="pt-BR"/>
              </w:rPr>
              <w:t>Exercício Anterior</w:t>
            </w:r>
          </w:p>
        </w:tc>
        <w:tc>
          <w:tcPr>
            <w:tcW w:w="4562" w:type="dxa"/>
            <w:tcBorders>
              <w:top w:val="nil"/>
              <w:left w:val="nil"/>
              <w:bottom w:val="single" w:sz="4" w:space="0" w:color="auto"/>
            </w:tcBorders>
            <w:shd w:val="clear" w:color="000000" w:fill="D9D9D9"/>
            <w:noWrap/>
            <w:vAlign w:val="center"/>
            <w:hideMark/>
          </w:tcPr>
          <w:p w14:paraId="5CF4852E" w14:textId="77777777" w:rsidR="009B4545" w:rsidRPr="009B4545" w:rsidRDefault="009B4545" w:rsidP="00326F06">
            <w:pPr>
              <w:spacing w:after="0" w:line="240" w:lineRule="auto"/>
              <w:jc w:val="center"/>
              <w:rPr>
                <w:rFonts w:ascii="Arial Narrow" w:eastAsia="Times New Roman" w:hAnsi="Arial Narrow" w:cs="Arial"/>
                <w:b/>
                <w:bCs/>
                <w:sz w:val="16"/>
                <w:szCs w:val="16"/>
                <w:lang w:eastAsia="pt-BR"/>
              </w:rPr>
            </w:pPr>
            <w:r w:rsidRPr="009B4545">
              <w:rPr>
                <w:rFonts w:ascii="Arial Narrow" w:eastAsia="Times New Roman" w:hAnsi="Arial Narrow" w:cs="Arial"/>
                <w:b/>
                <w:bCs/>
                <w:sz w:val="16"/>
                <w:szCs w:val="16"/>
                <w:lang w:eastAsia="pt-BR"/>
              </w:rPr>
              <w:t>PASSIVO</w:t>
            </w:r>
          </w:p>
        </w:tc>
        <w:tc>
          <w:tcPr>
            <w:tcW w:w="775" w:type="dxa"/>
            <w:tcBorders>
              <w:top w:val="nil"/>
              <w:bottom w:val="single" w:sz="4" w:space="0" w:color="auto"/>
              <w:right w:val="single" w:sz="8" w:space="0" w:color="auto"/>
            </w:tcBorders>
            <w:shd w:val="clear" w:color="000000" w:fill="D9D9D9"/>
            <w:noWrap/>
            <w:vAlign w:val="center"/>
          </w:tcPr>
          <w:p w14:paraId="2BA61F10" w14:textId="60235604" w:rsidR="009B4545" w:rsidRPr="009B4545" w:rsidRDefault="009B4545" w:rsidP="00326F06">
            <w:pPr>
              <w:spacing w:after="0" w:line="240" w:lineRule="auto"/>
              <w:jc w:val="center"/>
              <w:rPr>
                <w:rFonts w:ascii="Arial Narrow" w:eastAsia="Times New Roman" w:hAnsi="Arial Narrow" w:cs="Arial"/>
                <w:b/>
                <w:bCs/>
                <w:sz w:val="16"/>
                <w:szCs w:val="16"/>
                <w:lang w:eastAsia="pt-BR"/>
              </w:rPr>
            </w:pPr>
          </w:p>
        </w:tc>
        <w:tc>
          <w:tcPr>
            <w:tcW w:w="1063" w:type="dxa"/>
            <w:vMerge w:val="restart"/>
            <w:tcBorders>
              <w:top w:val="nil"/>
              <w:left w:val="single" w:sz="8" w:space="0" w:color="auto"/>
              <w:bottom w:val="single" w:sz="8" w:space="0" w:color="000000"/>
              <w:right w:val="single" w:sz="8" w:space="0" w:color="auto"/>
            </w:tcBorders>
            <w:shd w:val="clear" w:color="000000" w:fill="D9D9D9"/>
            <w:noWrap/>
            <w:vAlign w:val="center"/>
            <w:hideMark/>
          </w:tcPr>
          <w:p w14:paraId="1F026B20" w14:textId="77777777" w:rsidR="009B4545" w:rsidRPr="009B4545" w:rsidRDefault="009B4545" w:rsidP="00326F06">
            <w:pPr>
              <w:spacing w:after="0" w:line="240" w:lineRule="auto"/>
              <w:jc w:val="center"/>
              <w:rPr>
                <w:rFonts w:ascii="Arial Narrow" w:eastAsia="Times New Roman" w:hAnsi="Arial Narrow" w:cs="Arial"/>
                <w:b/>
                <w:bCs/>
                <w:sz w:val="16"/>
                <w:szCs w:val="16"/>
                <w:lang w:eastAsia="pt-BR"/>
              </w:rPr>
            </w:pPr>
            <w:r w:rsidRPr="009B4545">
              <w:rPr>
                <w:rFonts w:ascii="Arial Narrow" w:eastAsia="Times New Roman" w:hAnsi="Arial Narrow" w:cs="Arial"/>
                <w:b/>
                <w:bCs/>
                <w:sz w:val="16"/>
                <w:szCs w:val="16"/>
                <w:lang w:eastAsia="pt-BR"/>
              </w:rPr>
              <w:t>Exercício Atual</w:t>
            </w:r>
          </w:p>
        </w:tc>
        <w:tc>
          <w:tcPr>
            <w:tcW w:w="1420" w:type="dxa"/>
            <w:vMerge w:val="restart"/>
            <w:tcBorders>
              <w:top w:val="nil"/>
              <w:left w:val="nil"/>
              <w:bottom w:val="single" w:sz="8" w:space="0" w:color="000000"/>
              <w:right w:val="single" w:sz="8" w:space="0" w:color="auto"/>
            </w:tcBorders>
            <w:shd w:val="clear" w:color="000000" w:fill="D9D9D9"/>
            <w:noWrap/>
            <w:vAlign w:val="center"/>
            <w:hideMark/>
          </w:tcPr>
          <w:p w14:paraId="3AD47AF3" w14:textId="77777777" w:rsidR="009B4545" w:rsidRPr="009B4545" w:rsidRDefault="009B4545" w:rsidP="00326F06">
            <w:pPr>
              <w:spacing w:after="0" w:line="240" w:lineRule="auto"/>
              <w:jc w:val="center"/>
              <w:rPr>
                <w:rFonts w:ascii="Arial Narrow" w:eastAsia="Times New Roman" w:hAnsi="Arial Narrow" w:cs="Arial"/>
                <w:b/>
                <w:bCs/>
                <w:sz w:val="16"/>
                <w:szCs w:val="16"/>
                <w:lang w:eastAsia="pt-BR"/>
              </w:rPr>
            </w:pPr>
            <w:r w:rsidRPr="009B4545">
              <w:rPr>
                <w:rFonts w:ascii="Arial Narrow" w:eastAsia="Times New Roman" w:hAnsi="Arial Narrow" w:cs="Arial"/>
                <w:b/>
                <w:bCs/>
                <w:sz w:val="16"/>
                <w:szCs w:val="16"/>
                <w:lang w:eastAsia="pt-BR"/>
              </w:rPr>
              <w:t>Exercício Anterior</w:t>
            </w:r>
          </w:p>
        </w:tc>
      </w:tr>
      <w:tr w:rsidR="009B4545" w:rsidRPr="009B4545" w14:paraId="7CB96CDD" w14:textId="77777777" w:rsidTr="008B41CC">
        <w:trPr>
          <w:trHeight w:val="285"/>
        </w:trPr>
        <w:tc>
          <w:tcPr>
            <w:tcW w:w="4410" w:type="dxa"/>
            <w:tcBorders>
              <w:top w:val="nil"/>
              <w:left w:val="single" w:sz="8" w:space="0" w:color="auto"/>
              <w:bottom w:val="single" w:sz="8" w:space="0" w:color="auto"/>
            </w:tcBorders>
            <w:shd w:val="clear" w:color="000000" w:fill="D9D9D9"/>
            <w:noWrap/>
            <w:vAlign w:val="center"/>
            <w:hideMark/>
          </w:tcPr>
          <w:p w14:paraId="5F56E131" w14:textId="77777777" w:rsidR="009B4545" w:rsidRPr="009B4545" w:rsidRDefault="009B4545" w:rsidP="00326F06">
            <w:pPr>
              <w:spacing w:after="0" w:line="240" w:lineRule="auto"/>
              <w:rPr>
                <w:rFonts w:ascii="Arial Narrow" w:eastAsia="Times New Roman" w:hAnsi="Arial Narrow" w:cs="Arial"/>
                <w:b/>
                <w:bCs/>
                <w:sz w:val="16"/>
                <w:szCs w:val="16"/>
                <w:lang w:eastAsia="pt-BR"/>
              </w:rPr>
            </w:pPr>
            <w:r w:rsidRPr="009B4545">
              <w:rPr>
                <w:rFonts w:ascii="Arial Narrow" w:eastAsia="Times New Roman" w:hAnsi="Arial Narrow" w:cs="Arial"/>
                <w:b/>
                <w:bCs/>
                <w:sz w:val="16"/>
                <w:szCs w:val="16"/>
                <w:lang w:eastAsia="pt-BR"/>
              </w:rPr>
              <w:t>Especificação</w:t>
            </w:r>
          </w:p>
        </w:tc>
        <w:tc>
          <w:tcPr>
            <w:tcW w:w="767" w:type="dxa"/>
            <w:tcBorders>
              <w:top w:val="single" w:sz="4" w:space="0" w:color="auto"/>
              <w:bottom w:val="single" w:sz="4" w:space="0" w:color="auto"/>
              <w:right w:val="single" w:sz="8" w:space="0" w:color="auto"/>
            </w:tcBorders>
            <w:shd w:val="clear" w:color="000000" w:fill="D9D9D9"/>
            <w:vAlign w:val="center"/>
          </w:tcPr>
          <w:p w14:paraId="230A002D" w14:textId="77777777" w:rsidR="009B4545" w:rsidRPr="009B4545" w:rsidRDefault="009B4545" w:rsidP="00326F06">
            <w:pPr>
              <w:spacing w:after="0" w:line="240" w:lineRule="auto"/>
              <w:rPr>
                <w:rFonts w:ascii="Arial Narrow" w:eastAsia="Times New Roman" w:hAnsi="Arial Narrow" w:cs="Arial"/>
                <w:b/>
                <w:bCs/>
                <w:sz w:val="16"/>
                <w:szCs w:val="16"/>
                <w:lang w:eastAsia="pt-BR"/>
              </w:rPr>
            </w:pPr>
          </w:p>
        </w:tc>
        <w:tc>
          <w:tcPr>
            <w:tcW w:w="1063" w:type="dxa"/>
            <w:vMerge/>
            <w:tcBorders>
              <w:top w:val="nil"/>
              <w:left w:val="single" w:sz="8" w:space="0" w:color="auto"/>
              <w:bottom w:val="single" w:sz="8" w:space="0" w:color="000000"/>
              <w:right w:val="single" w:sz="8" w:space="0" w:color="auto"/>
            </w:tcBorders>
            <w:vAlign w:val="center"/>
            <w:hideMark/>
          </w:tcPr>
          <w:p w14:paraId="51B57CFD" w14:textId="77777777" w:rsidR="009B4545" w:rsidRPr="009B4545" w:rsidRDefault="009B4545" w:rsidP="00326F06">
            <w:pPr>
              <w:spacing w:after="0" w:line="240" w:lineRule="auto"/>
              <w:rPr>
                <w:rFonts w:ascii="Arial Narrow" w:eastAsia="Times New Roman" w:hAnsi="Arial Narrow" w:cs="Arial"/>
                <w:b/>
                <w:bCs/>
                <w:sz w:val="16"/>
                <w:szCs w:val="16"/>
                <w:lang w:eastAsia="pt-BR"/>
              </w:rPr>
            </w:pPr>
          </w:p>
        </w:tc>
        <w:tc>
          <w:tcPr>
            <w:tcW w:w="1262" w:type="dxa"/>
            <w:vMerge/>
            <w:tcBorders>
              <w:top w:val="nil"/>
              <w:left w:val="single" w:sz="8" w:space="0" w:color="auto"/>
              <w:bottom w:val="single" w:sz="8" w:space="0" w:color="000000"/>
              <w:right w:val="single" w:sz="8" w:space="0" w:color="auto"/>
            </w:tcBorders>
            <w:vAlign w:val="center"/>
            <w:hideMark/>
          </w:tcPr>
          <w:p w14:paraId="3A88CA0E" w14:textId="77777777" w:rsidR="009B4545" w:rsidRPr="009B4545" w:rsidRDefault="009B4545" w:rsidP="00326F06">
            <w:pPr>
              <w:spacing w:after="0" w:line="240" w:lineRule="auto"/>
              <w:rPr>
                <w:rFonts w:ascii="Arial Narrow" w:eastAsia="Times New Roman" w:hAnsi="Arial Narrow" w:cs="Arial"/>
                <w:b/>
                <w:bCs/>
                <w:sz w:val="16"/>
                <w:szCs w:val="16"/>
                <w:lang w:eastAsia="pt-BR"/>
              </w:rPr>
            </w:pPr>
          </w:p>
        </w:tc>
        <w:tc>
          <w:tcPr>
            <w:tcW w:w="4562" w:type="dxa"/>
            <w:tcBorders>
              <w:top w:val="single" w:sz="8" w:space="0" w:color="auto"/>
              <w:left w:val="nil"/>
              <w:bottom w:val="single" w:sz="8" w:space="0" w:color="auto"/>
            </w:tcBorders>
            <w:shd w:val="clear" w:color="000000" w:fill="D9D9D9"/>
            <w:noWrap/>
            <w:vAlign w:val="center"/>
            <w:hideMark/>
          </w:tcPr>
          <w:p w14:paraId="2CBC5441" w14:textId="77777777" w:rsidR="009B4545" w:rsidRPr="009B4545" w:rsidRDefault="009B4545" w:rsidP="00326F06">
            <w:pPr>
              <w:spacing w:after="0" w:line="240" w:lineRule="auto"/>
              <w:rPr>
                <w:rFonts w:ascii="Arial Narrow" w:eastAsia="Times New Roman" w:hAnsi="Arial Narrow" w:cs="Arial"/>
                <w:b/>
                <w:bCs/>
                <w:sz w:val="16"/>
                <w:szCs w:val="16"/>
                <w:lang w:eastAsia="pt-BR"/>
              </w:rPr>
            </w:pPr>
            <w:r w:rsidRPr="009B4545">
              <w:rPr>
                <w:rFonts w:ascii="Arial Narrow" w:eastAsia="Times New Roman" w:hAnsi="Arial Narrow" w:cs="Arial"/>
                <w:b/>
                <w:bCs/>
                <w:sz w:val="16"/>
                <w:szCs w:val="16"/>
                <w:lang w:eastAsia="pt-BR"/>
              </w:rPr>
              <w:t>Especificação</w:t>
            </w:r>
          </w:p>
        </w:tc>
        <w:tc>
          <w:tcPr>
            <w:tcW w:w="775" w:type="dxa"/>
            <w:tcBorders>
              <w:top w:val="single" w:sz="4" w:space="0" w:color="auto"/>
              <w:bottom w:val="single" w:sz="4" w:space="0" w:color="auto"/>
              <w:right w:val="single" w:sz="8" w:space="0" w:color="auto"/>
            </w:tcBorders>
            <w:shd w:val="clear" w:color="000000" w:fill="D9D9D9"/>
            <w:vAlign w:val="center"/>
          </w:tcPr>
          <w:p w14:paraId="4FF8FAEF" w14:textId="77777777" w:rsidR="009B4545" w:rsidRPr="009B4545" w:rsidRDefault="009B4545" w:rsidP="00326F06">
            <w:pPr>
              <w:spacing w:after="0" w:line="240" w:lineRule="auto"/>
              <w:rPr>
                <w:rFonts w:ascii="Arial Narrow" w:eastAsia="Times New Roman" w:hAnsi="Arial Narrow" w:cs="Arial"/>
                <w:b/>
                <w:bCs/>
                <w:sz w:val="16"/>
                <w:szCs w:val="16"/>
                <w:lang w:eastAsia="pt-BR"/>
              </w:rPr>
            </w:pPr>
          </w:p>
        </w:tc>
        <w:tc>
          <w:tcPr>
            <w:tcW w:w="1063" w:type="dxa"/>
            <w:vMerge/>
            <w:tcBorders>
              <w:top w:val="nil"/>
              <w:left w:val="single" w:sz="8" w:space="0" w:color="auto"/>
              <w:bottom w:val="single" w:sz="8" w:space="0" w:color="000000"/>
              <w:right w:val="single" w:sz="8" w:space="0" w:color="auto"/>
            </w:tcBorders>
            <w:vAlign w:val="center"/>
            <w:hideMark/>
          </w:tcPr>
          <w:p w14:paraId="1DBF7AF1" w14:textId="77777777" w:rsidR="009B4545" w:rsidRPr="009B4545" w:rsidRDefault="009B4545" w:rsidP="00326F06">
            <w:pPr>
              <w:spacing w:after="0" w:line="240" w:lineRule="auto"/>
              <w:rPr>
                <w:rFonts w:ascii="Arial Narrow" w:eastAsia="Times New Roman" w:hAnsi="Arial Narrow" w:cs="Arial"/>
                <w:b/>
                <w:bCs/>
                <w:sz w:val="16"/>
                <w:szCs w:val="16"/>
                <w:lang w:eastAsia="pt-BR"/>
              </w:rPr>
            </w:pPr>
          </w:p>
        </w:tc>
        <w:tc>
          <w:tcPr>
            <w:tcW w:w="1420" w:type="dxa"/>
            <w:vMerge/>
            <w:tcBorders>
              <w:top w:val="nil"/>
              <w:left w:val="nil"/>
              <w:bottom w:val="single" w:sz="8" w:space="0" w:color="000000"/>
              <w:right w:val="single" w:sz="8" w:space="0" w:color="auto"/>
            </w:tcBorders>
            <w:vAlign w:val="center"/>
            <w:hideMark/>
          </w:tcPr>
          <w:p w14:paraId="55DC3A67" w14:textId="77777777" w:rsidR="009B4545" w:rsidRPr="009B4545" w:rsidRDefault="009B4545" w:rsidP="00326F06">
            <w:pPr>
              <w:spacing w:after="0" w:line="240" w:lineRule="auto"/>
              <w:rPr>
                <w:rFonts w:ascii="Arial Narrow" w:eastAsia="Times New Roman" w:hAnsi="Arial Narrow" w:cs="Arial"/>
                <w:b/>
                <w:bCs/>
                <w:sz w:val="16"/>
                <w:szCs w:val="16"/>
                <w:lang w:eastAsia="pt-BR"/>
              </w:rPr>
            </w:pPr>
          </w:p>
        </w:tc>
      </w:tr>
      <w:tr w:rsidR="009B4545" w:rsidRPr="009B4545" w14:paraId="63111492" w14:textId="77777777" w:rsidTr="008B41CC">
        <w:trPr>
          <w:trHeight w:val="405"/>
        </w:trPr>
        <w:tc>
          <w:tcPr>
            <w:tcW w:w="4410" w:type="dxa"/>
            <w:tcBorders>
              <w:top w:val="nil"/>
              <w:left w:val="single" w:sz="8" w:space="0" w:color="auto"/>
              <w:bottom w:val="single" w:sz="4" w:space="0" w:color="auto"/>
            </w:tcBorders>
            <w:shd w:val="clear" w:color="auto" w:fill="auto"/>
            <w:noWrap/>
            <w:vAlign w:val="center"/>
            <w:hideMark/>
          </w:tcPr>
          <w:p w14:paraId="70924641" w14:textId="77777777" w:rsidR="009B4545" w:rsidRPr="009B4545" w:rsidRDefault="009B4545" w:rsidP="00326F06">
            <w:pPr>
              <w:spacing w:after="0" w:line="240" w:lineRule="auto"/>
              <w:rPr>
                <w:rFonts w:ascii="Arial Narrow" w:eastAsia="Times New Roman" w:hAnsi="Arial Narrow" w:cs="Arial"/>
                <w:b/>
                <w:bCs/>
                <w:sz w:val="20"/>
                <w:szCs w:val="20"/>
                <w:lang w:eastAsia="pt-BR"/>
              </w:rPr>
            </w:pPr>
            <w:r w:rsidRPr="009B4545">
              <w:rPr>
                <w:rFonts w:ascii="Arial Narrow" w:eastAsia="Times New Roman" w:hAnsi="Arial Narrow" w:cs="Arial"/>
                <w:b/>
                <w:bCs/>
                <w:sz w:val="20"/>
                <w:szCs w:val="20"/>
                <w:lang w:eastAsia="pt-BR"/>
              </w:rPr>
              <w:t>ATIVO FINANCEIRO</w:t>
            </w:r>
          </w:p>
        </w:tc>
        <w:tc>
          <w:tcPr>
            <w:tcW w:w="767" w:type="dxa"/>
            <w:tcBorders>
              <w:top w:val="single" w:sz="4" w:space="0" w:color="auto"/>
              <w:bottom w:val="single" w:sz="4" w:space="0" w:color="auto"/>
              <w:right w:val="single" w:sz="8" w:space="0" w:color="auto"/>
            </w:tcBorders>
            <w:shd w:val="clear" w:color="auto" w:fill="auto"/>
            <w:noWrap/>
            <w:vAlign w:val="center"/>
          </w:tcPr>
          <w:p w14:paraId="369E2213" w14:textId="2839CF8E" w:rsidR="009B4545" w:rsidRPr="009B4545" w:rsidRDefault="009B4545" w:rsidP="00326F06">
            <w:pPr>
              <w:spacing w:after="0" w:line="240" w:lineRule="auto"/>
              <w:jc w:val="center"/>
              <w:rPr>
                <w:rFonts w:ascii="Arial Narrow" w:eastAsia="Times New Roman" w:hAnsi="Arial Narrow" w:cs="Arial"/>
                <w:b/>
                <w:bCs/>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6B8E137C" w14:textId="77777777" w:rsidR="009B4545" w:rsidRPr="009B4545" w:rsidRDefault="009B4545" w:rsidP="00326F06">
            <w:pPr>
              <w:spacing w:after="0" w:line="240" w:lineRule="auto"/>
              <w:jc w:val="center"/>
              <w:rPr>
                <w:rFonts w:ascii="Arial Narrow" w:eastAsia="Times New Roman" w:hAnsi="Arial Narrow" w:cs="Arial"/>
                <w:b/>
                <w:bCs/>
                <w:sz w:val="16"/>
                <w:szCs w:val="16"/>
                <w:lang w:eastAsia="pt-BR"/>
              </w:rPr>
            </w:pPr>
            <w:r w:rsidRPr="009B4545">
              <w:rPr>
                <w:rFonts w:ascii="Arial Narrow" w:eastAsia="Times New Roman" w:hAnsi="Arial Narrow" w:cs="Arial"/>
                <w:b/>
                <w:bCs/>
                <w:sz w:val="16"/>
                <w:szCs w:val="16"/>
                <w:lang w:eastAsia="pt-BR"/>
              </w:rPr>
              <w:t>BPA.D075</w:t>
            </w:r>
          </w:p>
        </w:tc>
        <w:tc>
          <w:tcPr>
            <w:tcW w:w="1262" w:type="dxa"/>
            <w:tcBorders>
              <w:top w:val="nil"/>
              <w:left w:val="nil"/>
              <w:bottom w:val="nil"/>
              <w:right w:val="single" w:sz="8" w:space="0" w:color="auto"/>
            </w:tcBorders>
            <w:shd w:val="clear" w:color="auto" w:fill="auto"/>
            <w:noWrap/>
            <w:vAlign w:val="center"/>
            <w:hideMark/>
          </w:tcPr>
          <w:p w14:paraId="448E5B0E" w14:textId="77777777" w:rsidR="009B4545" w:rsidRPr="009B4545" w:rsidRDefault="009B4545" w:rsidP="00326F06">
            <w:pPr>
              <w:spacing w:after="0" w:line="240" w:lineRule="auto"/>
              <w:jc w:val="center"/>
              <w:rPr>
                <w:rFonts w:ascii="Arial Narrow" w:eastAsia="Times New Roman" w:hAnsi="Arial Narrow" w:cs="Arial"/>
                <w:b/>
                <w:bCs/>
                <w:sz w:val="16"/>
                <w:szCs w:val="16"/>
                <w:lang w:eastAsia="pt-BR"/>
              </w:rPr>
            </w:pPr>
            <w:r w:rsidRPr="009B4545">
              <w:rPr>
                <w:rFonts w:ascii="Arial Narrow" w:eastAsia="Times New Roman" w:hAnsi="Arial Narrow" w:cs="Arial"/>
                <w:b/>
                <w:bCs/>
                <w:sz w:val="16"/>
                <w:szCs w:val="16"/>
                <w:lang w:eastAsia="pt-BR"/>
              </w:rPr>
              <w:t>BPA.E075</w:t>
            </w:r>
          </w:p>
        </w:tc>
        <w:tc>
          <w:tcPr>
            <w:tcW w:w="4562" w:type="dxa"/>
            <w:tcBorders>
              <w:top w:val="nil"/>
              <w:left w:val="nil"/>
              <w:bottom w:val="single" w:sz="4" w:space="0" w:color="auto"/>
            </w:tcBorders>
            <w:shd w:val="clear" w:color="auto" w:fill="auto"/>
            <w:noWrap/>
            <w:vAlign w:val="center"/>
            <w:hideMark/>
          </w:tcPr>
          <w:p w14:paraId="24480E37" w14:textId="77777777" w:rsidR="009B4545" w:rsidRPr="009B4545" w:rsidRDefault="009B4545" w:rsidP="00326F06">
            <w:pPr>
              <w:spacing w:after="0" w:line="240" w:lineRule="auto"/>
              <w:rPr>
                <w:rFonts w:ascii="Arial Narrow" w:eastAsia="Times New Roman" w:hAnsi="Arial Narrow" w:cs="Arial"/>
                <w:b/>
                <w:bCs/>
                <w:sz w:val="20"/>
                <w:szCs w:val="20"/>
                <w:lang w:eastAsia="pt-BR"/>
              </w:rPr>
            </w:pPr>
            <w:r w:rsidRPr="009B4545">
              <w:rPr>
                <w:rFonts w:ascii="Arial Narrow" w:eastAsia="Times New Roman" w:hAnsi="Arial Narrow" w:cs="Arial"/>
                <w:b/>
                <w:bCs/>
                <w:sz w:val="20"/>
                <w:szCs w:val="20"/>
                <w:lang w:eastAsia="pt-BR"/>
              </w:rPr>
              <w:t>PASSIVO FINANCEIRO</w:t>
            </w:r>
          </w:p>
        </w:tc>
        <w:tc>
          <w:tcPr>
            <w:tcW w:w="775" w:type="dxa"/>
            <w:tcBorders>
              <w:top w:val="single" w:sz="4" w:space="0" w:color="auto"/>
              <w:bottom w:val="single" w:sz="4" w:space="0" w:color="auto"/>
              <w:right w:val="single" w:sz="8" w:space="0" w:color="auto"/>
            </w:tcBorders>
            <w:shd w:val="clear" w:color="auto" w:fill="auto"/>
            <w:noWrap/>
            <w:vAlign w:val="center"/>
          </w:tcPr>
          <w:p w14:paraId="7B561D8F" w14:textId="46A7C825" w:rsidR="009B4545" w:rsidRPr="009B4545" w:rsidRDefault="009B4545" w:rsidP="00326F06">
            <w:pPr>
              <w:spacing w:after="0" w:line="240" w:lineRule="auto"/>
              <w:jc w:val="center"/>
              <w:rPr>
                <w:rFonts w:ascii="Arial Narrow" w:eastAsia="Times New Roman" w:hAnsi="Arial Narrow" w:cs="Arial"/>
                <w:b/>
                <w:bCs/>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31B8DF07" w14:textId="77777777" w:rsidR="009B4545" w:rsidRPr="009B4545" w:rsidRDefault="009B4545" w:rsidP="00326F06">
            <w:pPr>
              <w:spacing w:after="0" w:line="240" w:lineRule="auto"/>
              <w:jc w:val="center"/>
              <w:rPr>
                <w:rFonts w:ascii="Arial Narrow" w:eastAsia="Times New Roman" w:hAnsi="Arial Narrow" w:cs="Arial"/>
                <w:b/>
                <w:bCs/>
                <w:sz w:val="16"/>
                <w:szCs w:val="16"/>
                <w:lang w:eastAsia="pt-BR"/>
              </w:rPr>
            </w:pPr>
            <w:r w:rsidRPr="009B4545">
              <w:rPr>
                <w:rFonts w:ascii="Arial Narrow" w:eastAsia="Times New Roman" w:hAnsi="Arial Narrow" w:cs="Arial"/>
                <w:b/>
                <w:bCs/>
                <w:sz w:val="16"/>
                <w:szCs w:val="16"/>
                <w:lang w:eastAsia="pt-BR"/>
              </w:rPr>
              <w:t>BPA.H075</w:t>
            </w:r>
          </w:p>
        </w:tc>
        <w:tc>
          <w:tcPr>
            <w:tcW w:w="1420" w:type="dxa"/>
            <w:tcBorders>
              <w:top w:val="nil"/>
              <w:left w:val="nil"/>
              <w:bottom w:val="nil"/>
              <w:right w:val="single" w:sz="8" w:space="0" w:color="auto"/>
            </w:tcBorders>
            <w:shd w:val="clear" w:color="auto" w:fill="auto"/>
            <w:noWrap/>
            <w:vAlign w:val="center"/>
            <w:hideMark/>
          </w:tcPr>
          <w:p w14:paraId="1C50CE8F" w14:textId="77777777" w:rsidR="009B4545" w:rsidRPr="009B4545" w:rsidRDefault="009B4545" w:rsidP="00326F06">
            <w:pPr>
              <w:spacing w:after="0" w:line="240" w:lineRule="auto"/>
              <w:jc w:val="center"/>
              <w:rPr>
                <w:rFonts w:ascii="Arial Narrow" w:eastAsia="Times New Roman" w:hAnsi="Arial Narrow" w:cs="Arial"/>
                <w:b/>
                <w:bCs/>
                <w:sz w:val="16"/>
                <w:szCs w:val="16"/>
                <w:lang w:eastAsia="pt-BR"/>
              </w:rPr>
            </w:pPr>
            <w:r w:rsidRPr="009B4545">
              <w:rPr>
                <w:rFonts w:ascii="Arial Narrow" w:eastAsia="Times New Roman" w:hAnsi="Arial Narrow" w:cs="Arial"/>
                <w:b/>
                <w:bCs/>
                <w:sz w:val="16"/>
                <w:szCs w:val="16"/>
                <w:lang w:eastAsia="pt-BR"/>
              </w:rPr>
              <w:t>BPA.I075</w:t>
            </w:r>
          </w:p>
        </w:tc>
      </w:tr>
      <w:tr w:rsidR="009B4545" w:rsidRPr="009B4545" w14:paraId="5E28948E" w14:textId="77777777" w:rsidTr="008B41CC">
        <w:trPr>
          <w:trHeight w:val="405"/>
        </w:trPr>
        <w:tc>
          <w:tcPr>
            <w:tcW w:w="4410" w:type="dxa"/>
            <w:tcBorders>
              <w:top w:val="nil"/>
              <w:left w:val="single" w:sz="8" w:space="0" w:color="auto"/>
              <w:bottom w:val="nil"/>
            </w:tcBorders>
            <w:shd w:val="clear" w:color="auto" w:fill="auto"/>
            <w:noWrap/>
            <w:vAlign w:val="center"/>
            <w:hideMark/>
          </w:tcPr>
          <w:p w14:paraId="214F0FF7" w14:textId="77777777" w:rsidR="009B4545" w:rsidRPr="009B4545" w:rsidRDefault="009B4545" w:rsidP="00326F06">
            <w:pPr>
              <w:spacing w:after="0" w:line="240" w:lineRule="auto"/>
              <w:rPr>
                <w:rFonts w:ascii="Arial Narrow" w:eastAsia="Times New Roman" w:hAnsi="Arial Narrow" w:cs="Arial"/>
                <w:b/>
                <w:bCs/>
                <w:sz w:val="20"/>
                <w:szCs w:val="20"/>
                <w:lang w:eastAsia="pt-BR"/>
              </w:rPr>
            </w:pPr>
            <w:r w:rsidRPr="009B4545">
              <w:rPr>
                <w:rFonts w:ascii="Arial Narrow" w:eastAsia="Times New Roman" w:hAnsi="Arial Narrow" w:cs="Arial"/>
                <w:b/>
                <w:bCs/>
                <w:sz w:val="20"/>
                <w:szCs w:val="20"/>
                <w:lang w:eastAsia="pt-BR"/>
              </w:rPr>
              <w:t>ATIVO PERMANENTE</w:t>
            </w:r>
          </w:p>
        </w:tc>
        <w:tc>
          <w:tcPr>
            <w:tcW w:w="767" w:type="dxa"/>
            <w:tcBorders>
              <w:top w:val="single" w:sz="4" w:space="0" w:color="auto"/>
              <w:bottom w:val="single" w:sz="4" w:space="0" w:color="auto"/>
              <w:right w:val="single" w:sz="8" w:space="0" w:color="auto"/>
            </w:tcBorders>
            <w:shd w:val="clear" w:color="auto" w:fill="auto"/>
            <w:noWrap/>
            <w:vAlign w:val="center"/>
          </w:tcPr>
          <w:p w14:paraId="712431EC" w14:textId="4CDC3435" w:rsidR="009B4545" w:rsidRPr="009B4545" w:rsidRDefault="009B4545" w:rsidP="00326F06">
            <w:pPr>
              <w:spacing w:after="0" w:line="240" w:lineRule="auto"/>
              <w:jc w:val="center"/>
              <w:rPr>
                <w:rFonts w:ascii="Arial Narrow" w:eastAsia="Times New Roman" w:hAnsi="Arial Narrow" w:cs="Arial"/>
                <w:b/>
                <w:bCs/>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149C179C" w14:textId="77777777" w:rsidR="009B4545" w:rsidRPr="009B4545" w:rsidRDefault="009B4545" w:rsidP="00326F06">
            <w:pPr>
              <w:spacing w:after="0" w:line="240" w:lineRule="auto"/>
              <w:jc w:val="center"/>
              <w:rPr>
                <w:rFonts w:ascii="Arial Narrow" w:eastAsia="Times New Roman" w:hAnsi="Arial Narrow" w:cs="Arial"/>
                <w:b/>
                <w:bCs/>
                <w:sz w:val="16"/>
                <w:szCs w:val="16"/>
                <w:lang w:eastAsia="pt-BR"/>
              </w:rPr>
            </w:pPr>
            <w:r w:rsidRPr="009B4545">
              <w:rPr>
                <w:rFonts w:ascii="Arial Narrow" w:eastAsia="Times New Roman" w:hAnsi="Arial Narrow" w:cs="Arial"/>
                <w:b/>
                <w:bCs/>
                <w:sz w:val="16"/>
                <w:szCs w:val="16"/>
                <w:lang w:eastAsia="pt-BR"/>
              </w:rPr>
              <w:t>BPA.D076</w:t>
            </w:r>
          </w:p>
        </w:tc>
        <w:tc>
          <w:tcPr>
            <w:tcW w:w="1262" w:type="dxa"/>
            <w:tcBorders>
              <w:top w:val="nil"/>
              <w:left w:val="nil"/>
              <w:bottom w:val="nil"/>
              <w:right w:val="single" w:sz="8" w:space="0" w:color="auto"/>
            </w:tcBorders>
            <w:shd w:val="clear" w:color="auto" w:fill="auto"/>
            <w:noWrap/>
            <w:vAlign w:val="center"/>
            <w:hideMark/>
          </w:tcPr>
          <w:p w14:paraId="43426C4D" w14:textId="77777777" w:rsidR="009B4545" w:rsidRPr="009B4545" w:rsidRDefault="009B4545" w:rsidP="00326F06">
            <w:pPr>
              <w:spacing w:after="0" w:line="240" w:lineRule="auto"/>
              <w:jc w:val="center"/>
              <w:rPr>
                <w:rFonts w:ascii="Arial Narrow" w:eastAsia="Times New Roman" w:hAnsi="Arial Narrow" w:cs="Arial"/>
                <w:b/>
                <w:bCs/>
                <w:sz w:val="16"/>
                <w:szCs w:val="16"/>
                <w:lang w:eastAsia="pt-BR"/>
              </w:rPr>
            </w:pPr>
            <w:r w:rsidRPr="009B4545">
              <w:rPr>
                <w:rFonts w:ascii="Arial Narrow" w:eastAsia="Times New Roman" w:hAnsi="Arial Narrow" w:cs="Arial"/>
                <w:b/>
                <w:bCs/>
                <w:sz w:val="16"/>
                <w:szCs w:val="16"/>
                <w:lang w:eastAsia="pt-BR"/>
              </w:rPr>
              <w:t>BPA.E076</w:t>
            </w:r>
          </w:p>
        </w:tc>
        <w:tc>
          <w:tcPr>
            <w:tcW w:w="4562" w:type="dxa"/>
            <w:tcBorders>
              <w:top w:val="nil"/>
              <w:left w:val="nil"/>
              <w:bottom w:val="nil"/>
            </w:tcBorders>
            <w:shd w:val="clear" w:color="auto" w:fill="auto"/>
            <w:noWrap/>
            <w:vAlign w:val="center"/>
            <w:hideMark/>
          </w:tcPr>
          <w:p w14:paraId="66419B64" w14:textId="77777777" w:rsidR="009B4545" w:rsidRPr="009B4545" w:rsidRDefault="009B4545" w:rsidP="00326F06">
            <w:pPr>
              <w:spacing w:after="0" w:line="240" w:lineRule="auto"/>
              <w:rPr>
                <w:rFonts w:ascii="Arial Narrow" w:eastAsia="Times New Roman" w:hAnsi="Arial Narrow" w:cs="Arial"/>
                <w:b/>
                <w:bCs/>
                <w:sz w:val="20"/>
                <w:szCs w:val="20"/>
                <w:lang w:eastAsia="pt-BR"/>
              </w:rPr>
            </w:pPr>
            <w:r w:rsidRPr="009B4545">
              <w:rPr>
                <w:rFonts w:ascii="Arial Narrow" w:eastAsia="Times New Roman" w:hAnsi="Arial Narrow" w:cs="Arial"/>
                <w:b/>
                <w:bCs/>
                <w:sz w:val="20"/>
                <w:szCs w:val="20"/>
                <w:lang w:eastAsia="pt-BR"/>
              </w:rPr>
              <w:t>PASSIVO PERMANENTE</w:t>
            </w:r>
          </w:p>
        </w:tc>
        <w:tc>
          <w:tcPr>
            <w:tcW w:w="775" w:type="dxa"/>
            <w:tcBorders>
              <w:top w:val="single" w:sz="4" w:space="0" w:color="auto"/>
              <w:bottom w:val="single" w:sz="4" w:space="0" w:color="auto"/>
              <w:right w:val="single" w:sz="8" w:space="0" w:color="auto"/>
            </w:tcBorders>
            <w:shd w:val="clear" w:color="auto" w:fill="auto"/>
            <w:noWrap/>
            <w:vAlign w:val="center"/>
          </w:tcPr>
          <w:p w14:paraId="7DF327DC" w14:textId="2DB6147A" w:rsidR="009B4545" w:rsidRPr="009B4545" w:rsidRDefault="009B4545" w:rsidP="00326F06">
            <w:pPr>
              <w:spacing w:after="0" w:line="240" w:lineRule="auto"/>
              <w:jc w:val="center"/>
              <w:rPr>
                <w:rFonts w:ascii="Arial Narrow" w:eastAsia="Times New Roman" w:hAnsi="Arial Narrow" w:cs="Arial"/>
                <w:b/>
                <w:bCs/>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744D2FA2" w14:textId="77777777" w:rsidR="009B4545" w:rsidRPr="009B4545" w:rsidRDefault="009B4545" w:rsidP="00326F06">
            <w:pPr>
              <w:spacing w:after="0" w:line="240" w:lineRule="auto"/>
              <w:jc w:val="center"/>
              <w:rPr>
                <w:rFonts w:ascii="Arial Narrow" w:eastAsia="Times New Roman" w:hAnsi="Arial Narrow" w:cs="Arial"/>
                <w:b/>
                <w:bCs/>
                <w:sz w:val="16"/>
                <w:szCs w:val="16"/>
                <w:lang w:eastAsia="pt-BR"/>
              </w:rPr>
            </w:pPr>
            <w:r w:rsidRPr="009B4545">
              <w:rPr>
                <w:rFonts w:ascii="Arial Narrow" w:eastAsia="Times New Roman" w:hAnsi="Arial Narrow" w:cs="Arial"/>
                <w:b/>
                <w:bCs/>
                <w:sz w:val="16"/>
                <w:szCs w:val="16"/>
                <w:lang w:eastAsia="pt-BR"/>
              </w:rPr>
              <w:t>BPA.H076</w:t>
            </w:r>
          </w:p>
        </w:tc>
        <w:tc>
          <w:tcPr>
            <w:tcW w:w="1420" w:type="dxa"/>
            <w:tcBorders>
              <w:top w:val="nil"/>
              <w:left w:val="nil"/>
              <w:bottom w:val="nil"/>
              <w:right w:val="single" w:sz="8" w:space="0" w:color="auto"/>
            </w:tcBorders>
            <w:shd w:val="clear" w:color="auto" w:fill="auto"/>
            <w:noWrap/>
            <w:vAlign w:val="center"/>
            <w:hideMark/>
          </w:tcPr>
          <w:p w14:paraId="50295ED9" w14:textId="77777777" w:rsidR="009B4545" w:rsidRPr="009B4545" w:rsidRDefault="009B4545" w:rsidP="00326F06">
            <w:pPr>
              <w:spacing w:after="0" w:line="240" w:lineRule="auto"/>
              <w:jc w:val="center"/>
              <w:rPr>
                <w:rFonts w:ascii="Arial Narrow" w:eastAsia="Times New Roman" w:hAnsi="Arial Narrow" w:cs="Arial"/>
                <w:b/>
                <w:bCs/>
                <w:sz w:val="16"/>
                <w:szCs w:val="16"/>
                <w:lang w:eastAsia="pt-BR"/>
              </w:rPr>
            </w:pPr>
            <w:r w:rsidRPr="009B4545">
              <w:rPr>
                <w:rFonts w:ascii="Arial Narrow" w:eastAsia="Times New Roman" w:hAnsi="Arial Narrow" w:cs="Arial"/>
                <w:b/>
                <w:bCs/>
                <w:sz w:val="16"/>
                <w:szCs w:val="16"/>
                <w:lang w:eastAsia="pt-BR"/>
              </w:rPr>
              <w:t>BPA.I076</w:t>
            </w:r>
          </w:p>
        </w:tc>
      </w:tr>
      <w:tr w:rsidR="009B4545" w:rsidRPr="009B4545" w14:paraId="6FB768D0" w14:textId="77777777" w:rsidTr="008B41CC">
        <w:trPr>
          <w:trHeight w:val="405"/>
        </w:trPr>
        <w:tc>
          <w:tcPr>
            <w:tcW w:w="4410" w:type="dxa"/>
            <w:tcBorders>
              <w:top w:val="single" w:sz="8" w:space="0" w:color="auto"/>
              <w:left w:val="single" w:sz="8" w:space="0" w:color="auto"/>
              <w:bottom w:val="single" w:sz="8" w:space="0" w:color="auto"/>
            </w:tcBorders>
            <w:shd w:val="clear" w:color="auto" w:fill="auto"/>
            <w:noWrap/>
            <w:vAlign w:val="center"/>
            <w:hideMark/>
          </w:tcPr>
          <w:p w14:paraId="55D7F0BD" w14:textId="77777777" w:rsidR="009B4545" w:rsidRPr="009B4545" w:rsidRDefault="009B4545" w:rsidP="00326F06">
            <w:pPr>
              <w:spacing w:after="0" w:line="240" w:lineRule="auto"/>
              <w:rPr>
                <w:rFonts w:ascii="Arial Narrow" w:eastAsia="Times New Roman" w:hAnsi="Arial Narrow" w:cs="Arial"/>
                <w:b/>
                <w:bCs/>
                <w:sz w:val="20"/>
                <w:szCs w:val="20"/>
                <w:lang w:eastAsia="pt-BR"/>
              </w:rPr>
            </w:pPr>
            <w:r w:rsidRPr="009B4545">
              <w:rPr>
                <w:rFonts w:ascii="Arial Narrow" w:eastAsia="Times New Roman" w:hAnsi="Arial Narrow" w:cs="Arial"/>
                <w:b/>
                <w:bCs/>
                <w:sz w:val="20"/>
                <w:szCs w:val="20"/>
                <w:lang w:eastAsia="pt-BR"/>
              </w:rPr>
              <w:t>TOTAL DO ATIVO (I)</w:t>
            </w:r>
          </w:p>
        </w:tc>
        <w:tc>
          <w:tcPr>
            <w:tcW w:w="767" w:type="dxa"/>
            <w:tcBorders>
              <w:top w:val="single" w:sz="4" w:space="0" w:color="auto"/>
              <w:bottom w:val="single" w:sz="8" w:space="0" w:color="auto"/>
              <w:right w:val="single" w:sz="8" w:space="0" w:color="auto"/>
            </w:tcBorders>
            <w:shd w:val="clear" w:color="auto" w:fill="auto"/>
            <w:noWrap/>
            <w:vAlign w:val="center"/>
          </w:tcPr>
          <w:p w14:paraId="583B64BD" w14:textId="36CBA2E1" w:rsidR="009B4545" w:rsidRPr="009B4545" w:rsidRDefault="009B4545" w:rsidP="00326F06">
            <w:pPr>
              <w:spacing w:after="0" w:line="240" w:lineRule="auto"/>
              <w:jc w:val="center"/>
              <w:rPr>
                <w:rFonts w:ascii="Arial Narrow" w:eastAsia="Times New Roman" w:hAnsi="Arial Narrow" w:cs="Arial"/>
                <w:b/>
                <w:bCs/>
                <w:sz w:val="16"/>
                <w:szCs w:val="16"/>
                <w:lang w:eastAsia="pt-BR"/>
              </w:rPr>
            </w:pPr>
          </w:p>
        </w:tc>
        <w:tc>
          <w:tcPr>
            <w:tcW w:w="1063" w:type="dxa"/>
            <w:tcBorders>
              <w:top w:val="nil"/>
              <w:left w:val="nil"/>
              <w:bottom w:val="single" w:sz="8" w:space="0" w:color="auto"/>
              <w:right w:val="single" w:sz="8" w:space="0" w:color="auto"/>
            </w:tcBorders>
            <w:shd w:val="clear" w:color="auto" w:fill="auto"/>
            <w:noWrap/>
            <w:vAlign w:val="center"/>
            <w:hideMark/>
          </w:tcPr>
          <w:p w14:paraId="79949DF1" w14:textId="77777777" w:rsidR="009B4545" w:rsidRPr="009B4545" w:rsidRDefault="009B4545" w:rsidP="00326F06">
            <w:pPr>
              <w:spacing w:after="0" w:line="240" w:lineRule="auto"/>
              <w:jc w:val="center"/>
              <w:rPr>
                <w:rFonts w:ascii="Arial Narrow" w:eastAsia="Times New Roman" w:hAnsi="Arial Narrow" w:cs="Arial"/>
                <w:b/>
                <w:bCs/>
                <w:sz w:val="16"/>
                <w:szCs w:val="16"/>
                <w:lang w:eastAsia="pt-BR"/>
              </w:rPr>
            </w:pPr>
            <w:r w:rsidRPr="009B4545">
              <w:rPr>
                <w:rFonts w:ascii="Arial Narrow" w:eastAsia="Times New Roman" w:hAnsi="Arial Narrow" w:cs="Arial"/>
                <w:b/>
                <w:bCs/>
                <w:sz w:val="16"/>
                <w:szCs w:val="16"/>
                <w:lang w:eastAsia="pt-BR"/>
              </w:rPr>
              <w:t>BPA.D077</w:t>
            </w:r>
          </w:p>
        </w:tc>
        <w:tc>
          <w:tcPr>
            <w:tcW w:w="1262" w:type="dxa"/>
            <w:tcBorders>
              <w:top w:val="nil"/>
              <w:left w:val="nil"/>
              <w:bottom w:val="single" w:sz="8" w:space="0" w:color="auto"/>
              <w:right w:val="single" w:sz="8" w:space="0" w:color="auto"/>
            </w:tcBorders>
            <w:shd w:val="clear" w:color="auto" w:fill="auto"/>
            <w:noWrap/>
            <w:vAlign w:val="center"/>
            <w:hideMark/>
          </w:tcPr>
          <w:p w14:paraId="557C2D59" w14:textId="77777777" w:rsidR="009B4545" w:rsidRPr="009B4545" w:rsidRDefault="009B4545" w:rsidP="00326F06">
            <w:pPr>
              <w:spacing w:after="0" w:line="240" w:lineRule="auto"/>
              <w:jc w:val="center"/>
              <w:rPr>
                <w:rFonts w:ascii="Arial Narrow" w:eastAsia="Times New Roman" w:hAnsi="Arial Narrow" w:cs="Arial"/>
                <w:b/>
                <w:bCs/>
                <w:sz w:val="16"/>
                <w:szCs w:val="16"/>
                <w:lang w:eastAsia="pt-BR"/>
              </w:rPr>
            </w:pPr>
            <w:r w:rsidRPr="009B4545">
              <w:rPr>
                <w:rFonts w:ascii="Arial Narrow" w:eastAsia="Times New Roman" w:hAnsi="Arial Narrow" w:cs="Arial"/>
                <w:b/>
                <w:bCs/>
                <w:sz w:val="16"/>
                <w:szCs w:val="16"/>
                <w:lang w:eastAsia="pt-BR"/>
              </w:rPr>
              <w:t>BPA.E077</w:t>
            </w:r>
          </w:p>
        </w:tc>
        <w:tc>
          <w:tcPr>
            <w:tcW w:w="4562" w:type="dxa"/>
            <w:tcBorders>
              <w:top w:val="single" w:sz="8" w:space="0" w:color="auto"/>
              <w:left w:val="nil"/>
              <w:bottom w:val="single" w:sz="8" w:space="0" w:color="auto"/>
            </w:tcBorders>
            <w:shd w:val="clear" w:color="auto" w:fill="auto"/>
            <w:noWrap/>
            <w:vAlign w:val="center"/>
            <w:hideMark/>
          </w:tcPr>
          <w:p w14:paraId="17E4807B" w14:textId="77777777" w:rsidR="009B4545" w:rsidRPr="009B4545" w:rsidRDefault="009B4545" w:rsidP="00326F06">
            <w:pPr>
              <w:spacing w:after="0" w:line="240" w:lineRule="auto"/>
              <w:rPr>
                <w:rFonts w:ascii="Arial Narrow" w:eastAsia="Times New Roman" w:hAnsi="Arial Narrow" w:cs="Arial"/>
                <w:b/>
                <w:bCs/>
                <w:sz w:val="20"/>
                <w:szCs w:val="20"/>
                <w:lang w:eastAsia="pt-BR"/>
              </w:rPr>
            </w:pPr>
            <w:r w:rsidRPr="009B4545">
              <w:rPr>
                <w:rFonts w:ascii="Arial Narrow" w:eastAsia="Times New Roman" w:hAnsi="Arial Narrow" w:cs="Arial"/>
                <w:b/>
                <w:bCs/>
                <w:sz w:val="20"/>
                <w:szCs w:val="20"/>
                <w:lang w:eastAsia="pt-BR"/>
              </w:rPr>
              <w:t>TOTAL DO PASSIVO (II)</w:t>
            </w:r>
          </w:p>
        </w:tc>
        <w:tc>
          <w:tcPr>
            <w:tcW w:w="775" w:type="dxa"/>
            <w:tcBorders>
              <w:top w:val="single" w:sz="4" w:space="0" w:color="auto"/>
              <w:bottom w:val="single" w:sz="8" w:space="0" w:color="auto"/>
              <w:right w:val="single" w:sz="8" w:space="0" w:color="auto"/>
            </w:tcBorders>
            <w:shd w:val="clear" w:color="auto" w:fill="auto"/>
            <w:noWrap/>
            <w:vAlign w:val="center"/>
          </w:tcPr>
          <w:p w14:paraId="3421BDA9" w14:textId="3D3C486A" w:rsidR="009B4545" w:rsidRPr="009B4545" w:rsidRDefault="009B4545" w:rsidP="00326F06">
            <w:pPr>
              <w:spacing w:after="0" w:line="240" w:lineRule="auto"/>
              <w:jc w:val="center"/>
              <w:rPr>
                <w:rFonts w:ascii="Arial Narrow" w:eastAsia="Times New Roman" w:hAnsi="Arial Narrow" w:cs="Arial"/>
                <w:b/>
                <w:bCs/>
                <w:sz w:val="16"/>
                <w:szCs w:val="16"/>
                <w:lang w:eastAsia="pt-BR"/>
              </w:rPr>
            </w:pPr>
          </w:p>
        </w:tc>
        <w:tc>
          <w:tcPr>
            <w:tcW w:w="1063" w:type="dxa"/>
            <w:tcBorders>
              <w:top w:val="nil"/>
              <w:left w:val="nil"/>
              <w:bottom w:val="single" w:sz="8" w:space="0" w:color="auto"/>
              <w:right w:val="single" w:sz="8" w:space="0" w:color="auto"/>
            </w:tcBorders>
            <w:shd w:val="clear" w:color="auto" w:fill="auto"/>
            <w:noWrap/>
            <w:vAlign w:val="center"/>
            <w:hideMark/>
          </w:tcPr>
          <w:p w14:paraId="0D75C11B" w14:textId="77777777" w:rsidR="009B4545" w:rsidRPr="009B4545" w:rsidRDefault="009B4545" w:rsidP="00326F06">
            <w:pPr>
              <w:spacing w:after="0" w:line="240" w:lineRule="auto"/>
              <w:jc w:val="center"/>
              <w:rPr>
                <w:rFonts w:ascii="Arial Narrow" w:eastAsia="Times New Roman" w:hAnsi="Arial Narrow" w:cs="Arial"/>
                <w:b/>
                <w:bCs/>
                <w:sz w:val="16"/>
                <w:szCs w:val="16"/>
                <w:lang w:eastAsia="pt-BR"/>
              </w:rPr>
            </w:pPr>
            <w:r w:rsidRPr="009B4545">
              <w:rPr>
                <w:rFonts w:ascii="Arial Narrow" w:eastAsia="Times New Roman" w:hAnsi="Arial Narrow" w:cs="Arial"/>
                <w:b/>
                <w:bCs/>
                <w:sz w:val="16"/>
                <w:szCs w:val="16"/>
                <w:lang w:eastAsia="pt-BR"/>
              </w:rPr>
              <w:t>BPA.H077</w:t>
            </w:r>
          </w:p>
        </w:tc>
        <w:tc>
          <w:tcPr>
            <w:tcW w:w="1420" w:type="dxa"/>
            <w:tcBorders>
              <w:top w:val="nil"/>
              <w:left w:val="nil"/>
              <w:bottom w:val="single" w:sz="8" w:space="0" w:color="auto"/>
              <w:right w:val="single" w:sz="8" w:space="0" w:color="auto"/>
            </w:tcBorders>
            <w:shd w:val="clear" w:color="auto" w:fill="auto"/>
            <w:noWrap/>
            <w:vAlign w:val="center"/>
            <w:hideMark/>
          </w:tcPr>
          <w:p w14:paraId="797DF1EF" w14:textId="77777777" w:rsidR="009B4545" w:rsidRPr="009B4545" w:rsidRDefault="009B4545" w:rsidP="00326F06">
            <w:pPr>
              <w:spacing w:after="0" w:line="240" w:lineRule="auto"/>
              <w:jc w:val="center"/>
              <w:rPr>
                <w:rFonts w:ascii="Arial Narrow" w:eastAsia="Times New Roman" w:hAnsi="Arial Narrow" w:cs="Arial"/>
                <w:b/>
                <w:bCs/>
                <w:sz w:val="16"/>
                <w:szCs w:val="16"/>
                <w:lang w:eastAsia="pt-BR"/>
              </w:rPr>
            </w:pPr>
            <w:r w:rsidRPr="009B4545">
              <w:rPr>
                <w:rFonts w:ascii="Arial Narrow" w:eastAsia="Times New Roman" w:hAnsi="Arial Narrow" w:cs="Arial"/>
                <w:b/>
                <w:bCs/>
                <w:sz w:val="16"/>
                <w:szCs w:val="16"/>
                <w:lang w:eastAsia="pt-BR"/>
              </w:rPr>
              <w:t>BPA.I077</w:t>
            </w:r>
          </w:p>
        </w:tc>
      </w:tr>
      <w:tr w:rsidR="008B41CC" w:rsidRPr="009B4545" w14:paraId="665FEF95" w14:textId="77777777" w:rsidTr="008B41CC">
        <w:trPr>
          <w:trHeight w:val="177"/>
        </w:trPr>
        <w:tc>
          <w:tcPr>
            <w:tcW w:w="12064" w:type="dxa"/>
            <w:gridSpan w:val="5"/>
            <w:vMerge w:val="restart"/>
            <w:tcBorders>
              <w:top w:val="single" w:sz="8" w:space="0" w:color="auto"/>
              <w:left w:val="single" w:sz="8" w:space="0" w:color="auto"/>
            </w:tcBorders>
            <w:shd w:val="clear" w:color="000000" w:fill="auto"/>
            <w:noWrap/>
            <w:vAlign w:val="center"/>
            <w:hideMark/>
          </w:tcPr>
          <w:p w14:paraId="6A3CF1AA" w14:textId="77777777" w:rsidR="008B41CC" w:rsidRPr="009B4545" w:rsidRDefault="008B41CC" w:rsidP="00326F06">
            <w:pPr>
              <w:spacing w:after="0" w:line="240" w:lineRule="auto"/>
              <w:rPr>
                <w:rFonts w:ascii="Arial Narrow" w:eastAsia="Times New Roman" w:hAnsi="Arial Narrow" w:cs="Arial"/>
                <w:b/>
                <w:bCs/>
                <w:sz w:val="20"/>
                <w:szCs w:val="20"/>
                <w:lang w:eastAsia="pt-BR"/>
              </w:rPr>
            </w:pPr>
            <w:r w:rsidRPr="009B4545">
              <w:rPr>
                <w:rFonts w:ascii="Arial Narrow" w:eastAsia="Times New Roman" w:hAnsi="Arial Narrow" w:cs="Arial"/>
                <w:b/>
                <w:bCs/>
                <w:sz w:val="20"/>
                <w:szCs w:val="20"/>
                <w:lang w:eastAsia="pt-BR"/>
              </w:rPr>
              <w:t>SALDO PATRIMONIAL (I - II)</w:t>
            </w:r>
          </w:p>
        </w:tc>
        <w:tc>
          <w:tcPr>
            <w:tcW w:w="775" w:type="dxa"/>
            <w:tcBorders>
              <w:top w:val="single" w:sz="8" w:space="0" w:color="auto"/>
              <w:right w:val="nil"/>
            </w:tcBorders>
            <w:shd w:val="clear" w:color="000000" w:fill="auto"/>
            <w:noWrap/>
            <w:vAlign w:val="center"/>
          </w:tcPr>
          <w:p w14:paraId="3F0FFB92" w14:textId="4CB2D7E9" w:rsidR="008B41CC" w:rsidRPr="009B4545" w:rsidRDefault="008B41CC" w:rsidP="00326F06">
            <w:pPr>
              <w:spacing w:after="0" w:line="240" w:lineRule="auto"/>
              <w:jc w:val="center"/>
              <w:rPr>
                <w:rFonts w:ascii="Arial Narrow" w:eastAsia="Times New Roman" w:hAnsi="Arial Narrow" w:cs="Arial"/>
                <w:b/>
                <w:bCs/>
                <w:sz w:val="16"/>
                <w:szCs w:val="16"/>
                <w:lang w:eastAsia="pt-BR"/>
              </w:rPr>
            </w:pPr>
          </w:p>
        </w:tc>
        <w:tc>
          <w:tcPr>
            <w:tcW w:w="1063" w:type="dxa"/>
            <w:vMerge w:val="restart"/>
            <w:tcBorders>
              <w:top w:val="single" w:sz="8" w:space="0" w:color="auto"/>
              <w:left w:val="single" w:sz="8" w:space="0" w:color="auto"/>
              <w:right w:val="nil"/>
            </w:tcBorders>
            <w:shd w:val="clear" w:color="000000" w:fill="auto"/>
            <w:noWrap/>
            <w:vAlign w:val="center"/>
            <w:hideMark/>
          </w:tcPr>
          <w:p w14:paraId="6332F0B2" w14:textId="77777777" w:rsidR="008B41CC" w:rsidRPr="009B4545" w:rsidRDefault="008B41CC" w:rsidP="00326F06">
            <w:pPr>
              <w:spacing w:after="0" w:line="240" w:lineRule="auto"/>
              <w:jc w:val="center"/>
              <w:rPr>
                <w:rFonts w:ascii="Arial Narrow" w:eastAsia="Times New Roman" w:hAnsi="Arial Narrow" w:cs="Arial"/>
                <w:b/>
                <w:bCs/>
                <w:sz w:val="16"/>
                <w:szCs w:val="16"/>
                <w:lang w:eastAsia="pt-BR"/>
              </w:rPr>
            </w:pPr>
            <w:r w:rsidRPr="009B4545">
              <w:rPr>
                <w:rFonts w:ascii="Arial Narrow" w:eastAsia="Times New Roman" w:hAnsi="Arial Narrow" w:cs="Arial"/>
                <w:b/>
                <w:bCs/>
                <w:sz w:val="16"/>
                <w:szCs w:val="16"/>
                <w:lang w:eastAsia="pt-BR"/>
              </w:rPr>
              <w:t>BPA.H078</w:t>
            </w:r>
          </w:p>
        </w:tc>
        <w:tc>
          <w:tcPr>
            <w:tcW w:w="1420" w:type="dxa"/>
            <w:vMerge w:val="restart"/>
            <w:tcBorders>
              <w:top w:val="single" w:sz="8" w:space="0" w:color="auto"/>
              <w:left w:val="single" w:sz="8" w:space="0" w:color="auto"/>
              <w:right w:val="single" w:sz="8" w:space="0" w:color="auto"/>
            </w:tcBorders>
            <w:shd w:val="clear" w:color="000000" w:fill="auto"/>
            <w:noWrap/>
            <w:vAlign w:val="center"/>
            <w:hideMark/>
          </w:tcPr>
          <w:p w14:paraId="3448C2A4" w14:textId="77777777" w:rsidR="008B41CC" w:rsidRPr="009B4545" w:rsidRDefault="008B41CC" w:rsidP="00326F06">
            <w:pPr>
              <w:spacing w:after="0" w:line="240" w:lineRule="auto"/>
              <w:jc w:val="center"/>
              <w:rPr>
                <w:rFonts w:ascii="Arial Narrow" w:eastAsia="Times New Roman" w:hAnsi="Arial Narrow" w:cs="Arial"/>
                <w:b/>
                <w:bCs/>
                <w:sz w:val="16"/>
                <w:szCs w:val="16"/>
                <w:lang w:eastAsia="pt-BR"/>
              </w:rPr>
            </w:pPr>
            <w:r w:rsidRPr="009B4545">
              <w:rPr>
                <w:rFonts w:ascii="Arial Narrow" w:eastAsia="Times New Roman" w:hAnsi="Arial Narrow" w:cs="Arial"/>
                <w:b/>
                <w:bCs/>
                <w:sz w:val="16"/>
                <w:szCs w:val="16"/>
                <w:lang w:eastAsia="pt-BR"/>
              </w:rPr>
              <w:t>BPA.I078</w:t>
            </w:r>
          </w:p>
        </w:tc>
      </w:tr>
      <w:tr w:rsidR="008B41CC" w:rsidRPr="009B4545" w14:paraId="6AAA5F7B" w14:textId="77777777" w:rsidTr="008B41CC">
        <w:trPr>
          <w:trHeight w:val="176"/>
        </w:trPr>
        <w:tc>
          <w:tcPr>
            <w:tcW w:w="12064" w:type="dxa"/>
            <w:gridSpan w:val="5"/>
            <w:vMerge/>
            <w:tcBorders>
              <w:left w:val="single" w:sz="8" w:space="0" w:color="auto"/>
              <w:bottom w:val="single" w:sz="8" w:space="0" w:color="auto"/>
            </w:tcBorders>
            <w:shd w:val="clear" w:color="000000" w:fill="auto"/>
            <w:noWrap/>
            <w:vAlign w:val="center"/>
          </w:tcPr>
          <w:p w14:paraId="5CEF22FA" w14:textId="77777777" w:rsidR="008B41CC" w:rsidRPr="009B4545" w:rsidRDefault="008B41CC" w:rsidP="00326F06">
            <w:pPr>
              <w:spacing w:after="0" w:line="240" w:lineRule="auto"/>
              <w:rPr>
                <w:rFonts w:ascii="Arial Narrow" w:eastAsia="Times New Roman" w:hAnsi="Arial Narrow" w:cs="Arial"/>
                <w:b/>
                <w:bCs/>
                <w:sz w:val="20"/>
                <w:szCs w:val="20"/>
                <w:lang w:eastAsia="pt-BR"/>
              </w:rPr>
            </w:pPr>
          </w:p>
        </w:tc>
        <w:tc>
          <w:tcPr>
            <w:tcW w:w="775" w:type="dxa"/>
            <w:tcBorders>
              <w:bottom w:val="single" w:sz="8" w:space="0" w:color="auto"/>
              <w:right w:val="nil"/>
            </w:tcBorders>
            <w:shd w:val="clear" w:color="000000" w:fill="auto"/>
            <w:noWrap/>
            <w:vAlign w:val="center"/>
          </w:tcPr>
          <w:p w14:paraId="5D1DCAA7" w14:textId="77777777" w:rsidR="008B41CC" w:rsidRPr="009B4545" w:rsidRDefault="008B41CC" w:rsidP="00326F06">
            <w:pPr>
              <w:spacing w:after="0" w:line="240" w:lineRule="auto"/>
              <w:jc w:val="center"/>
              <w:rPr>
                <w:rFonts w:ascii="Arial Narrow" w:eastAsia="Times New Roman" w:hAnsi="Arial Narrow" w:cs="Arial"/>
                <w:b/>
                <w:bCs/>
                <w:sz w:val="16"/>
                <w:szCs w:val="16"/>
                <w:lang w:eastAsia="pt-BR"/>
              </w:rPr>
            </w:pPr>
          </w:p>
        </w:tc>
        <w:tc>
          <w:tcPr>
            <w:tcW w:w="1063" w:type="dxa"/>
            <w:vMerge/>
            <w:tcBorders>
              <w:left w:val="single" w:sz="8" w:space="0" w:color="auto"/>
              <w:bottom w:val="single" w:sz="8" w:space="0" w:color="auto"/>
              <w:right w:val="nil"/>
            </w:tcBorders>
            <w:shd w:val="clear" w:color="000000" w:fill="auto"/>
            <w:noWrap/>
            <w:vAlign w:val="center"/>
          </w:tcPr>
          <w:p w14:paraId="5AF44FD8" w14:textId="77777777" w:rsidR="008B41CC" w:rsidRPr="009B4545" w:rsidRDefault="008B41CC" w:rsidP="00326F06">
            <w:pPr>
              <w:spacing w:after="0" w:line="240" w:lineRule="auto"/>
              <w:jc w:val="center"/>
              <w:rPr>
                <w:rFonts w:ascii="Arial Narrow" w:eastAsia="Times New Roman" w:hAnsi="Arial Narrow" w:cs="Arial"/>
                <w:b/>
                <w:bCs/>
                <w:sz w:val="16"/>
                <w:szCs w:val="16"/>
                <w:lang w:eastAsia="pt-BR"/>
              </w:rPr>
            </w:pPr>
          </w:p>
        </w:tc>
        <w:tc>
          <w:tcPr>
            <w:tcW w:w="1420" w:type="dxa"/>
            <w:vMerge/>
            <w:tcBorders>
              <w:left w:val="single" w:sz="8" w:space="0" w:color="auto"/>
              <w:bottom w:val="single" w:sz="8" w:space="0" w:color="auto"/>
              <w:right w:val="single" w:sz="8" w:space="0" w:color="auto"/>
            </w:tcBorders>
            <w:shd w:val="clear" w:color="000000" w:fill="auto"/>
            <w:noWrap/>
            <w:vAlign w:val="center"/>
          </w:tcPr>
          <w:p w14:paraId="69A7EFE0" w14:textId="77777777" w:rsidR="008B41CC" w:rsidRPr="009B4545" w:rsidRDefault="008B41CC" w:rsidP="00326F06">
            <w:pPr>
              <w:spacing w:after="0" w:line="240" w:lineRule="auto"/>
              <w:jc w:val="center"/>
              <w:rPr>
                <w:rFonts w:ascii="Arial Narrow" w:eastAsia="Times New Roman" w:hAnsi="Arial Narrow" w:cs="Arial"/>
                <w:b/>
                <w:bCs/>
                <w:sz w:val="16"/>
                <w:szCs w:val="16"/>
                <w:lang w:eastAsia="pt-BR"/>
              </w:rPr>
            </w:pPr>
          </w:p>
        </w:tc>
      </w:tr>
    </w:tbl>
    <w:p w14:paraId="1854DC59" w14:textId="77777777" w:rsidR="009B4545" w:rsidRPr="009B4545" w:rsidRDefault="009B4545" w:rsidP="009B4545">
      <w:pPr>
        <w:spacing w:after="0" w:line="360" w:lineRule="auto"/>
        <w:jc w:val="both"/>
        <w:rPr>
          <w:rFonts w:ascii="Arial" w:hAnsi="Arial"/>
        </w:rPr>
      </w:pPr>
    </w:p>
    <w:tbl>
      <w:tblPr>
        <w:tblW w:w="15322" w:type="dxa"/>
        <w:tblInd w:w="-497" w:type="dxa"/>
        <w:tblCellMar>
          <w:left w:w="70" w:type="dxa"/>
          <w:right w:w="70" w:type="dxa"/>
        </w:tblCellMar>
        <w:tblLook w:val="04A0" w:firstRow="1" w:lastRow="0" w:firstColumn="1" w:lastColumn="0" w:noHBand="0" w:noVBand="1"/>
      </w:tblPr>
      <w:tblGrid>
        <w:gridCol w:w="4410"/>
        <w:gridCol w:w="767"/>
        <w:gridCol w:w="1063"/>
        <w:gridCol w:w="1262"/>
        <w:gridCol w:w="4562"/>
        <w:gridCol w:w="775"/>
        <w:gridCol w:w="1063"/>
        <w:gridCol w:w="1420"/>
      </w:tblGrid>
      <w:tr w:rsidR="009B4545" w:rsidRPr="009B4545" w14:paraId="65F1A2DF" w14:textId="77777777" w:rsidTr="00326F06">
        <w:trPr>
          <w:trHeight w:val="270"/>
        </w:trPr>
        <w:tc>
          <w:tcPr>
            <w:tcW w:w="15322" w:type="dxa"/>
            <w:gridSpan w:val="8"/>
            <w:tcBorders>
              <w:top w:val="nil"/>
              <w:left w:val="nil"/>
              <w:bottom w:val="single" w:sz="8" w:space="0" w:color="auto"/>
              <w:right w:val="nil"/>
            </w:tcBorders>
            <w:shd w:val="clear" w:color="auto" w:fill="auto"/>
            <w:noWrap/>
            <w:vAlign w:val="center"/>
            <w:hideMark/>
          </w:tcPr>
          <w:p w14:paraId="0A95FBA8" w14:textId="77777777" w:rsidR="009B4545" w:rsidRPr="009B4545" w:rsidRDefault="009B4545" w:rsidP="00326F06">
            <w:pPr>
              <w:spacing w:after="0" w:line="240" w:lineRule="auto"/>
              <w:jc w:val="center"/>
              <w:rPr>
                <w:rFonts w:ascii="Arial" w:eastAsia="Times New Roman" w:hAnsi="Arial" w:cs="Arial"/>
                <w:b/>
                <w:bCs/>
                <w:sz w:val="20"/>
                <w:szCs w:val="20"/>
                <w:lang w:eastAsia="pt-BR"/>
              </w:rPr>
            </w:pPr>
            <w:r w:rsidRPr="009B4545">
              <w:rPr>
                <w:rFonts w:ascii="Arial" w:eastAsia="Times New Roman" w:hAnsi="Arial" w:cs="Arial"/>
                <w:b/>
                <w:bCs/>
                <w:sz w:val="20"/>
                <w:szCs w:val="20"/>
                <w:lang w:eastAsia="pt-BR"/>
              </w:rPr>
              <w:t>CONTAS DE COMPENSAÇÃO – LEI N.º 4.320/64</w:t>
            </w:r>
          </w:p>
          <w:p w14:paraId="36E40DC9" w14:textId="77777777" w:rsidR="009B4545" w:rsidRPr="009B4545" w:rsidRDefault="009B4545" w:rsidP="00326F06">
            <w:pPr>
              <w:spacing w:after="0" w:line="240" w:lineRule="auto"/>
              <w:jc w:val="center"/>
              <w:rPr>
                <w:rFonts w:ascii="Arial" w:eastAsia="Times New Roman" w:hAnsi="Arial" w:cs="Arial"/>
                <w:b/>
                <w:bCs/>
                <w:sz w:val="20"/>
                <w:szCs w:val="20"/>
                <w:lang w:eastAsia="pt-BR"/>
              </w:rPr>
            </w:pPr>
          </w:p>
        </w:tc>
      </w:tr>
      <w:tr w:rsidR="009B4545" w:rsidRPr="009B4545" w14:paraId="34E9CCD0" w14:textId="77777777" w:rsidTr="00ED643B">
        <w:trPr>
          <w:trHeight w:val="285"/>
        </w:trPr>
        <w:tc>
          <w:tcPr>
            <w:tcW w:w="4410" w:type="dxa"/>
            <w:tcBorders>
              <w:top w:val="nil"/>
              <w:left w:val="single" w:sz="8" w:space="0" w:color="auto"/>
              <w:bottom w:val="single" w:sz="8" w:space="0" w:color="auto"/>
            </w:tcBorders>
            <w:shd w:val="clear" w:color="000000" w:fill="D9D9D9"/>
            <w:noWrap/>
            <w:vAlign w:val="center"/>
            <w:hideMark/>
          </w:tcPr>
          <w:p w14:paraId="02023077" w14:textId="77777777" w:rsidR="009B4545" w:rsidRPr="009B4545" w:rsidRDefault="009B4545" w:rsidP="00326F06">
            <w:pPr>
              <w:spacing w:after="0" w:line="240" w:lineRule="auto"/>
              <w:jc w:val="center"/>
              <w:rPr>
                <w:rFonts w:ascii="Arial Narrow" w:eastAsia="Times New Roman" w:hAnsi="Arial Narrow" w:cs="Arial"/>
                <w:b/>
                <w:bCs/>
                <w:sz w:val="16"/>
                <w:szCs w:val="16"/>
                <w:lang w:eastAsia="pt-BR"/>
              </w:rPr>
            </w:pPr>
            <w:r w:rsidRPr="009B4545">
              <w:rPr>
                <w:rFonts w:ascii="Arial Narrow" w:eastAsia="Times New Roman" w:hAnsi="Arial Narrow" w:cs="Arial"/>
                <w:b/>
                <w:bCs/>
                <w:sz w:val="16"/>
                <w:szCs w:val="16"/>
                <w:lang w:eastAsia="pt-BR"/>
              </w:rPr>
              <w:t>ATIVO</w:t>
            </w:r>
          </w:p>
        </w:tc>
        <w:tc>
          <w:tcPr>
            <w:tcW w:w="767" w:type="dxa"/>
            <w:tcBorders>
              <w:top w:val="nil"/>
              <w:bottom w:val="single" w:sz="8" w:space="0" w:color="000000"/>
              <w:right w:val="single" w:sz="8" w:space="0" w:color="auto"/>
            </w:tcBorders>
            <w:shd w:val="clear" w:color="000000" w:fill="D9D9D9"/>
            <w:noWrap/>
            <w:vAlign w:val="center"/>
          </w:tcPr>
          <w:p w14:paraId="2909E47A" w14:textId="7EC76744" w:rsidR="009B4545" w:rsidRPr="009B4545" w:rsidRDefault="009B4545" w:rsidP="00326F06">
            <w:pPr>
              <w:spacing w:after="0" w:line="240" w:lineRule="auto"/>
              <w:jc w:val="center"/>
              <w:rPr>
                <w:rFonts w:ascii="Arial Narrow" w:eastAsia="Times New Roman" w:hAnsi="Arial Narrow" w:cs="Arial"/>
                <w:b/>
                <w:bCs/>
                <w:sz w:val="16"/>
                <w:szCs w:val="16"/>
                <w:lang w:eastAsia="pt-BR"/>
              </w:rPr>
            </w:pPr>
          </w:p>
        </w:tc>
        <w:tc>
          <w:tcPr>
            <w:tcW w:w="1063" w:type="dxa"/>
            <w:vMerge w:val="restart"/>
            <w:tcBorders>
              <w:top w:val="nil"/>
              <w:left w:val="single" w:sz="8" w:space="0" w:color="auto"/>
              <w:bottom w:val="single" w:sz="8" w:space="0" w:color="000000"/>
              <w:right w:val="single" w:sz="8" w:space="0" w:color="auto"/>
            </w:tcBorders>
            <w:shd w:val="clear" w:color="000000" w:fill="D9D9D9"/>
            <w:noWrap/>
            <w:vAlign w:val="center"/>
            <w:hideMark/>
          </w:tcPr>
          <w:p w14:paraId="7B8EEC58" w14:textId="77777777" w:rsidR="009B4545" w:rsidRPr="009B4545" w:rsidRDefault="009B4545" w:rsidP="00326F06">
            <w:pPr>
              <w:spacing w:after="0" w:line="240" w:lineRule="auto"/>
              <w:jc w:val="center"/>
              <w:rPr>
                <w:rFonts w:ascii="Arial Narrow" w:eastAsia="Times New Roman" w:hAnsi="Arial Narrow" w:cs="Arial"/>
                <w:b/>
                <w:bCs/>
                <w:sz w:val="16"/>
                <w:szCs w:val="16"/>
                <w:lang w:eastAsia="pt-BR"/>
              </w:rPr>
            </w:pPr>
            <w:r w:rsidRPr="009B4545">
              <w:rPr>
                <w:rFonts w:ascii="Arial Narrow" w:eastAsia="Times New Roman" w:hAnsi="Arial Narrow" w:cs="Arial"/>
                <w:b/>
                <w:bCs/>
                <w:sz w:val="16"/>
                <w:szCs w:val="16"/>
                <w:lang w:eastAsia="pt-BR"/>
              </w:rPr>
              <w:t>Exercício Atual</w:t>
            </w:r>
          </w:p>
        </w:tc>
        <w:tc>
          <w:tcPr>
            <w:tcW w:w="1262" w:type="dxa"/>
            <w:vMerge w:val="restart"/>
            <w:tcBorders>
              <w:top w:val="nil"/>
              <w:left w:val="single" w:sz="8" w:space="0" w:color="auto"/>
              <w:bottom w:val="single" w:sz="8" w:space="0" w:color="000000"/>
              <w:right w:val="single" w:sz="8" w:space="0" w:color="auto"/>
            </w:tcBorders>
            <w:shd w:val="clear" w:color="000000" w:fill="D9D9D9"/>
            <w:noWrap/>
            <w:vAlign w:val="center"/>
            <w:hideMark/>
          </w:tcPr>
          <w:p w14:paraId="350DDC83" w14:textId="77777777" w:rsidR="009B4545" w:rsidRPr="009B4545" w:rsidRDefault="009B4545" w:rsidP="00326F06">
            <w:pPr>
              <w:spacing w:after="0" w:line="240" w:lineRule="auto"/>
              <w:jc w:val="center"/>
              <w:rPr>
                <w:rFonts w:ascii="Arial Narrow" w:eastAsia="Times New Roman" w:hAnsi="Arial Narrow" w:cs="Arial"/>
                <w:b/>
                <w:bCs/>
                <w:sz w:val="16"/>
                <w:szCs w:val="16"/>
                <w:lang w:eastAsia="pt-BR"/>
              </w:rPr>
            </w:pPr>
            <w:r w:rsidRPr="009B4545">
              <w:rPr>
                <w:rFonts w:ascii="Arial Narrow" w:eastAsia="Times New Roman" w:hAnsi="Arial Narrow" w:cs="Arial"/>
                <w:b/>
                <w:bCs/>
                <w:sz w:val="16"/>
                <w:szCs w:val="16"/>
                <w:lang w:eastAsia="pt-BR"/>
              </w:rPr>
              <w:t>Exercício Anterior</w:t>
            </w:r>
          </w:p>
        </w:tc>
        <w:tc>
          <w:tcPr>
            <w:tcW w:w="4562" w:type="dxa"/>
            <w:tcBorders>
              <w:top w:val="nil"/>
              <w:left w:val="nil"/>
              <w:bottom w:val="single" w:sz="4" w:space="0" w:color="auto"/>
            </w:tcBorders>
            <w:shd w:val="clear" w:color="000000" w:fill="D9D9D9"/>
            <w:noWrap/>
            <w:vAlign w:val="center"/>
            <w:hideMark/>
          </w:tcPr>
          <w:p w14:paraId="6FD160D5" w14:textId="77777777" w:rsidR="009B4545" w:rsidRPr="009B4545" w:rsidRDefault="009B4545" w:rsidP="00326F06">
            <w:pPr>
              <w:spacing w:after="0" w:line="240" w:lineRule="auto"/>
              <w:jc w:val="center"/>
              <w:rPr>
                <w:rFonts w:ascii="Arial Narrow" w:eastAsia="Times New Roman" w:hAnsi="Arial Narrow" w:cs="Arial"/>
                <w:b/>
                <w:bCs/>
                <w:sz w:val="16"/>
                <w:szCs w:val="16"/>
                <w:lang w:eastAsia="pt-BR"/>
              </w:rPr>
            </w:pPr>
            <w:r w:rsidRPr="009B4545">
              <w:rPr>
                <w:rFonts w:ascii="Arial Narrow" w:eastAsia="Times New Roman" w:hAnsi="Arial Narrow" w:cs="Arial"/>
                <w:b/>
                <w:bCs/>
                <w:sz w:val="16"/>
                <w:szCs w:val="16"/>
                <w:lang w:eastAsia="pt-BR"/>
              </w:rPr>
              <w:t>PASSIVO</w:t>
            </w:r>
          </w:p>
        </w:tc>
        <w:tc>
          <w:tcPr>
            <w:tcW w:w="775" w:type="dxa"/>
            <w:tcBorders>
              <w:top w:val="nil"/>
              <w:bottom w:val="single" w:sz="8" w:space="0" w:color="000000"/>
              <w:right w:val="single" w:sz="8" w:space="0" w:color="auto"/>
            </w:tcBorders>
            <w:shd w:val="clear" w:color="000000" w:fill="D9D9D9"/>
            <w:noWrap/>
            <w:vAlign w:val="center"/>
          </w:tcPr>
          <w:p w14:paraId="4E7CC403" w14:textId="771C0CCC" w:rsidR="009B4545" w:rsidRPr="009B4545" w:rsidRDefault="009B4545" w:rsidP="00326F06">
            <w:pPr>
              <w:spacing w:after="0" w:line="240" w:lineRule="auto"/>
              <w:jc w:val="center"/>
              <w:rPr>
                <w:rFonts w:ascii="Arial Narrow" w:eastAsia="Times New Roman" w:hAnsi="Arial Narrow" w:cs="Arial"/>
                <w:b/>
                <w:bCs/>
                <w:sz w:val="16"/>
                <w:szCs w:val="16"/>
                <w:lang w:eastAsia="pt-BR"/>
              </w:rPr>
            </w:pPr>
          </w:p>
        </w:tc>
        <w:tc>
          <w:tcPr>
            <w:tcW w:w="1063" w:type="dxa"/>
            <w:vMerge w:val="restart"/>
            <w:tcBorders>
              <w:top w:val="nil"/>
              <w:left w:val="single" w:sz="8" w:space="0" w:color="auto"/>
              <w:bottom w:val="single" w:sz="8" w:space="0" w:color="000000"/>
              <w:right w:val="single" w:sz="8" w:space="0" w:color="auto"/>
            </w:tcBorders>
            <w:shd w:val="clear" w:color="000000" w:fill="D9D9D9"/>
            <w:noWrap/>
            <w:vAlign w:val="center"/>
            <w:hideMark/>
          </w:tcPr>
          <w:p w14:paraId="23789204" w14:textId="77777777" w:rsidR="009B4545" w:rsidRPr="009B4545" w:rsidRDefault="009B4545" w:rsidP="00326F06">
            <w:pPr>
              <w:spacing w:after="0" w:line="240" w:lineRule="auto"/>
              <w:jc w:val="center"/>
              <w:rPr>
                <w:rFonts w:ascii="Arial Narrow" w:eastAsia="Times New Roman" w:hAnsi="Arial Narrow" w:cs="Arial"/>
                <w:b/>
                <w:bCs/>
                <w:sz w:val="16"/>
                <w:szCs w:val="16"/>
                <w:lang w:eastAsia="pt-BR"/>
              </w:rPr>
            </w:pPr>
            <w:r w:rsidRPr="009B4545">
              <w:rPr>
                <w:rFonts w:ascii="Arial Narrow" w:eastAsia="Times New Roman" w:hAnsi="Arial Narrow" w:cs="Arial"/>
                <w:b/>
                <w:bCs/>
                <w:sz w:val="16"/>
                <w:szCs w:val="16"/>
                <w:lang w:eastAsia="pt-BR"/>
              </w:rPr>
              <w:t>Exercício Atual</w:t>
            </w:r>
          </w:p>
        </w:tc>
        <w:tc>
          <w:tcPr>
            <w:tcW w:w="1420" w:type="dxa"/>
            <w:vMerge w:val="restart"/>
            <w:tcBorders>
              <w:top w:val="nil"/>
              <w:left w:val="nil"/>
              <w:bottom w:val="single" w:sz="8" w:space="0" w:color="000000"/>
              <w:right w:val="single" w:sz="8" w:space="0" w:color="auto"/>
            </w:tcBorders>
            <w:shd w:val="clear" w:color="000000" w:fill="D9D9D9"/>
            <w:noWrap/>
            <w:vAlign w:val="center"/>
            <w:hideMark/>
          </w:tcPr>
          <w:p w14:paraId="63865EA5" w14:textId="77777777" w:rsidR="009B4545" w:rsidRPr="009B4545" w:rsidRDefault="009B4545" w:rsidP="00326F06">
            <w:pPr>
              <w:spacing w:after="0" w:line="240" w:lineRule="auto"/>
              <w:jc w:val="center"/>
              <w:rPr>
                <w:rFonts w:ascii="Arial Narrow" w:eastAsia="Times New Roman" w:hAnsi="Arial Narrow" w:cs="Arial"/>
                <w:b/>
                <w:bCs/>
                <w:sz w:val="16"/>
                <w:szCs w:val="16"/>
                <w:lang w:eastAsia="pt-BR"/>
              </w:rPr>
            </w:pPr>
            <w:r w:rsidRPr="009B4545">
              <w:rPr>
                <w:rFonts w:ascii="Arial Narrow" w:eastAsia="Times New Roman" w:hAnsi="Arial Narrow" w:cs="Arial"/>
                <w:b/>
                <w:bCs/>
                <w:sz w:val="16"/>
                <w:szCs w:val="16"/>
                <w:lang w:eastAsia="pt-BR"/>
              </w:rPr>
              <w:t>Exercício Anterior</w:t>
            </w:r>
          </w:p>
        </w:tc>
      </w:tr>
      <w:tr w:rsidR="009B4545" w:rsidRPr="009B4545" w14:paraId="3839AC16" w14:textId="77777777" w:rsidTr="00ED643B">
        <w:trPr>
          <w:trHeight w:val="255"/>
        </w:trPr>
        <w:tc>
          <w:tcPr>
            <w:tcW w:w="4410" w:type="dxa"/>
            <w:tcBorders>
              <w:top w:val="nil"/>
              <w:left w:val="single" w:sz="8" w:space="0" w:color="auto"/>
              <w:bottom w:val="single" w:sz="8" w:space="0" w:color="auto"/>
            </w:tcBorders>
            <w:shd w:val="clear" w:color="000000" w:fill="D9D9D9"/>
            <w:noWrap/>
            <w:vAlign w:val="center"/>
            <w:hideMark/>
          </w:tcPr>
          <w:p w14:paraId="08631E7C" w14:textId="77777777" w:rsidR="009B4545" w:rsidRPr="009B4545" w:rsidRDefault="009B4545" w:rsidP="00326F06">
            <w:pPr>
              <w:spacing w:after="0" w:line="240" w:lineRule="auto"/>
              <w:rPr>
                <w:rFonts w:ascii="Arial Narrow" w:eastAsia="Times New Roman" w:hAnsi="Arial Narrow" w:cs="Arial"/>
                <w:b/>
                <w:bCs/>
                <w:sz w:val="16"/>
                <w:szCs w:val="16"/>
                <w:lang w:eastAsia="pt-BR"/>
              </w:rPr>
            </w:pPr>
            <w:r w:rsidRPr="009B4545">
              <w:rPr>
                <w:rFonts w:ascii="Arial Narrow" w:eastAsia="Times New Roman" w:hAnsi="Arial Narrow" w:cs="Arial"/>
                <w:b/>
                <w:bCs/>
                <w:sz w:val="16"/>
                <w:szCs w:val="16"/>
                <w:lang w:eastAsia="pt-BR"/>
              </w:rPr>
              <w:t>Especificação</w:t>
            </w:r>
          </w:p>
        </w:tc>
        <w:tc>
          <w:tcPr>
            <w:tcW w:w="767" w:type="dxa"/>
            <w:tcBorders>
              <w:top w:val="nil"/>
              <w:bottom w:val="single" w:sz="8" w:space="0" w:color="000000"/>
              <w:right w:val="single" w:sz="8" w:space="0" w:color="auto"/>
            </w:tcBorders>
            <w:shd w:val="clear" w:color="000000" w:fill="D9D9D9"/>
            <w:vAlign w:val="center"/>
          </w:tcPr>
          <w:p w14:paraId="5D952322" w14:textId="77777777" w:rsidR="009B4545" w:rsidRPr="009B4545" w:rsidRDefault="009B4545" w:rsidP="00326F06">
            <w:pPr>
              <w:spacing w:after="0" w:line="240" w:lineRule="auto"/>
              <w:rPr>
                <w:rFonts w:ascii="Arial Narrow" w:eastAsia="Times New Roman" w:hAnsi="Arial Narrow" w:cs="Arial"/>
                <w:b/>
                <w:bCs/>
                <w:sz w:val="16"/>
                <w:szCs w:val="16"/>
                <w:lang w:eastAsia="pt-BR"/>
              </w:rPr>
            </w:pPr>
          </w:p>
        </w:tc>
        <w:tc>
          <w:tcPr>
            <w:tcW w:w="1063" w:type="dxa"/>
            <w:vMerge/>
            <w:tcBorders>
              <w:top w:val="nil"/>
              <w:left w:val="single" w:sz="8" w:space="0" w:color="auto"/>
              <w:bottom w:val="single" w:sz="8" w:space="0" w:color="000000"/>
              <w:right w:val="single" w:sz="8" w:space="0" w:color="auto"/>
            </w:tcBorders>
            <w:vAlign w:val="center"/>
            <w:hideMark/>
          </w:tcPr>
          <w:p w14:paraId="3D71B002" w14:textId="77777777" w:rsidR="009B4545" w:rsidRPr="009B4545" w:rsidRDefault="009B4545" w:rsidP="00326F06">
            <w:pPr>
              <w:spacing w:after="0" w:line="240" w:lineRule="auto"/>
              <w:rPr>
                <w:rFonts w:ascii="Arial Narrow" w:eastAsia="Times New Roman" w:hAnsi="Arial Narrow" w:cs="Arial"/>
                <w:b/>
                <w:bCs/>
                <w:sz w:val="16"/>
                <w:szCs w:val="16"/>
                <w:lang w:eastAsia="pt-BR"/>
              </w:rPr>
            </w:pPr>
          </w:p>
        </w:tc>
        <w:tc>
          <w:tcPr>
            <w:tcW w:w="1262" w:type="dxa"/>
            <w:vMerge/>
            <w:tcBorders>
              <w:top w:val="nil"/>
              <w:left w:val="single" w:sz="8" w:space="0" w:color="auto"/>
              <w:bottom w:val="single" w:sz="8" w:space="0" w:color="000000"/>
              <w:right w:val="single" w:sz="8" w:space="0" w:color="auto"/>
            </w:tcBorders>
            <w:vAlign w:val="center"/>
            <w:hideMark/>
          </w:tcPr>
          <w:p w14:paraId="4D7A22B4" w14:textId="77777777" w:rsidR="009B4545" w:rsidRPr="009B4545" w:rsidRDefault="009B4545" w:rsidP="00326F06">
            <w:pPr>
              <w:spacing w:after="0" w:line="240" w:lineRule="auto"/>
              <w:rPr>
                <w:rFonts w:ascii="Arial Narrow" w:eastAsia="Times New Roman" w:hAnsi="Arial Narrow" w:cs="Arial"/>
                <w:b/>
                <w:bCs/>
                <w:sz w:val="16"/>
                <w:szCs w:val="16"/>
                <w:lang w:eastAsia="pt-BR"/>
              </w:rPr>
            </w:pPr>
          </w:p>
        </w:tc>
        <w:tc>
          <w:tcPr>
            <w:tcW w:w="4562" w:type="dxa"/>
            <w:tcBorders>
              <w:top w:val="single" w:sz="8" w:space="0" w:color="auto"/>
              <w:left w:val="nil"/>
              <w:bottom w:val="single" w:sz="8" w:space="0" w:color="auto"/>
            </w:tcBorders>
            <w:shd w:val="clear" w:color="000000" w:fill="D9D9D9"/>
            <w:noWrap/>
            <w:vAlign w:val="center"/>
            <w:hideMark/>
          </w:tcPr>
          <w:p w14:paraId="61923565" w14:textId="77777777" w:rsidR="009B4545" w:rsidRPr="009B4545" w:rsidRDefault="009B4545" w:rsidP="00326F06">
            <w:pPr>
              <w:spacing w:after="0" w:line="240" w:lineRule="auto"/>
              <w:rPr>
                <w:rFonts w:ascii="Arial Narrow" w:eastAsia="Times New Roman" w:hAnsi="Arial Narrow" w:cs="Arial"/>
                <w:b/>
                <w:bCs/>
                <w:sz w:val="16"/>
                <w:szCs w:val="16"/>
                <w:lang w:eastAsia="pt-BR"/>
              </w:rPr>
            </w:pPr>
            <w:r w:rsidRPr="009B4545">
              <w:rPr>
                <w:rFonts w:ascii="Arial Narrow" w:eastAsia="Times New Roman" w:hAnsi="Arial Narrow" w:cs="Arial"/>
                <w:b/>
                <w:bCs/>
                <w:sz w:val="16"/>
                <w:szCs w:val="16"/>
                <w:lang w:eastAsia="pt-BR"/>
              </w:rPr>
              <w:t>Especificação</w:t>
            </w:r>
          </w:p>
        </w:tc>
        <w:tc>
          <w:tcPr>
            <w:tcW w:w="775" w:type="dxa"/>
            <w:tcBorders>
              <w:top w:val="nil"/>
              <w:bottom w:val="single" w:sz="8" w:space="0" w:color="000000"/>
              <w:right w:val="single" w:sz="8" w:space="0" w:color="auto"/>
            </w:tcBorders>
            <w:shd w:val="clear" w:color="000000" w:fill="D9D9D9"/>
            <w:vAlign w:val="center"/>
          </w:tcPr>
          <w:p w14:paraId="41175402" w14:textId="77777777" w:rsidR="009B4545" w:rsidRPr="009B4545" w:rsidRDefault="009B4545" w:rsidP="00326F06">
            <w:pPr>
              <w:spacing w:after="0" w:line="240" w:lineRule="auto"/>
              <w:rPr>
                <w:rFonts w:ascii="Arial Narrow" w:eastAsia="Times New Roman" w:hAnsi="Arial Narrow" w:cs="Arial"/>
                <w:b/>
                <w:bCs/>
                <w:sz w:val="16"/>
                <w:szCs w:val="16"/>
                <w:lang w:eastAsia="pt-BR"/>
              </w:rPr>
            </w:pPr>
          </w:p>
        </w:tc>
        <w:tc>
          <w:tcPr>
            <w:tcW w:w="1063" w:type="dxa"/>
            <w:vMerge/>
            <w:tcBorders>
              <w:top w:val="nil"/>
              <w:left w:val="single" w:sz="8" w:space="0" w:color="auto"/>
              <w:bottom w:val="single" w:sz="8" w:space="0" w:color="000000"/>
              <w:right w:val="single" w:sz="8" w:space="0" w:color="auto"/>
            </w:tcBorders>
            <w:vAlign w:val="center"/>
            <w:hideMark/>
          </w:tcPr>
          <w:p w14:paraId="36FEB548" w14:textId="77777777" w:rsidR="009B4545" w:rsidRPr="009B4545" w:rsidRDefault="009B4545" w:rsidP="00326F06">
            <w:pPr>
              <w:spacing w:after="0" w:line="240" w:lineRule="auto"/>
              <w:rPr>
                <w:rFonts w:ascii="Arial Narrow" w:eastAsia="Times New Roman" w:hAnsi="Arial Narrow" w:cs="Arial"/>
                <w:b/>
                <w:bCs/>
                <w:sz w:val="16"/>
                <w:szCs w:val="16"/>
                <w:lang w:eastAsia="pt-BR"/>
              </w:rPr>
            </w:pPr>
          </w:p>
        </w:tc>
        <w:tc>
          <w:tcPr>
            <w:tcW w:w="1420" w:type="dxa"/>
            <w:vMerge/>
            <w:tcBorders>
              <w:top w:val="nil"/>
              <w:left w:val="nil"/>
              <w:bottom w:val="single" w:sz="8" w:space="0" w:color="000000"/>
              <w:right w:val="single" w:sz="8" w:space="0" w:color="auto"/>
            </w:tcBorders>
            <w:vAlign w:val="center"/>
            <w:hideMark/>
          </w:tcPr>
          <w:p w14:paraId="647D5BDA" w14:textId="77777777" w:rsidR="009B4545" w:rsidRPr="009B4545" w:rsidRDefault="009B4545" w:rsidP="00326F06">
            <w:pPr>
              <w:spacing w:after="0" w:line="240" w:lineRule="auto"/>
              <w:rPr>
                <w:rFonts w:ascii="Arial Narrow" w:eastAsia="Times New Roman" w:hAnsi="Arial Narrow" w:cs="Arial"/>
                <w:b/>
                <w:bCs/>
                <w:sz w:val="16"/>
                <w:szCs w:val="16"/>
                <w:lang w:eastAsia="pt-BR"/>
              </w:rPr>
            </w:pPr>
          </w:p>
        </w:tc>
      </w:tr>
      <w:tr w:rsidR="009B4545" w:rsidRPr="009B4545" w14:paraId="2CDF59AE" w14:textId="77777777" w:rsidTr="00ED643B">
        <w:trPr>
          <w:trHeight w:val="270"/>
        </w:trPr>
        <w:tc>
          <w:tcPr>
            <w:tcW w:w="4410" w:type="dxa"/>
            <w:tcBorders>
              <w:top w:val="nil"/>
              <w:left w:val="single" w:sz="8" w:space="0" w:color="auto"/>
              <w:bottom w:val="nil"/>
            </w:tcBorders>
            <w:shd w:val="clear" w:color="000000" w:fill="FFFFFF"/>
            <w:noWrap/>
            <w:vAlign w:val="center"/>
            <w:hideMark/>
          </w:tcPr>
          <w:p w14:paraId="178BA56E" w14:textId="77777777" w:rsidR="009B4545" w:rsidRPr="009B4545" w:rsidRDefault="009B4545" w:rsidP="00326F06">
            <w:pPr>
              <w:spacing w:after="0" w:line="240" w:lineRule="auto"/>
              <w:rPr>
                <w:rFonts w:ascii="Arial Narrow" w:eastAsia="Times New Roman" w:hAnsi="Arial Narrow" w:cs="Arial"/>
                <w:b/>
                <w:bCs/>
                <w:sz w:val="16"/>
                <w:szCs w:val="16"/>
                <w:lang w:eastAsia="pt-BR"/>
              </w:rPr>
            </w:pPr>
            <w:r w:rsidRPr="009B4545">
              <w:rPr>
                <w:rFonts w:ascii="Arial Narrow" w:eastAsia="Times New Roman" w:hAnsi="Arial Narrow" w:cs="Arial"/>
                <w:b/>
                <w:bCs/>
                <w:sz w:val="16"/>
                <w:szCs w:val="16"/>
                <w:lang w:eastAsia="pt-BR"/>
              </w:rPr>
              <w:t>Atos Potenciais Ativos</w:t>
            </w:r>
          </w:p>
        </w:tc>
        <w:tc>
          <w:tcPr>
            <w:tcW w:w="767" w:type="dxa"/>
            <w:tcBorders>
              <w:top w:val="nil"/>
              <w:bottom w:val="nil"/>
              <w:right w:val="single" w:sz="8" w:space="0" w:color="auto"/>
            </w:tcBorders>
            <w:shd w:val="clear" w:color="auto" w:fill="auto"/>
            <w:noWrap/>
            <w:vAlign w:val="center"/>
          </w:tcPr>
          <w:p w14:paraId="635633D7" w14:textId="42D18B0C" w:rsidR="009B4545" w:rsidRPr="009B4545" w:rsidRDefault="009B4545" w:rsidP="00326F06">
            <w:pPr>
              <w:spacing w:after="0" w:line="240" w:lineRule="auto"/>
              <w:jc w:val="center"/>
              <w:rPr>
                <w:rFonts w:ascii="Arial Narrow" w:eastAsia="Times New Roman" w:hAnsi="Arial Narrow" w:cs="Arial"/>
                <w:b/>
                <w:bCs/>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7D0FB8DC" w14:textId="77777777" w:rsidR="009B4545" w:rsidRPr="009B4545" w:rsidRDefault="009B4545" w:rsidP="00326F06">
            <w:pPr>
              <w:spacing w:after="0" w:line="240" w:lineRule="auto"/>
              <w:jc w:val="center"/>
              <w:rPr>
                <w:rFonts w:ascii="Arial Narrow" w:eastAsia="Times New Roman" w:hAnsi="Arial Narrow" w:cs="Arial"/>
                <w:b/>
                <w:bCs/>
                <w:sz w:val="16"/>
                <w:szCs w:val="16"/>
                <w:lang w:eastAsia="pt-BR"/>
              </w:rPr>
            </w:pPr>
            <w:r w:rsidRPr="009B4545">
              <w:rPr>
                <w:rFonts w:ascii="Arial Narrow" w:eastAsia="Times New Roman" w:hAnsi="Arial Narrow" w:cs="Arial"/>
                <w:b/>
                <w:bCs/>
                <w:sz w:val="16"/>
                <w:szCs w:val="16"/>
                <w:lang w:eastAsia="pt-BR"/>
              </w:rPr>
              <w:t>BPA.D083</w:t>
            </w:r>
          </w:p>
        </w:tc>
        <w:tc>
          <w:tcPr>
            <w:tcW w:w="1262" w:type="dxa"/>
            <w:tcBorders>
              <w:top w:val="nil"/>
              <w:left w:val="nil"/>
              <w:bottom w:val="nil"/>
              <w:right w:val="single" w:sz="8" w:space="0" w:color="auto"/>
            </w:tcBorders>
            <w:shd w:val="clear" w:color="auto" w:fill="auto"/>
            <w:noWrap/>
            <w:vAlign w:val="center"/>
            <w:hideMark/>
          </w:tcPr>
          <w:p w14:paraId="5F33D67E" w14:textId="77777777" w:rsidR="009B4545" w:rsidRPr="009B4545" w:rsidRDefault="009B4545" w:rsidP="00326F06">
            <w:pPr>
              <w:spacing w:after="0" w:line="240" w:lineRule="auto"/>
              <w:jc w:val="center"/>
              <w:rPr>
                <w:rFonts w:ascii="Arial Narrow" w:eastAsia="Times New Roman" w:hAnsi="Arial Narrow" w:cs="Arial"/>
                <w:b/>
                <w:bCs/>
                <w:sz w:val="16"/>
                <w:szCs w:val="16"/>
                <w:lang w:eastAsia="pt-BR"/>
              </w:rPr>
            </w:pPr>
            <w:r w:rsidRPr="009B4545">
              <w:rPr>
                <w:rFonts w:ascii="Arial Narrow" w:eastAsia="Times New Roman" w:hAnsi="Arial Narrow" w:cs="Arial"/>
                <w:b/>
                <w:bCs/>
                <w:sz w:val="16"/>
                <w:szCs w:val="16"/>
                <w:lang w:eastAsia="pt-BR"/>
              </w:rPr>
              <w:t>BPA.E083</w:t>
            </w:r>
          </w:p>
        </w:tc>
        <w:tc>
          <w:tcPr>
            <w:tcW w:w="4562" w:type="dxa"/>
            <w:tcBorders>
              <w:top w:val="nil"/>
              <w:left w:val="nil"/>
              <w:bottom w:val="nil"/>
            </w:tcBorders>
            <w:shd w:val="clear" w:color="000000" w:fill="FFFFFF"/>
            <w:noWrap/>
            <w:vAlign w:val="center"/>
            <w:hideMark/>
          </w:tcPr>
          <w:p w14:paraId="62B8824D" w14:textId="77777777" w:rsidR="009B4545" w:rsidRPr="009B4545" w:rsidRDefault="009B4545" w:rsidP="00326F06">
            <w:pPr>
              <w:spacing w:after="0" w:line="240" w:lineRule="auto"/>
              <w:rPr>
                <w:rFonts w:ascii="Arial Narrow" w:eastAsia="Times New Roman" w:hAnsi="Arial Narrow" w:cs="Arial"/>
                <w:b/>
                <w:bCs/>
                <w:sz w:val="16"/>
                <w:szCs w:val="16"/>
                <w:lang w:eastAsia="pt-BR"/>
              </w:rPr>
            </w:pPr>
            <w:r w:rsidRPr="009B4545">
              <w:rPr>
                <w:rFonts w:ascii="Arial Narrow" w:eastAsia="Times New Roman" w:hAnsi="Arial Narrow" w:cs="Arial"/>
                <w:b/>
                <w:bCs/>
                <w:sz w:val="16"/>
                <w:szCs w:val="16"/>
                <w:lang w:eastAsia="pt-BR"/>
              </w:rPr>
              <w:t>Atos Potenciais Passivos</w:t>
            </w:r>
          </w:p>
        </w:tc>
        <w:tc>
          <w:tcPr>
            <w:tcW w:w="775" w:type="dxa"/>
            <w:tcBorders>
              <w:top w:val="nil"/>
              <w:bottom w:val="nil"/>
              <w:right w:val="single" w:sz="8" w:space="0" w:color="auto"/>
            </w:tcBorders>
            <w:shd w:val="clear" w:color="auto" w:fill="auto"/>
            <w:noWrap/>
            <w:vAlign w:val="center"/>
          </w:tcPr>
          <w:p w14:paraId="5B6BBEB4" w14:textId="0A23ED91" w:rsidR="009B4545" w:rsidRPr="009B4545" w:rsidRDefault="009B4545" w:rsidP="00326F06">
            <w:pPr>
              <w:spacing w:after="0" w:line="240" w:lineRule="auto"/>
              <w:jc w:val="center"/>
              <w:rPr>
                <w:rFonts w:ascii="Arial Narrow" w:eastAsia="Times New Roman" w:hAnsi="Arial Narrow" w:cs="Arial"/>
                <w:b/>
                <w:bCs/>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4F7FED76" w14:textId="77777777" w:rsidR="009B4545" w:rsidRPr="009B4545" w:rsidRDefault="009B4545" w:rsidP="00326F06">
            <w:pPr>
              <w:spacing w:after="0" w:line="240" w:lineRule="auto"/>
              <w:jc w:val="center"/>
              <w:rPr>
                <w:rFonts w:ascii="Arial Narrow" w:eastAsia="Times New Roman" w:hAnsi="Arial Narrow" w:cs="Arial"/>
                <w:b/>
                <w:bCs/>
                <w:sz w:val="16"/>
                <w:szCs w:val="16"/>
                <w:lang w:eastAsia="pt-BR"/>
              </w:rPr>
            </w:pPr>
            <w:r w:rsidRPr="009B4545">
              <w:rPr>
                <w:rFonts w:ascii="Arial Narrow" w:eastAsia="Times New Roman" w:hAnsi="Arial Narrow" w:cs="Arial"/>
                <w:b/>
                <w:bCs/>
                <w:sz w:val="16"/>
                <w:szCs w:val="16"/>
                <w:lang w:eastAsia="pt-BR"/>
              </w:rPr>
              <w:t>BPA.H083</w:t>
            </w:r>
          </w:p>
        </w:tc>
        <w:tc>
          <w:tcPr>
            <w:tcW w:w="1420" w:type="dxa"/>
            <w:tcBorders>
              <w:top w:val="nil"/>
              <w:left w:val="nil"/>
              <w:bottom w:val="nil"/>
              <w:right w:val="single" w:sz="8" w:space="0" w:color="auto"/>
            </w:tcBorders>
            <w:shd w:val="clear" w:color="auto" w:fill="auto"/>
            <w:noWrap/>
            <w:vAlign w:val="center"/>
            <w:hideMark/>
          </w:tcPr>
          <w:p w14:paraId="79C59B2F" w14:textId="77777777" w:rsidR="009B4545" w:rsidRPr="009B4545" w:rsidRDefault="009B4545" w:rsidP="00326F06">
            <w:pPr>
              <w:spacing w:after="0" w:line="240" w:lineRule="auto"/>
              <w:jc w:val="center"/>
              <w:rPr>
                <w:rFonts w:ascii="Arial Narrow" w:eastAsia="Times New Roman" w:hAnsi="Arial Narrow" w:cs="Arial"/>
                <w:b/>
                <w:bCs/>
                <w:sz w:val="16"/>
                <w:szCs w:val="16"/>
                <w:lang w:eastAsia="pt-BR"/>
              </w:rPr>
            </w:pPr>
            <w:r w:rsidRPr="009B4545">
              <w:rPr>
                <w:rFonts w:ascii="Arial Narrow" w:eastAsia="Times New Roman" w:hAnsi="Arial Narrow" w:cs="Arial"/>
                <w:b/>
                <w:bCs/>
                <w:sz w:val="16"/>
                <w:szCs w:val="16"/>
                <w:lang w:eastAsia="pt-BR"/>
              </w:rPr>
              <w:t>BPA.I083</w:t>
            </w:r>
          </w:p>
        </w:tc>
      </w:tr>
      <w:tr w:rsidR="009B4545" w:rsidRPr="009B4545" w14:paraId="52040FC5" w14:textId="77777777" w:rsidTr="00ED643B">
        <w:trPr>
          <w:trHeight w:val="255"/>
        </w:trPr>
        <w:tc>
          <w:tcPr>
            <w:tcW w:w="4410" w:type="dxa"/>
            <w:tcBorders>
              <w:top w:val="nil"/>
              <w:left w:val="single" w:sz="8" w:space="0" w:color="auto"/>
              <w:bottom w:val="nil"/>
            </w:tcBorders>
            <w:shd w:val="clear" w:color="auto" w:fill="auto"/>
            <w:noWrap/>
            <w:vAlign w:val="center"/>
            <w:hideMark/>
          </w:tcPr>
          <w:p w14:paraId="0F802894" w14:textId="77777777" w:rsidR="009B4545" w:rsidRPr="009B4545" w:rsidRDefault="009B4545" w:rsidP="00326F06">
            <w:pPr>
              <w:spacing w:after="0" w:line="240" w:lineRule="auto"/>
              <w:ind w:firstLineChars="200" w:firstLine="320"/>
              <w:rPr>
                <w:rFonts w:ascii="Arial Narrow" w:eastAsia="Times New Roman" w:hAnsi="Arial Narrow" w:cs="Arial"/>
                <w:sz w:val="16"/>
                <w:szCs w:val="16"/>
                <w:lang w:eastAsia="pt-BR"/>
              </w:rPr>
            </w:pPr>
            <w:r w:rsidRPr="009B4545">
              <w:rPr>
                <w:rFonts w:ascii="Arial Narrow" w:eastAsia="Times New Roman" w:hAnsi="Arial Narrow" w:cs="Arial"/>
                <w:sz w:val="16"/>
                <w:szCs w:val="16"/>
                <w:lang w:eastAsia="pt-BR"/>
              </w:rPr>
              <w:t xml:space="preserve">Garantias e Contragarantias Recebidas </w:t>
            </w:r>
          </w:p>
        </w:tc>
        <w:tc>
          <w:tcPr>
            <w:tcW w:w="767" w:type="dxa"/>
            <w:tcBorders>
              <w:top w:val="nil"/>
              <w:bottom w:val="nil"/>
              <w:right w:val="single" w:sz="8" w:space="0" w:color="auto"/>
            </w:tcBorders>
            <w:shd w:val="clear" w:color="auto" w:fill="auto"/>
            <w:noWrap/>
            <w:vAlign w:val="center"/>
          </w:tcPr>
          <w:p w14:paraId="42A16A5E" w14:textId="7BD02233" w:rsidR="009B4545" w:rsidRPr="009B4545" w:rsidRDefault="009B4545" w:rsidP="00326F06">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457A5F41" w14:textId="77777777" w:rsidR="009B4545" w:rsidRPr="009B4545" w:rsidRDefault="009B4545" w:rsidP="00326F06">
            <w:pPr>
              <w:spacing w:after="0" w:line="240" w:lineRule="auto"/>
              <w:jc w:val="center"/>
              <w:rPr>
                <w:rFonts w:ascii="Arial Narrow" w:eastAsia="Times New Roman" w:hAnsi="Arial Narrow" w:cs="Arial"/>
                <w:sz w:val="16"/>
                <w:szCs w:val="16"/>
                <w:lang w:eastAsia="pt-BR"/>
              </w:rPr>
            </w:pPr>
            <w:r w:rsidRPr="009B4545">
              <w:rPr>
                <w:rFonts w:ascii="Arial Narrow" w:eastAsia="Times New Roman" w:hAnsi="Arial Narrow" w:cs="Arial"/>
                <w:sz w:val="16"/>
                <w:szCs w:val="16"/>
                <w:lang w:eastAsia="pt-BR"/>
              </w:rPr>
              <w:t>BPA.D084</w:t>
            </w:r>
          </w:p>
        </w:tc>
        <w:tc>
          <w:tcPr>
            <w:tcW w:w="1262" w:type="dxa"/>
            <w:tcBorders>
              <w:top w:val="nil"/>
              <w:left w:val="nil"/>
              <w:bottom w:val="nil"/>
              <w:right w:val="single" w:sz="8" w:space="0" w:color="auto"/>
            </w:tcBorders>
            <w:shd w:val="clear" w:color="auto" w:fill="auto"/>
            <w:noWrap/>
            <w:vAlign w:val="center"/>
            <w:hideMark/>
          </w:tcPr>
          <w:p w14:paraId="02A528EB" w14:textId="77777777" w:rsidR="009B4545" w:rsidRPr="009B4545" w:rsidRDefault="009B4545" w:rsidP="00326F06">
            <w:pPr>
              <w:spacing w:after="0" w:line="240" w:lineRule="auto"/>
              <w:jc w:val="center"/>
              <w:rPr>
                <w:rFonts w:ascii="Arial Narrow" w:eastAsia="Times New Roman" w:hAnsi="Arial Narrow" w:cs="Arial"/>
                <w:sz w:val="16"/>
                <w:szCs w:val="16"/>
                <w:lang w:eastAsia="pt-BR"/>
              </w:rPr>
            </w:pPr>
            <w:r w:rsidRPr="009B4545">
              <w:rPr>
                <w:rFonts w:ascii="Arial Narrow" w:eastAsia="Times New Roman" w:hAnsi="Arial Narrow" w:cs="Arial"/>
                <w:sz w:val="16"/>
                <w:szCs w:val="16"/>
                <w:lang w:eastAsia="pt-BR"/>
              </w:rPr>
              <w:t>BPA.E084</w:t>
            </w:r>
          </w:p>
        </w:tc>
        <w:tc>
          <w:tcPr>
            <w:tcW w:w="4562" w:type="dxa"/>
            <w:tcBorders>
              <w:top w:val="nil"/>
              <w:left w:val="nil"/>
              <w:bottom w:val="nil"/>
            </w:tcBorders>
            <w:shd w:val="clear" w:color="000000" w:fill="FFFFFF"/>
            <w:noWrap/>
            <w:vAlign w:val="center"/>
            <w:hideMark/>
          </w:tcPr>
          <w:p w14:paraId="151F6CDB" w14:textId="77777777" w:rsidR="009B4545" w:rsidRPr="009B4545" w:rsidRDefault="009B4545" w:rsidP="00326F06">
            <w:pPr>
              <w:spacing w:after="0" w:line="240" w:lineRule="auto"/>
              <w:ind w:firstLineChars="200" w:firstLine="320"/>
              <w:rPr>
                <w:rFonts w:ascii="Arial Narrow" w:eastAsia="Times New Roman" w:hAnsi="Arial Narrow" w:cs="Arial"/>
                <w:sz w:val="16"/>
                <w:szCs w:val="16"/>
                <w:lang w:eastAsia="pt-BR"/>
              </w:rPr>
            </w:pPr>
            <w:r w:rsidRPr="009B4545">
              <w:rPr>
                <w:rFonts w:ascii="Arial Narrow" w:eastAsia="Times New Roman" w:hAnsi="Arial Narrow" w:cs="Arial"/>
                <w:sz w:val="16"/>
                <w:szCs w:val="16"/>
                <w:lang w:eastAsia="pt-BR"/>
              </w:rPr>
              <w:t xml:space="preserve">Garantias e Contragarantias Concedidas </w:t>
            </w:r>
          </w:p>
        </w:tc>
        <w:tc>
          <w:tcPr>
            <w:tcW w:w="775" w:type="dxa"/>
            <w:tcBorders>
              <w:top w:val="nil"/>
              <w:bottom w:val="nil"/>
              <w:right w:val="single" w:sz="8" w:space="0" w:color="auto"/>
            </w:tcBorders>
            <w:shd w:val="clear" w:color="auto" w:fill="auto"/>
            <w:noWrap/>
            <w:vAlign w:val="center"/>
          </w:tcPr>
          <w:p w14:paraId="719FCAD9" w14:textId="1F5D861B" w:rsidR="009B4545" w:rsidRPr="009B4545" w:rsidRDefault="009B4545" w:rsidP="00326F06">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1A35EE01" w14:textId="77777777" w:rsidR="009B4545" w:rsidRPr="009B4545" w:rsidRDefault="009B4545" w:rsidP="00326F06">
            <w:pPr>
              <w:spacing w:after="0" w:line="240" w:lineRule="auto"/>
              <w:jc w:val="center"/>
              <w:rPr>
                <w:rFonts w:ascii="Arial Narrow" w:eastAsia="Times New Roman" w:hAnsi="Arial Narrow" w:cs="Arial"/>
                <w:sz w:val="16"/>
                <w:szCs w:val="16"/>
                <w:lang w:eastAsia="pt-BR"/>
              </w:rPr>
            </w:pPr>
            <w:r w:rsidRPr="009B4545">
              <w:rPr>
                <w:rFonts w:ascii="Arial Narrow" w:eastAsia="Times New Roman" w:hAnsi="Arial Narrow" w:cs="Arial"/>
                <w:sz w:val="16"/>
                <w:szCs w:val="16"/>
                <w:lang w:eastAsia="pt-BR"/>
              </w:rPr>
              <w:t>BPA.H084</w:t>
            </w:r>
          </w:p>
        </w:tc>
        <w:tc>
          <w:tcPr>
            <w:tcW w:w="1420" w:type="dxa"/>
            <w:tcBorders>
              <w:top w:val="nil"/>
              <w:left w:val="nil"/>
              <w:bottom w:val="nil"/>
              <w:right w:val="single" w:sz="8" w:space="0" w:color="auto"/>
            </w:tcBorders>
            <w:shd w:val="clear" w:color="auto" w:fill="auto"/>
            <w:noWrap/>
            <w:vAlign w:val="center"/>
            <w:hideMark/>
          </w:tcPr>
          <w:p w14:paraId="21F869EB" w14:textId="77777777" w:rsidR="009B4545" w:rsidRPr="009B4545" w:rsidRDefault="009B4545" w:rsidP="00326F06">
            <w:pPr>
              <w:spacing w:after="0" w:line="240" w:lineRule="auto"/>
              <w:jc w:val="center"/>
              <w:rPr>
                <w:rFonts w:ascii="Arial Narrow" w:eastAsia="Times New Roman" w:hAnsi="Arial Narrow" w:cs="Arial"/>
                <w:sz w:val="16"/>
                <w:szCs w:val="16"/>
                <w:lang w:eastAsia="pt-BR"/>
              </w:rPr>
            </w:pPr>
            <w:r w:rsidRPr="009B4545">
              <w:rPr>
                <w:rFonts w:ascii="Arial Narrow" w:eastAsia="Times New Roman" w:hAnsi="Arial Narrow" w:cs="Arial"/>
                <w:sz w:val="16"/>
                <w:szCs w:val="16"/>
                <w:lang w:eastAsia="pt-BR"/>
              </w:rPr>
              <w:t>BPA.I084</w:t>
            </w:r>
          </w:p>
        </w:tc>
      </w:tr>
      <w:tr w:rsidR="009B4545" w:rsidRPr="009B4545" w14:paraId="2D70BA40" w14:textId="77777777" w:rsidTr="00ED643B">
        <w:trPr>
          <w:trHeight w:val="255"/>
        </w:trPr>
        <w:tc>
          <w:tcPr>
            <w:tcW w:w="4410" w:type="dxa"/>
            <w:tcBorders>
              <w:top w:val="nil"/>
              <w:left w:val="single" w:sz="8" w:space="0" w:color="auto"/>
              <w:bottom w:val="nil"/>
            </w:tcBorders>
            <w:shd w:val="clear" w:color="auto" w:fill="auto"/>
            <w:noWrap/>
            <w:vAlign w:val="center"/>
            <w:hideMark/>
          </w:tcPr>
          <w:p w14:paraId="00DDE9A3" w14:textId="77777777" w:rsidR="009B4545" w:rsidRPr="009B4545" w:rsidRDefault="009B4545" w:rsidP="00326F06">
            <w:pPr>
              <w:spacing w:after="0" w:line="240" w:lineRule="auto"/>
              <w:ind w:firstLineChars="200" w:firstLine="320"/>
              <w:rPr>
                <w:rFonts w:ascii="Arial Narrow" w:eastAsia="Times New Roman" w:hAnsi="Arial Narrow" w:cs="Arial"/>
                <w:sz w:val="16"/>
                <w:szCs w:val="16"/>
                <w:lang w:eastAsia="pt-BR"/>
              </w:rPr>
            </w:pPr>
            <w:r w:rsidRPr="009B4545">
              <w:rPr>
                <w:rFonts w:ascii="Arial Narrow" w:eastAsia="Times New Roman" w:hAnsi="Arial Narrow" w:cs="Arial"/>
                <w:sz w:val="16"/>
                <w:szCs w:val="16"/>
                <w:lang w:eastAsia="pt-BR"/>
              </w:rPr>
              <w:t>Direitos Conveniados e Outros Instrumentos Congêneres</w:t>
            </w:r>
          </w:p>
        </w:tc>
        <w:tc>
          <w:tcPr>
            <w:tcW w:w="767" w:type="dxa"/>
            <w:tcBorders>
              <w:top w:val="nil"/>
              <w:bottom w:val="nil"/>
              <w:right w:val="single" w:sz="8" w:space="0" w:color="auto"/>
            </w:tcBorders>
            <w:shd w:val="clear" w:color="auto" w:fill="auto"/>
            <w:noWrap/>
            <w:vAlign w:val="center"/>
          </w:tcPr>
          <w:p w14:paraId="5C58C95C" w14:textId="7ABCEC5E" w:rsidR="009B4545" w:rsidRPr="009B4545" w:rsidRDefault="009B4545" w:rsidP="00326F06">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5531C2A3" w14:textId="77777777" w:rsidR="009B4545" w:rsidRPr="009B4545" w:rsidRDefault="009B4545" w:rsidP="00326F06">
            <w:pPr>
              <w:spacing w:after="0" w:line="240" w:lineRule="auto"/>
              <w:jc w:val="center"/>
              <w:rPr>
                <w:rFonts w:ascii="Arial Narrow" w:eastAsia="Times New Roman" w:hAnsi="Arial Narrow" w:cs="Arial"/>
                <w:sz w:val="16"/>
                <w:szCs w:val="16"/>
                <w:lang w:eastAsia="pt-BR"/>
              </w:rPr>
            </w:pPr>
            <w:r w:rsidRPr="009B4545">
              <w:rPr>
                <w:rFonts w:ascii="Arial Narrow" w:eastAsia="Times New Roman" w:hAnsi="Arial Narrow" w:cs="Arial"/>
                <w:sz w:val="16"/>
                <w:szCs w:val="16"/>
                <w:lang w:eastAsia="pt-BR"/>
              </w:rPr>
              <w:t>BPA.D085</w:t>
            </w:r>
          </w:p>
        </w:tc>
        <w:tc>
          <w:tcPr>
            <w:tcW w:w="1262" w:type="dxa"/>
            <w:tcBorders>
              <w:top w:val="nil"/>
              <w:left w:val="nil"/>
              <w:bottom w:val="nil"/>
              <w:right w:val="single" w:sz="8" w:space="0" w:color="auto"/>
            </w:tcBorders>
            <w:shd w:val="clear" w:color="auto" w:fill="auto"/>
            <w:noWrap/>
            <w:vAlign w:val="center"/>
            <w:hideMark/>
          </w:tcPr>
          <w:p w14:paraId="7104C1F3" w14:textId="77777777" w:rsidR="009B4545" w:rsidRPr="009B4545" w:rsidRDefault="009B4545" w:rsidP="00326F06">
            <w:pPr>
              <w:spacing w:after="0" w:line="240" w:lineRule="auto"/>
              <w:jc w:val="center"/>
              <w:rPr>
                <w:rFonts w:ascii="Arial Narrow" w:eastAsia="Times New Roman" w:hAnsi="Arial Narrow" w:cs="Arial"/>
                <w:sz w:val="16"/>
                <w:szCs w:val="16"/>
                <w:lang w:eastAsia="pt-BR"/>
              </w:rPr>
            </w:pPr>
            <w:r w:rsidRPr="009B4545">
              <w:rPr>
                <w:rFonts w:ascii="Arial Narrow" w:eastAsia="Times New Roman" w:hAnsi="Arial Narrow" w:cs="Arial"/>
                <w:sz w:val="16"/>
                <w:szCs w:val="16"/>
                <w:lang w:eastAsia="pt-BR"/>
              </w:rPr>
              <w:t>BPA.E085</w:t>
            </w:r>
          </w:p>
        </w:tc>
        <w:tc>
          <w:tcPr>
            <w:tcW w:w="4562" w:type="dxa"/>
            <w:tcBorders>
              <w:top w:val="nil"/>
              <w:left w:val="nil"/>
              <w:bottom w:val="nil"/>
            </w:tcBorders>
            <w:shd w:val="clear" w:color="000000" w:fill="FFFFFF"/>
            <w:noWrap/>
            <w:vAlign w:val="center"/>
            <w:hideMark/>
          </w:tcPr>
          <w:p w14:paraId="5E918634" w14:textId="77777777" w:rsidR="009B4545" w:rsidRPr="009B4545" w:rsidRDefault="009B4545" w:rsidP="00326F06">
            <w:pPr>
              <w:spacing w:after="0" w:line="240" w:lineRule="auto"/>
              <w:ind w:firstLineChars="200" w:firstLine="320"/>
              <w:rPr>
                <w:rFonts w:ascii="Arial Narrow" w:eastAsia="Times New Roman" w:hAnsi="Arial Narrow" w:cs="Arial"/>
                <w:sz w:val="16"/>
                <w:szCs w:val="16"/>
                <w:lang w:eastAsia="pt-BR"/>
              </w:rPr>
            </w:pPr>
            <w:r w:rsidRPr="009B4545">
              <w:rPr>
                <w:rFonts w:ascii="Arial Narrow" w:eastAsia="Times New Roman" w:hAnsi="Arial Narrow" w:cs="Arial"/>
                <w:sz w:val="16"/>
                <w:szCs w:val="16"/>
                <w:lang w:eastAsia="pt-BR"/>
              </w:rPr>
              <w:t xml:space="preserve">Obrigações Conveniadas e Outros Instrumentos Congêneres </w:t>
            </w:r>
          </w:p>
        </w:tc>
        <w:tc>
          <w:tcPr>
            <w:tcW w:w="775" w:type="dxa"/>
            <w:tcBorders>
              <w:top w:val="nil"/>
              <w:bottom w:val="nil"/>
              <w:right w:val="single" w:sz="8" w:space="0" w:color="auto"/>
            </w:tcBorders>
            <w:shd w:val="clear" w:color="auto" w:fill="auto"/>
            <w:noWrap/>
            <w:vAlign w:val="center"/>
          </w:tcPr>
          <w:p w14:paraId="0FD66DB5" w14:textId="61EE76A6" w:rsidR="009B4545" w:rsidRPr="009B4545" w:rsidRDefault="009B4545" w:rsidP="00326F06">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303B730D" w14:textId="77777777" w:rsidR="009B4545" w:rsidRPr="009B4545" w:rsidRDefault="009B4545" w:rsidP="00326F06">
            <w:pPr>
              <w:spacing w:after="0" w:line="240" w:lineRule="auto"/>
              <w:jc w:val="center"/>
              <w:rPr>
                <w:rFonts w:ascii="Arial Narrow" w:eastAsia="Times New Roman" w:hAnsi="Arial Narrow" w:cs="Arial"/>
                <w:sz w:val="16"/>
                <w:szCs w:val="16"/>
                <w:lang w:eastAsia="pt-BR"/>
              </w:rPr>
            </w:pPr>
            <w:r w:rsidRPr="009B4545">
              <w:rPr>
                <w:rFonts w:ascii="Arial Narrow" w:eastAsia="Times New Roman" w:hAnsi="Arial Narrow" w:cs="Arial"/>
                <w:sz w:val="16"/>
                <w:szCs w:val="16"/>
                <w:lang w:eastAsia="pt-BR"/>
              </w:rPr>
              <w:t>BPA.H085</w:t>
            </w:r>
          </w:p>
        </w:tc>
        <w:tc>
          <w:tcPr>
            <w:tcW w:w="1420" w:type="dxa"/>
            <w:tcBorders>
              <w:top w:val="nil"/>
              <w:left w:val="nil"/>
              <w:bottom w:val="nil"/>
              <w:right w:val="single" w:sz="8" w:space="0" w:color="auto"/>
            </w:tcBorders>
            <w:shd w:val="clear" w:color="auto" w:fill="auto"/>
            <w:noWrap/>
            <w:vAlign w:val="center"/>
            <w:hideMark/>
          </w:tcPr>
          <w:p w14:paraId="73B97955" w14:textId="77777777" w:rsidR="009B4545" w:rsidRPr="009B4545" w:rsidRDefault="009B4545" w:rsidP="00326F06">
            <w:pPr>
              <w:spacing w:after="0" w:line="240" w:lineRule="auto"/>
              <w:jc w:val="center"/>
              <w:rPr>
                <w:rFonts w:ascii="Arial Narrow" w:eastAsia="Times New Roman" w:hAnsi="Arial Narrow" w:cs="Arial"/>
                <w:sz w:val="16"/>
                <w:szCs w:val="16"/>
                <w:lang w:eastAsia="pt-BR"/>
              </w:rPr>
            </w:pPr>
            <w:r w:rsidRPr="009B4545">
              <w:rPr>
                <w:rFonts w:ascii="Arial Narrow" w:eastAsia="Times New Roman" w:hAnsi="Arial Narrow" w:cs="Arial"/>
                <w:sz w:val="16"/>
                <w:szCs w:val="16"/>
                <w:lang w:eastAsia="pt-BR"/>
              </w:rPr>
              <w:t>BPA.I085</w:t>
            </w:r>
          </w:p>
        </w:tc>
      </w:tr>
      <w:tr w:rsidR="009B4545" w:rsidRPr="009B4545" w14:paraId="3F25EB06" w14:textId="77777777" w:rsidTr="00ED643B">
        <w:trPr>
          <w:trHeight w:val="255"/>
        </w:trPr>
        <w:tc>
          <w:tcPr>
            <w:tcW w:w="4410" w:type="dxa"/>
            <w:tcBorders>
              <w:top w:val="nil"/>
              <w:left w:val="single" w:sz="8" w:space="0" w:color="auto"/>
              <w:bottom w:val="nil"/>
            </w:tcBorders>
            <w:shd w:val="clear" w:color="auto" w:fill="auto"/>
            <w:noWrap/>
            <w:vAlign w:val="center"/>
            <w:hideMark/>
          </w:tcPr>
          <w:p w14:paraId="58A5F334" w14:textId="77777777" w:rsidR="009B4545" w:rsidRPr="009B4545" w:rsidRDefault="009B4545" w:rsidP="00326F06">
            <w:pPr>
              <w:spacing w:after="0" w:line="240" w:lineRule="auto"/>
              <w:ind w:firstLineChars="200" w:firstLine="320"/>
              <w:rPr>
                <w:rFonts w:ascii="Arial Narrow" w:eastAsia="Times New Roman" w:hAnsi="Arial Narrow" w:cs="Arial"/>
                <w:sz w:val="16"/>
                <w:szCs w:val="16"/>
                <w:lang w:eastAsia="pt-BR"/>
              </w:rPr>
            </w:pPr>
            <w:r w:rsidRPr="009B4545">
              <w:rPr>
                <w:rFonts w:ascii="Arial Narrow" w:eastAsia="Times New Roman" w:hAnsi="Arial Narrow" w:cs="Arial"/>
                <w:sz w:val="16"/>
                <w:szCs w:val="16"/>
                <w:lang w:eastAsia="pt-BR"/>
              </w:rPr>
              <w:t xml:space="preserve">Direitos Contratuais </w:t>
            </w:r>
          </w:p>
        </w:tc>
        <w:tc>
          <w:tcPr>
            <w:tcW w:w="767" w:type="dxa"/>
            <w:tcBorders>
              <w:top w:val="nil"/>
              <w:bottom w:val="nil"/>
              <w:right w:val="single" w:sz="8" w:space="0" w:color="auto"/>
            </w:tcBorders>
            <w:shd w:val="clear" w:color="auto" w:fill="auto"/>
            <w:noWrap/>
            <w:vAlign w:val="center"/>
          </w:tcPr>
          <w:p w14:paraId="716FF671" w14:textId="3CC4DD71" w:rsidR="009B4545" w:rsidRPr="009B4545" w:rsidRDefault="009B4545" w:rsidP="00326F06">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6F4E441C" w14:textId="77777777" w:rsidR="009B4545" w:rsidRPr="009B4545" w:rsidRDefault="009B4545" w:rsidP="00326F06">
            <w:pPr>
              <w:spacing w:after="0" w:line="240" w:lineRule="auto"/>
              <w:jc w:val="center"/>
              <w:rPr>
                <w:rFonts w:ascii="Arial Narrow" w:eastAsia="Times New Roman" w:hAnsi="Arial Narrow" w:cs="Arial"/>
                <w:sz w:val="16"/>
                <w:szCs w:val="16"/>
                <w:lang w:eastAsia="pt-BR"/>
              </w:rPr>
            </w:pPr>
            <w:r w:rsidRPr="009B4545">
              <w:rPr>
                <w:rFonts w:ascii="Arial Narrow" w:eastAsia="Times New Roman" w:hAnsi="Arial Narrow" w:cs="Arial"/>
                <w:sz w:val="16"/>
                <w:szCs w:val="16"/>
                <w:lang w:eastAsia="pt-BR"/>
              </w:rPr>
              <w:t>BPA.D086</w:t>
            </w:r>
          </w:p>
        </w:tc>
        <w:tc>
          <w:tcPr>
            <w:tcW w:w="1262" w:type="dxa"/>
            <w:tcBorders>
              <w:top w:val="nil"/>
              <w:left w:val="nil"/>
              <w:bottom w:val="nil"/>
              <w:right w:val="single" w:sz="8" w:space="0" w:color="auto"/>
            </w:tcBorders>
            <w:shd w:val="clear" w:color="auto" w:fill="auto"/>
            <w:noWrap/>
            <w:vAlign w:val="center"/>
            <w:hideMark/>
          </w:tcPr>
          <w:p w14:paraId="2897D824" w14:textId="77777777" w:rsidR="009B4545" w:rsidRPr="009B4545" w:rsidRDefault="009B4545" w:rsidP="00326F06">
            <w:pPr>
              <w:spacing w:after="0" w:line="240" w:lineRule="auto"/>
              <w:jc w:val="center"/>
              <w:rPr>
                <w:rFonts w:ascii="Arial Narrow" w:eastAsia="Times New Roman" w:hAnsi="Arial Narrow" w:cs="Arial"/>
                <w:sz w:val="16"/>
                <w:szCs w:val="16"/>
                <w:lang w:eastAsia="pt-BR"/>
              </w:rPr>
            </w:pPr>
            <w:r w:rsidRPr="009B4545">
              <w:rPr>
                <w:rFonts w:ascii="Arial Narrow" w:eastAsia="Times New Roman" w:hAnsi="Arial Narrow" w:cs="Arial"/>
                <w:sz w:val="16"/>
                <w:szCs w:val="16"/>
                <w:lang w:eastAsia="pt-BR"/>
              </w:rPr>
              <w:t>BPA.E086</w:t>
            </w:r>
          </w:p>
        </w:tc>
        <w:tc>
          <w:tcPr>
            <w:tcW w:w="4562" w:type="dxa"/>
            <w:tcBorders>
              <w:top w:val="nil"/>
              <w:left w:val="nil"/>
              <w:bottom w:val="nil"/>
            </w:tcBorders>
            <w:shd w:val="clear" w:color="000000" w:fill="FFFFFF"/>
            <w:noWrap/>
            <w:vAlign w:val="center"/>
            <w:hideMark/>
          </w:tcPr>
          <w:p w14:paraId="644B9B31" w14:textId="77777777" w:rsidR="009B4545" w:rsidRPr="009B4545" w:rsidRDefault="009B4545" w:rsidP="00326F06">
            <w:pPr>
              <w:spacing w:after="0" w:line="240" w:lineRule="auto"/>
              <w:ind w:firstLineChars="200" w:firstLine="320"/>
              <w:rPr>
                <w:rFonts w:ascii="Arial Narrow" w:eastAsia="Times New Roman" w:hAnsi="Arial Narrow" w:cs="Arial"/>
                <w:sz w:val="16"/>
                <w:szCs w:val="16"/>
                <w:lang w:eastAsia="pt-BR"/>
              </w:rPr>
            </w:pPr>
            <w:r w:rsidRPr="009B4545">
              <w:rPr>
                <w:rFonts w:ascii="Arial Narrow" w:eastAsia="Times New Roman" w:hAnsi="Arial Narrow" w:cs="Arial"/>
                <w:sz w:val="16"/>
                <w:szCs w:val="16"/>
                <w:lang w:eastAsia="pt-BR"/>
              </w:rPr>
              <w:t>Obrigações Contratuais</w:t>
            </w:r>
          </w:p>
        </w:tc>
        <w:tc>
          <w:tcPr>
            <w:tcW w:w="775" w:type="dxa"/>
            <w:tcBorders>
              <w:top w:val="nil"/>
              <w:bottom w:val="nil"/>
              <w:right w:val="single" w:sz="8" w:space="0" w:color="auto"/>
            </w:tcBorders>
            <w:shd w:val="clear" w:color="auto" w:fill="auto"/>
            <w:noWrap/>
            <w:vAlign w:val="center"/>
          </w:tcPr>
          <w:p w14:paraId="438D96E5" w14:textId="144AAB07" w:rsidR="009B4545" w:rsidRPr="009B4545" w:rsidRDefault="009B4545" w:rsidP="00326F06">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29E29ED8" w14:textId="77777777" w:rsidR="009B4545" w:rsidRPr="009B4545" w:rsidRDefault="009B4545" w:rsidP="00326F06">
            <w:pPr>
              <w:spacing w:after="0" w:line="240" w:lineRule="auto"/>
              <w:jc w:val="center"/>
              <w:rPr>
                <w:rFonts w:ascii="Arial Narrow" w:eastAsia="Times New Roman" w:hAnsi="Arial Narrow" w:cs="Arial"/>
                <w:sz w:val="16"/>
                <w:szCs w:val="16"/>
                <w:lang w:eastAsia="pt-BR"/>
              </w:rPr>
            </w:pPr>
            <w:r w:rsidRPr="009B4545">
              <w:rPr>
                <w:rFonts w:ascii="Arial Narrow" w:eastAsia="Times New Roman" w:hAnsi="Arial Narrow" w:cs="Arial"/>
                <w:sz w:val="16"/>
                <w:szCs w:val="16"/>
                <w:lang w:eastAsia="pt-BR"/>
              </w:rPr>
              <w:t>BPA.H086</w:t>
            </w:r>
          </w:p>
        </w:tc>
        <w:tc>
          <w:tcPr>
            <w:tcW w:w="1420" w:type="dxa"/>
            <w:tcBorders>
              <w:top w:val="nil"/>
              <w:left w:val="nil"/>
              <w:bottom w:val="nil"/>
              <w:right w:val="single" w:sz="8" w:space="0" w:color="auto"/>
            </w:tcBorders>
            <w:shd w:val="clear" w:color="auto" w:fill="auto"/>
            <w:noWrap/>
            <w:vAlign w:val="center"/>
            <w:hideMark/>
          </w:tcPr>
          <w:p w14:paraId="75F47B2A" w14:textId="77777777" w:rsidR="009B4545" w:rsidRPr="009B4545" w:rsidRDefault="009B4545" w:rsidP="00326F06">
            <w:pPr>
              <w:spacing w:after="0" w:line="240" w:lineRule="auto"/>
              <w:jc w:val="center"/>
              <w:rPr>
                <w:rFonts w:ascii="Arial Narrow" w:eastAsia="Times New Roman" w:hAnsi="Arial Narrow" w:cs="Arial"/>
                <w:sz w:val="16"/>
                <w:szCs w:val="16"/>
                <w:lang w:eastAsia="pt-BR"/>
              </w:rPr>
            </w:pPr>
            <w:r w:rsidRPr="009B4545">
              <w:rPr>
                <w:rFonts w:ascii="Arial Narrow" w:eastAsia="Times New Roman" w:hAnsi="Arial Narrow" w:cs="Arial"/>
                <w:sz w:val="16"/>
                <w:szCs w:val="16"/>
                <w:lang w:eastAsia="pt-BR"/>
              </w:rPr>
              <w:t>BPA.I086</w:t>
            </w:r>
          </w:p>
        </w:tc>
      </w:tr>
      <w:tr w:rsidR="009B4545" w:rsidRPr="009B4545" w14:paraId="3CB1BAE5" w14:textId="77777777" w:rsidTr="00ED643B">
        <w:trPr>
          <w:trHeight w:val="270"/>
        </w:trPr>
        <w:tc>
          <w:tcPr>
            <w:tcW w:w="4410" w:type="dxa"/>
            <w:tcBorders>
              <w:top w:val="nil"/>
              <w:left w:val="single" w:sz="8" w:space="0" w:color="auto"/>
              <w:bottom w:val="single" w:sz="8" w:space="0" w:color="auto"/>
            </w:tcBorders>
            <w:shd w:val="clear" w:color="auto" w:fill="auto"/>
            <w:noWrap/>
            <w:vAlign w:val="center"/>
            <w:hideMark/>
          </w:tcPr>
          <w:p w14:paraId="2CB62D42" w14:textId="77777777" w:rsidR="009B4545" w:rsidRPr="009B4545" w:rsidRDefault="009B4545" w:rsidP="00326F06">
            <w:pPr>
              <w:spacing w:after="0" w:line="240" w:lineRule="auto"/>
              <w:ind w:firstLineChars="200" w:firstLine="320"/>
              <w:rPr>
                <w:rFonts w:ascii="Arial Narrow" w:eastAsia="Times New Roman" w:hAnsi="Arial Narrow" w:cs="Arial"/>
                <w:sz w:val="16"/>
                <w:szCs w:val="16"/>
                <w:lang w:eastAsia="pt-BR"/>
              </w:rPr>
            </w:pPr>
            <w:r w:rsidRPr="009B4545">
              <w:rPr>
                <w:rFonts w:ascii="Arial Narrow" w:eastAsia="Times New Roman" w:hAnsi="Arial Narrow" w:cs="Arial"/>
                <w:sz w:val="16"/>
                <w:szCs w:val="16"/>
                <w:lang w:eastAsia="pt-BR"/>
              </w:rPr>
              <w:t>Outros Atos Potenciais Ativos</w:t>
            </w:r>
          </w:p>
        </w:tc>
        <w:tc>
          <w:tcPr>
            <w:tcW w:w="767" w:type="dxa"/>
            <w:tcBorders>
              <w:top w:val="nil"/>
              <w:bottom w:val="single" w:sz="8" w:space="0" w:color="auto"/>
              <w:right w:val="single" w:sz="8" w:space="0" w:color="auto"/>
            </w:tcBorders>
            <w:shd w:val="clear" w:color="auto" w:fill="auto"/>
            <w:noWrap/>
            <w:vAlign w:val="center"/>
          </w:tcPr>
          <w:p w14:paraId="63F2FBEA" w14:textId="6770054D" w:rsidR="009B4545" w:rsidRPr="009B4545" w:rsidRDefault="009B4545" w:rsidP="00326F06">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single" w:sz="8" w:space="0" w:color="auto"/>
              <w:right w:val="single" w:sz="8" w:space="0" w:color="auto"/>
            </w:tcBorders>
            <w:shd w:val="clear" w:color="auto" w:fill="auto"/>
            <w:noWrap/>
            <w:vAlign w:val="center"/>
            <w:hideMark/>
          </w:tcPr>
          <w:p w14:paraId="7BB73006" w14:textId="77777777" w:rsidR="009B4545" w:rsidRPr="009B4545" w:rsidRDefault="009B4545" w:rsidP="00326F06">
            <w:pPr>
              <w:spacing w:after="0" w:line="240" w:lineRule="auto"/>
              <w:jc w:val="center"/>
              <w:rPr>
                <w:rFonts w:ascii="Arial Narrow" w:eastAsia="Times New Roman" w:hAnsi="Arial Narrow" w:cs="Arial"/>
                <w:sz w:val="16"/>
                <w:szCs w:val="16"/>
                <w:lang w:eastAsia="pt-BR"/>
              </w:rPr>
            </w:pPr>
            <w:r w:rsidRPr="009B4545">
              <w:rPr>
                <w:rFonts w:ascii="Arial Narrow" w:eastAsia="Times New Roman" w:hAnsi="Arial Narrow" w:cs="Arial"/>
                <w:sz w:val="16"/>
                <w:szCs w:val="16"/>
                <w:lang w:eastAsia="pt-BR"/>
              </w:rPr>
              <w:t>BPA.D087</w:t>
            </w:r>
          </w:p>
        </w:tc>
        <w:tc>
          <w:tcPr>
            <w:tcW w:w="1262" w:type="dxa"/>
            <w:tcBorders>
              <w:top w:val="nil"/>
              <w:left w:val="nil"/>
              <w:bottom w:val="single" w:sz="8" w:space="0" w:color="auto"/>
              <w:right w:val="single" w:sz="8" w:space="0" w:color="auto"/>
            </w:tcBorders>
            <w:shd w:val="clear" w:color="auto" w:fill="auto"/>
            <w:noWrap/>
            <w:vAlign w:val="center"/>
            <w:hideMark/>
          </w:tcPr>
          <w:p w14:paraId="3DBA4539" w14:textId="77777777" w:rsidR="009B4545" w:rsidRPr="009B4545" w:rsidRDefault="009B4545" w:rsidP="00326F06">
            <w:pPr>
              <w:spacing w:after="0" w:line="240" w:lineRule="auto"/>
              <w:jc w:val="center"/>
              <w:rPr>
                <w:rFonts w:ascii="Arial Narrow" w:eastAsia="Times New Roman" w:hAnsi="Arial Narrow" w:cs="Arial"/>
                <w:sz w:val="16"/>
                <w:szCs w:val="16"/>
                <w:lang w:eastAsia="pt-BR"/>
              </w:rPr>
            </w:pPr>
            <w:r w:rsidRPr="009B4545">
              <w:rPr>
                <w:rFonts w:ascii="Arial Narrow" w:eastAsia="Times New Roman" w:hAnsi="Arial Narrow" w:cs="Arial"/>
                <w:sz w:val="16"/>
                <w:szCs w:val="16"/>
                <w:lang w:eastAsia="pt-BR"/>
              </w:rPr>
              <w:t>BPA.E087</w:t>
            </w:r>
          </w:p>
        </w:tc>
        <w:tc>
          <w:tcPr>
            <w:tcW w:w="4562" w:type="dxa"/>
            <w:tcBorders>
              <w:top w:val="nil"/>
              <w:left w:val="nil"/>
              <w:bottom w:val="single" w:sz="8" w:space="0" w:color="auto"/>
            </w:tcBorders>
            <w:shd w:val="clear" w:color="000000" w:fill="FFFFFF"/>
            <w:noWrap/>
            <w:vAlign w:val="center"/>
            <w:hideMark/>
          </w:tcPr>
          <w:p w14:paraId="2DFE7D0A" w14:textId="77777777" w:rsidR="009B4545" w:rsidRPr="009B4545" w:rsidRDefault="009B4545" w:rsidP="00326F06">
            <w:pPr>
              <w:spacing w:after="0" w:line="240" w:lineRule="auto"/>
              <w:ind w:firstLineChars="200" w:firstLine="320"/>
              <w:rPr>
                <w:rFonts w:ascii="Arial Narrow" w:eastAsia="Times New Roman" w:hAnsi="Arial Narrow" w:cs="Arial"/>
                <w:sz w:val="16"/>
                <w:szCs w:val="16"/>
                <w:lang w:eastAsia="pt-BR"/>
              </w:rPr>
            </w:pPr>
            <w:r w:rsidRPr="009B4545">
              <w:rPr>
                <w:rFonts w:ascii="Arial Narrow" w:eastAsia="Times New Roman" w:hAnsi="Arial Narrow" w:cs="Arial"/>
                <w:sz w:val="16"/>
                <w:szCs w:val="16"/>
                <w:lang w:eastAsia="pt-BR"/>
              </w:rPr>
              <w:t xml:space="preserve">Outros Atos Potenciais Passivos </w:t>
            </w:r>
          </w:p>
        </w:tc>
        <w:tc>
          <w:tcPr>
            <w:tcW w:w="775" w:type="dxa"/>
            <w:tcBorders>
              <w:top w:val="nil"/>
              <w:bottom w:val="single" w:sz="8" w:space="0" w:color="auto"/>
              <w:right w:val="single" w:sz="8" w:space="0" w:color="auto"/>
            </w:tcBorders>
            <w:shd w:val="clear" w:color="auto" w:fill="auto"/>
            <w:noWrap/>
            <w:vAlign w:val="center"/>
          </w:tcPr>
          <w:p w14:paraId="170FC09A" w14:textId="0F8FF487" w:rsidR="009B4545" w:rsidRPr="009B4545" w:rsidRDefault="009B4545" w:rsidP="00326F06">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single" w:sz="8" w:space="0" w:color="auto"/>
              <w:right w:val="single" w:sz="8" w:space="0" w:color="auto"/>
            </w:tcBorders>
            <w:shd w:val="clear" w:color="auto" w:fill="auto"/>
            <w:noWrap/>
            <w:vAlign w:val="center"/>
            <w:hideMark/>
          </w:tcPr>
          <w:p w14:paraId="525C90DC" w14:textId="77777777" w:rsidR="009B4545" w:rsidRPr="009B4545" w:rsidRDefault="009B4545" w:rsidP="00326F06">
            <w:pPr>
              <w:spacing w:after="0" w:line="240" w:lineRule="auto"/>
              <w:jc w:val="center"/>
              <w:rPr>
                <w:rFonts w:ascii="Arial Narrow" w:eastAsia="Times New Roman" w:hAnsi="Arial Narrow" w:cs="Arial"/>
                <w:sz w:val="16"/>
                <w:szCs w:val="16"/>
                <w:lang w:eastAsia="pt-BR"/>
              </w:rPr>
            </w:pPr>
            <w:r w:rsidRPr="009B4545">
              <w:rPr>
                <w:rFonts w:ascii="Arial Narrow" w:eastAsia="Times New Roman" w:hAnsi="Arial Narrow" w:cs="Arial"/>
                <w:sz w:val="16"/>
                <w:szCs w:val="16"/>
                <w:lang w:eastAsia="pt-BR"/>
              </w:rPr>
              <w:t>BPA.H087</w:t>
            </w:r>
          </w:p>
        </w:tc>
        <w:tc>
          <w:tcPr>
            <w:tcW w:w="1420" w:type="dxa"/>
            <w:tcBorders>
              <w:top w:val="nil"/>
              <w:left w:val="nil"/>
              <w:bottom w:val="single" w:sz="8" w:space="0" w:color="auto"/>
              <w:right w:val="single" w:sz="8" w:space="0" w:color="auto"/>
            </w:tcBorders>
            <w:shd w:val="clear" w:color="auto" w:fill="auto"/>
            <w:noWrap/>
            <w:vAlign w:val="center"/>
            <w:hideMark/>
          </w:tcPr>
          <w:p w14:paraId="442E3B9C" w14:textId="77777777" w:rsidR="009B4545" w:rsidRPr="009B4545" w:rsidRDefault="009B4545" w:rsidP="00326F06">
            <w:pPr>
              <w:spacing w:after="0" w:line="240" w:lineRule="auto"/>
              <w:jc w:val="center"/>
              <w:rPr>
                <w:rFonts w:ascii="Arial Narrow" w:eastAsia="Times New Roman" w:hAnsi="Arial Narrow" w:cs="Arial"/>
                <w:sz w:val="16"/>
                <w:szCs w:val="16"/>
                <w:lang w:eastAsia="pt-BR"/>
              </w:rPr>
            </w:pPr>
            <w:r w:rsidRPr="009B4545">
              <w:rPr>
                <w:rFonts w:ascii="Arial Narrow" w:eastAsia="Times New Roman" w:hAnsi="Arial Narrow" w:cs="Arial"/>
                <w:sz w:val="16"/>
                <w:szCs w:val="16"/>
                <w:lang w:eastAsia="pt-BR"/>
              </w:rPr>
              <w:t>BPA.I087</w:t>
            </w:r>
          </w:p>
        </w:tc>
      </w:tr>
    </w:tbl>
    <w:p w14:paraId="095BBA43" w14:textId="77777777" w:rsidR="009B4545" w:rsidRDefault="009B4545" w:rsidP="009B4545">
      <w:pPr>
        <w:spacing w:after="0" w:line="240" w:lineRule="auto"/>
        <w:jc w:val="both"/>
        <w:rPr>
          <w:rFonts w:ascii="Arial" w:eastAsia="Calibri" w:hAnsi="Arial" w:cs="Arial"/>
          <w:b/>
          <w:color w:val="0070C0"/>
          <w:sz w:val="24"/>
          <w:szCs w:val="24"/>
        </w:rPr>
      </w:pPr>
    </w:p>
    <w:p w14:paraId="1F05525E" w14:textId="77777777" w:rsidR="009B4545" w:rsidRDefault="009B4545" w:rsidP="009B4545">
      <w:pPr>
        <w:spacing w:after="0" w:line="240" w:lineRule="auto"/>
        <w:jc w:val="both"/>
        <w:rPr>
          <w:rFonts w:ascii="Arial" w:eastAsia="Calibri" w:hAnsi="Arial" w:cs="Arial"/>
          <w:b/>
          <w:color w:val="0070C0"/>
          <w:sz w:val="24"/>
          <w:szCs w:val="24"/>
        </w:rPr>
      </w:pPr>
    </w:p>
    <w:p w14:paraId="2A359234" w14:textId="77777777" w:rsidR="00C51713" w:rsidRPr="009548D7" w:rsidRDefault="00C51713" w:rsidP="00C51713">
      <w:pPr>
        <w:spacing w:after="0" w:line="360" w:lineRule="auto"/>
        <w:jc w:val="both"/>
        <w:rPr>
          <w:rFonts w:ascii="Arial" w:hAnsi="Arial"/>
          <w:b/>
        </w:rPr>
      </w:pPr>
      <w:r w:rsidRPr="009548D7">
        <w:rPr>
          <w:rFonts w:ascii="Arial" w:hAnsi="Arial"/>
          <w:b/>
        </w:rPr>
        <w:t>Observações:</w:t>
      </w:r>
    </w:p>
    <w:p w14:paraId="64369541" w14:textId="77777777" w:rsidR="00C51713" w:rsidRPr="009548D7" w:rsidRDefault="00C51713" w:rsidP="00C51713">
      <w:pPr>
        <w:jc w:val="both"/>
        <w:rPr>
          <w:rFonts w:ascii="Arial" w:hAnsi="Arial"/>
        </w:rPr>
      </w:pPr>
      <w:r w:rsidRPr="009548D7">
        <w:rPr>
          <w:rFonts w:ascii="Arial" w:hAnsi="Arial"/>
        </w:rPr>
        <w:t>1. A elaboração do Balanço Patrimonial seguirá a metodologia especificada na IPC 04 (Instruções de Procedimentos Contábeis </w:t>
      </w:r>
      <w:r w:rsidRPr="009548D7">
        <w:rPr>
          <w:rFonts w:ascii="Arial" w:hAnsi="Arial"/>
        </w:rPr>
        <w:noBreakHyphen/>
        <w:t> STN) observada à classificação das contas contábeis pertencentes ao Plano de Contas do TCEES (CidadES).</w:t>
      </w:r>
    </w:p>
    <w:p w14:paraId="1D08B994" w14:textId="77777777" w:rsidR="00C51713" w:rsidRPr="009548D7" w:rsidRDefault="00C51713" w:rsidP="00C51713">
      <w:pPr>
        <w:jc w:val="both"/>
        <w:rPr>
          <w:rFonts w:ascii="Arial" w:hAnsi="Arial"/>
        </w:rPr>
      </w:pPr>
      <w:r w:rsidRPr="009548D7">
        <w:rPr>
          <w:rFonts w:ascii="Arial" w:hAnsi="Arial"/>
        </w:rPr>
        <w:t>2. Os campos BPA.H078, BPA.H051,  BPA.H054, BPA.H057, BPA.H058, BPA.H059, BPA.H060, BPA.H061, BPA.H070, BPA.I078, BPA.I051,  PA.I054, BPA.I057, BPA.I058, BPA.I059, BPA.I060, BPA.I061, BPA.I070 admitirão valores negativos.</w:t>
      </w:r>
    </w:p>
    <w:p w14:paraId="72C429DF" w14:textId="77777777" w:rsidR="009B4545" w:rsidRDefault="009B4545" w:rsidP="00FA1F55">
      <w:pPr>
        <w:spacing w:after="0" w:line="240" w:lineRule="auto"/>
        <w:jc w:val="center"/>
        <w:rPr>
          <w:rFonts w:ascii="Arial" w:eastAsia="Times New Roman" w:hAnsi="Arial" w:cs="Arial"/>
          <w:b/>
          <w:bCs/>
          <w:lang w:eastAsia="pt-BR"/>
        </w:rPr>
      </w:pPr>
      <w:r>
        <w:rPr>
          <w:rFonts w:ascii="Arial" w:eastAsia="Times New Roman" w:hAnsi="Arial" w:cs="Arial"/>
          <w:b/>
          <w:bCs/>
          <w:lang w:eastAsia="pt-BR"/>
        </w:rPr>
        <w:br w:type="page"/>
      </w:r>
    </w:p>
    <w:p w14:paraId="6A87384F" w14:textId="77777777" w:rsidR="00C51713" w:rsidRDefault="00C51713" w:rsidP="00C51713">
      <w:pPr>
        <w:spacing w:after="0" w:line="240" w:lineRule="auto"/>
        <w:jc w:val="center"/>
        <w:rPr>
          <w:rFonts w:ascii="Arial" w:eastAsia="Times New Roman" w:hAnsi="Arial" w:cs="Arial"/>
          <w:b/>
          <w:bCs/>
          <w:lang w:eastAsia="pt-BR"/>
        </w:rPr>
      </w:pPr>
      <w:r w:rsidRPr="00FA1F55">
        <w:rPr>
          <w:rFonts w:ascii="Arial" w:eastAsia="Times New Roman" w:hAnsi="Arial" w:cs="Arial"/>
          <w:b/>
          <w:bCs/>
          <w:lang w:eastAsia="pt-BR"/>
        </w:rPr>
        <w:lastRenderedPageBreak/>
        <w:t>DEMONSTRATIVO DO SUPERÁVIT/DÉFICIT FINANCEIRO APURADO NO BALANÇO PATRIMONIAL</w:t>
      </w:r>
    </w:p>
    <w:p w14:paraId="608828E8" w14:textId="77777777" w:rsidR="00C51713" w:rsidRPr="000A136D" w:rsidRDefault="00C51713" w:rsidP="00C51713">
      <w:pPr>
        <w:spacing w:after="0" w:line="240" w:lineRule="auto"/>
        <w:jc w:val="center"/>
        <w:rPr>
          <w:rFonts w:ascii="Arial" w:eastAsia="Times New Roman" w:hAnsi="Arial" w:cs="Arial"/>
          <w:b/>
          <w:bCs/>
          <w:color w:val="0070C0"/>
          <w:lang w:eastAsia="pt-BR"/>
        </w:rPr>
      </w:pPr>
      <w:r w:rsidRPr="00C51713">
        <w:rPr>
          <w:rFonts w:ascii="Arial" w:eastAsia="Times New Roman" w:hAnsi="Arial" w:cs="Arial"/>
          <w:b/>
          <w:bCs/>
          <w:lang w:eastAsia="pt-BR"/>
        </w:rPr>
        <w:t>MUNICÍPIOS/CONSÓRCIOS</w:t>
      </w:r>
    </w:p>
    <w:p w14:paraId="62962FEF" w14:textId="77777777" w:rsidR="00C51713" w:rsidRPr="00FA1F55" w:rsidRDefault="00C51713" w:rsidP="00C51713">
      <w:pPr>
        <w:tabs>
          <w:tab w:val="left" w:pos="12350"/>
        </w:tabs>
        <w:spacing w:after="0" w:line="240" w:lineRule="auto"/>
        <w:ind w:left="55"/>
        <w:rPr>
          <w:rFonts w:ascii="Arial" w:eastAsia="Times New Roman" w:hAnsi="Arial" w:cs="Arial"/>
          <w:b/>
          <w:bCs/>
          <w:sz w:val="16"/>
          <w:szCs w:val="16"/>
          <w:lang w:eastAsia="pt-BR"/>
        </w:rPr>
      </w:pPr>
      <w:r w:rsidRPr="00FA1F55">
        <w:rPr>
          <w:rFonts w:ascii="Arial Narrow" w:eastAsia="Times New Roman" w:hAnsi="Arial Narrow" w:cs="Arial"/>
          <w:b/>
          <w:bCs/>
          <w:lang w:eastAsia="pt-BR"/>
        </w:rPr>
        <w:tab/>
      </w:r>
    </w:p>
    <w:tbl>
      <w:tblPr>
        <w:tblW w:w="14301" w:type="dxa"/>
        <w:tblInd w:w="-431" w:type="dxa"/>
        <w:tblCellMar>
          <w:left w:w="70" w:type="dxa"/>
          <w:right w:w="70" w:type="dxa"/>
        </w:tblCellMar>
        <w:tblLook w:val="04A0" w:firstRow="1" w:lastRow="0" w:firstColumn="1" w:lastColumn="0" w:noHBand="0" w:noVBand="1"/>
      </w:tblPr>
      <w:tblGrid>
        <w:gridCol w:w="852"/>
        <w:gridCol w:w="9714"/>
        <w:gridCol w:w="906"/>
        <w:gridCol w:w="1309"/>
        <w:gridCol w:w="1520"/>
      </w:tblGrid>
      <w:tr w:rsidR="00BA528E" w:rsidRPr="00BA528E" w14:paraId="3214FD31" w14:textId="77777777" w:rsidTr="0015273C">
        <w:trPr>
          <w:trHeight w:val="330"/>
        </w:trPr>
        <w:tc>
          <w:tcPr>
            <w:tcW w:w="11472" w:type="dxa"/>
            <w:gridSpan w:val="3"/>
            <w:tcBorders>
              <w:top w:val="single" w:sz="4" w:space="0" w:color="auto"/>
              <w:left w:val="single" w:sz="4" w:space="0" w:color="auto"/>
              <w:bottom w:val="single" w:sz="4" w:space="0" w:color="auto"/>
              <w:right w:val="single" w:sz="4" w:space="0" w:color="000000"/>
            </w:tcBorders>
            <w:shd w:val="clear" w:color="auto" w:fill="F2F2F2"/>
            <w:noWrap/>
            <w:vAlign w:val="bottom"/>
            <w:hideMark/>
          </w:tcPr>
          <w:p w14:paraId="23D65DE2" w14:textId="77777777" w:rsidR="00BA528E" w:rsidRPr="00BA528E" w:rsidRDefault="00BA528E" w:rsidP="0015273C">
            <w:pPr>
              <w:spacing w:after="0" w:line="240" w:lineRule="auto"/>
              <w:jc w:val="center"/>
              <w:rPr>
                <w:rFonts w:ascii="Arial Narrow" w:eastAsia="Times New Roman" w:hAnsi="Arial Narrow" w:cs="Arial"/>
                <w:b/>
                <w:bCs/>
                <w:lang w:eastAsia="pt-BR"/>
              </w:rPr>
            </w:pPr>
            <w:r w:rsidRPr="00BA528E">
              <w:rPr>
                <w:rFonts w:ascii="Arial Narrow" w:eastAsia="Times New Roman" w:hAnsi="Arial Narrow" w:cs="Arial"/>
                <w:b/>
                <w:bCs/>
                <w:lang w:eastAsia="pt-BR"/>
              </w:rPr>
              <w:t>FONTES DE RECURSOS</w:t>
            </w:r>
          </w:p>
        </w:tc>
        <w:tc>
          <w:tcPr>
            <w:tcW w:w="2829" w:type="dxa"/>
            <w:gridSpan w:val="2"/>
            <w:tcBorders>
              <w:top w:val="single" w:sz="4" w:space="0" w:color="auto"/>
              <w:left w:val="nil"/>
              <w:bottom w:val="single" w:sz="4" w:space="0" w:color="auto"/>
              <w:right w:val="single" w:sz="4" w:space="0" w:color="000000"/>
            </w:tcBorders>
            <w:shd w:val="clear" w:color="auto" w:fill="F2F2F2"/>
            <w:noWrap/>
            <w:vAlign w:val="bottom"/>
            <w:hideMark/>
          </w:tcPr>
          <w:p w14:paraId="71DC78D8" w14:textId="77777777" w:rsidR="00BA528E" w:rsidRPr="00BA528E" w:rsidRDefault="00BA528E" w:rsidP="0015273C">
            <w:pPr>
              <w:spacing w:after="0" w:line="240" w:lineRule="auto"/>
              <w:jc w:val="center"/>
              <w:rPr>
                <w:rFonts w:ascii="Arial Narrow" w:eastAsia="Times New Roman" w:hAnsi="Arial Narrow" w:cs="Arial"/>
                <w:b/>
                <w:bCs/>
                <w:sz w:val="20"/>
                <w:szCs w:val="20"/>
                <w:lang w:eastAsia="pt-BR"/>
              </w:rPr>
            </w:pPr>
            <w:r w:rsidRPr="00BA528E">
              <w:rPr>
                <w:rFonts w:ascii="Arial Narrow" w:eastAsia="Times New Roman" w:hAnsi="Arial Narrow" w:cs="Arial"/>
                <w:b/>
                <w:bCs/>
                <w:sz w:val="20"/>
                <w:szCs w:val="20"/>
                <w:lang w:eastAsia="pt-BR"/>
              </w:rPr>
              <w:t>SUPERÁVIT/DÉFICIT FINANCEIRO</w:t>
            </w:r>
          </w:p>
        </w:tc>
      </w:tr>
      <w:tr w:rsidR="00BA528E" w:rsidRPr="00BA528E" w14:paraId="37F2CE9B" w14:textId="77777777" w:rsidTr="0015273C">
        <w:trPr>
          <w:trHeight w:val="211"/>
        </w:trPr>
        <w:tc>
          <w:tcPr>
            <w:tcW w:w="852" w:type="dxa"/>
            <w:vMerge w:val="restart"/>
            <w:tcBorders>
              <w:top w:val="nil"/>
              <w:left w:val="single" w:sz="4" w:space="0" w:color="auto"/>
              <w:right w:val="single" w:sz="4" w:space="0" w:color="auto"/>
            </w:tcBorders>
            <w:shd w:val="clear" w:color="auto" w:fill="F2F2F2"/>
            <w:noWrap/>
            <w:vAlign w:val="bottom"/>
            <w:hideMark/>
          </w:tcPr>
          <w:p w14:paraId="6A420B0D" w14:textId="77777777" w:rsidR="00BA528E" w:rsidRPr="00BA528E" w:rsidRDefault="00BA528E" w:rsidP="0015273C">
            <w:pPr>
              <w:spacing w:after="0" w:line="240" w:lineRule="auto"/>
              <w:jc w:val="center"/>
              <w:rPr>
                <w:rFonts w:ascii="Arial Narrow" w:eastAsia="Times New Roman" w:hAnsi="Arial Narrow" w:cs="Arial"/>
                <w:b/>
                <w:bCs/>
                <w:sz w:val="20"/>
                <w:szCs w:val="20"/>
                <w:lang w:eastAsia="pt-BR"/>
              </w:rPr>
            </w:pPr>
            <w:r w:rsidRPr="00BA528E">
              <w:rPr>
                <w:rFonts w:ascii="Arial Narrow" w:eastAsia="Times New Roman" w:hAnsi="Arial Narrow" w:cs="Arial"/>
                <w:b/>
                <w:bCs/>
                <w:sz w:val="20"/>
                <w:szCs w:val="20"/>
                <w:lang w:eastAsia="pt-BR"/>
              </w:rPr>
              <w:t xml:space="preserve">Código </w:t>
            </w:r>
          </w:p>
        </w:tc>
        <w:tc>
          <w:tcPr>
            <w:tcW w:w="9714" w:type="dxa"/>
            <w:vMerge w:val="restart"/>
            <w:tcBorders>
              <w:top w:val="nil"/>
              <w:left w:val="nil"/>
            </w:tcBorders>
            <w:shd w:val="clear" w:color="auto" w:fill="F2F2F2"/>
            <w:noWrap/>
            <w:vAlign w:val="bottom"/>
            <w:hideMark/>
          </w:tcPr>
          <w:p w14:paraId="02AEF227" w14:textId="77777777" w:rsidR="00BA528E" w:rsidRPr="00BA528E" w:rsidRDefault="00BA528E" w:rsidP="0015273C">
            <w:pPr>
              <w:spacing w:after="0" w:line="240" w:lineRule="auto"/>
              <w:jc w:val="center"/>
              <w:rPr>
                <w:rFonts w:ascii="Arial Narrow" w:eastAsia="Times New Roman" w:hAnsi="Arial Narrow" w:cs="Arial"/>
                <w:b/>
                <w:bCs/>
                <w:sz w:val="20"/>
                <w:szCs w:val="20"/>
                <w:lang w:eastAsia="pt-BR"/>
              </w:rPr>
            </w:pPr>
            <w:r w:rsidRPr="00BA528E">
              <w:rPr>
                <w:rFonts w:ascii="Arial Narrow" w:eastAsia="Times New Roman" w:hAnsi="Arial Narrow" w:cs="Arial"/>
                <w:b/>
                <w:bCs/>
                <w:sz w:val="20"/>
                <w:szCs w:val="20"/>
                <w:lang w:eastAsia="pt-BR"/>
              </w:rPr>
              <w:t>Descrição</w:t>
            </w:r>
          </w:p>
        </w:tc>
        <w:tc>
          <w:tcPr>
            <w:tcW w:w="906" w:type="dxa"/>
            <w:tcBorders>
              <w:top w:val="nil"/>
              <w:right w:val="single" w:sz="4" w:space="0" w:color="auto"/>
            </w:tcBorders>
            <w:shd w:val="clear" w:color="auto" w:fill="F2F2F2"/>
            <w:noWrap/>
            <w:vAlign w:val="bottom"/>
          </w:tcPr>
          <w:p w14:paraId="0C8C8263" w14:textId="77777777" w:rsidR="00BA528E" w:rsidRPr="00BA528E" w:rsidRDefault="00BA528E" w:rsidP="0015273C">
            <w:pPr>
              <w:spacing w:after="0" w:line="240" w:lineRule="auto"/>
              <w:jc w:val="center"/>
              <w:rPr>
                <w:rFonts w:ascii="Arial Narrow" w:eastAsia="Times New Roman" w:hAnsi="Arial Narrow" w:cs="Arial"/>
                <w:b/>
                <w:bCs/>
                <w:sz w:val="20"/>
                <w:szCs w:val="20"/>
                <w:lang w:eastAsia="pt-BR"/>
              </w:rPr>
            </w:pPr>
          </w:p>
        </w:tc>
        <w:tc>
          <w:tcPr>
            <w:tcW w:w="1309" w:type="dxa"/>
            <w:vMerge w:val="restart"/>
            <w:tcBorders>
              <w:top w:val="nil"/>
              <w:left w:val="nil"/>
              <w:right w:val="single" w:sz="4" w:space="0" w:color="auto"/>
            </w:tcBorders>
            <w:shd w:val="clear" w:color="auto" w:fill="F2F2F2"/>
            <w:noWrap/>
            <w:vAlign w:val="bottom"/>
            <w:hideMark/>
          </w:tcPr>
          <w:p w14:paraId="0572B6A2" w14:textId="77777777" w:rsidR="00BA528E" w:rsidRPr="00BA528E" w:rsidRDefault="00BA528E" w:rsidP="0015273C">
            <w:pPr>
              <w:spacing w:after="0" w:line="240" w:lineRule="auto"/>
              <w:jc w:val="center"/>
              <w:rPr>
                <w:rFonts w:ascii="Arial Narrow" w:eastAsia="Times New Roman" w:hAnsi="Arial Narrow" w:cs="Arial"/>
                <w:b/>
                <w:bCs/>
                <w:sz w:val="20"/>
                <w:szCs w:val="20"/>
                <w:lang w:eastAsia="pt-BR"/>
              </w:rPr>
            </w:pPr>
            <w:r w:rsidRPr="00BA528E">
              <w:rPr>
                <w:rFonts w:ascii="Arial Narrow" w:eastAsia="Times New Roman" w:hAnsi="Arial Narrow" w:cs="Arial"/>
                <w:b/>
                <w:bCs/>
                <w:sz w:val="20"/>
                <w:szCs w:val="20"/>
                <w:lang w:eastAsia="pt-BR"/>
              </w:rPr>
              <w:t>Exercício Atual</w:t>
            </w:r>
          </w:p>
        </w:tc>
        <w:tc>
          <w:tcPr>
            <w:tcW w:w="1520" w:type="dxa"/>
            <w:vMerge w:val="restart"/>
            <w:tcBorders>
              <w:top w:val="nil"/>
              <w:left w:val="nil"/>
              <w:right w:val="single" w:sz="4" w:space="0" w:color="auto"/>
            </w:tcBorders>
            <w:shd w:val="clear" w:color="auto" w:fill="F2F2F2"/>
            <w:noWrap/>
            <w:vAlign w:val="bottom"/>
            <w:hideMark/>
          </w:tcPr>
          <w:p w14:paraId="1CD524D5" w14:textId="77777777" w:rsidR="00BA528E" w:rsidRPr="00BA528E" w:rsidRDefault="00BA528E" w:rsidP="0015273C">
            <w:pPr>
              <w:spacing w:after="0" w:line="240" w:lineRule="auto"/>
              <w:jc w:val="center"/>
              <w:rPr>
                <w:rFonts w:ascii="Arial Narrow" w:eastAsia="Times New Roman" w:hAnsi="Arial Narrow" w:cs="Arial"/>
                <w:b/>
                <w:bCs/>
                <w:sz w:val="20"/>
                <w:szCs w:val="20"/>
                <w:lang w:eastAsia="pt-BR"/>
              </w:rPr>
            </w:pPr>
            <w:r w:rsidRPr="00BA528E">
              <w:rPr>
                <w:rFonts w:ascii="Arial Narrow" w:eastAsia="Times New Roman" w:hAnsi="Arial Narrow" w:cs="Arial"/>
                <w:b/>
                <w:bCs/>
                <w:sz w:val="20"/>
                <w:szCs w:val="20"/>
                <w:lang w:eastAsia="pt-BR"/>
              </w:rPr>
              <w:t>Exercício Anterior</w:t>
            </w:r>
          </w:p>
        </w:tc>
      </w:tr>
      <w:tr w:rsidR="00BA528E" w:rsidRPr="00BA528E" w14:paraId="45701959" w14:textId="77777777" w:rsidTr="0015273C">
        <w:trPr>
          <w:trHeight w:val="210"/>
        </w:trPr>
        <w:tc>
          <w:tcPr>
            <w:tcW w:w="852" w:type="dxa"/>
            <w:vMerge/>
            <w:tcBorders>
              <w:left w:val="single" w:sz="4" w:space="0" w:color="auto"/>
              <w:bottom w:val="single" w:sz="4" w:space="0" w:color="auto"/>
              <w:right w:val="single" w:sz="4" w:space="0" w:color="auto"/>
            </w:tcBorders>
            <w:shd w:val="clear" w:color="auto" w:fill="F2F2F2"/>
            <w:noWrap/>
            <w:vAlign w:val="bottom"/>
          </w:tcPr>
          <w:p w14:paraId="78ECF156" w14:textId="77777777" w:rsidR="00BA528E" w:rsidRPr="00BA528E" w:rsidRDefault="00BA528E" w:rsidP="0015273C">
            <w:pPr>
              <w:spacing w:after="0" w:line="240" w:lineRule="auto"/>
              <w:jc w:val="center"/>
              <w:rPr>
                <w:rFonts w:ascii="Arial Narrow" w:eastAsia="Times New Roman" w:hAnsi="Arial Narrow" w:cs="Arial"/>
                <w:b/>
                <w:bCs/>
                <w:sz w:val="20"/>
                <w:szCs w:val="20"/>
                <w:lang w:eastAsia="pt-BR"/>
              </w:rPr>
            </w:pPr>
          </w:p>
        </w:tc>
        <w:tc>
          <w:tcPr>
            <w:tcW w:w="9714" w:type="dxa"/>
            <w:vMerge/>
            <w:tcBorders>
              <w:left w:val="nil"/>
              <w:bottom w:val="single" w:sz="4" w:space="0" w:color="auto"/>
            </w:tcBorders>
            <w:shd w:val="clear" w:color="auto" w:fill="F2F2F2"/>
            <w:noWrap/>
            <w:vAlign w:val="bottom"/>
          </w:tcPr>
          <w:p w14:paraId="34F37910" w14:textId="77777777" w:rsidR="00BA528E" w:rsidRPr="00BA528E" w:rsidRDefault="00BA528E" w:rsidP="0015273C">
            <w:pPr>
              <w:spacing w:after="0" w:line="240" w:lineRule="auto"/>
              <w:jc w:val="center"/>
              <w:rPr>
                <w:rFonts w:ascii="Arial Narrow" w:eastAsia="Times New Roman" w:hAnsi="Arial Narrow" w:cs="Arial"/>
                <w:b/>
                <w:bCs/>
                <w:sz w:val="20"/>
                <w:szCs w:val="20"/>
                <w:lang w:eastAsia="pt-BR"/>
              </w:rPr>
            </w:pPr>
          </w:p>
        </w:tc>
        <w:tc>
          <w:tcPr>
            <w:tcW w:w="906" w:type="dxa"/>
            <w:tcBorders>
              <w:top w:val="nil"/>
              <w:bottom w:val="single" w:sz="4" w:space="0" w:color="auto"/>
              <w:right w:val="single" w:sz="4" w:space="0" w:color="auto"/>
            </w:tcBorders>
            <w:shd w:val="clear" w:color="auto" w:fill="F2F2F2"/>
            <w:noWrap/>
            <w:vAlign w:val="bottom"/>
          </w:tcPr>
          <w:p w14:paraId="7B78285C" w14:textId="77777777" w:rsidR="00BA528E" w:rsidRPr="00BA528E" w:rsidRDefault="00BA528E" w:rsidP="0015273C">
            <w:pPr>
              <w:spacing w:after="0" w:line="240" w:lineRule="auto"/>
              <w:jc w:val="center"/>
              <w:rPr>
                <w:rFonts w:ascii="Arial Narrow" w:eastAsia="Times New Roman" w:hAnsi="Arial Narrow" w:cs="Arial"/>
                <w:b/>
                <w:bCs/>
                <w:sz w:val="20"/>
                <w:szCs w:val="20"/>
                <w:lang w:eastAsia="pt-BR"/>
              </w:rPr>
            </w:pPr>
          </w:p>
        </w:tc>
        <w:tc>
          <w:tcPr>
            <w:tcW w:w="1309" w:type="dxa"/>
            <w:vMerge/>
            <w:tcBorders>
              <w:left w:val="nil"/>
              <w:bottom w:val="single" w:sz="4" w:space="0" w:color="auto"/>
              <w:right w:val="single" w:sz="4" w:space="0" w:color="auto"/>
            </w:tcBorders>
            <w:shd w:val="clear" w:color="auto" w:fill="F2F2F2"/>
            <w:noWrap/>
            <w:vAlign w:val="bottom"/>
          </w:tcPr>
          <w:p w14:paraId="4BB1518D" w14:textId="77777777" w:rsidR="00BA528E" w:rsidRPr="00BA528E" w:rsidRDefault="00BA528E" w:rsidP="0015273C">
            <w:pPr>
              <w:spacing w:after="0" w:line="240" w:lineRule="auto"/>
              <w:jc w:val="center"/>
              <w:rPr>
                <w:rFonts w:ascii="Arial Narrow" w:eastAsia="Times New Roman" w:hAnsi="Arial Narrow" w:cs="Arial"/>
                <w:b/>
                <w:bCs/>
                <w:sz w:val="20"/>
                <w:szCs w:val="20"/>
                <w:lang w:eastAsia="pt-BR"/>
              </w:rPr>
            </w:pPr>
          </w:p>
        </w:tc>
        <w:tc>
          <w:tcPr>
            <w:tcW w:w="1520" w:type="dxa"/>
            <w:vMerge/>
            <w:tcBorders>
              <w:left w:val="nil"/>
              <w:bottom w:val="single" w:sz="4" w:space="0" w:color="auto"/>
              <w:right w:val="single" w:sz="4" w:space="0" w:color="auto"/>
            </w:tcBorders>
            <w:shd w:val="clear" w:color="auto" w:fill="F2F2F2"/>
            <w:noWrap/>
            <w:vAlign w:val="bottom"/>
          </w:tcPr>
          <w:p w14:paraId="6C925913" w14:textId="77777777" w:rsidR="00BA528E" w:rsidRPr="00BA528E" w:rsidRDefault="00BA528E" w:rsidP="0015273C">
            <w:pPr>
              <w:spacing w:after="0" w:line="240" w:lineRule="auto"/>
              <w:jc w:val="center"/>
              <w:rPr>
                <w:rFonts w:ascii="Arial Narrow" w:eastAsia="Times New Roman" w:hAnsi="Arial Narrow" w:cs="Arial"/>
                <w:b/>
                <w:bCs/>
                <w:sz w:val="20"/>
                <w:szCs w:val="20"/>
                <w:lang w:eastAsia="pt-BR"/>
              </w:rPr>
            </w:pPr>
          </w:p>
        </w:tc>
      </w:tr>
      <w:tr w:rsidR="00BA528E" w:rsidRPr="00BA528E" w14:paraId="7B35B450" w14:textId="77777777" w:rsidTr="0015273C">
        <w:trPr>
          <w:trHeight w:val="255"/>
        </w:trPr>
        <w:tc>
          <w:tcPr>
            <w:tcW w:w="852" w:type="dxa"/>
            <w:tcBorders>
              <w:top w:val="nil"/>
              <w:left w:val="single" w:sz="4" w:space="0" w:color="auto"/>
              <w:bottom w:val="nil"/>
              <w:right w:val="single" w:sz="4" w:space="0" w:color="auto"/>
            </w:tcBorders>
            <w:shd w:val="clear" w:color="auto" w:fill="auto"/>
            <w:noWrap/>
            <w:vAlign w:val="bottom"/>
            <w:hideMark/>
          </w:tcPr>
          <w:p w14:paraId="78895773" w14:textId="77777777" w:rsidR="00BA528E" w:rsidRPr="00BA528E" w:rsidRDefault="00BA528E" w:rsidP="0015273C">
            <w:pPr>
              <w:spacing w:after="0" w:line="240" w:lineRule="auto"/>
              <w:jc w:val="center"/>
              <w:rPr>
                <w:rFonts w:ascii="Arial Narrow" w:eastAsia="Times New Roman" w:hAnsi="Arial Narrow" w:cs="Arial"/>
                <w:b/>
                <w:bCs/>
                <w:sz w:val="16"/>
                <w:szCs w:val="16"/>
                <w:lang w:eastAsia="pt-BR"/>
              </w:rPr>
            </w:pPr>
            <w:r w:rsidRPr="00BA528E">
              <w:rPr>
                <w:rFonts w:ascii="Arial Narrow" w:eastAsia="Times New Roman" w:hAnsi="Arial Narrow" w:cs="Arial"/>
                <w:b/>
                <w:bCs/>
                <w:sz w:val="16"/>
                <w:szCs w:val="16"/>
                <w:lang w:eastAsia="pt-BR"/>
              </w:rPr>
              <w:t> </w:t>
            </w:r>
          </w:p>
        </w:tc>
        <w:tc>
          <w:tcPr>
            <w:tcW w:w="9714" w:type="dxa"/>
            <w:tcBorders>
              <w:top w:val="nil"/>
              <w:left w:val="nil"/>
              <w:bottom w:val="nil"/>
            </w:tcBorders>
            <w:shd w:val="clear" w:color="auto" w:fill="auto"/>
            <w:noWrap/>
            <w:vAlign w:val="bottom"/>
            <w:hideMark/>
          </w:tcPr>
          <w:p w14:paraId="47ECDB1A" w14:textId="77777777" w:rsidR="00BA528E" w:rsidRPr="00BA528E" w:rsidRDefault="00BA528E" w:rsidP="0015273C">
            <w:pPr>
              <w:spacing w:after="0" w:line="240" w:lineRule="auto"/>
              <w:rPr>
                <w:rFonts w:ascii="Arial Narrow" w:eastAsia="Times New Roman" w:hAnsi="Arial Narrow" w:cs="Arial"/>
                <w:b/>
                <w:bCs/>
                <w:sz w:val="16"/>
                <w:szCs w:val="16"/>
                <w:lang w:eastAsia="pt-BR"/>
              </w:rPr>
            </w:pPr>
            <w:r w:rsidRPr="00BA528E">
              <w:rPr>
                <w:rFonts w:ascii="Arial Narrow" w:eastAsia="Times New Roman" w:hAnsi="Arial Narrow" w:cs="Arial"/>
                <w:b/>
                <w:bCs/>
                <w:sz w:val="16"/>
                <w:szCs w:val="16"/>
                <w:lang w:eastAsia="pt-BR"/>
              </w:rPr>
              <w:t>ORDINÁRIA</w:t>
            </w:r>
          </w:p>
        </w:tc>
        <w:tc>
          <w:tcPr>
            <w:tcW w:w="906" w:type="dxa"/>
            <w:tcBorders>
              <w:top w:val="nil"/>
              <w:bottom w:val="nil"/>
              <w:right w:val="single" w:sz="4" w:space="0" w:color="auto"/>
            </w:tcBorders>
            <w:shd w:val="clear" w:color="auto" w:fill="auto"/>
            <w:noWrap/>
            <w:vAlign w:val="bottom"/>
          </w:tcPr>
          <w:p w14:paraId="649E45E4" w14:textId="77777777" w:rsidR="00BA528E" w:rsidRPr="00BA528E" w:rsidRDefault="00BA528E" w:rsidP="0015273C">
            <w:pPr>
              <w:spacing w:after="0" w:line="240" w:lineRule="auto"/>
              <w:jc w:val="center"/>
              <w:rPr>
                <w:rFonts w:ascii="Arial Narrow" w:eastAsia="Times New Roman" w:hAnsi="Arial Narrow" w:cs="Arial"/>
                <w:b/>
                <w:bCs/>
                <w:sz w:val="16"/>
                <w:szCs w:val="16"/>
                <w:lang w:eastAsia="pt-BR"/>
              </w:rPr>
            </w:pPr>
          </w:p>
        </w:tc>
        <w:tc>
          <w:tcPr>
            <w:tcW w:w="1309" w:type="dxa"/>
            <w:tcBorders>
              <w:top w:val="nil"/>
              <w:left w:val="nil"/>
              <w:bottom w:val="nil"/>
              <w:right w:val="single" w:sz="4" w:space="0" w:color="auto"/>
            </w:tcBorders>
            <w:shd w:val="clear" w:color="auto" w:fill="auto"/>
            <w:noWrap/>
            <w:vAlign w:val="bottom"/>
            <w:hideMark/>
          </w:tcPr>
          <w:p w14:paraId="26EC26AD" w14:textId="77777777" w:rsidR="00BA528E" w:rsidRPr="00BA528E" w:rsidRDefault="00BA528E" w:rsidP="0015273C">
            <w:pPr>
              <w:spacing w:after="0" w:line="240" w:lineRule="auto"/>
              <w:jc w:val="center"/>
              <w:rPr>
                <w:rFonts w:ascii="Arial Narrow" w:eastAsia="Times New Roman" w:hAnsi="Arial Narrow" w:cs="Arial"/>
                <w:b/>
                <w:bCs/>
                <w:sz w:val="16"/>
                <w:szCs w:val="16"/>
                <w:lang w:eastAsia="pt-BR"/>
              </w:rPr>
            </w:pPr>
            <w:r w:rsidRPr="00BA528E">
              <w:rPr>
                <w:rFonts w:ascii="Arial Narrow" w:eastAsia="Times New Roman" w:hAnsi="Arial Narrow" w:cs="Arial"/>
                <w:b/>
                <w:bCs/>
                <w:sz w:val="16"/>
                <w:szCs w:val="16"/>
                <w:lang w:eastAsia="pt-BR"/>
              </w:rPr>
              <w:t>SDF.D006</w:t>
            </w:r>
          </w:p>
        </w:tc>
        <w:tc>
          <w:tcPr>
            <w:tcW w:w="1520" w:type="dxa"/>
            <w:tcBorders>
              <w:top w:val="nil"/>
              <w:left w:val="nil"/>
              <w:bottom w:val="nil"/>
              <w:right w:val="single" w:sz="4" w:space="0" w:color="auto"/>
            </w:tcBorders>
            <w:shd w:val="clear" w:color="auto" w:fill="auto"/>
            <w:noWrap/>
            <w:vAlign w:val="bottom"/>
            <w:hideMark/>
          </w:tcPr>
          <w:p w14:paraId="4C94956F" w14:textId="77777777" w:rsidR="00BA528E" w:rsidRPr="00BA528E" w:rsidRDefault="00BA528E" w:rsidP="0015273C">
            <w:pPr>
              <w:spacing w:after="0" w:line="240" w:lineRule="auto"/>
              <w:jc w:val="center"/>
              <w:rPr>
                <w:rFonts w:ascii="Arial Narrow" w:eastAsia="Times New Roman" w:hAnsi="Arial Narrow" w:cs="Arial"/>
                <w:b/>
                <w:bCs/>
                <w:sz w:val="16"/>
                <w:szCs w:val="16"/>
                <w:lang w:eastAsia="pt-BR"/>
              </w:rPr>
            </w:pPr>
            <w:r w:rsidRPr="00BA528E">
              <w:rPr>
                <w:rFonts w:ascii="Arial Narrow" w:eastAsia="Times New Roman" w:hAnsi="Arial Narrow" w:cs="Arial"/>
                <w:b/>
                <w:bCs/>
                <w:sz w:val="16"/>
                <w:szCs w:val="16"/>
                <w:lang w:eastAsia="pt-BR"/>
              </w:rPr>
              <w:t>SDF.E006</w:t>
            </w:r>
          </w:p>
        </w:tc>
      </w:tr>
      <w:tr w:rsidR="00BA528E" w:rsidRPr="00BA528E" w14:paraId="79404871" w14:textId="77777777" w:rsidTr="0015273C">
        <w:trPr>
          <w:trHeight w:val="255"/>
        </w:trPr>
        <w:tc>
          <w:tcPr>
            <w:tcW w:w="852" w:type="dxa"/>
            <w:tcBorders>
              <w:top w:val="nil"/>
              <w:left w:val="single" w:sz="4" w:space="0" w:color="auto"/>
              <w:bottom w:val="nil"/>
              <w:right w:val="single" w:sz="4" w:space="0" w:color="auto"/>
            </w:tcBorders>
            <w:shd w:val="clear" w:color="auto" w:fill="auto"/>
            <w:noWrap/>
            <w:vAlign w:val="bottom"/>
            <w:hideMark/>
          </w:tcPr>
          <w:p w14:paraId="56535DF8"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001</w:t>
            </w:r>
          </w:p>
        </w:tc>
        <w:tc>
          <w:tcPr>
            <w:tcW w:w="9714" w:type="dxa"/>
            <w:tcBorders>
              <w:top w:val="nil"/>
              <w:left w:val="nil"/>
              <w:bottom w:val="nil"/>
            </w:tcBorders>
            <w:shd w:val="clear" w:color="auto" w:fill="auto"/>
            <w:noWrap/>
            <w:vAlign w:val="bottom"/>
            <w:hideMark/>
          </w:tcPr>
          <w:p w14:paraId="5748C524"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RECURSOS ORDINÁRIOS</w:t>
            </w:r>
          </w:p>
        </w:tc>
        <w:tc>
          <w:tcPr>
            <w:tcW w:w="906" w:type="dxa"/>
            <w:tcBorders>
              <w:top w:val="nil"/>
              <w:bottom w:val="nil"/>
              <w:right w:val="single" w:sz="4" w:space="0" w:color="auto"/>
            </w:tcBorders>
            <w:shd w:val="clear" w:color="auto" w:fill="auto"/>
            <w:noWrap/>
            <w:vAlign w:val="bottom"/>
          </w:tcPr>
          <w:p w14:paraId="1DBFCBF3"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hideMark/>
          </w:tcPr>
          <w:p w14:paraId="61FFE2E5"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SDF.D007</w:t>
            </w:r>
          </w:p>
        </w:tc>
        <w:tc>
          <w:tcPr>
            <w:tcW w:w="1520" w:type="dxa"/>
            <w:tcBorders>
              <w:top w:val="nil"/>
              <w:left w:val="nil"/>
              <w:bottom w:val="nil"/>
              <w:right w:val="single" w:sz="4" w:space="0" w:color="auto"/>
            </w:tcBorders>
            <w:shd w:val="clear" w:color="auto" w:fill="auto"/>
            <w:noWrap/>
            <w:vAlign w:val="bottom"/>
            <w:hideMark/>
          </w:tcPr>
          <w:p w14:paraId="30B05F2F"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SDF.E007</w:t>
            </w:r>
          </w:p>
        </w:tc>
      </w:tr>
      <w:tr w:rsidR="00BA528E" w:rsidRPr="00BA528E" w14:paraId="6B53BBF6" w14:textId="77777777" w:rsidTr="0015273C">
        <w:trPr>
          <w:trHeight w:val="255"/>
        </w:trPr>
        <w:tc>
          <w:tcPr>
            <w:tcW w:w="852" w:type="dxa"/>
            <w:tcBorders>
              <w:top w:val="nil"/>
              <w:left w:val="single" w:sz="4" w:space="0" w:color="auto"/>
              <w:bottom w:val="nil"/>
              <w:right w:val="single" w:sz="4" w:space="0" w:color="auto"/>
            </w:tcBorders>
            <w:shd w:val="clear" w:color="auto" w:fill="auto"/>
            <w:noWrap/>
            <w:vAlign w:val="bottom"/>
          </w:tcPr>
          <w:p w14:paraId="322803FF"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090</w:t>
            </w:r>
          </w:p>
        </w:tc>
        <w:tc>
          <w:tcPr>
            <w:tcW w:w="9714" w:type="dxa"/>
            <w:tcBorders>
              <w:top w:val="nil"/>
              <w:left w:val="nil"/>
              <w:bottom w:val="nil"/>
            </w:tcBorders>
            <w:shd w:val="clear" w:color="auto" w:fill="auto"/>
            <w:noWrap/>
            <w:vAlign w:val="bottom"/>
          </w:tcPr>
          <w:p w14:paraId="442E2BAC"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OUTROS RECURSOS NÃO VINCULADOS</w:t>
            </w:r>
          </w:p>
        </w:tc>
        <w:tc>
          <w:tcPr>
            <w:tcW w:w="906" w:type="dxa"/>
            <w:tcBorders>
              <w:top w:val="nil"/>
              <w:bottom w:val="nil"/>
              <w:right w:val="single" w:sz="4" w:space="0" w:color="auto"/>
            </w:tcBorders>
            <w:shd w:val="clear" w:color="auto" w:fill="auto"/>
            <w:noWrap/>
            <w:vAlign w:val="bottom"/>
          </w:tcPr>
          <w:p w14:paraId="3A4E3DC0"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tcPr>
          <w:p w14:paraId="66A3C78A"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SDF.D061</w:t>
            </w:r>
          </w:p>
        </w:tc>
        <w:tc>
          <w:tcPr>
            <w:tcW w:w="1520" w:type="dxa"/>
            <w:tcBorders>
              <w:top w:val="nil"/>
              <w:left w:val="nil"/>
              <w:bottom w:val="nil"/>
              <w:right w:val="single" w:sz="4" w:space="0" w:color="auto"/>
            </w:tcBorders>
            <w:shd w:val="clear" w:color="auto" w:fill="auto"/>
            <w:noWrap/>
            <w:vAlign w:val="bottom"/>
          </w:tcPr>
          <w:p w14:paraId="342ADC57"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SDF.E061</w:t>
            </w:r>
          </w:p>
        </w:tc>
      </w:tr>
      <w:tr w:rsidR="00BA528E" w:rsidRPr="00BA528E" w14:paraId="468444E3" w14:textId="77777777" w:rsidTr="0015273C">
        <w:trPr>
          <w:trHeight w:val="255"/>
        </w:trPr>
        <w:tc>
          <w:tcPr>
            <w:tcW w:w="852" w:type="dxa"/>
            <w:tcBorders>
              <w:top w:val="nil"/>
              <w:left w:val="single" w:sz="4" w:space="0" w:color="auto"/>
              <w:bottom w:val="nil"/>
              <w:right w:val="single" w:sz="4" w:space="0" w:color="auto"/>
            </w:tcBorders>
            <w:shd w:val="clear" w:color="auto" w:fill="auto"/>
            <w:noWrap/>
            <w:vAlign w:val="bottom"/>
            <w:hideMark/>
          </w:tcPr>
          <w:p w14:paraId="065EBBB7" w14:textId="77777777" w:rsidR="00BA528E" w:rsidRPr="00BA528E" w:rsidRDefault="00BA528E" w:rsidP="0015273C">
            <w:pPr>
              <w:spacing w:after="0" w:line="240" w:lineRule="auto"/>
              <w:jc w:val="center"/>
              <w:rPr>
                <w:rFonts w:ascii="Arial Narrow" w:eastAsia="Times New Roman" w:hAnsi="Arial Narrow" w:cs="Arial"/>
                <w:b/>
                <w:bCs/>
                <w:sz w:val="16"/>
                <w:szCs w:val="16"/>
                <w:lang w:eastAsia="pt-BR"/>
              </w:rPr>
            </w:pPr>
            <w:r w:rsidRPr="00BA528E">
              <w:rPr>
                <w:rFonts w:ascii="Arial Narrow" w:eastAsia="Times New Roman" w:hAnsi="Arial Narrow" w:cs="Arial"/>
                <w:b/>
                <w:bCs/>
                <w:sz w:val="16"/>
                <w:szCs w:val="16"/>
                <w:lang w:eastAsia="pt-BR"/>
              </w:rPr>
              <w:t> </w:t>
            </w:r>
          </w:p>
        </w:tc>
        <w:tc>
          <w:tcPr>
            <w:tcW w:w="9714" w:type="dxa"/>
            <w:tcBorders>
              <w:top w:val="nil"/>
              <w:left w:val="nil"/>
              <w:bottom w:val="nil"/>
            </w:tcBorders>
            <w:shd w:val="clear" w:color="auto" w:fill="auto"/>
            <w:noWrap/>
            <w:vAlign w:val="bottom"/>
            <w:hideMark/>
          </w:tcPr>
          <w:p w14:paraId="7B540BF5" w14:textId="77777777" w:rsidR="00BA528E" w:rsidRPr="00BA528E" w:rsidRDefault="00BA528E" w:rsidP="0015273C">
            <w:pPr>
              <w:spacing w:after="0" w:line="240" w:lineRule="auto"/>
              <w:rPr>
                <w:rFonts w:ascii="Arial Narrow" w:eastAsia="Times New Roman" w:hAnsi="Arial Narrow" w:cs="Arial"/>
                <w:b/>
                <w:bCs/>
                <w:sz w:val="16"/>
                <w:szCs w:val="16"/>
                <w:lang w:eastAsia="pt-BR"/>
              </w:rPr>
            </w:pPr>
            <w:r w:rsidRPr="00BA528E">
              <w:rPr>
                <w:rFonts w:ascii="Arial Narrow" w:eastAsia="Times New Roman" w:hAnsi="Arial Narrow" w:cs="Arial"/>
                <w:b/>
                <w:bCs/>
                <w:sz w:val="16"/>
                <w:szCs w:val="16"/>
                <w:lang w:eastAsia="pt-BR"/>
              </w:rPr>
              <w:t>VINCULADA</w:t>
            </w:r>
          </w:p>
        </w:tc>
        <w:tc>
          <w:tcPr>
            <w:tcW w:w="906" w:type="dxa"/>
            <w:tcBorders>
              <w:top w:val="nil"/>
              <w:bottom w:val="nil"/>
              <w:right w:val="single" w:sz="4" w:space="0" w:color="auto"/>
            </w:tcBorders>
            <w:shd w:val="clear" w:color="auto" w:fill="auto"/>
            <w:noWrap/>
            <w:vAlign w:val="bottom"/>
          </w:tcPr>
          <w:p w14:paraId="625BA3D9" w14:textId="77777777" w:rsidR="00BA528E" w:rsidRPr="00BA528E" w:rsidRDefault="00BA528E" w:rsidP="0015273C">
            <w:pPr>
              <w:spacing w:after="0" w:line="240" w:lineRule="auto"/>
              <w:jc w:val="center"/>
              <w:rPr>
                <w:rFonts w:ascii="Arial Narrow" w:eastAsia="Times New Roman" w:hAnsi="Arial Narrow" w:cs="Arial"/>
                <w:b/>
                <w:bCs/>
                <w:sz w:val="16"/>
                <w:szCs w:val="16"/>
                <w:lang w:eastAsia="pt-BR"/>
              </w:rPr>
            </w:pPr>
          </w:p>
        </w:tc>
        <w:tc>
          <w:tcPr>
            <w:tcW w:w="1309" w:type="dxa"/>
            <w:tcBorders>
              <w:top w:val="nil"/>
              <w:left w:val="nil"/>
              <w:bottom w:val="nil"/>
              <w:right w:val="single" w:sz="4" w:space="0" w:color="auto"/>
            </w:tcBorders>
            <w:shd w:val="clear" w:color="auto" w:fill="auto"/>
            <w:noWrap/>
            <w:vAlign w:val="bottom"/>
            <w:hideMark/>
          </w:tcPr>
          <w:p w14:paraId="70A9A0C2" w14:textId="77777777" w:rsidR="00BA528E" w:rsidRPr="00BA528E" w:rsidRDefault="00BA528E" w:rsidP="0015273C">
            <w:pPr>
              <w:spacing w:after="0" w:line="240" w:lineRule="auto"/>
              <w:jc w:val="center"/>
              <w:rPr>
                <w:rFonts w:ascii="Arial Narrow" w:eastAsia="Times New Roman" w:hAnsi="Arial Narrow" w:cs="Arial"/>
                <w:b/>
                <w:bCs/>
                <w:sz w:val="16"/>
                <w:szCs w:val="16"/>
                <w:lang w:eastAsia="pt-BR"/>
              </w:rPr>
            </w:pPr>
            <w:r w:rsidRPr="00BA528E">
              <w:rPr>
                <w:rFonts w:ascii="Arial Narrow" w:eastAsia="Times New Roman" w:hAnsi="Arial Narrow" w:cs="Arial"/>
                <w:b/>
                <w:bCs/>
                <w:sz w:val="16"/>
                <w:szCs w:val="16"/>
                <w:lang w:eastAsia="pt-BR"/>
              </w:rPr>
              <w:t>SDF.D008</w:t>
            </w:r>
          </w:p>
        </w:tc>
        <w:tc>
          <w:tcPr>
            <w:tcW w:w="1520" w:type="dxa"/>
            <w:tcBorders>
              <w:top w:val="nil"/>
              <w:left w:val="nil"/>
              <w:bottom w:val="nil"/>
              <w:right w:val="single" w:sz="4" w:space="0" w:color="auto"/>
            </w:tcBorders>
            <w:shd w:val="clear" w:color="auto" w:fill="auto"/>
            <w:noWrap/>
            <w:vAlign w:val="bottom"/>
            <w:hideMark/>
          </w:tcPr>
          <w:p w14:paraId="36892604" w14:textId="77777777" w:rsidR="00BA528E" w:rsidRPr="00BA528E" w:rsidRDefault="00BA528E" w:rsidP="0015273C">
            <w:pPr>
              <w:spacing w:after="0" w:line="240" w:lineRule="auto"/>
              <w:jc w:val="center"/>
              <w:rPr>
                <w:rFonts w:ascii="Arial Narrow" w:eastAsia="Times New Roman" w:hAnsi="Arial Narrow" w:cs="Arial"/>
                <w:b/>
                <w:bCs/>
                <w:sz w:val="16"/>
                <w:szCs w:val="16"/>
                <w:lang w:eastAsia="pt-BR"/>
              </w:rPr>
            </w:pPr>
            <w:r w:rsidRPr="00BA528E">
              <w:rPr>
                <w:rFonts w:ascii="Arial Narrow" w:eastAsia="Times New Roman" w:hAnsi="Arial Narrow" w:cs="Arial"/>
                <w:b/>
                <w:bCs/>
                <w:sz w:val="16"/>
                <w:szCs w:val="16"/>
                <w:lang w:eastAsia="pt-BR"/>
              </w:rPr>
              <w:t>SDF.E008</w:t>
            </w:r>
          </w:p>
        </w:tc>
      </w:tr>
      <w:tr w:rsidR="00BA528E" w:rsidRPr="00BA528E" w14:paraId="47A83FEE" w14:textId="77777777" w:rsidTr="0015273C">
        <w:trPr>
          <w:trHeight w:val="255"/>
        </w:trPr>
        <w:tc>
          <w:tcPr>
            <w:tcW w:w="852" w:type="dxa"/>
            <w:tcBorders>
              <w:top w:val="nil"/>
              <w:left w:val="single" w:sz="4" w:space="0" w:color="auto"/>
              <w:bottom w:val="nil"/>
              <w:right w:val="single" w:sz="4" w:space="0" w:color="auto"/>
            </w:tcBorders>
            <w:shd w:val="clear" w:color="auto" w:fill="auto"/>
            <w:noWrap/>
            <w:vAlign w:val="bottom"/>
          </w:tcPr>
          <w:p w14:paraId="5B53A5B5" w14:textId="77777777" w:rsidR="00BA528E" w:rsidRPr="00BA528E" w:rsidRDefault="00BA528E" w:rsidP="0015273C">
            <w:pPr>
              <w:spacing w:after="0" w:line="240" w:lineRule="auto"/>
              <w:jc w:val="center"/>
              <w:rPr>
                <w:rFonts w:ascii="Arial Narrow" w:eastAsia="Times New Roman" w:hAnsi="Arial Narrow" w:cs="Arial"/>
                <w:b/>
                <w:bCs/>
                <w:sz w:val="16"/>
                <w:szCs w:val="16"/>
                <w:lang w:eastAsia="pt-BR"/>
              </w:rPr>
            </w:pPr>
          </w:p>
        </w:tc>
        <w:tc>
          <w:tcPr>
            <w:tcW w:w="9714" w:type="dxa"/>
            <w:tcBorders>
              <w:top w:val="nil"/>
              <w:left w:val="nil"/>
              <w:bottom w:val="nil"/>
            </w:tcBorders>
            <w:shd w:val="clear" w:color="auto" w:fill="auto"/>
            <w:noWrap/>
            <w:vAlign w:val="bottom"/>
          </w:tcPr>
          <w:p w14:paraId="33090A83" w14:textId="77777777" w:rsidR="00BA528E" w:rsidRPr="00BA528E" w:rsidRDefault="00BA528E" w:rsidP="0015273C">
            <w:pPr>
              <w:spacing w:after="0" w:line="240" w:lineRule="auto"/>
              <w:rPr>
                <w:rFonts w:ascii="Arial Narrow" w:eastAsia="Times New Roman" w:hAnsi="Arial Narrow" w:cs="Arial"/>
                <w:b/>
                <w:bCs/>
                <w:sz w:val="16"/>
                <w:szCs w:val="16"/>
                <w:lang w:eastAsia="pt-BR"/>
              </w:rPr>
            </w:pPr>
            <w:r w:rsidRPr="00BA528E">
              <w:rPr>
                <w:rFonts w:ascii="Arial Narrow" w:eastAsia="Times New Roman" w:hAnsi="Arial Narrow" w:cs="Arial"/>
                <w:b/>
                <w:bCs/>
                <w:sz w:val="16"/>
                <w:szCs w:val="16"/>
                <w:lang w:eastAsia="pt-BR"/>
              </w:rPr>
              <w:t>RECURSOS VINCULADOS À EDUCAÇÃO</w:t>
            </w:r>
          </w:p>
        </w:tc>
        <w:tc>
          <w:tcPr>
            <w:tcW w:w="906" w:type="dxa"/>
            <w:tcBorders>
              <w:top w:val="nil"/>
              <w:bottom w:val="nil"/>
              <w:right w:val="single" w:sz="4" w:space="0" w:color="auto"/>
            </w:tcBorders>
            <w:shd w:val="clear" w:color="auto" w:fill="auto"/>
            <w:noWrap/>
            <w:vAlign w:val="bottom"/>
          </w:tcPr>
          <w:p w14:paraId="7CE523CB" w14:textId="77777777" w:rsidR="00BA528E" w:rsidRPr="00BA528E" w:rsidRDefault="00BA528E" w:rsidP="0015273C">
            <w:pPr>
              <w:spacing w:after="0" w:line="240" w:lineRule="auto"/>
              <w:jc w:val="center"/>
              <w:rPr>
                <w:rFonts w:ascii="Arial Narrow" w:eastAsia="Times New Roman" w:hAnsi="Arial Narrow" w:cs="Arial"/>
                <w:b/>
                <w:bCs/>
                <w:sz w:val="16"/>
                <w:szCs w:val="16"/>
                <w:lang w:eastAsia="pt-BR"/>
              </w:rPr>
            </w:pPr>
          </w:p>
        </w:tc>
        <w:tc>
          <w:tcPr>
            <w:tcW w:w="1309" w:type="dxa"/>
            <w:tcBorders>
              <w:top w:val="nil"/>
              <w:left w:val="nil"/>
              <w:bottom w:val="nil"/>
              <w:right w:val="single" w:sz="4" w:space="0" w:color="auto"/>
            </w:tcBorders>
            <w:shd w:val="clear" w:color="auto" w:fill="auto"/>
            <w:noWrap/>
            <w:vAlign w:val="bottom"/>
          </w:tcPr>
          <w:p w14:paraId="7D9B2BA3" w14:textId="77777777" w:rsidR="00BA528E" w:rsidRPr="00BA528E" w:rsidRDefault="00BA528E" w:rsidP="0015273C">
            <w:pPr>
              <w:spacing w:after="0" w:line="240" w:lineRule="auto"/>
              <w:jc w:val="center"/>
              <w:rPr>
                <w:rFonts w:ascii="Arial Narrow" w:eastAsia="Times New Roman" w:hAnsi="Arial Narrow" w:cs="Arial"/>
                <w:b/>
                <w:bCs/>
                <w:sz w:val="16"/>
                <w:szCs w:val="16"/>
                <w:lang w:eastAsia="pt-BR"/>
              </w:rPr>
            </w:pPr>
            <w:r w:rsidRPr="00BA528E">
              <w:rPr>
                <w:rFonts w:ascii="Arial Narrow" w:eastAsia="Times New Roman" w:hAnsi="Arial Narrow" w:cs="Arial"/>
                <w:b/>
                <w:bCs/>
                <w:sz w:val="16"/>
                <w:szCs w:val="16"/>
                <w:lang w:eastAsia="pt-BR"/>
              </w:rPr>
              <w:t>SDF.D077</w:t>
            </w:r>
          </w:p>
        </w:tc>
        <w:tc>
          <w:tcPr>
            <w:tcW w:w="1520" w:type="dxa"/>
            <w:tcBorders>
              <w:top w:val="nil"/>
              <w:left w:val="nil"/>
              <w:bottom w:val="nil"/>
              <w:right w:val="single" w:sz="4" w:space="0" w:color="auto"/>
            </w:tcBorders>
            <w:shd w:val="clear" w:color="auto" w:fill="auto"/>
            <w:noWrap/>
            <w:vAlign w:val="bottom"/>
          </w:tcPr>
          <w:p w14:paraId="44E60706" w14:textId="77777777" w:rsidR="00BA528E" w:rsidRPr="00BA528E" w:rsidRDefault="00BA528E" w:rsidP="0015273C">
            <w:pPr>
              <w:spacing w:after="0" w:line="240" w:lineRule="auto"/>
              <w:jc w:val="center"/>
              <w:rPr>
                <w:rFonts w:ascii="Arial Narrow" w:eastAsia="Times New Roman" w:hAnsi="Arial Narrow" w:cs="Arial"/>
                <w:b/>
                <w:bCs/>
                <w:sz w:val="16"/>
                <w:szCs w:val="16"/>
                <w:lang w:eastAsia="pt-BR"/>
              </w:rPr>
            </w:pPr>
            <w:r w:rsidRPr="00BA528E">
              <w:rPr>
                <w:rFonts w:ascii="Arial Narrow" w:eastAsia="Times New Roman" w:hAnsi="Arial Narrow" w:cs="Arial"/>
                <w:b/>
                <w:bCs/>
                <w:sz w:val="16"/>
                <w:szCs w:val="16"/>
                <w:lang w:eastAsia="pt-BR"/>
              </w:rPr>
              <w:t>SDF.E077</w:t>
            </w:r>
          </w:p>
        </w:tc>
      </w:tr>
      <w:tr w:rsidR="00BA528E" w:rsidRPr="00BA528E" w14:paraId="35D054E0" w14:textId="77777777" w:rsidTr="0015273C">
        <w:trPr>
          <w:trHeight w:val="255"/>
        </w:trPr>
        <w:tc>
          <w:tcPr>
            <w:tcW w:w="852" w:type="dxa"/>
            <w:tcBorders>
              <w:top w:val="nil"/>
              <w:left w:val="single" w:sz="4" w:space="0" w:color="auto"/>
              <w:bottom w:val="nil"/>
              <w:right w:val="single" w:sz="4" w:space="0" w:color="auto"/>
            </w:tcBorders>
            <w:shd w:val="clear" w:color="auto" w:fill="auto"/>
            <w:noWrap/>
            <w:vAlign w:val="bottom"/>
            <w:hideMark/>
          </w:tcPr>
          <w:p w14:paraId="1CA963A2"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111</w:t>
            </w:r>
          </w:p>
        </w:tc>
        <w:tc>
          <w:tcPr>
            <w:tcW w:w="9714" w:type="dxa"/>
            <w:tcBorders>
              <w:top w:val="nil"/>
              <w:left w:val="nil"/>
              <w:bottom w:val="nil"/>
            </w:tcBorders>
            <w:shd w:val="clear" w:color="auto" w:fill="auto"/>
            <w:noWrap/>
            <w:vAlign w:val="bottom"/>
            <w:hideMark/>
          </w:tcPr>
          <w:p w14:paraId="295FECFC"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RECEITA DE IMPOSTOS E DE TRANSFERÊNCIA DE IMPOSTOS - EDUCAÇÃO</w:t>
            </w:r>
          </w:p>
        </w:tc>
        <w:tc>
          <w:tcPr>
            <w:tcW w:w="906" w:type="dxa"/>
            <w:tcBorders>
              <w:top w:val="nil"/>
              <w:bottom w:val="nil"/>
              <w:right w:val="single" w:sz="4" w:space="0" w:color="auto"/>
            </w:tcBorders>
            <w:shd w:val="clear" w:color="auto" w:fill="auto"/>
            <w:noWrap/>
            <w:vAlign w:val="bottom"/>
          </w:tcPr>
          <w:p w14:paraId="60133CB0"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hideMark/>
          </w:tcPr>
          <w:p w14:paraId="5D0C0E2B"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SDF.D009</w:t>
            </w:r>
          </w:p>
        </w:tc>
        <w:tc>
          <w:tcPr>
            <w:tcW w:w="1520" w:type="dxa"/>
            <w:tcBorders>
              <w:top w:val="nil"/>
              <w:left w:val="nil"/>
              <w:bottom w:val="nil"/>
              <w:right w:val="single" w:sz="4" w:space="0" w:color="auto"/>
            </w:tcBorders>
            <w:shd w:val="clear" w:color="auto" w:fill="auto"/>
            <w:noWrap/>
            <w:vAlign w:val="bottom"/>
            <w:hideMark/>
          </w:tcPr>
          <w:p w14:paraId="3288667B"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SDF.E009</w:t>
            </w:r>
          </w:p>
        </w:tc>
      </w:tr>
      <w:tr w:rsidR="00BA528E" w:rsidRPr="00BA528E" w14:paraId="5B50B7E1" w14:textId="77777777" w:rsidTr="0015273C">
        <w:trPr>
          <w:trHeight w:val="255"/>
        </w:trPr>
        <w:tc>
          <w:tcPr>
            <w:tcW w:w="852" w:type="dxa"/>
            <w:tcBorders>
              <w:top w:val="nil"/>
              <w:left w:val="single" w:sz="4" w:space="0" w:color="auto"/>
              <w:bottom w:val="nil"/>
              <w:right w:val="single" w:sz="4" w:space="0" w:color="auto"/>
            </w:tcBorders>
            <w:shd w:val="clear" w:color="auto" w:fill="auto"/>
            <w:noWrap/>
            <w:vAlign w:val="bottom"/>
          </w:tcPr>
          <w:p w14:paraId="1454E733"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150</w:t>
            </w:r>
          </w:p>
        </w:tc>
        <w:tc>
          <w:tcPr>
            <w:tcW w:w="9714" w:type="dxa"/>
            <w:tcBorders>
              <w:top w:val="nil"/>
              <w:left w:val="nil"/>
              <w:bottom w:val="nil"/>
            </w:tcBorders>
            <w:shd w:val="clear" w:color="auto" w:fill="auto"/>
            <w:noWrap/>
            <w:vAlign w:val="bottom"/>
          </w:tcPr>
          <w:p w14:paraId="1836507E"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 xml:space="preserve">RECEITA DE IMPOSTOS E DE TRANSF. DE IMP.  – EDUCAÇÃO -  REMUN. DE DEPÓSITOS BANCÁRIOS </w:t>
            </w:r>
          </w:p>
        </w:tc>
        <w:tc>
          <w:tcPr>
            <w:tcW w:w="906" w:type="dxa"/>
            <w:tcBorders>
              <w:top w:val="nil"/>
              <w:bottom w:val="nil"/>
              <w:right w:val="single" w:sz="4" w:space="0" w:color="auto"/>
            </w:tcBorders>
            <w:shd w:val="clear" w:color="auto" w:fill="auto"/>
            <w:noWrap/>
            <w:vAlign w:val="bottom"/>
          </w:tcPr>
          <w:p w14:paraId="76BAB7C1"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tcPr>
          <w:p w14:paraId="742859FA"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SDF.D012</w:t>
            </w:r>
          </w:p>
        </w:tc>
        <w:tc>
          <w:tcPr>
            <w:tcW w:w="1520" w:type="dxa"/>
            <w:tcBorders>
              <w:top w:val="nil"/>
              <w:left w:val="nil"/>
              <w:bottom w:val="nil"/>
              <w:right w:val="single" w:sz="4" w:space="0" w:color="auto"/>
            </w:tcBorders>
            <w:shd w:val="clear" w:color="auto" w:fill="auto"/>
            <w:noWrap/>
            <w:vAlign w:val="bottom"/>
          </w:tcPr>
          <w:p w14:paraId="4B10B731"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SDF.E012</w:t>
            </w:r>
          </w:p>
        </w:tc>
      </w:tr>
      <w:tr w:rsidR="00BA528E" w:rsidRPr="00BA528E" w14:paraId="2255BB6F" w14:textId="77777777" w:rsidTr="0015273C">
        <w:trPr>
          <w:trHeight w:val="255"/>
        </w:trPr>
        <w:tc>
          <w:tcPr>
            <w:tcW w:w="852" w:type="dxa"/>
            <w:tcBorders>
              <w:top w:val="nil"/>
              <w:left w:val="single" w:sz="4" w:space="0" w:color="auto"/>
              <w:bottom w:val="nil"/>
              <w:right w:val="single" w:sz="4" w:space="0" w:color="auto"/>
            </w:tcBorders>
            <w:shd w:val="clear" w:color="auto" w:fill="auto"/>
            <w:noWrap/>
            <w:vAlign w:val="bottom"/>
            <w:hideMark/>
          </w:tcPr>
          <w:p w14:paraId="42AB0DDA"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113</w:t>
            </w:r>
          </w:p>
        </w:tc>
        <w:tc>
          <w:tcPr>
            <w:tcW w:w="9714" w:type="dxa"/>
            <w:tcBorders>
              <w:top w:val="nil"/>
              <w:left w:val="nil"/>
              <w:bottom w:val="nil"/>
            </w:tcBorders>
            <w:shd w:val="clear" w:color="auto" w:fill="auto"/>
            <w:noWrap/>
            <w:vAlign w:val="bottom"/>
            <w:hideMark/>
          </w:tcPr>
          <w:p w14:paraId="373F393D" w14:textId="13C13886"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TRANSFERÊNCIAS DO FUNDEB – IMPOSTOS 30%</w:t>
            </w:r>
          </w:p>
        </w:tc>
        <w:tc>
          <w:tcPr>
            <w:tcW w:w="906" w:type="dxa"/>
            <w:tcBorders>
              <w:top w:val="nil"/>
              <w:bottom w:val="nil"/>
              <w:right w:val="single" w:sz="4" w:space="0" w:color="auto"/>
            </w:tcBorders>
            <w:shd w:val="clear" w:color="auto" w:fill="auto"/>
            <w:noWrap/>
            <w:vAlign w:val="bottom"/>
          </w:tcPr>
          <w:p w14:paraId="0F83B939"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hideMark/>
          </w:tcPr>
          <w:p w14:paraId="4B656DF0"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SDF.D010</w:t>
            </w:r>
          </w:p>
        </w:tc>
        <w:tc>
          <w:tcPr>
            <w:tcW w:w="1520" w:type="dxa"/>
            <w:tcBorders>
              <w:top w:val="nil"/>
              <w:left w:val="nil"/>
              <w:bottom w:val="nil"/>
              <w:right w:val="single" w:sz="4" w:space="0" w:color="auto"/>
            </w:tcBorders>
            <w:shd w:val="clear" w:color="auto" w:fill="auto"/>
            <w:noWrap/>
            <w:vAlign w:val="bottom"/>
            <w:hideMark/>
          </w:tcPr>
          <w:p w14:paraId="0D376CCD"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SDF.E010</w:t>
            </w:r>
          </w:p>
        </w:tc>
      </w:tr>
      <w:tr w:rsidR="00BA528E" w:rsidRPr="00BA528E" w14:paraId="04F80724" w14:textId="77777777" w:rsidTr="0015273C">
        <w:trPr>
          <w:trHeight w:val="255"/>
        </w:trPr>
        <w:tc>
          <w:tcPr>
            <w:tcW w:w="852" w:type="dxa"/>
            <w:tcBorders>
              <w:top w:val="nil"/>
              <w:left w:val="single" w:sz="4" w:space="0" w:color="auto"/>
              <w:bottom w:val="nil"/>
              <w:right w:val="single" w:sz="4" w:space="0" w:color="auto"/>
            </w:tcBorders>
            <w:shd w:val="clear" w:color="auto" w:fill="auto"/>
            <w:noWrap/>
            <w:vAlign w:val="bottom"/>
            <w:hideMark/>
          </w:tcPr>
          <w:p w14:paraId="4E044553"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112</w:t>
            </w:r>
          </w:p>
        </w:tc>
        <w:tc>
          <w:tcPr>
            <w:tcW w:w="9714" w:type="dxa"/>
            <w:tcBorders>
              <w:top w:val="nil"/>
              <w:left w:val="nil"/>
              <w:bottom w:val="nil"/>
            </w:tcBorders>
            <w:shd w:val="clear" w:color="auto" w:fill="auto"/>
            <w:noWrap/>
            <w:vAlign w:val="bottom"/>
            <w:hideMark/>
          </w:tcPr>
          <w:p w14:paraId="14E45D3E" w14:textId="62C6516B"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TRANSFERÊNCIAS DO FUNDEB – IMPOSTOS 70%</w:t>
            </w:r>
          </w:p>
        </w:tc>
        <w:tc>
          <w:tcPr>
            <w:tcW w:w="906" w:type="dxa"/>
            <w:tcBorders>
              <w:top w:val="nil"/>
              <w:bottom w:val="nil"/>
              <w:right w:val="single" w:sz="4" w:space="0" w:color="auto"/>
            </w:tcBorders>
            <w:shd w:val="clear" w:color="auto" w:fill="auto"/>
            <w:noWrap/>
            <w:vAlign w:val="bottom"/>
          </w:tcPr>
          <w:p w14:paraId="17D9D011"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hideMark/>
          </w:tcPr>
          <w:p w14:paraId="1A0FED07"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SDF.D011</w:t>
            </w:r>
          </w:p>
        </w:tc>
        <w:tc>
          <w:tcPr>
            <w:tcW w:w="1520" w:type="dxa"/>
            <w:tcBorders>
              <w:top w:val="nil"/>
              <w:left w:val="nil"/>
              <w:bottom w:val="nil"/>
              <w:right w:val="single" w:sz="4" w:space="0" w:color="auto"/>
            </w:tcBorders>
            <w:shd w:val="clear" w:color="auto" w:fill="auto"/>
            <w:noWrap/>
            <w:vAlign w:val="bottom"/>
            <w:hideMark/>
          </w:tcPr>
          <w:p w14:paraId="7004D8A4"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SDF.E011</w:t>
            </w:r>
          </w:p>
        </w:tc>
      </w:tr>
      <w:tr w:rsidR="00BA528E" w:rsidRPr="00BA528E" w14:paraId="29EC27DA" w14:textId="77777777" w:rsidTr="0015273C">
        <w:trPr>
          <w:trHeight w:val="255"/>
        </w:trPr>
        <w:tc>
          <w:tcPr>
            <w:tcW w:w="852" w:type="dxa"/>
            <w:tcBorders>
              <w:top w:val="nil"/>
              <w:left w:val="single" w:sz="4" w:space="0" w:color="auto"/>
              <w:bottom w:val="nil"/>
              <w:right w:val="single" w:sz="4" w:space="0" w:color="auto"/>
            </w:tcBorders>
            <w:shd w:val="clear" w:color="auto" w:fill="auto"/>
            <w:noWrap/>
            <w:vAlign w:val="bottom"/>
          </w:tcPr>
          <w:p w14:paraId="3A36916C"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151</w:t>
            </w:r>
          </w:p>
        </w:tc>
        <w:tc>
          <w:tcPr>
            <w:tcW w:w="9714" w:type="dxa"/>
            <w:tcBorders>
              <w:top w:val="nil"/>
              <w:left w:val="nil"/>
              <w:bottom w:val="nil"/>
            </w:tcBorders>
            <w:shd w:val="clear" w:color="auto" w:fill="auto"/>
            <w:noWrap/>
            <w:vAlign w:val="bottom"/>
          </w:tcPr>
          <w:p w14:paraId="5A75AF8E" w14:textId="5C0ECFF0"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TRANSFERÊNCIAS DO FUNDEB – REMUNERAÇÃO DE DEPÓSITOS BANCÁRIOS (30% + 70%)</w:t>
            </w:r>
          </w:p>
        </w:tc>
        <w:tc>
          <w:tcPr>
            <w:tcW w:w="906" w:type="dxa"/>
            <w:tcBorders>
              <w:top w:val="nil"/>
              <w:bottom w:val="nil"/>
              <w:right w:val="single" w:sz="4" w:space="0" w:color="auto"/>
            </w:tcBorders>
            <w:shd w:val="clear" w:color="auto" w:fill="auto"/>
            <w:noWrap/>
            <w:vAlign w:val="bottom"/>
          </w:tcPr>
          <w:p w14:paraId="6FDCB3D3"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tcPr>
          <w:p w14:paraId="00EB8C4F" w14:textId="77777777" w:rsidR="00BA528E" w:rsidRPr="00BA528E" w:rsidRDefault="00BA528E"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SDF.D062</w:t>
            </w:r>
          </w:p>
        </w:tc>
        <w:tc>
          <w:tcPr>
            <w:tcW w:w="1520" w:type="dxa"/>
            <w:tcBorders>
              <w:top w:val="nil"/>
              <w:left w:val="nil"/>
              <w:bottom w:val="nil"/>
              <w:right w:val="single" w:sz="4" w:space="0" w:color="auto"/>
            </w:tcBorders>
            <w:shd w:val="clear" w:color="auto" w:fill="auto"/>
            <w:noWrap/>
            <w:vAlign w:val="bottom"/>
          </w:tcPr>
          <w:p w14:paraId="6772607A" w14:textId="77777777" w:rsidR="00BA528E" w:rsidRPr="00BA528E" w:rsidRDefault="00BA528E"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SDF.E062</w:t>
            </w:r>
          </w:p>
        </w:tc>
      </w:tr>
      <w:tr w:rsidR="00BA528E" w:rsidRPr="00BA528E" w14:paraId="6BD118C6" w14:textId="77777777" w:rsidTr="0015273C">
        <w:trPr>
          <w:trHeight w:val="255"/>
        </w:trPr>
        <w:tc>
          <w:tcPr>
            <w:tcW w:w="852" w:type="dxa"/>
            <w:tcBorders>
              <w:top w:val="nil"/>
              <w:left w:val="single" w:sz="4" w:space="0" w:color="auto"/>
              <w:bottom w:val="nil"/>
              <w:right w:val="single" w:sz="4" w:space="0" w:color="auto"/>
            </w:tcBorders>
            <w:shd w:val="clear" w:color="auto" w:fill="auto"/>
            <w:noWrap/>
            <w:vAlign w:val="bottom"/>
          </w:tcPr>
          <w:p w14:paraId="63C19AFA"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115</w:t>
            </w:r>
          </w:p>
        </w:tc>
        <w:tc>
          <w:tcPr>
            <w:tcW w:w="9714" w:type="dxa"/>
            <w:tcBorders>
              <w:top w:val="nil"/>
              <w:left w:val="nil"/>
              <w:bottom w:val="nil"/>
            </w:tcBorders>
            <w:shd w:val="clear" w:color="auto" w:fill="auto"/>
            <w:noWrap/>
            <w:vAlign w:val="bottom"/>
          </w:tcPr>
          <w:p w14:paraId="15635F49" w14:textId="6A1E2C9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TRANSFERÊNCIAS DO FUNDEB 30%  - COMPLEMENTAÇÃO DA UNIÃO – VAAF</w:t>
            </w:r>
          </w:p>
        </w:tc>
        <w:tc>
          <w:tcPr>
            <w:tcW w:w="906" w:type="dxa"/>
            <w:tcBorders>
              <w:top w:val="nil"/>
              <w:bottom w:val="nil"/>
              <w:right w:val="single" w:sz="4" w:space="0" w:color="auto"/>
            </w:tcBorders>
            <w:shd w:val="clear" w:color="auto" w:fill="auto"/>
            <w:noWrap/>
            <w:vAlign w:val="bottom"/>
          </w:tcPr>
          <w:p w14:paraId="204B2DAB"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tcPr>
          <w:p w14:paraId="7F23AACC" w14:textId="77777777" w:rsidR="00BA528E" w:rsidRPr="00BA528E" w:rsidRDefault="00BA528E"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SDF.D048</w:t>
            </w:r>
          </w:p>
        </w:tc>
        <w:tc>
          <w:tcPr>
            <w:tcW w:w="1520" w:type="dxa"/>
            <w:tcBorders>
              <w:top w:val="nil"/>
              <w:left w:val="nil"/>
              <w:bottom w:val="nil"/>
              <w:right w:val="single" w:sz="4" w:space="0" w:color="auto"/>
            </w:tcBorders>
            <w:shd w:val="clear" w:color="auto" w:fill="auto"/>
            <w:noWrap/>
            <w:vAlign w:val="bottom"/>
          </w:tcPr>
          <w:p w14:paraId="165C3E5C" w14:textId="77777777" w:rsidR="00BA528E" w:rsidRPr="00BA528E" w:rsidRDefault="00BA528E"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SDF.E048</w:t>
            </w:r>
          </w:p>
        </w:tc>
      </w:tr>
      <w:tr w:rsidR="00BA528E" w:rsidRPr="00BA528E" w14:paraId="40020C8C" w14:textId="77777777" w:rsidTr="0015273C">
        <w:trPr>
          <w:trHeight w:val="255"/>
        </w:trPr>
        <w:tc>
          <w:tcPr>
            <w:tcW w:w="852" w:type="dxa"/>
            <w:tcBorders>
              <w:top w:val="nil"/>
              <w:left w:val="single" w:sz="4" w:space="0" w:color="auto"/>
              <w:bottom w:val="nil"/>
              <w:right w:val="single" w:sz="4" w:space="0" w:color="auto"/>
            </w:tcBorders>
            <w:shd w:val="clear" w:color="auto" w:fill="auto"/>
            <w:noWrap/>
            <w:vAlign w:val="bottom"/>
          </w:tcPr>
          <w:p w14:paraId="4FB05D76"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Calibri" w:hAnsi="Arial Narrow" w:cs="Arial"/>
                <w:sz w:val="16"/>
                <w:szCs w:val="16"/>
              </w:rPr>
              <w:t>114</w:t>
            </w:r>
          </w:p>
        </w:tc>
        <w:tc>
          <w:tcPr>
            <w:tcW w:w="9714" w:type="dxa"/>
            <w:tcBorders>
              <w:top w:val="nil"/>
              <w:left w:val="nil"/>
              <w:bottom w:val="nil"/>
            </w:tcBorders>
            <w:shd w:val="clear" w:color="auto" w:fill="auto"/>
            <w:noWrap/>
            <w:vAlign w:val="bottom"/>
          </w:tcPr>
          <w:p w14:paraId="3BFE69AF" w14:textId="74833E86"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Calibri" w:hAnsi="Arial Narrow" w:cs="Arial"/>
                <w:sz w:val="16"/>
                <w:szCs w:val="16"/>
              </w:rPr>
              <w:t xml:space="preserve">TRANSFERÊNCIAS DO FUNDEB 70%  - COMPLEMENTAÇÃO DA UNIÃO </w:t>
            </w:r>
            <w:r w:rsidRPr="00BA528E">
              <w:rPr>
                <w:rFonts w:ascii="Arial Narrow" w:eastAsia="Times New Roman" w:hAnsi="Arial Narrow" w:cs="Arial"/>
                <w:sz w:val="16"/>
                <w:szCs w:val="16"/>
                <w:lang w:eastAsia="pt-BR"/>
              </w:rPr>
              <w:t>– VAAF</w:t>
            </w:r>
          </w:p>
        </w:tc>
        <w:tc>
          <w:tcPr>
            <w:tcW w:w="906" w:type="dxa"/>
            <w:tcBorders>
              <w:top w:val="nil"/>
              <w:bottom w:val="nil"/>
              <w:right w:val="single" w:sz="4" w:space="0" w:color="auto"/>
            </w:tcBorders>
            <w:shd w:val="clear" w:color="auto" w:fill="auto"/>
            <w:noWrap/>
            <w:vAlign w:val="bottom"/>
          </w:tcPr>
          <w:p w14:paraId="2A29350B"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tcPr>
          <w:p w14:paraId="09E4B201" w14:textId="77777777" w:rsidR="00BA528E" w:rsidRPr="00BA528E" w:rsidRDefault="00BA528E"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A528E">
              <w:rPr>
                <w:rFonts w:ascii="Arial Narrow" w:eastAsia="Calibri" w:hAnsi="Arial Narrow" w:cs="Arial"/>
                <w:sz w:val="16"/>
                <w:szCs w:val="16"/>
              </w:rPr>
              <w:t>SDF.D049</w:t>
            </w:r>
          </w:p>
        </w:tc>
        <w:tc>
          <w:tcPr>
            <w:tcW w:w="1520" w:type="dxa"/>
            <w:tcBorders>
              <w:top w:val="nil"/>
              <w:left w:val="nil"/>
              <w:bottom w:val="nil"/>
              <w:right w:val="single" w:sz="4" w:space="0" w:color="auto"/>
            </w:tcBorders>
            <w:shd w:val="clear" w:color="auto" w:fill="auto"/>
            <w:noWrap/>
            <w:vAlign w:val="bottom"/>
          </w:tcPr>
          <w:p w14:paraId="258D7D06" w14:textId="77777777" w:rsidR="00BA528E" w:rsidRPr="00BA528E" w:rsidRDefault="00BA528E"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A528E">
              <w:rPr>
                <w:rFonts w:ascii="Arial Narrow" w:eastAsia="Calibri" w:hAnsi="Arial Narrow" w:cs="Arial"/>
                <w:sz w:val="16"/>
                <w:szCs w:val="16"/>
              </w:rPr>
              <w:t>SDF.E049</w:t>
            </w:r>
          </w:p>
        </w:tc>
      </w:tr>
      <w:tr w:rsidR="00BA528E" w:rsidRPr="00BA528E" w14:paraId="462BBEE9" w14:textId="77777777" w:rsidTr="0015273C">
        <w:trPr>
          <w:trHeight w:val="255"/>
        </w:trPr>
        <w:tc>
          <w:tcPr>
            <w:tcW w:w="852" w:type="dxa"/>
            <w:tcBorders>
              <w:top w:val="nil"/>
              <w:left w:val="single" w:sz="4" w:space="0" w:color="auto"/>
              <w:bottom w:val="nil"/>
              <w:right w:val="single" w:sz="4" w:space="0" w:color="auto"/>
            </w:tcBorders>
            <w:shd w:val="clear" w:color="auto" w:fill="auto"/>
            <w:noWrap/>
            <w:vAlign w:val="bottom"/>
          </w:tcPr>
          <w:p w14:paraId="29A827A2"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Calibri" w:hAnsi="Arial Narrow" w:cs="Arial"/>
                <w:sz w:val="16"/>
                <w:szCs w:val="16"/>
              </w:rPr>
              <w:t>152</w:t>
            </w:r>
          </w:p>
        </w:tc>
        <w:tc>
          <w:tcPr>
            <w:tcW w:w="9714" w:type="dxa"/>
            <w:tcBorders>
              <w:top w:val="nil"/>
              <w:left w:val="nil"/>
              <w:bottom w:val="nil"/>
            </w:tcBorders>
            <w:shd w:val="clear" w:color="auto" w:fill="auto"/>
            <w:noWrap/>
            <w:vAlign w:val="bottom"/>
          </w:tcPr>
          <w:p w14:paraId="33054459" w14:textId="5641D745"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Calibri" w:hAnsi="Arial Narrow" w:cs="Arial"/>
                <w:sz w:val="16"/>
                <w:szCs w:val="16"/>
              </w:rPr>
              <w:t xml:space="preserve">TRANSFERÊNCIAS DO FUNDEB - COMPLEM. DA UNIÃO – REMUNERAÇÃO DEP. BANCÁRIOS </w:t>
            </w:r>
            <w:r w:rsidRPr="00BA528E">
              <w:rPr>
                <w:rFonts w:ascii="Arial Narrow" w:eastAsia="Times New Roman" w:hAnsi="Arial Narrow" w:cs="Arial"/>
                <w:sz w:val="16"/>
                <w:szCs w:val="16"/>
                <w:lang w:eastAsia="pt-BR"/>
              </w:rPr>
              <w:t>(30% + 70%)</w:t>
            </w:r>
          </w:p>
        </w:tc>
        <w:tc>
          <w:tcPr>
            <w:tcW w:w="906" w:type="dxa"/>
            <w:tcBorders>
              <w:top w:val="nil"/>
              <w:bottom w:val="nil"/>
              <w:right w:val="single" w:sz="4" w:space="0" w:color="auto"/>
            </w:tcBorders>
            <w:shd w:val="clear" w:color="auto" w:fill="auto"/>
            <w:noWrap/>
            <w:vAlign w:val="bottom"/>
          </w:tcPr>
          <w:p w14:paraId="6C1BE3A5"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tcPr>
          <w:p w14:paraId="04F91E91" w14:textId="77777777" w:rsidR="00BA528E" w:rsidRPr="00BA528E" w:rsidRDefault="00BA528E"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SDF.D067</w:t>
            </w:r>
          </w:p>
        </w:tc>
        <w:tc>
          <w:tcPr>
            <w:tcW w:w="1520" w:type="dxa"/>
            <w:tcBorders>
              <w:top w:val="nil"/>
              <w:left w:val="nil"/>
              <w:bottom w:val="nil"/>
              <w:right w:val="single" w:sz="4" w:space="0" w:color="auto"/>
            </w:tcBorders>
            <w:shd w:val="clear" w:color="auto" w:fill="auto"/>
            <w:noWrap/>
            <w:vAlign w:val="bottom"/>
          </w:tcPr>
          <w:p w14:paraId="64164A42" w14:textId="77777777" w:rsidR="00BA528E" w:rsidRPr="00BA528E" w:rsidRDefault="00BA528E"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SDF.E067</w:t>
            </w:r>
          </w:p>
        </w:tc>
      </w:tr>
      <w:tr w:rsidR="00BA528E" w:rsidRPr="00BA528E" w14:paraId="1227F3C2" w14:textId="77777777" w:rsidTr="0015273C">
        <w:trPr>
          <w:trHeight w:val="255"/>
        </w:trPr>
        <w:tc>
          <w:tcPr>
            <w:tcW w:w="852" w:type="dxa"/>
            <w:tcBorders>
              <w:top w:val="nil"/>
              <w:left w:val="single" w:sz="4" w:space="0" w:color="auto"/>
              <w:bottom w:val="nil"/>
              <w:right w:val="single" w:sz="4" w:space="0" w:color="auto"/>
            </w:tcBorders>
            <w:shd w:val="clear" w:color="auto" w:fill="auto"/>
            <w:noWrap/>
            <w:vAlign w:val="bottom"/>
          </w:tcPr>
          <w:p w14:paraId="1747D0EE" w14:textId="77777777" w:rsidR="00BA528E" w:rsidRPr="00BA528E" w:rsidRDefault="00BA528E" w:rsidP="0015273C">
            <w:pPr>
              <w:spacing w:after="0" w:line="240" w:lineRule="auto"/>
              <w:jc w:val="center"/>
              <w:rPr>
                <w:rFonts w:ascii="Arial Narrow" w:eastAsia="Calibri" w:hAnsi="Arial Narrow" w:cs="Arial"/>
                <w:sz w:val="16"/>
                <w:szCs w:val="16"/>
              </w:rPr>
            </w:pPr>
            <w:r w:rsidRPr="00BA528E">
              <w:rPr>
                <w:rFonts w:ascii="Arial Narrow" w:eastAsia="Calibri" w:hAnsi="Arial Narrow" w:cs="Arial"/>
                <w:sz w:val="16"/>
                <w:szCs w:val="16"/>
              </w:rPr>
              <w:t>118</w:t>
            </w:r>
          </w:p>
        </w:tc>
        <w:tc>
          <w:tcPr>
            <w:tcW w:w="9714" w:type="dxa"/>
            <w:tcBorders>
              <w:top w:val="nil"/>
              <w:left w:val="nil"/>
              <w:bottom w:val="nil"/>
            </w:tcBorders>
            <w:shd w:val="clear" w:color="auto" w:fill="auto"/>
            <w:noWrap/>
            <w:vAlign w:val="bottom"/>
          </w:tcPr>
          <w:p w14:paraId="3926FD99" w14:textId="77777777" w:rsidR="00BA528E" w:rsidRPr="00BA528E" w:rsidRDefault="00BA528E" w:rsidP="0015273C">
            <w:pPr>
              <w:spacing w:after="0" w:line="240" w:lineRule="auto"/>
              <w:rPr>
                <w:rFonts w:ascii="Arial Narrow" w:eastAsia="Calibri" w:hAnsi="Arial Narrow" w:cs="Arial"/>
                <w:sz w:val="16"/>
                <w:szCs w:val="16"/>
              </w:rPr>
            </w:pPr>
            <w:r w:rsidRPr="00BA528E">
              <w:rPr>
                <w:rFonts w:ascii="Arial Narrow" w:eastAsia="Calibri" w:hAnsi="Arial Narrow" w:cs="Arial"/>
                <w:sz w:val="16"/>
                <w:szCs w:val="16"/>
              </w:rPr>
              <w:t>TRANSFERÊNCIAS DO FUNDEB 70% - COMPLEMENTAÇÃO DA UNIÃO – VAAT (Valor Aluno/Ano Total)</w:t>
            </w:r>
          </w:p>
        </w:tc>
        <w:tc>
          <w:tcPr>
            <w:tcW w:w="906" w:type="dxa"/>
            <w:tcBorders>
              <w:top w:val="nil"/>
              <w:bottom w:val="nil"/>
              <w:right w:val="single" w:sz="4" w:space="0" w:color="auto"/>
            </w:tcBorders>
            <w:shd w:val="clear" w:color="auto" w:fill="auto"/>
            <w:noWrap/>
            <w:vAlign w:val="bottom"/>
          </w:tcPr>
          <w:p w14:paraId="27DBA6D5"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tcPr>
          <w:p w14:paraId="309C0176" w14:textId="77777777" w:rsidR="00BA528E" w:rsidRPr="00BA528E" w:rsidRDefault="00BA528E"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SDF.D087</w:t>
            </w:r>
          </w:p>
        </w:tc>
        <w:tc>
          <w:tcPr>
            <w:tcW w:w="1520" w:type="dxa"/>
            <w:tcBorders>
              <w:top w:val="nil"/>
              <w:left w:val="nil"/>
              <w:bottom w:val="nil"/>
              <w:right w:val="single" w:sz="4" w:space="0" w:color="auto"/>
            </w:tcBorders>
            <w:shd w:val="clear" w:color="auto" w:fill="auto"/>
            <w:noWrap/>
            <w:vAlign w:val="bottom"/>
          </w:tcPr>
          <w:p w14:paraId="6BF0DBAA" w14:textId="77777777" w:rsidR="00BA528E" w:rsidRPr="00BA528E" w:rsidRDefault="00BA528E"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SDF.E087</w:t>
            </w:r>
          </w:p>
        </w:tc>
      </w:tr>
      <w:tr w:rsidR="00BA528E" w:rsidRPr="00BA528E" w14:paraId="18E15C8F" w14:textId="77777777" w:rsidTr="0015273C">
        <w:trPr>
          <w:trHeight w:val="255"/>
        </w:trPr>
        <w:tc>
          <w:tcPr>
            <w:tcW w:w="852" w:type="dxa"/>
            <w:tcBorders>
              <w:top w:val="nil"/>
              <w:left w:val="single" w:sz="4" w:space="0" w:color="auto"/>
              <w:bottom w:val="nil"/>
              <w:right w:val="single" w:sz="4" w:space="0" w:color="auto"/>
            </w:tcBorders>
            <w:shd w:val="clear" w:color="auto" w:fill="auto"/>
            <w:noWrap/>
            <w:vAlign w:val="bottom"/>
          </w:tcPr>
          <w:p w14:paraId="21BF1BA4" w14:textId="77777777" w:rsidR="00BA528E" w:rsidRPr="00BA528E" w:rsidRDefault="00BA528E" w:rsidP="0015273C">
            <w:pPr>
              <w:spacing w:after="0" w:line="240" w:lineRule="auto"/>
              <w:jc w:val="center"/>
              <w:rPr>
                <w:rFonts w:ascii="Arial Narrow" w:eastAsia="Calibri" w:hAnsi="Arial Narrow" w:cs="Arial"/>
                <w:sz w:val="16"/>
                <w:szCs w:val="16"/>
              </w:rPr>
            </w:pPr>
            <w:r w:rsidRPr="00BA528E">
              <w:rPr>
                <w:rFonts w:ascii="Arial Narrow" w:eastAsia="Calibri" w:hAnsi="Arial Narrow" w:cs="Arial"/>
                <w:sz w:val="16"/>
                <w:szCs w:val="16"/>
              </w:rPr>
              <w:t>119</w:t>
            </w:r>
          </w:p>
        </w:tc>
        <w:tc>
          <w:tcPr>
            <w:tcW w:w="9714" w:type="dxa"/>
            <w:tcBorders>
              <w:top w:val="nil"/>
              <w:left w:val="nil"/>
              <w:bottom w:val="nil"/>
            </w:tcBorders>
            <w:shd w:val="clear" w:color="auto" w:fill="auto"/>
            <w:noWrap/>
            <w:vAlign w:val="bottom"/>
          </w:tcPr>
          <w:p w14:paraId="3B9424F7" w14:textId="77777777" w:rsidR="00BA528E" w:rsidRPr="00BA528E" w:rsidRDefault="00BA528E" w:rsidP="0015273C">
            <w:pPr>
              <w:spacing w:after="0" w:line="240" w:lineRule="auto"/>
              <w:rPr>
                <w:rFonts w:ascii="Arial Narrow" w:eastAsia="Calibri" w:hAnsi="Arial Narrow" w:cs="Arial"/>
                <w:sz w:val="16"/>
                <w:szCs w:val="16"/>
              </w:rPr>
            </w:pPr>
            <w:r w:rsidRPr="00BA528E">
              <w:rPr>
                <w:rFonts w:ascii="Arial Narrow" w:eastAsia="Calibri" w:hAnsi="Arial Narrow" w:cs="Arial"/>
                <w:sz w:val="16"/>
                <w:szCs w:val="16"/>
              </w:rPr>
              <w:t>TRANSFERÊNCIAS DO FUNDEB 30% - COMPLEMENTAÇÃO DA UNIÃO – VAAT (Valor Aluno/Ano Total)</w:t>
            </w:r>
          </w:p>
        </w:tc>
        <w:tc>
          <w:tcPr>
            <w:tcW w:w="906" w:type="dxa"/>
            <w:tcBorders>
              <w:top w:val="nil"/>
              <w:bottom w:val="nil"/>
              <w:right w:val="single" w:sz="4" w:space="0" w:color="auto"/>
            </w:tcBorders>
            <w:shd w:val="clear" w:color="auto" w:fill="auto"/>
            <w:noWrap/>
            <w:vAlign w:val="bottom"/>
          </w:tcPr>
          <w:p w14:paraId="3D5AEF06"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tcPr>
          <w:p w14:paraId="6490841B" w14:textId="77777777" w:rsidR="00BA528E" w:rsidRPr="00BA528E" w:rsidRDefault="00BA528E"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SDF.D088</w:t>
            </w:r>
          </w:p>
        </w:tc>
        <w:tc>
          <w:tcPr>
            <w:tcW w:w="1520" w:type="dxa"/>
            <w:tcBorders>
              <w:top w:val="nil"/>
              <w:left w:val="nil"/>
              <w:bottom w:val="nil"/>
              <w:right w:val="single" w:sz="4" w:space="0" w:color="auto"/>
            </w:tcBorders>
            <w:shd w:val="clear" w:color="auto" w:fill="auto"/>
            <w:noWrap/>
            <w:vAlign w:val="bottom"/>
          </w:tcPr>
          <w:p w14:paraId="1728F23A" w14:textId="77777777" w:rsidR="00BA528E" w:rsidRPr="00BA528E" w:rsidRDefault="00BA528E"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SDF.E088</w:t>
            </w:r>
          </w:p>
        </w:tc>
      </w:tr>
      <w:tr w:rsidR="00BA528E" w:rsidRPr="00BA528E" w14:paraId="7089D0CC" w14:textId="77777777" w:rsidTr="0015273C">
        <w:trPr>
          <w:trHeight w:val="255"/>
        </w:trPr>
        <w:tc>
          <w:tcPr>
            <w:tcW w:w="852" w:type="dxa"/>
            <w:tcBorders>
              <w:top w:val="nil"/>
              <w:left w:val="single" w:sz="4" w:space="0" w:color="auto"/>
              <w:bottom w:val="nil"/>
              <w:right w:val="single" w:sz="4" w:space="0" w:color="auto"/>
            </w:tcBorders>
            <w:shd w:val="clear" w:color="auto" w:fill="auto"/>
            <w:noWrap/>
            <w:vAlign w:val="bottom"/>
          </w:tcPr>
          <w:p w14:paraId="18A8AA5A" w14:textId="77777777" w:rsidR="00BA528E" w:rsidRPr="00BA528E" w:rsidRDefault="00BA528E" w:rsidP="0015273C">
            <w:pPr>
              <w:spacing w:after="0" w:line="240" w:lineRule="auto"/>
              <w:jc w:val="center"/>
              <w:rPr>
                <w:rFonts w:ascii="Arial Narrow" w:eastAsia="Calibri" w:hAnsi="Arial Narrow" w:cs="Arial"/>
                <w:sz w:val="16"/>
                <w:szCs w:val="16"/>
              </w:rPr>
            </w:pPr>
            <w:r w:rsidRPr="00BA528E">
              <w:rPr>
                <w:rFonts w:ascii="Arial Narrow" w:eastAsia="Calibri" w:hAnsi="Arial Narrow" w:cs="Arial"/>
                <w:sz w:val="16"/>
                <w:szCs w:val="16"/>
              </w:rPr>
              <w:t>120</w:t>
            </w:r>
          </w:p>
        </w:tc>
        <w:tc>
          <w:tcPr>
            <w:tcW w:w="9714" w:type="dxa"/>
            <w:tcBorders>
              <w:top w:val="nil"/>
              <w:left w:val="nil"/>
              <w:bottom w:val="nil"/>
            </w:tcBorders>
            <w:shd w:val="clear" w:color="auto" w:fill="auto"/>
            <w:noWrap/>
            <w:vAlign w:val="bottom"/>
          </w:tcPr>
          <w:p w14:paraId="199BEE5A" w14:textId="77777777" w:rsidR="00BA528E" w:rsidRPr="00BA528E" w:rsidRDefault="00BA528E" w:rsidP="0015273C">
            <w:pPr>
              <w:spacing w:after="0" w:line="240" w:lineRule="auto"/>
              <w:rPr>
                <w:rFonts w:ascii="Arial Narrow" w:eastAsia="Calibri" w:hAnsi="Arial Narrow" w:cs="Arial"/>
                <w:sz w:val="16"/>
                <w:szCs w:val="16"/>
              </w:rPr>
            </w:pPr>
            <w:r w:rsidRPr="00BA528E">
              <w:rPr>
                <w:rFonts w:ascii="Arial Narrow" w:eastAsia="Calibri" w:hAnsi="Arial Narrow" w:cs="Arial"/>
                <w:sz w:val="16"/>
                <w:szCs w:val="16"/>
              </w:rPr>
              <w:t>TRANSFERÊNCIA DO SALÁRIO EDUCAÇÃO</w:t>
            </w:r>
          </w:p>
        </w:tc>
        <w:tc>
          <w:tcPr>
            <w:tcW w:w="906" w:type="dxa"/>
            <w:tcBorders>
              <w:top w:val="nil"/>
              <w:bottom w:val="nil"/>
              <w:right w:val="single" w:sz="4" w:space="0" w:color="auto"/>
            </w:tcBorders>
            <w:shd w:val="clear" w:color="auto" w:fill="auto"/>
            <w:noWrap/>
            <w:vAlign w:val="bottom"/>
          </w:tcPr>
          <w:p w14:paraId="0E13BA41"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tcPr>
          <w:p w14:paraId="25DD1500" w14:textId="77777777" w:rsidR="00BA528E" w:rsidRPr="00BA528E" w:rsidRDefault="00BA528E"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A528E">
              <w:rPr>
                <w:rFonts w:ascii="Arial Narrow" w:eastAsia="Calibri" w:hAnsi="Arial Narrow" w:cs="Arial"/>
                <w:sz w:val="16"/>
                <w:szCs w:val="16"/>
              </w:rPr>
              <w:t>SDF.D054</w:t>
            </w:r>
          </w:p>
        </w:tc>
        <w:tc>
          <w:tcPr>
            <w:tcW w:w="1520" w:type="dxa"/>
            <w:tcBorders>
              <w:top w:val="nil"/>
              <w:left w:val="nil"/>
              <w:bottom w:val="nil"/>
              <w:right w:val="single" w:sz="4" w:space="0" w:color="auto"/>
            </w:tcBorders>
            <w:shd w:val="clear" w:color="auto" w:fill="auto"/>
            <w:noWrap/>
            <w:vAlign w:val="bottom"/>
          </w:tcPr>
          <w:p w14:paraId="2D7B5C1F" w14:textId="77777777" w:rsidR="00BA528E" w:rsidRPr="00BA528E" w:rsidRDefault="00BA528E"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A528E">
              <w:rPr>
                <w:rFonts w:ascii="Arial Narrow" w:eastAsia="Calibri" w:hAnsi="Arial Narrow" w:cs="Arial"/>
                <w:sz w:val="16"/>
                <w:szCs w:val="16"/>
              </w:rPr>
              <w:t>SDF.E054</w:t>
            </w:r>
          </w:p>
        </w:tc>
      </w:tr>
      <w:tr w:rsidR="00BA528E" w:rsidRPr="00BA528E" w14:paraId="5D4BCF24" w14:textId="77777777" w:rsidTr="0015273C">
        <w:trPr>
          <w:trHeight w:val="255"/>
        </w:trPr>
        <w:tc>
          <w:tcPr>
            <w:tcW w:w="852" w:type="dxa"/>
            <w:tcBorders>
              <w:top w:val="nil"/>
              <w:left w:val="single" w:sz="4" w:space="0" w:color="auto"/>
              <w:bottom w:val="nil"/>
              <w:right w:val="single" w:sz="4" w:space="0" w:color="auto"/>
            </w:tcBorders>
            <w:shd w:val="clear" w:color="auto" w:fill="auto"/>
            <w:noWrap/>
            <w:vAlign w:val="bottom"/>
          </w:tcPr>
          <w:p w14:paraId="721C2382"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121</w:t>
            </w:r>
          </w:p>
        </w:tc>
        <w:tc>
          <w:tcPr>
            <w:tcW w:w="9714" w:type="dxa"/>
            <w:tcBorders>
              <w:top w:val="nil"/>
              <w:left w:val="nil"/>
              <w:bottom w:val="nil"/>
            </w:tcBorders>
            <w:shd w:val="clear" w:color="auto" w:fill="auto"/>
            <w:noWrap/>
            <w:vAlign w:val="bottom"/>
          </w:tcPr>
          <w:p w14:paraId="3C8B26BE"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TRANSFERÊNCIAS DE RECURSOS DO FNDE REFERENTES AO PROGRAMA DINHEIRO DIRETO NA ESCOLA (PDDE)</w:t>
            </w:r>
          </w:p>
        </w:tc>
        <w:tc>
          <w:tcPr>
            <w:tcW w:w="906" w:type="dxa"/>
            <w:tcBorders>
              <w:top w:val="nil"/>
              <w:bottom w:val="nil"/>
              <w:right w:val="single" w:sz="4" w:space="0" w:color="auto"/>
            </w:tcBorders>
            <w:shd w:val="clear" w:color="auto" w:fill="auto"/>
            <w:noWrap/>
            <w:vAlign w:val="bottom"/>
          </w:tcPr>
          <w:p w14:paraId="415A0BE2"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tcPr>
          <w:p w14:paraId="3686B42B" w14:textId="77777777" w:rsidR="00BA528E" w:rsidRPr="00BA528E" w:rsidRDefault="00BA528E"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SDF.D063</w:t>
            </w:r>
          </w:p>
        </w:tc>
        <w:tc>
          <w:tcPr>
            <w:tcW w:w="1520" w:type="dxa"/>
            <w:tcBorders>
              <w:top w:val="nil"/>
              <w:left w:val="nil"/>
              <w:bottom w:val="nil"/>
              <w:right w:val="single" w:sz="4" w:space="0" w:color="auto"/>
            </w:tcBorders>
            <w:shd w:val="clear" w:color="auto" w:fill="auto"/>
            <w:noWrap/>
            <w:vAlign w:val="bottom"/>
          </w:tcPr>
          <w:p w14:paraId="68BAB201" w14:textId="77777777" w:rsidR="00BA528E" w:rsidRPr="00BA528E" w:rsidRDefault="00BA528E"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SDF.E063</w:t>
            </w:r>
          </w:p>
        </w:tc>
      </w:tr>
      <w:tr w:rsidR="00BA528E" w:rsidRPr="00BA528E" w14:paraId="267AF379" w14:textId="77777777" w:rsidTr="0015273C">
        <w:trPr>
          <w:trHeight w:val="255"/>
        </w:trPr>
        <w:tc>
          <w:tcPr>
            <w:tcW w:w="852" w:type="dxa"/>
            <w:tcBorders>
              <w:top w:val="nil"/>
              <w:left w:val="single" w:sz="4" w:space="0" w:color="auto"/>
              <w:bottom w:val="nil"/>
              <w:right w:val="single" w:sz="4" w:space="0" w:color="auto"/>
            </w:tcBorders>
            <w:shd w:val="clear" w:color="auto" w:fill="auto"/>
            <w:noWrap/>
            <w:vAlign w:val="bottom"/>
          </w:tcPr>
          <w:p w14:paraId="40567ECE"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122</w:t>
            </w:r>
          </w:p>
        </w:tc>
        <w:tc>
          <w:tcPr>
            <w:tcW w:w="9714" w:type="dxa"/>
            <w:tcBorders>
              <w:top w:val="nil"/>
              <w:left w:val="nil"/>
              <w:bottom w:val="nil"/>
            </w:tcBorders>
            <w:shd w:val="clear" w:color="auto" w:fill="auto"/>
            <w:noWrap/>
            <w:vAlign w:val="bottom"/>
          </w:tcPr>
          <w:p w14:paraId="514B7FCC"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TRANSFERÊNCIAS DE RECURSOS DO FNDE REF. AO PROGRAMA NACIONAL DE ALIMENTAÇÃO ESCOLAR (PNAE)</w:t>
            </w:r>
          </w:p>
        </w:tc>
        <w:tc>
          <w:tcPr>
            <w:tcW w:w="906" w:type="dxa"/>
            <w:tcBorders>
              <w:top w:val="nil"/>
              <w:bottom w:val="nil"/>
              <w:right w:val="single" w:sz="4" w:space="0" w:color="auto"/>
            </w:tcBorders>
            <w:shd w:val="clear" w:color="auto" w:fill="auto"/>
            <w:noWrap/>
            <w:vAlign w:val="bottom"/>
          </w:tcPr>
          <w:p w14:paraId="5872A294"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tcPr>
          <w:p w14:paraId="40D3F011" w14:textId="77777777" w:rsidR="00BA528E" w:rsidRPr="00BA528E" w:rsidRDefault="00BA528E"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SDF.D064</w:t>
            </w:r>
          </w:p>
        </w:tc>
        <w:tc>
          <w:tcPr>
            <w:tcW w:w="1520" w:type="dxa"/>
            <w:tcBorders>
              <w:top w:val="nil"/>
              <w:left w:val="nil"/>
              <w:bottom w:val="nil"/>
              <w:right w:val="single" w:sz="4" w:space="0" w:color="auto"/>
            </w:tcBorders>
            <w:shd w:val="clear" w:color="auto" w:fill="auto"/>
            <w:noWrap/>
            <w:vAlign w:val="bottom"/>
          </w:tcPr>
          <w:p w14:paraId="1DAD9006" w14:textId="77777777" w:rsidR="00BA528E" w:rsidRPr="00BA528E" w:rsidRDefault="00BA528E"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SDF.E064</w:t>
            </w:r>
          </w:p>
        </w:tc>
      </w:tr>
      <w:tr w:rsidR="00BA528E" w:rsidRPr="00BA528E" w14:paraId="0B92ADE4" w14:textId="77777777" w:rsidTr="0015273C">
        <w:trPr>
          <w:trHeight w:val="255"/>
        </w:trPr>
        <w:tc>
          <w:tcPr>
            <w:tcW w:w="852" w:type="dxa"/>
            <w:tcBorders>
              <w:top w:val="nil"/>
              <w:left w:val="single" w:sz="4" w:space="0" w:color="auto"/>
              <w:bottom w:val="nil"/>
              <w:right w:val="single" w:sz="4" w:space="0" w:color="auto"/>
            </w:tcBorders>
            <w:shd w:val="clear" w:color="auto" w:fill="auto"/>
            <w:noWrap/>
            <w:vAlign w:val="bottom"/>
          </w:tcPr>
          <w:p w14:paraId="55DB32C3"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123</w:t>
            </w:r>
          </w:p>
        </w:tc>
        <w:tc>
          <w:tcPr>
            <w:tcW w:w="9714" w:type="dxa"/>
            <w:tcBorders>
              <w:top w:val="nil"/>
              <w:left w:val="nil"/>
              <w:bottom w:val="nil"/>
            </w:tcBorders>
            <w:shd w:val="clear" w:color="auto" w:fill="auto"/>
            <w:noWrap/>
            <w:vAlign w:val="bottom"/>
          </w:tcPr>
          <w:p w14:paraId="55373975"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TRANSFERÊNCIAS DE REC. DO FNDE REF. AO PROGRAMA NACIONAL DE APOIO AO TRANSPORTE ESCOLAR (PNATE)</w:t>
            </w:r>
          </w:p>
        </w:tc>
        <w:tc>
          <w:tcPr>
            <w:tcW w:w="906" w:type="dxa"/>
            <w:tcBorders>
              <w:top w:val="nil"/>
              <w:bottom w:val="nil"/>
              <w:right w:val="single" w:sz="4" w:space="0" w:color="auto"/>
            </w:tcBorders>
            <w:shd w:val="clear" w:color="auto" w:fill="auto"/>
            <w:noWrap/>
            <w:vAlign w:val="bottom"/>
          </w:tcPr>
          <w:p w14:paraId="42A41672"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tcPr>
          <w:p w14:paraId="2BFDDE32" w14:textId="77777777" w:rsidR="00BA528E" w:rsidRPr="00BA528E" w:rsidRDefault="00BA528E"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SDF.D065</w:t>
            </w:r>
          </w:p>
        </w:tc>
        <w:tc>
          <w:tcPr>
            <w:tcW w:w="1520" w:type="dxa"/>
            <w:tcBorders>
              <w:top w:val="nil"/>
              <w:left w:val="nil"/>
              <w:bottom w:val="nil"/>
              <w:right w:val="single" w:sz="4" w:space="0" w:color="auto"/>
            </w:tcBorders>
            <w:shd w:val="clear" w:color="auto" w:fill="auto"/>
            <w:noWrap/>
            <w:vAlign w:val="bottom"/>
          </w:tcPr>
          <w:p w14:paraId="4541E248" w14:textId="77777777" w:rsidR="00BA528E" w:rsidRPr="00BA528E" w:rsidRDefault="00BA528E"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SDF.E065</w:t>
            </w:r>
          </w:p>
        </w:tc>
      </w:tr>
      <w:tr w:rsidR="00BA528E" w:rsidRPr="00BA528E" w14:paraId="129464F1" w14:textId="77777777" w:rsidTr="0015273C">
        <w:trPr>
          <w:trHeight w:val="255"/>
        </w:trPr>
        <w:tc>
          <w:tcPr>
            <w:tcW w:w="852" w:type="dxa"/>
            <w:tcBorders>
              <w:top w:val="nil"/>
              <w:left w:val="single" w:sz="4" w:space="0" w:color="auto"/>
              <w:bottom w:val="nil"/>
              <w:right w:val="single" w:sz="4" w:space="0" w:color="auto"/>
            </w:tcBorders>
            <w:shd w:val="clear" w:color="auto" w:fill="auto"/>
            <w:noWrap/>
            <w:vAlign w:val="bottom"/>
          </w:tcPr>
          <w:p w14:paraId="1525AD1E"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124</w:t>
            </w:r>
          </w:p>
        </w:tc>
        <w:tc>
          <w:tcPr>
            <w:tcW w:w="9714" w:type="dxa"/>
            <w:tcBorders>
              <w:top w:val="nil"/>
              <w:left w:val="nil"/>
              <w:bottom w:val="nil"/>
            </w:tcBorders>
            <w:shd w:val="clear" w:color="auto" w:fill="auto"/>
            <w:noWrap/>
            <w:vAlign w:val="bottom"/>
          </w:tcPr>
          <w:p w14:paraId="616F0E98"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OUTRAS TRANSFERÊNCIAS DE RECURSOS DO FNDE</w:t>
            </w:r>
          </w:p>
        </w:tc>
        <w:tc>
          <w:tcPr>
            <w:tcW w:w="906" w:type="dxa"/>
            <w:tcBorders>
              <w:top w:val="nil"/>
              <w:bottom w:val="nil"/>
              <w:right w:val="single" w:sz="4" w:space="0" w:color="auto"/>
            </w:tcBorders>
            <w:shd w:val="clear" w:color="auto" w:fill="auto"/>
            <w:noWrap/>
            <w:vAlign w:val="bottom"/>
          </w:tcPr>
          <w:p w14:paraId="7C8FCDFC"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tcPr>
          <w:p w14:paraId="33DE248C" w14:textId="77777777" w:rsidR="00BA528E" w:rsidRPr="00BA528E" w:rsidRDefault="00BA528E"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SDF.D066</w:t>
            </w:r>
          </w:p>
        </w:tc>
        <w:tc>
          <w:tcPr>
            <w:tcW w:w="1520" w:type="dxa"/>
            <w:tcBorders>
              <w:top w:val="nil"/>
              <w:left w:val="nil"/>
              <w:bottom w:val="nil"/>
              <w:right w:val="single" w:sz="4" w:space="0" w:color="auto"/>
            </w:tcBorders>
            <w:shd w:val="clear" w:color="auto" w:fill="auto"/>
            <w:noWrap/>
            <w:vAlign w:val="bottom"/>
          </w:tcPr>
          <w:p w14:paraId="6C2CED31" w14:textId="77777777" w:rsidR="00BA528E" w:rsidRPr="00BA528E" w:rsidRDefault="00BA528E"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SDF.E066</w:t>
            </w:r>
          </w:p>
        </w:tc>
      </w:tr>
      <w:tr w:rsidR="00BA528E" w:rsidRPr="00BA528E" w14:paraId="30ADF82E" w14:textId="77777777" w:rsidTr="0015273C">
        <w:trPr>
          <w:trHeight w:val="255"/>
        </w:trPr>
        <w:tc>
          <w:tcPr>
            <w:tcW w:w="852" w:type="dxa"/>
            <w:tcBorders>
              <w:top w:val="nil"/>
              <w:left w:val="single" w:sz="4" w:space="0" w:color="auto"/>
              <w:bottom w:val="nil"/>
              <w:right w:val="single" w:sz="4" w:space="0" w:color="auto"/>
            </w:tcBorders>
            <w:shd w:val="clear" w:color="auto" w:fill="auto"/>
            <w:noWrap/>
            <w:vAlign w:val="bottom"/>
            <w:hideMark/>
          </w:tcPr>
          <w:p w14:paraId="61F13A01" w14:textId="77777777" w:rsidR="00BA528E" w:rsidRPr="00BA528E" w:rsidRDefault="00BA528E" w:rsidP="0015273C">
            <w:pPr>
              <w:spacing w:after="0"/>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130</w:t>
            </w:r>
          </w:p>
        </w:tc>
        <w:tc>
          <w:tcPr>
            <w:tcW w:w="9714" w:type="dxa"/>
            <w:tcBorders>
              <w:top w:val="nil"/>
              <w:left w:val="nil"/>
              <w:bottom w:val="nil"/>
            </w:tcBorders>
            <w:shd w:val="clear" w:color="auto" w:fill="auto"/>
            <w:noWrap/>
            <w:vAlign w:val="bottom"/>
            <w:hideMark/>
          </w:tcPr>
          <w:p w14:paraId="7E4B2B00" w14:textId="77777777" w:rsidR="00BA528E" w:rsidRPr="00BA528E" w:rsidRDefault="00BA528E" w:rsidP="0015273C">
            <w:pPr>
              <w:spacing w:after="0"/>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OPERAÇÕES DE CRÉDITO VINCULADAS Á EDUCAÇÃO</w:t>
            </w:r>
          </w:p>
        </w:tc>
        <w:tc>
          <w:tcPr>
            <w:tcW w:w="906" w:type="dxa"/>
            <w:tcBorders>
              <w:top w:val="nil"/>
              <w:bottom w:val="nil"/>
              <w:right w:val="single" w:sz="4" w:space="0" w:color="auto"/>
            </w:tcBorders>
            <w:shd w:val="clear" w:color="auto" w:fill="auto"/>
            <w:noWrap/>
            <w:vAlign w:val="bottom"/>
          </w:tcPr>
          <w:p w14:paraId="24BD9BC2" w14:textId="77777777" w:rsidR="00BA528E" w:rsidRPr="00BA528E" w:rsidRDefault="00BA528E" w:rsidP="0015273C">
            <w:pPr>
              <w:spacing w:after="0"/>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hideMark/>
          </w:tcPr>
          <w:p w14:paraId="190D2597" w14:textId="77777777" w:rsidR="00BA528E" w:rsidRPr="00BA528E" w:rsidRDefault="00BA528E" w:rsidP="0015273C">
            <w:pPr>
              <w:spacing w:after="0"/>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SDF.D019</w:t>
            </w:r>
          </w:p>
        </w:tc>
        <w:tc>
          <w:tcPr>
            <w:tcW w:w="1520" w:type="dxa"/>
            <w:tcBorders>
              <w:top w:val="nil"/>
              <w:left w:val="nil"/>
              <w:bottom w:val="nil"/>
              <w:right w:val="single" w:sz="4" w:space="0" w:color="auto"/>
            </w:tcBorders>
            <w:shd w:val="clear" w:color="auto" w:fill="auto"/>
            <w:noWrap/>
            <w:vAlign w:val="bottom"/>
            <w:hideMark/>
          </w:tcPr>
          <w:p w14:paraId="2867C99B" w14:textId="77777777" w:rsidR="00BA528E" w:rsidRPr="00BA528E" w:rsidRDefault="00BA528E" w:rsidP="0015273C">
            <w:pPr>
              <w:spacing w:after="0"/>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SDF.E019</w:t>
            </w:r>
          </w:p>
        </w:tc>
      </w:tr>
      <w:tr w:rsidR="00BA528E" w:rsidRPr="00BA528E" w14:paraId="2E5618FF" w14:textId="77777777" w:rsidTr="0015273C">
        <w:trPr>
          <w:trHeight w:val="255"/>
        </w:trPr>
        <w:tc>
          <w:tcPr>
            <w:tcW w:w="852" w:type="dxa"/>
            <w:tcBorders>
              <w:top w:val="nil"/>
              <w:left w:val="single" w:sz="4" w:space="0" w:color="auto"/>
              <w:bottom w:val="nil"/>
              <w:right w:val="single" w:sz="4" w:space="0" w:color="auto"/>
            </w:tcBorders>
            <w:shd w:val="clear" w:color="auto" w:fill="auto"/>
            <w:noWrap/>
            <w:vAlign w:val="bottom"/>
          </w:tcPr>
          <w:p w14:paraId="1D16D162"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140</w:t>
            </w:r>
          </w:p>
        </w:tc>
        <w:tc>
          <w:tcPr>
            <w:tcW w:w="9714" w:type="dxa"/>
            <w:tcBorders>
              <w:top w:val="nil"/>
              <w:left w:val="nil"/>
              <w:bottom w:val="nil"/>
            </w:tcBorders>
            <w:shd w:val="clear" w:color="auto" w:fill="auto"/>
            <w:noWrap/>
            <w:vAlign w:val="bottom"/>
          </w:tcPr>
          <w:p w14:paraId="0F6B59D2"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ROYALTIES DO PETRÓLEO VINCULADOS À EDUCAÇÃO</w:t>
            </w:r>
          </w:p>
        </w:tc>
        <w:tc>
          <w:tcPr>
            <w:tcW w:w="906" w:type="dxa"/>
            <w:tcBorders>
              <w:top w:val="nil"/>
              <w:bottom w:val="nil"/>
              <w:right w:val="single" w:sz="4" w:space="0" w:color="auto"/>
            </w:tcBorders>
            <w:shd w:val="clear" w:color="auto" w:fill="auto"/>
            <w:noWrap/>
            <w:vAlign w:val="bottom"/>
          </w:tcPr>
          <w:p w14:paraId="24619021"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tcPr>
          <w:p w14:paraId="4DE2F65D"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SDF.D057</w:t>
            </w:r>
          </w:p>
        </w:tc>
        <w:tc>
          <w:tcPr>
            <w:tcW w:w="1520" w:type="dxa"/>
            <w:tcBorders>
              <w:top w:val="nil"/>
              <w:left w:val="nil"/>
              <w:bottom w:val="nil"/>
              <w:right w:val="single" w:sz="4" w:space="0" w:color="auto"/>
            </w:tcBorders>
            <w:shd w:val="clear" w:color="auto" w:fill="auto"/>
            <w:noWrap/>
            <w:vAlign w:val="bottom"/>
          </w:tcPr>
          <w:p w14:paraId="1712265A"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SDF.E057</w:t>
            </w:r>
          </w:p>
        </w:tc>
      </w:tr>
      <w:tr w:rsidR="00BA528E" w:rsidRPr="00BA528E" w14:paraId="4C9D51D6" w14:textId="77777777" w:rsidTr="0015273C">
        <w:trPr>
          <w:trHeight w:val="255"/>
        </w:trPr>
        <w:tc>
          <w:tcPr>
            <w:tcW w:w="852" w:type="dxa"/>
            <w:tcBorders>
              <w:top w:val="nil"/>
              <w:left w:val="single" w:sz="4" w:space="0" w:color="auto"/>
              <w:bottom w:val="nil"/>
              <w:right w:val="single" w:sz="4" w:space="0" w:color="auto"/>
            </w:tcBorders>
            <w:shd w:val="clear" w:color="auto" w:fill="auto"/>
            <w:noWrap/>
            <w:vAlign w:val="bottom"/>
          </w:tcPr>
          <w:p w14:paraId="3809C15C"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125</w:t>
            </w:r>
          </w:p>
        </w:tc>
        <w:tc>
          <w:tcPr>
            <w:tcW w:w="9714" w:type="dxa"/>
            <w:tcBorders>
              <w:top w:val="nil"/>
              <w:left w:val="nil"/>
              <w:bottom w:val="nil"/>
            </w:tcBorders>
            <w:shd w:val="clear" w:color="auto" w:fill="auto"/>
            <w:noWrap/>
            <w:vAlign w:val="bottom"/>
          </w:tcPr>
          <w:p w14:paraId="694BAE47"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TRANSFERÊNCIAS DE CONVÊNIOS OU DE CONTRATOS DE REPASSES VINCULADOS À - EDUCAÇÃO</w:t>
            </w:r>
          </w:p>
        </w:tc>
        <w:tc>
          <w:tcPr>
            <w:tcW w:w="906" w:type="dxa"/>
            <w:tcBorders>
              <w:top w:val="nil"/>
              <w:bottom w:val="nil"/>
              <w:right w:val="single" w:sz="4" w:space="0" w:color="auto"/>
            </w:tcBorders>
            <w:shd w:val="clear" w:color="auto" w:fill="auto"/>
            <w:noWrap/>
            <w:vAlign w:val="bottom"/>
          </w:tcPr>
          <w:p w14:paraId="1769BB0D"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tcPr>
          <w:p w14:paraId="4E39B2B8"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SDF.D016</w:t>
            </w:r>
          </w:p>
        </w:tc>
        <w:tc>
          <w:tcPr>
            <w:tcW w:w="1520" w:type="dxa"/>
            <w:tcBorders>
              <w:top w:val="nil"/>
              <w:left w:val="nil"/>
              <w:bottom w:val="nil"/>
              <w:right w:val="single" w:sz="4" w:space="0" w:color="auto"/>
            </w:tcBorders>
            <w:shd w:val="clear" w:color="auto" w:fill="auto"/>
            <w:noWrap/>
            <w:vAlign w:val="bottom"/>
          </w:tcPr>
          <w:p w14:paraId="168A243F"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SDF.E016</w:t>
            </w:r>
          </w:p>
        </w:tc>
      </w:tr>
      <w:tr w:rsidR="00BA528E" w:rsidRPr="00BA528E" w14:paraId="40D94DD8" w14:textId="77777777" w:rsidTr="0015273C">
        <w:trPr>
          <w:trHeight w:val="255"/>
        </w:trPr>
        <w:tc>
          <w:tcPr>
            <w:tcW w:w="852" w:type="dxa"/>
            <w:tcBorders>
              <w:top w:val="nil"/>
              <w:left w:val="single" w:sz="4" w:space="0" w:color="auto"/>
              <w:bottom w:val="nil"/>
              <w:right w:val="single" w:sz="4" w:space="0" w:color="auto"/>
            </w:tcBorders>
            <w:shd w:val="clear" w:color="auto" w:fill="auto"/>
            <w:noWrap/>
            <w:vAlign w:val="bottom"/>
            <w:hideMark/>
          </w:tcPr>
          <w:p w14:paraId="4A596D7C"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190</w:t>
            </w:r>
          </w:p>
        </w:tc>
        <w:tc>
          <w:tcPr>
            <w:tcW w:w="9714" w:type="dxa"/>
            <w:tcBorders>
              <w:top w:val="nil"/>
              <w:left w:val="nil"/>
              <w:bottom w:val="nil"/>
            </w:tcBorders>
            <w:shd w:val="clear" w:color="auto" w:fill="auto"/>
            <w:noWrap/>
            <w:vAlign w:val="bottom"/>
            <w:hideMark/>
          </w:tcPr>
          <w:p w14:paraId="63CA19B8"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OUTROS RECURSOS VINCULADOS À EDUCAÇÃO</w:t>
            </w:r>
          </w:p>
        </w:tc>
        <w:tc>
          <w:tcPr>
            <w:tcW w:w="906" w:type="dxa"/>
            <w:tcBorders>
              <w:top w:val="nil"/>
              <w:bottom w:val="nil"/>
              <w:right w:val="single" w:sz="4" w:space="0" w:color="auto"/>
            </w:tcBorders>
            <w:shd w:val="clear" w:color="auto" w:fill="auto"/>
            <w:noWrap/>
            <w:vAlign w:val="bottom"/>
          </w:tcPr>
          <w:p w14:paraId="5B49825B"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hideMark/>
          </w:tcPr>
          <w:p w14:paraId="2E1AC715"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SDF.D020</w:t>
            </w:r>
          </w:p>
        </w:tc>
        <w:tc>
          <w:tcPr>
            <w:tcW w:w="1520" w:type="dxa"/>
            <w:tcBorders>
              <w:top w:val="nil"/>
              <w:left w:val="nil"/>
              <w:bottom w:val="nil"/>
              <w:right w:val="single" w:sz="4" w:space="0" w:color="auto"/>
            </w:tcBorders>
            <w:shd w:val="clear" w:color="auto" w:fill="auto"/>
            <w:noWrap/>
            <w:vAlign w:val="bottom"/>
            <w:hideMark/>
          </w:tcPr>
          <w:p w14:paraId="54544B4B"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SDF.E020</w:t>
            </w:r>
          </w:p>
        </w:tc>
      </w:tr>
      <w:tr w:rsidR="00BA528E" w:rsidRPr="00BA528E" w14:paraId="6717595E" w14:textId="77777777" w:rsidTr="0015273C">
        <w:trPr>
          <w:trHeight w:val="255"/>
        </w:trPr>
        <w:tc>
          <w:tcPr>
            <w:tcW w:w="852" w:type="dxa"/>
            <w:tcBorders>
              <w:top w:val="nil"/>
              <w:left w:val="single" w:sz="4" w:space="0" w:color="auto"/>
              <w:bottom w:val="nil"/>
              <w:right w:val="single" w:sz="4" w:space="0" w:color="auto"/>
            </w:tcBorders>
            <w:shd w:val="clear" w:color="auto" w:fill="auto"/>
            <w:noWrap/>
            <w:vAlign w:val="bottom"/>
          </w:tcPr>
          <w:p w14:paraId="6B8C29E3"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p>
        </w:tc>
        <w:tc>
          <w:tcPr>
            <w:tcW w:w="9714" w:type="dxa"/>
            <w:tcBorders>
              <w:top w:val="nil"/>
              <w:left w:val="nil"/>
              <w:bottom w:val="nil"/>
            </w:tcBorders>
            <w:shd w:val="clear" w:color="auto" w:fill="auto"/>
            <w:noWrap/>
            <w:vAlign w:val="bottom"/>
          </w:tcPr>
          <w:p w14:paraId="7B2FE22C"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b/>
                <w:bCs/>
                <w:sz w:val="16"/>
                <w:szCs w:val="16"/>
                <w:lang w:eastAsia="pt-BR"/>
              </w:rPr>
              <w:t>RECURSOS VINCULADOS À SAÚDE</w:t>
            </w:r>
          </w:p>
        </w:tc>
        <w:tc>
          <w:tcPr>
            <w:tcW w:w="906" w:type="dxa"/>
            <w:tcBorders>
              <w:top w:val="nil"/>
              <w:bottom w:val="nil"/>
              <w:right w:val="single" w:sz="4" w:space="0" w:color="auto"/>
            </w:tcBorders>
            <w:shd w:val="clear" w:color="auto" w:fill="auto"/>
            <w:noWrap/>
            <w:vAlign w:val="bottom"/>
          </w:tcPr>
          <w:p w14:paraId="7704A3CC"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tcPr>
          <w:p w14:paraId="080CC605"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b/>
                <w:bCs/>
                <w:sz w:val="16"/>
                <w:szCs w:val="16"/>
                <w:lang w:eastAsia="pt-BR"/>
              </w:rPr>
              <w:t>SDF.D078</w:t>
            </w:r>
          </w:p>
        </w:tc>
        <w:tc>
          <w:tcPr>
            <w:tcW w:w="1520" w:type="dxa"/>
            <w:tcBorders>
              <w:top w:val="nil"/>
              <w:left w:val="nil"/>
              <w:bottom w:val="nil"/>
              <w:right w:val="single" w:sz="4" w:space="0" w:color="auto"/>
            </w:tcBorders>
            <w:shd w:val="clear" w:color="auto" w:fill="auto"/>
            <w:noWrap/>
            <w:vAlign w:val="bottom"/>
          </w:tcPr>
          <w:p w14:paraId="6D15597F"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b/>
                <w:bCs/>
                <w:sz w:val="16"/>
                <w:szCs w:val="16"/>
                <w:lang w:eastAsia="pt-BR"/>
              </w:rPr>
              <w:t>SDF.E078</w:t>
            </w:r>
          </w:p>
        </w:tc>
      </w:tr>
      <w:tr w:rsidR="00BA528E" w:rsidRPr="00BA528E" w14:paraId="20A5935F" w14:textId="77777777" w:rsidTr="0015273C">
        <w:trPr>
          <w:trHeight w:val="255"/>
        </w:trPr>
        <w:tc>
          <w:tcPr>
            <w:tcW w:w="852" w:type="dxa"/>
            <w:tcBorders>
              <w:top w:val="nil"/>
              <w:left w:val="single" w:sz="4" w:space="0" w:color="auto"/>
              <w:bottom w:val="nil"/>
              <w:right w:val="single" w:sz="4" w:space="0" w:color="auto"/>
            </w:tcBorders>
            <w:shd w:val="clear" w:color="auto" w:fill="auto"/>
            <w:noWrap/>
            <w:vAlign w:val="bottom"/>
            <w:hideMark/>
          </w:tcPr>
          <w:p w14:paraId="05CC4B49"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211</w:t>
            </w:r>
          </w:p>
        </w:tc>
        <w:tc>
          <w:tcPr>
            <w:tcW w:w="9714" w:type="dxa"/>
            <w:tcBorders>
              <w:top w:val="nil"/>
              <w:left w:val="nil"/>
              <w:bottom w:val="nil"/>
            </w:tcBorders>
            <w:shd w:val="clear" w:color="auto" w:fill="auto"/>
            <w:noWrap/>
            <w:vAlign w:val="bottom"/>
            <w:hideMark/>
          </w:tcPr>
          <w:p w14:paraId="0970E4B9"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RECEITA DE IMPOSTOS E TRANSFERÊNCIA DE IMPOSTOS - SAÚDE</w:t>
            </w:r>
          </w:p>
        </w:tc>
        <w:tc>
          <w:tcPr>
            <w:tcW w:w="906" w:type="dxa"/>
            <w:tcBorders>
              <w:top w:val="nil"/>
              <w:bottom w:val="nil"/>
              <w:right w:val="single" w:sz="4" w:space="0" w:color="auto"/>
            </w:tcBorders>
            <w:shd w:val="clear" w:color="auto" w:fill="auto"/>
            <w:noWrap/>
            <w:vAlign w:val="bottom"/>
          </w:tcPr>
          <w:p w14:paraId="4B033F55"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hideMark/>
          </w:tcPr>
          <w:p w14:paraId="56A18D93"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SDF.D021</w:t>
            </w:r>
          </w:p>
        </w:tc>
        <w:tc>
          <w:tcPr>
            <w:tcW w:w="1520" w:type="dxa"/>
            <w:tcBorders>
              <w:top w:val="nil"/>
              <w:left w:val="nil"/>
              <w:bottom w:val="nil"/>
              <w:right w:val="single" w:sz="4" w:space="0" w:color="auto"/>
            </w:tcBorders>
            <w:shd w:val="clear" w:color="auto" w:fill="auto"/>
            <w:noWrap/>
            <w:vAlign w:val="bottom"/>
            <w:hideMark/>
          </w:tcPr>
          <w:p w14:paraId="0EC1173F"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SDF.E021</w:t>
            </w:r>
          </w:p>
        </w:tc>
      </w:tr>
      <w:tr w:rsidR="00BA528E" w:rsidRPr="00BA528E" w14:paraId="7B26ADB6" w14:textId="77777777" w:rsidTr="0015273C">
        <w:trPr>
          <w:trHeight w:val="255"/>
        </w:trPr>
        <w:tc>
          <w:tcPr>
            <w:tcW w:w="852" w:type="dxa"/>
            <w:tcBorders>
              <w:top w:val="nil"/>
              <w:left w:val="single" w:sz="4" w:space="0" w:color="auto"/>
              <w:bottom w:val="nil"/>
              <w:right w:val="single" w:sz="4" w:space="0" w:color="auto"/>
            </w:tcBorders>
            <w:shd w:val="clear" w:color="auto" w:fill="auto"/>
            <w:noWrap/>
            <w:vAlign w:val="bottom"/>
          </w:tcPr>
          <w:p w14:paraId="0B1361EE"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240</w:t>
            </w:r>
          </w:p>
        </w:tc>
        <w:tc>
          <w:tcPr>
            <w:tcW w:w="9714" w:type="dxa"/>
            <w:tcBorders>
              <w:top w:val="nil"/>
              <w:left w:val="nil"/>
              <w:bottom w:val="nil"/>
            </w:tcBorders>
            <w:shd w:val="clear" w:color="auto" w:fill="auto"/>
            <w:noWrap/>
            <w:vAlign w:val="bottom"/>
          </w:tcPr>
          <w:p w14:paraId="01A0A6B4"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ROYALTIES DO PETRÓLEO VINCULADOS À SAÚDE</w:t>
            </w:r>
          </w:p>
        </w:tc>
        <w:tc>
          <w:tcPr>
            <w:tcW w:w="906" w:type="dxa"/>
            <w:tcBorders>
              <w:top w:val="nil"/>
              <w:bottom w:val="nil"/>
              <w:right w:val="single" w:sz="4" w:space="0" w:color="auto"/>
            </w:tcBorders>
            <w:shd w:val="clear" w:color="auto" w:fill="auto"/>
            <w:noWrap/>
            <w:vAlign w:val="bottom"/>
          </w:tcPr>
          <w:p w14:paraId="0B28068F"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tcPr>
          <w:p w14:paraId="19905426"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SDF.D058</w:t>
            </w:r>
          </w:p>
        </w:tc>
        <w:tc>
          <w:tcPr>
            <w:tcW w:w="1520" w:type="dxa"/>
            <w:tcBorders>
              <w:top w:val="nil"/>
              <w:left w:val="nil"/>
              <w:bottom w:val="nil"/>
              <w:right w:val="single" w:sz="4" w:space="0" w:color="auto"/>
            </w:tcBorders>
            <w:shd w:val="clear" w:color="auto" w:fill="auto"/>
            <w:noWrap/>
            <w:vAlign w:val="bottom"/>
          </w:tcPr>
          <w:p w14:paraId="50F8FD9F"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SDF.E058</w:t>
            </w:r>
          </w:p>
        </w:tc>
      </w:tr>
      <w:tr w:rsidR="00BA528E" w:rsidRPr="00BA528E" w14:paraId="31454B7C" w14:textId="77777777" w:rsidTr="0015273C">
        <w:trPr>
          <w:trHeight w:val="255"/>
        </w:trPr>
        <w:tc>
          <w:tcPr>
            <w:tcW w:w="852" w:type="dxa"/>
            <w:tcBorders>
              <w:top w:val="nil"/>
              <w:left w:val="single" w:sz="4" w:space="0" w:color="auto"/>
              <w:bottom w:val="nil"/>
              <w:right w:val="single" w:sz="4" w:space="0" w:color="auto"/>
            </w:tcBorders>
            <w:shd w:val="clear" w:color="auto" w:fill="auto"/>
            <w:noWrap/>
          </w:tcPr>
          <w:p w14:paraId="15E32BB0"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lastRenderedPageBreak/>
              <w:t>214</w:t>
            </w:r>
          </w:p>
        </w:tc>
        <w:tc>
          <w:tcPr>
            <w:tcW w:w="9714" w:type="dxa"/>
            <w:tcBorders>
              <w:top w:val="nil"/>
              <w:left w:val="nil"/>
              <w:bottom w:val="nil"/>
            </w:tcBorders>
            <w:shd w:val="clear" w:color="auto" w:fill="auto"/>
            <w:noWrap/>
            <w:vAlign w:val="bottom"/>
          </w:tcPr>
          <w:p w14:paraId="470FA91F" w14:textId="00C961E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TRANSFERÊNCIAS FUNDO A FUNDO DE RECURSOS DO SUS PROVENIENTES DO GOVERNO FEDERAL (Bloco de Manutenção das Ações e Serviços Públicos de Saúde)</w:t>
            </w:r>
          </w:p>
        </w:tc>
        <w:tc>
          <w:tcPr>
            <w:tcW w:w="906" w:type="dxa"/>
            <w:tcBorders>
              <w:top w:val="nil"/>
              <w:bottom w:val="nil"/>
              <w:right w:val="single" w:sz="4" w:space="0" w:color="auto"/>
            </w:tcBorders>
            <w:shd w:val="clear" w:color="auto" w:fill="auto"/>
            <w:noWrap/>
            <w:vAlign w:val="bottom"/>
          </w:tcPr>
          <w:p w14:paraId="3ED7EE37"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tcPr>
          <w:p w14:paraId="7CDA99A8"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SDF.D059</w:t>
            </w:r>
          </w:p>
        </w:tc>
        <w:tc>
          <w:tcPr>
            <w:tcW w:w="1520" w:type="dxa"/>
            <w:tcBorders>
              <w:top w:val="nil"/>
              <w:left w:val="nil"/>
              <w:bottom w:val="nil"/>
              <w:right w:val="single" w:sz="4" w:space="0" w:color="auto"/>
            </w:tcBorders>
            <w:shd w:val="clear" w:color="auto" w:fill="auto"/>
            <w:noWrap/>
          </w:tcPr>
          <w:p w14:paraId="6945AE86"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SDF.E059</w:t>
            </w:r>
          </w:p>
        </w:tc>
      </w:tr>
      <w:tr w:rsidR="00BA528E" w:rsidRPr="00BA528E" w14:paraId="207EF9B4" w14:textId="77777777" w:rsidTr="0015273C">
        <w:trPr>
          <w:trHeight w:val="255"/>
        </w:trPr>
        <w:tc>
          <w:tcPr>
            <w:tcW w:w="852" w:type="dxa"/>
            <w:tcBorders>
              <w:top w:val="nil"/>
              <w:left w:val="single" w:sz="4" w:space="0" w:color="auto"/>
              <w:bottom w:val="nil"/>
              <w:right w:val="single" w:sz="4" w:space="0" w:color="auto"/>
            </w:tcBorders>
            <w:shd w:val="clear" w:color="auto" w:fill="auto"/>
            <w:noWrap/>
          </w:tcPr>
          <w:p w14:paraId="4A6D90BD"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215</w:t>
            </w:r>
          </w:p>
        </w:tc>
        <w:tc>
          <w:tcPr>
            <w:tcW w:w="9714" w:type="dxa"/>
            <w:tcBorders>
              <w:top w:val="nil"/>
              <w:left w:val="nil"/>
              <w:bottom w:val="nil"/>
            </w:tcBorders>
            <w:shd w:val="clear" w:color="auto" w:fill="auto"/>
            <w:noWrap/>
            <w:vAlign w:val="bottom"/>
          </w:tcPr>
          <w:p w14:paraId="68568171" w14:textId="5F46E2B2"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TRANSFERÊNCIAS FUNDO A FUNDO DE RECURSOS DO SUS PROVENIENTES DO GOVERNO FEDERAL (Bloco de Estruturação na Rede de Serviços Públicos de Saúde)</w:t>
            </w:r>
          </w:p>
        </w:tc>
        <w:tc>
          <w:tcPr>
            <w:tcW w:w="906" w:type="dxa"/>
            <w:tcBorders>
              <w:top w:val="nil"/>
              <w:bottom w:val="nil"/>
              <w:right w:val="single" w:sz="4" w:space="0" w:color="auto"/>
            </w:tcBorders>
            <w:shd w:val="clear" w:color="auto" w:fill="auto"/>
            <w:noWrap/>
            <w:vAlign w:val="bottom"/>
          </w:tcPr>
          <w:p w14:paraId="59B0C3A3"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tcPr>
          <w:p w14:paraId="6D4E1A28"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SDF.D060</w:t>
            </w:r>
          </w:p>
        </w:tc>
        <w:tc>
          <w:tcPr>
            <w:tcW w:w="1520" w:type="dxa"/>
            <w:tcBorders>
              <w:top w:val="nil"/>
              <w:left w:val="nil"/>
              <w:bottom w:val="nil"/>
              <w:right w:val="single" w:sz="4" w:space="0" w:color="auto"/>
            </w:tcBorders>
            <w:shd w:val="clear" w:color="auto" w:fill="auto"/>
            <w:noWrap/>
          </w:tcPr>
          <w:p w14:paraId="684E577B"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SDF.E060</w:t>
            </w:r>
          </w:p>
        </w:tc>
      </w:tr>
      <w:tr w:rsidR="00BA528E" w:rsidRPr="00BA528E" w14:paraId="3DB04E0D" w14:textId="77777777" w:rsidTr="0015273C">
        <w:trPr>
          <w:trHeight w:val="255"/>
        </w:trPr>
        <w:tc>
          <w:tcPr>
            <w:tcW w:w="852" w:type="dxa"/>
            <w:tcBorders>
              <w:top w:val="nil"/>
              <w:left w:val="single" w:sz="4" w:space="0" w:color="auto"/>
              <w:bottom w:val="nil"/>
              <w:right w:val="single" w:sz="4" w:space="0" w:color="auto"/>
            </w:tcBorders>
            <w:shd w:val="clear" w:color="auto" w:fill="auto"/>
            <w:noWrap/>
            <w:vAlign w:val="bottom"/>
            <w:hideMark/>
          </w:tcPr>
          <w:p w14:paraId="423E3712"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250</w:t>
            </w:r>
          </w:p>
        </w:tc>
        <w:tc>
          <w:tcPr>
            <w:tcW w:w="9714" w:type="dxa"/>
            <w:tcBorders>
              <w:top w:val="nil"/>
              <w:left w:val="nil"/>
              <w:bottom w:val="nil"/>
            </w:tcBorders>
            <w:shd w:val="clear" w:color="auto" w:fill="auto"/>
            <w:noWrap/>
            <w:vAlign w:val="bottom"/>
            <w:hideMark/>
          </w:tcPr>
          <w:p w14:paraId="67D38EB8"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RECEITA DE IMPOSTOS E TRANSF. DE IMP. – SAÚDE - REMUN. DE DEPÓSITOS BANCÁRIOS</w:t>
            </w:r>
          </w:p>
        </w:tc>
        <w:tc>
          <w:tcPr>
            <w:tcW w:w="906" w:type="dxa"/>
            <w:tcBorders>
              <w:top w:val="nil"/>
              <w:bottom w:val="nil"/>
              <w:right w:val="single" w:sz="4" w:space="0" w:color="auto"/>
            </w:tcBorders>
            <w:shd w:val="clear" w:color="auto" w:fill="auto"/>
            <w:noWrap/>
            <w:vAlign w:val="bottom"/>
          </w:tcPr>
          <w:p w14:paraId="3A17193D"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hideMark/>
          </w:tcPr>
          <w:p w14:paraId="232FFE52"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SDF.D022</w:t>
            </w:r>
          </w:p>
        </w:tc>
        <w:tc>
          <w:tcPr>
            <w:tcW w:w="1520" w:type="dxa"/>
            <w:tcBorders>
              <w:top w:val="nil"/>
              <w:left w:val="nil"/>
              <w:bottom w:val="nil"/>
              <w:right w:val="single" w:sz="4" w:space="0" w:color="auto"/>
            </w:tcBorders>
            <w:shd w:val="clear" w:color="auto" w:fill="auto"/>
            <w:noWrap/>
            <w:vAlign w:val="bottom"/>
            <w:hideMark/>
          </w:tcPr>
          <w:p w14:paraId="033C5C5F"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SDF.E022</w:t>
            </w:r>
          </w:p>
        </w:tc>
      </w:tr>
      <w:tr w:rsidR="00BA528E" w:rsidRPr="00BA528E" w14:paraId="574FA765" w14:textId="77777777" w:rsidTr="0015273C">
        <w:trPr>
          <w:trHeight w:val="255"/>
        </w:trPr>
        <w:tc>
          <w:tcPr>
            <w:tcW w:w="852" w:type="dxa"/>
            <w:tcBorders>
              <w:top w:val="nil"/>
              <w:left w:val="single" w:sz="4" w:space="0" w:color="auto"/>
              <w:bottom w:val="nil"/>
              <w:right w:val="single" w:sz="4" w:space="0" w:color="auto"/>
            </w:tcBorders>
            <w:shd w:val="clear" w:color="auto" w:fill="auto"/>
            <w:noWrap/>
          </w:tcPr>
          <w:p w14:paraId="2FAF22A4" w14:textId="77777777" w:rsidR="00BA528E" w:rsidRPr="00BA528E" w:rsidRDefault="00BA528E" w:rsidP="0015273C">
            <w:pPr>
              <w:spacing w:before="60"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212</w:t>
            </w:r>
          </w:p>
        </w:tc>
        <w:tc>
          <w:tcPr>
            <w:tcW w:w="9714" w:type="dxa"/>
            <w:tcBorders>
              <w:top w:val="nil"/>
              <w:left w:val="nil"/>
              <w:bottom w:val="nil"/>
            </w:tcBorders>
            <w:shd w:val="clear" w:color="auto" w:fill="auto"/>
            <w:noWrap/>
            <w:vAlign w:val="bottom"/>
          </w:tcPr>
          <w:p w14:paraId="6CD0B6DB" w14:textId="77777777" w:rsidR="00BA528E" w:rsidRPr="00BA528E" w:rsidRDefault="00BA528E" w:rsidP="0015273C">
            <w:pPr>
              <w:spacing w:before="60"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TRANSFERÊNCIAS FUNDO A FUNDO DE RECURSOS DO SUS PROVENIENTES DOS GOVERNOS MUNICIPAIS</w:t>
            </w:r>
          </w:p>
        </w:tc>
        <w:tc>
          <w:tcPr>
            <w:tcW w:w="906" w:type="dxa"/>
            <w:tcBorders>
              <w:top w:val="nil"/>
              <w:bottom w:val="nil"/>
              <w:right w:val="single" w:sz="4" w:space="0" w:color="auto"/>
            </w:tcBorders>
            <w:shd w:val="clear" w:color="auto" w:fill="auto"/>
            <w:noWrap/>
            <w:vAlign w:val="bottom"/>
          </w:tcPr>
          <w:p w14:paraId="1E03E220"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tcPr>
          <w:p w14:paraId="1606B520" w14:textId="77777777" w:rsidR="00BA528E" w:rsidRPr="00BA528E" w:rsidRDefault="00BA528E"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SDF.D068</w:t>
            </w:r>
          </w:p>
        </w:tc>
        <w:tc>
          <w:tcPr>
            <w:tcW w:w="1520" w:type="dxa"/>
            <w:tcBorders>
              <w:top w:val="nil"/>
              <w:left w:val="nil"/>
              <w:bottom w:val="nil"/>
              <w:right w:val="single" w:sz="4" w:space="0" w:color="auto"/>
            </w:tcBorders>
            <w:shd w:val="clear" w:color="auto" w:fill="auto"/>
            <w:noWrap/>
            <w:vAlign w:val="bottom"/>
          </w:tcPr>
          <w:p w14:paraId="1A5F5BC0" w14:textId="77777777" w:rsidR="00BA528E" w:rsidRPr="00BA528E" w:rsidRDefault="00BA528E"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SDF.E068</w:t>
            </w:r>
          </w:p>
        </w:tc>
      </w:tr>
      <w:tr w:rsidR="00BA528E" w:rsidRPr="00BA528E" w14:paraId="5120B62A" w14:textId="77777777" w:rsidTr="0015273C">
        <w:trPr>
          <w:trHeight w:val="255"/>
        </w:trPr>
        <w:tc>
          <w:tcPr>
            <w:tcW w:w="852" w:type="dxa"/>
            <w:tcBorders>
              <w:top w:val="nil"/>
              <w:left w:val="single" w:sz="4" w:space="0" w:color="auto"/>
              <w:bottom w:val="nil"/>
              <w:right w:val="single" w:sz="4" w:space="0" w:color="auto"/>
            </w:tcBorders>
            <w:shd w:val="clear" w:color="auto" w:fill="auto"/>
            <w:noWrap/>
          </w:tcPr>
          <w:p w14:paraId="25D5B4F2" w14:textId="77777777" w:rsidR="00BA528E" w:rsidRPr="00BA528E" w:rsidRDefault="00BA528E" w:rsidP="0015273C">
            <w:pPr>
              <w:spacing w:before="60"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213</w:t>
            </w:r>
          </w:p>
        </w:tc>
        <w:tc>
          <w:tcPr>
            <w:tcW w:w="9714" w:type="dxa"/>
            <w:tcBorders>
              <w:top w:val="nil"/>
              <w:left w:val="nil"/>
              <w:bottom w:val="nil"/>
            </w:tcBorders>
            <w:shd w:val="clear" w:color="auto" w:fill="auto"/>
            <w:noWrap/>
            <w:vAlign w:val="bottom"/>
          </w:tcPr>
          <w:p w14:paraId="128B66EF" w14:textId="77777777" w:rsidR="00BA528E" w:rsidRPr="00BA528E" w:rsidRDefault="00BA528E" w:rsidP="0015273C">
            <w:pPr>
              <w:spacing w:before="60"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TRANSFERÊNCIAS FUNDO A FUNDO DE RECURSOS DO SUS PROVENIENTES DO GOVERNO ESTADUAL</w:t>
            </w:r>
          </w:p>
        </w:tc>
        <w:tc>
          <w:tcPr>
            <w:tcW w:w="906" w:type="dxa"/>
            <w:tcBorders>
              <w:top w:val="nil"/>
              <w:bottom w:val="nil"/>
              <w:right w:val="single" w:sz="4" w:space="0" w:color="auto"/>
            </w:tcBorders>
            <w:shd w:val="clear" w:color="auto" w:fill="auto"/>
            <w:noWrap/>
            <w:vAlign w:val="bottom"/>
          </w:tcPr>
          <w:p w14:paraId="08F88916"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tcPr>
          <w:p w14:paraId="41AFD58D" w14:textId="77777777" w:rsidR="00BA528E" w:rsidRPr="00BA528E" w:rsidRDefault="00BA528E"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SDF.D069</w:t>
            </w:r>
          </w:p>
        </w:tc>
        <w:tc>
          <w:tcPr>
            <w:tcW w:w="1520" w:type="dxa"/>
            <w:tcBorders>
              <w:top w:val="nil"/>
              <w:left w:val="nil"/>
              <w:bottom w:val="nil"/>
              <w:right w:val="single" w:sz="4" w:space="0" w:color="auto"/>
            </w:tcBorders>
            <w:shd w:val="clear" w:color="auto" w:fill="auto"/>
            <w:noWrap/>
            <w:vAlign w:val="bottom"/>
          </w:tcPr>
          <w:p w14:paraId="11A063C8" w14:textId="77777777" w:rsidR="00BA528E" w:rsidRPr="00BA528E" w:rsidRDefault="00BA528E"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SDF.E069</w:t>
            </w:r>
          </w:p>
        </w:tc>
      </w:tr>
      <w:tr w:rsidR="00BA528E" w:rsidRPr="00BA528E" w14:paraId="0561F7E5" w14:textId="77777777" w:rsidTr="0015273C">
        <w:trPr>
          <w:trHeight w:val="255"/>
        </w:trPr>
        <w:tc>
          <w:tcPr>
            <w:tcW w:w="852" w:type="dxa"/>
            <w:tcBorders>
              <w:top w:val="nil"/>
              <w:left w:val="single" w:sz="4" w:space="0" w:color="auto"/>
              <w:bottom w:val="nil"/>
              <w:right w:val="single" w:sz="4" w:space="0" w:color="auto"/>
            </w:tcBorders>
            <w:shd w:val="clear" w:color="auto" w:fill="auto"/>
            <w:noWrap/>
            <w:vAlign w:val="bottom"/>
            <w:hideMark/>
          </w:tcPr>
          <w:p w14:paraId="6EF9402C"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220</w:t>
            </w:r>
          </w:p>
        </w:tc>
        <w:tc>
          <w:tcPr>
            <w:tcW w:w="9714" w:type="dxa"/>
            <w:tcBorders>
              <w:top w:val="nil"/>
              <w:left w:val="nil"/>
              <w:bottom w:val="nil"/>
            </w:tcBorders>
            <w:shd w:val="clear" w:color="auto" w:fill="auto"/>
            <w:noWrap/>
            <w:vAlign w:val="bottom"/>
          </w:tcPr>
          <w:p w14:paraId="6B1FCCCC"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TRANSFERÊNCIAS DE CONVÊNIOS VINCULADOS À SAÚDE</w:t>
            </w:r>
          </w:p>
        </w:tc>
        <w:tc>
          <w:tcPr>
            <w:tcW w:w="906" w:type="dxa"/>
            <w:tcBorders>
              <w:top w:val="nil"/>
              <w:bottom w:val="nil"/>
              <w:right w:val="single" w:sz="4" w:space="0" w:color="auto"/>
            </w:tcBorders>
            <w:shd w:val="clear" w:color="auto" w:fill="auto"/>
            <w:noWrap/>
            <w:vAlign w:val="bottom"/>
          </w:tcPr>
          <w:p w14:paraId="3E008ED8"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hideMark/>
          </w:tcPr>
          <w:p w14:paraId="3674BB21"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SDF.D024</w:t>
            </w:r>
          </w:p>
        </w:tc>
        <w:tc>
          <w:tcPr>
            <w:tcW w:w="1520" w:type="dxa"/>
            <w:tcBorders>
              <w:top w:val="nil"/>
              <w:left w:val="nil"/>
              <w:bottom w:val="nil"/>
              <w:right w:val="single" w:sz="4" w:space="0" w:color="auto"/>
            </w:tcBorders>
            <w:shd w:val="clear" w:color="auto" w:fill="auto"/>
            <w:noWrap/>
            <w:vAlign w:val="bottom"/>
            <w:hideMark/>
          </w:tcPr>
          <w:p w14:paraId="373B9F7B"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SDF.E024</w:t>
            </w:r>
          </w:p>
        </w:tc>
      </w:tr>
      <w:tr w:rsidR="00BA528E" w:rsidRPr="00BA528E" w14:paraId="29273FD0" w14:textId="77777777" w:rsidTr="0015273C">
        <w:trPr>
          <w:trHeight w:val="255"/>
        </w:trPr>
        <w:tc>
          <w:tcPr>
            <w:tcW w:w="852" w:type="dxa"/>
            <w:tcBorders>
              <w:top w:val="nil"/>
              <w:left w:val="single" w:sz="4" w:space="0" w:color="auto"/>
              <w:bottom w:val="nil"/>
              <w:right w:val="single" w:sz="4" w:space="0" w:color="auto"/>
            </w:tcBorders>
            <w:shd w:val="clear" w:color="auto" w:fill="auto"/>
            <w:noWrap/>
            <w:vAlign w:val="bottom"/>
            <w:hideMark/>
          </w:tcPr>
          <w:p w14:paraId="1A6FC73D"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230</w:t>
            </w:r>
          </w:p>
        </w:tc>
        <w:tc>
          <w:tcPr>
            <w:tcW w:w="9714" w:type="dxa"/>
            <w:tcBorders>
              <w:top w:val="nil"/>
              <w:left w:val="nil"/>
              <w:bottom w:val="nil"/>
            </w:tcBorders>
            <w:shd w:val="clear" w:color="auto" w:fill="auto"/>
            <w:noWrap/>
            <w:vAlign w:val="bottom"/>
            <w:hideMark/>
          </w:tcPr>
          <w:p w14:paraId="4D3B27BB"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OPERAÇÕES DE CRÉDITO VINCULADAS À SAÚDE</w:t>
            </w:r>
          </w:p>
        </w:tc>
        <w:tc>
          <w:tcPr>
            <w:tcW w:w="906" w:type="dxa"/>
            <w:tcBorders>
              <w:top w:val="nil"/>
              <w:bottom w:val="nil"/>
              <w:right w:val="single" w:sz="4" w:space="0" w:color="auto"/>
            </w:tcBorders>
            <w:shd w:val="clear" w:color="auto" w:fill="auto"/>
            <w:noWrap/>
            <w:vAlign w:val="bottom"/>
          </w:tcPr>
          <w:p w14:paraId="71701017"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hideMark/>
          </w:tcPr>
          <w:p w14:paraId="7326366B"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SDF.D025</w:t>
            </w:r>
          </w:p>
        </w:tc>
        <w:tc>
          <w:tcPr>
            <w:tcW w:w="1520" w:type="dxa"/>
            <w:tcBorders>
              <w:top w:val="nil"/>
              <w:left w:val="nil"/>
              <w:bottom w:val="nil"/>
              <w:right w:val="single" w:sz="4" w:space="0" w:color="auto"/>
            </w:tcBorders>
            <w:shd w:val="clear" w:color="auto" w:fill="auto"/>
            <w:noWrap/>
            <w:vAlign w:val="bottom"/>
            <w:hideMark/>
          </w:tcPr>
          <w:p w14:paraId="1C028EA6"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SDF.E025</w:t>
            </w:r>
          </w:p>
        </w:tc>
      </w:tr>
      <w:tr w:rsidR="00BA528E" w:rsidRPr="00BA528E" w14:paraId="71554A2F" w14:textId="77777777" w:rsidTr="0015273C">
        <w:trPr>
          <w:trHeight w:val="255"/>
        </w:trPr>
        <w:tc>
          <w:tcPr>
            <w:tcW w:w="852" w:type="dxa"/>
            <w:tcBorders>
              <w:top w:val="nil"/>
              <w:left w:val="single" w:sz="4" w:space="0" w:color="auto"/>
              <w:bottom w:val="nil"/>
              <w:right w:val="single" w:sz="4" w:space="0" w:color="auto"/>
            </w:tcBorders>
            <w:shd w:val="clear" w:color="auto" w:fill="auto"/>
            <w:noWrap/>
            <w:vAlign w:val="bottom"/>
            <w:hideMark/>
          </w:tcPr>
          <w:p w14:paraId="61C7C94E"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290</w:t>
            </w:r>
          </w:p>
        </w:tc>
        <w:tc>
          <w:tcPr>
            <w:tcW w:w="9714" w:type="dxa"/>
            <w:tcBorders>
              <w:top w:val="nil"/>
              <w:left w:val="nil"/>
              <w:bottom w:val="nil"/>
            </w:tcBorders>
            <w:shd w:val="clear" w:color="auto" w:fill="auto"/>
            <w:noWrap/>
            <w:vAlign w:val="bottom"/>
            <w:hideMark/>
          </w:tcPr>
          <w:p w14:paraId="48829EC3"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OUTROS RECURSOS VINCULADOS À SAÚDE</w:t>
            </w:r>
          </w:p>
        </w:tc>
        <w:tc>
          <w:tcPr>
            <w:tcW w:w="906" w:type="dxa"/>
            <w:tcBorders>
              <w:top w:val="nil"/>
              <w:bottom w:val="nil"/>
              <w:right w:val="single" w:sz="4" w:space="0" w:color="auto"/>
            </w:tcBorders>
            <w:shd w:val="clear" w:color="auto" w:fill="auto"/>
            <w:noWrap/>
            <w:vAlign w:val="bottom"/>
          </w:tcPr>
          <w:p w14:paraId="5611681E"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hideMark/>
          </w:tcPr>
          <w:p w14:paraId="74D43976"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SDF.D026</w:t>
            </w:r>
          </w:p>
        </w:tc>
        <w:tc>
          <w:tcPr>
            <w:tcW w:w="1520" w:type="dxa"/>
            <w:tcBorders>
              <w:top w:val="nil"/>
              <w:left w:val="nil"/>
              <w:bottom w:val="nil"/>
              <w:right w:val="single" w:sz="4" w:space="0" w:color="auto"/>
            </w:tcBorders>
            <w:shd w:val="clear" w:color="auto" w:fill="auto"/>
            <w:noWrap/>
            <w:vAlign w:val="bottom"/>
            <w:hideMark/>
          </w:tcPr>
          <w:p w14:paraId="0CAD59A8"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SDF.E026</w:t>
            </w:r>
          </w:p>
        </w:tc>
      </w:tr>
      <w:tr w:rsidR="00BA528E" w:rsidRPr="00BA528E" w14:paraId="20160B84" w14:textId="77777777" w:rsidTr="0015273C">
        <w:trPr>
          <w:trHeight w:val="255"/>
        </w:trPr>
        <w:tc>
          <w:tcPr>
            <w:tcW w:w="852" w:type="dxa"/>
            <w:tcBorders>
              <w:top w:val="nil"/>
              <w:left w:val="single" w:sz="4" w:space="0" w:color="auto"/>
              <w:bottom w:val="nil"/>
              <w:right w:val="single" w:sz="4" w:space="0" w:color="auto"/>
            </w:tcBorders>
            <w:shd w:val="clear" w:color="auto" w:fill="auto"/>
            <w:noWrap/>
            <w:vAlign w:val="bottom"/>
          </w:tcPr>
          <w:p w14:paraId="700BEA34"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p>
        </w:tc>
        <w:tc>
          <w:tcPr>
            <w:tcW w:w="9714" w:type="dxa"/>
            <w:tcBorders>
              <w:top w:val="nil"/>
              <w:left w:val="nil"/>
              <w:bottom w:val="nil"/>
            </w:tcBorders>
            <w:shd w:val="clear" w:color="auto" w:fill="auto"/>
            <w:noWrap/>
            <w:vAlign w:val="bottom"/>
          </w:tcPr>
          <w:p w14:paraId="1424B3EC"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b/>
                <w:bCs/>
                <w:sz w:val="16"/>
                <w:szCs w:val="16"/>
                <w:lang w:eastAsia="pt-BR"/>
              </w:rPr>
              <w:t>RECURSOS VINCULADOS À PREVIDÊNCIA SOCIAL - RPPS</w:t>
            </w:r>
          </w:p>
        </w:tc>
        <w:tc>
          <w:tcPr>
            <w:tcW w:w="906" w:type="dxa"/>
            <w:tcBorders>
              <w:top w:val="nil"/>
              <w:bottom w:val="nil"/>
              <w:right w:val="single" w:sz="4" w:space="0" w:color="auto"/>
            </w:tcBorders>
            <w:shd w:val="clear" w:color="auto" w:fill="auto"/>
            <w:noWrap/>
            <w:vAlign w:val="bottom"/>
          </w:tcPr>
          <w:p w14:paraId="5F170EEB"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tcPr>
          <w:p w14:paraId="12A43154"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b/>
                <w:bCs/>
                <w:sz w:val="16"/>
                <w:szCs w:val="16"/>
                <w:lang w:eastAsia="pt-BR"/>
              </w:rPr>
              <w:t>SDF.D079</w:t>
            </w:r>
          </w:p>
        </w:tc>
        <w:tc>
          <w:tcPr>
            <w:tcW w:w="1520" w:type="dxa"/>
            <w:tcBorders>
              <w:top w:val="nil"/>
              <w:left w:val="nil"/>
              <w:bottom w:val="nil"/>
              <w:right w:val="single" w:sz="4" w:space="0" w:color="auto"/>
            </w:tcBorders>
            <w:shd w:val="clear" w:color="auto" w:fill="auto"/>
            <w:noWrap/>
            <w:vAlign w:val="bottom"/>
          </w:tcPr>
          <w:p w14:paraId="400522D5"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b/>
                <w:bCs/>
                <w:sz w:val="16"/>
                <w:szCs w:val="16"/>
                <w:lang w:eastAsia="pt-BR"/>
              </w:rPr>
              <w:t>SDF.E079</w:t>
            </w:r>
          </w:p>
        </w:tc>
      </w:tr>
      <w:tr w:rsidR="00BA528E" w:rsidRPr="00BA528E" w14:paraId="1B6695FC" w14:textId="77777777" w:rsidTr="0015273C">
        <w:trPr>
          <w:trHeight w:val="255"/>
        </w:trPr>
        <w:tc>
          <w:tcPr>
            <w:tcW w:w="852" w:type="dxa"/>
            <w:tcBorders>
              <w:top w:val="nil"/>
              <w:left w:val="single" w:sz="4" w:space="0" w:color="auto"/>
              <w:bottom w:val="nil"/>
              <w:right w:val="single" w:sz="4" w:space="0" w:color="auto"/>
            </w:tcBorders>
            <w:shd w:val="clear" w:color="auto" w:fill="auto"/>
            <w:noWrap/>
            <w:vAlign w:val="bottom"/>
          </w:tcPr>
          <w:p w14:paraId="08C47B08"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410</w:t>
            </w:r>
          </w:p>
        </w:tc>
        <w:tc>
          <w:tcPr>
            <w:tcW w:w="9714" w:type="dxa"/>
            <w:tcBorders>
              <w:top w:val="nil"/>
              <w:left w:val="nil"/>
              <w:bottom w:val="nil"/>
            </w:tcBorders>
            <w:shd w:val="clear" w:color="auto" w:fill="auto"/>
            <w:noWrap/>
            <w:vAlign w:val="bottom"/>
          </w:tcPr>
          <w:p w14:paraId="74B09E98"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RECURSOS VINCULADOS AO RPPS – PLANO PREVIDENCIÁRIO</w:t>
            </w:r>
          </w:p>
        </w:tc>
        <w:tc>
          <w:tcPr>
            <w:tcW w:w="906" w:type="dxa"/>
            <w:tcBorders>
              <w:top w:val="nil"/>
              <w:bottom w:val="nil"/>
              <w:right w:val="single" w:sz="4" w:space="0" w:color="auto"/>
            </w:tcBorders>
            <w:shd w:val="clear" w:color="auto" w:fill="auto"/>
            <w:noWrap/>
            <w:vAlign w:val="bottom"/>
          </w:tcPr>
          <w:p w14:paraId="36C1325E"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tcPr>
          <w:p w14:paraId="2CB61172" w14:textId="77777777" w:rsidR="00BA528E" w:rsidRPr="00BA528E" w:rsidRDefault="00BA528E"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SDF.D070</w:t>
            </w:r>
          </w:p>
        </w:tc>
        <w:tc>
          <w:tcPr>
            <w:tcW w:w="1520" w:type="dxa"/>
            <w:tcBorders>
              <w:top w:val="nil"/>
              <w:left w:val="nil"/>
              <w:bottom w:val="nil"/>
              <w:right w:val="single" w:sz="4" w:space="0" w:color="auto"/>
            </w:tcBorders>
            <w:shd w:val="clear" w:color="auto" w:fill="auto"/>
            <w:noWrap/>
            <w:vAlign w:val="bottom"/>
          </w:tcPr>
          <w:p w14:paraId="5FC81F53" w14:textId="77777777" w:rsidR="00BA528E" w:rsidRPr="00BA528E" w:rsidRDefault="00BA528E"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SDF.E070</w:t>
            </w:r>
          </w:p>
        </w:tc>
      </w:tr>
      <w:tr w:rsidR="00BA528E" w:rsidRPr="00BA528E" w14:paraId="05153F97" w14:textId="77777777" w:rsidTr="0015273C">
        <w:trPr>
          <w:trHeight w:val="255"/>
        </w:trPr>
        <w:tc>
          <w:tcPr>
            <w:tcW w:w="852" w:type="dxa"/>
            <w:tcBorders>
              <w:top w:val="nil"/>
              <w:left w:val="single" w:sz="4" w:space="0" w:color="auto"/>
              <w:bottom w:val="nil"/>
              <w:right w:val="single" w:sz="4" w:space="0" w:color="auto"/>
            </w:tcBorders>
            <w:shd w:val="clear" w:color="auto" w:fill="auto"/>
            <w:noWrap/>
            <w:vAlign w:val="bottom"/>
            <w:hideMark/>
          </w:tcPr>
          <w:p w14:paraId="4994AE6D"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420</w:t>
            </w:r>
          </w:p>
        </w:tc>
        <w:tc>
          <w:tcPr>
            <w:tcW w:w="9714" w:type="dxa"/>
            <w:tcBorders>
              <w:top w:val="nil"/>
              <w:left w:val="nil"/>
              <w:bottom w:val="nil"/>
            </w:tcBorders>
            <w:shd w:val="clear" w:color="auto" w:fill="auto"/>
            <w:noWrap/>
            <w:vAlign w:val="bottom"/>
            <w:hideMark/>
          </w:tcPr>
          <w:p w14:paraId="67F4692E"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RECURSOS VINCULADOS AO RPPS – PLANO FINANCEIRO</w:t>
            </w:r>
          </w:p>
        </w:tc>
        <w:tc>
          <w:tcPr>
            <w:tcW w:w="906" w:type="dxa"/>
            <w:tcBorders>
              <w:top w:val="nil"/>
              <w:bottom w:val="nil"/>
              <w:right w:val="single" w:sz="4" w:space="0" w:color="auto"/>
            </w:tcBorders>
            <w:shd w:val="clear" w:color="auto" w:fill="auto"/>
            <w:noWrap/>
            <w:vAlign w:val="bottom"/>
          </w:tcPr>
          <w:p w14:paraId="267404E5"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hideMark/>
          </w:tcPr>
          <w:p w14:paraId="4BEC9058"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SDF.D031</w:t>
            </w:r>
          </w:p>
        </w:tc>
        <w:tc>
          <w:tcPr>
            <w:tcW w:w="1520" w:type="dxa"/>
            <w:tcBorders>
              <w:top w:val="nil"/>
              <w:left w:val="nil"/>
              <w:bottom w:val="nil"/>
              <w:right w:val="single" w:sz="4" w:space="0" w:color="auto"/>
            </w:tcBorders>
            <w:shd w:val="clear" w:color="auto" w:fill="auto"/>
            <w:noWrap/>
            <w:vAlign w:val="bottom"/>
            <w:hideMark/>
          </w:tcPr>
          <w:p w14:paraId="4D6A60ED"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SDF.E031</w:t>
            </w:r>
          </w:p>
        </w:tc>
      </w:tr>
      <w:tr w:rsidR="00BA528E" w:rsidRPr="00BA528E" w14:paraId="6EB19814" w14:textId="77777777" w:rsidTr="0015273C">
        <w:trPr>
          <w:trHeight w:val="270"/>
        </w:trPr>
        <w:tc>
          <w:tcPr>
            <w:tcW w:w="852" w:type="dxa"/>
            <w:tcBorders>
              <w:top w:val="nil"/>
              <w:left w:val="single" w:sz="4" w:space="0" w:color="auto"/>
              <w:right w:val="single" w:sz="4" w:space="0" w:color="auto"/>
            </w:tcBorders>
            <w:shd w:val="clear" w:color="auto" w:fill="auto"/>
            <w:noWrap/>
            <w:vAlign w:val="bottom"/>
            <w:hideMark/>
          </w:tcPr>
          <w:p w14:paraId="1B352F04"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430</w:t>
            </w:r>
          </w:p>
        </w:tc>
        <w:tc>
          <w:tcPr>
            <w:tcW w:w="9714" w:type="dxa"/>
            <w:tcBorders>
              <w:top w:val="nil"/>
              <w:left w:val="nil"/>
            </w:tcBorders>
            <w:shd w:val="clear" w:color="auto" w:fill="auto"/>
            <w:noWrap/>
            <w:vAlign w:val="bottom"/>
            <w:hideMark/>
          </w:tcPr>
          <w:p w14:paraId="625977E7"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RECURSOS VINCULADOS AO RPPS – TAXA DE ADMINISTRAÇÃO</w:t>
            </w:r>
          </w:p>
        </w:tc>
        <w:tc>
          <w:tcPr>
            <w:tcW w:w="906" w:type="dxa"/>
            <w:tcBorders>
              <w:top w:val="nil"/>
              <w:right w:val="single" w:sz="4" w:space="0" w:color="auto"/>
            </w:tcBorders>
            <w:shd w:val="clear" w:color="auto" w:fill="auto"/>
            <w:noWrap/>
            <w:vAlign w:val="bottom"/>
          </w:tcPr>
          <w:p w14:paraId="1D59D5C0"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p>
        </w:tc>
        <w:tc>
          <w:tcPr>
            <w:tcW w:w="1309" w:type="dxa"/>
            <w:tcBorders>
              <w:top w:val="nil"/>
              <w:left w:val="nil"/>
              <w:right w:val="single" w:sz="4" w:space="0" w:color="auto"/>
            </w:tcBorders>
            <w:shd w:val="clear" w:color="auto" w:fill="auto"/>
            <w:noWrap/>
            <w:vAlign w:val="bottom"/>
            <w:hideMark/>
          </w:tcPr>
          <w:p w14:paraId="1A69F1C1"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SDF.D033</w:t>
            </w:r>
          </w:p>
        </w:tc>
        <w:tc>
          <w:tcPr>
            <w:tcW w:w="1520" w:type="dxa"/>
            <w:tcBorders>
              <w:top w:val="nil"/>
              <w:left w:val="nil"/>
              <w:right w:val="single" w:sz="4" w:space="0" w:color="auto"/>
            </w:tcBorders>
            <w:shd w:val="clear" w:color="auto" w:fill="auto"/>
            <w:noWrap/>
            <w:vAlign w:val="bottom"/>
            <w:hideMark/>
          </w:tcPr>
          <w:p w14:paraId="6D6C4C22"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SDF.E033</w:t>
            </w:r>
          </w:p>
        </w:tc>
      </w:tr>
      <w:tr w:rsidR="00BA528E" w:rsidRPr="00BA528E" w14:paraId="6FE0E9B1" w14:textId="77777777" w:rsidTr="0015273C">
        <w:trPr>
          <w:trHeight w:val="270"/>
        </w:trPr>
        <w:tc>
          <w:tcPr>
            <w:tcW w:w="852" w:type="dxa"/>
            <w:tcBorders>
              <w:top w:val="nil"/>
              <w:left w:val="single" w:sz="4" w:space="0" w:color="auto"/>
              <w:right w:val="single" w:sz="4" w:space="0" w:color="auto"/>
            </w:tcBorders>
            <w:shd w:val="clear" w:color="auto" w:fill="auto"/>
            <w:noWrap/>
            <w:vAlign w:val="bottom"/>
          </w:tcPr>
          <w:p w14:paraId="2E242E7A"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p>
        </w:tc>
        <w:tc>
          <w:tcPr>
            <w:tcW w:w="9714" w:type="dxa"/>
            <w:tcBorders>
              <w:top w:val="nil"/>
              <w:left w:val="nil"/>
            </w:tcBorders>
            <w:shd w:val="clear" w:color="auto" w:fill="auto"/>
            <w:noWrap/>
            <w:vAlign w:val="bottom"/>
          </w:tcPr>
          <w:p w14:paraId="3D17D7DC"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b/>
                <w:bCs/>
                <w:sz w:val="16"/>
                <w:szCs w:val="16"/>
                <w:lang w:eastAsia="pt-BR"/>
              </w:rPr>
              <w:t>RECURSOS VINCULADOS À SEGURIDADE SOCIAL</w:t>
            </w:r>
          </w:p>
        </w:tc>
        <w:tc>
          <w:tcPr>
            <w:tcW w:w="906" w:type="dxa"/>
            <w:tcBorders>
              <w:top w:val="nil"/>
              <w:right w:val="single" w:sz="4" w:space="0" w:color="auto"/>
            </w:tcBorders>
            <w:shd w:val="clear" w:color="auto" w:fill="auto"/>
            <w:noWrap/>
            <w:vAlign w:val="bottom"/>
          </w:tcPr>
          <w:p w14:paraId="56C0EF15"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tcPr>
          <w:p w14:paraId="42A0E281"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b/>
                <w:bCs/>
                <w:sz w:val="16"/>
                <w:szCs w:val="16"/>
                <w:lang w:eastAsia="pt-BR"/>
              </w:rPr>
              <w:t>SDF.D080</w:t>
            </w:r>
          </w:p>
        </w:tc>
        <w:tc>
          <w:tcPr>
            <w:tcW w:w="1520" w:type="dxa"/>
            <w:tcBorders>
              <w:top w:val="nil"/>
              <w:left w:val="nil"/>
              <w:bottom w:val="nil"/>
              <w:right w:val="single" w:sz="4" w:space="0" w:color="auto"/>
            </w:tcBorders>
            <w:shd w:val="clear" w:color="auto" w:fill="auto"/>
            <w:noWrap/>
            <w:vAlign w:val="bottom"/>
          </w:tcPr>
          <w:p w14:paraId="311E3B97"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b/>
                <w:bCs/>
                <w:sz w:val="16"/>
                <w:szCs w:val="16"/>
                <w:lang w:eastAsia="pt-BR"/>
              </w:rPr>
              <w:t>SDF.E080</w:t>
            </w:r>
          </w:p>
        </w:tc>
      </w:tr>
      <w:tr w:rsidR="00BA528E" w:rsidRPr="00BA528E" w14:paraId="2566295E" w14:textId="77777777" w:rsidTr="0015273C">
        <w:trPr>
          <w:trHeight w:val="270"/>
        </w:trPr>
        <w:tc>
          <w:tcPr>
            <w:tcW w:w="852" w:type="dxa"/>
            <w:tcBorders>
              <w:top w:val="nil"/>
              <w:left w:val="single" w:sz="4" w:space="0" w:color="auto"/>
              <w:right w:val="single" w:sz="4" w:space="0" w:color="auto"/>
            </w:tcBorders>
            <w:shd w:val="clear" w:color="auto" w:fill="auto"/>
            <w:noWrap/>
            <w:vAlign w:val="bottom"/>
          </w:tcPr>
          <w:p w14:paraId="22722357"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311</w:t>
            </w:r>
          </w:p>
        </w:tc>
        <w:tc>
          <w:tcPr>
            <w:tcW w:w="9714" w:type="dxa"/>
            <w:tcBorders>
              <w:top w:val="nil"/>
              <w:left w:val="nil"/>
            </w:tcBorders>
            <w:shd w:val="clear" w:color="auto" w:fill="auto"/>
            <w:noWrap/>
            <w:vAlign w:val="bottom"/>
          </w:tcPr>
          <w:p w14:paraId="0FC273C9" w14:textId="77777777" w:rsidR="00BA528E" w:rsidRPr="00BA528E" w:rsidRDefault="00BA528E" w:rsidP="0015273C">
            <w:pPr>
              <w:spacing w:after="0" w:line="240" w:lineRule="auto"/>
              <w:rPr>
                <w:rFonts w:ascii="Arial Narrow" w:eastAsia="Times New Roman" w:hAnsi="Arial Narrow" w:cs="Arial"/>
                <w:b/>
                <w:bCs/>
                <w:sz w:val="16"/>
                <w:szCs w:val="16"/>
                <w:lang w:eastAsia="pt-BR"/>
              </w:rPr>
            </w:pPr>
            <w:r w:rsidRPr="00BA528E">
              <w:rPr>
                <w:rFonts w:ascii="Arial Narrow" w:eastAsia="Times New Roman" w:hAnsi="Arial Narrow" w:cs="Arial"/>
                <w:sz w:val="16"/>
                <w:szCs w:val="16"/>
                <w:lang w:eastAsia="pt-BR"/>
              </w:rPr>
              <w:t>TRANSFERÊNCIA DE RECURSOS DO FUNDO NACIONAL DE ASSISTÊNCIA SOCIAL - FNAS</w:t>
            </w:r>
          </w:p>
        </w:tc>
        <w:tc>
          <w:tcPr>
            <w:tcW w:w="906" w:type="dxa"/>
            <w:tcBorders>
              <w:top w:val="nil"/>
              <w:right w:val="single" w:sz="4" w:space="0" w:color="auto"/>
            </w:tcBorders>
            <w:shd w:val="clear" w:color="auto" w:fill="auto"/>
            <w:noWrap/>
            <w:vAlign w:val="bottom"/>
          </w:tcPr>
          <w:p w14:paraId="31E09BD2"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p>
        </w:tc>
        <w:tc>
          <w:tcPr>
            <w:tcW w:w="1309" w:type="dxa"/>
            <w:tcBorders>
              <w:top w:val="nil"/>
              <w:left w:val="nil"/>
              <w:right w:val="single" w:sz="4" w:space="0" w:color="auto"/>
            </w:tcBorders>
            <w:shd w:val="clear" w:color="auto" w:fill="auto"/>
            <w:noWrap/>
            <w:vAlign w:val="bottom"/>
          </w:tcPr>
          <w:p w14:paraId="10C68ACD"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SDF.D027</w:t>
            </w:r>
          </w:p>
        </w:tc>
        <w:tc>
          <w:tcPr>
            <w:tcW w:w="1520" w:type="dxa"/>
            <w:tcBorders>
              <w:top w:val="nil"/>
              <w:left w:val="nil"/>
              <w:right w:val="single" w:sz="4" w:space="0" w:color="auto"/>
            </w:tcBorders>
            <w:shd w:val="clear" w:color="auto" w:fill="auto"/>
            <w:noWrap/>
            <w:vAlign w:val="bottom"/>
          </w:tcPr>
          <w:p w14:paraId="2BC7A733"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SDF.E027</w:t>
            </w:r>
          </w:p>
        </w:tc>
      </w:tr>
      <w:tr w:rsidR="00BA528E" w:rsidRPr="00BA528E" w14:paraId="3A3F7293" w14:textId="77777777" w:rsidTr="0015273C">
        <w:trPr>
          <w:trHeight w:val="270"/>
        </w:trPr>
        <w:tc>
          <w:tcPr>
            <w:tcW w:w="852" w:type="dxa"/>
            <w:tcBorders>
              <w:top w:val="nil"/>
              <w:left w:val="single" w:sz="4" w:space="0" w:color="auto"/>
              <w:right w:val="single" w:sz="4" w:space="0" w:color="auto"/>
            </w:tcBorders>
            <w:shd w:val="clear" w:color="auto" w:fill="auto"/>
            <w:noWrap/>
            <w:vAlign w:val="bottom"/>
          </w:tcPr>
          <w:p w14:paraId="5B4DCCD2"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312</w:t>
            </w:r>
          </w:p>
        </w:tc>
        <w:tc>
          <w:tcPr>
            <w:tcW w:w="9714" w:type="dxa"/>
            <w:tcBorders>
              <w:top w:val="nil"/>
              <w:left w:val="nil"/>
            </w:tcBorders>
            <w:shd w:val="clear" w:color="auto" w:fill="auto"/>
            <w:noWrap/>
            <w:vAlign w:val="bottom"/>
          </w:tcPr>
          <w:p w14:paraId="52B76DAD" w14:textId="77777777" w:rsidR="00BA528E" w:rsidRPr="00BA528E" w:rsidRDefault="00BA528E" w:rsidP="0015273C">
            <w:pPr>
              <w:spacing w:after="0" w:line="240" w:lineRule="auto"/>
              <w:rPr>
                <w:rFonts w:ascii="Arial Narrow" w:eastAsia="Times New Roman" w:hAnsi="Arial Narrow" w:cs="Arial"/>
                <w:b/>
                <w:bCs/>
                <w:sz w:val="16"/>
                <w:szCs w:val="16"/>
                <w:lang w:eastAsia="pt-BR"/>
              </w:rPr>
            </w:pPr>
            <w:r w:rsidRPr="00BA528E">
              <w:rPr>
                <w:rFonts w:ascii="Arial Narrow" w:eastAsia="Times New Roman" w:hAnsi="Arial Narrow" w:cs="Arial"/>
                <w:sz w:val="16"/>
                <w:szCs w:val="16"/>
                <w:lang w:eastAsia="pt-BR"/>
              </w:rPr>
              <w:t>TRANSFERÊNCIAS DE CONVÊNIOS – ASSISTÊNCIA SOCIAL</w:t>
            </w:r>
          </w:p>
        </w:tc>
        <w:tc>
          <w:tcPr>
            <w:tcW w:w="906" w:type="dxa"/>
            <w:tcBorders>
              <w:top w:val="nil"/>
              <w:right w:val="single" w:sz="4" w:space="0" w:color="auto"/>
            </w:tcBorders>
            <w:shd w:val="clear" w:color="auto" w:fill="auto"/>
            <w:noWrap/>
            <w:vAlign w:val="bottom"/>
          </w:tcPr>
          <w:p w14:paraId="61F77A6F"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p>
        </w:tc>
        <w:tc>
          <w:tcPr>
            <w:tcW w:w="1309" w:type="dxa"/>
            <w:tcBorders>
              <w:top w:val="nil"/>
              <w:left w:val="nil"/>
              <w:right w:val="single" w:sz="4" w:space="0" w:color="auto"/>
            </w:tcBorders>
            <w:shd w:val="clear" w:color="auto" w:fill="auto"/>
            <w:noWrap/>
            <w:vAlign w:val="bottom"/>
          </w:tcPr>
          <w:p w14:paraId="6E20E670"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SDF.D028</w:t>
            </w:r>
          </w:p>
        </w:tc>
        <w:tc>
          <w:tcPr>
            <w:tcW w:w="1520" w:type="dxa"/>
            <w:tcBorders>
              <w:top w:val="nil"/>
              <w:left w:val="nil"/>
              <w:right w:val="single" w:sz="4" w:space="0" w:color="auto"/>
            </w:tcBorders>
            <w:shd w:val="clear" w:color="auto" w:fill="auto"/>
            <w:noWrap/>
            <w:vAlign w:val="bottom"/>
          </w:tcPr>
          <w:p w14:paraId="7F354906"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SDF.E028</w:t>
            </w:r>
          </w:p>
        </w:tc>
      </w:tr>
      <w:tr w:rsidR="00BA528E" w:rsidRPr="00BA528E" w14:paraId="355C76A0" w14:textId="77777777" w:rsidTr="0015273C">
        <w:trPr>
          <w:trHeight w:val="270"/>
        </w:trPr>
        <w:tc>
          <w:tcPr>
            <w:tcW w:w="852" w:type="dxa"/>
            <w:tcBorders>
              <w:top w:val="nil"/>
              <w:left w:val="single" w:sz="4" w:space="0" w:color="auto"/>
              <w:right w:val="single" w:sz="4" w:space="0" w:color="auto"/>
            </w:tcBorders>
            <w:shd w:val="clear" w:color="auto" w:fill="auto"/>
            <w:noWrap/>
            <w:vAlign w:val="bottom"/>
          </w:tcPr>
          <w:p w14:paraId="2F1B53EF"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390</w:t>
            </w:r>
          </w:p>
        </w:tc>
        <w:tc>
          <w:tcPr>
            <w:tcW w:w="9714" w:type="dxa"/>
            <w:tcBorders>
              <w:top w:val="nil"/>
              <w:left w:val="nil"/>
            </w:tcBorders>
            <w:shd w:val="clear" w:color="auto" w:fill="auto"/>
            <w:noWrap/>
            <w:vAlign w:val="bottom"/>
          </w:tcPr>
          <w:p w14:paraId="466FCC32"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OUTROS RECURSOS VINCULADOS À ASSISTÊNCIA SOCIAL – DEMAIS RECURSOS</w:t>
            </w:r>
          </w:p>
        </w:tc>
        <w:tc>
          <w:tcPr>
            <w:tcW w:w="906" w:type="dxa"/>
            <w:tcBorders>
              <w:top w:val="nil"/>
              <w:right w:val="single" w:sz="4" w:space="0" w:color="auto"/>
            </w:tcBorders>
            <w:shd w:val="clear" w:color="auto" w:fill="auto"/>
            <w:noWrap/>
            <w:vAlign w:val="bottom"/>
          </w:tcPr>
          <w:p w14:paraId="49F961DF"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p>
        </w:tc>
        <w:tc>
          <w:tcPr>
            <w:tcW w:w="1309" w:type="dxa"/>
            <w:tcBorders>
              <w:top w:val="nil"/>
              <w:left w:val="nil"/>
              <w:right w:val="single" w:sz="4" w:space="0" w:color="auto"/>
            </w:tcBorders>
            <w:shd w:val="clear" w:color="auto" w:fill="auto"/>
            <w:noWrap/>
            <w:vAlign w:val="bottom"/>
          </w:tcPr>
          <w:p w14:paraId="7F2C7B54"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SDF.D029</w:t>
            </w:r>
          </w:p>
        </w:tc>
        <w:tc>
          <w:tcPr>
            <w:tcW w:w="1520" w:type="dxa"/>
            <w:tcBorders>
              <w:top w:val="nil"/>
              <w:left w:val="nil"/>
              <w:right w:val="single" w:sz="4" w:space="0" w:color="auto"/>
            </w:tcBorders>
            <w:shd w:val="clear" w:color="auto" w:fill="auto"/>
            <w:noWrap/>
            <w:vAlign w:val="bottom"/>
          </w:tcPr>
          <w:p w14:paraId="6884451E"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SDF.E029</w:t>
            </w:r>
          </w:p>
        </w:tc>
      </w:tr>
      <w:tr w:rsidR="00BA528E" w:rsidRPr="00BA528E" w14:paraId="34E50645" w14:textId="77777777" w:rsidTr="0015273C">
        <w:trPr>
          <w:trHeight w:val="270"/>
        </w:trPr>
        <w:tc>
          <w:tcPr>
            <w:tcW w:w="852" w:type="dxa"/>
            <w:tcBorders>
              <w:top w:val="nil"/>
              <w:left w:val="single" w:sz="4" w:space="0" w:color="auto"/>
              <w:right w:val="single" w:sz="4" w:space="0" w:color="auto"/>
            </w:tcBorders>
            <w:shd w:val="clear" w:color="auto" w:fill="auto"/>
            <w:noWrap/>
            <w:vAlign w:val="bottom"/>
          </w:tcPr>
          <w:p w14:paraId="373FB317"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p>
        </w:tc>
        <w:tc>
          <w:tcPr>
            <w:tcW w:w="9714" w:type="dxa"/>
            <w:tcBorders>
              <w:top w:val="nil"/>
              <w:left w:val="nil"/>
            </w:tcBorders>
            <w:shd w:val="clear" w:color="auto" w:fill="auto"/>
            <w:noWrap/>
            <w:vAlign w:val="bottom"/>
          </w:tcPr>
          <w:p w14:paraId="21C64077"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b/>
                <w:bCs/>
                <w:sz w:val="16"/>
                <w:szCs w:val="16"/>
                <w:lang w:eastAsia="pt-BR"/>
              </w:rPr>
              <w:t>OUTRAS DESTINAÇÕES DE RECURSOS</w:t>
            </w:r>
          </w:p>
        </w:tc>
        <w:tc>
          <w:tcPr>
            <w:tcW w:w="906" w:type="dxa"/>
            <w:tcBorders>
              <w:top w:val="nil"/>
              <w:right w:val="single" w:sz="4" w:space="0" w:color="auto"/>
            </w:tcBorders>
            <w:shd w:val="clear" w:color="auto" w:fill="auto"/>
            <w:noWrap/>
            <w:vAlign w:val="bottom"/>
          </w:tcPr>
          <w:p w14:paraId="4DA3D72B"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p>
        </w:tc>
        <w:tc>
          <w:tcPr>
            <w:tcW w:w="1309" w:type="dxa"/>
            <w:tcBorders>
              <w:top w:val="nil"/>
              <w:left w:val="nil"/>
              <w:right w:val="single" w:sz="4" w:space="0" w:color="auto"/>
            </w:tcBorders>
            <w:shd w:val="clear" w:color="auto" w:fill="auto"/>
            <w:noWrap/>
            <w:vAlign w:val="bottom"/>
          </w:tcPr>
          <w:p w14:paraId="21826078"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b/>
                <w:bCs/>
                <w:sz w:val="16"/>
                <w:szCs w:val="16"/>
                <w:lang w:eastAsia="pt-BR"/>
              </w:rPr>
              <w:t>SDF.D081</w:t>
            </w:r>
          </w:p>
        </w:tc>
        <w:tc>
          <w:tcPr>
            <w:tcW w:w="1520" w:type="dxa"/>
            <w:tcBorders>
              <w:top w:val="nil"/>
              <w:left w:val="nil"/>
              <w:right w:val="single" w:sz="4" w:space="0" w:color="auto"/>
            </w:tcBorders>
            <w:shd w:val="clear" w:color="auto" w:fill="auto"/>
            <w:noWrap/>
            <w:vAlign w:val="bottom"/>
          </w:tcPr>
          <w:p w14:paraId="21BB98E3"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b/>
                <w:bCs/>
                <w:sz w:val="16"/>
                <w:szCs w:val="16"/>
                <w:lang w:eastAsia="pt-BR"/>
              </w:rPr>
              <w:t>SDF.E081</w:t>
            </w:r>
          </w:p>
        </w:tc>
      </w:tr>
      <w:tr w:rsidR="00BA528E" w:rsidRPr="00BA528E" w14:paraId="300BC897" w14:textId="77777777" w:rsidTr="0015273C">
        <w:trPr>
          <w:trHeight w:val="270"/>
        </w:trPr>
        <w:tc>
          <w:tcPr>
            <w:tcW w:w="852" w:type="dxa"/>
            <w:tcBorders>
              <w:top w:val="nil"/>
              <w:left w:val="single" w:sz="4" w:space="0" w:color="auto"/>
              <w:right w:val="single" w:sz="4" w:space="0" w:color="auto"/>
            </w:tcBorders>
            <w:shd w:val="clear" w:color="auto" w:fill="auto"/>
            <w:noWrap/>
            <w:vAlign w:val="bottom"/>
          </w:tcPr>
          <w:p w14:paraId="512E5BAF"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510</w:t>
            </w:r>
          </w:p>
        </w:tc>
        <w:tc>
          <w:tcPr>
            <w:tcW w:w="9714" w:type="dxa"/>
            <w:tcBorders>
              <w:top w:val="nil"/>
              <w:left w:val="nil"/>
            </w:tcBorders>
            <w:shd w:val="clear" w:color="auto" w:fill="auto"/>
            <w:noWrap/>
            <w:vAlign w:val="bottom"/>
          </w:tcPr>
          <w:p w14:paraId="7A802183" w14:textId="77777777" w:rsidR="00BA528E" w:rsidRPr="00BA528E" w:rsidRDefault="00BA528E" w:rsidP="0015273C">
            <w:pPr>
              <w:spacing w:after="0" w:line="240" w:lineRule="auto"/>
              <w:rPr>
                <w:rFonts w:ascii="Arial Narrow" w:eastAsia="Times New Roman" w:hAnsi="Arial Narrow" w:cs="Arial"/>
                <w:b/>
                <w:bCs/>
                <w:sz w:val="16"/>
                <w:szCs w:val="16"/>
                <w:lang w:eastAsia="pt-BR"/>
              </w:rPr>
            </w:pPr>
            <w:r w:rsidRPr="00BA528E">
              <w:rPr>
                <w:rFonts w:ascii="Arial Narrow" w:eastAsia="Times New Roman" w:hAnsi="Arial Narrow" w:cs="Arial"/>
                <w:sz w:val="16"/>
                <w:szCs w:val="16"/>
                <w:lang w:eastAsia="pt-BR"/>
              </w:rPr>
              <w:t>OUTRAS TRANSFERÊNCIAS DE CONVÊNIOS OU CONTRATOS DE REPASSE DA UNIÃO</w:t>
            </w:r>
          </w:p>
        </w:tc>
        <w:tc>
          <w:tcPr>
            <w:tcW w:w="906" w:type="dxa"/>
            <w:tcBorders>
              <w:top w:val="nil"/>
              <w:right w:val="single" w:sz="4" w:space="0" w:color="auto"/>
            </w:tcBorders>
            <w:shd w:val="clear" w:color="auto" w:fill="auto"/>
            <w:noWrap/>
            <w:vAlign w:val="bottom"/>
          </w:tcPr>
          <w:p w14:paraId="20928FBC"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p>
        </w:tc>
        <w:tc>
          <w:tcPr>
            <w:tcW w:w="1309" w:type="dxa"/>
            <w:tcBorders>
              <w:top w:val="nil"/>
              <w:left w:val="nil"/>
              <w:right w:val="single" w:sz="4" w:space="0" w:color="auto"/>
            </w:tcBorders>
            <w:shd w:val="clear" w:color="auto" w:fill="auto"/>
            <w:noWrap/>
            <w:vAlign w:val="bottom"/>
          </w:tcPr>
          <w:p w14:paraId="31A0DD90" w14:textId="77777777" w:rsidR="00BA528E" w:rsidRPr="00BA528E" w:rsidRDefault="00BA528E" w:rsidP="0015273C">
            <w:pPr>
              <w:spacing w:after="0" w:line="240" w:lineRule="auto"/>
              <w:jc w:val="center"/>
              <w:rPr>
                <w:rFonts w:ascii="Arial Narrow" w:eastAsia="Times New Roman" w:hAnsi="Arial Narrow" w:cs="Arial"/>
                <w:b/>
                <w:bCs/>
                <w:sz w:val="16"/>
                <w:szCs w:val="16"/>
                <w:lang w:eastAsia="pt-BR"/>
              </w:rPr>
            </w:pPr>
            <w:r w:rsidRPr="00BA528E">
              <w:rPr>
                <w:rFonts w:ascii="Arial Narrow" w:eastAsia="Times New Roman" w:hAnsi="Arial Narrow" w:cs="Arial"/>
                <w:sz w:val="16"/>
                <w:szCs w:val="16"/>
                <w:lang w:eastAsia="pt-BR"/>
              </w:rPr>
              <w:t>SDF.D036</w:t>
            </w:r>
          </w:p>
        </w:tc>
        <w:tc>
          <w:tcPr>
            <w:tcW w:w="1520" w:type="dxa"/>
            <w:tcBorders>
              <w:top w:val="nil"/>
              <w:left w:val="nil"/>
              <w:right w:val="single" w:sz="4" w:space="0" w:color="auto"/>
            </w:tcBorders>
            <w:shd w:val="clear" w:color="auto" w:fill="auto"/>
            <w:noWrap/>
            <w:vAlign w:val="bottom"/>
          </w:tcPr>
          <w:p w14:paraId="0360B4FC" w14:textId="77777777" w:rsidR="00BA528E" w:rsidRPr="00BA528E" w:rsidRDefault="00BA528E" w:rsidP="0015273C">
            <w:pPr>
              <w:spacing w:after="0" w:line="240" w:lineRule="auto"/>
              <w:jc w:val="center"/>
              <w:rPr>
                <w:rFonts w:ascii="Arial Narrow" w:eastAsia="Times New Roman" w:hAnsi="Arial Narrow" w:cs="Arial"/>
                <w:b/>
                <w:bCs/>
                <w:sz w:val="16"/>
                <w:szCs w:val="16"/>
                <w:lang w:eastAsia="pt-BR"/>
              </w:rPr>
            </w:pPr>
            <w:r w:rsidRPr="00BA528E">
              <w:rPr>
                <w:rFonts w:ascii="Arial Narrow" w:eastAsia="Times New Roman" w:hAnsi="Arial Narrow" w:cs="Arial"/>
                <w:sz w:val="16"/>
                <w:szCs w:val="16"/>
                <w:lang w:eastAsia="pt-BR"/>
              </w:rPr>
              <w:t>SDF.E036</w:t>
            </w:r>
          </w:p>
        </w:tc>
      </w:tr>
      <w:tr w:rsidR="00BA528E" w:rsidRPr="00BA528E" w14:paraId="4B1DA5D6" w14:textId="77777777" w:rsidTr="0015273C">
        <w:trPr>
          <w:trHeight w:val="255"/>
        </w:trPr>
        <w:tc>
          <w:tcPr>
            <w:tcW w:w="852" w:type="dxa"/>
            <w:tcBorders>
              <w:top w:val="nil"/>
              <w:left w:val="single" w:sz="4" w:space="0" w:color="auto"/>
              <w:bottom w:val="nil"/>
              <w:right w:val="single" w:sz="4" w:space="0" w:color="auto"/>
            </w:tcBorders>
            <w:shd w:val="clear" w:color="auto" w:fill="auto"/>
            <w:noWrap/>
            <w:vAlign w:val="bottom"/>
            <w:hideMark/>
          </w:tcPr>
          <w:p w14:paraId="4F1B26AA"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520</w:t>
            </w:r>
          </w:p>
        </w:tc>
        <w:tc>
          <w:tcPr>
            <w:tcW w:w="9714" w:type="dxa"/>
            <w:tcBorders>
              <w:top w:val="nil"/>
              <w:left w:val="nil"/>
              <w:bottom w:val="nil"/>
            </w:tcBorders>
            <w:shd w:val="clear" w:color="auto" w:fill="auto"/>
            <w:noWrap/>
            <w:vAlign w:val="bottom"/>
            <w:hideMark/>
          </w:tcPr>
          <w:p w14:paraId="5FA7317B"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OUTRAS TRANSFERÊNCIAS DE CONVÊNIOS</w:t>
            </w:r>
            <w:r w:rsidRPr="00BA528E">
              <w:rPr>
                <w:rFonts w:ascii="Arial Narrow" w:eastAsia="Times New Roman" w:hAnsi="Arial Narrow" w:cs="Calibri"/>
                <w:sz w:val="16"/>
                <w:szCs w:val="16"/>
                <w:lang w:eastAsia="pt-BR"/>
              </w:rPr>
              <w:t xml:space="preserve"> </w:t>
            </w:r>
            <w:r w:rsidRPr="00BA528E">
              <w:rPr>
                <w:rFonts w:ascii="Arial Narrow" w:eastAsia="Times New Roman" w:hAnsi="Arial Narrow" w:cs="Arial"/>
                <w:sz w:val="16"/>
                <w:szCs w:val="16"/>
                <w:lang w:eastAsia="pt-BR"/>
              </w:rPr>
              <w:t>OU CONTRATOS DE REPASSE DOS ESTADOS</w:t>
            </w:r>
          </w:p>
        </w:tc>
        <w:tc>
          <w:tcPr>
            <w:tcW w:w="906" w:type="dxa"/>
            <w:tcBorders>
              <w:top w:val="nil"/>
              <w:bottom w:val="nil"/>
              <w:right w:val="single" w:sz="4" w:space="0" w:color="auto"/>
            </w:tcBorders>
            <w:shd w:val="clear" w:color="auto" w:fill="auto"/>
            <w:noWrap/>
            <w:vAlign w:val="bottom"/>
          </w:tcPr>
          <w:p w14:paraId="2C2220D7"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hideMark/>
          </w:tcPr>
          <w:p w14:paraId="345293D3"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SDF.D035</w:t>
            </w:r>
          </w:p>
        </w:tc>
        <w:tc>
          <w:tcPr>
            <w:tcW w:w="1520" w:type="dxa"/>
            <w:tcBorders>
              <w:top w:val="nil"/>
              <w:left w:val="nil"/>
              <w:bottom w:val="nil"/>
              <w:right w:val="single" w:sz="4" w:space="0" w:color="auto"/>
            </w:tcBorders>
            <w:shd w:val="clear" w:color="auto" w:fill="auto"/>
            <w:noWrap/>
            <w:vAlign w:val="bottom"/>
            <w:hideMark/>
          </w:tcPr>
          <w:p w14:paraId="5EFDD693"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SDF.E035</w:t>
            </w:r>
          </w:p>
        </w:tc>
      </w:tr>
      <w:tr w:rsidR="00BA528E" w:rsidRPr="00BA528E" w14:paraId="0572030C" w14:textId="77777777" w:rsidTr="0015273C">
        <w:trPr>
          <w:trHeight w:val="255"/>
        </w:trPr>
        <w:tc>
          <w:tcPr>
            <w:tcW w:w="852" w:type="dxa"/>
            <w:tcBorders>
              <w:top w:val="nil"/>
              <w:left w:val="single" w:sz="4" w:space="0" w:color="auto"/>
              <w:bottom w:val="nil"/>
              <w:right w:val="single" w:sz="4" w:space="0" w:color="auto"/>
            </w:tcBorders>
            <w:shd w:val="clear" w:color="auto" w:fill="auto"/>
            <w:noWrap/>
            <w:vAlign w:val="bottom"/>
          </w:tcPr>
          <w:p w14:paraId="4B6FD3D0"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550</w:t>
            </w:r>
          </w:p>
        </w:tc>
        <w:tc>
          <w:tcPr>
            <w:tcW w:w="9714" w:type="dxa"/>
            <w:tcBorders>
              <w:top w:val="nil"/>
              <w:left w:val="nil"/>
              <w:bottom w:val="nil"/>
            </w:tcBorders>
            <w:shd w:val="clear" w:color="auto" w:fill="auto"/>
            <w:noWrap/>
            <w:vAlign w:val="bottom"/>
          </w:tcPr>
          <w:p w14:paraId="1C1DC0EF"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TRANSFERÊNCIA ESPECIAL DA UNIÃO</w:t>
            </w:r>
          </w:p>
        </w:tc>
        <w:tc>
          <w:tcPr>
            <w:tcW w:w="906" w:type="dxa"/>
            <w:tcBorders>
              <w:top w:val="nil"/>
              <w:bottom w:val="nil"/>
              <w:right w:val="single" w:sz="4" w:space="0" w:color="auto"/>
            </w:tcBorders>
            <w:shd w:val="clear" w:color="auto" w:fill="auto"/>
            <w:noWrap/>
            <w:vAlign w:val="bottom"/>
          </w:tcPr>
          <w:p w14:paraId="3C7F59A8"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tcPr>
          <w:p w14:paraId="7C9F4AC9"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SDF.D083</w:t>
            </w:r>
          </w:p>
        </w:tc>
        <w:tc>
          <w:tcPr>
            <w:tcW w:w="1520" w:type="dxa"/>
            <w:tcBorders>
              <w:top w:val="nil"/>
              <w:left w:val="nil"/>
              <w:bottom w:val="nil"/>
              <w:right w:val="single" w:sz="4" w:space="0" w:color="auto"/>
            </w:tcBorders>
            <w:shd w:val="clear" w:color="auto" w:fill="auto"/>
            <w:noWrap/>
            <w:vAlign w:val="bottom"/>
          </w:tcPr>
          <w:p w14:paraId="0604E92C"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SDF.E083</w:t>
            </w:r>
          </w:p>
        </w:tc>
      </w:tr>
      <w:tr w:rsidR="00BA528E" w:rsidRPr="00BA528E" w14:paraId="372C8682" w14:textId="77777777" w:rsidTr="0015273C">
        <w:trPr>
          <w:trHeight w:val="255"/>
        </w:trPr>
        <w:tc>
          <w:tcPr>
            <w:tcW w:w="852" w:type="dxa"/>
            <w:tcBorders>
              <w:top w:val="nil"/>
              <w:left w:val="single" w:sz="4" w:space="0" w:color="auto"/>
              <w:bottom w:val="nil"/>
              <w:right w:val="single" w:sz="4" w:space="0" w:color="auto"/>
            </w:tcBorders>
            <w:shd w:val="clear" w:color="auto" w:fill="auto"/>
            <w:noWrap/>
            <w:vAlign w:val="bottom"/>
          </w:tcPr>
          <w:p w14:paraId="01EB9078"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560</w:t>
            </w:r>
          </w:p>
        </w:tc>
        <w:tc>
          <w:tcPr>
            <w:tcW w:w="9714" w:type="dxa"/>
            <w:tcBorders>
              <w:top w:val="nil"/>
              <w:left w:val="nil"/>
              <w:bottom w:val="nil"/>
            </w:tcBorders>
            <w:shd w:val="clear" w:color="auto" w:fill="auto"/>
            <w:noWrap/>
            <w:vAlign w:val="bottom"/>
          </w:tcPr>
          <w:p w14:paraId="45120C68"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TRANSFERÊNCIAS DA UNIÃO - INCISO I DO ARTIGO 5º DA LC 173/2020</w:t>
            </w:r>
          </w:p>
        </w:tc>
        <w:tc>
          <w:tcPr>
            <w:tcW w:w="906" w:type="dxa"/>
            <w:tcBorders>
              <w:top w:val="nil"/>
              <w:bottom w:val="nil"/>
              <w:right w:val="single" w:sz="4" w:space="0" w:color="auto"/>
            </w:tcBorders>
            <w:shd w:val="clear" w:color="auto" w:fill="auto"/>
            <w:noWrap/>
            <w:vAlign w:val="bottom"/>
          </w:tcPr>
          <w:p w14:paraId="6072D031"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tcPr>
          <w:p w14:paraId="2FA9D38D"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SDF.D089</w:t>
            </w:r>
          </w:p>
        </w:tc>
        <w:tc>
          <w:tcPr>
            <w:tcW w:w="1520" w:type="dxa"/>
            <w:tcBorders>
              <w:top w:val="nil"/>
              <w:left w:val="nil"/>
              <w:bottom w:val="nil"/>
              <w:right w:val="single" w:sz="4" w:space="0" w:color="auto"/>
            </w:tcBorders>
            <w:shd w:val="clear" w:color="auto" w:fill="auto"/>
            <w:noWrap/>
            <w:vAlign w:val="bottom"/>
          </w:tcPr>
          <w:p w14:paraId="21258358"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SDF.E089</w:t>
            </w:r>
          </w:p>
        </w:tc>
      </w:tr>
      <w:tr w:rsidR="00BA528E" w:rsidRPr="00BA528E" w14:paraId="7E34EBAC" w14:textId="77777777" w:rsidTr="0015273C">
        <w:trPr>
          <w:trHeight w:val="255"/>
        </w:trPr>
        <w:tc>
          <w:tcPr>
            <w:tcW w:w="852" w:type="dxa"/>
            <w:tcBorders>
              <w:top w:val="nil"/>
              <w:left w:val="single" w:sz="4" w:space="0" w:color="auto"/>
              <w:bottom w:val="nil"/>
              <w:right w:val="single" w:sz="4" w:space="0" w:color="auto"/>
            </w:tcBorders>
            <w:shd w:val="clear" w:color="auto" w:fill="auto"/>
            <w:noWrap/>
            <w:vAlign w:val="bottom"/>
            <w:hideMark/>
          </w:tcPr>
          <w:p w14:paraId="42310444"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610</w:t>
            </w:r>
          </w:p>
        </w:tc>
        <w:tc>
          <w:tcPr>
            <w:tcW w:w="9714" w:type="dxa"/>
            <w:tcBorders>
              <w:top w:val="nil"/>
              <w:left w:val="nil"/>
              <w:bottom w:val="nil"/>
            </w:tcBorders>
            <w:shd w:val="clear" w:color="auto" w:fill="auto"/>
            <w:noWrap/>
            <w:vAlign w:val="bottom"/>
            <w:hideMark/>
          </w:tcPr>
          <w:p w14:paraId="6D7D72C7"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CONTRIBUIÇÃO DE INTERVENÇÃO NO DOMÍNIO ECONÔMICO - CIDE</w:t>
            </w:r>
          </w:p>
        </w:tc>
        <w:tc>
          <w:tcPr>
            <w:tcW w:w="906" w:type="dxa"/>
            <w:tcBorders>
              <w:top w:val="nil"/>
              <w:bottom w:val="nil"/>
              <w:right w:val="single" w:sz="4" w:space="0" w:color="auto"/>
            </w:tcBorders>
            <w:shd w:val="clear" w:color="auto" w:fill="auto"/>
            <w:noWrap/>
            <w:vAlign w:val="bottom"/>
          </w:tcPr>
          <w:p w14:paraId="00A9207A"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hideMark/>
          </w:tcPr>
          <w:p w14:paraId="734F9640"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SDF.D037</w:t>
            </w:r>
          </w:p>
        </w:tc>
        <w:tc>
          <w:tcPr>
            <w:tcW w:w="1520" w:type="dxa"/>
            <w:tcBorders>
              <w:top w:val="nil"/>
              <w:left w:val="nil"/>
              <w:bottom w:val="nil"/>
              <w:right w:val="single" w:sz="4" w:space="0" w:color="auto"/>
            </w:tcBorders>
            <w:shd w:val="clear" w:color="auto" w:fill="auto"/>
            <w:noWrap/>
            <w:vAlign w:val="bottom"/>
            <w:hideMark/>
          </w:tcPr>
          <w:p w14:paraId="4F43FC5A"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SDF.E037</w:t>
            </w:r>
          </w:p>
        </w:tc>
      </w:tr>
      <w:tr w:rsidR="00BA528E" w:rsidRPr="00BA528E" w14:paraId="7C1D0A77" w14:textId="77777777" w:rsidTr="0015273C">
        <w:trPr>
          <w:trHeight w:val="255"/>
        </w:trPr>
        <w:tc>
          <w:tcPr>
            <w:tcW w:w="852" w:type="dxa"/>
            <w:tcBorders>
              <w:top w:val="nil"/>
              <w:left w:val="single" w:sz="4" w:space="0" w:color="auto"/>
              <w:bottom w:val="nil"/>
              <w:right w:val="single" w:sz="4" w:space="0" w:color="auto"/>
            </w:tcBorders>
            <w:shd w:val="clear" w:color="auto" w:fill="auto"/>
            <w:noWrap/>
            <w:vAlign w:val="bottom"/>
            <w:hideMark/>
          </w:tcPr>
          <w:p w14:paraId="4F4223AA"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620</w:t>
            </w:r>
          </w:p>
        </w:tc>
        <w:tc>
          <w:tcPr>
            <w:tcW w:w="9714" w:type="dxa"/>
            <w:tcBorders>
              <w:top w:val="nil"/>
              <w:left w:val="nil"/>
              <w:bottom w:val="nil"/>
            </w:tcBorders>
            <w:shd w:val="clear" w:color="auto" w:fill="auto"/>
            <w:noWrap/>
            <w:vAlign w:val="bottom"/>
            <w:hideMark/>
          </w:tcPr>
          <w:p w14:paraId="375F061A"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CONTRIBUIÇÃO PARA O CUSTEIO DO SERVIÇO DE ILUMINAÇÃO PÚBLICA - COSIP</w:t>
            </w:r>
          </w:p>
        </w:tc>
        <w:tc>
          <w:tcPr>
            <w:tcW w:w="906" w:type="dxa"/>
            <w:tcBorders>
              <w:top w:val="nil"/>
              <w:bottom w:val="nil"/>
              <w:right w:val="single" w:sz="4" w:space="0" w:color="auto"/>
            </w:tcBorders>
            <w:shd w:val="clear" w:color="auto" w:fill="auto"/>
            <w:noWrap/>
            <w:vAlign w:val="bottom"/>
          </w:tcPr>
          <w:p w14:paraId="5379E903"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hideMark/>
          </w:tcPr>
          <w:p w14:paraId="06ED0291"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SDF.D038</w:t>
            </w:r>
          </w:p>
        </w:tc>
        <w:tc>
          <w:tcPr>
            <w:tcW w:w="1520" w:type="dxa"/>
            <w:tcBorders>
              <w:top w:val="nil"/>
              <w:left w:val="nil"/>
              <w:bottom w:val="nil"/>
              <w:right w:val="single" w:sz="4" w:space="0" w:color="auto"/>
            </w:tcBorders>
            <w:shd w:val="clear" w:color="auto" w:fill="auto"/>
            <w:noWrap/>
            <w:vAlign w:val="bottom"/>
            <w:hideMark/>
          </w:tcPr>
          <w:p w14:paraId="4D882C6C"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SDF.E038</w:t>
            </w:r>
          </w:p>
        </w:tc>
      </w:tr>
      <w:tr w:rsidR="00BA528E" w:rsidRPr="00BA528E" w14:paraId="38D9B9F9" w14:textId="77777777" w:rsidTr="0015273C">
        <w:trPr>
          <w:trHeight w:val="255"/>
        </w:trPr>
        <w:tc>
          <w:tcPr>
            <w:tcW w:w="852" w:type="dxa"/>
            <w:tcBorders>
              <w:top w:val="nil"/>
              <w:left w:val="single" w:sz="4" w:space="0" w:color="auto"/>
              <w:bottom w:val="nil"/>
              <w:right w:val="single" w:sz="4" w:space="0" w:color="auto"/>
            </w:tcBorders>
            <w:shd w:val="clear" w:color="auto" w:fill="auto"/>
            <w:noWrap/>
            <w:vAlign w:val="bottom"/>
            <w:hideMark/>
          </w:tcPr>
          <w:p w14:paraId="01277244"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630</w:t>
            </w:r>
          </w:p>
        </w:tc>
        <w:tc>
          <w:tcPr>
            <w:tcW w:w="9714" w:type="dxa"/>
            <w:tcBorders>
              <w:top w:val="nil"/>
              <w:left w:val="nil"/>
              <w:bottom w:val="nil"/>
            </w:tcBorders>
            <w:shd w:val="clear" w:color="auto" w:fill="auto"/>
            <w:noWrap/>
            <w:vAlign w:val="bottom"/>
            <w:hideMark/>
          </w:tcPr>
          <w:p w14:paraId="61575811"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RECURSOS VINCULADOS AO TRÂNSITO</w:t>
            </w:r>
          </w:p>
        </w:tc>
        <w:tc>
          <w:tcPr>
            <w:tcW w:w="906" w:type="dxa"/>
            <w:tcBorders>
              <w:top w:val="nil"/>
              <w:bottom w:val="nil"/>
              <w:right w:val="single" w:sz="4" w:space="0" w:color="auto"/>
            </w:tcBorders>
            <w:shd w:val="clear" w:color="auto" w:fill="auto"/>
            <w:noWrap/>
            <w:vAlign w:val="bottom"/>
          </w:tcPr>
          <w:p w14:paraId="6EDA7B4F"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hideMark/>
          </w:tcPr>
          <w:p w14:paraId="4EB98A06"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SDF.D039</w:t>
            </w:r>
          </w:p>
        </w:tc>
        <w:tc>
          <w:tcPr>
            <w:tcW w:w="1520" w:type="dxa"/>
            <w:tcBorders>
              <w:top w:val="nil"/>
              <w:left w:val="nil"/>
              <w:bottom w:val="nil"/>
              <w:right w:val="single" w:sz="4" w:space="0" w:color="auto"/>
            </w:tcBorders>
            <w:shd w:val="clear" w:color="auto" w:fill="auto"/>
            <w:noWrap/>
            <w:vAlign w:val="bottom"/>
            <w:hideMark/>
          </w:tcPr>
          <w:p w14:paraId="3EF0D9A1"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SDF.E039</w:t>
            </w:r>
          </w:p>
        </w:tc>
      </w:tr>
      <w:tr w:rsidR="00BA528E" w:rsidRPr="00BA528E" w14:paraId="52169B6D" w14:textId="77777777" w:rsidTr="0015273C">
        <w:trPr>
          <w:trHeight w:val="255"/>
        </w:trPr>
        <w:tc>
          <w:tcPr>
            <w:tcW w:w="852" w:type="dxa"/>
            <w:tcBorders>
              <w:top w:val="nil"/>
              <w:left w:val="single" w:sz="4" w:space="0" w:color="auto"/>
              <w:bottom w:val="nil"/>
              <w:right w:val="single" w:sz="4" w:space="0" w:color="auto"/>
            </w:tcBorders>
            <w:shd w:val="clear" w:color="auto" w:fill="auto"/>
            <w:noWrap/>
            <w:vAlign w:val="bottom"/>
            <w:hideMark/>
          </w:tcPr>
          <w:p w14:paraId="13C0600C"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530</w:t>
            </w:r>
          </w:p>
        </w:tc>
        <w:tc>
          <w:tcPr>
            <w:tcW w:w="9714" w:type="dxa"/>
            <w:tcBorders>
              <w:top w:val="nil"/>
              <w:left w:val="nil"/>
              <w:bottom w:val="nil"/>
            </w:tcBorders>
            <w:shd w:val="clear" w:color="auto" w:fill="auto"/>
            <w:noWrap/>
            <w:vAlign w:val="bottom"/>
            <w:hideMark/>
          </w:tcPr>
          <w:p w14:paraId="563176FD"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TRANSFERÊNCIA DA UNIÃO REFERENTE ROYALTIES DO PETRÓLEO</w:t>
            </w:r>
          </w:p>
        </w:tc>
        <w:tc>
          <w:tcPr>
            <w:tcW w:w="906" w:type="dxa"/>
            <w:tcBorders>
              <w:top w:val="nil"/>
              <w:bottom w:val="nil"/>
              <w:right w:val="single" w:sz="4" w:space="0" w:color="auto"/>
            </w:tcBorders>
            <w:shd w:val="clear" w:color="auto" w:fill="auto"/>
            <w:noWrap/>
            <w:vAlign w:val="bottom"/>
          </w:tcPr>
          <w:p w14:paraId="42AE9E74"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hideMark/>
          </w:tcPr>
          <w:p w14:paraId="40019A1D"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SDF.D040</w:t>
            </w:r>
          </w:p>
        </w:tc>
        <w:tc>
          <w:tcPr>
            <w:tcW w:w="1520" w:type="dxa"/>
            <w:tcBorders>
              <w:top w:val="nil"/>
              <w:left w:val="nil"/>
              <w:bottom w:val="nil"/>
              <w:right w:val="single" w:sz="4" w:space="0" w:color="auto"/>
            </w:tcBorders>
            <w:shd w:val="clear" w:color="auto" w:fill="auto"/>
            <w:noWrap/>
            <w:vAlign w:val="bottom"/>
            <w:hideMark/>
          </w:tcPr>
          <w:p w14:paraId="18821970"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SDF.E040</w:t>
            </w:r>
          </w:p>
        </w:tc>
      </w:tr>
      <w:tr w:rsidR="00BA528E" w:rsidRPr="00BA528E" w14:paraId="46E62A95" w14:textId="77777777" w:rsidTr="0015273C">
        <w:trPr>
          <w:trHeight w:val="255"/>
        </w:trPr>
        <w:tc>
          <w:tcPr>
            <w:tcW w:w="852" w:type="dxa"/>
            <w:tcBorders>
              <w:top w:val="nil"/>
              <w:left w:val="single" w:sz="4" w:space="0" w:color="auto"/>
              <w:bottom w:val="nil"/>
              <w:right w:val="single" w:sz="4" w:space="0" w:color="auto"/>
            </w:tcBorders>
            <w:shd w:val="clear" w:color="auto" w:fill="auto"/>
            <w:noWrap/>
            <w:vAlign w:val="bottom"/>
            <w:hideMark/>
          </w:tcPr>
          <w:p w14:paraId="48559836"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540</w:t>
            </w:r>
          </w:p>
        </w:tc>
        <w:tc>
          <w:tcPr>
            <w:tcW w:w="9714" w:type="dxa"/>
            <w:tcBorders>
              <w:top w:val="nil"/>
              <w:left w:val="nil"/>
              <w:bottom w:val="nil"/>
            </w:tcBorders>
            <w:shd w:val="clear" w:color="auto" w:fill="auto"/>
            <w:noWrap/>
            <w:vAlign w:val="bottom"/>
            <w:hideMark/>
          </w:tcPr>
          <w:p w14:paraId="16BD33E0"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TRANSFERÊNCIA DOS ESTADOS REFERENTE  ROYALTIES DO PETRÓLEO</w:t>
            </w:r>
          </w:p>
        </w:tc>
        <w:tc>
          <w:tcPr>
            <w:tcW w:w="906" w:type="dxa"/>
            <w:tcBorders>
              <w:top w:val="nil"/>
              <w:bottom w:val="nil"/>
              <w:right w:val="single" w:sz="4" w:space="0" w:color="auto"/>
            </w:tcBorders>
            <w:shd w:val="clear" w:color="auto" w:fill="auto"/>
            <w:noWrap/>
            <w:vAlign w:val="bottom"/>
          </w:tcPr>
          <w:p w14:paraId="737BCD32"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hideMark/>
          </w:tcPr>
          <w:p w14:paraId="6F7BF989"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SDF.D041</w:t>
            </w:r>
          </w:p>
        </w:tc>
        <w:tc>
          <w:tcPr>
            <w:tcW w:w="1520" w:type="dxa"/>
            <w:tcBorders>
              <w:top w:val="nil"/>
              <w:left w:val="nil"/>
              <w:bottom w:val="nil"/>
              <w:right w:val="single" w:sz="4" w:space="0" w:color="auto"/>
            </w:tcBorders>
            <w:shd w:val="clear" w:color="auto" w:fill="auto"/>
            <w:noWrap/>
            <w:vAlign w:val="bottom"/>
            <w:hideMark/>
          </w:tcPr>
          <w:p w14:paraId="0220FF13"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SDF.E041</w:t>
            </w:r>
          </w:p>
        </w:tc>
      </w:tr>
      <w:tr w:rsidR="00BA528E" w:rsidRPr="00BA528E" w14:paraId="34FFCEB6" w14:textId="77777777" w:rsidTr="0015273C">
        <w:trPr>
          <w:trHeight w:val="255"/>
        </w:trPr>
        <w:tc>
          <w:tcPr>
            <w:tcW w:w="852" w:type="dxa"/>
            <w:tcBorders>
              <w:top w:val="nil"/>
              <w:left w:val="single" w:sz="4" w:space="0" w:color="auto"/>
              <w:bottom w:val="nil"/>
              <w:right w:val="single" w:sz="4" w:space="0" w:color="auto"/>
            </w:tcBorders>
            <w:shd w:val="clear" w:color="auto" w:fill="auto"/>
            <w:noWrap/>
            <w:vAlign w:val="bottom"/>
          </w:tcPr>
          <w:p w14:paraId="7BA8008F"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910</w:t>
            </w:r>
          </w:p>
        </w:tc>
        <w:tc>
          <w:tcPr>
            <w:tcW w:w="9714" w:type="dxa"/>
            <w:tcBorders>
              <w:top w:val="nil"/>
              <w:left w:val="nil"/>
              <w:bottom w:val="nil"/>
            </w:tcBorders>
            <w:shd w:val="clear" w:color="auto" w:fill="auto"/>
            <w:noWrap/>
            <w:vAlign w:val="bottom"/>
          </w:tcPr>
          <w:p w14:paraId="772A64C8"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RECURSOS PRÓPRIOS DOS CONSÓRCIOS</w:t>
            </w:r>
          </w:p>
        </w:tc>
        <w:tc>
          <w:tcPr>
            <w:tcW w:w="906" w:type="dxa"/>
            <w:tcBorders>
              <w:top w:val="nil"/>
              <w:bottom w:val="nil"/>
              <w:right w:val="single" w:sz="4" w:space="0" w:color="auto"/>
            </w:tcBorders>
            <w:shd w:val="clear" w:color="auto" w:fill="auto"/>
            <w:noWrap/>
            <w:vAlign w:val="bottom"/>
          </w:tcPr>
          <w:p w14:paraId="30695028"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tcPr>
          <w:p w14:paraId="5334DFFA"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SDF.D082</w:t>
            </w:r>
          </w:p>
        </w:tc>
        <w:tc>
          <w:tcPr>
            <w:tcW w:w="1520" w:type="dxa"/>
            <w:tcBorders>
              <w:top w:val="nil"/>
              <w:left w:val="nil"/>
              <w:bottom w:val="nil"/>
              <w:right w:val="single" w:sz="4" w:space="0" w:color="auto"/>
            </w:tcBorders>
            <w:shd w:val="clear" w:color="auto" w:fill="auto"/>
            <w:noWrap/>
            <w:vAlign w:val="bottom"/>
          </w:tcPr>
          <w:p w14:paraId="2E8164AB"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SDF.E082</w:t>
            </w:r>
          </w:p>
        </w:tc>
      </w:tr>
      <w:tr w:rsidR="00BA528E" w:rsidRPr="00BA528E" w14:paraId="07C386D1" w14:textId="77777777" w:rsidTr="0015273C">
        <w:trPr>
          <w:trHeight w:val="255"/>
        </w:trPr>
        <w:tc>
          <w:tcPr>
            <w:tcW w:w="852" w:type="dxa"/>
            <w:tcBorders>
              <w:top w:val="nil"/>
              <w:left w:val="single" w:sz="4" w:space="0" w:color="auto"/>
              <w:bottom w:val="nil"/>
              <w:right w:val="single" w:sz="4" w:space="0" w:color="auto"/>
            </w:tcBorders>
            <w:shd w:val="clear" w:color="auto" w:fill="auto"/>
            <w:noWrap/>
            <w:vAlign w:val="bottom"/>
          </w:tcPr>
          <w:p w14:paraId="54A9E6BF"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920</w:t>
            </w:r>
          </w:p>
        </w:tc>
        <w:tc>
          <w:tcPr>
            <w:tcW w:w="9714" w:type="dxa"/>
            <w:tcBorders>
              <w:top w:val="nil"/>
              <w:left w:val="nil"/>
              <w:bottom w:val="nil"/>
            </w:tcBorders>
            <w:shd w:val="clear" w:color="auto" w:fill="auto"/>
            <w:noWrap/>
            <w:vAlign w:val="bottom"/>
          </w:tcPr>
          <w:p w14:paraId="150603EF"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RECURSOS DE OPERAÇÕES DE CRÉDITO - INTERNA E EXTERNA</w:t>
            </w:r>
          </w:p>
        </w:tc>
        <w:tc>
          <w:tcPr>
            <w:tcW w:w="906" w:type="dxa"/>
            <w:tcBorders>
              <w:top w:val="nil"/>
              <w:right w:val="single" w:sz="4" w:space="0" w:color="auto"/>
            </w:tcBorders>
            <w:shd w:val="clear" w:color="auto" w:fill="auto"/>
            <w:noWrap/>
            <w:vAlign w:val="bottom"/>
          </w:tcPr>
          <w:p w14:paraId="22D1936F"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tcPr>
          <w:p w14:paraId="5D11D839" w14:textId="77777777" w:rsidR="00BA528E" w:rsidRPr="00BA528E" w:rsidRDefault="00BA528E"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SDF.D071</w:t>
            </w:r>
          </w:p>
        </w:tc>
        <w:tc>
          <w:tcPr>
            <w:tcW w:w="1520" w:type="dxa"/>
            <w:tcBorders>
              <w:top w:val="nil"/>
              <w:left w:val="nil"/>
              <w:bottom w:val="nil"/>
              <w:right w:val="single" w:sz="4" w:space="0" w:color="auto"/>
            </w:tcBorders>
            <w:shd w:val="clear" w:color="auto" w:fill="auto"/>
            <w:noWrap/>
            <w:vAlign w:val="bottom"/>
          </w:tcPr>
          <w:p w14:paraId="10A0E6D0" w14:textId="77777777" w:rsidR="00BA528E" w:rsidRPr="00BA528E" w:rsidRDefault="00BA528E"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SDF.E071</w:t>
            </w:r>
          </w:p>
        </w:tc>
      </w:tr>
      <w:tr w:rsidR="00BA528E" w:rsidRPr="00BA528E" w14:paraId="2A2A9D52" w14:textId="77777777" w:rsidTr="0015273C">
        <w:trPr>
          <w:trHeight w:val="255"/>
        </w:trPr>
        <w:tc>
          <w:tcPr>
            <w:tcW w:w="852" w:type="dxa"/>
            <w:tcBorders>
              <w:top w:val="nil"/>
              <w:left w:val="single" w:sz="4" w:space="0" w:color="auto"/>
              <w:bottom w:val="nil"/>
              <w:right w:val="single" w:sz="4" w:space="0" w:color="auto"/>
            </w:tcBorders>
            <w:shd w:val="clear" w:color="auto" w:fill="auto"/>
            <w:noWrap/>
            <w:vAlign w:val="bottom"/>
            <w:hideMark/>
          </w:tcPr>
          <w:p w14:paraId="7317BDD0"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930</w:t>
            </w:r>
          </w:p>
        </w:tc>
        <w:tc>
          <w:tcPr>
            <w:tcW w:w="9714" w:type="dxa"/>
            <w:tcBorders>
              <w:top w:val="nil"/>
              <w:left w:val="nil"/>
              <w:bottom w:val="nil"/>
            </w:tcBorders>
            <w:shd w:val="clear" w:color="auto" w:fill="auto"/>
            <w:noWrap/>
            <w:vAlign w:val="bottom"/>
            <w:hideMark/>
          </w:tcPr>
          <w:p w14:paraId="70D9D61C"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RECURSOS DE ALIENAÇÃO DE BENS/ATIVOS</w:t>
            </w:r>
          </w:p>
        </w:tc>
        <w:tc>
          <w:tcPr>
            <w:tcW w:w="906" w:type="dxa"/>
            <w:tcBorders>
              <w:top w:val="nil"/>
              <w:bottom w:val="nil"/>
              <w:right w:val="single" w:sz="4" w:space="0" w:color="auto"/>
            </w:tcBorders>
            <w:shd w:val="clear" w:color="auto" w:fill="auto"/>
            <w:noWrap/>
            <w:vAlign w:val="bottom"/>
          </w:tcPr>
          <w:p w14:paraId="6FF7F29F"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hideMark/>
          </w:tcPr>
          <w:p w14:paraId="1623A0BF"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SDF.D044</w:t>
            </w:r>
          </w:p>
        </w:tc>
        <w:tc>
          <w:tcPr>
            <w:tcW w:w="1520" w:type="dxa"/>
            <w:tcBorders>
              <w:top w:val="nil"/>
              <w:left w:val="nil"/>
              <w:bottom w:val="nil"/>
              <w:right w:val="single" w:sz="4" w:space="0" w:color="auto"/>
            </w:tcBorders>
            <w:shd w:val="clear" w:color="auto" w:fill="auto"/>
            <w:noWrap/>
            <w:vAlign w:val="bottom"/>
            <w:hideMark/>
          </w:tcPr>
          <w:p w14:paraId="6FDA70E9"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SDF.E044</w:t>
            </w:r>
          </w:p>
        </w:tc>
      </w:tr>
      <w:tr w:rsidR="00BA528E" w:rsidRPr="00BA528E" w14:paraId="24363C89" w14:textId="77777777" w:rsidTr="0015273C">
        <w:trPr>
          <w:trHeight w:val="255"/>
        </w:trPr>
        <w:tc>
          <w:tcPr>
            <w:tcW w:w="852" w:type="dxa"/>
            <w:tcBorders>
              <w:top w:val="nil"/>
              <w:left w:val="single" w:sz="4" w:space="0" w:color="auto"/>
              <w:bottom w:val="nil"/>
              <w:right w:val="single" w:sz="4" w:space="0" w:color="auto"/>
            </w:tcBorders>
            <w:shd w:val="clear" w:color="auto" w:fill="auto"/>
            <w:noWrap/>
            <w:vAlign w:val="bottom"/>
          </w:tcPr>
          <w:p w14:paraId="3FE2243D"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940</w:t>
            </w:r>
          </w:p>
        </w:tc>
        <w:tc>
          <w:tcPr>
            <w:tcW w:w="9714" w:type="dxa"/>
            <w:tcBorders>
              <w:top w:val="nil"/>
              <w:left w:val="nil"/>
              <w:bottom w:val="nil"/>
            </w:tcBorders>
            <w:shd w:val="clear" w:color="auto" w:fill="auto"/>
            <w:noWrap/>
            <w:vAlign w:val="bottom"/>
          </w:tcPr>
          <w:p w14:paraId="6194FCA5"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OUTRAS VINCULAÇÕES DE TRANSFERÊNCIAS</w:t>
            </w:r>
          </w:p>
        </w:tc>
        <w:tc>
          <w:tcPr>
            <w:tcW w:w="906" w:type="dxa"/>
            <w:tcBorders>
              <w:top w:val="nil"/>
              <w:bottom w:val="nil"/>
              <w:right w:val="single" w:sz="4" w:space="0" w:color="auto"/>
            </w:tcBorders>
            <w:shd w:val="clear" w:color="auto" w:fill="auto"/>
            <w:noWrap/>
            <w:vAlign w:val="bottom"/>
          </w:tcPr>
          <w:p w14:paraId="2BAD2088"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tcPr>
          <w:p w14:paraId="2BC5CC09"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SDF.D072</w:t>
            </w:r>
          </w:p>
        </w:tc>
        <w:tc>
          <w:tcPr>
            <w:tcW w:w="1520" w:type="dxa"/>
            <w:tcBorders>
              <w:top w:val="nil"/>
              <w:left w:val="nil"/>
              <w:bottom w:val="nil"/>
              <w:right w:val="single" w:sz="4" w:space="0" w:color="auto"/>
            </w:tcBorders>
            <w:shd w:val="clear" w:color="auto" w:fill="auto"/>
            <w:noWrap/>
            <w:vAlign w:val="bottom"/>
          </w:tcPr>
          <w:p w14:paraId="5E314BCF"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SDF.E072</w:t>
            </w:r>
          </w:p>
        </w:tc>
      </w:tr>
      <w:tr w:rsidR="00BA528E" w:rsidRPr="00BA528E" w14:paraId="6EB39615" w14:textId="77777777" w:rsidTr="0015273C">
        <w:trPr>
          <w:trHeight w:val="255"/>
        </w:trPr>
        <w:tc>
          <w:tcPr>
            <w:tcW w:w="852" w:type="dxa"/>
            <w:tcBorders>
              <w:top w:val="nil"/>
              <w:left w:val="single" w:sz="4" w:space="0" w:color="auto"/>
              <w:bottom w:val="nil"/>
              <w:right w:val="single" w:sz="4" w:space="0" w:color="auto"/>
            </w:tcBorders>
            <w:shd w:val="clear" w:color="auto" w:fill="auto"/>
            <w:noWrap/>
            <w:vAlign w:val="bottom"/>
          </w:tcPr>
          <w:p w14:paraId="4FBD22AB"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950</w:t>
            </w:r>
          </w:p>
        </w:tc>
        <w:tc>
          <w:tcPr>
            <w:tcW w:w="9714" w:type="dxa"/>
            <w:tcBorders>
              <w:top w:val="nil"/>
              <w:left w:val="nil"/>
              <w:bottom w:val="nil"/>
            </w:tcBorders>
            <w:shd w:val="clear" w:color="auto" w:fill="auto"/>
            <w:noWrap/>
            <w:vAlign w:val="bottom"/>
          </w:tcPr>
          <w:p w14:paraId="25E7DE3A"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OUTRAS VINCULAÇÕES DE TAXAS E CONTRIBUIÇÕES</w:t>
            </w:r>
          </w:p>
        </w:tc>
        <w:tc>
          <w:tcPr>
            <w:tcW w:w="906" w:type="dxa"/>
            <w:tcBorders>
              <w:top w:val="nil"/>
              <w:bottom w:val="nil"/>
              <w:right w:val="single" w:sz="4" w:space="0" w:color="auto"/>
            </w:tcBorders>
            <w:shd w:val="clear" w:color="auto" w:fill="auto"/>
            <w:noWrap/>
            <w:vAlign w:val="bottom"/>
          </w:tcPr>
          <w:p w14:paraId="4B452452"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tcPr>
          <w:p w14:paraId="368F420B"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SDF.D073</w:t>
            </w:r>
          </w:p>
        </w:tc>
        <w:tc>
          <w:tcPr>
            <w:tcW w:w="1520" w:type="dxa"/>
            <w:tcBorders>
              <w:top w:val="nil"/>
              <w:left w:val="nil"/>
              <w:bottom w:val="nil"/>
              <w:right w:val="single" w:sz="4" w:space="0" w:color="auto"/>
            </w:tcBorders>
            <w:shd w:val="clear" w:color="auto" w:fill="auto"/>
            <w:noWrap/>
            <w:vAlign w:val="bottom"/>
          </w:tcPr>
          <w:p w14:paraId="30E57B2F"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SDF.E073</w:t>
            </w:r>
          </w:p>
        </w:tc>
      </w:tr>
      <w:tr w:rsidR="00BA528E" w:rsidRPr="00BA528E" w14:paraId="2F638626" w14:textId="77777777" w:rsidTr="0015273C">
        <w:trPr>
          <w:trHeight w:val="255"/>
        </w:trPr>
        <w:tc>
          <w:tcPr>
            <w:tcW w:w="852" w:type="dxa"/>
            <w:tcBorders>
              <w:top w:val="nil"/>
              <w:left w:val="single" w:sz="4" w:space="0" w:color="auto"/>
              <w:bottom w:val="nil"/>
              <w:right w:val="single" w:sz="4" w:space="0" w:color="auto"/>
            </w:tcBorders>
            <w:shd w:val="clear" w:color="auto" w:fill="auto"/>
            <w:noWrap/>
            <w:vAlign w:val="bottom"/>
          </w:tcPr>
          <w:p w14:paraId="7A91A5ED"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961</w:t>
            </w:r>
          </w:p>
        </w:tc>
        <w:tc>
          <w:tcPr>
            <w:tcW w:w="9714" w:type="dxa"/>
            <w:tcBorders>
              <w:top w:val="nil"/>
              <w:left w:val="nil"/>
              <w:bottom w:val="nil"/>
            </w:tcBorders>
            <w:shd w:val="clear" w:color="auto" w:fill="auto"/>
            <w:noWrap/>
            <w:vAlign w:val="bottom"/>
          </w:tcPr>
          <w:p w14:paraId="40977081"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RECURSOS DE DEPÓSITOS JUDICIAIS – LIDES DAS QUAIS O ENTE FAZ PARTE</w:t>
            </w:r>
          </w:p>
        </w:tc>
        <w:tc>
          <w:tcPr>
            <w:tcW w:w="906" w:type="dxa"/>
            <w:tcBorders>
              <w:top w:val="nil"/>
              <w:bottom w:val="nil"/>
              <w:right w:val="single" w:sz="4" w:space="0" w:color="auto"/>
            </w:tcBorders>
            <w:shd w:val="clear" w:color="auto" w:fill="auto"/>
            <w:noWrap/>
            <w:vAlign w:val="bottom"/>
          </w:tcPr>
          <w:p w14:paraId="0CC3E500"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tcPr>
          <w:p w14:paraId="5234E633"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SDF.D085</w:t>
            </w:r>
          </w:p>
        </w:tc>
        <w:tc>
          <w:tcPr>
            <w:tcW w:w="1520" w:type="dxa"/>
            <w:tcBorders>
              <w:top w:val="nil"/>
              <w:left w:val="nil"/>
              <w:bottom w:val="nil"/>
              <w:right w:val="single" w:sz="4" w:space="0" w:color="auto"/>
            </w:tcBorders>
            <w:shd w:val="clear" w:color="auto" w:fill="auto"/>
            <w:noWrap/>
            <w:vAlign w:val="bottom"/>
          </w:tcPr>
          <w:p w14:paraId="52700B04"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SDF.E085</w:t>
            </w:r>
          </w:p>
        </w:tc>
      </w:tr>
      <w:tr w:rsidR="00BA528E" w:rsidRPr="00BA528E" w14:paraId="26D80A81" w14:textId="77777777" w:rsidTr="0015273C">
        <w:trPr>
          <w:trHeight w:val="255"/>
        </w:trPr>
        <w:tc>
          <w:tcPr>
            <w:tcW w:w="852" w:type="dxa"/>
            <w:tcBorders>
              <w:top w:val="nil"/>
              <w:left w:val="single" w:sz="4" w:space="0" w:color="auto"/>
              <w:bottom w:val="nil"/>
              <w:right w:val="single" w:sz="4" w:space="0" w:color="auto"/>
            </w:tcBorders>
            <w:shd w:val="clear" w:color="auto" w:fill="auto"/>
            <w:noWrap/>
            <w:vAlign w:val="bottom"/>
          </w:tcPr>
          <w:p w14:paraId="181E36A6"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lastRenderedPageBreak/>
              <w:t>962</w:t>
            </w:r>
          </w:p>
        </w:tc>
        <w:tc>
          <w:tcPr>
            <w:tcW w:w="9714" w:type="dxa"/>
            <w:tcBorders>
              <w:top w:val="nil"/>
              <w:left w:val="nil"/>
              <w:bottom w:val="nil"/>
            </w:tcBorders>
            <w:shd w:val="clear" w:color="auto" w:fill="auto"/>
            <w:noWrap/>
            <w:vAlign w:val="bottom"/>
          </w:tcPr>
          <w:p w14:paraId="5A2345C9"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RECURSOS DE DEPÓSITOS JUDICIAIS – LIDES DAS QUAIS O ENTE NÃO FAZ PARTE</w:t>
            </w:r>
          </w:p>
        </w:tc>
        <w:tc>
          <w:tcPr>
            <w:tcW w:w="906" w:type="dxa"/>
            <w:tcBorders>
              <w:top w:val="nil"/>
              <w:bottom w:val="nil"/>
              <w:right w:val="single" w:sz="4" w:space="0" w:color="auto"/>
            </w:tcBorders>
            <w:shd w:val="clear" w:color="auto" w:fill="auto"/>
            <w:noWrap/>
            <w:vAlign w:val="bottom"/>
          </w:tcPr>
          <w:p w14:paraId="163914CD"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tcPr>
          <w:p w14:paraId="26DFBBB7"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SDF.D086</w:t>
            </w:r>
          </w:p>
        </w:tc>
        <w:tc>
          <w:tcPr>
            <w:tcW w:w="1520" w:type="dxa"/>
            <w:tcBorders>
              <w:top w:val="nil"/>
              <w:left w:val="nil"/>
              <w:bottom w:val="nil"/>
              <w:right w:val="single" w:sz="4" w:space="0" w:color="auto"/>
            </w:tcBorders>
            <w:shd w:val="clear" w:color="auto" w:fill="auto"/>
            <w:noWrap/>
            <w:vAlign w:val="bottom"/>
          </w:tcPr>
          <w:p w14:paraId="70311AA4"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SDF.E086</w:t>
            </w:r>
          </w:p>
        </w:tc>
      </w:tr>
      <w:tr w:rsidR="00BA528E" w:rsidRPr="00BA528E" w14:paraId="376DE852" w14:textId="77777777" w:rsidTr="0015273C">
        <w:trPr>
          <w:trHeight w:val="255"/>
        </w:trPr>
        <w:tc>
          <w:tcPr>
            <w:tcW w:w="852" w:type="dxa"/>
            <w:tcBorders>
              <w:top w:val="nil"/>
              <w:left w:val="single" w:sz="4" w:space="0" w:color="auto"/>
              <w:bottom w:val="nil"/>
              <w:right w:val="single" w:sz="4" w:space="0" w:color="auto"/>
            </w:tcBorders>
            <w:shd w:val="clear" w:color="auto" w:fill="auto"/>
            <w:noWrap/>
            <w:vAlign w:val="bottom"/>
          </w:tcPr>
          <w:p w14:paraId="4917B355"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971</w:t>
            </w:r>
          </w:p>
        </w:tc>
        <w:tc>
          <w:tcPr>
            <w:tcW w:w="9714" w:type="dxa"/>
            <w:tcBorders>
              <w:top w:val="nil"/>
              <w:left w:val="nil"/>
              <w:bottom w:val="nil"/>
            </w:tcBorders>
            <w:shd w:val="clear" w:color="auto" w:fill="auto"/>
            <w:noWrap/>
            <w:vAlign w:val="bottom"/>
          </w:tcPr>
          <w:p w14:paraId="2D478DC2"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RECURSOS EXTRAORÇAMENTÁRIOS VINCULADOS A PRECATÓRIOS</w:t>
            </w:r>
          </w:p>
        </w:tc>
        <w:tc>
          <w:tcPr>
            <w:tcW w:w="906" w:type="dxa"/>
            <w:tcBorders>
              <w:top w:val="nil"/>
              <w:bottom w:val="nil"/>
              <w:right w:val="single" w:sz="4" w:space="0" w:color="auto"/>
            </w:tcBorders>
            <w:shd w:val="clear" w:color="auto" w:fill="auto"/>
            <w:noWrap/>
            <w:vAlign w:val="bottom"/>
          </w:tcPr>
          <w:p w14:paraId="2D162910"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tcPr>
          <w:p w14:paraId="46321FA2"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SDF.D074</w:t>
            </w:r>
          </w:p>
        </w:tc>
        <w:tc>
          <w:tcPr>
            <w:tcW w:w="1520" w:type="dxa"/>
            <w:tcBorders>
              <w:top w:val="nil"/>
              <w:left w:val="nil"/>
              <w:bottom w:val="nil"/>
              <w:right w:val="single" w:sz="4" w:space="0" w:color="auto"/>
            </w:tcBorders>
            <w:shd w:val="clear" w:color="auto" w:fill="auto"/>
            <w:noWrap/>
            <w:vAlign w:val="bottom"/>
          </w:tcPr>
          <w:p w14:paraId="0BF45502"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SDF.E074</w:t>
            </w:r>
          </w:p>
        </w:tc>
      </w:tr>
      <w:tr w:rsidR="00BA528E" w:rsidRPr="00BA528E" w14:paraId="6785FEE3" w14:textId="77777777" w:rsidTr="0015273C">
        <w:trPr>
          <w:trHeight w:val="255"/>
        </w:trPr>
        <w:tc>
          <w:tcPr>
            <w:tcW w:w="852" w:type="dxa"/>
            <w:tcBorders>
              <w:top w:val="nil"/>
              <w:left w:val="single" w:sz="4" w:space="0" w:color="auto"/>
              <w:bottom w:val="nil"/>
              <w:right w:val="single" w:sz="4" w:space="0" w:color="auto"/>
            </w:tcBorders>
            <w:shd w:val="clear" w:color="auto" w:fill="auto"/>
            <w:noWrap/>
            <w:vAlign w:val="bottom"/>
          </w:tcPr>
          <w:p w14:paraId="0E766D48"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972</w:t>
            </w:r>
          </w:p>
        </w:tc>
        <w:tc>
          <w:tcPr>
            <w:tcW w:w="9714" w:type="dxa"/>
            <w:tcBorders>
              <w:top w:val="nil"/>
              <w:left w:val="nil"/>
              <w:bottom w:val="nil"/>
            </w:tcBorders>
            <w:shd w:val="clear" w:color="auto" w:fill="auto"/>
            <w:noWrap/>
            <w:vAlign w:val="bottom"/>
          </w:tcPr>
          <w:p w14:paraId="704B0E50"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RECURSOS EXTRAORÇAMENTÁRIOS VINCULADOS A DEPÓSITOS JUDICIAIS</w:t>
            </w:r>
          </w:p>
        </w:tc>
        <w:tc>
          <w:tcPr>
            <w:tcW w:w="906" w:type="dxa"/>
            <w:tcBorders>
              <w:top w:val="nil"/>
              <w:bottom w:val="nil"/>
              <w:right w:val="single" w:sz="4" w:space="0" w:color="auto"/>
            </w:tcBorders>
            <w:shd w:val="clear" w:color="auto" w:fill="auto"/>
            <w:noWrap/>
            <w:vAlign w:val="bottom"/>
          </w:tcPr>
          <w:p w14:paraId="0A7104E2"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tcPr>
          <w:p w14:paraId="2CD50248"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SDF.D075</w:t>
            </w:r>
          </w:p>
        </w:tc>
        <w:tc>
          <w:tcPr>
            <w:tcW w:w="1520" w:type="dxa"/>
            <w:tcBorders>
              <w:top w:val="nil"/>
              <w:left w:val="nil"/>
              <w:bottom w:val="nil"/>
              <w:right w:val="single" w:sz="4" w:space="0" w:color="auto"/>
            </w:tcBorders>
            <w:shd w:val="clear" w:color="auto" w:fill="auto"/>
            <w:noWrap/>
            <w:vAlign w:val="bottom"/>
          </w:tcPr>
          <w:p w14:paraId="02C55622"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SDF.E075</w:t>
            </w:r>
          </w:p>
        </w:tc>
      </w:tr>
      <w:tr w:rsidR="00BA528E" w:rsidRPr="00BA528E" w14:paraId="7C16EDAD" w14:textId="77777777" w:rsidTr="0015273C">
        <w:trPr>
          <w:trHeight w:val="255"/>
        </w:trPr>
        <w:tc>
          <w:tcPr>
            <w:tcW w:w="852" w:type="dxa"/>
            <w:tcBorders>
              <w:top w:val="nil"/>
              <w:left w:val="single" w:sz="4" w:space="0" w:color="auto"/>
              <w:bottom w:val="nil"/>
              <w:right w:val="single" w:sz="4" w:space="0" w:color="auto"/>
            </w:tcBorders>
            <w:shd w:val="clear" w:color="auto" w:fill="auto"/>
            <w:noWrap/>
            <w:vAlign w:val="bottom"/>
          </w:tcPr>
          <w:p w14:paraId="1A902E93"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979</w:t>
            </w:r>
          </w:p>
        </w:tc>
        <w:tc>
          <w:tcPr>
            <w:tcW w:w="9714" w:type="dxa"/>
            <w:tcBorders>
              <w:top w:val="nil"/>
              <w:left w:val="nil"/>
              <w:bottom w:val="nil"/>
            </w:tcBorders>
            <w:shd w:val="clear" w:color="auto" w:fill="auto"/>
            <w:noWrap/>
            <w:vAlign w:val="bottom"/>
          </w:tcPr>
          <w:p w14:paraId="28577B4B"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OUTROS RECURSOS EXTRAORÇAMENTÁRIOS</w:t>
            </w:r>
          </w:p>
        </w:tc>
        <w:tc>
          <w:tcPr>
            <w:tcW w:w="906" w:type="dxa"/>
            <w:tcBorders>
              <w:top w:val="nil"/>
              <w:bottom w:val="nil"/>
              <w:right w:val="single" w:sz="4" w:space="0" w:color="auto"/>
            </w:tcBorders>
            <w:shd w:val="clear" w:color="auto" w:fill="auto"/>
            <w:noWrap/>
            <w:vAlign w:val="bottom"/>
          </w:tcPr>
          <w:p w14:paraId="3F21C76F"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tcPr>
          <w:p w14:paraId="0DECC957"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SDF.D076</w:t>
            </w:r>
          </w:p>
        </w:tc>
        <w:tc>
          <w:tcPr>
            <w:tcW w:w="1520" w:type="dxa"/>
            <w:tcBorders>
              <w:top w:val="nil"/>
              <w:left w:val="nil"/>
              <w:bottom w:val="nil"/>
              <w:right w:val="single" w:sz="4" w:space="0" w:color="auto"/>
            </w:tcBorders>
            <w:shd w:val="clear" w:color="auto" w:fill="auto"/>
            <w:noWrap/>
            <w:vAlign w:val="bottom"/>
          </w:tcPr>
          <w:p w14:paraId="4FF4C42E"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SDF.E076</w:t>
            </w:r>
          </w:p>
        </w:tc>
      </w:tr>
      <w:tr w:rsidR="00BA528E" w:rsidRPr="00BA528E" w14:paraId="14C05559" w14:textId="77777777" w:rsidTr="0015273C">
        <w:trPr>
          <w:trHeight w:val="255"/>
        </w:trPr>
        <w:tc>
          <w:tcPr>
            <w:tcW w:w="852" w:type="dxa"/>
            <w:tcBorders>
              <w:top w:val="nil"/>
              <w:left w:val="single" w:sz="4" w:space="0" w:color="auto"/>
              <w:bottom w:val="single" w:sz="4" w:space="0" w:color="auto"/>
              <w:right w:val="single" w:sz="4" w:space="0" w:color="auto"/>
            </w:tcBorders>
            <w:shd w:val="clear" w:color="auto" w:fill="auto"/>
            <w:noWrap/>
            <w:vAlign w:val="bottom"/>
            <w:hideMark/>
          </w:tcPr>
          <w:p w14:paraId="16A9054E"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990</w:t>
            </w:r>
          </w:p>
        </w:tc>
        <w:tc>
          <w:tcPr>
            <w:tcW w:w="9714" w:type="dxa"/>
            <w:tcBorders>
              <w:top w:val="nil"/>
              <w:left w:val="nil"/>
              <w:bottom w:val="single" w:sz="4" w:space="0" w:color="auto"/>
            </w:tcBorders>
            <w:shd w:val="clear" w:color="auto" w:fill="auto"/>
            <w:noWrap/>
            <w:vAlign w:val="bottom"/>
            <w:hideMark/>
          </w:tcPr>
          <w:p w14:paraId="6D3D33C3"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OUTROS RECURSOS VINCULADOS</w:t>
            </w:r>
          </w:p>
        </w:tc>
        <w:tc>
          <w:tcPr>
            <w:tcW w:w="906" w:type="dxa"/>
            <w:tcBorders>
              <w:top w:val="nil"/>
              <w:bottom w:val="single" w:sz="4" w:space="0" w:color="auto"/>
              <w:right w:val="single" w:sz="4" w:space="0" w:color="auto"/>
            </w:tcBorders>
            <w:shd w:val="clear" w:color="auto" w:fill="auto"/>
            <w:noWrap/>
            <w:vAlign w:val="bottom"/>
          </w:tcPr>
          <w:p w14:paraId="5FF7A30B"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single" w:sz="4" w:space="0" w:color="auto"/>
              <w:right w:val="single" w:sz="4" w:space="0" w:color="auto"/>
            </w:tcBorders>
            <w:shd w:val="clear" w:color="auto" w:fill="auto"/>
            <w:noWrap/>
            <w:vAlign w:val="bottom"/>
            <w:hideMark/>
          </w:tcPr>
          <w:p w14:paraId="3A36C9B8"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SDF.D045</w:t>
            </w:r>
          </w:p>
        </w:tc>
        <w:tc>
          <w:tcPr>
            <w:tcW w:w="1520" w:type="dxa"/>
            <w:tcBorders>
              <w:top w:val="nil"/>
              <w:left w:val="nil"/>
              <w:bottom w:val="single" w:sz="4" w:space="0" w:color="auto"/>
              <w:right w:val="single" w:sz="4" w:space="0" w:color="auto"/>
            </w:tcBorders>
            <w:shd w:val="clear" w:color="auto" w:fill="auto"/>
            <w:noWrap/>
            <w:vAlign w:val="bottom"/>
            <w:hideMark/>
          </w:tcPr>
          <w:p w14:paraId="62E560D2"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SDF.E045</w:t>
            </w:r>
          </w:p>
        </w:tc>
      </w:tr>
      <w:tr w:rsidR="00BA528E" w:rsidRPr="00BA528E" w14:paraId="17476F96" w14:textId="77777777" w:rsidTr="0015273C">
        <w:trPr>
          <w:trHeight w:val="255"/>
        </w:trPr>
        <w:tc>
          <w:tcPr>
            <w:tcW w:w="10566" w:type="dxa"/>
            <w:gridSpan w:val="2"/>
            <w:tcBorders>
              <w:top w:val="single" w:sz="4" w:space="0" w:color="auto"/>
              <w:left w:val="single" w:sz="4" w:space="0" w:color="auto"/>
              <w:bottom w:val="single" w:sz="4" w:space="0" w:color="auto"/>
            </w:tcBorders>
            <w:shd w:val="clear" w:color="000000" w:fill="auto"/>
            <w:noWrap/>
            <w:vAlign w:val="bottom"/>
            <w:hideMark/>
          </w:tcPr>
          <w:p w14:paraId="3196F0E1" w14:textId="77777777" w:rsidR="00BA528E" w:rsidRPr="00BA528E" w:rsidRDefault="00BA528E" w:rsidP="0015273C">
            <w:pPr>
              <w:spacing w:after="0" w:line="240" w:lineRule="auto"/>
              <w:rPr>
                <w:rFonts w:ascii="Arial Narrow" w:eastAsia="Times New Roman" w:hAnsi="Arial Narrow" w:cs="Arial"/>
                <w:b/>
                <w:bCs/>
                <w:sz w:val="16"/>
                <w:szCs w:val="16"/>
                <w:lang w:eastAsia="pt-BR"/>
              </w:rPr>
            </w:pPr>
            <w:r w:rsidRPr="00BA528E">
              <w:rPr>
                <w:rFonts w:ascii="Arial Narrow" w:eastAsia="Times New Roman" w:hAnsi="Arial Narrow" w:cs="Arial"/>
                <w:b/>
                <w:bCs/>
                <w:sz w:val="16"/>
                <w:szCs w:val="16"/>
                <w:lang w:eastAsia="pt-BR"/>
              </w:rPr>
              <w:t>TOTAL DAS FONTES</w:t>
            </w:r>
          </w:p>
        </w:tc>
        <w:tc>
          <w:tcPr>
            <w:tcW w:w="906" w:type="dxa"/>
            <w:tcBorders>
              <w:top w:val="single" w:sz="4" w:space="0" w:color="auto"/>
              <w:bottom w:val="single" w:sz="4" w:space="0" w:color="auto"/>
              <w:right w:val="single" w:sz="4" w:space="0" w:color="auto"/>
            </w:tcBorders>
            <w:shd w:val="clear" w:color="000000" w:fill="auto"/>
            <w:noWrap/>
            <w:vAlign w:val="bottom"/>
          </w:tcPr>
          <w:p w14:paraId="06A3AE66" w14:textId="77777777" w:rsidR="00BA528E" w:rsidRPr="00BA528E" w:rsidRDefault="00BA528E" w:rsidP="0015273C">
            <w:pPr>
              <w:spacing w:after="0" w:line="240" w:lineRule="auto"/>
              <w:jc w:val="center"/>
              <w:rPr>
                <w:rFonts w:ascii="Arial Narrow" w:eastAsia="Times New Roman" w:hAnsi="Arial Narrow" w:cs="Arial"/>
                <w:b/>
                <w:bCs/>
                <w:sz w:val="16"/>
                <w:szCs w:val="16"/>
                <w:lang w:eastAsia="pt-BR"/>
              </w:rPr>
            </w:pPr>
          </w:p>
        </w:tc>
        <w:tc>
          <w:tcPr>
            <w:tcW w:w="1309" w:type="dxa"/>
            <w:tcBorders>
              <w:top w:val="single" w:sz="4" w:space="0" w:color="auto"/>
              <w:left w:val="nil"/>
              <w:bottom w:val="single" w:sz="4" w:space="0" w:color="auto"/>
              <w:right w:val="single" w:sz="4" w:space="0" w:color="auto"/>
            </w:tcBorders>
            <w:shd w:val="clear" w:color="000000" w:fill="auto"/>
            <w:noWrap/>
            <w:vAlign w:val="bottom"/>
            <w:hideMark/>
          </w:tcPr>
          <w:p w14:paraId="50663D8B" w14:textId="77777777" w:rsidR="00BA528E" w:rsidRPr="00BA528E" w:rsidRDefault="00BA528E" w:rsidP="0015273C">
            <w:pPr>
              <w:spacing w:after="0" w:line="240" w:lineRule="auto"/>
              <w:jc w:val="center"/>
              <w:rPr>
                <w:rFonts w:ascii="Arial Narrow" w:eastAsia="Times New Roman" w:hAnsi="Arial Narrow" w:cs="Arial"/>
                <w:b/>
                <w:bCs/>
                <w:sz w:val="16"/>
                <w:szCs w:val="16"/>
                <w:lang w:eastAsia="pt-BR"/>
              </w:rPr>
            </w:pPr>
            <w:r w:rsidRPr="00BA528E">
              <w:rPr>
                <w:rFonts w:ascii="Arial Narrow" w:eastAsia="Times New Roman" w:hAnsi="Arial Narrow" w:cs="Arial"/>
                <w:b/>
                <w:bCs/>
                <w:sz w:val="16"/>
                <w:szCs w:val="16"/>
                <w:lang w:eastAsia="pt-BR"/>
              </w:rPr>
              <w:t>SDF.D046</w:t>
            </w:r>
          </w:p>
        </w:tc>
        <w:tc>
          <w:tcPr>
            <w:tcW w:w="1520" w:type="dxa"/>
            <w:tcBorders>
              <w:top w:val="single" w:sz="4" w:space="0" w:color="auto"/>
              <w:left w:val="nil"/>
              <w:bottom w:val="single" w:sz="4" w:space="0" w:color="auto"/>
              <w:right w:val="single" w:sz="4" w:space="0" w:color="auto"/>
            </w:tcBorders>
            <w:shd w:val="clear" w:color="000000" w:fill="auto"/>
            <w:noWrap/>
            <w:vAlign w:val="bottom"/>
            <w:hideMark/>
          </w:tcPr>
          <w:p w14:paraId="7D53EA10" w14:textId="77777777" w:rsidR="00BA528E" w:rsidRPr="00BA528E" w:rsidRDefault="00BA528E" w:rsidP="0015273C">
            <w:pPr>
              <w:spacing w:after="0" w:line="240" w:lineRule="auto"/>
              <w:jc w:val="center"/>
              <w:rPr>
                <w:rFonts w:ascii="Arial Narrow" w:eastAsia="Times New Roman" w:hAnsi="Arial Narrow" w:cs="Arial"/>
                <w:b/>
                <w:bCs/>
                <w:sz w:val="16"/>
                <w:szCs w:val="16"/>
                <w:lang w:eastAsia="pt-BR"/>
              </w:rPr>
            </w:pPr>
            <w:r w:rsidRPr="00BA528E">
              <w:rPr>
                <w:rFonts w:ascii="Arial Narrow" w:eastAsia="Times New Roman" w:hAnsi="Arial Narrow" w:cs="Arial"/>
                <w:b/>
                <w:bCs/>
                <w:sz w:val="16"/>
                <w:szCs w:val="16"/>
                <w:lang w:eastAsia="pt-BR"/>
              </w:rPr>
              <w:t>SDF.E046</w:t>
            </w:r>
          </w:p>
        </w:tc>
      </w:tr>
    </w:tbl>
    <w:p w14:paraId="26BA9173" w14:textId="77777777" w:rsidR="003F0939" w:rsidRDefault="003F0939" w:rsidP="00C51713">
      <w:pPr>
        <w:spacing w:after="0" w:line="240" w:lineRule="auto"/>
        <w:jc w:val="center"/>
        <w:rPr>
          <w:rFonts w:ascii="Arial" w:eastAsia="Times New Roman" w:hAnsi="Arial" w:cs="Arial"/>
          <w:b/>
          <w:bCs/>
          <w:lang w:eastAsia="pt-BR"/>
        </w:rPr>
      </w:pPr>
      <w:r>
        <w:rPr>
          <w:rFonts w:ascii="Arial" w:eastAsia="Times New Roman" w:hAnsi="Arial" w:cs="Arial"/>
          <w:b/>
          <w:bCs/>
          <w:lang w:eastAsia="pt-BR"/>
        </w:rPr>
        <w:br w:type="page"/>
      </w:r>
    </w:p>
    <w:p w14:paraId="5E6A9E80" w14:textId="77777777" w:rsidR="00C51713" w:rsidRDefault="00C51713" w:rsidP="00C51713">
      <w:pPr>
        <w:spacing w:after="0" w:line="240" w:lineRule="auto"/>
        <w:jc w:val="center"/>
        <w:rPr>
          <w:rFonts w:ascii="Arial" w:eastAsia="Times New Roman" w:hAnsi="Arial" w:cs="Arial"/>
          <w:b/>
          <w:bCs/>
          <w:lang w:eastAsia="pt-BR"/>
        </w:rPr>
      </w:pPr>
      <w:r w:rsidRPr="00FA1F55">
        <w:rPr>
          <w:rFonts w:ascii="Arial" w:eastAsia="Times New Roman" w:hAnsi="Arial" w:cs="Arial"/>
          <w:b/>
          <w:bCs/>
          <w:lang w:eastAsia="pt-BR"/>
        </w:rPr>
        <w:lastRenderedPageBreak/>
        <w:t>DEMONSTRATIVO DO SUPERÁVIT/DÉFICIT FINANCEIRO APURADO NO BALANÇO PATRIMONIAL</w:t>
      </w:r>
    </w:p>
    <w:p w14:paraId="3B4F7768" w14:textId="03C37319" w:rsidR="00C51713" w:rsidRDefault="00C51713" w:rsidP="00C51713">
      <w:pPr>
        <w:spacing w:after="0" w:line="240" w:lineRule="auto"/>
        <w:jc w:val="center"/>
        <w:rPr>
          <w:rFonts w:ascii="Arial" w:eastAsia="Times New Roman" w:hAnsi="Arial" w:cs="Arial"/>
          <w:b/>
          <w:bCs/>
          <w:lang w:eastAsia="pt-BR"/>
        </w:rPr>
      </w:pPr>
      <w:r w:rsidRPr="00C51713">
        <w:rPr>
          <w:rFonts w:ascii="Arial" w:eastAsia="Times New Roman" w:hAnsi="Arial" w:cs="Arial"/>
          <w:b/>
          <w:bCs/>
          <w:lang w:eastAsia="pt-BR"/>
        </w:rPr>
        <w:t>ESTADO</w:t>
      </w:r>
    </w:p>
    <w:p w14:paraId="7C232E77" w14:textId="5ECFC615" w:rsidR="00B95175" w:rsidRDefault="00B95175" w:rsidP="00C51713">
      <w:pPr>
        <w:spacing w:after="0" w:line="240" w:lineRule="auto"/>
        <w:jc w:val="center"/>
        <w:rPr>
          <w:rFonts w:ascii="Arial" w:eastAsia="Times New Roman" w:hAnsi="Arial" w:cs="Arial"/>
          <w:b/>
          <w:bCs/>
          <w:lang w:eastAsia="pt-BR"/>
        </w:rPr>
      </w:pPr>
    </w:p>
    <w:tbl>
      <w:tblPr>
        <w:tblW w:w="14406" w:type="dxa"/>
        <w:tblInd w:w="-289" w:type="dxa"/>
        <w:tblCellMar>
          <w:left w:w="70" w:type="dxa"/>
          <w:right w:w="70" w:type="dxa"/>
        </w:tblCellMar>
        <w:tblLook w:val="04A0" w:firstRow="1" w:lastRow="0" w:firstColumn="1" w:lastColumn="0" w:noHBand="0" w:noVBand="1"/>
      </w:tblPr>
      <w:tblGrid>
        <w:gridCol w:w="938"/>
        <w:gridCol w:w="9866"/>
        <w:gridCol w:w="970"/>
        <w:gridCol w:w="1386"/>
        <w:gridCol w:w="1246"/>
      </w:tblGrid>
      <w:tr w:rsidR="00BA528E" w:rsidRPr="00BA528E" w14:paraId="1C3DA8D3" w14:textId="77777777" w:rsidTr="0015273C">
        <w:trPr>
          <w:trHeight w:val="332"/>
        </w:trPr>
        <w:tc>
          <w:tcPr>
            <w:tcW w:w="11774" w:type="dxa"/>
            <w:gridSpan w:val="3"/>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1A3C8A2E" w14:textId="77777777" w:rsidR="00BA528E" w:rsidRPr="00BA528E" w:rsidRDefault="00BA528E" w:rsidP="0015273C">
            <w:pPr>
              <w:spacing w:after="0" w:line="240" w:lineRule="auto"/>
              <w:jc w:val="center"/>
              <w:rPr>
                <w:rFonts w:ascii="Arial Narrow" w:eastAsia="Times New Roman" w:hAnsi="Arial Narrow" w:cs="Calibri"/>
                <w:b/>
                <w:bCs/>
                <w:sz w:val="16"/>
                <w:szCs w:val="16"/>
                <w:lang w:eastAsia="pt-BR"/>
              </w:rPr>
            </w:pPr>
            <w:r w:rsidRPr="00BA528E">
              <w:rPr>
                <w:rFonts w:ascii="Arial Narrow" w:eastAsia="Times New Roman" w:hAnsi="Arial Narrow" w:cs="Calibri"/>
                <w:b/>
                <w:bCs/>
                <w:sz w:val="16"/>
                <w:szCs w:val="16"/>
                <w:lang w:eastAsia="pt-BR"/>
              </w:rPr>
              <w:t>FONTES DE RECURSOS</w:t>
            </w:r>
          </w:p>
        </w:tc>
        <w:tc>
          <w:tcPr>
            <w:tcW w:w="2632" w:type="dxa"/>
            <w:gridSpan w:val="2"/>
            <w:tcBorders>
              <w:top w:val="single" w:sz="4" w:space="0" w:color="auto"/>
              <w:left w:val="nil"/>
              <w:bottom w:val="single" w:sz="4" w:space="0" w:color="auto"/>
              <w:right w:val="single" w:sz="4" w:space="0" w:color="000000"/>
            </w:tcBorders>
            <w:shd w:val="clear" w:color="000000" w:fill="D9D9D9"/>
            <w:noWrap/>
            <w:vAlign w:val="center"/>
            <w:hideMark/>
          </w:tcPr>
          <w:p w14:paraId="1F8DC14F" w14:textId="77777777" w:rsidR="00BA528E" w:rsidRPr="00BA528E" w:rsidRDefault="00BA528E" w:rsidP="0015273C">
            <w:pPr>
              <w:spacing w:after="0" w:line="240" w:lineRule="auto"/>
              <w:jc w:val="center"/>
              <w:rPr>
                <w:rFonts w:ascii="Arial Narrow" w:eastAsia="Times New Roman" w:hAnsi="Arial Narrow" w:cs="Arial"/>
                <w:b/>
                <w:bCs/>
                <w:sz w:val="16"/>
                <w:szCs w:val="16"/>
                <w:lang w:eastAsia="pt-BR"/>
              </w:rPr>
            </w:pPr>
            <w:r w:rsidRPr="00BA528E">
              <w:rPr>
                <w:rFonts w:ascii="Arial Narrow" w:eastAsia="Times New Roman" w:hAnsi="Arial Narrow" w:cs="Arial"/>
                <w:b/>
                <w:bCs/>
                <w:sz w:val="16"/>
                <w:szCs w:val="16"/>
                <w:lang w:eastAsia="pt-BR"/>
              </w:rPr>
              <w:t>SUPERÁVIT/DÉFICIT FINANCEIRO</w:t>
            </w:r>
          </w:p>
        </w:tc>
      </w:tr>
      <w:tr w:rsidR="00BA528E" w:rsidRPr="00BA528E" w14:paraId="4FD66F0A" w14:textId="77777777" w:rsidTr="0015273C">
        <w:trPr>
          <w:trHeight w:val="302"/>
        </w:trPr>
        <w:tc>
          <w:tcPr>
            <w:tcW w:w="938" w:type="dxa"/>
            <w:tcBorders>
              <w:top w:val="nil"/>
              <w:left w:val="single" w:sz="4" w:space="0" w:color="auto"/>
              <w:bottom w:val="single" w:sz="4" w:space="0" w:color="auto"/>
              <w:right w:val="single" w:sz="4" w:space="0" w:color="auto"/>
            </w:tcBorders>
            <w:shd w:val="clear" w:color="auto" w:fill="auto"/>
            <w:noWrap/>
            <w:vAlign w:val="bottom"/>
            <w:hideMark/>
          </w:tcPr>
          <w:p w14:paraId="0482782E" w14:textId="77777777" w:rsidR="00BA528E" w:rsidRPr="00BA528E" w:rsidRDefault="00BA528E" w:rsidP="0015273C">
            <w:pPr>
              <w:spacing w:after="0" w:line="240" w:lineRule="auto"/>
              <w:jc w:val="center"/>
              <w:rPr>
                <w:rFonts w:ascii="Arial Narrow" w:eastAsia="Times New Roman" w:hAnsi="Arial Narrow" w:cs="Calibri"/>
                <w:b/>
                <w:bCs/>
                <w:sz w:val="16"/>
                <w:szCs w:val="16"/>
                <w:lang w:eastAsia="pt-BR"/>
              </w:rPr>
            </w:pPr>
            <w:r w:rsidRPr="00BA528E">
              <w:rPr>
                <w:rFonts w:ascii="Arial Narrow" w:eastAsia="Times New Roman" w:hAnsi="Arial Narrow" w:cs="Calibri"/>
                <w:b/>
                <w:bCs/>
                <w:sz w:val="16"/>
                <w:szCs w:val="16"/>
                <w:lang w:eastAsia="pt-BR"/>
              </w:rPr>
              <w:t xml:space="preserve">Código </w:t>
            </w:r>
          </w:p>
        </w:tc>
        <w:tc>
          <w:tcPr>
            <w:tcW w:w="9866" w:type="dxa"/>
            <w:tcBorders>
              <w:top w:val="nil"/>
              <w:left w:val="nil"/>
              <w:bottom w:val="single" w:sz="4" w:space="0" w:color="auto"/>
            </w:tcBorders>
            <w:shd w:val="clear" w:color="auto" w:fill="auto"/>
            <w:noWrap/>
            <w:vAlign w:val="bottom"/>
            <w:hideMark/>
          </w:tcPr>
          <w:p w14:paraId="1C4921CE" w14:textId="77777777" w:rsidR="00BA528E" w:rsidRPr="00BA528E" w:rsidRDefault="00BA528E" w:rsidP="0015273C">
            <w:pPr>
              <w:spacing w:after="0" w:line="240" w:lineRule="auto"/>
              <w:jc w:val="center"/>
              <w:rPr>
                <w:rFonts w:ascii="Arial Narrow" w:eastAsia="Times New Roman" w:hAnsi="Arial Narrow" w:cs="Calibri"/>
                <w:b/>
                <w:bCs/>
                <w:sz w:val="16"/>
                <w:szCs w:val="16"/>
                <w:lang w:eastAsia="pt-BR"/>
              </w:rPr>
            </w:pPr>
            <w:r w:rsidRPr="00BA528E">
              <w:rPr>
                <w:rFonts w:ascii="Arial Narrow" w:eastAsia="Times New Roman" w:hAnsi="Arial Narrow" w:cs="Calibri"/>
                <w:b/>
                <w:bCs/>
                <w:sz w:val="16"/>
                <w:szCs w:val="16"/>
                <w:lang w:eastAsia="pt-BR"/>
              </w:rPr>
              <w:t>Descrição</w:t>
            </w:r>
          </w:p>
        </w:tc>
        <w:tc>
          <w:tcPr>
            <w:tcW w:w="970" w:type="dxa"/>
            <w:tcBorders>
              <w:top w:val="nil"/>
              <w:bottom w:val="single" w:sz="4" w:space="0" w:color="auto"/>
              <w:right w:val="single" w:sz="4" w:space="0" w:color="auto"/>
            </w:tcBorders>
            <w:shd w:val="clear" w:color="auto" w:fill="auto"/>
            <w:noWrap/>
            <w:vAlign w:val="bottom"/>
          </w:tcPr>
          <w:p w14:paraId="3CA28BF1" w14:textId="77777777" w:rsidR="00BA528E" w:rsidRPr="00BA528E" w:rsidRDefault="00BA528E" w:rsidP="0015273C">
            <w:pPr>
              <w:spacing w:after="0" w:line="240" w:lineRule="auto"/>
              <w:jc w:val="center"/>
              <w:rPr>
                <w:rFonts w:ascii="Arial Narrow" w:eastAsia="Times New Roman" w:hAnsi="Arial Narrow" w:cs="Calibri"/>
                <w:b/>
                <w:bCs/>
                <w:sz w:val="16"/>
                <w:szCs w:val="16"/>
                <w:lang w:eastAsia="pt-BR"/>
              </w:rPr>
            </w:pPr>
          </w:p>
        </w:tc>
        <w:tc>
          <w:tcPr>
            <w:tcW w:w="1386" w:type="dxa"/>
            <w:tcBorders>
              <w:top w:val="nil"/>
              <w:left w:val="nil"/>
              <w:bottom w:val="single" w:sz="4" w:space="0" w:color="auto"/>
              <w:right w:val="single" w:sz="4" w:space="0" w:color="auto"/>
            </w:tcBorders>
            <w:shd w:val="clear" w:color="auto" w:fill="auto"/>
            <w:noWrap/>
            <w:vAlign w:val="bottom"/>
            <w:hideMark/>
          </w:tcPr>
          <w:p w14:paraId="42DF678E" w14:textId="77777777" w:rsidR="00BA528E" w:rsidRPr="00BA528E" w:rsidRDefault="00BA528E" w:rsidP="0015273C">
            <w:pPr>
              <w:spacing w:after="0" w:line="240" w:lineRule="auto"/>
              <w:jc w:val="center"/>
              <w:rPr>
                <w:rFonts w:ascii="Arial Narrow" w:eastAsia="Times New Roman" w:hAnsi="Arial Narrow" w:cs="Arial"/>
                <w:b/>
                <w:bCs/>
                <w:sz w:val="16"/>
                <w:szCs w:val="16"/>
                <w:lang w:eastAsia="pt-BR"/>
              </w:rPr>
            </w:pPr>
            <w:r w:rsidRPr="00BA528E">
              <w:rPr>
                <w:rFonts w:ascii="Arial Narrow" w:eastAsia="Times New Roman" w:hAnsi="Arial Narrow" w:cs="Arial"/>
                <w:b/>
                <w:bCs/>
                <w:sz w:val="16"/>
                <w:szCs w:val="16"/>
                <w:lang w:eastAsia="pt-BR"/>
              </w:rPr>
              <w:t>Exercício Atual</w:t>
            </w:r>
          </w:p>
        </w:tc>
        <w:tc>
          <w:tcPr>
            <w:tcW w:w="1246" w:type="dxa"/>
            <w:tcBorders>
              <w:top w:val="nil"/>
              <w:left w:val="nil"/>
              <w:bottom w:val="single" w:sz="4" w:space="0" w:color="auto"/>
              <w:right w:val="single" w:sz="4" w:space="0" w:color="auto"/>
            </w:tcBorders>
            <w:shd w:val="clear" w:color="auto" w:fill="auto"/>
            <w:noWrap/>
            <w:vAlign w:val="bottom"/>
            <w:hideMark/>
          </w:tcPr>
          <w:p w14:paraId="0F94859C" w14:textId="77777777" w:rsidR="00BA528E" w:rsidRPr="00BA528E" w:rsidRDefault="00BA528E" w:rsidP="0015273C">
            <w:pPr>
              <w:spacing w:after="0" w:line="240" w:lineRule="auto"/>
              <w:jc w:val="center"/>
              <w:rPr>
                <w:rFonts w:ascii="Arial Narrow" w:eastAsia="Times New Roman" w:hAnsi="Arial Narrow" w:cs="Arial"/>
                <w:b/>
                <w:bCs/>
                <w:sz w:val="16"/>
                <w:szCs w:val="16"/>
                <w:lang w:eastAsia="pt-BR"/>
              </w:rPr>
            </w:pPr>
            <w:r w:rsidRPr="00BA528E">
              <w:rPr>
                <w:rFonts w:ascii="Arial Narrow" w:eastAsia="Times New Roman" w:hAnsi="Arial Narrow" w:cs="Arial"/>
                <w:b/>
                <w:bCs/>
                <w:sz w:val="16"/>
                <w:szCs w:val="16"/>
                <w:lang w:eastAsia="pt-BR"/>
              </w:rPr>
              <w:t>Exercício Anterior</w:t>
            </w:r>
          </w:p>
        </w:tc>
      </w:tr>
      <w:tr w:rsidR="00BA528E" w:rsidRPr="00BA528E" w14:paraId="78AF2D8B" w14:textId="77777777" w:rsidTr="0015273C">
        <w:trPr>
          <w:trHeight w:val="302"/>
        </w:trPr>
        <w:tc>
          <w:tcPr>
            <w:tcW w:w="938" w:type="dxa"/>
            <w:tcBorders>
              <w:top w:val="single" w:sz="4" w:space="0" w:color="auto"/>
              <w:left w:val="single" w:sz="4" w:space="0" w:color="auto"/>
              <w:bottom w:val="single" w:sz="4" w:space="0" w:color="FFFFFF" w:themeColor="background1"/>
              <w:right w:val="single" w:sz="4" w:space="0" w:color="auto"/>
            </w:tcBorders>
            <w:shd w:val="clear" w:color="auto" w:fill="auto"/>
            <w:noWrap/>
            <w:vAlign w:val="center"/>
            <w:hideMark/>
          </w:tcPr>
          <w:p w14:paraId="706EA367" w14:textId="77777777" w:rsidR="00BA528E" w:rsidRPr="00BA528E" w:rsidRDefault="00BA528E" w:rsidP="0015273C">
            <w:pPr>
              <w:spacing w:after="0" w:line="240" w:lineRule="auto"/>
              <w:jc w:val="center"/>
              <w:rPr>
                <w:rFonts w:ascii="Arial Narrow" w:eastAsia="Times New Roman" w:hAnsi="Arial Narrow" w:cs="Calibri"/>
                <w:b/>
                <w:bCs/>
                <w:sz w:val="16"/>
                <w:szCs w:val="16"/>
                <w:lang w:eastAsia="pt-BR"/>
              </w:rPr>
            </w:pPr>
            <w:r w:rsidRPr="00BA528E">
              <w:rPr>
                <w:rFonts w:ascii="Arial Narrow" w:eastAsia="Times New Roman" w:hAnsi="Arial Narrow" w:cs="Calibri"/>
                <w:b/>
                <w:bCs/>
                <w:sz w:val="16"/>
                <w:szCs w:val="16"/>
                <w:lang w:eastAsia="pt-BR"/>
              </w:rPr>
              <w:t> </w:t>
            </w:r>
          </w:p>
        </w:tc>
        <w:tc>
          <w:tcPr>
            <w:tcW w:w="9866" w:type="dxa"/>
            <w:tcBorders>
              <w:top w:val="nil"/>
              <w:left w:val="nil"/>
              <w:bottom w:val="nil"/>
            </w:tcBorders>
            <w:shd w:val="clear" w:color="auto" w:fill="auto"/>
            <w:noWrap/>
            <w:vAlign w:val="center"/>
            <w:hideMark/>
          </w:tcPr>
          <w:p w14:paraId="5F7F9F47" w14:textId="77777777" w:rsidR="00BA528E" w:rsidRPr="00BA528E" w:rsidRDefault="00BA528E" w:rsidP="0015273C">
            <w:pPr>
              <w:spacing w:after="0" w:line="240" w:lineRule="auto"/>
              <w:rPr>
                <w:rFonts w:ascii="Arial Narrow" w:eastAsia="Times New Roman" w:hAnsi="Arial Narrow" w:cs="Calibri"/>
                <w:b/>
                <w:bCs/>
                <w:sz w:val="16"/>
                <w:szCs w:val="16"/>
                <w:lang w:eastAsia="pt-BR"/>
              </w:rPr>
            </w:pPr>
            <w:r w:rsidRPr="00BA528E">
              <w:rPr>
                <w:rFonts w:ascii="Arial Narrow" w:eastAsia="Times New Roman" w:hAnsi="Arial Narrow" w:cs="Calibri"/>
                <w:b/>
                <w:bCs/>
                <w:sz w:val="16"/>
                <w:szCs w:val="16"/>
                <w:lang w:eastAsia="pt-BR"/>
              </w:rPr>
              <w:t>ORDINÁRIA</w:t>
            </w:r>
          </w:p>
        </w:tc>
        <w:tc>
          <w:tcPr>
            <w:tcW w:w="970" w:type="dxa"/>
            <w:tcBorders>
              <w:top w:val="nil"/>
              <w:bottom w:val="nil"/>
              <w:right w:val="single" w:sz="4" w:space="0" w:color="auto"/>
            </w:tcBorders>
            <w:shd w:val="clear" w:color="auto" w:fill="auto"/>
            <w:noWrap/>
            <w:vAlign w:val="center"/>
          </w:tcPr>
          <w:p w14:paraId="3E0E402F" w14:textId="77777777" w:rsidR="00BA528E" w:rsidRPr="00BA528E" w:rsidRDefault="00BA528E" w:rsidP="0015273C">
            <w:pPr>
              <w:spacing w:after="0" w:line="240" w:lineRule="auto"/>
              <w:jc w:val="center"/>
              <w:rPr>
                <w:rFonts w:ascii="Arial Narrow" w:eastAsia="Times New Roman" w:hAnsi="Arial Narrow" w:cs="Calibri"/>
                <w:b/>
                <w:bCs/>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43C1194D" w14:textId="77777777" w:rsidR="00BA528E" w:rsidRPr="00BA528E" w:rsidRDefault="00BA528E" w:rsidP="0015273C">
            <w:pPr>
              <w:spacing w:after="0" w:line="240" w:lineRule="auto"/>
              <w:jc w:val="center"/>
              <w:rPr>
                <w:rFonts w:ascii="Arial Narrow" w:eastAsia="Times New Roman" w:hAnsi="Arial Narrow" w:cs="Arial"/>
                <w:b/>
                <w:bCs/>
                <w:sz w:val="16"/>
                <w:szCs w:val="16"/>
                <w:lang w:eastAsia="pt-BR"/>
              </w:rPr>
            </w:pPr>
            <w:r w:rsidRPr="00BA528E">
              <w:rPr>
                <w:rFonts w:ascii="Arial Narrow" w:eastAsia="Times New Roman" w:hAnsi="Arial Narrow" w:cs="Arial"/>
                <w:b/>
                <w:bCs/>
                <w:sz w:val="16"/>
                <w:szCs w:val="16"/>
                <w:lang w:eastAsia="pt-BR"/>
              </w:rPr>
              <w:t>SDF.D006</w:t>
            </w:r>
          </w:p>
        </w:tc>
        <w:tc>
          <w:tcPr>
            <w:tcW w:w="1246" w:type="dxa"/>
            <w:tcBorders>
              <w:top w:val="nil"/>
              <w:left w:val="nil"/>
              <w:bottom w:val="nil"/>
              <w:right w:val="single" w:sz="4" w:space="0" w:color="auto"/>
            </w:tcBorders>
            <w:shd w:val="clear" w:color="auto" w:fill="auto"/>
            <w:noWrap/>
            <w:vAlign w:val="center"/>
            <w:hideMark/>
          </w:tcPr>
          <w:p w14:paraId="61F46AB9" w14:textId="77777777" w:rsidR="00BA528E" w:rsidRPr="00BA528E" w:rsidRDefault="00BA528E" w:rsidP="0015273C">
            <w:pPr>
              <w:spacing w:after="0" w:line="240" w:lineRule="auto"/>
              <w:jc w:val="center"/>
              <w:rPr>
                <w:rFonts w:ascii="Arial Narrow" w:eastAsia="Times New Roman" w:hAnsi="Arial Narrow" w:cs="Arial"/>
                <w:b/>
                <w:bCs/>
                <w:sz w:val="16"/>
                <w:szCs w:val="16"/>
                <w:lang w:eastAsia="pt-BR"/>
              </w:rPr>
            </w:pPr>
            <w:r w:rsidRPr="00BA528E">
              <w:rPr>
                <w:rFonts w:ascii="Arial Narrow" w:eastAsia="Times New Roman" w:hAnsi="Arial Narrow" w:cs="Arial"/>
                <w:b/>
                <w:bCs/>
                <w:sz w:val="16"/>
                <w:szCs w:val="16"/>
                <w:lang w:eastAsia="pt-BR"/>
              </w:rPr>
              <w:t>SDF.E006</w:t>
            </w:r>
          </w:p>
        </w:tc>
      </w:tr>
      <w:tr w:rsidR="00BA528E" w:rsidRPr="00BA528E" w14:paraId="76B0707E" w14:textId="77777777" w:rsidTr="0015273C">
        <w:trPr>
          <w:trHeight w:val="302"/>
        </w:trPr>
        <w:tc>
          <w:tcPr>
            <w:tcW w:w="938" w:type="dxa"/>
            <w:tcBorders>
              <w:top w:val="single" w:sz="4" w:space="0" w:color="FFFFFF" w:themeColor="background1"/>
              <w:left w:val="single" w:sz="4" w:space="0" w:color="auto"/>
              <w:bottom w:val="nil"/>
              <w:right w:val="single" w:sz="4" w:space="0" w:color="auto"/>
            </w:tcBorders>
            <w:shd w:val="clear" w:color="auto" w:fill="auto"/>
            <w:noWrap/>
            <w:vAlign w:val="center"/>
            <w:hideMark/>
          </w:tcPr>
          <w:p w14:paraId="737334BD"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101</w:t>
            </w:r>
          </w:p>
        </w:tc>
        <w:tc>
          <w:tcPr>
            <w:tcW w:w="9866" w:type="dxa"/>
            <w:tcBorders>
              <w:top w:val="nil"/>
              <w:left w:val="nil"/>
            </w:tcBorders>
            <w:shd w:val="clear" w:color="auto" w:fill="auto"/>
            <w:noWrap/>
            <w:vAlign w:val="center"/>
            <w:hideMark/>
          </w:tcPr>
          <w:p w14:paraId="25BB319F"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RECURSOS ORDINÁRIOS</w:t>
            </w:r>
          </w:p>
        </w:tc>
        <w:tc>
          <w:tcPr>
            <w:tcW w:w="970" w:type="dxa"/>
            <w:tcBorders>
              <w:top w:val="nil"/>
              <w:bottom w:val="nil"/>
              <w:right w:val="single" w:sz="4" w:space="0" w:color="auto"/>
            </w:tcBorders>
            <w:shd w:val="clear" w:color="auto" w:fill="auto"/>
            <w:noWrap/>
            <w:vAlign w:val="center"/>
          </w:tcPr>
          <w:p w14:paraId="196B5716"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45F8B4EB"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SDF.D501</w:t>
            </w:r>
          </w:p>
        </w:tc>
        <w:tc>
          <w:tcPr>
            <w:tcW w:w="1246" w:type="dxa"/>
            <w:tcBorders>
              <w:top w:val="nil"/>
              <w:left w:val="nil"/>
              <w:bottom w:val="nil"/>
              <w:right w:val="single" w:sz="4" w:space="0" w:color="auto"/>
            </w:tcBorders>
            <w:shd w:val="clear" w:color="auto" w:fill="auto"/>
            <w:noWrap/>
            <w:vAlign w:val="center"/>
            <w:hideMark/>
          </w:tcPr>
          <w:p w14:paraId="7141719C"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SDF.E501</w:t>
            </w:r>
          </w:p>
        </w:tc>
      </w:tr>
      <w:tr w:rsidR="00BA528E" w:rsidRPr="00BA528E" w14:paraId="1CF765B6" w14:textId="77777777" w:rsidTr="0015273C">
        <w:trPr>
          <w:trHeight w:val="302"/>
        </w:trPr>
        <w:tc>
          <w:tcPr>
            <w:tcW w:w="938" w:type="dxa"/>
            <w:tcBorders>
              <w:top w:val="single" w:sz="4" w:space="0" w:color="D9D9D9"/>
              <w:left w:val="single" w:sz="4" w:space="0" w:color="auto"/>
              <w:bottom w:val="single" w:sz="4" w:space="0" w:color="D9D9D9"/>
              <w:right w:val="single" w:sz="4" w:space="0" w:color="auto"/>
            </w:tcBorders>
            <w:shd w:val="clear" w:color="auto" w:fill="auto"/>
            <w:vAlign w:val="center"/>
            <w:hideMark/>
          </w:tcPr>
          <w:p w14:paraId="69D897AB"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301</w:t>
            </w:r>
          </w:p>
        </w:tc>
        <w:tc>
          <w:tcPr>
            <w:tcW w:w="9866" w:type="dxa"/>
            <w:tcBorders>
              <w:left w:val="nil"/>
              <w:bottom w:val="single" w:sz="4" w:space="0" w:color="D9D9D9"/>
            </w:tcBorders>
            <w:shd w:val="clear" w:color="auto" w:fill="auto"/>
            <w:vAlign w:val="center"/>
            <w:hideMark/>
          </w:tcPr>
          <w:p w14:paraId="353F6BBD"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SUPERÁVIT FINANCEIRO - RECURSOS ORDINÁRIOS</w:t>
            </w:r>
          </w:p>
        </w:tc>
        <w:tc>
          <w:tcPr>
            <w:tcW w:w="970" w:type="dxa"/>
            <w:tcBorders>
              <w:top w:val="nil"/>
              <w:bottom w:val="nil"/>
              <w:right w:val="single" w:sz="4" w:space="0" w:color="auto"/>
            </w:tcBorders>
            <w:shd w:val="clear" w:color="auto" w:fill="auto"/>
            <w:noWrap/>
            <w:vAlign w:val="center"/>
          </w:tcPr>
          <w:p w14:paraId="5D150BB9"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0B6F9ECA"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SDF.D502</w:t>
            </w:r>
          </w:p>
        </w:tc>
        <w:tc>
          <w:tcPr>
            <w:tcW w:w="1246" w:type="dxa"/>
            <w:tcBorders>
              <w:top w:val="nil"/>
              <w:left w:val="nil"/>
              <w:bottom w:val="nil"/>
              <w:right w:val="single" w:sz="4" w:space="0" w:color="auto"/>
            </w:tcBorders>
            <w:shd w:val="clear" w:color="auto" w:fill="auto"/>
            <w:noWrap/>
            <w:vAlign w:val="center"/>
            <w:hideMark/>
          </w:tcPr>
          <w:p w14:paraId="542B520B"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SDF.E502</w:t>
            </w:r>
          </w:p>
        </w:tc>
      </w:tr>
      <w:tr w:rsidR="00BA528E" w:rsidRPr="00BA528E" w14:paraId="2A4C579B" w14:textId="77777777" w:rsidTr="0015273C">
        <w:trPr>
          <w:trHeight w:val="302"/>
        </w:trPr>
        <w:tc>
          <w:tcPr>
            <w:tcW w:w="938" w:type="dxa"/>
            <w:tcBorders>
              <w:top w:val="nil"/>
              <w:left w:val="single" w:sz="4" w:space="0" w:color="auto"/>
              <w:bottom w:val="nil"/>
              <w:right w:val="single" w:sz="4" w:space="0" w:color="auto"/>
            </w:tcBorders>
            <w:shd w:val="clear" w:color="auto" w:fill="auto"/>
            <w:noWrap/>
            <w:vAlign w:val="center"/>
            <w:hideMark/>
          </w:tcPr>
          <w:p w14:paraId="5A05B84E" w14:textId="77777777" w:rsidR="00BA528E" w:rsidRPr="00BA528E" w:rsidRDefault="00BA528E" w:rsidP="0015273C">
            <w:pPr>
              <w:spacing w:after="0" w:line="240" w:lineRule="auto"/>
              <w:jc w:val="center"/>
              <w:rPr>
                <w:rFonts w:ascii="Arial Narrow" w:eastAsia="Times New Roman" w:hAnsi="Arial Narrow" w:cs="Calibri"/>
                <w:b/>
                <w:bCs/>
                <w:sz w:val="16"/>
                <w:szCs w:val="16"/>
                <w:lang w:eastAsia="pt-BR"/>
              </w:rPr>
            </w:pPr>
            <w:r w:rsidRPr="00BA528E">
              <w:rPr>
                <w:rFonts w:ascii="Arial Narrow" w:eastAsia="Times New Roman" w:hAnsi="Arial Narrow" w:cs="Calibri"/>
                <w:b/>
                <w:bCs/>
                <w:sz w:val="16"/>
                <w:szCs w:val="16"/>
                <w:lang w:eastAsia="pt-BR"/>
              </w:rPr>
              <w:t> </w:t>
            </w:r>
          </w:p>
        </w:tc>
        <w:tc>
          <w:tcPr>
            <w:tcW w:w="9866" w:type="dxa"/>
            <w:tcBorders>
              <w:top w:val="nil"/>
              <w:left w:val="nil"/>
              <w:bottom w:val="nil"/>
            </w:tcBorders>
            <w:shd w:val="clear" w:color="auto" w:fill="auto"/>
            <w:noWrap/>
            <w:vAlign w:val="center"/>
            <w:hideMark/>
          </w:tcPr>
          <w:p w14:paraId="287C633A" w14:textId="77777777" w:rsidR="00BA528E" w:rsidRPr="00BA528E" w:rsidRDefault="00BA528E" w:rsidP="0015273C">
            <w:pPr>
              <w:spacing w:after="0" w:line="240" w:lineRule="auto"/>
              <w:rPr>
                <w:rFonts w:ascii="Arial Narrow" w:eastAsia="Times New Roman" w:hAnsi="Arial Narrow" w:cs="Calibri"/>
                <w:b/>
                <w:bCs/>
                <w:sz w:val="16"/>
                <w:szCs w:val="16"/>
                <w:lang w:eastAsia="pt-BR"/>
              </w:rPr>
            </w:pPr>
            <w:r w:rsidRPr="00BA528E">
              <w:rPr>
                <w:rFonts w:ascii="Arial Narrow" w:eastAsia="Times New Roman" w:hAnsi="Arial Narrow" w:cs="Calibri"/>
                <w:b/>
                <w:bCs/>
                <w:sz w:val="16"/>
                <w:szCs w:val="16"/>
                <w:lang w:eastAsia="pt-BR"/>
              </w:rPr>
              <w:t>VINCULADA</w:t>
            </w:r>
          </w:p>
        </w:tc>
        <w:tc>
          <w:tcPr>
            <w:tcW w:w="970" w:type="dxa"/>
            <w:tcBorders>
              <w:top w:val="nil"/>
              <w:bottom w:val="nil"/>
              <w:right w:val="single" w:sz="4" w:space="0" w:color="auto"/>
            </w:tcBorders>
            <w:shd w:val="clear" w:color="auto" w:fill="auto"/>
            <w:noWrap/>
            <w:vAlign w:val="center"/>
          </w:tcPr>
          <w:p w14:paraId="46F76835" w14:textId="77777777" w:rsidR="00BA528E" w:rsidRPr="00BA528E" w:rsidRDefault="00BA528E" w:rsidP="0015273C">
            <w:pPr>
              <w:spacing w:after="0" w:line="240" w:lineRule="auto"/>
              <w:jc w:val="center"/>
              <w:rPr>
                <w:rFonts w:ascii="Arial Narrow" w:eastAsia="Times New Roman" w:hAnsi="Arial Narrow" w:cs="Calibri"/>
                <w:b/>
                <w:bCs/>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1C65A5AD" w14:textId="77777777" w:rsidR="00BA528E" w:rsidRPr="00BA528E" w:rsidRDefault="00BA528E" w:rsidP="0015273C">
            <w:pPr>
              <w:spacing w:after="0" w:line="240" w:lineRule="auto"/>
              <w:jc w:val="center"/>
              <w:rPr>
                <w:rFonts w:ascii="Arial Narrow" w:eastAsia="Times New Roman" w:hAnsi="Arial Narrow" w:cs="Arial"/>
                <w:b/>
                <w:bCs/>
                <w:sz w:val="16"/>
                <w:szCs w:val="16"/>
                <w:lang w:eastAsia="pt-BR"/>
              </w:rPr>
            </w:pPr>
            <w:r w:rsidRPr="00BA528E">
              <w:rPr>
                <w:rFonts w:ascii="Arial Narrow" w:eastAsia="Times New Roman" w:hAnsi="Arial Narrow" w:cs="Arial"/>
                <w:b/>
                <w:bCs/>
                <w:sz w:val="16"/>
                <w:szCs w:val="16"/>
                <w:lang w:eastAsia="pt-BR"/>
              </w:rPr>
              <w:t>SDF.D008</w:t>
            </w:r>
          </w:p>
        </w:tc>
        <w:tc>
          <w:tcPr>
            <w:tcW w:w="1246" w:type="dxa"/>
            <w:tcBorders>
              <w:top w:val="nil"/>
              <w:left w:val="nil"/>
              <w:bottom w:val="nil"/>
              <w:right w:val="single" w:sz="4" w:space="0" w:color="auto"/>
            </w:tcBorders>
            <w:shd w:val="clear" w:color="auto" w:fill="auto"/>
            <w:noWrap/>
            <w:vAlign w:val="center"/>
            <w:hideMark/>
          </w:tcPr>
          <w:p w14:paraId="0291B152" w14:textId="77777777" w:rsidR="00BA528E" w:rsidRPr="00BA528E" w:rsidRDefault="00BA528E" w:rsidP="0015273C">
            <w:pPr>
              <w:spacing w:after="0" w:line="240" w:lineRule="auto"/>
              <w:jc w:val="center"/>
              <w:rPr>
                <w:rFonts w:ascii="Arial Narrow" w:eastAsia="Times New Roman" w:hAnsi="Arial Narrow" w:cs="Arial"/>
                <w:b/>
                <w:bCs/>
                <w:sz w:val="16"/>
                <w:szCs w:val="16"/>
                <w:lang w:eastAsia="pt-BR"/>
              </w:rPr>
            </w:pPr>
            <w:r w:rsidRPr="00BA528E">
              <w:rPr>
                <w:rFonts w:ascii="Arial Narrow" w:eastAsia="Times New Roman" w:hAnsi="Arial Narrow" w:cs="Arial"/>
                <w:b/>
                <w:bCs/>
                <w:sz w:val="16"/>
                <w:szCs w:val="16"/>
                <w:lang w:eastAsia="pt-BR"/>
              </w:rPr>
              <w:t>SDF.E008</w:t>
            </w:r>
          </w:p>
        </w:tc>
      </w:tr>
      <w:tr w:rsidR="00BA528E" w:rsidRPr="00BA528E" w14:paraId="16416ABD" w14:textId="77777777" w:rsidTr="0015273C">
        <w:trPr>
          <w:trHeight w:val="302"/>
        </w:trPr>
        <w:tc>
          <w:tcPr>
            <w:tcW w:w="938" w:type="dxa"/>
            <w:tcBorders>
              <w:top w:val="nil"/>
              <w:left w:val="single" w:sz="4" w:space="0" w:color="auto"/>
              <w:bottom w:val="nil"/>
              <w:right w:val="single" w:sz="4" w:space="0" w:color="auto"/>
            </w:tcBorders>
            <w:shd w:val="clear" w:color="auto" w:fill="auto"/>
            <w:noWrap/>
            <w:vAlign w:val="center"/>
            <w:hideMark/>
          </w:tcPr>
          <w:p w14:paraId="4DC98D5B" w14:textId="77777777" w:rsidR="00BA528E" w:rsidRPr="00BA528E" w:rsidRDefault="00BA528E" w:rsidP="0015273C">
            <w:pPr>
              <w:spacing w:after="0" w:line="240" w:lineRule="auto"/>
              <w:jc w:val="center"/>
              <w:rPr>
                <w:rFonts w:ascii="Arial Narrow" w:eastAsia="Times New Roman" w:hAnsi="Arial Narrow" w:cs="Arial"/>
                <w:b/>
                <w:bCs/>
                <w:sz w:val="16"/>
                <w:szCs w:val="16"/>
                <w:lang w:eastAsia="pt-BR"/>
              </w:rPr>
            </w:pPr>
            <w:r w:rsidRPr="00BA528E">
              <w:rPr>
                <w:rFonts w:ascii="Arial Narrow" w:eastAsia="Times New Roman" w:hAnsi="Arial Narrow" w:cs="Arial"/>
                <w:b/>
                <w:bCs/>
                <w:sz w:val="16"/>
                <w:szCs w:val="16"/>
                <w:lang w:eastAsia="pt-BR"/>
              </w:rPr>
              <w:t> </w:t>
            </w:r>
          </w:p>
        </w:tc>
        <w:tc>
          <w:tcPr>
            <w:tcW w:w="9866" w:type="dxa"/>
            <w:tcBorders>
              <w:top w:val="nil"/>
              <w:left w:val="nil"/>
              <w:bottom w:val="nil"/>
            </w:tcBorders>
            <w:shd w:val="clear" w:color="auto" w:fill="auto"/>
            <w:noWrap/>
            <w:vAlign w:val="center"/>
            <w:hideMark/>
          </w:tcPr>
          <w:p w14:paraId="4840C7CE" w14:textId="77777777" w:rsidR="00BA528E" w:rsidRPr="00BA528E" w:rsidRDefault="00BA528E" w:rsidP="0015273C">
            <w:pPr>
              <w:spacing w:after="0" w:line="240" w:lineRule="auto"/>
              <w:rPr>
                <w:rFonts w:ascii="Arial Narrow" w:eastAsia="Times New Roman" w:hAnsi="Arial Narrow" w:cs="Arial"/>
                <w:b/>
                <w:bCs/>
                <w:sz w:val="16"/>
                <w:szCs w:val="16"/>
                <w:lang w:eastAsia="pt-BR"/>
              </w:rPr>
            </w:pPr>
            <w:r w:rsidRPr="00BA528E">
              <w:rPr>
                <w:rFonts w:ascii="Arial Narrow" w:eastAsia="Times New Roman" w:hAnsi="Arial Narrow" w:cs="Arial"/>
                <w:b/>
                <w:bCs/>
                <w:sz w:val="16"/>
                <w:szCs w:val="16"/>
                <w:lang w:eastAsia="pt-BR"/>
              </w:rPr>
              <w:t>RECURSOS VINCULADOS À EDUCAÇÃO</w:t>
            </w:r>
          </w:p>
        </w:tc>
        <w:tc>
          <w:tcPr>
            <w:tcW w:w="970" w:type="dxa"/>
            <w:tcBorders>
              <w:top w:val="nil"/>
              <w:bottom w:val="nil"/>
              <w:right w:val="single" w:sz="4" w:space="0" w:color="auto"/>
            </w:tcBorders>
            <w:shd w:val="clear" w:color="auto" w:fill="auto"/>
            <w:noWrap/>
            <w:vAlign w:val="center"/>
          </w:tcPr>
          <w:p w14:paraId="783E0B51" w14:textId="77777777" w:rsidR="00BA528E" w:rsidRPr="00BA528E" w:rsidRDefault="00BA528E" w:rsidP="0015273C">
            <w:pPr>
              <w:spacing w:after="0" w:line="240" w:lineRule="auto"/>
              <w:jc w:val="center"/>
              <w:rPr>
                <w:rFonts w:ascii="Arial Narrow" w:eastAsia="Times New Roman" w:hAnsi="Arial Narrow" w:cs="Arial"/>
                <w:b/>
                <w:bCs/>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7F450853" w14:textId="77777777" w:rsidR="00BA528E" w:rsidRPr="00BA528E" w:rsidRDefault="00BA528E" w:rsidP="0015273C">
            <w:pPr>
              <w:spacing w:after="0" w:line="240" w:lineRule="auto"/>
              <w:jc w:val="center"/>
              <w:rPr>
                <w:rFonts w:ascii="Arial Narrow" w:eastAsia="Times New Roman" w:hAnsi="Arial Narrow" w:cs="Arial"/>
                <w:b/>
                <w:bCs/>
                <w:sz w:val="16"/>
                <w:szCs w:val="16"/>
                <w:lang w:eastAsia="pt-BR"/>
              </w:rPr>
            </w:pPr>
            <w:r w:rsidRPr="00BA528E">
              <w:rPr>
                <w:rFonts w:ascii="Arial Narrow" w:eastAsia="Times New Roman" w:hAnsi="Arial Narrow" w:cs="Arial"/>
                <w:b/>
                <w:bCs/>
                <w:sz w:val="16"/>
                <w:szCs w:val="16"/>
                <w:lang w:eastAsia="pt-BR"/>
              </w:rPr>
              <w:t>SDF.D077</w:t>
            </w:r>
          </w:p>
        </w:tc>
        <w:tc>
          <w:tcPr>
            <w:tcW w:w="1246" w:type="dxa"/>
            <w:tcBorders>
              <w:top w:val="nil"/>
              <w:left w:val="nil"/>
              <w:bottom w:val="nil"/>
              <w:right w:val="single" w:sz="4" w:space="0" w:color="auto"/>
            </w:tcBorders>
            <w:shd w:val="clear" w:color="auto" w:fill="auto"/>
            <w:noWrap/>
            <w:vAlign w:val="center"/>
            <w:hideMark/>
          </w:tcPr>
          <w:p w14:paraId="165D598E" w14:textId="77777777" w:rsidR="00BA528E" w:rsidRPr="00BA528E" w:rsidRDefault="00BA528E" w:rsidP="0015273C">
            <w:pPr>
              <w:spacing w:after="0" w:line="240" w:lineRule="auto"/>
              <w:jc w:val="center"/>
              <w:rPr>
                <w:rFonts w:ascii="Arial Narrow" w:eastAsia="Times New Roman" w:hAnsi="Arial Narrow" w:cs="Arial"/>
                <w:b/>
                <w:bCs/>
                <w:sz w:val="16"/>
                <w:szCs w:val="16"/>
                <w:lang w:eastAsia="pt-BR"/>
              </w:rPr>
            </w:pPr>
            <w:r w:rsidRPr="00BA528E">
              <w:rPr>
                <w:rFonts w:ascii="Arial Narrow" w:eastAsia="Times New Roman" w:hAnsi="Arial Narrow" w:cs="Arial"/>
                <w:b/>
                <w:bCs/>
                <w:sz w:val="16"/>
                <w:szCs w:val="16"/>
                <w:lang w:eastAsia="pt-BR"/>
              </w:rPr>
              <w:t>SDF.E077</w:t>
            </w:r>
          </w:p>
        </w:tc>
      </w:tr>
      <w:tr w:rsidR="00BA528E" w:rsidRPr="00BA528E" w14:paraId="6A6C10CB" w14:textId="77777777" w:rsidTr="0015273C">
        <w:trPr>
          <w:trHeight w:val="302"/>
        </w:trPr>
        <w:tc>
          <w:tcPr>
            <w:tcW w:w="938" w:type="dxa"/>
            <w:tcBorders>
              <w:top w:val="single" w:sz="4" w:space="0" w:color="D9D9D9"/>
              <w:left w:val="single" w:sz="4" w:space="0" w:color="auto"/>
              <w:bottom w:val="single" w:sz="4" w:space="0" w:color="D9D9D9"/>
              <w:right w:val="single" w:sz="4" w:space="0" w:color="auto"/>
            </w:tcBorders>
            <w:shd w:val="clear" w:color="auto" w:fill="auto"/>
            <w:vAlign w:val="center"/>
            <w:hideMark/>
          </w:tcPr>
          <w:p w14:paraId="66A89971"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102</w:t>
            </w:r>
          </w:p>
        </w:tc>
        <w:tc>
          <w:tcPr>
            <w:tcW w:w="9866" w:type="dxa"/>
            <w:tcBorders>
              <w:top w:val="single" w:sz="4" w:space="0" w:color="D9D9D9"/>
              <w:left w:val="nil"/>
              <w:bottom w:val="single" w:sz="4" w:space="0" w:color="D9D9D9"/>
            </w:tcBorders>
            <w:shd w:val="clear" w:color="auto" w:fill="auto"/>
            <w:vAlign w:val="center"/>
            <w:hideMark/>
          </w:tcPr>
          <w:p w14:paraId="6D137A83"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MANUTENÇÃO E DESENVOLVIMENTO DO ENSINO</w:t>
            </w:r>
          </w:p>
        </w:tc>
        <w:tc>
          <w:tcPr>
            <w:tcW w:w="970" w:type="dxa"/>
            <w:tcBorders>
              <w:top w:val="nil"/>
              <w:bottom w:val="nil"/>
              <w:right w:val="single" w:sz="4" w:space="0" w:color="auto"/>
            </w:tcBorders>
            <w:shd w:val="clear" w:color="auto" w:fill="auto"/>
            <w:noWrap/>
            <w:vAlign w:val="center"/>
          </w:tcPr>
          <w:p w14:paraId="1F4FD41A"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54889B1F"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SDF.D504</w:t>
            </w:r>
          </w:p>
        </w:tc>
        <w:tc>
          <w:tcPr>
            <w:tcW w:w="1246" w:type="dxa"/>
            <w:tcBorders>
              <w:top w:val="nil"/>
              <w:left w:val="nil"/>
              <w:bottom w:val="nil"/>
              <w:right w:val="single" w:sz="4" w:space="0" w:color="auto"/>
            </w:tcBorders>
            <w:shd w:val="clear" w:color="auto" w:fill="auto"/>
            <w:noWrap/>
            <w:vAlign w:val="center"/>
            <w:hideMark/>
          </w:tcPr>
          <w:p w14:paraId="17B3DE83"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SDF.E504</w:t>
            </w:r>
          </w:p>
        </w:tc>
      </w:tr>
      <w:tr w:rsidR="00BA528E" w:rsidRPr="00BA528E" w14:paraId="35B309B3" w14:textId="77777777" w:rsidTr="0015273C">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4ECD2758"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113</w:t>
            </w:r>
          </w:p>
        </w:tc>
        <w:tc>
          <w:tcPr>
            <w:tcW w:w="9866" w:type="dxa"/>
            <w:tcBorders>
              <w:top w:val="nil"/>
              <w:left w:val="nil"/>
              <w:bottom w:val="single" w:sz="4" w:space="0" w:color="D9D9D9"/>
            </w:tcBorders>
            <w:shd w:val="clear" w:color="auto" w:fill="auto"/>
            <w:vAlign w:val="center"/>
            <w:hideMark/>
          </w:tcPr>
          <w:p w14:paraId="2F6B2E84" w14:textId="00F3D06E"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 xml:space="preserve">MANUTENÇÃO E DESENVOLVIMENTO DA EDUCAÇÃO BÁSICA E DE VALORIZAÇÃO DOS PROFISSIONAIS DA EDUCAÇÃO – FUNDEB (70%) </w:t>
            </w:r>
          </w:p>
        </w:tc>
        <w:tc>
          <w:tcPr>
            <w:tcW w:w="970" w:type="dxa"/>
            <w:tcBorders>
              <w:top w:val="nil"/>
              <w:bottom w:val="nil"/>
              <w:right w:val="single" w:sz="4" w:space="0" w:color="auto"/>
            </w:tcBorders>
            <w:shd w:val="clear" w:color="auto" w:fill="auto"/>
            <w:noWrap/>
            <w:vAlign w:val="center"/>
          </w:tcPr>
          <w:p w14:paraId="3DE445BC"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79541795"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SDF.D507</w:t>
            </w:r>
          </w:p>
        </w:tc>
        <w:tc>
          <w:tcPr>
            <w:tcW w:w="1246" w:type="dxa"/>
            <w:tcBorders>
              <w:top w:val="nil"/>
              <w:left w:val="nil"/>
              <w:bottom w:val="nil"/>
              <w:right w:val="single" w:sz="4" w:space="0" w:color="auto"/>
            </w:tcBorders>
            <w:shd w:val="clear" w:color="auto" w:fill="auto"/>
            <w:noWrap/>
            <w:vAlign w:val="center"/>
            <w:hideMark/>
          </w:tcPr>
          <w:p w14:paraId="2A19AA9D"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SDF.E507</w:t>
            </w:r>
          </w:p>
        </w:tc>
      </w:tr>
      <w:tr w:rsidR="00BA528E" w:rsidRPr="00BA528E" w14:paraId="09CB3C3A" w14:textId="77777777" w:rsidTr="0015273C">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3087E880"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114</w:t>
            </w:r>
          </w:p>
        </w:tc>
        <w:tc>
          <w:tcPr>
            <w:tcW w:w="9866" w:type="dxa"/>
            <w:tcBorders>
              <w:top w:val="nil"/>
              <w:left w:val="nil"/>
              <w:bottom w:val="single" w:sz="4" w:space="0" w:color="D9D9D9"/>
            </w:tcBorders>
            <w:shd w:val="clear" w:color="auto" w:fill="auto"/>
            <w:vAlign w:val="center"/>
            <w:hideMark/>
          </w:tcPr>
          <w:p w14:paraId="68EF537C" w14:textId="1D8FAC80"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 xml:space="preserve">MANUTENÇÃO E DESENVOLVIMENTO DA EDUCAÇÃO BÁSICA E DE VALORIZAÇÃO DOS PROFISSIONAIS DA EDUCAÇÃO – FUNDEB (30%) </w:t>
            </w:r>
          </w:p>
        </w:tc>
        <w:tc>
          <w:tcPr>
            <w:tcW w:w="970" w:type="dxa"/>
            <w:tcBorders>
              <w:top w:val="nil"/>
              <w:bottom w:val="nil"/>
              <w:right w:val="single" w:sz="4" w:space="0" w:color="auto"/>
            </w:tcBorders>
            <w:shd w:val="clear" w:color="auto" w:fill="auto"/>
            <w:noWrap/>
            <w:vAlign w:val="center"/>
          </w:tcPr>
          <w:p w14:paraId="4062A5D9"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23813B98"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SDF.D508</w:t>
            </w:r>
          </w:p>
        </w:tc>
        <w:tc>
          <w:tcPr>
            <w:tcW w:w="1246" w:type="dxa"/>
            <w:tcBorders>
              <w:top w:val="nil"/>
              <w:left w:val="nil"/>
              <w:bottom w:val="nil"/>
              <w:right w:val="single" w:sz="4" w:space="0" w:color="auto"/>
            </w:tcBorders>
            <w:shd w:val="clear" w:color="auto" w:fill="auto"/>
            <w:noWrap/>
            <w:vAlign w:val="center"/>
            <w:hideMark/>
          </w:tcPr>
          <w:p w14:paraId="2FD7EDD1"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SDF.E508</w:t>
            </w:r>
          </w:p>
        </w:tc>
      </w:tr>
      <w:tr w:rsidR="009970D9" w:rsidRPr="00BA528E" w14:paraId="5DF789E6" w14:textId="77777777" w:rsidTr="0015273C">
        <w:trPr>
          <w:trHeight w:val="302"/>
        </w:trPr>
        <w:tc>
          <w:tcPr>
            <w:tcW w:w="938" w:type="dxa"/>
            <w:tcBorders>
              <w:top w:val="nil"/>
              <w:left w:val="single" w:sz="4" w:space="0" w:color="auto"/>
              <w:right w:val="single" w:sz="4" w:space="0" w:color="auto"/>
            </w:tcBorders>
            <w:shd w:val="clear" w:color="auto" w:fill="auto"/>
            <w:vAlign w:val="center"/>
          </w:tcPr>
          <w:p w14:paraId="45E71A23" w14:textId="56510093" w:rsidR="009970D9" w:rsidRPr="00BA528E" w:rsidRDefault="009970D9" w:rsidP="0015273C">
            <w:pPr>
              <w:spacing w:after="0" w:line="240" w:lineRule="auto"/>
              <w:jc w:val="center"/>
              <w:rPr>
                <w:rFonts w:ascii="Arial Narrow" w:eastAsia="Times New Roman" w:hAnsi="Arial Narrow" w:cs="Arial"/>
                <w:sz w:val="16"/>
                <w:szCs w:val="16"/>
                <w:lang w:eastAsia="pt-BR"/>
              </w:rPr>
            </w:pPr>
            <w:r>
              <w:rPr>
                <w:rFonts w:ascii="Arial Narrow" w:eastAsia="Times New Roman" w:hAnsi="Arial Narrow" w:cs="Arial"/>
                <w:sz w:val="16"/>
                <w:szCs w:val="16"/>
                <w:lang w:eastAsia="pt-BR"/>
              </w:rPr>
              <w:t>119</w:t>
            </w:r>
          </w:p>
        </w:tc>
        <w:tc>
          <w:tcPr>
            <w:tcW w:w="9866" w:type="dxa"/>
            <w:tcBorders>
              <w:top w:val="nil"/>
              <w:left w:val="nil"/>
              <w:bottom w:val="single" w:sz="4" w:space="0" w:color="D9D9D9"/>
            </w:tcBorders>
            <w:shd w:val="clear" w:color="auto" w:fill="auto"/>
            <w:vAlign w:val="center"/>
          </w:tcPr>
          <w:p w14:paraId="4DE27DD1" w14:textId="35B58539" w:rsidR="009970D9" w:rsidRPr="00BA528E" w:rsidRDefault="009970D9" w:rsidP="0015273C">
            <w:pPr>
              <w:spacing w:after="0" w:line="240" w:lineRule="auto"/>
              <w:rPr>
                <w:rFonts w:ascii="Arial Narrow" w:eastAsia="Times New Roman" w:hAnsi="Arial Narrow" w:cs="Arial"/>
                <w:sz w:val="16"/>
                <w:szCs w:val="16"/>
                <w:lang w:eastAsia="pt-BR"/>
              </w:rPr>
            </w:pPr>
            <w:r w:rsidRPr="00493919">
              <w:rPr>
                <w:rFonts w:ascii="Arial Narrow" w:eastAsia="Times New Roman" w:hAnsi="Arial Narrow" w:cs="Arial"/>
                <w:sz w:val="16"/>
                <w:szCs w:val="16"/>
                <w:lang w:eastAsia="pt-BR"/>
              </w:rPr>
              <w:t>OUTROS RECURSOS VINCULADOS À EDUCAÇÃO</w:t>
            </w:r>
          </w:p>
        </w:tc>
        <w:tc>
          <w:tcPr>
            <w:tcW w:w="970" w:type="dxa"/>
            <w:tcBorders>
              <w:top w:val="nil"/>
              <w:bottom w:val="nil"/>
              <w:right w:val="single" w:sz="4" w:space="0" w:color="auto"/>
            </w:tcBorders>
            <w:shd w:val="clear" w:color="auto" w:fill="auto"/>
            <w:noWrap/>
            <w:vAlign w:val="center"/>
          </w:tcPr>
          <w:p w14:paraId="0501913F" w14:textId="77777777" w:rsidR="009970D9" w:rsidRPr="00BA528E" w:rsidRDefault="009970D9" w:rsidP="0015273C">
            <w:pPr>
              <w:spacing w:after="0" w:line="240" w:lineRule="auto"/>
              <w:jc w:val="center"/>
              <w:rPr>
                <w:rFonts w:ascii="Arial Narrow" w:eastAsia="Times New Roman" w:hAnsi="Arial Narrow" w:cs="Arial"/>
                <w:sz w:val="16"/>
                <w:szCs w:val="16"/>
                <w:lang w:eastAsia="pt-BR"/>
              </w:rPr>
            </w:pPr>
          </w:p>
        </w:tc>
        <w:tc>
          <w:tcPr>
            <w:tcW w:w="1386" w:type="dxa"/>
            <w:tcBorders>
              <w:top w:val="nil"/>
              <w:left w:val="nil"/>
              <w:bottom w:val="nil"/>
              <w:right w:val="single" w:sz="4" w:space="0" w:color="auto"/>
            </w:tcBorders>
            <w:shd w:val="clear" w:color="auto" w:fill="auto"/>
            <w:noWrap/>
            <w:vAlign w:val="center"/>
          </w:tcPr>
          <w:p w14:paraId="282DDAF4" w14:textId="01DD5DE7" w:rsidR="009970D9" w:rsidRPr="00BA528E" w:rsidRDefault="009970D9" w:rsidP="0015273C">
            <w:pPr>
              <w:spacing w:after="0" w:line="240" w:lineRule="auto"/>
              <w:jc w:val="center"/>
              <w:rPr>
                <w:rFonts w:ascii="Arial Narrow" w:eastAsia="Times New Roman" w:hAnsi="Arial Narrow" w:cs="Arial"/>
                <w:sz w:val="16"/>
                <w:szCs w:val="16"/>
                <w:lang w:eastAsia="pt-BR"/>
              </w:rPr>
            </w:pPr>
            <w:r w:rsidRPr="00493919">
              <w:rPr>
                <w:rFonts w:ascii="Arial Narrow" w:eastAsia="Times New Roman" w:hAnsi="Arial Narrow" w:cs="Arial"/>
                <w:sz w:val="16"/>
                <w:szCs w:val="16"/>
                <w:lang w:eastAsia="pt-BR"/>
              </w:rPr>
              <w:t>SDF.D610</w:t>
            </w:r>
          </w:p>
        </w:tc>
        <w:tc>
          <w:tcPr>
            <w:tcW w:w="1246" w:type="dxa"/>
            <w:tcBorders>
              <w:top w:val="nil"/>
              <w:left w:val="nil"/>
              <w:bottom w:val="nil"/>
              <w:right w:val="single" w:sz="4" w:space="0" w:color="auto"/>
            </w:tcBorders>
            <w:shd w:val="clear" w:color="auto" w:fill="auto"/>
            <w:noWrap/>
            <w:vAlign w:val="center"/>
          </w:tcPr>
          <w:p w14:paraId="02359DE8" w14:textId="4E5C768F" w:rsidR="009970D9" w:rsidRPr="00BA528E" w:rsidRDefault="009970D9" w:rsidP="0015273C">
            <w:pPr>
              <w:spacing w:after="0" w:line="240" w:lineRule="auto"/>
              <w:jc w:val="center"/>
              <w:rPr>
                <w:rFonts w:ascii="Arial Narrow" w:eastAsia="Times New Roman" w:hAnsi="Arial Narrow" w:cs="Arial"/>
                <w:sz w:val="16"/>
                <w:szCs w:val="16"/>
                <w:lang w:eastAsia="pt-BR"/>
              </w:rPr>
            </w:pPr>
            <w:r w:rsidRPr="00493919">
              <w:rPr>
                <w:rFonts w:ascii="Arial Narrow" w:eastAsia="Times New Roman" w:hAnsi="Arial Narrow" w:cs="Arial"/>
                <w:sz w:val="16"/>
                <w:szCs w:val="16"/>
                <w:lang w:eastAsia="pt-BR"/>
              </w:rPr>
              <w:t>SDF.E610</w:t>
            </w:r>
          </w:p>
        </w:tc>
      </w:tr>
      <w:tr w:rsidR="00BA528E" w:rsidRPr="00BA528E" w14:paraId="63226DC7" w14:textId="77777777" w:rsidTr="0015273C">
        <w:trPr>
          <w:trHeight w:val="302"/>
        </w:trPr>
        <w:tc>
          <w:tcPr>
            <w:tcW w:w="938" w:type="dxa"/>
            <w:tcBorders>
              <w:top w:val="nil"/>
              <w:left w:val="single" w:sz="4" w:space="0" w:color="auto"/>
              <w:right w:val="single" w:sz="4" w:space="0" w:color="auto"/>
            </w:tcBorders>
            <w:shd w:val="clear" w:color="auto" w:fill="auto"/>
            <w:vAlign w:val="center"/>
            <w:hideMark/>
          </w:tcPr>
          <w:p w14:paraId="54D2339E"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131</w:t>
            </w:r>
          </w:p>
        </w:tc>
        <w:tc>
          <w:tcPr>
            <w:tcW w:w="9866" w:type="dxa"/>
            <w:tcBorders>
              <w:top w:val="nil"/>
              <w:left w:val="nil"/>
              <w:bottom w:val="single" w:sz="4" w:space="0" w:color="D9D9D9"/>
            </w:tcBorders>
            <w:shd w:val="clear" w:color="auto" w:fill="auto"/>
            <w:vAlign w:val="center"/>
            <w:hideMark/>
          </w:tcPr>
          <w:p w14:paraId="1F13173B"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COTA PARTE ESTADUAL DO SALÁRIO EDUCAÇÃO</w:t>
            </w:r>
          </w:p>
        </w:tc>
        <w:tc>
          <w:tcPr>
            <w:tcW w:w="970" w:type="dxa"/>
            <w:tcBorders>
              <w:top w:val="nil"/>
              <w:bottom w:val="nil"/>
              <w:right w:val="single" w:sz="4" w:space="0" w:color="auto"/>
            </w:tcBorders>
            <w:shd w:val="clear" w:color="auto" w:fill="auto"/>
            <w:noWrap/>
            <w:vAlign w:val="center"/>
          </w:tcPr>
          <w:p w14:paraId="3A6EFC50"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4ED266A6"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SDF.D511</w:t>
            </w:r>
          </w:p>
        </w:tc>
        <w:tc>
          <w:tcPr>
            <w:tcW w:w="1246" w:type="dxa"/>
            <w:tcBorders>
              <w:top w:val="nil"/>
              <w:left w:val="nil"/>
              <w:bottom w:val="nil"/>
              <w:right w:val="single" w:sz="4" w:space="0" w:color="auto"/>
            </w:tcBorders>
            <w:shd w:val="clear" w:color="auto" w:fill="auto"/>
            <w:noWrap/>
            <w:vAlign w:val="center"/>
            <w:hideMark/>
          </w:tcPr>
          <w:p w14:paraId="78B8C31F"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SDF.E511</w:t>
            </w:r>
          </w:p>
        </w:tc>
      </w:tr>
      <w:tr w:rsidR="00BA528E" w:rsidRPr="00BA528E" w14:paraId="69A8047F" w14:textId="77777777" w:rsidTr="0015273C">
        <w:trPr>
          <w:trHeight w:val="302"/>
        </w:trPr>
        <w:tc>
          <w:tcPr>
            <w:tcW w:w="938" w:type="dxa"/>
            <w:tcBorders>
              <w:left w:val="single" w:sz="4" w:space="0" w:color="auto"/>
              <w:bottom w:val="single" w:sz="4" w:space="0" w:color="D9D9D9"/>
              <w:right w:val="single" w:sz="4" w:space="0" w:color="auto"/>
            </w:tcBorders>
            <w:shd w:val="clear" w:color="auto" w:fill="auto"/>
            <w:vAlign w:val="center"/>
            <w:hideMark/>
          </w:tcPr>
          <w:p w14:paraId="3ADA4C53"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146</w:t>
            </w:r>
          </w:p>
        </w:tc>
        <w:tc>
          <w:tcPr>
            <w:tcW w:w="9866" w:type="dxa"/>
            <w:tcBorders>
              <w:top w:val="nil"/>
              <w:left w:val="nil"/>
              <w:bottom w:val="single" w:sz="4" w:space="0" w:color="D9D9D9"/>
            </w:tcBorders>
            <w:shd w:val="clear" w:color="auto" w:fill="auto"/>
            <w:vAlign w:val="center"/>
            <w:hideMark/>
          </w:tcPr>
          <w:p w14:paraId="63AEEE9B"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PROGRAMA DINHEIRO DIRETO NA ESCOLA - PDDE</w:t>
            </w:r>
          </w:p>
        </w:tc>
        <w:tc>
          <w:tcPr>
            <w:tcW w:w="970" w:type="dxa"/>
            <w:tcBorders>
              <w:top w:val="nil"/>
              <w:bottom w:val="nil"/>
              <w:right w:val="single" w:sz="4" w:space="0" w:color="auto"/>
            </w:tcBorders>
            <w:shd w:val="clear" w:color="auto" w:fill="auto"/>
            <w:noWrap/>
            <w:vAlign w:val="center"/>
          </w:tcPr>
          <w:p w14:paraId="4904A413"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521738BB"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SDF.D523</w:t>
            </w:r>
          </w:p>
        </w:tc>
        <w:tc>
          <w:tcPr>
            <w:tcW w:w="1246" w:type="dxa"/>
            <w:tcBorders>
              <w:top w:val="nil"/>
              <w:left w:val="nil"/>
              <w:bottom w:val="nil"/>
              <w:right w:val="single" w:sz="4" w:space="0" w:color="auto"/>
            </w:tcBorders>
            <w:shd w:val="clear" w:color="auto" w:fill="auto"/>
            <w:noWrap/>
            <w:vAlign w:val="center"/>
            <w:hideMark/>
          </w:tcPr>
          <w:p w14:paraId="5FE830E1"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SDF.E523</w:t>
            </w:r>
          </w:p>
        </w:tc>
      </w:tr>
      <w:tr w:rsidR="00BA528E" w:rsidRPr="00BA528E" w14:paraId="0090B5BA" w14:textId="77777777" w:rsidTr="0015273C">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6DC17764"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147</w:t>
            </w:r>
          </w:p>
        </w:tc>
        <w:tc>
          <w:tcPr>
            <w:tcW w:w="9866" w:type="dxa"/>
            <w:tcBorders>
              <w:top w:val="nil"/>
              <w:left w:val="nil"/>
              <w:bottom w:val="single" w:sz="4" w:space="0" w:color="D9D9D9"/>
            </w:tcBorders>
            <w:shd w:val="clear" w:color="auto" w:fill="auto"/>
            <w:vAlign w:val="center"/>
            <w:hideMark/>
          </w:tcPr>
          <w:p w14:paraId="320E2FD0"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PROGRAMA NACIONAL DE ALIMENTAÇÃO ESCOLAR - PNAE</w:t>
            </w:r>
          </w:p>
        </w:tc>
        <w:tc>
          <w:tcPr>
            <w:tcW w:w="970" w:type="dxa"/>
            <w:tcBorders>
              <w:top w:val="nil"/>
              <w:bottom w:val="nil"/>
              <w:right w:val="single" w:sz="4" w:space="0" w:color="auto"/>
            </w:tcBorders>
            <w:shd w:val="clear" w:color="auto" w:fill="auto"/>
            <w:noWrap/>
            <w:vAlign w:val="center"/>
          </w:tcPr>
          <w:p w14:paraId="654D1B66"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5A20F3EA"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SDF.D524</w:t>
            </w:r>
          </w:p>
        </w:tc>
        <w:tc>
          <w:tcPr>
            <w:tcW w:w="1246" w:type="dxa"/>
            <w:tcBorders>
              <w:top w:val="nil"/>
              <w:left w:val="nil"/>
              <w:bottom w:val="nil"/>
              <w:right w:val="single" w:sz="4" w:space="0" w:color="auto"/>
            </w:tcBorders>
            <w:shd w:val="clear" w:color="auto" w:fill="auto"/>
            <w:noWrap/>
            <w:vAlign w:val="center"/>
            <w:hideMark/>
          </w:tcPr>
          <w:p w14:paraId="3D3A4C5F"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SDF.E524</w:t>
            </w:r>
          </w:p>
        </w:tc>
      </w:tr>
      <w:tr w:rsidR="00BA528E" w:rsidRPr="00BA528E" w14:paraId="46E14902" w14:textId="77777777" w:rsidTr="0015273C">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4A98528C"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148</w:t>
            </w:r>
          </w:p>
        </w:tc>
        <w:tc>
          <w:tcPr>
            <w:tcW w:w="9866" w:type="dxa"/>
            <w:tcBorders>
              <w:top w:val="nil"/>
              <w:left w:val="nil"/>
              <w:bottom w:val="single" w:sz="4" w:space="0" w:color="D9D9D9"/>
            </w:tcBorders>
            <w:shd w:val="clear" w:color="auto" w:fill="auto"/>
            <w:vAlign w:val="center"/>
            <w:hideMark/>
          </w:tcPr>
          <w:p w14:paraId="50A3A49E"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PROGRAMA NACIONAL DE APOIO AO TRANSPORTE  ESCOLAR - PNATE</w:t>
            </w:r>
          </w:p>
        </w:tc>
        <w:tc>
          <w:tcPr>
            <w:tcW w:w="970" w:type="dxa"/>
            <w:tcBorders>
              <w:top w:val="nil"/>
              <w:bottom w:val="nil"/>
              <w:right w:val="single" w:sz="4" w:space="0" w:color="auto"/>
            </w:tcBorders>
            <w:shd w:val="clear" w:color="auto" w:fill="auto"/>
            <w:noWrap/>
            <w:vAlign w:val="center"/>
          </w:tcPr>
          <w:p w14:paraId="30EF2BF3"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6275C7FE"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SDF.D525</w:t>
            </w:r>
          </w:p>
        </w:tc>
        <w:tc>
          <w:tcPr>
            <w:tcW w:w="1246" w:type="dxa"/>
            <w:tcBorders>
              <w:top w:val="nil"/>
              <w:left w:val="nil"/>
              <w:bottom w:val="nil"/>
              <w:right w:val="single" w:sz="4" w:space="0" w:color="auto"/>
            </w:tcBorders>
            <w:shd w:val="clear" w:color="auto" w:fill="auto"/>
            <w:noWrap/>
            <w:vAlign w:val="center"/>
            <w:hideMark/>
          </w:tcPr>
          <w:p w14:paraId="5B863663"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SDF.E525</w:t>
            </w:r>
          </w:p>
        </w:tc>
      </w:tr>
      <w:tr w:rsidR="00BA528E" w:rsidRPr="00BA528E" w14:paraId="75E0F7A0" w14:textId="77777777" w:rsidTr="0015273C">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4BBAB1C9"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149</w:t>
            </w:r>
          </w:p>
        </w:tc>
        <w:tc>
          <w:tcPr>
            <w:tcW w:w="9866" w:type="dxa"/>
            <w:tcBorders>
              <w:top w:val="nil"/>
              <w:left w:val="nil"/>
              <w:bottom w:val="single" w:sz="4" w:space="0" w:color="D9D9D9"/>
            </w:tcBorders>
            <w:shd w:val="clear" w:color="auto" w:fill="auto"/>
            <w:vAlign w:val="center"/>
            <w:hideMark/>
          </w:tcPr>
          <w:p w14:paraId="5443409D"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PROGRAMA BRASIL ALFABETIZADO</w:t>
            </w:r>
          </w:p>
        </w:tc>
        <w:tc>
          <w:tcPr>
            <w:tcW w:w="970" w:type="dxa"/>
            <w:tcBorders>
              <w:top w:val="nil"/>
              <w:bottom w:val="nil"/>
              <w:right w:val="single" w:sz="4" w:space="0" w:color="auto"/>
            </w:tcBorders>
            <w:shd w:val="clear" w:color="auto" w:fill="auto"/>
            <w:noWrap/>
            <w:vAlign w:val="center"/>
          </w:tcPr>
          <w:p w14:paraId="3312A3A6"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6D1CDE42"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SDF.D526</w:t>
            </w:r>
          </w:p>
        </w:tc>
        <w:tc>
          <w:tcPr>
            <w:tcW w:w="1246" w:type="dxa"/>
            <w:tcBorders>
              <w:top w:val="nil"/>
              <w:left w:val="nil"/>
              <w:bottom w:val="nil"/>
              <w:right w:val="single" w:sz="4" w:space="0" w:color="auto"/>
            </w:tcBorders>
            <w:shd w:val="clear" w:color="auto" w:fill="auto"/>
            <w:noWrap/>
            <w:vAlign w:val="center"/>
            <w:hideMark/>
          </w:tcPr>
          <w:p w14:paraId="07878AB5"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SDF.E526</w:t>
            </w:r>
          </w:p>
        </w:tc>
      </w:tr>
      <w:tr w:rsidR="00BA528E" w:rsidRPr="00BA528E" w14:paraId="518B9EB0" w14:textId="77777777" w:rsidTr="0015273C">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5288A5F7"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151</w:t>
            </w:r>
          </w:p>
        </w:tc>
        <w:tc>
          <w:tcPr>
            <w:tcW w:w="9866" w:type="dxa"/>
            <w:tcBorders>
              <w:top w:val="nil"/>
              <w:left w:val="nil"/>
              <w:bottom w:val="single" w:sz="4" w:space="0" w:color="D9D9D9"/>
            </w:tcBorders>
            <w:shd w:val="clear" w:color="auto" w:fill="auto"/>
            <w:vAlign w:val="center"/>
            <w:hideMark/>
          </w:tcPr>
          <w:p w14:paraId="5F53E3D9"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PROGRAMA DE APOIO SISTEMA DE ENSINO PARA ATENDIMENTO AO EJA</w:t>
            </w:r>
          </w:p>
        </w:tc>
        <w:tc>
          <w:tcPr>
            <w:tcW w:w="970" w:type="dxa"/>
            <w:tcBorders>
              <w:top w:val="nil"/>
              <w:bottom w:val="nil"/>
              <w:right w:val="single" w:sz="4" w:space="0" w:color="auto"/>
            </w:tcBorders>
            <w:shd w:val="clear" w:color="auto" w:fill="auto"/>
            <w:noWrap/>
            <w:vAlign w:val="center"/>
          </w:tcPr>
          <w:p w14:paraId="3058E3FC"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5D2F0074"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SDF.D528</w:t>
            </w:r>
          </w:p>
        </w:tc>
        <w:tc>
          <w:tcPr>
            <w:tcW w:w="1246" w:type="dxa"/>
            <w:tcBorders>
              <w:top w:val="nil"/>
              <w:left w:val="nil"/>
              <w:bottom w:val="nil"/>
              <w:right w:val="single" w:sz="4" w:space="0" w:color="auto"/>
            </w:tcBorders>
            <w:shd w:val="clear" w:color="auto" w:fill="auto"/>
            <w:noWrap/>
            <w:vAlign w:val="center"/>
            <w:hideMark/>
          </w:tcPr>
          <w:p w14:paraId="6F314E09"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SDF.E528</w:t>
            </w:r>
          </w:p>
        </w:tc>
      </w:tr>
      <w:tr w:rsidR="00BA528E" w:rsidRPr="00BA528E" w14:paraId="53BD3BC6" w14:textId="77777777" w:rsidTr="0015273C">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7453A3AC"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152</w:t>
            </w:r>
          </w:p>
        </w:tc>
        <w:tc>
          <w:tcPr>
            <w:tcW w:w="9866" w:type="dxa"/>
            <w:tcBorders>
              <w:top w:val="nil"/>
              <w:left w:val="nil"/>
              <w:bottom w:val="single" w:sz="4" w:space="0" w:color="D9D9D9"/>
            </w:tcBorders>
            <w:shd w:val="clear" w:color="auto" w:fill="auto"/>
            <w:vAlign w:val="center"/>
            <w:hideMark/>
          </w:tcPr>
          <w:p w14:paraId="47BAE03D"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PROGRAMA DE FOMENTO ÀS ESCOLAS DE ENSINO MÉDIO EM TEMPO INTEGRAL</w:t>
            </w:r>
          </w:p>
        </w:tc>
        <w:tc>
          <w:tcPr>
            <w:tcW w:w="970" w:type="dxa"/>
            <w:tcBorders>
              <w:top w:val="nil"/>
              <w:bottom w:val="nil"/>
              <w:right w:val="single" w:sz="4" w:space="0" w:color="auto"/>
            </w:tcBorders>
            <w:shd w:val="clear" w:color="auto" w:fill="auto"/>
            <w:noWrap/>
            <w:vAlign w:val="center"/>
          </w:tcPr>
          <w:p w14:paraId="67396D95"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212DDCC6"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SDF.D529</w:t>
            </w:r>
          </w:p>
        </w:tc>
        <w:tc>
          <w:tcPr>
            <w:tcW w:w="1246" w:type="dxa"/>
            <w:tcBorders>
              <w:top w:val="nil"/>
              <w:left w:val="nil"/>
              <w:bottom w:val="nil"/>
              <w:right w:val="single" w:sz="4" w:space="0" w:color="auto"/>
            </w:tcBorders>
            <w:shd w:val="clear" w:color="auto" w:fill="auto"/>
            <w:noWrap/>
            <w:vAlign w:val="center"/>
            <w:hideMark/>
          </w:tcPr>
          <w:p w14:paraId="777B6421"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SDF.E529</w:t>
            </w:r>
          </w:p>
        </w:tc>
      </w:tr>
      <w:tr w:rsidR="00BA528E" w:rsidRPr="00BA528E" w14:paraId="51875D90" w14:textId="77777777" w:rsidTr="0015273C">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1DAB0974"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165</w:t>
            </w:r>
          </w:p>
        </w:tc>
        <w:tc>
          <w:tcPr>
            <w:tcW w:w="9866" w:type="dxa"/>
            <w:tcBorders>
              <w:top w:val="nil"/>
              <w:left w:val="nil"/>
              <w:bottom w:val="single" w:sz="4" w:space="0" w:color="D9D9D9"/>
            </w:tcBorders>
            <w:shd w:val="clear" w:color="auto" w:fill="auto"/>
            <w:vAlign w:val="center"/>
            <w:hideMark/>
          </w:tcPr>
          <w:p w14:paraId="4596578B"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PROGRAMA NACIONAL DE ACESSO AO ENSINO TÉCNICO E EMPREGO - PRONATEC</w:t>
            </w:r>
          </w:p>
        </w:tc>
        <w:tc>
          <w:tcPr>
            <w:tcW w:w="970" w:type="dxa"/>
            <w:tcBorders>
              <w:top w:val="nil"/>
              <w:bottom w:val="nil"/>
              <w:right w:val="single" w:sz="4" w:space="0" w:color="auto"/>
            </w:tcBorders>
            <w:shd w:val="clear" w:color="auto" w:fill="auto"/>
            <w:noWrap/>
            <w:vAlign w:val="center"/>
          </w:tcPr>
          <w:p w14:paraId="33A95660"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0263636A"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SDF.D538</w:t>
            </w:r>
          </w:p>
        </w:tc>
        <w:tc>
          <w:tcPr>
            <w:tcW w:w="1246" w:type="dxa"/>
            <w:tcBorders>
              <w:top w:val="nil"/>
              <w:left w:val="nil"/>
              <w:bottom w:val="nil"/>
              <w:right w:val="single" w:sz="4" w:space="0" w:color="auto"/>
            </w:tcBorders>
            <w:shd w:val="clear" w:color="auto" w:fill="auto"/>
            <w:noWrap/>
            <w:vAlign w:val="center"/>
            <w:hideMark/>
          </w:tcPr>
          <w:p w14:paraId="39E99860"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SDF.E538</w:t>
            </w:r>
          </w:p>
        </w:tc>
      </w:tr>
      <w:tr w:rsidR="00BA528E" w:rsidRPr="00BA528E" w14:paraId="6A8B6AAA" w14:textId="77777777" w:rsidTr="0015273C">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511D411E"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302</w:t>
            </w:r>
          </w:p>
        </w:tc>
        <w:tc>
          <w:tcPr>
            <w:tcW w:w="9866" w:type="dxa"/>
            <w:tcBorders>
              <w:top w:val="nil"/>
              <w:left w:val="nil"/>
              <w:bottom w:val="single" w:sz="4" w:space="0" w:color="D9D9D9"/>
            </w:tcBorders>
            <w:shd w:val="clear" w:color="auto" w:fill="auto"/>
            <w:vAlign w:val="center"/>
            <w:hideMark/>
          </w:tcPr>
          <w:p w14:paraId="6A57F3A3"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SUPERÁVIT FINANCEIRO - MDE</w:t>
            </w:r>
          </w:p>
        </w:tc>
        <w:tc>
          <w:tcPr>
            <w:tcW w:w="970" w:type="dxa"/>
            <w:tcBorders>
              <w:top w:val="nil"/>
              <w:bottom w:val="nil"/>
              <w:right w:val="single" w:sz="4" w:space="0" w:color="auto"/>
            </w:tcBorders>
            <w:shd w:val="clear" w:color="auto" w:fill="auto"/>
            <w:noWrap/>
            <w:vAlign w:val="center"/>
          </w:tcPr>
          <w:p w14:paraId="4B2AA8F4"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3EA07255"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SDF.D548</w:t>
            </w:r>
          </w:p>
        </w:tc>
        <w:tc>
          <w:tcPr>
            <w:tcW w:w="1246" w:type="dxa"/>
            <w:tcBorders>
              <w:top w:val="nil"/>
              <w:left w:val="nil"/>
              <w:bottom w:val="nil"/>
              <w:right w:val="single" w:sz="4" w:space="0" w:color="auto"/>
            </w:tcBorders>
            <w:shd w:val="clear" w:color="auto" w:fill="auto"/>
            <w:noWrap/>
            <w:vAlign w:val="center"/>
            <w:hideMark/>
          </w:tcPr>
          <w:p w14:paraId="2C4EEA9E"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SDF.E548</w:t>
            </w:r>
          </w:p>
        </w:tc>
      </w:tr>
      <w:tr w:rsidR="00BA528E" w:rsidRPr="00BA528E" w14:paraId="1AA90975" w14:textId="77777777" w:rsidTr="0015273C">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0187EF9A"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313</w:t>
            </w:r>
          </w:p>
        </w:tc>
        <w:tc>
          <w:tcPr>
            <w:tcW w:w="9866" w:type="dxa"/>
            <w:tcBorders>
              <w:top w:val="nil"/>
              <w:left w:val="nil"/>
              <w:bottom w:val="single" w:sz="4" w:space="0" w:color="D9D9D9"/>
            </w:tcBorders>
            <w:shd w:val="clear" w:color="auto" w:fill="auto"/>
            <w:vAlign w:val="center"/>
            <w:hideMark/>
          </w:tcPr>
          <w:p w14:paraId="56FF9360" w14:textId="52F2AAA1"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 xml:space="preserve">SUPERÁVIT FINANCEIRO - FUNDEB (70%) </w:t>
            </w:r>
          </w:p>
        </w:tc>
        <w:tc>
          <w:tcPr>
            <w:tcW w:w="970" w:type="dxa"/>
            <w:tcBorders>
              <w:top w:val="nil"/>
              <w:bottom w:val="nil"/>
              <w:right w:val="single" w:sz="4" w:space="0" w:color="auto"/>
            </w:tcBorders>
            <w:shd w:val="clear" w:color="auto" w:fill="auto"/>
            <w:noWrap/>
            <w:vAlign w:val="center"/>
          </w:tcPr>
          <w:p w14:paraId="25C5BF11"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2E3FB16A"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SDF.D551</w:t>
            </w:r>
          </w:p>
        </w:tc>
        <w:tc>
          <w:tcPr>
            <w:tcW w:w="1246" w:type="dxa"/>
            <w:tcBorders>
              <w:top w:val="nil"/>
              <w:left w:val="nil"/>
              <w:bottom w:val="nil"/>
              <w:right w:val="single" w:sz="4" w:space="0" w:color="auto"/>
            </w:tcBorders>
            <w:shd w:val="clear" w:color="auto" w:fill="auto"/>
            <w:noWrap/>
            <w:vAlign w:val="center"/>
            <w:hideMark/>
          </w:tcPr>
          <w:p w14:paraId="5C85F8DC"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SDF.E551</w:t>
            </w:r>
          </w:p>
        </w:tc>
      </w:tr>
      <w:tr w:rsidR="00BA528E" w:rsidRPr="00BA528E" w14:paraId="39D8CDA0" w14:textId="77777777" w:rsidTr="0015273C">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61DC98CE"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314</w:t>
            </w:r>
          </w:p>
        </w:tc>
        <w:tc>
          <w:tcPr>
            <w:tcW w:w="9866" w:type="dxa"/>
            <w:tcBorders>
              <w:top w:val="nil"/>
              <w:left w:val="nil"/>
              <w:bottom w:val="single" w:sz="4" w:space="0" w:color="D9D9D9"/>
            </w:tcBorders>
            <w:shd w:val="clear" w:color="auto" w:fill="auto"/>
            <w:vAlign w:val="center"/>
            <w:hideMark/>
          </w:tcPr>
          <w:p w14:paraId="66DF05BA" w14:textId="006609B3"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 xml:space="preserve">SUPERÁVIT FINANCEIRO - FUNDEB (30%) </w:t>
            </w:r>
          </w:p>
        </w:tc>
        <w:tc>
          <w:tcPr>
            <w:tcW w:w="970" w:type="dxa"/>
            <w:tcBorders>
              <w:top w:val="nil"/>
              <w:bottom w:val="nil"/>
              <w:right w:val="single" w:sz="4" w:space="0" w:color="auto"/>
            </w:tcBorders>
            <w:shd w:val="clear" w:color="auto" w:fill="auto"/>
            <w:noWrap/>
            <w:vAlign w:val="center"/>
          </w:tcPr>
          <w:p w14:paraId="14EBAA2F"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2FEC78FC"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SDF.D552</w:t>
            </w:r>
          </w:p>
        </w:tc>
        <w:tc>
          <w:tcPr>
            <w:tcW w:w="1246" w:type="dxa"/>
            <w:tcBorders>
              <w:top w:val="nil"/>
              <w:left w:val="nil"/>
              <w:bottom w:val="nil"/>
              <w:right w:val="single" w:sz="4" w:space="0" w:color="auto"/>
            </w:tcBorders>
            <w:shd w:val="clear" w:color="auto" w:fill="auto"/>
            <w:noWrap/>
            <w:vAlign w:val="center"/>
            <w:hideMark/>
          </w:tcPr>
          <w:p w14:paraId="1DEA1FF5"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SDF.E552</w:t>
            </w:r>
          </w:p>
        </w:tc>
      </w:tr>
      <w:tr w:rsidR="00BA528E" w:rsidRPr="00BA528E" w14:paraId="459CEB85" w14:textId="77777777" w:rsidTr="0015273C">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4D5541E0"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331</w:t>
            </w:r>
          </w:p>
        </w:tc>
        <w:tc>
          <w:tcPr>
            <w:tcW w:w="9866" w:type="dxa"/>
            <w:tcBorders>
              <w:top w:val="nil"/>
              <w:left w:val="nil"/>
              <w:bottom w:val="single" w:sz="4" w:space="0" w:color="D9D9D9"/>
            </w:tcBorders>
            <w:shd w:val="clear" w:color="auto" w:fill="auto"/>
            <w:vAlign w:val="center"/>
            <w:hideMark/>
          </w:tcPr>
          <w:p w14:paraId="5ACD048B"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SUPERÁVIT FINANCEIRO - COTA PARTE ESTADUAL DO SALÁRIO EDUCAÇÃO</w:t>
            </w:r>
          </w:p>
        </w:tc>
        <w:tc>
          <w:tcPr>
            <w:tcW w:w="970" w:type="dxa"/>
            <w:tcBorders>
              <w:top w:val="nil"/>
              <w:bottom w:val="nil"/>
              <w:right w:val="single" w:sz="4" w:space="0" w:color="auto"/>
            </w:tcBorders>
            <w:shd w:val="clear" w:color="auto" w:fill="auto"/>
            <w:noWrap/>
            <w:vAlign w:val="center"/>
          </w:tcPr>
          <w:p w14:paraId="06341DFE"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186F566B"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SDF.D555</w:t>
            </w:r>
          </w:p>
        </w:tc>
        <w:tc>
          <w:tcPr>
            <w:tcW w:w="1246" w:type="dxa"/>
            <w:tcBorders>
              <w:top w:val="nil"/>
              <w:left w:val="nil"/>
              <w:bottom w:val="nil"/>
              <w:right w:val="single" w:sz="4" w:space="0" w:color="auto"/>
            </w:tcBorders>
            <w:shd w:val="clear" w:color="auto" w:fill="auto"/>
            <w:noWrap/>
            <w:vAlign w:val="center"/>
            <w:hideMark/>
          </w:tcPr>
          <w:p w14:paraId="025302BE"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SDF.E555</w:t>
            </w:r>
          </w:p>
        </w:tc>
      </w:tr>
      <w:tr w:rsidR="00BA528E" w:rsidRPr="00BA528E" w14:paraId="5D3E1B60" w14:textId="77777777" w:rsidTr="0015273C">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30042583"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346</w:t>
            </w:r>
          </w:p>
        </w:tc>
        <w:tc>
          <w:tcPr>
            <w:tcW w:w="9866" w:type="dxa"/>
            <w:tcBorders>
              <w:top w:val="nil"/>
              <w:left w:val="nil"/>
              <w:bottom w:val="single" w:sz="4" w:space="0" w:color="D9D9D9"/>
            </w:tcBorders>
            <w:shd w:val="clear" w:color="auto" w:fill="auto"/>
            <w:vAlign w:val="center"/>
            <w:hideMark/>
          </w:tcPr>
          <w:p w14:paraId="2A1FD50E"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SUPERÁVIT FINANCEIRO - PROGRAMA DINHEIRO DIRETO NA ESCOLA - PDDE</w:t>
            </w:r>
          </w:p>
        </w:tc>
        <w:tc>
          <w:tcPr>
            <w:tcW w:w="970" w:type="dxa"/>
            <w:tcBorders>
              <w:top w:val="nil"/>
              <w:bottom w:val="nil"/>
              <w:right w:val="single" w:sz="4" w:space="0" w:color="auto"/>
            </w:tcBorders>
            <w:shd w:val="clear" w:color="auto" w:fill="auto"/>
            <w:noWrap/>
            <w:vAlign w:val="center"/>
          </w:tcPr>
          <w:p w14:paraId="223D31FC"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20B3575B"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SDF.D567</w:t>
            </w:r>
          </w:p>
        </w:tc>
        <w:tc>
          <w:tcPr>
            <w:tcW w:w="1246" w:type="dxa"/>
            <w:tcBorders>
              <w:top w:val="nil"/>
              <w:left w:val="nil"/>
              <w:bottom w:val="nil"/>
              <w:right w:val="single" w:sz="4" w:space="0" w:color="auto"/>
            </w:tcBorders>
            <w:shd w:val="clear" w:color="auto" w:fill="auto"/>
            <w:noWrap/>
            <w:vAlign w:val="center"/>
            <w:hideMark/>
          </w:tcPr>
          <w:p w14:paraId="1B2B0A7D"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SDF.E567</w:t>
            </w:r>
          </w:p>
        </w:tc>
      </w:tr>
      <w:tr w:rsidR="00BA528E" w:rsidRPr="00BA528E" w14:paraId="2DE34B0B" w14:textId="77777777" w:rsidTr="0015273C">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32AD1408"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lastRenderedPageBreak/>
              <w:t>347</w:t>
            </w:r>
          </w:p>
        </w:tc>
        <w:tc>
          <w:tcPr>
            <w:tcW w:w="9866" w:type="dxa"/>
            <w:tcBorders>
              <w:top w:val="nil"/>
              <w:left w:val="nil"/>
              <w:bottom w:val="single" w:sz="4" w:space="0" w:color="D9D9D9"/>
            </w:tcBorders>
            <w:shd w:val="clear" w:color="auto" w:fill="auto"/>
            <w:vAlign w:val="center"/>
            <w:hideMark/>
          </w:tcPr>
          <w:p w14:paraId="34E64ECC"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SUPERÁVIT FINANCEIRO - PROGRAMA NACIONAL DE ALIMENTAÇÃO ESCOLAR - PNAE</w:t>
            </w:r>
          </w:p>
        </w:tc>
        <w:tc>
          <w:tcPr>
            <w:tcW w:w="970" w:type="dxa"/>
            <w:tcBorders>
              <w:top w:val="nil"/>
              <w:bottom w:val="nil"/>
              <w:right w:val="single" w:sz="4" w:space="0" w:color="auto"/>
            </w:tcBorders>
            <w:shd w:val="clear" w:color="auto" w:fill="auto"/>
            <w:noWrap/>
            <w:vAlign w:val="center"/>
          </w:tcPr>
          <w:p w14:paraId="0269C46D"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2EA134AF"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SDF.D568</w:t>
            </w:r>
          </w:p>
        </w:tc>
        <w:tc>
          <w:tcPr>
            <w:tcW w:w="1246" w:type="dxa"/>
            <w:tcBorders>
              <w:top w:val="nil"/>
              <w:left w:val="nil"/>
              <w:bottom w:val="nil"/>
              <w:right w:val="single" w:sz="4" w:space="0" w:color="auto"/>
            </w:tcBorders>
            <w:shd w:val="clear" w:color="auto" w:fill="auto"/>
            <w:noWrap/>
            <w:vAlign w:val="center"/>
            <w:hideMark/>
          </w:tcPr>
          <w:p w14:paraId="796EE20F"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SDF.E568</w:t>
            </w:r>
          </w:p>
        </w:tc>
      </w:tr>
      <w:tr w:rsidR="00BA528E" w:rsidRPr="00BA528E" w14:paraId="46D31B6F" w14:textId="77777777" w:rsidTr="0015273C">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03C2A690"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348</w:t>
            </w:r>
          </w:p>
        </w:tc>
        <w:tc>
          <w:tcPr>
            <w:tcW w:w="9866" w:type="dxa"/>
            <w:tcBorders>
              <w:top w:val="nil"/>
              <w:left w:val="nil"/>
              <w:bottom w:val="single" w:sz="4" w:space="0" w:color="D9D9D9"/>
            </w:tcBorders>
            <w:shd w:val="clear" w:color="auto" w:fill="auto"/>
            <w:vAlign w:val="center"/>
            <w:hideMark/>
          </w:tcPr>
          <w:p w14:paraId="5D7C9350"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SUPERÁVIT FINANCEIRO - PROGRAMA NACIONAL DE APOIO AO TRANSPORTE ESCOLAR - PNATE</w:t>
            </w:r>
          </w:p>
        </w:tc>
        <w:tc>
          <w:tcPr>
            <w:tcW w:w="970" w:type="dxa"/>
            <w:tcBorders>
              <w:top w:val="nil"/>
              <w:bottom w:val="nil"/>
              <w:right w:val="single" w:sz="4" w:space="0" w:color="auto"/>
            </w:tcBorders>
            <w:shd w:val="clear" w:color="auto" w:fill="auto"/>
            <w:noWrap/>
            <w:vAlign w:val="center"/>
          </w:tcPr>
          <w:p w14:paraId="0F2C5C53"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33DEA416"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SDF.D569</w:t>
            </w:r>
          </w:p>
        </w:tc>
        <w:tc>
          <w:tcPr>
            <w:tcW w:w="1246" w:type="dxa"/>
            <w:tcBorders>
              <w:top w:val="nil"/>
              <w:left w:val="nil"/>
              <w:bottom w:val="nil"/>
              <w:right w:val="single" w:sz="4" w:space="0" w:color="auto"/>
            </w:tcBorders>
            <w:shd w:val="clear" w:color="auto" w:fill="auto"/>
            <w:noWrap/>
            <w:vAlign w:val="center"/>
            <w:hideMark/>
          </w:tcPr>
          <w:p w14:paraId="7F49A1DA"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SDF.E569</w:t>
            </w:r>
          </w:p>
        </w:tc>
      </w:tr>
      <w:tr w:rsidR="00BA528E" w:rsidRPr="00BA528E" w14:paraId="3E4FEF30" w14:textId="77777777" w:rsidTr="0015273C">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2BD05940"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349</w:t>
            </w:r>
          </w:p>
        </w:tc>
        <w:tc>
          <w:tcPr>
            <w:tcW w:w="9866" w:type="dxa"/>
            <w:tcBorders>
              <w:top w:val="nil"/>
              <w:left w:val="nil"/>
              <w:bottom w:val="single" w:sz="4" w:space="0" w:color="D9D9D9"/>
            </w:tcBorders>
            <w:shd w:val="clear" w:color="auto" w:fill="auto"/>
            <w:vAlign w:val="center"/>
            <w:hideMark/>
          </w:tcPr>
          <w:p w14:paraId="72FCC39D"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SUPERÁVIT FINANCEIRO - PROGRAMA BRASIL ALFABETIZADO</w:t>
            </w:r>
          </w:p>
        </w:tc>
        <w:tc>
          <w:tcPr>
            <w:tcW w:w="970" w:type="dxa"/>
            <w:tcBorders>
              <w:top w:val="nil"/>
              <w:bottom w:val="nil"/>
              <w:right w:val="single" w:sz="4" w:space="0" w:color="auto"/>
            </w:tcBorders>
            <w:shd w:val="clear" w:color="auto" w:fill="auto"/>
            <w:noWrap/>
            <w:vAlign w:val="center"/>
          </w:tcPr>
          <w:p w14:paraId="65E9564B"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43A0699E"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SDF.D570</w:t>
            </w:r>
          </w:p>
        </w:tc>
        <w:tc>
          <w:tcPr>
            <w:tcW w:w="1246" w:type="dxa"/>
            <w:tcBorders>
              <w:top w:val="nil"/>
              <w:left w:val="nil"/>
              <w:bottom w:val="nil"/>
              <w:right w:val="single" w:sz="4" w:space="0" w:color="auto"/>
            </w:tcBorders>
            <w:shd w:val="clear" w:color="auto" w:fill="auto"/>
            <w:noWrap/>
            <w:vAlign w:val="center"/>
            <w:hideMark/>
          </w:tcPr>
          <w:p w14:paraId="7C009B3A"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SDF.E570</w:t>
            </w:r>
          </w:p>
        </w:tc>
      </w:tr>
      <w:tr w:rsidR="00BA528E" w:rsidRPr="00BA528E" w14:paraId="58250EC5" w14:textId="77777777" w:rsidTr="0015273C">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1B97ECAA"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351</w:t>
            </w:r>
          </w:p>
        </w:tc>
        <w:tc>
          <w:tcPr>
            <w:tcW w:w="9866" w:type="dxa"/>
            <w:tcBorders>
              <w:top w:val="nil"/>
              <w:left w:val="nil"/>
              <w:bottom w:val="single" w:sz="4" w:space="0" w:color="D9D9D9"/>
            </w:tcBorders>
            <w:shd w:val="clear" w:color="auto" w:fill="auto"/>
            <w:vAlign w:val="center"/>
            <w:hideMark/>
          </w:tcPr>
          <w:p w14:paraId="2E5F02A3"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SUPERÁVIT FINANCEIRO - PROGRAMA DE APOIO SISTEMA DE ENSINO PARA ATENDIMENTO AO EJA</w:t>
            </w:r>
          </w:p>
        </w:tc>
        <w:tc>
          <w:tcPr>
            <w:tcW w:w="970" w:type="dxa"/>
            <w:tcBorders>
              <w:top w:val="nil"/>
              <w:bottom w:val="nil"/>
              <w:right w:val="single" w:sz="4" w:space="0" w:color="auto"/>
            </w:tcBorders>
            <w:shd w:val="clear" w:color="auto" w:fill="auto"/>
            <w:noWrap/>
            <w:vAlign w:val="center"/>
          </w:tcPr>
          <w:p w14:paraId="0DF4E8A1"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078D31EC"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SDF.D572</w:t>
            </w:r>
          </w:p>
        </w:tc>
        <w:tc>
          <w:tcPr>
            <w:tcW w:w="1246" w:type="dxa"/>
            <w:tcBorders>
              <w:top w:val="nil"/>
              <w:left w:val="nil"/>
              <w:bottom w:val="nil"/>
              <w:right w:val="single" w:sz="4" w:space="0" w:color="auto"/>
            </w:tcBorders>
            <w:shd w:val="clear" w:color="auto" w:fill="auto"/>
            <w:noWrap/>
            <w:vAlign w:val="center"/>
            <w:hideMark/>
          </w:tcPr>
          <w:p w14:paraId="4EC0DE82"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SDF.E572</w:t>
            </w:r>
          </w:p>
        </w:tc>
      </w:tr>
      <w:tr w:rsidR="00BA528E" w:rsidRPr="00BA528E" w14:paraId="4193C587" w14:textId="77777777" w:rsidTr="0015273C">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20B48AD6"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352</w:t>
            </w:r>
          </w:p>
        </w:tc>
        <w:tc>
          <w:tcPr>
            <w:tcW w:w="9866" w:type="dxa"/>
            <w:tcBorders>
              <w:top w:val="nil"/>
              <w:left w:val="nil"/>
              <w:bottom w:val="single" w:sz="4" w:space="0" w:color="D9D9D9"/>
            </w:tcBorders>
            <w:shd w:val="clear" w:color="auto" w:fill="auto"/>
            <w:vAlign w:val="center"/>
            <w:hideMark/>
          </w:tcPr>
          <w:p w14:paraId="493F0377"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SUPERÁVIT FINANCEIRO -  PROGRAMA DE FOMENTO ÀS ESCOLAS DE ENSINO MÉDIO EM TEMPO INTEGRAL</w:t>
            </w:r>
          </w:p>
        </w:tc>
        <w:tc>
          <w:tcPr>
            <w:tcW w:w="970" w:type="dxa"/>
            <w:tcBorders>
              <w:top w:val="nil"/>
              <w:bottom w:val="nil"/>
              <w:right w:val="single" w:sz="4" w:space="0" w:color="auto"/>
            </w:tcBorders>
            <w:shd w:val="clear" w:color="auto" w:fill="auto"/>
            <w:noWrap/>
            <w:vAlign w:val="center"/>
          </w:tcPr>
          <w:p w14:paraId="1174D043"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4966609F"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SDF.D573</w:t>
            </w:r>
          </w:p>
        </w:tc>
        <w:tc>
          <w:tcPr>
            <w:tcW w:w="1246" w:type="dxa"/>
            <w:tcBorders>
              <w:top w:val="nil"/>
              <w:left w:val="nil"/>
              <w:bottom w:val="nil"/>
              <w:right w:val="single" w:sz="4" w:space="0" w:color="auto"/>
            </w:tcBorders>
            <w:shd w:val="clear" w:color="auto" w:fill="auto"/>
            <w:noWrap/>
            <w:vAlign w:val="center"/>
            <w:hideMark/>
          </w:tcPr>
          <w:p w14:paraId="77959C22"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SDF.E573</w:t>
            </w:r>
          </w:p>
        </w:tc>
      </w:tr>
      <w:tr w:rsidR="00BA528E" w:rsidRPr="00BA528E" w14:paraId="170EC604" w14:textId="77777777" w:rsidTr="0015273C">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5D0DAB93"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365</w:t>
            </w:r>
          </w:p>
        </w:tc>
        <w:tc>
          <w:tcPr>
            <w:tcW w:w="9866" w:type="dxa"/>
            <w:tcBorders>
              <w:top w:val="nil"/>
              <w:left w:val="nil"/>
              <w:bottom w:val="single" w:sz="4" w:space="0" w:color="D9D9D9"/>
            </w:tcBorders>
            <w:shd w:val="clear" w:color="auto" w:fill="auto"/>
            <w:vAlign w:val="center"/>
            <w:hideMark/>
          </w:tcPr>
          <w:p w14:paraId="707C16F1"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SUPERÁVIT FINANCEIRO - PRONATEC</w:t>
            </w:r>
          </w:p>
        </w:tc>
        <w:tc>
          <w:tcPr>
            <w:tcW w:w="970" w:type="dxa"/>
            <w:tcBorders>
              <w:top w:val="nil"/>
              <w:bottom w:val="nil"/>
              <w:right w:val="single" w:sz="4" w:space="0" w:color="auto"/>
            </w:tcBorders>
            <w:shd w:val="clear" w:color="auto" w:fill="auto"/>
            <w:noWrap/>
            <w:vAlign w:val="center"/>
          </w:tcPr>
          <w:p w14:paraId="63891502"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1CF7D880"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SDF.D582</w:t>
            </w:r>
          </w:p>
        </w:tc>
        <w:tc>
          <w:tcPr>
            <w:tcW w:w="1246" w:type="dxa"/>
            <w:tcBorders>
              <w:top w:val="nil"/>
              <w:left w:val="nil"/>
              <w:bottom w:val="nil"/>
              <w:right w:val="single" w:sz="4" w:space="0" w:color="auto"/>
            </w:tcBorders>
            <w:shd w:val="clear" w:color="auto" w:fill="auto"/>
            <w:noWrap/>
            <w:vAlign w:val="center"/>
            <w:hideMark/>
          </w:tcPr>
          <w:p w14:paraId="6B397A1E"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SDF.E582</w:t>
            </w:r>
          </w:p>
        </w:tc>
      </w:tr>
      <w:tr w:rsidR="00BA528E" w:rsidRPr="00BA528E" w14:paraId="7113BFD4" w14:textId="77777777" w:rsidTr="0015273C">
        <w:trPr>
          <w:trHeight w:val="302"/>
        </w:trPr>
        <w:tc>
          <w:tcPr>
            <w:tcW w:w="938" w:type="dxa"/>
            <w:tcBorders>
              <w:top w:val="nil"/>
              <w:left w:val="single" w:sz="4" w:space="0" w:color="auto"/>
              <w:bottom w:val="nil"/>
              <w:right w:val="single" w:sz="4" w:space="0" w:color="auto"/>
            </w:tcBorders>
            <w:shd w:val="clear" w:color="auto" w:fill="auto"/>
            <w:noWrap/>
            <w:vAlign w:val="center"/>
            <w:hideMark/>
          </w:tcPr>
          <w:p w14:paraId="2CCF3755" w14:textId="77777777" w:rsidR="00BA528E" w:rsidRPr="00BA528E" w:rsidRDefault="00BA528E" w:rsidP="0015273C">
            <w:pPr>
              <w:spacing w:after="0" w:line="240" w:lineRule="auto"/>
              <w:jc w:val="center"/>
              <w:rPr>
                <w:rFonts w:ascii="Arial Narrow" w:eastAsia="Times New Roman" w:hAnsi="Arial Narrow" w:cs="Calibri"/>
                <w:sz w:val="16"/>
                <w:szCs w:val="16"/>
                <w:lang w:eastAsia="pt-BR"/>
              </w:rPr>
            </w:pPr>
            <w:r w:rsidRPr="00BA528E">
              <w:rPr>
                <w:rFonts w:ascii="Arial Narrow" w:eastAsia="Times New Roman" w:hAnsi="Arial Narrow" w:cs="Calibri"/>
                <w:sz w:val="16"/>
                <w:szCs w:val="16"/>
                <w:lang w:eastAsia="pt-BR"/>
              </w:rPr>
              <w:t> </w:t>
            </w:r>
          </w:p>
        </w:tc>
        <w:tc>
          <w:tcPr>
            <w:tcW w:w="9866" w:type="dxa"/>
            <w:tcBorders>
              <w:top w:val="nil"/>
              <w:left w:val="nil"/>
              <w:bottom w:val="nil"/>
            </w:tcBorders>
            <w:shd w:val="clear" w:color="auto" w:fill="auto"/>
            <w:noWrap/>
            <w:vAlign w:val="center"/>
            <w:hideMark/>
          </w:tcPr>
          <w:p w14:paraId="248A9458" w14:textId="77777777" w:rsidR="00BA528E" w:rsidRPr="00BA528E" w:rsidRDefault="00BA528E" w:rsidP="0015273C">
            <w:pPr>
              <w:spacing w:after="0" w:line="240" w:lineRule="auto"/>
              <w:rPr>
                <w:rFonts w:ascii="Arial Narrow" w:eastAsia="Times New Roman" w:hAnsi="Arial Narrow" w:cs="Arial"/>
                <w:b/>
                <w:bCs/>
                <w:sz w:val="16"/>
                <w:szCs w:val="16"/>
                <w:lang w:eastAsia="pt-BR"/>
              </w:rPr>
            </w:pPr>
            <w:r w:rsidRPr="00BA528E">
              <w:rPr>
                <w:rFonts w:ascii="Arial Narrow" w:eastAsia="Times New Roman" w:hAnsi="Arial Narrow" w:cs="Arial"/>
                <w:b/>
                <w:bCs/>
                <w:sz w:val="16"/>
                <w:szCs w:val="16"/>
                <w:lang w:eastAsia="pt-BR"/>
              </w:rPr>
              <w:t xml:space="preserve">  RECURSOS VINCULADOS À SAÚDE</w:t>
            </w:r>
          </w:p>
        </w:tc>
        <w:tc>
          <w:tcPr>
            <w:tcW w:w="970" w:type="dxa"/>
            <w:tcBorders>
              <w:top w:val="nil"/>
              <w:bottom w:val="nil"/>
              <w:right w:val="single" w:sz="4" w:space="0" w:color="auto"/>
            </w:tcBorders>
            <w:shd w:val="clear" w:color="auto" w:fill="auto"/>
            <w:noWrap/>
            <w:vAlign w:val="center"/>
          </w:tcPr>
          <w:p w14:paraId="7369ACFD" w14:textId="77777777" w:rsidR="00BA528E" w:rsidRPr="00BA528E" w:rsidRDefault="00BA528E" w:rsidP="0015273C">
            <w:pPr>
              <w:spacing w:after="0" w:line="240" w:lineRule="auto"/>
              <w:jc w:val="center"/>
              <w:rPr>
                <w:rFonts w:ascii="Arial Narrow" w:eastAsia="Times New Roman" w:hAnsi="Arial Narrow" w:cs="Arial"/>
                <w:b/>
                <w:bCs/>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381E4884" w14:textId="77777777" w:rsidR="00BA528E" w:rsidRPr="00BA528E" w:rsidRDefault="00BA528E" w:rsidP="0015273C">
            <w:pPr>
              <w:spacing w:after="0" w:line="240" w:lineRule="auto"/>
              <w:jc w:val="center"/>
              <w:rPr>
                <w:rFonts w:ascii="Arial Narrow" w:eastAsia="Times New Roman" w:hAnsi="Arial Narrow" w:cs="Arial"/>
                <w:b/>
                <w:bCs/>
                <w:sz w:val="16"/>
                <w:szCs w:val="16"/>
                <w:lang w:eastAsia="pt-BR"/>
              </w:rPr>
            </w:pPr>
            <w:r w:rsidRPr="00BA528E">
              <w:rPr>
                <w:rFonts w:ascii="Arial Narrow" w:eastAsia="Times New Roman" w:hAnsi="Arial Narrow" w:cs="Arial"/>
                <w:b/>
                <w:bCs/>
                <w:sz w:val="16"/>
                <w:szCs w:val="16"/>
                <w:lang w:eastAsia="pt-BR"/>
              </w:rPr>
              <w:t>SDF.D078</w:t>
            </w:r>
          </w:p>
        </w:tc>
        <w:tc>
          <w:tcPr>
            <w:tcW w:w="1246" w:type="dxa"/>
            <w:tcBorders>
              <w:top w:val="nil"/>
              <w:left w:val="nil"/>
              <w:bottom w:val="nil"/>
              <w:right w:val="single" w:sz="4" w:space="0" w:color="auto"/>
            </w:tcBorders>
            <w:shd w:val="clear" w:color="auto" w:fill="auto"/>
            <w:noWrap/>
            <w:vAlign w:val="center"/>
            <w:hideMark/>
          </w:tcPr>
          <w:p w14:paraId="7CD0CB4A" w14:textId="77777777" w:rsidR="00BA528E" w:rsidRPr="00BA528E" w:rsidRDefault="00BA528E" w:rsidP="0015273C">
            <w:pPr>
              <w:spacing w:after="0" w:line="240" w:lineRule="auto"/>
              <w:jc w:val="center"/>
              <w:rPr>
                <w:rFonts w:ascii="Arial Narrow" w:eastAsia="Times New Roman" w:hAnsi="Arial Narrow" w:cs="Arial"/>
                <w:b/>
                <w:bCs/>
                <w:sz w:val="16"/>
                <w:szCs w:val="16"/>
                <w:lang w:eastAsia="pt-BR"/>
              </w:rPr>
            </w:pPr>
            <w:r w:rsidRPr="00BA528E">
              <w:rPr>
                <w:rFonts w:ascii="Arial Narrow" w:eastAsia="Times New Roman" w:hAnsi="Arial Narrow" w:cs="Arial"/>
                <w:b/>
                <w:bCs/>
                <w:sz w:val="16"/>
                <w:szCs w:val="16"/>
                <w:lang w:eastAsia="pt-BR"/>
              </w:rPr>
              <w:t>SDF.E078</w:t>
            </w:r>
          </w:p>
        </w:tc>
      </w:tr>
      <w:tr w:rsidR="00BA528E" w:rsidRPr="00BA528E" w14:paraId="3F0A137C" w14:textId="77777777" w:rsidTr="0015273C">
        <w:trPr>
          <w:trHeight w:val="302"/>
        </w:trPr>
        <w:tc>
          <w:tcPr>
            <w:tcW w:w="938" w:type="dxa"/>
            <w:tcBorders>
              <w:top w:val="single" w:sz="4" w:space="0" w:color="D9D9D9"/>
              <w:left w:val="single" w:sz="4" w:space="0" w:color="auto"/>
              <w:bottom w:val="single" w:sz="4" w:space="0" w:color="D9D9D9"/>
              <w:right w:val="single" w:sz="4" w:space="0" w:color="auto"/>
            </w:tcBorders>
            <w:shd w:val="clear" w:color="auto" w:fill="auto"/>
            <w:vAlign w:val="center"/>
            <w:hideMark/>
          </w:tcPr>
          <w:p w14:paraId="1DB3223A" w14:textId="77777777" w:rsidR="00BA528E" w:rsidRPr="00BA528E" w:rsidRDefault="00BA528E" w:rsidP="0015273C">
            <w:pPr>
              <w:spacing w:after="0" w:line="240" w:lineRule="auto"/>
              <w:jc w:val="center"/>
              <w:rPr>
                <w:rFonts w:ascii="Arial Narrow" w:eastAsia="Times New Roman" w:hAnsi="Arial Narrow" w:cs="Calibri"/>
                <w:sz w:val="16"/>
                <w:szCs w:val="16"/>
                <w:lang w:eastAsia="pt-BR"/>
              </w:rPr>
            </w:pPr>
            <w:r w:rsidRPr="00BA528E">
              <w:rPr>
                <w:rFonts w:ascii="Arial Narrow" w:eastAsia="Times New Roman" w:hAnsi="Arial Narrow" w:cs="Calibri"/>
                <w:sz w:val="16"/>
                <w:szCs w:val="16"/>
                <w:lang w:eastAsia="pt-BR"/>
              </w:rPr>
              <w:t>104</w:t>
            </w:r>
          </w:p>
        </w:tc>
        <w:tc>
          <w:tcPr>
            <w:tcW w:w="9866" w:type="dxa"/>
            <w:tcBorders>
              <w:top w:val="single" w:sz="4" w:space="0" w:color="D9D9D9"/>
              <w:left w:val="nil"/>
              <w:bottom w:val="single" w:sz="4" w:space="0" w:color="D9D9D9"/>
            </w:tcBorders>
            <w:shd w:val="clear" w:color="auto" w:fill="auto"/>
            <w:vAlign w:val="center"/>
            <w:hideMark/>
          </w:tcPr>
          <w:p w14:paraId="7C34C86F" w14:textId="77777777" w:rsidR="00BA528E" w:rsidRPr="00BA528E" w:rsidRDefault="00BA528E" w:rsidP="0015273C">
            <w:pPr>
              <w:spacing w:after="0" w:line="240" w:lineRule="auto"/>
              <w:rPr>
                <w:rFonts w:ascii="Arial Narrow" w:eastAsia="Times New Roman" w:hAnsi="Arial Narrow" w:cs="Calibri"/>
                <w:sz w:val="16"/>
                <w:szCs w:val="16"/>
                <w:lang w:eastAsia="pt-BR"/>
              </w:rPr>
            </w:pPr>
            <w:r w:rsidRPr="00BA528E">
              <w:rPr>
                <w:rFonts w:ascii="Arial Narrow" w:eastAsia="Times New Roman" w:hAnsi="Arial Narrow" w:cs="Calibri"/>
                <w:sz w:val="16"/>
                <w:szCs w:val="16"/>
                <w:lang w:eastAsia="pt-BR"/>
              </w:rPr>
              <w:t>AÇÕES E SERVIÇOS DE SAÚDE</w:t>
            </w:r>
          </w:p>
        </w:tc>
        <w:tc>
          <w:tcPr>
            <w:tcW w:w="970" w:type="dxa"/>
            <w:tcBorders>
              <w:top w:val="nil"/>
              <w:bottom w:val="nil"/>
              <w:right w:val="single" w:sz="4" w:space="0" w:color="auto"/>
            </w:tcBorders>
            <w:shd w:val="clear" w:color="auto" w:fill="auto"/>
            <w:noWrap/>
            <w:vAlign w:val="center"/>
          </w:tcPr>
          <w:p w14:paraId="0FFA4177" w14:textId="77777777" w:rsidR="00BA528E" w:rsidRPr="00BA528E" w:rsidRDefault="00BA528E" w:rsidP="0015273C">
            <w:pPr>
              <w:spacing w:after="0" w:line="240" w:lineRule="auto"/>
              <w:jc w:val="center"/>
              <w:rPr>
                <w:rFonts w:ascii="Arial Narrow" w:eastAsia="Times New Roman" w:hAnsi="Arial Narrow" w:cs="Calibri"/>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0EAE1E84"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SDF.D505</w:t>
            </w:r>
          </w:p>
        </w:tc>
        <w:tc>
          <w:tcPr>
            <w:tcW w:w="1246" w:type="dxa"/>
            <w:tcBorders>
              <w:top w:val="nil"/>
              <w:left w:val="nil"/>
              <w:bottom w:val="nil"/>
              <w:right w:val="single" w:sz="4" w:space="0" w:color="auto"/>
            </w:tcBorders>
            <w:shd w:val="clear" w:color="auto" w:fill="auto"/>
            <w:noWrap/>
            <w:vAlign w:val="center"/>
            <w:hideMark/>
          </w:tcPr>
          <w:p w14:paraId="48D56ED7"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SDF.E505</w:t>
            </w:r>
          </w:p>
        </w:tc>
      </w:tr>
      <w:tr w:rsidR="00BA528E" w:rsidRPr="00BA528E" w14:paraId="658D4FEF" w14:textId="77777777" w:rsidTr="0015273C">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009A4CAD"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130</w:t>
            </w:r>
          </w:p>
        </w:tc>
        <w:tc>
          <w:tcPr>
            <w:tcW w:w="9866" w:type="dxa"/>
            <w:tcBorders>
              <w:top w:val="nil"/>
              <w:left w:val="nil"/>
              <w:bottom w:val="nil"/>
            </w:tcBorders>
            <w:shd w:val="clear" w:color="auto" w:fill="auto"/>
            <w:noWrap/>
            <w:vAlign w:val="center"/>
            <w:hideMark/>
          </w:tcPr>
          <w:p w14:paraId="3A7C270B"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PROGRAMA FEDERATIVO DE ENFRENTAMENTO AO COVID-19 VINCULADO ÀS AÇÕES DE SAÚDE E ASSISTÊNCIA SOCIAL – LC 173/20</w:t>
            </w:r>
          </w:p>
        </w:tc>
        <w:tc>
          <w:tcPr>
            <w:tcW w:w="970" w:type="dxa"/>
            <w:tcBorders>
              <w:top w:val="nil"/>
              <w:bottom w:val="nil"/>
              <w:right w:val="single" w:sz="4" w:space="0" w:color="auto"/>
            </w:tcBorders>
            <w:shd w:val="clear" w:color="auto" w:fill="auto"/>
            <w:noWrap/>
            <w:vAlign w:val="center"/>
          </w:tcPr>
          <w:p w14:paraId="47F2B28E"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44B8C38F"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SDF.D596</w:t>
            </w:r>
          </w:p>
        </w:tc>
        <w:tc>
          <w:tcPr>
            <w:tcW w:w="1246" w:type="dxa"/>
            <w:tcBorders>
              <w:top w:val="nil"/>
              <w:left w:val="nil"/>
              <w:bottom w:val="nil"/>
              <w:right w:val="single" w:sz="4" w:space="0" w:color="auto"/>
            </w:tcBorders>
            <w:shd w:val="clear" w:color="auto" w:fill="auto"/>
            <w:noWrap/>
            <w:vAlign w:val="center"/>
            <w:hideMark/>
          </w:tcPr>
          <w:p w14:paraId="7F3313D8"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SDF.E596</w:t>
            </w:r>
          </w:p>
        </w:tc>
      </w:tr>
      <w:tr w:rsidR="00BA528E" w:rsidRPr="00BA528E" w14:paraId="064FCB5B" w14:textId="77777777" w:rsidTr="0015273C">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7940776F" w14:textId="77777777" w:rsidR="00BA528E" w:rsidRPr="00BA528E" w:rsidRDefault="00BA528E" w:rsidP="0015273C">
            <w:pPr>
              <w:spacing w:after="0" w:line="240" w:lineRule="auto"/>
              <w:jc w:val="center"/>
              <w:rPr>
                <w:rFonts w:ascii="Arial Narrow" w:eastAsia="Times New Roman" w:hAnsi="Arial Narrow" w:cs="Calibri"/>
                <w:sz w:val="16"/>
                <w:szCs w:val="16"/>
                <w:lang w:eastAsia="pt-BR"/>
              </w:rPr>
            </w:pPr>
            <w:r w:rsidRPr="00BA528E">
              <w:rPr>
                <w:rFonts w:ascii="Arial Narrow" w:eastAsia="Times New Roman" w:hAnsi="Arial Narrow" w:cs="Calibri"/>
                <w:sz w:val="16"/>
                <w:szCs w:val="16"/>
                <w:lang w:eastAsia="pt-BR"/>
              </w:rPr>
              <w:t>134</w:t>
            </w:r>
          </w:p>
        </w:tc>
        <w:tc>
          <w:tcPr>
            <w:tcW w:w="9866" w:type="dxa"/>
            <w:tcBorders>
              <w:top w:val="single" w:sz="4" w:space="0" w:color="D9D9D9"/>
              <w:left w:val="nil"/>
              <w:bottom w:val="single" w:sz="4" w:space="0" w:color="D9D9D9"/>
            </w:tcBorders>
            <w:shd w:val="clear" w:color="auto" w:fill="auto"/>
            <w:vAlign w:val="center"/>
            <w:hideMark/>
          </w:tcPr>
          <w:p w14:paraId="3932E7F1" w14:textId="77777777" w:rsidR="00BA528E" w:rsidRPr="00BA528E" w:rsidRDefault="00BA528E" w:rsidP="0015273C">
            <w:pPr>
              <w:spacing w:after="0" w:line="240" w:lineRule="auto"/>
              <w:rPr>
                <w:rFonts w:ascii="Arial Narrow" w:eastAsia="Times New Roman" w:hAnsi="Arial Narrow" w:cs="Calibri"/>
                <w:sz w:val="16"/>
                <w:szCs w:val="16"/>
                <w:lang w:eastAsia="pt-BR"/>
              </w:rPr>
            </w:pPr>
            <w:r w:rsidRPr="00BA528E">
              <w:rPr>
                <w:rFonts w:ascii="Arial Narrow" w:eastAsia="Times New Roman" w:hAnsi="Arial Narrow" w:cs="Calibri"/>
                <w:sz w:val="16"/>
                <w:szCs w:val="16"/>
                <w:lang w:eastAsia="pt-BR"/>
              </w:rPr>
              <w:t>INCENTIVO SUS - UNIÃO</w:t>
            </w:r>
          </w:p>
        </w:tc>
        <w:tc>
          <w:tcPr>
            <w:tcW w:w="970" w:type="dxa"/>
            <w:tcBorders>
              <w:top w:val="nil"/>
              <w:bottom w:val="nil"/>
              <w:right w:val="single" w:sz="4" w:space="0" w:color="auto"/>
            </w:tcBorders>
            <w:shd w:val="clear" w:color="auto" w:fill="auto"/>
            <w:noWrap/>
            <w:vAlign w:val="center"/>
          </w:tcPr>
          <w:p w14:paraId="70F8E3E3" w14:textId="77777777" w:rsidR="00BA528E" w:rsidRPr="00BA528E" w:rsidRDefault="00BA528E" w:rsidP="0015273C">
            <w:pPr>
              <w:spacing w:after="0" w:line="240" w:lineRule="auto"/>
              <w:jc w:val="center"/>
              <w:rPr>
                <w:rFonts w:ascii="Arial Narrow" w:eastAsia="Times New Roman" w:hAnsi="Arial Narrow" w:cs="Calibri"/>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174B656B"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SDF.D514</w:t>
            </w:r>
          </w:p>
        </w:tc>
        <w:tc>
          <w:tcPr>
            <w:tcW w:w="1246" w:type="dxa"/>
            <w:tcBorders>
              <w:top w:val="nil"/>
              <w:left w:val="nil"/>
              <w:bottom w:val="nil"/>
              <w:right w:val="single" w:sz="4" w:space="0" w:color="auto"/>
            </w:tcBorders>
            <w:shd w:val="clear" w:color="auto" w:fill="auto"/>
            <w:noWrap/>
            <w:vAlign w:val="center"/>
            <w:hideMark/>
          </w:tcPr>
          <w:p w14:paraId="427E675A"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SDF.E514</w:t>
            </w:r>
          </w:p>
        </w:tc>
      </w:tr>
      <w:tr w:rsidR="00BA528E" w:rsidRPr="00BA528E" w14:paraId="4AA792DC" w14:textId="77777777" w:rsidTr="0015273C">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3E390580" w14:textId="77777777" w:rsidR="00BA528E" w:rsidRPr="00BA528E" w:rsidRDefault="00BA528E" w:rsidP="0015273C">
            <w:pPr>
              <w:spacing w:after="0" w:line="240" w:lineRule="auto"/>
              <w:jc w:val="center"/>
              <w:rPr>
                <w:rFonts w:ascii="Arial Narrow" w:eastAsia="Times New Roman" w:hAnsi="Arial Narrow" w:cs="Calibri"/>
                <w:sz w:val="16"/>
                <w:szCs w:val="16"/>
                <w:lang w:eastAsia="pt-BR"/>
              </w:rPr>
            </w:pPr>
            <w:r w:rsidRPr="00BA528E">
              <w:rPr>
                <w:rFonts w:ascii="Arial Narrow" w:eastAsia="Times New Roman" w:hAnsi="Arial Narrow" w:cs="Calibri"/>
                <w:sz w:val="16"/>
                <w:szCs w:val="16"/>
                <w:lang w:eastAsia="pt-BR"/>
              </w:rPr>
              <w:t>135</w:t>
            </w:r>
          </w:p>
        </w:tc>
        <w:tc>
          <w:tcPr>
            <w:tcW w:w="9866" w:type="dxa"/>
            <w:tcBorders>
              <w:top w:val="nil"/>
              <w:left w:val="nil"/>
              <w:bottom w:val="single" w:sz="4" w:space="0" w:color="D9D9D9"/>
            </w:tcBorders>
            <w:shd w:val="clear" w:color="auto" w:fill="auto"/>
            <w:vAlign w:val="center"/>
            <w:hideMark/>
          </w:tcPr>
          <w:p w14:paraId="2C94D61E" w14:textId="77777777" w:rsidR="00BA528E" w:rsidRPr="00BA528E" w:rsidRDefault="00BA528E" w:rsidP="0015273C">
            <w:pPr>
              <w:spacing w:after="0" w:line="240" w:lineRule="auto"/>
              <w:rPr>
                <w:rFonts w:ascii="Arial Narrow" w:eastAsia="Times New Roman" w:hAnsi="Arial Narrow" w:cs="Calibri"/>
                <w:sz w:val="16"/>
                <w:szCs w:val="16"/>
                <w:lang w:eastAsia="pt-BR"/>
              </w:rPr>
            </w:pPr>
            <w:r w:rsidRPr="00BA528E">
              <w:rPr>
                <w:rFonts w:ascii="Arial Narrow" w:eastAsia="Times New Roman" w:hAnsi="Arial Narrow" w:cs="Calibri"/>
                <w:sz w:val="16"/>
                <w:szCs w:val="16"/>
                <w:lang w:eastAsia="pt-BR"/>
              </w:rPr>
              <w:t>SUS - PRODUÇÃO</w:t>
            </w:r>
          </w:p>
        </w:tc>
        <w:tc>
          <w:tcPr>
            <w:tcW w:w="970" w:type="dxa"/>
            <w:tcBorders>
              <w:top w:val="nil"/>
              <w:bottom w:val="nil"/>
              <w:right w:val="single" w:sz="4" w:space="0" w:color="auto"/>
            </w:tcBorders>
            <w:shd w:val="clear" w:color="auto" w:fill="auto"/>
            <w:noWrap/>
            <w:vAlign w:val="center"/>
          </w:tcPr>
          <w:p w14:paraId="64E715D6" w14:textId="77777777" w:rsidR="00BA528E" w:rsidRPr="00BA528E" w:rsidRDefault="00BA528E" w:rsidP="0015273C">
            <w:pPr>
              <w:spacing w:after="0" w:line="240" w:lineRule="auto"/>
              <w:jc w:val="center"/>
              <w:rPr>
                <w:rFonts w:ascii="Arial Narrow" w:eastAsia="Times New Roman" w:hAnsi="Arial Narrow" w:cs="Calibri"/>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103DA3E3"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SDF.D515</w:t>
            </w:r>
          </w:p>
        </w:tc>
        <w:tc>
          <w:tcPr>
            <w:tcW w:w="1246" w:type="dxa"/>
            <w:tcBorders>
              <w:top w:val="nil"/>
              <w:left w:val="nil"/>
              <w:bottom w:val="nil"/>
              <w:right w:val="single" w:sz="4" w:space="0" w:color="auto"/>
            </w:tcBorders>
            <w:shd w:val="clear" w:color="auto" w:fill="auto"/>
            <w:noWrap/>
            <w:vAlign w:val="center"/>
            <w:hideMark/>
          </w:tcPr>
          <w:p w14:paraId="27C4F995"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SDF.E515</w:t>
            </w:r>
          </w:p>
        </w:tc>
      </w:tr>
      <w:tr w:rsidR="00BA528E" w:rsidRPr="00BA528E" w14:paraId="17061142" w14:textId="77777777" w:rsidTr="0015273C">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19B9D193" w14:textId="77777777" w:rsidR="00BA528E" w:rsidRPr="00BA528E" w:rsidRDefault="00BA528E" w:rsidP="0015273C">
            <w:pPr>
              <w:spacing w:after="0" w:line="240" w:lineRule="auto"/>
              <w:jc w:val="center"/>
              <w:rPr>
                <w:rFonts w:ascii="Arial Narrow" w:eastAsia="Times New Roman" w:hAnsi="Arial Narrow" w:cs="Calibri"/>
                <w:sz w:val="16"/>
                <w:szCs w:val="16"/>
                <w:lang w:eastAsia="pt-BR"/>
              </w:rPr>
            </w:pPr>
            <w:r w:rsidRPr="00BA528E">
              <w:rPr>
                <w:rFonts w:ascii="Arial Narrow" w:eastAsia="Times New Roman" w:hAnsi="Arial Narrow" w:cs="Calibri"/>
                <w:sz w:val="16"/>
                <w:szCs w:val="16"/>
                <w:lang w:eastAsia="pt-BR"/>
              </w:rPr>
              <w:t>155</w:t>
            </w:r>
          </w:p>
        </w:tc>
        <w:tc>
          <w:tcPr>
            <w:tcW w:w="9866" w:type="dxa"/>
            <w:tcBorders>
              <w:top w:val="nil"/>
              <w:left w:val="nil"/>
              <w:bottom w:val="single" w:sz="4" w:space="0" w:color="D9D9D9"/>
            </w:tcBorders>
            <w:shd w:val="clear" w:color="auto" w:fill="auto"/>
            <w:vAlign w:val="center"/>
            <w:hideMark/>
          </w:tcPr>
          <w:p w14:paraId="08A9AB1B" w14:textId="77777777" w:rsidR="00BA528E" w:rsidRPr="00BA528E" w:rsidRDefault="00BA528E" w:rsidP="0015273C">
            <w:pPr>
              <w:spacing w:after="0" w:line="240" w:lineRule="auto"/>
              <w:rPr>
                <w:rFonts w:ascii="Arial Narrow" w:eastAsia="Times New Roman" w:hAnsi="Arial Narrow" w:cs="Calibri"/>
                <w:sz w:val="16"/>
                <w:szCs w:val="16"/>
                <w:lang w:eastAsia="pt-BR"/>
              </w:rPr>
            </w:pPr>
            <w:r w:rsidRPr="00BA528E">
              <w:rPr>
                <w:rFonts w:ascii="Arial Narrow" w:eastAsia="Times New Roman" w:hAnsi="Arial Narrow" w:cs="Calibri"/>
                <w:sz w:val="16"/>
                <w:szCs w:val="16"/>
                <w:lang w:eastAsia="pt-BR"/>
              </w:rPr>
              <w:t>BLOCO DE CUSTEIO DAS AÇÕES E SERVIÇOS PÚBLICOS DE SAÚDE - SUS - FEDERAL</w:t>
            </w:r>
          </w:p>
        </w:tc>
        <w:tc>
          <w:tcPr>
            <w:tcW w:w="970" w:type="dxa"/>
            <w:tcBorders>
              <w:top w:val="nil"/>
              <w:bottom w:val="nil"/>
              <w:right w:val="single" w:sz="4" w:space="0" w:color="auto"/>
            </w:tcBorders>
            <w:shd w:val="clear" w:color="auto" w:fill="auto"/>
            <w:noWrap/>
            <w:vAlign w:val="center"/>
          </w:tcPr>
          <w:p w14:paraId="7015CED9" w14:textId="77777777" w:rsidR="00BA528E" w:rsidRPr="00BA528E" w:rsidRDefault="00BA528E" w:rsidP="0015273C">
            <w:pPr>
              <w:spacing w:after="0" w:line="240" w:lineRule="auto"/>
              <w:jc w:val="center"/>
              <w:rPr>
                <w:rFonts w:ascii="Arial Narrow" w:eastAsia="Times New Roman" w:hAnsi="Arial Narrow" w:cs="Calibri"/>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0FAD42D6"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SDF.D592</w:t>
            </w:r>
          </w:p>
        </w:tc>
        <w:tc>
          <w:tcPr>
            <w:tcW w:w="1246" w:type="dxa"/>
            <w:tcBorders>
              <w:top w:val="nil"/>
              <w:left w:val="nil"/>
              <w:bottom w:val="nil"/>
              <w:right w:val="single" w:sz="4" w:space="0" w:color="auto"/>
            </w:tcBorders>
            <w:shd w:val="clear" w:color="auto" w:fill="auto"/>
            <w:noWrap/>
            <w:vAlign w:val="center"/>
            <w:hideMark/>
          </w:tcPr>
          <w:p w14:paraId="04E9C3B8"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SDF.E592</w:t>
            </w:r>
          </w:p>
        </w:tc>
      </w:tr>
      <w:tr w:rsidR="00BA528E" w:rsidRPr="00BA528E" w14:paraId="0ED16C21" w14:textId="77777777" w:rsidTr="0015273C">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5ED0D948" w14:textId="77777777" w:rsidR="00BA528E" w:rsidRPr="00BA528E" w:rsidRDefault="00BA528E" w:rsidP="0015273C">
            <w:pPr>
              <w:spacing w:after="0" w:line="240" w:lineRule="auto"/>
              <w:jc w:val="center"/>
              <w:rPr>
                <w:rFonts w:ascii="Arial Narrow" w:eastAsia="Times New Roman" w:hAnsi="Arial Narrow" w:cs="Calibri"/>
                <w:sz w:val="16"/>
                <w:szCs w:val="16"/>
                <w:lang w:eastAsia="pt-BR"/>
              </w:rPr>
            </w:pPr>
            <w:r w:rsidRPr="00BA528E">
              <w:rPr>
                <w:rFonts w:ascii="Arial Narrow" w:eastAsia="Times New Roman" w:hAnsi="Arial Narrow" w:cs="Calibri"/>
                <w:sz w:val="16"/>
                <w:szCs w:val="16"/>
                <w:lang w:eastAsia="pt-BR"/>
              </w:rPr>
              <w:t>156</w:t>
            </w:r>
          </w:p>
        </w:tc>
        <w:tc>
          <w:tcPr>
            <w:tcW w:w="9866" w:type="dxa"/>
            <w:tcBorders>
              <w:top w:val="nil"/>
              <w:left w:val="nil"/>
            </w:tcBorders>
            <w:shd w:val="clear" w:color="auto" w:fill="auto"/>
            <w:vAlign w:val="center"/>
            <w:hideMark/>
          </w:tcPr>
          <w:p w14:paraId="0D2C83DD" w14:textId="77777777" w:rsidR="00BA528E" w:rsidRPr="00BA528E" w:rsidRDefault="00BA528E" w:rsidP="0015273C">
            <w:pPr>
              <w:spacing w:after="0" w:line="240" w:lineRule="auto"/>
              <w:rPr>
                <w:rFonts w:ascii="Arial Narrow" w:eastAsia="Times New Roman" w:hAnsi="Arial Narrow" w:cs="Calibri"/>
                <w:sz w:val="16"/>
                <w:szCs w:val="16"/>
                <w:lang w:eastAsia="pt-BR"/>
              </w:rPr>
            </w:pPr>
            <w:r w:rsidRPr="00BA528E">
              <w:rPr>
                <w:rFonts w:ascii="Arial Narrow" w:eastAsia="Times New Roman" w:hAnsi="Arial Narrow" w:cs="Calibri"/>
                <w:sz w:val="16"/>
                <w:szCs w:val="16"/>
                <w:lang w:eastAsia="pt-BR"/>
              </w:rPr>
              <w:t>BLOCO DE INVESTIMENTO NA REDE DE SERVIÇOS PÚBLICOS DE SAÚDE - SUS - FEDERAL</w:t>
            </w:r>
          </w:p>
        </w:tc>
        <w:tc>
          <w:tcPr>
            <w:tcW w:w="970" w:type="dxa"/>
            <w:tcBorders>
              <w:top w:val="nil"/>
              <w:bottom w:val="nil"/>
              <w:right w:val="single" w:sz="4" w:space="0" w:color="auto"/>
            </w:tcBorders>
            <w:shd w:val="clear" w:color="auto" w:fill="auto"/>
            <w:noWrap/>
            <w:vAlign w:val="center"/>
          </w:tcPr>
          <w:p w14:paraId="7FCB6D8E" w14:textId="77777777" w:rsidR="00BA528E" w:rsidRPr="00BA528E" w:rsidRDefault="00BA528E" w:rsidP="0015273C">
            <w:pPr>
              <w:spacing w:after="0" w:line="240" w:lineRule="auto"/>
              <w:jc w:val="center"/>
              <w:rPr>
                <w:rFonts w:ascii="Arial Narrow" w:eastAsia="Times New Roman" w:hAnsi="Arial Narrow" w:cs="Calibri"/>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3A36CA3C"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SDF.D593</w:t>
            </w:r>
          </w:p>
        </w:tc>
        <w:tc>
          <w:tcPr>
            <w:tcW w:w="1246" w:type="dxa"/>
            <w:tcBorders>
              <w:top w:val="nil"/>
              <w:left w:val="nil"/>
              <w:bottom w:val="nil"/>
              <w:right w:val="single" w:sz="4" w:space="0" w:color="auto"/>
            </w:tcBorders>
            <w:shd w:val="clear" w:color="auto" w:fill="auto"/>
            <w:noWrap/>
            <w:vAlign w:val="center"/>
            <w:hideMark/>
          </w:tcPr>
          <w:p w14:paraId="62F93E21"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SDF.E593</w:t>
            </w:r>
          </w:p>
        </w:tc>
      </w:tr>
      <w:tr w:rsidR="00BA528E" w:rsidRPr="00BA528E" w14:paraId="6557BC29" w14:textId="77777777" w:rsidTr="0015273C">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132DF64C"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169</w:t>
            </w:r>
          </w:p>
        </w:tc>
        <w:tc>
          <w:tcPr>
            <w:tcW w:w="9866" w:type="dxa"/>
            <w:tcBorders>
              <w:top w:val="nil"/>
              <w:left w:val="nil"/>
              <w:bottom w:val="single" w:sz="4" w:space="0" w:color="D9D9D9"/>
            </w:tcBorders>
            <w:shd w:val="clear" w:color="auto" w:fill="auto"/>
            <w:vAlign w:val="center"/>
            <w:hideMark/>
          </w:tcPr>
          <w:p w14:paraId="654E7FF3"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DECISÕES JUDICIAIS DESTINADAS AO COMBATE DA COVID-19</w:t>
            </w:r>
          </w:p>
        </w:tc>
        <w:tc>
          <w:tcPr>
            <w:tcW w:w="970" w:type="dxa"/>
            <w:tcBorders>
              <w:top w:val="nil"/>
              <w:bottom w:val="nil"/>
              <w:right w:val="single" w:sz="4" w:space="0" w:color="auto"/>
            </w:tcBorders>
            <w:shd w:val="clear" w:color="auto" w:fill="auto"/>
            <w:noWrap/>
            <w:vAlign w:val="center"/>
          </w:tcPr>
          <w:p w14:paraId="0F8F6BEA" w14:textId="77777777" w:rsidR="00BA528E" w:rsidRPr="00BA528E" w:rsidRDefault="00BA528E" w:rsidP="0015273C">
            <w:pPr>
              <w:spacing w:after="0" w:line="240" w:lineRule="auto"/>
              <w:jc w:val="center"/>
              <w:rPr>
                <w:rFonts w:ascii="Arial Narrow" w:eastAsia="Times New Roman" w:hAnsi="Arial Narrow" w:cs="Calibri"/>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0C2BB34C"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SDF.D597</w:t>
            </w:r>
          </w:p>
        </w:tc>
        <w:tc>
          <w:tcPr>
            <w:tcW w:w="1246" w:type="dxa"/>
            <w:tcBorders>
              <w:top w:val="nil"/>
              <w:left w:val="nil"/>
              <w:bottom w:val="nil"/>
              <w:right w:val="single" w:sz="4" w:space="0" w:color="auto"/>
            </w:tcBorders>
            <w:shd w:val="clear" w:color="auto" w:fill="auto"/>
            <w:noWrap/>
            <w:vAlign w:val="center"/>
            <w:hideMark/>
          </w:tcPr>
          <w:p w14:paraId="038A226F"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SDF.E597</w:t>
            </w:r>
          </w:p>
        </w:tc>
      </w:tr>
      <w:tr w:rsidR="00BA528E" w:rsidRPr="00BA528E" w14:paraId="5CB8FCE6" w14:textId="77777777" w:rsidTr="0015273C">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71DA67CE"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304</w:t>
            </w:r>
          </w:p>
        </w:tc>
        <w:tc>
          <w:tcPr>
            <w:tcW w:w="9866" w:type="dxa"/>
            <w:tcBorders>
              <w:top w:val="nil"/>
              <w:left w:val="nil"/>
              <w:bottom w:val="single" w:sz="4" w:space="0" w:color="D9D9D9"/>
            </w:tcBorders>
            <w:shd w:val="clear" w:color="auto" w:fill="auto"/>
            <w:vAlign w:val="center"/>
            <w:hideMark/>
          </w:tcPr>
          <w:p w14:paraId="62CD2DCA"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SUPERÁVIT FINANCEIRO - AÇÕES E SERVIÇOS DE SAÚDE</w:t>
            </w:r>
          </w:p>
        </w:tc>
        <w:tc>
          <w:tcPr>
            <w:tcW w:w="970" w:type="dxa"/>
            <w:tcBorders>
              <w:top w:val="nil"/>
              <w:bottom w:val="nil"/>
              <w:right w:val="single" w:sz="4" w:space="0" w:color="auto"/>
            </w:tcBorders>
            <w:shd w:val="clear" w:color="auto" w:fill="auto"/>
            <w:noWrap/>
            <w:vAlign w:val="center"/>
          </w:tcPr>
          <w:p w14:paraId="74628435" w14:textId="77777777" w:rsidR="00BA528E" w:rsidRPr="00BA528E" w:rsidRDefault="00BA528E" w:rsidP="0015273C">
            <w:pPr>
              <w:spacing w:after="0" w:line="240" w:lineRule="auto"/>
              <w:jc w:val="center"/>
              <w:rPr>
                <w:rFonts w:ascii="Arial Narrow" w:eastAsia="Times New Roman" w:hAnsi="Arial Narrow" w:cs="Calibri"/>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0276DFB1"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SDF.D549</w:t>
            </w:r>
          </w:p>
        </w:tc>
        <w:tc>
          <w:tcPr>
            <w:tcW w:w="1246" w:type="dxa"/>
            <w:tcBorders>
              <w:top w:val="nil"/>
              <w:left w:val="nil"/>
              <w:bottom w:val="nil"/>
              <w:right w:val="single" w:sz="4" w:space="0" w:color="auto"/>
            </w:tcBorders>
            <w:shd w:val="clear" w:color="auto" w:fill="auto"/>
            <w:noWrap/>
            <w:vAlign w:val="center"/>
            <w:hideMark/>
          </w:tcPr>
          <w:p w14:paraId="25703549"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SDF.E549</w:t>
            </w:r>
          </w:p>
        </w:tc>
      </w:tr>
      <w:tr w:rsidR="00BA528E" w:rsidRPr="00BA528E" w14:paraId="51E942B2" w14:textId="77777777" w:rsidTr="0015273C">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3FCAEA0F"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334</w:t>
            </w:r>
          </w:p>
        </w:tc>
        <w:tc>
          <w:tcPr>
            <w:tcW w:w="9866" w:type="dxa"/>
            <w:tcBorders>
              <w:top w:val="nil"/>
              <w:left w:val="nil"/>
              <w:bottom w:val="single" w:sz="4" w:space="0" w:color="D9D9D9"/>
            </w:tcBorders>
            <w:shd w:val="clear" w:color="auto" w:fill="auto"/>
            <w:vAlign w:val="center"/>
            <w:hideMark/>
          </w:tcPr>
          <w:p w14:paraId="66820781"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SUPERÁVIT FINANCEIRO - INCENTIVO SUS UNIÃO</w:t>
            </w:r>
          </w:p>
        </w:tc>
        <w:tc>
          <w:tcPr>
            <w:tcW w:w="970" w:type="dxa"/>
            <w:tcBorders>
              <w:top w:val="nil"/>
              <w:right w:val="single" w:sz="4" w:space="0" w:color="auto"/>
            </w:tcBorders>
            <w:shd w:val="clear" w:color="auto" w:fill="auto"/>
            <w:noWrap/>
            <w:vAlign w:val="center"/>
          </w:tcPr>
          <w:p w14:paraId="2566D9B3" w14:textId="77777777" w:rsidR="00BA528E" w:rsidRPr="00BA528E" w:rsidRDefault="00BA528E" w:rsidP="0015273C">
            <w:pPr>
              <w:spacing w:after="0" w:line="240" w:lineRule="auto"/>
              <w:jc w:val="center"/>
              <w:rPr>
                <w:rFonts w:ascii="Arial Narrow" w:eastAsia="Times New Roman" w:hAnsi="Arial Narrow" w:cs="Calibri"/>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75BA68D6"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SDF.D558</w:t>
            </w:r>
          </w:p>
        </w:tc>
        <w:tc>
          <w:tcPr>
            <w:tcW w:w="1246" w:type="dxa"/>
            <w:tcBorders>
              <w:top w:val="nil"/>
              <w:left w:val="nil"/>
              <w:bottom w:val="nil"/>
              <w:right w:val="single" w:sz="4" w:space="0" w:color="auto"/>
            </w:tcBorders>
            <w:shd w:val="clear" w:color="auto" w:fill="auto"/>
            <w:noWrap/>
            <w:vAlign w:val="center"/>
            <w:hideMark/>
          </w:tcPr>
          <w:p w14:paraId="0B54DE85"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SDF.E558</w:t>
            </w:r>
          </w:p>
        </w:tc>
      </w:tr>
      <w:tr w:rsidR="00BA528E" w:rsidRPr="00BA528E" w14:paraId="183040D9" w14:textId="77777777" w:rsidTr="0015273C">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7CB09135"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335</w:t>
            </w:r>
          </w:p>
        </w:tc>
        <w:tc>
          <w:tcPr>
            <w:tcW w:w="9866" w:type="dxa"/>
            <w:tcBorders>
              <w:top w:val="nil"/>
              <w:left w:val="nil"/>
            </w:tcBorders>
            <w:shd w:val="clear" w:color="auto" w:fill="auto"/>
            <w:vAlign w:val="center"/>
            <w:hideMark/>
          </w:tcPr>
          <w:p w14:paraId="1CBFA9B3"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SUPERÁVIT FINANCEIRO - SUS PRODUÇÃO</w:t>
            </w:r>
          </w:p>
        </w:tc>
        <w:tc>
          <w:tcPr>
            <w:tcW w:w="970" w:type="dxa"/>
            <w:tcBorders>
              <w:top w:val="nil"/>
              <w:bottom w:val="nil"/>
              <w:right w:val="single" w:sz="4" w:space="0" w:color="auto"/>
            </w:tcBorders>
            <w:shd w:val="clear" w:color="auto" w:fill="auto"/>
            <w:noWrap/>
            <w:vAlign w:val="center"/>
          </w:tcPr>
          <w:p w14:paraId="7FDDECD9" w14:textId="77777777" w:rsidR="00BA528E" w:rsidRPr="00BA528E" w:rsidRDefault="00BA528E" w:rsidP="0015273C">
            <w:pPr>
              <w:spacing w:after="0" w:line="240" w:lineRule="auto"/>
              <w:jc w:val="center"/>
              <w:rPr>
                <w:rFonts w:ascii="Arial Narrow" w:eastAsia="Times New Roman" w:hAnsi="Arial Narrow" w:cs="Calibri"/>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7FD44334"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SDF.D559</w:t>
            </w:r>
          </w:p>
        </w:tc>
        <w:tc>
          <w:tcPr>
            <w:tcW w:w="1246" w:type="dxa"/>
            <w:tcBorders>
              <w:top w:val="nil"/>
              <w:left w:val="nil"/>
              <w:bottom w:val="nil"/>
              <w:right w:val="single" w:sz="4" w:space="0" w:color="auto"/>
            </w:tcBorders>
            <w:shd w:val="clear" w:color="auto" w:fill="auto"/>
            <w:noWrap/>
            <w:vAlign w:val="center"/>
            <w:hideMark/>
          </w:tcPr>
          <w:p w14:paraId="0D232432"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SDF.E559</w:t>
            </w:r>
          </w:p>
        </w:tc>
      </w:tr>
      <w:tr w:rsidR="00BA528E" w:rsidRPr="00BA528E" w14:paraId="5A230B60" w14:textId="77777777" w:rsidTr="0015273C">
        <w:trPr>
          <w:trHeight w:val="302"/>
        </w:trPr>
        <w:tc>
          <w:tcPr>
            <w:tcW w:w="938" w:type="dxa"/>
            <w:tcBorders>
              <w:top w:val="nil"/>
              <w:left w:val="single" w:sz="4" w:space="0" w:color="auto"/>
              <w:bottom w:val="nil"/>
              <w:right w:val="single" w:sz="4" w:space="0" w:color="auto"/>
            </w:tcBorders>
            <w:shd w:val="clear" w:color="auto" w:fill="auto"/>
            <w:vAlign w:val="center"/>
            <w:hideMark/>
          </w:tcPr>
          <w:p w14:paraId="0E347E88"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355</w:t>
            </w:r>
          </w:p>
        </w:tc>
        <w:tc>
          <w:tcPr>
            <w:tcW w:w="9866" w:type="dxa"/>
            <w:tcBorders>
              <w:left w:val="nil"/>
              <w:bottom w:val="nil"/>
            </w:tcBorders>
            <w:shd w:val="clear" w:color="auto" w:fill="auto"/>
            <w:vAlign w:val="center"/>
            <w:hideMark/>
          </w:tcPr>
          <w:p w14:paraId="0EE6D5A4"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SUPERÁVIT FINANCEIRO - BLOCO DE CUSTEIO DAS AÇÕES E SERVIÇOS PÚBLICOS DE SAÚDE - SUS – FEDERAL</w:t>
            </w:r>
          </w:p>
        </w:tc>
        <w:tc>
          <w:tcPr>
            <w:tcW w:w="970" w:type="dxa"/>
            <w:tcBorders>
              <w:top w:val="nil"/>
              <w:bottom w:val="nil"/>
              <w:right w:val="single" w:sz="4" w:space="0" w:color="auto"/>
            </w:tcBorders>
            <w:shd w:val="clear" w:color="auto" w:fill="auto"/>
            <w:noWrap/>
            <w:vAlign w:val="center"/>
          </w:tcPr>
          <w:p w14:paraId="489EAAD3" w14:textId="77777777" w:rsidR="00BA528E" w:rsidRPr="00BA528E" w:rsidRDefault="00BA528E" w:rsidP="0015273C">
            <w:pPr>
              <w:spacing w:after="0" w:line="240" w:lineRule="auto"/>
              <w:jc w:val="center"/>
              <w:rPr>
                <w:rFonts w:ascii="Arial Narrow" w:eastAsia="Times New Roman" w:hAnsi="Arial Narrow" w:cs="Calibri"/>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0A0C4DFA"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SDF.D598</w:t>
            </w:r>
          </w:p>
        </w:tc>
        <w:tc>
          <w:tcPr>
            <w:tcW w:w="1246" w:type="dxa"/>
            <w:tcBorders>
              <w:top w:val="nil"/>
              <w:left w:val="nil"/>
              <w:bottom w:val="nil"/>
              <w:right w:val="single" w:sz="4" w:space="0" w:color="auto"/>
            </w:tcBorders>
            <w:shd w:val="clear" w:color="auto" w:fill="auto"/>
            <w:noWrap/>
            <w:vAlign w:val="center"/>
            <w:hideMark/>
          </w:tcPr>
          <w:p w14:paraId="151823D3"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SDF.E598</w:t>
            </w:r>
          </w:p>
        </w:tc>
      </w:tr>
      <w:tr w:rsidR="00BA528E" w:rsidRPr="00BA528E" w14:paraId="674020F8" w14:textId="77777777" w:rsidTr="0015273C">
        <w:trPr>
          <w:trHeight w:val="302"/>
        </w:trPr>
        <w:tc>
          <w:tcPr>
            <w:tcW w:w="938" w:type="dxa"/>
            <w:tcBorders>
              <w:top w:val="nil"/>
              <w:left w:val="single" w:sz="4" w:space="0" w:color="auto"/>
              <w:bottom w:val="nil"/>
              <w:right w:val="single" w:sz="4" w:space="0" w:color="auto"/>
            </w:tcBorders>
            <w:shd w:val="clear" w:color="auto" w:fill="auto"/>
            <w:vAlign w:val="center"/>
            <w:hideMark/>
          </w:tcPr>
          <w:p w14:paraId="0D7844C9"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356</w:t>
            </w:r>
          </w:p>
        </w:tc>
        <w:tc>
          <w:tcPr>
            <w:tcW w:w="9866" w:type="dxa"/>
            <w:tcBorders>
              <w:top w:val="nil"/>
              <w:left w:val="nil"/>
              <w:bottom w:val="nil"/>
            </w:tcBorders>
            <w:shd w:val="clear" w:color="auto" w:fill="auto"/>
            <w:vAlign w:val="center"/>
            <w:hideMark/>
          </w:tcPr>
          <w:p w14:paraId="59F37D81"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SUPERÁVIT FINANCEIRO - BLOCO DE INVESTIMENTO NA REDE DE SERVIÇOS PÚBLICOS DE SAÚDE - SUS – FEDERAL</w:t>
            </w:r>
          </w:p>
        </w:tc>
        <w:tc>
          <w:tcPr>
            <w:tcW w:w="970" w:type="dxa"/>
            <w:tcBorders>
              <w:top w:val="nil"/>
              <w:bottom w:val="nil"/>
              <w:right w:val="single" w:sz="4" w:space="0" w:color="auto"/>
            </w:tcBorders>
            <w:shd w:val="clear" w:color="auto" w:fill="auto"/>
            <w:noWrap/>
            <w:vAlign w:val="center"/>
          </w:tcPr>
          <w:p w14:paraId="6D229753" w14:textId="77777777" w:rsidR="00BA528E" w:rsidRPr="00BA528E" w:rsidRDefault="00BA528E" w:rsidP="0015273C">
            <w:pPr>
              <w:spacing w:after="0" w:line="240" w:lineRule="auto"/>
              <w:jc w:val="center"/>
              <w:rPr>
                <w:rFonts w:ascii="Arial Narrow" w:eastAsia="Times New Roman" w:hAnsi="Arial Narrow" w:cs="Calibri"/>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631446B5"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SDF.D599</w:t>
            </w:r>
          </w:p>
        </w:tc>
        <w:tc>
          <w:tcPr>
            <w:tcW w:w="1246" w:type="dxa"/>
            <w:tcBorders>
              <w:top w:val="nil"/>
              <w:left w:val="nil"/>
              <w:bottom w:val="nil"/>
              <w:right w:val="single" w:sz="4" w:space="0" w:color="auto"/>
            </w:tcBorders>
            <w:shd w:val="clear" w:color="auto" w:fill="auto"/>
            <w:noWrap/>
            <w:vAlign w:val="center"/>
            <w:hideMark/>
          </w:tcPr>
          <w:p w14:paraId="1BE97BD3"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SDF.E599</w:t>
            </w:r>
          </w:p>
        </w:tc>
      </w:tr>
      <w:tr w:rsidR="00BA528E" w:rsidRPr="00BA528E" w14:paraId="7995F62F" w14:textId="77777777" w:rsidTr="0015273C">
        <w:trPr>
          <w:trHeight w:val="302"/>
        </w:trPr>
        <w:tc>
          <w:tcPr>
            <w:tcW w:w="938" w:type="dxa"/>
            <w:tcBorders>
              <w:top w:val="nil"/>
              <w:left w:val="single" w:sz="4" w:space="0" w:color="auto"/>
              <w:bottom w:val="nil"/>
              <w:right w:val="single" w:sz="4" w:space="0" w:color="auto"/>
            </w:tcBorders>
            <w:shd w:val="clear" w:color="auto" w:fill="auto"/>
            <w:vAlign w:val="center"/>
            <w:hideMark/>
          </w:tcPr>
          <w:p w14:paraId="223DC9B3"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357</w:t>
            </w:r>
          </w:p>
        </w:tc>
        <w:tc>
          <w:tcPr>
            <w:tcW w:w="9866" w:type="dxa"/>
            <w:tcBorders>
              <w:top w:val="nil"/>
              <w:left w:val="nil"/>
              <w:bottom w:val="nil"/>
            </w:tcBorders>
            <w:shd w:val="clear" w:color="auto" w:fill="auto"/>
            <w:vAlign w:val="center"/>
            <w:hideMark/>
          </w:tcPr>
          <w:p w14:paraId="376F9851"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SUPERÁVIT FINANCEIRO - DECISÕES JUDICIAIS DESTINADAS AO COMBATE DA COVID-19</w:t>
            </w:r>
          </w:p>
        </w:tc>
        <w:tc>
          <w:tcPr>
            <w:tcW w:w="970" w:type="dxa"/>
            <w:tcBorders>
              <w:top w:val="nil"/>
              <w:bottom w:val="nil"/>
              <w:right w:val="single" w:sz="4" w:space="0" w:color="auto"/>
            </w:tcBorders>
            <w:shd w:val="clear" w:color="auto" w:fill="auto"/>
            <w:noWrap/>
            <w:vAlign w:val="center"/>
          </w:tcPr>
          <w:p w14:paraId="4F332F6B" w14:textId="77777777" w:rsidR="00BA528E" w:rsidRPr="00BA528E" w:rsidRDefault="00BA528E" w:rsidP="0015273C">
            <w:pPr>
              <w:spacing w:after="0" w:line="240" w:lineRule="auto"/>
              <w:jc w:val="center"/>
              <w:rPr>
                <w:rFonts w:ascii="Arial Narrow" w:eastAsia="Times New Roman" w:hAnsi="Arial Narrow" w:cs="Calibri"/>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79AF0D76"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SDF.D600</w:t>
            </w:r>
          </w:p>
        </w:tc>
        <w:tc>
          <w:tcPr>
            <w:tcW w:w="1246" w:type="dxa"/>
            <w:tcBorders>
              <w:top w:val="nil"/>
              <w:left w:val="nil"/>
              <w:bottom w:val="nil"/>
              <w:right w:val="single" w:sz="4" w:space="0" w:color="auto"/>
            </w:tcBorders>
            <w:shd w:val="clear" w:color="auto" w:fill="auto"/>
            <w:noWrap/>
            <w:vAlign w:val="center"/>
            <w:hideMark/>
          </w:tcPr>
          <w:p w14:paraId="4BA44FCB"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SDF.E600</w:t>
            </w:r>
          </w:p>
        </w:tc>
      </w:tr>
      <w:tr w:rsidR="00BA528E" w:rsidRPr="00BA528E" w14:paraId="3E09D8B1" w14:textId="77777777" w:rsidTr="0015273C">
        <w:trPr>
          <w:trHeight w:val="302"/>
        </w:trPr>
        <w:tc>
          <w:tcPr>
            <w:tcW w:w="938" w:type="dxa"/>
            <w:tcBorders>
              <w:top w:val="nil"/>
              <w:left w:val="single" w:sz="4" w:space="0" w:color="auto"/>
              <w:bottom w:val="nil"/>
              <w:right w:val="single" w:sz="4" w:space="0" w:color="auto"/>
            </w:tcBorders>
            <w:shd w:val="clear" w:color="auto" w:fill="auto"/>
            <w:vAlign w:val="center"/>
          </w:tcPr>
          <w:p w14:paraId="0912684E"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369</w:t>
            </w:r>
          </w:p>
        </w:tc>
        <w:tc>
          <w:tcPr>
            <w:tcW w:w="9866" w:type="dxa"/>
            <w:tcBorders>
              <w:top w:val="nil"/>
              <w:left w:val="nil"/>
              <w:bottom w:val="nil"/>
            </w:tcBorders>
            <w:shd w:val="clear" w:color="auto" w:fill="auto"/>
            <w:vAlign w:val="center"/>
          </w:tcPr>
          <w:p w14:paraId="22383C4C"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369 - SUPERÁVIT FINANCEIRO - DECISÕES JUDICIAIS DESTINADAS AO COMBATE DA COVID-19 (RECURSOS VINCULADOS À SAÚDE)</w:t>
            </w:r>
          </w:p>
        </w:tc>
        <w:tc>
          <w:tcPr>
            <w:tcW w:w="970" w:type="dxa"/>
            <w:tcBorders>
              <w:top w:val="nil"/>
              <w:bottom w:val="nil"/>
              <w:right w:val="single" w:sz="4" w:space="0" w:color="auto"/>
            </w:tcBorders>
            <w:shd w:val="clear" w:color="auto" w:fill="auto"/>
            <w:noWrap/>
            <w:vAlign w:val="center"/>
          </w:tcPr>
          <w:p w14:paraId="626DFFC8" w14:textId="77777777" w:rsidR="00BA528E" w:rsidRPr="00BA528E" w:rsidRDefault="00BA528E" w:rsidP="0015273C">
            <w:pPr>
              <w:spacing w:after="0" w:line="240" w:lineRule="auto"/>
              <w:jc w:val="center"/>
              <w:rPr>
                <w:rFonts w:ascii="Arial Narrow" w:eastAsia="Times New Roman" w:hAnsi="Arial Narrow" w:cs="Calibri"/>
                <w:sz w:val="16"/>
                <w:szCs w:val="16"/>
                <w:lang w:eastAsia="pt-BR"/>
              </w:rPr>
            </w:pPr>
          </w:p>
        </w:tc>
        <w:tc>
          <w:tcPr>
            <w:tcW w:w="1386" w:type="dxa"/>
            <w:tcBorders>
              <w:top w:val="nil"/>
              <w:left w:val="nil"/>
              <w:bottom w:val="nil"/>
              <w:right w:val="single" w:sz="4" w:space="0" w:color="auto"/>
            </w:tcBorders>
            <w:shd w:val="clear" w:color="auto" w:fill="auto"/>
            <w:noWrap/>
            <w:vAlign w:val="center"/>
          </w:tcPr>
          <w:p w14:paraId="30FA8322"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SDF.D606</w:t>
            </w:r>
          </w:p>
        </w:tc>
        <w:tc>
          <w:tcPr>
            <w:tcW w:w="1246" w:type="dxa"/>
            <w:tcBorders>
              <w:top w:val="nil"/>
              <w:left w:val="nil"/>
              <w:bottom w:val="nil"/>
              <w:right w:val="single" w:sz="4" w:space="0" w:color="auto"/>
            </w:tcBorders>
            <w:shd w:val="clear" w:color="auto" w:fill="auto"/>
            <w:noWrap/>
            <w:vAlign w:val="center"/>
          </w:tcPr>
          <w:p w14:paraId="15858346"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SDF.E606</w:t>
            </w:r>
          </w:p>
        </w:tc>
      </w:tr>
      <w:tr w:rsidR="00BA528E" w:rsidRPr="00BA528E" w14:paraId="1AE43081" w14:textId="77777777" w:rsidTr="0015273C">
        <w:trPr>
          <w:trHeight w:val="302"/>
        </w:trPr>
        <w:tc>
          <w:tcPr>
            <w:tcW w:w="938" w:type="dxa"/>
            <w:tcBorders>
              <w:top w:val="nil"/>
              <w:left w:val="single" w:sz="4" w:space="0" w:color="auto"/>
              <w:bottom w:val="nil"/>
              <w:right w:val="single" w:sz="4" w:space="0" w:color="auto"/>
            </w:tcBorders>
            <w:shd w:val="clear" w:color="auto" w:fill="auto"/>
            <w:noWrap/>
            <w:vAlign w:val="center"/>
            <w:hideMark/>
          </w:tcPr>
          <w:p w14:paraId="1ACAC3FD"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 </w:t>
            </w:r>
          </w:p>
        </w:tc>
        <w:tc>
          <w:tcPr>
            <w:tcW w:w="9866" w:type="dxa"/>
            <w:tcBorders>
              <w:top w:val="nil"/>
              <w:left w:val="nil"/>
            </w:tcBorders>
            <w:shd w:val="clear" w:color="auto" w:fill="auto"/>
            <w:noWrap/>
            <w:vAlign w:val="center"/>
            <w:hideMark/>
          </w:tcPr>
          <w:p w14:paraId="6FCD7189" w14:textId="77777777" w:rsidR="00BA528E" w:rsidRPr="00BA528E" w:rsidRDefault="00BA528E" w:rsidP="0015273C">
            <w:pPr>
              <w:spacing w:after="0" w:line="240" w:lineRule="auto"/>
              <w:rPr>
                <w:rFonts w:ascii="Arial Narrow" w:eastAsia="Times New Roman" w:hAnsi="Arial Narrow" w:cs="Arial"/>
                <w:b/>
                <w:bCs/>
                <w:sz w:val="16"/>
                <w:szCs w:val="16"/>
                <w:lang w:eastAsia="pt-BR"/>
              </w:rPr>
            </w:pPr>
            <w:r w:rsidRPr="00BA528E">
              <w:rPr>
                <w:rFonts w:ascii="Arial Narrow" w:eastAsia="Times New Roman" w:hAnsi="Arial Narrow" w:cs="Arial"/>
                <w:b/>
                <w:bCs/>
                <w:sz w:val="16"/>
                <w:szCs w:val="16"/>
                <w:lang w:eastAsia="pt-BR"/>
              </w:rPr>
              <w:t xml:space="preserve">  RECURSOS VINCULADOS À PREVIDÊNCIA SOCIAL - RPPS</w:t>
            </w:r>
          </w:p>
        </w:tc>
        <w:tc>
          <w:tcPr>
            <w:tcW w:w="970" w:type="dxa"/>
            <w:tcBorders>
              <w:top w:val="nil"/>
              <w:bottom w:val="nil"/>
              <w:right w:val="single" w:sz="4" w:space="0" w:color="auto"/>
            </w:tcBorders>
            <w:shd w:val="clear" w:color="auto" w:fill="auto"/>
            <w:noWrap/>
            <w:vAlign w:val="center"/>
          </w:tcPr>
          <w:p w14:paraId="3789908D" w14:textId="77777777" w:rsidR="00BA528E" w:rsidRPr="00BA528E" w:rsidRDefault="00BA528E" w:rsidP="0015273C">
            <w:pPr>
              <w:spacing w:after="0" w:line="240" w:lineRule="auto"/>
              <w:jc w:val="center"/>
              <w:rPr>
                <w:rFonts w:ascii="Arial Narrow" w:eastAsia="Times New Roman" w:hAnsi="Arial Narrow" w:cs="Calibri"/>
                <w:b/>
                <w:bCs/>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337B4DC3" w14:textId="77777777" w:rsidR="00BA528E" w:rsidRPr="00BA528E" w:rsidRDefault="00BA528E" w:rsidP="0015273C">
            <w:pPr>
              <w:spacing w:after="0" w:line="240" w:lineRule="auto"/>
              <w:jc w:val="center"/>
              <w:rPr>
                <w:rFonts w:ascii="Arial Narrow" w:eastAsia="Times New Roman" w:hAnsi="Arial Narrow" w:cs="Arial"/>
                <w:b/>
                <w:bCs/>
                <w:sz w:val="16"/>
                <w:szCs w:val="16"/>
                <w:lang w:eastAsia="pt-BR"/>
              </w:rPr>
            </w:pPr>
            <w:r w:rsidRPr="00BA528E">
              <w:rPr>
                <w:rFonts w:ascii="Arial Narrow" w:eastAsia="Times New Roman" w:hAnsi="Arial Narrow" w:cs="Arial"/>
                <w:b/>
                <w:bCs/>
                <w:sz w:val="16"/>
                <w:szCs w:val="16"/>
                <w:lang w:eastAsia="pt-BR"/>
              </w:rPr>
              <w:t>SDF.D079</w:t>
            </w:r>
          </w:p>
        </w:tc>
        <w:tc>
          <w:tcPr>
            <w:tcW w:w="1246" w:type="dxa"/>
            <w:tcBorders>
              <w:top w:val="nil"/>
              <w:left w:val="nil"/>
              <w:bottom w:val="nil"/>
              <w:right w:val="single" w:sz="4" w:space="0" w:color="auto"/>
            </w:tcBorders>
            <w:shd w:val="clear" w:color="auto" w:fill="auto"/>
            <w:noWrap/>
            <w:vAlign w:val="center"/>
            <w:hideMark/>
          </w:tcPr>
          <w:p w14:paraId="1C62F1D5" w14:textId="77777777" w:rsidR="00BA528E" w:rsidRPr="00BA528E" w:rsidRDefault="00BA528E" w:rsidP="0015273C">
            <w:pPr>
              <w:spacing w:after="0" w:line="240" w:lineRule="auto"/>
              <w:jc w:val="center"/>
              <w:rPr>
                <w:rFonts w:ascii="Arial Narrow" w:eastAsia="Times New Roman" w:hAnsi="Arial Narrow" w:cs="Arial"/>
                <w:b/>
                <w:bCs/>
                <w:sz w:val="16"/>
                <w:szCs w:val="16"/>
                <w:lang w:eastAsia="pt-BR"/>
              </w:rPr>
            </w:pPr>
            <w:r w:rsidRPr="00BA528E">
              <w:rPr>
                <w:rFonts w:ascii="Arial Narrow" w:eastAsia="Times New Roman" w:hAnsi="Arial Narrow" w:cs="Arial"/>
                <w:b/>
                <w:bCs/>
                <w:sz w:val="16"/>
                <w:szCs w:val="16"/>
                <w:lang w:eastAsia="pt-BR"/>
              </w:rPr>
              <w:t>SDF.E079</w:t>
            </w:r>
          </w:p>
        </w:tc>
      </w:tr>
      <w:tr w:rsidR="00BA528E" w:rsidRPr="00BA528E" w14:paraId="4B8ACA35" w14:textId="77777777" w:rsidTr="0015273C">
        <w:trPr>
          <w:trHeight w:val="302"/>
        </w:trPr>
        <w:tc>
          <w:tcPr>
            <w:tcW w:w="938" w:type="dxa"/>
            <w:tcBorders>
              <w:top w:val="single" w:sz="4" w:space="0" w:color="D9D9D9"/>
              <w:left w:val="single" w:sz="4" w:space="0" w:color="auto"/>
              <w:bottom w:val="single" w:sz="4" w:space="0" w:color="D9D9D9"/>
              <w:right w:val="single" w:sz="4" w:space="0" w:color="auto"/>
            </w:tcBorders>
            <w:shd w:val="clear" w:color="auto" w:fill="auto"/>
            <w:vAlign w:val="center"/>
            <w:hideMark/>
          </w:tcPr>
          <w:p w14:paraId="3F257A36"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270</w:t>
            </w:r>
          </w:p>
        </w:tc>
        <w:tc>
          <w:tcPr>
            <w:tcW w:w="9866" w:type="dxa"/>
            <w:tcBorders>
              <w:left w:val="nil"/>
              <w:bottom w:val="single" w:sz="4" w:space="0" w:color="D9D9D9"/>
            </w:tcBorders>
            <w:shd w:val="clear" w:color="auto" w:fill="auto"/>
            <w:vAlign w:val="center"/>
            <w:hideMark/>
          </w:tcPr>
          <w:p w14:paraId="1BCE500C"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RECURSOS DA PREVIDÊNCIA</w:t>
            </w:r>
          </w:p>
        </w:tc>
        <w:tc>
          <w:tcPr>
            <w:tcW w:w="970" w:type="dxa"/>
            <w:tcBorders>
              <w:top w:val="nil"/>
              <w:bottom w:val="nil"/>
              <w:right w:val="single" w:sz="4" w:space="0" w:color="auto"/>
            </w:tcBorders>
            <w:shd w:val="clear" w:color="auto" w:fill="auto"/>
            <w:noWrap/>
            <w:vAlign w:val="center"/>
          </w:tcPr>
          <w:p w14:paraId="54E19B73" w14:textId="77777777" w:rsidR="00BA528E" w:rsidRPr="00BA528E" w:rsidRDefault="00BA528E" w:rsidP="0015273C">
            <w:pPr>
              <w:spacing w:after="0" w:line="240" w:lineRule="auto"/>
              <w:jc w:val="center"/>
              <w:rPr>
                <w:rFonts w:ascii="Arial Narrow" w:eastAsia="Times New Roman" w:hAnsi="Arial Narrow" w:cs="Calibri"/>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6E15625E"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SDF.D542</w:t>
            </w:r>
          </w:p>
        </w:tc>
        <w:tc>
          <w:tcPr>
            <w:tcW w:w="1246" w:type="dxa"/>
            <w:tcBorders>
              <w:top w:val="nil"/>
              <w:left w:val="nil"/>
              <w:bottom w:val="nil"/>
              <w:right w:val="single" w:sz="4" w:space="0" w:color="auto"/>
            </w:tcBorders>
            <w:shd w:val="clear" w:color="auto" w:fill="auto"/>
            <w:noWrap/>
            <w:vAlign w:val="center"/>
            <w:hideMark/>
          </w:tcPr>
          <w:p w14:paraId="456B96F3"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SDF.E542</w:t>
            </w:r>
          </w:p>
        </w:tc>
      </w:tr>
      <w:tr w:rsidR="00BA528E" w:rsidRPr="00BA528E" w14:paraId="786F84DB" w14:textId="77777777" w:rsidTr="0015273C">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267C3C9B"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670</w:t>
            </w:r>
          </w:p>
        </w:tc>
        <w:tc>
          <w:tcPr>
            <w:tcW w:w="9866" w:type="dxa"/>
            <w:tcBorders>
              <w:top w:val="nil"/>
              <w:left w:val="nil"/>
              <w:bottom w:val="single" w:sz="4" w:space="0" w:color="D9D9D9"/>
            </w:tcBorders>
            <w:shd w:val="clear" w:color="auto" w:fill="auto"/>
            <w:vAlign w:val="center"/>
            <w:hideMark/>
          </w:tcPr>
          <w:p w14:paraId="072DC8A0"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SUPERÁVIT FINANCEIRO - RECURSOS DA PREVIDÊNCIA</w:t>
            </w:r>
          </w:p>
        </w:tc>
        <w:tc>
          <w:tcPr>
            <w:tcW w:w="970" w:type="dxa"/>
            <w:tcBorders>
              <w:top w:val="nil"/>
              <w:bottom w:val="nil"/>
              <w:right w:val="single" w:sz="4" w:space="0" w:color="auto"/>
            </w:tcBorders>
            <w:shd w:val="clear" w:color="auto" w:fill="auto"/>
            <w:noWrap/>
            <w:vAlign w:val="center"/>
          </w:tcPr>
          <w:p w14:paraId="02764C17" w14:textId="77777777" w:rsidR="00BA528E" w:rsidRPr="00BA528E" w:rsidRDefault="00BA528E" w:rsidP="0015273C">
            <w:pPr>
              <w:spacing w:after="0" w:line="240" w:lineRule="auto"/>
              <w:jc w:val="center"/>
              <w:rPr>
                <w:rFonts w:ascii="Arial Narrow" w:eastAsia="Times New Roman" w:hAnsi="Arial Narrow" w:cs="Calibri"/>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0F51B70B"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SDF.D586</w:t>
            </w:r>
          </w:p>
        </w:tc>
        <w:tc>
          <w:tcPr>
            <w:tcW w:w="1246" w:type="dxa"/>
            <w:tcBorders>
              <w:top w:val="nil"/>
              <w:left w:val="nil"/>
              <w:bottom w:val="nil"/>
              <w:right w:val="single" w:sz="4" w:space="0" w:color="auto"/>
            </w:tcBorders>
            <w:shd w:val="clear" w:color="auto" w:fill="auto"/>
            <w:noWrap/>
            <w:vAlign w:val="center"/>
            <w:hideMark/>
          </w:tcPr>
          <w:p w14:paraId="4CE7ECAD"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SDF.E586</w:t>
            </w:r>
          </w:p>
        </w:tc>
      </w:tr>
      <w:tr w:rsidR="00BA528E" w:rsidRPr="00BA528E" w14:paraId="26506749" w14:textId="77777777" w:rsidTr="0015273C">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tcPr>
          <w:p w14:paraId="6948C7DB"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676</w:t>
            </w:r>
          </w:p>
        </w:tc>
        <w:tc>
          <w:tcPr>
            <w:tcW w:w="9866" w:type="dxa"/>
            <w:tcBorders>
              <w:top w:val="nil"/>
              <w:left w:val="nil"/>
              <w:bottom w:val="single" w:sz="4" w:space="0" w:color="D9D9D9"/>
            </w:tcBorders>
            <w:shd w:val="clear" w:color="auto" w:fill="auto"/>
            <w:vAlign w:val="center"/>
          </w:tcPr>
          <w:p w14:paraId="282817F8"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SUPERÁVIT FINANCEIRO - FUNDO DE PROTEÇÃO SOCIAL DOS MILITARES (OUTRAS DESTINAÇÕES DE RECURSOS).</w:t>
            </w:r>
          </w:p>
        </w:tc>
        <w:tc>
          <w:tcPr>
            <w:tcW w:w="970" w:type="dxa"/>
            <w:tcBorders>
              <w:top w:val="nil"/>
              <w:bottom w:val="nil"/>
              <w:right w:val="single" w:sz="4" w:space="0" w:color="auto"/>
            </w:tcBorders>
            <w:shd w:val="clear" w:color="auto" w:fill="auto"/>
            <w:noWrap/>
            <w:vAlign w:val="center"/>
          </w:tcPr>
          <w:p w14:paraId="252C3ECA" w14:textId="77777777" w:rsidR="00BA528E" w:rsidRPr="00BA528E" w:rsidRDefault="00BA528E" w:rsidP="0015273C">
            <w:pPr>
              <w:spacing w:after="0" w:line="240" w:lineRule="auto"/>
              <w:jc w:val="center"/>
              <w:rPr>
                <w:rFonts w:ascii="Arial Narrow" w:eastAsia="Times New Roman" w:hAnsi="Arial Narrow" w:cs="Calibri"/>
                <w:sz w:val="16"/>
                <w:szCs w:val="16"/>
                <w:lang w:eastAsia="pt-BR"/>
              </w:rPr>
            </w:pPr>
          </w:p>
        </w:tc>
        <w:tc>
          <w:tcPr>
            <w:tcW w:w="1386" w:type="dxa"/>
            <w:tcBorders>
              <w:top w:val="nil"/>
              <w:left w:val="nil"/>
              <w:bottom w:val="nil"/>
              <w:right w:val="single" w:sz="4" w:space="0" w:color="auto"/>
            </w:tcBorders>
            <w:shd w:val="clear" w:color="auto" w:fill="auto"/>
            <w:noWrap/>
            <w:vAlign w:val="center"/>
          </w:tcPr>
          <w:p w14:paraId="2D719FFA"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SDF.D607</w:t>
            </w:r>
          </w:p>
        </w:tc>
        <w:tc>
          <w:tcPr>
            <w:tcW w:w="1246" w:type="dxa"/>
            <w:tcBorders>
              <w:top w:val="nil"/>
              <w:left w:val="nil"/>
              <w:bottom w:val="nil"/>
              <w:right w:val="single" w:sz="4" w:space="0" w:color="auto"/>
            </w:tcBorders>
            <w:shd w:val="clear" w:color="auto" w:fill="auto"/>
            <w:noWrap/>
            <w:vAlign w:val="center"/>
          </w:tcPr>
          <w:p w14:paraId="7B13166E"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SDF.E607</w:t>
            </w:r>
          </w:p>
        </w:tc>
      </w:tr>
      <w:tr w:rsidR="00BA528E" w:rsidRPr="00BA528E" w14:paraId="6354D2BC" w14:textId="77777777" w:rsidTr="0015273C">
        <w:trPr>
          <w:trHeight w:val="302"/>
        </w:trPr>
        <w:tc>
          <w:tcPr>
            <w:tcW w:w="938" w:type="dxa"/>
            <w:tcBorders>
              <w:top w:val="nil"/>
              <w:left w:val="single" w:sz="4" w:space="0" w:color="auto"/>
              <w:bottom w:val="nil"/>
              <w:right w:val="single" w:sz="4" w:space="0" w:color="auto"/>
            </w:tcBorders>
            <w:shd w:val="clear" w:color="auto" w:fill="auto"/>
            <w:noWrap/>
            <w:vAlign w:val="center"/>
            <w:hideMark/>
          </w:tcPr>
          <w:p w14:paraId="75970F97"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 </w:t>
            </w:r>
          </w:p>
        </w:tc>
        <w:tc>
          <w:tcPr>
            <w:tcW w:w="9866" w:type="dxa"/>
            <w:tcBorders>
              <w:top w:val="nil"/>
              <w:left w:val="nil"/>
              <w:bottom w:val="nil"/>
            </w:tcBorders>
            <w:shd w:val="clear" w:color="auto" w:fill="auto"/>
            <w:noWrap/>
            <w:vAlign w:val="center"/>
            <w:hideMark/>
          </w:tcPr>
          <w:p w14:paraId="3F3E1D46" w14:textId="77777777" w:rsidR="00BA528E" w:rsidRPr="00BA528E" w:rsidRDefault="00BA528E" w:rsidP="0015273C">
            <w:pPr>
              <w:spacing w:after="0" w:line="240" w:lineRule="auto"/>
              <w:rPr>
                <w:rFonts w:ascii="Arial Narrow" w:eastAsia="Times New Roman" w:hAnsi="Arial Narrow" w:cs="Arial"/>
                <w:b/>
                <w:bCs/>
                <w:sz w:val="16"/>
                <w:szCs w:val="16"/>
                <w:lang w:eastAsia="pt-BR"/>
              </w:rPr>
            </w:pPr>
            <w:r w:rsidRPr="00BA528E">
              <w:rPr>
                <w:rFonts w:ascii="Arial Narrow" w:eastAsia="Times New Roman" w:hAnsi="Arial Narrow" w:cs="Arial"/>
                <w:b/>
                <w:bCs/>
                <w:sz w:val="16"/>
                <w:szCs w:val="16"/>
                <w:lang w:eastAsia="pt-BR"/>
              </w:rPr>
              <w:t xml:space="preserve">  RECURSOS VINCULADOS À SEGURIDADE SOCIAL</w:t>
            </w:r>
          </w:p>
        </w:tc>
        <w:tc>
          <w:tcPr>
            <w:tcW w:w="970" w:type="dxa"/>
            <w:tcBorders>
              <w:top w:val="nil"/>
              <w:bottom w:val="nil"/>
              <w:right w:val="single" w:sz="4" w:space="0" w:color="auto"/>
            </w:tcBorders>
            <w:shd w:val="clear" w:color="auto" w:fill="auto"/>
            <w:noWrap/>
            <w:vAlign w:val="center"/>
          </w:tcPr>
          <w:p w14:paraId="4CF5E55D" w14:textId="77777777" w:rsidR="00BA528E" w:rsidRPr="00BA528E" w:rsidRDefault="00BA528E" w:rsidP="0015273C">
            <w:pPr>
              <w:spacing w:after="0" w:line="240" w:lineRule="auto"/>
              <w:jc w:val="center"/>
              <w:rPr>
                <w:rFonts w:ascii="Arial Narrow" w:eastAsia="Times New Roman" w:hAnsi="Arial Narrow" w:cs="Arial"/>
                <w:b/>
                <w:bCs/>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106CFFF3" w14:textId="77777777" w:rsidR="00BA528E" w:rsidRPr="00BA528E" w:rsidRDefault="00BA528E" w:rsidP="0015273C">
            <w:pPr>
              <w:spacing w:after="0" w:line="240" w:lineRule="auto"/>
              <w:jc w:val="center"/>
              <w:rPr>
                <w:rFonts w:ascii="Arial Narrow" w:eastAsia="Times New Roman" w:hAnsi="Arial Narrow" w:cs="Arial"/>
                <w:b/>
                <w:bCs/>
                <w:sz w:val="16"/>
                <w:szCs w:val="16"/>
                <w:lang w:eastAsia="pt-BR"/>
              </w:rPr>
            </w:pPr>
            <w:r w:rsidRPr="00BA528E">
              <w:rPr>
                <w:rFonts w:ascii="Arial Narrow" w:eastAsia="Times New Roman" w:hAnsi="Arial Narrow" w:cs="Arial"/>
                <w:b/>
                <w:bCs/>
                <w:sz w:val="16"/>
                <w:szCs w:val="16"/>
                <w:lang w:eastAsia="pt-BR"/>
              </w:rPr>
              <w:t>SDF.D080</w:t>
            </w:r>
          </w:p>
        </w:tc>
        <w:tc>
          <w:tcPr>
            <w:tcW w:w="1246" w:type="dxa"/>
            <w:tcBorders>
              <w:top w:val="nil"/>
              <w:left w:val="nil"/>
              <w:bottom w:val="nil"/>
              <w:right w:val="single" w:sz="4" w:space="0" w:color="auto"/>
            </w:tcBorders>
            <w:shd w:val="clear" w:color="auto" w:fill="auto"/>
            <w:noWrap/>
            <w:vAlign w:val="center"/>
            <w:hideMark/>
          </w:tcPr>
          <w:p w14:paraId="40A3B49D" w14:textId="77777777" w:rsidR="00BA528E" w:rsidRPr="00BA528E" w:rsidRDefault="00BA528E" w:rsidP="0015273C">
            <w:pPr>
              <w:spacing w:after="0" w:line="240" w:lineRule="auto"/>
              <w:jc w:val="center"/>
              <w:rPr>
                <w:rFonts w:ascii="Arial Narrow" w:eastAsia="Times New Roman" w:hAnsi="Arial Narrow" w:cs="Arial"/>
                <w:b/>
                <w:bCs/>
                <w:sz w:val="16"/>
                <w:szCs w:val="16"/>
                <w:lang w:eastAsia="pt-BR"/>
              </w:rPr>
            </w:pPr>
            <w:r w:rsidRPr="00BA528E">
              <w:rPr>
                <w:rFonts w:ascii="Arial Narrow" w:eastAsia="Times New Roman" w:hAnsi="Arial Narrow" w:cs="Arial"/>
                <w:b/>
                <w:bCs/>
                <w:sz w:val="16"/>
                <w:szCs w:val="16"/>
                <w:lang w:eastAsia="pt-BR"/>
              </w:rPr>
              <w:t>SDF.E080</w:t>
            </w:r>
          </w:p>
        </w:tc>
      </w:tr>
      <w:tr w:rsidR="00BA528E" w:rsidRPr="00BA528E" w14:paraId="796F1EB1" w14:textId="77777777" w:rsidTr="0015273C">
        <w:trPr>
          <w:trHeight w:val="302"/>
        </w:trPr>
        <w:tc>
          <w:tcPr>
            <w:tcW w:w="938" w:type="dxa"/>
            <w:tcBorders>
              <w:top w:val="single" w:sz="4" w:space="0" w:color="D9D9D9"/>
              <w:left w:val="single" w:sz="4" w:space="0" w:color="auto"/>
              <w:bottom w:val="single" w:sz="4" w:space="0" w:color="D9D9D9"/>
              <w:right w:val="single" w:sz="4" w:space="0" w:color="auto"/>
            </w:tcBorders>
            <w:shd w:val="clear" w:color="auto" w:fill="auto"/>
            <w:vAlign w:val="center"/>
            <w:hideMark/>
          </w:tcPr>
          <w:p w14:paraId="48255F1F"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130</w:t>
            </w:r>
          </w:p>
        </w:tc>
        <w:tc>
          <w:tcPr>
            <w:tcW w:w="9866" w:type="dxa"/>
            <w:tcBorders>
              <w:top w:val="nil"/>
              <w:left w:val="nil"/>
              <w:bottom w:val="nil"/>
            </w:tcBorders>
            <w:shd w:val="clear" w:color="auto" w:fill="auto"/>
            <w:noWrap/>
            <w:vAlign w:val="center"/>
            <w:hideMark/>
          </w:tcPr>
          <w:p w14:paraId="5CBF0685"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PROGRAMA FEDERATIVO DE ENFRENTAMENTO AO COVID-19 VINCULADO ÀS AÇÕES DE SAÚDE E ASSISTÊNCIA SOCIAL – LC 173/20</w:t>
            </w:r>
          </w:p>
        </w:tc>
        <w:tc>
          <w:tcPr>
            <w:tcW w:w="970" w:type="dxa"/>
            <w:tcBorders>
              <w:top w:val="nil"/>
              <w:bottom w:val="nil"/>
              <w:right w:val="single" w:sz="4" w:space="0" w:color="auto"/>
            </w:tcBorders>
            <w:shd w:val="clear" w:color="auto" w:fill="auto"/>
            <w:noWrap/>
            <w:vAlign w:val="center"/>
          </w:tcPr>
          <w:p w14:paraId="276A097D"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29FACCD7"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SDF.D601</w:t>
            </w:r>
          </w:p>
        </w:tc>
        <w:tc>
          <w:tcPr>
            <w:tcW w:w="1246" w:type="dxa"/>
            <w:tcBorders>
              <w:top w:val="nil"/>
              <w:left w:val="nil"/>
              <w:bottom w:val="nil"/>
              <w:right w:val="single" w:sz="4" w:space="0" w:color="auto"/>
            </w:tcBorders>
            <w:shd w:val="clear" w:color="auto" w:fill="auto"/>
            <w:noWrap/>
            <w:vAlign w:val="center"/>
            <w:hideMark/>
          </w:tcPr>
          <w:p w14:paraId="15911213"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SDF.E601</w:t>
            </w:r>
          </w:p>
        </w:tc>
      </w:tr>
      <w:tr w:rsidR="00BA528E" w:rsidRPr="00BA528E" w14:paraId="1AE3101B" w14:textId="77777777" w:rsidTr="0015273C">
        <w:trPr>
          <w:trHeight w:val="302"/>
        </w:trPr>
        <w:tc>
          <w:tcPr>
            <w:tcW w:w="938" w:type="dxa"/>
            <w:tcBorders>
              <w:top w:val="nil"/>
              <w:left w:val="single" w:sz="4" w:space="0" w:color="auto"/>
              <w:bottom w:val="nil"/>
              <w:right w:val="single" w:sz="4" w:space="0" w:color="auto"/>
            </w:tcBorders>
            <w:shd w:val="clear" w:color="auto" w:fill="auto"/>
            <w:noWrap/>
            <w:vAlign w:val="center"/>
            <w:hideMark/>
          </w:tcPr>
          <w:p w14:paraId="36F96A8E"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lastRenderedPageBreak/>
              <w:t> </w:t>
            </w:r>
          </w:p>
        </w:tc>
        <w:tc>
          <w:tcPr>
            <w:tcW w:w="9866" w:type="dxa"/>
            <w:tcBorders>
              <w:top w:val="nil"/>
              <w:left w:val="nil"/>
              <w:bottom w:val="nil"/>
            </w:tcBorders>
            <w:shd w:val="clear" w:color="auto" w:fill="auto"/>
            <w:noWrap/>
            <w:vAlign w:val="center"/>
            <w:hideMark/>
          </w:tcPr>
          <w:p w14:paraId="1979A5FA" w14:textId="77777777" w:rsidR="00BA528E" w:rsidRPr="00BA528E" w:rsidRDefault="00BA528E" w:rsidP="0015273C">
            <w:pPr>
              <w:spacing w:after="0" w:line="240" w:lineRule="auto"/>
              <w:rPr>
                <w:rFonts w:ascii="Arial Narrow" w:eastAsia="Times New Roman" w:hAnsi="Arial Narrow" w:cs="Arial"/>
                <w:b/>
                <w:bCs/>
                <w:sz w:val="16"/>
                <w:szCs w:val="16"/>
                <w:lang w:eastAsia="pt-BR"/>
              </w:rPr>
            </w:pPr>
            <w:r w:rsidRPr="00BA528E">
              <w:rPr>
                <w:rFonts w:ascii="Arial Narrow" w:eastAsia="Times New Roman" w:hAnsi="Arial Narrow" w:cs="Arial"/>
                <w:b/>
                <w:bCs/>
                <w:sz w:val="16"/>
                <w:szCs w:val="16"/>
                <w:lang w:eastAsia="pt-BR"/>
              </w:rPr>
              <w:t xml:space="preserve"> OUTRAS DESTINAÇÕES DE RECURSOS</w:t>
            </w:r>
          </w:p>
        </w:tc>
        <w:tc>
          <w:tcPr>
            <w:tcW w:w="970" w:type="dxa"/>
            <w:tcBorders>
              <w:top w:val="nil"/>
              <w:bottom w:val="nil"/>
              <w:right w:val="single" w:sz="4" w:space="0" w:color="auto"/>
            </w:tcBorders>
            <w:shd w:val="clear" w:color="auto" w:fill="auto"/>
            <w:noWrap/>
            <w:vAlign w:val="center"/>
          </w:tcPr>
          <w:p w14:paraId="6AE119DF" w14:textId="77777777" w:rsidR="00BA528E" w:rsidRPr="00BA528E" w:rsidRDefault="00BA528E" w:rsidP="0015273C">
            <w:pPr>
              <w:spacing w:after="0" w:line="240" w:lineRule="auto"/>
              <w:jc w:val="center"/>
              <w:rPr>
                <w:rFonts w:ascii="Arial Narrow" w:eastAsia="Times New Roman" w:hAnsi="Arial Narrow" w:cs="Arial"/>
                <w:b/>
                <w:bCs/>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58AA66BD" w14:textId="77777777" w:rsidR="00BA528E" w:rsidRPr="00BA528E" w:rsidRDefault="00BA528E" w:rsidP="0015273C">
            <w:pPr>
              <w:spacing w:after="0" w:line="240" w:lineRule="auto"/>
              <w:jc w:val="center"/>
              <w:rPr>
                <w:rFonts w:ascii="Arial Narrow" w:eastAsia="Times New Roman" w:hAnsi="Arial Narrow" w:cs="Arial"/>
                <w:b/>
                <w:bCs/>
                <w:sz w:val="16"/>
                <w:szCs w:val="16"/>
                <w:lang w:eastAsia="pt-BR"/>
              </w:rPr>
            </w:pPr>
            <w:r w:rsidRPr="00BA528E">
              <w:rPr>
                <w:rFonts w:ascii="Arial Narrow" w:eastAsia="Times New Roman" w:hAnsi="Arial Narrow" w:cs="Arial"/>
                <w:b/>
                <w:bCs/>
                <w:sz w:val="16"/>
                <w:szCs w:val="16"/>
                <w:lang w:eastAsia="pt-BR"/>
              </w:rPr>
              <w:t>SDF.D081</w:t>
            </w:r>
          </w:p>
        </w:tc>
        <w:tc>
          <w:tcPr>
            <w:tcW w:w="1246" w:type="dxa"/>
            <w:tcBorders>
              <w:top w:val="nil"/>
              <w:left w:val="nil"/>
              <w:bottom w:val="nil"/>
              <w:right w:val="single" w:sz="4" w:space="0" w:color="auto"/>
            </w:tcBorders>
            <w:shd w:val="clear" w:color="auto" w:fill="auto"/>
            <w:noWrap/>
            <w:vAlign w:val="center"/>
            <w:hideMark/>
          </w:tcPr>
          <w:p w14:paraId="1C343BB3" w14:textId="77777777" w:rsidR="00BA528E" w:rsidRPr="00BA528E" w:rsidRDefault="00BA528E" w:rsidP="0015273C">
            <w:pPr>
              <w:spacing w:after="0" w:line="240" w:lineRule="auto"/>
              <w:jc w:val="center"/>
              <w:rPr>
                <w:rFonts w:ascii="Arial Narrow" w:eastAsia="Times New Roman" w:hAnsi="Arial Narrow" w:cs="Arial"/>
                <w:b/>
                <w:bCs/>
                <w:sz w:val="16"/>
                <w:szCs w:val="16"/>
                <w:lang w:eastAsia="pt-BR"/>
              </w:rPr>
            </w:pPr>
            <w:r w:rsidRPr="00BA528E">
              <w:rPr>
                <w:rFonts w:ascii="Arial Narrow" w:eastAsia="Times New Roman" w:hAnsi="Arial Narrow" w:cs="Arial"/>
                <w:b/>
                <w:bCs/>
                <w:sz w:val="16"/>
                <w:szCs w:val="16"/>
                <w:lang w:eastAsia="pt-BR"/>
              </w:rPr>
              <w:t>SDF.E081</w:t>
            </w:r>
          </w:p>
        </w:tc>
      </w:tr>
      <w:tr w:rsidR="00BA528E" w:rsidRPr="00BA528E" w14:paraId="394148AD" w14:textId="77777777" w:rsidTr="0015273C">
        <w:trPr>
          <w:trHeight w:val="302"/>
        </w:trPr>
        <w:tc>
          <w:tcPr>
            <w:tcW w:w="938" w:type="dxa"/>
            <w:tcBorders>
              <w:top w:val="single" w:sz="4" w:space="0" w:color="D9D9D9"/>
              <w:left w:val="single" w:sz="4" w:space="0" w:color="auto"/>
              <w:bottom w:val="single" w:sz="4" w:space="0" w:color="D9D9D9"/>
              <w:right w:val="single" w:sz="4" w:space="0" w:color="auto"/>
            </w:tcBorders>
            <w:shd w:val="clear" w:color="auto" w:fill="auto"/>
            <w:vAlign w:val="center"/>
            <w:hideMark/>
          </w:tcPr>
          <w:p w14:paraId="13ED99A1"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000</w:t>
            </w:r>
          </w:p>
        </w:tc>
        <w:tc>
          <w:tcPr>
            <w:tcW w:w="9866" w:type="dxa"/>
            <w:tcBorders>
              <w:top w:val="single" w:sz="4" w:space="0" w:color="D9D9D9"/>
              <w:left w:val="nil"/>
              <w:bottom w:val="single" w:sz="4" w:space="0" w:color="D9D9D9"/>
            </w:tcBorders>
            <w:shd w:val="clear" w:color="auto" w:fill="auto"/>
            <w:vAlign w:val="center"/>
            <w:hideMark/>
          </w:tcPr>
          <w:p w14:paraId="1D2B6359"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CAUÇÕES E VALORES RESTITUÍVEIS</w:t>
            </w:r>
          </w:p>
        </w:tc>
        <w:tc>
          <w:tcPr>
            <w:tcW w:w="970" w:type="dxa"/>
            <w:tcBorders>
              <w:top w:val="nil"/>
              <w:bottom w:val="nil"/>
              <w:right w:val="single" w:sz="4" w:space="0" w:color="auto"/>
            </w:tcBorders>
            <w:shd w:val="clear" w:color="auto" w:fill="auto"/>
            <w:noWrap/>
            <w:vAlign w:val="center"/>
          </w:tcPr>
          <w:p w14:paraId="248F071B" w14:textId="77777777" w:rsidR="00BA528E" w:rsidRPr="00BA528E" w:rsidRDefault="00BA528E" w:rsidP="0015273C">
            <w:pPr>
              <w:spacing w:after="0" w:line="240" w:lineRule="auto"/>
              <w:jc w:val="center"/>
              <w:rPr>
                <w:rFonts w:ascii="Arial Narrow" w:eastAsia="Times New Roman" w:hAnsi="Arial Narrow" w:cs="Calibri"/>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1E104C03"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SDF.D503</w:t>
            </w:r>
          </w:p>
        </w:tc>
        <w:tc>
          <w:tcPr>
            <w:tcW w:w="1246" w:type="dxa"/>
            <w:tcBorders>
              <w:top w:val="nil"/>
              <w:left w:val="nil"/>
              <w:bottom w:val="nil"/>
              <w:right w:val="single" w:sz="4" w:space="0" w:color="auto"/>
            </w:tcBorders>
            <w:shd w:val="clear" w:color="auto" w:fill="auto"/>
            <w:noWrap/>
            <w:vAlign w:val="center"/>
            <w:hideMark/>
          </w:tcPr>
          <w:p w14:paraId="7240C137"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SDF.E503</w:t>
            </w:r>
          </w:p>
        </w:tc>
      </w:tr>
      <w:tr w:rsidR="00BA528E" w:rsidRPr="00BA528E" w14:paraId="6FB0B9AF" w14:textId="77777777" w:rsidTr="0015273C">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188DEBB1"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107</w:t>
            </w:r>
          </w:p>
        </w:tc>
        <w:tc>
          <w:tcPr>
            <w:tcW w:w="9866" w:type="dxa"/>
            <w:tcBorders>
              <w:top w:val="nil"/>
              <w:left w:val="nil"/>
              <w:bottom w:val="single" w:sz="4" w:space="0" w:color="D9D9D9"/>
            </w:tcBorders>
            <w:shd w:val="clear" w:color="auto" w:fill="auto"/>
            <w:vAlign w:val="center"/>
            <w:hideMark/>
          </w:tcPr>
          <w:p w14:paraId="1797ACC9"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ROYALTIES, PARTICIPAÇÃO ESPECIAL E FUNDO ESPECIAL DO PETRÓLEO</w:t>
            </w:r>
          </w:p>
        </w:tc>
        <w:tc>
          <w:tcPr>
            <w:tcW w:w="970" w:type="dxa"/>
            <w:tcBorders>
              <w:top w:val="nil"/>
              <w:bottom w:val="nil"/>
              <w:right w:val="single" w:sz="4" w:space="0" w:color="auto"/>
            </w:tcBorders>
            <w:shd w:val="clear" w:color="auto" w:fill="auto"/>
            <w:noWrap/>
            <w:vAlign w:val="center"/>
          </w:tcPr>
          <w:p w14:paraId="30CC5970" w14:textId="77777777" w:rsidR="00BA528E" w:rsidRPr="00BA528E" w:rsidRDefault="00BA528E" w:rsidP="0015273C">
            <w:pPr>
              <w:spacing w:after="0" w:line="240" w:lineRule="auto"/>
              <w:jc w:val="center"/>
              <w:rPr>
                <w:rFonts w:ascii="Arial Narrow" w:eastAsia="Times New Roman" w:hAnsi="Arial Narrow" w:cs="Calibri"/>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2A8FDCEE"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SDF.D594</w:t>
            </w:r>
          </w:p>
        </w:tc>
        <w:tc>
          <w:tcPr>
            <w:tcW w:w="1246" w:type="dxa"/>
            <w:tcBorders>
              <w:top w:val="nil"/>
              <w:left w:val="nil"/>
              <w:bottom w:val="nil"/>
              <w:right w:val="single" w:sz="4" w:space="0" w:color="auto"/>
            </w:tcBorders>
            <w:shd w:val="clear" w:color="auto" w:fill="auto"/>
            <w:noWrap/>
            <w:vAlign w:val="center"/>
            <w:hideMark/>
          </w:tcPr>
          <w:p w14:paraId="6C1B55A0"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SDF.E594</w:t>
            </w:r>
          </w:p>
        </w:tc>
      </w:tr>
      <w:tr w:rsidR="00BA528E" w:rsidRPr="00BA528E" w14:paraId="3D88BEEF" w14:textId="77777777" w:rsidTr="0015273C">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69D05167"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108</w:t>
            </w:r>
          </w:p>
        </w:tc>
        <w:tc>
          <w:tcPr>
            <w:tcW w:w="9866" w:type="dxa"/>
            <w:tcBorders>
              <w:top w:val="nil"/>
              <w:left w:val="nil"/>
              <w:bottom w:val="single" w:sz="4" w:space="0" w:color="D9D9D9"/>
            </w:tcBorders>
            <w:shd w:val="clear" w:color="auto" w:fill="auto"/>
            <w:vAlign w:val="center"/>
            <w:hideMark/>
          </w:tcPr>
          <w:p w14:paraId="77CFCCBB"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DISTRIBUIÇÃO DA CESSÃO ONEROSA DO BÔNUS DE ASSINATURA DO PRÉ-SAL - LEI Nº 13.885/2019</w:t>
            </w:r>
          </w:p>
        </w:tc>
        <w:tc>
          <w:tcPr>
            <w:tcW w:w="970" w:type="dxa"/>
            <w:tcBorders>
              <w:top w:val="nil"/>
              <w:bottom w:val="nil"/>
              <w:right w:val="single" w:sz="4" w:space="0" w:color="auto"/>
            </w:tcBorders>
            <w:shd w:val="clear" w:color="auto" w:fill="auto"/>
            <w:noWrap/>
            <w:vAlign w:val="center"/>
          </w:tcPr>
          <w:p w14:paraId="79EE2CD9" w14:textId="77777777" w:rsidR="00BA528E" w:rsidRPr="00BA528E" w:rsidRDefault="00BA528E" w:rsidP="0015273C">
            <w:pPr>
              <w:spacing w:after="0" w:line="240" w:lineRule="auto"/>
              <w:jc w:val="center"/>
              <w:rPr>
                <w:rFonts w:ascii="Arial Narrow" w:eastAsia="Times New Roman" w:hAnsi="Arial Narrow" w:cs="Calibri"/>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413B780B"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SDF.D595</w:t>
            </w:r>
          </w:p>
        </w:tc>
        <w:tc>
          <w:tcPr>
            <w:tcW w:w="1246" w:type="dxa"/>
            <w:tcBorders>
              <w:top w:val="nil"/>
              <w:left w:val="nil"/>
              <w:bottom w:val="nil"/>
              <w:right w:val="single" w:sz="4" w:space="0" w:color="auto"/>
            </w:tcBorders>
            <w:shd w:val="clear" w:color="auto" w:fill="auto"/>
            <w:noWrap/>
            <w:vAlign w:val="center"/>
            <w:hideMark/>
          </w:tcPr>
          <w:p w14:paraId="2179178A"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SDF.E595</w:t>
            </w:r>
          </w:p>
        </w:tc>
      </w:tr>
      <w:tr w:rsidR="00BA528E" w:rsidRPr="00BA528E" w14:paraId="7BFB7844" w14:textId="77777777" w:rsidTr="0015273C">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42119A56"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112</w:t>
            </w:r>
          </w:p>
        </w:tc>
        <w:tc>
          <w:tcPr>
            <w:tcW w:w="9866" w:type="dxa"/>
            <w:tcBorders>
              <w:top w:val="nil"/>
              <w:left w:val="nil"/>
              <w:bottom w:val="single" w:sz="4" w:space="0" w:color="D9D9D9"/>
            </w:tcBorders>
            <w:shd w:val="clear" w:color="auto" w:fill="auto"/>
            <w:vAlign w:val="center"/>
            <w:hideMark/>
          </w:tcPr>
          <w:p w14:paraId="385AA1F8"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SUPERÁVIT FINANCEIRO - DEC 2.829-R, DE 17/08/11</w:t>
            </w:r>
          </w:p>
        </w:tc>
        <w:tc>
          <w:tcPr>
            <w:tcW w:w="970" w:type="dxa"/>
            <w:tcBorders>
              <w:top w:val="nil"/>
              <w:bottom w:val="nil"/>
              <w:right w:val="single" w:sz="4" w:space="0" w:color="auto"/>
            </w:tcBorders>
            <w:shd w:val="clear" w:color="auto" w:fill="auto"/>
            <w:noWrap/>
            <w:vAlign w:val="center"/>
          </w:tcPr>
          <w:p w14:paraId="080480F0" w14:textId="77777777" w:rsidR="00BA528E" w:rsidRPr="00BA528E" w:rsidRDefault="00BA528E" w:rsidP="0015273C">
            <w:pPr>
              <w:spacing w:after="0" w:line="240" w:lineRule="auto"/>
              <w:jc w:val="center"/>
              <w:rPr>
                <w:rFonts w:ascii="Arial Narrow" w:eastAsia="Times New Roman" w:hAnsi="Arial Narrow" w:cs="Calibri"/>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2FD3227F"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SDF.D506</w:t>
            </w:r>
          </w:p>
        </w:tc>
        <w:tc>
          <w:tcPr>
            <w:tcW w:w="1246" w:type="dxa"/>
            <w:tcBorders>
              <w:top w:val="nil"/>
              <w:left w:val="nil"/>
              <w:bottom w:val="nil"/>
              <w:right w:val="single" w:sz="4" w:space="0" w:color="auto"/>
            </w:tcBorders>
            <w:shd w:val="clear" w:color="auto" w:fill="auto"/>
            <w:noWrap/>
            <w:vAlign w:val="center"/>
            <w:hideMark/>
          </w:tcPr>
          <w:p w14:paraId="51DF3B87"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SDF.E506</w:t>
            </w:r>
          </w:p>
        </w:tc>
      </w:tr>
      <w:tr w:rsidR="00BA528E" w:rsidRPr="00BA528E" w14:paraId="435158F2" w14:textId="77777777" w:rsidTr="0015273C">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7941BAD1"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115</w:t>
            </w:r>
          </w:p>
        </w:tc>
        <w:tc>
          <w:tcPr>
            <w:tcW w:w="9866" w:type="dxa"/>
            <w:tcBorders>
              <w:top w:val="nil"/>
              <w:left w:val="nil"/>
              <w:bottom w:val="single" w:sz="4" w:space="0" w:color="D9D9D9"/>
            </w:tcBorders>
            <w:shd w:val="clear" w:color="auto" w:fill="auto"/>
            <w:vAlign w:val="center"/>
            <w:hideMark/>
          </w:tcPr>
          <w:p w14:paraId="69A8D657"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ALIENAÇÃO DE BENS</w:t>
            </w:r>
          </w:p>
        </w:tc>
        <w:tc>
          <w:tcPr>
            <w:tcW w:w="970" w:type="dxa"/>
            <w:tcBorders>
              <w:top w:val="nil"/>
              <w:bottom w:val="nil"/>
              <w:right w:val="single" w:sz="4" w:space="0" w:color="auto"/>
            </w:tcBorders>
            <w:shd w:val="clear" w:color="auto" w:fill="auto"/>
            <w:noWrap/>
            <w:vAlign w:val="center"/>
          </w:tcPr>
          <w:p w14:paraId="0D33AF89" w14:textId="77777777" w:rsidR="00BA528E" w:rsidRPr="00BA528E" w:rsidRDefault="00BA528E" w:rsidP="0015273C">
            <w:pPr>
              <w:spacing w:after="0" w:line="240" w:lineRule="auto"/>
              <w:jc w:val="center"/>
              <w:rPr>
                <w:rFonts w:ascii="Arial Narrow" w:eastAsia="Times New Roman" w:hAnsi="Arial Narrow" w:cs="Calibri"/>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12E1CBC7"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SDF.D509</w:t>
            </w:r>
          </w:p>
        </w:tc>
        <w:tc>
          <w:tcPr>
            <w:tcW w:w="1246" w:type="dxa"/>
            <w:tcBorders>
              <w:top w:val="nil"/>
              <w:left w:val="nil"/>
              <w:bottom w:val="nil"/>
              <w:right w:val="single" w:sz="4" w:space="0" w:color="auto"/>
            </w:tcBorders>
            <w:shd w:val="clear" w:color="auto" w:fill="auto"/>
            <w:noWrap/>
            <w:vAlign w:val="center"/>
            <w:hideMark/>
          </w:tcPr>
          <w:p w14:paraId="7B533CD3"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SDF.E509</w:t>
            </w:r>
          </w:p>
        </w:tc>
      </w:tr>
      <w:tr w:rsidR="00BA528E" w:rsidRPr="00BA528E" w14:paraId="050002CC" w14:textId="77777777" w:rsidTr="0015273C">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22CE2424"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116</w:t>
            </w:r>
          </w:p>
        </w:tc>
        <w:tc>
          <w:tcPr>
            <w:tcW w:w="9866" w:type="dxa"/>
            <w:tcBorders>
              <w:top w:val="nil"/>
              <w:left w:val="nil"/>
              <w:bottom w:val="single" w:sz="4" w:space="0" w:color="D9D9D9"/>
            </w:tcBorders>
            <w:shd w:val="clear" w:color="auto" w:fill="auto"/>
            <w:vAlign w:val="center"/>
            <w:hideMark/>
          </w:tcPr>
          <w:p w14:paraId="594D45F4"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DEPÓSITOS JUDICIAIS - LEI 10.549, DE 01/07/16</w:t>
            </w:r>
          </w:p>
        </w:tc>
        <w:tc>
          <w:tcPr>
            <w:tcW w:w="970" w:type="dxa"/>
            <w:tcBorders>
              <w:top w:val="nil"/>
              <w:bottom w:val="nil"/>
              <w:right w:val="single" w:sz="4" w:space="0" w:color="auto"/>
            </w:tcBorders>
            <w:shd w:val="clear" w:color="auto" w:fill="auto"/>
            <w:noWrap/>
            <w:vAlign w:val="center"/>
          </w:tcPr>
          <w:p w14:paraId="0481896C" w14:textId="77777777" w:rsidR="00BA528E" w:rsidRPr="00BA528E" w:rsidRDefault="00BA528E" w:rsidP="0015273C">
            <w:pPr>
              <w:spacing w:after="0" w:line="240" w:lineRule="auto"/>
              <w:jc w:val="center"/>
              <w:rPr>
                <w:rFonts w:ascii="Arial Narrow" w:eastAsia="Times New Roman" w:hAnsi="Arial Narrow" w:cs="Calibri"/>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7881974C"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SDF.D510</w:t>
            </w:r>
          </w:p>
        </w:tc>
        <w:tc>
          <w:tcPr>
            <w:tcW w:w="1246" w:type="dxa"/>
            <w:tcBorders>
              <w:top w:val="nil"/>
              <w:left w:val="nil"/>
              <w:bottom w:val="nil"/>
              <w:right w:val="single" w:sz="4" w:space="0" w:color="auto"/>
            </w:tcBorders>
            <w:shd w:val="clear" w:color="auto" w:fill="auto"/>
            <w:noWrap/>
            <w:vAlign w:val="center"/>
            <w:hideMark/>
          </w:tcPr>
          <w:p w14:paraId="1E963F1D"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SDF.E510</w:t>
            </w:r>
          </w:p>
        </w:tc>
      </w:tr>
      <w:tr w:rsidR="00BA528E" w:rsidRPr="00BA528E" w14:paraId="1C454885" w14:textId="77777777" w:rsidTr="0015273C">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tcPr>
          <w:p w14:paraId="6C77F59E"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129</w:t>
            </w:r>
          </w:p>
        </w:tc>
        <w:tc>
          <w:tcPr>
            <w:tcW w:w="9866" w:type="dxa"/>
            <w:tcBorders>
              <w:top w:val="nil"/>
              <w:left w:val="nil"/>
              <w:bottom w:val="single" w:sz="4" w:space="0" w:color="D9D9D9"/>
            </w:tcBorders>
            <w:shd w:val="clear" w:color="auto" w:fill="auto"/>
            <w:vAlign w:val="center"/>
          </w:tcPr>
          <w:p w14:paraId="5116A05D"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CONVÊNIOS COM INSTITUIÇÕES PRIVADAS</w:t>
            </w:r>
          </w:p>
        </w:tc>
        <w:tc>
          <w:tcPr>
            <w:tcW w:w="970" w:type="dxa"/>
            <w:tcBorders>
              <w:top w:val="nil"/>
              <w:bottom w:val="nil"/>
              <w:right w:val="single" w:sz="4" w:space="0" w:color="auto"/>
            </w:tcBorders>
            <w:shd w:val="clear" w:color="auto" w:fill="auto"/>
            <w:noWrap/>
            <w:vAlign w:val="center"/>
          </w:tcPr>
          <w:p w14:paraId="6C12F443" w14:textId="77777777" w:rsidR="00BA528E" w:rsidRPr="00BA528E" w:rsidRDefault="00BA528E" w:rsidP="0015273C">
            <w:pPr>
              <w:spacing w:after="0" w:line="240" w:lineRule="auto"/>
              <w:jc w:val="center"/>
              <w:rPr>
                <w:rFonts w:ascii="Arial Narrow" w:eastAsia="Times New Roman" w:hAnsi="Arial Narrow" w:cs="Calibri"/>
                <w:sz w:val="16"/>
                <w:szCs w:val="16"/>
                <w:lang w:eastAsia="pt-BR"/>
              </w:rPr>
            </w:pPr>
          </w:p>
        </w:tc>
        <w:tc>
          <w:tcPr>
            <w:tcW w:w="1386" w:type="dxa"/>
            <w:tcBorders>
              <w:top w:val="nil"/>
              <w:left w:val="nil"/>
              <w:bottom w:val="nil"/>
              <w:right w:val="single" w:sz="4" w:space="0" w:color="auto"/>
            </w:tcBorders>
            <w:shd w:val="clear" w:color="auto" w:fill="auto"/>
            <w:noWrap/>
            <w:vAlign w:val="center"/>
          </w:tcPr>
          <w:p w14:paraId="2E319E6F"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SDF.D605</w:t>
            </w:r>
          </w:p>
        </w:tc>
        <w:tc>
          <w:tcPr>
            <w:tcW w:w="1246" w:type="dxa"/>
            <w:tcBorders>
              <w:top w:val="nil"/>
              <w:left w:val="nil"/>
              <w:bottom w:val="nil"/>
              <w:right w:val="single" w:sz="4" w:space="0" w:color="auto"/>
            </w:tcBorders>
            <w:shd w:val="clear" w:color="auto" w:fill="auto"/>
            <w:noWrap/>
            <w:vAlign w:val="center"/>
          </w:tcPr>
          <w:p w14:paraId="4097D7F9"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SDF.E605</w:t>
            </w:r>
          </w:p>
        </w:tc>
      </w:tr>
      <w:tr w:rsidR="00BA528E" w:rsidRPr="00BA528E" w14:paraId="73DCD34E" w14:textId="77777777" w:rsidTr="0015273C">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28FBE0B9"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133</w:t>
            </w:r>
          </w:p>
        </w:tc>
        <w:tc>
          <w:tcPr>
            <w:tcW w:w="9866" w:type="dxa"/>
            <w:tcBorders>
              <w:top w:val="nil"/>
              <w:left w:val="nil"/>
              <w:bottom w:val="single" w:sz="4" w:space="0" w:color="D9D9D9"/>
            </w:tcBorders>
            <w:shd w:val="clear" w:color="auto" w:fill="auto"/>
            <w:vAlign w:val="center"/>
            <w:hideMark/>
          </w:tcPr>
          <w:p w14:paraId="61E8DAD8"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CONVÊNIOS - UNIÃO</w:t>
            </w:r>
          </w:p>
        </w:tc>
        <w:tc>
          <w:tcPr>
            <w:tcW w:w="970" w:type="dxa"/>
            <w:tcBorders>
              <w:top w:val="nil"/>
              <w:bottom w:val="nil"/>
              <w:right w:val="single" w:sz="4" w:space="0" w:color="auto"/>
            </w:tcBorders>
            <w:shd w:val="clear" w:color="auto" w:fill="auto"/>
            <w:noWrap/>
            <w:vAlign w:val="center"/>
          </w:tcPr>
          <w:p w14:paraId="3D206ECE" w14:textId="77777777" w:rsidR="00BA528E" w:rsidRPr="00BA528E" w:rsidRDefault="00BA528E" w:rsidP="0015273C">
            <w:pPr>
              <w:spacing w:after="0" w:line="240" w:lineRule="auto"/>
              <w:jc w:val="center"/>
              <w:rPr>
                <w:rFonts w:ascii="Arial Narrow" w:eastAsia="Times New Roman" w:hAnsi="Arial Narrow" w:cs="Calibri"/>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2047A29D"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SDF.D513</w:t>
            </w:r>
          </w:p>
        </w:tc>
        <w:tc>
          <w:tcPr>
            <w:tcW w:w="1246" w:type="dxa"/>
            <w:tcBorders>
              <w:top w:val="nil"/>
              <w:left w:val="nil"/>
              <w:bottom w:val="nil"/>
              <w:right w:val="single" w:sz="4" w:space="0" w:color="auto"/>
            </w:tcBorders>
            <w:shd w:val="clear" w:color="auto" w:fill="auto"/>
            <w:noWrap/>
            <w:vAlign w:val="center"/>
            <w:hideMark/>
          </w:tcPr>
          <w:p w14:paraId="77362957"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SDF.E513</w:t>
            </w:r>
          </w:p>
        </w:tc>
      </w:tr>
      <w:tr w:rsidR="00BA528E" w:rsidRPr="00BA528E" w14:paraId="1B27505A" w14:textId="77777777" w:rsidTr="0015273C">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79A35C55"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136</w:t>
            </w:r>
          </w:p>
        </w:tc>
        <w:tc>
          <w:tcPr>
            <w:tcW w:w="9866" w:type="dxa"/>
            <w:tcBorders>
              <w:top w:val="nil"/>
              <w:left w:val="nil"/>
              <w:bottom w:val="single" w:sz="4" w:space="0" w:color="D9D9D9"/>
            </w:tcBorders>
            <w:shd w:val="clear" w:color="auto" w:fill="auto"/>
            <w:vAlign w:val="center"/>
            <w:hideMark/>
          </w:tcPr>
          <w:p w14:paraId="0B1A129B"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TRANSFERÊNCIAS CONSTITUCIONAIS A MUNICÍPIOS</w:t>
            </w:r>
          </w:p>
        </w:tc>
        <w:tc>
          <w:tcPr>
            <w:tcW w:w="970" w:type="dxa"/>
            <w:tcBorders>
              <w:top w:val="nil"/>
              <w:bottom w:val="nil"/>
              <w:right w:val="single" w:sz="4" w:space="0" w:color="auto"/>
            </w:tcBorders>
            <w:shd w:val="clear" w:color="auto" w:fill="auto"/>
            <w:noWrap/>
            <w:vAlign w:val="center"/>
          </w:tcPr>
          <w:p w14:paraId="0248832D" w14:textId="77777777" w:rsidR="00BA528E" w:rsidRPr="00BA528E" w:rsidRDefault="00BA528E" w:rsidP="0015273C">
            <w:pPr>
              <w:spacing w:after="0" w:line="240" w:lineRule="auto"/>
              <w:jc w:val="center"/>
              <w:rPr>
                <w:rFonts w:ascii="Arial Narrow" w:eastAsia="Times New Roman" w:hAnsi="Arial Narrow" w:cs="Calibri"/>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32DD1809"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SDF.D516</w:t>
            </w:r>
          </w:p>
        </w:tc>
        <w:tc>
          <w:tcPr>
            <w:tcW w:w="1246" w:type="dxa"/>
            <w:tcBorders>
              <w:top w:val="nil"/>
              <w:left w:val="nil"/>
              <w:bottom w:val="nil"/>
              <w:right w:val="single" w:sz="4" w:space="0" w:color="auto"/>
            </w:tcBorders>
            <w:shd w:val="clear" w:color="auto" w:fill="auto"/>
            <w:noWrap/>
            <w:vAlign w:val="center"/>
            <w:hideMark/>
          </w:tcPr>
          <w:p w14:paraId="66EFDE12"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SDF.E516</w:t>
            </w:r>
          </w:p>
        </w:tc>
      </w:tr>
      <w:tr w:rsidR="00BA528E" w:rsidRPr="00BA528E" w14:paraId="74670180" w14:textId="77777777" w:rsidTr="0015273C">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4E42512E"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138</w:t>
            </w:r>
          </w:p>
        </w:tc>
        <w:tc>
          <w:tcPr>
            <w:tcW w:w="9866" w:type="dxa"/>
            <w:tcBorders>
              <w:top w:val="nil"/>
              <w:left w:val="nil"/>
              <w:bottom w:val="single" w:sz="4" w:space="0" w:color="D9D9D9"/>
            </w:tcBorders>
            <w:shd w:val="clear" w:color="auto" w:fill="auto"/>
            <w:vAlign w:val="center"/>
            <w:hideMark/>
          </w:tcPr>
          <w:p w14:paraId="61312C4C"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FUNDAP</w:t>
            </w:r>
          </w:p>
        </w:tc>
        <w:tc>
          <w:tcPr>
            <w:tcW w:w="970" w:type="dxa"/>
            <w:tcBorders>
              <w:top w:val="nil"/>
              <w:bottom w:val="nil"/>
              <w:right w:val="single" w:sz="4" w:space="0" w:color="auto"/>
            </w:tcBorders>
            <w:shd w:val="clear" w:color="auto" w:fill="auto"/>
            <w:noWrap/>
            <w:vAlign w:val="center"/>
          </w:tcPr>
          <w:p w14:paraId="367D509A" w14:textId="77777777" w:rsidR="00BA528E" w:rsidRPr="00BA528E" w:rsidRDefault="00BA528E" w:rsidP="0015273C">
            <w:pPr>
              <w:spacing w:after="0" w:line="240" w:lineRule="auto"/>
              <w:jc w:val="center"/>
              <w:rPr>
                <w:rFonts w:ascii="Arial Narrow" w:eastAsia="Times New Roman" w:hAnsi="Arial Narrow" w:cs="Calibri"/>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0089FA7E"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SDF.D517</w:t>
            </w:r>
          </w:p>
        </w:tc>
        <w:tc>
          <w:tcPr>
            <w:tcW w:w="1246" w:type="dxa"/>
            <w:tcBorders>
              <w:top w:val="nil"/>
              <w:left w:val="nil"/>
              <w:bottom w:val="nil"/>
              <w:right w:val="single" w:sz="4" w:space="0" w:color="auto"/>
            </w:tcBorders>
            <w:shd w:val="clear" w:color="auto" w:fill="auto"/>
            <w:noWrap/>
            <w:vAlign w:val="center"/>
            <w:hideMark/>
          </w:tcPr>
          <w:p w14:paraId="485B5F62"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SDF.E517</w:t>
            </w:r>
          </w:p>
        </w:tc>
      </w:tr>
      <w:tr w:rsidR="00BA528E" w:rsidRPr="00BA528E" w14:paraId="609D4CC8" w14:textId="77777777" w:rsidTr="0015273C">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2EB17B12"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139</w:t>
            </w:r>
          </w:p>
        </w:tc>
        <w:tc>
          <w:tcPr>
            <w:tcW w:w="9866" w:type="dxa"/>
            <w:tcBorders>
              <w:top w:val="nil"/>
              <w:left w:val="nil"/>
              <w:bottom w:val="single" w:sz="4" w:space="0" w:color="D9D9D9"/>
            </w:tcBorders>
            <w:shd w:val="clear" w:color="auto" w:fill="auto"/>
            <w:vAlign w:val="center"/>
            <w:hideMark/>
          </w:tcPr>
          <w:p w14:paraId="69CB26D8"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DOAÇÕES</w:t>
            </w:r>
          </w:p>
        </w:tc>
        <w:tc>
          <w:tcPr>
            <w:tcW w:w="970" w:type="dxa"/>
            <w:tcBorders>
              <w:top w:val="nil"/>
              <w:bottom w:val="nil"/>
              <w:right w:val="single" w:sz="4" w:space="0" w:color="auto"/>
            </w:tcBorders>
            <w:shd w:val="clear" w:color="auto" w:fill="auto"/>
            <w:noWrap/>
            <w:vAlign w:val="center"/>
          </w:tcPr>
          <w:p w14:paraId="319E2D59" w14:textId="77777777" w:rsidR="00BA528E" w:rsidRPr="00BA528E" w:rsidRDefault="00BA528E" w:rsidP="0015273C">
            <w:pPr>
              <w:spacing w:after="0" w:line="240" w:lineRule="auto"/>
              <w:jc w:val="center"/>
              <w:rPr>
                <w:rFonts w:ascii="Arial Narrow" w:eastAsia="Times New Roman" w:hAnsi="Arial Narrow" w:cs="Calibri"/>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1C3E72FF"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SDF.D518</w:t>
            </w:r>
          </w:p>
        </w:tc>
        <w:tc>
          <w:tcPr>
            <w:tcW w:w="1246" w:type="dxa"/>
            <w:tcBorders>
              <w:top w:val="nil"/>
              <w:left w:val="nil"/>
              <w:bottom w:val="nil"/>
              <w:right w:val="single" w:sz="4" w:space="0" w:color="auto"/>
            </w:tcBorders>
            <w:shd w:val="clear" w:color="auto" w:fill="auto"/>
            <w:noWrap/>
            <w:vAlign w:val="center"/>
            <w:hideMark/>
          </w:tcPr>
          <w:p w14:paraId="22CE54F0"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SDF.E518</w:t>
            </w:r>
          </w:p>
        </w:tc>
      </w:tr>
      <w:tr w:rsidR="00BA528E" w:rsidRPr="00BA528E" w14:paraId="4DFE74F0" w14:textId="77777777" w:rsidTr="0015273C">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0D978D72"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141</w:t>
            </w:r>
          </w:p>
        </w:tc>
        <w:tc>
          <w:tcPr>
            <w:tcW w:w="9866" w:type="dxa"/>
            <w:tcBorders>
              <w:top w:val="nil"/>
              <w:left w:val="nil"/>
              <w:bottom w:val="single" w:sz="4" w:space="0" w:color="D9D9D9"/>
            </w:tcBorders>
            <w:shd w:val="clear" w:color="auto" w:fill="auto"/>
            <w:vAlign w:val="center"/>
            <w:hideMark/>
          </w:tcPr>
          <w:p w14:paraId="0A19FA67"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CONVÊNIOS COM ÓRGÃOS NÃO FEDERAIS</w:t>
            </w:r>
          </w:p>
        </w:tc>
        <w:tc>
          <w:tcPr>
            <w:tcW w:w="970" w:type="dxa"/>
            <w:tcBorders>
              <w:top w:val="nil"/>
              <w:bottom w:val="nil"/>
              <w:right w:val="single" w:sz="4" w:space="0" w:color="auto"/>
            </w:tcBorders>
            <w:shd w:val="clear" w:color="auto" w:fill="auto"/>
            <w:noWrap/>
            <w:vAlign w:val="center"/>
          </w:tcPr>
          <w:p w14:paraId="21A7E66F" w14:textId="77777777" w:rsidR="00BA528E" w:rsidRPr="00BA528E" w:rsidRDefault="00BA528E" w:rsidP="0015273C">
            <w:pPr>
              <w:spacing w:after="0" w:line="240" w:lineRule="auto"/>
              <w:jc w:val="center"/>
              <w:rPr>
                <w:rFonts w:ascii="Arial Narrow" w:eastAsia="Times New Roman" w:hAnsi="Arial Narrow" w:cs="Calibri"/>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413FFFD3"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SDF.D519</w:t>
            </w:r>
          </w:p>
        </w:tc>
        <w:tc>
          <w:tcPr>
            <w:tcW w:w="1246" w:type="dxa"/>
            <w:tcBorders>
              <w:top w:val="nil"/>
              <w:left w:val="nil"/>
              <w:bottom w:val="nil"/>
              <w:right w:val="single" w:sz="4" w:space="0" w:color="auto"/>
            </w:tcBorders>
            <w:shd w:val="clear" w:color="auto" w:fill="auto"/>
            <w:noWrap/>
            <w:vAlign w:val="center"/>
            <w:hideMark/>
          </w:tcPr>
          <w:p w14:paraId="4F4610C7"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SDF.E519</w:t>
            </w:r>
          </w:p>
        </w:tc>
      </w:tr>
      <w:tr w:rsidR="00BA528E" w:rsidRPr="00BA528E" w14:paraId="7C6AB8E2" w14:textId="77777777" w:rsidTr="0015273C">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35D90271"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142</w:t>
            </w:r>
          </w:p>
        </w:tc>
        <w:tc>
          <w:tcPr>
            <w:tcW w:w="9866" w:type="dxa"/>
            <w:tcBorders>
              <w:top w:val="nil"/>
              <w:left w:val="nil"/>
              <w:bottom w:val="single" w:sz="4" w:space="0" w:color="D9D9D9"/>
            </w:tcBorders>
            <w:shd w:val="clear" w:color="auto" w:fill="auto"/>
            <w:vAlign w:val="center"/>
            <w:hideMark/>
          </w:tcPr>
          <w:p w14:paraId="613F6810"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OPERAÇÕES DE CRÉDITO INTERNAS</w:t>
            </w:r>
          </w:p>
        </w:tc>
        <w:tc>
          <w:tcPr>
            <w:tcW w:w="970" w:type="dxa"/>
            <w:tcBorders>
              <w:top w:val="nil"/>
              <w:bottom w:val="nil"/>
              <w:right w:val="single" w:sz="4" w:space="0" w:color="auto"/>
            </w:tcBorders>
            <w:shd w:val="clear" w:color="auto" w:fill="auto"/>
            <w:noWrap/>
            <w:vAlign w:val="center"/>
          </w:tcPr>
          <w:p w14:paraId="588824CC" w14:textId="77777777" w:rsidR="00BA528E" w:rsidRPr="00BA528E" w:rsidRDefault="00BA528E" w:rsidP="0015273C">
            <w:pPr>
              <w:spacing w:after="0" w:line="240" w:lineRule="auto"/>
              <w:jc w:val="center"/>
              <w:rPr>
                <w:rFonts w:ascii="Arial Narrow" w:eastAsia="Times New Roman" w:hAnsi="Arial Narrow" w:cs="Calibri"/>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79F89107"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SDF.D520</w:t>
            </w:r>
          </w:p>
        </w:tc>
        <w:tc>
          <w:tcPr>
            <w:tcW w:w="1246" w:type="dxa"/>
            <w:tcBorders>
              <w:top w:val="nil"/>
              <w:left w:val="nil"/>
              <w:bottom w:val="nil"/>
              <w:right w:val="single" w:sz="4" w:space="0" w:color="auto"/>
            </w:tcBorders>
            <w:shd w:val="clear" w:color="auto" w:fill="auto"/>
            <w:noWrap/>
            <w:vAlign w:val="center"/>
            <w:hideMark/>
          </w:tcPr>
          <w:p w14:paraId="4FE0C176"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SDF.E520</w:t>
            </w:r>
          </w:p>
        </w:tc>
      </w:tr>
      <w:tr w:rsidR="00BA528E" w:rsidRPr="00BA528E" w14:paraId="6DEDFD12" w14:textId="77777777" w:rsidTr="0015273C">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2543C152"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143</w:t>
            </w:r>
          </w:p>
        </w:tc>
        <w:tc>
          <w:tcPr>
            <w:tcW w:w="9866" w:type="dxa"/>
            <w:tcBorders>
              <w:top w:val="nil"/>
              <w:left w:val="nil"/>
              <w:bottom w:val="single" w:sz="4" w:space="0" w:color="D9D9D9"/>
            </w:tcBorders>
            <w:shd w:val="clear" w:color="auto" w:fill="auto"/>
            <w:vAlign w:val="center"/>
            <w:hideMark/>
          </w:tcPr>
          <w:p w14:paraId="335C2D26"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OPERAÇÕES DE CRÉDITO EXTERNAS</w:t>
            </w:r>
          </w:p>
        </w:tc>
        <w:tc>
          <w:tcPr>
            <w:tcW w:w="970" w:type="dxa"/>
            <w:tcBorders>
              <w:top w:val="nil"/>
              <w:bottom w:val="nil"/>
              <w:right w:val="single" w:sz="4" w:space="0" w:color="auto"/>
            </w:tcBorders>
            <w:shd w:val="clear" w:color="auto" w:fill="auto"/>
            <w:noWrap/>
            <w:vAlign w:val="center"/>
          </w:tcPr>
          <w:p w14:paraId="723CD3C8" w14:textId="77777777" w:rsidR="00BA528E" w:rsidRPr="00BA528E" w:rsidRDefault="00BA528E" w:rsidP="0015273C">
            <w:pPr>
              <w:spacing w:after="0" w:line="240" w:lineRule="auto"/>
              <w:jc w:val="center"/>
              <w:rPr>
                <w:rFonts w:ascii="Arial Narrow" w:eastAsia="Times New Roman" w:hAnsi="Arial Narrow" w:cs="Calibri"/>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22959CB7"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SDF.D521</w:t>
            </w:r>
          </w:p>
        </w:tc>
        <w:tc>
          <w:tcPr>
            <w:tcW w:w="1246" w:type="dxa"/>
            <w:tcBorders>
              <w:top w:val="nil"/>
              <w:left w:val="nil"/>
              <w:bottom w:val="nil"/>
              <w:right w:val="single" w:sz="4" w:space="0" w:color="auto"/>
            </w:tcBorders>
            <w:shd w:val="clear" w:color="auto" w:fill="auto"/>
            <w:noWrap/>
            <w:vAlign w:val="center"/>
            <w:hideMark/>
          </w:tcPr>
          <w:p w14:paraId="60A9D219"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SDF.E521</w:t>
            </w:r>
          </w:p>
        </w:tc>
      </w:tr>
      <w:tr w:rsidR="00BA528E" w:rsidRPr="00BA528E" w14:paraId="76F79E70" w14:textId="77777777" w:rsidTr="0015273C">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5E127C45"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144</w:t>
            </w:r>
          </w:p>
        </w:tc>
        <w:tc>
          <w:tcPr>
            <w:tcW w:w="9866" w:type="dxa"/>
            <w:tcBorders>
              <w:top w:val="nil"/>
              <w:left w:val="nil"/>
              <w:bottom w:val="single" w:sz="4" w:space="0" w:color="D9D9D9"/>
            </w:tcBorders>
            <w:shd w:val="clear" w:color="auto" w:fill="auto"/>
            <w:vAlign w:val="center"/>
            <w:hideMark/>
          </w:tcPr>
          <w:p w14:paraId="06365017"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TRANSFERÊNCIAS A MUNICÍPIOS - CIDE</w:t>
            </w:r>
          </w:p>
        </w:tc>
        <w:tc>
          <w:tcPr>
            <w:tcW w:w="970" w:type="dxa"/>
            <w:tcBorders>
              <w:top w:val="nil"/>
              <w:bottom w:val="nil"/>
              <w:right w:val="single" w:sz="4" w:space="0" w:color="auto"/>
            </w:tcBorders>
            <w:shd w:val="clear" w:color="auto" w:fill="auto"/>
            <w:noWrap/>
            <w:vAlign w:val="center"/>
          </w:tcPr>
          <w:p w14:paraId="6CAB40D8" w14:textId="77777777" w:rsidR="00BA528E" w:rsidRPr="00BA528E" w:rsidRDefault="00BA528E" w:rsidP="0015273C">
            <w:pPr>
              <w:spacing w:after="0" w:line="240" w:lineRule="auto"/>
              <w:jc w:val="center"/>
              <w:rPr>
                <w:rFonts w:ascii="Arial Narrow" w:eastAsia="Times New Roman" w:hAnsi="Arial Narrow" w:cs="Calibri"/>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00E38B0B"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SDF.D522</w:t>
            </w:r>
          </w:p>
        </w:tc>
        <w:tc>
          <w:tcPr>
            <w:tcW w:w="1246" w:type="dxa"/>
            <w:tcBorders>
              <w:top w:val="nil"/>
              <w:left w:val="nil"/>
              <w:bottom w:val="nil"/>
              <w:right w:val="single" w:sz="4" w:space="0" w:color="auto"/>
            </w:tcBorders>
            <w:shd w:val="clear" w:color="auto" w:fill="auto"/>
            <w:noWrap/>
            <w:vAlign w:val="center"/>
            <w:hideMark/>
          </w:tcPr>
          <w:p w14:paraId="3459E01E"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SDF.E522</w:t>
            </w:r>
          </w:p>
        </w:tc>
      </w:tr>
      <w:tr w:rsidR="00BA528E" w:rsidRPr="00BA528E" w14:paraId="34AA6176" w14:textId="77777777" w:rsidTr="0015273C">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1486153B"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150</w:t>
            </w:r>
          </w:p>
        </w:tc>
        <w:tc>
          <w:tcPr>
            <w:tcW w:w="9866" w:type="dxa"/>
            <w:tcBorders>
              <w:top w:val="nil"/>
              <w:left w:val="nil"/>
              <w:bottom w:val="single" w:sz="4" w:space="0" w:color="D9D9D9"/>
            </w:tcBorders>
            <w:shd w:val="clear" w:color="auto" w:fill="auto"/>
            <w:vAlign w:val="center"/>
            <w:hideMark/>
          </w:tcPr>
          <w:p w14:paraId="76E92EE7"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PACTO NACIONAL PELA GESTÃO DAS ÁGUAS - PROGESTÃO</w:t>
            </w:r>
          </w:p>
        </w:tc>
        <w:tc>
          <w:tcPr>
            <w:tcW w:w="970" w:type="dxa"/>
            <w:tcBorders>
              <w:top w:val="nil"/>
              <w:bottom w:val="nil"/>
              <w:right w:val="single" w:sz="4" w:space="0" w:color="auto"/>
            </w:tcBorders>
            <w:shd w:val="clear" w:color="auto" w:fill="auto"/>
            <w:noWrap/>
            <w:vAlign w:val="center"/>
          </w:tcPr>
          <w:p w14:paraId="6AB95624" w14:textId="77777777" w:rsidR="00BA528E" w:rsidRPr="00BA528E" w:rsidRDefault="00BA528E" w:rsidP="0015273C">
            <w:pPr>
              <w:spacing w:after="0" w:line="240" w:lineRule="auto"/>
              <w:jc w:val="center"/>
              <w:rPr>
                <w:rFonts w:ascii="Arial Narrow" w:eastAsia="Times New Roman" w:hAnsi="Arial Narrow" w:cs="Calibri"/>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632A9797"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SDF.D527</w:t>
            </w:r>
          </w:p>
        </w:tc>
        <w:tc>
          <w:tcPr>
            <w:tcW w:w="1246" w:type="dxa"/>
            <w:tcBorders>
              <w:top w:val="nil"/>
              <w:left w:val="nil"/>
              <w:bottom w:val="nil"/>
              <w:right w:val="single" w:sz="4" w:space="0" w:color="auto"/>
            </w:tcBorders>
            <w:shd w:val="clear" w:color="auto" w:fill="auto"/>
            <w:noWrap/>
            <w:vAlign w:val="center"/>
            <w:hideMark/>
          </w:tcPr>
          <w:p w14:paraId="74066700"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SDF.E527</w:t>
            </w:r>
          </w:p>
        </w:tc>
      </w:tr>
      <w:tr w:rsidR="00BA528E" w:rsidRPr="00BA528E" w14:paraId="332BAB56" w14:textId="77777777" w:rsidTr="0015273C">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0769CC74"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154</w:t>
            </w:r>
          </w:p>
        </w:tc>
        <w:tc>
          <w:tcPr>
            <w:tcW w:w="9866" w:type="dxa"/>
            <w:tcBorders>
              <w:top w:val="nil"/>
              <w:left w:val="nil"/>
              <w:bottom w:val="single" w:sz="4" w:space="0" w:color="D9D9D9"/>
            </w:tcBorders>
            <w:shd w:val="clear" w:color="auto" w:fill="auto"/>
            <w:vAlign w:val="center"/>
            <w:hideMark/>
          </w:tcPr>
          <w:p w14:paraId="00D536CA"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CONTRIBUIÇÃO DE INTERVENÇÃO NO DOMÍNIO ECONÔMICO</w:t>
            </w:r>
          </w:p>
        </w:tc>
        <w:tc>
          <w:tcPr>
            <w:tcW w:w="970" w:type="dxa"/>
            <w:tcBorders>
              <w:top w:val="nil"/>
              <w:bottom w:val="nil"/>
              <w:right w:val="single" w:sz="4" w:space="0" w:color="auto"/>
            </w:tcBorders>
            <w:shd w:val="clear" w:color="auto" w:fill="auto"/>
            <w:noWrap/>
            <w:vAlign w:val="center"/>
          </w:tcPr>
          <w:p w14:paraId="0EA3A326" w14:textId="77777777" w:rsidR="00BA528E" w:rsidRPr="00BA528E" w:rsidRDefault="00BA528E" w:rsidP="0015273C">
            <w:pPr>
              <w:spacing w:after="0" w:line="240" w:lineRule="auto"/>
              <w:jc w:val="center"/>
              <w:rPr>
                <w:rFonts w:ascii="Arial Narrow" w:eastAsia="Times New Roman" w:hAnsi="Arial Narrow" w:cs="Calibri"/>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36B6B263"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SDF.D530</w:t>
            </w:r>
          </w:p>
        </w:tc>
        <w:tc>
          <w:tcPr>
            <w:tcW w:w="1246" w:type="dxa"/>
            <w:tcBorders>
              <w:top w:val="nil"/>
              <w:left w:val="nil"/>
              <w:bottom w:val="nil"/>
              <w:right w:val="single" w:sz="4" w:space="0" w:color="auto"/>
            </w:tcBorders>
            <w:shd w:val="clear" w:color="auto" w:fill="auto"/>
            <w:noWrap/>
            <w:vAlign w:val="center"/>
            <w:hideMark/>
          </w:tcPr>
          <w:p w14:paraId="19E64D2E"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SDF.E530</w:t>
            </w:r>
          </w:p>
        </w:tc>
      </w:tr>
      <w:tr w:rsidR="00BA528E" w:rsidRPr="00BA528E" w14:paraId="0A452BD8" w14:textId="77777777" w:rsidTr="0015273C">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2D58E2FA"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157</w:t>
            </w:r>
          </w:p>
        </w:tc>
        <w:tc>
          <w:tcPr>
            <w:tcW w:w="9866" w:type="dxa"/>
            <w:tcBorders>
              <w:top w:val="nil"/>
              <w:left w:val="nil"/>
              <w:bottom w:val="single" w:sz="4" w:space="0" w:color="D9D9D9"/>
            </w:tcBorders>
            <w:shd w:val="clear" w:color="auto" w:fill="auto"/>
            <w:vAlign w:val="center"/>
            <w:hideMark/>
          </w:tcPr>
          <w:p w14:paraId="46085767"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INCENTIVO SUAS - UNIÃO</w:t>
            </w:r>
          </w:p>
        </w:tc>
        <w:tc>
          <w:tcPr>
            <w:tcW w:w="970" w:type="dxa"/>
            <w:tcBorders>
              <w:top w:val="nil"/>
              <w:bottom w:val="nil"/>
              <w:right w:val="single" w:sz="4" w:space="0" w:color="auto"/>
            </w:tcBorders>
            <w:shd w:val="clear" w:color="auto" w:fill="auto"/>
            <w:noWrap/>
            <w:vAlign w:val="center"/>
          </w:tcPr>
          <w:p w14:paraId="490DE84E" w14:textId="77777777" w:rsidR="00BA528E" w:rsidRPr="00BA528E" w:rsidRDefault="00BA528E" w:rsidP="0015273C">
            <w:pPr>
              <w:spacing w:after="0" w:line="240" w:lineRule="auto"/>
              <w:jc w:val="center"/>
              <w:rPr>
                <w:rFonts w:ascii="Arial Narrow" w:eastAsia="Times New Roman" w:hAnsi="Arial Narrow" w:cs="Calibri"/>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3595C2AA"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SDF.D531</w:t>
            </w:r>
          </w:p>
        </w:tc>
        <w:tc>
          <w:tcPr>
            <w:tcW w:w="1246" w:type="dxa"/>
            <w:tcBorders>
              <w:top w:val="nil"/>
              <w:left w:val="nil"/>
              <w:bottom w:val="nil"/>
              <w:right w:val="single" w:sz="4" w:space="0" w:color="auto"/>
            </w:tcBorders>
            <w:shd w:val="clear" w:color="auto" w:fill="auto"/>
            <w:noWrap/>
            <w:vAlign w:val="center"/>
            <w:hideMark/>
          </w:tcPr>
          <w:p w14:paraId="4D59D4CA"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SDF.E531</w:t>
            </w:r>
          </w:p>
        </w:tc>
      </w:tr>
      <w:tr w:rsidR="00BA528E" w:rsidRPr="00BA528E" w14:paraId="5C211A93" w14:textId="77777777" w:rsidTr="0015273C">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1AAFA482"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158</w:t>
            </w:r>
          </w:p>
        </w:tc>
        <w:tc>
          <w:tcPr>
            <w:tcW w:w="9866" w:type="dxa"/>
            <w:tcBorders>
              <w:top w:val="nil"/>
              <w:left w:val="nil"/>
              <w:bottom w:val="single" w:sz="4" w:space="0" w:color="D9D9D9"/>
            </w:tcBorders>
            <w:shd w:val="clear" w:color="auto" w:fill="auto"/>
            <w:vAlign w:val="center"/>
            <w:hideMark/>
          </w:tcPr>
          <w:p w14:paraId="5F46DB0D"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TRANSFERÊNCIAS A MUNICÍPIOS - LEI PELÉ</w:t>
            </w:r>
          </w:p>
        </w:tc>
        <w:tc>
          <w:tcPr>
            <w:tcW w:w="970" w:type="dxa"/>
            <w:tcBorders>
              <w:top w:val="nil"/>
              <w:right w:val="single" w:sz="4" w:space="0" w:color="auto"/>
            </w:tcBorders>
            <w:shd w:val="clear" w:color="auto" w:fill="auto"/>
            <w:noWrap/>
            <w:vAlign w:val="center"/>
          </w:tcPr>
          <w:p w14:paraId="3C4E7B08" w14:textId="77777777" w:rsidR="00BA528E" w:rsidRPr="00BA528E" w:rsidRDefault="00BA528E" w:rsidP="0015273C">
            <w:pPr>
              <w:spacing w:after="0" w:line="240" w:lineRule="auto"/>
              <w:jc w:val="center"/>
              <w:rPr>
                <w:rFonts w:ascii="Arial Narrow" w:eastAsia="Times New Roman" w:hAnsi="Arial Narrow" w:cs="Calibri"/>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29D2BEAB"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SDF.D532</w:t>
            </w:r>
          </w:p>
        </w:tc>
        <w:tc>
          <w:tcPr>
            <w:tcW w:w="1246" w:type="dxa"/>
            <w:tcBorders>
              <w:top w:val="nil"/>
              <w:left w:val="nil"/>
              <w:bottom w:val="nil"/>
              <w:right w:val="single" w:sz="4" w:space="0" w:color="auto"/>
            </w:tcBorders>
            <w:shd w:val="clear" w:color="auto" w:fill="auto"/>
            <w:noWrap/>
            <w:vAlign w:val="center"/>
            <w:hideMark/>
          </w:tcPr>
          <w:p w14:paraId="14E97B05"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SDF.E532</w:t>
            </w:r>
          </w:p>
        </w:tc>
      </w:tr>
      <w:tr w:rsidR="00BA528E" w:rsidRPr="00BA528E" w14:paraId="2D2861E2" w14:textId="77777777" w:rsidTr="0015273C">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7D05563C"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159</w:t>
            </w:r>
          </w:p>
        </w:tc>
        <w:tc>
          <w:tcPr>
            <w:tcW w:w="9866" w:type="dxa"/>
            <w:tcBorders>
              <w:top w:val="nil"/>
              <w:left w:val="nil"/>
              <w:bottom w:val="single" w:sz="4" w:space="0" w:color="D9D9D9"/>
            </w:tcBorders>
            <w:shd w:val="clear" w:color="auto" w:fill="auto"/>
            <w:vAlign w:val="center"/>
            <w:hideMark/>
          </w:tcPr>
          <w:p w14:paraId="50CA3E06"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TRANSFERÊNCIAS FINANCEIRAS A FUNDOS</w:t>
            </w:r>
          </w:p>
        </w:tc>
        <w:tc>
          <w:tcPr>
            <w:tcW w:w="970" w:type="dxa"/>
            <w:tcBorders>
              <w:top w:val="nil"/>
              <w:bottom w:val="nil"/>
              <w:right w:val="single" w:sz="4" w:space="0" w:color="auto"/>
            </w:tcBorders>
            <w:shd w:val="clear" w:color="auto" w:fill="auto"/>
            <w:noWrap/>
            <w:vAlign w:val="center"/>
          </w:tcPr>
          <w:p w14:paraId="79BA3A54" w14:textId="77777777" w:rsidR="00BA528E" w:rsidRPr="00BA528E" w:rsidRDefault="00BA528E" w:rsidP="0015273C">
            <w:pPr>
              <w:spacing w:after="0" w:line="240" w:lineRule="auto"/>
              <w:jc w:val="center"/>
              <w:rPr>
                <w:rFonts w:ascii="Arial Narrow" w:eastAsia="Times New Roman" w:hAnsi="Arial Narrow" w:cs="Calibri"/>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785C93A9"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SDF.D533</w:t>
            </w:r>
          </w:p>
        </w:tc>
        <w:tc>
          <w:tcPr>
            <w:tcW w:w="1246" w:type="dxa"/>
            <w:tcBorders>
              <w:top w:val="nil"/>
              <w:left w:val="nil"/>
              <w:bottom w:val="nil"/>
              <w:right w:val="single" w:sz="4" w:space="0" w:color="auto"/>
            </w:tcBorders>
            <w:shd w:val="clear" w:color="auto" w:fill="auto"/>
            <w:noWrap/>
            <w:vAlign w:val="center"/>
            <w:hideMark/>
          </w:tcPr>
          <w:p w14:paraId="1299B102"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SDF.E533</w:t>
            </w:r>
          </w:p>
        </w:tc>
      </w:tr>
      <w:tr w:rsidR="00BA528E" w:rsidRPr="00BA528E" w14:paraId="3119EB42" w14:textId="77777777" w:rsidTr="0015273C">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013FF1DF"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161</w:t>
            </w:r>
          </w:p>
        </w:tc>
        <w:tc>
          <w:tcPr>
            <w:tcW w:w="9866" w:type="dxa"/>
            <w:tcBorders>
              <w:top w:val="nil"/>
              <w:left w:val="nil"/>
              <w:bottom w:val="single" w:sz="4" w:space="0" w:color="D9D9D9"/>
            </w:tcBorders>
            <w:shd w:val="clear" w:color="auto" w:fill="auto"/>
            <w:vAlign w:val="center"/>
            <w:hideMark/>
          </w:tcPr>
          <w:p w14:paraId="0D2EB887"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FUNDO DE COMBATE A POBREZA - FUNCOP</w:t>
            </w:r>
          </w:p>
        </w:tc>
        <w:tc>
          <w:tcPr>
            <w:tcW w:w="970" w:type="dxa"/>
            <w:tcBorders>
              <w:top w:val="nil"/>
              <w:bottom w:val="nil"/>
              <w:right w:val="single" w:sz="4" w:space="0" w:color="auto"/>
            </w:tcBorders>
            <w:shd w:val="clear" w:color="auto" w:fill="auto"/>
            <w:noWrap/>
            <w:vAlign w:val="center"/>
          </w:tcPr>
          <w:p w14:paraId="5469D594" w14:textId="77777777" w:rsidR="00BA528E" w:rsidRPr="00BA528E" w:rsidRDefault="00BA528E" w:rsidP="0015273C">
            <w:pPr>
              <w:spacing w:after="0" w:line="240" w:lineRule="auto"/>
              <w:jc w:val="center"/>
              <w:rPr>
                <w:rFonts w:ascii="Arial Narrow" w:eastAsia="Times New Roman" w:hAnsi="Arial Narrow" w:cs="Calibri"/>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7B337F7E"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SDF.D534</w:t>
            </w:r>
          </w:p>
        </w:tc>
        <w:tc>
          <w:tcPr>
            <w:tcW w:w="1246" w:type="dxa"/>
            <w:tcBorders>
              <w:top w:val="nil"/>
              <w:left w:val="nil"/>
              <w:bottom w:val="nil"/>
              <w:right w:val="single" w:sz="4" w:space="0" w:color="auto"/>
            </w:tcBorders>
            <w:shd w:val="clear" w:color="auto" w:fill="auto"/>
            <w:noWrap/>
            <w:vAlign w:val="center"/>
            <w:hideMark/>
          </w:tcPr>
          <w:p w14:paraId="01AEFC83"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SDF.E534</w:t>
            </w:r>
          </w:p>
        </w:tc>
      </w:tr>
      <w:tr w:rsidR="00BA528E" w:rsidRPr="00BA528E" w14:paraId="4DF52E31" w14:textId="77777777" w:rsidTr="0015273C">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4A630943"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163</w:t>
            </w:r>
          </w:p>
        </w:tc>
        <w:tc>
          <w:tcPr>
            <w:tcW w:w="9866" w:type="dxa"/>
            <w:tcBorders>
              <w:top w:val="nil"/>
              <w:left w:val="nil"/>
              <w:bottom w:val="single" w:sz="4" w:space="0" w:color="D9D9D9"/>
            </w:tcBorders>
            <w:shd w:val="clear" w:color="auto" w:fill="auto"/>
            <w:vAlign w:val="center"/>
            <w:hideMark/>
          </w:tcPr>
          <w:p w14:paraId="5467285B"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RECURSOS LEI PELÉ</w:t>
            </w:r>
          </w:p>
        </w:tc>
        <w:tc>
          <w:tcPr>
            <w:tcW w:w="970" w:type="dxa"/>
            <w:tcBorders>
              <w:top w:val="nil"/>
              <w:bottom w:val="nil"/>
              <w:right w:val="single" w:sz="4" w:space="0" w:color="auto"/>
            </w:tcBorders>
            <w:shd w:val="clear" w:color="auto" w:fill="auto"/>
            <w:noWrap/>
            <w:vAlign w:val="center"/>
          </w:tcPr>
          <w:p w14:paraId="1483FCCF" w14:textId="77777777" w:rsidR="00BA528E" w:rsidRPr="00BA528E" w:rsidRDefault="00BA528E" w:rsidP="0015273C">
            <w:pPr>
              <w:spacing w:after="0" w:line="240" w:lineRule="auto"/>
              <w:jc w:val="center"/>
              <w:rPr>
                <w:rFonts w:ascii="Arial Narrow" w:eastAsia="Times New Roman" w:hAnsi="Arial Narrow" w:cs="Calibri"/>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26864B32"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SDF.D536</w:t>
            </w:r>
          </w:p>
        </w:tc>
        <w:tc>
          <w:tcPr>
            <w:tcW w:w="1246" w:type="dxa"/>
            <w:tcBorders>
              <w:top w:val="nil"/>
              <w:left w:val="nil"/>
              <w:bottom w:val="nil"/>
              <w:right w:val="single" w:sz="4" w:space="0" w:color="auto"/>
            </w:tcBorders>
            <w:shd w:val="clear" w:color="auto" w:fill="auto"/>
            <w:noWrap/>
            <w:vAlign w:val="center"/>
            <w:hideMark/>
          </w:tcPr>
          <w:p w14:paraId="08FF8746"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SDF.E536</w:t>
            </w:r>
          </w:p>
        </w:tc>
      </w:tr>
      <w:tr w:rsidR="00BA528E" w:rsidRPr="00BA528E" w14:paraId="7B6B6F86" w14:textId="77777777" w:rsidTr="0015273C">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51F9FC9E"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164</w:t>
            </w:r>
          </w:p>
        </w:tc>
        <w:tc>
          <w:tcPr>
            <w:tcW w:w="9866" w:type="dxa"/>
            <w:tcBorders>
              <w:top w:val="nil"/>
              <w:left w:val="nil"/>
              <w:bottom w:val="single" w:sz="4" w:space="0" w:color="D9D9D9"/>
            </w:tcBorders>
            <w:shd w:val="clear" w:color="auto" w:fill="auto"/>
            <w:vAlign w:val="center"/>
            <w:hideMark/>
          </w:tcPr>
          <w:p w14:paraId="7E5D2C09"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TRANSFERÊNCIA A MUNICÍPIOS ROYALTIES LEI 8.308/06</w:t>
            </w:r>
          </w:p>
        </w:tc>
        <w:tc>
          <w:tcPr>
            <w:tcW w:w="970" w:type="dxa"/>
            <w:tcBorders>
              <w:top w:val="nil"/>
              <w:bottom w:val="nil"/>
              <w:right w:val="single" w:sz="4" w:space="0" w:color="auto"/>
            </w:tcBorders>
            <w:shd w:val="clear" w:color="auto" w:fill="auto"/>
            <w:noWrap/>
            <w:vAlign w:val="center"/>
          </w:tcPr>
          <w:p w14:paraId="576F5206" w14:textId="77777777" w:rsidR="00BA528E" w:rsidRPr="00BA528E" w:rsidRDefault="00BA528E" w:rsidP="0015273C">
            <w:pPr>
              <w:spacing w:after="0" w:line="240" w:lineRule="auto"/>
              <w:jc w:val="center"/>
              <w:rPr>
                <w:rFonts w:ascii="Arial Narrow" w:eastAsia="Times New Roman" w:hAnsi="Arial Narrow" w:cs="Calibri"/>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64AA9AA7"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SDF.D537</w:t>
            </w:r>
          </w:p>
        </w:tc>
        <w:tc>
          <w:tcPr>
            <w:tcW w:w="1246" w:type="dxa"/>
            <w:tcBorders>
              <w:top w:val="nil"/>
              <w:left w:val="nil"/>
              <w:bottom w:val="nil"/>
              <w:right w:val="single" w:sz="4" w:space="0" w:color="auto"/>
            </w:tcBorders>
            <w:shd w:val="clear" w:color="auto" w:fill="auto"/>
            <w:noWrap/>
            <w:vAlign w:val="center"/>
            <w:hideMark/>
          </w:tcPr>
          <w:p w14:paraId="7FFBD6C6"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SDF.E537</w:t>
            </w:r>
          </w:p>
        </w:tc>
      </w:tr>
      <w:tr w:rsidR="00BA528E" w:rsidRPr="00BA528E" w14:paraId="28132AF7" w14:textId="77777777" w:rsidTr="0015273C">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63A262C9"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166</w:t>
            </w:r>
          </w:p>
        </w:tc>
        <w:tc>
          <w:tcPr>
            <w:tcW w:w="9866" w:type="dxa"/>
            <w:tcBorders>
              <w:top w:val="nil"/>
              <w:left w:val="nil"/>
              <w:bottom w:val="single" w:sz="4" w:space="0" w:color="D9D9D9"/>
            </w:tcBorders>
            <w:shd w:val="clear" w:color="auto" w:fill="auto"/>
            <w:vAlign w:val="center"/>
            <w:hideMark/>
          </w:tcPr>
          <w:p w14:paraId="67B4A3A4"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PLANO DE AÇÕES ARTICULADAS - PAR</w:t>
            </w:r>
          </w:p>
        </w:tc>
        <w:tc>
          <w:tcPr>
            <w:tcW w:w="970" w:type="dxa"/>
            <w:tcBorders>
              <w:top w:val="nil"/>
              <w:bottom w:val="nil"/>
              <w:right w:val="single" w:sz="4" w:space="0" w:color="auto"/>
            </w:tcBorders>
            <w:shd w:val="clear" w:color="auto" w:fill="auto"/>
            <w:noWrap/>
            <w:vAlign w:val="center"/>
          </w:tcPr>
          <w:p w14:paraId="17F6B6A1" w14:textId="77777777" w:rsidR="00BA528E" w:rsidRPr="00BA528E" w:rsidRDefault="00BA528E" w:rsidP="0015273C">
            <w:pPr>
              <w:spacing w:after="0" w:line="240" w:lineRule="auto"/>
              <w:jc w:val="center"/>
              <w:rPr>
                <w:rFonts w:ascii="Arial Narrow" w:eastAsia="Times New Roman" w:hAnsi="Arial Narrow" w:cs="Calibri"/>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6EC8EF1D"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SDF.D539</w:t>
            </w:r>
          </w:p>
        </w:tc>
        <w:tc>
          <w:tcPr>
            <w:tcW w:w="1246" w:type="dxa"/>
            <w:tcBorders>
              <w:top w:val="nil"/>
              <w:left w:val="nil"/>
              <w:bottom w:val="nil"/>
              <w:right w:val="single" w:sz="4" w:space="0" w:color="auto"/>
            </w:tcBorders>
            <w:shd w:val="clear" w:color="auto" w:fill="auto"/>
            <w:noWrap/>
            <w:vAlign w:val="center"/>
            <w:hideMark/>
          </w:tcPr>
          <w:p w14:paraId="2D8A2751"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SDF.E539</w:t>
            </w:r>
          </w:p>
        </w:tc>
      </w:tr>
      <w:tr w:rsidR="00BA528E" w:rsidRPr="00BA528E" w14:paraId="4F1EF89F" w14:textId="77777777" w:rsidTr="0015273C">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026405B9"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167</w:t>
            </w:r>
          </w:p>
        </w:tc>
        <w:tc>
          <w:tcPr>
            <w:tcW w:w="9866" w:type="dxa"/>
            <w:tcBorders>
              <w:top w:val="nil"/>
              <w:left w:val="nil"/>
              <w:bottom w:val="single" w:sz="4" w:space="0" w:color="D9D9D9"/>
            </w:tcBorders>
            <w:shd w:val="clear" w:color="auto" w:fill="auto"/>
            <w:vAlign w:val="center"/>
            <w:hideMark/>
          </w:tcPr>
          <w:p w14:paraId="523C4254"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TRANSFERÊNCIAS OBRIGATÓRIAS PARA AÇÕES DE DEFESA CIVIL</w:t>
            </w:r>
          </w:p>
        </w:tc>
        <w:tc>
          <w:tcPr>
            <w:tcW w:w="970" w:type="dxa"/>
            <w:tcBorders>
              <w:top w:val="nil"/>
              <w:bottom w:val="nil"/>
              <w:right w:val="single" w:sz="4" w:space="0" w:color="auto"/>
            </w:tcBorders>
            <w:shd w:val="clear" w:color="auto" w:fill="auto"/>
            <w:noWrap/>
            <w:vAlign w:val="center"/>
          </w:tcPr>
          <w:p w14:paraId="6CC96C3A" w14:textId="77777777" w:rsidR="00BA528E" w:rsidRPr="00BA528E" w:rsidRDefault="00BA528E" w:rsidP="0015273C">
            <w:pPr>
              <w:spacing w:after="0" w:line="240" w:lineRule="auto"/>
              <w:jc w:val="center"/>
              <w:rPr>
                <w:rFonts w:ascii="Arial Narrow" w:eastAsia="Times New Roman" w:hAnsi="Arial Narrow" w:cs="Calibri"/>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0649EA81"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SDF.D540</w:t>
            </w:r>
          </w:p>
        </w:tc>
        <w:tc>
          <w:tcPr>
            <w:tcW w:w="1246" w:type="dxa"/>
            <w:tcBorders>
              <w:top w:val="nil"/>
              <w:left w:val="nil"/>
              <w:bottom w:val="nil"/>
              <w:right w:val="single" w:sz="4" w:space="0" w:color="auto"/>
            </w:tcBorders>
            <w:shd w:val="clear" w:color="auto" w:fill="auto"/>
            <w:noWrap/>
            <w:vAlign w:val="center"/>
            <w:hideMark/>
          </w:tcPr>
          <w:p w14:paraId="5CB60D09"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SDF.E540</w:t>
            </w:r>
          </w:p>
        </w:tc>
      </w:tr>
      <w:tr w:rsidR="00BA528E" w:rsidRPr="00BA528E" w14:paraId="390A9AAA" w14:textId="77777777" w:rsidTr="0015273C">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tcPr>
          <w:p w14:paraId="7234CA3E"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177</w:t>
            </w:r>
          </w:p>
        </w:tc>
        <w:tc>
          <w:tcPr>
            <w:tcW w:w="9866" w:type="dxa"/>
            <w:tcBorders>
              <w:top w:val="nil"/>
              <w:left w:val="nil"/>
              <w:bottom w:val="single" w:sz="4" w:space="0" w:color="D9D9D9"/>
            </w:tcBorders>
            <w:shd w:val="clear" w:color="auto" w:fill="auto"/>
            <w:vAlign w:val="center"/>
          </w:tcPr>
          <w:p w14:paraId="6E3FAE99"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TRANSFERÊNCIA ESPECIAL DA UNIÃO – EMENDAS PARLAMENTARES INDIVIDUAIS IMPOSITIVAS (Art. 166-A, I CF/88),</w:t>
            </w:r>
          </w:p>
        </w:tc>
        <w:tc>
          <w:tcPr>
            <w:tcW w:w="970" w:type="dxa"/>
            <w:tcBorders>
              <w:top w:val="nil"/>
              <w:bottom w:val="nil"/>
              <w:right w:val="single" w:sz="4" w:space="0" w:color="auto"/>
            </w:tcBorders>
            <w:shd w:val="clear" w:color="auto" w:fill="auto"/>
            <w:noWrap/>
            <w:vAlign w:val="center"/>
          </w:tcPr>
          <w:p w14:paraId="1C1A0A03" w14:textId="77777777" w:rsidR="00BA528E" w:rsidRPr="00BA528E" w:rsidRDefault="00BA528E" w:rsidP="0015273C">
            <w:pPr>
              <w:spacing w:after="0" w:line="240" w:lineRule="auto"/>
              <w:jc w:val="center"/>
              <w:rPr>
                <w:rFonts w:ascii="Arial Narrow" w:eastAsia="Times New Roman" w:hAnsi="Arial Narrow" w:cs="Calibri"/>
                <w:sz w:val="16"/>
                <w:szCs w:val="16"/>
                <w:lang w:eastAsia="pt-BR"/>
              </w:rPr>
            </w:pPr>
          </w:p>
        </w:tc>
        <w:tc>
          <w:tcPr>
            <w:tcW w:w="1386" w:type="dxa"/>
            <w:tcBorders>
              <w:top w:val="nil"/>
              <w:left w:val="nil"/>
              <w:bottom w:val="nil"/>
              <w:right w:val="single" w:sz="4" w:space="0" w:color="auto"/>
            </w:tcBorders>
            <w:shd w:val="clear" w:color="auto" w:fill="auto"/>
            <w:noWrap/>
            <w:vAlign w:val="center"/>
          </w:tcPr>
          <w:p w14:paraId="2DFED441"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SDF.D608</w:t>
            </w:r>
          </w:p>
        </w:tc>
        <w:tc>
          <w:tcPr>
            <w:tcW w:w="1246" w:type="dxa"/>
            <w:tcBorders>
              <w:top w:val="nil"/>
              <w:left w:val="nil"/>
              <w:bottom w:val="nil"/>
              <w:right w:val="single" w:sz="4" w:space="0" w:color="auto"/>
            </w:tcBorders>
            <w:shd w:val="clear" w:color="auto" w:fill="auto"/>
            <w:noWrap/>
            <w:vAlign w:val="center"/>
          </w:tcPr>
          <w:p w14:paraId="2421A02D"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SDF.E608</w:t>
            </w:r>
          </w:p>
        </w:tc>
      </w:tr>
      <w:tr w:rsidR="004504FA" w:rsidRPr="00BA528E" w14:paraId="446CD4D1" w14:textId="77777777" w:rsidTr="0015273C">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tcPr>
          <w:p w14:paraId="4AE35195" w14:textId="5E0549DF" w:rsidR="004504FA" w:rsidRPr="004504FA" w:rsidRDefault="004504FA" w:rsidP="004504FA">
            <w:pPr>
              <w:spacing w:after="0" w:line="240" w:lineRule="auto"/>
              <w:jc w:val="center"/>
              <w:rPr>
                <w:rFonts w:ascii="Arial Narrow" w:eastAsia="Times New Roman" w:hAnsi="Arial Narrow" w:cs="Arial"/>
                <w:sz w:val="16"/>
                <w:szCs w:val="16"/>
                <w:lang w:eastAsia="pt-BR"/>
              </w:rPr>
            </w:pPr>
            <w:r w:rsidRPr="004504FA">
              <w:rPr>
                <w:rFonts w:ascii="Arial Narrow" w:eastAsia="Times New Roman" w:hAnsi="Arial Narrow" w:cs="Arial"/>
                <w:sz w:val="16"/>
                <w:szCs w:val="16"/>
                <w:lang w:eastAsia="pt-BR"/>
              </w:rPr>
              <w:lastRenderedPageBreak/>
              <w:t>179</w:t>
            </w:r>
          </w:p>
        </w:tc>
        <w:tc>
          <w:tcPr>
            <w:tcW w:w="9866" w:type="dxa"/>
            <w:tcBorders>
              <w:top w:val="nil"/>
              <w:left w:val="nil"/>
              <w:bottom w:val="single" w:sz="4" w:space="0" w:color="D9D9D9"/>
            </w:tcBorders>
            <w:shd w:val="clear" w:color="auto" w:fill="auto"/>
            <w:vAlign w:val="center"/>
          </w:tcPr>
          <w:p w14:paraId="0DBDA815" w14:textId="0BEFDACA" w:rsidR="004504FA" w:rsidRPr="004504FA" w:rsidRDefault="004504FA" w:rsidP="004504FA">
            <w:pPr>
              <w:spacing w:after="0" w:line="240" w:lineRule="auto"/>
              <w:rPr>
                <w:rFonts w:ascii="Arial Narrow" w:eastAsia="Times New Roman" w:hAnsi="Arial Narrow" w:cs="Arial"/>
                <w:sz w:val="16"/>
                <w:szCs w:val="16"/>
                <w:lang w:eastAsia="pt-BR"/>
              </w:rPr>
            </w:pPr>
            <w:r w:rsidRPr="004504FA">
              <w:rPr>
                <w:rFonts w:ascii="Arial Narrow" w:eastAsia="Times New Roman" w:hAnsi="Arial Narrow" w:cs="Arial"/>
                <w:sz w:val="16"/>
                <w:szCs w:val="16"/>
                <w:lang w:eastAsia="pt-BR"/>
              </w:rPr>
              <w:t>OUTROS RECURSOS VINCULADOS</w:t>
            </w:r>
          </w:p>
        </w:tc>
        <w:tc>
          <w:tcPr>
            <w:tcW w:w="970" w:type="dxa"/>
            <w:tcBorders>
              <w:top w:val="nil"/>
              <w:bottom w:val="nil"/>
              <w:right w:val="single" w:sz="4" w:space="0" w:color="auto"/>
            </w:tcBorders>
            <w:shd w:val="clear" w:color="auto" w:fill="auto"/>
            <w:noWrap/>
            <w:vAlign w:val="center"/>
          </w:tcPr>
          <w:p w14:paraId="3FE5F722" w14:textId="77777777" w:rsidR="004504FA" w:rsidRPr="004504FA" w:rsidRDefault="004504FA" w:rsidP="004504FA">
            <w:pPr>
              <w:spacing w:after="0" w:line="240" w:lineRule="auto"/>
              <w:jc w:val="center"/>
              <w:rPr>
                <w:rFonts w:ascii="Arial Narrow" w:eastAsia="Times New Roman" w:hAnsi="Arial Narrow" w:cs="Calibri"/>
                <w:sz w:val="16"/>
                <w:szCs w:val="16"/>
                <w:lang w:eastAsia="pt-BR"/>
              </w:rPr>
            </w:pPr>
          </w:p>
        </w:tc>
        <w:tc>
          <w:tcPr>
            <w:tcW w:w="1386" w:type="dxa"/>
            <w:tcBorders>
              <w:top w:val="nil"/>
              <w:left w:val="nil"/>
              <w:bottom w:val="nil"/>
              <w:right w:val="single" w:sz="4" w:space="0" w:color="auto"/>
            </w:tcBorders>
            <w:shd w:val="clear" w:color="auto" w:fill="auto"/>
            <w:noWrap/>
            <w:vAlign w:val="center"/>
          </w:tcPr>
          <w:p w14:paraId="7446B475" w14:textId="0BA924A5" w:rsidR="004504FA" w:rsidRPr="004504FA" w:rsidRDefault="004504FA" w:rsidP="004504FA">
            <w:pPr>
              <w:spacing w:after="0" w:line="240" w:lineRule="auto"/>
              <w:jc w:val="center"/>
              <w:rPr>
                <w:rFonts w:ascii="Arial Narrow" w:eastAsia="Times New Roman" w:hAnsi="Arial Narrow" w:cs="Arial"/>
                <w:sz w:val="16"/>
                <w:szCs w:val="16"/>
                <w:lang w:eastAsia="pt-BR"/>
              </w:rPr>
            </w:pPr>
            <w:r w:rsidRPr="004504FA">
              <w:rPr>
                <w:rFonts w:ascii="Arial Narrow" w:eastAsia="Times New Roman" w:hAnsi="Arial Narrow" w:cs="Arial"/>
                <w:sz w:val="16"/>
                <w:szCs w:val="16"/>
                <w:lang w:eastAsia="pt-BR"/>
              </w:rPr>
              <w:t>SDF.D609</w:t>
            </w:r>
          </w:p>
        </w:tc>
        <w:tc>
          <w:tcPr>
            <w:tcW w:w="1246" w:type="dxa"/>
            <w:tcBorders>
              <w:top w:val="nil"/>
              <w:left w:val="nil"/>
              <w:bottom w:val="nil"/>
              <w:right w:val="single" w:sz="4" w:space="0" w:color="auto"/>
            </w:tcBorders>
            <w:shd w:val="clear" w:color="auto" w:fill="auto"/>
            <w:noWrap/>
            <w:vAlign w:val="center"/>
          </w:tcPr>
          <w:p w14:paraId="5785D5ED" w14:textId="72EF7653" w:rsidR="004504FA" w:rsidRPr="004504FA" w:rsidRDefault="004504FA" w:rsidP="004504FA">
            <w:pPr>
              <w:spacing w:after="0" w:line="240" w:lineRule="auto"/>
              <w:jc w:val="center"/>
              <w:rPr>
                <w:rFonts w:ascii="Arial Narrow" w:eastAsia="Times New Roman" w:hAnsi="Arial Narrow" w:cs="Arial"/>
                <w:sz w:val="16"/>
                <w:szCs w:val="16"/>
                <w:lang w:eastAsia="pt-BR"/>
              </w:rPr>
            </w:pPr>
            <w:r w:rsidRPr="004504FA">
              <w:rPr>
                <w:rFonts w:ascii="Arial Narrow" w:eastAsia="Times New Roman" w:hAnsi="Arial Narrow" w:cs="Arial"/>
                <w:sz w:val="16"/>
                <w:szCs w:val="16"/>
                <w:lang w:eastAsia="pt-BR"/>
              </w:rPr>
              <w:t>SDF.E609</w:t>
            </w:r>
          </w:p>
        </w:tc>
      </w:tr>
      <w:tr w:rsidR="00BA528E" w:rsidRPr="00BA528E" w14:paraId="76864813" w14:textId="77777777" w:rsidTr="0015273C">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66DC4E10"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271</w:t>
            </w:r>
          </w:p>
        </w:tc>
        <w:tc>
          <w:tcPr>
            <w:tcW w:w="9866" w:type="dxa"/>
            <w:tcBorders>
              <w:top w:val="nil"/>
              <w:left w:val="nil"/>
              <w:bottom w:val="single" w:sz="4" w:space="0" w:color="D9D9D9"/>
            </w:tcBorders>
            <w:shd w:val="clear" w:color="auto" w:fill="auto"/>
            <w:vAlign w:val="center"/>
            <w:hideMark/>
          </w:tcPr>
          <w:p w14:paraId="2CABA1A4"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ARRECADADO PELO ÓRGÃO</w:t>
            </w:r>
          </w:p>
        </w:tc>
        <w:tc>
          <w:tcPr>
            <w:tcW w:w="970" w:type="dxa"/>
            <w:tcBorders>
              <w:top w:val="nil"/>
              <w:bottom w:val="nil"/>
              <w:right w:val="single" w:sz="4" w:space="0" w:color="auto"/>
            </w:tcBorders>
            <w:shd w:val="clear" w:color="auto" w:fill="auto"/>
            <w:noWrap/>
            <w:vAlign w:val="center"/>
          </w:tcPr>
          <w:p w14:paraId="4F64E4A6" w14:textId="77777777" w:rsidR="00BA528E" w:rsidRPr="00BA528E" w:rsidRDefault="00BA528E" w:rsidP="0015273C">
            <w:pPr>
              <w:spacing w:after="0" w:line="240" w:lineRule="auto"/>
              <w:jc w:val="center"/>
              <w:rPr>
                <w:rFonts w:ascii="Arial Narrow" w:eastAsia="Times New Roman" w:hAnsi="Arial Narrow" w:cs="Calibri"/>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6CA48680"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SDF.D543</w:t>
            </w:r>
          </w:p>
        </w:tc>
        <w:tc>
          <w:tcPr>
            <w:tcW w:w="1246" w:type="dxa"/>
            <w:tcBorders>
              <w:top w:val="nil"/>
              <w:left w:val="nil"/>
              <w:bottom w:val="nil"/>
              <w:right w:val="single" w:sz="4" w:space="0" w:color="auto"/>
            </w:tcBorders>
            <w:shd w:val="clear" w:color="auto" w:fill="auto"/>
            <w:noWrap/>
            <w:vAlign w:val="center"/>
            <w:hideMark/>
          </w:tcPr>
          <w:p w14:paraId="7EC8C04D"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SDF.E543</w:t>
            </w:r>
          </w:p>
        </w:tc>
      </w:tr>
      <w:tr w:rsidR="00BA528E" w:rsidRPr="00BA528E" w14:paraId="1957EC98" w14:textId="77777777" w:rsidTr="0015273C">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1887F5B8"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272</w:t>
            </w:r>
          </w:p>
        </w:tc>
        <w:tc>
          <w:tcPr>
            <w:tcW w:w="9866" w:type="dxa"/>
            <w:tcBorders>
              <w:top w:val="nil"/>
              <w:left w:val="nil"/>
              <w:bottom w:val="single" w:sz="4" w:space="0" w:color="D9D9D9"/>
            </w:tcBorders>
            <w:shd w:val="clear" w:color="auto" w:fill="auto"/>
            <w:vAlign w:val="center"/>
            <w:hideMark/>
          </w:tcPr>
          <w:p w14:paraId="32EA4E37"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CONVÊNIOS COM ÓRGÃOS FEDERAIS</w:t>
            </w:r>
          </w:p>
        </w:tc>
        <w:tc>
          <w:tcPr>
            <w:tcW w:w="970" w:type="dxa"/>
            <w:tcBorders>
              <w:top w:val="nil"/>
              <w:bottom w:val="nil"/>
              <w:right w:val="single" w:sz="4" w:space="0" w:color="auto"/>
            </w:tcBorders>
            <w:shd w:val="clear" w:color="auto" w:fill="auto"/>
            <w:noWrap/>
            <w:vAlign w:val="center"/>
          </w:tcPr>
          <w:p w14:paraId="61C75A90" w14:textId="77777777" w:rsidR="00BA528E" w:rsidRPr="00BA528E" w:rsidRDefault="00BA528E" w:rsidP="0015273C">
            <w:pPr>
              <w:spacing w:after="0" w:line="240" w:lineRule="auto"/>
              <w:jc w:val="center"/>
              <w:rPr>
                <w:rFonts w:ascii="Arial Narrow" w:eastAsia="Times New Roman" w:hAnsi="Arial Narrow" w:cs="Calibri"/>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37EA2433"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SDF.D544</w:t>
            </w:r>
          </w:p>
        </w:tc>
        <w:tc>
          <w:tcPr>
            <w:tcW w:w="1246" w:type="dxa"/>
            <w:tcBorders>
              <w:top w:val="nil"/>
              <w:left w:val="nil"/>
              <w:bottom w:val="nil"/>
              <w:right w:val="single" w:sz="4" w:space="0" w:color="auto"/>
            </w:tcBorders>
            <w:shd w:val="clear" w:color="auto" w:fill="auto"/>
            <w:noWrap/>
            <w:vAlign w:val="center"/>
            <w:hideMark/>
          </w:tcPr>
          <w:p w14:paraId="2C7B82DC"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SDF.E544</w:t>
            </w:r>
          </w:p>
        </w:tc>
      </w:tr>
      <w:tr w:rsidR="00BA528E" w:rsidRPr="00BA528E" w14:paraId="2D915E09" w14:textId="77777777" w:rsidTr="0015273C">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5D1C3F4F"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273</w:t>
            </w:r>
          </w:p>
        </w:tc>
        <w:tc>
          <w:tcPr>
            <w:tcW w:w="9866" w:type="dxa"/>
            <w:tcBorders>
              <w:top w:val="nil"/>
              <w:left w:val="nil"/>
              <w:bottom w:val="single" w:sz="4" w:space="0" w:color="D9D9D9"/>
            </w:tcBorders>
            <w:shd w:val="clear" w:color="auto" w:fill="auto"/>
            <w:vAlign w:val="center"/>
            <w:hideMark/>
          </w:tcPr>
          <w:p w14:paraId="1FB5AD77"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CONVÊNIOS COM ÓRGÃOS NÃO FEDERAIS</w:t>
            </w:r>
          </w:p>
        </w:tc>
        <w:tc>
          <w:tcPr>
            <w:tcW w:w="970" w:type="dxa"/>
            <w:tcBorders>
              <w:top w:val="nil"/>
              <w:bottom w:val="nil"/>
              <w:right w:val="single" w:sz="4" w:space="0" w:color="auto"/>
            </w:tcBorders>
            <w:shd w:val="clear" w:color="auto" w:fill="auto"/>
            <w:noWrap/>
            <w:vAlign w:val="center"/>
          </w:tcPr>
          <w:p w14:paraId="17CC7A10" w14:textId="77777777" w:rsidR="00BA528E" w:rsidRPr="00BA528E" w:rsidRDefault="00BA528E" w:rsidP="0015273C">
            <w:pPr>
              <w:spacing w:after="0" w:line="240" w:lineRule="auto"/>
              <w:jc w:val="center"/>
              <w:rPr>
                <w:rFonts w:ascii="Arial Narrow" w:eastAsia="Times New Roman" w:hAnsi="Arial Narrow" w:cs="Calibri"/>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1A736466"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SDF.D545</w:t>
            </w:r>
          </w:p>
        </w:tc>
        <w:tc>
          <w:tcPr>
            <w:tcW w:w="1246" w:type="dxa"/>
            <w:tcBorders>
              <w:top w:val="nil"/>
              <w:left w:val="nil"/>
              <w:bottom w:val="nil"/>
              <w:right w:val="single" w:sz="4" w:space="0" w:color="auto"/>
            </w:tcBorders>
            <w:shd w:val="clear" w:color="auto" w:fill="auto"/>
            <w:noWrap/>
            <w:vAlign w:val="center"/>
            <w:hideMark/>
          </w:tcPr>
          <w:p w14:paraId="57DF5374"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SDF.E545</w:t>
            </w:r>
          </w:p>
        </w:tc>
      </w:tr>
      <w:tr w:rsidR="00BA528E" w:rsidRPr="00BA528E" w14:paraId="747F1890" w14:textId="77777777" w:rsidTr="0015273C">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3CD15164"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274</w:t>
            </w:r>
          </w:p>
        </w:tc>
        <w:tc>
          <w:tcPr>
            <w:tcW w:w="9866" w:type="dxa"/>
            <w:tcBorders>
              <w:top w:val="nil"/>
              <w:left w:val="nil"/>
              <w:bottom w:val="single" w:sz="4" w:space="0" w:color="D9D9D9"/>
            </w:tcBorders>
            <w:shd w:val="clear" w:color="auto" w:fill="auto"/>
            <w:vAlign w:val="center"/>
            <w:hideMark/>
          </w:tcPr>
          <w:p w14:paraId="452C462A"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TRANSFERÊNCIA DE INSTITUIÇÕES PRIVADAS</w:t>
            </w:r>
          </w:p>
        </w:tc>
        <w:tc>
          <w:tcPr>
            <w:tcW w:w="970" w:type="dxa"/>
            <w:tcBorders>
              <w:top w:val="nil"/>
              <w:bottom w:val="nil"/>
              <w:right w:val="single" w:sz="4" w:space="0" w:color="auto"/>
            </w:tcBorders>
            <w:shd w:val="clear" w:color="auto" w:fill="auto"/>
            <w:noWrap/>
            <w:vAlign w:val="center"/>
          </w:tcPr>
          <w:p w14:paraId="4E8C951F" w14:textId="77777777" w:rsidR="00BA528E" w:rsidRPr="00BA528E" w:rsidRDefault="00BA528E" w:rsidP="0015273C">
            <w:pPr>
              <w:spacing w:after="0" w:line="240" w:lineRule="auto"/>
              <w:jc w:val="center"/>
              <w:rPr>
                <w:rFonts w:ascii="Arial Narrow" w:eastAsia="Times New Roman" w:hAnsi="Arial Narrow" w:cs="Calibri"/>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02419444"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SDF.D546</w:t>
            </w:r>
          </w:p>
        </w:tc>
        <w:tc>
          <w:tcPr>
            <w:tcW w:w="1246" w:type="dxa"/>
            <w:tcBorders>
              <w:top w:val="nil"/>
              <w:left w:val="nil"/>
              <w:bottom w:val="nil"/>
              <w:right w:val="single" w:sz="4" w:space="0" w:color="auto"/>
            </w:tcBorders>
            <w:shd w:val="clear" w:color="auto" w:fill="auto"/>
            <w:noWrap/>
            <w:vAlign w:val="center"/>
            <w:hideMark/>
          </w:tcPr>
          <w:p w14:paraId="28E1AB8D"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SDF.E546</w:t>
            </w:r>
          </w:p>
        </w:tc>
      </w:tr>
      <w:tr w:rsidR="00BA528E" w:rsidRPr="00BA528E" w14:paraId="575DA45D" w14:textId="77777777" w:rsidTr="0015273C">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4ADE4313"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275</w:t>
            </w:r>
          </w:p>
        </w:tc>
        <w:tc>
          <w:tcPr>
            <w:tcW w:w="9866" w:type="dxa"/>
            <w:tcBorders>
              <w:top w:val="nil"/>
              <w:left w:val="nil"/>
              <w:bottom w:val="single" w:sz="4" w:space="0" w:color="D9D9D9"/>
            </w:tcBorders>
            <w:shd w:val="clear" w:color="auto" w:fill="auto"/>
            <w:vAlign w:val="center"/>
            <w:hideMark/>
          </w:tcPr>
          <w:p w14:paraId="4BC005FF"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OUTRAS TRANSFERÊNCIAS DA UNIÃO</w:t>
            </w:r>
          </w:p>
        </w:tc>
        <w:tc>
          <w:tcPr>
            <w:tcW w:w="970" w:type="dxa"/>
            <w:tcBorders>
              <w:top w:val="nil"/>
              <w:bottom w:val="nil"/>
              <w:right w:val="single" w:sz="4" w:space="0" w:color="auto"/>
            </w:tcBorders>
            <w:shd w:val="clear" w:color="auto" w:fill="auto"/>
            <w:noWrap/>
            <w:vAlign w:val="center"/>
          </w:tcPr>
          <w:p w14:paraId="20B2D62A" w14:textId="77777777" w:rsidR="00BA528E" w:rsidRPr="00BA528E" w:rsidRDefault="00BA528E" w:rsidP="0015273C">
            <w:pPr>
              <w:spacing w:after="0" w:line="240" w:lineRule="auto"/>
              <w:jc w:val="center"/>
              <w:rPr>
                <w:rFonts w:ascii="Arial Narrow" w:eastAsia="Times New Roman" w:hAnsi="Arial Narrow" w:cs="Calibri"/>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07CECA86"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SDF.D547</w:t>
            </w:r>
          </w:p>
        </w:tc>
        <w:tc>
          <w:tcPr>
            <w:tcW w:w="1246" w:type="dxa"/>
            <w:tcBorders>
              <w:top w:val="nil"/>
              <w:left w:val="nil"/>
              <w:bottom w:val="nil"/>
              <w:right w:val="single" w:sz="4" w:space="0" w:color="auto"/>
            </w:tcBorders>
            <w:shd w:val="clear" w:color="auto" w:fill="auto"/>
            <w:noWrap/>
            <w:vAlign w:val="center"/>
            <w:hideMark/>
          </w:tcPr>
          <w:p w14:paraId="233C322D"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SDF.E547</w:t>
            </w:r>
          </w:p>
        </w:tc>
      </w:tr>
      <w:tr w:rsidR="00BA528E" w:rsidRPr="00BA528E" w14:paraId="2A722155" w14:textId="77777777" w:rsidTr="0015273C">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3E777095"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276</w:t>
            </w:r>
          </w:p>
        </w:tc>
        <w:tc>
          <w:tcPr>
            <w:tcW w:w="9866" w:type="dxa"/>
            <w:tcBorders>
              <w:top w:val="nil"/>
              <w:left w:val="nil"/>
              <w:bottom w:val="single" w:sz="4" w:space="0" w:color="D9D9D9"/>
            </w:tcBorders>
            <w:shd w:val="clear" w:color="auto" w:fill="auto"/>
            <w:vAlign w:val="center"/>
            <w:hideMark/>
          </w:tcPr>
          <w:p w14:paraId="0726D415"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FUNDO DE PROTEÇÃO SOCIAL DOS MILITARES</w:t>
            </w:r>
          </w:p>
        </w:tc>
        <w:tc>
          <w:tcPr>
            <w:tcW w:w="970" w:type="dxa"/>
            <w:tcBorders>
              <w:top w:val="nil"/>
              <w:bottom w:val="nil"/>
              <w:right w:val="single" w:sz="4" w:space="0" w:color="auto"/>
            </w:tcBorders>
            <w:shd w:val="clear" w:color="auto" w:fill="auto"/>
            <w:noWrap/>
            <w:vAlign w:val="center"/>
          </w:tcPr>
          <w:p w14:paraId="77A2D5D5" w14:textId="77777777" w:rsidR="00BA528E" w:rsidRPr="00BA528E" w:rsidRDefault="00BA528E" w:rsidP="0015273C">
            <w:pPr>
              <w:spacing w:after="0" w:line="240" w:lineRule="auto"/>
              <w:jc w:val="center"/>
              <w:rPr>
                <w:rFonts w:ascii="Arial Narrow" w:eastAsia="Times New Roman" w:hAnsi="Arial Narrow" w:cs="Calibri"/>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3CF25307"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SDF.D602</w:t>
            </w:r>
          </w:p>
        </w:tc>
        <w:tc>
          <w:tcPr>
            <w:tcW w:w="1246" w:type="dxa"/>
            <w:tcBorders>
              <w:top w:val="nil"/>
              <w:left w:val="nil"/>
              <w:bottom w:val="nil"/>
              <w:right w:val="single" w:sz="4" w:space="0" w:color="auto"/>
            </w:tcBorders>
            <w:shd w:val="clear" w:color="auto" w:fill="auto"/>
            <w:noWrap/>
            <w:vAlign w:val="center"/>
            <w:hideMark/>
          </w:tcPr>
          <w:p w14:paraId="3767F6C1"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SDF.E602</w:t>
            </w:r>
          </w:p>
        </w:tc>
      </w:tr>
      <w:tr w:rsidR="00BA528E" w:rsidRPr="00BA528E" w14:paraId="4CFE6FD6" w14:textId="77777777" w:rsidTr="0015273C">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77757DD6"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307</w:t>
            </w:r>
          </w:p>
        </w:tc>
        <w:tc>
          <w:tcPr>
            <w:tcW w:w="9866" w:type="dxa"/>
            <w:tcBorders>
              <w:top w:val="nil"/>
              <w:left w:val="nil"/>
              <w:bottom w:val="single" w:sz="4" w:space="0" w:color="D9D9D9"/>
            </w:tcBorders>
            <w:shd w:val="clear" w:color="auto" w:fill="auto"/>
            <w:vAlign w:val="center"/>
            <w:hideMark/>
          </w:tcPr>
          <w:p w14:paraId="71697147"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SUPERÁVIT FINANCEIRO - ROYALTIES, PARTICIPAÇÃO ESPECIAL E FUNDO ESPECIAL DO PETRÓLEO</w:t>
            </w:r>
          </w:p>
        </w:tc>
        <w:tc>
          <w:tcPr>
            <w:tcW w:w="970" w:type="dxa"/>
            <w:tcBorders>
              <w:top w:val="nil"/>
              <w:bottom w:val="nil"/>
              <w:right w:val="single" w:sz="4" w:space="0" w:color="auto"/>
            </w:tcBorders>
            <w:shd w:val="clear" w:color="auto" w:fill="auto"/>
            <w:noWrap/>
            <w:vAlign w:val="center"/>
          </w:tcPr>
          <w:p w14:paraId="752B986A" w14:textId="77777777" w:rsidR="00BA528E" w:rsidRPr="00BA528E" w:rsidRDefault="00BA528E" w:rsidP="0015273C">
            <w:pPr>
              <w:spacing w:after="0" w:line="240" w:lineRule="auto"/>
              <w:jc w:val="center"/>
              <w:rPr>
                <w:rFonts w:ascii="Arial Narrow" w:eastAsia="Times New Roman" w:hAnsi="Arial Narrow" w:cs="Calibri"/>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248322CE"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SDF.D603</w:t>
            </w:r>
          </w:p>
        </w:tc>
        <w:tc>
          <w:tcPr>
            <w:tcW w:w="1246" w:type="dxa"/>
            <w:tcBorders>
              <w:top w:val="nil"/>
              <w:left w:val="nil"/>
              <w:bottom w:val="nil"/>
              <w:right w:val="single" w:sz="4" w:space="0" w:color="auto"/>
            </w:tcBorders>
            <w:shd w:val="clear" w:color="auto" w:fill="auto"/>
            <w:noWrap/>
            <w:vAlign w:val="center"/>
            <w:hideMark/>
          </w:tcPr>
          <w:p w14:paraId="55DAFBE5"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SDF.E603</w:t>
            </w:r>
          </w:p>
        </w:tc>
      </w:tr>
      <w:tr w:rsidR="00BA528E" w:rsidRPr="00BA528E" w14:paraId="688EBFF9" w14:textId="77777777" w:rsidTr="0015273C">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581530F1"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308</w:t>
            </w:r>
          </w:p>
        </w:tc>
        <w:tc>
          <w:tcPr>
            <w:tcW w:w="9866" w:type="dxa"/>
            <w:tcBorders>
              <w:top w:val="nil"/>
              <w:left w:val="nil"/>
              <w:bottom w:val="single" w:sz="4" w:space="0" w:color="D9D9D9"/>
            </w:tcBorders>
            <w:shd w:val="clear" w:color="auto" w:fill="auto"/>
            <w:vAlign w:val="center"/>
            <w:hideMark/>
          </w:tcPr>
          <w:p w14:paraId="40038357"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SUPERÁVIT FINANCEIRO - DISTRIBUIÇÃO DA CESSÃO ONEROSA DO BÔNUS DE ASSINATURA DO PRÉ-SAL - LEI Nº 13.885/2019</w:t>
            </w:r>
          </w:p>
        </w:tc>
        <w:tc>
          <w:tcPr>
            <w:tcW w:w="970" w:type="dxa"/>
            <w:tcBorders>
              <w:top w:val="nil"/>
              <w:bottom w:val="nil"/>
              <w:right w:val="single" w:sz="4" w:space="0" w:color="auto"/>
            </w:tcBorders>
            <w:shd w:val="clear" w:color="auto" w:fill="auto"/>
            <w:noWrap/>
            <w:vAlign w:val="center"/>
          </w:tcPr>
          <w:p w14:paraId="61D268C2" w14:textId="77777777" w:rsidR="00BA528E" w:rsidRPr="00BA528E" w:rsidRDefault="00BA528E" w:rsidP="0015273C">
            <w:pPr>
              <w:spacing w:after="0" w:line="240" w:lineRule="auto"/>
              <w:jc w:val="center"/>
              <w:rPr>
                <w:rFonts w:ascii="Arial Narrow" w:eastAsia="Times New Roman" w:hAnsi="Arial Narrow" w:cs="Calibri"/>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6009D79B"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SDF.D604</w:t>
            </w:r>
          </w:p>
        </w:tc>
        <w:tc>
          <w:tcPr>
            <w:tcW w:w="1246" w:type="dxa"/>
            <w:tcBorders>
              <w:top w:val="nil"/>
              <w:left w:val="nil"/>
              <w:bottom w:val="nil"/>
              <w:right w:val="single" w:sz="4" w:space="0" w:color="auto"/>
            </w:tcBorders>
            <w:shd w:val="clear" w:color="auto" w:fill="auto"/>
            <w:noWrap/>
            <w:vAlign w:val="center"/>
            <w:hideMark/>
          </w:tcPr>
          <w:p w14:paraId="74A13C2F"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SDF.E604</w:t>
            </w:r>
          </w:p>
        </w:tc>
      </w:tr>
      <w:tr w:rsidR="00BA528E" w:rsidRPr="00BA528E" w14:paraId="44A3B809" w14:textId="77777777" w:rsidTr="0015273C">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476798AF"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312</w:t>
            </w:r>
          </w:p>
        </w:tc>
        <w:tc>
          <w:tcPr>
            <w:tcW w:w="9866" w:type="dxa"/>
            <w:tcBorders>
              <w:top w:val="single" w:sz="4" w:space="0" w:color="D9D9D9"/>
              <w:left w:val="nil"/>
              <w:bottom w:val="single" w:sz="4" w:space="0" w:color="D9D9D9"/>
            </w:tcBorders>
            <w:shd w:val="clear" w:color="auto" w:fill="auto"/>
            <w:vAlign w:val="center"/>
            <w:hideMark/>
          </w:tcPr>
          <w:p w14:paraId="6C595A9F"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SUPERÁVIT FINANCEIRO - DEC. 2.829-R, DE 17/08/11</w:t>
            </w:r>
          </w:p>
        </w:tc>
        <w:tc>
          <w:tcPr>
            <w:tcW w:w="970" w:type="dxa"/>
            <w:tcBorders>
              <w:top w:val="nil"/>
              <w:bottom w:val="nil"/>
              <w:right w:val="single" w:sz="4" w:space="0" w:color="auto"/>
            </w:tcBorders>
            <w:shd w:val="clear" w:color="auto" w:fill="auto"/>
            <w:noWrap/>
            <w:vAlign w:val="center"/>
          </w:tcPr>
          <w:p w14:paraId="3AF678ED" w14:textId="77777777" w:rsidR="00BA528E" w:rsidRPr="00BA528E" w:rsidRDefault="00BA528E" w:rsidP="0015273C">
            <w:pPr>
              <w:spacing w:after="0" w:line="240" w:lineRule="auto"/>
              <w:jc w:val="center"/>
              <w:rPr>
                <w:rFonts w:ascii="Arial Narrow" w:eastAsia="Times New Roman" w:hAnsi="Arial Narrow" w:cs="Calibri"/>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1C89FCFC"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SDF.D550</w:t>
            </w:r>
          </w:p>
        </w:tc>
        <w:tc>
          <w:tcPr>
            <w:tcW w:w="1246" w:type="dxa"/>
            <w:tcBorders>
              <w:top w:val="nil"/>
              <w:left w:val="nil"/>
              <w:bottom w:val="nil"/>
              <w:right w:val="single" w:sz="4" w:space="0" w:color="auto"/>
            </w:tcBorders>
            <w:shd w:val="clear" w:color="auto" w:fill="auto"/>
            <w:noWrap/>
            <w:vAlign w:val="center"/>
            <w:hideMark/>
          </w:tcPr>
          <w:p w14:paraId="74BAFDB3"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SDF.E550</w:t>
            </w:r>
          </w:p>
        </w:tc>
      </w:tr>
      <w:tr w:rsidR="00BA528E" w:rsidRPr="00BA528E" w14:paraId="13439444" w14:textId="77777777" w:rsidTr="0015273C">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57D7FC6C"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315</w:t>
            </w:r>
          </w:p>
        </w:tc>
        <w:tc>
          <w:tcPr>
            <w:tcW w:w="9866" w:type="dxa"/>
            <w:tcBorders>
              <w:top w:val="single" w:sz="4" w:space="0" w:color="D9D9D9"/>
              <w:left w:val="nil"/>
              <w:bottom w:val="single" w:sz="4" w:space="0" w:color="D9D9D9"/>
            </w:tcBorders>
            <w:shd w:val="clear" w:color="auto" w:fill="auto"/>
            <w:vAlign w:val="center"/>
            <w:hideMark/>
          </w:tcPr>
          <w:p w14:paraId="13FB9C32"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SUPERÁVIT FINANCEIRO - ALIENAÇÃO DE BENS</w:t>
            </w:r>
          </w:p>
        </w:tc>
        <w:tc>
          <w:tcPr>
            <w:tcW w:w="970" w:type="dxa"/>
            <w:tcBorders>
              <w:top w:val="nil"/>
              <w:bottom w:val="nil"/>
              <w:right w:val="single" w:sz="4" w:space="0" w:color="auto"/>
            </w:tcBorders>
            <w:shd w:val="clear" w:color="auto" w:fill="auto"/>
            <w:noWrap/>
            <w:vAlign w:val="center"/>
          </w:tcPr>
          <w:p w14:paraId="36A3DF4A" w14:textId="77777777" w:rsidR="00BA528E" w:rsidRPr="00BA528E" w:rsidRDefault="00BA528E" w:rsidP="0015273C">
            <w:pPr>
              <w:spacing w:after="0" w:line="240" w:lineRule="auto"/>
              <w:jc w:val="center"/>
              <w:rPr>
                <w:rFonts w:ascii="Arial Narrow" w:eastAsia="Times New Roman" w:hAnsi="Arial Narrow" w:cs="Calibri"/>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47B9EB68"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SDF.D553</w:t>
            </w:r>
          </w:p>
        </w:tc>
        <w:tc>
          <w:tcPr>
            <w:tcW w:w="1246" w:type="dxa"/>
            <w:tcBorders>
              <w:top w:val="nil"/>
              <w:left w:val="nil"/>
              <w:bottom w:val="nil"/>
              <w:right w:val="single" w:sz="4" w:space="0" w:color="auto"/>
            </w:tcBorders>
            <w:shd w:val="clear" w:color="auto" w:fill="auto"/>
            <w:noWrap/>
            <w:vAlign w:val="center"/>
            <w:hideMark/>
          </w:tcPr>
          <w:p w14:paraId="4288C03C"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SDF.E553</w:t>
            </w:r>
          </w:p>
        </w:tc>
      </w:tr>
      <w:tr w:rsidR="00BA528E" w:rsidRPr="00BA528E" w14:paraId="01AA804B" w14:textId="77777777" w:rsidTr="0015273C">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229BBFB5"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316</w:t>
            </w:r>
          </w:p>
        </w:tc>
        <w:tc>
          <w:tcPr>
            <w:tcW w:w="9866" w:type="dxa"/>
            <w:tcBorders>
              <w:top w:val="single" w:sz="4" w:space="0" w:color="D9D9D9"/>
              <w:left w:val="nil"/>
              <w:bottom w:val="single" w:sz="4" w:space="0" w:color="D9D9D9"/>
            </w:tcBorders>
            <w:shd w:val="clear" w:color="auto" w:fill="auto"/>
            <w:vAlign w:val="center"/>
            <w:hideMark/>
          </w:tcPr>
          <w:p w14:paraId="4C1655C6"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SUPERÁVIT FINANCEIRO - DEPÓSITOS JUDICIAIS – LEI 10.549, DE 1º JULHO DE 2016</w:t>
            </w:r>
          </w:p>
        </w:tc>
        <w:tc>
          <w:tcPr>
            <w:tcW w:w="970" w:type="dxa"/>
            <w:tcBorders>
              <w:top w:val="nil"/>
              <w:bottom w:val="nil"/>
              <w:right w:val="single" w:sz="4" w:space="0" w:color="auto"/>
            </w:tcBorders>
            <w:shd w:val="clear" w:color="auto" w:fill="auto"/>
            <w:noWrap/>
            <w:vAlign w:val="center"/>
          </w:tcPr>
          <w:p w14:paraId="0FE570AA" w14:textId="77777777" w:rsidR="00BA528E" w:rsidRPr="00BA528E" w:rsidRDefault="00BA528E" w:rsidP="0015273C">
            <w:pPr>
              <w:spacing w:after="0" w:line="240" w:lineRule="auto"/>
              <w:jc w:val="center"/>
              <w:rPr>
                <w:rFonts w:ascii="Arial Narrow" w:eastAsia="Times New Roman" w:hAnsi="Arial Narrow" w:cs="Calibri"/>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701FD42A"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SDF.D554</w:t>
            </w:r>
          </w:p>
        </w:tc>
        <w:tc>
          <w:tcPr>
            <w:tcW w:w="1246" w:type="dxa"/>
            <w:tcBorders>
              <w:top w:val="nil"/>
              <w:left w:val="nil"/>
              <w:bottom w:val="nil"/>
              <w:right w:val="single" w:sz="4" w:space="0" w:color="auto"/>
            </w:tcBorders>
            <w:shd w:val="clear" w:color="auto" w:fill="auto"/>
            <w:noWrap/>
            <w:vAlign w:val="center"/>
            <w:hideMark/>
          </w:tcPr>
          <w:p w14:paraId="101B481F"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SDF.E554</w:t>
            </w:r>
          </w:p>
        </w:tc>
      </w:tr>
      <w:tr w:rsidR="00BA528E" w:rsidRPr="00BA528E" w14:paraId="2BAF6B0B" w14:textId="77777777" w:rsidTr="0015273C">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0508651D"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333</w:t>
            </w:r>
          </w:p>
        </w:tc>
        <w:tc>
          <w:tcPr>
            <w:tcW w:w="9866" w:type="dxa"/>
            <w:tcBorders>
              <w:top w:val="single" w:sz="4" w:space="0" w:color="D9D9D9"/>
              <w:left w:val="nil"/>
              <w:bottom w:val="single" w:sz="4" w:space="0" w:color="D9D9D9"/>
            </w:tcBorders>
            <w:shd w:val="clear" w:color="auto" w:fill="auto"/>
            <w:vAlign w:val="center"/>
            <w:hideMark/>
          </w:tcPr>
          <w:p w14:paraId="2E1BAEEE"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SUPERÁVIT FINANCEIRO - CONVÊNIOS UNIÃO</w:t>
            </w:r>
          </w:p>
        </w:tc>
        <w:tc>
          <w:tcPr>
            <w:tcW w:w="970" w:type="dxa"/>
            <w:tcBorders>
              <w:top w:val="nil"/>
              <w:bottom w:val="nil"/>
              <w:right w:val="single" w:sz="4" w:space="0" w:color="auto"/>
            </w:tcBorders>
            <w:shd w:val="clear" w:color="auto" w:fill="auto"/>
            <w:noWrap/>
            <w:vAlign w:val="center"/>
          </w:tcPr>
          <w:p w14:paraId="77129D11" w14:textId="77777777" w:rsidR="00BA528E" w:rsidRPr="00BA528E" w:rsidRDefault="00BA528E" w:rsidP="0015273C">
            <w:pPr>
              <w:spacing w:after="0" w:line="240" w:lineRule="auto"/>
              <w:jc w:val="center"/>
              <w:rPr>
                <w:rFonts w:ascii="Arial Narrow" w:eastAsia="Times New Roman" w:hAnsi="Arial Narrow" w:cs="Calibri"/>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2020841C"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SDF.D557</w:t>
            </w:r>
          </w:p>
        </w:tc>
        <w:tc>
          <w:tcPr>
            <w:tcW w:w="1246" w:type="dxa"/>
            <w:tcBorders>
              <w:top w:val="nil"/>
              <w:left w:val="nil"/>
              <w:bottom w:val="nil"/>
              <w:right w:val="single" w:sz="4" w:space="0" w:color="auto"/>
            </w:tcBorders>
            <w:shd w:val="clear" w:color="auto" w:fill="auto"/>
            <w:noWrap/>
            <w:vAlign w:val="center"/>
            <w:hideMark/>
          </w:tcPr>
          <w:p w14:paraId="1A78E9D6"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SDF.E557</w:t>
            </w:r>
          </w:p>
        </w:tc>
      </w:tr>
      <w:tr w:rsidR="00BA528E" w:rsidRPr="00BA528E" w14:paraId="0F3E296B" w14:textId="77777777" w:rsidTr="0015273C">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03AA5699"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336</w:t>
            </w:r>
          </w:p>
        </w:tc>
        <w:tc>
          <w:tcPr>
            <w:tcW w:w="9866" w:type="dxa"/>
            <w:tcBorders>
              <w:top w:val="single" w:sz="4" w:space="0" w:color="D9D9D9"/>
              <w:left w:val="nil"/>
              <w:bottom w:val="single" w:sz="4" w:space="0" w:color="D9D9D9"/>
            </w:tcBorders>
            <w:shd w:val="clear" w:color="auto" w:fill="auto"/>
            <w:vAlign w:val="center"/>
            <w:hideMark/>
          </w:tcPr>
          <w:p w14:paraId="38C8D7A4"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SUPERÁVIT FINANCEIRO - TRANSFERÊNCIAS CONSTITUCIONAIS A MUNICÍPIOS</w:t>
            </w:r>
          </w:p>
        </w:tc>
        <w:tc>
          <w:tcPr>
            <w:tcW w:w="970" w:type="dxa"/>
            <w:tcBorders>
              <w:top w:val="nil"/>
              <w:bottom w:val="nil"/>
              <w:right w:val="single" w:sz="4" w:space="0" w:color="auto"/>
            </w:tcBorders>
            <w:shd w:val="clear" w:color="auto" w:fill="auto"/>
            <w:noWrap/>
            <w:vAlign w:val="center"/>
          </w:tcPr>
          <w:p w14:paraId="0C0580EE" w14:textId="77777777" w:rsidR="00BA528E" w:rsidRPr="00BA528E" w:rsidRDefault="00BA528E" w:rsidP="0015273C">
            <w:pPr>
              <w:spacing w:after="0" w:line="240" w:lineRule="auto"/>
              <w:jc w:val="center"/>
              <w:rPr>
                <w:rFonts w:ascii="Arial Narrow" w:eastAsia="Times New Roman" w:hAnsi="Arial Narrow" w:cs="Calibri"/>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4A2FCF7A"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SDF.D560</w:t>
            </w:r>
          </w:p>
        </w:tc>
        <w:tc>
          <w:tcPr>
            <w:tcW w:w="1246" w:type="dxa"/>
            <w:tcBorders>
              <w:top w:val="nil"/>
              <w:left w:val="nil"/>
              <w:bottom w:val="nil"/>
              <w:right w:val="single" w:sz="4" w:space="0" w:color="auto"/>
            </w:tcBorders>
            <w:shd w:val="clear" w:color="auto" w:fill="auto"/>
            <w:noWrap/>
            <w:vAlign w:val="center"/>
            <w:hideMark/>
          </w:tcPr>
          <w:p w14:paraId="27374AD2"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SDF.E560</w:t>
            </w:r>
          </w:p>
        </w:tc>
      </w:tr>
      <w:tr w:rsidR="00BA528E" w:rsidRPr="00BA528E" w14:paraId="53CE9961" w14:textId="77777777" w:rsidTr="0015273C">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5EC79A27"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338</w:t>
            </w:r>
          </w:p>
        </w:tc>
        <w:tc>
          <w:tcPr>
            <w:tcW w:w="9866" w:type="dxa"/>
            <w:tcBorders>
              <w:top w:val="single" w:sz="4" w:space="0" w:color="D9D9D9"/>
              <w:left w:val="nil"/>
              <w:bottom w:val="single" w:sz="4" w:space="0" w:color="D9D9D9"/>
            </w:tcBorders>
            <w:shd w:val="clear" w:color="auto" w:fill="auto"/>
            <w:vAlign w:val="center"/>
            <w:hideMark/>
          </w:tcPr>
          <w:p w14:paraId="2A71B16C"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SUPERÁVIT FINANCEIRO - FUNDAP</w:t>
            </w:r>
          </w:p>
        </w:tc>
        <w:tc>
          <w:tcPr>
            <w:tcW w:w="970" w:type="dxa"/>
            <w:tcBorders>
              <w:top w:val="nil"/>
              <w:bottom w:val="nil"/>
              <w:right w:val="single" w:sz="4" w:space="0" w:color="auto"/>
            </w:tcBorders>
            <w:shd w:val="clear" w:color="auto" w:fill="auto"/>
            <w:noWrap/>
            <w:vAlign w:val="center"/>
          </w:tcPr>
          <w:p w14:paraId="66B03B3F" w14:textId="77777777" w:rsidR="00BA528E" w:rsidRPr="00BA528E" w:rsidRDefault="00BA528E" w:rsidP="0015273C">
            <w:pPr>
              <w:spacing w:after="0" w:line="240" w:lineRule="auto"/>
              <w:jc w:val="center"/>
              <w:rPr>
                <w:rFonts w:ascii="Arial Narrow" w:eastAsia="Times New Roman" w:hAnsi="Arial Narrow" w:cs="Calibri"/>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11DDD6E0"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SDF.D561</w:t>
            </w:r>
          </w:p>
        </w:tc>
        <w:tc>
          <w:tcPr>
            <w:tcW w:w="1246" w:type="dxa"/>
            <w:tcBorders>
              <w:top w:val="nil"/>
              <w:left w:val="nil"/>
              <w:bottom w:val="nil"/>
              <w:right w:val="single" w:sz="4" w:space="0" w:color="auto"/>
            </w:tcBorders>
            <w:shd w:val="clear" w:color="auto" w:fill="auto"/>
            <w:noWrap/>
            <w:vAlign w:val="center"/>
            <w:hideMark/>
          </w:tcPr>
          <w:p w14:paraId="068913F0"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SDF.E561</w:t>
            </w:r>
          </w:p>
        </w:tc>
      </w:tr>
      <w:tr w:rsidR="00BA528E" w:rsidRPr="00BA528E" w14:paraId="5F772A0D" w14:textId="77777777" w:rsidTr="0015273C">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37DF0B1C"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339</w:t>
            </w:r>
          </w:p>
        </w:tc>
        <w:tc>
          <w:tcPr>
            <w:tcW w:w="9866" w:type="dxa"/>
            <w:tcBorders>
              <w:top w:val="single" w:sz="4" w:space="0" w:color="D9D9D9"/>
              <w:left w:val="nil"/>
              <w:bottom w:val="single" w:sz="4" w:space="0" w:color="D9D9D9"/>
            </w:tcBorders>
            <w:shd w:val="clear" w:color="auto" w:fill="auto"/>
            <w:vAlign w:val="center"/>
            <w:hideMark/>
          </w:tcPr>
          <w:p w14:paraId="02BA0818"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SUPERÁVIT FINANCEIRO - DOAÇÕES</w:t>
            </w:r>
          </w:p>
        </w:tc>
        <w:tc>
          <w:tcPr>
            <w:tcW w:w="970" w:type="dxa"/>
            <w:tcBorders>
              <w:top w:val="nil"/>
              <w:bottom w:val="nil"/>
              <w:right w:val="single" w:sz="4" w:space="0" w:color="auto"/>
            </w:tcBorders>
            <w:shd w:val="clear" w:color="auto" w:fill="auto"/>
            <w:noWrap/>
            <w:vAlign w:val="center"/>
          </w:tcPr>
          <w:p w14:paraId="35D528CE" w14:textId="77777777" w:rsidR="00BA528E" w:rsidRPr="00BA528E" w:rsidRDefault="00BA528E" w:rsidP="0015273C">
            <w:pPr>
              <w:spacing w:after="0" w:line="240" w:lineRule="auto"/>
              <w:jc w:val="center"/>
              <w:rPr>
                <w:rFonts w:ascii="Arial Narrow" w:eastAsia="Times New Roman" w:hAnsi="Arial Narrow" w:cs="Calibri"/>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4D8B477F"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SDF.D562</w:t>
            </w:r>
          </w:p>
        </w:tc>
        <w:tc>
          <w:tcPr>
            <w:tcW w:w="1246" w:type="dxa"/>
            <w:tcBorders>
              <w:top w:val="nil"/>
              <w:left w:val="nil"/>
              <w:bottom w:val="nil"/>
              <w:right w:val="single" w:sz="4" w:space="0" w:color="auto"/>
            </w:tcBorders>
            <w:shd w:val="clear" w:color="auto" w:fill="auto"/>
            <w:noWrap/>
            <w:vAlign w:val="center"/>
            <w:hideMark/>
          </w:tcPr>
          <w:p w14:paraId="7342A9C0"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SDF.E562</w:t>
            </w:r>
          </w:p>
        </w:tc>
      </w:tr>
      <w:tr w:rsidR="00BA528E" w:rsidRPr="00BA528E" w14:paraId="1C2C1B5A" w14:textId="77777777" w:rsidTr="0015273C">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799525F0"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341</w:t>
            </w:r>
          </w:p>
        </w:tc>
        <w:tc>
          <w:tcPr>
            <w:tcW w:w="9866" w:type="dxa"/>
            <w:tcBorders>
              <w:top w:val="nil"/>
              <w:left w:val="nil"/>
              <w:bottom w:val="single" w:sz="4" w:space="0" w:color="D9D9D9"/>
            </w:tcBorders>
            <w:shd w:val="clear" w:color="auto" w:fill="auto"/>
            <w:vAlign w:val="center"/>
            <w:hideMark/>
          </w:tcPr>
          <w:p w14:paraId="69DD53A2"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SUPERÁVIT FINANCEIRO - CONVÊNIOS COM ÓRGÃOS NÃO FEDERAIS</w:t>
            </w:r>
          </w:p>
        </w:tc>
        <w:tc>
          <w:tcPr>
            <w:tcW w:w="970" w:type="dxa"/>
            <w:tcBorders>
              <w:top w:val="nil"/>
              <w:bottom w:val="nil"/>
              <w:right w:val="single" w:sz="4" w:space="0" w:color="auto"/>
            </w:tcBorders>
            <w:shd w:val="clear" w:color="auto" w:fill="auto"/>
            <w:noWrap/>
            <w:vAlign w:val="center"/>
          </w:tcPr>
          <w:p w14:paraId="6ADE59F9" w14:textId="77777777" w:rsidR="00BA528E" w:rsidRPr="00BA528E" w:rsidRDefault="00BA528E" w:rsidP="0015273C">
            <w:pPr>
              <w:spacing w:after="0" w:line="240" w:lineRule="auto"/>
              <w:jc w:val="center"/>
              <w:rPr>
                <w:rFonts w:ascii="Arial Narrow" w:eastAsia="Times New Roman" w:hAnsi="Arial Narrow" w:cs="Calibri"/>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6F2E836A"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SDF.D563</w:t>
            </w:r>
          </w:p>
        </w:tc>
        <w:tc>
          <w:tcPr>
            <w:tcW w:w="1246" w:type="dxa"/>
            <w:tcBorders>
              <w:top w:val="nil"/>
              <w:left w:val="nil"/>
              <w:bottom w:val="nil"/>
              <w:right w:val="single" w:sz="4" w:space="0" w:color="auto"/>
            </w:tcBorders>
            <w:shd w:val="clear" w:color="auto" w:fill="auto"/>
            <w:noWrap/>
            <w:vAlign w:val="center"/>
            <w:hideMark/>
          </w:tcPr>
          <w:p w14:paraId="66747151"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SDF.E563</w:t>
            </w:r>
          </w:p>
        </w:tc>
      </w:tr>
      <w:tr w:rsidR="00BA528E" w:rsidRPr="00BA528E" w14:paraId="58466C1A" w14:textId="77777777" w:rsidTr="0015273C">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632206E3"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342</w:t>
            </w:r>
          </w:p>
        </w:tc>
        <w:tc>
          <w:tcPr>
            <w:tcW w:w="9866" w:type="dxa"/>
            <w:tcBorders>
              <w:top w:val="nil"/>
              <w:left w:val="nil"/>
              <w:bottom w:val="single" w:sz="4" w:space="0" w:color="D9D9D9"/>
            </w:tcBorders>
            <w:shd w:val="clear" w:color="auto" w:fill="auto"/>
            <w:vAlign w:val="center"/>
            <w:hideMark/>
          </w:tcPr>
          <w:p w14:paraId="2B6F1F56"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SUPERÁVIT FINANCEIRO - OPERAÇÕES DE CRÉDITO INTERNAS</w:t>
            </w:r>
          </w:p>
        </w:tc>
        <w:tc>
          <w:tcPr>
            <w:tcW w:w="970" w:type="dxa"/>
            <w:tcBorders>
              <w:top w:val="nil"/>
              <w:bottom w:val="nil"/>
              <w:right w:val="single" w:sz="4" w:space="0" w:color="auto"/>
            </w:tcBorders>
            <w:shd w:val="clear" w:color="auto" w:fill="auto"/>
            <w:noWrap/>
            <w:vAlign w:val="center"/>
          </w:tcPr>
          <w:p w14:paraId="6111FD28" w14:textId="77777777" w:rsidR="00BA528E" w:rsidRPr="00BA528E" w:rsidRDefault="00BA528E" w:rsidP="0015273C">
            <w:pPr>
              <w:spacing w:after="0" w:line="240" w:lineRule="auto"/>
              <w:jc w:val="center"/>
              <w:rPr>
                <w:rFonts w:ascii="Arial Narrow" w:eastAsia="Times New Roman" w:hAnsi="Arial Narrow" w:cs="Calibri"/>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0A29DC59"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SDF.D564</w:t>
            </w:r>
          </w:p>
        </w:tc>
        <w:tc>
          <w:tcPr>
            <w:tcW w:w="1246" w:type="dxa"/>
            <w:tcBorders>
              <w:top w:val="nil"/>
              <w:left w:val="nil"/>
              <w:bottom w:val="nil"/>
              <w:right w:val="single" w:sz="4" w:space="0" w:color="auto"/>
            </w:tcBorders>
            <w:shd w:val="clear" w:color="auto" w:fill="auto"/>
            <w:noWrap/>
            <w:vAlign w:val="center"/>
            <w:hideMark/>
          </w:tcPr>
          <w:p w14:paraId="02F6FCA1"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SDF.E564</w:t>
            </w:r>
          </w:p>
        </w:tc>
      </w:tr>
      <w:tr w:rsidR="00BA528E" w:rsidRPr="00BA528E" w14:paraId="7E01F6AB" w14:textId="77777777" w:rsidTr="0015273C">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20AE0375"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343</w:t>
            </w:r>
          </w:p>
        </w:tc>
        <w:tc>
          <w:tcPr>
            <w:tcW w:w="9866" w:type="dxa"/>
            <w:tcBorders>
              <w:top w:val="nil"/>
              <w:left w:val="nil"/>
              <w:bottom w:val="single" w:sz="4" w:space="0" w:color="D9D9D9"/>
            </w:tcBorders>
            <w:shd w:val="clear" w:color="auto" w:fill="auto"/>
            <w:vAlign w:val="center"/>
            <w:hideMark/>
          </w:tcPr>
          <w:p w14:paraId="4EC75A19"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SUPERÁVIT FINANCEIRO - OPERAÇÕES DE CRÉDITO EXTERNAS</w:t>
            </w:r>
          </w:p>
        </w:tc>
        <w:tc>
          <w:tcPr>
            <w:tcW w:w="970" w:type="dxa"/>
            <w:tcBorders>
              <w:top w:val="nil"/>
              <w:bottom w:val="nil"/>
              <w:right w:val="single" w:sz="4" w:space="0" w:color="auto"/>
            </w:tcBorders>
            <w:shd w:val="clear" w:color="auto" w:fill="auto"/>
            <w:noWrap/>
            <w:vAlign w:val="center"/>
          </w:tcPr>
          <w:p w14:paraId="50D84C92" w14:textId="77777777" w:rsidR="00BA528E" w:rsidRPr="00BA528E" w:rsidRDefault="00BA528E" w:rsidP="0015273C">
            <w:pPr>
              <w:spacing w:after="0" w:line="240" w:lineRule="auto"/>
              <w:jc w:val="center"/>
              <w:rPr>
                <w:rFonts w:ascii="Arial Narrow" w:eastAsia="Times New Roman" w:hAnsi="Arial Narrow" w:cs="Calibri"/>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14FE4E90"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SDF.D565</w:t>
            </w:r>
          </w:p>
        </w:tc>
        <w:tc>
          <w:tcPr>
            <w:tcW w:w="1246" w:type="dxa"/>
            <w:tcBorders>
              <w:top w:val="nil"/>
              <w:left w:val="nil"/>
              <w:bottom w:val="nil"/>
              <w:right w:val="single" w:sz="4" w:space="0" w:color="auto"/>
            </w:tcBorders>
            <w:shd w:val="clear" w:color="auto" w:fill="auto"/>
            <w:noWrap/>
            <w:vAlign w:val="center"/>
            <w:hideMark/>
          </w:tcPr>
          <w:p w14:paraId="7B18B5C3"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SDF.E565</w:t>
            </w:r>
          </w:p>
        </w:tc>
      </w:tr>
      <w:tr w:rsidR="00BA528E" w:rsidRPr="00BA528E" w14:paraId="35ABF98D" w14:textId="77777777" w:rsidTr="0015273C">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2C60EFA4"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344</w:t>
            </w:r>
          </w:p>
        </w:tc>
        <w:tc>
          <w:tcPr>
            <w:tcW w:w="9866" w:type="dxa"/>
            <w:tcBorders>
              <w:top w:val="nil"/>
              <w:left w:val="nil"/>
              <w:bottom w:val="single" w:sz="4" w:space="0" w:color="D9D9D9"/>
            </w:tcBorders>
            <w:shd w:val="clear" w:color="auto" w:fill="auto"/>
            <w:vAlign w:val="center"/>
            <w:hideMark/>
          </w:tcPr>
          <w:p w14:paraId="1DD62140"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SUPERÁVIT FINANCEIRO - TRANSFERÊNCIAS A MUNICÍPIOS - CIDE</w:t>
            </w:r>
          </w:p>
        </w:tc>
        <w:tc>
          <w:tcPr>
            <w:tcW w:w="970" w:type="dxa"/>
            <w:tcBorders>
              <w:top w:val="nil"/>
              <w:bottom w:val="nil"/>
              <w:right w:val="single" w:sz="4" w:space="0" w:color="auto"/>
            </w:tcBorders>
            <w:shd w:val="clear" w:color="auto" w:fill="auto"/>
            <w:noWrap/>
            <w:vAlign w:val="center"/>
          </w:tcPr>
          <w:p w14:paraId="3AC65058" w14:textId="77777777" w:rsidR="00BA528E" w:rsidRPr="00BA528E" w:rsidRDefault="00BA528E" w:rsidP="0015273C">
            <w:pPr>
              <w:spacing w:after="0" w:line="240" w:lineRule="auto"/>
              <w:jc w:val="center"/>
              <w:rPr>
                <w:rFonts w:ascii="Arial Narrow" w:eastAsia="Times New Roman" w:hAnsi="Arial Narrow" w:cs="Calibri"/>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65050D5E"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SDF.D566</w:t>
            </w:r>
          </w:p>
        </w:tc>
        <w:tc>
          <w:tcPr>
            <w:tcW w:w="1246" w:type="dxa"/>
            <w:tcBorders>
              <w:top w:val="nil"/>
              <w:left w:val="nil"/>
              <w:bottom w:val="nil"/>
              <w:right w:val="single" w:sz="4" w:space="0" w:color="auto"/>
            </w:tcBorders>
            <w:shd w:val="clear" w:color="auto" w:fill="auto"/>
            <w:noWrap/>
            <w:vAlign w:val="center"/>
            <w:hideMark/>
          </w:tcPr>
          <w:p w14:paraId="0DDEC158"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SDF.E566</w:t>
            </w:r>
          </w:p>
        </w:tc>
      </w:tr>
      <w:tr w:rsidR="00BA528E" w:rsidRPr="00BA528E" w14:paraId="01C0A52C" w14:textId="77777777" w:rsidTr="0015273C">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219172FC"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350</w:t>
            </w:r>
          </w:p>
        </w:tc>
        <w:tc>
          <w:tcPr>
            <w:tcW w:w="9866" w:type="dxa"/>
            <w:tcBorders>
              <w:top w:val="nil"/>
              <w:left w:val="nil"/>
              <w:bottom w:val="single" w:sz="4" w:space="0" w:color="D9D9D9"/>
            </w:tcBorders>
            <w:shd w:val="clear" w:color="auto" w:fill="auto"/>
            <w:vAlign w:val="center"/>
            <w:hideMark/>
          </w:tcPr>
          <w:p w14:paraId="63F50270"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SUPERÁVIT FINANCEIRO - PACTO NACIONAL PELA GESTÃO DAS ÁGUAS – PROGESTÃO</w:t>
            </w:r>
          </w:p>
        </w:tc>
        <w:tc>
          <w:tcPr>
            <w:tcW w:w="970" w:type="dxa"/>
            <w:tcBorders>
              <w:top w:val="nil"/>
              <w:bottom w:val="nil"/>
              <w:right w:val="single" w:sz="4" w:space="0" w:color="auto"/>
            </w:tcBorders>
            <w:shd w:val="clear" w:color="auto" w:fill="auto"/>
            <w:noWrap/>
            <w:vAlign w:val="center"/>
          </w:tcPr>
          <w:p w14:paraId="496B7B2C" w14:textId="77777777" w:rsidR="00BA528E" w:rsidRPr="00BA528E" w:rsidRDefault="00BA528E" w:rsidP="0015273C">
            <w:pPr>
              <w:spacing w:after="0" w:line="240" w:lineRule="auto"/>
              <w:jc w:val="center"/>
              <w:rPr>
                <w:rFonts w:ascii="Arial Narrow" w:eastAsia="Times New Roman" w:hAnsi="Arial Narrow" w:cs="Calibri"/>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3B6123D2"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SDF.D571</w:t>
            </w:r>
          </w:p>
        </w:tc>
        <w:tc>
          <w:tcPr>
            <w:tcW w:w="1246" w:type="dxa"/>
            <w:tcBorders>
              <w:top w:val="nil"/>
              <w:left w:val="nil"/>
              <w:bottom w:val="nil"/>
              <w:right w:val="single" w:sz="4" w:space="0" w:color="auto"/>
            </w:tcBorders>
            <w:shd w:val="clear" w:color="auto" w:fill="auto"/>
            <w:noWrap/>
            <w:vAlign w:val="center"/>
            <w:hideMark/>
          </w:tcPr>
          <w:p w14:paraId="18A80B27"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SDF.E571</w:t>
            </w:r>
          </w:p>
        </w:tc>
      </w:tr>
      <w:tr w:rsidR="00BA528E" w:rsidRPr="00BA528E" w14:paraId="73358748" w14:textId="77777777" w:rsidTr="0015273C">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568D3FD5"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354</w:t>
            </w:r>
          </w:p>
        </w:tc>
        <w:tc>
          <w:tcPr>
            <w:tcW w:w="9866" w:type="dxa"/>
            <w:tcBorders>
              <w:top w:val="nil"/>
              <w:left w:val="nil"/>
              <w:bottom w:val="single" w:sz="4" w:space="0" w:color="D9D9D9"/>
            </w:tcBorders>
            <w:shd w:val="clear" w:color="auto" w:fill="auto"/>
            <w:vAlign w:val="center"/>
            <w:hideMark/>
          </w:tcPr>
          <w:p w14:paraId="03D6A6BA"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SUPERÁVIT FINANCEIRO - CIDE</w:t>
            </w:r>
          </w:p>
        </w:tc>
        <w:tc>
          <w:tcPr>
            <w:tcW w:w="970" w:type="dxa"/>
            <w:tcBorders>
              <w:top w:val="nil"/>
              <w:bottom w:val="nil"/>
              <w:right w:val="single" w:sz="4" w:space="0" w:color="auto"/>
            </w:tcBorders>
            <w:shd w:val="clear" w:color="auto" w:fill="auto"/>
            <w:noWrap/>
            <w:vAlign w:val="center"/>
          </w:tcPr>
          <w:p w14:paraId="5CC6D79B" w14:textId="77777777" w:rsidR="00BA528E" w:rsidRPr="00BA528E" w:rsidRDefault="00BA528E" w:rsidP="0015273C">
            <w:pPr>
              <w:spacing w:after="0" w:line="240" w:lineRule="auto"/>
              <w:jc w:val="center"/>
              <w:rPr>
                <w:rFonts w:ascii="Arial Narrow" w:eastAsia="Times New Roman" w:hAnsi="Arial Narrow" w:cs="Calibri"/>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534A2B53"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SDF.D574</w:t>
            </w:r>
          </w:p>
        </w:tc>
        <w:tc>
          <w:tcPr>
            <w:tcW w:w="1246" w:type="dxa"/>
            <w:tcBorders>
              <w:top w:val="nil"/>
              <w:left w:val="nil"/>
              <w:bottom w:val="nil"/>
              <w:right w:val="single" w:sz="4" w:space="0" w:color="auto"/>
            </w:tcBorders>
            <w:shd w:val="clear" w:color="auto" w:fill="auto"/>
            <w:noWrap/>
            <w:vAlign w:val="center"/>
            <w:hideMark/>
          </w:tcPr>
          <w:p w14:paraId="5F6CFD12"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SDF.E574</w:t>
            </w:r>
          </w:p>
        </w:tc>
      </w:tr>
      <w:tr w:rsidR="00BA528E" w:rsidRPr="00BA528E" w14:paraId="11CF8B01" w14:textId="77777777" w:rsidTr="0015273C">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6793DD00"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357</w:t>
            </w:r>
          </w:p>
        </w:tc>
        <w:tc>
          <w:tcPr>
            <w:tcW w:w="9866" w:type="dxa"/>
            <w:tcBorders>
              <w:top w:val="nil"/>
              <w:left w:val="nil"/>
              <w:bottom w:val="single" w:sz="4" w:space="0" w:color="D9D9D9"/>
            </w:tcBorders>
            <w:shd w:val="clear" w:color="auto" w:fill="auto"/>
            <w:vAlign w:val="center"/>
            <w:hideMark/>
          </w:tcPr>
          <w:p w14:paraId="2E922EFB"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SUPERÁVIT FINANCEIRO - INCENTIVO SUAS - UNIÃO</w:t>
            </w:r>
          </w:p>
        </w:tc>
        <w:tc>
          <w:tcPr>
            <w:tcW w:w="970" w:type="dxa"/>
            <w:tcBorders>
              <w:top w:val="nil"/>
              <w:bottom w:val="nil"/>
              <w:right w:val="single" w:sz="4" w:space="0" w:color="auto"/>
            </w:tcBorders>
            <w:shd w:val="clear" w:color="auto" w:fill="auto"/>
            <w:noWrap/>
            <w:vAlign w:val="center"/>
          </w:tcPr>
          <w:p w14:paraId="39210ED4" w14:textId="77777777" w:rsidR="00BA528E" w:rsidRPr="00BA528E" w:rsidRDefault="00BA528E" w:rsidP="0015273C">
            <w:pPr>
              <w:spacing w:after="0" w:line="240" w:lineRule="auto"/>
              <w:jc w:val="center"/>
              <w:rPr>
                <w:rFonts w:ascii="Arial Narrow" w:eastAsia="Times New Roman" w:hAnsi="Arial Narrow" w:cs="Calibri"/>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4442A4F8"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SDF.D575</w:t>
            </w:r>
          </w:p>
        </w:tc>
        <w:tc>
          <w:tcPr>
            <w:tcW w:w="1246" w:type="dxa"/>
            <w:tcBorders>
              <w:top w:val="nil"/>
              <w:left w:val="nil"/>
              <w:bottom w:val="nil"/>
              <w:right w:val="single" w:sz="4" w:space="0" w:color="auto"/>
            </w:tcBorders>
            <w:shd w:val="clear" w:color="auto" w:fill="auto"/>
            <w:noWrap/>
            <w:vAlign w:val="center"/>
            <w:hideMark/>
          </w:tcPr>
          <w:p w14:paraId="4BBFA2A6"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SDF.E575</w:t>
            </w:r>
          </w:p>
        </w:tc>
      </w:tr>
      <w:tr w:rsidR="00BA528E" w:rsidRPr="00BA528E" w14:paraId="5CCBFD03" w14:textId="77777777" w:rsidTr="0015273C">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621470E4"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358</w:t>
            </w:r>
          </w:p>
        </w:tc>
        <w:tc>
          <w:tcPr>
            <w:tcW w:w="9866" w:type="dxa"/>
            <w:tcBorders>
              <w:top w:val="nil"/>
              <w:left w:val="nil"/>
              <w:bottom w:val="single" w:sz="4" w:space="0" w:color="D9D9D9"/>
            </w:tcBorders>
            <w:shd w:val="clear" w:color="auto" w:fill="auto"/>
            <w:vAlign w:val="center"/>
            <w:hideMark/>
          </w:tcPr>
          <w:p w14:paraId="453BB844"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SUPERÁVIT FINANCEIRO - TRANSFERÊNCIAS A MUNICÍPIOS - LEI PELÉ</w:t>
            </w:r>
          </w:p>
        </w:tc>
        <w:tc>
          <w:tcPr>
            <w:tcW w:w="970" w:type="dxa"/>
            <w:tcBorders>
              <w:top w:val="nil"/>
              <w:bottom w:val="nil"/>
              <w:right w:val="single" w:sz="4" w:space="0" w:color="auto"/>
            </w:tcBorders>
            <w:shd w:val="clear" w:color="auto" w:fill="auto"/>
            <w:noWrap/>
            <w:vAlign w:val="center"/>
          </w:tcPr>
          <w:p w14:paraId="1F18CF96" w14:textId="77777777" w:rsidR="00BA528E" w:rsidRPr="00BA528E" w:rsidRDefault="00BA528E" w:rsidP="0015273C">
            <w:pPr>
              <w:spacing w:after="0" w:line="240" w:lineRule="auto"/>
              <w:jc w:val="center"/>
              <w:rPr>
                <w:rFonts w:ascii="Arial Narrow" w:eastAsia="Times New Roman" w:hAnsi="Arial Narrow" w:cs="Calibri"/>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15E080E4"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SDF.D576</w:t>
            </w:r>
          </w:p>
        </w:tc>
        <w:tc>
          <w:tcPr>
            <w:tcW w:w="1246" w:type="dxa"/>
            <w:tcBorders>
              <w:top w:val="nil"/>
              <w:left w:val="nil"/>
              <w:bottom w:val="nil"/>
              <w:right w:val="single" w:sz="4" w:space="0" w:color="auto"/>
            </w:tcBorders>
            <w:shd w:val="clear" w:color="auto" w:fill="auto"/>
            <w:noWrap/>
            <w:vAlign w:val="center"/>
            <w:hideMark/>
          </w:tcPr>
          <w:p w14:paraId="60BD64AC"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SDF.E576</w:t>
            </w:r>
          </w:p>
        </w:tc>
      </w:tr>
      <w:tr w:rsidR="00BA528E" w:rsidRPr="00BA528E" w14:paraId="4AC7666B" w14:textId="77777777" w:rsidTr="0015273C">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18B656D3"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359</w:t>
            </w:r>
          </w:p>
        </w:tc>
        <w:tc>
          <w:tcPr>
            <w:tcW w:w="9866" w:type="dxa"/>
            <w:tcBorders>
              <w:top w:val="nil"/>
              <w:left w:val="nil"/>
              <w:bottom w:val="single" w:sz="4" w:space="0" w:color="D9D9D9"/>
            </w:tcBorders>
            <w:shd w:val="clear" w:color="auto" w:fill="auto"/>
            <w:vAlign w:val="center"/>
            <w:hideMark/>
          </w:tcPr>
          <w:p w14:paraId="262DA45C"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SUPERÁVIT FINANCEIRO - TRANSFERÊNCIAS FINANCEIRAS A FUNDOS</w:t>
            </w:r>
          </w:p>
        </w:tc>
        <w:tc>
          <w:tcPr>
            <w:tcW w:w="970" w:type="dxa"/>
            <w:tcBorders>
              <w:top w:val="nil"/>
              <w:bottom w:val="nil"/>
              <w:right w:val="single" w:sz="4" w:space="0" w:color="auto"/>
            </w:tcBorders>
            <w:shd w:val="clear" w:color="auto" w:fill="auto"/>
            <w:noWrap/>
            <w:vAlign w:val="center"/>
          </w:tcPr>
          <w:p w14:paraId="400730BE" w14:textId="77777777" w:rsidR="00BA528E" w:rsidRPr="00BA528E" w:rsidRDefault="00BA528E" w:rsidP="0015273C">
            <w:pPr>
              <w:spacing w:after="0" w:line="240" w:lineRule="auto"/>
              <w:jc w:val="center"/>
              <w:rPr>
                <w:rFonts w:ascii="Arial Narrow" w:eastAsia="Times New Roman" w:hAnsi="Arial Narrow" w:cs="Calibri"/>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6EE5C243"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SDF.D577</w:t>
            </w:r>
          </w:p>
        </w:tc>
        <w:tc>
          <w:tcPr>
            <w:tcW w:w="1246" w:type="dxa"/>
            <w:tcBorders>
              <w:top w:val="nil"/>
              <w:left w:val="nil"/>
              <w:bottom w:val="nil"/>
              <w:right w:val="single" w:sz="4" w:space="0" w:color="auto"/>
            </w:tcBorders>
            <w:shd w:val="clear" w:color="auto" w:fill="auto"/>
            <w:noWrap/>
            <w:vAlign w:val="center"/>
            <w:hideMark/>
          </w:tcPr>
          <w:p w14:paraId="7F5A6AFD"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SDF.E577</w:t>
            </w:r>
          </w:p>
        </w:tc>
      </w:tr>
      <w:tr w:rsidR="00BA528E" w:rsidRPr="00BA528E" w14:paraId="06725E40" w14:textId="77777777" w:rsidTr="0015273C">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5EB0F01C"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361</w:t>
            </w:r>
          </w:p>
        </w:tc>
        <w:tc>
          <w:tcPr>
            <w:tcW w:w="9866" w:type="dxa"/>
            <w:tcBorders>
              <w:top w:val="nil"/>
              <w:left w:val="nil"/>
              <w:bottom w:val="single" w:sz="4" w:space="0" w:color="D9D9D9"/>
            </w:tcBorders>
            <w:shd w:val="clear" w:color="auto" w:fill="auto"/>
            <w:vAlign w:val="center"/>
            <w:hideMark/>
          </w:tcPr>
          <w:p w14:paraId="44F848D3"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SUPERÁVIT FINANCEIRO - FUNCOP</w:t>
            </w:r>
          </w:p>
        </w:tc>
        <w:tc>
          <w:tcPr>
            <w:tcW w:w="970" w:type="dxa"/>
            <w:tcBorders>
              <w:top w:val="nil"/>
              <w:bottom w:val="nil"/>
              <w:right w:val="single" w:sz="4" w:space="0" w:color="auto"/>
            </w:tcBorders>
            <w:shd w:val="clear" w:color="auto" w:fill="auto"/>
            <w:noWrap/>
            <w:vAlign w:val="center"/>
          </w:tcPr>
          <w:p w14:paraId="040E9AA7" w14:textId="77777777" w:rsidR="00BA528E" w:rsidRPr="00BA528E" w:rsidRDefault="00BA528E" w:rsidP="0015273C">
            <w:pPr>
              <w:spacing w:after="0" w:line="240" w:lineRule="auto"/>
              <w:jc w:val="center"/>
              <w:rPr>
                <w:rFonts w:ascii="Arial Narrow" w:eastAsia="Times New Roman" w:hAnsi="Arial Narrow" w:cs="Calibri"/>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3F4F9D88"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SDF.D578</w:t>
            </w:r>
          </w:p>
        </w:tc>
        <w:tc>
          <w:tcPr>
            <w:tcW w:w="1246" w:type="dxa"/>
            <w:tcBorders>
              <w:top w:val="nil"/>
              <w:left w:val="nil"/>
              <w:bottom w:val="nil"/>
              <w:right w:val="single" w:sz="4" w:space="0" w:color="auto"/>
            </w:tcBorders>
            <w:shd w:val="clear" w:color="auto" w:fill="auto"/>
            <w:noWrap/>
            <w:vAlign w:val="center"/>
            <w:hideMark/>
          </w:tcPr>
          <w:p w14:paraId="6C5B5254"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SDF.E578</w:t>
            </w:r>
          </w:p>
        </w:tc>
      </w:tr>
      <w:tr w:rsidR="00BA528E" w:rsidRPr="00BA528E" w14:paraId="54E45B56" w14:textId="77777777" w:rsidTr="0015273C">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6C9668EE"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363</w:t>
            </w:r>
          </w:p>
        </w:tc>
        <w:tc>
          <w:tcPr>
            <w:tcW w:w="9866" w:type="dxa"/>
            <w:tcBorders>
              <w:top w:val="nil"/>
              <w:left w:val="nil"/>
              <w:bottom w:val="single" w:sz="4" w:space="0" w:color="D9D9D9"/>
            </w:tcBorders>
            <w:shd w:val="clear" w:color="auto" w:fill="auto"/>
            <w:vAlign w:val="center"/>
            <w:hideMark/>
          </w:tcPr>
          <w:p w14:paraId="61446EB1"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SUPERÁVIT FINANCEIRO - RECURSOS LEI PELÉ</w:t>
            </w:r>
          </w:p>
        </w:tc>
        <w:tc>
          <w:tcPr>
            <w:tcW w:w="970" w:type="dxa"/>
            <w:tcBorders>
              <w:top w:val="nil"/>
              <w:bottom w:val="nil"/>
              <w:right w:val="single" w:sz="4" w:space="0" w:color="auto"/>
            </w:tcBorders>
            <w:shd w:val="clear" w:color="auto" w:fill="auto"/>
            <w:noWrap/>
            <w:vAlign w:val="center"/>
          </w:tcPr>
          <w:p w14:paraId="19575C70" w14:textId="77777777" w:rsidR="00BA528E" w:rsidRPr="00BA528E" w:rsidRDefault="00BA528E" w:rsidP="0015273C">
            <w:pPr>
              <w:spacing w:after="0" w:line="240" w:lineRule="auto"/>
              <w:jc w:val="center"/>
              <w:rPr>
                <w:rFonts w:ascii="Arial Narrow" w:eastAsia="Times New Roman" w:hAnsi="Arial Narrow" w:cs="Calibri"/>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4781E9E3"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SDF.D580</w:t>
            </w:r>
          </w:p>
        </w:tc>
        <w:tc>
          <w:tcPr>
            <w:tcW w:w="1246" w:type="dxa"/>
            <w:tcBorders>
              <w:top w:val="nil"/>
              <w:left w:val="nil"/>
              <w:bottom w:val="nil"/>
              <w:right w:val="single" w:sz="4" w:space="0" w:color="auto"/>
            </w:tcBorders>
            <w:shd w:val="clear" w:color="auto" w:fill="auto"/>
            <w:noWrap/>
            <w:vAlign w:val="center"/>
            <w:hideMark/>
          </w:tcPr>
          <w:p w14:paraId="5DF681F4"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SDF.E580</w:t>
            </w:r>
          </w:p>
        </w:tc>
      </w:tr>
      <w:tr w:rsidR="00BA528E" w:rsidRPr="00BA528E" w14:paraId="7F93DC2F" w14:textId="77777777" w:rsidTr="0015273C">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5790C915"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lastRenderedPageBreak/>
              <w:t>364</w:t>
            </w:r>
          </w:p>
        </w:tc>
        <w:tc>
          <w:tcPr>
            <w:tcW w:w="9866" w:type="dxa"/>
            <w:tcBorders>
              <w:top w:val="nil"/>
              <w:left w:val="nil"/>
              <w:bottom w:val="single" w:sz="4" w:space="0" w:color="D9D9D9"/>
            </w:tcBorders>
            <w:shd w:val="clear" w:color="auto" w:fill="auto"/>
            <w:vAlign w:val="center"/>
            <w:hideMark/>
          </w:tcPr>
          <w:p w14:paraId="687F1879"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SUPERÁVIT FINANCEIRO - TRANSFERÊNCIA A MUNICÍPIOS - ROYALTIES</w:t>
            </w:r>
          </w:p>
        </w:tc>
        <w:tc>
          <w:tcPr>
            <w:tcW w:w="970" w:type="dxa"/>
            <w:tcBorders>
              <w:top w:val="nil"/>
              <w:bottom w:val="nil"/>
              <w:right w:val="single" w:sz="4" w:space="0" w:color="auto"/>
            </w:tcBorders>
            <w:shd w:val="clear" w:color="auto" w:fill="auto"/>
            <w:noWrap/>
            <w:vAlign w:val="center"/>
          </w:tcPr>
          <w:p w14:paraId="6EDABEBC" w14:textId="77777777" w:rsidR="00BA528E" w:rsidRPr="00BA528E" w:rsidRDefault="00BA528E" w:rsidP="0015273C">
            <w:pPr>
              <w:spacing w:after="0" w:line="240" w:lineRule="auto"/>
              <w:jc w:val="center"/>
              <w:rPr>
                <w:rFonts w:ascii="Arial Narrow" w:eastAsia="Times New Roman" w:hAnsi="Arial Narrow" w:cs="Calibri"/>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58D417E6"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SDF.D581</w:t>
            </w:r>
          </w:p>
        </w:tc>
        <w:tc>
          <w:tcPr>
            <w:tcW w:w="1246" w:type="dxa"/>
            <w:tcBorders>
              <w:top w:val="nil"/>
              <w:left w:val="nil"/>
              <w:bottom w:val="nil"/>
              <w:right w:val="single" w:sz="4" w:space="0" w:color="auto"/>
            </w:tcBorders>
            <w:shd w:val="clear" w:color="auto" w:fill="auto"/>
            <w:noWrap/>
            <w:vAlign w:val="center"/>
            <w:hideMark/>
          </w:tcPr>
          <w:p w14:paraId="5BA5B815"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SDF.E581</w:t>
            </w:r>
          </w:p>
        </w:tc>
      </w:tr>
      <w:tr w:rsidR="00BA528E" w:rsidRPr="00BA528E" w14:paraId="2268B411" w14:textId="77777777" w:rsidTr="0015273C">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6673001E"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366</w:t>
            </w:r>
          </w:p>
        </w:tc>
        <w:tc>
          <w:tcPr>
            <w:tcW w:w="9866" w:type="dxa"/>
            <w:tcBorders>
              <w:top w:val="nil"/>
              <w:left w:val="nil"/>
              <w:bottom w:val="single" w:sz="4" w:space="0" w:color="D9D9D9"/>
            </w:tcBorders>
            <w:shd w:val="clear" w:color="auto" w:fill="auto"/>
            <w:vAlign w:val="center"/>
            <w:hideMark/>
          </w:tcPr>
          <w:p w14:paraId="64D86147"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SUPERÁVIT FINANCEIRO - PAR</w:t>
            </w:r>
          </w:p>
        </w:tc>
        <w:tc>
          <w:tcPr>
            <w:tcW w:w="970" w:type="dxa"/>
            <w:tcBorders>
              <w:top w:val="nil"/>
              <w:bottom w:val="nil"/>
              <w:right w:val="single" w:sz="4" w:space="0" w:color="auto"/>
            </w:tcBorders>
            <w:shd w:val="clear" w:color="auto" w:fill="auto"/>
            <w:noWrap/>
            <w:vAlign w:val="center"/>
          </w:tcPr>
          <w:p w14:paraId="5C18CD96" w14:textId="77777777" w:rsidR="00BA528E" w:rsidRPr="00BA528E" w:rsidRDefault="00BA528E" w:rsidP="0015273C">
            <w:pPr>
              <w:spacing w:after="0" w:line="240" w:lineRule="auto"/>
              <w:jc w:val="center"/>
              <w:rPr>
                <w:rFonts w:ascii="Arial Narrow" w:eastAsia="Times New Roman" w:hAnsi="Arial Narrow" w:cs="Calibri"/>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3E93E9CE"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SDF.D583</w:t>
            </w:r>
          </w:p>
        </w:tc>
        <w:tc>
          <w:tcPr>
            <w:tcW w:w="1246" w:type="dxa"/>
            <w:tcBorders>
              <w:top w:val="nil"/>
              <w:left w:val="nil"/>
              <w:bottom w:val="nil"/>
              <w:right w:val="single" w:sz="4" w:space="0" w:color="auto"/>
            </w:tcBorders>
            <w:shd w:val="clear" w:color="auto" w:fill="auto"/>
            <w:noWrap/>
            <w:vAlign w:val="center"/>
            <w:hideMark/>
          </w:tcPr>
          <w:p w14:paraId="4B7D5668"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SDF.E583</w:t>
            </w:r>
          </w:p>
        </w:tc>
      </w:tr>
      <w:tr w:rsidR="00BA528E" w:rsidRPr="00BA528E" w14:paraId="55B39A00" w14:textId="77777777" w:rsidTr="0015273C">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25D0B350"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367</w:t>
            </w:r>
          </w:p>
        </w:tc>
        <w:tc>
          <w:tcPr>
            <w:tcW w:w="9866" w:type="dxa"/>
            <w:tcBorders>
              <w:top w:val="nil"/>
              <w:left w:val="nil"/>
              <w:bottom w:val="single" w:sz="4" w:space="0" w:color="D9D9D9"/>
            </w:tcBorders>
            <w:shd w:val="clear" w:color="auto" w:fill="auto"/>
            <w:vAlign w:val="center"/>
            <w:hideMark/>
          </w:tcPr>
          <w:p w14:paraId="527BD44F"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SUPERÁVIT FINANCEIRO - TRANSFERÊNCIAS OBRIGATÓRIAS PARA AÇÕES DE DEFESA CIVIL</w:t>
            </w:r>
          </w:p>
        </w:tc>
        <w:tc>
          <w:tcPr>
            <w:tcW w:w="970" w:type="dxa"/>
            <w:tcBorders>
              <w:top w:val="nil"/>
              <w:right w:val="single" w:sz="4" w:space="0" w:color="auto"/>
            </w:tcBorders>
            <w:shd w:val="clear" w:color="auto" w:fill="auto"/>
            <w:noWrap/>
            <w:vAlign w:val="center"/>
          </w:tcPr>
          <w:p w14:paraId="738CC924" w14:textId="77777777" w:rsidR="00BA528E" w:rsidRPr="00BA528E" w:rsidRDefault="00BA528E" w:rsidP="0015273C">
            <w:pPr>
              <w:spacing w:after="0" w:line="240" w:lineRule="auto"/>
              <w:jc w:val="center"/>
              <w:rPr>
                <w:rFonts w:ascii="Arial Narrow" w:eastAsia="Times New Roman" w:hAnsi="Arial Narrow" w:cs="Calibri"/>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7B0D603D"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SDF.D584</w:t>
            </w:r>
          </w:p>
        </w:tc>
        <w:tc>
          <w:tcPr>
            <w:tcW w:w="1246" w:type="dxa"/>
            <w:tcBorders>
              <w:top w:val="nil"/>
              <w:left w:val="nil"/>
              <w:bottom w:val="nil"/>
              <w:right w:val="single" w:sz="4" w:space="0" w:color="auto"/>
            </w:tcBorders>
            <w:shd w:val="clear" w:color="auto" w:fill="auto"/>
            <w:noWrap/>
            <w:vAlign w:val="center"/>
            <w:hideMark/>
          </w:tcPr>
          <w:p w14:paraId="4B31EF3B"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SDF.E584</w:t>
            </w:r>
          </w:p>
        </w:tc>
      </w:tr>
      <w:tr w:rsidR="00BA528E" w:rsidRPr="00BA528E" w14:paraId="53B37FE0" w14:textId="77777777" w:rsidTr="0015273C">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6627DD98"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671</w:t>
            </w:r>
          </w:p>
        </w:tc>
        <w:tc>
          <w:tcPr>
            <w:tcW w:w="9866" w:type="dxa"/>
            <w:tcBorders>
              <w:top w:val="nil"/>
              <w:left w:val="nil"/>
              <w:bottom w:val="single" w:sz="4" w:space="0" w:color="D9D9D9"/>
            </w:tcBorders>
            <w:shd w:val="clear" w:color="auto" w:fill="auto"/>
            <w:vAlign w:val="center"/>
            <w:hideMark/>
          </w:tcPr>
          <w:p w14:paraId="226D0A21"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SUPERÁVIT FINANCEIRO - ARRECADADO PELO ÓRGÃO</w:t>
            </w:r>
          </w:p>
        </w:tc>
        <w:tc>
          <w:tcPr>
            <w:tcW w:w="970" w:type="dxa"/>
            <w:tcBorders>
              <w:top w:val="nil"/>
              <w:bottom w:val="nil"/>
              <w:right w:val="single" w:sz="4" w:space="0" w:color="auto"/>
            </w:tcBorders>
            <w:shd w:val="clear" w:color="auto" w:fill="auto"/>
            <w:noWrap/>
            <w:vAlign w:val="center"/>
          </w:tcPr>
          <w:p w14:paraId="4C2A5BC5" w14:textId="77777777" w:rsidR="00BA528E" w:rsidRPr="00BA528E" w:rsidRDefault="00BA528E" w:rsidP="0015273C">
            <w:pPr>
              <w:spacing w:after="0" w:line="240" w:lineRule="auto"/>
              <w:jc w:val="center"/>
              <w:rPr>
                <w:rFonts w:ascii="Arial Narrow" w:eastAsia="Times New Roman" w:hAnsi="Arial Narrow" w:cs="Calibri"/>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100F6EDC"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SDF.D587</w:t>
            </w:r>
          </w:p>
        </w:tc>
        <w:tc>
          <w:tcPr>
            <w:tcW w:w="1246" w:type="dxa"/>
            <w:tcBorders>
              <w:top w:val="nil"/>
              <w:left w:val="nil"/>
              <w:bottom w:val="nil"/>
              <w:right w:val="single" w:sz="4" w:space="0" w:color="auto"/>
            </w:tcBorders>
            <w:shd w:val="clear" w:color="auto" w:fill="auto"/>
            <w:noWrap/>
            <w:vAlign w:val="center"/>
            <w:hideMark/>
          </w:tcPr>
          <w:p w14:paraId="3B1C9CAE"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SDF.E587</w:t>
            </w:r>
          </w:p>
        </w:tc>
      </w:tr>
      <w:tr w:rsidR="00BA528E" w:rsidRPr="00BA528E" w14:paraId="193C569F" w14:textId="77777777" w:rsidTr="0015273C">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283D84DA"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672</w:t>
            </w:r>
          </w:p>
        </w:tc>
        <w:tc>
          <w:tcPr>
            <w:tcW w:w="9866" w:type="dxa"/>
            <w:tcBorders>
              <w:top w:val="nil"/>
              <w:left w:val="nil"/>
              <w:bottom w:val="single" w:sz="4" w:space="0" w:color="D9D9D9"/>
            </w:tcBorders>
            <w:shd w:val="clear" w:color="auto" w:fill="auto"/>
            <w:vAlign w:val="center"/>
            <w:hideMark/>
          </w:tcPr>
          <w:p w14:paraId="5B1E55D1"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SUPERÁVIT FINANCEIRO - CONVÊNIOS COM ÓRGÃOS FEDERAIS</w:t>
            </w:r>
          </w:p>
        </w:tc>
        <w:tc>
          <w:tcPr>
            <w:tcW w:w="970" w:type="dxa"/>
            <w:tcBorders>
              <w:top w:val="nil"/>
              <w:bottom w:val="nil"/>
              <w:right w:val="single" w:sz="4" w:space="0" w:color="auto"/>
            </w:tcBorders>
            <w:shd w:val="clear" w:color="auto" w:fill="auto"/>
            <w:noWrap/>
            <w:vAlign w:val="center"/>
          </w:tcPr>
          <w:p w14:paraId="35CF1CBA" w14:textId="77777777" w:rsidR="00BA528E" w:rsidRPr="00BA528E" w:rsidRDefault="00BA528E" w:rsidP="0015273C">
            <w:pPr>
              <w:spacing w:after="0" w:line="240" w:lineRule="auto"/>
              <w:jc w:val="center"/>
              <w:rPr>
                <w:rFonts w:ascii="Arial Narrow" w:eastAsia="Times New Roman" w:hAnsi="Arial Narrow" w:cs="Calibri"/>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658DD154"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SDF.D588</w:t>
            </w:r>
          </w:p>
        </w:tc>
        <w:tc>
          <w:tcPr>
            <w:tcW w:w="1246" w:type="dxa"/>
            <w:tcBorders>
              <w:top w:val="nil"/>
              <w:left w:val="nil"/>
              <w:bottom w:val="nil"/>
              <w:right w:val="single" w:sz="4" w:space="0" w:color="auto"/>
            </w:tcBorders>
            <w:shd w:val="clear" w:color="auto" w:fill="auto"/>
            <w:noWrap/>
            <w:vAlign w:val="center"/>
            <w:hideMark/>
          </w:tcPr>
          <w:p w14:paraId="0CA4617B"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SDF.E588</w:t>
            </w:r>
          </w:p>
        </w:tc>
      </w:tr>
      <w:tr w:rsidR="00BA528E" w:rsidRPr="00BA528E" w14:paraId="7D1911A3" w14:textId="77777777" w:rsidTr="0015273C">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3AD3C84F"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673</w:t>
            </w:r>
          </w:p>
        </w:tc>
        <w:tc>
          <w:tcPr>
            <w:tcW w:w="9866" w:type="dxa"/>
            <w:tcBorders>
              <w:top w:val="nil"/>
              <w:left w:val="nil"/>
              <w:bottom w:val="single" w:sz="4" w:space="0" w:color="D9D9D9"/>
            </w:tcBorders>
            <w:shd w:val="clear" w:color="auto" w:fill="auto"/>
            <w:vAlign w:val="center"/>
            <w:hideMark/>
          </w:tcPr>
          <w:p w14:paraId="69B86187"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SUPERÁVIT FINANCEIRO - CONVÊNIOS COM ÓRGÃOS NÃO FEDERAIS</w:t>
            </w:r>
          </w:p>
        </w:tc>
        <w:tc>
          <w:tcPr>
            <w:tcW w:w="970" w:type="dxa"/>
            <w:tcBorders>
              <w:top w:val="nil"/>
              <w:bottom w:val="nil"/>
              <w:right w:val="single" w:sz="4" w:space="0" w:color="auto"/>
            </w:tcBorders>
            <w:shd w:val="clear" w:color="auto" w:fill="auto"/>
            <w:noWrap/>
            <w:vAlign w:val="center"/>
          </w:tcPr>
          <w:p w14:paraId="61826849" w14:textId="77777777" w:rsidR="00BA528E" w:rsidRPr="00BA528E" w:rsidRDefault="00BA528E" w:rsidP="0015273C">
            <w:pPr>
              <w:spacing w:after="0" w:line="240" w:lineRule="auto"/>
              <w:jc w:val="center"/>
              <w:rPr>
                <w:rFonts w:ascii="Arial Narrow" w:eastAsia="Times New Roman" w:hAnsi="Arial Narrow" w:cs="Calibri"/>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62E7961A"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SDF.D589</w:t>
            </w:r>
          </w:p>
        </w:tc>
        <w:tc>
          <w:tcPr>
            <w:tcW w:w="1246" w:type="dxa"/>
            <w:tcBorders>
              <w:top w:val="nil"/>
              <w:left w:val="nil"/>
              <w:bottom w:val="nil"/>
              <w:right w:val="single" w:sz="4" w:space="0" w:color="auto"/>
            </w:tcBorders>
            <w:shd w:val="clear" w:color="auto" w:fill="auto"/>
            <w:noWrap/>
            <w:vAlign w:val="center"/>
            <w:hideMark/>
          </w:tcPr>
          <w:p w14:paraId="69765EA0"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SDF.E589</w:t>
            </w:r>
          </w:p>
        </w:tc>
      </w:tr>
      <w:tr w:rsidR="00BA528E" w:rsidRPr="00BA528E" w14:paraId="371DB491" w14:textId="77777777" w:rsidTr="0015273C">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45C6A189"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674</w:t>
            </w:r>
          </w:p>
        </w:tc>
        <w:tc>
          <w:tcPr>
            <w:tcW w:w="9866" w:type="dxa"/>
            <w:tcBorders>
              <w:top w:val="nil"/>
              <w:left w:val="nil"/>
            </w:tcBorders>
            <w:shd w:val="clear" w:color="auto" w:fill="auto"/>
            <w:vAlign w:val="center"/>
            <w:hideMark/>
          </w:tcPr>
          <w:p w14:paraId="702FE067"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SUPERÁVIT FINANCEIRO - TRANSFERÊNCIAS DE INSTITUIÇÕES PRIVADAS</w:t>
            </w:r>
          </w:p>
        </w:tc>
        <w:tc>
          <w:tcPr>
            <w:tcW w:w="970" w:type="dxa"/>
            <w:tcBorders>
              <w:top w:val="nil"/>
              <w:bottom w:val="nil"/>
              <w:right w:val="single" w:sz="4" w:space="0" w:color="auto"/>
            </w:tcBorders>
            <w:shd w:val="clear" w:color="auto" w:fill="auto"/>
            <w:noWrap/>
            <w:vAlign w:val="center"/>
          </w:tcPr>
          <w:p w14:paraId="77C0D53D" w14:textId="77777777" w:rsidR="00BA528E" w:rsidRPr="00BA528E" w:rsidRDefault="00BA528E" w:rsidP="0015273C">
            <w:pPr>
              <w:spacing w:after="0" w:line="240" w:lineRule="auto"/>
              <w:jc w:val="center"/>
              <w:rPr>
                <w:rFonts w:ascii="Arial Narrow" w:eastAsia="Times New Roman" w:hAnsi="Arial Narrow" w:cs="Calibri"/>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3BC16EE2"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SDF.D590</w:t>
            </w:r>
          </w:p>
        </w:tc>
        <w:tc>
          <w:tcPr>
            <w:tcW w:w="1246" w:type="dxa"/>
            <w:tcBorders>
              <w:top w:val="nil"/>
              <w:left w:val="nil"/>
              <w:bottom w:val="nil"/>
              <w:right w:val="single" w:sz="4" w:space="0" w:color="auto"/>
            </w:tcBorders>
            <w:shd w:val="clear" w:color="auto" w:fill="auto"/>
            <w:noWrap/>
            <w:vAlign w:val="center"/>
            <w:hideMark/>
          </w:tcPr>
          <w:p w14:paraId="06C7B955"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SDF.E590</w:t>
            </w:r>
          </w:p>
        </w:tc>
      </w:tr>
      <w:tr w:rsidR="00BA528E" w:rsidRPr="00BA528E" w14:paraId="29CD7D7D" w14:textId="77777777" w:rsidTr="0015273C">
        <w:trPr>
          <w:trHeight w:val="302"/>
        </w:trPr>
        <w:tc>
          <w:tcPr>
            <w:tcW w:w="938" w:type="dxa"/>
            <w:tcBorders>
              <w:top w:val="nil"/>
              <w:left w:val="single" w:sz="4" w:space="0" w:color="auto"/>
              <w:bottom w:val="nil"/>
              <w:right w:val="single" w:sz="4" w:space="0" w:color="auto"/>
            </w:tcBorders>
            <w:shd w:val="clear" w:color="auto" w:fill="auto"/>
            <w:vAlign w:val="center"/>
            <w:hideMark/>
          </w:tcPr>
          <w:p w14:paraId="09A4EB7B"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675</w:t>
            </w:r>
          </w:p>
        </w:tc>
        <w:tc>
          <w:tcPr>
            <w:tcW w:w="9866" w:type="dxa"/>
            <w:tcBorders>
              <w:left w:val="nil"/>
              <w:bottom w:val="nil"/>
            </w:tcBorders>
            <w:shd w:val="clear" w:color="auto" w:fill="auto"/>
            <w:vAlign w:val="center"/>
            <w:hideMark/>
          </w:tcPr>
          <w:p w14:paraId="16EA8821" w14:textId="77777777" w:rsidR="00BA528E" w:rsidRPr="00BA528E" w:rsidRDefault="00BA528E" w:rsidP="0015273C">
            <w:pPr>
              <w:spacing w:after="0" w:line="240" w:lineRule="auto"/>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SUPERÁVIT FINANCEIRO - OUTRAS TRANSFERÊNCIAS DA UNIÃO</w:t>
            </w:r>
          </w:p>
        </w:tc>
        <w:tc>
          <w:tcPr>
            <w:tcW w:w="970" w:type="dxa"/>
            <w:tcBorders>
              <w:top w:val="nil"/>
              <w:bottom w:val="nil"/>
              <w:right w:val="single" w:sz="4" w:space="0" w:color="auto"/>
            </w:tcBorders>
            <w:shd w:val="clear" w:color="auto" w:fill="auto"/>
            <w:noWrap/>
            <w:vAlign w:val="center"/>
          </w:tcPr>
          <w:p w14:paraId="3E75278A" w14:textId="77777777" w:rsidR="00BA528E" w:rsidRPr="00BA528E" w:rsidRDefault="00BA528E" w:rsidP="0015273C">
            <w:pPr>
              <w:spacing w:after="0" w:line="240" w:lineRule="auto"/>
              <w:jc w:val="center"/>
              <w:rPr>
                <w:rFonts w:ascii="Arial Narrow" w:eastAsia="Times New Roman" w:hAnsi="Arial Narrow" w:cs="Calibri"/>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2F7AB2E6"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SDF.D591</w:t>
            </w:r>
          </w:p>
        </w:tc>
        <w:tc>
          <w:tcPr>
            <w:tcW w:w="1246" w:type="dxa"/>
            <w:tcBorders>
              <w:top w:val="nil"/>
              <w:left w:val="nil"/>
              <w:bottom w:val="nil"/>
              <w:right w:val="single" w:sz="4" w:space="0" w:color="auto"/>
            </w:tcBorders>
            <w:shd w:val="clear" w:color="auto" w:fill="auto"/>
            <w:noWrap/>
            <w:vAlign w:val="center"/>
            <w:hideMark/>
          </w:tcPr>
          <w:p w14:paraId="112DEC43" w14:textId="77777777" w:rsidR="00BA528E" w:rsidRPr="00BA528E" w:rsidRDefault="00BA528E" w:rsidP="0015273C">
            <w:pPr>
              <w:spacing w:after="0" w:line="240" w:lineRule="auto"/>
              <w:jc w:val="center"/>
              <w:rPr>
                <w:rFonts w:ascii="Arial Narrow" w:eastAsia="Times New Roman" w:hAnsi="Arial Narrow" w:cs="Arial"/>
                <w:sz w:val="16"/>
                <w:szCs w:val="16"/>
                <w:lang w:eastAsia="pt-BR"/>
              </w:rPr>
            </w:pPr>
            <w:r w:rsidRPr="00BA528E">
              <w:rPr>
                <w:rFonts w:ascii="Arial Narrow" w:eastAsia="Times New Roman" w:hAnsi="Arial Narrow" w:cs="Arial"/>
                <w:sz w:val="16"/>
                <w:szCs w:val="16"/>
                <w:lang w:eastAsia="pt-BR"/>
              </w:rPr>
              <w:t>SDF.E591</w:t>
            </w:r>
          </w:p>
        </w:tc>
      </w:tr>
      <w:tr w:rsidR="00BA528E" w:rsidRPr="00BA528E" w14:paraId="2EAEE5C8" w14:textId="77777777" w:rsidTr="0015273C">
        <w:trPr>
          <w:trHeight w:val="302"/>
        </w:trPr>
        <w:tc>
          <w:tcPr>
            <w:tcW w:w="10804" w:type="dxa"/>
            <w:gridSpan w:val="2"/>
            <w:tcBorders>
              <w:top w:val="single" w:sz="4" w:space="0" w:color="auto"/>
              <w:left w:val="single" w:sz="4" w:space="0" w:color="auto"/>
            </w:tcBorders>
            <w:shd w:val="clear" w:color="000000" w:fill="D9D9D9"/>
            <w:noWrap/>
            <w:vAlign w:val="center"/>
            <w:hideMark/>
          </w:tcPr>
          <w:p w14:paraId="4B53F243" w14:textId="77777777" w:rsidR="00BA528E" w:rsidRPr="00BA528E" w:rsidRDefault="00BA528E" w:rsidP="0015273C">
            <w:pPr>
              <w:spacing w:after="0" w:line="240" w:lineRule="auto"/>
              <w:rPr>
                <w:rFonts w:ascii="Arial Narrow" w:eastAsia="Times New Roman" w:hAnsi="Arial Narrow" w:cs="Calibri"/>
                <w:b/>
                <w:bCs/>
                <w:sz w:val="16"/>
                <w:szCs w:val="16"/>
                <w:lang w:eastAsia="pt-BR"/>
              </w:rPr>
            </w:pPr>
            <w:r w:rsidRPr="00BA528E">
              <w:rPr>
                <w:rFonts w:ascii="Arial Narrow" w:eastAsia="Times New Roman" w:hAnsi="Arial Narrow" w:cs="Calibri"/>
                <w:b/>
                <w:bCs/>
                <w:sz w:val="16"/>
                <w:szCs w:val="16"/>
                <w:lang w:eastAsia="pt-BR"/>
              </w:rPr>
              <w:t>TOTAL DAS FONTES</w:t>
            </w:r>
          </w:p>
        </w:tc>
        <w:tc>
          <w:tcPr>
            <w:tcW w:w="970" w:type="dxa"/>
            <w:tcBorders>
              <w:top w:val="single" w:sz="4" w:space="0" w:color="auto"/>
              <w:right w:val="single" w:sz="4" w:space="0" w:color="auto"/>
            </w:tcBorders>
            <w:shd w:val="clear" w:color="000000" w:fill="D9D9D9"/>
            <w:noWrap/>
            <w:vAlign w:val="center"/>
          </w:tcPr>
          <w:p w14:paraId="6E81C39D" w14:textId="77777777" w:rsidR="00BA528E" w:rsidRPr="00BA528E" w:rsidRDefault="00BA528E" w:rsidP="0015273C">
            <w:pPr>
              <w:spacing w:after="0" w:line="240" w:lineRule="auto"/>
              <w:jc w:val="center"/>
              <w:rPr>
                <w:rFonts w:ascii="Arial Narrow" w:eastAsia="Times New Roman" w:hAnsi="Arial Narrow" w:cs="Calibri"/>
                <w:b/>
                <w:bCs/>
                <w:sz w:val="16"/>
                <w:szCs w:val="16"/>
                <w:lang w:eastAsia="pt-BR"/>
              </w:rPr>
            </w:pPr>
          </w:p>
        </w:tc>
        <w:tc>
          <w:tcPr>
            <w:tcW w:w="1386" w:type="dxa"/>
            <w:tcBorders>
              <w:top w:val="single" w:sz="4" w:space="0" w:color="auto"/>
              <w:left w:val="nil"/>
              <w:right w:val="single" w:sz="4" w:space="0" w:color="auto"/>
            </w:tcBorders>
            <w:shd w:val="clear" w:color="000000" w:fill="D9D9D9"/>
            <w:noWrap/>
            <w:vAlign w:val="center"/>
            <w:hideMark/>
          </w:tcPr>
          <w:p w14:paraId="033A3E9F" w14:textId="77777777" w:rsidR="00BA528E" w:rsidRPr="00BA528E" w:rsidRDefault="00BA528E" w:rsidP="0015273C">
            <w:pPr>
              <w:spacing w:after="0" w:line="240" w:lineRule="auto"/>
              <w:jc w:val="center"/>
              <w:rPr>
                <w:rFonts w:ascii="Arial Narrow" w:eastAsia="Times New Roman" w:hAnsi="Arial Narrow" w:cs="Arial"/>
                <w:b/>
                <w:bCs/>
                <w:sz w:val="16"/>
                <w:szCs w:val="16"/>
                <w:lang w:eastAsia="pt-BR"/>
              </w:rPr>
            </w:pPr>
            <w:r w:rsidRPr="00BA528E">
              <w:rPr>
                <w:rFonts w:ascii="Arial Narrow" w:eastAsia="Times New Roman" w:hAnsi="Arial Narrow" w:cs="Arial"/>
                <w:b/>
                <w:bCs/>
                <w:sz w:val="16"/>
                <w:szCs w:val="16"/>
                <w:lang w:eastAsia="pt-BR"/>
              </w:rPr>
              <w:t>SDF.D046</w:t>
            </w:r>
          </w:p>
        </w:tc>
        <w:tc>
          <w:tcPr>
            <w:tcW w:w="1246" w:type="dxa"/>
            <w:tcBorders>
              <w:top w:val="single" w:sz="4" w:space="0" w:color="auto"/>
              <w:left w:val="nil"/>
              <w:right w:val="single" w:sz="4" w:space="0" w:color="auto"/>
            </w:tcBorders>
            <w:shd w:val="clear" w:color="000000" w:fill="D9D9D9"/>
            <w:noWrap/>
            <w:vAlign w:val="center"/>
            <w:hideMark/>
          </w:tcPr>
          <w:p w14:paraId="6C81127B" w14:textId="77777777" w:rsidR="00BA528E" w:rsidRPr="00BA528E" w:rsidRDefault="00BA528E" w:rsidP="0015273C">
            <w:pPr>
              <w:spacing w:after="0" w:line="240" w:lineRule="auto"/>
              <w:jc w:val="center"/>
              <w:rPr>
                <w:rFonts w:ascii="Arial Narrow" w:eastAsia="Times New Roman" w:hAnsi="Arial Narrow" w:cs="Arial"/>
                <w:b/>
                <w:bCs/>
                <w:sz w:val="16"/>
                <w:szCs w:val="16"/>
                <w:lang w:eastAsia="pt-BR"/>
              </w:rPr>
            </w:pPr>
            <w:r w:rsidRPr="00BA528E">
              <w:rPr>
                <w:rFonts w:ascii="Arial Narrow" w:eastAsia="Times New Roman" w:hAnsi="Arial Narrow" w:cs="Arial"/>
                <w:b/>
                <w:bCs/>
                <w:sz w:val="16"/>
                <w:szCs w:val="16"/>
                <w:lang w:eastAsia="pt-BR"/>
              </w:rPr>
              <w:t>SDF.E046</w:t>
            </w:r>
          </w:p>
        </w:tc>
      </w:tr>
    </w:tbl>
    <w:p w14:paraId="63EEF376" w14:textId="77777777" w:rsidR="00B95175" w:rsidRPr="00C51713" w:rsidRDefault="00B95175" w:rsidP="00C51713">
      <w:pPr>
        <w:spacing w:after="0" w:line="240" w:lineRule="auto"/>
        <w:jc w:val="center"/>
        <w:rPr>
          <w:rFonts w:ascii="Arial" w:eastAsia="Times New Roman" w:hAnsi="Arial" w:cs="Arial"/>
          <w:b/>
          <w:bCs/>
          <w:lang w:eastAsia="pt-BR"/>
        </w:rPr>
      </w:pPr>
    </w:p>
    <w:p w14:paraId="72A4A1A0" w14:textId="77777777" w:rsidR="00C51713" w:rsidRPr="00C51713" w:rsidRDefault="00C51713" w:rsidP="00C51713">
      <w:pPr>
        <w:tabs>
          <w:tab w:val="left" w:pos="12350"/>
        </w:tabs>
        <w:spacing w:after="0" w:line="240" w:lineRule="auto"/>
        <w:ind w:left="55"/>
        <w:rPr>
          <w:rFonts w:ascii="Arial" w:eastAsia="Times New Roman" w:hAnsi="Arial" w:cs="Arial"/>
          <w:b/>
          <w:bCs/>
          <w:sz w:val="16"/>
          <w:szCs w:val="16"/>
          <w:lang w:eastAsia="pt-BR"/>
        </w:rPr>
      </w:pPr>
      <w:r w:rsidRPr="00C51713">
        <w:rPr>
          <w:rFonts w:ascii="Arial Narrow" w:eastAsia="Times New Roman" w:hAnsi="Arial Narrow" w:cs="Arial"/>
          <w:b/>
          <w:bCs/>
          <w:lang w:eastAsia="pt-BR"/>
        </w:rPr>
        <w:tab/>
      </w:r>
    </w:p>
    <w:p w14:paraId="1CD1B7D5" w14:textId="77777777" w:rsidR="00C51713" w:rsidRDefault="00C51713" w:rsidP="00FA1F55">
      <w:pPr>
        <w:spacing w:after="0" w:line="360" w:lineRule="auto"/>
        <w:jc w:val="both"/>
        <w:rPr>
          <w:rFonts w:ascii="Arial" w:hAnsi="Arial"/>
          <w:b/>
        </w:rPr>
      </w:pPr>
    </w:p>
    <w:p w14:paraId="34862851" w14:textId="77777777" w:rsidR="00FA1F55" w:rsidRPr="00FA1F55" w:rsidRDefault="00FA1F55" w:rsidP="00FA1F55">
      <w:pPr>
        <w:spacing w:after="0" w:line="360" w:lineRule="auto"/>
        <w:jc w:val="both"/>
        <w:rPr>
          <w:rFonts w:ascii="Arial" w:hAnsi="Arial"/>
          <w:b/>
        </w:rPr>
      </w:pPr>
      <w:r w:rsidRPr="00FA1F55">
        <w:rPr>
          <w:rFonts w:ascii="Arial" w:hAnsi="Arial"/>
          <w:b/>
        </w:rPr>
        <w:t>Observações:</w:t>
      </w:r>
    </w:p>
    <w:p w14:paraId="19C57F46" w14:textId="77777777" w:rsidR="00FA1F55" w:rsidRPr="00FA1F55" w:rsidRDefault="00FA1F55" w:rsidP="00FA1F55">
      <w:pPr>
        <w:jc w:val="both"/>
        <w:rPr>
          <w:rFonts w:ascii="Arial" w:hAnsi="Arial"/>
        </w:rPr>
      </w:pPr>
      <w:r w:rsidRPr="00FA1F55">
        <w:rPr>
          <w:rFonts w:ascii="Arial" w:hAnsi="Arial"/>
        </w:rPr>
        <w:t>1. A elaboração do Demonstrativo do Superávit/Déficit Financeiro apurado no Balanço Patrimonial seguirá a metodologia especificada na IPC 04 (Instruções de Procedimentos Contábeis </w:t>
      </w:r>
      <w:r w:rsidRPr="00FA1F55">
        <w:rPr>
          <w:rFonts w:ascii="Arial" w:hAnsi="Arial"/>
        </w:rPr>
        <w:noBreakHyphen/>
        <w:t xml:space="preserve"> STN) observada os códigos e os nomes constantes no Quadro de Fontes de Recursos de acordo com a Tabela Auxiliar 1.2: Código de Especificação das Fontes/Destinação de Recursos (CDR), </w:t>
      </w:r>
      <w:r w:rsidR="00A9502A">
        <w:rPr>
          <w:rFonts w:ascii="Arial" w:hAnsi="Arial"/>
        </w:rPr>
        <w:t xml:space="preserve">constante do Anexo IV da presente </w:t>
      </w:r>
      <w:r w:rsidRPr="00FA1F55">
        <w:rPr>
          <w:rFonts w:ascii="Arial" w:hAnsi="Arial"/>
        </w:rPr>
        <w:t>Instrução Normativa.</w:t>
      </w:r>
    </w:p>
    <w:p w14:paraId="48B05DB9" w14:textId="77777777" w:rsidR="00FA1F55" w:rsidRPr="00FA1F55" w:rsidRDefault="00FA1F55" w:rsidP="00FA1F55">
      <w:pPr>
        <w:jc w:val="both"/>
        <w:rPr>
          <w:rFonts w:ascii="Arial" w:hAnsi="Arial"/>
        </w:rPr>
      </w:pPr>
      <w:r w:rsidRPr="00FA1F55">
        <w:rPr>
          <w:rFonts w:ascii="Arial" w:hAnsi="Arial"/>
        </w:rPr>
        <w:t>2. Os valores Deficitários deverão ser apresentados como valores negativos, portanto os valores das colunas Exercício Atual e Exercício Anterior admitirão valores negativos.</w:t>
      </w:r>
    </w:p>
    <w:p w14:paraId="31084C03" w14:textId="77777777" w:rsidR="009548D7" w:rsidRPr="009548D7" w:rsidRDefault="009548D7" w:rsidP="009548D7">
      <w:pPr>
        <w:keepNext/>
        <w:spacing w:after="0" w:line="240" w:lineRule="auto"/>
        <w:rPr>
          <w:rFonts w:ascii="Arial" w:hAnsi="Arial" w:cs="Arial"/>
          <w:b/>
          <w:bCs/>
          <w:sz w:val="20"/>
          <w:szCs w:val="20"/>
        </w:rPr>
        <w:sectPr w:rsidR="009548D7" w:rsidRPr="009548D7" w:rsidSect="00E7482B">
          <w:pgSz w:w="16838" w:h="11906" w:orient="landscape"/>
          <w:pgMar w:top="1701" w:right="1418" w:bottom="1701" w:left="1418" w:header="709" w:footer="709" w:gutter="0"/>
          <w:cols w:space="708"/>
          <w:docGrid w:linePitch="360"/>
        </w:sectPr>
      </w:pPr>
    </w:p>
    <w:p w14:paraId="2658E5B5" w14:textId="7B17E1C6" w:rsidR="00FA1F55" w:rsidRPr="00FA1F55" w:rsidRDefault="00FA1F55" w:rsidP="00A60EA7">
      <w:pPr>
        <w:pStyle w:val="Ttulo3"/>
      </w:pPr>
      <w:bookmarkStart w:id="33" w:name="_Toc94806310"/>
      <w:r w:rsidRPr="00FA1F55">
        <w:lastRenderedPageBreak/>
        <w:t>DEMVAP.XML (ou DemonstrativoVariacaoPatrimonial.xml)</w:t>
      </w:r>
      <w:bookmarkEnd w:id="33"/>
    </w:p>
    <w:p w14:paraId="3B7129B2" w14:textId="77777777" w:rsidR="00FA1F55" w:rsidRPr="00FA1F55" w:rsidRDefault="00FA1F55" w:rsidP="00FA1F55">
      <w:pPr>
        <w:spacing w:after="0" w:line="360" w:lineRule="auto"/>
        <w:jc w:val="both"/>
        <w:rPr>
          <w:rFonts w:ascii="Arial" w:hAnsi="Arial"/>
        </w:rPr>
      </w:pPr>
      <w:r w:rsidRPr="00FA1F55">
        <w:rPr>
          <w:rFonts w:ascii="Arial" w:hAnsi="Arial"/>
          <w:b/>
          <w:bCs/>
        </w:rPr>
        <w:t>Descrição: </w:t>
      </w:r>
      <w:r w:rsidRPr="00FA1F55">
        <w:rPr>
          <w:rFonts w:ascii="Arial" w:hAnsi="Arial"/>
        </w:rPr>
        <w:t xml:space="preserve">Este arquivo conterá os dados referentes </w:t>
      </w:r>
      <w:r w:rsidR="003445FB">
        <w:rPr>
          <w:rFonts w:ascii="Arial" w:hAnsi="Arial"/>
        </w:rPr>
        <w:t>à</w:t>
      </w:r>
      <w:r w:rsidRPr="00FA1F55">
        <w:rPr>
          <w:rFonts w:ascii="Arial" w:hAnsi="Arial"/>
        </w:rPr>
        <w:t xml:space="preserve"> Demonstração das Variações Patrimoniais (Anexo 15 Lei 4.320/1964) da Prestação de Contas Anual dos respectivos responsáveis pelo encaminhamento ao TCEES</w:t>
      </w:r>
      <w:r w:rsidR="003445FB">
        <w:rPr>
          <w:rFonts w:ascii="Arial" w:hAnsi="Arial"/>
        </w:rPr>
        <w:t>.</w:t>
      </w:r>
    </w:p>
    <w:p w14:paraId="7F595C70" w14:textId="77777777" w:rsidR="00FA1F55" w:rsidRPr="00FA1F55" w:rsidRDefault="00FA1F55" w:rsidP="00FA1F55">
      <w:pPr>
        <w:spacing w:after="0" w:line="360" w:lineRule="auto"/>
        <w:jc w:val="both"/>
        <w:rPr>
          <w:rFonts w:ascii="Arial" w:hAnsi="Arial"/>
          <w:b/>
          <w:bCs/>
        </w:rPr>
      </w:pPr>
    </w:p>
    <w:p w14:paraId="223C3F88" w14:textId="77777777" w:rsidR="00FA1F55" w:rsidRPr="00FA1F55" w:rsidRDefault="00FA1F55" w:rsidP="00FA1F55">
      <w:pPr>
        <w:spacing w:after="0" w:line="360" w:lineRule="auto"/>
        <w:jc w:val="both"/>
        <w:rPr>
          <w:rFonts w:ascii="Arial" w:hAnsi="Arial"/>
          <w:b/>
          <w:bCs/>
        </w:rPr>
      </w:pPr>
      <w:r w:rsidRPr="00FA1F55">
        <w:rPr>
          <w:rFonts w:ascii="Arial" w:hAnsi="Arial"/>
          <w:b/>
          <w:bCs/>
        </w:rPr>
        <w:t>Estrutura:</w:t>
      </w:r>
    </w:p>
    <w:p w14:paraId="7C5E0E35" w14:textId="77777777" w:rsidR="00FA1F55" w:rsidRPr="00FA1F55" w:rsidRDefault="00FA1F55" w:rsidP="00FA1F55">
      <w:pPr>
        <w:autoSpaceDE w:val="0"/>
        <w:autoSpaceDN w:val="0"/>
        <w:adjustRightInd w:val="0"/>
        <w:spacing w:after="0" w:line="240" w:lineRule="auto"/>
        <w:jc w:val="both"/>
        <w:rPr>
          <w:rFonts w:ascii="Arial" w:hAnsi="Arial" w:cs="Arial"/>
          <w:sz w:val="20"/>
          <w:szCs w:val="20"/>
        </w:rPr>
      </w:pPr>
      <w:r w:rsidRPr="00FA1F55">
        <w:rPr>
          <w:rFonts w:ascii="Arial" w:hAnsi="Arial" w:cs="Arial"/>
          <w:sz w:val="20"/>
          <w:szCs w:val="20"/>
          <w:lang w:eastAsia="pt-BR"/>
        </w:rPr>
        <w:t xml:space="preserve">&lt;?xml version="1.0" </w:t>
      </w:r>
      <w:r w:rsidRPr="00FA1F55">
        <w:rPr>
          <w:rFonts w:ascii="Arial" w:hAnsi="Arial" w:cs="Arial"/>
          <w:sz w:val="20"/>
          <w:szCs w:val="20"/>
        </w:rPr>
        <w:t>encoding=“UTF-8”?&gt;</w:t>
      </w:r>
    </w:p>
    <w:p w14:paraId="3F54043C" w14:textId="77777777" w:rsidR="00FA1F55" w:rsidRPr="00FA1F55" w:rsidRDefault="00FA1F55" w:rsidP="00FA1F55">
      <w:pPr>
        <w:spacing w:after="0" w:line="240" w:lineRule="auto"/>
        <w:ind w:right="600"/>
        <w:jc w:val="both"/>
        <w:rPr>
          <w:rFonts w:ascii="Arial" w:hAnsi="Arial" w:cs="Arial"/>
          <w:sz w:val="20"/>
          <w:szCs w:val="20"/>
          <w:lang w:eastAsia="pt-BR"/>
        </w:rPr>
      </w:pPr>
      <w:r w:rsidRPr="00FA1F55">
        <w:rPr>
          <w:rFonts w:ascii="Arial" w:hAnsi="Arial" w:cs="Arial"/>
          <w:sz w:val="20"/>
          <w:szCs w:val="20"/>
          <w:lang w:eastAsia="pt-BR"/>
        </w:rPr>
        <w:t>&lt;PrestacaoContasAnual&gt;</w:t>
      </w:r>
    </w:p>
    <w:p w14:paraId="15334ABD" w14:textId="77777777" w:rsidR="00FA1F55" w:rsidRPr="00FA1F55" w:rsidRDefault="00FA1F55" w:rsidP="00FA1F55">
      <w:pPr>
        <w:spacing w:after="0" w:line="240" w:lineRule="auto"/>
        <w:ind w:right="600" w:firstLine="708"/>
        <w:jc w:val="both"/>
        <w:rPr>
          <w:rFonts w:ascii="Arial" w:hAnsi="Arial" w:cs="Arial"/>
          <w:sz w:val="20"/>
          <w:szCs w:val="20"/>
          <w:lang w:eastAsia="pt-BR"/>
        </w:rPr>
      </w:pPr>
      <w:r w:rsidRPr="00FA1F55">
        <w:rPr>
          <w:rFonts w:ascii="Arial" w:hAnsi="Arial" w:cs="Arial"/>
          <w:sz w:val="20"/>
          <w:szCs w:val="20"/>
          <w:lang w:eastAsia="pt-BR"/>
        </w:rPr>
        <w:t>&lt;DemonstrativoVariacaoPatrimonial_Schema&gt;</w:t>
      </w:r>
    </w:p>
    <w:p w14:paraId="6BC6FF70" w14:textId="77777777" w:rsidR="00FA1F55" w:rsidRPr="00FA1F55" w:rsidRDefault="00FA1F55" w:rsidP="00FA1F55">
      <w:pPr>
        <w:spacing w:after="0" w:line="240" w:lineRule="auto"/>
        <w:ind w:right="600" w:firstLine="708"/>
        <w:jc w:val="both"/>
        <w:rPr>
          <w:rFonts w:ascii="Arial" w:hAnsi="Arial" w:cs="Arial"/>
          <w:sz w:val="20"/>
          <w:szCs w:val="20"/>
          <w:lang w:eastAsia="pt-BR"/>
        </w:rPr>
      </w:pPr>
    </w:p>
    <w:p w14:paraId="4C42502A" w14:textId="77777777" w:rsidR="00FA1F55" w:rsidRPr="00FA1F55" w:rsidRDefault="00FA1F55" w:rsidP="00FA1F55">
      <w:pPr>
        <w:spacing w:after="0" w:line="240" w:lineRule="auto"/>
        <w:ind w:left="708" w:right="600" w:firstLine="708"/>
        <w:jc w:val="both"/>
        <w:rPr>
          <w:rFonts w:ascii="Arial" w:hAnsi="Arial" w:cs="Arial"/>
          <w:sz w:val="20"/>
          <w:szCs w:val="20"/>
          <w:lang w:eastAsia="pt-BR"/>
        </w:rPr>
      </w:pPr>
      <w:r w:rsidRPr="00FA1F55">
        <w:rPr>
          <w:rFonts w:ascii="Arial" w:hAnsi="Arial" w:cs="Arial"/>
          <w:sz w:val="20"/>
          <w:szCs w:val="20"/>
          <w:lang w:eastAsia="pt-BR"/>
        </w:rPr>
        <w:t>&lt;DemonstrativoVariacaoPatrimonial&gt;</w:t>
      </w:r>
    </w:p>
    <w:p w14:paraId="270A4B6D" w14:textId="77777777" w:rsidR="00FA1F55" w:rsidRPr="00FA1F55" w:rsidRDefault="00FA1F55" w:rsidP="00FA1F55">
      <w:pPr>
        <w:spacing w:after="0" w:line="240" w:lineRule="auto"/>
        <w:ind w:left="1416" w:right="600" w:firstLine="708"/>
        <w:jc w:val="both"/>
        <w:rPr>
          <w:rFonts w:ascii="Arial" w:hAnsi="Arial" w:cs="Arial"/>
          <w:sz w:val="20"/>
          <w:szCs w:val="20"/>
          <w:lang w:eastAsia="pt-BR"/>
        </w:rPr>
      </w:pPr>
      <w:r w:rsidRPr="00FA1F55">
        <w:rPr>
          <w:rFonts w:ascii="Arial" w:hAnsi="Arial" w:cs="Arial"/>
          <w:sz w:val="20"/>
          <w:szCs w:val="20"/>
          <w:lang w:eastAsia="pt-BR"/>
        </w:rPr>
        <w:t>&lt;IdNumRegistro&gt;</w:t>
      </w:r>
      <w:r w:rsidRPr="00FA1F55">
        <w:rPr>
          <w:rFonts w:ascii="Arial" w:hAnsi="Arial" w:cs="Arial"/>
          <w:b/>
          <w:bCs/>
          <w:sz w:val="20"/>
          <w:szCs w:val="20"/>
          <w:lang w:eastAsia="pt-BR"/>
        </w:rPr>
        <w:t>99999</w:t>
      </w:r>
      <w:r w:rsidRPr="00FA1F55">
        <w:rPr>
          <w:rFonts w:ascii="Arial" w:hAnsi="Arial" w:cs="Arial"/>
          <w:sz w:val="20"/>
          <w:szCs w:val="20"/>
          <w:lang w:eastAsia="pt-BR"/>
        </w:rPr>
        <w:t>&lt;/IdNumRegistro&gt;</w:t>
      </w:r>
    </w:p>
    <w:p w14:paraId="50FC6B37" w14:textId="77777777" w:rsidR="00FA1F55" w:rsidRPr="00FA1F55" w:rsidRDefault="00FA1F55" w:rsidP="00FA1F55">
      <w:pPr>
        <w:spacing w:after="0" w:line="240" w:lineRule="auto"/>
        <w:ind w:left="1416" w:right="600" w:firstLine="708"/>
        <w:jc w:val="both"/>
        <w:rPr>
          <w:rFonts w:ascii="Arial" w:hAnsi="Arial" w:cs="Arial"/>
          <w:sz w:val="20"/>
          <w:szCs w:val="20"/>
          <w:lang w:eastAsia="pt-BR"/>
        </w:rPr>
      </w:pPr>
      <w:r w:rsidRPr="00FA1F55">
        <w:rPr>
          <w:rFonts w:ascii="Arial" w:hAnsi="Arial" w:cs="Arial"/>
          <w:sz w:val="20"/>
          <w:szCs w:val="20"/>
          <w:lang w:eastAsia="pt-BR"/>
        </w:rPr>
        <w:t>&lt;Codigo&gt;</w:t>
      </w:r>
      <w:r w:rsidRPr="00FA1F55">
        <w:rPr>
          <w:rFonts w:ascii="Arial" w:hAnsi="Arial" w:cs="Arial"/>
          <w:b/>
          <w:bCs/>
          <w:sz w:val="20"/>
          <w:szCs w:val="20"/>
          <w:lang w:eastAsia="pt-BR"/>
        </w:rPr>
        <w:t>XXXXXXXX</w:t>
      </w:r>
      <w:r w:rsidRPr="00FA1F55">
        <w:rPr>
          <w:rFonts w:ascii="Arial" w:hAnsi="Arial" w:cs="Arial"/>
          <w:sz w:val="20"/>
          <w:szCs w:val="20"/>
          <w:lang w:eastAsia="pt-BR"/>
        </w:rPr>
        <w:t>&lt;/Codigo&gt;</w:t>
      </w:r>
    </w:p>
    <w:p w14:paraId="7EA9F5EB" w14:textId="77777777" w:rsidR="00FA1F55" w:rsidRPr="00FA1F55" w:rsidRDefault="00FA1F55" w:rsidP="00FA1F55">
      <w:pPr>
        <w:spacing w:after="0" w:line="240" w:lineRule="auto"/>
        <w:ind w:left="1416" w:right="600" w:firstLine="708"/>
        <w:jc w:val="both"/>
        <w:rPr>
          <w:rFonts w:ascii="Arial" w:hAnsi="Arial" w:cs="Arial"/>
          <w:sz w:val="20"/>
          <w:szCs w:val="20"/>
          <w:lang w:eastAsia="pt-BR"/>
        </w:rPr>
      </w:pPr>
      <w:r w:rsidRPr="00FA1F55">
        <w:rPr>
          <w:rFonts w:ascii="Arial" w:hAnsi="Arial" w:cs="Arial"/>
          <w:sz w:val="20"/>
          <w:szCs w:val="20"/>
          <w:lang w:eastAsia="pt-BR"/>
        </w:rPr>
        <w:t>&lt;Valor&gt;</w:t>
      </w:r>
      <w:r w:rsidRPr="00FA1F55">
        <w:rPr>
          <w:rFonts w:ascii="Arial" w:hAnsi="Arial" w:cs="Arial"/>
          <w:b/>
          <w:bCs/>
          <w:sz w:val="20"/>
          <w:szCs w:val="20"/>
          <w:lang w:eastAsia="pt-BR"/>
        </w:rPr>
        <w:t>99999999999999.99</w:t>
      </w:r>
      <w:r w:rsidRPr="00FA1F55">
        <w:rPr>
          <w:rFonts w:ascii="Arial" w:hAnsi="Arial" w:cs="Arial"/>
          <w:sz w:val="20"/>
          <w:szCs w:val="20"/>
          <w:lang w:eastAsia="pt-BR"/>
        </w:rPr>
        <w:t xml:space="preserve">&lt;/Valor&gt; </w:t>
      </w:r>
    </w:p>
    <w:p w14:paraId="594C2983" w14:textId="77777777" w:rsidR="00FA1F55" w:rsidRPr="00FA1F55" w:rsidRDefault="00FA1F55" w:rsidP="00FA1F55">
      <w:pPr>
        <w:spacing w:after="0" w:line="240" w:lineRule="auto"/>
        <w:ind w:right="600"/>
        <w:jc w:val="both"/>
        <w:rPr>
          <w:rFonts w:ascii="Arial" w:hAnsi="Arial" w:cs="Arial"/>
          <w:sz w:val="20"/>
          <w:szCs w:val="20"/>
          <w:lang w:eastAsia="pt-BR"/>
        </w:rPr>
      </w:pPr>
      <w:r w:rsidRPr="00FA1F55">
        <w:rPr>
          <w:rFonts w:ascii="Arial" w:hAnsi="Arial" w:cs="Arial"/>
          <w:sz w:val="20"/>
          <w:szCs w:val="20"/>
          <w:lang w:eastAsia="pt-BR"/>
        </w:rPr>
        <w:tab/>
      </w:r>
      <w:r w:rsidRPr="00FA1F55">
        <w:rPr>
          <w:rFonts w:ascii="Arial" w:hAnsi="Arial" w:cs="Arial"/>
          <w:sz w:val="20"/>
          <w:szCs w:val="20"/>
          <w:lang w:eastAsia="pt-BR"/>
        </w:rPr>
        <w:tab/>
        <w:t>&lt;/DemonstrativoVariacaoPatrimonial&gt;</w:t>
      </w:r>
    </w:p>
    <w:p w14:paraId="1FCC5C8D" w14:textId="77777777" w:rsidR="00FA1F55" w:rsidRPr="00FA1F55" w:rsidRDefault="00FA1F55" w:rsidP="00FA1F55">
      <w:pPr>
        <w:spacing w:after="0" w:line="240" w:lineRule="auto"/>
        <w:ind w:left="708" w:right="600" w:firstLine="708"/>
        <w:jc w:val="both"/>
        <w:rPr>
          <w:rFonts w:ascii="Arial" w:hAnsi="Arial" w:cs="Arial"/>
          <w:sz w:val="20"/>
          <w:szCs w:val="20"/>
          <w:lang w:eastAsia="pt-BR"/>
        </w:rPr>
      </w:pPr>
    </w:p>
    <w:p w14:paraId="7E0744E4" w14:textId="77777777" w:rsidR="00FA1F55" w:rsidRPr="00FA1F55" w:rsidRDefault="00FA1F55" w:rsidP="00FA1F55">
      <w:pPr>
        <w:spacing w:after="0" w:line="240" w:lineRule="auto"/>
        <w:ind w:right="600" w:firstLine="708"/>
        <w:jc w:val="both"/>
        <w:rPr>
          <w:rFonts w:ascii="Arial" w:hAnsi="Arial" w:cs="Arial"/>
          <w:sz w:val="20"/>
          <w:szCs w:val="20"/>
          <w:lang w:eastAsia="pt-BR"/>
        </w:rPr>
      </w:pPr>
      <w:r w:rsidRPr="00FA1F55">
        <w:rPr>
          <w:rFonts w:ascii="Arial" w:hAnsi="Arial" w:cs="Arial"/>
          <w:sz w:val="20"/>
          <w:szCs w:val="20"/>
          <w:lang w:eastAsia="pt-BR"/>
        </w:rPr>
        <w:t>&lt;/DemonstrativoVariacaoPatrimonial_Schema&gt;</w:t>
      </w:r>
    </w:p>
    <w:p w14:paraId="77EADD74" w14:textId="77777777" w:rsidR="00FA1F55" w:rsidRPr="00FA1F55" w:rsidRDefault="00FA1F55" w:rsidP="00FA1F55">
      <w:pPr>
        <w:spacing w:after="0" w:line="240" w:lineRule="auto"/>
        <w:ind w:right="600"/>
        <w:jc w:val="both"/>
        <w:rPr>
          <w:rFonts w:ascii="Arial" w:hAnsi="Arial" w:cs="Arial"/>
          <w:sz w:val="20"/>
          <w:szCs w:val="20"/>
          <w:lang w:eastAsia="pt-BR"/>
        </w:rPr>
      </w:pPr>
      <w:r w:rsidRPr="00FA1F55">
        <w:rPr>
          <w:rFonts w:ascii="Arial" w:hAnsi="Arial" w:cs="Arial"/>
          <w:sz w:val="20"/>
          <w:szCs w:val="20"/>
          <w:lang w:eastAsia="pt-BR"/>
        </w:rPr>
        <w:t>&lt;/PrestacaoContasAnual&gt;</w:t>
      </w:r>
    </w:p>
    <w:p w14:paraId="083EAA73" w14:textId="77777777" w:rsidR="00FA1F55" w:rsidRPr="00FA1F55" w:rsidRDefault="00FA1F55" w:rsidP="00FA1F55">
      <w:pPr>
        <w:spacing w:after="0" w:line="360" w:lineRule="auto"/>
        <w:jc w:val="both"/>
        <w:rPr>
          <w:rFonts w:ascii="Arial" w:hAnsi="Arial"/>
          <w:kern w:val="28"/>
        </w:rPr>
      </w:pPr>
    </w:p>
    <w:tbl>
      <w:tblPr>
        <w:tblW w:w="904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390"/>
        <w:gridCol w:w="1133"/>
        <w:gridCol w:w="1507"/>
        <w:gridCol w:w="3016"/>
      </w:tblGrid>
      <w:tr w:rsidR="00FA1F55" w:rsidRPr="00FA1F55" w14:paraId="74DDC9D5" w14:textId="77777777" w:rsidTr="00EE0371">
        <w:trPr>
          <w:tblHeader/>
          <w:jc w:val="center"/>
        </w:trPr>
        <w:tc>
          <w:tcPr>
            <w:tcW w:w="3390" w:type="dxa"/>
            <w:tcBorders>
              <w:bottom w:val="single" w:sz="6" w:space="0" w:color="auto"/>
            </w:tcBorders>
            <w:shd w:val="solid" w:color="C0C0C0" w:fill="auto"/>
            <w:vAlign w:val="center"/>
          </w:tcPr>
          <w:p w14:paraId="671DA244" w14:textId="77777777" w:rsidR="00FA1F55" w:rsidRPr="00FA1F55" w:rsidRDefault="00FA1F55" w:rsidP="00FA1F55">
            <w:pPr>
              <w:spacing w:before="120" w:after="120" w:line="240" w:lineRule="auto"/>
              <w:jc w:val="center"/>
              <w:rPr>
                <w:rFonts w:ascii="Arial" w:hAnsi="Arial" w:cs="Arial"/>
                <w:b/>
                <w:sz w:val="20"/>
                <w:szCs w:val="20"/>
              </w:rPr>
            </w:pPr>
            <w:r w:rsidRPr="00FA1F55">
              <w:rPr>
                <w:rFonts w:ascii="Arial" w:hAnsi="Arial"/>
                <w:b/>
                <w:bCs/>
              </w:rPr>
              <w:br w:type="page"/>
            </w:r>
            <w:r w:rsidRPr="00FA1F55">
              <w:rPr>
                <w:rFonts w:ascii="Arial" w:hAnsi="Arial" w:cs="Arial"/>
                <w:b/>
                <w:sz w:val="20"/>
                <w:szCs w:val="20"/>
              </w:rPr>
              <w:t>Campo</w:t>
            </w:r>
          </w:p>
        </w:tc>
        <w:tc>
          <w:tcPr>
            <w:tcW w:w="1133" w:type="dxa"/>
            <w:tcBorders>
              <w:bottom w:val="single" w:sz="6" w:space="0" w:color="auto"/>
            </w:tcBorders>
            <w:shd w:val="solid" w:color="C0C0C0" w:fill="auto"/>
            <w:vAlign w:val="center"/>
          </w:tcPr>
          <w:p w14:paraId="76E6F626" w14:textId="77777777" w:rsidR="00FA1F55" w:rsidRPr="00FA1F55" w:rsidRDefault="00FA1F55" w:rsidP="00FA1F55">
            <w:pPr>
              <w:spacing w:before="120" w:after="120" w:line="240" w:lineRule="auto"/>
              <w:jc w:val="center"/>
              <w:rPr>
                <w:rFonts w:ascii="Arial" w:hAnsi="Arial" w:cs="Arial"/>
                <w:b/>
                <w:sz w:val="20"/>
                <w:szCs w:val="20"/>
              </w:rPr>
            </w:pPr>
            <w:r w:rsidRPr="00FA1F55">
              <w:rPr>
                <w:rFonts w:ascii="Arial" w:hAnsi="Arial" w:cs="Arial"/>
                <w:b/>
                <w:sz w:val="20"/>
                <w:szCs w:val="20"/>
              </w:rPr>
              <w:t>Tipo</w:t>
            </w:r>
          </w:p>
        </w:tc>
        <w:tc>
          <w:tcPr>
            <w:tcW w:w="1507" w:type="dxa"/>
            <w:tcBorders>
              <w:bottom w:val="single" w:sz="6" w:space="0" w:color="auto"/>
            </w:tcBorders>
            <w:shd w:val="solid" w:color="C0C0C0" w:fill="auto"/>
            <w:vAlign w:val="center"/>
          </w:tcPr>
          <w:p w14:paraId="157DFBC7" w14:textId="77777777" w:rsidR="00FA1F55" w:rsidRPr="00FA1F55" w:rsidRDefault="00FA1F55" w:rsidP="00FA1F55">
            <w:pPr>
              <w:spacing w:before="120" w:after="120" w:line="240" w:lineRule="auto"/>
              <w:jc w:val="center"/>
              <w:rPr>
                <w:rFonts w:ascii="Arial" w:hAnsi="Arial" w:cs="Arial"/>
                <w:b/>
                <w:sz w:val="20"/>
                <w:szCs w:val="20"/>
              </w:rPr>
            </w:pPr>
            <w:r w:rsidRPr="00FA1F55">
              <w:rPr>
                <w:rFonts w:ascii="Arial" w:hAnsi="Arial" w:cs="Arial"/>
                <w:b/>
                <w:sz w:val="20"/>
                <w:szCs w:val="20"/>
              </w:rPr>
              <w:t>Tamanho</w:t>
            </w:r>
          </w:p>
        </w:tc>
        <w:tc>
          <w:tcPr>
            <w:tcW w:w="3016" w:type="dxa"/>
            <w:tcBorders>
              <w:bottom w:val="single" w:sz="6" w:space="0" w:color="auto"/>
            </w:tcBorders>
            <w:shd w:val="solid" w:color="C0C0C0" w:fill="auto"/>
            <w:vAlign w:val="center"/>
          </w:tcPr>
          <w:p w14:paraId="1D30D165" w14:textId="77777777" w:rsidR="00FA1F55" w:rsidRPr="00FA1F55" w:rsidRDefault="00FA1F55" w:rsidP="00FA1F55">
            <w:pPr>
              <w:spacing w:before="120" w:after="120" w:line="240" w:lineRule="auto"/>
              <w:jc w:val="center"/>
              <w:rPr>
                <w:rFonts w:ascii="Arial" w:hAnsi="Arial" w:cs="Arial"/>
                <w:b/>
                <w:sz w:val="20"/>
                <w:szCs w:val="20"/>
              </w:rPr>
            </w:pPr>
            <w:r w:rsidRPr="00FA1F55">
              <w:rPr>
                <w:rFonts w:ascii="Arial" w:hAnsi="Arial" w:cs="Arial"/>
                <w:b/>
                <w:sz w:val="20"/>
                <w:szCs w:val="20"/>
              </w:rPr>
              <w:t>Obrigatoriedade</w:t>
            </w:r>
          </w:p>
        </w:tc>
      </w:tr>
      <w:tr w:rsidR="00FA1F55" w:rsidRPr="00FA1F55" w14:paraId="1B9958FB" w14:textId="77777777" w:rsidTr="00EE0371">
        <w:trPr>
          <w:jc w:val="center"/>
        </w:trPr>
        <w:tc>
          <w:tcPr>
            <w:tcW w:w="9046" w:type="dxa"/>
            <w:gridSpan w:val="4"/>
            <w:shd w:val="solid" w:color="BFBFBF" w:themeColor="background1" w:themeShade="BF" w:fill="auto"/>
            <w:vAlign w:val="center"/>
          </w:tcPr>
          <w:p w14:paraId="7B94EEC8" w14:textId="77777777" w:rsidR="00FA1F55" w:rsidRPr="00FA1F55" w:rsidRDefault="00FA1F55" w:rsidP="00FA1F55">
            <w:pPr>
              <w:spacing w:before="120" w:after="120" w:line="240" w:lineRule="auto"/>
              <w:jc w:val="center"/>
              <w:rPr>
                <w:rFonts w:ascii="Arial" w:hAnsi="Arial" w:cs="Arial"/>
                <w:color w:val="FF0000"/>
                <w:sz w:val="20"/>
                <w:szCs w:val="20"/>
              </w:rPr>
            </w:pPr>
            <w:r w:rsidRPr="00FA1F55">
              <w:rPr>
                <w:rFonts w:ascii="Arial" w:hAnsi="Arial" w:cs="Arial"/>
                <w:b/>
                <w:sz w:val="20"/>
                <w:szCs w:val="20"/>
              </w:rPr>
              <w:t>Estrutura ‘DemonstrativoVariacaoPatrimonial’</w:t>
            </w:r>
          </w:p>
        </w:tc>
      </w:tr>
      <w:tr w:rsidR="00FA1F55" w:rsidRPr="00FA1F55" w14:paraId="3F55C45E" w14:textId="77777777" w:rsidTr="00EE0371">
        <w:trPr>
          <w:jc w:val="center"/>
        </w:trPr>
        <w:tc>
          <w:tcPr>
            <w:tcW w:w="3390" w:type="dxa"/>
            <w:vAlign w:val="center"/>
          </w:tcPr>
          <w:p w14:paraId="64F7656E" w14:textId="77777777" w:rsidR="00FA1F55" w:rsidRPr="00FA1F55" w:rsidRDefault="00FA1F55" w:rsidP="00FA1F55">
            <w:pPr>
              <w:spacing w:before="120" w:after="120" w:line="240" w:lineRule="auto"/>
              <w:jc w:val="center"/>
              <w:rPr>
                <w:rFonts w:ascii="Arial" w:hAnsi="Arial" w:cs="Arial"/>
                <w:sz w:val="20"/>
                <w:szCs w:val="20"/>
              </w:rPr>
            </w:pPr>
            <w:r w:rsidRPr="00FA1F55">
              <w:rPr>
                <w:rFonts w:ascii="Arial" w:hAnsi="Arial" w:cs="Arial"/>
                <w:sz w:val="20"/>
                <w:szCs w:val="20"/>
              </w:rPr>
              <w:t>IdNumRegistro</w:t>
            </w:r>
          </w:p>
        </w:tc>
        <w:tc>
          <w:tcPr>
            <w:tcW w:w="1133" w:type="dxa"/>
            <w:vAlign w:val="center"/>
          </w:tcPr>
          <w:p w14:paraId="01FB1B69" w14:textId="77777777" w:rsidR="00FA1F55" w:rsidRPr="00FA1F55" w:rsidRDefault="00FA1F55" w:rsidP="00FA1F55">
            <w:pPr>
              <w:spacing w:before="120" w:after="120" w:line="240" w:lineRule="auto"/>
              <w:jc w:val="center"/>
              <w:rPr>
                <w:rFonts w:ascii="Arial" w:hAnsi="Arial" w:cs="Arial"/>
                <w:sz w:val="20"/>
                <w:szCs w:val="20"/>
              </w:rPr>
            </w:pPr>
            <w:r w:rsidRPr="00FA1F55">
              <w:rPr>
                <w:rFonts w:ascii="Arial" w:hAnsi="Arial" w:cs="Arial"/>
                <w:sz w:val="20"/>
                <w:szCs w:val="20"/>
              </w:rPr>
              <w:t>Inteiro</w:t>
            </w:r>
          </w:p>
        </w:tc>
        <w:tc>
          <w:tcPr>
            <w:tcW w:w="1507" w:type="dxa"/>
            <w:vAlign w:val="center"/>
          </w:tcPr>
          <w:p w14:paraId="19573495" w14:textId="77777777" w:rsidR="00FA1F55" w:rsidRPr="00FA1F55" w:rsidRDefault="00FA1F55" w:rsidP="00FA1F55">
            <w:pPr>
              <w:spacing w:before="120" w:after="120" w:line="240" w:lineRule="auto"/>
              <w:jc w:val="center"/>
              <w:rPr>
                <w:rFonts w:ascii="Arial" w:hAnsi="Arial" w:cs="Arial"/>
                <w:sz w:val="20"/>
                <w:szCs w:val="20"/>
              </w:rPr>
            </w:pPr>
            <w:r w:rsidRPr="00FA1F55">
              <w:rPr>
                <w:rFonts w:ascii="Arial" w:hAnsi="Arial" w:cs="Arial"/>
                <w:sz w:val="20"/>
                <w:szCs w:val="20"/>
              </w:rPr>
              <w:t>05</w:t>
            </w:r>
          </w:p>
        </w:tc>
        <w:tc>
          <w:tcPr>
            <w:tcW w:w="3016" w:type="dxa"/>
            <w:vAlign w:val="center"/>
          </w:tcPr>
          <w:p w14:paraId="4188FCC4" w14:textId="77777777" w:rsidR="00FA1F55" w:rsidRPr="00FA1F55" w:rsidRDefault="00FA1F55" w:rsidP="00FA1F55">
            <w:pPr>
              <w:spacing w:before="120" w:after="120" w:line="240" w:lineRule="auto"/>
              <w:jc w:val="center"/>
              <w:rPr>
                <w:rFonts w:ascii="Arial" w:hAnsi="Arial" w:cs="Arial"/>
                <w:color w:val="FF0000"/>
                <w:sz w:val="20"/>
                <w:szCs w:val="20"/>
              </w:rPr>
            </w:pPr>
            <w:r w:rsidRPr="00FA1F55">
              <w:rPr>
                <w:rFonts w:ascii="Arial" w:hAnsi="Arial" w:cs="Arial"/>
                <w:sz w:val="20"/>
                <w:szCs w:val="20"/>
              </w:rPr>
              <w:t>Obrigatório</w:t>
            </w:r>
          </w:p>
        </w:tc>
      </w:tr>
      <w:tr w:rsidR="00FA1F55" w:rsidRPr="00FA1F55" w14:paraId="29591A08" w14:textId="77777777" w:rsidTr="00EE0371">
        <w:trPr>
          <w:jc w:val="center"/>
        </w:trPr>
        <w:tc>
          <w:tcPr>
            <w:tcW w:w="3390" w:type="dxa"/>
            <w:vAlign w:val="center"/>
          </w:tcPr>
          <w:p w14:paraId="585B29D5" w14:textId="77777777" w:rsidR="00FA1F55" w:rsidRPr="00FA1F55" w:rsidRDefault="00FA1F55" w:rsidP="00FA1F55">
            <w:pPr>
              <w:spacing w:before="120" w:after="120" w:line="240" w:lineRule="auto"/>
              <w:jc w:val="center"/>
              <w:rPr>
                <w:rFonts w:ascii="Arial" w:hAnsi="Arial" w:cs="Arial"/>
                <w:sz w:val="20"/>
                <w:szCs w:val="20"/>
              </w:rPr>
            </w:pPr>
            <w:r w:rsidRPr="00FA1F55">
              <w:rPr>
                <w:rFonts w:ascii="Arial" w:hAnsi="Arial" w:cs="Arial"/>
                <w:sz w:val="20"/>
                <w:szCs w:val="20"/>
                <w:lang w:eastAsia="pt-BR"/>
              </w:rPr>
              <w:t>Codigo</w:t>
            </w:r>
          </w:p>
        </w:tc>
        <w:tc>
          <w:tcPr>
            <w:tcW w:w="1133" w:type="dxa"/>
            <w:vAlign w:val="center"/>
          </w:tcPr>
          <w:p w14:paraId="3C60A87F" w14:textId="77777777" w:rsidR="00FA1F55" w:rsidRPr="00FA1F55" w:rsidRDefault="00FA1F55" w:rsidP="00FA1F55">
            <w:pPr>
              <w:spacing w:before="120" w:after="120" w:line="240" w:lineRule="auto"/>
              <w:jc w:val="center"/>
              <w:rPr>
                <w:rFonts w:ascii="Arial" w:hAnsi="Arial" w:cs="Arial"/>
                <w:sz w:val="20"/>
                <w:szCs w:val="20"/>
              </w:rPr>
            </w:pPr>
            <w:r w:rsidRPr="00FA1F55">
              <w:rPr>
                <w:rFonts w:ascii="Arial" w:hAnsi="Arial" w:cs="Arial"/>
                <w:sz w:val="20"/>
                <w:szCs w:val="20"/>
              </w:rPr>
              <w:t>Caracter</w:t>
            </w:r>
          </w:p>
        </w:tc>
        <w:tc>
          <w:tcPr>
            <w:tcW w:w="1507" w:type="dxa"/>
            <w:vAlign w:val="center"/>
          </w:tcPr>
          <w:p w14:paraId="632CDAFD" w14:textId="77777777" w:rsidR="00FA1F55" w:rsidRPr="00FA1F55" w:rsidRDefault="00FA1F55" w:rsidP="00FA1F55">
            <w:pPr>
              <w:spacing w:before="120" w:after="120" w:line="240" w:lineRule="auto"/>
              <w:jc w:val="center"/>
              <w:rPr>
                <w:rFonts w:ascii="Arial" w:hAnsi="Arial" w:cs="Arial"/>
                <w:sz w:val="20"/>
                <w:szCs w:val="20"/>
              </w:rPr>
            </w:pPr>
            <w:r w:rsidRPr="00FA1F55">
              <w:rPr>
                <w:rFonts w:ascii="Arial" w:hAnsi="Arial" w:cs="Arial"/>
                <w:sz w:val="20"/>
                <w:szCs w:val="20"/>
              </w:rPr>
              <w:t>08</w:t>
            </w:r>
          </w:p>
        </w:tc>
        <w:tc>
          <w:tcPr>
            <w:tcW w:w="3016" w:type="dxa"/>
            <w:vAlign w:val="center"/>
          </w:tcPr>
          <w:p w14:paraId="4ADA075B" w14:textId="77777777" w:rsidR="00FA1F55" w:rsidRPr="00FA1F55" w:rsidRDefault="00FA1F55" w:rsidP="00FA1F55">
            <w:pPr>
              <w:spacing w:before="120" w:after="120" w:line="240" w:lineRule="auto"/>
              <w:jc w:val="center"/>
              <w:rPr>
                <w:rFonts w:ascii="Arial" w:hAnsi="Arial" w:cs="Arial"/>
                <w:sz w:val="20"/>
                <w:szCs w:val="20"/>
              </w:rPr>
            </w:pPr>
            <w:r w:rsidRPr="00FA1F55">
              <w:rPr>
                <w:rFonts w:ascii="Arial" w:hAnsi="Arial" w:cs="Arial"/>
                <w:sz w:val="20"/>
                <w:szCs w:val="20"/>
              </w:rPr>
              <w:t>Obrigatório, conforme Tabela 3 deste Anexo</w:t>
            </w:r>
          </w:p>
        </w:tc>
      </w:tr>
      <w:tr w:rsidR="00FA1F55" w:rsidRPr="00FA1F55" w14:paraId="3B946C4B" w14:textId="77777777" w:rsidTr="00EE0371">
        <w:trPr>
          <w:jc w:val="center"/>
        </w:trPr>
        <w:tc>
          <w:tcPr>
            <w:tcW w:w="3390" w:type="dxa"/>
            <w:vAlign w:val="center"/>
          </w:tcPr>
          <w:p w14:paraId="5A4874EE" w14:textId="77777777" w:rsidR="00FA1F55" w:rsidRPr="00FA1F55" w:rsidRDefault="00FA1F55" w:rsidP="00FA1F55">
            <w:pPr>
              <w:spacing w:before="120" w:after="120" w:line="240" w:lineRule="auto"/>
              <w:jc w:val="center"/>
              <w:rPr>
                <w:rFonts w:ascii="Arial" w:hAnsi="Arial" w:cs="Arial"/>
                <w:sz w:val="20"/>
                <w:szCs w:val="20"/>
              </w:rPr>
            </w:pPr>
            <w:r w:rsidRPr="00FA1F55">
              <w:rPr>
                <w:rFonts w:ascii="Arial" w:hAnsi="Arial" w:cs="Arial"/>
                <w:sz w:val="20"/>
                <w:szCs w:val="20"/>
              </w:rPr>
              <w:t>Valor</w:t>
            </w:r>
          </w:p>
        </w:tc>
        <w:tc>
          <w:tcPr>
            <w:tcW w:w="1133" w:type="dxa"/>
            <w:vAlign w:val="center"/>
          </w:tcPr>
          <w:p w14:paraId="28BAA801" w14:textId="77777777" w:rsidR="00FA1F55" w:rsidRPr="00FA1F55" w:rsidRDefault="00FA1F55" w:rsidP="00FA1F55">
            <w:pPr>
              <w:spacing w:before="120" w:after="120" w:line="240" w:lineRule="auto"/>
              <w:jc w:val="center"/>
              <w:rPr>
                <w:rFonts w:ascii="Arial" w:hAnsi="Arial" w:cs="Arial"/>
                <w:sz w:val="20"/>
                <w:szCs w:val="20"/>
              </w:rPr>
            </w:pPr>
            <w:r w:rsidRPr="00FA1F55">
              <w:rPr>
                <w:rFonts w:ascii="Arial" w:hAnsi="Arial" w:cs="Arial"/>
                <w:sz w:val="20"/>
                <w:szCs w:val="20"/>
              </w:rPr>
              <w:t>Decimal</w:t>
            </w:r>
          </w:p>
        </w:tc>
        <w:tc>
          <w:tcPr>
            <w:tcW w:w="1507" w:type="dxa"/>
            <w:vAlign w:val="center"/>
          </w:tcPr>
          <w:p w14:paraId="1BCBE42A" w14:textId="77777777" w:rsidR="00FA1F55" w:rsidRPr="00FA1F55" w:rsidRDefault="00FA1F55" w:rsidP="00FA1F55">
            <w:pPr>
              <w:spacing w:before="120" w:after="120" w:line="240" w:lineRule="auto"/>
              <w:jc w:val="center"/>
              <w:rPr>
                <w:rFonts w:ascii="Arial" w:hAnsi="Arial" w:cs="Arial"/>
                <w:sz w:val="20"/>
                <w:szCs w:val="20"/>
              </w:rPr>
            </w:pPr>
            <w:r w:rsidRPr="00FA1F55">
              <w:rPr>
                <w:rFonts w:ascii="Arial" w:hAnsi="Arial" w:cs="Arial"/>
                <w:sz w:val="20"/>
                <w:szCs w:val="20"/>
              </w:rPr>
              <w:t>(14,2)</w:t>
            </w:r>
          </w:p>
        </w:tc>
        <w:tc>
          <w:tcPr>
            <w:tcW w:w="3016" w:type="dxa"/>
            <w:vAlign w:val="center"/>
          </w:tcPr>
          <w:p w14:paraId="77FCE2C4" w14:textId="77777777" w:rsidR="00FA1F55" w:rsidRPr="00FA1F55" w:rsidRDefault="00FA1F55" w:rsidP="00FA1F55">
            <w:pPr>
              <w:spacing w:before="120" w:after="120" w:line="240" w:lineRule="auto"/>
              <w:jc w:val="center"/>
              <w:rPr>
                <w:rFonts w:ascii="Arial" w:hAnsi="Arial" w:cs="Arial"/>
                <w:sz w:val="20"/>
                <w:szCs w:val="20"/>
              </w:rPr>
            </w:pPr>
            <w:r w:rsidRPr="00FA1F55">
              <w:rPr>
                <w:rFonts w:ascii="Arial" w:hAnsi="Arial" w:cs="Arial"/>
                <w:sz w:val="20"/>
                <w:szCs w:val="20"/>
              </w:rPr>
              <w:t>Obrigatório</w:t>
            </w:r>
          </w:p>
        </w:tc>
      </w:tr>
    </w:tbl>
    <w:p w14:paraId="1910A29A" w14:textId="77777777" w:rsidR="00FA1F55" w:rsidRDefault="00FA1F55" w:rsidP="00FA1F55">
      <w:pPr>
        <w:spacing w:after="120" w:line="240" w:lineRule="auto"/>
        <w:ind w:right="600"/>
        <w:jc w:val="both"/>
        <w:rPr>
          <w:rFonts w:ascii="Arial" w:hAnsi="Arial" w:cs="Arial"/>
          <w:b/>
          <w:sz w:val="20"/>
          <w:szCs w:val="20"/>
          <w:lang w:eastAsia="pt-BR"/>
        </w:rPr>
      </w:pPr>
    </w:p>
    <w:p w14:paraId="2E3AAE29" w14:textId="77777777" w:rsidR="00FA1F55" w:rsidRDefault="00FA1F55" w:rsidP="00FA1F55">
      <w:pPr>
        <w:spacing w:after="120" w:line="240" w:lineRule="auto"/>
        <w:ind w:right="600"/>
        <w:jc w:val="both"/>
        <w:rPr>
          <w:rFonts w:ascii="Arial" w:hAnsi="Arial" w:cs="Arial"/>
          <w:b/>
          <w:sz w:val="20"/>
          <w:szCs w:val="20"/>
          <w:lang w:eastAsia="pt-BR"/>
        </w:rPr>
      </w:pPr>
    </w:p>
    <w:p w14:paraId="1C3827EC" w14:textId="77777777" w:rsidR="00FA1F55" w:rsidRDefault="00FA1F55" w:rsidP="00FA1F55">
      <w:pPr>
        <w:spacing w:after="120" w:line="240" w:lineRule="auto"/>
        <w:ind w:right="600"/>
        <w:jc w:val="both"/>
        <w:rPr>
          <w:rFonts w:ascii="Arial" w:hAnsi="Arial" w:cs="Arial"/>
          <w:b/>
          <w:sz w:val="20"/>
          <w:szCs w:val="20"/>
          <w:lang w:eastAsia="pt-BR"/>
        </w:rPr>
        <w:sectPr w:rsidR="00FA1F55" w:rsidSect="00E7482B">
          <w:pgSz w:w="11906" w:h="16838"/>
          <w:pgMar w:top="1417" w:right="849" w:bottom="1417" w:left="1418" w:header="708" w:footer="708" w:gutter="0"/>
          <w:cols w:space="708"/>
          <w:docGrid w:linePitch="360"/>
        </w:sectPr>
      </w:pPr>
    </w:p>
    <w:p w14:paraId="31605816" w14:textId="77777777" w:rsidR="00FA1F55" w:rsidRDefault="00FA1F55" w:rsidP="00FA1F55">
      <w:pPr>
        <w:spacing w:after="0" w:line="240" w:lineRule="auto"/>
        <w:jc w:val="center"/>
        <w:rPr>
          <w:rFonts w:ascii="Arial" w:eastAsia="Times New Roman" w:hAnsi="Arial" w:cs="Arial"/>
          <w:b/>
          <w:bCs/>
          <w:sz w:val="20"/>
          <w:szCs w:val="20"/>
          <w:lang w:eastAsia="pt-BR"/>
        </w:rPr>
      </w:pPr>
      <w:r w:rsidRPr="00FA1F55">
        <w:rPr>
          <w:rFonts w:ascii="Arial" w:eastAsia="Times New Roman" w:hAnsi="Arial" w:cs="Arial"/>
          <w:b/>
          <w:bCs/>
          <w:sz w:val="20"/>
          <w:szCs w:val="20"/>
          <w:lang w:eastAsia="pt-BR"/>
        </w:rPr>
        <w:lastRenderedPageBreak/>
        <w:t xml:space="preserve">TABELA 3 - DEMONSTRAÇÃO DAS VARIAÇÕES PATRIMONIAIS (Anexo 15 - Lei </w:t>
      </w:r>
      <w:r w:rsidR="00F31CC6">
        <w:rPr>
          <w:rFonts w:ascii="Arial" w:eastAsia="Times New Roman" w:hAnsi="Arial" w:cs="Arial"/>
          <w:b/>
          <w:bCs/>
          <w:sz w:val="20"/>
          <w:szCs w:val="20"/>
          <w:lang w:eastAsia="pt-BR"/>
        </w:rPr>
        <w:t>n</w:t>
      </w:r>
      <w:r w:rsidRPr="00FA1F55">
        <w:rPr>
          <w:rFonts w:ascii="Arial" w:eastAsia="Times New Roman" w:hAnsi="Arial" w:cs="Arial"/>
          <w:b/>
          <w:bCs/>
          <w:sz w:val="20"/>
          <w:szCs w:val="20"/>
          <w:lang w:eastAsia="pt-BR"/>
        </w:rPr>
        <w:t>º 4.320/64)</w:t>
      </w:r>
    </w:p>
    <w:p w14:paraId="5820052E" w14:textId="77777777" w:rsidR="00DB5572" w:rsidRPr="00FA1F55" w:rsidRDefault="00DB5572" w:rsidP="00FA1F55">
      <w:pPr>
        <w:spacing w:after="0" w:line="240" w:lineRule="auto"/>
        <w:jc w:val="center"/>
        <w:rPr>
          <w:rFonts w:ascii="Arial" w:eastAsia="Times New Roman" w:hAnsi="Arial" w:cs="Arial"/>
          <w:b/>
          <w:bCs/>
          <w:sz w:val="20"/>
          <w:szCs w:val="20"/>
          <w:lang w:eastAsia="pt-BR"/>
        </w:rPr>
      </w:pPr>
      <w:r>
        <w:rPr>
          <w:rFonts w:ascii="Arial" w:eastAsia="Times New Roman" w:hAnsi="Arial" w:cs="Arial"/>
          <w:b/>
          <w:bCs/>
          <w:sz w:val="20"/>
          <w:szCs w:val="20"/>
          <w:lang w:eastAsia="pt-BR"/>
        </w:rPr>
        <w:t>MUNICÍPIOS E CONSÓRCIOS</w:t>
      </w:r>
    </w:p>
    <w:p w14:paraId="5F739099" w14:textId="77777777" w:rsidR="00FA1F55" w:rsidRPr="00FA1F55" w:rsidRDefault="00FA1F55" w:rsidP="00FA1F55">
      <w:pPr>
        <w:tabs>
          <w:tab w:val="left" w:pos="13551"/>
        </w:tabs>
        <w:spacing w:after="0" w:line="240" w:lineRule="auto"/>
        <w:ind w:left="-214"/>
        <w:rPr>
          <w:rFonts w:ascii="Arial Narrow" w:eastAsia="Times New Roman" w:hAnsi="Arial Narrow" w:cs="Arial"/>
          <w:b/>
          <w:bCs/>
          <w:sz w:val="14"/>
          <w:szCs w:val="14"/>
          <w:lang w:eastAsia="pt-BR"/>
        </w:rPr>
      </w:pPr>
      <w:r w:rsidRPr="00FA1F55">
        <w:rPr>
          <w:rFonts w:ascii="Arial Narrow" w:eastAsia="Times New Roman" w:hAnsi="Arial Narrow" w:cs="Arial"/>
          <w:b/>
          <w:bCs/>
          <w:sz w:val="20"/>
          <w:szCs w:val="20"/>
          <w:lang w:eastAsia="pt-BR"/>
        </w:rPr>
        <w:tab/>
      </w:r>
    </w:p>
    <w:p w14:paraId="0265DFFC" w14:textId="74820F25" w:rsidR="00F86B98" w:rsidRDefault="00F86B98" w:rsidP="003F0939">
      <w:pPr>
        <w:spacing w:after="0" w:line="360" w:lineRule="auto"/>
        <w:jc w:val="both"/>
        <w:rPr>
          <w:rFonts w:ascii="Arial" w:hAnsi="Arial"/>
          <w:b/>
          <w:sz w:val="20"/>
          <w:szCs w:val="20"/>
        </w:rPr>
      </w:pPr>
    </w:p>
    <w:tbl>
      <w:tblPr>
        <w:tblW w:w="14885" w:type="dxa"/>
        <w:tblInd w:w="-214" w:type="dxa"/>
        <w:tblCellMar>
          <w:left w:w="70" w:type="dxa"/>
          <w:right w:w="70" w:type="dxa"/>
        </w:tblCellMar>
        <w:tblLook w:val="04A0" w:firstRow="1" w:lastRow="0" w:firstColumn="1" w:lastColumn="0" w:noHBand="0" w:noVBand="1"/>
      </w:tblPr>
      <w:tblGrid>
        <w:gridCol w:w="4410"/>
        <w:gridCol w:w="835"/>
        <w:gridCol w:w="1149"/>
        <w:gridCol w:w="1134"/>
        <w:gridCol w:w="4346"/>
        <w:gridCol w:w="846"/>
        <w:gridCol w:w="1045"/>
        <w:gridCol w:w="1120"/>
      </w:tblGrid>
      <w:tr w:rsidR="00F86B98" w:rsidRPr="00F86B98" w14:paraId="17E66CB9" w14:textId="77777777" w:rsidTr="0015273C">
        <w:trPr>
          <w:trHeight w:val="345"/>
        </w:trPr>
        <w:tc>
          <w:tcPr>
            <w:tcW w:w="14885" w:type="dxa"/>
            <w:gridSpan w:val="8"/>
            <w:tcBorders>
              <w:top w:val="single" w:sz="8" w:space="0" w:color="auto"/>
              <w:left w:val="single" w:sz="8" w:space="0" w:color="auto"/>
              <w:bottom w:val="single" w:sz="8" w:space="0" w:color="auto"/>
              <w:right w:val="single" w:sz="8" w:space="0" w:color="000000"/>
            </w:tcBorders>
            <w:shd w:val="clear" w:color="000000" w:fill="F2F2F2"/>
            <w:noWrap/>
            <w:vAlign w:val="center"/>
            <w:hideMark/>
          </w:tcPr>
          <w:p w14:paraId="2AAF0884" w14:textId="77777777" w:rsidR="00F86B98" w:rsidRPr="00F86B98" w:rsidRDefault="00F86B98" w:rsidP="0015273C">
            <w:pPr>
              <w:spacing w:after="0" w:line="240" w:lineRule="auto"/>
              <w:jc w:val="center"/>
              <w:rPr>
                <w:rFonts w:ascii="Arial Narrow" w:eastAsia="Times New Roman" w:hAnsi="Arial Narrow" w:cs="Arial"/>
                <w:b/>
                <w:bCs/>
                <w:lang w:eastAsia="pt-BR"/>
              </w:rPr>
            </w:pPr>
            <w:r w:rsidRPr="00F86B98">
              <w:rPr>
                <w:rFonts w:ascii="Arial Narrow" w:eastAsia="Times New Roman" w:hAnsi="Arial Narrow" w:cs="Arial"/>
                <w:b/>
                <w:bCs/>
                <w:lang w:eastAsia="pt-BR"/>
              </w:rPr>
              <w:t>VARIAÇÕES PATRIMONIAIS QUANTITATIVAS</w:t>
            </w:r>
          </w:p>
        </w:tc>
      </w:tr>
      <w:tr w:rsidR="00F86B98" w:rsidRPr="00F86B98" w14:paraId="09825EDF" w14:textId="77777777" w:rsidTr="0015273C">
        <w:trPr>
          <w:trHeight w:val="231"/>
        </w:trPr>
        <w:tc>
          <w:tcPr>
            <w:tcW w:w="4410" w:type="dxa"/>
            <w:vMerge w:val="restart"/>
            <w:tcBorders>
              <w:top w:val="nil"/>
              <w:left w:val="single" w:sz="8" w:space="0" w:color="auto"/>
            </w:tcBorders>
            <w:shd w:val="clear" w:color="000000" w:fill="F2F2F2"/>
            <w:noWrap/>
            <w:vAlign w:val="center"/>
            <w:hideMark/>
          </w:tcPr>
          <w:p w14:paraId="7DE5B498" w14:textId="77777777" w:rsidR="00F86B98" w:rsidRPr="00F86B98" w:rsidRDefault="00F86B98" w:rsidP="0015273C">
            <w:pPr>
              <w:spacing w:after="0" w:line="240" w:lineRule="auto"/>
              <w:jc w:val="center"/>
              <w:rPr>
                <w:rFonts w:ascii="Arial Narrow" w:eastAsia="Times New Roman" w:hAnsi="Arial Narrow" w:cs="Arial"/>
                <w:b/>
                <w:bCs/>
                <w:lang w:eastAsia="pt-BR"/>
              </w:rPr>
            </w:pPr>
            <w:r w:rsidRPr="00F86B98">
              <w:rPr>
                <w:rFonts w:ascii="Arial Narrow" w:eastAsia="Times New Roman" w:hAnsi="Arial Narrow" w:cs="Arial"/>
                <w:b/>
                <w:bCs/>
                <w:lang w:eastAsia="pt-BR"/>
              </w:rPr>
              <w:t>VARIAÇÕES PATRIMONIAIS AUMENTATIVAS</w:t>
            </w:r>
          </w:p>
        </w:tc>
        <w:tc>
          <w:tcPr>
            <w:tcW w:w="835" w:type="dxa"/>
            <w:tcBorders>
              <w:top w:val="nil"/>
              <w:right w:val="single" w:sz="8" w:space="0" w:color="auto"/>
            </w:tcBorders>
            <w:shd w:val="clear" w:color="000000" w:fill="F2F2F2"/>
            <w:noWrap/>
            <w:vAlign w:val="center"/>
          </w:tcPr>
          <w:p w14:paraId="704E1EAE" w14:textId="77777777" w:rsidR="00F86B98" w:rsidRPr="00F86B98" w:rsidRDefault="00F86B98" w:rsidP="0015273C">
            <w:pPr>
              <w:spacing w:after="0" w:line="240" w:lineRule="auto"/>
              <w:jc w:val="center"/>
              <w:rPr>
                <w:rFonts w:ascii="Arial Narrow" w:eastAsia="Times New Roman" w:hAnsi="Arial Narrow" w:cs="Arial"/>
                <w:b/>
                <w:bCs/>
                <w:lang w:eastAsia="pt-BR"/>
              </w:rPr>
            </w:pPr>
          </w:p>
        </w:tc>
        <w:tc>
          <w:tcPr>
            <w:tcW w:w="1149" w:type="dxa"/>
            <w:vMerge w:val="restart"/>
            <w:tcBorders>
              <w:top w:val="nil"/>
              <w:left w:val="nil"/>
              <w:right w:val="single" w:sz="8" w:space="0" w:color="auto"/>
            </w:tcBorders>
            <w:shd w:val="clear" w:color="000000" w:fill="F2F2F2"/>
            <w:noWrap/>
            <w:vAlign w:val="center"/>
            <w:hideMark/>
          </w:tcPr>
          <w:p w14:paraId="7FFBF5F7" w14:textId="77777777" w:rsidR="00F86B98" w:rsidRPr="00F86B98" w:rsidRDefault="00F86B98" w:rsidP="0015273C">
            <w:pPr>
              <w:spacing w:after="0" w:line="240" w:lineRule="auto"/>
              <w:jc w:val="center"/>
              <w:rPr>
                <w:rFonts w:ascii="Arial Narrow" w:eastAsia="Times New Roman" w:hAnsi="Arial Narrow" w:cs="Arial"/>
                <w:b/>
                <w:bCs/>
                <w:lang w:eastAsia="pt-BR"/>
              </w:rPr>
            </w:pPr>
            <w:r w:rsidRPr="00F86B98">
              <w:rPr>
                <w:rFonts w:ascii="Arial Narrow" w:eastAsia="Times New Roman" w:hAnsi="Arial Narrow" w:cs="Arial"/>
                <w:b/>
                <w:bCs/>
                <w:lang w:eastAsia="pt-BR"/>
              </w:rPr>
              <w:t>Exercício Atual</w:t>
            </w:r>
          </w:p>
        </w:tc>
        <w:tc>
          <w:tcPr>
            <w:tcW w:w="1134" w:type="dxa"/>
            <w:vMerge w:val="restart"/>
            <w:tcBorders>
              <w:top w:val="nil"/>
              <w:left w:val="nil"/>
              <w:right w:val="single" w:sz="8" w:space="0" w:color="auto"/>
            </w:tcBorders>
            <w:shd w:val="clear" w:color="000000" w:fill="F2F2F2"/>
            <w:noWrap/>
            <w:vAlign w:val="center"/>
            <w:hideMark/>
          </w:tcPr>
          <w:p w14:paraId="0017EF35" w14:textId="77777777" w:rsidR="00F86B98" w:rsidRPr="00F86B98" w:rsidRDefault="00F86B98" w:rsidP="0015273C">
            <w:pPr>
              <w:spacing w:after="0" w:line="240" w:lineRule="auto"/>
              <w:jc w:val="center"/>
              <w:rPr>
                <w:rFonts w:ascii="Arial Narrow" w:eastAsia="Times New Roman" w:hAnsi="Arial Narrow" w:cs="Arial"/>
                <w:b/>
                <w:bCs/>
                <w:lang w:eastAsia="pt-BR"/>
              </w:rPr>
            </w:pPr>
            <w:r w:rsidRPr="00F86B98">
              <w:rPr>
                <w:rFonts w:ascii="Arial Narrow" w:eastAsia="Times New Roman" w:hAnsi="Arial Narrow" w:cs="Arial"/>
                <w:b/>
                <w:bCs/>
                <w:lang w:eastAsia="pt-BR"/>
              </w:rPr>
              <w:t>Exercício Anterior</w:t>
            </w:r>
          </w:p>
        </w:tc>
        <w:tc>
          <w:tcPr>
            <w:tcW w:w="4346" w:type="dxa"/>
            <w:vMerge w:val="restart"/>
            <w:tcBorders>
              <w:top w:val="nil"/>
              <w:left w:val="nil"/>
            </w:tcBorders>
            <w:shd w:val="clear" w:color="000000" w:fill="F2F2F2"/>
            <w:noWrap/>
            <w:vAlign w:val="center"/>
            <w:hideMark/>
          </w:tcPr>
          <w:p w14:paraId="31407C14" w14:textId="77777777" w:rsidR="00F86B98" w:rsidRPr="00F86B98" w:rsidRDefault="00F86B98" w:rsidP="0015273C">
            <w:pPr>
              <w:spacing w:after="0" w:line="240" w:lineRule="auto"/>
              <w:jc w:val="center"/>
              <w:rPr>
                <w:rFonts w:ascii="Arial Narrow" w:eastAsia="Times New Roman" w:hAnsi="Arial Narrow" w:cs="Arial"/>
                <w:b/>
                <w:bCs/>
                <w:lang w:eastAsia="pt-BR"/>
              </w:rPr>
            </w:pPr>
            <w:r w:rsidRPr="00F86B98">
              <w:rPr>
                <w:rFonts w:ascii="Arial Narrow" w:eastAsia="Times New Roman" w:hAnsi="Arial Narrow" w:cs="Arial"/>
                <w:b/>
                <w:bCs/>
                <w:lang w:eastAsia="pt-BR"/>
              </w:rPr>
              <w:t>VARIAÇÕES PATRIMONIAIS DIMINUTIVAS</w:t>
            </w:r>
          </w:p>
        </w:tc>
        <w:tc>
          <w:tcPr>
            <w:tcW w:w="846" w:type="dxa"/>
            <w:vMerge w:val="restart"/>
            <w:tcBorders>
              <w:top w:val="nil"/>
              <w:right w:val="single" w:sz="8" w:space="0" w:color="auto"/>
            </w:tcBorders>
            <w:shd w:val="clear" w:color="000000" w:fill="F2F2F2"/>
            <w:noWrap/>
            <w:vAlign w:val="center"/>
          </w:tcPr>
          <w:p w14:paraId="11E4CB1C" w14:textId="77777777" w:rsidR="00F86B98" w:rsidRPr="00F86B98" w:rsidRDefault="00F86B98" w:rsidP="0015273C">
            <w:pPr>
              <w:spacing w:after="0" w:line="240" w:lineRule="auto"/>
              <w:jc w:val="center"/>
              <w:rPr>
                <w:rFonts w:ascii="Arial Narrow" w:eastAsia="Times New Roman" w:hAnsi="Arial Narrow" w:cs="Arial"/>
                <w:b/>
                <w:bCs/>
                <w:lang w:eastAsia="pt-BR"/>
              </w:rPr>
            </w:pPr>
          </w:p>
        </w:tc>
        <w:tc>
          <w:tcPr>
            <w:tcW w:w="1045" w:type="dxa"/>
            <w:vMerge w:val="restart"/>
            <w:tcBorders>
              <w:top w:val="nil"/>
              <w:left w:val="nil"/>
              <w:right w:val="single" w:sz="8" w:space="0" w:color="auto"/>
            </w:tcBorders>
            <w:shd w:val="clear" w:color="000000" w:fill="F2F2F2"/>
            <w:noWrap/>
            <w:vAlign w:val="center"/>
            <w:hideMark/>
          </w:tcPr>
          <w:p w14:paraId="1150A8FF" w14:textId="77777777" w:rsidR="00F86B98" w:rsidRPr="00F86B98" w:rsidRDefault="00F86B98" w:rsidP="0015273C">
            <w:pPr>
              <w:spacing w:after="0" w:line="240" w:lineRule="auto"/>
              <w:jc w:val="center"/>
              <w:rPr>
                <w:rFonts w:ascii="Arial Narrow" w:eastAsia="Times New Roman" w:hAnsi="Arial Narrow" w:cs="Arial"/>
                <w:b/>
                <w:bCs/>
                <w:lang w:eastAsia="pt-BR"/>
              </w:rPr>
            </w:pPr>
            <w:r w:rsidRPr="00F86B98">
              <w:rPr>
                <w:rFonts w:ascii="Arial Narrow" w:eastAsia="Times New Roman" w:hAnsi="Arial Narrow" w:cs="Arial"/>
                <w:b/>
                <w:bCs/>
                <w:lang w:eastAsia="pt-BR"/>
              </w:rPr>
              <w:t>Exercício Atual</w:t>
            </w:r>
          </w:p>
        </w:tc>
        <w:tc>
          <w:tcPr>
            <w:tcW w:w="1120" w:type="dxa"/>
            <w:vMerge w:val="restart"/>
            <w:tcBorders>
              <w:top w:val="nil"/>
              <w:left w:val="nil"/>
              <w:right w:val="single" w:sz="8" w:space="0" w:color="auto"/>
            </w:tcBorders>
            <w:shd w:val="clear" w:color="000000" w:fill="F2F2F2"/>
            <w:noWrap/>
            <w:vAlign w:val="center"/>
            <w:hideMark/>
          </w:tcPr>
          <w:p w14:paraId="5E6FFE79" w14:textId="77777777" w:rsidR="00F86B98" w:rsidRPr="00F86B98" w:rsidRDefault="00F86B98" w:rsidP="0015273C">
            <w:pPr>
              <w:spacing w:after="0" w:line="240" w:lineRule="auto"/>
              <w:jc w:val="center"/>
              <w:rPr>
                <w:rFonts w:ascii="Arial Narrow" w:eastAsia="Times New Roman" w:hAnsi="Arial Narrow" w:cs="Arial"/>
                <w:b/>
                <w:bCs/>
                <w:lang w:eastAsia="pt-BR"/>
              </w:rPr>
            </w:pPr>
            <w:r w:rsidRPr="00F86B98">
              <w:rPr>
                <w:rFonts w:ascii="Arial Narrow" w:eastAsia="Times New Roman" w:hAnsi="Arial Narrow" w:cs="Arial"/>
                <w:b/>
                <w:bCs/>
                <w:lang w:eastAsia="pt-BR"/>
              </w:rPr>
              <w:t>Exercício Anterior</w:t>
            </w:r>
          </w:p>
        </w:tc>
      </w:tr>
      <w:tr w:rsidR="00F86B98" w:rsidRPr="00F86B98" w14:paraId="1BAF7DBF" w14:textId="77777777" w:rsidTr="0015273C">
        <w:trPr>
          <w:trHeight w:val="231"/>
        </w:trPr>
        <w:tc>
          <w:tcPr>
            <w:tcW w:w="4410" w:type="dxa"/>
            <w:vMerge/>
            <w:tcBorders>
              <w:left w:val="single" w:sz="8" w:space="0" w:color="auto"/>
              <w:bottom w:val="single" w:sz="8" w:space="0" w:color="auto"/>
            </w:tcBorders>
            <w:shd w:val="clear" w:color="000000" w:fill="F2F2F2"/>
            <w:noWrap/>
            <w:vAlign w:val="center"/>
          </w:tcPr>
          <w:p w14:paraId="697E4E9A" w14:textId="77777777" w:rsidR="00F86B98" w:rsidRPr="00F86B98" w:rsidRDefault="00F86B98" w:rsidP="0015273C">
            <w:pPr>
              <w:spacing w:after="0" w:line="240" w:lineRule="auto"/>
              <w:jc w:val="center"/>
              <w:rPr>
                <w:rFonts w:ascii="Arial Narrow" w:eastAsia="Times New Roman" w:hAnsi="Arial Narrow" w:cs="Arial"/>
                <w:b/>
                <w:bCs/>
                <w:lang w:eastAsia="pt-BR"/>
              </w:rPr>
            </w:pPr>
          </w:p>
        </w:tc>
        <w:tc>
          <w:tcPr>
            <w:tcW w:w="835" w:type="dxa"/>
            <w:tcBorders>
              <w:bottom w:val="single" w:sz="8" w:space="0" w:color="auto"/>
              <w:right w:val="single" w:sz="8" w:space="0" w:color="auto"/>
            </w:tcBorders>
            <w:shd w:val="clear" w:color="000000" w:fill="F2F2F2"/>
            <w:noWrap/>
            <w:vAlign w:val="center"/>
          </w:tcPr>
          <w:p w14:paraId="2D9A4FA0" w14:textId="77777777" w:rsidR="00F86B98" w:rsidRPr="00F86B98" w:rsidRDefault="00F86B98" w:rsidP="0015273C">
            <w:pPr>
              <w:spacing w:after="0" w:line="240" w:lineRule="auto"/>
              <w:jc w:val="center"/>
              <w:rPr>
                <w:rFonts w:ascii="Arial Narrow" w:eastAsia="Times New Roman" w:hAnsi="Arial Narrow" w:cs="Arial"/>
                <w:b/>
                <w:bCs/>
                <w:lang w:eastAsia="pt-BR"/>
              </w:rPr>
            </w:pPr>
          </w:p>
        </w:tc>
        <w:tc>
          <w:tcPr>
            <w:tcW w:w="1149" w:type="dxa"/>
            <w:vMerge/>
            <w:tcBorders>
              <w:left w:val="nil"/>
              <w:bottom w:val="single" w:sz="8" w:space="0" w:color="auto"/>
              <w:right w:val="single" w:sz="8" w:space="0" w:color="auto"/>
            </w:tcBorders>
            <w:shd w:val="clear" w:color="000000" w:fill="F2F2F2"/>
            <w:noWrap/>
            <w:vAlign w:val="center"/>
          </w:tcPr>
          <w:p w14:paraId="13ED7343" w14:textId="77777777" w:rsidR="00F86B98" w:rsidRPr="00F86B98" w:rsidRDefault="00F86B98" w:rsidP="0015273C">
            <w:pPr>
              <w:spacing w:after="0" w:line="240" w:lineRule="auto"/>
              <w:jc w:val="center"/>
              <w:rPr>
                <w:rFonts w:ascii="Arial Narrow" w:eastAsia="Times New Roman" w:hAnsi="Arial Narrow" w:cs="Arial"/>
                <w:b/>
                <w:bCs/>
                <w:lang w:eastAsia="pt-BR"/>
              </w:rPr>
            </w:pPr>
          </w:p>
        </w:tc>
        <w:tc>
          <w:tcPr>
            <w:tcW w:w="1134" w:type="dxa"/>
            <w:vMerge/>
            <w:tcBorders>
              <w:left w:val="nil"/>
              <w:bottom w:val="single" w:sz="8" w:space="0" w:color="auto"/>
              <w:right w:val="single" w:sz="8" w:space="0" w:color="auto"/>
            </w:tcBorders>
            <w:shd w:val="clear" w:color="000000" w:fill="F2F2F2"/>
            <w:noWrap/>
            <w:vAlign w:val="center"/>
          </w:tcPr>
          <w:p w14:paraId="176B856B" w14:textId="77777777" w:rsidR="00F86B98" w:rsidRPr="00F86B98" w:rsidRDefault="00F86B98" w:rsidP="0015273C">
            <w:pPr>
              <w:spacing w:after="0" w:line="240" w:lineRule="auto"/>
              <w:jc w:val="center"/>
              <w:rPr>
                <w:rFonts w:ascii="Arial Narrow" w:eastAsia="Times New Roman" w:hAnsi="Arial Narrow" w:cs="Arial"/>
                <w:b/>
                <w:bCs/>
                <w:lang w:eastAsia="pt-BR"/>
              </w:rPr>
            </w:pPr>
          </w:p>
        </w:tc>
        <w:tc>
          <w:tcPr>
            <w:tcW w:w="4346" w:type="dxa"/>
            <w:vMerge/>
            <w:tcBorders>
              <w:left w:val="nil"/>
              <w:bottom w:val="single" w:sz="8" w:space="0" w:color="auto"/>
            </w:tcBorders>
            <w:shd w:val="clear" w:color="000000" w:fill="F2F2F2"/>
            <w:noWrap/>
            <w:vAlign w:val="center"/>
          </w:tcPr>
          <w:p w14:paraId="12EA1691" w14:textId="77777777" w:rsidR="00F86B98" w:rsidRPr="00F86B98" w:rsidRDefault="00F86B98" w:rsidP="0015273C">
            <w:pPr>
              <w:spacing w:after="0" w:line="240" w:lineRule="auto"/>
              <w:jc w:val="center"/>
              <w:rPr>
                <w:rFonts w:ascii="Arial Narrow" w:eastAsia="Times New Roman" w:hAnsi="Arial Narrow" w:cs="Arial"/>
                <w:b/>
                <w:bCs/>
                <w:lang w:eastAsia="pt-BR"/>
              </w:rPr>
            </w:pPr>
          </w:p>
        </w:tc>
        <w:tc>
          <w:tcPr>
            <w:tcW w:w="846" w:type="dxa"/>
            <w:vMerge/>
            <w:tcBorders>
              <w:bottom w:val="single" w:sz="8" w:space="0" w:color="auto"/>
              <w:right w:val="single" w:sz="8" w:space="0" w:color="auto"/>
            </w:tcBorders>
            <w:shd w:val="clear" w:color="000000" w:fill="F2F2F2"/>
            <w:noWrap/>
            <w:vAlign w:val="center"/>
          </w:tcPr>
          <w:p w14:paraId="39707119" w14:textId="77777777" w:rsidR="00F86B98" w:rsidRPr="00F86B98" w:rsidRDefault="00F86B98" w:rsidP="0015273C">
            <w:pPr>
              <w:spacing w:after="0" w:line="240" w:lineRule="auto"/>
              <w:jc w:val="center"/>
              <w:rPr>
                <w:rFonts w:ascii="Arial Narrow" w:eastAsia="Times New Roman" w:hAnsi="Arial Narrow" w:cs="Arial"/>
                <w:b/>
                <w:bCs/>
                <w:lang w:eastAsia="pt-BR"/>
              </w:rPr>
            </w:pPr>
          </w:p>
        </w:tc>
        <w:tc>
          <w:tcPr>
            <w:tcW w:w="1045" w:type="dxa"/>
            <w:vMerge/>
            <w:tcBorders>
              <w:left w:val="nil"/>
              <w:bottom w:val="single" w:sz="8" w:space="0" w:color="auto"/>
              <w:right w:val="single" w:sz="8" w:space="0" w:color="auto"/>
            </w:tcBorders>
            <w:shd w:val="clear" w:color="000000" w:fill="F2F2F2"/>
            <w:noWrap/>
            <w:vAlign w:val="center"/>
          </w:tcPr>
          <w:p w14:paraId="29AF9D4E" w14:textId="77777777" w:rsidR="00F86B98" w:rsidRPr="00F86B98" w:rsidRDefault="00F86B98" w:rsidP="0015273C">
            <w:pPr>
              <w:spacing w:after="0" w:line="240" w:lineRule="auto"/>
              <w:jc w:val="center"/>
              <w:rPr>
                <w:rFonts w:ascii="Arial Narrow" w:eastAsia="Times New Roman" w:hAnsi="Arial Narrow" w:cs="Arial"/>
                <w:b/>
                <w:bCs/>
                <w:lang w:eastAsia="pt-BR"/>
              </w:rPr>
            </w:pPr>
          </w:p>
        </w:tc>
        <w:tc>
          <w:tcPr>
            <w:tcW w:w="1120" w:type="dxa"/>
            <w:vMerge/>
            <w:tcBorders>
              <w:left w:val="nil"/>
              <w:bottom w:val="single" w:sz="8" w:space="0" w:color="auto"/>
              <w:right w:val="single" w:sz="8" w:space="0" w:color="auto"/>
            </w:tcBorders>
            <w:shd w:val="clear" w:color="000000" w:fill="F2F2F2"/>
            <w:noWrap/>
            <w:vAlign w:val="center"/>
          </w:tcPr>
          <w:p w14:paraId="51328F47" w14:textId="77777777" w:rsidR="00F86B98" w:rsidRPr="00F86B98" w:rsidRDefault="00F86B98" w:rsidP="0015273C">
            <w:pPr>
              <w:spacing w:after="0" w:line="240" w:lineRule="auto"/>
              <w:jc w:val="center"/>
              <w:rPr>
                <w:rFonts w:ascii="Arial Narrow" w:eastAsia="Times New Roman" w:hAnsi="Arial Narrow" w:cs="Arial"/>
                <w:b/>
                <w:bCs/>
                <w:lang w:eastAsia="pt-BR"/>
              </w:rPr>
            </w:pPr>
          </w:p>
        </w:tc>
      </w:tr>
      <w:tr w:rsidR="00F86B98" w:rsidRPr="00F86B98" w14:paraId="46AB9B2D" w14:textId="77777777" w:rsidTr="0015273C">
        <w:trPr>
          <w:trHeight w:val="255"/>
        </w:trPr>
        <w:tc>
          <w:tcPr>
            <w:tcW w:w="4410" w:type="dxa"/>
            <w:tcBorders>
              <w:top w:val="nil"/>
              <w:left w:val="single" w:sz="8" w:space="0" w:color="auto"/>
              <w:bottom w:val="nil"/>
            </w:tcBorders>
            <w:shd w:val="clear" w:color="auto" w:fill="auto"/>
            <w:noWrap/>
            <w:vAlign w:val="center"/>
            <w:hideMark/>
          </w:tcPr>
          <w:p w14:paraId="3677D1E4" w14:textId="77777777" w:rsidR="00F86B98" w:rsidRPr="00F86B98" w:rsidRDefault="00F86B98" w:rsidP="0015273C">
            <w:pPr>
              <w:spacing w:after="0" w:line="240" w:lineRule="auto"/>
              <w:rPr>
                <w:rFonts w:ascii="Arial Narrow" w:eastAsia="Times New Roman" w:hAnsi="Arial Narrow" w:cs="Arial"/>
                <w:b/>
                <w:bCs/>
                <w:sz w:val="16"/>
                <w:szCs w:val="16"/>
                <w:u w:val="single"/>
                <w:lang w:eastAsia="pt-BR"/>
              </w:rPr>
            </w:pPr>
            <w:r w:rsidRPr="00F86B98">
              <w:rPr>
                <w:rFonts w:ascii="Arial Narrow" w:eastAsia="Times New Roman" w:hAnsi="Arial Narrow" w:cs="Arial"/>
                <w:b/>
                <w:bCs/>
                <w:sz w:val="16"/>
                <w:szCs w:val="16"/>
                <w:u w:val="single"/>
                <w:lang w:eastAsia="pt-BR"/>
              </w:rPr>
              <w:t>Impostos, Taxas e Contribuições de Melhoria</w:t>
            </w:r>
          </w:p>
        </w:tc>
        <w:tc>
          <w:tcPr>
            <w:tcW w:w="835" w:type="dxa"/>
            <w:tcBorders>
              <w:top w:val="nil"/>
              <w:bottom w:val="nil"/>
              <w:right w:val="single" w:sz="8" w:space="0" w:color="auto"/>
            </w:tcBorders>
            <w:shd w:val="clear" w:color="auto" w:fill="auto"/>
            <w:noWrap/>
            <w:vAlign w:val="center"/>
          </w:tcPr>
          <w:p w14:paraId="2DBBF8F0" w14:textId="77777777" w:rsidR="00F86B98" w:rsidRPr="00F86B98" w:rsidRDefault="00F86B98" w:rsidP="0015273C">
            <w:pPr>
              <w:spacing w:after="0" w:line="240" w:lineRule="auto"/>
              <w:jc w:val="center"/>
              <w:rPr>
                <w:rFonts w:ascii="Arial Narrow" w:eastAsia="Times New Roman" w:hAnsi="Arial Narrow" w:cs="Arial"/>
                <w:b/>
                <w:bCs/>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1F49D240" w14:textId="77777777" w:rsidR="00F86B98" w:rsidRPr="00F86B98" w:rsidRDefault="00F86B98" w:rsidP="0015273C">
            <w:pPr>
              <w:spacing w:after="0" w:line="240" w:lineRule="auto"/>
              <w:jc w:val="center"/>
              <w:rPr>
                <w:rFonts w:ascii="Arial Narrow" w:eastAsia="Times New Roman" w:hAnsi="Arial Narrow" w:cs="Arial"/>
                <w:b/>
                <w:bCs/>
                <w:sz w:val="16"/>
                <w:szCs w:val="16"/>
                <w:lang w:eastAsia="pt-BR"/>
              </w:rPr>
            </w:pPr>
            <w:r w:rsidRPr="00F86B98">
              <w:rPr>
                <w:rFonts w:ascii="Arial Narrow" w:eastAsia="Times New Roman" w:hAnsi="Arial Narrow" w:cs="Arial"/>
                <w:b/>
                <w:bCs/>
                <w:sz w:val="16"/>
                <w:szCs w:val="16"/>
                <w:lang w:eastAsia="pt-BR"/>
              </w:rPr>
              <w:t>DVP.D009</w:t>
            </w:r>
          </w:p>
        </w:tc>
        <w:tc>
          <w:tcPr>
            <w:tcW w:w="1134" w:type="dxa"/>
            <w:tcBorders>
              <w:top w:val="nil"/>
              <w:left w:val="nil"/>
              <w:bottom w:val="nil"/>
              <w:right w:val="single" w:sz="8" w:space="0" w:color="auto"/>
            </w:tcBorders>
            <w:shd w:val="clear" w:color="auto" w:fill="auto"/>
            <w:noWrap/>
            <w:vAlign w:val="center"/>
            <w:hideMark/>
          </w:tcPr>
          <w:p w14:paraId="6E13AA87" w14:textId="77777777" w:rsidR="00F86B98" w:rsidRPr="00F86B98" w:rsidRDefault="00F86B98" w:rsidP="0015273C">
            <w:pPr>
              <w:spacing w:after="0" w:line="240" w:lineRule="auto"/>
              <w:jc w:val="center"/>
              <w:rPr>
                <w:rFonts w:ascii="Arial Narrow" w:eastAsia="Times New Roman" w:hAnsi="Arial Narrow" w:cs="Arial"/>
                <w:b/>
                <w:bCs/>
                <w:sz w:val="16"/>
                <w:szCs w:val="16"/>
                <w:lang w:eastAsia="pt-BR"/>
              </w:rPr>
            </w:pPr>
            <w:r w:rsidRPr="00F86B98">
              <w:rPr>
                <w:rFonts w:ascii="Arial Narrow" w:eastAsia="Times New Roman" w:hAnsi="Arial Narrow" w:cs="Arial"/>
                <w:b/>
                <w:bCs/>
                <w:sz w:val="16"/>
                <w:szCs w:val="16"/>
                <w:lang w:eastAsia="pt-BR"/>
              </w:rPr>
              <w:t>DVP.E009</w:t>
            </w:r>
          </w:p>
        </w:tc>
        <w:tc>
          <w:tcPr>
            <w:tcW w:w="4346" w:type="dxa"/>
            <w:tcBorders>
              <w:top w:val="nil"/>
              <w:left w:val="nil"/>
              <w:bottom w:val="nil"/>
            </w:tcBorders>
            <w:shd w:val="clear" w:color="auto" w:fill="auto"/>
            <w:noWrap/>
            <w:vAlign w:val="center"/>
            <w:hideMark/>
          </w:tcPr>
          <w:p w14:paraId="0381EF9D" w14:textId="77777777" w:rsidR="00F86B98" w:rsidRPr="00F86B98" w:rsidRDefault="00F86B98" w:rsidP="0015273C">
            <w:pPr>
              <w:spacing w:after="0" w:line="240" w:lineRule="auto"/>
              <w:rPr>
                <w:rFonts w:ascii="Arial Narrow" w:eastAsia="Times New Roman" w:hAnsi="Arial Narrow" w:cs="Arial"/>
                <w:b/>
                <w:bCs/>
                <w:sz w:val="16"/>
                <w:szCs w:val="16"/>
                <w:u w:val="single"/>
                <w:lang w:eastAsia="pt-BR"/>
              </w:rPr>
            </w:pPr>
            <w:r w:rsidRPr="00F86B98">
              <w:rPr>
                <w:rFonts w:ascii="Arial Narrow" w:eastAsia="Times New Roman" w:hAnsi="Arial Narrow" w:cs="Arial"/>
                <w:b/>
                <w:bCs/>
                <w:sz w:val="16"/>
                <w:szCs w:val="16"/>
                <w:u w:val="single"/>
                <w:lang w:eastAsia="pt-BR"/>
              </w:rPr>
              <w:t xml:space="preserve">Pessoal e Encargos </w:t>
            </w:r>
          </w:p>
        </w:tc>
        <w:tc>
          <w:tcPr>
            <w:tcW w:w="846" w:type="dxa"/>
            <w:tcBorders>
              <w:top w:val="nil"/>
              <w:bottom w:val="nil"/>
              <w:right w:val="single" w:sz="8" w:space="0" w:color="auto"/>
            </w:tcBorders>
            <w:shd w:val="clear" w:color="auto" w:fill="auto"/>
            <w:noWrap/>
            <w:vAlign w:val="center"/>
          </w:tcPr>
          <w:p w14:paraId="2AD2032C" w14:textId="77777777" w:rsidR="00F86B98" w:rsidRPr="00F86B98" w:rsidRDefault="00F86B98" w:rsidP="0015273C">
            <w:pPr>
              <w:spacing w:after="0" w:line="240" w:lineRule="auto"/>
              <w:jc w:val="center"/>
              <w:rPr>
                <w:rFonts w:ascii="Arial Narrow" w:eastAsia="Times New Roman" w:hAnsi="Arial Narrow" w:cs="Arial"/>
                <w:b/>
                <w:bCs/>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55D07E1C" w14:textId="77777777" w:rsidR="00F86B98" w:rsidRPr="00F86B98" w:rsidRDefault="00F86B98" w:rsidP="0015273C">
            <w:pPr>
              <w:spacing w:after="0" w:line="240" w:lineRule="auto"/>
              <w:jc w:val="center"/>
              <w:rPr>
                <w:rFonts w:ascii="Arial Narrow" w:eastAsia="Times New Roman" w:hAnsi="Arial Narrow" w:cs="Arial"/>
                <w:b/>
                <w:bCs/>
                <w:sz w:val="16"/>
                <w:szCs w:val="16"/>
                <w:lang w:eastAsia="pt-BR"/>
              </w:rPr>
            </w:pPr>
            <w:r w:rsidRPr="00F86B98">
              <w:rPr>
                <w:rFonts w:ascii="Arial Narrow" w:eastAsia="Times New Roman" w:hAnsi="Arial Narrow" w:cs="Arial"/>
                <w:b/>
                <w:bCs/>
                <w:sz w:val="16"/>
                <w:szCs w:val="16"/>
                <w:lang w:eastAsia="pt-BR"/>
              </w:rPr>
              <w:t>DVP.H009</w:t>
            </w:r>
          </w:p>
        </w:tc>
        <w:tc>
          <w:tcPr>
            <w:tcW w:w="1120" w:type="dxa"/>
            <w:tcBorders>
              <w:top w:val="nil"/>
              <w:left w:val="nil"/>
              <w:bottom w:val="nil"/>
              <w:right w:val="single" w:sz="8" w:space="0" w:color="auto"/>
            </w:tcBorders>
            <w:shd w:val="clear" w:color="auto" w:fill="auto"/>
            <w:noWrap/>
            <w:vAlign w:val="center"/>
            <w:hideMark/>
          </w:tcPr>
          <w:p w14:paraId="3A82CAD2" w14:textId="77777777" w:rsidR="00F86B98" w:rsidRPr="00F86B98" w:rsidRDefault="00F86B98" w:rsidP="0015273C">
            <w:pPr>
              <w:spacing w:after="0" w:line="240" w:lineRule="auto"/>
              <w:jc w:val="center"/>
              <w:rPr>
                <w:rFonts w:ascii="Arial Narrow" w:eastAsia="Times New Roman" w:hAnsi="Arial Narrow" w:cs="Arial"/>
                <w:b/>
                <w:bCs/>
                <w:sz w:val="16"/>
                <w:szCs w:val="16"/>
                <w:lang w:eastAsia="pt-BR"/>
              </w:rPr>
            </w:pPr>
            <w:r w:rsidRPr="00F86B98">
              <w:rPr>
                <w:rFonts w:ascii="Arial Narrow" w:eastAsia="Times New Roman" w:hAnsi="Arial Narrow" w:cs="Arial"/>
                <w:b/>
                <w:bCs/>
                <w:sz w:val="16"/>
                <w:szCs w:val="16"/>
                <w:lang w:eastAsia="pt-BR"/>
              </w:rPr>
              <w:t>DVP.I009</w:t>
            </w:r>
          </w:p>
        </w:tc>
      </w:tr>
      <w:tr w:rsidR="00F86B98" w:rsidRPr="00F86B98" w14:paraId="307736AE" w14:textId="77777777" w:rsidTr="0015273C">
        <w:trPr>
          <w:trHeight w:val="255"/>
        </w:trPr>
        <w:tc>
          <w:tcPr>
            <w:tcW w:w="4410" w:type="dxa"/>
            <w:tcBorders>
              <w:top w:val="nil"/>
              <w:left w:val="single" w:sz="8" w:space="0" w:color="auto"/>
              <w:bottom w:val="nil"/>
            </w:tcBorders>
            <w:shd w:val="clear" w:color="auto" w:fill="auto"/>
            <w:noWrap/>
            <w:vAlign w:val="center"/>
            <w:hideMark/>
          </w:tcPr>
          <w:p w14:paraId="406CF2BA" w14:textId="77777777" w:rsidR="00F86B98" w:rsidRPr="00F86B98" w:rsidRDefault="00F86B98" w:rsidP="0015273C">
            <w:pPr>
              <w:spacing w:after="0" w:line="240" w:lineRule="auto"/>
              <w:ind w:firstLineChars="200" w:firstLine="320"/>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Impostos</w:t>
            </w:r>
          </w:p>
        </w:tc>
        <w:tc>
          <w:tcPr>
            <w:tcW w:w="835" w:type="dxa"/>
            <w:tcBorders>
              <w:top w:val="nil"/>
              <w:bottom w:val="nil"/>
              <w:right w:val="single" w:sz="8" w:space="0" w:color="auto"/>
            </w:tcBorders>
            <w:shd w:val="clear" w:color="auto" w:fill="auto"/>
            <w:noWrap/>
            <w:vAlign w:val="center"/>
          </w:tcPr>
          <w:p w14:paraId="2EA89A32"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153034BA"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DVP.D010</w:t>
            </w:r>
          </w:p>
        </w:tc>
        <w:tc>
          <w:tcPr>
            <w:tcW w:w="1134" w:type="dxa"/>
            <w:tcBorders>
              <w:top w:val="nil"/>
              <w:left w:val="nil"/>
              <w:bottom w:val="nil"/>
              <w:right w:val="single" w:sz="8" w:space="0" w:color="auto"/>
            </w:tcBorders>
            <w:shd w:val="clear" w:color="auto" w:fill="auto"/>
            <w:noWrap/>
            <w:vAlign w:val="center"/>
            <w:hideMark/>
          </w:tcPr>
          <w:p w14:paraId="75637EC3"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DVP.E010</w:t>
            </w:r>
          </w:p>
        </w:tc>
        <w:tc>
          <w:tcPr>
            <w:tcW w:w="4346" w:type="dxa"/>
            <w:tcBorders>
              <w:top w:val="nil"/>
              <w:left w:val="nil"/>
              <w:bottom w:val="nil"/>
            </w:tcBorders>
            <w:shd w:val="clear" w:color="auto" w:fill="auto"/>
            <w:noWrap/>
            <w:vAlign w:val="center"/>
            <w:hideMark/>
          </w:tcPr>
          <w:p w14:paraId="0502EBB7" w14:textId="77777777" w:rsidR="00F86B98" w:rsidRPr="00F86B98" w:rsidRDefault="00F86B98" w:rsidP="0015273C">
            <w:pPr>
              <w:spacing w:after="0" w:line="240" w:lineRule="auto"/>
              <w:ind w:firstLineChars="200" w:firstLine="320"/>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Remuneração a Pessoal</w:t>
            </w:r>
          </w:p>
        </w:tc>
        <w:tc>
          <w:tcPr>
            <w:tcW w:w="846" w:type="dxa"/>
            <w:tcBorders>
              <w:top w:val="nil"/>
              <w:bottom w:val="nil"/>
              <w:right w:val="single" w:sz="8" w:space="0" w:color="auto"/>
            </w:tcBorders>
            <w:shd w:val="clear" w:color="auto" w:fill="auto"/>
            <w:noWrap/>
            <w:vAlign w:val="center"/>
          </w:tcPr>
          <w:p w14:paraId="5C197C1C"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58BB1397"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DVP.H010</w:t>
            </w:r>
          </w:p>
        </w:tc>
        <w:tc>
          <w:tcPr>
            <w:tcW w:w="1120" w:type="dxa"/>
            <w:tcBorders>
              <w:top w:val="nil"/>
              <w:left w:val="nil"/>
              <w:bottom w:val="nil"/>
              <w:right w:val="single" w:sz="8" w:space="0" w:color="auto"/>
            </w:tcBorders>
            <w:shd w:val="clear" w:color="auto" w:fill="auto"/>
            <w:noWrap/>
            <w:vAlign w:val="center"/>
            <w:hideMark/>
          </w:tcPr>
          <w:p w14:paraId="1BEB6465"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DVP.I010</w:t>
            </w:r>
          </w:p>
        </w:tc>
      </w:tr>
      <w:tr w:rsidR="00F86B98" w:rsidRPr="00F86B98" w14:paraId="00D2D712" w14:textId="77777777" w:rsidTr="0015273C">
        <w:trPr>
          <w:trHeight w:val="240"/>
        </w:trPr>
        <w:tc>
          <w:tcPr>
            <w:tcW w:w="4410" w:type="dxa"/>
            <w:tcBorders>
              <w:top w:val="nil"/>
              <w:left w:val="single" w:sz="8" w:space="0" w:color="auto"/>
              <w:bottom w:val="nil"/>
            </w:tcBorders>
            <w:shd w:val="clear" w:color="auto" w:fill="auto"/>
            <w:noWrap/>
            <w:vAlign w:val="center"/>
            <w:hideMark/>
          </w:tcPr>
          <w:p w14:paraId="68798FB2" w14:textId="77777777" w:rsidR="00F86B98" w:rsidRPr="00F86B98" w:rsidRDefault="00F86B98" w:rsidP="0015273C">
            <w:pPr>
              <w:spacing w:after="0" w:line="240" w:lineRule="auto"/>
              <w:ind w:firstLineChars="200" w:firstLine="320"/>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Taxas</w:t>
            </w:r>
          </w:p>
        </w:tc>
        <w:tc>
          <w:tcPr>
            <w:tcW w:w="835" w:type="dxa"/>
            <w:tcBorders>
              <w:top w:val="nil"/>
              <w:bottom w:val="nil"/>
              <w:right w:val="single" w:sz="8" w:space="0" w:color="auto"/>
            </w:tcBorders>
            <w:shd w:val="clear" w:color="auto" w:fill="auto"/>
            <w:noWrap/>
            <w:vAlign w:val="center"/>
          </w:tcPr>
          <w:p w14:paraId="1A8A7B61"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4DABF84D"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DVP.D011</w:t>
            </w:r>
          </w:p>
        </w:tc>
        <w:tc>
          <w:tcPr>
            <w:tcW w:w="1134" w:type="dxa"/>
            <w:tcBorders>
              <w:top w:val="nil"/>
              <w:left w:val="nil"/>
              <w:bottom w:val="nil"/>
              <w:right w:val="single" w:sz="8" w:space="0" w:color="auto"/>
            </w:tcBorders>
            <w:shd w:val="clear" w:color="auto" w:fill="auto"/>
            <w:noWrap/>
            <w:vAlign w:val="center"/>
            <w:hideMark/>
          </w:tcPr>
          <w:p w14:paraId="5961876D"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DVP.E011</w:t>
            </w:r>
          </w:p>
        </w:tc>
        <w:tc>
          <w:tcPr>
            <w:tcW w:w="4346" w:type="dxa"/>
            <w:tcBorders>
              <w:top w:val="nil"/>
              <w:left w:val="nil"/>
              <w:bottom w:val="nil"/>
            </w:tcBorders>
            <w:shd w:val="clear" w:color="auto" w:fill="auto"/>
            <w:noWrap/>
            <w:vAlign w:val="center"/>
            <w:hideMark/>
          </w:tcPr>
          <w:p w14:paraId="0D953831" w14:textId="77777777" w:rsidR="00F86B98" w:rsidRPr="00F86B98" w:rsidRDefault="00F86B98" w:rsidP="0015273C">
            <w:pPr>
              <w:spacing w:after="0" w:line="240" w:lineRule="auto"/>
              <w:ind w:firstLineChars="200" w:firstLine="320"/>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Encargos Patronais</w:t>
            </w:r>
          </w:p>
        </w:tc>
        <w:tc>
          <w:tcPr>
            <w:tcW w:w="846" w:type="dxa"/>
            <w:tcBorders>
              <w:top w:val="nil"/>
              <w:bottom w:val="nil"/>
              <w:right w:val="single" w:sz="8" w:space="0" w:color="auto"/>
            </w:tcBorders>
            <w:shd w:val="clear" w:color="auto" w:fill="auto"/>
            <w:noWrap/>
            <w:vAlign w:val="center"/>
          </w:tcPr>
          <w:p w14:paraId="3099703E"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0973B618"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DVP.H011</w:t>
            </w:r>
          </w:p>
        </w:tc>
        <w:tc>
          <w:tcPr>
            <w:tcW w:w="1120" w:type="dxa"/>
            <w:tcBorders>
              <w:top w:val="nil"/>
              <w:left w:val="nil"/>
              <w:bottom w:val="nil"/>
              <w:right w:val="single" w:sz="8" w:space="0" w:color="auto"/>
            </w:tcBorders>
            <w:shd w:val="clear" w:color="auto" w:fill="auto"/>
            <w:noWrap/>
            <w:vAlign w:val="center"/>
            <w:hideMark/>
          </w:tcPr>
          <w:p w14:paraId="371D79B5"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DVP.I011</w:t>
            </w:r>
          </w:p>
        </w:tc>
      </w:tr>
      <w:tr w:rsidR="00F86B98" w:rsidRPr="00F86B98" w14:paraId="52DAA0C7" w14:textId="77777777" w:rsidTr="0015273C">
        <w:trPr>
          <w:trHeight w:val="240"/>
        </w:trPr>
        <w:tc>
          <w:tcPr>
            <w:tcW w:w="4410" w:type="dxa"/>
            <w:tcBorders>
              <w:top w:val="nil"/>
              <w:left w:val="single" w:sz="8" w:space="0" w:color="auto"/>
              <w:bottom w:val="nil"/>
            </w:tcBorders>
            <w:shd w:val="clear" w:color="auto" w:fill="auto"/>
            <w:noWrap/>
            <w:vAlign w:val="center"/>
            <w:hideMark/>
          </w:tcPr>
          <w:p w14:paraId="33917780" w14:textId="77777777" w:rsidR="00F86B98" w:rsidRPr="00F86B98" w:rsidRDefault="00F86B98" w:rsidP="0015273C">
            <w:pPr>
              <w:spacing w:after="0" w:line="240" w:lineRule="auto"/>
              <w:ind w:firstLineChars="200" w:firstLine="320"/>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Contribuições de Melhoria</w:t>
            </w:r>
          </w:p>
        </w:tc>
        <w:tc>
          <w:tcPr>
            <w:tcW w:w="835" w:type="dxa"/>
            <w:tcBorders>
              <w:top w:val="nil"/>
              <w:bottom w:val="nil"/>
              <w:right w:val="single" w:sz="8" w:space="0" w:color="auto"/>
            </w:tcBorders>
            <w:shd w:val="clear" w:color="auto" w:fill="auto"/>
            <w:noWrap/>
            <w:vAlign w:val="center"/>
          </w:tcPr>
          <w:p w14:paraId="6EA2388C"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60605066"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DVP.D012</w:t>
            </w:r>
          </w:p>
        </w:tc>
        <w:tc>
          <w:tcPr>
            <w:tcW w:w="1134" w:type="dxa"/>
            <w:tcBorders>
              <w:top w:val="nil"/>
              <w:left w:val="nil"/>
              <w:bottom w:val="nil"/>
              <w:right w:val="single" w:sz="8" w:space="0" w:color="auto"/>
            </w:tcBorders>
            <w:shd w:val="clear" w:color="auto" w:fill="auto"/>
            <w:noWrap/>
            <w:vAlign w:val="center"/>
            <w:hideMark/>
          </w:tcPr>
          <w:p w14:paraId="69F9531C"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DVP.E012</w:t>
            </w:r>
          </w:p>
        </w:tc>
        <w:tc>
          <w:tcPr>
            <w:tcW w:w="4346" w:type="dxa"/>
            <w:tcBorders>
              <w:top w:val="nil"/>
              <w:left w:val="nil"/>
              <w:bottom w:val="nil"/>
            </w:tcBorders>
            <w:shd w:val="clear" w:color="auto" w:fill="auto"/>
            <w:noWrap/>
            <w:vAlign w:val="center"/>
            <w:hideMark/>
          </w:tcPr>
          <w:p w14:paraId="1CF65541" w14:textId="77777777" w:rsidR="00F86B98" w:rsidRPr="00F86B98" w:rsidRDefault="00F86B98" w:rsidP="0015273C">
            <w:pPr>
              <w:spacing w:after="0" w:line="240" w:lineRule="auto"/>
              <w:ind w:firstLineChars="200" w:firstLine="320"/>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Benefícios a Pessoal</w:t>
            </w:r>
          </w:p>
        </w:tc>
        <w:tc>
          <w:tcPr>
            <w:tcW w:w="846" w:type="dxa"/>
            <w:tcBorders>
              <w:top w:val="nil"/>
              <w:bottom w:val="nil"/>
              <w:right w:val="single" w:sz="8" w:space="0" w:color="auto"/>
            </w:tcBorders>
            <w:shd w:val="clear" w:color="auto" w:fill="auto"/>
            <w:noWrap/>
            <w:vAlign w:val="center"/>
          </w:tcPr>
          <w:p w14:paraId="313170A9"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50BBD943"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DVP.H012</w:t>
            </w:r>
          </w:p>
        </w:tc>
        <w:tc>
          <w:tcPr>
            <w:tcW w:w="1120" w:type="dxa"/>
            <w:tcBorders>
              <w:top w:val="nil"/>
              <w:left w:val="nil"/>
              <w:bottom w:val="nil"/>
              <w:right w:val="single" w:sz="8" w:space="0" w:color="auto"/>
            </w:tcBorders>
            <w:shd w:val="clear" w:color="auto" w:fill="auto"/>
            <w:noWrap/>
            <w:vAlign w:val="center"/>
            <w:hideMark/>
          </w:tcPr>
          <w:p w14:paraId="518ABF52"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DVP.I012</w:t>
            </w:r>
          </w:p>
        </w:tc>
      </w:tr>
      <w:tr w:rsidR="00F86B98" w:rsidRPr="00F86B98" w14:paraId="635EBB69" w14:textId="77777777" w:rsidTr="0015273C">
        <w:trPr>
          <w:trHeight w:val="240"/>
        </w:trPr>
        <w:tc>
          <w:tcPr>
            <w:tcW w:w="4410" w:type="dxa"/>
            <w:tcBorders>
              <w:top w:val="nil"/>
              <w:left w:val="single" w:sz="8" w:space="0" w:color="auto"/>
              <w:bottom w:val="nil"/>
            </w:tcBorders>
            <w:shd w:val="clear" w:color="auto" w:fill="auto"/>
            <w:noWrap/>
            <w:vAlign w:val="center"/>
            <w:hideMark/>
          </w:tcPr>
          <w:p w14:paraId="2856D307" w14:textId="77777777" w:rsidR="00F86B98" w:rsidRPr="00F86B98" w:rsidRDefault="00F86B98" w:rsidP="0015273C">
            <w:pPr>
              <w:spacing w:after="0" w:line="240" w:lineRule="auto"/>
              <w:rPr>
                <w:rFonts w:ascii="Arial Narrow" w:eastAsia="Times New Roman" w:hAnsi="Arial Narrow" w:cs="Arial"/>
                <w:b/>
                <w:bCs/>
                <w:sz w:val="16"/>
                <w:szCs w:val="16"/>
                <w:u w:val="single"/>
                <w:lang w:eastAsia="pt-BR"/>
              </w:rPr>
            </w:pPr>
            <w:r w:rsidRPr="00F86B98">
              <w:rPr>
                <w:rFonts w:ascii="Arial Narrow" w:eastAsia="Times New Roman" w:hAnsi="Arial Narrow" w:cs="Arial"/>
                <w:b/>
                <w:bCs/>
                <w:sz w:val="16"/>
                <w:szCs w:val="16"/>
                <w:u w:val="single"/>
                <w:lang w:eastAsia="pt-BR"/>
              </w:rPr>
              <w:t>Contribuições</w:t>
            </w:r>
          </w:p>
        </w:tc>
        <w:tc>
          <w:tcPr>
            <w:tcW w:w="835" w:type="dxa"/>
            <w:tcBorders>
              <w:top w:val="nil"/>
              <w:bottom w:val="nil"/>
              <w:right w:val="single" w:sz="8" w:space="0" w:color="auto"/>
            </w:tcBorders>
            <w:shd w:val="clear" w:color="auto" w:fill="auto"/>
            <w:noWrap/>
            <w:vAlign w:val="center"/>
          </w:tcPr>
          <w:p w14:paraId="25EA7A21" w14:textId="77777777" w:rsidR="00F86B98" w:rsidRPr="00F86B98" w:rsidRDefault="00F86B98" w:rsidP="0015273C">
            <w:pPr>
              <w:spacing w:after="0" w:line="240" w:lineRule="auto"/>
              <w:jc w:val="center"/>
              <w:rPr>
                <w:rFonts w:ascii="Arial Narrow" w:eastAsia="Times New Roman" w:hAnsi="Arial Narrow" w:cs="Arial"/>
                <w:b/>
                <w:bCs/>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2F5BFB83" w14:textId="77777777" w:rsidR="00F86B98" w:rsidRPr="00F86B98" w:rsidRDefault="00F86B98" w:rsidP="0015273C">
            <w:pPr>
              <w:spacing w:after="0" w:line="240" w:lineRule="auto"/>
              <w:jc w:val="center"/>
              <w:rPr>
                <w:rFonts w:ascii="Arial Narrow" w:eastAsia="Times New Roman" w:hAnsi="Arial Narrow" w:cs="Arial"/>
                <w:b/>
                <w:bCs/>
                <w:sz w:val="16"/>
                <w:szCs w:val="16"/>
                <w:lang w:eastAsia="pt-BR"/>
              </w:rPr>
            </w:pPr>
            <w:r w:rsidRPr="00F86B98">
              <w:rPr>
                <w:rFonts w:ascii="Arial Narrow" w:eastAsia="Times New Roman" w:hAnsi="Arial Narrow" w:cs="Arial"/>
                <w:b/>
                <w:bCs/>
                <w:sz w:val="16"/>
                <w:szCs w:val="16"/>
                <w:lang w:eastAsia="pt-BR"/>
              </w:rPr>
              <w:t>DVP.D013</w:t>
            </w:r>
          </w:p>
        </w:tc>
        <w:tc>
          <w:tcPr>
            <w:tcW w:w="1134" w:type="dxa"/>
            <w:tcBorders>
              <w:top w:val="nil"/>
              <w:left w:val="nil"/>
              <w:bottom w:val="nil"/>
              <w:right w:val="single" w:sz="8" w:space="0" w:color="auto"/>
            </w:tcBorders>
            <w:shd w:val="clear" w:color="auto" w:fill="auto"/>
            <w:noWrap/>
            <w:vAlign w:val="center"/>
            <w:hideMark/>
          </w:tcPr>
          <w:p w14:paraId="76CC9AEA" w14:textId="77777777" w:rsidR="00F86B98" w:rsidRPr="00F86B98" w:rsidRDefault="00F86B98" w:rsidP="0015273C">
            <w:pPr>
              <w:spacing w:after="0" w:line="240" w:lineRule="auto"/>
              <w:jc w:val="center"/>
              <w:rPr>
                <w:rFonts w:ascii="Arial Narrow" w:eastAsia="Times New Roman" w:hAnsi="Arial Narrow" w:cs="Arial"/>
                <w:b/>
                <w:bCs/>
                <w:sz w:val="16"/>
                <w:szCs w:val="16"/>
                <w:lang w:eastAsia="pt-BR"/>
              </w:rPr>
            </w:pPr>
            <w:r w:rsidRPr="00F86B98">
              <w:rPr>
                <w:rFonts w:ascii="Arial Narrow" w:eastAsia="Times New Roman" w:hAnsi="Arial Narrow" w:cs="Arial"/>
                <w:b/>
                <w:bCs/>
                <w:sz w:val="16"/>
                <w:szCs w:val="16"/>
                <w:lang w:eastAsia="pt-BR"/>
              </w:rPr>
              <w:t>DVP.E013</w:t>
            </w:r>
          </w:p>
        </w:tc>
        <w:tc>
          <w:tcPr>
            <w:tcW w:w="4346" w:type="dxa"/>
            <w:tcBorders>
              <w:top w:val="nil"/>
              <w:left w:val="nil"/>
              <w:bottom w:val="nil"/>
            </w:tcBorders>
            <w:shd w:val="clear" w:color="auto" w:fill="auto"/>
            <w:noWrap/>
            <w:vAlign w:val="center"/>
            <w:hideMark/>
          </w:tcPr>
          <w:p w14:paraId="22600A68" w14:textId="77777777" w:rsidR="00F86B98" w:rsidRPr="00F86B98" w:rsidRDefault="00F86B98" w:rsidP="0015273C">
            <w:pPr>
              <w:spacing w:after="0" w:line="240" w:lineRule="auto"/>
              <w:ind w:firstLineChars="200" w:firstLine="320"/>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Outras Variações Patrimonais Diminutivas - Pessoal e Encargos</w:t>
            </w:r>
          </w:p>
        </w:tc>
        <w:tc>
          <w:tcPr>
            <w:tcW w:w="846" w:type="dxa"/>
            <w:tcBorders>
              <w:top w:val="nil"/>
              <w:bottom w:val="nil"/>
              <w:right w:val="single" w:sz="8" w:space="0" w:color="auto"/>
            </w:tcBorders>
            <w:shd w:val="clear" w:color="auto" w:fill="auto"/>
            <w:noWrap/>
            <w:vAlign w:val="center"/>
          </w:tcPr>
          <w:p w14:paraId="597BF3F3"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034A85A7"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DVP.H013</w:t>
            </w:r>
          </w:p>
        </w:tc>
        <w:tc>
          <w:tcPr>
            <w:tcW w:w="1120" w:type="dxa"/>
            <w:tcBorders>
              <w:top w:val="nil"/>
              <w:left w:val="nil"/>
              <w:bottom w:val="nil"/>
              <w:right w:val="single" w:sz="8" w:space="0" w:color="auto"/>
            </w:tcBorders>
            <w:shd w:val="clear" w:color="auto" w:fill="auto"/>
            <w:noWrap/>
            <w:vAlign w:val="center"/>
            <w:hideMark/>
          </w:tcPr>
          <w:p w14:paraId="5CF5F902"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DVP.I013</w:t>
            </w:r>
          </w:p>
        </w:tc>
      </w:tr>
      <w:tr w:rsidR="00F86B98" w:rsidRPr="00F86B98" w14:paraId="4A9843D4" w14:textId="77777777" w:rsidTr="0015273C">
        <w:trPr>
          <w:trHeight w:val="255"/>
        </w:trPr>
        <w:tc>
          <w:tcPr>
            <w:tcW w:w="4410" w:type="dxa"/>
            <w:tcBorders>
              <w:top w:val="nil"/>
              <w:left w:val="single" w:sz="8" w:space="0" w:color="auto"/>
              <w:bottom w:val="nil"/>
            </w:tcBorders>
            <w:shd w:val="clear" w:color="auto" w:fill="auto"/>
            <w:noWrap/>
            <w:vAlign w:val="center"/>
            <w:hideMark/>
          </w:tcPr>
          <w:p w14:paraId="44489B63" w14:textId="77777777" w:rsidR="00F86B98" w:rsidRPr="00F86B98" w:rsidRDefault="00F86B98" w:rsidP="0015273C">
            <w:pPr>
              <w:spacing w:after="0" w:line="240" w:lineRule="auto"/>
              <w:ind w:firstLineChars="200" w:firstLine="320"/>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Contribuições Sociais</w:t>
            </w:r>
          </w:p>
        </w:tc>
        <w:tc>
          <w:tcPr>
            <w:tcW w:w="835" w:type="dxa"/>
            <w:tcBorders>
              <w:top w:val="nil"/>
              <w:bottom w:val="nil"/>
              <w:right w:val="single" w:sz="8" w:space="0" w:color="auto"/>
            </w:tcBorders>
            <w:shd w:val="clear" w:color="auto" w:fill="auto"/>
            <w:noWrap/>
            <w:vAlign w:val="center"/>
          </w:tcPr>
          <w:p w14:paraId="307E028D"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6D34B00A"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DVP.D014</w:t>
            </w:r>
          </w:p>
        </w:tc>
        <w:tc>
          <w:tcPr>
            <w:tcW w:w="1134" w:type="dxa"/>
            <w:tcBorders>
              <w:top w:val="nil"/>
              <w:left w:val="nil"/>
              <w:bottom w:val="nil"/>
              <w:right w:val="single" w:sz="8" w:space="0" w:color="auto"/>
            </w:tcBorders>
            <w:shd w:val="clear" w:color="auto" w:fill="auto"/>
            <w:noWrap/>
            <w:vAlign w:val="center"/>
            <w:hideMark/>
          </w:tcPr>
          <w:p w14:paraId="19526127"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DVP.E014</w:t>
            </w:r>
          </w:p>
        </w:tc>
        <w:tc>
          <w:tcPr>
            <w:tcW w:w="4346" w:type="dxa"/>
            <w:tcBorders>
              <w:top w:val="nil"/>
              <w:left w:val="nil"/>
              <w:bottom w:val="nil"/>
            </w:tcBorders>
            <w:shd w:val="clear" w:color="auto" w:fill="auto"/>
            <w:noWrap/>
            <w:vAlign w:val="center"/>
            <w:hideMark/>
          </w:tcPr>
          <w:p w14:paraId="0865CFD7" w14:textId="77777777" w:rsidR="00F86B98" w:rsidRPr="00F86B98" w:rsidRDefault="00F86B98" w:rsidP="0015273C">
            <w:pPr>
              <w:spacing w:after="0" w:line="240" w:lineRule="auto"/>
              <w:rPr>
                <w:rFonts w:ascii="Arial Narrow" w:eastAsia="Times New Roman" w:hAnsi="Arial Narrow" w:cs="Arial"/>
                <w:b/>
                <w:bCs/>
                <w:sz w:val="16"/>
                <w:szCs w:val="16"/>
                <w:u w:val="single"/>
                <w:lang w:eastAsia="pt-BR"/>
              </w:rPr>
            </w:pPr>
            <w:r w:rsidRPr="00F86B98">
              <w:rPr>
                <w:rFonts w:ascii="Arial Narrow" w:eastAsia="Times New Roman" w:hAnsi="Arial Narrow" w:cs="Arial"/>
                <w:b/>
                <w:bCs/>
                <w:sz w:val="16"/>
                <w:szCs w:val="16"/>
                <w:u w:val="single"/>
                <w:lang w:eastAsia="pt-BR"/>
              </w:rPr>
              <w:t>Benefícios Previdenciários e Assistenciais</w:t>
            </w:r>
          </w:p>
        </w:tc>
        <w:tc>
          <w:tcPr>
            <w:tcW w:w="846" w:type="dxa"/>
            <w:tcBorders>
              <w:top w:val="nil"/>
              <w:bottom w:val="nil"/>
              <w:right w:val="single" w:sz="8" w:space="0" w:color="auto"/>
            </w:tcBorders>
            <w:shd w:val="clear" w:color="auto" w:fill="auto"/>
            <w:noWrap/>
            <w:vAlign w:val="center"/>
          </w:tcPr>
          <w:p w14:paraId="44E32733" w14:textId="77777777" w:rsidR="00F86B98" w:rsidRPr="00F86B98" w:rsidRDefault="00F86B98" w:rsidP="0015273C">
            <w:pPr>
              <w:spacing w:after="0" w:line="240" w:lineRule="auto"/>
              <w:jc w:val="center"/>
              <w:rPr>
                <w:rFonts w:ascii="Arial Narrow" w:eastAsia="Times New Roman" w:hAnsi="Arial Narrow" w:cs="Arial"/>
                <w:b/>
                <w:bCs/>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59639CED" w14:textId="77777777" w:rsidR="00F86B98" w:rsidRPr="00F86B98" w:rsidRDefault="00F86B98" w:rsidP="0015273C">
            <w:pPr>
              <w:spacing w:after="0" w:line="240" w:lineRule="auto"/>
              <w:jc w:val="center"/>
              <w:rPr>
                <w:rFonts w:ascii="Arial Narrow" w:eastAsia="Times New Roman" w:hAnsi="Arial Narrow" w:cs="Arial"/>
                <w:b/>
                <w:bCs/>
                <w:sz w:val="16"/>
                <w:szCs w:val="16"/>
                <w:lang w:eastAsia="pt-BR"/>
              </w:rPr>
            </w:pPr>
            <w:r w:rsidRPr="00F86B98">
              <w:rPr>
                <w:rFonts w:ascii="Arial Narrow" w:eastAsia="Times New Roman" w:hAnsi="Arial Narrow" w:cs="Arial"/>
                <w:b/>
                <w:bCs/>
                <w:sz w:val="16"/>
                <w:szCs w:val="16"/>
                <w:lang w:eastAsia="pt-BR"/>
              </w:rPr>
              <w:t>DVP.H014</w:t>
            </w:r>
          </w:p>
        </w:tc>
        <w:tc>
          <w:tcPr>
            <w:tcW w:w="1120" w:type="dxa"/>
            <w:tcBorders>
              <w:top w:val="nil"/>
              <w:left w:val="nil"/>
              <w:bottom w:val="nil"/>
              <w:right w:val="single" w:sz="8" w:space="0" w:color="auto"/>
            </w:tcBorders>
            <w:shd w:val="clear" w:color="auto" w:fill="auto"/>
            <w:noWrap/>
            <w:vAlign w:val="center"/>
            <w:hideMark/>
          </w:tcPr>
          <w:p w14:paraId="5D882249" w14:textId="77777777" w:rsidR="00F86B98" w:rsidRPr="00F86B98" w:rsidRDefault="00F86B98" w:rsidP="0015273C">
            <w:pPr>
              <w:spacing w:after="0" w:line="240" w:lineRule="auto"/>
              <w:jc w:val="center"/>
              <w:rPr>
                <w:rFonts w:ascii="Arial Narrow" w:eastAsia="Times New Roman" w:hAnsi="Arial Narrow" w:cs="Arial"/>
                <w:b/>
                <w:bCs/>
                <w:sz w:val="16"/>
                <w:szCs w:val="16"/>
                <w:lang w:eastAsia="pt-BR"/>
              </w:rPr>
            </w:pPr>
            <w:r w:rsidRPr="00F86B98">
              <w:rPr>
                <w:rFonts w:ascii="Arial Narrow" w:eastAsia="Times New Roman" w:hAnsi="Arial Narrow" w:cs="Arial"/>
                <w:b/>
                <w:bCs/>
                <w:sz w:val="16"/>
                <w:szCs w:val="16"/>
                <w:lang w:eastAsia="pt-BR"/>
              </w:rPr>
              <w:t>DVP.I014</w:t>
            </w:r>
          </w:p>
        </w:tc>
      </w:tr>
      <w:tr w:rsidR="00F86B98" w:rsidRPr="00F86B98" w14:paraId="1DE009F0" w14:textId="77777777" w:rsidTr="0015273C">
        <w:trPr>
          <w:trHeight w:val="240"/>
        </w:trPr>
        <w:tc>
          <w:tcPr>
            <w:tcW w:w="4410" w:type="dxa"/>
            <w:tcBorders>
              <w:top w:val="nil"/>
              <w:left w:val="single" w:sz="8" w:space="0" w:color="auto"/>
              <w:bottom w:val="nil"/>
            </w:tcBorders>
            <w:shd w:val="clear" w:color="auto" w:fill="auto"/>
            <w:noWrap/>
            <w:vAlign w:val="center"/>
            <w:hideMark/>
          </w:tcPr>
          <w:p w14:paraId="4E6EF8C7" w14:textId="77777777" w:rsidR="00F86B98" w:rsidRPr="00F86B98" w:rsidRDefault="00F86B98" w:rsidP="0015273C">
            <w:pPr>
              <w:spacing w:after="0" w:line="240" w:lineRule="auto"/>
              <w:ind w:firstLineChars="200" w:firstLine="320"/>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Contribuições de Intervenção no Domínio Econômico</w:t>
            </w:r>
          </w:p>
        </w:tc>
        <w:tc>
          <w:tcPr>
            <w:tcW w:w="835" w:type="dxa"/>
            <w:tcBorders>
              <w:top w:val="nil"/>
              <w:bottom w:val="nil"/>
              <w:right w:val="single" w:sz="8" w:space="0" w:color="auto"/>
            </w:tcBorders>
            <w:shd w:val="clear" w:color="auto" w:fill="auto"/>
            <w:noWrap/>
            <w:vAlign w:val="center"/>
          </w:tcPr>
          <w:p w14:paraId="124ABF31"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5895668F"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DVP.D015</w:t>
            </w:r>
          </w:p>
        </w:tc>
        <w:tc>
          <w:tcPr>
            <w:tcW w:w="1134" w:type="dxa"/>
            <w:tcBorders>
              <w:top w:val="nil"/>
              <w:left w:val="nil"/>
              <w:bottom w:val="nil"/>
              <w:right w:val="single" w:sz="8" w:space="0" w:color="auto"/>
            </w:tcBorders>
            <w:shd w:val="clear" w:color="auto" w:fill="auto"/>
            <w:noWrap/>
            <w:vAlign w:val="center"/>
            <w:hideMark/>
          </w:tcPr>
          <w:p w14:paraId="768C58C8"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DVP.E015</w:t>
            </w:r>
          </w:p>
        </w:tc>
        <w:tc>
          <w:tcPr>
            <w:tcW w:w="4346" w:type="dxa"/>
            <w:tcBorders>
              <w:top w:val="nil"/>
              <w:left w:val="nil"/>
              <w:bottom w:val="nil"/>
            </w:tcBorders>
            <w:shd w:val="clear" w:color="auto" w:fill="auto"/>
            <w:noWrap/>
            <w:vAlign w:val="center"/>
            <w:hideMark/>
          </w:tcPr>
          <w:p w14:paraId="0136F2E3" w14:textId="77777777" w:rsidR="00F86B98" w:rsidRPr="00F86B98" w:rsidRDefault="00F86B98" w:rsidP="0015273C">
            <w:pPr>
              <w:spacing w:after="0" w:line="240" w:lineRule="auto"/>
              <w:ind w:firstLineChars="200" w:firstLine="320"/>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Aposentadorias e Reformas</w:t>
            </w:r>
          </w:p>
        </w:tc>
        <w:tc>
          <w:tcPr>
            <w:tcW w:w="846" w:type="dxa"/>
            <w:tcBorders>
              <w:top w:val="nil"/>
              <w:bottom w:val="nil"/>
              <w:right w:val="single" w:sz="8" w:space="0" w:color="auto"/>
            </w:tcBorders>
            <w:shd w:val="clear" w:color="auto" w:fill="auto"/>
            <w:noWrap/>
            <w:vAlign w:val="center"/>
          </w:tcPr>
          <w:p w14:paraId="34109641"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7B610065"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DVP.H015</w:t>
            </w:r>
          </w:p>
        </w:tc>
        <w:tc>
          <w:tcPr>
            <w:tcW w:w="1120" w:type="dxa"/>
            <w:tcBorders>
              <w:top w:val="nil"/>
              <w:left w:val="nil"/>
              <w:bottom w:val="nil"/>
              <w:right w:val="single" w:sz="8" w:space="0" w:color="auto"/>
            </w:tcBorders>
            <w:shd w:val="clear" w:color="auto" w:fill="auto"/>
            <w:noWrap/>
            <w:vAlign w:val="center"/>
            <w:hideMark/>
          </w:tcPr>
          <w:p w14:paraId="535924A7"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DVP.I015</w:t>
            </w:r>
          </w:p>
        </w:tc>
      </w:tr>
      <w:tr w:rsidR="00F86B98" w:rsidRPr="00F86B98" w14:paraId="224A581F" w14:textId="77777777" w:rsidTr="0015273C">
        <w:trPr>
          <w:trHeight w:val="240"/>
        </w:trPr>
        <w:tc>
          <w:tcPr>
            <w:tcW w:w="4410" w:type="dxa"/>
            <w:tcBorders>
              <w:top w:val="nil"/>
              <w:left w:val="single" w:sz="8" w:space="0" w:color="auto"/>
              <w:bottom w:val="nil"/>
            </w:tcBorders>
            <w:shd w:val="clear" w:color="auto" w:fill="auto"/>
            <w:noWrap/>
            <w:vAlign w:val="center"/>
            <w:hideMark/>
          </w:tcPr>
          <w:p w14:paraId="36EA0BE9" w14:textId="77777777" w:rsidR="00F86B98" w:rsidRPr="00F86B98" w:rsidRDefault="00F86B98" w:rsidP="0015273C">
            <w:pPr>
              <w:spacing w:after="0" w:line="240" w:lineRule="auto"/>
              <w:ind w:firstLineChars="200" w:firstLine="320"/>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Contribuição de Iluminação Pública</w:t>
            </w:r>
          </w:p>
        </w:tc>
        <w:tc>
          <w:tcPr>
            <w:tcW w:w="835" w:type="dxa"/>
            <w:tcBorders>
              <w:top w:val="nil"/>
              <w:bottom w:val="nil"/>
              <w:right w:val="single" w:sz="8" w:space="0" w:color="auto"/>
            </w:tcBorders>
            <w:shd w:val="clear" w:color="auto" w:fill="auto"/>
            <w:noWrap/>
            <w:vAlign w:val="center"/>
          </w:tcPr>
          <w:p w14:paraId="4BD7CDAC"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30FA2C22"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DVP.D016</w:t>
            </w:r>
          </w:p>
        </w:tc>
        <w:tc>
          <w:tcPr>
            <w:tcW w:w="1134" w:type="dxa"/>
            <w:tcBorders>
              <w:top w:val="nil"/>
              <w:left w:val="nil"/>
              <w:bottom w:val="nil"/>
              <w:right w:val="single" w:sz="8" w:space="0" w:color="auto"/>
            </w:tcBorders>
            <w:shd w:val="clear" w:color="auto" w:fill="auto"/>
            <w:noWrap/>
            <w:vAlign w:val="center"/>
            <w:hideMark/>
          </w:tcPr>
          <w:p w14:paraId="087BD65E"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DVP.E016</w:t>
            </w:r>
          </w:p>
        </w:tc>
        <w:tc>
          <w:tcPr>
            <w:tcW w:w="4346" w:type="dxa"/>
            <w:tcBorders>
              <w:top w:val="nil"/>
              <w:left w:val="nil"/>
              <w:bottom w:val="nil"/>
            </w:tcBorders>
            <w:shd w:val="clear" w:color="auto" w:fill="auto"/>
            <w:noWrap/>
            <w:vAlign w:val="center"/>
            <w:hideMark/>
          </w:tcPr>
          <w:p w14:paraId="11DB889A" w14:textId="77777777" w:rsidR="00F86B98" w:rsidRPr="00F86B98" w:rsidRDefault="00F86B98" w:rsidP="0015273C">
            <w:pPr>
              <w:spacing w:after="0" w:line="240" w:lineRule="auto"/>
              <w:ind w:firstLineChars="200" w:firstLine="320"/>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Pensões</w:t>
            </w:r>
          </w:p>
        </w:tc>
        <w:tc>
          <w:tcPr>
            <w:tcW w:w="846" w:type="dxa"/>
            <w:tcBorders>
              <w:top w:val="nil"/>
              <w:bottom w:val="nil"/>
              <w:right w:val="single" w:sz="8" w:space="0" w:color="auto"/>
            </w:tcBorders>
            <w:shd w:val="clear" w:color="auto" w:fill="auto"/>
            <w:noWrap/>
            <w:vAlign w:val="center"/>
          </w:tcPr>
          <w:p w14:paraId="2E14351E"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58468A14"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DVP.H016</w:t>
            </w:r>
          </w:p>
        </w:tc>
        <w:tc>
          <w:tcPr>
            <w:tcW w:w="1120" w:type="dxa"/>
            <w:tcBorders>
              <w:top w:val="nil"/>
              <w:left w:val="nil"/>
              <w:bottom w:val="nil"/>
              <w:right w:val="single" w:sz="8" w:space="0" w:color="auto"/>
            </w:tcBorders>
            <w:shd w:val="clear" w:color="auto" w:fill="auto"/>
            <w:noWrap/>
            <w:vAlign w:val="center"/>
            <w:hideMark/>
          </w:tcPr>
          <w:p w14:paraId="252BF45D"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DVP.I016</w:t>
            </w:r>
          </w:p>
        </w:tc>
      </w:tr>
      <w:tr w:rsidR="00F86B98" w:rsidRPr="00F86B98" w14:paraId="4068E257" w14:textId="77777777" w:rsidTr="0015273C">
        <w:trPr>
          <w:trHeight w:val="240"/>
        </w:trPr>
        <w:tc>
          <w:tcPr>
            <w:tcW w:w="4410" w:type="dxa"/>
            <w:tcBorders>
              <w:top w:val="nil"/>
              <w:left w:val="single" w:sz="8" w:space="0" w:color="auto"/>
              <w:bottom w:val="nil"/>
            </w:tcBorders>
            <w:shd w:val="clear" w:color="auto" w:fill="auto"/>
            <w:noWrap/>
            <w:vAlign w:val="center"/>
            <w:hideMark/>
          </w:tcPr>
          <w:p w14:paraId="192369EB" w14:textId="77777777" w:rsidR="00F86B98" w:rsidRPr="00F86B98" w:rsidRDefault="00F86B98" w:rsidP="0015273C">
            <w:pPr>
              <w:spacing w:after="0" w:line="240" w:lineRule="auto"/>
              <w:rPr>
                <w:rFonts w:ascii="Arial Narrow" w:eastAsia="Times New Roman" w:hAnsi="Arial Narrow" w:cs="Arial"/>
                <w:b/>
                <w:bCs/>
                <w:sz w:val="16"/>
                <w:szCs w:val="16"/>
                <w:u w:val="single"/>
                <w:lang w:eastAsia="pt-BR"/>
              </w:rPr>
            </w:pPr>
            <w:r w:rsidRPr="00F86B98">
              <w:rPr>
                <w:rFonts w:ascii="Arial Narrow" w:eastAsia="Times New Roman" w:hAnsi="Arial Narrow" w:cs="Arial"/>
                <w:b/>
                <w:bCs/>
                <w:sz w:val="16"/>
                <w:szCs w:val="16"/>
                <w:u w:val="single"/>
                <w:lang w:eastAsia="pt-BR"/>
              </w:rPr>
              <w:t>Exploração e Venda de Bens, Serviços e Direitos</w:t>
            </w:r>
          </w:p>
        </w:tc>
        <w:tc>
          <w:tcPr>
            <w:tcW w:w="835" w:type="dxa"/>
            <w:tcBorders>
              <w:top w:val="nil"/>
              <w:bottom w:val="nil"/>
              <w:right w:val="single" w:sz="8" w:space="0" w:color="auto"/>
            </w:tcBorders>
            <w:shd w:val="clear" w:color="auto" w:fill="auto"/>
            <w:noWrap/>
            <w:vAlign w:val="center"/>
          </w:tcPr>
          <w:p w14:paraId="7EA308E0" w14:textId="77777777" w:rsidR="00F86B98" w:rsidRPr="00F86B98" w:rsidRDefault="00F86B98" w:rsidP="0015273C">
            <w:pPr>
              <w:spacing w:after="0" w:line="240" w:lineRule="auto"/>
              <w:jc w:val="center"/>
              <w:rPr>
                <w:rFonts w:ascii="Arial Narrow" w:eastAsia="Times New Roman" w:hAnsi="Arial Narrow" w:cs="Arial"/>
                <w:b/>
                <w:bCs/>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4F987588" w14:textId="77777777" w:rsidR="00F86B98" w:rsidRPr="00F86B98" w:rsidRDefault="00F86B98" w:rsidP="0015273C">
            <w:pPr>
              <w:spacing w:after="0" w:line="240" w:lineRule="auto"/>
              <w:jc w:val="center"/>
              <w:rPr>
                <w:rFonts w:ascii="Arial Narrow" w:eastAsia="Times New Roman" w:hAnsi="Arial Narrow" w:cs="Arial"/>
                <w:b/>
                <w:bCs/>
                <w:sz w:val="16"/>
                <w:szCs w:val="16"/>
                <w:lang w:eastAsia="pt-BR"/>
              </w:rPr>
            </w:pPr>
            <w:r w:rsidRPr="00F86B98">
              <w:rPr>
                <w:rFonts w:ascii="Arial Narrow" w:eastAsia="Times New Roman" w:hAnsi="Arial Narrow" w:cs="Arial"/>
                <w:b/>
                <w:bCs/>
                <w:sz w:val="16"/>
                <w:szCs w:val="16"/>
                <w:lang w:eastAsia="pt-BR"/>
              </w:rPr>
              <w:t>DVP.D017</w:t>
            </w:r>
          </w:p>
        </w:tc>
        <w:tc>
          <w:tcPr>
            <w:tcW w:w="1134" w:type="dxa"/>
            <w:tcBorders>
              <w:top w:val="nil"/>
              <w:left w:val="nil"/>
              <w:bottom w:val="nil"/>
              <w:right w:val="single" w:sz="8" w:space="0" w:color="auto"/>
            </w:tcBorders>
            <w:shd w:val="clear" w:color="auto" w:fill="auto"/>
            <w:noWrap/>
            <w:vAlign w:val="center"/>
            <w:hideMark/>
          </w:tcPr>
          <w:p w14:paraId="26E1BB7F" w14:textId="77777777" w:rsidR="00F86B98" w:rsidRPr="00F86B98" w:rsidRDefault="00F86B98" w:rsidP="0015273C">
            <w:pPr>
              <w:spacing w:after="0" w:line="240" w:lineRule="auto"/>
              <w:jc w:val="center"/>
              <w:rPr>
                <w:rFonts w:ascii="Arial Narrow" w:eastAsia="Times New Roman" w:hAnsi="Arial Narrow" w:cs="Arial"/>
                <w:b/>
                <w:bCs/>
                <w:sz w:val="16"/>
                <w:szCs w:val="16"/>
                <w:lang w:eastAsia="pt-BR"/>
              </w:rPr>
            </w:pPr>
            <w:r w:rsidRPr="00F86B98">
              <w:rPr>
                <w:rFonts w:ascii="Arial Narrow" w:eastAsia="Times New Roman" w:hAnsi="Arial Narrow" w:cs="Arial"/>
                <w:b/>
                <w:bCs/>
                <w:sz w:val="16"/>
                <w:szCs w:val="16"/>
                <w:lang w:eastAsia="pt-BR"/>
              </w:rPr>
              <w:t>DVP.E017</w:t>
            </w:r>
          </w:p>
        </w:tc>
        <w:tc>
          <w:tcPr>
            <w:tcW w:w="4346" w:type="dxa"/>
            <w:tcBorders>
              <w:top w:val="nil"/>
              <w:left w:val="nil"/>
              <w:bottom w:val="nil"/>
            </w:tcBorders>
            <w:shd w:val="clear" w:color="auto" w:fill="auto"/>
            <w:noWrap/>
            <w:vAlign w:val="center"/>
            <w:hideMark/>
          </w:tcPr>
          <w:p w14:paraId="3CE2CFDA" w14:textId="77777777" w:rsidR="00F86B98" w:rsidRPr="00F86B98" w:rsidRDefault="00F86B98" w:rsidP="0015273C">
            <w:pPr>
              <w:spacing w:after="0" w:line="240" w:lineRule="auto"/>
              <w:ind w:firstLineChars="200" w:firstLine="320"/>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Benefícios de Prestação Continuada</w:t>
            </w:r>
          </w:p>
        </w:tc>
        <w:tc>
          <w:tcPr>
            <w:tcW w:w="846" w:type="dxa"/>
            <w:tcBorders>
              <w:top w:val="nil"/>
              <w:bottom w:val="nil"/>
              <w:right w:val="single" w:sz="8" w:space="0" w:color="auto"/>
            </w:tcBorders>
            <w:shd w:val="clear" w:color="auto" w:fill="auto"/>
            <w:noWrap/>
            <w:vAlign w:val="center"/>
          </w:tcPr>
          <w:p w14:paraId="644CBA6E"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6E98FECD"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DVP.H017</w:t>
            </w:r>
          </w:p>
        </w:tc>
        <w:tc>
          <w:tcPr>
            <w:tcW w:w="1120" w:type="dxa"/>
            <w:tcBorders>
              <w:top w:val="nil"/>
              <w:left w:val="nil"/>
              <w:bottom w:val="nil"/>
              <w:right w:val="single" w:sz="8" w:space="0" w:color="auto"/>
            </w:tcBorders>
            <w:shd w:val="clear" w:color="auto" w:fill="auto"/>
            <w:noWrap/>
            <w:vAlign w:val="center"/>
            <w:hideMark/>
          </w:tcPr>
          <w:p w14:paraId="7E73ED70"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DVP.I017</w:t>
            </w:r>
          </w:p>
        </w:tc>
      </w:tr>
      <w:tr w:rsidR="00F86B98" w:rsidRPr="00F86B98" w14:paraId="3AC3B1A8" w14:textId="77777777" w:rsidTr="0015273C">
        <w:trPr>
          <w:trHeight w:val="255"/>
        </w:trPr>
        <w:tc>
          <w:tcPr>
            <w:tcW w:w="4410" w:type="dxa"/>
            <w:tcBorders>
              <w:top w:val="nil"/>
              <w:left w:val="single" w:sz="8" w:space="0" w:color="auto"/>
              <w:bottom w:val="nil"/>
            </w:tcBorders>
            <w:shd w:val="clear" w:color="auto" w:fill="auto"/>
            <w:noWrap/>
            <w:vAlign w:val="center"/>
            <w:hideMark/>
          </w:tcPr>
          <w:p w14:paraId="12BFF8CD" w14:textId="77777777" w:rsidR="00F86B98" w:rsidRPr="00F86B98" w:rsidRDefault="00F86B98" w:rsidP="0015273C">
            <w:pPr>
              <w:spacing w:after="0" w:line="240" w:lineRule="auto"/>
              <w:ind w:firstLineChars="200" w:firstLine="320"/>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Vendas de Mercadorias</w:t>
            </w:r>
          </w:p>
        </w:tc>
        <w:tc>
          <w:tcPr>
            <w:tcW w:w="835" w:type="dxa"/>
            <w:tcBorders>
              <w:top w:val="nil"/>
              <w:right w:val="single" w:sz="8" w:space="0" w:color="auto"/>
            </w:tcBorders>
            <w:shd w:val="clear" w:color="auto" w:fill="auto"/>
            <w:noWrap/>
            <w:vAlign w:val="center"/>
          </w:tcPr>
          <w:p w14:paraId="69B8981A"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69B01029"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DVP.D018</w:t>
            </w:r>
          </w:p>
        </w:tc>
        <w:tc>
          <w:tcPr>
            <w:tcW w:w="1134" w:type="dxa"/>
            <w:tcBorders>
              <w:top w:val="nil"/>
              <w:left w:val="nil"/>
              <w:bottom w:val="nil"/>
              <w:right w:val="single" w:sz="8" w:space="0" w:color="auto"/>
            </w:tcBorders>
            <w:shd w:val="clear" w:color="auto" w:fill="auto"/>
            <w:noWrap/>
            <w:vAlign w:val="center"/>
            <w:hideMark/>
          </w:tcPr>
          <w:p w14:paraId="2268D242"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DVP.E018</w:t>
            </w:r>
          </w:p>
        </w:tc>
        <w:tc>
          <w:tcPr>
            <w:tcW w:w="4346" w:type="dxa"/>
            <w:tcBorders>
              <w:top w:val="nil"/>
              <w:left w:val="nil"/>
              <w:bottom w:val="nil"/>
            </w:tcBorders>
            <w:shd w:val="clear" w:color="auto" w:fill="auto"/>
            <w:noWrap/>
            <w:vAlign w:val="center"/>
            <w:hideMark/>
          </w:tcPr>
          <w:p w14:paraId="2A56EDE4" w14:textId="77777777" w:rsidR="00F86B98" w:rsidRPr="00F86B98" w:rsidRDefault="00F86B98" w:rsidP="0015273C">
            <w:pPr>
              <w:spacing w:after="0" w:line="240" w:lineRule="auto"/>
              <w:ind w:firstLineChars="200" w:firstLine="320"/>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Benefícios Eventuais</w:t>
            </w:r>
          </w:p>
        </w:tc>
        <w:tc>
          <w:tcPr>
            <w:tcW w:w="846" w:type="dxa"/>
            <w:tcBorders>
              <w:top w:val="nil"/>
              <w:bottom w:val="nil"/>
              <w:right w:val="single" w:sz="8" w:space="0" w:color="auto"/>
            </w:tcBorders>
            <w:shd w:val="clear" w:color="auto" w:fill="auto"/>
            <w:noWrap/>
            <w:vAlign w:val="center"/>
          </w:tcPr>
          <w:p w14:paraId="63F11B58"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33B2DECE"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DVP.H018</w:t>
            </w:r>
          </w:p>
        </w:tc>
        <w:tc>
          <w:tcPr>
            <w:tcW w:w="1120" w:type="dxa"/>
            <w:tcBorders>
              <w:top w:val="nil"/>
              <w:left w:val="nil"/>
              <w:bottom w:val="nil"/>
              <w:right w:val="single" w:sz="8" w:space="0" w:color="auto"/>
            </w:tcBorders>
            <w:shd w:val="clear" w:color="auto" w:fill="auto"/>
            <w:noWrap/>
            <w:vAlign w:val="center"/>
            <w:hideMark/>
          </w:tcPr>
          <w:p w14:paraId="701A4486"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DVP.I018</w:t>
            </w:r>
          </w:p>
        </w:tc>
      </w:tr>
      <w:tr w:rsidR="00F86B98" w:rsidRPr="00F86B98" w14:paraId="2D84E223" w14:textId="77777777" w:rsidTr="0015273C">
        <w:trPr>
          <w:trHeight w:val="240"/>
        </w:trPr>
        <w:tc>
          <w:tcPr>
            <w:tcW w:w="4410" w:type="dxa"/>
            <w:tcBorders>
              <w:top w:val="nil"/>
              <w:left w:val="single" w:sz="8" w:space="0" w:color="auto"/>
              <w:bottom w:val="nil"/>
            </w:tcBorders>
            <w:shd w:val="clear" w:color="auto" w:fill="auto"/>
            <w:noWrap/>
            <w:vAlign w:val="center"/>
            <w:hideMark/>
          </w:tcPr>
          <w:p w14:paraId="00833FF2" w14:textId="77777777" w:rsidR="00F86B98" w:rsidRPr="00F86B98" w:rsidRDefault="00F86B98" w:rsidP="0015273C">
            <w:pPr>
              <w:spacing w:after="0" w:line="240" w:lineRule="auto"/>
              <w:ind w:firstLineChars="200" w:firstLine="320"/>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Vendas de Produtos</w:t>
            </w:r>
          </w:p>
        </w:tc>
        <w:tc>
          <w:tcPr>
            <w:tcW w:w="835" w:type="dxa"/>
            <w:tcBorders>
              <w:top w:val="nil"/>
              <w:bottom w:val="nil"/>
              <w:right w:val="single" w:sz="8" w:space="0" w:color="auto"/>
            </w:tcBorders>
            <w:shd w:val="clear" w:color="auto" w:fill="auto"/>
            <w:noWrap/>
            <w:vAlign w:val="center"/>
          </w:tcPr>
          <w:p w14:paraId="4638C616"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0B14030D"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DVP.D019</w:t>
            </w:r>
          </w:p>
        </w:tc>
        <w:tc>
          <w:tcPr>
            <w:tcW w:w="1134" w:type="dxa"/>
            <w:tcBorders>
              <w:top w:val="nil"/>
              <w:left w:val="nil"/>
              <w:bottom w:val="nil"/>
              <w:right w:val="single" w:sz="8" w:space="0" w:color="auto"/>
            </w:tcBorders>
            <w:shd w:val="clear" w:color="auto" w:fill="auto"/>
            <w:noWrap/>
            <w:vAlign w:val="center"/>
            <w:hideMark/>
          </w:tcPr>
          <w:p w14:paraId="19C5CC7D"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DVP.E019</w:t>
            </w:r>
          </w:p>
        </w:tc>
        <w:tc>
          <w:tcPr>
            <w:tcW w:w="4346" w:type="dxa"/>
            <w:tcBorders>
              <w:top w:val="nil"/>
              <w:left w:val="nil"/>
              <w:bottom w:val="nil"/>
            </w:tcBorders>
            <w:shd w:val="clear" w:color="auto" w:fill="auto"/>
            <w:noWrap/>
            <w:vAlign w:val="center"/>
            <w:hideMark/>
          </w:tcPr>
          <w:p w14:paraId="544284D1" w14:textId="77777777" w:rsidR="00F86B98" w:rsidRPr="00F86B98" w:rsidRDefault="00F86B98" w:rsidP="0015273C">
            <w:pPr>
              <w:spacing w:after="0" w:line="240" w:lineRule="auto"/>
              <w:ind w:firstLineChars="200" w:firstLine="320"/>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Políticas Públicas de Transferência de Renda</w:t>
            </w:r>
          </w:p>
        </w:tc>
        <w:tc>
          <w:tcPr>
            <w:tcW w:w="846" w:type="dxa"/>
            <w:tcBorders>
              <w:top w:val="nil"/>
              <w:bottom w:val="nil"/>
              <w:right w:val="single" w:sz="8" w:space="0" w:color="auto"/>
            </w:tcBorders>
            <w:shd w:val="clear" w:color="auto" w:fill="auto"/>
            <w:noWrap/>
            <w:vAlign w:val="center"/>
          </w:tcPr>
          <w:p w14:paraId="16EE229D"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48B2AEF6"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DVP.H019</w:t>
            </w:r>
          </w:p>
        </w:tc>
        <w:tc>
          <w:tcPr>
            <w:tcW w:w="1120" w:type="dxa"/>
            <w:tcBorders>
              <w:top w:val="nil"/>
              <w:left w:val="nil"/>
              <w:bottom w:val="nil"/>
              <w:right w:val="single" w:sz="8" w:space="0" w:color="auto"/>
            </w:tcBorders>
            <w:shd w:val="clear" w:color="auto" w:fill="auto"/>
            <w:noWrap/>
            <w:vAlign w:val="center"/>
            <w:hideMark/>
          </w:tcPr>
          <w:p w14:paraId="09EEE99D"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DVP.I019</w:t>
            </w:r>
          </w:p>
        </w:tc>
      </w:tr>
      <w:tr w:rsidR="00F86B98" w:rsidRPr="00F86B98" w14:paraId="1BA33448" w14:textId="77777777" w:rsidTr="0015273C">
        <w:trPr>
          <w:trHeight w:val="240"/>
        </w:trPr>
        <w:tc>
          <w:tcPr>
            <w:tcW w:w="4410" w:type="dxa"/>
            <w:tcBorders>
              <w:top w:val="nil"/>
              <w:left w:val="single" w:sz="8" w:space="0" w:color="auto"/>
              <w:bottom w:val="nil"/>
            </w:tcBorders>
            <w:shd w:val="clear" w:color="auto" w:fill="auto"/>
            <w:noWrap/>
            <w:vAlign w:val="center"/>
            <w:hideMark/>
          </w:tcPr>
          <w:p w14:paraId="5DE411BC" w14:textId="77777777" w:rsidR="00F86B98" w:rsidRPr="00F86B98" w:rsidRDefault="00F86B98" w:rsidP="0015273C">
            <w:pPr>
              <w:spacing w:after="0" w:line="240" w:lineRule="auto"/>
              <w:ind w:firstLineChars="200" w:firstLine="320"/>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Exploração de Bens, Direitos e Prestação de Serviços</w:t>
            </w:r>
          </w:p>
        </w:tc>
        <w:tc>
          <w:tcPr>
            <w:tcW w:w="835" w:type="dxa"/>
            <w:tcBorders>
              <w:top w:val="nil"/>
              <w:bottom w:val="nil"/>
              <w:right w:val="single" w:sz="8" w:space="0" w:color="auto"/>
            </w:tcBorders>
            <w:shd w:val="clear" w:color="auto" w:fill="auto"/>
            <w:noWrap/>
            <w:vAlign w:val="center"/>
          </w:tcPr>
          <w:p w14:paraId="11893BE8"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58CBE841"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DVP.D020</w:t>
            </w:r>
          </w:p>
        </w:tc>
        <w:tc>
          <w:tcPr>
            <w:tcW w:w="1134" w:type="dxa"/>
            <w:tcBorders>
              <w:top w:val="nil"/>
              <w:left w:val="nil"/>
              <w:bottom w:val="nil"/>
              <w:right w:val="single" w:sz="8" w:space="0" w:color="auto"/>
            </w:tcBorders>
            <w:shd w:val="clear" w:color="auto" w:fill="auto"/>
            <w:noWrap/>
            <w:vAlign w:val="center"/>
            <w:hideMark/>
          </w:tcPr>
          <w:p w14:paraId="2199EF90"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DVP.E020</w:t>
            </w:r>
          </w:p>
        </w:tc>
        <w:tc>
          <w:tcPr>
            <w:tcW w:w="4346" w:type="dxa"/>
            <w:tcBorders>
              <w:top w:val="nil"/>
              <w:left w:val="nil"/>
              <w:bottom w:val="nil"/>
            </w:tcBorders>
            <w:shd w:val="clear" w:color="auto" w:fill="auto"/>
            <w:noWrap/>
            <w:vAlign w:val="center"/>
            <w:hideMark/>
          </w:tcPr>
          <w:p w14:paraId="29883B02" w14:textId="77777777" w:rsidR="00F86B98" w:rsidRPr="00F86B98" w:rsidRDefault="00F86B98" w:rsidP="0015273C">
            <w:pPr>
              <w:spacing w:after="0" w:line="240" w:lineRule="auto"/>
              <w:ind w:firstLineChars="200" w:firstLine="320"/>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Outros Benefícios Previdenciários e Assistenciais</w:t>
            </w:r>
          </w:p>
        </w:tc>
        <w:tc>
          <w:tcPr>
            <w:tcW w:w="846" w:type="dxa"/>
            <w:tcBorders>
              <w:top w:val="nil"/>
              <w:bottom w:val="nil"/>
              <w:right w:val="single" w:sz="8" w:space="0" w:color="auto"/>
            </w:tcBorders>
            <w:shd w:val="clear" w:color="auto" w:fill="auto"/>
            <w:noWrap/>
            <w:vAlign w:val="center"/>
          </w:tcPr>
          <w:p w14:paraId="6A4C9171"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16749477"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DVP.H020</w:t>
            </w:r>
          </w:p>
        </w:tc>
        <w:tc>
          <w:tcPr>
            <w:tcW w:w="1120" w:type="dxa"/>
            <w:tcBorders>
              <w:top w:val="nil"/>
              <w:left w:val="nil"/>
              <w:bottom w:val="nil"/>
              <w:right w:val="single" w:sz="8" w:space="0" w:color="auto"/>
            </w:tcBorders>
            <w:shd w:val="clear" w:color="auto" w:fill="auto"/>
            <w:noWrap/>
            <w:vAlign w:val="center"/>
            <w:hideMark/>
          </w:tcPr>
          <w:p w14:paraId="117048BD"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DVP.I020</w:t>
            </w:r>
          </w:p>
        </w:tc>
      </w:tr>
      <w:tr w:rsidR="00F86B98" w:rsidRPr="00F86B98" w14:paraId="7E25A88F" w14:textId="77777777" w:rsidTr="0015273C">
        <w:trPr>
          <w:trHeight w:val="240"/>
        </w:trPr>
        <w:tc>
          <w:tcPr>
            <w:tcW w:w="4410" w:type="dxa"/>
            <w:tcBorders>
              <w:top w:val="nil"/>
              <w:left w:val="single" w:sz="8" w:space="0" w:color="auto"/>
              <w:bottom w:val="nil"/>
            </w:tcBorders>
            <w:shd w:val="clear" w:color="auto" w:fill="auto"/>
            <w:noWrap/>
            <w:vAlign w:val="center"/>
            <w:hideMark/>
          </w:tcPr>
          <w:p w14:paraId="5F197BC8" w14:textId="77777777" w:rsidR="00F86B98" w:rsidRPr="00F86B98" w:rsidRDefault="00F86B98" w:rsidP="0015273C">
            <w:pPr>
              <w:spacing w:after="0" w:line="240" w:lineRule="auto"/>
              <w:rPr>
                <w:rFonts w:ascii="Arial Narrow" w:eastAsia="Times New Roman" w:hAnsi="Arial Narrow" w:cs="Arial"/>
                <w:b/>
                <w:bCs/>
                <w:sz w:val="16"/>
                <w:szCs w:val="16"/>
                <w:u w:val="single"/>
                <w:lang w:eastAsia="pt-BR"/>
              </w:rPr>
            </w:pPr>
            <w:r w:rsidRPr="00F86B98">
              <w:rPr>
                <w:rFonts w:ascii="Arial Narrow" w:eastAsia="Times New Roman" w:hAnsi="Arial Narrow" w:cs="Arial"/>
                <w:b/>
                <w:bCs/>
                <w:sz w:val="16"/>
                <w:szCs w:val="16"/>
                <w:u w:val="single"/>
                <w:lang w:eastAsia="pt-BR"/>
              </w:rPr>
              <w:t>Variações Patrimoniais Aumentativas Financeiras</w:t>
            </w:r>
          </w:p>
        </w:tc>
        <w:tc>
          <w:tcPr>
            <w:tcW w:w="835" w:type="dxa"/>
            <w:tcBorders>
              <w:top w:val="nil"/>
              <w:bottom w:val="nil"/>
              <w:right w:val="single" w:sz="8" w:space="0" w:color="auto"/>
            </w:tcBorders>
            <w:shd w:val="clear" w:color="auto" w:fill="auto"/>
            <w:noWrap/>
            <w:vAlign w:val="center"/>
          </w:tcPr>
          <w:p w14:paraId="6FAE8863" w14:textId="77777777" w:rsidR="00F86B98" w:rsidRPr="00F86B98" w:rsidRDefault="00F86B98" w:rsidP="0015273C">
            <w:pPr>
              <w:spacing w:after="0" w:line="240" w:lineRule="auto"/>
              <w:jc w:val="center"/>
              <w:rPr>
                <w:rFonts w:ascii="Arial Narrow" w:eastAsia="Times New Roman" w:hAnsi="Arial Narrow" w:cs="Arial"/>
                <w:b/>
                <w:bCs/>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15B32AEA" w14:textId="77777777" w:rsidR="00F86B98" w:rsidRPr="00F86B98" w:rsidRDefault="00F86B98" w:rsidP="0015273C">
            <w:pPr>
              <w:spacing w:after="0" w:line="240" w:lineRule="auto"/>
              <w:jc w:val="center"/>
              <w:rPr>
                <w:rFonts w:ascii="Arial Narrow" w:eastAsia="Times New Roman" w:hAnsi="Arial Narrow" w:cs="Arial"/>
                <w:b/>
                <w:bCs/>
                <w:sz w:val="16"/>
                <w:szCs w:val="16"/>
                <w:lang w:eastAsia="pt-BR"/>
              </w:rPr>
            </w:pPr>
            <w:r w:rsidRPr="00F86B98">
              <w:rPr>
                <w:rFonts w:ascii="Arial Narrow" w:eastAsia="Times New Roman" w:hAnsi="Arial Narrow" w:cs="Arial"/>
                <w:b/>
                <w:bCs/>
                <w:sz w:val="16"/>
                <w:szCs w:val="16"/>
                <w:lang w:eastAsia="pt-BR"/>
              </w:rPr>
              <w:t>DVP.D021</w:t>
            </w:r>
          </w:p>
        </w:tc>
        <w:tc>
          <w:tcPr>
            <w:tcW w:w="1134" w:type="dxa"/>
            <w:tcBorders>
              <w:top w:val="nil"/>
              <w:left w:val="nil"/>
              <w:bottom w:val="nil"/>
              <w:right w:val="single" w:sz="8" w:space="0" w:color="auto"/>
            </w:tcBorders>
            <w:shd w:val="clear" w:color="auto" w:fill="auto"/>
            <w:noWrap/>
            <w:vAlign w:val="center"/>
            <w:hideMark/>
          </w:tcPr>
          <w:p w14:paraId="15820AAF" w14:textId="77777777" w:rsidR="00F86B98" w:rsidRPr="00F86B98" w:rsidRDefault="00F86B98" w:rsidP="0015273C">
            <w:pPr>
              <w:spacing w:after="0" w:line="240" w:lineRule="auto"/>
              <w:jc w:val="center"/>
              <w:rPr>
                <w:rFonts w:ascii="Arial Narrow" w:eastAsia="Times New Roman" w:hAnsi="Arial Narrow" w:cs="Arial"/>
                <w:b/>
                <w:bCs/>
                <w:sz w:val="16"/>
                <w:szCs w:val="16"/>
                <w:lang w:eastAsia="pt-BR"/>
              </w:rPr>
            </w:pPr>
            <w:r w:rsidRPr="00F86B98">
              <w:rPr>
                <w:rFonts w:ascii="Arial Narrow" w:eastAsia="Times New Roman" w:hAnsi="Arial Narrow" w:cs="Arial"/>
                <w:b/>
                <w:bCs/>
                <w:sz w:val="16"/>
                <w:szCs w:val="16"/>
                <w:lang w:eastAsia="pt-BR"/>
              </w:rPr>
              <w:t>DVP.E021</w:t>
            </w:r>
          </w:p>
        </w:tc>
        <w:tc>
          <w:tcPr>
            <w:tcW w:w="4346" w:type="dxa"/>
            <w:tcBorders>
              <w:top w:val="nil"/>
              <w:left w:val="nil"/>
              <w:bottom w:val="nil"/>
            </w:tcBorders>
            <w:shd w:val="clear" w:color="auto" w:fill="auto"/>
            <w:noWrap/>
            <w:vAlign w:val="center"/>
            <w:hideMark/>
          </w:tcPr>
          <w:p w14:paraId="38E08D7A" w14:textId="77777777" w:rsidR="00F86B98" w:rsidRPr="00F86B98" w:rsidRDefault="00F86B98" w:rsidP="0015273C">
            <w:pPr>
              <w:spacing w:after="0" w:line="240" w:lineRule="auto"/>
              <w:rPr>
                <w:rFonts w:ascii="Arial Narrow" w:eastAsia="Times New Roman" w:hAnsi="Arial Narrow" w:cs="Arial"/>
                <w:b/>
                <w:bCs/>
                <w:sz w:val="16"/>
                <w:szCs w:val="16"/>
                <w:u w:val="single"/>
                <w:lang w:eastAsia="pt-BR"/>
              </w:rPr>
            </w:pPr>
            <w:r w:rsidRPr="00F86B98">
              <w:rPr>
                <w:rFonts w:ascii="Arial Narrow" w:eastAsia="Times New Roman" w:hAnsi="Arial Narrow" w:cs="Arial"/>
                <w:b/>
                <w:bCs/>
                <w:sz w:val="16"/>
                <w:szCs w:val="16"/>
                <w:u w:val="single"/>
                <w:lang w:eastAsia="pt-BR"/>
              </w:rPr>
              <w:t>Uso de Bens, Serviços e Consumo de Capital Fixo</w:t>
            </w:r>
          </w:p>
        </w:tc>
        <w:tc>
          <w:tcPr>
            <w:tcW w:w="846" w:type="dxa"/>
            <w:tcBorders>
              <w:top w:val="nil"/>
              <w:bottom w:val="nil"/>
              <w:right w:val="single" w:sz="8" w:space="0" w:color="auto"/>
            </w:tcBorders>
            <w:shd w:val="clear" w:color="auto" w:fill="auto"/>
            <w:noWrap/>
            <w:vAlign w:val="center"/>
          </w:tcPr>
          <w:p w14:paraId="19A05A1D" w14:textId="77777777" w:rsidR="00F86B98" w:rsidRPr="00F86B98" w:rsidRDefault="00F86B98" w:rsidP="0015273C">
            <w:pPr>
              <w:spacing w:after="0" w:line="240" w:lineRule="auto"/>
              <w:jc w:val="center"/>
              <w:rPr>
                <w:rFonts w:ascii="Arial Narrow" w:eastAsia="Times New Roman" w:hAnsi="Arial Narrow" w:cs="Arial"/>
                <w:b/>
                <w:bCs/>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37ADC761" w14:textId="77777777" w:rsidR="00F86B98" w:rsidRPr="00F86B98" w:rsidRDefault="00F86B98" w:rsidP="0015273C">
            <w:pPr>
              <w:spacing w:after="0" w:line="240" w:lineRule="auto"/>
              <w:jc w:val="center"/>
              <w:rPr>
                <w:rFonts w:ascii="Arial Narrow" w:eastAsia="Times New Roman" w:hAnsi="Arial Narrow" w:cs="Arial"/>
                <w:b/>
                <w:bCs/>
                <w:sz w:val="16"/>
                <w:szCs w:val="16"/>
                <w:lang w:eastAsia="pt-BR"/>
              </w:rPr>
            </w:pPr>
            <w:r w:rsidRPr="00F86B98">
              <w:rPr>
                <w:rFonts w:ascii="Arial Narrow" w:eastAsia="Times New Roman" w:hAnsi="Arial Narrow" w:cs="Arial"/>
                <w:b/>
                <w:bCs/>
                <w:sz w:val="16"/>
                <w:szCs w:val="16"/>
                <w:lang w:eastAsia="pt-BR"/>
              </w:rPr>
              <w:t>DVP.H021</w:t>
            </w:r>
          </w:p>
        </w:tc>
        <w:tc>
          <w:tcPr>
            <w:tcW w:w="1120" w:type="dxa"/>
            <w:tcBorders>
              <w:top w:val="nil"/>
              <w:left w:val="nil"/>
              <w:bottom w:val="nil"/>
              <w:right w:val="single" w:sz="8" w:space="0" w:color="auto"/>
            </w:tcBorders>
            <w:shd w:val="clear" w:color="auto" w:fill="auto"/>
            <w:noWrap/>
            <w:vAlign w:val="center"/>
            <w:hideMark/>
          </w:tcPr>
          <w:p w14:paraId="20C69A99" w14:textId="77777777" w:rsidR="00F86B98" w:rsidRPr="00F86B98" w:rsidRDefault="00F86B98" w:rsidP="0015273C">
            <w:pPr>
              <w:spacing w:after="0" w:line="240" w:lineRule="auto"/>
              <w:jc w:val="center"/>
              <w:rPr>
                <w:rFonts w:ascii="Arial Narrow" w:eastAsia="Times New Roman" w:hAnsi="Arial Narrow" w:cs="Arial"/>
                <w:b/>
                <w:bCs/>
                <w:sz w:val="16"/>
                <w:szCs w:val="16"/>
                <w:lang w:eastAsia="pt-BR"/>
              </w:rPr>
            </w:pPr>
            <w:r w:rsidRPr="00F86B98">
              <w:rPr>
                <w:rFonts w:ascii="Arial Narrow" w:eastAsia="Times New Roman" w:hAnsi="Arial Narrow" w:cs="Arial"/>
                <w:b/>
                <w:bCs/>
                <w:sz w:val="16"/>
                <w:szCs w:val="16"/>
                <w:lang w:eastAsia="pt-BR"/>
              </w:rPr>
              <w:t>DVP.I021</w:t>
            </w:r>
          </w:p>
        </w:tc>
      </w:tr>
      <w:tr w:rsidR="00F86B98" w:rsidRPr="00F86B98" w14:paraId="0826F45F" w14:textId="77777777" w:rsidTr="0015273C">
        <w:trPr>
          <w:trHeight w:val="240"/>
        </w:trPr>
        <w:tc>
          <w:tcPr>
            <w:tcW w:w="4410" w:type="dxa"/>
            <w:tcBorders>
              <w:top w:val="nil"/>
              <w:left w:val="single" w:sz="8" w:space="0" w:color="auto"/>
              <w:bottom w:val="nil"/>
            </w:tcBorders>
            <w:shd w:val="clear" w:color="auto" w:fill="auto"/>
            <w:noWrap/>
            <w:vAlign w:val="center"/>
            <w:hideMark/>
          </w:tcPr>
          <w:p w14:paraId="05C07302" w14:textId="77777777" w:rsidR="00F86B98" w:rsidRPr="00F86B98" w:rsidRDefault="00F86B98" w:rsidP="0015273C">
            <w:pPr>
              <w:spacing w:after="0" w:line="240" w:lineRule="auto"/>
              <w:ind w:firstLineChars="200" w:firstLine="320"/>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Juros e Encargos de Empréstimos e Financiamentos Concedidos</w:t>
            </w:r>
          </w:p>
        </w:tc>
        <w:tc>
          <w:tcPr>
            <w:tcW w:w="835" w:type="dxa"/>
            <w:tcBorders>
              <w:top w:val="nil"/>
              <w:bottom w:val="nil"/>
              <w:right w:val="single" w:sz="8" w:space="0" w:color="auto"/>
            </w:tcBorders>
            <w:shd w:val="clear" w:color="auto" w:fill="auto"/>
            <w:noWrap/>
            <w:vAlign w:val="center"/>
          </w:tcPr>
          <w:p w14:paraId="4308CD59"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43BA9CF5"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DVP.D022</w:t>
            </w:r>
          </w:p>
        </w:tc>
        <w:tc>
          <w:tcPr>
            <w:tcW w:w="1134" w:type="dxa"/>
            <w:tcBorders>
              <w:top w:val="nil"/>
              <w:left w:val="nil"/>
              <w:bottom w:val="nil"/>
              <w:right w:val="single" w:sz="8" w:space="0" w:color="auto"/>
            </w:tcBorders>
            <w:shd w:val="clear" w:color="auto" w:fill="auto"/>
            <w:noWrap/>
            <w:vAlign w:val="center"/>
            <w:hideMark/>
          </w:tcPr>
          <w:p w14:paraId="692443BC"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DVP.E022</w:t>
            </w:r>
          </w:p>
        </w:tc>
        <w:tc>
          <w:tcPr>
            <w:tcW w:w="4346" w:type="dxa"/>
            <w:tcBorders>
              <w:top w:val="nil"/>
              <w:left w:val="nil"/>
              <w:bottom w:val="nil"/>
            </w:tcBorders>
            <w:shd w:val="clear" w:color="auto" w:fill="auto"/>
            <w:noWrap/>
            <w:vAlign w:val="center"/>
            <w:hideMark/>
          </w:tcPr>
          <w:p w14:paraId="2F47703E" w14:textId="77777777" w:rsidR="00F86B98" w:rsidRPr="00F86B98" w:rsidRDefault="00F86B98" w:rsidP="0015273C">
            <w:pPr>
              <w:spacing w:after="0" w:line="240" w:lineRule="auto"/>
              <w:ind w:firstLineChars="200" w:firstLine="320"/>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Uso de Material de Consumo</w:t>
            </w:r>
          </w:p>
        </w:tc>
        <w:tc>
          <w:tcPr>
            <w:tcW w:w="846" w:type="dxa"/>
            <w:tcBorders>
              <w:top w:val="nil"/>
              <w:bottom w:val="nil"/>
              <w:right w:val="single" w:sz="8" w:space="0" w:color="auto"/>
            </w:tcBorders>
            <w:shd w:val="clear" w:color="auto" w:fill="auto"/>
            <w:noWrap/>
            <w:vAlign w:val="center"/>
          </w:tcPr>
          <w:p w14:paraId="62A9D868"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28DFFE7A"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DVP.H022</w:t>
            </w:r>
          </w:p>
        </w:tc>
        <w:tc>
          <w:tcPr>
            <w:tcW w:w="1120" w:type="dxa"/>
            <w:tcBorders>
              <w:top w:val="nil"/>
              <w:left w:val="nil"/>
              <w:bottom w:val="nil"/>
              <w:right w:val="single" w:sz="8" w:space="0" w:color="auto"/>
            </w:tcBorders>
            <w:shd w:val="clear" w:color="auto" w:fill="auto"/>
            <w:noWrap/>
            <w:vAlign w:val="center"/>
            <w:hideMark/>
          </w:tcPr>
          <w:p w14:paraId="343248FD"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DVP.I022</w:t>
            </w:r>
          </w:p>
        </w:tc>
      </w:tr>
      <w:tr w:rsidR="00F86B98" w:rsidRPr="00F86B98" w14:paraId="13CE1850" w14:textId="77777777" w:rsidTr="0015273C">
        <w:trPr>
          <w:trHeight w:val="240"/>
        </w:trPr>
        <w:tc>
          <w:tcPr>
            <w:tcW w:w="4410" w:type="dxa"/>
            <w:tcBorders>
              <w:top w:val="nil"/>
              <w:left w:val="single" w:sz="8" w:space="0" w:color="auto"/>
              <w:bottom w:val="nil"/>
            </w:tcBorders>
            <w:shd w:val="clear" w:color="auto" w:fill="auto"/>
            <w:noWrap/>
            <w:vAlign w:val="center"/>
            <w:hideMark/>
          </w:tcPr>
          <w:p w14:paraId="5979878C" w14:textId="77777777" w:rsidR="00F86B98" w:rsidRPr="00F86B98" w:rsidRDefault="00F86B98" w:rsidP="0015273C">
            <w:pPr>
              <w:spacing w:after="0" w:line="240" w:lineRule="auto"/>
              <w:ind w:firstLineChars="200" w:firstLine="320"/>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Juros e Encargos de Mora</w:t>
            </w:r>
          </w:p>
        </w:tc>
        <w:tc>
          <w:tcPr>
            <w:tcW w:w="835" w:type="dxa"/>
            <w:tcBorders>
              <w:top w:val="nil"/>
              <w:bottom w:val="nil"/>
              <w:right w:val="single" w:sz="8" w:space="0" w:color="auto"/>
            </w:tcBorders>
            <w:shd w:val="clear" w:color="auto" w:fill="auto"/>
            <w:noWrap/>
            <w:vAlign w:val="center"/>
          </w:tcPr>
          <w:p w14:paraId="2651F80D"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31A5DDAB"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DVP.D023</w:t>
            </w:r>
          </w:p>
        </w:tc>
        <w:tc>
          <w:tcPr>
            <w:tcW w:w="1134" w:type="dxa"/>
            <w:tcBorders>
              <w:top w:val="nil"/>
              <w:left w:val="nil"/>
              <w:bottom w:val="nil"/>
              <w:right w:val="single" w:sz="8" w:space="0" w:color="auto"/>
            </w:tcBorders>
            <w:shd w:val="clear" w:color="auto" w:fill="auto"/>
            <w:noWrap/>
            <w:vAlign w:val="center"/>
            <w:hideMark/>
          </w:tcPr>
          <w:p w14:paraId="4335C5E2"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DVP.E023</w:t>
            </w:r>
          </w:p>
        </w:tc>
        <w:tc>
          <w:tcPr>
            <w:tcW w:w="4346" w:type="dxa"/>
            <w:tcBorders>
              <w:top w:val="nil"/>
              <w:left w:val="nil"/>
              <w:bottom w:val="nil"/>
            </w:tcBorders>
            <w:shd w:val="clear" w:color="auto" w:fill="auto"/>
            <w:noWrap/>
            <w:vAlign w:val="center"/>
            <w:hideMark/>
          </w:tcPr>
          <w:p w14:paraId="00F54400" w14:textId="77777777" w:rsidR="00F86B98" w:rsidRPr="00F86B98" w:rsidRDefault="00F86B98" w:rsidP="0015273C">
            <w:pPr>
              <w:spacing w:after="0" w:line="240" w:lineRule="auto"/>
              <w:ind w:firstLineChars="200" w:firstLine="320"/>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Serviços</w:t>
            </w:r>
          </w:p>
        </w:tc>
        <w:tc>
          <w:tcPr>
            <w:tcW w:w="846" w:type="dxa"/>
            <w:tcBorders>
              <w:top w:val="nil"/>
              <w:bottom w:val="nil"/>
              <w:right w:val="single" w:sz="8" w:space="0" w:color="auto"/>
            </w:tcBorders>
            <w:shd w:val="clear" w:color="auto" w:fill="auto"/>
            <w:noWrap/>
            <w:vAlign w:val="center"/>
          </w:tcPr>
          <w:p w14:paraId="5C3E5FC2"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5FEC7250"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DVP.H023</w:t>
            </w:r>
          </w:p>
        </w:tc>
        <w:tc>
          <w:tcPr>
            <w:tcW w:w="1120" w:type="dxa"/>
            <w:tcBorders>
              <w:top w:val="nil"/>
              <w:left w:val="nil"/>
              <w:bottom w:val="nil"/>
              <w:right w:val="single" w:sz="8" w:space="0" w:color="auto"/>
            </w:tcBorders>
            <w:shd w:val="clear" w:color="auto" w:fill="auto"/>
            <w:noWrap/>
            <w:vAlign w:val="center"/>
            <w:hideMark/>
          </w:tcPr>
          <w:p w14:paraId="0CEA4E64"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DVP.I023</w:t>
            </w:r>
          </w:p>
        </w:tc>
      </w:tr>
      <w:tr w:rsidR="00F86B98" w:rsidRPr="00F86B98" w14:paraId="3E98A38F" w14:textId="77777777" w:rsidTr="0015273C">
        <w:trPr>
          <w:trHeight w:val="240"/>
        </w:trPr>
        <w:tc>
          <w:tcPr>
            <w:tcW w:w="4410" w:type="dxa"/>
            <w:tcBorders>
              <w:top w:val="nil"/>
              <w:left w:val="single" w:sz="8" w:space="0" w:color="auto"/>
              <w:bottom w:val="nil"/>
            </w:tcBorders>
            <w:shd w:val="clear" w:color="auto" w:fill="auto"/>
            <w:noWrap/>
            <w:vAlign w:val="center"/>
            <w:hideMark/>
          </w:tcPr>
          <w:p w14:paraId="64878190" w14:textId="77777777" w:rsidR="00F86B98" w:rsidRPr="00F86B98" w:rsidRDefault="00F86B98" w:rsidP="0015273C">
            <w:pPr>
              <w:spacing w:after="0" w:line="240" w:lineRule="auto"/>
              <w:ind w:firstLineChars="200" w:firstLine="320"/>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Variações Monetárias e Cambiais</w:t>
            </w:r>
          </w:p>
        </w:tc>
        <w:tc>
          <w:tcPr>
            <w:tcW w:w="835" w:type="dxa"/>
            <w:tcBorders>
              <w:top w:val="nil"/>
              <w:bottom w:val="nil"/>
              <w:right w:val="single" w:sz="8" w:space="0" w:color="auto"/>
            </w:tcBorders>
            <w:shd w:val="clear" w:color="auto" w:fill="auto"/>
            <w:noWrap/>
            <w:vAlign w:val="center"/>
          </w:tcPr>
          <w:p w14:paraId="3D825C9C"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4D27AAB5"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DVP.D024</w:t>
            </w:r>
          </w:p>
        </w:tc>
        <w:tc>
          <w:tcPr>
            <w:tcW w:w="1134" w:type="dxa"/>
            <w:tcBorders>
              <w:top w:val="nil"/>
              <w:left w:val="nil"/>
              <w:bottom w:val="nil"/>
              <w:right w:val="single" w:sz="8" w:space="0" w:color="auto"/>
            </w:tcBorders>
            <w:shd w:val="clear" w:color="auto" w:fill="auto"/>
            <w:noWrap/>
            <w:vAlign w:val="center"/>
            <w:hideMark/>
          </w:tcPr>
          <w:p w14:paraId="05CCBA06"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DVP.E024</w:t>
            </w:r>
          </w:p>
        </w:tc>
        <w:tc>
          <w:tcPr>
            <w:tcW w:w="4346" w:type="dxa"/>
            <w:tcBorders>
              <w:top w:val="nil"/>
              <w:left w:val="nil"/>
              <w:bottom w:val="nil"/>
            </w:tcBorders>
            <w:shd w:val="clear" w:color="auto" w:fill="auto"/>
            <w:noWrap/>
            <w:vAlign w:val="center"/>
            <w:hideMark/>
          </w:tcPr>
          <w:p w14:paraId="1A092A9C" w14:textId="77777777" w:rsidR="00F86B98" w:rsidRPr="00F86B98" w:rsidRDefault="00F86B98" w:rsidP="0015273C">
            <w:pPr>
              <w:spacing w:after="0" w:line="240" w:lineRule="auto"/>
              <w:ind w:firstLineChars="200" w:firstLine="320"/>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Depreciação, Amortização e Exaustão</w:t>
            </w:r>
          </w:p>
        </w:tc>
        <w:tc>
          <w:tcPr>
            <w:tcW w:w="846" w:type="dxa"/>
            <w:tcBorders>
              <w:top w:val="nil"/>
              <w:bottom w:val="nil"/>
              <w:right w:val="single" w:sz="8" w:space="0" w:color="auto"/>
            </w:tcBorders>
            <w:shd w:val="clear" w:color="auto" w:fill="auto"/>
            <w:noWrap/>
            <w:vAlign w:val="center"/>
          </w:tcPr>
          <w:p w14:paraId="6CB45F83"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5EC1114F"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DVP.H024</w:t>
            </w:r>
          </w:p>
        </w:tc>
        <w:tc>
          <w:tcPr>
            <w:tcW w:w="1120" w:type="dxa"/>
            <w:tcBorders>
              <w:top w:val="nil"/>
              <w:left w:val="nil"/>
              <w:bottom w:val="nil"/>
              <w:right w:val="single" w:sz="8" w:space="0" w:color="auto"/>
            </w:tcBorders>
            <w:shd w:val="clear" w:color="auto" w:fill="auto"/>
            <w:noWrap/>
            <w:vAlign w:val="center"/>
            <w:hideMark/>
          </w:tcPr>
          <w:p w14:paraId="2FC1F31E"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DVP.I024</w:t>
            </w:r>
          </w:p>
        </w:tc>
      </w:tr>
      <w:tr w:rsidR="00F86B98" w:rsidRPr="00F86B98" w14:paraId="4285631E" w14:textId="77777777" w:rsidTr="0015273C">
        <w:trPr>
          <w:trHeight w:val="240"/>
        </w:trPr>
        <w:tc>
          <w:tcPr>
            <w:tcW w:w="4410" w:type="dxa"/>
            <w:tcBorders>
              <w:top w:val="nil"/>
              <w:left w:val="single" w:sz="8" w:space="0" w:color="auto"/>
              <w:bottom w:val="nil"/>
            </w:tcBorders>
            <w:shd w:val="clear" w:color="auto" w:fill="auto"/>
            <w:noWrap/>
            <w:vAlign w:val="center"/>
            <w:hideMark/>
          </w:tcPr>
          <w:p w14:paraId="00C780BE" w14:textId="77777777" w:rsidR="00F86B98" w:rsidRPr="00F86B98" w:rsidRDefault="00F86B98" w:rsidP="0015273C">
            <w:pPr>
              <w:spacing w:after="0" w:line="240" w:lineRule="auto"/>
              <w:ind w:firstLineChars="200" w:firstLine="320"/>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Descontos Financeiros Obtidos</w:t>
            </w:r>
          </w:p>
        </w:tc>
        <w:tc>
          <w:tcPr>
            <w:tcW w:w="835" w:type="dxa"/>
            <w:tcBorders>
              <w:top w:val="nil"/>
              <w:bottom w:val="nil"/>
              <w:right w:val="single" w:sz="8" w:space="0" w:color="auto"/>
            </w:tcBorders>
            <w:shd w:val="clear" w:color="auto" w:fill="auto"/>
            <w:noWrap/>
            <w:vAlign w:val="center"/>
          </w:tcPr>
          <w:p w14:paraId="00A299B2"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78EEFCA1"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DVP.D025</w:t>
            </w:r>
          </w:p>
        </w:tc>
        <w:tc>
          <w:tcPr>
            <w:tcW w:w="1134" w:type="dxa"/>
            <w:tcBorders>
              <w:top w:val="nil"/>
              <w:left w:val="nil"/>
              <w:bottom w:val="nil"/>
              <w:right w:val="single" w:sz="8" w:space="0" w:color="auto"/>
            </w:tcBorders>
            <w:shd w:val="clear" w:color="auto" w:fill="auto"/>
            <w:noWrap/>
            <w:vAlign w:val="center"/>
            <w:hideMark/>
          </w:tcPr>
          <w:p w14:paraId="035EB652"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DVP.E025</w:t>
            </w:r>
          </w:p>
        </w:tc>
        <w:tc>
          <w:tcPr>
            <w:tcW w:w="4346" w:type="dxa"/>
            <w:tcBorders>
              <w:top w:val="nil"/>
              <w:left w:val="nil"/>
              <w:bottom w:val="nil"/>
            </w:tcBorders>
            <w:shd w:val="clear" w:color="auto" w:fill="auto"/>
            <w:noWrap/>
            <w:vAlign w:val="center"/>
            <w:hideMark/>
          </w:tcPr>
          <w:p w14:paraId="63851C76" w14:textId="77777777" w:rsidR="00F86B98" w:rsidRPr="00F86B98" w:rsidRDefault="00F86B98" w:rsidP="0015273C">
            <w:pPr>
              <w:spacing w:after="0" w:line="240" w:lineRule="auto"/>
              <w:rPr>
                <w:rFonts w:ascii="Arial Narrow" w:eastAsia="Times New Roman" w:hAnsi="Arial Narrow" w:cs="Arial"/>
                <w:b/>
                <w:bCs/>
                <w:sz w:val="16"/>
                <w:szCs w:val="16"/>
                <w:u w:val="single"/>
                <w:lang w:eastAsia="pt-BR"/>
              </w:rPr>
            </w:pPr>
            <w:r w:rsidRPr="00F86B98">
              <w:rPr>
                <w:rFonts w:ascii="Arial Narrow" w:eastAsia="Times New Roman" w:hAnsi="Arial Narrow" w:cs="Arial"/>
                <w:b/>
                <w:bCs/>
                <w:sz w:val="16"/>
                <w:szCs w:val="16"/>
                <w:u w:val="single"/>
                <w:lang w:eastAsia="pt-BR"/>
              </w:rPr>
              <w:t>Variações Patrimoniais Diminutivas Financeiras</w:t>
            </w:r>
          </w:p>
        </w:tc>
        <w:tc>
          <w:tcPr>
            <w:tcW w:w="846" w:type="dxa"/>
            <w:tcBorders>
              <w:top w:val="nil"/>
              <w:bottom w:val="nil"/>
              <w:right w:val="single" w:sz="8" w:space="0" w:color="auto"/>
            </w:tcBorders>
            <w:shd w:val="clear" w:color="auto" w:fill="auto"/>
            <w:noWrap/>
            <w:vAlign w:val="center"/>
          </w:tcPr>
          <w:p w14:paraId="04A1CF4F" w14:textId="77777777" w:rsidR="00F86B98" w:rsidRPr="00F86B98" w:rsidRDefault="00F86B98" w:rsidP="0015273C">
            <w:pPr>
              <w:spacing w:after="0" w:line="240" w:lineRule="auto"/>
              <w:jc w:val="center"/>
              <w:rPr>
                <w:rFonts w:ascii="Arial Narrow" w:eastAsia="Times New Roman" w:hAnsi="Arial Narrow" w:cs="Arial"/>
                <w:b/>
                <w:bCs/>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4E9AC784" w14:textId="77777777" w:rsidR="00F86B98" w:rsidRPr="00F86B98" w:rsidRDefault="00F86B98" w:rsidP="0015273C">
            <w:pPr>
              <w:spacing w:after="0" w:line="240" w:lineRule="auto"/>
              <w:jc w:val="center"/>
              <w:rPr>
                <w:rFonts w:ascii="Arial Narrow" w:eastAsia="Times New Roman" w:hAnsi="Arial Narrow" w:cs="Arial"/>
                <w:b/>
                <w:bCs/>
                <w:sz w:val="16"/>
                <w:szCs w:val="16"/>
                <w:lang w:eastAsia="pt-BR"/>
              </w:rPr>
            </w:pPr>
            <w:r w:rsidRPr="00F86B98">
              <w:rPr>
                <w:rFonts w:ascii="Arial Narrow" w:eastAsia="Times New Roman" w:hAnsi="Arial Narrow" w:cs="Arial"/>
                <w:b/>
                <w:bCs/>
                <w:sz w:val="16"/>
                <w:szCs w:val="16"/>
                <w:lang w:eastAsia="pt-BR"/>
              </w:rPr>
              <w:t>DVP.H025</w:t>
            </w:r>
          </w:p>
        </w:tc>
        <w:tc>
          <w:tcPr>
            <w:tcW w:w="1120" w:type="dxa"/>
            <w:tcBorders>
              <w:top w:val="nil"/>
              <w:left w:val="nil"/>
              <w:bottom w:val="nil"/>
              <w:right w:val="single" w:sz="8" w:space="0" w:color="auto"/>
            </w:tcBorders>
            <w:shd w:val="clear" w:color="auto" w:fill="auto"/>
            <w:noWrap/>
            <w:vAlign w:val="center"/>
            <w:hideMark/>
          </w:tcPr>
          <w:p w14:paraId="22E4E72D" w14:textId="77777777" w:rsidR="00F86B98" w:rsidRPr="00F86B98" w:rsidRDefault="00F86B98" w:rsidP="0015273C">
            <w:pPr>
              <w:spacing w:after="0" w:line="240" w:lineRule="auto"/>
              <w:jc w:val="center"/>
              <w:rPr>
                <w:rFonts w:ascii="Arial Narrow" w:eastAsia="Times New Roman" w:hAnsi="Arial Narrow" w:cs="Arial"/>
                <w:b/>
                <w:bCs/>
                <w:sz w:val="16"/>
                <w:szCs w:val="16"/>
                <w:lang w:eastAsia="pt-BR"/>
              </w:rPr>
            </w:pPr>
            <w:r w:rsidRPr="00F86B98">
              <w:rPr>
                <w:rFonts w:ascii="Arial Narrow" w:eastAsia="Times New Roman" w:hAnsi="Arial Narrow" w:cs="Arial"/>
                <w:b/>
                <w:bCs/>
                <w:sz w:val="16"/>
                <w:szCs w:val="16"/>
                <w:lang w:eastAsia="pt-BR"/>
              </w:rPr>
              <w:t>DVP.I025</w:t>
            </w:r>
          </w:p>
        </w:tc>
      </w:tr>
      <w:tr w:rsidR="00F86B98" w:rsidRPr="00F86B98" w14:paraId="32CA07A4" w14:textId="77777777" w:rsidTr="0015273C">
        <w:trPr>
          <w:trHeight w:val="240"/>
        </w:trPr>
        <w:tc>
          <w:tcPr>
            <w:tcW w:w="4410" w:type="dxa"/>
            <w:tcBorders>
              <w:top w:val="nil"/>
              <w:left w:val="single" w:sz="8" w:space="0" w:color="auto"/>
              <w:bottom w:val="nil"/>
            </w:tcBorders>
            <w:shd w:val="clear" w:color="auto" w:fill="auto"/>
            <w:noWrap/>
            <w:vAlign w:val="center"/>
            <w:hideMark/>
          </w:tcPr>
          <w:p w14:paraId="12385177" w14:textId="77777777" w:rsidR="00F86B98" w:rsidRPr="00F86B98" w:rsidRDefault="00F86B98" w:rsidP="0015273C">
            <w:pPr>
              <w:spacing w:after="0" w:line="240" w:lineRule="auto"/>
              <w:ind w:firstLineChars="200" w:firstLine="320"/>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Remuneração de Depósitos Bancários e Aplicações Financeiras</w:t>
            </w:r>
          </w:p>
        </w:tc>
        <w:tc>
          <w:tcPr>
            <w:tcW w:w="835" w:type="dxa"/>
            <w:tcBorders>
              <w:top w:val="nil"/>
              <w:bottom w:val="nil"/>
              <w:right w:val="single" w:sz="8" w:space="0" w:color="auto"/>
            </w:tcBorders>
            <w:shd w:val="clear" w:color="auto" w:fill="auto"/>
            <w:noWrap/>
            <w:vAlign w:val="center"/>
          </w:tcPr>
          <w:p w14:paraId="1599F45C"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4E4034C1"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DVP.D026</w:t>
            </w:r>
          </w:p>
        </w:tc>
        <w:tc>
          <w:tcPr>
            <w:tcW w:w="1134" w:type="dxa"/>
            <w:tcBorders>
              <w:top w:val="nil"/>
              <w:left w:val="nil"/>
              <w:bottom w:val="nil"/>
              <w:right w:val="single" w:sz="8" w:space="0" w:color="auto"/>
            </w:tcBorders>
            <w:shd w:val="clear" w:color="auto" w:fill="auto"/>
            <w:noWrap/>
            <w:vAlign w:val="center"/>
            <w:hideMark/>
          </w:tcPr>
          <w:p w14:paraId="1034A6F5"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DVP.E026</w:t>
            </w:r>
          </w:p>
        </w:tc>
        <w:tc>
          <w:tcPr>
            <w:tcW w:w="4346" w:type="dxa"/>
            <w:tcBorders>
              <w:top w:val="nil"/>
              <w:left w:val="nil"/>
              <w:bottom w:val="nil"/>
            </w:tcBorders>
            <w:shd w:val="clear" w:color="auto" w:fill="auto"/>
            <w:noWrap/>
            <w:vAlign w:val="center"/>
            <w:hideMark/>
          </w:tcPr>
          <w:p w14:paraId="4EF5CC7C" w14:textId="77777777" w:rsidR="00F86B98" w:rsidRPr="00F86B98" w:rsidRDefault="00F86B98" w:rsidP="0015273C">
            <w:pPr>
              <w:spacing w:after="0" w:line="240" w:lineRule="auto"/>
              <w:ind w:firstLineChars="200" w:firstLine="320"/>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Juros e Encargos de Empréstimos e Financiamentos Obtidos</w:t>
            </w:r>
          </w:p>
        </w:tc>
        <w:tc>
          <w:tcPr>
            <w:tcW w:w="846" w:type="dxa"/>
            <w:tcBorders>
              <w:top w:val="nil"/>
              <w:bottom w:val="nil"/>
              <w:right w:val="single" w:sz="8" w:space="0" w:color="auto"/>
            </w:tcBorders>
            <w:shd w:val="clear" w:color="auto" w:fill="auto"/>
            <w:noWrap/>
            <w:vAlign w:val="center"/>
          </w:tcPr>
          <w:p w14:paraId="46B295D3"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4C2AA541"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DVP.H026</w:t>
            </w:r>
          </w:p>
        </w:tc>
        <w:tc>
          <w:tcPr>
            <w:tcW w:w="1120" w:type="dxa"/>
            <w:tcBorders>
              <w:top w:val="nil"/>
              <w:left w:val="nil"/>
              <w:bottom w:val="nil"/>
              <w:right w:val="single" w:sz="8" w:space="0" w:color="auto"/>
            </w:tcBorders>
            <w:shd w:val="clear" w:color="auto" w:fill="auto"/>
            <w:noWrap/>
            <w:vAlign w:val="center"/>
            <w:hideMark/>
          </w:tcPr>
          <w:p w14:paraId="1B129425"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DVP.I026</w:t>
            </w:r>
          </w:p>
        </w:tc>
      </w:tr>
      <w:tr w:rsidR="00F86B98" w:rsidRPr="00F86B98" w14:paraId="62ED9B85" w14:textId="77777777" w:rsidTr="0015273C">
        <w:trPr>
          <w:trHeight w:val="240"/>
        </w:trPr>
        <w:tc>
          <w:tcPr>
            <w:tcW w:w="4410" w:type="dxa"/>
            <w:tcBorders>
              <w:top w:val="nil"/>
              <w:left w:val="single" w:sz="8" w:space="0" w:color="auto"/>
              <w:bottom w:val="nil"/>
            </w:tcBorders>
            <w:shd w:val="clear" w:color="auto" w:fill="auto"/>
            <w:noWrap/>
            <w:vAlign w:val="center"/>
          </w:tcPr>
          <w:p w14:paraId="0B93DAE6" w14:textId="77777777" w:rsidR="00F86B98" w:rsidRPr="00F86B98" w:rsidRDefault="00F86B98" w:rsidP="0015273C">
            <w:pPr>
              <w:spacing w:after="0" w:line="240" w:lineRule="auto"/>
              <w:ind w:firstLineChars="200" w:firstLine="320"/>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Juros e Encargos de Empréstimos Obtidos</w:t>
            </w:r>
          </w:p>
        </w:tc>
        <w:tc>
          <w:tcPr>
            <w:tcW w:w="835" w:type="dxa"/>
            <w:tcBorders>
              <w:top w:val="nil"/>
              <w:bottom w:val="nil"/>
              <w:right w:val="single" w:sz="8" w:space="0" w:color="auto"/>
            </w:tcBorders>
            <w:shd w:val="clear" w:color="auto" w:fill="auto"/>
            <w:noWrap/>
            <w:vAlign w:val="center"/>
          </w:tcPr>
          <w:p w14:paraId="4241657F"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tcPr>
          <w:p w14:paraId="61DF9EF6"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DVP.D051</w:t>
            </w:r>
          </w:p>
        </w:tc>
        <w:tc>
          <w:tcPr>
            <w:tcW w:w="1134" w:type="dxa"/>
            <w:tcBorders>
              <w:top w:val="nil"/>
              <w:left w:val="nil"/>
              <w:bottom w:val="nil"/>
              <w:right w:val="single" w:sz="8" w:space="0" w:color="auto"/>
            </w:tcBorders>
            <w:shd w:val="clear" w:color="auto" w:fill="auto"/>
            <w:noWrap/>
            <w:vAlign w:val="center"/>
          </w:tcPr>
          <w:p w14:paraId="5AE23DCC" w14:textId="5AF85D9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w:t>
            </w:r>
            <w:r w:rsidR="00366207">
              <w:rPr>
                <w:rFonts w:ascii="Arial Narrow" w:eastAsia="Times New Roman" w:hAnsi="Arial Narrow" w:cs="Arial"/>
                <w:sz w:val="16"/>
                <w:szCs w:val="16"/>
                <w:lang w:eastAsia="pt-BR"/>
              </w:rPr>
              <w:t>E</w:t>
            </w:r>
            <w:r w:rsidRPr="00F86B98">
              <w:rPr>
                <w:rFonts w:ascii="Arial Narrow" w:eastAsia="Times New Roman" w:hAnsi="Arial Narrow" w:cs="Arial"/>
                <w:sz w:val="16"/>
                <w:szCs w:val="16"/>
                <w:lang w:eastAsia="pt-BR"/>
              </w:rPr>
              <w:t>051</w:t>
            </w:r>
          </w:p>
        </w:tc>
        <w:tc>
          <w:tcPr>
            <w:tcW w:w="4346" w:type="dxa"/>
            <w:tcBorders>
              <w:top w:val="nil"/>
              <w:left w:val="nil"/>
              <w:bottom w:val="nil"/>
            </w:tcBorders>
            <w:shd w:val="clear" w:color="auto" w:fill="auto"/>
            <w:noWrap/>
            <w:vAlign w:val="center"/>
          </w:tcPr>
          <w:p w14:paraId="3469B3AC" w14:textId="77777777" w:rsidR="00F86B98" w:rsidRPr="00F86B98" w:rsidRDefault="00F86B98" w:rsidP="0015273C">
            <w:pPr>
              <w:spacing w:after="0" w:line="240" w:lineRule="auto"/>
              <w:ind w:firstLineChars="200" w:firstLine="320"/>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Juros e Encargos de Mora</w:t>
            </w:r>
          </w:p>
        </w:tc>
        <w:tc>
          <w:tcPr>
            <w:tcW w:w="846" w:type="dxa"/>
            <w:tcBorders>
              <w:top w:val="nil"/>
              <w:bottom w:val="nil"/>
              <w:right w:val="single" w:sz="8" w:space="0" w:color="auto"/>
            </w:tcBorders>
            <w:shd w:val="clear" w:color="auto" w:fill="auto"/>
            <w:noWrap/>
            <w:vAlign w:val="center"/>
          </w:tcPr>
          <w:p w14:paraId="561E8AED"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tcPr>
          <w:p w14:paraId="6CC47DD6"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DVP.H027</w:t>
            </w:r>
          </w:p>
        </w:tc>
        <w:tc>
          <w:tcPr>
            <w:tcW w:w="1120" w:type="dxa"/>
            <w:tcBorders>
              <w:top w:val="nil"/>
              <w:left w:val="nil"/>
              <w:bottom w:val="nil"/>
              <w:right w:val="single" w:sz="8" w:space="0" w:color="auto"/>
            </w:tcBorders>
            <w:shd w:val="clear" w:color="auto" w:fill="auto"/>
            <w:noWrap/>
            <w:vAlign w:val="center"/>
          </w:tcPr>
          <w:p w14:paraId="491C6F7B"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DVP.I027</w:t>
            </w:r>
          </w:p>
        </w:tc>
      </w:tr>
      <w:tr w:rsidR="00F86B98" w:rsidRPr="00F86B98" w14:paraId="39BCD51B" w14:textId="77777777" w:rsidTr="0015273C">
        <w:trPr>
          <w:trHeight w:val="240"/>
        </w:trPr>
        <w:tc>
          <w:tcPr>
            <w:tcW w:w="4410" w:type="dxa"/>
            <w:tcBorders>
              <w:top w:val="nil"/>
              <w:left w:val="single" w:sz="8" w:space="0" w:color="auto"/>
              <w:bottom w:val="nil"/>
            </w:tcBorders>
            <w:shd w:val="clear" w:color="auto" w:fill="auto"/>
            <w:noWrap/>
            <w:vAlign w:val="center"/>
            <w:hideMark/>
          </w:tcPr>
          <w:p w14:paraId="5074355A" w14:textId="77777777" w:rsidR="00F86B98" w:rsidRPr="00F86B98" w:rsidRDefault="00F86B98" w:rsidP="0015273C">
            <w:pPr>
              <w:spacing w:after="0" w:line="240" w:lineRule="auto"/>
              <w:ind w:firstLineChars="200" w:firstLine="320"/>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Outras Variações Patrimoniais Aumentativas - Financeiras</w:t>
            </w:r>
          </w:p>
        </w:tc>
        <w:tc>
          <w:tcPr>
            <w:tcW w:w="835" w:type="dxa"/>
            <w:tcBorders>
              <w:top w:val="nil"/>
              <w:bottom w:val="nil"/>
              <w:right w:val="single" w:sz="8" w:space="0" w:color="auto"/>
            </w:tcBorders>
            <w:shd w:val="clear" w:color="auto" w:fill="auto"/>
            <w:noWrap/>
            <w:vAlign w:val="center"/>
          </w:tcPr>
          <w:p w14:paraId="152F9716"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5DC3F537"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DVP.D027</w:t>
            </w:r>
          </w:p>
        </w:tc>
        <w:tc>
          <w:tcPr>
            <w:tcW w:w="1134" w:type="dxa"/>
            <w:tcBorders>
              <w:top w:val="nil"/>
              <w:left w:val="nil"/>
              <w:bottom w:val="nil"/>
              <w:right w:val="single" w:sz="8" w:space="0" w:color="auto"/>
            </w:tcBorders>
            <w:shd w:val="clear" w:color="auto" w:fill="auto"/>
            <w:noWrap/>
            <w:vAlign w:val="center"/>
            <w:hideMark/>
          </w:tcPr>
          <w:p w14:paraId="41A33119"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DVP.E027</w:t>
            </w:r>
          </w:p>
        </w:tc>
        <w:tc>
          <w:tcPr>
            <w:tcW w:w="4346" w:type="dxa"/>
            <w:tcBorders>
              <w:top w:val="nil"/>
              <w:left w:val="nil"/>
              <w:bottom w:val="nil"/>
            </w:tcBorders>
            <w:shd w:val="clear" w:color="auto" w:fill="auto"/>
            <w:noWrap/>
            <w:vAlign w:val="center"/>
          </w:tcPr>
          <w:p w14:paraId="2C9F5810" w14:textId="77777777" w:rsidR="00F86B98" w:rsidRPr="00F86B98" w:rsidRDefault="00F86B98" w:rsidP="0015273C">
            <w:pPr>
              <w:spacing w:after="0" w:line="240" w:lineRule="auto"/>
              <w:ind w:firstLineChars="200" w:firstLine="320"/>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Variações Monetárias e Cambiais</w:t>
            </w:r>
          </w:p>
        </w:tc>
        <w:tc>
          <w:tcPr>
            <w:tcW w:w="846" w:type="dxa"/>
            <w:tcBorders>
              <w:top w:val="nil"/>
              <w:bottom w:val="nil"/>
              <w:right w:val="single" w:sz="8" w:space="0" w:color="auto"/>
            </w:tcBorders>
            <w:shd w:val="clear" w:color="auto" w:fill="auto"/>
            <w:noWrap/>
            <w:vAlign w:val="center"/>
          </w:tcPr>
          <w:p w14:paraId="78021854"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tcPr>
          <w:p w14:paraId="036C4967"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DVP.H028</w:t>
            </w:r>
          </w:p>
        </w:tc>
        <w:tc>
          <w:tcPr>
            <w:tcW w:w="1120" w:type="dxa"/>
            <w:tcBorders>
              <w:top w:val="nil"/>
              <w:left w:val="nil"/>
              <w:bottom w:val="nil"/>
              <w:right w:val="single" w:sz="8" w:space="0" w:color="auto"/>
            </w:tcBorders>
            <w:shd w:val="clear" w:color="auto" w:fill="auto"/>
            <w:noWrap/>
            <w:vAlign w:val="center"/>
          </w:tcPr>
          <w:p w14:paraId="6C48A3B2"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DVP.I028</w:t>
            </w:r>
          </w:p>
        </w:tc>
      </w:tr>
      <w:tr w:rsidR="00F86B98" w:rsidRPr="00F86B98" w14:paraId="4196E9F5" w14:textId="77777777" w:rsidTr="0015273C">
        <w:trPr>
          <w:trHeight w:val="240"/>
        </w:trPr>
        <w:tc>
          <w:tcPr>
            <w:tcW w:w="4410" w:type="dxa"/>
            <w:tcBorders>
              <w:top w:val="nil"/>
              <w:left w:val="single" w:sz="8" w:space="0" w:color="auto"/>
              <w:bottom w:val="nil"/>
            </w:tcBorders>
            <w:shd w:val="clear" w:color="auto" w:fill="auto"/>
            <w:noWrap/>
            <w:vAlign w:val="center"/>
            <w:hideMark/>
          </w:tcPr>
          <w:p w14:paraId="1C4846F3" w14:textId="77777777" w:rsidR="00F86B98" w:rsidRPr="00F86B98" w:rsidRDefault="00F86B98" w:rsidP="0015273C">
            <w:pPr>
              <w:spacing w:after="0" w:line="240" w:lineRule="auto"/>
              <w:rPr>
                <w:rFonts w:ascii="Arial Narrow" w:eastAsia="Times New Roman" w:hAnsi="Arial Narrow" w:cs="Arial"/>
                <w:b/>
                <w:bCs/>
                <w:sz w:val="16"/>
                <w:szCs w:val="16"/>
                <w:u w:val="single"/>
                <w:lang w:eastAsia="pt-BR"/>
              </w:rPr>
            </w:pPr>
            <w:r w:rsidRPr="00F86B98">
              <w:rPr>
                <w:rFonts w:ascii="Arial Narrow" w:eastAsia="Times New Roman" w:hAnsi="Arial Narrow" w:cs="Arial"/>
                <w:b/>
                <w:bCs/>
                <w:sz w:val="16"/>
                <w:szCs w:val="16"/>
                <w:u w:val="single"/>
                <w:lang w:eastAsia="pt-BR"/>
              </w:rPr>
              <w:t>Transferências e Delegações Recebidas</w:t>
            </w:r>
          </w:p>
        </w:tc>
        <w:tc>
          <w:tcPr>
            <w:tcW w:w="835" w:type="dxa"/>
            <w:tcBorders>
              <w:top w:val="nil"/>
              <w:bottom w:val="nil"/>
              <w:right w:val="single" w:sz="8" w:space="0" w:color="auto"/>
            </w:tcBorders>
            <w:shd w:val="clear" w:color="auto" w:fill="auto"/>
            <w:noWrap/>
            <w:vAlign w:val="center"/>
          </w:tcPr>
          <w:p w14:paraId="1BD69F76" w14:textId="77777777" w:rsidR="00F86B98" w:rsidRPr="00F86B98" w:rsidRDefault="00F86B98" w:rsidP="0015273C">
            <w:pPr>
              <w:spacing w:after="0" w:line="240" w:lineRule="auto"/>
              <w:jc w:val="center"/>
              <w:rPr>
                <w:rFonts w:ascii="Arial Narrow" w:eastAsia="Times New Roman" w:hAnsi="Arial Narrow" w:cs="Arial"/>
                <w:b/>
                <w:bCs/>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13B03AC7" w14:textId="77777777" w:rsidR="00F86B98" w:rsidRPr="00F86B98" w:rsidRDefault="00F86B98" w:rsidP="0015273C">
            <w:pPr>
              <w:spacing w:after="0" w:line="240" w:lineRule="auto"/>
              <w:jc w:val="center"/>
              <w:rPr>
                <w:rFonts w:ascii="Arial Narrow" w:eastAsia="Times New Roman" w:hAnsi="Arial Narrow" w:cs="Arial"/>
                <w:b/>
                <w:bCs/>
                <w:sz w:val="16"/>
                <w:szCs w:val="16"/>
                <w:lang w:eastAsia="pt-BR"/>
              </w:rPr>
            </w:pPr>
            <w:r w:rsidRPr="00F86B98">
              <w:rPr>
                <w:rFonts w:ascii="Arial Narrow" w:eastAsia="Times New Roman" w:hAnsi="Arial Narrow" w:cs="Arial"/>
                <w:b/>
                <w:bCs/>
                <w:sz w:val="16"/>
                <w:szCs w:val="16"/>
                <w:lang w:eastAsia="pt-BR"/>
              </w:rPr>
              <w:t>DVP.D028</w:t>
            </w:r>
          </w:p>
        </w:tc>
        <w:tc>
          <w:tcPr>
            <w:tcW w:w="1134" w:type="dxa"/>
            <w:tcBorders>
              <w:top w:val="nil"/>
              <w:left w:val="nil"/>
              <w:bottom w:val="nil"/>
              <w:right w:val="single" w:sz="8" w:space="0" w:color="auto"/>
            </w:tcBorders>
            <w:shd w:val="clear" w:color="auto" w:fill="auto"/>
            <w:noWrap/>
            <w:vAlign w:val="center"/>
            <w:hideMark/>
          </w:tcPr>
          <w:p w14:paraId="6ACB8DA7" w14:textId="77777777" w:rsidR="00F86B98" w:rsidRPr="00F86B98" w:rsidRDefault="00F86B98" w:rsidP="0015273C">
            <w:pPr>
              <w:spacing w:after="0" w:line="240" w:lineRule="auto"/>
              <w:jc w:val="center"/>
              <w:rPr>
                <w:rFonts w:ascii="Arial Narrow" w:eastAsia="Times New Roman" w:hAnsi="Arial Narrow" w:cs="Arial"/>
                <w:b/>
                <w:bCs/>
                <w:sz w:val="16"/>
                <w:szCs w:val="16"/>
                <w:lang w:eastAsia="pt-BR"/>
              </w:rPr>
            </w:pPr>
            <w:r w:rsidRPr="00F86B98">
              <w:rPr>
                <w:rFonts w:ascii="Arial Narrow" w:eastAsia="Times New Roman" w:hAnsi="Arial Narrow" w:cs="Arial"/>
                <w:b/>
                <w:bCs/>
                <w:sz w:val="16"/>
                <w:szCs w:val="16"/>
                <w:lang w:eastAsia="pt-BR"/>
              </w:rPr>
              <w:t>DVP.E028</w:t>
            </w:r>
          </w:p>
        </w:tc>
        <w:tc>
          <w:tcPr>
            <w:tcW w:w="4346" w:type="dxa"/>
            <w:tcBorders>
              <w:top w:val="nil"/>
              <w:left w:val="nil"/>
              <w:bottom w:val="nil"/>
            </w:tcBorders>
            <w:shd w:val="clear" w:color="auto" w:fill="auto"/>
            <w:noWrap/>
            <w:vAlign w:val="center"/>
          </w:tcPr>
          <w:p w14:paraId="1E0623B3" w14:textId="77777777" w:rsidR="00F86B98" w:rsidRPr="00F86B98" w:rsidRDefault="00F86B98" w:rsidP="0015273C">
            <w:pPr>
              <w:spacing w:after="0" w:line="240" w:lineRule="auto"/>
              <w:ind w:firstLineChars="200" w:firstLine="320"/>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Descontos Financeiros Concedidos</w:t>
            </w:r>
          </w:p>
        </w:tc>
        <w:tc>
          <w:tcPr>
            <w:tcW w:w="846" w:type="dxa"/>
            <w:tcBorders>
              <w:top w:val="nil"/>
              <w:bottom w:val="nil"/>
              <w:right w:val="single" w:sz="8" w:space="0" w:color="auto"/>
            </w:tcBorders>
            <w:shd w:val="clear" w:color="auto" w:fill="auto"/>
            <w:noWrap/>
            <w:vAlign w:val="center"/>
          </w:tcPr>
          <w:p w14:paraId="6C945062"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tcPr>
          <w:p w14:paraId="10DCAEF3"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DVP.H029</w:t>
            </w:r>
          </w:p>
        </w:tc>
        <w:tc>
          <w:tcPr>
            <w:tcW w:w="1120" w:type="dxa"/>
            <w:tcBorders>
              <w:top w:val="nil"/>
              <w:left w:val="nil"/>
              <w:bottom w:val="nil"/>
              <w:right w:val="single" w:sz="8" w:space="0" w:color="auto"/>
            </w:tcBorders>
            <w:shd w:val="clear" w:color="auto" w:fill="auto"/>
            <w:noWrap/>
            <w:vAlign w:val="center"/>
          </w:tcPr>
          <w:p w14:paraId="7D3050C1"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DVP.I029</w:t>
            </w:r>
          </w:p>
        </w:tc>
      </w:tr>
      <w:tr w:rsidR="00F86B98" w:rsidRPr="00F86B98" w14:paraId="5741BB58" w14:textId="77777777" w:rsidTr="0015273C">
        <w:trPr>
          <w:trHeight w:val="255"/>
        </w:trPr>
        <w:tc>
          <w:tcPr>
            <w:tcW w:w="4410" w:type="dxa"/>
            <w:tcBorders>
              <w:top w:val="nil"/>
              <w:left w:val="single" w:sz="8" w:space="0" w:color="auto"/>
              <w:bottom w:val="nil"/>
            </w:tcBorders>
            <w:shd w:val="clear" w:color="auto" w:fill="auto"/>
            <w:noWrap/>
            <w:vAlign w:val="center"/>
            <w:hideMark/>
          </w:tcPr>
          <w:p w14:paraId="559A40EE" w14:textId="77777777" w:rsidR="00F86B98" w:rsidRPr="00F86B98" w:rsidRDefault="00F86B98" w:rsidP="0015273C">
            <w:pPr>
              <w:spacing w:after="0" w:line="240" w:lineRule="auto"/>
              <w:ind w:firstLineChars="200" w:firstLine="320"/>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Transferências Intragovermamentais</w:t>
            </w:r>
          </w:p>
        </w:tc>
        <w:tc>
          <w:tcPr>
            <w:tcW w:w="835" w:type="dxa"/>
            <w:tcBorders>
              <w:top w:val="nil"/>
              <w:bottom w:val="nil"/>
              <w:right w:val="single" w:sz="8" w:space="0" w:color="auto"/>
            </w:tcBorders>
            <w:shd w:val="clear" w:color="auto" w:fill="auto"/>
            <w:noWrap/>
            <w:vAlign w:val="center"/>
          </w:tcPr>
          <w:p w14:paraId="19B9DE01"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0A86834A"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DVP.D029</w:t>
            </w:r>
          </w:p>
        </w:tc>
        <w:tc>
          <w:tcPr>
            <w:tcW w:w="1134" w:type="dxa"/>
            <w:tcBorders>
              <w:top w:val="nil"/>
              <w:left w:val="nil"/>
              <w:bottom w:val="nil"/>
              <w:right w:val="single" w:sz="8" w:space="0" w:color="auto"/>
            </w:tcBorders>
            <w:shd w:val="clear" w:color="auto" w:fill="auto"/>
            <w:noWrap/>
            <w:vAlign w:val="center"/>
            <w:hideMark/>
          </w:tcPr>
          <w:p w14:paraId="656766D4"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DVP.E029</w:t>
            </w:r>
          </w:p>
        </w:tc>
        <w:tc>
          <w:tcPr>
            <w:tcW w:w="4346" w:type="dxa"/>
            <w:tcBorders>
              <w:top w:val="nil"/>
              <w:left w:val="nil"/>
              <w:bottom w:val="nil"/>
            </w:tcBorders>
            <w:shd w:val="clear" w:color="auto" w:fill="auto"/>
            <w:noWrap/>
            <w:vAlign w:val="center"/>
          </w:tcPr>
          <w:p w14:paraId="4AE0AEA7" w14:textId="77777777" w:rsidR="00F86B98" w:rsidRPr="00F86B98" w:rsidRDefault="00F86B98" w:rsidP="0015273C">
            <w:pPr>
              <w:spacing w:after="0" w:line="240" w:lineRule="auto"/>
              <w:ind w:firstLineChars="200" w:firstLine="320"/>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Juros e Encargos de Emprestimos e Financiamentos Concedidos</w:t>
            </w:r>
          </w:p>
        </w:tc>
        <w:tc>
          <w:tcPr>
            <w:tcW w:w="846" w:type="dxa"/>
            <w:tcBorders>
              <w:top w:val="nil"/>
              <w:bottom w:val="nil"/>
              <w:right w:val="single" w:sz="8" w:space="0" w:color="auto"/>
            </w:tcBorders>
            <w:shd w:val="clear" w:color="auto" w:fill="auto"/>
            <w:noWrap/>
            <w:vAlign w:val="center"/>
          </w:tcPr>
          <w:p w14:paraId="28991C21"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tcPr>
          <w:p w14:paraId="14D8E134"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DVP.H063</w:t>
            </w:r>
          </w:p>
        </w:tc>
        <w:tc>
          <w:tcPr>
            <w:tcW w:w="1120" w:type="dxa"/>
            <w:tcBorders>
              <w:top w:val="nil"/>
              <w:left w:val="nil"/>
              <w:bottom w:val="nil"/>
              <w:right w:val="single" w:sz="8" w:space="0" w:color="auto"/>
            </w:tcBorders>
            <w:shd w:val="clear" w:color="auto" w:fill="auto"/>
            <w:noWrap/>
            <w:vAlign w:val="center"/>
          </w:tcPr>
          <w:p w14:paraId="5F4438BE"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DVP.I063</w:t>
            </w:r>
          </w:p>
        </w:tc>
      </w:tr>
      <w:tr w:rsidR="00F86B98" w:rsidRPr="00F86B98" w14:paraId="505D5395" w14:textId="77777777" w:rsidTr="0015273C">
        <w:trPr>
          <w:trHeight w:val="255"/>
        </w:trPr>
        <w:tc>
          <w:tcPr>
            <w:tcW w:w="4410" w:type="dxa"/>
            <w:tcBorders>
              <w:top w:val="nil"/>
              <w:left w:val="single" w:sz="8" w:space="0" w:color="auto"/>
              <w:bottom w:val="nil"/>
            </w:tcBorders>
            <w:shd w:val="clear" w:color="auto" w:fill="auto"/>
            <w:noWrap/>
            <w:vAlign w:val="center"/>
            <w:hideMark/>
          </w:tcPr>
          <w:p w14:paraId="0FBD1582" w14:textId="77777777" w:rsidR="00F86B98" w:rsidRPr="00F86B98" w:rsidRDefault="00F86B98" w:rsidP="0015273C">
            <w:pPr>
              <w:spacing w:after="0" w:line="240" w:lineRule="auto"/>
              <w:ind w:firstLineChars="200" w:firstLine="320"/>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Transferências Intergovermamentais</w:t>
            </w:r>
          </w:p>
        </w:tc>
        <w:tc>
          <w:tcPr>
            <w:tcW w:w="835" w:type="dxa"/>
            <w:tcBorders>
              <w:top w:val="nil"/>
              <w:bottom w:val="nil"/>
              <w:right w:val="single" w:sz="8" w:space="0" w:color="auto"/>
            </w:tcBorders>
            <w:shd w:val="clear" w:color="auto" w:fill="auto"/>
            <w:noWrap/>
            <w:vAlign w:val="center"/>
          </w:tcPr>
          <w:p w14:paraId="63EEDD56"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5DAE2686"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DVP.D030</w:t>
            </w:r>
          </w:p>
        </w:tc>
        <w:tc>
          <w:tcPr>
            <w:tcW w:w="1134" w:type="dxa"/>
            <w:tcBorders>
              <w:top w:val="nil"/>
              <w:left w:val="nil"/>
              <w:bottom w:val="nil"/>
              <w:right w:val="single" w:sz="8" w:space="0" w:color="auto"/>
            </w:tcBorders>
            <w:shd w:val="clear" w:color="auto" w:fill="auto"/>
            <w:noWrap/>
            <w:vAlign w:val="center"/>
            <w:hideMark/>
          </w:tcPr>
          <w:p w14:paraId="7D08CD4D"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DVP.E030</w:t>
            </w:r>
          </w:p>
        </w:tc>
        <w:tc>
          <w:tcPr>
            <w:tcW w:w="4346" w:type="dxa"/>
            <w:tcBorders>
              <w:top w:val="nil"/>
              <w:left w:val="nil"/>
              <w:bottom w:val="nil"/>
            </w:tcBorders>
            <w:shd w:val="clear" w:color="auto" w:fill="auto"/>
            <w:noWrap/>
            <w:vAlign w:val="center"/>
            <w:hideMark/>
          </w:tcPr>
          <w:p w14:paraId="55B8EF05" w14:textId="77777777" w:rsidR="00F86B98" w:rsidRPr="00F86B98" w:rsidRDefault="00F86B98" w:rsidP="0015273C">
            <w:pPr>
              <w:spacing w:after="0" w:line="240" w:lineRule="auto"/>
              <w:ind w:firstLineChars="200" w:firstLine="320"/>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Outras Variações Patrimoniais Diminutivas - Financeiras</w:t>
            </w:r>
          </w:p>
        </w:tc>
        <w:tc>
          <w:tcPr>
            <w:tcW w:w="846" w:type="dxa"/>
            <w:tcBorders>
              <w:top w:val="nil"/>
              <w:bottom w:val="nil"/>
              <w:right w:val="single" w:sz="8" w:space="0" w:color="auto"/>
            </w:tcBorders>
            <w:shd w:val="clear" w:color="auto" w:fill="auto"/>
            <w:noWrap/>
            <w:vAlign w:val="center"/>
          </w:tcPr>
          <w:p w14:paraId="32B669F6"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1B0BBF5D"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DVP.H030</w:t>
            </w:r>
          </w:p>
        </w:tc>
        <w:tc>
          <w:tcPr>
            <w:tcW w:w="1120" w:type="dxa"/>
            <w:tcBorders>
              <w:top w:val="nil"/>
              <w:left w:val="nil"/>
              <w:bottom w:val="nil"/>
              <w:right w:val="single" w:sz="8" w:space="0" w:color="auto"/>
            </w:tcBorders>
            <w:shd w:val="clear" w:color="auto" w:fill="auto"/>
            <w:noWrap/>
            <w:vAlign w:val="center"/>
            <w:hideMark/>
          </w:tcPr>
          <w:p w14:paraId="2CB900B8"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DVP.I030</w:t>
            </w:r>
          </w:p>
        </w:tc>
      </w:tr>
      <w:tr w:rsidR="00F86B98" w:rsidRPr="00F86B98" w14:paraId="0EFB751C" w14:textId="77777777" w:rsidTr="0015273C">
        <w:trPr>
          <w:trHeight w:val="255"/>
        </w:trPr>
        <w:tc>
          <w:tcPr>
            <w:tcW w:w="4410" w:type="dxa"/>
            <w:tcBorders>
              <w:top w:val="nil"/>
              <w:left w:val="single" w:sz="8" w:space="0" w:color="auto"/>
              <w:bottom w:val="nil"/>
            </w:tcBorders>
            <w:shd w:val="clear" w:color="auto" w:fill="auto"/>
            <w:noWrap/>
            <w:vAlign w:val="center"/>
            <w:hideMark/>
          </w:tcPr>
          <w:p w14:paraId="275C5292" w14:textId="77777777" w:rsidR="00F86B98" w:rsidRPr="00F86B98" w:rsidRDefault="00F86B98" w:rsidP="0015273C">
            <w:pPr>
              <w:spacing w:after="0" w:line="240" w:lineRule="auto"/>
              <w:ind w:firstLineChars="200" w:firstLine="320"/>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Transferências das Instutuições Privadas</w:t>
            </w:r>
          </w:p>
        </w:tc>
        <w:tc>
          <w:tcPr>
            <w:tcW w:w="835" w:type="dxa"/>
            <w:tcBorders>
              <w:top w:val="nil"/>
              <w:bottom w:val="nil"/>
              <w:right w:val="single" w:sz="8" w:space="0" w:color="auto"/>
            </w:tcBorders>
            <w:shd w:val="clear" w:color="auto" w:fill="auto"/>
            <w:noWrap/>
            <w:vAlign w:val="center"/>
          </w:tcPr>
          <w:p w14:paraId="1BD883E8"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5C491F17"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DVP.D031</w:t>
            </w:r>
          </w:p>
        </w:tc>
        <w:tc>
          <w:tcPr>
            <w:tcW w:w="1134" w:type="dxa"/>
            <w:tcBorders>
              <w:top w:val="nil"/>
              <w:left w:val="nil"/>
              <w:bottom w:val="nil"/>
              <w:right w:val="single" w:sz="8" w:space="0" w:color="auto"/>
            </w:tcBorders>
            <w:shd w:val="clear" w:color="auto" w:fill="auto"/>
            <w:noWrap/>
            <w:vAlign w:val="center"/>
            <w:hideMark/>
          </w:tcPr>
          <w:p w14:paraId="7C3A9DF4"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DVP.E031</w:t>
            </w:r>
          </w:p>
        </w:tc>
        <w:tc>
          <w:tcPr>
            <w:tcW w:w="4346" w:type="dxa"/>
            <w:tcBorders>
              <w:top w:val="nil"/>
              <w:left w:val="nil"/>
              <w:bottom w:val="nil"/>
            </w:tcBorders>
            <w:shd w:val="clear" w:color="auto" w:fill="auto"/>
            <w:noWrap/>
            <w:vAlign w:val="center"/>
            <w:hideMark/>
          </w:tcPr>
          <w:p w14:paraId="6FCA895B" w14:textId="77777777" w:rsidR="00F86B98" w:rsidRPr="00F86B98" w:rsidRDefault="00F86B98" w:rsidP="0015273C">
            <w:pPr>
              <w:spacing w:after="0" w:line="240" w:lineRule="auto"/>
              <w:rPr>
                <w:rFonts w:ascii="Arial Narrow" w:eastAsia="Times New Roman" w:hAnsi="Arial Narrow" w:cs="Arial"/>
                <w:b/>
                <w:bCs/>
                <w:sz w:val="16"/>
                <w:szCs w:val="16"/>
                <w:u w:val="single"/>
                <w:lang w:eastAsia="pt-BR"/>
              </w:rPr>
            </w:pPr>
            <w:r w:rsidRPr="00F86B98">
              <w:rPr>
                <w:rFonts w:ascii="Arial Narrow" w:eastAsia="Times New Roman" w:hAnsi="Arial Narrow" w:cs="Arial"/>
                <w:b/>
                <w:bCs/>
                <w:sz w:val="16"/>
                <w:szCs w:val="16"/>
                <w:u w:val="single"/>
                <w:lang w:eastAsia="pt-BR"/>
              </w:rPr>
              <w:t>Transferências e Delegações Concedidas</w:t>
            </w:r>
          </w:p>
        </w:tc>
        <w:tc>
          <w:tcPr>
            <w:tcW w:w="846" w:type="dxa"/>
            <w:tcBorders>
              <w:top w:val="nil"/>
              <w:right w:val="single" w:sz="8" w:space="0" w:color="auto"/>
            </w:tcBorders>
            <w:shd w:val="clear" w:color="auto" w:fill="auto"/>
            <w:noWrap/>
            <w:vAlign w:val="center"/>
          </w:tcPr>
          <w:p w14:paraId="480461AB" w14:textId="77777777" w:rsidR="00F86B98" w:rsidRPr="00F86B98" w:rsidRDefault="00F86B98" w:rsidP="0015273C">
            <w:pPr>
              <w:spacing w:after="0" w:line="240" w:lineRule="auto"/>
              <w:jc w:val="center"/>
              <w:rPr>
                <w:rFonts w:ascii="Arial Narrow" w:eastAsia="Times New Roman" w:hAnsi="Arial Narrow" w:cs="Arial"/>
                <w:b/>
                <w:bCs/>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6B23AF77" w14:textId="77777777" w:rsidR="00F86B98" w:rsidRPr="00F86B98" w:rsidRDefault="00F86B98" w:rsidP="0015273C">
            <w:pPr>
              <w:spacing w:after="0" w:line="240" w:lineRule="auto"/>
              <w:jc w:val="center"/>
              <w:rPr>
                <w:rFonts w:ascii="Arial Narrow" w:eastAsia="Times New Roman" w:hAnsi="Arial Narrow" w:cs="Arial"/>
                <w:b/>
                <w:bCs/>
                <w:sz w:val="16"/>
                <w:szCs w:val="16"/>
                <w:lang w:eastAsia="pt-BR"/>
              </w:rPr>
            </w:pPr>
            <w:r w:rsidRPr="00F86B98">
              <w:rPr>
                <w:rFonts w:ascii="Arial Narrow" w:eastAsia="Times New Roman" w:hAnsi="Arial Narrow" w:cs="Arial"/>
                <w:b/>
                <w:bCs/>
                <w:sz w:val="16"/>
                <w:szCs w:val="16"/>
                <w:lang w:eastAsia="pt-BR"/>
              </w:rPr>
              <w:t>DVP.H031</w:t>
            </w:r>
          </w:p>
        </w:tc>
        <w:tc>
          <w:tcPr>
            <w:tcW w:w="1120" w:type="dxa"/>
            <w:tcBorders>
              <w:top w:val="nil"/>
              <w:left w:val="nil"/>
              <w:bottom w:val="nil"/>
              <w:right w:val="single" w:sz="8" w:space="0" w:color="auto"/>
            </w:tcBorders>
            <w:shd w:val="clear" w:color="auto" w:fill="auto"/>
            <w:noWrap/>
            <w:vAlign w:val="center"/>
            <w:hideMark/>
          </w:tcPr>
          <w:p w14:paraId="530F59F9" w14:textId="77777777" w:rsidR="00F86B98" w:rsidRPr="00F86B98" w:rsidRDefault="00F86B98" w:rsidP="0015273C">
            <w:pPr>
              <w:spacing w:after="0" w:line="240" w:lineRule="auto"/>
              <w:jc w:val="center"/>
              <w:rPr>
                <w:rFonts w:ascii="Arial Narrow" w:eastAsia="Times New Roman" w:hAnsi="Arial Narrow" w:cs="Arial"/>
                <w:b/>
                <w:bCs/>
                <w:sz w:val="16"/>
                <w:szCs w:val="16"/>
                <w:lang w:eastAsia="pt-BR"/>
              </w:rPr>
            </w:pPr>
            <w:r w:rsidRPr="00F86B98">
              <w:rPr>
                <w:rFonts w:ascii="Arial Narrow" w:eastAsia="Times New Roman" w:hAnsi="Arial Narrow" w:cs="Arial"/>
                <w:b/>
                <w:bCs/>
                <w:sz w:val="16"/>
                <w:szCs w:val="16"/>
                <w:lang w:eastAsia="pt-BR"/>
              </w:rPr>
              <w:t>DVP.I031</w:t>
            </w:r>
          </w:p>
        </w:tc>
      </w:tr>
      <w:tr w:rsidR="00F86B98" w:rsidRPr="00F86B98" w14:paraId="22FFFC22" w14:textId="77777777" w:rsidTr="0015273C">
        <w:trPr>
          <w:trHeight w:val="255"/>
        </w:trPr>
        <w:tc>
          <w:tcPr>
            <w:tcW w:w="4410" w:type="dxa"/>
            <w:tcBorders>
              <w:top w:val="nil"/>
              <w:left w:val="single" w:sz="8" w:space="0" w:color="auto"/>
              <w:bottom w:val="nil"/>
            </w:tcBorders>
            <w:shd w:val="clear" w:color="auto" w:fill="auto"/>
            <w:noWrap/>
            <w:vAlign w:val="center"/>
            <w:hideMark/>
          </w:tcPr>
          <w:p w14:paraId="5FC869DE" w14:textId="77777777" w:rsidR="00F86B98" w:rsidRPr="00F86B98" w:rsidRDefault="00F86B98" w:rsidP="0015273C">
            <w:pPr>
              <w:spacing w:after="0" w:line="240" w:lineRule="auto"/>
              <w:ind w:firstLineChars="200" w:firstLine="320"/>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Transferências das Instituições Multigovernamentais</w:t>
            </w:r>
          </w:p>
        </w:tc>
        <w:tc>
          <w:tcPr>
            <w:tcW w:w="835" w:type="dxa"/>
            <w:tcBorders>
              <w:top w:val="nil"/>
              <w:bottom w:val="nil"/>
              <w:right w:val="single" w:sz="8" w:space="0" w:color="auto"/>
            </w:tcBorders>
            <w:shd w:val="clear" w:color="auto" w:fill="auto"/>
            <w:noWrap/>
            <w:vAlign w:val="center"/>
          </w:tcPr>
          <w:p w14:paraId="26925A6B"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57A37C82"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DVP.D032</w:t>
            </w:r>
          </w:p>
        </w:tc>
        <w:tc>
          <w:tcPr>
            <w:tcW w:w="1134" w:type="dxa"/>
            <w:tcBorders>
              <w:top w:val="nil"/>
              <w:left w:val="nil"/>
              <w:bottom w:val="nil"/>
              <w:right w:val="single" w:sz="8" w:space="0" w:color="auto"/>
            </w:tcBorders>
            <w:shd w:val="clear" w:color="auto" w:fill="auto"/>
            <w:noWrap/>
            <w:vAlign w:val="center"/>
            <w:hideMark/>
          </w:tcPr>
          <w:p w14:paraId="35EC6590"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DVP.E032</w:t>
            </w:r>
          </w:p>
        </w:tc>
        <w:tc>
          <w:tcPr>
            <w:tcW w:w="4346" w:type="dxa"/>
            <w:tcBorders>
              <w:top w:val="nil"/>
              <w:left w:val="nil"/>
              <w:bottom w:val="nil"/>
            </w:tcBorders>
            <w:shd w:val="clear" w:color="auto" w:fill="auto"/>
            <w:noWrap/>
            <w:vAlign w:val="center"/>
            <w:hideMark/>
          </w:tcPr>
          <w:p w14:paraId="49011316" w14:textId="77777777" w:rsidR="00F86B98" w:rsidRPr="00F86B98" w:rsidRDefault="00F86B98" w:rsidP="0015273C">
            <w:pPr>
              <w:spacing w:after="0" w:line="240" w:lineRule="auto"/>
              <w:ind w:firstLineChars="200" w:firstLine="320"/>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Transferências Intragovernamentais</w:t>
            </w:r>
          </w:p>
        </w:tc>
        <w:tc>
          <w:tcPr>
            <w:tcW w:w="846" w:type="dxa"/>
            <w:tcBorders>
              <w:top w:val="nil"/>
              <w:bottom w:val="nil"/>
              <w:right w:val="single" w:sz="8" w:space="0" w:color="auto"/>
            </w:tcBorders>
            <w:shd w:val="clear" w:color="auto" w:fill="auto"/>
            <w:noWrap/>
            <w:vAlign w:val="center"/>
          </w:tcPr>
          <w:p w14:paraId="494621A9"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2286351A"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DVP.H032</w:t>
            </w:r>
          </w:p>
        </w:tc>
        <w:tc>
          <w:tcPr>
            <w:tcW w:w="1120" w:type="dxa"/>
            <w:tcBorders>
              <w:top w:val="nil"/>
              <w:left w:val="nil"/>
              <w:bottom w:val="nil"/>
              <w:right w:val="single" w:sz="8" w:space="0" w:color="auto"/>
            </w:tcBorders>
            <w:shd w:val="clear" w:color="auto" w:fill="auto"/>
            <w:noWrap/>
            <w:vAlign w:val="center"/>
            <w:hideMark/>
          </w:tcPr>
          <w:p w14:paraId="11AFDEB8"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DVP.I032</w:t>
            </w:r>
          </w:p>
        </w:tc>
      </w:tr>
      <w:tr w:rsidR="00F86B98" w:rsidRPr="00F86B98" w14:paraId="6E94F106" w14:textId="77777777" w:rsidTr="0015273C">
        <w:trPr>
          <w:trHeight w:val="255"/>
        </w:trPr>
        <w:tc>
          <w:tcPr>
            <w:tcW w:w="4410" w:type="dxa"/>
            <w:tcBorders>
              <w:top w:val="nil"/>
              <w:left w:val="single" w:sz="8" w:space="0" w:color="auto"/>
              <w:bottom w:val="nil"/>
            </w:tcBorders>
            <w:shd w:val="clear" w:color="auto" w:fill="auto"/>
            <w:noWrap/>
            <w:vAlign w:val="center"/>
            <w:hideMark/>
          </w:tcPr>
          <w:p w14:paraId="51785C2C" w14:textId="77777777" w:rsidR="00F86B98" w:rsidRPr="00F86B98" w:rsidRDefault="00F86B98" w:rsidP="0015273C">
            <w:pPr>
              <w:spacing w:after="0" w:line="240" w:lineRule="auto"/>
              <w:ind w:firstLineChars="200" w:firstLine="320"/>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Transferências de Consórcios Públicos</w:t>
            </w:r>
          </w:p>
        </w:tc>
        <w:tc>
          <w:tcPr>
            <w:tcW w:w="835" w:type="dxa"/>
            <w:tcBorders>
              <w:top w:val="nil"/>
              <w:bottom w:val="nil"/>
              <w:right w:val="single" w:sz="8" w:space="0" w:color="auto"/>
            </w:tcBorders>
            <w:shd w:val="clear" w:color="auto" w:fill="auto"/>
            <w:noWrap/>
            <w:vAlign w:val="center"/>
          </w:tcPr>
          <w:p w14:paraId="1174EA31"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4D4903FC"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DVP.D033</w:t>
            </w:r>
          </w:p>
        </w:tc>
        <w:tc>
          <w:tcPr>
            <w:tcW w:w="1134" w:type="dxa"/>
            <w:tcBorders>
              <w:top w:val="nil"/>
              <w:left w:val="nil"/>
              <w:bottom w:val="nil"/>
              <w:right w:val="single" w:sz="8" w:space="0" w:color="auto"/>
            </w:tcBorders>
            <w:shd w:val="clear" w:color="auto" w:fill="auto"/>
            <w:noWrap/>
            <w:vAlign w:val="center"/>
            <w:hideMark/>
          </w:tcPr>
          <w:p w14:paraId="052ABE81"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DVP.E033</w:t>
            </w:r>
          </w:p>
        </w:tc>
        <w:tc>
          <w:tcPr>
            <w:tcW w:w="4346" w:type="dxa"/>
            <w:tcBorders>
              <w:top w:val="nil"/>
              <w:left w:val="nil"/>
              <w:bottom w:val="nil"/>
            </w:tcBorders>
            <w:shd w:val="clear" w:color="auto" w:fill="auto"/>
            <w:noWrap/>
            <w:vAlign w:val="center"/>
            <w:hideMark/>
          </w:tcPr>
          <w:p w14:paraId="53DB1A2D" w14:textId="77777777" w:rsidR="00F86B98" w:rsidRPr="00F86B98" w:rsidRDefault="00F86B98" w:rsidP="0015273C">
            <w:pPr>
              <w:spacing w:after="0" w:line="240" w:lineRule="auto"/>
              <w:ind w:firstLineChars="200" w:firstLine="320"/>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Transferências Intergovernamentais</w:t>
            </w:r>
          </w:p>
        </w:tc>
        <w:tc>
          <w:tcPr>
            <w:tcW w:w="846" w:type="dxa"/>
            <w:tcBorders>
              <w:top w:val="nil"/>
              <w:bottom w:val="nil"/>
              <w:right w:val="single" w:sz="8" w:space="0" w:color="auto"/>
            </w:tcBorders>
            <w:shd w:val="clear" w:color="auto" w:fill="auto"/>
            <w:noWrap/>
            <w:vAlign w:val="center"/>
          </w:tcPr>
          <w:p w14:paraId="17881CD9"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5BC764E8"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DVP.H033</w:t>
            </w:r>
          </w:p>
        </w:tc>
        <w:tc>
          <w:tcPr>
            <w:tcW w:w="1120" w:type="dxa"/>
            <w:tcBorders>
              <w:top w:val="nil"/>
              <w:left w:val="nil"/>
              <w:bottom w:val="nil"/>
              <w:right w:val="single" w:sz="8" w:space="0" w:color="auto"/>
            </w:tcBorders>
            <w:shd w:val="clear" w:color="auto" w:fill="auto"/>
            <w:noWrap/>
            <w:vAlign w:val="center"/>
            <w:hideMark/>
          </w:tcPr>
          <w:p w14:paraId="0B76FB57"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DVP.I033</w:t>
            </w:r>
          </w:p>
        </w:tc>
      </w:tr>
      <w:tr w:rsidR="00F86B98" w:rsidRPr="00F86B98" w14:paraId="3953CA4F" w14:textId="77777777" w:rsidTr="0015273C">
        <w:trPr>
          <w:trHeight w:val="240"/>
        </w:trPr>
        <w:tc>
          <w:tcPr>
            <w:tcW w:w="4410" w:type="dxa"/>
            <w:tcBorders>
              <w:top w:val="nil"/>
              <w:left w:val="single" w:sz="8" w:space="0" w:color="auto"/>
              <w:bottom w:val="nil"/>
            </w:tcBorders>
            <w:shd w:val="clear" w:color="auto" w:fill="auto"/>
            <w:noWrap/>
            <w:vAlign w:val="center"/>
            <w:hideMark/>
          </w:tcPr>
          <w:p w14:paraId="62EF6AC3" w14:textId="77777777" w:rsidR="00F86B98" w:rsidRPr="00F86B98" w:rsidRDefault="00F86B98" w:rsidP="0015273C">
            <w:pPr>
              <w:spacing w:after="0" w:line="240" w:lineRule="auto"/>
              <w:ind w:firstLineChars="200" w:firstLine="320"/>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Transferências do Exterior</w:t>
            </w:r>
          </w:p>
        </w:tc>
        <w:tc>
          <w:tcPr>
            <w:tcW w:w="835" w:type="dxa"/>
            <w:tcBorders>
              <w:top w:val="nil"/>
              <w:bottom w:val="nil"/>
              <w:right w:val="single" w:sz="8" w:space="0" w:color="auto"/>
            </w:tcBorders>
            <w:shd w:val="clear" w:color="auto" w:fill="auto"/>
            <w:noWrap/>
            <w:vAlign w:val="center"/>
          </w:tcPr>
          <w:p w14:paraId="15DFB726"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4281ED65"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DVP.D034</w:t>
            </w:r>
          </w:p>
        </w:tc>
        <w:tc>
          <w:tcPr>
            <w:tcW w:w="1134" w:type="dxa"/>
            <w:tcBorders>
              <w:top w:val="nil"/>
              <w:left w:val="nil"/>
              <w:bottom w:val="nil"/>
              <w:right w:val="single" w:sz="8" w:space="0" w:color="auto"/>
            </w:tcBorders>
            <w:shd w:val="clear" w:color="auto" w:fill="auto"/>
            <w:noWrap/>
            <w:vAlign w:val="center"/>
            <w:hideMark/>
          </w:tcPr>
          <w:p w14:paraId="0D7D0533"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DVP.E034</w:t>
            </w:r>
          </w:p>
        </w:tc>
        <w:tc>
          <w:tcPr>
            <w:tcW w:w="4346" w:type="dxa"/>
            <w:tcBorders>
              <w:top w:val="nil"/>
              <w:left w:val="nil"/>
              <w:bottom w:val="nil"/>
            </w:tcBorders>
            <w:shd w:val="clear" w:color="auto" w:fill="auto"/>
            <w:noWrap/>
            <w:vAlign w:val="center"/>
            <w:hideMark/>
          </w:tcPr>
          <w:p w14:paraId="103D3046" w14:textId="77777777" w:rsidR="00F86B98" w:rsidRPr="00F86B98" w:rsidRDefault="00F86B98" w:rsidP="0015273C">
            <w:pPr>
              <w:spacing w:after="0" w:line="240" w:lineRule="auto"/>
              <w:ind w:firstLineChars="200" w:firstLine="320"/>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Transferências a Instituições Privadas</w:t>
            </w:r>
          </w:p>
        </w:tc>
        <w:tc>
          <w:tcPr>
            <w:tcW w:w="846" w:type="dxa"/>
            <w:tcBorders>
              <w:top w:val="nil"/>
              <w:bottom w:val="nil"/>
              <w:right w:val="single" w:sz="8" w:space="0" w:color="auto"/>
            </w:tcBorders>
            <w:shd w:val="clear" w:color="auto" w:fill="auto"/>
            <w:noWrap/>
            <w:vAlign w:val="center"/>
          </w:tcPr>
          <w:p w14:paraId="1671B07E"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228C9B0E"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DVP.H034</w:t>
            </w:r>
          </w:p>
        </w:tc>
        <w:tc>
          <w:tcPr>
            <w:tcW w:w="1120" w:type="dxa"/>
            <w:tcBorders>
              <w:top w:val="nil"/>
              <w:left w:val="nil"/>
              <w:bottom w:val="nil"/>
              <w:right w:val="single" w:sz="8" w:space="0" w:color="auto"/>
            </w:tcBorders>
            <w:shd w:val="clear" w:color="auto" w:fill="auto"/>
            <w:noWrap/>
            <w:vAlign w:val="center"/>
            <w:hideMark/>
          </w:tcPr>
          <w:p w14:paraId="0725344B"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DVP.I034</w:t>
            </w:r>
          </w:p>
        </w:tc>
      </w:tr>
      <w:tr w:rsidR="00F86B98" w:rsidRPr="00F86B98" w14:paraId="59B8E4CC" w14:textId="77777777" w:rsidTr="0015273C">
        <w:trPr>
          <w:trHeight w:val="240"/>
        </w:trPr>
        <w:tc>
          <w:tcPr>
            <w:tcW w:w="4410" w:type="dxa"/>
            <w:tcBorders>
              <w:top w:val="nil"/>
              <w:left w:val="single" w:sz="8" w:space="0" w:color="auto"/>
              <w:bottom w:val="nil"/>
            </w:tcBorders>
            <w:shd w:val="clear" w:color="auto" w:fill="auto"/>
            <w:noWrap/>
            <w:vAlign w:val="center"/>
            <w:hideMark/>
          </w:tcPr>
          <w:p w14:paraId="5E8500DB" w14:textId="77777777" w:rsidR="00F86B98" w:rsidRPr="00F86B98" w:rsidRDefault="00F86B98" w:rsidP="0015273C">
            <w:pPr>
              <w:spacing w:after="0" w:line="240" w:lineRule="auto"/>
              <w:ind w:firstLineChars="200" w:firstLine="320"/>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lastRenderedPageBreak/>
              <w:t>Execução Orçamentária Delegada</w:t>
            </w:r>
          </w:p>
        </w:tc>
        <w:tc>
          <w:tcPr>
            <w:tcW w:w="835" w:type="dxa"/>
            <w:tcBorders>
              <w:top w:val="nil"/>
              <w:bottom w:val="nil"/>
              <w:right w:val="single" w:sz="8" w:space="0" w:color="auto"/>
            </w:tcBorders>
            <w:shd w:val="clear" w:color="auto" w:fill="auto"/>
            <w:noWrap/>
            <w:vAlign w:val="center"/>
          </w:tcPr>
          <w:p w14:paraId="2F7EA854"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290C5F08"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DVP.D035</w:t>
            </w:r>
          </w:p>
        </w:tc>
        <w:tc>
          <w:tcPr>
            <w:tcW w:w="1134" w:type="dxa"/>
            <w:tcBorders>
              <w:top w:val="nil"/>
              <w:left w:val="nil"/>
              <w:bottom w:val="nil"/>
              <w:right w:val="single" w:sz="8" w:space="0" w:color="auto"/>
            </w:tcBorders>
            <w:shd w:val="clear" w:color="auto" w:fill="auto"/>
            <w:noWrap/>
            <w:vAlign w:val="center"/>
            <w:hideMark/>
          </w:tcPr>
          <w:p w14:paraId="5AA67871"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DVP.E035</w:t>
            </w:r>
          </w:p>
        </w:tc>
        <w:tc>
          <w:tcPr>
            <w:tcW w:w="4346" w:type="dxa"/>
            <w:tcBorders>
              <w:top w:val="nil"/>
              <w:left w:val="nil"/>
              <w:bottom w:val="nil"/>
            </w:tcBorders>
            <w:shd w:val="clear" w:color="auto" w:fill="auto"/>
            <w:noWrap/>
            <w:vAlign w:val="center"/>
            <w:hideMark/>
          </w:tcPr>
          <w:p w14:paraId="3F676C47" w14:textId="77777777" w:rsidR="00F86B98" w:rsidRPr="00F86B98" w:rsidRDefault="00F86B98" w:rsidP="0015273C">
            <w:pPr>
              <w:spacing w:after="0" w:line="240" w:lineRule="auto"/>
              <w:ind w:firstLineChars="200" w:firstLine="320"/>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Transferências a Instituições Multigovernamentais</w:t>
            </w:r>
          </w:p>
        </w:tc>
        <w:tc>
          <w:tcPr>
            <w:tcW w:w="846" w:type="dxa"/>
            <w:tcBorders>
              <w:top w:val="nil"/>
              <w:bottom w:val="nil"/>
              <w:right w:val="single" w:sz="8" w:space="0" w:color="auto"/>
            </w:tcBorders>
            <w:shd w:val="clear" w:color="auto" w:fill="auto"/>
            <w:noWrap/>
            <w:vAlign w:val="center"/>
          </w:tcPr>
          <w:p w14:paraId="7DB1C8D7"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2872D346"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DVP.H035</w:t>
            </w:r>
          </w:p>
        </w:tc>
        <w:tc>
          <w:tcPr>
            <w:tcW w:w="1120" w:type="dxa"/>
            <w:tcBorders>
              <w:top w:val="nil"/>
              <w:left w:val="nil"/>
              <w:bottom w:val="nil"/>
              <w:right w:val="single" w:sz="8" w:space="0" w:color="auto"/>
            </w:tcBorders>
            <w:shd w:val="clear" w:color="auto" w:fill="auto"/>
            <w:noWrap/>
            <w:vAlign w:val="center"/>
            <w:hideMark/>
          </w:tcPr>
          <w:p w14:paraId="581FDEF3"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DVP.I035</w:t>
            </w:r>
          </w:p>
        </w:tc>
      </w:tr>
      <w:tr w:rsidR="00F86B98" w:rsidRPr="00F86B98" w14:paraId="672947BA" w14:textId="77777777" w:rsidTr="0015273C">
        <w:trPr>
          <w:trHeight w:val="240"/>
        </w:trPr>
        <w:tc>
          <w:tcPr>
            <w:tcW w:w="4410" w:type="dxa"/>
            <w:tcBorders>
              <w:top w:val="nil"/>
              <w:left w:val="single" w:sz="8" w:space="0" w:color="auto"/>
            </w:tcBorders>
            <w:shd w:val="clear" w:color="auto" w:fill="auto"/>
            <w:noWrap/>
            <w:vAlign w:val="center"/>
            <w:hideMark/>
          </w:tcPr>
          <w:p w14:paraId="252E3BC1" w14:textId="77777777" w:rsidR="00F86B98" w:rsidRPr="00F86B98" w:rsidRDefault="00F86B98" w:rsidP="0015273C">
            <w:pPr>
              <w:spacing w:after="0" w:line="240" w:lineRule="auto"/>
              <w:ind w:firstLineChars="200" w:firstLine="320"/>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Transferências de Pessoas Físicas</w:t>
            </w:r>
          </w:p>
        </w:tc>
        <w:tc>
          <w:tcPr>
            <w:tcW w:w="835" w:type="dxa"/>
            <w:tcBorders>
              <w:top w:val="nil"/>
              <w:right w:val="single" w:sz="8" w:space="0" w:color="auto"/>
            </w:tcBorders>
            <w:shd w:val="clear" w:color="auto" w:fill="auto"/>
            <w:noWrap/>
            <w:vAlign w:val="center"/>
          </w:tcPr>
          <w:p w14:paraId="79B72630"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p>
        </w:tc>
        <w:tc>
          <w:tcPr>
            <w:tcW w:w="1149" w:type="dxa"/>
            <w:tcBorders>
              <w:top w:val="nil"/>
              <w:left w:val="nil"/>
              <w:right w:val="single" w:sz="8" w:space="0" w:color="auto"/>
            </w:tcBorders>
            <w:shd w:val="clear" w:color="auto" w:fill="auto"/>
            <w:noWrap/>
            <w:vAlign w:val="center"/>
            <w:hideMark/>
          </w:tcPr>
          <w:p w14:paraId="0240FFCB"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DVP.D036</w:t>
            </w:r>
          </w:p>
        </w:tc>
        <w:tc>
          <w:tcPr>
            <w:tcW w:w="1134" w:type="dxa"/>
            <w:tcBorders>
              <w:top w:val="nil"/>
              <w:left w:val="nil"/>
              <w:right w:val="single" w:sz="8" w:space="0" w:color="auto"/>
            </w:tcBorders>
            <w:shd w:val="clear" w:color="auto" w:fill="auto"/>
            <w:noWrap/>
            <w:vAlign w:val="center"/>
            <w:hideMark/>
          </w:tcPr>
          <w:p w14:paraId="12A1C812"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DVP.E036</w:t>
            </w:r>
          </w:p>
        </w:tc>
        <w:tc>
          <w:tcPr>
            <w:tcW w:w="4346" w:type="dxa"/>
            <w:tcBorders>
              <w:top w:val="nil"/>
              <w:left w:val="nil"/>
            </w:tcBorders>
            <w:shd w:val="clear" w:color="auto" w:fill="auto"/>
            <w:noWrap/>
            <w:vAlign w:val="center"/>
            <w:hideMark/>
          </w:tcPr>
          <w:p w14:paraId="63850C4B" w14:textId="77777777" w:rsidR="00F86B98" w:rsidRPr="00F86B98" w:rsidRDefault="00F86B98" w:rsidP="0015273C">
            <w:pPr>
              <w:spacing w:after="0" w:line="240" w:lineRule="auto"/>
              <w:ind w:firstLineChars="200" w:firstLine="320"/>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 xml:space="preserve">Transferências a Consórcios Públicos </w:t>
            </w:r>
          </w:p>
        </w:tc>
        <w:tc>
          <w:tcPr>
            <w:tcW w:w="846" w:type="dxa"/>
            <w:tcBorders>
              <w:top w:val="nil"/>
              <w:right w:val="single" w:sz="8" w:space="0" w:color="auto"/>
            </w:tcBorders>
            <w:shd w:val="clear" w:color="auto" w:fill="auto"/>
            <w:noWrap/>
            <w:vAlign w:val="center"/>
          </w:tcPr>
          <w:p w14:paraId="02357B1B"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p>
        </w:tc>
        <w:tc>
          <w:tcPr>
            <w:tcW w:w="1045" w:type="dxa"/>
            <w:tcBorders>
              <w:top w:val="nil"/>
              <w:left w:val="nil"/>
              <w:right w:val="single" w:sz="8" w:space="0" w:color="auto"/>
            </w:tcBorders>
            <w:shd w:val="clear" w:color="auto" w:fill="auto"/>
            <w:noWrap/>
            <w:vAlign w:val="center"/>
            <w:hideMark/>
          </w:tcPr>
          <w:p w14:paraId="58C076D3"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DVP.H036</w:t>
            </w:r>
          </w:p>
        </w:tc>
        <w:tc>
          <w:tcPr>
            <w:tcW w:w="1120" w:type="dxa"/>
            <w:tcBorders>
              <w:top w:val="nil"/>
              <w:left w:val="nil"/>
              <w:right w:val="single" w:sz="8" w:space="0" w:color="auto"/>
            </w:tcBorders>
            <w:shd w:val="clear" w:color="auto" w:fill="auto"/>
            <w:noWrap/>
            <w:vAlign w:val="center"/>
            <w:hideMark/>
          </w:tcPr>
          <w:p w14:paraId="6A9B6973"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DVP.I036</w:t>
            </w:r>
          </w:p>
        </w:tc>
      </w:tr>
      <w:tr w:rsidR="00F86B98" w:rsidRPr="00F86B98" w14:paraId="7CFECE00" w14:textId="77777777" w:rsidTr="0015273C">
        <w:trPr>
          <w:trHeight w:val="240"/>
        </w:trPr>
        <w:tc>
          <w:tcPr>
            <w:tcW w:w="4410" w:type="dxa"/>
            <w:tcBorders>
              <w:top w:val="nil"/>
              <w:left w:val="single" w:sz="8" w:space="0" w:color="auto"/>
            </w:tcBorders>
            <w:shd w:val="clear" w:color="auto" w:fill="auto"/>
            <w:noWrap/>
            <w:vAlign w:val="center"/>
            <w:hideMark/>
          </w:tcPr>
          <w:p w14:paraId="35B19A70" w14:textId="77777777" w:rsidR="00F86B98" w:rsidRPr="00F86B98" w:rsidRDefault="00F86B98" w:rsidP="0015273C">
            <w:pPr>
              <w:spacing w:after="0" w:line="240" w:lineRule="auto"/>
              <w:ind w:firstLineChars="200" w:firstLine="320"/>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Outras Transferências e Delegações Recebidas</w:t>
            </w:r>
          </w:p>
        </w:tc>
        <w:tc>
          <w:tcPr>
            <w:tcW w:w="835" w:type="dxa"/>
            <w:tcBorders>
              <w:top w:val="nil"/>
              <w:right w:val="single" w:sz="8" w:space="0" w:color="auto"/>
            </w:tcBorders>
            <w:shd w:val="clear" w:color="auto" w:fill="auto"/>
            <w:noWrap/>
            <w:vAlign w:val="center"/>
          </w:tcPr>
          <w:p w14:paraId="797E9BCB"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p>
        </w:tc>
        <w:tc>
          <w:tcPr>
            <w:tcW w:w="1149" w:type="dxa"/>
            <w:tcBorders>
              <w:top w:val="nil"/>
              <w:left w:val="nil"/>
              <w:right w:val="single" w:sz="8" w:space="0" w:color="auto"/>
            </w:tcBorders>
            <w:shd w:val="clear" w:color="auto" w:fill="auto"/>
            <w:noWrap/>
            <w:vAlign w:val="center"/>
            <w:hideMark/>
          </w:tcPr>
          <w:p w14:paraId="092BA42D"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DVP.D037</w:t>
            </w:r>
          </w:p>
        </w:tc>
        <w:tc>
          <w:tcPr>
            <w:tcW w:w="1134" w:type="dxa"/>
            <w:tcBorders>
              <w:top w:val="nil"/>
              <w:left w:val="nil"/>
              <w:right w:val="single" w:sz="8" w:space="0" w:color="auto"/>
            </w:tcBorders>
            <w:shd w:val="clear" w:color="auto" w:fill="auto"/>
            <w:noWrap/>
            <w:vAlign w:val="center"/>
            <w:hideMark/>
          </w:tcPr>
          <w:p w14:paraId="6A45F556"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DVP.E037</w:t>
            </w:r>
          </w:p>
        </w:tc>
        <w:tc>
          <w:tcPr>
            <w:tcW w:w="4346" w:type="dxa"/>
            <w:tcBorders>
              <w:top w:val="nil"/>
              <w:left w:val="nil"/>
            </w:tcBorders>
            <w:shd w:val="clear" w:color="auto" w:fill="auto"/>
            <w:noWrap/>
            <w:vAlign w:val="center"/>
            <w:hideMark/>
          </w:tcPr>
          <w:p w14:paraId="18E1DDC7" w14:textId="77777777" w:rsidR="00F86B98" w:rsidRPr="00F86B98" w:rsidRDefault="00F86B98" w:rsidP="0015273C">
            <w:pPr>
              <w:spacing w:after="0" w:line="240" w:lineRule="auto"/>
              <w:ind w:firstLineChars="200" w:firstLine="320"/>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Transferências ao Exterior</w:t>
            </w:r>
          </w:p>
        </w:tc>
        <w:tc>
          <w:tcPr>
            <w:tcW w:w="846" w:type="dxa"/>
            <w:tcBorders>
              <w:top w:val="nil"/>
              <w:right w:val="single" w:sz="8" w:space="0" w:color="auto"/>
            </w:tcBorders>
            <w:shd w:val="clear" w:color="auto" w:fill="auto"/>
            <w:noWrap/>
            <w:vAlign w:val="center"/>
          </w:tcPr>
          <w:p w14:paraId="2C05E699"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p>
        </w:tc>
        <w:tc>
          <w:tcPr>
            <w:tcW w:w="1045" w:type="dxa"/>
            <w:tcBorders>
              <w:top w:val="nil"/>
              <w:left w:val="nil"/>
              <w:right w:val="single" w:sz="8" w:space="0" w:color="auto"/>
            </w:tcBorders>
            <w:shd w:val="clear" w:color="auto" w:fill="auto"/>
            <w:noWrap/>
            <w:vAlign w:val="center"/>
            <w:hideMark/>
          </w:tcPr>
          <w:p w14:paraId="796C441C"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DVP.H037</w:t>
            </w:r>
          </w:p>
        </w:tc>
        <w:tc>
          <w:tcPr>
            <w:tcW w:w="1120" w:type="dxa"/>
            <w:tcBorders>
              <w:top w:val="nil"/>
              <w:left w:val="nil"/>
              <w:right w:val="single" w:sz="8" w:space="0" w:color="auto"/>
            </w:tcBorders>
            <w:shd w:val="clear" w:color="auto" w:fill="auto"/>
            <w:noWrap/>
            <w:vAlign w:val="center"/>
            <w:hideMark/>
          </w:tcPr>
          <w:p w14:paraId="497DDFC8"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DVP.I037</w:t>
            </w:r>
          </w:p>
        </w:tc>
      </w:tr>
      <w:tr w:rsidR="00F86B98" w:rsidRPr="00F86B98" w14:paraId="32E94D5D" w14:textId="77777777" w:rsidTr="0015273C">
        <w:trPr>
          <w:trHeight w:val="240"/>
        </w:trPr>
        <w:tc>
          <w:tcPr>
            <w:tcW w:w="4410" w:type="dxa"/>
            <w:tcBorders>
              <w:left w:val="single" w:sz="8" w:space="0" w:color="auto"/>
              <w:bottom w:val="nil"/>
            </w:tcBorders>
            <w:shd w:val="clear" w:color="auto" w:fill="auto"/>
            <w:noWrap/>
            <w:vAlign w:val="center"/>
            <w:hideMark/>
          </w:tcPr>
          <w:p w14:paraId="5631C7BD" w14:textId="77777777" w:rsidR="00F86B98" w:rsidRPr="00F86B98" w:rsidRDefault="00F86B98" w:rsidP="0015273C">
            <w:pPr>
              <w:spacing w:after="0" w:line="240" w:lineRule="auto"/>
              <w:rPr>
                <w:rFonts w:ascii="Arial Narrow" w:eastAsia="Times New Roman" w:hAnsi="Arial Narrow" w:cs="Arial"/>
                <w:b/>
                <w:bCs/>
                <w:sz w:val="16"/>
                <w:szCs w:val="16"/>
                <w:u w:val="single"/>
                <w:lang w:eastAsia="pt-BR"/>
              </w:rPr>
            </w:pPr>
            <w:r w:rsidRPr="00F86B98">
              <w:rPr>
                <w:rFonts w:ascii="Arial Narrow" w:eastAsia="Times New Roman" w:hAnsi="Arial Narrow" w:cs="Arial"/>
                <w:b/>
                <w:bCs/>
                <w:sz w:val="16"/>
                <w:szCs w:val="16"/>
                <w:u w:val="single"/>
                <w:lang w:eastAsia="pt-BR"/>
              </w:rPr>
              <w:t>Valorização e Ganhos com Ativos e Desincorporação de Passivos</w:t>
            </w:r>
          </w:p>
        </w:tc>
        <w:tc>
          <w:tcPr>
            <w:tcW w:w="835" w:type="dxa"/>
            <w:tcBorders>
              <w:bottom w:val="nil"/>
              <w:right w:val="single" w:sz="8" w:space="0" w:color="auto"/>
            </w:tcBorders>
            <w:shd w:val="clear" w:color="auto" w:fill="auto"/>
            <w:noWrap/>
            <w:vAlign w:val="center"/>
          </w:tcPr>
          <w:p w14:paraId="4EC893AC" w14:textId="77777777" w:rsidR="00F86B98" w:rsidRPr="00F86B98" w:rsidRDefault="00F86B98" w:rsidP="0015273C">
            <w:pPr>
              <w:spacing w:after="0" w:line="240" w:lineRule="auto"/>
              <w:jc w:val="center"/>
              <w:rPr>
                <w:rFonts w:ascii="Arial Narrow" w:eastAsia="Times New Roman" w:hAnsi="Arial Narrow" w:cs="Arial"/>
                <w:b/>
                <w:bCs/>
                <w:sz w:val="16"/>
                <w:szCs w:val="16"/>
                <w:lang w:eastAsia="pt-BR"/>
              </w:rPr>
            </w:pPr>
          </w:p>
        </w:tc>
        <w:tc>
          <w:tcPr>
            <w:tcW w:w="1149" w:type="dxa"/>
            <w:tcBorders>
              <w:left w:val="nil"/>
              <w:bottom w:val="nil"/>
              <w:right w:val="single" w:sz="8" w:space="0" w:color="auto"/>
            </w:tcBorders>
            <w:shd w:val="clear" w:color="auto" w:fill="auto"/>
            <w:noWrap/>
            <w:vAlign w:val="center"/>
            <w:hideMark/>
          </w:tcPr>
          <w:p w14:paraId="7FD60A8B" w14:textId="77777777" w:rsidR="00F86B98" w:rsidRPr="00F86B98" w:rsidRDefault="00F86B98" w:rsidP="0015273C">
            <w:pPr>
              <w:spacing w:after="0" w:line="240" w:lineRule="auto"/>
              <w:jc w:val="center"/>
              <w:rPr>
                <w:rFonts w:ascii="Arial Narrow" w:eastAsia="Times New Roman" w:hAnsi="Arial Narrow" w:cs="Arial"/>
                <w:b/>
                <w:bCs/>
                <w:sz w:val="16"/>
                <w:szCs w:val="16"/>
                <w:lang w:eastAsia="pt-BR"/>
              </w:rPr>
            </w:pPr>
            <w:r w:rsidRPr="00F86B98">
              <w:rPr>
                <w:rFonts w:ascii="Arial Narrow" w:eastAsia="Times New Roman" w:hAnsi="Arial Narrow" w:cs="Arial"/>
                <w:b/>
                <w:bCs/>
                <w:sz w:val="16"/>
                <w:szCs w:val="16"/>
                <w:lang w:eastAsia="pt-BR"/>
              </w:rPr>
              <w:t>DVP.D038</w:t>
            </w:r>
          </w:p>
        </w:tc>
        <w:tc>
          <w:tcPr>
            <w:tcW w:w="1134" w:type="dxa"/>
            <w:tcBorders>
              <w:left w:val="nil"/>
              <w:bottom w:val="nil"/>
              <w:right w:val="single" w:sz="8" w:space="0" w:color="auto"/>
            </w:tcBorders>
            <w:shd w:val="clear" w:color="auto" w:fill="auto"/>
            <w:noWrap/>
            <w:vAlign w:val="center"/>
            <w:hideMark/>
          </w:tcPr>
          <w:p w14:paraId="515F6743" w14:textId="77777777" w:rsidR="00F86B98" w:rsidRPr="00F86B98" w:rsidRDefault="00F86B98" w:rsidP="0015273C">
            <w:pPr>
              <w:spacing w:after="0" w:line="240" w:lineRule="auto"/>
              <w:jc w:val="center"/>
              <w:rPr>
                <w:rFonts w:ascii="Arial Narrow" w:eastAsia="Times New Roman" w:hAnsi="Arial Narrow" w:cs="Arial"/>
                <w:b/>
                <w:bCs/>
                <w:sz w:val="16"/>
                <w:szCs w:val="16"/>
                <w:lang w:eastAsia="pt-BR"/>
              </w:rPr>
            </w:pPr>
            <w:r w:rsidRPr="00F86B98">
              <w:rPr>
                <w:rFonts w:ascii="Arial Narrow" w:eastAsia="Times New Roman" w:hAnsi="Arial Narrow" w:cs="Arial"/>
                <w:b/>
                <w:bCs/>
                <w:sz w:val="16"/>
                <w:szCs w:val="16"/>
                <w:lang w:eastAsia="pt-BR"/>
              </w:rPr>
              <w:t>DVP.E038</w:t>
            </w:r>
          </w:p>
        </w:tc>
        <w:tc>
          <w:tcPr>
            <w:tcW w:w="4346" w:type="dxa"/>
            <w:tcBorders>
              <w:left w:val="nil"/>
              <w:bottom w:val="nil"/>
            </w:tcBorders>
            <w:shd w:val="clear" w:color="auto" w:fill="auto"/>
            <w:noWrap/>
            <w:vAlign w:val="center"/>
            <w:hideMark/>
          </w:tcPr>
          <w:p w14:paraId="54095D6A" w14:textId="77777777" w:rsidR="00F86B98" w:rsidRPr="00F86B98" w:rsidRDefault="00F86B98" w:rsidP="0015273C">
            <w:pPr>
              <w:spacing w:after="0" w:line="240" w:lineRule="auto"/>
              <w:ind w:firstLineChars="200" w:firstLine="320"/>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Execução Orçamentária Delegada</w:t>
            </w:r>
          </w:p>
        </w:tc>
        <w:tc>
          <w:tcPr>
            <w:tcW w:w="846" w:type="dxa"/>
            <w:tcBorders>
              <w:bottom w:val="nil"/>
              <w:right w:val="single" w:sz="8" w:space="0" w:color="auto"/>
            </w:tcBorders>
            <w:shd w:val="clear" w:color="auto" w:fill="auto"/>
            <w:noWrap/>
            <w:vAlign w:val="center"/>
          </w:tcPr>
          <w:p w14:paraId="065190D1"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p>
        </w:tc>
        <w:tc>
          <w:tcPr>
            <w:tcW w:w="1045" w:type="dxa"/>
            <w:tcBorders>
              <w:left w:val="nil"/>
              <w:bottom w:val="nil"/>
              <w:right w:val="single" w:sz="8" w:space="0" w:color="auto"/>
            </w:tcBorders>
            <w:shd w:val="clear" w:color="auto" w:fill="auto"/>
            <w:noWrap/>
            <w:vAlign w:val="center"/>
            <w:hideMark/>
          </w:tcPr>
          <w:p w14:paraId="022D4539"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DVP.H038</w:t>
            </w:r>
          </w:p>
        </w:tc>
        <w:tc>
          <w:tcPr>
            <w:tcW w:w="1120" w:type="dxa"/>
            <w:tcBorders>
              <w:left w:val="nil"/>
              <w:bottom w:val="nil"/>
              <w:right w:val="single" w:sz="8" w:space="0" w:color="auto"/>
            </w:tcBorders>
            <w:shd w:val="clear" w:color="auto" w:fill="auto"/>
            <w:noWrap/>
            <w:vAlign w:val="center"/>
            <w:hideMark/>
          </w:tcPr>
          <w:p w14:paraId="1DC53E07"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DVP.I038</w:t>
            </w:r>
          </w:p>
        </w:tc>
      </w:tr>
      <w:tr w:rsidR="00F86B98" w:rsidRPr="00F86B98" w14:paraId="201E3784" w14:textId="77777777" w:rsidTr="0015273C">
        <w:trPr>
          <w:trHeight w:val="240"/>
        </w:trPr>
        <w:tc>
          <w:tcPr>
            <w:tcW w:w="4410" w:type="dxa"/>
            <w:tcBorders>
              <w:top w:val="nil"/>
              <w:left w:val="single" w:sz="8" w:space="0" w:color="auto"/>
              <w:bottom w:val="nil"/>
            </w:tcBorders>
            <w:shd w:val="clear" w:color="auto" w:fill="auto"/>
            <w:noWrap/>
            <w:vAlign w:val="center"/>
            <w:hideMark/>
          </w:tcPr>
          <w:p w14:paraId="3B49C9D1" w14:textId="77777777" w:rsidR="00F86B98" w:rsidRPr="00F86B98" w:rsidRDefault="00F86B98" w:rsidP="0015273C">
            <w:pPr>
              <w:spacing w:after="0" w:line="240" w:lineRule="auto"/>
              <w:ind w:firstLineChars="200" w:firstLine="320"/>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Reavaliação de Ativos</w:t>
            </w:r>
          </w:p>
        </w:tc>
        <w:tc>
          <w:tcPr>
            <w:tcW w:w="835" w:type="dxa"/>
            <w:tcBorders>
              <w:top w:val="nil"/>
              <w:bottom w:val="nil"/>
              <w:right w:val="single" w:sz="8" w:space="0" w:color="auto"/>
            </w:tcBorders>
            <w:shd w:val="clear" w:color="auto" w:fill="auto"/>
            <w:noWrap/>
            <w:vAlign w:val="center"/>
          </w:tcPr>
          <w:p w14:paraId="18D03962"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07363202"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DVP.D039</w:t>
            </w:r>
          </w:p>
        </w:tc>
        <w:tc>
          <w:tcPr>
            <w:tcW w:w="1134" w:type="dxa"/>
            <w:tcBorders>
              <w:top w:val="nil"/>
              <w:left w:val="nil"/>
              <w:bottom w:val="nil"/>
              <w:right w:val="single" w:sz="8" w:space="0" w:color="auto"/>
            </w:tcBorders>
            <w:shd w:val="clear" w:color="auto" w:fill="auto"/>
            <w:noWrap/>
            <w:vAlign w:val="center"/>
            <w:hideMark/>
          </w:tcPr>
          <w:p w14:paraId="45291C31"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DVP.E039</w:t>
            </w:r>
          </w:p>
        </w:tc>
        <w:tc>
          <w:tcPr>
            <w:tcW w:w="4346" w:type="dxa"/>
            <w:tcBorders>
              <w:top w:val="nil"/>
              <w:left w:val="nil"/>
              <w:bottom w:val="nil"/>
            </w:tcBorders>
            <w:shd w:val="clear" w:color="auto" w:fill="auto"/>
            <w:noWrap/>
            <w:vAlign w:val="center"/>
            <w:hideMark/>
          </w:tcPr>
          <w:p w14:paraId="552B56BF" w14:textId="77777777" w:rsidR="00F86B98" w:rsidRPr="00F86B98" w:rsidRDefault="00F86B98" w:rsidP="0015273C">
            <w:pPr>
              <w:spacing w:after="0" w:line="240" w:lineRule="auto"/>
              <w:ind w:firstLineChars="200" w:firstLine="320"/>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Outras Transferências e Delegações Concedidas</w:t>
            </w:r>
          </w:p>
        </w:tc>
        <w:tc>
          <w:tcPr>
            <w:tcW w:w="846" w:type="dxa"/>
            <w:tcBorders>
              <w:top w:val="nil"/>
              <w:bottom w:val="nil"/>
              <w:right w:val="single" w:sz="8" w:space="0" w:color="auto"/>
            </w:tcBorders>
            <w:shd w:val="clear" w:color="auto" w:fill="auto"/>
            <w:noWrap/>
            <w:vAlign w:val="center"/>
          </w:tcPr>
          <w:p w14:paraId="7AABBA25"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291118B3"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DVP.H039</w:t>
            </w:r>
          </w:p>
        </w:tc>
        <w:tc>
          <w:tcPr>
            <w:tcW w:w="1120" w:type="dxa"/>
            <w:tcBorders>
              <w:top w:val="nil"/>
              <w:left w:val="nil"/>
              <w:bottom w:val="nil"/>
              <w:right w:val="single" w:sz="8" w:space="0" w:color="auto"/>
            </w:tcBorders>
            <w:shd w:val="clear" w:color="auto" w:fill="auto"/>
            <w:noWrap/>
            <w:vAlign w:val="center"/>
            <w:hideMark/>
          </w:tcPr>
          <w:p w14:paraId="0FED5D3A"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DVP.I039</w:t>
            </w:r>
          </w:p>
        </w:tc>
      </w:tr>
      <w:tr w:rsidR="00F86B98" w:rsidRPr="00F86B98" w14:paraId="331DCD36" w14:textId="77777777" w:rsidTr="0015273C">
        <w:trPr>
          <w:trHeight w:val="240"/>
        </w:trPr>
        <w:tc>
          <w:tcPr>
            <w:tcW w:w="4410" w:type="dxa"/>
            <w:tcBorders>
              <w:top w:val="nil"/>
              <w:left w:val="single" w:sz="8" w:space="0" w:color="auto"/>
              <w:bottom w:val="nil"/>
            </w:tcBorders>
            <w:shd w:val="clear" w:color="auto" w:fill="auto"/>
            <w:noWrap/>
            <w:vAlign w:val="center"/>
            <w:hideMark/>
          </w:tcPr>
          <w:p w14:paraId="42447455" w14:textId="77777777" w:rsidR="00F86B98" w:rsidRPr="00F86B98" w:rsidRDefault="00F86B98" w:rsidP="0015273C">
            <w:pPr>
              <w:spacing w:after="0" w:line="240" w:lineRule="auto"/>
              <w:ind w:firstLineChars="200" w:firstLine="320"/>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Ganhos com Alienação</w:t>
            </w:r>
          </w:p>
        </w:tc>
        <w:tc>
          <w:tcPr>
            <w:tcW w:w="835" w:type="dxa"/>
            <w:tcBorders>
              <w:top w:val="nil"/>
              <w:bottom w:val="nil"/>
              <w:right w:val="single" w:sz="8" w:space="0" w:color="auto"/>
            </w:tcBorders>
            <w:shd w:val="clear" w:color="auto" w:fill="auto"/>
            <w:noWrap/>
            <w:vAlign w:val="center"/>
          </w:tcPr>
          <w:p w14:paraId="572FAF41"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5B632A4D"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DVP.D040</w:t>
            </w:r>
          </w:p>
        </w:tc>
        <w:tc>
          <w:tcPr>
            <w:tcW w:w="1134" w:type="dxa"/>
            <w:tcBorders>
              <w:top w:val="nil"/>
              <w:left w:val="nil"/>
              <w:bottom w:val="nil"/>
              <w:right w:val="single" w:sz="8" w:space="0" w:color="auto"/>
            </w:tcBorders>
            <w:shd w:val="clear" w:color="auto" w:fill="auto"/>
            <w:noWrap/>
            <w:vAlign w:val="center"/>
            <w:hideMark/>
          </w:tcPr>
          <w:p w14:paraId="065AB613"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DVP.E040</w:t>
            </w:r>
          </w:p>
        </w:tc>
        <w:tc>
          <w:tcPr>
            <w:tcW w:w="4346" w:type="dxa"/>
            <w:tcBorders>
              <w:top w:val="nil"/>
              <w:left w:val="nil"/>
              <w:bottom w:val="nil"/>
            </w:tcBorders>
            <w:shd w:val="clear" w:color="auto" w:fill="auto"/>
            <w:noWrap/>
            <w:vAlign w:val="center"/>
            <w:hideMark/>
          </w:tcPr>
          <w:p w14:paraId="6107B22B" w14:textId="77777777" w:rsidR="00F86B98" w:rsidRPr="00F86B98" w:rsidRDefault="00F86B98" w:rsidP="0015273C">
            <w:pPr>
              <w:spacing w:after="0" w:line="240" w:lineRule="auto"/>
              <w:rPr>
                <w:rFonts w:ascii="Arial Narrow" w:eastAsia="Times New Roman" w:hAnsi="Arial Narrow" w:cs="Arial"/>
                <w:b/>
                <w:bCs/>
                <w:sz w:val="16"/>
                <w:szCs w:val="16"/>
                <w:u w:val="single"/>
                <w:lang w:eastAsia="pt-BR"/>
              </w:rPr>
            </w:pPr>
            <w:r w:rsidRPr="00F86B98">
              <w:rPr>
                <w:rFonts w:ascii="Arial Narrow" w:eastAsia="Times New Roman" w:hAnsi="Arial Narrow" w:cs="Arial"/>
                <w:b/>
                <w:bCs/>
                <w:sz w:val="16"/>
                <w:szCs w:val="16"/>
                <w:u w:val="single"/>
                <w:lang w:eastAsia="pt-BR"/>
              </w:rPr>
              <w:t>Desvalorização e Perdas de Ativos e Incorporação de Passivos</w:t>
            </w:r>
          </w:p>
        </w:tc>
        <w:tc>
          <w:tcPr>
            <w:tcW w:w="846" w:type="dxa"/>
            <w:tcBorders>
              <w:top w:val="nil"/>
              <w:bottom w:val="nil"/>
              <w:right w:val="single" w:sz="8" w:space="0" w:color="auto"/>
            </w:tcBorders>
            <w:shd w:val="clear" w:color="auto" w:fill="auto"/>
            <w:noWrap/>
            <w:vAlign w:val="center"/>
          </w:tcPr>
          <w:p w14:paraId="7F4B0F75" w14:textId="77777777" w:rsidR="00F86B98" w:rsidRPr="00F86B98" w:rsidRDefault="00F86B98" w:rsidP="0015273C">
            <w:pPr>
              <w:spacing w:after="0" w:line="240" w:lineRule="auto"/>
              <w:jc w:val="center"/>
              <w:rPr>
                <w:rFonts w:ascii="Arial Narrow" w:eastAsia="Times New Roman" w:hAnsi="Arial Narrow" w:cs="Arial"/>
                <w:b/>
                <w:bCs/>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7D9CF4A9" w14:textId="77777777" w:rsidR="00F86B98" w:rsidRPr="00F86B98" w:rsidRDefault="00F86B98" w:rsidP="0015273C">
            <w:pPr>
              <w:spacing w:after="0" w:line="240" w:lineRule="auto"/>
              <w:jc w:val="center"/>
              <w:rPr>
                <w:rFonts w:ascii="Arial Narrow" w:eastAsia="Times New Roman" w:hAnsi="Arial Narrow" w:cs="Arial"/>
                <w:b/>
                <w:bCs/>
                <w:sz w:val="16"/>
                <w:szCs w:val="16"/>
                <w:lang w:eastAsia="pt-BR"/>
              </w:rPr>
            </w:pPr>
            <w:r w:rsidRPr="00F86B98">
              <w:rPr>
                <w:rFonts w:ascii="Arial Narrow" w:eastAsia="Times New Roman" w:hAnsi="Arial Narrow" w:cs="Arial"/>
                <w:b/>
                <w:bCs/>
                <w:sz w:val="16"/>
                <w:szCs w:val="16"/>
                <w:lang w:eastAsia="pt-BR"/>
              </w:rPr>
              <w:t>DVP.H040</w:t>
            </w:r>
          </w:p>
        </w:tc>
        <w:tc>
          <w:tcPr>
            <w:tcW w:w="1120" w:type="dxa"/>
            <w:tcBorders>
              <w:top w:val="nil"/>
              <w:left w:val="nil"/>
              <w:bottom w:val="nil"/>
              <w:right w:val="single" w:sz="8" w:space="0" w:color="auto"/>
            </w:tcBorders>
            <w:shd w:val="clear" w:color="auto" w:fill="auto"/>
            <w:noWrap/>
            <w:vAlign w:val="center"/>
            <w:hideMark/>
          </w:tcPr>
          <w:p w14:paraId="0962ECA9" w14:textId="77777777" w:rsidR="00F86B98" w:rsidRPr="00F86B98" w:rsidRDefault="00F86B98" w:rsidP="0015273C">
            <w:pPr>
              <w:spacing w:after="0" w:line="240" w:lineRule="auto"/>
              <w:jc w:val="center"/>
              <w:rPr>
                <w:rFonts w:ascii="Arial Narrow" w:eastAsia="Times New Roman" w:hAnsi="Arial Narrow" w:cs="Arial"/>
                <w:b/>
                <w:bCs/>
                <w:sz w:val="16"/>
                <w:szCs w:val="16"/>
                <w:lang w:eastAsia="pt-BR"/>
              </w:rPr>
            </w:pPr>
            <w:r w:rsidRPr="00F86B98">
              <w:rPr>
                <w:rFonts w:ascii="Arial Narrow" w:eastAsia="Times New Roman" w:hAnsi="Arial Narrow" w:cs="Arial"/>
                <w:b/>
                <w:bCs/>
                <w:sz w:val="16"/>
                <w:szCs w:val="16"/>
                <w:lang w:eastAsia="pt-BR"/>
              </w:rPr>
              <w:t>DVP.I040</w:t>
            </w:r>
          </w:p>
        </w:tc>
      </w:tr>
      <w:tr w:rsidR="00F86B98" w:rsidRPr="00F86B98" w14:paraId="584CF489" w14:textId="77777777" w:rsidTr="0015273C">
        <w:trPr>
          <w:trHeight w:val="240"/>
        </w:trPr>
        <w:tc>
          <w:tcPr>
            <w:tcW w:w="4410" w:type="dxa"/>
            <w:tcBorders>
              <w:top w:val="nil"/>
              <w:left w:val="single" w:sz="8" w:space="0" w:color="auto"/>
              <w:bottom w:val="nil"/>
            </w:tcBorders>
            <w:shd w:val="clear" w:color="auto" w:fill="auto"/>
            <w:noWrap/>
            <w:vAlign w:val="center"/>
            <w:hideMark/>
          </w:tcPr>
          <w:p w14:paraId="195664D7" w14:textId="77777777" w:rsidR="00F86B98" w:rsidRPr="00F86B98" w:rsidRDefault="00F86B98" w:rsidP="0015273C">
            <w:pPr>
              <w:spacing w:after="0" w:line="240" w:lineRule="auto"/>
              <w:ind w:firstLineChars="200" w:firstLine="320"/>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Ganhos com Incorporação de Ativos</w:t>
            </w:r>
          </w:p>
        </w:tc>
        <w:tc>
          <w:tcPr>
            <w:tcW w:w="835" w:type="dxa"/>
            <w:tcBorders>
              <w:top w:val="nil"/>
              <w:bottom w:val="nil"/>
              <w:right w:val="single" w:sz="8" w:space="0" w:color="auto"/>
            </w:tcBorders>
            <w:shd w:val="clear" w:color="auto" w:fill="auto"/>
            <w:noWrap/>
            <w:vAlign w:val="center"/>
          </w:tcPr>
          <w:p w14:paraId="226745E1"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6EF07DEF"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DVP.D041</w:t>
            </w:r>
          </w:p>
        </w:tc>
        <w:tc>
          <w:tcPr>
            <w:tcW w:w="1134" w:type="dxa"/>
            <w:tcBorders>
              <w:top w:val="nil"/>
              <w:left w:val="nil"/>
              <w:bottom w:val="nil"/>
              <w:right w:val="single" w:sz="8" w:space="0" w:color="auto"/>
            </w:tcBorders>
            <w:shd w:val="clear" w:color="auto" w:fill="auto"/>
            <w:noWrap/>
            <w:vAlign w:val="center"/>
            <w:hideMark/>
          </w:tcPr>
          <w:p w14:paraId="1B1C38AE"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DVP.E041</w:t>
            </w:r>
          </w:p>
        </w:tc>
        <w:tc>
          <w:tcPr>
            <w:tcW w:w="4346" w:type="dxa"/>
            <w:tcBorders>
              <w:top w:val="nil"/>
              <w:left w:val="nil"/>
              <w:bottom w:val="nil"/>
            </w:tcBorders>
            <w:shd w:val="clear" w:color="auto" w:fill="auto"/>
            <w:noWrap/>
            <w:vAlign w:val="center"/>
            <w:hideMark/>
          </w:tcPr>
          <w:p w14:paraId="24B7329F" w14:textId="77777777" w:rsidR="00F86B98" w:rsidRPr="00F86B98" w:rsidRDefault="00F86B98" w:rsidP="0015273C">
            <w:pPr>
              <w:spacing w:after="0" w:line="240" w:lineRule="auto"/>
              <w:ind w:firstLineChars="200" w:firstLine="320"/>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Reavaliação, Redução a Valor Recuperável e Ajuste para Perdas</w:t>
            </w:r>
          </w:p>
        </w:tc>
        <w:tc>
          <w:tcPr>
            <w:tcW w:w="846" w:type="dxa"/>
            <w:tcBorders>
              <w:top w:val="nil"/>
              <w:bottom w:val="nil"/>
              <w:right w:val="single" w:sz="8" w:space="0" w:color="auto"/>
            </w:tcBorders>
            <w:shd w:val="clear" w:color="auto" w:fill="auto"/>
            <w:noWrap/>
            <w:vAlign w:val="center"/>
          </w:tcPr>
          <w:p w14:paraId="231DB536"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45BD9BFA"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DVP.H041</w:t>
            </w:r>
          </w:p>
        </w:tc>
        <w:tc>
          <w:tcPr>
            <w:tcW w:w="1120" w:type="dxa"/>
            <w:tcBorders>
              <w:top w:val="nil"/>
              <w:left w:val="nil"/>
              <w:bottom w:val="nil"/>
              <w:right w:val="single" w:sz="8" w:space="0" w:color="auto"/>
            </w:tcBorders>
            <w:shd w:val="clear" w:color="auto" w:fill="auto"/>
            <w:noWrap/>
            <w:vAlign w:val="center"/>
            <w:hideMark/>
          </w:tcPr>
          <w:p w14:paraId="1615AAFA"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DVP.I041</w:t>
            </w:r>
          </w:p>
        </w:tc>
      </w:tr>
      <w:tr w:rsidR="00F86B98" w:rsidRPr="00F86B98" w14:paraId="2CB0C916" w14:textId="77777777" w:rsidTr="0015273C">
        <w:trPr>
          <w:trHeight w:val="240"/>
        </w:trPr>
        <w:tc>
          <w:tcPr>
            <w:tcW w:w="4410" w:type="dxa"/>
            <w:tcBorders>
              <w:top w:val="nil"/>
              <w:left w:val="single" w:sz="8" w:space="0" w:color="auto"/>
              <w:bottom w:val="nil"/>
            </w:tcBorders>
            <w:shd w:val="clear" w:color="auto" w:fill="auto"/>
            <w:noWrap/>
            <w:vAlign w:val="center"/>
            <w:hideMark/>
          </w:tcPr>
          <w:p w14:paraId="1B4E230F" w14:textId="77777777" w:rsidR="00F86B98" w:rsidRPr="00F86B98" w:rsidRDefault="00F86B98" w:rsidP="0015273C">
            <w:pPr>
              <w:spacing w:after="0" w:line="240" w:lineRule="auto"/>
              <w:ind w:firstLineChars="200" w:firstLine="320"/>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Ganhos com Desincorporação de Passivos</w:t>
            </w:r>
          </w:p>
        </w:tc>
        <w:tc>
          <w:tcPr>
            <w:tcW w:w="835" w:type="dxa"/>
            <w:tcBorders>
              <w:top w:val="nil"/>
              <w:bottom w:val="nil"/>
              <w:right w:val="single" w:sz="8" w:space="0" w:color="auto"/>
            </w:tcBorders>
            <w:shd w:val="clear" w:color="auto" w:fill="auto"/>
            <w:noWrap/>
            <w:vAlign w:val="center"/>
          </w:tcPr>
          <w:p w14:paraId="1FA3B085"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65B7AF63"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DVP.D042</w:t>
            </w:r>
          </w:p>
        </w:tc>
        <w:tc>
          <w:tcPr>
            <w:tcW w:w="1134" w:type="dxa"/>
            <w:tcBorders>
              <w:top w:val="nil"/>
              <w:left w:val="nil"/>
              <w:bottom w:val="nil"/>
              <w:right w:val="single" w:sz="8" w:space="0" w:color="auto"/>
            </w:tcBorders>
            <w:shd w:val="clear" w:color="auto" w:fill="auto"/>
            <w:noWrap/>
            <w:vAlign w:val="center"/>
            <w:hideMark/>
          </w:tcPr>
          <w:p w14:paraId="52D05755"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DVP.E042</w:t>
            </w:r>
          </w:p>
        </w:tc>
        <w:tc>
          <w:tcPr>
            <w:tcW w:w="4346" w:type="dxa"/>
            <w:tcBorders>
              <w:top w:val="nil"/>
              <w:left w:val="nil"/>
              <w:bottom w:val="nil"/>
            </w:tcBorders>
            <w:shd w:val="clear" w:color="auto" w:fill="auto"/>
            <w:noWrap/>
            <w:vAlign w:val="center"/>
            <w:hideMark/>
          </w:tcPr>
          <w:p w14:paraId="1DB34713" w14:textId="77777777" w:rsidR="00F86B98" w:rsidRPr="00F86B98" w:rsidRDefault="00F86B98" w:rsidP="0015273C">
            <w:pPr>
              <w:spacing w:after="0" w:line="240" w:lineRule="auto"/>
              <w:ind w:firstLineChars="200" w:firstLine="320"/>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Perdas com Alienação</w:t>
            </w:r>
          </w:p>
        </w:tc>
        <w:tc>
          <w:tcPr>
            <w:tcW w:w="846" w:type="dxa"/>
            <w:tcBorders>
              <w:top w:val="nil"/>
              <w:bottom w:val="nil"/>
              <w:right w:val="single" w:sz="8" w:space="0" w:color="auto"/>
            </w:tcBorders>
            <w:shd w:val="clear" w:color="auto" w:fill="auto"/>
            <w:noWrap/>
            <w:vAlign w:val="center"/>
          </w:tcPr>
          <w:p w14:paraId="01BA6CA9"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67E7512E"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DVP.H042</w:t>
            </w:r>
          </w:p>
        </w:tc>
        <w:tc>
          <w:tcPr>
            <w:tcW w:w="1120" w:type="dxa"/>
            <w:tcBorders>
              <w:top w:val="nil"/>
              <w:left w:val="nil"/>
              <w:bottom w:val="nil"/>
              <w:right w:val="single" w:sz="8" w:space="0" w:color="auto"/>
            </w:tcBorders>
            <w:shd w:val="clear" w:color="auto" w:fill="auto"/>
            <w:noWrap/>
            <w:vAlign w:val="center"/>
            <w:hideMark/>
          </w:tcPr>
          <w:p w14:paraId="30223DFC"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DVP.I042</w:t>
            </w:r>
          </w:p>
        </w:tc>
      </w:tr>
      <w:tr w:rsidR="00F86B98" w:rsidRPr="00F86B98" w14:paraId="6696A371" w14:textId="77777777" w:rsidTr="0015273C">
        <w:trPr>
          <w:trHeight w:val="240"/>
        </w:trPr>
        <w:tc>
          <w:tcPr>
            <w:tcW w:w="4410" w:type="dxa"/>
            <w:tcBorders>
              <w:top w:val="nil"/>
              <w:left w:val="single" w:sz="8" w:space="0" w:color="auto"/>
              <w:bottom w:val="nil"/>
            </w:tcBorders>
            <w:shd w:val="clear" w:color="auto" w:fill="auto"/>
            <w:noWrap/>
            <w:vAlign w:val="center"/>
            <w:hideMark/>
          </w:tcPr>
          <w:p w14:paraId="151F10FC" w14:textId="77777777" w:rsidR="00F86B98" w:rsidRPr="00F86B98" w:rsidRDefault="00F86B98" w:rsidP="0015273C">
            <w:pPr>
              <w:spacing w:after="0" w:line="240" w:lineRule="auto"/>
              <w:ind w:firstLineChars="200" w:firstLine="320"/>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Reversão de Redução ao Valor Recuperável</w:t>
            </w:r>
          </w:p>
        </w:tc>
        <w:tc>
          <w:tcPr>
            <w:tcW w:w="835" w:type="dxa"/>
            <w:tcBorders>
              <w:top w:val="nil"/>
              <w:bottom w:val="nil"/>
              <w:right w:val="single" w:sz="8" w:space="0" w:color="auto"/>
            </w:tcBorders>
            <w:shd w:val="clear" w:color="auto" w:fill="auto"/>
            <w:noWrap/>
            <w:vAlign w:val="center"/>
          </w:tcPr>
          <w:p w14:paraId="63DB4BAB"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6EF2BAD5"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DVP.D043</w:t>
            </w:r>
          </w:p>
        </w:tc>
        <w:tc>
          <w:tcPr>
            <w:tcW w:w="1134" w:type="dxa"/>
            <w:tcBorders>
              <w:top w:val="nil"/>
              <w:left w:val="nil"/>
              <w:bottom w:val="nil"/>
              <w:right w:val="single" w:sz="8" w:space="0" w:color="auto"/>
            </w:tcBorders>
            <w:shd w:val="clear" w:color="auto" w:fill="auto"/>
            <w:noWrap/>
            <w:vAlign w:val="center"/>
            <w:hideMark/>
          </w:tcPr>
          <w:p w14:paraId="70F663CE"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DVP.E043</w:t>
            </w:r>
          </w:p>
        </w:tc>
        <w:tc>
          <w:tcPr>
            <w:tcW w:w="4346" w:type="dxa"/>
            <w:tcBorders>
              <w:top w:val="nil"/>
              <w:left w:val="nil"/>
              <w:bottom w:val="nil"/>
            </w:tcBorders>
            <w:shd w:val="clear" w:color="auto" w:fill="auto"/>
            <w:noWrap/>
            <w:vAlign w:val="center"/>
            <w:hideMark/>
          </w:tcPr>
          <w:p w14:paraId="375FBB5D" w14:textId="77777777" w:rsidR="00F86B98" w:rsidRPr="00F86B98" w:rsidRDefault="00F86B98" w:rsidP="0015273C">
            <w:pPr>
              <w:spacing w:after="0" w:line="240" w:lineRule="auto"/>
              <w:ind w:firstLineChars="200" w:firstLine="320"/>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Perdas Involuntárias</w:t>
            </w:r>
          </w:p>
        </w:tc>
        <w:tc>
          <w:tcPr>
            <w:tcW w:w="846" w:type="dxa"/>
            <w:tcBorders>
              <w:top w:val="nil"/>
              <w:bottom w:val="nil"/>
              <w:right w:val="single" w:sz="8" w:space="0" w:color="auto"/>
            </w:tcBorders>
            <w:shd w:val="clear" w:color="auto" w:fill="auto"/>
            <w:noWrap/>
            <w:vAlign w:val="center"/>
          </w:tcPr>
          <w:p w14:paraId="6EA3BD6B"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1AA69B86"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DVP.H043</w:t>
            </w:r>
          </w:p>
        </w:tc>
        <w:tc>
          <w:tcPr>
            <w:tcW w:w="1120" w:type="dxa"/>
            <w:tcBorders>
              <w:top w:val="nil"/>
              <w:left w:val="nil"/>
              <w:bottom w:val="nil"/>
              <w:right w:val="single" w:sz="8" w:space="0" w:color="auto"/>
            </w:tcBorders>
            <w:shd w:val="clear" w:color="auto" w:fill="auto"/>
            <w:noWrap/>
            <w:vAlign w:val="center"/>
            <w:hideMark/>
          </w:tcPr>
          <w:p w14:paraId="04A91BA8"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DVP.I043</w:t>
            </w:r>
          </w:p>
        </w:tc>
      </w:tr>
      <w:tr w:rsidR="00F86B98" w:rsidRPr="00F86B98" w14:paraId="4EC47E7B" w14:textId="77777777" w:rsidTr="0015273C">
        <w:trPr>
          <w:trHeight w:val="240"/>
        </w:trPr>
        <w:tc>
          <w:tcPr>
            <w:tcW w:w="4410" w:type="dxa"/>
            <w:tcBorders>
              <w:top w:val="nil"/>
              <w:left w:val="single" w:sz="8" w:space="0" w:color="auto"/>
              <w:bottom w:val="nil"/>
            </w:tcBorders>
            <w:shd w:val="clear" w:color="auto" w:fill="auto"/>
            <w:noWrap/>
            <w:vAlign w:val="center"/>
            <w:hideMark/>
          </w:tcPr>
          <w:p w14:paraId="3C0914B8" w14:textId="77777777" w:rsidR="00F86B98" w:rsidRPr="00F86B98" w:rsidRDefault="00F86B98" w:rsidP="0015273C">
            <w:pPr>
              <w:spacing w:after="0" w:line="240" w:lineRule="auto"/>
              <w:rPr>
                <w:rFonts w:ascii="Arial Narrow" w:eastAsia="Times New Roman" w:hAnsi="Arial Narrow" w:cs="Arial"/>
                <w:b/>
                <w:bCs/>
                <w:sz w:val="16"/>
                <w:szCs w:val="16"/>
                <w:u w:val="single"/>
                <w:lang w:eastAsia="pt-BR"/>
              </w:rPr>
            </w:pPr>
            <w:r w:rsidRPr="00F86B98">
              <w:rPr>
                <w:rFonts w:ascii="Arial Narrow" w:eastAsia="Times New Roman" w:hAnsi="Arial Narrow" w:cs="Arial"/>
                <w:b/>
                <w:bCs/>
                <w:sz w:val="16"/>
                <w:szCs w:val="16"/>
                <w:u w:val="single"/>
                <w:lang w:eastAsia="pt-BR"/>
              </w:rPr>
              <w:t>Outras  Variações Patrimoniais Aumentativas</w:t>
            </w:r>
          </w:p>
        </w:tc>
        <w:tc>
          <w:tcPr>
            <w:tcW w:w="835" w:type="dxa"/>
            <w:tcBorders>
              <w:top w:val="nil"/>
              <w:bottom w:val="nil"/>
              <w:right w:val="single" w:sz="8" w:space="0" w:color="auto"/>
            </w:tcBorders>
            <w:shd w:val="clear" w:color="auto" w:fill="auto"/>
            <w:noWrap/>
            <w:vAlign w:val="center"/>
          </w:tcPr>
          <w:p w14:paraId="436CBB8C" w14:textId="77777777" w:rsidR="00F86B98" w:rsidRPr="00F86B98" w:rsidRDefault="00F86B98" w:rsidP="0015273C">
            <w:pPr>
              <w:spacing w:after="0" w:line="240" w:lineRule="auto"/>
              <w:jc w:val="center"/>
              <w:rPr>
                <w:rFonts w:ascii="Arial Narrow" w:eastAsia="Times New Roman" w:hAnsi="Arial Narrow" w:cs="Arial"/>
                <w:b/>
                <w:bCs/>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3D63C87F" w14:textId="77777777" w:rsidR="00F86B98" w:rsidRPr="00F86B98" w:rsidRDefault="00F86B98" w:rsidP="0015273C">
            <w:pPr>
              <w:spacing w:after="0" w:line="240" w:lineRule="auto"/>
              <w:jc w:val="center"/>
              <w:rPr>
                <w:rFonts w:ascii="Arial Narrow" w:eastAsia="Times New Roman" w:hAnsi="Arial Narrow" w:cs="Arial"/>
                <w:b/>
                <w:bCs/>
                <w:sz w:val="16"/>
                <w:szCs w:val="16"/>
                <w:lang w:eastAsia="pt-BR"/>
              </w:rPr>
            </w:pPr>
            <w:r w:rsidRPr="00F86B98">
              <w:rPr>
                <w:rFonts w:ascii="Arial Narrow" w:eastAsia="Times New Roman" w:hAnsi="Arial Narrow" w:cs="Arial"/>
                <w:b/>
                <w:bCs/>
                <w:sz w:val="16"/>
                <w:szCs w:val="16"/>
                <w:lang w:eastAsia="pt-BR"/>
              </w:rPr>
              <w:t>DVP.D044</w:t>
            </w:r>
          </w:p>
        </w:tc>
        <w:tc>
          <w:tcPr>
            <w:tcW w:w="1134" w:type="dxa"/>
            <w:tcBorders>
              <w:top w:val="nil"/>
              <w:left w:val="nil"/>
              <w:bottom w:val="nil"/>
              <w:right w:val="single" w:sz="8" w:space="0" w:color="auto"/>
            </w:tcBorders>
            <w:shd w:val="clear" w:color="auto" w:fill="auto"/>
            <w:noWrap/>
            <w:vAlign w:val="center"/>
            <w:hideMark/>
          </w:tcPr>
          <w:p w14:paraId="380F736C" w14:textId="77777777" w:rsidR="00F86B98" w:rsidRPr="00F86B98" w:rsidRDefault="00F86B98" w:rsidP="0015273C">
            <w:pPr>
              <w:spacing w:after="0" w:line="240" w:lineRule="auto"/>
              <w:jc w:val="center"/>
              <w:rPr>
                <w:rFonts w:ascii="Arial Narrow" w:eastAsia="Times New Roman" w:hAnsi="Arial Narrow" w:cs="Arial"/>
                <w:b/>
                <w:bCs/>
                <w:sz w:val="16"/>
                <w:szCs w:val="16"/>
                <w:lang w:eastAsia="pt-BR"/>
              </w:rPr>
            </w:pPr>
            <w:r w:rsidRPr="00F86B98">
              <w:rPr>
                <w:rFonts w:ascii="Arial Narrow" w:eastAsia="Times New Roman" w:hAnsi="Arial Narrow" w:cs="Arial"/>
                <w:b/>
                <w:bCs/>
                <w:sz w:val="16"/>
                <w:szCs w:val="16"/>
                <w:lang w:eastAsia="pt-BR"/>
              </w:rPr>
              <w:t>DVP.E044</w:t>
            </w:r>
          </w:p>
        </w:tc>
        <w:tc>
          <w:tcPr>
            <w:tcW w:w="4346" w:type="dxa"/>
            <w:tcBorders>
              <w:top w:val="nil"/>
              <w:left w:val="nil"/>
              <w:bottom w:val="nil"/>
            </w:tcBorders>
            <w:shd w:val="clear" w:color="auto" w:fill="auto"/>
            <w:noWrap/>
            <w:vAlign w:val="center"/>
            <w:hideMark/>
          </w:tcPr>
          <w:p w14:paraId="43CBD46B" w14:textId="77777777" w:rsidR="00F86B98" w:rsidRPr="00F86B98" w:rsidRDefault="00F86B98" w:rsidP="0015273C">
            <w:pPr>
              <w:spacing w:after="0" w:line="240" w:lineRule="auto"/>
              <w:ind w:firstLineChars="200" w:firstLine="320"/>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Incorporação de Passivos</w:t>
            </w:r>
          </w:p>
        </w:tc>
        <w:tc>
          <w:tcPr>
            <w:tcW w:w="846" w:type="dxa"/>
            <w:tcBorders>
              <w:top w:val="nil"/>
              <w:bottom w:val="nil"/>
              <w:right w:val="single" w:sz="8" w:space="0" w:color="auto"/>
            </w:tcBorders>
            <w:shd w:val="clear" w:color="auto" w:fill="auto"/>
            <w:noWrap/>
            <w:vAlign w:val="center"/>
          </w:tcPr>
          <w:p w14:paraId="7DA0F312"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2299F074"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DVP.H044</w:t>
            </w:r>
          </w:p>
        </w:tc>
        <w:tc>
          <w:tcPr>
            <w:tcW w:w="1120" w:type="dxa"/>
            <w:tcBorders>
              <w:top w:val="nil"/>
              <w:left w:val="nil"/>
              <w:bottom w:val="nil"/>
              <w:right w:val="single" w:sz="8" w:space="0" w:color="auto"/>
            </w:tcBorders>
            <w:shd w:val="clear" w:color="auto" w:fill="auto"/>
            <w:noWrap/>
            <w:vAlign w:val="center"/>
            <w:hideMark/>
          </w:tcPr>
          <w:p w14:paraId="06AA4FCF"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DVP.I044</w:t>
            </w:r>
          </w:p>
        </w:tc>
      </w:tr>
      <w:tr w:rsidR="00F86B98" w:rsidRPr="00F86B98" w14:paraId="6439DA3B" w14:textId="77777777" w:rsidTr="0015273C">
        <w:trPr>
          <w:trHeight w:val="240"/>
        </w:trPr>
        <w:tc>
          <w:tcPr>
            <w:tcW w:w="4410" w:type="dxa"/>
            <w:tcBorders>
              <w:top w:val="nil"/>
              <w:left w:val="single" w:sz="8" w:space="0" w:color="auto"/>
              <w:bottom w:val="nil"/>
            </w:tcBorders>
            <w:shd w:val="clear" w:color="auto" w:fill="auto"/>
            <w:noWrap/>
            <w:vAlign w:val="center"/>
            <w:hideMark/>
          </w:tcPr>
          <w:p w14:paraId="63351D0F" w14:textId="77777777" w:rsidR="00F86B98" w:rsidRPr="00F86B98" w:rsidRDefault="00F86B98" w:rsidP="0015273C">
            <w:pPr>
              <w:spacing w:after="0" w:line="240" w:lineRule="auto"/>
              <w:ind w:firstLineChars="200" w:firstLine="320"/>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Variação Patrimonial Aumentativa a Classificar</w:t>
            </w:r>
          </w:p>
        </w:tc>
        <w:tc>
          <w:tcPr>
            <w:tcW w:w="835" w:type="dxa"/>
            <w:tcBorders>
              <w:top w:val="nil"/>
              <w:bottom w:val="nil"/>
              <w:right w:val="single" w:sz="8" w:space="0" w:color="auto"/>
            </w:tcBorders>
            <w:shd w:val="clear" w:color="auto" w:fill="auto"/>
            <w:noWrap/>
            <w:vAlign w:val="center"/>
          </w:tcPr>
          <w:p w14:paraId="07A8A344"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6B8C20DF"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DVP.D045</w:t>
            </w:r>
          </w:p>
        </w:tc>
        <w:tc>
          <w:tcPr>
            <w:tcW w:w="1134" w:type="dxa"/>
            <w:tcBorders>
              <w:top w:val="nil"/>
              <w:left w:val="nil"/>
              <w:bottom w:val="nil"/>
              <w:right w:val="single" w:sz="8" w:space="0" w:color="auto"/>
            </w:tcBorders>
            <w:shd w:val="clear" w:color="auto" w:fill="auto"/>
            <w:noWrap/>
            <w:vAlign w:val="center"/>
            <w:hideMark/>
          </w:tcPr>
          <w:p w14:paraId="79D5FB8D"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DVP.E045</w:t>
            </w:r>
          </w:p>
        </w:tc>
        <w:tc>
          <w:tcPr>
            <w:tcW w:w="4346" w:type="dxa"/>
            <w:tcBorders>
              <w:top w:val="nil"/>
              <w:left w:val="nil"/>
              <w:bottom w:val="nil"/>
            </w:tcBorders>
            <w:shd w:val="clear" w:color="auto" w:fill="auto"/>
            <w:noWrap/>
            <w:vAlign w:val="center"/>
            <w:hideMark/>
          </w:tcPr>
          <w:p w14:paraId="212049D5" w14:textId="77777777" w:rsidR="00F86B98" w:rsidRPr="00F86B98" w:rsidRDefault="00F86B98" w:rsidP="0015273C">
            <w:pPr>
              <w:spacing w:after="0" w:line="240" w:lineRule="auto"/>
              <w:ind w:firstLineChars="200" w:firstLine="320"/>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Desicorporação de Ativos</w:t>
            </w:r>
          </w:p>
        </w:tc>
        <w:tc>
          <w:tcPr>
            <w:tcW w:w="846" w:type="dxa"/>
            <w:tcBorders>
              <w:top w:val="nil"/>
              <w:bottom w:val="nil"/>
              <w:right w:val="single" w:sz="8" w:space="0" w:color="auto"/>
            </w:tcBorders>
            <w:shd w:val="clear" w:color="auto" w:fill="auto"/>
            <w:noWrap/>
            <w:vAlign w:val="center"/>
          </w:tcPr>
          <w:p w14:paraId="6EBD42B9"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6DB5A4F2"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DVP.H045</w:t>
            </w:r>
          </w:p>
        </w:tc>
        <w:tc>
          <w:tcPr>
            <w:tcW w:w="1120" w:type="dxa"/>
            <w:tcBorders>
              <w:top w:val="nil"/>
              <w:left w:val="nil"/>
              <w:bottom w:val="nil"/>
              <w:right w:val="single" w:sz="8" w:space="0" w:color="auto"/>
            </w:tcBorders>
            <w:shd w:val="clear" w:color="auto" w:fill="auto"/>
            <w:noWrap/>
            <w:vAlign w:val="center"/>
            <w:hideMark/>
          </w:tcPr>
          <w:p w14:paraId="6C85CDEC"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DVP.I045</w:t>
            </w:r>
          </w:p>
        </w:tc>
      </w:tr>
      <w:tr w:rsidR="00F86B98" w:rsidRPr="00F86B98" w14:paraId="186ED295" w14:textId="77777777" w:rsidTr="0015273C">
        <w:trPr>
          <w:trHeight w:val="240"/>
        </w:trPr>
        <w:tc>
          <w:tcPr>
            <w:tcW w:w="4410" w:type="dxa"/>
            <w:tcBorders>
              <w:top w:val="nil"/>
              <w:left w:val="single" w:sz="8" w:space="0" w:color="auto"/>
              <w:bottom w:val="nil"/>
            </w:tcBorders>
            <w:shd w:val="clear" w:color="auto" w:fill="auto"/>
            <w:noWrap/>
            <w:vAlign w:val="center"/>
            <w:hideMark/>
          </w:tcPr>
          <w:p w14:paraId="1A76013F" w14:textId="77777777" w:rsidR="00F86B98" w:rsidRPr="00F86B98" w:rsidRDefault="00F86B98" w:rsidP="0015273C">
            <w:pPr>
              <w:spacing w:after="0" w:line="240" w:lineRule="auto"/>
              <w:ind w:firstLineChars="200" w:firstLine="320"/>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Resultado Positivo de Participações</w:t>
            </w:r>
          </w:p>
        </w:tc>
        <w:tc>
          <w:tcPr>
            <w:tcW w:w="835" w:type="dxa"/>
            <w:tcBorders>
              <w:top w:val="nil"/>
              <w:bottom w:val="nil"/>
              <w:right w:val="single" w:sz="8" w:space="0" w:color="auto"/>
            </w:tcBorders>
            <w:shd w:val="clear" w:color="auto" w:fill="auto"/>
            <w:noWrap/>
            <w:vAlign w:val="center"/>
          </w:tcPr>
          <w:p w14:paraId="3C1A925F"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626E2119"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DVP.D046</w:t>
            </w:r>
          </w:p>
        </w:tc>
        <w:tc>
          <w:tcPr>
            <w:tcW w:w="1134" w:type="dxa"/>
            <w:tcBorders>
              <w:top w:val="nil"/>
              <w:left w:val="nil"/>
              <w:bottom w:val="nil"/>
              <w:right w:val="single" w:sz="8" w:space="0" w:color="auto"/>
            </w:tcBorders>
            <w:shd w:val="clear" w:color="auto" w:fill="auto"/>
            <w:noWrap/>
            <w:vAlign w:val="center"/>
            <w:hideMark/>
          </w:tcPr>
          <w:p w14:paraId="35F8AD13"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DVP.E046</w:t>
            </w:r>
          </w:p>
        </w:tc>
        <w:tc>
          <w:tcPr>
            <w:tcW w:w="4346" w:type="dxa"/>
            <w:tcBorders>
              <w:top w:val="nil"/>
              <w:left w:val="nil"/>
              <w:bottom w:val="nil"/>
            </w:tcBorders>
            <w:shd w:val="clear" w:color="auto" w:fill="auto"/>
            <w:noWrap/>
            <w:vAlign w:val="center"/>
            <w:hideMark/>
          </w:tcPr>
          <w:p w14:paraId="20148872" w14:textId="77777777" w:rsidR="00F86B98" w:rsidRPr="00F86B98" w:rsidRDefault="00F86B98" w:rsidP="0015273C">
            <w:pPr>
              <w:spacing w:after="0" w:line="240" w:lineRule="auto"/>
              <w:rPr>
                <w:rFonts w:ascii="Arial Narrow" w:eastAsia="Times New Roman" w:hAnsi="Arial Narrow" w:cs="Arial"/>
                <w:b/>
                <w:bCs/>
                <w:sz w:val="16"/>
                <w:szCs w:val="16"/>
                <w:u w:val="single"/>
                <w:lang w:eastAsia="pt-BR"/>
              </w:rPr>
            </w:pPr>
            <w:r w:rsidRPr="00F86B98">
              <w:rPr>
                <w:rFonts w:ascii="Arial Narrow" w:eastAsia="Times New Roman" w:hAnsi="Arial Narrow" w:cs="Arial"/>
                <w:b/>
                <w:bCs/>
                <w:sz w:val="16"/>
                <w:szCs w:val="16"/>
                <w:u w:val="single"/>
                <w:lang w:eastAsia="pt-BR"/>
              </w:rPr>
              <w:t>Tributárias</w:t>
            </w:r>
          </w:p>
        </w:tc>
        <w:tc>
          <w:tcPr>
            <w:tcW w:w="846" w:type="dxa"/>
            <w:tcBorders>
              <w:top w:val="nil"/>
              <w:bottom w:val="nil"/>
              <w:right w:val="single" w:sz="8" w:space="0" w:color="auto"/>
            </w:tcBorders>
            <w:shd w:val="clear" w:color="auto" w:fill="auto"/>
            <w:noWrap/>
            <w:vAlign w:val="center"/>
          </w:tcPr>
          <w:p w14:paraId="4EC34F63" w14:textId="77777777" w:rsidR="00F86B98" w:rsidRPr="00F86B98" w:rsidRDefault="00F86B98" w:rsidP="0015273C">
            <w:pPr>
              <w:spacing w:after="0" w:line="240" w:lineRule="auto"/>
              <w:jc w:val="center"/>
              <w:rPr>
                <w:rFonts w:ascii="Arial Narrow" w:eastAsia="Times New Roman" w:hAnsi="Arial Narrow" w:cs="Arial"/>
                <w:b/>
                <w:bCs/>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35C957DE" w14:textId="77777777" w:rsidR="00F86B98" w:rsidRPr="00F86B98" w:rsidRDefault="00F86B98" w:rsidP="0015273C">
            <w:pPr>
              <w:spacing w:after="0" w:line="240" w:lineRule="auto"/>
              <w:jc w:val="center"/>
              <w:rPr>
                <w:rFonts w:ascii="Arial Narrow" w:eastAsia="Times New Roman" w:hAnsi="Arial Narrow" w:cs="Arial"/>
                <w:b/>
                <w:bCs/>
                <w:sz w:val="16"/>
                <w:szCs w:val="16"/>
                <w:lang w:eastAsia="pt-BR"/>
              </w:rPr>
            </w:pPr>
            <w:r w:rsidRPr="00F86B98">
              <w:rPr>
                <w:rFonts w:ascii="Arial Narrow" w:eastAsia="Times New Roman" w:hAnsi="Arial Narrow" w:cs="Arial"/>
                <w:b/>
                <w:bCs/>
                <w:sz w:val="16"/>
                <w:szCs w:val="16"/>
                <w:lang w:eastAsia="pt-BR"/>
              </w:rPr>
              <w:t>DVP.H046</w:t>
            </w:r>
          </w:p>
        </w:tc>
        <w:tc>
          <w:tcPr>
            <w:tcW w:w="1120" w:type="dxa"/>
            <w:tcBorders>
              <w:top w:val="nil"/>
              <w:left w:val="nil"/>
              <w:bottom w:val="nil"/>
              <w:right w:val="single" w:sz="8" w:space="0" w:color="auto"/>
            </w:tcBorders>
            <w:shd w:val="clear" w:color="auto" w:fill="auto"/>
            <w:noWrap/>
            <w:vAlign w:val="center"/>
            <w:hideMark/>
          </w:tcPr>
          <w:p w14:paraId="083C9D65" w14:textId="77777777" w:rsidR="00F86B98" w:rsidRPr="00F86B98" w:rsidRDefault="00F86B98" w:rsidP="0015273C">
            <w:pPr>
              <w:spacing w:after="0" w:line="240" w:lineRule="auto"/>
              <w:jc w:val="center"/>
              <w:rPr>
                <w:rFonts w:ascii="Arial Narrow" w:eastAsia="Times New Roman" w:hAnsi="Arial Narrow" w:cs="Arial"/>
                <w:b/>
                <w:bCs/>
                <w:sz w:val="16"/>
                <w:szCs w:val="16"/>
                <w:lang w:eastAsia="pt-BR"/>
              </w:rPr>
            </w:pPr>
            <w:r w:rsidRPr="00F86B98">
              <w:rPr>
                <w:rFonts w:ascii="Arial Narrow" w:eastAsia="Times New Roman" w:hAnsi="Arial Narrow" w:cs="Arial"/>
                <w:b/>
                <w:bCs/>
                <w:sz w:val="16"/>
                <w:szCs w:val="16"/>
                <w:lang w:eastAsia="pt-BR"/>
              </w:rPr>
              <w:t>DVP.I046</w:t>
            </w:r>
          </w:p>
        </w:tc>
      </w:tr>
      <w:tr w:rsidR="00F86B98" w:rsidRPr="00F86B98" w14:paraId="4A3F38BD" w14:textId="77777777" w:rsidTr="0015273C">
        <w:trPr>
          <w:trHeight w:val="255"/>
        </w:trPr>
        <w:tc>
          <w:tcPr>
            <w:tcW w:w="4410" w:type="dxa"/>
            <w:tcBorders>
              <w:top w:val="nil"/>
              <w:left w:val="single" w:sz="8" w:space="0" w:color="auto"/>
              <w:bottom w:val="nil"/>
            </w:tcBorders>
            <w:shd w:val="clear" w:color="auto" w:fill="auto"/>
            <w:noWrap/>
            <w:vAlign w:val="center"/>
          </w:tcPr>
          <w:p w14:paraId="6E915C04" w14:textId="77777777" w:rsidR="00F86B98" w:rsidRPr="00F86B98" w:rsidRDefault="00F86B98" w:rsidP="0015273C">
            <w:pPr>
              <w:spacing w:after="0" w:line="240" w:lineRule="auto"/>
              <w:ind w:firstLineChars="200" w:firstLine="320"/>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Subvenções Econonômicas</w:t>
            </w:r>
          </w:p>
        </w:tc>
        <w:tc>
          <w:tcPr>
            <w:tcW w:w="835" w:type="dxa"/>
            <w:tcBorders>
              <w:top w:val="nil"/>
              <w:bottom w:val="nil"/>
              <w:right w:val="single" w:sz="8" w:space="0" w:color="auto"/>
            </w:tcBorders>
            <w:shd w:val="clear" w:color="auto" w:fill="auto"/>
            <w:noWrap/>
            <w:vAlign w:val="center"/>
          </w:tcPr>
          <w:p w14:paraId="59840701"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tcPr>
          <w:p w14:paraId="390D8D73" w14:textId="77777777" w:rsidR="00F86B98" w:rsidRPr="00F86B98" w:rsidRDefault="00F86B98"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DVP.D050</w:t>
            </w:r>
          </w:p>
        </w:tc>
        <w:tc>
          <w:tcPr>
            <w:tcW w:w="1134" w:type="dxa"/>
            <w:tcBorders>
              <w:top w:val="nil"/>
              <w:left w:val="nil"/>
              <w:bottom w:val="nil"/>
              <w:right w:val="single" w:sz="8" w:space="0" w:color="auto"/>
            </w:tcBorders>
            <w:shd w:val="clear" w:color="auto" w:fill="auto"/>
            <w:noWrap/>
            <w:vAlign w:val="center"/>
          </w:tcPr>
          <w:p w14:paraId="57F857AE" w14:textId="77777777" w:rsidR="00F86B98" w:rsidRPr="00F86B98" w:rsidRDefault="00F86B98"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DVP.E050</w:t>
            </w:r>
          </w:p>
        </w:tc>
        <w:tc>
          <w:tcPr>
            <w:tcW w:w="4346" w:type="dxa"/>
            <w:tcBorders>
              <w:top w:val="nil"/>
              <w:left w:val="nil"/>
              <w:bottom w:val="nil"/>
            </w:tcBorders>
            <w:shd w:val="clear" w:color="auto" w:fill="auto"/>
            <w:noWrap/>
            <w:vAlign w:val="center"/>
            <w:hideMark/>
          </w:tcPr>
          <w:p w14:paraId="6D48A56B" w14:textId="77777777" w:rsidR="00F86B98" w:rsidRPr="00F86B98" w:rsidRDefault="00F86B98" w:rsidP="0015273C">
            <w:pPr>
              <w:spacing w:after="0" w:line="240" w:lineRule="auto"/>
              <w:ind w:firstLineChars="200" w:firstLine="320"/>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Impostos, Taxas e Contribuições de Melhoria</w:t>
            </w:r>
          </w:p>
        </w:tc>
        <w:tc>
          <w:tcPr>
            <w:tcW w:w="846" w:type="dxa"/>
            <w:tcBorders>
              <w:top w:val="nil"/>
              <w:bottom w:val="nil"/>
              <w:right w:val="single" w:sz="8" w:space="0" w:color="auto"/>
            </w:tcBorders>
            <w:shd w:val="clear" w:color="auto" w:fill="auto"/>
            <w:noWrap/>
            <w:vAlign w:val="center"/>
          </w:tcPr>
          <w:p w14:paraId="16FEF9B4"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4EBE1D5F"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DVP.H047</w:t>
            </w:r>
          </w:p>
        </w:tc>
        <w:tc>
          <w:tcPr>
            <w:tcW w:w="1120" w:type="dxa"/>
            <w:tcBorders>
              <w:top w:val="nil"/>
              <w:left w:val="nil"/>
              <w:bottom w:val="nil"/>
              <w:right w:val="single" w:sz="8" w:space="0" w:color="auto"/>
            </w:tcBorders>
            <w:shd w:val="clear" w:color="auto" w:fill="auto"/>
            <w:noWrap/>
            <w:vAlign w:val="center"/>
            <w:hideMark/>
          </w:tcPr>
          <w:p w14:paraId="6E799B14"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DVP.I047</w:t>
            </w:r>
          </w:p>
        </w:tc>
      </w:tr>
      <w:tr w:rsidR="00F86B98" w:rsidRPr="00F86B98" w14:paraId="2E9725A2" w14:textId="77777777" w:rsidTr="0015273C">
        <w:trPr>
          <w:trHeight w:val="255"/>
        </w:trPr>
        <w:tc>
          <w:tcPr>
            <w:tcW w:w="4410" w:type="dxa"/>
            <w:tcBorders>
              <w:top w:val="nil"/>
              <w:left w:val="single" w:sz="8" w:space="0" w:color="auto"/>
              <w:bottom w:val="nil"/>
            </w:tcBorders>
            <w:shd w:val="clear" w:color="auto" w:fill="auto"/>
            <w:noWrap/>
            <w:vAlign w:val="center"/>
            <w:hideMark/>
          </w:tcPr>
          <w:p w14:paraId="767088D8" w14:textId="77777777" w:rsidR="00F86B98" w:rsidRPr="00F86B98" w:rsidRDefault="00F86B98" w:rsidP="0015273C">
            <w:pPr>
              <w:spacing w:after="0" w:line="240" w:lineRule="auto"/>
              <w:ind w:firstLineChars="200" w:firstLine="320"/>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Reversão de Provisões e Ajustes de Perdas</w:t>
            </w:r>
          </w:p>
        </w:tc>
        <w:tc>
          <w:tcPr>
            <w:tcW w:w="835" w:type="dxa"/>
            <w:tcBorders>
              <w:top w:val="nil"/>
              <w:bottom w:val="nil"/>
              <w:right w:val="single" w:sz="8" w:space="0" w:color="auto"/>
            </w:tcBorders>
            <w:shd w:val="clear" w:color="auto" w:fill="auto"/>
            <w:noWrap/>
            <w:vAlign w:val="center"/>
          </w:tcPr>
          <w:p w14:paraId="563EACAB"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3D731308"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DVP.D047</w:t>
            </w:r>
          </w:p>
        </w:tc>
        <w:tc>
          <w:tcPr>
            <w:tcW w:w="1134" w:type="dxa"/>
            <w:tcBorders>
              <w:top w:val="nil"/>
              <w:left w:val="nil"/>
              <w:bottom w:val="nil"/>
              <w:right w:val="single" w:sz="8" w:space="0" w:color="auto"/>
            </w:tcBorders>
            <w:shd w:val="clear" w:color="auto" w:fill="auto"/>
            <w:noWrap/>
            <w:vAlign w:val="center"/>
            <w:hideMark/>
          </w:tcPr>
          <w:p w14:paraId="02ADFDDD"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DVP.E047</w:t>
            </w:r>
          </w:p>
        </w:tc>
        <w:tc>
          <w:tcPr>
            <w:tcW w:w="4346" w:type="dxa"/>
            <w:tcBorders>
              <w:top w:val="nil"/>
              <w:left w:val="nil"/>
              <w:bottom w:val="nil"/>
            </w:tcBorders>
            <w:shd w:val="clear" w:color="auto" w:fill="auto"/>
            <w:noWrap/>
            <w:vAlign w:val="center"/>
            <w:hideMark/>
          </w:tcPr>
          <w:p w14:paraId="67F0C699" w14:textId="77777777" w:rsidR="00F86B98" w:rsidRPr="00F86B98" w:rsidRDefault="00F86B98" w:rsidP="0015273C">
            <w:pPr>
              <w:spacing w:after="0" w:line="240" w:lineRule="auto"/>
              <w:ind w:firstLineChars="200" w:firstLine="320"/>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Contribuições</w:t>
            </w:r>
          </w:p>
        </w:tc>
        <w:tc>
          <w:tcPr>
            <w:tcW w:w="846" w:type="dxa"/>
            <w:tcBorders>
              <w:top w:val="nil"/>
              <w:bottom w:val="nil"/>
              <w:right w:val="single" w:sz="8" w:space="0" w:color="auto"/>
            </w:tcBorders>
            <w:shd w:val="clear" w:color="auto" w:fill="auto"/>
            <w:noWrap/>
            <w:vAlign w:val="center"/>
          </w:tcPr>
          <w:p w14:paraId="1AFFC815"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61AB98B5"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DVP.H048</w:t>
            </w:r>
          </w:p>
        </w:tc>
        <w:tc>
          <w:tcPr>
            <w:tcW w:w="1120" w:type="dxa"/>
            <w:tcBorders>
              <w:top w:val="nil"/>
              <w:left w:val="nil"/>
              <w:bottom w:val="nil"/>
              <w:right w:val="single" w:sz="8" w:space="0" w:color="auto"/>
            </w:tcBorders>
            <w:shd w:val="clear" w:color="auto" w:fill="auto"/>
            <w:noWrap/>
            <w:vAlign w:val="center"/>
            <w:hideMark/>
          </w:tcPr>
          <w:p w14:paraId="0F0E31BF"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DVP.I048</w:t>
            </w:r>
          </w:p>
        </w:tc>
      </w:tr>
      <w:tr w:rsidR="00F86B98" w:rsidRPr="00F86B98" w14:paraId="6E9ACB3D" w14:textId="77777777" w:rsidTr="0015273C">
        <w:trPr>
          <w:trHeight w:val="240"/>
        </w:trPr>
        <w:tc>
          <w:tcPr>
            <w:tcW w:w="4410" w:type="dxa"/>
            <w:tcBorders>
              <w:top w:val="nil"/>
              <w:left w:val="single" w:sz="8" w:space="0" w:color="auto"/>
              <w:bottom w:val="nil"/>
            </w:tcBorders>
            <w:shd w:val="clear" w:color="auto" w:fill="auto"/>
            <w:noWrap/>
            <w:hideMark/>
          </w:tcPr>
          <w:p w14:paraId="778B88FF" w14:textId="77777777" w:rsidR="00F86B98" w:rsidRPr="00F86B98" w:rsidRDefault="00F86B98" w:rsidP="0015273C">
            <w:pPr>
              <w:spacing w:after="0" w:line="240" w:lineRule="auto"/>
              <w:ind w:firstLineChars="200" w:firstLine="320"/>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 xml:space="preserve">Diversas Variações Patrimoniais Aumentativas </w:t>
            </w:r>
          </w:p>
        </w:tc>
        <w:tc>
          <w:tcPr>
            <w:tcW w:w="835" w:type="dxa"/>
            <w:tcBorders>
              <w:top w:val="nil"/>
              <w:bottom w:val="nil"/>
              <w:right w:val="single" w:sz="8" w:space="0" w:color="auto"/>
            </w:tcBorders>
            <w:shd w:val="clear" w:color="auto" w:fill="auto"/>
            <w:noWrap/>
          </w:tcPr>
          <w:p w14:paraId="3F1393FA"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hideMark/>
          </w:tcPr>
          <w:p w14:paraId="6D20A2AD"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DVP.D048</w:t>
            </w:r>
          </w:p>
        </w:tc>
        <w:tc>
          <w:tcPr>
            <w:tcW w:w="1134" w:type="dxa"/>
            <w:tcBorders>
              <w:top w:val="nil"/>
              <w:left w:val="nil"/>
              <w:bottom w:val="nil"/>
              <w:right w:val="single" w:sz="8" w:space="0" w:color="auto"/>
            </w:tcBorders>
            <w:shd w:val="clear" w:color="auto" w:fill="auto"/>
            <w:noWrap/>
            <w:hideMark/>
          </w:tcPr>
          <w:p w14:paraId="180DC448"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DVP.E048</w:t>
            </w:r>
          </w:p>
        </w:tc>
        <w:tc>
          <w:tcPr>
            <w:tcW w:w="4346" w:type="dxa"/>
            <w:tcBorders>
              <w:top w:val="nil"/>
              <w:left w:val="nil"/>
              <w:bottom w:val="nil"/>
            </w:tcBorders>
            <w:shd w:val="clear" w:color="auto" w:fill="auto"/>
            <w:noWrap/>
            <w:vAlign w:val="center"/>
            <w:hideMark/>
          </w:tcPr>
          <w:p w14:paraId="632FB454" w14:textId="77777777" w:rsidR="00F86B98" w:rsidRPr="00F86B98" w:rsidRDefault="00F86B98" w:rsidP="0015273C">
            <w:pPr>
              <w:spacing w:after="0" w:line="240" w:lineRule="auto"/>
              <w:rPr>
                <w:rFonts w:ascii="Arial Narrow" w:eastAsia="Times New Roman" w:hAnsi="Arial Narrow" w:cs="Arial"/>
                <w:b/>
                <w:bCs/>
                <w:sz w:val="16"/>
                <w:szCs w:val="16"/>
                <w:u w:val="single"/>
                <w:lang w:eastAsia="pt-BR"/>
              </w:rPr>
            </w:pPr>
            <w:r w:rsidRPr="00F86B98">
              <w:rPr>
                <w:rFonts w:ascii="Arial Narrow" w:eastAsia="Times New Roman" w:hAnsi="Arial Narrow" w:cs="Arial"/>
                <w:b/>
                <w:bCs/>
                <w:sz w:val="16"/>
                <w:szCs w:val="16"/>
                <w:u w:val="single"/>
                <w:lang w:eastAsia="pt-BR"/>
              </w:rPr>
              <w:t>Custo das Mercadorias e dos Produtos Vendidos, e dos Serviços Prestados</w:t>
            </w:r>
          </w:p>
        </w:tc>
        <w:tc>
          <w:tcPr>
            <w:tcW w:w="846" w:type="dxa"/>
            <w:tcBorders>
              <w:top w:val="nil"/>
              <w:bottom w:val="nil"/>
              <w:right w:val="single" w:sz="8" w:space="0" w:color="auto"/>
            </w:tcBorders>
            <w:shd w:val="clear" w:color="auto" w:fill="auto"/>
            <w:noWrap/>
            <w:vAlign w:val="center"/>
          </w:tcPr>
          <w:p w14:paraId="3825E0DE" w14:textId="77777777" w:rsidR="00F86B98" w:rsidRPr="00F86B98" w:rsidRDefault="00F86B98" w:rsidP="0015273C">
            <w:pPr>
              <w:spacing w:after="0" w:line="240" w:lineRule="auto"/>
              <w:jc w:val="center"/>
              <w:rPr>
                <w:rFonts w:ascii="Arial Narrow" w:eastAsia="Times New Roman" w:hAnsi="Arial Narrow" w:cs="Arial"/>
                <w:b/>
                <w:bCs/>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20308323" w14:textId="77777777" w:rsidR="00F86B98" w:rsidRPr="00F86B98" w:rsidRDefault="00F86B98" w:rsidP="0015273C">
            <w:pPr>
              <w:spacing w:after="0" w:line="240" w:lineRule="auto"/>
              <w:jc w:val="center"/>
              <w:rPr>
                <w:rFonts w:ascii="Arial Narrow" w:eastAsia="Times New Roman" w:hAnsi="Arial Narrow" w:cs="Arial"/>
                <w:b/>
                <w:bCs/>
                <w:sz w:val="16"/>
                <w:szCs w:val="16"/>
                <w:lang w:eastAsia="pt-BR"/>
              </w:rPr>
            </w:pPr>
            <w:r w:rsidRPr="00F86B98">
              <w:rPr>
                <w:rFonts w:ascii="Arial Narrow" w:eastAsia="Times New Roman" w:hAnsi="Arial Narrow" w:cs="Arial"/>
                <w:b/>
                <w:bCs/>
                <w:sz w:val="16"/>
                <w:szCs w:val="16"/>
                <w:lang w:eastAsia="pt-BR"/>
              </w:rPr>
              <w:t>DVP.H049</w:t>
            </w:r>
          </w:p>
        </w:tc>
        <w:tc>
          <w:tcPr>
            <w:tcW w:w="1120" w:type="dxa"/>
            <w:tcBorders>
              <w:top w:val="nil"/>
              <w:left w:val="nil"/>
              <w:bottom w:val="nil"/>
              <w:right w:val="single" w:sz="8" w:space="0" w:color="auto"/>
            </w:tcBorders>
            <w:shd w:val="clear" w:color="auto" w:fill="auto"/>
            <w:noWrap/>
            <w:vAlign w:val="center"/>
            <w:hideMark/>
          </w:tcPr>
          <w:p w14:paraId="00238B11" w14:textId="77777777" w:rsidR="00F86B98" w:rsidRPr="00F86B98" w:rsidRDefault="00F86B98" w:rsidP="0015273C">
            <w:pPr>
              <w:spacing w:after="0" w:line="240" w:lineRule="auto"/>
              <w:jc w:val="center"/>
              <w:rPr>
                <w:rFonts w:ascii="Arial Narrow" w:eastAsia="Times New Roman" w:hAnsi="Arial Narrow" w:cs="Arial"/>
                <w:b/>
                <w:bCs/>
                <w:sz w:val="16"/>
                <w:szCs w:val="16"/>
                <w:lang w:eastAsia="pt-BR"/>
              </w:rPr>
            </w:pPr>
            <w:r w:rsidRPr="00F86B98">
              <w:rPr>
                <w:rFonts w:ascii="Arial Narrow" w:eastAsia="Times New Roman" w:hAnsi="Arial Narrow" w:cs="Arial"/>
                <w:b/>
                <w:bCs/>
                <w:sz w:val="16"/>
                <w:szCs w:val="16"/>
                <w:lang w:eastAsia="pt-BR"/>
              </w:rPr>
              <w:t>DVP.I049</w:t>
            </w:r>
          </w:p>
        </w:tc>
      </w:tr>
      <w:tr w:rsidR="00F86B98" w:rsidRPr="00F86B98" w14:paraId="424D7553" w14:textId="77777777" w:rsidTr="0015273C">
        <w:trPr>
          <w:trHeight w:val="240"/>
        </w:trPr>
        <w:tc>
          <w:tcPr>
            <w:tcW w:w="4410" w:type="dxa"/>
            <w:tcBorders>
              <w:top w:val="nil"/>
              <w:left w:val="single" w:sz="8" w:space="0" w:color="auto"/>
              <w:bottom w:val="nil"/>
            </w:tcBorders>
            <w:shd w:val="clear" w:color="auto" w:fill="auto"/>
            <w:noWrap/>
            <w:vAlign w:val="center"/>
            <w:hideMark/>
          </w:tcPr>
          <w:p w14:paraId="4373C89D" w14:textId="77777777" w:rsidR="00F86B98" w:rsidRPr="00F86B98" w:rsidRDefault="00F86B98" w:rsidP="0015273C">
            <w:pPr>
              <w:spacing w:after="0" w:line="240" w:lineRule="auto"/>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 </w:t>
            </w:r>
          </w:p>
        </w:tc>
        <w:tc>
          <w:tcPr>
            <w:tcW w:w="835" w:type="dxa"/>
            <w:tcBorders>
              <w:top w:val="nil"/>
              <w:bottom w:val="nil"/>
              <w:right w:val="single" w:sz="8" w:space="0" w:color="auto"/>
            </w:tcBorders>
            <w:shd w:val="clear" w:color="auto" w:fill="auto"/>
            <w:noWrap/>
            <w:vAlign w:val="center"/>
          </w:tcPr>
          <w:p w14:paraId="4BE41503"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0806F61A"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 </w:t>
            </w:r>
          </w:p>
        </w:tc>
        <w:tc>
          <w:tcPr>
            <w:tcW w:w="1134" w:type="dxa"/>
            <w:tcBorders>
              <w:top w:val="nil"/>
              <w:left w:val="nil"/>
              <w:bottom w:val="nil"/>
              <w:right w:val="single" w:sz="8" w:space="0" w:color="auto"/>
            </w:tcBorders>
            <w:shd w:val="clear" w:color="auto" w:fill="auto"/>
            <w:noWrap/>
            <w:vAlign w:val="center"/>
            <w:hideMark/>
          </w:tcPr>
          <w:p w14:paraId="0E1BE70A"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 </w:t>
            </w:r>
          </w:p>
        </w:tc>
        <w:tc>
          <w:tcPr>
            <w:tcW w:w="4346" w:type="dxa"/>
            <w:tcBorders>
              <w:top w:val="nil"/>
              <w:left w:val="nil"/>
              <w:bottom w:val="nil"/>
            </w:tcBorders>
            <w:shd w:val="clear" w:color="auto" w:fill="auto"/>
            <w:noWrap/>
            <w:vAlign w:val="center"/>
            <w:hideMark/>
          </w:tcPr>
          <w:p w14:paraId="5F7B28D2" w14:textId="77777777" w:rsidR="00F86B98" w:rsidRPr="00F86B98" w:rsidRDefault="00F86B98" w:rsidP="0015273C">
            <w:pPr>
              <w:spacing w:after="0" w:line="240" w:lineRule="auto"/>
              <w:ind w:firstLineChars="200" w:firstLine="320"/>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Custo das Mercadorias Vendidas</w:t>
            </w:r>
          </w:p>
        </w:tc>
        <w:tc>
          <w:tcPr>
            <w:tcW w:w="846" w:type="dxa"/>
            <w:tcBorders>
              <w:top w:val="nil"/>
              <w:bottom w:val="nil"/>
              <w:right w:val="single" w:sz="8" w:space="0" w:color="auto"/>
            </w:tcBorders>
            <w:shd w:val="clear" w:color="auto" w:fill="auto"/>
            <w:noWrap/>
            <w:vAlign w:val="center"/>
          </w:tcPr>
          <w:p w14:paraId="12D9F75A"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4EF30339"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DVP.H050</w:t>
            </w:r>
          </w:p>
        </w:tc>
        <w:tc>
          <w:tcPr>
            <w:tcW w:w="1120" w:type="dxa"/>
            <w:tcBorders>
              <w:top w:val="nil"/>
              <w:left w:val="nil"/>
              <w:bottom w:val="nil"/>
              <w:right w:val="single" w:sz="8" w:space="0" w:color="auto"/>
            </w:tcBorders>
            <w:shd w:val="clear" w:color="auto" w:fill="auto"/>
            <w:noWrap/>
            <w:vAlign w:val="center"/>
            <w:hideMark/>
          </w:tcPr>
          <w:p w14:paraId="5BCF7F24"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DVP.I050</w:t>
            </w:r>
          </w:p>
        </w:tc>
      </w:tr>
      <w:tr w:rsidR="00F86B98" w:rsidRPr="00F86B98" w14:paraId="3FC38B8E" w14:textId="77777777" w:rsidTr="0015273C">
        <w:trPr>
          <w:trHeight w:val="240"/>
        </w:trPr>
        <w:tc>
          <w:tcPr>
            <w:tcW w:w="4410" w:type="dxa"/>
            <w:tcBorders>
              <w:top w:val="nil"/>
              <w:left w:val="single" w:sz="8" w:space="0" w:color="auto"/>
              <w:bottom w:val="nil"/>
            </w:tcBorders>
            <w:shd w:val="clear" w:color="auto" w:fill="auto"/>
            <w:noWrap/>
            <w:vAlign w:val="center"/>
            <w:hideMark/>
          </w:tcPr>
          <w:p w14:paraId="309AC48C" w14:textId="77777777" w:rsidR="00F86B98" w:rsidRPr="00F86B98" w:rsidRDefault="00F86B98" w:rsidP="0015273C">
            <w:pPr>
              <w:spacing w:after="0" w:line="240" w:lineRule="auto"/>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 </w:t>
            </w:r>
          </w:p>
        </w:tc>
        <w:tc>
          <w:tcPr>
            <w:tcW w:w="835" w:type="dxa"/>
            <w:tcBorders>
              <w:top w:val="nil"/>
              <w:bottom w:val="nil"/>
              <w:right w:val="single" w:sz="8" w:space="0" w:color="auto"/>
            </w:tcBorders>
            <w:shd w:val="clear" w:color="auto" w:fill="auto"/>
            <w:noWrap/>
            <w:vAlign w:val="center"/>
          </w:tcPr>
          <w:p w14:paraId="3C730F11"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2515E1B5"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 </w:t>
            </w:r>
          </w:p>
        </w:tc>
        <w:tc>
          <w:tcPr>
            <w:tcW w:w="1134" w:type="dxa"/>
            <w:tcBorders>
              <w:top w:val="nil"/>
              <w:left w:val="nil"/>
              <w:bottom w:val="nil"/>
              <w:right w:val="single" w:sz="8" w:space="0" w:color="auto"/>
            </w:tcBorders>
            <w:shd w:val="clear" w:color="auto" w:fill="auto"/>
            <w:noWrap/>
            <w:vAlign w:val="center"/>
            <w:hideMark/>
          </w:tcPr>
          <w:p w14:paraId="5380B11F"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 </w:t>
            </w:r>
          </w:p>
        </w:tc>
        <w:tc>
          <w:tcPr>
            <w:tcW w:w="4346" w:type="dxa"/>
            <w:tcBorders>
              <w:top w:val="nil"/>
              <w:left w:val="nil"/>
              <w:bottom w:val="nil"/>
            </w:tcBorders>
            <w:shd w:val="clear" w:color="auto" w:fill="auto"/>
            <w:noWrap/>
            <w:vAlign w:val="center"/>
            <w:hideMark/>
          </w:tcPr>
          <w:p w14:paraId="0B17E056" w14:textId="77777777" w:rsidR="00F86B98" w:rsidRPr="00F86B98" w:rsidRDefault="00F86B98" w:rsidP="0015273C">
            <w:pPr>
              <w:spacing w:after="0" w:line="240" w:lineRule="auto"/>
              <w:ind w:firstLineChars="200" w:firstLine="320"/>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Custo dos Produtos Vendidos</w:t>
            </w:r>
          </w:p>
        </w:tc>
        <w:tc>
          <w:tcPr>
            <w:tcW w:w="846" w:type="dxa"/>
            <w:tcBorders>
              <w:top w:val="nil"/>
              <w:bottom w:val="nil"/>
              <w:right w:val="single" w:sz="8" w:space="0" w:color="auto"/>
            </w:tcBorders>
            <w:shd w:val="clear" w:color="auto" w:fill="auto"/>
            <w:noWrap/>
            <w:vAlign w:val="center"/>
          </w:tcPr>
          <w:p w14:paraId="2E05F033"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34DCADC5"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DVP.H051</w:t>
            </w:r>
          </w:p>
        </w:tc>
        <w:tc>
          <w:tcPr>
            <w:tcW w:w="1120" w:type="dxa"/>
            <w:tcBorders>
              <w:top w:val="nil"/>
              <w:left w:val="nil"/>
              <w:bottom w:val="nil"/>
              <w:right w:val="single" w:sz="8" w:space="0" w:color="auto"/>
            </w:tcBorders>
            <w:shd w:val="clear" w:color="auto" w:fill="auto"/>
            <w:noWrap/>
            <w:vAlign w:val="center"/>
            <w:hideMark/>
          </w:tcPr>
          <w:p w14:paraId="11031EDC"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DVP.I051</w:t>
            </w:r>
          </w:p>
        </w:tc>
      </w:tr>
      <w:tr w:rsidR="00F86B98" w:rsidRPr="00F86B98" w14:paraId="0A7B6DC5" w14:textId="77777777" w:rsidTr="0015273C">
        <w:trPr>
          <w:trHeight w:val="240"/>
        </w:trPr>
        <w:tc>
          <w:tcPr>
            <w:tcW w:w="4410" w:type="dxa"/>
            <w:tcBorders>
              <w:top w:val="nil"/>
              <w:left w:val="single" w:sz="8" w:space="0" w:color="auto"/>
              <w:bottom w:val="nil"/>
            </w:tcBorders>
            <w:shd w:val="clear" w:color="auto" w:fill="auto"/>
            <w:noWrap/>
            <w:vAlign w:val="center"/>
            <w:hideMark/>
          </w:tcPr>
          <w:p w14:paraId="4BCD91D0" w14:textId="77777777" w:rsidR="00F86B98" w:rsidRPr="00F86B98" w:rsidRDefault="00F86B98" w:rsidP="0015273C">
            <w:pPr>
              <w:spacing w:after="0" w:line="240" w:lineRule="auto"/>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 </w:t>
            </w:r>
          </w:p>
        </w:tc>
        <w:tc>
          <w:tcPr>
            <w:tcW w:w="835" w:type="dxa"/>
            <w:tcBorders>
              <w:top w:val="nil"/>
              <w:bottom w:val="nil"/>
              <w:right w:val="single" w:sz="8" w:space="0" w:color="auto"/>
            </w:tcBorders>
            <w:shd w:val="clear" w:color="auto" w:fill="auto"/>
            <w:noWrap/>
            <w:vAlign w:val="center"/>
          </w:tcPr>
          <w:p w14:paraId="285FC07D"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7C6852C6"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 </w:t>
            </w:r>
          </w:p>
        </w:tc>
        <w:tc>
          <w:tcPr>
            <w:tcW w:w="1134" w:type="dxa"/>
            <w:tcBorders>
              <w:top w:val="nil"/>
              <w:left w:val="nil"/>
              <w:bottom w:val="nil"/>
              <w:right w:val="single" w:sz="8" w:space="0" w:color="auto"/>
            </w:tcBorders>
            <w:shd w:val="clear" w:color="auto" w:fill="auto"/>
            <w:noWrap/>
            <w:vAlign w:val="center"/>
            <w:hideMark/>
          </w:tcPr>
          <w:p w14:paraId="493C6E30"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 </w:t>
            </w:r>
          </w:p>
        </w:tc>
        <w:tc>
          <w:tcPr>
            <w:tcW w:w="4346" w:type="dxa"/>
            <w:tcBorders>
              <w:top w:val="nil"/>
              <w:left w:val="nil"/>
              <w:bottom w:val="nil"/>
            </w:tcBorders>
            <w:shd w:val="clear" w:color="auto" w:fill="auto"/>
            <w:noWrap/>
            <w:vAlign w:val="center"/>
            <w:hideMark/>
          </w:tcPr>
          <w:p w14:paraId="2E5C15CF" w14:textId="77777777" w:rsidR="00F86B98" w:rsidRPr="00F86B98" w:rsidRDefault="00F86B98" w:rsidP="0015273C">
            <w:pPr>
              <w:spacing w:after="0" w:line="240" w:lineRule="auto"/>
              <w:ind w:firstLineChars="200" w:firstLine="320"/>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Custo dos Serviços Prestados</w:t>
            </w:r>
          </w:p>
        </w:tc>
        <w:tc>
          <w:tcPr>
            <w:tcW w:w="846" w:type="dxa"/>
            <w:tcBorders>
              <w:top w:val="nil"/>
              <w:bottom w:val="nil"/>
              <w:right w:val="single" w:sz="8" w:space="0" w:color="auto"/>
            </w:tcBorders>
            <w:shd w:val="clear" w:color="auto" w:fill="auto"/>
            <w:noWrap/>
            <w:vAlign w:val="center"/>
          </w:tcPr>
          <w:p w14:paraId="1DBD6F08"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07594EAA"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DVP.H052</w:t>
            </w:r>
          </w:p>
        </w:tc>
        <w:tc>
          <w:tcPr>
            <w:tcW w:w="1120" w:type="dxa"/>
            <w:tcBorders>
              <w:top w:val="nil"/>
              <w:left w:val="nil"/>
              <w:bottom w:val="nil"/>
              <w:right w:val="single" w:sz="8" w:space="0" w:color="auto"/>
            </w:tcBorders>
            <w:shd w:val="clear" w:color="auto" w:fill="auto"/>
            <w:noWrap/>
            <w:vAlign w:val="center"/>
            <w:hideMark/>
          </w:tcPr>
          <w:p w14:paraId="082B918C"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DVP.I052</w:t>
            </w:r>
          </w:p>
        </w:tc>
      </w:tr>
      <w:tr w:rsidR="00F86B98" w:rsidRPr="00F86B98" w14:paraId="23CA006F" w14:textId="77777777" w:rsidTr="0015273C">
        <w:trPr>
          <w:trHeight w:val="240"/>
        </w:trPr>
        <w:tc>
          <w:tcPr>
            <w:tcW w:w="4410" w:type="dxa"/>
            <w:tcBorders>
              <w:top w:val="nil"/>
              <w:left w:val="single" w:sz="8" w:space="0" w:color="auto"/>
              <w:bottom w:val="nil"/>
            </w:tcBorders>
            <w:shd w:val="clear" w:color="auto" w:fill="auto"/>
            <w:noWrap/>
            <w:vAlign w:val="center"/>
            <w:hideMark/>
          </w:tcPr>
          <w:p w14:paraId="3C2EE41A" w14:textId="77777777" w:rsidR="00F86B98" w:rsidRPr="00F86B98" w:rsidRDefault="00F86B98" w:rsidP="0015273C">
            <w:pPr>
              <w:spacing w:after="0" w:line="240" w:lineRule="auto"/>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 </w:t>
            </w:r>
          </w:p>
        </w:tc>
        <w:tc>
          <w:tcPr>
            <w:tcW w:w="835" w:type="dxa"/>
            <w:tcBorders>
              <w:top w:val="nil"/>
              <w:bottom w:val="nil"/>
              <w:right w:val="single" w:sz="8" w:space="0" w:color="auto"/>
            </w:tcBorders>
            <w:shd w:val="clear" w:color="auto" w:fill="auto"/>
            <w:noWrap/>
            <w:vAlign w:val="center"/>
          </w:tcPr>
          <w:p w14:paraId="6DF1827F" w14:textId="77777777" w:rsidR="00F86B98" w:rsidRPr="00F86B98" w:rsidRDefault="00F86B98" w:rsidP="0015273C">
            <w:pPr>
              <w:spacing w:after="0" w:line="240" w:lineRule="auto"/>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65284629"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 </w:t>
            </w:r>
          </w:p>
        </w:tc>
        <w:tc>
          <w:tcPr>
            <w:tcW w:w="1134" w:type="dxa"/>
            <w:tcBorders>
              <w:top w:val="nil"/>
              <w:left w:val="nil"/>
              <w:bottom w:val="nil"/>
              <w:right w:val="single" w:sz="8" w:space="0" w:color="auto"/>
            </w:tcBorders>
            <w:shd w:val="clear" w:color="auto" w:fill="auto"/>
            <w:noWrap/>
            <w:vAlign w:val="center"/>
            <w:hideMark/>
          </w:tcPr>
          <w:p w14:paraId="55186ED5"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 </w:t>
            </w:r>
          </w:p>
        </w:tc>
        <w:tc>
          <w:tcPr>
            <w:tcW w:w="4346" w:type="dxa"/>
            <w:tcBorders>
              <w:top w:val="nil"/>
              <w:left w:val="nil"/>
              <w:bottom w:val="nil"/>
            </w:tcBorders>
            <w:shd w:val="clear" w:color="auto" w:fill="auto"/>
            <w:noWrap/>
            <w:vAlign w:val="center"/>
            <w:hideMark/>
          </w:tcPr>
          <w:p w14:paraId="2560B659" w14:textId="77777777" w:rsidR="00F86B98" w:rsidRPr="00F86B98" w:rsidRDefault="00F86B98" w:rsidP="0015273C">
            <w:pPr>
              <w:spacing w:after="0" w:line="240" w:lineRule="auto"/>
              <w:rPr>
                <w:rFonts w:ascii="Arial Narrow" w:eastAsia="Times New Roman" w:hAnsi="Arial Narrow" w:cs="Arial"/>
                <w:b/>
                <w:bCs/>
                <w:sz w:val="16"/>
                <w:szCs w:val="16"/>
                <w:u w:val="single"/>
                <w:lang w:eastAsia="pt-BR"/>
              </w:rPr>
            </w:pPr>
            <w:r w:rsidRPr="00F86B98">
              <w:rPr>
                <w:rFonts w:ascii="Arial Narrow" w:eastAsia="Times New Roman" w:hAnsi="Arial Narrow" w:cs="Arial"/>
                <w:b/>
                <w:bCs/>
                <w:sz w:val="16"/>
                <w:szCs w:val="16"/>
                <w:u w:val="single"/>
                <w:lang w:eastAsia="pt-BR"/>
              </w:rPr>
              <w:t>Outras Variações Patrimoniais Diminutivas</w:t>
            </w:r>
          </w:p>
        </w:tc>
        <w:tc>
          <w:tcPr>
            <w:tcW w:w="846" w:type="dxa"/>
            <w:tcBorders>
              <w:top w:val="nil"/>
              <w:bottom w:val="nil"/>
              <w:right w:val="single" w:sz="8" w:space="0" w:color="auto"/>
            </w:tcBorders>
            <w:shd w:val="clear" w:color="auto" w:fill="auto"/>
            <w:noWrap/>
            <w:vAlign w:val="center"/>
          </w:tcPr>
          <w:p w14:paraId="0A404D6D" w14:textId="77777777" w:rsidR="00F86B98" w:rsidRPr="00F86B98" w:rsidRDefault="00F86B98" w:rsidP="0015273C">
            <w:pPr>
              <w:spacing w:after="0" w:line="240" w:lineRule="auto"/>
              <w:jc w:val="center"/>
              <w:rPr>
                <w:rFonts w:ascii="Arial Narrow" w:eastAsia="Times New Roman" w:hAnsi="Arial Narrow" w:cs="Arial"/>
                <w:b/>
                <w:bCs/>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5FE700F3" w14:textId="77777777" w:rsidR="00F86B98" w:rsidRPr="00F86B98" w:rsidRDefault="00F86B98" w:rsidP="0015273C">
            <w:pPr>
              <w:spacing w:after="0" w:line="240" w:lineRule="auto"/>
              <w:jc w:val="center"/>
              <w:rPr>
                <w:rFonts w:ascii="Arial Narrow" w:eastAsia="Times New Roman" w:hAnsi="Arial Narrow" w:cs="Arial"/>
                <w:b/>
                <w:bCs/>
                <w:sz w:val="16"/>
                <w:szCs w:val="16"/>
                <w:lang w:eastAsia="pt-BR"/>
              </w:rPr>
            </w:pPr>
            <w:r w:rsidRPr="00F86B98">
              <w:rPr>
                <w:rFonts w:ascii="Arial Narrow" w:eastAsia="Times New Roman" w:hAnsi="Arial Narrow" w:cs="Arial"/>
                <w:b/>
                <w:bCs/>
                <w:sz w:val="16"/>
                <w:szCs w:val="16"/>
                <w:lang w:eastAsia="pt-BR"/>
              </w:rPr>
              <w:t>DVP.H053</w:t>
            </w:r>
          </w:p>
        </w:tc>
        <w:tc>
          <w:tcPr>
            <w:tcW w:w="1120" w:type="dxa"/>
            <w:tcBorders>
              <w:top w:val="nil"/>
              <w:left w:val="nil"/>
              <w:bottom w:val="nil"/>
              <w:right w:val="single" w:sz="8" w:space="0" w:color="auto"/>
            </w:tcBorders>
            <w:shd w:val="clear" w:color="auto" w:fill="auto"/>
            <w:noWrap/>
            <w:vAlign w:val="center"/>
            <w:hideMark/>
          </w:tcPr>
          <w:p w14:paraId="3C1C4684" w14:textId="77777777" w:rsidR="00F86B98" w:rsidRPr="00F86B98" w:rsidRDefault="00F86B98" w:rsidP="0015273C">
            <w:pPr>
              <w:spacing w:after="0" w:line="240" w:lineRule="auto"/>
              <w:jc w:val="center"/>
              <w:rPr>
                <w:rFonts w:ascii="Arial Narrow" w:eastAsia="Times New Roman" w:hAnsi="Arial Narrow" w:cs="Arial"/>
                <w:b/>
                <w:bCs/>
                <w:sz w:val="16"/>
                <w:szCs w:val="16"/>
                <w:lang w:eastAsia="pt-BR"/>
              </w:rPr>
            </w:pPr>
            <w:r w:rsidRPr="00F86B98">
              <w:rPr>
                <w:rFonts w:ascii="Arial Narrow" w:eastAsia="Times New Roman" w:hAnsi="Arial Narrow" w:cs="Arial"/>
                <w:b/>
                <w:bCs/>
                <w:sz w:val="16"/>
                <w:szCs w:val="16"/>
                <w:lang w:eastAsia="pt-BR"/>
              </w:rPr>
              <w:t>DVP.I053</w:t>
            </w:r>
          </w:p>
        </w:tc>
      </w:tr>
      <w:tr w:rsidR="00F86B98" w:rsidRPr="00F86B98" w14:paraId="231ED57D" w14:textId="77777777" w:rsidTr="0015273C">
        <w:trPr>
          <w:trHeight w:val="255"/>
        </w:trPr>
        <w:tc>
          <w:tcPr>
            <w:tcW w:w="4410" w:type="dxa"/>
            <w:tcBorders>
              <w:top w:val="nil"/>
              <w:left w:val="single" w:sz="8" w:space="0" w:color="auto"/>
              <w:bottom w:val="nil"/>
            </w:tcBorders>
            <w:shd w:val="clear" w:color="auto" w:fill="auto"/>
            <w:noWrap/>
            <w:vAlign w:val="center"/>
            <w:hideMark/>
          </w:tcPr>
          <w:p w14:paraId="177F6AEF" w14:textId="77777777" w:rsidR="00F86B98" w:rsidRPr="00F86B98" w:rsidRDefault="00F86B98" w:rsidP="0015273C">
            <w:pPr>
              <w:spacing w:after="0" w:line="240" w:lineRule="auto"/>
              <w:rPr>
                <w:rFonts w:ascii="Arial Narrow" w:eastAsia="Times New Roman" w:hAnsi="Arial Narrow" w:cs="Arial"/>
                <w:sz w:val="16"/>
                <w:szCs w:val="16"/>
                <w:u w:val="single"/>
                <w:lang w:eastAsia="pt-BR"/>
              </w:rPr>
            </w:pPr>
            <w:r w:rsidRPr="00F86B98">
              <w:rPr>
                <w:rFonts w:ascii="Arial Narrow" w:eastAsia="Times New Roman" w:hAnsi="Arial Narrow" w:cs="Arial"/>
                <w:sz w:val="16"/>
                <w:szCs w:val="16"/>
                <w:lang w:eastAsia="pt-BR"/>
              </w:rPr>
              <w:t> </w:t>
            </w:r>
          </w:p>
        </w:tc>
        <w:tc>
          <w:tcPr>
            <w:tcW w:w="835" w:type="dxa"/>
            <w:tcBorders>
              <w:top w:val="nil"/>
              <w:bottom w:val="nil"/>
              <w:right w:val="single" w:sz="8" w:space="0" w:color="auto"/>
            </w:tcBorders>
            <w:shd w:val="clear" w:color="auto" w:fill="auto"/>
            <w:noWrap/>
            <w:vAlign w:val="center"/>
            <w:hideMark/>
          </w:tcPr>
          <w:p w14:paraId="0E3606AE" w14:textId="77777777" w:rsidR="00F86B98" w:rsidRPr="00F86B98" w:rsidRDefault="00F86B98" w:rsidP="0015273C">
            <w:pPr>
              <w:spacing w:after="0" w:line="240" w:lineRule="auto"/>
              <w:rPr>
                <w:rFonts w:ascii="Arial Narrow" w:eastAsia="Times New Roman" w:hAnsi="Arial Narrow" w:cs="Arial"/>
                <w:sz w:val="16"/>
                <w:szCs w:val="16"/>
                <w:u w:val="single"/>
                <w:lang w:eastAsia="pt-BR"/>
              </w:rPr>
            </w:pPr>
            <w:r w:rsidRPr="00F86B98">
              <w:rPr>
                <w:rFonts w:ascii="Arial Narrow" w:eastAsia="Times New Roman" w:hAnsi="Arial Narrow" w:cs="Arial"/>
                <w:sz w:val="16"/>
                <w:szCs w:val="16"/>
                <w:lang w:eastAsia="pt-BR"/>
              </w:rPr>
              <w:t> </w:t>
            </w:r>
          </w:p>
        </w:tc>
        <w:tc>
          <w:tcPr>
            <w:tcW w:w="1149" w:type="dxa"/>
            <w:tcBorders>
              <w:top w:val="nil"/>
              <w:left w:val="nil"/>
              <w:bottom w:val="nil"/>
              <w:right w:val="single" w:sz="8" w:space="0" w:color="auto"/>
            </w:tcBorders>
            <w:shd w:val="clear" w:color="auto" w:fill="auto"/>
            <w:noWrap/>
            <w:vAlign w:val="center"/>
            <w:hideMark/>
          </w:tcPr>
          <w:p w14:paraId="49AAE8FF"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 </w:t>
            </w:r>
          </w:p>
        </w:tc>
        <w:tc>
          <w:tcPr>
            <w:tcW w:w="1134" w:type="dxa"/>
            <w:tcBorders>
              <w:top w:val="nil"/>
              <w:left w:val="nil"/>
              <w:bottom w:val="nil"/>
              <w:right w:val="single" w:sz="8" w:space="0" w:color="auto"/>
            </w:tcBorders>
            <w:shd w:val="clear" w:color="auto" w:fill="auto"/>
            <w:noWrap/>
            <w:vAlign w:val="center"/>
            <w:hideMark/>
          </w:tcPr>
          <w:p w14:paraId="3CB969C9"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 </w:t>
            </w:r>
          </w:p>
        </w:tc>
        <w:tc>
          <w:tcPr>
            <w:tcW w:w="4346" w:type="dxa"/>
            <w:tcBorders>
              <w:top w:val="nil"/>
              <w:left w:val="nil"/>
              <w:bottom w:val="nil"/>
            </w:tcBorders>
            <w:shd w:val="clear" w:color="auto" w:fill="auto"/>
            <w:noWrap/>
            <w:vAlign w:val="center"/>
            <w:hideMark/>
          </w:tcPr>
          <w:p w14:paraId="301C141F" w14:textId="77777777" w:rsidR="00F86B98" w:rsidRPr="00F86B98" w:rsidRDefault="00F86B98" w:rsidP="0015273C">
            <w:pPr>
              <w:spacing w:after="0" w:line="240" w:lineRule="auto"/>
              <w:ind w:firstLineChars="200" w:firstLine="320"/>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Premiações</w:t>
            </w:r>
          </w:p>
        </w:tc>
        <w:tc>
          <w:tcPr>
            <w:tcW w:w="846" w:type="dxa"/>
            <w:tcBorders>
              <w:top w:val="nil"/>
              <w:bottom w:val="nil"/>
              <w:right w:val="single" w:sz="8" w:space="0" w:color="auto"/>
            </w:tcBorders>
            <w:shd w:val="clear" w:color="auto" w:fill="auto"/>
            <w:noWrap/>
            <w:vAlign w:val="center"/>
          </w:tcPr>
          <w:p w14:paraId="403CA368"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7155A4D2"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DVP.H054</w:t>
            </w:r>
          </w:p>
        </w:tc>
        <w:tc>
          <w:tcPr>
            <w:tcW w:w="1120" w:type="dxa"/>
            <w:tcBorders>
              <w:top w:val="nil"/>
              <w:left w:val="nil"/>
              <w:bottom w:val="nil"/>
              <w:right w:val="single" w:sz="8" w:space="0" w:color="auto"/>
            </w:tcBorders>
            <w:shd w:val="clear" w:color="auto" w:fill="auto"/>
            <w:noWrap/>
            <w:vAlign w:val="center"/>
            <w:hideMark/>
          </w:tcPr>
          <w:p w14:paraId="7DA0F689"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DVP.I054</w:t>
            </w:r>
          </w:p>
        </w:tc>
      </w:tr>
      <w:tr w:rsidR="00F86B98" w:rsidRPr="00F86B98" w14:paraId="4517D383" w14:textId="77777777" w:rsidTr="0015273C">
        <w:trPr>
          <w:trHeight w:val="255"/>
        </w:trPr>
        <w:tc>
          <w:tcPr>
            <w:tcW w:w="4410" w:type="dxa"/>
            <w:tcBorders>
              <w:top w:val="nil"/>
              <w:left w:val="single" w:sz="8" w:space="0" w:color="auto"/>
              <w:bottom w:val="nil"/>
            </w:tcBorders>
            <w:shd w:val="clear" w:color="auto" w:fill="auto"/>
            <w:noWrap/>
            <w:vAlign w:val="center"/>
            <w:hideMark/>
          </w:tcPr>
          <w:p w14:paraId="70F0EFA7" w14:textId="77777777" w:rsidR="00F86B98" w:rsidRPr="00F86B98" w:rsidRDefault="00F86B98" w:rsidP="0015273C">
            <w:pPr>
              <w:spacing w:after="0" w:line="240" w:lineRule="auto"/>
              <w:rPr>
                <w:rFonts w:ascii="Arial Narrow" w:eastAsia="Times New Roman" w:hAnsi="Arial Narrow" w:cs="Arial"/>
                <w:sz w:val="16"/>
                <w:szCs w:val="16"/>
                <w:u w:val="single"/>
                <w:lang w:eastAsia="pt-BR"/>
              </w:rPr>
            </w:pPr>
          </w:p>
        </w:tc>
        <w:tc>
          <w:tcPr>
            <w:tcW w:w="835" w:type="dxa"/>
            <w:tcBorders>
              <w:top w:val="nil"/>
              <w:bottom w:val="nil"/>
              <w:right w:val="single" w:sz="8" w:space="0" w:color="auto"/>
            </w:tcBorders>
            <w:shd w:val="clear" w:color="auto" w:fill="auto"/>
            <w:noWrap/>
            <w:vAlign w:val="center"/>
            <w:hideMark/>
          </w:tcPr>
          <w:p w14:paraId="6626D24D" w14:textId="77777777" w:rsidR="00F86B98" w:rsidRPr="00F86B98" w:rsidRDefault="00F86B98" w:rsidP="0015273C">
            <w:pPr>
              <w:spacing w:after="0" w:line="240" w:lineRule="auto"/>
              <w:rPr>
                <w:rFonts w:ascii="Arial Narrow" w:eastAsia="Times New Roman" w:hAnsi="Arial Narrow" w:cs="Arial"/>
                <w:sz w:val="16"/>
                <w:szCs w:val="16"/>
                <w:u w:val="single"/>
                <w:lang w:eastAsia="pt-BR"/>
              </w:rPr>
            </w:pPr>
          </w:p>
        </w:tc>
        <w:tc>
          <w:tcPr>
            <w:tcW w:w="1149" w:type="dxa"/>
            <w:tcBorders>
              <w:top w:val="nil"/>
              <w:left w:val="nil"/>
              <w:bottom w:val="nil"/>
              <w:right w:val="single" w:sz="8" w:space="0" w:color="auto"/>
            </w:tcBorders>
            <w:shd w:val="clear" w:color="auto" w:fill="auto"/>
            <w:noWrap/>
            <w:vAlign w:val="center"/>
            <w:hideMark/>
          </w:tcPr>
          <w:p w14:paraId="7A5EBEE4"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 </w:t>
            </w:r>
          </w:p>
        </w:tc>
        <w:tc>
          <w:tcPr>
            <w:tcW w:w="1134" w:type="dxa"/>
            <w:tcBorders>
              <w:top w:val="nil"/>
              <w:left w:val="nil"/>
              <w:bottom w:val="nil"/>
              <w:right w:val="single" w:sz="8" w:space="0" w:color="auto"/>
            </w:tcBorders>
            <w:shd w:val="clear" w:color="auto" w:fill="auto"/>
            <w:noWrap/>
            <w:vAlign w:val="center"/>
            <w:hideMark/>
          </w:tcPr>
          <w:p w14:paraId="1FCE38C0"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 </w:t>
            </w:r>
          </w:p>
        </w:tc>
        <w:tc>
          <w:tcPr>
            <w:tcW w:w="4346" w:type="dxa"/>
            <w:tcBorders>
              <w:top w:val="nil"/>
              <w:left w:val="nil"/>
              <w:bottom w:val="nil"/>
            </w:tcBorders>
            <w:shd w:val="clear" w:color="auto" w:fill="auto"/>
            <w:noWrap/>
            <w:vAlign w:val="center"/>
            <w:hideMark/>
          </w:tcPr>
          <w:p w14:paraId="4563E468" w14:textId="77777777" w:rsidR="00F86B98" w:rsidRPr="00F86B98" w:rsidRDefault="00F86B98" w:rsidP="0015273C">
            <w:pPr>
              <w:spacing w:after="0" w:line="240" w:lineRule="auto"/>
              <w:ind w:firstLineChars="200" w:firstLine="320"/>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Resultado Negativo de Participações</w:t>
            </w:r>
          </w:p>
        </w:tc>
        <w:tc>
          <w:tcPr>
            <w:tcW w:w="846" w:type="dxa"/>
            <w:tcBorders>
              <w:top w:val="nil"/>
              <w:bottom w:val="nil"/>
              <w:right w:val="single" w:sz="8" w:space="0" w:color="auto"/>
            </w:tcBorders>
            <w:shd w:val="clear" w:color="auto" w:fill="auto"/>
            <w:noWrap/>
            <w:vAlign w:val="center"/>
          </w:tcPr>
          <w:p w14:paraId="243E4EA3"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055B896D"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DVP.H055</w:t>
            </w:r>
          </w:p>
        </w:tc>
        <w:tc>
          <w:tcPr>
            <w:tcW w:w="1120" w:type="dxa"/>
            <w:tcBorders>
              <w:top w:val="nil"/>
              <w:left w:val="nil"/>
              <w:bottom w:val="nil"/>
              <w:right w:val="single" w:sz="8" w:space="0" w:color="auto"/>
            </w:tcBorders>
            <w:shd w:val="clear" w:color="auto" w:fill="auto"/>
            <w:noWrap/>
            <w:vAlign w:val="center"/>
            <w:hideMark/>
          </w:tcPr>
          <w:p w14:paraId="23B3D5A5"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DVP.I055</w:t>
            </w:r>
          </w:p>
        </w:tc>
      </w:tr>
      <w:tr w:rsidR="00F86B98" w:rsidRPr="00F86B98" w14:paraId="6F399076" w14:textId="77777777" w:rsidTr="0015273C">
        <w:trPr>
          <w:trHeight w:val="255"/>
        </w:trPr>
        <w:tc>
          <w:tcPr>
            <w:tcW w:w="4410" w:type="dxa"/>
            <w:tcBorders>
              <w:top w:val="nil"/>
              <w:left w:val="single" w:sz="8" w:space="0" w:color="auto"/>
              <w:bottom w:val="nil"/>
            </w:tcBorders>
            <w:shd w:val="clear" w:color="auto" w:fill="auto"/>
            <w:noWrap/>
            <w:vAlign w:val="center"/>
            <w:hideMark/>
          </w:tcPr>
          <w:p w14:paraId="3E1A27C0" w14:textId="77777777" w:rsidR="00F86B98" w:rsidRPr="00F86B98" w:rsidRDefault="00F86B98" w:rsidP="0015273C">
            <w:pPr>
              <w:spacing w:after="0" w:line="240" w:lineRule="auto"/>
              <w:rPr>
                <w:rFonts w:ascii="Arial Narrow" w:eastAsia="Times New Roman" w:hAnsi="Arial Narrow" w:cs="Arial"/>
                <w:sz w:val="16"/>
                <w:szCs w:val="16"/>
                <w:u w:val="single"/>
                <w:lang w:eastAsia="pt-BR"/>
              </w:rPr>
            </w:pPr>
          </w:p>
        </w:tc>
        <w:tc>
          <w:tcPr>
            <w:tcW w:w="835" w:type="dxa"/>
            <w:tcBorders>
              <w:top w:val="nil"/>
              <w:right w:val="single" w:sz="8" w:space="0" w:color="auto"/>
            </w:tcBorders>
            <w:shd w:val="clear" w:color="auto" w:fill="auto"/>
            <w:noWrap/>
            <w:vAlign w:val="center"/>
            <w:hideMark/>
          </w:tcPr>
          <w:p w14:paraId="0C73BE74" w14:textId="77777777" w:rsidR="00F86B98" w:rsidRPr="00F86B98" w:rsidRDefault="00F86B98" w:rsidP="0015273C">
            <w:pPr>
              <w:spacing w:after="0" w:line="240" w:lineRule="auto"/>
              <w:rPr>
                <w:rFonts w:ascii="Arial Narrow" w:eastAsia="Times New Roman" w:hAnsi="Arial Narrow" w:cs="Arial"/>
                <w:sz w:val="16"/>
                <w:szCs w:val="16"/>
                <w:u w:val="single"/>
                <w:lang w:eastAsia="pt-BR"/>
              </w:rPr>
            </w:pPr>
          </w:p>
          <w:p w14:paraId="4F5E297A" w14:textId="77777777" w:rsidR="00F86B98" w:rsidRPr="00F86B98" w:rsidRDefault="00F86B98" w:rsidP="0015273C">
            <w:pPr>
              <w:spacing w:after="0" w:line="240" w:lineRule="auto"/>
              <w:rPr>
                <w:rFonts w:ascii="Arial Narrow" w:eastAsia="Times New Roman" w:hAnsi="Arial Narrow" w:cs="Arial"/>
                <w:sz w:val="16"/>
                <w:szCs w:val="16"/>
                <w:u w:val="single"/>
                <w:lang w:eastAsia="pt-BR"/>
              </w:rPr>
            </w:pPr>
          </w:p>
        </w:tc>
        <w:tc>
          <w:tcPr>
            <w:tcW w:w="1149" w:type="dxa"/>
            <w:tcBorders>
              <w:top w:val="nil"/>
              <w:left w:val="nil"/>
              <w:bottom w:val="nil"/>
              <w:right w:val="single" w:sz="8" w:space="0" w:color="auto"/>
            </w:tcBorders>
            <w:shd w:val="clear" w:color="auto" w:fill="auto"/>
            <w:noWrap/>
            <w:vAlign w:val="center"/>
            <w:hideMark/>
          </w:tcPr>
          <w:p w14:paraId="6A6A1625"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 </w:t>
            </w:r>
          </w:p>
        </w:tc>
        <w:tc>
          <w:tcPr>
            <w:tcW w:w="1134" w:type="dxa"/>
            <w:tcBorders>
              <w:top w:val="nil"/>
              <w:left w:val="nil"/>
              <w:bottom w:val="nil"/>
              <w:right w:val="single" w:sz="8" w:space="0" w:color="auto"/>
            </w:tcBorders>
            <w:shd w:val="clear" w:color="auto" w:fill="auto"/>
            <w:noWrap/>
            <w:vAlign w:val="center"/>
            <w:hideMark/>
          </w:tcPr>
          <w:p w14:paraId="02E067B5"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 </w:t>
            </w:r>
          </w:p>
        </w:tc>
        <w:tc>
          <w:tcPr>
            <w:tcW w:w="4346" w:type="dxa"/>
            <w:tcBorders>
              <w:top w:val="nil"/>
              <w:left w:val="nil"/>
              <w:bottom w:val="nil"/>
            </w:tcBorders>
            <w:shd w:val="clear" w:color="auto" w:fill="auto"/>
            <w:noWrap/>
            <w:vAlign w:val="center"/>
            <w:hideMark/>
          </w:tcPr>
          <w:p w14:paraId="75F72B32" w14:textId="77777777" w:rsidR="00F86B98" w:rsidRPr="00F86B98" w:rsidRDefault="00F86B98" w:rsidP="0015273C">
            <w:pPr>
              <w:spacing w:after="0" w:line="240" w:lineRule="auto"/>
              <w:ind w:firstLineChars="200" w:firstLine="320"/>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Incentivos</w:t>
            </w:r>
          </w:p>
        </w:tc>
        <w:tc>
          <w:tcPr>
            <w:tcW w:w="846" w:type="dxa"/>
            <w:tcBorders>
              <w:top w:val="nil"/>
              <w:right w:val="single" w:sz="8" w:space="0" w:color="auto"/>
            </w:tcBorders>
            <w:shd w:val="clear" w:color="auto" w:fill="auto"/>
            <w:noWrap/>
            <w:vAlign w:val="center"/>
          </w:tcPr>
          <w:p w14:paraId="26410FF5"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290DFF0D"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DVP.H056</w:t>
            </w:r>
          </w:p>
        </w:tc>
        <w:tc>
          <w:tcPr>
            <w:tcW w:w="1120" w:type="dxa"/>
            <w:tcBorders>
              <w:top w:val="nil"/>
              <w:left w:val="nil"/>
              <w:bottom w:val="nil"/>
              <w:right w:val="single" w:sz="8" w:space="0" w:color="auto"/>
            </w:tcBorders>
            <w:shd w:val="clear" w:color="auto" w:fill="auto"/>
            <w:noWrap/>
            <w:vAlign w:val="center"/>
            <w:hideMark/>
          </w:tcPr>
          <w:p w14:paraId="18FE4F6C"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DVP.I056</w:t>
            </w:r>
          </w:p>
        </w:tc>
      </w:tr>
      <w:tr w:rsidR="00F86B98" w:rsidRPr="00F86B98" w14:paraId="1D5E5502" w14:textId="77777777" w:rsidTr="0015273C">
        <w:trPr>
          <w:trHeight w:val="255"/>
        </w:trPr>
        <w:tc>
          <w:tcPr>
            <w:tcW w:w="4410" w:type="dxa"/>
            <w:tcBorders>
              <w:top w:val="nil"/>
              <w:left w:val="single" w:sz="8" w:space="0" w:color="auto"/>
              <w:bottom w:val="nil"/>
            </w:tcBorders>
            <w:shd w:val="clear" w:color="auto" w:fill="auto"/>
            <w:noWrap/>
            <w:vAlign w:val="center"/>
            <w:hideMark/>
          </w:tcPr>
          <w:p w14:paraId="0E6801D8" w14:textId="77777777" w:rsidR="00F86B98" w:rsidRPr="00F86B98" w:rsidRDefault="00F86B98" w:rsidP="0015273C">
            <w:pPr>
              <w:spacing w:after="0" w:line="240" w:lineRule="auto"/>
              <w:rPr>
                <w:rFonts w:ascii="Arial Narrow" w:eastAsia="Times New Roman" w:hAnsi="Arial Narrow" w:cs="Arial"/>
                <w:sz w:val="16"/>
                <w:szCs w:val="16"/>
                <w:u w:val="single"/>
                <w:lang w:eastAsia="pt-BR"/>
              </w:rPr>
            </w:pPr>
          </w:p>
        </w:tc>
        <w:tc>
          <w:tcPr>
            <w:tcW w:w="835" w:type="dxa"/>
            <w:tcBorders>
              <w:top w:val="nil"/>
              <w:bottom w:val="nil"/>
              <w:right w:val="single" w:sz="8" w:space="0" w:color="auto"/>
            </w:tcBorders>
            <w:shd w:val="clear" w:color="auto" w:fill="auto"/>
            <w:noWrap/>
            <w:vAlign w:val="center"/>
            <w:hideMark/>
          </w:tcPr>
          <w:p w14:paraId="471B826D" w14:textId="77777777" w:rsidR="00F86B98" w:rsidRPr="00F86B98" w:rsidRDefault="00F86B98" w:rsidP="0015273C">
            <w:pPr>
              <w:spacing w:after="0" w:line="240" w:lineRule="auto"/>
              <w:rPr>
                <w:rFonts w:ascii="Arial Narrow" w:eastAsia="Times New Roman" w:hAnsi="Arial Narrow" w:cs="Arial"/>
                <w:sz w:val="16"/>
                <w:szCs w:val="16"/>
                <w:u w:val="single"/>
                <w:lang w:eastAsia="pt-BR"/>
              </w:rPr>
            </w:pPr>
          </w:p>
        </w:tc>
        <w:tc>
          <w:tcPr>
            <w:tcW w:w="1149" w:type="dxa"/>
            <w:tcBorders>
              <w:top w:val="nil"/>
              <w:left w:val="nil"/>
              <w:bottom w:val="nil"/>
              <w:right w:val="single" w:sz="8" w:space="0" w:color="auto"/>
            </w:tcBorders>
            <w:shd w:val="clear" w:color="auto" w:fill="auto"/>
            <w:noWrap/>
            <w:vAlign w:val="center"/>
            <w:hideMark/>
          </w:tcPr>
          <w:p w14:paraId="056769F7"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 </w:t>
            </w:r>
          </w:p>
        </w:tc>
        <w:tc>
          <w:tcPr>
            <w:tcW w:w="1134" w:type="dxa"/>
            <w:tcBorders>
              <w:top w:val="nil"/>
              <w:left w:val="nil"/>
              <w:bottom w:val="nil"/>
              <w:right w:val="single" w:sz="8" w:space="0" w:color="auto"/>
            </w:tcBorders>
            <w:shd w:val="clear" w:color="auto" w:fill="auto"/>
            <w:noWrap/>
            <w:vAlign w:val="center"/>
            <w:hideMark/>
          </w:tcPr>
          <w:p w14:paraId="6B58DE74"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 </w:t>
            </w:r>
          </w:p>
        </w:tc>
        <w:tc>
          <w:tcPr>
            <w:tcW w:w="4346" w:type="dxa"/>
            <w:tcBorders>
              <w:top w:val="nil"/>
              <w:left w:val="nil"/>
              <w:bottom w:val="nil"/>
            </w:tcBorders>
            <w:shd w:val="clear" w:color="auto" w:fill="auto"/>
            <w:noWrap/>
            <w:vAlign w:val="center"/>
            <w:hideMark/>
          </w:tcPr>
          <w:p w14:paraId="4B5AEB0C" w14:textId="77777777" w:rsidR="00F86B98" w:rsidRPr="00F86B98" w:rsidRDefault="00F86B98" w:rsidP="0015273C">
            <w:pPr>
              <w:spacing w:after="0" w:line="240" w:lineRule="auto"/>
              <w:ind w:firstLineChars="200" w:firstLine="320"/>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Subvenções Econômicas</w:t>
            </w:r>
          </w:p>
        </w:tc>
        <w:tc>
          <w:tcPr>
            <w:tcW w:w="846" w:type="dxa"/>
            <w:tcBorders>
              <w:top w:val="nil"/>
              <w:bottom w:val="nil"/>
              <w:right w:val="single" w:sz="8" w:space="0" w:color="auto"/>
            </w:tcBorders>
            <w:shd w:val="clear" w:color="auto" w:fill="auto"/>
            <w:noWrap/>
            <w:vAlign w:val="center"/>
          </w:tcPr>
          <w:p w14:paraId="79F7FC34"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399356B8"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DVP.H057</w:t>
            </w:r>
          </w:p>
        </w:tc>
        <w:tc>
          <w:tcPr>
            <w:tcW w:w="1120" w:type="dxa"/>
            <w:tcBorders>
              <w:top w:val="nil"/>
              <w:left w:val="nil"/>
              <w:bottom w:val="nil"/>
              <w:right w:val="single" w:sz="8" w:space="0" w:color="auto"/>
            </w:tcBorders>
            <w:shd w:val="clear" w:color="auto" w:fill="auto"/>
            <w:noWrap/>
            <w:vAlign w:val="center"/>
            <w:hideMark/>
          </w:tcPr>
          <w:p w14:paraId="6472A62F"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DVP.I057</w:t>
            </w:r>
          </w:p>
        </w:tc>
      </w:tr>
      <w:tr w:rsidR="00F86B98" w:rsidRPr="00F86B98" w14:paraId="5F3B3A0A" w14:textId="77777777" w:rsidTr="0015273C">
        <w:trPr>
          <w:trHeight w:val="255"/>
        </w:trPr>
        <w:tc>
          <w:tcPr>
            <w:tcW w:w="4410" w:type="dxa"/>
            <w:tcBorders>
              <w:top w:val="nil"/>
              <w:left w:val="single" w:sz="8" w:space="0" w:color="auto"/>
              <w:bottom w:val="nil"/>
            </w:tcBorders>
            <w:shd w:val="clear" w:color="auto" w:fill="auto"/>
            <w:noWrap/>
            <w:vAlign w:val="center"/>
            <w:hideMark/>
          </w:tcPr>
          <w:p w14:paraId="46EFF1D6" w14:textId="77777777" w:rsidR="00F86B98" w:rsidRPr="00F86B98" w:rsidRDefault="00F86B98" w:rsidP="0015273C">
            <w:pPr>
              <w:spacing w:after="0" w:line="240" w:lineRule="auto"/>
              <w:rPr>
                <w:rFonts w:ascii="Arial Narrow" w:eastAsia="Times New Roman" w:hAnsi="Arial Narrow" w:cs="Arial"/>
                <w:sz w:val="16"/>
                <w:szCs w:val="16"/>
                <w:u w:val="single"/>
                <w:lang w:eastAsia="pt-BR"/>
              </w:rPr>
            </w:pPr>
          </w:p>
        </w:tc>
        <w:tc>
          <w:tcPr>
            <w:tcW w:w="835" w:type="dxa"/>
            <w:tcBorders>
              <w:top w:val="nil"/>
              <w:bottom w:val="nil"/>
              <w:right w:val="single" w:sz="8" w:space="0" w:color="auto"/>
            </w:tcBorders>
            <w:shd w:val="clear" w:color="auto" w:fill="auto"/>
            <w:noWrap/>
            <w:vAlign w:val="center"/>
            <w:hideMark/>
          </w:tcPr>
          <w:p w14:paraId="7E1D7CD9" w14:textId="77777777" w:rsidR="00F86B98" w:rsidRPr="00F86B98" w:rsidRDefault="00F86B98" w:rsidP="0015273C">
            <w:pPr>
              <w:spacing w:after="0" w:line="240" w:lineRule="auto"/>
              <w:rPr>
                <w:rFonts w:ascii="Arial Narrow" w:eastAsia="Times New Roman" w:hAnsi="Arial Narrow" w:cs="Arial"/>
                <w:sz w:val="16"/>
                <w:szCs w:val="16"/>
                <w:u w:val="single"/>
                <w:lang w:eastAsia="pt-BR"/>
              </w:rPr>
            </w:pPr>
          </w:p>
        </w:tc>
        <w:tc>
          <w:tcPr>
            <w:tcW w:w="1149" w:type="dxa"/>
            <w:tcBorders>
              <w:top w:val="nil"/>
              <w:left w:val="nil"/>
              <w:bottom w:val="nil"/>
              <w:right w:val="single" w:sz="8" w:space="0" w:color="auto"/>
            </w:tcBorders>
            <w:shd w:val="clear" w:color="auto" w:fill="auto"/>
            <w:noWrap/>
            <w:vAlign w:val="center"/>
            <w:hideMark/>
          </w:tcPr>
          <w:p w14:paraId="4C4B966E"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 </w:t>
            </w:r>
          </w:p>
        </w:tc>
        <w:tc>
          <w:tcPr>
            <w:tcW w:w="1134" w:type="dxa"/>
            <w:tcBorders>
              <w:top w:val="nil"/>
              <w:left w:val="nil"/>
              <w:bottom w:val="nil"/>
              <w:right w:val="single" w:sz="8" w:space="0" w:color="auto"/>
            </w:tcBorders>
            <w:shd w:val="clear" w:color="auto" w:fill="auto"/>
            <w:noWrap/>
            <w:vAlign w:val="center"/>
            <w:hideMark/>
          </w:tcPr>
          <w:p w14:paraId="0AD6CEB5"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 </w:t>
            </w:r>
          </w:p>
        </w:tc>
        <w:tc>
          <w:tcPr>
            <w:tcW w:w="4346" w:type="dxa"/>
            <w:tcBorders>
              <w:top w:val="nil"/>
              <w:left w:val="nil"/>
              <w:bottom w:val="nil"/>
            </w:tcBorders>
            <w:shd w:val="clear" w:color="auto" w:fill="auto"/>
            <w:noWrap/>
            <w:vAlign w:val="center"/>
            <w:hideMark/>
          </w:tcPr>
          <w:p w14:paraId="6DC4B9F0" w14:textId="77777777" w:rsidR="00F86B98" w:rsidRPr="00F86B98" w:rsidRDefault="00F86B98" w:rsidP="0015273C">
            <w:pPr>
              <w:spacing w:after="0" w:line="240" w:lineRule="auto"/>
              <w:ind w:firstLineChars="200" w:firstLine="320"/>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Participações e Contribuições</w:t>
            </w:r>
          </w:p>
        </w:tc>
        <w:tc>
          <w:tcPr>
            <w:tcW w:w="846" w:type="dxa"/>
            <w:tcBorders>
              <w:top w:val="nil"/>
              <w:bottom w:val="nil"/>
              <w:right w:val="single" w:sz="8" w:space="0" w:color="auto"/>
            </w:tcBorders>
            <w:shd w:val="clear" w:color="auto" w:fill="auto"/>
            <w:noWrap/>
            <w:vAlign w:val="center"/>
          </w:tcPr>
          <w:p w14:paraId="2F1E1144"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2F8938E4"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DVP.H058</w:t>
            </w:r>
          </w:p>
        </w:tc>
        <w:tc>
          <w:tcPr>
            <w:tcW w:w="1120" w:type="dxa"/>
            <w:tcBorders>
              <w:top w:val="nil"/>
              <w:left w:val="nil"/>
              <w:bottom w:val="nil"/>
              <w:right w:val="single" w:sz="8" w:space="0" w:color="auto"/>
            </w:tcBorders>
            <w:shd w:val="clear" w:color="auto" w:fill="auto"/>
            <w:noWrap/>
            <w:vAlign w:val="center"/>
            <w:hideMark/>
          </w:tcPr>
          <w:p w14:paraId="3E585ED7"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DVP.I058</w:t>
            </w:r>
          </w:p>
        </w:tc>
      </w:tr>
      <w:tr w:rsidR="00F86B98" w:rsidRPr="00F86B98" w14:paraId="7D48532C" w14:textId="77777777" w:rsidTr="0015273C">
        <w:trPr>
          <w:trHeight w:val="255"/>
        </w:trPr>
        <w:tc>
          <w:tcPr>
            <w:tcW w:w="4410" w:type="dxa"/>
            <w:tcBorders>
              <w:top w:val="nil"/>
              <w:left w:val="single" w:sz="8" w:space="0" w:color="auto"/>
              <w:bottom w:val="nil"/>
            </w:tcBorders>
            <w:shd w:val="clear" w:color="auto" w:fill="auto"/>
            <w:noWrap/>
            <w:vAlign w:val="center"/>
            <w:hideMark/>
          </w:tcPr>
          <w:p w14:paraId="7E2E8CF6" w14:textId="77777777" w:rsidR="00F86B98" w:rsidRPr="00F86B98" w:rsidRDefault="00F86B98" w:rsidP="0015273C">
            <w:pPr>
              <w:spacing w:after="0" w:line="240" w:lineRule="auto"/>
              <w:rPr>
                <w:rFonts w:ascii="Arial Narrow" w:eastAsia="Times New Roman" w:hAnsi="Arial Narrow" w:cs="Arial"/>
                <w:sz w:val="16"/>
                <w:szCs w:val="16"/>
                <w:u w:val="single"/>
                <w:lang w:eastAsia="pt-BR"/>
              </w:rPr>
            </w:pPr>
          </w:p>
        </w:tc>
        <w:tc>
          <w:tcPr>
            <w:tcW w:w="835" w:type="dxa"/>
            <w:tcBorders>
              <w:top w:val="nil"/>
              <w:bottom w:val="nil"/>
              <w:right w:val="single" w:sz="8" w:space="0" w:color="auto"/>
            </w:tcBorders>
            <w:shd w:val="clear" w:color="auto" w:fill="auto"/>
            <w:noWrap/>
            <w:vAlign w:val="center"/>
            <w:hideMark/>
          </w:tcPr>
          <w:p w14:paraId="5AE2B8D2" w14:textId="77777777" w:rsidR="00F86B98" w:rsidRPr="00F86B98" w:rsidRDefault="00F86B98" w:rsidP="0015273C">
            <w:pPr>
              <w:spacing w:after="0" w:line="240" w:lineRule="auto"/>
              <w:rPr>
                <w:rFonts w:ascii="Arial Narrow" w:eastAsia="Times New Roman" w:hAnsi="Arial Narrow" w:cs="Arial"/>
                <w:sz w:val="16"/>
                <w:szCs w:val="16"/>
                <w:u w:val="single"/>
                <w:lang w:eastAsia="pt-BR"/>
              </w:rPr>
            </w:pPr>
          </w:p>
        </w:tc>
        <w:tc>
          <w:tcPr>
            <w:tcW w:w="1149" w:type="dxa"/>
            <w:tcBorders>
              <w:top w:val="nil"/>
              <w:left w:val="nil"/>
              <w:bottom w:val="nil"/>
              <w:right w:val="single" w:sz="8" w:space="0" w:color="auto"/>
            </w:tcBorders>
            <w:shd w:val="clear" w:color="auto" w:fill="auto"/>
            <w:noWrap/>
            <w:vAlign w:val="center"/>
            <w:hideMark/>
          </w:tcPr>
          <w:p w14:paraId="46D92914"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 </w:t>
            </w:r>
          </w:p>
        </w:tc>
        <w:tc>
          <w:tcPr>
            <w:tcW w:w="1134" w:type="dxa"/>
            <w:tcBorders>
              <w:top w:val="nil"/>
              <w:left w:val="nil"/>
              <w:bottom w:val="nil"/>
              <w:right w:val="single" w:sz="8" w:space="0" w:color="auto"/>
            </w:tcBorders>
            <w:shd w:val="clear" w:color="auto" w:fill="auto"/>
            <w:noWrap/>
            <w:vAlign w:val="center"/>
            <w:hideMark/>
          </w:tcPr>
          <w:p w14:paraId="1409C779"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 </w:t>
            </w:r>
          </w:p>
        </w:tc>
        <w:tc>
          <w:tcPr>
            <w:tcW w:w="4346" w:type="dxa"/>
            <w:tcBorders>
              <w:top w:val="nil"/>
              <w:left w:val="nil"/>
              <w:bottom w:val="nil"/>
            </w:tcBorders>
            <w:shd w:val="clear" w:color="auto" w:fill="auto"/>
            <w:noWrap/>
            <w:vAlign w:val="center"/>
            <w:hideMark/>
          </w:tcPr>
          <w:p w14:paraId="56363350" w14:textId="77777777" w:rsidR="00F86B98" w:rsidRPr="00F86B98" w:rsidRDefault="00F86B98" w:rsidP="0015273C">
            <w:pPr>
              <w:spacing w:after="0" w:line="240" w:lineRule="auto"/>
              <w:ind w:firstLineChars="200" w:firstLine="320"/>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Constituição de Provisões</w:t>
            </w:r>
          </w:p>
        </w:tc>
        <w:tc>
          <w:tcPr>
            <w:tcW w:w="846" w:type="dxa"/>
            <w:tcBorders>
              <w:top w:val="nil"/>
              <w:bottom w:val="nil"/>
              <w:right w:val="single" w:sz="8" w:space="0" w:color="auto"/>
            </w:tcBorders>
            <w:shd w:val="clear" w:color="auto" w:fill="auto"/>
            <w:noWrap/>
            <w:vAlign w:val="center"/>
          </w:tcPr>
          <w:p w14:paraId="785B7367"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67673379"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DVP.H059</w:t>
            </w:r>
          </w:p>
        </w:tc>
        <w:tc>
          <w:tcPr>
            <w:tcW w:w="1120" w:type="dxa"/>
            <w:tcBorders>
              <w:top w:val="nil"/>
              <w:left w:val="nil"/>
              <w:bottom w:val="nil"/>
              <w:right w:val="single" w:sz="8" w:space="0" w:color="auto"/>
            </w:tcBorders>
            <w:shd w:val="clear" w:color="auto" w:fill="auto"/>
            <w:noWrap/>
            <w:vAlign w:val="center"/>
            <w:hideMark/>
          </w:tcPr>
          <w:p w14:paraId="7D2E88F0"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DVP.I059</w:t>
            </w:r>
          </w:p>
        </w:tc>
      </w:tr>
      <w:tr w:rsidR="00F86B98" w:rsidRPr="00F86B98" w14:paraId="3180C3F0" w14:textId="77777777" w:rsidTr="0015273C">
        <w:trPr>
          <w:trHeight w:val="270"/>
        </w:trPr>
        <w:tc>
          <w:tcPr>
            <w:tcW w:w="4410" w:type="dxa"/>
            <w:tcBorders>
              <w:top w:val="nil"/>
              <w:left w:val="single" w:sz="8" w:space="0" w:color="auto"/>
              <w:bottom w:val="nil"/>
            </w:tcBorders>
            <w:shd w:val="clear" w:color="auto" w:fill="auto"/>
            <w:noWrap/>
            <w:vAlign w:val="center"/>
            <w:hideMark/>
          </w:tcPr>
          <w:p w14:paraId="5AABC614" w14:textId="77777777" w:rsidR="00F86B98" w:rsidRPr="00F86B98" w:rsidRDefault="00F86B98" w:rsidP="0015273C">
            <w:pPr>
              <w:spacing w:after="0" w:line="240" w:lineRule="auto"/>
              <w:rPr>
                <w:rFonts w:ascii="Arial Narrow" w:eastAsia="Times New Roman" w:hAnsi="Arial Narrow" w:cs="Arial"/>
                <w:sz w:val="16"/>
                <w:szCs w:val="16"/>
                <w:u w:val="single"/>
                <w:lang w:eastAsia="pt-BR"/>
              </w:rPr>
            </w:pPr>
          </w:p>
        </w:tc>
        <w:tc>
          <w:tcPr>
            <w:tcW w:w="835" w:type="dxa"/>
            <w:tcBorders>
              <w:top w:val="nil"/>
              <w:bottom w:val="nil"/>
              <w:right w:val="single" w:sz="8" w:space="0" w:color="auto"/>
            </w:tcBorders>
            <w:shd w:val="clear" w:color="auto" w:fill="auto"/>
            <w:noWrap/>
            <w:vAlign w:val="center"/>
            <w:hideMark/>
          </w:tcPr>
          <w:p w14:paraId="0ADADA4A" w14:textId="77777777" w:rsidR="00F86B98" w:rsidRPr="00F86B98" w:rsidRDefault="00F86B98" w:rsidP="0015273C">
            <w:pPr>
              <w:spacing w:after="0" w:line="240" w:lineRule="auto"/>
              <w:rPr>
                <w:rFonts w:ascii="Arial Narrow" w:eastAsia="Times New Roman" w:hAnsi="Arial Narrow" w:cs="Arial"/>
                <w:sz w:val="16"/>
                <w:szCs w:val="16"/>
                <w:u w:val="single"/>
                <w:lang w:eastAsia="pt-BR"/>
              </w:rPr>
            </w:pPr>
          </w:p>
        </w:tc>
        <w:tc>
          <w:tcPr>
            <w:tcW w:w="1149" w:type="dxa"/>
            <w:tcBorders>
              <w:top w:val="nil"/>
              <w:left w:val="nil"/>
              <w:bottom w:val="nil"/>
              <w:right w:val="single" w:sz="8" w:space="0" w:color="auto"/>
            </w:tcBorders>
            <w:shd w:val="clear" w:color="auto" w:fill="auto"/>
            <w:noWrap/>
            <w:vAlign w:val="center"/>
            <w:hideMark/>
          </w:tcPr>
          <w:p w14:paraId="08F50760"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 </w:t>
            </w:r>
          </w:p>
        </w:tc>
        <w:tc>
          <w:tcPr>
            <w:tcW w:w="1134" w:type="dxa"/>
            <w:tcBorders>
              <w:top w:val="nil"/>
              <w:left w:val="nil"/>
              <w:bottom w:val="nil"/>
              <w:right w:val="single" w:sz="8" w:space="0" w:color="auto"/>
            </w:tcBorders>
            <w:shd w:val="clear" w:color="auto" w:fill="auto"/>
            <w:noWrap/>
            <w:vAlign w:val="center"/>
            <w:hideMark/>
          </w:tcPr>
          <w:p w14:paraId="3B28B415"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 </w:t>
            </w:r>
          </w:p>
        </w:tc>
        <w:tc>
          <w:tcPr>
            <w:tcW w:w="4346" w:type="dxa"/>
            <w:tcBorders>
              <w:top w:val="nil"/>
              <w:left w:val="nil"/>
              <w:bottom w:val="nil"/>
            </w:tcBorders>
            <w:shd w:val="clear" w:color="auto" w:fill="auto"/>
            <w:noWrap/>
            <w:vAlign w:val="center"/>
            <w:hideMark/>
          </w:tcPr>
          <w:p w14:paraId="23916B0A" w14:textId="77777777" w:rsidR="00F86B98" w:rsidRPr="00F86B98" w:rsidRDefault="00F86B98" w:rsidP="0015273C">
            <w:pPr>
              <w:spacing w:after="0" w:line="240" w:lineRule="auto"/>
              <w:ind w:firstLineChars="200" w:firstLine="320"/>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Diversas Variações Patrimoniais Diminutivas</w:t>
            </w:r>
          </w:p>
        </w:tc>
        <w:tc>
          <w:tcPr>
            <w:tcW w:w="846" w:type="dxa"/>
            <w:tcBorders>
              <w:top w:val="nil"/>
              <w:bottom w:val="nil"/>
              <w:right w:val="single" w:sz="8" w:space="0" w:color="auto"/>
            </w:tcBorders>
            <w:shd w:val="clear" w:color="auto" w:fill="auto"/>
            <w:noWrap/>
            <w:vAlign w:val="center"/>
          </w:tcPr>
          <w:p w14:paraId="1CC41735"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29BB050D"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DVP.H060</w:t>
            </w:r>
          </w:p>
        </w:tc>
        <w:tc>
          <w:tcPr>
            <w:tcW w:w="1120" w:type="dxa"/>
            <w:tcBorders>
              <w:top w:val="nil"/>
              <w:left w:val="nil"/>
              <w:bottom w:val="nil"/>
              <w:right w:val="single" w:sz="8" w:space="0" w:color="auto"/>
            </w:tcBorders>
            <w:shd w:val="clear" w:color="auto" w:fill="auto"/>
            <w:noWrap/>
            <w:vAlign w:val="center"/>
            <w:hideMark/>
          </w:tcPr>
          <w:p w14:paraId="06BD916D" w14:textId="77777777" w:rsidR="00F86B98" w:rsidRPr="00F86B98" w:rsidRDefault="00F86B98" w:rsidP="0015273C">
            <w:pPr>
              <w:spacing w:after="0" w:line="240" w:lineRule="auto"/>
              <w:jc w:val="center"/>
              <w:rPr>
                <w:rFonts w:ascii="Arial Narrow" w:eastAsia="Times New Roman" w:hAnsi="Arial Narrow" w:cs="Arial"/>
                <w:sz w:val="16"/>
                <w:szCs w:val="16"/>
                <w:lang w:eastAsia="pt-BR"/>
              </w:rPr>
            </w:pPr>
            <w:r w:rsidRPr="00F86B98">
              <w:rPr>
                <w:rFonts w:ascii="Arial Narrow" w:eastAsia="Times New Roman" w:hAnsi="Arial Narrow" w:cs="Arial"/>
                <w:sz w:val="16"/>
                <w:szCs w:val="16"/>
                <w:lang w:eastAsia="pt-BR"/>
              </w:rPr>
              <w:t>DVP.I060</w:t>
            </w:r>
          </w:p>
        </w:tc>
      </w:tr>
      <w:tr w:rsidR="00F86B98" w:rsidRPr="00F86B98" w14:paraId="4BFA47E7" w14:textId="77777777" w:rsidTr="0015273C">
        <w:trPr>
          <w:trHeight w:val="270"/>
        </w:trPr>
        <w:tc>
          <w:tcPr>
            <w:tcW w:w="4410" w:type="dxa"/>
            <w:tcBorders>
              <w:top w:val="single" w:sz="8" w:space="0" w:color="auto"/>
              <w:left w:val="single" w:sz="8" w:space="0" w:color="auto"/>
              <w:bottom w:val="single" w:sz="8" w:space="0" w:color="auto"/>
            </w:tcBorders>
            <w:shd w:val="clear" w:color="auto" w:fill="auto"/>
            <w:noWrap/>
            <w:vAlign w:val="center"/>
            <w:hideMark/>
          </w:tcPr>
          <w:p w14:paraId="33E990A6" w14:textId="77777777" w:rsidR="00F86B98" w:rsidRPr="00F86B98" w:rsidRDefault="00F86B98" w:rsidP="0015273C">
            <w:pPr>
              <w:spacing w:after="0" w:line="240" w:lineRule="auto"/>
              <w:rPr>
                <w:rFonts w:ascii="Arial Narrow" w:eastAsia="Times New Roman" w:hAnsi="Arial Narrow" w:cs="Arial"/>
                <w:b/>
                <w:bCs/>
                <w:sz w:val="16"/>
                <w:szCs w:val="16"/>
                <w:lang w:eastAsia="pt-BR"/>
              </w:rPr>
            </w:pPr>
            <w:r w:rsidRPr="00F86B98">
              <w:rPr>
                <w:rFonts w:ascii="Arial Narrow" w:eastAsia="Times New Roman" w:hAnsi="Arial Narrow" w:cs="Arial"/>
                <w:b/>
                <w:bCs/>
                <w:sz w:val="16"/>
                <w:szCs w:val="16"/>
                <w:lang w:eastAsia="pt-BR"/>
              </w:rPr>
              <w:t>Total das Variações Patrimonais Aumentativas (I)</w:t>
            </w:r>
          </w:p>
        </w:tc>
        <w:tc>
          <w:tcPr>
            <w:tcW w:w="835" w:type="dxa"/>
            <w:tcBorders>
              <w:top w:val="single" w:sz="8" w:space="0" w:color="auto"/>
              <w:bottom w:val="single" w:sz="8" w:space="0" w:color="auto"/>
              <w:right w:val="single" w:sz="8" w:space="0" w:color="auto"/>
            </w:tcBorders>
            <w:shd w:val="clear" w:color="auto" w:fill="auto"/>
            <w:noWrap/>
            <w:vAlign w:val="center"/>
            <w:hideMark/>
          </w:tcPr>
          <w:p w14:paraId="225F0E91" w14:textId="77777777" w:rsidR="00F86B98" w:rsidRPr="00F86B98" w:rsidRDefault="00F86B98" w:rsidP="0015273C">
            <w:pPr>
              <w:spacing w:after="0" w:line="240" w:lineRule="auto"/>
              <w:jc w:val="center"/>
              <w:rPr>
                <w:rFonts w:ascii="Arial Narrow" w:eastAsia="Times New Roman" w:hAnsi="Arial Narrow" w:cs="Arial"/>
                <w:b/>
                <w:bCs/>
                <w:sz w:val="16"/>
                <w:szCs w:val="16"/>
                <w:lang w:eastAsia="pt-BR"/>
              </w:rPr>
            </w:pPr>
          </w:p>
        </w:tc>
        <w:tc>
          <w:tcPr>
            <w:tcW w:w="1149" w:type="dxa"/>
            <w:tcBorders>
              <w:top w:val="single" w:sz="8" w:space="0" w:color="auto"/>
              <w:left w:val="nil"/>
              <w:bottom w:val="single" w:sz="8" w:space="0" w:color="auto"/>
              <w:right w:val="single" w:sz="8" w:space="0" w:color="auto"/>
            </w:tcBorders>
            <w:shd w:val="clear" w:color="auto" w:fill="auto"/>
            <w:noWrap/>
            <w:vAlign w:val="center"/>
            <w:hideMark/>
          </w:tcPr>
          <w:p w14:paraId="33BE977C" w14:textId="77777777" w:rsidR="00F86B98" w:rsidRPr="00F86B98" w:rsidRDefault="00F86B98" w:rsidP="0015273C">
            <w:pPr>
              <w:spacing w:after="0" w:line="240" w:lineRule="auto"/>
              <w:jc w:val="center"/>
              <w:rPr>
                <w:rFonts w:ascii="Arial Narrow" w:eastAsia="Times New Roman" w:hAnsi="Arial Narrow" w:cs="Arial"/>
                <w:b/>
                <w:bCs/>
                <w:sz w:val="16"/>
                <w:szCs w:val="16"/>
                <w:lang w:eastAsia="pt-BR"/>
              </w:rPr>
            </w:pPr>
            <w:r w:rsidRPr="00F86B98">
              <w:rPr>
                <w:rFonts w:ascii="Arial Narrow" w:eastAsia="Times New Roman" w:hAnsi="Arial Narrow" w:cs="Arial"/>
                <w:b/>
                <w:bCs/>
                <w:sz w:val="16"/>
                <w:szCs w:val="16"/>
                <w:lang w:eastAsia="pt-BR"/>
              </w:rPr>
              <w:t>DVP.D061</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14:paraId="31C63C7A" w14:textId="77777777" w:rsidR="00F86B98" w:rsidRPr="00F86B98" w:rsidRDefault="00F86B98" w:rsidP="0015273C">
            <w:pPr>
              <w:spacing w:after="0" w:line="240" w:lineRule="auto"/>
              <w:jc w:val="center"/>
              <w:rPr>
                <w:rFonts w:ascii="Arial Narrow" w:eastAsia="Times New Roman" w:hAnsi="Arial Narrow" w:cs="Arial"/>
                <w:b/>
                <w:bCs/>
                <w:sz w:val="16"/>
                <w:szCs w:val="16"/>
                <w:lang w:eastAsia="pt-BR"/>
              </w:rPr>
            </w:pPr>
            <w:r w:rsidRPr="00F86B98">
              <w:rPr>
                <w:rFonts w:ascii="Arial Narrow" w:eastAsia="Times New Roman" w:hAnsi="Arial Narrow" w:cs="Arial"/>
                <w:b/>
                <w:bCs/>
                <w:sz w:val="16"/>
                <w:szCs w:val="16"/>
                <w:lang w:eastAsia="pt-BR"/>
              </w:rPr>
              <w:t>DVP.E061</w:t>
            </w:r>
          </w:p>
        </w:tc>
        <w:tc>
          <w:tcPr>
            <w:tcW w:w="4346" w:type="dxa"/>
            <w:tcBorders>
              <w:top w:val="single" w:sz="8" w:space="0" w:color="auto"/>
              <w:left w:val="nil"/>
              <w:bottom w:val="single" w:sz="8" w:space="0" w:color="auto"/>
            </w:tcBorders>
            <w:shd w:val="clear" w:color="auto" w:fill="auto"/>
            <w:noWrap/>
            <w:vAlign w:val="center"/>
            <w:hideMark/>
          </w:tcPr>
          <w:p w14:paraId="1D0AD24A" w14:textId="77777777" w:rsidR="00F86B98" w:rsidRPr="00F86B98" w:rsidRDefault="00F86B98" w:rsidP="0015273C">
            <w:pPr>
              <w:spacing w:after="0" w:line="240" w:lineRule="auto"/>
              <w:rPr>
                <w:rFonts w:ascii="Arial Narrow" w:eastAsia="Times New Roman" w:hAnsi="Arial Narrow" w:cs="Arial"/>
                <w:b/>
                <w:bCs/>
                <w:sz w:val="16"/>
                <w:szCs w:val="16"/>
                <w:lang w:eastAsia="pt-BR"/>
              </w:rPr>
            </w:pPr>
            <w:r w:rsidRPr="00F86B98">
              <w:rPr>
                <w:rFonts w:ascii="Arial Narrow" w:eastAsia="Times New Roman" w:hAnsi="Arial Narrow" w:cs="Arial"/>
                <w:b/>
                <w:bCs/>
                <w:sz w:val="16"/>
                <w:szCs w:val="16"/>
                <w:lang w:eastAsia="pt-BR"/>
              </w:rPr>
              <w:t>Total das Variações Patrimonais Diminutivas (II)</w:t>
            </w:r>
          </w:p>
        </w:tc>
        <w:tc>
          <w:tcPr>
            <w:tcW w:w="846" w:type="dxa"/>
            <w:tcBorders>
              <w:top w:val="single" w:sz="8" w:space="0" w:color="auto"/>
              <w:bottom w:val="single" w:sz="8" w:space="0" w:color="auto"/>
              <w:right w:val="single" w:sz="8" w:space="0" w:color="auto"/>
            </w:tcBorders>
            <w:shd w:val="clear" w:color="auto" w:fill="auto"/>
            <w:noWrap/>
            <w:vAlign w:val="center"/>
          </w:tcPr>
          <w:p w14:paraId="43321CAD" w14:textId="77777777" w:rsidR="00F86B98" w:rsidRPr="00F86B98" w:rsidRDefault="00F86B98" w:rsidP="0015273C">
            <w:pPr>
              <w:spacing w:after="0" w:line="240" w:lineRule="auto"/>
              <w:jc w:val="center"/>
              <w:rPr>
                <w:rFonts w:ascii="Arial Narrow" w:eastAsia="Times New Roman" w:hAnsi="Arial Narrow" w:cs="Arial"/>
                <w:b/>
                <w:bCs/>
                <w:sz w:val="16"/>
                <w:szCs w:val="16"/>
                <w:lang w:eastAsia="pt-BR"/>
              </w:rPr>
            </w:pPr>
          </w:p>
        </w:tc>
        <w:tc>
          <w:tcPr>
            <w:tcW w:w="1045" w:type="dxa"/>
            <w:tcBorders>
              <w:top w:val="single" w:sz="8" w:space="0" w:color="auto"/>
              <w:left w:val="nil"/>
              <w:bottom w:val="single" w:sz="8" w:space="0" w:color="auto"/>
              <w:right w:val="single" w:sz="8" w:space="0" w:color="auto"/>
            </w:tcBorders>
            <w:shd w:val="clear" w:color="auto" w:fill="auto"/>
            <w:noWrap/>
            <w:vAlign w:val="center"/>
            <w:hideMark/>
          </w:tcPr>
          <w:p w14:paraId="7482F0BC" w14:textId="77777777" w:rsidR="00F86B98" w:rsidRPr="00F86B98" w:rsidRDefault="00F86B98" w:rsidP="0015273C">
            <w:pPr>
              <w:spacing w:after="0" w:line="240" w:lineRule="auto"/>
              <w:jc w:val="center"/>
              <w:rPr>
                <w:rFonts w:ascii="Arial Narrow" w:eastAsia="Times New Roman" w:hAnsi="Arial Narrow" w:cs="Arial"/>
                <w:b/>
                <w:bCs/>
                <w:sz w:val="16"/>
                <w:szCs w:val="16"/>
                <w:lang w:eastAsia="pt-BR"/>
              </w:rPr>
            </w:pPr>
            <w:r w:rsidRPr="00F86B98">
              <w:rPr>
                <w:rFonts w:ascii="Arial Narrow" w:eastAsia="Times New Roman" w:hAnsi="Arial Narrow" w:cs="Arial"/>
                <w:b/>
                <w:bCs/>
                <w:sz w:val="16"/>
                <w:szCs w:val="16"/>
                <w:lang w:eastAsia="pt-BR"/>
              </w:rPr>
              <w:t>DVP.H061</w:t>
            </w:r>
          </w:p>
        </w:tc>
        <w:tc>
          <w:tcPr>
            <w:tcW w:w="1120" w:type="dxa"/>
            <w:tcBorders>
              <w:top w:val="single" w:sz="8" w:space="0" w:color="auto"/>
              <w:left w:val="nil"/>
              <w:bottom w:val="single" w:sz="4" w:space="0" w:color="auto"/>
              <w:right w:val="single" w:sz="8" w:space="0" w:color="auto"/>
            </w:tcBorders>
            <w:shd w:val="clear" w:color="auto" w:fill="auto"/>
            <w:noWrap/>
            <w:vAlign w:val="center"/>
            <w:hideMark/>
          </w:tcPr>
          <w:p w14:paraId="5E5A5EF8" w14:textId="77777777" w:rsidR="00F86B98" w:rsidRPr="00F86B98" w:rsidRDefault="00F86B98" w:rsidP="0015273C">
            <w:pPr>
              <w:spacing w:after="0" w:line="240" w:lineRule="auto"/>
              <w:jc w:val="center"/>
              <w:rPr>
                <w:rFonts w:ascii="Arial Narrow" w:eastAsia="Times New Roman" w:hAnsi="Arial Narrow" w:cs="Arial"/>
                <w:b/>
                <w:bCs/>
                <w:sz w:val="16"/>
                <w:szCs w:val="16"/>
                <w:lang w:eastAsia="pt-BR"/>
              </w:rPr>
            </w:pPr>
            <w:r w:rsidRPr="00F86B98">
              <w:rPr>
                <w:rFonts w:ascii="Arial Narrow" w:eastAsia="Times New Roman" w:hAnsi="Arial Narrow" w:cs="Arial"/>
                <w:b/>
                <w:bCs/>
                <w:sz w:val="16"/>
                <w:szCs w:val="16"/>
                <w:lang w:eastAsia="pt-BR"/>
              </w:rPr>
              <w:t>DVP.I061</w:t>
            </w:r>
          </w:p>
        </w:tc>
      </w:tr>
      <w:tr w:rsidR="00F86B98" w:rsidRPr="00F86B98" w14:paraId="39FAD5D8" w14:textId="77777777" w:rsidTr="0015273C">
        <w:trPr>
          <w:trHeight w:val="270"/>
        </w:trPr>
        <w:tc>
          <w:tcPr>
            <w:tcW w:w="11874" w:type="dxa"/>
            <w:gridSpan w:val="5"/>
            <w:tcBorders>
              <w:top w:val="single" w:sz="8" w:space="0" w:color="auto"/>
              <w:left w:val="single" w:sz="8" w:space="0" w:color="auto"/>
              <w:bottom w:val="single" w:sz="8" w:space="0" w:color="auto"/>
            </w:tcBorders>
            <w:shd w:val="clear" w:color="000000" w:fill="auto"/>
            <w:noWrap/>
            <w:vAlign w:val="center"/>
            <w:hideMark/>
          </w:tcPr>
          <w:p w14:paraId="5BA553C4" w14:textId="77777777" w:rsidR="00F86B98" w:rsidRPr="00F86B98" w:rsidRDefault="00F86B98" w:rsidP="0015273C">
            <w:pPr>
              <w:spacing w:after="0" w:line="240" w:lineRule="auto"/>
              <w:rPr>
                <w:rFonts w:ascii="Arial Narrow" w:eastAsia="Times New Roman" w:hAnsi="Arial Narrow" w:cs="Arial"/>
                <w:b/>
                <w:bCs/>
                <w:sz w:val="16"/>
                <w:szCs w:val="16"/>
                <w:lang w:eastAsia="pt-BR"/>
              </w:rPr>
            </w:pPr>
            <w:r w:rsidRPr="00F86B98">
              <w:rPr>
                <w:rFonts w:ascii="Arial Narrow" w:eastAsia="Times New Roman" w:hAnsi="Arial Narrow" w:cs="Arial"/>
                <w:b/>
                <w:bCs/>
                <w:sz w:val="16"/>
                <w:szCs w:val="16"/>
                <w:lang w:eastAsia="pt-BR"/>
              </w:rPr>
              <w:t>Resultado Patrimonial do Período III = I - II</w:t>
            </w:r>
          </w:p>
        </w:tc>
        <w:tc>
          <w:tcPr>
            <w:tcW w:w="846" w:type="dxa"/>
            <w:tcBorders>
              <w:top w:val="nil"/>
              <w:bottom w:val="single" w:sz="8" w:space="0" w:color="auto"/>
              <w:right w:val="nil"/>
            </w:tcBorders>
            <w:shd w:val="clear" w:color="000000" w:fill="auto"/>
            <w:noWrap/>
            <w:vAlign w:val="center"/>
          </w:tcPr>
          <w:p w14:paraId="708B60CA" w14:textId="77777777" w:rsidR="00F86B98" w:rsidRPr="00F86B98" w:rsidRDefault="00F86B98" w:rsidP="0015273C">
            <w:pPr>
              <w:spacing w:after="0" w:line="240" w:lineRule="auto"/>
              <w:jc w:val="center"/>
              <w:rPr>
                <w:rFonts w:ascii="Arial Narrow" w:eastAsia="Times New Roman" w:hAnsi="Arial Narrow" w:cs="Arial"/>
                <w:b/>
                <w:bCs/>
                <w:sz w:val="16"/>
                <w:szCs w:val="16"/>
                <w:lang w:eastAsia="pt-BR"/>
              </w:rPr>
            </w:pPr>
          </w:p>
        </w:tc>
        <w:tc>
          <w:tcPr>
            <w:tcW w:w="1045" w:type="dxa"/>
            <w:tcBorders>
              <w:top w:val="nil"/>
              <w:left w:val="single" w:sz="8" w:space="0" w:color="auto"/>
              <w:bottom w:val="single" w:sz="8" w:space="0" w:color="auto"/>
              <w:right w:val="single" w:sz="4" w:space="0" w:color="auto"/>
            </w:tcBorders>
            <w:shd w:val="clear" w:color="000000" w:fill="auto"/>
            <w:noWrap/>
            <w:vAlign w:val="center"/>
            <w:hideMark/>
          </w:tcPr>
          <w:p w14:paraId="2E0D1660" w14:textId="77777777" w:rsidR="00F86B98" w:rsidRPr="00F86B98" w:rsidRDefault="00F86B98" w:rsidP="0015273C">
            <w:pPr>
              <w:spacing w:after="0" w:line="240" w:lineRule="auto"/>
              <w:jc w:val="center"/>
              <w:rPr>
                <w:rFonts w:ascii="Arial Narrow" w:eastAsia="Times New Roman" w:hAnsi="Arial Narrow" w:cs="Arial"/>
                <w:b/>
                <w:bCs/>
                <w:sz w:val="16"/>
                <w:szCs w:val="16"/>
                <w:lang w:eastAsia="pt-BR"/>
              </w:rPr>
            </w:pPr>
            <w:r w:rsidRPr="00F86B98">
              <w:rPr>
                <w:rFonts w:ascii="Arial Narrow" w:eastAsia="Times New Roman" w:hAnsi="Arial Narrow" w:cs="Arial"/>
                <w:b/>
                <w:bCs/>
                <w:sz w:val="16"/>
                <w:szCs w:val="16"/>
                <w:lang w:eastAsia="pt-BR"/>
              </w:rPr>
              <w:t>DVP.H062</w:t>
            </w:r>
          </w:p>
        </w:tc>
        <w:tc>
          <w:tcPr>
            <w:tcW w:w="1120" w:type="dxa"/>
            <w:tcBorders>
              <w:top w:val="single" w:sz="4" w:space="0" w:color="auto"/>
              <w:left w:val="single" w:sz="4" w:space="0" w:color="auto"/>
              <w:bottom w:val="single" w:sz="4" w:space="0" w:color="auto"/>
              <w:right w:val="single" w:sz="4" w:space="0" w:color="auto"/>
            </w:tcBorders>
            <w:shd w:val="clear" w:color="000000" w:fill="auto"/>
            <w:noWrap/>
            <w:vAlign w:val="center"/>
            <w:hideMark/>
          </w:tcPr>
          <w:p w14:paraId="4720376B" w14:textId="77777777" w:rsidR="00F86B98" w:rsidRPr="00F86B98" w:rsidRDefault="00F86B98" w:rsidP="0015273C">
            <w:pPr>
              <w:spacing w:after="0" w:line="240" w:lineRule="auto"/>
              <w:jc w:val="center"/>
              <w:rPr>
                <w:rFonts w:ascii="Arial Narrow" w:eastAsia="Times New Roman" w:hAnsi="Arial Narrow" w:cs="Arial"/>
                <w:b/>
                <w:bCs/>
                <w:sz w:val="16"/>
                <w:szCs w:val="16"/>
                <w:lang w:eastAsia="pt-BR"/>
              </w:rPr>
            </w:pPr>
            <w:r w:rsidRPr="00F86B98">
              <w:rPr>
                <w:rFonts w:ascii="Arial Narrow" w:eastAsia="Times New Roman" w:hAnsi="Arial Narrow" w:cs="Arial"/>
                <w:b/>
                <w:bCs/>
                <w:sz w:val="16"/>
                <w:szCs w:val="16"/>
                <w:lang w:eastAsia="pt-BR"/>
              </w:rPr>
              <w:t>DVP.I062</w:t>
            </w:r>
          </w:p>
        </w:tc>
      </w:tr>
    </w:tbl>
    <w:p w14:paraId="3C8BF9D9" w14:textId="77777777" w:rsidR="00F86B98" w:rsidRDefault="00F86B98" w:rsidP="003F0939">
      <w:pPr>
        <w:spacing w:after="0" w:line="360" w:lineRule="auto"/>
        <w:jc w:val="both"/>
        <w:rPr>
          <w:rFonts w:ascii="Arial" w:hAnsi="Arial"/>
          <w:b/>
          <w:sz w:val="20"/>
          <w:szCs w:val="20"/>
        </w:rPr>
      </w:pPr>
    </w:p>
    <w:p w14:paraId="3B165F06" w14:textId="194E7588" w:rsidR="003F0939" w:rsidRPr="0018202E" w:rsidRDefault="003F0939" w:rsidP="003F0939">
      <w:pPr>
        <w:spacing w:after="0" w:line="360" w:lineRule="auto"/>
        <w:jc w:val="both"/>
        <w:rPr>
          <w:rFonts w:ascii="Arial" w:hAnsi="Arial"/>
          <w:b/>
          <w:sz w:val="20"/>
          <w:szCs w:val="20"/>
        </w:rPr>
      </w:pPr>
      <w:r w:rsidRPr="0018202E">
        <w:rPr>
          <w:rFonts w:ascii="Arial" w:hAnsi="Arial"/>
          <w:b/>
          <w:sz w:val="20"/>
          <w:szCs w:val="20"/>
        </w:rPr>
        <w:t>Observações:</w:t>
      </w:r>
    </w:p>
    <w:p w14:paraId="64484A96" w14:textId="77777777" w:rsidR="003F0939" w:rsidRPr="0018202E" w:rsidRDefault="003F0939" w:rsidP="003F0939">
      <w:pPr>
        <w:jc w:val="both"/>
        <w:rPr>
          <w:rFonts w:ascii="Arial" w:hAnsi="Arial"/>
          <w:sz w:val="20"/>
          <w:szCs w:val="20"/>
        </w:rPr>
      </w:pPr>
      <w:r w:rsidRPr="0018202E">
        <w:rPr>
          <w:rFonts w:ascii="Arial" w:hAnsi="Arial"/>
          <w:sz w:val="20"/>
          <w:szCs w:val="20"/>
        </w:rPr>
        <w:t>1. A elaboração do Demonstrativo das Variações Patrimoniais seguirá a metodologia especificada na IPC 05 (Instruções de Procedimentos Contábeis - STN) observada à classificação das contas contábeis pertencentes ao Plano de Contas do TCEES (CidadES).</w:t>
      </w:r>
    </w:p>
    <w:p w14:paraId="078EA3C3" w14:textId="5FFEDADD" w:rsidR="00DB5572" w:rsidRDefault="003F0939" w:rsidP="000376FB">
      <w:pPr>
        <w:jc w:val="both"/>
        <w:rPr>
          <w:rFonts w:ascii="Arial" w:hAnsi="Arial"/>
          <w:sz w:val="20"/>
          <w:szCs w:val="20"/>
        </w:rPr>
      </w:pPr>
      <w:r w:rsidRPr="0018202E">
        <w:rPr>
          <w:rFonts w:ascii="Arial" w:hAnsi="Arial"/>
          <w:sz w:val="20"/>
          <w:szCs w:val="20"/>
        </w:rPr>
        <w:lastRenderedPageBreak/>
        <w:t>2. Os campos DVP.H062 e DVP.I062 admitem valores negativos.</w:t>
      </w:r>
    </w:p>
    <w:p w14:paraId="4F1F348A" w14:textId="77777777" w:rsidR="00F86B98" w:rsidRPr="0018202E" w:rsidRDefault="00F86B98" w:rsidP="000376FB">
      <w:pPr>
        <w:jc w:val="both"/>
        <w:rPr>
          <w:rFonts w:ascii="Arial" w:eastAsia="Times New Roman" w:hAnsi="Arial" w:cs="Arial"/>
          <w:b/>
          <w:bCs/>
          <w:sz w:val="20"/>
          <w:szCs w:val="20"/>
          <w:lang w:eastAsia="pt-BR"/>
        </w:rPr>
      </w:pPr>
    </w:p>
    <w:p w14:paraId="062D172E" w14:textId="77777777" w:rsidR="00DB5572" w:rsidRDefault="00DB5572" w:rsidP="00DB5572">
      <w:pPr>
        <w:spacing w:after="0" w:line="240" w:lineRule="auto"/>
        <w:jc w:val="center"/>
        <w:rPr>
          <w:rFonts w:ascii="Arial" w:eastAsia="Times New Roman" w:hAnsi="Arial" w:cs="Arial"/>
          <w:b/>
          <w:bCs/>
          <w:sz w:val="20"/>
          <w:szCs w:val="20"/>
          <w:lang w:eastAsia="pt-BR"/>
        </w:rPr>
      </w:pPr>
      <w:r w:rsidRPr="00FA1F55">
        <w:rPr>
          <w:rFonts w:ascii="Arial" w:eastAsia="Times New Roman" w:hAnsi="Arial" w:cs="Arial"/>
          <w:b/>
          <w:bCs/>
          <w:sz w:val="20"/>
          <w:szCs w:val="20"/>
          <w:lang w:eastAsia="pt-BR"/>
        </w:rPr>
        <w:t>TABELA 3 - DEMONSTRAÇÃO DAS VARIAÇÕES PATRIMONIAIS (Anexo 15 - Lei º 4.320/64)</w:t>
      </w:r>
    </w:p>
    <w:p w14:paraId="0ADF010D" w14:textId="77777777" w:rsidR="00DB5572" w:rsidRPr="00DB5572" w:rsidRDefault="00DB5572" w:rsidP="00DB5572">
      <w:pPr>
        <w:spacing w:after="0" w:line="240" w:lineRule="auto"/>
        <w:jc w:val="center"/>
        <w:rPr>
          <w:rFonts w:ascii="Arial" w:eastAsia="Times New Roman" w:hAnsi="Arial" w:cs="Arial"/>
          <w:b/>
          <w:bCs/>
          <w:sz w:val="20"/>
          <w:szCs w:val="20"/>
          <w:lang w:eastAsia="pt-BR"/>
        </w:rPr>
      </w:pPr>
      <w:r w:rsidRPr="00DB5572">
        <w:rPr>
          <w:rFonts w:ascii="Arial" w:eastAsia="Times New Roman" w:hAnsi="Arial" w:cs="Arial"/>
          <w:b/>
          <w:bCs/>
          <w:sz w:val="20"/>
          <w:szCs w:val="20"/>
          <w:lang w:eastAsia="pt-BR"/>
        </w:rPr>
        <w:t>ESTADO</w:t>
      </w:r>
    </w:p>
    <w:p w14:paraId="28381230" w14:textId="77777777" w:rsidR="00DB5572" w:rsidRPr="00DB5572" w:rsidRDefault="00DB5572" w:rsidP="00DB5572">
      <w:pPr>
        <w:tabs>
          <w:tab w:val="left" w:pos="13551"/>
        </w:tabs>
        <w:spacing w:after="0" w:line="240" w:lineRule="auto"/>
        <w:ind w:left="-214"/>
        <w:rPr>
          <w:rFonts w:ascii="Arial Narrow" w:eastAsia="Times New Roman" w:hAnsi="Arial Narrow" w:cs="Arial"/>
          <w:b/>
          <w:bCs/>
          <w:sz w:val="14"/>
          <w:szCs w:val="14"/>
          <w:lang w:eastAsia="pt-BR"/>
        </w:rPr>
      </w:pPr>
      <w:r w:rsidRPr="00DB5572">
        <w:rPr>
          <w:rFonts w:ascii="Arial Narrow" w:eastAsia="Times New Roman" w:hAnsi="Arial Narrow" w:cs="Arial"/>
          <w:b/>
          <w:bCs/>
          <w:sz w:val="20"/>
          <w:szCs w:val="20"/>
          <w:lang w:eastAsia="pt-BR"/>
        </w:rPr>
        <w:tab/>
      </w:r>
    </w:p>
    <w:p w14:paraId="4C581DFB" w14:textId="29080F7E" w:rsidR="00F31CC6" w:rsidRDefault="00F31CC6" w:rsidP="00F31CC6">
      <w:pPr>
        <w:spacing w:after="0" w:line="240" w:lineRule="auto"/>
        <w:rPr>
          <w:rFonts w:ascii="Arial" w:hAnsi="Arial"/>
          <w:b/>
          <w:sz w:val="16"/>
          <w:szCs w:val="16"/>
        </w:rPr>
      </w:pPr>
    </w:p>
    <w:tbl>
      <w:tblPr>
        <w:tblW w:w="14885" w:type="dxa"/>
        <w:tblInd w:w="-214" w:type="dxa"/>
        <w:tblCellMar>
          <w:left w:w="70" w:type="dxa"/>
          <w:right w:w="70" w:type="dxa"/>
        </w:tblCellMar>
        <w:tblLook w:val="04A0" w:firstRow="1" w:lastRow="0" w:firstColumn="1" w:lastColumn="0" w:noHBand="0" w:noVBand="1"/>
      </w:tblPr>
      <w:tblGrid>
        <w:gridCol w:w="4410"/>
        <w:gridCol w:w="835"/>
        <w:gridCol w:w="1149"/>
        <w:gridCol w:w="1134"/>
        <w:gridCol w:w="4346"/>
        <w:gridCol w:w="846"/>
        <w:gridCol w:w="1045"/>
        <w:gridCol w:w="1120"/>
      </w:tblGrid>
      <w:tr w:rsidR="004D5330" w:rsidRPr="004D5330" w14:paraId="48BC9107" w14:textId="77777777" w:rsidTr="0015273C">
        <w:trPr>
          <w:trHeight w:val="345"/>
        </w:trPr>
        <w:tc>
          <w:tcPr>
            <w:tcW w:w="14885" w:type="dxa"/>
            <w:gridSpan w:val="8"/>
            <w:tcBorders>
              <w:top w:val="single" w:sz="8" w:space="0" w:color="auto"/>
              <w:left w:val="single" w:sz="8" w:space="0" w:color="auto"/>
              <w:bottom w:val="single" w:sz="8" w:space="0" w:color="auto"/>
              <w:right w:val="single" w:sz="8" w:space="0" w:color="000000"/>
            </w:tcBorders>
            <w:shd w:val="clear" w:color="000000" w:fill="F2F2F2"/>
            <w:noWrap/>
            <w:vAlign w:val="center"/>
            <w:hideMark/>
          </w:tcPr>
          <w:p w14:paraId="1B7DEB67" w14:textId="77777777" w:rsidR="004D5330" w:rsidRPr="004D5330" w:rsidRDefault="004D5330" w:rsidP="0015273C">
            <w:pPr>
              <w:spacing w:after="0" w:line="240" w:lineRule="auto"/>
              <w:jc w:val="center"/>
              <w:rPr>
                <w:rFonts w:ascii="Arial Narrow" w:eastAsia="Times New Roman" w:hAnsi="Arial Narrow" w:cs="Arial"/>
                <w:b/>
                <w:bCs/>
                <w:lang w:eastAsia="pt-BR"/>
              </w:rPr>
            </w:pPr>
            <w:r w:rsidRPr="004D5330">
              <w:rPr>
                <w:rFonts w:ascii="Arial Narrow" w:eastAsia="Times New Roman" w:hAnsi="Arial Narrow" w:cs="Arial"/>
                <w:b/>
                <w:bCs/>
                <w:lang w:eastAsia="pt-BR"/>
              </w:rPr>
              <w:t>VARIAÇÕES PATRIMONIAIS QUANTITATIVAS</w:t>
            </w:r>
          </w:p>
        </w:tc>
      </w:tr>
      <w:tr w:rsidR="004D5330" w:rsidRPr="004D5330" w14:paraId="6EF0E8E4" w14:textId="77777777" w:rsidTr="0015273C">
        <w:trPr>
          <w:trHeight w:val="345"/>
        </w:trPr>
        <w:tc>
          <w:tcPr>
            <w:tcW w:w="4410" w:type="dxa"/>
            <w:tcBorders>
              <w:top w:val="nil"/>
              <w:left w:val="single" w:sz="8" w:space="0" w:color="auto"/>
              <w:bottom w:val="single" w:sz="8" w:space="0" w:color="auto"/>
            </w:tcBorders>
            <w:shd w:val="clear" w:color="000000" w:fill="F2F2F2"/>
            <w:noWrap/>
            <w:vAlign w:val="center"/>
            <w:hideMark/>
          </w:tcPr>
          <w:p w14:paraId="0514A5BE" w14:textId="77777777" w:rsidR="004D5330" w:rsidRPr="004D5330" w:rsidRDefault="004D5330" w:rsidP="0015273C">
            <w:pPr>
              <w:spacing w:after="0" w:line="240" w:lineRule="auto"/>
              <w:jc w:val="center"/>
              <w:rPr>
                <w:rFonts w:ascii="Arial Narrow" w:eastAsia="Times New Roman" w:hAnsi="Arial Narrow" w:cs="Arial"/>
                <w:b/>
                <w:bCs/>
                <w:lang w:eastAsia="pt-BR"/>
              </w:rPr>
            </w:pPr>
            <w:r w:rsidRPr="004D5330">
              <w:rPr>
                <w:rFonts w:ascii="Arial Narrow" w:eastAsia="Times New Roman" w:hAnsi="Arial Narrow" w:cs="Arial"/>
                <w:b/>
                <w:bCs/>
                <w:lang w:eastAsia="pt-BR"/>
              </w:rPr>
              <w:t>VARIAÇÕES PATRIMONIAIS AUMENTATIVAS</w:t>
            </w:r>
          </w:p>
        </w:tc>
        <w:tc>
          <w:tcPr>
            <w:tcW w:w="835" w:type="dxa"/>
            <w:tcBorders>
              <w:top w:val="nil"/>
              <w:bottom w:val="single" w:sz="8" w:space="0" w:color="auto"/>
              <w:right w:val="single" w:sz="8" w:space="0" w:color="auto"/>
            </w:tcBorders>
            <w:shd w:val="clear" w:color="000000" w:fill="F2F2F2"/>
            <w:noWrap/>
            <w:vAlign w:val="center"/>
          </w:tcPr>
          <w:p w14:paraId="04272898" w14:textId="77777777" w:rsidR="004D5330" w:rsidRPr="004D5330" w:rsidRDefault="004D5330" w:rsidP="0015273C">
            <w:pPr>
              <w:spacing w:after="0" w:line="240" w:lineRule="auto"/>
              <w:jc w:val="center"/>
              <w:rPr>
                <w:rFonts w:ascii="Arial Narrow" w:eastAsia="Times New Roman" w:hAnsi="Arial Narrow" w:cs="Arial"/>
                <w:b/>
                <w:bCs/>
                <w:lang w:eastAsia="pt-BR"/>
              </w:rPr>
            </w:pPr>
          </w:p>
        </w:tc>
        <w:tc>
          <w:tcPr>
            <w:tcW w:w="1149" w:type="dxa"/>
            <w:tcBorders>
              <w:top w:val="nil"/>
              <w:left w:val="nil"/>
              <w:bottom w:val="single" w:sz="8" w:space="0" w:color="auto"/>
              <w:right w:val="single" w:sz="8" w:space="0" w:color="auto"/>
            </w:tcBorders>
            <w:shd w:val="clear" w:color="000000" w:fill="F2F2F2"/>
            <w:noWrap/>
            <w:vAlign w:val="center"/>
            <w:hideMark/>
          </w:tcPr>
          <w:p w14:paraId="6D4CF607" w14:textId="77777777" w:rsidR="004D5330" w:rsidRPr="004D5330" w:rsidRDefault="004D5330" w:rsidP="0015273C">
            <w:pPr>
              <w:spacing w:after="0" w:line="240" w:lineRule="auto"/>
              <w:jc w:val="center"/>
              <w:rPr>
                <w:rFonts w:ascii="Arial Narrow" w:eastAsia="Times New Roman" w:hAnsi="Arial Narrow" w:cs="Arial"/>
                <w:b/>
                <w:bCs/>
                <w:lang w:eastAsia="pt-BR"/>
              </w:rPr>
            </w:pPr>
            <w:r w:rsidRPr="004D5330">
              <w:rPr>
                <w:rFonts w:ascii="Arial Narrow" w:eastAsia="Times New Roman" w:hAnsi="Arial Narrow" w:cs="Arial"/>
                <w:b/>
                <w:bCs/>
                <w:lang w:eastAsia="pt-BR"/>
              </w:rPr>
              <w:t>Exercício Atual</w:t>
            </w:r>
          </w:p>
        </w:tc>
        <w:tc>
          <w:tcPr>
            <w:tcW w:w="1134" w:type="dxa"/>
            <w:tcBorders>
              <w:top w:val="nil"/>
              <w:left w:val="nil"/>
              <w:bottom w:val="single" w:sz="8" w:space="0" w:color="auto"/>
              <w:right w:val="single" w:sz="8" w:space="0" w:color="auto"/>
            </w:tcBorders>
            <w:shd w:val="clear" w:color="000000" w:fill="F2F2F2"/>
            <w:noWrap/>
            <w:vAlign w:val="center"/>
            <w:hideMark/>
          </w:tcPr>
          <w:p w14:paraId="3C876E31" w14:textId="77777777" w:rsidR="004D5330" w:rsidRPr="004D5330" w:rsidRDefault="004D5330" w:rsidP="0015273C">
            <w:pPr>
              <w:spacing w:after="0" w:line="240" w:lineRule="auto"/>
              <w:jc w:val="center"/>
              <w:rPr>
                <w:rFonts w:ascii="Arial Narrow" w:eastAsia="Times New Roman" w:hAnsi="Arial Narrow" w:cs="Arial"/>
                <w:b/>
                <w:bCs/>
                <w:lang w:eastAsia="pt-BR"/>
              </w:rPr>
            </w:pPr>
            <w:r w:rsidRPr="004D5330">
              <w:rPr>
                <w:rFonts w:ascii="Arial Narrow" w:eastAsia="Times New Roman" w:hAnsi="Arial Narrow" w:cs="Arial"/>
                <w:b/>
                <w:bCs/>
                <w:lang w:eastAsia="pt-BR"/>
              </w:rPr>
              <w:t>Exercício Anterior</w:t>
            </w:r>
          </w:p>
        </w:tc>
        <w:tc>
          <w:tcPr>
            <w:tcW w:w="4346" w:type="dxa"/>
            <w:tcBorders>
              <w:top w:val="nil"/>
              <w:left w:val="nil"/>
              <w:bottom w:val="single" w:sz="8" w:space="0" w:color="auto"/>
            </w:tcBorders>
            <w:shd w:val="clear" w:color="000000" w:fill="F2F2F2"/>
            <w:noWrap/>
            <w:vAlign w:val="center"/>
            <w:hideMark/>
          </w:tcPr>
          <w:p w14:paraId="329B2D30" w14:textId="77777777" w:rsidR="004D5330" w:rsidRPr="004D5330" w:rsidRDefault="004D5330" w:rsidP="0015273C">
            <w:pPr>
              <w:spacing w:after="0" w:line="240" w:lineRule="auto"/>
              <w:jc w:val="center"/>
              <w:rPr>
                <w:rFonts w:ascii="Arial Narrow" w:eastAsia="Times New Roman" w:hAnsi="Arial Narrow" w:cs="Arial"/>
                <w:b/>
                <w:bCs/>
                <w:lang w:eastAsia="pt-BR"/>
              </w:rPr>
            </w:pPr>
            <w:r w:rsidRPr="004D5330">
              <w:rPr>
                <w:rFonts w:ascii="Arial Narrow" w:eastAsia="Times New Roman" w:hAnsi="Arial Narrow" w:cs="Arial"/>
                <w:b/>
                <w:bCs/>
                <w:lang w:eastAsia="pt-BR"/>
              </w:rPr>
              <w:t>VARIAÇÕES PATRIMONIAIS DIMINUTIVAS</w:t>
            </w:r>
          </w:p>
        </w:tc>
        <w:tc>
          <w:tcPr>
            <w:tcW w:w="846" w:type="dxa"/>
            <w:tcBorders>
              <w:top w:val="nil"/>
              <w:bottom w:val="single" w:sz="8" w:space="0" w:color="auto"/>
              <w:right w:val="single" w:sz="8" w:space="0" w:color="auto"/>
            </w:tcBorders>
            <w:shd w:val="clear" w:color="000000" w:fill="F2F2F2"/>
            <w:noWrap/>
            <w:vAlign w:val="center"/>
          </w:tcPr>
          <w:p w14:paraId="062146AF" w14:textId="77777777" w:rsidR="004D5330" w:rsidRPr="004D5330" w:rsidRDefault="004D5330" w:rsidP="0015273C">
            <w:pPr>
              <w:spacing w:after="0" w:line="240" w:lineRule="auto"/>
              <w:jc w:val="center"/>
              <w:rPr>
                <w:rFonts w:ascii="Arial Narrow" w:eastAsia="Times New Roman" w:hAnsi="Arial Narrow" w:cs="Arial"/>
                <w:b/>
                <w:bCs/>
                <w:lang w:eastAsia="pt-BR"/>
              </w:rPr>
            </w:pPr>
          </w:p>
        </w:tc>
        <w:tc>
          <w:tcPr>
            <w:tcW w:w="1045" w:type="dxa"/>
            <w:tcBorders>
              <w:top w:val="nil"/>
              <w:left w:val="nil"/>
              <w:bottom w:val="single" w:sz="8" w:space="0" w:color="auto"/>
              <w:right w:val="single" w:sz="8" w:space="0" w:color="auto"/>
            </w:tcBorders>
            <w:shd w:val="clear" w:color="000000" w:fill="F2F2F2"/>
            <w:noWrap/>
            <w:vAlign w:val="center"/>
            <w:hideMark/>
          </w:tcPr>
          <w:p w14:paraId="45A15C8C" w14:textId="77777777" w:rsidR="004D5330" w:rsidRPr="004D5330" w:rsidRDefault="004D5330" w:rsidP="0015273C">
            <w:pPr>
              <w:spacing w:after="0" w:line="240" w:lineRule="auto"/>
              <w:jc w:val="center"/>
              <w:rPr>
                <w:rFonts w:ascii="Arial Narrow" w:eastAsia="Times New Roman" w:hAnsi="Arial Narrow" w:cs="Arial"/>
                <w:b/>
                <w:bCs/>
                <w:lang w:eastAsia="pt-BR"/>
              </w:rPr>
            </w:pPr>
            <w:r w:rsidRPr="004D5330">
              <w:rPr>
                <w:rFonts w:ascii="Arial Narrow" w:eastAsia="Times New Roman" w:hAnsi="Arial Narrow" w:cs="Arial"/>
                <w:b/>
                <w:bCs/>
                <w:lang w:eastAsia="pt-BR"/>
              </w:rPr>
              <w:t>Exercício Atual</w:t>
            </w:r>
          </w:p>
        </w:tc>
        <w:tc>
          <w:tcPr>
            <w:tcW w:w="1120" w:type="dxa"/>
            <w:tcBorders>
              <w:top w:val="nil"/>
              <w:left w:val="nil"/>
              <w:bottom w:val="single" w:sz="8" w:space="0" w:color="auto"/>
              <w:right w:val="single" w:sz="8" w:space="0" w:color="auto"/>
            </w:tcBorders>
            <w:shd w:val="clear" w:color="000000" w:fill="F2F2F2"/>
            <w:noWrap/>
            <w:vAlign w:val="center"/>
            <w:hideMark/>
          </w:tcPr>
          <w:p w14:paraId="5A6850CF" w14:textId="77777777" w:rsidR="004D5330" w:rsidRPr="004D5330" w:rsidRDefault="004D5330" w:rsidP="0015273C">
            <w:pPr>
              <w:spacing w:after="0" w:line="240" w:lineRule="auto"/>
              <w:jc w:val="center"/>
              <w:rPr>
                <w:rFonts w:ascii="Arial Narrow" w:eastAsia="Times New Roman" w:hAnsi="Arial Narrow" w:cs="Arial"/>
                <w:b/>
                <w:bCs/>
                <w:lang w:eastAsia="pt-BR"/>
              </w:rPr>
            </w:pPr>
            <w:r w:rsidRPr="004D5330">
              <w:rPr>
                <w:rFonts w:ascii="Arial Narrow" w:eastAsia="Times New Roman" w:hAnsi="Arial Narrow" w:cs="Arial"/>
                <w:b/>
                <w:bCs/>
                <w:lang w:eastAsia="pt-BR"/>
              </w:rPr>
              <w:t>Exercício Anterior</w:t>
            </w:r>
          </w:p>
        </w:tc>
      </w:tr>
      <w:tr w:rsidR="004D5330" w:rsidRPr="004D5330" w14:paraId="323D3D51" w14:textId="77777777" w:rsidTr="0015273C">
        <w:trPr>
          <w:trHeight w:val="255"/>
        </w:trPr>
        <w:tc>
          <w:tcPr>
            <w:tcW w:w="4410" w:type="dxa"/>
            <w:tcBorders>
              <w:top w:val="nil"/>
              <w:left w:val="single" w:sz="8" w:space="0" w:color="auto"/>
              <w:bottom w:val="nil"/>
            </w:tcBorders>
            <w:shd w:val="clear" w:color="auto" w:fill="auto"/>
            <w:noWrap/>
            <w:vAlign w:val="center"/>
            <w:hideMark/>
          </w:tcPr>
          <w:p w14:paraId="2B236EE9" w14:textId="77777777" w:rsidR="004D5330" w:rsidRPr="004D5330" w:rsidRDefault="004D5330" w:rsidP="0015273C">
            <w:pPr>
              <w:spacing w:after="0" w:line="240" w:lineRule="auto"/>
              <w:rPr>
                <w:rFonts w:ascii="Arial Narrow" w:eastAsia="Times New Roman" w:hAnsi="Arial Narrow" w:cs="Arial"/>
                <w:b/>
                <w:bCs/>
                <w:sz w:val="16"/>
                <w:szCs w:val="16"/>
                <w:u w:val="single"/>
                <w:lang w:eastAsia="pt-BR"/>
              </w:rPr>
            </w:pPr>
            <w:r w:rsidRPr="004D5330">
              <w:rPr>
                <w:rFonts w:ascii="Arial Narrow" w:eastAsia="Times New Roman" w:hAnsi="Arial Narrow" w:cs="Arial"/>
                <w:b/>
                <w:bCs/>
                <w:sz w:val="16"/>
                <w:szCs w:val="16"/>
                <w:u w:val="single"/>
                <w:lang w:eastAsia="pt-BR"/>
              </w:rPr>
              <w:t>Impostos, Taxas e Contribuições de Melhoria</w:t>
            </w:r>
          </w:p>
        </w:tc>
        <w:tc>
          <w:tcPr>
            <w:tcW w:w="835" w:type="dxa"/>
            <w:tcBorders>
              <w:top w:val="nil"/>
              <w:bottom w:val="nil"/>
              <w:right w:val="single" w:sz="8" w:space="0" w:color="auto"/>
            </w:tcBorders>
            <w:shd w:val="clear" w:color="auto" w:fill="auto"/>
            <w:noWrap/>
            <w:vAlign w:val="center"/>
          </w:tcPr>
          <w:p w14:paraId="0962B2B2" w14:textId="77777777" w:rsidR="004D5330" w:rsidRPr="004D5330" w:rsidRDefault="004D5330" w:rsidP="0015273C">
            <w:pPr>
              <w:spacing w:after="0" w:line="240" w:lineRule="auto"/>
              <w:jc w:val="center"/>
              <w:rPr>
                <w:rFonts w:ascii="Arial Narrow" w:eastAsia="Times New Roman" w:hAnsi="Arial Narrow" w:cs="Arial"/>
                <w:b/>
                <w:bCs/>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2A6E062C" w14:textId="77777777" w:rsidR="004D5330" w:rsidRPr="004D5330" w:rsidRDefault="004D5330" w:rsidP="0015273C">
            <w:pPr>
              <w:spacing w:after="0" w:line="240" w:lineRule="auto"/>
              <w:jc w:val="center"/>
              <w:rPr>
                <w:rFonts w:ascii="Arial Narrow" w:eastAsia="Times New Roman" w:hAnsi="Arial Narrow" w:cs="Arial"/>
                <w:b/>
                <w:bCs/>
                <w:sz w:val="16"/>
                <w:szCs w:val="16"/>
                <w:lang w:eastAsia="pt-BR"/>
              </w:rPr>
            </w:pPr>
            <w:r w:rsidRPr="004D5330">
              <w:rPr>
                <w:rFonts w:ascii="Arial Narrow" w:eastAsia="Times New Roman" w:hAnsi="Arial Narrow" w:cs="Arial"/>
                <w:b/>
                <w:bCs/>
                <w:sz w:val="16"/>
                <w:szCs w:val="16"/>
                <w:lang w:eastAsia="pt-BR"/>
              </w:rPr>
              <w:t>DVP.D009</w:t>
            </w:r>
          </w:p>
        </w:tc>
        <w:tc>
          <w:tcPr>
            <w:tcW w:w="1134" w:type="dxa"/>
            <w:tcBorders>
              <w:top w:val="nil"/>
              <w:left w:val="nil"/>
              <w:bottom w:val="nil"/>
              <w:right w:val="single" w:sz="8" w:space="0" w:color="auto"/>
            </w:tcBorders>
            <w:shd w:val="clear" w:color="auto" w:fill="auto"/>
            <w:noWrap/>
            <w:vAlign w:val="center"/>
            <w:hideMark/>
          </w:tcPr>
          <w:p w14:paraId="59EF7F9A" w14:textId="77777777" w:rsidR="004D5330" w:rsidRPr="004D5330" w:rsidRDefault="004D5330" w:rsidP="0015273C">
            <w:pPr>
              <w:spacing w:after="0" w:line="240" w:lineRule="auto"/>
              <w:jc w:val="center"/>
              <w:rPr>
                <w:rFonts w:ascii="Arial Narrow" w:eastAsia="Times New Roman" w:hAnsi="Arial Narrow" w:cs="Arial"/>
                <w:b/>
                <w:bCs/>
                <w:sz w:val="16"/>
                <w:szCs w:val="16"/>
                <w:lang w:eastAsia="pt-BR"/>
              </w:rPr>
            </w:pPr>
            <w:r w:rsidRPr="004D5330">
              <w:rPr>
                <w:rFonts w:ascii="Arial Narrow" w:eastAsia="Times New Roman" w:hAnsi="Arial Narrow" w:cs="Arial"/>
                <w:b/>
                <w:bCs/>
                <w:sz w:val="16"/>
                <w:szCs w:val="16"/>
                <w:lang w:eastAsia="pt-BR"/>
              </w:rPr>
              <w:t>DVP.E009</w:t>
            </w:r>
          </w:p>
        </w:tc>
        <w:tc>
          <w:tcPr>
            <w:tcW w:w="4346" w:type="dxa"/>
            <w:tcBorders>
              <w:top w:val="nil"/>
              <w:left w:val="nil"/>
              <w:bottom w:val="nil"/>
            </w:tcBorders>
            <w:shd w:val="clear" w:color="auto" w:fill="auto"/>
            <w:noWrap/>
            <w:vAlign w:val="center"/>
            <w:hideMark/>
          </w:tcPr>
          <w:p w14:paraId="53FF2AEF" w14:textId="77777777" w:rsidR="004D5330" w:rsidRPr="004D5330" w:rsidRDefault="004D5330" w:rsidP="0015273C">
            <w:pPr>
              <w:spacing w:after="0" w:line="240" w:lineRule="auto"/>
              <w:rPr>
                <w:rFonts w:ascii="Arial Narrow" w:eastAsia="Times New Roman" w:hAnsi="Arial Narrow" w:cs="Arial"/>
                <w:b/>
                <w:bCs/>
                <w:sz w:val="16"/>
                <w:szCs w:val="16"/>
                <w:u w:val="single"/>
                <w:lang w:eastAsia="pt-BR"/>
              </w:rPr>
            </w:pPr>
            <w:r w:rsidRPr="004D5330">
              <w:rPr>
                <w:rFonts w:ascii="Arial Narrow" w:eastAsia="Times New Roman" w:hAnsi="Arial Narrow" w:cs="Arial"/>
                <w:b/>
                <w:bCs/>
                <w:sz w:val="16"/>
                <w:szCs w:val="16"/>
                <w:u w:val="single"/>
                <w:lang w:eastAsia="pt-BR"/>
              </w:rPr>
              <w:t xml:space="preserve">Pessoal e Encargos </w:t>
            </w:r>
          </w:p>
        </w:tc>
        <w:tc>
          <w:tcPr>
            <w:tcW w:w="846" w:type="dxa"/>
            <w:tcBorders>
              <w:top w:val="nil"/>
              <w:bottom w:val="nil"/>
              <w:right w:val="single" w:sz="8" w:space="0" w:color="auto"/>
            </w:tcBorders>
            <w:shd w:val="clear" w:color="auto" w:fill="auto"/>
            <w:noWrap/>
            <w:vAlign w:val="center"/>
          </w:tcPr>
          <w:p w14:paraId="7F1EF38E" w14:textId="77777777" w:rsidR="004D5330" w:rsidRPr="004D5330" w:rsidRDefault="004D5330" w:rsidP="0015273C">
            <w:pPr>
              <w:spacing w:after="0" w:line="240" w:lineRule="auto"/>
              <w:jc w:val="center"/>
              <w:rPr>
                <w:rFonts w:ascii="Arial Narrow" w:eastAsia="Times New Roman" w:hAnsi="Arial Narrow" w:cs="Arial"/>
                <w:b/>
                <w:bCs/>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61727B88" w14:textId="77777777" w:rsidR="004D5330" w:rsidRPr="004D5330" w:rsidRDefault="004D5330" w:rsidP="0015273C">
            <w:pPr>
              <w:spacing w:after="0" w:line="240" w:lineRule="auto"/>
              <w:jc w:val="center"/>
              <w:rPr>
                <w:rFonts w:ascii="Arial Narrow" w:eastAsia="Times New Roman" w:hAnsi="Arial Narrow" w:cs="Arial"/>
                <w:b/>
                <w:bCs/>
                <w:sz w:val="16"/>
                <w:szCs w:val="16"/>
                <w:lang w:eastAsia="pt-BR"/>
              </w:rPr>
            </w:pPr>
            <w:r w:rsidRPr="004D5330">
              <w:rPr>
                <w:rFonts w:ascii="Arial Narrow" w:eastAsia="Times New Roman" w:hAnsi="Arial Narrow" w:cs="Arial"/>
                <w:b/>
                <w:bCs/>
                <w:sz w:val="16"/>
                <w:szCs w:val="16"/>
                <w:lang w:eastAsia="pt-BR"/>
              </w:rPr>
              <w:t>DVP.H009</w:t>
            </w:r>
          </w:p>
        </w:tc>
        <w:tc>
          <w:tcPr>
            <w:tcW w:w="1120" w:type="dxa"/>
            <w:tcBorders>
              <w:top w:val="nil"/>
              <w:left w:val="nil"/>
              <w:bottom w:val="nil"/>
              <w:right w:val="single" w:sz="8" w:space="0" w:color="auto"/>
            </w:tcBorders>
            <w:shd w:val="clear" w:color="auto" w:fill="auto"/>
            <w:noWrap/>
            <w:vAlign w:val="center"/>
            <w:hideMark/>
          </w:tcPr>
          <w:p w14:paraId="7FF9EE70" w14:textId="77777777" w:rsidR="004D5330" w:rsidRPr="004D5330" w:rsidRDefault="004D5330" w:rsidP="0015273C">
            <w:pPr>
              <w:spacing w:after="0" w:line="240" w:lineRule="auto"/>
              <w:jc w:val="center"/>
              <w:rPr>
                <w:rFonts w:ascii="Arial Narrow" w:eastAsia="Times New Roman" w:hAnsi="Arial Narrow" w:cs="Arial"/>
                <w:b/>
                <w:bCs/>
                <w:sz w:val="16"/>
                <w:szCs w:val="16"/>
                <w:lang w:eastAsia="pt-BR"/>
              </w:rPr>
            </w:pPr>
            <w:r w:rsidRPr="004D5330">
              <w:rPr>
                <w:rFonts w:ascii="Arial Narrow" w:eastAsia="Times New Roman" w:hAnsi="Arial Narrow" w:cs="Arial"/>
                <w:b/>
                <w:bCs/>
                <w:sz w:val="16"/>
                <w:szCs w:val="16"/>
                <w:lang w:eastAsia="pt-BR"/>
              </w:rPr>
              <w:t>DVP.I009</w:t>
            </w:r>
          </w:p>
        </w:tc>
      </w:tr>
      <w:tr w:rsidR="004D5330" w:rsidRPr="004D5330" w14:paraId="5D97AA04" w14:textId="77777777" w:rsidTr="0015273C">
        <w:trPr>
          <w:trHeight w:val="255"/>
        </w:trPr>
        <w:tc>
          <w:tcPr>
            <w:tcW w:w="4410" w:type="dxa"/>
            <w:tcBorders>
              <w:top w:val="nil"/>
              <w:left w:val="single" w:sz="8" w:space="0" w:color="auto"/>
              <w:bottom w:val="nil"/>
            </w:tcBorders>
            <w:shd w:val="clear" w:color="auto" w:fill="auto"/>
            <w:noWrap/>
            <w:vAlign w:val="center"/>
            <w:hideMark/>
          </w:tcPr>
          <w:p w14:paraId="7266255D" w14:textId="77777777" w:rsidR="004D5330" w:rsidRPr="004D5330" w:rsidRDefault="004D5330" w:rsidP="0015273C">
            <w:pPr>
              <w:spacing w:after="0" w:line="240" w:lineRule="auto"/>
              <w:ind w:firstLineChars="200" w:firstLine="320"/>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Impostos</w:t>
            </w:r>
          </w:p>
        </w:tc>
        <w:tc>
          <w:tcPr>
            <w:tcW w:w="835" w:type="dxa"/>
            <w:tcBorders>
              <w:top w:val="nil"/>
              <w:bottom w:val="nil"/>
              <w:right w:val="single" w:sz="8" w:space="0" w:color="auto"/>
            </w:tcBorders>
            <w:shd w:val="clear" w:color="auto" w:fill="auto"/>
            <w:noWrap/>
            <w:vAlign w:val="center"/>
          </w:tcPr>
          <w:p w14:paraId="53B451ED"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47B7D5BA"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DVP.D010</w:t>
            </w:r>
          </w:p>
        </w:tc>
        <w:tc>
          <w:tcPr>
            <w:tcW w:w="1134" w:type="dxa"/>
            <w:tcBorders>
              <w:top w:val="nil"/>
              <w:left w:val="nil"/>
              <w:bottom w:val="nil"/>
              <w:right w:val="single" w:sz="8" w:space="0" w:color="auto"/>
            </w:tcBorders>
            <w:shd w:val="clear" w:color="auto" w:fill="auto"/>
            <w:noWrap/>
            <w:vAlign w:val="center"/>
            <w:hideMark/>
          </w:tcPr>
          <w:p w14:paraId="728F183C"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DVP.E010</w:t>
            </w:r>
          </w:p>
        </w:tc>
        <w:tc>
          <w:tcPr>
            <w:tcW w:w="4346" w:type="dxa"/>
            <w:tcBorders>
              <w:top w:val="nil"/>
              <w:left w:val="nil"/>
              <w:bottom w:val="nil"/>
            </w:tcBorders>
            <w:shd w:val="clear" w:color="auto" w:fill="auto"/>
            <w:noWrap/>
            <w:vAlign w:val="center"/>
            <w:hideMark/>
          </w:tcPr>
          <w:p w14:paraId="76A1A390" w14:textId="77777777" w:rsidR="004D5330" w:rsidRPr="004D5330" w:rsidRDefault="004D5330" w:rsidP="0015273C">
            <w:pPr>
              <w:spacing w:after="0" w:line="240" w:lineRule="auto"/>
              <w:ind w:firstLineChars="200" w:firstLine="320"/>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Remuneração a Pessoal</w:t>
            </w:r>
          </w:p>
        </w:tc>
        <w:tc>
          <w:tcPr>
            <w:tcW w:w="846" w:type="dxa"/>
            <w:tcBorders>
              <w:top w:val="nil"/>
              <w:bottom w:val="nil"/>
              <w:right w:val="single" w:sz="8" w:space="0" w:color="auto"/>
            </w:tcBorders>
            <w:shd w:val="clear" w:color="auto" w:fill="auto"/>
            <w:noWrap/>
            <w:vAlign w:val="center"/>
          </w:tcPr>
          <w:p w14:paraId="320CCF90"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308391B8"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DVP.H010</w:t>
            </w:r>
          </w:p>
        </w:tc>
        <w:tc>
          <w:tcPr>
            <w:tcW w:w="1120" w:type="dxa"/>
            <w:tcBorders>
              <w:top w:val="nil"/>
              <w:left w:val="nil"/>
              <w:bottom w:val="nil"/>
              <w:right w:val="single" w:sz="8" w:space="0" w:color="auto"/>
            </w:tcBorders>
            <w:shd w:val="clear" w:color="auto" w:fill="auto"/>
            <w:noWrap/>
            <w:vAlign w:val="center"/>
            <w:hideMark/>
          </w:tcPr>
          <w:p w14:paraId="427A017B"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DVP.I010</w:t>
            </w:r>
          </w:p>
        </w:tc>
      </w:tr>
      <w:tr w:rsidR="004D5330" w:rsidRPr="004D5330" w14:paraId="6A37A3A1" w14:textId="77777777" w:rsidTr="0015273C">
        <w:trPr>
          <w:trHeight w:val="240"/>
        </w:trPr>
        <w:tc>
          <w:tcPr>
            <w:tcW w:w="4410" w:type="dxa"/>
            <w:tcBorders>
              <w:top w:val="nil"/>
              <w:left w:val="single" w:sz="8" w:space="0" w:color="auto"/>
              <w:bottom w:val="nil"/>
            </w:tcBorders>
            <w:shd w:val="clear" w:color="auto" w:fill="auto"/>
            <w:noWrap/>
            <w:vAlign w:val="center"/>
            <w:hideMark/>
          </w:tcPr>
          <w:p w14:paraId="1E624F98" w14:textId="77777777" w:rsidR="004D5330" w:rsidRPr="004D5330" w:rsidRDefault="004D5330" w:rsidP="0015273C">
            <w:pPr>
              <w:spacing w:after="0" w:line="240" w:lineRule="auto"/>
              <w:ind w:firstLineChars="200" w:firstLine="320"/>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Taxas</w:t>
            </w:r>
          </w:p>
        </w:tc>
        <w:tc>
          <w:tcPr>
            <w:tcW w:w="835" w:type="dxa"/>
            <w:tcBorders>
              <w:top w:val="nil"/>
              <w:bottom w:val="nil"/>
              <w:right w:val="single" w:sz="8" w:space="0" w:color="auto"/>
            </w:tcBorders>
            <w:shd w:val="clear" w:color="auto" w:fill="auto"/>
            <w:noWrap/>
            <w:vAlign w:val="center"/>
          </w:tcPr>
          <w:p w14:paraId="3C944286"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1EC8F363"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DVP.D011</w:t>
            </w:r>
          </w:p>
        </w:tc>
        <w:tc>
          <w:tcPr>
            <w:tcW w:w="1134" w:type="dxa"/>
            <w:tcBorders>
              <w:top w:val="nil"/>
              <w:left w:val="nil"/>
              <w:bottom w:val="nil"/>
              <w:right w:val="single" w:sz="8" w:space="0" w:color="auto"/>
            </w:tcBorders>
            <w:shd w:val="clear" w:color="auto" w:fill="auto"/>
            <w:noWrap/>
            <w:vAlign w:val="center"/>
            <w:hideMark/>
          </w:tcPr>
          <w:p w14:paraId="1E2DD53D"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DVP.E011</w:t>
            </w:r>
          </w:p>
        </w:tc>
        <w:tc>
          <w:tcPr>
            <w:tcW w:w="4346" w:type="dxa"/>
            <w:tcBorders>
              <w:top w:val="nil"/>
              <w:left w:val="nil"/>
              <w:bottom w:val="nil"/>
            </w:tcBorders>
            <w:shd w:val="clear" w:color="auto" w:fill="auto"/>
            <w:noWrap/>
            <w:vAlign w:val="center"/>
            <w:hideMark/>
          </w:tcPr>
          <w:p w14:paraId="5F5A4872" w14:textId="77777777" w:rsidR="004D5330" w:rsidRPr="004D5330" w:rsidRDefault="004D5330" w:rsidP="0015273C">
            <w:pPr>
              <w:spacing w:after="0" w:line="240" w:lineRule="auto"/>
              <w:ind w:firstLineChars="200" w:firstLine="320"/>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Encargos Patronais</w:t>
            </w:r>
          </w:p>
        </w:tc>
        <w:tc>
          <w:tcPr>
            <w:tcW w:w="846" w:type="dxa"/>
            <w:tcBorders>
              <w:top w:val="nil"/>
              <w:bottom w:val="nil"/>
              <w:right w:val="single" w:sz="8" w:space="0" w:color="auto"/>
            </w:tcBorders>
            <w:shd w:val="clear" w:color="auto" w:fill="auto"/>
            <w:noWrap/>
            <w:vAlign w:val="center"/>
          </w:tcPr>
          <w:p w14:paraId="259A1B9A"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2421A2C9"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DVP.H011</w:t>
            </w:r>
          </w:p>
        </w:tc>
        <w:tc>
          <w:tcPr>
            <w:tcW w:w="1120" w:type="dxa"/>
            <w:tcBorders>
              <w:top w:val="nil"/>
              <w:left w:val="nil"/>
              <w:bottom w:val="nil"/>
              <w:right w:val="single" w:sz="8" w:space="0" w:color="auto"/>
            </w:tcBorders>
            <w:shd w:val="clear" w:color="auto" w:fill="auto"/>
            <w:noWrap/>
            <w:vAlign w:val="center"/>
            <w:hideMark/>
          </w:tcPr>
          <w:p w14:paraId="396EC991"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DVP.I011</w:t>
            </w:r>
          </w:p>
        </w:tc>
      </w:tr>
      <w:tr w:rsidR="004D5330" w:rsidRPr="004D5330" w14:paraId="16FF7E50" w14:textId="77777777" w:rsidTr="0015273C">
        <w:trPr>
          <w:trHeight w:val="240"/>
        </w:trPr>
        <w:tc>
          <w:tcPr>
            <w:tcW w:w="4410" w:type="dxa"/>
            <w:tcBorders>
              <w:top w:val="nil"/>
              <w:left w:val="single" w:sz="8" w:space="0" w:color="auto"/>
              <w:bottom w:val="nil"/>
            </w:tcBorders>
            <w:shd w:val="clear" w:color="auto" w:fill="auto"/>
            <w:noWrap/>
            <w:vAlign w:val="center"/>
            <w:hideMark/>
          </w:tcPr>
          <w:p w14:paraId="738D3D2A" w14:textId="77777777" w:rsidR="004D5330" w:rsidRPr="004D5330" w:rsidRDefault="004D5330" w:rsidP="0015273C">
            <w:pPr>
              <w:spacing w:after="0" w:line="240" w:lineRule="auto"/>
              <w:ind w:firstLineChars="200" w:firstLine="320"/>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Contribuições de Melhoria</w:t>
            </w:r>
          </w:p>
        </w:tc>
        <w:tc>
          <w:tcPr>
            <w:tcW w:w="835" w:type="dxa"/>
            <w:tcBorders>
              <w:top w:val="nil"/>
              <w:bottom w:val="nil"/>
              <w:right w:val="single" w:sz="8" w:space="0" w:color="auto"/>
            </w:tcBorders>
            <w:shd w:val="clear" w:color="auto" w:fill="auto"/>
            <w:noWrap/>
            <w:vAlign w:val="center"/>
          </w:tcPr>
          <w:p w14:paraId="0C7060C2"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4E3CA68D"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DVP.D012</w:t>
            </w:r>
          </w:p>
        </w:tc>
        <w:tc>
          <w:tcPr>
            <w:tcW w:w="1134" w:type="dxa"/>
            <w:tcBorders>
              <w:top w:val="nil"/>
              <w:left w:val="nil"/>
              <w:bottom w:val="nil"/>
              <w:right w:val="single" w:sz="8" w:space="0" w:color="auto"/>
            </w:tcBorders>
            <w:shd w:val="clear" w:color="auto" w:fill="auto"/>
            <w:noWrap/>
            <w:vAlign w:val="center"/>
            <w:hideMark/>
          </w:tcPr>
          <w:p w14:paraId="07CE5248"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DVP.E012</w:t>
            </w:r>
          </w:p>
        </w:tc>
        <w:tc>
          <w:tcPr>
            <w:tcW w:w="4346" w:type="dxa"/>
            <w:tcBorders>
              <w:top w:val="nil"/>
              <w:left w:val="nil"/>
              <w:bottom w:val="nil"/>
            </w:tcBorders>
            <w:shd w:val="clear" w:color="auto" w:fill="auto"/>
            <w:noWrap/>
            <w:vAlign w:val="center"/>
            <w:hideMark/>
          </w:tcPr>
          <w:p w14:paraId="11374C95" w14:textId="77777777" w:rsidR="004D5330" w:rsidRPr="004D5330" w:rsidRDefault="004D5330" w:rsidP="0015273C">
            <w:pPr>
              <w:spacing w:after="0" w:line="240" w:lineRule="auto"/>
              <w:ind w:firstLineChars="200" w:firstLine="320"/>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Benefícios a Pessoal</w:t>
            </w:r>
          </w:p>
        </w:tc>
        <w:tc>
          <w:tcPr>
            <w:tcW w:w="846" w:type="dxa"/>
            <w:tcBorders>
              <w:top w:val="nil"/>
              <w:bottom w:val="nil"/>
              <w:right w:val="single" w:sz="8" w:space="0" w:color="auto"/>
            </w:tcBorders>
            <w:shd w:val="clear" w:color="auto" w:fill="auto"/>
            <w:noWrap/>
            <w:vAlign w:val="center"/>
          </w:tcPr>
          <w:p w14:paraId="11819AFE"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3423B1DB"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DVP.H012</w:t>
            </w:r>
          </w:p>
        </w:tc>
        <w:tc>
          <w:tcPr>
            <w:tcW w:w="1120" w:type="dxa"/>
            <w:tcBorders>
              <w:top w:val="nil"/>
              <w:left w:val="nil"/>
              <w:bottom w:val="nil"/>
              <w:right w:val="single" w:sz="8" w:space="0" w:color="auto"/>
            </w:tcBorders>
            <w:shd w:val="clear" w:color="auto" w:fill="auto"/>
            <w:noWrap/>
            <w:vAlign w:val="center"/>
            <w:hideMark/>
          </w:tcPr>
          <w:p w14:paraId="586ADF25"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DVP.I012</w:t>
            </w:r>
          </w:p>
        </w:tc>
      </w:tr>
      <w:tr w:rsidR="004D5330" w:rsidRPr="004D5330" w14:paraId="7CE4AAF8" w14:textId="77777777" w:rsidTr="0015273C">
        <w:trPr>
          <w:trHeight w:val="240"/>
        </w:trPr>
        <w:tc>
          <w:tcPr>
            <w:tcW w:w="4410" w:type="dxa"/>
            <w:tcBorders>
              <w:top w:val="nil"/>
              <w:left w:val="single" w:sz="8" w:space="0" w:color="auto"/>
              <w:bottom w:val="nil"/>
            </w:tcBorders>
            <w:shd w:val="clear" w:color="auto" w:fill="auto"/>
            <w:noWrap/>
            <w:vAlign w:val="center"/>
            <w:hideMark/>
          </w:tcPr>
          <w:p w14:paraId="629D7DCE" w14:textId="77777777" w:rsidR="004D5330" w:rsidRPr="004D5330" w:rsidRDefault="004D5330" w:rsidP="0015273C">
            <w:pPr>
              <w:spacing w:after="0" w:line="240" w:lineRule="auto"/>
              <w:rPr>
                <w:rFonts w:ascii="Arial Narrow" w:eastAsia="Times New Roman" w:hAnsi="Arial Narrow" w:cs="Arial"/>
                <w:b/>
                <w:bCs/>
                <w:sz w:val="16"/>
                <w:szCs w:val="16"/>
                <w:u w:val="single"/>
                <w:lang w:eastAsia="pt-BR"/>
              </w:rPr>
            </w:pPr>
            <w:r w:rsidRPr="004D5330">
              <w:rPr>
                <w:rFonts w:ascii="Arial Narrow" w:eastAsia="Times New Roman" w:hAnsi="Arial Narrow" w:cs="Arial"/>
                <w:b/>
                <w:bCs/>
                <w:sz w:val="16"/>
                <w:szCs w:val="16"/>
                <w:u w:val="single"/>
                <w:lang w:eastAsia="pt-BR"/>
              </w:rPr>
              <w:t>Contribuições</w:t>
            </w:r>
          </w:p>
        </w:tc>
        <w:tc>
          <w:tcPr>
            <w:tcW w:w="835" w:type="dxa"/>
            <w:tcBorders>
              <w:top w:val="nil"/>
              <w:bottom w:val="nil"/>
              <w:right w:val="single" w:sz="8" w:space="0" w:color="auto"/>
            </w:tcBorders>
            <w:shd w:val="clear" w:color="auto" w:fill="auto"/>
            <w:noWrap/>
            <w:vAlign w:val="center"/>
          </w:tcPr>
          <w:p w14:paraId="4EF03142" w14:textId="77777777" w:rsidR="004D5330" w:rsidRPr="004D5330" w:rsidRDefault="004D5330" w:rsidP="0015273C">
            <w:pPr>
              <w:spacing w:after="0" w:line="240" w:lineRule="auto"/>
              <w:jc w:val="center"/>
              <w:rPr>
                <w:rFonts w:ascii="Arial Narrow" w:eastAsia="Times New Roman" w:hAnsi="Arial Narrow" w:cs="Arial"/>
                <w:b/>
                <w:bCs/>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6F9EA09E" w14:textId="77777777" w:rsidR="004D5330" w:rsidRPr="004D5330" w:rsidRDefault="004D5330" w:rsidP="0015273C">
            <w:pPr>
              <w:spacing w:after="0" w:line="240" w:lineRule="auto"/>
              <w:jc w:val="center"/>
              <w:rPr>
                <w:rFonts w:ascii="Arial Narrow" w:eastAsia="Times New Roman" w:hAnsi="Arial Narrow" w:cs="Arial"/>
                <w:b/>
                <w:bCs/>
                <w:sz w:val="16"/>
                <w:szCs w:val="16"/>
                <w:lang w:eastAsia="pt-BR"/>
              </w:rPr>
            </w:pPr>
            <w:r w:rsidRPr="004D5330">
              <w:rPr>
                <w:rFonts w:ascii="Arial Narrow" w:eastAsia="Times New Roman" w:hAnsi="Arial Narrow" w:cs="Arial"/>
                <w:b/>
                <w:bCs/>
                <w:sz w:val="16"/>
                <w:szCs w:val="16"/>
                <w:lang w:eastAsia="pt-BR"/>
              </w:rPr>
              <w:t>DVP.D013</w:t>
            </w:r>
          </w:p>
        </w:tc>
        <w:tc>
          <w:tcPr>
            <w:tcW w:w="1134" w:type="dxa"/>
            <w:tcBorders>
              <w:top w:val="nil"/>
              <w:left w:val="nil"/>
              <w:bottom w:val="nil"/>
              <w:right w:val="single" w:sz="8" w:space="0" w:color="auto"/>
            </w:tcBorders>
            <w:shd w:val="clear" w:color="auto" w:fill="auto"/>
            <w:noWrap/>
            <w:vAlign w:val="center"/>
            <w:hideMark/>
          </w:tcPr>
          <w:p w14:paraId="3384BFF7" w14:textId="77777777" w:rsidR="004D5330" w:rsidRPr="004D5330" w:rsidRDefault="004D5330" w:rsidP="0015273C">
            <w:pPr>
              <w:spacing w:after="0" w:line="240" w:lineRule="auto"/>
              <w:jc w:val="center"/>
              <w:rPr>
                <w:rFonts w:ascii="Arial Narrow" w:eastAsia="Times New Roman" w:hAnsi="Arial Narrow" w:cs="Arial"/>
                <w:b/>
                <w:bCs/>
                <w:sz w:val="16"/>
                <w:szCs w:val="16"/>
                <w:lang w:eastAsia="pt-BR"/>
              </w:rPr>
            </w:pPr>
            <w:r w:rsidRPr="004D5330">
              <w:rPr>
                <w:rFonts w:ascii="Arial Narrow" w:eastAsia="Times New Roman" w:hAnsi="Arial Narrow" w:cs="Arial"/>
                <w:b/>
                <w:bCs/>
                <w:sz w:val="16"/>
                <w:szCs w:val="16"/>
                <w:lang w:eastAsia="pt-BR"/>
              </w:rPr>
              <w:t>DVP.E013</w:t>
            </w:r>
          </w:p>
        </w:tc>
        <w:tc>
          <w:tcPr>
            <w:tcW w:w="4346" w:type="dxa"/>
            <w:tcBorders>
              <w:top w:val="nil"/>
              <w:left w:val="nil"/>
              <w:bottom w:val="nil"/>
            </w:tcBorders>
            <w:shd w:val="clear" w:color="auto" w:fill="auto"/>
            <w:noWrap/>
            <w:vAlign w:val="center"/>
            <w:hideMark/>
          </w:tcPr>
          <w:p w14:paraId="06C5363C" w14:textId="77777777" w:rsidR="004D5330" w:rsidRPr="004D5330" w:rsidRDefault="004D5330" w:rsidP="0015273C">
            <w:pPr>
              <w:spacing w:after="0" w:line="240" w:lineRule="auto"/>
              <w:ind w:firstLineChars="200" w:firstLine="320"/>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Outras Variações Patrimonais Diminutivas - Pessoal e Encargos</w:t>
            </w:r>
          </w:p>
        </w:tc>
        <w:tc>
          <w:tcPr>
            <w:tcW w:w="846" w:type="dxa"/>
            <w:tcBorders>
              <w:top w:val="nil"/>
              <w:bottom w:val="nil"/>
              <w:right w:val="single" w:sz="8" w:space="0" w:color="auto"/>
            </w:tcBorders>
            <w:shd w:val="clear" w:color="auto" w:fill="auto"/>
            <w:noWrap/>
            <w:vAlign w:val="center"/>
          </w:tcPr>
          <w:p w14:paraId="56BE448F"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5C58F498"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DVP.H013</w:t>
            </w:r>
          </w:p>
        </w:tc>
        <w:tc>
          <w:tcPr>
            <w:tcW w:w="1120" w:type="dxa"/>
            <w:tcBorders>
              <w:top w:val="nil"/>
              <w:left w:val="nil"/>
              <w:bottom w:val="nil"/>
              <w:right w:val="single" w:sz="8" w:space="0" w:color="auto"/>
            </w:tcBorders>
            <w:shd w:val="clear" w:color="auto" w:fill="auto"/>
            <w:noWrap/>
            <w:vAlign w:val="center"/>
            <w:hideMark/>
          </w:tcPr>
          <w:p w14:paraId="5BAC5278"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DVP.I013</w:t>
            </w:r>
          </w:p>
        </w:tc>
      </w:tr>
      <w:tr w:rsidR="004D5330" w:rsidRPr="004D5330" w14:paraId="270165DA" w14:textId="77777777" w:rsidTr="0015273C">
        <w:trPr>
          <w:trHeight w:val="255"/>
        </w:trPr>
        <w:tc>
          <w:tcPr>
            <w:tcW w:w="4410" w:type="dxa"/>
            <w:tcBorders>
              <w:top w:val="nil"/>
              <w:left w:val="single" w:sz="8" w:space="0" w:color="auto"/>
              <w:bottom w:val="nil"/>
            </w:tcBorders>
            <w:shd w:val="clear" w:color="auto" w:fill="auto"/>
            <w:noWrap/>
            <w:vAlign w:val="center"/>
            <w:hideMark/>
          </w:tcPr>
          <w:p w14:paraId="6B7FE314" w14:textId="77777777" w:rsidR="004D5330" w:rsidRPr="004D5330" w:rsidRDefault="004D5330" w:rsidP="0015273C">
            <w:pPr>
              <w:spacing w:after="0" w:line="240" w:lineRule="auto"/>
              <w:ind w:firstLineChars="200" w:firstLine="320"/>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Contribuições Sociais</w:t>
            </w:r>
          </w:p>
        </w:tc>
        <w:tc>
          <w:tcPr>
            <w:tcW w:w="835" w:type="dxa"/>
            <w:tcBorders>
              <w:top w:val="nil"/>
              <w:bottom w:val="nil"/>
              <w:right w:val="single" w:sz="8" w:space="0" w:color="auto"/>
            </w:tcBorders>
            <w:shd w:val="clear" w:color="auto" w:fill="auto"/>
            <w:noWrap/>
            <w:vAlign w:val="center"/>
          </w:tcPr>
          <w:p w14:paraId="24376131"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7B985011"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DVP.D014</w:t>
            </w:r>
          </w:p>
        </w:tc>
        <w:tc>
          <w:tcPr>
            <w:tcW w:w="1134" w:type="dxa"/>
            <w:tcBorders>
              <w:top w:val="nil"/>
              <w:left w:val="nil"/>
              <w:bottom w:val="nil"/>
              <w:right w:val="single" w:sz="8" w:space="0" w:color="auto"/>
            </w:tcBorders>
            <w:shd w:val="clear" w:color="auto" w:fill="auto"/>
            <w:noWrap/>
            <w:vAlign w:val="center"/>
            <w:hideMark/>
          </w:tcPr>
          <w:p w14:paraId="1D449004"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DVP.E014</w:t>
            </w:r>
          </w:p>
        </w:tc>
        <w:tc>
          <w:tcPr>
            <w:tcW w:w="4346" w:type="dxa"/>
            <w:tcBorders>
              <w:top w:val="nil"/>
              <w:left w:val="nil"/>
              <w:bottom w:val="nil"/>
            </w:tcBorders>
            <w:shd w:val="clear" w:color="auto" w:fill="auto"/>
            <w:noWrap/>
            <w:vAlign w:val="center"/>
            <w:hideMark/>
          </w:tcPr>
          <w:p w14:paraId="6A55BC66" w14:textId="77777777" w:rsidR="004D5330" w:rsidRPr="004D5330" w:rsidRDefault="004D5330" w:rsidP="0015273C">
            <w:pPr>
              <w:spacing w:after="0" w:line="240" w:lineRule="auto"/>
              <w:rPr>
                <w:rFonts w:ascii="Arial Narrow" w:eastAsia="Times New Roman" w:hAnsi="Arial Narrow" w:cs="Arial"/>
                <w:b/>
                <w:bCs/>
                <w:sz w:val="16"/>
                <w:szCs w:val="16"/>
                <w:u w:val="single"/>
                <w:lang w:eastAsia="pt-BR"/>
              </w:rPr>
            </w:pPr>
            <w:r w:rsidRPr="004D5330">
              <w:rPr>
                <w:rFonts w:ascii="Arial Narrow" w:eastAsia="Times New Roman" w:hAnsi="Arial Narrow" w:cs="Arial"/>
                <w:b/>
                <w:bCs/>
                <w:sz w:val="16"/>
                <w:szCs w:val="16"/>
                <w:u w:val="single"/>
                <w:lang w:eastAsia="pt-BR"/>
              </w:rPr>
              <w:t>Benefícios Previdenciários e Assistenciais</w:t>
            </w:r>
          </w:p>
        </w:tc>
        <w:tc>
          <w:tcPr>
            <w:tcW w:w="846" w:type="dxa"/>
            <w:tcBorders>
              <w:top w:val="nil"/>
              <w:bottom w:val="nil"/>
              <w:right w:val="single" w:sz="8" w:space="0" w:color="auto"/>
            </w:tcBorders>
            <w:shd w:val="clear" w:color="auto" w:fill="auto"/>
            <w:noWrap/>
            <w:vAlign w:val="center"/>
          </w:tcPr>
          <w:p w14:paraId="762971D0" w14:textId="77777777" w:rsidR="004D5330" w:rsidRPr="004D5330" w:rsidRDefault="004D5330" w:rsidP="0015273C">
            <w:pPr>
              <w:spacing w:after="0" w:line="240" w:lineRule="auto"/>
              <w:jc w:val="center"/>
              <w:rPr>
                <w:rFonts w:ascii="Arial Narrow" w:eastAsia="Times New Roman" w:hAnsi="Arial Narrow" w:cs="Arial"/>
                <w:b/>
                <w:bCs/>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2F0033D2" w14:textId="77777777" w:rsidR="004D5330" w:rsidRPr="004D5330" w:rsidRDefault="004D5330" w:rsidP="0015273C">
            <w:pPr>
              <w:spacing w:after="0" w:line="240" w:lineRule="auto"/>
              <w:jc w:val="center"/>
              <w:rPr>
                <w:rFonts w:ascii="Arial Narrow" w:eastAsia="Times New Roman" w:hAnsi="Arial Narrow" w:cs="Arial"/>
                <w:b/>
                <w:bCs/>
                <w:sz w:val="16"/>
                <w:szCs w:val="16"/>
                <w:lang w:eastAsia="pt-BR"/>
              </w:rPr>
            </w:pPr>
            <w:r w:rsidRPr="004D5330">
              <w:rPr>
                <w:rFonts w:ascii="Arial Narrow" w:eastAsia="Times New Roman" w:hAnsi="Arial Narrow" w:cs="Arial"/>
                <w:b/>
                <w:bCs/>
                <w:sz w:val="16"/>
                <w:szCs w:val="16"/>
                <w:lang w:eastAsia="pt-BR"/>
              </w:rPr>
              <w:t>DVP.H014</w:t>
            </w:r>
          </w:p>
        </w:tc>
        <w:tc>
          <w:tcPr>
            <w:tcW w:w="1120" w:type="dxa"/>
            <w:tcBorders>
              <w:top w:val="nil"/>
              <w:left w:val="nil"/>
              <w:bottom w:val="nil"/>
              <w:right w:val="single" w:sz="8" w:space="0" w:color="auto"/>
            </w:tcBorders>
            <w:shd w:val="clear" w:color="auto" w:fill="auto"/>
            <w:noWrap/>
            <w:vAlign w:val="center"/>
            <w:hideMark/>
          </w:tcPr>
          <w:p w14:paraId="35D0D17D" w14:textId="77777777" w:rsidR="004D5330" w:rsidRPr="004D5330" w:rsidRDefault="004D5330" w:rsidP="0015273C">
            <w:pPr>
              <w:spacing w:after="0" w:line="240" w:lineRule="auto"/>
              <w:jc w:val="center"/>
              <w:rPr>
                <w:rFonts w:ascii="Arial Narrow" w:eastAsia="Times New Roman" w:hAnsi="Arial Narrow" w:cs="Arial"/>
                <w:b/>
                <w:bCs/>
                <w:sz w:val="16"/>
                <w:szCs w:val="16"/>
                <w:lang w:eastAsia="pt-BR"/>
              </w:rPr>
            </w:pPr>
            <w:r w:rsidRPr="004D5330">
              <w:rPr>
                <w:rFonts w:ascii="Arial Narrow" w:eastAsia="Times New Roman" w:hAnsi="Arial Narrow" w:cs="Arial"/>
                <w:b/>
                <w:bCs/>
                <w:sz w:val="16"/>
                <w:szCs w:val="16"/>
                <w:lang w:eastAsia="pt-BR"/>
              </w:rPr>
              <w:t>DVP.I014</w:t>
            </w:r>
          </w:p>
        </w:tc>
      </w:tr>
      <w:tr w:rsidR="004D5330" w:rsidRPr="004D5330" w14:paraId="07B2B60F" w14:textId="77777777" w:rsidTr="0015273C">
        <w:trPr>
          <w:trHeight w:val="240"/>
        </w:trPr>
        <w:tc>
          <w:tcPr>
            <w:tcW w:w="4410" w:type="dxa"/>
            <w:tcBorders>
              <w:top w:val="nil"/>
              <w:left w:val="single" w:sz="8" w:space="0" w:color="auto"/>
              <w:bottom w:val="nil"/>
            </w:tcBorders>
            <w:shd w:val="clear" w:color="auto" w:fill="auto"/>
            <w:noWrap/>
            <w:vAlign w:val="center"/>
            <w:hideMark/>
          </w:tcPr>
          <w:p w14:paraId="7BAD33EF" w14:textId="77777777" w:rsidR="004D5330" w:rsidRPr="004D5330" w:rsidRDefault="004D5330" w:rsidP="0015273C">
            <w:pPr>
              <w:spacing w:after="0" w:line="240" w:lineRule="auto"/>
              <w:ind w:firstLineChars="200" w:firstLine="320"/>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Contribuições de Intervenção no Domínio Econômico</w:t>
            </w:r>
          </w:p>
        </w:tc>
        <w:tc>
          <w:tcPr>
            <w:tcW w:w="835" w:type="dxa"/>
            <w:tcBorders>
              <w:top w:val="nil"/>
              <w:bottom w:val="nil"/>
              <w:right w:val="single" w:sz="8" w:space="0" w:color="auto"/>
            </w:tcBorders>
            <w:shd w:val="clear" w:color="auto" w:fill="auto"/>
            <w:noWrap/>
            <w:vAlign w:val="center"/>
          </w:tcPr>
          <w:p w14:paraId="3EAE4C90"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3FBC0A27"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DVP.D015</w:t>
            </w:r>
          </w:p>
        </w:tc>
        <w:tc>
          <w:tcPr>
            <w:tcW w:w="1134" w:type="dxa"/>
            <w:tcBorders>
              <w:top w:val="nil"/>
              <w:left w:val="nil"/>
              <w:bottom w:val="nil"/>
              <w:right w:val="single" w:sz="8" w:space="0" w:color="auto"/>
            </w:tcBorders>
            <w:shd w:val="clear" w:color="auto" w:fill="auto"/>
            <w:noWrap/>
            <w:vAlign w:val="center"/>
            <w:hideMark/>
          </w:tcPr>
          <w:p w14:paraId="2BDE4BD7"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DVP.E015</w:t>
            </w:r>
          </w:p>
        </w:tc>
        <w:tc>
          <w:tcPr>
            <w:tcW w:w="4346" w:type="dxa"/>
            <w:tcBorders>
              <w:top w:val="nil"/>
              <w:left w:val="nil"/>
              <w:bottom w:val="nil"/>
            </w:tcBorders>
            <w:shd w:val="clear" w:color="auto" w:fill="auto"/>
            <w:noWrap/>
            <w:vAlign w:val="center"/>
            <w:hideMark/>
          </w:tcPr>
          <w:p w14:paraId="0A105080" w14:textId="77777777" w:rsidR="004D5330" w:rsidRPr="004D5330" w:rsidRDefault="004D5330" w:rsidP="0015273C">
            <w:pPr>
              <w:spacing w:after="0" w:line="240" w:lineRule="auto"/>
              <w:ind w:firstLineChars="200" w:firstLine="320"/>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Aposentadorias e Reformas</w:t>
            </w:r>
          </w:p>
        </w:tc>
        <w:tc>
          <w:tcPr>
            <w:tcW w:w="846" w:type="dxa"/>
            <w:tcBorders>
              <w:top w:val="nil"/>
              <w:bottom w:val="nil"/>
              <w:right w:val="single" w:sz="8" w:space="0" w:color="auto"/>
            </w:tcBorders>
            <w:shd w:val="clear" w:color="auto" w:fill="auto"/>
            <w:noWrap/>
            <w:vAlign w:val="center"/>
          </w:tcPr>
          <w:p w14:paraId="2EECE65D"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514E4989"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DVP.H015</w:t>
            </w:r>
          </w:p>
        </w:tc>
        <w:tc>
          <w:tcPr>
            <w:tcW w:w="1120" w:type="dxa"/>
            <w:tcBorders>
              <w:top w:val="nil"/>
              <w:left w:val="nil"/>
              <w:bottom w:val="nil"/>
              <w:right w:val="single" w:sz="8" w:space="0" w:color="auto"/>
            </w:tcBorders>
            <w:shd w:val="clear" w:color="auto" w:fill="auto"/>
            <w:noWrap/>
            <w:vAlign w:val="center"/>
            <w:hideMark/>
          </w:tcPr>
          <w:p w14:paraId="4367FF1C"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DVP.I015</w:t>
            </w:r>
          </w:p>
        </w:tc>
      </w:tr>
      <w:tr w:rsidR="004D5330" w:rsidRPr="004D5330" w14:paraId="571F12C8" w14:textId="77777777" w:rsidTr="0015273C">
        <w:trPr>
          <w:trHeight w:val="240"/>
        </w:trPr>
        <w:tc>
          <w:tcPr>
            <w:tcW w:w="4410" w:type="dxa"/>
            <w:tcBorders>
              <w:top w:val="nil"/>
              <w:left w:val="single" w:sz="8" w:space="0" w:color="auto"/>
              <w:bottom w:val="nil"/>
            </w:tcBorders>
            <w:shd w:val="clear" w:color="auto" w:fill="auto"/>
            <w:noWrap/>
            <w:vAlign w:val="center"/>
            <w:hideMark/>
          </w:tcPr>
          <w:p w14:paraId="6DFF0B9A" w14:textId="77777777" w:rsidR="004D5330" w:rsidRPr="004D5330" w:rsidRDefault="004D5330" w:rsidP="0015273C">
            <w:pPr>
              <w:spacing w:after="0" w:line="240" w:lineRule="auto"/>
              <w:ind w:firstLineChars="200" w:firstLine="320"/>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Contribuição de Iluminação Pública</w:t>
            </w:r>
          </w:p>
        </w:tc>
        <w:tc>
          <w:tcPr>
            <w:tcW w:w="835" w:type="dxa"/>
            <w:tcBorders>
              <w:top w:val="nil"/>
              <w:bottom w:val="nil"/>
              <w:right w:val="single" w:sz="8" w:space="0" w:color="auto"/>
            </w:tcBorders>
            <w:shd w:val="clear" w:color="auto" w:fill="auto"/>
            <w:noWrap/>
            <w:vAlign w:val="center"/>
          </w:tcPr>
          <w:p w14:paraId="6C6D0EF3"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2EE371CC"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DVP.D016</w:t>
            </w:r>
          </w:p>
        </w:tc>
        <w:tc>
          <w:tcPr>
            <w:tcW w:w="1134" w:type="dxa"/>
            <w:tcBorders>
              <w:top w:val="nil"/>
              <w:left w:val="nil"/>
              <w:bottom w:val="nil"/>
              <w:right w:val="single" w:sz="8" w:space="0" w:color="auto"/>
            </w:tcBorders>
            <w:shd w:val="clear" w:color="auto" w:fill="auto"/>
            <w:noWrap/>
            <w:vAlign w:val="center"/>
            <w:hideMark/>
          </w:tcPr>
          <w:p w14:paraId="669159C7"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DVP.E016</w:t>
            </w:r>
          </w:p>
        </w:tc>
        <w:tc>
          <w:tcPr>
            <w:tcW w:w="4346" w:type="dxa"/>
            <w:tcBorders>
              <w:top w:val="nil"/>
              <w:left w:val="nil"/>
              <w:bottom w:val="nil"/>
            </w:tcBorders>
            <w:shd w:val="clear" w:color="auto" w:fill="auto"/>
            <w:noWrap/>
            <w:vAlign w:val="center"/>
            <w:hideMark/>
          </w:tcPr>
          <w:p w14:paraId="712E09BF" w14:textId="77777777" w:rsidR="004D5330" w:rsidRPr="004D5330" w:rsidRDefault="004D5330" w:rsidP="0015273C">
            <w:pPr>
              <w:spacing w:after="0" w:line="240" w:lineRule="auto"/>
              <w:ind w:firstLineChars="200" w:firstLine="320"/>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Pensões</w:t>
            </w:r>
          </w:p>
        </w:tc>
        <w:tc>
          <w:tcPr>
            <w:tcW w:w="846" w:type="dxa"/>
            <w:tcBorders>
              <w:top w:val="nil"/>
              <w:bottom w:val="nil"/>
              <w:right w:val="single" w:sz="8" w:space="0" w:color="auto"/>
            </w:tcBorders>
            <w:shd w:val="clear" w:color="auto" w:fill="auto"/>
            <w:noWrap/>
            <w:vAlign w:val="center"/>
          </w:tcPr>
          <w:p w14:paraId="0E38D828"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35C91C12"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DVP.H016</w:t>
            </w:r>
          </w:p>
        </w:tc>
        <w:tc>
          <w:tcPr>
            <w:tcW w:w="1120" w:type="dxa"/>
            <w:tcBorders>
              <w:top w:val="nil"/>
              <w:left w:val="nil"/>
              <w:bottom w:val="nil"/>
              <w:right w:val="single" w:sz="8" w:space="0" w:color="auto"/>
            </w:tcBorders>
            <w:shd w:val="clear" w:color="auto" w:fill="auto"/>
            <w:noWrap/>
            <w:vAlign w:val="center"/>
            <w:hideMark/>
          </w:tcPr>
          <w:p w14:paraId="7F46B873"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DVP.I016</w:t>
            </w:r>
          </w:p>
        </w:tc>
      </w:tr>
      <w:tr w:rsidR="004D5330" w:rsidRPr="004D5330" w14:paraId="41D13C6D" w14:textId="77777777" w:rsidTr="0015273C">
        <w:trPr>
          <w:trHeight w:val="240"/>
        </w:trPr>
        <w:tc>
          <w:tcPr>
            <w:tcW w:w="4410" w:type="dxa"/>
            <w:tcBorders>
              <w:top w:val="nil"/>
              <w:left w:val="single" w:sz="8" w:space="0" w:color="auto"/>
              <w:bottom w:val="nil"/>
            </w:tcBorders>
            <w:shd w:val="clear" w:color="auto" w:fill="auto"/>
            <w:noWrap/>
            <w:vAlign w:val="center"/>
            <w:hideMark/>
          </w:tcPr>
          <w:p w14:paraId="5E205800" w14:textId="77777777" w:rsidR="004D5330" w:rsidRPr="004D5330" w:rsidRDefault="004D5330" w:rsidP="0015273C">
            <w:pPr>
              <w:spacing w:after="0" w:line="240" w:lineRule="auto"/>
              <w:rPr>
                <w:rFonts w:ascii="Arial Narrow" w:eastAsia="Times New Roman" w:hAnsi="Arial Narrow" w:cs="Arial"/>
                <w:b/>
                <w:bCs/>
                <w:sz w:val="16"/>
                <w:szCs w:val="16"/>
                <w:u w:val="single"/>
                <w:lang w:eastAsia="pt-BR"/>
              </w:rPr>
            </w:pPr>
            <w:r w:rsidRPr="004D5330">
              <w:rPr>
                <w:rFonts w:ascii="Arial Narrow" w:eastAsia="Times New Roman" w:hAnsi="Arial Narrow" w:cs="Arial"/>
                <w:b/>
                <w:bCs/>
                <w:sz w:val="16"/>
                <w:szCs w:val="16"/>
                <w:u w:val="single"/>
                <w:lang w:eastAsia="pt-BR"/>
              </w:rPr>
              <w:t>Exploração e Venda de Bens, Serviços e Direitos</w:t>
            </w:r>
          </w:p>
        </w:tc>
        <w:tc>
          <w:tcPr>
            <w:tcW w:w="835" w:type="dxa"/>
            <w:tcBorders>
              <w:top w:val="nil"/>
              <w:bottom w:val="nil"/>
              <w:right w:val="single" w:sz="8" w:space="0" w:color="auto"/>
            </w:tcBorders>
            <w:shd w:val="clear" w:color="auto" w:fill="auto"/>
            <w:noWrap/>
            <w:vAlign w:val="center"/>
          </w:tcPr>
          <w:p w14:paraId="19DCCD92" w14:textId="77777777" w:rsidR="004D5330" w:rsidRPr="004D5330" w:rsidRDefault="004D5330" w:rsidP="0015273C">
            <w:pPr>
              <w:spacing w:after="0" w:line="240" w:lineRule="auto"/>
              <w:jc w:val="center"/>
              <w:rPr>
                <w:rFonts w:ascii="Arial Narrow" w:eastAsia="Times New Roman" w:hAnsi="Arial Narrow" w:cs="Arial"/>
                <w:b/>
                <w:bCs/>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46C71E26" w14:textId="77777777" w:rsidR="004D5330" w:rsidRPr="004D5330" w:rsidRDefault="004D5330" w:rsidP="0015273C">
            <w:pPr>
              <w:spacing w:after="0" w:line="240" w:lineRule="auto"/>
              <w:jc w:val="center"/>
              <w:rPr>
                <w:rFonts w:ascii="Arial Narrow" w:eastAsia="Times New Roman" w:hAnsi="Arial Narrow" w:cs="Arial"/>
                <w:b/>
                <w:bCs/>
                <w:sz w:val="16"/>
                <w:szCs w:val="16"/>
                <w:lang w:eastAsia="pt-BR"/>
              </w:rPr>
            </w:pPr>
            <w:r w:rsidRPr="004D5330">
              <w:rPr>
                <w:rFonts w:ascii="Arial Narrow" w:eastAsia="Times New Roman" w:hAnsi="Arial Narrow" w:cs="Arial"/>
                <w:b/>
                <w:bCs/>
                <w:sz w:val="16"/>
                <w:szCs w:val="16"/>
                <w:lang w:eastAsia="pt-BR"/>
              </w:rPr>
              <w:t>DVP.D017</w:t>
            </w:r>
          </w:p>
        </w:tc>
        <w:tc>
          <w:tcPr>
            <w:tcW w:w="1134" w:type="dxa"/>
            <w:tcBorders>
              <w:top w:val="nil"/>
              <w:left w:val="nil"/>
              <w:bottom w:val="nil"/>
              <w:right w:val="single" w:sz="8" w:space="0" w:color="auto"/>
            </w:tcBorders>
            <w:shd w:val="clear" w:color="auto" w:fill="auto"/>
            <w:noWrap/>
            <w:vAlign w:val="center"/>
            <w:hideMark/>
          </w:tcPr>
          <w:p w14:paraId="5FDC75EA" w14:textId="77777777" w:rsidR="004D5330" w:rsidRPr="004D5330" w:rsidRDefault="004D5330" w:rsidP="0015273C">
            <w:pPr>
              <w:spacing w:after="0" w:line="240" w:lineRule="auto"/>
              <w:jc w:val="center"/>
              <w:rPr>
                <w:rFonts w:ascii="Arial Narrow" w:eastAsia="Times New Roman" w:hAnsi="Arial Narrow" w:cs="Arial"/>
                <w:b/>
                <w:bCs/>
                <w:sz w:val="16"/>
                <w:szCs w:val="16"/>
                <w:lang w:eastAsia="pt-BR"/>
              </w:rPr>
            </w:pPr>
            <w:r w:rsidRPr="004D5330">
              <w:rPr>
                <w:rFonts w:ascii="Arial Narrow" w:eastAsia="Times New Roman" w:hAnsi="Arial Narrow" w:cs="Arial"/>
                <w:b/>
                <w:bCs/>
                <w:sz w:val="16"/>
                <w:szCs w:val="16"/>
                <w:lang w:eastAsia="pt-BR"/>
              </w:rPr>
              <w:t>DVP.E017</w:t>
            </w:r>
          </w:p>
        </w:tc>
        <w:tc>
          <w:tcPr>
            <w:tcW w:w="4346" w:type="dxa"/>
            <w:tcBorders>
              <w:top w:val="nil"/>
              <w:left w:val="nil"/>
              <w:bottom w:val="nil"/>
            </w:tcBorders>
            <w:shd w:val="clear" w:color="auto" w:fill="auto"/>
            <w:noWrap/>
            <w:vAlign w:val="center"/>
            <w:hideMark/>
          </w:tcPr>
          <w:p w14:paraId="27A4713E" w14:textId="77777777" w:rsidR="004D5330" w:rsidRPr="004D5330" w:rsidRDefault="004D5330" w:rsidP="0015273C">
            <w:pPr>
              <w:spacing w:after="0" w:line="240" w:lineRule="auto"/>
              <w:ind w:firstLineChars="200" w:firstLine="320"/>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Benefícios de Prestação Continuada</w:t>
            </w:r>
          </w:p>
        </w:tc>
        <w:tc>
          <w:tcPr>
            <w:tcW w:w="846" w:type="dxa"/>
            <w:tcBorders>
              <w:top w:val="nil"/>
              <w:bottom w:val="nil"/>
              <w:right w:val="single" w:sz="8" w:space="0" w:color="auto"/>
            </w:tcBorders>
            <w:shd w:val="clear" w:color="auto" w:fill="auto"/>
            <w:noWrap/>
            <w:vAlign w:val="center"/>
          </w:tcPr>
          <w:p w14:paraId="6A992C31"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11413762"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DVP.H017</w:t>
            </w:r>
          </w:p>
        </w:tc>
        <w:tc>
          <w:tcPr>
            <w:tcW w:w="1120" w:type="dxa"/>
            <w:tcBorders>
              <w:top w:val="nil"/>
              <w:left w:val="nil"/>
              <w:bottom w:val="nil"/>
              <w:right w:val="single" w:sz="8" w:space="0" w:color="auto"/>
            </w:tcBorders>
            <w:shd w:val="clear" w:color="auto" w:fill="auto"/>
            <w:noWrap/>
            <w:vAlign w:val="center"/>
            <w:hideMark/>
          </w:tcPr>
          <w:p w14:paraId="0DF66D71"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DVP.I017</w:t>
            </w:r>
          </w:p>
        </w:tc>
      </w:tr>
      <w:tr w:rsidR="004D5330" w:rsidRPr="004D5330" w14:paraId="7DFB234C" w14:textId="77777777" w:rsidTr="0015273C">
        <w:trPr>
          <w:trHeight w:val="255"/>
        </w:trPr>
        <w:tc>
          <w:tcPr>
            <w:tcW w:w="4410" w:type="dxa"/>
            <w:tcBorders>
              <w:top w:val="nil"/>
              <w:left w:val="single" w:sz="8" w:space="0" w:color="auto"/>
              <w:bottom w:val="nil"/>
            </w:tcBorders>
            <w:shd w:val="clear" w:color="auto" w:fill="auto"/>
            <w:noWrap/>
            <w:vAlign w:val="center"/>
            <w:hideMark/>
          </w:tcPr>
          <w:p w14:paraId="1307FA2A" w14:textId="77777777" w:rsidR="004D5330" w:rsidRPr="004D5330" w:rsidRDefault="004D5330" w:rsidP="0015273C">
            <w:pPr>
              <w:spacing w:after="0" w:line="240" w:lineRule="auto"/>
              <w:ind w:firstLineChars="200" w:firstLine="320"/>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Vendas de Mercadorias</w:t>
            </w:r>
          </w:p>
        </w:tc>
        <w:tc>
          <w:tcPr>
            <w:tcW w:w="835" w:type="dxa"/>
            <w:tcBorders>
              <w:top w:val="nil"/>
              <w:bottom w:val="nil"/>
              <w:right w:val="single" w:sz="8" w:space="0" w:color="auto"/>
            </w:tcBorders>
            <w:shd w:val="clear" w:color="auto" w:fill="auto"/>
            <w:noWrap/>
            <w:vAlign w:val="center"/>
          </w:tcPr>
          <w:p w14:paraId="3414EB8F"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219D9FAC"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DVP.D018</w:t>
            </w:r>
          </w:p>
        </w:tc>
        <w:tc>
          <w:tcPr>
            <w:tcW w:w="1134" w:type="dxa"/>
            <w:tcBorders>
              <w:top w:val="nil"/>
              <w:left w:val="nil"/>
              <w:bottom w:val="nil"/>
              <w:right w:val="single" w:sz="8" w:space="0" w:color="auto"/>
            </w:tcBorders>
            <w:shd w:val="clear" w:color="auto" w:fill="auto"/>
            <w:noWrap/>
            <w:vAlign w:val="center"/>
            <w:hideMark/>
          </w:tcPr>
          <w:p w14:paraId="37035157"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DVP.E018</w:t>
            </w:r>
          </w:p>
        </w:tc>
        <w:tc>
          <w:tcPr>
            <w:tcW w:w="4346" w:type="dxa"/>
            <w:tcBorders>
              <w:top w:val="nil"/>
              <w:left w:val="nil"/>
              <w:bottom w:val="nil"/>
            </w:tcBorders>
            <w:shd w:val="clear" w:color="auto" w:fill="auto"/>
            <w:noWrap/>
            <w:vAlign w:val="center"/>
            <w:hideMark/>
          </w:tcPr>
          <w:p w14:paraId="155457DE" w14:textId="77777777" w:rsidR="004D5330" w:rsidRPr="004D5330" w:rsidRDefault="004D5330" w:rsidP="0015273C">
            <w:pPr>
              <w:spacing w:after="0" w:line="240" w:lineRule="auto"/>
              <w:ind w:firstLineChars="200" w:firstLine="320"/>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Benefícios Eventuais</w:t>
            </w:r>
          </w:p>
        </w:tc>
        <w:tc>
          <w:tcPr>
            <w:tcW w:w="846" w:type="dxa"/>
            <w:tcBorders>
              <w:top w:val="nil"/>
              <w:bottom w:val="nil"/>
              <w:right w:val="single" w:sz="8" w:space="0" w:color="auto"/>
            </w:tcBorders>
            <w:shd w:val="clear" w:color="auto" w:fill="auto"/>
            <w:noWrap/>
            <w:vAlign w:val="center"/>
          </w:tcPr>
          <w:p w14:paraId="5FBB8A48"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38B4D38F"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DVP.H018</w:t>
            </w:r>
          </w:p>
        </w:tc>
        <w:tc>
          <w:tcPr>
            <w:tcW w:w="1120" w:type="dxa"/>
            <w:tcBorders>
              <w:top w:val="nil"/>
              <w:left w:val="nil"/>
              <w:bottom w:val="nil"/>
              <w:right w:val="single" w:sz="8" w:space="0" w:color="auto"/>
            </w:tcBorders>
            <w:shd w:val="clear" w:color="auto" w:fill="auto"/>
            <w:noWrap/>
            <w:vAlign w:val="center"/>
            <w:hideMark/>
          </w:tcPr>
          <w:p w14:paraId="0C24E1E7"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DVP.I018</w:t>
            </w:r>
          </w:p>
        </w:tc>
      </w:tr>
      <w:tr w:rsidR="004D5330" w:rsidRPr="004D5330" w14:paraId="08F2D98F" w14:textId="77777777" w:rsidTr="0015273C">
        <w:trPr>
          <w:trHeight w:val="240"/>
        </w:trPr>
        <w:tc>
          <w:tcPr>
            <w:tcW w:w="4410" w:type="dxa"/>
            <w:tcBorders>
              <w:top w:val="nil"/>
              <w:left w:val="single" w:sz="8" w:space="0" w:color="auto"/>
              <w:bottom w:val="nil"/>
            </w:tcBorders>
            <w:shd w:val="clear" w:color="auto" w:fill="auto"/>
            <w:noWrap/>
            <w:vAlign w:val="center"/>
            <w:hideMark/>
          </w:tcPr>
          <w:p w14:paraId="26860649" w14:textId="77777777" w:rsidR="004D5330" w:rsidRPr="004D5330" w:rsidRDefault="004D5330" w:rsidP="0015273C">
            <w:pPr>
              <w:spacing w:after="0" w:line="240" w:lineRule="auto"/>
              <w:ind w:firstLineChars="200" w:firstLine="320"/>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Vendas de Produtos</w:t>
            </w:r>
          </w:p>
        </w:tc>
        <w:tc>
          <w:tcPr>
            <w:tcW w:w="835" w:type="dxa"/>
            <w:tcBorders>
              <w:top w:val="nil"/>
              <w:bottom w:val="nil"/>
              <w:right w:val="single" w:sz="8" w:space="0" w:color="auto"/>
            </w:tcBorders>
            <w:shd w:val="clear" w:color="auto" w:fill="auto"/>
            <w:noWrap/>
            <w:vAlign w:val="center"/>
          </w:tcPr>
          <w:p w14:paraId="7EABD2BE"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20C0B404"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DVP.D019</w:t>
            </w:r>
          </w:p>
        </w:tc>
        <w:tc>
          <w:tcPr>
            <w:tcW w:w="1134" w:type="dxa"/>
            <w:tcBorders>
              <w:top w:val="nil"/>
              <w:left w:val="nil"/>
              <w:bottom w:val="nil"/>
              <w:right w:val="single" w:sz="8" w:space="0" w:color="auto"/>
            </w:tcBorders>
            <w:shd w:val="clear" w:color="auto" w:fill="auto"/>
            <w:noWrap/>
            <w:vAlign w:val="center"/>
            <w:hideMark/>
          </w:tcPr>
          <w:p w14:paraId="1BC6D3FF"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DVP.E019</w:t>
            </w:r>
          </w:p>
        </w:tc>
        <w:tc>
          <w:tcPr>
            <w:tcW w:w="4346" w:type="dxa"/>
            <w:tcBorders>
              <w:top w:val="nil"/>
              <w:left w:val="nil"/>
              <w:bottom w:val="nil"/>
            </w:tcBorders>
            <w:shd w:val="clear" w:color="auto" w:fill="auto"/>
            <w:noWrap/>
            <w:vAlign w:val="center"/>
            <w:hideMark/>
          </w:tcPr>
          <w:p w14:paraId="35BFAF9C" w14:textId="77777777" w:rsidR="004D5330" w:rsidRPr="004D5330" w:rsidRDefault="004D5330" w:rsidP="0015273C">
            <w:pPr>
              <w:spacing w:after="0" w:line="240" w:lineRule="auto"/>
              <w:ind w:firstLineChars="200" w:firstLine="320"/>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Políticas Públicas de Transferência de Renda</w:t>
            </w:r>
          </w:p>
        </w:tc>
        <w:tc>
          <w:tcPr>
            <w:tcW w:w="846" w:type="dxa"/>
            <w:tcBorders>
              <w:top w:val="nil"/>
              <w:bottom w:val="nil"/>
              <w:right w:val="single" w:sz="8" w:space="0" w:color="auto"/>
            </w:tcBorders>
            <w:shd w:val="clear" w:color="auto" w:fill="auto"/>
            <w:noWrap/>
            <w:vAlign w:val="center"/>
          </w:tcPr>
          <w:p w14:paraId="15C0C293"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1EF53F25"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DVP.H019</w:t>
            </w:r>
          </w:p>
        </w:tc>
        <w:tc>
          <w:tcPr>
            <w:tcW w:w="1120" w:type="dxa"/>
            <w:tcBorders>
              <w:top w:val="nil"/>
              <w:left w:val="nil"/>
              <w:bottom w:val="nil"/>
              <w:right w:val="single" w:sz="8" w:space="0" w:color="auto"/>
            </w:tcBorders>
            <w:shd w:val="clear" w:color="auto" w:fill="auto"/>
            <w:noWrap/>
            <w:vAlign w:val="center"/>
            <w:hideMark/>
          </w:tcPr>
          <w:p w14:paraId="41843BB1"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DVP.I019</w:t>
            </w:r>
          </w:p>
        </w:tc>
      </w:tr>
      <w:tr w:rsidR="004D5330" w:rsidRPr="004D5330" w14:paraId="7591BF34" w14:textId="77777777" w:rsidTr="0015273C">
        <w:trPr>
          <w:trHeight w:val="240"/>
        </w:trPr>
        <w:tc>
          <w:tcPr>
            <w:tcW w:w="4410" w:type="dxa"/>
            <w:tcBorders>
              <w:top w:val="nil"/>
              <w:left w:val="single" w:sz="8" w:space="0" w:color="auto"/>
              <w:bottom w:val="nil"/>
            </w:tcBorders>
            <w:shd w:val="clear" w:color="auto" w:fill="auto"/>
            <w:noWrap/>
            <w:vAlign w:val="center"/>
            <w:hideMark/>
          </w:tcPr>
          <w:p w14:paraId="6790F7C6" w14:textId="77777777" w:rsidR="004D5330" w:rsidRPr="004D5330" w:rsidRDefault="004D5330" w:rsidP="0015273C">
            <w:pPr>
              <w:spacing w:after="0" w:line="240" w:lineRule="auto"/>
              <w:ind w:firstLineChars="200" w:firstLine="320"/>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Exploração de Bens, Direitos e Prestação de Serviços</w:t>
            </w:r>
          </w:p>
        </w:tc>
        <w:tc>
          <w:tcPr>
            <w:tcW w:w="835" w:type="dxa"/>
            <w:tcBorders>
              <w:top w:val="nil"/>
              <w:bottom w:val="nil"/>
              <w:right w:val="single" w:sz="8" w:space="0" w:color="auto"/>
            </w:tcBorders>
            <w:shd w:val="clear" w:color="auto" w:fill="auto"/>
            <w:noWrap/>
            <w:vAlign w:val="center"/>
          </w:tcPr>
          <w:p w14:paraId="3F7E42F1"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69DAF37C"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DVP.D020</w:t>
            </w:r>
          </w:p>
        </w:tc>
        <w:tc>
          <w:tcPr>
            <w:tcW w:w="1134" w:type="dxa"/>
            <w:tcBorders>
              <w:top w:val="nil"/>
              <w:left w:val="nil"/>
              <w:bottom w:val="nil"/>
              <w:right w:val="single" w:sz="8" w:space="0" w:color="auto"/>
            </w:tcBorders>
            <w:shd w:val="clear" w:color="auto" w:fill="auto"/>
            <w:noWrap/>
            <w:vAlign w:val="center"/>
            <w:hideMark/>
          </w:tcPr>
          <w:p w14:paraId="0FBBD762"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DVP.E020</w:t>
            </w:r>
          </w:p>
        </w:tc>
        <w:tc>
          <w:tcPr>
            <w:tcW w:w="4346" w:type="dxa"/>
            <w:tcBorders>
              <w:top w:val="nil"/>
              <w:left w:val="nil"/>
              <w:bottom w:val="nil"/>
            </w:tcBorders>
            <w:shd w:val="clear" w:color="auto" w:fill="auto"/>
            <w:noWrap/>
            <w:vAlign w:val="center"/>
            <w:hideMark/>
          </w:tcPr>
          <w:p w14:paraId="34427D54" w14:textId="77777777" w:rsidR="004D5330" w:rsidRPr="004D5330" w:rsidRDefault="004D5330" w:rsidP="0015273C">
            <w:pPr>
              <w:spacing w:after="0" w:line="240" w:lineRule="auto"/>
              <w:ind w:firstLineChars="200" w:firstLine="320"/>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Outros Benefícios Previdenciários e Assistenciais</w:t>
            </w:r>
          </w:p>
        </w:tc>
        <w:tc>
          <w:tcPr>
            <w:tcW w:w="846" w:type="dxa"/>
            <w:tcBorders>
              <w:top w:val="nil"/>
              <w:bottom w:val="nil"/>
              <w:right w:val="single" w:sz="8" w:space="0" w:color="auto"/>
            </w:tcBorders>
            <w:shd w:val="clear" w:color="auto" w:fill="auto"/>
            <w:noWrap/>
            <w:vAlign w:val="center"/>
          </w:tcPr>
          <w:p w14:paraId="75CED83A"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1B4A2BAC"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DVP.H020</w:t>
            </w:r>
          </w:p>
        </w:tc>
        <w:tc>
          <w:tcPr>
            <w:tcW w:w="1120" w:type="dxa"/>
            <w:tcBorders>
              <w:top w:val="nil"/>
              <w:left w:val="nil"/>
              <w:bottom w:val="nil"/>
              <w:right w:val="single" w:sz="8" w:space="0" w:color="auto"/>
            </w:tcBorders>
            <w:shd w:val="clear" w:color="auto" w:fill="auto"/>
            <w:noWrap/>
            <w:vAlign w:val="center"/>
            <w:hideMark/>
          </w:tcPr>
          <w:p w14:paraId="077A300B"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DVP.I020</w:t>
            </w:r>
          </w:p>
        </w:tc>
      </w:tr>
      <w:tr w:rsidR="004D5330" w:rsidRPr="004D5330" w14:paraId="3E6BA6FB" w14:textId="77777777" w:rsidTr="0015273C">
        <w:trPr>
          <w:trHeight w:val="240"/>
        </w:trPr>
        <w:tc>
          <w:tcPr>
            <w:tcW w:w="4410" w:type="dxa"/>
            <w:tcBorders>
              <w:top w:val="nil"/>
              <w:left w:val="single" w:sz="8" w:space="0" w:color="auto"/>
              <w:bottom w:val="nil"/>
            </w:tcBorders>
            <w:shd w:val="clear" w:color="auto" w:fill="auto"/>
            <w:noWrap/>
            <w:vAlign w:val="center"/>
            <w:hideMark/>
          </w:tcPr>
          <w:p w14:paraId="73612A58" w14:textId="77777777" w:rsidR="004D5330" w:rsidRPr="004D5330" w:rsidRDefault="004D5330" w:rsidP="0015273C">
            <w:pPr>
              <w:spacing w:after="0" w:line="240" w:lineRule="auto"/>
              <w:rPr>
                <w:rFonts w:ascii="Arial Narrow" w:eastAsia="Times New Roman" w:hAnsi="Arial Narrow" w:cs="Arial"/>
                <w:b/>
                <w:bCs/>
                <w:sz w:val="16"/>
                <w:szCs w:val="16"/>
                <w:u w:val="single"/>
                <w:lang w:eastAsia="pt-BR"/>
              </w:rPr>
            </w:pPr>
            <w:r w:rsidRPr="004D5330">
              <w:rPr>
                <w:rFonts w:ascii="Arial Narrow" w:eastAsia="Times New Roman" w:hAnsi="Arial Narrow" w:cs="Arial"/>
                <w:b/>
                <w:bCs/>
                <w:sz w:val="16"/>
                <w:szCs w:val="16"/>
                <w:u w:val="single"/>
                <w:lang w:eastAsia="pt-BR"/>
              </w:rPr>
              <w:t>Variações Patrimoniais Aumentativas Financeiras</w:t>
            </w:r>
          </w:p>
        </w:tc>
        <w:tc>
          <w:tcPr>
            <w:tcW w:w="835" w:type="dxa"/>
            <w:tcBorders>
              <w:top w:val="nil"/>
              <w:bottom w:val="nil"/>
              <w:right w:val="single" w:sz="8" w:space="0" w:color="auto"/>
            </w:tcBorders>
            <w:shd w:val="clear" w:color="auto" w:fill="auto"/>
            <w:noWrap/>
            <w:vAlign w:val="center"/>
          </w:tcPr>
          <w:p w14:paraId="71A266EE" w14:textId="77777777" w:rsidR="004D5330" w:rsidRPr="004D5330" w:rsidRDefault="004D5330" w:rsidP="0015273C">
            <w:pPr>
              <w:spacing w:after="0" w:line="240" w:lineRule="auto"/>
              <w:jc w:val="center"/>
              <w:rPr>
                <w:rFonts w:ascii="Arial Narrow" w:eastAsia="Times New Roman" w:hAnsi="Arial Narrow" w:cs="Arial"/>
                <w:b/>
                <w:bCs/>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7E53A720" w14:textId="77777777" w:rsidR="004D5330" w:rsidRPr="004D5330" w:rsidRDefault="004D5330" w:rsidP="0015273C">
            <w:pPr>
              <w:spacing w:after="0" w:line="240" w:lineRule="auto"/>
              <w:jc w:val="center"/>
              <w:rPr>
                <w:rFonts w:ascii="Arial Narrow" w:eastAsia="Times New Roman" w:hAnsi="Arial Narrow" w:cs="Arial"/>
                <w:b/>
                <w:bCs/>
                <w:sz w:val="16"/>
                <w:szCs w:val="16"/>
                <w:lang w:eastAsia="pt-BR"/>
              </w:rPr>
            </w:pPr>
            <w:r w:rsidRPr="004D5330">
              <w:rPr>
                <w:rFonts w:ascii="Arial Narrow" w:eastAsia="Times New Roman" w:hAnsi="Arial Narrow" w:cs="Arial"/>
                <w:b/>
                <w:bCs/>
                <w:sz w:val="16"/>
                <w:szCs w:val="16"/>
                <w:lang w:eastAsia="pt-BR"/>
              </w:rPr>
              <w:t>DVP.D021</w:t>
            </w:r>
          </w:p>
        </w:tc>
        <w:tc>
          <w:tcPr>
            <w:tcW w:w="1134" w:type="dxa"/>
            <w:tcBorders>
              <w:top w:val="nil"/>
              <w:left w:val="nil"/>
              <w:bottom w:val="nil"/>
              <w:right w:val="single" w:sz="8" w:space="0" w:color="auto"/>
            </w:tcBorders>
            <w:shd w:val="clear" w:color="auto" w:fill="auto"/>
            <w:noWrap/>
            <w:vAlign w:val="center"/>
            <w:hideMark/>
          </w:tcPr>
          <w:p w14:paraId="6A3F81C4" w14:textId="77777777" w:rsidR="004D5330" w:rsidRPr="004D5330" w:rsidRDefault="004D5330" w:rsidP="0015273C">
            <w:pPr>
              <w:spacing w:after="0" w:line="240" w:lineRule="auto"/>
              <w:jc w:val="center"/>
              <w:rPr>
                <w:rFonts w:ascii="Arial Narrow" w:eastAsia="Times New Roman" w:hAnsi="Arial Narrow" w:cs="Arial"/>
                <w:b/>
                <w:bCs/>
                <w:sz w:val="16"/>
                <w:szCs w:val="16"/>
                <w:lang w:eastAsia="pt-BR"/>
              </w:rPr>
            </w:pPr>
            <w:r w:rsidRPr="004D5330">
              <w:rPr>
                <w:rFonts w:ascii="Arial Narrow" w:eastAsia="Times New Roman" w:hAnsi="Arial Narrow" w:cs="Arial"/>
                <w:b/>
                <w:bCs/>
                <w:sz w:val="16"/>
                <w:szCs w:val="16"/>
                <w:lang w:eastAsia="pt-BR"/>
              </w:rPr>
              <w:t>DVP.E021</w:t>
            </w:r>
          </w:p>
        </w:tc>
        <w:tc>
          <w:tcPr>
            <w:tcW w:w="4346" w:type="dxa"/>
            <w:tcBorders>
              <w:top w:val="nil"/>
              <w:left w:val="nil"/>
              <w:bottom w:val="nil"/>
            </w:tcBorders>
            <w:shd w:val="clear" w:color="auto" w:fill="auto"/>
            <w:noWrap/>
            <w:vAlign w:val="center"/>
            <w:hideMark/>
          </w:tcPr>
          <w:p w14:paraId="216221E2" w14:textId="77777777" w:rsidR="004D5330" w:rsidRPr="004D5330" w:rsidRDefault="004D5330" w:rsidP="0015273C">
            <w:pPr>
              <w:spacing w:after="0" w:line="240" w:lineRule="auto"/>
              <w:rPr>
                <w:rFonts w:ascii="Arial Narrow" w:eastAsia="Times New Roman" w:hAnsi="Arial Narrow" w:cs="Arial"/>
                <w:b/>
                <w:bCs/>
                <w:sz w:val="16"/>
                <w:szCs w:val="16"/>
                <w:u w:val="single"/>
                <w:lang w:eastAsia="pt-BR"/>
              </w:rPr>
            </w:pPr>
            <w:r w:rsidRPr="004D5330">
              <w:rPr>
                <w:rFonts w:ascii="Arial Narrow" w:eastAsia="Times New Roman" w:hAnsi="Arial Narrow" w:cs="Arial"/>
                <w:b/>
                <w:bCs/>
                <w:sz w:val="16"/>
                <w:szCs w:val="16"/>
                <w:u w:val="single"/>
                <w:lang w:eastAsia="pt-BR"/>
              </w:rPr>
              <w:t>Uso de Bens, Serviços e Consumo de Capital Fixo</w:t>
            </w:r>
          </w:p>
        </w:tc>
        <w:tc>
          <w:tcPr>
            <w:tcW w:w="846" w:type="dxa"/>
            <w:tcBorders>
              <w:top w:val="nil"/>
              <w:bottom w:val="nil"/>
              <w:right w:val="single" w:sz="8" w:space="0" w:color="auto"/>
            </w:tcBorders>
            <w:shd w:val="clear" w:color="auto" w:fill="auto"/>
            <w:noWrap/>
            <w:vAlign w:val="center"/>
          </w:tcPr>
          <w:p w14:paraId="4CBAA13C" w14:textId="77777777" w:rsidR="004D5330" w:rsidRPr="004D5330" w:rsidRDefault="004D5330" w:rsidP="0015273C">
            <w:pPr>
              <w:spacing w:after="0" w:line="240" w:lineRule="auto"/>
              <w:jc w:val="center"/>
              <w:rPr>
                <w:rFonts w:ascii="Arial Narrow" w:eastAsia="Times New Roman" w:hAnsi="Arial Narrow" w:cs="Arial"/>
                <w:b/>
                <w:bCs/>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2EC8553D" w14:textId="77777777" w:rsidR="004D5330" w:rsidRPr="004D5330" w:rsidRDefault="004D5330" w:rsidP="0015273C">
            <w:pPr>
              <w:spacing w:after="0" w:line="240" w:lineRule="auto"/>
              <w:jc w:val="center"/>
              <w:rPr>
                <w:rFonts w:ascii="Arial Narrow" w:eastAsia="Times New Roman" w:hAnsi="Arial Narrow" w:cs="Arial"/>
                <w:b/>
                <w:bCs/>
                <w:sz w:val="16"/>
                <w:szCs w:val="16"/>
                <w:lang w:eastAsia="pt-BR"/>
              </w:rPr>
            </w:pPr>
            <w:r w:rsidRPr="004D5330">
              <w:rPr>
                <w:rFonts w:ascii="Arial Narrow" w:eastAsia="Times New Roman" w:hAnsi="Arial Narrow" w:cs="Arial"/>
                <w:b/>
                <w:bCs/>
                <w:sz w:val="16"/>
                <w:szCs w:val="16"/>
                <w:lang w:eastAsia="pt-BR"/>
              </w:rPr>
              <w:t>DVP.H021</w:t>
            </w:r>
          </w:p>
        </w:tc>
        <w:tc>
          <w:tcPr>
            <w:tcW w:w="1120" w:type="dxa"/>
            <w:tcBorders>
              <w:top w:val="nil"/>
              <w:left w:val="nil"/>
              <w:bottom w:val="nil"/>
              <w:right w:val="single" w:sz="8" w:space="0" w:color="auto"/>
            </w:tcBorders>
            <w:shd w:val="clear" w:color="auto" w:fill="auto"/>
            <w:noWrap/>
            <w:vAlign w:val="center"/>
            <w:hideMark/>
          </w:tcPr>
          <w:p w14:paraId="567AC1DA" w14:textId="77777777" w:rsidR="004D5330" w:rsidRPr="004D5330" w:rsidRDefault="004D5330" w:rsidP="0015273C">
            <w:pPr>
              <w:spacing w:after="0" w:line="240" w:lineRule="auto"/>
              <w:jc w:val="center"/>
              <w:rPr>
                <w:rFonts w:ascii="Arial Narrow" w:eastAsia="Times New Roman" w:hAnsi="Arial Narrow" w:cs="Arial"/>
                <w:b/>
                <w:bCs/>
                <w:sz w:val="16"/>
                <w:szCs w:val="16"/>
                <w:lang w:eastAsia="pt-BR"/>
              </w:rPr>
            </w:pPr>
            <w:r w:rsidRPr="004D5330">
              <w:rPr>
                <w:rFonts w:ascii="Arial Narrow" w:eastAsia="Times New Roman" w:hAnsi="Arial Narrow" w:cs="Arial"/>
                <w:b/>
                <w:bCs/>
                <w:sz w:val="16"/>
                <w:szCs w:val="16"/>
                <w:lang w:eastAsia="pt-BR"/>
              </w:rPr>
              <w:t>DVP.I021</w:t>
            </w:r>
          </w:p>
        </w:tc>
      </w:tr>
      <w:tr w:rsidR="004D5330" w:rsidRPr="004D5330" w14:paraId="545059F7" w14:textId="77777777" w:rsidTr="0015273C">
        <w:trPr>
          <w:trHeight w:val="240"/>
        </w:trPr>
        <w:tc>
          <w:tcPr>
            <w:tcW w:w="4410" w:type="dxa"/>
            <w:tcBorders>
              <w:top w:val="nil"/>
              <w:left w:val="single" w:sz="8" w:space="0" w:color="auto"/>
              <w:bottom w:val="nil"/>
            </w:tcBorders>
            <w:shd w:val="clear" w:color="auto" w:fill="auto"/>
            <w:noWrap/>
            <w:vAlign w:val="center"/>
            <w:hideMark/>
          </w:tcPr>
          <w:p w14:paraId="42F1BC68" w14:textId="77777777" w:rsidR="004D5330" w:rsidRPr="004D5330" w:rsidRDefault="004D5330" w:rsidP="0015273C">
            <w:pPr>
              <w:spacing w:after="0" w:line="240" w:lineRule="auto"/>
              <w:ind w:firstLineChars="200" w:firstLine="320"/>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Juros e Encargos de Empréstimos e Financiamentos Concedidos</w:t>
            </w:r>
          </w:p>
        </w:tc>
        <w:tc>
          <w:tcPr>
            <w:tcW w:w="835" w:type="dxa"/>
            <w:tcBorders>
              <w:top w:val="nil"/>
              <w:bottom w:val="nil"/>
              <w:right w:val="single" w:sz="8" w:space="0" w:color="auto"/>
            </w:tcBorders>
            <w:shd w:val="clear" w:color="auto" w:fill="auto"/>
            <w:noWrap/>
            <w:vAlign w:val="center"/>
          </w:tcPr>
          <w:p w14:paraId="4ED5B7B9"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77F61B28"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DVP.D022</w:t>
            </w:r>
          </w:p>
        </w:tc>
        <w:tc>
          <w:tcPr>
            <w:tcW w:w="1134" w:type="dxa"/>
            <w:tcBorders>
              <w:top w:val="nil"/>
              <w:left w:val="nil"/>
              <w:bottom w:val="nil"/>
              <w:right w:val="single" w:sz="8" w:space="0" w:color="auto"/>
            </w:tcBorders>
            <w:shd w:val="clear" w:color="auto" w:fill="auto"/>
            <w:noWrap/>
            <w:vAlign w:val="center"/>
            <w:hideMark/>
          </w:tcPr>
          <w:p w14:paraId="377CBD66"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DVP.E022</w:t>
            </w:r>
          </w:p>
        </w:tc>
        <w:tc>
          <w:tcPr>
            <w:tcW w:w="4346" w:type="dxa"/>
            <w:tcBorders>
              <w:top w:val="nil"/>
              <w:left w:val="nil"/>
              <w:bottom w:val="nil"/>
            </w:tcBorders>
            <w:shd w:val="clear" w:color="auto" w:fill="auto"/>
            <w:noWrap/>
            <w:vAlign w:val="center"/>
            <w:hideMark/>
          </w:tcPr>
          <w:p w14:paraId="477AD33D" w14:textId="77777777" w:rsidR="004D5330" w:rsidRPr="004D5330" w:rsidRDefault="004D5330" w:rsidP="0015273C">
            <w:pPr>
              <w:spacing w:after="0" w:line="240" w:lineRule="auto"/>
              <w:ind w:firstLineChars="200" w:firstLine="320"/>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Uso de Material de Consumo</w:t>
            </w:r>
          </w:p>
        </w:tc>
        <w:tc>
          <w:tcPr>
            <w:tcW w:w="846" w:type="dxa"/>
            <w:tcBorders>
              <w:top w:val="nil"/>
              <w:bottom w:val="nil"/>
              <w:right w:val="single" w:sz="8" w:space="0" w:color="auto"/>
            </w:tcBorders>
            <w:shd w:val="clear" w:color="auto" w:fill="auto"/>
            <w:noWrap/>
            <w:vAlign w:val="center"/>
          </w:tcPr>
          <w:p w14:paraId="4E069530"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6D963DF5"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DVP.H022</w:t>
            </w:r>
          </w:p>
        </w:tc>
        <w:tc>
          <w:tcPr>
            <w:tcW w:w="1120" w:type="dxa"/>
            <w:tcBorders>
              <w:top w:val="nil"/>
              <w:left w:val="nil"/>
              <w:bottom w:val="nil"/>
              <w:right w:val="single" w:sz="8" w:space="0" w:color="auto"/>
            </w:tcBorders>
            <w:shd w:val="clear" w:color="auto" w:fill="auto"/>
            <w:noWrap/>
            <w:vAlign w:val="center"/>
            <w:hideMark/>
          </w:tcPr>
          <w:p w14:paraId="37D3D2F2"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DVP.I022</w:t>
            </w:r>
          </w:p>
        </w:tc>
      </w:tr>
      <w:tr w:rsidR="004D5330" w:rsidRPr="004D5330" w14:paraId="08420FC6" w14:textId="77777777" w:rsidTr="0015273C">
        <w:trPr>
          <w:trHeight w:val="240"/>
        </w:trPr>
        <w:tc>
          <w:tcPr>
            <w:tcW w:w="4410" w:type="dxa"/>
            <w:tcBorders>
              <w:top w:val="nil"/>
              <w:left w:val="single" w:sz="8" w:space="0" w:color="auto"/>
              <w:bottom w:val="nil"/>
            </w:tcBorders>
            <w:shd w:val="clear" w:color="auto" w:fill="auto"/>
            <w:noWrap/>
            <w:vAlign w:val="center"/>
            <w:hideMark/>
          </w:tcPr>
          <w:p w14:paraId="29984095" w14:textId="77777777" w:rsidR="004D5330" w:rsidRPr="004D5330" w:rsidRDefault="004D5330" w:rsidP="0015273C">
            <w:pPr>
              <w:spacing w:after="0" w:line="240" w:lineRule="auto"/>
              <w:ind w:firstLineChars="200" w:firstLine="320"/>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Juros e Encargos de Mora</w:t>
            </w:r>
          </w:p>
        </w:tc>
        <w:tc>
          <w:tcPr>
            <w:tcW w:w="835" w:type="dxa"/>
            <w:tcBorders>
              <w:top w:val="nil"/>
              <w:bottom w:val="nil"/>
              <w:right w:val="single" w:sz="8" w:space="0" w:color="auto"/>
            </w:tcBorders>
            <w:shd w:val="clear" w:color="auto" w:fill="auto"/>
            <w:noWrap/>
            <w:vAlign w:val="center"/>
          </w:tcPr>
          <w:p w14:paraId="50F26487"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7E07650F"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DVP.D023</w:t>
            </w:r>
          </w:p>
        </w:tc>
        <w:tc>
          <w:tcPr>
            <w:tcW w:w="1134" w:type="dxa"/>
            <w:tcBorders>
              <w:top w:val="nil"/>
              <w:left w:val="nil"/>
              <w:bottom w:val="nil"/>
              <w:right w:val="single" w:sz="8" w:space="0" w:color="auto"/>
            </w:tcBorders>
            <w:shd w:val="clear" w:color="auto" w:fill="auto"/>
            <w:noWrap/>
            <w:vAlign w:val="center"/>
            <w:hideMark/>
          </w:tcPr>
          <w:p w14:paraId="7CBCDE5E"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DVP.E023</w:t>
            </w:r>
          </w:p>
        </w:tc>
        <w:tc>
          <w:tcPr>
            <w:tcW w:w="4346" w:type="dxa"/>
            <w:tcBorders>
              <w:top w:val="nil"/>
              <w:left w:val="nil"/>
              <w:bottom w:val="nil"/>
            </w:tcBorders>
            <w:shd w:val="clear" w:color="auto" w:fill="auto"/>
            <w:noWrap/>
            <w:vAlign w:val="center"/>
            <w:hideMark/>
          </w:tcPr>
          <w:p w14:paraId="74ABA7F8" w14:textId="77777777" w:rsidR="004D5330" w:rsidRPr="004D5330" w:rsidRDefault="004D5330" w:rsidP="0015273C">
            <w:pPr>
              <w:spacing w:after="0" w:line="240" w:lineRule="auto"/>
              <w:ind w:firstLineChars="200" w:firstLine="320"/>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Serviços</w:t>
            </w:r>
          </w:p>
        </w:tc>
        <w:tc>
          <w:tcPr>
            <w:tcW w:w="846" w:type="dxa"/>
            <w:tcBorders>
              <w:top w:val="nil"/>
              <w:bottom w:val="nil"/>
              <w:right w:val="single" w:sz="8" w:space="0" w:color="auto"/>
            </w:tcBorders>
            <w:shd w:val="clear" w:color="auto" w:fill="auto"/>
            <w:noWrap/>
            <w:vAlign w:val="center"/>
          </w:tcPr>
          <w:p w14:paraId="7857BD9E"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59123F39"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DVP.H023</w:t>
            </w:r>
          </w:p>
        </w:tc>
        <w:tc>
          <w:tcPr>
            <w:tcW w:w="1120" w:type="dxa"/>
            <w:tcBorders>
              <w:top w:val="nil"/>
              <w:left w:val="nil"/>
              <w:bottom w:val="nil"/>
              <w:right w:val="single" w:sz="8" w:space="0" w:color="auto"/>
            </w:tcBorders>
            <w:shd w:val="clear" w:color="auto" w:fill="auto"/>
            <w:noWrap/>
            <w:vAlign w:val="center"/>
            <w:hideMark/>
          </w:tcPr>
          <w:p w14:paraId="2C104C0B"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DVP.I023</w:t>
            </w:r>
          </w:p>
        </w:tc>
      </w:tr>
      <w:tr w:rsidR="004D5330" w:rsidRPr="004D5330" w14:paraId="226363A1" w14:textId="77777777" w:rsidTr="0015273C">
        <w:trPr>
          <w:trHeight w:val="240"/>
        </w:trPr>
        <w:tc>
          <w:tcPr>
            <w:tcW w:w="4410" w:type="dxa"/>
            <w:tcBorders>
              <w:top w:val="nil"/>
              <w:left w:val="single" w:sz="8" w:space="0" w:color="auto"/>
              <w:bottom w:val="nil"/>
            </w:tcBorders>
            <w:shd w:val="clear" w:color="auto" w:fill="auto"/>
            <w:noWrap/>
            <w:vAlign w:val="center"/>
            <w:hideMark/>
          </w:tcPr>
          <w:p w14:paraId="6963E73C" w14:textId="77777777" w:rsidR="004D5330" w:rsidRPr="004D5330" w:rsidRDefault="004D5330" w:rsidP="0015273C">
            <w:pPr>
              <w:spacing w:after="0" w:line="240" w:lineRule="auto"/>
              <w:ind w:firstLineChars="200" w:firstLine="320"/>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Variações Monetárias e Cambiais</w:t>
            </w:r>
          </w:p>
        </w:tc>
        <w:tc>
          <w:tcPr>
            <w:tcW w:w="835" w:type="dxa"/>
            <w:tcBorders>
              <w:top w:val="nil"/>
              <w:bottom w:val="nil"/>
              <w:right w:val="single" w:sz="8" w:space="0" w:color="auto"/>
            </w:tcBorders>
            <w:shd w:val="clear" w:color="auto" w:fill="auto"/>
            <w:noWrap/>
            <w:vAlign w:val="center"/>
          </w:tcPr>
          <w:p w14:paraId="38AACD80"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0B9A8623"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DVP.D024</w:t>
            </w:r>
          </w:p>
        </w:tc>
        <w:tc>
          <w:tcPr>
            <w:tcW w:w="1134" w:type="dxa"/>
            <w:tcBorders>
              <w:top w:val="nil"/>
              <w:left w:val="nil"/>
              <w:bottom w:val="nil"/>
              <w:right w:val="single" w:sz="8" w:space="0" w:color="auto"/>
            </w:tcBorders>
            <w:shd w:val="clear" w:color="auto" w:fill="auto"/>
            <w:noWrap/>
            <w:vAlign w:val="center"/>
            <w:hideMark/>
          </w:tcPr>
          <w:p w14:paraId="4218B000"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DVP.E024</w:t>
            </w:r>
          </w:p>
        </w:tc>
        <w:tc>
          <w:tcPr>
            <w:tcW w:w="4346" w:type="dxa"/>
            <w:tcBorders>
              <w:top w:val="nil"/>
              <w:left w:val="nil"/>
              <w:bottom w:val="nil"/>
            </w:tcBorders>
            <w:shd w:val="clear" w:color="auto" w:fill="auto"/>
            <w:noWrap/>
            <w:vAlign w:val="center"/>
            <w:hideMark/>
          </w:tcPr>
          <w:p w14:paraId="4824CE2F" w14:textId="77777777" w:rsidR="004D5330" w:rsidRPr="004D5330" w:rsidRDefault="004D5330" w:rsidP="0015273C">
            <w:pPr>
              <w:spacing w:after="0" w:line="240" w:lineRule="auto"/>
              <w:ind w:firstLineChars="200" w:firstLine="320"/>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Depreciação, Amortização e Exaustão</w:t>
            </w:r>
          </w:p>
        </w:tc>
        <w:tc>
          <w:tcPr>
            <w:tcW w:w="846" w:type="dxa"/>
            <w:tcBorders>
              <w:top w:val="nil"/>
              <w:bottom w:val="nil"/>
              <w:right w:val="single" w:sz="8" w:space="0" w:color="auto"/>
            </w:tcBorders>
            <w:shd w:val="clear" w:color="auto" w:fill="auto"/>
            <w:noWrap/>
            <w:vAlign w:val="center"/>
          </w:tcPr>
          <w:p w14:paraId="4706C747"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6A17BF57"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DVP.H024</w:t>
            </w:r>
          </w:p>
        </w:tc>
        <w:tc>
          <w:tcPr>
            <w:tcW w:w="1120" w:type="dxa"/>
            <w:tcBorders>
              <w:top w:val="nil"/>
              <w:left w:val="nil"/>
              <w:bottom w:val="nil"/>
              <w:right w:val="single" w:sz="8" w:space="0" w:color="auto"/>
            </w:tcBorders>
            <w:shd w:val="clear" w:color="auto" w:fill="auto"/>
            <w:noWrap/>
            <w:vAlign w:val="center"/>
            <w:hideMark/>
          </w:tcPr>
          <w:p w14:paraId="2C145090"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DVP.I024</w:t>
            </w:r>
          </w:p>
        </w:tc>
      </w:tr>
      <w:tr w:rsidR="004D5330" w:rsidRPr="004D5330" w14:paraId="34372CCB" w14:textId="77777777" w:rsidTr="0015273C">
        <w:trPr>
          <w:trHeight w:val="240"/>
        </w:trPr>
        <w:tc>
          <w:tcPr>
            <w:tcW w:w="4410" w:type="dxa"/>
            <w:tcBorders>
              <w:top w:val="nil"/>
              <w:left w:val="single" w:sz="8" w:space="0" w:color="auto"/>
              <w:bottom w:val="nil"/>
            </w:tcBorders>
            <w:shd w:val="clear" w:color="auto" w:fill="auto"/>
            <w:noWrap/>
            <w:vAlign w:val="center"/>
            <w:hideMark/>
          </w:tcPr>
          <w:p w14:paraId="59F1DD9F" w14:textId="77777777" w:rsidR="004D5330" w:rsidRPr="004D5330" w:rsidRDefault="004D5330" w:rsidP="0015273C">
            <w:pPr>
              <w:spacing w:after="0" w:line="240" w:lineRule="auto"/>
              <w:ind w:firstLineChars="200" w:firstLine="320"/>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Descontos Financeiros Obtidos</w:t>
            </w:r>
          </w:p>
        </w:tc>
        <w:tc>
          <w:tcPr>
            <w:tcW w:w="835" w:type="dxa"/>
            <w:tcBorders>
              <w:top w:val="nil"/>
              <w:bottom w:val="nil"/>
              <w:right w:val="single" w:sz="8" w:space="0" w:color="auto"/>
            </w:tcBorders>
            <w:shd w:val="clear" w:color="auto" w:fill="auto"/>
            <w:noWrap/>
            <w:vAlign w:val="center"/>
          </w:tcPr>
          <w:p w14:paraId="2ECFF734"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7B4B4294"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DVP.D025</w:t>
            </w:r>
          </w:p>
        </w:tc>
        <w:tc>
          <w:tcPr>
            <w:tcW w:w="1134" w:type="dxa"/>
            <w:tcBorders>
              <w:top w:val="nil"/>
              <w:left w:val="nil"/>
              <w:bottom w:val="nil"/>
              <w:right w:val="single" w:sz="8" w:space="0" w:color="auto"/>
            </w:tcBorders>
            <w:shd w:val="clear" w:color="auto" w:fill="auto"/>
            <w:noWrap/>
            <w:vAlign w:val="center"/>
            <w:hideMark/>
          </w:tcPr>
          <w:p w14:paraId="11462CEB"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DVP.E025</w:t>
            </w:r>
          </w:p>
        </w:tc>
        <w:tc>
          <w:tcPr>
            <w:tcW w:w="4346" w:type="dxa"/>
            <w:tcBorders>
              <w:top w:val="nil"/>
              <w:left w:val="nil"/>
              <w:bottom w:val="nil"/>
            </w:tcBorders>
            <w:shd w:val="clear" w:color="auto" w:fill="auto"/>
            <w:noWrap/>
            <w:vAlign w:val="center"/>
            <w:hideMark/>
          </w:tcPr>
          <w:p w14:paraId="4C35DE4E" w14:textId="77777777" w:rsidR="004D5330" w:rsidRPr="004D5330" w:rsidRDefault="004D5330" w:rsidP="0015273C">
            <w:pPr>
              <w:spacing w:after="0" w:line="240" w:lineRule="auto"/>
              <w:rPr>
                <w:rFonts w:ascii="Arial Narrow" w:eastAsia="Times New Roman" w:hAnsi="Arial Narrow" w:cs="Arial"/>
                <w:b/>
                <w:bCs/>
                <w:sz w:val="16"/>
                <w:szCs w:val="16"/>
                <w:u w:val="single"/>
                <w:lang w:eastAsia="pt-BR"/>
              </w:rPr>
            </w:pPr>
            <w:r w:rsidRPr="004D5330">
              <w:rPr>
                <w:rFonts w:ascii="Arial Narrow" w:eastAsia="Times New Roman" w:hAnsi="Arial Narrow" w:cs="Arial"/>
                <w:b/>
                <w:bCs/>
                <w:sz w:val="16"/>
                <w:szCs w:val="16"/>
                <w:u w:val="single"/>
                <w:lang w:eastAsia="pt-BR"/>
              </w:rPr>
              <w:t>Variações Patrimoniais Diminutivas Financeiras</w:t>
            </w:r>
          </w:p>
        </w:tc>
        <w:tc>
          <w:tcPr>
            <w:tcW w:w="846" w:type="dxa"/>
            <w:tcBorders>
              <w:top w:val="nil"/>
              <w:bottom w:val="nil"/>
              <w:right w:val="single" w:sz="8" w:space="0" w:color="auto"/>
            </w:tcBorders>
            <w:shd w:val="clear" w:color="auto" w:fill="auto"/>
            <w:noWrap/>
            <w:vAlign w:val="center"/>
          </w:tcPr>
          <w:p w14:paraId="499E333F" w14:textId="77777777" w:rsidR="004D5330" w:rsidRPr="004D5330" w:rsidRDefault="004D5330" w:rsidP="0015273C">
            <w:pPr>
              <w:spacing w:after="0" w:line="240" w:lineRule="auto"/>
              <w:jc w:val="center"/>
              <w:rPr>
                <w:rFonts w:ascii="Arial Narrow" w:eastAsia="Times New Roman" w:hAnsi="Arial Narrow" w:cs="Arial"/>
                <w:b/>
                <w:bCs/>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5520DAB7" w14:textId="77777777" w:rsidR="004D5330" w:rsidRPr="004D5330" w:rsidRDefault="004D5330" w:rsidP="0015273C">
            <w:pPr>
              <w:spacing w:after="0" w:line="240" w:lineRule="auto"/>
              <w:jc w:val="center"/>
              <w:rPr>
                <w:rFonts w:ascii="Arial Narrow" w:eastAsia="Times New Roman" w:hAnsi="Arial Narrow" w:cs="Arial"/>
                <w:b/>
                <w:bCs/>
                <w:sz w:val="16"/>
                <w:szCs w:val="16"/>
                <w:lang w:eastAsia="pt-BR"/>
              </w:rPr>
            </w:pPr>
            <w:r w:rsidRPr="004D5330">
              <w:rPr>
                <w:rFonts w:ascii="Arial Narrow" w:eastAsia="Times New Roman" w:hAnsi="Arial Narrow" w:cs="Arial"/>
                <w:b/>
                <w:bCs/>
                <w:sz w:val="16"/>
                <w:szCs w:val="16"/>
                <w:lang w:eastAsia="pt-BR"/>
              </w:rPr>
              <w:t>DVP.H025</w:t>
            </w:r>
          </w:p>
        </w:tc>
        <w:tc>
          <w:tcPr>
            <w:tcW w:w="1120" w:type="dxa"/>
            <w:tcBorders>
              <w:top w:val="nil"/>
              <w:left w:val="nil"/>
              <w:bottom w:val="nil"/>
              <w:right w:val="single" w:sz="8" w:space="0" w:color="auto"/>
            </w:tcBorders>
            <w:shd w:val="clear" w:color="auto" w:fill="auto"/>
            <w:noWrap/>
            <w:vAlign w:val="center"/>
            <w:hideMark/>
          </w:tcPr>
          <w:p w14:paraId="68738EB9" w14:textId="77777777" w:rsidR="004D5330" w:rsidRPr="004D5330" w:rsidRDefault="004D5330" w:rsidP="0015273C">
            <w:pPr>
              <w:spacing w:after="0" w:line="240" w:lineRule="auto"/>
              <w:jc w:val="center"/>
              <w:rPr>
                <w:rFonts w:ascii="Arial Narrow" w:eastAsia="Times New Roman" w:hAnsi="Arial Narrow" w:cs="Arial"/>
                <w:b/>
                <w:bCs/>
                <w:sz w:val="16"/>
                <w:szCs w:val="16"/>
                <w:lang w:eastAsia="pt-BR"/>
              </w:rPr>
            </w:pPr>
            <w:r w:rsidRPr="004D5330">
              <w:rPr>
                <w:rFonts w:ascii="Arial Narrow" w:eastAsia="Times New Roman" w:hAnsi="Arial Narrow" w:cs="Arial"/>
                <w:b/>
                <w:bCs/>
                <w:sz w:val="16"/>
                <w:szCs w:val="16"/>
                <w:lang w:eastAsia="pt-BR"/>
              </w:rPr>
              <w:t>DVP.I025</w:t>
            </w:r>
          </w:p>
        </w:tc>
      </w:tr>
      <w:tr w:rsidR="004D5330" w:rsidRPr="004D5330" w14:paraId="3E4BCC7D" w14:textId="77777777" w:rsidTr="0015273C">
        <w:trPr>
          <w:trHeight w:val="240"/>
        </w:trPr>
        <w:tc>
          <w:tcPr>
            <w:tcW w:w="4410" w:type="dxa"/>
            <w:tcBorders>
              <w:top w:val="nil"/>
              <w:left w:val="single" w:sz="8" w:space="0" w:color="auto"/>
              <w:bottom w:val="nil"/>
            </w:tcBorders>
            <w:shd w:val="clear" w:color="auto" w:fill="auto"/>
            <w:noWrap/>
            <w:vAlign w:val="center"/>
            <w:hideMark/>
          </w:tcPr>
          <w:p w14:paraId="43BE3C91" w14:textId="77777777" w:rsidR="004D5330" w:rsidRPr="004D5330" w:rsidRDefault="004D5330" w:rsidP="0015273C">
            <w:pPr>
              <w:spacing w:after="0" w:line="240" w:lineRule="auto"/>
              <w:ind w:firstLineChars="200" w:firstLine="320"/>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Remuneração de Depósitos Bancários e Aplicações Financeiras</w:t>
            </w:r>
          </w:p>
        </w:tc>
        <w:tc>
          <w:tcPr>
            <w:tcW w:w="835" w:type="dxa"/>
            <w:tcBorders>
              <w:top w:val="nil"/>
              <w:bottom w:val="nil"/>
              <w:right w:val="single" w:sz="8" w:space="0" w:color="auto"/>
            </w:tcBorders>
            <w:shd w:val="clear" w:color="auto" w:fill="auto"/>
            <w:noWrap/>
            <w:vAlign w:val="center"/>
          </w:tcPr>
          <w:p w14:paraId="742651D3"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7D1E12F8"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DVP.D026</w:t>
            </w:r>
          </w:p>
        </w:tc>
        <w:tc>
          <w:tcPr>
            <w:tcW w:w="1134" w:type="dxa"/>
            <w:tcBorders>
              <w:top w:val="nil"/>
              <w:left w:val="nil"/>
              <w:bottom w:val="nil"/>
              <w:right w:val="single" w:sz="8" w:space="0" w:color="auto"/>
            </w:tcBorders>
            <w:shd w:val="clear" w:color="auto" w:fill="auto"/>
            <w:noWrap/>
            <w:vAlign w:val="center"/>
            <w:hideMark/>
          </w:tcPr>
          <w:p w14:paraId="05CAB619"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DVP.E026</w:t>
            </w:r>
          </w:p>
        </w:tc>
        <w:tc>
          <w:tcPr>
            <w:tcW w:w="4346" w:type="dxa"/>
            <w:tcBorders>
              <w:top w:val="nil"/>
              <w:left w:val="nil"/>
              <w:bottom w:val="nil"/>
            </w:tcBorders>
            <w:shd w:val="clear" w:color="auto" w:fill="auto"/>
            <w:noWrap/>
            <w:vAlign w:val="center"/>
            <w:hideMark/>
          </w:tcPr>
          <w:p w14:paraId="4CB89640" w14:textId="77777777" w:rsidR="004D5330" w:rsidRPr="004D5330" w:rsidRDefault="004D5330" w:rsidP="0015273C">
            <w:pPr>
              <w:spacing w:after="0" w:line="240" w:lineRule="auto"/>
              <w:ind w:firstLineChars="200" w:firstLine="320"/>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Juros e Encargos de Empréstimos e Financiamentos Obtidos</w:t>
            </w:r>
          </w:p>
        </w:tc>
        <w:tc>
          <w:tcPr>
            <w:tcW w:w="846" w:type="dxa"/>
            <w:tcBorders>
              <w:top w:val="nil"/>
              <w:bottom w:val="nil"/>
              <w:right w:val="single" w:sz="8" w:space="0" w:color="auto"/>
            </w:tcBorders>
            <w:shd w:val="clear" w:color="auto" w:fill="auto"/>
            <w:noWrap/>
            <w:vAlign w:val="center"/>
          </w:tcPr>
          <w:p w14:paraId="606905CA"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38100FD8"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DVP.H026</w:t>
            </w:r>
          </w:p>
        </w:tc>
        <w:tc>
          <w:tcPr>
            <w:tcW w:w="1120" w:type="dxa"/>
            <w:tcBorders>
              <w:top w:val="nil"/>
              <w:left w:val="nil"/>
              <w:bottom w:val="nil"/>
              <w:right w:val="single" w:sz="8" w:space="0" w:color="auto"/>
            </w:tcBorders>
            <w:shd w:val="clear" w:color="auto" w:fill="auto"/>
            <w:noWrap/>
            <w:vAlign w:val="center"/>
            <w:hideMark/>
          </w:tcPr>
          <w:p w14:paraId="5B3C95CD"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DVP.I026</w:t>
            </w:r>
          </w:p>
        </w:tc>
      </w:tr>
      <w:tr w:rsidR="004D5330" w:rsidRPr="004D5330" w14:paraId="178D82A2" w14:textId="77777777" w:rsidTr="0015273C">
        <w:trPr>
          <w:trHeight w:val="240"/>
        </w:trPr>
        <w:tc>
          <w:tcPr>
            <w:tcW w:w="4410" w:type="dxa"/>
            <w:tcBorders>
              <w:top w:val="nil"/>
              <w:left w:val="single" w:sz="8" w:space="0" w:color="auto"/>
              <w:bottom w:val="nil"/>
            </w:tcBorders>
            <w:shd w:val="clear" w:color="auto" w:fill="auto"/>
            <w:noWrap/>
            <w:vAlign w:val="center"/>
          </w:tcPr>
          <w:p w14:paraId="7CF0AA47" w14:textId="77777777" w:rsidR="004D5330" w:rsidRPr="004D5330" w:rsidRDefault="004D5330" w:rsidP="0015273C">
            <w:pPr>
              <w:spacing w:after="0" w:line="240" w:lineRule="auto"/>
              <w:ind w:firstLineChars="200" w:firstLine="320"/>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Juros e Encargos de Empréstimos Obtidos</w:t>
            </w:r>
          </w:p>
        </w:tc>
        <w:tc>
          <w:tcPr>
            <w:tcW w:w="835" w:type="dxa"/>
            <w:tcBorders>
              <w:top w:val="nil"/>
              <w:bottom w:val="nil"/>
              <w:right w:val="single" w:sz="8" w:space="0" w:color="auto"/>
            </w:tcBorders>
            <w:shd w:val="clear" w:color="auto" w:fill="auto"/>
            <w:noWrap/>
            <w:vAlign w:val="center"/>
          </w:tcPr>
          <w:p w14:paraId="37C161F3"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tcPr>
          <w:p w14:paraId="10D7805F"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DVP.D051</w:t>
            </w:r>
          </w:p>
        </w:tc>
        <w:tc>
          <w:tcPr>
            <w:tcW w:w="1134" w:type="dxa"/>
            <w:tcBorders>
              <w:top w:val="nil"/>
              <w:left w:val="nil"/>
              <w:bottom w:val="nil"/>
              <w:right w:val="single" w:sz="8" w:space="0" w:color="auto"/>
            </w:tcBorders>
            <w:shd w:val="clear" w:color="auto" w:fill="auto"/>
            <w:noWrap/>
            <w:vAlign w:val="center"/>
          </w:tcPr>
          <w:p w14:paraId="36646EDD" w14:textId="6932656D"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w:t>
            </w:r>
            <w:r w:rsidR="00366207">
              <w:rPr>
                <w:rFonts w:ascii="Arial Narrow" w:eastAsia="Times New Roman" w:hAnsi="Arial Narrow" w:cs="Arial"/>
                <w:sz w:val="16"/>
                <w:szCs w:val="16"/>
                <w:lang w:eastAsia="pt-BR"/>
              </w:rPr>
              <w:t>E</w:t>
            </w:r>
            <w:r w:rsidRPr="004D5330">
              <w:rPr>
                <w:rFonts w:ascii="Arial Narrow" w:eastAsia="Times New Roman" w:hAnsi="Arial Narrow" w:cs="Arial"/>
                <w:sz w:val="16"/>
                <w:szCs w:val="16"/>
                <w:lang w:eastAsia="pt-BR"/>
              </w:rPr>
              <w:t>051</w:t>
            </w:r>
          </w:p>
        </w:tc>
        <w:tc>
          <w:tcPr>
            <w:tcW w:w="4346" w:type="dxa"/>
            <w:tcBorders>
              <w:top w:val="nil"/>
              <w:left w:val="nil"/>
              <w:bottom w:val="nil"/>
            </w:tcBorders>
            <w:shd w:val="clear" w:color="auto" w:fill="auto"/>
            <w:noWrap/>
            <w:vAlign w:val="center"/>
          </w:tcPr>
          <w:p w14:paraId="45FDF086" w14:textId="77777777" w:rsidR="004D5330" w:rsidRPr="004D5330" w:rsidRDefault="004D5330" w:rsidP="0015273C">
            <w:pPr>
              <w:spacing w:after="0" w:line="240" w:lineRule="auto"/>
              <w:ind w:firstLineChars="200" w:firstLine="320"/>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Juros e Encargos de Mora</w:t>
            </w:r>
          </w:p>
        </w:tc>
        <w:tc>
          <w:tcPr>
            <w:tcW w:w="846" w:type="dxa"/>
            <w:tcBorders>
              <w:top w:val="nil"/>
              <w:bottom w:val="nil"/>
              <w:right w:val="single" w:sz="8" w:space="0" w:color="auto"/>
            </w:tcBorders>
            <w:shd w:val="clear" w:color="auto" w:fill="auto"/>
            <w:noWrap/>
            <w:vAlign w:val="center"/>
          </w:tcPr>
          <w:p w14:paraId="3A010F29"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tcPr>
          <w:p w14:paraId="55AF6080"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DVP.H027</w:t>
            </w:r>
          </w:p>
        </w:tc>
        <w:tc>
          <w:tcPr>
            <w:tcW w:w="1120" w:type="dxa"/>
            <w:tcBorders>
              <w:top w:val="nil"/>
              <w:left w:val="nil"/>
              <w:bottom w:val="nil"/>
              <w:right w:val="single" w:sz="8" w:space="0" w:color="auto"/>
            </w:tcBorders>
            <w:shd w:val="clear" w:color="auto" w:fill="auto"/>
            <w:noWrap/>
            <w:vAlign w:val="center"/>
          </w:tcPr>
          <w:p w14:paraId="4415E8B7"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DVP.I027</w:t>
            </w:r>
          </w:p>
        </w:tc>
      </w:tr>
      <w:tr w:rsidR="004D5330" w:rsidRPr="004D5330" w14:paraId="7DD2E88C" w14:textId="77777777" w:rsidTr="0015273C">
        <w:trPr>
          <w:trHeight w:val="240"/>
        </w:trPr>
        <w:tc>
          <w:tcPr>
            <w:tcW w:w="4410" w:type="dxa"/>
            <w:tcBorders>
              <w:top w:val="nil"/>
              <w:left w:val="single" w:sz="8" w:space="0" w:color="auto"/>
              <w:bottom w:val="nil"/>
            </w:tcBorders>
            <w:shd w:val="clear" w:color="auto" w:fill="auto"/>
            <w:noWrap/>
            <w:vAlign w:val="center"/>
            <w:hideMark/>
          </w:tcPr>
          <w:p w14:paraId="2AD945A3" w14:textId="77777777" w:rsidR="004D5330" w:rsidRPr="004D5330" w:rsidRDefault="004D5330" w:rsidP="0015273C">
            <w:pPr>
              <w:spacing w:after="0" w:line="240" w:lineRule="auto"/>
              <w:ind w:firstLineChars="200" w:firstLine="320"/>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Outras Variações Patrimoniais Aumentativas - Financeiras</w:t>
            </w:r>
          </w:p>
        </w:tc>
        <w:tc>
          <w:tcPr>
            <w:tcW w:w="835" w:type="dxa"/>
            <w:tcBorders>
              <w:top w:val="nil"/>
              <w:bottom w:val="nil"/>
              <w:right w:val="single" w:sz="8" w:space="0" w:color="auto"/>
            </w:tcBorders>
            <w:shd w:val="clear" w:color="auto" w:fill="auto"/>
            <w:noWrap/>
            <w:vAlign w:val="center"/>
          </w:tcPr>
          <w:p w14:paraId="6C514E50"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06363393"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DVP.D027</w:t>
            </w:r>
          </w:p>
        </w:tc>
        <w:tc>
          <w:tcPr>
            <w:tcW w:w="1134" w:type="dxa"/>
            <w:tcBorders>
              <w:top w:val="nil"/>
              <w:left w:val="nil"/>
              <w:bottom w:val="nil"/>
              <w:right w:val="single" w:sz="8" w:space="0" w:color="auto"/>
            </w:tcBorders>
            <w:shd w:val="clear" w:color="auto" w:fill="auto"/>
            <w:noWrap/>
            <w:vAlign w:val="center"/>
            <w:hideMark/>
          </w:tcPr>
          <w:p w14:paraId="68654014"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DVP.E027</w:t>
            </w:r>
          </w:p>
        </w:tc>
        <w:tc>
          <w:tcPr>
            <w:tcW w:w="4346" w:type="dxa"/>
            <w:tcBorders>
              <w:top w:val="nil"/>
              <w:left w:val="nil"/>
              <w:bottom w:val="nil"/>
            </w:tcBorders>
            <w:shd w:val="clear" w:color="auto" w:fill="auto"/>
            <w:noWrap/>
            <w:vAlign w:val="center"/>
          </w:tcPr>
          <w:p w14:paraId="0F582984" w14:textId="77777777" w:rsidR="004D5330" w:rsidRPr="004D5330" w:rsidRDefault="004D5330" w:rsidP="0015273C">
            <w:pPr>
              <w:spacing w:after="0" w:line="240" w:lineRule="auto"/>
              <w:ind w:firstLineChars="200" w:firstLine="320"/>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Variações Monetárias e Cambiais</w:t>
            </w:r>
          </w:p>
        </w:tc>
        <w:tc>
          <w:tcPr>
            <w:tcW w:w="846" w:type="dxa"/>
            <w:tcBorders>
              <w:top w:val="nil"/>
              <w:bottom w:val="nil"/>
              <w:right w:val="single" w:sz="8" w:space="0" w:color="auto"/>
            </w:tcBorders>
            <w:shd w:val="clear" w:color="auto" w:fill="auto"/>
            <w:noWrap/>
            <w:vAlign w:val="center"/>
          </w:tcPr>
          <w:p w14:paraId="443D7628"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tcPr>
          <w:p w14:paraId="04EAC822"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DVP.H028</w:t>
            </w:r>
          </w:p>
        </w:tc>
        <w:tc>
          <w:tcPr>
            <w:tcW w:w="1120" w:type="dxa"/>
            <w:tcBorders>
              <w:top w:val="nil"/>
              <w:left w:val="nil"/>
              <w:bottom w:val="nil"/>
              <w:right w:val="single" w:sz="8" w:space="0" w:color="auto"/>
            </w:tcBorders>
            <w:shd w:val="clear" w:color="auto" w:fill="auto"/>
            <w:noWrap/>
            <w:vAlign w:val="center"/>
          </w:tcPr>
          <w:p w14:paraId="3E0C6D89"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DVP.I028</w:t>
            </w:r>
          </w:p>
        </w:tc>
      </w:tr>
      <w:tr w:rsidR="004D5330" w:rsidRPr="004D5330" w14:paraId="61C78132" w14:textId="77777777" w:rsidTr="0015273C">
        <w:trPr>
          <w:trHeight w:val="240"/>
        </w:trPr>
        <w:tc>
          <w:tcPr>
            <w:tcW w:w="4410" w:type="dxa"/>
            <w:tcBorders>
              <w:top w:val="nil"/>
              <w:left w:val="single" w:sz="8" w:space="0" w:color="auto"/>
              <w:bottom w:val="nil"/>
            </w:tcBorders>
            <w:shd w:val="clear" w:color="auto" w:fill="auto"/>
            <w:noWrap/>
            <w:vAlign w:val="center"/>
            <w:hideMark/>
          </w:tcPr>
          <w:p w14:paraId="1F304383" w14:textId="77777777" w:rsidR="004D5330" w:rsidRPr="004D5330" w:rsidRDefault="004D5330" w:rsidP="0015273C">
            <w:pPr>
              <w:spacing w:after="0" w:line="240" w:lineRule="auto"/>
              <w:rPr>
                <w:rFonts w:ascii="Arial Narrow" w:eastAsia="Times New Roman" w:hAnsi="Arial Narrow" w:cs="Arial"/>
                <w:b/>
                <w:bCs/>
                <w:sz w:val="16"/>
                <w:szCs w:val="16"/>
                <w:u w:val="single"/>
                <w:lang w:eastAsia="pt-BR"/>
              </w:rPr>
            </w:pPr>
            <w:r w:rsidRPr="004D5330">
              <w:rPr>
                <w:rFonts w:ascii="Arial Narrow" w:eastAsia="Times New Roman" w:hAnsi="Arial Narrow" w:cs="Arial"/>
                <w:b/>
                <w:bCs/>
                <w:sz w:val="16"/>
                <w:szCs w:val="16"/>
                <w:u w:val="single"/>
                <w:lang w:eastAsia="pt-BR"/>
              </w:rPr>
              <w:t>Transferências e Delegações Recebidas</w:t>
            </w:r>
          </w:p>
        </w:tc>
        <w:tc>
          <w:tcPr>
            <w:tcW w:w="835" w:type="dxa"/>
            <w:tcBorders>
              <w:top w:val="nil"/>
              <w:bottom w:val="nil"/>
              <w:right w:val="single" w:sz="8" w:space="0" w:color="auto"/>
            </w:tcBorders>
            <w:shd w:val="clear" w:color="auto" w:fill="auto"/>
            <w:noWrap/>
            <w:vAlign w:val="center"/>
          </w:tcPr>
          <w:p w14:paraId="199ACDC9" w14:textId="77777777" w:rsidR="004D5330" w:rsidRPr="004D5330" w:rsidRDefault="004D5330" w:rsidP="0015273C">
            <w:pPr>
              <w:spacing w:after="0" w:line="240" w:lineRule="auto"/>
              <w:jc w:val="center"/>
              <w:rPr>
                <w:rFonts w:ascii="Arial Narrow" w:eastAsia="Times New Roman" w:hAnsi="Arial Narrow" w:cs="Arial"/>
                <w:b/>
                <w:bCs/>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62D55FA6" w14:textId="77777777" w:rsidR="004D5330" w:rsidRPr="004D5330" w:rsidRDefault="004D5330" w:rsidP="0015273C">
            <w:pPr>
              <w:spacing w:after="0" w:line="240" w:lineRule="auto"/>
              <w:jc w:val="center"/>
              <w:rPr>
                <w:rFonts w:ascii="Arial Narrow" w:eastAsia="Times New Roman" w:hAnsi="Arial Narrow" w:cs="Arial"/>
                <w:b/>
                <w:bCs/>
                <w:sz w:val="16"/>
                <w:szCs w:val="16"/>
                <w:lang w:eastAsia="pt-BR"/>
              </w:rPr>
            </w:pPr>
            <w:r w:rsidRPr="004D5330">
              <w:rPr>
                <w:rFonts w:ascii="Arial Narrow" w:eastAsia="Times New Roman" w:hAnsi="Arial Narrow" w:cs="Arial"/>
                <w:b/>
                <w:bCs/>
                <w:sz w:val="16"/>
                <w:szCs w:val="16"/>
                <w:lang w:eastAsia="pt-BR"/>
              </w:rPr>
              <w:t>DVP.D028</w:t>
            </w:r>
          </w:p>
        </w:tc>
        <w:tc>
          <w:tcPr>
            <w:tcW w:w="1134" w:type="dxa"/>
            <w:tcBorders>
              <w:top w:val="nil"/>
              <w:left w:val="nil"/>
              <w:bottom w:val="nil"/>
              <w:right w:val="single" w:sz="8" w:space="0" w:color="auto"/>
            </w:tcBorders>
            <w:shd w:val="clear" w:color="auto" w:fill="auto"/>
            <w:noWrap/>
            <w:vAlign w:val="center"/>
            <w:hideMark/>
          </w:tcPr>
          <w:p w14:paraId="2EC35605" w14:textId="77777777" w:rsidR="004D5330" w:rsidRPr="004D5330" w:rsidRDefault="004D5330" w:rsidP="0015273C">
            <w:pPr>
              <w:spacing w:after="0" w:line="240" w:lineRule="auto"/>
              <w:jc w:val="center"/>
              <w:rPr>
                <w:rFonts w:ascii="Arial Narrow" w:eastAsia="Times New Roman" w:hAnsi="Arial Narrow" w:cs="Arial"/>
                <w:b/>
                <w:bCs/>
                <w:sz w:val="16"/>
                <w:szCs w:val="16"/>
                <w:lang w:eastAsia="pt-BR"/>
              </w:rPr>
            </w:pPr>
            <w:r w:rsidRPr="004D5330">
              <w:rPr>
                <w:rFonts w:ascii="Arial Narrow" w:eastAsia="Times New Roman" w:hAnsi="Arial Narrow" w:cs="Arial"/>
                <w:b/>
                <w:bCs/>
                <w:sz w:val="16"/>
                <w:szCs w:val="16"/>
                <w:lang w:eastAsia="pt-BR"/>
              </w:rPr>
              <w:t>DVP.E028</w:t>
            </w:r>
          </w:p>
        </w:tc>
        <w:tc>
          <w:tcPr>
            <w:tcW w:w="4346" w:type="dxa"/>
            <w:tcBorders>
              <w:top w:val="nil"/>
              <w:left w:val="nil"/>
              <w:bottom w:val="nil"/>
            </w:tcBorders>
            <w:shd w:val="clear" w:color="auto" w:fill="auto"/>
            <w:noWrap/>
            <w:vAlign w:val="center"/>
          </w:tcPr>
          <w:p w14:paraId="16C7DB2E" w14:textId="77777777" w:rsidR="004D5330" w:rsidRPr="004D5330" w:rsidRDefault="004D5330" w:rsidP="0015273C">
            <w:pPr>
              <w:spacing w:after="0" w:line="240" w:lineRule="auto"/>
              <w:ind w:firstLineChars="200" w:firstLine="320"/>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Descontos Financeiros Concedidos</w:t>
            </w:r>
          </w:p>
        </w:tc>
        <w:tc>
          <w:tcPr>
            <w:tcW w:w="846" w:type="dxa"/>
            <w:tcBorders>
              <w:top w:val="nil"/>
              <w:bottom w:val="nil"/>
              <w:right w:val="single" w:sz="8" w:space="0" w:color="auto"/>
            </w:tcBorders>
            <w:shd w:val="clear" w:color="auto" w:fill="auto"/>
            <w:noWrap/>
            <w:vAlign w:val="center"/>
          </w:tcPr>
          <w:p w14:paraId="0C3033A1"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tcPr>
          <w:p w14:paraId="303958A4"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DVP.H029</w:t>
            </w:r>
          </w:p>
        </w:tc>
        <w:tc>
          <w:tcPr>
            <w:tcW w:w="1120" w:type="dxa"/>
            <w:tcBorders>
              <w:top w:val="nil"/>
              <w:left w:val="nil"/>
              <w:bottom w:val="nil"/>
              <w:right w:val="single" w:sz="8" w:space="0" w:color="auto"/>
            </w:tcBorders>
            <w:shd w:val="clear" w:color="auto" w:fill="auto"/>
            <w:noWrap/>
            <w:vAlign w:val="center"/>
          </w:tcPr>
          <w:p w14:paraId="230A6B6A"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DVP.I029</w:t>
            </w:r>
          </w:p>
        </w:tc>
      </w:tr>
      <w:tr w:rsidR="004D5330" w:rsidRPr="004D5330" w14:paraId="0EBF4538" w14:textId="77777777" w:rsidTr="0015273C">
        <w:trPr>
          <w:trHeight w:val="255"/>
        </w:trPr>
        <w:tc>
          <w:tcPr>
            <w:tcW w:w="4410" w:type="dxa"/>
            <w:tcBorders>
              <w:top w:val="nil"/>
              <w:left w:val="single" w:sz="8" w:space="0" w:color="auto"/>
              <w:bottom w:val="nil"/>
            </w:tcBorders>
            <w:shd w:val="clear" w:color="auto" w:fill="auto"/>
            <w:noWrap/>
            <w:vAlign w:val="center"/>
            <w:hideMark/>
          </w:tcPr>
          <w:p w14:paraId="3DB44424" w14:textId="77777777" w:rsidR="004D5330" w:rsidRPr="004D5330" w:rsidRDefault="004D5330" w:rsidP="0015273C">
            <w:pPr>
              <w:spacing w:after="0" w:line="240" w:lineRule="auto"/>
              <w:ind w:firstLineChars="200" w:firstLine="320"/>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Transferências Intragovermamentais</w:t>
            </w:r>
          </w:p>
        </w:tc>
        <w:tc>
          <w:tcPr>
            <w:tcW w:w="835" w:type="dxa"/>
            <w:tcBorders>
              <w:top w:val="nil"/>
              <w:bottom w:val="nil"/>
              <w:right w:val="single" w:sz="8" w:space="0" w:color="auto"/>
            </w:tcBorders>
            <w:shd w:val="clear" w:color="auto" w:fill="auto"/>
            <w:noWrap/>
            <w:vAlign w:val="center"/>
          </w:tcPr>
          <w:p w14:paraId="47A6DEE9"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67C27592"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DVP.D029</w:t>
            </w:r>
          </w:p>
        </w:tc>
        <w:tc>
          <w:tcPr>
            <w:tcW w:w="1134" w:type="dxa"/>
            <w:tcBorders>
              <w:top w:val="nil"/>
              <w:left w:val="nil"/>
              <w:bottom w:val="nil"/>
              <w:right w:val="single" w:sz="8" w:space="0" w:color="auto"/>
            </w:tcBorders>
            <w:shd w:val="clear" w:color="auto" w:fill="auto"/>
            <w:noWrap/>
            <w:vAlign w:val="center"/>
            <w:hideMark/>
          </w:tcPr>
          <w:p w14:paraId="2A255595"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DVP.E029</w:t>
            </w:r>
          </w:p>
        </w:tc>
        <w:tc>
          <w:tcPr>
            <w:tcW w:w="4346" w:type="dxa"/>
            <w:tcBorders>
              <w:top w:val="nil"/>
              <w:left w:val="nil"/>
              <w:bottom w:val="nil"/>
            </w:tcBorders>
            <w:shd w:val="clear" w:color="auto" w:fill="auto"/>
            <w:noWrap/>
            <w:vAlign w:val="center"/>
          </w:tcPr>
          <w:p w14:paraId="7550EC0C" w14:textId="77777777" w:rsidR="004D5330" w:rsidRPr="004D5330" w:rsidRDefault="004D5330" w:rsidP="0015273C">
            <w:pPr>
              <w:spacing w:after="0" w:line="240" w:lineRule="auto"/>
              <w:ind w:firstLineChars="200" w:firstLine="320"/>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Juros e Encargos de Empréstimos e Financiamentos Concedidos</w:t>
            </w:r>
          </w:p>
        </w:tc>
        <w:tc>
          <w:tcPr>
            <w:tcW w:w="846" w:type="dxa"/>
            <w:tcBorders>
              <w:top w:val="nil"/>
              <w:bottom w:val="nil"/>
              <w:right w:val="single" w:sz="8" w:space="0" w:color="auto"/>
            </w:tcBorders>
            <w:shd w:val="clear" w:color="auto" w:fill="auto"/>
            <w:noWrap/>
            <w:vAlign w:val="center"/>
          </w:tcPr>
          <w:p w14:paraId="3C7C8E08"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tcPr>
          <w:p w14:paraId="1161A48C"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DVP.H063</w:t>
            </w:r>
          </w:p>
        </w:tc>
        <w:tc>
          <w:tcPr>
            <w:tcW w:w="1120" w:type="dxa"/>
            <w:tcBorders>
              <w:top w:val="nil"/>
              <w:left w:val="nil"/>
              <w:bottom w:val="nil"/>
              <w:right w:val="single" w:sz="8" w:space="0" w:color="auto"/>
            </w:tcBorders>
            <w:shd w:val="clear" w:color="auto" w:fill="auto"/>
            <w:noWrap/>
            <w:vAlign w:val="center"/>
          </w:tcPr>
          <w:p w14:paraId="69F247F4"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DVP.I063</w:t>
            </w:r>
          </w:p>
        </w:tc>
      </w:tr>
      <w:tr w:rsidR="004D5330" w:rsidRPr="004D5330" w14:paraId="1F133593" w14:textId="77777777" w:rsidTr="0015273C">
        <w:trPr>
          <w:trHeight w:val="255"/>
        </w:trPr>
        <w:tc>
          <w:tcPr>
            <w:tcW w:w="4410" w:type="dxa"/>
            <w:tcBorders>
              <w:top w:val="nil"/>
              <w:left w:val="single" w:sz="8" w:space="0" w:color="auto"/>
              <w:bottom w:val="nil"/>
            </w:tcBorders>
            <w:shd w:val="clear" w:color="auto" w:fill="auto"/>
            <w:noWrap/>
            <w:vAlign w:val="center"/>
            <w:hideMark/>
          </w:tcPr>
          <w:p w14:paraId="5ACF2632" w14:textId="77777777" w:rsidR="004D5330" w:rsidRPr="004D5330" w:rsidRDefault="004D5330" w:rsidP="0015273C">
            <w:pPr>
              <w:spacing w:after="0" w:line="240" w:lineRule="auto"/>
              <w:ind w:firstLineChars="200" w:firstLine="320"/>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Transferências Intergovermamentais</w:t>
            </w:r>
          </w:p>
        </w:tc>
        <w:tc>
          <w:tcPr>
            <w:tcW w:w="835" w:type="dxa"/>
            <w:tcBorders>
              <w:top w:val="nil"/>
              <w:bottom w:val="nil"/>
              <w:right w:val="single" w:sz="8" w:space="0" w:color="auto"/>
            </w:tcBorders>
            <w:shd w:val="clear" w:color="auto" w:fill="auto"/>
            <w:noWrap/>
            <w:vAlign w:val="center"/>
          </w:tcPr>
          <w:p w14:paraId="57F9367C"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0EAC2996"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DVP.D030</w:t>
            </w:r>
          </w:p>
        </w:tc>
        <w:tc>
          <w:tcPr>
            <w:tcW w:w="1134" w:type="dxa"/>
            <w:tcBorders>
              <w:top w:val="nil"/>
              <w:left w:val="nil"/>
              <w:bottom w:val="nil"/>
              <w:right w:val="single" w:sz="8" w:space="0" w:color="auto"/>
            </w:tcBorders>
            <w:shd w:val="clear" w:color="auto" w:fill="auto"/>
            <w:noWrap/>
            <w:vAlign w:val="center"/>
            <w:hideMark/>
          </w:tcPr>
          <w:p w14:paraId="7DC4209A"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DVP.E030</w:t>
            </w:r>
          </w:p>
        </w:tc>
        <w:tc>
          <w:tcPr>
            <w:tcW w:w="4346" w:type="dxa"/>
            <w:tcBorders>
              <w:top w:val="nil"/>
              <w:left w:val="nil"/>
              <w:bottom w:val="nil"/>
            </w:tcBorders>
            <w:shd w:val="clear" w:color="auto" w:fill="auto"/>
            <w:noWrap/>
            <w:vAlign w:val="center"/>
            <w:hideMark/>
          </w:tcPr>
          <w:p w14:paraId="6823AE3A" w14:textId="77777777" w:rsidR="004D5330" w:rsidRPr="004D5330" w:rsidRDefault="004D5330" w:rsidP="0015273C">
            <w:pPr>
              <w:spacing w:after="0" w:line="240" w:lineRule="auto"/>
              <w:ind w:firstLineChars="200" w:firstLine="320"/>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Outras Variações Patrimoniais Diminutivas - Financeiras</w:t>
            </w:r>
          </w:p>
        </w:tc>
        <w:tc>
          <w:tcPr>
            <w:tcW w:w="846" w:type="dxa"/>
            <w:tcBorders>
              <w:top w:val="nil"/>
              <w:bottom w:val="nil"/>
              <w:right w:val="single" w:sz="8" w:space="0" w:color="auto"/>
            </w:tcBorders>
            <w:shd w:val="clear" w:color="auto" w:fill="auto"/>
            <w:noWrap/>
            <w:vAlign w:val="center"/>
          </w:tcPr>
          <w:p w14:paraId="3BDFD1B2"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147C5F5A"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DVP.H030</w:t>
            </w:r>
          </w:p>
        </w:tc>
        <w:tc>
          <w:tcPr>
            <w:tcW w:w="1120" w:type="dxa"/>
            <w:tcBorders>
              <w:top w:val="nil"/>
              <w:left w:val="nil"/>
              <w:bottom w:val="nil"/>
              <w:right w:val="single" w:sz="8" w:space="0" w:color="auto"/>
            </w:tcBorders>
            <w:shd w:val="clear" w:color="auto" w:fill="auto"/>
            <w:noWrap/>
            <w:vAlign w:val="center"/>
            <w:hideMark/>
          </w:tcPr>
          <w:p w14:paraId="0262B054"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DVP.I030</w:t>
            </w:r>
          </w:p>
        </w:tc>
      </w:tr>
      <w:tr w:rsidR="004D5330" w:rsidRPr="004D5330" w14:paraId="6C7E1F84" w14:textId="77777777" w:rsidTr="0015273C">
        <w:trPr>
          <w:trHeight w:val="255"/>
        </w:trPr>
        <w:tc>
          <w:tcPr>
            <w:tcW w:w="4410" w:type="dxa"/>
            <w:tcBorders>
              <w:top w:val="nil"/>
              <w:left w:val="single" w:sz="8" w:space="0" w:color="auto"/>
              <w:bottom w:val="nil"/>
            </w:tcBorders>
            <w:shd w:val="clear" w:color="auto" w:fill="auto"/>
            <w:noWrap/>
            <w:vAlign w:val="center"/>
            <w:hideMark/>
          </w:tcPr>
          <w:p w14:paraId="3EFAFE94" w14:textId="77777777" w:rsidR="004D5330" w:rsidRPr="004D5330" w:rsidRDefault="004D5330" w:rsidP="0015273C">
            <w:pPr>
              <w:spacing w:after="0" w:line="240" w:lineRule="auto"/>
              <w:ind w:firstLineChars="200" w:firstLine="320"/>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lastRenderedPageBreak/>
              <w:t>Transferências das Instutuições Privadas</w:t>
            </w:r>
          </w:p>
        </w:tc>
        <w:tc>
          <w:tcPr>
            <w:tcW w:w="835" w:type="dxa"/>
            <w:tcBorders>
              <w:top w:val="nil"/>
              <w:bottom w:val="nil"/>
              <w:right w:val="single" w:sz="8" w:space="0" w:color="auto"/>
            </w:tcBorders>
            <w:shd w:val="clear" w:color="auto" w:fill="auto"/>
            <w:noWrap/>
            <w:vAlign w:val="center"/>
          </w:tcPr>
          <w:p w14:paraId="3E054AC2"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6C11C9E4"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DVP.D031</w:t>
            </w:r>
          </w:p>
        </w:tc>
        <w:tc>
          <w:tcPr>
            <w:tcW w:w="1134" w:type="dxa"/>
            <w:tcBorders>
              <w:top w:val="nil"/>
              <w:left w:val="nil"/>
              <w:bottom w:val="nil"/>
              <w:right w:val="single" w:sz="8" w:space="0" w:color="auto"/>
            </w:tcBorders>
            <w:shd w:val="clear" w:color="auto" w:fill="auto"/>
            <w:noWrap/>
            <w:vAlign w:val="center"/>
            <w:hideMark/>
          </w:tcPr>
          <w:p w14:paraId="017B32BB"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DVP.E031</w:t>
            </w:r>
          </w:p>
        </w:tc>
        <w:tc>
          <w:tcPr>
            <w:tcW w:w="4346" w:type="dxa"/>
            <w:tcBorders>
              <w:top w:val="nil"/>
              <w:left w:val="nil"/>
              <w:bottom w:val="nil"/>
            </w:tcBorders>
            <w:shd w:val="clear" w:color="auto" w:fill="auto"/>
            <w:noWrap/>
            <w:vAlign w:val="center"/>
            <w:hideMark/>
          </w:tcPr>
          <w:p w14:paraId="6E55EFFF" w14:textId="77777777" w:rsidR="004D5330" w:rsidRPr="004D5330" w:rsidRDefault="004D5330" w:rsidP="0015273C">
            <w:pPr>
              <w:spacing w:after="0" w:line="240" w:lineRule="auto"/>
              <w:rPr>
                <w:rFonts w:ascii="Arial Narrow" w:eastAsia="Times New Roman" w:hAnsi="Arial Narrow" w:cs="Arial"/>
                <w:b/>
                <w:bCs/>
                <w:sz w:val="16"/>
                <w:szCs w:val="16"/>
                <w:u w:val="single"/>
                <w:lang w:eastAsia="pt-BR"/>
              </w:rPr>
            </w:pPr>
            <w:r w:rsidRPr="004D5330">
              <w:rPr>
                <w:rFonts w:ascii="Arial Narrow" w:eastAsia="Times New Roman" w:hAnsi="Arial Narrow" w:cs="Arial"/>
                <w:b/>
                <w:bCs/>
                <w:sz w:val="16"/>
                <w:szCs w:val="16"/>
                <w:u w:val="single"/>
                <w:lang w:eastAsia="pt-BR"/>
              </w:rPr>
              <w:t>Transferências e Delegações Concedidas</w:t>
            </w:r>
          </w:p>
        </w:tc>
        <w:tc>
          <w:tcPr>
            <w:tcW w:w="846" w:type="dxa"/>
            <w:tcBorders>
              <w:top w:val="nil"/>
              <w:bottom w:val="nil"/>
              <w:right w:val="single" w:sz="8" w:space="0" w:color="auto"/>
            </w:tcBorders>
            <w:shd w:val="clear" w:color="auto" w:fill="auto"/>
            <w:noWrap/>
            <w:vAlign w:val="center"/>
          </w:tcPr>
          <w:p w14:paraId="71E4EF17" w14:textId="77777777" w:rsidR="004D5330" w:rsidRPr="004D5330" w:rsidRDefault="004D5330" w:rsidP="0015273C">
            <w:pPr>
              <w:spacing w:after="0" w:line="240" w:lineRule="auto"/>
              <w:jc w:val="center"/>
              <w:rPr>
                <w:rFonts w:ascii="Arial Narrow" w:eastAsia="Times New Roman" w:hAnsi="Arial Narrow" w:cs="Arial"/>
                <w:b/>
                <w:bCs/>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76B5287C" w14:textId="77777777" w:rsidR="004D5330" w:rsidRPr="004D5330" w:rsidRDefault="004D5330" w:rsidP="0015273C">
            <w:pPr>
              <w:spacing w:after="0" w:line="240" w:lineRule="auto"/>
              <w:jc w:val="center"/>
              <w:rPr>
                <w:rFonts w:ascii="Arial Narrow" w:eastAsia="Times New Roman" w:hAnsi="Arial Narrow" w:cs="Arial"/>
                <w:b/>
                <w:bCs/>
                <w:sz w:val="16"/>
                <w:szCs w:val="16"/>
                <w:lang w:eastAsia="pt-BR"/>
              </w:rPr>
            </w:pPr>
            <w:r w:rsidRPr="004D5330">
              <w:rPr>
                <w:rFonts w:ascii="Arial Narrow" w:eastAsia="Times New Roman" w:hAnsi="Arial Narrow" w:cs="Arial"/>
                <w:b/>
                <w:bCs/>
                <w:sz w:val="16"/>
                <w:szCs w:val="16"/>
                <w:lang w:eastAsia="pt-BR"/>
              </w:rPr>
              <w:t>DVP.H031</w:t>
            </w:r>
          </w:p>
        </w:tc>
        <w:tc>
          <w:tcPr>
            <w:tcW w:w="1120" w:type="dxa"/>
            <w:tcBorders>
              <w:top w:val="nil"/>
              <w:left w:val="nil"/>
              <w:bottom w:val="nil"/>
              <w:right w:val="single" w:sz="8" w:space="0" w:color="auto"/>
            </w:tcBorders>
            <w:shd w:val="clear" w:color="auto" w:fill="auto"/>
            <w:noWrap/>
            <w:vAlign w:val="center"/>
            <w:hideMark/>
          </w:tcPr>
          <w:p w14:paraId="1EDF02E0" w14:textId="77777777" w:rsidR="004D5330" w:rsidRPr="004D5330" w:rsidRDefault="004D5330" w:rsidP="0015273C">
            <w:pPr>
              <w:spacing w:after="0" w:line="240" w:lineRule="auto"/>
              <w:jc w:val="center"/>
              <w:rPr>
                <w:rFonts w:ascii="Arial Narrow" w:eastAsia="Times New Roman" w:hAnsi="Arial Narrow" w:cs="Arial"/>
                <w:b/>
                <w:bCs/>
                <w:sz w:val="16"/>
                <w:szCs w:val="16"/>
                <w:lang w:eastAsia="pt-BR"/>
              </w:rPr>
            </w:pPr>
            <w:r w:rsidRPr="004D5330">
              <w:rPr>
                <w:rFonts w:ascii="Arial Narrow" w:eastAsia="Times New Roman" w:hAnsi="Arial Narrow" w:cs="Arial"/>
                <w:b/>
                <w:bCs/>
                <w:sz w:val="16"/>
                <w:szCs w:val="16"/>
                <w:lang w:eastAsia="pt-BR"/>
              </w:rPr>
              <w:t>DVP.I031</w:t>
            </w:r>
          </w:p>
        </w:tc>
      </w:tr>
      <w:tr w:rsidR="004D5330" w:rsidRPr="004D5330" w14:paraId="40508DFD" w14:textId="77777777" w:rsidTr="0015273C">
        <w:trPr>
          <w:trHeight w:val="255"/>
        </w:trPr>
        <w:tc>
          <w:tcPr>
            <w:tcW w:w="4410" w:type="dxa"/>
            <w:tcBorders>
              <w:top w:val="nil"/>
              <w:left w:val="single" w:sz="8" w:space="0" w:color="auto"/>
              <w:bottom w:val="nil"/>
            </w:tcBorders>
            <w:shd w:val="clear" w:color="auto" w:fill="auto"/>
            <w:noWrap/>
            <w:vAlign w:val="center"/>
            <w:hideMark/>
          </w:tcPr>
          <w:p w14:paraId="3D8C0A7B" w14:textId="77777777" w:rsidR="004D5330" w:rsidRPr="004D5330" w:rsidRDefault="004D5330" w:rsidP="0015273C">
            <w:pPr>
              <w:spacing w:after="0" w:line="240" w:lineRule="auto"/>
              <w:ind w:firstLineChars="200" w:firstLine="320"/>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Transferências das Instituições Multigovernamentais</w:t>
            </w:r>
          </w:p>
        </w:tc>
        <w:tc>
          <w:tcPr>
            <w:tcW w:w="835" w:type="dxa"/>
            <w:tcBorders>
              <w:top w:val="nil"/>
              <w:bottom w:val="nil"/>
              <w:right w:val="single" w:sz="8" w:space="0" w:color="auto"/>
            </w:tcBorders>
            <w:shd w:val="clear" w:color="auto" w:fill="auto"/>
            <w:noWrap/>
            <w:vAlign w:val="center"/>
          </w:tcPr>
          <w:p w14:paraId="407AF084"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4769DE01"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DVP.D032</w:t>
            </w:r>
          </w:p>
        </w:tc>
        <w:tc>
          <w:tcPr>
            <w:tcW w:w="1134" w:type="dxa"/>
            <w:tcBorders>
              <w:top w:val="nil"/>
              <w:left w:val="nil"/>
              <w:bottom w:val="nil"/>
              <w:right w:val="single" w:sz="8" w:space="0" w:color="auto"/>
            </w:tcBorders>
            <w:shd w:val="clear" w:color="auto" w:fill="auto"/>
            <w:noWrap/>
            <w:vAlign w:val="center"/>
            <w:hideMark/>
          </w:tcPr>
          <w:p w14:paraId="4376B557"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DVP.E032</w:t>
            </w:r>
          </w:p>
        </w:tc>
        <w:tc>
          <w:tcPr>
            <w:tcW w:w="4346" w:type="dxa"/>
            <w:tcBorders>
              <w:top w:val="nil"/>
              <w:left w:val="nil"/>
              <w:bottom w:val="nil"/>
            </w:tcBorders>
            <w:shd w:val="clear" w:color="auto" w:fill="auto"/>
            <w:noWrap/>
            <w:vAlign w:val="center"/>
            <w:hideMark/>
          </w:tcPr>
          <w:p w14:paraId="3C179070" w14:textId="77777777" w:rsidR="004D5330" w:rsidRPr="004D5330" w:rsidRDefault="004D5330" w:rsidP="0015273C">
            <w:pPr>
              <w:spacing w:after="0" w:line="240" w:lineRule="auto"/>
              <w:ind w:firstLineChars="200" w:firstLine="320"/>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Transferências Intragovernamentais</w:t>
            </w:r>
          </w:p>
        </w:tc>
        <w:tc>
          <w:tcPr>
            <w:tcW w:w="846" w:type="dxa"/>
            <w:tcBorders>
              <w:top w:val="nil"/>
              <w:bottom w:val="nil"/>
              <w:right w:val="single" w:sz="8" w:space="0" w:color="auto"/>
            </w:tcBorders>
            <w:shd w:val="clear" w:color="auto" w:fill="auto"/>
            <w:noWrap/>
            <w:vAlign w:val="center"/>
          </w:tcPr>
          <w:p w14:paraId="6F0CFD9D"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606A6393"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DVP.H032</w:t>
            </w:r>
          </w:p>
        </w:tc>
        <w:tc>
          <w:tcPr>
            <w:tcW w:w="1120" w:type="dxa"/>
            <w:tcBorders>
              <w:top w:val="nil"/>
              <w:left w:val="nil"/>
              <w:bottom w:val="nil"/>
              <w:right w:val="single" w:sz="8" w:space="0" w:color="auto"/>
            </w:tcBorders>
            <w:shd w:val="clear" w:color="auto" w:fill="auto"/>
            <w:noWrap/>
            <w:vAlign w:val="center"/>
            <w:hideMark/>
          </w:tcPr>
          <w:p w14:paraId="6C7ADBD6"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DVP.I032</w:t>
            </w:r>
          </w:p>
        </w:tc>
      </w:tr>
      <w:tr w:rsidR="004D5330" w:rsidRPr="004D5330" w14:paraId="2D9CD278" w14:textId="77777777" w:rsidTr="0015273C">
        <w:trPr>
          <w:trHeight w:val="255"/>
        </w:trPr>
        <w:tc>
          <w:tcPr>
            <w:tcW w:w="4410" w:type="dxa"/>
            <w:tcBorders>
              <w:top w:val="nil"/>
              <w:left w:val="single" w:sz="8" w:space="0" w:color="auto"/>
              <w:bottom w:val="nil"/>
            </w:tcBorders>
            <w:shd w:val="clear" w:color="auto" w:fill="auto"/>
            <w:noWrap/>
            <w:vAlign w:val="center"/>
            <w:hideMark/>
          </w:tcPr>
          <w:p w14:paraId="6D63F674" w14:textId="77777777" w:rsidR="004D5330" w:rsidRPr="004D5330" w:rsidRDefault="004D5330" w:rsidP="0015273C">
            <w:pPr>
              <w:spacing w:after="0" w:line="240" w:lineRule="auto"/>
              <w:ind w:firstLineChars="200" w:firstLine="320"/>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Transferências de Consórcios Públicos</w:t>
            </w:r>
          </w:p>
        </w:tc>
        <w:tc>
          <w:tcPr>
            <w:tcW w:w="835" w:type="dxa"/>
            <w:tcBorders>
              <w:top w:val="nil"/>
              <w:bottom w:val="nil"/>
              <w:right w:val="single" w:sz="8" w:space="0" w:color="auto"/>
            </w:tcBorders>
            <w:shd w:val="clear" w:color="auto" w:fill="auto"/>
            <w:noWrap/>
            <w:vAlign w:val="center"/>
          </w:tcPr>
          <w:p w14:paraId="2EF2AE49"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2F1500F6"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DVP.D033</w:t>
            </w:r>
          </w:p>
        </w:tc>
        <w:tc>
          <w:tcPr>
            <w:tcW w:w="1134" w:type="dxa"/>
            <w:tcBorders>
              <w:top w:val="nil"/>
              <w:left w:val="nil"/>
              <w:bottom w:val="nil"/>
              <w:right w:val="single" w:sz="8" w:space="0" w:color="auto"/>
            </w:tcBorders>
            <w:shd w:val="clear" w:color="auto" w:fill="auto"/>
            <w:noWrap/>
            <w:vAlign w:val="center"/>
            <w:hideMark/>
          </w:tcPr>
          <w:p w14:paraId="53D29A0F"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DVP.E033</w:t>
            </w:r>
          </w:p>
        </w:tc>
        <w:tc>
          <w:tcPr>
            <w:tcW w:w="4346" w:type="dxa"/>
            <w:tcBorders>
              <w:top w:val="nil"/>
              <w:left w:val="nil"/>
              <w:bottom w:val="nil"/>
            </w:tcBorders>
            <w:shd w:val="clear" w:color="auto" w:fill="auto"/>
            <w:noWrap/>
            <w:vAlign w:val="center"/>
            <w:hideMark/>
          </w:tcPr>
          <w:p w14:paraId="516D103C" w14:textId="77777777" w:rsidR="004D5330" w:rsidRPr="004D5330" w:rsidRDefault="004D5330" w:rsidP="0015273C">
            <w:pPr>
              <w:spacing w:after="0" w:line="240" w:lineRule="auto"/>
              <w:ind w:firstLineChars="200" w:firstLine="320"/>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Transferências Intergovernamentais</w:t>
            </w:r>
          </w:p>
        </w:tc>
        <w:tc>
          <w:tcPr>
            <w:tcW w:w="846" w:type="dxa"/>
            <w:tcBorders>
              <w:top w:val="nil"/>
              <w:bottom w:val="nil"/>
              <w:right w:val="single" w:sz="8" w:space="0" w:color="auto"/>
            </w:tcBorders>
            <w:shd w:val="clear" w:color="auto" w:fill="auto"/>
            <w:noWrap/>
            <w:vAlign w:val="center"/>
          </w:tcPr>
          <w:p w14:paraId="60149F04"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122558C3"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DVP.H033</w:t>
            </w:r>
          </w:p>
        </w:tc>
        <w:tc>
          <w:tcPr>
            <w:tcW w:w="1120" w:type="dxa"/>
            <w:tcBorders>
              <w:top w:val="nil"/>
              <w:left w:val="nil"/>
              <w:bottom w:val="nil"/>
              <w:right w:val="single" w:sz="8" w:space="0" w:color="auto"/>
            </w:tcBorders>
            <w:shd w:val="clear" w:color="auto" w:fill="auto"/>
            <w:noWrap/>
            <w:vAlign w:val="center"/>
            <w:hideMark/>
          </w:tcPr>
          <w:p w14:paraId="3DCAF16E"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DVP.I033</w:t>
            </w:r>
          </w:p>
        </w:tc>
      </w:tr>
      <w:tr w:rsidR="004D5330" w:rsidRPr="004D5330" w14:paraId="09DD4B2A" w14:textId="77777777" w:rsidTr="0015273C">
        <w:trPr>
          <w:trHeight w:val="240"/>
        </w:trPr>
        <w:tc>
          <w:tcPr>
            <w:tcW w:w="4410" w:type="dxa"/>
            <w:tcBorders>
              <w:top w:val="nil"/>
              <w:left w:val="single" w:sz="8" w:space="0" w:color="auto"/>
              <w:bottom w:val="nil"/>
            </w:tcBorders>
            <w:shd w:val="clear" w:color="auto" w:fill="auto"/>
            <w:noWrap/>
            <w:vAlign w:val="center"/>
            <w:hideMark/>
          </w:tcPr>
          <w:p w14:paraId="74430056" w14:textId="77777777" w:rsidR="004D5330" w:rsidRPr="004D5330" w:rsidRDefault="004D5330" w:rsidP="0015273C">
            <w:pPr>
              <w:spacing w:after="0" w:line="240" w:lineRule="auto"/>
              <w:ind w:firstLineChars="200" w:firstLine="320"/>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Transferências do Exterior</w:t>
            </w:r>
          </w:p>
        </w:tc>
        <w:tc>
          <w:tcPr>
            <w:tcW w:w="835" w:type="dxa"/>
            <w:tcBorders>
              <w:top w:val="nil"/>
              <w:bottom w:val="nil"/>
              <w:right w:val="single" w:sz="8" w:space="0" w:color="auto"/>
            </w:tcBorders>
            <w:shd w:val="clear" w:color="auto" w:fill="auto"/>
            <w:noWrap/>
            <w:vAlign w:val="center"/>
          </w:tcPr>
          <w:p w14:paraId="4970CCAB"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0768857B"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DVP.D034</w:t>
            </w:r>
          </w:p>
        </w:tc>
        <w:tc>
          <w:tcPr>
            <w:tcW w:w="1134" w:type="dxa"/>
            <w:tcBorders>
              <w:top w:val="nil"/>
              <w:left w:val="nil"/>
              <w:bottom w:val="nil"/>
              <w:right w:val="single" w:sz="8" w:space="0" w:color="auto"/>
            </w:tcBorders>
            <w:shd w:val="clear" w:color="auto" w:fill="auto"/>
            <w:noWrap/>
            <w:vAlign w:val="center"/>
            <w:hideMark/>
          </w:tcPr>
          <w:p w14:paraId="4FD56C7D"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DVP.E034</w:t>
            </w:r>
          </w:p>
        </w:tc>
        <w:tc>
          <w:tcPr>
            <w:tcW w:w="4346" w:type="dxa"/>
            <w:tcBorders>
              <w:top w:val="nil"/>
              <w:left w:val="nil"/>
              <w:bottom w:val="nil"/>
            </w:tcBorders>
            <w:shd w:val="clear" w:color="auto" w:fill="auto"/>
            <w:noWrap/>
            <w:vAlign w:val="center"/>
            <w:hideMark/>
          </w:tcPr>
          <w:p w14:paraId="49AFE913" w14:textId="77777777" w:rsidR="004D5330" w:rsidRPr="004D5330" w:rsidRDefault="004D5330" w:rsidP="0015273C">
            <w:pPr>
              <w:spacing w:after="0" w:line="240" w:lineRule="auto"/>
              <w:ind w:firstLineChars="200" w:firstLine="320"/>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Transferências a Instituições Privadas</w:t>
            </w:r>
          </w:p>
        </w:tc>
        <w:tc>
          <w:tcPr>
            <w:tcW w:w="846" w:type="dxa"/>
            <w:tcBorders>
              <w:top w:val="nil"/>
              <w:bottom w:val="nil"/>
              <w:right w:val="single" w:sz="8" w:space="0" w:color="auto"/>
            </w:tcBorders>
            <w:shd w:val="clear" w:color="auto" w:fill="auto"/>
            <w:noWrap/>
            <w:vAlign w:val="center"/>
          </w:tcPr>
          <w:p w14:paraId="7C8D6CCB"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5893A15B"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DVP.H034</w:t>
            </w:r>
          </w:p>
        </w:tc>
        <w:tc>
          <w:tcPr>
            <w:tcW w:w="1120" w:type="dxa"/>
            <w:tcBorders>
              <w:top w:val="nil"/>
              <w:left w:val="nil"/>
              <w:bottom w:val="nil"/>
              <w:right w:val="single" w:sz="8" w:space="0" w:color="auto"/>
            </w:tcBorders>
            <w:shd w:val="clear" w:color="auto" w:fill="auto"/>
            <w:noWrap/>
            <w:vAlign w:val="center"/>
            <w:hideMark/>
          </w:tcPr>
          <w:p w14:paraId="32A1F268"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DVP.I034</w:t>
            </w:r>
          </w:p>
        </w:tc>
      </w:tr>
      <w:tr w:rsidR="004D5330" w:rsidRPr="004D5330" w14:paraId="5BCC376D" w14:textId="77777777" w:rsidTr="0015273C">
        <w:trPr>
          <w:trHeight w:val="240"/>
        </w:trPr>
        <w:tc>
          <w:tcPr>
            <w:tcW w:w="4410" w:type="dxa"/>
            <w:tcBorders>
              <w:top w:val="nil"/>
              <w:left w:val="single" w:sz="8" w:space="0" w:color="auto"/>
              <w:bottom w:val="nil"/>
            </w:tcBorders>
            <w:shd w:val="clear" w:color="auto" w:fill="auto"/>
            <w:noWrap/>
            <w:vAlign w:val="center"/>
            <w:hideMark/>
          </w:tcPr>
          <w:p w14:paraId="09993366" w14:textId="77777777" w:rsidR="004D5330" w:rsidRPr="004D5330" w:rsidRDefault="004D5330" w:rsidP="0015273C">
            <w:pPr>
              <w:spacing w:after="0" w:line="240" w:lineRule="auto"/>
              <w:ind w:firstLineChars="200" w:firstLine="320"/>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Execução Orçamentária Delegada</w:t>
            </w:r>
          </w:p>
        </w:tc>
        <w:tc>
          <w:tcPr>
            <w:tcW w:w="835" w:type="dxa"/>
            <w:tcBorders>
              <w:top w:val="nil"/>
              <w:bottom w:val="nil"/>
              <w:right w:val="single" w:sz="8" w:space="0" w:color="auto"/>
            </w:tcBorders>
            <w:shd w:val="clear" w:color="auto" w:fill="auto"/>
            <w:noWrap/>
            <w:vAlign w:val="center"/>
          </w:tcPr>
          <w:p w14:paraId="555578D1"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4B08BC92"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DVP.D035</w:t>
            </w:r>
          </w:p>
        </w:tc>
        <w:tc>
          <w:tcPr>
            <w:tcW w:w="1134" w:type="dxa"/>
            <w:tcBorders>
              <w:top w:val="nil"/>
              <w:left w:val="nil"/>
              <w:bottom w:val="nil"/>
              <w:right w:val="single" w:sz="8" w:space="0" w:color="auto"/>
            </w:tcBorders>
            <w:shd w:val="clear" w:color="auto" w:fill="auto"/>
            <w:noWrap/>
            <w:vAlign w:val="center"/>
            <w:hideMark/>
          </w:tcPr>
          <w:p w14:paraId="2937144B"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DVP.E035</w:t>
            </w:r>
          </w:p>
        </w:tc>
        <w:tc>
          <w:tcPr>
            <w:tcW w:w="4346" w:type="dxa"/>
            <w:tcBorders>
              <w:top w:val="nil"/>
              <w:left w:val="nil"/>
              <w:bottom w:val="nil"/>
            </w:tcBorders>
            <w:shd w:val="clear" w:color="auto" w:fill="auto"/>
            <w:noWrap/>
            <w:vAlign w:val="center"/>
            <w:hideMark/>
          </w:tcPr>
          <w:p w14:paraId="41124043" w14:textId="77777777" w:rsidR="004D5330" w:rsidRPr="004D5330" w:rsidRDefault="004D5330" w:rsidP="0015273C">
            <w:pPr>
              <w:spacing w:after="0" w:line="240" w:lineRule="auto"/>
              <w:ind w:firstLineChars="200" w:firstLine="320"/>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Transferências a Instituições Multigovernamentais</w:t>
            </w:r>
          </w:p>
        </w:tc>
        <w:tc>
          <w:tcPr>
            <w:tcW w:w="846" w:type="dxa"/>
            <w:tcBorders>
              <w:top w:val="nil"/>
              <w:bottom w:val="nil"/>
              <w:right w:val="single" w:sz="8" w:space="0" w:color="auto"/>
            </w:tcBorders>
            <w:shd w:val="clear" w:color="auto" w:fill="auto"/>
            <w:noWrap/>
            <w:vAlign w:val="center"/>
          </w:tcPr>
          <w:p w14:paraId="74381AF6"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276F3A4B"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DVP.H035</w:t>
            </w:r>
          </w:p>
        </w:tc>
        <w:tc>
          <w:tcPr>
            <w:tcW w:w="1120" w:type="dxa"/>
            <w:tcBorders>
              <w:top w:val="nil"/>
              <w:left w:val="nil"/>
              <w:bottom w:val="nil"/>
              <w:right w:val="single" w:sz="8" w:space="0" w:color="auto"/>
            </w:tcBorders>
            <w:shd w:val="clear" w:color="auto" w:fill="auto"/>
            <w:noWrap/>
            <w:vAlign w:val="center"/>
            <w:hideMark/>
          </w:tcPr>
          <w:p w14:paraId="711C0A83"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DVP.I035</w:t>
            </w:r>
          </w:p>
        </w:tc>
      </w:tr>
      <w:tr w:rsidR="004D5330" w:rsidRPr="004D5330" w14:paraId="5223F7F3" w14:textId="77777777" w:rsidTr="0015273C">
        <w:trPr>
          <w:trHeight w:val="240"/>
        </w:trPr>
        <w:tc>
          <w:tcPr>
            <w:tcW w:w="4410" w:type="dxa"/>
            <w:tcBorders>
              <w:top w:val="nil"/>
              <w:left w:val="single" w:sz="8" w:space="0" w:color="auto"/>
            </w:tcBorders>
            <w:shd w:val="clear" w:color="auto" w:fill="auto"/>
            <w:noWrap/>
            <w:vAlign w:val="center"/>
            <w:hideMark/>
          </w:tcPr>
          <w:p w14:paraId="447749E8" w14:textId="77777777" w:rsidR="004D5330" w:rsidRPr="004D5330" w:rsidRDefault="004D5330" w:rsidP="0015273C">
            <w:pPr>
              <w:spacing w:after="0" w:line="240" w:lineRule="auto"/>
              <w:ind w:firstLineChars="200" w:firstLine="320"/>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Transferências de Pessoas Físicas</w:t>
            </w:r>
          </w:p>
        </w:tc>
        <w:tc>
          <w:tcPr>
            <w:tcW w:w="835" w:type="dxa"/>
            <w:tcBorders>
              <w:top w:val="nil"/>
              <w:right w:val="single" w:sz="8" w:space="0" w:color="auto"/>
            </w:tcBorders>
            <w:shd w:val="clear" w:color="auto" w:fill="auto"/>
            <w:noWrap/>
            <w:vAlign w:val="center"/>
          </w:tcPr>
          <w:p w14:paraId="2F5B260B"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p>
        </w:tc>
        <w:tc>
          <w:tcPr>
            <w:tcW w:w="1149" w:type="dxa"/>
            <w:tcBorders>
              <w:top w:val="nil"/>
              <w:left w:val="nil"/>
              <w:right w:val="single" w:sz="8" w:space="0" w:color="auto"/>
            </w:tcBorders>
            <w:shd w:val="clear" w:color="auto" w:fill="auto"/>
            <w:noWrap/>
            <w:vAlign w:val="center"/>
            <w:hideMark/>
          </w:tcPr>
          <w:p w14:paraId="56CF48E4"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DVP.D036</w:t>
            </w:r>
          </w:p>
        </w:tc>
        <w:tc>
          <w:tcPr>
            <w:tcW w:w="1134" w:type="dxa"/>
            <w:tcBorders>
              <w:top w:val="nil"/>
              <w:left w:val="nil"/>
              <w:right w:val="single" w:sz="8" w:space="0" w:color="auto"/>
            </w:tcBorders>
            <w:shd w:val="clear" w:color="auto" w:fill="auto"/>
            <w:noWrap/>
            <w:vAlign w:val="center"/>
            <w:hideMark/>
          </w:tcPr>
          <w:p w14:paraId="692C24F3"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DVP.E036</w:t>
            </w:r>
          </w:p>
        </w:tc>
        <w:tc>
          <w:tcPr>
            <w:tcW w:w="4346" w:type="dxa"/>
            <w:tcBorders>
              <w:top w:val="nil"/>
              <w:left w:val="nil"/>
            </w:tcBorders>
            <w:shd w:val="clear" w:color="auto" w:fill="auto"/>
            <w:noWrap/>
            <w:vAlign w:val="center"/>
            <w:hideMark/>
          </w:tcPr>
          <w:p w14:paraId="5D925B1D" w14:textId="77777777" w:rsidR="004D5330" w:rsidRPr="004D5330" w:rsidRDefault="004D5330" w:rsidP="0015273C">
            <w:pPr>
              <w:spacing w:after="0" w:line="240" w:lineRule="auto"/>
              <w:ind w:firstLineChars="200" w:firstLine="320"/>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 xml:space="preserve">Transferências a Consórcios Públicos </w:t>
            </w:r>
          </w:p>
        </w:tc>
        <w:tc>
          <w:tcPr>
            <w:tcW w:w="846" w:type="dxa"/>
            <w:tcBorders>
              <w:top w:val="nil"/>
              <w:right w:val="single" w:sz="8" w:space="0" w:color="auto"/>
            </w:tcBorders>
            <w:shd w:val="clear" w:color="auto" w:fill="auto"/>
            <w:noWrap/>
            <w:vAlign w:val="center"/>
          </w:tcPr>
          <w:p w14:paraId="52BE4365"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p>
        </w:tc>
        <w:tc>
          <w:tcPr>
            <w:tcW w:w="1045" w:type="dxa"/>
            <w:tcBorders>
              <w:top w:val="nil"/>
              <w:left w:val="nil"/>
              <w:right w:val="single" w:sz="8" w:space="0" w:color="auto"/>
            </w:tcBorders>
            <w:shd w:val="clear" w:color="auto" w:fill="auto"/>
            <w:noWrap/>
            <w:vAlign w:val="center"/>
            <w:hideMark/>
          </w:tcPr>
          <w:p w14:paraId="682C6E0E"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DVP.H036</w:t>
            </w:r>
          </w:p>
        </w:tc>
        <w:tc>
          <w:tcPr>
            <w:tcW w:w="1120" w:type="dxa"/>
            <w:tcBorders>
              <w:top w:val="nil"/>
              <w:left w:val="nil"/>
              <w:right w:val="single" w:sz="8" w:space="0" w:color="auto"/>
            </w:tcBorders>
            <w:shd w:val="clear" w:color="auto" w:fill="auto"/>
            <w:noWrap/>
            <w:vAlign w:val="center"/>
            <w:hideMark/>
          </w:tcPr>
          <w:p w14:paraId="0B86EC4D"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DVP.I036</w:t>
            </w:r>
          </w:p>
        </w:tc>
      </w:tr>
      <w:tr w:rsidR="004D5330" w:rsidRPr="004D5330" w14:paraId="3016DA36" w14:textId="77777777" w:rsidTr="0015273C">
        <w:trPr>
          <w:trHeight w:val="240"/>
        </w:trPr>
        <w:tc>
          <w:tcPr>
            <w:tcW w:w="4410" w:type="dxa"/>
            <w:tcBorders>
              <w:top w:val="nil"/>
              <w:left w:val="single" w:sz="8" w:space="0" w:color="auto"/>
            </w:tcBorders>
            <w:shd w:val="clear" w:color="auto" w:fill="auto"/>
            <w:noWrap/>
            <w:vAlign w:val="center"/>
            <w:hideMark/>
          </w:tcPr>
          <w:p w14:paraId="48EC0509" w14:textId="77777777" w:rsidR="004D5330" w:rsidRPr="004D5330" w:rsidRDefault="004D5330" w:rsidP="0015273C">
            <w:pPr>
              <w:spacing w:after="0" w:line="240" w:lineRule="auto"/>
              <w:ind w:firstLineChars="200" w:firstLine="320"/>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Outras Transferências e Delegações Recebidas</w:t>
            </w:r>
          </w:p>
        </w:tc>
        <w:tc>
          <w:tcPr>
            <w:tcW w:w="835" w:type="dxa"/>
            <w:tcBorders>
              <w:top w:val="nil"/>
              <w:right w:val="single" w:sz="8" w:space="0" w:color="auto"/>
            </w:tcBorders>
            <w:shd w:val="clear" w:color="auto" w:fill="auto"/>
            <w:noWrap/>
            <w:vAlign w:val="center"/>
          </w:tcPr>
          <w:p w14:paraId="218A095B"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p>
        </w:tc>
        <w:tc>
          <w:tcPr>
            <w:tcW w:w="1149" w:type="dxa"/>
            <w:tcBorders>
              <w:top w:val="nil"/>
              <w:left w:val="nil"/>
              <w:right w:val="single" w:sz="8" w:space="0" w:color="auto"/>
            </w:tcBorders>
            <w:shd w:val="clear" w:color="auto" w:fill="auto"/>
            <w:noWrap/>
            <w:vAlign w:val="center"/>
            <w:hideMark/>
          </w:tcPr>
          <w:p w14:paraId="4795AECA"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DVP.D037</w:t>
            </w:r>
          </w:p>
        </w:tc>
        <w:tc>
          <w:tcPr>
            <w:tcW w:w="1134" w:type="dxa"/>
            <w:tcBorders>
              <w:top w:val="nil"/>
              <w:left w:val="nil"/>
              <w:right w:val="single" w:sz="8" w:space="0" w:color="auto"/>
            </w:tcBorders>
            <w:shd w:val="clear" w:color="auto" w:fill="auto"/>
            <w:noWrap/>
            <w:vAlign w:val="center"/>
            <w:hideMark/>
          </w:tcPr>
          <w:p w14:paraId="545F6734"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DVP.E037</w:t>
            </w:r>
          </w:p>
        </w:tc>
        <w:tc>
          <w:tcPr>
            <w:tcW w:w="4346" w:type="dxa"/>
            <w:tcBorders>
              <w:top w:val="nil"/>
              <w:left w:val="nil"/>
            </w:tcBorders>
            <w:shd w:val="clear" w:color="auto" w:fill="auto"/>
            <w:noWrap/>
            <w:vAlign w:val="center"/>
            <w:hideMark/>
          </w:tcPr>
          <w:p w14:paraId="6B071E57" w14:textId="77777777" w:rsidR="004D5330" w:rsidRPr="004D5330" w:rsidRDefault="004D5330" w:rsidP="0015273C">
            <w:pPr>
              <w:spacing w:after="0" w:line="240" w:lineRule="auto"/>
              <w:ind w:firstLineChars="200" w:firstLine="320"/>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Transferências ao Exterior</w:t>
            </w:r>
          </w:p>
        </w:tc>
        <w:tc>
          <w:tcPr>
            <w:tcW w:w="846" w:type="dxa"/>
            <w:tcBorders>
              <w:top w:val="nil"/>
              <w:right w:val="single" w:sz="8" w:space="0" w:color="auto"/>
            </w:tcBorders>
            <w:shd w:val="clear" w:color="auto" w:fill="auto"/>
            <w:noWrap/>
            <w:vAlign w:val="center"/>
          </w:tcPr>
          <w:p w14:paraId="0B23D164"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p>
        </w:tc>
        <w:tc>
          <w:tcPr>
            <w:tcW w:w="1045" w:type="dxa"/>
            <w:tcBorders>
              <w:top w:val="nil"/>
              <w:left w:val="nil"/>
              <w:right w:val="single" w:sz="8" w:space="0" w:color="auto"/>
            </w:tcBorders>
            <w:shd w:val="clear" w:color="auto" w:fill="auto"/>
            <w:noWrap/>
            <w:vAlign w:val="center"/>
            <w:hideMark/>
          </w:tcPr>
          <w:p w14:paraId="78249E73"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DVP.H037</w:t>
            </w:r>
          </w:p>
        </w:tc>
        <w:tc>
          <w:tcPr>
            <w:tcW w:w="1120" w:type="dxa"/>
            <w:tcBorders>
              <w:top w:val="nil"/>
              <w:left w:val="nil"/>
              <w:right w:val="single" w:sz="8" w:space="0" w:color="auto"/>
            </w:tcBorders>
            <w:shd w:val="clear" w:color="auto" w:fill="auto"/>
            <w:noWrap/>
            <w:vAlign w:val="center"/>
            <w:hideMark/>
          </w:tcPr>
          <w:p w14:paraId="2FDF99AA"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DVP.I037</w:t>
            </w:r>
          </w:p>
        </w:tc>
      </w:tr>
      <w:tr w:rsidR="004D5330" w:rsidRPr="004D5330" w14:paraId="5BFA0421" w14:textId="77777777" w:rsidTr="0015273C">
        <w:trPr>
          <w:trHeight w:val="240"/>
        </w:trPr>
        <w:tc>
          <w:tcPr>
            <w:tcW w:w="4410" w:type="dxa"/>
            <w:tcBorders>
              <w:left w:val="single" w:sz="8" w:space="0" w:color="auto"/>
              <w:bottom w:val="nil"/>
            </w:tcBorders>
            <w:shd w:val="clear" w:color="auto" w:fill="auto"/>
            <w:noWrap/>
            <w:vAlign w:val="center"/>
            <w:hideMark/>
          </w:tcPr>
          <w:p w14:paraId="77BE2015" w14:textId="77777777" w:rsidR="004D5330" w:rsidRPr="004D5330" w:rsidRDefault="004D5330" w:rsidP="0015273C">
            <w:pPr>
              <w:spacing w:after="0" w:line="240" w:lineRule="auto"/>
              <w:rPr>
                <w:rFonts w:ascii="Arial Narrow" w:eastAsia="Times New Roman" w:hAnsi="Arial Narrow" w:cs="Arial"/>
                <w:b/>
                <w:bCs/>
                <w:sz w:val="16"/>
                <w:szCs w:val="16"/>
                <w:u w:val="single"/>
                <w:lang w:eastAsia="pt-BR"/>
              </w:rPr>
            </w:pPr>
            <w:r w:rsidRPr="004D5330">
              <w:rPr>
                <w:rFonts w:ascii="Arial Narrow" w:eastAsia="Times New Roman" w:hAnsi="Arial Narrow" w:cs="Arial"/>
                <w:b/>
                <w:bCs/>
                <w:sz w:val="16"/>
                <w:szCs w:val="16"/>
                <w:u w:val="single"/>
                <w:lang w:eastAsia="pt-BR"/>
              </w:rPr>
              <w:t>Valorização e Ganhos com Ativos e Desincorporação de Passivos</w:t>
            </w:r>
          </w:p>
        </w:tc>
        <w:tc>
          <w:tcPr>
            <w:tcW w:w="835" w:type="dxa"/>
            <w:tcBorders>
              <w:right w:val="single" w:sz="8" w:space="0" w:color="auto"/>
            </w:tcBorders>
            <w:shd w:val="clear" w:color="auto" w:fill="auto"/>
            <w:noWrap/>
            <w:vAlign w:val="center"/>
          </w:tcPr>
          <w:p w14:paraId="53E1B6FF" w14:textId="77777777" w:rsidR="004D5330" w:rsidRPr="004D5330" w:rsidRDefault="004D5330" w:rsidP="0015273C">
            <w:pPr>
              <w:spacing w:after="0" w:line="240" w:lineRule="auto"/>
              <w:jc w:val="center"/>
              <w:rPr>
                <w:rFonts w:ascii="Arial Narrow" w:eastAsia="Times New Roman" w:hAnsi="Arial Narrow" w:cs="Arial"/>
                <w:b/>
                <w:bCs/>
                <w:sz w:val="16"/>
                <w:szCs w:val="16"/>
                <w:lang w:eastAsia="pt-BR"/>
              </w:rPr>
            </w:pPr>
          </w:p>
        </w:tc>
        <w:tc>
          <w:tcPr>
            <w:tcW w:w="1149" w:type="dxa"/>
            <w:tcBorders>
              <w:left w:val="nil"/>
              <w:bottom w:val="nil"/>
              <w:right w:val="single" w:sz="8" w:space="0" w:color="auto"/>
            </w:tcBorders>
            <w:shd w:val="clear" w:color="auto" w:fill="auto"/>
            <w:noWrap/>
            <w:vAlign w:val="center"/>
            <w:hideMark/>
          </w:tcPr>
          <w:p w14:paraId="153627BC" w14:textId="77777777" w:rsidR="004D5330" w:rsidRPr="004D5330" w:rsidRDefault="004D5330" w:rsidP="0015273C">
            <w:pPr>
              <w:spacing w:after="0" w:line="240" w:lineRule="auto"/>
              <w:jc w:val="center"/>
              <w:rPr>
                <w:rFonts w:ascii="Arial Narrow" w:eastAsia="Times New Roman" w:hAnsi="Arial Narrow" w:cs="Arial"/>
                <w:b/>
                <w:bCs/>
                <w:sz w:val="16"/>
                <w:szCs w:val="16"/>
                <w:lang w:eastAsia="pt-BR"/>
              </w:rPr>
            </w:pPr>
            <w:r w:rsidRPr="004D5330">
              <w:rPr>
                <w:rFonts w:ascii="Arial Narrow" w:eastAsia="Times New Roman" w:hAnsi="Arial Narrow" w:cs="Arial"/>
                <w:b/>
                <w:bCs/>
                <w:sz w:val="16"/>
                <w:szCs w:val="16"/>
                <w:lang w:eastAsia="pt-BR"/>
              </w:rPr>
              <w:t>DVP.D038</w:t>
            </w:r>
          </w:p>
        </w:tc>
        <w:tc>
          <w:tcPr>
            <w:tcW w:w="1134" w:type="dxa"/>
            <w:tcBorders>
              <w:left w:val="nil"/>
              <w:bottom w:val="nil"/>
              <w:right w:val="single" w:sz="8" w:space="0" w:color="auto"/>
            </w:tcBorders>
            <w:shd w:val="clear" w:color="auto" w:fill="auto"/>
            <w:noWrap/>
            <w:vAlign w:val="center"/>
            <w:hideMark/>
          </w:tcPr>
          <w:p w14:paraId="599F1BA1" w14:textId="77777777" w:rsidR="004D5330" w:rsidRPr="004D5330" w:rsidRDefault="004D5330" w:rsidP="0015273C">
            <w:pPr>
              <w:spacing w:after="0" w:line="240" w:lineRule="auto"/>
              <w:jc w:val="center"/>
              <w:rPr>
                <w:rFonts w:ascii="Arial Narrow" w:eastAsia="Times New Roman" w:hAnsi="Arial Narrow" w:cs="Arial"/>
                <w:b/>
                <w:bCs/>
                <w:sz w:val="16"/>
                <w:szCs w:val="16"/>
                <w:lang w:eastAsia="pt-BR"/>
              </w:rPr>
            </w:pPr>
            <w:r w:rsidRPr="004D5330">
              <w:rPr>
                <w:rFonts w:ascii="Arial Narrow" w:eastAsia="Times New Roman" w:hAnsi="Arial Narrow" w:cs="Arial"/>
                <w:b/>
                <w:bCs/>
                <w:sz w:val="16"/>
                <w:szCs w:val="16"/>
                <w:lang w:eastAsia="pt-BR"/>
              </w:rPr>
              <w:t>DVP.E038</w:t>
            </w:r>
          </w:p>
        </w:tc>
        <w:tc>
          <w:tcPr>
            <w:tcW w:w="4346" w:type="dxa"/>
            <w:tcBorders>
              <w:left w:val="nil"/>
              <w:bottom w:val="nil"/>
            </w:tcBorders>
            <w:shd w:val="clear" w:color="auto" w:fill="auto"/>
            <w:noWrap/>
            <w:vAlign w:val="center"/>
            <w:hideMark/>
          </w:tcPr>
          <w:p w14:paraId="47F3E281" w14:textId="77777777" w:rsidR="004D5330" w:rsidRPr="004D5330" w:rsidRDefault="004D5330" w:rsidP="0015273C">
            <w:pPr>
              <w:spacing w:after="0" w:line="240" w:lineRule="auto"/>
              <w:ind w:firstLineChars="200" w:firstLine="320"/>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Execução Orçamentária Delegada</w:t>
            </w:r>
          </w:p>
        </w:tc>
        <w:tc>
          <w:tcPr>
            <w:tcW w:w="846" w:type="dxa"/>
            <w:tcBorders>
              <w:bottom w:val="nil"/>
              <w:right w:val="single" w:sz="8" w:space="0" w:color="auto"/>
            </w:tcBorders>
            <w:shd w:val="clear" w:color="auto" w:fill="auto"/>
            <w:noWrap/>
            <w:vAlign w:val="center"/>
          </w:tcPr>
          <w:p w14:paraId="724541BB"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p>
        </w:tc>
        <w:tc>
          <w:tcPr>
            <w:tcW w:w="1045" w:type="dxa"/>
            <w:tcBorders>
              <w:left w:val="nil"/>
              <w:bottom w:val="nil"/>
              <w:right w:val="single" w:sz="8" w:space="0" w:color="auto"/>
            </w:tcBorders>
            <w:shd w:val="clear" w:color="auto" w:fill="auto"/>
            <w:noWrap/>
            <w:vAlign w:val="center"/>
            <w:hideMark/>
          </w:tcPr>
          <w:p w14:paraId="65F79F16"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DVP.H038</w:t>
            </w:r>
          </w:p>
        </w:tc>
        <w:tc>
          <w:tcPr>
            <w:tcW w:w="1120" w:type="dxa"/>
            <w:tcBorders>
              <w:left w:val="nil"/>
              <w:bottom w:val="nil"/>
              <w:right w:val="single" w:sz="8" w:space="0" w:color="auto"/>
            </w:tcBorders>
            <w:shd w:val="clear" w:color="auto" w:fill="auto"/>
            <w:noWrap/>
            <w:vAlign w:val="center"/>
            <w:hideMark/>
          </w:tcPr>
          <w:p w14:paraId="679F0E71"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DVP.I038</w:t>
            </w:r>
          </w:p>
        </w:tc>
      </w:tr>
      <w:tr w:rsidR="004D5330" w:rsidRPr="004D5330" w14:paraId="70885610" w14:textId="77777777" w:rsidTr="0015273C">
        <w:trPr>
          <w:trHeight w:val="240"/>
        </w:trPr>
        <w:tc>
          <w:tcPr>
            <w:tcW w:w="4410" w:type="dxa"/>
            <w:tcBorders>
              <w:top w:val="nil"/>
              <w:left w:val="single" w:sz="8" w:space="0" w:color="auto"/>
              <w:bottom w:val="nil"/>
            </w:tcBorders>
            <w:shd w:val="clear" w:color="auto" w:fill="auto"/>
            <w:noWrap/>
            <w:vAlign w:val="center"/>
            <w:hideMark/>
          </w:tcPr>
          <w:p w14:paraId="217D423A" w14:textId="77777777" w:rsidR="004D5330" w:rsidRPr="004D5330" w:rsidRDefault="004D5330" w:rsidP="0015273C">
            <w:pPr>
              <w:spacing w:after="0" w:line="240" w:lineRule="auto"/>
              <w:ind w:firstLineChars="200" w:firstLine="320"/>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Reavaliação de Ativos</w:t>
            </w:r>
          </w:p>
        </w:tc>
        <w:tc>
          <w:tcPr>
            <w:tcW w:w="835" w:type="dxa"/>
            <w:tcBorders>
              <w:top w:val="nil"/>
              <w:bottom w:val="nil"/>
              <w:right w:val="single" w:sz="8" w:space="0" w:color="auto"/>
            </w:tcBorders>
            <w:shd w:val="clear" w:color="auto" w:fill="auto"/>
            <w:noWrap/>
            <w:vAlign w:val="center"/>
          </w:tcPr>
          <w:p w14:paraId="5D62758C"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25446AD5"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DVP.D039</w:t>
            </w:r>
          </w:p>
        </w:tc>
        <w:tc>
          <w:tcPr>
            <w:tcW w:w="1134" w:type="dxa"/>
            <w:tcBorders>
              <w:top w:val="nil"/>
              <w:left w:val="nil"/>
              <w:bottom w:val="nil"/>
              <w:right w:val="single" w:sz="8" w:space="0" w:color="auto"/>
            </w:tcBorders>
            <w:shd w:val="clear" w:color="auto" w:fill="auto"/>
            <w:noWrap/>
            <w:vAlign w:val="center"/>
            <w:hideMark/>
          </w:tcPr>
          <w:p w14:paraId="4CC3213B"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DVP.E039</w:t>
            </w:r>
          </w:p>
        </w:tc>
        <w:tc>
          <w:tcPr>
            <w:tcW w:w="4346" w:type="dxa"/>
            <w:tcBorders>
              <w:top w:val="nil"/>
              <w:left w:val="nil"/>
              <w:bottom w:val="nil"/>
            </w:tcBorders>
            <w:shd w:val="clear" w:color="auto" w:fill="auto"/>
            <w:noWrap/>
            <w:vAlign w:val="center"/>
            <w:hideMark/>
          </w:tcPr>
          <w:p w14:paraId="74DEA295" w14:textId="77777777" w:rsidR="004D5330" w:rsidRPr="004D5330" w:rsidRDefault="004D5330" w:rsidP="0015273C">
            <w:pPr>
              <w:spacing w:after="0" w:line="240" w:lineRule="auto"/>
              <w:ind w:firstLineChars="200" w:firstLine="320"/>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Outras Transferências e Delegações Concedidas</w:t>
            </w:r>
          </w:p>
        </w:tc>
        <w:tc>
          <w:tcPr>
            <w:tcW w:w="846" w:type="dxa"/>
            <w:tcBorders>
              <w:top w:val="nil"/>
              <w:bottom w:val="nil"/>
              <w:right w:val="single" w:sz="8" w:space="0" w:color="auto"/>
            </w:tcBorders>
            <w:shd w:val="clear" w:color="auto" w:fill="auto"/>
            <w:noWrap/>
            <w:vAlign w:val="center"/>
          </w:tcPr>
          <w:p w14:paraId="1C101947"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30A6890B"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DVP.H039</w:t>
            </w:r>
          </w:p>
        </w:tc>
        <w:tc>
          <w:tcPr>
            <w:tcW w:w="1120" w:type="dxa"/>
            <w:tcBorders>
              <w:top w:val="nil"/>
              <w:left w:val="nil"/>
              <w:bottom w:val="nil"/>
              <w:right w:val="single" w:sz="8" w:space="0" w:color="auto"/>
            </w:tcBorders>
            <w:shd w:val="clear" w:color="auto" w:fill="auto"/>
            <w:noWrap/>
            <w:vAlign w:val="center"/>
            <w:hideMark/>
          </w:tcPr>
          <w:p w14:paraId="7FE43313"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DVP.I039</w:t>
            </w:r>
          </w:p>
        </w:tc>
      </w:tr>
      <w:tr w:rsidR="004D5330" w:rsidRPr="004D5330" w14:paraId="77267547" w14:textId="77777777" w:rsidTr="0015273C">
        <w:trPr>
          <w:trHeight w:val="240"/>
        </w:trPr>
        <w:tc>
          <w:tcPr>
            <w:tcW w:w="4410" w:type="dxa"/>
            <w:tcBorders>
              <w:top w:val="nil"/>
              <w:left w:val="single" w:sz="8" w:space="0" w:color="auto"/>
              <w:bottom w:val="nil"/>
            </w:tcBorders>
            <w:shd w:val="clear" w:color="auto" w:fill="auto"/>
            <w:noWrap/>
            <w:vAlign w:val="center"/>
            <w:hideMark/>
          </w:tcPr>
          <w:p w14:paraId="395A8EE3" w14:textId="77777777" w:rsidR="004D5330" w:rsidRPr="004D5330" w:rsidRDefault="004D5330" w:rsidP="0015273C">
            <w:pPr>
              <w:spacing w:after="0" w:line="240" w:lineRule="auto"/>
              <w:ind w:firstLineChars="200" w:firstLine="320"/>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Ganhos com Alienação</w:t>
            </w:r>
          </w:p>
        </w:tc>
        <w:tc>
          <w:tcPr>
            <w:tcW w:w="835" w:type="dxa"/>
            <w:tcBorders>
              <w:top w:val="nil"/>
              <w:bottom w:val="nil"/>
              <w:right w:val="single" w:sz="8" w:space="0" w:color="auto"/>
            </w:tcBorders>
            <w:shd w:val="clear" w:color="auto" w:fill="auto"/>
            <w:noWrap/>
            <w:vAlign w:val="center"/>
          </w:tcPr>
          <w:p w14:paraId="622863AB"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428482B8"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DVP.D040</w:t>
            </w:r>
          </w:p>
        </w:tc>
        <w:tc>
          <w:tcPr>
            <w:tcW w:w="1134" w:type="dxa"/>
            <w:tcBorders>
              <w:top w:val="nil"/>
              <w:left w:val="nil"/>
              <w:bottom w:val="nil"/>
              <w:right w:val="single" w:sz="8" w:space="0" w:color="auto"/>
            </w:tcBorders>
            <w:shd w:val="clear" w:color="auto" w:fill="auto"/>
            <w:noWrap/>
            <w:vAlign w:val="center"/>
            <w:hideMark/>
          </w:tcPr>
          <w:p w14:paraId="7097A063"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DVP.E040</w:t>
            </w:r>
          </w:p>
        </w:tc>
        <w:tc>
          <w:tcPr>
            <w:tcW w:w="4346" w:type="dxa"/>
            <w:tcBorders>
              <w:top w:val="nil"/>
              <w:left w:val="nil"/>
              <w:bottom w:val="nil"/>
            </w:tcBorders>
            <w:shd w:val="clear" w:color="auto" w:fill="auto"/>
            <w:noWrap/>
            <w:vAlign w:val="center"/>
            <w:hideMark/>
          </w:tcPr>
          <w:p w14:paraId="03F0E41D" w14:textId="77777777" w:rsidR="004D5330" w:rsidRPr="004D5330" w:rsidRDefault="004D5330" w:rsidP="0015273C">
            <w:pPr>
              <w:spacing w:after="0" w:line="240" w:lineRule="auto"/>
              <w:rPr>
                <w:rFonts w:ascii="Arial Narrow" w:eastAsia="Times New Roman" w:hAnsi="Arial Narrow" w:cs="Arial"/>
                <w:b/>
                <w:bCs/>
                <w:sz w:val="16"/>
                <w:szCs w:val="16"/>
                <w:u w:val="single"/>
                <w:lang w:eastAsia="pt-BR"/>
              </w:rPr>
            </w:pPr>
            <w:r w:rsidRPr="004D5330">
              <w:rPr>
                <w:rFonts w:ascii="Arial Narrow" w:eastAsia="Times New Roman" w:hAnsi="Arial Narrow" w:cs="Arial"/>
                <w:b/>
                <w:bCs/>
                <w:sz w:val="16"/>
                <w:szCs w:val="16"/>
                <w:u w:val="single"/>
                <w:lang w:eastAsia="pt-BR"/>
              </w:rPr>
              <w:t>Desvalorização e Perdas de Ativos e Incorporação de Passivos</w:t>
            </w:r>
          </w:p>
        </w:tc>
        <w:tc>
          <w:tcPr>
            <w:tcW w:w="846" w:type="dxa"/>
            <w:tcBorders>
              <w:top w:val="nil"/>
              <w:bottom w:val="nil"/>
              <w:right w:val="single" w:sz="8" w:space="0" w:color="auto"/>
            </w:tcBorders>
            <w:shd w:val="clear" w:color="auto" w:fill="auto"/>
            <w:noWrap/>
            <w:vAlign w:val="center"/>
          </w:tcPr>
          <w:p w14:paraId="4B6BE09C" w14:textId="77777777" w:rsidR="004D5330" w:rsidRPr="004D5330" w:rsidRDefault="004D5330" w:rsidP="0015273C">
            <w:pPr>
              <w:spacing w:after="0" w:line="240" w:lineRule="auto"/>
              <w:jc w:val="center"/>
              <w:rPr>
                <w:rFonts w:ascii="Arial Narrow" w:eastAsia="Times New Roman" w:hAnsi="Arial Narrow" w:cs="Arial"/>
                <w:b/>
                <w:bCs/>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0494A3BB" w14:textId="77777777" w:rsidR="004D5330" w:rsidRPr="004D5330" w:rsidRDefault="004D5330" w:rsidP="0015273C">
            <w:pPr>
              <w:spacing w:after="0" w:line="240" w:lineRule="auto"/>
              <w:jc w:val="center"/>
              <w:rPr>
                <w:rFonts w:ascii="Arial Narrow" w:eastAsia="Times New Roman" w:hAnsi="Arial Narrow" w:cs="Arial"/>
                <w:b/>
                <w:bCs/>
                <w:sz w:val="16"/>
                <w:szCs w:val="16"/>
                <w:lang w:eastAsia="pt-BR"/>
              </w:rPr>
            </w:pPr>
            <w:r w:rsidRPr="004D5330">
              <w:rPr>
                <w:rFonts w:ascii="Arial Narrow" w:eastAsia="Times New Roman" w:hAnsi="Arial Narrow" w:cs="Arial"/>
                <w:b/>
                <w:bCs/>
                <w:sz w:val="16"/>
                <w:szCs w:val="16"/>
                <w:lang w:eastAsia="pt-BR"/>
              </w:rPr>
              <w:t>DVP.H040</w:t>
            </w:r>
          </w:p>
        </w:tc>
        <w:tc>
          <w:tcPr>
            <w:tcW w:w="1120" w:type="dxa"/>
            <w:tcBorders>
              <w:top w:val="nil"/>
              <w:left w:val="nil"/>
              <w:bottom w:val="nil"/>
              <w:right w:val="single" w:sz="8" w:space="0" w:color="auto"/>
            </w:tcBorders>
            <w:shd w:val="clear" w:color="auto" w:fill="auto"/>
            <w:noWrap/>
            <w:vAlign w:val="center"/>
            <w:hideMark/>
          </w:tcPr>
          <w:p w14:paraId="5559F55B" w14:textId="77777777" w:rsidR="004D5330" w:rsidRPr="004D5330" w:rsidRDefault="004D5330" w:rsidP="0015273C">
            <w:pPr>
              <w:spacing w:after="0" w:line="240" w:lineRule="auto"/>
              <w:jc w:val="center"/>
              <w:rPr>
                <w:rFonts w:ascii="Arial Narrow" w:eastAsia="Times New Roman" w:hAnsi="Arial Narrow" w:cs="Arial"/>
                <w:b/>
                <w:bCs/>
                <w:sz w:val="16"/>
                <w:szCs w:val="16"/>
                <w:lang w:eastAsia="pt-BR"/>
              </w:rPr>
            </w:pPr>
            <w:r w:rsidRPr="004D5330">
              <w:rPr>
                <w:rFonts w:ascii="Arial Narrow" w:eastAsia="Times New Roman" w:hAnsi="Arial Narrow" w:cs="Arial"/>
                <w:b/>
                <w:bCs/>
                <w:sz w:val="16"/>
                <w:szCs w:val="16"/>
                <w:lang w:eastAsia="pt-BR"/>
              </w:rPr>
              <w:t>DVP.I040</w:t>
            </w:r>
          </w:p>
        </w:tc>
      </w:tr>
      <w:tr w:rsidR="004D5330" w:rsidRPr="004D5330" w14:paraId="715F473B" w14:textId="77777777" w:rsidTr="0015273C">
        <w:trPr>
          <w:trHeight w:val="240"/>
        </w:trPr>
        <w:tc>
          <w:tcPr>
            <w:tcW w:w="4410" w:type="dxa"/>
            <w:tcBorders>
              <w:top w:val="nil"/>
              <w:left w:val="single" w:sz="8" w:space="0" w:color="auto"/>
              <w:bottom w:val="nil"/>
            </w:tcBorders>
            <w:shd w:val="clear" w:color="auto" w:fill="auto"/>
            <w:noWrap/>
            <w:vAlign w:val="center"/>
            <w:hideMark/>
          </w:tcPr>
          <w:p w14:paraId="196E211A" w14:textId="77777777" w:rsidR="004D5330" w:rsidRPr="004D5330" w:rsidRDefault="004D5330" w:rsidP="0015273C">
            <w:pPr>
              <w:spacing w:after="0" w:line="240" w:lineRule="auto"/>
              <w:ind w:firstLineChars="200" w:firstLine="320"/>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Ganhos com Incorporação de Ativos</w:t>
            </w:r>
          </w:p>
        </w:tc>
        <w:tc>
          <w:tcPr>
            <w:tcW w:w="835" w:type="dxa"/>
            <w:tcBorders>
              <w:top w:val="nil"/>
              <w:bottom w:val="nil"/>
              <w:right w:val="single" w:sz="8" w:space="0" w:color="auto"/>
            </w:tcBorders>
            <w:shd w:val="clear" w:color="auto" w:fill="auto"/>
            <w:noWrap/>
            <w:vAlign w:val="center"/>
          </w:tcPr>
          <w:p w14:paraId="30F8A31C"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4D9639A5"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DVP.D041</w:t>
            </w:r>
          </w:p>
        </w:tc>
        <w:tc>
          <w:tcPr>
            <w:tcW w:w="1134" w:type="dxa"/>
            <w:tcBorders>
              <w:top w:val="nil"/>
              <w:left w:val="nil"/>
              <w:bottom w:val="nil"/>
              <w:right w:val="single" w:sz="8" w:space="0" w:color="auto"/>
            </w:tcBorders>
            <w:shd w:val="clear" w:color="auto" w:fill="auto"/>
            <w:noWrap/>
            <w:vAlign w:val="center"/>
            <w:hideMark/>
          </w:tcPr>
          <w:p w14:paraId="172E4BEE"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DVP.E041</w:t>
            </w:r>
          </w:p>
        </w:tc>
        <w:tc>
          <w:tcPr>
            <w:tcW w:w="4346" w:type="dxa"/>
            <w:tcBorders>
              <w:top w:val="nil"/>
              <w:left w:val="nil"/>
              <w:bottom w:val="nil"/>
            </w:tcBorders>
            <w:shd w:val="clear" w:color="auto" w:fill="auto"/>
            <w:noWrap/>
            <w:vAlign w:val="center"/>
            <w:hideMark/>
          </w:tcPr>
          <w:p w14:paraId="6623ACE5" w14:textId="77777777" w:rsidR="004D5330" w:rsidRPr="004D5330" w:rsidRDefault="004D5330" w:rsidP="0015273C">
            <w:pPr>
              <w:spacing w:after="0" w:line="240" w:lineRule="auto"/>
              <w:ind w:firstLineChars="200" w:firstLine="320"/>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Reavaliação, Redução a Valor Recuperável e Ajuste para Perdas</w:t>
            </w:r>
          </w:p>
        </w:tc>
        <w:tc>
          <w:tcPr>
            <w:tcW w:w="846" w:type="dxa"/>
            <w:tcBorders>
              <w:top w:val="nil"/>
              <w:right w:val="single" w:sz="8" w:space="0" w:color="auto"/>
            </w:tcBorders>
            <w:shd w:val="clear" w:color="auto" w:fill="auto"/>
            <w:noWrap/>
            <w:vAlign w:val="center"/>
          </w:tcPr>
          <w:p w14:paraId="01ACB951"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5A4E1005"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DVP.H041</w:t>
            </w:r>
          </w:p>
        </w:tc>
        <w:tc>
          <w:tcPr>
            <w:tcW w:w="1120" w:type="dxa"/>
            <w:tcBorders>
              <w:top w:val="nil"/>
              <w:left w:val="nil"/>
              <w:bottom w:val="nil"/>
              <w:right w:val="single" w:sz="8" w:space="0" w:color="auto"/>
            </w:tcBorders>
            <w:shd w:val="clear" w:color="auto" w:fill="auto"/>
            <w:noWrap/>
            <w:vAlign w:val="center"/>
            <w:hideMark/>
          </w:tcPr>
          <w:p w14:paraId="7FC9877A"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DVP.I041</w:t>
            </w:r>
          </w:p>
        </w:tc>
      </w:tr>
      <w:tr w:rsidR="004D5330" w:rsidRPr="004D5330" w14:paraId="0D86F8DB" w14:textId="77777777" w:rsidTr="0015273C">
        <w:trPr>
          <w:trHeight w:val="240"/>
        </w:trPr>
        <w:tc>
          <w:tcPr>
            <w:tcW w:w="4410" w:type="dxa"/>
            <w:tcBorders>
              <w:top w:val="nil"/>
              <w:left w:val="single" w:sz="8" w:space="0" w:color="auto"/>
              <w:bottom w:val="nil"/>
            </w:tcBorders>
            <w:shd w:val="clear" w:color="auto" w:fill="auto"/>
            <w:noWrap/>
            <w:vAlign w:val="center"/>
            <w:hideMark/>
          </w:tcPr>
          <w:p w14:paraId="6F3CA2A2" w14:textId="77777777" w:rsidR="004D5330" w:rsidRPr="004D5330" w:rsidRDefault="004D5330" w:rsidP="0015273C">
            <w:pPr>
              <w:spacing w:after="0" w:line="240" w:lineRule="auto"/>
              <w:ind w:firstLineChars="200" w:firstLine="320"/>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Ganhos com Desincorporação de Passivos</w:t>
            </w:r>
          </w:p>
        </w:tc>
        <w:tc>
          <w:tcPr>
            <w:tcW w:w="835" w:type="dxa"/>
            <w:tcBorders>
              <w:top w:val="nil"/>
              <w:bottom w:val="nil"/>
              <w:right w:val="single" w:sz="8" w:space="0" w:color="auto"/>
            </w:tcBorders>
            <w:shd w:val="clear" w:color="auto" w:fill="auto"/>
            <w:noWrap/>
            <w:vAlign w:val="center"/>
          </w:tcPr>
          <w:p w14:paraId="043818F7"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772275CC"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DVP.D042</w:t>
            </w:r>
          </w:p>
        </w:tc>
        <w:tc>
          <w:tcPr>
            <w:tcW w:w="1134" w:type="dxa"/>
            <w:tcBorders>
              <w:top w:val="nil"/>
              <w:left w:val="nil"/>
              <w:bottom w:val="nil"/>
              <w:right w:val="single" w:sz="8" w:space="0" w:color="auto"/>
            </w:tcBorders>
            <w:shd w:val="clear" w:color="auto" w:fill="auto"/>
            <w:noWrap/>
            <w:vAlign w:val="center"/>
            <w:hideMark/>
          </w:tcPr>
          <w:p w14:paraId="000E0A8D"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DVP.E042</w:t>
            </w:r>
          </w:p>
        </w:tc>
        <w:tc>
          <w:tcPr>
            <w:tcW w:w="4346" w:type="dxa"/>
            <w:tcBorders>
              <w:top w:val="nil"/>
              <w:left w:val="nil"/>
              <w:bottom w:val="nil"/>
            </w:tcBorders>
            <w:shd w:val="clear" w:color="auto" w:fill="auto"/>
            <w:noWrap/>
            <w:vAlign w:val="center"/>
            <w:hideMark/>
          </w:tcPr>
          <w:p w14:paraId="35B76504" w14:textId="77777777" w:rsidR="004D5330" w:rsidRPr="004D5330" w:rsidRDefault="004D5330" w:rsidP="0015273C">
            <w:pPr>
              <w:spacing w:after="0" w:line="240" w:lineRule="auto"/>
              <w:ind w:firstLineChars="200" w:firstLine="320"/>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Perdas com Alienação</w:t>
            </w:r>
          </w:p>
        </w:tc>
        <w:tc>
          <w:tcPr>
            <w:tcW w:w="846" w:type="dxa"/>
            <w:tcBorders>
              <w:top w:val="nil"/>
              <w:bottom w:val="nil"/>
              <w:right w:val="single" w:sz="8" w:space="0" w:color="auto"/>
            </w:tcBorders>
            <w:shd w:val="clear" w:color="auto" w:fill="auto"/>
            <w:noWrap/>
            <w:vAlign w:val="center"/>
          </w:tcPr>
          <w:p w14:paraId="57AB2138"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5B2655DB"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DVP.H042</w:t>
            </w:r>
          </w:p>
        </w:tc>
        <w:tc>
          <w:tcPr>
            <w:tcW w:w="1120" w:type="dxa"/>
            <w:tcBorders>
              <w:top w:val="nil"/>
              <w:left w:val="nil"/>
              <w:bottom w:val="nil"/>
              <w:right w:val="single" w:sz="8" w:space="0" w:color="auto"/>
            </w:tcBorders>
            <w:shd w:val="clear" w:color="auto" w:fill="auto"/>
            <w:noWrap/>
            <w:vAlign w:val="center"/>
            <w:hideMark/>
          </w:tcPr>
          <w:p w14:paraId="68B89DB4"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DVP.I042</w:t>
            </w:r>
          </w:p>
        </w:tc>
      </w:tr>
      <w:tr w:rsidR="004D5330" w:rsidRPr="004D5330" w14:paraId="237F0318" w14:textId="77777777" w:rsidTr="0015273C">
        <w:trPr>
          <w:trHeight w:val="240"/>
        </w:trPr>
        <w:tc>
          <w:tcPr>
            <w:tcW w:w="4410" w:type="dxa"/>
            <w:tcBorders>
              <w:top w:val="nil"/>
              <w:left w:val="single" w:sz="8" w:space="0" w:color="auto"/>
              <w:bottom w:val="nil"/>
            </w:tcBorders>
            <w:shd w:val="clear" w:color="auto" w:fill="auto"/>
            <w:noWrap/>
            <w:vAlign w:val="center"/>
            <w:hideMark/>
          </w:tcPr>
          <w:p w14:paraId="0E05A3B5" w14:textId="77777777" w:rsidR="004D5330" w:rsidRPr="004D5330" w:rsidRDefault="004D5330" w:rsidP="0015273C">
            <w:pPr>
              <w:spacing w:after="0" w:line="240" w:lineRule="auto"/>
              <w:ind w:firstLineChars="200" w:firstLine="320"/>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Reversão de Redução ao Valor Recuperável</w:t>
            </w:r>
          </w:p>
        </w:tc>
        <w:tc>
          <w:tcPr>
            <w:tcW w:w="835" w:type="dxa"/>
            <w:tcBorders>
              <w:top w:val="nil"/>
              <w:bottom w:val="nil"/>
              <w:right w:val="single" w:sz="8" w:space="0" w:color="auto"/>
            </w:tcBorders>
            <w:shd w:val="clear" w:color="auto" w:fill="auto"/>
            <w:noWrap/>
            <w:vAlign w:val="center"/>
          </w:tcPr>
          <w:p w14:paraId="0966086F"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2A5E4E36"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DVP.D043</w:t>
            </w:r>
          </w:p>
        </w:tc>
        <w:tc>
          <w:tcPr>
            <w:tcW w:w="1134" w:type="dxa"/>
            <w:tcBorders>
              <w:top w:val="nil"/>
              <w:left w:val="nil"/>
              <w:bottom w:val="nil"/>
              <w:right w:val="single" w:sz="8" w:space="0" w:color="auto"/>
            </w:tcBorders>
            <w:shd w:val="clear" w:color="auto" w:fill="auto"/>
            <w:noWrap/>
            <w:vAlign w:val="center"/>
            <w:hideMark/>
          </w:tcPr>
          <w:p w14:paraId="7EEB36D2"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DVP.E043</w:t>
            </w:r>
          </w:p>
        </w:tc>
        <w:tc>
          <w:tcPr>
            <w:tcW w:w="4346" w:type="dxa"/>
            <w:tcBorders>
              <w:top w:val="nil"/>
              <w:left w:val="nil"/>
              <w:bottom w:val="nil"/>
            </w:tcBorders>
            <w:shd w:val="clear" w:color="auto" w:fill="auto"/>
            <w:noWrap/>
            <w:vAlign w:val="center"/>
            <w:hideMark/>
          </w:tcPr>
          <w:p w14:paraId="20A301E3" w14:textId="77777777" w:rsidR="004D5330" w:rsidRPr="004D5330" w:rsidRDefault="004D5330" w:rsidP="0015273C">
            <w:pPr>
              <w:spacing w:after="0" w:line="240" w:lineRule="auto"/>
              <w:ind w:firstLineChars="200" w:firstLine="320"/>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Perdas Involuntárias</w:t>
            </w:r>
          </w:p>
        </w:tc>
        <w:tc>
          <w:tcPr>
            <w:tcW w:w="846" w:type="dxa"/>
            <w:tcBorders>
              <w:top w:val="nil"/>
              <w:bottom w:val="nil"/>
              <w:right w:val="single" w:sz="8" w:space="0" w:color="auto"/>
            </w:tcBorders>
            <w:shd w:val="clear" w:color="auto" w:fill="auto"/>
            <w:noWrap/>
            <w:vAlign w:val="center"/>
          </w:tcPr>
          <w:p w14:paraId="288C3503"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25DA7BE0"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DVP.H043</w:t>
            </w:r>
          </w:p>
        </w:tc>
        <w:tc>
          <w:tcPr>
            <w:tcW w:w="1120" w:type="dxa"/>
            <w:tcBorders>
              <w:top w:val="nil"/>
              <w:left w:val="nil"/>
              <w:bottom w:val="nil"/>
              <w:right w:val="single" w:sz="8" w:space="0" w:color="auto"/>
            </w:tcBorders>
            <w:shd w:val="clear" w:color="auto" w:fill="auto"/>
            <w:noWrap/>
            <w:vAlign w:val="center"/>
            <w:hideMark/>
          </w:tcPr>
          <w:p w14:paraId="49CEF44D"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DVP.I043</w:t>
            </w:r>
          </w:p>
        </w:tc>
      </w:tr>
      <w:tr w:rsidR="004D5330" w:rsidRPr="004D5330" w14:paraId="21EDA37E" w14:textId="77777777" w:rsidTr="0015273C">
        <w:trPr>
          <w:trHeight w:val="240"/>
        </w:trPr>
        <w:tc>
          <w:tcPr>
            <w:tcW w:w="4410" w:type="dxa"/>
            <w:tcBorders>
              <w:top w:val="nil"/>
              <w:left w:val="single" w:sz="8" w:space="0" w:color="auto"/>
              <w:bottom w:val="nil"/>
            </w:tcBorders>
            <w:shd w:val="clear" w:color="auto" w:fill="auto"/>
            <w:noWrap/>
            <w:vAlign w:val="center"/>
            <w:hideMark/>
          </w:tcPr>
          <w:p w14:paraId="5AA67061" w14:textId="77777777" w:rsidR="004D5330" w:rsidRPr="004D5330" w:rsidRDefault="004D5330" w:rsidP="0015273C">
            <w:pPr>
              <w:spacing w:after="0" w:line="240" w:lineRule="auto"/>
              <w:rPr>
                <w:rFonts w:ascii="Arial Narrow" w:eastAsia="Times New Roman" w:hAnsi="Arial Narrow" w:cs="Arial"/>
                <w:b/>
                <w:bCs/>
                <w:sz w:val="16"/>
                <w:szCs w:val="16"/>
                <w:u w:val="single"/>
                <w:lang w:eastAsia="pt-BR"/>
              </w:rPr>
            </w:pPr>
            <w:r w:rsidRPr="004D5330">
              <w:rPr>
                <w:rFonts w:ascii="Arial Narrow" w:eastAsia="Times New Roman" w:hAnsi="Arial Narrow" w:cs="Arial"/>
                <w:b/>
                <w:bCs/>
                <w:sz w:val="16"/>
                <w:szCs w:val="16"/>
                <w:u w:val="single"/>
                <w:lang w:eastAsia="pt-BR"/>
              </w:rPr>
              <w:t>Outras  Variações Patrimoniais Aumentativas</w:t>
            </w:r>
          </w:p>
        </w:tc>
        <w:tc>
          <w:tcPr>
            <w:tcW w:w="835" w:type="dxa"/>
            <w:tcBorders>
              <w:top w:val="nil"/>
              <w:bottom w:val="nil"/>
              <w:right w:val="single" w:sz="8" w:space="0" w:color="auto"/>
            </w:tcBorders>
            <w:shd w:val="clear" w:color="auto" w:fill="auto"/>
            <w:noWrap/>
            <w:vAlign w:val="center"/>
          </w:tcPr>
          <w:p w14:paraId="3E323013" w14:textId="77777777" w:rsidR="004D5330" w:rsidRPr="004D5330" w:rsidRDefault="004D5330" w:rsidP="0015273C">
            <w:pPr>
              <w:spacing w:after="0" w:line="240" w:lineRule="auto"/>
              <w:jc w:val="center"/>
              <w:rPr>
                <w:rFonts w:ascii="Arial Narrow" w:eastAsia="Times New Roman" w:hAnsi="Arial Narrow" w:cs="Arial"/>
                <w:b/>
                <w:bCs/>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266B25E4" w14:textId="77777777" w:rsidR="004D5330" w:rsidRPr="004D5330" w:rsidRDefault="004D5330" w:rsidP="0015273C">
            <w:pPr>
              <w:spacing w:after="0" w:line="240" w:lineRule="auto"/>
              <w:jc w:val="center"/>
              <w:rPr>
                <w:rFonts w:ascii="Arial Narrow" w:eastAsia="Times New Roman" w:hAnsi="Arial Narrow" w:cs="Arial"/>
                <w:b/>
                <w:bCs/>
                <w:sz w:val="16"/>
                <w:szCs w:val="16"/>
                <w:lang w:eastAsia="pt-BR"/>
              </w:rPr>
            </w:pPr>
            <w:r w:rsidRPr="004D5330">
              <w:rPr>
                <w:rFonts w:ascii="Arial Narrow" w:eastAsia="Times New Roman" w:hAnsi="Arial Narrow" w:cs="Arial"/>
                <w:b/>
                <w:bCs/>
                <w:sz w:val="16"/>
                <w:szCs w:val="16"/>
                <w:lang w:eastAsia="pt-BR"/>
              </w:rPr>
              <w:t>DVP.D044</w:t>
            </w:r>
          </w:p>
        </w:tc>
        <w:tc>
          <w:tcPr>
            <w:tcW w:w="1134" w:type="dxa"/>
            <w:tcBorders>
              <w:top w:val="nil"/>
              <w:left w:val="nil"/>
              <w:bottom w:val="nil"/>
              <w:right w:val="single" w:sz="8" w:space="0" w:color="auto"/>
            </w:tcBorders>
            <w:shd w:val="clear" w:color="auto" w:fill="auto"/>
            <w:noWrap/>
            <w:vAlign w:val="center"/>
            <w:hideMark/>
          </w:tcPr>
          <w:p w14:paraId="77995F43" w14:textId="77777777" w:rsidR="004D5330" w:rsidRPr="004D5330" w:rsidRDefault="004D5330" w:rsidP="0015273C">
            <w:pPr>
              <w:spacing w:after="0" w:line="240" w:lineRule="auto"/>
              <w:jc w:val="center"/>
              <w:rPr>
                <w:rFonts w:ascii="Arial Narrow" w:eastAsia="Times New Roman" w:hAnsi="Arial Narrow" w:cs="Arial"/>
                <w:b/>
                <w:bCs/>
                <w:sz w:val="16"/>
                <w:szCs w:val="16"/>
                <w:lang w:eastAsia="pt-BR"/>
              </w:rPr>
            </w:pPr>
            <w:r w:rsidRPr="004D5330">
              <w:rPr>
                <w:rFonts w:ascii="Arial Narrow" w:eastAsia="Times New Roman" w:hAnsi="Arial Narrow" w:cs="Arial"/>
                <w:b/>
                <w:bCs/>
                <w:sz w:val="16"/>
                <w:szCs w:val="16"/>
                <w:lang w:eastAsia="pt-BR"/>
              </w:rPr>
              <w:t>DVP.E044</w:t>
            </w:r>
          </w:p>
        </w:tc>
        <w:tc>
          <w:tcPr>
            <w:tcW w:w="4346" w:type="dxa"/>
            <w:tcBorders>
              <w:top w:val="nil"/>
              <w:left w:val="nil"/>
              <w:bottom w:val="nil"/>
            </w:tcBorders>
            <w:shd w:val="clear" w:color="auto" w:fill="auto"/>
            <w:noWrap/>
            <w:vAlign w:val="center"/>
            <w:hideMark/>
          </w:tcPr>
          <w:p w14:paraId="51E87976" w14:textId="77777777" w:rsidR="004D5330" w:rsidRPr="004D5330" w:rsidRDefault="004D5330" w:rsidP="0015273C">
            <w:pPr>
              <w:spacing w:after="0" w:line="240" w:lineRule="auto"/>
              <w:ind w:firstLineChars="200" w:firstLine="320"/>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Incorporação de Passivos</w:t>
            </w:r>
          </w:p>
        </w:tc>
        <w:tc>
          <w:tcPr>
            <w:tcW w:w="846" w:type="dxa"/>
            <w:tcBorders>
              <w:top w:val="nil"/>
              <w:bottom w:val="nil"/>
              <w:right w:val="single" w:sz="8" w:space="0" w:color="auto"/>
            </w:tcBorders>
            <w:shd w:val="clear" w:color="auto" w:fill="auto"/>
            <w:noWrap/>
            <w:vAlign w:val="center"/>
          </w:tcPr>
          <w:p w14:paraId="5E8881E7"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35EC532F"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DVP.H044</w:t>
            </w:r>
          </w:p>
        </w:tc>
        <w:tc>
          <w:tcPr>
            <w:tcW w:w="1120" w:type="dxa"/>
            <w:tcBorders>
              <w:top w:val="nil"/>
              <w:left w:val="nil"/>
              <w:bottom w:val="nil"/>
              <w:right w:val="single" w:sz="8" w:space="0" w:color="auto"/>
            </w:tcBorders>
            <w:shd w:val="clear" w:color="auto" w:fill="auto"/>
            <w:noWrap/>
            <w:vAlign w:val="center"/>
            <w:hideMark/>
          </w:tcPr>
          <w:p w14:paraId="46400ADD"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DVP.I044</w:t>
            </w:r>
          </w:p>
        </w:tc>
      </w:tr>
      <w:tr w:rsidR="004D5330" w:rsidRPr="004D5330" w14:paraId="1DEB27D3" w14:textId="77777777" w:rsidTr="0015273C">
        <w:trPr>
          <w:trHeight w:val="240"/>
        </w:trPr>
        <w:tc>
          <w:tcPr>
            <w:tcW w:w="4410" w:type="dxa"/>
            <w:tcBorders>
              <w:top w:val="nil"/>
              <w:left w:val="single" w:sz="8" w:space="0" w:color="auto"/>
              <w:bottom w:val="nil"/>
            </w:tcBorders>
            <w:shd w:val="clear" w:color="auto" w:fill="auto"/>
            <w:noWrap/>
            <w:vAlign w:val="center"/>
            <w:hideMark/>
          </w:tcPr>
          <w:p w14:paraId="34A5DF22" w14:textId="77777777" w:rsidR="004D5330" w:rsidRPr="004D5330" w:rsidRDefault="004D5330" w:rsidP="0015273C">
            <w:pPr>
              <w:spacing w:after="0" w:line="240" w:lineRule="auto"/>
              <w:ind w:firstLineChars="200" w:firstLine="320"/>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Variação Patrimonial Aumentativa a Classificar</w:t>
            </w:r>
          </w:p>
        </w:tc>
        <w:tc>
          <w:tcPr>
            <w:tcW w:w="835" w:type="dxa"/>
            <w:tcBorders>
              <w:top w:val="nil"/>
              <w:bottom w:val="nil"/>
              <w:right w:val="single" w:sz="8" w:space="0" w:color="auto"/>
            </w:tcBorders>
            <w:shd w:val="clear" w:color="auto" w:fill="auto"/>
            <w:noWrap/>
            <w:vAlign w:val="center"/>
          </w:tcPr>
          <w:p w14:paraId="5A6DE455"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44DD6792"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DVP.D045</w:t>
            </w:r>
          </w:p>
        </w:tc>
        <w:tc>
          <w:tcPr>
            <w:tcW w:w="1134" w:type="dxa"/>
            <w:tcBorders>
              <w:top w:val="nil"/>
              <w:left w:val="nil"/>
              <w:bottom w:val="nil"/>
              <w:right w:val="single" w:sz="8" w:space="0" w:color="auto"/>
            </w:tcBorders>
            <w:shd w:val="clear" w:color="auto" w:fill="auto"/>
            <w:noWrap/>
            <w:vAlign w:val="center"/>
            <w:hideMark/>
          </w:tcPr>
          <w:p w14:paraId="7CDB2BF2"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DVP.E045</w:t>
            </w:r>
          </w:p>
        </w:tc>
        <w:tc>
          <w:tcPr>
            <w:tcW w:w="4346" w:type="dxa"/>
            <w:tcBorders>
              <w:top w:val="nil"/>
              <w:left w:val="nil"/>
              <w:bottom w:val="nil"/>
            </w:tcBorders>
            <w:shd w:val="clear" w:color="auto" w:fill="auto"/>
            <w:noWrap/>
            <w:vAlign w:val="center"/>
            <w:hideMark/>
          </w:tcPr>
          <w:p w14:paraId="7F31CFEE" w14:textId="77777777" w:rsidR="004D5330" w:rsidRPr="004D5330" w:rsidRDefault="004D5330" w:rsidP="0015273C">
            <w:pPr>
              <w:spacing w:after="0" w:line="240" w:lineRule="auto"/>
              <w:ind w:firstLineChars="200" w:firstLine="320"/>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Desicorporação de Ativos</w:t>
            </w:r>
          </w:p>
        </w:tc>
        <w:tc>
          <w:tcPr>
            <w:tcW w:w="846" w:type="dxa"/>
            <w:tcBorders>
              <w:top w:val="nil"/>
              <w:bottom w:val="nil"/>
              <w:right w:val="single" w:sz="8" w:space="0" w:color="auto"/>
            </w:tcBorders>
            <w:shd w:val="clear" w:color="auto" w:fill="auto"/>
            <w:noWrap/>
            <w:vAlign w:val="center"/>
          </w:tcPr>
          <w:p w14:paraId="3502E8C1"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4BA8015D"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DVP.H045</w:t>
            </w:r>
          </w:p>
        </w:tc>
        <w:tc>
          <w:tcPr>
            <w:tcW w:w="1120" w:type="dxa"/>
            <w:tcBorders>
              <w:top w:val="nil"/>
              <w:left w:val="nil"/>
              <w:bottom w:val="nil"/>
              <w:right w:val="single" w:sz="8" w:space="0" w:color="auto"/>
            </w:tcBorders>
            <w:shd w:val="clear" w:color="auto" w:fill="auto"/>
            <w:noWrap/>
            <w:vAlign w:val="center"/>
            <w:hideMark/>
          </w:tcPr>
          <w:p w14:paraId="0749310B"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DVP.I045</w:t>
            </w:r>
          </w:p>
        </w:tc>
      </w:tr>
      <w:tr w:rsidR="004D5330" w:rsidRPr="004D5330" w14:paraId="612F5650" w14:textId="77777777" w:rsidTr="0015273C">
        <w:trPr>
          <w:trHeight w:val="240"/>
        </w:trPr>
        <w:tc>
          <w:tcPr>
            <w:tcW w:w="4410" w:type="dxa"/>
            <w:tcBorders>
              <w:top w:val="nil"/>
              <w:left w:val="single" w:sz="8" w:space="0" w:color="auto"/>
              <w:bottom w:val="nil"/>
            </w:tcBorders>
            <w:shd w:val="clear" w:color="auto" w:fill="auto"/>
            <w:noWrap/>
            <w:vAlign w:val="center"/>
            <w:hideMark/>
          </w:tcPr>
          <w:p w14:paraId="61637F4D" w14:textId="77777777" w:rsidR="004D5330" w:rsidRPr="004D5330" w:rsidRDefault="004D5330" w:rsidP="0015273C">
            <w:pPr>
              <w:spacing w:after="0" w:line="240" w:lineRule="auto"/>
              <w:ind w:firstLineChars="200" w:firstLine="320"/>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Resultado Positivo de Participações</w:t>
            </w:r>
          </w:p>
        </w:tc>
        <w:tc>
          <w:tcPr>
            <w:tcW w:w="835" w:type="dxa"/>
            <w:tcBorders>
              <w:top w:val="nil"/>
              <w:right w:val="single" w:sz="8" w:space="0" w:color="auto"/>
            </w:tcBorders>
            <w:shd w:val="clear" w:color="auto" w:fill="auto"/>
            <w:noWrap/>
            <w:vAlign w:val="center"/>
          </w:tcPr>
          <w:p w14:paraId="411788E9"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3EEC279D"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DVP.D046</w:t>
            </w:r>
          </w:p>
        </w:tc>
        <w:tc>
          <w:tcPr>
            <w:tcW w:w="1134" w:type="dxa"/>
            <w:tcBorders>
              <w:top w:val="nil"/>
              <w:left w:val="nil"/>
              <w:bottom w:val="nil"/>
              <w:right w:val="single" w:sz="8" w:space="0" w:color="auto"/>
            </w:tcBorders>
            <w:shd w:val="clear" w:color="auto" w:fill="auto"/>
            <w:noWrap/>
            <w:vAlign w:val="center"/>
            <w:hideMark/>
          </w:tcPr>
          <w:p w14:paraId="04B88B21"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DVP.E046</w:t>
            </w:r>
          </w:p>
        </w:tc>
        <w:tc>
          <w:tcPr>
            <w:tcW w:w="4346" w:type="dxa"/>
            <w:tcBorders>
              <w:top w:val="nil"/>
              <w:left w:val="nil"/>
              <w:bottom w:val="nil"/>
            </w:tcBorders>
            <w:shd w:val="clear" w:color="auto" w:fill="auto"/>
            <w:noWrap/>
            <w:vAlign w:val="center"/>
            <w:hideMark/>
          </w:tcPr>
          <w:p w14:paraId="36BE2357" w14:textId="77777777" w:rsidR="004D5330" w:rsidRPr="004D5330" w:rsidRDefault="004D5330" w:rsidP="0015273C">
            <w:pPr>
              <w:spacing w:after="0" w:line="240" w:lineRule="auto"/>
              <w:rPr>
                <w:rFonts w:ascii="Arial Narrow" w:eastAsia="Times New Roman" w:hAnsi="Arial Narrow" w:cs="Arial"/>
                <w:b/>
                <w:bCs/>
                <w:sz w:val="16"/>
                <w:szCs w:val="16"/>
                <w:u w:val="single"/>
                <w:lang w:eastAsia="pt-BR"/>
              </w:rPr>
            </w:pPr>
            <w:r w:rsidRPr="004D5330">
              <w:rPr>
                <w:rFonts w:ascii="Arial Narrow" w:eastAsia="Times New Roman" w:hAnsi="Arial Narrow" w:cs="Arial"/>
                <w:b/>
                <w:bCs/>
                <w:sz w:val="16"/>
                <w:szCs w:val="16"/>
                <w:u w:val="single"/>
                <w:lang w:eastAsia="pt-BR"/>
              </w:rPr>
              <w:t>Tributárias</w:t>
            </w:r>
          </w:p>
        </w:tc>
        <w:tc>
          <w:tcPr>
            <w:tcW w:w="846" w:type="dxa"/>
            <w:tcBorders>
              <w:top w:val="nil"/>
              <w:bottom w:val="nil"/>
              <w:right w:val="single" w:sz="8" w:space="0" w:color="auto"/>
            </w:tcBorders>
            <w:shd w:val="clear" w:color="auto" w:fill="auto"/>
            <w:noWrap/>
            <w:vAlign w:val="center"/>
          </w:tcPr>
          <w:p w14:paraId="375E9CD8" w14:textId="77777777" w:rsidR="004D5330" w:rsidRPr="004D5330" w:rsidRDefault="004D5330" w:rsidP="0015273C">
            <w:pPr>
              <w:spacing w:after="0" w:line="240" w:lineRule="auto"/>
              <w:jc w:val="center"/>
              <w:rPr>
                <w:rFonts w:ascii="Arial Narrow" w:eastAsia="Times New Roman" w:hAnsi="Arial Narrow" w:cs="Arial"/>
                <w:b/>
                <w:bCs/>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43B3D4F3" w14:textId="77777777" w:rsidR="004D5330" w:rsidRPr="004D5330" w:rsidRDefault="004D5330" w:rsidP="0015273C">
            <w:pPr>
              <w:spacing w:after="0" w:line="240" w:lineRule="auto"/>
              <w:jc w:val="center"/>
              <w:rPr>
                <w:rFonts w:ascii="Arial Narrow" w:eastAsia="Times New Roman" w:hAnsi="Arial Narrow" w:cs="Arial"/>
                <w:b/>
                <w:bCs/>
                <w:sz w:val="16"/>
                <w:szCs w:val="16"/>
                <w:lang w:eastAsia="pt-BR"/>
              </w:rPr>
            </w:pPr>
            <w:r w:rsidRPr="004D5330">
              <w:rPr>
                <w:rFonts w:ascii="Arial Narrow" w:eastAsia="Times New Roman" w:hAnsi="Arial Narrow" w:cs="Arial"/>
                <w:b/>
                <w:bCs/>
                <w:sz w:val="16"/>
                <w:szCs w:val="16"/>
                <w:lang w:eastAsia="pt-BR"/>
              </w:rPr>
              <w:t>DVP.H046</w:t>
            </w:r>
          </w:p>
        </w:tc>
        <w:tc>
          <w:tcPr>
            <w:tcW w:w="1120" w:type="dxa"/>
            <w:tcBorders>
              <w:top w:val="nil"/>
              <w:left w:val="nil"/>
              <w:bottom w:val="nil"/>
              <w:right w:val="single" w:sz="8" w:space="0" w:color="auto"/>
            </w:tcBorders>
            <w:shd w:val="clear" w:color="auto" w:fill="auto"/>
            <w:noWrap/>
            <w:vAlign w:val="center"/>
            <w:hideMark/>
          </w:tcPr>
          <w:p w14:paraId="64FD36E2" w14:textId="77777777" w:rsidR="004D5330" w:rsidRPr="004D5330" w:rsidRDefault="004D5330" w:rsidP="0015273C">
            <w:pPr>
              <w:spacing w:after="0" w:line="240" w:lineRule="auto"/>
              <w:jc w:val="center"/>
              <w:rPr>
                <w:rFonts w:ascii="Arial Narrow" w:eastAsia="Times New Roman" w:hAnsi="Arial Narrow" w:cs="Arial"/>
                <w:b/>
                <w:bCs/>
                <w:sz w:val="16"/>
                <w:szCs w:val="16"/>
                <w:lang w:eastAsia="pt-BR"/>
              </w:rPr>
            </w:pPr>
            <w:r w:rsidRPr="004D5330">
              <w:rPr>
                <w:rFonts w:ascii="Arial Narrow" w:eastAsia="Times New Roman" w:hAnsi="Arial Narrow" w:cs="Arial"/>
                <w:b/>
                <w:bCs/>
                <w:sz w:val="16"/>
                <w:szCs w:val="16"/>
                <w:lang w:eastAsia="pt-BR"/>
              </w:rPr>
              <w:t>DVP.I046</w:t>
            </w:r>
          </w:p>
        </w:tc>
      </w:tr>
      <w:tr w:rsidR="004D5330" w:rsidRPr="004D5330" w14:paraId="27649C22" w14:textId="77777777" w:rsidTr="0015273C">
        <w:trPr>
          <w:trHeight w:val="255"/>
        </w:trPr>
        <w:tc>
          <w:tcPr>
            <w:tcW w:w="4410" w:type="dxa"/>
            <w:tcBorders>
              <w:top w:val="nil"/>
              <w:left w:val="single" w:sz="8" w:space="0" w:color="auto"/>
              <w:bottom w:val="nil"/>
            </w:tcBorders>
            <w:shd w:val="clear" w:color="auto" w:fill="auto"/>
            <w:noWrap/>
            <w:vAlign w:val="center"/>
          </w:tcPr>
          <w:p w14:paraId="700F2F93" w14:textId="77777777" w:rsidR="004D5330" w:rsidRPr="004D5330" w:rsidRDefault="004D5330" w:rsidP="0015273C">
            <w:pPr>
              <w:spacing w:after="0" w:line="240" w:lineRule="auto"/>
              <w:ind w:firstLineChars="200" w:firstLine="320"/>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Subvenções Econonômicas</w:t>
            </w:r>
          </w:p>
        </w:tc>
        <w:tc>
          <w:tcPr>
            <w:tcW w:w="835" w:type="dxa"/>
            <w:tcBorders>
              <w:top w:val="nil"/>
              <w:bottom w:val="nil"/>
              <w:right w:val="single" w:sz="8" w:space="0" w:color="auto"/>
            </w:tcBorders>
            <w:shd w:val="clear" w:color="auto" w:fill="auto"/>
            <w:noWrap/>
            <w:vAlign w:val="center"/>
          </w:tcPr>
          <w:p w14:paraId="11A1058E"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tcPr>
          <w:p w14:paraId="695EC278" w14:textId="77777777" w:rsidR="004D5330" w:rsidRPr="004D5330" w:rsidRDefault="004D5330"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DVP.D050</w:t>
            </w:r>
          </w:p>
        </w:tc>
        <w:tc>
          <w:tcPr>
            <w:tcW w:w="1134" w:type="dxa"/>
            <w:tcBorders>
              <w:top w:val="nil"/>
              <w:left w:val="nil"/>
              <w:bottom w:val="nil"/>
              <w:right w:val="single" w:sz="8" w:space="0" w:color="auto"/>
            </w:tcBorders>
            <w:shd w:val="clear" w:color="auto" w:fill="auto"/>
            <w:noWrap/>
            <w:vAlign w:val="center"/>
          </w:tcPr>
          <w:p w14:paraId="73576409" w14:textId="77777777" w:rsidR="004D5330" w:rsidRPr="004D5330" w:rsidRDefault="004D5330"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DVP.E050</w:t>
            </w:r>
          </w:p>
        </w:tc>
        <w:tc>
          <w:tcPr>
            <w:tcW w:w="4346" w:type="dxa"/>
            <w:tcBorders>
              <w:top w:val="nil"/>
              <w:left w:val="nil"/>
              <w:bottom w:val="nil"/>
            </w:tcBorders>
            <w:shd w:val="clear" w:color="auto" w:fill="auto"/>
            <w:noWrap/>
            <w:vAlign w:val="center"/>
            <w:hideMark/>
          </w:tcPr>
          <w:p w14:paraId="7AA5A36E" w14:textId="77777777" w:rsidR="004D5330" w:rsidRPr="004D5330" w:rsidRDefault="004D5330" w:rsidP="0015273C">
            <w:pPr>
              <w:spacing w:after="0" w:line="240" w:lineRule="auto"/>
              <w:ind w:firstLineChars="200" w:firstLine="320"/>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Impostos, Taxas e Contribuições de Melhoria</w:t>
            </w:r>
          </w:p>
        </w:tc>
        <w:tc>
          <w:tcPr>
            <w:tcW w:w="846" w:type="dxa"/>
            <w:tcBorders>
              <w:top w:val="nil"/>
              <w:bottom w:val="nil"/>
              <w:right w:val="single" w:sz="8" w:space="0" w:color="auto"/>
            </w:tcBorders>
            <w:shd w:val="clear" w:color="auto" w:fill="auto"/>
            <w:noWrap/>
            <w:vAlign w:val="center"/>
          </w:tcPr>
          <w:p w14:paraId="3F7B9E09"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046A887A"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DVP.H047</w:t>
            </w:r>
          </w:p>
        </w:tc>
        <w:tc>
          <w:tcPr>
            <w:tcW w:w="1120" w:type="dxa"/>
            <w:tcBorders>
              <w:top w:val="nil"/>
              <w:left w:val="nil"/>
              <w:bottom w:val="nil"/>
              <w:right w:val="single" w:sz="8" w:space="0" w:color="auto"/>
            </w:tcBorders>
            <w:shd w:val="clear" w:color="auto" w:fill="auto"/>
            <w:noWrap/>
            <w:vAlign w:val="center"/>
            <w:hideMark/>
          </w:tcPr>
          <w:p w14:paraId="0602758F"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DVP.I047</w:t>
            </w:r>
          </w:p>
        </w:tc>
      </w:tr>
      <w:tr w:rsidR="004D5330" w:rsidRPr="004D5330" w14:paraId="780243F6" w14:textId="77777777" w:rsidTr="0015273C">
        <w:trPr>
          <w:trHeight w:val="255"/>
        </w:trPr>
        <w:tc>
          <w:tcPr>
            <w:tcW w:w="4410" w:type="dxa"/>
            <w:tcBorders>
              <w:top w:val="nil"/>
              <w:left w:val="single" w:sz="8" w:space="0" w:color="auto"/>
              <w:bottom w:val="nil"/>
            </w:tcBorders>
            <w:shd w:val="clear" w:color="auto" w:fill="auto"/>
            <w:noWrap/>
            <w:vAlign w:val="center"/>
            <w:hideMark/>
          </w:tcPr>
          <w:p w14:paraId="59C68C22" w14:textId="77777777" w:rsidR="004D5330" w:rsidRPr="004D5330" w:rsidRDefault="004D5330" w:rsidP="0015273C">
            <w:pPr>
              <w:spacing w:after="0" w:line="240" w:lineRule="auto"/>
              <w:ind w:firstLineChars="200" w:firstLine="320"/>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Reversão de Provisões e Ajustes de Perdas</w:t>
            </w:r>
          </w:p>
        </w:tc>
        <w:tc>
          <w:tcPr>
            <w:tcW w:w="835" w:type="dxa"/>
            <w:tcBorders>
              <w:top w:val="nil"/>
              <w:bottom w:val="nil"/>
              <w:right w:val="single" w:sz="8" w:space="0" w:color="auto"/>
            </w:tcBorders>
            <w:shd w:val="clear" w:color="auto" w:fill="auto"/>
            <w:noWrap/>
            <w:vAlign w:val="center"/>
          </w:tcPr>
          <w:p w14:paraId="30FACEA4"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20D63EB3"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DVP.D047</w:t>
            </w:r>
          </w:p>
        </w:tc>
        <w:tc>
          <w:tcPr>
            <w:tcW w:w="1134" w:type="dxa"/>
            <w:tcBorders>
              <w:top w:val="nil"/>
              <w:left w:val="nil"/>
              <w:bottom w:val="nil"/>
              <w:right w:val="single" w:sz="8" w:space="0" w:color="auto"/>
            </w:tcBorders>
            <w:shd w:val="clear" w:color="auto" w:fill="auto"/>
            <w:noWrap/>
            <w:vAlign w:val="center"/>
            <w:hideMark/>
          </w:tcPr>
          <w:p w14:paraId="563019B0"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DVP.E047</w:t>
            </w:r>
          </w:p>
        </w:tc>
        <w:tc>
          <w:tcPr>
            <w:tcW w:w="4346" w:type="dxa"/>
            <w:tcBorders>
              <w:top w:val="nil"/>
              <w:left w:val="nil"/>
              <w:bottom w:val="nil"/>
            </w:tcBorders>
            <w:shd w:val="clear" w:color="auto" w:fill="auto"/>
            <w:noWrap/>
            <w:vAlign w:val="center"/>
            <w:hideMark/>
          </w:tcPr>
          <w:p w14:paraId="0E566BC7" w14:textId="77777777" w:rsidR="004D5330" w:rsidRPr="004D5330" w:rsidRDefault="004D5330" w:rsidP="0015273C">
            <w:pPr>
              <w:spacing w:after="0" w:line="240" w:lineRule="auto"/>
              <w:ind w:firstLineChars="200" w:firstLine="320"/>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Contribuições</w:t>
            </w:r>
          </w:p>
        </w:tc>
        <w:tc>
          <w:tcPr>
            <w:tcW w:w="846" w:type="dxa"/>
            <w:tcBorders>
              <w:top w:val="nil"/>
              <w:bottom w:val="nil"/>
              <w:right w:val="single" w:sz="8" w:space="0" w:color="auto"/>
            </w:tcBorders>
            <w:shd w:val="clear" w:color="auto" w:fill="auto"/>
            <w:noWrap/>
            <w:vAlign w:val="center"/>
          </w:tcPr>
          <w:p w14:paraId="247167EB"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2DAC65CF"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DVP.H048</w:t>
            </w:r>
          </w:p>
        </w:tc>
        <w:tc>
          <w:tcPr>
            <w:tcW w:w="1120" w:type="dxa"/>
            <w:tcBorders>
              <w:top w:val="nil"/>
              <w:left w:val="nil"/>
              <w:bottom w:val="nil"/>
              <w:right w:val="single" w:sz="8" w:space="0" w:color="auto"/>
            </w:tcBorders>
            <w:shd w:val="clear" w:color="auto" w:fill="auto"/>
            <w:noWrap/>
            <w:vAlign w:val="center"/>
            <w:hideMark/>
          </w:tcPr>
          <w:p w14:paraId="49CA7BF5"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DVP.I048</w:t>
            </w:r>
          </w:p>
        </w:tc>
      </w:tr>
      <w:tr w:rsidR="004D5330" w:rsidRPr="004D5330" w14:paraId="42F9A5FA" w14:textId="77777777" w:rsidTr="0015273C">
        <w:trPr>
          <w:trHeight w:val="240"/>
        </w:trPr>
        <w:tc>
          <w:tcPr>
            <w:tcW w:w="4410" w:type="dxa"/>
            <w:tcBorders>
              <w:top w:val="nil"/>
              <w:left w:val="single" w:sz="8" w:space="0" w:color="auto"/>
              <w:bottom w:val="nil"/>
            </w:tcBorders>
            <w:shd w:val="clear" w:color="auto" w:fill="auto"/>
            <w:noWrap/>
            <w:hideMark/>
          </w:tcPr>
          <w:p w14:paraId="09F62C08" w14:textId="77777777" w:rsidR="004D5330" w:rsidRPr="004D5330" w:rsidRDefault="004D5330" w:rsidP="0015273C">
            <w:pPr>
              <w:spacing w:after="0" w:line="240" w:lineRule="auto"/>
              <w:ind w:firstLineChars="200" w:firstLine="320"/>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 xml:space="preserve">Diversas Variações Patrimoniais Aumentativas </w:t>
            </w:r>
          </w:p>
        </w:tc>
        <w:tc>
          <w:tcPr>
            <w:tcW w:w="835" w:type="dxa"/>
            <w:tcBorders>
              <w:top w:val="nil"/>
              <w:bottom w:val="nil"/>
              <w:right w:val="single" w:sz="8" w:space="0" w:color="auto"/>
            </w:tcBorders>
            <w:shd w:val="clear" w:color="auto" w:fill="auto"/>
            <w:noWrap/>
          </w:tcPr>
          <w:p w14:paraId="4403E587"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hideMark/>
          </w:tcPr>
          <w:p w14:paraId="648955D7"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DVP.D048</w:t>
            </w:r>
          </w:p>
        </w:tc>
        <w:tc>
          <w:tcPr>
            <w:tcW w:w="1134" w:type="dxa"/>
            <w:tcBorders>
              <w:top w:val="nil"/>
              <w:left w:val="nil"/>
              <w:bottom w:val="nil"/>
              <w:right w:val="single" w:sz="8" w:space="0" w:color="auto"/>
            </w:tcBorders>
            <w:shd w:val="clear" w:color="auto" w:fill="auto"/>
            <w:noWrap/>
            <w:hideMark/>
          </w:tcPr>
          <w:p w14:paraId="03AF053B"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DVP.E048</w:t>
            </w:r>
          </w:p>
        </w:tc>
        <w:tc>
          <w:tcPr>
            <w:tcW w:w="4346" w:type="dxa"/>
            <w:tcBorders>
              <w:top w:val="nil"/>
              <w:left w:val="nil"/>
              <w:bottom w:val="nil"/>
            </w:tcBorders>
            <w:shd w:val="clear" w:color="auto" w:fill="auto"/>
            <w:noWrap/>
            <w:vAlign w:val="center"/>
            <w:hideMark/>
          </w:tcPr>
          <w:p w14:paraId="6C686007" w14:textId="77777777" w:rsidR="004D5330" w:rsidRPr="004D5330" w:rsidRDefault="004D5330" w:rsidP="0015273C">
            <w:pPr>
              <w:spacing w:after="0" w:line="240" w:lineRule="auto"/>
              <w:rPr>
                <w:rFonts w:ascii="Arial Narrow" w:eastAsia="Times New Roman" w:hAnsi="Arial Narrow" w:cs="Arial"/>
                <w:b/>
                <w:bCs/>
                <w:sz w:val="16"/>
                <w:szCs w:val="16"/>
                <w:u w:val="single"/>
                <w:lang w:eastAsia="pt-BR"/>
              </w:rPr>
            </w:pPr>
            <w:r w:rsidRPr="004D5330">
              <w:rPr>
                <w:rFonts w:ascii="Arial Narrow" w:eastAsia="Times New Roman" w:hAnsi="Arial Narrow" w:cs="Arial"/>
                <w:b/>
                <w:bCs/>
                <w:sz w:val="16"/>
                <w:szCs w:val="16"/>
                <w:u w:val="single"/>
                <w:lang w:eastAsia="pt-BR"/>
              </w:rPr>
              <w:t>Custo das Mercadorias e dos Produtos Vendidos, e dos Serviços Prestados</w:t>
            </w:r>
          </w:p>
        </w:tc>
        <w:tc>
          <w:tcPr>
            <w:tcW w:w="846" w:type="dxa"/>
            <w:tcBorders>
              <w:top w:val="nil"/>
              <w:bottom w:val="nil"/>
              <w:right w:val="single" w:sz="8" w:space="0" w:color="auto"/>
            </w:tcBorders>
            <w:shd w:val="clear" w:color="auto" w:fill="auto"/>
            <w:noWrap/>
            <w:vAlign w:val="center"/>
          </w:tcPr>
          <w:p w14:paraId="7B38E433" w14:textId="77777777" w:rsidR="004D5330" w:rsidRPr="004D5330" w:rsidRDefault="004D5330" w:rsidP="0015273C">
            <w:pPr>
              <w:spacing w:after="0" w:line="240" w:lineRule="auto"/>
              <w:jc w:val="center"/>
              <w:rPr>
                <w:rFonts w:ascii="Arial Narrow" w:eastAsia="Times New Roman" w:hAnsi="Arial Narrow" w:cs="Arial"/>
                <w:b/>
                <w:bCs/>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50977BE0" w14:textId="77777777" w:rsidR="004D5330" w:rsidRPr="004D5330" w:rsidRDefault="004D5330" w:rsidP="0015273C">
            <w:pPr>
              <w:spacing w:after="0" w:line="240" w:lineRule="auto"/>
              <w:jc w:val="center"/>
              <w:rPr>
                <w:rFonts w:ascii="Arial Narrow" w:eastAsia="Times New Roman" w:hAnsi="Arial Narrow" w:cs="Arial"/>
                <w:b/>
                <w:bCs/>
                <w:sz w:val="16"/>
                <w:szCs w:val="16"/>
                <w:lang w:eastAsia="pt-BR"/>
              </w:rPr>
            </w:pPr>
            <w:r w:rsidRPr="004D5330">
              <w:rPr>
                <w:rFonts w:ascii="Arial Narrow" w:eastAsia="Times New Roman" w:hAnsi="Arial Narrow" w:cs="Arial"/>
                <w:b/>
                <w:bCs/>
                <w:sz w:val="16"/>
                <w:szCs w:val="16"/>
                <w:lang w:eastAsia="pt-BR"/>
              </w:rPr>
              <w:t>DVP.H049</w:t>
            </w:r>
          </w:p>
        </w:tc>
        <w:tc>
          <w:tcPr>
            <w:tcW w:w="1120" w:type="dxa"/>
            <w:tcBorders>
              <w:top w:val="nil"/>
              <w:left w:val="nil"/>
              <w:bottom w:val="nil"/>
              <w:right w:val="single" w:sz="8" w:space="0" w:color="auto"/>
            </w:tcBorders>
            <w:shd w:val="clear" w:color="auto" w:fill="auto"/>
            <w:noWrap/>
            <w:vAlign w:val="center"/>
            <w:hideMark/>
          </w:tcPr>
          <w:p w14:paraId="5E782A3F" w14:textId="77777777" w:rsidR="004D5330" w:rsidRPr="004D5330" w:rsidRDefault="004D5330" w:rsidP="0015273C">
            <w:pPr>
              <w:spacing w:after="0" w:line="240" w:lineRule="auto"/>
              <w:jc w:val="center"/>
              <w:rPr>
                <w:rFonts w:ascii="Arial Narrow" w:eastAsia="Times New Roman" w:hAnsi="Arial Narrow" w:cs="Arial"/>
                <w:b/>
                <w:bCs/>
                <w:sz w:val="16"/>
                <w:szCs w:val="16"/>
                <w:lang w:eastAsia="pt-BR"/>
              </w:rPr>
            </w:pPr>
            <w:r w:rsidRPr="004D5330">
              <w:rPr>
                <w:rFonts w:ascii="Arial Narrow" w:eastAsia="Times New Roman" w:hAnsi="Arial Narrow" w:cs="Arial"/>
                <w:b/>
                <w:bCs/>
                <w:sz w:val="16"/>
                <w:szCs w:val="16"/>
                <w:lang w:eastAsia="pt-BR"/>
              </w:rPr>
              <w:t>DVP.I049</w:t>
            </w:r>
          </w:p>
        </w:tc>
      </w:tr>
      <w:tr w:rsidR="004D5330" w:rsidRPr="004D5330" w14:paraId="01EC6AEE" w14:textId="77777777" w:rsidTr="0015273C">
        <w:trPr>
          <w:trHeight w:val="240"/>
        </w:trPr>
        <w:tc>
          <w:tcPr>
            <w:tcW w:w="4410" w:type="dxa"/>
            <w:tcBorders>
              <w:top w:val="nil"/>
              <w:left w:val="single" w:sz="8" w:space="0" w:color="auto"/>
              <w:bottom w:val="nil"/>
            </w:tcBorders>
            <w:shd w:val="clear" w:color="auto" w:fill="auto"/>
            <w:noWrap/>
            <w:vAlign w:val="center"/>
            <w:hideMark/>
          </w:tcPr>
          <w:p w14:paraId="7E6141A8" w14:textId="77777777" w:rsidR="004D5330" w:rsidRPr="004D5330" w:rsidRDefault="004D5330" w:rsidP="0015273C">
            <w:pPr>
              <w:spacing w:after="0" w:line="240" w:lineRule="auto"/>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 </w:t>
            </w:r>
          </w:p>
        </w:tc>
        <w:tc>
          <w:tcPr>
            <w:tcW w:w="835" w:type="dxa"/>
            <w:tcBorders>
              <w:top w:val="nil"/>
              <w:bottom w:val="nil"/>
              <w:right w:val="single" w:sz="8" w:space="0" w:color="auto"/>
            </w:tcBorders>
            <w:shd w:val="clear" w:color="auto" w:fill="auto"/>
            <w:noWrap/>
            <w:vAlign w:val="center"/>
          </w:tcPr>
          <w:p w14:paraId="7420C210"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27C1DFB8"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 </w:t>
            </w:r>
          </w:p>
        </w:tc>
        <w:tc>
          <w:tcPr>
            <w:tcW w:w="1134" w:type="dxa"/>
            <w:tcBorders>
              <w:top w:val="nil"/>
              <w:left w:val="nil"/>
              <w:bottom w:val="nil"/>
              <w:right w:val="single" w:sz="8" w:space="0" w:color="auto"/>
            </w:tcBorders>
            <w:shd w:val="clear" w:color="auto" w:fill="auto"/>
            <w:noWrap/>
            <w:vAlign w:val="center"/>
            <w:hideMark/>
          </w:tcPr>
          <w:p w14:paraId="53B04BB7"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 </w:t>
            </w:r>
          </w:p>
        </w:tc>
        <w:tc>
          <w:tcPr>
            <w:tcW w:w="4346" w:type="dxa"/>
            <w:tcBorders>
              <w:top w:val="nil"/>
              <w:left w:val="nil"/>
              <w:bottom w:val="nil"/>
            </w:tcBorders>
            <w:shd w:val="clear" w:color="auto" w:fill="auto"/>
            <w:noWrap/>
            <w:vAlign w:val="center"/>
            <w:hideMark/>
          </w:tcPr>
          <w:p w14:paraId="2D559C53" w14:textId="77777777" w:rsidR="004D5330" w:rsidRPr="004D5330" w:rsidRDefault="004D5330" w:rsidP="0015273C">
            <w:pPr>
              <w:spacing w:after="0" w:line="240" w:lineRule="auto"/>
              <w:ind w:firstLineChars="200" w:firstLine="320"/>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Custo das Mercadorias Vendidas</w:t>
            </w:r>
          </w:p>
        </w:tc>
        <w:tc>
          <w:tcPr>
            <w:tcW w:w="846" w:type="dxa"/>
            <w:tcBorders>
              <w:top w:val="nil"/>
              <w:bottom w:val="nil"/>
              <w:right w:val="single" w:sz="8" w:space="0" w:color="auto"/>
            </w:tcBorders>
            <w:shd w:val="clear" w:color="auto" w:fill="auto"/>
            <w:noWrap/>
            <w:vAlign w:val="center"/>
          </w:tcPr>
          <w:p w14:paraId="485AE4C2"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6206C0B0"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DVP.H050</w:t>
            </w:r>
          </w:p>
        </w:tc>
        <w:tc>
          <w:tcPr>
            <w:tcW w:w="1120" w:type="dxa"/>
            <w:tcBorders>
              <w:top w:val="nil"/>
              <w:left w:val="nil"/>
              <w:bottom w:val="nil"/>
              <w:right w:val="single" w:sz="8" w:space="0" w:color="auto"/>
            </w:tcBorders>
            <w:shd w:val="clear" w:color="auto" w:fill="auto"/>
            <w:noWrap/>
            <w:vAlign w:val="center"/>
            <w:hideMark/>
          </w:tcPr>
          <w:p w14:paraId="381B1474"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DVP.I050</w:t>
            </w:r>
          </w:p>
        </w:tc>
      </w:tr>
      <w:tr w:rsidR="004D5330" w:rsidRPr="004D5330" w14:paraId="273DD810" w14:textId="77777777" w:rsidTr="0015273C">
        <w:trPr>
          <w:trHeight w:val="240"/>
        </w:trPr>
        <w:tc>
          <w:tcPr>
            <w:tcW w:w="4410" w:type="dxa"/>
            <w:tcBorders>
              <w:top w:val="nil"/>
              <w:left w:val="single" w:sz="8" w:space="0" w:color="auto"/>
              <w:bottom w:val="nil"/>
            </w:tcBorders>
            <w:shd w:val="clear" w:color="auto" w:fill="auto"/>
            <w:noWrap/>
            <w:vAlign w:val="center"/>
            <w:hideMark/>
          </w:tcPr>
          <w:p w14:paraId="65CED632" w14:textId="77777777" w:rsidR="004D5330" w:rsidRPr="004D5330" w:rsidRDefault="004D5330" w:rsidP="0015273C">
            <w:pPr>
              <w:spacing w:after="0" w:line="240" w:lineRule="auto"/>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 </w:t>
            </w:r>
          </w:p>
        </w:tc>
        <w:tc>
          <w:tcPr>
            <w:tcW w:w="835" w:type="dxa"/>
            <w:tcBorders>
              <w:top w:val="nil"/>
              <w:bottom w:val="nil"/>
              <w:right w:val="single" w:sz="8" w:space="0" w:color="auto"/>
            </w:tcBorders>
            <w:shd w:val="clear" w:color="auto" w:fill="auto"/>
            <w:noWrap/>
            <w:vAlign w:val="center"/>
          </w:tcPr>
          <w:p w14:paraId="4AFC1CAC"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44E4E187"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 </w:t>
            </w:r>
          </w:p>
        </w:tc>
        <w:tc>
          <w:tcPr>
            <w:tcW w:w="1134" w:type="dxa"/>
            <w:tcBorders>
              <w:top w:val="nil"/>
              <w:left w:val="nil"/>
              <w:bottom w:val="nil"/>
              <w:right w:val="single" w:sz="8" w:space="0" w:color="auto"/>
            </w:tcBorders>
            <w:shd w:val="clear" w:color="auto" w:fill="auto"/>
            <w:noWrap/>
            <w:vAlign w:val="center"/>
            <w:hideMark/>
          </w:tcPr>
          <w:p w14:paraId="1BACD93A"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 </w:t>
            </w:r>
          </w:p>
        </w:tc>
        <w:tc>
          <w:tcPr>
            <w:tcW w:w="4346" w:type="dxa"/>
            <w:tcBorders>
              <w:top w:val="nil"/>
              <w:left w:val="nil"/>
              <w:bottom w:val="nil"/>
            </w:tcBorders>
            <w:shd w:val="clear" w:color="auto" w:fill="auto"/>
            <w:noWrap/>
            <w:vAlign w:val="center"/>
            <w:hideMark/>
          </w:tcPr>
          <w:p w14:paraId="51165019" w14:textId="77777777" w:rsidR="004D5330" w:rsidRPr="004D5330" w:rsidRDefault="004D5330" w:rsidP="0015273C">
            <w:pPr>
              <w:spacing w:after="0" w:line="240" w:lineRule="auto"/>
              <w:ind w:firstLineChars="200" w:firstLine="320"/>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Custo dos Produtos Vendidos</w:t>
            </w:r>
          </w:p>
        </w:tc>
        <w:tc>
          <w:tcPr>
            <w:tcW w:w="846" w:type="dxa"/>
            <w:tcBorders>
              <w:top w:val="nil"/>
              <w:bottom w:val="nil"/>
              <w:right w:val="single" w:sz="8" w:space="0" w:color="auto"/>
            </w:tcBorders>
            <w:shd w:val="clear" w:color="auto" w:fill="auto"/>
            <w:noWrap/>
            <w:vAlign w:val="center"/>
          </w:tcPr>
          <w:p w14:paraId="600BBA9A"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3D0298E3"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DVP.H051</w:t>
            </w:r>
          </w:p>
        </w:tc>
        <w:tc>
          <w:tcPr>
            <w:tcW w:w="1120" w:type="dxa"/>
            <w:tcBorders>
              <w:top w:val="nil"/>
              <w:left w:val="nil"/>
              <w:bottom w:val="nil"/>
              <w:right w:val="single" w:sz="8" w:space="0" w:color="auto"/>
            </w:tcBorders>
            <w:shd w:val="clear" w:color="auto" w:fill="auto"/>
            <w:noWrap/>
            <w:vAlign w:val="center"/>
            <w:hideMark/>
          </w:tcPr>
          <w:p w14:paraId="27B0085E"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DVP.I051</w:t>
            </w:r>
          </w:p>
        </w:tc>
      </w:tr>
      <w:tr w:rsidR="004D5330" w:rsidRPr="004D5330" w14:paraId="2A96A39F" w14:textId="77777777" w:rsidTr="0015273C">
        <w:trPr>
          <w:trHeight w:val="240"/>
        </w:trPr>
        <w:tc>
          <w:tcPr>
            <w:tcW w:w="4410" w:type="dxa"/>
            <w:tcBorders>
              <w:top w:val="nil"/>
              <w:left w:val="single" w:sz="8" w:space="0" w:color="auto"/>
              <w:bottom w:val="nil"/>
            </w:tcBorders>
            <w:shd w:val="clear" w:color="auto" w:fill="auto"/>
            <w:noWrap/>
            <w:vAlign w:val="center"/>
            <w:hideMark/>
          </w:tcPr>
          <w:p w14:paraId="0A96B675" w14:textId="77777777" w:rsidR="004D5330" w:rsidRPr="004D5330" w:rsidRDefault="004D5330" w:rsidP="0015273C">
            <w:pPr>
              <w:spacing w:after="0" w:line="240" w:lineRule="auto"/>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 </w:t>
            </w:r>
          </w:p>
        </w:tc>
        <w:tc>
          <w:tcPr>
            <w:tcW w:w="835" w:type="dxa"/>
            <w:tcBorders>
              <w:top w:val="nil"/>
              <w:bottom w:val="nil"/>
              <w:right w:val="single" w:sz="8" w:space="0" w:color="auto"/>
            </w:tcBorders>
            <w:shd w:val="clear" w:color="auto" w:fill="auto"/>
            <w:noWrap/>
            <w:vAlign w:val="center"/>
          </w:tcPr>
          <w:p w14:paraId="52E25568"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4FF36BBE"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 </w:t>
            </w:r>
          </w:p>
        </w:tc>
        <w:tc>
          <w:tcPr>
            <w:tcW w:w="1134" w:type="dxa"/>
            <w:tcBorders>
              <w:top w:val="nil"/>
              <w:left w:val="nil"/>
              <w:bottom w:val="nil"/>
              <w:right w:val="single" w:sz="8" w:space="0" w:color="auto"/>
            </w:tcBorders>
            <w:shd w:val="clear" w:color="auto" w:fill="auto"/>
            <w:noWrap/>
            <w:vAlign w:val="center"/>
            <w:hideMark/>
          </w:tcPr>
          <w:p w14:paraId="4879469E"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 </w:t>
            </w:r>
          </w:p>
        </w:tc>
        <w:tc>
          <w:tcPr>
            <w:tcW w:w="4346" w:type="dxa"/>
            <w:tcBorders>
              <w:top w:val="nil"/>
              <w:left w:val="nil"/>
              <w:bottom w:val="nil"/>
            </w:tcBorders>
            <w:shd w:val="clear" w:color="auto" w:fill="auto"/>
            <w:noWrap/>
            <w:vAlign w:val="center"/>
            <w:hideMark/>
          </w:tcPr>
          <w:p w14:paraId="6F96F922" w14:textId="77777777" w:rsidR="004D5330" w:rsidRPr="004D5330" w:rsidRDefault="004D5330" w:rsidP="0015273C">
            <w:pPr>
              <w:spacing w:after="0" w:line="240" w:lineRule="auto"/>
              <w:ind w:firstLineChars="200" w:firstLine="320"/>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Custo dos Serviços Prestados</w:t>
            </w:r>
          </w:p>
        </w:tc>
        <w:tc>
          <w:tcPr>
            <w:tcW w:w="846" w:type="dxa"/>
            <w:tcBorders>
              <w:top w:val="nil"/>
              <w:bottom w:val="nil"/>
              <w:right w:val="single" w:sz="8" w:space="0" w:color="auto"/>
            </w:tcBorders>
            <w:shd w:val="clear" w:color="auto" w:fill="auto"/>
            <w:noWrap/>
            <w:vAlign w:val="center"/>
          </w:tcPr>
          <w:p w14:paraId="0DE0701C"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7639A53B"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DVP.H052</w:t>
            </w:r>
          </w:p>
        </w:tc>
        <w:tc>
          <w:tcPr>
            <w:tcW w:w="1120" w:type="dxa"/>
            <w:tcBorders>
              <w:top w:val="nil"/>
              <w:left w:val="nil"/>
              <w:bottom w:val="nil"/>
              <w:right w:val="single" w:sz="8" w:space="0" w:color="auto"/>
            </w:tcBorders>
            <w:shd w:val="clear" w:color="auto" w:fill="auto"/>
            <w:noWrap/>
            <w:vAlign w:val="center"/>
            <w:hideMark/>
          </w:tcPr>
          <w:p w14:paraId="1C84B814"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DVP.I052</w:t>
            </w:r>
          </w:p>
        </w:tc>
      </w:tr>
      <w:tr w:rsidR="004D5330" w:rsidRPr="004D5330" w14:paraId="2ACCD171" w14:textId="77777777" w:rsidTr="0015273C">
        <w:trPr>
          <w:trHeight w:val="240"/>
        </w:trPr>
        <w:tc>
          <w:tcPr>
            <w:tcW w:w="4410" w:type="dxa"/>
            <w:tcBorders>
              <w:top w:val="nil"/>
              <w:left w:val="single" w:sz="8" w:space="0" w:color="auto"/>
              <w:bottom w:val="nil"/>
            </w:tcBorders>
            <w:shd w:val="clear" w:color="auto" w:fill="auto"/>
            <w:noWrap/>
            <w:vAlign w:val="center"/>
            <w:hideMark/>
          </w:tcPr>
          <w:p w14:paraId="700FC1C2" w14:textId="77777777" w:rsidR="004D5330" w:rsidRPr="004D5330" w:rsidRDefault="004D5330" w:rsidP="0015273C">
            <w:pPr>
              <w:spacing w:after="0" w:line="240" w:lineRule="auto"/>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 </w:t>
            </w:r>
          </w:p>
        </w:tc>
        <w:tc>
          <w:tcPr>
            <w:tcW w:w="835" w:type="dxa"/>
            <w:tcBorders>
              <w:top w:val="nil"/>
              <w:bottom w:val="nil"/>
              <w:right w:val="single" w:sz="8" w:space="0" w:color="auto"/>
            </w:tcBorders>
            <w:shd w:val="clear" w:color="auto" w:fill="auto"/>
            <w:noWrap/>
            <w:vAlign w:val="center"/>
          </w:tcPr>
          <w:p w14:paraId="278915C1" w14:textId="77777777" w:rsidR="004D5330" w:rsidRPr="004D5330" w:rsidRDefault="004D5330" w:rsidP="0015273C">
            <w:pPr>
              <w:spacing w:after="0" w:line="240" w:lineRule="auto"/>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511464B4"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 </w:t>
            </w:r>
          </w:p>
        </w:tc>
        <w:tc>
          <w:tcPr>
            <w:tcW w:w="1134" w:type="dxa"/>
            <w:tcBorders>
              <w:top w:val="nil"/>
              <w:left w:val="nil"/>
              <w:bottom w:val="nil"/>
              <w:right w:val="single" w:sz="8" w:space="0" w:color="auto"/>
            </w:tcBorders>
            <w:shd w:val="clear" w:color="auto" w:fill="auto"/>
            <w:noWrap/>
            <w:vAlign w:val="center"/>
            <w:hideMark/>
          </w:tcPr>
          <w:p w14:paraId="16683432"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 </w:t>
            </w:r>
          </w:p>
        </w:tc>
        <w:tc>
          <w:tcPr>
            <w:tcW w:w="4346" w:type="dxa"/>
            <w:tcBorders>
              <w:top w:val="nil"/>
              <w:left w:val="nil"/>
              <w:bottom w:val="nil"/>
            </w:tcBorders>
            <w:shd w:val="clear" w:color="auto" w:fill="auto"/>
            <w:noWrap/>
            <w:vAlign w:val="center"/>
            <w:hideMark/>
          </w:tcPr>
          <w:p w14:paraId="36A71DBC" w14:textId="77777777" w:rsidR="004D5330" w:rsidRPr="004D5330" w:rsidRDefault="004D5330" w:rsidP="0015273C">
            <w:pPr>
              <w:spacing w:after="0" w:line="240" w:lineRule="auto"/>
              <w:rPr>
                <w:rFonts w:ascii="Arial Narrow" w:eastAsia="Times New Roman" w:hAnsi="Arial Narrow" w:cs="Arial"/>
                <w:b/>
                <w:bCs/>
                <w:sz w:val="16"/>
                <w:szCs w:val="16"/>
                <w:u w:val="single"/>
                <w:lang w:eastAsia="pt-BR"/>
              </w:rPr>
            </w:pPr>
            <w:r w:rsidRPr="004D5330">
              <w:rPr>
                <w:rFonts w:ascii="Arial Narrow" w:eastAsia="Times New Roman" w:hAnsi="Arial Narrow" w:cs="Arial"/>
                <w:b/>
                <w:bCs/>
                <w:sz w:val="16"/>
                <w:szCs w:val="16"/>
                <w:u w:val="single"/>
                <w:lang w:eastAsia="pt-BR"/>
              </w:rPr>
              <w:t>Outras Variações Patrimoniais Diminutivas</w:t>
            </w:r>
          </w:p>
        </w:tc>
        <w:tc>
          <w:tcPr>
            <w:tcW w:w="846" w:type="dxa"/>
            <w:tcBorders>
              <w:top w:val="nil"/>
              <w:bottom w:val="nil"/>
              <w:right w:val="single" w:sz="8" w:space="0" w:color="auto"/>
            </w:tcBorders>
            <w:shd w:val="clear" w:color="auto" w:fill="auto"/>
            <w:noWrap/>
            <w:vAlign w:val="center"/>
          </w:tcPr>
          <w:p w14:paraId="442C7848" w14:textId="77777777" w:rsidR="004D5330" w:rsidRPr="004D5330" w:rsidRDefault="004D5330" w:rsidP="0015273C">
            <w:pPr>
              <w:spacing w:after="0" w:line="240" w:lineRule="auto"/>
              <w:jc w:val="center"/>
              <w:rPr>
                <w:rFonts w:ascii="Arial Narrow" w:eastAsia="Times New Roman" w:hAnsi="Arial Narrow" w:cs="Arial"/>
                <w:b/>
                <w:bCs/>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790F4AD4" w14:textId="77777777" w:rsidR="004D5330" w:rsidRPr="004D5330" w:rsidRDefault="004D5330" w:rsidP="0015273C">
            <w:pPr>
              <w:spacing w:after="0" w:line="240" w:lineRule="auto"/>
              <w:jc w:val="center"/>
              <w:rPr>
                <w:rFonts w:ascii="Arial Narrow" w:eastAsia="Times New Roman" w:hAnsi="Arial Narrow" w:cs="Arial"/>
                <w:b/>
                <w:bCs/>
                <w:sz w:val="16"/>
                <w:szCs w:val="16"/>
                <w:lang w:eastAsia="pt-BR"/>
              </w:rPr>
            </w:pPr>
            <w:r w:rsidRPr="004D5330">
              <w:rPr>
                <w:rFonts w:ascii="Arial Narrow" w:eastAsia="Times New Roman" w:hAnsi="Arial Narrow" w:cs="Arial"/>
                <w:b/>
                <w:bCs/>
                <w:sz w:val="16"/>
                <w:szCs w:val="16"/>
                <w:lang w:eastAsia="pt-BR"/>
              </w:rPr>
              <w:t>DVP.H053</w:t>
            </w:r>
          </w:p>
        </w:tc>
        <w:tc>
          <w:tcPr>
            <w:tcW w:w="1120" w:type="dxa"/>
            <w:tcBorders>
              <w:top w:val="nil"/>
              <w:left w:val="nil"/>
              <w:bottom w:val="nil"/>
              <w:right w:val="single" w:sz="8" w:space="0" w:color="auto"/>
            </w:tcBorders>
            <w:shd w:val="clear" w:color="auto" w:fill="auto"/>
            <w:noWrap/>
            <w:vAlign w:val="center"/>
            <w:hideMark/>
          </w:tcPr>
          <w:p w14:paraId="5AB69DB3" w14:textId="77777777" w:rsidR="004D5330" w:rsidRPr="004D5330" w:rsidRDefault="004D5330" w:rsidP="0015273C">
            <w:pPr>
              <w:spacing w:after="0" w:line="240" w:lineRule="auto"/>
              <w:jc w:val="center"/>
              <w:rPr>
                <w:rFonts w:ascii="Arial Narrow" w:eastAsia="Times New Roman" w:hAnsi="Arial Narrow" w:cs="Arial"/>
                <w:b/>
                <w:bCs/>
                <w:sz w:val="16"/>
                <w:szCs w:val="16"/>
                <w:lang w:eastAsia="pt-BR"/>
              </w:rPr>
            </w:pPr>
            <w:r w:rsidRPr="004D5330">
              <w:rPr>
                <w:rFonts w:ascii="Arial Narrow" w:eastAsia="Times New Roman" w:hAnsi="Arial Narrow" w:cs="Arial"/>
                <w:b/>
                <w:bCs/>
                <w:sz w:val="16"/>
                <w:szCs w:val="16"/>
                <w:lang w:eastAsia="pt-BR"/>
              </w:rPr>
              <w:t>DVP.I053</w:t>
            </w:r>
          </w:p>
        </w:tc>
      </w:tr>
      <w:tr w:rsidR="004D5330" w:rsidRPr="004D5330" w14:paraId="57AD413F" w14:textId="77777777" w:rsidTr="0015273C">
        <w:trPr>
          <w:trHeight w:val="255"/>
        </w:trPr>
        <w:tc>
          <w:tcPr>
            <w:tcW w:w="4410" w:type="dxa"/>
            <w:tcBorders>
              <w:top w:val="nil"/>
              <w:left w:val="single" w:sz="8" w:space="0" w:color="auto"/>
              <w:bottom w:val="nil"/>
            </w:tcBorders>
            <w:shd w:val="clear" w:color="auto" w:fill="auto"/>
            <w:noWrap/>
            <w:vAlign w:val="center"/>
            <w:hideMark/>
          </w:tcPr>
          <w:p w14:paraId="0E8BA7BB" w14:textId="77777777" w:rsidR="004D5330" w:rsidRPr="004D5330" w:rsidRDefault="004D5330" w:rsidP="0015273C">
            <w:pPr>
              <w:spacing w:after="0" w:line="240" w:lineRule="auto"/>
              <w:rPr>
                <w:rFonts w:ascii="Arial Narrow" w:eastAsia="Times New Roman" w:hAnsi="Arial Narrow" w:cs="Arial"/>
                <w:sz w:val="16"/>
                <w:szCs w:val="16"/>
                <w:u w:val="single"/>
                <w:lang w:eastAsia="pt-BR"/>
              </w:rPr>
            </w:pPr>
            <w:r w:rsidRPr="004D5330">
              <w:rPr>
                <w:rFonts w:ascii="Arial Narrow" w:eastAsia="Times New Roman" w:hAnsi="Arial Narrow" w:cs="Arial"/>
                <w:sz w:val="16"/>
                <w:szCs w:val="16"/>
                <w:lang w:eastAsia="pt-BR"/>
              </w:rPr>
              <w:t> </w:t>
            </w:r>
          </w:p>
        </w:tc>
        <w:tc>
          <w:tcPr>
            <w:tcW w:w="835" w:type="dxa"/>
            <w:tcBorders>
              <w:top w:val="nil"/>
              <w:bottom w:val="nil"/>
              <w:right w:val="single" w:sz="8" w:space="0" w:color="auto"/>
            </w:tcBorders>
            <w:shd w:val="clear" w:color="auto" w:fill="auto"/>
            <w:noWrap/>
            <w:vAlign w:val="center"/>
          </w:tcPr>
          <w:p w14:paraId="1EAE75F2" w14:textId="77777777" w:rsidR="004D5330" w:rsidRPr="004D5330" w:rsidRDefault="004D5330" w:rsidP="0015273C">
            <w:pPr>
              <w:spacing w:after="0" w:line="240" w:lineRule="auto"/>
              <w:rPr>
                <w:rFonts w:ascii="Arial Narrow" w:eastAsia="Times New Roman" w:hAnsi="Arial Narrow" w:cs="Arial"/>
                <w:sz w:val="16"/>
                <w:szCs w:val="16"/>
                <w:u w:val="single"/>
                <w:lang w:eastAsia="pt-BR"/>
              </w:rPr>
            </w:pPr>
          </w:p>
        </w:tc>
        <w:tc>
          <w:tcPr>
            <w:tcW w:w="1149" w:type="dxa"/>
            <w:tcBorders>
              <w:top w:val="nil"/>
              <w:left w:val="nil"/>
              <w:bottom w:val="nil"/>
              <w:right w:val="single" w:sz="8" w:space="0" w:color="auto"/>
            </w:tcBorders>
            <w:shd w:val="clear" w:color="auto" w:fill="auto"/>
            <w:noWrap/>
            <w:vAlign w:val="center"/>
            <w:hideMark/>
          </w:tcPr>
          <w:p w14:paraId="25EF838E"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 </w:t>
            </w:r>
          </w:p>
        </w:tc>
        <w:tc>
          <w:tcPr>
            <w:tcW w:w="1134" w:type="dxa"/>
            <w:tcBorders>
              <w:top w:val="nil"/>
              <w:left w:val="nil"/>
              <w:bottom w:val="nil"/>
              <w:right w:val="single" w:sz="8" w:space="0" w:color="auto"/>
            </w:tcBorders>
            <w:shd w:val="clear" w:color="auto" w:fill="auto"/>
            <w:noWrap/>
            <w:vAlign w:val="center"/>
            <w:hideMark/>
          </w:tcPr>
          <w:p w14:paraId="7096B2BA"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 </w:t>
            </w:r>
          </w:p>
        </w:tc>
        <w:tc>
          <w:tcPr>
            <w:tcW w:w="4346" w:type="dxa"/>
            <w:tcBorders>
              <w:top w:val="nil"/>
              <w:left w:val="nil"/>
              <w:bottom w:val="nil"/>
            </w:tcBorders>
            <w:shd w:val="clear" w:color="auto" w:fill="auto"/>
            <w:noWrap/>
            <w:vAlign w:val="center"/>
            <w:hideMark/>
          </w:tcPr>
          <w:p w14:paraId="60538919" w14:textId="77777777" w:rsidR="004D5330" w:rsidRPr="004D5330" w:rsidRDefault="004D5330" w:rsidP="0015273C">
            <w:pPr>
              <w:spacing w:after="0" w:line="240" w:lineRule="auto"/>
              <w:ind w:firstLineChars="200" w:firstLine="320"/>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Premiações</w:t>
            </w:r>
          </w:p>
        </w:tc>
        <w:tc>
          <w:tcPr>
            <w:tcW w:w="846" w:type="dxa"/>
            <w:tcBorders>
              <w:top w:val="nil"/>
              <w:bottom w:val="nil"/>
              <w:right w:val="single" w:sz="8" w:space="0" w:color="auto"/>
            </w:tcBorders>
            <w:shd w:val="clear" w:color="auto" w:fill="auto"/>
            <w:noWrap/>
            <w:vAlign w:val="center"/>
          </w:tcPr>
          <w:p w14:paraId="7FBF63E9"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6C68EE0F"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DVP.H054</w:t>
            </w:r>
          </w:p>
        </w:tc>
        <w:tc>
          <w:tcPr>
            <w:tcW w:w="1120" w:type="dxa"/>
            <w:tcBorders>
              <w:top w:val="nil"/>
              <w:left w:val="nil"/>
              <w:bottom w:val="nil"/>
              <w:right w:val="single" w:sz="8" w:space="0" w:color="auto"/>
            </w:tcBorders>
            <w:shd w:val="clear" w:color="auto" w:fill="auto"/>
            <w:noWrap/>
            <w:vAlign w:val="center"/>
            <w:hideMark/>
          </w:tcPr>
          <w:p w14:paraId="10819E94"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DVP.I054</w:t>
            </w:r>
          </w:p>
        </w:tc>
      </w:tr>
      <w:tr w:rsidR="004D5330" w:rsidRPr="004D5330" w14:paraId="1121B1FE" w14:textId="77777777" w:rsidTr="0015273C">
        <w:trPr>
          <w:trHeight w:val="255"/>
        </w:trPr>
        <w:tc>
          <w:tcPr>
            <w:tcW w:w="4410" w:type="dxa"/>
            <w:tcBorders>
              <w:top w:val="nil"/>
              <w:left w:val="single" w:sz="8" w:space="0" w:color="auto"/>
              <w:bottom w:val="nil"/>
            </w:tcBorders>
            <w:shd w:val="clear" w:color="auto" w:fill="auto"/>
            <w:noWrap/>
            <w:vAlign w:val="center"/>
            <w:hideMark/>
          </w:tcPr>
          <w:p w14:paraId="2CACF18B" w14:textId="77777777" w:rsidR="004D5330" w:rsidRPr="004D5330" w:rsidRDefault="004D5330" w:rsidP="0015273C">
            <w:pPr>
              <w:spacing w:after="0" w:line="240" w:lineRule="auto"/>
              <w:rPr>
                <w:rFonts w:ascii="Arial Narrow" w:eastAsia="Times New Roman" w:hAnsi="Arial Narrow" w:cs="Arial"/>
                <w:sz w:val="16"/>
                <w:szCs w:val="16"/>
                <w:u w:val="single"/>
                <w:lang w:eastAsia="pt-BR"/>
              </w:rPr>
            </w:pPr>
          </w:p>
        </w:tc>
        <w:tc>
          <w:tcPr>
            <w:tcW w:w="835" w:type="dxa"/>
            <w:tcBorders>
              <w:top w:val="nil"/>
              <w:bottom w:val="nil"/>
              <w:right w:val="single" w:sz="8" w:space="0" w:color="auto"/>
            </w:tcBorders>
            <w:shd w:val="clear" w:color="auto" w:fill="auto"/>
            <w:noWrap/>
            <w:vAlign w:val="center"/>
          </w:tcPr>
          <w:p w14:paraId="01BB2B4E" w14:textId="77777777" w:rsidR="004D5330" w:rsidRPr="004D5330" w:rsidRDefault="004D5330" w:rsidP="0015273C">
            <w:pPr>
              <w:spacing w:after="0" w:line="240" w:lineRule="auto"/>
              <w:rPr>
                <w:rFonts w:ascii="Arial Narrow" w:eastAsia="Times New Roman" w:hAnsi="Arial Narrow" w:cs="Arial"/>
                <w:sz w:val="16"/>
                <w:szCs w:val="16"/>
                <w:u w:val="single"/>
                <w:lang w:eastAsia="pt-BR"/>
              </w:rPr>
            </w:pPr>
          </w:p>
        </w:tc>
        <w:tc>
          <w:tcPr>
            <w:tcW w:w="1149" w:type="dxa"/>
            <w:tcBorders>
              <w:top w:val="nil"/>
              <w:left w:val="nil"/>
              <w:bottom w:val="nil"/>
              <w:right w:val="single" w:sz="8" w:space="0" w:color="auto"/>
            </w:tcBorders>
            <w:shd w:val="clear" w:color="auto" w:fill="auto"/>
            <w:noWrap/>
            <w:vAlign w:val="center"/>
            <w:hideMark/>
          </w:tcPr>
          <w:p w14:paraId="0478FF98"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 </w:t>
            </w:r>
          </w:p>
        </w:tc>
        <w:tc>
          <w:tcPr>
            <w:tcW w:w="1134" w:type="dxa"/>
            <w:tcBorders>
              <w:top w:val="nil"/>
              <w:left w:val="nil"/>
              <w:bottom w:val="nil"/>
              <w:right w:val="single" w:sz="8" w:space="0" w:color="auto"/>
            </w:tcBorders>
            <w:shd w:val="clear" w:color="auto" w:fill="auto"/>
            <w:noWrap/>
            <w:vAlign w:val="center"/>
            <w:hideMark/>
          </w:tcPr>
          <w:p w14:paraId="30F21CCD"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 </w:t>
            </w:r>
          </w:p>
        </w:tc>
        <w:tc>
          <w:tcPr>
            <w:tcW w:w="4346" w:type="dxa"/>
            <w:tcBorders>
              <w:top w:val="nil"/>
              <w:left w:val="nil"/>
              <w:bottom w:val="nil"/>
            </w:tcBorders>
            <w:shd w:val="clear" w:color="auto" w:fill="auto"/>
            <w:noWrap/>
            <w:vAlign w:val="center"/>
            <w:hideMark/>
          </w:tcPr>
          <w:p w14:paraId="53479FE1" w14:textId="77777777" w:rsidR="004D5330" w:rsidRPr="004D5330" w:rsidRDefault="004D5330" w:rsidP="0015273C">
            <w:pPr>
              <w:spacing w:after="0" w:line="240" w:lineRule="auto"/>
              <w:ind w:firstLineChars="200" w:firstLine="320"/>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Resultado Negativo de Participações</w:t>
            </w:r>
          </w:p>
        </w:tc>
        <w:tc>
          <w:tcPr>
            <w:tcW w:w="846" w:type="dxa"/>
            <w:tcBorders>
              <w:top w:val="nil"/>
              <w:bottom w:val="nil"/>
              <w:right w:val="single" w:sz="8" w:space="0" w:color="auto"/>
            </w:tcBorders>
            <w:shd w:val="clear" w:color="auto" w:fill="auto"/>
            <w:noWrap/>
            <w:vAlign w:val="center"/>
          </w:tcPr>
          <w:p w14:paraId="7DCD6D43"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4CE5A8DD"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DVP.H055</w:t>
            </w:r>
          </w:p>
        </w:tc>
        <w:tc>
          <w:tcPr>
            <w:tcW w:w="1120" w:type="dxa"/>
            <w:tcBorders>
              <w:top w:val="nil"/>
              <w:left w:val="nil"/>
              <w:bottom w:val="nil"/>
              <w:right w:val="single" w:sz="8" w:space="0" w:color="auto"/>
            </w:tcBorders>
            <w:shd w:val="clear" w:color="auto" w:fill="auto"/>
            <w:noWrap/>
            <w:vAlign w:val="center"/>
            <w:hideMark/>
          </w:tcPr>
          <w:p w14:paraId="218BF423"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DVP.I055</w:t>
            </w:r>
          </w:p>
        </w:tc>
      </w:tr>
      <w:tr w:rsidR="004D5330" w:rsidRPr="004D5330" w14:paraId="761616FA" w14:textId="77777777" w:rsidTr="0015273C">
        <w:trPr>
          <w:trHeight w:val="255"/>
        </w:trPr>
        <w:tc>
          <w:tcPr>
            <w:tcW w:w="4410" w:type="dxa"/>
            <w:tcBorders>
              <w:top w:val="nil"/>
              <w:left w:val="single" w:sz="8" w:space="0" w:color="auto"/>
              <w:bottom w:val="nil"/>
            </w:tcBorders>
            <w:shd w:val="clear" w:color="auto" w:fill="auto"/>
            <w:noWrap/>
            <w:vAlign w:val="center"/>
            <w:hideMark/>
          </w:tcPr>
          <w:p w14:paraId="54B6177E" w14:textId="77777777" w:rsidR="004D5330" w:rsidRPr="004D5330" w:rsidRDefault="004D5330" w:rsidP="0015273C">
            <w:pPr>
              <w:spacing w:after="0" w:line="240" w:lineRule="auto"/>
              <w:rPr>
                <w:rFonts w:ascii="Arial Narrow" w:eastAsia="Times New Roman" w:hAnsi="Arial Narrow" w:cs="Arial"/>
                <w:sz w:val="16"/>
                <w:szCs w:val="16"/>
                <w:u w:val="single"/>
                <w:lang w:eastAsia="pt-BR"/>
              </w:rPr>
            </w:pPr>
          </w:p>
        </w:tc>
        <w:tc>
          <w:tcPr>
            <w:tcW w:w="835" w:type="dxa"/>
            <w:tcBorders>
              <w:top w:val="nil"/>
              <w:bottom w:val="nil"/>
              <w:right w:val="single" w:sz="8" w:space="0" w:color="auto"/>
            </w:tcBorders>
            <w:shd w:val="clear" w:color="auto" w:fill="auto"/>
            <w:noWrap/>
            <w:vAlign w:val="center"/>
          </w:tcPr>
          <w:p w14:paraId="68B01BC8" w14:textId="77777777" w:rsidR="004D5330" w:rsidRPr="004D5330" w:rsidRDefault="004D5330" w:rsidP="0015273C">
            <w:pPr>
              <w:spacing w:after="0" w:line="240" w:lineRule="auto"/>
              <w:rPr>
                <w:rFonts w:ascii="Arial Narrow" w:eastAsia="Times New Roman" w:hAnsi="Arial Narrow" w:cs="Arial"/>
                <w:sz w:val="16"/>
                <w:szCs w:val="16"/>
                <w:u w:val="single"/>
                <w:lang w:eastAsia="pt-BR"/>
              </w:rPr>
            </w:pPr>
          </w:p>
        </w:tc>
        <w:tc>
          <w:tcPr>
            <w:tcW w:w="1149" w:type="dxa"/>
            <w:tcBorders>
              <w:top w:val="nil"/>
              <w:left w:val="nil"/>
              <w:bottom w:val="nil"/>
              <w:right w:val="single" w:sz="8" w:space="0" w:color="auto"/>
            </w:tcBorders>
            <w:shd w:val="clear" w:color="auto" w:fill="auto"/>
            <w:noWrap/>
            <w:vAlign w:val="center"/>
            <w:hideMark/>
          </w:tcPr>
          <w:p w14:paraId="4726ADC9"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 </w:t>
            </w:r>
          </w:p>
        </w:tc>
        <w:tc>
          <w:tcPr>
            <w:tcW w:w="1134" w:type="dxa"/>
            <w:tcBorders>
              <w:top w:val="nil"/>
              <w:left w:val="nil"/>
              <w:bottom w:val="nil"/>
              <w:right w:val="single" w:sz="8" w:space="0" w:color="auto"/>
            </w:tcBorders>
            <w:shd w:val="clear" w:color="auto" w:fill="auto"/>
            <w:noWrap/>
            <w:vAlign w:val="center"/>
            <w:hideMark/>
          </w:tcPr>
          <w:p w14:paraId="31E5C19A"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 </w:t>
            </w:r>
          </w:p>
        </w:tc>
        <w:tc>
          <w:tcPr>
            <w:tcW w:w="4346" w:type="dxa"/>
            <w:tcBorders>
              <w:top w:val="nil"/>
              <w:left w:val="nil"/>
              <w:bottom w:val="nil"/>
            </w:tcBorders>
            <w:shd w:val="clear" w:color="auto" w:fill="auto"/>
            <w:noWrap/>
            <w:vAlign w:val="center"/>
            <w:hideMark/>
          </w:tcPr>
          <w:p w14:paraId="5640F2A8" w14:textId="77777777" w:rsidR="004D5330" w:rsidRPr="004D5330" w:rsidRDefault="004D5330" w:rsidP="0015273C">
            <w:pPr>
              <w:spacing w:after="0" w:line="240" w:lineRule="auto"/>
              <w:ind w:firstLineChars="200" w:firstLine="320"/>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Incentivos</w:t>
            </w:r>
          </w:p>
        </w:tc>
        <w:tc>
          <w:tcPr>
            <w:tcW w:w="846" w:type="dxa"/>
            <w:tcBorders>
              <w:top w:val="nil"/>
              <w:bottom w:val="nil"/>
              <w:right w:val="single" w:sz="8" w:space="0" w:color="auto"/>
            </w:tcBorders>
            <w:shd w:val="clear" w:color="auto" w:fill="auto"/>
            <w:noWrap/>
            <w:vAlign w:val="center"/>
          </w:tcPr>
          <w:p w14:paraId="14A9FC56"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584238E5"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DVP.H056</w:t>
            </w:r>
          </w:p>
        </w:tc>
        <w:tc>
          <w:tcPr>
            <w:tcW w:w="1120" w:type="dxa"/>
            <w:tcBorders>
              <w:top w:val="nil"/>
              <w:left w:val="nil"/>
              <w:bottom w:val="nil"/>
              <w:right w:val="single" w:sz="8" w:space="0" w:color="auto"/>
            </w:tcBorders>
            <w:shd w:val="clear" w:color="auto" w:fill="auto"/>
            <w:noWrap/>
            <w:vAlign w:val="center"/>
            <w:hideMark/>
          </w:tcPr>
          <w:p w14:paraId="7F8D983B"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DVP.I056</w:t>
            </w:r>
          </w:p>
        </w:tc>
      </w:tr>
      <w:tr w:rsidR="004D5330" w:rsidRPr="004D5330" w14:paraId="459738FB" w14:textId="77777777" w:rsidTr="0015273C">
        <w:trPr>
          <w:trHeight w:val="255"/>
        </w:trPr>
        <w:tc>
          <w:tcPr>
            <w:tcW w:w="4410" w:type="dxa"/>
            <w:tcBorders>
              <w:top w:val="nil"/>
              <w:left w:val="single" w:sz="8" w:space="0" w:color="auto"/>
              <w:bottom w:val="nil"/>
            </w:tcBorders>
            <w:shd w:val="clear" w:color="auto" w:fill="auto"/>
            <w:noWrap/>
            <w:vAlign w:val="center"/>
            <w:hideMark/>
          </w:tcPr>
          <w:p w14:paraId="487C654A" w14:textId="77777777" w:rsidR="004D5330" w:rsidRPr="004D5330" w:rsidRDefault="004D5330" w:rsidP="0015273C">
            <w:pPr>
              <w:spacing w:after="0" w:line="240" w:lineRule="auto"/>
              <w:rPr>
                <w:rFonts w:ascii="Arial Narrow" w:eastAsia="Times New Roman" w:hAnsi="Arial Narrow" w:cs="Arial"/>
                <w:sz w:val="16"/>
                <w:szCs w:val="16"/>
                <w:u w:val="single"/>
                <w:lang w:eastAsia="pt-BR"/>
              </w:rPr>
            </w:pPr>
          </w:p>
        </w:tc>
        <w:tc>
          <w:tcPr>
            <w:tcW w:w="835" w:type="dxa"/>
            <w:tcBorders>
              <w:top w:val="nil"/>
              <w:bottom w:val="nil"/>
              <w:right w:val="single" w:sz="8" w:space="0" w:color="auto"/>
            </w:tcBorders>
            <w:shd w:val="clear" w:color="auto" w:fill="auto"/>
            <w:noWrap/>
            <w:vAlign w:val="center"/>
          </w:tcPr>
          <w:p w14:paraId="67469415" w14:textId="77777777" w:rsidR="004D5330" w:rsidRPr="004D5330" w:rsidRDefault="004D5330" w:rsidP="0015273C">
            <w:pPr>
              <w:spacing w:after="0" w:line="240" w:lineRule="auto"/>
              <w:rPr>
                <w:rFonts w:ascii="Arial Narrow" w:eastAsia="Times New Roman" w:hAnsi="Arial Narrow" w:cs="Arial"/>
                <w:sz w:val="16"/>
                <w:szCs w:val="16"/>
                <w:u w:val="single"/>
                <w:lang w:eastAsia="pt-BR"/>
              </w:rPr>
            </w:pPr>
          </w:p>
        </w:tc>
        <w:tc>
          <w:tcPr>
            <w:tcW w:w="1149" w:type="dxa"/>
            <w:tcBorders>
              <w:top w:val="nil"/>
              <w:left w:val="nil"/>
              <w:bottom w:val="nil"/>
              <w:right w:val="single" w:sz="8" w:space="0" w:color="auto"/>
            </w:tcBorders>
            <w:shd w:val="clear" w:color="auto" w:fill="auto"/>
            <w:noWrap/>
            <w:vAlign w:val="center"/>
            <w:hideMark/>
          </w:tcPr>
          <w:p w14:paraId="19ABDF6B"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 </w:t>
            </w:r>
          </w:p>
        </w:tc>
        <w:tc>
          <w:tcPr>
            <w:tcW w:w="1134" w:type="dxa"/>
            <w:tcBorders>
              <w:top w:val="nil"/>
              <w:left w:val="nil"/>
              <w:bottom w:val="nil"/>
              <w:right w:val="single" w:sz="8" w:space="0" w:color="auto"/>
            </w:tcBorders>
            <w:shd w:val="clear" w:color="auto" w:fill="auto"/>
            <w:noWrap/>
            <w:vAlign w:val="center"/>
            <w:hideMark/>
          </w:tcPr>
          <w:p w14:paraId="71A6D406"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 </w:t>
            </w:r>
          </w:p>
        </w:tc>
        <w:tc>
          <w:tcPr>
            <w:tcW w:w="4346" w:type="dxa"/>
            <w:tcBorders>
              <w:top w:val="nil"/>
              <w:left w:val="nil"/>
              <w:bottom w:val="nil"/>
            </w:tcBorders>
            <w:shd w:val="clear" w:color="auto" w:fill="auto"/>
            <w:noWrap/>
            <w:vAlign w:val="center"/>
            <w:hideMark/>
          </w:tcPr>
          <w:p w14:paraId="2820E750" w14:textId="77777777" w:rsidR="004D5330" w:rsidRPr="004D5330" w:rsidRDefault="004D5330" w:rsidP="0015273C">
            <w:pPr>
              <w:spacing w:after="0" w:line="240" w:lineRule="auto"/>
              <w:ind w:firstLineChars="200" w:firstLine="320"/>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Subvenções Econômicas</w:t>
            </w:r>
          </w:p>
        </w:tc>
        <w:tc>
          <w:tcPr>
            <w:tcW w:w="846" w:type="dxa"/>
            <w:tcBorders>
              <w:top w:val="nil"/>
              <w:bottom w:val="nil"/>
              <w:right w:val="single" w:sz="8" w:space="0" w:color="auto"/>
            </w:tcBorders>
            <w:shd w:val="clear" w:color="auto" w:fill="auto"/>
            <w:noWrap/>
            <w:vAlign w:val="center"/>
          </w:tcPr>
          <w:p w14:paraId="1156A8BB"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4493B80B"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DVP.H057</w:t>
            </w:r>
          </w:p>
        </w:tc>
        <w:tc>
          <w:tcPr>
            <w:tcW w:w="1120" w:type="dxa"/>
            <w:tcBorders>
              <w:top w:val="nil"/>
              <w:left w:val="nil"/>
              <w:bottom w:val="nil"/>
              <w:right w:val="single" w:sz="8" w:space="0" w:color="auto"/>
            </w:tcBorders>
            <w:shd w:val="clear" w:color="auto" w:fill="auto"/>
            <w:noWrap/>
            <w:vAlign w:val="center"/>
            <w:hideMark/>
          </w:tcPr>
          <w:p w14:paraId="72085AFB"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DVP.I057</w:t>
            </w:r>
          </w:p>
        </w:tc>
      </w:tr>
      <w:tr w:rsidR="004D5330" w:rsidRPr="004D5330" w14:paraId="0E7EC7F7" w14:textId="77777777" w:rsidTr="0015273C">
        <w:trPr>
          <w:trHeight w:val="255"/>
        </w:trPr>
        <w:tc>
          <w:tcPr>
            <w:tcW w:w="4410" w:type="dxa"/>
            <w:tcBorders>
              <w:top w:val="nil"/>
              <w:left w:val="single" w:sz="8" w:space="0" w:color="auto"/>
              <w:bottom w:val="nil"/>
            </w:tcBorders>
            <w:shd w:val="clear" w:color="auto" w:fill="auto"/>
            <w:noWrap/>
            <w:vAlign w:val="center"/>
            <w:hideMark/>
          </w:tcPr>
          <w:p w14:paraId="5571E14E" w14:textId="77777777" w:rsidR="004D5330" w:rsidRPr="004D5330" w:rsidRDefault="004D5330" w:rsidP="0015273C">
            <w:pPr>
              <w:spacing w:after="0" w:line="240" w:lineRule="auto"/>
              <w:rPr>
                <w:rFonts w:ascii="Arial Narrow" w:eastAsia="Times New Roman" w:hAnsi="Arial Narrow" w:cs="Arial"/>
                <w:sz w:val="16"/>
                <w:szCs w:val="16"/>
                <w:u w:val="single"/>
                <w:lang w:eastAsia="pt-BR"/>
              </w:rPr>
            </w:pPr>
          </w:p>
        </w:tc>
        <w:tc>
          <w:tcPr>
            <w:tcW w:w="835" w:type="dxa"/>
            <w:tcBorders>
              <w:top w:val="nil"/>
              <w:bottom w:val="nil"/>
              <w:right w:val="single" w:sz="8" w:space="0" w:color="auto"/>
            </w:tcBorders>
            <w:shd w:val="clear" w:color="auto" w:fill="auto"/>
            <w:noWrap/>
            <w:vAlign w:val="center"/>
          </w:tcPr>
          <w:p w14:paraId="0CDD4B4D" w14:textId="77777777" w:rsidR="004D5330" w:rsidRPr="004D5330" w:rsidRDefault="004D5330" w:rsidP="0015273C">
            <w:pPr>
              <w:spacing w:after="0" w:line="240" w:lineRule="auto"/>
              <w:rPr>
                <w:rFonts w:ascii="Arial Narrow" w:eastAsia="Times New Roman" w:hAnsi="Arial Narrow" w:cs="Arial"/>
                <w:sz w:val="16"/>
                <w:szCs w:val="16"/>
                <w:u w:val="single"/>
                <w:lang w:eastAsia="pt-BR"/>
              </w:rPr>
            </w:pPr>
          </w:p>
        </w:tc>
        <w:tc>
          <w:tcPr>
            <w:tcW w:w="1149" w:type="dxa"/>
            <w:tcBorders>
              <w:top w:val="nil"/>
              <w:left w:val="nil"/>
              <w:bottom w:val="nil"/>
              <w:right w:val="single" w:sz="8" w:space="0" w:color="auto"/>
            </w:tcBorders>
            <w:shd w:val="clear" w:color="auto" w:fill="auto"/>
            <w:noWrap/>
            <w:vAlign w:val="center"/>
            <w:hideMark/>
          </w:tcPr>
          <w:p w14:paraId="209E73E9"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 </w:t>
            </w:r>
          </w:p>
        </w:tc>
        <w:tc>
          <w:tcPr>
            <w:tcW w:w="1134" w:type="dxa"/>
            <w:tcBorders>
              <w:top w:val="nil"/>
              <w:left w:val="nil"/>
              <w:bottom w:val="nil"/>
              <w:right w:val="single" w:sz="8" w:space="0" w:color="auto"/>
            </w:tcBorders>
            <w:shd w:val="clear" w:color="auto" w:fill="auto"/>
            <w:noWrap/>
            <w:vAlign w:val="center"/>
            <w:hideMark/>
          </w:tcPr>
          <w:p w14:paraId="79D16830"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 </w:t>
            </w:r>
          </w:p>
        </w:tc>
        <w:tc>
          <w:tcPr>
            <w:tcW w:w="4346" w:type="dxa"/>
            <w:tcBorders>
              <w:top w:val="nil"/>
              <w:left w:val="nil"/>
              <w:bottom w:val="nil"/>
            </w:tcBorders>
            <w:shd w:val="clear" w:color="auto" w:fill="auto"/>
            <w:noWrap/>
            <w:vAlign w:val="center"/>
            <w:hideMark/>
          </w:tcPr>
          <w:p w14:paraId="719702A1" w14:textId="77777777" w:rsidR="004D5330" w:rsidRPr="004D5330" w:rsidRDefault="004D5330" w:rsidP="0015273C">
            <w:pPr>
              <w:spacing w:after="0" w:line="240" w:lineRule="auto"/>
              <w:ind w:firstLineChars="200" w:firstLine="320"/>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Participações e Contribuições</w:t>
            </w:r>
          </w:p>
        </w:tc>
        <w:tc>
          <w:tcPr>
            <w:tcW w:w="846" w:type="dxa"/>
            <w:tcBorders>
              <w:top w:val="nil"/>
              <w:bottom w:val="nil"/>
              <w:right w:val="single" w:sz="8" w:space="0" w:color="auto"/>
            </w:tcBorders>
            <w:shd w:val="clear" w:color="auto" w:fill="auto"/>
            <w:noWrap/>
            <w:vAlign w:val="center"/>
          </w:tcPr>
          <w:p w14:paraId="494CCACE"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220D2577"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DVP.H058</w:t>
            </w:r>
          </w:p>
        </w:tc>
        <w:tc>
          <w:tcPr>
            <w:tcW w:w="1120" w:type="dxa"/>
            <w:tcBorders>
              <w:top w:val="nil"/>
              <w:left w:val="nil"/>
              <w:bottom w:val="nil"/>
              <w:right w:val="single" w:sz="8" w:space="0" w:color="auto"/>
            </w:tcBorders>
            <w:shd w:val="clear" w:color="auto" w:fill="auto"/>
            <w:noWrap/>
            <w:vAlign w:val="center"/>
            <w:hideMark/>
          </w:tcPr>
          <w:p w14:paraId="6D631DE5"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DVP.I058</w:t>
            </w:r>
          </w:p>
        </w:tc>
      </w:tr>
      <w:tr w:rsidR="004D5330" w:rsidRPr="004D5330" w14:paraId="61F858D6" w14:textId="77777777" w:rsidTr="0015273C">
        <w:trPr>
          <w:trHeight w:val="255"/>
        </w:trPr>
        <w:tc>
          <w:tcPr>
            <w:tcW w:w="4410" w:type="dxa"/>
            <w:tcBorders>
              <w:top w:val="nil"/>
              <w:left w:val="single" w:sz="8" w:space="0" w:color="auto"/>
              <w:bottom w:val="nil"/>
            </w:tcBorders>
            <w:shd w:val="clear" w:color="auto" w:fill="auto"/>
            <w:noWrap/>
            <w:vAlign w:val="center"/>
            <w:hideMark/>
          </w:tcPr>
          <w:p w14:paraId="30CA0641" w14:textId="77777777" w:rsidR="004D5330" w:rsidRPr="004D5330" w:rsidRDefault="004D5330" w:rsidP="0015273C">
            <w:pPr>
              <w:spacing w:after="0" w:line="240" w:lineRule="auto"/>
              <w:rPr>
                <w:rFonts w:ascii="Arial Narrow" w:eastAsia="Times New Roman" w:hAnsi="Arial Narrow" w:cs="Arial"/>
                <w:sz w:val="16"/>
                <w:szCs w:val="16"/>
                <w:u w:val="single"/>
                <w:lang w:eastAsia="pt-BR"/>
              </w:rPr>
            </w:pPr>
          </w:p>
        </w:tc>
        <w:tc>
          <w:tcPr>
            <w:tcW w:w="835" w:type="dxa"/>
            <w:tcBorders>
              <w:top w:val="nil"/>
              <w:bottom w:val="nil"/>
              <w:right w:val="single" w:sz="8" w:space="0" w:color="auto"/>
            </w:tcBorders>
            <w:shd w:val="clear" w:color="auto" w:fill="auto"/>
            <w:noWrap/>
            <w:vAlign w:val="center"/>
          </w:tcPr>
          <w:p w14:paraId="515EB5F1" w14:textId="77777777" w:rsidR="004D5330" w:rsidRPr="004D5330" w:rsidRDefault="004D5330" w:rsidP="0015273C">
            <w:pPr>
              <w:spacing w:after="0" w:line="240" w:lineRule="auto"/>
              <w:rPr>
                <w:rFonts w:ascii="Arial Narrow" w:eastAsia="Times New Roman" w:hAnsi="Arial Narrow" w:cs="Arial"/>
                <w:sz w:val="16"/>
                <w:szCs w:val="16"/>
                <w:u w:val="single"/>
                <w:lang w:eastAsia="pt-BR"/>
              </w:rPr>
            </w:pPr>
          </w:p>
        </w:tc>
        <w:tc>
          <w:tcPr>
            <w:tcW w:w="1149" w:type="dxa"/>
            <w:tcBorders>
              <w:top w:val="nil"/>
              <w:left w:val="nil"/>
              <w:bottom w:val="nil"/>
              <w:right w:val="single" w:sz="8" w:space="0" w:color="auto"/>
            </w:tcBorders>
            <w:shd w:val="clear" w:color="auto" w:fill="auto"/>
            <w:noWrap/>
            <w:vAlign w:val="center"/>
            <w:hideMark/>
          </w:tcPr>
          <w:p w14:paraId="3976BF95"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 </w:t>
            </w:r>
          </w:p>
        </w:tc>
        <w:tc>
          <w:tcPr>
            <w:tcW w:w="1134" w:type="dxa"/>
            <w:tcBorders>
              <w:top w:val="nil"/>
              <w:left w:val="nil"/>
              <w:bottom w:val="nil"/>
              <w:right w:val="single" w:sz="8" w:space="0" w:color="auto"/>
            </w:tcBorders>
            <w:shd w:val="clear" w:color="auto" w:fill="auto"/>
            <w:noWrap/>
            <w:vAlign w:val="center"/>
            <w:hideMark/>
          </w:tcPr>
          <w:p w14:paraId="1BA09996"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 </w:t>
            </w:r>
          </w:p>
        </w:tc>
        <w:tc>
          <w:tcPr>
            <w:tcW w:w="4346" w:type="dxa"/>
            <w:tcBorders>
              <w:top w:val="nil"/>
              <w:left w:val="nil"/>
              <w:bottom w:val="nil"/>
            </w:tcBorders>
            <w:shd w:val="clear" w:color="auto" w:fill="auto"/>
            <w:noWrap/>
            <w:vAlign w:val="center"/>
            <w:hideMark/>
          </w:tcPr>
          <w:p w14:paraId="7B30DCE4" w14:textId="77777777" w:rsidR="004D5330" w:rsidRPr="004D5330" w:rsidRDefault="004D5330" w:rsidP="0015273C">
            <w:pPr>
              <w:spacing w:after="0" w:line="240" w:lineRule="auto"/>
              <w:ind w:firstLineChars="200" w:firstLine="320"/>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Constituição de Provisões</w:t>
            </w:r>
          </w:p>
        </w:tc>
        <w:tc>
          <w:tcPr>
            <w:tcW w:w="846" w:type="dxa"/>
            <w:tcBorders>
              <w:top w:val="nil"/>
              <w:bottom w:val="nil"/>
              <w:right w:val="single" w:sz="8" w:space="0" w:color="auto"/>
            </w:tcBorders>
            <w:shd w:val="clear" w:color="auto" w:fill="auto"/>
            <w:noWrap/>
            <w:vAlign w:val="center"/>
          </w:tcPr>
          <w:p w14:paraId="1C970905"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6941D7C3"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DVP.H059</w:t>
            </w:r>
          </w:p>
        </w:tc>
        <w:tc>
          <w:tcPr>
            <w:tcW w:w="1120" w:type="dxa"/>
            <w:tcBorders>
              <w:top w:val="nil"/>
              <w:left w:val="nil"/>
              <w:bottom w:val="nil"/>
              <w:right w:val="single" w:sz="8" w:space="0" w:color="auto"/>
            </w:tcBorders>
            <w:shd w:val="clear" w:color="auto" w:fill="auto"/>
            <w:noWrap/>
            <w:vAlign w:val="center"/>
            <w:hideMark/>
          </w:tcPr>
          <w:p w14:paraId="1DFF309A"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DVP.I059</w:t>
            </w:r>
          </w:p>
        </w:tc>
      </w:tr>
      <w:tr w:rsidR="004D5330" w:rsidRPr="004D5330" w14:paraId="5CCBC071" w14:textId="77777777" w:rsidTr="0015273C">
        <w:trPr>
          <w:trHeight w:val="270"/>
        </w:trPr>
        <w:tc>
          <w:tcPr>
            <w:tcW w:w="4410" w:type="dxa"/>
            <w:tcBorders>
              <w:top w:val="nil"/>
              <w:left w:val="single" w:sz="8" w:space="0" w:color="auto"/>
              <w:bottom w:val="nil"/>
            </w:tcBorders>
            <w:shd w:val="clear" w:color="auto" w:fill="auto"/>
            <w:noWrap/>
            <w:vAlign w:val="center"/>
            <w:hideMark/>
          </w:tcPr>
          <w:p w14:paraId="0F75023B" w14:textId="77777777" w:rsidR="004D5330" w:rsidRPr="004D5330" w:rsidRDefault="004D5330" w:rsidP="0015273C">
            <w:pPr>
              <w:spacing w:after="0" w:line="240" w:lineRule="auto"/>
              <w:rPr>
                <w:rFonts w:ascii="Arial Narrow" w:eastAsia="Times New Roman" w:hAnsi="Arial Narrow" w:cs="Arial"/>
                <w:sz w:val="16"/>
                <w:szCs w:val="16"/>
                <w:u w:val="single"/>
                <w:lang w:eastAsia="pt-BR"/>
              </w:rPr>
            </w:pPr>
          </w:p>
        </w:tc>
        <w:tc>
          <w:tcPr>
            <w:tcW w:w="835" w:type="dxa"/>
            <w:tcBorders>
              <w:top w:val="nil"/>
              <w:bottom w:val="nil"/>
              <w:right w:val="single" w:sz="8" w:space="0" w:color="auto"/>
            </w:tcBorders>
            <w:shd w:val="clear" w:color="auto" w:fill="auto"/>
            <w:noWrap/>
            <w:vAlign w:val="center"/>
          </w:tcPr>
          <w:p w14:paraId="16E347E9" w14:textId="77777777" w:rsidR="004D5330" w:rsidRPr="004D5330" w:rsidRDefault="004D5330" w:rsidP="0015273C">
            <w:pPr>
              <w:spacing w:after="0" w:line="240" w:lineRule="auto"/>
              <w:rPr>
                <w:rFonts w:ascii="Arial Narrow" w:eastAsia="Times New Roman" w:hAnsi="Arial Narrow" w:cs="Arial"/>
                <w:sz w:val="16"/>
                <w:szCs w:val="16"/>
                <w:u w:val="single"/>
                <w:lang w:eastAsia="pt-BR"/>
              </w:rPr>
            </w:pPr>
          </w:p>
        </w:tc>
        <w:tc>
          <w:tcPr>
            <w:tcW w:w="1149" w:type="dxa"/>
            <w:tcBorders>
              <w:top w:val="nil"/>
              <w:left w:val="nil"/>
              <w:bottom w:val="nil"/>
              <w:right w:val="single" w:sz="8" w:space="0" w:color="auto"/>
            </w:tcBorders>
            <w:shd w:val="clear" w:color="auto" w:fill="auto"/>
            <w:noWrap/>
            <w:vAlign w:val="center"/>
            <w:hideMark/>
          </w:tcPr>
          <w:p w14:paraId="284A6B25"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 </w:t>
            </w:r>
          </w:p>
        </w:tc>
        <w:tc>
          <w:tcPr>
            <w:tcW w:w="1134" w:type="dxa"/>
            <w:tcBorders>
              <w:top w:val="nil"/>
              <w:left w:val="nil"/>
              <w:bottom w:val="nil"/>
              <w:right w:val="single" w:sz="8" w:space="0" w:color="auto"/>
            </w:tcBorders>
            <w:shd w:val="clear" w:color="auto" w:fill="auto"/>
            <w:noWrap/>
            <w:vAlign w:val="center"/>
            <w:hideMark/>
          </w:tcPr>
          <w:p w14:paraId="49FD3871"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 </w:t>
            </w:r>
          </w:p>
        </w:tc>
        <w:tc>
          <w:tcPr>
            <w:tcW w:w="4346" w:type="dxa"/>
            <w:tcBorders>
              <w:top w:val="nil"/>
              <w:left w:val="nil"/>
              <w:bottom w:val="nil"/>
            </w:tcBorders>
            <w:shd w:val="clear" w:color="auto" w:fill="auto"/>
            <w:noWrap/>
            <w:vAlign w:val="center"/>
            <w:hideMark/>
          </w:tcPr>
          <w:p w14:paraId="126B2444" w14:textId="77777777" w:rsidR="004D5330" w:rsidRPr="004D5330" w:rsidRDefault="004D5330" w:rsidP="0015273C">
            <w:pPr>
              <w:spacing w:after="0" w:line="240" w:lineRule="auto"/>
              <w:ind w:firstLineChars="200" w:firstLine="320"/>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Diversas Variações Patrimoniais Diminutivas</w:t>
            </w:r>
          </w:p>
        </w:tc>
        <w:tc>
          <w:tcPr>
            <w:tcW w:w="846" w:type="dxa"/>
            <w:tcBorders>
              <w:top w:val="nil"/>
              <w:bottom w:val="nil"/>
              <w:right w:val="single" w:sz="8" w:space="0" w:color="auto"/>
            </w:tcBorders>
            <w:shd w:val="clear" w:color="auto" w:fill="auto"/>
            <w:noWrap/>
            <w:vAlign w:val="center"/>
          </w:tcPr>
          <w:p w14:paraId="335AF6AE"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43B650F8"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DVP.H060</w:t>
            </w:r>
          </w:p>
        </w:tc>
        <w:tc>
          <w:tcPr>
            <w:tcW w:w="1120" w:type="dxa"/>
            <w:tcBorders>
              <w:top w:val="nil"/>
              <w:left w:val="nil"/>
              <w:bottom w:val="nil"/>
              <w:right w:val="single" w:sz="8" w:space="0" w:color="auto"/>
            </w:tcBorders>
            <w:shd w:val="clear" w:color="auto" w:fill="auto"/>
            <w:noWrap/>
            <w:vAlign w:val="center"/>
            <w:hideMark/>
          </w:tcPr>
          <w:p w14:paraId="444D192E" w14:textId="77777777" w:rsidR="004D5330" w:rsidRPr="004D5330" w:rsidRDefault="004D5330" w:rsidP="0015273C">
            <w:pPr>
              <w:spacing w:after="0" w:line="240" w:lineRule="auto"/>
              <w:jc w:val="center"/>
              <w:rPr>
                <w:rFonts w:ascii="Arial Narrow" w:eastAsia="Times New Roman" w:hAnsi="Arial Narrow" w:cs="Arial"/>
                <w:sz w:val="16"/>
                <w:szCs w:val="16"/>
                <w:lang w:eastAsia="pt-BR"/>
              </w:rPr>
            </w:pPr>
            <w:r w:rsidRPr="004D5330">
              <w:rPr>
                <w:rFonts w:ascii="Arial Narrow" w:eastAsia="Times New Roman" w:hAnsi="Arial Narrow" w:cs="Arial"/>
                <w:sz w:val="16"/>
                <w:szCs w:val="16"/>
                <w:lang w:eastAsia="pt-BR"/>
              </w:rPr>
              <w:t>DVP.I060</w:t>
            </w:r>
          </w:p>
        </w:tc>
      </w:tr>
      <w:tr w:rsidR="004D5330" w:rsidRPr="004D5330" w14:paraId="27CE380A" w14:textId="77777777" w:rsidTr="0015273C">
        <w:trPr>
          <w:trHeight w:val="270"/>
        </w:trPr>
        <w:tc>
          <w:tcPr>
            <w:tcW w:w="4410" w:type="dxa"/>
            <w:tcBorders>
              <w:top w:val="single" w:sz="8" w:space="0" w:color="auto"/>
              <w:left w:val="single" w:sz="8" w:space="0" w:color="auto"/>
              <w:bottom w:val="single" w:sz="8" w:space="0" w:color="auto"/>
            </w:tcBorders>
            <w:shd w:val="clear" w:color="auto" w:fill="auto"/>
            <w:noWrap/>
            <w:vAlign w:val="center"/>
            <w:hideMark/>
          </w:tcPr>
          <w:p w14:paraId="0FA29AE0" w14:textId="77777777" w:rsidR="004D5330" w:rsidRPr="004D5330" w:rsidRDefault="004D5330" w:rsidP="0015273C">
            <w:pPr>
              <w:spacing w:after="0" w:line="240" w:lineRule="auto"/>
              <w:rPr>
                <w:rFonts w:ascii="Arial Narrow" w:eastAsia="Times New Roman" w:hAnsi="Arial Narrow" w:cs="Arial"/>
                <w:b/>
                <w:bCs/>
                <w:sz w:val="16"/>
                <w:szCs w:val="16"/>
                <w:lang w:eastAsia="pt-BR"/>
              </w:rPr>
            </w:pPr>
            <w:r w:rsidRPr="004D5330">
              <w:rPr>
                <w:rFonts w:ascii="Arial Narrow" w:eastAsia="Times New Roman" w:hAnsi="Arial Narrow" w:cs="Arial"/>
                <w:b/>
                <w:bCs/>
                <w:sz w:val="16"/>
                <w:szCs w:val="16"/>
                <w:lang w:eastAsia="pt-BR"/>
              </w:rPr>
              <w:t>Total das Variações Patrimonais Aumentativas (I)</w:t>
            </w:r>
          </w:p>
        </w:tc>
        <w:tc>
          <w:tcPr>
            <w:tcW w:w="835" w:type="dxa"/>
            <w:tcBorders>
              <w:top w:val="single" w:sz="8" w:space="0" w:color="auto"/>
              <w:bottom w:val="single" w:sz="8" w:space="0" w:color="auto"/>
              <w:right w:val="single" w:sz="8" w:space="0" w:color="auto"/>
            </w:tcBorders>
            <w:shd w:val="clear" w:color="auto" w:fill="auto"/>
            <w:noWrap/>
            <w:vAlign w:val="center"/>
          </w:tcPr>
          <w:p w14:paraId="6C1C4576" w14:textId="77777777" w:rsidR="004D5330" w:rsidRPr="004D5330" w:rsidRDefault="004D5330" w:rsidP="0015273C">
            <w:pPr>
              <w:spacing w:after="0" w:line="240" w:lineRule="auto"/>
              <w:jc w:val="center"/>
              <w:rPr>
                <w:rFonts w:ascii="Arial Narrow" w:eastAsia="Times New Roman" w:hAnsi="Arial Narrow" w:cs="Arial"/>
                <w:b/>
                <w:bCs/>
                <w:sz w:val="16"/>
                <w:szCs w:val="16"/>
                <w:lang w:eastAsia="pt-BR"/>
              </w:rPr>
            </w:pPr>
          </w:p>
        </w:tc>
        <w:tc>
          <w:tcPr>
            <w:tcW w:w="1149" w:type="dxa"/>
            <w:tcBorders>
              <w:top w:val="single" w:sz="8" w:space="0" w:color="auto"/>
              <w:left w:val="nil"/>
              <w:bottom w:val="single" w:sz="8" w:space="0" w:color="auto"/>
              <w:right w:val="single" w:sz="8" w:space="0" w:color="auto"/>
            </w:tcBorders>
            <w:shd w:val="clear" w:color="auto" w:fill="auto"/>
            <w:noWrap/>
            <w:vAlign w:val="center"/>
            <w:hideMark/>
          </w:tcPr>
          <w:p w14:paraId="13A1A1A7" w14:textId="77777777" w:rsidR="004D5330" w:rsidRPr="004D5330" w:rsidRDefault="004D5330" w:rsidP="0015273C">
            <w:pPr>
              <w:spacing w:after="0" w:line="240" w:lineRule="auto"/>
              <w:jc w:val="center"/>
              <w:rPr>
                <w:rFonts w:ascii="Arial Narrow" w:eastAsia="Times New Roman" w:hAnsi="Arial Narrow" w:cs="Arial"/>
                <w:b/>
                <w:bCs/>
                <w:sz w:val="16"/>
                <w:szCs w:val="16"/>
                <w:lang w:eastAsia="pt-BR"/>
              </w:rPr>
            </w:pPr>
            <w:r w:rsidRPr="004D5330">
              <w:rPr>
                <w:rFonts w:ascii="Arial Narrow" w:eastAsia="Times New Roman" w:hAnsi="Arial Narrow" w:cs="Arial"/>
                <w:b/>
                <w:bCs/>
                <w:sz w:val="16"/>
                <w:szCs w:val="16"/>
                <w:lang w:eastAsia="pt-BR"/>
              </w:rPr>
              <w:t>DVP.D061</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14:paraId="3AC338CB" w14:textId="77777777" w:rsidR="004D5330" w:rsidRPr="004D5330" w:rsidRDefault="004D5330" w:rsidP="0015273C">
            <w:pPr>
              <w:spacing w:after="0" w:line="240" w:lineRule="auto"/>
              <w:jc w:val="center"/>
              <w:rPr>
                <w:rFonts w:ascii="Arial Narrow" w:eastAsia="Times New Roman" w:hAnsi="Arial Narrow" w:cs="Arial"/>
                <w:b/>
                <w:bCs/>
                <w:sz w:val="16"/>
                <w:szCs w:val="16"/>
                <w:lang w:eastAsia="pt-BR"/>
              </w:rPr>
            </w:pPr>
            <w:r w:rsidRPr="004D5330">
              <w:rPr>
                <w:rFonts w:ascii="Arial Narrow" w:eastAsia="Times New Roman" w:hAnsi="Arial Narrow" w:cs="Arial"/>
                <w:b/>
                <w:bCs/>
                <w:sz w:val="16"/>
                <w:szCs w:val="16"/>
                <w:lang w:eastAsia="pt-BR"/>
              </w:rPr>
              <w:t>DVP.E061</w:t>
            </w:r>
          </w:p>
        </w:tc>
        <w:tc>
          <w:tcPr>
            <w:tcW w:w="4346" w:type="dxa"/>
            <w:tcBorders>
              <w:top w:val="single" w:sz="8" w:space="0" w:color="auto"/>
              <w:left w:val="nil"/>
              <w:bottom w:val="single" w:sz="8" w:space="0" w:color="auto"/>
            </w:tcBorders>
            <w:shd w:val="clear" w:color="auto" w:fill="auto"/>
            <w:noWrap/>
            <w:vAlign w:val="center"/>
            <w:hideMark/>
          </w:tcPr>
          <w:p w14:paraId="6E669544" w14:textId="77777777" w:rsidR="004D5330" w:rsidRPr="004D5330" w:rsidRDefault="004D5330" w:rsidP="0015273C">
            <w:pPr>
              <w:spacing w:after="0" w:line="240" w:lineRule="auto"/>
              <w:rPr>
                <w:rFonts w:ascii="Arial Narrow" w:eastAsia="Times New Roman" w:hAnsi="Arial Narrow" w:cs="Arial"/>
                <w:b/>
                <w:bCs/>
                <w:sz w:val="16"/>
                <w:szCs w:val="16"/>
                <w:lang w:eastAsia="pt-BR"/>
              </w:rPr>
            </w:pPr>
            <w:r w:rsidRPr="004D5330">
              <w:rPr>
                <w:rFonts w:ascii="Arial Narrow" w:eastAsia="Times New Roman" w:hAnsi="Arial Narrow" w:cs="Arial"/>
                <w:b/>
                <w:bCs/>
                <w:sz w:val="16"/>
                <w:szCs w:val="16"/>
                <w:lang w:eastAsia="pt-BR"/>
              </w:rPr>
              <w:t>Total das Variações Patrimonais Diminutivas (II)</w:t>
            </w:r>
          </w:p>
        </w:tc>
        <w:tc>
          <w:tcPr>
            <w:tcW w:w="846" w:type="dxa"/>
            <w:tcBorders>
              <w:top w:val="single" w:sz="8" w:space="0" w:color="auto"/>
              <w:bottom w:val="single" w:sz="8" w:space="0" w:color="auto"/>
              <w:right w:val="single" w:sz="8" w:space="0" w:color="auto"/>
            </w:tcBorders>
            <w:shd w:val="clear" w:color="auto" w:fill="auto"/>
            <w:noWrap/>
            <w:vAlign w:val="center"/>
          </w:tcPr>
          <w:p w14:paraId="70794384" w14:textId="77777777" w:rsidR="004D5330" w:rsidRPr="004D5330" w:rsidRDefault="004D5330" w:rsidP="0015273C">
            <w:pPr>
              <w:spacing w:after="0" w:line="240" w:lineRule="auto"/>
              <w:jc w:val="center"/>
              <w:rPr>
                <w:rFonts w:ascii="Arial Narrow" w:eastAsia="Times New Roman" w:hAnsi="Arial Narrow" w:cs="Arial"/>
                <w:b/>
                <w:bCs/>
                <w:sz w:val="16"/>
                <w:szCs w:val="16"/>
                <w:lang w:eastAsia="pt-BR"/>
              </w:rPr>
            </w:pPr>
          </w:p>
        </w:tc>
        <w:tc>
          <w:tcPr>
            <w:tcW w:w="1045" w:type="dxa"/>
            <w:tcBorders>
              <w:top w:val="single" w:sz="8" w:space="0" w:color="auto"/>
              <w:left w:val="nil"/>
              <w:bottom w:val="single" w:sz="8" w:space="0" w:color="auto"/>
              <w:right w:val="single" w:sz="8" w:space="0" w:color="auto"/>
            </w:tcBorders>
            <w:shd w:val="clear" w:color="auto" w:fill="auto"/>
            <w:noWrap/>
            <w:vAlign w:val="center"/>
            <w:hideMark/>
          </w:tcPr>
          <w:p w14:paraId="77201BDB" w14:textId="77777777" w:rsidR="004D5330" w:rsidRPr="004D5330" w:rsidRDefault="004D5330" w:rsidP="0015273C">
            <w:pPr>
              <w:spacing w:after="0" w:line="240" w:lineRule="auto"/>
              <w:jc w:val="center"/>
              <w:rPr>
                <w:rFonts w:ascii="Arial Narrow" w:eastAsia="Times New Roman" w:hAnsi="Arial Narrow" w:cs="Arial"/>
                <w:b/>
                <w:bCs/>
                <w:sz w:val="16"/>
                <w:szCs w:val="16"/>
                <w:lang w:eastAsia="pt-BR"/>
              </w:rPr>
            </w:pPr>
            <w:r w:rsidRPr="004D5330">
              <w:rPr>
                <w:rFonts w:ascii="Arial Narrow" w:eastAsia="Times New Roman" w:hAnsi="Arial Narrow" w:cs="Arial"/>
                <w:b/>
                <w:bCs/>
                <w:sz w:val="16"/>
                <w:szCs w:val="16"/>
                <w:lang w:eastAsia="pt-BR"/>
              </w:rPr>
              <w:t>DVP.H061</w:t>
            </w:r>
          </w:p>
        </w:tc>
        <w:tc>
          <w:tcPr>
            <w:tcW w:w="1120" w:type="dxa"/>
            <w:tcBorders>
              <w:top w:val="single" w:sz="8" w:space="0" w:color="auto"/>
              <w:left w:val="nil"/>
              <w:bottom w:val="single" w:sz="4" w:space="0" w:color="auto"/>
              <w:right w:val="single" w:sz="8" w:space="0" w:color="auto"/>
            </w:tcBorders>
            <w:shd w:val="clear" w:color="auto" w:fill="auto"/>
            <w:noWrap/>
            <w:vAlign w:val="center"/>
            <w:hideMark/>
          </w:tcPr>
          <w:p w14:paraId="25D998F8" w14:textId="77777777" w:rsidR="004D5330" w:rsidRPr="004D5330" w:rsidRDefault="004D5330" w:rsidP="0015273C">
            <w:pPr>
              <w:spacing w:after="0" w:line="240" w:lineRule="auto"/>
              <w:jc w:val="center"/>
              <w:rPr>
                <w:rFonts w:ascii="Arial Narrow" w:eastAsia="Times New Roman" w:hAnsi="Arial Narrow" w:cs="Arial"/>
                <w:b/>
                <w:bCs/>
                <w:sz w:val="16"/>
                <w:szCs w:val="16"/>
                <w:lang w:eastAsia="pt-BR"/>
              </w:rPr>
            </w:pPr>
            <w:r w:rsidRPr="004D5330">
              <w:rPr>
                <w:rFonts w:ascii="Arial Narrow" w:eastAsia="Times New Roman" w:hAnsi="Arial Narrow" w:cs="Arial"/>
                <w:b/>
                <w:bCs/>
                <w:sz w:val="16"/>
                <w:szCs w:val="16"/>
                <w:lang w:eastAsia="pt-BR"/>
              </w:rPr>
              <w:t>DVP.I061</w:t>
            </w:r>
          </w:p>
        </w:tc>
      </w:tr>
      <w:tr w:rsidR="004D5330" w:rsidRPr="004D5330" w14:paraId="61F95E21" w14:textId="77777777" w:rsidTr="0015273C">
        <w:trPr>
          <w:trHeight w:val="270"/>
        </w:trPr>
        <w:tc>
          <w:tcPr>
            <w:tcW w:w="11874" w:type="dxa"/>
            <w:gridSpan w:val="5"/>
            <w:tcBorders>
              <w:top w:val="single" w:sz="8" w:space="0" w:color="auto"/>
              <w:left w:val="single" w:sz="8" w:space="0" w:color="auto"/>
              <w:bottom w:val="single" w:sz="8" w:space="0" w:color="auto"/>
            </w:tcBorders>
            <w:shd w:val="clear" w:color="000000" w:fill="auto"/>
            <w:noWrap/>
            <w:vAlign w:val="center"/>
            <w:hideMark/>
          </w:tcPr>
          <w:p w14:paraId="2D489839" w14:textId="77777777" w:rsidR="004D5330" w:rsidRPr="004D5330" w:rsidRDefault="004D5330" w:rsidP="0015273C">
            <w:pPr>
              <w:spacing w:after="0" w:line="240" w:lineRule="auto"/>
              <w:rPr>
                <w:rFonts w:ascii="Arial Narrow" w:eastAsia="Times New Roman" w:hAnsi="Arial Narrow" w:cs="Arial"/>
                <w:b/>
                <w:bCs/>
                <w:sz w:val="16"/>
                <w:szCs w:val="16"/>
                <w:lang w:eastAsia="pt-BR"/>
              </w:rPr>
            </w:pPr>
            <w:r w:rsidRPr="004D5330">
              <w:rPr>
                <w:rFonts w:ascii="Arial Narrow" w:eastAsia="Times New Roman" w:hAnsi="Arial Narrow" w:cs="Arial"/>
                <w:b/>
                <w:bCs/>
                <w:sz w:val="16"/>
                <w:szCs w:val="16"/>
                <w:lang w:eastAsia="pt-BR"/>
              </w:rPr>
              <w:t>Resultado Patrimonial do Período III = I - II</w:t>
            </w:r>
          </w:p>
        </w:tc>
        <w:tc>
          <w:tcPr>
            <w:tcW w:w="846" w:type="dxa"/>
            <w:tcBorders>
              <w:top w:val="nil"/>
              <w:bottom w:val="single" w:sz="4" w:space="0" w:color="auto"/>
              <w:right w:val="nil"/>
            </w:tcBorders>
            <w:shd w:val="clear" w:color="000000" w:fill="auto"/>
            <w:noWrap/>
            <w:vAlign w:val="center"/>
          </w:tcPr>
          <w:p w14:paraId="55048C36" w14:textId="77777777" w:rsidR="004D5330" w:rsidRPr="004D5330" w:rsidRDefault="004D5330" w:rsidP="0015273C">
            <w:pPr>
              <w:spacing w:after="0" w:line="240" w:lineRule="auto"/>
              <w:jc w:val="center"/>
              <w:rPr>
                <w:rFonts w:ascii="Arial Narrow" w:eastAsia="Times New Roman" w:hAnsi="Arial Narrow" w:cs="Arial"/>
                <w:b/>
                <w:bCs/>
                <w:sz w:val="16"/>
                <w:szCs w:val="16"/>
                <w:lang w:eastAsia="pt-BR"/>
              </w:rPr>
            </w:pPr>
          </w:p>
        </w:tc>
        <w:tc>
          <w:tcPr>
            <w:tcW w:w="1045" w:type="dxa"/>
            <w:tcBorders>
              <w:top w:val="nil"/>
              <w:left w:val="single" w:sz="8" w:space="0" w:color="auto"/>
              <w:bottom w:val="single" w:sz="4" w:space="0" w:color="auto"/>
              <w:right w:val="single" w:sz="4" w:space="0" w:color="auto"/>
            </w:tcBorders>
            <w:shd w:val="clear" w:color="000000" w:fill="auto"/>
            <w:noWrap/>
            <w:vAlign w:val="center"/>
            <w:hideMark/>
          </w:tcPr>
          <w:p w14:paraId="2A83D4BA" w14:textId="77777777" w:rsidR="004D5330" w:rsidRPr="004D5330" w:rsidRDefault="004D5330" w:rsidP="0015273C">
            <w:pPr>
              <w:spacing w:after="0" w:line="240" w:lineRule="auto"/>
              <w:jc w:val="center"/>
              <w:rPr>
                <w:rFonts w:ascii="Arial Narrow" w:eastAsia="Times New Roman" w:hAnsi="Arial Narrow" w:cs="Arial"/>
                <w:b/>
                <w:bCs/>
                <w:sz w:val="16"/>
                <w:szCs w:val="16"/>
                <w:lang w:eastAsia="pt-BR"/>
              </w:rPr>
            </w:pPr>
            <w:r w:rsidRPr="004D5330">
              <w:rPr>
                <w:rFonts w:ascii="Arial Narrow" w:eastAsia="Times New Roman" w:hAnsi="Arial Narrow" w:cs="Arial"/>
                <w:b/>
                <w:bCs/>
                <w:sz w:val="16"/>
                <w:szCs w:val="16"/>
                <w:lang w:eastAsia="pt-BR"/>
              </w:rPr>
              <w:t>DVP.H062</w:t>
            </w:r>
          </w:p>
        </w:tc>
        <w:tc>
          <w:tcPr>
            <w:tcW w:w="1120" w:type="dxa"/>
            <w:tcBorders>
              <w:top w:val="single" w:sz="4" w:space="0" w:color="auto"/>
              <w:left w:val="single" w:sz="4" w:space="0" w:color="auto"/>
              <w:bottom w:val="single" w:sz="4" w:space="0" w:color="auto"/>
              <w:right w:val="single" w:sz="4" w:space="0" w:color="auto"/>
            </w:tcBorders>
            <w:shd w:val="clear" w:color="000000" w:fill="auto"/>
            <w:noWrap/>
            <w:vAlign w:val="center"/>
            <w:hideMark/>
          </w:tcPr>
          <w:p w14:paraId="1E84A6A2" w14:textId="77777777" w:rsidR="004D5330" w:rsidRPr="004D5330" w:rsidRDefault="004D5330" w:rsidP="0015273C">
            <w:pPr>
              <w:spacing w:after="0" w:line="240" w:lineRule="auto"/>
              <w:jc w:val="center"/>
              <w:rPr>
                <w:rFonts w:ascii="Arial Narrow" w:eastAsia="Times New Roman" w:hAnsi="Arial Narrow" w:cs="Arial"/>
                <w:b/>
                <w:bCs/>
                <w:sz w:val="16"/>
                <w:szCs w:val="16"/>
                <w:lang w:eastAsia="pt-BR"/>
              </w:rPr>
            </w:pPr>
            <w:r w:rsidRPr="004D5330">
              <w:rPr>
                <w:rFonts w:ascii="Arial Narrow" w:eastAsia="Times New Roman" w:hAnsi="Arial Narrow" w:cs="Arial"/>
                <w:b/>
                <w:bCs/>
                <w:sz w:val="16"/>
                <w:szCs w:val="16"/>
                <w:lang w:eastAsia="pt-BR"/>
              </w:rPr>
              <w:t>DVP.I062</w:t>
            </w:r>
          </w:p>
        </w:tc>
      </w:tr>
    </w:tbl>
    <w:p w14:paraId="35472A6B" w14:textId="0BB14151" w:rsidR="004D5330" w:rsidRDefault="004D5330" w:rsidP="00F31CC6">
      <w:pPr>
        <w:spacing w:after="0" w:line="240" w:lineRule="auto"/>
        <w:rPr>
          <w:rFonts w:ascii="Arial" w:hAnsi="Arial"/>
          <w:b/>
          <w:sz w:val="16"/>
          <w:szCs w:val="16"/>
        </w:rPr>
      </w:pPr>
    </w:p>
    <w:p w14:paraId="2A236B36" w14:textId="77777777" w:rsidR="004D5330" w:rsidRDefault="004D5330" w:rsidP="00F31CC6">
      <w:pPr>
        <w:spacing w:after="0" w:line="240" w:lineRule="auto"/>
        <w:rPr>
          <w:rFonts w:ascii="Arial" w:hAnsi="Arial"/>
          <w:b/>
          <w:sz w:val="16"/>
          <w:szCs w:val="16"/>
        </w:rPr>
      </w:pPr>
    </w:p>
    <w:p w14:paraId="70DDE543" w14:textId="77777777" w:rsidR="004D5330" w:rsidRPr="00F31CC6" w:rsidRDefault="004D5330" w:rsidP="00F31CC6">
      <w:pPr>
        <w:spacing w:after="0" w:line="240" w:lineRule="auto"/>
        <w:rPr>
          <w:rFonts w:ascii="Arial" w:hAnsi="Arial"/>
          <w:b/>
          <w:sz w:val="16"/>
          <w:szCs w:val="16"/>
        </w:rPr>
      </w:pPr>
    </w:p>
    <w:p w14:paraId="6B83141A" w14:textId="77777777" w:rsidR="00FA1F55" w:rsidRPr="0018202E" w:rsidRDefault="00FA1F55" w:rsidP="00F31CC6">
      <w:pPr>
        <w:rPr>
          <w:rFonts w:ascii="Arial" w:hAnsi="Arial"/>
          <w:b/>
          <w:sz w:val="20"/>
          <w:szCs w:val="20"/>
        </w:rPr>
      </w:pPr>
      <w:r w:rsidRPr="0018202E">
        <w:rPr>
          <w:rFonts w:ascii="Arial" w:hAnsi="Arial"/>
          <w:b/>
          <w:sz w:val="20"/>
          <w:szCs w:val="20"/>
        </w:rPr>
        <w:t>Observações:</w:t>
      </w:r>
    </w:p>
    <w:p w14:paraId="1EA71532" w14:textId="77777777" w:rsidR="00FA1F55" w:rsidRPr="0018202E" w:rsidRDefault="00FA1F55" w:rsidP="00FA1F55">
      <w:pPr>
        <w:jc w:val="both"/>
        <w:rPr>
          <w:rFonts w:ascii="Arial" w:hAnsi="Arial"/>
          <w:sz w:val="20"/>
          <w:szCs w:val="20"/>
        </w:rPr>
      </w:pPr>
      <w:r w:rsidRPr="0018202E">
        <w:rPr>
          <w:rFonts w:ascii="Arial" w:hAnsi="Arial"/>
          <w:sz w:val="20"/>
          <w:szCs w:val="20"/>
        </w:rPr>
        <w:t>1. A elaboração do Demonstrativo das Variações Patrimoniais seguirá a metodologia especificada na IPC 05 (Instruções de Procedimentos Contábeis - STN) observada à classificação das contas contábeis pertencentes ao Plano de Contas do TCEES (CidadES).</w:t>
      </w:r>
    </w:p>
    <w:p w14:paraId="0AE4DA70" w14:textId="77777777" w:rsidR="00FA1F55" w:rsidRPr="0018202E" w:rsidRDefault="00FA1F55" w:rsidP="00FA1F55">
      <w:pPr>
        <w:jc w:val="both"/>
        <w:rPr>
          <w:rFonts w:ascii="Arial" w:hAnsi="Arial"/>
          <w:sz w:val="20"/>
          <w:szCs w:val="20"/>
        </w:rPr>
      </w:pPr>
      <w:r w:rsidRPr="0018202E">
        <w:rPr>
          <w:rFonts w:ascii="Arial" w:hAnsi="Arial"/>
          <w:sz w:val="20"/>
          <w:szCs w:val="20"/>
        </w:rPr>
        <w:t>2. Os campos DVP.H062 e DVP.I062 admitem valores negativos.</w:t>
      </w:r>
    </w:p>
    <w:p w14:paraId="089CA1CE" w14:textId="77777777" w:rsidR="00FA1F55" w:rsidRPr="0018202E" w:rsidRDefault="00FA1F55" w:rsidP="00FA1F55">
      <w:pPr>
        <w:spacing w:after="120" w:line="240" w:lineRule="auto"/>
        <w:ind w:right="600"/>
        <w:jc w:val="both"/>
        <w:rPr>
          <w:rFonts w:ascii="Arial" w:hAnsi="Arial" w:cs="Arial"/>
          <w:b/>
          <w:sz w:val="20"/>
          <w:szCs w:val="20"/>
          <w:lang w:eastAsia="pt-BR"/>
        </w:rPr>
        <w:sectPr w:rsidR="00FA1F55" w:rsidRPr="0018202E" w:rsidSect="00E7482B">
          <w:pgSz w:w="16838" w:h="11906" w:orient="landscape"/>
          <w:pgMar w:top="1701" w:right="1418" w:bottom="1701" w:left="1418" w:header="709" w:footer="709" w:gutter="0"/>
          <w:cols w:space="708"/>
          <w:docGrid w:linePitch="360"/>
        </w:sectPr>
      </w:pPr>
    </w:p>
    <w:p w14:paraId="7BF80844" w14:textId="621FBFC1" w:rsidR="006869A1" w:rsidRPr="006869A1" w:rsidRDefault="006869A1" w:rsidP="00A60EA7">
      <w:pPr>
        <w:pStyle w:val="Ttulo3"/>
      </w:pPr>
      <w:bookmarkStart w:id="34" w:name="_Toc94806311"/>
      <w:r w:rsidRPr="006869A1">
        <w:lastRenderedPageBreak/>
        <w:t>BALFIN.XML (ou BalancoFinanceiro.xml)</w:t>
      </w:r>
      <w:bookmarkEnd w:id="34"/>
    </w:p>
    <w:p w14:paraId="75620DE3" w14:textId="77777777" w:rsidR="006869A1" w:rsidRPr="006869A1" w:rsidRDefault="006869A1" w:rsidP="006869A1">
      <w:pPr>
        <w:spacing w:after="0" w:line="360" w:lineRule="auto"/>
        <w:jc w:val="both"/>
        <w:rPr>
          <w:rFonts w:ascii="Arial" w:hAnsi="Arial"/>
        </w:rPr>
      </w:pPr>
      <w:r w:rsidRPr="006869A1">
        <w:rPr>
          <w:rFonts w:ascii="Arial" w:hAnsi="Arial"/>
          <w:b/>
          <w:bCs/>
        </w:rPr>
        <w:t>Descrição: </w:t>
      </w:r>
      <w:r w:rsidRPr="006869A1">
        <w:rPr>
          <w:rFonts w:ascii="Arial" w:hAnsi="Arial"/>
        </w:rPr>
        <w:t>Este arquivo conterá os dados referentes ao Balanço Financeiro (Anexo 13 Lei 4.320/1964) da Prestação de Contas Anual dos respectivos responsáveis pelo encaminhamento ao TCEES</w:t>
      </w:r>
      <w:r w:rsidR="003445FB">
        <w:rPr>
          <w:rFonts w:ascii="Arial" w:hAnsi="Arial"/>
        </w:rPr>
        <w:t>.</w:t>
      </w:r>
    </w:p>
    <w:p w14:paraId="4DBBC0F7" w14:textId="77777777" w:rsidR="006869A1" w:rsidRPr="006869A1" w:rsidRDefault="006869A1" w:rsidP="006869A1">
      <w:pPr>
        <w:autoSpaceDE w:val="0"/>
        <w:autoSpaceDN w:val="0"/>
        <w:adjustRightInd w:val="0"/>
        <w:spacing w:after="0" w:line="240" w:lineRule="auto"/>
        <w:jc w:val="both"/>
        <w:rPr>
          <w:rFonts w:ascii="Arial" w:hAnsi="Arial"/>
          <w:b/>
          <w:bCs/>
        </w:rPr>
      </w:pPr>
    </w:p>
    <w:p w14:paraId="36E6952E" w14:textId="77777777" w:rsidR="006869A1" w:rsidRPr="006869A1" w:rsidRDefault="006869A1" w:rsidP="006869A1">
      <w:pPr>
        <w:autoSpaceDE w:val="0"/>
        <w:autoSpaceDN w:val="0"/>
        <w:adjustRightInd w:val="0"/>
        <w:spacing w:after="0" w:line="240" w:lineRule="auto"/>
        <w:jc w:val="both"/>
        <w:rPr>
          <w:rFonts w:ascii="Arial" w:hAnsi="Arial"/>
          <w:b/>
          <w:bCs/>
        </w:rPr>
      </w:pPr>
      <w:r w:rsidRPr="006869A1">
        <w:rPr>
          <w:rFonts w:ascii="Arial" w:hAnsi="Arial"/>
          <w:b/>
          <w:bCs/>
        </w:rPr>
        <w:t>Estrutura:</w:t>
      </w:r>
    </w:p>
    <w:p w14:paraId="46F5CA32" w14:textId="77777777" w:rsidR="006869A1" w:rsidRPr="006869A1" w:rsidRDefault="006869A1" w:rsidP="006869A1">
      <w:pPr>
        <w:autoSpaceDE w:val="0"/>
        <w:autoSpaceDN w:val="0"/>
        <w:adjustRightInd w:val="0"/>
        <w:spacing w:after="0" w:line="240" w:lineRule="auto"/>
        <w:jc w:val="both"/>
        <w:rPr>
          <w:rFonts w:ascii="Arial" w:hAnsi="Arial" w:cs="Arial"/>
          <w:sz w:val="20"/>
          <w:szCs w:val="20"/>
          <w:lang w:eastAsia="pt-BR"/>
        </w:rPr>
      </w:pPr>
    </w:p>
    <w:p w14:paraId="5E5ABAC0" w14:textId="77777777" w:rsidR="006869A1" w:rsidRPr="006869A1" w:rsidRDefault="006869A1" w:rsidP="006869A1">
      <w:pPr>
        <w:autoSpaceDE w:val="0"/>
        <w:autoSpaceDN w:val="0"/>
        <w:adjustRightInd w:val="0"/>
        <w:spacing w:after="0" w:line="240" w:lineRule="auto"/>
        <w:jc w:val="both"/>
        <w:rPr>
          <w:rFonts w:ascii="Arial" w:hAnsi="Arial" w:cs="Arial"/>
          <w:sz w:val="20"/>
          <w:szCs w:val="20"/>
        </w:rPr>
      </w:pPr>
      <w:r w:rsidRPr="006869A1">
        <w:rPr>
          <w:rFonts w:ascii="Arial" w:hAnsi="Arial" w:cs="Arial"/>
          <w:sz w:val="20"/>
          <w:szCs w:val="20"/>
          <w:lang w:eastAsia="pt-BR"/>
        </w:rPr>
        <w:t xml:space="preserve">&lt;?xml version="1.0" </w:t>
      </w:r>
      <w:r w:rsidRPr="006869A1">
        <w:rPr>
          <w:rFonts w:ascii="Arial" w:hAnsi="Arial" w:cs="Arial"/>
          <w:sz w:val="20"/>
          <w:szCs w:val="20"/>
        </w:rPr>
        <w:t>encoding=“UTF-8”?&gt;</w:t>
      </w:r>
    </w:p>
    <w:p w14:paraId="59BB48BE" w14:textId="77777777" w:rsidR="006869A1" w:rsidRPr="006869A1" w:rsidRDefault="006869A1" w:rsidP="006869A1">
      <w:pPr>
        <w:spacing w:after="0" w:line="240" w:lineRule="auto"/>
        <w:ind w:right="600"/>
        <w:jc w:val="both"/>
        <w:rPr>
          <w:rFonts w:ascii="Arial" w:hAnsi="Arial" w:cs="Arial"/>
          <w:sz w:val="20"/>
          <w:szCs w:val="20"/>
          <w:lang w:eastAsia="pt-BR"/>
        </w:rPr>
      </w:pPr>
      <w:r w:rsidRPr="006869A1">
        <w:rPr>
          <w:rFonts w:ascii="Arial" w:hAnsi="Arial" w:cs="Arial"/>
          <w:sz w:val="20"/>
          <w:szCs w:val="20"/>
          <w:lang w:eastAsia="pt-BR"/>
        </w:rPr>
        <w:t>&lt;PrestacaoContasAnual&gt;</w:t>
      </w:r>
    </w:p>
    <w:p w14:paraId="00E27792" w14:textId="77777777" w:rsidR="006869A1" w:rsidRPr="006869A1" w:rsidRDefault="006869A1" w:rsidP="006869A1">
      <w:pPr>
        <w:spacing w:after="0" w:line="240" w:lineRule="auto"/>
        <w:ind w:right="600" w:firstLine="708"/>
        <w:jc w:val="both"/>
        <w:rPr>
          <w:rFonts w:ascii="Arial" w:hAnsi="Arial" w:cs="Arial"/>
          <w:sz w:val="20"/>
          <w:szCs w:val="20"/>
          <w:lang w:eastAsia="pt-BR"/>
        </w:rPr>
      </w:pPr>
      <w:r w:rsidRPr="006869A1">
        <w:rPr>
          <w:rFonts w:ascii="Arial" w:hAnsi="Arial" w:cs="Arial"/>
          <w:sz w:val="20"/>
          <w:szCs w:val="20"/>
          <w:lang w:eastAsia="pt-BR"/>
        </w:rPr>
        <w:t>&lt;BalancoFinanceiro_Schema&gt;</w:t>
      </w:r>
    </w:p>
    <w:p w14:paraId="0B11C7A7" w14:textId="77777777" w:rsidR="006869A1" w:rsidRPr="006869A1" w:rsidRDefault="006869A1" w:rsidP="006869A1">
      <w:pPr>
        <w:spacing w:after="0" w:line="240" w:lineRule="auto"/>
        <w:ind w:right="600" w:firstLine="708"/>
        <w:jc w:val="both"/>
        <w:rPr>
          <w:rFonts w:ascii="Arial" w:hAnsi="Arial" w:cs="Arial"/>
          <w:sz w:val="20"/>
          <w:szCs w:val="20"/>
          <w:lang w:eastAsia="pt-BR"/>
        </w:rPr>
      </w:pPr>
    </w:p>
    <w:p w14:paraId="4424FA35" w14:textId="77777777" w:rsidR="006869A1" w:rsidRPr="006869A1" w:rsidRDefault="006869A1" w:rsidP="006869A1">
      <w:pPr>
        <w:spacing w:after="0" w:line="240" w:lineRule="auto"/>
        <w:ind w:left="708" w:right="600" w:firstLine="708"/>
        <w:jc w:val="both"/>
        <w:rPr>
          <w:rFonts w:ascii="Arial" w:hAnsi="Arial" w:cs="Arial"/>
          <w:sz w:val="20"/>
          <w:szCs w:val="20"/>
          <w:lang w:eastAsia="pt-BR"/>
        </w:rPr>
      </w:pPr>
      <w:r w:rsidRPr="006869A1">
        <w:rPr>
          <w:rFonts w:ascii="Arial" w:hAnsi="Arial" w:cs="Arial"/>
          <w:sz w:val="20"/>
          <w:szCs w:val="20"/>
          <w:lang w:eastAsia="pt-BR"/>
        </w:rPr>
        <w:t>&lt;BalancoFinanceiro&gt;</w:t>
      </w:r>
    </w:p>
    <w:p w14:paraId="599F8C7F" w14:textId="77777777" w:rsidR="006869A1" w:rsidRPr="006869A1" w:rsidRDefault="006869A1" w:rsidP="006869A1">
      <w:pPr>
        <w:spacing w:after="0" w:line="240" w:lineRule="auto"/>
        <w:ind w:left="1416" w:right="600" w:firstLine="708"/>
        <w:jc w:val="both"/>
        <w:rPr>
          <w:rFonts w:ascii="Arial" w:hAnsi="Arial" w:cs="Arial"/>
          <w:sz w:val="20"/>
          <w:szCs w:val="20"/>
          <w:lang w:eastAsia="pt-BR"/>
        </w:rPr>
      </w:pPr>
      <w:r w:rsidRPr="006869A1">
        <w:rPr>
          <w:rFonts w:ascii="Arial" w:hAnsi="Arial" w:cs="Arial"/>
          <w:sz w:val="20"/>
          <w:szCs w:val="20"/>
          <w:lang w:eastAsia="pt-BR"/>
        </w:rPr>
        <w:t>&lt;IdNumRegistro&gt;</w:t>
      </w:r>
      <w:r w:rsidRPr="006869A1">
        <w:rPr>
          <w:rFonts w:ascii="Arial" w:hAnsi="Arial" w:cs="Arial"/>
          <w:b/>
          <w:bCs/>
          <w:sz w:val="20"/>
          <w:szCs w:val="20"/>
          <w:lang w:eastAsia="pt-BR"/>
        </w:rPr>
        <w:t>99999</w:t>
      </w:r>
      <w:r w:rsidRPr="006869A1">
        <w:rPr>
          <w:rFonts w:ascii="Arial" w:hAnsi="Arial" w:cs="Arial"/>
          <w:sz w:val="20"/>
          <w:szCs w:val="20"/>
          <w:lang w:eastAsia="pt-BR"/>
        </w:rPr>
        <w:t>&lt;/IdNumRegistro&gt;</w:t>
      </w:r>
    </w:p>
    <w:p w14:paraId="58DDBFFF" w14:textId="77777777" w:rsidR="006869A1" w:rsidRPr="006869A1" w:rsidRDefault="006869A1" w:rsidP="006869A1">
      <w:pPr>
        <w:spacing w:after="0" w:line="240" w:lineRule="auto"/>
        <w:ind w:left="1416" w:right="600" w:firstLine="708"/>
        <w:jc w:val="both"/>
        <w:rPr>
          <w:rFonts w:ascii="Arial" w:hAnsi="Arial" w:cs="Arial"/>
          <w:sz w:val="20"/>
          <w:szCs w:val="20"/>
          <w:lang w:eastAsia="pt-BR"/>
        </w:rPr>
      </w:pPr>
      <w:r w:rsidRPr="006869A1">
        <w:rPr>
          <w:rFonts w:ascii="Arial" w:hAnsi="Arial" w:cs="Arial"/>
          <w:sz w:val="20"/>
          <w:szCs w:val="20"/>
          <w:lang w:eastAsia="pt-BR"/>
        </w:rPr>
        <w:t>&lt;Codigo&gt;</w:t>
      </w:r>
      <w:r w:rsidRPr="006869A1">
        <w:rPr>
          <w:rFonts w:ascii="Arial" w:hAnsi="Arial" w:cs="Arial"/>
          <w:b/>
          <w:bCs/>
          <w:sz w:val="20"/>
          <w:szCs w:val="20"/>
          <w:lang w:eastAsia="pt-BR"/>
        </w:rPr>
        <w:t>XXXXXXXX</w:t>
      </w:r>
      <w:r w:rsidRPr="006869A1">
        <w:rPr>
          <w:rFonts w:ascii="Arial" w:hAnsi="Arial" w:cs="Arial"/>
          <w:sz w:val="20"/>
          <w:szCs w:val="20"/>
          <w:lang w:eastAsia="pt-BR"/>
        </w:rPr>
        <w:t>&lt;/Codigo&gt;</w:t>
      </w:r>
    </w:p>
    <w:p w14:paraId="4E1B8E00" w14:textId="77777777" w:rsidR="006869A1" w:rsidRPr="006869A1" w:rsidRDefault="006869A1" w:rsidP="006869A1">
      <w:pPr>
        <w:spacing w:after="0" w:line="240" w:lineRule="auto"/>
        <w:ind w:left="1416" w:right="600" w:firstLine="708"/>
        <w:jc w:val="both"/>
        <w:rPr>
          <w:rFonts w:ascii="Arial" w:hAnsi="Arial" w:cs="Arial"/>
          <w:sz w:val="20"/>
          <w:szCs w:val="20"/>
          <w:lang w:eastAsia="pt-BR"/>
        </w:rPr>
      </w:pPr>
      <w:r w:rsidRPr="006869A1">
        <w:rPr>
          <w:rFonts w:ascii="Arial" w:hAnsi="Arial" w:cs="Arial"/>
          <w:sz w:val="20"/>
          <w:szCs w:val="20"/>
          <w:lang w:eastAsia="pt-BR"/>
        </w:rPr>
        <w:t>&lt;Valor&gt;</w:t>
      </w:r>
      <w:r w:rsidRPr="006869A1">
        <w:rPr>
          <w:rFonts w:ascii="Arial" w:hAnsi="Arial" w:cs="Arial"/>
          <w:b/>
          <w:bCs/>
          <w:sz w:val="20"/>
          <w:szCs w:val="20"/>
          <w:lang w:eastAsia="pt-BR"/>
        </w:rPr>
        <w:t>99999999999999.99</w:t>
      </w:r>
      <w:r w:rsidRPr="006869A1">
        <w:rPr>
          <w:rFonts w:ascii="Arial" w:hAnsi="Arial" w:cs="Arial"/>
          <w:sz w:val="20"/>
          <w:szCs w:val="20"/>
          <w:lang w:eastAsia="pt-BR"/>
        </w:rPr>
        <w:t xml:space="preserve">&lt;/Valor&gt; </w:t>
      </w:r>
    </w:p>
    <w:p w14:paraId="12237337" w14:textId="77777777" w:rsidR="006869A1" w:rsidRPr="006869A1" w:rsidRDefault="006869A1" w:rsidP="006869A1">
      <w:pPr>
        <w:spacing w:after="0" w:line="240" w:lineRule="auto"/>
        <w:ind w:right="600"/>
        <w:jc w:val="both"/>
        <w:rPr>
          <w:rFonts w:ascii="Arial" w:hAnsi="Arial" w:cs="Arial"/>
          <w:sz w:val="20"/>
          <w:szCs w:val="20"/>
          <w:lang w:eastAsia="pt-BR"/>
        </w:rPr>
      </w:pPr>
      <w:r w:rsidRPr="006869A1">
        <w:rPr>
          <w:rFonts w:ascii="Arial" w:hAnsi="Arial" w:cs="Arial"/>
          <w:sz w:val="20"/>
          <w:szCs w:val="20"/>
          <w:lang w:eastAsia="pt-BR"/>
        </w:rPr>
        <w:tab/>
      </w:r>
      <w:r w:rsidRPr="006869A1">
        <w:rPr>
          <w:rFonts w:ascii="Arial" w:hAnsi="Arial" w:cs="Arial"/>
          <w:sz w:val="20"/>
          <w:szCs w:val="20"/>
          <w:lang w:eastAsia="pt-BR"/>
        </w:rPr>
        <w:tab/>
        <w:t>&lt;/BalancoFinanceiro&gt;</w:t>
      </w:r>
    </w:p>
    <w:p w14:paraId="793C4AA9" w14:textId="77777777" w:rsidR="006869A1" w:rsidRPr="006869A1" w:rsidRDefault="006869A1" w:rsidP="006869A1">
      <w:pPr>
        <w:spacing w:after="0" w:line="240" w:lineRule="auto"/>
        <w:ind w:left="708" w:right="600" w:firstLine="708"/>
        <w:jc w:val="both"/>
        <w:rPr>
          <w:rFonts w:ascii="Arial" w:hAnsi="Arial" w:cs="Arial"/>
          <w:sz w:val="20"/>
          <w:szCs w:val="20"/>
          <w:lang w:eastAsia="pt-BR"/>
        </w:rPr>
      </w:pPr>
    </w:p>
    <w:p w14:paraId="190927D0" w14:textId="77777777" w:rsidR="006869A1" w:rsidRPr="006869A1" w:rsidRDefault="006869A1" w:rsidP="006869A1">
      <w:pPr>
        <w:spacing w:after="0" w:line="240" w:lineRule="auto"/>
        <w:ind w:right="600" w:firstLine="708"/>
        <w:jc w:val="both"/>
        <w:rPr>
          <w:rFonts w:ascii="Arial" w:hAnsi="Arial" w:cs="Arial"/>
          <w:sz w:val="20"/>
          <w:szCs w:val="20"/>
          <w:lang w:eastAsia="pt-BR"/>
        </w:rPr>
      </w:pPr>
      <w:r w:rsidRPr="006869A1">
        <w:rPr>
          <w:rFonts w:ascii="Arial" w:hAnsi="Arial" w:cs="Arial"/>
          <w:sz w:val="20"/>
          <w:szCs w:val="20"/>
          <w:lang w:eastAsia="pt-BR"/>
        </w:rPr>
        <w:t>&lt;/BalancoFinanceiro_Schema&gt;</w:t>
      </w:r>
    </w:p>
    <w:p w14:paraId="0F491821" w14:textId="77777777" w:rsidR="006869A1" w:rsidRPr="006869A1" w:rsidRDefault="006869A1" w:rsidP="006869A1">
      <w:pPr>
        <w:spacing w:after="0" w:line="240" w:lineRule="auto"/>
        <w:ind w:right="600"/>
        <w:jc w:val="both"/>
        <w:rPr>
          <w:rFonts w:ascii="Arial" w:hAnsi="Arial" w:cs="Arial"/>
          <w:sz w:val="20"/>
          <w:szCs w:val="20"/>
          <w:lang w:eastAsia="pt-BR"/>
        </w:rPr>
      </w:pPr>
      <w:r w:rsidRPr="006869A1">
        <w:rPr>
          <w:rFonts w:ascii="Arial" w:hAnsi="Arial" w:cs="Arial"/>
          <w:sz w:val="20"/>
          <w:szCs w:val="20"/>
          <w:lang w:eastAsia="pt-BR"/>
        </w:rPr>
        <w:t>&lt;/PrestacaoContasAnual&gt;</w:t>
      </w:r>
    </w:p>
    <w:p w14:paraId="022F5AFF" w14:textId="77777777" w:rsidR="006869A1" w:rsidRPr="006869A1" w:rsidRDefault="006869A1" w:rsidP="006869A1">
      <w:pPr>
        <w:spacing w:after="0" w:line="360" w:lineRule="auto"/>
        <w:jc w:val="both"/>
        <w:rPr>
          <w:rFonts w:ascii="Arial" w:hAnsi="Arial"/>
          <w:kern w:val="28"/>
        </w:rPr>
      </w:pPr>
    </w:p>
    <w:tbl>
      <w:tblPr>
        <w:tblW w:w="904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390"/>
        <w:gridCol w:w="1133"/>
        <w:gridCol w:w="1507"/>
        <w:gridCol w:w="3016"/>
      </w:tblGrid>
      <w:tr w:rsidR="006869A1" w:rsidRPr="006869A1" w14:paraId="4143A696" w14:textId="77777777" w:rsidTr="00EE0371">
        <w:trPr>
          <w:tblHeader/>
          <w:jc w:val="center"/>
        </w:trPr>
        <w:tc>
          <w:tcPr>
            <w:tcW w:w="3390" w:type="dxa"/>
            <w:tcBorders>
              <w:bottom w:val="single" w:sz="6" w:space="0" w:color="auto"/>
            </w:tcBorders>
            <w:shd w:val="solid" w:color="C0C0C0" w:fill="auto"/>
            <w:vAlign w:val="center"/>
          </w:tcPr>
          <w:p w14:paraId="6DC2942B" w14:textId="77777777" w:rsidR="006869A1" w:rsidRPr="006869A1" w:rsidRDefault="006869A1" w:rsidP="006869A1">
            <w:pPr>
              <w:spacing w:before="120" w:after="120" w:line="240" w:lineRule="auto"/>
              <w:jc w:val="center"/>
              <w:rPr>
                <w:rFonts w:ascii="Arial" w:hAnsi="Arial" w:cs="Arial"/>
                <w:b/>
                <w:sz w:val="20"/>
                <w:szCs w:val="20"/>
              </w:rPr>
            </w:pPr>
            <w:r w:rsidRPr="006869A1">
              <w:rPr>
                <w:rFonts w:ascii="Arial" w:hAnsi="Arial"/>
                <w:b/>
                <w:bCs/>
              </w:rPr>
              <w:br w:type="page"/>
            </w:r>
            <w:r w:rsidRPr="006869A1">
              <w:rPr>
                <w:rFonts w:ascii="Arial" w:hAnsi="Arial" w:cs="Arial"/>
                <w:b/>
                <w:sz w:val="20"/>
                <w:szCs w:val="20"/>
              </w:rPr>
              <w:t>Campo</w:t>
            </w:r>
          </w:p>
        </w:tc>
        <w:tc>
          <w:tcPr>
            <w:tcW w:w="1133" w:type="dxa"/>
            <w:tcBorders>
              <w:bottom w:val="single" w:sz="6" w:space="0" w:color="auto"/>
            </w:tcBorders>
            <w:shd w:val="solid" w:color="C0C0C0" w:fill="auto"/>
            <w:vAlign w:val="center"/>
          </w:tcPr>
          <w:p w14:paraId="5CBB23EB" w14:textId="77777777" w:rsidR="006869A1" w:rsidRPr="006869A1" w:rsidRDefault="006869A1" w:rsidP="006869A1">
            <w:pPr>
              <w:spacing w:before="120" w:after="120" w:line="240" w:lineRule="auto"/>
              <w:jc w:val="center"/>
              <w:rPr>
                <w:rFonts w:ascii="Arial" w:hAnsi="Arial" w:cs="Arial"/>
                <w:b/>
                <w:sz w:val="20"/>
                <w:szCs w:val="20"/>
              </w:rPr>
            </w:pPr>
            <w:r w:rsidRPr="006869A1">
              <w:rPr>
                <w:rFonts w:ascii="Arial" w:hAnsi="Arial" w:cs="Arial"/>
                <w:b/>
                <w:sz w:val="20"/>
                <w:szCs w:val="20"/>
              </w:rPr>
              <w:t>Tipo</w:t>
            </w:r>
          </w:p>
        </w:tc>
        <w:tc>
          <w:tcPr>
            <w:tcW w:w="1507" w:type="dxa"/>
            <w:tcBorders>
              <w:bottom w:val="single" w:sz="6" w:space="0" w:color="auto"/>
            </w:tcBorders>
            <w:shd w:val="solid" w:color="C0C0C0" w:fill="auto"/>
            <w:vAlign w:val="center"/>
          </w:tcPr>
          <w:p w14:paraId="125DC750" w14:textId="77777777" w:rsidR="006869A1" w:rsidRPr="006869A1" w:rsidRDefault="006869A1" w:rsidP="006869A1">
            <w:pPr>
              <w:spacing w:before="120" w:after="120" w:line="240" w:lineRule="auto"/>
              <w:jc w:val="center"/>
              <w:rPr>
                <w:rFonts w:ascii="Arial" w:hAnsi="Arial" w:cs="Arial"/>
                <w:b/>
                <w:sz w:val="20"/>
                <w:szCs w:val="20"/>
              </w:rPr>
            </w:pPr>
            <w:r w:rsidRPr="006869A1">
              <w:rPr>
                <w:rFonts w:ascii="Arial" w:hAnsi="Arial" w:cs="Arial"/>
                <w:b/>
                <w:sz w:val="20"/>
                <w:szCs w:val="20"/>
              </w:rPr>
              <w:t>Tamanho</w:t>
            </w:r>
          </w:p>
        </w:tc>
        <w:tc>
          <w:tcPr>
            <w:tcW w:w="3016" w:type="dxa"/>
            <w:tcBorders>
              <w:bottom w:val="single" w:sz="6" w:space="0" w:color="auto"/>
            </w:tcBorders>
            <w:shd w:val="solid" w:color="C0C0C0" w:fill="auto"/>
            <w:vAlign w:val="center"/>
          </w:tcPr>
          <w:p w14:paraId="32B412D8" w14:textId="77777777" w:rsidR="006869A1" w:rsidRPr="006869A1" w:rsidRDefault="006869A1" w:rsidP="006869A1">
            <w:pPr>
              <w:spacing w:before="120" w:after="120" w:line="240" w:lineRule="auto"/>
              <w:jc w:val="center"/>
              <w:rPr>
                <w:rFonts w:ascii="Arial" w:hAnsi="Arial" w:cs="Arial"/>
                <w:b/>
                <w:sz w:val="20"/>
                <w:szCs w:val="20"/>
              </w:rPr>
            </w:pPr>
            <w:r w:rsidRPr="006869A1">
              <w:rPr>
                <w:rFonts w:ascii="Arial" w:hAnsi="Arial" w:cs="Arial"/>
                <w:b/>
                <w:sz w:val="20"/>
                <w:szCs w:val="20"/>
              </w:rPr>
              <w:t>Obrigatoriedade</w:t>
            </w:r>
          </w:p>
        </w:tc>
      </w:tr>
      <w:tr w:rsidR="006869A1" w:rsidRPr="006869A1" w14:paraId="3CA8645B" w14:textId="77777777" w:rsidTr="00EE0371">
        <w:trPr>
          <w:jc w:val="center"/>
        </w:trPr>
        <w:tc>
          <w:tcPr>
            <w:tcW w:w="9046" w:type="dxa"/>
            <w:gridSpan w:val="4"/>
            <w:shd w:val="solid" w:color="BFBFBF" w:themeColor="background1" w:themeShade="BF" w:fill="auto"/>
            <w:vAlign w:val="center"/>
          </w:tcPr>
          <w:p w14:paraId="5B5A9238" w14:textId="77777777" w:rsidR="006869A1" w:rsidRPr="006869A1" w:rsidRDefault="006869A1" w:rsidP="006869A1">
            <w:pPr>
              <w:spacing w:before="120" w:after="120" w:line="240" w:lineRule="auto"/>
              <w:jc w:val="center"/>
              <w:rPr>
                <w:rFonts w:ascii="Arial" w:hAnsi="Arial" w:cs="Arial"/>
                <w:color w:val="FF0000"/>
                <w:sz w:val="20"/>
                <w:szCs w:val="20"/>
              </w:rPr>
            </w:pPr>
            <w:r w:rsidRPr="006869A1">
              <w:rPr>
                <w:rFonts w:ascii="Arial" w:hAnsi="Arial" w:cs="Arial"/>
                <w:b/>
                <w:sz w:val="20"/>
                <w:szCs w:val="20"/>
              </w:rPr>
              <w:t>Estrutura ‘BalancoFinanceiro’</w:t>
            </w:r>
          </w:p>
        </w:tc>
      </w:tr>
      <w:tr w:rsidR="006869A1" w:rsidRPr="006869A1" w14:paraId="6F4D9156" w14:textId="77777777" w:rsidTr="00EE0371">
        <w:trPr>
          <w:jc w:val="center"/>
        </w:trPr>
        <w:tc>
          <w:tcPr>
            <w:tcW w:w="3390" w:type="dxa"/>
            <w:vAlign w:val="center"/>
          </w:tcPr>
          <w:p w14:paraId="231ED41F" w14:textId="77777777" w:rsidR="006869A1" w:rsidRPr="006869A1" w:rsidRDefault="006869A1" w:rsidP="006869A1">
            <w:pPr>
              <w:spacing w:before="120" w:after="120" w:line="240" w:lineRule="auto"/>
              <w:jc w:val="center"/>
              <w:rPr>
                <w:rFonts w:ascii="Arial" w:hAnsi="Arial" w:cs="Arial"/>
                <w:sz w:val="20"/>
                <w:szCs w:val="20"/>
              </w:rPr>
            </w:pPr>
            <w:r w:rsidRPr="006869A1">
              <w:rPr>
                <w:rFonts w:ascii="Arial" w:hAnsi="Arial" w:cs="Arial"/>
                <w:sz w:val="20"/>
                <w:szCs w:val="20"/>
              </w:rPr>
              <w:t>IdNumRegistro</w:t>
            </w:r>
          </w:p>
        </w:tc>
        <w:tc>
          <w:tcPr>
            <w:tcW w:w="1133" w:type="dxa"/>
            <w:vAlign w:val="center"/>
          </w:tcPr>
          <w:p w14:paraId="70BC73AA" w14:textId="77777777" w:rsidR="006869A1" w:rsidRPr="006869A1" w:rsidRDefault="006869A1" w:rsidP="006869A1">
            <w:pPr>
              <w:spacing w:before="120" w:after="120" w:line="240" w:lineRule="auto"/>
              <w:jc w:val="center"/>
              <w:rPr>
                <w:rFonts w:ascii="Arial" w:hAnsi="Arial" w:cs="Arial"/>
                <w:sz w:val="20"/>
                <w:szCs w:val="20"/>
              </w:rPr>
            </w:pPr>
            <w:r w:rsidRPr="006869A1">
              <w:rPr>
                <w:rFonts w:ascii="Arial" w:hAnsi="Arial" w:cs="Arial"/>
                <w:sz w:val="20"/>
                <w:szCs w:val="20"/>
              </w:rPr>
              <w:t>Inteiro</w:t>
            </w:r>
          </w:p>
        </w:tc>
        <w:tc>
          <w:tcPr>
            <w:tcW w:w="1507" w:type="dxa"/>
            <w:vAlign w:val="center"/>
          </w:tcPr>
          <w:p w14:paraId="08AE28C3" w14:textId="77777777" w:rsidR="006869A1" w:rsidRPr="006869A1" w:rsidRDefault="006869A1" w:rsidP="006869A1">
            <w:pPr>
              <w:spacing w:before="120" w:after="120" w:line="240" w:lineRule="auto"/>
              <w:jc w:val="center"/>
              <w:rPr>
                <w:rFonts w:ascii="Arial" w:hAnsi="Arial" w:cs="Arial"/>
                <w:sz w:val="20"/>
                <w:szCs w:val="20"/>
              </w:rPr>
            </w:pPr>
            <w:r w:rsidRPr="006869A1">
              <w:rPr>
                <w:rFonts w:ascii="Arial" w:hAnsi="Arial" w:cs="Arial"/>
                <w:sz w:val="20"/>
                <w:szCs w:val="20"/>
              </w:rPr>
              <w:t>05</w:t>
            </w:r>
          </w:p>
        </w:tc>
        <w:tc>
          <w:tcPr>
            <w:tcW w:w="3016" w:type="dxa"/>
            <w:vAlign w:val="center"/>
          </w:tcPr>
          <w:p w14:paraId="1C5E78D0" w14:textId="77777777" w:rsidR="006869A1" w:rsidRPr="006869A1" w:rsidRDefault="006869A1" w:rsidP="006869A1">
            <w:pPr>
              <w:spacing w:before="120" w:after="120" w:line="240" w:lineRule="auto"/>
              <w:jc w:val="center"/>
              <w:rPr>
                <w:rFonts w:ascii="Arial" w:hAnsi="Arial" w:cs="Arial"/>
                <w:color w:val="FF0000"/>
                <w:sz w:val="20"/>
                <w:szCs w:val="20"/>
              </w:rPr>
            </w:pPr>
            <w:r w:rsidRPr="006869A1">
              <w:rPr>
                <w:rFonts w:ascii="Arial" w:hAnsi="Arial" w:cs="Arial"/>
                <w:sz w:val="20"/>
                <w:szCs w:val="20"/>
              </w:rPr>
              <w:t>Obrigatório</w:t>
            </w:r>
          </w:p>
        </w:tc>
      </w:tr>
      <w:tr w:rsidR="006869A1" w:rsidRPr="006869A1" w14:paraId="05CC8DA1" w14:textId="77777777" w:rsidTr="00EE0371">
        <w:trPr>
          <w:jc w:val="center"/>
        </w:trPr>
        <w:tc>
          <w:tcPr>
            <w:tcW w:w="3390" w:type="dxa"/>
            <w:vAlign w:val="center"/>
          </w:tcPr>
          <w:p w14:paraId="0DCD7EEA" w14:textId="77777777" w:rsidR="006869A1" w:rsidRPr="006869A1" w:rsidRDefault="006869A1" w:rsidP="006869A1">
            <w:pPr>
              <w:spacing w:before="120" w:after="120" w:line="240" w:lineRule="auto"/>
              <w:jc w:val="center"/>
              <w:rPr>
                <w:rFonts w:ascii="Arial" w:hAnsi="Arial" w:cs="Arial"/>
                <w:sz w:val="20"/>
                <w:szCs w:val="20"/>
              </w:rPr>
            </w:pPr>
            <w:r w:rsidRPr="006869A1">
              <w:rPr>
                <w:rFonts w:ascii="Arial" w:hAnsi="Arial" w:cs="Arial"/>
                <w:sz w:val="20"/>
                <w:szCs w:val="20"/>
                <w:lang w:eastAsia="pt-BR"/>
              </w:rPr>
              <w:t>Codigo</w:t>
            </w:r>
          </w:p>
        </w:tc>
        <w:tc>
          <w:tcPr>
            <w:tcW w:w="1133" w:type="dxa"/>
            <w:vAlign w:val="center"/>
          </w:tcPr>
          <w:p w14:paraId="1F8A956D" w14:textId="77777777" w:rsidR="006869A1" w:rsidRPr="006869A1" w:rsidRDefault="006869A1" w:rsidP="006869A1">
            <w:pPr>
              <w:spacing w:before="120" w:after="120" w:line="240" w:lineRule="auto"/>
              <w:jc w:val="center"/>
              <w:rPr>
                <w:rFonts w:ascii="Arial" w:hAnsi="Arial" w:cs="Arial"/>
                <w:sz w:val="20"/>
                <w:szCs w:val="20"/>
              </w:rPr>
            </w:pPr>
            <w:r w:rsidRPr="006869A1">
              <w:rPr>
                <w:rFonts w:ascii="Arial" w:hAnsi="Arial" w:cs="Arial"/>
                <w:sz w:val="20"/>
                <w:szCs w:val="20"/>
              </w:rPr>
              <w:t>Caracter</w:t>
            </w:r>
          </w:p>
        </w:tc>
        <w:tc>
          <w:tcPr>
            <w:tcW w:w="1507" w:type="dxa"/>
            <w:vAlign w:val="center"/>
          </w:tcPr>
          <w:p w14:paraId="229335D7" w14:textId="77777777" w:rsidR="006869A1" w:rsidRPr="006869A1" w:rsidRDefault="006869A1" w:rsidP="006869A1">
            <w:pPr>
              <w:spacing w:before="120" w:after="120" w:line="240" w:lineRule="auto"/>
              <w:jc w:val="center"/>
              <w:rPr>
                <w:rFonts w:ascii="Arial" w:hAnsi="Arial" w:cs="Arial"/>
                <w:sz w:val="20"/>
                <w:szCs w:val="20"/>
              </w:rPr>
            </w:pPr>
            <w:r w:rsidRPr="006869A1">
              <w:rPr>
                <w:rFonts w:ascii="Arial" w:hAnsi="Arial" w:cs="Arial"/>
                <w:sz w:val="20"/>
                <w:szCs w:val="20"/>
              </w:rPr>
              <w:t>08</w:t>
            </w:r>
          </w:p>
        </w:tc>
        <w:tc>
          <w:tcPr>
            <w:tcW w:w="3016" w:type="dxa"/>
            <w:vAlign w:val="center"/>
          </w:tcPr>
          <w:p w14:paraId="04853846" w14:textId="77777777" w:rsidR="006869A1" w:rsidRPr="006869A1" w:rsidRDefault="006869A1" w:rsidP="006869A1">
            <w:pPr>
              <w:spacing w:before="120" w:after="120" w:line="240" w:lineRule="auto"/>
              <w:jc w:val="center"/>
              <w:rPr>
                <w:rFonts w:ascii="Arial" w:hAnsi="Arial" w:cs="Arial"/>
                <w:sz w:val="20"/>
                <w:szCs w:val="20"/>
              </w:rPr>
            </w:pPr>
            <w:r w:rsidRPr="006869A1">
              <w:rPr>
                <w:rFonts w:ascii="Arial" w:hAnsi="Arial" w:cs="Arial"/>
                <w:sz w:val="20"/>
                <w:szCs w:val="20"/>
              </w:rPr>
              <w:t>Obrigatório, conforme Tabela 4 deste Anexo</w:t>
            </w:r>
          </w:p>
        </w:tc>
      </w:tr>
      <w:tr w:rsidR="006869A1" w:rsidRPr="006869A1" w14:paraId="371B8AE4" w14:textId="77777777" w:rsidTr="00EE0371">
        <w:trPr>
          <w:jc w:val="center"/>
        </w:trPr>
        <w:tc>
          <w:tcPr>
            <w:tcW w:w="3390" w:type="dxa"/>
            <w:vAlign w:val="center"/>
          </w:tcPr>
          <w:p w14:paraId="136215CF" w14:textId="77777777" w:rsidR="006869A1" w:rsidRPr="006869A1" w:rsidRDefault="006869A1" w:rsidP="006869A1">
            <w:pPr>
              <w:spacing w:before="120" w:after="120" w:line="240" w:lineRule="auto"/>
              <w:jc w:val="center"/>
              <w:rPr>
                <w:rFonts w:ascii="Arial" w:hAnsi="Arial" w:cs="Arial"/>
                <w:sz w:val="20"/>
                <w:szCs w:val="20"/>
              </w:rPr>
            </w:pPr>
            <w:r w:rsidRPr="006869A1">
              <w:rPr>
                <w:rFonts w:ascii="Arial" w:hAnsi="Arial" w:cs="Arial"/>
                <w:sz w:val="20"/>
                <w:szCs w:val="20"/>
              </w:rPr>
              <w:t>Valor</w:t>
            </w:r>
          </w:p>
        </w:tc>
        <w:tc>
          <w:tcPr>
            <w:tcW w:w="1133" w:type="dxa"/>
            <w:vAlign w:val="center"/>
          </w:tcPr>
          <w:p w14:paraId="34EB6225" w14:textId="77777777" w:rsidR="006869A1" w:rsidRPr="006869A1" w:rsidRDefault="006869A1" w:rsidP="006869A1">
            <w:pPr>
              <w:spacing w:before="120" w:after="120" w:line="240" w:lineRule="auto"/>
              <w:jc w:val="center"/>
              <w:rPr>
                <w:rFonts w:ascii="Arial" w:hAnsi="Arial" w:cs="Arial"/>
                <w:sz w:val="20"/>
                <w:szCs w:val="20"/>
              </w:rPr>
            </w:pPr>
            <w:r w:rsidRPr="006869A1">
              <w:rPr>
                <w:rFonts w:ascii="Arial" w:hAnsi="Arial" w:cs="Arial"/>
                <w:sz w:val="20"/>
                <w:szCs w:val="20"/>
              </w:rPr>
              <w:t>Decimal</w:t>
            </w:r>
          </w:p>
        </w:tc>
        <w:tc>
          <w:tcPr>
            <w:tcW w:w="1507" w:type="dxa"/>
            <w:vAlign w:val="center"/>
          </w:tcPr>
          <w:p w14:paraId="4520E4E8" w14:textId="77777777" w:rsidR="006869A1" w:rsidRPr="006869A1" w:rsidRDefault="006869A1" w:rsidP="006869A1">
            <w:pPr>
              <w:spacing w:before="120" w:after="120" w:line="240" w:lineRule="auto"/>
              <w:jc w:val="center"/>
              <w:rPr>
                <w:rFonts w:ascii="Arial" w:hAnsi="Arial" w:cs="Arial"/>
                <w:sz w:val="20"/>
                <w:szCs w:val="20"/>
              </w:rPr>
            </w:pPr>
            <w:r w:rsidRPr="006869A1">
              <w:rPr>
                <w:rFonts w:ascii="Arial" w:hAnsi="Arial" w:cs="Arial"/>
                <w:sz w:val="20"/>
                <w:szCs w:val="20"/>
              </w:rPr>
              <w:t>(14,2)</w:t>
            </w:r>
          </w:p>
        </w:tc>
        <w:tc>
          <w:tcPr>
            <w:tcW w:w="3016" w:type="dxa"/>
            <w:vAlign w:val="center"/>
          </w:tcPr>
          <w:p w14:paraId="19FA6C5A" w14:textId="77777777" w:rsidR="006869A1" w:rsidRPr="006869A1" w:rsidRDefault="006869A1" w:rsidP="006869A1">
            <w:pPr>
              <w:spacing w:before="120" w:after="120" w:line="240" w:lineRule="auto"/>
              <w:jc w:val="center"/>
              <w:rPr>
                <w:rFonts w:ascii="Arial" w:hAnsi="Arial" w:cs="Arial"/>
                <w:sz w:val="20"/>
                <w:szCs w:val="20"/>
              </w:rPr>
            </w:pPr>
            <w:r w:rsidRPr="006869A1">
              <w:rPr>
                <w:rFonts w:ascii="Arial" w:hAnsi="Arial" w:cs="Arial"/>
                <w:sz w:val="20"/>
                <w:szCs w:val="20"/>
              </w:rPr>
              <w:t>Obrigatório</w:t>
            </w:r>
          </w:p>
        </w:tc>
      </w:tr>
    </w:tbl>
    <w:p w14:paraId="1090B046" w14:textId="77777777" w:rsidR="00EE0371" w:rsidRDefault="00EE0371" w:rsidP="004B32B4">
      <w:pPr>
        <w:spacing w:after="0" w:line="240" w:lineRule="auto"/>
        <w:jc w:val="both"/>
        <w:rPr>
          <w:rFonts w:ascii="Arial" w:eastAsia="Calibri" w:hAnsi="Arial" w:cs="Arial"/>
          <w:sz w:val="20"/>
          <w:szCs w:val="20"/>
        </w:rPr>
        <w:sectPr w:rsidR="00EE0371" w:rsidSect="00E7482B">
          <w:pgSz w:w="11906" w:h="16838"/>
          <w:pgMar w:top="1418" w:right="1134" w:bottom="1418" w:left="1701" w:header="709" w:footer="709" w:gutter="0"/>
          <w:cols w:space="708"/>
          <w:docGrid w:linePitch="360"/>
        </w:sectPr>
      </w:pPr>
    </w:p>
    <w:p w14:paraId="19C72840" w14:textId="77777777" w:rsidR="009F38DB" w:rsidRPr="009F38DB" w:rsidRDefault="009F38DB" w:rsidP="009F38DB">
      <w:pPr>
        <w:spacing w:after="0" w:line="240" w:lineRule="auto"/>
        <w:jc w:val="center"/>
        <w:rPr>
          <w:rFonts w:ascii="Arial" w:eastAsia="Times New Roman" w:hAnsi="Arial" w:cs="Arial"/>
          <w:b/>
          <w:bCs/>
          <w:sz w:val="18"/>
          <w:szCs w:val="18"/>
          <w:lang w:eastAsia="pt-BR"/>
        </w:rPr>
      </w:pPr>
      <w:r w:rsidRPr="009F38DB">
        <w:rPr>
          <w:rFonts w:ascii="Arial" w:eastAsia="Times New Roman" w:hAnsi="Arial" w:cs="Arial"/>
          <w:b/>
          <w:bCs/>
          <w:sz w:val="18"/>
          <w:szCs w:val="18"/>
          <w:lang w:eastAsia="pt-BR"/>
        </w:rPr>
        <w:lastRenderedPageBreak/>
        <w:t xml:space="preserve">TABELA 4 - BALANÇO FINANCEIRO (Anexo 13 - Lei </w:t>
      </w:r>
      <w:r w:rsidR="00BC5588">
        <w:rPr>
          <w:rFonts w:ascii="Arial" w:eastAsia="Times New Roman" w:hAnsi="Arial" w:cs="Arial"/>
          <w:b/>
          <w:bCs/>
          <w:sz w:val="18"/>
          <w:szCs w:val="18"/>
          <w:lang w:eastAsia="pt-BR"/>
        </w:rPr>
        <w:t>n</w:t>
      </w:r>
      <w:r w:rsidRPr="009F38DB">
        <w:rPr>
          <w:rFonts w:ascii="Arial" w:eastAsia="Times New Roman" w:hAnsi="Arial" w:cs="Arial"/>
          <w:b/>
          <w:bCs/>
          <w:sz w:val="18"/>
          <w:szCs w:val="18"/>
          <w:lang w:eastAsia="pt-BR"/>
        </w:rPr>
        <w:t>º 4.320/64)</w:t>
      </w:r>
    </w:p>
    <w:p w14:paraId="085FE948" w14:textId="77777777" w:rsidR="009F38DB" w:rsidRPr="009F38DB" w:rsidRDefault="009F38DB" w:rsidP="009F38DB">
      <w:pPr>
        <w:spacing w:after="0" w:line="240" w:lineRule="auto"/>
        <w:jc w:val="center"/>
        <w:rPr>
          <w:rFonts w:ascii="Arial" w:eastAsia="Times New Roman" w:hAnsi="Arial" w:cs="Arial"/>
          <w:b/>
          <w:bCs/>
          <w:sz w:val="18"/>
          <w:szCs w:val="18"/>
          <w:lang w:eastAsia="pt-BR"/>
        </w:rPr>
      </w:pPr>
      <w:r w:rsidRPr="009F38DB">
        <w:rPr>
          <w:rFonts w:ascii="Arial" w:eastAsia="Times New Roman" w:hAnsi="Arial" w:cs="Arial"/>
          <w:b/>
          <w:bCs/>
          <w:sz w:val="18"/>
          <w:szCs w:val="18"/>
          <w:lang w:eastAsia="pt-BR"/>
        </w:rPr>
        <w:t>MUNICÍPIOS E CONSÓRCIOS</w:t>
      </w:r>
    </w:p>
    <w:p w14:paraId="62853450" w14:textId="4D5030BA" w:rsidR="009F38DB" w:rsidRDefault="009F38DB" w:rsidP="009F38DB">
      <w:pPr>
        <w:spacing w:after="0" w:line="240" w:lineRule="auto"/>
        <w:jc w:val="both"/>
        <w:rPr>
          <w:rFonts w:ascii="Arial" w:eastAsia="Calibri" w:hAnsi="Arial" w:cs="Arial"/>
          <w:sz w:val="24"/>
          <w:szCs w:val="24"/>
        </w:rPr>
      </w:pPr>
    </w:p>
    <w:tbl>
      <w:tblPr>
        <w:tblW w:w="14034" w:type="dxa"/>
        <w:tblInd w:w="-152" w:type="dxa"/>
        <w:tblCellMar>
          <w:left w:w="70" w:type="dxa"/>
          <w:right w:w="70" w:type="dxa"/>
        </w:tblCellMar>
        <w:tblLook w:val="04A0" w:firstRow="1" w:lastRow="0" w:firstColumn="1" w:lastColumn="0" w:noHBand="0" w:noVBand="1"/>
      </w:tblPr>
      <w:tblGrid>
        <w:gridCol w:w="4820"/>
        <w:gridCol w:w="1134"/>
        <w:gridCol w:w="1276"/>
        <w:gridCol w:w="4243"/>
        <w:gridCol w:w="1285"/>
        <w:gridCol w:w="1276"/>
      </w:tblGrid>
      <w:tr w:rsidR="003404A2" w:rsidRPr="00B16A18" w14:paraId="55993B74" w14:textId="77777777" w:rsidTr="0015273C">
        <w:trPr>
          <w:trHeight w:val="270"/>
        </w:trPr>
        <w:tc>
          <w:tcPr>
            <w:tcW w:w="7230" w:type="dxa"/>
            <w:gridSpan w:val="3"/>
            <w:tcBorders>
              <w:top w:val="single" w:sz="8" w:space="0" w:color="auto"/>
              <w:left w:val="single" w:sz="8" w:space="0" w:color="auto"/>
              <w:bottom w:val="single" w:sz="8" w:space="0" w:color="000000"/>
              <w:right w:val="single" w:sz="8" w:space="0" w:color="auto"/>
            </w:tcBorders>
            <w:shd w:val="clear" w:color="auto" w:fill="F2F2F2"/>
            <w:noWrap/>
            <w:vAlign w:val="center"/>
          </w:tcPr>
          <w:p w14:paraId="757D86F9" w14:textId="77777777" w:rsidR="003404A2" w:rsidRPr="00B16A18" w:rsidRDefault="003404A2" w:rsidP="0015273C">
            <w:pPr>
              <w:spacing w:after="0" w:line="240" w:lineRule="auto"/>
              <w:jc w:val="center"/>
              <w:rPr>
                <w:rFonts w:ascii="Arial Narrow" w:eastAsia="Times New Roman" w:hAnsi="Arial Narrow" w:cs="Arial"/>
                <w:b/>
                <w:bCs/>
                <w:sz w:val="16"/>
                <w:szCs w:val="16"/>
                <w:lang w:eastAsia="pt-BR"/>
              </w:rPr>
            </w:pPr>
            <w:r w:rsidRPr="00B16A18">
              <w:rPr>
                <w:rFonts w:ascii="Arial Narrow" w:eastAsia="Times New Roman" w:hAnsi="Arial Narrow" w:cs="Arial"/>
                <w:b/>
                <w:bCs/>
                <w:sz w:val="16"/>
                <w:szCs w:val="16"/>
                <w:lang w:eastAsia="pt-BR"/>
              </w:rPr>
              <w:t>INGRESSOS</w:t>
            </w:r>
          </w:p>
        </w:tc>
        <w:tc>
          <w:tcPr>
            <w:tcW w:w="6804" w:type="dxa"/>
            <w:gridSpan w:val="3"/>
            <w:tcBorders>
              <w:top w:val="single" w:sz="8" w:space="0" w:color="auto"/>
              <w:left w:val="single" w:sz="8" w:space="0" w:color="auto"/>
              <w:bottom w:val="single" w:sz="8" w:space="0" w:color="000000"/>
              <w:right w:val="single" w:sz="8" w:space="0" w:color="auto"/>
            </w:tcBorders>
            <w:shd w:val="clear" w:color="auto" w:fill="F2F2F2"/>
            <w:noWrap/>
            <w:vAlign w:val="center"/>
          </w:tcPr>
          <w:p w14:paraId="6BAFE2B5" w14:textId="77777777" w:rsidR="003404A2" w:rsidRPr="00B16A18" w:rsidRDefault="003404A2" w:rsidP="0015273C">
            <w:pPr>
              <w:spacing w:after="0" w:line="240" w:lineRule="auto"/>
              <w:jc w:val="center"/>
              <w:rPr>
                <w:rFonts w:ascii="Arial Narrow" w:eastAsia="Times New Roman" w:hAnsi="Arial Narrow" w:cs="Arial"/>
                <w:b/>
                <w:bCs/>
                <w:sz w:val="16"/>
                <w:szCs w:val="16"/>
                <w:lang w:eastAsia="pt-BR"/>
              </w:rPr>
            </w:pPr>
            <w:r w:rsidRPr="00B16A18">
              <w:rPr>
                <w:rFonts w:ascii="Arial Narrow" w:eastAsia="Times New Roman" w:hAnsi="Arial Narrow" w:cs="Arial"/>
                <w:b/>
                <w:bCs/>
                <w:sz w:val="16"/>
                <w:szCs w:val="16"/>
                <w:lang w:eastAsia="pt-BR"/>
              </w:rPr>
              <w:t>DISPÊNDIOS</w:t>
            </w:r>
          </w:p>
        </w:tc>
      </w:tr>
      <w:tr w:rsidR="003404A2" w:rsidRPr="00B16A18" w14:paraId="45747ADC" w14:textId="77777777" w:rsidTr="0015273C">
        <w:trPr>
          <w:trHeight w:val="270"/>
        </w:trPr>
        <w:tc>
          <w:tcPr>
            <w:tcW w:w="4820" w:type="dxa"/>
            <w:vMerge w:val="restart"/>
            <w:tcBorders>
              <w:top w:val="single" w:sz="8" w:space="0" w:color="auto"/>
              <w:left w:val="single" w:sz="8" w:space="0" w:color="auto"/>
              <w:bottom w:val="single" w:sz="8" w:space="0" w:color="000000"/>
              <w:right w:val="single" w:sz="8" w:space="0" w:color="auto"/>
            </w:tcBorders>
            <w:shd w:val="clear" w:color="auto" w:fill="F2F2F2"/>
            <w:noWrap/>
            <w:vAlign w:val="center"/>
            <w:hideMark/>
          </w:tcPr>
          <w:p w14:paraId="728ABB29" w14:textId="77777777" w:rsidR="003404A2" w:rsidRPr="00B16A18" w:rsidRDefault="003404A2" w:rsidP="0015273C">
            <w:pPr>
              <w:spacing w:after="0" w:line="240" w:lineRule="auto"/>
              <w:jc w:val="center"/>
              <w:rPr>
                <w:rFonts w:ascii="Arial Narrow" w:eastAsia="Times New Roman" w:hAnsi="Arial Narrow" w:cs="Arial"/>
                <w:b/>
                <w:bCs/>
                <w:sz w:val="16"/>
                <w:szCs w:val="16"/>
                <w:lang w:eastAsia="pt-BR"/>
              </w:rPr>
            </w:pPr>
            <w:r w:rsidRPr="00B16A18">
              <w:rPr>
                <w:rFonts w:ascii="Arial Narrow" w:eastAsia="Times New Roman" w:hAnsi="Arial Narrow" w:cs="Arial"/>
                <w:b/>
                <w:bCs/>
                <w:sz w:val="16"/>
                <w:szCs w:val="16"/>
                <w:lang w:eastAsia="pt-BR"/>
              </w:rPr>
              <w:t>ESPECIFICAÇÃO</w:t>
            </w:r>
          </w:p>
        </w:tc>
        <w:tc>
          <w:tcPr>
            <w:tcW w:w="1134" w:type="dxa"/>
            <w:tcBorders>
              <w:top w:val="single" w:sz="8" w:space="0" w:color="auto"/>
              <w:left w:val="nil"/>
              <w:bottom w:val="single" w:sz="8" w:space="0" w:color="auto"/>
              <w:right w:val="single" w:sz="8" w:space="0" w:color="auto"/>
            </w:tcBorders>
            <w:shd w:val="clear" w:color="auto" w:fill="F2F2F2"/>
            <w:noWrap/>
            <w:vAlign w:val="center"/>
            <w:hideMark/>
          </w:tcPr>
          <w:p w14:paraId="4F3B14EC" w14:textId="77777777" w:rsidR="003404A2" w:rsidRPr="00B16A18" w:rsidRDefault="003404A2" w:rsidP="0015273C">
            <w:pPr>
              <w:spacing w:after="0" w:line="240" w:lineRule="auto"/>
              <w:jc w:val="center"/>
              <w:rPr>
                <w:rFonts w:ascii="Arial Narrow" w:eastAsia="Times New Roman" w:hAnsi="Arial Narrow" w:cs="Arial"/>
                <w:b/>
                <w:bCs/>
                <w:sz w:val="16"/>
                <w:szCs w:val="16"/>
                <w:lang w:eastAsia="pt-BR"/>
              </w:rPr>
            </w:pPr>
            <w:r w:rsidRPr="00B16A18">
              <w:rPr>
                <w:rFonts w:ascii="Arial Narrow" w:eastAsia="Times New Roman" w:hAnsi="Arial Narrow" w:cs="Arial"/>
                <w:b/>
                <w:bCs/>
                <w:sz w:val="16"/>
                <w:szCs w:val="16"/>
                <w:lang w:eastAsia="pt-BR"/>
              </w:rPr>
              <w:t>Exercício Atual</w:t>
            </w:r>
          </w:p>
        </w:tc>
        <w:tc>
          <w:tcPr>
            <w:tcW w:w="1276" w:type="dxa"/>
            <w:tcBorders>
              <w:top w:val="single" w:sz="8" w:space="0" w:color="auto"/>
              <w:left w:val="nil"/>
              <w:bottom w:val="single" w:sz="8" w:space="0" w:color="auto"/>
              <w:right w:val="single" w:sz="8" w:space="0" w:color="auto"/>
            </w:tcBorders>
            <w:shd w:val="clear" w:color="auto" w:fill="F2F2F2"/>
            <w:noWrap/>
            <w:vAlign w:val="center"/>
            <w:hideMark/>
          </w:tcPr>
          <w:p w14:paraId="289E737C" w14:textId="77777777" w:rsidR="003404A2" w:rsidRPr="00B16A18" w:rsidRDefault="003404A2" w:rsidP="0015273C">
            <w:pPr>
              <w:spacing w:after="0" w:line="240" w:lineRule="auto"/>
              <w:jc w:val="center"/>
              <w:rPr>
                <w:rFonts w:ascii="Arial Narrow" w:eastAsia="Times New Roman" w:hAnsi="Arial Narrow" w:cs="Arial"/>
                <w:b/>
                <w:bCs/>
                <w:sz w:val="16"/>
                <w:szCs w:val="16"/>
                <w:lang w:eastAsia="pt-BR"/>
              </w:rPr>
            </w:pPr>
            <w:r w:rsidRPr="00B16A18">
              <w:rPr>
                <w:rFonts w:ascii="Arial Narrow" w:eastAsia="Times New Roman" w:hAnsi="Arial Narrow" w:cs="Arial"/>
                <w:b/>
                <w:bCs/>
                <w:sz w:val="16"/>
                <w:szCs w:val="16"/>
                <w:lang w:eastAsia="pt-BR"/>
              </w:rPr>
              <w:t>Exercício Anterior</w:t>
            </w:r>
          </w:p>
        </w:tc>
        <w:tc>
          <w:tcPr>
            <w:tcW w:w="4243" w:type="dxa"/>
            <w:vMerge w:val="restart"/>
            <w:tcBorders>
              <w:top w:val="single" w:sz="8" w:space="0" w:color="auto"/>
              <w:left w:val="single" w:sz="8" w:space="0" w:color="auto"/>
              <w:bottom w:val="single" w:sz="8" w:space="0" w:color="000000"/>
              <w:right w:val="single" w:sz="8" w:space="0" w:color="auto"/>
            </w:tcBorders>
            <w:shd w:val="clear" w:color="auto" w:fill="F2F2F2"/>
            <w:noWrap/>
            <w:vAlign w:val="center"/>
            <w:hideMark/>
          </w:tcPr>
          <w:p w14:paraId="61C1160A" w14:textId="77777777" w:rsidR="003404A2" w:rsidRPr="00B16A18" w:rsidRDefault="003404A2" w:rsidP="0015273C">
            <w:pPr>
              <w:spacing w:after="0" w:line="240" w:lineRule="auto"/>
              <w:jc w:val="center"/>
              <w:rPr>
                <w:rFonts w:ascii="Arial Narrow" w:eastAsia="Times New Roman" w:hAnsi="Arial Narrow" w:cs="Arial"/>
                <w:b/>
                <w:bCs/>
                <w:sz w:val="16"/>
                <w:szCs w:val="16"/>
                <w:lang w:eastAsia="pt-BR"/>
              </w:rPr>
            </w:pPr>
            <w:r w:rsidRPr="00B16A18">
              <w:rPr>
                <w:rFonts w:ascii="Arial Narrow" w:eastAsia="Times New Roman" w:hAnsi="Arial Narrow" w:cs="Arial"/>
                <w:b/>
                <w:bCs/>
                <w:sz w:val="16"/>
                <w:szCs w:val="16"/>
                <w:lang w:eastAsia="pt-BR"/>
              </w:rPr>
              <w:t>ESPECIFICAÇÃO</w:t>
            </w:r>
          </w:p>
        </w:tc>
        <w:tc>
          <w:tcPr>
            <w:tcW w:w="1285" w:type="dxa"/>
            <w:tcBorders>
              <w:top w:val="single" w:sz="8" w:space="0" w:color="auto"/>
              <w:left w:val="nil"/>
              <w:bottom w:val="single" w:sz="8" w:space="0" w:color="auto"/>
              <w:right w:val="single" w:sz="8" w:space="0" w:color="auto"/>
            </w:tcBorders>
            <w:shd w:val="clear" w:color="auto" w:fill="F2F2F2"/>
            <w:noWrap/>
            <w:vAlign w:val="center"/>
            <w:hideMark/>
          </w:tcPr>
          <w:p w14:paraId="47776E1A" w14:textId="77777777" w:rsidR="003404A2" w:rsidRPr="00B16A18" w:rsidRDefault="003404A2" w:rsidP="0015273C">
            <w:pPr>
              <w:spacing w:after="0" w:line="240" w:lineRule="auto"/>
              <w:jc w:val="center"/>
              <w:rPr>
                <w:rFonts w:ascii="Arial Narrow" w:eastAsia="Times New Roman" w:hAnsi="Arial Narrow" w:cs="Arial"/>
                <w:b/>
                <w:bCs/>
                <w:sz w:val="16"/>
                <w:szCs w:val="16"/>
                <w:lang w:eastAsia="pt-BR"/>
              </w:rPr>
            </w:pPr>
            <w:r w:rsidRPr="00B16A18">
              <w:rPr>
                <w:rFonts w:ascii="Arial Narrow" w:eastAsia="Times New Roman" w:hAnsi="Arial Narrow" w:cs="Arial"/>
                <w:b/>
                <w:bCs/>
                <w:sz w:val="16"/>
                <w:szCs w:val="16"/>
                <w:lang w:eastAsia="pt-BR"/>
              </w:rPr>
              <w:t>Exercício Atual</w:t>
            </w:r>
          </w:p>
        </w:tc>
        <w:tc>
          <w:tcPr>
            <w:tcW w:w="1276" w:type="dxa"/>
            <w:tcBorders>
              <w:top w:val="single" w:sz="8" w:space="0" w:color="auto"/>
              <w:left w:val="nil"/>
              <w:bottom w:val="single" w:sz="8" w:space="0" w:color="auto"/>
              <w:right w:val="single" w:sz="8" w:space="0" w:color="auto"/>
            </w:tcBorders>
            <w:shd w:val="clear" w:color="auto" w:fill="F2F2F2"/>
            <w:noWrap/>
            <w:vAlign w:val="center"/>
            <w:hideMark/>
          </w:tcPr>
          <w:p w14:paraId="4BC7A792" w14:textId="77777777" w:rsidR="003404A2" w:rsidRPr="00B16A18" w:rsidRDefault="003404A2" w:rsidP="0015273C">
            <w:pPr>
              <w:spacing w:after="0" w:line="240" w:lineRule="auto"/>
              <w:jc w:val="center"/>
              <w:rPr>
                <w:rFonts w:ascii="Arial Narrow" w:eastAsia="Times New Roman" w:hAnsi="Arial Narrow" w:cs="Arial"/>
                <w:b/>
                <w:bCs/>
                <w:sz w:val="16"/>
                <w:szCs w:val="16"/>
                <w:lang w:eastAsia="pt-BR"/>
              </w:rPr>
            </w:pPr>
            <w:r w:rsidRPr="00B16A18">
              <w:rPr>
                <w:rFonts w:ascii="Arial Narrow" w:eastAsia="Times New Roman" w:hAnsi="Arial Narrow" w:cs="Arial"/>
                <w:b/>
                <w:bCs/>
                <w:sz w:val="16"/>
                <w:szCs w:val="16"/>
                <w:lang w:eastAsia="pt-BR"/>
              </w:rPr>
              <w:t>Exercício Anterior</w:t>
            </w:r>
          </w:p>
        </w:tc>
      </w:tr>
      <w:tr w:rsidR="003404A2" w:rsidRPr="00B16A18" w14:paraId="34B6B01C" w14:textId="77777777" w:rsidTr="0015273C">
        <w:trPr>
          <w:trHeight w:val="270"/>
        </w:trPr>
        <w:tc>
          <w:tcPr>
            <w:tcW w:w="4820" w:type="dxa"/>
            <w:vMerge/>
            <w:tcBorders>
              <w:top w:val="single" w:sz="8" w:space="0" w:color="auto"/>
              <w:left w:val="single" w:sz="8" w:space="0" w:color="auto"/>
              <w:bottom w:val="single" w:sz="8" w:space="0" w:color="000000"/>
              <w:right w:val="single" w:sz="8" w:space="0" w:color="auto"/>
            </w:tcBorders>
            <w:shd w:val="clear" w:color="auto" w:fill="F2F2F2"/>
            <w:vAlign w:val="center"/>
            <w:hideMark/>
          </w:tcPr>
          <w:p w14:paraId="209A1633" w14:textId="77777777" w:rsidR="003404A2" w:rsidRPr="00B16A18" w:rsidRDefault="003404A2" w:rsidP="0015273C">
            <w:pPr>
              <w:spacing w:after="0" w:line="240" w:lineRule="auto"/>
              <w:rPr>
                <w:rFonts w:ascii="Arial Narrow" w:eastAsia="Times New Roman" w:hAnsi="Arial Narrow" w:cs="Arial"/>
                <w:b/>
                <w:bCs/>
                <w:sz w:val="16"/>
                <w:szCs w:val="16"/>
                <w:lang w:eastAsia="pt-BR"/>
              </w:rPr>
            </w:pPr>
          </w:p>
        </w:tc>
        <w:tc>
          <w:tcPr>
            <w:tcW w:w="2410" w:type="dxa"/>
            <w:gridSpan w:val="2"/>
            <w:tcBorders>
              <w:top w:val="nil"/>
              <w:left w:val="nil"/>
              <w:bottom w:val="single" w:sz="8" w:space="0" w:color="auto"/>
              <w:right w:val="single" w:sz="8" w:space="0" w:color="auto"/>
            </w:tcBorders>
            <w:shd w:val="clear" w:color="auto" w:fill="F2F2F2"/>
            <w:noWrap/>
            <w:vAlign w:val="center"/>
            <w:hideMark/>
          </w:tcPr>
          <w:p w14:paraId="525278EB" w14:textId="77777777" w:rsidR="003404A2" w:rsidRPr="00B16A18" w:rsidRDefault="003404A2" w:rsidP="0015273C">
            <w:pPr>
              <w:spacing w:after="0" w:line="240" w:lineRule="auto"/>
              <w:jc w:val="center"/>
              <w:rPr>
                <w:rFonts w:ascii="Arial Narrow" w:eastAsia="Times New Roman" w:hAnsi="Arial Narrow" w:cs="Arial"/>
                <w:b/>
                <w:bCs/>
                <w:sz w:val="16"/>
                <w:szCs w:val="16"/>
                <w:lang w:eastAsia="pt-BR"/>
              </w:rPr>
            </w:pPr>
            <w:r w:rsidRPr="00B16A18">
              <w:rPr>
                <w:rFonts w:ascii="Arial Narrow" w:eastAsia="Times New Roman" w:hAnsi="Arial Narrow" w:cs="Arial"/>
                <w:b/>
                <w:bCs/>
                <w:sz w:val="16"/>
                <w:szCs w:val="16"/>
                <w:lang w:eastAsia="pt-BR"/>
              </w:rPr>
              <w:t>VALOR</w:t>
            </w:r>
          </w:p>
        </w:tc>
        <w:tc>
          <w:tcPr>
            <w:tcW w:w="4243" w:type="dxa"/>
            <w:vMerge/>
            <w:tcBorders>
              <w:top w:val="single" w:sz="8" w:space="0" w:color="auto"/>
              <w:left w:val="single" w:sz="8" w:space="0" w:color="auto"/>
              <w:bottom w:val="single" w:sz="8" w:space="0" w:color="000000"/>
              <w:right w:val="single" w:sz="8" w:space="0" w:color="auto"/>
            </w:tcBorders>
            <w:shd w:val="clear" w:color="auto" w:fill="F2F2F2"/>
            <w:vAlign w:val="center"/>
            <w:hideMark/>
          </w:tcPr>
          <w:p w14:paraId="40F5B9C5" w14:textId="77777777" w:rsidR="003404A2" w:rsidRPr="00B16A18" w:rsidRDefault="003404A2" w:rsidP="0015273C">
            <w:pPr>
              <w:spacing w:after="0" w:line="240" w:lineRule="auto"/>
              <w:rPr>
                <w:rFonts w:ascii="Arial Narrow" w:eastAsia="Times New Roman" w:hAnsi="Arial Narrow" w:cs="Arial"/>
                <w:b/>
                <w:bCs/>
                <w:sz w:val="16"/>
                <w:szCs w:val="16"/>
                <w:lang w:eastAsia="pt-BR"/>
              </w:rPr>
            </w:pPr>
          </w:p>
        </w:tc>
        <w:tc>
          <w:tcPr>
            <w:tcW w:w="2561" w:type="dxa"/>
            <w:gridSpan w:val="2"/>
            <w:tcBorders>
              <w:top w:val="nil"/>
              <w:left w:val="nil"/>
              <w:bottom w:val="single" w:sz="8" w:space="0" w:color="auto"/>
              <w:right w:val="single" w:sz="8" w:space="0" w:color="auto"/>
            </w:tcBorders>
            <w:shd w:val="clear" w:color="auto" w:fill="F2F2F2"/>
            <w:noWrap/>
            <w:vAlign w:val="center"/>
            <w:hideMark/>
          </w:tcPr>
          <w:p w14:paraId="2DE491B6" w14:textId="77777777" w:rsidR="003404A2" w:rsidRPr="00B16A18" w:rsidRDefault="003404A2" w:rsidP="0015273C">
            <w:pPr>
              <w:spacing w:after="0" w:line="240" w:lineRule="auto"/>
              <w:jc w:val="center"/>
              <w:rPr>
                <w:rFonts w:ascii="Arial Narrow" w:eastAsia="Times New Roman" w:hAnsi="Arial Narrow" w:cs="Arial"/>
                <w:b/>
                <w:bCs/>
                <w:sz w:val="16"/>
                <w:szCs w:val="16"/>
                <w:lang w:eastAsia="pt-BR"/>
              </w:rPr>
            </w:pPr>
            <w:r w:rsidRPr="00B16A18">
              <w:rPr>
                <w:rFonts w:ascii="Arial Narrow" w:eastAsia="Times New Roman" w:hAnsi="Arial Narrow" w:cs="Arial"/>
                <w:b/>
                <w:bCs/>
                <w:sz w:val="16"/>
                <w:szCs w:val="16"/>
                <w:lang w:eastAsia="pt-BR"/>
              </w:rPr>
              <w:t>VALOR</w:t>
            </w:r>
          </w:p>
        </w:tc>
      </w:tr>
      <w:tr w:rsidR="003404A2" w:rsidRPr="00B16A18" w14:paraId="6B1B891B" w14:textId="77777777" w:rsidTr="0015273C">
        <w:trPr>
          <w:trHeight w:val="255"/>
        </w:trPr>
        <w:tc>
          <w:tcPr>
            <w:tcW w:w="4820" w:type="dxa"/>
            <w:tcBorders>
              <w:top w:val="nil"/>
              <w:left w:val="single" w:sz="8" w:space="0" w:color="auto"/>
              <w:bottom w:val="nil"/>
              <w:right w:val="single" w:sz="8" w:space="0" w:color="auto"/>
            </w:tcBorders>
            <w:shd w:val="clear" w:color="auto" w:fill="auto"/>
            <w:noWrap/>
            <w:vAlign w:val="center"/>
            <w:hideMark/>
          </w:tcPr>
          <w:p w14:paraId="5F8EF677" w14:textId="77777777" w:rsidR="003404A2" w:rsidRPr="00B16A18" w:rsidRDefault="003404A2" w:rsidP="0015273C">
            <w:pPr>
              <w:spacing w:after="0" w:line="240" w:lineRule="auto"/>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 </w:t>
            </w:r>
          </w:p>
        </w:tc>
        <w:tc>
          <w:tcPr>
            <w:tcW w:w="1134" w:type="dxa"/>
            <w:tcBorders>
              <w:top w:val="nil"/>
              <w:left w:val="nil"/>
              <w:bottom w:val="nil"/>
              <w:right w:val="single" w:sz="8" w:space="0" w:color="auto"/>
            </w:tcBorders>
            <w:shd w:val="clear" w:color="auto" w:fill="auto"/>
            <w:noWrap/>
            <w:vAlign w:val="center"/>
            <w:hideMark/>
          </w:tcPr>
          <w:p w14:paraId="0A921A56" w14:textId="77777777" w:rsidR="003404A2" w:rsidRPr="00B16A18" w:rsidRDefault="003404A2" w:rsidP="0015273C">
            <w:pPr>
              <w:spacing w:after="0" w:line="240" w:lineRule="auto"/>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 </w:t>
            </w:r>
          </w:p>
        </w:tc>
        <w:tc>
          <w:tcPr>
            <w:tcW w:w="1276" w:type="dxa"/>
            <w:tcBorders>
              <w:top w:val="nil"/>
              <w:left w:val="nil"/>
              <w:bottom w:val="nil"/>
              <w:right w:val="single" w:sz="8" w:space="0" w:color="auto"/>
            </w:tcBorders>
            <w:shd w:val="clear" w:color="auto" w:fill="auto"/>
            <w:noWrap/>
            <w:vAlign w:val="center"/>
            <w:hideMark/>
          </w:tcPr>
          <w:p w14:paraId="22090653" w14:textId="77777777" w:rsidR="003404A2" w:rsidRPr="00B16A18" w:rsidRDefault="003404A2" w:rsidP="0015273C">
            <w:pPr>
              <w:spacing w:after="0" w:line="240" w:lineRule="auto"/>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 </w:t>
            </w:r>
          </w:p>
        </w:tc>
        <w:tc>
          <w:tcPr>
            <w:tcW w:w="4243" w:type="dxa"/>
            <w:tcBorders>
              <w:top w:val="nil"/>
              <w:left w:val="nil"/>
              <w:bottom w:val="nil"/>
              <w:right w:val="single" w:sz="8" w:space="0" w:color="auto"/>
            </w:tcBorders>
            <w:shd w:val="clear" w:color="auto" w:fill="auto"/>
            <w:noWrap/>
            <w:vAlign w:val="center"/>
            <w:hideMark/>
          </w:tcPr>
          <w:p w14:paraId="4F4450A7" w14:textId="77777777" w:rsidR="003404A2" w:rsidRPr="00B16A18" w:rsidRDefault="003404A2" w:rsidP="0015273C">
            <w:pPr>
              <w:spacing w:after="0" w:line="240" w:lineRule="auto"/>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 </w:t>
            </w:r>
          </w:p>
        </w:tc>
        <w:tc>
          <w:tcPr>
            <w:tcW w:w="1285" w:type="dxa"/>
            <w:tcBorders>
              <w:top w:val="nil"/>
              <w:left w:val="nil"/>
              <w:bottom w:val="nil"/>
              <w:right w:val="single" w:sz="8" w:space="0" w:color="auto"/>
            </w:tcBorders>
            <w:shd w:val="clear" w:color="auto" w:fill="auto"/>
            <w:noWrap/>
            <w:vAlign w:val="center"/>
            <w:hideMark/>
          </w:tcPr>
          <w:p w14:paraId="0AD700D8" w14:textId="77777777" w:rsidR="003404A2" w:rsidRPr="00B16A18" w:rsidRDefault="003404A2" w:rsidP="0015273C">
            <w:pPr>
              <w:spacing w:after="0" w:line="240" w:lineRule="auto"/>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 </w:t>
            </w:r>
          </w:p>
        </w:tc>
        <w:tc>
          <w:tcPr>
            <w:tcW w:w="1276" w:type="dxa"/>
            <w:tcBorders>
              <w:top w:val="nil"/>
              <w:left w:val="nil"/>
              <w:bottom w:val="nil"/>
              <w:right w:val="single" w:sz="8" w:space="0" w:color="auto"/>
            </w:tcBorders>
            <w:shd w:val="clear" w:color="auto" w:fill="auto"/>
            <w:noWrap/>
            <w:vAlign w:val="center"/>
            <w:hideMark/>
          </w:tcPr>
          <w:p w14:paraId="754820B4" w14:textId="77777777" w:rsidR="003404A2" w:rsidRPr="00B16A18" w:rsidRDefault="003404A2" w:rsidP="0015273C">
            <w:pPr>
              <w:spacing w:after="0" w:line="240" w:lineRule="auto"/>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 </w:t>
            </w:r>
          </w:p>
        </w:tc>
      </w:tr>
      <w:tr w:rsidR="003404A2" w:rsidRPr="00B16A18" w14:paraId="0D9C16DB" w14:textId="77777777" w:rsidTr="0015273C">
        <w:trPr>
          <w:trHeight w:val="255"/>
        </w:trPr>
        <w:tc>
          <w:tcPr>
            <w:tcW w:w="4820" w:type="dxa"/>
            <w:tcBorders>
              <w:top w:val="nil"/>
              <w:left w:val="single" w:sz="8" w:space="0" w:color="auto"/>
              <w:bottom w:val="nil"/>
              <w:right w:val="single" w:sz="8" w:space="0" w:color="auto"/>
            </w:tcBorders>
            <w:shd w:val="clear" w:color="auto" w:fill="auto"/>
            <w:noWrap/>
            <w:vAlign w:val="center"/>
            <w:hideMark/>
          </w:tcPr>
          <w:p w14:paraId="1A67CA6B" w14:textId="77777777" w:rsidR="003404A2" w:rsidRPr="00B16A18" w:rsidRDefault="003404A2" w:rsidP="0015273C">
            <w:pPr>
              <w:spacing w:after="0" w:line="240" w:lineRule="auto"/>
              <w:rPr>
                <w:rFonts w:ascii="Arial Narrow" w:eastAsia="Times New Roman" w:hAnsi="Arial Narrow" w:cs="Arial"/>
                <w:b/>
                <w:bCs/>
                <w:sz w:val="16"/>
                <w:szCs w:val="16"/>
                <w:lang w:eastAsia="pt-BR"/>
              </w:rPr>
            </w:pPr>
            <w:r w:rsidRPr="00B16A18">
              <w:rPr>
                <w:rFonts w:ascii="Arial Narrow" w:eastAsia="Times New Roman" w:hAnsi="Arial Narrow" w:cs="Arial"/>
                <w:b/>
                <w:bCs/>
                <w:sz w:val="16"/>
                <w:szCs w:val="16"/>
                <w:lang w:eastAsia="pt-BR"/>
              </w:rPr>
              <w:t>RECEITA ORÇAMENTÁRIA (I)</w:t>
            </w:r>
          </w:p>
        </w:tc>
        <w:tc>
          <w:tcPr>
            <w:tcW w:w="1134" w:type="dxa"/>
            <w:tcBorders>
              <w:top w:val="nil"/>
              <w:left w:val="nil"/>
              <w:bottom w:val="nil"/>
              <w:right w:val="single" w:sz="8" w:space="0" w:color="auto"/>
            </w:tcBorders>
            <w:shd w:val="clear" w:color="auto" w:fill="auto"/>
            <w:vAlign w:val="center"/>
            <w:hideMark/>
          </w:tcPr>
          <w:p w14:paraId="1ACD3D38" w14:textId="77777777" w:rsidR="003404A2" w:rsidRPr="00B16A18" w:rsidRDefault="003404A2" w:rsidP="0015273C">
            <w:pPr>
              <w:spacing w:after="0" w:line="240" w:lineRule="auto"/>
              <w:jc w:val="center"/>
              <w:rPr>
                <w:rFonts w:ascii="Arial Narrow" w:eastAsia="Times New Roman" w:hAnsi="Arial Narrow" w:cs="Arial"/>
                <w:b/>
                <w:bCs/>
                <w:sz w:val="16"/>
                <w:szCs w:val="16"/>
                <w:lang w:eastAsia="pt-BR"/>
              </w:rPr>
            </w:pPr>
            <w:r w:rsidRPr="00B16A18">
              <w:rPr>
                <w:rFonts w:ascii="Arial Narrow" w:eastAsia="Times New Roman" w:hAnsi="Arial Narrow" w:cs="Arial"/>
                <w:b/>
                <w:bCs/>
                <w:sz w:val="16"/>
                <w:szCs w:val="16"/>
                <w:lang w:eastAsia="pt-BR"/>
              </w:rPr>
              <w:t>BFI.C010</w:t>
            </w:r>
          </w:p>
        </w:tc>
        <w:tc>
          <w:tcPr>
            <w:tcW w:w="1276" w:type="dxa"/>
            <w:tcBorders>
              <w:top w:val="nil"/>
              <w:left w:val="nil"/>
              <w:bottom w:val="nil"/>
              <w:right w:val="single" w:sz="8" w:space="0" w:color="auto"/>
            </w:tcBorders>
            <w:shd w:val="clear" w:color="auto" w:fill="auto"/>
            <w:vAlign w:val="center"/>
            <w:hideMark/>
          </w:tcPr>
          <w:p w14:paraId="4EB258B9" w14:textId="77777777" w:rsidR="003404A2" w:rsidRPr="00B16A18" w:rsidRDefault="003404A2" w:rsidP="0015273C">
            <w:pPr>
              <w:spacing w:after="0" w:line="240" w:lineRule="auto"/>
              <w:jc w:val="center"/>
              <w:rPr>
                <w:rFonts w:ascii="Arial Narrow" w:eastAsia="Times New Roman" w:hAnsi="Arial Narrow" w:cs="Arial"/>
                <w:b/>
                <w:bCs/>
                <w:sz w:val="16"/>
                <w:szCs w:val="16"/>
                <w:lang w:eastAsia="pt-BR"/>
              </w:rPr>
            </w:pPr>
            <w:r w:rsidRPr="00B16A18">
              <w:rPr>
                <w:rFonts w:ascii="Arial Narrow" w:eastAsia="Times New Roman" w:hAnsi="Arial Narrow" w:cs="Arial"/>
                <w:b/>
                <w:bCs/>
                <w:sz w:val="16"/>
                <w:szCs w:val="16"/>
                <w:lang w:eastAsia="pt-BR"/>
              </w:rPr>
              <w:t>BFI.D010</w:t>
            </w:r>
          </w:p>
        </w:tc>
        <w:tc>
          <w:tcPr>
            <w:tcW w:w="4243" w:type="dxa"/>
            <w:tcBorders>
              <w:top w:val="nil"/>
              <w:left w:val="nil"/>
              <w:bottom w:val="nil"/>
              <w:right w:val="single" w:sz="8" w:space="0" w:color="auto"/>
            </w:tcBorders>
            <w:shd w:val="clear" w:color="auto" w:fill="auto"/>
            <w:noWrap/>
            <w:vAlign w:val="center"/>
            <w:hideMark/>
          </w:tcPr>
          <w:p w14:paraId="2B0280B5" w14:textId="77777777" w:rsidR="003404A2" w:rsidRPr="00B16A18" w:rsidRDefault="003404A2" w:rsidP="0015273C">
            <w:pPr>
              <w:spacing w:after="0" w:line="240" w:lineRule="auto"/>
              <w:rPr>
                <w:rFonts w:ascii="Arial Narrow" w:eastAsia="Times New Roman" w:hAnsi="Arial Narrow" w:cs="Arial"/>
                <w:b/>
                <w:bCs/>
                <w:sz w:val="16"/>
                <w:szCs w:val="16"/>
                <w:lang w:eastAsia="pt-BR"/>
              </w:rPr>
            </w:pPr>
            <w:r w:rsidRPr="00B16A18">
              <w:rPr>
                <w:rFonts w:ascii="Arial Narrow" w:eastAsia="Times New Roman" w:hAnsi="Arial Narrow" w:cs="Arial"/>
                <w:b/>
                <w:bCs/>
                <w:sz w:val="16"/>
                <w:szCs w:val="16"/>
                <w:lang w:eastAsia="pt-BR"/>
              </w:rPr>
              <w:t>DESPESA ORÇAMENTÁRIA (VI)</w:t>
            </w:r>
          </w:p>
        </w:tc>
        <w:tc>
          <w:tcPr>
            <w:tcW w:w="1285" w:type="dxa"/>
            <w:tcBorders>
              <w:top w:val="nil"/>
              <w:left w:val="nil"/>
              <w:bottom w:val="nil"/>
              <w:right w:val="single" w:sz="8" w:space="0" w:color="auto"/>
            </w:tcBorders>
            <w:shd w:val="clear" w:color="auto" w:fill="auto"/>
            <w:vAlign w:val="center"/>
            <w:hideMark/>
          </w:tcPr>
          <w:p w14:paraId="1A106EE1" w14:textId="77777777" w:rsidR="003404A2" w:rsidRPr="00B16A18" w:rsidRDefault="003404A2" w:rsidP="0015273C">
            <w:pPr>
              <w:spacing w:after="0" w:line="240" w:lineRule="auto"/>
              <w:jc w:val="center"/>
              <w:rPr>
                <w:rFonts w:ascii="Arial Narrow" w:eastAsia="Times New Roman" w:hAnsi="Arial Narrow" w:cs="Arial"/>
                <w:b/>
                <w:bCs/>
                <w:sz w:val="16"/>
                <w:szCs w:val="16"/>
                <w:lang w:eastAsia="pt-BR"/>
              </w:rPr>
            </w:pPr>
            <w:r w:rsidRPr="00B16A18">
              <w:rPr>
                <w:rFonts w:ascii="Arial Narrow" w:eastAsia="Times New Roman" w:hAnsi="Arial Narrow" w:cs="Arial"/>
                <w:b/>
                <w:bCs/>
                <w:sz w:val="16"/>
                <w:szCs w:val="16"/>
                <w:lang w:eastAsia="pt-BR"/>
              </w:rPr>
              <w:t>BFI.G010</w:t>
            </w:r>
          </w:p>
        </w:tc>
        <w:tc>
          <w:tcPr>
            <w:tcW w:w="1276" w:type="dxa"/>
            <w:tcBorders>
              <w:top w:val="nil"/>
              <w:left w:val="nil"/>
              <w:bottom w:val="nil"/>
              <w:right w:val="single" w:sz="8" w:space="0" w:color="auto"/>
            </w:tcBorders>
            <w:shd w:val="clear" w:color="auto" w:fill="auto"/>
            <w:vAlign w:val="center"/>
            <w:hideMark/>
          </w:tcPr>
          <w:p w14:paraId="037A8063" w14:textId="77777777" w:rsidR="003404A2" w:rsidRPr="00B16A18" w:rsidRDefault="003404A2" w:rsidP="0015273C">
            <w:pPr>
              <w:spacing w:after="0" w:line="240" w:lineRule="auto"/>
              <w:jc w:val="center"/>
              <w:rPr>
                <w:rFonts w:ascii="Arial Narrow" w:eastAsia="Times New Roman" w:hAnsi="Arial Narrow" w:cs="Arial"/>
                <w:b/>
                <w:bCs/>
                <w:sz w:val="16"/>
                <w:szCs w:val="16"/>
                <w:lang w:eastAsia="pt-BR"/>
              </w:rPr>
            </w:pPr>
            <w:r w:rsidRPr="00B16A18">
              <w:rPr>
                <w:rFonts w:ascii="Arial Narrow" w:eastAsia="Times New Roman" w:hAnsi="Arial Narrow" w:cs="Arial"/>
                <w:b/>
                <w:bCs/>
                <w:sz w:val="16"/>
                <w:szCs w:val="16"/>
                <w:lang w:eastAsia="pt-BR"/>
              </w:rPr>
              <w:t>BFI.H010</w:t>
            </w:r>
          </w:p>
        </w:tc>
      </w:tr>
      <w:tr w:rsidR="003404A2" w:rsidRPr="00B16A18" w14:paraId="6C1CBBE9" w14:textId="77777777" w:rsidTr="0015273C">
        <w:trPr>
          <w:trHeight w:val="255"/>
        </w:trPr>
        <w:tc>
          <w:tcPr>
            <w:tcW w:w="4820" w:type="dxa"/>
            <w:tcBorders>
              <w:top w:val="nil"/>
              <w:left w:val="single" w:sz="8" w:space="0" w:color="auto"/>
              <w:bottom w:val="nil"/>
              <w:right w:val="single" w:sz="8" w:space="0" w:color="auto"/>
            </w:tcBorders>
            <w:shd w:val="clear" w:color="auto" w:fill="auto"/>
            <w:noWrap/>
            <w:vAlign w:val="center"/>
            <w:hideMark/>
          </w:tcPr>
          <w:p w14:paraId="38258E93" w14:textId="77777777" w:rsidR="003404A2" w:rsidRPr="00B16A18" w:rsidRDefault="003404A2" w:rsidP="0015273C">
            <w:pPr>
              <w:spacing w:after="0" w:line="240" w:lineRule="auto"/>
              <w:ind w:firstLineChars="100" w:firstLine="161"/>
              <w:rPr>
                <w:rFonts w:ascii="Arial Narrow" w:eastAsia="Times New Roman" w:hAnsi="Arial Narrow" w:cs="Arial"/>
                <w:b/>
                <w:bCs/>
                <w:sz w:val="16"/>
                <w:szCs w:val="16"/>
                <w:u w:val="single"/>
                <w:lang w:eastAsia="pt-BR"/>
              </w:rPr>
            </w:pPr>
            <w:r w:rsidRPr="00B16A18">
              <w:rPr>
                <w:rFonts w:ascii="Arial Narrow" w:eastAsia="Times New Roman" w:hAnsi="Arial Narrow" w:cs="Arial"/>
                <w:b/>
                <w:bCs/>
                <w:sz w:val="16"/>
                <w:szCs w:val="16"/>
                <w:u w:val="single"/>
                <w:lang w:eastAsia="pt-BR"/>
              </w:rPr>
              <w:t>Ordinária</w:t>
            </w:r>
          </w:p>
        </w:tc>
        <w:tc>
          <w:tcPr>
            <w:tcW w:w="1134" w:type="dxa"/>
            <w:tcBorders>
              <w:top w:val="nil"/>
              <w:left w:val="nil"/>
              <w:bottom w:val="nil"/>
              <w:right w:val="single" w:sz="8" w:space="0" w:color="auto"/>
            </w:tcBorders>
            <w:shd w:val="clear" w:color="auto" w:fill="auto"/>
            <w:vAlign w:val="center"/>
            <w:hideMark/>
          </w:tcPr>
          <w:p w14:paraId="13DB6E07" w14:textId="77777777" w:rsidR="003404A2" w:rsidRPr="00B16A18" w:rsidRDefault="003404A2" w:rsidP="0015273C">
            <w:pPr>
              <w:spacing w:after="0" w:line="240" w:lineRule="auto"/>
              <w:jc w:val="center"/>
              <w:rPr>
                <w:rFonts w:ascii="Arial Narrow" w:eastAsia="Times New Roman" w:hAnsi="Arial Narrow" w:cs="Arial"/>
                <w:b/>
                <w:bCs/>
                <w:sz w:val="16"/>
                <w:szCs w:val="16"/>
                <w:lang w:eastAsia="pt-BR"/>
              </w:rPr>
            </w:pPr>
            <w:r w:rsidRPr="00B16A18">
              <w:rPr>
                <w:rFonts w:ascii="Arial Narrow" w:eastAsia="Times New Roman" w:hAnsi="Arial Narrow" w:cs="Arial"/>
                <w:b/>
                <w:bCs/>
                <w:sz w:val="16"/>
                <w:szCs w:val="16"/>
                <w:lang w:eastAsia="pt-BR"/>
              </w:rPr>
              <w:t>BFI.C011</w:t>
            </w:r>
          </w:p>
        </w:tc>
        <w:tc>
          <w:tcPr>
            <w:tcW w:w="1276" w:type="dxa"/>
            <w:tcBorders>
              <w:top w:val="nil"/>
              <w:left w:val="nil"/>
              <w:bottom w:val="nil"/>
              <w:right w:val="single" w:sz="8" w:space="0" w:color="auto"/>
            </w:tcBorders>
            <w:shd w:val="clear" w:color="auto" w:fill="auto"/>
            <w:vAlign w:val="center"/>
            <w:hideMark/>
          </w:tcPr>
          <w:p w14:paraId="6418C71A" w14:textId="77777777" w:rsidR="003404A2" w:rsidRPr="00B16A18" w:rsidRDefault="003404A2" w:rsidP="0015273C">
            <w:pPr>
              <w:spacing w:after="0" w:line="240" w:lineRule="auto"/>
              <w:jc w:val="center"/>
              <w:rPr>
                <w:rFonts w:ascii="Arial Narrow" w:eastAsia="Times New Roman" w:hAnsi="Arial Narrow" w:cs="Arial"/>
                <w:b/>
                <w:bCs/>
                <w:sz w:val="16"/>
                <w:szCs w:val="16"/>
                <w:lang w:eastAsia="pt-BR"/>
              </w:rPr>
            </w:pPr>
            <w:r w:rsidRPr="00B16A18">
              <w:rPr>
                <w:rFonts w:ascii="Arial Narrow" w:eastAsia="Times New Roman" w:hAnsi="Arial Narrow" w:cs="Arial"/>
                <w:b/>
                <w:bCs/>
                <w:sz w:val="16"/>
                <w:szCs w:val="16"/>
                <w:lang w:eastAsia="pt-BR"/>
              </w:rPr>
              <w:t>BFI.D011</w:t>
            </w:r>
          </w:p>
        </w:tc>
        <w:tc>
          <w:tcPr>
            <w:tcW w:w="4243" w:type="dxa"/>
            <w:tcBorders>
              <w:top w:val="nil"/>
              <w:left w:val="nil"/>
              <w:bottom w:val="nil"/>
              <w:right w:val="single" w:sz="8" w:space="0" w:color="auto"/>
            </w:tcBorders>
            <w:shd w:val="clear" w:color="auto" w:fill="auto"/>
            <w:noWrap/>
            <w:vAlign w:val="center"/>
            <w:hideMark/>
          </w:tcPr>
          <w:p w14:paraId="259B1201" w14:textId="77777777" w:rsidR="003404A2" w:rsidRPr="00B16A18" w:rsidRDefault="003404A2" w:rsidP="0015273C">
            <w:pPr>
              <w:spacing w:after="0" w:line="240" w:lineRule="auto"/>
              <w:ind w:firstLineChars="100" w:firstLine="161"/>
              <w:rPr>
                <w:rFonts w:ascii="Arial Narrow" w:eastAsia="Times New Roman" w:hAnsi="Arial Narrow" w:cs="Arial"/>
                <w:b/>
                <w:bCs/>
                <w:sz w:val="16"/>
                <w:szCs w:val="16"/>
                <w:u w:val="single"/>
                <w:lang w:eastAsia="pt-BR"/>
              </w:rPr>
            </w:pPr>
            <w:r w:rsidRPr="00B16A18">
              <w:rPr>
                <w:rFonts w:ascii="Arial Narrow" w:eastAsia="Times New Roman" w:hAnsi="Arial Narrow" w:cs="Arial"/>
                <w:b/>
                <w:bCs/>
                <w:sz w:val="16"/>
                <w:szCs w:val="16"/>
                <w:u w:val="single"/>
                <w:lang w:eastAsia="pt-BR"/>
              </w:rPr>
              <w:t>Ordinária</w:t>
            </w:r>
          </w:p>
        </w:tc>
        <w:tc>
          <w:tcPr>
            <w:tcW w:w="1285" w:type="dxa"/>
            <w:tcBorders>
              <w:top w:val="nil"/>
              <w:left w:val="nil"/>
              <w:bottom w:val="nil"/>
              <w:right w:val="single" w:sz="8" w:space="0" w:color="auto"/>
            </w:tcBorders>
            <w:shd w:val="clear" w:color="auto" w:fill="auto"/>
            <w:vAlign w:val="center"/>
            <w:hideMark/>
          </w:tcPr>
          <w:p w14:paraId="490E76DF" w14:textId="77777777" w:rsidR="003404A2" w:rsidRPr="00B16A18" w:rsidRDefault="003404A2" w:rsidP="0015273C">
            <w:pPr>
              <w:spacing w:after="0" w:line="240" w:lineRule="auto"/>
              <w:jc w:val="center"/>
              <w:rPr>
                <w:rFonts w:ascii="Arial Narrow" w:eastAsia="Times New Roman" w:hAnsi="Arial Narrow" w:cs="Arial"/>
                <w:b/>
                <w:bCs/>
                <w:sz w:val="16"/>
                <w:szCs w:val="16"/>
                <w:lang w:eastAsia="pt-BR"/>
              </w:rPr>
            </w:pPr>
            <w:r w:rsidRPr="00B16A18">
              <w:rPr>
                <w:rFonts w:ascii="Arial Narrow" w:eastAsia="Times New Roman" w:hAnsi="Arial Narrow" w:cs="Arial"/>
                <w:b/>
                <w:bCs/>
                <w:sz w:val="16"/>
                <w:szCs w:val="16"/>
                <w:lang w:eastAsia="pt-BR"/>
              </w:rPr>
              <w:t>BFI.G011</w:t>
            </w:r>
          </w:p>
        </w:tc>
        <w:tc>
          <w:tcPr>
            <w:tcW w:w="1276" w:type="dxa"/>
            <w:tcBorders>
              <w:top w:val="nil"/>
              <w:left w:val="nil"/>
              <w:bottom w:val="nil"/>
              <w:right w:val="single" w:sz="8" w:space="0" w:color="auto"/>
            </w:tcBorders>
            <w:shd w:val="clear" w:color="auto" w:fill="auto"/>
            <w:vAlign w:val="center"/>
            <w:hideMark/>
          </w:tcPr>
          <w:p w14:paraId="4AF31FEE" w14:textId="77777777" w:rsidR="003404A2" w:rsidRPr="00B16A18" w:rsidRDefault="003404A2" w:rsidP="0015273C">
            <w:pPr>
              <w:spacing w:after="0" w:line="240" w:lineRule="auto"/>
              <w:jc w:val="center"/>
              <w:rPr>
                <w:rFonts w:ascii="Arial Narrow" w:eastAsia="Times New Roman" w:hAnsi="Arial Narrow" w:cs="Arial"/>
                <w:b/>
                <w:bCs/>
                <w:sz w:val="16"/>
                <w:szCs w:val="16"/>
                <w:lang w:eastAsia="pt-BR"/>
              </w:rPr>
            </w:pPr>
            <w:r w:rsidRPr="00B16A18">
              <w:rPr>
                <w:rFonts w:ascii="Arial Narrow" w:eastAsia="Times New Roman" w:hAnsi="Arial Narrow" w:cs="Arial"/>
                <w:b/>
                <w:bCs/>
                <w:sz w:val="16"/>
                <w:szCs w:val="16"/>
                <w:lang w:eastAsia="pt-BR"/>
              </w:rPr>
              <w:t>BFI.H011</w:t>
            </w:r>
          </w:p>
        </w:tc>
      </w:tr>
      <w:tr w:rsidR="003404A2" w:rsidRPr="00B16A18" w14:paraId="14CB233A" w14:textId="77777777" w:rsidTr="0015273C">
        <w:trPr>
          <w:trHeight w:val="255"/>
        </w:trPr>
        <w:tc>
          <w:tcPr>
            <w:tcW w:w="4820" w:type="dxa"/>
            <w:tcBorders>
              <w:top w:val="nil"/>
              <w:left w:val="single" w:sz="8" w:space="0" w:color="auto"/>
              <w:bottom w:val="nil"/>
              <w:right w:val="single" w:sz="8" w:space="0" w:color="auto"/>
            </w:tcBorders>
            <w:shd w:val="clear" w:color="auto" w:fill="auto"/>
            <w:noWrap/>
            <w:vAlign w:val="center"/>
          </w:tcPr>
          <w:p w14:paraId="2561BA4E" w14:textId="77777777" w:rsidR="003404A2" w:rsidRPr="00B16A18" w:rsidRDefault="003404A2" w:rsidP="0015273C">
            <w:pPr>
              <w:spacing w:after="0" w:line="240" w:lineRule="auto"/>
              <w:ind w:firstLineChars="221" w:firstLine="354"/>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001 - Recursos Ordinários</w:t>
            </w:r>
          </w:p>
        </w:tc>
        <w:tc>
          <w:tcPr>
            <w:tcW w:w="1134" w:type="dxa"/>
            <w:tcBorders>
              <w:top w:val="nil"/>
              <w:left w:val="nil"/>
              <w:bottom w:val="nil"/>
              <w:right w:val="single" w:sz="8" w:space="0" w:color="auto"/>
            </w:tcBorders>
            <w:shd w:val="clear" w:color="auto" w:fill="auto"/>
            <w:vAlign w:val="center"/>
          </w:tcPr>
          <w:p w14:paraId="3135021A"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BFI.C089</w:t>
            </w:r>
          </w:p>
        </w:tc>
        <w:tc>
          <w:tcPr>
            <w:tcW w:w="1276" w:type="dxa"/>
            <w:tcBorders>
              <w:top w:val="nil"/>
              <w:left w:val="nil"/>
              <w:bottom w:val="nil"/>
              <w:right w:val="single" w:sz="8" w:space="0" w:color="auto"/>
            </w:tcBorders>
            <w:shd w:val="clear" w:color="auto" w:fill="auto"/>
            <w:vAlign w:val="center"/>
          </w:tcPr>
          <w:p w14:paraId="599E6906"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BFI.D089</w:t>
            </w:r>
          </w:p>
        </w:tc>
        <w:tc>
          <w:tcPr>
            <w:tcW w:w="4243" w:type="dxa"/>
            <w:tcBorders>
              <w:top w:val="nil"/>
              <w:left w:val="nil"/>
              <w:bottom w:val="nil"/>
              <w:right w:val="single" w:sz="8" w:space="0" w:color="auto"/>
            </w:tcBorders>
            <w:shd w:val="clear" w:color="auto" w:fill="auto"/>
            <w:noWrap/>
            <w:vAlign w:val="center"/>
          </w:tcPr>
          <w:p w14:paraId="2D2FF342" w14:textId="77777777" w:rsidR="003404A2" w:rsidRPr="00B16A18" w:rsidRDefault="003404A2" w:rsidP="0015273C">
            <w:pPr>
              <w:spacing w:after="0" w:line="240" w:lineRule="auto"/>
              <w:ind w:firstLineChars="221" w:firstLine="354"/>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001 - Recursos Ordinários</w:t>
            </w:r>
          </w:p>
        </w:tc>
        <w:tc>
          <w:tcPr>
            <w:tcW w:w="1285" w:type="dxa"/>
            <w:tcBorders>
              <w:top w:val="nil"/>
              <w:left w:val="nil"/>
              <w:bottom w:val="nil"/>
              <w:right w:val="single" w:sz="8" w:space="0" w:color="auto"/>
            </w:tcBorders>
            <w:shd w:val="clear" w:color="auto" w:fill="auto"/>
            <w:vAlign w:val="center"/>
          </w:tcPr>
          <w:p w14:paraId="2393E9EB"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BFI.G089</w:t>
            </w:r>
          </w:p>
        </w:tc>
        <w:tc>
          <w:tcPr>
            <w:tcW w:w="1276" w:type="dxa"/>
            <w:tcBorders>
              <w:top w:val="nil"/>
              <w:left w:val="nil"/>
              <w:bottom w:val="nil"/>
              <w:right w:val="single" w:sz="8" w:space="0" w:color="auto"/>
            </w:tcBorders>
            <w:shd w:val="clear" w:color="auto" w:fill="auto"/>
            <w:vAlign w:val="center"/>
          </w:tcPr>
          <w:p w14:paraId="7C81A606"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BFI.H089</w:t>
            </w:r>
          </w:p>
        </w:tc>
      </w:tr>
      <w:tr w:rsidR="003404A2" w:rsidRPr="00B16A18" w14:paraId="77E9885C" w14:textId="77777777" w:rsidTr="0015273C">
        <w:trPr>
          <w:trHeight w:val="255"/>
        </w:trPr>
        <w:tc>
          <w:tcPr>
            <w:tcW w:w="4820" w:type="dxa"/>
            <w:tcBorders>
              <w:top w:val="nil"/>
              <w:left w:val="single" w:sz="8" w:space="0" w:color="auto"/>
              <w:bottom w:val="nil"/>
              <w:right w:val="single" w:sz="8" w:space="0" w:color="auto"/>
            </w:tcBorders>
            <w:shd w:val="clear" w:color="auto" w:fill="auto"/>
            <w:noWrap/>
            <w:vAlign w:val="center"/>
          </w:tcPr>
          <w:p w14:paraId="5013230A" w14:textId="77777777" w:rsidR="003404A2" w:rsidRPr="00B16A18" w:rsidRDefault="003404A2" w:rsidP="0015273C">
            <w:pPr>
              <w:spacing w:after="0" w:line="240" w:lineRule="auto"/>
              <w:ind w:firstLineChars="221" w:firstLine="354"/>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090 – Outros Recursos Não Vinculados</w:t>
            </w:r>
          </w:p>
        </w:tc>
        <w:tc>
          <w:tcPr>
            <w:tcW w:w="1134" w:type="dxa"/>
            <w:tcBorders>
              <w:top w:val="nil"/>
              <w:left w:val="nil"/>
              <w:bottom w:val="nil"/>
              <w:right w:val="single" w:sz="8" w:space="0" w:color="auto"/>
            </w:tcBorders>
            <w:shd w:val="clear" w:color="auto" w:fill="auto"/>
            <w:vAlign w:val="center"/>
          </w:tcPr>
          <w:p w14:paraId="09340E9A" w14:textId="77777777" w:rsidR="003404A2" w:rsidRPr="00B16A18" w:rsidRDefault="003404A2"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BFI.C097</w:t>
            </w:r>
          </w:p>
        </w:tc>
        <w:tc>
          <w:tcPr>
            <w:tcW w:w="1276" w:type="dxa"/>
            <w:tcBorders>
              <w:top w:val="nil"/>
              <w:left w:val="nil"/>
              <w:bottom w:val="nil"/>
              <w:right w:val="single" w:sz="8" w:space="0" w:color="auto"/>
            </w:tcBorders>
            <w:shd w:val="clear" w:color="auto" w:fill="auto"/>
            <w:vAlign w:val="center"/>
          </w:tcPr>
          <w:p w14:paraId="2D20E6DD" w14:textId="77777777" w:rsidR="003404A2" w:rsidRPr="00B16A18" w:rsidRDefault="003404A2"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BFI.D097</w:t>
            </w:r>
          </w:p>
        </w:tc>
        <w:tc>
          <w:tcPr>
            <w:tcW w:w="4243" w:type="dxa"/>
            <w:tcBorders>
              <w:top w:val="nil"/>
              <w:left w:val="nil"/>
              <w:bottom w:val="nil"/>
              <w:right w:val="single" w:sz="8" w:space="0" w:color="auto"/>
            </w:tcBorders>
            <w:shd w:val="clear" w:color="auto" w:fill="auto"/>
            <w:noWrap/>
            <w:vAlign w:val="center"/>
          </w:tcPr>
          <w:p w14:paraId="6245799C" w14:textId="77777777" w:rsidR="003404A2" w:rsidRPr="00B16A18" w:rsidRDefault="003404A2" w:rsidP="0015273C">
            <w:pPr>
              <w:spacing w:after="0" w:line="240" w:lineRule="auto"/>
              <w:ind w:firstLineChars="224" w:firstLine="358"/>
              <w:rPr>
                <w:rFonts w:ascii="Arial Narrow" w:eastAsia="Times New Roman" w:hAnsi="Arial Narrow" w:cs="Arial"/>
                <w:b/>
                <w:bCs/>
                <w:sz w:val="16"/>
                <w:szCs w:val="16"/>
                <w:u w:val="single"/>
                <w:lang w:eastAsia="pt-BR"/>
              </w:rPr>
            </w:pPr>
            <w:r w:rsidRPr="00B16A18">
              <w:rPr>
                <w:rFonts w:ascii="Arial Narrow" w:eastAsia="Times New Roman" w:hAnsi="Arial Narrow" w:cs="Arial"/>
                <w:sz w:val="16"/>
                <w:szCs w:val="16"/>
                <w:lang w:eastAsia="pt-BR"/>
              </w:rPr>
              <w:t>090 – Outros Recursos Não Vinculados</w:t>
            </w:r>
          </w:p>
        </w:tc>
        <w:tc>
          <w:tcPr>
            <w:tcW w:w="1285" w:type="dxa"/>
            <w:tcBorders>
              <w:top w:val="nil"/>
              <w:left w:val="nil"/>
              <w:bottom w:val="nil"/>
              <w:right w:val="single" w:sz="8" w:space="0" w:color="auto"/>
            </w:tcBorders>
            <w:shd w:val="clear" w:color="auto" w:fill="auto"/>
            <w:vAlign w:val="center"/>
          </w:tcPr>
          <w:p w14:paraId="1E5740E6" w14:textId="77777777" w:rsidR="003404A2" w:rsidRPr="00B16A18" w:rsidRDefault="003404A2"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BFI.G097</w:t>
            </w:r>
          </w:p>
        </w:tc>
        <w:tc>
          <w:tcPr>
            <w:tcW w:w="1276" w:type="dxa"/>
            <w:tcBorders>
              <w:top w:val="nil"/>
              <w:left w:val="nil"/>
              <w:bottom w:val="nil"/>
              <w:right w:val="single" w:sz="8" w:space="0" w:color="auto"/>
            </w:tcBorders>
            <w:shd w:val="clear" w:color="auto" w:fill="auto"/>
            <w:vAlign w:val="center"/>
          </w:tcPr>
          <w:p w14:paraId="14616843" w14:textId="77777777" w:rsidR="003404A2" w:rsidRPr="00B16A18" w:rsidRDefault="003404A2"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BFI.H097</w:t>
            </w:r>
          </w:p>
        </w:tc>
      </w:tr>
      <w:tr w:rsidR="003404A2" w:rsidRPr="00B16A18" w14:paraId="20913E58" w14:textId="77777777" w:rsidTr="0015273C">
        <w:trPr>
          <w:trHeight w:val="255"/>
        </w:trPr>
        <w:tc>
          <w:tcPr>
            <w:tcW w:w="4820" w:type="dxa"/>
            <w:tcBorders>
              <w:top w:val="nil"/>
              <w:left w:val="single" w:sz="8" w:space="0" w:color="auto"/>
              <w:bottom w:val="nil"/>
              <w:right w:val="single" w:sz="8" w:space="0" w:color="auto"/>
            </w:tcBorders>
            <w:shd w:val="clear" w:color="auto" w:fill="auto"/>
            <w:noWrap/>
            <w:vAlign w:val="center"/>
            <w:hideMark/>
          </w:tcPr>
          <w:p w14:paraId="55213033" w14:textId="77777777" w:rsidR="003404A2" w:rsidRPr="00B16A18" w:rsidRDefault="003404A2" w:rsidP="0015273C">
            <w:pPr>
              <w:spacing w:after="0" w:line="240" w:lineRule="auto"/>
              <w:ind w:firstLineChars="100" w:firstLine="161"/>
              <w:rPr>
                <w:rFonts w:ascii="Arial Narrow" w:eastAsia="Times New Roman" w:hAnsi="Arial Narrow" w:cs="Arial"/>
                <w:b/>
                <w:bCs/>
                <w:sz w:val="16"/>
                <w:szCs w:val="16"/>
                <w:u w:val="single"/>
                <w:lang w:eastAsia="pt-BR"/>
              </w:rPr>
            </w:pPr>
            <w:r w:rsidRPr="00B16A18">
              <w:rPr>
                <w:rFonts w:ascii="Arial Narrow" w:eastAsia="Times New Roman" w:hAnsi="Arial Narrow" w:cs="Arial"/>
                <w:b/>
                <w:bCs/>
                <w:sz w:val="16"/>
                <w:szCs w:val="16"/>
                <w:u w:val="single"/>
                <w:lang w:eastAsia="pt-BR"/>
              </w:rPr>
              <w:t>Vinculada</w:t>
            </w:r>
          </w:p>
        </w:tc>
        <w:tc>
          <w:tcPr>
            <w:tcW w:w="1134" w:type="dxa"/>
            <w:tcBorders>
              <w:top w:val="nil"/>
              <w:left w:val="nil"/>
              <w:bottom w:val="nil"/>
              <w:right w:val="single" w:sz="8" w:space="0" w:color="auto"/>
            </w:tcBorders>
            <w:shd w:val="clear" w:color="auto" w:fill="auto"/>
            <w:vAlign w:val="center"/>
            <w:hideMark/>
          </w:tcPr>
          <w:p w14:paraId="7542FB40" w14:textId="77777777" w:rsidR="003404A2" w:rsidRPr="00B16A18" w:rsidRDefault="003404A2" w:rsidP="0015273C">
            <w:pPr>
              <w:spacing w:after="0" w:line="240" w:lineRule="auto"/>
              <w:jc w:val="center"/>
              <w:rPr>
                <w:rFonts w:ascii="Arial Narrow" w:eastAsia="Times New Roman" w:hAnsi="Arial Narrow" w:cs="Arial"/>
                <w:b/>
                <w:bCs/>
                <w:sz w:val="16"/>
                <w:szCs w:val="16"/>
                <w:lang w:eastAsia="pt-BR"/>
              </w:rPr>
            </w:pPr>
            <w:r w:rsidRPr="00B16A18">
              <w:rPr>
                <w:rFonts w:ascii="Arial Narrow" w:eastAsia="Times New Roman" w:hAnsi="Arial Narrow" w:cs="Arial"/>
                <w:b/>
                <w:bCs/>
                <w:sz w:val="16"/>
                <w:szCs w:val="16"/>
                <w:lang w:eastAsia="pt-BR"/>
              </w:rPr>
              <w:t>BFI.C012</w:t>
            </w:r>
          </w:p>
        </w:tc>
        <w:tc>
          <w:tcPr>
            <w:tcW w:w="1276" w:type="dxa"/>
            <w:tcBorders>
              <w:top w:val="nil"/>
              <w:left w:val="nil"/>
              <w:bottom w:val="nil"/>
              <w:right w:val="single" w:sz="8" w:space="0" w:color="auto"/>
            </w:tcBorders>
            <w:shd w:val="clear" w:color="auto" w:fill="auto"/>
            <w:vAlign w:val="center"/>
            <w:hideMark/>
          </w:tcPr>
          <w:p w14:paraId="25ADC794" w14:textId="77777777" w:rsidR="003404A2" w:rsidRPr="00B16A18" w:rsidRDefault="003404A2" w:rsidP="0015273C">
            <w:pPr>
              <w:spacing w:after="0" w:line="240" w:lineRule="auto"/>
              <w:jc w:val="center"/>
              <w:rPr>
                <w:rFonts w:ascii="Arial Narrow" w:eastAsia="Times New Roman" w:hAnsi="Arial Narrow" w:cs="Arial"/>
                <w:b/>
                <w:bCs/>
                <w:sz w:val="16"/>
                <w:szCs w:val="16"/>
                <w:lang w:eastAsia="pt-BR"/>
              </w:rPr>
            </w:pPr>
            <w:r w:rsidRPr="00B16A18">
              <w:rPr>
                <w:rFonts w:ascii="Arial Narrow" w:eastAsia="Times New Roman" w:hAnsi="Arial Narrow" w:cs="Arial"/>
                <w:b/>
                <w:bCs/>
                <w:sz w:val="16"/>
                <w:szCs w:val="16"/>
                <w:lang w:eastAsia="pt-BR"/>
              </w:rPr>
              <w:t>BFI.D012</w:t>
            </w:r>
          </w:p>
        </w:tc>
        <w:tc>
          <w:tcPr>
            <w:tcW w:w="4243" w:type="dxa"/>
            <w:tcBorders>
              <w:top w:val="nil"/>
              <w:left w:val="nil"/>
              <w:bottom w:val="nil"/>
              <w:right w:val="single" w:sz="8" w:space="0" w:color="auto"/>
            </w:tcBorders>
            <w:shd w:val="clear" w:color="auto" w:fill="auto"/>
            <w:noWrap/>
            <w:vAlign w:val="center"/>
            <w:hideMark/>
          </w:tcPr>
          <w:p w14:paraId="16CE4006" w14:textId="77777777" w:rsidR="003404A2" w:rsidRPr="00B16A18" w:rsidRDefault="003404A2" w:rsidP="0015273C">
            <w:pPr>
              <w:spacing w:after="0" w:line="240" w:lineRule="auto"/>
              <w:ind w:firstLineChars="100" w:firstLine="161"/>
              <w:rPr>
                <w:rFonts w:ascii="Arial Narrow" w:eastAsia="Times New Roman" w:hAnsi="Arial Narrow" w:cs="Arial"/>
                <w:b/>
                <w:bCs/>
                <w:sz w:val="16"/>
                <w:szCs w:val="16"/>
                <w:u w:val="single"/>
                <w:lang w:eastAsia="pt-BR"/>
              </w:rPr>
            </w:pPr>
            <w:r w:rsidRPr="00B16A18">
              <w:rPr>
                <w:rFonts w:ascii="Arial Narrow" w:eastAsia="Times New Roman" w:hAnsi="Arial Narrow" w:cs="Arial"/>
                <w:b/>
                <w:bCs/>
                <w:sz w:val="16"/>
                <w:szCs w:val="16"/>
                <w:u w:val="single"/>
                <w:lang w:eastAsia="pt-BR"/>
              </w:rPr>
              <w:t>Vinculada</w:t>
            </w:r>
          </w:p>
        </w:tc>
        <w:tc>
          <w:tcPr>
            <w:tcW w:w="1285" w:type="dxa"/>
            <w:tcBorders>
              <w:top w:val="nil"/>
              <w:left w:val="nil"/>
              <w:bottom w:val="nil"/>
              <w:right w:val="single" w:sz="8" w:space="0" w:color="auto"/>
            </w:tcBorders>
            <w:shd w:val="clear" w:color="auto" w:fill="auto"/>
            <w:vAlign w:val="center"/>
            <w:hideMark/>
          </w:tcPr>
          <w:p w14:paraId="017AF60F" w14:textId="77777777" w:rsidR="003404A2" w:rsidRPr="00B16A18" w:rsidRDefault="003404A2" w:rsidP="0015273C">
            <w:pPr>
              <w:spacing w:after="0" w:line="240" w:lineRule="auto"/>
              <w:jc w:val="center"/>
              <w:rPr>
                <w:rFonts w:ascii="Arial Narrow" w:eastAsia="Times New Roman" w:hAnsi="Arial Narrow" w:cs="Arial"/>
                <w:b/>
                <w:bCs/>
                <w:sz w:val="16"/>
                <w:szCs w:val="16"/>
                <w:lang w:eastAsia="pt-BR"/>
              </w:rPr>
            </w:pPr>
            <w:r w:rsidRPr="00B16A18">
              <w:rPr>
                <w:rFonts w:ascii="Arial Narrow" w:eastAsia="Times New Roman" w:hAnsi="Arial Narrow" w:cs="Arial"/>
                <w:b/>
                <w:bCs/>
                <w:sz w:val="16"/>
                <w:szCs w:val="16"/>
                <w:lang w:eastAsia="pt-BR"/>
              </w:rPr>
              <w:t>BFI.G012</w:t>
            </w:r>
          </w:p>
        </w:tc>
        <w:tc>
          <w:tcPr>
            <w:tcW w:w="1276" w:type="dxa"/>
            <w:tcBorders>
              <w:top w:val="nil"/>
              <w:left w:val="nil"/>
              <w:bottom w:val="nil"/>
              <w:right w:val="single" w:sz="8" w:space="0" w:color="auto"/>
            </w:tcBorders>
            <w:shd w:val="clear" w:color="auto" w:fill="auto"/>
            <w:vAlign w:val="center"/>
            <w:hideMark/>
          </w:tcPr>
          <w:p w14:paraId="653E42B0" w14:textId="77777777" w:rsidR="003404A2" w:rsidRPr="00B16A18" w:rsidRDefault="003404A2" w:rsidP="0015273C">
            <w:pPr>
              <w:spacing w:after="0" w:line="240" w:lineRule="auto"/>
              <w:jc w:val="center"/>
              <w:rPr>
                <w:rFonts w:ascii="Arial Narrow" w:eastAsia="Times New Roman" w:hAnsi="Arial Narrow" w:cs="Arial"/>
                <w:b/>
                <w:bCs/>
                <w:sz w:val="16"/>
                <w:szCs w:val="16"/>
                <w:lang w:eastAsia="pt-BR"/>
              </w:rPr>
            </w:pPr>
            <w:r w:rsidRPr="00B16A18">
              <w:rPr>
                <w:rFonts w:ascii="Arial Narrow" w:eastAsia="Times New Roman" w:hAnsi="Arial Narrow" w:cs="Arial"/>
                <w:b/>
                <w:bCs/>
                <w:sz w:val="16"/>
                <w:szCs w:val="16"/>
                <w:lang w:eastAsia="pt-BR"/>
              </w:rPr>
              <w:t>BFI.H012</w:t>
            </w:r>
          </w:p>
        </w:tc>
      </w:tr>
      <w:tr w:rsidR="003404A2" w:rsidRPr="00B16A18" w14:paraId="04FDC2E4" w14:textId="77777777" w:rsidTr="0015273C">
        <w:trPr>
          <w:trHeight w:val="255"/>
        </w:trPr>
        <w:tc>
          <w:tcPr>
            <w:tcW w:w="4820" w:type="dxa"/>
            <w:tcBorders>
              <w:top w:val="nil"/>
              <w:left w:val="single" w:sz="8" w:space="0" w:color="auto"/>
              <w:bottom w:val="nil"/>
              <w:right w:val="single" w:sz="8" w:space="0" w:color="auto"/>
            </w:tcBorders>
            <w:shd w:val="clear" w:color="auto" w:fill="auto"/>
            <w:noWrap/>
            <w:vAlign w:val="center"/>
            <w:hideMark/>
          </w:tcPr>
          <w:p w14:paraId="7F118431" w14:textId="77777777" w:rsidR="003404A2" w:rsidRPr="00B16A18" w:rsidRDefault="003404A2" w:rsidP="0015273C">
            <w:pPr>
              <w:spacing w:after="0" w:line="240" w:lineRule="auto"/>
              <w:ind w:firstLineChars="100" w:firstLine="161"/>
              <w:rPr>
                <w:rFonts w:ascii="Arial Narrow" w:eastAsia="Times New Roman" w:hAnsi="Arial Narrow" w:cs="Arial"/>
                <w:b/>
                <w:bCs/>
                <w:sz w:val="16"/>
                <w:szCs w:val="16"/>
                <w:lang w:eastAsia="pt-BR"/>
              </w:rPr>
            </w:pPr>
            <w:r w:rsidRPr="00B16A18">
              <w:rPr>
                <w:rFonts w:ascii="Arial Narrow" w:eastAsia="Times New Roman" w:hAnsi="Arial Narrow" w:cs="Arial"/>
                <w:b/>
                <w:bCs/>
                <w:sz w:val="16"/>
                <w:szCs w:val="16"/>
                <w:lang w:eastAsia="pt-BR"/>
              </w:rPr>
              <w:t xml:space="preserve">  Recursos Vinculados à Educação </w:t>
            </w:r>
          </w:p>
        </w:tc>
        <w:tc>
          <w:tcPr>
            <w:tcW w:w="1134" w:type="dxa"/>
            <w:tcBorders>
              <w:top w:val="nil"/>
              <w:left w:val="nil"/>
              <w:bottom w:val="nil"/>
              <w:right w:val="single" w:sz="8" w:space="0" w:color="auto"/>
            </w:tcBorders>
            <w:shd w:val="clear" w:color="auto" w:fill="auto"/>
            <w:vAlign w:val="center"/>
            <w:hideMark/>
          </w:tcPr>
          <w:p w14:paraId="5E093DEA" w14:textId="77777777" w:rsidR="003404A2" w:rsidRPr="00B16A18" w:rsidRDefault="003404A2" w:rsidP="0015273C">
            <w:pPr>
              <w:spacing w:after="0" w:line="240" w:lineRule="auto"/>
              <w:jc w:val="center"/>
              <w:rPr>
                <w:rFonts w:ascii="Arial Narrow" w:eastAsia="Times New Roman" w:hAnsi="Arial Narrow" w:cs="Arial"/>
                <w:b/>
                <w:bCs/>
                <w:sz w:val="16"/>
                <w:szCs w:val="16"/>
                <w:lang w:eastAsia="pt-BR"/>
              </w:rPr>
            </w:pPr>
            <w:r w:rsidRPr="00B16A18">
              <w:rPr>
                <w:rFonts w:ascii="Arial Narrow" w:eastAsia="Times New Roman" w:hAnsi="Arial Narrow" w:cs="Arial"/>
                <w:b/>
                <w:bCs/>
                <w:sz w:val="16"/>
                <w:szCs w:val="16"/>
                <w:lang w:eastAsia="pt-BR"/>
              </w:rPr>
              <w:t>BFI.C013</w:t>
            </w:r>
          </w:p>
        </w:tc>
        <w:tc>
          <w:tcPr>
            <w:tcW w:w="1276" w:type="dxa"/>
            <w:tcBorders>
              <w:top w:val="nil"/>
              <w:left w:val="nil"/>
              <w:bottom w:val="nil"/>
              <w:right w:val="single" w:sz="8" w:space="0" w:color="auto"/>
            </w:tcBorders>
            <w:shd w:val="clear" w:color="auto" w:fill="auto"/>
            <w:vAlign w:val="center"/>
            <w:hideMark/>
          </w:tcPr>
          <w:p w14:paraId="23992C6D" w14:textId="77777777" w:rsidR="003404A2" w:rsidRPr="00B16A18" w:rsidRDefault="003404A2" w:rsidP="0015273C">
            <w:pPr>
              <w:spacing w:after="0" w:line="240" w:lineRule="auto"/>
              <w:jc w:val="center"/>
              <w:rPr>
                <w:rFonts w:ascii="Arial Narrow" w:eastAsia="Times New Roman" w:hAnsi="Arial Narrow" w:cs="Arial"/>
                <w:b/>
                <w:bCs/>
                <w:sz w:val="16"/>
                <w:szCs w:val="16"/>
                <w:lang w:eastAsia="pt-BR"/>
              </w:rPr>
            </w:pPr>
            <w:r w:rsidRPr="00B16A18">
              <w:rPr>
                <w:rFonts w:ascii="Arial Narrow" w:eastAsia="Times New Roman" w:hAnsi="Arial Narrow" w:cs="Arial"/>
                <w:b/>
                <w:bCs/>
                <w:sz w:val="16"/>
                <w:szCs w:val="16"/>
                <w:lang w:eastAsia="pt-BR"/>
              </w:rPr>
              <w:t>BFI.D013</w:t>
            </w:r>
          </w:p>
        </w:tc>
        <w:tc>
          <w:tcPr>
            <w:tcW w:w="4243" w:type="dxa"/>
            <w:tcBorders>
              <w:top w:val="nil"/>
              <w:left w:val="nil"/>
              <w:bottom w:val="nil"/>
              <w:right w:val="single" w:sz="8" w:space="0" w:color="auto"/>
            </w:tcBorders>
            <w:shd w:val="clear" w:color="auto" w:fill="auto"/>
            <w:noWrap/>
            <w:vAlign w:val="center"/>
            <w:hideMark/>
          </w:tcPr>
          <w:p w14:paraId="464A1316" w14:textId="77777777" w:rsidR="003404A2" w:rsidRPr="00B16A18" w:rsidRDefault="003404A2" w:rsidP="0015273C">
            <w:pPr>
              <w:spacing w:after="0" w:line="240" w:lineRule="auto"/>
              <w:ind w:firstLineChars="100" w:firstLine="161"/>
              <w:rPr>
                <w:rFonts w:ascii="Arial Narrow" w:eastAsia="Times New Roman" w:hAnsi="Arial Narrow" w:cs="Arial"/>
                <w:b/>
                <w:bCs/>
                <w:sz w:val="16"/>
                <w:szCs w:val="16"/>
                <w:lang w:eastAsia="pt-BR"/>
              </w:rPr>
            </w:pPr>
            <w:r w:rsidRPr="00B16A18">
              <w:rPr>
                <w:rFonts w:ascii="Arial Narrow" w:eastAsia="Times New Roman" w:hAnsi="Arial Narrow" w:cs="Arial"/>
                <w:b/>
                <w:bCs/>
                <w:sz w:val="16"/>
                <w:szCs w:val="16"/>
                <w:lang w:eastAsia="pt-BR"/>
              </w:rPr>
              <w:t xml:space="preserve">  Recursos Destinados à Educação </w:t>
            </w:r>
          </w:p>
        </w:tc>
        <w:tc>
          <w:tcPr>
            <w:tcW w:w="1285" w:type="dxa"/>
            <w:tcBorders>
              <w:top w:val="nil"/>
              <w:left w:val="nil"/>
              <w:bottom w:val="nil"/>
              <w:right w:val="single" w:sz="8" w:space="0" w:color="auto"/>
            </w:tcBorders>
            <w:shd w:val="clear" w:color="auto" w:fill="auto"/>
            <w:vAlign w:val="center"/>
            <w:hideMark/>
          </w:tcPr>
          <w:p w14:paraId="22CB0364" w14:textId="77777777" w:rsidR="003404A2" w:rsidRPr="00B16A18" w:rsidRDefault="003404A2" w:rsidP="0015273C">
            <w:pPr>
              <w:spacing w:after="0" w:line="240" w:lineRule="auto"/>
              <w:jc w:val="center"/>
              <w:rPr>
                <w:rFonts w:ascii="Arial Narrow" w:eastAsia="Times New Roman" w:hAnsi="Arial Narrow" w:cs="Arial"/>
                <w:b/>
                <w:bCs/>
                <w:sz w:val="16"/>
                <w:szCs w:val="16"/>
                <w:lang w:eastAsia="pt-BR"/>
              </w:rPr>
            </w:pPr>
            <w:r w:rsidRPr="00B16A18">
              <w:rPr>
                <w:rFonts w:ascii="Arial Narrow" w:eastAsia="Times New Roman" w:hAnsi="Arial Narrow" w:cs="Arial"/>
                <w:b/>
                <w:bCs/>
                <w:sz w:val="16"/>
                <w:szCs w:val="16"/>
                <w:lang w:eastAsia="pt-BR"/>
              </w:rPr>
              <w:t>BFI.G013</w:t>
            </w:r>
          </w:p>
        </w:tc>
        <w:tc>
          <w:tcPr>
            <w:tcW w:w="1276" w:type="dxa"/>
            <w:tcBorders>
              <w:top w:val="nil"/>
              <w:left w:val="nil"/>
              <w:bottom w:val="nil"/>
              <w:right w:val="single" w:sz="8" w:space="0" w:color="auto"/>
            </w:tcBorders>
            <w:shd w:val="clear" w:color="auto" w:fill="auto"/>
            <w:vAlign w:val="center"/>
            <w:hideMark/>
          </w:tcPr>
          <w:p w14:paraId="614DE958" w14:textId="77777777" w:rsidR="003404A2" w:rsidRPr="00B16A18" w:rsidRDefault="003404A2" w:rsidP="0015273C">
            <w:pPr>
              <w:spacing w:after="0" w:line="240" w:lineRule="auto"/>
              <w:jc w:val="center"/>
              <w:rPr>
                <w:rFonts w:ascii="Arial Narrow" w:eastAsia="Times New Roman" w:hAnsi="Arial Narrow" w:cs="Arial"/>
                <w:b/>
                <w:bCs/>
                <w:sz w:val="16"/>
                <w:szCs w:val="16"/>
                <w:lang w:eastAsia="pt-BR"/>
              </w:rPr>
            </w:pPr>
            <w:r w:rsidRPr="00B16A18">
              <w:rPr>
                <w:rFonts w:ascii="Arial Narrow" w:eastAsia="Times New Roman" w:hAnsi="Arial Narrow" w:cs="Arial"/>
                <w:b/>
                <w:bCs/>
                <w:sz w:val="16"/>
                <w:szCs w:val="16"/>
                <w:lang w:eastAsia="pt-BR"/>
              </w:rPr>
              <w:t>BFI.H013</w:t>
            </w:r>
          </w:p>
        </w:tc>
      </w:tr>
      <w:tr w:rsidR="003404A2" w:rsidRPr="00B16A18" w14:paraId="2E9A6CDB" w14:textId="77777777" w:rsidTr="0015273C">
        <w:trPr>
          <w:trHeight w:val="255"/>
        </w:trPr>
        <w:tc>
          <w:tcPr>
            <w:tcW w:w="4820" w:type="dxa"/>
            <w:tcBorders>
              <w:top w:val="nil"/>
              <w:left w:val="single" w:sz="8" w:space="0" w:color="auto"/>
              <w:bottom w:val="nil"/>
              <w:right w:val="single" w:sz="8" w:space="0" w:color="auto"/>
            </w:tcBorders>
            <w:shd w:val="clear" w:color="auto" w:fill="auto"/>
            <w:noWrap/>
            <w:vAlign w:val="center"/>
            <w:hideMark/>
          </w:tcPr>
          <w:p w14:paraId="162A6A37" w14:textId="77777777" w:rsidR="003404A2" w:rsidRPr="00B16A18" w:rsidRDefault="003404A2" w:rsidP="0015273C">
            <w:pPr>
              <w:spacing w:after="0" w:line="240" w:lineRule="auto"/>
              <w:ind w:firstLineChars="221" w:firstLine="354"/>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111 - Receita de Impostos e de Transferência de Impostos - Educação</w:t>
            </w:r>
          </w:p>
        </w:tc>
        <w:tc>
          <w:tcPr>
            <w:tcW w:w="1134" w:type="dxa"/>
            <w:tcBorders>
              <w:top w:val="nil"/>
              <w:left w:val="nil"/>
              <w:bottom w:val="nil"/>
              <w:right w:val="single" w:sz="8" w:space="0" w:color="auto"/>
            </w:tcBorders>
            <w:shd w:val="clear" w:color="auto" w:fill="auto"/>
            <w:vAlign w:val="center"/>
            <w:hideMark/>
          </w:tcPr>
          <w:p w14:paraId="74397B19"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BFI.C014</w:t>
            </w:r>
          </w:p>
        </w:tc>
        <w:tc>
          <w:tcPr>
            <w:tcW w:w="1276" w:type="dxa"/>
            <w:tcBorders>
              <w:top w:val="nil"/>
              <w:left w:val="nil"/>
              <w:bottom w:val="nil"/>
              <w:right w:val="single" w:sz="8" w:space="0" w:color="auto"/>
            </w:tcBorders>
            <w:shd w:val="clear" w:color="auto" w:fill="auto"/>
            <w:vAlign w:val="center"/>
            <w:hideMark/>
          </w:tcPr>
          <w:p w14:paraId="5C3453FC"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BFI.D014</w:t>
            </w:r>
          </w:p>
        </w:tc>
        <w:tc>
          <w:tcPr>
            <w:tcW w:w="4243" w:type="dxa"/>
            <w:tcBorders>
              <w:top w:val="nil"/>
              <w:left w:val="nil"/>
              <w:bottom w:val="nil"/>
              <w:right w:val="single" w:sz="8" w:space="0" w:color="auto"/>
            </w:tcBorders>
            <w:shd w:val="clear" w:color="auto" w:fill="auto"/>
            <w:noWrap/>
            <w:vAlign w:val="center"/>
            <w:hideMark/>
          </w:tcPr>
          <w:p w14:paraId="5E86C595" w14:textId="77777777" w:rsidR="003404A2" w:rsidRPr="00B16A18" w:rsidRDefault="003404A2" w:rsidP="0015273C">
            <w:pPr>
              <w:spacing w:after="0" w:line="240" w:lineRule="auto"/>
              <w:ind w:firstLineChars="221" w:firstLine="354"/>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111 - Receita de Impostos e de Transferência de Impostos - Educação</w:t>
            </w:r>
          </w:p>
        </w:tc>
        <w:tc>
          <w:tcPr>
            <w:tcW w:w="1285" w:type="dxa"/>
            <w:tcBorders>
              <w:top w:val="nil"/>
              <w:left w:val="nil"/>
              <w:bottom w:val="nil"/>
              <w:right w:val="single" w:sz="8" w:space="0" w:color="auto"/>
            </w:tcBorders>
            <w:shd w:val="clear" w:color="auto" w:fill="auto"/>
            <w:vAlign w:val="center"/>
            <w:hideMark/>
          </w:tcPr>
          <w:p w14:paraId="7356D991"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BFI.G014</w:t>
            </w:r>
          </w:p>
        </w:tc>
        <w:tc>
          <w:tcPr>
            <w:tcW w:w="1276" w:type="dxa"/>
            <w:tcBorders>
              <w:top w:val="nil"/>
              <w:left w:val="nil"/>
              <w:bottom w:val="nil"/>
              <w:right w:val="single" w:sz="8" w:space="0" w:color="auto"/>
            </w:tcBorders>
            <w:shd w:val="clear" w:color="auto" w:fill="auto"/>
            <w:vAlign w:val="center"/>
            <w:hideMark/>
          </w:tcPr>
          <w:p w14:paraId="65E573DA"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BFI.H014</w:t>
            </w:r>
          </w:p>
        </w:tc>
      </w:tr>
      <w:tr w:rsidR="003404A2" w:rsidRPr="00B16A18" w14:paraId="3653F4C7" w14:textId="77777777" w:rsidTr="0015273C">
        <w:trPr>
          <w:trHeight w:val="255"/>
        </w:trPr>
        <w:tc>
          <w:tcPr>
            <w:tcW w:w="4820" w:type="dxa"/>
            <w:tcBorders>
              <w:top w:val="nil"/>
              <w:left w:val="single" w:sz="8" w:space="0" w:color="auto"/>
              <w:bottom w:val="nil"/>
              <w:right w:val="single" w:sz="8" w:space="0" w:color="auto"/>
            </w:tcBorders>
            <w:shd w:val="clear" w:color="auto" w:fill="auto"/>
            <w:noWrap/>
            <w:vAlign w:val="center"/>
          </w:tcPr>
          <w:p w14:paraId="754ECE4B" w14:textId="77777777" w:rsidR="003404A2" w:rsidRPr="00B16A18" w:rsidRDefault="003404A2" w:rsidP="0015273C">
            <w:pPr>
              <w:spacing w:after="0" w:line="240" w:lineRule="auto"/>
              <w:ind w:firstLineChars="221" w:firstLine="354"/>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 xml:space="preserve">150 – Receita de Imp. Transf. Imp. – Educação - Rem. de Dep. Bancários </w:t>
            </w:r>
          </w:p>
        </w:tc>
        <w:tc>
          <w:tcPr>
            <w:tcW w:w="1134" w:type="dxa"/>
            <w:tcBorders>
              <w:top w:val="nil"/>
              <w:left w:val="nil"/>
              <w:bottom w:val="nil"/>
              <w:right w:val="single" w:sz="8" w:space="0" w:color="auto"/>
            </w:tcBorders>
            <w:shd w:val="clear" w:color="auto" w:fill="auto"/>
            <w:vAlign w:val="center"/>
          </w:tcPr>
          <w:p w14:paraId="6B4D110C"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BFI.C017</w:t>
            </w:r>
          </w:p>
        </w:tc>
        <w:tc>
          <w:tcPr>
            <w:tcW w:w="1276" w:type="dxa"/>
            <w:tcBorders>
              <w:top w:val="nil"/>
              <w:left w:val="nil"/>
              <w:bottom w:val="nil"/>
              <w:right w:val="single" w:sz="8" w:space="0" w:color="auto"/>
            </w:tcBorders>
            <w:shd w:val="clear" w:color="auto" w:fill="auto"/>
            <w:vAlign w:val="center"/>
          </w:tcPr>
          <w:p w14:paraId="0693F8AB"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BFI.D017</w:t>
            </w:r>
          </w:p>
        </w:tc>
        <w:tc>
          <w:tcPr>
            <w:tcW w:w="4243" w:type="dxa"/>
            <w:tcBorders>
              <w:top w:val="nil"/>
              <w:left w:val="nil"/>
              <w:bottom w:val="nil"/>
              <w:right w:val="single" w:sz="8" w:space="0" w:color="auto"/>
            </w:tcBorders>
            <w:shd w:val="clear" w:color="auto" w:fill="auto"/>
            <w:noWrap/>
            <w:vAlign w:val="center"/>
          </w:tcPr>
          <w:p w14:paraId="75B75C9C" w14:textId="77777777" w:rsidR="003404A2" w:rsidRPr="00B16A18" w:rsidRDefault="003404A2" w:rsidP="0015273C">
            <w:pPr>
              <w:spacing w:after="0" w:line="240" w:lineRule="auto"/>
              <w:ind w:firstLineChars="221" w:firstLine="354"/>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150 – Receita de Imp. Transf. Imp. – Educação - Rem. de Dep. Bancários</w:t>
            </w:r>
          </w:p>
        </w:tc>
        <w:tc>
          <w:tcPr>
            <w:tcW w:w="1285" w:type="dxa"/>
            <w:tcBorders>
              <w:top w:val="nil"/>
              <w:left w:val="nil"/>
              <w:bottom w:val="nil"/>
              <w:right w:val="single" w:sz="8" w:space="0" w:color="auto"/>
            </w:tcBorders>
            <w:shd w:val="clear" w:color="auto" w:fill="auto"/>
            <w:vAlign w:val="center"/>
          </w:tcPr>
          <w:p w14:paraId="1668B81F"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BFI.G017</w:t>
            </w:r>
          </w:p>
        </w:tc>
        <w:tc>
          <w:tcPr>
            <w:tcW w:w="1276" w:type="dxa"/>
            <w:tcBorders>
              <w:top w:val="nil"/>
              <w:left w:val="nil"/>
              <w:bottom w:val="nil"/>
              <w:right w:val="single" w:sz="8" w:space="0" w:color="auto"/>
            </w:tcBorders>
            <w:shd w:val="clear" w:color="auto" w:fill="auto"/>
            <w:vAlign w:val="center"/>
          </w:tcPr>
          <w:p w14:paraId="4A6C4305"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BFI.H017</w:t>
            </w:r>
          </w:p>
        </w:tc>
      </w:tr>
      <w:tr w:rsidR="003404A2" w:rsidRPr="00B16A18" w14:paraId="15C13A2A" w14:textId="77777777" w:rsidTr="0015273C">
        <w:trPr>
          <w:trHeight w:val="255"/>
        </w:trPr>
        <w:tc>
          <w:tcPr>
            <w:tcW w:w="4820" w:type="dxa"/>
            <w:tcBorders>
              <w:top w:val="nil"/>
              <w:left w:val="single" w:sz="8" w:space="0" w:color="auto"/>
              <w:bottom w:val="nil"/>
              <w:right w:val="single" w:sz="8" w:space="0" w:color="auto"/>
            </w:tcBorders>
            <w:shd w:val="clear" w:color="auto" w:fill="auto"/>
            <w:noWrap/>
            <w:vAlign w:val="center"/>
            <w:hideMark/>
          </w:tcPr>
          <w:p w14:paraId="4DE24797" w14:textId="0A73489A" w:rsidR="003404A2" w:rsidRPr="00B16A18" w:rsidRDefault="003404A2" w:rsidP="0015273C">
            <w:pPr>
              <w:spacing w:after="0" w:line="240" w:lineRule="auto"/>
              <w:ind w:firstLineChars="221" w:firstLine="354"/>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113 – Transferências do FUNDEB – IMPOSTOS 30%</w:t>
            </w:r>
          </w:p>
        </w:tc>
        <w:tc>
          <w:tcPr>
            <w:tcW w:w="1134" w:type="dxa"/>
            <w:tcBorders>
              <w:top w:val="nil"/>
              <w:left w:val="nil"/>
              <w:bottom w:val="nil"/>
              <w:right w:val="single" w:sz="8" w:space="0" w:color="auto"/>
            </w:tcBorders>
            <w:shd w:val="clear" w:color="auto" w:fill="auto"/>
            <w:vAlign w:val="center"/>
            <w:hideMark/>
          </w:tcPr>
          <w:p w14:paraId="7CE148C3"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BFI.C015</w:t>
            </w:r>
          </w:p>
        </w:tc>
        <w:tc>
          <w:tcPr>
            <w:tcW w:w="1276" w:type="dxa"/>
            <w:tcBorders>
              <w:top w:val="nil"/>
              <w:left w:val="nil"/>
              <w:bottom w:val="nil"/>
              <w:right w:val="single" w:sz="8" w:space="0" w:color="auto"/>
            </w:tcBorders>
            <w:shd w:val="clear" w:color="auto" w:fill="auto"/>
            <w:vAlign w:val="center"/>
            <w:hideMark/>
          </w:tcPr>
          <w:p w14:paraId="69B16A08"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BFI.D015</w:t>
            </w:r>
          </w:p>
        </w:tc>
        <w:tc>
          <w:tcPr>
            <w:tcW w:w="4243" w:type="dxa"/>
            <w:tcBorders>
              <w:top w:val="nil"/>
              <w:left w:val="nil"/>
              <w:bottom w:val="nil"/>
              <w:right w:val="single" w:sz="8" w:space="0" w:color="auto"/>
            </w:tcBorders>
            <w:shd w:val="clear" w:color="auto" w:fill="auto"/>
            <w:noWrap/>
            <w:vAlign w:val="center"/>
            <w:hideMark/>
          </w:tcPr>
          <w:p w14:paraId="563DA539" w14:textId="3A8F7672" w:rsidR="003404A2" w:rsidRPr="00B16A18" w:rsidRDefault="003404A2" w:rsidP="0015273C">
            <w:pPr>
              <w:spacing w:after="0" w:line="240" w:lineRule="auto"/>
              <w:ind w:firstLineChars="221" w:firstLine="354"/>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 xml:space="preserve">113 – Transferências do FUNDEB – IMPOSTOS 30% </w:t>
            </w:r>
          </w:p>
        </w:tc>
        <w:tc>
          <w:tcPr>
            <w:tcW w:w="1285" w:type="dxa"/>
            <w:tcBorders>
              <w:top w:val="nil"/>
              <w:left w:val="nil"/>
              <w:bottom w:val="nil"/>
              <w:right w:val="single" w:sz="8" w:space="0" w:color="auto"/>
            </w:tcBorders>
            <w:shd w:val="clear" w:color="auto" w:fill="auto"/>
            <w:vAlign w:val="center"/>
            <w:hideMark/>
          </w:tcPr>
          <w:p w14:paraId="15F86044"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BFI.G015</w:t>
            </w:r>
          </w:p>
        </w:tc>
        <w:tc>
          <w:tcPr>
            <w:tcW w:w="1276" w:type="dxa"/>
            <w:tcBorders>
              <w:top w:val="nil"/>
              <w:left w:val="nil"/>
              <w:bottom w:val="nil"/>
              <w:right w:val="single" w:sz="8" w:space="0" w:color="auto"/>
            </w:tcBorders>
            <w:shd w:val="clear" w:color="auto" w:fill="auto"/>
            <w:vAlign w:val="center"/>
            <w:hideMark/>
          </w:tcPr>
          <w:p w14:paraId="7491BB09"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BFI.H015</w:t>
            </w:r>
          </w:p>
        </w:tc>
      </w:tr>
      <w:tr w:rsidR="003404A2" w:rsidRPr="00B16A18" w14:paraId="64F67204" w14:textId="77777777" w:rsidTr="0015273C">
        <w:trPr>
          <w:trHeight w:val="255"/>
        </w:trPr>
        <w:tc>
          <w:tcPr>
            <w:tcW w:w="4820" w:type="dxa"/>
            <w:tcBorders>
              <w:top w:val="nil"/>
              <w:left w:val="single" w:sz="8" w:space="0" w:color="auto"/>
              <w:bottom w:val="nil"/>
              <w:right w:val="single" w:sz="8" w:space="0" w:color="auto"/>
            </w:tcBorders>
            <w:shd w:val="clear" w:color="auto" w:fill="auto"/>
            <w:noWrap/>
            <w:vAlign w:val="center"/>
          </w:tcPr>
          <w:p w14:paraId="30E11455" w14:textId="1261E474" w:rsidR="003404A2" w:rsidRPr="00B16A18" w:rsidRDefault="003404A2" w:rsidP="0015273C">
            <w:pPr>
              <w:spacing w:after="0" w:line="240" w:lineRule="auto"/>
              <w:ind w:firstLineChars="221" w:firstLine="354"/>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112 – Transferências do FUNDEB – IMPOSTOS 70%</w:t>
            </w:r>
          </w:p>
        </w:tc>
        <w:tc>
          <w:tcPr>
            <w:tcW w:w="1134" w:type="dxa"/>
            <w:tcBorders>
              <w:top w:val="nil"/>
              <w:left w:val="nil"/>
              <w:bottom w:val="nil"/>
              <w:right w:val="single" w:sz="8" w:space="0" w:color="auto"/>
            </w:tcBorders>
            <w:shd w:val="clear" w:color="auto" w:fill="auto"/>
            <w:vAlign w:val="center"/>
          </w:tcPr>
          <w:p w14:paraId="45D5C7C3"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BFI.C016</w:t>
            </w:r>
          </w:p>
        </w:tc>
        <w:tc>
          <w:tcPr>
            <w:tcW w:w="1276" w:type="dxa"/>
            <w:tcBorders>
              <w:top w:val="nil"/>
              <w:left w:val="nil"/>
              <w:bottom w:val="nil"/>
              <w:right w:val="single" w:sz="8" w:space="0" w:color="auto"/>
            </w:tcBorders>
            <w:shd w:val="clear" w:color="auto" w:fill="auto"/>
            <w:vAlign w:val="center"/>
          </w:tcPr>
          <w:p w14:paraId="355D573C"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BFI.D016</w:t>
            </w:r>
          </w:p>
        </w:tc>
        <w:tc>
          <w:tcPr>
            <w:tcW w:w="4243" w:type="dxa"/>
            <w:tcBorders>
              <w:top w:val="nil"/>
              <w:left w:val="nil"/>
              <w:bottom w:val="nil"/>
              <w:right w:val="single" w:sz="8" w:space="0" w:color="auto"/>
            </w:tcBorders>
            <w:shd w:val="clear" w:color="auto" w:fill="auto"/>
            <w:noWrap/>
            <w:vAlign w:val="center"/>
          </w:tcPr>
          <w:p w14:paraId="58E87901" w14:textId="09975624" w:rsidR="003404A2" w:rsidRPr="00B16A18" w:rsidRDefault="003404A2" w:rsidP="0015273C">
            <w:pPr>
              <w:spacing w:after="0" w:line="240" w:lineRule="auto"/>
              <w:ind w:firstLineChars="221" w:firstLine="354"/>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 xml:space="preserve">112 – Transferências do FUNDEB – IMPOSTOS 70% </w:t>
            </w:r>
          </w:p>
        </w:tc>
        <w:tc>
          <w:tcPr>
            <w:tcW w:w="1285" w:type="dxa"/>
            <w:tcBorders>
              <w:top w:val="nil"/>
              <w:left w:val="nil"/>
              <w:bottom w:val="nil"/>
              <w:right w:val="single" w:sz="8" w:space="0" w:color="auto"/>
            </w:tcBorders>
            <w:shd w:val="clear" w:color="auto" w:fill="auto"/>
            <w:vAlign w:val="center"/>
          </w:tcPr>
          <w:p w14:paraId="6976FDE4"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BFI.G016</w:t>
            </w:r>
          </w:p>
        </w:tc>
        <w:tc>
          <w:tcPr>
            <w:tcW w:w="1276" w:type="dxa"/>
            <w:tcBorders>
              <w:top w:val="nil"/>
              <w:left w:val="nil"/>
              <w:bottom w:val="nil"/>
              <w:right w:val="single" w:sz="8" w:space="0" w:color="auto"/>
            </w:tcBorders>
            <w:shd w:val="clear" w:color="auto" w:fill="auto"/>
            <w:vAlign w:val="center"/>
          </w:tcPr>
          <w:p w14:paraId="14F70E90"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BFI.H016</w:t>
            </w:r>
          </w:p>
        </w:tc>
      </w:tr>
      <w:tr w:rsidR="003404A2" w:rsidRPr="00B16A18" w14:paraId="129F9638" w14:textId="77777777" w:rsidTr="0015273C">
        <w:trPr>
          <w:trHeight w:val="255"/>
        </w:trPr>
        <w:tc>
          <w:tcPr>
            <w:tcW w:w="4820" w:type="dxa"/>
            <w:tcBorders>
              <w:top w:val="nil"/>
              <w:left w:val="single" w:sz="8" w:space="0" w:color="auto"/>
              <w:bottom w:val="nil"/>
              <w:right w:val="single" w:sz="8" w:space="0" w:color="auto"/>
            </w:tcBorders>
            <w:shd w:val="clear" w:color="auto" w:fill="auto"/>
            <w:noWrap/>
            <w:vAlign w:val="center"/>
          </w:tcPr>
          <w:p w14:paraId="5D80FD23" w14:textId="2A56EEC6" w:rsidR="003404A2" w:rsidRPr="00B16A18" w:rsidRDefault="003404A2" w:rsidP="0015273C">
            <w:pPr>
              <w:spacing w:after="0" w:line="240" w:lineRule="auto"/>
              <w:ind w:left="355"/>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151 - Transferências do FUNDEB – Remuneração de Depósitos Bancários (30% + 70%)</w:t>
            </w:r>
          </w:p>
        </w:tc>
        <w:tc>
          <w:tcPr>
            <w:tcW w:w="1134" w:type="dxa"/>
            <w:tcBorders>
              <w:top w:val="nil"/>
              <w:left w:val="nil"/>
              <w:bottom w:val="nil"/>
              <w:right w:val="single" w:sz="8" w:space="0" w:color="auto"/>
            </w:tcBorders>
            <w:shd w:val="clear" w:color="auto" w:fill="auto"/>
            <w:vAlign w:val="center"/>
          </w:tcPr>
          <w:p w14:paraId="387C00F5" w14:textId="77777777" w:rsidR="003404A2" w:rsidRPr="00B16A18" w:rsidRDefault="003404A2"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BFI.C098</w:t>
            </w:r>
          </w:p>
        </w:tc>
        <w:tc>
          <w:tcPr>
            <w:tcW w:w="1276" w:type="dxa"/>
            <w:tcBorders>
              <w:top w:val="nil"/>
              <w:left w:val="nil"/>
              <w:bottom w:val="nil"/>
              <w:right w:val="single" w:sz="8" w:space="0" w:color="auto"/>
            </w:tcBorders>
            <w:shd w:val="clear" w:color="auto" w:fill="auto"/>
            <w:vAlign w:val="center"/>
          </w:tcPr>
          <w:p w14:paraId="083D774C" w14:textId="77777777" w:rsidR="003404A2" w:rsidRPr="00B16A18" w:rsidRDefault="003404A2"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BFI.D098</w:t>
            </w:r>
          </w:p>
        </w:tc>
        <w:tc>
          <w:tcPr>
            <w:tcW w:w="4243" w:type="dxa"/>
            <w:tcBorders>
              <w:top w:val="nil"/>
              <w:left w:val="nil"/>
              <w:bottom w:val="nil"/>
              <w:right w:val="single" w:sz="8" w:space="0" w:color="auto"/>
            </w:tcBorders>
            <w:shd w:val="clear" w:color="auto" w:fill="auto"/>
            <w:noWrap/>
            <w:vAlign w:val="center"/>
          </w:tcPr>
          <w:p w14:paraId="39164C3E" w14:textId="0B38DFF8" w:rsidR="003404A2" w:rsidRPr="00B16A18" w:rsidRDefault="003404A2" w:rsidP="0015273C">
            <w:pPr>
              <w:spacing w:after="0" w:line="240" w:lineRule="auto"/>
              <w:ind w:left="355"/>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151 - Transferências do FUNDEB – Remuneração de Depósitos Bancários (30% + 70%)</w:t>
            </w:r>
          </w:p>
        </w:tc>
        <w:tc>
          <w:tcPr>
            <w:tcW w:w="1285" w:type="dxa"/>
            <w:tcBorders>
              <w:top w:val="nil"/>
              <w:left w:val="nil"/>
              <w:bottom w:val="nil"/>
              <w:right w:val="single" w:sz="8" w:space="0" w:color="auto"/>
            </w:tcBorders>
            <w:shd w:val="clear" w:color="auto" w:fill="auto"/>
            <w:vAlign w:val="center"/>
          </w:tcPr>
          <w:p w14:paraId="2777B1C1" w14:textId="77777777" w:rsidR="003404A2" w:rsidRPr="00B16A18" w:rsidRDefault="003404A2"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BFI.G098</w:t>
            </w:r>
          </w:p>
        </w:tc>
        <w:tc>
          <w:tcPr>
            <w:tcW w:w="1276" w:type="dxa"/>
            <w:tcBorders>
              <w:top w:val="nil"/>
              <w:left w:val="nil"/>
              <w:bottom w:val="nil"/>
              <w:right w:val="single" w:sz="8" w:space="0" w:color="auto"/>
            </w:tcBorders>
            <w:shd w:val="clear" w:color="auto" w:fill="auto"/>
            <w:vAlign w:val="center"/>
          </w:tcPr>
          <w:p w14:paraId="35EAFAAD" w14:textId="77777777" w:rsidR="003404A2" w:rsidRPr="00B16A18" w:rsidRDefault="003404A2"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BFI.H098</w:t>
            </w:r>
          </w:p>
        </w:tc>
      </w:tr>
      <w:tr w:rsidR="003404A2" w:rsidRPr="00B16A18" w14:paraId="7F6D09A8" w14:textId="77777777" w:rsidTr="0015273C">
        <w:trPr>
          <w:trHeight w:val="255"/>
        </w:trPr>
        <w:tc>
          <w:tcPr>
            <w:tcW w:w="4820" w:type="dxa"/>
            <w:tcBorders>
              <w:top w:val="nil"/>
              <w:left w:val="single" w:sz="8" w:space="0" w:color="auto"/>
              <w:bottom w:val="nil"/>
              <w:right w:val="single" w:sz="8" w:space="0" w:color="auto"/>
            </w:tcBorders>
            <w:shd w:val="clear" w:color="auto" w:fill="auto"/>
            <w:noWrap/>
            <w:vAlign w:val="center"/>
          </w:tcPr>
          <w:p w14:paraId="0F528DE1" w14:textId="43FCBA22" w:rsidR="003404A2" w:rsidRPr="00B16A18" w:rsidRDefault="003404A2" w:rsidP="0015273C">
            <w:pPr>
              <w:spacing w:after="0" w:line="240" w:lineRule="auto"/>
              <w:ind w:firstLineChars="221" w:firstLine="354"/>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 xml:space="preserve">115 – Transferências do FUNDEB 30% </w:t>
            </w:r>
            <w:r w:rsidRPr="00B16A18">
              <w:rPr>
                <w:rFonts w:ascii="Arial Narrow" w:eastAsia="Times New Roman" w:hAnsi="Arial Narrow" w:cs="Arial"/>
                <w:strike/>
                <w:sz w:val="16"/>
                <w:szCs w:val="16"/>
                <w:lang w:eastAsia="pt-BR"/>
              </w:rPr>
              <w:t xml:space="preserve"> </w:t>
            </w:r>
            <w:r w:rsidRPr="00B16A18">
              <w:rPr>
                <w:rFonts w:ascii="Arial Narrow" w:eastAsia="Times New Roman" w:hAnsi="Arial Narrow" w:cs="Arial"/>
                <w:sz w:val="16"/>
                <w:szCs w:val="16"/>
                <w:lang w:eastAsia="pt-BR"/>
              </w:rPr>
              <w:t>- Complementação da União - VAAF</w:t>
            </w:r>
          </w:p>
        </w:tc>
        <w:tc>
          <w:tcPr>
            <w:tcW w:w="1134" w:type="dxa"/>
            <w:tcBorders>
              <w:top w:val="nil"/>
              <w:left w:val="nil"/>
              <w:bottom w:val="nil"/>
              <w:right w:val="single" w:sz="8" w:space="0" w:color="auto"/>
            </w:tcBorders>
            <w:shd w:val="clear" w:color="auto" w:fill="auto"/>
            <w:vAlign w:val="center"/>
          </w:tcPr>
          <w:p w14:paraId="6D19B8AB"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BFI.C078</w:t>
            </w:r>
          </w:p>
        </w:tc>
        <w:tc>
          <w:tcPr>
            <w:tcW w:w="1276" w:type="dxa"/>
            <w:tcBorders>
              <w:top w:val="nil"/>
              <w:left w:val="nil"/>
              <w:bottom w:val="nil"/>
              <w:right w:val="single" w:sz="8" w:space="0" w:color="auto"/>
            </w:tcBorders>
            <w:shd w:val="clear" w:color="auto" w:fill="auto"/>
            <w:vAlign w:val="center"/>
          </w:tcPr>
          <w:p w14:paraId="0ECE605A"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BFI.D078</w:t>
            </w:r>
          </w:p>
        </w:tc>
        <w:tc>
          <w:tcPr>
            <w:tcW w:w="4243" w:type="dxa"/>
            <w:tcBorders>
              <w:top w:val="nil"/>
              <w:left w:val="nil"/>
              <w:bottom w:val="nil"/>
              <w:right w:val="single" w:sz="8" w:space="0" w:color="auto"/>
            </w:tcBorders>
            <w:shd w:val="clear" w:color="auto" w:fill="auto"/>
            <w:noWrap/>
            <w:vAlign w:val="center"/>
          </w:tcPr>
          <w:p w14:paraId="1E530349" w14:textId="7078B09E" w:rsidR="003404A2" w:rsidRPr="00B16A18" w:rsidRDefault="003404A2" w:rsidP="0015273C">
            <w:pPr>
              <w:spacing w:after="0" w:line="240" w:lineRule="auto"/>
              <w:ind w:firstLineChars="221" w:firstLine="354"/>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115 – Transferências do FUNDEB 30%  - Complementação da União - VAAF</w:t>
            </w:r>
          </w:p>
        </w:tc>
        <w:tc>
          <w:tcPr>
            <w:tcW w:w="1285" w:type="dxa"/>
            <w:tcBorders>
              <w:top w:val="nil"/>
              <w:left w:val="nil"/>
              <w:bottom w:val="nil"/>
              <w:right w:val="single" w:sz="8" w:space="0" w:color="auto"/>
            </w:tcBorders>
            <w:shd w:val="clear" w:color="auto" w:fill="auto"/>
            <w:vAlign w:val="center"/>
          </w:tcPr>
          <w:p w14:paraId="71B1CFE6"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BFI.G078</w:t>
            </w:r>
          </w:p>
        </w:tc>
        <w:tc>
          <w:tcPr>
            <w:tcW w:w="1276" w:type="dxa"/>
            <w:tcBorders>
              <w:top w:val="nil"/>
              <w:left w:val="nil"/>
              <w:bottom w:val="nil"/>
              <w:right w:val="single" w:sz="8" w:space="0" w:color="auto"/>
            </w:tcBorders>
            <w:shd w:val="clear" w:color="auto" w:fill="auto"/>
            <w:vAlign w:val="center"/>
          </w:tcPr>
          <w:p w14:paraId="4D81963A"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BFI.H078</w:t>
            </w:r>
          </w:p>
        </w:tc>
      </w:tr>
      <w:tr w:rsidR="003404A2" w:rsidRPr="00B16A18" w14:paraId="27BE90D4" w14:textId="77777777" w:rsidTr="0015273C">
        <w:trPr>
          <w:trHeight w:val="255"/>
        </w:trPr>
        <w:tc>
          <w:tcPr>
            <w:tcW w:w="4820" w:type="dxa"/>
            <w:tcBorders>
              <w:top w:val="nil"/>
              <w:left w:val="single" w:sz="8" w:space="0" w:color="auto"/>
              <w:bottom w:val="nil"/>
              <w:right w:val="single" w:sz="8" w:space="0" w:color="auto"/>
            </w:tcBorders>
            <w:shd w:val="clear" w:color="auto" w:fill="auto"/>
            <w:noWrap/>
            <w:vAlign w:val="center"/>
          </w:tcPr>
          <w:p w14:paraId="15186307" w14:textId="7D490CE0" w:rsidR="003404A2" w:rsidRPr="00B16A18" w:rsidRDefault="003404A2" w:rsidP="0015273C">
            <w:pPr>
              <w:spacing w:after="0" w:line="240" w:lineRule="auto"/>
              <w:ind w:left="355"/>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114 – Transferências do FUNDEB 70%  - Complementação da União - VAAF</w:t>
            </w:r>
          </w:p>
        </w:tc>
        <w:tc>
          <w:tcPr>
            <w:tcW w:w="1134" w:type="dxa"/>
            <w:tcBorders>
              <w:top w:val="nil"/>
              <w:left w:val="nil"/>
              <w:bottom w:val="nil"/>
              <w:right w:val="single" w:sz="8" w:space="0" w:color="auto"/>
            </w:tcBorders>
            <w:shd w:val="clear" w:color="auto" w:fill="auto"/>
            <w:vAlign w:val="center"/>
          </w:tcPr>
          <w:p w14:paraId="639BB3B8"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BFI.C079</w:t>
            </w:r>
          </w:p>
        </w:tc>
        <w:tc>
          <w:tcPr>
            <w:tcW w:w="1276" w:type="dxa"/>
            <w:tcBorders>
              <w:top w:val="nil"/>
              <w:left w:val="nil"/>
              <w:bottom w:val="nil"/>
              <w:right w:val="single" w:sz="8" w:space="0" w:color="auto"/>
            </w:tcBorders>
            <w:shd w:val="clear" w:color="auto" w:fill="auto"/>
            <w:vAlign w:val="center"/>
          </w:tcPr>
          <w:p w14:paraId="674A922D"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BFI.D079</w:t>
            </w:r>
          </w:p>
        </w:tc>
        <w:tc>
          <w:tcPr>
            <w:tcW w:w="4243" w:type="dxa"/>
            <w:tcBorders>
              <w:top w:val="nil"/>
              <w:left w:val="nil"/>
              <w:bottom w:val="nil"/>
              <w:right w:val="single" w:sz="8" w:space="0" w:color="auto"/>
            </w:tcBorders>
            <w:shd w:val="clear" w:color="auto" w:fill="auto"/>
            <w:noWrap/>
            <w:vAlign w:val="center"/>
          </w:tcPr>
          <w:p w14:paraId="32D6BD9D" w14:textId="664286CE" w:rsidR="003404A2" w:rsidRPr="00B16A18" w:rsidRDefault="003404A2" w:rsidP="0015273C">
            <w:pPr>
              <w:spacing w:after="0" w:line="240" w:lineRule="auto"/>
              <w:ind w:left="355"/>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114 – Transferências do FUNDEB 70%  - Complementação da União - VAAF</w:t>
            </w:r>
          </w:p>
        </w:tc>
        <w:tc>
          <w:tcPr>
            <w:tcW w:w="1285" w:type="dxa"/>
            <w:tcBorders>
              <w:top w:val="nil"/>
              <w:left w:val="nil"/>
              <w:bottom w:val="nil"/>
              <w:right w:val="single" w:sz="8" w:space="0" w:color="auto"/>
            </w:tcBorders>
            <w:shd w:val="clear" w:color="auto" w:fill="auto"/>
            <w:vAlign w:val="center"/>
          </w:tcPr>
          <w:p w14:paraId="7334EDC6"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BFI.G079</w:t>
            </w:r>
          </w:p>
        </w:tc>
        <w:tc>
          <w:tcPr>
            <w:tcW w:w="1276" w:type="dxa"/>
            <w:tcBorders>
              <w:top w:val="nil"/>
              <w:left w:val="nil"/>
              <w:bottom w:val="nil"/>
              <w:right w:val="single" w:sz="8" w:space="0" w:color="auto"/>
            </w:tcBorders>
            <w:shd w:val="clear" w:color="auto" w:fill="auto"/>
            <w:vAlign w:val="center"/>
          </w:tcPr>
          <w:p w14:paraId="5092B88B"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BFI.H079</w:t>
            </w:r>
          </w:p>
        </w:tc>
      </w:tr>
      <w:tr w:rsidR="003404A2" w:rsidRPr="00B16A18" w14:paraId="65984DB1" w14:textId="77777777" w:rsidTr="0015273C">
        <w:trPr>
          <w:trHeight w:val="255"/>
        </w:trPr>
        <w:tc>
          <w:tcPr>
            <w:tcW w:w="4820" w:type="dxa"/>
            <w:tcBorders>
              <w:top w:val="nil"/>
              <w:left w:val="single" w:sz="8" w:space="0" w:color="auto"/>
              <w:bottom w:val="nil"/>
              <w:right w:val="single" w:sz="8" w:space="0" w:color="auto"/>
            </w:tcBorders>
            <w:shd w:val="clear" w:color="auto" w:fill="auto"/>
            <w:noWrap/>
            <w:vAlign w:val="center"/>
          </w:tcPr>
          <w:p w14:paraId="54C6D0CF" w14:textId="235198E0" w:rsidR="003404A2" w:rsidRPr="00B16A18" w:rsidRDefault="003404A2" w:rsidP="0015273C">
            <w:pPr>
              <w:spacing w:after="0" w:line="240" w:lineRule="auto"/>
              <w:ind w:left="355"/>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152 – Transferências do FUNDEB – Complementação da União – Remuneração Depósitos Bancários (30% + 70%)</w:t>
            </w:r>
          </w:p>
        </w:tc>
        <w:tc>
          <w:tcPr>
            <w:tcW w:w="1134" w:type="dxa"/>
            <w:tcBorders>
              <w:top w:val="nil"/>
              <w:left w:val="nil"/>
              <w:bottom w:val="nil"/>
              <w:right w:val="single" w:sz="8" w:space="0" w:color="auto"/>
            </w:tcBorders>
            <w:shd w:val="clear" w:color="auto" w:fill="auto"/>
            <w:vAlign w:val="center"/>
          </w:tcPr>
          <w:p w14:paraId="6A456D16" w14:textId="77777777" w:rsidR="003404A2" w:rsidRPr="00B16A18" w:rsidRDefault="003404A2"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BFI.C099</w:t>
            </w:r>
          </w:p>
        </w:tc>
        <w:tc>
          <w:tcPr>
            <w:tcW w:w="1276" w:type="dxa"/>
            <w:tcBorders>
              <w:top w:val="nil"/>
              <w:left w:val="nil"/>
              <w:bottom w:val="nil"/>
              <w:right w:val="single" w:sz="8" w:space="0" w:color="auto"/>
            </w:tcBorders>
            <w:shd w:val="clear" w:color="auto" w:fill="auto"/>
            <w:vAlign w:val="center"/>
          </w:tcPr>
          <w:p w14:paraId="0476E7AC" w14:textId="77777777" w:rsidR="003404A2" w:rsidRPr="00B16A18" w:rsidRDefault="003404A2"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BFI.D099</w:t>
            </w:r>
          </w:p>
        </w:tc>
        <w:tc>
          <w:tcPr>
            <w:tcW w:w="4243" w:type="dxa"/>
            <w:tcBorders>
              <w:top w:val="nil"/>
              <w:left w:val="nil"/>
              <w:bottom w:val="nil"/>
              <w:right w:val="single" w:sz="8" w:space="0" w:color="auto"/>
            </w:tcBorders>
            <w:shd w:val="clear" w:color="auto" w:fill="auto"/>
            <w:noWrap/>
            <w:vAlign w:val="center"/>
          </w:tcPr>
          <w:p w14:paraId="60A25C91" w14:textId="3E40CD1E" w:rsidR="003404A2" w:rsidRPr="00B16A18" w:rsidRDefault="003404A2" w:rsidP="0015273C">
            <w:pPr>
              <w:spacing w:after="0" w:line="240" w:lineRule="auto"/>
              <w:ind w:left="355"/>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152 – Transferências do FUNDEB – Complementação da União – Remuneração Depósitos Bancários (30% + 70%)</w:t>
            </w:r>
          </w:p>
        </w:tc>
        <w:tc>
          <w:tcPr>
            <w:tcW w:w="1285" w:type="dxa"/>
            <w:tcBorders>
              <w:top w:val="nil"/>
              <w:left w:val="nil"/>
              <w:bottom w:val="nil"/>
              <w:right w:val="single" w:sz="8" w:space="0" w:color="auto"/>
            </w:tcBorders>
            <w:shd w:val="clear" w:color="auto" w:fill="auto"/>
            <w:vAlign w:val="center"/>
          </w:tcPr>
          <w:p w14:paraId="4FC61186" w14:textId="77777777" w:rsidR="003404A2" w:rsidRPr="00B16A18" w:rsidRDefault="003404A2"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BFI.G099</w:t>
            </w:r>
          </w:p>
        </w:tc>
        <w:tc>
          <w:tcPr>
            <w:tcW w:w="1276" w:type="dxa"/>
            <w:tcBorders>
              <w:top w:val="nil"/>
              <w:left w:val="nil"/>
              <w:bottom w:val="nil"/>
              <w:right w:val="single" w:sz="8" w:space="0" w:color="auto"/>
            </w:tcBorders>
            <w:shd w:val="clear" w:color="auto" w:fill="auto"/>
            <w:vAlign w:val="center"/>
          </w:tcPr>
          <w:p w14:paraId="7C9B1C44" w14:textId="77777777" w:rsidR="003404A2" w:rsidRPr="00B16A18" w:rsidRDefault="003404A2"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BFI.H099</w:t>
            </w:r>
          </w:p>
        </w:tc>
      </w:tr>
      <w:tr w:rsidR="003404A2" w:rsidRPr="00B16A18" w14:paraId="4DF99553" w14:textId="77777777" w:rsidTr="0015273C">
        <w:trPr>
          <w:trHeight w:val="255"/>
        </w:trPr>
        <w:tc>
          <w:tcPr>
            <w:tcW w:w="4820" w:type="dxa"/>
            <w:tcBorders>
              <w:top w:val="nil"/>
              <w:left w:val="single" w:sz="8" w:space="0" w:color="auto"/>
              <w:bottom w:val="nil"/>
              <w:right w:val="single" w:sz="8" w:space="0" w:color="auto"/>
            </w:tcBorders>
            <w:shd w:val="clear" w:color="auto" w:fill="auto"/>
            <w:noWrap/>
            <w:vAlign w:val="center"/>
          </w:tcPr>
          <w:p w14:paraId="1EE97C35" w14:textId="77777777" w:rsidR="003404A2" w:rsidRPr="00B16A18" w:rsidRDefault="003404A2" w:rsidP="0015273C">
            <w:pPr>
              <w:spacing w:after="0" w:line="240" w:lineRule="auto"/>
              <w:ind w:left="355"/>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118 – Trasnferência do FUNDEB 70% - Complementação da União – VAAT – (Valor Aluno/Ano Total</w:t>
            </w:r>
          </w:p>
        </w:tc>
        <w:tc>
          <w:tcPr>
            <w:tcW w:w="1134" w:type="dxa"/>
            <w:tcBorders>
              <w:top w:val="nil"/>
              <w:left w:val="nil"/>
              <w:bottom w:val="nil"/>
              <w:right w:val="single" w:sz="8" w:space="0" w:color="auto"/>
            </w:tcBorders>
            <w:shd w:val="clear" w:color="auto" w:fill="auto"/>
            <w:vAlign w:val="center"/>
          </w:tcPr>
          <w:p w14:paraId="7E4ECF39" w14:textId="77777777" w:rsidR="003404A2" w:rsidRPr="00B16A18" w:rsidRDefault="003404A2"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BFI.C116</w:t>
            </w:r>
          </w:p>
        </w:tc>
        <w:tc>
          <w:tcPr>
            <w:tcW w:w="1276" w:type="dxa"/>
            <w:tcBorders>
              <w:top w:val="nil"/>
              <w:left w:val="nil"/>
              <w:bottom w:val="nil"/>
              <w:right w:val="single" w:sz="8" w:space="0" w:color="auto"/>
            </w:tcBorders>
            <w:shd w:val="clear" w:color="auto" w:fill="auto"/>
            <w:vAlign w:val="center"/>
          </w:tcPr>
          <w:p w14:paraId="3070B2F9" w14:textId="77777777" w:rsidR="003404A2" w:rsidRPr="00B16A18" w:rsidRDefault="003404A2"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BFI.D116</w:t>
            </w:r>
          </w:p>
        </w:tc>
        <w:tc>
          <w:tcPr>
            <w:tcW w:w="4243" w:type="dxa"/>
            <w:tcBorders>
              <w:top w:val="nil"/>
              <w:left w:val="nil"/>
              <w:bottom w:val="nil"/>
              <w:right w:val="single" w:sz="8" w:space="0" w:color="auto"/>
            </w:tcBorders>
            <w:shd w:val="clear" w:color="auto" w:fill="auto"/>
            <w:noWrap/>
            <w:vAlign w:val="center"/>
          </w:tcPr>
          <w:p w14:paraId="6E8EB845" w14:textId="77777777" w:rsidR="003404A2" w:rsidRPr="00B16A18" w:rsidRDefault="003404A2" w:rsidP="0015273C">
            <w:pPr>
              <w:spacing w:after="0" w:line="240" w:lineRule="auto"/>
              <w:ind w:left="355"/>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118 – Trasnferência do FUNDEB 70% - Complementação da União – VAAT – (Valor Aluno/Ano Total</w:t>
            </w:r>
          </w:p>
        </w:tc>
        <w:tc>
          <w:tcPr>
            <w:tcW w:w="1285" w:type="dxa"/>
            <w:tcBorders>
              <w:top w:val="nil"/>
              <w:left w:val="nil"/>
              <w:bottom w:val="nil"/>
              <w:right w:val="single" w:sz="8" w:space="0" w:color="auto"/>
            </w:tcBorders>
            <w:shd w:val="clear" w:color="auto" w:fill="auto"/>
            <w:vAlign w:val="center"/>
          </w:tcPr>
          <w:p w14:paraId="744029A5" w14:textId="77777777" w:rsidR="003404A2" w:rsidRPr="00B16A18" w:rsidRDefault="003404A2"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BFI.G116</w:t>
            </w:r>
          </w:p>
        </w:tc>
        <w:tc>
          <w:tcPr>
            <w:tcW w:w="1276" w:type="dxa"/>
            <w:tcBorders>
              <w:top w:val="nil"/>
              <w:left w:val="nil"/>
              <w:bottom w:val="nil"/>
              <w:right w:val="single" w:sz="8" w:space="0" w:color="auto"/>
            </w:tcBorders>
            <w:shd w:val="clear" w:color="auto" w:fill="auto"/>
            <w:vAlign w:val="center"/>
          </w:tcPr>
          <w:p w14:paraId="5C8AA570" w14:textId="77777777" w:rsidR="003404A2" w:rsidRPr="00B16A18" w:rsidRDefault="003404A2"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BFI.H116</w:t>
            </w:r>
          </w:p>
        </w:tc>
      </w:tr>
      <w:tr w:rsidR="003404A2" w:rsidRPr="00B16A18" w14:paraId="3688FE01" w14:textId="77777777" w:rsidTr="0015273C">
        <w:trPr>
          <w:trHeight w:val="255"/>
        </w:trPr>
        <w:tc>
          <w:tcPr>
            <w:tcW w:w="4820" w:type="dxa"/>
            <w:tcBorders>
              <w:top w:val="nil"/>
              <w:left w:val="single" w:sz="8" w:space="0" w:color="auto"/>
              <w:bottom w:val="nil"/>
              <w:right w:val="single" w:sz="8" w:space="0" w:color="auto"/>
            </w:tcBorders>
            <w:shd w:val="clear" w:color="auto" w:fill="auto"/>
            <w:noWrap/>
            <w:vAlign w:val="center"/>
          </w:tcPr>
          <w:p w14:paraId="7AE2709C" w14:textId="77777777" w:rsidR="003404A2" w:rsidRPr="00B16A18" w:rsidRDefault="003404A2" w:rsidP="0015273C">
            <w:pPr>
              <w:spacing w:after="0" w:line="240" w:lineRule="auto"/>
              <w:ind w:left="355"/>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119 – Trasnferência do FUNDEB 30% - Complementação da União – VAAT – (Valor Aluno/Ano Total</w:t>
            </w:r>
          </w:p>
        </w:tc>
        <w:tc>
          <w:tcPr>
            <w:tcW w:w="1134" w:type="dxa"/>
            <w:tcBorders>
              <w:top w:val="nil"/>
              <w:left w:val="nil"/>
              <w:bottom w:val="nil"/>
              <w:right w:val="single" w:sz="8" w:space="0" w:color="auto"/>
            </w:tcBorders>
            <w:shd w:val="clear" w:color="auto" w:fill="auto"/>
            <w:vAlign w:val="center"/>
          </w:tcPr>
          <w:p w14:paraId="5C06FA3F" w14:textId="77777777" w:rsidR="003404A2" w:rsidRPr="00B16A18" w:rsidRDefault="003404A2"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BFI.C117</w:t>
            </w:r>
          </w:p>
        </w:tc>
        <w:tc>
          <w:tcPr>
            <w:tcW w:w="1276" w:type="dxa"/>
            <w:tcBorders>
              <w:top w:val="nil"/>
              <w:left w:val="nil"/>
              <w:bottom w:val="nil"/>
              <w:right w:val="single" w:sz="8" w:space="0" w:color="auto"/>
            </w:tcBorders>
            <w:shd w:val="clear" w:color="auto" w:fill="auto"/>
            <w:vAlign w:val="center"/>
          </w:tcPr>
          <w:p w14:paraId="12BB1A2E" w14:textId="77777777" w:rsidR="003404A2" w:rsidRPr="00B16A18" w:rsidRDefault="003404A2"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BFI.D117</w:t>
            </w:r>
          </w:p>
        </w:tc>
        <w:tc>
          <w:tcPr>
            <w:tcW w:w="4243" w:type="dxa"/>
            <w:tcBorders>
              <w:top w:val="nil"/>
              <w:left w:val="nil"/>
              <w:bottom w:val="nil"/>
              <w:right w:val="single" w:sz="8" w:space="0" w:color="auto"/>
            </w:tcBorders>
            <w:shd w:val="clear" w:color="auto" w:fill="auto"/>
            <w:noWrap/>
            <w:vAlign w:val="center"/>
          </w:tcPr>
          <w:p w14:paraId="2EE821A4" w14:textId="77777777" w:rsidR="003404A2" w:rsidRPr="00B16A18" w:rsidRDefault="003404A2" w:rsidP="0015273C">
            <w:pPr>
              <w:spacing w:after="0" w:line="240" w:lineRule="auto"/>
              <w:ind w:left="355"/>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119 – Trasnferência do FUNDEB 30% - Complementação da União – VAAT – (Valor Aluno/Ano Total</w:t>
            </w:r>
          </w:p>
        </w:tc>
        <w:tc>
          <w:tcPr>
            <w:tcW w:w="1285" w:type="dxa"/>
            <w:tcBorders>
              <w:top w:val="nil"/>
              <w:left w:val="nil"/>
              <w:bottom w:val="nil"/>
              <w:right w:val="single" w:sz="8" w:space="0" w:color="auto"/>
            </w:tcBorders>
            <w:shd w:val="clear" w:color="auto" w:fill="auto"/>
            <w:vAlign w:val="center"/>
          </w:tcPr>
          <w:p w14:paraId="1A5F5CA2" w14:textId="77777777" w:rsidR="003404A2" w:rsidRPr="00B16A18" w:rsidRDefault="003404A2"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BFI.G117</w:t>
            </w:r>
          </w:p>
        </w:tc>
        <w:tc>
          <w:tcPr>
            <w:tcW w:w="1276" w:type="dxa"/>
            <w:tcBorders>
              <w:top w:val="nil"/>
              <w:left w:val="nil"/>
              <w:bottom w:val="nil"/>
              <w:right w:val="single" w:sz="8" w:space="0" w:color="auto"/>
            </w:tcBorders>
            <w:shd w:val="clear" w:color="auto" w:fill="auto"/>
            <w:vAlign w:val="center"/>
          </w:tcPr>
          <w:p w14:paraId="57717456" w14:textId="77777777" w:rsidR="003404A2" w:rsidRPr="00B16A18" w:rsidRDefault="003404A2"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BFI.H117</w:t>
            </w:r>
          </w:p>
        </w:tc>
      </w:tr>
      <w:tr w:rsidR="003404A2" w:rsidRPr="00B16A18" w14:paraId="25C2DB73" w14:textId="77777777" w:rsidTr="0015273C">
        <w:trPr>
          <w:trHeight w:val="255"/>
        </w:trPr>
        <w:tc>
          <w:tcPr>
            <w:tcW w:w="4820" w:type="dxa"/>
            <w:tcBorders>
              <w:top w:val="nil"/>
              <w:left w:val="single" w:sz="8" w:space="0" w:color="auto"/>
              <w:bottom w:val="nil"/>
              <w:right w:val="single" w:sz="8" w:space="0" w:color="auto"/>
            </w:tcBorders>
            <w:shd w:val="clear" w:color="auto" w:fill="auto"/>
            <w:noWrap/>
            <w:vAlign w:val="center"/>
          </w:tcPr>
          <w:p w14:paraId="40854262" w14:textId="77777777" w:rsidR="003404A2" w:rsidRPr="00B16A18" w:rsidRDefault="003404A2" w:rsidP="0015273C">
            <w:pPr>
              <w:spacing w:after="0" w:line="240" w:lineRule="auto"/>
              <w:ind w:firstLineChars="221" w:firstLine="354"/>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120 – Transferência do Salário Educação</w:t>
            </w:r>
          </w:p>
        </w:tc>
        <w:tc>
          <w:tcPr>
            <w:tcW w:w="1134" w:type="dxa"/>
            <w:tcBorders>
              <w:top w:val="nil"/>
              <w:left w:val="nil"/>
              <w:bottom w:val="nil"/>
              <w:right w:val="single" w:sz="8" w:space="0" w:color="auto"/>
            </w:tcBorders>
            <w:shd w:val="clear" w:color="auto" w:fill="auto"/>
            <w:vAlign w:val="center"/>
          </w:tcPr>
          <w:p w14:paraId="53507128"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BFI.C085</w:t>
            </w:r>
          </w:p>
        </w:tc>
        <w:tc>
          <w:tcPr>
            <w:tcW w:w="1276" w:type="dxa"/>
            <w:tcBorders>
              <w:top w:val="nil"/>
              <w:left w:val="nil"/>
              <w:bottom w:val="nil"/>
              <w:right w:val="single" w:sz="8" w:space="0" w:color="auto"/>
            </w:tcBorders>
            <w:shd w:val="clear" w:color="auto" w:fill="auto"/>
            <w:vAlign w:val="center"/>
          </w:tcPr>
          <w:p w14:paraId="5011F747"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BFI.D085</w:t>
            </w:r>
          </w:p>
        </w:tc>
        <w:tc>
          <w:tcPr>
            <w:tcW w:w="4243" w:type="dxa"/>
            <w:tcBorders>
              <w:top w:val="nil"/>
              <w:left w:val="nil"/>
              <w:bottom w:val="nil"/>
              <w:right w:val="single" w:sz="8" w:space="0" w:color="auto"/>
            </w:tcBorders>
            <w:shd w:val="clear" w:color="auto" w:fill="auto"/>
            <w:noWrap/>
            <w:vAlign w:val="center"/>
          </w:tcPr>
          <w:p w14:paraId="5C484046" w14:textId="77777777" w:rsidR="003404A2" w:rsidRPr="00B16A18" w:rsidRDefault="003404A2" w:rsidP="0015273C">
            <w:pPr>
              <w:spacing w:after="0" w:line="240" w:lineRule="auto"/>
              <w:ind w:firstLineChars="221" w:firstLine="354"/>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120 – Transferência do Salário Educação</w:t>
            </w:r>
          </w:p>
        </w:tc>
        <w:tc>
          <w:tcPr>
            <w:tcW w:w="1285" w:type="dxa"/>
            <w:tcBorders>
              <w:top w:val="nil"/>
              <w:left w:val="nil"/>
              <w:bottom w:val="nil"/>
              <w:right w:val="single" w:sz="8" w:space="0" w:color="auto"/>
            </w:tcBorders>
            <w:shd w:val="clear" w:color="auto" w:fill="auto"/>
            <w:vAlign w:val="center"/>
          </w:tcPr>
          <w:p w14:paraId="5AD6A355"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BFI.G085</w:t>
            </w:r>
          </w:p>
        </w:tc>
        <w:tc>
          <w:tcPr>
            <w:tcW w:w="1276" w:type="dxa"/>
            <w:tcBorders>
              <w:top w:val="nil"/>
              <w:left w:val="nil"/>
              <w:bottom w:val="nil"/>
              <w:right w:val="single" w:sz="8" w:space="0" w:color="auto"/>
            </w:tcBorders>
            <w:shd w:val="clear" w:color="auto" w:fill="auto"/>
            <w:vAlign w:val="center"/>
          </w:tcPr>
          <w:p w14:paraId="7744CEEA"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BFI.H085</w:t>
            </w:r>
          </w:p>
        </w:tc>
      </w:tr>
      <w:tr w:rsidR="003404A2" w:rsidRPr="00B16A18" w14:paraId="46D3425E" w14:textId="77777777" w:rsidTr="0015273C">
        <w:trPr>
          <w:trHeight w:val="255"/>
        </w:trPr>
        <w:tc>
          <w:tcPr>
            <w:tcW w:w="4820" w:type="dxa"/>
            <w:tcBorders>
              <w:top w:val="nil"/>
              <w:left w:val="single" w:sz="8" w:space="0" w:color="auto"/>
              <w:bottom w:val="nil"/>
              <w:right w:val="single" w:sz="8" w:space="0" w:color="auto"/>
            </w:tcBorders>
            <w:shd w:val="clear" w:color="auto" w:fill="auto"/>
            <w:noWrap/>
            <w:vAlign w:val="center"/>
          </w:tcPr>
          <w:p w14:paraId="3F6988BE" w14:textId="77777777" w:rsidR="003404A2" w:rsidRPr="00B16A18" w:rsidRDefault="003404A2" w:rsidP="0015273C">
            <w:pPr>
              <w:spacing w:after="0" w:line="240" w:lineRule="auto"/>
              <w:ind w:left="355"/>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121 - Transferências de Recursos do FNDE ref. ao Programa Dinheiro Direto na Escola (PDDE)</w:t>
            </w:r>
          </w:p>
        </w:tc>
        <w:tc>
          <w:tcPr>
            <w:tcW w:w="1134" w:type="dxa"/>
            <w:tcBorders>
              <w:top w:val="nil"/>
              <w:left w:val="nil"/>
              <w:bottom w:val="nil"/>
              <w:right w:val="single" w:sz="8" w:space="0" w:color="auto"/>
            </w:tcBorders>
            <w:shd w:val="clear" w:color="auto" w:fill="auto"/>
            <w:vAlign w:val="center"/>
          </w:tcPr>
          <w:p w14:paraId="4EAFC32E" w14:textId="77777777" w:rsidR="003404A2" w:rsidRPr="00B16A18" w:rsidRDefault="003404A2"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BFI.C100</w:t>
            </w:r>
          </w:p>
        </w:tc>
        <w:tc>
          <w:tcPr>
            <w:tcW w:w="1276" w:type="dxa"/>
            <w:tcBorders>
              <w:top w:val="nil"/>
              <w:left w:val="nil"/>
              <w:bottom w:val="nil"/>
              <w:right w:val="single" w:sz="8" w:space="0" w:color="auto"/>
            </w:tcBorders>
            <w:shd w:val="clear" w:color="auto" w:fill="auto"/>
            <w:vAlign w:val="center"/>
          </w:tcPr>
          <w:p w14:paraId="47DF939A" w14:textId="77777777" w:rsidR="003404A2" w:rsidRPr="00B16A18" w:rsidRDefault="003404A2"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BFI.D100</w:t>
            </w:r>
          </w:p>
        </w:tc>
        <w:tc>
          <w:tcPr>
            <w:tcW w:w="4243" w:type="dxa"/>
            <w:tcBorders>
              <w:top w:val="nil"/>
              <w:left w:val="nil"/>
              <w:bottom w:val="nil"/>
              <w:right w:val="single" w:sz="8" w:space="0" w:color="auto"/>
            </w:tcBorders>
            <w:shd w:val="clear" w:color="auto" w:fill="auto"/>
            <w:noWrap/>
            <w:vAlign w:val="center"/>
          </w:tcPr>
          <w:p w14:paraId="672E5741" w14:textId="77777777" w:rsidR="003404A2" w:rsidRPr="00B16A18" w:rsidRDefault="003404A2" w:rsidP="0015273C">
            <w:pPr>
              <w:spacing w:after="0" w:line="240" w:lineRule="auto"/>
              <w:ind w:left="355"/>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121 - Transferências de Recursos do FNDE ref. ao Programa Dinheiro Direto na Escola (PDDE)</w:t>
            </w:r>
          </w:p>
        </w:tc>
        <w:tc>
          <w:tcPr>
            <w:tcW w:w="1285" w:type="dxa"/>
            <w:tcBorders>
              <w:top w:val="nil"/>
              <w:left w:val="nil"/>
              <w:bottom w:val="nil"/>
              <w:right w:val="single" w:sz="8" w:space="0" w:color="auto"/>
            </w:tcBorders>
            <w:shd w:val="clear" w:color="auto" w:fill="auto"/>
            <w:vAlign w:val="center"/>
          </w:tcPr>
          <w:p w14:paraId="77D6506C" w14:textId="77777777" w:rsidR="003404A2" w:rsidRPr="00B16A18" w:rsidRDefault="003404A2"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BFI.G100</w:t>
            </w:r>
          </w:p>
        </w:tc>
        <w:tc>
          <w:tcPr>
            <w:tcW w:w="1276" w:type="dxa"/>
            <w:tcBorders>
              <w:top w:val="nil"/>
              <w:left w:val="nil"/>
              <w:bottom w:val="nil"/>
              <w:right w:val="single" w:sz="8" w:space="0" w:color="auto"/>
            </w:tcBorders>
            <w:shd w:val="clear" w:color="auto" w:fill="auto"/>
            <w:vAlign w:val="center"/>
          </w:tcPr>
          <w:p w14:paraId="73D82A14" w14:textId="77777777" w:rsidR="003404A2" w:rsidRPr="00B16A18" w:rsidRDefault="003404A2"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BFI.H100</w:t>
            </w:r>
          </w:p>
        </w:tc>
      </w:tr>
      <w:tr w:rsidR="003404A2" w:rsidRPr="00B16A18" w14:paraId="4E4C4F6D" w14:textId="77777777" w:rsidTr="0015273C">
        <w:trPr>
          <w:trHeight w:val="255"/>
        </w:trPr>
        <w:tc>
          <w:tcPr>
            <w:tcW w:w="4820" w:type="dxa"/>
            <w:tcBorders>
              <w:top w:val="nil"/>
              <w:left w:val="single" w:sz="8" w:space="0" w:color="auto"/>
              <w:bottom w:val="nil"/>
              <w:right w:val="single" w:sz="8" w:space="0" w:color="auto"/>
            </w:tcBorders>
            <w:shd w:val="clear" w:color="auto" w:fill="auto"/>
            <w:noWrap/>
            <w:vAlign w:val="center"/>
          </w:tcPr>
          <w:p w14:paraId="31A5E8CA" w14:textId="77777777" w:rsidR="003404A2" w:rsidRPr="00B16A18" w:rsidRDefault="003404A2" w:rsidP="0015273C">
            <w:pPr>
              <w:spacing w:after="0" w:line="240" w:lineRule="auto"/>
              <w:ind w:left="355"/>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122 - Transferências de Recursos do FNDE ref. ao Programa Nacional de Alimentação Escolar (PNAE)</w:t>
            </w:r>
          </w:p>
        </w:tc>
        <w:tc>
          <w:tcPr>
            <w:tcW w:w="1134" w:type="dxa"/>
            <w:tcBorders>
              <w:top w:val="nil"/>
              <w:left w:val="nil"/>
              <w:bottom w:val="nil"/>
              <w:right w:val="single" w:sz="8" w:space="0" w:color="auto"/>
            </w:tcBorders>
            <w:shd w:val="clear" w:color="auto" w:fill="auto"/>
            <w:vAlign w:val="center"/>
          </w:tcPr>
          <w:p w14:paraId="44E062A7" w14:textId="77777777" w:rsidR="003404A2" w:rsidRPr="00B16A18" w:rsidRDefault="003404A2"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BFI.C101</w:t>
            </w:r>
          </w:p>
        </w:tc>
        <w:tc>
          <w:tcPr>
            <w:tcW w:w="1276" w:type="dxa"/>
            <w:tcBorders>
              <w:top w:val="nil"/>
              <w:left w:val="nil"/>
              <w:bottom w:val="nil"/>
              <w:right w:val="single" w:sz="8" w:space="0" w:color="auto"/>
            </w:tcBorders>
            <w:shd w:val="clear" w:color="auto" w:fill="auto"/>
            <w:vAlign w:val="center"/>
          </w:tcPr>
          <w:p w14:paraId="6F356F44" w14:textId="77777777" w:rsidR="003404A2" w:rsidRPr="00B16A18" w:rsidRDefault="003404A2"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BFI.D101</w:t>
            </w:r>
          </w:p>
        </w:tc>
        <w:tc>
          <w:tcPr>
            <w:tcW w:w="4243" w:type="dxa"/>
            <w:tcBorders>
              <w:top w:val="nil"/>
              <w:left w:val="nil"/>
              <w:bottom w:val="nil"/>
              <w:right w:val="single" w:sz="8" w:space="0" w:color="auto"/>
            </w:tcBorders>
            <w:shd w:val="clear" w:color="auto" w:fill="auto"/>
            <w:noWrap/>
            <w:vAlign w:val="center"/>
          </w:tcPr>
          <w:p w14:paraId="6FFA724B" w14:textId="77777777" w:rsidR="003404A2" w:rsidRPr="00B16A18" w:rsidRDefault="003404A2" w:rsidP="0015273C">
            <w:pPr>
              <w:spacing w:after="0" w:line="240" w:lineRule="auto"/>
              <w:ind w:left="355"/>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122 - Transferências de Recursos do FNDE ref. ao Programa Nacional de Alimentação Escolar (PNAE)</w:t>
            </w:r>
          </w:p>
        </w:tc>
        <w:tc>
          <w:tcPr>
            <w:tcW w:w="1285" w:type="dxa"/>
            <w:tcBorders>
              <w:top w:val="nil"/>
              <w:left w:val="nil"/>
              <w:bottom w:val="nil"/>
              <w:right w:val="single" w:sz="8" w:space="0" w:color="auto"/>
            </w:tcBorders>
            <w:shd w:val="clear" w:color="auto" w:fill="auto"/>
            <w:vAlign w:val="center"/>
          </w:tcPr>
          <w:p w14:paraId="75FFAB57" w14:textId="77777777" w:rsidR="003404A2" w:rsidRPr="00B16A18" w:rsidRDefault="003404A2"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BFI.G101</w:t>
            </w:r>
          </w:p>
        </w:tc>
        <w:tc>
          <w:tcPr>
            <w:tcW w:w="1276" w:type="dxa"/>
            <w:tcBorders>
              <w:top w:val="nil"/>
              <w:left w:val="nil"/>
              <w:bottom w:val="nil"/>
              <w:right w:val="single" w:sz="8" w:space="0" w:color="auto"/>
            </w:tcBorders>
            <w:shd w:val="clear" w:color="auto" w:fill="auto"/>
            <w:vAlign w:val="center"/>
          </w:tcPr>
          <w:p w14:paraId="6C5D31CC" w14:textId="77777777" w:rsidR="003404A2" w:rsidRPr="00B16A18" w:rsidRDefault="003404A2"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BFI.H101</w:t>
            </w:r>
          </w:p>
        </w:tc>
      </w:tr>
      <w:tr w:rsidR="003404A2" w:rsidRPr="00B16A18" w14:paraId="21B73B6D" w14:textId="77777777" w:rsidTr="0015273C">
        <w:trPr>
          <w:trHeight w:val="255"/>
        </w:trPr>
        <w:tc>
          <w:tcPr>
            <w:tcW w:w="4820" w:type="dxa"/>
            <w:tcBorders>
              <w:top w:val="nil"/>
              <w:left w:val="single" w:sz="8" w:space="0" w:color="auto"/>
              <w:bottom w:val="nil"/>
              <w:right w:val="single" w:sz="8" w:space="0" w:color="auto"/>
            </w:tcBorders>
            <w:shd w:val="clear" w:color="auto" w:fill="auto"/>
            <w:noWrap/>
            <w:vAlign w:val="center"/>
          </w:tcPr>
          <w:p w14:paraId="608FED3A" w14:textId="77777777" w:rsidR="003404A2" w:rsidRPr="00B16A18" w:rsidRDefault="003404A2" w:rsidP="0015273C">
            <w:pPr>
              <w:spacing w:after="0" w:line="240" w:lineRule="auto"/>
              <w:ind w:left="355"/>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123 - Transferências de Recursos do FNDE ref. ao Programa Nacional de Apoio ao Transporte Escolar (PNATE)</w:t>
            </w:r>
          </w:p>
        </w:tc>
        <w:tc>
          <w:tcPr>
            <w:tcW w:w="1134" w:type="dxa"/>
            <w:tcBorders>
              <w:top w:val="nil"/>
              <w:left w:val="nil"/>
              <w:bottom w:val="nil"/>
              <w:right w:val="single" w:sz="8" w:space="0" w:color="auto"/>
            </w:tcBorders>
            <w:shd w:val="clear" w:color="auto" w:fill="auto"/>
            <w:vAlign w:val="center"/>
          </w:tcPr>
          <w:p w14:paraId="0C8CA1BD" w14:textId="77777777" w:rsidR="003404A2" w:rsidRPr="00B16A18" w:rsidRDefault="003404A2"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BFI.C102</w:t>
            </w:r>
          </w:p>
        </w:tc>
        <w:tc>
          <w:tcPr>
            <w:tcW w:w="1276" w:type="dxa"/>
            <w:tcBorders>
              <w:top w:val="nil"/>
              <w:left w:val="nil"/>
              <w:bottom w:val="nil"/>
              <w:right w:val="single" w:sz="8" w:space="0" w:color="auto"/>
            </w:tcBorders>
            <w:shd w:val="clear" w:color="auto" w:fill="auto"/>
            <w:vAlign w:val="center"/>
          </w:tcPr>
          <w:p w14:paraId="0A259712" w14:textId="77777777" w:rsidR="003404A2" w:rsidRPr="00B16A18" w:rsidRDefault="003404A2"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BFI.D102</w:t>
            </w:r>
          </w:p>
        </w:tc>
        <w:tc>
          <w:tcPr>
            <w:tcW w:w="4243" w:type="dxa"/>
            <w:tcBorders>
              <w:top w:val="nil"/>
              <w:left w:val="nil"/>
              <w:bottom w:val="nil"/>
              <w:right w:val="single" w:sz="8" w:space="0" w:color="auto"/>
            </w:tcBorders>
            <w:shd w:val="clear" w:color="auto" w:fill="auto"/>
            <w:noWrap/>
            <w:vAlign w:val="center"/>
          </w:tcPr>
          <w:p w14:paraId="5F2144FC" w14:textId="77777777" w:rsidR="003404A2" w:rsidRPr="00B16A18" w:rsidRDefault="003404A2" w:rsidP="0015273C">
            <w:pPr>
              <w:spacing w:after="0" w:line="240" w:lineRule="auto"/>
              <w:ind w:left="355"/>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123 - Transferências de Recursos do FNDE ref. ao Programa Nacional de Apoio ao Transporte Escolar (PNATE)</w:t>
            </w:r>
          </w:p>
        </w:tc>
        <w:tc>
          <w:tcPr>
            <w:tcW w:w="1285" w:type="dxa"/>
            <w:tcBorders>
              <w:top w:val="nil"/>
              <w:left w:val="nil"/>
              <w:bottom w:val="nil"/>
              <w:right w:val="single" w:sz="8" w:space="0" w:color="auto"/>
            </w:tcBorders>
            <w:shd w:val="clear" w:color="auto" w:fill="auto"/>
            <w:vAlign w:val="center"/>
          </w:tcPr>
          <w:p w14:paraId="1A606146" w14:textId="77777777" w:rsidR="003404A2" w:rsidRPr="00B16A18" w:rsidRDefault="003404A2"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BFI.G102</w:t>
            </w:r>
          </w:p>
        </w:tc>
        <w:tc>
          <w:tcPr>
            <w:tcW w:w="1276" w:type="dxa"/>
            <w:tcBorders>
              <w:top w:val="nil"/>
              <w:left w:val="nil"/>
              <w:bottom w:val="nil"/>
              <w:right w:val="single" w:sz="8" w:space="0" w:color="auto"/>
            </w:tcBorders>
            <w:shd w:val="clear" w:color="auto" w:fill="auto"/>
            <w:vAlign w:val="center"/>
          </w:tcPr>
          <w:p w14:paraId="7E807937" w14:textId="77777777" w:rsidR="003404A2" w:rsidRPr="00B16A18" w:rsidRDefault="003404A2"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BFI.H102</w:t>
            </w:r>
          </w:p>
        </w:tc>
      </w:tr>
      <w:tr w:rsidR="003404A2" w:rsidRPr="00B16A18" w14:paraId="0113EEF6" w14:textId="77777777" w:rsidTr="0015273C">
        <w:trPr>
          <w:trHeight w:val="255"/>
        </w:trPr>
        <w:tc>
          <w:tcPr>
            <w:tcW w:w="4820" w:type="dxa"/>
            <w:tcBorders>
              <w:top w:val="nil"/>
              <w:left w:val="single" w:sz="8" w:space="0" w:color="auto"/>
              <w:bottom w:val="nil"/>
              <w:right w:val="single" w:sz="8" w:space="0" w:color="auto"/>
            </w:tcBorders>
            <w:shd w:val="clear" w:color="auto" w:fill="auto"/>
            <w:noWrap/>
            <w:vAlign w:val="center"/>
          </w:tcPr>
          <w:p w14:paraId="0D6F9599" w14:textId="77777777" w:rsidR="003404A2" w:rsidRPr="00B16A18" w:rsidRDefault="003404A2" w:rsidP="0015273C">
            <w:pPr>
              <w:spacing w:after="0" w:line="240" w:lineRule="auto"/>
              <w:ind w:firstLineChars="221" w:firstLine="354"/>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124 – Outras Transferências de Recursos do FNDE</w:t>
            </w:r>
          </w:p>
        </w:tc>
        <w:tc>
          <w:tcPr>
            <w:tcW w:w="1134" w:type="dxa"/>
            <w:tcBorders>
              <w:top w:val="nil"/>
              <w:left w:val="nil"/>
              <w:bottom w:val="nil"/>
              <w:right w:val="single" w:sz="8" w:space="0" w:color="auto"/>
            </w:tcBorders>
            <w:shd w:val="clear" w:color="auto" w:fill="auto"/>
            <w:vAlign w:val="center"/>
          </w:tcPr>
          <w:p w14:paraId="0CCACFA0" w14:textId="77777777" w:rsidR="003404A2" w:rsidRPr="00B16A18" w:rsidRDefault="003404A2"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BFI.C103</w:t>
            </w:r>
          </w:p>
        </w:tc>
        <w:tc>
          <w:tcPr>
            <w:tcW w:w="1276" w:type="dxa"/>
            <w:tcBorders>
              <w:top w:val="nil"/>
              <w:left w:val="nil"/>
              <w:bottom w:val="nil"/>
              <w:right w:val="single" w:sz="8" w:space="0" w:color="auto"/>
            </w:tcBorders>
            <w:shd w:val="clear" w:color="auto" w:fill="auto"/>
            <w:vAlign w:val="center"/>
          </w:tcPr>
          <w:p w14:paraId="5B8BD3B6" w14:textId="77777777" w:rsidR="003404A2" w:rsidRPr="00B16A18" w:rsidRDefault="003404A2"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BFI.D103</w:t>
            </w:r>
          </w:p>
        </w:tc>
        <w:tc>
          <w:tcPr>
            <w:tcW w:w="4243" w:type="dxa"/>
            <w:tcBorders>
              <w:top w:val="nil"/>
              <w:left w:val="nil"/>
              <w:bottom w:val="nil"/>
              <w:right w:val="single" w:sz="8" w:space="0" w:color="auto"/>
            </w:tcBorders>
            <w:shd w:val="clear" w:color="auto" w:fill="auto"/>
            <w:noWrap/>
            <w:vAlign w:val="center"/>
          </w:tcPr>
          <w:p w14:paraId="1E45DBDD" w14:textId="77777777" w:rsidR="003404A2" w:rsidRPr="00B16A18" w:rsidRDefault="003404A2" w:rsidP="0015273C">
            <w:pPr>
              <w:spacing w:after="0" w:line="240" w:lineRule="auto"/>
              <w:ind w:firstLineChars="221" w:firstLine="354"/>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124 – Outras Transferências de Recursos do FNDE</w:t>
            </w:r>
          </w:p>
        </w:tc>
        <w:tc>
          <w:tcPr>
            <w:tcW w:w="1285" w:type="dxa"/>
            <w:tcBorders>
              <w:top w:val="nil"/>
              <w:left w:val="nil"/>
              <w:bottom w:val="nil"/>
              <w:right w:val="single" w:sz="8" w:space="0" w:color="auto"/>
            </w:tcBorders>
            <w:shd w:val="clear" w:color="auto" w:fill="auto"/>
            <w:vAlign w:val="center"/>
          </w:tcPr>
          <w:p w14:paraId="79107297" w14:textId="77777777" w:rsidR="003404A2" w:rsidRPr="00B16A18" w:rsidRDefault="003404A2"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BFI.G103</w:t>
            </w:r>
          </w:p>
        </w:tc>
        <w:tc>
          <w:tcPr>
            <w:tcW w:w="1276" w:type="dxa"/>
            <w:tcBorders>
              <w:top w:val="nil"/>
              <w:left w:val="nil"/>
              <w:bottom w:val="nil"/>
              <w:right w:val="single" w:sz="8" w:space="0" w:color="auto"/>
            </w:tcBorders>
            <w:shd w:val="clear" w:color="auto" w:fill="auto"/>
            <w:vAlign w:val="center"/>
          </w:tcPr>
          <w:p w14:paraId="07090BBC" w14:textId="77777777" w:rsidR="003404A2" w:rsidRPr="00B16A18" w:rsidRDefault="003404A2"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BFI.H103</w:t>
            </w:r>
          </w:p>
        </w:tc>
      </w:tr>
      <w:tr w:rsidR="003404A2" w:rsidRPr="00B16A18" w14:paraId="07392B84" w14:textId="77777777" w:rsidTr="0015273C">
        <w:trPr>
          <w:trHeight w:val="255"/>
        </w:trPr>
        <w:tc>
          <w:tcPr>
            <w:tcW w:w="4820" w:type="dxa"/>
            <w:tcBorders>
              <w:top w:val="nil"/>
              <w:left w:val="single" w:sz="8" w:space="0" w:color="auto"/>
              <w:bottom w:val="nil"/>
              <w:right w:val="single" w:sz="8" w:space="0" w:color="auto"/>
            </w:tcBorders>
            <w:shd w:val="clear" w:color="auto" w:fill="auto"/>
            <w:noWrap/>
            <w:vAlign w:val="center"/>
          </w:tcPr>
          <w:p w14:paraId="74C307AA" w14:textId="77777777" w:rsidR="003404A2" w:rsidRPr="00B16A18" w:rsidRDefault="003404A2" w:rsidP="0015273C">
            <w:pPr>
              <w:spacing w:after="0" w:line="240" w:lineRule="auto"/>
              <w:ind w:firstLineChars="221" w:firstLine="354"/>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lastRenderedPageBreak/>
              <w:t xml:space="preserve">140 - Royalties do Petróleo vinculados à Educação </w:t>
            </w:r>
          </w:p>
        </w:tc>
        <w:tc>
          <w:tcPr>
            <w:tcW w:w="1134" w:type="dxa"/>
            <w:tcBorders>
              <w:top w:val="nil"/>
              <w:left w:val="nil"/>
              <w:bottom w:val="nil"/>
              <w:right w:val="single" w:sz="8" w:space="0" w:color="auto"/>
            </w:tcBorders>
            <w:shd w:val="clear" w:color="auto" w:fill="auto"/>
            <w:vAlign w:val="center"/>
          </w:tcPr>
          <w:p w14:paraId="7909FCB7"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BFI.C091</w:t>
            </w:r>
          </w:p>
        </w:tc>
        <w:tc>
          <w:tcPr>
            <w:tcW w:w="1276" w:type="dxa"/>
            <w:tcBorders>
              <w:top w:val="nil"/>
              <w:left w:val="nil"/>
              <w:bottom w:val="nil"/>
              <w:right w:val="single" w:sz="8" w:space="0" w:color="auto"/>
            </w:tcBorders>
            <w:shd w:val="clear" w:color="auto" w:fill="auto"/>
            <w:vAlign w:val="center"/>
          </w:tcPr>
          <w:p w14:paraId="0F30FCE2"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BFI.D091</w:t>
            </w:r>
          </w:p>
        </w:tc>
        <w:tc>
          <w:tcPr>
            <w:tcW w:w="4243" w:type="dxa"/>
            <w:tcBorders>
              <w:top w:val="nil"/>
              <w:left w:val="nil"/>
              <w:bottom w:val="nil"/>
              <w:right w:val="single" w:sz="8" w:space="0" w:color="auto"/>
            </w:tcBorders>
            <w:shd w:val="clear" w:color="auto" w:fill="auto"/>
            <w:noWrap/>
            <w:vAlign w:val="center"/>
          </w:tcPr>
          <w:p w14:paraId="65621C14" w14:textId="77777777" w:rsidR="003404A2" w:rsidRPr="00B16A18" w:rsidRDefault="003404A2" w:rsidP="0015273C">
            <w:pPr>
              <w:spacing w:after="0" w:line="240" w:lineRule="auto"/>
              <w:ind w:firstLineChars="221" w:firstLine="354"/>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140 - Royalties do Petróleo vinculados à Educação</w:t>
            </w:r>
          </w:p>
        </w:tc>
        <w:tc>
          <w:tcPr>
            <w:tcW w:w="1285" w:type="dxa"/>
            <w:tcBorders>
              <w:top w:val="nil"/>
              <w:left w:val="nil"/>
              <w:bottom w:val="nil"/>
              <w:right w:val="single" w:sz="8" w:space="0" w:color="auto"/>
            </w:tcBorders>
            <w:shd w:val="clear" w:color="auto" w:fill="auto"/>
            <w:vAlign w:val="center"/>
          </w:tcPr>
          <w:p w14:paraId="7FDC0B05"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BFI.G091</w:t>
            </w:r>
          </w:p>
        </w:tc>
        <w:tc>
          <w:tcPr>
            <w:tcW w:w="1276" w:type="dxa"/>
            <w:tcBorders>
              <w:top w:val="nil"/>
              <w:left w:val="nil"/>
              <w:bottom w:val="nil"/>
              <w:right w:val="single" w:sz="8" w:space="0" w:color="auto"/>
            </w:tcBorders>
            <w:shd w:val="clear" w:color="auto" w:fill="auto"/>
            <w:vAlign w:val="center"/>
          </w:tcPr>
          <w:p w14:paraId="379FC444"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BFI.H091</w:t>
            </w:r>
          </w:p>
        </w:tc>
      </w:tr>
      <w:tr w:rsidR="003404A2" w:rsidRPr="00B16A18" w14:paraId="19280B3C" w14:textId="77777777" w:rsidTr="0015273C">
        <w:trPr>
          <w:trHeight w:val="255"/>
        </w:trPr>
        <w:tc>
          <w:tcPr>
            <w:tcW w:w="4820" w:type="dxa"/>
            <w:tcBorders>
              <w:top w:val="nil"/>
              <w:left w:val="single" w:sz="8" w:space="0" w:color="auto"/>
              <w:bottom w:val="nil"/>
              <w:right w:val="single" w:sz="8" w:space="0" w:color="auto"/>
            </w:tcBorders>
            <w:shd w:val="clear" w:color="auto" w:fill="auto"/>
            <w:noWrap/>
            <w:vAlign w:val="center"/>
          </w:tcPr>
          <w:p w14:paraId="37470D04" w14:textId="77777777" w:rsidR="003404A2" w:rsidRPr="00B16A18" w:rsidRDefault="003404A2" w:rsidP="0015273C">
            <w:pPr>
              <w:spacing w:after="0" w:line="240" w:lineRule="auto"/>
              <w:ind w:firstLineChars="221" w:firstLine="354"/>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125 – Transferências de Convênios ou de Contratos de Repasse vinculados à Educação</w:t>
            </w:r>
          </w:p>
        </w:tc>
        <w:tc>
          <w:tcPr>
            <w:tcW w:w="1134" w:type="dxa"/>
            <w:tcBorders>
              <w:top w:val="nil"/>
              <w:left w:val="nil"/>
              <w:bottom w:val="nil"/>
              <w:right w:val="single" w:sz="8" w:space="0" w:color="auto"/>
            </w:tcBorders>
            <w:shd w:val="clear" w:color="auto" w:fill="auto"/>
            <w:vAlign w:val="center"/>
          </w:tcPr>
          <w:p w14:paraId="3BCB36C8"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BFI.C021</w:t>
            </w:r>
          </w:p>
        </w:tc>
        <w:tc>
          <w:tcPr>
            <w:tcW w:w="1276" w:type="dxa"/>
            <w:tcBorders>
              <w:top w:val="nil"/>
              <w:left w:val="nil"/>
              <w:bottom w:val="nil"/>
              <w:right w:val="single" w:sz="8" w:space="0" w:color="auto"/>
            </w:tcBorders>
            <w:shd w:val="clear" w:color="auto" w:fill="auto"/>
            <w:vAlign w:val="center"/>
          </w:tcPr>
          <w:p w14:paraId="7E0178CF"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BFI.D021</w:t>
            </w:r>
          </w:p>
        </w:tc>
        <w:tc>
          <w:tcPr>
            <w:tcW w:w="4243" w:type="dxa"/>
            <w:tcBorders>
              <w:top w:val="nil"/>
              <w:left w:val="nil"/>
              <w:bottom w:val="nil"/>
              <w:right w:val="single" w:sz="8" w:space="0" w:color="auto"/>
            </w:tcBorders>
            <w:shd w:val="clear" w:color="auto" w:fill="auto"/>
            <w:noWrap/>
            <w:vAlign w:val="center"/>
          </w:tcPr>
          <w:p w14:paraId="19849B75" w14:textId="77777777" w:rsidR="003404A2" w:rsidRPr="00B16A18" w:rsidRDefault="003404A2" w:rsidP="0015273C">
            <w:pPr>
              <w:spacing w:after="0" w:line="240" w:lineRule="auto"/>
              <w:ind w:firstLineChars="221" w:firstLine="354"/>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125 – Transferências de Convênios ou de Contratos de Repasse vinculados à Educação</w:t>
            </w:r>
          </w:p>
        </w:tc>
        <w:tc>
          <w:tcPr>
            <w:tcW w:w="1285" w:type="dxa"/>
            <w:tcBorders>
              <w:top w:val="nil"/>
              <w:left w:val="nil"/>
              <w:bottom w:val="nil"/>
              <w:right w:val="single" w:sz="8" w:space="0" w:color="auto"/>
            </w:tcBorders>
            <w:shd w:val="clear" w:color="auto" w:fill="auto"/>
            <w:vAlign w:val="center"/>
          </w:tcPr>
          <w:p w14:paraId="0F4C8D88"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BFI.G021</w:t>
            </w:r>
          </w:p>
        </w:tc>
        <w:tc>
          <w:tcPr>
            <w:tcW w:w="1276" w:type="dxa"/>
            <w:tcBorders>
              <w:top w:val="nil"/>
              <w:left w:val="nil"/>
              <w:bottom w:val="nil"/>
              <w:right w:val="single" w:sz="8" w:space="0" w:color="auto"/>
            </w:tcBorders>
            <w:shd w:val="clear" w:color="auto" w:fill="auto"/>
            <w:vAlign w:val="center"/>
          </w:tcPr>
          <w:p w14:paraId="06DE4C76"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BFI.H021</w:t>
            </w:r>
          </w:p>
        </w:tc>
      </w:tr>
      <w:tr w:rsidR="003404A2" w:rsidRPr="00B16A18" w14:paraId="74432123" w14:textId="77777777" w:rsidTr="0015273C">
        <w:trPr>
          <w:trHeight w:val="255"/>
        </w:trPr>
        <w:tc>
          <w:tcPr>
            <w:tcW w:w="4820" w:type="dxa"/>
            <w:tcBorders>
              <w:top w:val="nil"/>
              <w:left w:val="single" w:sz="8" w:space="0" w:color="auto"/>
              <w:bottom w:val="nil"/>
              <w:right w:val="single" w:sz="8" w:space="0" w:color="auto"/>
            </w:tcBorders>
            <w:shd w:val="clear" w:color="auto" w:fill="auto"/>
            <w:noWrap/>
            <w:vAlign w:val="center"/>
          </w:tcPr>
          <w:p w14:paraId="3043B166" w14:textId="77777777" w:rsidR="003404A2" w:rsidRPr="00B16A18" w:rsidRDefault="003404A2" w:rsidP="0015273C">
            <w:pPr>
              <w:spacing w:after="0" w:line="240" w:lineRule="auto"/>
              <w:ind w:firstLineChars="221" w:firstLine="354"/>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130 - Operações de Crédito vinculadas à Educação</w:t>
            </w:r>
          </w:p>
        </w:tc>
        <w:tc>
          <w:tcPr>
            <w:tcW w:w="1134" w:type="dxa"/>
            <w:tcBorders>
              <w:top w:val="nil"/>
              <w:left w:val="nil"/>
              <w:bottom w:val="nil"/>
              <w:right w:val="single" w:sz="8" w:space="0" w:color="auto"/>
            </w:tcBorders>
            <w:shd w:val="clear" w:color="auto" w:fill="auto"/>
            <w:vAlign w:val="center"/>
          </w:tcPr>
          <w:p w14:paraId="2FF95D2A"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BFI.C024</w:t>
            </w:r>
          </w:p>
        </w:tc>
        <w:tc>
          <w:tcPr>
            <w:tcW w:w="1276" w:type="dxa"/>
            <w:tcBorders>
              <w:top w:val="nil"/>
              <w:left w:val="nil"/>
              <w:bottom w:val="nil"/>
              <w:right w:val="single" w:sz="8" w:space="0" w:color="auto"/>
            </w:tcBorders>
            <w:shd w:val="clear" w:color="auto" w:fill="auto"/>
            <w:vAlign w:val="center"/>
          </w:tcPr>
          <w:p w14:paraId="0C77D633"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BFI.D024</w:t>
            </w:r>
          </w:p>
        </w:tc>
        <w:tc>
          <w:tcPr>
            <w:tcW w:w="4243" w:type="dxa"/>
            <w:tcBorders>
              <w:top w:val="nil"/>
              <w:left w:val="nil"/>
              <w:bottom w:val="nil"/>
              <w:right w:val="single" w:sz="8" w:space="0" w:color="auto"/>
            </w:tcBorders>
            <w:shd w:val="clear" w:color="auto" w:fill="auto"/>
            <w:noWrap/>
            <w:vAlign w:val="center"/>
          </w:tcPr>
          <w:p w14:paraId="6C611002" w14:textId="77777777" w:rsidR="003404A2" w:rsidRPr="00B16A18" w:rsidRDefault="003404A2" w:rsidP="0015273C">
            <w:pPr>
              <w:spacing w:after="0" w:line="240" w:lineRule="auto"/>
              <w:ind w:firstLineChars="221" w:firstLine="354"/>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130 - Operações de Crédito vinculadas à Educação</w:t>
            </w:r>
          </w:p>
        </w:tc>
        <w:tc>
          <w:tcPr>
            <w:tcW w:w="1285" w:type="dxa"/>
            <w:tcBorders>
              <w:top w:val="nil"/>
              <w:left w:val="nil"/>
              <w:bottom w:val="nil"/>
              <w:right w:val="single" w:sz="8" w:space="0" w:color="auto"/>
            </w:tcBorders>
            <w:shd w:val="clear" w:color="auto" w:fill="auto"/>
            <w:vAlign w:val="center"/>
          </w:tcPr>
          <w:p w14:paraId="62B00061"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BFI.G024</w:t>
            </w:r>
          </w:p>
        </w:tc>
        <w:tc>
          <w:tcPr>
            <w:tcW w:w="1276" w:type="dxa"/>
            <w:tcBorders>
              <w:top w:val="nil"/>
              <w:left w:val="nil"/>
              <w:bottom w:val="nil"/>
              <w:right w:val="single" w:sz="8" w:space="0" w:color="auto"/>
            </w:tcBorders>
            <w:shd w:val="clear" w:color="auto" w:fill="auto"/>
            <w:vAlign w:val="center"/>
          </w:tcPr>
          <w:p w14:paraId="150B798F"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BFI.H024</w:t>
            </w:r>
          </w:p>
        </w:tc>
      </w:tr>
      <w:tr w:rsidR="003404A2" w:rsidRPr="00B16A18" w14:paraId="674AEC25" w14:textId="77777777" w:rsidTr="0015273C">
        <w:trPr>
          <w:trHeight w:val="255"/>
        </w:trPr>
        <w:tc>
          <w:tcPr>
            <w:tcW w:w="4820" w:type="dxa"/>
            <w:tcBorders>
              <w:top w:val="nil"/>
              <w:left w:val="single" w:sz="8" w:space="0" w:color="auto"/>
              <w:right w:val="single" w:sz="8" w:space="0" w:color="auto"/>
            </w:tcBorders>
            <w:shd w:val="clear" w:color="auto" w:fill="auto"/>
            <w:noWrap/>
            <w:vAlign w:val="center"/>
          </w:tcPr>
          <w:p w14:paraId="4E5B32C6" w14:textId="77777777" w:rsidR="003404A2" w:rsidRPr="00B16A18" w:rsidRDefault="003404A2" w:rsidP="0015273C">
            <w:pPr>
              <w:spacing w:after="0" w:line="240" w:lineRule="auto"/>
              <w:ind w:firstLineChars="221" w:firstLine="354"/>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190 – Outros Recursos vinculados à Educação</w:t>
            </w:r>
          </w:p>
        </w:tc>
        <w:tc>
          <w:tcPr>
            <w:tcW w:w="1134" w:type="dxa"/>
            <w:tcBorders>
              <w:top w:val="nil"/>
              <w:left w:val="nil"/>
              <w:right w:val="single" w:sz="8" w:space="0" w:color="auto"/>
            </w:tcBorders>
            <w:shd w:val="clear" w:color="auto" w:fill="auto"/>
            <w:vAlign w:val="center"/>
          </w:tcPr>
          <w:p w14:paraId="1BB7C7E6"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BFI.C025</w:t>
            </w:r>
          </w:p>
        </w:tc>
        <w:tc>
          <w:tcPr>
            <w:tcW w:w="1276" w:type="dxa"/>
            <w:tcBorders>
              <w:top w:val="nil"/>
              <w:left w:val="nil"/>
              <w:right w:val="single" w:sz="8" w:space="0" w:color="auto"/>
            </w:tcBorders>
            <w:shd w:val="clear" w:color="auto" w:fill="auto"/>
            <w:vAlign w:val="center"/>
          </w:tcPr>
          <w:p w14:paraId="747C8098"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BFI.D025</w:t>
            </w:r>
          </w:p>
        </w:tc>
        <w:tc>
          <w:tcPr>
            <w:tcW w:w="4243" w:type="dxa"/>
            <w:tcBorders>
              <w:top w:val="nil"/>
              <w:left w:val="nil"/>
              <w:right w:val="single" w:sz="8" w:space="0" w:color="auto"/>
            </w:tcBorders>
            <w:shd w:val="clear" w:color="auto" w:fill="auto"/>
            <w:noWrap/>
            <w:vAlign w:val="center"/>
          </w:tcPr>
          <w:p w14:paraId="675E3057" w14:textId="77777777" w:rsidR="003404A2" w:rsidRPr="00B16A18" w:rsidRDefault="003404A2" w:rsidP="0015273C">
            <w:pPr>
              <w:spacing w:after="0" w:line="240" w:lineRule="auto"/>
              <w:ind w:firstLineChars="221" w:firstLine="354"/>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190 – Outros Recursos vinculados à Educação</w:t>
            </w:r>
          </w:p>
        </w:tc>
        <w:tc>
          <w:tcPr>
            <w:tcW w:w="1285" w:type="dxa"/>
            <w:tcBorders>
              <w:top w:val="nil"/>
              <w:left w:val="nil"/>
              <w:right w:val="single" w:sz="8" w:space="0" w:color="auto"/>
            </w:tcBorders>
            <w:shd w:val="clear" w:color="auto" w:fill="auto"/>
            <w:vAlign w:val="center"/>
          </w:tcPr>
          <w:p w14:paraId="237173D1"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BFI.G025</w:t>
            </w:r>
          </w:p>
        </w:tc>
        <w:tc>
          <w:tcPr>
            <w:tcW w:w="1276" w:type="dxa"/>
            <w:tcBorders>
              <w:top w:val="nil"/>
              <w:left w:val="nil"/>
              <w:right w:val="single" w:sz="8" w:space="0" w:color="auto"/>
            </w:tcBorders>
            <w:shd w:val="clear" w:color="auto" w:fill="auto"/>
            <w:vAlign w:val="center"/>
          </w:tcPr>
          <w:p w14:paraId="5274D637"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BFI.H025</w:t>
            </w:r>
          </w:p>
        </w:tc>
      </w:tr>
      <w:tr w:rsidR="003404A2" w:rsidRPr="00B16A18" w14:paraId="564ED0B7" w14:textId="77777777" w:rsidTr="0015273C">
        <w:trPr>
          <w:trHeight w:val="255"/>
        </w:trPr>
        <w:tc>
          <w:tcPr>
            <w:tcW w:w="4820" w:type="dxa"/>
            <w:tcBorders>
              <w:left w:val="single" w:sz="8" w:space="0" w:color="auto"/>
              <w:bottom w:val="nil"/>
              <w:right w:val="single" w:sz="8" w:space="0" w:color="auto"/>
            </w:tcBorders>
            <w:shd w:val="clear" w:color="auto" w:fill="auto"/>
            <w:noWrap/>
            <w:vAlign w:val="center"/>
            <w:hideMark/>
          </w:tcPr>
          <w:p w14:paraId="4052446C" w14:textId="77777777" w:rsidR="003404A2" w:rsidRPr="00B16A18" w:rsidRDefault="003404A2" w:rsidP="0015273C">
            <w:pPr>
              <w:spacing w:after="0" w:line="240" w:lineRule="auto"/>
              <w:ind w:firstLineChars="100" w:firstLine="161"/>
              <w:rPr>
                <w:rFonts w:ascii="Arial Narrow" w:eastAsia="Times New Roman" w:hAnsi="Arial Narrow" w:cs="Arial"/>
                <w:b/>
                <w:bCs/>
                <w:sz w:val="16"/>
                <w:szCs w:val="16"/>
                <w:lang w:eastAsia="pt-BR"/>
              </w:rPr>
            </w:pPr>
            <w:r w:rsidRPr="00B16A18">
              <w:rPr>
                <w:rFonts w:ascii="Arial Narrow" w:eastAsia="Times New Roman" w:hAnsi="Arial Narrow" w:cs="Arial"/>
                <w:b/>
                <w:bCs/>
                <w:sz w:val="16"/>
                <w:szCs w:val="16"/>
                <w:lang w:eastAsia="pt-BR"/>
              </w:rPr>
              <w:t xml:space="preserve">  Recursos Vinculados à Saúde</w:t>
            </w:r>
          </w:p>
        </w:tc>
        <w:tc>
          <w:tcPr>
            <w:tcW w:w="1134" w:type="dxa"/>
            <w:tcBorders>
              <w:left w:val="nil"/>
              <w:bottom w:val="nil"/>
              <w:right w:val="single" w:sz="8" w:space="0" w:color="auto"/>
            </w:tcBorders>
            <w:shd w:val="clear" w:color="auto" w:fill="auto"/>
            <w:vAlign w:val="center"/>
            <w:hideMark/>
          </w:tcPr>
          <w:p w14:paraId="2F17BC2D" w14:textId="77777777" w:rsidR="003404A2" w:rsidRPr="00B16A18" w:rsidRDefault="003404A2" w:rsidP="0015273C">
            <w:pPr>
              <w:spacing w:after="0" w:line="240" w:lineRule="auto"/>
              <w:jc w:val="center"/>
              <w:rPr>
                <w:rFonts w:ascii="Arial Narrow" w:eastAsia="Times New Roman" w:hAnsi="Arial Narrow" w:cs="Arial"/>
                <w:b/>
                <w:bCs/>
                <w:sz w:val="16"/>
                <w:szCs w:val="16"/>
                <w:lang w:eastAsia="pt-BR"/>
              </w:rPr>
            </w:pPr>
            <w:r w:rsidRPr="00B16A18">
              <w:rPr>
                <w:rFonts w:ascii="Arial Narrow" w:eastAsia="Times New Roman" w:hAnsi="Arial Narrow" w:cs="Arial"/>
                <w:b/>
                <w:bCs/>
                <w:sz w:val="16"/>
                <w:szCs w:val="16"/>
                <w:lang w:eastAsia="pt-BR"/>
              </w:rPr>
              <w:t>BFI.C026</w:t>
            </w:r>
          </w:p>
        </w:tc>
        <w:tc>
          <w:tcPr>
            <w:tcW w:w="1276" w:type="dxa"/>
            <w:tcBorders>
              <w:left w:val="nil"/>
              <w:bottom w:val="nil"/>
              <w:right w:val="single" w:sz="8" w:space="0" w:color="auto"/>
            </w:tcBorders>
            <w:shd w:val="clear" w:color="auto" w:fill="auto"/>
            <w:vAlign w:val="center"/>
            <w:hideMark/>
          </w:tcPr>
          <w:p w14:paraId="3C9AD520" w14:textId="77777777" w:rsidR="003404A2" w:rsidRPr="00B16A18" w:rsidRDefault="003404A2" w:rsidP="0015273C">
            <w:pPr>
              <w:spacing w:after="0" w:line="240" w:lineRule="auto"/>
              <w:jc w:val="center"/>
              <w:rPr>
                <w:rFonts w:ascii="Arial Narrow" w:eastAsia="Times New Roman" w:hAnsi="Arial Narrow" w:cs="Arial"/>
                <w:b/>
                <w:bCs/>
                <w:sz w:val="16"/>
                <w:szCs w:val="16"/>
                <w:lang w:eastAsia="pt-BR"/>
              </w:rPr>
            </w:pPr>
            <w:r w:rsidRPr="00B16A18">
              <w:rPr>
                <w:rFonts w:ascii="Arial Narrow" w:eastAsia="Times New Roman" w:hAnsi="Arial Narrow" w:cs="Arial"/>
                <w:b/>
                <w:bCs/>
                <w:sz w:val="16"/>
                <w:szCs w:val="16"/>
                <w:lang w:eastAsia="pt-BR"/>
              </w:rPr>
              <w:t>BFI.D026</w:t>
            </w:r>
          </w:p>
        </w:tc>
        <w:tc>
          <w:tcPr>
            <w:tcW w:w="4243" w:type="dxa"/>
            <w:tcBorders>
              <w:left w:val="nil"/>
              <w:bottom w:val="nil"/>
              <w:right w:val="single" w:sz="8" w:space="0" w:color="auto"/>
            </w:tcBorders>
            <w:shd w:val="clear" w:color="auto" w:fill="auto"/>
            <w:noWrap/>
            <w:vAlign w:val="center"/>
            <w:hideMark/>
          </w:tcPr>
          <w:p w14:paraId="1AEF111B" w14:textId="77777777" w:rsidR="003404A2" w:rsidRPr="00B16A18" w:rsidRDefault="003404A2" w:rsidP="0015273C">
            <w:pPr>
              <w:spacing w:after="0" w:line="240" w:lineRule="auto"/>
              <w:ind w:firstLineChars="100" w:firstLine="161"/>
              <w:rPr>
                <w:rFonts w:ascii="Arial Narrow" w:eastAsia="Times New Roman" w:hAnsi="Arial Narrow" w:cs="Arial"/>
                <w:b/>
                <w:bCs/>
                <w:sz w:val="16"/>
                <w:szCs w:val="16"/>
                <w:lang w:eastAsia="pt-BR"/>
              </w:rPr>
            </w:pPr>
            <w:r w:rsidRPr="00B16A18">
              <w:rPr>
                <w:rFonts w:ascii="Arial Narrow" w:eastAsia="Times New Roman" w:hAnsi="Arial Narrow" w:cs="Arial"/>
                <w:b/>
                <w:bCs/>
                <w:sz w:val="16"/>
                <w:szCs w:val="16"/>
                <w:lang w:eastAsia="pt-BR"/>
              </w:rPr>
              <w:t xml:space="preserve">  Recursos Destinados à Saúde</w:t>
            </w:r>
          </w:p>
        </w:tc>
        <w:tc>
          <w:tcPr>
            <w:tcW w:w="1285" w:type="dxa"/>
            <w:tcBorders>
              <w:left w:val="nil"/>
              <w:bottom w:val="nil"/>
              <w:right w:val="single" w:sz="8" w:space="0" w:color="auto"/>
            </w:tcBorders>
            <w:shd w:val="clear" w:color="auto" w:fill="auto"/>
            <w:vAlign w:val="center"/>
            <w:hideMark/>
          </w:tcPr>
          <w:p w14:paraId="60700289" w14:textId="77777777" w:rsidR="003404A2" w:rsidRPr="00B16A18" w:rsidRDefault="003404A2" w:rsidP="0015273C">
            <w:pPr>
              <w:spacing w:after="0" w:line="240" w:lineRule="auto"/>
              <w:jc w:val="center"/>
              <w:rPr>
                <w:rFonts w:ascii="Arial Narrow" w:eastAsia="Times New Roman" w:hAnsi="Arial Narrow" w:cs="Arial"/>
                <w:b/>
                <w:bCs/>
                <w:sz w:val="16"/>
                <w:szCs w:val="16"/>
                <w:lang w:eastAsia="pt-BR"/>
              </w:rPr>
            </w:pPr>
            <w:r w:rsidRPr="00B16A18">
              <w:rPr>
                <w:rFonts w:ascii="Arial Narrow" w:eastAsia="Times New Roman" w:hAnsi="Arial Narrow" w:cs="Arial"/>
                <w:b/>
                <w:bCs/>
                <w:sz w:val="16"/>
                <w:szCs w:val="16"/>
                <w:lang w:eastAsia="pt-BR"/>
              </w:rPr>
              <w:t>BFI.G026</w:t>
            </w:r>
          </w:p>
        </w:tc>
        <w:tc>
          <w:tcPr>
            <w:tcW w:w="1276" w:type="dxa"/>
            <w:tcBorders>
              <w:left w:val="nil"/>
              <w:bottom w:val="nil"/>
              <w:right w:val="single" w:sz="8" w:space="0" w:color="auto"/>
            </w:tcBorders>
            <w:shd w:val="clear" w:color="auto" w:fill="auto"/>
            <w:vAlign w:val="center"/>
            <w:hideMark/>
          </w:tcPr>
          <w:p w14:paraId="441E37C8" w14:textId="77777777" w:rsidR="003404A2" w:rsidRPr="00B16A18" w:rsidRDefault="003404A2" w:rsidP="0015273C">
            <w:pPr>
              <w:spacing w:after="0" w:line="240" w:lineRule="auto"/>
              <w:jc w:val="center"/>
              <w:rPr>
                <w:rFonts w:ascii="Arial Narrow" w:eastAsia="Times New Roman" w:hAnsi="Arial Narrow" w:cs="Arial"/>
                <w:b/>
                <w:bCs/>
                <w:sz w:val="16"/>
                <w:szCs w:val="16"/>
                <w:lang w:eastAsia="pt-BR"/>
              </w:rPr>
            </w:pPr>
            <w:r w:rsidRPr="00B16A18">
              <w:rPr>
                <w:rFonts w:ascii="Arial Narrow" w:eastAsia="Times New Roman" w:hAnsi="Arial Narrow" w:cs="Arial"/>
                <w:b/>
                <w:bCs/>
                <w:sz w:val="16"/>
                <w:szCs w:val="16"/>
                <w:lang w:eastAsia="pt-BR"/>
              </w:rPr>
              <w:t>BFI.H026</w:t>
            </w:r>
          </w:p>
        </w:tc>
      </w:tr>
      <w:tr w:rsidR="003404A2" w:rsidRPr="00B16A18" w14:paraId="4E80194C" w14:textId="77777777" w:rsidTr="0015273C">
        <w:trPr>
          <w:trHeight w:val="255"/>
        </w:trPr>
        <w:tc>
          <w:tcPr>
            <w:tcW w:w="4820" w:type="dxa"/>
            <w:tcBorders>
              <w:top w:val="nil"/>
              <w:left w:val="single" w:sz="8" w:space="0" w:color="auto"/>
              <w:bottom w:val="nil"/>
              <w:right w:val="single" w:sz="8" w:space="0" w:color="auto"/>
            </w:tcBorders>
            <w:shd w:val="clear" w:color="auto" w:fill="auto"/>
            <w:noWrap/>
            <w:vAlign w:val="center"/>
          </w:tcPr>
          <w:p w14:paraId="28A9ED40" w14:textId="77777777" w:rsidR="003404A2" w:rsidRPr="00B16A18" w:rsidRDefault="003404A2" w:rsidP="0015273C">
            <w:pPr>
              <w:spacing w:after="0" w:line="240" w:lineRule="auto"/>
              <w:ind w:firstLineChars="221" w:firstLine="354"/>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211 – Receita de Impostos e Transferência de Impostos – Saúde</w:t>
            </w:r>
          </w:p>
        </w:tc>
        <w:tc>
          <w:tcPr>
            <w:tcW w:w="1134" w:type="dxa"/>
            <w:tcBorders>
              <w:top w:val="nil"/>
              <w:left w:val="nil"/>
              <w:bottom w:val="nil"/>
              <w:right w:val="single" w:sz="8" w:space="0" w:color="auto"/>
            </w:tcBorders>
            <w:shd w:val="clear" w:color="auto" w:fill="auto"/>
            <w:vAlign w:val="center"/>
          </w:tcPr>
          <w:p w14:paraId="19FF71E4"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BFI.C086</w:t>
            </w:r>
          </w:p>
        </w:tc>
        <w:tc>
          <w:tcPr>
            <w:tcW w:w="1276" w:type="dxa"/>
            <w:tcBorders>
              <w:top w:val="nil"/>
              <w:left w:val="nil"/>
              <w:bottom w:val="nil"/>
              <w:right w:val="single" w:sz="8" w:space="0" w:color="auto"/>
            </w:tcBorders>
            <w:shd w:val="clear" w:color="auto" w:fill="auto"/>
            <w:vAlign w:val="center"/>
          </w:tcPr>
          <w:p w14:paraId="77C0EFCC"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BFI.D086</w:t>
            </w:r>
          </w:p>
        </w:tc>
        <w:tc>
          <w:tcPr>
            <w:tcW w:w="4243" w:type="dxa"/>
            <w:tcBorders>
              <w:top w:val="nil"/>
              <w:left w:val="nil"/>
              <w:bottom w:val="nil"/>
              <w:right w:val="single" w:sz="8" w:space="0" w:color="auto"/>
            </w:tcBorders>
            <w:shd w:val="clear" w:color="auto" w:fill="auto"/>
            <w:noWrap/>
            <w:vAlign w:val="center"/>
          </w:tcPr>
          <w:p w14:paraId="3FBC5940" w14:textId="77777777" w:rsidR="003404A2" w:rsidRPr="00B16A18" w:rsidRDefault="003404A2" w:rsidP="0015273C">
            <w:pPr>
              <w:spacing w:after="0" w:line="240" w:lineRule="auto"/>
              <w:ind w:firstLineChars="221" w:firstLine="354"/>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211 – Receita de Impostos e Transferência de Impostos – Saúde</w:t>
            </w:r>
          </w:p>
        </w:tc>
        <w:tc>
          <w:tcPr>
            <w:tcW w:w="1285" w:type="dxa"/>
            <w:tcBorders>
              <w:top w:val="nil"/>
              <w:left w:val="nil"/>
              <w:bottom w:val="nil"/>
              <w:right w:val="single" w:sz="8" w:space="0" w:color="auto"/>
            </w:tcBorders>
            <w:shd w:val="clear" w:color="auto" w:fill="auto"/>
            <w:vAlign w:val="center"/>
          </w:tcPr>
          <w:p w14:paraId="37B8B4B5"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BFI.G086</w:t>
            </w:r>
          </w:p>
        </w:tc>
        <w:tc>
          <w:tcPr>
            <w:tcW w:w="1276" w:type="dxa"/>
            <w:tcBorders>
              <w:top w:val="nil"/>
              <w:left w:val="nil"/>
              <w:bottom w:val="nil"/>
              <w:right w:val="single" w:sz="8" w:space="0" w:color="auto"/>
            </w:tcBorders>
            <w:shd w:val="clear" w:color="auto" w:fill="auto"/>
            <w:vAlign w:val="center"/>
          </w:tcPr>
          <w:p w14:paraId="43F95008"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BFI.H086</w:t>
            </w:r>
          </w:p>
        </w:tc>
      </w:tr>
      <w:tr w:rsidR="003404A2" w:rsidRPr="00B16A18" w14:paraId="5075BFC7" w14:textId="77777777" w:rsidTr="0015273C">
        <w:trPr>
          <w:trHeight w:val="255"/>
        </w:trPr>
        <w:tc>
          <w:tcPr>
            <w:tcW w:w="4820" w:type="dxa"/>
            <w:tcBorders>
              <w:top w:val="nil"/>
              <w:left w:val="single" w:sz="8" w:space="0" w:color="auto"/>
              <w:bottom w:val="nil"/>
              <w:right w:val="single" w:sz="8" w:space="0" w:color="auto"/>
            </w:tcBorders>
            <w:shd w:val="clear" w:color="auto" w:fill="auto"/>
            <w:noWrap/>
            <w:vAlign w:val="center"/>
          </w:tcPr>
          <w:p w14:paraId="23576302" w14:textId="77777777" w:rsidR="003404A2" w:rsidRPr="00B16A18" w:rsidRDefault="003404A2" w:rsidP="0015273C">
            <w:pPr>
              <w:spacing w:after="0" w:line="240" w:lineRule="auto"/>
              <w:ind w:firstLineChars="221" w:firstLine="354"/>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 xml:space="preserve">240 - Royalties do Petróleo vinculados à Saúde </w:t>
            </w:r>
          </w:p>
        </w:tc>
        <w:tc>
          <w:tcPr>
            <w:tcW w:w="1134" w:type="dxa"/>
            <w:tcBorders>
              <w:top w:val="nil"/>
              <w:left w:val="nil"/>
              <w:bottom w:val="nil"/>
              <w:right w:val="single" w:sz="8" w:space="0" w:color="auto"/>
            </w:tcBorders>
            <w:shd w:val="clear" w:color="auto" w:fill="auto"/>
            <w:vAlign w:val="center"/>
          </w:tcPr>
          <w:p w14:paraId="6A7E1ADE"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BFI.C092</w:t>
            </w:r>
          </w:p>
        </w:tc>
        <w:tc>
          <w:tcPr>
            <w:tcW w:w="1276" w:type="dxa"/>
            <w:tcBorders>
              <w:top w:val="nil"/>
              <w:left w:val="nil"/>
              <w:bottom w:val="nil"/>
              <w:right w:val="single" w:sz="8" w:space="0" w:color="auto"/>
            </w:tcBorders>
            <w:shd w:val="clear" w:color="auto" w:fill="auto"/>
            <w:vAlign w:val="center"/>
          </w:tcPr>
          <w:p w14:paraId="02D99A02"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BFI.D092</w:t>
            </w:r>
          </w:p>
        </w:tc>
        <w:tc>
          <w:tcPr>
            <w:tcW w:w="4243" w:type="dxa"/>
            <w:tcBorders>
              <w:top w:val="nil"/>
              <w:left w:val="nil"/>
              <w:bottom w:val="nil"/>
              <w:right w:val="single" w:sz="8" w:space="0" w:color="auto"/>
            </w:tcBorders>
            <w:shd w:val="clear" w:color="auto" w:fill="auto"/>
            <w:noWrap/>
            <w:vAlign w:val="center"/>
          </w:tcPr>
          <w:p w14:paraId="70F5ECA8" w14:textId="77777777" w:rsidR="003404A2" w:rsidRPr="00B16A18" w:rsidRDefault="003404A2" w:rsidP="0015273C">
            <w:pPr>
              <w:spacing w:after="0" w:line="240" w:lineRule="auto"/>
              <w:ind w:firstLineChars="221" w:firstLine="354"/>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240 - Royalties do Petróleo vinculados à Saúde</w:t>
            </w:r>
          </w:p>
        </w:tc>
        <w:tc>
          <w:tcPr>
            <w:tcW w:w="1285" w:type="dxa"/>
            <w:tcBorders>
              <w:top w:val="nil"/>
              <w:left w:val="nil"/>
              <w:bottom w:val="nil"/>
              <w:right w:val="single" w:sz="8" w:space="0" w:color="auto"/>
            </w:tcBorders>
            <w:shd w:val="clear" w:color="auto" w:fill="auto"/>
            <w:vAlign w:val="center"/>
          </w:tcPr>
          <w:p w14:paraId="2584D023"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BFI.G092</w:t>
            </w:r>
          </w:p>
        </w:tc>
        <w:tc>
          <w:tcPr>
            <w:tcW w:w="1276" w:type="dxa"/>
            <w:tcBorders>
              <w:top w:val="nil"/>
              <w:left w:val="nil"/>
              <w:bottom w:val="nil"/>
              <w:right w:val="single" w:sz="8" w:space="0" w:color="auto"/>
            </w:tcBorders>
            <w:shd w:val="clear" w:color="auto" w:fill="auto"/>
            <w:vAlign w:val="center"/>
          </w:tcPr>
          <w:p w14:paraId="733196DE"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BFI.H092</w:t>
            </w:r>
          </w:p>
        </w:tc>
      </w:tr>
      <w:tr w:rsidR="003404A2" w:rsidRPr="00B16A18" w14:paraId="15AD8DF5" w14:textId="77777777" w:rsidTr="0015273C">
        <w:trPr>
          <w:trHeight w:val="255"/>
        </w:trPr>
        <w:tc>
          <w:tcPr>
            <w:tcW w:w="4820" w:type="dxa"/>
            <w:tcBorders>
              <w:top w:val="nil"/>
              <w:left w:val="single" w:sz="8" w:space="0" w:color="auto"/>
              <w:bottom w:val="nil"/>
              <w:right w:val="single" w:sz="8" w:space="0" w:color="auto"/>
            </w:tcBorders>
            <w:shd w:val="clear" w:color="auto" w:fill="auto"/>
            <w:noWrap/>
            <w:vAlign w:val="center"/>
          </w:tcPr>
          <w:p w14:paraId="504B1C52" w14:textId="75976F3E" w:rsidR="003404A2" w:rsidRPr="00B16A18" w:rsidRDefault="003404A2" w:rsidP="0015273C">
            <w:pPr>
              <w:spacing w:after="0" w:line="240" w:lineRule="auto"/>
              <w:ind w:left="355"/>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214 - Transferências Fundo a Fundo de Rec. do SUS provenientes do Governo Federal (Bloco de Manutenção das Ações e Serviços Públicos de Saúde)</w:t>
            </w:r>
          </w:p>
        </w:tc>
        <w:tc>
          <w:tcPr>
            <w:tcW w:w="1134" w:type="dxa"/>
            <w:tcBorders>
              <w:top w:val="nil"/>
              <w:left w:val="nil"/>
              <w:bottom w:val="nil"/>
              <w:right w:val="single" w:sz="8" w:space="0" w:color="auto"/>
            </w:tcBorders>
            <w:shd w:val="clear" w:color="auto" w:fill="auto"/>
            <w:vAlign w:val="center"/>
          </w:tcPr>
          <w:p w14:paraId="6C8A4642"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BFI.C093</w:t>
            </w:r>
          </w:p>
        </w:tc>
        <w:tc>
          <w:tcPr>
            <w:tcW w:w="1276" w:type="dxa"/>
            <w:tcBorders>
              <w:top w:val="nil"/>
              <w:left w:val="nil"/>
              <w:bottom w:val="nil"/>
              <w:right w:val="single" w:sz="8" w:space="0" w:color="auto"/>
            </w:tcBorders>
            <w:shd w:val="clear" w:color="auto" w:fill="auto"/>
            <w:vAlign w:val="center"/>
          </w:tcPr>
          <w:p w14:paraId="0FB65554"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BFI.D093</w:t>
            </w:r>
          </w:p>
        </w:tc>
        <w:tc>
          <w:tcPr>
            <w:tcW w:w="4243" w:type="dxa"/>
            <w:tcBorders>
              <w:top w:val="nil"/>
              <w:left w:val="nil"/>
              <w:bottom w:val="nil"/>
              <w:right w:val="single" w:sz="8" w:space="0" w:color="auto"/>
            </w:tcBorders>
            <w:shd w:val="clear" w:color="auto" w:fill="auto"/>
            <w:noWrap/>
            <w:vAlign w:val="center"/>
          </w:tcPr>
          <w:p w14:paraId="60F43B06" w14:textId="03A28C99" w:rsidR="003404A2" w:rsidRPr="00B16A18" w:rsidRDefault="003404A2" w:rsidP="0015273C">
            <w:pPr>
              <w:spacing w:after="0" w:line="240" w:lineRule="auto"/>
              <w:ind w:left="355"/>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214 - Transferências Fundo a Fundo de Rec. do SUS provenientes do Governo Federal (Bloco de Manutenção das Ações e Serviços Públicos de Saúde)</w:t>
            </w:r>
          </w:p>
        </w:tc>
        <w:tc>
          <w:tcPr>
            <w:tcW w:w="1285" w:type="dxa"/>
            <w:tcBorders>
              <w:top w:val="nil"/>
              <w:left w:val="nil"/>
              <w:bottom w:val="nil"/>
              <w:right w:val="single" w:sz="8" w:space="0" w:color="auto"/>
            </w:tcBorders>
            <w:shd w:val="clear" w:color="auto" w:fill="auto"/>
            <w:vAlign w:val="center"/>
          </w:tcPr>
          <w:p w14:paraId="14894846"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BFI.G093</w:t>
            </w:r>
          </w:p>
        </w:tc>
        <w:tc>
          <w:tcPr>
            <w:tcW w:w="1276" w:type="dxa"/>
            <w:tcBorders>
              <w:top w:val="nil"/>
              <w:left w:val="nil"/>
              <w:bottom w:val="nil"/>
              <w:right w:val="single" w:sz="8" w:space="0" w:color="auto"/>
            </w:tcBorders>
            <w:shd w:val="clear" w:color="auto" w:fill="auto"/>
            <w:vAlign w:val="center"/>
          </w:tcPr>
          <w:p w14:paraId="71A658E7"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BFI.H093</w:t>
            </w:r>
          </w:p>
        </w:tc>
      </w:tr>
      <w:tr w:rsidR="003404A2" w:rsidRPr="00B16A18" w14:paraId="397DEEA4" w14:textId="77777777" w:rsidTr="0015273C">
        <w:trPr>
          <w:trHeight w:val="255"/>
        </w:trPr>
        <w:tc>
          <w:tcPr>
            <w:tcW w:w="4820" w:type="dxa"/>
            <w:tcBorders>
              <w:top w:val="nil"/>
              <w:left w:val="single" w:sz="8" w:space="0" w:color="auto"/>
              <w:bottom w:val="nil"/>
              <w:right w:val="single" w:sz="8" w:space="0" w:color="auto"/>
            </w:tcBorders>
            <w:shd w:val="clear" w:color="auto" w:fill="auto"/>
            <w:noWrap/>
            <w:vAlign w:val="center"/>
          </w:tcPr>
          <w:p w14:paraId="3E2BA32E" w14:textId="6688C9D3" w:rsidR="003404A2" w:rsidRPr="00B16A18" w:rsidRDefault="003404A2" w:rsidP="0015273C">
            <w:pPr>
              <w:spacing w:after="0" w:line="240" w:lineRule="auto"/>
              <w:ind w:left="355"/>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215 - Transferências Fundo a Fundo de Rec. do SUS provenientes do Governo Federal (Bloco de Estruturação na Rede de Serviços Públicos de Saúde)</w:t>
            </w:r>
          </w:p>
        </w:tc>
        <w:tc>
          <w:tcPr>
            <w:tcW w:w="1134" w:type="dxa"/>
            <w:tcBorders>
              <w:top w:val="nil"/>
              <w:left w:val="nil"/>
              <w:bottom w:val="nil"/>
              <w:right w:val="single" w:sz="8" w:space="0" w:color="auto"/>
            </w:tcBorders>
            <w:shd w:val="clear" w:color="auto" w:fill="auto"/>
            <w:vAlign w:val="center"/>
          </w:tcPr>
          <w:p w14:paraId="2B1FF7E0"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BFI.C094</w:t>
            </w:r>
          </w:p>
        </w:tc>
        <w:tc>
          <w:tcPr>
            <w:tcW w:w="1276" w:type="dxa"/>
            <w:tcBorders>
              <w:top w:val="nil"/>
              <w:left w:val="nil"/>
              <w:bottom w:val="nil"/>
              <w:right w:val="single" w:sz="8" w:space="0" w:color="auto"/>
            </w:tcBorders>
            <w:shd w:val="clear" w:color="auto" w:fill="auto"/>
            <w:vAlign w:val="center"/>
          </w:tcPr>
          <w:p w14:paraId="04750FE4"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BFI.D094</w:t>
            </w:r>
          </w:p>
        </w:tc>
        <w:tc>
          <w:tcPr>
            <w:tcW w:w="4243" w:type="dxa"/>
            <w:tcBorders>
              <w:top w:val="nil"/>
              <w:left w:val="nil"/>
              <w:bottom w:val="nil"/>
              <w:right w:val="single" w:sz="8" w:space="0" w:color="auto"/>
            </w:tcBorders>
            <w:shd w:val="clear" w:color="auto" w:fill="auto"/>
            <w:noWrap/>
            <w:vAlign w:val="center"/>
          </w:tcPr>
          <w:p w14:paraId="19EF4432" w14:textId="4D7DAC6C" w:rsidR="003404A2" w:rsidRPr="00B16A18" w:rsidRDefault="003404A2" w:rsidP="0015273C">
            <w:pPr>
              <w:spacing w:after="0" w:line="240" w:lineRule="auto"/>
              <w:ind w:left="355"/>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215 - Transferências Fundo a Fundo de Rec. do SUS provenientes do Governo Federal (Bloco de Estruturação na Rede de Serviços Públicos de Saúde)</w:t>
            </w:r>
          </w:p>
        </w:tc>
        <w:tc>
          <w:tcPr>
            <w:tcW w:w="1285" w:type="dxa"/>
            <w:tcBorders>
              <w:top w:val="nil"/>
              <w:left w:val="nil"/>
              <w:bottom w:val="nil"/>
              <w:right w:val="single" w:sz="8" w:space="0" w:color="auto"/>
            </w:tcBorders>
            <w:shd w:val="clear" w:color="auto" w:fill="auto"/>
            <w:vAlign w:val="center"/>
          </w:tcPr>
          <w:p w14:paraId="0B17E5A5"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BFI.G094</w:t>
            </w:r>
          </w:p>
        </w:tc>
        <w:tc>
          <w:tcPr>
            <w:tcW w:w="1276" w:type="dxa"/>
            <w:tcBorders>
              <w:top w:val="nil"/>
              <w:left w:val="nil"/>
              <w:bottom w:val="nil"/>
              <w:right w:val="single" w:sz="8" w:space="0" w:color="auto"/>
            </w:tcBorders>
            <w:shd w:val="clear" w:color="auto" w:fill="auto"/>
            <w:vAlign w:val="center"/>
          </w:tcPr>
          <w:p w14:paraId="2ED19640"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BFI.H094</w:t>
            </w:r>
          </w:p>
        </w:tc>
      </w:tr>
      <w:tr w:rsidR="003404A2" w:rsidRPr="00B16A18" w14:paraId="662ED5C0" w14:textId="77777777" w:rsidTr="0015273C">
        <w:trPr>
          <w:trHeight w:val="255"/>
        </w:trPr>
        <w:tc>
          <w:tcPr>
            <w:tcW w:w="4820" w:type="dxa"/>
            <w:tcBorders>
              <w:top w:val="nil"/>
              <w:left w:val="single" w:sz="8" w:space="0" w:color="auto"/>
              <w:bottom w:val="nil"/>
              <w:right w:val="single" w:sz="8" w:space="0" w:color="auto"/>
            </w:tcBorders>
            <w:shd w:val="clear" w:color="auto" w:fill="auto"/>
            <w:noWrap/>
            <w:vAlign w:val="center"/>
            <w:hideMark/>
          </w:tcPr>
          <w:p w14:paraId="2F38D7CE" w14:textId="77777777" w:rsidR="003404A2" w:rsidRPr="00B16A18" w:rsidRDefault="003404A2" w:rsidP="0015273C">
            <w:pPr>
              <w:spacing w:after="0" w:line="240" w:lineRule="auto"/>
              <w:ind w:left="355"/>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250 – Receitas de Impostos e Transferência de Impostos – Saúde – Remuneração de Depósitos Bancários</w:t>
            </w:r>
          </w:p>
        </w:tc>
        <w:tc>
          <w:tcPr>
            <w:tcW w:w="1134" w:type="dxa"/>
            <w:tcBorders>
              <w:top w:val="nil"/>
              <w:left w:val="nil"/>
              <w:bottom w:val="nil"/>
              <w:right w:val="single" w:sz="8" w:space="0" w:color="auto"/>
            </w:tcBorders>
            <w:shd w:val="clear" w:color="auto" w:fill="auto"/>
            <w:vAlign w:val="center"/>
            <w:hideMark/>
          </w:tcPr>
          <w:p w14:paraId="32BBC597"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BFI.C028</w:t>
            </w:r>
          </w:p>
        </w:tc>
        <w:tc>
          <w:tcPr>
            <w:tcW w:w="1276" w:type="dxa"/>
            <w:tcBorders>
              <w:top w:val="nil"/>
              <w:left w:val="nil"/>
              <w:bottom w:val="nil"/>
              <w:right w:val="single" w:sz="8" w:space="0" w:color="auto"/>
            </w:tcBorders>
            <w:shd w:val="clear" w:color="auto" w:fill="auto"/>
            <w:vAlign w:val="center"/>
            <w:hideMark/>
          </w:tcPr>
          <w:p w14:paraId="6897FDD5"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BFI.D028</w:t>
            </w:r>
          </w:p>
        </w:tc>
        <w:tc>
          <w:tcPr>
            <w:tcW w:w="4243" w:type="dxa"/>
            <w:tcBorders>
              <w:top w:val="nil"/>
              <w:left w:val="nil"/>
              <w:bottom w:val="nil"/>
              <w:right w:val="single" w:sz="8" w:space="0" w:color="auto"/>
            </w:tcBorders>
            <w:shd w:val="clear" w:color="auto" w:fill="auto"/>
            <w:noWrap/>
            <w:vAlign w:val="center"/>
            <w:hideMark/>
          </w:tcPr>
          <w:p w14:paraId="29F1B543" w14:textId="77777777" w:rsidR="003404A2" w:rsidRPr="00B16A18" w:rsidRDefault="003404A2" w:rsidP="0015273C">
            <w:pPr>
              <w:spacing w:after="0" w:line="240" w:lineRule="auto"/>
              <w:ind w:left="355"/>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250 – Receitas de Impostos e Transferência de Impostos – Saúde – Remuneração de Depósitos Bancários</w:t>
            </w:r>
          </w:p>
        </w:tc>
        <w:tc>
          <w:tcPr>
            <w:tcW w:w="1285" w:type="dxa"/>
            <w:tcBorders>
              <w:top w:val="nil"/>
              <w:left w:val="nil"/>
              <w:bottom w:val="nil"/>
              <w:right w:val="single" w:sz="8" w:space="0" w:color="auto"/>
            </w:tcBorders>
            <w:shd w:val="clear" w:color="auto" w:fill="auto"/>
            <w:vAlign w:val="center"/>
            <w:hideMark/>
          </w:tcPr>
          <w:p w14:paraId="38C39FDC"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BFI.G028</w:t>
            </w:r>
          </w:p>
        </w:tc>
        <w:tc>
          <w:tcPr>
            <w:tcW w:w="1276" w:type="dxa"/>
            <w:tcBorders>
              <w:top w:val="nil"/>
              <w:left w:val="nil"/>
              <w:bottom w:val="nil"/>
              <w:right w:val="single" w:sz="8" w:space="0" w:color="auto"/>
            </w:tcBorders>
            <w:shd w:val="clear" w:color="auto" w:fill="auto"/>
            <w:vAlign w:val="center"/>
            <w:hideMark/>
          </w:tcPr>
          <w:p w14:paraId="43D89091"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BFI.H028</w:t>
            </w:r>
          </w:p>
        </w:tc>
      </w:tr>
      <w:tr w:rsidR="003404A2" w:rsidRPr="00B16A18" w14:paraId="33CA8129" w14:textId="77777777" w:rsidTr="0015273C">
        <w:trPr>
          <w:trHeight w:val="255"/>
        </w:trPr>
        <w:tc>
          <w:tcPr>
            <w:tcW w:w="4820" w:type="dxa"/>
            <w:tcBorders>
              <w:top w:val="nil"/>
              <w:left w:val="single" w:sz="8" w:space="0" w:color="auto"/>
              <w:bottom w:val="nil"/>
              <w:right w:val="single" w:sz="8" w:space="0" w:color="auto"/>
            </w:tcBorders>
            <w:shd w:val="clear" w:color="auto" w:fill="auto"/>
            <w:noWrap/>
            <w:vAlign w:val="center"/>
          </w:tcPr>
          <w:p w14:paraId="2DCB271B" w14:textId="77777777" w:rsidR="003404A2" w:rsidRPr="00B16A18" w:rsidRDefault="003404A2" w:rsidP="0015273C">
            <w:pPr>
              <w:spacing w:after="0" w:line="240" w:lineRule="auto"/>
              <w:ind w:left="355"/>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212 – Transferências Fundo a Fundo de Recursos do SUS Provenientes dos Governos Municipais</w:t>
            </w:r>
          </w:p>
        </w:tc>
        <w:tc>
          <w:tcPr>
            <w:tcW w:w="1134" w:type="dxa"/>
            <w:tcBorders>
              <w:top w:val="nil"/>
              <w:left w:val="nil"/>
              <w:bottom w:val="nil"/>
              <w:right w:val="single" w:sz="8" w:space="0" w:color="auto"/>
            </w:tcBorders>
            <w:shd w:val="clear" w:color="auto" w:fill="auto"/>
            <w:vAlign w:val="center"/>
          </w:tcPr>
          <w:p w14:paraId="65A7F00D" w14:textId="77777777" w:rsidR="003404A2" w:rsidRPr="00B16A18" w:rsidRDefault="003404A2"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BFI.C104</w:t>
            </w:r>
          </w:p>
        </w:tc>
        <w:tc>
          <w:tcPr>
            <w:tcW w:w="1276" w:type="dxa"/>
            <w:tcBorders>
              <w:top w:val="nil"/>
              <w:left w:val="nil"/>
              <w:bottom w:val="nil"/>
              <w:right w:val="single" w:sz="8" w:space="0" w:color="auto"/>
            </w:tcBorders>
            <w:shd w:val="clear" w:color="auto" w:fill="auto"/>
            <w:vAlign w:val="center"/>
          </w:tcPr>
          <w:p w14:paraId="76B11A3B" w14:textId="77777777" w:rsidR="003404A2" w:rsidRPr="00B16A18" w:rsidRDefault="003404A2"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BFI.D104</w:t>
            </w:r>
          </w:p>
        </w:tc>
        <w:tc>
          <w:tcPr>
            <w:tcW w:w="4243" w:type="dxa"/>
            <w:tcBorders>
              <w:top w:val="nil"/>
              <w:left w:val="nil"/>
              <w:bottom w:val="nil"/>
              <w:right w:val="single" w:sz="8" w:space="0" w:color="auto"/>
            </w:tcBorders>
            <w:shd w:val="clear" w:color="auto" w:fill="auto"/>
            <w:noWrap/>
            <w:vAlign w:val="center"/>
          </w:tcPr>
          <w:p w14:paraId="03483EC6" w14:textId="77777777" w:rsidR="003404A2" w:rsidRPr="00B16A18" w:rsidRDefault="003404A2" w:rsidP="0015273C">
            <w:pPr>
              <w:spacing w:after="0" w:line="240" w:lineRule="auto"/>
              <w:ind w:left="355"/>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212 – Transferências Fundo a Fundo de Recursos do SUS Provenientes dos Governos Municipais</w:t>
            </w:r>
          </w:p>
        </w:tc>
        <w:tc>
          <w:tcPr>
            <w:tcW w:w="1285" w:type="dxa"/>
            <w:tcBorders>
              <w:top w:val="nil"/>
              <w:left w:val="nil"/>
              <w:bottom w:val="nil"/>
              <w:right w:val="single" w:sz="8" w:space="0" w:color="auto"/>
            </w:tcBorders>
            <w:shd w:val="clear" w:color="auto" w:fill="auto"/>
            <w:vAlign w:val="center"/>
          </w:tcPr>
          <w:p w14:paraId="059CF6CB" w14:textId="77777777" w:rsidR="003404A2" w:rsidRPr="00B16A18" w:rsidRDefault="003404A2"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BFI.G104</w:t>
            </w:r>
          </w:p>
        </w:tc>
        <w:tc>
          <w:tcPr>
            <w:tcW w:w="1276" w:type="dxa"/>
            <w:tcBorders>
              <w:top w:val="nil"/>
              <w:left w:val="nil"/>
              <w:bottom w:val="nil"/>
              <w:right w:val="single" w:sz="8" w:space="0" w:color="auto"/>
            </w:tcBorders>
            <w:shd w:val="clear" w:color="auto" w:fill="auto"/>
            <w:vAlign w:val="center"/>
          </w:tcPr>
          <w:p w14:paraId="71B47A73" w14:textId="77777777" w:rsidR="003404A2" w:rsidRPr="00B16A18" w:rsidRDefault="003404A2"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BFI.H104</w:t>
            </w:r>
          </w:p>
        </w:tc>
      </w:tr>
      <w:tr w:rsidR="003404A2" w:rsidRPr="00B16A18" w14:paraId="370868A7" w14:textId="77777777" w:rsidTr="0015273C">
        <w:trPr>
          <w:trHeight w:val="255"/>
        </w:trPr>
        <w:tc>
          <w:tcPr>
            <w:tcW w:w="4820" w:type="dxa"/>
            <w:tcBorders>
              <w:top w:val="nil"/>
              <w:left w:val="single" w:sz="8" w:space="0" w:color="auto"/>
              <w:bottom w:val="nil"/>
              <w:right w:val="single" w:sz="8" w:space="0" w:color="auto"/>
            </w:tcBorders>
            <w:shd w:val="clear" w:color="auto" w:fill="auto"/>
            <w:noWrap/>
            <w:vAlign w:val="center"/>
          </w:tcPr>
          <w:p w14:paraId="7AC9C21B" w14:textId="77777777" w:rsidR="003404A2" w:rsidRPr="00B16A18" w:rsidRDefault="003404A2" w:rsidP="0015273C">
            <w:pPr>
              <w:spacing w:after="0" w:line="240" w:lineRule="auto"/>
              <w:ind w:left="355"/>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213 – Transferências Fundo a Fundo de Recursos Do SUS Provenientes do Governo Estadual</w:t>
            </w:r>
          </w:p>
        </w:tc>
        <w:tc>
          <w:tcPr>
            <w:tcW w:w="1134" w:type="dxa"/>
            <w:tcBorders>
              <w:top w:val="nil"/>
              <w:left w:val="nil"/>
              <w:bottom w:val="nil"/>
              <w:right w:val="single" w:sz="8" w:space="0" w:color="auto"/>
            </w:tcBorders>
            <w:shd w:val="clear" w:color="auto" w:fill="auto"/>
            <w:vAlign w:val="center"/>
          </w:tcPr>
          <w:p w14:paraId="29287933" w14:textId="77777777" w:rsidR="003404A2" w:rsidRPr="00B16A18" w:rsidRDefault="003404A2"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BFI.C105</w:t>
            </w:r>
          </w:p>
        </w:tc>
        <w:tc>
          <w:tcPr>
            <w:tcW w:w="1276" w:type="dxa"/>
            <w:tcBorders>
              <w:top w:val="nil"/>
              <w:left w:val="nil"/>
              <w:bottom w:val="nil"/>
              <w:right w:val="single" w:sz="8" w:space="0" w:color="auto"/>
            </w:tcBorders>
            <w:shd w:val="clear" w:color="auto" w:fill="auto"/>
            <w:vAlign w:val="center"/>
          </w:tcPr>
          <w:p w14:paraId="10BE68E1" w14:textId="77777777" w:rsidR="003404A2" w:rsidRPr="00B16A18" w:rsidRDefault="003404A2"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BFI.D105</w:t>
            </w:r>
          </w:p>
        </w:tc>
        <w:tc>
          <w:tcPr>
            <w:tcW w:w="4243" w:type="dxa"/>
            <w:tcBorders>
              <w:top w:val="nil"/>
              <w:left w:val="nil"/>
              <w:bottom w:val="nil"/>
              <w:right w:val="single" w:sz="8" w:space="0" w:color="auto"/>
            </w:tcBorders>
            <w:shd w:val="clear" w:color="auto" w:fill="auto"/>
            <w:noWrap/>
            <w:vAlign w:val="center"/>
          </w:tcPr>
          <w:p w14:paraId="73CA40EC" w14:textId="77777777" w:rsidR="003404A2" w:rsidRPr="00B16A18" w:rsidRDefault="003404A2" w:rsidP="0015273C">
            <w:pPr>
              <w:spacing w:after="0" w:line="240" w:lineRule="auto"/>
              <w:ind w:left="355"/>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213 – Transferências Fundo a Fundo de Recursos Do SUS Provenientes do Governo Estadual</w:t>
            </w:r>
          </w:p>
        </w:tc>
        <w:tc>
          <w:tcPr>
            <w:tcW w:w="1285" w:type="dxa"/>
            <w:tcBorders>
              <w:top w:val="nil"/>
              <w:left w:val="nil"/>
              <w:bottom w:val="nil"/>
              <w:right w:val="single" w:sz="8" w:space="0" w:color="auto"/>
            </w:tcBorders>
            <w:shd w:val="clear" w:color="auto" w:fill="auto"/>
            <w:vAlign w:val="center"/>
          </w:tcPr>
          <w:p w14:paraId="31299EFD" w14:textId="77777777" w:rsidR="003404A2" w:rsidRPr="00B16A18" w:rsidRDefault="003404A2"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BFI.G105</w:t>
            </w:r>
          </w:p>
        </w:tc>
        <w:tc>
          <w:tcPr>
            <w:tcW w:w="1276" w:type="dxa"/>
            <w:tcBorders>
              <w:top w:val="nil"/>
              <w:left w:val="nil"/>
              <w:bottom w:val="nil"/>
              <w:right w:val="single" w:sz="8" w:space="0" w:color="auto"/>
            </w:tcBorders>
            <w:shd w:val="clear" w:color="auto" w:fill="auto"/>
            <w:vAlign w:val="center"/>
          </w:tcPr>
          <w:p w14:paraId="24C51020" w14:textId="77777777" w:rsidR="003404A2" w:rsidRPr="00B16A18" w:rsidRDefault="003404A2"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BFI.H105</w:t>
            </w:r>
          </w:p>
        </w:tc>
      </w:tr>
      <w:tr w:rsidR="003404A2" w:rsidRPr="00B16A18" w14:paraId="20E90752" w14:textId="77777777" w:rsidTr="0015273C">
        <w:trPr>
          <w:trHeight w:val="255"/>
        </w:trPr>
        <w:tc>
          <w:tcPr>
            <w:tcW w:w="4820" w:type="dxa"/>
            <w:tcBorders>
              <w:top w:val="nil"/>
              <w:left w:val="single" w:sz="8" w:space="0" w:color="auto"/>
              <w:bottom w:val="nil"/>
              <w:right w:val="single" w:sz="8" w:space="0" w:color="auto"/>
            </w:tcBorders>
            <w:shd w:val="clear" w:color="auto" w:fill="auto"/>
            <w:noWrap/>
            <w:vAlign w:val="center"/>
            <w:hideMark/>
          </w:tcPr>
          <w:p w14:paraId="58A39E04" w14:textId="77777777" w:rsidR="003404A2" w:rsidRPr="00B16A18" w:rsidRDefault="003404A2" w:rsidP="0015273C">
            <w:pPr>
              <w:spacing w:after="0" w:line="240" w:lineRule="auto"/>
              <w:ind w:firstLineChars="221" w:firstLine="354"/>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220 – Transferência de Convênios ou de Contratos de Repasses vinculados à Saúde</w:t>
            </w:r>
          </w:p>
        </w:tc>
        <w:tc>
          <w:tcPr>
            <w:tcW w:w="1134" w:type="dxa"/>
            <w:tcBorders>
              <w:top w:val="nil"/>
              <w:left w:val="nil"/>
              <w:bottom w:val="nil"/>
              <w:right w:val="single" w:sz="8" w:space="0" w:color="auto"/>
            </w:tcBorders>
            <w:shd w:val="clear" w:color="auto" w:fill="auto"/>
            <w:vAlign w:val="center"/>
            <w:hideMark/>
          </w:tcPr>
          <w:p w14:paraId="17F1E702"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BFI.C030</w:t>
            </w:r>
          </w:p>
        </w:tc>
        <w:tc>
          <w:tcPr>
            <w:tcW w:w="1276" w:type="dxa"/>
            <w:tcBorders>
              <w:top w:val="nil"/>
              <w:left w:val="nil"/>
              <w:bottom w:val="nil"/>
              <w:right w:val="single" w:sz="8" w:space="0" w:color="auto"/>
            </w:tcBorders>
            <w:shd w:val="clear" w:color="auto" w:fill="auto"/>
            <w:vAlign w:val="center"/>
            <w:hideMark/>
          </w:tcPr>
          <w:p w14:paraId="3637EC41"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BFI.D030</w:t>
            </w:r>
          </w:p>
        </w:tc>
        <w:tc>
          <w:tcPr>
            <w:tcW w:w="4243" w:type="dxa"/>
            <w:tcBorders>
              <w:top w:val="nil"/>
              <w:left w:val="nil"/>
              <w:bottom w:val="nil"/>
              <w:right w:val="single" w:sz="8" w:space="0" w:color="auto"/>
            </w:tcBorders>
            <w:shd w:val="clear" w:color="auto" w:fill="auto"/>
            <w:noWrap/>
            <w:vAlign w:val="center"/>
            <w:hideMark/>
          </w:tcPr>
          <w:p w14:paraId="1A6F39C1" w14:textId="77777777" w:rsidR="003404A2" w:rsidRPr="00B16A18" w:rsidRDefault="003404A2" w:rsidP="0015273C">
            <w:pPr>
              <w:spacing w:after="0" w:line="240" w:lineRule="auto"/>
              <w:ind w:firstLineChars="221" w:firstLine="354"/>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220 – Transferência de Convênios ou de Contratos de Repasses vinculados à Saúde</w:t>
            </w:r>
          </w:p>
        </w:tc>
        <w:tc>
          <w:tcPr>
            <w:tcW w:w="1285" w:type="dxa"/>
            <w:tcBorders>
              <w:top w:val="nil"/>
              <w:left w:val="nil"/>
              <w:bottom w:val="nil"/>
              <w:right w:val="single" w:sz="8" w:space="0" w:color="auto"/>
            </w:tcBorders>
            <w:shd w:val="clear" w:color="auto" w:fill="auto"/>
            <w:vAlign w:val="center"/>
            <w:hideMark/>
          </w:tcPr>
          <w:p w14:paraId="3807672C"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BFI.G030</w:t>
            </w:r>
          </w:p>
        </w:tc>
        <w:tc>
          <w:tcPr>
            <w:tcW w:w="1276" w:type="dxa"/>
            <w:tcBorders>
              <w:top w:val="nil"/>
              <w:left w:val="nil"/>
              <w:bottom w:val="nil"/>
              <w:right w:val="single" w:sz="8" w:space="0" w:color="auto"/>
            </w:tcBorders>
            <w:shd w:val="clear" w:color="auto" w:fill="auto"/>
            <w:vAlign w:val="center"/>
            <w:hideMark/>
          </w:tcPr>
          <w:p w14:paraId="0F0DD675"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BFI.H030</w:t>
            </w:r>
          </w:p>
        </w:tc>
      </w:tr>
      <w:tr w:rsidR="003404A2" w:rsidRPr="00B16A18" w14:paraId="5397604F" w14:textId="77777777" w:rsidTr="0015273C">
        <w:trPr>
          <w:trHeight w:val="255"/>
        </w:trPr>
        <w:tc>
          <w:tcPr>
            <w:tcW w:w="4820" w:type="dxa"/>
            <w:tcBorders>
              <w:top w:val="nil"/>
              <w:left w:val="single" w:sz="8" w:space="0" w:color="auto"/>
              <w:bottom w:val="nil"/>
              <w:right w:val="single" w:sz="8" w:space="0" w:color="auto"/>
            </w:tcBorders>
            <w:shd w:val="clear" w:color="auto" w:fill="auto"/>
            <w:noWrap/>
            <w:vAlign w:val="center"/>
            <w:hideMark/>
          </w:tcPr>
          <w:p w14:paraId="26CA8CD6" w14:textId="77777777" w:rsidR="003404A2" w:rsidRPr="00B16A18" w:rsidRDefault="003404A2" w:rsidP="0015273C">
            <w:pPr>
              <w:spacing w:after="0" w:line="240" w:lineRule="auto"/>
              <w:ind w:firstLineChars="221" w:firstLine="354"/>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230 – Operações de Crédito vinculadas à Saúde</w:t>
            </w:r>
          </w:p>
        </w:tc>
        <w:tc>
          <w:tcPr>
            <w:tcW w:w="1134" w:type="dxa"/>
            <w:tcBorders>
              <w:top w:val="nil"/>
              <w:left w:val="nil"/>
              <w:bottom w:val="nil"/>
              <w:right w:val="single" w:sz="8" w:space="0" w:color="auto"/>
            </w:tcBorders>
            <w:shd w:val="clear" w:color="auto" w:fill="auto"/>
            <w:vAlign w:val="center"/>
            <w:hideMark/>
          </w:tcPr>
          <w:p w14:paraId="4389C27C"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BFI.C031</w:t>
            </w:r>
          </w:p>
        </w:tc>
        <w:tc>
          <w:tcPr>
            <w:tcW w:w="1276" w:type="dxa"/>
            <w:tcBorders>
              <w:top w:val="nil"/>
              <w:left w:val="nil"/>
              <w:bottom w:val="nil"/>
              <w:right w:val="single" w:sz="8" w:space="0" w:color="auto"/>
            </w:tcBorders>
            <w:shd w:val="clear" w:color="auto" w:fill="auto"/>
            <w:vAlign w:val="center"/>
            <w:hideMark/>
          </w:tcPr>
          <w:p w14:paraId="16F6F999"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BFI.D031</w:t>
            </w:r>
          </w:p>
        </w:tc>
        <w:tc>
          <w:tcPr>
            <w:tcW w:w="4243" w:type="dxa"/>
            <w:tcBorders>
              <w:top w:val="nil"/>
              <w:left w:val="nil"/>
              <w:bottom w:val="nil"/>
              <w:right w:val="single" w:sz="8" w:space="0" w:color="auto"/>
            </w:tcBorders>
            <w:shd w:val="clear" w:color="auto" w:fill="auto"/>
            <w:noWrap/>
            <w:vAlign w:val="center"/>
            <w:hideMark/>
          </w:tcPr>
          <w:p w14:paraId="1BD2214D" w14:textId="77777777" w:rsidR="003404A2" w:rsidRPr="00B16A18" w:rsidRDefault="003404A2" w:rsidP="0015273C">
            <w:pPr>
              <w:spacing w:after="0" w:line="240" w:lineRule="auto"/>
              <w:ind w:firstLineChars="221" w:firstLine="354"/>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230 – Operações de Crédito vinculadas à Saúde</w:t>
            </w:r>
          </w:p>
        </w:tc>
        <w:tc>
          <w:tcPr>
            <w:tcW w:w="1285" w:type="dxa"/>
            <w:tcBorders>
              <w:top w:val="nil"/>
              <w:left w:val="nil"/>
              <w:bottom w:val="nil"/>
              <w:right w:val="single" w:sz="8" w:space="0" w:color="auto"/>
            </w:tcBorders>
            <w:shd w:val="clear" w:color="auto" w:fill="auto"/>
            <w:vAlign w:val="center"/>
            <w:hideMark/>
          </w:tcPr>
          <w:p w14:paraId="67543BB8"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BFI.G031</w:t>
            </w:r>
          </w:p>
        </w:tc>
        <w:tc>
          <w:tcPr>
            <w:tcW w:w="1276" w:type="dxa"/>
            <w:tcBorders>
              <w:top w:val="nil"/>
              <w:left w:val="nil"/>
              <w:bottom w:val="nil"/>
              <w:right w:val="single" w:sz="8" w:space="0" w:color="auto"/>
            </w:tcBorders>
            <w:shd w:val="clear" w:color="auto" w:fill="auto"/>
            <w:vAlign w:val="center"/>
            <w:hideMark/>
          </w:tcPr>
          <w:p w14:paraId="2583FD41"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BFI.H031</w:t>
            </w:r>
          </w:p>
        </w:tc>
      </w:tr>
      <w:tr w:rsidR="003404A2" w:rsidRPr="00B16A18" w14:paraId="7ABCBAE8" w14:textId="77777777" w:rsidTr="0015273C">
        <w:trPr>
          <w:trHeight w:val="255"/>
        </w:trPr>
        <w:tc>
          <w:tcPr>
            <w:tcW w:w="4820" w:type="dxa"/>
            <w:tcBorders>
              <w:top w:val="nil"/>
              <w:left w:val="single" w:sz="8" w:space="0" w:color="auto"/>
              <w:bottom w:val="nil"/>
              <w:right w:val="single" w:sz="8" w:space="0" w:color="auto"/>
            </w:tcBorders>
            <w:shd w:val="clear" w:color="auto" w:fill="auto"/>
            <w:noWrap/>
            <w:vAlign w:val="center"/>
            <w:hideMark/>
          </w:tcPr>
          <w:p w14:paraId="71568B4A" w14:textId="77777777" w:rsidR="003404A2" w:rsidRPr="00B16A18" w:rsidRDefault="003404A2" w:rsidP="0015273C">
            <w:pPr>
              <w:spacing w:after="0" w:line="240" w:lineRule="auto"/>
              <w:ind w:firstLineChars="221" w:firstLine="354"/>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290 – Outros Recursos vinculados à Saúde</w:t>
            </w:r>
          </w:p>
        </w:tc>
        <w:tc>
          <w:tcPr>
            <w:tcW w:w="1134" w:type="dxa"/>
            <w:tcBorders>
              <w:top w:val="nil"/>
              <w:left w:val="nil"/>
              <w:bottom w:val="nil"/>
              <w:right w:val="single" w:sz="8" w:space="0" w:color="auto"/>
            </w:tcBorders>
            <w:shd w:val="clear" w:color="auto" w:fill="auto"/>
            <w:vAlign w:val="center"/>
            <w:hideMark/>
          </w:tcPr>
          <w:p w14:paraId="202A98DC"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BFI.C032</w:t>
            </w:r>
          </w:p>
        </w:tc>
        <w:tc>
          <w:tcPr>
            <w:tcW w:w="1276" w:type="dxa"/>
            <w:tcBorders>
              <w:top w:val="nil"/>
              <w:left w:val="nil"/>
              <w:bottom w:val="nil"/>
              <w:right w:val="single" w:sz="8" w:space="0" w:color="auto"/>
            </w:tcBorders>
            <w:shd w:val="clear" w:color="auto" w:fill="auto"/>
            <w:vAlign w:val="center"/>
            <w:hideMark/>
          </w:tcPr>
          <w:p w14:paraId="1D36F6E2"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BFI.D032</w:t>
            </w:r>
          </w:p>
        </w:tc>
        <w:tc>
          <w:tcPr>
            <w:tcW w:w="4243" w:type="dxa"/>
            <w:tcBorders>
              <w:top w:val="nil"/>
              <w:left w:val="nil"/>
              <w:bottom w:val="nil"/>
              <w:right w:val="single" w:sz="8" w:space="0" w:color="auto"/>
            </w:tcBorders>
            <w:shd w:val="clear" w:color="auto" w:fill="auto"/>
            <w:noWrap/>
            <w:vAlign w:val="center"/>
            <w:hideMark/>
          </w:tcPr>
          <w:p w14:paraId="60A9F01A" w14:textId="77777777" w:rsidR="003404A2" w:rsidRPr="00B16A18" w:rsidRDefault="003404A2" w:rsidP="0015273C">
            <w:pPr>
              <w:spacing w:after="0" w:line="240" w:lineRule="auto"/>
              <w:ind w:firstLineChars="221" w:firstLine="354"/>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290 – Outros Recursos vinculados à Saúde</w:t>
            </w:r>
          </w:p>
        </w:tc>
        <w:tc>
          <w:tcPr>
            <w:tcW w:w="1285" w:type="dxa"/>
            <w:tcBorders>
              <w:top w:val="nil"/>
              <w:left w:val="nil"/>
              <w:bottom w:val="nil"/>
              <w:right w:val="single" w:sz="8" w:space="0" w:color="auto"/>
            </w:tcBorders>
            <w:shd w:val="clear" w:color="auto" w:fill="auto"/>
            <w:vAlign w:val="center"/>
            <w:hideMark/>
          </w:tcPr>
          <w:p w14:paraId="726CF188"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BFI.G032</w:t>
            </w:r>
          </w:p>
        </w:tc>
        <w:tc>
          <w:tcPr>
            <w:tcW w:w="1276" w:type="dxa"/>
            <w:tcBorders>
              <w:top w:val="nil"/>
              <w:left w:val="nil"/>
              <w:bottom w:val="nil"/>
              <w:right w:val="single" w:sz="8" w:space="0" w:color="auto"/>
            </w:tcBorders>
            <w:shd w:val="clear" w:color="auto" w:fill="auto"/>
            <w:vAlign w:val="center"/>
            <w:hideMark/>
          </w:tcPr>
          <w:p w14:paraId="587AD14F"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BFI.H032</w:t>
            </w:r>
          </w:p>
        </w:tc>
      </w:tr>
      <w:tr w:rsidR="003404A2" w:rsidRPr="00B16A18" w14:paraId="6E1A6949" w14:textId="77777777" w:rsidTr="0015273C">
        <w:trPr>
          <w:trHeight w:val="255"/>
        </w:trPr>
        <w:tc>
          <w:tcPr>
            <w:tcW w:w="4820" w:type="dxa"/>
            <w:tcBorders>
              <w:top w:val="nil"/>
              <w:left w:val="single" w:sz="8" w:space="0" w:color="auto"/>
              <w:bottom w:val="nil"/>
              <w:right w:val="single" w:sz="8" w:space="0" w:color="auto"/>
            </w:tcBorders>
            <w:shd w:val="clear" w:color="auto" w:fill="auto"/>
            <w:noWrap/>
            <w:vAlign w:val="center"/>
            <w:hideMark/>
          </w:tcPr>
          <w:p w14:paraId="355B561C" w14:textId="77777777" w:rsidR="003404A2" w:rsidRPr="00B16A18" w:rsidRDefault="003404A2" w:rsidP="0015273C">
            <w:pPr>
              <w:spacing w:after="0" w:line="240" w:lineRule="auto"/>
              <w:ind w:firstLineChars="100" w:firstLine="161"/>
              <w:rPr>
                <w:rFonts w:ascii="Arial Narrow" w:eastAsia="Times New Roman" w:hAnsi="Arial Narrow" w:cs="Arial"/>
                <w:b/>
                <w:bCs/>
                <w:sz w:val="16"/>
                <w:szCs w:val="16"/>
                <w:lang w:eastAsia="pt-BR"/>
              </w:rPr>
            </w:pPr>
            <w:r w:rsidRPr="00B16A18">
              <w:rPr>
                <w:rFonts w:ascii="Arial Narrow" w:eastAsia="Times New Roman" w:hAnsi="Arial Narrow" w:cs="Arial"/>
                <w:b/>
                <w:bCs/>
                <w:sz w:val="16"/>
                <w:szCs w:val="16"/>
                <w:lang w:eastAsia="pt-BR"/>
              </w:rPr>
              <w:t xml:space="preserve">  Recursos vinculados à Previdência Social – RPPS</w:t>
            </w:r>
          </w:p>
        </w:tc>
        <w:tc>
          <w:tcPr>
            <w:tcW w:w="1134" w:type="dxa"/>
            <w:tcBorders>
              <w:top w:val="nil"/>
              <w:left w:val="nil"/>
              <w:bottom w:val="nil"/>
              <w:right w:val="single" w:sz="8" w:space="0" w:color="auto"/>
            </w:tcBorders>
            <w:shd w:val="clear" w:color="auto" w:fill="auto"/>
            <w:vAlign w:val="center"/>
            <w:hideMark/>
          </w:tcPr>
          <w:p w14:paraId="0C034585" w14:textId="77777777" w:rsidR="003404A2" w:rsidRPr="00B16A18" w:rsidRDefault="003404A2" w:rsidP="0015273C">
            <w:pPr>
              <w:spacing w:after="0" w:line="240" w:lineRule="auto"/>
              <w:jc w:val="center"/>
              <w:rPr>
                <w:rFonts w:ascii="Arial Narrow" w:eastAsia="Times New Roman" w:hAnsi="Arial Narrow" w:cs="Arial"/>
                <w:b/>
                <w:bCs/>
                <w:sz w:val="16"/>
                <w:szCs w:val="16"/>
                <w:lang w:eastAsia="pt-BR"/>
              </w:rPr>
            </w:pPr>
            <w:r w:rsidRPr="00B16A18">
              <w:rPr>
                <w:rFonts w:ascii="Arial Narrow" w:eastAsia="Times New Roman" w:hAnsi="Arial Narrow" w:cs="Arial"/>
                <w:b/>
                <w:bCs/>
                <w:sz w:val="16"/>
                <w:szCs w:val="16"/>
                <w:lang w:eastAsia="pt-BR"/>
              </w:rPr>
              <w:t>BFI.C033</w:t>
            </w:r>
          </w:p>
        </w:tc>
        <w:tc>
          <w:tcPr>
            <w:tcW w:w="1276" w:type="dxa"/>
            <w:tcBorders>
              <w:top w:val="nil"/>
              <w:left w:val="nil"/>
              <w:bottom w:val="nil"/>
              <w:right w:val="single" w:sz="8" w:space="0" w:color="auto"/>
            </w:tcBorders>
            <w:shd w:val="clear" w:color="auto" w:fill="auto"/>
            <w:vAlign w:val="center"/>
            <w:hideMark/>
          </w:tcPr>
          <w:p w14:paraId="748EAE85" w14:textId="77777777" w:rsidR="003404A2" w:rsidRPr="00B16A18" w:rsidRDefault="003404A2" w:rsidP="0015273C">
            <w:pPr>
              <w:spacing w:after="0" w:line="240" w:lineRule="auto"/>
              <w:jc w:val="center"/>
              <w:rPr>
                <w:rFonts w:ascii="Arial Narrow" w:eastAsia="Times New Roman" w:hAnsi="Arial Narrow" w:cs="Arial"/>
                <w:b/>
                <w:bCs/>
                <w:sz w:val="16"/>
                <w:szCs w:val="16"/>
                <w:lang w:eastAsia="pt-BR"/>
              </w:rPr>
            </w:pPr>
            <w:r w:rsidRPr="00B16A18">
              <w:rPr>
                <w:rFonts w:ascii="Arial Narrow" w:eastAsia="Times New Roman" w:hAnsi="Arial Narrow" w:cs="Arial"/>
                <w:b/>
                <w:bCs/>
                <w:sz w:val="16"/>
                <w:szCs w:val="16"/>
                <w:lang w:eastAsia="pt-BR"/>
              </w:rPr>
              <w:t>BFI.D033</w:t>
            </w:r>
          </w:p>
        </w:tc>
        <w:tc>
          <w:tcPr>
            <w:tcW w:w="4243" w:type="dxa"/>
            <w:tcBorders>
              <w:top w:val="nil"/>
              <w:left w:val="nil"/>
              <w:bottom w:val="nil"/>
              <w:right w:val="single" w:sz="8" w:space="0" w:color="auto"/>
            </w:tcBorders>
            <w:shd w:val="clear" w:color="auto" w:fill="auto"/>
            <w:noWrap/>
            <w:vAlign w:val="center"/>
            <w:hideMark/>
          </w:tcPr>
          <w:p w14:paraId="20CA0ECB" w14:textId="77777777" w:rsidR="003404A2" w:rsidRPr="00B16A18" w:rsidRDefault="003404A2" w:rsidP="0015273C">
            <w:pPr>
              <w:spacing w:after="0" w:line="240" w:lineRule="auto"/>
              <w:ind w:firstLineChars="100" w:firstLine="161"/>
              <w:rPr>
                <w:rFonts w:ascii="Arial Narrow" w:eastAsia="Times New Roman" w:hAnsi="Arial Narrow" w:cs="Arial"/>
                <w:b/>
                <w:bCs/>
                <w:sz w:val="16"/>
                <w:szCs w:val="16"/>
                <w:lang w:eastAsia="pt-BR"/>
              </w:rPr>
            </w:pPr>
            <w:r w:rsidRPr="00B16A18">
              <w:rPr>
                <w:rFonts w:ascii="Arial Narrow" w:eastAsia="Times New Roman" w:hAnsi="Arial Narrow" w:cs="Arial"/>
                <w:b/>
                <w:bCs/>
                <w:sz w:val="16"/>
                <w:szCs w:val="16"/>
                <w:lang w:eastAsia="pt-BR"/>
              </w:rPr>
              <w:t xml:space="preserve">  Recursos Destinado à Previdência Social – RPPS</w:t>
            </w:r>
          </w:p>
        </w:tc>
        <w:tc>
          <w:tcPr>
            <w:tcW w:w="1285" w:type="dxa"/>
            <w:tcBorders>
              <w:top w:val="nil"/>
              <w:left w:val="nil"/>
              <w:bottom w:val="nil"/>
              <w:right w:val="single" w:sz="8" w:space="0" w:color="auto"/>
            </w:tcBorders>
            <w:shd w:val="clear" w:color="auto" w:fill="auto"/>
            <w:vAlign w:val="center"/>
            <w:hideMark/>
          </w:tcPr>
          <w:p w14:paraId="02A63992" w14:textId="77777777" w:rsidR="003404A2" w:rsidRPr="00B16A18" w:rsidRDefault="003404A2" w:rsidP="0015273C">
            <w:pPr>
              <w:spacing w:after="0" w:line="240" w:lineRule="auto"/>
              <w:jc w:val="center"/>
              <w:rPr>
                <w:rFonts w:ascii="Arial Narrow" w:eastAsia="Times New Roman" w:hAnsi="Arial Narrow" w:cs="Arial"/>
                <w:b/>
                <w:bCs/>
                <w:sz w:val="16"/>
                <w:szCs w:val="16"/>
                <w:lang w:eastAsia="pt-BR"/>
              </w:rPr>
            </w:pPr>
            <w:r w:rsidRPr="00B16A18">
              <w:rPr>
                <w:rFonts w:ascii="Arial Narrow" w:eastAsia="Times New Roman" w:hAnsi="Arial Narrow" w:cs="Arial"/>
                <w:b/>
                <w:bCs/>
                <w:sz w:val="16"/>
                <w:szCs w:val="16"/>
                <w:lang w:eastAsia="pt-BR"/>
              </w:rPr>
              <w:t>BFI.G033</w:t>
            </w:r>
          </w:p>
        </w:tc>
        <w:tc>
          <w:tcPr>
            <w:tcW w:w="1276" w:type="dxa"/>
            <w:tcBorders>
              <w:top w:val="nil"/>
              <w:left w:val="nil"/>
              <w:bottom w:val="nil"/>
              <w:right w:val="single" w:sz="8" w:space="0" w:color="auto"/>
            </w:tcBorders>
            <w:shd w:val="clear" w:color="auto" w:fill="auto"/>
            <w:vAlign w:val="center"/>
            <w:hideMark/>
          </w:tcPr>
          <w:p w14:paraId="3DFB55E1" w14:textId="77777777" w:rsidR="003404A2" w:rsidRPr="00B16A18" w:rsidRDefault="003404A2" w:rsidP="0015273C">
            <w:pPr>
              <w:spacing w:after="0" w:line="240" w:lineRule="auto"/>
              <w:jc w:val="center"/>
              <w:rPr>
                <w:rFonts w:ascii="Arial Narrow" w:eastAsia="Times New Roman" w:hAnsi="Arial Narrow" w:cs="Arial"/>
                <w:b/>
                <w:bCs/>
                <w:sz w:val="16"/>
                <w:szCs w:val="16"/>
                <w:lang w:eastAsia="pt-BR"/>
              </w:rPr>
            </w:pPr>
            <w:r w:rsidRPr="00B16A18">
              <w:rPr>
                <w:rFonts w:ascii="Arial Narrow" w:eastAsia="Times New Roman" w:hAnsi="Arial Narrow" w:cs="Arial"/>
                <w:b/>
                <w:bCs/>
                <w:sz w:val="16"/>
                <w:szCs w:val="16"/>
                <w:lang w:eastAsia="pt-BR"/>
              </w:rPr>
              <w:t>BFI.H033</w:t>
            </w:r>
          </w:p>
        </w:tc>
      </w:tr>
      <w:tr w:rsidR="003404A2" w:rsidRPr="00B16A18" w14:paraId="10282F69" w14:textId="77777777" w:rsidTr="0015273C">
        <w:trPr>
          <w:trHeight w:val="255"/>
        </w:trPr>
        <w:tc>
          <w:tcPr>
            <w:tcW w:w="4820" w:type="dxa"/>
            <w:tcBorders>
              <w:top w:val="nil"/>
              <w:left w:val="single" w:sz="8" w:space="0" w:color="auto"/>
              <w:right w:val="single" w:sz="8" w:space="0" w:color="auto"/>
            </w:tcBorders>
            <w:shd w:val="clear" w:color="auto" w:fill="auto"/>
            <w:noWrap/>
            <w:vAlign w:val="center"/>
          </w:tcPr>
          <w:p w14:paraId="0646107B" w14:textId="77777777" w:rsidR="003404A2" w:rsidRPr="00B16A18" w:rsidRDefault="003404A2" w:rsidP="0015273C">
            <w:pPr>
              <w:spacing w:after="0" w:line="240" w:lineRule="auto"/>
              <w:ind w:firstLineChars="221" w:firstLine="354"/>
              <w:rPr>
                <w:rFonts w:ascii="Arial Narrow" w:eastAsia="Times New Roman" w:hAnsi="Arial Narrow" w:cs="Arial"/>
                <w:strike/>
                <w:sz w:val="16"/>
                <w:szCs w:val="16"/>
                <w:lang w:eastAsia="pt-BR"/>
              </w:rPr>
            </w:pPr>
            <w:r w:rsidRPr="00B16A18">
              <w:rPr>
                <w:rFonts w:ascii="Arial Narrow" w:eastAsia="Times New Roman" w:hAnsi="Arial Narrow" w:cs="Arial"/>
                <w:sz w:val="16"/>
                <w:szCs w:val="16"/>
                <w:lang w:eastAsia="pt-BR"/>
              </w:rPr>
              <w:t>410 – Recursos Vinculados ao RPPS – Plano Previdenciário</w:t>
            </w:r>
          </w:p>
        </w:tc>
        <w:tc>
          <w:tcPr>
            <w:tcW w:w="1134" w:type="dxa"/>
            <w:tcBorders>
              <w:top w:val="nil"/>
              <w:left w:val="nil"/>
              <w:right w:val="single" w:sz="8" w:space="0" w:color="auto"/>
            </w:tcBorders>
            <w:shd w:val="clear" w:color="auto" w:fill="auto"/>
            <w:vAlign w:val="center"/>
          </w:tcPr>
          <w:p w14:paraId="48F2F502" w14:textId="77777777" w:rsidR="003404A2" w:rsidRPr="00B16A18" w:rsidRDefault="003404A2"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BFI.C106</w:t>
            </w:r>
          </w:p>
        </w:tc>
        <w:tc>
          <w:tcPr>
            <w:tcW w:w="1276" w:type="dxa"/>
            <w:tcBorders>
              <w:top w:val="nil"/>
              <w:left w:val="nil"/>
              <w:right w:val="single" w:sz="8" w:space="0" w:color="auto"/>
            </w:tcBorders>
            <w:shd w:val="clear" w:color="auto" w:fill="auto"/>
            <w:vAlign w:val="center"/>
          </w:tcPr>
          <w:p w14:paraId="2BAE1BA7" w14:textId="77777777" w:rsidR="003404A2" w:rsidRPr="00B16A18" w:rsidRDefault="003404A2"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BFI.D106</w:t>
            </w:r>
          </w:p>
        </w:tc>
        <w:tc>
          <w:tcPr>
            <w:tcW w:w="4243" w:type="dxa"/>
            <w:tcBorders>
              <w:top w:val="nil"/>
              <w:left w:val="nil"/>
              <w:right w:val="single" w:sz="8" w:space="0" w:color="auto"/>
            </w:tcBorders>
            <w:shd w:val="clear" w:color="auto" w:fill="auto"/>
            <w:noWrap/>
            <w:vAlign w:val="center"/>
          </w:tcPr>
          <w:p w14:paraId="5167ABE9" w14:textId="77777777" w:rsidR="003404A2" w:rsidRPr="00B16A18" w:rsidRDefault="003404A2" w:rsidP="0015273C">
            <w:pPr>
              <w:spacing w:after="0" w:line="240" w:lineRule="auto"/>
              <w:ind w:firstLineChars="221" w:firstLine="354"/>
              <w:rPr>
                <w:rFonts w:ascii="Arial Narrow" w:eastAsia="Times New Roman" w:hAnsi="Arial Narrow" w:cs="Arial"/>
                <w:strike/>
                <w:sz w:val="16"/>
                <w:szCs w:val="16"/>
                <w:lang w:eastAsia="pt-BR"/>
              </w:rPr>
            </w:pPr>
            <w:r w:rsidRPr="00B16A18">
              <w:rPr>
                <w:rFonts w:ascii="Arial Narrow" w:eastAsia="Times New Roman" w:hAnsi="Arial Narrow" w:cs="Arial"/>
                <w:sz w:val="16"/>
                <w:szCs w:val="16"/>
                <w:lang w:eastAsia="pt-BR"/>
              </w:rPr>
              <w:t>410 – Recursos Vinculados ao RPPS – Plano Previdenciário</w:t>
            </w:r>
          </w:p>
        </w:tc>
        <w:tc>
          <w:tcPr>
            <w:tcW w:w="1285" w:type="dxa"/>
            <w:tcBorders>
              <w:top w:val="nil"/>
              <w:left w:val="nil"/>
              <w:right w:val="single" w:sz="8" w:space="0" w:color="auto"/>
            </w:tcBorders>
            <w:shd w:val="clear" w:color="auto" w:fill="auto"/>
            <w:vAlign w:val="center"/>
          </w:tcPr>
          <w:p w14:paraId="113AE61C" w14:textId="77777777" w:rsidR="003404A2" w:rsidRPr="00B16A18" w:rsidRDefault="003404A2"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BFI.G106</w:t>
            </w:r>
          </w:p>
        </w:tc>
        <w:tc>
          <w:tcPr>
            <w:tcW w:w="1276" w:type="dxa"/>
            <w:tcBorders>
              <w:top w:val="nil"/>
              <w:left w:val="nil"/>
              <w:right w:val="single" w:sz="8" w:space="0" w:color="auto"/>
            </w:tcBorders>
            <w:shd w:val="clear" w:color="auto" w:fill="auto"/>
            <w:vAlign w:val="center"/>
          </w:tcPr>
          <w:p w14:paraId="1B9A7932" w14:textId="77777777" w:rsidR="003404A2" w:rsidRPr="00B16A18" w:rsidRDefault="003404A2"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BFI.H106</w:t>
            </w:r>
          </w:p>
        </w:tc>
      </w:tr>
      <w:tr w:rsidR="003404A2" w:rsidRPr="00B16A18" w14:paraId="0293AB9B" w14:textId="77777777" w:rsidTr="0015273C">
        <w:trPr>
          <w:trHeight w:val="255"/>
        </w:trPr>
        <w:tc>
          <w:tcPr>
            <w:tcW w:w="4820" w:type="dxa"/>
            <w:tcBorders>
              <w:top w:val="nil"/>
              <w:left w:val="single" w:sz="8" w:space="0" w:color="auto"/>
              <w:right w:val="single" w:sz="8" w:space="0" w:color="auto"/>
            </w:tcBorders>
            <w:shd w:val="clear" w:color="auto" w:fill="auto"/>
            <w:noWrap/>
            <w:vAlign w:val="center"/>
            <w:hideMark/>
          </w:tcPr>
          <w:p w14:paraId="70AF841E" w14:textId="77777777" w:rsidR="003404A2" w:rsidRPr="00B16A18" w:rsidRDefault="003404A2" w:rsidP="0015273C">
            <w:pPr>
              <w:spacing w:after="0" w:line="240" w:lineRule="auto"/>
              <w:ind w:firstLineChars="221" w:firstLine="354"/>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420 – Recursos Vinculados ao RPPS – Plano Financeiro</w:t>
            </w:r>
          </w:p>
        </w:tc>
        <w:tc>
          <w:tcPr>
            <w:tcW w:w="1134" w:type="dxa"/>
            <w:tcBorders>
              <w:top w:val="nil"/>
              <w:left w:val="nil"/>
              <w:right w:val="single" w:sz="8" w:space="0" w:color="auto"/>
            </w:tcBorders>
            <w:shd w:val="clear" w:color="auto" w:fill="auto"/>
            <w:vAlign w:val="center"/>
            <w:hideMark/>
          </w:tcPr>
          <w:p w14:paraId="186C5CDA"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BFI.C035</w:t>
            </w:r>
          </w:p>
        </w:tc>
        <w:tc>
          <w:tcPr>
            <w:tcW w:w="1276" w:type="dxa"/>
            <w:tcBorders>
              <w:top w:val="nil"/>
              <w:left w:val="nil"/>
              <w:right w:val="single" w:sz="8" w:space="0" w:color="auto"/>
            </w:tcBorders>
            <w:shd w:val="clear" w:color="auto" w:fill="auto"/>
            <w:vAlign w:val="center"/>
            <w:hideMark/>
          </w:tcPr>
          <w:p w14:paraId="1032C4AE"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BFI.D035</w:t>
            </w:r>
          </w:p>
        </w:tc>
        <w:tc>
          <w:tcPr>
            <w:tcW w:w="4243" w:type="dxa"/>
            <w:tcBorders>
              <w:top w:val="nil"/>
              <w:left w:val="nil"/>
              <w:right w:val="single" w:sz="8" w:space="0" w:color="auto"/>
            </w:tcBorders>
            <w:shd w:val="clear" w:color="auto" w:fill="auto"/>
            <w:noWrap/>
            <w:vAlign w:val="center"/>
            <w:hideMark/>
          </w:tcPr>
          <w:p w14:paraId="06B00482" w14:textId="77777777" w:rsidR="003404A2" w:rsidRPr="00B16A18" w:rsidRDefault="003404A2" w:rsidP="0015273C">
            <w:pPr>
              <w:spacing w:after="0" w:line="240" w:lineRule="auto"/>
              <w:ind w:firstLineChars="221" w:firstLine="354"/>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420 – Recursos Vinculados ao RPPS – Plano Financeiro</w:t>
            </w:r>
          </w:p>
        </w:tc>
        <w:tc>
          <w:tcPr>
            <w:tcW w:w="1285" w:type="dxa"/>
            <w:tcBorders>
              <w:top w:val="nil"/>
              <w:left w:val="nil"/>
              <w:right w:val="single" w:sz="8" w:space="0" w:color="auto"/>
            </w:tcBorders>
            <w:shd w:val="clear" w:color="auto" w:fill="auto"/>
            <w:vAlign w:val="center"/>
            <w:hideMark/>
          </w:tcPr>
          <w:p w14:paraId="29A992AB"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BFI.G035</w:t>
            </w:r>
          </w:p>
        </w:tc>
        <w:tc>
          <w:tcPr>
            <w:tcW w:w="1276" w:type="dxa"/>
            <w:tcBorders>
              <w:top w:val="nil"/>
              <w:left w:val="nil"/>
              <w:right w:val="single" w:sz="8" w:space="0" w:color="auto"/>
            </w:tcBorders>
            <w:shd w:val="clear" w:color="auto" w:fill="auto"/>
            <w:vAlign w:val="center"/>
            <w:hideMark/>
          </w:tcPr>
          <w:p w14:paraId="696C80BC"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BFI.H035</w:t>
            </w:r>
          </w:p>
        </w:tc>
      </w:tr>
      <w:tr w:rsidR="003404A2" w:rsidRPr="00B16A18" w14:paraId="506EFF1C" w14:textId="77777777" w:rsidTr="0015273C">
        <w:trPr>
          <w:trHeight w:val="255"/>
        </w:trPr>
        <w:tc>
          <w:tcPr>
            <w:tcW w:w="4820" w:type="dxa"/>
            <w:tcBorders>
              <w:top w:val="nil"/>
              <w:left w:val="single" w:sz="8" w:space="0" w:color="auto"/>
              <w:bottom w:val="nil"/>
              <w:right w:val="single" w:sz="8" w:space="0" w:color="auto"/>
            </w:tcBorders>
            <w:shd w:val="clear" w:color="auto" w:fill="auto"/>
            <w:noWrap/>
            <w:vAlign w:val="center"/>
            <w:hideMark/>
          </w:tcPr>
          <w:p w14:paraId="762AFDB9" w14:textId="77777777" w:rsidR="003404A2" w:rsidRPr="00B16A18" w:rsidRDefault="003404A2" w:rsidP="0015273C">
            <w:pPr>
              <w:spacing w:after="0" w:line="240" w:lineRule="auto"/>
              <w:ind w:firstLineChars="221" w:firstLine="354"/>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430 – Recursos Vinculados ao RPPS – Taxa de Administração</w:t>
            </w:r>
          </w:p>
        </w:tc>
        <w:tc>
          <w:tcPr>
            <w:tcW w:w="1134" w:type="dxa"/>
            <w:tcBorders>
              <w:top w:val="nil"/>
              <w:left w:val="nil"/>
              <w:bottom w:val="nil"/>
              <w:right w:val="single" w:sz="8" w:space="0" w:color="auto"/>
            </w:tcBorders>
            <w:shd w:val="clear" w:color="auto" w:fill="auto"/>
            <w:vAlign w:val="center"/>
            <w:hideMark/>
          </w:tcPr>
          <w:p w14:paraId="6A5486B0"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BFI.C037</w:t>
            </w:r>
          </w:p>
        </w:tc>
        <w:tc>
          <w:tcPr>
            <w:tcW w:w="1276" w:type="dxa"/>
            <w:tcBorders>
              <w:top w:val="nil"/>
              <w:left w:val="nil"/>
              <w:bottom w:val="nil"/>
              <w:right w:val="single" w:sz="8" w:space="0" w:color="auto"/>
            </w:tcBorders>
            <w:shd w:val="clear" w:color="auto" w:fill="auto"/>
            <w:vAlign w:val="center"/>
            <w:hideMark/>
          </w:tcPr>
          <w:p w14:paraId="47BFEEAB"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BFI.D037</w:t>
            </w:r>
          </w:p>
        </w:tc>
        <w:tc>
          <w:tcPr>
            <w:tcW w:w="4243" w:type="dxa"/>
            <w:tcBorders>
              <w:top w:val="nil"/>
              <w:left w:val="nil"/>
              <w:bottom w:val="nil"/>
              <w:right w:val="single" w:sz="8" w:space="0" w:color="auto"/>
            </w:tcBorders>
            <w:shd w:val="clear" w:color="auto" w:fill="auto"/>
            <w:noWrap/>
            <w:vAlign w:val="center"/>
            <w:hideMark/>
          </w:tcPr>
          <w:p w14:paraId="29340312" w14:textId="77777777" w:rsidR="003404A2" w:rsidRPr="00B16A18" w:rsidRDefault="003404A2" w:rsidP="0015273C">
            <w:pPr>
              <w:spacing w:after="0" w:line="240" w:lineRule="auto"/>
              <w:ind w:firstLineChars="221" w:firstLine="354"/>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430 – Recursos Vinculados ao RPPS – Taxa de Administração</w:t>
            </w:r>
          </w:p>
        </w:tc>
        <w:tc>
          <w:tcPr>
            <w:tcW w:w="1285" w:type="dxa"/>
            <w:tcBorders>
              <w:top w:val="nil"/>
              <w:left w:val="nil"/>
              <w:bottom w:val="nil"/>
              <w:right w:val="single" w:sz="8" w:space="0" w:color="auto"/>
            </w:tcBorders>
            <w:shd w:val="clear" w:color="auto" w:fill="auto"/>
            <w:vAlign w:val="center"/>
            <w:hideMark/>
          </w:tcPr>
          <w:p w14:paraId="4B668110"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BFI.G037</w:t>
            </w:r>
          </w:p>
        </w:tc>
        <w:tc>
          <w:tcPr>
            <w:tcW w:w="1276" w:type="dxa"/>
            <w:tcBorders>
              <w:top w:val="nil"/>
              <w:left w:val="nil"/>
              <w:bottom w:val="nil"/>
              <w:right w:val="single" w:sz="8" w:space="0" w:color="auto"/>
            </w:tcBorders>
            <w:shd w:val="clear" w:color="auto" w:fill="auto"/>
            <w:vAlign w:val="center"/>
            <w:hideMark/>
          </w:tcPr>
          <w:p w14:paraId="36720D24"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BFI.H037</w:t>
            </w:r>
          </w:p>
        </w:tc>
      </w:tr>
      <w:tr w:rsidR="003404A2" w:rsidRPr="00B16A18" w14:paraId="6FECE14C" w14:textId="77777777" w:rsidTr="0015273C">
        <w:trPr>
          <w:trHeight w:val="255"/>
        </w:trPr>
        <w:tc>
          <w:tcPr>
            <w:tcW w:w="4820" w:type="dxa"/>
            <w:tcBorders>
              <w:top w:val="nil"/>
              <w:left w:val="single" w:sz="8" w:space="0" w:color="auto"/>
              <w:bottom w:val="nil"/>
              <w:right w:val="single" w:sz="8" w:space="0" w:color="auto"/>
            </w:tcBorders>
            <w:shd w:val="clear" w:color="auto" w:fill="auto"/>
            <w:noWrap/>
            <w:vAlign w:val="center"/>
            <w:hideMark/>
          </w:tcPr>
          <w:p w14:paraId="4D3DB7A1" w14:textId="77777777" w:rsidR="003404A2" w:rsidRPr="00B16A18" w:rsidRDefault="003404A2" w:rsidP="0015273C">
            <w:pPr>
              <w:spacing w:after="0" w:line="240" w:lineRule="auto"/>
              <w:ind w:firstLineChars="100" w:firstLine="161"/>
              <w:rPr>
                <w:rFonts w:ascii="Arial Narrow" w:eastAsia="Times New Roman" w:hAnsi="Arial Narrow" w:cs="Arial"/>
                <w:b/>
                <w:bCs/>
                <w:sz w:val="16"/>
                <w:szCs w:val="16"/>
                <w:lang w:eastAsia="pt-BR"/>
              </w:rPr>
            </w:pPr>
            <w:r w:rsidRPr="00B16A18">
              <w:rPr>
                <w:rFonts w:ascii="Arial Narrow" w:eastAsia="Times New Roman" w:hAnsi="Arial Narrow" w:cs="Arial"/>
                <w:b/>
                <w:bCs/>
                <w:sz w:val="16"/>
                <w:szCs w:val="16"/>
                <w:lang w:eastAsia="pt-BR"/>
              </w:rPr>
              <w:t xml:space="preserve">  Recursos Vinculados à Seguridade Social</w:t>
            </w:r>
          </w:p>
        </w:tc>
        <w:tc>
          <w:tcPr>
            <w:tcW w:w="1134" w:type="dxa"/>
            <w:tcBorders>
              <w:top w:val="nil"/>
              <w:left w:val="nil"/>
              <w:bottom w:val="nil"/>
              <w:right w:val="single" w:sz="8" w:space="0" w:color="auto"/>
            </w:tcBorders>
            <w:shd w:val="clear" w:color="auto" w:fill="auto"/>
            <w:vAlign w:val="center"/>
            <w:hideMark/>
          </w:tcPr>
          <w:p w14:paraId="53BA68E3" w14:textId="77777777" w:rsidR="003404A2" w:rsidRPr="00B16A18" w:rsidRDefault="003404A2" w:rsidP="0015273C">
            <w:pPr>
              <w:spacing w:after="0" w:line="240" w:lineRule="auto"/>
              <w:jc w:val="center"/>
              <w:rPr>
                <w:rFonts w:ascii="Arial Narrow" w:eastAsia="Times New Roman" w:hAnsi="Arial Narrow" w:cs="Arial"/>
                <w:b/>
                <w:bCs/>
                <w:sz w:val="16"/>
                <w:szCs w:val="16"/>
                <w:lang w:eastAsia="pt-BR"/>
              </w:rPr>
            </w:pPr>
            <w:r w:rsidRPr="00B16A18">
              <w:rPr>
                <w:rFonts w:ascii="Arial Narrow" w:eastAsia="Times New Roman" w:hAnsi="Arial Narrow" w:cs="Arial"/>
                <w:b/>
                <w:bCs/>
                <w:sz w:val="16"/>
                <w:szCs w:val="16"/>
                <w:lang w:eastAsia="pt-BR"/>
              </w:rPr>
              <w:t>BFI.C039</w:t>
            </w:r>
          </w:p>
        </w:tc>
        <w:tc>
          <w:tcPr>
            <w:tcW w:w="1276" w:type="dxa"/>
            <w:tcBorders>
              <w:top w:val="nil"/>
              <w:left w:val="nil"/>
              <w:bottom w:val="nil"/>
              <w:right w:val="single" w:sz="8" w:space="0" w:color="auto"/>
            </w:tcBorders>
            <w:shd w:val="clear" w:color="auto" w:fill="auto"/>
            <w:vAlign w:val="center"/>
            <w:hideMark/>
          </w:tcPr>
          <w:p w14:paraId="3156BEA8" w14:textId="77777777" w:rsidR="003404A2" w:rsidRPr="00B16A18" w:rsidRDefault="003404A2" w:rsidP="0015273C">
            <w:pPr>
              <w:spacing w:after="0" w:line="240" w:lineRule="auto"/>
              <w:jc w:val="center"/>
              <w:rPr>
                <w:rFonts w:ascii="Arial Narrow" w:eastAsia="Times New Roman" w:hAnsi="Arial Narrow" w:cs="Arial"/>
                <w:b/>
                <w:bCs/>
                <w:sz w:val="16"/>
                <w:szCs w:val="16"/>
                <w:lang w:eastAsia="pt-BR"/>
              </w:rPr>
            </w:pPr>
            <w:r w:rsidRPr="00B16A18">
              <w:rPr>
                <w:rFonts w:ascii="Arial Narrow" w:eastAsia="Times New Roman" w:hAnsi="Arial Narrow" w:cs="Arial"/>
                <w:b/>
                <w:bCs/>
                <w:sz w:val="16"/>
                <w:szCs w:val="16"/>
                <w:lang w:eastAsia="pt-BR"/>
              </w:rPr>
              <w:t>BFI.D039</w:t>
            </w:r>
          </w:p>
        </w:tc>
        <w:tc>
          <w:tcPr>
            <w:tcW w:w="4243" w:type="dxa"/>
            <w:tcBorders>
              <w:top w:val="nil"/>
              <w:left w:val="nil"/>
              <w:bottom w:val="nil"/>
              <w:right w:val="single" w:sz="8" w:space="0" w:color="auto"/>
            </w:tcBorders>
            <w:shd w:val="clear" w:color="auto" w:fill="auto"/>
            <w:noWrap/>
            <w:vAlign w:val="center"/>
            <w:hideMark/>
          </w:tcPr>
          <w:p w14:paraId="67DD05FA" w14:textId="77777777" w:rsidR="003404A2" w:rsidRPr="00B16A18" w:rsidRDefault="003404A2" w:rsidP="0015273C">
            <w:pPr>
              <w:spacing w:after="0" w:line="240" w:lineRule="auto"/>
              <w:ind w:firstLineChars="100" w:firstLine="161"/>
              <w:rPr>
                <w:rFonts w:ascii="Arial Narrow" w:eastAsia="Times New Roman" w:hAnsi="Arial Narrow" w:cs="Arial"/>
                <w:b/>
                <w:bCs/>
                <w:sz w:val="16"/>
                <w:szCs w:val="16"/>
                <w:lang w:eastAsia="pt-BR"/>
              </w:rPr>
            </w:pPr>
            <w:r w:rsidRPr="00B16A18">
              <w:rPr>
                <w:rFonts w:ascii="Arial Narrow" w:eastAsia="Times New Roman" w:hAnsi="Arial Narrow" w:cs="Arial"/>
                <w:b/>
                <w:bCs/>
                <w:sz w:val="16"/>
                <w:szCs w:val="16"/>
                <w:lang w:eastAsia="pt-BR"/>
              </w:rPr>
              <w:t xml:space="preserve">  Recursos Destinado à Seguridade Social</w:t>
            </w:r>
          </w:p>
        </w:tc>
        <w:tc>
          <w:tcPr>
            <w:tcW w:w="1285" w:type="dxa"/>
            <w:tcBorders>
              <w:top w:val="nil"/>
              <w:left w:val="nil"/>
              <w:bottom w:val="nil"/>
              <w:right w:val="single" w:sz="8" w:space="0" w:color="auto"/>
            </w:tcBorders>
            <w:shd w:val="clear" w:color="auto" w:fill="auto"/>
            <w:vAlign w:val="center"/>
            <w:hideMark/>
          </w:tcPr>
          <w:p w14:paraId="253B2495" w14:textId="77777777" w:rsidR="003404A2" w:rsidRPr="00B16A18" w:rsidRDefault="003404A2" w:rsidP="0015273C">
            <w:pPr>
              <w:spacing w:after="0" w:line="240" w:lineRule="auto"/>
              <w:jc w:val="center"/>
              <w:rPr>
                <w:rFonts w:ascii="Arial Narrow" w:eastAsia="Times New Roman" w:hAnsi="Arial Narrow" w:cs="Arial"/>
                <w:b/>
                <w:bCs/>
                <w:sz w:val="16"/>
                <w:szCs w:val="16"/>
                <w:lang w:eastAsia="pt-BR"/>
              </w:rPr>
            </w:pPr>
            <w:r w:rsidRPr="00B16A18">
              <w:rPr>
                <w:rFonts w:ascii="Arial Narrow" w:eastAsia="Times New Roman" w:hAnsi="Arial Narrow" w:cs="Arial"/>
                <w:b/>
                <w:bCs/>
                <w:sz w:val="16"/>
                <w:szCs w:val="16"/>
                <w:lang w:eastAsia="pt-BR"/>
              </w:rPr>
              <w:t>BFI.G039</w:t>
            </w:r>
          </w:p>
        </w:tc>
        <w:tc>
          <w:tcPr>
            <w:tcW w:w="1276" w:type="dxa"/>
            <w:tcBorders>
              <w:top w:val="nil"/>
              <w:left w:val="nil"/>
              <w:bottom w:val="nil"/>
              <w:right w:val="single" w:sz="8" w:space="0" w:color="auto"/>
            </w:tcBorders>
            <w:shd w:val="clear" w:color="auto" w:fill="auto"/>
            <w:vAlign w:val="center"/>
            <w:hideMark/>
          </w:tcPr>
          <w:p w14:paraId="68F73D05" w14:textId="77777777" w:rsidR="003404A2" w:rsidRPr="00B16A18" w:rsidRDefault="003404A2" w:rsidP="0015273C">
            <w:pPr>
              <w:spacing w:after="0" w:line="240" w:lineRule="auto"/>
              <w:jc w:val="center"/>
              <w:rPr>
                <w:rFonts w:ascii="Arial Narrow" w:eastAsia="Times New Roman" w:hAnsi="Arial Narrow" w:cs="Arial"/>
                <w:b/>
                <w:bCs/>
                <w:sz w:val="16"/>
                <w:szCs w:val="16"/>
                <w:lang w:eastAsia="pt-BR"/>
              </w:rPr>
            </w:pPr>
            <w:r w:rsidRPr="00B16A18">
              <w:rPr>
                <w:rFonts w:ascii="Arial Narrow" w:eastAsia="Times New Roman" w:hAnsi="Arial Narrow" w:cs="Arial"/>
                <w:b/>
                <w:bCs/>
                <w:sz w:val="16"/>
                <w:szCs w:val="16"/>
                <w:lang w:eastAsia="pt-BR"/>
              </w:rPr>
              <w:t>BFI.H039</w:t>
            </w:r>
          </w:p>
        </w:tc>
      </w:tr>
      <w:tr w:rsidR="003404A2" w:rsidRPr="00B16A18" w14:paraId="0F805D04" w14:textId="77777777" w:rsidTr="0015273C">
        <w:trPr>
          <w:trHeight w:val="255"/>
        </w:trPr>
        <w:tc>
          <w:tcPr>
            <w:tcW w:w="4820" w:type="dxa"/>
            <w:tcBorders>
              <w:top w:val="nil"/>
              <w:left w:val="single" w:sz="8" w:space="0" w:color="auto"/>
              <w:bottom w:val="nil"/>
              <w:right w:val="single" w:sz="8" w:space="0" w:color="auto"/>
            </w:tcBorders>
            <w:shd w:val="clear" w:color="auto" w:fill="auto"/>
            <w:noWrap/>
            <w:vAlign w:val="center"/>
            <w:hideMark/>
          </w:tcPr>
          <w:p w14:paraId="6D8C23CE" w14:textId="77777777" w:rsidR="003404A2" w:rsidRPr="00B16A18" w:rsidRDefault="003404A2" w:rsidP="0015273C">
            <w:pPr>
              <w:spacing w:after="0" w:line="240" w:lineRule="auto"/>
              <w:ind w:left="355"/>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311 – Transferência de Recursos do Fundo Nacional de Assistência Social – FNAS</w:t>
            </w:r>
          </w:p>
        </w:tc>
        <w:tc>
          <w:tcPr>
            <w:tcW w:w="1134" w:type="dxa"/>
            <w:tcBorders>
              <w:top w:val="nil"/>
              <w:left w:val="nil"/>
              <w:bottom w:val="nil"/>
              <w:right w:val="single" w:sz="8" w:space="0" w:color="auto"/>
            </w:tcBorders>
            <w:shd w:val="clear" w:color="auto" w:fill="auto"/>
            <w:vAlign w:val="center"/>
            <w:hideMark/>
          </w:tcPr>
          <w:p w14:paraId="34469823"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BFI.C040</w:t>
            </w:r>
          </w:p>
        </w:tc>
        <w:tc>
          <w:tcPr>
            <w:tcW w:w="1276" w:type="dxa"/>
            <w:tcBorders>
              <w:top w:val="nil"/>
              <w:left w:val="nil"/>
              <w:bottom w:val="nil"/>
              <w:right w:val="single" w:sz="8" w:space="0" w:color="auto"/>
            </w:tcBorders>
            <w:shd w:val="clear" w:color="auto" w:fill="auto"/>
            <w:vAlign w:val="center"/>
            <w:hideMark/>
          </w:tcPr>
          <w:p w14:paraId="13474BC3"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BFI.D040</w:t>
            </w:r>
          </w:p>
        </w:tc>
        <w:tc>
          <w:tcPr>
            <w:tcW w:w="4243" w:type="dxa"/>
            <w:tcBorders>
              <w:top w:val="nil"/>
              <w:left w:val="nil"/>
              <w:bottom w:val="nil"/>
              <w:right w:val="single" w:sz="8" w:space="0" w:color="auto"/>
            </w:tcBorders>
            <w:shd w:val="clear" w:color="auto" w:fill="auto"/>
            <w:noWrap/>
            <w:vAlign w:val="center"/>
            <w:hideMark/>
          </w:tcPr>
          <w:p w14:paraId="31323189" w14:textId="77777777" w:rsidR="003404A2" w:rsidRPr="00B16A18" w:rsidRDefault="003404A2" w:rsidP="0015273C">
            <w:pPr>
              <w:spacing w:after="0" w:line="240" w:lineRule="auto"/>
              <w:ind w:left="355"/>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311 – Transferência de Recursos do Fundo Nacional de Assistência Social – FNAS</w:t>
            </w:r>
          </w:p>
        </w:tc>
        <w:tc>
          <w:tcPr>
            <w:tcW w:w="1285" w:type="dxa"/>
            <w:tcBorders>
              <w:top w:val="nil"/>
              <w:left w:val="nil"/>
              <w:bottom w:val="nil"/>
              <w:right w:val="single" w:sz="8" w:space="0" w:color="auto"/>
            </w:tcBorders>
            <w:shd w:val="clear" w:color="auto" w:fill="auto"/>
            <w:vAlign w:val="center"/>
            <w:hideMark/>
          </w:tcPr>
          <w:p w14:paraId="6DA3295C"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BFI.G040</w:t>
            </w:r>
          </w:p>
        </w:tc>
        <w:tc>
          <w:tcPr>
            <w:tcW w:w="1276" w:type="dxa"/>
            <w:tcBorders>
              <w:top w:val="nil"/>
              <w:left w:val="nil"/>
              <w:bottom w:val="nil"/>
              <w:right w:val="single" w:sz="8" w:space="0" w:color="auto"/>
            </w:tcBorders>
            <w:shd w:val="clear" w:color="auto" w:fill="auto"/>
            <w:vAlign w:val="center"/>
            <w:hideMark/>
          </w:tcPr>
          <w:p w14:paraId="2776B166"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BFI.H040</w:t>
            </w:r>
          </w:p>
        </w:tc>
      </w:tr>
      <w:tr w:rsidR="003404A2" w:rsidRPr="00B16A18" w14:paraId="7E12CDA4" w14:textId="77777777" w:rsidTr="0015273C">
        <w:trPr>
          <w:trHeight w:val="255"/>
        </w:trPr>
        <w:tc>
          <w:tcPr>
            <w:tcW w:w="4820" w:type="dxa"/>
            <w:tcBorders>
              <w:top w:val="nil"/>
              <w:left w:val="single" w:sz="8" w:space="0" w:color="auto"/>
              <w:bottom w:val="nil"/>
              <w:right w:val="single" w:sz="8" w:space="0" w:color="auto"/>
            </w:tcBorders>
            <w:shd w:val="clear" w:color="auto" w:fill="auto"/>
            <w:noWrap/>
            <w:vAlign w:val="center"/>
            <w:hideMark/>
          </w:tcPr>
          <w:p w14:paraId="4A7D1674" w14:textId="77777777" w:rsidR="003404A2" w:rsidRPr="00B16A18" w:rsidRDefault="003404A2" w:rsidP="0015273C">
            <w:pPr>
              <w:spacing w:after="0" w:line="240" w:lineRule="auto"/>
              <w:ind w:firstLineChars="221" w:firstLine="354"/>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312 – Transferências de Convênios – Assistência Social</w:t>
            </w:r>
          </w:p>
        </w:tc>
        <w:tc>
          <w:tcPr>
            <w:tcW w:w="1134" w:type="dxa"/>
            <w:tcBorders>
              <w:top w:val="nil"/>
              <w:left w:val="nil"/>
              <w:bottom w:val="nil"/>
              <w:right w:val="single" w:sz="8" w:space="0" w:color="auto"/>
            </w:tcBorders>
            <w:shd w:val="clear" w:color="auto" w:fill="auto"/>
            <w:vAlign w:val="center"/>
            <w:hideMark/>
          </w:tcPr>
          <w:p w14:paraId="3BD33C3A"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BFI.C041</w:t>
            </w:r>
          </w:p>
        </w:tc>
        <w:tc>
          <w:tcPr>
            <w:tcW w:w="1276" w:type="dxa"/>
            <w:tcBorders>
              <w:top w:val="nil"/>
              <w:left w:val="nil"/>
              <w:bottom w:val="nil"/>
              <w:right w:val="single" w:sz="8" w:space="0" w:color="auto"/>
            </w:tcBorders>
            <w:shd w:val="clear" w:color="auto" w:fill="auto"/>
            <w:vAlign w:val="center"/>
            <w:hideMark/>
          </w:tcPr>
          <w:p w14:paraId="31BA5FFA"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BFI.D041</w:t>
            </w:r>
          </w:p>
        </w:tc>
        <w:tc>
          <w:tcPr>
            <w:tcW w:w="4243" w:type="dxa"/>
            <w:tcBorders>
              <w:top w:val="nil"/>
              <w:left w:val="nil"/>
              <w:bottom w:val="nil"/>
              <w:right w:val="single" w:sz="8" w:space="0" w:color="auto"/>
            </w:tcBorders>
            <w:shd w:val="clear" w:color="auto" w:fill="auto"/>
            <w:noWrap/>
            <w:vAlign w:val="center"/>
            <w:hideMark/>
          </w:tcPr>
          <w:p w14:paraId="5600CAAB" w14:textId="77777777" w:rsidR="003404A2" w:rsidRPr="00B16A18" w:rsidRDefault="003404A2" w:rsidP="0015273C">
            <w:pPr>
              <w:spacing w:after="0" w:line="240" w:lineRule="auto"/>
              <w:ind w:firstLineChars="221" w:firstLine="354"/>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312 – Transferências de Convênios – Assistência Social</w:t>
            </w:r>
          </w:p>
        </w:tc>
        <w:tc>
          <w:tcPr>
            <w:tcW w:w="1285" w:type="dxa"/>
            <w:tcBorders>
              <w:top w:val="nil"/>
              <w:left w:val="nil"/>
              <w:bottom w:val="nil"/>
              <w:right w:val="single" w:sz="8" w:space="0" w:color="auto"/>
            </w:tcBorders>
            <w:shd w:val="clear" w:color="auto" w:fill="auto"/>
            <w:vAlign w:val="center"/>
            <w:hideMark/>
          </w:tcPr>
          <w:p w14:paraId="776BDB95"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BFI.G041</w:t>
            </w:r>
          </w:p>
        </w:tc>
        <w:tc>
          <w:tcPr>
            <w:tcW w:w="1276" w:type="dxa"/>
            <w:tcBorders>
              <w:top w:val="nil"/>
              <w:left w:val="nil"/>
              <w:bottom w:val="nil"/>
              <w:right w:val="single" w:sz="8" w:space="0" w:color="auto"/>
            </w:tcBorders>
            <w:shd w:val="clear" w:color="auto" w:fill="auto"/>
            <w:vAlign w:val="center"/>
            <w:hideMark/>
          </w:tcPr>
          <w:p w14:paraId="7FD3DEAF"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BFI.H041</w:t>
            </w:r>
          </w:p>
        </w:tc>
      </w:tr>
      <w:tr w:rsidR="003404A2" w:rsidRPr="00B16A18" w14:paraId="15B47D67" w14:textId="77777777" w:rsidTr="0015273C">
        <w:trPr>
          <w:trHeight w:val="255"/>
        </w:trPr>
        <w:tc>
          <w:tcPr>
            <w:tcW w:w="4820" w:type="dxa"/>
            <w:tcBorders>
              <w:top w:val="nil"/>
              <w:left w:val="single" w:sz="8" w:space="0" w:color="auto"/>
              <w:bottom w:val="nil"/>
              <w:right w:val="single" w:sz="8" w:space="0" w:color="auto"/>
            </w:tcBorders>
            <w:shd w:val="clear" w:color="auto" w:fill="auto"/>
            <w:noWrap/>
            <w:vAlign w:val="center"/>
            <w:hideMark/>
          </w:tcPr>
          <w:p w14:paraId="32680656" w14:textId="77777777" w:rsidR="003404A2" w:rsidRPr="00B16A18" w:rsidRDefault="003404A2" w:rsidP="0015273C">
            <w:pPr>
              <w:spacing w:after="0" w:line="240" w:lineRule="auto"/>
              <w:ind w:firstLineChars="221" w:firstLine="354"/>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390 – Outros Recursos destinados à Assistência Social – Demais Recursos</w:t>
            </w:r>
          </w:p>
        </w:tc>
        <w:tc>
          <w:tcPr>
            <w:tcW w:w="1134" w:type="dxa"/>
            <w:tcBorders>
              <w:top w:val="nil"/>
              <w:left w:val="nil"/>
              <w:bottom w:val="nil"/>
              <w:right w:val="single" w:sz="8" w:space="0" w:color="auto"/>
            </w:tcBorders>
            <w:shd w:val="clear" w:color="auto" w:fill="auto"/>
            <w:vAlign w:val="center"/>
            <w:hideMark/>
          </w:tcPr>
          <w:p w14:paraId="5BC7F186"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BFI.C042</w:t>
            </w:r>
          </w:p>
        </w:tc>
        <w:tc>
          <w:tcPr>
            <w:tcW w:w="1276" w:type="dxa"/>
            <w:tcBorders>
              <w:top w:val="nil"/>
              <w:left w:val="nil"/>
              <w:bottom w:val="nil"/>
              <w:right w:val="single" w:sz="8" w:space="0" w:color="auto"/>
            </w:tcBorders>
            <w:shd w:val="clear" w:color="auto" w:fill="auto"/>
            <w:vAlign w:val="center"/>
            <w:hideMark/>
          </w:tcPr>
          <w:p w14:paraId="20898B2E"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BFI.D042</w:t>
            </w:r>
          </w:p>
        </w:tc>
        <w:tc>
          <w:tcPr>
            <w:tcW w:w="4243" w:type="dxa"/>
            <w:tcBorders>
              <w:top w:val="nil"/>
              <w:left w:val="nil"/>
              <w:bottom w:val="nil"/>
              <w:right w:val="single" w:sz="8" w:space="0" w:color="auto"/>
            </w:tcBorders>
            <w:shd w:val="clear" w:color="auto" w:fill="auto"/>
            <w:noWrap/>
            <w:vAlign w:val="center"/>
            <w:hideMark/>
          </w:tcPr>
          <w:p w14:paraId="57AD33F5" w14:textId="77777777" w:rsidR="003404A2" w:rsidRPr="00B16A18" w:rsidRDefault="003404A2" w:rsidP="0015273C">
            <w:pPr>
              <w:spacing w:after="0" w:line="240" w:lineRule="auto"/>
              <w:ind w:firstLineChars="221" w:firstLine="354"/>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390 – Outros Recursos destinados à Assistência Social – Demais Recursos</w:t>
            </w:r>
          </w:p>
        </w:tc>
        <w:tc>
          <w:tcPr>
            <w:tcW w:w="1285" w:type="dxa"/>
            <w:tcBorders>
              <w:top w:val="nil"/>
              <w:left w:val="nil"/>
              <w:bottom w:val="nil"/>
              <w:right w:val="single" w:sz="8" w:space="0" w:color="auto"/>
            </w:tcBorders>
            <w:shd w:val="clear" w:color="auto" w:fill="auto"/>
            <w:vAlign w:val="center"/>
            <w:hideMark/>
          </w:tcPr>
          <w:p w14:paraId="2AAF2C73"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BFI.G042</w:t>
            </w:r>
          </w:p>
        </w:tc>
        <w:tc>
          <w:tcPr>
            <w:tcW w:w="1276" w:type="dxa"/>
            <w:tcBorders>
              <w:top w:val="nil"/>
              <w:left w:val="nil"/>
              <w:bottom w:val="nil"/>
              <w:right w:val="single" w:sz="8" w:space="0" w:color="auto"/>
            </w:tcBorders>
            <w:shd w:val="clear" w:color="auto" w:fill="auto"/>
            <w:vAlign w:val="center"/>
            <w:hideMark/>
          </w:tcPr>
          <w:p w14:paraId="1D490794"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BFI.H042</w:t>
            </w:r>
          </w:p>
        </w:tc>
      </w:tr>
      <w:tr w:rsidR="003404A2" w:rsidRPr="00B16A18" w14:paraId="0129DFE3" w14:textId="77777777" w:rsidTr="0015273C">
        <w:trPr>
          <w:trHeight w:val="255"/>
        </w:trPr>
        <w:tc>
          <w:tcPr>
            <w:tcW w:w="4820" w:type="dxa"/>
            <w:tcBorders>
              <w:top w:val="nil"/>
              <w:left w:val="single" w:sz="8" w:space="0" w:color="auto"/>
              <w:bottom w:val="nil"/>
              <w:right w:val="single" w:sz="8" w:space="0" w:color="auto"/>
            </w:tcBorders>
            <w:shd w:val="clear" w:color="auto" w:fill="auto"/>
            <w:noWrap/>
            <w:vAlign w:val="center"/>
            <w:hideMark/>
          </w:tcPr>
          <w:p w14:paraId="483B9A94" w14:textId="77777777" w:rsidR="003404A2" w:rsidRPr="00B16A18" w:rsidRDefault="003404A2" w:rsidP="0015273C">
            <w:pPr>
              <w:spacing w:after="0" w:line="240" w:lineRule="auto"/>
              <w:ind w:firstLineChars="100" w:firstLine="161"/>
              <w:rPr>
                <w:rFonts w:ascii="Arial Narrow" w:eastAsia="Times New Roman" w:hAnsi="Arial Narrow" w:cs="Arial"/>
                <w:b/>
                <w:bCs/>
                <w:sz w:val="16"/>
                <w:szCs w:val="16"/>
                <w:lang w:eastAsia="pt-BR"/>
              </w:rPr>
            </w:pPr>
            <w:r w:rsidRPr="00B16A18">
              <w:rPr>
                <w:rFonts w:ascii="Arial Narrow" w:eastAsia="Times New Roman" w:hAnsi="Arial Narrow" w:cs="Arial"/>
                <w:b/>
                <w:bCs/>
                <w:sz w:val="16"/>
                <w:szCs w:val="16"/>
                <w:lang w:eastAsia="pt-BR"/>
              </w:rPr>
              <w:t xml:space="preserve"> Outras Destinações de Recursos</w:t>
            </w:r>
          </w:p>
        </w:tc>
        <w:tc>
          <w:tcPr>
            <w:tcW w:w="1134" w:type="dxa"/>
            <w:tcBorders>
              <w:top w:val="nil"/>
              <w:left w:val="nil"/>
              <w:bottom w:val="nil"/>
              <w:right w:val="single" w:sz="8" w:space="0" w:color="auto"/>
            </w:tcBorders>
            <w:shd w:val="clear" w:color="auto" w:fill="auto"/>
            <w:vAlign w:val="center"/>
            <w:hideMark/>
          </w:tcPr>
          <w:p w14:paraId="31A60884" w14:textId="77777777" w:rsidR="003404A2" w:rsidRPr="00B16A18" w:rsidRDefault="003404A2" w:rsidP="0015273C">
            <w:pPr>
              <w:spacing w:after="0" w:line="240" w:lineRule="auto"/>
              <w:jc w:val="center"/>
              <w:rPr>
                <w:rFonts w:ascii="Arial Narrow" w:eastAsia="Times New Roman" w:hAnsi="Arial Narrow" w:cs="Arial"/>
                <w:b/>
                <w:bCs/>
                <w:sz w:val="16"/>
                <w:szCs w:val="16"/>
                <w:lang w:eastAsia="pt-BR"/>
              </w:rPr>
            </w:pPr>
            <w:r w:rsidRPr="00B16A18">
              <w:rPr>
                <w:rFonts w:ascii="Arial Narrow" w:eastAsia="Times New Roman" w:hAnsi="Arial Narrow" w:cs="Arial"/>
                <w:b/>
                <w:bCs/>
                <w:sz w:val="16"/>
                <w:szCs w:val="16"/>
                <w:lang w:eastAsia="pt-BR"/>
              </w:rPr>
              <w:t>BFI.C043</w:t>
            </w:r>
          </w:p>
        </w:tc>
        <w:tc>
          <w:tcPr>
            <w:tcW w:w="1276" w:type="dxa"/>
            <w:tcBorders>
              <w:top w:val="nil"/>
              <w:left w:val="nil"/>
              <w:bottom w:val="nil"/>
              <w:right w:val="single" w:sz="8" w:space="0" w:color="auto"/>
            </w:tcBorders>
            <w:shd w:val="clear" w:color="auto" w:fill="auto"/>
            <w:vAlign w:val="center"/>
            <w:hideMark/>
          </w:tcPr>
          <w:p w14:paraId="49A1873F" w14:textId="77777777" w:rsidR="003404A2" w:rsidRPr="00B16A18" w:rsidRDefault="003404A2" w:rsidP="0015273C">
            <w:pPr>
              <w:spacing w:after="0" w:line="240" w:lineRule="auto"/>
              <w:jc w:val="center"/>
              <w:rPr>
                <w:rFonts w:ascii="Arial Narrow" w:eastAsia="Times New Roman" w:hAnsi="Arial Narrow" w:cs="Arial"/>
                <w:b/>
                <w:bCs/>
                <w:sz w:val="16"/>
                <w:szCs w:val="16"/>
                <w:lang w:eastAsia="pt-BR"/>
              </w:rPr>
            </w:pPr>
            <w:r w:rsidRPr="00B16A18">
              <w:rPr>
                <w:rFonts w:ascii="Arial Narrow" w:eastAsia="Times New Roman" w:hAnsi="Arial Narrow" w:cs="Arial"/>
                <w:b/>
                <w:bCs/>
                <w:sz w:val="16"/>
                <w:szCs w:val="16"/>
                <w:lang w:eastAsia="pt-BR"/>
              </w:rPr>
              <w:t>BFI.D043</w:t>
            </w:r>
          </w:p>
        </w:tc>
        <w:tc>
          <w:tcPr>
            <w:tcW w:w="4243" w:type="dxa"/>
            <w:tcBorders>
              <w:top w:val="nil"/>
              <w:left w:val="nil"/>
              <w:bottom w:val="nil"/>
              <w:right w:val="single" w:sz="8" w:space="0" w:color="auto"/>
            </w:tcBorders>
            <w:shd w:val="clear" w:color="auto" w:fill="auto"/>
            <w:noWrap/>
            <w:vAlign w:val="center"/>
            <w:hideMark/>
          </w:tcPr>
          <w:p w14:paraId="54CE46D0" w14:textId="77777777" w:rsidR="003404A2" w:rsidRPr="00B16A18" w:rsidRDefault="003404A2" w:rsidP="0015273C">
            <w:pPr>
              <w:spacing w:after="0" w:line="240" w:lineRule="auto"/>
              <w:ind w:firstLineChars="100" w:firstLine="161"/>
              <w:rPr>
                <w:rFonts w:ascii="Arial Narrow" w:eastAsia="Times New Roman" w:hAnsi="Arial Narrow" w:cs="Arial"/>
                <w:b/>
                <w:bCs/>
                <w:sz w:val="16"/>
                <w:szCs w:val="16"/>
                <w:lang w:eastAsia="pt-BR"/>
              </w:rPr>
            </w:pPr>
            <w:r w:rsidRPr="00B16A18">
              <w:rPr>
                <w:rFonts w:ascii="Arial Narrow" w:eastAsia="Times New Roman" w:hAnsi="Arial Narrow" w:cs="Arial"/>
                <w:b/>
                <w:bCs/>
                <w:sz w:val="16"/>
                <w:szCs w:val="16"/>
                <w:lang w:eastAsia="pt-BR"/>
              </w:rPr>
              <w:t xml:space="preserve"> Outras Destinações de Recursos</w:t>
            </w:r>
          </w:p>
        </w:tc>
        <w:tc>
          <w:tcPr>
            <w:tcW w:w="1285" w:type="dxa"/>
            <w:tcBorders>
              <w:top w:val="nil"/>
              <w:left w:val="nil"/>
              <w:bottom w:val="nil"/>
              <w:right w:val="single" w:sz="8" w:space="0" w:color="auto"/>
            </w:tcBorders>
            <w:shd w:val="clear" w:color="auto" w:fill="auto"/>
            <w:vAlign w:val="center"/>
            <w:hideMark/>
          </w:tcPr>
          <w:p w14:paraId="087F8BFB" w14:textId="77777777" w:rsidR="003404A2" w:rsidRPr="00B16A18" w:rsidRDefault="003404A2" w:rsidP="0015273C">
            <w:pPr>
              <w:spacing w:after="0" w:line="240" w:lineRule="auto"/>
              <w:jc w:val="center"/>
              <w:rPr>
                <w:rFonts w:ascii="Arial Narrow" w:eastAsia="Times New Roman" w:hAnsi="Arial Narrow" w:cs="Arial"/>
                <w:b/>
                <w:bCs/>
                <w:sz w:val="16"/>
                <w:szCs w:val="16"/>
                <w:lang w:eastAsia="pt-BR"/>
              </w:rPr>
            </w:pPr>
            <w:r w:rsidRPr="00B16A18">
              <w:rPr>
                <w:rFonts w:ascii="Arial Narrow" w:eastAsia="Times New Roman" w:hAnsi="Arial Narrow" w:cs="Arial"/>
                <w:b/>
                <w:bCs/>
                <w:sz w:val="16"/>
                <w:szCs w:val="16"/>
                <w:lang w:eastAsia="pt-BR"/>
              </w:rPr>
              <w:t>BFI.G043</w:t>
            </w:r>
          </w:p>
        </w:tc>
        <w:tc>
          <w:tcPr>
            <w:tcW w:w="1276" w:type="dxa"/>
            <w:tcBorders>
              <w:top w:val="nil"/>
              <w:left w:val="nil"/>
              <w:bottom w:val="nil"/>
              <w:right w:val="single" w:sz="8" w:space="0" w:color="auto"/>
            </w:tcBorders>
            <w:shd w:val="clear" w:color="auto" w:fill="auto"/>
            <w:vAlign w:val="center"/>
            <w:hideMark/>
          </w:tcPr>
          <w:p w14:paraId="2029DDAC" w14:textId="77777777" w:rsidR="003404A2" w:rsidRPr="00B16A18" w:rsidRDefault="003404A2" w:rsidP="0015273C">
            <w:pPr>
              <w:spacing w:after="0" w:line="240" w:lineRule="auto"/>
              <w:jc w:val="center"/>
              <w:rPr>
                <w:rFonts w:ascii="Arial Narrow" w:eastAsia="Times New Roman" w:hAnsi="Arial Narrow" w:cs="Arial"/>
                <w:b/>
                <w:bCs/>
                <w:sz w:val="16"/>
                <w:szCs w:val="16"/>
                <w:lang w:eastAsia="pt-BR"/>
              </w:rPr>
            </w:pPr>
            <w:r w:rsidRPr="00B16A18">
              <w:rPr>
                <w:rFonts w:ascii="Arial Narrow" w:eastAsia="Times New Roman" w:hAnsi="Arial Narrow" w:cs="Arial"/>
                <w:b/>
                <w:bCs/>
                <w:sz w:val="16"/>
                <w:szCs w:val="16"/>
                <w:lang w:eastAsia="pt-BR"/>
              </w:rPr>
              <w:t>BFI.H043</w:t>
            </w:r>
          </w:p>
        </w:tc>
      </w:tr>
      <w:tr w:rsidR="003404A2" w:rsidRPr="00B16A18" w14:paraId="5A4A895C" w14:textId="77777777" w:rsidTr="0015273C">
        <w:trPr>
          <w:trHeight w:val="255"/>
        </w:trPr>
        <w:tc>
          <w:tcPr>
            <w:tcW w:w="4820" w:type="dxa"/>
            <w:tcBorders>
              <w:top w:val="nil"/>
              <w:left w:val="single" w:sz="8" w:space="0" w:color="auto"/>
              <w:bottom w:val="nil"/>
              <w:right w:val="single" w:sz="8" w:space="0" w:color="auto"/>
            </w:tcBorders>
            <w:shd w:val="clear" w:color="auto" w:fill="auto"/>
            <w:noWrap/>
            <w:vAlign w:val="center"/>
            <w:hideMark/>
          </w:tcPr>
          <w:p w14:paraId="3E7EB71F" w14:textId="77777777" w:rsidR="003404A2" w:rsidRPr="00B16A18" w:rsidRDefault="003404A2" w:rsidP="0015273C">
            <w:pPr>
              <w:spacing w:after="0" w:line="240" w:lineRule="auto"/>
              <w:ind w:firstLineChars="133" w:firstLine="213"/>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 xml:space="preserve">    510 – Outras Transferências de Convênios ou Contratos de Repasses da União</w:t>
            </w:r>
          </w:p>
        </w:tc>
        <w:tc>
          <w:tcPr>
            <w:tcW w:w="1134" w:type="dxa"/>
            <w:tcBorders>
              <w:top w:val="nil"/>
              <w:left w:val="nil"/>
              <w:bottom w:val="nil"/>
              <w:right w:val="single" w:sz="8" w:space="0" w:color="auto"/>
            </w:tcBorders>
            <w:shd w:val="clear" w:color="auto" w:fill="auto"/>
            <w:vAlign w:val="center"/>
            <w:hideMark/>
          </w:tcPr>
          <w:p w14:paraId="1E43E7D2"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BFI.C044</w:t>
            </w:r>
          </w:p>
        </w:tc>
        <w:tc>
          <w:tcPr>
            <w:tcW w:w="1276" w:type="dxa"/>
            <w:tcBorders>
              <w:top w:val="nil"/>
              <w:left w:val="nil"/>
              <w:bottom w:val="nil"/>
              <w:right w:val="single" w:sz="8" w:space="0" w:color="auto"/>
            </w:tcBorders>
            <w:shd w:val="clear" w:color="auto" w:fill="auto"/>
            <w:vAlign w:val="center"/>
            <w:hideMark/>
          </w:tcPr>
          <w:p w14:paraId="2E213423"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BFI.D044</w:t>
            </w:r>
          </w:p>
        </w:tc>
        <w:tc>
          <w:tcPr>
            <w:tcW w:w="4243" w:type="dxa"/>
            <w:tcBorders>
              <w:top w:val="nil"/>
              <w:left w:val="nil"/>
              <w:bottom w:val="nil"/>
              <w:right w:val="single" w:sz="8" w:space="0" w:color="auto"/>
            </w:tcBorders>
            <w:shd w:val="clear" w:color="auto" w:fill="auto"/>
            <w:noWrap/>
            <w:vAlign w:val="center"/>
            <w:hideMark/>
          </w:tcPr>
          <w:p w14:paraId="4AD9FC2E" w14:textId="77777777" w:rsidR="003404A2" w:rsidRPr="00B16A18" w:rsidRDefault="003404A2" w:rsidP="0015273C">
            <w:pPr>
              <w:spacing w:after="0" w:line="240" w:lineRule="auto"/>
              <w:ind w:firstLineChars="221" w:firstLine="354"/>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510 – Outras Transferências de Convênios ou Contratos de Repasses da União</w:t>
            </w:r>
          </w:p>
        </w:tc>
        <w:tc>
          <w:tcPr>
            <w:tcW w:w="1285" w:type="dxa"/>
            <w:tcBorders>
              <w:top w:val="nil"/>
              <w:left w:val="nil"/>
              <w:bottom w:val="nil"/>
              <w:right w:val="single" w:sz="8" w:space="0" w:color="auto"/>
            </w:tcBorders>
            <w:shd w:val="clear" w:color="auto" w:fill="auto"/>
            <w:vAlign w:val="center"/>
            <w:hideMark/>
          </w:tcPr>
          <w:p w14:paraId="27AC45E8"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BFI.G044</w:t>
            </w:r>
          </w:p>
        </w:tc>
        <w:tc>
          <w:tcPr>
            <w:tcW w:w="1276" w:type="dxa"/>
            <w:tcBorders>
              <w:top w:val="nil"/>
              <w:left w:val="nil"/>
              <w:bottom w:val="nil"/>
              <w:right w:val="single" w:sz="8" w:space="0" w:color="auto"/>
            </w:tcBorders>
            <w:shd w:val="clear" w:color="auto" w:fill="auto"/>
            <w:vAlign w:val="center"/>
            <w:hideMark/>
          </w:tcPr>
          <w:p w14:paraId="17029CEA"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BFI.H044</w:t>
            </w:r>
          </w:p>
        </w:tc>
      </w:tr>
      <w:tr w:rsidR="003404A2" w:rsidRPr="00B16A18" w14:paraId="33B6C56B" w14:textId="77777777" w:rsidTr="0015273C">
        <w:trPr>
          <w:trHeight w:val="255"/>
        </w:trPr>
        <w:tc>
          <w:tcPr>
            <w:tcW w:w="4820" w:type="dxa"/>
            <w:tcBorders>
              <w:top w:val="nil"/>
              <w:left w:val="single" w:sz="8" w:space="0" w:color="auto"/>
              <w:bottom w:val="nil"/>
              <w:right w:val="single" w:sz="8" w:space="0" w:color="auto"/>
            </w:tcBorders>
            <w:shd w:val="clear" w:color="auto" w:fill="auto"/>
            <w:noWrap/>
            <w:vAlign w:val="center"/>
            <w:hideMark/>
          </w:tcPr>
          <w:p w14:paraId="78846BC8" w14:textId="77777777" w:rsidR="003404A2" w:rsidRPr="00B16A18" w:rsidRDefault="003404A2" w:rsidP="0015273C">
            <w:pPr>
              <w:spacing w:after="0" w:line="240" w:lineRule="auto"/>
              <w:ind w:firstLineChars="133" w:firstLine="213"/>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 xml:space="preserve">    520 – Outras Transferências de Convênios ou Contratos de Repasses dos Estados</w:t>
            </w:r>
          </w:p>
        </w:tc>
        <w:tc>
          <w:tcPr>
            <w:tcW w:w="1134" w:type="dxa"/>
            <w:tcBorders>
              <w:top w:val="nil"/>
              <w:left w:val="nil"/>
              <w:bottom w:val="nil"/>
              <w:right w:val="single" w:sz="8" w:space="0" w:color="auto"/>
            </w:tcBorders>
            <w:shd w:val="clear" w:color="auto" w:fill="auto"/>
            <w:vAlign w:val="center"/>
            <w:hideMark/>
          </w:tcPr>
          <w:p w14:paraId="0B27BDF0"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BFI.C045</w:t>
            </w:r>
          </w:p>
        </w:tc>
        <w:tc>
          <w:tcPr>
            <w:tcW w:w="1276" w:type="dxa"/>
            <w:tcBorders>
              <w:top w:val="nil"/>
              <w:left w:val="nil"/>
              <w:bottom w:val="nil"/>
              <w:right w:val="single" w:sz="8" w:space="0" w:color="auto"/>
            </w:tcBorders>
            <w:shd w:val="clear" w:color="auto" w:fill="auto"/>
            <w:vAlign w:val="center"/>
            <w:hideMark/>
          </w:tcPr>
          <w:p w14:paraId="0EAE516B"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BFI.D045</w:t>
            </w:r>
          </w:p>
        </w:tc>
        <w:tc>
          <w:tcPr>
            <w:tcW w:w="4243" w:type="dxa"/>
            <w:tcBorders>
              <w:top w:val="nil"/>
              <w:left w:val="nil"/>
              <w:bottom w:val="nil"/>
              <w:right w:val="single" w:sz="8" w:space="0" w:color="auto"/>
            </w:tcBorders>
            <w:shd w:val="clear" w:color="auto" w:fill="auto"/>
            <w:noWrap/>
            <w:vAlign w:val="center"/>
            <w:hideMark/>
          </w:tcPr>
          <w:p w14:paraId="5076364F" w14:textId="77777777" w:rsidR="003404A2" w:rsidRPr="00B16A18" w:rsidRDefault="003404A2" w:rsidP="0015273C">
            <w:pPr>
              <w:spacing w:after="0" w:line="240" w:lineRule="auto"/>
              <w:ind w:firstLineChars="221" w:firstLine="354"/>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520 – Outras Transferências de Convênios ou Contratos de Repasses dos Estados</w:t>
            </w:r>
          </w:p>
        </w:tc>
        <w:tc>
          <w:tcPr>
            <w:tcW w:w="1285" w:type="dxa"/>
            <w:tcBorders>
              <w:top w:val="nil"/>
              <w:left w:val="nil"/>
              <w:bottom w:val="nil"/>
              <w:right w:val="single" w:sz="8" w:space="0" w:color="auto"/>
            </w:tcBorders>
            <w:shd w:val="clear" w:color="auto" w:fill="auto"/>
            <w:vAlign w:val="center"/>
            <w:hideMark/>
          </w:tcPr>
          <w:p w14:paraId="620E56A1"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BFI.G045</w:t>
            </w:r>
          </w:p>
        </w:tc>
        <w:tc>
          <w:tcPr>
            <w:tcW w:w="1276" w:type="dxa"/>
            <w:tcBorders>
              <w:top w:val="nil"/>
              <w:left w:val="nil"/>
              <w:bottom w:val="nil"/>
              <w:right w:val="single" w:sz="8" w:space="0" w:color="auto"/>
            </w:tcBorders>
            <w:shd w:val="clear" w:color="auto" w:fill="auto"/>
            <w:vAlign w:val="center"/>
            <w:hideMark/>
          </w:tcPr>
          <w:p w14:paraId="5B1E47D6"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BFI.H045</w:t>
            </w:r>
          </w:p>
        </w:tc>
      </w:tr>
      <w:tr w:rsidR="003404A2" w:rsidRPr="00B16A18" w14:paraId="2FE4E167" w14:textId="77777777" w:rsidTr="0015273C">
        <w:trPr>
          <w:trHeight w:val="255"/>
        </w:trPr>
        <w:tc>
          <w:tcPr>
            <w:tcW w:w="4820" w:type="dxa"/>
            <w:tcBorders>
              <w:top w:val="nil"/>
              <w:left w:val="single" w:sz="8" w:space="0" w:color="auto"/>
              <w:bottom w:val="nil"/>
              <w:right w:val="single" w:sz="8" w:space="0" w:color="auto"/>
            </w:tcBorders>
            <w:shd w:val="clear" w:color="auto" w:fill="auto"/>
            <w:noWrap/>
            <w:vAlign w:val="center"/>
          </w:tcPr>
          <w:p w14:paraId="05C06A33" w14:textId="77777777" w:rsidR="003404A2" w:rsidRPr="00B16A18" w:rsidRDefault="003404A2" w:rsidP="0015273C">
            <w:pPr>
              <w:spacing w:after="0" w:line="240" w:lineRule="auto"/>
              <w:ind w:firstLineChars="133" w:firstLine="213"/>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lastRenderedPageBreak/>
              <w:t xml:space="preserve">    550 – Transferência Especial da União</w:t>
            </w:r>
          </w:p>
        </w:tc>
        <w:tc>
          <w:tcPr>
            <w:tcW w:w="1134" w:type="dxa"/>
            <w:tcBorders>
              <w:top w:val="nil"/>
              <w:left w:val="nil"/>
              <w:bottom w:val="nil"/>
              <w:right w:val="single" w:sz="8" w:space="0" w:color="auto"/>
            </w:tcBorders>
            <w:shd w:val="clear" w:color="auto" w:fill="auto"/>
            <w:vAlign w:val="center"/>
          </w:tcPr>
          <w:p w14:paraId="41B6CF37"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BFI.C111</w:t>
            </w:r>
          </w:p>
        </w:tc>
        <w:tc>
          <w:tcPr>
            <w:tcW w:w="1276" w:type="dxa"/>
            <w:tcBorders>
              <w:top w:val="nil"/>
              <w:left w:val="nil"/>
              <w:bottom w:val="nil"/>
              <w:right w:val="single" w:sz="8" w:space="0" w:color="auto"/>
            </w:tcBorders>
            <w:shd w:val="clear" w:color="auto" w:fill="auto"/>
            <w:vAlign w:val="center"/>
          </w:tcPr>
          <w:p w14:paraId="1D383CA9"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BFI.D111</w:t>
            </w:r>
          </w:p>
        </w:tc>
        <w:tc>
          <w:tcPr>
            <w:tcW w:w="4243" w:type="dxa"/>
            <w:tcBorders>
              <w:top w:val="nil"/>
              <w:left w:val="nil"/>
              <w:bottom w:val="nil"/>
              <w:right w:val="single" w:sz="8" w:space="0" w:color="auto"/>
            </w:tcBorders>
            <w:shd w:val="clear" w:color="auto" w:fill="auto"/>
            <w:noWrap/>
            <w:vAlign w:val="center"/>
          </w:tcPr>
          <w:p w14:paraId="117BE468" w14:textId="77777777" w:rsidR="003404A2" w:rsidRPr="00B16A18" w:rsidRDefault="003404A2" w:rsidP="0015273C">
            <w:pPr>
              <w:spacing w:after="0" w:line="240" w:lineRule="auto"/>
              <w:ind w:firstLineChars="221" w:firstLine="354"/>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550 – Transferência Especial da União</w:t>
            </w:r>
          </w:p>
        </w:tc>
        <w:tc>
          <w:tcPr>
            <w:tcW w:w="1285" w:type="dxa"/>
            <w:tcBorders>
              <w:top w:val="nil"/>
              <w:left w:val="nil"/>
              <w:bottom w:val="nil"/>
              <w:right w:val="single" w:sz="8" w:space="0" w:color="auto"/>
            </w:tcBorders>
            <w:shd w:val="clear" w:color="auto" w:fill="auto"/>
            <w:vAlign w:val="center"/>
          </w:tcPr>
          <w:p w14:paraId="58F6286C"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BFI.G111</w:t>
            </w:r>
          </w:p>
        </w:tc>
        <w:tc>
          <w:tcPr>
            <w:tcW w:w="1276" w:type="dxa"/>
            <w:tcBorders>
              <w:top w:val="nil"/>
              <w:left w:val="nil"/>
              <w:bottom w:val="nil"/>
              <w:right w:val="single" w:sz="8" w:space="0" w:color="auto"/>
            </w:tcBorders>
            <w:shd w:val="clear" w:color="auto" w:fill="auto"/>
            <w:vAlign w:val="center"/>
          </w:tcPr>
          <w:p w14:paraId="76798B60"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BFI.H111</w:t>
            </w:r>
          </w:p>
        </w:tc>
      </w:tr>
      <w:tr w:rsidR="003404A2" w:rsidRPr="00B16A18" w14:paraId="0758FFCA" w14:textId="77777777" w:rsidTr="0015273C">
        <w:trPr>
          <w:trHeight w:val="255"/>
        </w:trPr>
        <w:tc>
          <w:tcPr>
            <w:tcW w:w="4820" w:type="dxa"/>
            <w:tcBorders>
              <w:top w:val="nil"/>
              <w:left w:val="single" w:sz="8" w:space="0" w:color="auto"/>
              <w:bottom w:val="nil"/>
              <w:right w:val="single" w:sz="8" w:space="0" w:color="auto"/>
            </w:tcBorders>
            <w:shd w:val="clear" w:color="auto" w:fill="auto"/>
            <w:noWrap/>
            <w:vAlign w:val="center"/>
          </w:tcPr>
          <w:p w14:paraId="7AA80C3F" w14:textId="77777777" w:rsidR="003404A2" w:rsidRPr="00B16A18" w:rsidRDefault="003404A2" w:rsidP="0015273C">
            <w:pPr>
              <w:spacing w:after="0" w:line="240" w:lineRule="auto"/>
              <w:ind w:firstLineChars="169" w:firstLine="270"/>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 xml:space="preserve">  560 – Trasnsferências da União – Inciso I do Artigo 5º da LC 173/2020</w:t>
            </w:r>
          </w:p>
        </w:tc>
        <w:tc>
          <w:tcPr>
            <w:tcW w:w="1134" w:type="dxa"/>
            <w:tcBorders>
              <w:top w:val="nil"/>
              <w:left w:val="nil"/>
              <w:bottom w:val="nil"/>
              <w:right w:val="single" w:sz="8" w:space="0" w:color="auto"/>
            </w:tcBorders>
            <w:shd w:val="clear" w:color="auto" w:fill="auto"/>
            <w:vAlign w:val="center"/>
          </w:tcPr>
          <w:p w14:paraId="1BEAD94E"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BFI.C118</w:t>
            </w:r>
          </w:p>
        </w:tc>
        <w:tc>
          <w:tcPr>
            <w:tcW w:w="1276" w:type="dxa"/>
            <w:tcBorders>
              <w:top w:val="nil"/>
              <w:left w:val="nil"/>
              <w:bottom w:val="nil"/>
              <w:right w:val="single" w:sz="8" w:space="0" w:color="auto"/>
            </w:tcBorders>
            <w:shd w:val="clear" w:color="auto" w:fill="auto"/>
            <w:vAlign w:val="center"/>
          </w:tcPr>
          <w:p w14:paraId="1B9F4819"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BFI.D118</w:t>
            </w:r>
          </w:p>
        </w:tc>
        <w:tc>
          <w:tcPr>
            <w:tcW w:w="4243" w:type="dxa"/>
            <w:tcBorders>
              <w:top w:val="nil"/>
              <w:left w:val="nil"/>
              <w:bottom w:val="nil"/>
              <w:right w:val="single" w:sz="8" w:space="0" w:color="auto"/>
            </w:tcBorders>
            <w:shd w:val="clear" w:color="auto" w:fill="auto"/>
            <w:noWrap/>
            <w:vAlign w:val="center"/>
          </w:tcPr>
          <w:p w14:paraId="489DBADA" w14:textId="77777777" w:rsidR="003404A2" w:rsidRPr="00B16A18" w:rsidRDefault="003404A2" w:rsidP="0015273C">
            <w:pPr>
              <w:spacing w:after="0" w:line="240" w:lineRule="auto"/>
              <w:ind w:firstLineChars="221" w:firstLine="354"/>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560 – Trasnsferências da União – Inciso I do Artigo 5º da LC 173/2020</w:t>
            </w:r>
          </w:p>
        </w:tc>
        <w:tc>
          <w:tcPr>
            <w:tcW w:w="1285" w:type="dxa"/>
            <w:tcBorders>
              <w:top w:val="nil"/>
              <w:left w:val="nil"/>
              <w:bottom w:val="nil"/>
              <w:right w:val="single" w:sz="8" w:space="0" w:color="auto"/>
            </w:tcBorders>
            <w:shd w:val="clear" w:color="auto" w:fill="auto"/>
            <w:vAlign w:val="center"/>
          </w:tcPr>
          <w:p w14:paraId="661619E1"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BFI.G118</w:t>
            </w:r>
          </w:p>
        </w:tc>
        <w:tc>
          <w:tcPr>
            <w:tcW w:w="1276" w:type="dxa"/>
            <w:tcBorders>
              <w:top w:val="nil"/>
              <w:left w:val="nil"/>
              <w:bottom w:val="nil"/>
              <w:right w:val="single" w:sz="8" w:space="0" w:color="auto"/>
            </w:tcBorders>
            <w:shd w:val="clear" w:color="auto" w:fill="auto"/>
            <w:vAlign w:val="center"/>
          </w:tcPr>
          <w:p w14:paraId="78EBC106"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BFI.H118</w:t>
            </w:r>
          </w:p>
        </w:tc>
      </w:tr>
      <w:tr w:rsidR="003404A2" w:rsidRPr="00B16A18" w14:paraId="44AECC06" w14:textId="77777777" w:rsidTr="0015273C">
        <w:trPr>
          <w:trHeight w:val="255"/>
        </w:trPr>
        <w:tc>
          <w:tcPr>
            <w:tcW w:w="4820" w:type="dxa"/>
            <w:tcBorders>
              <w:top w:val="nil"/>
              <w:left w:val="single" w:sz="8" w:space="0" w:color="auto"/>
              <w:bottom w:val="nil"/>
              <w:right w:val="single" w:sz="8" w:space="0" w:color="auto"/>
            </w:tcBorders>
            <w:shd w:val="clear" w:color="auto" w:fill="auto"/>
            <w:noWrap/>
            <w:vAlign w:val="center"/>
            <w:hideMark/>
          </w:tcPr>
          <w:p w14:paraId="7C599E8D" w14:textId="77777777" w:rsidR="003404A2" w:rsidRPr="00B16A18" w:rsidRDefault="003404A2" w:rsidP="0015273C">
            <w:pPr>
              <w:spacing w:after="0" w:line="240" w:lineRule="auto"/>
              <w:ind w:firstLineChars="133" w:firstLine="213"/>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 xml:space="preserve">    610 – Contribuição de Intervenção no Domínio Econômico - CIDE</w:t>
            </w:r>
          </w:p>
        </w:tc>
        <w:tc>
          <w:tcPr>
            <w:tcW w:w="1134" w:type="dxa"/>
            <w:tcBorders>
              <w:top w:val="nil"/>
              <w:left w:val="nil"/>
              <w:bottom w:val="nil"/>
              <w:right w:val="single" w:sz="8" w:space="0" w:color="auto"/>
            </w:tcBorders>
            <w:shd w:val="clear" w:color="auto" w:fill="auto"/>
            <w:vAlign w:val="center"/>
            <w:hideMark/>
          </w:tcPr>
          <w:p w14:paraId="152493F1"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BFI.C046</w:t>
            </w:r>
          </w:p>
        </w:tc>
        <w:tc>
          <w:tcPr>
            <w:tcW w:w="1276" w:type="dxa"/>
            <w:tcBorders>
              <w:top w:val="nil"/>
              <w:left w:val="nil"/>
              <w:bottom w:val="nil"/>
              <w:right w:val="single" w:sz="8" w:space="0" w:color="auto"/>
            </w:tcBorders>
            <w:shd w:val="clear" w:color="auto" w:fill="auto"/>
            <w:vAlign w:val="center"/>
            <w:hideMark/>
          </w:tcPr>
          <w:p w14:paraId="374C3CD3"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BFI.D046</w:t>
            </w:r>
          </w:p>
        </w:tc>
        <w:tc>
          <w:tcPr>
            <w:tcW w:w="4243" w:type="dxa"/>
            <w:tcBorders>
              <w:top w:val="nil"/>
              <w:left w:val="nil"/>
              <w:bottom w:val="nil"/>
              <w:right w:val="single" w:sz="8" w:space="0" w:color="auto"/>
            </w:tcBorders>
            <w:shd w:val="clear" w:color="auto" w:fill="auto"/>
            <w:noWrap/>
            <w:vAlign w:val="center"/>
            <w:hideMark/>
          </w:tcPr>
          <w:p w14:paraId="02C62DF1" w14:textId="77777777" w:rsidR="003404A2" w:rsidRPr="00B16A18" w:rsidRDefault="003404A2" w:rsidP="0015273C">
            <w:pPr>
              <w:spacing w:after="0" w:line="240" w:lineRule="auto"/>
              <w:ind w:firstLineChars="221" w:firstLine="354"/>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610 – Contribuição de Intervenção no Domínio Econômico - CIDE</w:t>
            </w:r>
          </w:p>
        </w:tc>
        <w:tc>
          <w:tcPr>
            <w:tcW w:w="1285" w:type="dxa"/>
            <w:tcBorders>
              <w:top w:val="nil"/>
              <w:left w:val="nil"/>
              <w:bottom w:val="nil"/>
              <w:right w:val="single" w:sz="8" w:space="0" w:color="auto"/>
            </w:tcBorders>
            <w:shd w:val="clear" w:color="auto" w:fill="auto"/>
            <w:vAlign w:val="center"/>
            <w:hideMark/>
          </w:tcPr>
          <w:p w14:paraId="07DD2E60"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BFI.G046</w:t>
            </w:r>
          </w:p>
        </w:tc>
        <w:tc>
          <w:tcPr>
            <w:tcW w:w="1276" w:type="dxa"/>
            <w:tcBorders>
              <w:top w:val="nil"/>
              <w:left w:val="nil"/>
              <w:bottom w:val="nil"/>
              <w:right w:val="single" w:sz="8" w:space="0" w:color="auto"/>
            </w:tcBorders>
            <w:shd w:val="clear" w:color="auto" w:fill="auto"/>
            <w:vAlign w:val="center"/>
            <w:hideMark/>
          </w:tcPr>
          <w:p w14:paraId="4B48D8B7"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BFI.H046</w:t>
            </w:r>
          </w:p>
        </w:tc>
      </w:tr>
      <w:tr w:rsidR="003404A2" w:rsidRPr="00B16A18" w14:paraId="77CAD9A3" w14:textId="77777777" w:rsidTr="0015273C">
        <w:trPr>
          <w:trHeight w:val="255"/>
        </w:trPr>
        <w:tc>
          <w:tcPr>
            <w:tcW w:w="4820" w:type="dxa"/>
            <w:tcBorders>
              <w:top w:val="nil"/>
              <w:left w:val="single" w:sz="8" w:space="0" w:color="auto"/>
              <w:bottom w:val="nil"/>
              <w:right w:val="single" w:sz="8" w:space="0" w:color="auto"/>
            </w:tcBorders>
            <w:shd w:val="clear" w:color="auto" w:fill="auto"/>
            <w:noWrap/>
            <w:vAlign w:val="center"/>
            <w:hideMark/>
          </w:tcPr>
          <w:p w14:paraId="00D5CDC9" w14:textId="77777777" w:rsidR="003404A2" w:rsidRPr="00B16A18" w:rsidRDefault="003404A2" w:rsidP="0015273C">
            <w:pPr>
              <w:spacing w:after="0" w:line="240" w:lineRule="auto"/>
              <w:ind w:firstLineChars="133" w:firstLine="213"/>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 xml:space="preserve">    620 – Contribuição para o Custeio do Serv. Iluminação Pública - COSIP</w:t>
            </w:r>
          </w:p>
        </w:tc>
        <w:tc>
          <w:tcPr>
            <w:tcW w:w="1134" w:type="dxa"/>
            <w:tcBorders>
              <w:top w:val="nil"/>
              <w:left w:val="nil"/>
              <w:bottom w:val="nil"/>
              <w:right w:val="single" w:sz="8" w:space="0" w:color="auto"/>
            </w:tcBorders>
            <w:shd w:val="clear" w:color="auto" w:fill="auto"/>
            <w:vAlign w:val="center"/>
            <w:hideMark/>
          </w:tcPr>
          <w:p w14:paraId="25445610"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BFI.C047</w:t>
            </w:r>
          </w:p>
        </w:tc>
        <w:tc>
          <w:tcPr>
            <w:tcW w:w="1276" w:type="dxa"/>
            <w:tcBorders>
              <w:top w:val="nil"/>
              <w:left w:val="nil"/>
              <w:bottom w:val="nil"/>
              <w:right w:val="single" w:sz="8" w:space="0" w:color="auto"/>
            </w:tcBorders>
            <w:shd w:val="clear" w:color="auto" w:fill="auto"/>
            <w:vAlign w:val="center"/>
            <w:hideMark/>
          </w:tcPr>
          <w:p w14:paraId="49A66693"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BFI.D047</w:t>
            </w:r>
          </w:p>
        </w:tc>
        <w:tc>
          <w:tcPr>
            <w:tcW w:w="4243" w:type="dxa"/>
            <w:tcBorders>
              <w:top w:val="nil"/>
              <w:left w:val="nil"/>
              <w:bottom w:val="nil"/>
              <w:right w:val="single" w:sz="8" w:space="0" w:color="auto"/>
            </w:tcBorders>
            <w:shd w:val="clear" w:color="auto" w:fill="auto"/>
            <w:noWrap/>
            <w:vAlign w:val="center"/>
            <w:hideMark/>
          </w:tcPr>
          <w:p w14:paraId="0FB9F4AD" w14:textId="77777777" w:rsidR="003404A2" w:rsidRPr="00B16A18" w:rsidRDefault="003404A2" w:rsidP="0015273C">
            <w:pPr>
              <w:spacing w:after="0" w:line="240" w:lineRule="auto"/>
              <w:ind w:firstLineChars="221" w:firstLine="354"/>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620 – Contribuição para o Custeio do Serv. Iluminação Pública - COSIP</w:t>
            </w:r>
          </w:p>
        </w:tc>
        <w:tc>
          <w:tcPr>
            <w:tcW w:w="1285" w:type="dxa"/>
            <w:tcBorders>
              <w:top w:val="nil"/>
              <w:left w:val="nil"/>
              <w:bottom w:val="nil"/>
              <w:right w:val="single" w:sz="8" w:space="0" w:color="auto"/>
            </w:tcBorders>
            <w:shd w:val="clear" w:color="auto" w:fill="auto"/>
            <w:vAlign w:val="center"/>
            <w:hideMark/>
          </w:tcPr>
          <w:p w14:paraId="6BEC55C8"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BFI.G047</w:t>
            </w:r>
          </w:p>
        </w:tc>
        <w:tc>
          <w:tcPr>
            <w:tcW w:w="1276" w:type="dxa"/>
            <w:tcBorders>
              <w:top w:val="nil"/>
              <w:left w:val="nil"/>
              <w:bottom w:val="nil"/>
              <w:right w:val="single" w:sz="8" w:space="0" w:color="auto"/>
            </w:tcBorders>
            <w:shd w:val="clear" w:color="auto" w:fill="auto"/>
            <w:vAlign w:val="center"/>
            <w:hideMark/>
          </w:tcPr>
          <w:p w14:paraId="64A3B7B0"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BFI.H047</w:t>
            </w:r>
          </w:p>
        </w:tc>
      </w:tr>
      <w:tr w:rsidR="003404A2" w:rsidRPr="00B16A18" w14:paraId="50C746B6" w14:textId="77777777" w:rsidTr="0015273C">
        <w:trPr>
          <w:trHeight w:val="255"/>
        </w:trPr>
        <w:tc>
          <w:tcPr>
            <w:tcW w:w="4820" w:type="dxa"/>
            <w:tcBorders>
              <w:top w:val="nil"/>
              <w:left w:val="single" w:sz="8" w:space="0" w:color="auto"/>
              <w:bottom w:val="nil"/>
              <w:right w:val="single" w:sz="8" w:space="0" w:color="auto"/>
            </w:tcBorders>
            <w:shd w:val="clear" w:color="auto" w:fill="auto"/>
            <w:noWrap/>
            <w:vAlign w:val="center"/>
            <w:hideMark/>
          </w:tcPr>
          <w:p w14:paraId="3C0C4856" w14:textId="77777777" w:rsidR="003404A2" w:rsidRPr="00B16A18" w:rsidRDefault="003404A2" w:rsidP="0015273C">
            <w:pPr>
              <w:spacing w:after="0" w:line="240" w:lineRule="auto"/>
              <w:ind w:firstLineChars="133" w:firstLine="213"/>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 xml:space="preserve">    630 - Recursos Vinculados ao Trânsito</w:t>
            </w:r>
          </w:p>
        </w:tc>
        <w:tc>
          <w:tcPr>
            <w:tcW w:w="1134" w:type="dxa"/>
            <w:tcBorders>
              <w:top w:val="nil"/>
              <w:left w:val="nil"/>
              <w:bottom w:val="nil"/>
              <w:right w:val="single" w:sz="8" w:space="0" w:color="auto"/>
            </w:tcBorders>
            <w:shd w:val="clear" w:color="auto" w:fill="auto"/>
            <w:vAlign w:val="center"/>
            <w:hideMark/>
          </w:tcPr>
          <w:p w14:paraId="3E3FEA7A"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BFI.C048</w:t>
            </w:r>
          </w:p>
        </w:tc>
        <w:tc>
          <w:tcPr>
            <w:tcW w:w="1276" w:type="dxa"/>
            <w:tcBorders>
              <w:top w:val="nil"/>
              <w:left w:val="nil"/>
              <w:bottom w:val="nil"/>
              <w:right w:val="single" w:sz="8" w:space="0" w:color="auto"/>
            </w:tcBorders>
            <w:shd w:val="clear" w:color="auto" w:fill="auto"/>
            <w:vAlign w:val="center"/>
            <w:hideMark/>
          </w:tcPr>
          <w:p w14:paraId="35131EFE"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BFI.D048</w:t>
            </w:r>
          </w:p>
        </w:tc>
        <w:tc>
          <w:tcPr>
            <w:tcW w:w="4243" w:type="dxa"/>
            <w:tcBorders>
              <w:top w:val="nil"/>
              <w:left w:val="nil"/>
              <w:bottom w:val="nil"/>
              <w:right w:val="single" w:sz="8" w:space="0" w:color="auto"/>
            </w:tcBorders>
            <w:shd w:val="clear" w:color="auto" w:fill="auto"/>
            <w:noWrap/>
            <w:vAlign w:val="center"/>
            <w:hideMark/>
          </w:tcPr>
          <w:p w14:paraId="3998B37E" w14:textId="77777777" w:rsidR="003404A2" w:rsidRPr="00B16A18" w:rsidRDefault="003404A2" w:rsidP="0015273C">
            <w:pPr>
              <w:spacing w:after="0" w:line="240" w:lineRule="auto"/>
              <w:ind w:firstLineChars="221" w:firstLine="354"/>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630 - Recursos Vinculados ao Trânsito</w:t>
            </w:r>
          </w:p>
        </w:tc>
        <w:tc>
          <w:tcPr>
            <w:tcW w:w="1285" w:type="dxa"/>
            <w:tcBorders>
              <w:top w:val="nil"/>
              <w:left w:val="nil"/>
              <w:bottom w:val="nil"/>
              <w:right w:val="single" w:sz="8" w:space="0" w:color="auto"/>
            </w:tcBorders>
            <w:shd w:val="clear" w:color="auto" w:fill="auto"/>
            <w:vAlign w:val="center"/>
            <w:hideMark/>
          </w:tcPr>
          <w:p w14:paraId="322AAB9C"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BFI.G048</w:t>
            </w:r>
          </w:p>
        </w:tc>
        <w:tc>
          <w:tcPr>
            <w:tcW w:w="1276" w:type="dxa"/>
            <w:tcBorders>
              <w:top w:val="nil"/>
              <w:left w:val="nil"/>
              <w:bottom w:val="nil"/>
              <w:right w:val="single" w:sz="8" w:space="0" w:color="auto"/>
            </w:tcBorders>
            <w:shd w:val="clear" w:color="auto" w:fill="auto"/>
            <w:vAlign w:val="center"/>
            <w:hideMark/>
          </w:tcPr>
          <w:p w14:paraId="2A065A69"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BFI.H048</w:t>
            </w:r>
          </w:p>
        </w:tc>
      </w:tr>
      <w:tr w:rsidR="003404A2" w:rsidRPr="00B16A18" w14:paraId="57783D41" w14:textId="77777777" w:rsidTr="0015273C">
        <w:trPr>
          <w:trHeight w:val="255"/>
        </w:trPr>
        <w:tc>
          <w:tcPr>
            <w:tcW w:w="4820" w:type="dxa"/>
            <w:tcBorders>
              <w:top w:val="nil"/>
              <w:left w:val="single" w:sz="8" w:space="0" w:color="auto"/>
              <w:bottom w:val="nil"/>
              <w:right w:val="single" w:sz="8" w:space="0" w:color="auto"/>
            </w:tcBorders>
            <w:shd w:val="clear" w:color="auto" w:fill="auto"/>
            <w:noWrap/>
            <w:vAlign w:val="center"/>
            <w:hideMark/>
          </w:tcPr>
          <w:p w14:paraId="07F0826C" w14:textId="77777777" w:rsidR="003404A2" w:rsidRPr="00B16A18" w:rsidRDefault="003404A2" w:rsidP="0015273C">
            <w:pPr>
              <w:spacing w:after="0" w:line="240" w:lineRule="auto"/>
              <w:ind w:firstLineChars="133" w:firstLine="213"/>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 xml:space="preserve">    530 – Transferência da União referente Royalties do Petróleo</w:t>
            </w:r>
          </w:p>
        </w:tc>
        <w:tc>
          <w:tcPr>
            <w:tcW w:w="1134" w:type="dxa"/>
            <w:tcBorders>
              <w:top w:val="nil"/>
              <w:left w:val="nil"/>
              <w:bottom w:val="nil"/>
              <w:right w:val="single" w:sz="8" w:space="0" w:color="auto"/>
            </w:tcBorders>
            <w:shd w:val="clear" w:color="auto" w:fill="auto"/>
            <w:vAlign w:val="center"/>
            <w:hideMark/>
          </w:tcPr>
          <w:p w14:paraId="30C81598"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BFI.C049</w:t>
            </w:r>
          </w:p>
        </w:tc>
        <w:tc>
          <w:tcPr>
            <w:tcW w:w="1276" w:type="dxa"/>
            <w:tcBorders>
              <w:top w:val="nil"/>
              <w:left w:val="nil"/>
              <w:bottom w:val="nil"/>
              <w:right w:val="single" w:sz="8" w:space="0" w:color="auto"/>
            </w:tcBorders>
            <w:shd w:val="clear" w:color="auto" w:fill="auto"/>
            <w:vAlign w:val="center"/>
            <w:hideMark/>
          </w:tcPr>
          <w:p w14:paraId="06F13014"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BFI.D049</w:t>
            </w:r>
          </w:p>
        </w:tc>
        <w:tc>
          <w:tcPr>
            <w:tcW w:w="4243" w:type="dxa"/>
            <w:tcBorders>
              <w:top w:val="nil"/>
              <w:left w:val="nil"/>
              <w:bottom w:val="nil"/>
              <w:right w:val="single" w:sz="8" w:space="0" w:color="auto"/>
            </w:tcBorders>
            <w:shd w:val="clear" w:color="auto" w:fill="auto"/>
            <w:noWrap/>
            <w:vAlign w:val="center"/>
            <w:hideMark/>
          </w:tcPr>
          <w:p w14:paraId="6DCE2A28" w14:textId="77777777" w:rsidR="003404A2" w:rsidRPr="00B16A18" w:rsidRDefault="003404A2" w:rsidP="0015273C">
            <w:pPr>
              <w:spacing w:after="0" w:line="240" w:lineRule="auto"/>
              <w:ind w:firstLineChars="133" w:firstLine="213"/>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 xml:space="preserve">    530 – Transferência da União referente Royalties do Petróleo</w:t>
            </w:r>
          </w:p>
        </w:tc>
        <w:tc>
          <w:tcPr>
            <w:tcW w:w="1285" w:type="dxa"/>
            <w:tcBorders>
              <w:top w:val="nil"/>
              <w:left w:val="nil"/>
              <w:bottom w:val="nil"/>
              <w:right w:val="single" w:sz="8" w:space="0" w:color="auto"/>
            </w:tcBorders>
            <w:shd w:val="clear" w:color="auto" w:fill="auto"/>
            <w:vAlign w:val="center"/>
            <w:hideMark/>
          </w:tcPr>
          <w:p w14:paraId="193437E5"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BFI.G049</w:t>
            </w:r>
          </w:p>
        </w:tc>
        <w:tc>
          <w:tcPr>
            <w:tcW w:w="1276" w:type="dxa"/>
            <w:tcBorders>
              <w:top w:val="nil"/>
              <w:left w:val="nil"/>
              <w:bottom w:val="nil"/>
              <w:right w:val="single" w:sz="8" w:space="0" w:color="auto"/>
            </w:tcBorders>
            <w:shd w:val="clear" w:color="auto" w:fill="auto"/>
            <w:vAlign w:val="center"/>
            <w:hideMark/>
          </w:tcPr>
          <w:p w14:paraId="03510D4F"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BFI.H049</w:t>
            </w:r>
          </w:p>
        </w:tc>
      </w:tr>
      <w:tr w:rsidR="003404A2" w:rsidRPr="00B16A18" w14:paraId="061ADC58" w14:textId="77777777" w:rsidTr="0015273C">
        <w:trPr>
          <w:trHeight w:val="255"/>
        </w:trPr>
        <w:tc>
          <w:tcPr>
            <w:tcW w:w="4820" w:type="dxa"/>
            <w:tcBorders>
              <w:top w:val="nil"/>
              <w:left w:val="single" w:sz="8" w:space="0" w:color="auto"/>
              <w:bottom w:val="nil"/>
              <w:right w:val="single" w:sz="8" w:space="0" w:color="auto"/>
            </w:tcBorders>
            <w:shd w:val="clear" w:color="auto" w:fill="auto"/>
            <w:noWrap/>
            <w:vAlign w:val="center"/>
            <w:hideMark/>
          </w:tcPr>
          <w:p w14:paraId="3AD2D13D" w14:textId="77777777" w:rsidR="003404A2" w:rsidRPr="00B16A18" w:rsidRDefault="003404A2" w:rsidP="0015273C">
            <w:pPr>
              <w:spacing w:after="0" w:line="240" w:lineRule="auto"/>
              <w:ind w:firstLineChars="133" w:firstLine="213"/>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 xml:space="preserve">    540 – Transferência dos Estados referente Royalties do Petróleo</w:t>
            </w:r>
          </w:p>
        </w:tc>
        <w:tc>
          <w:tcPr>
            <w:tcW w:w="1134" w:type="dxa"/>
            <w:tcBorders>
              <w:top w:val="nil"/>
              <w:left w:val="nil"/>
              <w:bottom w:val="nil"/>
              <w:right w:val="single" w:sz="8" w:space="0" w:color="auto"/>
            </w:tcBorders>
            <w:shd w:val="clear" w:color="auto" w:fill="auto"/>
            <w:vAlign w:val="center"/>
            <w:hideMark/>
          </w:tcPr>
          <w:p w14:paraId="44B1EDD9"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BFI.C050</w:t>
            </w:r>
          </w:p>
        </w:tc>
        <w:tc>
          <w:tcPr>
            <w:tcW w:w="1276" w:type="dxa"/>
            <w:tcBorders>
              <w:top w:val="nil"/>
              <w:left w:val="nil"/>
              <w:bottom w:val="nil"/>
              <w:right w:val="single" w:sz="8" w:space="0" w:color="auto"/>
            </w:tcBorders>
            <w:shd w:val="clear" w:color="auto" w:fill="auto"/>
            <w:vAlign w:val="center"/>
            <w:hideMark/>
          </w:tcPr>
          <w:p w14:paraId="78FE6BC1"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BFI.D050</w:t>
            </w:r>
          </w:p>
        </w:tc>
        <w:tc>
          <w:tcPr>
            <w:tcW w:w="4243" w:type="dxa"/>
            <w:tcBorders>
              <w:top w:val="nil"/>
              <w:left w:val="nil"/>
              <w:bottom w:val="nil"/>
              <w:right w:val="single" w:sz="8" w:space="0" w:color="auto"/>
            </w:tcBorders>
            <w:shd w:val="clear" w:color="auto" w:fill="auto"/>
            <w:noWrap/>
            <w:vAlign w:val="center"/>
            <w:hideMark/>
          </w:tcPr>
          <w:p w14:paraId="5378C7B8" w14:textId="77777777" w:rsidR="003404A2" w:rsidRPr="00B16A18" w:rsidRDefault="003404A2" w:rsidP="0015273C">
            <w:pPr>
              <w:spacing w:after="0" w:line="240" w:lineRule="auto"/>
              <w:ind w:firstLineChars="221" w:firstLine="354"/>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540 – Transferência dos Estados referente Royalties do Petróleo</w:t>
            </w:r>
          </w:p>
        </w:tc>
        <w:tc>
          <w:tcPr>
            <w:tcW w:w="1285" w:type="dxa"/>
            <w:tcBorders>
              <w:top w:val="nil"/>
              <w:left w:val="nil"/>
              <w:bottom w:val="nil"/>
              <w:right w:val="single" w:sz="8" w:space="0" w:color="auto"/>
            </w:tcBorders>
            <w:shd w:val="clear" w:color="auto" w:fill="auto"/>
            <w:vAlign w:val="center"/>
            <w:hideMark/>
          </w:tcPr>
          <w:p w14:paraId="5B92BA61"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BFI.G050</w:t>
            </w:r>
          </w:p>
        </w:tc>
        <w:tc>
          <w:tcPr>
            <w:tcW w:w="1276" w:type="dxa"/>
            <w:tcBorders>
              <w:top w:val="nil"/>
              <w:left w:val="nil"/>
              <w:bottom w:val="nil"/>
              <w:right w:val="single" w:sz="8" w:space="0" w:color="auto"/>
            </w:tcBorders>
            <w:shd w:val="clear" w:color="auto" w:fill="auto"/>
            <w:vAlign w:val="center"/>
            <w:hideMark/>
          </w:tcPr>
          <w:p w14:paraId="27050198"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BFI.H050</w:t>
            </w:r>
          </w:p>
        </w:tc>
      </w:tr>
      <w:tr w:rsidR="003404A2" w:rsidRPr="00B16A18" w14:paraId="535D1A38" w14:textId="77777777" w:rsidTr="0015273C">
        <w:trPr>
          <w:trHeight w:val="255"/>
        </w:trPr>
        <w:tc>
          <w:tcPr>
            <w:tcW w:w="4820" w:type="dxa"/>
            <w:tcBorders>
              <w:top w:val="nil"/>
              <w:left w:val="single" w:sz="8" w:space="0" w:color="auto"/>
              <w:bottom w:val="nil"/>
              <w:right w:val="single" w:sz="8" w:space="0" w:color="auto"/>
            </w:tcBorders>
            <w:shd w:val="clear" w:color="auto" w:fill="auto"/>
            <w:noWrap/>
            <w:vAlign w:val="center"/>
          </w:tcPr>
          <w:p w14:paraId="5FBEBB21" w14:textId="77777777" w:rsidR="003404A2" w:rsidRPr="00B16A18" w:rsidRDefault="003404A2" w:rsidP="0015273C">
            <w:pPr>
              <w:spacing w:after="0" w:line="240" w:lineRule="auto"/>
              <w:ind w:firstLineChars="133" w:firstLine="213"/>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 xml:space="preserve">    910 – Recursos  Próprios dos Consórcios</w:t>
            </w:r>
          </w:p>
        </w:tc>
        <w:tc>
          <w:tcPr>
            <w:tcW w:w="1134" w:type="dxa"/>
            <w:tcBorders>
              <w:top w:val="nil"/>
              <w:left w:val="nil"/>
              <w:bottom w:val="nil"/>
              <w:right w:val="single" w:sz="8" w:space="0" w:color="auto"/>
            </w:tcBorders>
            <w:shd w:val="clear" w:color="auto" w:fill="auto"/>
            <w:vAlign w:val="center"/>
          </w:tcPr>
          <w:p w14:paraId="331DD880"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BFI.C110</w:t>
            </w:r>
          </w:p>
        </w:tc>
        <w:tc>
          <w:tcPr>
            <w:tcW w:w="1276" w:type="dxa"/>
            <w:tcBorders>
              <w:top w:val="nil"/>
              <w:left w:val="nil"/>
              <w:bottom w:val="nil"/>
              <w:right w:val="single" w:sz="8" w:space="0" w:color="auto"/>
            </w:tcBorders>
            <w:shd w:val="clear" w:color="auto" w:fill="auto"/>
            <w:vAlign w:val="center"/>
          </w:tcPr>
          <w:p w14:paraId="1B07757A"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BFI.D110</w:t>
            </w:r>
          </w:p>
        </w:tc>
        <w:tc>
          <w:tcPr>
            <w:tcW w:w="4243" w:type="dxa"/>
            <w:tcBorders>
              <w:top w:val="nil"/>
              <w:left w:val="nil"/>
              <w:bottom w:val="nil"/>
              <w:right w:val="single" w:sz="8" w:space="0" w:color="auto"/>
            </w:tcBorders>
            <w:shd w:val="clear" w:color="auto" w:fill="auto"/>
            <w:noWrap/>
            <w:vAlign w:val="center"/>
          </w:tcPr>
          <w:p w14:paraId="08328E09" w14:textId="77777777" w:rsidR="003404A2" w:rsidRPr="00B16A18" w:rsidRDefault="003404A2" w:rsidP="0015273C">
            <w:pPr>
              <w:spacing w:after="0" w:line="240" w:lineRule="auto"/>
              <w:ind w:firstLineChars="133" w:firstLine="213"/>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 xml:space="preserve">    910 – Recursos  Próprios dos Consórcios</w:t>
            </w:r>
          </w:p>
        </w:tc>
        <w:tc>
          <w:tcPr>
            <w:tcW w:w="1285" w:type="dxa"/>
            <w:tcBorders>
              <w:top w:val="nil"/>
              <w:left w:val="nil"/>
              <w:bottom w:val="nil"/>
              <w:right w:val="single" w:sz="8" w:space="0" w:color="auto"/>
            </w:tcBorders>
            <w:shd w:val="clear" w:color="auto" w:fill="auto"/>
            <w:vAlign w:val="center"/>
          </w:tcPr>
          <w:p w14:paraId="167F920A"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BFI.G110</w:t>
            </w:r>
          </w:p>
        </w:tc>
        <w:tc>
          <w:tcPr>
            <w:tcW w:w="1276" w:type="dxa"/>
            <w:tcBorders>
              <w:top w:val="nil"/>
              <w:left w:val="nil"/>
              <w:bottom w:val="nil"/>
              <w:right w:val="single" w:sz="8" w:space="0" w:color="auto"/>
            </w:tcBorders>
            <w:shd w:val="clear" w:color="auto" w:fill="auto"/>
            <w:vAlign w:val="center"/>
          </w:tcPr>
          <w:p w14:paraId="371247E6"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BFI.H110</w:t>
            </w:r>
          </w:p>
        </w:tc>
      </w:tr>
      <w:tr w:rsidR="003404A2" w:rsidRPr="00B16A18" w14:paraId="279CE9B4" w14:textId="77777777" w:rsidTr="0015273C">
        <w:trPr>
          <w:trHeight w:val="255"/>
        </w:trPr>
        <w:tc>
          <w:tcPr>
            <w:tcW w:w="4820" w:type="dxa"/>
            <w:tcBorders>
              <w:top w:val="nil"/>
              <w:left w:val="single" w:sz="8" w:space="0" w:color="auto"/>
              <w:bottom w:val="nil"/>
              <w:right w:val="single" w:sz="8" w:space="0" w:color="auto"/>
            </w:tcBorders>
            <w:shd w:val="clear" w:color="auto" w:fill="auto"/>
            <w:noWrap/>
            <w:vAlign w:val="center"/>
          </w:tcPr>
          <w:p w14:paraId="35C3C41D" w14:textId="77777777" w:rsidR="003404A2" w:rsidRPr="00B16A18" w:rsidRDefault="003404A2" w:rsidP="0015273C">
            <w:pPr>
              <w:spacing w:after="0" w:line="240" w:lineRule="auto"/>
              <w:ind w:firstLineChars="218" w:firstLine="349"/>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920 – Recursos de Operação de Crédito – Interna e Externa</w:t>
            </w:r>
          </w:p>
        </w:tc>
        <w:tc>
          <w:tcPr>
            <w:tcW w:w="1134" w:type="dxa"/>
            <w:tcBorders>
              <w:top w:val="nil"/>
              <w:left w:val="nil"/>
              <w:bottom w:val="nil"/>
              <w:right w:val="single" w:sz="8" w:space="0" w:color="auto"/>
            </w:tcBorders>
            <w:shd w:val="clear" w:color="auto" w:fill="auto"/>
            <w:vAlign w:val="center"/>
          </w:tcPr>
          <w:p w14:paraId="32476A59" w14:textId="77777777" w:rsidR="003404A2" w:rsidRPr="00B16A18" w:rsidRDefault="003404A2"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BFI.C107</w:t>
            </w:r>
          </w:p>
        </w:tc>
        <w:tc>
          <w:tcPr>
            <w:tcW w:w="1276" w:type="dxa"/>
            <w:tcBorders>
              <w:top w:val="nil"/>
              <w:left w:val="nil"/>
              <w:bottom w:val="nil"/>
              <w:right w:val="single" w:sz="8" w:space="0" w:color="auto"/>
            </w:tcBorders>
            <w:shd w:val="clear" w:color="auto" w:fill="auto"/>
            <w:vAlign w:val="center"/>
          </w:tcPr>
          <w:p w14:paraId="78C79BB0" w14:textId="77777777" w:rsidR="003404A2" w:rsidRPr="00B16A18" w:rsidRDefault="003404A2"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BFI.D107</w:t>
            </w:r>
          </w:p>
        </w:tc>
        <w:tc>
          <w:tcPr>
            <w:tcW w:w="4243" w:type="dxa"/>
            <w:tcBorders>
              <w:top w:val="nil"/>
              <w:left w:val="nil"/>
              <w:bottom w:val="nil"/>
              <w:right w:val="single" w:sz="8" w:space="0" w:color="auto"/>
            </w:tcBorders>
            <w:shd w:val="clear" w:color="auto" w:fill="auto"/>
            <w:noWrap/>
            <w:vAlign w:val="center"/>
          </w:tcPr>
          <w:p w14:paraId="1CACBA75" w14:textId="77777777" w:rsidR="003404A2" w:rsidRPr="00B16A18" w:rsidRDefault="003404A2" w:rsidP="0015273C">
            <w:pPr>
              <w:spacing w:after="0" w:line="240" w:lineRule="auto"/>
              <w:ind w:firstLineChars="218" w:firstLine="349"/>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920 – Recursos de Operação de Crédito – Interna e Externa</w:t>
            </w:r>
          </w:p>
        </w:tc>
        <w:tc>
          <w:tcPr>
            <w:tcW w:w="1285" w:type="dxa"/>
            <w:tcBorders>
              <w:top w:val="nil"/>
              <w:left w:val="nil"/>
              <w:bottom w:val="nil"/>
              <w:right w:val="single" w:sz="8" w:space="0" w:color="auto"/>
            </w:tcBorders>
            <w:shd w:val="clear" w:color="auto" w:fill="auto"/>
            <w:vAlign w:val="center"/>
          </w:tcPr>
          <w:p w14:paraId="2979D660" w14:textId="77777777" w:rsidR="003404A2" w:rsidRPr="00B16A18" w:rsidRDefault="003404A2"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BFI.G107</w:t>
            </w:r>
          </w:p>
        </w:tc>
        <w:tc>
          <w:tcPr>
            <w:tcW w:w="1276" w:type="dxa"/>
            <w:tcBorders>
              <w:top w:val="nil"/>
              <w:left w:val="nil"/>
              <w:bottom w:val="nil"/>
              <w:right w:val="single" w:sz="8" w:space="0" w:color="auto"/>
            </w:tcBorders>
            <w:shd w:val="clear" w:color="auto" w:fill="auto"/>
            <w:vAlign w:val="center"/>
          </w:tcPr>
          <w:p w14:paraId="4221D95F" w14:textId="77777777" w:rsidR="003404A2" w:rsidRPr="00B16A18" w:rsidRDefault="003404A2"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BFI.H107</w:t>
            </w:r>
          </w:p>
        </w:tc>
      </w:tr>
      <w:tr w:rsidR="003404A2" w:rsidRPr="00B16A18" w14:paraId="2A17657B" w14:textId="77777777" w:rsidTr="0015273C">
        <w:trPr>
          <w:trHeight w:val="255"/>
        </w:trPr>
        <w:tc>
          <w:tcPr>
            <w:tcW w:w="4820" w:type="dxa"/>
            <w:tcBorders>
              <w:left w:val="single" w:sz="8" w:space="0" w:color="auto"/>
              <w:bottom w:val="nil"/>
              <w:right w:val="single" w:sz="8" w:space="0" w:color="auto"/>
            </w:tcBorders>
            <w:shd w:val="clear" w:color="auto" w:fill="auto"/>
            <w:noWrap/>
            <w:vAlign w:val="center"/>
            <w:hideMark/>
          </w:tcPr>
          <w:p w14:paraId="49BE7036" w14:textId="77777777" w:rsidR="003404A2" w:rsidRPr="00B16A18" w:rsidRDefault="003404A2" w:rsidP="0015273C">
            <w:pPr>
              <w:spacing w:after="0" w:line="240" w:lineRule="auto"/>
              <w:ind w:firstLineChars="133" w:firstLine="213"/>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 xml:space="preserve">    930 – Recursos de Alienação de Bens/Ativos</w:t>
            </w:r>
          </w:p>
        </w:tc>
        <w:tc>
          <w:tcPr>
            <w:tcW w:w="1134" w:type="dxa"/>
            <w:tcBorders>
              <w:left w:val="nil"/>
              <w:bottom w:val="nil"/>
              <w:right w:val="single" w:sz="8" w:space="0" w:color="auto"/>
            </w:tcBorders>
            <w:shd w:val="clear" w:color="auto" w:fill="auto"/>
            <w:vAlign w:val="center"/>
            <w:hideMark/>
          </w:tcPr>
          <w:p w14:paraId="29E3AEF2"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BFI.C053</w:t>
            </w:r>
          </w:p>
        </w:tc>
        <w:tc>
          <w:tcPr>
            <w:tcW w:w="1276" w:type="dxa"/>
            <w:tcBorders>
              <w:left w:val="nil"/>
              <w:bottom w:val="nil"/>
              <w:right w:val="single" w:sz="8" w:space="0" w:color="auto"/>
            </w:tcBorders>
            <w:shd w:val="clear" w:color="auto" w:fill="auto"/>
            <w:vAlign w:val="center"/>
            <w:hideMark/>
          </w:tcPr>
          <w:p w14:paraId="1EBB3FE6"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BFI.D053</w:t>
            </w:r>
          </w:p>
        </w:tc>
        <w:tc>
          <w:tcPr>
            <w:tcW w:w="4243" w:type="dxa"/>
            <w:tcBorders>
              <w:left w:val="nil"/>
              <w:bottom w:val="nil"/>
              <w:right w:val="single" w:sz="8" w:space="0" w:color="auto"/>
            </w:tcBorders>
            <w:shd w:val="clear" w:color="auto" w:fill="auto"/>
            <w:noWrap/>
            <w:vAlign w:val="center"/>
            <w:hideMark/>
          </w:tcPr>
          <w:p w14:paraId="108F270F" w14:textId="77777777" w:rsidR="003404A2" w:rsidRPr="00B16A18" w:rsidRDefault="003404A2" w:rsidP="0015273C">
            <w:pPr>
              <w:spacing w:after="0" w:line="240" w:lineRule="auto"/>
              <w:ind w:firstLineChars="133" w:firstLine="213"/>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 xml:space="preserve">    930 – Recursos de Alienação de Bens/Ativos</w:t>
            </w:r>
          </w:p>
        </w:tc>
        <w:tc>
          <w:tcPr>
            <w:tcW w:w="1285" w:type="dxa"/>
            <w:tcBorders>
              <w:left w:val="nil"/>
              <w:bottom w:val="nil"/>
              <w:right w:val="single" w:sz="8" w:space="0" w:color="auto"/>
            </w:tcBorders>
            <w:shd w:val="clear" w:color="auto" w:fill="auto"/>
            <w:vAlign w:val="center"/>
            <w:hideMark/>
          </w:tcPr>
          <w:p w14:paraId="5EDA2F62"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BFI.G053</w:t>
            </w:r>
          </w:p>
        </w:tc>
        <w:tc>
          <w:tcPr>
            <w:tcW w:w="1276" w:type="dxa"/>
            <w:tcBorders>
              <w:left w:val="nil"/>
              <w:bottom w:val="nil"/>
              <w:right w:val="single" w:sz="8" w:space="0" w:color="auto"/>
            </w:tcBorders>
            <w:shd w:val="clear" w:color="auto" w:fill="auto"/>
            <w:vAlign w:val="center"/>
            <w:hideMark/>
          </w:tcPr>
          <w:p w14:paraId="7358A0A2"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BFI.H053</w:t>
            </w:r>
          </w:p>
        </w:tc>
      </w:tr>
      <w:tr w:rsidR="003404A2" w:rsidRPr="00B16A18" w14:paraId="1989447B" w14:textId="77777777" w:rsidTr="0015273C">
        <w:trPr>
          <w:trHeight w:val="255"/>
        </w:trPr>
        <w:tc>
          <w:tcPr>
            <w:tcW w:w="4820" w:type="dxa"/>
            <w:tcBorders>
              <w:top w:val="nil"/>
              <w:left w:val="single" w:sz="8" w:space="0" w:color="auto"/>
              <w:bottom w:val="nil"/>
              <w:right w:val="single" w:sz="8" w:space="0" w:color="auto"/>
            </w:tcBorders>
            <w:shd w:val="clear" w:color="auto" w:fill="auto"/>
            <w:noWrap/>
            <w:vAlign w:val="center"/>
          </w:tcPr>
          <w:p w14:paraId="5E9CF89F" w14:textId="77777777" w:rsidR="003404A2" w:rsidRPr="00B16A18" w:rsidRDefault="003404A2" w:rsidP="0015273C">
            <w:pPr>
              <w:spacing w:after="0" w:line="240" w:lineRule="auto"/>
              <w:ind w:firstLineChars="218" w:firstLine="349"/>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940 - Outras Vinculações de Transferências</w:t>
            </w:r>
          </w:p>
        </w:tc>
        <w:tc>
          <w:tcPr>
            <w:tcW w:w="1134" w:type="dxa"/>
            <w:tcBorders>
              <w:top w:val="nil"/>
              <w:left w:val="nil"/>
              <w:bottom w:val="nil"/>
              <w:right w:val="single" w:sz="8" w:space="0" w:color="auto"/>
            </w:tcBorders>
            <w:shd w:val="clear" w:color="auto" w:fill="auto"/>
            <w:vAlign w:val="center"/>
          </w:tcPr>
          <w:p w14:paraId="46FADCE7" w14:textId="77777777" w:rsidR="003404A2" w:rsidRPr="00B16A18" w:rsidRDefault="003404A2"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BFI.C108</w:t>
            </w:r>
          </w:p>
        </w:tc>
        <w:tc>
          <w:tcPr>
            <w:tcW w:w="1276" w:type="dxa"/>
            <w:tcBorders>
              <w:top w:val="nil"/>
              <w:left w:val="nil"/>
              <w:bottom w:val="nil"/>
              <w:right w:val="single" w:sz="8" w:space="0" w:color="auto"/>
            </w:tcBorders>
            <w:shd w:val="clear" w:color="auto" w:fill="auto"/>
            <w:vAlign w:val="center"/>
          </w:tcPr>
          <w:p w14:paraId="20F96E66" w14:textId="77777777" w:rsidR="003404A2" w:rsidRPr="00B16A18" w:rsidRDefault="003404A2"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BFI.D108</w:t>
            </w:r>
          </w:p>
        </w:tc>
        <w:tc>
          <w:tcPr>
            <w:tcW w:w="4243" w:type="dxa"/>
            <w:tcBorders>
              <w:top w:val="nil"/>
              <w:left w:val="nil"/>
              <w:bottom w:val="nil"/>
              <w:right w:val="single" w:sz="8" w:space="0" w:color="auto"/>
            </w:tcBorders>
            <w:shd w:val="clear" w:color="auto" w:fill="auto"/>
            <w:noWrap/>
            <w:vAlign w:val="center"/>
          </w:tcPr>
          <w:p w14:paraId="1C0D08C9" w14:textId="77777777" w:rsidR="003404A2" w:rsidRPr="00B16A18" w:rsidRDefault="003404A2" w:rsidP="0015273C">
            <w:pPr>
              <w:spacing w:after="0" w:line="240" w:lineRule="auto"/>
              <w:ind w:firstLineChars="218" w:firstLine="349"/>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940 - Outras Vinculações de Transferências</w:t>
            </w:r>
          </w:p>
        </w:tc>
        <w:tc>
          <w:tcPr>
            <w:tcW w:w="1285" w:type="dxa"/>
            <w:tcBorders>
              <w:top w:val="nil"/>
              <w:left w:val="nil"/>
              <w:bottom w:val="nil"/>
              <w:right w:val="single" w:sz="8" w:space="0" w:color="auto"/>
            </w:tcBorders>
            <w:shd w:val="clear" w:color="auto" w:fill="auto"/>
            <w:vAlign w:val="center"/>
          </w:tcPr>
          <w:p w14:paraId="3B16D6AB" w14:textId="77777777" w:rsidR="003404A2" w:rsidRPr="00B16A18" w:rsidRDefault="003404A2"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BFI.G108</w:t>
            </w:r>
          </w:p>
        </w:tc>
        <w:tc>
          <w:tcPr>
            <w:tcW w:w="1276" w:type="dxa"/>
            <w:tcBorders>
              <w:top w:val="nil"/>
              <w:left w:val="nil"/>
              <w:bottom w:val="nil"/>
              <w:right w:val="single" w:sz="8" w:space="0" w:color="auto"/>
            </w:tcBorders>
            <w:shd w:val="clear" w:color="auto" w:fill="auto"/>
            <w:vAlign w:val="center"/>
          </w:tcPr>
          <w:p w14:paraId="76363B2E" w14:textId="77777777" w:rsidR="003404A2" w:rsidRPr="00B16A18" w:rsidRDefault="003404A2"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BFI.H108</w:t>
            </w:r>
          </w:p>
        </w:tc>
      </w:tr>
      <w:tr w:rsidR="003404A2" w:rsidRPr="00B16A18" w14:paraId="5690DF98" w14:textId="77777777" w:rsidTr="0015273C">
        <w:trPr>
          <w:trHeight w:val="255"/>
        </w:trPr>
        <w:tc>
          <w:tcPr>
            <w:tcW w:w="4820" w:type="dxa"/>
            <w:tcBorders>
              <w:top w:val="nil"/>
              <w:left w:val="single" w:sz="8" w:space="0" w:color="auto"/>
              <w:bottom w:val="nil"/>
              <w:right w:val="single" w:sz="8" w:space="0" w:color="auto"/>
            </w:tcBorders>
            <w:shd w:val="clear" w:color="auto" w:fill="auto"/>
            <w:noWrap/>
            <w:vAlign w:val="center"/>
          </w:tcPr>
          <w:p w14:paraId="4214E465" w14:textId="77777777" w:rsidR="003404A2" w:rsidRPr="00B16A18" w:rsidRDefault="003404A2" w:rsidP="0015273C">
            <w:pPr>
              <w:spacing w:after="0" w:line="240" w:lineRule="auto"/>
              <w:ind w:firstLineChars="218" w:firstLine="349"/>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950 - Outras Vinculações de Taxas e Contribuições</w:t>
            </w:r>
          </w:p>
        </w:tc>
        <w:tc>
          <w:tcPr>
            <w:tcW w:w="1134" w:type="dxa"/>
            <w:tcBorders>
              <w:top w:val="nil"/>
              <w:left w:val="nil"/>
              <w:bottom w:val="nil"/>
              <w:right w:val="single" w:sz="8" w:space="0" w:color="auto"/>
            </w:tcBorders>
            <w:shd w:val="clear" w:color="auto" w:fill="auto"/>
            <w:vAlign w:val="center"/>
          </w:tcPr>
          <w:p w14:paraId="368ADBFF" w14:textId="77777777" w:rsidR="003404A2" w:rsidRPr="00B16A18" w:rsidRDefault="003404A2"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BFI.C109</w:t>
            </w:r>
          </w:p>
        </w:tc>
        <w:tc>
          <w:tcPr>
            <w:tcW w:w="1276" w:type="dxa"/>
            <w:tcBorders>
              <w:top w:val="nil"/>
              <w:left w:val="nil"/>
              <w:bottom w:val="nil"/>
              <w:right w:val="single" w:sz="8" w:space="0" w:color="auto"/>
            </w:tcBorders>
            <w:shd w:val="clear" w:color="auto" w:fill="auto"/>
            <w:vAlign w:val="center"/>
          </w:tcPr>
          <w:p w14:paraId="08268F4C" w14:textId="77777777" w:rsidR="003404A2" w:rsidRPr="00B16A18" w:rsidRDefault="003404A2"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BFI.D109</w:t>
            </w:r>
          </w:p>
        </w:tc>
        <w:tc>
          <w:tcPr>
            <w:tcW w:w="4243" w:type="dxa"/>
            <w:tcBorders>
              <w:top w:val="nil"/>
              <w:left w:val="nil"/>
              <w:bottom w:val="nil"/>
              <w:right w:val="single" w:sz="8" w:space="0" w:color="auto"/>
            </w:tcBorders>
            <w:shd w:val="clear" w:color="auto" w:fill="auto"/>
            <w:noWrap/>
            <w:vAlign w:val="center"/>
          </w:tcPr>
          <w:p w14:paraId="4A53F8ED" w14:textId="77777777" w:rsidR="003404A2" w:rsidRPr="00B16A18" w:rsidRDefault="003404A2" w:rsidP="0015273C">
            <w:pPr>
              <w:spacing w:after="0" w:line="240" w:lineRule="auto"/>
              <w:ind w:firstLineChars="218" w:firstLine="349"/>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950 - Outras Vinculações de Taxas e Contribuições</w:t>
            </w:r>
          </w:p>
        </w:tc>
        <w:tc>
          <w:tcPr>
            <w:tcW w:w="1285" w:type="dxa"/>
            <w:tcBorders>
              <w:top w:val="nil"/>
              <w:left w:val="nil"/>
              <w:bottom w:val="nil"/>
              <w:right w:val="single" w:sz="8" w:space="0" w:color="auto"/>
            </w:tcBorders>
            <w:shd w:val="clear" w:color="auto" w:fill="auto"/>
            <w:vAlign w:val="center"/>
          </w:tcPr>
          <w:p w14:paraId="12817D48" w14:textId="77777777" w:rsidR="003404A2" w:rsidRPr="00B16A18" w:rsidRDefault="003404A2"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BFI.G109</w:t>
            </w:r>
          </w:p>
        </w:tc>
        <w:tc>
          <w:tcPr>
            <w:tcW w:w="1276" w:type="dxa"/>
            <w:tcBorders>
              <w:top w:val="nil"/>
              <w:left w:val="nil"/>
              <w:bottom w:val="nil"/>
              <w:right w:val="single" w:sz="8" w:space="0" w:color="auto"/>
            </w:tcBorders>
            <w:shd w:val="clear" w:color="auto" w:fill="auto"/>
            <w:vAlign w:val="center"/>
          </w:tcPr>
          <w:p w14:paraId="0CAFFD30" w14:textId="77777777" w:rsidR="003404A2" w:rsidRPr="00B16A18" w:rsidRDefault="003404A2"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BFI.H109</w:t>
            </w:r>
          </w:p>
        </w:tc>
      </w:tr>
      <w:tr w:rsidR="003404A2" w:rsidRPr="00B16A18" w14:paraId="44CFB187" w14:textId="77777777" w:rsidTr="0015273C">
        <w:trPr>
          <w:trHeight w:val="255"/>
        </w:trPr>
        <w:tc>
          <w:tcPr>
            <w:tcW w:w="4820" w:type="dxa"/>
            <w:tcBorders>
              <w:top w:val="nil"/>
              <w:left w:val="single" w:sz="8" w:space="0" w:color="auto"/>
              <w:bottom w:val="nil"/>
              <w:right w:val="single" w:sz="8" w:space="0" w:color="auto"/>
            </w:tcBorders>
            <w:shd w:val="clear" w:color="auto" w:fill="auto"/>
            <w:noWrap/>
            <w:vAlign w:val="center"/>
          </w:tcPr>
          <w:p w14:paraId="0EDEBD29" w14:textId="77777777" w:rsidR="003404A2" w:rsidRPr="00B16A18" w:rsidRDefault="003404A2" w:rsidP="0015273C">
            <w:pPr>
              <w:spacing w:after="0" w:line="240" w:lineRule="auto"/>
              <w:ind w:firstLineChars="218" w:firstLine="349"/>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961 - Recursos de Depósitos Judiciais – Lides das quais o Ente faz parte</w:t>
            </w:r>
          </w:p>
        </w:tc>
        <w:tc>
          <w:tcPr>
            <w:tcW w:w="1134" w:type="dxa"/>
            <w:tcBorders>
              <w:top w:val="nil"/>
              <w:left w:val="nil"/>
              <w:bottom w:val="nil"/>
              <w:right w:val="single" w:sz="8" w:space="0" w:color="auto"/>
            </w:tcBorders>
            <w:shd w:val="clear" w:color="auto" w:fill="auto"/>
            <w:vAlign w:val="center"/>
          </w:tcPr>
          <w:p w14:paraId="120B99CD" w14:textId="77777777" w:rsidR="003404A2" w:rsidRPr="00B16A18" w:rsidRDefault="003404A2"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BFI.C113</w:t>
            </w:r>
          </w:p>
        </w:tc>
        <w:tc>
          <w:tcPr>
            <w:tcW w:w="1276" w:type="dxa"/>
            <w:tcBorders>
              <w:top w:val="nil"/>
              <w:left w:val="nil"/>
              <w:bottom w:val="nil"/>
              <w:right w:val="single" w:sz="8" w:space="0" w:color="auto"/>
            </w:tcBorders>
            <w:shd w:val="clear" w:color="auto" w:fill="auto"/>
            <w:vAlign w:val="center"/>
          </w:tcPr>
          <w:p w14:paraId="62180106" w14:textId="77777777" w:rsidR="003404A2" w:rsidRPr="00B16A18" w:rsidRDefault="003404A2"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BFI.D113</w:t>
            </w:r>
          </w:p>
        </w:tc>
        <w:tc>
          <w:tcPr>
            <w:tcW w:w="4243" w:type="dxa"/>
            <w:tcBorders>
              <w:top w:val="nil"/>
              <w:left w:val="nil"/>
              <w:bottom w:val="nil"/>
              <w:right w:val="single" w:sz="8" w:space="0" w:color="auto"/>
            </w:tcBorders>
            <w:shd w:val="clear" w:color="auto" w:fill="auto"/>
            <w:noWrap/>
            <w:vAlign w:val="center"/>
          </w:tcPr>
          <w:p w14:paraId="4DEC1BD2" w14:textId="77777777" w:rsidR="003404A2" w:rsidRPr="00B16A18" w:rsidRDefault="003404A2" w:rsidP="0015273C">
            <w:pPr>
              <w:spacing w:after="0" w:line="240" w:lineRule="auto"/>
              <w:ind w:firstLineChars="218" w:firstLine="349"/>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961 - Recursos de Depósitos Judiciais – Lides das quais o Ente faz parte</w:t>
            </w:r>
          </w:p>
        </w:tc>
        <w:tc>
          <w:tcPr>
            <w:tcW w:w="1285" w:type="dxa"/>
            <w:tcBorders>
              <w:top w:val="nil"/>
              <w:left w:val="nil"/>
              <w:bottom w:val="nil"/>
              <w:right w:val="single" w:sz="8" w:space="0" w:color="auto"/>
            </w:tcBorders>
            <w:shd w:val="clear" w:color="auto" w:fill="auto"/>
            <w:vAlign w:val="center"/>
          </w:tcPr>
          <w:p w14:paraId="75F41C8E" w14:textId="77777777" w:rsidR="003404A2" w:rsidRPr="00B16A18" w:rsidRDefault="003404A2"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BFI.G113</w:t>
            </w:r>
          </w:p>
        </w:tc>
        <w:tc>
          <w:tcPr>
            <w:tcW w:w="1276" w:type="dxa"/>
            <w:tcBorders>
              <w:top w:val="nil"/>
              <w:left w:val="nil"/>
              <w:bottom w:val="nil"/>
              <w:right w:val="single" w:sz="8" w:space="0" w:color="auto"/>
            </w:tcBorders>
            <w:shd w:val="clear" w:color="auto" w:fill="auto"/>
            <w:vAlign w:val="center"/>
          </w:tcPr>
          <w:p w14:paraId="30F8688D" w14:textId="77777777" w:rsidR="003404A2" w:rsidRPr="00B16A18" w:rsidRDefault="003404A2"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BFI.H113</w:t>
            </w:r>
          </w:p>
        </w:tc>
      </w:tr>
      <w:tr w:rsidR="003404A2" w:rsidRPr="00B16A18" w14:paraId="2031B14C" w14:textId="77777777" w:rsidTr="0015273C">
        <w:trPr>
          <w:trHeight w:val="255"/>
        </w:trPr>
        <w:tc>
          <w:tcPr>
            <w:tcW w:w="4820" w:type="dxa"/>
            <w:tcBorders>
              <w:top w:val="nil"/>
              <w:left w:val="single" w:sz="8" w:space="0" w:color="auto"/>
              <w:bottom w:val="nil"/>
              <w:right w:val="single" w:sz="8" w:space="0" w:color="auto"/>
            </w:tcBorders>
            <w:shd w:val="clear" w:color="auto" w:fill="auto"/>
            <w:noWrap/>
            <w:vAlign w:val="center"/>
          </w:tcPr>
          <w:p w14:paraId="6EDA6CBE" w14:textId="77777777" w:rsidR="003404A2" w:rsidRPr="00B16A18" w:rsidRDefault="003404A2" w:rsidP="0015273C">
            <w:pPr>
              <w:spacing w:after="0" w:line="240" w:lineRule="auto"/>
              <w:ind w:firstLineChars="218" w:firstLine="349"/>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962 - Recursos De Depósitos Judiciais Lides das quais o Ente não faz parte</w:t>
            </w:r>
          </w:p>
        </w:tc>
        <w:tc>
          <w:tcPr>
            <w:tcW w:w="1134" w:type="dxa"/>
            <w:tcBorders>
              <w:top w:val="nil"/>
              <w:left w:val="nil"/>
              <w:bottom w:val="nil"/>
              <w:right w:val="single" w:sz="8" w:space="0" w:color="auto"/>
            </w:tcBorders>
            <w:shd w:val="clear" w:color="auto" w:fill="auto"/>
            <w:vAlign w:val="center"/>
          </w:tcPr>
          <w:p w14:paraId="4C8ABA05" w14:textId="77777777" w:rsidR="003404A2" w:rsidRPr="00B16A18" w:rsidRDefault="003404A2"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BFI.C114</w:t>
            </w:r>
          </w:p>
        </w:tc>
        <w:tc>
          <w:tcPr>
            <w:tcW w:w="1276" w:type="dxa"/>
            <w:tcBorders>
              <w:top w:val="nil"/>
              <w:left w:val="nil"/>
              <w:bottom w:val="nil"/>
              <w:right w:val="single" w:sz="8" w:space="0" w:color="auto"/>
            </w:tcBorders>
            <w:shd w:val="clear" w:color="auto" w:fill="auto"/>
            <w:vAlign w:val="center"/>
          </w:tcPr>
          <w:p w14:paraId="010F3B8B" w14:textId="77777777" w:rsidR="003404A2" w:rsidRPr="00B16A18" w:rsidRDefault="003404A2"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BFI.D114</w:t>
            </w:r>
          </w:p>
        </w:tc>
        <w:tc>
          <w:tcPr>
            <w:tcW w:w="4243" w:type="dxa"/>
            <w:tcBorders>
              <w:top w:val="nil"/>
              <w:left w:val="nil"/>
              <w:bottom w:val="nil"/>
              <w:right w:val="single" w:sz="8" w:space="0" w:color="auto"/>
            </w:tcBorders>
            <w:shd w:val="clear" w:color="auto" w:fill="auto"/>
            <w:noWrap/>
            <w:vAlign w:val="center"/>
          </w:tcPr>
          <w:p w14:paraId="406C0249" w14:textId="77777777" w:rsidR="003404A2" w:rsidRPr="00B16A18" w:rsidRDefault="003404A2" w:rsidP="0015273C">
            <w:pPr>
              <w:spacing w:after="0" w:line="240" w:lineRule="auto"/>
              <w:ind w:firstLineChars="218" w:firstLine="349"/>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962 - Recursos De Depósitos Judiciais Lides das quais o Ente não faz parte</w:t>
            </w:r>
          </w:p>
        </w:tc>
        <w:tc>
          <w:tcPr>
            <w:tcW w:w="1285" w:type="dxa"/>
            <w:tcBorders>
              <w:top w:val="nil"/>
              <w:left w:val="nil"/>
              <w:bottom w:val="nil"/>
              <w:right w:val="single" w:sz="8" w:space="0" w:color="auto"/>
            </w:tcBorders>
            <w:shd w:val="clear" w:color="auto" w:fill="auto"/>
            <w:vAlign w:val="center"/>
          </w:tcPr>
          <w:p w14:paraId="0AA08C9B" w14:textId="77777777" w:rsidR="003404A2" w:rsidRPr="00B16A18" w:rsidRDefault="003404A2"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BFI.G114</w:t>
            </w:r>
          </w:p>
        </w:tc>
        <w:tc>
          <w:tcPr>
            <w:tcW w:w="1276" w:type="dxa"/>
            <w:tcBorders>
              <w:top w:val="nil"/>
              <w:left w:val="nil"/>
              <w:bottom w:val="nil"/>
              <w:right w:val="single" w:sz="8" w:space="0" w:color="auto"/>
            </w:tcBorders>
            <w:shd w:val="clear" w:color="auto" w:fill="auto"/>
            <w:vAlign w:val="center"/>
          </w:tcPr>
          <w:p w14:paraId="4C3ECC55" w14:textId="77777777" w:rsidR="003404A2" w:rsidRPr="00B16A18" w:rsidRDefault="003404A2"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BFI.H114</w:t>
            </w:r>
          </w:p>
        </w:tc>
      </w:tr>
      <w:tr w:rsidR="003404A2" w:rsidRPr="00B16A18" w14:paraId="1600C91D" w14:textId="77777777" w:rsidTr="0015273C">
        <w:trPr>
          <w:trHeight w:val="255"/>
        </w:trPr>
        <w:tc>
          <w:tcPr>
            <w:tcW w:w="4820" w:type="dxa"/>
            <w:tcBorders>
              <w:top w:val="nil"/>
              <w:left w:val="single" w:sz="8" w:space="0" w:color="auto"/>
              <w:bottom w:val="nil"/>
              <w:right w:val="single" w:sz="8" w:space="0" w:color="auto"/>
            </w:tcBorders>
            <w:shd w:val="clear" w:color="auto" w:fill="auto"/>
            <w:noWrap/>
            <w:vAlign w:val="center"/>
            <w:hideMark/>
          </w:tcPr>
          <w:p w14:paraId="2D6B70F9" w14:textId="77777777" w:rsidR="003404A2" w:rsidRPr="00B16A18" w:rsidRDefault="003404A2" w:rsidP="0015273C">
            <w:pPr>
              <w:spacing w:after="0" w:line="240" w:lineRule="auto"/>
              <w:ind w:firstLineChars="133" w:firstLine="213"/>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 xml:space="preserve">    990 - Outros Recursos Vinculados</w:t>
            </w:r>
          </w:p>
        </w:tc>
        <w:tc>
          <w:tcPr>
            <w:tcW w:w="1134" w:type="dxa"/>
            <w:tcBorders>
              <w:top w:val="nil"/>
              <w:left w:val="nil"/>
              <w:bottom w:val="nil"/>
              <w:right w:val="single" w:sz="8" w:space="0" w:color="auto"/>
            </w:tcBorders>
            <w:shd w:val="clear" w:color="auto" w:fill="auto"/>
            <w:vAlign w:val="center"/>
            <w:hideMark/>
          </w:tcPr>
          <w:p w14:paraId="0DD9DB6C"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BFI.C054</w:t>
            </w:r>
          </w:p>
        </w:tc>
        <w:tc>
          <w:tcPr>
            <w:tcW w:w="1276" w:type="dxa"/>
            <w:tcBorders>
              <w:top w:val="nil"/>
              <w:left w:val="nil"/>
              <w:bottom w:val="nil"/>
              <w:right w:val="single" w:sz="8" w:space="0" w:color="auto"/>
            </w:tcBorders>
            <w:shd w:val="clear" w:color="auto" w:fill="auto"/>
            <w:vAlign w:val="center"/>
            <w:hideMark/>
          </w:tcPr>
          <w:p w14:paraId="79C38557"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BFI.D054</w:t>
            </w:r>
          </w:p>
        </w:tc>
        <w:tc>
          <w:tcPr>
            <w:tcW w:w="4243" w:type="dxa"/>
            <w:tcBorders>
              <w:top w:val="nil"/>
              <w:left w:val="nil"/>
              <w:bottom w:val="nil"/>
              <w:right w:val="single" w:sz="8" w:space="0" w:color="auto"/>
            </w:tcBorders>
            <w:shd w:val="clear" w:color="auto" w:fill="auto"/>
            <w:noWrap/>
            <w:vAlign w:val="center"/>
            <w:hideMark/>
          </w:tcPr>
          <w:p w14:paraId="5CDF42E7" w14:textId="77777777" w:rsidR="003404A2" w:rsidRPr="00B16A18" w:rsidRDefault="003404A2" w:rsidP="0015273C">
            <w:pPr>
              <w:spacing w:after="0" w:line="240" w:lineRule="auto"/>
              <w:ind w:firstLineChars="133" w:firstLine="213"/>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 xml:space="preserve">    990 - Outros Recursos Vinculados</w:t>
            </w:r>
          </w:p>
        </w:tc>
        <w:tc>
          <w:tcPr>
            <w:tcW w:w="1285" w:type="dxa"/>
            <w:tcBorders>
              <w:top w:val="nil"/>
              <w:left w:val="nil"/>
              <w:bottom w:val="nil"/>
              <w:right w:val="single" w:sz="8" w:space="0" w:color="auto"/>
            </w:tcBorders>
            <w:shd w:val="clear" w:color="auto" w:fill="auto"/>
            <w:vAlign w:val="center"/>
            <w:hideMark/>
          </w:tcPr>
          <w:p w14:paraId="7C16921F"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BFI.G054</w:t>
            </w:r>
          </w:p>
        </w:tc>
        <w:tc>
          <w:tcPr>
            <w:tcW w:w="1276" w:type="dxa"/>
            <w:tcBorders>
              <w:top w:val="nil"/>
              <w:left w:val="nil"/>
              <w:bottom w:val="nil"/>
              <w:right w:val="single" w:sz="8" w:space="0" w:color="auto"/>
            </w:tcBorders>
            <w:shd w:val="clear" w:color="auto" w:fill="auto"/>
            <w:vAlign w:val="center"/>
            <w:hideMark/>
          </w:tcPr>
          <w:p w14:paraId="08F0B949"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BFI.H054</w:t>
            </w:r>
          </w:p>
        </w:tc>
      </w:tr>
      <w:tr w:rsidR="003404A2" w:rsidRPr="00B16A18" w14:paraId="1A3823B6" w14:textId="77777777" w:rsidTr="0015273C">
        <w:trPr>
          <w:trHeight w:val="255"/>
        </w:trPr>
        <w:tc>
          <w:tcPr>
            <w:tcW w:w="4820" w:type="dxa"/>
            <w:tcBorders>
              <w:top w:val="nil"/>
              <w:left w:val="single" w:sz="8" w:space="0" w:color="auto"/>
              <w:bottom w:val="nil"/>
              <w:right w:val="single" w:sz="8" w:space="0" w:color="auto"/>
            </w:tcBorders>
            <w:shd w:val="clear" w:color="auto" w:fill="auto"/>
            <w:noWrap/>
            <w:vAlign w:val="center"/>
            <w:hideMark/>
          </w:tcPr>
          <w:p w14:paraId="37301BBA" w14:textId="77777777" w:rsidR="003404A2" w:rsidRPr="00B16A18" w:rsidRDefault="003404A2" w:rsidP="0015273C">
            <w:pPr>
              <w:spacing w:after="0" w:line="240" w:lineRule="auto"/>
              <w:ind w:firstLineChars="100" w:firstLine="161"/>
              <w:rPr>
                <w:rFonts w:ascii="Arial Narrow" w:eastAsia="Times New Roman" w:hAnsi="Arial Narrow" w:cs="Arial"/>
                <w:b/>
                <w:bCs/>
                <w:sz w:val="16"/>
                <w:szCs w:val="16"/>
                <w:lang w:eastAsia="pt-BR"/>
              </w:rPr>
            </w:pPr>
            <w:r w:rsidRPr="00B16A18">
              <w:rPr>
                <w:rFonts w:ascii="Arial Narrow" w:eastAsia="Times New Roman" w:hAnsi="Arial Narrow" w:cs="Arial"/>
                <w:b/>
                <w:bCs/>
                <w:sz w:val="16"/>
                <w:szCs w:val="16"/>
                <w:lang w:eastAsia="pt-BR"/>
              </w:rPr>
              <w:t> </w:t>
            </w:r>
          </w:p>
        </w:tc>
        <w:tc>
          <w:tcPr>
            <w:tcW w:w="1134" w:type="dxa"/>
            <w:tcBorders>
              <w:top w:val="nil"/>
              <w:left w:val="nil"/>
              <w:bottom w:val="nil"/>
              <w:right w:val="single" w:sz="8" w:space="0" w:color="auto"/>
            </w:tcBorders>
            <w:shd w:val="clear" w:color="auto" w:fill="auto"/>
            <w:vAlign w:val="center"/>
            <w:hideMark/>
          </w:tcPr>
          <w:p w14:paraId="4BA47F45"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 </w:t>
            </w:r>
          </w:p>
        </w:tc>
        <w:tc>
          <w:tcPr>
            <w:tcW w:w="1276" w:type="dxa"/>
            <w:tcBorders>
              <w:top w:val="nil"/>
              <w:left w:val="nil"/>
              <w:bottom w:val="nil"/>
              <w:right w:val="single" w:sz="8" w:space="0" w:color="auto"/>
            </w:tcBorders>
            <w:shd w:val="clear" w:color="auto" w:fill="auto"/>
            <w:vAlign w:val="center"/>
            <w:hideMark/>
          </w:tcPr>
          <w:p w14:paraId="00B34599"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 </w:t>
            </w:r>
          </w:p>
        </w:tc>
        <w:tc>
          <w:tcPr>
            <w:tcW w:w="4243" w:type="dxa"/>
            <w:tcBorders>
              <w:top w:val="nil"/>
              <w:left w:val="nil"/>
              <w:bottom w:val="nil"/>
              <w:right w:val="single" w:sz="8" w:space="0" w:color="auto"/>
            </w:tcBorders>
            <w:shd w:val="clear" w:color="auto" w:fill="auto"/>
            <w:noWrap/>
            <w:vAlign w:val="center"/>
            <w:hideMark/>
          </w:tcPr>
          <w:p w14:paraId="7881B5A7" w14:textId="77777777" w:rsidR="003404A2" w:rsidRPr="00B16A18" w:rsidRDefault="003404A2" w:rsidP="0015273C">
            <w:pPr>
              <w:spacing w:after="0" w:line="240" w:lineRule="auto"/>
              <w:ind w:firstLineChars="100" w:firstLine="161"/>
              <w:rPr>
                <w:rFonts w:ascii="Arial Narrow" w:eastAsia="Times New Roman" w:hAnsi="Arial Narrow" w:cs="Arial"/>
                <w:b/>
                <w:bCs/>
                <w:sz w:val="16"/>
                <w:szCs w:val="16"/>
                <w:lang w:eastAsia="pt-BR"/>
              </w:rPr>
            </w:pPr>
            <w:r w:rsidRPr="00B16A18">
              <w:rPr>
                <w:rFonts w:ascii="Arial Narrow" w:eastAsia="Times New Roman" w:hAnsi="Arial Narrow" w:cs="Arial"/>
                <w:b/>
                <w:bCs/>
                <w:sz w:val="16"/>
                <w:szCs w:val="16"/>
                <w:lang w:eastAsia="pt-BR"/>
              </w:rPr>
              <w:t> </w:t>
            </w:r>
          </w:p>
        </w:tc>
        <w:tc>
          <w:tcPr>
            <w:tcW w:w="1285" w:type="dxa"/>
            <w:tcBorders>
              <w:top w:val="nil"/>
              <w:left w:val="nil"/>
              <w:bottom w:val="nil"/>
              <w:right w:val="single" w:sz="8" w:space="0" w:color="auto"/>
            </w:tcBorders>
            <w:shd w:val="clear" w:color="auto" w:fill="auto"/>
            <w:vAlign w:val="center"/>
            <w:hideMark/>
          </w:tcPr>
          <w:p w14:paraId="2322B4EB"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 </w:t>
            </w:r>
          </w:p>
        </w:tc>
        <w:tc>
          <w:tcPr>
            <w:tcW w:w="1276" w:type="dxa"/>
            <w:tcBorders>
              <w:top w:val="nil"/>
              <w:left w:val="nil"/>
              <w:bottom w:val="nil"/>
              <w:right w:val="single" w:sz="8" w:space="0" w:color="auto"/>
            </w:tcBorders>
            <w:shd w:val="clear" w:color="auto" w:fill="auto"/>
            <w:vAlign w:val="center"/>
            <w:hideMark/>
          </w:tcPr>
          <w:p w14:paraId="058353F2"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 </w:t>
            </w:r>
          </w:p>
        </w:tc>
      </w:tr>
      <w:tr w:rsidR="003404A2" w:rsidRPr="00B16A18" w14:paraId="59447D26" w14:textId="77777777" w:rsidTr="0015273C">
        <w:trPr>
          <w:trHeight w:val="255"/>
        </w:trPr>
        <w:tc>
          <w:tcPr>
            <w:tcW w:w="4820" w:type="dxa"/>
            <w:tcBorders>
              <w:top w:val="nil"/>
              <w:left w:val="single" w:sz="8" w:space="0" w:color="auto"/>
              <w:bottom w:val="nil"/>
              <w:right w:val="single" w:sz="8" w:space="0" w:color="auto"/>
            </w:tcBorders>
            <w:shd w:val="clear" w:color="auto" w:fill="auto"/>
            <w:noWrap/>
            <w:vAlign w:val="center"/>
            <w:hideMark/>
          </w:tcPr>
          <w:p w14:paraId="76BECAD1" w14:textId="77777777" w:rsidR="003404A2" w:rsidRPr="00B16A18" w:rsidRDefault="003404A2" w:rsidP="0015273C">
            <w:pPr>
              <w:spacing w:after="0" w:line="240" w:lineRule="auto"/>
              <w:rPr>
                <w:rFonts w:ascii="Arial Narrow" w:eastAsia="Times New Roman" w:hAnsi="Arial Narrow" w:cs="Arial"/>
                <w:b/>
                <w:bCs/>
                <w:sz w:val="16"/>
                <w:szCs w:val="16"/>
                <w:lang w:eastAsia="pt-BR"/>
              </w:rPr>
            </w:pPr>
            <w:r w:rsidRPr="00B16A18">
              <w:rPr>
                <w:rFonts w:ascii="Arial Narrow" w:eastAsia="Times New Roman" w:hAnsi="Arial Narrow" w:cs="Arial"/>
                <w:b/>
                <w:bCs/>
                <w:sz w:val="16"/>
                <w:szCs w:val="16"/>
                <w:lang w:eastAsia="pt-BR"/>
              </w:rPr>
              <w:t>TRANSFERÊNCIAS FINANCEIRAS RECEBIDAS (II)</w:t>
            </w:r>
          </w:p>
        </w:tc>
        <w:tc>
          <w:tcPr>
            <w:tcW w:w="1134" w:type="dxa"/>
            <w:tcBorders>
              <w:top w:val="nil"/>
              <w:left w:val="nil"/>
              <w:bottom w:val="nil"/>
              <w:right w:val="single" w:sz="8" w:space="0" w:color="auto"/>
            </w:tcBorders>
            <w:shd w:val="clear" w:color="auto" w:fill="auto"/>
            <w:vAlign w:val="center"/>
            <w:hideMark/>
          </w:tcPr>
          <w:p w14:paraId="10779BA1" w14:textId="77777777" w:rsidR="003404A2" w:rsidRPr="00B16A18" w:rsidRDefault="003404A2" w:rsidP="0015273C">
            <w:pPr>
              <w:spacing w:after="0" w:line="240" w:lineRule="auto"/>
              <w:jc w:val="center"/>
              <w:rPr>
                <w:rFonts w:ascii="Arial Narrow" w:eastAsia="Times New Roman" w:hAnsi="Arial Narrow" w:cs="Arial"/>
                <w:b/>
                <w:bCs/>
                <w:sz w:val="16"/>
                <w:szCs w:val="16"/>
                <w:lang w:eastAsia="pt-BR"/>
              </w:rPr>
            </w:pPr>
            <w:r w:rsidRPr="00B16A18">
              <w:rPr>
                <w:rFonts w:ascii="Arial Narrow" w:eastAsia="Times New Roman" w:hAnsi="Arial Narrow" w:cs="Arial"/>
                <w:b/>
                <w:bCs/>
                <w:sz w:val="16"/>
                <w:szCs w:val="16"/>
                <w:lang w:eastAsia="pt-BR"/>
              </w:rPr>
              <w:t>BFI.C056</w:t>
            </w:r>
          </w:p>
        </w:tc>
        <w:tc>
          <w:tcPr>
            <w:tcW w:w="1276" w:type="dxa"/>
            <w:tcBorders>
              <w:top w:val="nil"/>
              <w:left w:val="nil"/>
              <w:bottom w:val="nil"/>
              <w:right w:val="single" w:sz="8" w:space="0" w:color="auto"/>
            </w:tcBorders>
            <w:shd w:val="clear" w:color="auto" w:fill="auto"/>
            <w:vAlign w:val="center"/>
            <w:hideMark/>
          </w:tcPr>
          <w:p w14:paraId="579A31F3" w14:textId="77777777" w:rsidR="003404A2" w:rsidRPr="00B16A18" w:rsidRDefault="003404A2" w:rsidP="0015273C">
            <w:pPr>
              <w:spacing w:after="0" w:line="240" w:lineRule="auto"/>
              <w:jc w:val="center"/>
              <w:rPr>
                <w:rFonts w:ascii="Arial Narrow" w:eastAsia="Times New Roman" w:hAnsi="Arial Narrow" w:cs="Arial"/>
                <w:b/>
                <w:bCs/>
                <w:sz w:val="16"/>
                <w:szCs w:val="16"/>
                <w:lang w:eastAsia="pt-BR"/>
              </w:rPr>
            </w:pPr>
            <w:r w:rsidRPr="00B16A18">
              <w:rPr>
                <w:rFonts w:ascii="Arial Narrow" w:eastAsia="Times New Roman" w:hAnsi="Arial Narrow" w:cs="Arial"/>
                <w:b/>
                <w:bCs/>
                <w:sz w:val="16"/>
                <w:szCs w:val="16"/>
                <w:lang w:eastAsia="pt-BR"/>
              </w:rPr>
              <w:t>BFI.D056</w:t>
            </w:r>
          </w:p>
        </w:tc>
        <w:tc>
          <w:tcPr>
            <w:tcW w:w="4243" w:type="dxa"/>
            <w:tcBorders>
              <w:top w:val="nil"/>
              <w:left w:val="nil"/>
              <w:bottom w:val="nil"/>
              <w:right w:val="single" w:sz="8" w:space="0" w:color="auto"/>
            </w:tcBorders>
            <w:shd w:val="clear" w:color="auto" w:fill="auto"/>
            <w:noWrap/>
            <w:vAlign w:val="center"/>
            <w:hideMark/>
          </w:tcPr>
          <w:p w14:paraId="517B1589" w14:textId="77777777" w:rsidR="003404A2" w:rsidRPr="00B16A18" w:rsidRDefault="003404A2" w:rsidP="0015273C">
            <w:pPr>
              <w:spacing w:after="0" w:line="240" w:lineRule="auto"/>
              <w:rPr>
                <w:rFonts w:ascii="Arial Narrow" w:eastAsia="Times New Roman" w:hAnsi="Arial Narrow" w:cs="Arial"/>
                <w:b/>
                <w:bCs/>
                <w:sz w:val="16"/>
                <w:szCs w:val="16"/>
                <w:lang w:eastAsia="pt-BR"/>
              </w:rPr>
            </w:pPr>
            <w:r w:rsidRPr="00B16A18">
              <w:rPr>
                <w:rFonts w:ascii="Arial Narrow" w:eastAsia="Times New Roman" w:hAnsi="Arial Narrow" w:cs="Arial"/>
                <w:b/>
                <w:bCs/>
                <w:sz w:val="16"/>
                <w:szCs w:val="16"/>
                <w:lang w:eastAsia="pt-BR"/>
              </w:rPr>
              <w:t>TRANSFERÊNCIAS FINANCEIRAS CONCEDIDAS (VII)</w:t>
            </w:r>
          </w:p>
        </w:tc>
        <w:tc>
          <w:tcPr>
            <w:tcW w:w="1285" w:type="dxa"/>
            <w:tcBorders>
              <w:top w:val="nil"/>
              <w:left w:val="nil"/>
              <w:bottom w:val="nil"/>
              <w:right w:val="single" w:sz="8" w:space="0" w:color="auto"/>
            </w:tcBorders>
            <w:shd w:val="clear" w:color="auto" w:fill="auto"/>
            <w:vAlign w:val="center"/>
            <w:hideMark/>
          </w:tcPr>
          <w:p w14:paraId="79F615F0" w14:textId="77777777" w:rsidR="003404A2" w:rsidRPr="00B16A18" w:rsidRDefault="003404A2" w:rsidP="0015273C">
            <w:pPr>
              <w:spacing w:after="0" w:line="240" w:lineRule="auto"/>
              <w:jc w:val="center"/>
              <w:rPr>
                <w:rFonts w:ascii="Arial Narrow" w:eastAsia="Times New Roman" w:hAnsi="Arial Narrow" w:cs="Arial"/>
                <w:b/>
                <w:bCs/>
                <w:sz w:val="16"/>
                <w:szCs w:val="16"/>
                <w:lang w:eastAsia="pt-BR"/>
              </w:rPr>
            </w:pPr>
            <w:r w:rsidRPr="00B16A18">
              <w:rPr>
                <w:rFonts w:ascii="Arial Narrow" w:eastAsia="Times New Roman" w:hAnsi="Arial Narrow" w:cs="Arial"/>
                <w:b/>
                <w:bCs/>
                <w:sz w:val="16"/>
                <w:szCs w:val="16"/>
                <w:lang w:eastAsia="pt-BR"/>
              </w:rPr>
              <w:t>BFI.G056</w:t>
            </w:r>
          </w:p>
        </w:tc>
        <w:tc>
          <w:tcPr>
            <w:tcW w:w="1276" w:type="dxa"/>
            <w:tcBorders>
              <w:top w:val="nil"/>
              <w:left w:val="nil"/>
              <w:bottom w:val="nil"/>
              <w:right w:val="single" w:sz="8" w:space="0" w:color="auto"/>
            </w:tcBorders>
            <w:shd w:val="clear" w:color="auto" w:fill="auto"/>
            <w:vAlign w:val="center"/>
            <w:hideMark/>
          </w:tcPr>
          <w:p w14:paraId="70B48AFA" w14:textId="77777777" w:rsidR="003404A2" w:rsidRPr="00B16A18" w:rsidRDefault="003404A2" w:rsidP="0015273C">
            <w:pPr>
              <w:spacing w:after="0" w:line="240" w:lineRule="auto"/>
              <w:jc w:val="center"/>
              <w:rPr>
                <w:rFonts w:ascii="Arial Narrow" w:eastAsia="Times New Roman" w:hAnsi="Arial Narrow" w:cs="Arial"/>
                <w:b/>
                <w:bCs/>
                <w:sz w:val="16"/>
                <w:szCs w:val="16"/>
                <w:lang w:eastAsia="pt-BR"/>
              </w:rPr>
            </w:pPr>
            <w:r w:rsidRPr="00B16A18">
              <w:rPr>
                <w:rFonts w:ascii="Arial Narrow" w:eastAsia="Times New Roman" w:hAnsi="Arial Narrow" w:cs="Arial"/>
                <w:b/>
                <w:bCs/>
                <w:sz w:val="16"/>
                <w:szCs w:val="16"/>
                <w:lang w:eastAsia="pt-BR"/>
              </w:rPr>
              <w:t>BFI.H056</w:t>
            </w:r>
          </w:p>
        </w:tc>
      </w:tr>
      <w:tr w:rsidR="003404A2" w:rsidRPr="00B16A18" w14:paraId="39170DA9" w14:textId="77777777" w:rsidTr="0015273C">
        <w:trPr>
          <w:trHeight w:val="255"/>
        </w:trPr>
        <w:tc>
          <w:tcPr>
            <w:tcW w:w="4820" w:type="dxa"/>
            <w:tcBorders>
              <w:top w:val="nil"/>
              <w:left w:val="single" w:sz="8" w:space="0" w:color="auto"/>
              <w:bottom w:val="nil"/>
              <w:right w:val="single" w:sz="8" w:space="0" w:color="auto"/>
            </w:tcBorders>
            <w:shd w:val="clear" w:color="auto" w:fill="auto"/>
            <w:noWrap/>
            <w:vAlign w:val="center"/>
            <w:hideMark/>
          </w:tcPr>
          <w:p w14:paraId="3381FD09" w14:textId="77777777" w:rsidR="003404A2" w:rsidRPr="00B16A18" w:rsidRDefault="003404A2" w:rsidP="0015273C">
            <w:pPr>
              <w:spacing w:after="0" w:line="240" w:lineRule="auto"/>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 xml:space="preserve">   Transferências Recebidas para a Execução Orçamentária</w:t>
            </w:r>
          </w:p>
        </w:tc>
        <w:tc>
          <w:tcPr>
            <w:tcW w:w="1134" w:type="dxa"/>
            <w:tcBorders>
              <w:top w:val="nil"/>
              <w:left w:val="nil"/>
              <w:bottom w:val="nil"/>
              <w:right w:val="single" w:sz="8" w:space="0" w:color="auto"/>
            </w:tcBorders>
            <w:shd w:val="clear" w:color="auto" w:fill="auto"/>
            <w:vAlign w:val="center"/>
            <w:hideMark/>
          </w:tcPr>
          <w:p w14:paraId="1CD52122"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BFI.C057</w:t>
            </w:r>
          </w:p>
        </w:tc>
        <w:tc>
          <w:tcPr>
            <w:tcW w:w="1276" w:type="dxa"/>
            <w:tcBorders>
              <w:top w:val="nil"/>
              <w:left w:val="nil"/>
              <w:bottom w:val="nil"/>
              <w:right w:val="single" w:sz="8" w:space="0" w:color="auto"/>
            </w:tcBorders>
            <w:shd w:val="clear" w:color="auto" w:fill="auto"/>
            <w:vAlign w:val="center"/>
            <w:hideMark/>
          </w:tcPr>
          <w:p w14:paraId="3764C72E"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BFI.D057</w:t>
            </w:r>
          </w:p>
        </w:tc>
        <w:tc>
          <w:tcPr>
            <w:tcW w:w="4243" w:type="dxa"/>
            <w:tcBorders>
              <w:top w:val="nil"/>
              <w:left w:val="nil"/>
              <w:bottom w:val="nil"/>
              <w:right w:val="single" w:sz="8" w:space="0" w:color="auto"/>
            </w:tcBorders>
            <w:shd w:val="clear" w:color="auto" w:fill="auto"/>
            <w:noWrap/>
            <w:vAlign w:val="center"/>
            <w:hideMark/>
          </w:tcPr>
          <w:p w14:paraId="303A0189" w14:textId="77777777" w:rsidR="003404A2" w:rsidRPr="00B16A18" w:rsidRDefault="003404A2" w:rsidP="0015273C">
            <w:pPr>
              <w:spacing w:after="0" w:line="240" w:lineRule="auto"/>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 xml:space="preserve">   Transferências Concedidas para a Execução Orçamentária</w:t>
            </w:r>
          </w:p>
        </w:tc>
        <w:tc>
          <w:tcPr>
            <w:tcW w:w="1285" w:type="dxa"/>
            <w:tcBorders>
              <w:top w:val="nil"/>
              <w:left w:val="nil"/>
              <w:bottom w:val="nil"/>
              <w:right w:val="single" w:sz="8" w:space="0" w:color="auto"/>
            </w:tcBorders>
            <w:shd w:val="clear" w:color="auto" w:fill="auto"/>
            <w:vAlign w:val="center"/>
            <w:hideMark/>
          </w:tcPr>
          <w:p w14:paraId="3C59A5BC"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BFI.G057</w:t>
            </w:r>
          </w:p>
        </w:tc>
        <w:tc>
          <w:tcPr>
            <w:tcW w:w="1276" w:type="dxa"/>
            <w:tcBorders>
              <w:top w:val="nil"/>
              <w:left w:val="nil"/>
              <w:bottom w:val="nil"/>
              <w:right w:val="single" w:sz="8" w:space="0" w:color="auto"/>
            </w:tcBorders>
            <w:shd w:val="clear" w:color="auto" w:fill="auto"/>
            <w:vAlign w:val="center"/>
            <w:hideMark/>
          </w:tcPr>
          <w:p w14:paraId="5637E347"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BFI.H057</w:t>
            </w:r>
          </w:p>
        </w:tc>
      </w:tr>
      <w:tr w:rsidR="003404A2" w:rsidRPr="00B16A18" w14:paraId="4FC3D916" w14:textId="77777777" w:rsidTr="0015273C">
        <w:trPr>
          <w:trHeight w:val="255"/>
        </w:trPr>
        <w:tc>
          <w:tcPr>
            <w:tcW w:w="4820" w:type="dxa"/>
            <w:tcBorders>
              <w:top w:val="nil"/>
              <w:left w:val="single" w:sz="8" w:space="0" w:color="auto"/>
              <w:bottom w:val="nil"/>
              <w:right w:val="single" w:sz="8" w:space="0" w:color="auto"/>
            </w:tcBorders>
            <w:shd w:val="clear" w:color="auto" w:fill="auto"/>
            <w:noWrap/>
            <w:vAlign w:val="center"/>
            <w:hideMark/>
          </w:tcPr>
          <w:p w14:paraId="4473D154" w14:textId="77777777" w:rsidR="003404A2" w:rsidRPr="00B16A18" w:rsidRDefault="003404A2" w:rsidP="0015273C">
            <w:pPr>
              <w:spacing w:after="0" w:line="240" w:lineRule="auto"/>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 xml:space="preserve">   Transferências Recebidas Independentes de Execução Orçamentária</w:t>
            </w:r>
          </w:p>
        </w:tc>
        <w:tc>
          <w:tcPr>
            <w:tcW w:w="1134" w:type="dxa"/>
            <w:tcBorders>
              <w:top w:val="nil"/>
              <w:left w:val="nil"/>
              <w:bottom w:val="nil"/>
              <w:right w:val="single" w:sz="8" w:space="0" w:color="auto"/>
            </w:tcBorders>
            <w:shd w:val="clear" w:color="auto" w:fill="auto"/>
            <w:vAlign w:val="center"/>
            <w:hideMark/>
          </w:tcPr>
          <w:p w14:paraId="2A32618D"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BFI.C058</w:t>
            </w:r>
          </w:p>
        </w:tc>
        <w:tc>
          <w:tcPr>
            <w:tcW w:w="1276" w:type="dxa"/>
            <w:tcBorders>
              <w:top w:val="nil"/>
              <w:left w:val="nil"/>
              <w:bottom w:val="nil"/>
              <w:right w:val="single" w:sz="8" w:space="0" w:color="auto"/>
            </w:tcBorders>
            <w:shd w:val="clear" w:color="auto" w:fill="auto"/>
            <w:vAlign w:val="center"/>
            <w:hideMark/>
          </w:tcPr>
          <w:p w14:paraId="69D5367C"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BFI.D058</w:t>
            </w:r>
          </w:p>
        </w:tc>
        <w:tc>
          <w:tcPr>
            <w:tcW w:w="4243" w:type="dxa"/>
            <w:tcBorders>
              <w:top w:val="nil"/>
              <w:left w:val="nil"/>
              <w:bottom w:val="nil"/>
              <w:right w:val="single" w:sz="8" w:space="0" w:color="auto"/>
            </w:tcBorders>
            <w:shd w:val="clear" w:color="auto" w:fill="auto"/>
            <w:noWrap/>
            <w:vAlign w:val="center"/>
            <w:hideMark/>
          </w:tcPr>
          <w:p w14:paraId="33983234" w14:textId="77777777" w:rsidR="003404A2" w:rsidRPr="00B16A18" w:rsidRDefault="003404A2" w:rsidP="0015273C">
            <w:pPr>
              <w:spacing w:after="0" w:line="240" w:lineRule="auto"/>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 xml:space="preserve">   Transferências Concedidas Independentes de Execução Orçamentária</w:t>
            </w:r>
          </w:p>
        </w:tc>
        <w:tc>
          <w:tcPr>
            <w:tcW w:w="1285" w:type="dxa"/>
            <w:tcBorders>
              <w:top w:val="nil"/>
              <w:left w:val="nil"/>
              <w:bottom w:val="nil"/>
              <w:right w:val="single" w:sz="8" w:space="0" w:color="auto"/>
            </w:tcBorders>
            <w:shd w:val="clear" w:color="auto" w:fill="auto"/>
            <w:vAlign w:val="center"/>
            <w:hideMark/>
          </w:tcPr>
          <w:p w14:paraId="70CAB1BB"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BFI.G058</w:t>
            </w:r>
          </w:p>
        </w:tc>
        <w:tc>
          <w:tcPr>
            <w:tcW w:w="1276" w:type="dxa"/>
            <w:tcBorders>
              <w:top w:val="nil"/>
              <w:left w:val="nil"/>
              <w:bottom w:val="nil"/>
              <w:right w:val="single" w:sz="8" w:space="0" w:color="auto"/>
            </w:tcBorders>
            <w:shd w:val="clear" w:color="auto" w:fill="auto"/>
            <w:vAlign w:val="center"/>
            <w:hideMark/>
          </w:tcPr>
          <w:p w14:paraId="2B113FA8"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BFI.H058</w:t>
            </w:r>
          </w:p>
        </w:tc>
      </w:tr>
      <w:tr w:rsidR="003404A2" w:rsidRPr="00B16A18" w14:paraId="52F6DEEC" w14:textId="77777777" w:rsidTr="0015273C">
        <w:trPr>
          <w:trHeight w:val="255"/>
        </w:trPr>
        <w:tc>
          <w:tcPr>
            <w:tcW w:w="4820" w:type="dxa"/>
            <w:tcBorders>
              <w:top w:val="nil"/>
              <w:left w:val="single" w:sz="8" w:space="0" w:color="auto"/>
              <w:bottom w:val="nil"/>
              <w:right w:val="single" w:sz="8" w:space="0" w:color="auto"/>
            </w:tcBorders>
            <w:shd w:val="clear" w:color="auto" w:fill="auto"/>
            <w:noWrap/>
            <w:vAlign w:val="center"/>
            <w:hideMark/>
          </w:tcPr>
          <w:p w14:paraId="276BFEA8" w14:textId="77777777" w:rsidR="003404A2" w:rsidRPr="00B16A18" w:rsidRDefault="003404A2" w:rsidP="0015273C">
            <w:pPr>
              <w:spacing w:after="0" w:line="240" w:lineRule="auto"/>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 xml:space="preserve">   Transferências Recebidas para Aportes de Recursos para o RPPS</w:t>
            </w:r>
          </w:p>
        </w:tc>
        <w:tc>
          <w:tcPr>
            <w:tcW w:w="1134" w:type="dxa"/>
            <w:tcBorders>
              <w:top w:val="nil"/>
              <w:left w:val="nil"/>
              <w:bottom w:val="nil"/>
              <w:right w:val="single" w:sz="8" w:space="0" w:color="auto"/>
            </w:tcBorders>
            <w:shd w:val="clear" w:color="auto" w:fill="auto"/>
            <w:vAlign w:val="center"/>
            <w:hideMark/>
          </w:tcPr>
          <w:p w14:paraId="75152874"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BFI.C059</w:t>
            </w:r>
          </w:p>
        </w:tc>
        <w:tc>
          <w:tcPr>
            <w:tcW w:w="1276" w:type="dxa"/>
            <w:tcBorders>
              <w:top w:val="nil"/>
              <w:left w:val="nil"/>
              <w:bottom w:val="nil"/>
              <w:right w:val="single" w:sz="8" w:space="0" w:color="auto"/>
            </w:tcBorders>
            <w:shd w:val="clear" w:color="auto" w:fill="auto"/>
            <w:vAlign w:val="center"/>
            <w:hideMark/>
          </w:tcPr>
          <w:p w14:paraId="47BDD789"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BFI.D059</w:t>
            </w:r>
          </w:p>
        </w:tc>
        <w:tc>
          <w:tcPr>
            <w:tcW w:w="4243" w:type="dxa"/>
            <w:tcBorders>
              <w:top w:val="nil"/>
              <w:left w:val="nil"/>
              <w:bottom w:val="nil"/>
              <w:right w:val="single" w:sz="8" w:space="0" w:color="auto"/>
            </w:tcBorders>
            <w:shd w:val="clear" w:color="auto" w:fill="auto"/>
            <w:noWrap/>
            <w:vAlign w:val="center"/>
            <w:hideMark/>
          </w:tcPr>
          <w:p w14:paraId="5902841A" w14:textId="77777777" w:rsidR="003404A2" w:rsidRPr="00B16A18" w:rsidRDefault="003404A2" w:rsidP="0015273C">
            <w:pPr>
              <w:spacing w:after="0" w:line="240" w:lineRule="auto"/>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 xml:space="preserve">   Transferências Concedidas para Aportes de Recursos para o RPPS</w:t>
            </w:r>
          </w:p>
        </w:tc>
        <w:tc>
          <w:tcPr>
            <w:tcW w:w="1285" w:type="dxa"/>
            <w:tcBorders>
              <w:top w:val="nil"/>
              <w:left w:val="nil"/>
              <w:bottom w:val="nil"/>
              <w:right w:val="single" w:sz="8" w:space="0" w:color="auto"/>
            </w:tcBorders>
            <w:shd w:val="clear" w:color="auto" w:fill="auto"/>
            <w:vAlign w:val="center"/>
            <w:hideMark/>
          </w:tcPr>
          <w:p w14:paraId="5092B169"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BFI.G059</w:t>
            </w:r>
          </w:p>
        </w:tc>
        <w:tc>
          <w:tcPr>
            <w:tcW w:w="1276" w:type="dxa"/>
            <w:tcBorders>
              <w:top w:val="nil"/>
              <w:left w:val="nil"/>
              <w:bottom w:val="nil"/>
              <w:right w:val="single" w:sz="8" w:space="0" w:color="auto"/>
            </w:tcBorders>
            <w:shd w:val="clear" w:color="auto" w:fill="auto"/>
            <w:vAlign w:val="center"/>
            <w:hideMark/>
          </w:tcPr>
          <w:p w14:paraId="26ACEC6D"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BFI.H059</w:t>
            </w:r>
          </w:p>
        </w:tc>
      </w:tr>
      <w:tr w:rsidR="003404A2" w:rsidRPr="00B16A18" w14:paraId="0B9F3F70" w14:textId="77777777" w:rsidTr="0015273C">
        <w:trPr>
          <w:trHeight w:val="255"/>
        </w:trPr>
        <w:tc>
          <w:tcPr>
            <w:tcW w:w="4820" w:type="dxa"/>
            <w:tcBorders>
              <w:top w:val="nil"/>
              <w:left w:val="single" w:sz="8" w:space="0" w:color="auto"/>
              <w:bottom w:val="nil"/>
              <w:right w:val="single" w:sz="8" w:space="0" w:color="auto"/>
            </w:tcBorders>
            <w:shd w:val="clear" w:color="auto" w:fill="auto"/>
            <w:noWrap/>
            <w:vAlign w:val="center"/>
            <w:hideMark/>
          </w:tcPr>
          <w:p w14:paraId="63D2EEF4" w14:textId="77777777" w:rsidR="003404A2" w:rsidRPr="00B16A18" w:rsidRDefault="003404A2" w:rsidP="0015273C">
            <w:pPr>
              <w:spacing w:after="0" w:line="240" w:lineRule="auto"/>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 </w:t>
            </w:r>
          </w:p>
        </w:tc>
        <w:tc>
          <w:tcPr>
            <w:tcW w:w="1134" w:type="dxa"/>
            <w:tcBorders>
              <w:top w:val="nil"/>
              <w:left w:val="nil"/>
              <w:bottom w:val="nil"/>
              <w:right w:val="single" w:sz="8" w:space="0" w:color="auto"/>
            </w:tcBorders>
            <w:shd w:val="clear" w:color="auto" w:fill="auto"/>
            <w:vAlign w:val="center"/>
            <w:hideMark/>
          </w:tcPr>
          <w:p w14:paraId="2E260412"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 </w:t>
            </w:r>
          </w:p>
        </w:tc>
        <w:tc>
          <w:tcPr>
            <w:tcW w:w="1276" w:type="dxa"/>
            <w:tcBorders>
              <w:top w:val="nil"/>
              <w:left w:val="nil"/>
              <w:bottom w:val="nil"/>
              <w:right w:val="single" w:sz="8" w:space="0" w:color="auto"/>
            </w:tcBorders>
            <w:shd w:val="clear" w:color="auto" w:fill="auto"/>
            <w:vAlign w:val="center"/>
            <w:hideMark/>
          </w:tcPr>
          <w:p w14:paraId="037702EE"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 </w:t>
            </w:r>
          </w:p>
        </w:tc>
        <w:tc>
          <w:tcPr>
            <w:tcW w:w="4243" w:type="dxa"/>
            <w:tcBorders>
              <w:top w:val="nil"/>
              <w:left w:val="nil"/>
              <w:bottom w:val="nil"/>
              <w:right w:val="single" w:sz="8" w:space="0" w:color="auto"/>
            </w:tcBorders>
            <w:shd w:val="clear" w:color="auto" w:fill="auto"/>
            <w:hideMark/>
          </w:tcPr>
          <w:p w14:paraId="07B81684" w14:textId="77777777" w:rsidR="003404A2" w:rsidRPr="00B16A18" w:rsidRDefault="003404A2" w:rsidP="0015273C">
            <w:pPr>
              <w:spacing w:after="0" w:line="240" w:lineRule="auto"/>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 </w:t>
            </w:r>
          </w:p>
        </w:tc>
        <w:tc>
          <w:tcPr>
            <w:tcW w:w="1285" w:type="dxa"/>
            <w:tcBorders>
              <w:top w:val="nil"/>
              <w:left w:val="nil"/>
              <w:bottom w:val="nil"/>
              <w:right w:val="single" w:sz="8" w:space="0" w:color="auto"/>
            </w:tcBorders>
            <w:shd w:val="clear" w:color="auto" w:fill="auto"/>
            <w:vAlign w:val="center"/>
            <w:hideMark/>
          </w:tcPr>
          <w:p w14:paraId="3C448651"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 </w:t>
            </w:r>
          </w:p>
        </w:tc>
        <w:tc>
          <w:tcPr>
            <w:tcW w:w="1276" w:type="dxa"/>
            <w:tcBorders>
              <w:top w:val="nil"/>
              <w:left w:val="nil"/>
              <w:bottom w:val="nil"/>
              <w:right w:val="single" w:sz="8" w:space="0" w:color="auto"/>
            </w:tcBorders>
            <w:shd w:val="clear" w:color="auto" w:fill="auto"/>
            <w:vAlign w:val="center"/>
            <w:hideMark/>
          </w:tcPr>
          <w:p w14:paraId="2BE1AC64"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 </w:t>
            </w:r>
          </w:p>
        </w:tc>
      </w:tr>
      <w:tr w:rsidR="003404A2" w:rsidRPr="00B16A18" w14:paraId="2A2F2887" w14:textId="77777777" w:rsidTr="0015273C">
        <w:trPr>
          <w:trHeight w:val="255"/>
        </w:trPr>
        <w:tc>
          <w:tcPr>
            <w:tcW w:w="4820" w:type="dxa"/>
            <w:tcBorders>
              <w:top w:val="nil"/>
              <w:left w:val="single" w:sz="8" w:space="0" w:color="auto"/>
              <w:bottom w:val="nil"/>
              <w:right w:val="single" w:sz="8" w:space="0" w:color="auto"/>
            </w:tcBorders>
            <w:shd w:val="clear" w:color="auto" w:fill="auto"/>
            <w:noWrap/>
            <w:vAlign w:val="center"/>
            <w:hideMark/>
          </w:tcPr>
          <w:p w14:paraId="77516D9F" w14:textId="77777777" w:rsidR="003404A2" w:rsidRPr="00B16A18" w:rsidRDefault="003404A2" w:rsidP="0015273C">
            <w:pPr>
              <w:spacing w:after="0" w:line="240" w:lineRule="auto"/>
              <w:rPr>
                <w:rFonts w:ascii="Arial Narrow" w:eastAsia="Times New Roman" w:hAnsi="Arial Narrow" w:cs="Arial"/>
                <w:b/>
                <w:bCs/>
                <w:sz w:val="16"/>
                <w:szCs w:val="16"/>
                <w:lang w:eastAsia="pt-BR"/>
              </w:rPr>
            </w:pPr>
            <w:r w:rsidRPr="00B16A18">
              <w:rPr>
                <w:rFonts w:ascii="Arial Narrow" w:eastAsia="Times New Roman" w:hAnsi="Arial Narrow" w:cs="Arial"/>
                <w:b/>
                <w:bCs/>
                <w:sz w:val="16"/>
                <w:szCs w:val="16"/>
                <w:lang w:eastAsia="pt-BR"/>
              </w:rPr>
              <w:t>RECEBIMENTOS EXTRAORÇAMENTÁRIOS (III)</w:t>
            </w:r>
          </w:p>
        </w:tc>
        <w:tc>
          <w:tcPr>
            <w:tcW w:w="1134" w:type="dxa"/>
            <w:tcBorders>
              <w:top w:val="nil"/>
              <w:left w:val="nil"/>
              <w:bottom w:val="nil"/>
              <w:right w:val="single" w:sz="8" w:space="0" w:color="auto"/>
            </w:tcBorders>
            <w:shd w:val="clear" w:color="auto" w:fill="auto"/>
            <w:vAlign w:val="center"/>
            <w:hideMark/>
          </w:tcPr>
          <w:p w14:paraId="09E766F9" w14:textId="77777777" w:rsidR="003404A2" w:rsidRPr="00B16A18" w:rsidRDefault="003404A2" w:rsidP="0015273C">
            <w:pPr>
              <w:spacing w:after="0" w:line="240" w:lineRule="auto"/>
              <w:jc w:val="center"/>
              <w:rPr>
                <w:rFonts w:ascii="Arial Narrow" w:eastAsia="Times New Roman" w:hAnsi="Arial Narrow" w:cs="Arial"/>
                <w:b/>
                <w:bCs/>
                <w:sz w:val="16"/>
                <w:szCs w:val="16"/>
                <w:lang w:eastAsia="pt-BR"/>
              </w:rPr>
            </w:pPr>
            <w:r w:rsidRPr="00B16A18">
              <w:rPr>
                <w:rFonts w:ascii="Arial Narrow" w:eastAsia="Times New Roman" w:hAnsi="Arial Narrow" w:cs="Arial"/>
                <w:b/>
                <w:bCs/>
                <w:sz w:val="16"/>
                <w:szCs w:val="16"/>
                <w:lang w:eastAsia="pt-BR"/>
              </w:rPr>
              <w:t>BFI.C061</w:t>
            </w:r>
          </w:p>
        </w:tc>
        <w:tc>
          <w:tcPr>
            <w:tcW w:w="1276" w:type="dxa"/>
            <w:tcBorders>
              <w:top w:val="nil"/>
              <w:left w:val="nil"/>
              <w:bottom w:val="nil"/>
              <w:right w:val="single" w:sz="8" w:space="0" w:color="auto"/>
            </w:tcBorders>
            <w:shd w:val="clear" w:color="auto" w:fill="auto"/>
            <w:vAlign w:val="center"/>
            <w:hideMark/>
          </w:tcPr>
          <w:p w14:paraId="0D661BD4" w14:textId="77777777" w:rsidR="003404A2" w:rsidRPr="00B16A18" w:rsidRDefault="003404A2" w:rsidP="0015273C">
            <w:pPr>
              <w:spacing w:after="0" w:line="240" w:lineRule="auto"/>
              <w:jc w:val="center"/>
              <w:rPr>
                <w:rFonts w:ascii="Arial Narrow" w:eastAsia="Times New Roman" w:hAnsi="Arial Narrow" w:cs="Arial"/>
                <w:b/>
                <w:bCs/>
                <w:sz w:val="16"/>
                <w:szCs w:val="16"/>
                <w:lang w:eastAsia="pt-BR"/>
              </w:rPr>
            </w:pPr>
            <w:r w:rsidRPr="00B16A18">
              <w:rPr>
                <w:rFonts w:ascii="Arial Narrow" w:eastAsia="Times New Roman" w:hAnsi="Arial Narrow" w:cs="Arial"/>
                <w:b/>
                <w:bCs/>
                <w:sz w:val="16"/>
                <w:szCs w:val="16"/>
                <w:lang w:eastAsia="pt-BR"/>
              </w:rPr>
              <w:t>BFI.D061</w:t>
            </w:r>
          </w:p>
        </w:tc>
        <w:tc>
          <w:tcPr>
            <w:tcW w:w="4243" w:type="dxa"/>
            <w:tcBorders>
              <w:top w:val="nil"/>
              <w:left w:val="nil"/>
              <w:bottom w:val="nil"/>
              <w:right w:val="single" w:sz="8" w:space="0" w:color="auto"/>
            </w:tcBorders>
            <w:shd w:val="clear" w:color="auto" w:fill="auto"/>
            <w:noWrap/>
            <w:vAlign w:val="center"/>
            <w:hideMark/>
          </w:tcPr>
          <w:p w14:paraId="21463E6D" w14:textId="77777777" w:rsidR="003404A2" w:rsidRPr="00B16A18" w:rsidRDefault="003404A2" w:rsidP="0015273C">
            <w:pPr>
              <w:spacing w:after="0" w:line="240" w:lineRule="auto"/>
              <w:rPr>
                <w:rFonts w:ascii="Arial Narrow" w:eastAsia="Times New Roman" w:hAnsi="Arial Narrow" w:cs="Arial"/>
                <w:b/>
                <w:bCs/>
                <w:sz w:val="16"/>
                <w:szCs w:val="16"/>
                <w:lang w:eastAsia="pt-BR"/>
              </w:rPr>
            </w:pPr>
            <w:r w:rsidRPr="00B16A18">
              <w:rPr>
                <w:rFonts w:ascii="Arial Narrow" w:eastAsia="Times New Roman" w:hAnsi="Arial Narrow" w:cs="Arial"/>
                <w:b/>
                <w:bCs/>
                <w:sz w:val="16"/>
                <w:szCs w:val="16"/>
                <w:lang w:eastAsia="pt-BR"/>
              </w:rPr>
              <w:t>PAGAMENTOS  EXTRAORÇAMENTÁRIOS  (VIII)</w:t>
            </w:r>
          </w:p>
        </w:tc>
        <w:tc>
          <w:tcPr>
            <w:tcW w:w="1285" w:type="dxa"/>
            <w:tcBorders>
              <w:top w:val="nil"/>
              <w:left w:val="nil"/>
              <w:bottom w:val="nil"/>
              <w:right w:val="single" w:sz="8" w:space="0" w:color="auto"/>
            </w:tcBorders>
            <w:shd w:val="clear" w:color="auto" w:fill="auto"/>
            <w:vAlign w:val="center"/>
            <w:hideMark/>
          </w:tcPr>
          <w:p w14:paraId="1ED5AE19" w14:textId="77777777" w:rsidR="003404A2" w:rsidRPr="00B16A18" w:rsidRDefault="003404A2" w:rsidP="0015273C">
            <w:pPr>
              <w:spacing w:after="0" w:line="240" w:lineRule="auto"/>
              <w:jc w:val="center"/>
              <w:rPr>
                <w:rFonts w:ascii="Arial Narrow" w:eastAsia="Times New Roman" w:hAnsi="Arial Narrow" w:cs="Arial"/>
                <w:b/>
                <w:bCs/>
                <w:sz w:val="16"/>
                <w:szCs w:val="16"/>
                <w:lang w:eastAsia="pt-BR"/>
              </w:rPr>
            </w:pPr>
            <w:r w:rsidRPr="00B16A18">
              <w:rPr>
                <w:rFonts w:ascii="Arial Narrow" w:eastAsia="Times New Roman" w:hAnsi="Arial Narrow" w:cs="Arial"/>
                <w:b/>
                <w:bCs/>
                <w:sz w:val="16"/>
                <w:szCs w:val="16"/>
                <w:lang w:eastAsia="pt-BR"/>
              </w:rPr>
              <w:t>BFI.G061</w:t>
            </w:r>
          </w:p>
        </w:tc>
        <w:tc>
          <w:tcPr>
            <w:tcW w:w="1276" w:type="dxa"/>
            <w:tcBorders>
              <w:top w:val="nil"/>
              <w:left w:val="nil"/>
              <w:bottom w:val="nil"/>
              <w:right w:val="single" w:sz="8" w:space="0" w:color="auto"/>
            </w:tcBorders>
            <w:shd w:val="clear" w:color="auto" w:fill="auto"/>
            <w:vAlign w:val="center"/>
            <w:hideMark/>
          </w:tcPr>
          <w:p w14:paraId="0684A809" w14:textId="77777777" w:rsidR="003404A2" w:rsidRPr="00B16A18" w:rsidRDefault="003404A2" w:rsidP="0015273C">
            <w:pPr>
              <w:spacing w:after="0" w:line="240" w:lineRule="auto"/>
              <w:jc w:val="center"/>
              <w:rPr>
                <w:rFonts w:ascii="Arial Narrow" w:eastAsia="Times New Roman" w:hAnsi="Arial Narrow" w:cs="Arial"/>
                <w:b/>
                <w:bCs/>
                <w:sz w:val="16"/>
                <w:szCs w:val="16"/>
                <w:lang w:eastAsia="pt-BR"/>
              </w:rPr>
            </w:pPr>
            <w:r w:rsidRPr="00B16A18">
              <w:rPr>
                <w:rFonts w:ascii="Arial Narrow" w:eastAsia="Times New Roman" w:hAnsi="Arial Narrow" w:cs="Arial"/>
                <w:b/>
                <w:bCs/>
                <w:sz w:val="16"/>
                <w:szCs w:val="16"/>
                <w:lang w:eastAsia="pt-BR"/>
              </w:rPr>
              <w:t>BFI.H061</w:t>
            </w:r>
          </w:p>
        </w:tc>
      </w:tr>
      <w:tr w:rsidR="003404A2" w:rsidRPr="00B16A18" w14:paraId="3C7EFD25" w14:textId="77777777" w:rsidTr="0015273C">
        <w:trPr>
          <w:trHeight w:val="255"/>
        </w:trPr>
        <w:tc>
          <w:tcPr>
            <w:tcW w:w="4820" w:type="dxa"/>
            <w:tcBorders>
              <w:top w:val="nil"/>
              <w:left w:val="single" w:sz="8" w:space="0" w:color="auto"/>
              <w:bottom w:val="nil"/>
              <w:right w:val="single" w:sz="8" w:space="0" w:color="auto"/>
            </w:tcBorders>
            <w:shd w:val="clear" w:color="auto" w:fill="auto"/>
            <w:noWrap/>
            <w:vAlign w:val="center"/>
            <w:hideMark/>
          </w:tcPr>
          <w:p w14:paraId="6E3292EA" w14:textId="77777777" w:rsidR="003404A2" w:rsidRPr="00B16A18" w:rsidRDefault="003404A2" w:rsidP="0015273C">
            <w:pPr>
              <w:spacing w:after="0" w:line="240" w:lineRule="auto"/>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 xml:space="preserve">   Incrição de Restos a Pagar Não Processados</w:t>
            </w:r>
          </w:p>
        </w:tc>
        <w:tc>
          <w:tcPr>
            <w:tcW w:w="1134" w:type="dxa"/>
            <w:tcBorders>
              <w:top w:val="nil"/>
              <w:left w:val="nil"/>
              <w:bottom w:val="nil"/>
              <w:right w:val="single" w:sz="8" w:space="0" w:color="auto"/>
            </w:tcBorders>
            <w:shd w:val="clear" w:color="auto" w:fill="auto"/>
            <w:vAlign w:val="center"/>
            <w:hideMark/>
          </w:tcPr>
          <w:p w14:paraId="253B0CFA"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BFI.C062</w:t>
            </w:r>
          </w:p>
        </w:tc>
        <w:tc>
          <w:tcPr>
            <w:tcW w:w="1276" w:type="dxa"/>
            <w:tcBorders>
              <w:top w:val="nil"/>
              <w:left w:val="nil"/>
              <w:bottom w:val="nil"/>
              <w:right w:val="single" w:sz="8" w:space="0" w:color="auto"/>
            </w:tcBorders>
            <w:shd w:val="clear" w:color="auto" w:fill="auto"/>
            <w:vAlign w:val="center"/>
            <w:hideMark/>
          </w:tcPr>
          <w:p w14:paraId="656D90EF"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BFI.D062</w:t>
            </w:r>
          </w:p>
        </w:tc>
        <w:tc>
          <w:tcPr>
            <w:tcW w:w="4243" w:type="dxa"/>
            <w:tcBorders>
              <w:top w:val="nil"/>
              <w:left w:val="nil"/>
              <w:bottom w:val="nil"/>
              <w:right w:val="single" w:sz="8" w:space="0" w:color="auto"/>
            </w:tcBorders>
            <w:shd w:val="clear" w:color="auto" w:fill="auto"/>
            <w:noWrap/>
            <w:vAlign w:val="center"/>
            <w:hideMark/>
          </w:tcPr>
          <w:p w14:paraId="375E10EB" w14:textId="77777777" w:rsidR="003404A2" w:rsidRPr="00B16A18" w:rsidRDefault="003404A2" w:rsidP="0015273C">
            <w:pPr>
              <w:spacing w:after="0" w:line="240" w:lineRule="auto"/>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 xml:space="preserve">   Pagamento de Restos a Pagar Não Processados</w:t>
            </w:r>
          </w:p>
        </w:tc>
        <w:tc>
          <w:tcPr>
            <w:tcW w:w="1285" w:type="dxa"/>
            <w:tcBorders>
              <w:top w:val="nil"/>
              <w:left w:val="nil"/>
              <w:bottom w:val="nil"/>
              <w:right w:val="single" w:sz="8" w:space="0" w:color="auto"/>
            </w:tcBorders>
            <w:shd w:val="clear" w:color="auto" w:fill="auto"/>
            <w:vAlign w:val="center"/>
            <w:hideMark/>
          </w:tcPr>
          <w:p w14:paraId="2EBBD705"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BFI.G062</w:t>
            </w:r>
          </w:p>
        </w:tc>
        <w:tc>
          <w:tcPr>
            <w:tcW w:w="1276" w:type="dxa"/>
            <w:tcBorders>
              <w:top w:val="nil"/>
              <w:left w:val="nil"/>
              <w:bottom w:val="nil"/>
              <w:right w:val="single" w:sz="8" w:space="0" w:color="auto"/>
            </w:tcBorders>
            <w:shd w:val="clear" w:color="auto" w:fill="auto"/>
            <w:vAlign w:val="center"/>
            <w:hideMark/>
          </w:tcPr>
          <w:p w14:paraId="7734B7E0"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BFI.H062</w:t>
            </w:r>
          </w:p>
        </w:tc>
      </w:tr>
      <w:tr w:rsidR="003404A2" w:rsidRPr="00B16A18" w14:paraId="17B57B8B" w14:textId="77777777" w:rsidTr="0015273C">
        <w:trPr>
          <w:trHeight w:val="255"/>
        </w:trPr>
        <w:tc>
          <w:tcPr>
            <w:tcW w:w="4820" w:type="dxa"/>
            <w:tcBorders>
              <w:top w:val="nil"/>
              <w:left w:val="single" w:sz="8" w:space="0" w:color="auto"/>
              <w:right w:val="single" w:sz="8" w:space="0" w:color="auto"/>
            </w:tcBorders>
            <w:shd w:val="clear" w:color="auto" w:fill="auto"/>
            <w:noWrap/>
            <w:vAlign w:val="center"/>
            <w:hideMark/>
          </w:tcPr>
          <w:p w14:paraId="6EC23627" w14:textId="77777777" w:rsidR="003404A2" w:rsidRPr="00B16A18" w:rsidRDefault="003404A2" w:rsidP="0015273C">
            <w:pPr>
              <w:spacing w:after="0" w:line="240" w:lineRule="auto"/>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 xml:space="preserve">   Incrição de Restos a Pagar Processados</w:t>
            </w:r>
          </w:p>
        </w:tc>
        <w:tc>
          <w:tcPr>
            <w:tcW w:w="1134" w:type="dxa"/>
            <w:tcBorders>
              <w:top w:val="nil"/>
              <w:left w:val="nil"/>
              <w:right w:val="single" w:sz="8" w:space="0" w:color="auto"/>
            </w:tcBorders>
            <w:shd w:val="clear" w:color="auto" w:fill="auto"/>
            <w:vAlign w:val="center"/>
            <w:hideMark/>
          </w:tcPr>
          <w:p w14:paraId="2BA45B79"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BFI.C063</w:t>
            </w:r>
          </w:p>
        </w:tc>
        <w:tc>
          <w:tcPr>
            <w:tcW w:w="1276" w:type="dxa"/>
            <w:tcBorders>
              <w:top w:val="nil"/>
              <w:left w:val="nil"/>
              <w:right w:val="single" w:sz="8" w:space="0" w:color="auto"/>
            </w:tcBorders>
            <w:shd w:val="clear" w:color="auto" w:fill="auto"/>
            <w:vAlign w:val="center"/>
            <w:hideMark/>
          </w:tcPr>
          <w:p w14:paraId="5B55FA9C"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BFI.D063</w:t>
            </w:r>
          </w:p>
        </w:tc>
        <w:tc>
          <w:tcPr>
            <w:tcW w:w="4243" w:type="dxa"/>
            <w:tcBorders>
              <w:top w:val="nil"/>
              <w:left w:val="nil"/>
              <w:right w:val="single" w:sz="8" w:space="0" w:color="auto"/>
            </w:tcBorders>
            <w:shd w:val="clear" w:color="auto" w:fill="auto"/>
            <w:noWrap/>
            <w:vAlign w:val="center"/>
            <w:hideMark/>
          </w:tcPr>
          <w:p w14:paraId="0C7C21B8" w14:textId="77777777" w:rsidR="003404A2" w:rsidRPr="00B16A18" w:rsidRDefault="003404A2" w:rsidP="0015273C">
            <w:pPr>
              <w:spacing w:after="0" w:line="240" w:lineRule="auto"/>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 xml:space="preserve">   Pagamento de Restos a Pagar Processados</w:t>
            </w:r>
          </w:p>
        </w:tc>
        <w:tc>
          <w:tcPr>
            <w:tcW w:w="1285" w:type="dxa"/>
            <w:tcBorders>
              <w:top w:val="nil"/>
              <w:left w:val="nil"/>
              <w:right w:val="single" w:sz="8" w:space="0" w:color="auto"/>
            </w:tcBorders>
            <w:shd w:val="clear" w:color="auto" w:fill="auto"/>
            <w:vAlign w:val="center"/>
            <w:hideMark/>
          </w:tcPr>
          <w:p w14:paraId="11264AAA"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BFI.G063</w:t>
            </w:r>
          </w:p>
        </w:tc>
        <w:tc>
          <w:tcPr>
            <w:tcW w:w="1276" w:type="dxa"/>
            <w:tcBorders>
              <w:top w:val="nil"/>
              <w:left w:val="nil"/>
              <w:right w:val="single" w:sz="8" w:space="0" w:color="auto"/>
            </w:tcBorders>
            <w:shd w:val="clear" w:color="auto" w:fill="auto"/>
            <w:vAlign w:val="center"/>
            <w:hideMark/>
          </w:tcPr>
          <w:p w14:paraId="050B25CA"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BFI.H063</w:t>
            </w:r>
          </w:p>
        </w:tc>
      </w:tr>
      <w:tr w:rsidR="003404A2" w:rsidRPr="00B16A18" w14:paraId="23F02A4F" w14:textId="77777777" w:rsidTr="0015273C">
        <w:trPr>
          <w:trHeight w:val="225"/>
        </w:trPr>
        <w:tc>
          <w:tcPr>
            <w:tcW w:w="4820" w:type="dxa"/>
            <w:tcBorders>
              <w:top w:val="nil"/>
              <w:left w:val="single" w:sz="8" w:space="0" w:color="auto"/>
              <w:right w:val="single" w:sz="8" w:space="0" w:color="auto"/>
            </w:tcBorders>
            <w:shd w:val="clear" w:color="auto" w:fill="auto"/>
            <w:noWrap/>
            <w:vAlign w:val="center"/>
            <w:hideMark/>
          </w:tcPr>
          <w:p w14:paraId="28515013" w14:textId="77777777" w:rsidR="003404A2" w:rsidRPr="00B16A18" w:rsidRDefault="003404A2" w:rsidP="0015273C">
            <w:pPr>
              <w:spacing w:after="0" w:line="240" w:lineRule="auto"/>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 xml:space="preserve">   Depósitos Restituíveis e Valores Vinculados</w:t>
            </w:r>
          </w:p>
        </w:tc>
        <w:tc>
          <w:tcPr>
            <w:tcW w:w="1134" w:type="dxa"/>
            <w:tcBorders>
              <w:top w:val="nil"/>
              <w:left w:val="nil"/>
              <w:right w:val="single" w:sz="8" w:space="0" w:color="auto"/>
            </w:tcBorders>
            <w:shd w:val="clear" w:color="auto" w:fill="auto"/>
            <w:vAlign w:val="center"/>
            <w:hideMark/>
          </w:tcPr>
          <w:p w14:paraId="5279B4CE"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BFI.C064</w:t>
            </w:r>
          </w:p>
        </w:tc>
        <w:tc>
          <w:tcPr>
            <w:tcW w:w="1276" w:type="dxa"/>
            <w:tcBorders>
              <w:top w:val="nil"/>
              <w:left w:val="nil"/>
              <w:right w:val="single" w:sz="8" w:space="0" w:color="auto"/>
            </w:tcBorders>
            <w:shd w:val="clear" w:color="auto" w:fill="auto"/>
            <w:vAlign w:val="center"/>
            <w:hideMark/>
          </w:tcPr>
          <w:p w14:paraId="221A1CC1"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BFI.D064</w:t>
            </w:r>
          </w:p>
        </w:tc>
        <w:tc>
          <w:tcPr>
            <w:tcW w:w="4243" w:type="dxa"/>
            <w:tcBorders>
              <w:top w:val="nil"/>
              <w:left w:val="nil"/>
              <w:right w:val="single" w:sz="8" w:space="0" w:color="auto"/>
            </w:tcBorders>
            <w:shd w:val="clear" w:color="auto" w:fill="auto"/>
            <w:noWrap/>
            <w:vAlign w:val="center"/>
            <w:hideMark/>
          </w:tcPr>
          <w:p w14:paraId="5ECDCA63" w14:textId="77777777" w:rsidR="003404A2" w:rsidRPr="00B16A18" w:rsidRDefault="003404A2" w:rsidP="0015273C">
            <w:pPr>
              <w:spacing w:after="0" w:line="240" w:lineRule="auto"/>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 xml:space="preserve">   Depósitos Restituíveis e Valores Vinculados</w:t>
            </w:r>
          </w:p>
        </w:tc>
        <w:tc>
          <w:tcPr>
            <w:tcW w:w="1285" w:type="dxa"/>
            <w:tcBorders>
              <w:top w:val="nil"/>
              <w:left w:val="nil"/>
              <w:right w:val="single" w:sz="8" w:space="0" w:color="auto"/>
            </w:tcBorders>
            <w:shd w:val="clear" w:color="auto" w:fill="auto"/>
            <w:vAlign w:val="center"/>
            <w:hideMark/>
          </w:tcPr>
          <w:p w14:paraId="17DA3399"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BFI.G064</w:t>
            </w:r>
          </w:p>
        </w:tc>
        <w:tc>
          <w:tcPr>
            <w:tcW w:w="1276" w:type="dxa"/>
            <w:tcBorders>
              <w:top w:val="nil"/>
              <w:left w:val="nil"/>
              <w:right w:val="single" w:sz="8" w:space="0" w:color="auto"/>
            </w:tcBorders>
            <w:shd w:val="clear" w:color="auto" w:fill="auto"/>
            <w:vAlign w:val="center"/>
            <w:hideMark/>
          </w:tcPr>
          <w:p w14:paraId="28FA432F"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BFI.H064</w:t>
            </w:r>
          </w:p>
        </w:tc>
      </w:tr>
      <w:tr w:rsidR="003404A2" w:rsidRPr="00B16A18" w14:paraId="7A0AE0DF" w14:textId="77777777" w:rsidTr="0015273C">
        <w:trPr>
          <w:trHeight w:val="255"/>
        </w:trPr>
        <w:tc>
          <w:tcPr>
            <w:tcW w:w="4820" w:type="dxa"/>
            <w:tcBorders>
              <w:top w:val="nil"/>
              <w:left w:val="single" w:sz="8" w:space="0" w:color="auto"/>
              <w:bottom w:val="nil"/>
              <w:right w:val="single" w:sz="8" w:space="0" w:color="auto"/>
            </w:tcBorders>
            <w:shd w:val="clear" w:color="auto" w:fill="auto"/>
            <w:hideMark/>
          </w:tcPr>
          <w:p w14:paraId="4F93D012" w14:textId="77777777" w:rsidR="003404A2" w:rsidRPr="00B16A18" w:rsidRDefault="003404A2" w:rsidP="0015273C">
            <w:pPr>
              <w:spacing w:after="0" w:line="240" w:lineRule="auto"/>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 xml:space="preserve">   Outros Recebimentos Extraorçamentários</w:t>
            </w:r>
          </w:p>
        </w:tc>
        <w:tc>
          <w:tcPr>
            <w:tcW w:w="1134" w:type="dxa"/>
            <w:tcBorders>
              <w:top w:val="nil"/>
              <w:left w:val="nil"/>
              <w:bottom w:val="nil"/>
              <w:right w:val="single" w:sz="8" w:space="0" w:color="auto"/>
            </w:tcBorders>
            <w:shd w:val="clear" w:color="auto" w:fill="auto"/>
            <w:vAlign w:val="center"/>
            <w:hideMark/>
          </w:tcPr>
          <w:p w14:paraId="74A2254B"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BFI.C065</w:t>
            </w:r>
          </w:p>
        </w:tc>
        <w:tc>
          <w:tcPr>
            <w:tcW w:w="1276" w:type="dxa"/>
            <w:tcBorders>
              <w:top w:val="nil"/>
              <w:left w:val="nil"/>
              <w:bottom w:val="nil"/>
              <w:right w:val="single" w:sz="8" w:space="0" w:color="auto"/>
            </w:tcBorders>
            <w:shd w:val="clear" w:color="auto" w:fill="auto"/>
            <w:vAlign w:val="center"/>
            <w:hideMark/>
          </w:tcPr>
          <w:p w14:paraId="0B7D9786"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BFI.D065</w:t>
            </w:r>
          </w:p>
        </w:tc>
        <w:tc>
          <w:tcPr>
            <w:tcW w:w="4243" w:type="dxa"/>
            <w:tcBorders>
              <w:top w:val="nil"/>
              <w:left w:val="nil"/>
              <w:bottom w:val="nil"/>
              <w:right w:val="single" w:sz="8" w:space="0" w:color="auto"/>
            </w:tcBorders>
            <w:shd w:val="clear" w:color="auto" w:fill="auto"/>
            <w:hideMark/>
          </w:tcPr>
          <w:p w14:paraId="6C2AAB18" w14:textId="77777777" w:rsidR="003404A2" w:rsidRPr="00B16A18" w:rsidRDefault="003404A2" w:rsidP="0015273C">
            <w:pPr>
              <w:spacing w:after="0" w:line="240" w:lineRule="auto"/>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 xml:space="preserve">   Outros Pagamentos Extraorçamentários</w:t>
            </w:r>
          </w:p>
        </w:tc>
        <w:tc>
          <w:tcPr>
            <w:tcW w:w="1285" w:type="dxa"/>
            <w:tcBorders>
              <w:top w:val="nil"/>
              <w:left w:val="nil"/>
              <w:bottom w:val="nil"/>
              <w:right w:val="single" w:sz="8" w:space="0" w:color="auto"/>
            </w:tcBorders>
            <w:shd w:val="clear" w:color="auto" w:fill="auto"/>
            <w:vAlign w:val="center"/>
            <w:hideMark/>
          </w:tcPr>
          <w:p w14:paraId="3BF2B97F"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BFI.G065</w:t>
            </w:r>
          </w:p>
        </w:tc>
        <w:tc>
          <w:tcPr>
            <w:tcW w:w="1276" w:type="dxa"/>
            <w:tcBorders>
              <w:top w:val="nil"/>
              <w:left w:val="nil"/>
              <w:bottom w:val="nil"/>
              <w:right w:val="single" w:sz="8" w:space="0" w:color="auto"/>
            </w:tcBorders>
            <w:shd w:val="clear" w:color="auto" w:fill="auto"/>
            <w:vAlign w:val="center"/>
            <w:hideMark/>
          </w:tcPr>
          <w:p w14:paraId="69C307B0"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BFI.H065</w:t>
            </w:r>
          </w:p>
        </w:tc>
      </w:tr>
      <w:tr w:rsidR="003404A2" w:rsidRPr="00B16A18" w14:paraId="1CAEB5B2" w14:textId="77777777" w:rsidTr="0015273C">
        <w:trPr>
          <w:trHeight w:val="255"/>
        </w:trPr>
        <w:tc>
          <w:tcPr>
            <w:tcW w:w="4820" w:type="dxa"/>
            <w:tcBorders>
              <w:top w:val="nil"/>
              <w:left w:val="single" w:sz="8" w:space="0" w:color="auto"/>
              <w:bottom w:val="nil"/>
              <w:right w:val="single" w:sz="8" w:space="0" w:color="auto"/>
            </w:tcBorders>
            <w:shd w:val="clear" w:color="auto" w:fill="auto"/>
            <w:noWrap/>
            <w:vAlign w:val="center"/>
            <w:hideMark/>
          </w:tcPr>
          <w:p w14:paraId="0E61C779" w14:textId="77777777" w:rsidR="003404A2" w:rsidRPr="00B16A18" w:rsidRDefault="003404A2" w:rsidP="0015273C">
            <w:pPr>
              <w:spacing w:after="0" w:line="240" w:lineRule="auto"/>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 </w:t>
            </w:r>
          </w:p>
        </w:tc>
        <w:tc>
          <w:tcPr>
            <w:tcW w:w="1134" w:type="dxa"/>
            <w:tcBorders>
              <w:top w:val="nil"/>
              <w:left w:val="nil"/>
              <w:bottom w:val="nil"/>
              <w:right w:val="single" w:sz="8" w:space="0" w:color="auto"/>
            </w:tcBorders>
            <w:shd w:val="clear" w:color="auto" w:fill="auto"/>
            <w:vAlign w:val="center"/>
            <w:hideMark/>
          </w:tcPr>
          <w:p w14:paraId="582E1531"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 </w:t>
            </w:r>
          </w:p>
        </w:tc>
        <w:tc>
          <w:tcPr>
            <w:tcW w:w="1276" w:type="dxa"/>
            <w:tcBorders>
              <w:top w:val="nil"/>
              <w:left w:val="nil"/>
              <w:bottom w:val="nil"/>
              <w:right w:val="single" w:sz="8" w:space="0" w:color="auto"/>
            </w:tcBorders>
            <w:shd w:val="clear" w:color="auto" w:fill="auto"/>
            <w:vAlign w:val="center"/>
            <w:hideMark/>
          </w:tcPr>
          <w:p w14:paraId="7AEFE764"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 </w:t>
            </w:r>
          </w:p>
        </w:tc>
        <w:tc>
          <w:tcPr>
            <w:tcW w:w="4243" w:type="dxa"/>
            <w:tcBorders>
              <w:top w:val="nil"/>
              <w:left w:val="nil"/>
              <w:bottom w:val="nil"/>
              <w:right w:val="single" w:sz="8" w:space="0" w:color="auto"/>
            </w:tcBorders>
            <w:shd w:val="clear" w:color="auto" w:fill="auto"/>
            <w:noWrap/>
            <w:vAlign w:val="center"/>
            <w:hideMark/>
          </w:tcPr>
          <w:p w14:paraId="608CEB6D" w14:textId="77777777" w:rsidR="003404A2" w:rsidRPr="00B16A18" w:rsidRDefault="003404A2" w:rsidP="0015273C">
            <w:pPr>
              <w:spacing w:after="0" w:line="240" w:lineRule="auto"/>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 </w:t>
            </w:r>
          </w:p>
        </w:tc>
        <w:tc>
          <w:tcPr>
            <w:tcW w:w="1285" w:type="dxa"/>
            <w:tcBorders>
              <w:top w:val="nil"/>
              <w:left w:val="nil"/>
              <w:bottom w:val="nil"/>
              <w:right w:val="single" w:sz="8" w:space="0" w:color="auto"/>
            </w:tcBorders>
            <w:shd w:val="clear" w:color="auto" w:fill="auto"/>
            <w:vAlign w:val="center"/>
            <w:hideMark/>
          </w:tcPr>
          <w:p w14:paraId="1930976E"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 </w:t>
            </w:r>
          </w:p>
        </w:tc>
        <w:tc>
          <w:tcPr>
            <w:tcW w:w="1276" w:type="dxa"/>
            <w:tcBorders>
              <w:top w:val="nil"/>
              <w:left w:val="nil"/>
              <w:bottom w:val="nil"/>
              <w:right w:val="single" w:sz="8" w:space="0" w:color="auto"/>
            </w:tcBorders>
            <w:shd w:val="clear" w:color="auto" w:fill="auto"/>
            <w:vAlign w:val="center"/>
            <w:hideMark/>
          </w:tcPr>
          <w:p w14:paraId="782E20D6"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 </w:t>
            </w:r>
          </w:p>
        </w:tc>
      </w:tr>
      <w:tr w:rsidR="003404A2" w:rsidRPr="00B16A18" w14:paraId="58DFCE59" w14:textId="77777777" w:rsidTr="0015273C">
        <w:trPr>
          <w:trHeight w:val="255"/>
        </w:trPr>
        <w:tc>
          <w:tcPr>
            <w:tcW w:w="4820" w:type="dxa"/>
            <w:tcBorders>
              <w:top w:val="nil"/>
              <w:left w:val="single" w:sz="8" w:space="0" w:color="auto"/>
              <w:bottom w:val="nil"/>
              <w:right w:val="single" w:sz="8" w:space="0" w:color="auto"/>
            </w:tcBorders>
            <w:shd w:val="clear" w:color="auto" w:fill="auto"/>
            <w:noWrap/>
            <w:vAlign w:val="center"/>
            <w:hideMark/>
          </w:tcPr>
          <w:p w14:paraId="757D1C31" w14:textId="77777777" w:rsidR="003404A2" w:rsidRPr="00B16A18" w:rsidRDefault="003404A2" w:rsidP="0015273C">
            <w:pPr>
              <w:spacing w:after="0" w:line="240" w:lineRule="auto"/>
              <w:rPr>
                <w:rFonts w:ascii="Arial Narrow" w:eastAsia="Times New Roman" w:hAnsi="Arial Narrow" w:cs="Arial"/>
                <w:b/>
                <w:bCs/>
                <w:sz w:val="16"/>
                <w:szCs w:val="16"/>
                <w:lang w:eastAsia="pt-BR"/>
              </w:rPr>
            </w:pPr>
            <w:r w:rsidRPr="00B16A18">
              <w:rPr>
                <w:rFonts w:ascii="Arial Narrow" w:eastAsia="Times New Roman" w:hAnsi="Arial Narrow" w:cs="Arial"/>
                <w:b/>
                <w:bCs/>
                <w:sz w:val="16"/>
                <w:szCs w:val="16"/>
                <w:lang w:eastAsia="pt-BR"/>
              </w:rPr>
              <w:t>SALDO DO EXERCÍCIO ANTERIOR (IV)</w:t>
            </w:r>
          </w:p>
        </w:tc>
        <w:tc>
          <w:tcPr>
            <w:tcW w:w="1134" w:type="dxa"/>
            <w:tcBorders>
              <w:top w:val="nil"/>
              <w:left w:val="nil"/>
              <w:bottom w:val="nil"/>
              <w:right w:val="single" w:sz="8" w:space="0" w:color="auto"/>
            </w:tcBorders>
            <w:shd w:val="clear" w:color="auto" w:fill="auto"/>
            <w:vAlign w:val="center"/>
            <w:hideMark/>
          </w:tcPr>
          <w:p w14:paraId="5BAF7C49" w14:textId="77777777" w:rsidR="003404A2" w:rsidRPr="00B16A18" w:rsidRDefault="003404A2" w:rsidP="0015273C">
            <w:pPr>
              <w:spacing w:after="0" w:line="240" w:lineRule="auto"/>
              <w:jc w:val="center"/>
              <w:rPr>
                <w:rFonts w:ascii="Arial Narrow" w:eastAsia="Times New Roman" w:hAnsi="Arial Narrow" w:cs="Arial"/>
                <w:b/>
                <w:bCs/>
                <w:sz w:val="16"/>
                <w:szCs w:val="16"/>
                <w:lang w:eastAsia="pt-BR"/>
              </w:rPr>
            </w:pPr>
            <w:r w:rsidRPr="00B16A18">
              <w:rPr>
                <w:rFonts w:ascii="Arial Narrow" w:eastAsia="Times New Roman" w:hAnsi="Arial Narrow" w:cs="Arial"/>
                <w:b/>
                <w:bCs/>
                <w:sz w:val="16"/>
                <w:szCs w:val="16"/>
                <w:lang w:eastAsia="pt-BR"/>
              </w:rPr>
              <w:t>BFI.C067</w:t>
            </w:r>
          </w:p>
        </w:tc>
        <w:tc>
          <w:tcPr>
            <w:tcW w:w="1276" w:type="dxa"/>
            <w:tcBorders>
              <w:top w:val="nil"/>
              <w:left w:val="nil"/>
              <w:bottom w:val="nil"/>
              <w:right w:val="single" w:sz="8" w:space="0" w:color="auto"/>
            </w:tcBorders>
            <w:shd w:val="clear" w:color="auto" w:fill="auto"/>
            <w:vAlign w:val="center"/>
            <w:hideMark/>
          </w:tcPr>
          <w:p w14:paraId="763FD95A" w14:textId="77777777" w:rsidR="003404A2" w:rsidRPr="00B16A18" w:rsidRDefault="003404A2" w:rsidP="0015273C">
            <w:pPr>
              <w:spacing w:after="0" w:line="240" w:lineRule="auto"/>
              <w:jc w:val="center"/>
              <w:rPr>
                <w:rFonts w:ascii="Arial Narrow" w:eastAsia="Times New Roman" w:hAnsi="Arial Narrow" w:cs="Arial"/>
                <w:b/>
                <w:bCs/>
                <w:sz w:val="16"/>
                <w:szCs w:val="16"/>
                <w:lang w:eastAsia="pt-BR"/>
              </w:rPr>
            </w:pPr>
            <w:r w:rsidRPr="00B16A18">
              <w:rPr>
                <w:rFonts w:ascii="Arial Narrow" w:eastAsia="Times New Roman" w:hAnsi="Arial Narrow" w:cs="Arial"/>
                <w:b/>
                <w:bCs/>
                <w:sz w:val="16"/>
                <w:szCs w:val="16"/>
                <w:lang w:eastAsia="pt-BR"/>
              </w:rPr>
              <w:t>BFI.D067</w:t>
            </w:r>
          </w:p>
        </w:tc>
        <w:tc>
          <w:tcPr>
            <w:tcW w:w="4243" w:type="dxa"/>
            <w:tcBorders>
              <w:top w:val="nil"/>
              <w:left w:val="nil"/>
              <w:bottom w:val="nil"/>
              <w:right w:val="single" w:sz="8" w:space="0" w:color="auto"/>
            </w:tcBorders>
            <w:shd w:val="clear" w:color="auto" w:fill="auto"/>
            <w:noWrap/>
            <w:vAlign w:val="center"/>
            <w:hideMark/>
          </w:tcPr>
          <w:p w14:paraId="0A8253ED" w14:textId="77777777" w:rsidR="003404A2" w:rsidRPr="00B16A18" w:rsidRDefault="003404A2" w:rsidP="0015273C">
            <w:pPr>
              <w:spacing w:after="0" w:line="240" w:lineRule="auto"/>
              <w:rPr>
                <w:rFonts w:ascii="Arial Narrow" w:eastAsia="Times New Roman" w:hAnsi="Arial Narrow" w:cs="Arial"/>
                <w:b/>
                <w:bCs/>
                <w:sz w:val="16"/>
                <w:szCs w:val="16"/>
                <w:lang w:eastAsia="pt-BR"/>
              </w:rPr>
            </w:pPr>
            <w:r w:rsidRPr="00B16A18">
              <w:rPr>
                <w:rFonts w:ascii="Arial Narrow" w:eastAsia="Times New Roman" w:hAnsi="Arial Narrow" w:cs="Arial"/>
                <w:b/>
                <w:bCs/>
                <w:sz w:val="16"/>
                <w:szCs w:val="16"/>
                <w:lang w:eastAsia="pt-BR"/>
              </w:rPr>
              <w:t>SALDO PARA O EXERCÍCIO SEGUINTE (IX)</w:t>
            </w:r>
          </w:p>
        </w:tc>
        <w:tc>
          <w:tcPr>
            <w:tcW w:w="1285" w:type="dxa"/>
            <w:tcBorders>
              <w:top w:val="nil"/>
              <w:left w:val="nil"/>
              <w:bottom w:val="nil"/>
              <w:right w:val="single" w:sz="8" w:space="0" w:color="auto"/>
            </w:tcBorders>
            <w:shd w:val="clear" w:color="auto" w:fill="auto"/>
            <w:vAlign w:val="center"/>
            <w:hideMark/>
          </w:tcPr>
          <w:p w14:paraId="44DA52E2" w14:textId="77777777" w:rsidR="003404A2" w:rsidRPr="00B16A18" w:rsidRDefault="003404A2" w:rsidP="0015273C">
            <w:pPr>
              <w:spacing w:after="0" w:line="240" w:lineRule="auto"/>
              <w:jc w:val="center"/>
              <w:rPr>
                <w:rFonts w:ascii="Arial Narrow" w:eastAsia="Times New Roman" w:hAnsi="Arial Narrow" w:cs="Arial"/>
                <w:b/>
                <w:bCs/>
                <w:sz w:val="16"/>
                <w:szCs w:val="16"/>
                <w:lang w:eastAsia="pt-BR"/>
              </w:rPr>
            </w:pPr>
            <w:r w:rsidRPr="00B16A18">
              <w:rPr>
                <w:rFonts w:ascii="Arial Narrow" w:eastAsia="Times New Roman" w:hAnsi="Arial Narrow" w:cs="Arial"/>
                <w:b/>
                <w:bCs/>
                <w:sz w:val="16"/>
                <w:szCs w:val="16"/>
                <w:lang w:eastAsia="pt-BR"/>
              </w:rPr>
              <w:t>BFI.G067</w:t>
            </w:r>
          </w:p>
        </w:tc>
        <w:tc>
          <w:tcPr>
            <w:tcW w:w="1276" w:type="dxa"/>
            <w:tcBorders>
              <w:top w:val="nil"/>
              <w:left w:val="nil"/>
              <w:bottom w:val="nil"/>
              <w:right w:val="single" w:sz="8" w:space="0" w:color="auto"/>
            </w:tcBorders>
            <w:shd w:val="clear" w:color="auto" w:fill="auto"/>
            <w:vAlign w:val="center"/>
            <w:hideMark/>
          </w:tcPr>
          <w:p w14:paraId="06AA9341" w14:textId="77777777" w:rsidR="003404A2" w:rsidRPr="00B16A18" w:rsidRDefault="003404A2" w:rsidP="0015273C">
            <w:pPr>
              <w:spacing w:after="0" w:line="240" w:lineRule="auto"/>
              <w:jc w:val="center"/>
              <w:rPr>
                <w:rFonts w:ascii="Arial Narrow" w:eastAsia="Times New Roman" w:hAnsi="Arial Narrow" w:cs="Arial"/>
                <w:b/>
                <w:bCs/>
                <w:sz w:val="16"/>
                <w:szCs w:val="16"/>
                <w:lang w:eastAsia="pt-BR"/>
              </w:rPr>
            </w:pPr>
            <w:r w:rsidRPr="00B16A18">
              <w:rPr>
                <w:rFonts w:ascii="Arial Narrow" w:eastAsia="Times New Roman" w:hAnsi="Arial Narrow" w:cs="Arial"/>
                <w:b/>
                <w:bCs/>
                <w:sz w:val="16"/>
                <w:szCs w:val="16"/>
                <w:lang w:eastAsia="pt-BR"/>
              </w:rPr>
              <w:t>BFI.H067</w:t>
            </w:r>
          </w:p>
        </w:tc>
      </w:tr>
      <w:tr w:rsidR="003404A2" w:rsidRPr="00B16A18" w14:paraId="42CC9A2E" w14:textId="77777777" w:rsidTr="0015273C">
        <w:trPr>
          <w:trHeight w:val="255"/>
        </w:trPr>
        <w:tc>
          <w:tcPr>
            <w:tcW w:w="4820" w:type="dxa"/>
            <w:tcBorders>
              <w:top w:val="nil"/>
              <w:left w:val="single" w:sz="8" w:space="0" w:color="auto"/>
              <w:bottom w:val="nil"/>
              <w:right w:val="single" w:sz="8" w:space="0" w:color="auto"/>
            </w:tcBorders>
            <w:shd w:val="clear" w:color="auto" w:fill="auto"/>
            <w:noWrap/>
            <w:vAlign w:val="center"/>
            <w:hideMark/>
          </w:tcPr>
          <w:p w14:paraId="1CFC0CD8" w14:textId="77777777" w:rsidR="003404A2" w:rsidRPr="00B16A18" w:rsidRDefault="003404A2" w:rsidP="0015273C">
            <w:pPr>
              <w:spacing w:after="0" w:line="240" w:lineRule="auto"/>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 xml:space="preserve">   Caixa e Equivalentes de Caixa - Consolidação</w:t>
            </w:r>
          </w:p>
        </w:tc>
        <w:tc>
          <w:tcPr>
            <w:tcW w:w="1134" w:type="dxa"/>
            <w:tcBorders>
              <w:top w:val="nil"/>
              <w:left w:val="nil"/>
              <w:bottom w:val="nil"/>
              <w:right w:val="single" w:sz="8" w:space="0" w:color="auto"/>
            </w:tcBorders>
            <w:shd w:val="clear" w:color="auto" w:fill="auto"/>
            <w:vAlign w:val="center"/>
            <w:hideMark/>
          </w:tcPr>
          <w:p w14:paraId="0C856C26" w14:textId="77777777" w:rsidR="003404A2" w:rsidRPr="00B16A18" w:rsidRDefault="003404A2" w:rsidP="0015273C">
            <w:pPr>
              <w:spacing w:after="0" w:line="240" w:lineRule="auto"/>
              <w:jc w:val="center"/>
              <w:rPr>
                <w:rFonts w:ascii="Arial Narrow" w:eastAsia="Times New Roman" w:hAnsi="Arial Narrow" w:cs="Arial"/>
                <w:b/>
                <w:bCs/>
                <w:sz w:val="16"/>
                <w:szCs w:val="16"/>
                <w:lang w:eastAsia="pt-BR"/>
              </w:rPr>
            </w:pPr>
            <w:r w:rsidRPr="00B16A18">
              <w:rPr>
                <w:rFonts w:ascii="Arial Narrow" w:eastAsia="Times New Roman" w:hAnsi="Arial Narrow" w:cs="Arial"/>
                <w:b/>
                <w:bCs/>
                <w:sz w:val="16"/>
                <w:szCs w:val="16"/>
                <w:lang w:eastAsia="pt-BR"/>
              </w:rPr>
              <w:t>BFI.C068</w:t>
            </w:r>
          </w:p>
        </w:tc>
        <w:tc>
          <w:tcPr>
            <w:tcW w:w="1276" w:type="dxa"/>
            <w:tcBorders>
              <w:top w:val="nil"/>
              <w:left w:val="nil"/>
              <w:bottom w:val="nil"/>
              <w:right w:val="single" w:sz="8" w:space="0" w:color="auto"/>
            </w:tcBorders>
            <w:shd w:val="clear" w:color="auto" w:fill="auto"/>
            <w:vAlign w:val="center"/>
            <w:hideMark/>
          </w:tcPr>
          <w:p w14:paraId="7592B1B0" w14:textId="77777777" w:rsidR="003404A2" w:rsidRPr="00B16A18" w:rsidRDefault="003404A2" w:rsidP="0015273C">
            <w:pPr>
              <w:spacing w:after="0" w:line="240" w:lineRule="auto"/>
              <w:jc w:val="center"/>
              <w:rPr>
                <w:rFonts w:ascii="Arial Narrow" w:eastAsia="Times New Roman" w:hAnsi="Arial Narrow" w:cs="Arial"/>
                <w:b/>
                <w:bCs/>
                <w:sz w:val="16"/>
                <w:szCs w:val="16"/>
                <w:lang w:eastAsia="pt-BR"/>
              </w:rPr>
            </w:pPr>
            <w:r w:rsidRPr="00B16A18">
              <w:rPr>
                <w:rFonts w:ascii="Arial Narrow" w:eastAsia="Times New Roman" w:hAnsi="Arial Narrow" w:cs="Arial"/>
                <w:b/>
                <w:bCs/>
                <w:sz w:val="16"/>
                <w:szCs w:val="16"/>
                <w:lang w:eastAsia="pt-BR"/>
              </w:rPr>
              <w:t>BFI.D068</w:t>
            </w:r>
          </w:p>
        </w:tc>
        <w:tc>
          <w:tcPr>
            <w:tcW w:w="4243" w:type="dxa"/>
            <w:tcBorders>
              <w:top w:val="nil"/>
              <w:left w:val="nil"/>
              <w:bottom w:val="nil"/>
              <w:right w:val="single" w:sz="8" w:space="0" w:color="auto"/>
            </w:tcBorders>
            <w:shd w:val="clear" w:color="auto" w:fill="auto"/>
            <w:noWrap/>
            <w:vAlign w:val="center"/>
            <w:hideMark/>
          </w:tcPr>
          <w:p w14:paraId="17B79C82" w14:textId="77777777" w:rsidR="003404A2" w:rsidRPr="00B16A18" w:rsidRDefault="003404A2" w:rsidP="0015273C">
            <w:pPr>
              <w:spacing w:after="0" w:line="240" w:lineRule="auto"/>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 xml:space="preserve">   Caixa e Equivalentes de Caixa - Consolidação</w:t>
            </w:r>
          </w:p>
        </w:tc>
        <w:tc>
          <w:tcPr>
            <w:tcW w:w="1285" w:type="dxa"/>
            <w:tcBorders>
              <w:top w:val="nil"/>
              <w:left w:val="nil"/>
              <w:bottom w:val="nil"/>
              <w:right w:val="single" w:sz="8" w:space="0" w:color="auto"/>
            </w:tcBorders>
            <w:shd w:val="clear" w:color="auto" w:fill="auto"/>
            <w:vAlign w:val="center"/>
            <w:hideMark/>
          </w:tcPr>
          <w:p w14:paraId="79FBEC88" w14:textId="77777777" w:rsidR="003404A2" w:rsidRPr="00B16A18" w:rsidRDefault="003404A2" w:rsidP="0015273C">
            <w:pPr>
              <w:spacing w:after="0" w:line="240" w:lineRule="auto"/>
              <w:jc w:val="center"/>
              <w:rPr>
                <w:rFonts w:ascii="Arial Narrow" w:eastAsia="Times New Roman" w:hAnsi="Arial Narrow" w:cs="Arial"/>
                <w:b/>
                <w:bCs/>
                <w:sz w:val="16"/>
                <w:szCs w:val="16"/>
                <w:lang w:eastAsia="pt-BR"/>
              </w:rPr>
            </w:pPr>
            <w:r w:rsidRPr="00B16A18">
              <w:rPr>
                <w:rFonts w:ascii="Arial Narrow" w:eastAsia="Times New Roman" w:hAnsi="Arial Narrow" w:cs="Arial"/>
                <w:b/>
                <w:bCs/>
                <w:sz w:val="16"/>
                <w:szCs w:val="16"/>
                <w:lang w:eastAsia="pt-BR"/>
              </w:rPr>
              <w:t>BFI.G068</w:t>
            </w:r>
          </w:p>
        </w:tc>
        <w:tc>
          <w:tcPr>
            <w:tcW w:w="1276" w:type="dxa"/>
            <w:tcBorders>
              <w:top w:val="nil"/>
              <w:left w:val="nil"/>
              <w:bottom w:val="nil"/>
              <w:right w:val="single" w:sz="8" w:space="0" w:color="auto"/>
            </w:tcBorders>
            <w:shd w:val="clear" w:color="auto" w:fill="auto"/>
            <w:vAlign w:val="center"/>
            <w:hideMark/>
          </w:tcPr>
          <w:p w14:paraId="50AE1E48" w14:textId="77777777" w:rsidR="003404A2" w:rsidRPr="00B16A18" w:rsidRDefault="003404A2" w:rsidP="0015273C">
            <w:pPr>
              <w:spacing w:after="0" w:line="240" w:lineRule="auto"/>
              <w:jc w:val="center"/>
              <w:rPr>
                <w:rFonts w:ascii="Arial Narrow" w:eastAsia="Times New Roman" w:hAnsi="Arial Narrow" w:cs="Arial"/>
                <w:b/>
                <w:bCs/>
                <w:sz w:val="16"/>
                <w:szCs w:val="16"/>
                <w:lang w:eastAsia="pt-BR"/>
              </w:rPr>
            </w:pPr>
            <w:r w:rsidRPr="00B16A18">
              <w:rPr>
                <w:rFonts w:ascii="Arial Narrow" w:eastAsia="Times New Roman" w:hAnsi="Arial Narrow" w:cs="Arial"/>
                <w:b/>
                <w:bCs/>
                <w:sz w:val="16"/>
                <w:szCs w:val="16"/>
                <w:lang w:eastAsia="pt-BR"/>
              </w:rPr>
              <w:t>BFI.H068</w:t>
            </w:r>
          </w:p>
        </w:tc>
      </w:tr>
      <w:tr w:rsidR="003404A2" w:rsidRPr="00B16A18" w14:paraId="1F0717B7" w14:textId="77777777" w:rsidTr="0015273C">
        <w:trPr>
          <w:trHeight w:val="255"/>
        </w:trPr>
        <w:tc>
          <w:tcPr>
            <w:tcW w:w="4820" w:type="dxa"/>
            <w:tcBorders>
              <w:top w:val="nil"/>
              <w:left w:val="single" w:sz="8" w:space="0" w:color="auto"/>
              <w:bottom w:val="nil"/>
              <w:right w:val="single" w:sz="8" w:space="0" w:color="auto"/>
            </w:tcBorders>
            <w:shd w:val="clear" w:color="auto" w:fill="auto"/>
            <w:noWrap/>
            <w:vAlign w:val="center"/>
            <w:hideMark/>
          </w:tcPr>
          <w:p w14:paraId="3E43B160" w14:textId="77777777" w:rsidR="003404A2" w:rsidRPr="00B16A18" w:rsidRDefault="003404A2" w:rsidP="0015273C">
            <w:pPr>
              <w:spacing w:after="0" w:line="240" w:lineRule="auto"/>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 xml:space="preserve">      Caixa</w:t>
            </w:r>
          </w:p>
        </w:tc>
        <w:tc>
          <w:tcPr>
            <w:tcW w:w="1134" w:type="dxa"/>
            <w:tcBorders>
              <w:top w:val="nil"/>
              <w:left w:val="nil"/>
              <w:bottom w:val="nil"/>
              <w:right w:val="single" w:sz="8" w:space="0" w:color="auto"/>
            </w:tcBorders>
            <w:shd w:val="clear" w:color="auto" w:fill="auto"/>
            <w:vAlign w:val="center"/>
            <w:hideMark/>
          </w:tcPr>
          <w:p w14:paraId="45F88179"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BFI.C069</w:t>
            </w:r>
          </w:p>
        </w:tc>
        <w:tc>
          <w:tcPr>
            <w:tcW w:w="1276" w:type="dxa"/>
            <w:tcBorders>
              <w:top w:val="nil"/>
              <w:left w:val="nil"/>
              <w:bottom w:val="nil"/>
              <w:right w:val="single" w:sz="8" w:space="0" w:color="auto"/>
            </w:tcBorders>
            <w:shd w:val="clear" w:color="auto" w:fill="auto"/>
            <w:vAlign w:val="center"/>
            <w:hideMark/>
          </w:tcPr>
          <w:p w14:paraId="698BD160"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BFI.D069</w:t>
            </w:r>
          </w:p>
        </w:tc>
        <w:tc>
          <w:tcPr>
            <w:tcW w:w="4243" w:type="dxa"/>
            <w:tcBorders>
              <w:top w:val="nil"/>
              <w:left w:val="nil"/>
              <w:bottom w:val="nil"/>
              <w:right w:val="single" w:sz="8" w:space="0" w:color="auto"/>
            </w:tcBorders>
            <w:shd w:val="clear" w:color="auto" w:fill="auto"/>
            <w:noWrap/>
            <w:vAlign w:val="center"/>
            <w:hideMark/>
          </w:tcPr>
          <w:p w14:paraId="33EC4896" w14:textId="77777777" w:rsidR="003404A2" w:rsidRPr="00B16A18" w:rsidRDefault="003404A2" w:rsidP="0015273C">
            <w:pPr>
              <w:spacing w:after="0" w:line="240" w:lineRule="auto"/>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 xml:space="preserve">      Caixa</w:t>
            </w:r>
          </w:p>
        </w:tc>
        <w:tc>
          <w:tcPr>
            <w:tcW w:w="1285" w:type="dxa"/>
            <w:tcBorders>
              <w:top w:val="nil"/>
              <w:left w:val="nil"/>
              <w:bottom w:val="nil"/>
              <w:right w:val="single" w:sz="8" w:space="0" w:color="auto"/>
            </w:tcBorders>
            <w:shd w:val="clear" w:color="auto" w:fill="auto"/>
            <w:vAlign w:val="center"/>
            <w:hideMark/>
          </w:tcPr>
          <w:p w14:paraId="0AA96DE0"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BFI.G069</w:t>
            </w:r>
          </w:p>
        </w:tc>
        <w:tc>
          <w:tcPr>
            <w:tcW w:w="1276" w:type="dxa"/>
            <w:tcBorders>
              <w:top w:val="nil"/>
              <w:left w:val="nil"/>
              <w:bottom w:val="nil"/>
              <w:right w:val="single" w:sz="8" w:space="0" w:color="auto"/>
            </w:tcBorders>
            <w:shd w:val="clear" w:color="auto" w:fill="auto"/>
            <w:vAlign w:val="center"/>
            <w:hideMark/>
          </w:tcPr>
          <w:p w14:paraId="20E8D383"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BFI.H069</w:t>
            </w:r>
          </w:p>
        </w:tc>
      </w:tr>
      <w:tr w:rsidR="003404A2" w:rsidRPr="00B16A18" w14:paraId="0DA8E90A" w14:textId="77777777" w:rsidTr="0015273C">
        <w:trPr>
          <w:trHeight w:val="255"/>
        </w:trPr>
        <w:tc>
          <w:tcPr>
            <w:tcW w:w="4820" w:type="dxa"/>
            <w:tcBorders>
              <w:top w:val="nil"/>
              <w:left w:val="single" w:sz="8" w:space="0" w:color="auto"/>
              <w:bottom w:val="nil"/>
              <w:right w:val="single" w:sz="8" w:space="0" w:color="auto"/>
            </w:tcBorders>
            <w:shd w:val="clear" w:color="auto" w:fill="auto"/>
            <w:noWrap/>
            <w:vAlign w:val="center"/>
            <w:hideMark/>
          </w:tcPr>
          <w:p w14:paraId="6E259A20" w14:textId="77777777" w:rsidR="003404A2" w:rsidRPr="00B16A18" w:rsidRDefault="003404A2" w:rsidP="0015273C">
            <w:pPr>
              <w:spacing w:after="0" w:line="240" w:lineRule="auto"/>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lastRenderedPageBreak/>
              <w:t xml:space="preserve">      Conta Única</w:t>
            </w:r>
          </w:p>
        </w:tc>
        <w:tc>
          <w:tcPr>
            <w:tcW w:w="1134" w:type="dxa"/>
            <w:tcBorders>
              <w:top w:val="nil"/>
              <w:left w:val="nil"/>
              <w:bottom w:val="nil"/>
              <w:right w:val="single" w:sz="8" w:space="0" w:color="auto"/>
            </w:tcBorders>
            <w:shd w:val="clear" w:color="auto" w:fill="auto"/>
            <w:vAlign w:val="center"/>
            <w:hideMark/>
          </w:tcPr>
          <w:p w14:paraId="3396A4E1"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BFI.C070</w:t>
            </w:r>
          </w:p>
        </w:tc>
        <w:tc>
          <w:tcPr>
            <w:tcW w:w="1276" w:type="dxa"/>
            <w:tcBorders>
              <w:top w:val="nil"/>
              <w:left w:val="nil"/>
              <w:bottom w:val="nil"/>
              <w:right w:val="single" w:sz="8" w:space="0" w:color="auto"/>
            </w:tcBorders>
            <w:shd w:val="clear" w:color="auto" w:fill="auto"/>
            <w:vAlign w:val="center"/>
            <w:hideMark/>
          </w:tcPr>
          <w:p w14:paraId="35400AE7"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BFI.D070</w:t>
            </w:r>
          </w:p>
        </w:tc>
        <w:tc>
          <w:tcPr>
            <w:tcW w:w="4243" w:type="dxa"/>
            <w:tcBorders>
              <w:top w:val="nil"/>
              <w:left w:val="nil"/>
              <w:bottom w:val="nil"/>
              <w:right w:val="single" w:sz="8" w:space="0" w:color="auto"/>
            </w:tcBorders>
            <w:shd w:val="clear" w:color="auto" w:fill="auto"/>
            <w:noWrap/>
            <w:vAlign w:val="center"/>
            <w:hideMark/>
          </w:tcPr>
          <w:p w14:paraId="74EF1E79" w14:textId="77777777" w:rsidR="003404A2" w:rsidRPr="00B16A18" w:rsidRDefault="003404A2" w:rsidP="0015273C">
            <w:pPr>
              <w:spacing w:after="0" w:line="240" w:lineRule="auto"/>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 xml:space="preserve">      Conta Única</w:t>
            </w:r>
          </w:p>
        </w:tc>
        <w:tc>
          <w:tcPr>
            <w:tcW w:w="1285" w:type="dxa"/>
            <w:tcBorders>
              <w:top w:val="nil"/>
              <w:left w:val="nil"/>
              <w:bottom w:val="nil"/>
              <w:right w:val="single" w:sz="8" w:space="0" w:color="auto"/>
            </w:tcBorders>
            <w:shd w:val="clear" w:color="auto" w:fill="auto"/>
            <w:vAlign w:val="center"/>
            <w:hideMark/>
          </w:tcPr>
          <w:p w14:paraId="14711101"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BFI.G070</w:t>
            </w:r>
          </w:p>
        </w:tc>
        <w:tc>
          <w:tcPr>
            <w:tcW w:w="1276" w:type="dxa"/>
            <w:tcBorders>
              <w:top w:val="nil"/>
              <w:left w:val="nil"/>
              <w:bottom w:val="nil"/>
              <w:right w:val="single" w:sz="8" w:space="0" w:color="auto"/>
            </w:tcBorders>
            <w:shd w:val="clear" w:color="auto" w:fill="auto"/>
            <w:vAlign w:val="center"/>
            <w:hideMark/>
          </w:tcPr>
          <w:p w14:paraId="50A60F61"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BFI.H070</w:t>
            </w:r>
          </w:p>
        </w:tc>
      </w:tr>
      <w:tr w:rsidR="003404A2" w:rsidRPr="00B16A18" w14:paraId="7F5AAE75" w14:textId="77777777" w:rsidTr="0015273C">
        <w:trPr>
          <w:trHeight w:val="255"/>
        </w:trPr>
        <w:tc>
          <w:tcPr>
            <w:tcW w:w="4820" w:type="dxa"/>
            <w:tcBorders>
              <w:top w:val="nil"/>
              <w:left w:val="single" w:sz="8" w:space="0" w:color="auto"/>
              <w:bottom w:val="nil"/>
              <w:right w:val="single" w:sz="8" w:space="0" w:color="auto"/>
            </w:tcBorders>
            <w:shd w:val="clear" w:color="auto" w:fill="auto"/>
            <w:noWrap/>
            <w:vAlign w:val="center"/>
            <w:hideMark/>
          </w:tcPr>
          <w:p w14:paraId="2400CE38" w14:textId="77777777" w:rsidR="003404A2" w:rsidRPr="00B16A18" w:rsidRDefault="003404A2" w:rsidP="0015273C">
            <w:pPr>
              <w:spacing w:after="0" w:line="240" w:lineRule="auto"/>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 xml:space="preserve">      Conta Única RPPS</w:t>
            </w:r>
          </w:p>
        </w:tc>
        <w:tc>
          <w:tcPr>
            <w:tcW w:w="1134" w:type="dxa"/>
            <w:tcBorders>
              <w:top w:val="nil"/>
              <w:left w:val="nil"/>
              <w:bottom w:val="nil"/>
              <w:right w:val="single" w:sz="8" w:space="0" w:color="auto"/>
            </w:tcBorders>
            <w:shd w:val="clear" w:color="auto" w:fill="auto"/>
            <w:vAlign w:val="center"/>
            <w:hideMark/>
          </w:tcPr>
          <w:p w14:paraId="4DF40CEA"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BFI.C071</w:t>
            </w:r>
          </w:p>
        </w:tc>
        <w:tc>
          <w:tcPr>
            <w:tcW w:w="1276" w:type="dxa"/>
            <w:tcBorders>
              <w:top w:val="nil"/>
              <w:left w:val="nil"/>
              <w:bottom w:val="nil"/>
              <w:right w:val="single" w:sz="8" w:space="0" w:color="auto"/>
            </w:tcBorders>
            <w:shd w:val="clear" w:color="auto" w:fill="auto"/>
            <w:vAlign w:val="center"/>
            <w:hideMark/>
          </w:tcPr>
          <w:p w14:paraId="26A04D4B"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BFI.D071</w:t>
            </w:r>
          </w:p>
        </w:tc>
        <w:tc>
          <w:tcPr>
            <w:tcW w:w="4243" w:type="dxa"/>
            <w:tcBorders>
              <w:top w:val="nil"/>
              <w:left w:val="nil"/>
              <w:bottom w:val="nil"/>
              <w:right w:val="single" w:sz="8" w:space="0" w:color="auto"/>
            </w:tcBorders>
            <w:shd w:val="clear" w:color="auto" w:fill="auto"/>
            <w:noWrap/>
            <w:vAlign w:val="center"/>
            <w:hideMark/>
          </w:tcPr>
          <w:p w14:paraId="6EC1F961" w14:textId="77777777" w:rsidR="003404A2" w:rsidRPr="00B16A18" w:rsidRDefault="003404A2" w:rsidP="0015273C">
            <w:pPr>
              <w:spacing w:after="0" w:line="240" w:lineRule="auto"/>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 xml:space="preserve">      Conta Única RPPS</w:t>
            </w:r>
          </w:p>
        </w:tc>
        <w:tc>
          <w:tcPr>
            <w:tcW w:w="1285" w:type="dxa"/>
            <w:tcBorders>
              <w:top w:val="nil"/>
              <w:left w:val="nil"/>
              <w:bottom w:val="nil"/>
              <w:right w:val="single" w:sz="8" w:space="0" w:color="auto"/>
            </w:tcBorders>
            <w:shd w:val="clear" w:color="auto" w:fill="auto"/>
            <w:vAlign w:val="center"/>
            <w:hideMark/>
          </w:tcPr>
          <w:p w14:paraId="2288F4DA"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BFI.G071</w:t>
            </w:r>
          </w:p>
        </w:tc>
        <w:tc>
          <w:tcPr>
            <w:tcW w:w="1276" w:type="dxa"/>
            <w:tcBorders>
              <w:top w:val="nil"/>
              <w:left w:val="nil"/>
              <w:bottom w:val="nil"/>
              <w:right w:val="single" w:sz="8" w:space="0" w:color="auto"/>
            </w:tcBorders>
            <w:shd w:val="clear" w:color="auto" w:fill="auto"/>
            <w:vAlign w:val="center"/>
            <w:hideMark/>
          </w:tcPr>
          <w:p w14:paraId="7B261759"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BFI.H071</w:t>
            </w:r>
          </w:p>
        </w:tc>
      </w:tr>
      <w:tr w:rsidR="003404A2" w:rsidRPr="00B16A18" w14:paraId="37B71603" w14:textId="77777777" w:rsidTr="0015273C">
        <w:trPr>
          <w:trHeight w:val="255"/>
        </w:trPr>
        <w:tc>
          <w:tcPr>
            <w:tcW w:w="4820" w:type="dxa"/>
            <w:tcBorders>
              <w:top w:val="nil"/>
              <w:left w:val="single" w:sz="8" w:space="0" w:color="auto"/>
              <w:bottom w:val="nil"/>
              <w:right w:val="single" w:sz="8" w:space="0" w:color="auto"/>
            </w:tcBorders>
            <w:shd w:val="clear" w:color="auto" w:fill="auto"/>
            <w:noWrap/>
            <w:vAlign w:val="center"/>
            <w:hideMark/>
          </w:tcPr>
          <w:p w14:paraId="54E3CBE5" w14:textId="77777777" w:rsidR="003404A2" w:rsidRPr="00B16A18" w:rsidRDefault="003404A2" w:rsidP="0015273C">
            <w:pPr>
              <w:spacing w:after="0" w:line="240" w:lineRule="auto"/>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 xml:space="preserve">      Bancos Conta Movimento - Demais Contas</w:t>
            </w:r>
          </w:p>
        </w:tc>
        <w:tc>
          <w:tcPr>
            <w:tcW w:w="1134" w:type="dxa"/>
            <w:tcBorders>
              <w:top w:val="nil"/>
              <w:left w:val="nil"/>
              <w:bottom w:val="nil"/>
              <w:right w:val="single" w:sz="8" w:space="0" w:color="auto"/>
            </w:tcBorders>
            <w:shd w:val="clear" w:color="auto" w:fill="auto"/>
            <w:vAlign w:val="center"/>
            <w:hideMark/>
          </w:tcPr>
          <w:p w14:paraId="4211E0BD"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BFI.C072</w:t>
            </w:r>
          </w:p>
        </w:tc>
        <w:tc>
          <w:tcPr>
            <w:tcW w:w="1276" w:type="dxa"/>
            <w:tcBorders>
              <w:top w:val="nil"/>
              <w:left w:val="nil"/>
              <w:bottom w:val="nil"/>
              <w:right w:val="single" w:sz="8" w:space="0" w:color="auto"/>
            </w:tcBorders>
            <w:shd w:val="clear" w:color="auto" w:fill="auto"/>
            <w:vAlign w:val="center"/>
            <w:hideMark/>
          </w:tcPr>
          <w:p w14:paraId="42E7969D"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BFI.D072</w:t>
            </w:r>
          </w:p>
        </w:tc>
        <w:tc>
          <w:tcPr>
            <w:tcW w:w="4243" w:type="dxa"/>
            <w:tcBorders>
              <w:top w:val="nil"/>
              <w:left w:val="nil"/>
              <w:bottom w:val="nil"/>
              <w:right w:val="single" w:sz="8" w:space="0" w:color="auto"/>
            </w:tcBorders>
            <w:shd w:val="clear" w:color="auto" w:fill="auto"/>
            <w:noWrap/>
            <w:vAlign w:val="center"/>
            <w:hideMark/>
          </w:tcPr>
          <w:p w14:paraId="4989EAB6" w14:textId="77777777" w:rsidR="003404A2" w:rsidRPr="00B16A18" w:rsidRDefault="003404A2" w:rsidP="0015273C">
            <w:pPr>
              <w:spacing w:after="0" w:line="240" w:lineRule="auto"/>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 xml:space="preserve">      Bancos Conta Movimento - Demais Contas</w:t>
            </w:r>
          </w:p>
        </w:tc>
        <w:tc>
          <w:tcPr>
            <w:tcW w:w="1285" w:type="dxa"/>
            <w:tcBorders>
              <w:top w:val="nil"/>
              <w:left w:val="nil"/>
              <w:bottom w:val="nil"/>
              <w:right w:val="single" w:sz="8" w:space="0" w:color="auto"/>
            </w:tcBorders>
            <w:shd w:val="clear" w:color="auto" w:fill="auto"/>
            <w:vAlign w:val="center"/>
            <w:hideMark/>
          </w:tcPr>
          <w:p w14:paraId="4AFE349D"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BFI.G072</w:t>
            </w:r>
          </w:p>
        </w:tc>
        <w:tc>
          <w:tcPr>
            <w:tcW w:w="1276" w:type="dxa"/>
            <w:tcBorders>
              <w:top w:val="nil"/>
              <w:left w:val="nil"/>
              <w:bottom w:val="nil"/>
              <w:right w:val="single" w:sz="8" w:space="0" w:color="auto"/>
            </w:tcBorders>
            <w:shd w:val="clear" w:color="auto" w:fill="auto"/>
            <w:vAlign w:val="center"/>
            <w:hideMark/>
          </w:tcPr>
          <w:p w14:paraId="1535457A"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BFI.H072</w:t>
            </w:r>
          </w:p>
        </w:tc>
      </w:tr>
      <w:tr w:rsidR="003404A2" w:rsidRPr="00B16A18" w14:paraId="0B6F43AF" w14:textId="77777777" w:rsidTr="0015273C">
        <w:trPr>
          <w:trHeight w:val="255"/>
        </w:trPr>
        <w:tc>
          <w:tcPr>
            <w:tcW w:w="4820" w:type="dxa"/>
            <w:tcBorders>
              <w:top w:val="nil"/>
              <w:left w:val="single" w:sz="8" w:space="0" w:color="auto"/>
              <w:bottom w:val="nil"/>
              <w:right w:val="single" w:sz="8" w:space="0" w:color="auto"/>
            </w:tcBorders>
            <w:shd w:val="clear" w:color="auto" w:fill="auto"/>
            <w:noWrap/>
            <w:vAlign w:val="center"/>
            <w:hideMark/>
          </w:tcPr>
          <w:p w14:paraId="05D44FE1" w14:textId="77777777" w:rsidR="003404A2" w:rsidRPr="00B16A18" w:rsidRDefault="003404A2" w:rsidP="0015273C">
            <w:pPr>
              <w:spacing w:after="0" w:line="240" w:lineRule="auto"/>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 xml:space="preserve">      Rede Bancária - Arrecadação</w:t>
            </w:r>
          </w:p>
        </w:tc>
        <w:tc>
          <w:tcPr>
            <w:tcW w:w="1134" w:type="dxa"/>
            <w:tcBorders>
              <w:top w:val="nil"/>
              <w:left w:val="nil"/>
              <w:bottom w:val="nil"/>
              <w:right w:val="single" w:sz="8" w:space="0" w:color="auto"/>
            </w:tcBorders>
            <w:shd w:val="clear" w:color="auto" w:fill="auto"/>
            <w:vAlign w:val="center"/>
            <w:hideMark/>
          </w:tcPr>
          <w:p w14:paraId="3D091599"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BFI.C073</w:t>
            </w:r>
          </w:p>
        </w:tc>
        <w:tc>
          <w:tcPr>
            <w:tcW w:w="1276" w:type="dxa"/>
            <w:tcBorders>
              <w:top w:val="nil"/>
              <w:left w:val="nil"/>
              <w:bottom w:val="nil"/>
              <w:right w:val="single" w:sz="8" w:space="0" w:color="auto"/>
            </w:tcBorders>
            <w:shd w:val="clear" w:color="auto" w:fill="auto"/>
            <w:vAlign w:val="center"/>
            <w:hideMark/>
          </w:tcPr>
          <w:p w14:paraId="208E6487"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BFI.D073</w:t>
            </w:r>
          </w:p>
        </w:tc>
        <w:tc>
          <w:tcPr>
            <w:tcW w:w="4243" w:type="dxa"/>
            <w:tcBorders>
              <w:top w:val="nil"/>
              <w:left w:val="nil"/>
              <w:bottom w:val="nil"/>
              <w:right w:val="single" w:sz="8" w:space="0" w:color="auto"/>
            </w:tcBorders>
            <w:shd w:val="clear" w:color="auto" w:fill="auto"/>
            <w:noWrap/>
            <w:vAlign w:val="center"/>
            <w:hideMark/>
          </w:tcPr>
          <w:p w14:paraId="11B34FA2" w14:textId="77777777" w:rsidR="003404A2" w:rsidRPr="00B16A18" w:rsidRDefault="003404A2" w:rsidP="0015273C">
            <w:pPr>
              <w:spacing w:after="0" w:line="240" w:lineRule="auto"/>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 xml:space="preserve">      Rede Bancária - Arrecadação</w:t>
            </w:r>
          </w:p>
        </w:tc>
        <w:tc>
          <w:tcPr>
            <w:tcW w:w="1285" w:type="dxa"/>
            <w:tcBorders>
              <w:top w:val="nil"/>
              <w:left w:val="nil"/>
              <w:bottom w:val="nil"/>
              <w:right w:val="single" w:sz="8" w:space="0" w:color="auto"/>
            </w:tcBorders>
            <w:shd w:val="clear" w:color="auto" w:fill="auto"/>
            <w:vAlign w:val="center"/>
            <w:hideMark/>
          </w:tcPr>
          <w:p w14:paraId="2702C35C"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BFI.G073</w:t>
            </w:r>
          </w:p>
        </w:tc>
        <w:tc>
          <w:tcPr>
            <w:tcW w:w="1276" w:type="dxa"/>
            <w:tcBorders>
              <w:top w:val="nil"/>
              <w:left w:val="nil"/>
              <w:bottom w:val="nil"/>
              <w:right w:val="single" w:sz="8" w:space="0" w:color="auto"/>
            </w:tcBorders>
            <w:shd w:val="clear" w:color="auto" w:fill="auto"/>
            <w:vAlign w:val="center"/>
            <w:hideMark/>
          </w:tcPr>
          <w:p w14:paraId="300D5B2B"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BFI.H073</w:t>
            </w:r>
          </w:p>
        </w:tc>
      </w:tr>
      <w:tr w:rsidR="003404A2" w:rsidRPr="00B16A18" w14:paraId="25656A35" w14:textId="77777777" w:rsidTr="0015273C">
        <w:trPr>
          <w:trHeight w:val="255"/>
        </w:trPr>
        <w:tc>
          <w:tcPr>
            <w:tcW w:w="4820" w:type="dxa"/>
            <w:tcBorders>
              <w:top w:val="nil"/>
              <w:left w:val="single" w:sz="8" w:space="0" w:color="auto"/>
              <w:bottom w:val="nil"/>
              <w:right w:val="single" w:sz="8" w:space="0" w:color="auto"/>
            </w:tcBorders>
            <w:shd w:val="clear" w:color="auto" w:fill="auto"/>
            <w:noWrap/>
            <w:vAlign w:val="center"/>
            <w:hideMark/>
          </w:tcPr>
          <w:p w14:paraId="468459DB" w14:textId="77777777" w:rsidR="003404A2" w:rsidRPr="00B16A18" w:rsidRDefault="003404A2" w:rsidP="0015273C">
            <w:pPr>
              <w:spacing w:after="0" w:line="240" w:lineRule="auto"/>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 xml:space="preserve">      Aplicações Financeiras de Liquidez Imediata</w:t>
            </w:r>
          </w:p>
        </w:tc>
        <w:tc>
          <w:tcPr>
            <w:tcW w:w="1134" w:type="dxa"/>
            <w:tcBorders>
              <w:top w:val="nil"/>
              <w:left w:val="nil"/>
              <w:bottom w:val="nil"/>
              <w:right w:val="single" w:sz="8" w:space="0" w:color="auto"/>
            </w:tcBorders>
            <w:shd w:val="clear" w:color="auto" w:fill="auto"/>
            <w:vAlign w:val="center"/>
            <w:hideMark/>
          </w:tcPr>
          <w:p w14:paraId="5E77F2C2"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BFI.C074</w:t>
            </w:r>
          </w:p>
        </w:tc>
        <w:tc>
          <w:tcPr>
            <w:tcW w:w="1276" w:type="dxa"/>
            <w:tcBorders>
              <w:top w:val="nil"/>
              <w:left w:val="nil"/>
              <w:bottom w:val="nil"/>
              <w:right w:val="single" w:sz="8" w:space="0" w:color="auto"/>
            </w:tcBorders>
            <w:shd w:val="clear" w:color="auto" w:fill="auto"/>
            <w:vAlign w:val="center"/>
            <w:hideMark/>
          </w:tcPr>
          <w:p w14:paraId="3AA8F244"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BFI.D074</w:t>
            </w:r>
          </w:p>
        </w:tc>
        <w:tc>
          <w:tcPr>
            <w:tcW w:w="4243" w:type="dxa"/>
            <w:tcBorders>
              <w:top w:val="nil"/>
              <w:left w:val="nil"/>
              <w:bottom w:val="nil"/>
              <w:right w:val="single" w:sz="8" w:space="0" w:color="auto"/>
            </w:tcBorders>
            <w:shd w:val="clear" w:color="auto" w:fill="auto"/>
            <w:noWrap/>
            <w:vAlign w:val="center"/>
            <w:hideMark/>
          </w:tcPr>
          <w:p w14:paraId="7E62E2DB" w14:textId="77777777" w:rsidR="003404A2" w:rsidRPr="00B16A18" w:rsidRDefault="003404A2" w:rsidP="0015273C">
            <w:pPr>
              <w:spacing w:after="0" w:line="240" w:lineRule="auto"/>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 xml:space="preserve">      Aplicações Financeiras de Liquidez Imediata</w:t>
            </w:r>
          </w:p>
        </w:tc>
        <w:tc>
          <w:tcPr>
            <w:tcW w:w="1285" w:type="dxa"/>
            <w:tcBorders>
              <w:top w:val="nil"/>
              <w:left w:val="nil"/>
              <w:bottom w:val="nil"/>
              <w:right w:val="single" w:sz="8" w:space="0" w:color="auto"/>
            </w:tcBorders>
            <w:shd w:val="clear" w:color="auto" w:fill="auto"/>
            <w:vAlign w:val="center"/>
            <w:hideMark/>
          </w:tcPr>
          <w:p w14:paraId="32A5E8B1"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BFI.G074</w:t>
            </w:r>
          </w:p>
        </w:tc>
        <w:tc>
          <w:tcPr>
            <w:tcW w:w="1276" w:type="dxa"/>
            <w:tcBorders>
              <w:top w:val="nil"/>
              <w:left w:val="nil"/>
              <w:bottom w:val="nil"/>
              <w:right w:val="single" w:sz="8" w:space="0" w:color="auto"/>
            </w:tcBorders>
            <w:shd w:val="clear" w:color="auto" w:fill="auto"/>
            <w:vAlign w:val="center"/>
            <w:hideMark/>
          </w:tcPr>
          <w:p w14:paraId="21DC8EF7"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BFI.H074</w:t>
            </w:r>
          </w:p>
        </w:tc>
      </w:tr>
      <w:tr w:rsidR="003404A2" w:rsidRPr="00B16A18" w14:paraId="3E4546FF" w14:textId="77777777" w:rsidTr="0015273C">
        <w:trPr>
          <w:trHeight w:val="255"/>
        </w:trPr>
        <w:tc>
          <w:tcPr>
            <w:tcW w:w="4820" w:type="dxa"/>
            <w:tcBorders>
              <w:top w:val="nil"/>
              <w:left w:val="single" w:sz="8" w:space="0" w:color="auto"/>
              <w:bottom w:val="nil"/>
              <w:right w:val="single" w:sz="8" w:space="0" w:color="auto"/>
            </w:tcBorders>
            <w:shd w:val="clear" w:color="auto" w:fill="auto"/>
            <w:noWrap/>
            <w:vAlign w:val="center"/>
          </w:tcPr>
          <w:p w14:paraId="3EA829E1" w14:textId="77777777" w:rsidR="003404A2" w:rsidRPr="00B16A18" w:rsidRDefault="003404A2" w:rsidP="0015273C">
            <w:pPr>
              <w:spacing w:after="0" w:line="240" w:lineRule="auto"/>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 xml:space="preserve">   Caixa e Equivalentes de Caixa - Intra OFSS</w:t>
            </w:r>
          </w:p>
        </w:tc>
        <w:tc>
          <w:tcPr>
            <w:tcW w:w="1134" w:type="dxa"/>
            <w:tcBorders>
              <w:top w:val="nil"/>
              <w:left w:val="nil"/>
              <w:bottom w:val="nil"/>
              <w:right w:val="single" w:sz="8" w:space="0" w:color="auto"/>
            </w:tcBorders>
            <w:shd w:val="clear" w:color="auto" w:fill="auto"/>
            <w:vAlign w:val="center"/>
          </w:tcPr>
          <w:p w14:paraId="545B602C"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BFI.C077</w:t>
            </w:r>
          </w:p>
        </w:tc>
        <w:tc>
          <w:tcPr>
            <w:tcW w:w="1276" w:type="dxa"/>
            <w:tcBorders>
              <w:top w:val="nil"/>
              <w:left w:val="nil"/>
              <w:bottom w:val="nil"/>
              <w:right w:val="single" w:sz="8" w:space="0" w:color="auto"/>
            </w:tcBorders>
            <w:shd w:val="clear" w:color="auto" w:fill="auto"/>
            <w:vAlign w:val="center"/>
          </w:tcPr>
          <w:p w14:paraId="5085641B"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BFI.D077</w:t>
            </w:r>
          </w:p>
        </w:tc>
        <w:tc>
          <w:tcPr>
            <w:tcW w:w="4243" w:type="dxa"/>
            <w:tcBorders>
              <w:top w:val="nil"/>
              <w:left w:val="nil"/>
              <w:bottom w:val="nil"/>
              <w:right w:val="single" w:sz="8" w:space="0" w:color="auto"/>
            </w:tcBorders>
            <w:shd w:val="clear" w:color="auto" w:fill="auto"/>
            <w:noWrap/>
            <w:vAlign w:val="center"/>
          </w:tcPr>
          <w:p w14:paraId="285E3DC5" w14:textId="77777777" w:rsidR="003404A2" w:rsidRPr="00B16A18" w:rsidRDefault="003404A2" w:rsidP="0015273C">
            <w:pPr>
              <w:spacing w:after="0" w:line="240" w:lineRule="auto"/>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 xml:space="preserve">   Caixa e Equivalentes de Caixa - Intra OFSS</w:t>
            </w:r>
          </w:p>
        </w:tc>
        <w:tc>
          <w:tcPr>
            <w:tcW w:w="1285" w:type="dxa"/>
            <w:tcBorders>
              <w:top w:val="nil"/>
              <w:left w:val="nil"/>
              <w:bottom w:val="nil"/>
              <w:right w:val="single" w:sz="8" w:space="0" w:color="auto"/>
            </w:tcBorders>
            <w:shd w:val="clear" w:color="auto" w:fill="auto"/>
            <w:vAlign w:val="center"/>
          </w:tcPr>
          <w:p w14:paraId="42747FDD"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BFI.G077</w:t>
            </w:r>
          </w:p>
        </w:tc>
        <w:tc>
          <w:tcPr>
            <w:tcW w:w="1276" w:type="dxa"/>
            <w:tcBorders>
              <w:top w:val="nil"/>
              <w:left w:val="nil"/>
              <w:bottom w:val="nil"/>
              <w:right w:val="single" w:sz="8" w:space="0" w:color="auto"/>
            </w:tcBorders>
            <w:shd w:val="clear" w:color="auto" w:fill="auto"/>
            <w:vAlign w:val="center"/>
          </w:tcPr>
          <w:p w14:paraId="0A5A1E33"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BFI.H077</w:t>
            </w:r>
          </w:p>
        </w:tc>
      </w:tr>
      <w:tr w:rsidR="003404A2" w:rsidRPr="00B16A18" w14:paraId="211DCF83" w14:textId="77777777" w:rsidTr="0015273C">
        <w:trPr>
          <w:trHeight w:val="270"/>
        </w:trPr>
        <w:tc>
          <w:tcPr>
            <w:tcW w:w="4820" w:type="dxa"/>
            <w:tcBorders>
              <w:top w:val="nil"/>
              <w:left w:val="single" w:sz="8" w:space="0" w:color="auto"/>
              <w:bottom w:val="nil"/>
              <w:right w:val="single" w:sz="8" w:space="0" w:color="auto"/>
            </w:tcBorders>
            <w:shd w:val="clear" w:color="auto" w:fill="auto"/>
            <w:noWrap/>
            <w:vAlign w:val="center"/>
          </w:tcPr>
          <w:p w14:paraId="02C16E85" w14:textId="77777777" w:rsidR="003404A2" w:rsidRPr="00B16A18" w:rsidRDefault="003404A2" w:rsidP="0015273C">
            <w:pPr>
              <w:spacing w:after="0" w:line="240" w:lineRule="auto"/>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 xml:space="preserve">   Depósitos Restituíveis e Valores Vinculados</w:t>
            </w:r>
          </w:p>
        </w:tc>
        <w:tc>
          <w:tcPr>
            <w:tcW w:w="1134" w:type="dxa"/>
            <w:tcBorders>
              <w:top w:val="nil"/>
              <w:left w:val="nil"/>
              <w:bottom w:val="nil"/>
              <w:right w:val="single" w:sz="8" w:space="0" w:color="auto"/>
            </w:tcBorders>
            <w:shd w:val="clear" w:color="auto" w:fill="auto"/>
            <w:vAlign w:val="center"/>
          </w:tcPr>
          <w:p w14:paraId="51B99B8A" w14:textId="77777777" w:rsidR="003404A2" w:rsidRPr="00B16A18" w:rsidRDefault="003404A2" w:rsidP="0015273C">
            <w:pPr>
              <w:spacing w:after="0" w:line="240" w:lineRule="auto"/>
              <w:jc w:val="center"/>
              <w:rPr>
                <w:rFonts w:ascii="Arial Narrow" w:eastAsia="Times New Roman" w:hAnsi="Arial Narrow" w:cs="Arial"/>
                <w:b/>
                <w:bCs/>
                <w:sz w:val="16"/>
                <w:szCs w:val="16"/>
                <w:lang w:eastAsia="pt-BR"/>
              </w:rPr>
            </w:pPr>
            <w:r w:rsidRPr="00B16A18">
              <w:rPr>
                <w:rFonts w:ascii="Arial Narrow" w:eastAsia="Times New Roman" w:hAnsi="Arial Narrow" w:cs="Arial"/>
                <w:b/>
                <w:bCs/>
                <w:sz w:val="16"/>
                <w:szCs w:val="16"/>
                <w:lang w:eastAsia="pt-BR"/>
              </w:rPr>
              <w:t>BFI.C075</w:t>
            </w:r>
          </w:p>
        </w:tc>
        <w:tc>
          <w:tcPr>
            <w:tcW w:w="1276" w:type="dxa"/>
            <w:tcBorders>
              <w:top w:val="nil"/>
              <w:left w:val="nil"/>
              <w:bottom w:val="nil"/>
              <w:right w:val="single" w:sz="8" w:space="0" w:color="auto"/>
            </w:tcBorders>
            <w:shd w:val="clear" w:color="auto" w:fill="auto"/>
            <w:vAlign w:val="center"/>
          </w:tcPr>
          <w:p w14:paraId="5890D1F4" w14:textId="77777777" w:rsidR="003404A2" w:rsidRPr="00B16A18" w:rsidRDefault="003404A2" w:rsidP="0015273C">
            <w:pPr>
              <w:spacing w:after="0" w:line="240" w:lineRule="auto"/>
              <w:jc w:val="center"/>
              <w:rPr>
                <w:rFonts w:ascii="Arial Narrow" w:eastAsia="Times New Roman" w:hAnsi="Arial Narrow" w:cs="Arial"/>
                <w:b/>
                <w:bCs/>
                <w:sz w:val="16"/>
                <w:szCs w:val="16"/>
                <w:lang w:eastAsia="pt-BR"/>
              </w:rPr>
            </w:pPr>
            <w:r w:rsidRPr="00B16A18">
              <w:rPr>
                <w:rFonts w:ascii="Arial Narrow" w:eastAsia="Times New Roman" w:hAnsi="Arial Narrow" w:cs="Arial"/>
                <w:b/>
                <w:bCs/>
                <w:sz w:val="16"/>
                <w:szCs w:val="16"/>
                <w:lang w:eastAsia="pt-BR"/>
              </w:rPr>
              <w:t>BFI.D075</w:t>
            </w:r>
          </w:p>
        </w:tc>
        <w:tc>
          <w:tcPr>
            <w:tcW w:w="4243" w:type="dxa"/>
            <w:tcBorders>
              <w:top w:val="nil"/>
              <w:left w:val="nil"/>
              <w:bottom w:val="nil"/>
              <w:right w:val="single" w:sz="8" w:space="0" w:color="auto"/>
            </w:tcBorders>
            <w:shd w:val="clear" w:color="auto" w:fill="auto"/>
            <w:noWrap/>
            <w:vAlign w:val="center"/>
          </w:tcPr>
          <w:p w14:paraId="46D35FCC" w14:textId="77777777" w:rsidR="003404A2" w:rsidRPr="00B16A18" w:rsidRDefault="003404A2" w:rsidP="0015273C">
            <w:pPr>
              <w:spacing w:after="0" w:line="240" w:lineRule="auto"/>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 xml:space="preserve">   Depósitos Restituíveis e Valores Vinculados</w:t>
            </w:r>
          </w:p>
        </w:tc>
        <w:tc>
          <w:tcPr>
            <w:tcW w:w="1285" w:type="dxa"/>
            <w:tcBorders>
              <w:top w:val="nil"/>
              <w:left w:val="nil"/>
              <w:bottom w:val="nil"/>
              <w:right w:val="single" w:sz="8" w:space="0" w:color="auto"/>
            </w:tcBorders>
            <w:shd w:val="clear" w:color="auto" w:fill="auto"/>
            <w:vAlign w:val="center"/>
          </w:tcPr>
          <w:p w14:paraId="360EED00" w14:textId="77777777" w:rsidR="003404A2" w:rsidRPr="00B16A18" w:rsidRDefault="003404A2" w:rsidP="0015273C">
            <w:pPr>
              <w:spacing w:after="0" w:line="240" w:lineRule="auto"/>
              <w:jc w:val="center"/>
              <w:rPr>
                <w:rFonts w:ascii="Arial Narrow" w:eastAsia="Times New Roman" w:hAnsi="Arial Narrow" w:cs="Arial"/>
                <w:b/>
                <w:bCs/>
                <w:sz w:val="16"/>
                <w:szCs w:val="16"/>
                <w:lang w:eastAsia="pt-BR"/>
              </w:rPr>
            </w:pPr>
            <w:r w:rsidRPr="00B16A18">
              <w:rPr>
                <w:rFonts w:ascii="Arial Narrow" w:eastAsia="Times New Roman" w:hAnsi="Arial Narrow" w:cs="Arial"/>
                <w:b/>
                <w:bCs/>
                <w:sz w:val="16"/>
                <w:szCs w:val="16"/>
                <w:lang w:eastAsia="pt-BR"/>
              </w:rPr>
              <w:t>BFI.G075</w:t>
            </w:r>
          </w:p>
        </w:tc>
        <w:tc>
          <w:tcPr>
            <w:tcW w:w="1276" w:type="dxa"/>
            <w:tcBorders>
              <w:top w:val="nil"/>
              <w:left w:val="nil"/>
              <w:bottom w:val="nil"/>
              <w:right w:val="single" w:sz="8" w:space="0" w:color="auto"/>
            </w:tcBorders>
            <w:shd w:val="clear" w:color="auto" w:fill="auto"/>
            <w:vAlign w:val="center"/>
          </w:tcPr>
          <w:p w14:paraId="75A6F54F" w14:textId="77777777" w:rsidR="003404A2" w:rsidRPr="00B16A18" w:rsidRDefault="003404A2" w:rsidP="0015273C">
            <w:pPr>
              <w:spacing w:after="0" w:line="240" w:lineRule="auto"/>
              <w:jc w:val="center"/>
              <w:rPr>
                <w:rFonts w:ascii="Arial Narrow" w:eastAsia="Times New Roman" w:hAnsi="Arial Narrow" w:cs="Arial"/>
                <w:b/>
                <w:bCs/>
                <w:sz w:val="16"/>
                <w:szCs w:val="16"/>
                <w:lang w:eastAsia="pt-BR"/>
              </w:rPr>
            </w:pPr>
            <w:r w:rsidRPr="00B16A18">
              <w:rPr>
                <w:rFonts w:ascii="Arial Narrow" w:eastAsia="Times New Roman" w:hAnsi="Arial Narrow" w:cs="Arial"/>
                <w:b/>
                <w:bCs/>
                <w:sz w:val="16"/>
                <w:szCs w:val="16"/>
                <w:lang w:eastAsia="pt-BR"/>
              </w:rPr>
              <w:t>BFI.H075</w:t>
            </w:r>
          </w:p>
        </w:tc>
      </w:tr>
      <w:tr w:rsidR="003404A2" w:rsidRPr="00B16A18" w14:paraId="5DBC451F" w14:textId="77777777" w:rsidTr="0015273C">
        <w:trPr>
          <w:trHeight w:val="270"/>
        </w:trPr>
        <w:tc>
          <w:tcPr>
            <w:tcW w:w="4820" w:type="dxa"/>
            <w:tcBorders>
              <w:top w:val="nil"/>
              <w:left w:val="single" w:sz="8" w:space="0" w:color="auto"/>
              <w:bottom w:val="nil"/>
              <w:right w:val="single" w:sz="8" w:space="0" w:color="auto"/>
            </w:tcBorders>
            <w:shd w:val="clear" w:color="auto" w:fill="auto"/>
            <w:noWrap/>
            <w:vAlign w:val="center"/>
            <w:hideMark/>
          </w:tcPr>
          <w:p w14:paraId="0FAE9927" w14:textId="77777777" w:rsidR="003404A2" w:rsidRPr="00B16A18" w:rsidRDefault="003404A2" w:rsidP="0015273C">
            <w:pPr>
              <w:spacing w:after="0" w:line="240" w:lineRule="auto"/>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 xml:space="preserve">   Investimentos e Aplicações Temporárias a Curto Prazo - RPPS</w:t>
            </w:r>
          </w:p>
        </w:tc>
        <w:tc>
          <w:tcPr>
            <w:tcW w:w="1134" w:type="dxa"/>
            <w:tcBorders>
              <w:top w:val="nil"/>
              <w:left w:val="nil"/>
              <w:bottom w:val="nil"/>
              <w:right w:val="single" w:sz="8" w:space="0" w:color="auto"/>
            </w:tcBorders>
            <w:shd w:val="clear" w:color="auto" w:fill="auto"/>
            <w:vAlign w:val="center"/>
          </w:tcPr>
          <w:p w14:paraId="3836285D"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BFI.C095</w:t>
            </w:r>
          </w:p>
        </w:tc>
        <w:tc>
          <w:tcPr>
            <w:tcW w:w="1276" w:type="dxa"/>
            <w:tcBorders>
              <w:top w:val="nil"/>
              <w:left w:val="nil"/>
              <w:bottom w:val="nil"/>
              <w:right w:val="single" w:sz="8" w:space="0" w:color="auto"/>
            </w:tcBorders>
            <w:shd w:val="clear" w:color="auto" w:fill="auto"/>
            <w:vAlign w:val="center"/>
          </w:tcPr>
          <w:p w14:paraId="10B73E4C"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BFI.D095</w:t>
            </w:r>
          </w:p>
        </w:tc>
        <w:tc>
          <w:tcPr>
            <w:tcW w:w="4243" w:type="dxa"/>
            <w:tcBorders>
              <w:top w:val="nil"/>
              <w:left w:val="nil"/>
              <w:bottom w:val="nil"/>
              <w:right w:val="single" w:sz="8" w:space="0" w:color="auto"/>
            </w:tcBorders>
            <w:shd w:val="clear" w:color="auto" w:fill="auto"/>
            <w:noWrap/>
            <w:vAlign w:val="center"/>
          </w:tcPr>
          <w:p w14:paraId="60DD9A29" w14:textId="77777777" w:rsidR="003404A2" w:rsidRPr="00B16A18" w:rsidRDefault="003404A2" w:rsidP="0015273C">
            <w:pPr>
              <w:spacing w:after="0" w:line="240" w:lineRule="auto"/>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 xml:space="preserve">   Investimentos e Aplicações Temporárias a Curto Prazo - RPPS</w:t>
            </w:r>
          </w:p>
        </w:tc>
        <w:tc>
          <w:tcPr>
            <w:tcW w:w="1285" w:type="dxa"/>
            <w:tcBorders>
              <w:top w:val="nil"/>
              <w:left w:val="nil"/>
              <w:bottom w:val="nil"/>
              <w:right w:val="single" w:sz="8" w:space="0" w:color="auto"/>
            </w:tcBorders>
            <w:shd w:val="clear" w:color="auto" w:fill="auto"/>
            <w:vAlign w:val="center"/>
          </w:tcPr>
          <w:p w14:paraId="30700BB6"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BFI.G095</w:t>
            </w:r>
          </w:p>
        </w:tc>
        <w:tc>
          <w:tcPr>
            <w:tcW w:w="1276" w:type="dxa"/>
            <w:tcBorders>
              <w:top w:val="nil"/>
              <w:left w:val="nil"/>
              <w:bottom w:val="nil"/>
              <w:right w:val="single" w:sz="8" w:space="0" w:color="auto"/>
            </w:tcBorders>
            <w:shd w:val="clear" w:color="auto" w:fill="auto"/>
            <w:vAlign w:val="center"/>
          </w:tcPr>
          <w:p w14:paraId="557DFF69" w14:textId="77777777" w:rsidR="003404A2" w:rsidRPr="00B16A18" w:rsidRDefault="003404A2" w:rsidP="0015273C">
            <w:pPr>
              <w:spacing w:after="0" w:line="240" w:lineRule="auto"/>
              <w:jc w:val="center"/>
              <w:rPr>
                <w:rFonts w:ascii="Arial Narrow" w:eastAsia="Times New Roman" w:hAnsi="Arial Narrow" w:cs="Arial"/>
                <w:sz w:val="16"/>
                <w:szCs w:val="16"/>
                <w:lang w:eastAsia="pt-BR"/>
              </w:rPr>
            </w:pPr>
            <w:r w:rsidRPr="00B16A18">
              <w:rPr>
                <w:rFonts w:ascii="Arial Narrow" w:eastAsia="Times New Roman" w:hAnsi="Arial Narrow" w:cs="Arial"/>
                <w:sz w:val="16"/>
                <w:szCs w:val="16"/>
                <w:lang w:eastAsia="pt-BR"/>
              </w:rPr>
              <w:t>BFI.H095</w:t>
            </w:r>
          </w:p>
        </w:tc>
      </w:tr>
      <w:tr w:rsidR="003404A2" w:rsidRPr="00B16A18" w14:paraId="79E20B9E" w14:textId="77777777" w:rsidTr="0015273C">
        <w:trPr>
          <w:trHeight w:val="270"/>
        </w:trPr>
        <w:tc>
          <w:tcPr>
            <w:tcW w:w="4820" w:type="dxa"/>
            <w:tcBorders>
              <w:top w:val="single" w:sz="8" w:space="0" w:color="auto"/>
              <w:left w:val="single" w:sz="8" w:space="0" w:color="auto"/>
              <w:bottom w:val="single" w:sz="8" w:space="0" w:color="auto"/>
              <w:right w:val="nil"/>
            </w:tcBorders>
            <w:shd w:val="clear" w:color="auto" w:fill="auto"/>
            <w:noWrap/>
            <w:vAlign w:val="center"/>
            <w:hideMark/>
          </w:tcPr>
          <w:p w14:paraId="1AB49845" w14:textId="77777777" w:rsidR="003404A2" w:rsidRPr="00B16A18" w:rsidRDefault="003404A2" w:rsidP="0015273C">
            <w:pPr>
              <w:spacing w:after="0" w:line="240" w:lineRule="auto"/>
              <w:rPr>
                <w:rFonts w:ascii="Arial Narrow" w:eastAsia="Times New Roman" w:hAnsi="Arial Narrow" w:cs="Arial"/>
                <w:b/>
                <w:bCs/>
                <w:sz w:val="16"/>
                <w:szCs w:val="16"/>
                <w:lang w:eastAsia="pt-BR"/>
              </w:rPr>
            </w:pPr>
            <w:r w:rsidRPr="00B16A18">
              <w:rPr>
                <w:rFonts w:ascii="Arial Narrow" w:eastAsia="Times New Roman" w:hAnsi="Arial Narrow" w:cs="Arial"/>
                <w:b/>
                <w:bCs/>
                <w:sz w:val="16"/>
                <w:szCs w:val="16"/>
                <w:lang w:eastAsia="pt-BR"/>
              </w:rPr>
              <w:t>TOTAL (V) = (I + II + III +IV)</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14:paraId="1D425906" w14:textId="77777777" w:rsidR="003404A2" w:rsidRPr="00B16A18" w:rsidRDefault="003404A2" w:rsidP="0015273C">
            <w:pPr>
              <w:spacing w:after="0" w:line="240" w:lineRule="auto"/>
              <w:jc w:val="center"/>
              <w:rPr>
                <w:rFonts w:ascii="Arial Narrow" w:eastAsia="Times New Roman" w:hAnsi="Arial Narrow" w:cs="Arial"/>
                <w:b/>
                <w:bCs/>
                <w:sz w:val="16"/>
                <w:szCs w:val="16"/>
                <w:lang w:eastAsia="pt-BR"/>
              </w:rPr>
            </w:pPr>
            <w:r w:rsidRPr="00B16A18">
              <w:rPr>
                <w:rFonts w:ascii="Arial Narrow" w:eastAsia="Times New Roman" w:hAnsi="Arial Narrow" w:cs="Arial"/>
                <w:b/>
                <w:bCs/>
                <w:sz w:val="16"/>
                <w:szCs w:val="16"/>
                <w:lang w:eastAsia="pt-BR"/>
              </w:rPr>
              <w:t>BFI.C076</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14:paraId="155DF960" w14:textId="77777777" w:rsidR="003404A2" w:rsidRPr="00B16A18" w:rsidRDefault="003404A2" w:rsidP="0015273C">
            <w:pPr>
              <w:spacing w:after="0" w:line="240" w:lineRule="auto"/>
              <w:jc w:val="center"/>
              <w:rPr>
                <w:rFonts w:ascii="Arial Narrow" w:eastAsia="Times New Roman" w:hAnsi="Arial Narrow" w:cs="Arial"/>
                <w:b/>
                <w:bCs/>
                <w:sz w:val="16"/>
                <w:szCs w:val="16"/>
                <w:lang w:eastAsia="pt-BR"/>
              </w:rPr>
            </w:pPr>
            <w:r w:rsidRPr="00B16A18">
              <w:rPr>
                <w:rFonts w:ascii="Arial Narrow" w:eastAsia="Times New Roman" w:hAnsi="Arial Narrow" w:cs="Arial"/>
                <w:b/>
                <w:bCs/>
                <w:sz w:val="16"/>
                <w:szCs w:val="16"/>
                <w:lang w:eastAsia="pt-BR"/>
              </w:rPr>
              <w:t>BFI.D076</w:t>
            </w:r>
          </w:p>
        </w:tc>
        <w:tc>
          <w:tcPr>
            <w:tcW w:w="4243" w:type="dxa"/>
            <w:tcBorders>
              <w:top w:val="single" w:sz="8" w:space="0" w:color="auto"/>
              <w:left w:val="nil"/>
              <w:bottom w:val="single" w:sz="8" w:space="0" w:color="auto"/>
              <w:right w:val="nil"/>
            </w:tcBorders>
            <w:shd w:val="clear" w:color="auto" w:fill="auto"/>
            <w:noWrap/>
            <w:vAlign w:val="center"/>
            <w:hideMark/>
          </w:tcPr>
          <w:p w14:paraId="51348235" w14:textId="77777777" w:rsidR="003404A2" w:rsidRPr="00B16A18" w:rsidRDefault="003404A2" w:rsidP="0015273C">
            <w:pPr>
              <w:spacing w:after="0" w:line="240" w:lineRule="auto"/>
              <w:rPr>
                <w:rFonts w:ascii="Arial Narrow" w:eastAsia="Times New Roman" w:hAnsi="Arial Narrow" w:cs="Arial"/>
                <w:b/>
                <w:bCs/>
                <w:sz w:val="16"/>
                <w:szCs w:val="16"/>
                <w:lang w:eastAsia="pt-BR"/>
              </w:rPr>
            </w:pPr>
            <w:r w:rsidRPr="00B16A18">
              <w:rPr>
                <w:rFonts w:ascii="Arial Narrow" w:eastAsia="Times New Roman" w:hAnsi="Arial Narrow" w:cs="Arial"/>
                <w:b/>
                <w:bCs/>
                <w:sz w:val="16"/>
                <w:szCs w:val="16"/>
                <w:lang w:eastAsia="pt-BR"/>
              </w:rPr>
              <w:t xml:space="preserve">TOTAL (X) = (VI + VII + VIII + IX) </w:t>
            </w:r>
          </w:p>
        </w:tc>
        <w:tc>
          <w:tcPr>
            <w:tcW w:w="1285" w:type="dxa"/>
            <w:tcBorders>
              <w:top w:val="single" w:sz="8" w:space="0" w:color="auto"/>
              <w:left w:val="nil"/>
              <w:bottom w:val="single" w:sz="8" w:space="0" w:color="auto"/>
              <w:right w:val="single" w:sz="8" w:space="0" w:color="auto"/>
            </w:tcBorders>
            <w:shd w:val="clear" w:color="auto" w:fill="auto"/>
            <w:vAlign w:val="center"/>
            <w:hideMark/>
          </w:tcPr>
          <w:p w14:paraId="66741D25" w14:textId="77777777" w:rsidR="003404A2" w:rsidRPr="00B16A18" w:rsidRDefault="003404A2" w:rsidP="0015273C">
            <w:pPr>
              <w:spacing w:after="0" w:line="240" w:lineRule="auto"/>
              <w:jc w:val="center"/>
              <w:rPr>
                <w:rFonts w:ascii="Arial Narrow" w:eastAsia="Times New Roman" w:hAnsi="Arial Narrow" w:cs="Arial"/>
                <w:b/>
                <w:bCs/>
                <w:sz w:val="16"/>
                <w:szCs w:val="16"/>
                <w:lang w:eastAsia="pt-BR"/>
              </w:rPr>
            </w:pPr>
            <w:r w:rsidRPr="00B16A18">
              <w:rPr>
                <w:rFonts w:ascii="Arial Narrow" w:eastAsia="Times New Roman" w:hAnsi="Arial Narrow" w:cs="Arial"/>
                <w:b/>
                <w:bCs/>
                <w:sz w:val="16"/>
                <w:szCs w:val="16"/>
                <w:lang w:eastAsia="pt-BR"/>
              </w:rPr>
              <w:t>BFI.G076</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14:paraId="0F8EF1E1" w14:textId="77777777" w:rsidR="003404A2" w:rsidRPr="00B16A18" w:rsidRDefault="003404A2" w:rsidP="0015273C">
            <w:pPr>
              <w:spacing w:after="0" w:line="240" w:lineRule="auto"/>
              <w:jc w:val="center"/>
              <w:rPr>
                <w:rFonts w:ascii="Arial Narrow" w:eastAsia="Times New Roman" w:hAnsi="Arial Narrow" w:cs="Arial"/>
                <w:b/>
                <w:bCs/>
                <w:sz w:val="16"/>
                <w:szCs w:val="16"/>
                <w:lang w:eastAsia="pt-BR"/>
              </w:rPr>
            </w:pPr>
            <w:r w:rsidRPr="00B16A18">
              <w:rPr>
                <w:rFonts w:ascii="Arial Narrow" w:eastAsia="Times New Roman" w:hAnsi="Arial Narrow" w:cs="Arial"/>
                <w:b/>
                <w:bCs/>
                <w:sz w:val="16"/>
                <w:szCs w:val="16"/>
                <w:lang w:eastAsia="pt-BR"/>
              </w:rPr>
              <w:t>BFI.H076</w:t>
            </w:r>
          </w:p>
        </w:tc>
      </w:tr>
    </w:tbl>
    <w:p w14:paraId="044AFB5B" w14:textId="77777777" w:rsidR="00735489" w:rsidRPr="009F38DB" w:rsidRDefault="00735489" w:rsidP="009F38DB">
      <w:pPr>
        <w:spacing w:after="0" w:line="240" w:lineRule="auto"/>
        <w:jc w:val="both"/>
        <w:rPr>
          <w:rFonts w:ascii="Arial" w:eastAsia="Calibri" w:hAnsi="Arial" w:cs="Arial"/>
          <w:sz w:val="24"/>
          <w:szCs w:val="24"/>
        </w:rPr>
      </w:pPr>
    </w:p>
    <w:p w14:paraId="3A59BB77" w14:textId="77777777" w:rsidR="00775858" w:rsidRDefault="00775858" w:rsidP="00EE0371">
      <w:pPr>
        <w:spacing w:after="0" w:line="360" w:lineRule="auto"/>
        <w:jc w:val="both"/>
        <w:rPr>
          <w:rFonts w:ascii="Arial" w:hAnsi="Arial"/>
          <w:b/>
        </w:rPr>
      </w:pPr>
    </w:p>
    <w:p w14:paraId="1F798F3C" w14:textId="77777777" w:rsidR="00EE0371" w:rsidRPr="009F38DB" w:rsidRDefault="00EE0371" w:rsidP="00EE0371">
      <w:pPr>
        <w:spacing w:after="0" w:line="360" w:lineRule="auto"/>
        <w:jc w:val="both"/>
        <w:rPr>
          <w:rFonts w:ascii="Arial" w:hAnsi="Arial"/>
          <w:b/>
        </w:rPr>
      </w:pPr>
      <w:r w:rsidRPr="009F38DB">
        <w:rPr>
          <w:rFonts w:ascii="Arial" w:hAnsi="Arial"/>
          <w:b/>
        </w:rPr>
        <w:t>Observações:</w:t>
      </w:r>
    </w:p>
    <w:p w14:paraId="1578C3D2" w14:textId="77777777" w:rsidR="00EE0371" w:rsidRPr="009F38DB" w:rsidRDefault="00EE0371" w:rsidP="00EE0371">
      <w:pPr>
        <w:jc w:val="both"/>
        <w:rPr>
          <w:rFonts w:ascii="Arial" w:hAnsi="Arial"/>
        </w:rPr>
      </w:pPr>
      <w:r w:rsidRPr="009F38DB">
        <w:rPr>
          <w:rFonts w:ascii="Arial" w:hAnsi="Arial"/>
        </w:rPr>
        <w:t>1. A elaboração do Balanço Financeiro seguirá a metodologia especificada na IPC 06 (Instruções de Procedimentos Contábeis - STN) observada à classificação das contas contábeis pertencentes ao Plano de Contas do TCEES (CidadES).</w:t>
      </w:r>
    </w:p>
    <w:p w14:paraId="54FD0CA8" w14:textId="77777777" w:rsidR="00EE0371" w:rsidRPr="009F38DB" w:rsidRDefault="00EE0371" w:rsidP="00EE0371">
      <w:pPr>
        <w:jc w:val="both"/>
        <w:rPr>
          <w:rFonts w:ascii="Arial" w:hAnsi="Arial"/>
        </w:rPr>
      </w:pPr>
      <w:r w:rsidRPr="009F38DB">
        <w:rPr>
          <w:rFonts w:ascii="Arial" w:hAnsi="Arial"/>
        </w:rPr>
        <w:t xml:space="preserve">2. Como a classificação por fonte/destinação de recursos não é padronizada no âmbito da Federação Brasileira, o quadro apresentado pela IPC não especifica o código nem a descrição das fontes, cabendo a cada ente adaptá-lo à classificação por ele adotada. Assim, o Demonstrativo será elaborado segundo as Fontes/Destinação de Recursos utilizadas pelo CidadES (PCM) constantes </w:t>
      </w:r>
      <w:r w:rsidR="00A9502A" w:rsidRPr="009F38DB">
        <w:rPr>
          <w:rFonts w:ascii="Arial" w:hAnsi="Arial"/>
        </w:rPr>
        <w:t>d</w:t>
      </w:r>
      <w:r w:rsidRPr="009F38DB">
        <w:rPr>
          <w:rFonts w:ascii="Arial" w:hAnsi="Arial"/>
        </w:rPr>
        <w:t xml:space="preserve">o Anexo </w:t>
      </w:r>
      <w:r w:rsidR="00A9502A" w:rsidRPr="009F38DB">
        <w:rPr>
          <w:rFonts w:ascii="Arial" w:hAnsi="Arial"/>
        </w:rPr>
        <w:t xml:space="preserve">IV da presente </w:t>
      </w:r>
      <w:r w:rsidRPr="009F38DB">
        <w:rPr>
          <w:rFonts w:ascii="Arial" w:hAnsi="Arial"/>
        </w:rPr>
        <w:t>Instrução Normativa (Tabela Auxiliar 1.2: Código de Especificação das Fontes/Destinação de Recursos - CDR).</w:t>
      </w:r>
    </w:p>
    <w:p w14:paraId="0ADB59CF" w14:textId="77777777" w:rsidR="00EE0371" w:rsidRPr="009F38DB" w:rsidRDefault="00EE0371" w:rsidP="00EE0371">
      <w:pPr>
        <w:jc w:val="both"/>
        <w:rPr>
          <w:rFonts w:ascii="Arial" w:hAnsi="Arial"/>
        </w:rPr>
      </w:pPr>
      <w:r w:rsidRPr="009F38DB">
        <w:rPr>
          <w:rFonts w:ascii="Arial" w:hAnsi="Arial"/>
        </w:rPr>
        <w:t xml:space="preserve">3. As receitas orçamentárias serão apresentadas líquidas das deduções. O detalhamento das deduções da receita orçamentária por fonte/destinação de recursos será apresentado no Quadro Anexo ao Balanço Financeiro. </w:t>
      </w:r>
    </w:p>
    <w:p w14:paraId="1C110656" w14:textId="77777777" w:rsidR="00EE0371" w:rsidRPr="009F38DB" w:rsidRDefault="00EE0371" w:rsidP="00EE0371">
      <w:pPr>
        <w:jc w:val="both"/>
        <w:rPr>
          <w:rFonts w:ascii="Arial" w:hAnsi="Arial" w:cs="Arial"/>
        </w:rPr>
      </w:pPr>
      <w:r w:rsidRPr="009F38DB">
        <w:rPr>
          <w:rFonts w:ascii="Arial" w:hAnsi="Arial" w:cs="Arial"/>
        </w:rPr>
        <w:t xml:space="preserve">4. </w:t>
      </w:r>
      <w:r w:rsidR="0089719E">
        <w:rPr>
          <w:rFonts w:ascii="Arial" w:hAnsi="Arial" w:cs="Arial"/>
        </w:rPr>
        <w:t>Mapeamento das contas que compõem o SALDO DO EXERCÍCIO ANTERIOR e o SALDO PARA O EXERCÍCIO SEGUINTE:</w:t>
      </w:r>
    </w:p>
    <w:p w14:paraId="542CC431" w14:textId="77777777" w:rsidR="00EE0371" w:rsidRPr="009F38DB" w:rsidRDefault="00EE0371" w:rsidP="00EE0371">
      <w:pPr>
        <w:spacing w:after="0" w:line="360" w:lineRule="auto"/>
        <w:jc w:val="both"/>
        <w:rPr>
          <w:rFonts w:ascii="Arial" w:hAnsi="Arial" w:cs="Arial"/>
        </w:rPr>
      </w:pPr>
      <w:r w:rsidRPr="009F38DB">
        <w:rPr>
          <w:rFonts w:ascii="Arial" w:hAnsi="Arial" w:cs="Arial"/>
        </w:rPr>
        <w:t>Caixa e Equivalentes de Caixa - Consolidação</w:t>
      </w:r>
    </w:p>
    <w:p w14:paraId="546F796C" w14:textId="77777777" w:rsidR="00EE0371" w:rsidRPr="009F38DB" w:rsidRDefault="00EE0371" w:rsidP="00EE0371">
      <w:pPr>
        <w:spacing w:after="0" w:line="360" w:lineRule="auto"/>
        <w:jc w:val="both"/>
        <w:rPr>
          <w:rFonts w:ascii="Arial" w:hAnsi="Arial" w:cs="Arial"/>
        </w:rPr>
      </w:pPr>
      <w:r w:rsidRPr="009F38DB">
        <w:rPr>
          <w:rFonts w:ascii="Arial" w:hAnsi="Arial" w:cs="Arial"/>
        </w:rPr>
        <w:t xml:space="preserve">      Caixa</w:t>
      </w:r>
      <w:r w:rsidRPr="009F38DB">
        <w:rPr>
          <w:rFonts w:ascii="Arial" w:hAnsi="Arial" w:cs="Arial"/>
        </w:rPr>
        <w:tab/>
      </w:r>
      <w:r w:rsidRPr="009F38DB">
        <w:rPr>
          <w:rFonts w:ascii="Arial" w:hAnsi="Arial" w:cs="Arial"/>
        </w:rPr>
        <w:tab/>
      </w:r>
      <w:r w:rsidRPr="009F38DB">
        <w:rPr>
          <w:rFonts w:ascii="Arial" w:hAnsi="Arial" w:cs="Arial"/>
        </w:rPr>
        <w:tab/>
      </w:r>
      <w:r w:rsidRPr="009F38DB">
        <w:rPr>
          <w:rFonts w:ascii="Arial" w:hAnsi="Arial" w:cs="Arial"/>
        </w:rPr>
        <w:tab/>
      </w:r>
      <w:r w:rsidRPr="009F38DB">
        <w:rPr>
          <w:rFonts w:ascii="Arial" w:hAnsi="Arial" w:cs="Arial"/>
        </w:rPr>
        <w:tab/>
      </w:r>
      <w:r w:rsidRPr="009F38DB">
        <w:rPr>
          <w:rFonts w:ascii="Arial" w:hAnsi="Arial" w:cs="Arial"/>
        </w:rPr>
        <w:tab/>
      </w:r>
      <w:r w:rsidRPr="009F38DB">
        <w:rPr>
          <w:rFonts w:ascii="Arial" w:hAnsi="Arial" w:cs="Arial"/>
        </w:rPr>
        <w:tab/>
        <w:t>(contas do PCASP -&gt; 1.1.1.1.1.01.00 / 1.1.1.2.1.01.00)</w:t>
      </w:r>
    </w:p>
    <w:p w14:paraId="5391F41B" w14:textId="77777777" w:rsidR="00EE0371" w:rsidRPr="009F38DB" w:rsidRDefault="00EE0371" w:rsidP="00EE0371">
      <w:pPr>
        <w:spacing w:after="0" w:line="360" w:lineRule="auto"/>
        <w:jc w:val="both"/>
        <w:rPr>
          <w:rFonts w:ascii="Arial" w:hAnsi="Arial" w:cs="Arial"/>
        </w:rPr>
      </w:pPr>
      <w:r w:rsidRPr="009F38DB">
        <w:rPr>
          <w:rFonts w:ascii="Arial" w:hAnsi="Arial" w:cs="Arial"/>
        </w:rPr>
        <w:t xml:space="preserve">      Conta Única</w:t>
      </w:r>
      <w:r w:rsidRPr="009F38DB">
        <w:rPr>
          <w:rFonts w:ascii="Arial" w:hAnsi="Arial" w:cs="Arial"/>
        </w:rPr>
        <w:tab/>
      </w:r>
      <w:r w:rsidRPr="009F38DB">
        <w:rPr>
          <w:rFonts w:ascii="Arial" w:hAnsi="Arial" w:cs="Arial"/>
        </w:rPr>
        <w:tab/>
      </w:r>
      <w:r w:rsidRPr="009F38DB">
        <w:rPr>
          <w:rFonts w:ascii="Arial" w:hAnsi="Arial" w:cs="Arial"/>
        </w:rPr>
        <w:tab/>
      </w:r>
      <w:r w:rsidRPr="009F38DB">
        <w:rPr>
          <w:rFonts w:ascii="Arial" w:hAnsi="Arial" w:cs="Arial"/>
        </w:rPr>
        <w:tab/>
      </w:r>
      <w:r w:rsidRPr="009F38DB">
        <w:rPr>
          <w:rFonts w:ascii="Arial" w:hAnsi="Arial" w:cs="Arial"/>
        </w:rPr>
        <w:tab/>
      </w:r>
      <w:r w:rsidRPr="009F38DB">
        <w:rPr>
          <w:rFonts w:ascii="Arial" w:hAnsi="Arial" w:cs="Arial"/>
        </w:rPr>
        <w:tab/>
        <w:t xml:space="preserve">(contas do PCASP -&gt; 1.1.1.1.1.02.00) </w:t>
      </w:r>
    </w:p>
    <w:p w14:paraId="214EA1C7" w14:textId="77777777" w:rsidR="00EE0371" w:rsidRPr="009F38DB" w:rsidRDefault="00EE0371" w:rsidP="00EE0371">
      <w:pPr>
        <w:spacing w:after="0" w:line="360" w:lineRule="auto"/>
        <w:jc w:val="both"/>
        <w:rPr>
          <w:rFonts w:ascii="Arial" w:hAnsi="Arial" w:cs="Arial"/>
        </w:rPr>
      </w:pPr>
      <w:r w:rsidRPr="009F38DB">
        <w:rPr>
          <w:rFonts w:ascii="Arial" w:hAnsi="Arial" w:cs="Arial"/>
        </w:rPr>
        <w:t xml:space="preserve">      Conta Única RPPS</w:t>
      </w:r>
      <w:r w:rsidRPr="009F38DB">
        <w:rPr>
          <w:rFonts w:ascii="Arial" w:hAnsi="Arial" w:cs="Arial"/>
        </w:rPr>
        <w:tab/>
      </w:r>
      <w:r w:rsidRPr="009F38DB">
        <w:rPr>
          <w:rFonts w:ascii="Arial" w:hAnsi="Arial" w:cs="Arial"/>
        </w:rPr>
        <w:tab/>
      </w:r>
      <w:r w:rsidRPr="009F38DB">
        <w:rPr>
          <w:rFonts w:ascii="Arial" w:hAnsi="Arial" w:cs="Arial"/>
        </w:rPr>
        <w:tab/>
      </w:r>
      <w:r w:rsidRPr="009F38DB">
        <w:rPr>
          <w:rFonts w:ascii="Arial" w:hAnsi="Arial" w:cs="Arial"/>
        </w:rPr>
        <w:tab/>
      </w:r>
      <w:r w:rsidRPr="009F38DB">
        <w:rPr>
          <w:rFonts w:ascii="Arial" w:hAnsi="Arial" w:cs="Arial"/>
        </w:rPr>
        <w:tab/>
        <w:t>(contas do PCASP -&gt; 1.1.1.1.1.06.00)</w:t>
      </w:r>
    </w:p>
    <w:p w14:paraId="60A10D55" w14:textId="77777777" w:rsidR="00EE0371" w:rsidRPr="009F38DB" w:rsidRDefault="00EE0371" w:rsidP="00EE0371">
      <w:pPr>
        <w:spacing w:after="0" w:line="360" w:lineRule="auto"/>
        <w:jc w:val="both"/>
        <w:rPr>
          <w:rFonts w:ascii="Arial" w:hAnsi="Arial" w:cs="Arial"/>
        </w:rPr>
      </w:pPr>
      <w:r w:rsidRPr="009F38DB">
        <w:rPr>
          <w:rFonts w:ascii="Arial" w:hAnsi="Arial" w:cs="Arial"/>
        </w:rPr>
        <w:lastRenderedPageBreak/>
        <w:t xml:space="preserve">      Bancos Conta Movimento - Demais Contas</w:t>
      </w:r>
      <w:r w:rsidRPr="009F38DB">
        <w:rPr>
          <w:rFonts w:ascii="Arial" w:hAnsi="Arial" w:cs="Arial"/>
        </w:rPr>
        <w:tab/>
      </w:r>
      <w:r w:rsidRPr="009F38DB">
        <w:rPr>
          <w:rFonts w:ascii="Arial" w:hAnsi="Arial" w:cs="Arial"/>
        </w:rPr>
        <w:tab/>
        <w:t>(contas do PCASP -&gt; 1.1.1.1.1.19.00 / 1.1.1.2.1.02.00)</w:t>
      </w:r>
    </w:p>
    <w:p w14:paraId="1D895F01" w14:textId="77777777" w:rsidR="00EE0371" w:rsidRPr="009F38DB" w:rsidRDefault="00EE0371" w:rsidP="00EE0371">
      <w:pPr>
        <w:spacing w:after="0" w:line="360" w:lineRule="auto"/>
        <w:jc w:val="both"/>
        <w:rPr>
          <w:rFonts w:ascii="Arial" w:hAnsi="Arial" w:cs="Arial"/>
        </w:rPr>
      </w:pPr>
      <w:r w:rsidRPr="009F38DB">
        <w:rPr>
          <w:rFonts w:ascii="Arial" w:hAnsi="Arial" w:cs="Arial"/>
        </w:rPr>
        <w:t xml:space="preserve">      Rede Bancária – Arrecadação</w:t>
      </w:r>
      <w:r w:rsidRPr="009F38DB">
        <w:rPr>
          <w:rFonts w:ascii="Arial" w:hAnsi="Arial" w:cs="Arial"/>
        </w:rPr>
        <w:tab/>
      </w:r>
      <w:r w:rsidRPr="009F38DB">
        <w:rPr>
          <w:rFonts w:ascii="Arial" w:hAnsi="Arial" w:cs="Arial"/>
        </w:rPr>
        <w:tab/>
      </w:r>
      <w:r w:rsidRPr="009F38DB">
        <w:rPr>
          <w:rFonts w:ascii="Arial" w:hAnsi="Arial" w:cs="Arial"/>
        </w:rPr>
        <w:tab/>
      </w:r>
      <w:r w:rsidRPr="009F38DB">
        <w:rPr>
          <w:rFonts w:ascii="Arial" w:hAnsi="Arial" w:cs="Arial"/>
        </w:rPr>
        <w:tab/>
        <w:t>(contas do PCASP -&gt; 1.1.1.1.1.30.00)</w:t>
      </w:r>
    </w:p>
    <w:p w14:paraId="3A0E7D22" w14:textId="77777777" w:rsidR="00EE0371" w:rsidRPr="009F38DB" w:rsidRDefault="00EE0371" w:rsidP="00EE0371">
      <w:pPr>
        <w:spacing w:after="120" w:line="360" w:lineRule="auto"/>
        <w:jc w:val="both"/>
        <w:rPr>
          <w:rFonts w:ascii="Arial" w:hAnsi="Arial" w:cs="Arial"/>
        </w:rPr>
      </w:pPr>
      <w:r w:rsidRPr="009F38DB">
        <w:rPr>
          <w:rFonts w:ascii="Arial" w:hAnsi="Arial" w:cs="Arial"/>
        </w:rPr>
        <w:t xml:space="preserve">      Aplicações Financeiras de Liquidez Imediata</w:t>
      </w:r>
      <w:r w:rsidRPr="009F38DB">
        <w:rPr>
          <w:rFonts w:ascii="Arial" w:hAnsi="Arial" w:cs="Arial"/>
        </w:rPr>
        <w:tab/>
      </w:r>
      <w:r w:rsidRPr="009F38DB">
        <w:rPr>
          <w:rFonts w:ascii="Arial" w:hAnsi="Arial" w:cs="Arial"/>
        </w:rPr>
        <w:tab/>
        <w:t>(contas do PCASP -&gt; 1.1.1.1.1.50.00 / 1.1.1.2.1.03.00)</w:t>
      </w:r>
    </w:p>
    <w:p w14:paraId="58E35E09" w14:textId="77777777" w:rsidR="00EE0371" w:rsidRPr="009F38DB" w:rsidRDefault="00EE0371" w:rsidP="00EE0371">
      <w:pPr>
        <w:spacing w:after="120" w:line="360" w:lineRule="auto"/>
        <w:jc w:val="both"/>
        <w:rPr>
          <w:rFonts w:ascii="Arial" w:hAnsi="Arial" w:cs="Arial"/>
        </w:rPr>
      </w:pPr>
      <w:r w:rsidRPr="009F38DB">
        <w:rPr>
          <w:rFonts w:ascii="Arial" w:hAnsi="Arial" w:cs="Arial"/>
        </w:rPr>
        <w:t>Caixa e Equivalentes de Caixa – Intra OFSS</w:t>
      </w:r>
      <w:r w:rsidRPr="009F38DB">
        <w:rPr>
          <w:rFonts w:ascii="Arial" w:hAnsi="Arial" w:cs="Arial"/>
        </w:rPr>
        <w:tab/>
      </w:r>
      <w:r w:rsidRPr="009F38DB">
        <w:rPr>
          <w:rFonts w:ascii="Arial" w:hAnsi="Arial" w:cs="Arial"/>
        </w:rPr>
        <w:tab/>
        <w:t>(contas do PCASP -&gt; 1.1.1.1.2.</w:t>
      </w:r>
      <w:r w:rsidR="009F38DB" w:rsidRPr="009F38DB">
        <w:rPr>
          <w:rFonts w:ascii="Arial" w:hAnsi="Arial" w:cs="Arial"/>
        </w:rPr>
        <w:t>00</w:t>
      </w:r>
      <w:r w:rsidRPr="009F38DB">
        <w:rPr>
          <w:rFonts w:ascii="Arial" w:hAnsi="Arial" w:cs="Arial"/>
        </w:rPr>
        <w:t>.00)</w:t>
      </w:r>
    </w:p>
    <w:p w14:paraId="259B738F" w14:textId="77777777" w:rsidR="00EE0371" w:rsidRDefault="00EE0371" w:rsidP="00EE0371">
      <w:pPr>
        <w:spacing w:after="0" w:line="360" w:lineRule="auto"/>
        <w:ind w:left="4962" w:hanging="4962"/>
        <w:jc w:val="both"/>
        <w:rPr>
          <w:rFonts w:ascii="Arial" w:hAnsi="Arial" w:cs="Arial"/>
        </w:rPr>
      </w:pPr>
      <w:r w:rsidRPr="00EE0371">
        <w:rPr>
          <w:rFonts w:ascii="Arial" w:hAnsi="Arial" w:cs="Arial"/>
        </w:rPr>
        <w:t>Depósitos Restituíveis e Valores Vinculados</w:t>
      </w:r>
      <w:r w:rsidRPr="00EE0371">
        <w:rPr>
          <w:rFonts w:ascii="Arial" w:hAnsi="Arial" w:cs="Arial"/>
        </w:rPr>
        <w:tab/>
      </w:r>
      <w:r w:rsidR="009F38DB">
        <w:rPr>
          <w:rFonts w:ascii="Arial" w:hAnsi="Arial" w:cs="Arial"/>
        </w:rPr>
        <w:tab/>
      </w:r>
      <w:r w:rsidRPr="00EE0371">
        <w:rPr>
          <w:rFonts w:ascii="Arial" w:hAnsi="Arial" w:cs="Arial"/>
        </w:rPr>
        <w:t>(contas do PCASP -&gt; 1.1.3.5.</w:t>
      </w:r>
      <w:r w:rsidR="009F38DB">
        <w:rPr>
          <w:rFonts w:ascii="Arial" w:hAnsi="Arial" w:cs="Arial"/>
        </w:rPr>
        <w:t>0</w:t>
      </w:r>
      <w:r w:rsidRPr="00EE0371">
        <w:rPr>
          <w:rFonts w:ascii="Arial" w:hAnsi="Arial" w:cs="Arial"/>
        </w:rPr>
        <w:t>.0</w:t>
      </w:r>
      <w:r w:rsidR="009F38DB">
        <w:rPr>
          <w:rFonts w:ascii="Arial" w:hAnsi="Arial" w:cs="Arial"/>
        </w:rPr>
        <w:t>0</w:t>
      </w:r>
      <w:r w:rsidRPr="00EE0371">
        <w:rPr>
          <w:rFonts w:ascii="Arial" w:hAnsi="Arial" w:cs="Arial"/>
        </w:rPr>
        <w:t xml:space="preserve">.00 / </w:t>
      </w:r>
      <w:r w:rsidR="009F38DB">
        <w:rPr>
          <w:rFonts w:ascii="Arial" w:hAnsi="Arial" w:cs="Arial"/>
        </w:rPr>
        <w:t>1.2.1.2.1.06.00</w:t>
      </w:r>
      <w:r w:rsidRPr="00EE0371">
        <w:rPr>
          <w:rFonts w:ascii="Arial" w:hAnsi="Arial" w:cs="Arial"/>
        </w:rPr>
        <w:t>)</w:t>
      </w:r>
    </w:p>
    <w:p w14:paraId="57AD0B31" w14:textId="77777777" w:rsidR="009F38DB" w:rsidRPr="00EE0371" w:rsidRDefault="009F38DB" w:rsidP="009F38DB">
      <w:pPr>
        <w:spacing w:after="0" w:line="360" w:lineRule="auto"/>
        <w:ind w:left="6379" w:hanging="6379"/>
        <w:jc w:val="both"/>
        <w:rPr>
          <w:rFonts w:ascii="Arial" w:hAnsi="Arial" w:cs="Arial"/>
        </w:rPr>
      </w:pPr>
      <w:r>
        <w:rPr>
          <w:rFonts w:ascii="Arial" w:hAnsi="Arial" w:cs="Arial"/>
        </w:rPr>
        <w:t xml:space="preserve">Investimentos e Aplicações Temporárias a Curto Prazo – </w:t>
      </w:r>
      <w:r w:rsidRPr="00873EB3">
        <w:rPr>
          <w:rFonts w:ascii="Arial" w:hAnsi="Arial" w:cs="Arial"/>
        </w:rPr>
        <w:t>RPPS</w:t>
      </w:r>
      <w:r w:rsidRPr="00873EB3">
        <w:rPr>
          <w:rFonts w:ascii="Arial" w:hAnsi="Arial" w:cs="Arial"/>
        </w:rPr>
        <w:tab/>
        <w:t>Código contábil iniciado com 1.1.4.0.0.00.00 com indicador de superávit financeiro igual a F ou X quando X for F</w:t>
      </w:r>
    </w:p>
    <w:p w14:paraId="24933344" w14:textId="77777777" w:rsidR="00EE0371" w:rsidRPr="00EE0371" w:rsidRDefault="00EE0371" w:rsidP="00EE0371">
      <w:pPr>
        <w:jc w:val="both"/>
        <w:rPr>
          <w:rFonts w:ascii="Arial" w:hAnsi="Arial"/>
        </w:rPr>
      </w:pPr>
      <w:r w:rsidRPr="00EE0371">
        <w:rPr>
          <w:rFonts w:ascii="Arial" w:hAnsi="Arial"/>
        </w:rPr>
        <w:t>5. A identificação analítica dos outros recebimentos e pagamentos extra-orçamentários, quando necessária, deverá ser apresentada em notas explicativas.</w:t>
      </w:r>
    </w:p>
    <w:p w14:paraId="3E2270B9" w14:textId="77777777" w:rsidR="00EE0371" w:rsidRPr="00EE0371" w:rsidRDefault="00EE0371" w:rsidP="009531E0">
      <w:pPr>
        <w:jc w:val="both"/>
        <w:rPr>
          <w:rFonts w:ascii="Arial" w:hAnsi="Arial"/>
        </w:rPr>
      </w:pPr>
      <w:r w:rsidRPr="00EE0371">
        <w:rPr>
          <w:rFonts w:ascii="Arial" w:hAnsi="Arial"/>
        </w:rPr>
        <w:t>6. O demonstrativo não possui valores negativos.</w:t>
      </w:r>
    </w:p>
    <w:p w14:paraId="4A4B4BD0" w14:textId="77777777" w:rsidR="00EE0371" w:rsidRPr="00EE0371" w:rsidRDefault="00EE0371" w:rsidP="00EE0371">
      <w:pPr>
        <w:spacing w:after="0" w:line="360" w:lineRule="auto"/>
        <w:jc w:val="both"/>
        <w:rPr>
          <w:rFonts w:ascii="Arial" w:hAnsi="Arial"/>
        </w:rPr>
        <w:sectPr w:rsidR="00EE0371" w:rsidRPr="00EE0371" w:rsidSect="00E7482B">
          <w:pgSz w:w="16838" w:h="11906" w:orient="landscape"/>
          <w:pgMar w:top="1701" w:right="1417" w:bottom="1701" w:left="1417" w:header="708" w:footer="708" w:gutter="0"/>
          <w:cols w:space="708"/>
          <w:docGrid w:linePitch="360"/>
        </w:sectPr>
      </w:pPr>
    </w:p>
    <w:p w14:paraId="1F2A6B2B" w14:textId="76002FC3" w:rsidR="009F38DB" w:rsidRPr="00B35BDF" w:rsidRDefault="003404A2" w:rsidP="00B35BDF">
      <w:pPr>
        <w:spacing w:after="0" w:line="240" w:lineRule="auto"/>
        <w:ind w:right="-1482"/>
        <w:jc w:val="center"/>
        <w:rPr>
          <w:rFonts w:ascii="Arial" w:eastAsia="Times New Roman" w:hAnsi="Arial" w:cs="Arial"/>
          <w:b/>
          <w:bCs/>
          <w:sz w:val="20"/>
          <w:szCs w:val="20"/>
          <w:lang w:eastAsia="pt-BR"/>
        </w:rPr>
      </w:pPr>
      <w:r w:rsidRPr="00B35BDF">
        <w:rPr>
          <w:rFonts w:ascii="Arial" w:eastAsia="Times New Roman" w:hAnsi="Arial" w:cs="Arial"/>
          <w:b/>
          <w:bCs/>
          <w:sz w:val="20"/>
          <w:szCs w:val="20"/>
          <w:lang w:eastAsia="pt-BR"/>
        </w:rPr>
        <w:lastRenderedPageBreak/>
        <w:t>QUADRO ANEXO AO BALANÇO FINANCEIROMUNICÍPIOS E CONSÓRCIOS</w:t>
      </w:r>
    </w:p>
    <w:p w14:paraId="00354261" w14:textId="40EAFB7A" w:rsidR="003404A2" w:rsidRDefault="003404A2" w:rsidP="003404A2">
      <w:pPr>
        <w:spacing w:after="0" w:line="240" w:lineRule="auto"/>
        <w:ind w:right="-1482"/>
        <w:jc w:val="center"/>
        <w:rPr>
          <w:rFonts w:ascii="Arial" w:eastAsia="Calibri" w:hAnsi="Arial" w:cs="Arial"/>
          <w:b/>
          <w:sz w:val="24"/>
          <w:szCs w:val="24"/>
        </w:rPr>
      </w:pPr>
    </w:p>
    <w:tbl>
      <w:tblPr>
        <w:tblW w:w="0" w:type="auto"/>
        <w:tblInd w:w="55" w:type="dxa"/>
        <w:tblLayout w:type="fixed"/>
        <w:tblCellMar>
          <w:left w:w="70" w:type="dxa"/>
          <w:right w:w="70" w:type="dxa"/>
        </w:tblCellMar>
        <w:tblLook w:val="04A0" w:firstRow="1" w:lastRow="0" w:firstColumn="1" w:lastColumn="0" w:noHBand="0" w:noVBand="1"/>
      </w:tblPr>
      <w:tblGrid>
        <w:gridCol w:w="4977"/>
        <w:gridCol w:w="1275"/>
        <w:gridCol w:w="1560"/>
        <w:gridCol w:w="1275"/>
        <w:gridCol w:w="1276"/>
        <w:gridCol w:w="1701"/>
        <w:gridCol w:w="1418"/>
      </w:tblGrid>
      <w:tr w:rsidR="00B35BDF" w:rsidRPr="00B35BDF" w14:paraId="427B860A" w14:textId="77777777" w:rsidTr="0015273C">
        <w:trPr>
          <w:trHeight w:val="270"/>
        </w:trPr>
        <w:tc>
          <w:tcPr>
            <w:tcW w:w="4977" w:type="dxa"/>
            <w:vMerge w:val="restart"/>
            <w:tcBorders>
              <w:top w:val="single" w:sz="8" w:space="0" w:color="auto"/>
              <w:left w:val="single" w:sz="8" w:space="0" w:color="auto"/>
              <w:bottom w:val="single" w:sz="8" w:space="0" w:color="000000"/>
              <w:right w:val="nil"/>
            </w:tcBorders>
            <w:shd w:val="clear" w:color="auto" w:fill="F2F2F2"/>
            <w:noWrap/>
            <w:vAlign w:val="center"/>
            <w:hideMark/>
          </w:tcPr>
          <w:p w14:paraId="23EE1CCF" w14:textId="77777777" w:rsidR="00B35BDF" w:rsidRPr="00B35BDF" w:rsidRDefault="00B35BDF" w:rsidP="0015273C">
            <w:pPr>
              <w:spacing w:after="0" w:line="240" w:lineRule="auto"/>
              <w:jc w:val="center"/>
              <w:rPr>
                <w:rFonts w:ascii="Arial Narrow" w:eastAsia="Times New Roman" w:hAnsi="Arial Narrow" w:cs="Arial"/>
                <w:b/>
                <w:bCs/>
                <w:sz w:val="16"/>
                <w:szCs w:val="16"/>
                <w:lang w:eastAsia="pt-BR"/>
              </w:rPr>
            </w:pPr>
            <w:r w:rsidRPr="00B35BDF">
              <w:rPr>
                <w:rFonts w:ascii="Arial Narrow" w:eastAsia="Times New Roman" w:hAnsi="Arial Narrow" w:cs="Arial"/>
                <w:b/>
                <w:bCs/>
                <w:sz w:val="16"/>
                <w:szCs w:val="16"/>
                <w:lang w:eastAsia="pt-BR"/>
              </w:rPr>
              <w:t>ESPECIFICAÇÃO</w:t>
            </w:r>
          </w:p>
        </w:tc>
        <w:tc>
          <w:tcPr>
            <w:tcW w:w="4110" w:type="dxa"/>
            <w:gridSpan w:val="3"/>
            <w:tcBorders>
              <w:top w:val="single" w:sz="8" w:space="0" w:color="auto"/>
              <w:left w:val="single" w:sz="8" w:space="0" w:color="auto"/>
              <w:bottom w:val="single" w:sz="8" w:space="0" w:color="auto"/>
              <w:right w:val="single" w:sz="8" w:space="0" w:color="000000"/>
            </w:tcBorders>
            <w:shd w:val="clear" w:color="auto" w:fill="F2F2F2"/>
            <w:noWrap/>
            <w:vAlign w:val="center"/>
            <w:hideMark/>
          </w:tcPr>
          <w:p w14:paraId="00D3EE0C" w14:textId="77777777" w:rsidR="00B35BDF" w:rsidRPr="00B35BDF" w:rsidRDefault="00B35BDF" w:rsidP="0015273C">
            <w:pPr>
              <w:spacing w:after="0" w:line="240" w:lineRule="auto"/>
              <w:jc w:val="center"/>
              <w:rPr>
                <w:rFonts w:ascii="Arial Narrow" w:eastAsia="Times New Roman" w:hAnsi="Arial Narrow" w:cs="Arial"/>
                <w:b/>
                <w:bCs/>
                <w:sz w:val="16"/>
                <w:szCs w:val="16"/>
                <w:lang w:eastAsia="pt-BR"/>
              </w:rPr>
            </w:pPr>
            <w:r w:rsidRPr="00B35BDF">
              <w:rPr>
                <w:rFonts w:ascii="Arial Narrow" w:eastAsia="Times New Roman" w:hAnsi="Arial Narrow" w:cs="Arial"/>
                <w:b/>
                <w:bCs/>
                <w:sz w:val="16"/>
                <w:szCs w:val="16"/>
                <w:lang w:eastAsia="pt-BR"/>
              </w:rPr>
              <w:t>Exercício Atual</w:t>
            </w:r>
          </w:p>
        </w:tc>
        <w:tc>
          <w:tcPr>
            <w:tcW w:w="4395" w:type="dxa"/>
            <w:gridSpan w:val="3"/>
            <w:tcBorders>
              <w:top w:val="single" w:sz="8" w:space="0" w:color="auto"/>
              <w:left w:val="nil"/>
              <w:bottom w:val="nil"/>
              <w:right w:val="single" w:sz="8" w:space="0" w:color="000000"/>
            </w:tcBorders>
            <w:shd w:val="clear" w:color="auto" w:fill="F2F2F2"/>
            <w:noWrap/>
            <w:vAlign w:val="center"/>
            <w:hideMark/>
          </w:tcPr>
          <w:p w14:paraId="5D5FE25A" w14:textId="77777777" w:rsidR="00B35BDF" w:rsidRPr="00B35BDF" w:rsidRDefault="00B35BDF" w:rsidP="0015273C">
            <w:pPr>
              <w:spacing w:after="0" w:line="240" w:lineRule="auto"/>
              <w:jc w:val="center"/>
              <w:rPr>
                <w:rFonts w:ascii="Arial Narrow" w:eastAsia="Times New Roman" w:hAnsi="Arial Narrow" w:cs="Arial"/>
                <w:b/>
                <w:bCs/>
                <w:sz w:val="16"/>
                <w:szCs w:val="16"/>
                <w:lang w:eastAsia="pt-BR"/>
              </w:rPr>
            </w:pPr>
            <w:r w:rsidRPr="00B35BDF">
              <w:rPr>
                <w:rFonts w:ascii="Arial Narrow" w:eastAsia="Times New Roman" w:hAnsi="Arial Narrow" w:cs="Arial"/>
                <w:b/>
                <w:bCs/>
                <w:sz w:val="16"/>
                <w:szCs w:val="16"/>
                <w:lang w:eastAsia="pt-BR"/>
              </w:rPr>
              <w:t>Exercício Anterior</w:t>
            </w:r>
          </w:p>
        </w:tc>
      </w:tr>
      <w:tr w:rsidR="00B35BDF" w:rsidRPr="00B35BDF" w14:paraId="47C7FBAB" w14:textId="77777777" w:rsidTr="0015273C">
        <w:trPr>
          <w:trHeight w:val="525"/>
        </w:trPr>
        <w:tc>
          <w:tcPr>
            <w:tcW w:w="4977" w:type="dxa"/>
            <w:vMerge/>
            <w:tcBorders>
              <w:top w:val="single" w:sz="8" w:space="0" w:color="auto"/>
              <w:left w:val="single" w:sz="8" w:space="0" w:color="auto"/>
              <w:bottom w:val="single" w:sz="8" w:space="0" w:color="000000"/>
              <w:right w:val="nil"/>
            </w:tcBorders>
            <w:shd w:val="clear" w:color="auto" w:fill="F2F2F2"/>
            <w:vAlign w:val="center"/>
            <w:hideMark/>
          </w:tcPr>
          <w:p w14:paraId="17D20FCB" w14:textId="77777777" w:rsidR="00B35BDF" w:rsidRPr="00B35BDF" w:rsidRDefault="00B35BDF" w:rsidP="0015273C">
            <w:pPr>
              <w:spacing w:after="0" w:line="240" w:lineRule="auto"/>
              <w:rPr>
                <w:rFonts w:ascii="Arial Narrow" w:eastAsia="Times New Roman" w:hAnsi="Arial Narrow" w:cs="Arial"/>
                <w:b/>
                <w:bCs/>
                <w:sz w:val="16"/>
                <w:szCs w:val="16"/>
                <w:lang w:eastAsia="pt-BR"/>
              </w:rPr>
            </w:pPr>
          </w:p>
        </w:tc>
        <w:tc>
          <w:tcPr>
            <w:tcW w:w="1275" w:type="dxa"/>
            <w:tcBorders>
              <w:top w:val="nil"/>
              <w:left w:val="single" w:sz="8" w:space="0" w:color="auto"/>
              <w:bottom w:val="single" w:sz="8" w:space="0" w:color="auto"/>
              <w:right w:val="nil"/>
            </w:tcBorders>
            <w:shd w:val="clear" w:color="auto" w:fill="F2F2F2"/>
            <w:vAlign w:val="center"/>
            <w:hideMark/>
          </w:tcPr>
          <w:p w14:paraId="70B49045" w14:textId="77777777" w:rsidR="00B35BDF" w:rsidRPr="00B35BDF" w:rsidRDefault="00B35BDF" w:rsidP="0015273C">
            <w:pPr>
              <w:spacing w:after="0" w:line="240" w:lineRule="auto"/>
              <w:jc w:val="center"/>
              <w:rPr>
                <w:rFonts w:ascii="Arial Narrow" w:eastAsia="Times New Roman" w:hAnsi="Arial Narrow" w:cs="Arial"/>
                <w:b/>
                <w:bCs/>
                <w:sz w:val="16"/>
                <w:szCs w:val="16"/>
                <w:lang w:eastAsia="pt-BR"/>
              </w:rPr>
            </w:pPr>
            <w:r w:rsidRPr="00B35BDF">
              <w:rPr>
                <w:rFonts w:ascii="Arial Narrow" w:eastAsia="Times New Roman" w:hAnsi="Arial Narrow" w:cs="Arial"/>
                <w:b/>
                <w:bCs/>
                <w:sz w:val="16"/>
                <w:szCs w:val="16"/>
                <w:lang w:eastAsia="pt-BR"/>
              </w:rPr>
              <w:t>Receita Orçamentária (a)</w:t>
            </w:r>
          </w:p>
        </w:tc>
        <w:tc>
          <w:tcPr>
            <w:tcW w:w="1560" w:type="dxa"/>
            <w:tcBorders>
              <w:top w:val="nil"/>
              <w:left w:val="single" w:sz="8" w:space="0" w:color="auto"/>
              <w:bottom w:val="single" w:sz="8" w:space="0" w:color="auto"/>
              <w:right w:val="single" w:sz="8" w:space="0" w:color="auto"/>
            </w:tcBorders>
            <w:shd w:val="clear" w:color="auto" w:fill="F2F2F2"/>
            <w:vAlign w:val="center"/>
            <w:hideMark/>
          </w:tcPr>
          <w:p w14:paraId="5A0FA9BD" w14:textId="77777777" w:rsidR="00B35BDF" w:rsidRPr="00B35BDF" w:rsidRDefault="00B35BDF" w:rsidP="0015273C">
            <w:pPr>
              <w:spacing w:after="0" w:line="240" w:lineRule="auto"/>
              <w:jc w:val="center"/>
              <w:rPr>
                <w:rFonts w:ascii="Arial Narrow" w:eastAsia="Times New Roman" w:hAnsi="Arial Narrow" w:cs="Arial"/>
                <w:b/>
                <w:bCs/>
                <w:sz w:val="16"/>
                <w:szCs w:val="16"/>
                <w:lang w:eastAsia="pt-BR"/>
              </w:rPr>
            </w:pPr>
            <w:r w:rsidRPr="00B35BDF">
              <w:rPr>
                <w:rFonts w:ascii="Arial Narrow" w:eastAsia="Times New Roman" w:hAnsi="Arial Narrow" w:cs="Arial"/>
                <w:b/>
                <w:bCs/>
                <w:sz w:val="16"/>
                <w:szCs w:val="16"/>
                <w:lang w:eastAsia="pt-BR"/>
              </w:rPr>
              <w:t>Deduções da Receita Orçamentária (b)</w:t>
            </w:r>
          </w:p>
        </w:tc>
        <w:tc>
          <w:tcPr>
            <w:tcW w:w="1275" w:type="dxa"/>
            <w:tcBorders>
              <w:top w:val="nil"/>
              <w:left w:val="nil"/>
              <w:bottom w:val="single" w:sz="8" w:space="0" w:color="auto"/>
              <w:right w:val="single" w:sz="8" w:space="0" w:color="auto"/>
            </w:tcBorders>
            <w:shd w:val="clear" w:color="auto" w:fill="F2F2F2"/>
            <w:vAlign w:val="center"/>
            <w:hideMark/>
          </w:tcPr>
          <w:p w14:paraId="25EFAF79" w14:textId="77777777" w:rsidR="00B35BDF" w:rsidRPr="00B35BDF" w:rsidRDefault="00B35BDF" w:rsidP="0015273C">
            <w:pPr>
              <w:spacing w:after="0" w:line="240" w:lineRule="auto"/>
              <w:jc w:val="center"/>
              <w:rPr>
                <w:rFonts w:ascii="Arial Narrow" w:eastAsia="Times New Roman" w:hAnsi="Arial Narrow" w:cs="Arial"/>
                <w:b/>
                <w:bCs/>
                <w:sz w:val="16"/>
                <w:szCs w:val="16"/>
                <w:lang w:eastAsia="pt-BR"/>
              </w:rPr>
            </w:pPr>
            <w:r w:rsidRPr="00B35BDF">
              <w:rPr>
                <w:rFonts w:ascii="Arial Narrow" w:eastAsia="Times New Roman" w:hAnsi="Arial Narrow" w:cs="Arial"/>
                <w:b/>
                <w:bCs/>
                <w:sz w:val="16"/>
                <w:szCs w:val="16"/>
                <w:lang w:eastAsia="pt-BR"/>
              </w:rPr>
              <w:t>Saldo (c) = (a-b)</w:t>
            </w:r>
          </w:p>
        </w:tc>
        <w:tc>
          <w:tcPr>
            <w:tcW w:w="1276" w:type="dxa"/>
            <w:tcBorders>
              <w:top w:val="single" w:sz="8" w:space="0" w:color="auto"/>
              <w:left w:val="nil"/>
              <w:bottom w:val="single" w:sz="8" w:space="0" w:color="auto"/>
              <w:right w:val="nil"/>
            </w:tcBorders>
            <w:shd w:val="clear" w:color="auto" w:fill="F2F2F2"/>
            <w:vAlign w:val="center"/>
            <w:hideMark/>
          </w:tcPr>
          <w:p w14:paraId="772B7970" w14:textId="77777777" w:rsidR="00B35BDF" w:rsidRPr="00B35BDF" w:rsidRDefault="00B35BDF" w:rsidP="0015273C">
            <w:pPr>
              <w:spacing w:after="0" w:line="240" w:lineRule="auto"/>
              <w:jc w:val="center"/>
              <w:rPr>
                <w:rFonts w:ascii="Arial Narrow" w:eastAsia="Times New Roman" w:hAnsi="Arial Narrow" w:cs="Arial"/>
                <w:b/>
                <w:bCs/>
                <w:sz w:val="16"/>
                <w:szCs w:val="16"/>
                <w:lang w:eastAsia="pt-BR"/>
              </w:rPr>
            </w:pPr>
            <w:r w:rsidRPr="00B35BDF">
              <w:rPr>
                <w:rFonts w:ascii="Arial Narrow" w:eastAsia="Times New Roman" w:hAnsi="Arial Narrow" w:cs="Arial"/>
                <w:b/>
                <w:bCs/>
                <w:sz w:val="16"/>
                <w:szCs w:val="16"/>
                <w:lang w:eastAsia="pt-BR"/>
              </w:rPr>
              <w:t>Receita Orçamentária (d)</w:t>
            </w:r>
          </w:p>
        </w:tc>
        <w:tc>
          <w:tcPr>
            <w:tcW w:w="1701" w:type="dxa"/>
            <w:tcBorders>
              <w:top w:val="single" w:sz="8" w:space="0" w:color="auto"/>
              <w:left w:val="single" w:sz="8" w:space="0" w:color="auto"/>
              <w:bottom w:val="single" w:sz="8" w:space="0" w:color="auto"/>
              <w:right w:val="single" w:sz="8" w:space="0" w:color="auto"/>
            </w:tcBorders>
            <w:shd w:val="clear" w:color="auto" w:fill="F2F2F2"/>
            <w:vAlign w:val="center"/>
            <w:hideMark/>
          </w:tcPr>
          <w:p w14:paraId="59DEBEA3" w14:textId="77777777" w:rsidR="00B35BDF" w:rsidRPr="00B35BDF" w:rsidRDefault="00B35BDF" w:rsidP="0015273C">
            <w:pPr>
              <w:spacing w:after="0" w:line="240" w:lineRule="auto"/>
              <w:jc w:val="center"/>
              <w:rPr>
                <w:rFonts w:ascii="Arial Narrow" w:eastAsia="Times New Roman" w:hAnsi="Arial Narrow" w:cs="Arial"/>
                <w:b/>
                <w:bCs/>
                <w:sz w:val="16"/>
                <w:szCs w:val="16"/>
                <w:lang w:eastAsia="pt-BR"/>
              </w:rPr>
            </w:pPr>
            <w:r w:rsidRPr="00B35BDF">
              <w:rPr>
                <w:rFonts w:ascii="Arial Narrow" w:eastAsia="Times New Roman" w:hAnsi="Arial Narrow" w:cs="Arial"/>
                <w:b/>
                <w:bCs/>
                <w:sz w:val="16"/>
                <w:szCs w:val="16"/>
                <w:lang w:eastAsia="pt-BR"/>
              </w:rPr>
              <w:t>Deduções da Receita Orçamentária (e)</w:t>
            </w:r>
          </w:p>
        </w:tc>
        <w:tc>
          <w:tcPr>
            <w:tcW w:w="1418" w:type="dxa"/>
            <w:tcBorders>
              <w:top w:val="single" w:sz="8" w:space="0" w:color="auto"/>
              <w:left w:val="nil"/>
              <w:bottom w:val="single" w:sz="8" w:space="0" w:color="auto"/>
              <w:right w:val="single" w:sz="8" w:space="0" w:color="auto"/>
            </w:tcBorders>
            <w:shd w:val="clear" w:color="auto" w:fill="F2F2F2"/>
            <w:vAlign w:val="center"/>
            <w:hideMark/>
          </w:tcPr>
          <w:p w14:paraId="51446448" w14:textId="77777777" w:rsidR="00B35BDF" w:rsidRPr="00B35BDF" w:rsidRDefault="00B35BDF" w:rsidP="0015273C">
            <w:pPr>
              <w:spacing w:after="0" w:line="240" w:lineRule="auto"/>
              <w:jc w:val="center"/>
              <w:rPr>
                <w:rFonts w:ascii="Arial Narrow" w:eastAsia="Times New Roman" w:hAnsi="Arial Narrow" w:cs="Arial"/>
                <w:b/>
                <w:bCs/>
                <w:sz w:val="16"/>
                <w:szCs w:val="16"/>
                <w:lang w:eastAsia="pt-BR"/>
              </w:rPr>
            </w:pPr>
            <w:r w:rsidRPr="00B35BDF">
              <w:rPr>
                <w:rFonts w:ascii="Arial Narrow" w:eastAsia="Times New Roman" w:hAnsi="Arial Narrow" w:cs="Arial"/>
                <w:b/>
                <w:bCs/>
                <w:sz w:val="16"/>
                <w:szCs w:val="16"/>
                <w:lang w:eastAsia="pt-BR"/>
              </w:rPr>
              <w:t>Saldo (f) = (d-e)</w:t>
            </w:r>
          </w:p>
        </w:tc>
      </w:tr>
      <w:tr w:rsidR="00B35BDF" w:rsidRPr="00B35BDF" w14:paraId="18690777" w14:textId="77777777" w:rsidTr="0015273C">
        <w:trPr>
          <w:trHeight w:val="255"/>
        </w:trPr>
        <w:tc>
          <w:tcPr>
            <w:tcW w:w="4977" w:type="dxa"/>
            <w:tcBorders>
              <w:top w:val="nil"/>
              <w:left w:val="single" w:sz="8" w:space="0" w:color="auto"/>
              <w:bottom w:val="nil"/>
              <w:right w:val="single" w:sz="8" w:space="0" w:color="auto"/>
            </w:tcBorders>
            <w:shd w:val="clear" w:color="auto" w:fill="auto"/>
            <w:noWrap/>
            <w:vAlign w:val="center"/>
            <w:hideMark/>
          </w:tcPr>
          <w:p w14:paraId="5E0E9CF8" w14:textId="77777777" w:rsidR="00B35BDF" w:rsidRPr="00B35BDF" w:rsidRDefault="00B35BDF" w:rsidP="0015273C">
            <w:pPr>
              <w:spacing w:after="0" w:line="240" w:lineRule="auto"/>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 </w:t>
            </w:r>
          </w:p>
        </w:tc>
        <w:tc>
          <w:tcPr>
            <w:tcW w:w="1275" w:type="dxa"/>
            <w:tcBorders>
              <w:top w:val="nil"/>
              <w:left w:val="nil"/>
              <w:bottom w:val="nil"/>
              <w:right w:val="single" w:sz="8" w:space="0" w:color="auto"/>
            </w:tcBorders>
            <w:shd w:val="clear" w:color="auto" w:fill="auto"/>
            <w:noWrap/>
            <w:vAlign w:val="center"/>
            <w:hideMark/>
          </w:tcPr>
          <w:p w14:paraId="71A8CBBA" w14:textId="77777777" w:rsidR="00B35BDF" w:rsidRPr="00B35BDF" w:rsidRDefault="00B35BDF" w:rsidP="0015273C">
            <w:pPr>
              <w:spacing w:after="0" w:line="240" w:lineRule="auto"/>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 </w:t>
            </w:r>
          </w:p>
        </w:tc>
        <w:tc>
          <w:tcPr>
            <w:tcW w:w="1560" w:type="dxa"/>
            <w:tcBorders>
              <w:top w:val="nil"/>
              <w:left w:val="nil"/>
              <w:bottom w:val="nil"/>
              <w:right w:val="single" w:sz="8" w:space="0" w:color="auto"/>
            </w:tcBorders>
            <w:shd w:val="clear" w:color="auto" w:fill="auto"/>
            <w:noWrap/>
            <w:vAlign w:val="center"/>
            <w:hideMark/>
          </w:tcPr>
          <w:p w14:paraId="739CA583" w14:textId="77777777" w:rsidR="00B35BDF" w:rsidRPr="00B35BDF" w:rsidRDefault="00B35BDF" w:rsidP="0015273C">
            <w:pPr>
              <w:spacing w:after="0" w:line="240" w:lineRule="auto"/>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 </w:t>
            </w:r>
          </w:p>
        </w:tc>
        <w:tc>
          <w:tcPr>
            <w:tcW w:w="1275" w:type="dxa"/>
            <w:tcBorders>
              <w:top w:val="nil"/>
              <w:left w:val="nil"/>
              <w:bottom w:val="nil"/>
              <w:right w:val="single" w:sz="8" w:space="0" w:color="auto"/>
            </w:tcBorders>
            <w:shd w:val="clear" w:color="auto" w:fill="auto"/>
            <w:noWrap/>
            <w:vAlign w:val="center"/>
            <w:hideMark/>
          </w:tcPr>
          <w:p w14:paraId="5B869809" w14:textId="77777777" w:rsidR="00B35BDF" w:rsidRPr="00B35BDF" w:rsidRDefault="00B35BDF" w:rsidP="0015273C">
            <w:pPr>
              <w:spacing w:after="0" w:line="240" w:lineRule="auto"/>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 </w:t>
            </w:r>
          </w:p>
        </w:tc>
        <w:tc>
          <w:tcPr>
            <w:tcW w:w="1276" w:type="dxa"/>
            <w:tcBorders>
              <w:top w:val="nil"/>
              <w:left w:val="nil"/>
              <w:bottom w:val="nil"/>
              <w:right w:val="single" w:sz="8" w:space="0" w:color="auto"/>
            </w:tcBorders>
            <w:shd w:val="clear" w:color="auto" w:fill="auto"/>
            <w:noWrap/>
            <w:vAlign w:val="center"/>
            <w:hideMark/>
          </w:tcPr>
          <w:p w14:paraId="55837E70" w14:textId="77777777" w:rsidR="00B35BDF" w:rsidRPr="00B35BDF" w:rsidRDefault="00B35BDF" w:rsidP="0015273C">
            <w:pPr>
              <w:spacing w:after="0" w:line="240" w:lineRule="auto"/>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 </w:t>
            </w:r>
          </w:p>
        </w:tc>
        <w:tc>
          <w:tcPr>
            <w:tcW w:w="1701" w:type="dxa"/>
            <w:tcBorders>
              <w:top w:val="nil"/>
              <w:left w:val="nil"/>
              <w:bottom w:val="nil"/>
              <w:right w:val="single" w:sz="8" w:space="0" w:color="auto"/>
            </w:tcBorders>
            <w:shd w:val="clear" w:color="auto" w:fill="auto"/>
            <w:noWrap/>
            <w:vAlign w:val="center"/>
            <w:hideMark/>
          </w:tcPr>
          <w:p w14:paraId="3096817B" w14:textId="77777777" w:rsidR="00B35BDF" w:rsidRPr="00B35BDF" w:rsidRDefault="00B35BDF" w:rsidP="0015273C">
            <w:pPr>
              <w:spacing w:after="0" w:line="240" w:lineRule="auto"/>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 </w:t>
            </w:r>
          </w:p>
        </w:tc>
        <w:tc>
          <w:tcPr>
            <w:tcW w:w="1418" w:type="dxa"/>
            <w:tcBorders>
              <w:top w:val="nil"/>
              <w:left w:val="nil"/>
              <w:bottom w:val="nil"/>
              <w:right w:val="single" w:sz="8" w:space="0" w:color="auto"/>
            </w:tcBorders>
            <w:shd w:val="clear" w:color="auto" w:fill="auto"/>
            <w:noWrap/>
            <w:vAlign w:val="center"/>
            <w:hideMark/>
          </w:tcPr>
          <w:p w14:paraId="18F209A7" w14:textId="77777777" w:rsidR="00B35BDF" w:rsidRPr="00B35BDF" w:rsidRDefault="00B35BDF" w:rsidP="0015273C">
            <w:pPr>
              <w:spacing w:after="0" w:line="240" w:lineRule="auto"/>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 </w:t>
            </w:r>
          </w:p>
        </w:tc>
      </w:tr>
      <w:tr w:rsidR="00B35BDF" w:rsidRPr="00B35BDF" w14:paraId="251FEDA0" w14:textId="77777777" w:rsidTr="0015273C">
        <w:trPr>
          <w:trHeight w:val="255"/>
        </w:trPr>
        <w:tc>
          <w:tcPr>
            <w:tcW w:w="4977" w:type="dxa"/>
            <w:tcBorders>
              <w:top w:val="nil"/>
              <w:left w:val="single" w:sz="8" w:space="0" w:color="auto"/>
              <w:bottom w:val="nil"/>
              <w:right w:val="single" w:sz="8" w:space="0" w:color="auto"/>
            </w:tcBorders>
            <w:shd w:val="clear" w:color="auto" w:fill="auto"/>
            <w:noWrap/>
            <w:vAlign w:val="center"/>
            <w:hideMark/>
          </w:tcPr>
          <w:p w14:paraId="105011C3" w14:textId="77777777" w:rsidR="00B35BDF" w:rsidRPr="00B35BDF" w:rsidRDefault="00B35BDF" w:rsidP="0015273C">
            <w:pPr>
              <w:spacing w:after="0" w:line="240" w:lineRule="auto"/>
              <w:rPr>
                <w:rFonts w:ascii="Arial Narrow" w:eastAsia="Times New Roman" w:hAnsi="Arial Narrow" w:cs="Arial"/>
                <w:b/>
                <w:bCs/>
                <w:sz w:val="16"/>
                <w:szCs w:val="16"/>
                <w:lang w:eastAsia="pt-BR"/>
              </w:rPr>
            </w:pPr>
            <w:r w:rsidRPr="00B35BDF">
              <w:rPr>
                <w:rFonts w:ascii="Arial Narrow" w:eastAsia="Times New Roman" w:hAnsi="Arial Narrow" w:cs="Arial"/>
                <w:b/>
                <w:bCs/>
                <w:sz w:val="16"/>
                <w:szCs w:val="16"/>
                <w:lang w:eastAsia="pt-BR"/>
              </w:rPr>
              <w:t>RECEITA ORÇAMENTÁRIA (I)</w:t>
            </w:r>
          </w:p>
        </w:tc>
        <w:tc>
          <w:tcPr>
            <w:tcW w:w="1275" w:type="dxa"/>
            <w:tcBorders>
              <w:top w:val="nil"/>
              <w:left w:val="nil"/>
              <w:bottom w:val="nil"/>
              <w:right w:val="single" w:sz="8" w:space="0" w:color="auto"/>
            </w:tcBorders>
            <w:shd w:val="clear" w:color="auto" w:fill="auto"/>
            <w:vAlign w:val="center"/>
            <w:hideMark/>
          </w:tcPr>
          <w:p w14:paraId="6AC61BC9" w14:textId="77777777" w:rsidR="00B35BDF" w:rsidRPr="00B35BDF" w:rsidRDefault="00B35BDF" w:rsidP="0015273C">
            <w:pPr>
              <w:spacing w:after="0" w:line="240" w:lineRule="auto"/>
              <w:jc w:val="center"/>
              <w:rPr>
                <w:rFonts w:ascii="Arial Narrow" w:eastAsia="Times New Roman" w:hAnsi="Arial Narrow" w:cs="Arial"/>
                <w:b/>
                <w:bCs/>
                <w:sz w:val="16"/>
                <w:szCs w:val="16"/>
                <w:lang w:eastAsia="pt-BR"/>
              </w:rPr>
            </w:pPr>
            <w:r w:rsidRPr="00B35BDF">
              <w:rPr>
                <w:rFonts w:ascii="Arial Narrow" w:eastAsia="Times New Roman" w:hAnsi="Arial Narrow" w:cs="Arial"/>
                <w:b/>
                <w:bCs/>
                <w:sz w:val="16"/>
                <w:szCs w:val="16"/>
                <w:lang w:eastAsia="pt-BR"/>
              </w:rPr>
              <w:t>ABF.B010</w:t>
            </w:r>
          </w:p>
        </w:tc>
        <w:tc>
          <w:tcPr>
            <w:tcW w:w="1560" w:type="dxa"/>
            <w:tcBorders>
              <w:top w:val="nil"/>
              <w:left w:val="nil"/>
              <w:bottom w:val="nil"/>
              <w:right w:val="single" w:sz="8" w:space="0" w:color="auto"/>
            </w:tcBorders>
            <w:shd w:val="clear" w:color="auto" w:fill="auto"/>
            <w:vAlign w:val="center"/>
            <w:hideMark/>
          </w:tcPr>
          <w:p w14:paraId="4D24E5D4" w14:textId="77777777" w:rsidR="00B35BDF" w:rsidRPr="00B35BDF" w:rsidRDefault="00B35BDF" w:rsidP="0015273C">
            <w:pPr>
              <w:spacing w:after="0" w:line="240" w:lineRule="auto"/>
              <w:jc w:val="center"/>
              <w:rPr>
                <w:rFonts w:ascii="Arial Narrow" w:eastAsia="Times New Roman" w:hAnsi="Arial Narrow" w:cs="Arial"/>
                <w:b/>
                <w:bCs/>
                <w:sz w:val="16"/>
                <w:szCs w:val="16"/>
                <w:lang w:eastAsia="pt-BR"/>
              </w:rPr>
            </w:pPr>
            <w:r w:rsidRPr="00B35BDF">
              <w:rPr>
                <w:rFonts w:ascii="Arial Narrow" w:eastAsia="Times New Roman" w:hAnsi="Arial Narrow" w:cs="Arial"/>
                <w:b/>
                <w:bCs/>
                <w:sz w:val="16"/>
                <w:szCs w:val="16"/>
                <w:lang w:eastAsia="pt-BR"/>
              </w:rPr>
              <w:t>ABF.C010</w:t>
            </w:r>
          </w:p>
        </w:tc>
        <w:tc>
          <w:tcPr>
            <w:tcW w:w="1275" w:type="dxa"/>
            <w:tcBorders>
              <w:top w:val="nil"/>
              <w:left w:val="nil"/>
              <w:bottom w:val="nil"/>
              <w:right w:val="single" w:sz="8" w:space="0" w:color="auto"/>
            </w:tcBorders>
            <w:shd w:val="clear" w:color="auto" w:fill="auto"/>
            <w:vAlign w:val="center"/>
            <w:hideMark/>
          </w:tcPr>
          <w:p w14:paraId="1B91E0F1" w14:textId="77777777" w:rsidR="00B35BDF" w:rsidRPr="00B35BDF" w:rsidRDefault="00B35BDF" w:rsidP="0015273C">
            <w:pPr>
              <w:spacing w:after="0" w:line="240" w:lineRule="auto"/>
              <w:jc w:val="center"/>
              <w:rPr>
                <w:rFonts w:ascii="Arial Narrow" w:eastAsia="Times New Roman" w:hAnsi="Arial Narrow" w:cs="Arial"/>
                <w:b/>
                <w:bCs/>
                <w:sz w:val="16"/>
                <w:szCs w:val="16"/>
                <w:lang w:eastAsia="pt-BR"/>
              </w:rPr>
            </w:pPr>
            <w:r w:rsidRPr="00B35BDF">
              <w:rPr>
                <w:rFonts w:ascii="Arial Narrow" w:eastAsia="Times New Roman" w:hAnsi="Arial Narrow" w:cs="Arial"/>
                <w:b/>
                <w:bCs/>
                <w:sz w:val="16"/>
                <w:szCs w:val="16"/>
                <w:lang w:eastAsia="pt-BR"/>
              </w:rPr>
              <w:t>ABF.D010</w:t>
            </w:r>
          </w:p>
        </w:tc>
        <w:tc>
          <w:tcPr>
            <w:tcW w:w="1276" w:type="dxa"/>
            <w:tcBorders>
              <w:top w:val="nil"/>
              <w:left w:val="nil"/>
              <w:bottom w:val="nil"/>
              <w:right w:val="single" w:sz="8" w:space="0" w:color="auto"/>
            </w:tcBorders>
            <w:shd w:val="clear" w:color="auto" w:fill="auto"/>
            <w:vAlign w:val="center"/>
            <w:hideMark/>
          </w:tcPr>
          <w:p w14:paraId="466F38BE" w14:textId="77777777" w:rsidR="00B35BDF" w:rsidRPr="00B35BDF" w:rsidRDefault="00B35BDF" w:rsidP="0015273C">
            <w:pPr>
              <w:spacing w:after="0" w:line="240" w:lineRule="auto"/>
              <w:jc w:val="center"/>
              <w:rPr>
                <w:rFonts w:ascii="Arial Narrow" w:eastAsia="Times New Roman" w:hAnsi="Arial Narrow" w:cs="Arial"/>
                <w:b/>
                <w:bCs/>
                <w:sz w:val="16"/>
                <w:szCs w:val="16"/>
                <w:lang w:eastAsia="pt-BR"/>
              </w:rPr>
            </w:pPr>
            <w:r w:rsidRPr="00B35BDF">
              <w:rPr>
                <w:rFonts w:ascii="Arial Narrow" w:eastAsia="Times New Roman" w:hAnsi="Arial Narrow" w:cs="Arial"/>
                <w:b/>
                <w:bCs/>
                <w:sz w:val="16"/>
                <w:szCs w:val="16"/>
                <w:lang w:eastAsia="pt-BR"/>
              </w:rPr>
              <w:t>ABF.E010</w:t>
            </w:r>
          </w:p>
        </w:tc>
        <w:tc>
          <w:tcPr>
            <w:tcW w:w="1701" w:type="dxa"/>
            <w:tcBorders>
              <w:top w:val="nil"/>
              <w:left w:val="nil"/>
              <w:bottom w:val="nil"/>
              <w:right w:val="single" w:sz="8" w:space="0" w:color="auto"/>
            </w:tcBorders>
            <w:shd w:val="clear" w:color="auto" w:fill="auto"/>
            <w:vAlign w:val="center"/>
            <w:hideMark/>
          </w:tcPr>
          <w:p w14:paraId="33E0BDE5" w14:textId="77777777" w:rsidR="00B35BDF" w:rsidRPr="00B35BDF" w:rsidRDefault="00B35BDF" w:rsidP="0015273C">
            <w:pPr>
              <w:spacing w:after="0" w:line="240" w:lineRule="auto"/>
              <w:jc w:val="center"/>
              <w:rPr>
                <w:rFonts w:ascii="Arial Narrow" w:eastAsia="Times New Roman" w:hAnsi="Arial Narrow" w:cs="Arial"/>
                <w:b/>
                <w:bCs/>
                <w:sz w:val="16"/>
                <w:szCs w:val="16"/>
                <w:lang w:eastAsia="pt-BR"/>
              </w:rPr>
            </w:pPr>
            <w:r w:rsidRPr="00B35BDF">
              <w:rPr>
                <w:rFonts w:ascii="Arial Narrow" w:eastAsia="Times New Roman" w:hAnsi="Arial Narrow" w:cs="Arial"/>
                <w:b/>
                <w:bCs/>
                <w:sz w:val="16"/>
                <w:szCs w:val="16"/>
                <w:lang w:eastAsia="pt-BR"/>
              </w:rPr>
              <w:t>ABF.F010</w:t>
            </w:r>
          </w:p>
        </w:tc>
        <w:tc>
          <w:tcPr>
            <w:tcW w:w="1418" w:type="dxa"/>
            <w:tcBorders>
              <w:top w:val="nil"/>
              <w:left w:val="nil"/>
              <w:bottom w:val="nil"/>
              <w:right w:val="single" w:sz="8" w:space="0" w:color="auto"/>
            </w:tcBorders>
            <w:shd w:val="clear" w:color="auto" w:fill="auto"/>
            <w:vAlign w:val="center"/>
            <w:hideMark/>
          </w:tcPr>
          <w:p w14:paraId="4FE1D11C" w14:textId="77777777" w:rsidR="00B35BDF" w:rsidRPr="00B35BDF" w:rsidRDefault="00B35BDF" w:rsidP="0015273C">
            <w:pPr>
              <w:spacing w:after="0" w:line="240" w:lineRule="auto"/>
              <w:jc w:val="center"/>
              <w:rPr>
                <w:rFonts w:ascii="Arial Narrow" w:eastAsia="Times New Roman" w:hAnsi="Arial Narrow" w:cs="Arial"/>
                <w:b/>
                <w:bCs/>
                <w:sz w:val="16"/>
                <w:szCs w:val="16"/>
                <w:lang w:eastAsia="pt-BR"/>
              </w:rPr>
            </w:pPr>
            <w:r w:rsidRPr="00B35BDF">
              <w:rPr>
                <w:rFonts w:ascii="Arial Narrow" w:eastAsia="Times New Roman" w:hAnsi="Arial Narrow" w:cs="Arial"/>
                <w:b/>
                <w:bCs/>
                <w:sz w:val="16"/>
                <w:szCs w:val="16"/>
                <w:lang w:eastAsia="pt-BR"/>
              </w:rPr>
              <w:t>ABF.G010</w:t>
            </w:r>
          </w:p>
        </w:tc>
      </w:tr>
      <w:tr w:rsidR="00B35BDF" w:rsidRPr="00B35BDF" w14:paraId="3C6FC652" w14:textId="77777777" w:rsidTr="0015273C">
        <w:trPr>
          <w:trHeight w:val="255"/>
        </w:trPr>
        <w:tc>
          <w:tcPr>
            <w:tcW w:w="4977" w:type="dxa"/>
            <w:tcBorders>
              <w:top w:val="nil"/>
              <w:left w:val="single" w:sz="8" w:space="0" w:color="auto"/>
              <w:bottom w:val="nil"/>
              <w:right w:val="single" w:sz="8" w:space="0" w:color="auto"/>
            </w:tcBorders>
            <w:shd w:val="clear" w:color="auto" w:fill="auto"/>
            <w:noWrap/>
            <w:vAlign w:val="center"/>
            <w:hideMark/>
          </w:tcPr>
          <w:p w14:paraId="54EBCD6B" w14:textId="77777777" w:rsidR="00B35BDF" w:rsidRPr="00B35BDF" w:rsidRDefault="00B35BDF" w:rsidP="0015273C">
            <w:pPr>
              <w:spacing w:after="0" w:line="240" w:lineRule="auto"/>
              <w:ind w:firstLineChars="100" w:firstLine="161"/>
              <w:rPr>
                <w:rFonts w:ascii="Arial Narrow" w:eastAsia="Times New Roman" w:hAnsi="Arial Narrow" w:cs="Arial"/>
                <w:b/>
                <w:bCs/>
                <w:sz w:val="16"/>
                <w:szCs w:val="16"/>
                <w:u w:val="single"/>
                <w:lang w:eastAsia="pt-BR"/>
              </w:rPr>
            </w:pPr>
            <w:r w:rsidRPr="00B35BDF">
              <w:rPr>
                <w:rFonts w:ascii="Arial Narrow" w:eastAsia="Times New Roman" w:hAnsi="Arial Narrow" w:cs="Arial"/>
                <w:b/>
                <w:bCs/>
                <w:sz w:val="16"/>
                <w:szCs w:val="16"/>
                <w:u w:val="single"/>
                <w:lang w:eastAsia="pt-BR"/>
              </w:rPr>
              <w:t>Ordinária</w:t>
            </w:r>
          </w:p>
        </w:tc>
        <w:tc>
          <w:tcPr>
            <w:tcW w:w="1275" w:type="dxa"/>
            <w:tcBorders>
              <w:top w:val="nil"/>
              <w:left w:val="nil"/>
              <w:bottom w:val="nil"/>
              <w:right w:val="single" w:sz="8" w:space="0" w:color="auto"/>
            </w:tcBorders>
            <w:shd w:val="clear" w:color="auto" w:fill="auto"/>
            <w:vAlign w:val="center"/>
            <w:hideMark/>
          </w:tcPr>
          <w:p w14:paraId="753467D8" w14:textId="77777777" w:rsidR="00B35BDF" w:rsidRPr="00B35BDF" w:rsidRDefault="00B35BDF" w:rsidP="0015273C">
            <w:pPr>
              <w:spacing w:after="0" w:line="240" w:lineRule="auto"/>
              <w:jc w:val="center"/>
              <w:rPr>
                <w:rFonts w:ascii="Arial Narrow" w:eastAsia="Times New Roman" w:hAnsi="Arial Narrow" w:cs="Arial"/>
                <w:b/>
                <w:bCs/>
                <w:sz w:val="16"/>
                <w:szCs w:val="16"/>
                <w:lang w:eastAsia="pt-BR"/>
              </w:rPr>
            </w:pPr>
            <w:r w:rsidRPr="00B35BDF">
              <w:rPr>
                <w:rFonts w:ascii="Arial Narrow" w:eastAsia="Times New Roman" w:hAnsi="Arial Narrow" w:cs="Arial"/>
                <w:b/>
                <w:bCs/>
                <w:sz w:val="16"/>
                <w:szCs w:val="16"/>
                <w:lang w:eastAsia="pt-BR"/>
              </w:rPr>
              <w:t>ABF.B011</w:t>
            </w:r>
          </w:p>
        </w:tc>
        <w:tc>
          <w:tcPr>
            <w:tcW w:w="1560" w:type="dxa"/>
            <w:tcBorders>
              <w:top w:val="nil"/>
              <w:left w:val="nil"/>
              <w:bottom w:val="nil"/>
              <w:right w:val="single" w:sz="8" w:space="0" w:color="auto"/>
            </w:tcBorders>
            <w:shd w:val="clear" w:color="auto" w:fill="auto"/>
            <w:vAlign w:val="center"/>
            <w:hideMark/>
          </w:tcPr>
          <w:p w14:paraId="7680D1D6" w14:textId="77777777" w:rsidR="00B35BDF" w:rsidRPr="00B35BDF" w:rsidRDefault="00B35BDF" w:rsidP="0015273C">
            <w:pPr>
              <w:spacing w:after="0" w:line="240" w:lineRule="auto"/>
              <w:jc w:val="center"/>
              <w:rPr>
                <w:rFonts w:ascii="Arial Narrow" w:eastAsia="Times New Roman" w:hAnsi="Arial Narrow" w:cs="Arial"/>
                <w:b/>
                <w:bCs/>
                <w:sz w:val="16"/>
                <w:szCs w:val="16"/>
                <w:lang w:eastAsia="pt-BR"/>
              </w:rPr>
            </w:pPr>
            <w:r w:rsidRPr="00B35BDF">
              <w:rPr>
                <w:rFonts w:ascii="Arial Narrow" w:eastAsia="Times New Roman" w:hAnsi="Arial Narrow" w:cs="Arial"/>
                <w:b/>
                <w:bCs/>
                <w:sz w:val="16"/>
                <w:szCs w:val="16"/>
                <w:lang w:eastAsia="pt-BR"/>
              </w:rPr>
              <w:t>ABF.C011</w:t>
            </w:r>
          </w:p>
        </w:tc>
        <w:tc>
          <w:tcPr>
            <w:tcW w:w="1275" w:type="dxa"/>
            <w:tcBorders>
              <w:top w:val="nil"/>
              <w:left w:val="nil"/>
              <w:bottom w:val="nil"/>
              <w:right w:val="single" w:sz="8" w:space="0" w:color="auto"/>
            </w:tcBorders>
            <w:shd w:val="clear" w:color="auto" w:fill="auto"/>
            <w:vAlign w:val="center"/>
            <w:hideMark/>
          </w:tcPr>
          <w:p w14:paraId="46FEEF0F" w14:textId="77777777" w:rsidR="00B35BDF" w:rsidRPr="00B35BDF" w:rsidRDefault="00B35BDF" w:rsidP="0015273C">
            <w:pPr>
              <w:spacing w:after="0" w:line="240" w:lineRule="auto"/>
              <w:jc w:val="center"/>
              <w:rPr>
                <w:rFonts w:ascii="Arial Narrow" w:eastAsia="Times New Roman" w:hAnsi="Arial Narrow" w:cs="Arial"/>
                <w:b/>
                <w:bCs/>
                <w:sz w:val="16"/>
                <w:szCs w:val="16"/>
                <w:lang w:eastAsia="pt-BR"/>
              </w:rPr>
            </w:pPr>
            <w:r w:rsidRPr="00B35BDF">
              <w:rPr>
                <w:rFonts w:ascii="Arial Narrow" w:eastAsia="Times New Roman" w:hAnsi="Arial Narrow" w:cs="Arial"/>
                <w:b/>
                <w:bCs/>
                <w:sz w:val="16"/>
                <w:szCs w:val="16"/>
                <w:lang w:eastAsia="pt-BR"/>
              </w:rPr>
              <w:t>ABF.D011</w:t>
            </w:r>
          </w:p>
        </w:tc>
        <w:tc>
          <w:tcPr>
            <w:tcW w:w="1276" w:type="dxa"/>
            <w:tcBorders>
              <w:top w:val="nil"/>
              <w:left w:val="nil"/>
              <w:bottom w:val="nil"/>
              <w:right w:val="single" w:sz="8" w:space="0" w:color="auto"/>
            </w:tcBorders>
            <w:shd w:val="clear" w:color="auto" w:fill="auto"/>
            <w:vAlign w:val="center"/>
            <w:hideMark/>
          </w:tcPr>
          <w:p w14:paraId="3D25F714" w14:textId="77777777" w:rsidR="00B35BDF" w:rsidRPr="00B35BDF" w:rsidRDefault="00B35BDF" w:rsidP="0015273C">
            <w:pPr>
              <w:spacing w:after="0" w:line="240" w:lineRule="auto"/>
              <w:jc w:val="center"/>
              <w:rPr>
                <w:rFonts w:ascii="Arial Narrow" w:eastAsia="Times New Roman" w:hAnsi="Arial Narrow" w:cs="Arial"/>
                <w:b/>
                <w:bCs/>
                <w:sz w:val="16"/>
                <w:szCs w:val="16"/>
                <w:lang w:eastAsia="pt-BR"/>
              </w:rPr>
            </w:pPr>
            <w:r w:rsidRPr="00B35BDF">
              <w:rPr>
                <w:rFonts w:ascii="Arial Narrow" w:eastAsia="Times New Roman" w:hAnsi="Arial Narrow" w:cs="Arial"/>
                <w:b/>
                <w:bCs/>
                <w:sz w:val="16"/>
                <w:szCs w:val="16"/>
                <w:lang w:eastAsia="pt-BR"/>
              </w:rPr>
              <w:t>ABF.E011</w:t>
            </w:r>
          </w:p>
        </w:tc>
        <w:tc>
          <w:tcPr>
            <w:tcW w:w="1701" w:type="dxa"/>
            <w:tcBorders>
              <w:top w:val="nil"/>
              <w:left w:val="nil"/>
              <w:bottom w:val="nil"/>
              <w:right w:val="single" w:sz="8" w:space="0" w:color="auto"/>
            </w:tcBorders>
            <w:shd w:val="clear" w:color="auto" w:fill="auto"/>
            <w:vAlign w:val="center"/>
            <w:hideMark/>
          </w:tcPr>
          <w:p w14:paraId="748491EE" w14:textId="77777777" w:rsidR="00B35BDF" w:rsidRPr="00B35BDF" w:rsidRDefault="00B35BDF" w:rsidP="0015273C">
            <w:pPr>
              <w:spacing w:after="0" w:line="240" w:lineRule="auto"/>
              <w:jc w:val="center"/>
              <w:rPr>
                <w:rFonts w:ascii="Arial Narrow" w:eastAsia="Times New Roman" w:hAnsi="Arial Narrow" w:cs="Arial"/>
                <w:b/>
                <w:bCs/>
                <w:sz w:val="16"/>
                <w:szCs w:val="16"/>
                <w:lang w:eastAsia="pt-BR"/>
              </w:rPr>
            </w:pPr>
            <w:r w:rsidRPr="00B35BDF">
              <w:rPr>
                <w:rFonts w:ascii="Arial Narrow" w:eastAsia="Times New Roman" w:hAnsi="Arial Narrow" w:cs="Arial"/>
                <w:b/>
                <w:bCs/>
                <w:sz w:val="16"/>
                <w:szCs w:val="16"/>
                <w:lang w:eastAsia="pt-BR"/>
              </w:rPr>
              <w:t>ABF.F011</w:t>
            </w:r>
          </w:p>
        </w:tc>
        <w:tc>
          <w:tcPr>
            <w:tcW w:w="1418" w:type="dxa"/>
            <w:tcBorders>
              <w:top w:val="nil"/>
              <w:left w:val="nil"/>
              <w:bottom w:val="nil"/>
              <w:right w:val="single" w:sz="8" w:space="0" w:color="auto"/>
            </w:tcBorders>
            <w:shd w:val="clear" w:color="auto" w:fill="auto"/>
            <w:vAlign w:val="center"/>
            <w:hideMark/>
          </w:tcPr>
          <w:p w14:paraId="1CDF453C" w14:textId="77777777" w:rsidR="00B35BDF" w:rsidRPr="00B35BDF" w:rsidRDefault="00B35BDF" w:rsidP="0015273C">
            <w:pPr>
              <w:spacing w:after="0" w:line="240" w:lineRule="auto"/>
              <w:jc w:val="center"/>
              <w:rPr>
                <w:rFonts w:ascii="Arial Narrow" w:eastAsia="Times New Roman" w:hAnsi="Arial Narrow" w:cs="Arial"/>
                <w:b/>
                <w:bCs/>
                <w:sz w:val="16"/>
                <w:szCs w:val="16"/>
                <w:lang w:eastAsia="pt-BR"/>
              </w:rPr>
            </w:pPr>
            <w:r w:rsidRPr="00B35BDF">
              <w:rPr>
                <w:rFonts w:ascii="Arial Narrow" w:eastAsia="Times New Roman" w:hAnsi="Arial Narrow" w:cs="Arial"/>
                <w:b/>
                <w:bCs/>
                <w:sz w:val="16"/>
                <w:szCs w:val="16"/>
                <w:lang w:eastAsia="pt-BR"/>
              </w:rPr>
              <w:t>ABF.G011</w:t>
            </w:r>
          </w:p>
        </w:tc>
      </w:tr>
      <w:tr w:rsidR="00B35BDF" w:rsidRPr="00B35BDF" w14:paraId="6779CBBB" w14:textId="77777777" w:rsidTr="0015273C">
        <w:trPr>
          <w:trHeight w:val="255"/>
        </w:trPr>
        <w:tc>
          <w:tcPr>
            <w:tcW w:w="4977" w:type="dxa"/>
            <w:tcBorders>
              <w:top w:val="nil"/>
              <w:left w:val="single" w:sz="8" w:space="0" w:color="auto"/>
              <w:bottom w:val="nil"/>
              <w:right w:val="single" w:sz="8" w:space="0" w:color="auto"/>
            </w:tcBorders>
            <w:shd w:val="clear" w:color="auto" w:fill="auto"/>
            <w:noWrap/>
            <w:vAlign w:val="center"/>
          </w:tcPr>
          <w:p w14:paraId="2718021F" w14:textId="77777777" w:rsidR="00B35BDF" w:rsidRPr="00B35BDF" w:rsidRDefault="00B35BDF" w:rsidP="0015273C">
            <w:pPr>
              <w:spacing w:after="0" w:line="240" w:lineRule="auto"/>
              <w:ind w:left="371"/>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001 - Recursos Ordinários</w:t>
            </w:r>
          </w:p>
        </w:tc>
        <w:tc>
          <w:tcPr>
            <w:tcW w:w="1275" w:type="dxa"/>
            <w:tcBorders>
              <w:top w:val="nil"/>
              <w:left w:val="nil"/>
              <w:bottom w:val="nil"/>
              <w:right w:val="single" w:sz="8" w:space="0" w:color="auto"/>
            </w:tcBorders>
            <w:shd w:val="clear" w:color="auto" w:fill="auto"/>
            <w:vAlign w:val="center"/>
          </w:tcPr>
          <w:p w14:paraId="5F1619EE"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ABF.B067</w:t>
            </w:r>
          </w:p>
        </w:tc>
        <w:tc>
          <w:tcPr>
            <w:tcW w:w="1560" w:type="dxa"/>
            <w:tcBorders>
              <w:top w:val="nil"/>
              <w:left w:val="nil"/>
              <w:bottom w:val="nil"/>
              <w:right w:val="single" w:sz="8" w:space="0" w:color="auto"/>
            </w:tcBorders>
            <w:shd w:val="clear" w:color="auto" w:fill="auto"/>
            <w:vAlign w:val="center"/>
          </w:tcPr>
          <w:p w14:paraId="6DEDA1EA"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ABF.C067</w:t>
            </w:r>
          </w:p>
        </w:tc>
        <w:tc>
          <w:tcPr>
            <w:tcW w:w="1275" w:type="dxa"/>
            <w:tcBorders>
              <w:top w:val="nil"/>
              <w:left w:val="nil"/>
              <w:bottom w:val="nil"/>
              <w:right w:val="single" w:sz="8" w:space="0" w:color="auto"/>
            </w:tcBorders>
            <w:shd w:val="clear" w:color="auto" w:fill="auto"/>
            <w:vAlign w:val="center"/>
          </w:tcPr>
          <w:p w14:paraId="506981C5"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ABF.D067</w:t>
            </w:r>
          </w:p>
        </w:tc>
        <w:tc>
          <w:tcPr>
            <w:tcW w:w="1276" w:type="dxa"/>
            <w:tcBorders>
              <w:top w:val="nil"/>
              <w:left w:val="nil"/>
              <w:bottom w:val="nil"/>
              <w:right w:val="single" w:sz="8" w:space="0" w:color="auto"/>
            </w:tcBorders>
            <w:shd w:val="clear" w:color="auto" w:fill="auto"/>
            <w:vAlign w:val="center"/>
          </w:tcPr>
          <w:p w14:paraId="7AA454D4"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ABF.E067</w:t>
            </w:r>
          </w:p>
        </w:tc>
        <w:tc>
          <w:tcPr>
            <w:tcW w:w="1701" w:type="dxa"/>
            <w:tcBorders>
              <w:top w:val="nil"/>
              <w:left w:val="nil"/>
              <w:bottom w:val="nil"/>
              <w:right w:val="single" w:sz="8" w:space="0" w:color="auto"/>
            </w:tcBorders>
            <w:shd w:val="clear" w:color="auto" w:fill="auto"/>
            <w:vAlign w:val="center"/>
          </w:tcPr>
          <w:p w14:paraId="0D57494C"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ABF.F067</w:t>
            </w:r>
          </w:p>
        </w:tc>
        <w:tc>
          <w:tcPr>
            <w:tcW w:w="1418" w:type="dxa"/>
            <w:tcBorders>
              <w:top w:val="nil"/>
              <w:left w:val="nil"/>
              <w:bottom w:val="nil"/>
              <w:right w:val="single" w:sz="8" w:space="0" w:color="auto"/>
            </w:tcBorders>
            <w:shd w:val="clear" w:color="auto" w:fill="auto"/>
            <w:vAlign w:val="center"/>
          </w:tcPr>
          <w:p w14:paraId="68A39AE2"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ABF.G067</w:t>
            </w:r>
          </w:p>
        </w:tc>
      </w:tr>
      <w:tr w:rsidR="00B35BDF" w:rsidRPr="00B35BDF" w14:paraId="5863D3CF" w14:textId="77777777" w:rsidTr="0015273C">
        <w:trPr>
          <w:trHeight w:val="255"/>
        </w:trPr>
        <w:tc>
          <w:tcPr>
            <w:tcW w:w="4977" w:type="dxa"/>
            <w:tcBorders>
              <w:top w:val="nil"/>
              <w:left w:val="single" w:sz="8" w:space="0" w:color="auto"/>
              <w:bottom w:val="nil"/>
              <w:right w:val="single" w:sz="8" w:space="0" w:color="auto"/>
            </w:tcBorders>
            <w:shd w:val="clear" w:color="auto" w:fill="auto"/>
            <w:noWrap/>
            <w:vAlign w:val="center"/>
          </w:tcPr>
          <w:p w14:paraId="4689B9E6" w14:textId="77777777" w:rsidR="00B35BDF" w:rsidRPr="00B35BDF" w:rsidRDefault="00B35BDF" w:rsidP="0015273C">
            <w:pPr>
              <w:spacing w:after="0" w:line="240" w:lineRule="auto"/>
              <w:ind w:left="371"/>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090 – Outros Recursos Não Vinculados</w:t>
            </w:r>
          </w:p>
        </w:tc>
        <w:tc>
          <w:tcPr>
            <w:tcW w:w="1275" w:type="dxa"/>
            <w:tcBorders>
              <w:top w:val="nil"/>
              <w:left w:val="nil"/>
              <w:bottom w:val="nil"/>
              <w:right w:val="single" w:sz="8" w:space="0" w:color="auto"/>
            </w:tcBorders>
            <w:shd w:val="clear" w:color="auto" w:fill="auto"/>
            <w:vAlign w:val="center"/>
          </w:tcPr>
          <w:p w14:paraId="2CAD74C9"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ABF.B073</w:t>
            </w:r>
          </w:p>
        </w:tc>
        <w:tc>
          <w:tcPr>
            <w:tcW w:w="1560" w:type="dxa"/>
            <w:tcBorders>
              <w:top w:val="nil"/>
              <w:left w:val="nil"/>
              <w:bottom w:val="nil"/>
              <w:right w:val="single" w:sz="8" w:space="0" w:color="auto"/>
            </w:tcBorders>
            <w:shd w:val="clear" w:color="auto" w:fill="auto"/>
            <w:vAlign w:val="center"/>
          </w:tcPr>
          <w:p w14:paraId="156620C2" w14:textId="77777777" w:rsidR="00B35BDF" w:rsidRPr="00B35BDF" w:rsidRDefault="00B35BDF"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ABF.C073</w:t>
            </w:r>
          </w:p>
        </w:tc>
        <w:tc>
          <w:tcPr>
            <w:tcW w:w="1275" w:type="dxa"/>
            <w:tcBorders>
              <w:top w:val="nil"/>
              <w:left w:val="nil"/>
              <w:bottom w:val="nil"/>
              <w:right w:val="single" w:sz="8" w:space="0" w:color="auto"/>
            </w:tcBorders>
            <w:shd w:val="clear" w:color="auto" w:fill="auto"/>
            <w:vAlign w:val="center"/>
          </w:tcPr>
          <w:p w14:paraId="0A036EDF" w14:textId="77777777" w:rsidR="00B35BDF" w:rsidRPr="00B35BDF" w:rsidRDefault="00B35BDF"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ABF.D073</w:t>
            </w:r>
          </w:p>
        </w:tc>
        <w:tc>
          <w:tcPr>
            <w:tcW w:w="1276" w:type="dxa"/>
            <w:tcBorders>
              <w:top w:val="nil"/>
              <w:left w:val="nil"/>
              <w:bottom w:val="nil"/>
              <w:right w:val="single" w:sz="8" w:space="0" w:color="auto"/>
            </w:tcBorders>
            <w:shd w:val="clear" w:color="auto" w:fill="auto"/>
            <w:vAlign w:val="center"/>
          </w:tcPr>
          <w:p w14:paraId="40C123EC" w14:textId="77777777" w:rsidR="00B35BDF" w:rsidRPr="00B35BDF" w:rsidRDefault="00B35BDF"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ABF.E073</w:t>
            </w:r>
          </w:p>
        </w:tc>
        <w:tc>
          <w:tcPr>
            <w:tcW w:w="1701" w:type="dxa"/>
            <w:tcBorders>
              <w:top w:val="nil"/>
              <w:left w:val="nil"/>
              <w:bottom w:val="nil"/>
              <w:right w:val="single" w:sz="8" w:space="0" w:color="auto"/>
            </w:tcBorders>
            <w:shd w:val="clear" w:color="auto" w:fill="auto"/>
            <w:vAlign w:val="center"/>
          </w:tcPr>
          <w:p w14:paraId="4C8BF671" w14:textId="77777777" w:rsidR="00B35BDF" w:rsidRPr="00B35BDF" w:rsidRDefault="00B35BDF"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ABF.F073</w:t>
            </w:r>
          </w:p>
        </w:tc>
        <w:tc>
          <w:tcPr>
            <w:tcW w:w="1418" w:type="dxa"/>
            <w:tcBorders>
              <w:top w:val="nil"/>
              <w:left w:val="nil"/>
              <w:bottom w:val="nil"/>
              <w:right w:val="single" w:sz="8" w:space="0" w:color="auto"/>
            </w:tcBorders>
            <w:shd w:val="clear" w:color="auto" w:fill="auto"/>
            <w:vAlign w:val="center"/>
          </w:tcPr>
          <w:p w14:paraId="307A217F" w14:textId="77777777" w:rsidR="00B35BDF" w:rsidRPr="00B35BDF" w:rsidRDefault="00B35BDF"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ABF.G073</w:t>
            </w:r>
          </w:p>
        </w:tc>
      </w:tr>
      <w:tr w:rsidR="00B35BDF" w:rsidRPr="00B35BDF" w14:paraId="65D52FC6" w14:textId="77777777" w:rsidTr="0015273C">
        <w:trPr>
          <w:trHeight w:val="255"/>
        </w:trPr>
        <w:tc>
          <w:tcPr>
            <w:tcW w:w="4977" w:type="dxa"/>
            <w:tcBorders>
              <w:top w:val="nil"/>
              <w:left w:val="single" w:sz="8" w:space="0" w:color="auto"/>
              <w:bottom w:val="nil"/>
              <w:right w:val="single" w:sz="8" w:space="0" w:color="auto"/>
            </w:tcBorders>
            <w:shd w:val="clear" w:color="auto" w:fill="auto"/>
            <w:noWrap/>
            <w:vAlign w:val="center"/>
            <w:hideMark/>
          </w:tcPr>
          <w:p w14:paraId="08C1A1C4" w14:textId="77777777" w:rsidR="00B35BDF" w:rsidRPr="00B35BDF" w:rsidRDefault="00B35BDF" w:rsidP="0015273C">
            <w:pPr>
              <w:spacing w:after="0" w:line="240" w:lineRule="auto"/>
              <w:ind w:firstLineChars="100" w:firstLine="161"/>
              <w:rPr>
                <w:rFonts w:ascii="Arial Narrow" w:eastAsia="Times New Roman" w:hAnsi="Arial Narrow" w:cs="Arial"/>
                <w:b/>
                <w:bCs/>
                <w:sz w:val="16"/>
                <w:szCs w:val="16"/>
                <w:u w:val="single"/>
                <w:lang w:eastAsia="pt-BR"/>
              </w:rPr>
            </w:pPr>
            <w:r w:rsidRPr="00B35BDF">
              <w:rPr>
                <w:rFonts w:ascii="Arial Narrow" w:eastAsia="Times New Roman" w:hAnsi="Arial Narrow" w:cs="Arial"/>
                <w:b/>
                <w:bCs/>
                <w:sz w:val="16"/>
                <w:szCs w:val="16"/>
                <w:u w:val="single"/>
                <w:lang w:eastAsia="pt-BR"/>
              </w:rPr>
              <w:t>Vinculada</w:t>
            </w:r>
          </w:p>
        </w:tc>
        <w:tc>
          <w:tcPr>
            <w:tcW w:w="1275" w:type="dxa"/>
            <w:tcBorders>
              <w:top w:val="nil"/>
              <w:left w:val="nil"/>
              <w:bottom w:val="nil"/>
              <w:right w:val="single" w:sz="8" w:space="0" w:color="auto"/>
            </w:tcBorders>
            <w:shd w:val="clear" w:color="auto" w:fill="auto"/>
            <w:vAlign w:val="center"/>
            <w:hideMark/>
          </w:tcPr>
          <w:p w14:paraId="07678F75" w14:textId="77777777" w:rsidR="00B35BDF" w:rsidRPr="00B35BDF" w:rsidRDefault="00B35BDF" w:rsidP="0015273C">
            <w:pPr>
              <w:spacing w:after="0" w:line="240" w:lineRule="auto"/>
              <w:jc w:val="center"/>
              <w:rPr>
                <w:rFonts w:ascii="Arial Narrow" w:eastAsia="Times New Roman" w:hAnsi="Arial Narrow" w:cs="Arial"/>
                <w:b/>
                <w:bCs/>
                <w:sz w:val="16"/>
                <w:szCs w:val="16"/>
                <w:lang w:eastAsia="pt-BR"/>
              </w:rPr>
            </w:pPr>
            <w:r w:rsidRPr="00B35BDF">
              <w:rPr>
                <w:rFonts w:ascii="Arial Narrow" w:eastAsia="Times New Roman" w:hAnsi="Arial Narrow" w:cs="Arial"/>
                <w:b/>
                <w:bCs/>
                <w:sz w:val="16"/>
                <w:szCs w:val="16"/>
                <w:lang w:eastAsia="pt-BR"/>
              </w:rPr>
              <w:t>ABF.B012</w:t>
            </w:r>
          </w:p>
        </w:tc>
        <w:tc>
          <w:tcPr>
            <w:tcW w:w="1560" w:type="dxa"/>
            <w:tcBorders>
              <w:top w:val="nil"/>
              <w:left w:val="nil"/>
              <w:bottom w:val="nil"/>
              <w:right w:val="single" w:sz="8" w:space="0" w:color="auto"/>
            </w:tcBorders>
            <w:shd w:val="clear" w:color="auto" w:fill="auto"/>
            <w:vAlign w:val="center"/>
            <w:hideMark/>
          </w:tcPr>
          <w:p w14:paraId="2AF73846" w14:textId="77777777" w:rsidR="00B35BDF" w:rsidRPr="00B35BDF" w:rsidRDefault="00B35BDF" w:rsidP="0015273C">
            <w:pPr>
              <w:spacing w:after="0" w:line="240" w:lineRule="auto"/>
              <w:jc w:val="center"/>
              <w:rPr>
                <w:rFonts w:ascii="Arial Narrow" w:eastAsia="Times New Roman" w:hAnsi="Arial Narrow" w:cs="Arial"/>
                <w:b/>
                <w:bCs/>
                <w:sz w:val="16"/>
                <w:szCs w:val="16"/>
                <w:lang w:eastAsia="pt-BR"/>
              </w:rPr>
            </w:pPr>
            <w:r w:rsidRPr="00B35BDF">
              <w:rPr>
                <w:rFonts w:ascii="Arial Narrow" w:eastAsia="Times New Roman" w:hAnsi="Arial Narrow" w:cs="Arial"/>
                <w:b/>
                <w:bCs/>
                <w:sz w:val="16"/>
                <w:szCs w:val="16"/>
                <w:lang w:eastAsia="pt-BR"/>
              </w:rPr>
              <w:t>ABF.C012</w:t>
            </w:r>
          </w:p>
        </w:tc>
        <w:tc>
          <w:tcPr>
            <w:tcW w:w="1275" w:type="dxa"/>
            <w:tcBorders>
              <w:top w:val="nil"/>
              <w:left w:val="nil"/>
              <w:bottom w:val="nil"/>
              <w:right w:val="single" w:sz="8" w:space="0" w:color="auto"/>
            </w:tcBorders>
            <w:shd w:val="clear" w:color="auto" w:fill="auto"/>
            <w:vAlign w:val="center"/>
            <w:hideMark/>
          </w:tcPr>
          <w:p w14:paraId="693694D1" w14:textId="77777777" w:rsidR="00B35BDF" w:rsidRPr="00B35BDF" w:rsidRDefault="00B35BDF" w:rsidP="0015273C">
            <w:pPr>
              <w:spacing w:after="0" w:line="240" w:lineRule="auto"/>
              <w:jc w:val="center"/>
              <w:rPr>
                <w:rFonts w:ascii="Arial Narrow" w:eastAsia="Times New Roman" w:hAnsi="Arial Narrow" w:cs="Arial"/>
                <w:b/>
                <w:bCs/>
                <w:sz w:val="16"/>
                <w:szCs w:val="16"/>
                <w:lang w:eastAsia="pt-BR"/>
              </w:rPr>
            </w:pPr>
            <w:r w:rsidRPr="00B35BDF">
              <w:rPr>
                <w:rFonts w:ascii="Arial Narrow" w:eastAsia="Times New Roman" w:hAnsi="Arial Narrow" w:cs="Arial"/>
                <w:b/>
                <w:bCs/>
                <w:sz w:val="16"/>
                <w:szCs w:val="16"/>
                <w:lang w:eastAsia="pt-BR"/>
              </w:rPr>
              <w:t>ABF.D012</w:t>
            </w:r>
          </w:p>
        </w:tc>
        <w:tc>
          <w:tcPr>
            <w:tcW w:w="1276" w:type="dxa"/>
            <w:tcBorders>
              <w:top w:val="nil"/>
              <w:left w:val="nil"/>
              <w:bottom w:val="nil"/>
              <w:right w:val="single" w:sz="8" w:space="0" w:color="auto"/>
            </w:tcBorders>
            <w:shd w:val="clear" w:color="auto" w:fill="auto"/>
            <w:vAlign w:val="center"/>
            <w:hideMark/>
          </w:tcPr>
          <w:p w14:paraId="6DF80963" w14:textId="77777777" w:rsidR="00B35BDF" w:rsidRPr="00B35BDF" w:rsidRDefault="00B35BDF" w:rsidP="0015273C">
            <w:pPr>
              <w:spacing w:after="0" w:line="240" w:lineRule="auto"/>
              <w:jc w:val="center"/>
              <w:rPr>
                <w:rFonts w:ascii="Arial Narrow" w:eastAsia="Times New Roman" w:hAnsi="Arial Narrow" w:cs="Arial"/>
                <w:b/>
                <w:bCs/>
                <w:sz w:val="16"/>
                <w:szCs w:val="16"/>
                <w:lang w:eastAsia="pt-BR"/>
              </w:rPr>
            </w:pPr>
            <w:r w:rsidRPr="00B35BDF">
              <w:rPr>
                <w:rFonts w:ascii="Arial Narrow" w:eastAsia="Times New Roman" w:hAnsi="Arial Narrow" w:cs="Arial"/>
                <w:b/>
                <w:bCs/>
                <w:sz w:val="16"/>
                <w:szCs w:val="16"/>
                <w:lang w:eastAsia="pt-BR"/>
              </w:rPr>
              <w:t>ABF.E012</w:t>
            </w:r>
          </w:p>
        </w:tc>
        <w:tc>
          <w:tcPr>
            <w:tcW w:w="1701" w:type="dxa"/>
            <w:tcBorders>
              <w:top w:val="nil"/>
              <w:left w:val="nil"/>
              <w:bottom w:val="nil"/>
              <w:right w:val="single" w:sz="8" w:space="0" w:color="auto"/>
            </w:tcBorders>
            <w:shd w:val="clear" w:color="auto" w:fill="auto"/>
            <w:vAlign w:val="center"/>
            <w:hideMark/>
          </w:tcPr>
          <w:p w14:paraId="5F8D17A5" w14:textId="77777777" w:rsidR="00B35BDF" w:rsidRPr="00B35BDF" w:rsidRDefault="00B35BDF" w:rsidP="0015273C">
            <w:pPr>
              <w:spacing w:after="0" w:line="240" w:lineRule="auto"/>
              <w:jc w:val="center"/>
              <w:rPr>
                <w:rFonts w:ascii="Arial Narrow" w:eastAsia="Times New Roman" w:hAnsi="Arial Narrow" w:cs="Arial"/>
                <w:b/>
                <w:bCs/>
                <w:sz w:val="16"/>
                <w:szCs w:val="16"/>
                <w:lang w:eastAsia="pt-BR"/>
              </w:rPr>
            </w:pPr>
            <w:r w:rsidRPr="00B35BDF">
              <w:rPr>
                <w:rFonts w:ascii="Arial Narrow" w:eastAsia="Times New Roman" w:hAnsi="Arial Narrow" w:cs="Arial"/>
                <w:b/>
                <w:bCs/>
                <w:sz w:val="16"/>
                <w:szCs w:val="16"/>
                <w:lang w:eastAsia="pt-BR"/>
              </w:rPr>
              <w:t>ABF.F012</w:t>
            </w:r>
          </w:p>
        </w:tc>
        <w:tc>
          <w:tcPr>
            <w:tcW w:w="1418" w:type="dxa"/>
            <w:tcBorders>
              <w:top w:val="nil"/>
              <w:left w:val="nil"/>
              <w:bottom w:val="nil"/>
              <w:right w:val="single" w:sz="8" w:space="0" w:color="auto"/>
            </w:tcBorders>
            <w:shd w:val="clear" w:color="auto" w:fill="auto"/>
            <w:vAlign w:val="center"/>
            <w:hideMark/>
          </w:tcPr>
          <w:p w14:paraId="42D0F85F" w14:textId="77777777" w:rsidR="00B35BDF" w:rsidRPr="00B35BDF" w:rsidRDefault="00B35BDF" w:rsidP="0015273C">
            <w:pPr>
              <w:spacing w:after="0" w:line="240" w:lineRule="auto"/>
              <w:jc w:val="center"/>
              <w:rPr>
                <w:rFonts w:ascii="Arial Narrow" w:eastAsia="Times New Roman" w:hAnsi="Arial Narrow" w:cs="Arial"/>
                <w:b/>
                <w:bCs/>
                <w:sz w:val="16"/>
                <w:szCs w:val="16"/>
                <w:lang w:eastAsia="pt-BR"/>
              </w:rPr>
            </w:pPr>
            <w:r w:rsidRPr="00B35BDF">
              <w:rPr>
                <w:rFonts w:ascii="Arial Narrow" w:eastAsia="Times New Roman" w:hAnsi="Arial Narrow" w:cs="Arial"/>
                <w:b/>
                <w:bCs/>
                <w:sz w:val="16"/>
                <w:szCs w:val="16"/>
                <w:lang w:eastAsia="pt-BR"/>
              </w:rPr>
              <w:t>ABF.G012</w:t>
            </w:r>
          </w:p>
        </w:tc>
      </w:tr>
      <w:tr w:rsidR="00B35BDF" w:rsidRPr="00B35BDF" w14:paraId="18B132F3" w14:textId="77777777" w:rsidTr="0015273C">
        <w:trPr>
          <w:trHeight w:val="255"/>
        </w:trPr>
        <w:tc>
          <w:tcPr>
            <w:tcW w:w="4977" w:type="dxa"/>
            <w:tcBorders>
              <w:top w:val="nil"/>
              <w:left w:val="single" w:sz="8" w:space="0" w:color="auto"/>
              <w:bottom w:val="nil"/>
              <w:right w:val="single" w:sz="8" w:space="0" w:color="auto"/>
            </w:tcBorders>
            <w:shd w:val="clear" w:color="auto" w:fill="auto"/>
            <w:noWrap/>
            <w:vAlign w:val="center"/>
            <w:hideMark/>
          </w:tcPr>
          <w:p w14:paraId="3E96A1E9" w14:textId="77777777" w:rsidR="00B35BDF" w:rsidRPr="00B35BDF" w:rsidRDefault="00B35BDF" w:rsidP="0015273C">
            <w:pPr>
              <w:spacing w:after="0" w:line="240" w:lineRule="auto"/>
              <w:ind w:firstLineChars="100" w:firstLine="161"/>
              <w:rPr>
                <w:rFonts w:ascii="Arial Narrow" w:eastAsia="Times New Roman" w:hAnsi="Arial Narrow" w:cs="Arial"/>
                <w:b/>
                <w:bCs/>
                <w:sz w:val="16"/>
                <w:szCs w:val="16"/>
                <w:lang w:eastAsia="pt-BR"/>
              </w:rPr>
            </w:pPr>
            <w:r w:rsidRPr="00B35BDF">
              <w:rPr>
                <w:rFonts w:ascii="Arial Narrow" w:eastAsia="Times New Roman" w:hAnsi="Arial Narrow" w:cs="Arial"/>
                <w:b/>
                <w:bCs/>
                <w:sz w:val="16"/>
                <w:szCs w:val="16"/>
                <w:lang w:eastAsia="pt-BR"/>
              </w:rPr>
              <w:t xml:space="preserve">  Recursos Vinculados à Educação </w:t>
            </w:r>
          </w:p>
        </w:tc>
        <w:tc>
          <w:tcPr>
            <w:tcW w:w="1275" w:type="dxa"/>
            <w:tcBorders>
              <w:top w:val="nil"/>
              <w:left w:val="nil"/>
              <w:bottom w:val="nil"/>
              <w:right w:val="single" w:sz="8" w:space="0" w:color="auto"/>
            </w:tcBorders>
            <w:shd w:val="clear" w:color="auto" w:fill="auto"/>
            <w:vAlign w:val="center"/>
            <w:hideMark/>
          </w:tcPr>
          <w:p w14:paraId="33CE3F76" w14:textId="77777777" w:rsidR="00B35BDF" w:rsidRPr="00B35BDF" w:rsidRDefault="00B35BDF" w:rsidP="0015273C">
            <w:pPr>
              <w:spacing w:after="0" w:line="240" w:lineRule="auto"/>
              <w:jc w:val="center"/>
              <w:rPr>
                <w:rFonts w:ascii="Arial Narrow" w:eastAsia="Times New Roman" w:hAnsi="Arial Narrow" w:cs="Arial"/>
                <w:b/>
                <w:bCs/>
                <w:sz w:val="16"/>
                <w:szCs w:val="16"/>
                <w:lang w:eastAsia="pt-BR"/>
              </w:rPr>
            </w:pPr>
            <w:r w:rsidRPr="00B35BDF">
              <w:rPr>
                <w:rFonts w:ascii="Arial Narrow" w:eastAsia="Times New Roman" w:hAnsi="Arial Narrow" w:cs="Arial"/>
                <w:b/>
                <w:bCs/>
                <w:sz w:val="16"/>
                <w:szCs w:val="16"/>
                <w:lang w:eastAsia="pt-BR"/>
              </w:rPr>
              <w:t>ABF.B013</w:t>
            </w:r>
          </w:p>
        </w:tc>
        <w:tc>
          <w:tcPr>
            <w:tcW w:w="1560" w:type="dxa"/>
            <w:tcBorders>
              <w:top w:val="nil"/>
              <w:left w:val="nil"/>
              <w:bottom w:val="nil"/>
              <w:right w:val="single" w:sz="8" w:space="0" w:color="auto"/>
            </w:tcBorders>
            <w:shd w:val="clear" w:color="auto" w:fill="auto"/>
            <w:vAlign w:val="center"/>
            <w:hideMark/>
          </w:tcPr>
          <w:p w14:paraId="0A656737" w14:textId="77777777" w:rsidR="00B35BDF" w:rsidRPr="00B35BDF" w:rsidRDefault="00B35BDF" w:rsidP="0015273C">
            <w:pPr>
              <w:spacing w:after="0" w:line="240" w:lineRule="auto"/>
              <w:jc w:val="center"/>
              <w:rPr>
                <w:rFonts w:ascii="Arial Narrow" w:eastAsia="Times New Roman" w:hAnsi="Arial Narrow" w:cs="Arial"/>
                <w:b/>
                <w:bCs/>
                <w:sz w:val="16"/>
                <w:szCs w:val="16"/>
                <w:lang w:eastAsia="pt-BR"/>
              </w:rPr>
            </w:pPr>
            <w:r w:rsidRPr="00B35BDF">
              <w:rPr>
                <w:rFonts w:ascii="Arial Narrow" w:eastAsia="Times New Roman" w:hAnsi="Arial Narrow" w:cs="Arial"/>
                <w:b/>
                <w:bCs/>
                <w:sz w:val="16"/>
                <w:szCs w:val="16"/>
                <w:lang w:eastAsia="pt-BR"/>
              </w:rPr>
              <w:t>ABF.C013</w:t>
            </w:r>
          </w:p>
        </w:tc>
        <w:tc>
          <w:tcPr>
            <w:tcW w:w="1275" w:type="dxa"/>
            <w:tcBorders>
              <w:top w:val="nil"/>
              <w:left w:val="nil"/>
              <w:bottom w:val="nil"/>
              <w:right w:val="single" w:sz="8" w:space="0" w:color="auto"/>
            </w:tcBorders>
            <w:shd w:val="clear" w:color="auto" w:fill="auto"/>
            <w:vAlign w:val="center"/>
            <w:hideMark/>
          </w:tcPr>
          <w:p w14:paraId="6F35582F" w14:textId="77777777" w:rsidR="00B35BDF" w:rsidRPr="00B35BDF" w:rsidRDefault="00B35BDF" w:rsidP="0015273C">
            <w:pPr>
              <w:spacing w:after="0" w:line="240" w:lineRule="auto"/>
              <w:jc w:val="center"/>
              <w:rPr>
                <w:rFonts w:ascii="Arial Narrow" w:eastAsia="Times New Roman" w:hAnsi="Arial Narrow" w:cs="Arial"/>
                <w:b/>
                <w:bCs/>
                <w:sz w:val="16"/>
                <w:szCs w:val="16"/>
                <w:lang w:eastAsia="pt-BR"/>
              </w:rPr>
            </w:pPr>
            <w:r w:rsidRPr="00B35BDF">
              <w:rPr>
                <w:rFonts w:ascii="Arial Narrow" w:eastAsia="Times New Roman" w:hAnsi="Arial Narrow" w:cs="Arial"/>
                <w:b/>
                <w:bCs/>
                <w:sz w:val="16"/>
                <w:szCs w:val="16"/>
                <w:lang w:eastAsia="pt-BR"/>
              </w:rPr>
              <w:t>ABF.D013</w:t>
            </w:r>
          </w:p>
        </w:tc>
        <w:tc>
          <w:tcPr>
            <w:tcW w:w="1276" w:type="dxa"/>
            <w:tcBorders>
              <w:top w:val="nil"/>
              <w:left w:val="nil"/>
              <w:bottom w:val="nil"/>
              <w:right w:val="single" w:sz="8" w:space="0" w:color="auto"/>
            </w:tcBorders>
            <w:shd w:val="clear" w:color="auto" w:fill="auto"/>
            <w:vAlign w:val="center"/>
            <w:hideMark/>
          </w:tcPr>
          <w:p w14:paraId="6C84ED8C" w14:textId="77777777" w:rsidR="00B35BDF" w:rsidRPr="00B35BDF" w:rsidRDefault="00B35BDF" w:rsidP="0015273C">
            <w:pPr>
              <w:spacing w:after="0" w:line="240" w:lineRule="auto"/>
              <w:jc w:val="center"/>
              <w:rPr>
                <w:rFonts w:ascii="Arial Narrow" w:eastAsia="Times New Roman" w:hAnsi="Arial Narrow" w:cs="Arial"/>
                <w:b/>
                <w:bCs/>
                <w:sz w:val="16"/>
                <w:szCs w:val="16"/>
                <w:lang w:eastAsia="pt-BR"/>
              </w:rPr>
            </w:pPr>
            <w:r w:rsidRPr="00B35BDF">
              <w:rPr>
                <w:rFonts w:ascii="Arial Narrow" w:eastAsia="Times New Roman" w:hAnsi="Arial Narrow" w:cs="Arial"/>
                <w:b/>
                <w:bCs/>
                <w:sz w:val="16"/>
                <w:szCs w:val="16"/>
                <w:lang w:eastAsia="pt-BR"/>
              </w:rPr>
              <w:t>ABF.E013</w:t>
            </w:r>
          </w:p>
        </w:tc>
        <w:tc>
          <w:tcPr>
            <w:tcW w:w="1701" w:type="dxa"/>
            <w:tcBorders>
              <w:top w:val="nil"/>
              <w:left w:val="nil"/>
              <w:bottom w:val="nil"/>
              <w:right w:val="single" w:sz="8" w:space="0" w:color="auto"/>
            </w:tcBorders>
            <w:shd w:val="clear" w:color="auto" w:fill="auto"/>
            <w:vAlign w:val="center"/>
            <w:hideMark/>
          </w:tcPr>
          <w:p w14:paraId="4299F20B" w14:textId="77777777" w:rsidR="00B35BDF" w:rsidRPr="00B35BDF" w:rsidRDefault="00B35BDF" w:rsidP="0015273C">
            <w:pPr>
              <w:spacing w:after="0" w:line="240" w:lineRule="auto"/>
              <w:jc w:val="center"/>
              <w:rPr>
                <w:rFonts w:ascii="Arial Narrow" w:eastAsia="Times New Roman" w:hAnsi="Arial Narrow" w:cs="Arial"/>
                <w:b/>
                <w:bCs/>
                <w:sz w:val="16"/>
                <w:szCs w:val="16"/>
                <w:lang w:eastAsia="pt-BR"/>
              </w:rPr>
            </w:pPr>
            <w:r w:rsidRPr="00B35BDF">
              <w:rPr>
                <w:rFonts w:ascii="Arial Narrow" w:eastAsia="Times New Roman" w:hAnsi="Arial Narrow" w:cs="Arial"/>
                <w:b/>
                <w:bCs/>
                <w:sz w:val="16"/>
                <w:szCs w:val="16"/>
                <w:lang w:eastAsia="pt-BR"/>
              </w:rPr>
              <w:t>ABF.F013</w:t>
            </w:r>
          </w:p>
        </w:tc>
        <w:tc>
          <w:tcPr>
            <w:tcW w:w="1418" w:type="dxa"/>
            <w:tcBorders>
              <w:top w:val="nil"/>
              <w:left w:val="nil"/>
              <w:bottom w:val="nil"/>
              <w:right w:val="single" w:sz="8" w:space="0" w:color="auto"/>
            </w:tcBorders>
            <w:shd w:val="clear" w:color="auto" w:fill="auto"/>
            <w:vAlign w:val="center"/>
            <w:hideMark/>
          </w:tcPr>
          <w:p w14:paraId="26E77646" w14:textId="77777777" w:rsidR="00B35BDF" w:rsidRPr="00B35BDF" w:rsidRDefault="00B35BDF" w:rsidP="0015273C">
            <w:pPr>
              <w:spacing w:after="0" w:line="240" w:lineRule="auto"/>
              <w:jc w:val="center"/>
              <w:rPr>
                <w:rFonts w:ascii="Arial Narrow" w:eastAsia="Times New Roman" w:hAnsi="Arial Narrow" w:cs="Arial"/>
                <w:b/>
                <w:bCs/>
                <w:sz w:val="16"/>
                <w:szCs w:val="16"/>
                <w:lang w:eastAsia="pt-BR"/>
              </w:rPr>
            </w:pPr>
            <w:r w:rsidRPr="00B35BDF">
              <w:rPr>
                <w:rFonts w:ascii="Arial Narrow" w:eastAsia="Times New Roman" w:hAnsi="Arial Narrow" w:cs="Arial"/>
                <w:b/>
                <w:bCs/>
                <w:sz w:val="16"/>
                <w:szCs w:val="16"/>
                <w:lang w:eastAsia="pt-BR"/>
              </w:rPr>
              <w:t>ABF.G013</w:t>
            </w:r>
          </w:p>
        </w:tc>
      </w:tr>
      <w:tr w:rsidR="00B35BDF" w:rsidRPr="00B35BDF" w14:paraId="0663B75F" w14:textId="77777777" w:rsidTr="0015273C">
        <w:trPr>
          <w:trHeight w:val="255"/>
        </w:trPr>
        <w:tc>
          <w:tcPr>
            <w:tcW w:w="4977" w:type="dxa"/>
            <w:tcBorders>
              <w:top w:val="nil"/>
              <w:left w:val="single" w:sz="8" w:space="0" w:color="auto"/>
              <w:bottom w:val="nil"/>
              <w:right w:val="single" w:sz="8" w:space="0" w:color="auto"/>
            </w:tcBorders>
            <w:shd w:val="clear" w:color="auto" w:fill="auto"/>
            <w:noWrap/>
            <w:vAlign w:val="center"/>
            <w:hideMark/>
          </w:tcPr>
          <w:p w14:paraId="60FC4DBF" w14:textId="77777777" w:rsidR="00B35BDF" w:rsidRPr="00B35BDF" w:rsidRDefault="00B35BDF" w:rsidP="0015273C">
            <w:pPr>
              <w:spacing w:after="0" w:line="240" w:lineRule="auto"/>
              <w:ind w:left="371"/>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111 – Receita de Impostos e de Transferência de Impostos - Educação</w:t>
            </w:r>
          </w:p>
        </w:tc>
        <w:tc>
          <w:tcPr>
            <w:tcW w:w="1275" w:type="dxa"/>
            <w:tcBorders>
              <w:top w:val="nil"/>
              <w:left w:val="nil"/>
              <w:bottom w:val="nil"/>
              <w:right w:val="single" w:sz="8" w:space="0" w:color="auto"/>
            </w:tcBorders>
            <w:shd w:val="clear" w:color="auto" w:fill="auto"/>
            <w:vAlign w:val="center"/>
            <w:hideMark/>
          </w:tcPr>
          <w:p w14:paraId="4A3F7E70"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ABF.B014</w:t>
            </w:r>
          </w:p>
        </w:tc>
        <w:tc>
          <w:tcPr>
            <w:tcW w:w="1560" w:type="dxa"/>
            <w:tcBorders>
              <w:top w:val="nil"/>
              <w:left w:val="nil"/>
              <w:bottom w:val="nil"/>
              <w:right w:val="single" w:sz="8" w:space="0" w:color="auto"/>
            </w:tcBorders>
            <w:shd w:val="clear" w:color="auto" w:fill="auto"/>
            <w:vAlign w:val="center"/>
            <w:hideMark/>
          </w:tcPr>
          <w:p w14:paraId="00E277AB"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ABF.C014</w:t>
            </w:r>
          </w:p>
        </w:tc>
        <w:tc>
          <w:tcPr>
            <w:tcW w:w="1275" w:type="dxa"/>
            <w:tcBorders>
              <w:top w:val="nil"/>
              <w:left w:val="nil"/>
              <w:bottom w:val="nil"/>
              <w:right w:val="single" w:sz="8" w:space="0" w:color="auto"/>
            </w:tcBorders>
            <w:shd w:val="clear" w:color="auto" w:fill="auto"/>
            <w:vAlign w:val="center"/>
            <w:hideMark/>
          </w:tcPr>
          <w:p w14:paraId="0B157A98"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ABF.D014</w:t>
            </w:r>
          </w:p>
        </w:tc>
        <w:tc>
          <w:tcPr>
            <w:tcW w:w="1276" w:type="dxa"/>
            <w:tcBorders>
              <w:top w:val="nil"/>
              <w:left w:val="nil"/>
              <w:bottom w:val="nil"/>
              <w:right w:val="single" w:sz="8" w:space="0" w:color="auto"/>
            </w:tcBorders>
            <w:shd w:val="clear" w:color="auto" w:fill="auto"/>
            <w:vAlign w:val="center"/>
            <w:hideMark/>
          </w:tcPr>
          <w:p w14:paraId="520CD7C9"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ABF.E014</w:t>
            </w:r>
          </w:p>
        </w:tc>
        <w:tc>
          <w:tcPr>
            <w:tcW w:w="1701" w:type="dxa"/>
            <w:tcBorders>
              <w:top w:val="nil"/>
              <w:left w:val="nil"/>
              <w:bottom w:val="nil"/>
              <w:right w:val="single" w:sz="8" w:space="0" w:color="auto"/>
            </w:tcBorders>
            <w:shd w:val="clear" w:color="auto" w:fill="auto"/>
            <w:vAlign w:val="center"/>
            <w:hideMark/>
          </w:tcPr>
          <w:p w14:paraId="51BF12B2"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ABF.F014</w:t>
            </w:r>
          </w:p>
        </w:tc>
        <w:tc>
          <w:tcPr>
            <w:tcW w:w="1418" w:type="dxa"/>
            <w:tcBorders>
              <w:top w:val="nil"/>
              <w:left w:val="nil"/>
              <w:bottom w:val="nil"/>
              <w:right w:val="single" w:sz="8" w:space="0" w:color="auto"/>
            </w:tcBorders>
            <w:shd w:val="clear" w:color="auto" w:fill="auto"/>
            <w:vAlign w:val="center"/>
            <w:hideMark/>
          </w:tcPr>
          <w:p w14:paraId="2A3D2290"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ABF.G014</w:t>
            </w:r>
          </w:p>
        </w:tc>
      </w:tr>
      <w:tr w:rsidR="00B35BDF" w:rsidRPr="00B35BDF" w14:paraId="7D7F4E04" w14:textId="77777777" w:rsidTr="0015273C">
        <w:trPr>
          <w:trHeight w:val="255"/>
        </w:trPr>
        <w:tc>
          <w:tcPr>
            <w:tcW w:w="4977" w:type="dxa"/>
            <w:tcBorders>
              <w:top w:val="nil"/>
              <w:left w:val="single" w:sz="8" w:space="0" w:color="auto"/>
              <w:bottom w:val="nil"/>
              <w:right w:val="single" w:sz="8" w:space="0" w:color="auto"/>
            </w:tcBorders>
            <w:shd w:val="clear" w:color="auto" w:fill="auto"/>
            <w:noWrap/>
            <w:vAlign w:val="center"/>
          </w:tcPr>
          <w:p w14:paraId="3A7E6ECF" w14:textId="77777777" w:rsidR="00B35BDF" w:rsidRPr="00B35BDF" w:rsidRDefault="00B35BDF" w:rsidP="0015273C">
            <w:pPr>
              <w:spacing w:after="0" w:line="240" w:lineRule="auto"/>
              <w:ind w:left="355"/>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150 - Receita de Impostos e de Transf. de Impostos – Educação – Rem. Depósitos Bancários</w:t>
            </w:r>
          </w:p>
        </w:tc>
        <w:tc>
          <w:tcPr>
            <w:tcW w:w="1275" w:type="dxa"/>
            <w:tcBorders>
              <w:top w:val="nil"/>
              <w:left w:val="nil"/>
              <w:bottom w:val="nil"/>
              <w:right w:val="single" w:sz="8" w:space="0" w:color="auto"/>
            </w:tcBorders>
            <w:shd w:val="clear" w:color="auto" w:fill="auto"/>
            <w:vAlign w:val="center"/>
          </w:tcPr>
          <w:p w14:paraId="1F6DD6FD"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ABF.B017</w:t>
            </w:r>
          </w:p>
        </w:tc>
        <w:tc>
          <w:tcPr>
            <w:tcW w:w="1560" w:type="dxa"/>
            <w:tcBorders>
              <w:top w:val="nil"/>
              <w:left w:val="nil"/>
              <w:bottom w:val="nil"/>
              <w:right w:val="single" w:sz="8" w:space="0" w:color="auto"/>
            </w:tcBorders>
            <w:shd w:val="clear" w:color="auto" w:fill="auto"/>
            <w:vAlign w:val="center"/>
          </w:tcPr>
          <w:p w14:paraId="53DD6EF1"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ABF.C017</w:t>
            </w:r>
          </w:p>
        </w:tc>
        <w:tc>
          <w:tcPr>
            <w:tcW w:w="1275" w:type="dxa"/>
            <w:tcBorders>
              <w:top w:val="nil"/>
              <w:left w:val="nil"/>
              <w:bottom w:val="nil"/>
              <w:right w:val="single" w:sz="8" w:space="0" w:color="auto"/>
            </w:tcBorders>
            <w:shd w:val="clear" w:color="auto" w:fill="auto"/>
            <w:vAlign w:val="center"/>
          </w:tcPr>
          <w:p w14:paraId="70F5F4E1"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ABF.D017</w:t>
            </w:r>
          </w:p>
        </w:tc>
        <w:tc>
          <w:tcPr>
            <w:tcW w:w="1276" w:type="dxa"/>
            <w:tcBorders>
              <w:top w:val="nil"/>
              <w:left w:val="nil"/>
              <w:bottom w:val="nil"/>
              <w:right w:val="single" w:sz="8" w:space="0" w:color="auto"/>
            </w:tcBorders>
            <w:shd w:val="clear" w:color="auto" w:fill="auto"/>
            <w:vAlign w:val="center"/>
          </w:tcPr>
          <w:p w14:paraId="26C05A12"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ABF.E017</w:t>
            </w:r>
          </w:p>
        </w:tc>
        <w:tc>
          <w:tcPr>
            <w:tcW w:w="1701" w:type="dxa"/>
            <w:tcBorders>
              <w:top w:val="nil"/>
              <w:left w:val="nil"/>
              <w:bottom w:val="nil"/>
              <w:right w:val="single" w:sz="8" w:space="0" w:color="auto"/>
            </w:tcBorders>
            <w:shd w:val="clear" w:color="auto" w:fill="auto"/>
            <w:vAlign w:val="center"/>
          </w:tcPr>
          <w:p w14:paraId="3C4C219B"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ABF.F017</w:t>
            </w:r>
          </w:p>
        </w:tc>
        <w:tc>
          <w:tcPr>
            <w:tcW w:w="1418" w:type="dxa"/>
            <w:tcBorders>
              <w:top w:val="nil"/>
              <w:left w:val="nil"/>
              <w:bottom w:val="nil"/>
              <w:right w:val="single" w:sz="8" w:space="0" w:color="auto"/>
            </w:tcBorders>
            <w:shd w:val="clear" w:color="auto" w:fill="auto"/>
            <w:vAlign w:val="center"/>
          </w:tcPr>
          <w:p w14:paraId="4FB21292"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ABF.G017</w:t>
            </w:r>
          </w:p>
        </w:tc>
      </w:tr>
      <w:tr w:rsidR="00B35BDF" w:rsidRPr="00B35BDF" w14:paraId="0AB45123" w14:textId="77777777" w:rsidTr="0015273C">
        <w:trPr>
          <w:trHeight w:val="255"/>
        </w:trPr>
        <w:tc>
          <w:tcPr>
            <w:tcW w:w="4977" w:type="dxa"/>
            <w:tcBorders>
              <w:top w:val="nil"/>
              <w:left w:val="single" w:sz="8" w:space="0" w:color="auto"/>
              <w:bottom w:val="nil"/>
              <w:right w:val="single" w:sz="8" w:space="0" w:color="auto"/>
            </w:tcBorders>
            <w:shd w:val="clear" w:color="auto" w:fill="auto"/>
            <w:noWrap/>
            <w:vAlign w:val="center"/>
          </w:tcPr>
          <w:p w14:paraId="17E0EDA3" w14:textId="70831969" w:rsidR="00B35BDF" w:rsidRPr="00B35BDF" w:rsidRDefault="00B35BDF" w:rsidP="0015273C">
            <w:pPr>
              <w:spacing w:after="0" w:line="240" w:lineRule="auto"/>
              <w:ind w:firstLineChars="231" w:firstLine="370"/>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113 – Transferências do FUNDEB – IMPOSTOS 30%</w:t>
            </w:r>
          </w:p>
        </w:tc>
        <w:tc>
          <w:tcPr>
            <w:tcW w:w="1275" w:type="dxa"/>
            <w:tcBorders>
              <w:top w:val="nil"/>
              <w:left w:val="nil"/>
              <w:bottom w:val="nil"/>
              <w:right w:val="single" w:sz="8" w:space="0" w:color="auto"/>
            </w:tcBorders>
            <w:shd w:val="clear" w:color="auto" w:fill="auto"/>
            <w:vAlign w:val="center"/>
          </w:tcPr>
          <w:p w14:paraId="2B093532"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ABF.B015</w:t>
            </w:r>
          </w:p>
        </w:tc>
        <w:tc>
          <w:tcPr>
            <w:tcW w:w="1560" w:type="dxa"/>
            <w:tcBorders>
              <w:top w:val="nil"/>
              <w:left w:val="nil"/>
              <w:bottom w:val="nil"/>
              <w:right w:val="single" w:sz="8" w:space="0" w:color="auto"/>
            </w:tcBorders>
            <w:shd w:val="clear" w:color="auto" w:fill="auto"/>
            <w:vAlign w:val="center"/>
          </w:tcPr>
          <w:p w14:paraId="1B4A94BC"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ABF.C015</w:t>
            </w:r>
          </w:p>
        </w:tc>
        <w:tc>
          <w:tcPr>
            <w:tcW w:w="1275" w:type="dxa"/>
            <w:tcBorders>
              <w:top w:val="nil"/>
              <w:left w:val="nil"/>
              <w:bottom w:val="nil"/>
              <w:right w:val="single" w:sz="8" w:space="0" w:color="auto"/>
            </w:tcBorders>
            <w:shd w:val="clear" w:color="auto" w:fill="auto"/>
            <w:vAlign w:val="center"/>
          </w:tcPr>
          <w:p w14:paraId="1738B469"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ABF.D015</w:t>
            </w:r>
          </w:p>
        </w:tc>
        <w:tc>
          <w:tcPr>
            <w:tcW w:w="1276" w:type="dxa"/>
            <w:tcBorders>
              <w:top w:val="nil"/>
              <w:left w:val="nil"/>
              <w:bottom w:val="nil"/>
              <w:right w:val="single" w:sz="8" w:space="0" w:color="auto"/>
            </w:tcBorders>
            <w:shd w:val="clear" w:color="auto" w:fill="auto"/>
            <w:vAlign w:val="center"/>
          </w:tcPr>
          <w:p w14:paraId="756DD7E3"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ABF.E015</w:t>
            </w:r>
          </w:p>
        </w:tc>
        <w:tc>
          <w:tcPr>
            <w:tcW w:w="1701" w:type="dxa"/>
            <w:tcBorders>
              <w:top w:val="nil"/>
              <w:left w:val="nil"/>
              <w:bottom w:val="nil"/>
              <w:right w:val="single" w:sz="8" w:space="0" w:color="auto"/>
            </w:tcBorders>
            <w:shd w:val="clear" w:color="auto" w:fill="auto"/>
            <w:vAlign w:val="center"/>
          </w:tcPr>
          <w:p w14:paraId="12002511"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ABF.F015</w:t>
            </w:r>
          </w:p>
        </w:tc>
        <w:tc>
          <w:tcPr>
            <w:tcW w:w="1418" w:type="dxa"/>
            <w:tcBorders>
              <w:top w:val="nil"/>
              <w:left w:val="nil"/>
              <w:bottom w:val="nil"/>
              <w:right w:val="single" w:sz="8" w:space="0" w:color="auto"/>
            </w:tcBorders>
            <w:shd w:val="clear" w:color="auto" w:fill="auto"/>
            <w:vAlign w:val="center"/>
          </w:tcPr>
          <w:p w14:paraId="2A9AAB8F"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ABF.G015</w:t>
            </w:r>
          </w:p>
        </w:tc>
      </w:tr>
      <w:tr w:rsidR="00B35BDF" w:rsidRPr="00B35BDF" w14:paraId="182D0E4D" w14:textId="77777777" w:rsidTr="0015273C">
        <w:trPr>
          <w:trHeight w:val="255"/>
        </w:trPr>
        <w:tc>
          <w:tcPr>
            <w:tcW w:w="4977" w:type="dxa"/>
            <w:tcBorders>
              <w:top w:val="nil"/>
              <w:left w:val="single" w:sz="8" w:space="0" w:color="auto"/>
              <w:bottom w:val="nil"/>
              <w:right w:val="single" w:sz="8" w:space="0" w:color="auto"/>
            </w:tcBorders>
            <w:shd w:val="clear" w:color="auto" w:fill="auto"/>
            <w:noWrap/>
            <w:vAlign w:val="center"/>
          </w:tcPr>
          <w:p w14:paraId="42996A6E" w14:textId="0DE5FD8D" w:rsidR="00B35BDF" w:rsidRPr="00B35BDF" w:rsidRDefault="00B35BDF" w:rsidP="0015273C">
            <w:pPr>
              <w:spacing w:after="0" w:line="240" w:lineRule="auto"/>
              <w:ind w:firstLineChars="231" w:firstLine="370"/>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112 – Transferências do FUNDEB – IMPOSTOS 70%</w:t>
            </w:r>
          </w:p>
        </w:tc>
        <w:tc>
          <w:tcPr>
            <w:tcW w:w="1275" w:type="dxa"/>
            <w:tcBorders>
              <w:top w:val="nil"/>
              <w:left w:val="nil"/>
              <w:bottom w:val="nil"/>
              <w:right w:val="single" w:sz="8" w:space="0" w:color="auto"/>
            </w:tcBorders>
            <w:shd w:val="clear" w:color="auto" w:fill="auto"/>
            <w:vAlign w:val="center"/>
          </w:tcPr>
          <w:p w14:paraId="1294D914"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ABF.B016</w:t>
            </w:r>
          </w:p>
        </w:tc>
        <w:tc>
          <w:tcPr>
            <w:tcW w:w="1560" w:type="dxa"/>
            <w:tcBorders>
              <w:top w:val="nil"/>
              <w:left w:val="nil"/>
              <w:bottom w:val="nil"/>
              <w:right w:val="single" w:sz="8" w:space="0" w:color="auto"/>
            </w:tcBorders>
            <w:shd w:val="clear" w:color="auto" w:fill="auto"/>
            <w:vAlign w:val="center"/>
          </w:tcPr>
          <w:p w14:paraId="735882F1"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ABF.C016</w:t>
            </w:r>
          </w:p>
        </w:tc>
        <w:tc>
          <w:tcPr>
            <w:tcW w:w="1275" w:type="dxa"/>
            <w:tcBorders>
              <w:top w:val="nil"/>
              <w:left w:val="nil"/>
              <w:bottom w:val="nil"/>
              <w:right w:val="single" w:sz="8" w:space="0" w:color="auto"/>
            </w:tcBorders>
            <w:shd w:val="clear" w:color="auto" w:fill="auto"/>
            <w:vAlign w:val="center"/>
          </w:tcPr>
          <w:p w14:paraId="25A45DF9"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ABF.D016</w:t>
            </w:r>
          </w:p>
        </w:tc>
        <w:tc>
          <w:tcPr>
            <w:tcW w:w="1276" w:type="dxa"/>
            <w:tcBorders>
              <w:top w:val="nil"/>
              <w:left w:val="nil"/>
              <w:bottom w:val="nil"/>
              <w:right w:val="single" w:sz="8" w:space="0" w:color="auto"/>
            </w:tcBorders>
            <w:shd w:val="clear" w:color="auto" w:fill="auto"/>
            <w:vAlign w:val="center"/>
          </w:tcPr>
          <w:p w14:paraId="2DB5EE34"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ABF.E016</w:t>
            </w:r>
          </w:p>
        </w:tc>
        <w:tc>
          <w:tcPr>
            <w:tcW w:w="1701" w:type="dxa"/>
            <w:tcBorders>
              <w:top w:val="nil"/>
              <w:left w:val="nil"/>
              <w:bottom w:val="nil"/>
              <w:right w:val="single" w:sz="8" w:space="0" w:color="auto"/>
            </w:tcBorders>
            <w:shd w:val="clear" w:color="auto" w:fill="auto"/>
            <w:vAlign w:val="center"/>
          </w:tcPr>
          <w:p w14:paraId="37800514"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ABF.F016</w:t>
            </w:r>
          </w:p>
        </w:tc>
        <w:tc>
          <w:tcPr>
            <w:tcW w:w="1418" w:type="dxa"/>
            <w:tcBorders>
              <w:top w:val="nil"/>
              <w:left w:val="nil"/>
              <w:bottom w:val="nil"/>
              <w:right w:val="single" w:sz="8" w:space="0" w:color="auto"/>
            </w:tcBorders>
            <w:shd w:val="clear" w:color="auto" w:fill="auto"/>
            <w:vAlign w:val="center"/>
          </w:tcPr>
          <w:p w14:paraId="454F8EFB"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ABF.G016</w:t>
            </w:r>
          </w:p>
        </w:tc>
      </w:tr>
      <w:tr w:rsidR="00B35BDF" w:rsidRPr="00B35BDF" w14:paraId="049E47C4" w14:textId="77777777" w:rsidTr="0015273C">
        <w:trPr>
          <w:trHeight w:val="454"/>
        </w:trPr>
        <w:tc>
          <w:tcPr>
            <w:tcW w:w="4977" w:type="dxa"/>
            <w:tcBorders>
              <w:top w:val="nil"/>
              <w:left w:val="single" w:sz="8" w:space="0" w:color="auto"/>
              <w:bottom w:val="nil"/>
              <w:right w:val="single" w:sz="8" w:space="0" w:color="auto"/>
            </w:tcBorders>
            <w:shd w:val="clear" w:color="auto" w:fill="auto"/>
            <w:noWrap/>
            <w:vAlign w:val="center"/>
          </w:tcPr>
          <w:p w14:paraId="138A4EA8" w14:textId="39FF0EF5" w:rsidR="00B35BDF" w:rsidRPr="00B35BDF" w:rsidRDefault="00B35BDF" w:rsidP="0015273C">
            <w:pPr>
              <w:spacing w:after="0" w:line="240" w:lineRule="auto"/>
              <w:ind w:left="371"/>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151 – Transferências do FUNDEB – Remuneração de Depósitos Bancários (30% + 70%)</w:t>
            </w:r>
          </w:p>
        </w:tc>
        <w:tc>
          <w:tcPr>
            <w:tcW w:w="1275" w:type="dxa"/>
            <w:tcBorders>
              <w:top w:val="nil"/>
              <w:left w:val="nil"/>
              <w:bottom w:val="nil"/>
              <w:right w:val="single" w:sz="8" w:space="0" w:color="auto"/>
            </w:tcBorders>
            <w:shd w:val="clear" w:color="auto" w:fill="auto"/>
            <w:vAlign w:val="center"/>
          </w:tcPr>
          <w:p w14:paraId="3BF83CBA"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ABF.B074</w:t>
            </w:r>
          </w:p>
        </w:tc>
        <w:tc>
          <w:tcPr>
            <w:tcW w:w="1560" w:type="dxa"/>
            <w:tcBorders>
              <w:top w:val="nil"/>
              <w:left w:val="nil"/>
              <w:bottom w:val="nil"/>
              <w:right w:val="single" w:sz="8" w:space="0" w:color="auto"/>
            </w:tcBorders>
            <w:shd w:val="clear" w:color="auto" w:fill="auto"/>
            <w:vAlign w:val="center"/>
          </w:tcPr>
          <w:p w14:paraId="3D3E802A" w14:textId="77777777" w:rsidR="00B35BDF" w:rsidRPr="00B35BDF" w:rsidRDefault="00B35BDF"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ABF.C074</w:t>
            </w:r>
          </w:p>
        </w:tc>
        <w:tc>
          <w:tcPr>
            <w:tcW w:w="1275" w:type="dxa"/>
            <w:tcBorders>
              <w:top w:val="nil"/>
              <w:left w:val="nil"/>
              <w:bottom w:val="nil"/>
              <w:right w:val="single" w:sz="8" w:space="0" w:color="auto"/>
            </w:tcBorders>
            <w:shd w:val="clear" w:color="auto" w:fill="auto"/>
            <w:vAlign w:val="center"/>
          </w:tcPr>
          <w:p w14:paraId="21C7A7DF" w14:textId="77777777" w:rsidR="00B35BDF" w:rsidRPr="00B35BDF" w:rsidRDefault="00B35BDF"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ABF.D074</w:t>
            </w:r>
          </w:p>
        </w:tc>
        <w:tc>
          <w:tcPr>
            <w:tcW w:w="1276" w:type="dxa"/>
            <w:tcBorders>
              <w:top w:val="nil"/>
              <w:left w:val="nil"/>
              <w:bottom w:val="nil"/>
              <w:right w:val="single" w:sz="8" w:space="0" w:color="auto"/>
            </w:tcBorders>
            <w:shd w:val="clear" w:color="auto" w:fill="auto"/>
            <w:vAlign w:val="center"/>
          </w:tcPr>
          <w:p w14:paraId="037FDCF9" w14:textId="77777777" w:rsidR="00B35BDF" w:rsidRPr="00B35BDF" w:rsidRDefault="00B35BDF"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ABF.E074</w:t>
            </w:r>
          </w:p>
        </w:tc>
        <w:tc>
          <w:tcPr>
            <w:tcW w:w="1701" w:type="dxa"/>
            <w:tcBorders>
              <w:top w:val="nil"/>
              <w:left w:val="nil"/>
              <w:bottom w:val="nil"/>
              <w:right w:val="single" w:sz="8" w:space="0" w:color="auto"/>
            </w:tcBorders>
            <w:shd w:val="clear" w:color="auto" w:fill="auto"/>
            <w:vAlign w:val="center"/>
          </w:tcPr>
          <w:p w14:paraId="5B4CF075" w14:textId="77777777" w:rsidR="00B35BDF" w:rsidRPr="00B35BDF" w:rsidRDefault="00B35BDF"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ABF.F074</w:t>
            </w:r>
          </w:p>
        </w:tc>
        <w:tc>
          <w:tcPr>
            <w:tcW w:w="1418" w:type="dxa"/>
            <w:tcBorders>
              <w:top w:val="nil"/>
              <w:left w:val="nil"/>
              <w:bottom w:val="nil"/>
              <w:right w:val="single" w:sz="8" w:space="0" w:color="auto"/>
            </w:tcBorders>
            <w:shd w:val="clear" w:color="auto" w:fill="auto"/>
            <w:vAlign w:val="center"/>
          </w:tcPr>
          <w:p w14:paraId="31B19498" w14:textId="77777777" w:rsidR="00B35BDF" w:rsidRPr="00B35BDF" w:rsidRDefault="00B35BDF"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ABF.G074</w:t>
            </w:r>
          </w:p>
        </w:tc>
      </w:tr>
      <w:tr w:rsidR="00B35BDF" w:rsidRPr="00B35BDF" w14:paraId="3840FFE8" w14:textId="77777777" w:rsidTr="0015273C">
        <w:trPr>
          <w:trHeight w:val="255"/>
        </w:trPr>
        <w:tc>
          <w:tcPr>
            <w:tcW w:w="4977" w:type="dxa"/>
            <w:tcBorders>
              <w:top w:val="nil"/>
              <w:left w:val="single" w:sz="8" w:space="0" w:color="auto"/>
              <w:bottom w:val="nil"/>
              <w:right w:val="single" w:sz="8" w:space="0" w:color="auto"/>
            </w:tcBorders>
            <w:shd w:val="clear" w:color="auto" w:fill="auto"/>
            <w:noWrap/>
            <w:vAlign w:val="center"/>
          </w:tcPr>
          <w:p w14:paraId="4733D4B0" w14:textId="3CC89144" w:rsidR="00B35BDF" w:rsidRPr="00B35BDF" w:rsidRDefault="00B35BDF" w:rsidP="0015273C">
            <w:pPr>
              <w:spacing w:after="0" w:line="240" w:lineRule="auto"/>
              <w:ind w:firstLineChars="231" w:firstLine="370"/>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 xml:space="preserve">115 – Transferências do FUNDEB 30% </w:t>
            </w:r>
            <w:r w:rsidRPr="00B35BDF">
              <w:rPr>
                <w:rFonts w:ascii="Arial Narrow" w:eastAsia="Times New Roman" w:hAnsi="Arial Narrow" w:cs="Arial"/>
                <w:strike/>
                <w:sz w:val="16"/>
                <w:szCs w:val="16"/>
                <w:lang w:eastAsia="pt-BR"/>
              </w:rPr>
              <w:t xml:space="preserve"> </w:t>
            </w:r>
            <w:r w:rsidRPr="00B35BDF">
              <w:rPr>
                <w:rFonts w:ascii="Arial Narrow" w:eastAsia="Times New Roman" w:hAnsi="Arial Narrow" w:cs="Arial"/>
                <w:sz w:val="16"/>
                <w:szCs w:val="16"/>
                <w:lang w:eastAsia="pt-BR"/>
              </w:rPr>
              <w:t>- Complementação da União - VAAF</w:t>
            </w:r>
          </w:p>
        </w:tc>
        <w:tc>
          <w:tcPr>
            <w:tcW w:w="1275" w:type="dxa"/>
            <w:tcBorders>
              <w:top w:val="nil"/>
              <w:left w:val="nil"/>
              <w:bottom w:val="nil"/>
              <w:right w:val="single" w:sz="8" w:space="0" w:color="auto"/>
            </w:tcBorders>
            <w:shd w:val="clear" w:color="auto" w:fill="auto"/>
            <w:vAlign w:val="center"/>
          </w:tcPr>
          <w:p w14:paraId="2A733D67"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ABF.B057</w:t>
            </w:r>
          </w:p>
        </w:tc>
        <w:tc>
          <w:tcPr>
            <w:tcW w:w="1560" w:type="dxa"/>
            <w:tcBorders>
              <w:top w:val="nil"/>
              <w:left w:val="nil"/>
              <w:bottom w:val="nil"/>
              <w:right w:val="single" w:sz="8" w:space="0" w:color="auto"/>
            </w:tcBorders>
            <w:shd w:val="clear" w:color="auto" w:fill="auto"/>
            <w:vAlign w:val="center"/>
          </w:tcPr>
          <w:p w14:paraId="22076D9D"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ABF.C057</w:t>
            </w:r>
          </w:p>
        </w:tc>
        <w:tc>
          <w:tcPr>
            <w:tcW w:w="1275" w:type="dxa"/>
            <w:tcBorders>
              <w:top w:val="nil"/>
              <w:left w:val="nil"/>
              <w:bottom w:val="nil"/>
              <w:right w:val="single" w:sz="8" w:space="0" w:color="auto"/>
            </w:tcBorders>
            <w:shd w:val="clear" w:color="auto" w:fill="auto"/>
            <w:vAlign w:val="center"/>
          </w:tcPr>
          <w:p w14:paraId="1204E7AB"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ABF.D057</w:t>
            </w:r>
          </w:p>
        </w:tc>
        <w:tc>
          <w:tcPr>
            <w:tcW w:w="1276" w:type="dxa"/>
            <w:tcBorders>
              <w:top w:val="nil"/>
              <w:left w:val="nil"/>
              <w:bottom w:val="nil"/>
              <w:right w:val="single" w:sz="8" w:space="0" w:color="auto"/>
            </w:tcBorders>
            <w:shd w:val="clear" w:color="auto" w:fill="auto"/>
            <w:vAlign w:val="center"/>
          </w:tcPr>
          <w:p w14:paraId="61385779"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ABF.E057</w:t>
            </w:r>
          </w:p>
        </w:tc>
        <w:tc>
          <w:tcPr>
            <w:tcW w:w="1701" w:type="dxa"/>
            <w:tcBorders>
              <w:top w:val="nil"/>
              <w:left w:val="nil"/>
              <w:bottom w:val="nil"/>
              <w:right w:val="single" w:sz="8" w:space="0" w:color="auto"/>
            </w:tcBorders>
            <w:shd w:val="clear" w:color="auto" w:fill="auto"/>
            <w:vAlign w:val="center"/>
          </w:tcPr>
          <w:p w14:paraId="49809A51"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ABF.F057</w:t>
            </w:r>
          </w:p>
        </w:tc>
        <w:tc>
          <w:tcPr>
            <w:tcW w:w="1418" w:type="dxa"/>
            <w:tcBorders>
              <w:top w:val="nil"/>
              <w:left w:val="nil"/>
              <w:bottom w:val="nil"/>
              <w:right w:val="single" w:sz="8" w:space="0" w:color="auto"/>
            </w:tcBorders>
            <w:shd w:val="clear" w:color="auto" w:fill="auto"/>
            <w:vAlign w:val="center"/>
          </w:tcPr>
          <w:p w14:paraId="65ACFBB3"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ABF.G057</w:t>
            </w:r>
          </w:p>
        </w:tc>
      </w:tr>
      <w:tr w:rsidR="00B35BDF" w:rsidRPr="00B35BDF" w14:paraId="2AFF475F" w14:textId="77777777" w:rsidTr="0015273C">
        <w:trPr>
          <w:trHeight w:val="454"/>
        </w:trPr>
        <w:tc>
          <w:tcPr>
            <w:tcW w:w="4977" w:type="dxa"/>
            <w:tcBorders>
              <w:top w:val="nil"/>
              <w:left w:val="single" w:sz="8" w:space="0" w:color="auto"/>
              <w:bottom w:val="nil"/>
              <w:right w:val="single" w:sz="8" w:space="0" w:color="auto"/>
            </w:tcBorders>
            <w:shd w:val="clear" w:color="auto" w:fill="auto"/>
            <w:noWrap/>
            <w:vAlign w:val="center"/>
          </w:tcPr>
          <w:p w14:paraId="30A6471E" w14:textId="031AEB19" w:rsidR="00B35BDF" w:rsidRPr="00B35BDF" w:rsidRDefault="00B35BDF" w:rsidP="0015273C">
            <w:pPr>
              <w:spacing w:after="0" w:line="240" w:lineRule="auto"/>
              <w:ind w:left="371"/>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114 – Transferências do FUNDEB 70%  - Complementação da União - VAAF</w:t>
            </w:r>
          </w:p>
        </w:tc>
        <w:tc>
          <w:tcPr>
            <w:tcW w:w="1275" w:type="dxa"/>
            <w:tcBorders>
              <w:top w:val="nil"/>
              <w:left w:val="nil"/>
              <w:bottom w:val="nil"/>
              <w:right w:val="single" w:sz="8" w:space="0" w:color="auto"/>
            </w:tcBorders>
            <w:shd w:val="clear" w:color="auto" w:fill="auto"/>
            <w:vAlign w:val="center"/>
          </w:tcPr>
          <w:p w14:paraId="76030996"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ABF.B058</w:t>
            </w:r>
          </w:p>
        </w:tc>
        <w:tc>
          <w:tcPr>
            <w:tcW w:w="1560" w:type="dxa"/>
            <w:tcBorders>
              <w:top w:val="nil"/>
              <w:left w:val="nil"/>
              <w:bottom w:val="nil"/>
              <w:right w:val="single" w:sz="8" w:space="0" w:color="auto"/>
            </w:tcBorders>
            <w:shd w:val="clear" w:color="auto" w:fill="auto"/>
            <w:vAlign w:val="center"/>
          </w:tcPr>
          <w:p w14:paraId="6D93A877"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ABF.C058</w:t>
            </w:r>
          </w:p>
        </w:tc>
        <w:tc>
          <w:tcPr>
            <w:tcW w:w="1275" w:type="dxa"/>
            <w:tcBorders>
              <w:top w:val="nil"/>
              <w:left w:val="nil"/>
              <w:bottom w:val="nil"/>
              <w:right w:val="single" w:sz="8" w:space="0" w:color="auto"/>
            </w:tcBorders>
            <w:shd w:val="clear" w:color="auto" w:fill="auto"/>
            <w:vAlign w:val="center"/>
          </w:tcPr>
          <w:p w14:paraId="54B2C980"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ABF.D058</w:t>
            </w:r>
          </w:p>
        </w:tc>
        <w:tc>
          <w:tcPr>
            <w:tcW w:w="1276" w:type="dxa"/>
            <w:tcBorders>
              <w:top w:val="nil"/>
              <w:left w:val="nil"/>
              <w:bottom w:val="nil"/>
              <w:right w:val="single" w:sz="8" w:space="0" w:color="auto"/>
            </w:tcBorders>
            <w:shd w:val="clear" w:color="auto" w:fill="auto"/>
            <w:vAlign w:val="center"/>
          </w:tcPr>
          <w:p w14:paraId="69E91F78"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ABF.E058</w:t>
            </w:r>
          </w:p>
        </w:tc>
        <w:tc>
          <w:tcPr>
            <w:tcW w:w="1701" w:type="dxa"/>
            <w:tcBorders>
              <w:top w:val="nil"/>
              <w:left w:val="nil"/>
              <w:bottom w:val="nil"/>
              <w:right w:val="single" w:sz="8" w:space="0" w:color="auto"/>
            </w:tcBorders>
            <w:shd w:val="clear" w:color="auto" w:fill="auto"/>
            <w:vAlign w:val="center"/>
          </w:tcPr>
          <w:p w14:paraId="2F6934FB"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ABF.F058</w:t>
            </w:r>
          </w:p>
        </w:tc>
        <w:tc>
          <w:tcPr>
            <w:tcW w:w="1418" w:type="dxa"/>
            <w:tcBorders>
              <w:top w:val="nil"/>
              <w:left w:val="nil"/>
              <w:bottom w:val="nil"/>
              <w:right w:val="single" w:sz="8" w:space="0" w:color="auto"/>
            </w:tcBorders>
            <w:shd w:val="clear" w:color="auto" w:fill="auto"/>
            <w:vAlign w:val="center"/>
          </w:tcPr>
          <w:p w14:paraId="72225AB8"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ABF.G058</w:t>
            </w:r>
          </w:p>
        </w:tc>
      </w:tr>
      <w:tr w:rsidR="00B35BDF" w:rsidRPr="00B35BDF" w14:paraId="59683E4A" w14:textId="77777777" w:rsidTr="0015273C">
        <w:trPr>
          <w:trHeight w:val="454"/>
        </w:trPr>
        <w:tc>
          <w:tcPr>
            <w:tcW w:w="4977" w:type="dxa"/>
            <w:tcBorders>
              <w:top w:val="nil"/>
              <w:left w:val="single" w:sz="8" w:space="0" w:color="auto"/>
              <w:bottom w:val="nil"/>
              <w:right w:val="single" w:sz="8" w:space="0" w:color="auto"/>
            </w:tcBorders>
            <w:shd w:val="clear" w:color="auto" w:fill="auto"/>
            <w:noWrap/>
            <w:vAlign w:val="center"/>
          </w:tcPr>
          <w:p w14:paraId="1E61CB2D" w14:textId="73067F9D" w:rsidR="00B35BDF" w:rsidRPr="00B35BDF" w:rsidRDefault="00B35BDF" w:rsidP="0015273C">
            <w:pPr>
              <w:spacing w:after="0" w:line="240" w:lineRule="auto"/>
              <w:ind w:left="371"/>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152 –Transferências do FUNDEB – Complementação da União – Remuneração Depósitos Bancários (30% + 70%)</w:t>
            </w:r>
          </w:p>
        </w:tc>
        <w:tc>
          <w:tcPr>
            <w:tcW w:w="1275" w:type="dxa"/>
            <w:tcBorders>
              <w:top w:val="nil"/>
              <w:left w:val="nil"/>
              <w:bottom w:val="nil"/>
              <w:right w:val="single" w:sz="8" w:space="0" w:color="auto"/>
            </w:tcBorders>
            <w:shd w:val="clear" w:color="auto" w:fill="auto"/>
            <w:vAlign w:val="center"/>
          </w:tcPr>
          <w:p w14:paraId="28BC31A6"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ABF.B075</w:t>
            </w:r>
          </w:p>
        </w:tc>
        <w:tc>
          <w:tcPr>
            <w:tcW w:w="1560" w:type="dxa"/>
            <w:tcBorders>
              <w:top w:val="nil"/>
              <w:left w:val="nil"/>
              <w:bottom w:val="nil"/>
              <w:right w:val="single" w:sz="8" w:space="0" w:color="auto"/>
            </w:tcBorders>
            <w:shd w:val="clear" w:color="auto" w:fill="auto"/>
            <w:vAlign w:val="center"/>
          </w:tcPr>
          <w:p w14:paraId="56C97EE7" w14:textId="77777777" w:rsidR="00B35BDF" w:rsidRPr="00B35BDF" w:rsidRDefault="00B35BDF"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ABF.C075</w:t>
            </w:r>
          </w:p>
        </w:tc>
        <w:tc>
          <w:tcPr>
            <w:tcW w:w="1275" w:type="dxa"/>
            <w:tcBorders>
              <w:top w:val="nil"/>
              <w:left w:val="nil"/>
              <w:bottom w:val="nil"/>
              <w:right w:val="single" w:sz="8" w:space="0" w:color="auto"/>
            </w:tcBorders>
            <w:shd w:val="clear" w:color="auto" w:fill="auto"/>
            <w:vAlign w:val="center"/>
          </w:tcPr>
          <w:p w14:paraId="0B163658" w14:textId="77777777" w:rsidR="00B35BDF" w:rsidRPr="00B35BDF" w:rsidRDefault="00B35BDF"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ABF.D075</w:t>
            </w:r>
          </w:p>
        </w:tc>
        <w:tc>
          <w:tcPr>
            <w:tcW w:w="1276" w:type="dxa"/>
            <w:tcBorders>
              <w:top w:val="nil"/>
              <w:left w:val="nil"/>
              <w:bottom w:val="nil"/>
              <w:right w:val="single" w:sz="8" w:space="0" w:color="auto"/>
            </w:tcBorders>
            <w:shd w:val="clear" w:color="auto" w:fill="auto"/>
            <w:vAlign w:val="center"/>
          </w:tcPr>
          <w:p w14:paraId="6E2F79F3" w14:textId="77777777" w:rsidR="00B35BDF" w:rsidRPr="00B35BDF" w:rsidRDefault="00B35BDF"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ABF.E075</w:t>
            </w:r>
          </w:p>
        </w:tc>
        <w:tc>
          <w:tcPr>
            <w:tcW w:w="1701" w:type="dxa"/>
            <w:tcBorders>
              <w:top w:val="nil"/>
              <w:left w:val="nil"/>
              <w:bottom w:val="nil"/>
              <w:right w:val="single" w:sz="8" w:space="0" w:color="auto"/>
            </w:tcBorders>
            <w:shd w:val="clear" w:color="auto" w:fill="auto"/>
            <w:vAlign w:val="center"/>
          </w:tcPr>
          <w:p w14:paraId="2E665105" w14:textId="77777777" w:rsidR="00B35BDF" w:rsidRPr="00B35BDF" w:rsidRDefault="00B35BDF"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ABF.F075</w:t>
            </w:r>
          </w:p>
        </w:tc>
        <w:tc>
          <w:tcPr>
            <w:tcW w:w="1418" w:type="dxa"/>
            <w:tcBorders>
              <w:top w:val="nil"/>
              <w:left w:val="nil"/>
              <w:bottom w:val="nil"/>
              <w:right w:val="single" w:sz="8" w:space="0" w:color="auto"/>
            </w:tcBorders>
            <w:shd w:val="clear" w:color="auto" w:fill="auto"/>
            <w:vAlign w:val="center"/>
          </w:tcPr>
          <w:p w14:paraId="263EFC78" w14:textId="77777777" w:rsidR="00B35BDF" w:rsidRPr="00B35BDF" w:rsidRDefault="00B35BDF"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ABF.G075</w:t>
            </w:r>
          </w:p>
        </w:tc>
      </w:tr>
      <w:tr w:rsidR="00B35BDF" w:rsidRPr="00B35BDF" w14:paraId="6FEC8B6B" w14:textId="77777777" w:rsidTr="0015273C">
        <w:trPr>
          <w:trHeight w:val="454"/>
        </w:trPr>
        <w:tc>
          <w:tcPr>
            <w:tcW w:w="4977" w:type="dxa"/>
            <w:tcBorders>
              <w:top w:val="nil"/>
              <w:left w:val="single" w:sz="8" w:space="0" w:color="auto"/>
              <w:bottom w:val="nil"/>
              <w:right w:val="single" w:sz="8" w:space="0" w:color="auto"/>
            </w:tcBorders>
            <w:shd w:val="clear" w:color="auto" w:fill="auto"/>
            <w:noWrap/>
            <w:vAlign w:val="center"/>
          </w:tcPr>
          <w:p w14:paraId="0F2A8DA7" w14:textId="77777777" w:rsidR="00B35BDF" w:rsidRPr="00B35BDF" w:rsidRDefault="00B35BDF" w:rsidP="0015273C">
            <w:pPr>
              <w:spacing w:after="0" w:line="240" w:lineRule="auto"/>
              <w:ind w:left="371"/>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118 – Trasnferência do FUNDEB 70% - Complementação da União – VAAT – (Valor Aluno/Ano Total</w:t>
            </w:r>
          </w:p>
        </w:tc>
        <w:tc>
          <w:tcPr>
            <w:tcW w:w="1275" w:type="dxa"/>
            <w:tcBorders>
              <w:top w:val="nil"/>
              <w:left w:val="nil"/>
              <w:bottom w:val="nil"/>
              <w:right w:val="single" w:sz="8" w:space="0" w:color="auto"/>
            </w:tcBorders>
            <w:shd w:val="clear" w:color="auto" w:fill="auto"/>
            <w:vAlign w:val="center"/>
          </w:tcPr>
          <w:p w14:paraId="6E89014D"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ABF.B091</w:t>
            </w:r>
          </w:p>
        </w:tc>
        <w:tc>
          <w:tcPr>
            <w:tcW w:w="1560" w:type="dxa"/>
            <w:tcBorders>
              <w:top w:val="nil"/>
              <w:left w:val="nil"/>
              <w:bottom w:val="nil"/>
              <w:right w:val="single" w:sz="8" w:space="0" w:color="auto"/>
            </w:tcBorders>
            <w:shd w:val="clear" w:color="auto" w:fill="auto"/>
            <w:vAlign w:val="center"/>
          </w:tcPr>
          <w:p w14:paraId="1903EBAC" w14:textId="77777777" w:rsidR="00B35BDF" w:rsidRPr="00B35BDF" w:rsidRDefault="00B35BDF"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ABF.C091</w:t>
            </w:r>
          </w:p>
        </w:tc>
        <w:tc>
          <w:tcPr>
            <w:tcW w:w="1275" w:type="dxa"/>
            <w:tcBorders>
              <w:top w:val="nil"/>
              <w:left w:val="nil"/>
              <w:bottom w:val="nil"/>
              <w:right w:val="single" w:sz="8" w:space="0" w:color="auto"/>
            </w:tcBorders>
            <w:shd w:val="clear" w:color="auto" w:fill="auto"/>
            <w:vAlign w:val="center"/>
          </w:tcPr>
          <w:p w14:paraId="4674F356" w14:textId="77777777" w:rsidR="00B35BDF" w:rsidRPr="00B35BDF" w:rsidRDefault="00B35BDF"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ABF.D091</w:t>
            </w:r>
          </w:p>
        </w:tc>
        <w:tc>
          <w:tcPr>
            <w:tcW w:w="1276" w:type="dxa"/>
            <w:tcBorders>
              <w:top w:val="nil"/>
              <w:left w:val="nil"/>
              <w:bottom w:val="nil"/>
              <w:right w:val="single" w:sz="8" w:space="0" w:color="auto"/>
            </w:tcBorders>
            <w:shd w:val="clear" w:color="auto" w:fill="auto"/>
            <w:vAlign w:val="center"/>
          </w:tcPr>
          <w:p w14:paraId="0FA7F985" w14:textId="77777777" w:rsidR="00B35BDF" w:rsidRPr="00B35BDF" w:rsidRDefault="00B35BDF"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ABF.E091</w:t>
            </w:r>
          </w:p>
        </w:tc>
        <w:tc>
          <w:tcPr>
            <w:tcW w:w="1701" w:type="dxa"/>
            <w:tcBorders>
              <w:top w:val="nil"/>
              <w:left w:val="nil"/>
              <w:bottom w:val="nil"/>
              <w:right w:val="single" w:sz="8" w:space="0" w:color="auto"/>
            </w:tcBorders>
            <w:shd w:val="clear" w:color="auto" w:fill="auto"/>
            <w:vAlign w:val="center"/>
          </w:tcPr>
          <w:p w14:paraId="3A1C1D89" w14:textId="77777777" w:rsidR="00B35BDF" w:rsidRPr="00B35BDF" w:rsidRDefault="00B35BDF"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ABF.F091</w:t>
            </w:r>
          </w:p>
        </w:tc>
        <w:tc>
          <w:tcPr>
            <w:tcW w:w="1418" w:type="dxa"/>
            <w:tcBorders>
              <w:top w:val="nil"/>
              <w:left w:val="nil"/>
              <w:bottom w:val="nil"/>
              <w:right w:val="single" w:sz="8" w:space="0" w:color="auto"/>
            </w:tcBorders>
            <w:shd w:val="clear" w:color="auto" w:fill="auto"/>
            <w:vAlign w:val="center"/>
          </w:tcPr>
          <w:p w14:paraId="63A5EFC7" w14:textId="77777777" w:rsidR="00B35BDF" w:rsidRPr="00B35BDF" w:rsidRDefault="00B35BDF"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ABF.G091</w:t>
            </w:r>
          </w:p>
        </w:tc>
      </w:tr>
      <w:tr w:rsidR="00B35BDF" w:rsidRPr="00B35BDF" w14:paraId="4CCBCEB3" w14:textId="77777777" w:rsidTr="0015273C">
        <w:trPr>
          <w:trHeight w:val="454"/>
        </w:trPr>
        <w:tc>
          <w:tcPr>
            <w:tcW w:w="4977" w:type="dxa"/>
            <w:tcBorders>
              <w:top w:val="nil"/>
              <w:left w:val="single" w:sz="8" w:space="0" w:color="auto"/>
              <w:bottom w:val="nil"/>
              <w:right w:val="single" w:sz="8" w:space="0" w:color="auto"/>
            </w:tcBorders>
            <w:shd w:val="clear" w:color="auto" w:fill="auto"/>
            <w:noWrap/>
            <w:vAlign w:val="center"/>
          </w:tcPr>
          <w:p w14:paraId="60AD77D0" w14:textId="77777777" w:rsidR="00B35BDF" w:rsidRPr="00B35BDF" w:rsidRDefault="00B35BDF" w:rsidP="0015273C">
            <w:pPr>
              <w:spacing w:after="0" w:line="240" w:lineRule="auto"/>
              <w:ind w:left="371"/>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119 – Trasnferência do FUNDEB 30% - Complementação da União – VAAT – (Valor Aluno/Ano Total</w:t>
            </w:r>
          </w:p>
        </w:tc>
        <w:tc>
          <w:tcPr>
            <w:tcW w:w="1275" w:type="dxa"/>
            <w:tcBorders>
              <w:top w:val="nil"/>
              <w:left w:val="nil"/>
              <w:bottom w:val="nil"/>
              <w:right w:val="single" w:sz="8" w:space="0" w:color="auto"/>
            </w:tcBorders>
            <w:shd w:val="clear" w:color="auto" w:fill="auto"/>
            <w:vAlign w:val="center"/>
          </w:tcPr>
          <w:p w14:paraId="79DA4EC9"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ABF.B092</w:t>
            </w:r>
          </w:p>
        </w:tc>
        <w:tc>
          <w:tcPr>
            <w:tcW w:w="1560" w:type="dxa"/>
            <w:tcBorders>
              <w:top w:val="nil"/>
              <w:left w:val="nil"/>
              <w:bottom w:val="nil"/>
              <w:right w:val="single" w:sz="8" w:space="0" w:color="auto"/>
            </w:tcBorders>
            <w:shd w:val="clear" w:color="auto" w:fill="auto"/>
            <w:vAlign w:val="center"/>
          </w:tcPr>
          <w:p w14:paraId="470D6842" w14:textId="77777777" w:rsidR="00B35BDF" w:rsidRPr="00B35BDF" w:rsidRDefault="00B35BDF"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ABF.C092</w:t>
            </w:r>
          </w:p>
        </w:tc>
        <w:tc>
          <w:tcPr>
            <w:tcW w:w="1275" w:type="dxa"/>
            <w:tcBorders>
              <w:top w:val="nil"/>
              <w:left w:val="nil"/>
              <w:bottom w:val="nil"/>
              <w:right w:val="single" w:sz="8" w:space="0" w:color="auto"/>
            </w:tcBorders>
            <w:shd w:val="clear" w:color="auto" w:fill="auto"/>
            <w:vAlign w:val="center"/>
          </w:tcPr>
          <w:p w14:paraId="686593E6" w14:textId="77777777" w:rsidR="00B35BDF" w:rsidRPr="00B35BDF" w:rsidRDefault="00B35BDF"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ABF.D092</w:t>
            </w:r>
          </w:p>
        </w:tc>
        <w:tc>
          <w:tcPr>
            <w:tcW w:w="1276" w:type="dxa"/>
            <w:tcBorders>
              <w:top w:val="nil"/>
              <w:left w:val="nil"/>
              <w:bottom w:val="nil"/>
              <w:right w:val="single" w:sz="8" w:space="0" w:color="auto"/>
            </w:tcBorders>
            <w:shd w:val="clear" w:color="auto" w:fill="auto"/>
            <w:vAlign w:val="center"/>
          </w:tcPr>
          <w:p w14:paraId="1BE7DC49" w14:textId="77777777" w:rsidR="00B35BDF" w:rsidRPr="00B35BDF" w:rsidRDefault="00B35BDF"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ABF.E092</w:t>
            </w:r>
          </w:p>
        </w:tc>
        <w:tc>
          <w:tcPr>
            <w:tcW w:w="1701" w:type="dxa"/>
            <w:tcBorders>
              <w:top w:val="nil"/>
              <w:left w:val="nil"/>
              <w:bottom w:val="nil"/>
              <w:right w:val="single" w:sz="8" w:space="0" w:color="auto"/>
            </w:tcBorders>
            <w:shd w:val="clear" w:color="auto" w:fill="auto"/>
            <w:vAlign w:val="center"/>
          </w:tcPr>
          <w:p w14:paraId="28FAAE6B" w14:textId="77777777" w:rsidR="00B35BDF" w:rsidRPr="00B35BDF" w:rsidRDefault="00B35BDF"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ABF.F092</w:t>
            </w:r>
          </w:p>
        </w:tc>
        <w:tc>
          <w:tcPr>
            <w:tcW w:w="1418" w:type="dxa"/>
            <w:tcBorders>
              <w:top w:val="nil"/>
              <w:left w:val="nil"/>
              <w:bottom w:val="nil"/>
              <w:right w:val="single" w:sz="8" w:space="0" w:color="auto"/>
            </w:tcBorders>
            <w:shd w:val="clear" w:color="auto" w:fill="auto"/>
            <w:vAlign w:val="center"/>
          </w:tcPr>
          <w:p w14:paraId="340206CE" w14:textId="77777777" w:rsidR="00B35BDF" w:rsidRPr="00B35BDF" w:rsidRDefault="00B35BDF"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ABF.G092</w:t>
            </w:r>
          </w:p>
        </w:tc>
      </w:tr>
      <w:tr w:rsidR="00B35BDF" w:rsidRPr="00B35BDF" w14:paraId="527B63B3" w14:textId="77777777" w:rsidTr="0015273C">
        <w:trPr>
          <w:trHeight w:val="255"/>
        </w:trPr>
        <w:tc>
          <w:tcPr>
            <w:tcW w:w="4977" w:type="dxa"/>
            <w:tcBorders>
              <w:top w:val="nil"/>
              <w:left w:val="single" w:sz="8" w:space="0" w:color="auto"/>
              <w:bottom w:val="nil"/>
              <w:right w:val="single" w:sz="8" w:space="0" w:color="auto"/>
            </w:tcBorders>
            <w:shd w:val="clear" w:color="auto" w:fill="auto"/>
            <w:noWrap/>
            <w:vAlign w:val="center"/>
          </w:tcPr>
          <w:p w14:paraId="41C575E7" w14:textId="77777777" w:rsidR="00B35BDF" w:rsidRPr="00B35BDF" w:rsidRDefault="00B35BDF" w:rsidP="0015273C">
            <w:pPr>
              <w:spacing w:after="0" w:line="240" w:lineRule="auto"/>
              <w:ind w:firstLineChars="231" w:firstLine="370"/>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120 – Transferência do Salário Educação</w:t>
            </w:r>
          </w:p>
        </w:tc>
        <w:tc>
          <w:tcPr>
            <w:tcW w:w="1275" w:type="dxa"/>
            <w:tcBorders>
              <w:top w:val="nil"/>
              <w:left w:val="nil"/>
              <w:bottom w:val="nil"/>
              <w:right w:val="single" w:sz="8" w:space="0" w:color="auto"/>
            </w:tcBorders>
            <w:shd w:val="clear" w:color="auto" w:fill="auto"/>
            <w:vAlign w:val="center"/>
          </w:tcPr>
          <w:p w14:paraId="4F4906B1"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ABF.B064</w:t>
            </w:r>
          </w:p>
        </w:tc>
        <w:tc>
          <w:tcPr>
            <w:tcW w:w="1560" w:type="dxa"/>
            <w:tcBorders>
              <w:top w:val="nil"/>
              <w:left w:val="nil"/>
              <w:bottom w:val="nil"/>
              <w:right w:val="single" w:sz="8" w:space="0" w:color="auto"/>
            </w:tcBorders>
            <w:shd w:val="clear" w:color="auto" w:fill="auto"/>
            <w:vAlign w:val="center"/>
          </w:tcPr>
          <w:p w14:paraId="3F92A418"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ABF.C064</w:t>
            </w:r>
          </w:p>
        </w:tc>
        <w:tc>
          <w:tcPr>
            <w:tcW w:w="1275" w:type="dxa"/>
            <w:tcBorders>
              <w:top w:val="nil"/>
              <w:left w:val="nil"/>
              <w:bottom w:val="nil"/>
              <w:right w:val="single" w:sz="8" w:space="0" w:color="auto"/>
            </w:tcBorders>
            <w:shd w:val="clear" w:color="auto" w:fill="auto"/>
            <w:vAlign w:val="center"/>
          </w:tcPr>
          <w:p w14:paraId="77AE06DB"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ABF.D064</w:t>
            </w:r>
          </w:p>
        </w:tc>
        <w:tc>
          <w:tcPr>
            <w:tcW w:w="1276" w:type="dxa"/>
            <w:tcBorders>
              <w:top w:val="nil"/>
              <w:left w:val="nil"/>
              <w:bottom w:val="nil"/>
              <w:right w:val="single" w:sz="8" w:space="0" w:color="auto"/>
            </w:tcBorders>
            <w:shd w:val="clear" w:color="auto" w:fill="auto"/>
            <w:vAlign w:val="center"/>
          </w:tcPr>
          <w:p w14:paraId="6A49ED1A"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ABF.E064</w:t>
            </w:r>
          </w:p>
        </w:tc>
        <w:tc>
          <w:tcPr>
            <w:tcW w:w="1701" w:type="dxa"/>
            <w:tcBorders>
              <w:top w:val="nil"/>
              <w:left w:val="nil"/>
              <w:bottom w:val="nil"/>
              <w:right w:val="single" w:sz="8" w:space="0" w:color="auto"/>
            </w:tcBorders>
            <w:shd w:val="clear" w:color="auto" w:fill="auto"/>
            <w:vAlign w:val="center"/>
          </w:tcPr>
          <w:p w14:paraId="3119EDDD"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ABF.F064</w:t>
            </w:r>
          </w:p>
        </w:tc>
        <w:tc>
          <w:tcPr>
            <w:tcW w:w="1418" w:type="dxa"/>
            <w:tcBorders>
              <w:top w:val="nil"/>
              <w:left w:val="nil"/>
              <w:bottom w:val="nil"/>
              <w:right w:val="single" w:sz="8" w:space="0" w:color="auto"/>
            </w:tcBorders>
            <w:shd w:val="clear" w:color="auto" w:fill="auto"/>
            <w:vAlign w:val="center"/>
          </w:tcPr>
          <w:p w14:paraId="4AC714F2"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ABF.G064</w:t>
            </w:r>
          </w:p>
        </w:tc>
      </w:tr>
      <w:tr w:rsidR="00B35BDF" w:rsidRPr="00B35BDF" w14:paraId="3CA66D8C" w14:textId="77777777" w:rsidTr="0015273C">
        <w:trPr>
          <w:trHeight w:val="255"/>
        </w:trPr>
        <w:tc>
          <w:tcPr>
            <w:tcW w:w="4977" w:type="dxa"/>
            <w:tcBorders>
              <w:top w:val="nil"/>
              <w:left w:val="single" w:sz="8" w:space="0" w:color="auto"/>
              <w:right w:val="single" w:sz="8" w:space="0" w:color="auto"/>
            </w:tcBorders>
            <w:shd w:val="clear" w:color="auto" w:fill="auto"/>
            <w:noWrap/>
            <w:vAlign w:val="center"/>
          </w:tcPr>
          <w:p w14:paraId="62ACB76C" w14:textId="77777777" w:rsidR="00B35BDF" w:rsidRPr="00B35BDF" w:rsidRDefault="00B35BDF" w:rsidP="0015273C">
            <w:pPr>
              <w:spacing w:after="0" w:line="240" w:lineRule="auto"/>
              <w:ind w:left="371"/>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121 - Transferências de Recursos do FNDE ref. ao Programa Dinheiro Direto na Escola (PDDE)</w:t>
            </w:r>
          </w:p>
        </w:tc>
        <w:tc>
          <w:tcPr>
            <w:tcW w:w="1275" w:type="dxa"/>
            <w:tcBorders>
              <w:top w:val="nil"/>
              <w:left w:val="nil"/>
              <w:right w:val="single" w:sz="8" w:space="0" w:color="auto"/>
            </w:tcBorders>
            <w:shd w:val="clear" w:color="auto" w:fill="auto"/>
            <w:vAlign w:val="center"/>
          </w:tcPr>
          <w:p w14:paraId="17058B92"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ABF.B076</w:t>
            </w:r>
          </w:p>
        </w:tc>
        <w:tc>
          <w:tcPr>
            <w:tcW w:w="1560" w:type="dxa"/>
            <w:tcBorders>
              <w:top w:val="nil"/>
              <w:left w:val="nil"/>
              <w:right w:val="single" w:sz="8" w:space="0" w:color="auto"/>
            </w:tcBorders>
            <w:shd w:val="clear" w:color="auto" w:fill="auto"/>
            <w:vAlign w:val="center"/>
          </w:tcPr>
          <w:p w14:paraId="4AC811A4" w14:textId="77777777" w:rsidR="00B35BDF" w:rsidRPr="00B35BDF" w:rsidRDefault="00B35BDF"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ABF.C076</w:t>
            </w:r>
          </w:p>
        </w:tc>
        <w:tc>
          <w:tcPr>
            <w:tcW w:w="1275" w:type="dxa"/>
            <w:tcBorders>
              <w:top w:val="nil"/>
              <w:left w:val="nil"/>
              <w:right w:val="single" w:sz="8" w:space="0" w:color="auto"/>
            </w:tcBorders>
            <w:shd w:val="clear" w:color="auto" w:fill="auto"/>
            <w:vAlign w:val="center"/>
          </w:tcPr>
          <w:p w14:paraId="7859A3DB" w14:textId="77777777" w:rsidR="00B35BDF" w:rsidRPr="00B35BDF" w:rsidRDefault="00B35BDF"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ABF.D076</w:t>
            </w:r>
          </w:p>
        </w:tc>
        <w:tc>
          <w:tcPr>
            <w:tcW w:w="1276" w:type="dxa"/>
            <w:tcBorders>
              <w:top w:val="nil"/>
              <w:left w:val="nil"/>
              <w:right w:val="single" w:sz="8" w:space="0" w:color="auto"/>
            </w:tcBorders>
            <w:shd w:val="clear" w:color="auto" w:fill="auto"/>
            <w:vAlign w:val="center"/>
          </w:tcPr>
          <w:p w14:paraId="21EFFC40" w14:textId="77777777" w:rsidR="00B35BDF" w:rsidRPr="00B35BDF" w:rsidRDefault="00B35BDF"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ABF.E076</w:t>
            </w:r>
          </w:p>
        </w:tc>
        <w:tc>
          <w:tcPr>
            <w:tcW w:w="1701" w:type="dxa"/>
            <w:tcBorders>
              <w:top w:val="nil"/>
              <w:left w:val="nil"/>
              <w:right w:val="single" w:sz="8" w:space="0" w:color="auto"/>
            </w:tcBorders>
            <w:shd w:val="clear" w:color="auto" w:fill="auto"/>
            <w:vAlign w:val="center"/>
          </w:tcPr>
          <w:p w14:paraId="0EACE81D" w14:textId="77777777" w:rsidR="00B35BDF" w:rsidRPr="00B35BDF" w:rsidRDefault="00B35BDF"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ABF.F076</w:t>
            </w:r>
          </w:p>
        </w:tc>
        <w:tc>
          <w:tcPr>
            <w:tcW w:w="1418" w:type="dxa"/>
            <w:tcBorders>
              <w:top w:val="nil"/>
              <w:left w:val="nil"/>
              <w:right w:val="single" w:sz="8" w:space="0" w:color="auto"/>
            </w:tcBorders>
            <w:shd w:val="clear" w:color="auto" w:fill="auto"/>
            <w:vAlign w:val="center"/>
          </w:tcPr>
          <w:p w14:paraId="1A51513E" w14:textId="77777777" w:rsidR="00B35BDF" w:rsidRPr="00B35BDF" w:rsidRDefault="00B35BDF"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ABF.G076</w:t>
            </w:r>
          </w:p>
        </w:tc>
      </w:tr>
      <w:tr w:rsidR="00B35BDF" w:rsidRPr="00B35BDF" w14:paraId="6C52948C" w14:textId="77777777" w:rsidTr="0015273C">
        <w:trPr>
          <w:trHeight w:val="255"/>
        </w:trPr>
        <w:tc>
          <w:tcPr>
            <w:tcW w:w="4977" w:type="dxa"/>
            <w:tcBorders>
              <w:top w:val="nil"/>
              <w:left w:val="single" w:sz="8" w:space="0" w:color="auto"/>
              <w:right w:val="single" w:sz="8" w:space="0" w:color="auto"/>
            </w:tcBorders>
            <w:shd w:val="clear" w:color="auto" w:fill="auto"/>
            <w:noWrap/>
            <w:vAlign w:val="center"/>
          </w:tcPr>
          <w:p w14:paraId="57C56C46" w14:textId="77777777" w:rsidR="00B35BDF" w:rsidRPr="00B35BDF" w:rsidRDefault="00B35BDF" w:rsidP="0015273C">
            <w:pPr>
              <w:spacing w:after="0" w:line="240" w:lineRule="auto"/>
              <w:ind w:left="371"/>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122 - Transferências de Recursos do FNDE ref. ao Programa Nacional de Alimentação Escolar (PNAE)</w:t>
            </w:r>
          </w:p>
        </w:tc>
        <w:tc>
          <w:tcPr>
            <w:tcW w:w="1275" w:type="dxa"/>
            <w:tcBorders>
              <w:top w:val="nil"/>
              <w:left w:val="nil"/>
              <w:right w:val="single" w:sz="8" w:space="0" w:color="auto"/>
            </w:tcBorders>
            <w:shd w:val="clear" w:color="auto" w:fill="auto"/>
            <w:vAlign w:val="center"/>
          </w:tcPr>
          <w:p w14:paraId="4BD7A028"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ABF.B077</w:t>
            </w:r>
          </w:p>
        </w:tc>
        <w:tc>
          <w:tcPr>
            <w:tcW w:w="1560" w:type="dxa"/>
            <w:tcBorders>
              <w:top w:val="nil"/>
              <w:left w:val="nil"/>
              <w:right w:val="single" w:sz="8" w:space="0" w:color="auto"/>
            </w:tcBorders>
            <w:shd w:val="clear" w:color="auto" w:fill="auto"/>
            <w:vAlign w:val="center"/>
          </w:tcPr>
          <w:p w14:paraId="2A27F97F" w14:textId="77777777" w:rsidR="00B35BDF" w:rsidRPr="00B35BDF" w:rsidRDefault="00B35BDF"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ABF.C077</w:t>
            </w:r>
          </w:p>
        </w:tc>
        <w:tc>
          <w:tcPr>
            <w:tcW w:w="1275" w:type="dxa"/>
            <w:tcBorders>
              <w:top w:val="nil"/>
              <w:left w:val="nil"/>
              <w:right w:val="single" w:sz="8" w:space="0" w:color="auto"/>
            </w:tcBorders>
            <w:shd w:val="clear" w:color="auto" w:fill="auto"/>
            <w:vAlign w:val="center"/>
          </w:tcPr>
          <w:p w14:paraId="5A9B443E" w14:textId="77777777" w:rsidR="00B35BDF" w:rsidRPr="00B35BDF" w:rsidRDefault="00B35BDF"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ABF.D077</w:t>
            </w:r>
          </w:p>
        </w:tc>
        <w:tc>
          <w:tcPr>
            <w:tcW w:w="1276" w:type="dxa"/>
            <w:tcBorders>
              <w:top w:val="nil"/>
              <w:left w:val="nil"/>
              <w:right w:val="single" w:sz="8" w:space="0" w:color="auto"/>
            </w:tcBorders>
            <w:shd w:val="clear" w:color="auto" w:fill="auto"/>
            <w:vAlign w:val="center"/>
          </w:tcPr>
          <w:p w14:paraId="1195E6D4" w14:textId="77777777" w:rsidR="00B35BDF" w:rsidRPr="00B35BDF" w:rsidRDefault="00B35BDF"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ABF.E077</w:t>
            </w:r>
          </w:p>
        </w:tc>
        <w:tc>
          <w:tcPr>
            <w:tcW w:w="1701" w:type="dxa"/>
            <w:tcBorders>
              <w:top w:val="nil"/>
              <w:left w:val="nil"/>
              <w:right w:val="single" w:sz="8" w:space="0" w:color="auto"/>
            </w:tcBorders>
            <w:shd w:val="clear" w:color="auto" w:fill="auto"/>
            <w:vAlign w:val="center"/>
          </w:tcPr>
          <w:p w14:paraId="3EC5007F" w14:textId="77777777" w:rsidR="00B35BDF" w:rsidRPr="00B35BDF" w:rsidRDefault="00B35BDF"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ABF.F077</w:t>
            </w:r>
          </w:p>
        </w:tc>
        <w:tc>
          <w:tcPr>
            <w:tcW w:w="1418" w:type="dxa"/>
            <w:tcBorders>
              <w:top w:val="nil"/>
              <w:left w:val="nil"/>
              <w:right w:val="single" w:sz="8" w:space="0" w:color="auto"/>
            </w:tcBorders>
            <w:shd w:val="clear" w:color="auto" w:fill="auto"/>
            <w:vAlign w:val="center"/>
          </w:tcPr>
          <w:p w14:paraId="26B0EBCB" w14:textId="77777777" w:rsidR="00B35BDF" w:rsidRPr="00B35BDF" w:rsidRDefault="00B35BDF"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ABF.G077</w:t>
            </w:r>
          </w:p>
        </w:tc>
      </w:tr>
      <w:tr w:rsidR="00B35BDF" w:rsidRPr="00B35BDF" w14:paraId="5DEEBCF7" w14:textId="77777777" w:rsidTr="0015273C">
        <w:trPr>
          <w:trHeight w:val="255"/>
        </w:trPr>
        <w:tc>
          <w:tcPr>
            <w:tcW w:w="4977" w:type="dxa"/>
            <w:tcBorders>
              <w:top w:val="nil"/>
              <w:left w:val="single" w:sz="8" w:space="0" w:color="auto"/>
              <w:right w:val="single" w:sz="8" w:space="0" w:color="auto"/>
            </w:tcBorders>
            <w:shd w:val="clear" w:color="auto" w:fill="auto"/>
            <w:noWrap/>
            <w:vAlign w:val="center"/>
          </w:tcPr>
          <w:p w14:paraId="3719BBD7" w14:textId="77777777" w:rsidR="00B35BDF" w:rsidRPr="00B35BDF" w:rsidRDefault="00B35BDF" w:rsidP="0015273C">
            <w:pPr>
              <w:spacing w:after="0" w:line="240" w:lineRule="auto"/>
              <w:ind w:left="371"/>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123 - Transferências de Recursos do FNDE ref. ao Programa Nacional de Apoio ao Transporte Escolar (PNATE)</w:t>
            </w:r>
          </w:p>
        </w:tc>
        <w:tc>
          <w:tcPr>
            <w:tcW w:w="1275" w:type="dxa"/>
            <w:tcBorders>
              <w:top w:val="nil"/>
              <w:left w:val="nil"/>
              <w:right w:val="single" w:sz="8" w:space="0" w:color="auto"/>
            </w:tcBorders>
            <w:shd w:val="clear" w:color="auto" w:fill="auto"/>
            <w:vAlign w:val="center"/>
          </w:tcPr>
          <w:p w14:paraId="7148000B"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ABF.B078</w:t>
            </w:r>
          </w:p>
        </w:tc>
        <w:tc>
          <w:tcPr>
            <w:tcW w:w="1560" w:type="dxa"/>
            <w:tcBorders>
              <w:top w:val="nil"/>
              <w:left w:val="nil"/>
              <w:right w:val="single" w:sz="8" w:space="0" w:color="auto"/>
            </w:tcBorders>
            <w:shd w:val="clear" w:color="auto" w:fill="auto"/>
            <w:vAlign w:val="center"/>
          </w:tcPr>
          <w:p w14:paraId="72369723" w14:textId="77777777" w:rsidR="00B35BDF" w:rsidRPr="00B35BDF" w:rsidRDefault="00B35BDF"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ABF.C078</w:t>
            </w:r>
          </w:p>
        </w:tc>
        <w:tc>
          <w:tcPr>
            <w:tcW w:w="1275" w:type="dxa"/>
            <w:tcBorders>
              <w:top w:val="nil"/>
              <w:left w:val="nil"/>
              <w:right w:val="single" w:sz="8" w:space="0" w:color="auto"/>
            </w:tcBorders>
            <w:shd w:val="clear" w:color="auto" w:fill="auto"/>
            <w:vAlign w:val="center"/>
          </w:tcPr>
          <w:p w14:paraId="3350FE58" w14:textId="77777777" w:rsidR="00B35BDF" w:rsidRPr="00B35BDF" w:rsidRDefault="00B35BDF"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ABF.D078</w:t>
            </w:r>
          </w:p>
        </w:tc>
        <w:tc>
          <w:tcPr>
            <w:tcW w:w="1276" w:type="dxa"/>
            <w:tcBorders>
              <w:top w:val="nil"/>
              <w:left w:val="nil"/>
              <w:right w:val="single" w:sz="8" w:space="0" w:color="auto"/>
            </w:tcBorders>
            <w:shd w:val="clear" w:color="auto" w:fill="auto"/>
            <w:vAlign w:val="center"/>
          </w:tcPr>
          <w:p w14:paraId="453A4DB6" w14:textId="77777777" w:rsidR="00B35BDF" w:rsidRPr="00B35BDF" w:rsidRDefault="00B35BDF"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ABF.E078</w:t>
            </w:r>
          </w:p>
        </w:tc>
        <w:tc>
          <w:tcPr>
            <w:tcW w:w="1701" w:type="dxa"/>
            <w:tcBorders>
              <w:top w:val="nil"/>
              <w:left w:val="nil"/>
              <w:right w:val="single" w:sz="8" w:space="0" w:color="auto"/>
            </w:tcBorders>
            <w:shd w:val="clear" w:color="auto" w:fill="auto"/>
            <w:vAlign w:val="center"/>
          </w:tcPr>
          <w:p w14:paraId="68C40D7D" w14:textId="77777777" w:rsidR="00B35BDF" w:rsidRPr="00B35BDF" w:rsidRDefault="00B35BDF"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ABF.F078</w:t>
            </w:r>
          </w:p>
        </w:tc>
        <w:tc>
          <w:tcPr>
            <w:tcW w:w="1418" w:type="dxa"/>
            <w:tcBorders>
              <w:top w:val="nil"/>
              <w:left w:val="nil"/>
              <w:right w:val="single" w:sz="8" w:space="0" w:color="auto"/>
            </w:tcBorders>
            <w:shd w:val="clear" w:color="auto" w:fill="auto"/>
            <w:vAlign w:val="center"/>
          </w:tcPr>
          <w:p w14:paraId="44467476" w14:textId="77777777" w:rsidR="00B35BDF" w:rsidRPr="00B35BDF" w:rsidRDefault="00B35BDF"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ABF.G078</w:t>
            </w:r>
          </w:p>
        </w:tc>
      </w:tr>
      <w:tr w:rsidR="00B35BDF" w:rsidRPr="00B35BDF" w14:paraId="7F89E462" w14:textId="77777777" w:rsidTr="0015273C">
        <w:trPr>
          <w:trHeight w:val="255"/>
        </w:trPr>
        <w:tc>
          <w:tcPr>
            <w:tcW w:w="4977" w:type="dxa"/>
            <w:tcBorders>
              <w:top w:val="nil"/>
              <w:left w:val="single" w:sz="8" w:space="0" w:color="auto"/>
              <w:right w:val="single" w:sz="8" w:space="0" w:color="auto"/>
            </w:tcBorders>
            <w:shd w:val="clear" w:color="auto" w:fill="auto"/>
            <w:noWrap/>
            <w:vAlign w:val="center"/>
          </w:tcPr>
          <w:p w14:paraId="2AD4315D" w14:textId="77777777" w:rsidR="00B35BDF" w:rsidRPr="00B35BDF" w:rsidRDefault="00B35BDF" w:rsidP="0015273C">
            <w:pPr>
              <w:spacing w:after="0" w:line="240" w:lineRule="auto"/>
              <w:ind w:firstLineChars="231" w:firstLine="370"/>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lastRenderedPageBreak/>
              <w:t>124 – Outras Transferências de Recursos do FNDE</w:t>
            </w:r>
          </w:p>
        </w:tc>
        <w:tc>
          <w:tcPr>
            <w:tcW w:w="1275" w:type="dxa"/>
            <w:tcBorders>
              <w:top w:val="nil"/>
              <w:left w:val="nil"/>
              <w:right w:val="single" w:sz="8" w:space="0" w:color="auto"/>
            </w:tcBorders>
            <w:shd w:val="clear" w:color="auto" w:fill="auto"/>
            <w:vAlign w:val="center"/>
          </w:tcPr>
          <w:p w14:paraId="29768A43"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ABF.B079</w:t>
            </w:r>
          </w:p>
        </w:tc>
        <w:tc>
          <w:tcPr>
            <w:tcW w:w="1560" w:type="dxa"/>
            <w:tcBorders>
              <w:top w:val="nil"/>
              <w:left w:val="nil"/>
              <w:right w:val="single" w:sz="8" w:space="0" w:color="auto"/>
            </w:tcBorders>
            <w:shd w:val="clear" w:color="auto" w:fill="auto"/>
            <w:vAlign w:val="center"/>
          </w:tcPr>
          <w:p w14:paraId="43A2FF23" w14:textId="77777777" w:rsidR="00B35BDF" w:rsidRPr="00B35BDF" w:rsidRDefault="00B35BDF"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ABF.C079</w:t>
            </w:r>
          </w:p>
        </w:tc>
        <w:tc>
          <w:tcPr>
            <w:tcW w:w="1275" w:type="dxa"/>
            <w:tcBorders>
              <w:top w:val="nil"/>
              <w:left w:val="nil"/>
              <w:right w:val="single" w:sz="8" w:space="0" w:color="auto"/>
            </w:tcBorders>
            <w:shd w:val="clear" w:color="auto" w:fill="auto"/>
            <w:vAlign w:val="center"/>
          </w:tcPr>
          <w:p w14:paraId="5F22B08A" w14:textId="77777777" w:rsidR="00B35BDF" w:rsidRPr="00B35BDF" w:rsidRDefault="00B35BDF"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ABF.D079</w:t>
            </w:r>
          </w:p>
        </w:tc>
        <w:tc>
          <w:tcPr>
            <w:tcW w:w="1276" w:type="dxa"/>
            <w:tcBorders>
              <w:top w:val="nil"/>
              <w:left w:val="nil"/>
              <w:right w:val="single" w:sz="8" w:space="0" w:color="auto"/>
            </w:tcBorders>
            <w:shd w:val="clear" w:color="auto" w:fill="auto"/>
            <w:vAlign w:val="center"/>
          </w:tcPr>
          <w:p w14:paraId="50DB7B45" w14:textId="77777777" w:rsidR="00B35BDF" w:rsidRPr="00B35BDF" w:rsidRDefault="00B35BDF"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ABF.E079</w:t>
            </w:r>
          </w:p>
        </w:tc>
        <w:tc>
          <w:tcPr>
            <w:tcW w:w="1701" w:type="dxa"/>
            <w:tcBorders>
              <w:top w:val="nil"/>
              <w:left w:val="nil"/>
              <w:right w:val="single" w:sz="8" w:space="0" w:color="auto"/>
            </w:tcBorders>
            <w:shd w:val="clear" w:color="auto" w:fill="auto"/>
            <w:vAlign w:val="center"/>
          </w:tcPr>
          <w:p w14:paraId="0F14D771" w14:textId="77777777" w:rsidR="00B35BDF" w:rsidRPr="00B35BDF" w:rsidRDefault="00B35BDF"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ABF.F079</w:t>
            </w:r>
          </w:p>
        </w:tc>
        <w:tc>
          <w:tcPr>
            <w:tcW w:w="1418" w:type="dxa"/>
            <w:tcBorders>
              <w:top w:val="nil"/>
              <w:left w:val="nil"/>
              <w:right w:val="single" w:sz="8" w:space="0" w:color="auto"/>
            </w:tcBorders>
            <w:shd w:val="clear" w:color="auto" w:fill="auto"/>
            <w:vAlign w:val="center"/>
          </w:tcPr>
          <w:p w14:paraId="2D99C792" w14:textId="77777777" w:rsidR="00B35BDF" w:rsidRPr="00B35BDF" w:rsidRDefault="00B35BDF"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ABF.G079</w:t>
            </w:r>
          </w:p>
        </w:tc>
      </w:tr>
      <w:tr w:rsidR="00B35BDF" w:rsidRPr="00B35BDF" w14:paraId="53E6CF74" w14:textId="77777777" w:rsidTr="0015273C">
        <w:trPr>
          <w:trHeight w:val="255"/>
        </w:trPr>
        <w:tc>
          <w:tcPr>
            <w:tcW w:w="4977" w:type="dxa"/>
            <w:tcBorders>
              <w:top w:val="nil"/>
              <w:left w:val="single" w:sz="8" w:space="0" w:color="auto"/>
              <w:right w:val="single" w:sz="8" w:space="0" w:color="auto"/>
            </w:tcBorders>
            <w:shd w:val="clear" w:color="auto" w:fill="auto"/>
            <w:noWrap/>
            <w:vAlign w:val="center"/>
          </w:tcPr>
          <w:p w14:paraId="680B7437" w14:textId="77777777" w:rsidR="00B35BDF" w:rsidRPr="00B35BDF" w:rsidRDefault="00B35BDF" w:rsidP="0015273C">
            <w:pPr>
              <w:spacing w:after="0" w:line="240" w:lineRule="auto"/>
              <w:ind w:firstLineChars="231" w:firstLine="370"/>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 xml:space="preserve">140 - Royalties do Petróleo vinculados à Educação </w:t>
            </w:r>
          </w:p>
        </w:tc>
        <w:tc>
          <w:tcPr>
            <w:tcW w:w="1275" w:type="dxa"/>
            <w:tcBorders>
              <w:top w:val="nil"/>
              <w:left w:val="nil"/>
              <w:right w:val="single" w:sz="8" w:space="0" w:color="auto"/>
            </w:tcBorders>
            <w:shd w:val="clear" w:color="auto" w:fill="auto"/>
            <w:vAlign w:val="center"/>
          </w:tcPr>
          <w:p w14:paraId="1A76627C"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ABF.B069</w:t>
            </w:r>
          </w:p>
        </w:tc>
        <w:tc>
          <w:tcPr>
            <w:tcW w:w="1560" w:type="dxa"/>
            <w:tcBorders>
              <w:top w:val="nil"/>
              <w:left w:val="nil"/>
              <w:right w:val="single" w:sz="8" w:space="0" w:color="auto"/>
            </w:tcBorders>
            <w:shd w:val="clear" w:color="auto" w:fill="auto"/>
            <w:vAlign w:val="center"/>
          </w:tcPr>
          <w:p w14:paraId="4AACF63A"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ABF.C069</w:t>
            </w:r>
          </w:p>
        </w:tc>
        <w:tc>
          <w:tcPr>
            <w:tcW w:w="1275" w:type="dxa"/>
            <w:tcBorders>
              <w:top w:val="nil"/>
              <w:left w:val="nil"/>
              <w:right w:val="single" w:sz="8" w:space="0" w:color="auto"/>
            </w:tcBorders>
            <w:shd w:val="clear" w:color="auto" w:fill="auto"/>
            <w:vAlign w:val="center"/>
          </w:tcPr>
          <w:p w14:paraId="686EFE56"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ABF.D069</w:t>
            </w:r>
          </w:p>
        </w:tc>
        <w:tc>
          <w:tcPr>
            <w:tcW w:w="1276" w:type="dxa"/>
            <w:tcBorders>
              <w:top w:val="nil"/>
              <w:left w:val="nil"/>
              <w:right w:val="single" w:sz="8" w:space="0" w:color="auto"/>
            </w:tcBorders>
            <w:shd w:val="clear" w:color="auto" w:fill="auto"/>
            <w:vAlign w:val="center"/>
          </w:tcPr>
          <w:p w14:paraId="05201F55"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ABF.E069</w:t>
            </w:r>
          </w:p>
        </w:tc>
        <w:tc>
          <w:tcPr>
            <w:tcW w:w="1701" w:type="dxa"/>
            <w:tcBorders>
              <w:top w:val="nil"/>
              <w:left w:val="nil"/>
              <w:right w:val="single" w:sz="8" w:space="0" w:color="auto"/>
            </w:tcBorders>
            <w:shd w:val="clear" w:color="auto" w:fill="auto"/>
            <w:vAlign w:val="center"/>
          </w:tcPr>
          <w:p w14:paraId="3C5EBD8C"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ABF.F069</w:t>
            </w:r>
          </w:p>
        </w:tc>
        <w:tc>
          <w:tcPr>
            <w:tcW w:w="1418" w:type="dxa"/>
            <w:tcBorders>
              <w:top w:val="nil"/>
              <w:left w:val="nil"/>
              <w:right w:val="single" w:sz="8" w:space="0" w:color="auto"/>
            </w:tcBorders>
            <w:shd w:val="clear" w:color="auto" w:fill="auto"/>
            <w:vAlign w:val="center"/>
          </w:tcPr>
          <w:p w14:paraId="199A6A25"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ABF.G069</w:t>
            </w:r>
          </w:p>
        </w:tc>
      </w:tr>
      <w:tr w:rsidR="00B35BDF" w:rsidRPr="00B35BDF" w14:paraId="620984FF" w14:textId="77777777" w:rsidTr="0015273C">
        <w:trPr>
          <w:trHeight w:val="255"/>
        </w:trPr>
        <w:tc>
          <w:tcPr>
            <w:tcW w:w="4977" w:type="dxa"/>
            <w:tcBorders>
              <w:top w:val="nil"/>
              <w:left w:val="single" w:sz="8" w:space="0" w:color="auto"/>
              <w:right w:val="single" w:sz="8" w:space="0" w:color="auto"/>
            </w:tcBorders>
            <w:shd w:val="clear" w:color="auto" w:fill="auto"/>
            <w:noWrap/>
            <w:vAlign w:val="center"/>
          </w:tcPr>
          <w:p w14:paraId="58B16FF4" w14:textId="77777777" w:rsidR="00B35BDF" w:rsidRPr="00B35BDF" w:rsidRDefault="00B35BDF" w:rsidP="0015273C">
            <w:pPr>
              <w:spacing w:after="0" w:line="240" w:lineRule="auto"/>
              <w:ind w:firstLineChars="231" w:firstLine="370"/>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125 – Transferências de Convênios ou de Contratos de Repasses Vinculados  à Educação</w:t>
            </w:r>
          </w:p>
        </w:tc>
        <w:tc>
          <w:tcPr>
            <w:tcW w:w="1275" w:type="dxa"/>
            <w:tcBorders>
              <w:top w:val="nil"/>
              <w:left w:val="nil"/>
              <w:right w:val="single" w:sz="8" w:space="0" w:color="auto"/>
            </w:tcBorders>
            <w:shd w:val="clear" w:color="auto" w:fill="auto"/>
            <w:vAlign w:val="center"/>
          </w:tcPr>
          <w:p w14:paraId="2A20C32D"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ABF.B021</w:t>
            </w:r>
          </w:p>
        </w:tc>
        <w:tc>
          <w:tcPr>
            <w:tcW w:w="1560" w:type="dxa"/>
            <w:tcBorders>
              <w:top w:val="nil"/>
              <w:left w:val="nil"/>
              <w:right w:val="single" w:sz="8" w:space="0" w:color="auto"/>
            </w:tcBorders>
            <w:shd w:val="clear" w:color="auto" w:fill="auto"/>
            <w:vAlign w:val="center"/>
          </w:tcPr>
          <w:p w14:paraId="45EC5F87"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ABF.C021</w:t>
            </w:r>
          </w:p>
        </w:tc>
        <w:tc>
          <w:tcPr>
            <w:tcW w:w="1275" w:type="dxa"/>
            <w:tcBorders>
              <w:top w:val="nil"/>
              <w:left w:val="nil"/>
              <w:right w:val="single" w:sz="8" w:space="0" w:color="auto"/>
            </w:tcBorders>
            <w:shd w:val="clear" w:color="auto" w:fill="auto"/>
            <w:vAlign w:val="center"/>
          </w:tcPr>
          <w:p w14:paraId="18199124"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ABF.D021</w:t>
            </w:r>
          </w:p>
        </w:tc>
        <w:tc>
          <w:tcPr>
            <w:tcW w:w="1276" w:type="dxa"/>
            <w:tcBorders>
              <w:top w:val="nil"/>
              <w:left w:val="nil"/>
              <w:right w:val="single" w:sz="8" w:space="0" w:color="auto"/>
            </w:tcBorders>
            <w:shd w:val="clear" w:color="auto" w:fill="auto"/>
            <w:vAlign w:val="center"/>
          </w:tcPr>
          <w:p w14:paraId="27E1D66A"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ABF.E021</w:t>
            </w:r>
          </w:p>
        </w:tc>
        <w:tc>
          <w:tcPr>
            <w:tcW w:w="1701" w:type="dxa"/>
            <w:tcBorders>
              <w:top w:val="nil"/>
              <w:left w:val="nil"/>
              <w:right w:val="single" w:sz="8" w:space="0" w:color="auto"/>
            </w:tcBorders>
            <w:shd w:val="clear" w:color="auto" w:fill="auto"/>
            <w:vAlign w:val="center"/>
          </w:tcPr>
          <w:p w14:paraId="1DEB6D29"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ABF.F021</w:t>
            </w:r>
          </w:p>
        </w:tc>
        <w:tc>
          <w:tcPr>
            <w:tcW w:w="1418" w:type="dxa"/>
            <w:tcBorders>
              <w:top w:val="nil"/>
              <w:left w:val="nil"/>
              <w:right w:val="single" w:sz="8" w:space="0" w:color="auto"/>
            </w:tcBorders>
            <w:shd w:val="clear" w:color="auto" w:fill="auto"/>
            <w:vAlign w:val="center"/>
          </w:tcPr>
          <w:p w14:paraId="6BC790C3"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ABF.G021</w:t>
            </w:r>
          </w:p>
        </w:tc>
      </w:tr>
      <w:tr w:rsidR="00B35BDF" w:rsidRPr="00B35BDF" w14:paraId="42F5702F" w14:textId="77777777" w:rsidTr="0015273C">
        <w:trPr>
          <w:trHeight w:val="255"/>
        </w:trPr>
        <w:tc>
          <w:tcPr>
            <w:tcW w:w="4977" w:type="dxa"/>
            <w:tcBorders>
              <w:left w:val="single" w:sz="8" w:space="0" w:color="auto"/>
              <w:bottom w:val="nil"/>
              <w:right w:val="single" w:sz="8" w:space="0" w:color="auto"/>
            </w:tcBorders>
            <w:shd w:val="clear" w:color="auto" w:fill="auto"/>
            <w:noWrap/>
            <w:vAlign w:val="center"/>
          </w:tcPr>
          <w:p w14:paraId="224003BB" w14:textId="77777777" w:rsidR="00B35BDF" w:rsidRPr="00B35BDF" w:rsidRDefault="00B35BDF" w:rsidP="0015273C">
            <w:pPr>
              <w:spacing w:after="0" w:line="240" w:lineRule="auto"/>
              <w:ind w:firstLineChars="231" w:firstLine="370"/>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130 - Operações de Crédito vinculadas à Educação</w:t>
            </w:r>
          </w:p>
        </w:tc>
        <w:tc>
          <w:tcPr>
            <w:tcW w:w="1275" w:type="dxa"/>
            <w:tcBorders>
              <w:left w:val="nil"/>
              <w:bottom w:val="nil"/>
              <w:right w:val="single" w:sz="8" w:space="0" w:color="auto"/>
            </w:tcBorders>
            <w:shd w:val="clear" w:color="auto" w:fill="auto"/>
            <w:vAlign w:val="center"/>
          </w:tcPr>
          <w:p w14:paraId="0CDBCF4A"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ABF.B024</w:t>
            </w:r>
          </w:p>
        </w:tc>
        <w:tc>
          <w:tcPr>
            <w:tcW w:w="1560" w:type="dxa"/>
            <w:tcBorders>
              <w:left w:val="nil"/>
              <w:bottom w:val="nil"/>
              <w:right w:val="single" w:sz="8" w:space="0" w:color="auto"/>
            </w:tcBorders>
            <w:shd w:val="clear" w:color="auto" w:fill="auto"/>
            <w:vAlign w:val="center"/>
          </w:tcPr>
          <w:p w14:paraId="67ABFFC1"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ABF.C024</w:t>
            </w:r>
          </w:p>
        </w:tc>
        <w:tc>
          <w:tcPr>
            <w:tcW w:w="1275" w:type="dxa"/>
            <w:tcBorders>
              <w:left w:val="nil"/>
              <w:bottom w:val="nil"/>
              <w:right w:val="single" w:sz="8" w:space="0" w:color="auto"/>
            </w:tcBorders>
            <w:shd w:val="clear" w:color="auto" w:fill="auto"/>
            <w:vAlign w:val="center"/>
          </w:tcPr>
          <w:p w14:paraId="4C7F7FF4"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ABF.D024</w:t>
            </w:r>
          </w:p>
        </w:tc>
        <w:tc>
          <w:tcPr>
            <w:tcW w:w="1276" w:type="dxa"/>
            <w:tcBorders>
              <w:left w:val="nil"/>
              <w:bottom w:val="nil"/>
              <w:right w:val="single" w:sz="8" w:space="0" w:color="auto"/>
            </w:tcBorders>
            <w:shd w:val="clear" w:color="auto" w:fill="auto"/>
            <w:vAlign w:val="center"/>
          </w:tcPr>
          <w:p w14:paraId="525CA29C"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ABF.E024</w:t>
            </w:r>
          </w:p>
        </w:tc>
        <w:tc>
          <w:tcPr>
            <w:tcW w:w="1701" w:type="dxa"/>
            <w:tcBorders>
              <w:left w:val="nil"/>
              <w:bottom w:val="nil"/>
              <w:right w:val="single" w:sz="8" w:space="0" w:color="auto"/>
            </w:tcBorders>
            <w:shd w:val="clear" w:color="auto" w:fill="auto"/>
            <w:vAlign w:val="center"/>
          </w:tcPr>
          <w:p w14:paraId="46D714E3"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ABF.F024</w:t>
            </w:r>
          </w:p>
        </w:tc>
        <w:tc>
          <w:tcPr>
            <w:tcW w:w="1418" w:type="dxa"/>
            <w:tcBorders>
              <w:left w:val="nil"/>
              <w:bottom w:val="nil"/>
              <w:right w:val="single" w:sz="8" w:space="0" w:color="auto"/>
            </w:tcBorders>
            <w:shd w:val="clear" w:color="auto" w:fill="auto"/>
            <w:vAlign w:val="center"/>
          </w:tcPr>
          <w:p w14:paraId="4449169D"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ABF.G024</w:t>
            </w:r>
          </w:p>
        </w:tc>
      </w:tr>
      <w:tr w:rsidR="00B35BDF" w:rsidRPr="00B35BDF" w14:paraId="2A1BCAAD" w14:textId="77777777" w:rsidTr="0015273C">
        <w:trPr>
          <w:trHeight w:val="255"/>
        </w:trPr>
        <w:tc>
          <w:tcPr>
            <w:tcW w:w="4977" w:type="dxa"/>
            <w:tcBorders>
              <w:top w:val="nil"/>
              <w:left w:val="single" w:sz="8" w:space="0" w:color="auto"/>
              <w:bottom w:val="nil"/>
              <w:right w:val="single" w:sz="8" w:space="0" w:color="auto"/>
            </w:tcBorders>
            <w:shd w:val="clear" w:color="auto" w:fill="auto"/>
            <w:noWrap/>
            <w:vAlign w:val="center"/>
          </w:tcPr>
          <w:p w14:paraId="5CDD8B2C" w14:textId="77777777" w:rsidR="00B35BDF" w:rsidRPr="00B35BDF" w:rsidRDefault="00B35BDF" w:rsidP="0015273C">
            <w:pPr>
              <w:spacing w:after="0" w:line="240" w:lineRule="auto"/>
              <w:ind w:firstLineChars="231" w:firstLine="370"/>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190 – Outros Recursos vinculados à Educação</w:t>
            </w:r>
          </w:p>
        </w:tc>
        <w:tc>
          <w:tcPr>
            <w:tcW w:w="1275" w:type="dxa"/>
            <w:tcBorders>
              <w:top w:val="nil"/>
              <w:left w:val="nil"/>
              <w:bottom w:val="nil"/>
              <w:right w:val="single" w:sz="8" w:space="0" w:color="auto"/>
            </w:tcBorders>
            <w:shd w:val="clear" w:color="auto" w:fill="auto"/>
            <w:vAlign w:val="center"/>
          </w:tcPr>
          <w:p w14:paraId="3A30F77E"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ABF.B025</w:t>
            </w:r>
          </w:p>
        </w:tc>
        <w:tc>
          <w:tcPr>
            <w:tcW w:w="1560" w:type="dxa"/>
            <w:tcBorders>
              <w:top w:val="nil"/>
              <w:left w:val="nil"/>
              <w:bottom w:val="nil"/>
              <w:right w:val="single" w:sz="8" w:space="0" w:color="auto"/>
            </w:tcBorders>
            <w:shd w:val="clear" w:color="auto" w:fill="auto"/>
            <w:vAlign w:val="center"/>
          </w:tcPr>
          <w:p w14:paraId="039374D1"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ABF.C025</w:t>
            </w:r>
          </w:p>
        </w:tc>
        <w:tc>
          <w:tcPr>
            <w:tcW w:w="1275" w:type="dxa"/>
            <w:tcBorders>
              <w:top w:val="nil"/>
              <w:left w:val="nil"/>
              <w:bottom w:val="nil"/>
              <w:right w:val="single" w:sz="8" w:space="0" w:color="auto"/>
            </w:tcBorders>
            <w:shd w:val="clear" w:color="auto" w:fill="auto"/>
            <w:vAlign w:val="center"/>
          </w:tcPr>
          <w:p w14:paraId="4AF539CF"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ABF.D025</w:t>
            </w:r>
          </w:p>
        </w:tc>
        <w:tc>
          <w:tcPr>
            <w:tcW w:w="1276" w:type="dxa"/>
            <w:tcBorders>
              <w:top w:val="nil"/>
              <w:left w:val="nil"/>
              <w:bottom w:val="nil"/>
              <w:right w:val="single" w:sz="8" w:space="0" w:color="auto"/>
            </w:tcBorders>
            <w:shd w:val="clear" w:color="auto" w:fill="auto"/>
            <w:vAlign w:val="center"/>
          </w:tcPr>
          <w:p w14:paraId="3CB7A9C5"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ABF.E025</w:t>
            </w:r>
          </w:p>
        </w:tc>
        <w:tc>
          <w:tcPr>
            <w:tcW w:w="1701" w:type="dxa"/>
            <w:tcBorders>
              <w:top w:val="nil"/>
              <w:left w:val="nil"/>
              <w:bottom w:val="nil"/>
              <w:right w:val="single" w:sz="8" w:space="0" w:color="auto"/>
            </w:tcBorders>
            <w:shd w:val="clear" w:color="auto" w:fill="auto"/>
            <w:vAlign w:val="center"/>
          </w:tcPr>
          <w:p w14:paraId="6CF8AFCC"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ABF.F025</w:t>
            </w:r>
          </w:p>
        </w:tc>
        <w:tc>
          <w:tcPr>
            <w:tcW w:w="1418" w:type="dxa"/>
            <w:tcBorders>
              <w:top w:val="nil"/>
              <w:left w:val="nil"/>
              <w:bottom w:val="nil"/>
              <w:right w:val="single" w:sz="8" w:space="0" w:color="auto"/>
            </w:tcBorders>
            <w:shd w:val="clear" w:color="auto" w:fill="auto"/>
            <w:vAlign w:val="center"/>
          </w:tcPr>
          <w:p w14:paraId="1B7D1F05"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ABF.G025</w:t>
            </w:r>
          </w:p>
        </w:tc>
      </w:tr>
      <w:tr w:rsidR="00B35BDF" w:rsidRPr="00B35BDF" w14:paraId="230EDA9B" w14:textId="77777777" w:rsidTr="0015273C">
        <w:trPr>
          <w:trHeight w:val="255"/>
        </w:trPr>
        <w:tc>
          <w:tcPr>
            <w:tcW w:w="4977" w:type="dxa"/>
            <w:tcBorders>
              <w:top w:val="nil"/>
              <w:left w:val="single" w:sz="8" w:space="0" w:color="auto"/>
              <w:bottom w:val="nil"/>
              <w:right w:val="single" w:sz="8" w:space="0" w:color="auto"/>
            </w:tcBorders>
            <w:shd w:val="clear" w:color="auto" w:fill="auto"/>
            <w:noWrap/>
            <w:vAlign w:val="center"/>
            <w:hideMark/>
          </w:tcPr>
          <w:p w14:paraId="073B09BF" w14:textId="77777777" w:rsidR="00B35BDF" w:rsidRPr="00B35BDF" w:rsidRDefault="00B35BDF" w:rsidP="0015273C">
            <w:pPr>
              <w:spacing w:after="0" w:line="240" w:lineRule="auto"/>
              <w:ind w:firstLineChars="100" w:firstLine="161"/>
              <w:rPr>
                <w:rFonts w:ascii="Arial Narrow" w:eastAsia="Times New Roman" w:hAnsi="Arial Narrow" w:cs="Arial"/>
                <w:b/>
                <w:bCs/>
                <w:sz w:val="16"/>
                <w:szCs w:val="16"/>
                <w:lang w:eastAsia="pt-BR"/>
              </w:rPr>
            </w:pPr>
            <w:r w:rsidRPr="00B35BDF">
              <w:rPr>
                <w:rFonts w:ascii="Arial Narrow" w:eastAsia="Times New Roman" w:hAnsi="Arial Narrow" w:cs="Arial"/>
                <w:b/>
                <w:bCs/>
                <w:sz w:val="16"/>
                <w:szCs w:val="16"/>
                <w:lang w:eastAsia="pt-BR"/>
              </w:rPr>
              <w:t xml:space="preserve">  Recursos Vinculados à Saúde</w:t>
            </w:r>
          </w:p>
        </w:tc>
        <w:tc>
          <w:tcPr>
            <w:tcW w:w="1275" w:type="dxa"/>
            <w:tcBorders>
              <w:top w:val="nil"/>
              <w:left w:val="nil"/>
              <w:bottom w:val="nil"/>
              <w:right w:val="single" w:sz="8" w:space="0" w:color="auto"/>
            </w:tcBorders>
            <w:shd w:val="clear" w:color="auto" w:fill="auto"/>
            <w:vAlign w:val="center"/>
            <w:hideMark/>
          </w:tcPr>
          <w:p w14:paraId="7EF18F04" w14:textId="77777777" w:rsidR="00B35BDF" w:rsidRPr="00B35BDF" w:rsidRDefault="00B35BDF" w:rsidP="0015273C">
            <w:pPr>
              <w:spacing w:after="0" w:line="240" w:lineRule="auto"/>
              <w:jc w:val="center"/>
              <w:rPr>
                <w:rFonts w:ascii="Arial Narrow" w:eastAsia="Times New Roman" w:hAnsi="Arial Narrow" w:cs="Arial"/>
                <w:b/>
                <w:bCs/>
                <w:sz w:val="16"/>
                <w:szCs w:val="16"/>
                <w:lang w:eastAsia="pt-BR"/>
              </w:rPr>
            </w:pPr>
            <w:r w:rsidRPr="00B35BDF">
              <w:rPr>
                <w:rFonts w:ascii="Arial Narrow" w:eastAsia="Times New Roman" w:hAnsi="Arial Narrow" w:cs="Arial"/>
                <w:b/>
                <w:bCs/>
                <w:sz w:val="16"/>
                <w:szCs w:val="16"/>
                <w:lang w:eastAsia="pt-BR"/>
              </w:rPr>
              <w:t>ABF.B026</w:t>
            </w:r>
          </w:p>
        </w:tc>
        <w:tc>
          <w:tcPr>
            <w:tcW w:w="1560" w:type="dxa"/>
            <w:tcBorders>
              <w:top w:val="nil"/>
              <w:left w:val="nil"/>
              <w:bottom w:val="nil"/>
              <w:right w:val="single" w:sz="8" w:space="0" w:color="auto"/>
            </w:tcBorders>
            <w:shd w:val="clear" w:color="auto" w:fill="auto"/>
            <w:vAlign w:val="center"/>
            <w:hideMark/>
          </w:tcPr>
          <w:p w14:paraId="14089A38" w14:textId="77777777" w:rsidR="00B35BDF" w:rsidRPr="00B35BDF" w:rsidRDefault="00B35BDF" w:rsidP="0015273C">
            <w:pPr>
              <w:spacing w:after="0" w:line="240" w:lineRule="auto"/>
              <w:jc w:val="center"/>
              <w:rPr>
                <w:rFonts w:ascii="Arial Narrow" w:eastAsia="Times New Roman" w:hAnsi="Arial Narrow" w:cs="Arial"/>
                <w:b/>
                <w:bCs/>
                <w:sz w:val="16"/>
                <w:szCs w:val="16"/>
                <w:lang w:eastAsia="pt-BR"/>
              </w:rPr>
            </w:pPr>
            <w:r w:rsidRPr="00B35BDF">
              <w:rPr>
                <w:rFonts w:ascii="Arial Narrow" w:eastAsia="Times New Roman" w:hAnsi="Arial Narrow" w:cs="Arial"/>
                <w:b/>
                <w:bCs/>
                <w:sz w:val="16"/>
                <w:szCs w:val="16"/>
                <w:lang w:eastAsia="pt-BR"/>
              </w:rPr>
              <w:t>ABF.C026</w:t>
            </w:r>
          </w:p>
        </w:tc>
        <w:tc>
          <w:tcPr>
            <w:tcW w:w="1275" w:type="dxa"/>
            <w:tcBorders>
              <w:top w:val="nil"/>
              <w:left w:val="nil"/>
              <w:bottom w:val="nil"/>
              <w:right w:val="single" w:sz="8" w:space="0" w:color="auto"/>
            </w:tcBorders>
            <w:shd w:val="clear" w:color="auto" w:fill="auto"/>
            <w:vAlign w:val="center"/>
            <w:hideMark/>
          </w:tcPr>
          <w:p w14:paraId="2911234C" w14:textId="77777777" w:rsidR="00B35BDF" w:rsidRPr="00B35BDF" w:rsidRDefault="00B35BDF" w:rsidP="0015273C">
            <w:pPr>
              <w:spacing w:after="0" w:line="240" w:lineRule="auto"/>
              <w:jc w:val="center"/>
              <w:rPr>
                <w:rFonts w:ascii="Arial Narrow" w:eastAsia="Times New Roman" w:hAnsi="Arial Narrow" w:cs="Arial"/>
                <w:b/>
                <w:bCs/>
                <w:sz w:val="16"/>
                <w:szCs w:val="16"/>
                <w:lang w:eastAsia="pt-BR"/>
              </w:rPr>
            </w:pPr>
            <w:r w:rsidRPr="00B35BDF">
              <w:rPr>
                <w:rFonts w:ascii="Arial Narrow" w:eastAsia="Times New Roman" w:hAnsi="Arial Narrow" w:cs="Arial"/>
                <w:b/>
                <w:bCs/>
                <w:sz w:val="16"/>
                <w:szCs w:val="16"/>
                <w:lang w:eastAsia="pt-BR"/>
              </w:rPr>
              <w:t>ABF.D026</w:t>
            </w:r>
          </w:p>
        </w:tc>
        <w:tc>
          <w:tcPr>
            <w:tcW w:w="1276" w:type="dxa"/>
            <w:tcBorders>
              <w:top w:val="nil"/>
              <w:left w:val="nil"/>
              <w:bottom w:val="nil"/>
              <w:right w:val="single" w:sz="8" w:space="0" w:color="auto"/>
            </w:tcBorders>
            <w:shd w:val="clear" w:color="auto" w:fill="auto"/>
            <w:vAlign w:val="center"/>
            <w:hideMark/>
          </w:tcPr>
          <w:p w14:paraId="1183E2FE" w14:textId="77777777" w:rsidR="00B35BDF" w:rsidRPr="00B35BDF" w:rsidRDefault="00B35BDF" w:rsidP="0015273C">
            <w:pPr>
              <w:spacing w:after="0" w:line="240" w:lineRule="auto"/>
              <w:jc w:val="center"/>
              <w:rPr>
                <w:rFonts w:ascii="Arial Narrow" w:eastAsia="Times New Roman" w:hAnsi="Arial Narrow" w:cs="Arial"/>
                <w:b/>
                <w:bCs/>
                <w:sz w:val="16"/>
                <w:szCs w:val="16"/>
                <w:lang w:eastAsia="pt-BR"/>
              </w:rPr>
            </w:pPr>
            <w:r w:rsidRPr="00B35BDF">
              <w:rPr>
                <w:rFonts w:ascii="Arial Narrow" w:eastAsia="Times New Roman" w:hAnsi="Arial Narrow" w:cs="Arial"/>
                <w:b/>
                <w:bCs/>
                <w:sz w:val="16"/>
                <w:szCs w:val="16"/>
                <w:lang w:eastAsia="pt-BR"/>
              </w:rPr>
              <w:t>ABF.E026</w:t>
            </w:r>
          </w:p>
        </w:tc>
        <w:tc>
          <w:tcPr>
            <w:tcW w:w="1701" w:type="dxa"/>
            <w:tcBorders>
              <w:top w:val="nil"/>
              <w:left w:val="nil"/>
              <w:bottom w:val="nil"/>
              <w:right w:val="single" w:sz="8" w:space="0" w:color="auto"/>
            </w:tcBorders>
            <w:shd w:val="clear" w:color="auto" w:fill="auto"/>
            <w:vAlign w:val="center"/>
            <w:hideMark/>
          </w:tcPr>
          <w:p w14:paraId="0BA7EF96" w14:textId="77777777" w:rsidR="00B35BDF" w:rsidRPr="00B35BDF" w:rsidRDefault="00B35BDF" w:rsidP="0015273C">
            <w:pPr>
              <w:spacing w:after="0" w:line="240" w:lineRule="auto"/>
              <w:jc w:val="center"/>
              <w:rPr>
                <w:rFonts w:ascii="Arial Narrow" w:eastAsia="Times New Roman" w:hAnsi="Arial Narrow" w:cs="Arial"/>
                <w:b/>
                <w:bCs/>
                <w:sz w:val="16"/>
                <w:szCs w:val="16"/>
                <w:lang w:eastAsia="pt-BR"/>
              </w:rPr>
            </w:pPr>
            <w:r w:rsidRPr="00B35BDF">
              <w:rPr>
                <w:rFonts w:ascii="Arial Narrow" w:eastAsia="Times New Roman" w:hAnsi="Arial Narrow" w:cs="Arial"/>
                <w:b/>
                <w:bCs/>
                <w:sz w:val="16"/>
                <w:szCs w:val="16"/>
                <w:lang w:eastAsia="pt-BR"/>
              </w:rPr>
              <w:t>ABF.F026</w:t>
            </w:r>
          </w:p>
        </w:tc>
        <w:tc>
          <w:tcPr>
            <w:tcW w:w="1418" w:type="dxa"/>
            <w:tcBorders>
              <w:top w:val="nil"/>
              <w:left w:val="nil"/>
              <w:bottom w:val="nil"/>
              <w:right w:val="single" w:sz="8" w:space="0" w:color="auto"/>
            </w:tcBorders>
            <w:shd w:val="clear" w:color="auto" w:fill="auto"/>
            <w:vAlign w:val="center"/>
            <w:hideMark/>
          </w:tcPr>
          <w:p w14:paraId="449F01A4" w14:textId="77777777" w:rsidR="00B35BDF" w:rsidRPr="00B35BDF" w:rsidRDefault="00B35BDF" w:rsidP="0015273C">
            <w:pPr>
              <w:spacing w:after="0" w:line="240" w:lineRule="auto"/>
              <w:jc w:val="center"/>
              <w:rPr>
                <w:rFonts w:ascii="Arial Narrow" w:eastAsia="Times New Roman" w:hAnsi="Arial Narrow" w:cs="Arial"/>
                <w:b/>
                <w:bCs/>
                <w:sz w:val="16"/>
                <w:szCs w:val="16"/>
                <w:lang w:eastAsia="pt-BR"/>
              </w:rPr>
            </w:pPr>
            <w:r w:rsidRPr="00B35BDF">
              <w:rPr>
                <w:rFonts w:ascii="Arial Narrow" w:eastAsia="Times New Roman" w:hAnsi="Arial Narrow" w:cs="Arial"/>
                <w:b/>
                <w:bCs/>
                <w:sz w:val="16"/>
                <w:szCs w:val="16"/>
                <w:lang w:eastAsia="pt-BR"/>
              </w:rPr>
              <w:t>ABF.G026</w:t>
            </w:r>
          </w:p>
        </w:tc>
      </w:tr>
      <w:tr w:rsidR="00B35BDF" w:rsidRPr="00B35BDF" w14:paraId="57B73E0C" w14:textId="77777777" w:rsidTr="0015273C">
        <w:trPr>
          <w:trHeight w:val="255"/>
        </w:trPr>
        <w:tc>
          <w:tcPr>
            <w:tcW w:w="4977" w:type="dxa"/>
            <w:tcBorders>
              <w:top w:val="nil"/>
              <w:left w:val="single" w:sz="8" w:space="0" w:color="auto"/>
              <w:bottom w:val="nil"/>
              <w:right w:val="single" w:sz="8" w:space="0" w:color="auto"/>
            </w:tcBorders>
            <w:shd w:val="clear" w:color="auto" w:fill="auto"/>
            <w:noWrap/>
            <w:vAlign w:val="center"/>
          </w:tcPr>
          <w:p w14:paraId="0BE5209D" w14:textId="77777777" w:rsidR="00B35BDF" w:rsidRPr="00B35BDF" w:rsidRDefault="00B35BDF" w:rsidP="0015273C">
            <w:pPr>
              <w:spacing w:after="0" w:line="240" w:lineRule="auto"/>
              <w:ind w:firstLineChars="231" w:firstLine="370"/>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211 – Receita de Impostos e Transferência de Impostos - Saúde</w:t>
            </w:r>
          </w:p>
        </w:tc>
        <w:tc>
          <w:tcPr>
            <w:tcW w:w="1275" w:type="dxa"/>
            <w:tcBorders>
              <w:top w:val="nil"/>
              <w:left w:val="nil"/>
              <w:bottom w:val="nil"/>
              <w:right w:val="single" w:sz="8" w:space="0" w:color="auto"/>
            </w:tcBorders>
            <w:shd w:val="clear" w:color="auto" w:fill="auto"/>
            <w:vAlign w:val="center"/>
          </w:tcPr>
          <w:p w14:paraId="7020D244"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ABF.B065</w:t>
            </w:r>
          </w:p>
        </w:tc>
        <w:tc>
          <w:tcPr>
            <w:tcW w:w="1560" w:type="dxa"/>
            <w:tcBorders>
              <w:top w:val="nil"/>
              <w:left w:val="nil"/>
              <w:bottom w:val="nil"/>
              <w:right w:val="single" w:sz="8" w:space="0" w:color="auto"/>
            </w:tcBorders>
            <w:shd w:val="clear" w:color="auto" w:fill="auto"/>
            <w:vAlign w:val="center"/>
          </w:tcPr>
          <w:p w14:paraId="362F737D"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ABF.C065</w:t>
            </w:r>
          </w:p>
        </w:tc>
        <w:tc>
          <w:tcPr>
            <w:tcW w:w="1275" w:type="dxa"/>
            <w:tcBorders>
              <w:top w:val="nil"/>
              <w:left w:val="nil"/>
              <w:bottom w:val="nil"/>
              <w:right w:val="single" w:sz="8" w:space="0" w:color="auto"/>
            </w:tcBorders>
            <w:shd w:val="clear" w:color="auto" w:fill="auto"/>
            <w:vAlign w:val="center"/>
          </w:tcPr>
          <w:p w14:paraId="556E54C1"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ABF.D065</w:t>
            </w:r>
          </w:p>
        </w:tc>
        <w:tc>
          <w:tcPr>
            <w:tcW w:w="1276" w:type="dxa"/>
            <w:tcBorders>
              <w:top w:val="nil"/>
              <w:left w:val="nil"/>
              <w:bottom w:val="nil"/>
              <w:right w:val="single" w:sz="8" w:space="0" w:color="auto"/>
            </w:tcBorders>
            <w:shd w:val="clear" w:color="auto" w:fill="auto"/>
            <w:vAlign w:val="center"/>
          </w:tcPr>
          <w:p w14:paraId="04B661DC"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ABF.E065</w:t>
            </w:r>
          </w:p>
        </w:tc>
        <w:tc>
          <w:tcPr>
            <w:tcW w:w="1701" w:type="dxa"/>
            <w:tcBorders>
              <w:top w:val="nil"/>
              <w:left w:val="nil"/>
              <w:bottom w:val="nil"/>
              <w:right w:val="single" w:sz="8" w:space="0" w:color="auto"/>
            </w:tcBorders>
            <w:shd w:val="clear" w:color="auto" w:fill="auto"/>
            <w:vAlign w:val="center"/>
          </w:tcPr>
          <w:p w14:paraId="63D4DE0E"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ABF.F065</w:t>
            </w:r>
          </w:p>
        </w:tc>
        <w:tc>
          <w:tcPr>
            <w:tcW w:w="1418" w:type="dxa"/>
            <w:tcBorders>
              <w:top w:val="nil"/>
              <w:left w:val="nil"/>
              <w:bottom w:val="nil"/>
              <w:right w:val="single" w:sz="8" w:space="0" w:color="auto"/>
            </w:tcBorders>
            <w:shd w:val="clear" w:color="auto" w:fill="auto"/>
            <w:vAlign w:val="center"/>
          </w:tcPr>
          <w:p w14:paraId="7857B492"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ABF.G065</w:t>
            </w:r>
          </w:p>
        </w:tc>
      </w:tr>
      <w:tr w:rsidR="00B35BDF" w:rsidRPr="00B35BDF" w14:paraId="778120BF" w14:textId="77777777" w:rsidTr="0015273C">
        <w:trPr>
          <w:trHeight w:val="255"/>
        </w:trPr>
        <w:tc>
          <w:tcPr>
            <w:tcW w:w="4977" w:type="dxa"/>
            <w:tcBorders>
              <w:top w:val="nil"/>
              <w:left w:val="single" w:sz="8" w:space="0" w:color="auto"/>
              <w:bottom w:val="nil"/>
              <w:right w:val="single" w:sz="8" w:space="0" w:color="auto"/>
            </w:tcBorders>
            <w:shd w:val="clear" w:color="auto" w:fill="auto"/>
            <w:noWrap/>
            <w:vAlign w:val="center"/>
          </w:tcPr>
          <w:p w14:paraId="2BD439B0" w14:textId="77777777" w:rsidR="00B35BDF" w:rsidRPr="00B35BDF" w:rsidRDefault="00B35BDF" w:rsidP="0015273C">
            <w:pPr>
              <w:spacing w:after="0" w:line="240" w:lineRule="auto"/>
              <w:ind w:firstLineChars="231" w:firstLine="370"/>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 xml:space="preserve">240 - Royalties do Petróleo vinculados à Saúde </w:t>
            </w:r>
          </w:p>
        </w:tc>
        <w:tc>
          <w:tcPr>
            <w:tcW w:w="1275" w:type="dxa"/>
            <w:tcBorders>
              <w:top w:val="nil"/>
              <w:left w:val="nil"/>
              <w:bottom w:val="nil"/>
              <w:right w:val="single" w:sz="8" w:space="0" w:color="auto"/>
            </w:tcBorders>
            <w:shd w:val="clear" w:color="auto" w:fill="auto"/>
            <w:vAlign w:val="center"/>
          </w:tcPr>
          <w:p w14:paraId="07B5DAED"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ABF.B070</w:t>
            </w:r>
          </w:p>
        </w:tc>
        <w:tc>
          <w:tcPr>
            <w:tcW w:w="1560" w:type="dxa"/>
            <w:tcBorders>
              <w:top w:val="nil"/>
              <w:left w:val="nil"/>
              <w:bottom w:val="nil"/>
              <w:right w:val="single" w:sz="8" w:space="0" w:color="auto"/>
            </w:tcBorders>
            <w:shd w:val="clear" w:color="auto" w:fill="auto"/>
            <w:vAlign w:val="center"/>
          </w:tcPr>
          <w:p w14:paraId="669C5C3C"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ABF.C070</w:t>
            </w:r>
          </w:p>
        </w:tc>
        <w:tc>
          <w:tcPr>
            <w:tcW w:w="1275" w:type="dxa"/>
            <w:tcBorders>
              <w:top w:val="nil"/>
              <w:left w:val="nil"/>
              <w:bottom w:val="nil"/>
              <w:right w:val="single" w:sz="8" w:space="0" w:color="auto"/>
            </w:tcBorders>
            <w:shd w:val="clear" w:color="auto" w:fill="auto"/>
            <w:vAlign w:val="center"/>
          </w:tcPr>
          <w:p w14:paraId="178B5519"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ABF.D070</w:t>
            </w:r>
          </w:p>
        </w:tc>
        <w:tc>
          <w:tcPr>
            <w:tcW w:w="1276" w:type="dxa"/>
            <w:tcBorders>
              <w:top w:val="nil"/>
              <w:left w:val="nil"/>
              <w:bottom w:val="nil"/>
              <w:right w:val="single" w:sz="8" w:space="0" w:color="auto"/>
            </w:tcBorders>
            <w:shd w:val="clear" w:color="auto" w:fill="auto"/>
            <w:vAlign w:val="center"/>
          </w:tcPr>
          <w:p w14:paraId="574C57C1"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ABF.E070</w:t>
            </w:r>
          </w:p>
        </w:tc>
        <w:tc>
          <w:tcPr>
            <w:tcW w:w="1701" w:type="dxa"/>
            <w:tcBorders>
              <w:top w:val="nil"/>
              <w:left w:val="nil"/>
              <w:bottom w:val="nil"/>
              <w:right w:val="single" w:sz="8" w:space="0" w:color="auto"/>
            </w:tcBorders>
            <w:shd w:val="clear" w:color="auto" w:fill="auto"/>
            <w:vAlign w:val="center"/>
          </w:tcPr>
          <w:p w14:paraId="26CF5F61"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ABF.F070</w:t>
            </w:r>
          </w:p>
        </w:tc>
        <w:tc>
          <w:tcPr>
            <w:tcW w:w="1418" w:type="dxa"/>
            <w:tcBorders>
              <w:top w:val="nil"/>
              <w:left w:val="nil"/>
              <w:bottom w:val="nil"/>
              <w:right w:val="single" w:sz="8" w:space="0" w:color="auto"/>
            </w:tcBorders>
            <w:shd w:val="clear" w:color="auto" w:fill="auto"/>
            <w:vAlign w:val="center"/>
          </w:tcPr>
          <w:p w14:paraId="7C8AE506"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ABF.G070</w:t>
            </w:r>
          </w:p>
        </w:tc>
      </w:tr>
      <w:tr w:rsidR="00B35BDF" w:rsidRPr="00B35BDF" w14:paraId="5B38DEB4" w14:textId="77777777" w:rsidTr="0015273C">
        <w:trPr>
          <w:trHeight w:val="255"/>
        </w:trPr>
        <w:tc>
          <w:tcPr>
            <w:tcW w:w="4977" w:type="dxa"/>
            <w:tcBorders>
              <w:top w:val="nil"/>
              <w:left w:val="single" w:sz="8" w:space="0" w:color="auto"/>
              <w:bottom w:val="nil"/>
              <w:right w:val="single" w:sz="8" w:space="0" w:color="auto"/>
            </w:tcBorders>
            <w:shd w:val="clear" w:color="auto" w:fill="auto"/>
            <w:noWrap/>
            <w:vAlign w:val="center"/>
          </w:tcPr>
          <w:p w14:paraId="2FD22C1C" w14:textId="77777777" w:rsidR="00B35BDF" w:rsidRPr="00B35BDF" w:rsidRDefault="00B35BDF" w:rsidP="0015273C">
            <w:pPr>
              <w:spacing w:after="0" w:line="240" w:lineRule="auto"/>
              <w:ind w:left="371"/>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214 - Transf. Fundo a Fundo Recursos do SUS provenientes do Governo Federal (Bloco de Custeio das Ações e Serv. Públicos de Saúde)</w:t>
            </w:r>
          </w:p>
        </w:tc>
        <w:tc>
          <w:tcPr>
            <w:tcW w:w="1275" w:type="dxa"/>
            <w:tcBorders>
              <w:top w:val="nil"/>
              <w:left w:val="nil"/>
              <w:bottom w:val="nil"/>
              <w:right w:val="single" w:sz="8" w:space="0" w:color="auto"/>
            </w:tcBorders>
            <w:shd w:val="clear" w:color="auto" w:fill="auto"/>
            <w:vAlign w:val="center"/>
          </w:tcPr>
          <w:p w14:paraId="2CF2F73A"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ABF.B071</w:t>
            </w:r>
          </w:p>
        </w:tc>
        <w:tc>
          <w:tcPr>
            <w:tcW w:w="1560" w:type="dxa"/>
            <w:tcBorders>
              <w:top w:val="nil"/>
              <w:left w:val="nil"/>
              <w:bottom w:val="nil"/>
              <w:right w:val="single" w:sz="8" w:space="0" w:color="auto"/>
            </w:tcBorders>
            <w:shd w:val="clear" w:color="auto" w:fill="auto"/>
            <w:vAlign w:val="center"/>
          </w:tcPr>
          <w:p w14:paraId="000349BC"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ABF.C071</w:t>
            </w:r>
          </w:p>
        </w:tc>
        <w:tc>
          <w:tcPr>
            <w:tcW w:w="1275" w:type="dxa"/>
            <w:tcBorders>
              <w:top w:val="nil"/>
              <w:left w:val="nil"/>
              <w:bottom w:val="nil"/>
              <w:right w:val="single" w:sz="8" w:space="0" w:color="auto"/>
            </w:tcBorders>
            <w:shd w:val="clear" w:color="auto" w:fill="auto"/>
            <w:vAlign w:val="center"/>
          </w:tcPr>
          <w:p w14:paraId="193066B9"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ABF.D071</w:t>
            </w:r>
          </w:p>
        </w:tc>
        <w:tc>
          <w:tcPr>
            <w:tcW w:w="1276" w:type="dxa"/>
            <w:tcBorders>
              <w:top w:val="nil"/>
              <w:left w:val="nil"/>
              <w:bottom w:val="nil"/>
              <w:right w:val="single" w:sz="8" w:space="0" w:color="auto"/>
            </w:tcBorders>
            <w:shd w:val="clear" w:color="auto" w:fill="auto"/>
            <w:vAlign w:val="center"/>
          </w:tcPr>
          <w:p w14:paraId="70E18E3D"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ABF.E071</w:t>
            </w:r>
          </w:p>
        </w:tc>
        <w:tc>
          <w:tcPr>
            <w:tcW w:w="1701" w:type="dxa"/>
            <w:tcBorders>
              <w:top w:val="nil"/>
              <w:left w:val="nil"/>
              <w:bottom w:val="nil"/>
              <w:right w:val="single" w:sz="8" w:space="0" w:color="auto"/>
            </w:tcBorders>
            <w:shd w:val="clear" w:color="auto" w:fill="auto"/>
            <w:vAlign w:val="center"/>
          </w:tcPr>
          <w:p w14:paraId="181AA952"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ABF.F071</w:t>
            </w:r>
          </w:p>
        </w:tc>
        <w:tc>
          <w:tcPr>
            <w:tcW w:w="1418" w:type="dxa"/>
            <w:tcBorders>
              <w:top w:val="nil"/>
              <w:left w:val="nil"/>
              <w:bottom w:val="nil"/>
              <w:right w:val="single" w:sz="8" w:space="0" w:color="auto"/>
            </w:tcBorders>
            <w:shd w:val="clear" w:color="auto" w:fill="auto"/>
            <w:vAlign w:val="center"/>
          </w:tcPr>
          <w:p w14:paraId="51DE60EA"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ABF.G071</w:t>
            </w:r>
          </w:p>
        </w:tc>
      </w:tr>
      <w:tr w:rsidR="00B35BDF" w:rsidRPr="00B35BDF" w14:paraId="2ACD9929" w14:textId="77777777" w:rsidTr="0015273C">
        <w:trPr>
          <w:trHeight w:val="255"/>
        </w:trPr>
        <w:tc>
          <w:tcPr>
            <w:tcW w:w="4977" w:type="dxa"/>
            <w:tcBorders>
              <w:top w:val="nil"/>
              <w:left w:val="single" w:sz="8" w:space="0" w:color="auto"/>
              <w:bottom w:val="nil"/>
              <w:right w:val="single" w:sz="8" w:space="0" w:color="auto"/>
            </w:tcBorders>
            <w:shd w:val="clear" w:color="auto" w:fill="auto"/>
            <w:noWrap/>
            <w:vAlign w:val="center"/>
          </w:tcPr>
          <w:p w14:paraId="2FC4763C" w14:textId="77777777" w:rsidR="00B35BDF" w:rsidRPr="00B35BDF" w:rsidRDefault="00B35BDF" w:rsidP="0015273C">
            <w:pPr>
              <w:spacing w:after="0" w:line="240" w:lineRule="auto"/>
              <w:ind w:left="371"/>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215 - Transf. Fundo a Fundo Recursos do SUS provenientes do Governo Federal (Bloco de Invest. na Rede de Serv. Púb. de Saúde)</w:t>
            </w:r>
          </w:p>
        </w:tc>
        <w:tc>
          <w:tcPr>
            <w:tcW w:w="1275" w:type="dxa"/>
            <w:tcBorders>
              <w:top w:val="nil"/>
              <w:left w:val="nil"/>
              <w:bottom w:val="nil"/>
              <w:right w:val="single" w:sz="8" w:space="0" w:color="auto"/>
            </w:tcBorders>
            <w:shd w:val="clear" w:color="auto" w:fill="auto"/>
            <w:vAlign w:val="center"/>
          </w:tcPr>
          <w:p w14:paraId="1EF8A348"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ABF.B072</w:t>
            </w:r>
          </w:p>
        </w:tc>
        <w:tc>
          <w:tcPr>
            <w:tcW w:w="1560" w:type="dxa"/>
            <w:tcBorders>
              <w:top w:val="nil"/>
              <w:left w:val="nil"/>
              <w:bottom w:val="nil"/>
              <w:right w:val="single" w:sz="8" w:space="0" w:color="auto"/>
            </w:tcBorders>
            <w:shd w:val="clear" w:color="auto" w:fill="auto"/>
            <w:vAlign w:val="center"/>
          </w:tcPr>
          <w:p w14:paraId="439CBF92"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ABF.C072</w:t>
            </w:r>
          </w:p>
        </w:tc>
        <w:tc>
          <w:tcPr>
            <w:tcW w:w="1275" w:type="dxa"/>
            <w:tcBorders>
              <w:top w:val="nil"/>
              <w:left w:val="nil"/>
              <w:bottom w:val="nil"/>
              <w:right w:val="single" w:sz="8" w:space="0" w:color="auto"/>
            </w:tcBorders>
            <w:shd w:val="clear" w:color="auto" w:fill="auto"/>
            <w:vAlign w:val="center"/>
          </w:tcPr>
          <w:p w14:paraId="6F6E29A4"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ABF.D072</w:t>
            </w:r>
          </w:p>
        </w:tc>
        <w:tc>
          <w:tcPr>
            <w:tcW w:w="1276" w:type="dxa"/>
            <w:tcBorders>
              <w:top w:val="nil"/>
              <w:left w:val="nil"/>
              <w:bottom w:val="nil"/>
              <w:right w:val="single" w:sz="8" w:space="0" w:color="auto"/>
            </w:tcBorders>
            <w:shd w:val="clear" w:color="auto" w:fill="auto"/>
            <w:vAlign w:val="center"/>
          </w:tcPr>
          <w:p w14:paraId="70405E1A"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ABF.E072</w:t>
            </w:r>
          </w:p>
        </w:tc>
        <w:tc>
          <w:tcPr>
            <w:tcW w:w="1701" w:type="dxa"/>
            <w:tcBorders>
              <w:top w:val="nil"/>
              <w:left w:val="nil"/>
              <w:bottom w:val="nil"/>
              <w:right w:val="single" w:sz="8" w:space="0" w:color="auto"/>
            </w:tcBorders>
            <w:shd w:val="clear" w:color="auto" w:fill="auto"/>
            <w:vAlign w:val="center"/>
          </w:tcPr>
          <w:p w14:paraId="70671071"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ABF.F072</w:t>
            </w:r>
          </w:p>
        </w:tc>
        <w:tc>
          <w:tcPr>
            <w:tcW w:w="1418" w:type="dxa"/>
            <w:tcBorders>
              <w:top w:val="nil"/>
              <w:left w:val="nil"/>
              <w:bottom w:val="nil"/>
              <w:right w:val="single" w:sz="8" w:space="0" w:color="auto"/>
            </w:tcBorders>
            <w:shd w:val="clear" w:color="auto" w:fill="auto"/>
            <w:vAlign w:val="center"/>
          </w:tcPr>
          <w:p w14:paraId="3CEEA8C6"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ABF.G072</w:t>
            </w:r>
          </w:p>
        </w:tc>
      </w:tr>
      <w:tr w:rsidR="00B35BDF" w:rsidRPr="00B35BDF" w14:paraId="64949696" w14:textId="77777777" w:rsidTr="0015273C">
        <w:trPr>
          <w:trHeight w:val="255"/>
        </w:trPr>
        <w:tc>
          <w:tcPr>
            <w:tcW w:w="4977" w:type="dxa"/>
            <w:tcBorders>
              <w:top w:val="nil"/>
              <w:left w:val="single" w:sz="8" w:space="0" w:color="auto"/>
              <w:bottom w:val="nil"/>
              <w:right w:val="single" w:sz="8" w:space="0" w:color="auto"/>
            </w:tcBorders>
            <w:shd w:val="clear" w:color="auto" w:fill="auto"/>
            <w:noWrap/>
            <w:vAlign w:val="center"/>
            <w:hideMark/>
          </w:tcPr>
          <w:p w14:paraId="2C797C95" w14:textId="77777777" w:rsidR="00B35BDF" w:rsidRPr="00B35BDF" w:rsidRDefault="00B35BDF" w:rsidP="0015273C">
            <w:pPr>
              <w:spacing w:after="0" w:line="240" w:lineRule="auto"/>
              <w:ind w:left="371"/>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250 – Receita de Impostos e Transferência de Impostos – Saúde - Remuneração de Depósitos Bancários</w:t>
            </w:r>
          </w:p>
        </w:tc>
        <w:tc>
          <w:tcPr>
            <w:tcW w:w="1275" w:type="dxa"/>
            <w:tcBorders>
              <w:top w:val="nil"/>
              <w:left w:val="nil"/>
              <w:bottom w:val="nil"/>
              <w:right w:val="single" w:sz="8" w:space="0" w:color="auto"/>
            </w:tcBorders>
            <w:shd w:val="clear" w:color="auto" w:fill="auto"/>
            <w:vAlign w:val="center"/>
            <w:hideMark/>
          </w:tcPr>
          <w:p w14:paraId="4BAD2CEE"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ABF.B028</w:t>
            </w:r>
          </w:p>
        </w:tc>
        <w:tc>
          <w:tcPr>
            <w:tcW w:w="1560" w:type="dxa"/>
            <w:tcBorders>
              <w:top w:val="nil"/>
              <w:left w:val="nil"/>
              <w:bottom w:val="nil"/>
              <w:right w:val="single" w:sz="8" w:space="0" w:color="auto"/>
            </w:tcBorders>
            <w:shd w:val="clear" w:color="auto" w:fill="auto"/>
            <w:vAlign w:val="center"/>
            <w:hideMark/>
          </w:tcPr>
          <w:p w14:paraId="4DA18745"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ABF.C028</w:t>
            </w:r>
          </w:p>
        </w:tc>
        <w:tc>
          <w:tcPr>
            <w:tcW w:w="1275" w:type="dxa"/>
            <w:tcBorders>
              <w:top w:val="nil"/>
              <w:left w:val="nil"/>
              <w:bottom w:val="nil"/>
              <w:right w:val="single" w:sz="8" w:space="0" w:color="auto"/>
            </w:tcBorders>
            <w:shd w:val="clear" w:color="auto" w:fill="auto"/>
            <w:vAlign w:val="center"/>
            <w:hideMark/>
          </w:tcPr>
          <w:p w14:paraId="48CF2F9E"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ABF.D028</w:t>
            </w:r>
          </w:p>
        </w:tc>
        <w:tc>
          <w:tcPr>
            <w:tcW w:w="1276" w:type="dxa"/>
            <w:tcBorders>
              <w:top w:val="nil"/>
              <w:left w:val="nil"/>
              <w:bottom w:val="nil"/>
              <w:right w:val="single" w:sz="8" w:space="0" w:color="auto"/>
            </w:tcBorders>
            <w:shd w:val="clear" w:color="auto" w:fill="auto"/>
            <w:vAlign w:val="center"/>
            <w:hideMark/>
          </w:tcPr>
          <w:p w14:paraId="4F629A29"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ABF.E028</w:t>
            </w:r>
          </w:p>
        </w:tc>
        <w:tc>
          <w:tcPr>
            <w:tcW w:w="1701" w:type="dxa"/>
            <w:tcBorders>
              <w:top w:val="nil"/>
              <w:left w:val="nil"/>
              <w:bottom w:val="nil"/>
              <w:right w:val="single" w:sz="8" w:space="0" w:color="auto"/>
            </w:tcBorders>
            <w:shd w:val="clear" w:color="auto" w:fill="auto"/>
            <w:vAlign w:val="center"/>
            <w:hideMark/>
          </w:tcPr>
          <w:p w14:paraId="14C107F7"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ABF.F028</w:t>
            </w:r>
          </w:p>
        </w:tc>
        <w:tc>
          <w:tcPr>
            <w:tcW w:w="1418" w:type="dxa"/>
            <w:tcBorders>
              <w:top w:val="nil"/>
              <w:left w:val="nil"/>
              <w:bottom w:val="nil"/>
              <w:right w:val="single" w:sz="8" w:space="0" w:color="auto"/>
            </w:tcBorders>
            <w:shd w:val="clear" w:color="auto" w:fill="auto"/>
            <w:vAlign w:val="center"/>
            <w:hideMark/>
          </w:tcPr>
          <w:p w14:paraId="4C5B45E1"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ABF.G028</w:t>
            </w:r>
          </w:p>
        </w:tc>
      </w:tr>
      <w:tr w:rsidR="00B35BDF" w:rsidRPr="00B35BDF" w14:paraId="501923B8" w14:textId="77777777" w:rsidTr="0015273C">
        <w:trPr>
          <w:trHeight w:val="255"/>
        </w:trPr>
        <w:tc>
          <w:tcPr>
            <w:tcW w:w="4977" w:type="dxa"/>
            <w:tcBorders>
              <w:top w:val="nil"/>
              <w:left w:val="single" w:sz="8" w:space="0" w:color="auto"/>
              <w:bottom w:val="nil"/>
              <w:right w:val="single" w:sz="8" w:space="0" w:color="auto"/>
            </w:tcBorders>
            <w:shd w:val="clear" w:color="auto" w:fill="auto"/>
            <w:noWrap/>
            <w:vAlign w:val="center"/>
          </w:tcPr>
          <w:p w14:paraId="3361EE21" w14:textId="77777777" w:rsidR="00B35BDF" w:rsidRPr="00B35BDF" w:rsidRDefault="00B35BDF" w:rsidP="0015273C">
            <w:pPr>
              <w:spacing w:after="0" w:line="240" w:lineRule="auto"/>
              <w:ind w:left="355"/>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212 – Transf. Fundo a Fundo Recursos do SUS provenientes dos Governos Municipais</w:t>
            </w:r>
          </w:p>
        </w:tc>
        <w:tc>
          <w:tcPr>
            <w:tcW w:w="1275" w:type="dxa"/>
            <w:tcBorders>
              <w:top w:val="nil"/>
              <w:left w:val="nil"/>
              <w:bottom w:val="nil"/>
              <w:right w:val="single" w:sz="8" w:space="0" w:color="auto"/>
            </w:tcBorders>
            <w:shd w:val="clear" w:color="auto" w:fill="auto"/>
            <w:vAlign w:val="center"/>
          </w:tcPr>
          <w:p w14:paraId="4EF94892"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ABF.B080</w:t>
            </w:r>
          </w:p>
        </w:tc>
        <w:tc>
          <w:tcPr>
            <w:tcW w:w="1560" w:type="dxa"/>
            <w:tcBorders>
              <w:top w:val="nil"/>
              <w:left w:val="nil"/>
              <w:bottom w:val="nil"/>
              <w:right w:val="single" w:sz="8" w:space="0" w:color="auto"/>
            </w:tcBorders>
            <w:shd w:val="clear" w:color="auto" w:fill="auto"/>
            <w:vAlign w:val="center"/>
          </w:tcPr>
          <w:p w14:paraId="4C61E80C" w14:textId="77777777" w:rsidR="00B35BDF" w:rsidRPr="00B35BDF" w:rsidRDefault="00B35BDF"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ABF.C080</w:t>
            </w:r>
          </w:p>
        </w:tc>
        <w:tc>
          <w:tcPr>
            <w:tcW w:w="1275" w:type="dxa"/>
            <w:tcBorders>
              <w:top w:val="nil"/>
              <w:left w:val="nil"/>
              <w:bottom w:val="nil"/>
              <w:right w:val="single" w:sz="8" w:space="0" w:color="auto"/>
            </w:tcBorders>
            <w:shd w:val="clear" w:color="auto" w:fill="auto"/>
            <w:vAlign w:val="center"/>
          </w:tcPr>
          <w:p w14:paraId="630FFA7C" w14:textId="77777777" w:rsidR="00B35BDF" w:rsidRPr="00B35BDF" w:rsidRDefault="00B35BDF"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ABF.D080</w:t>
            </w:r>
          </w:p>
        </w:tc>
        <w:tc>
          <w:tcPr>
            <w:tcW w:w="1276" w:type="dxa"/>
            <w:tcBorders>
              <w:top w:val="nil"/>
              <w:left w:val="nil"/>
              <w:bottom w:val="nil"/>
              <w:right w:val="single" w:sz="8" w:space="0" w:color="auto"/>
            </w:tcBorders>
            <w:shd w:val="clear" w:color="auto" w:fill="auto"/>
            <w:vAlign w:val="center"/>
          </w:tcPr>
          <w:p w14:paraId="770956FD" w14:textId="77777777" w:rsidR="00B35BDF" w:rsidRPr="00B35BDF" w:rsidRDefault="00B35BDF"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ABF.E080</w:t>
            </w:r>
          </w:p>
        </w:tc>
        <w:tc>
          <w:tcPr>
            <w:tcW w:w="1701" w:type="dxa"/>
            <w:tcBorders>
              <w:top w:val="nil"/>
              <w:left w:val="nil"/>
              <w:bottom w:val="nil"/>
              <w:right w:val="single" w:sz="8" w:space="0" w:color="auto"/>
            </w:tcBorders>
            <w:shd w:val="clear" w:color="auto" w:fill="auto"/>
            <w:vAlign w:val="center"/>
          </w:tcPr>
          <w:p w14:paraId="3C5B0FFC" w14:textId="77777777" w:rsidR="00B35BDF" w:rsidRPr="00B35BDF" w:rsidRDefault="00B35BDF"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ABF.F080</w:t>
            </w:r>
          </w:p>
        </w:tc>
        <w:tc>
          <w:tcPr>
            <w:tcW w:w="1418" w:type="dxa"/>
            <w:tcBorders>
              <w:top w:val="nil"/>
              <w:left w:val="nil"/>
              <w:bottom w:val="nil"/>
              <w:right w:val="single" w:sz="8" w:space="0" w:color="auto"/>
            </w:tcBorders>
            <w:shd w:val="clear" w:color="auto" w:fill="auto"/>
            <w:vAlign w:val="center"/>
          </w:tcPr>
          <w:p w14:paraId="0C811BEE" w14:textId="77777777" w:rsidR="00B35BDF" w:rsidRPr="00B35BDF" w:rsidRDefault="00B35BDF"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ABF.G080</w:t>
            </w:r>
          </w:p>
        </w:tc>
      </w:tr>
      <w:tr w:rsidR="00B35BDF" w:rsidRPr="00B35BDF" w14:paraId="1764A41F" w14:textId="77777777" w:rsidTr="0015273C">
        <w:trPr>
          <w:trHeight w:val="255"/>
        </w:trPr>
        <w:tc>
          <w:tcPr>
            <w:tcW w:w="4977" w:type="dxa"/>
            <w:tcBorders>
              <w:top w:val="nil"/>
              <w:left w:val="single" w:sz="8" w:space="0" w:color="auto"/>
              <w:bottom w:val="nil"/>
              <w:right w:val="single" w:sz="8" w:space="0" w:color="auto"/>
            </w:tcBorders>
            <w:shd w:val="clear" w:color="auto" w:fill="auto"/>
            <w:noWrap/>
            <w:vAlign w:val="center"/>
          </w:tcPr>
          <w:p w14:paraId="6F7C34C4" w14:textId="77777777" w:rsidR="00B35BDF" w:rsidRPr="00B35BDF" w:rsidRDefault="00B35BDF" w:rsidP="0015273C">
            <w:pPr>
              <w:spacing w:after="0" w:line="240" w:lineRule="auto"/>
              <w:ind w:left="355"/>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213 – Transf. Fundo a Fundo Recursos do SUS provenientes do Governo Estadual</w:t>
            </w:r>
          </w:p>
        </w:tc>
        <w:tc>
          <w:tcPr>
            <w:tcW w:w="1275" w:type="dxa"/>
            <w:tcBorders>
              <w:top w:val="nil"/>
              <w:left w:val="nil"/>
              <w:bottom w:val="nil"/>
              <w:right w:val="single" w:sz="8" w:space="0" w:color="auto"/>
            </w:tcBorders>
            <w:shd w:val="clear" w:color="auto" w:fill="auto"/>
            <w:vAlign w:val="center"/>
          </w:tcPr>
          <w:p w14:paraId="0B0124C3" w14:textId="77777777" w:rsidR="00B35BDF" w:rsidRPr="00B35BDF" w:rsidRDefault="00B35BDF"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ABF.B081</w:t>
            </w:r>
          </w:p>
        </w:tc>
        <w:tc>
          <w:tcPr>
            <w:tcW w:w="1560" w:type="dxa"/>
            <w:tcBorders>
              <w:top w:val="nil"/>
              <w:left w:val="nil"/>
              <w:bottom w:val="nil"/>
              <w:right w:val="single" w:sz="8" w:space="0" w:color="auto"/>
            </w:tcBorders>
            <w:shd w:val="clear" w:color="auto" w:fill="auto"/>
            <w:vAlign w:val="center"/>
          </w:tcPr>
          <w:p w14:paraId="45EC137F" w14:textId="77777777" w:rsidR="00B35BDF" w:rsidRPr="00B35BDF" w:rsidRDefault="00B35BDF"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ABF.C081</w:t>
            </w:r>
          </w:p>
        </w:tc>
        <w:tc>
          <w:tcPr>
            <w:tcW w:w="1275" w:type="dxa"/>
            <w:tcBorders>
              <w:top w:val="nil"/>
              <w:left w:val="nil"/>
              <w:bottom w:val="nil"/>
              <w:right w:val="single" w:sz="8" w:space="0" w:color="auto"/>
            </w:tcBorders>
            <w:shd w:val="clear" w:color="auto" w:fill="auto"/>
            <w:vAlign w:val="center"/>
          </w:tcPr>
          <w:p w14:paraId="0CB4D3FE" w14:textId="77777777" w:rsidR="00B35BDF" w:rsidRPr="00B35BDF" w:rsidRDefault="00B35BDF"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ABF.D081</w:t>
            </w:r>
          </w:p>
        </w:tc>
        <w:tc>
          <w:tcPr>
            <w:tcW w:w="1276" w:type="dxa"/>
            <w:tcBorders>
              <w:top w:val="nil"/>
              <w:left w:val="nil"/>
              <w:bottom w:val="nil"/>
              <w:right w:val="single" w:sz="8" w:space="0" w:color="auto"/>
            </w:tcBorders>
            <w:shd w:val="clear" w:color="auto" w:fill="auto"/>
            <w:vAlign w:val="center"/>
          </w:tcPr>
          <w:p w14:paraId="10357D7C" w14:textId="77777777" w:rsidR="00B35BDF" w:rsidRPr="00B35BDF" w:rsidRDefault="00B35BDF"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ABF.E081</w:t>
            </w:r>
          </w:p>
        </w:tc>
        <w:tc>
          <w:tcPr>
            <w:tcW w:w="1701" w:type="dxa"/>
            <w:tcBorders>
              <w:top w:val="nil"/>
              <w:left w:val="nil"/>
              <w:bottom w:val="nil"/>
              <w:right w:val="single" w:sz="8" w:space="0" w:color="auto"/>
            </w:tcBorders>
            <w:shd w:val="clear" w:color="auto" w:fill="auto"/>
            <w:vAlign w:val="center"/>
          </w:tcPr>
          <w:p w14:paraId="6F1BB916" w14:textId="77777777" w:rsidR="00B35BDF" w:rsidRPr="00B35BDF" w:rsidRDefault="00B35BDF"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ABF.F081</w:t>
            </w:r>
          </w:p>
        </w:tc>
        <w:tc>
          <w:tcPr>
            <w:tcW w:w="1418" w:type="dxa"/>
            <w:tcBorders>
              <w:top w:val="nil"/>
              <w:left w:val="nil"/>
              <w:bottom w:val="nil"/>
              <w:right w:val="single" w:sz="8" w:space="0" w:color="auto"/>
            </w:tcBorders>
            <w:shd w:val="clear" w:color="auto" w:fill="auto"/>
            <w:vAlign w:val="center"/>
          </w:tcPr>
          <w:p w14:paraId="1598864B" w14:textId="77777777" w:rsidR="00B35BDF" w:rsidRPr="00B35BDF" w:rsidRDefault="00B35BDF"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ABF.G081</w:t>
            </w:r>
          </w:p>
        </w:tc>
      </w:tr>
      <w:tr w:rsidR="00B35BDF" w:rsidRPr="00B35BDF" w14:paraId="79B05036" w14:textId="77777777" w:rsidTr="0015273C">
        <w:trPr>
          <w:trHeight w:val="255"/>
        </w:trPr>
        <w:tc>
          <w:tcPr>
            <w:tcW w:w="4977" w:type="dxa"/>
            <w:tcBorders>
              <w:top w:val="nil"/>
              <w:left w:val="single" w:sz="8" w:space="0" w:color="auto"/>
              <w:bottom w:val="nil"/>
              <w:right w:val="single" w:sz="8" w:space="0" w:color="auto"/>
            </w:tcBorders>
            <w:shd w:val="clear" w:color="auto" w:fill="auto"/>
            <w:noWrap/>
            <w:vAlign w:val="center"/>
            <w:hideMark/>
          </w:tcPr>
          <w:p w14:paraId="0AF8E792" w14:textId="77777777" w:rsidR="00B35BDF" w:rsidRPr="00B35BDF" w:rsidRDefault="00B35BDF" w:rsidP="0015273C">
            <w:pPr>
              <w:spacing w:after="0" w:line="240" w:lineRule="auto"/>
              <w:ind w:firstLineChars="231" w:firstLine="370"/>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220 – Transferências de Convênios vinculados à Saúde</w:t>
            </w:r>
          </w:p>
        </w:tc>
        <w:tc>
          <w:tcPr>
            <w:tcW w:w="1275" w:type="dxa"/>
            <w:tcBorders>
              <w:top w:val="nil"/>
              <w:left w:val="nil"/>
              <w:bottom w:val="nil"/>
              <w:right w:val="single" w:sz="8" w:space="0" w:color="auto"/>
            </w:tcBorders>
            <w:shd w:val="clear" w:color="auto" w:fill="auto"/>
            <w:vAlign w:val="center"/>
            <w:hideMark/>
          </w:tcPr>
          <w:p w14:paraId="09D88942"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ABF.B030</w:t>
            </w:r>
          </w:p>
        </w:tc>
        <w:tc>
          <w:tcPr>
            <w:tcW w:w="1560" w:type="dxa"/>
            <w:tcBorders>
              <w:top w:val="nil"/>
              <w:left w:val="nil"/>
              <w:bottom w:val="nil"/>
              <w:right w:val="single" w:sz="8" w:space="0" w:color="auto"/>
            </w:tcBorders>
            <w:shd w:val="clear" w:color="auto" w:fill="auto"/>
            <w:vAlign w:val="center"/>
            <w:hideMark/>
          </w:tcPr>
          <w:p w14:paraId="53166BD0"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ABF.C030</w:t>
            </w:r>
          </w:p>
        </w:tc>
        <w:tc>
          <w:tcPr>
            <w:tcW w:w="1275" w:type="dxa"/>
            <w:tcBorders>
              <w:top w:val="nil"/>
              <w:left w:val="nil"/>
              <w:bottom w:val="nil"/>
              <w:right w:val="single" w:sz="8" w:space="0" w:color="auto"/>
            </w:tcBorders>
            <w:shd w:val="clear" w:color="auto" w:fill="auto"/>
            <w:vAlign w:val="center"/>
            <w:hideMark/>
          </w:tcPr>
          <w:p w14:paraId="1E32E54E"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ABF.D030</w:t>
            </w:r>
          </w:p>
        </w:tc>
        <w:tc>
          <w:tcPr>
            <w:tcW w:w="1276" w:type="dxa"/>
            <w:tcBorders>
              <w:top w:val="nil"/>
              <w:left w:val="nil"/>
              <w:bottom w:val="nil"/>
              <w:right w:val="single" w:sz="8" w:space="0" w:color="auto"/>
            </w:tcBorders>
            <w:shd w:val="clear" w:color="auto" w:fill="auto"/>
            <w:vAlign w:val="center"/>
            <w:hideMark/>
          </w:tcPr>
          <w:p w14:paraId="2193938A"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ABF.E030</w:t>
            </w:r>
          </w:p>
        </w:tc>
        <w:tc>
          <w:tcPr>
            <w:tcW w:w="1701" w:type="dxa"/>
            <w:tcBorders>
              <w:top w:val="nil"/>
              <w:left w:val="nil"/>
              <w:bottom w:val="nil"/>
              <w:right w:val="single" w:sz="8" w:space="0" w:color="auto"/>
            </w:tcBorders>
            <w:shd w:val="clear" w:color="auto" w:fill="auto"/>
            <w:vAlign w:val="center"/>
            <w:hideMark/>
          </w:tcPr>
          <w:p w14:paraId="358FE36F"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ABF.F030</w:t>
            </w:r>
          </w:p>
        </w:tc>
        <w:tc>
          <w:tcPr>
            <w:tcW w:w="1418" w:type="dxa"/>
            <w:tcBorders>
              <w:top w:val="nil"/>
              <w:left w:val="nil"/>
              <w:bottom w:val="nil"/>
              <w:right w:val="single" w:sz="8" w:space="0" w:color="auto"/>
            </w:tcBorders>
            <w:shd w:val="clear" w:color="auto" w:fill="auto"/>
            <w:vAlign w:val="center"/>
            <w:hideMark/>
          </w:tcPr>
          <w:p w14:paraId="6C14EC0B"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ABF.G030</w:t>
            </w:r>
          </w:p>
        </w:tc>
      </w:tr>
      <w:tr w:rsidR="00B35BDF" w:rsidRPr="00B35BDF" w14:paraId="57A2A65F" w14:textId="77777777" w:rsidTr="0015273C">
        <w:trPr>
          <w:trHeight w:val="255"/>
        </w:trPr>
        <w:tc>
          <w:tcPr>
            <w:tcW w:w="4977" w:type="dxa"/>
            <w:tcBorders>
              <w:top w:val="nil"/>
              <w:left w:val="single" w:sz="8" w:space="0" w:color="auto"/>
              <w:bottom w:val="nil"/>
              <w:right w:val="single" w:sz="8" w:space="0" w:color="auto"/>
            </w:tcBorders>
            <w:shd w:val="clear" w:color="auto" w:fill="auto"/>
            <w:noWrap/>
            <w:vAlign w:val="center"/>
            <w:hideMark/>
          </w:tcPr>
          <w:p w14:paraId="7C022F4F" w14:textId="77777777" w:rsidR="00B35BDF" w:rsidRPr="00B35BDF" w:rsidRDefault="00B35BDF" w:rsidP="0015273C">
            <w:pPr>
              <w:spacing w:after="0" w:line="240" w:lineRule="auto"/>
              <w:ind w:firstLineChars="231" w:firstLine="370"/>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230 - Operações de Crédito vinculadas à Saúde</w:t>
            </w:r>
          </w:p>
        </w:tc>
        <w:tc>
          <w:tcPr>
            <w:tcW w:w="1275" w:type="dxa"/>
            <w:tcBorders>
              <w:top w:val="nil"/>
              <w:left w:val="nil"/>
              <w:bottom w:val="nil"/>
              <w:right w:val="single" w:sz="8" w:space="0" w:color="auto"/>
            </w:tcBorders>
            <w:shd w:val="clear" w:color="auto" w:fill="auto"/>
            <w:vAlign w:val="center"/>
            <w:hideMark/>
          </w:tcPr>
          <w:p w14:paraId="7ADDE81A"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ABF.B031</w:t>
            </w:r>
          </w:p>
        </w:tc>
        <w:tc>
          <w:tcPr>
            <w:tcW w:w="1560" w:type="dxa"/>
            <w:tcBorders>
              <w:top w:val="nil"/>
              <w:left w:val="nil"/>
              <w:bottom w:val="nil"/>
              <w:right w:val="single" w:sz="8" w:space="0" w:color="auto"/>
            </w:tcBorders>
            <w:shd w:val="clear" w:color="auto" w:fill="auto"/>
            <w:vAlign w:val="center"/>
            <w:hideMark/>
          </w:tcPr>
          <w:p w14:paraId="2E1E17C5"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ABF.C031</w:t>
            </w:r>
          </w:p>
        </w:tc>
        <w:tc>
          <w:tcPr>
            <w:tcW w:w="1275" w:type="dxa"/>
            <w:tcBorders>
              <w:top w:val="nil"/>
              <w:left w:val="nil"/>
              <w:bottom w:val="nil"/>
              <w:right w:val="single" w:sz="8" w:space="0" w:color="auto"/>
            </w:tcBorders>
            <w:shd w:val="clear" w:color="auto" w:fill="auto"/>
            <w:vAlign w:val="center"/>
            <w:hideMark/>
          </w:tcPr>
          <w:p w14:paraId="5382B0D0"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ABF.D031</w:t>
            </w:r>
          </w:p>
        </w:tc>
        <w:tc>
          <w:tcPr>
            <w:tcW w:w="1276" w:type="dxa"/>
            <w:tcBorders>
              <w:top w:val="nil"/>
              <w:left w:val="nil"/>
              <w:bottom w:val="nil"/>
              <w:right w:val="single" w:sz="8" w:space="0" w:color="auto"/>
            </w:tcBorders>
            <w:shd w:val="clear" w:color="auto" w:fill="auto"/>
            <w:vAlign w:val="center"/>
            <w:hideMark/>
          </w:tcPr>
          <w:p w14:paraId="57C60A01"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ABF.E031</w:t>
            </w:r>
          </w:p>
        </w:tc>
        <w:tc>
          <w:tcPr>
            <w:tcW w:w="1701" w:type="dxa"/>
            <w:tcBorders>
              <w:top w:val="nil"/>
              <w:left w:val="nil"/>
              <w:bottom w:val="nil"/>
              <w:right w:val="single" w:sz="8" w:space="0" w:color="auto"/>
            </w:tcBorders>
            <w:shd w:val="clear" w:color="auto" w:fill="auto"/>
            <w:vAlign w:val="center"/>
            <w:hideMark/>
          </w:tcPr>
          <w:p w14:paraId="637ABE86"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ABF.F031</w:t>
            </w:r>
          </w:p>
        </w:tc>
        <w:tc>
          <w:tcPr>
            <w:tcW w:w="1418" w:type="dxa"/>
            <w:tcBorders>
              <w:top w:val="nil"/>
              <w:left w:val="nil"/>
              <w:bottom w:val="nil"/>
              <w:right w:val="single" w:sz="8" w:space="0" w:color="auto"/>
            </w:tcBorders>
            <w:shd w:val="clear" w:color="auto" w:fill="auto"/>
            <w:vAlign w:val="center"/>
            <w:hideMark/>
          </w:tcPr>
          <w:p w14:paraId="76EC05AD"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ABF.G031</w:t>
            </w:r>
          </w:p>
        </w:tc>
      </w:tr>
      <w:tr w:rsidR="00B35BDF" w:rsidRPr="00B35BDF" w14:paraId="27EEB14D" w14:textId="77777777" w:rsidTr="0015273C">
        <w:trPr>
          <w:trHeight w:val="255"/>
        </w:trPr>
        <w:tc>
          <w:tcPr>
            <w:tcW w:w="4977" w:type="dxa"/>
            <w:tcBorders>
              <w:top w:val="nil"/>
              <w:left w:val="single" w:sz="8" w:space="0" w:color="auto"/>
              <w:bottom w:val="nil"/>
              <w:right w:val="single" w:sz="8" w:space="0" w:color="auto"/>
            </w:tcBorders>
            <w:shd w:val="clear" w:color="auto" w:fill="auto"/>
            <w:noWrap/>
            <w:vAlign w:val="center"/>
            <w:hideMark/>
          </w:tcPr>
          <w:p w14:paraId="15D57357" w14:textId="77777777" w:rsidR="00B35BDF" w:rsidRPr="00B35BDF" w:rsidRDefault="00B35BDF" w:rsidP="0015273C">
            <w:pPr>
              <w:spacing w:after="0" w:line="240" w:lineRule="auto"/>
              <w:ind w:firstLineChars="231" w:firstLine="370"/>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290 – Outros Recursos vinculados à Saúde</w:t>
            </w:r>
          </w:p>
        </w:tc>
        <w:tc>
          <w:tcPr>
            <w:tcW w:w="1275" w:type="dxa"/>
            <w:tcBorders>
              <w:top w:val="nil"/>
              <w:left w:val="nil"/>
              <w:bottom w:val="nil"/>
              <w:right w:val="single" w:sz="8" w:space="0" w:color="auto"/>
            </w:tcBorders>
            <w:shd w:val="clear" w:color="auto" w:fill="auto"/>
            <w:vAlign w:val="center"/>
            <w:hideMark/>
          </w:tcPr>
          <w:p w14:paraId="38B68881"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ABF.B032</w:t>
            </w:r>
          </w:p>
        </w:tc>
        <w:tc>
          <w:tcPr>
            <w:tcW w:w="1560" w:type="dxa"/>
            <w:tcBorders>
              <w:top w:val="nil"/>
              <w:left w:val="nil"/>
              <w:bottom w:val="nil"/>
              <w:right w:val="single" w:sz="8" w:space="0" w:color="auto"/>
            </w:tcBorders>
            <w:shd w:val="clear" w:color="auto" w:fill="auto"/>
            <w:vAlign w:val="center"/>
            <w:hideMark/>
          </w:tcPr>
          <w:p w14:paraId="4D9F83AC"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ABF.C032</w:t>
            </w:r>
          </w:p>
        </w:tc>
        <w:tc>
          <w:tcPr>
            <w:tcW w:w="1275" w:type="dxa"/>
            <w:tcBorders>
              <w:top w:val="nil"/>
              <w:left w:val="nil"/>
              <w:bottom w:val="nil"/>
              <w:right w:val="single" w:sz="8" w:space="0" w:color="auto"/>
            </w:tcBorders>
            <w:shd w:val="clear" w:color="auto" w:fill="auto"/>
            <w:vAlign w:val="center"/>
            <w:hideMark/>
          </w:tcPr>
          <w:p w14:paraId="7B8B29E8"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ABF.D032</w:t>
            </w:r>
          </w:p>
        </w:tc>
        <w:tc>
          <w:tcPr>
            <w:tcW w:w="1276" w:type="dxa"/>
            <w:tcBorders>
              <w:top w:val="nil"/>
              <w:left w:val="nil"/>
              <w:bottom w:val="nil"/>
              <w:right w:val="single" w:sz="8" w:space="0" w:color="auto"/>
            </w:tcBorders>
            <w:shd w:val="clear" w:color="auto" w:fill="auto"/>
            <w:vAlign w:val="center"/>
            <w:hideMark/>
          </w:tcPr>
          <w:p w14:paraId="24D3B3FA"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ABF.E032</w:t>
            </w:r>
          </w:p>
        </w:tc>
        <w:tc>
          <w:tcPr>
            <w:tcW w:w="1701" w:type="dxa"/>
            <w:tcBorders>
              <w:top w:val="nil"/>
              <w:left w:val="nil"/>
              <w:bottom w:val="nil"/>
              <w:right w:val="single" w:sz="8" w:space="0" w:color="auto"/>
            </w:tcBorders>
            <w:shd w:val="clear" w:color="auto" w:fill="auto"/>
            <w:vAlign w:val="center"/>
            <w:hideMark/>
          </w:tcPr>
          <w:p w14:paraId="68AC39B0"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ABF.F032</w:t>
            </w:r>
          </w:p>
        </w:tc>
        <w:tc>
          <w:tcPr>
            <w:tcW w:w="1418" w:type="dxa"/>
            <w:tcBorders>
              <w:top w:val="nil"/>
              <w:left w:val="nil"/>
              <w:bottom w:val="nil"/>
              <w:right w:val="single" w:sz="8" w:space="0" w:color="auto"/>
            </w:tcBorders>
            <w:shd w:val="clear" w:color="auto" w:fill="auto"/>
            <w:vAlign w:val="center"/>
            <w:hideMark/>
          </w:tcPr>
          <w:p w14:paraId="322DF3CC"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ABF.G032</w:t>
            </w:r>
          </w:p>
        </w:tc>
      </w:tr>
      <w:tr w:rsidR="00B35BDF" w:rsidRPr="00B35BDF" w14:paraId="7DA597B1" w14:textId="77777777" w:rsidTr="0015273C">
        <w:trPr>
          <w:trHeight w:val="255"/>
        </w:trPr>
        <w:tc>
          <w:tcPr>
            <w:tcW w:w="4977" w:type="dxa"/>
            <w:tcBorders>
              <w:top w:val="nil"/>
              <w:left w:val="single" w:sz="8" w:space="0" w:color="auto"/>
              <w:bottom w:val="nil"/>
              <w:right w:val="single" w:sz="8" w:space="0" w:color="auto"/>
            </w:tcBorders>
            <w:shd w:val="clear" w:color="auto" w:fill="auto"/>
            <w:noWrap/>
            <w:vAlign w:val="center"/>
            <w:hideMark/>
          </w:tcPr>
          <w:p w14:paraId="0B14A8CC" w14:textId="77777777" w:rsidR="00B35BDF" w:rsidRPr="00B35BDF" w:rsidRDefault="00B35BDF" w:rsidP="0015273C">
            <w:pPr>
              <w:spacing w:after="0" w:line="240" w:lineRule="auto"/>
              <w:ind w:firstLineChars="100" w:firstLine="161"/>
              <w:rPr>
                <w:rFonts w:ascii="Arial Narrow" w:eastAsia="Times New Roman" w:hAnsi="Arial Narrow" w:cs="Arial"/>
                <w:b/>
                <w:bCs/>
                <w:sz w:val="16"/>
                <w:szCs w:val="16"/>
                <w:lang w:eastAsia="pt-BR"/>
              </w:rPr>
            </w:pPr>
            <w:r w:rsidRPr="00B35BDF">
              <w:rPr>
                <w:rFonts w:ascii="Arial Narrow" w:eastAsia="Times New Roman" w:hAnsi="Arial Narrow" w:cs="Arial"/>
                <w:b/>
                <w:bCs/>
                <w:sz w:val="16"/>
                <w:szCs w:val="16"/>
                <w:lang w:eastAsia="pt-BR"/>
              </w:rPr>
              <w:t xml:space="preserve">  Recursos vinculados à Previdência Social - RPPS</w:t>
            </w:r>
          </w:p>
        </w:tc>
        <w:tc>
          <w:tcPr>
            <w:tcW w:w="1275" w:type="dxa"/>
            <w:tcBorders>
              <w:top w:val="nil"/>
              <w:left w:val="nil"/>
              <w:bottom w:val="nil"/>
              <w:right w:val="single" w:sz="8" w:space="0" w:color="auto"/>
            </w:tcBorders>
            <w:shd w:val="clear" w:color="auto" w:fill="auto"/>
            <w:vAlign w:val="center"/>
            <w:hideMark/>
          </w:tcPr>
          <w:p w14:paraId="329C5B13" w14:textId="77777777" w:rsidR="00B35BDF" w:rsidRPr="00B35BDF" w:rsidRDefault="00B35BDF" w:rsidP="0015273C">
            <w:pPr>
              <w:spacing w:after="0" w:line="240" w:lineRule="auto"/>
              <w:jc w:val="center"/>
              <w:rPr>
                <w:rFonts w:ascii="Arial Narrow" w:eastAsia="Times New Roman" w:hAnsi="Arial Narrow" w:cs="Arial"/>
                <w:b/>
                <w:bCs/>
                <w:sz w:val="16"/>
                <w:szCs w:val="16"/>
                <w:lang w:eastAsia="pt-BR"/>
              </w:rPr>
            </w:pPr>
            <w:r w:rsidRPr="00B35BDF">
              <w:rPr>
                <w:rFonts w:ascii="Arial Narrow" w:eastAsia="Times New Roman" w:hAnsi="Arial Narrow" w:cs="Arial"/>
                <w:b/>
                <w:bCs/>
                <w:sz w:val="16"/>
                <w:szCs w:val="16"/>
                <w:lang w:eastAsia="pt-BR"/>
              </w:rPr>
              <w:t>ABF.B033</w:t>
            </w:r>
          </w:p>
        </w:tc>
        <w:tc>
          <w:tcPr>
            <w:tcW w:w="1560" w:type="dxa"/>
            <w:tcBorders>
              <w:top w:val="nil"/>
              <w:left w:val="nil"/>
              <w:bottom w:val="nil"/>
              <w:right w:val="single" w:sz="8" w:space="0" w:color="auto"/>
            </w:tcBorders>
            <w:shd w:val="clear" w:color="auto" w:fill="auto"/>
            <w:vAlign w:val="center"/>
            <w:hideMark/>
          </w:tcPr>
          <w:p w14:paraId="335EADE3" w14:textId="77777777" w:rsidR="00B35BDF" w:rsidRPr="00B35BDF" w:rsidRDefault="00B35BDF" w:rsidP="0015273C">
            <w:pPr>
              <w:spacing w:after="0" w:line="240" w:lineRule="auto"/>
              <w:jc w:val="center"/>
              <w:rPr>
                <w:rFonts w:ascii="Arial Narrow" w:eastAsia="Times New Roman" w:hAnsi="Arial Narrow" w:cs="Arial"/>
                <w:b/>
                <w:bCs/>
                <w:sz w:val="16"/>
                <w:szCs w:val="16"/>
                <w:lang w:eastAsia="pt-BR"/>
              </w:rPr>
            </w:pPr>
            <w:r w:rsidRPr="00B35BDF">
              <w:rPr>
                <w:rFonts w:ascii="Arial Narrow" w:eastAsia="Times New Roman" w:hAnsi="Arial Narrow" w:cs="Arial"/>
                <w:b/>
                <w:bCs/>
                <w:sz w:val="16"/>
                <w:szCs w:val="16"/>
                <w:lang w:eastAsia="pt-BR"/>
              </w:rPr>
              <w:t>ABF.C033</w:t>
            </w:r>
          </w:p>
        </w:tc>
        <w:tc>
          <w:tcPr>
            <w:tcW w:w="1275" w:type="dxa"/>
            <w:tcBorders>
              <w:top w:val="nil"/>
              <w:left w:val="nil"/>
              <w:bottom w:val="nil"/>
              <w:right w:val="single" w:sz="8" w:space="0" w:color="auto"/>
            </w:tcBorders>
            <w:shd w:val="clear" w:color="auto" w:fill="auto"/>
            <w:vAlign w:val="center"/>
            <w:hideMark/>
          </w:tcPr>
          <w:p w14:paraId="5241A9F7" w14:textId="77777777" w:rsidR="00B35BDF" w:rsidRPr="00B35BDF" w:rsidRDefault="00B35BDF" w:rsidP="0015273C">
            <w:pPr>
              <w:spacing w:after="0" w:line="240" w:lineRule="auto"/>
              <w:jc w:val="center"/>
              <w:rPr>
                <w:rFonts w:ascii="Arial Narrow" w:eastAsia="Times New Roman" w:hAnsi="Arial Narrow" w:cs="Arial"/>
                <w:b/>
                <w:bCs/>
                <w:sz w:val="16"/>
                <w:szCs w:val="16"/>
                <w:lang w:eastAsia="pt-BR"/>
              </w:rPr>
            </w:pPr>
            <w:r w:rsidRPr="00B35BDF">
              <w:rPr>
                <w:rFonts w:ascii="Arial Narrow" w:eastAsia="Times New Roman" w:hAnsi="Arial Narrow" w:cs="Arial"/>
                <w:b/>
                <w:bCs/>
                <w:sz w:val="16"/>
                <w:szCs w:val="16"/>
                <w:lang w:eastAsia="pt-BR"/>
              </w:rPr>
              <w:t>ABF.D033</w:t>
            </w:r>
          </w:p>
        </w:tc>
        <w:tc>
          <w:tcPr>
            <w:tcW w:w="1276" w:type="dxa"/>
            <w:tcBorders>
              <w:top w:val="nil"/>
              <w:left w:val="nil"/>
              <w:bottom w:val="nil"/>
              <w:right w:val="single" w:sz="8" w:space="0" w:color="auto"/>
            </w:tcBorders>
            <w:shd w:val="clear" w:color="auto" w:fill="auto"/>
            <w:vAlign w:val="center"/>
            <w:hideMark/>
          </w:tcPr>
          <w:p w14:paraId="3C225407" w14:textId="77777777" w:rsidR="00B35BDF" w:rsidRPr="00B35BDF" w:rsidRDefault="00B35BDF" w:rsidP="0015273C">
            <w:pPr>
              <w:spacing w:after="0" w:line="240" w:lineRule="auto"/>
              <w:jc w:val="center"/>
              <w:rPr>
                <w:rFonts w:ascii="Arial Narrow" w:eastAsia="Times New Roman" w:hAnsi="Arial Narrow" w:cs="Arial"/>
                <w:b/>
                <w:bCs/>
                <w:sz w:val="16"/>
                <w:szCs w:val="16"/>
                <w:lang w:eastAsia="pt-BR"/>
              </w:rPr>
            </w:pPr>
            <w:r w:rsidRPr="00B35BDF">
              <w:rPr>
                <w:rFonts w:ascii="Arial Narrow" w:eastAsia="Times New Roman" w:hAnsi="Arial Narrow" w:cs="Arial"/>
                <w:b/>
                <w:bCs/>
                <w:sz w:val="16"/>
                <w:szCs w:val="16"/>
                <w:lang w:eastAsia="pt-BR"/>
              </w:rPr>
              <w:t>ABF.E033</w:t>
            </w:r>
          </w:p>
        </w:tc>
        <w:tc>
          <w:tcPr>
            <w:tcW w:w="1701" w:type="dxa"/>
            <w:tcBorders>
              <w:top w:val="nil"/>
              <w:left w:val="nil"/>
              <w:bottom w:val="nil"/>
              <w:right w:val="single" w:sz="8" w:space="0" w:color="auto"/>
            </w:tcBorders>
            <w:shd w:val="clear" w:color="auto" w:fill="auto"/>
            <w:vAlign w:val="center"/>
            <w:hideMark/>
          </w:tcPr>
          <w:p w14:paraId="0BFE6E95" w14:textId="77777777" w:rsidR="00B35BDF" w:rsidRPr="00B35BDF" w:rsidRDefault="00B35BDF" w:rsidP="0015273C">
            <w:pPr>
              <w:spacing w:after="0" w:line="240" w:lineRule="auto"/>
              <w:jc w:val="center"/>
              <w:rPr>
                <w:rFonts w:ascii="Arial Narrow" w:eastAsia="Times New Roman" w:hAnsi="Arial Narrow" w:cs="Arial"/>
                <w:b/>
                <w:bCs/>
                <w:sz w:val="16"/>
                <w:szCs w:val="16"/>
                <w:lang w:eastAsia="pt-BR"/>
              </w:rPr>
            </w:pPr>
            <w:r w:rsidRPr="00B35BDF">
              <w:rPr>
                <w:rFonts w:ascii="Arial Narrow" w:eastAsia="Times New Roman" w:hAnsi="Arial Narrow" w:cs="Arial"/>
                <w:b/>
                <w:bCs/>
                <w:sz w:val="16"/>
                <w:szCs w:val="16"/>
                <w:lang w:eastAsia="pt-BR"/>
              </w:rPr>
              <w:t>ABF.F033</w:t>
            </w:r>
          </w:p>
        </w:tc>
        <w:tc>
          <w:tcPr>
            <w:tcW w:w="1418" w:type="dxa"/>
            <w:tcBorders>
              <w:top w:val="nil"/>
              <w:left w:val="nil"/>
              <w:bottom w:val="nil"/>
              <w:right w:val="single" w:sz="8" w:space="0" w:color="auto"/>
            </w:tcBorders>
            <w:shd w:val="clear" w:color="auto" w:fill="auto"/>
            <w:vAlign w:val="center"/>
            <w:hideMark/>
          </w:tcPr>
          <w:p w14:paraId="3AE4FC08" w14:textId="77777777" w:rsidR="00B35BDF" w:rsidRPr="00B35BDF" w:rsidRDefault="00B35BDF" w:rsidP="0015273C">
            <w:pPr>
              <w:spacing w:after="0" w:line="240" w:lineRule="auto"/>
              <w:jc w:val="center"/>
              <w:rPr>
                <w:rFonts w:ascii="Arial Narrow" w:eastAsia="Times New Roman" w:hAnsi="Arial Narrow" w:cs="Arial"/>
                <w:b/>
                <w:bCs/>
                <w:sz w:val="16"/>
                <w:szCs w:val="16"/>
                <w:lang w:eastAsia="pt-BR"/>
              </w:rPr>
            </w:pPr>
            <w:r w:rsidRPr="00B35BDF">
              <w:rPr>
                <w:rFonts w:ascii="Arial Narrow" w:eastAsia="Times New Roman" w:hAnsi="Arial Narrow" w:cs="Arial"/>
                <w:b/>
                <w:bCs/>
                <w:sz w:val="16"/>
                <w:szCs w:val="16"/>
                <w:lang w:eastAsia="pt-BR"/>
              </w:rPr>
              <w:t>ABF.G033</w:t>
            </w:r>
          </w:p>
        </w:tc>
      </w:tr>
      <w:tr w:rsidR="00B35BDF" w:rsidRPr="00B35BDF" w14:paraId="12636B61" w14:textId="77777777" w:rsidTr="0015273C">
        <w:trPr>
          <w:trHeight w:val="255"/>
        </w:trPr>
        <w:tc>
          <w:tcPr>
            <w:tcW w:w="4977" w:type="dxa"/>
            <w:tcBorders>
              <w:top w:val="nil"/>
              <w:left w:val="single" w:sz="8" w:space="0" w:color="auto"/>
              <w:right w:val="single" w:sz="8" w:space="0" w:color="auto"/>
            </w:tcBorders>
            <w:shd w:val="clear" w:color="auto" w:fill="auto"/>
            <w:noWrap/>
            <w:vAlign w:val="center"/>
          </w:tcPr>
          <w:p w14:paraId="54B96ADE" w14:textId="77777777" w:rsidR="00B35BDF" w:rsidRPr="00B35BDF" w:rsidRDefault="00B35BDF" w:rsidP="0015273C">
            <w:pPr>
              <w:spacing w:after="0" w:line="240" w:lineRule="auto"/>
              <w:ind w:firstLineChars="231" w:firstLine="370"/>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410 – Recursos Vinculados ao RPPS – Plano Previdenciário</w:t>
            </w:r>
          </w:p>
        </w:tc>
        <w:tc>
          <w:tcPr>
            <w:tcW w:w="1275" w:type="dxa"/>
            <w:tcBorders>
              <w:top w:val="nil"/>
              <w:left w:val="nil"/>
              <w:right w:val="single" w:sz="8" w:space="0" w:color="auto"/>
            </w:tcBorders>
            <w:shd w:val="clear" w:color="auto" w:fill="auto"/>
            <w:vAlign w:val="center"/>
          </w:tcPr>
          <w:p w14:paraId="6845B35E"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ABF.B082</w:t>
            </w:r>
          </w:p>
        </w:tc>
        <w:tc>
          <w:tcPr>
            <w:tcW w:w="1560" w:type="dxa"/>
            <w:tcBorders>
              <w:top w:val="nil"/>
              <w:left w:val="nil"/>
              <w:right w:val="single" w:sz="8" w:space="0" w:color="auto"/>
            </w:tcBorders>
            <w:shd w:val="clear" w:color="auto" w:fill="auto"/>
            <w:vAlign w:val="center"/>
          </w:tcPr>
          <w:p w14:paraId="54FF0C7E" w14:textId="77777777" w:rsidR="00B35BDF" w:rsidRPr="00B35BDF" w:rsidRDefault="00B35BDF"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ABF.C082</w:t>
            </w:r>
          </w:p>
        </w:tc>
        <w:tc>
          <w:tcPr>
            <w:tcW w:w="1275" w:type="dxa"/>
            <w:tcBorders>
              <w:top w:val="nil"/>
              <w:left w:val="nil"/>
              <w:right w:val="single" w:sz="8" w:space="0" w:color="auto"/>
            </w:tcBorders>
            <w:shd w:val="clear" w:color="auto" w:fill="auto"/>
            <w:vAlign w:val="center"/>
          </w:tcPr>
          <w:p w14:paraId="578F1477" w14:textId="77777777" w:rsidR="00B35BDF" w:rsidRPr="00B35BDF" w:rsidRDefault="00B35BDF"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ABF.D082</w:t>
            </w:r>
          </w:p>
        </w:tc>
        <w:tc>
          <w:tcPr>
            <w:tcW w:w="1276" w:type="dxa"/>
            <w:tcBorders>
              <w:top w:val="nil"/>
              <w:left w:val="nil"/>
              <w:right w:val="single" w:sz="8" w:space="0" w:color="auto"/>
            </w:tcBorders>
            <w:shd w:val="clear" w:color="auto" w:fill="auto"/>
            <w:vAlign w:val="center"/>
          </w:tcPr>
          <w:p w14:paraId="2710F924" w14:textId="77777777" w:rsidR="00B35BDF" w:rsidRPr="00B35BDF" w:rsidRDefault="00B35BDF"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ABF.E082</w:t>
            </w:r>
          </w:p>
        </w:tc>
        <w:tc>
          <w:tcPr>
            <w:tcW w:w="1701" w:type="dxa"/>
            <w:tcBorders>
              <w:top w:val="nil"/>
              <w:left w:val="nil"/>
              <w:right w:val="single" w:sz="8" w:space="0" w:color="auto"/>
            </w:tcBorders>
            <w:shd w:val="clear" w:color="auto" w:fill="auto"/>
            <w:vAlign w:val="center"/>
          </w:tcPr>
          <w:p w14:paraId="5132A0BC" w14:textId="77777777" w:rsidR="00B35BDF" w:rsidRPr="00B35BDF" w:rsidRDefault="00B35BDF"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ABF.F082</w:t>
            </w:r>
          </w:p>
        </w:tc>
        <w:tc>
          <w:tcPr>
            <w:tcW w:w="1418" w:type="dxa"/>
            <w:tcBorders>
              <w:top w:val="nil"/>
              <w:left w:val="nil"/>
              <w:right w:val="single" w:sz="8" w:space="0" w:color="auto"/>
            </w:tcBorders>
            <w:shd w:val="clear" w:color="auto" w:fill="auto"/>
            <w:vAlign w:val="center"/>
          </w:tcPr>
          <w:p w14:paraId="1E4D3127" w14:textId="77777777" w:rsidR="00B35BDF" w:rsidRPr="00B35BDF" w:rsidRDefault="00B35BDF"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ABF.G082</w:t>
            </w:r>
          </w:p>
        </w:tc>
      </w:tr>
      <w:tr w:rsidR="00B35BDF" w:rsidRPr="00B35BDF" w14:paraId="686625CC" w14:textId="77777777" w:rsidTr="0015273C">
        <w:trPr>
          <w:trHeight w:val="255"/>
        </w:trPr>
        <w:tc>
          <w:tcPr>
            <w:tcW w:w="4977" w:type="dxa"/>
            <w:tcBorders>
              <w:top w:val="nil"/>
              <w:left w:val="single" w:sz="8" w:space="0" w:color="auto"/>
              <w:right w:val="single" w:sz="8" w:space="0" w:color="auto"/>
            </w:tcBorders>
            <w:shd w:val="clear" w:color="auto" w:fill="auto"/>
            <w:noWrap/>
            <w:vAlign w:val="center"/>
            <w:hideMark/>
          </w:tcPr>
          <w:p w14:paraId="0B1B2349" w14:textId="77777777" w:rsidR="00B35BDF" w:rsidRPr="00B35BDF" w:rsidRDefault="00B35BDF" w:rsidP="0015273C">
            <w:pPr>
              <w:spacing w:after="0" w:line="240" w:lineRule="auto"/>
              <w:ind w:firstLineChars="231" w:firstLine="370"/>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420 - Recursos Vinculados ao RPPS – Plano Financeiro</w:t>
            </w:r>
          </w:p>
        </w:tc>
        <w:tc>
          <w:tcPr>
            <w:tcW w:w="1275" w:type="dxa"/>
            <w:tcBorders>
              <w:top w:val="nil"/>
              <w:left w:val="nil"/>
              <w:right w:val="single" w:sz="8" w:space="0" w:color="auto"/>
            </w:tcBorders>
            <w:shd w:val="clear" w:color="auto" w:fill="auto"/>
            <w:vAlign w:val="center"/>
            <w:hideMark/>
          </w:tcPr>
          <w:p w14:paraId="2B256018"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ABF.B035</w:t>
            </w:r>
          </w:p>
        </w:tc>
        <w:tc>
          <w:tcPr>
            <w:tcW w:w="1560" w:type="dxa"/>
            <w:tcBorders>
              <w:top w:val="nil"/>
              <w:left w:val="nil"/>
              <w:right w:val="single" w:sz="8" w:space="0" w:color="auto"/>
            </w:tcBorders>
            <w:shd w:val="clear" w:color="auto" w:fill="auto"/>
            <w:vAlign w:val="center"/>
            <w:hideMark/>
          </w:tcPr>
          <w:p w14:paraId="53E43183"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ABF.C035</w:t>
            </w:r>
          </w:p>
        </w:tc>
        <w:tc>
          <w:tcPr>
            <w:tcW w:w="1275" w:type="dxa"/>
            <w:tcBorders>
              <w:top w:val="nil"/>
              <w:left w:val="nil"/>
              <w:right w:val="single" w:sz="8" w:space="0" w:color="auto"/>
            </w:tcBorders>
            <w:shd w:val="clear" w:color="auto" w:fill="auto"/>
            <w:vAlign w:val="center"/>
            <w:hideMark/>
          </w:tcPr>
          <w:p w14:paraId="744C62A7"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ABF.D035</w:t>
            </w:r>
          </w:p>
        </w:tc>
        <w:tc>
          <w:tcPr>
            <w:tcW w:w="1276" w:type="dxa"/>
            <w:tcBorders>
              <w:top w:val="nil"/>
              <w:left w:val="nil"/>
              <w:right w:val="single" w:sz="8" w:space="0" w:color="auto"/>
            </w:tcBorders>
            <w:shd w:val="clear" w:color="auto" w:fill="auto"/>
            <w:vAlign w:val="center"/>
            <w:hideMark/>
          </w:tcPr>
          <w:p w14:paraId="3171885F"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ABF.E035</w:t>
            </w:r>
          </w:p>
        </w:tc>
        <w:tc>
          <w:tcPr>
            <w:tcW w:w="1701" w:type="dxa"/>
            <w:tcBorders>
              <w:top w:val="nil"/>
              <w:left w:val="nil"/>
              <w:right w:val="single" w:sz="8" w:space="0" w:color="auto"/>
            </w:tcBorders>
            <w:shd w:val="clear" w:color="auto" w:fill="auto"/>
            <w:vAlign w:val="center"/>
            <w:hideMark/>
          </w:tcPr>
          <w:p w14:paraId="6B8966F9"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ABF.F035</w:t>
            </w:r>
          </w:p>
        </w:tc>
        <w:tc>
          <w:tcPr>
            <w:tcW w:w="1418" w:type="dxa"/>
            <w:tcBorders>
              <w:top w:val="nil"/>
              <w:left w:val="nil"/>
              <w:right w:val="single" w:sz="8" w:space="0" w:color="auto"/>
            </w:tcBorders>
            <w:shd w:val="clear" w:color="auto" w:fill="auto"/>
            <w:vAlign w:val="center"/>
            <w:hideMark/>
          </w:tcPr>
          <w:p w14:paraId="11403CB8"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ABF.G035</w:t>
            </w:r>
          </w:p>
        </w:tc>
      </w:tr>
      <w:tr w:rsidR="00B35BDF" w:rsidRPr="00B35BDF" w14:paraId="408CDD6E" w14:textId="77777777" w:rsidTr="0015273C">
        <w:trPr>
          <w:trHeight w:val="255"/>
        </w:trPr>
        <w:tc>
          <w:tcPr>
            <w:tcW w:w="4977" w:type="dxa"/>
            <w:tcBorders>
              <w:top w:val="nil"/>
              <w:left w:val="single" w:sz="8" w:space="0" w:color="auto"/>
              <w:bottom w:val="nil"/>
              <w:right w:val="single" w:sz="8" w:space="0" w:color="auto"/>
            </w:tcBorders>
            <w:shd w:val="clear" w:color="auto" w:fill="auto"/>
            <w:noWrap/>
            <w:vAlign w:val="center"/>
            <w:hideMark/>
          </w:tcPr>
          <w:p w14:paraId="31C503D6" w14:textId="77777777" w:rsidR="00B35BDF" w:rsidRPr="00B35BDF" w:rsidRDefault="00B35BDF" w:rsidP="0015273C">
            <w:pPr>
              <w:spacing w:after="0" w:line="240" w:lineRule="auto"/>
              <w:ind w:firstLineChars="231" w:firstLine="370"/>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430 - Recursos Vinculados ao RPPS - Taxa de Administração</w:t>
            </w:r>
          </w:p>
        </w:tc>
        <w:tc>
          <w:tcPr>
            <w:tcW w:w="1275" w:type="dxa"/>
            <w:tcBorders>
              <w:top w:val="nil"/>
              <w:left w:val="nil"/>
              <w:bottom w:val="nil"/>
              <w:right w:val="single" w:sz="8" w:space="0" w:color="auto"/>
            </w:tcBorders>
            <w:shd w:val="clear" w:color="auto" w:fill="auto"/>
            <w:vAlign w:val="center"/>
            <w:hideMark/>
          </w:tcPr>
          <w:p w14:paraId="6E3104D4"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ABF.B037</w:t>
            </w:r>
          </w:p>
        </w:tc>
        <w:tc>
          <w:tcPr>
            <w:tcW w:w="1560" w:type="dxa"/>
            <w:tcBorders>
              <w:top w:val="nil"/>
              <w:left w:val="nil"/>
              <w:bottom w:val="nil"/>
              <w:right w:val="single" w:sz="8" w:space="0" w:color="auto"/>
            </w:tcBorders>
            <w:shd w:val="clear" w:color="auto" w:fill="auto"/>
            <w:vAlign w:val="center"/>
            <w:hideMark/>
          </w:tcPr>
          <w:p w14:paraId="69931BEB"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ABF.C037</w:t>
            </w:r>
          </w:p>
        </w:tc>
        <w:tc>
          <w:tcPr>
            <w:tcW w:w="1275" w:type="dxa"/>
            <w:tcBorders>
              <w:top w:val="nil"/>
              <w:left w:val="nil"/>
              <w:bottom w:val="nil"/>
              <w:right w:val="single" w:sz="8" w:space="0" w:color="auto"/>
            </w:tcBorders>
            <w:shd w:val="clear" w:color="auto" w:fill="auto"/>
            <w:vAlign w:val="center"/>
            <w:hideMark/>
          </w:tcPr>
          <w:p w14:paraId="4BA2FD95"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ABF.D037</w:t>
            </w:r>
          </w:p>
        </w:tc>
        <w:tc>
          <w:tcPr>
            <w:tcW w:w="1276" w:type="dxa"/>
            <w:tcBorders>
              <w:top w:val="nil"/>
              <w:left w:val="nil"/>
              <w:bottom w:val="nil"/>
              <w:right w:val="single" w:sz="8" w:space="0" w:color="auto"/>
            </w:tcBorders>
            <w:shd w:val="clear" w:color="auto" w:fill="auto"/>
            <w:vAlign w:val="center"/>
            <w:hideMark/>
          </w:tcPr>
          <w:p w14:paraId="46E71698"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ABF.E037</w:t>
            </w:r>
          </w:p>
        </w:tc>
        <w:tc>
          <w:tcPr>
            <w:tcW w:w="1701" w:type="dxa"/>
            <w:tcBorders>
              <w:top w:val="nil"/>
              <w:left w:val="nil"/>
              <w:bottom w:val="nil"/>
              <w:right w:val="single" w:sz="8" w:space="0" w:color="auto"/>
            </w:tcBorders>
            <w:shd w:val="clear" w:color="auto" w:fill="auto"/>
            <w:vAlign w:val="center"/>
            <w:hideMark/>
          </w:tcPr>
          <w:p w14:paraId="2A5A9A6A"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ABF.F037</w:t>
            </w:r>
          </w:p>
        </w:tc>
        <w:tc>
          <w:tcPr>
            <w:tcW w:w="1418" w:type="dxa"/>
            <w:tcBorders>
              <w:top w:val="nil"/>
              <w:left w:val="nil"/>
              <w:bottom w:val="nil"/>
              <w:right w:val="single" w:sz="8" w:space="0" w:color="auto"/>
            </w:tcBorders>
            <w:shd w:val="clear" w:color="auto" w:fill="auto"/>
            <w:vAlign w:val="center"/>
            <w:hideMark/>
          </w:tcPr>
          <w:p w14:paraId="70E29C23"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ABF.G037</w:t>
            </w:r>
          </w:p>
        </w:tc>
      </w:tr>
      <w:tr w:rsidR="00B35BDF" w:rsidRPr="00B35BDF" w14:paraId="4EBCC97E" w14:textId="77777777" w:rsidTr="0015273C">
        <w:trPr>
          <w:trHeight w:val="255"/>
        </w:trPr>
        <w:tc>
          <w:tcPr>
            <w:tcW w:w="4977" w:type="dxa"/>
            <w:tcBorders>
              <w:top w:val="nil"/>
              <w:left w:val="single" w:sz="8" w:space="0" w:color="auto"/>
              <w:bottom w:val="nil"/>
              <w:right w:val="single" w:sz="8" w:space="0" w:color="auto"/>
            </w:tcBorders>
            <w:shd w:val="clear" w:color="auto" w:fill="auto"/>
            <w:noWrap/>
            <w:vAlign w:val="center"/>
            <w:hideMark/>
          </w:tcPr>
          <w:p w14:paraId="7717A265" w14:textId="77777777" w:rsidR="00B35BDF" w:rsidRPr="00B35BDF" w:rsidRDefault="00B35BDF" w:rsidP="0015273C">
            <w:pPr>
              <w:spacing w:after="0" w:line="240" w:lineRule="auto"/>
              <w:ind w:left="290" w:firstLineChars="3" w:firstLine="5"/>
              <w:rPr>
                <w:rFonts w:ascii="Arial Narrow" w:eastAsia="Times New Roman" w:hAnsi="Arial Narrow" w:cs="Arial"/>
                <w:b/>
                <w:bCs/>
                <w:sz w:val="16"/>
                <w:szCs w:val="16"/>
                <w:lang w:eastAsia="pt-BR"/>
              </w:rPr>
            </w:pPr>
            <w:r w:rsidRPr="00B35BDF">
              <w:rPr>
                <w:rFonts w:ascii="Arial Narrow" w:eastAsia="Times New Roman" w:hAnsi="Arial Narrow" w:cs="Arial"/>
                <w:b/>
                <w:bCs/>
                <w:sz w:val="16"/>
                <w:szCs w:val="16"/>
                <w:lang w:eastAsia="pt-BR"/>
              </w:rPr>
              <w:t xml:space="preserve">  Recursos Vinculados à Seguridade Social</w:t>
            </w:r>
          </w:p>
        </w:tc>
        <w:tc>
          <w:tcPr>
            <w:tcW w:w="1275" w:type="dxa"/>
            <w:tcBorders>
              <w:top w:val="nil"/>
              <w:left w:val="nil"/>
              <w:bottom w:val="nil"/>
              <w:right w:val="single" w:sz="8" w:space="0" w:color="auto"/>
            </w:tcBorders>
            <w:shd w:val="clear" w:color="auto" w:fill="auto"/>
            <w:vAlign w:val="center"/>
            <w:hideMark/>
          </w:tcPr>
          <w:p w14:paraId="60BDE9EF" w14:textId="77777777" w:rsidR="00B35BDF" w:rsidRPr="00B35BDF" w:rsidRDefault="00B35BDF" w:rsidP="0015273C">
            <w:pPr>
              <w:spacing w:after="0" w:line="240" w:lineRule="auto"/>
              <w:jc w:val="center"/>
              <w:rPr>
                <w:rFonts w:ascii="Arial Narrow" w:eastAsia="Times New Roman" w:hAnsi="Arial Narrow" w:cs="Arial"/>
                <w:b/>
                <w:bCs/>
                <w:sz w:val="16"/>
                <w:szCs w:val="16"/>
                <w:lang w:eastAsia="pt-BR"/>
              </w:rPr>
            </w:pPr>
            <w:r w:rsidRPr="00B35BDF">
              <w:rPr>
                <w:rFonts w:ascii="Arial Narrow" w:eastAsia="Times New Roman" w:hAnsi="Arial Narrow" w:cs="Arial"/>
                <w:b/>
                <w:bCs/>
                <w:sz w:val="16"/>
                <w:szCs w:val="16"/>
                <w:lang w:eastAsia="pt-BR"/>
              </w:rPr>
              <w:t>ABF.B039</w:t>
            </w:r>
          </w:p>
        </w:tc>
        <w:tc>
          <w:tcPr>
            <w:tcW w:w="1560" w:type="dxa"/>
            <w:tcBorders>
              <w:top w:val="nil"/>
              <w:left w:val="nil"/>
              <w:bottom w:val="nil"/>
              <w:right w:val="single" w:sz="8" w:space="0" w:color="auto"/>
            </w:tcBorders>
            <w:shd w:val="clear" w:color="auto" w:fill="auto"/>
            <w:vAlign w:val="center"/>
            <w:hideMark/>
          </w:tcPr>
          <w:p w14:paraId="70C46FBB" w14:textId="77777777" w:rsidR="00B35BDF" w:rsidRPr="00B35BDF" w:rsidRDefault="00B35BDF" w:rsidP="0015273C">
            <w:pPr>
              <w:spacing w:after="0" w:line="240" w:lineRule="auto"/>
              <w:jc w:val="center"/>
              <w:rPr>
                <w:rFonts w:ascii="Arial Narrow" w:eastAsia="Times New Roman" w:hAnsi="Arial Narrow" w:cs="Arial"/>
                <w:b/>
                <w:bCs/>
                <w:sz w:val="16"/>
                <w:szCs w:val="16"/>
                <w:lang w:eastAsia="pt-BR"/>
              </w:rPr>
            </w:pPr>
            <w:r w:rsidRPr="00B35BDF">
              <w:rPr>
                <w:rFonts w:ascii="Arial Narrow" w:eastAsia="Times New Roman" w:hAnsi="Arial Narrow" w:cs="Arial"/>
                <w:b/>
                <w:bCs/>
                <w:sz w:val="16"/>
                <w:szCs w:val="16"/>
                <w:lang w:eastAsia="pt-BR"/>
              </w:rPr>
              <w:t>ABF.C039</w:t>
            </w:r>
          </w:p>
        </w:tc>
        <w:tc>
          <w:tcPr>
            <w:tcW w:w="1275" w:type="dxa"/>
            <w:tcBorders>
              <w:top w:val="nil"/>
              <w:left w:val="nil"/>
              <w:bottom w:val="nil"/>
              <w:right w:val="single" w:sz="8" w:space="0" w:color="auto"/>
            </w:tcBorders>
            <w:shd w:val="clear" w:color="auto" w:fill="auto"/>
            <w:vAlign w:val="center"/>
            <w:hideMark/>
          </w:tcPr>
          <w:p w14:paraId="3AFF4714" w14:textId="77777777" w:rsidR="00B35BDF" w:rsidRPr="00B35BDF" w:rsidRDefault="00B35BDF" w:rsidP="0015273C">
            <w:pPr>
              <w:spacing w:after="0" w:line="240" w:lineRule="auto"/>
              <w:jc w:val="center"/>
              <w:rPr>
                <w:rFonts w:ascii="Arial Narrow" w:eastAsia="Times New Roman" w:hAnsi="Arial Narrow" w:cs="Arial"/>
                <w:b/>
                <w:bCs/>
                <w:sz w:val="16"/>
                <w:szCs w:val="16"/>
                <w:lang w:eastAsia="pt-BR"/>
              </w:rPr>
            </w:pPr>
            <w:r w:rsidRPr="00B35BDF">
              <w:rPr>
                <w:rFonts w:ascii="Arial Narrow" w:eastAsia="Times New Roman" w:hAnsi="Arial Narrow" w:cs="Arial"/>
                <w:b/>
                <w:bCs/>
                <w:sz w:val="16"/>
                <w:szCs w:val="16"/>
                <w:lang w:eastAsia="pt-BR"/>
              </w:rPr>
              <w:t>ABF.D039</w:t>
            </w:r>
          </w:p>
        </w:tc>
        <w:tc>
          <w:tcPr>
            <w:tcW w:w="1276" w:type="dxa"/>
            <w:tcBorders>
              <w:top w:val="nil"/>
              <w:left w:val="nil"/>
              <w:bottom w:val="nil"/>
              <w:right w:val="single" w:sz="8" w:space="0" w:color="auto"/>
            </w:tcBorders>
            <w:shd w:val="clear" w:color="auto" w:fill="auto"/>
            <w:vAlign w:val="center"/>
            <w:hideMark/>
          </w:tcPr>
          <w:p w14:paraId="6E56A4B4" w14:textId="77777777" w:rsidR="00B35BDF" w:rsidRPr="00B35BDF" w:rsidRDefault="00B35BDF" w:rsidP="0015273C">
            <w:pPr>
              <w:spacing w:after="0" w:line="240" w:lineRule="auto"/>
              <w:jc w:val="center"/>
              <w:rPr>
                <w:rFonts w:ascii="Arial Narrow" w:eastAsia="Times New Roman" w:hAnsi="Arial Narrow" w:cs="Arial"/>
                <w:b/>
                <w:bCs/>
                <w:sz w:val="16"/>
                <w:szCs w:val="16"/>
                <w:lang w:eastAsia="pt-BR"/>
              </w:rPr>
            </w:pPr>
            <w:r w:rsidRPr="00B35BDF">
              <w:rPr>
                <w:rFonts w:ascii="Arial Narrow" w:eastAsia="Times New Roman" w:hAnsi="Arial Narrow" w:cs="Arial"/>
                <w:b/>
                <w:bCs/>
                <w:sz w:val="16"/>
                <w:szCs w:val="16"/>
                <w:lang w:eastAsia="pt-BR"/>
              </w:rPr>
              <w:t>ABF.E039</w:t>
            </w:r>
          </w:p>
        </w:tc>
        <w:tc>
          <w:tcPr>
            <w:tcW w:w="1701" w:type="dxa"/>
            <w:tcBorders>
              <w:top w:val="nil"/>
              <w:left w:val="nil"/>
              <w:bottom w:val="nil"/>
              <w:right w:val="single" w:sz="8" w:space="0" w:color="auto"/>
            </w:tcBorders>
            <w:shd w:val="clear" w:color="auto" w:fill="auto"/>
            <w:vAlign w:val="center"/>
            <w:hideMark/>
          </w:tcPr>
          <w:p w14:paraId="0CF97073" w14:textId="77777777" w:rsidR="00B35BDF" w:rsidRPr="00B35BDF" w:rsidRDefault="00B35BDF" w:rsidP="0015273C">
            <w:pPr>
              <w:spacing w:after="0" w:line="240" w:lineRule="auto"/>
              <w:jc w:val="center"/>
              <w:rPr>
                <w:rFonts w:ascii="Arial Narrow" w:eastAsia="Times New Roman" w:hAnsi="Arial Narrow" w:cs="Arial"/>
                <w:b/>
                <w:bCs/>
                <w:sz w:val="16"/>
                <w:szCs w:val="16"/>
                <w:lang w:eastAsia="pt-BR"/>
              </w:rPr>
            </w:pPr>
            <w:r w:rsidRPr="00B35BDF">
              <w:rPr>
                <w:rFonts w:ascii="Arial Narrow" w:eastAsia="Times New Roman" w:hAnsi="Arial Narrow" w:cs="Arial"/>
                <w:b/>
                <w:bCs/>
                <w:sz w:val="16"/>
                <w:szCs w:val="16"/>
                <w:lang w:eastAsia="pt-BR"/>
              </w:rPr>
              <w:t>ABF.F039</w:t>
            </w:r>
          </w:p>
        </w:tc>
        <w:tc>
          <w:tcPr>
            <w:tcW w:w="1418" w:type="dxa"/>
            <w:tcBorders>
              <w:top w:val="nil"/>
              <w:left w:val="nil"/>
              <w:bottom w:val="nil"/>
              <w:right w:val="single" w:sz="8" w:space="0" w:color="auto"/>
            </w:tcBorders>
            <w:shd w:val="clear" w:color="auto" w:fill="auto"/>
            <w:vAlign w:val="center"/>
            <w:hideMark/>
          </w:tcPr>
          <w:p w14:paraId="585BA459" w14:textId="77777777" w:rsidR="00B35BDF" w:rsidRPr="00B35BDF" w:rsidRDefault="00B35BDF" w:rsidP="0015273C">
            <w:pPr>
              <w:spacing w:after="0" w:line="240" w:lineRule="auto"/>
              <w:jc w:val="center"/>
              <w:rPr>
                <w:rFonts w:ascii="Arial Narrow" w:eastAsia="Times New Roman" w:hAnsi="Arial Narrow" w:cs="Arial"/>
                <w:b/>
                <w:bCs/>
                <w:sz w:val="16"/>
                <w:szCs w:val="16"/>
                <w:lang w:eastAsia="pt-BR"/>
              </w:rPr>
            </w:pPr>
            <w:r w:rsidRPr="00B35BDF">
              <w:rPr>
                <w:rFonts w:ascii="Arial Narrow" w:eastAsia="Times New Roman" w:hAnsi="Arial Narrow" w:cs="Arial"/>
                <w:b/>
                <w:bCs/>
                <w:sz w:val="16"/>
                <w:szCs w:val="16"/>
                <w:lang w:eastAsia="pt-BR"/>
              </w:rPr>
              <w:t>ABF.G039</w:t>
            </w:r>
          </w:p>
        </w:tc>
      </w:tr>
      <w:tr w:rsidR="00B35BDF" w:rsidRPr="00B35BDF" w14:paraId="6FA04980" w14:textId="77777777" w:rsidTr="0015273C">
        <w:trPr>
          <w:trHeight w:val="255"/>
        </w:trPr>
        <w:tc>
          <w:tcPr>
            <w:tcW w:w="4977" w:type="dxa"/>
            <w:tcBorders>
              <w:top w:val="nil"/>
              <w:left w:val="single" w:sz="8" w:space="0" w:color="auto"/>
              <w:bottom w:val="nil"/>
              <w:right w:val="single" w:sz="8" w:space="0" w:color="auto"/>
            </w:tcBorders>
            <w:shd w:val="clear" w:color="auto" w:fill="auto"/>
            <w:noWrap/>
            <w:vAlign w:val="center"/>
            <w:hideMark/>
          </w:tcPr>
          <w:p w14:paraId="3B8AB47A" w14:textId="77777777" w:rsidR="00B35BDF" w:rsidRPr="00B35BDF" w:rsidRDefault="00B35BDF" w:rsidP="0015273C">
            <w:pPr>
              <w:spacing w:after="0" w:line="240" w:lineRule="auto"/>
              <w:ind w:left="355"/>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311 – Transferência de Recursos do Fundo Nacional de Assistência Social - FNAS</w:t>
            </w:r>
          </w:p>
        </w:tc>
        <w:tc>
          <w:tcPr>
            <w:tcW w:w="1275" w:type="dxa"/>
            <w:tcBorders>
              <w:top w:val="nil"/>
              <w:left w:val="nil"/>
              <w:bottom w:val="nil"/>
              <w:right w:val="single" w:sz="8" w:space="0" w:color="auto"/>
            </w:tcBorders>
            <w:shd w:val="clear" w:color="auto" w:fill="auto"/>
            <w:vAlign w:val="center"/>
            <w:hideMark/>
          </w:tcPr>
          <w:p w14:paraId="533A6DA8"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ABF.B040</w:t>
            </w:r>
          </w:p>
        </w:tc>
        <w:tc>
          <w:tcPr>
            <w:tcW w:w="1560" w:type="dxa"/>
            <w:tcBorders>
              <w:top w:val="nil"/>
              <w:left w:val="nil"/>
              <w:bottom w:val="nil"/>
              <w:right w:val="single" w:sz="8" w:space="0" w:color="auto"/>
            </w:tcBorders>
            <w:shd w:val="clear" w:color="auto" w:fill="auto"/>
            <w:vAlign w:val="center"/>
            <w:hideMark/>
          </w:tcPr>
          <w:p w14:paraId="038DAEDC"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ABF.C040</w:t>
            </w:r>
          </w:p>
        </w:tc>
        <w:tc>
          <w:tcPr>
            <w:tcW w:w="1275" w:type="dxa"/>
            <w:tcBorders>
              <w:top w:val="nil"/>
              <w:left w:val="nil"/>
              <w:bottom w:val="nil"/>
              <w:right w:val="single" w:sz="8" w:space="0" w:color="auto"/>
            </w:tcBorders>
            <w:shd w:val="clear" w:color="auto" w:fill="auto"/>
            <w:vAlign w:val="center"/>
            <w:hideMark/>
          </w:tcPr>
          <w:p w14:paraId="6D79E5D1"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ABF.D040</w:t>
            </w:r>
          </w:p>
        </w:tc>
        <w:tc>
          <w:tcPr>
            <w:tcW w:w="1276" w:type="dxa"/>
            <w:tcBorders>
              <w:top w:val="nil"/>
              <w:left w:val="nil"/>
              <w:bottom w:val="nil"/>
              <w:right w:val="single" w:sz="8" w:space="0" w:color="auto"/>
            </w:tcBorders>
            <w:shd w:val="clear" w:color="auto" w:fill="auto"/>
            <w:vAlign w:val="center"/>
            <w:hideMark/>
          </w:tcPr>
          <w:p w14:paraId="78727018"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ABF.E040</w:t>
            </w:r>
          </w:p>
        </w:tc>
        <w:tc>
          <w:tcPr>
            <w:tcW w:w="1701" w:type="dxa"/>
            <w:tcBorders>
              <w:top w:val="nil"/>
              <w:left w:val="nil"/>
              <w:bottom w:val="nil"/>
              <w:right w:val="single" w:sz="8" w:space="0" w:color="auto"/>
            </w:tcBorders>
            <w:shd w:val="clear" w:color="auto" w:fill="auto"/>
            <w:vAlign w:val="center"/>
            <w:hideMark/>
          </w:tcPr>
          <w:p w14:paraId="59433B95"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ABF.F040</w:t>
            </w:r>
          </w:p>
        </w:tc>
        <w:tc>
          <w:tcPr>
            <w:tcW w:w="1418" w:type="dxa"/>
            <w:tcBorders>
              <w:top w:val="nil"/>
              <w:left w:val="nil"/>
              <w:bottom w:val="nil"/>
              <w:right w:val="single" w:sz="8" w:space="0" w:color="auto"/>
            </w:tcBorders>
            <w:shd w:val="clear" w:color="auto" w:fill="auto"/>
            <w:vAlign w:val="center"/>
            <w:hideMark/>
          </w:tcPr>
          <w:p w14:paraId="0351AE81"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ABF.G040</w:t>
            </w:r>
          </w:p>
        </w:tc>
      </w:tr>
      <w:tr w:rsidR="00B35BDF" w:rsidRPr="00B35BDF" w14:paraId="0A4B3D3C" w14:textId="77777777" w:rsidTr="0015273C">
        <w:trPr>
          <w:trHeight w:val="255"/>
        </w:trPr>
        <w:tc>
          <w:tcPr>
            <w:tcW w:w="4977" w:type="dxa"/>
            <w:tcBorders>
              <w:top w:val="nil"/>
              <w:left w:val="single" w:sz="8" w:space="0" w:color="auto"/>
              <w:bottom w:val="nil"/>
              <w:right w:val="single" w:sz="8" w:space="0" w:color="auto"/>
            </w:tcBorders>
            <w:shd w:val="clear" w:color="auto" w:fill="auto"/>
            <w:noWrap/>
            <w:vAlign w:val="center"/>
            <w:hideMark/>
          </w:tcPr>
          <w:p w14:paraId="7330AE02" w14:textId="77777777" w:rsidR="00B35BDF" w:rsidRPr="00B35BDF" w:rsidRDefault="00B35BDF" w:rsidP="0015273C">
            <w:pPr>
              <w:spacing w:after="0" w:line="240" w:lineRule="auto"/>
              <w:ind w:firstLineChars="221" w:firstLine="354"/>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312 – Transferências de Convênios - Assistência Social</w:t>
            </w:r>
          </w:p>
        </w:tc>
        <w:tc>
          <w:tcPr>
            <w:tcW w:w="1275" w:type="dxa"/>
            <w:tcBorders>
              <w:top w:val="nil"/>
              <w:left w:val="nil"/>
              <w:bottom w:val="nil"/>
              <w:right w:val="single" w:sz="8" w:space="0" w:color="auto"/>
            </w:tcBorders>
            <w:shd w:val="clear" w:color="auto" w:fill="auto"/>
            <w:vAlign w:val="center"/>
            <w:hideMark/>
          </w:tcPr>
          <w:p w14:paraId="2D9072E5"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ABF.B041</w:t>
            </w:r>
          </w:p>
        </w:tc>
        <w:tc>
          <w:tcPr>
            <w:tcW w:w="1560" w:type="dxa"/>
            <w:tcBorders>
              <w:top w:val="nil"/>
              <w:left w:val="nil"/>
              <w:bottom w:val="nil"/>
              <w:right w:val="single" w:sz="8" w:space="0" w:color="auto"/>
            </w:tcBorders>
            <w:shd w:val="clear" w:color="auto" w:fill="auto"/>
            <w:vAlign w:val="center"/>
            <w:hideMark/>
          </w:tcPr>
          <w:p w14:paraId="199491E3"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ABF.C041</w:t>
            </w:r>
          </w:p>
        </w:tc>
        <w:tc>
          <w:tcPr>
            <w:tcW w:w="1275" w:type="dxa"/>
            <w:tcBorders>
              <w:top w:val="nil"/>
              <w:left w:val="nil"/>
              <w:bottom w:val="nil"/>
              <w:right w:val="single" w:sz="8" w:space="0" w:color="auto"/>
            </w:tcBorders>
            <w:shd w:val="clear" w:color="auto" w:fill="auto"/>
            <w:vAlign w:val="center"/>
            <w:hideMark/>
          </w:tcPr>
          <w:p w14:paraId="73AD6B02"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ABF.D041</w:t>
            </w:r>
          </w:p>
        </w:tc>
        <w:tc>
          <w:tcPr>
            <w:tcW w:w="1276" w:type="dxa"/>
            <w:tcBorders>
              <w:top w:val="nil"/>
              <w:left w:val="nil"/>
              <w:bottom w:val="nil"/>
              <w:right w:val="single" w:sz="8" w:space="0" w:color="auto"/>
            </w:tcBorders>
            <w:shd w:val="clear" w:color="auto" w:fill="auto"/>
            <w:vAlign w:val="center"/>
            <w:hideMark/>
          </w:tcPr>
          <w:p w14:paraId="5EEF18BF"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ABF.E041</w:t>
            </w:r>
          </w:p>
        </w:tc>
        <w:tc>
          <w:tcPr>
            <w:tcW w:w="1701" w:type="dxa"/>
            <w:tcBorders>
              <w:top w:val="nil"/>
              <w:left w:val="nil"/>
              <w:bottom w:val="nil"/>
              <w:right w:val="single" w:sz="8" w:space="0" w:color="auto"/>
            </w:tcBorders>
            <w:shd w:val="clear" w:color="auto" w:fill="auto"/>
            <w:vAlign w:val="center"/>
            <w:hideMark/>
          </w:tcPr>
          <w:p w14:paraId="15953C51"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ABF.F041</w:t>
            </w:r>
          </w:p>
        </w:tc>
        <w:tc>
          <w:tcPr>
            <w:tcW w:w="1418" w:type="dxa"/>
            <w:tcBorders>
              <w:top w:val="nil"/>
              <w:left w:val="nil"/>
              <w:bottom w:val="nil"/>
              <w:right w:val="single" w:sz="8" w:space="0" w:color="auto"/>
            </w:tcBorders>
            <w:shd w:val="clear" w:color="auto" w:fill="auto"/>
            <w:vAlign w:val="center"/>
            <w:hideMark/>
          </w:tcPr>
          <w:p w14:paraId="1937BC9B"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ABF.G041</w:t>
            </w:r>
          </w:p>
        </w:tc>
      </w:tr>
      <w:tr w:rsidR="00B35BDF" w:rsidRPr="00B35BDF" w14:paraId="20439880" w14:textId="77777777" w:rsidTr="0015273C">
        <w:trPr>
          <w:trHeight w:val="255"/>
        </w:trPr>
        <w:tc>
          <w:tcPr>
            <w:tcW w:w="4977" w:type="dxa"/>
            <w:tcBorders>
              <w:top w:val="nil"/>
              <w:left w:val="single" w:sz="8" w:space="0" w:color="auto"/>
              <w:bottom w:val="nil"/>
              <w:right w:val="single" w:sz="8" w:space="0" w:color="auto"/>
            </w:tcBorders>
            <w:shd w:val="clear" w:color="auto" w:fill="auto"/>
            <w:noWrap/>
            <w:vAlign w:val="center"/>
            <w:hideMark/>
          </w:tcPr>
          <w:p w14:paraId="0378DFBF" w14:textId="77777777" w:rsidR="00B35BDF" w:rsidRPr="00B35BDF" w:rsidRDefault="00B35BDF" w:rsidP="0015273C">
            <w:pPr>
              <w:spacing w:after="0" w:line="240" w:lineRule="auto"/>
              <w:ind w:firstLineChars="221" w:firstLine="354"/>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390 – Outros Recursos destinados à Assistência Social – Demais Recursos</w:t>
            </w:r>
          </w:p>
        </w:tc>
        <w:tc>
          <w:tcPr>
            <w:tcW w:w="1275" w:type="dxa"/>
            <w:tcBorders>
              <w:top w:val="nil"/>
              <w:left w:val="nil"/>
              <w:bottom w:val="nil"/>
              <w:right w:val="single" w:sz="8" w:space="0" w:color="auto"/>
            </w:tcBorders>
            <w:shd w:val="clear" w:color="auto" w:fill="auto"/>
            <w:vAlign w:val="center"/>
            <w:hideMark/>
          </w:tcPr>
          <w:p w14:paraId="4F2C57A9"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ABF.B042</w:t>
            </w:r>
          </w:p>
        </w:tc>
        <w:tc>
          <w:tcPr>
            <w:tcW w:w="1560" w:type="dxa"/>
            <w:tcBorders>
              <w:top w:val="nil"/>
              <w:left w:val="nil"/>
              <w:bottom w:val="nil"/>
              <w:right w:val="single" w:sz="8" w:space="0" w:color="auto"/>
            </w:tcBorders>
            <w:shd w:val="clear" w:color="auto" w:fill="auto"/>
            <w:vAlign w:val="center"/>
            <w:hideMark/>
          </w:tcPr>
          <w:p w14:paraId="732BCDDA"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ABF.C042</w:t>
            </w:r>
          </w:p>
        </w:tc>
        <w:tc>
          <w:tcPr>
            <w:tcW w:w="1275" w:type="dxa"/>
            <w:tcBorders>
              <w:top w:val="nil"/>
              <w:left w:val="nil"/>
              <w:bottom w:val="nil"/>
              <w:right w:val="single" w:sz="8" w:space="0" w:color="auto"/>
            </w:tcBorders>
            <w:shd w:val="clear" w:color="auto" w:fill="auto"/>
            <w:vAlign w:val="center"/>
            <w:hideMark/>
          </w:tcPr>
          <w:p w14:paraId="72850DC4"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ABF.D042</w:t>
            </w:r>
          </w:p>
        </w:tc>
        <w:tc>
          <w:tcPr>
            <w:tcW w:w="1276" w:type="dxa"/>
            <w:tcBorders>
              <w:top w:val="nil"/>
              <w:left w:val="nil"/>
              <w:bottom w:val="nil"/>
              <w:right w:val="single" w:sz="8" w:space="0" w:color="auto"/>
            </w:tcBorders>
            <w:shd w:val="clear" w:color="auto" w:fill="auto"/>
            <w:vAlign w:val="center"/>
            <w:hideMark/>
          </w:tcPr>
          <w:p w14:paraId="756E15DB"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ABF.E042</w:t>
            </w:r>
          </w:p>
        </w:tc>
        <w:tc>
          <w:tcPr>
            <w:tcW w:w="1701" w:type="dxa"/>
            <w:tcBorders>
              <w:top w:val="nil"/>
              <w:left w:val="nil"/>
              <w:bottom w:val="nil"/>
              <w:right w:val="single" w:sz="8" w:space="0" w:color="auto"/>
            </w:tcBorders>
            <w:shd w:val="clear" w:color="auto" w:fill="auto"/>
            <w:vAlign w:val="center"/>
            <w:hideMark/>
          </w:tcPr>
          <w:p w14:paraId="1B4963ED"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ABF.F042</w:t>
            </w:r>
          </w:p>
        </w:tc>
        <w:tc>
          <w:tcPr>
            <w:tcW w:w="1418" w:type="dxa"/>
            <w:tcBorders>
              <w:top w:val="nil"/>
              <w:left w:val="nil"/>
              <w:bottom w:val="nil"/>
              <w:right w:val="single" w:sz="8" w:space="0" w:color="auto"/>
            </w:tcBorders>
            <w:shd w:val="clear" w:color="auto" w:fill="auto"/>
            <w:vAlign w:val="center"/>
            <w:hideMark/>
          </w:tcPr>
          <w:p w14:paraId="698B4E31"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ABF.G042</w:t>
            </w:r>
          </w:p>
        </w:tc>
      </w:tr>
      <w:tr w:rsidR="00B35BDF" w:rsidRPr="00B35BDF" w14:paraId="209F6B14" w14:textId="77777777" w:rsidTr="0015273C">
        <w:trPr>
          <w:trHeight w:val="255"/>
        </w:trPr>
        <w:tc>
          <w:tcPr>
            <w:tcW w:w="4977" w:type="dxa"/>
            <w:tcBorders>
              <w:top w:val="nil"/>
              <w:left w:val="single" w:sz="8" w:space="0" w:color="auto"/>
              <w:bottom w:val="nil"/>
              <w:right w:val="single" w:sz="8" w:space="0" w:color="auto"/>
            </w:tcBorders>
            <w:shd w:val="clear" w:color="auto" w:fill="auto"/>
            <w:noWrap/>
            <w:vAlign w:val="center"/>
            <w:hideMark/>
          </w:tcPr>
          <w:p w14:paraId="5C3E3326" w14:textId="77777777" w:rsidR="00B35BDF" w:rsidRPr="00B35BDF" w:rsidRDefault="00B35BDF" w:rsidP="0015273C">
            <w:pPr>
              <w:spacing w:after="0" w:line="240" w:lineRule="auto"/>
              <w:ind w:firstLineChars="100" w:firstLine="161"/>
              <w:rPr>
                <w:rFonts w:ascii="Arial Narrow" w:eastAsia="Times New Roman" w:hAnsi="Arial Narrow" w:cs="Arial"/>
                <w:b/>
                <w:bCs/>
                <w:sz w:val="16"/>
                <w:szCs w:val="16"/>
                <w:lang w:eastAsia="pt-BR"/>
              </w:rPr>
            </w:pPr>
            <w:r w:rsidRPr="00B35BDF">
              <w:rPr>
                <w:rFonts w:ascii="Arial Narrow" w:eastAsia="Times New Roman" w:hAnsi="Arial Narrow" w:cs="Arial"/>
                <w:b/>
                <w:bCs/>
                <w:sz w:val="16"/>
                <w:szCs w:val="16"/>
                <w:lang w:eastAsia="pt-BR"/>
              </w:rPr>
              <w:t xml:space="preserve"> Outras Destinações de Recursos</w:t>
            </w:r>
          </w:p>
        </w:tc>
        <w:tc>
          <w:tcPr>
            <w:tcW w:w="1275" w:type="dxa"/>
            <w:tcBorders>
              <w:top w:val="nil"/>
              <w:left w:val="nil"/>
              <w:bottom w:val="nil"/>
              <w:right w:val="single" w:sz="8" w:space="0" w:color="auto"/>
            </w:tcBorders>
            <w:shd w:val="clear" w:color="auto" w:fill="auto"/>
            <w:vAlign w:val="center"/>
            <w:hideMark/>
          </w:tcPr>
          <w:p w14:paraId="593D320A" w14:textId="77777777" w:rsidR="00B35BDF" w:rsidRPr="00B35BDF" w:rsidRDefault="00B35BDF" w:rsidP="0015273C">
            <w:pPr>
              <w:spacing w:after="0" w:line="240" w:lineRule="auto"/>
              <w:jc w:val="center"/>
              <w:rPr>
                <w:rFonts w:ascii="Arial Narrow" w:eastAsia="Times New Roman" w:hAnsi="Arial Narrow" w:cs="Arial"/>
                <w:b/>
                <w:bCs/>
                <w:sz w:val="16"/>
                <w:szCs w:val="16"/>
                <w:lang w:eastAsia="pt-BR"/>
              </w:rPr>
            </w:pPr>
            <w:r w:rsidRPr="00B35BDF">
              <w:rPr>
                <w:rFonts w:ascii="Arial Narrow" w:eastAsia="Times New Roman" w:hAnsi="Arial Narrow" w:cs="Arial"/>
                <w:b/>
                <w:bCs/>
                <w:sz w:val="16"/>
                <w:szCs w:val="16"/>
                <w:lang w:eastAsia="pt-BR"/>
              </w:rPr>
              <w:t>ABF.B043</w:t>
            </w:r>
          </w:p>
        </w:tc>
        <w:tc>
          <w:tcPr>
            <w:tcW w:w="1560" w:type="dxa"/>
            <w:tcBorders>
              <w:top w:val="nil"/>
              <w:left w:val="nil"/>
              <w:bottom w:val="nil"/>
              <w:right w:val="single" w:sz="8" w:space="0" w:color="auto"/>
            </w:tcBorders>
            <w:shd w:val="clear" w:color="auto" w:fill="auto"/>
            <w:vAlign w:val="center"/>
            <w:hideMark/>
          </w:tcPr>
          <w:p w14:paraId="1BB57F6E" w14:textId="77777777" w:rsidR="00B35BDF" w:rsidRPr="00B35BDF" w:rsidRDefault="00B35BDF" w:rsidP="0015273C">
            <w:pPr>
              <w:spacing w:after="0" w:line="240" w:lineRule="auto"/>
              <w:jc w:val="center"/>
              <w:rPr>
                <w:rFonts w:ascii="Arial Narrow" w:eastAsia="Times New Roman" w:hAnsi="Arial Narrow" w:cs="Arial"/>
                <w:b/>
                <w:bCs/>
                <w:sz w:val="16"/>
                <w:szCs w:val="16"/>
                <w:lang w:eastAsia="pt-BR"/>
              </w:rPr>
            </w:pPr>
            <w:r w:rsidRPr="00B35BDF">
              <w:rPr>
                <w:rFonts w:ascii="Arial Narrow" w:eastAsia="Times New Roman" w:hAnsi="Arial Narrow" w:cs="Arial"/>
                <w:b/>
                <w:bCs/>
                <w:sz w:val="16"/>
                <w:szCs w:val="16"/>
                <w:lang w:eastAsia="pt-BR"/>
              </w:rPr>
              <w:t>ABF.C043</w:t>
            </w:r>
          </w:p>
        </w:tc>
        <w:tc>
          <w:tcPr>
            <w:tcW w:w="1275" w:type="dxa"/>
            <w:tcBorders>
              <w:top w:val="nil"/>
              <w:left w:val="nil"/>
              <w:bottom w:val="nil"/>
              <w:right w:val="single" w:sz="8" w:space="0" w:color="auto"/>
            </w:tcBorders>
            <w:shd w:val="clear" w:color="auto" w:fill="auto"/>
            <w:vAlign w:val="center"/>
            <w:hideMark/>
          </w:tcPr>
          <w:p w14:paraId="1CE6519D" w14:textId="77777777" w:rsidR="00B35BDF" w:rsidRPr="00B35BDF" w:rsidRDefault="00B35BDF" w:rsidP="0015273C">
            <w:pPr>
              <w:spacing w:after="0" w:line="240" w:lineRule="auto"/>
              <w:jc w:val="center"/>
              <w:rPr>
                <w:rFonts w:ascii="Arial Narrow" w:eastAsia="Times New Roman" w:hAnsi="Arial Narrow" w:cs="Arial"/>
                <w:b/>
                <w:bCs/>
                <w:sz w:val="16"/>
                <w:szCs w:val="16"/>
                <w:lang w:eastAsia="pt-BR"/>
              </w:rPr>
            </w:pPr>
            <w:r w:rsidRPr="00B35BDF">
              <w:rPr>
                <w:rFonts w:ascii="Arial Narrow" w:eastAsia="Times New Roman" w:hAnsi="Arial Narrow" w:cs="Arial"/>
                <w:b/>
                <w:bCs/>
                <w:sz w:val="16"/>
                <w:szCs w:val="16"/>
                <w:lang w:eastAsia="pt-BR"/>
              </w:rPr>
              <w:t>ABF.D043</w:t>
            </w:r>
          </w:p>
        </w:tc>
        <w:tc>
          <w:tcPr>
            <w:tcW w:w="1276" w:type="dxa"/>
            <w:tcBorders>
              <w:top w:val="nil"/>
              <w:left w:val="nil"/>
              <w:bottom w:val="nil"/>
              <w:right w:val="single" w:sz="8" w:space="0" w:color="auto"/>
            </w:tcBorders>
            <w:shd w:val="clear" w:color="auto" w:fill="auto"/>
            <w:vAlign w:val="center"/>
            <w:hideMark/>
          </w:tcPr>
          <w:p w14:paraId="4AD5C5C8" w14:textId="77777777" w:rsidR="00B35BDF" w:rsidRPr="00B35BDF" w:rsidRDefault="00B35BDF" w:rsidP="0015273C">
            <w:pPr>
              <w:spacing w:after="0" w:line="240" w:lineRule="auto"/>
              <w:jc w:val="center"/>
              <w:rPr>
                <w:rFonts w:ascii="Arial Narrow" w:eastAsia="Times New Roman" w:hAnsi="Arial Narrow" w:cs="Arial"/>
                <w:b/>
                <w:bCs/>
                <w:sz w:val="16"/>
                <w:szCs w:val="16"/>
                <w:lang w:eastAsia="pt-BR"/>
              </w:rPr>
            </w:pPr>
            <w:r w:rsidRPr="00B35BDF">
              <w:rPr>
                <w:rFonts w:ascii="Arial Narrow" w:eastAsia="Times New Roman" w:hAnsi="Arial Narrow" w:cs="Arial"/>
                <w:b/>
                <w:bCs/>
                <w:sz w:val="16"/>
                <w:szCs w:val="16"/>
                <w:lang w:eastAsia="pt-BR"/>
              </w:rPr>
              <w:t>ABF.E043</w:t>
            </w:r>
          </w:p>
        </w:tc>
        <w:tc>
          <w:tcPr>
            <w:tcW w:w="1701" w:type="dxa"/>
            <w:tcBorders>
              <w:top w:val="nil"/>
              <w:left w:val="nil"/>
              <w:bottom w:val="nil"/>
              <w:right w:val="single" w:sz="8" w:space="0" w:color="auto"/>
            </w:tcBorders>
            <w:shd w:val="clear" w:color="auto" w:fill="auto"/>
            <w:vAlign w:val="center"/>
            <w:hideMark/>
          </w:tcPr>
          <w:p w14:paraId="06116A05" w14:textId="77777777" w:rsidR="00B35BDF" w:rsidRPr="00B35BDF" w:rsidRDefault="00B35BDF" w:rsidP="0015273C">
            <w:pPr>
              <w:spacing w:after="0" w:line="240" w:lineRule="auto"/>
              <w:jc w:val="center"/>
              <w:rPr>
                <w:rFonts w:ascii="Arial Narrow" w:eastAsia="Times New Roman" w:hAnsi="Arial Narrow" w:cs="Arial"/>
                <w:b/>
                <w:bCs/>
                <w:sz w:val="16"/>
                <w:szCs w:val="16"/>
                <w:lang w:eastAsia="pt-BR"/>
              </w:rPr>
            </w:pPr>
            <w:r w:rsidRPr="00B35BDF">
              <w:rPr>
                <w:rFonts w:ascii="Arial Narrow" w:eastAsia="Times New Roman" w:hAnsi="Arial Narrow" w:cs="Arial"/>
                <w:b/>
                <w:bCs/>
                <w:sz w:val="16"/>
                <w:szCs w:val="16"/>
                <w:lang w:eastAsia="pt-BR"/>
              </w:rPr>
              <w:t>ABF.F043</w:t>
            </w:r>
          </w:p>
        </w:tc>
        <w:tc>
          <w:tcPr>
            <w:tcW w:w="1418" w:type="dxa"/>
            <w:tcBorders>
              <w:top w:val="nil"/>
              <w:left w:val="nil"/>
              <w:bottom w:val="nil"/>
              <w:right w:val="single" w:sz="8" w:space="0" w:color="auto"/>
            </w:tcBorders>
            <w:shd w:val="clear" w:color="auto" w:fill="auto"/>
            <w:vAlign w:val="center"/>
            <w:hideMark/>
          </w:tcPr>
          <w:p w14:paraId="651CE58E" w14:textId="77777777" w:rsidR="00B35BDF" w:rsidRPr="00B35BDF" w:rsidRDefault="00B35BDF" w:rsidP="0015273C">
            <w:pPr>
              <w:spacing w:after="0" w:line="240" w:lineRule="auto"/>
              <w:jc w:val="center"/>
              <w:rPr>
                <w:rFonts w:ascii="Arial Narrow" w:eastAsia="Times New Roman" w:hAnsi="Arial Narrow" w:cs="Arial"/>
                <w:b/>
                <w:bCs/>
                <w:sz w:val="16"/>
                <w:szCs w:val="16"/>
                <w:lang w:eastAsia="pt-BR"/>
              </w:rPr>
            </w:pPr>
            <w:r w:rsidRPr="00B35BDF">
              <w:rPr>
                <w:rFonts w:ascii="Arial Narrow" w:eastAsia="Times New Roman" w:hAnsi="Arial Narrow" w:cs="Arial"/>
                <w:b/>
                <w:bCs/>
                <w:sz w:val="16"/>
                <w:szCs w:val="16"/>
                <w:lang w:eastAsia="pt-BR"/>
              </w:rPr>
              <w:t>ABF.G043</w:t>
            </w:r>
          </w:p>
        </w:tc>
      </w:tr>
      <w:tr w:rsidR="00B35BDF" w:rsidRPr="00B35BDF" w14:paraId="10B2BDD5" w14:textId="77777777" w:rsidTr="0015273C">
        <w:trPr>
          <w:trHeight w:val="255"/>
        </w:trPr>
        <w:tc>
          <w:tcPr>
            <w:tcW w:w="4977" w:type="dxa"/>
            <w:tcBorders>
              <w:top w:val="nil"/>
              <w:left w:val="single" w:sz="8" w:space="0" w:color="auto"/>
              <w:bottom w:val="nil"/>
              <w:right w:val="single" w:sz="8" w:space="0" w:color="auto"/>
            </w:tcBorders>
            <w:shd w:val="clear" w:color="auto" w:fill="auto"/>
            <w:noWrap/>
            <w:vAlign w:val="center"/>
            <w:hideMark/>
          </w:tcPr>
          <w:p w14:paraId="1EDBA6B9" w14:textId="77777777" w:rsidR="00B35BDF" w:rsidRPr="00B35BDF" w:rsidRDefault="00B35BDF" w:rsidP="0015273C">
            <w:pPr>
              <w:spacing w:after="0" w:line="240" w:lineRule="auto"/>
              <w:ind w:left="148" w:firstLineChars="133" w:firstLine="213"/>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 xml:space="preserve"> 510 – Outras Transferências de Convênios ou Contratos de Repasses da      União</w:t>
            </w:r>
          </w:p>
        </w:tc>
        <w:tc>
          <w:tcPr>
            <w:tcW w:w="1275" w:type="dxa"/>
            <w:tcBorders>
              <w:top w:val="nil"/>
              <w:left w:val="nil"/>
              <w:bottom w:val="nil"/>
              <w:right w:val="single" w:sz="8" w:space="0" w:color="auto"/>
            </w:tcBorders>
            <w:shd w:val="clear" w:color="auto" w:fill="auto"/>
            <w:vAlign w:val="center"/>
            <w:hideMark/>
          </w:tcPr>
          <w:p w14:paraId="6B97D37B"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ABF.B044</w:t>
            </w:r>
          </w:p>
        </w:tc>
        <w:tc>
          <w:tcPr>
            <w:tcW w:w="1560" w:type="dxa"/>
            <w:tcBorders>
              <w:top w:val="nil"/>
              <w:left w:val="nil"/>
              <w:bottom w:val="nil"/>
              <w:right w:val="single" w:sz="8" w:space="0" w:color="auto"/>
            </w:tcBorders>
            <w:shd w:val="clear" w:color="auto" w:fill="auto"/>
            <w:vAlign w:val="center"/>
            <w:hideMark/>
          </w:tcPr>
          <w:p w14:paraId="3A991271"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ABF.C044</w:t>
            </w:r>
          </w:p>
        </w:tc>
        <w:tc>
          <w:tcPr>
            <w:tcW w:w="1275" w:type="dxa"/>
            <w:tcBorders>
              <w:top w:val="nil"/>
              <w:left w:val="nil"/>
              <w:bottom w:val="nil"/>
              <w:right w:val="single" w:sz="8" w:space="0" w:color="auto"/>
            </w:tcBorders>
            <w:shd w:val="clear" w:color="auto" w:fill="auto"/>
            <w:vAlign w:val="center"/>
            <w:hideMark/>
          </w:tcPr>
          <w:p w14:paraId="1D653D2A"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ABF.D044</w:t>
            </w:r>
          </w:p>
        </w:tc>
        <w:tc>
          <w:tcPr>
            <w:tcW w:w="1276" w:type="dxa"/>
            <w:tcBorders>
              <w:top w:val="nil"/>
              <w:left w:val="nil"/>
              <w:bottom w:val="nil"/>
              <w:right w:val="single" w:sz="8" w:space="0" w:color="auto"/>
            </w:tcBorders>
            <w:shd w:val="clear" w:color="auto" w:fill="auto"/>
            <w:vAlign w:val="center"/>
            <w:hideMark/>
          </w:tcPr>
          <w:p w14:paraId="4FE82C01"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ABF.E044</w:t>
            </w:r>
          </w:p>
        </w:tc>
        <w:tc>
          <w:tcPr>
            <w:tcW w:w="1701" w:type="dxa"/>
            <w:tcBorders>
              <w:top w:val="nil"/>
              <w:left w:val="nil"/>
              <w:bottom w:val="nil"/>
              <w:right w:val="single" w:sz="8" w:space="0" w:color="auto"/>
            </w:tcBorders>
            <w:shd w:val="clear" w:color="auto" w:fill="auto"/>
            <w:vAlign w:val="center"/>
            <w:hideMark/>
          </w:tcPr>
          <w:p w14:paraId="18ED019A"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ABF.F044</w:t>
            </w:r>
          </w:p>
        </w:tc>
        <w:tc>
          <w:tcPr>
            <w:tcW w:w="1418" w:type="dxa"/>
            <w:tcBorders>
              <w:top w:val="nil"/>
              <w:left w:val="nil"/>
              <w:bottom w:val="nil"/>
              <w:right w:val="single" w:sz="8" w:space="0" w:color="auto"/>
            </w:tcBorders>
            <w:shd w:val="clear" w:color="auto" w:fill="auto"/>
            <w:vAlign w:val="center"/>
            <w:hideMark/>
          </w:tcPr>
          <w:p w14:paraId="57631F40"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ABF.G044</w:t>
            </w:r>
          </w:p>
        </w:tc>
      </w:tr>
      <w:tr w:rsidR="00B35BDF" w:rsidRPr="00B35BDF" w14:paraId="7DD970CE" w14:textId="77777777" w:rsidTr="0015273C">
        <w:trPr>
          <w:trHeight w:val="255"/>
        </w:trPr>
        <w:tc>
          <w:tcPr>
            <w:tcW w:w="4977" w:type="dxa"/>
            <w:tcBorders>
              <w:top w:val="nil"/>
              <w:left w:val="single" w:sz="8" w:space="0" w:color="auto"/>
              <w:bottom w:val="nil"/>
              <w:right w:val="single" w:sz="8" w:space="0" w:color="auto"/>
            </w:tcBorders>
            <w:shd w:val="clear" w:color="auto" w:fill="auto"/>
            <w:noWrap/>
            <w:vAlign w:val="center"/>
            <w:hideMark/>
          </w:tcPr>
          <w:p w14:paraId="34295737" w14:textId="77777777" w:rsidR="00B35BDF" w:rsidRPr="00B35BDF" w:rsidRDefault="00B35BDF" w:rsidP="0015273C">
            <w:pPr>
              <w:spacing w:after="0" w:line="240" w:lineRule="auto"/>
              <w:ind w:left="148" w:firstLineChars="133" w:firstLine="213"/>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520 – Outras Transferências de Convênios ou Contratos de Repasses dos Estados</w:t>
            </w:r>
          </w:p>
        </w:tc>
        <w:tc>
          <w:tcPr>
            <w:tcW w:w="1275" w:type="dxa"/>
            <w:tcBorders>
              <w:top w:val="nil"/>
              <w:left w:val="nil"/>
              <w:bottom w:val="nil"/>
              <w:right w:val="single" w:sz="8" w:space="0" w:color="auto"/>
            </w:tcBorders>
            <w:shd w:val="clear" w:color="auto" w:fill="auto"/>
            <w:vAlign w:val="center"/>
            <w:hideMark/>
          </w:tcPr>
          <w:p w14:paraId="3103B3B8"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ABF.B045</w:t>
            </w:r>
          </w:p>
        </w:tc>
        <w:tc>
          <w:tcPr>
            <w:tcW w:w="1560" w:type="dxa"/>
            <w:tcBorders>
              <w:top w:val="nil"/>
              <w:left w:val="nil"/>
              <w:bottom w:val="nil"/>
              <w:right w:val="single" w:sz="8" w:space="0" w:color="auto"/>
            </w:tcBorders>
            <w:shd w:val="clear" w:color="auto" w:fill="auto"/>
            <w:vAlign w:val="center"/>
            <w:hideMark/>
          </w:tcPr>
          <w:p w14:paraId="76127268"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ABF.C045</w:t>
            </w:r>
          </w:p>
        </w:tc>
        <w:tc>
          <w:tcPr>
            <w:tcW w:w="1275" w:type="dxa"/>
            <w:tcBorders>
              <w:top w:val="nil"/>
              <w:left w:val="nil"/>
              <w:bottom w:val="nil"/>
              <w:right w:val="single" w:sz="8" w:space="0" w:color="auto"/>
            </w:tcBorders>
            <w:shd w:val="clear" w:color="auto" w:fill="auto"/>
            <w:vAlign w:val="center"/>
            <w:hideMark/>
          </w:tcPr>
          <w:p w14:paraId="3CBBF472"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ABF.D045</w:t>
            </w:r>
          </w:p>
        </w:tc>
        <w:tc>
          <w:tcPr>
            <w:tcW w:w="1276" w:type="dxa"/>
            <w:tcBorders>
              <w:top w:val="nil"/>
              <w:left w:val="nil"/>
              <w:bottom w:val="nil"/>
              <w:right w:val="single" w:sz="8" w:space="0" w:color="auto"/>
            </w:tcBorders>
            <w:shd w:val="clear" w:color="auto" w:fill="auto"/>
            <w:vAlign w:val="center"/>
            <w:hideMark/>
          </w:tcPr>
          <w:p w14:paraId="119D8C37"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ABF.E045</w:t>
            </w:r>
          </w:p>
        </w:tc>
        <w:tc>
          <w:tcPr>
            <w:tcW w:w="1701" w:type="dxa"/>
            <w:tcBorders>
              <w:top w:val="nil"/>
              <w:left w:val="nil"/>
              <w:bottom w:val="nil"/>
              <w:right w:val="single" w:sz="8" w:space="0" w:color="auto"/>
            </w:tcBorders>
            <w:shd w:val="clear" w:color="auto" w:fill="auto"/>
            <w:vAlign w:val="center"/>
            <w:hideMark/>
          </w:tcPr>
          <w:p w14:paraId="6418C271"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ABF.F045</w:t>
            </w:r>
          </w:p>
        </w:tc>
        <w:tc>
          <w:tcPr>
            <w:tcW w:w="1418" w:type="dxa"/>
            <w:tcBorders>
              <w:top w:val="nil"/>
              <w:left w:val="nil"/>
              <w:bottom w:val="nil"/>
              <w:right w:val="single" w:sz="8" w:space="0" w:color="auto"/>
            </w:tcBorders>
            <w:shd w:val="clear" w:color="auto" w:fill="auto"/>
            <w:vAlign w:val="center"/>
            <w:hideMark/>
          </w:tcPr>
          <w:p w14:paraId="24E84630"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ABF.G045</w:t>
            </w:r>
          </w:p>
        </w:tc>
      </w:tr>
      <w:tr w:rsidR="00B35BDF" w:rsidRPr="00B35BDF" w14:paraId="0EE64314" w14:textId="77777777" w:rsidTr="0015273C">
        <w:trPr>
          <w:trHeight w:val="255"/>
        </w:trPr>
        <w:tc>
          <w:tcPr>
            <w:tcW w:w="4977" w:type="dxa"/>
            <w:tcBorders>
              <w:top w:val="nil"/>
              <w:left w:val="single" w:sz="8" w:space="0" w:color="auto"/>
              <w:bottom w:val="nil"/>
              <w:right w:val="single" w:sz="8" w:space="0" w:color="auto"/>
            </w:tcBorders>
            <w:shd w:val="clear" w:color="auto" w:fill="auto"/>
            <w:noWrap/>
            <w:vAlign w:val="center"/>
          </w:tcPr>
          <w:p w14:paraId="19C99915" w14:textId="77777777" w:rsidR="00B35BDF" w:rsidRPr="00B35BDF" w:rsidRDefault="00B35BDF" w:rsidP="0015273C">
            <w:pPr>
              <w:spacing w:after="0" w:line="240" w:lineRule="auto"/>
              <w:ind w:left="148" w:firstLineChars="133" w:firstLine="213"/>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550 - Transferência Especial da União</w:t>
            </w:r>
          </w:p>
        </w:tc>
        <w:tc>
          <w:tcPr>
            <w:tcW w:w="1275" w:type="dxa"/>
            <w:tcBorders>
              <w:top w:val="nil"/>
              <w:left w:val="nil"/>
              <w:bottom w:val="nil"/>
              <w:right w:val="single" w:sz="8" w:space="0" w:color="auto"/>
            </w:tcBorders>
            <w:shd w:val="clear" w:color="auto" w:fill="auto"/>
            <w:vAlign w:val="center"/>
          </w:tcPr>
          <w:p w14:paraId="6602730C"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ABF.B087</w:t>
            </w:r>
          </w:p>
        </w:tc>
        <w:tc>
          <w:tcPr>
            <w:tcW w:w="1560" w:type="dxa"/>
            <w:tcBorders>
              <w:top w:val="nil"/>
              <w:left w:val="nil"/>
              <w:bottom w:val="nil"/>
              <w:right w:val="single" w:sz="8" w:space="0" w:color="auto"/>
            </w:tcBorders>
            <w:shd w:val="clear" w:color="auto" w:fill="auto"/>
            <w:vAlign w:val="center"/>
          </w:tcPr>
          <w:p w14:paraId="07048AF3"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ABF.C087</w:t>
            </w:r>
          </w:p>
        </w:tc>
        <w:tc>
          <w:tcPr>
            <w:tcW w:w="1275" w:type="dxa"/>
            <w:tcBorders>
              <w:top w:val="nil"/>
              <w:left w:val="nil"/>
              <w:bottom w:val="nil"/>
              <w:right w:val="single" w:sz="8" w:space="0" w:color="auto"/>
            </w:tcBorders>
            <w:shd w:val="clear" w:color="auto" w:fill="auto"/>
            <w:vAlign w:val="center"/>
          </w:tcPr>
          <w:p w14:paraId="54533BDB"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ABF.D087</w:t>
            </w:r>
          </w:p>
        </w:tc>
        <w:tc>
          <w:tcPr>
            <w:tcW w:w="1276" w:type="dxa"/>
            <w:tcBorders>
              <w:top w:val="nil"/>
              <w:left w:val="nil"/>
              <w:bottom w:val="nil"/>
              <w:right w:val="single" w:sz="8" w:space="0" w:color="auto"/>
            </w:tcBorders>
            <w:shd w:val="clear" w:color="auto" w:fill="auto"/>
            <w:vAlign w:val="center"/>
          </w:tcPr>
          <w:p w14:paraId="182C2783"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ABF.E087</w:t>
            </w:r>
          </w:p>
        </w:tc>
        <w:tc>
          <w:tcPr>
            <w:tcW w:w="1701" w:type="dxa"/>
            <w:tcBorders>
              <w:top w:val="nil"/>
              <w:left w:val="nil"/>
              <w:bottom w:val="nil"/>
              <w:right w:val="single" w:sz="8" w:space="0" w:color="auto"/>
            </w:tcBorders>
            <w:shd w:val="clear" w:color="auto" w:fill="auto"/>
            <w:vAlign w:val="center"/>
          </w:tcPr>
          <w:p w14:paraId="70F49618"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ABF.F087</w:t>
            </w:r>
          </w:p>
        </w:tc>
        <w:tc>
          <w:tcPr>
            <w:tcW w:w="1418" w:type="dxa"/>
            <w:tcBorders>
              <w:top w:val="nil"/>
              <w:left w:val="nil"/>
              <w:bottom w:val="nil"/>
              <w:right w:val="single" w:sz="8" w:space="0" w:color="auto"/>
            </w:tcBorders>
            <w:shd w:val="clear" w:color="auto" w:fill="auto"/>
            <w:vAlign w:val="center"/>
          </w:tcPr>
          <w:p w14:paraId="722EF7D3"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ABF.G087</w:t>
            </w:r>
          </w:p>
        </w:tc>
      </w:tr>
      <w:tr w:rsidR="00B35BDF" w:rsidRPr="00B35BDF" w14:paraId="5189011C" w14:textId="77777777" w:rsidTr="0015273C">
        <w:trPr>
          <w:trHeight w:val="255"/>
        </w:trPr>
        <w:tc>
          <w:tcPr>
            <w:tcW w:w="4977" w:type="dxa"/>
            <w:tcBorders>
              <w:top w:val="nil"/>
              <w:left w:val="single" w:sz="8" w:space="0" w:color="auto"/>
              <w:bottom w:val="nil"/>
              <w:right w:val="single" w:sz="8" w:space="0" w:color="auto"/>
            </w:tcBorders>
            <w:shd w:val="clear" w:color="auto" w:fill="auto"/>
            <w:noWrap/>
            <w:vAlign w:val="center"/>
          </w:tcPr>
          <w:p w14:paraId="32A81F9F" w14:textId="77777777" w:rsidR="00B35BDF" w:rsidRPr="00B35BDF" w:rsidRDefault="00B35BDF" w:rsidP="0015273C">
            <w:pPr>
              <w:spacing w:after="0" w:line="240" w:lineRule="auto"/>
              <w:ind w:left="148" w:firstLineChars="133" w:firstLine="213"/>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560 – Trasnsferências da União – Inciso I do Artigo 5º da LC 173/2020</w:t>
            </w:r>
          </w:p>
        </w:tc>
        <w:tc>
          <w:tcPr>
            <w:tcW w:w="1275" w:type="dxa"/>
            <w:tcBorders>
              <w:top w:val="nil"/>
              <w:left w:val="nil"/>
              <w:bottom w:val="nil"/>
              <w:right w:val="single" w:sz="8" w:space="0" w:color="auto"/>
            </w:tcBorders>
            <w:shd w:val="clear" w:color="auto" w:fill="auto"/>
            <w:vAlign w:val="center"/>
          </w:tcPr>
          <w:p w14:paraId="76D1E9EE"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ABF.B093</w:t>
            </w:r>
          </w:p>
        </w:tc>
        <w:tc>
          <w:tcPr>
            <w:tcW w:w="1560" w:type="dxa"/>
            <w:tcBorders>
              <w:top w:val="nil"/>
              <w:left w:val="nil"/>
              <w:bottom w:val="nil"/>
              <w:right w:val="single" w:sz="8" w:space="0" w:color="auto"/>
            </w:tcBorders>
            <w:shd w:val="clear" w:color="auto" w:fill="auto"/>
            <w:vAlign w:val="center"/>
          </w:tcPr>
          <w:p w14:paraId="6E084120"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ABF.C093</w:t>
            </w:r>
          </w:p>
        </w:tc>
        <w:tc>
          <w:tcPr>
            <w:tcW w:w="1275" w:type="dxa"/>
            <w:tcBorders>
              <w:top w:val="nil"/>
              <w:left w:val="nil"/>
              <w:bottom w:val="nil"/>
              <w:right w:val="single" w:sz="8" w:space="0" w:color="auto"/>
            </w:tcBorders>
            <w:shd w:val="clear" w:color="auto" w:fill="auto"/>
            <w:vAlign w:val="center"/>
          </w:tcPr>
          <w:p w14:paraId="4DB75798"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ABF.D093</w:t>
            </w:r>
          </w:p>
        </w:tc>
        <w:tc>
          <w:tcPr>
            <w:tcW w:w="1276" w:type="dxa"/>
            <w:tcBorders>
              <w:top w:val="nil"/>
              <w:left w:val="nil"/>
              <w:bottom w:val="nil"/>
              <w:right w:val="single" w:sz="8" w:space="0" w:color="auto"/>
            </w:tcBorders>
            <w:shd w:val="clear" w:color="auto" w:fill="auto"/>
            <w:vAlign w:val="center"/>
          </w:tcPr>
          <w:p w14:paraId="0DA83C83"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ABF.E093</w:t>
            </w:r>
          </w:p>
        </w:tc>
        <w:tc>
          <w:tcPr>
            <w:tcW w:w="1701" w:type="dxa"/>
            <w:tcBorders>
              <w:top w:val="nil"/>
              <w:left w:val="nil"/>
              <w:bottom w:val="nil"/>
              <w:right w:val="single" w:sz="8" w:space="0" w:color="auto"/>
            </w:tcBorders>
            <w:shd w:val="clear" w:color="auto" w:fill="auto"/>
            <w:vAlign w:val="center"/>
          </w:tcPr>
          <w:p w14:paraId="0A261C59"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ABF.F093</w:t>
            </w:r>
          </w:p>
        </w:tc>
        <w:tc>
          <w:tcPr>
            <w:tcW w:w="1418" w:type="dxa"/>
            <w:tcBorders>
              <w:top w:val="nil"/>
              <w:left w:val="nil"/>
              <w:bottom w:val="nil"/>
              <w:right w:val="single" w:sz="8" w:space="0" w:color="auto"/>
            </w:tcBorders>
            <w:shd w:val="clear" w:color="auto" w:fill="auto"/>
            <w:vAlign w:val="center"/>
          </w:tcPr>
          <w:p w14:paraId="731A42FE"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ABF.G093</w:t>
            </w:r>
          </w:p>
        </w:tc>
      </w:tr>
      <w:tr w:rsidR="00B35BDF" w:rsidRPr="00B35BDF" w14:paraId="713E7044" w14:textId="77777777" w:rsidTr="0015273C">
        <w:trPr>
          <w:trHeight w:val="255"/>
        </w:trPr>
        <w:tc>
          <w:tcPr>
            <w:tcW w:w="4977" w:type="dxa"/>
            <w:tcBorders>
              <w:top w:val="nil"/>
              <w:left w:val="single" w:sz="8" w:space="0" w:color="auto"/>
              <w:bottom w:val="nil"/>
              <w:right w:val="single" w:sz="8" w:space="0" w:color="auto"/>
            </w:tcBorders>
            <w:shd w:val="clear" w:color="auto" w:fill="auto"/>
            <w:noWrap/>
            <w:vAlign w:val="center"/>
            <w:hideMark/>
          </w:tcPr>
          <w:p w14:paraId="0FFC6C50" w14:textId="77777777" w:rsidR="00B35BDF" w:rsidRPr="00B35BDF" w:rsidRDefault="00B35BDF" w:rsidP="0015273C">
            <w:pPr>
              <w:spacing w:after="0" w:line="240" w:lineRule="auto"/>
              <w:ind w:firstLineChars="133" w:firstLine="213"/>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lastRenderedPageBreak/>
              <w:t xml:space="preserve">    610 – Contribuição de Intervenção no Domínio Econômico - CIDE</w:t>
            </w:r>
          </w:p>
        </w:tc>
        <w:tc>
          <w:tcPr>
            <w:tcW w:w="1275" w:type="dxa"/>
            <w:tcBorders>
              <w:top w:val="nil"/>
              <w:left w:val="nil"/>
              <w:bottom w:val="nil"/>
              <w:right w:val="single" w:sz="8" w:space="0" w:color="auto"/>
            </w:tcBorders>
            <w:shd w:val="clear" w:color="auto" w:fill="auto"/>
            <w:vAlign w:val="center"/>
            <w:hideMark/>
          </w:tcPr>
          <w:p w14:paraId="61D3E412"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ABF.B046</w:t>
            </w:r>
          </w:p>
        </w:tc>
        <w:tc>
          <w:tcPr>
            <w:tcW w:w="1560" w:type="dxa"/>
            <w:tcBorders>
              <w:top w:val="nil"/>
              <w:left w:val="nil"/>
              <w:bottom w:val="nil"/>
              <w:right w:val="single" w:sz="8" w:space="0" w:color="auto"/>
            </w:tcBorders>
            <w:shd w:val="clear" w:color="auto" w:fill="auto"/>
            <w:vAlign w:val="center"/>
            <w:hideMark/>
          </w:tcPr>
          <w:p w14:paraId="18E16A6C"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ABF.C046</w:t>
            </w:r>
          </w:p>
        </w:tc>
        <w:tc>
          <w:tcPr>
            <w:tcW w:w="1275" w:type="dxa"/>
            <w:tcBorders>
              <w:top w:val="nil"/>
              <w:left w:val="nil"/>
              <w:bottom w:val="nil"/>
              <w:right w:val="single" w:sz="8" w:space="0" w:color="auto"/>
            </w:tcBorders>
            <w:shd w:val="clear" w:color="auto" w:fill="auto"/>
            <w:vAlign w:val="center"/>
            <w:hideMark/>
          </w:tcPr>
          <w:p w14:paraId="1ABC6995"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ABF.D046</w:t>
            </w:r>
          </w:p>
        </w:tc>
        <w:tc>
          <w:tcPr>
            <w:tcW w:w="1276" w:type="dxa"/>
            <w:tcBorders>
              <w:top w:val="nil"/>
              <w:left w:val="nil"/>
              <w:bottom w:val="nil"/>
              <w:right w:val="single" w:sz="8" w:space="0" w:color="auto"/>
            </w:tcBorders>
            <w:shd w:val="clear" w:color="auto" w:fill="auto"/>
            <w:vAlign w:val="center"/>
            <w:hideMark/>
          </w:tcPr>
          <w:p w14:paraId="492B4362"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ABF.E046</w:t>
            </w:r>
          </w:p>
        </w:tc>
        <w:tc>
          <w:tcPr>
            <w:tcW w:w="1701" w:type="dxa"/>
            <w:tcBorders>
              <w:top w:val="nil"/>
              <w:left w:val="nil"/>
              <w:bottom w:val="nil"/>
              <w:right w:val="single" w:sz="8" w:space="0" w:color="auto"/>
            </w:tcBorders>
            <w:shd w:val="clear" w:color="auto" w:fill="auto"/>
            <w:vAlign w:val="center"/>
            <w:hideMark/>
          </w:tcPr>
          <w:p w14:paraId="1BC4E0AB"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ABF.F046</w:t>
            </w:r>
          </w:p>
        </w:tc>
        <w:tc>
          <w:tcPr>
            <w:tcW w:w="1418" w:type="dxa"/>
            <w:tcBorders>
              <w:top w:val="nil"/>
              <w:left w:val="nil"/>
              <w:bottom w:val="nil"/>
              <w:right w:val="single" w:sz="8" w:space="0" w:color="auto"/>
            </w:tcBorders>
            <w:shd w:val="clear" w:color="auto" w:fill="auto"/>
            <w:vAlign w:val="center"/>
            <w:hideMark/>
          </w:tcPr>
          <w:p w14:paraId="6AEBC055"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ABF.G046</w:t>
            </w:r>
          </w:p>
        </w:tc>
      </w:tr>
      <w:tr w:rsidR="00B35BDF" w:rsidRPr="00B35BDF" w14:paraId="29771619" w14:textId="77777777" w:rsidTr="0015273C">
        <w:trPr>
          <w:trHeight w:val="255"/>
        </w:trPr>
        <w:tc>
          <w:tcPr>
            <w:tcW w:w="4977" w:type="dxa"/>
            <w:tcBorders>
              <w:top w:val="nil"/>
              <w:left w:val="single" w:sz="8" w:space="0" w:color="auto"/>
              <w:bottom w:val="nil"/>
              <w:right w:val="single" w:sz="8" w:space="0" w:color="auto"/>
            </w:tcBorders>
            <w:shd w:val="clear" w:color="auto" w:fill="auto"/>
            <w:noWrap/>
            <w:vAlign w:val="center"/>
            <w:hideMark/>
          </w:tcPr>
          <w:p w14:paraId="0365D66B" w14:textId="77777777" w:rsidR="00B35BDF" w:rsidRPr="00B35BDF" w:rsidRDefault="00B35BDF" w:rsidP="0015273C">
            <w:pPr>
              <w:spacing w:after="0" w:line="240" w:lineRule="auto"/>
              <w:ind w:firstLineChars="133" w:firstLine="213"/>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 xml:space="preserve">    620 – Contribuição para o Custeio do Serv. Iluminação Pública - COSIP</w:t>
            </w:r>
          </w:p>
        </w:tc>
        <w:tc>
          <w:tcPr>
            <w:tcW w:w="1275" w:type="dxa"/>
            <w:tcBorders>
              <w:top w:val="nil"/>
              <w:left w:val="nil"/>
              <w:bottom w:val="nil"/>
              <w:right w:val="single" w:sz="8" w:space="0" w:color="auto"/>
            </w:tcBorders>
            <w:shd w:val="clear" w:color="auto" w:fill="auto"/>
            <w:vAlign w:val="center"/>
            <w:hideMark/>
          </w:tcPr>
          <w:p w14:paraId="74DF8821"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ABF.B047</w:t>
            </w:r>
          </w:p>
        </w:tc>
        <w:tc>
          <w:tcPr>
            <w:tcW w:w="1560" w:type="dxa"/>
            <w:tcBorders>
              <w:top w:val="nil"/>
              <w:left w:val="nil"/>
              <w:bottom w:val="nil"/>
              <w:right w:val="single" w:sz="8" w:space="0" w:color="auto"/>
            </w:tcBorders>
            <w:shd w:val="clear" w:color="auto" w:fill="auto"/>
            <w:vAlign w:val="center"/>
            <w:hideMark/>
          </w:tcPr>
          <w:p w14:paraId="3E766235"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ABF.C047</w:t>
            </w:r>
          </w:p>
        </w:tc>
        <w:tc>
          <w:tcPr>
            <w:tcW w:w="1275" w:type="dxa"/>
            <w:tcBorders>
              <w:top w:val="nil"/>
              <w:left w:val="nil"/>
              <w:bottom w:val="nil"/>
              <w:right w:val="single" w:sz="8" w:space="0" w:color="auto"/>
            </w:tcBorders>
            <w:shd w:val="clear" w:color="auto" w:fill="auto"/>
            <w:vAlign w:val="center"/>
            <w:hideMark/>
          </w:tcPr>
          <w:p w14:paraId="5EA26DC8"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ABF.D047</w:t>
            </w:r>
          </w:p>
        </w:tc>
        <w:tc>
          <w:tcPr>
            <w:tcW w:w="1276" w:type="dxa"/>
            <w:tcBorders>
              <w:top w:val="nil"/>
              <w:left w:val="nil"/>
              <w:bottom w:val="nil"/>
              <w:right w:val="single" w:sz="8" w:space="0" w:color="auto"/>
            </w:tcBorders>
            <w:shd w:val="clear" w:color="auto" w:fill="auto"/>
            <w:vAlign w:val="center"/>
            <w:hideMark/>
          </w:tcPr>
          <w:p w14:paraId="185A8C64"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ABF.E047</w:t>
            </w:r>
          </w:p>
        </w:tc>
        <w:tc>
          <w:tcPr>
            <w:tcW w:w="1701" w:type="dxa"/>
            <w:tcBorders>
              <w:top w:val="nil"/>
              <w:left w:val="nil"/>
              <w:bottom w:val="nil"/>
              <w:right w:val="single" w:sz="8" w:space="0" w:color="auto"/>
            </w:tcBorders>
            <w:shd w:val="clear" w:color="auto" w:fill="auto"/>
            <w:vAlign w:val="center"/>
            <w:hideMark/>
          </w:tcPr>
          <w:p w14:paraId="64C8A008"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ABF.F047</w:t>
            </w:r>
          </w:p>
        </w:tc>
        <w:tc>
          <w:tcPr>
            <w:tcW w:w="1418" w:type="dxa"/>
            <w:tcBorders>
              <w:top w:val="nil"/>
              <w:left w:val="nil"/>
              <w:bottom w:val="nil"/>
              <w:right w:val="single" w:sz="8" w:space="0" w:color="auto"/>
            </w:tcBorders>
            <w:shd w:val="clear" w:color="auto" w:fill="auto"/>
            <w:vAlign w:val="center"/>
            <w:hideMark/>
          </w:tcPr>
          <w:p w14:paraId="7FB04C96"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ABF.G047</w:t>
            </w:r>
          </w:p>
        </w:tc>
      </w:tr>
      <w:tr w:rsidR="00B35BDF" w:rsidRPr="00B35BDF" w14:paraId="7720B8E8" w14:textId="77777777" w:rsidTr="0015273C">
        <w:trPr>
          <w:trHeight w:val="255"/>
        </w:trPr>
        <w:tc>
          <w:tcPr>
            <w:tcW w:w="4977" w:type="dxa"/>
            <w:tcBorders>
              <w:top w:val="nil"/>
              <w:left w:val="single" w:sz="8" w:space="0" w:color="auto"/>
              <w:bottom w:val="nil"/>
              <w:right w:val="single" w:sz="8" w:space="0" w:color="auto"/>
            </w:tcBorders>
            <w:shd w:val="clear" w:color="auto" w:fill="auto"/>
            <w:noWrap/>
            <w:vAlign w:val="center"/>
            <w:hideMark/>
          </w:tcPr>
          <w:p w14:paraId="58977D72" w14:textId="77777777" w:rsidR="00B35BDF" w:rsidRPr="00B35BDF" w:rsidRDefault="00B35BDF" w:rsidP="0015273C">
            <w:pPr>
              <w:spacing w:after="0" w:line="240" w:lineRule="auto"/>
              <w:ind w:firstLineChars="133" w:firstLine="213"/>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 xml:space="preserve">    630 - Recursos Vinculados ao Trânsito</w:t>
            </w:r>
          </w:p>
        </w:tc>
        <w:tc>
          <w:tcPr>
            <w:tcW w:w="1275" w:type="dxa"/>
            <w:tcBorders>
              <w:top w:val="nil"/>
              <w:left w:val="nil"/>
              <w:bottom w:val="nil"/>
              <w:right w:val="single" w:sz="8" w:space="0" w:color="auto"/>
            </w:tcBorders>
            <w:shd w:val="clear" w:color="auto" w:fill="auto"/>
            <w:vAlign w:val="center"/>
            <w:hideMark/>
          </w:tcPr>
          <w:p w14:paraId="46B45960"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ABF.B048</w:t>
            </w:r>
          </w:p>
        </w:tc>
        <w:tc>
          <w:tcPr>
            <w:tcW w:w="1560" w:type="dxa"/>
            <w:tcBorders>
              <w:top w:val="nil"/>
              <w:left w:val="nil"/>
              <w:bottom w:val="nil"/>
              <w:right w:val="single" w:sz="8" w:space="0" w:color="auto"/>
            </w:tcBorders>
            <w:shd w:val="clear" w:color="auto" w:fill="auto"/>
            <w:vAlign w:val="center"/>
            <w:hideMark/>
          </w:tcPr>
          <w:p w14:paraId="0FD5A559"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ABF.C048</w:t>
            </w:r>
          </w:p>
        </w:tc>
        <w:tc>
          <w:tcPr>
            <w:tcW w:w="1275" w:type="dxa"/>
            <w:tcBorders>
              <w:top w:val="nil"/>
              <w:left w:val="nil"/>
              <w:bottom w:val="nil"/>
              <w:right w:val="single" w:sz="8" w:space="0" w:color="auto"/>
            </w:tcBorders>
            <w:shd w:val="clear" w:color="auto" w:fill="auto"/>
            <w:vAlign w:val="center"/>
            <w:hideMark/>
          </w:tcPr>
          <w:p w14:paraId="12350946"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ABF.D048</w:t>
            </w:r>
          </w:p>
        </w:tc>
        <w:tc>
          <w:tcPr>
            <w:tcW w:w="1276" w:type="dxa"/>
            <w:tcBorders>
              <w:top w:val="nil"/>
              <w:left w:val="nil"/>
              <w:bottom w:val="nil"/>
              <w:right w:val="single" w:sz="8" w:space="0" w:color="auto"/>
            </w:tcBorders>
            <w:shd w:val="clear" w:color="auto" w:fill="auto"/>
            <w:vAlign w:val="center"/>
            <w:hideMark/>
          </w:tcPr>
          <w:p w14:paraId="17B16FEA"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ABF.E048</w:t>
            </w:r>
          </w:p>
        </w:tc>
        <w:tc>
          <w:tcPr>
            <w:tcW w:w="1701" w:type="dxa"/>
            <w:tcBorders>
              <w:top w:val="nil"/>
              <w:left w:val="nil"/>
              <w:bottom w:val="nil"/>
              <w:right w:val="single" w:sz="8" w:space="0" w:color="auto"/>
            </w:tcBorders>
            <w:shd w:val="clear" w:color="auto" w:fill="auto"/>
            <w:vAlign w:val="center"/>
            <w:hideMark/>
          </w:tcPr>
          <w:p w14:paraId="0D1F214D"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ABF.F048</w:t>
            </w:r>
          </w:p>
        </w:tc>
        <w:tc>
          <w:tcPr>
            <w:tcW w:w="1418" w:type="dxa"/>
            <w:tcBorders>
              <w:top w:val="nil"/>
              <w:left w:val="nil"/>
              <w:bottom w:val="nil"/>
              <w:right w:val="single" w:sz="8" w:space="0" w:color="auto"/>
            </w:tcBorders>
            <w:shd w:val="clear" w:color="auto" w:fill="auto"/>
            <w:vAlign w:val="center"/>
            <w:hideMark/>
          </w:tcPr>
          <w:p w14:paraId="7E4D50C6"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ABF.G048</w:t>
            </w:r>
          </w:p>
        </w:tc>
      </w:tr>
      <w:tr w:rsidR="00B35BDF" w:rsidRPr="00B35BDF" w14:paraId="61A9ECA7" w14:textId="77777777" w:rsidTr="0015273C">
        <w:trPr>
          <w:trHeight w:val="255"/>
        </w:trPr>
        <w:tc>
          <w:tcPr>
            <w:tcW w:w="4977" w:type="dxa"/>
            <w:tcBorders>
              <w:top w:val="nil"/>
              <w:left w:val="single" w:sz="8" w:space="0" w:color="auto"/>
              <w:bottom w:val="nil"/>
              <w:right w:val="single" w:sz="8" w:space="0" w:color="auto"/>
            </w:tcBorders>
            <w:shd w:val="clear" w:color="auto" w:fill="auto"/>
            <w:noWrap/>
            <w:vAlign w:val="center"/>
            <w:hideMark/>
          </w:tcPr>
          <w:p w14:paraId="3D629B96" w14:textId="77777777" w:rsidR="00B35BDF" w:rsidRPr="00B35BDF" w:rsidRDefault="00B35BDF" w:rsidP="0015273C">
            <w:pPr>
              <w:spacing w:after="0" w:line="240" w:lineRule="auto"/>
              <w:ind w:firstLineChars="133" w:firstLine="213"/>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 xml:space="preserve">    530 – Transferência da União referente Royalties do Petróleo</w:t>
            </w:r>
          </w:p>
        </w:tc>
        <w:tc>
          <w:tcPr>
            <w:tcW w:w="1275" w:type="dxa"/>
            <w:tcBorders>
              <w:top w:val="nil"/>
              <w:left w:val="nil"/>
              <w:bottom w:val="nil"/>
              <w:right w:val="single" w:sz="8" w:space="0" w:color="auto"/>
            </w:tcBorders>
            <w:shd w:val="clear" w:color="auto" w:fill="auto"/>
            <w:vAlign w:val="center"/>
            <w:hideMark/>
          </w:tcPr>
          <w:p w14:paraId="0AF79459"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ABF.B049</w:t>
            </w:r>
          </w:p>
        </w:tc>
        <w:tc>
          <w:tcPr>
            <w:tcW w:w="1560" w:type="dxa"/>
            <w:tcBorders>
              <w:top w:val="nil"/>
              <w:left w:val="nil"/>
              <w:bottom w:val="nil"/>
              <w:right w:val="single" w:sz="8" w:space="0" w:color="auto"/>
            </w:tcBorders>
            <w:shd w:val="clear" w:color="auto" w:fill="auto"/>
            <w:vAlign w:val="center"/>
            <w:hideMark/>
          </w:tcPr>
          <w:p w14:paraId="5702DF6A"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ABF.C049</w:t>
            </w:r>
          </w:p>
        </w:tc>
        <w:tc>
          <w:tcPr>
            <w:tcW w:w="1275" w:type="dxa"/>
            <w:tcBorders>
              <w:top w:val="nil"/>
              <w:left w:val="nil"/>
              <w:bottom w:val="nil"/>
              <w:right w:val="single" w:sz="8" w:space="0" w:color="auto"/>
            </w:tcBorders>
            <w:shd w:val="clear" w:color="auto" w:fill="auto"/>
            <w:vAlign w:val="center"/>
            <w:hideMark/>
          </w:tcPr>
          <w:p w14:paraId="2441D17B"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ABF.D049</w:t>
            </w:r>
          </w:p>
        </w:tc>
        <w:tc>
          <w:tcPr>
            <w:tcW w:w="1276" w:type="dxa"/>
            <w:tcBorders>
              <w:top w:val="nil"/>
              <w:left w:val="nil"/>
              <w:bottom w:val="nil"/>
              <w:right w:val="single" w:sz="8" w:space="0" w:color="auto"/>
            </w:tcBorders>
            <w:shd w:val="clear" w:color="auto" w:fill="auto"/>
            <w:vAlign w:val="center"/>
            <w:hideMark/>
          </w:tcPr>
          <w:p w14:paraId="0C0E2BB6"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ABF.E049</w:t>
            </w:r>
          </w:p>
        </w:tc>
        <w:tc>
          <w:tcPr>
            <w:tcW w:w="1701" w:type="dxa"/>
            <w:tcBorders>
              <w:top w:val="nil"/>
              <w:left w:val="nil"/>
              <w:bottom w:val="nil"/>
              <w:right w:val="single" w:sz="8" w:space="0" w:color="auto"/>
            </w:tcBorders>
            <w:shd w:val="clear" w:color="auto" w:fill="auto"/>
            <w:vAlign w:val="center"/>
            <w:hideMark/>
          </w:tcPr>
          <w:p w14:paraId="16AF984C"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ABF.F049</w:t>
            </w:r>
          </w:p>
        </w:tc>
        <w:tc>
          <w:tcPr>
            <w:tcW w:w="1418" w:type="dxa"/>
            <w:tcBorders>
              <w:top w:val="nil"/>
              <w:left w:val="nil"/>
              <w:bottom w:val="nil"/>
              <w:right w:val="single" w:sz="8" w:space="0" w:color="auto"/>
            </w:tcBorders>
            <w:shd w:val="clear" w:color="auto" w:fill="auto"/>
            <w:vAlign w:val="center"/>
            <w:hideMark/>
          </w:tcPr>
          <w:p w14:paraId="69725168"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ABF.G049</w:t>
            </w:r>
          </w:p>
        </w:tc>
      </w:tr>
      <w:tr w:rsidR="00B35BDF" w:rsidRPr="00B35BDF" w14:paraId="01401570" w14:textId="77777777" w:rsidTr="0015273C">
        <w:trPr>
          <w:trHeight w:val="255"/>
        </w:trPr>
        <w:tc>
          <w:tcPr>
            <w:tcW w:w="4977" w:type="dxa"/>
            <w:tcBorders>
              <w:top w:val="nil"/>
              <w:left w:val="single" w:sz="8" w:space="0" w:color="auto"/>
              <w:bottom w:val="nil"/>
              <w:right w:val="single" w:sz="8" w:space="0" w:color="auto"/>
            </w:tcBorders>
            <w:shd w:val="clear" w:color="auto" w:fill="auto"/>
            <w:noWrap/>
            <w:vAlign w:val="center"/>
            <w:hideMark/>
          </w:tcPr>
          <w:p w14:paraId="4EE8B5C2" w14:textId="77777777" w:rsidR="00B35BDF" w:rsidRPr="00B35BDF" w:rsidRDefault="00B35BDF" w:rsidP="0015273C">
            <w:pPr>
              <w:spacing w:after="0" w:line="240" w:lineRule="auto"/>
              <w:ind w:firstLineChars="133" w:firstLine="213"/>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 xml:space="preserve">    540 – Transferência dos Estados referente Royalties do Petróleo</w:t>
            </w:r>
          </w:p>
        </w:tc>
        <w:tc>
          <w:tcPr>
            <w:tcW w:w="1275" w:type="dxa"/>
            <w:tcBorders>
              <w:top w:val="nil"/>
              <w:left w:val="nil"/>
              <w:bottom w:val="nil"/>
              <w:right w:val="single" w:sz="8" w:space="0" w:color="auto"/>
            </w:tcBorders>
            <w:shd w:val="clear" w:color="auto" w:fill="auto"/>
            <w:vAlign w:val="center"/>
            <w:hideMark/>
          </w:tcPr>
          <w:p w14:paraId="5091AD51"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ABF.B050</w:t>
            </w:r>
          </w:p>
        </w:tc>
        <w:tc>
          <w:tcPr>
            <w:tcW w:w="1560" w:type="dxa"/>
            <w:tcBorders>
              <w:top w:val="nil"/>
              <w:left w:val="nil"/>
              <w:bottom w:val="nil"/>
              <w:right w:val="single" w:sz="8" w:space="0" w:color="auto"/>
            </w:tcBorders>
            <w:shd w:val="clear" w:color="auto" w:fill="auto"/>
            <w:vAlign w:val="center"/>
            <w:hideMark/>
          </w:tcPr>
          <w:p w14:paraId="7FB2CE18"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ABF.C050</w:t>
            </w:r>
          </w:p>
        </w:tc>
        <w:tc>
          <w:tcPr>
            <w:tcW w:w="1275" w:type="dxa"/>
            <w:tcBorders>
              <w:top w:val="nil"/>
              <w:left w:val="nil"/>
              <w:bottom w:val="nil"/>
              <w:right w:val="single" w:sz="8" w:space="0" w:color="auto"/>
            </w:tcBorders>
            <w:shd w:val="clear" w:color="auto" w:fill="auto"/>
            <w:vAlign w:val="center"/>
            <w:hideMark/>
          </w:tcPr>
          <w:p w14:paraId="09996E7A"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ABF.D050</w:t>
            </w:r>
          </w:p>
        </w:tc>
        <w:tc>
          <w:tcPr>
            <w:tcW w:w="1276" w:type="dxa"/>
            <w:tcBorders>
              <w:top w:val="nil"/>
              <w:left w:val="nil"/>
              <w:bottom w:val="nil"/>
              <w:right w:val="single" w:sz="8" w:space="0" w:color="auto"/>
            </w:tcBorders>
            <w:shd w:val="clear" w:color="auto" w:fill="auto"/>
            <w:vAlign w:val="center"/>
            <w:hideMark/>
          </w:tcPr>
          <w:p w14:paraId="5E2FE641"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ABF.E050</w:t>
            </w:r>
          </w:p>
        </w:tc>
        <w:tc>
          <w:tcPr>
            <w:tcW w:w="1701" w:type="dxa"/>
            <w:tcBorders>
              <w:top w:val="nil"/>
              <w:left w:val="nil"/>
              <w:bottom w:val="nil"/>
              <w:right w:val="single" w:sz="8" w:space="0" w:color="auto"/>
            </w:tcBorders>
            <w:shd w:val="clear" w:color="auto" w:fill="auto"/>
            <w:vAlign w:val="center"/>
            <w:hideMark/>
          </w:tcPr>
          <w:p w14:paraId="6EA144B2"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ABF.F050</w:t>
            </w:r>
          </w:p>
        </w:tc>
        <w:tc>
          <w:tcPr>
            <w:tcW w:w="1418" w:type="dxa"/>
            <w:tcBorders>
              <w:top w:val="nil"/>
              <w:left w:val="nil"/>
              <w:bottom w:val="nil"/>
              <w:right w:val="single" w:sz="8" w:space="0" w:color="auto"/>
            </w:tcBorders>
            <w:shd w:val="clear" w:color="auto" w:fill="auto"/>
            <w:vAlign w:val="center"/>
            <w:hideMark/>
          </w:tcPr>
          <w:p w14:paraId="3BD54EE2"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ABF.G050</w:t>
            </w:r>
          </w:p>
        </w:tc>
      </w:tr>
      <w:tr w:rsidR="00B35BDF" w:rsidRPr="00B35BDF" w14:paraId="094C0F83" w14:textId="77777777" w:rsidTr="0015273C">
        <w:trPr>
          <w:trHeight w:val="255"/>
        </w:trPr>
        <w:tc>
          <w:tcPr>
            <w:tcW w:w="4977" w:type="dxa"/>
            <w:tcBorders>
              <w:top w:val="nil"/>
              <w:left w:val="single" w:sz="8" w:space="0" w:color="auto"/>
              <w:right w:val="single" w:sz="8" w:space="0" w:color="auto"/>
            </w:tcBorders>
            <w:shd w:val="clear" w:color="auto" w:fill="auto"/>
            <w:noWrap/>
            <w:vAlign w:val="center"/>
          </w:tcPr>
          <w:p w14:paraId="41A2DFE3" w14:textId="77777777" w:rsidR="00B35BDF" w:rsidRPr="00B35BDF" w:rsidRDefault="00B35BDF" w:rsidP="0015273C">
            <w:pPr>
              <w:spacing w:after="0" w:line="240" w:lineRule="auto"/>
              <w:ind w:firstLineChars="133" w:firstLine="213"/>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 xml:space="preserve">    910 – Recursos  Próprios dos Consórcios</w:t>
            </w:r>
          </w:p>
        </w:tc>
        <w:tc>
          <w:tcPr>
            <w:tcW w:w="1275" w:type="dxa"/>
            <w:tcBorders>
              <w:top w:val="nil"/>
              <w:left w:val="nil"/>
              <w:right w:val="single" w:sz="8" w:space="0" w:color="auto"/>
            </w:tcBorders>
            <w:shd w:val="clear" w:color="auto" w:fill="auto"/>
            <w:vAlign w:val="center"/>
          </w:tcPr>
          <w:p w14:paraId="2073DFBC"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ABF.B086</w:t>
            </w:r>
          </w:p>
        </w:tc>
        <w:tc>
          <w:tcPr>
            <w:tcW w:w="1560" w:type="dxa"/>
            <w:tcBorders>
              <w:top w:val="nil"/>
              <w:left w:val="nil"/>
              <w:right w:val="single" w:sz="8" w:space="0" w:color="auto"/>
            </w:tcBorders>
            <w:shd w:val="clear" w:color="auto" w:fill="auto"/>
            <w:vAlign w:val="center"/>
          </w:tcPr>
          <w:p w14:paraId="185AE1BA"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ABF.C086</w:t>
            </w:r>
          </w:p>
        </w:tc>
        <w:tc>
          <w:tcPr>
            <w:tcW w:w="1275" w:type="dxa"/>
            <w:tcBorders>
              <w:top w:val="nil"/>
              <w:left w:val="nil"/>
              <w:right w:val="single" w:sz="8" w:space="0" w:color="auto"/>
            </w:tcBorders>
            <w:shd w:val="clear" w:color="auto" w:fill="auto"/>
            <w:vAlign w:val="center"/>
          </w:tcPr>
          <w:p w14:paraId="71925969"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ABF.D086</w:t>
            </w:r>
          </w:p>
        </w:tc>
        <w:tc>
          <w:tcPr>
            <w:tcW w:w="1276" w:type="dxa"/>
            <w:tcBorders>
              <w:top w:val="nil"/>
              <w:left w:val="nil"/>
              <w:right w:val="single" w:sz="8" w:space="0" w:color="auto"/>
            </w:tcBorders>
            <w:shd w:val="clear" w:color="auto" w:fill="auto"/>
            <w:vAlign w:val="center"/>
          </w:tcPr>
          <w:p w14:paraId="167CFDDE"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ABF.E086</w:t>
            </w:r>
          </w:p>
        </w:tc>
        <w:tc>
          <w:tcPr>
            <w:tcW w:w="1701" w:type="dxa"/>
            <w:tcBorders>
              <w:top w:val="nil"/>
              <w:left w:val="nil"/>
              <w:right w:val="single" w:sz="8" w:space="0" w:color="auto"/>
            </w:tcBorders>
            <w:shd w:val="clear" w:color="auto" w:fill="auto"/>
            <w:vAlign w:val="center"/>
          </w:tcPr>
          <w:p w14:paraId="5423F6B4"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ABF.F086</w:t>
            </w:r>
          </w:p>
        </w:tc>
        <w:tc>
          <w:tcPr>
            <w:tcW w:w="1418" w:type="dxa"/>
            <w:tcBorders>
              <w:top w:val="nil"/>
              <w:left w:val="nil"/>
              <w:right w:val="single" w:sz="8" w:space="0" w:color="auto"/>
            </w:tcBorders>
            <w:shd w:val="clear" w:color="auto" w:fill="auto"/>
            <w:vAlign w:val="center"/>
          </w:tcPr>
          <w:p w14:paraId="02BC350E"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ABF.G086</w:t>
            </w:r>
          </w:p>
        </w:tc>
      </w:tr>
      <w:tr w:rsidR="00B35BDF" w:rsidRPr="00B35BDF" w14:paraId="622F60C7" w14:textId="77777777" w:rsidTr="0015273C">
        <w:trPr>
          <w:trHeight w:val="255"/>
        </w:trPr>
        <w:tc>
          <w:tcPr>
            <w:tcW w:w="4977" w:type="dxa"/>
            <w:tcBorders>
              <w:top w:val="nil"/>
              <w:left w:val="single" w:sz="8" w:space="0" w:color="auto"/>
              <w:right w:val="single" w:sz="8" w:space="0" w:color="auto"/>
            </w:tcBorders>
            <w:shd w:val="clear" w:color="auto" w:fill="auto"/>
            <w:noWrap/>
            <w:vAlign w:val="center"/>
          </w:tcPr>
          <w:p w14:paraId="45FBDBA0" w14:textId="77777777" w:rsidR="00B35BDF" w:rsidRPr="00B35BDF" w:rsidRDefault="00B35BDF" w:rsidP="0015273C">
            <w:pPr>
              <w:spacing w:after="0" w:line="240" w:lineRule="auto"/>
              <w:ind w:firstLineChars="230" w:firstLine="368"/>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920 – Recursos de Operações de Crédito – Interna e Externa</w:t>
            </w:r>
          </w:p>
        </w:tc>
        <w:tc>
          <w:tcPr>
            <w:tcW w:w="1275" w:type="dxa"/>
            <w:tcBorders>
              <w:top w:val="nil"/>
              <w:left w:val="nil"/>
              <w:right w:val="single" w:sz="8" w:space="0" w:color="auto"/>
            </w:tcBorders>
            <w:shd w:val="clear" w:color="auto" w:fill="auto"/>
            <w:vAlign w:val="center"/>
          </w:tcPr>
          <w:p w14:paraId="6A255B16"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ABF.B083</w:t>
            </w:r>
          </w:p>
        </w:tc>
        <w:tc>
          <w:tcPr>
            <w:tcW w:w="1560" w:type="dxa"/>
            <w:tcBorders>
              <w:top w:val="nil"/>
              <w:left w:val="nil"/>
              <w:right w:val="single" w:sz="8" w:space="0" w:color="auto"/>
            </w:tcBorders>
            <w:shd w:val="clear" w:color="auto" w:fill="auto"/>
            <w:vAlign w:val="center"/>
          </w:tcPr>
          <w:p w14:paraId="362440F8" w14:textId="77777777" w:rsidR="00B35BDF" w:rsidRPr="00B35BDF" w:rsidRDefault="00B35BDF"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ABF.C083</w:t>
            </w:r>
          </w:p>
        </w:tc>
        <w:tc>
          <w:tcPr>
            <w:tcW w:w="1275" w:type="dxa"/>
            <w:tcBorders>
              <w:top w:val="nil"/>
              <w:left w:val="nil"/>
              <w:right w:val="single" w:sz="8" w:space="0" w:color="auto"/>
            </w:tcBorders>
            <w:shd w:val="clear" w:color="auto" w:fill="auto"/>
            <w:vAlign w:val="center"/>
          </w:tcPr>
          <w:p w14:paraId="27DD4C1A" w14:textId="77777777" w:rsidR="00B35BDF" w:rsidRPr="00B35BDF" w:rsidRDefault="00B35BDF"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ABF.D083</w:t>
            </w:r>
          </w:p>
        </w:tc>
        <w:tc>
          <w:tcPr>
            <w:tcW w:w="1276" w:type="dxa"/>
            <w:tcBorders>
              <w:top w:val="nil"/>
              <w:left w:val="nil"/>
              <w:right w:val="single" w:sz="8" w:space="0" w:color="auto"/>
            </w:tcBorders>
            <w:shd w:val="clear" w:color="auto" w:fill="auto"/>
            <w:vAlign w:val="center"/>
          </w:tcPr>
          <w:p w14:paraId="6FBD4B66" w14:textId="77777777" w:rsidR="00B35BDF" w:rsidRPr="00B35BDF" w:rsidRDefault="00B35BDF"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ABF.E083</w:t>
            </w:r>
          </w:p>
        </w:tc>
        <w:tc>
          <w:tcPr>
            <w:tcW w:w="1701" w:type="dxa"/>
            <w:tcBorders>
              <w:top w:val="nil"/>
              <w:left w:val="nil"/>
              <w:right w:val="single" w:sz="8" w:space="0" w:color="auto"/>
            </w:tcBorders>
            <w:shd w:val="clear" w:color="auto" w:fill="auto"/>
            <w:vAlign w:val="center"/>
          </w:tcPr>
          <w:p w14:paraId="4C026C9C" w14:textId="77777777" w:rsidR="00B35BDF" w:rsidRPr="00B35BDF" w:rsidRDefault="00B35BDF"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ABF.F083</w:t>
            </w:r>
          </w:p>
        </w:tc>
        <w:tc>
          <w:tcPr>
            <w:tcW w:w="1418" w:type="dxa"/>
            <w:tcBorders>
              <w:top w:val="nil"/>
              <w:left w:val="nil"/>
              <w:right w:val="single" w:sz="8" w:space="0" w:color="auto"/>
            </w:tcBorders>
            <w:shd w:val="clear" w:color="auto" w:fill="auto"/>
            <w:vAlign w:val="center"/>
          </w:tcPr>
          <w:p w14:paraId="140D6D86" w14:textId="77777777" w:rsidR="00B35BDF" w:rsidRPr="00B35BDF" w:rsidRDefault="00B35BDF"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ABF.G083</w:t>
            </w:r>
          </w:p>
        </w:tc>
      </w:tr>
      <w:tr w:rsidR="00B35BDF" w:rsidRPr="00B35BDF" w14:paraId="4CE82197" w14:textId="77777777" w:rsidTr="0015273C">
        <w:trPr>
          <w:trHeight w:val="255"/>
        </w:trPr>
        <w:tc>
          <w:tcPr>
            <w:tcW w:w="4977" w:type="dxa"/>
            <w:tcBorders>
              <w:top w:val="nil"/>
              <w:left w:val="single" w:sz="8" w:space="0" w:color="auto"/>
              <w:bottom w:val="nil"/>
              <w:right w:val="single" w:sz="8" w:space="0" w:color="auto"/>
            </w:tcBorders>
            <w:shd w:val="clear" w:color="auto" w:fill="auto"/>
            <w:noWrap/>
            <w:vAlign w:val="center"/>
            <w:hideMark/>
          </w:tcPr>
          <w:p w14:paraId="4EA0ADD9" w14:textId="77777777" w:rsidR="00B35BDF" w:rsidRPr="00B35BDF" w:rsidRDefault="00B35BDF" w:rsidP="0015273C">
            <w:pPr>
              <w:spacing w:after="0" w:line="240" w:lineRule="auto"/>
              <w:ind w:firstLineChars="143" w:firstLine="229"/>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 xml:space="preserve">    930 – Recursos de Alienação de Bens/Ativos</w:t>
            </w:r>
          </w:p>
        </w:tc>
        <w:tc>
          <w:tcPr>
            <w:tcW w:w="1275" w:type="dxa"/>
            <w:tcBorders>
              <w:top w:val="nil"/>
              <w:left w:val="nil"/>
              <w:bottom w:val="nil"/>
              <w:right w:val="single" w:sz="8" w:space="0" w:color="auto"/>
            </w:tcBorders>
            <w:shd w:val="clear" w:color="auto" w:fill="auto"/>
            <w:vAlign w:val="center"/>
            <w:hideMark/>
          </w:tcPr>
          <w:p w14:paraId="053A4BD5"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ABF.B053</w:t>
            </w:r>
          </w:p>
        </w:tc>
        <w:tc>
          <w:tcPr>
            <w:tcW w:w="1560" w:type="dxa"/>
            <w:tcBorders>
              <w:top w:val="nil"/>
              <w:left w:val="nil"/>
              <w:bottom w:val="nil"/>
              <w:right w:val="single" w:sz="8" w:space="0" w:color="auto"/>
            </w:tcBorders>
            <w:shd w:val="clear" w:color="auto" w:fill="auto"/>
            <w:vAlign w:val="center"/>
            <w:hideMark/>
          </w:tcPr>
          <w:p w14:paraId="287BD05F"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ABF.C053</w:t>
            </w:r>
          </w:p>
        </w:tc>
        <w:tc>
          <w:tcPr>
            <w:tcW w:w="1275" w:type="dxa"/>
            <w:tcBorders>
              <w:top w:val="nil"/>
              <w:left w:val="nil"/>
              <w:bottom w:val="nil"/>
              <w:right w:val="single" w:sz="8" w:space="0" w:color="auto"/>
            </w:tcBorders>
            <w:shd w:val="clear" w:color="auto" w:fill="auto"/>
            <w:vAlign w:val="center"/>
            <w:hideMark/>
          </w:tcPr>
          <w:p w14:paraId="30F58383"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ABF.D053</w:t>
            </w:r>
          </w:p>
        </w:tc>
        <w:tc>
          <w:tcPr>
            <w:tcW w:w="1276" w:type="dxa"/>
            <w:tcBorders>
              <w:top w:val="nil"/>
              <w:left w:val="nil"/>
              <w:bottom w:val="nil"/>
              <w:right w:val="single" w:sz="8" w:space="0" w:color="auto"/>
            </w:tcBorders>
            <w:shd w:val="clear" w:color="auto" w:fill="auto"/>
            <w:vAlign w:val="center"/>
            <w:hideMark/>
          </w:tcPr>
          <w:p w14:paraId="55C2F881"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ABF.E053</w:t>
            </w:r>
          </w:p>
        </w:tc>
        <w:tc>
          <w:tcPr>
            <w:tcW w:w="1701" w:type="dxa"/>
            <w:tcBorders>
              <w:top w:val="nil"/>
              <w:left w:val="nil"/>
              <w:bottom w:val="nil"/>
              <w:right w:val="single" w:sz="8" w:space="0" w:color="auto"/>
            </w:tcBorders>
            <w:shd w:val="clear" w:color="auto" w:fill="auto"/>
            <w:vAlign w:val="center"/>
            <w:hideMark/>
          </w:tcPr>
          <w:p w14:paraId="33C44461"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ABF.F053</w:t>
            </w:r>
          </w:p>
        </w:tc>
        <w:tc>
          <w:tcPr>
            <w:tcW w:w="1418" w:type="dxa"/>
            <w:tcBorders>
              <w:top w:val="nil"/>
              <w:left w:val="nil"/>
              <w:bottom w:val="nil"/>
              <w:right w:val="single" w:sz="8" w:space="0" w:color="auto"/>
            </w:tcBorders>
            <w:shd w:val="clear" w:color="auto" w:fill="auto"/>
            <w:vAlign w:val="center"/>
            <w:hideMark/>
          </w:tcPr>
          <w:p w14:paraId="0B801D13"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ABF.G053</w:t>
            </w:r>
          </w:p>
        </w:tc>
      </w:tr>
      <w:tr w:rsidR="00B35BDF" w:rsidRPr="00B35BDF" w14:paraId="3C69F09E" w14:textId="77777777" w:rsidTr="0015273C">
        <w:trPr>
          <w:trHeight w:val="270"/>
        </w:trPr>
        <w:tc>
          <w:tcPr>
            <w:tcW w:w="4977" w:type="dxa"/>
            <w:tcBorders>
              <w:top w:val="nil"/>
              <w:left w:val="single" w:sz="8" w:space="0" w:color="auto"/>
              <w:bottom w:val="nil"/>
              <w:right w:val="single" w:sz="8" w:space="0" w:color="auto"/>
            </w:tcBorders>
            <w:shd w:val="clear" w:color="auto" w:fill="auto"/>
            <w:noWrap/>
            <w:vAlign w:val="center"/>
          </w:tcPr>
          <w:p w14:paraId="005D86D6" w14:textId="77777777" w:rsidR="00B35BDF" w:rsidRPr="00B35BDF" w:rsidRDefault="00B35BDF" w:rsidP="0015273C">
            <w:pPr>
              <w:spacing w:after="0" w:line="240" w:lineRule="auto"/>
              <w:ind w:firstLineChars="230" w:firstLine="368"/>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940 - Outras Vinculações de Transferências</w:t>
            </w:r>
          </w:p>
        </w:tc>
        <w:tc>
          <w:tcPr>
            <w:tcW w:w="1275" w:type="dxa"/>
            <w:tcBorders>
              <w:top w:val="nil"/>
              <w:left w:val="nil"/>
              <w:bottom w:val="nil"/>
              <w:right w:val="single" w:sz="8" w:space="0" w:color="auto"/>
            </w:tcBorders>
            <w:shd w:val="clear" w:color="auto" w:fill="auto"/>
            <w:vAlign w:val="center"/>
          </w:tcPr>
          <w:p w14:paraId="1F0A5F37"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ABF.B084</w:t>
            </w:r>
          </w:p>
        </w:tc>
        <w:tc>
          <w:tcPr>
            <w:tcW w:w="1560" w:type="dxa"/>
            <w:tcBorders>
              <w:top w:val="nil"/>
              <w:left w:val="nil"/>
              <w:bottom w:val="nil"/>
              <w:right w:val="single" w:sz="8" w:space="0" w:color="auto"/>
            </w:tcBorders>
            <w:shd w:val="clear" w:color="auto" w:fill="auto"/>
            <w:vAlign w:val="center"/>
          </w:tcPr>
          <w:p w14:paraId="6BF37F8B" w14:textId="77777777" w:rsidR="00B35BDF" w:rsidRPr="00B35BDF" w:rsidRDefault="00B35BDF"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ABF.C084</w:t>
            </w:r>
          </w:p>
        </w:tc>
        <w:tc>
          <w:tcPr>
            <w:tcW w:w="1275" w:type="dxa"/>
            <w:tcBorders>
              <w:top w:val="nil"/>
              <w:left w:val="nil"/>
              <w:bottom w:val="nil"/>
              <w:right w:val="single" w:sz="8" w:space="0" w:color="auto"/>
            </w:tcBorders>
            <w:shd w:val="clear" w:color="auto" w:fill="auto"/>
            <w:vAlign w:val="center"/>
          </w:tcPr>
          <w:p w14:paraId="7770F96B" w14:textId="77777777" w:rsidR="00B35BDF" w:rsidRPr="00B35BDF" w:rsidRDefault="00B35BDF"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ABF.D084</w:t>
            </w:r>
          </w:p>
        </w:tc>
        <w:tc>
          <w:tcPr>
            <w:tcW w:w="1276" w:type="dxa"/>
            <w:tcBorders>
              <w:top w:val="nil"/>
              <w:left w:val="nil"/>
              <w:bottom w:val="nil"/>
              <w:right w:val="single" w:sz="8" w:space="0" w:color="auto"/>
            </w:tcBorders>
            <w:shd w:val="clear" w:color="auto" w:fill="auto"/>
            <w:vAlign w:val="center"/>
          </w:tcPr>
          <w:p w14:paraId="441D7CE0" w14:textId="77777777" w:rsidR="00B35BDF" w:rsidRPr="00B35BDF" w:rsidRDefault="00B35BDF"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ABF.E084</w:t>
            </w:r>
          </w:p>
        </w:tc>
        <w:tc>
          <w:tcPr>
            <w:tcW w:w="1701" w:type="dxa"/>
            <w:tcBorders>
              <w:top w:val="nil"/>
              <w:left w:val="nil"/>
              <w:bottom w:val="nil"/>
              <w:right w:val="single" w:sz="8" w:space="0" w:color="auto"/>
            </w:tcBorders>
            <w:shd w:val="clear" w:color="auto" w:fill="auto"/>
            <w:vAlign w:val="center"/>
          </w:tcPr>
          <w:p w14:paraId="3A4C72B8" w14:textId="77777777" w:rsidR="00B35BDF" w:rsidRPr="00B35BDF" w:rsidRDefault="00B35BDF"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ABF.F084</w:t>
            </w:r>
          </w:p>
        </w:tc>
        <w:tc>
          <w:tcPr>
            <w:tcW w:w="1418" w:type="dxa"/>
            <w:tcBorders>
              <w:top w:val="nil"/>
              <w:left w:val="nil"/>
              <w:bottom w:val="nil"/>
              <w:right w:val="single" w:sz="8" w:space="0" w:color="auto"/>
            </w:tcBorders>
            <w:shd w:val="clear" w:color="auto" w:fill="auto"/>
            <w:vAlign w:val="center"/>
          </w:tcPr>
          <w:p w14:paraId="21D9D26A" w14:textId="77777777" w:rsidR="00B35BDF" w:rsidRPr="00B35BDF" w:rsidRDefault="00B35BDF"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ABF.G084</w:t>
            </w:r>
          </w:p>
        </w:tc>
      </w:tr>
      <w:tr w:rsidR="00B35BDF" w:rsidRPr="00B35BDF" w14:paraId="44C88907" w14:textId="77777777" w:rsidTr="0015273C">
        <w:trPr>
          <w:trHeight w:val="270"/>
        </w:trPr>
        <w:tc>
          <w:tcPr>
            <w:tcW w:w="4977" w:type="dxa"/>
            <w:tcBorders>
              <w:top w:val="nil"/>
              <w:left w:val="single" w:sz="8" w:space="0" w:color="auto"/>
              <w:bottom w:val="nil"/>
              <w:right w:val="single" w:sz="8" w:space="0" w:color="auto"/>
            </w:tcBorders>
            <w:shd w:val="clear" w:color="auto" w:fill="auto"/>
            <w:noWrap/>
            <w:vAlign w:val="center"/>
          </w:tcPr>
          <w:p w14:paraId="4740BB82" w14:textId="77777777" w:rsidR="00B35BDF" w:rsidRPr="00B35BDF" w:rsidRDefault="00B35BDF" w:rsidP="0015273C">
            <w:pPr>
              <w:spacing w:after="0" w:line="240" w:lineRule="auto"/>
              <w:ind w:firstLineChars="230" w:firstLine="368"/>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950 - Outras Vinculações de Taxas e Contribuições</w:t>
            </w:r>
          </w:p>
        </w:tc>
        <w:tc>
          <w:tcPr>
            <w:tcW w:w="1275" w:type="dxa"/>
            <w:tcBorders>
              <w:top w:val="nil"/>
              <w:left w:val="nil"/>
              <w:bottom w:val="nil"/>
              <w:right w:val="single" w:sz="8" w:space="0" w:color="auto"/>
            </w:tcBorders>
            <w:shd w:val="clear" w:color="auto" w:fill="auto"/>
            <w:vAlign w:val="center"/>
          </w:tcPr>
          <w:p w14:paraId="19664977"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ABF.B085</w:t>
            </w:r>
          </w:p>
        </w:tc>
        <w:tc>
          <w:tcPr>
            <w:tcW w:w="1560" w:type="dxa"/>
            <w:tcBorders>
              <w:top w:val="nil"/>
              <w:left w:val="nil"/>
              <w:bottom w:val="nil"/>
              <w:right w:val="single" w:sz="8" w:space="0" w:color="auto"/>
            </w:tcBorders>
            <w:shd w:val="clear" w:color="auto" w:fill="auto"/>
            <w:vAlign w:val="center"/>
          </w:tcPr>
          <w:p w14:paraId="041D088A" w14:textId="77777777" w:rsidR="00B35BDF" w:rsidRPr="00B35BDF" w:rsidRDefault="00B35BDF"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ABF.C085</w:t>
            </w:r>
          </w:p>
        </w:tc>
        <w:tc>
          <w:tcPr>
            <w:tcW w:w="1275" w:type="dxa"/>
            <w:tcBorders>
              <w:top w:val="nil"/>
              <w:left w:val="nil"/>
              <w:bottom w:val="nil"/>
              <w:right w:val="single" w:sz="8" w:space="0" w:color="auto"/>
            </w:tcBorders>
            <w:shd w:val="clear" w:color="auto" w:fill="auto"/>
            <w:vAlign w:val="center"/>
          </w:tcPr>
          <w:p w14:paraId="68DD5359" w14:textId="77777777" w:rsidR="00B35BDF" w:rsidRPr="00B35BDF" w:rsidRDefault="00B35BDF"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ABF.D085</w:t>
            </w:r>
          </w:p>
        </w:tc>
        <w:tc>
          <w:tcPr>
            <w:tcW w:w="1276" w:type="dxa"/>
            <w:tcBorders>
              <w:top w:val="nil"/>
              <w:left w:val="nil"/>
              <w:bottom w:val="nil"/>
              <w:right w:val="single" w:sz="8" w:space="0" w:color="auto"/>
            </w:tcBorders>
            <w:shd w:val="clear" w:color="auto" w:fill="auto"/>
            <w:vAlign w:val="center"/>
          </w:tcPr>
          <w:p w14:paraId="0DD36689" w14:textId="77777777" w:rsidR="00B35BDF" w:rsidRPr="00B35BDF" w:rsidRDefault="00B35BDF"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ABF.E085</w:t>
            </w:r>
          </w:p>
        </w:tc>
        <w:tc>
          <w:tcPr>
            <w:tcW w:w="1701" w:type="dxa"/>
            <w:tcBorders>
              <w:top w:val="nil"/>
              <w:left w:val="nil"/>
              <w:bottom w:val="nil"/>
              <w:right w:val="single" w:sz="8" w:space="0" w:color="auto"/>
            </w:tcBorders>
            <w:shd w:val="clear" w:color="auto" w:fill="auto"/>
            <w:vAlign w:val="center"/>
          </w:tcPr>
          <w:p w14:paraId="02114A26" w14:textId="77777777" w:rsidR="00B35BDF" w:rsidRPr="00B35BDF" w:rsidRDefault="00B35BDF"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ABF.F085</w:t>
            </w:r>
          </w:p>
        </w:tc>
        <w:tc>
          <w:tcPr>
            <w:tcW w:w="1418" w:type="dxa"/>
            <w:tcBorders>
              <w:top w:val="nil"/>
              <w:left w:val="nil"/>
              <w:bottom w:val="nil"/>
              <w:right w:val="single" w:sz="8" w:space="0" w:color="auto"/>
            </w:tcBorders>
            <w:shd w:val="clear" w:color="auto" w:fill="auto"/>
            <w:vAlign w:val="center"/>
          </w:tcPr>
          <w:p w14:paraId="6C564601" w14:textId="77777777" w:rsidR="00B35BDF" w:rsidRPr="00B35BDF" w:rsidRDefault="00B35BDF"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ABF.G085</w:t>
            </w:r>
          </w:p>
        </w:tc>
      </w:tr>
      <w:tr w:rsidR="00B35BDF" w:rsidRPr="00B35BDF" w14:paraId="7EDDAE24" w14:textId="77777777" w:rsidTr="0015273C">
        <w:trPr>
          <w:trHeight w:val="270"/>
        </w:trPr>
        <w:tc>
          <w:tcPr>
            <w:tcW w:w="4977" w:type="dxa"/>
            <w:tcBorders>
              <w:top w:val="nil"/>
              <w:left w:val="single" w:sz="8" w:space="0" w:color="auto"/>
              <w:bottom w:val="nil"/>
              <w:right w:val="single" w:sz="8" w:space="0" w:color="auto"/>
            </w:tcBorders>
            <w:shd w:val="clear" w:color="auto" w:fill="auto"/>
            <w:noWrap/>
            <w:vAlign w:val="center"/>
          </w:tcPr>
          <w:p w14:paraId="5C3DBB44" w14:textId="77777777" w:rsidR="00B35BDF" w:rsidRPr="00B35BDF" w:rsidRDefault="00B35BDF" w:rsidP="0015273C">
            <w:pPr>
              <w:spacing w:after="0" w:line="240" w:lineRule="auto"/>
              <w:ind w:left="290"/>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 xml:space="preserve">  961 - Recursos de Depósitos Judiciais – Lides Das Quais o Ente faz parte</w:t>
            </w:r>
          </w:p>
        </w:tc>
        <w:tc>
          <w:tcPr>
            <w:tcW w:w="1275" w:type="dxa"/>
            <w:tcBorders>
              <w:top w:val="nil"/>
              <w:left w:val="nil"/>
              <w:bottom w:val="nil"/>
              <w:right w:val="single" w:sz="8" w:space="0" w:color="auto"/>
            </w:tcBorders>
            <w:shd w:val="clear" w:color="auto" w:fill="auto"/>
            <w:vAlign w:val="center"/>
          </w:tcPr>
          <w:p w14:paraId="474604DB"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ABF.B089</w:t>
            </w:r>
          </w:p>
        </w:tc>
        <w:tc>
          <w:tcPr>
            <w:tcW w:w="1560" w:type="dxa"/>
            <w:tcBorders>
              <w:top w:val="nil"/>
              <w:left w:val="nil"/>
              <w:bottom w:val="nil"/>
              <w:right w:val="single" w:sz="8" w:space="0" w:color="auto"/>
            </w:tcBorders>
            <w:shd w:val="clear" w:color="auto" w:fill="auto"/>
            <w:vAlign w:val="center"/>
          </w:tcPr>
          <w:p w14:paraId="643527A3" w14:textId="77777777" w:rsidR="00B35BDF" w:rsidRPr="00B35BDF" w:rsidRDefault="00B35BDF"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ABF.C089</w:t>
            </w:r>
          </w:p>
        </w:tc>
        <w:tc>
          <w:tcPr>
            <w:tcW w:w="1275" w:type="dxa"/>
            <w:tcBorders>
              <w:top w:val="nil"/>
              <w:left w:val="nil"/>
              <w:bottom w:val="nil"/>
              <w:right w:val="single" w:sz="8" w:space="0" w:color="auto"/>
            </w:tcBorders>
            <w:shd w:val="clear" w:color="auto" w:fill="auto"/>
            <w:vAlign w:val="center"/>
          </w:tcPr>
          <w:p w14:paraId="663E8F80" w14:textId="77777777" w:rsidR="00B35BDF" w:rsidRPr="00B35BDF" w:rsidRDefault="00B35BDF"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ABF.D089</w:t>
            </w:r>
          </w:p>
        </w:tc>
        <w:tc>
          <w:tcPr>
            <w:tcW w:w="1276" w:type="dxa"/>
            <w:tcBorders>
              <w:top w:val="nil"/>
              <w:left w:val="nil"/>
              <w:bottom w:val="nil"/>
              <w:right w:val="single" w:sz="8" w:space="0" w:color="auto"/>
            </w:tcBorders>
            <w:shd w:val="clear" w:color="auto" w:fill="auto"/>
            <w:vAlign w:val="center"/>
          </w:tcPr>
          <w:p w14:paraId="091401F0" w14:textId="77777777" w:rsidR="00B35BDF" w:rsidRPr="00B35BDF" w:rsidRDefault="00B35BDF"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ABF.E089</w:t>
            </w:r>
          </w:p>
        </w:tc>
        <w:tc>
          <w:tcPr>
            <w:tcW w:w="1701" w:type="dxa"/>
            <w:tcBorders>
              <w:top w:val="nil"/>
              <w:left w:val="nil"/>
              <w:bottom w:val="nil"/>
              <w:right w:val="single" w:sz="8" w:space="0" w:color="auto"/>
            </w:tcBorders>
            <w:shd w:val="clear" w:color="auto" w:fill="auto"/>
            <w:vAlign w:val="center"/>
          </w:tcPr>
          <w:p w14:paraId="5F9AFEE5" w14:textId="77777777" w:rsidR="00B35BDF" w:rsidRPr="00B35BDF" w:rsidRDefault="00B35BDF"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ABF.F089</w:t>
            </w:r>
          </w:p>
        </w:tc>
        <w:tc>
          <w:tcPr>
            <w:tcW w:w="1418" w:type="dxa"/>
            <w:tcBorders>
              <w:top w:val="nil"/>
              <w:left w:val="nil"/>
              <w:bottom w:val="nil"/>
              <w:right w:val="single" w:sz="8" w:space="0" w:color="auto"/>
            </w:tcBorders>
            <w:shd w:val="clear" w:color="auto" w:fill="auto"/>
            <w:vAlign w:val="center"/>
          </w:tcPr>
          <w:p w14:paraId="5831858F" w14:textId="77777777" w:rsidR="00B35BDF" w:rsidRPr="00B35BDF" w:rsidRDefault="00B35BDF"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ABF.G089</w:t>
            </w:r>
          </w:p>
        </w:tc>
      </w:tr>
      <w:tr w:rsidR="00B35BDF" w:rsidRPr="00B35BDF" w14:paraId="1D7DDC70" w14:textId="77777777" w:rsidTr="0015273C">
        <w:trPr>
          <w:trHeight w:val="270"/>
        </w:trPr>
        <w:tc>
          <w:tcPr>
            <w:tcW w:w="4977" w:type="dxa"/>
            <w:tcBorders>
              <w:top w:val="nil"/>
              <w:left w:val="single" w:sz="8" w:space="0" w:color="auto"/>
              <w:bottom w:val="nil"/>
              <w:right w:val="single" w:sz="8" w:space="0" w:color="auto"/>
            </w:tcBorders>
            <w:shd w:val="clear" w:color="auto" w:fill="auto"/>
            <w:noWrap/>
            <w:vAlign w:val="center"/>
          </w:tcPr>
          <w:p w14:paraId="196E8A33" w14:textId="77777777" w:rsidR="00B35BDF" w:rsidRPr="00B35BDF" w:rsidRDefault="00B35BDF" w:rsidP="0015273C">
            <w:pPr>
              <w:spacing w:after="0" w:line="240" w:lineRule="auto"/>
              <w:ind w:leftChars="129" w:left="289" w:hangingChars="3" w:hanging="5"/>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 xml:space="preserve">  962 - Recursos de Depósitos Judiciais – Lides Das Quais o Ente não faz parte</w:t>
            </w:r>
          </w:p>
        </w:tc>
        <w:tc>
          <w:tcPr>
            <w:tcW w:w="1275" w:type="dxa"/>
            <w:tcBorders>
              <w:top w:val="nil"/>
              <w:left w:val="nil"/>
              <w:bottom w:val="nil"/>
              <w:right w:val="single" w:sz="8" w:space="0" w:color="auto"/>
            </w:tcBorders>
            <w:shd w:val="clear" w:color="auto" w:fill="auto"/>
            <w:vAlign w:val="center"/>
          </w:tcPr>
          <w:p w14:paraId="40B88864"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ABF.B090</w:t>
            </w:r>
          </w:p>
        </w:tc>
        <w:tc>
          <w:tcPr>
            <w:tcW w:w="1560" w:type="dxa"/>
            <w:tcBorders>
              <w:top w:val="nil"/>
              <w:left w:val="nil"/>
              <w:bottom w:val="nil"/>
              <w:right w:val="single" w:sz="8" w:space="0" w:color="auto"/>
            </w:tcBorders>
            <w:shd w:val="clear" w:color="auto" w:fill="auto"/>
            <w:vAlign w:val="center"/>
          </w:tcPr>
          <w:p w14:paraId="02553135" w14:textId="77777777" w:rsidR="00B35BDF" w:rsidRPr="00B35BDF" w:rsidRDefault="00B35BDF"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ABF.C090</w:t>
            </w:r>
          </w:p>
        </w:tc>
        <w:tc>
          <w:tcPr>
            <w:tcW w:w="1275" w:type="dxa"/>
            <w:tcBorders>
              <w:top w:val="nil"/>
              <w:left w:val="nil"/>
              <w:bottom w:val="nil"/>
              <w:right w:val="single" w:sz="8" w:space="0" w:color="auto"/>
            </w:tcBorders>
            <w:shd w:val="clear" w:color="auto" w:fill="auto"/>
            <w:vAlign w:val="center"/>
          </w:tcPr>
          <w:p w14:paraId="194D7FAB" w14:textId="77777777" w:rsidR="00B35BDF" w:rsidRPr="00B35BDF" w:rsidRDefault="00B35BDF"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ABF.D090</w:t>
            </w:r>
          </w:p>
        </w:tc>
        <w:tc>
          <w:tcPr>
            <w:tcW w:w="1276" w:type="dxa"/>
            <w:tcBorders>
              <w:top w:val="nil"/>
              <w:left w:val="nil"/>
              <w:bottom w:val="nil"/>
              <w:right w:val="single" w:sz="8" w:space="0" w:color="auto"/>
            </w:tcBorders>
            <w:shd w:val="clear" w:color="auto" w:fill="auto"/>
            <w:vAlign w:val="center"/>
          </w:tcPr>
          <w:p w14:paraId="4D278C8D" w14:textId="77777777" w:rsidR="00B35BDF" w:rsidRPr="00B35BDF" w:rsidRDefault="00B35BDF"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ABF.E090</w:t>
            </w:r>
          </w:p>
        </w:tc>
        <w:tc>
          <w:tcPr>
            <w:tcW w:w="1701" w:type="dxa"/>
            <w:tcBorders>
              <w:top w:val="nil"/>
              <w:left w:val="nil"/>
              <w:bottom w:val="nil"/>
              <w:right w:val="single" w:sz="8" w:space="0" w:color="auto"/>
            </w:tcBorders>
            <w:shd w:val="clear" w:color="auto" w:fill="auto"/>
            <w:vAlign w:val="center"/>
          </w:tcPr>
          <w:p w14:paraId="0147EE5E" w14:textId="77777777" w:rsidR="00B35BDF" w:rsidRPr="00B35BDF" w:rsidRDefault="00B35BDF"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ABF.F090</w:t>
            </w:r>
          </w:p>
        </w:tc>
        <w:tc>
          <w:tcPr>
            <w:tcW w:w="1418" w:type="dxa"/>
            <w:tcBorders>
              <w:top w:val="nil"/>
              <w:left w:val="nil"/>
              <w:bottom w:val="nil"/>
              <w:right w:val="single" w:sz="8" w:space="0" w:color="auto"/>
            </w:tcBorders>
            <w:shd w:val="clear" w:color="auto" w:fill="auto"/>
            <w:vAlign w:val="center"/>
          </w:tcPr>
          <w:p w14:paraId="3F904A44" w14:textId="77777777" w:rsidR="00B35BDF" w:rsidRPr="00B35BDF" w:rsidRDefault="00B35BDF" w:rsidP="0015273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ABF.G090</w:t>
            </w:r>
          </w:p>
        </w:tc>
      </w:tr>
      <w:tr w:rsidR="00B35BDF" w:rsidRPr="00B35BDF" w14:paraId="6C9575C9" w14:textId="77777777" w:rsidTr="0015273C">
        <w:trPr>
          <w:trHeight w:val="270"/>
        </w:trPr>
        <w:tc>
          <w:tcPr>
            <w:tcW w:w="4977" w:type="dxa"/>
            <w:tcBorders>
              <w:top w:val="nil"/>
              <w:left w:val="single" w:sz="8" w:space="0" w:color="auto"/>
              <w:bottom w:val="nil"/>
              <w:right w:val="single" w:sz="8" w:space="0" w:color="auto"/>
            </w:tcBorders>
            <w:shd w:val="clear" w:color="auto" w:fill="auto"/>
            <w:noWrap/>
            <w:vAlign w:val="center"/>
            <w:hideMark/>
          </w:tcPr>
          <w:p w14:paraId="007E6971" w14:textId="77777777" w:rsidR="00B35BDF" w:rsidRPr="00B35BDF" w:rsidRDefault="00B35BDF" w:rsidP="0015273C">
            <w:pPr>
              <w:spacing w:after="0" w:line="240" w:lineRule="auto"/>
              <w:ind w:firstLineChars="143" w:firstLine="229"/>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 xml:space="preserve">    990 - Outros Recursos Vinculados</w:t>
            </w:r>
          </w:p>
        </w:tc>
        <w:tc>
          <w:tcPr>
            <w:tcW w:w="1275" w:type="dxa"/>
            <w:tcBorders>
              <w:top w:val="nil"/>
              <w:left w:val="nil"/>
              <w:bottom w:val="nil"/>
              <w:right w:val="single" w:sz="8" w:space="0" w:color="auto"/>
            </w:tcBorders>
            <w:shd w:val="clear" w:color="auto" w:fill="auto"/>
            <w:vAlign w:val="center"/>
            <w:hideMark/>
          </w:tcPr>
          <w:p w14:paraId="0C9FC2BC"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ABF.B054</w:t>
            </w:r>
          </w:p>
        </w:tc>
        <w:tc>
          <w:tcPr>
            <w:tcW w:w="1560" w:type="dxa"/>
            <w:tcBorders>
              <w:top w:val="nil"/>
              <w:left w:val="nil"/>
              <w:bottom w:val="nil"/>
              <w:right w:val="single" w:sz="8" w:space="0" w:color="auto"/>
            </w:tcBorders>
            <w:shd w:val="clear" w:color="auto" w:fill="auto"/>
            <w:vAlign w:val="center"/>
            <w:hideMark/>
          </w:tcPr>
          <w:p w14:paraId="67FE5FFE"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ABF.C054</w:t>
            </w:r>
          </w:p>
        </w:tc>
        <w:tc>
          <w:tcPr>
            <w:tcW w:w="1275" w:type="dxa"/>
            <w:tcBorders>
              <w:top w:val="nil"/>
              <w:left w:val="nil"/>
              <w:bottom w:val="nil"/>
              <w:right w:val="single" w:sz="8" w:space="0" w:color="auto"/>
            </w:tcBorders>
            <w:shd w:val="clear" w:color="auto" w:fill="auto"/>
            <w:vAlign w:val="center"/>
            <w:hideMark/>
          </w:tcPr>
          <w:p w14:paraId="24B5735F"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ABF.D054</w:t>
            </w:r>
          </w:p>
        </w:tc>
        <w:tc>
          <w:tcPr>
            <w:tcW w:w="1276" w:type="dxa"/>
            <w:tcBorders>
              <w:top w:val="nil"/>
              <w:left w:val="nil"/>
              <w:bottom w:val="nil"/>
              <w:right w:val="single" w:sz="8" w:space="0" w:color="auto"/>
            </w:tcBorders>
            <w:shd w:val="clear" w:color="auto" w:fill="auto"/>
            <w:vAlign w:val="center"/>
            <w:hideMark/>
          </w:tcPr>
          <w:p w14:paraId="6017C872"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ABF.E054</w:t>
            </w:r>
          </w:p>
        </w:tc>
        <w:tc>
          <w:tcPr>
            <w:tcW w:w="1701" w:type="dxa"/>
            <w:tcBorders>
              <w:top w:val="nil"/>
              <w:left w:val="nil"/>
              <w:bottom w:val="nil"/>
              <w:right w:val="single" w:sz="8" w:space="0" w:color="auto"/>
            </w:tcBorders>
            <w:shd w:val="clear" w:color="auto" w:fill="auto"/>
            <w:vAlign w:val="center"/>
            <w:hideMark/>
          </w:tcPr>
          <w:p w14:paraId="0B719B74"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ABF.F054</w:t>
            </w:r>
          </w:p>
        </w:tc>
        <w:tc>
          <w:tcPr>
            <w:tcW w:w="1418" w:type="dxa"/>
            <w:tcBorders>
              <w:top w:val="nil"/>
              <w:left w:val="nil"/>
              <w:bottom w:val="nil"/>
              <w:right w:val="single" w:sz="8" w:space="0" w:color="auto"/>
            </w:tcBorders>
            <w:shd w:val="clear" w:color="auto" w:fill="auto"/>
            <w:vAlign w:val="center"/>
            <w:hideMark/>
          </w:tcPr>
          <w:p w14:paraId="2065630C" w14:textId="77777777" w:rsidR="00B35BDF" w:rsidRPr="00B35BDF" w:rsidRDefault="00B35BDF" w:rsidP="0015273C">
            <w:pPr>
              <w:spacing w:after="0" w:line="240" w:lineRule="auto"/>
              <w:jc w:val="center"/>
              <w:rPr>
                <w:rFonts w:ascii="Arial Narrow" w:eastAsia="Times New Roman" w:hAnsi="Arial Narrow" w:cs="Arial"/>
                <w:sz w:val="16"/>
                <w:szCs w:val="16"/>
                <w:lang w:eastAsia="pt-BR"/>
              </w:rPr>
            </w:pPr>
            <w:r w:rsidRPr="00B35BDF">
              <w:rPr>
                <w:rFonts w:ascii="Arial Narrow" w:eastAsia="Times New Roman" w:hAnsi="Arial Narrow" w:cs="Arial"/>
                <w:sz w:val="16"/>
                <w:szCs w:val="16"/>
                <w:lang w:eastAsia="pt-BR"/>
              </w:rPr>
              <w:t>ABF.G054</w:t>
            </w:r>
          </w:p>
        </w:tc>
      </w:tr>
      <w:tr w:rsidR="00B35BDF" w:rsidRPr="00B35BDF" w14:paraId="39A07FD7" w14:textId="77777777" w:rsidTr="0015273C">
        <w:trPr>
          <w:trHeight w:val="270"/>
        </w:trPr>
        <w:tc>
          <w:tcPr>
            <w:tcW w:w="4977" w:type="dxa"/>
            <w:tcBorders>
              <w:top w:val="single" w:sz="8" w:space="0" w:color="auto"/>
              <w:left w:val="single" w:sz="8" w:space="0" w:color="auto"/>
              <w:bottom w:val="single" w:sz="8" w:space="0" w:color="auto"/>
              <w:right w:val="nil"/>
            </w:tcBorders>
            <w:shd w:val="clear" w:color="auto" w:fill="auto"/>
            <w:noWrap/>
            <w:vAlign w:val="center"/>
            <w:hideMark/>
          </w:tcPr>
          <w:p w14:paraId="3CD4833A" w14:textId="77777777" w:rsidR="00B35BDF" w:rsidRPr="00B35BDF" w:rsidRDefault="00B35BDF" w:rsidP="0015273C">
            <w:pPr>
              <w:spacing w:after="0" w:line="240" w:lineRule="auto"/>
              <w:jc w:val="center"/>
              <w:rPr>
                <w:rFonts w:ascii="Arial Narrow" w:eastAsia="Times New Roman" w:hAnsi="Arial Narrow" w:cs="Arial"/>
                <w:b/>
                <w:bCs/>
                <w:sz w:val="16"/>
                <w:szCs w:val="16"/>
                <w:lang w:eastAsia="pt-BR"/>
              </w:rPr>
            </w:pPr>
            <w:r w:rsidRPr="00B35BDF">
              <w:rPr>
                <w:rFonts w:ascii="Arial Narrow" w:eastAsia="Times New Roman" w:hAnsi="Arial Narrow" w:cs="Arial"/>
                <w:b/>
                <w:bCs/>
                <w:sz w:val="16"/>
                <w:szCs w:val="16"/>
                <w:lang w:eastAsia="pt-BR"/>
              </w:rPr>
              <w:t>TOTAL</w:t>
            </w:r>
          </w:p>
        </w:tc>
        <w:tc>
          <w:tcPr>
            <w:tcW w:w="127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FBB0E6E" w14:textId="77777777" w:rsidR="00B35BDF" w:rsidRPr="00B35BDF" w:rsidRDefault="00B35BDF" w:rsidP="0015273C">
            <w:pPr>
              <w:spacing w:after="0" w:line="240" w:lineRule="auto"/>
              <w:jc w:val="center"/>
              <w:rPr>
                <w:rFonts w:ascii="Arial Narrow" w:eastAsia="Times New Roman" w:hAnsi="Arial Narrow" w:cs="Arial"/>
                <w:b/>
                <w:bCs/>
                <w:sz w:val="16"/>
                <w:szCs w:val="16"/>
                <w:lang w:eastAsia="pt-BR"/>
              </w:rPr>
            </w:pPr>
            <w:r w:rsidRPr="00B35BDF">
              <w:rPr>
                <w:rFonts w:ascii="Arial Narrow" w:eastAsia="Times New Roman" w:hAnsi="Arial Narrow" w:cs="Arial"/>
                <w:b/>
                <w:bCs/>
                <w:sz w:val="16"/>
                <w:szCs w:val="16"/>
                <w:lang w:eastAsia="pt-BR"/>
              </w:rPr>
              <w:t>ABF.B055</w:t>
            </w:r>
          </w:p>
        </w:tc>
        <w:tc>
          <w:tcPr>
            <w:tcW w:w="1560" w:type="dxa"/>
            <w:tcBorders>
              <w:top w:val="single" w:sz="8" w:space="0" w:color="auto"/>
              <w:left w:val="nil"/>
              <w:bottom w:val="single" w:sz="8" w:space="0" w:color="auto"/>
              <w:right w:val="single" w:sz="8" w:space="0" w:color="auto"/>
            </w:tcBorders>
            <w:shd w:val="clear" w:color="auto" w:fill="auto"/>
            <w:vAlign w:val="center"/>
            <w:hideMark/>
          </w:tcPr>
          <w:p w14:paraId="06255AF2" w14:textId="77777777" w:rsidR="00B35BDF" w:rsidRPr="00B35BDF" w:rsidRDefault="00B35BDF" w:rsidP="0015273C">
            <w:pPr>
              <w:spacing w:after="0" w:line="240" w:lineRule="auto"/>
              <w:jc w:val="center"/>
              <w:rPr>
                <w:rFonts w:ascii="Arial Narrow" w:eastAsia="Times New Roman" w:hAnsi="Arial Narrow" w:cs="Arial"/>
                <w:b/>
                <w:bCs/>
                <w:sz w:val="16"/>
                <w:szCs w:val="16"/>
                <w:lang w:eastAsia="pt-BR"/>
              </w:rPr>
            </w:pPr>
            <w:r w:rsidRPr="00B35BDF">
              <w:rPr>
                <w:rFonts w:ascii="Arial Narrow" w:eastAsia="Times New Roman" w:hAnsi="Arial Narrow" w:cs="Arial"/>
                <w:b/>
                <w:bCs/>
                <w:sz w:val="16"/>
                <w:szCs w:val="16"/>
                <w:lang w:eastAsia="pt-BR"/>
              </w:rPr>
              <w:t>ABF.C055</w:t>
            </w:r>
          </w:p>
        </w:tc>
        <w:tc>
          <w:tcPr>
            <w:tcW w:w="1275" w:type="dxa"/>
            <w:tcBorders>
              <w:top w:val="single" w:sz="8" w:space="0" w:color="auto"/>
              <w:left w:val="nil"/>
              <w:bottom w:val="single" w:sz="8" w:space="0" w:color="auto"/>
              <w:right w:val="single" w:sz="8" w:space="0" w:color="auto"/>
            </w:tcBorders>
            <w:shd w:val="clear" w:color="auto" w:fill="auto"/>
            <w:vAlign w:val="center"/>
            <w:hideMark/>
          </w:tcPr>
          <w:p w14:paraId="621EA63E" w14:textId="77777777" w:rsidR="00B35BDF" w:rsidRPr="00B35BDF" w:rsidRDefault="00B35BDF" w:rsidP="0015273C">
            <w:pPr>
              <w:spacing w:after="0" w:line="240" w:lineRule="auto"/>
              <w:jc w:val="center"/>
              <w:rPr>
                <w:rFonts w:ascii="Arial Narrow" w:eastAsia="Times New Roman" w:hAnsi="Arial Narrow" w:cs="Arial"/>
                <w:b/>
                <w:bCs/>
                <w:sz w:val="16"/>
                <w:szCs w:val="16"/>
                <w:lang w:eastAsia="pt-BR"/>
              </w:rPr>
            </w:pPr>
            <w:r w:rsidRPr="00B35BDF">
              <w:rPr>
                <w:rFonts w:ascii="Arial Narrow" w:eastAsia="Times New Roman" w:hAnsi="Arial Narrow" w:cs="Arial"/>
                <w:b/>
                <w:bCs/>
                <w:sz w:val="16"/>
                <w:szCs w:val="16"/>
                <w:lang w:eastAsia="pt-BR"/>
              </w:rPr>
              <w:t>ABF.D055</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14:paraId="4CDC786E" w14:textId="77777777" w:rsidR="00B35BDF" w:rsidRPr="00B35BDF" w:rsidRDefault="00B35BDF" w:rsidP="0015273C">
            <w:pPr>
              <w:spacing w:after="0" w:line="240" w:lineRule="auto"/>
              <w:jc w:val="center"/>
              <w:rPr>
                <w:rFonts w:ascii="Arial Narrow" w:eastAsia="Times New Roman" w:hAnsi="Arial Narrow" w:cs="Arial"/>
                <w:b/>
                <w:bCs/>
                <w:sz w:val="16"/>
                <w:szCs w:val="16"/>
                <w:lang w:eastAsia="pt-BR"/>
              </w:rPr>
            </w:pPr>
            <w:r w:rsidRPr="00B35BDF">
              <w:rPr>
                <w:rFonts w:ascii="Arial Narrow" w:eastAsia="Times New Roman" w:hAnsi="Arial Narrow" w:cs="Arial"/>
                <w:b/>
                <w:bCs/>
                <w:sz w:val="16"/>
                <w:szCs w:val="16"/>
                <w:lang w:eastAsia="pt-BR"/>
              </w:rPr>
              <w:t>ABF.E055</w:t>
            </w:r>
          </w:p>
        </w:tc>
        <w:tc>
          <w:tcPr>
            <w:tcW w:w="1701" w:type="dxa"/>
            <w:tcBorders>
              <w:top w:val="single" w:sz="8" w:space="0" w:color="auto"/>
              <w:left w:val="nil"/>
              <w:bottom w:val="single" w:sz="8" w:space="0" w:color="auto"/>
              <w:right w:val="single" w:sz="8" w:space="0" w:color="auto"/>
            </w:tcBorders>
            <w:shd w:val="clear" w:color="auto" w:fill="auto"/>
            <w:vAlign w:val="center"/>
            <w:hideMark/>
          </w:tcPr>
          <w:p w14:paraId="410500FB" w14:textId="77777777" w:rsidR="00B35BDF" w:rsidRPr="00B35BDF" w:rsidRDefault="00B35BDF" w:rsidP="0015273C">
            <w:pPr>
              <w:spacing w:after="0" w:line="240" w:lineRule="auto"/>
              <w:jc w:val="center"/>
              <w:rPr>
                <w:rFonts w:ascii="Arial Narrow" w:eastAsia="Times New Roman" w:hAnsi="Arial Narrow" w:cs="Arial"/>
                <w:b/>
                <w:bCs/>
                <w:sz w:val="16"/>
                <w:szCs w:val="16"/>
                <w:lang w:eastAsia="pt-BR"/>
              </w:rPr>
            </w:pPr>
            <w:r w:rsidRPr="00B35BDF">
              <w:rPr>
                <w:rFonts w:ascii="Arial Narrow" w:eastAsia="Times New Roman" w:hAnsi="Arial Narrow" w:cs="Arial"/>
                <w:b/>
                <w:bCs/>
                <w:sz w:val="16"/>
                <w:szCs w:val="16"/>
                <w:lang w:eastAsia="pt-BR"/>
              </w:rPr>
              <w:t>ABF.F055</w:t>
            </w:r>
          </w:p>
        </w:tc>
        <w:tc>
          <w:tcPr>
            <w:tcW w:w="1418" w:type="dxa"/>
            <w:tcBorders>
              <w:top w:val="single" w:sz="8" w:space="0" w:color="auto"/>
              <w:left w:val="nil"/>
              <w:bottom w:val="single" w:sz="8" w:space="0" w:color="auto"/>
              <w:right w:val="single" w:sz="8" w:space="0" w:color="auto"/>
            </w:tcBorders>
            <w:shd w:val="clear" w:color="auto" w:fill="auto"/>
            <w:vAlign w:val="center"/>
            <w:hideMark/>
          </w:tcPr>
          <w:p w14:paraId="78038209" w14:textId="77777777" w:rsidR="00B35BDF" w:rsidRPr="00B35BDF" w:rsidRDefault="00B35BDF" w:rsidP="0015273C">
            <w:pPr>
              <w:spacing w:after="0" w:line="240" w:lineRule="auto"/>
              <w:jc w:val="center"/>
              <w:rPr>
                <w:rFonts w:ascii="Arial Narrow" w:eastAsia="Times New Roman" w:hAnsi="Arial Narrow" w:cs="Arial"/>
                <w:b/>
                <w:bCs/>
                <w:sz w:val="16"/>
                <w:szCs w:val="16"/>
                <w:lang w:eastAsia="pt-BR"/>
              </w:rPr>
            </w:pPr>
            <w:r w:rsidRPr="00B35BDF">
              <w:rPr>
                <w:rFonts w:ascii="Arial Narrow" w:eastAsia="Times New Roman" w:hAnsi="Arial Narrow" w:cs="Arial"/>
                <w:b/>
                <w:bCs/>
                <w:sz w:val="16"/>
                <w:szCs w:val="16"/>
                <w:lang w:eastAsia="pt-BR"/>
              </w:rPr>
              <w:t>ABF.G055</w:t>
            </w:r>
          </w:p>
        </w:tc>
      </w:tr>
    </w:tbl>
    <w:p w14:paraId="11BE44E0" w14:textId="77777777" w:rsidR="00B35BDF" w:rsidRPr="002C5BC6" w:rsidRDefault="00B35BDF" w:rsidP="003404A2">
      <w:pPr>
        <w:spacing w:after="0" w:line="240" w:lineRule="auto"/>
        <w:ind w:right="-1482"/>
        <w:jc w:val="center"/>
        <w:rPr>
          <w:rFonts w:ascii="Arial" w:eastAsia="Calibri" w:hAnsi="Arial" w:cs="Arial"/>
          <w:b/>
          <w:sz w:val="24"/>
          <w:szCs w:val="24"/>
        </w:rPr>
      </w:pPr>
    </w:p>
    <w:p w14:paraId="525153D7" w14:textId="77777777" w:rsidR="00EE0371" w:rsidRPr="00EE0371" w:rsidRDefault="00EE0371" w:rsidP="00EE0371">
      <w:pPr>
        <w:spacing w:after="0" w:line="360" w:lineRule="auto"/>
        <w:jc w:val="both"/>
        <w:rPr>
          <w:rFonts w:ascii="Arial" w:hAnsi="Arial"/>
        </w:rPr>
      </w:pPr>
      <w:r w:rsidRPr="00EE0371">
        <w:rPr>
          <w:rFonts w:ascii="Arial" w:hAnsi="Arial"/>
        </w:rPr>
        <w:t>Observaç</w:t>
      </w:r>
      <w:r w:rsidR="007A45C9">
        <w:rPr>
          <w:rFonts w:ascii="Arial" w:hAnsi="Arial"/>
        </w:rPr>
        <w:t>ão</w:t>
      </w:r>
      <w:r w:rsidRPr="00EE0371">
        <w:rPr>
          <w:rFonts w:ascii="Arial" w:hAnsi="Arial"/>
        </w:rPr>
        <w:t>:</w:t>
      </w:r>
    </w:p>
    <w:p w14:paraId="150A367A" w14:textId="77777777" w:rsidR="00EE0371" w:rsidRDefault="00EE0371" w:rsidP="00EE0371">
      <w:pPr>
        <w:spacing w:after="0" w:line="240" w:lineRule="auto"/>
        <w:jc w:val="both"/>
        <w:rPr>
          <w:rFonts w:ascii="Arial" w:hAnsi="Arial"/>
        </w:rPr>
      </w:pPr>
      <w:r w:rsidRPr="00EE0371">
        <w:rPr>
          <w:rFonts w:ascii="Arial" w:hAnsi="Arial"/>
        </w:rPr>
        <w:t>1. A elaboração do Quadro Anexo ao Balanço Financeiro seguirá a metodologia especificada na IPC 06 (Instruções de Procedimentos Contábeis - STN) observada os códigos e os nomes constantes no Quadro de Fontes de Recursos</w:t>
      </w:r>
      <w:r w:rsidR="005A1734">
        <w:rPr>
          <w:rFonts w:ascii="Arial" w:hAnsi="Arial"/>
        </w:rPr>
        <w:t>,</w:t>
      </w:r>
      <w:r w:rsidRPr="00EE0371">
        <w:rPr>
          <w:rFonts w:ascii="Arial" w:hAnsi="Arial"/>
        </w:rPr>
        <w:t xml:space="preserve"> de acordo com a Tabela Auxilia</w:t>
      </w:r>
      <w:r w:rsidR="005A1734">
        <w:rPr>
          <w:rFonts w:ascii="Arial" w:hAnsi="Arial"/>
        </w:rPr>
        <w:t>r</w:t>
      </w:r>
      <w:r w:rsidRPr="00EE0371">
        <w:rPr>
          <w:rFonts w:ascii="Arial" w:hAnsi="Arial"/>
        </w:rPr>
        <w:t xml:space="preserve"> 1.2: Código de Especificação das Fontes/Destinação de Recursos (CDR), </w:t>
      </w:r>
      <w:r w:rsidR="005A1734">
        <w:rPr>
          <w:rFonts w:ascii="Arial" w:hAnsi="Arial"/>
        </w:rPr>
        <w:t>d</w:t>
      </w:r>
      <w:r w:rsidRPr="00EE0371">
        <w:rPr>
          <w:rFonts w:ascii="Arial" w:hAnsi="Arial"/>
        </w:rPr>
        <w:t xml:space="preserve">o Anexo </w:t>
      </w:r>
      <w:r w:rsidR="005A1734">
        <w:rPr>
          <w:rFonts w:ascii="Arial" w:hAnsi="Arial"/>
        </w:rPr>
        <w:t>IV da presente</w:t>
      </w:r>
      <w:r w:rsidRPr="00EE0371">
        <w:rPr>
          <w:rFonts w:ascii="Arial" w:hAnsi="Arial"/>
        </w:rPr>
        <w:t xml:space="preserve"> Instrução Normativa.</w:t>
      </w:r>
    </w:p>
    <w:p w14:paraId="43D891DB" w14:textId="77777777" w:rsidR="007A45C9" w:rsidRDefault="007A45C9" w:rsidP="00EE0371">
      <w:pPr>
        <w:spacing w:after="0" w:line="240" w:lineRule="auto"/>
        <w:jc w:val="both"/>
        <w:rPr>
          <w:rFonts w:ascii="Arial" w:hAnsi="Arial"/>
        </w:rPr>
      </w:pPr>
    </w:p>
    <w:p w14:paraId="6660467D" w14:textId="77777777" w:rsidR="007A45C9" w:rsidRDefault="007A45C9" w:rsidP="00EE0371">
      <w:pPr>
        <w:spacing w:after="0" w:line="240" w:lineRule="auto"/>
        <w:jc w:val="both"/>
        <w:rPr>
          <w:rFonts w:ascii="Arial" w:hAnsi="Arial"/>
        </w:rPr>
      </w:pPr>
    </w:p>
    <w:p w14:paraId="167D11A3" w14:textId="77777777" w:rsidR="007A45C9" w:rsidRPr="007A45C9" w:rsidRDefault="007A45C9" w:rsidP="007A45C9">
      <w:pPr>
        <w:spacing w:after="0" w:line="240" w:lineRule="auto"/>
        <w:jc w:val="center"/>
        <w:rPr>
          <w:rFonts w:ascii="Arial" w:eastAsia="Times New Roman" w:hAnsi="Arial" w:cs="Arial"/>
          <w:b/>
          <w:bCs/>
          <w:sz w:val="18"/>
          <w:szCs w:val="18"/>
          <w:lang w:eastAsia="pt-BR"/>
        </w:rPr>
      </w:pPr>
      <w:r>
        <w:rPr>
          <w:rFonts w:ascii="Arial" w:hAnsi="Arial"/>
        </w:rPr>
        <w:br w:type="page"/>
      </w:r>
      <w:r w:rsidRPr="007A45C9">
        <w:rPr>
          <w:rFonts w:ascii="Arial" w:eastAsia="Times New Roman" w:hAnsi="Arial" w:cs="Arial"/>
          <w:b/>
          <w:bCs/>
          <w:sz w:val="18"/>
          <w:szCs w:val="18"/>
          <w:lang w:eastAsia="pt-BR"/>
        </w:rPr>
        <w:lastRenderedPageBreak/>
        <w:t>TABELA 4 - BALANÇO FINANCEIRO (Anexo 13 - Lei º 4.320/64)</w:t>
      </w:r>
    </w:p>
    <w:p w14:paraId="571A6717" w14:textId="77777777" w:rsidR="007A45C9" w:rsidRDefault="007A45C9" w:rsidP="007A45C9">
      <w:pPr>
        <w:spacing w:after="0" w:line="240" w:lineRule="auto"/>
        <w:jc w:val="center"/>
        <w:rPr>
          <w:rFonts w:ascii="Arial" w:eastAsia="Times New Roman" w:hAnsi="Arial" w:cs="Arial"/>
          <w:b/>
          <w:bCs/>
          <w:sz w:val="18"/>
          <w:szCs w:val="18"/>
          <w:lang w:eastAsia="pt-BR"/>
        </w:rPr>
      </w:pPr>
      <w:r w:rsidRPr="007A45C9">
        <w:rPr>
          <w:rFonts w:ascii="Arial" w:eastAsia="Times New Roman" w:hAnsi="Arial" w:cs="Arial"/>
          <w:b/>
          <w:bCs/>
          <w:sz w:val="18"/>
          <w:szCs w:val="18"/>
          <w:lang w:eastAsia="pt-BR"/>
        </w:rPr>
        <w:t>ESTADO</w:t>
      </w:r>
    </w:p>
    <w:p w14:paraId="2AF1C522" w14:textId="77777777" w:rsidR="00D6139C" w:rsidRPr="007A45C9" w:rsidRDefault="00D6139C" w:rsidP="007A45C9">
      <w:pPr>
        <w:spacing w:after="0" w:line="240" w:lineRule="auto"/>
        <w:jc w:val="center"/>
        <w:rPr>
          <w:rFonts w:ascii="Arial" w:eastAsia="Times New Roman" w:hAnsi="Arial" w:cs="Arial"/>
          <w:b/>
          <w:bCs/>
          <w:sz w:val="18"/>
          <w:szCs w:val="18"/>
          <w:lang w:eastAsia="pt-BR"/>
        </w:rPr>
      </w:pPr>
    </w:p>
    <w:p w14:paraId="182472C9" w14:textId="77777777" w:rsidR="007A45C9" w:rsidRPr="007A45C9" w:rsidRDefault="007A45C9" w:rsidP="007A45C9">
      <w:pPr>
        <w:tabs>
          <w:tab w:val="left" w:pos="13958"/>
        </w:tabs>
        <w:spacing w:after="0" w:line="240" w:lineRule="auto"/>
        <w:ind w:left="-639"/>
        <w:rPr>
          <w:rFonts w:ascii="Arial Narrow" w:eastAsia="Times New Roman" w:hAnsi="Arial Narrow" w:cs="Arial"/>
          <w:b/>
          <w:bCs/>
          <w:sz w:val="8"/>
          <w:szCs w:val="16"/>
          <w:lang w:eastAsia="pt-BR"/>
        </w:rPr>
      </w:pPr>
      <w:r w:rsidRPr="007A45C9">
        <w:rPr>
          <w:rFonts w:ascii="Arial Narrow" w:eastAsia="Times New Roman" w:hAnsi="Arial Narrow" w:cs="Arial"/>
          <w:b/>
          <w:bCs/>
          <w:sz w:val="16"/>
          <w:szCs w:val="16"/>
          <w:lang w:eastAsia="pt-BR"/>
        </w:rPr>
        <w:tab/>
      </w:r>
    </w:p>
    <w:tbl>
      <w:tblPr>
        <w:tblW w:w="14177" w:type="dxa"/>
        <w:tblInd w:w="-10" w:type="dxa"/>
        <w:tblCellMar>
          <w:left w:w="70" w:type="dxa"/>
          <w:right w:w="70" w:type="dxa"/>
        </w:tblCellMar>
        <w:tblLook w:val="04A0" w:firstRow="1" w:lastRow="0" w:firstColumn="1" w:lastColumn="0" w:noHBand="0" w:noVBand="1"/>
      </w:tblPr>
      <w:tblGrid>
        <w:gridCol w:w="5104"/>
        <w:gridCol w:w="993"/>
        <w:gridCol w:w="992"/>
        <w:gridCol w:w="5103"/>
        <w:gridCol w:w="993"/>
        <w:gridCol w:w="992"/>
      </w:tblGrid>
      <w:tr w:rsidR="00D73956" w:rsidRPr="00D73956" w14:paraId="520471C4" w14:textId="77777777" w:rsidTr="006A139B">
        <w:trPr>
          <w:trHeight w:val="270"/>
        </w:trPr>
        <w:tc>
          <w:tcPr>
            <w:tcW w:w="7089" w:type="dxa"/>
            <w:gridSpan w:val="3"/>
            <w:tcBorders>
              <w:top w:val="single" w:sz="8" w:space="0" w:color="auto"/>
              <w:left w:val="single" w:sz="8" w:space="0" w:color="auto"/>
              <w:bottom w:val="single" w:sz="8" w:space="0" w:color="000000"/>
              <w:right w:val="single" w:sz="8" w:space="0" w:color="auto"/>
            </w:tcBorders>
            <w:shd w:val="clear" w:color="auto" w:fill="auto"/>
            <w:noWrap/>
            <w:vAlign w:val="center"/>
          </w:tcPr>
          <w:p w14:paraId="2121836F" w14:textId="77777777" w:rsidR="00D73956" w:rsidRPr="00D73956" w:rsidRDefault="00D73956" w:rsidP="006A139B">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INGRESSOS</w:t>
            </w:r>
          </w:p>
        </w:tc>
        <w:tc>
          <w:tcPr>
            <w:tcW w:w="7088" w:type="dxa"/>
            <w:gridSpan w:val="3"/>
            <w:tcBorders>
              <w:top w:val="single" w:sz="8" w:space="0" w:color="auto"/>
              <w:left w:val="single" w:sz="8" w:space="0" w:color="auto"/>
              <w:bottom w:val="single" w:sz="8" w:space="0" w:color="000000"/>
              <w:right w:val="single" w:sz="8" w:space="0" w:color="auto"/>
            </w:tcBorders>
            <w:shd w:val="clear" w:color="auto" w:fill="auto"/>
            <w:noWrap/>
            <w:vAlign w:val="center"/>
          </w:tcPr>
          <w:p w14:paraId="1DBC0B26" w14:textId="77777777" w:rsidR="00D73956" w:rsidRPr="00D73956" w:rsidRDefault="00D73956" w:rsidP="006A139B">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DISPÊNDIOS</w:t>
            </w:r>
          </w:p>
        </w:tc>
      </w:tr>
      <w:tr w:rsidR="00D73956" w:rsidRPr="00D73956" w14:paraId="6249F536" w14:textId="77777777" w:rsidTr="006A139B">
        <w:trPr>
          <w:trHeight w:val="270"/>
        </w:trPr>
        <w:tc>
          <w:tcPr>
            <w:tcW w:w="5104"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0F8D588D" w14:textId="77777777" w:rsidR="00D73956" w:rsidRPr="00D73956" w:rsidRDefault="00D73956" w:rsidP="006A139B">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ESPECIFICAÇÃO</w:t>
            </w:r>
          </w:p>
        </w:tc>
        <w:tc>
          <w:tcPr>
            <w:tcW w:w="993" w:type="dxa"/>
            <w:tcBorders>
              <w:top w:val="single" w:sz="8" w:space="0" w:color="auto"/>
              <w:left w:val="nil"/>
              <w:bottom w:val="single" w:sz="8" w:space="0" w:color="auto"/>
              <w:right w:val="single" w:sz="8" w:space="0" w:color="auto"/>
            </w:tcBorders>
            <w:shd w:val="clear" w:color="auto" w:fill="auto"/>
            <w:noWrap/>
            <w:vAlign w:val="center"/>
            <w:hideMark/>
          </w:tcPr>
          <w:p w14:paraId="3C8AE5BA" w14:textId="77777777" w:rsidR="00D73956" w:rsidRPr="00D73956" w:rsidRDefault="00D73956" w:rsidP="006A139B">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Exercício Atual</w:t>
            </w:r>
          </w:p>
        </w:tc>
        <w:tc>
          <w:tcPr>
            <w:tcW w:w="992" w:type="dxa"/>
            <w:tcBorders>
              <w:top w:val="single" w:sz="8" w:space="0" w:color="auto"/>
              <w:left w:val="nil"/>
              <w:bottom w:val="single" w:sz="8" w:space="0" w:color="auto"/>
              <w:right w:val="single" w:sz="8" w:space="0" w:color="auto"/>
            </w:tcBorders>
            <w:shd w:val="clear" w:color="auto" w:fill="auto"/>
            <w:noWrap/>
            <w:vAlign w:val="center"/>
            <w:hideMark/>
          </w:tcPr>
          <w:p w14:paraId="379BD581" w14:textId="77777777" w:rsidR="00D73956" w:rsidRPr="00D73956" w:rsidRDefault="00D73956" w:rsidP="006A139B">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Exercício Anterior</w:t>
            </w:r>
          </w:p>
        </w:tc>
        <w:tc>
          <w:tcPr>
            <w:tcW w:w="5103"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705A93E5" w14:textId="77777777" w:rsidR="00D73956" w:rsidRPr="00D73956" w:rsidRDefault="00D73956" w:rsidP="006A139B">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ESPECIFICAÇÃO</w:t>
            </w:r>
          </w:p>
        </w:tc>
        <w:tc>
          <w:tcPr>
            <w:tcW w:w="993" w:type="dxa"/>
            <w:tcBorders>
              <w:top w:val="single" w:sz="8" w:space="0" w:color="auto"/>
              <w:left w:val="nil"/>
              <w:bottom w:val="single" w:sz="8" w:space="0" w:color="auto"/>
              <w:right w:val="single" w:sz="8" w:space="0" w:color="auto"/>
            </w:tcBorders>
            <w:shd w:val="clear" w:color="auto" w:fill="auto"/>
            <w:noWrap/>
            <w:vAlign w:val="center"/>
            <w:hideMark/>
          </w:tcPr>
          <w:p w14:paraId="5DE8B6D2" w14:textId="77777777" w:rsidR="00D73956" w:rsidRPr="00D73956" w:rsidRDefault="00D73956" w:rsidP="006A139B">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Exercício Atual</w:t>
            </w:r>
          </w:p>
        </w:tc>
        <w:tc>
          <w:tcPr>
            <w:tcW w:w="992" w:type="dxa"/>
            <w:tcBorders>
              <w:top w:val="single" w:sz="8" w:space="0" w:color="auto"/>
              <w:left w:val="nil"/>
              <w:bottom w:val="single" w:sz="8" w:space="0" w:color="auto"/>
              <w:right w:val="single" w:sz="8" w:space="0" w:color="auto"/>
            </w:tcBorders>
            <w:shd w:val="clear" w:color="auto" w:fill="auto"/>
            <w:noWrap/>
            <w:vAlign w:val="center"/>
            <w:hideMark/>
          </w:tcPr>
          <w:p w14:paraId="43BA6F3B" w14:textId="77777777" w:rsidR="00D73956" w:rsidRPr="00D73956" w:rsidRDefault="00D73956" w:rsidP="006A139B">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Exercício Anterior</w:t>
            </w:r>
          </w:p>
        </w:tc>
      </w:tr>
      <w:tr w:rsidR="00D73956" w:rsidRPr="00D73956" w14:paraId="0C4EC99E" w14:textId="77777777" w:rsidTr="006A139B">
        <w:trPr>
          <w:trHeight w:val="270"/>
        </w:trPr>
        <w:tc>
          <w:tcPr>
            <w:tcW w:w="5104"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4A50FD19" w14:textId="77777777" w:rsidR="00D73956" w:rsidRPr="00D73956" w:rsidRDefault="00D73956" w:rsidP="006A139B">
            <w:pPr>
              <w:spacing w:after="0" w:line="240" w:lineRule="auto"/>
              <w:rPr>
                <w:rFonts w:ascii="Arial Narrow" w:eastAsia="Times New Roman" w:hAnsi="Arial Narrow" w:cs="Arial"/>
                <w:b/>
                <w:bCs/>
                <w:sz w:val="16"/>
                <w:szCs w:val="16"/>
                <w:lang w:eastAsia="pt-BR"/>
              </w:rPr>
            </w:pPr>
          </w:p>
        </w:tc>
        <w:tc>
          <w:tcPr>
            <w:tcW w:w="1985" w:type="dxa"/>
            <w:gridSpan w:val="2"/>
            <w:tcBorders>
              <w:top w:val="nil"/>
              <w:left w:val="nil"/>
              <w:bottom w:val="single" w:sz="8" w:space="0" w:color="auto"/>
              <w:right w:val="single" w:sz="8" w:space="0" w:color="auto"/>
            </w:tcBorders>
            <w:shd w:val="clear" w:color="auto" w:fill="auto"/>
            <w:noWrap/>
            <w:vAlign w:val="center"/>
            <w:hideMark/>
          </w:tcPr>
          <w:p w14:paraId="200A71D0" w14:textId="77777777" w:rsidR="00D73956" w:rsidRPr="00D73956" w:rsidRDefault="00D73956" w:rsidP="006A139B">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VALOR</w:t>
            </w:r>
          </w:p>
        </w:tc>
        <w:tc>
          <w:tcPr>
            <w:tcW w:w="5103"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4BBD0836" w14:textId="77777777" w:rsidR="00D73956" w:rsidRPr="00D73956" w:rsidRDefault="00D73956" w:rsidP="006A139B">
            <w:pPr>
              <w:spacing w:after="0" w:line="240" w:lineRule="auto"/>
              <w:rPr>
                <w:rFonts w:ascii="Arial Narrow" w:eastAsia="Times New Roman" w:hAnsi="Arial Narrow" w:cs="Arial"/>
                <w:b/>
                <w:bCs/>
                <w:sz w:val="16"/>
                <w:szCs w:val="16"/>
                <w:lang w:eastAsia="pt-BR"/>
              </w:rPr>
            </w:pPr>
          </w:p>
        </w:tc>
        <w:tc>
          <w:tcPr>
            <w:tcW w:w="1985" w:type="dxa"/>
            <w:gridSpan w:val="2"/>
            <w:tcBorders>
              <w:top w:val="nil"/>
              <w:left w:val="nil"/>
              <w:bottom w:val="single" w:sz="8" w:space="0" w:color="auto"/>
              <w:right w:val="single" w:sz="8" w:space="0" w:color="auto"/>
            </w:tcBorders>
            <w:shd w:val="clear" w:color="auto" w:fill="auto"/>
            <w:noWrap/>
            <w:vAlign w:val="center"/>
            <w:hideMark/>
          </w:tcPr>
          <w:p w14:paraId="2DF0DCAE" w14:textId="77777777" w:rsidR="00D73956" w:rsidRPr="00D73956" w:rsidRDefault="00D73956" w:rsidP="006A139B">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VALOR</w:t>
            </w:r>
          </w:p>
        </w:tc>
      </w:tr>
      <w:tr w:rsidR="00D73956" w:rsidRPr="00D73956" w14:paraId="6645D850"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45997409" w14:textId="77777777" w:rsidR="00D73956" w:rsidRPr="00D73956" w:rsidRDefault="00D73956" w:rsidP="006A139B">
            <w:pPr>
              <w:spacing w:after="0" w:line="240" w:lineRule="auto"/>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 </w:t>
            </w:r>
          </w:p>
        </w:tc>
        <w:tc>
          <w:tcPr>
            <w:tcW w:w="993" w:type="dxa"/>
            <w:tcBorders>
              <w:top w:val="nil"/>
              <w:left w:val="nil"/>
              <w:bottom w:val="nil"/>
              <w:right w:val="single" w:sz="8" w:space="0" w:color="auto"/>
            </w:tcBorders>
            <w:shd w:val="clear" w:color="auto" w:fill="auto"/>
            <w:noWrap/>
            <w:vAlign w:val="center"/>
            <w:hideMark/>
          </w:tcPr>
          <w:p w14:paraId="2B055B9B" w14:textId="77777777" w:rsidR="00D73956" w:rsidRPr="00D73956" w:rsidRDefault="00D73956" w:rsidP="006A139B">
            <w:pPr>
              <w:spacing w:after="0" w:line="240" w:lineRule="auto"/>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 </w:t>
            </w:r>
          </w:p>
        </w:tc>
        <w:tc>
          <w:tcPr>
            <w:tcW w:w="992" w:type="dxa"/>
            <w:tcBorders>
              <w:top w:val="nil"/>
              <w:left w:val="nil"/>
              <w:bottom w:val="nil"/>
              <w:right w:val="single" w:sz="8" w:space="0" w:color="auto"/>
            </w:tcBorders>
            <w:shd w:val="clear" w:color="auto" w:fill="auto"/>
            <w:noWrap/>
            <w:vAlign w:val="center"/>
            <w:hideMark/>
          </w:tcPr>
          <w:p w14:paraId="07981717" w14:textId="77777777" w:rsidR="00D73956" w:rsidRPr="00D73956" w:rsidRDefault="00D73956" w:rsidP="006A139B">
            <w:pPr>
              <w:spacing w:after="0" w:line="240" w:lineRule="auto"/>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 </w:t>
            </w:r>
          </w:p>
        </w:tc>
        <w:tc>
          <w:tcPr>
            <w:tcW w:w="5103" w:type="dxa"/>
            <w:tcBorders>
              <w:top w:val="nil"/>
              <w:left w:val="nil"/>
              <w:bottom w:val="nil"/>
              <w:right w:val="single" w:sz="8" w:space="0" w:color="auto"/>
            </w:tcBorders>
            <w:shd w:val="clear" w:color="auto" w:fill="auto"/>
            <w:noWrap/>
            <w:vAlign w:val="center"/>
            <w:hideMark/>
          </w:tcPr>
          <w:p w14:paraId="70BA6F4C" w14:textId="77777777" w:rsidR="00D73956" w:rsidRPr="00D73956" w:rsidRDefault="00D73956" w:rsidP="006A139B">
            <w:pPr>
              <w:spacing w:after="0" w:line="240" w:lineRule="auto"/>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 </w:t>
            </w:r>
          </w:p>
        </w:tc>
        <w:tc>
          <w:tcPr>
            <w:tcW w:w="993" w:type="dxa"/>
            <w:tcBorders>
              <w:top w:val="nil"/>
              <w:left w:val="nil"/>
              <w:bottom w:val="nil"/>
              <w:right w:val="single" w:sz="8" w:space="0" w:color="auto"/>
            </w:tcBorders>
            <w:shd w:val="clear" w:color="auto" w:fill="auto"/>
            <w:noWrap/>
            <w:vAlign w:val="center"/>
            <w:hideMark/>
          </w:tcPr>
          <w:p w14:paraId="3B4C9B50" w14:textId="77777777" w:rsidR="00D73956" w:rsidRPr="00D73956" w:rsidRDefault="00D73956" w:rsidP="006A139B">
            <w:pPr>
              <w:spacing w:after="0" w:line="240" w:lineRule="auto"/>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 </w:t>
            </w:r>
          </w:p>
        </w:tc>
        <w:tc>
          <w:tcPr>
            <w:tcW w:w="992" w:type="dxa"/>
            <w:tcBorders>
              <w:top w:val="nil"/>
              <w:left w:val="nil"/>
              <w:bottom w:val="nil"/>
              <w:right w:val="single" w:sz="8" w:space="0" w:color="auto"/>
            </w:tcBorders>
            <w:shd w:val="clear" w:color="auto" w:fill="auto"/>
            <w:noWrap/>
            <w:vAlign w:val="center"/>
            <w:hideMark/>
          </w:tcPr>
          <w:p w14:paraId="04EF2AB3" w14:textId="77777777" w:rsidR="00D73956" w:rsidRPr="00D73956" w:rsidRDefault="00D73956" w:rsidP="006A139B">
            <w:pPr>
              <w:spacing w:after="0" w:line="240" w:lineRule="auto"/>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 </w:t>
            </w:r>
          </w:p>
        </w:tc>
      </w:tr>
      <w:tr w:rsidR="00D73956" w:rsidRPr="00D73956" w14:paraId="0DF4F5C4"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20885340" w14:textId="77777777" w:rsidR="00D73956" w:rsidRPr="00D73956" w:rsidRDefault="00D73956" w:rsidP="006A139B">
            <w:pPr>
              <w:spacing w:after="0" w:line="240" w:lineRule="auto"/>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RECEITA ORÇAMENTÁRIA (I)</w:t>
            </w:r>
          </w:p>
        </w:tc>
        <w:tc>
          <w:tcPr>
            <w:tcW w:w="993" w:type="dxa"/>
            <w:tcBorders>
              <w:top w:val="nil"/>
              <w:left w:val="nil"/>
              <w:bottom w:val="nil"/>
              <w:right w:val="single" w:sz="8" w:space="0" w:color="auto"/>
            </w:tcBorders>
            <w:shd w:val="clear" w:color="auto" w:fill="auto"/>
            <w:vAlign w:val="center"/>
            <w:hideMark/>
          </w:tcPr>
          <w:p w14:paraId="28EE7E17" w14:textId="77777777" w:rsidR="00D73956" w:rsidRPr="00D73956" w:rsidRDefault="00D73956" w:rsidP="006A139B">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BFI.C010</w:t>
            </w:r>
          </w:p>
        </w:tc>
        <w:tc>
          <w:tcPr>
            <w:tcW w:w="992" w:type="dxa"/>
            <w:tcBorders>
              <w:top w:val="nil"/>
              <w:left w:val="nil"/>
              <w:bottom w:val="nil"/>
              <w:right w:val="single" w:sz="8" w:space="0" w:color="auto"/>
            </w:tcBorders>
            <w:shd w:val="clear" w:color="auto" w:fill="auto"/>
            <w:vAlign w:val="center"/>
            <w:hideMark/>
          </w:tcPr>
          <w:p w14:paraId="606808E7" w14:textId="77777777" w:rsidR="00D73956" w:rsidRPr="00D73956" w:rsidRDefault="00D73956" w:rsidP="006A139B">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BFI.D010</w:t>
            </w:r>
          </w:p>
        </w:tc>
        <w:tc>
          <w:tcPr>
            <w:tcW w:w="5103" w:type="dxa"/>
            <w:tcBorders>
              <w:top w:val="nil"/>
              <w:left w:val="nil"/>
              <w:bottom w:val="nil"/>
              <w:right w:val="single" w:sz="8" w:space="0" w:color="auto"/>
            </w:tcBorders>
            <w:shd w:val="clear" w:color="auto" w:fill="auto"/>
            <w:noWrap/>
            <w:vAlign w:val="center"/>
            <w:hideMark/>
          </w:tcPr>
          <w:p w14:paraId="122A69E0" w14:textId="77777777" w:rsidR="00D73956" w:rsidRPr="00D73956" w:rsidRDefault="00D73956" w:rsidP="006A139B">
            <w:pPr>
              <w:spacing w:after="0" w:line="240" w:lineRule="auto"/>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DESPESA ORÇAMENTÁRIA (VI)</w:t>
            </w:r>
          </w:p>
        </w:tc>
        <w:tc>
          <w:tcPr>
            <w:tcW w:w="993" w:type="dxa"/>
            <w:tcBorders>
              <w:top w:val="nil"/>
              <w:left w:val="nil"/>
              <w:bottom w:val="nil"/>
              <w:right w:val="single" w:sz="8" w:space="0" w:color="auto"/>
            </w:tcBorders>
            <w:shd w:val="clear" w:color="auto" w:fill="auto"/>
            <w:vAlign w:val="center"/>
            <w:hideMark/>
          </w:tcPr>
          <w:p w14:paraId="002C75B2" w14:textId="77777777" w:rsidR="00D73956" w:rsidRPr="00D73956" w:rsidRDefault="00D73956" w:rsidP="006A139B">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BFI.G010</w:t>
            </w:r>
          </w:p>
        </w:tc>
        <w:tc>
          <w:tcPr>
            <w:tcW w:w="992" w:type="dxa"/>
            <w:tcBorders>
              <w:top w:val="nil"/>
              <w:left w:val="nil"/>
              <w:bottom w:val="nil"/>
              <w:right w:val="single" w:sz="8" w:space="0" w:color="auto"/>
            </w:tcBorders>
            <w:shd w:val="clear" w:color="auto" w:fill="auto"/>
            <w:vAlign w:val="center"/>
            <w:hideMark/>
          </w:tcPr>
          <w:p w14:paraId="44ABCD6F" w14:textId="77777777" w:rsidR="00D73956" w:rsidRPr="00D73956" w:rsidRDefault="00D73956" w:rsidP="006A139B">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BFI.H010</w:t>
            </w:r>
          </w:p>
        </w:tc>
      </w:tr>
      <w:tr w:rsidR="00D73956" w:rsidRPr="00D73956" w14:paraId="0DC384A3"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09852B49" w14:textId="77777777" w:rsidR="00D73956" w:rsidRPr="00D73956" w:rsidRDefault="00D73956" w:rsidP="006A139B">
            <w:pPr>
              <w:spacing w:after="0" w:line="240" w:lineRule="auto"/>
              <w:ind w:firstLineChars="100" w:firstLine="161"/>
              <w:rPr>
                <w:rFonts w:ascii="Arial Narrow" w:eastAsia="Times New Roman" w:hAnsi="Arial Narrow" w:cs="Arial"/>
                <w:b/>
                <w:bCs/>
                <w:sz w:val="16"/>
                <w:szCs w:val="16"/>
                <w:u w:val="single"/>
                <w:lang w:eastAsia="pt-BR"/>
              </w:rPr>
            </w:pPr>
            <w:r w:rsidRPr="00D73956">
              <w:rPr>
                <w:rFonts w:ascii="Arial Narrow" w:eastAsia="Times New Roman" w:hAnsi="Arial Narrow" w:cs="Arial"/>
                <w:b/>
                <w:bCs/>
                <w:sz w:val="16"/>
                <w:szCs w:val="16"/>
                <w:u w:val="single"/>
                <w:lang w:eastAsia="pt-BR"/>
              </w:rPr>
              <w:t>Ordinária</w:t>
            </w:r>
          </w:p>
        </w:tc>
        <w:tc>
          <w:tcPr>
            <w:tcW w:w="993" w:type="dxa"/>
            <w:tcBorders>
              <w:top w:val="nil"/>
              <w:left w:val="nil"/>
              <w:bottom w:val="nil"/>
              <w:right w:val="single" w:sz="8" w:space="0" w:color="auto"/>
            </w:tcBorders>
            <w:shd w:val="clear" w:color="auto" w:fill="auto"/>
            <w:vAlign w:val="center"/>
            <w:hideMark/>
          </w:tcPr>
          <w:p w14:paraId="54DA4325" w14:textId="77777777" w:rsidR="00D73956" w:rsidRPr="00D73956" w:rsidRDefault="00D73956" w:rsidP="006A139B">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BFI.C011</w:t>
            </w:r>
          </w:p>
        </w:tc>
        <w:tc>
          <w:tcPr>
            <w:tcW w:w="992" w:type="dxa"/>
            <w:tcBorders>
              <w:top w:val="nil"/>
              <w:left w:val="nil"/>
              <w:bottom w:val="nil"/>
              <w:right w:val="single" w:sz="8" w:space="0" w:color="auto"/>
            </w:tcBorders>
            <w:shd w:val="clear" w:color="auto" w:fill="auto"/>
            <w:vAlign w:val="center"/>
            <w:hideMark/>
          </w:tcPr>
          <w:p w14:paraId="544EC20D" w14:textId="77777777" w:rsidR="00D73956" w:rsidRPr="00D73956" w:rsidRDefault="00D73956" w:rsidP="006A139B">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BFI.D011</w:t>
            </w:r>
          </w:p>
        </w:tc>
        <w:tc>
          <w:tcPr>
            <w:tcW w:w="5103" w:type="dxa"/>
            <w:tcBorders>
              <w:top w:val="nil"/>
              <w:left w:val="nil"/>
              <w:bottom w:val="nil"/>
              <w:right w:val="single" w:sz="8" w:space="0" w:color="auto"/>
            </w:tcBorders>
            <w:shd w:val="clear" w:color="auto" w:fill="auto"/>
            <w:noWrap/>
            <w:vAlign w:val="center"/>
            <w:hideMark/>
          </w:tcPr>
          <w:p w14:paraId="6C773DDE" w14:textId="77777777" w:rsidR="00D73956" w:rsidRPr="00D73956" w:rsidRDefault="00D73956" w:rsidP="006A139B">
            <w:pPr>
              <w:spacing w:after="0" w:line="240" w:lineRule="auto"/>
              <w:ind w:firstLineChars="100" w:firstLine="161"/>
              <w:rPr>
                <w:rFonts w:ascii="Arial Narrow" w:eastAsia="Times New Roman" w:hAnsi="Arial Narrow" w:cs="Arial"/>
                <w:b/>
                <w:bCs/>
                <w:sz w:val="16"/>
                <w:szCs w:val="16"/>
                <w:u w:val="single"/>
                <w:lang w:eastAsia="pt-BR"/>
              </w:rPr>
            </w:pPr>
            <w:r w:rsidRPr="00D73956">
              <w:rPr>
                <w:rFonts w:ascii="Arial Narrow" w:eastAsia="Times New Roman" w:hAnsi="Arial Narrow" w:cs="Arial"/>
                <w:b/>
                <w:bCs/>
                <w:sz w:val="16"/>
                <w:szCs w:val="16"/>
                <w:u w:val="single"/>
                <w:lang w:eastAsia="pt-BR"/>
              </w:rPr>
              <w:t>Ordinária</w:t>
            </w:r>
          </w:p>
        </w:tc>
        <w:tc>
          <w:tcPr>
            <w:tcW w:w="993" w:type="dxa"/>
            <w:tcBorders>
              <w:top w:val="nil"/>
              <w:left w:val="nil"/>
              <w:bottom w:val="nil"/>
              <w:right w:val="single" w:sz="8" w:space="0" w:color="auto"/>
            </w:tcBorders>
            <w:shd w:val="clear" w:color="auto" w:fill="auto"/>
            <w:vAlign w:val="center"/>
            <w:hideMark/>
          </w:tcPr>
          <w:p w14:paraId="358D62FD" w14:textId="77777777" w:rsidR="00D73956" w:rsidRPr="00D73956" w:rsidRDefault="00D73956" w:rsidP="006A139B">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BFI.G011</w:t>
            </w:r>
          </w:p>
        </w:tc>
        <w:tc>
          <w:tcPr>
            <w:tcW w:w="992" w:type="dxa"/>
            <w:tcBorders>
              <w:top w:val="nil"/>
              <w:left w:val="nil"/>
              <w:bottom w:val="nil"/>
              <w:right w:val="single" w:sz="8" w:space="0" w:color="auto"/>
            </w:tcBorders>
            <w:shd w:val="clear" w:color="auto" w:fill="auto"/>
            <w:vAlign w:val="center"/>
            <w:hideMark/>
          </w:tcPr>
          <w:p w14:paraId="0C1B48C6" w14:textId="77777777" w:rsidR="00D73956" w:rsidRPr="00D73956" w:rsidRDefault="00D73956" w:rsidP="006A139B">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BFI.H011</w:t>
            </w:r>
          </w:p>
        </w:tc>
      </w:tr>
      <w:tr w:rsidR="00D73956" w:rsidRPr="00D73956" w14:paraId="548242A7"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20C4173E"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101 - RECURSOS ORDINÁRIOS</w:t>
            </w:r>
          </w:p>
        </w:tc>
        <w:tc>
          <w:tcPr>
            <w:tcW w:w="993" w:type="dxa"/>
            <w:tcBorders>
              <w:top w:val="nil"/>
              <w:left w:val="nil"/>
              <w:bottom w:val="nil"/>
              <w:right w:val="single" w:sz="8" w:space="0" w:color="auto"/>
            </w:tcBorders>
            <w:shd w:val="clear" w:color="auto" w:fill="auto"/>
            <w:vAlign w:val="center"/>
            <w:hideMark/>
          </w:tcPr>
          <w:p w14:paraId="1DBC5794"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BFI.C501</w:t>
            </w:r>
          </w:p>
        </w:tc>
        <w:tc>
          <w:tcPr>
            <w:tcW w:w="992" w:type="dxa"/>
            <w:tcBorders>
              <w:top w:val="nil"/>
              <w:left w:val="nil"/>
              <w:bottom w:val="nil"/>
              <w:right w:val="single" w:sz="8" w:space="0" w:color="auto"/>
            </w:tcBorders>
            <w:shd w:val="clear" w:color="auto" w:fill="auto"/>
            <w:vAlign w:val="center"/>
            <w:hideMark/>
          </w:tcPr>
          <w:p w14:paraId="5D788921"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BFI.D501</w:t>
            </w:r>
          </w:p>
        </w:tc>
        <w:tc>
          <w:tcPr>
            <w:tcW w:w="5103" w:type="dxa"/>
            <w:tcBorders>
              <w:top w:val="nil"/>
              <w:left w:val="nil"/>
              <w:bottom w:val="nil"/>
              <w:right w:val="single" w:sz="8" w:space="0" w:color="auto"/>
            </w:tcBorders>
            <w:shd w:val="clear" w:color="auto" w:fill="auto"/>
            <w:noWrap/>
            <w:vAlign w:val="center"/>
            <w:hideMark/>
          </w:tcPr>
          <w:p w14:paraId="743191F3"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101 - RECURSOS ORDINÁRIOS</w:t>
            </w:r>
          </w:p>
        </w:tc>
        <w:tc>
          <w:tcPr>
            <w:tcW w:w="993" w:type="dxa"/>
            <w:tcBorders>
              <w:top w:val="nil"/>
              <w:left w:val="nil"/>
              <w:bottom w:val="nil"/>
              <w:right w:val="single" w:sz="8" w:space="0" w:color="auto"/>
            </w:tcBorders>
            <w:shd w:val="clear" w:color="auto" w:fill="auto"/>
            <w:vAlign w:val="center"/>
            <w:hideMark/>
          </w:tcPr>
          <w:p w14:paraId="2CB904C0"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BFI.G501</w:t>
            </w:r>
          </w:p>
        </w:tc>
        <w:tc>
          <w:tcPr>
            <w:tcW w:w="992" w:type="dxa"/>
            <w:tcBorders>
              <w:top w:val="nil"/>
              <w:left w:val="nil"/>
              <w:bottom w:val="nil"/>
              <w:right w:val="single" w:sz="8" w:space="0" w:color="auto"/>
            </w:tcBorders>
            <w:shd w:val="clear" w:color="auto" w:fill="auto"/>
            <w:vAlign w:val="center"/>
            <w:hideMark/>
          </w:tcPr>
          <w:p w14:paraId="50F7FBC3"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BFI.H501</w:t>
            </w:r>
          </w:p>
        </w:tc>
      </w:tr>
      <w:tr w:rsidR="00D73956" w:rsidRPr="00D73956" w14:paraId="7FB00AAD"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2443E034"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301 - SUPERÁVIT FINANCEIRO - RECURSOS ORDINÁRIOS</w:t>
            </w:r>
          </w:p>
        </w:tc>
        <w:tc>
          <w:tcPr>
            <w:tcW w:w="993" w:type="dxa"/>
            <w:tcBorders>
              <w:top w:val="nil"/>
              <w:left w:val="nil"/>
              <w:bottom w:val="nil"/>
              <w:right w:val="single" w:sz="8" w:space="0" w:color="auto"/>
            </w:tcBorders>
            <w:shd w:val="clear" w:color="auto" w:fill="auto"/>
            <w:vAlign w:val="center"/>
            <w:hideMark/>
          </w:tcPr>
          <w:p w14:paraId="5AFCF511"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BFI.C502</w:t>
            </w:r>
          </w:p>
        </w:tc>
        <w:tc>
          <w:tcPr>
            <w:tcW w:w="992" w:type="dxa"/>
            <w:tcBorders>
              <w:top w:val="nil"/>
              <w:left w:val="nil"/>
              <w:bottom w:val="nil"/>
              <w:right w:val="single" w:sz="8" w:space="0" w:color="auto"/>
            </w:tcBorders>
            <w:shd w:val="clear" w:color="auto" w:fill="auto"/>
            <w:vAlign w:val="center"/>
            <w:hideMark/>
          </w:tcPr>
          <w:p w14:paraId="355286A3"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BFI.D502</w:t>
            </w:r>
          </w:p>
        </w:tc>
        <w:tc>
          <w:tcPr>
            <w:tcW w:w="5103" w:type="dxa"/>
            <w:tcBorders>
              <w:top w:val="nil"/>
              <w:left w:val="nil"/>
              <w:bottom w:val="nil"/>
              <w:right w:val="single" w:sz="8" w:space="0" w:color="auto"/>
            </w:tcBorders>
            <w:shd w:val="clear" w:color="auto" w:fill="auto"/>
            <w:noWrap/>
            <w:vAlign w:val="center"/>
            <w:hideMark/>
          </w:tcPr>
          <w:p w14:paraId="3A03DF8D"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301 - SUPERÁVIT FINANCEIRO - RECURSOS ORDINÁRIOS</w:t>
            </w:r>
          </w:p>
        </w:tc>
        <w:tc>
          <w:tcPr>
            <w:tcW w:w="993" w:type="dxa"/>
            <w:tcBorders>
              <w:top w:val="nil"/>
              <w:left w:val="nil"/>
              <w:bottom w:val="nil"/>
              <w:right w:val="single" w:sz="8" w:space="0" w:color="auto"/>
            </w:tcBorders>
            <w:shd w:val="clear" w:color="auto" w:fill="auto"/>
            <w:vAlign w:val="center"/>
            <w:hideMark/>
          </w:tcPr>
          <w:p w14:paraId="41A3F0E0"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BFI.G502</w:t>
            </w:r>
          </w:p>
        </w:tc>
        <w:tc>
          <w:tcPr>
            <w:tcW w:w="992" w:type="dxa"/>
            <w:tcBorders>
              <w:top w:val="nil"/>
              <w:left w:val="nil"/>
              <w:bottom w:val="nil"/>
              <w:right w:val="single" w:sz="8" w:space="0" w:color="auto"/>
            </w:tcBorders>
            <w:shd w:val="clear" w:color="auto" w:fill="auto"/>
            <w:vAlign w:val="center"/>
            <w:hideMark/>
          </w:tcPr>
          <w:p w14:paraId="495C943F"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BFI.H502</w:t>
            </w:r>
          </w:p>
        </w:tc>
      </w:tr>
      <w:tr w:rsidR="00D73956" w:rsidRPr="00D73956" w14:paraId="003CAEF8"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1F968E3A" w14:textId="77777777" w:rsidR="00D73956" w:rsidRPr="00D73956" w:rsidRDefault="00D73956" w:rsidP="006A139B">
            <w:pPr>
              <w:spacing w:after="0" w:line="240" w:lineRule="auto"/>
              <w:ind w:firstLineChars="100" w:firstLine="161"/>
              <w:rPr>
                <w:rFonts w:ascii="Arial Narrow" w:eastAsia="Times New Roman" w:hAnsi="Arial Narrow" w:cs="Arial"/>
                <w:b/>
                <w:bCs/>
                <w:sz w:val="16"/>
                <w:szCs w:val="16"/>
                <w:u w:val="single"/>
                <w:lang w:eastAsia="pt-BR"/>
              </w:rPr>
            </w:pPr>
            <w:r w:rsidRPr="00D73956">
              <w:rPr>
                <w:rFonts w:ascii="Arial Narrow" w:eastAsia="Times New Roman" w:hAnsi="Arial Narrow" w:cs="Arial"/>
                <w:b/>
                <w:bCs/>
                <w:sz w:val="16"/>
                <w:szCs w:val="16"/>
                <w:u w:val="single"/>
                <w:lang w:eastAsia="pt-BR"/>
              </w:rPr>
              <w:t>Vinculada</w:t>
            </w:r>
          </w:p>
        </w:tc>
        <w:tc>
          <w:tcPr>
            <w:tcW w:w="993" w:type="dxa"/>
            <w:tcBorders>
              <w:top w:val="nil"/>
              <w:left w:val="nil"/>
              <w:bottom w:val="nil"/>
              <w:right w:val="single" w:sz="8" w:space="0" w:color="auto"/>
            </w:tcBorders>
            <w:shd w:val="clear" w:color="auto" w:fill="auto"/>
            <w:vAlign w:val="center"/>
            <w:hideMark/>
          </w:tcPr>
          <w:p w14:paraId="6DDB18D1" w14:textId="77777777" w:rsidR="00D73956" w:rsidRPr="00D73956" w:rsidRDefault="00D73956" w:rsidP="006A139B">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BFI.C012</w:t>
            </w:r>
          </w:p>
        </w:tc>
        <w:tc>
          <w:tcPr>
            <w:tcW w:w="992" w:type="dxa"/>
            <w:tcBorders>
              <w:top w:val="nil"/>
              <w:left w:val="nil"/>
              <w:bottom w:val="nil"/>
              <w:right w:val="single" w:sz="8" w:space="0" w:color="auto"/>
            </w:tcBorders>
            <w:shd w:val="clear" w:color="auto" w:fill="auto"/>
            <w:vAlign w:val="center"/>
            <w:hideMark/>
          </w:tcPr>
          <w:p w14:paraId="0953EA4A" w14:textId="77777777" w:rsidR="00D73956" w:rsidRPr="00D73956" w:rsidRDefault="00D73956" w:rsidP="006A139B">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BFI.D012</w:t>
            </w:r>
          </w:p>
        </w:tc>
        <w:tc>
          <w:tcPr>
            <w:tcW w:w="5103" w:type="dxa"/>
            <w:tcBorders>
              <w:top w:val="nil"/>
              <w:left w:val="nil"/>
              <w:bottom w:val="nil"/>
              <w:right w:val="single" w:sz="8" w:space="0" w:color="auto"/>
            </w:tcBorders>
            <w:shd w:val="clear" w:color="auto" w:fill="auto"/>
            <w:noWrap/>
            <w:vAlign w:val="center"/>
            <w:hideMark/>
          </w:tcPr>
          <w:p w14:paraId="734FBCC5" w14:textId="77777777" w:rsidR="00D73956" w:rsidRPr="00D73956" w:rsidRDefault="00D73956" w:rsidP="006A139B">
            <w:pPr>
              <w:spacing w:after="0" w:line="240" w:lineRule="auto"/>
              <w:ind w:firstLineChars="100" w:firstLine="161"/>
              <w:rPr>
                <w:rFonts w:ascii="Arial Narrow" w:eastAsia="Times New Roman" w:hAnsi="Arial Narrow" w:cs="Arial"/>
                <w:b/>
                <w:bCs/>
                <w:sz w:val="16"/>
                <w:szCs w:val="16"/>
                <w:u w:val="single"/>
                <w:lang w:eastAsia="pt-BR"/>
              </w:rPr>
            </w:pPr>
            <w:r w:rsidRPr="00D73956">
              <w:rPr>
                <w:rFonts w:ascii="Arial Narrow" w:eastAsia="Times New Roman" w:hAnsi="Arial Narrow" w:cs="Arial"/>
                <w:b/>
                <w:bCs/>
                <w:sz w:val="16"/>
                <w:szCs w:val="16"/>
                <w:u w:val="single"/>
                <w:lang w:eastAsia="pt-BR"/>
              </w:rPr>
              <w:t>Vinculada</w:t>
            </w:r>
          </w:p>
        </w:tc>
        <w:tc>
          <w:tcPr>
            <w:tcW w:w="993" w:type="dxa"/>
            <w:tcBorders>
              <w:top w:val="nil"/>
              <w:left w:val="nil"/>
              <w:bottom w:val="nil"/>
              <w:right w:val="single" w:sz="8" w:space="0" w:color="auto"/>
            </w:tcBorders>
            <w:shd w:val="clear" w:color="auto" w:fill="auto"/>
            <w:vAlign w:val="center"/>
            <w:hideMark/>
          </w:tcPr>
          <w:p w14:paraId="5509D1FE" w14:textId="77777777" w:rsidR="00D73956" w:rsidRPr="00D73956" w:rsidRDefault="00D73956" w:rsidP="006A139B">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BFI.G012</w:t>
            </w:r>
          </w:p>
        </w:tc>
        <w:tc>
          <w:tcPr>
            <w:tcW w:w="992" w:type="dxa"/>
            <w:tcBorders>
              <w:top w:val="nil"/>
              <w:left w:val="nil"/>
              <w:bottom w:val="nil"/>
              <w:right w:val="single" w:sz="8" w:space="0" w:color="auto"/>
            </w:tcBorders>
            <w:shd w:val="clear" w:color="auto" w:fill="auto"/>
            <w:vAlign w:val="center"/>
            <w:hideMark/>
          </w:tcPr>
          <w:p w14:paraId="74C9E3FF" w14:textId="77777777" w:rsidR="00D73956" w:rsidRPr="00D73956" w:rsidRDefault="00D73956" w:rsidP="006A139B">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BFI.H012</w:t>
            </w:r>
          </w:p>
        </w:tc>
      </w:tr>
      <w:tr w:rsidR="00D73956" w:rsidRPr="00D73956" w14:paraId="47C8D1EA"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331100FD" w14:textId="77777777" w:rsidR="00D73956" w:rsidRPr="00D73956" w:rsidRDefault="00D73956" w:rsidP="006A139B">
            <w:pPr>
              <w:spacing w:after="0" w:line="240" w:lineRule="auto"/>
              <w:ind w:firstLineChars="100" w:firstLine="161"/>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 xml:space="preserve">  Recursos Vinculados à Educação </w:t>
            </w:r>
          </w:p>
        </w:tc>
        <w:tc>
          <w:tcPr>
            <w:tcW w:w="993" w:type="dxa"/>
            <w:tcBorders>
              <w:top w:val="nil"/>
              <w:left w:val="nil"/>
              <w:bottom w:val="nil"/>
              <w:right w:val="single" w:sz="8" w:space="0" w:color="auto"/>
            </w:tcBorders>
            <w:shd w:val="clear" w:color="auto" w:fill="auto"/>
            <w:vAlign w:val="center"/>
            <w:hideMark/>
          </w:tcPr>
          <w:p w14:paraId="2E5FB9C9" w14:textId="77777777" w:rsidR="00D73956" w:rsidRPr="00D73956" w:rsidRDefault="00D73956" w:rsidP="006A139B">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BFI.C013</w:t>
            </w:r>
          </w:p>
        </w:tc>
        <w:tc>
          <w:tcPr>
            <w:tcW w:w="992" w:type="dxa"/>
            <w:tcBorders>
              <w:top w:val="nil"/>
              <w:left w:val="nil"/>
              <w:bottom w:val="nil"/>
              <w:right w:val="single" w:sz="8" w:space="0" w:color="auto"/>
            </w:tcBorders>
            <w:shd w:val="clear" w:color="auto" w:fill="auto"/>
            <w:vAlign w:val="center"/>
            <w:hideMark/>
          </w:tcPr>
          <w:p w14:paraId="29672E03" w14:textId="77777777" w:rsidR="00D73956" w:rsidRPr="00D73956" w:rsidRDefault="00D73956" w:rsidP="006A139B">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BFI.D013</w:t>
            </w:r>
          </w:p>
        </w:tc>
        <w:tc>
          <w:tcPr>
            <w:tcW w:w="5103" w:type="dxa"/>
            <w:tcBorders>
              <w:top w:val="nil"/>
              <w:left w:val="nil"/>
              <w:bottom w:val="nil"/>
              <w:right w:val="single" w:sz="8" w:space="0" w:color="auto"/>
            </w:tcBorders>
            <w:shd w:val="clear" w:color="auto" w:fill="auto"/>
            <w:noWrap/>
            <w:vAlign w:val="center"/>
            <w:hideMark/>
          </w:tcPr>
          <w:p w14:paraId="765CE255" w14:textId="77777777" w:rsidR="00D73956" w:rsidRPr="00D73956" w:rsidRDefault="00D73956" w:rsidP="006A139B">
            <w:pPr>
              <w:spacing w:after="0" w:line="240" w:lineRule="auto"/>
              <w:ind w:firstLineChars="100" w:firstLine="161"/>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 xml:space="preserve">  Recursos Vinculados à Educação </w:t>
            </w:r>
          </w:p>
        </w:tc>
        <w:tc>
          <w:tcPr>
            <w:tcW w:w="993" w:type="dxa"/>
            <w:tcBorders>
              <w:top w:val="nil"/>
              <w:left w:val="nil"/>
              <w:bottom w:val="nil"/>
              <w:right w:val="single" w:sz="8" w:space="0" w:color="auto"/>
            </w:tcBorders>
            <w:shd w:val="clear" w:color="auto" w:fill="auto"/>
            <w:vAlign w:val="center"/>
            <w:hideMark/>
          </w:tcPr>
          <w:p w14:paraId="6463CE63" w14:textId="77777777" w:rsidR="00D73956" w:rsidRPr="00D73956" w:rsidRDefault="00D73956" w:rsidP="006A139B">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BFI.G013</w:t>
            </w:r>
          </w:p>
        </w:tc>
        <w:tc>
          <w:tcPr>
            <w:tcW w:w="992" w:type="dxa"/>
            <w:tcBorders>
              <w:top w:val="nil"/>
              <w:left w:val="nil"/>
              <w:bottom w:val="nil"/>
              <w:right w:val="single" w:sz="8" w:space="0" w:color="auto"/>
            </w:tcBorders>
            <w:shd w:val="clear" w:color="auto" w:fill="auto"/>
            <w:vAlign w:val="center"/>
            <w:hideMark/>
          </w:tcPr>
          <w:p w14:paraId="63F1A160" w14:textId="77777777" w:rsidR="00D73956" w:rsidRPr="00D73956" w:rsidRDefault="00D73956" w:rsidP="006A139B">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BFI.H013</w:t>
            </w:r>
          </w:p>
        </w:tc>
      </w:tr>
      <w:tr w:rsidR="00D73956" w:rsidRPr="00D73956" w14:paraId="0DFE1095"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7E29E960"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102 - MANUTENÇÃO E DESENVOLVIMENTO DO ENSINO</w:t>
            </w:r>
          </w:p>
        </w:tc>
        <w:tc>
          <w:tcPr>
            <w:tcW w:w="993" w:type="dxa"/>
            <w:tcBorders>
              <w:top w:val="nil"/>
              <w:left w:val="nil"/>
              <w:bottom w:val="nil"/>
              <w:right w:val="single" w:sz="8" w:space="0" w:color="auto"/>
            </w:tcBorders>
            <w:shd w:val="clear" w:color="auto" w:fill="auto"/>
            <w:vAlign w:val="center"/>
            <w:hideMark/>
          </w:tcPr>
          <w:p w14:paraId="28EB133E"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BFI.C503</w:t>
            </w:r>
          </w:p>
        </w:tc>
        <w:tc>
          <w:tcPr>
            <w:tcW w:w="992" w:type="dxa"/>
            <w:tcBorders>
              <w:top w:val="nil"/>
              <w:left w:val="nil"/>
              <w:bottom w:val="nil"/>
              <w:right w:val="single" w:sz="8" w:space="0" w:color="auto"/>
            </w:tcBorders>
            <w:shd w:val="clear" w:color="auto" w:fill="auto"/>
            <w:vAlign w:val="center"/>
            <w:hideMark/>
          </w:tcPr>
          <w:p w14:paraId="5D4E05AB"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BFI.D503</w:t>
            </w:r>
          </w:p>
        </w:tc>
        <w:tc>
          <w:tcPr>
            <w:tcW w:w="5103" w:type="dxa"/>
            <w:tcBorders>
              <w:top w:val="nil"/>
              <w:left w:val="nil"/>
              <w:bottom w:val="nil"/>
              <w:right w:val="single" w:sz="8" w:space="0" w:color="auto"/>
            </w:tcBorders>
            <w:shd w:val="clear" w:color="auto" w:fill="auto"/>
            <w:noWrap/>
            <w:vAlign w:val="center"/>
            <w:hideMark/>
          </w:tcPr>
          <w:p w14:paraId="153C4A4A"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102 - MANUTENÇÃO E DESENVOLVIMENTO DO ENSINO</w:t>
            </w:r>
          </w:p>
        </w:tc>
        <w:tc>
          <w:tcPr>
            <w:tcW w:w="993" w:type="dxa"/>
            <w:tcBorders>
              <w:top w:val="nil"/>
              <w:left w:val="nil"/>
              <w:bottom w:val="nil"/>
              <w:right w:val="single" w:sz="8" w:space="0" w:color="auto"/>
            </w:tcBorders>
            <w:shd w:val="clear" w:color="auto" w:fill="auto"/>
            <w:vAlign w:val="center"/>
            <w:hideMark/>
          </w:tcPr>
          <w:p w14:paraId="44FAB234"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BFI.G503</w:t>
            </w:r>
          </w:p>
        </w:tc>
        <w:tc>
          <w:tcPr>
            <w:tcW w:w="992" w:type="dxa"/>
            <w:tcBorders>
              <w:top w:val="nil"/>
              <w:left w:val="nil"/>
              <w:bottom w:val="nil"/>
              <w:right w:val="single" w:sz="8" w:space="0" w:color="auto"/>
            </w:tcBorders>
            <w:shd w:val="clear" w:color="auto" w:fill="auto"/>
            <w:vAlign w:val="center"/>
            <w:hideMark/>
          </w:tcPr>
          <w:p w14:paraId="60934D01"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BFI.H503</w:t>
            </w:r>
          </w:p>
        </w:tc>
      </w:tr>
      <w:tr w:rsidR="00D73956" w:rsidRPr="00D73956" w14:paraId="48CD2A6C"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66CEE936" w14:textId="58DD4ACF"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113 - MANUTENÇÃO E DESENVOLVIMENTO DA EDUCAÇÃO BÁSICA E DE VALORIZAÇÃO DOS PROFISSIONAIS DA EDUCAÇÃO - FUNDEB (70%)</w:t>
            </w:r>
          </w:p>
        </w:tc>
        <w:tc>
          <w:tcPr>
            <w:tcW w:w="993" w:type="dxa"/>
            <w:tcBorders>
              <w:top w:val="nil"/>
              <w:left w:val="nil"/>
              <w:bottom w:val="nil"/>
              <w:right w:val="single" w:sz="8" w:space="0" w:color="auto"/>
            </w:tcBorders>
            <w:shd w:val="clear" w:color="auto" w:fill="auto"/>
            <w:vAlign w:val="center"/>
            <w:hideMark/>
          </w:tcPr>
          <w:p w14:paraId="2AD5A897"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BFI.C504</w:t>
            </w:r>
          </w:p>
        </w:tc>
        <w:tc>
          <w:tcPr>
            <w:tcW w:w="992" w:type="dxa"/>
            <w:tcBorders>
              <w:top w:val="nil"/>
              <w:left w:val="nil"/>
              <w:bottom w:val="nil"/>
              <w:right w:val="single" w:sz="8" w:space="0" w:color="auto"/>
            </w:tcBorders>
            <w:shd w:val="clear" w:color="auto" w:fill="auto"/>
            <w:vAlign w:val="center"/>
            <w:hideMark/>
          </w:tcPr>
          <w:p w14:paraId="61B178E1"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BFI.D504</w:t>
            </w:r>
          </w:p>
        </w:tc>
        <w:tc>
          <w:tcPr>
            <w:tcW w:w="5103" w:type="dxa"/>
            <w:tcBorders>
              <w:top w:val="nil"/>
              <w:left w:val="nil"/>
              <w:bottom w:val="nil"/>
              <w:right w:val="single" w:sz="8" w:space="0" w:color="auto"/>
            </w:tcBorders>
            <w:shd w:val="clear" w:color="auto" w:fill="auto"/>
            <w:noWrap/>
            <w:vAlign w:val="center"/>
            <w:hideMark/>
          </w:tcPr>
          <w:p w14:paraId="70772946" w14:textId="74792DAC"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113 - MANUTENÇÃO E DESENVOLVIMENTO DA EDUCAÇÃO BÁSICA E DE VALORIZAÇÃO DOS PROFISSIONAIS DA EDUCAÇÃO - FUNDEB (70%)</w:t>
            </w:r>
          </w:p>
        </w:tc>
        <w:tc>
          <w:tcPr>
            <w:tcW w:w="993" w:type="dxa"/>
            <w:tcBorders>
              <w:top w:val="nil"/>
              <w:left w:val="nil"/>
              <w:bottom w:val="nil"/>
              <w:right w:val="single" w:sz="8" w:space="0" w:color="auto"/>
            </w:tcBorders>
            <w:shd w:val="clear" w:color="auto" w:fill="auto"/>
            <w:vAlign w:val="center"/>
            <w:hideMark/>
          </w:tcPr>
          <w:p w14:paraId="267764F5"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BFI.G504</w:t>
            </w:r>
          </w:p>
        </w:tc>
        <w:tc>
          <w:tcPr>
            <w:tcW w:w="992" w:type="dxa"/>
            <w:tcBorders>
              <w:top w:val="nil"/>
              <w:left w:val="nil"/>
              <w:bottom w:val="nil"/>
              <w:right w:val="single" w:sz="8" w:space="0" w:color="auto"/>
            </w:tcBorders>
            <w:shd w:val="clear" w:color="auto" w:fill="auto"/>
            <w:vAlign w:val="center"/>
            <w:hideMark/>
          </w:tcPr>
          <w:p w14:paraId="4D68CEAA"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BFI.H504</w:t>
            </w:r>
          </w:p>
        </w:tc>
      </w:tr>
      <w:tr w:rsidR="00D73956" w:rsidRPr="00D73956" w14:paraId="1E4B6A5D"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01E142D6" w14:textId="74848F9E"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114 - MANUTENÇÃO E DESENVOLVIMENTO DA EDUCAÇÃO BÁSICA E DE VALORIZAÇÃO DOS PROFISSIONAIS DA EDUCAÇÃO - FUNDEB (30%)</w:t>
            </w:r>
          </w:p>
        </w:tc>
        <w:tc>
          <w:tcPr>
            <w:tcW w:w="993" w:type="dxa"/>
            <w:tcBorders>
              <w:top w:val="nil"/>
              <w:left w:val="nil"/>
              <w:bottom w:val="nil"/>
              <w:right w:val="single" w:sz="8" w:space="0" w:color="auto"/>
            </w:tcBorders>
            <w:shd w:val="clear" w:color="auto" w:fill="auto"/>
            <w:vAlign w:val="center"/>
            <w:hideMark/>
          </w:tcPr>
          <w:p w14:paraId="39CDB7CD"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BFI.C505</w:t>
            </w:r>
          </w:p>
        </w:tc>
        <w:tc>
          <w:tcPr>
            <w:tcW w:w="992" w:type="dxa"/>
            <w:tcBorders>
              <w:top w:val="nil"/>
              <w:left w:val="nil"/>
              <w:bottom w:val="nil"/>
              <w:right w:val="single" w:sz="8" w:space="0" w:color="auto"/>
            </w:tcBorders>
            <w:shd w:val="clear" w:color="auto" w:fill="auto"/>
            <w:vAlign w:val="center"/>
            <w:hideMark/>
          </w:tcPr>
          <w:p w14:paraId="241105D3"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BFI.D505</w:t>
            </w:r>
          </w:p>
        </w:tc>
        <w:tc>
          <w:tcPr>
            <w:tcW w:w="5103" w:type="dxa"/>
            <w:tcBorders>
              <w:top w:val="nil"/>
              <w:left w:val="nil"/>
              <w:bottom w:val="nil"/>
              <w:right w:val="single" w:sz="8" w:space="0" w:color="auto"/>
            </w:tcBorders>
            <w:shd w:val="clear" w:color="auto" w:fill="auto"/>
            <w:noWrap/>
            <w:vAlign w:val="center"/>
            <w:hideMark/>
          </w:tcPr>
          <w:p w14:paraId="3C192BAC" w14:textId="6E46348D"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114 - MANUTENÇÃO E DESENVOLVIMENTO DA EDUCAÇÃO BÁSICA E DE VALORIZAÇÃO DOS PROFISSIONAIS DA EDUCAÇÃO - FUNDEB (30%)</w:t>
            </w:r>
          </w:p>
        </w:tc>
        <w:tc>
          <w:tcPr>
            <w:tcW w:w="993" w:type="dxa"/>
            <w:tcBorders>
              <w:top w:val="nil"/>
              <w:left w:val="nil"/>
              <w:bottom w:val="nil"/>
              <w:right w:val="single" w:sz="8" w:space="0" w:color="auto"/>
            </w:tcBorders>
            <w:shd w:val="clear" w:color="auto" w:fill="auto"/>
            <w:vAlign w:val="center"/>
            <w:hideMark/>
          </w:tcPr>
          <w:p w14:paraId="2CAD2BEB"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BFI.G505</w:t>
            </w:r>
          </w:p>
        </w:tc>
        <w:tc>
          <w:tcPr>
            <w:tcW w:w="992" w:type="dxa"/>
            <w:tcBorders>
              <w:top w:val="nil"/>
              <w:left w:val="nil"/>
              <w:bottom w:val="nil"/>
              <w:right w:val="single" w:sz="8" w:space="0" w:color="auto"/>
            </w:tcBorders>
            <w:shd w:val="clear" w:color="auto" w:fill="auto"/>
            <w:vAlign w:val="center"/>
            <w:hideMark/>
          </w:tcPr>
          <w:p w14:paraId="0A7AA653"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BFI.H505</w:t>
            </w:r>
          </w:p>
        </w:tc>
      </w:tr>
      <w:tr w:rsidR="00D74061" w:rsidRPr="00D73956" w14:paraId="4F9FEEA2"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tcPr>
          <w:p w14:paraId="64BB926B" w14:textId="7EAE5D08"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119 - </w:t>
            </w:r>
            <w:r w:rsidRPr="00493919">
              <w:rPr>
                <w:rFonts w:ascii="Arial Narrow" w:eastAsia="Times New Roman" w:hAnsi="Arial Narrow" w:cs="Arial"/>
                <w:sz w:val="16"/>
                <w:szCs w:val="16"/>
                <w:lang w:eastAsia="pt-BR"/>
              </w:rPr>
              <w:t>OUTROS RECURSOS VINCULADOS À EDUCAÇÃO</w:t>
            </w:r>
          </w:p>
        </w:tc>
        <w:tc>
          <w:tcPr>
            <w:tcW w:w="993" w:type="dxa"/>
            <w:tcBorders>
              <w:top w:val="nil"/>
              <w:left w:val="nil"/>
              <w:bottom w:val="nil"/>
              <w:right w:val="single" w:sz="8" w:space="0" w:color="auto"/>
            </w:tcBorders>
            <w:shd w:val="clear" w:color="auto" w:fill="auto"/>
            <w:vAlign w:val="center"/>
          </w:tcPr>
          <w:p w14:paraId="0AED0D3C" w14:textId="695DB7F8"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493919">
              <w:rPr>
                <w:rFonts w:ascii="Arial Narrow" w:eastAsia="Times New Roman" w:hAnsi="Arial Narrow" w:cs="Arial"/>
                <w:sz w:val="16"/>
                <w:szCs w:val="16"/>
                <w:lang w:eastAsia="pt-BR"/>
              </w:rPr>
              <w:t>BFI.C609</w:t>
            </w:r>
          </w:p>
        </w:tc>
        <w:tc>
          <w:tcPr>
            <w:tcW w:w="992" w:type="dxa"/>
            <w:tcBorders>
              <w:top w:val="nil"/>
              <w:left w:val="nil"/>
              <w:bottom w:val="nil"/>
              <w:right w:val="single" w:sz="8" w:space="0" w:color="auto"/>
            </w:tcBorders>
            <w:shd w:val="clear" w:color="auto" w:fill="auto"/>
            <w:vAlign w:val="center"/>
          </w:tcPr>
          <w:p w14:paraId="43215BA9" w14:textId="4D10A029"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493919">
              <w:rPr>
                <w:rFonts w:ascii="Arial Narrow" w:eastAsia="Times New Roman" w:hAnsi="Arial Narrow" w:cs="Arial"/>
                <w:sz w:val="16"/>
                <w:szCs w:val="16"/>
                <w:lang w:eastAsia="pt-BR"/>
              </w:rPr>
              <w:t>BFI.D609</w:t>
            </w:r>
          </w:p>
        </w:tc>
        <w:tc>
          <w:tcPr>
            <w:tcW w:w="5103" w:type="dxa"/>
            <w:tcBorders>
              <w:top w:val="nil"/>
              <w:left w:val="nil"/>
              <w:bottom w:val="nil"/>
              <w:right w:val="single" w:sz="8" w:space="0" w:color="auto"/>
            </w:tcBorders>
            <w:shd w:val="clear" w:color="auto" w:fill="auto"/>
            <w:noWrap/>
            <w:vAlign w:val="center"/>
          </w:tcPr>
          <w:p w14:paraId="71C64A51" w14:textId="770B2546"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119 - </w:t>
            </w:r>
            <w:r w:rsidRPr="00493919">
              <w:rPr>
                <w:rFonts w:ascii="Arial Narrow" w:eastAsia="Times New Roman" w:hAnsi="Arial Narrow" w:cs="Arial"/>
                <w:sz w:val="16"/>
                <w:szCs w:val="16"/>
                <w:lang w:eastAsia="pt-BR"/>
              </w:rPr>
              <w:t>OUTROS RECURSOS VINCULADOS À EDUCAÇÃO</w:t>
            </w:r>
          </w:p>
        </w:tc>
        <w:tc>
          <w:tcPr>
            <w:tcW w:w="993" w:type="dxa"/>
            <w:tcBorders>
              <w:top w:val="nil"/>
              <w:left w:val="nil"/>
              <w:bottom w:val="nil"/>
              <w:right w:val="single" w:sz="8" w:space="0" w:color="auto"/>
            </w:tcBorders>
            <w:shd w:val="clear" w:color="auto" w:fill="auto"/>
            <w:vAlign w:val="center"/>
          </w:tcPr>
          <w:p w14:paraId="5F1E0327" w14:textId="38883562"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493919">
              <w:rPr>
                <w:rFonts w:ascii="Arial Narrow" w:eastAsia="Times New Roman" w:hAnsi="Arial Narrow" w:cs="Arial"/>
                <w:sz w:val="16"/>
                <w:szCs w:val="16"/>
                <w:lang w:eastAsia="pt-BR"/>
              </w:rPr>
              <w:t>BFI.G609</w:t>
            </w:r>
          </w:p>
        </w:tc>
        <w:tc>
          <w:tcPr>
            <w:tcW w:w="992" w:type="dxa"/>
            <w:tcBorders>
              <w:top w:val="nil"/>
              <w:left w:val="nil"/>
              <w:bottom w:val="nil"/>
              <w:right w:val="single" w:sz="8" w:space="0" w:color="auto"/>
            </w:tcBorders>
            <w:shd w:val="clear" w:color="auto" w:fill="auto"/>
            <w:vAlign w:val="center"/>
          </w:tcPr>
          <w:p w14:paraId="1D6BE795" w14:textId="2E0049EA"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493919">
              <w:rPr>
                <w:rFonts w:ascii="Arial Narrow" w:eastAsia="Times New Roman" w:hAnsi="Arial Narrow" w:cs="Arial"/>
                <w:sz w:val="16"/>
                <w:szCs w:val="16"/>
                <w:lang w:eastAsia="pt-BR"/>
              </w:rPr>
              <w:t>BFI.H609</w:t>
            </w:r>
          </w:p>
        </w:tc>
      </w:tr>
      <w:tr w:rsidR="00D74061" w:rsidRPr="00D73956" w14:paraId="4A0CF959"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4E3C2BB4"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131 - COTA PARTE ESTADUAL DO SALÁRIO EDUCAÇÃO</w:t>
            </w:r>
          </w:p>
        </w:tc>
        <w:tc>
          <w:tcPr>
            <w:tcW w:w="993" w:type="dxa"/>
            <w:tcBorders>
              <w:top w:val="nil"/>
              <w:left w:val="nil"/>
              <w:bottom w:val="nil"/>
              <w:right w:val="single" w:sz="8" w:space="0" w:color="auto"/>
            </w:tcBorders>
            <w:shd w:val="clear" w:color="auto" w:fill="auto"/>
            <w:vAlign w:val="center"/>
            <w:hideMark/>
          </w:tcPr>
          <w:p w14:paraId="756581E3"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BFI.C506</w:t>
            </w:r>
          </w:p>
        </w:tc>
        <w:tc>
          <w:tcPr>
            <w:tcW w:w="992" w:type="dxa"/>
            <w:tcBorders>
              <w:top w:val="nil"/>
              <w:left w:val="nil"/>
              <w:bottom w:val="nil"/>
              <w:right w:val="single" w:sz="8" w:space="0" w:color="auto"/>
            </w:tcBorders>
            <w:shd w:val="clear" w:color="auto" w:fill="auto"/>
            <w:vAlign w:val="center"/>
            <w:hideMark/>
          </w:tcPr>
          <w:p w14:paraId="5234D813"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BFI.D506</w:t>
            </w:r>
          </w:p>
        </w:tc>
        <w:tc>
          <w:tcPr>
            <w:tcW w:w="5103" w:type="dxa"/>
            <w:tcBorders>
              <w:top w:val="nil"/>
              <w:left w:val="nil"/>
              <w:bottom w:val="nil"/>
              <w:right w:val="single" w:sz="8" w:space="0" w:color="auto"/>
            </w:tcBorders>
            <w:shd w:val="clear" w:color="auto" w:fill="auto"/>
            <w:noWrap/>
            <w:vAlign w:val="center"/>
            <w:hideMark/>
          </w:tcPr>
          <w:p w14:paraId="50523F6C"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131 - COTA PARTE ESTADUAL DO SALÁRIO EDUCAÇÃO</w:t>
            </w:r>
          </w:p>
        </w:tc>
        <w:tc>
          <w:tcPr>
            <w:tcW w:w="993" w:type="dxa"/>
            <w:tcBorders>
              <w:top w:val="nil"/>
              <w:left w:val="nil"/>
              <w:bottom w:val="nil"/>
              <w:right w:val="single" w:sz="8" w:space="0" w:color="auto"/>
            </w:tcBorders>
            <w:shd w:val="clear" w:color="auto" w:fill="auto"/>
            <w:vAlign w:val="center"/>
            <w:hideMark/>
          </w:tcPr>
          <w:p w14:paraId="7E57E8FF"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BFI.G506</w:t>
            </w:r>
          </w:p>
        </w:tc>
        <w:tc>
          <w:tcPr>
            <w:tcW w:w="992" w:type="dxa"/>
            <w:tcBorders>
              <w:top w:val="nil"/>
              <w:left w:val="nil"/>
              <w:bottom w:val="nil"/>
              <w:right w:val="single" w:sz="8" w:space="0" w:color="auto"/>
            </w:tcBorders>
            <w:shd w:val="clear" w:color="auto" w:fill="auto"/>
            <w:vAlign w:val="center"/>
            <w:hideMark/>
          </w:tcPr>
          <w:p w14:paraId="0D928BE1"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BFI.H506</w:t>
            </w:r>
          </w:p>
        </w:tc>
      </w:tr>
      <w:tr w:rsidR="00D74061" w:rsidRPr="00D73956" w14:paraId="14C5A6C2"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6EC6B787"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146 - PROGRAMA DINHEIRO DIRETO NA ESCOLA - PDDE</w:t>
            </w:r>
          </w:p>
        </w:tc>
        <w:tc>
          <w:tcPr>
            <w:tcW w:w="993" w:type="dxa"/>
            <w:tcBorders>
              <w:top w:val="nil"/>
              <w:left w:val="nil"/>
              <w:bottom w:val="nil"/>
              <w:right w:val="single" w:sz="8" w:space="0" w:color="auto"/>
            </w:tcBorders>
            <w:shd w:val="clear" w:color="auto" w:fill="auto"/>
            <w:vAlign w:val="center"/>
            <w:hideMark/>
          </w:tcPr>
          <w:p w14:paraId="587B9AF8"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BFI.C508</w:t>
            </w:r>
          </w:p>
        </w:tc>
        <w:tc>
          <w:tcPr>
            <w:tcW w:w="992" w:type="dxa"/>
            <w:tcBorders>
              <w:top w:val="nil"/>
              <w:left w:val="nil"/>
              <w:bottom w:val="nil"/>
              <w:right w:val="single" w:sz="8" w:space="0" w:color="auto"/>
            </w:tcBorders>
            <w:shd w:val="clear" w:color="auto" w:fill="auto"/>
            <w:vAlign w:val="center"/>
            <w:hideMark/>
          </w:tcPr>
          <w:p w14:paraId="18F50FB6"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BFI.D508</w:t>
            </w:r>
          </w:p>
        </w:tc>
        <w:tc>
          <w:tcPr>
            <w:tcW w:w="5103" w:type="dxa"/>
            <w:tcBorders>
              <w:top w:val="nil"/>
              <w:left w:val="nil"/>
              <w:bottom w:val="nil"/>
              <w:right w:val="single" w:sz="8" w:space="0" w:color="auto"/>
            </w:tcBorders>
            <w:shd w:val="clear" w:color="auto" w:fill="auto"/>
            <w:noWrap/>
            <w:vAlign w:val="center"/>
            <w:hideMark/>
          </w:tcPr>
          <w:p w14:paraId="0C687703"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146 - PROGRAMA DINHEIRO DIRETO NA ESCOLA - PDDE</w:t>
            </w:r>
          </w:p>
        </w:tc>
        <w:tc>
          <w:tcPr>
            <w:tcW w:w="993" w:type="dxa"/>
            <w:tcBorders>
              <w:top w:val="nil"/>
              <w:left w:val="nil"/>
              <w:bottom w:val="nil"/>
              <w:right w:val="single" w:sz="8" w:space="0" w:color="auto"/>
            </w:tcBorders>
            <w:shd w:val="clear" w:color="auto" w:fill="auto"/>
            <w:vAlign w:val="center"/>
            <w:hideMark/>
          </w:tcPr>
          <w:p w14:paraId="1EAA62EB"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BFI.G508</w:t>
            </w:r>
          </w:p>
        </w:tc>
        <w:tc>
          <w:tcPr>
            <w:tcW w:w="992" w:type="dxa"/>
            <w:tcBorders>
              <w:top w:val="nil"/>
              <w:left w:val="nil"/>
              <w:bottom w:val="nil"/>
              <w:right w:val="single" w:sz="8" w:space="0" w:color="auto"/>
            </w:tcBorders>
            <w:shd w:val="clear" w:color="auto" w:fill="auto"/>
            <w:vAlign w:val="center"/>
            <w:hideMark/>
          </w:tcPr>
          <w:p w14:paraId="09A18706"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BFI.H508</w:t>
            </w:r>
          </w:p>
        </w:tc>
      </w:tr>
      <w:tr w:rsidR="00D74061" w:rsidRPr="00D73956" w14:paraId="04512847"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7D9B0F14"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147 - PROGRAMA NACIONAL DE ALIMENTAÇÃO ESCOLAR - PNAE</w:t>
            </w:r>
          </w:p>
        </w:tc>
        <w:tc>
          <w:tcPr>
            <w:tcW w:w="993" w:type="dxa"/>
            <w:tcBorders>
              <w:top w:val="nil"/>
              <w:left w:val="nil"/>
              <w:bottom w:val="nil"/>
              <w:right w:val="single" w:sz="8" w:space="0" w:color="auto"/>
            </w:tcBorders>
            <w:shd w:val="clear" w:color="auto" w:fill="auto"/>
            <w:vAlign w:val="center"/>
            <w:hideMark/>
          </w:tcPr>
          <w:p w14:paraId="409E71B8"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BFI.C509</w:t>
            </w:r>
          </w:p>
        </w:tc>
        <w:tc>
          <w:tcPr>
            <w:tcW w:w="992" w:type="dxa"/>
            <w:tcBorders>
              <w:top w:val="nil"/>
              <w:left w:val="nil"/>
              <w:bottom w:val="nil"/>
              <w:right w:val="single" w:sz="8" w:space="0" w:color="auto"/>
            </w:tcBorders>
            <w:shd w:val="clear" w:color="auto" w:fill="auto"/>
            <w:vAlign w:val="center"/>
            <w:hideMark/>
          </w:tcPr>
          <w:p w14:paraId="197D78A3"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BFI.D509</w:t>
            </w:r>
          </w:p>
        </w:tc>
        <w:tc>
          <w:tcPr>
            <w:tcW w:w="5103" w:type="dxa"/>
            <w:tcBorders>
              <w:top w:val="nil"/>
              <w:left w:val="nil"/>
              <w:bottom w:val="nil"/>
              <w:right w:val="single" w:sz="8" w:space="0" w:color="auto"/>
            </w:tcBorders>
            <w:shd w:val="clear" w:color="auto" w:fill="auto"/>
            <w:noWrap/>
            <w:vAlign w:val="center"/>
            <w:hideMark/>
          </w:tcPr>
          <w:p w14:paraId="7D89C20E"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147 - PROGRAMA NACIONAL DE ALIMENTAÇÃO ESCOLAR - PNAE</w:t>
            </w:r>
          </w:p>
        </w:tc>
        <w:tc>
          <w:tcPr>
            <w:tcW w:w="993" w:type="dxa"/>
            <w:tcBorders>
              <w:top w:val="nil"/>
              <w:left w:val="nil"/>
              <w:bottom w:val="nil"/>
              <w:right w:val="single" w:sz="8" w:space="0" w:color="auto"/>
            </w:tcBorders>
            <w:shd w:val="clear" w:color="auto" w:fill="auto"/>
            <w:vAlign w:val="center"/>
            <w:hideMark/>
          </w:tcPr>
          <w:p w14:paraId="28E67FCF"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BFI.G509</w:t>
            </w:r>
          </w:p>
        </w:tc>
        <w:tc>
          <w:tcPr>
            <w:tcW w:w="992" w:type="dxa"/>
            <w:tcBorders>
              <w:top w:val="nil"/>
              <w:left w:val="nil"/>
              <w:bottom w:val="nil"/>
              <w:right w:val="single" w:sz="8" w:space="0" w:color="auto"/>
            </w:tcBorders>
            <w:shd w:val="clear" w:color="auto" w:fill="auto"/>
            <w:vAlign w:val="center"/>
            <w:hideMark/>
          </w:tcPr>
          <w:p w14:paraId="2DC1F141"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BFI.H509</w:t>
            </w:r>
          </w:p>
        </w:tc>
      </w:tr>
      <w:tr w:rsidR="00D74061" w:rsidRPr="00D73956" w14:paraId="5D843DC8"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3882E138"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148 - PROGRAMA NACIONAL DE APOIO AO TRANSPORTE ESCOLAR – PNATE</w:t>
            </w:r>
          </w:p>
        </w:tc>
        <w:tc>
          <w:tcPr>
            <w:tcW w:w="993" w:type="dxa"/>
            <w:tcBorders>
              <w:top w:val="nil"/>
              <w:left w:val="nil"/>
              <w:bottom w:val="nil"/>
              <w:right w:val="single" w:sz="8" w:space="0" w:color="auto"/>
            </w:tcBorders>
            <w:shd w:val="clear" w:color="auto" w:fill="auto"/>
            <w:vAlign w:val="center"/>
            <w:hideMark/>
          </w:tcPr>
          <w:p w14:paraId="1006E861"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BFI.C510</w:t>
            </w:r>
          </w:p>
        </w:tc>
        <w:tc>
          <w:tcPr>
            <w:tcW w:w="992" w:type="dxa"/>
            <w:tcBorders>
              <w:top w:val="nil"/>
              <w:left w:val="nil"/>
              <w:bottom w:val="nil"/>
              <w:right w:val="single" w:sz="8" w:space="0" w:color="auto"/>
            </w:tcBorders>
            <w:shd w:val="clear" w:color="auto" w:fill="auto"/>
            <w:vAlign w:val="center"/>
            <w:hideMark/>
          </w:tcPr>
          <w:p w14:paraId="740D8C34"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BFI.D510</w:t>
            </w:r>
          </w:p>
        </w:tc>
        <w:tc>
          <w:tcPr>
            <w:tcW w:w="5103" w:type="dxa"/>
            <w:tcBorders>
              <w:top w:val="nil"/>
              <w:left w:val="nil"/>
              <w:bottom w:val="nil"/>
              <w:right w:val="single" w:sz="8" w:space="0" w:color="auto"/>
            </w:tcBorders>
            <w:shd w:val="clear" w:color="auto" w:fill="auto"/>
            <w:noWrap/>
            <w:vAlign w:val="center"/>
            <w:hideMark/>
          </w:tcPr>
          <w:p w14:paraId="46C8A538"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148 - PROGRAMA NACIONAL DE APOIO AO TRANSPORTE ESCOLAR - PNATE</w:t>
            </w:r>
          </w:p>
        </w:tc>
        <w:tc>
          <w:tcPr>
            <w:tcW w:w="993" w:type="dxa"/>
            <w:tcBorders>
              <w:top w:val="nil"/>
              <w:left w:val="nil"/>
              <w:bottom w:val="nil"/>
              <w:right w:val="single" w:sz="8" w:space="0" w:color="auto"/>
            </w:tcBorders>
            <w:shd w:val="clear" w:color="auto" w:fill="auto"/>
            <w:vAlign w:val="center"/>
            <w:hideMark/>
          </w:tcPr>
          <w:p w14:paraId="1A7738C7"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BFI.G510</w:t>
            </w:r>
          </w:p>
        </w:tc>
        <w:tc>
          <w:tcPr>
            <w:tcW w:w="992" w:type="dxa"/>
            <w:tcBorders>
              <w:top w:val="nil"/>
              <w:left w:val="nil"/>
              <w:bottom w:val="nil"/>
              <w:right w:val="single" w:sz="8" w:space="0" w:color="auto"/>
            </w:tcBorders>
            <w:shd w:val="clear" w:color="auto" w:fill="auto"/>
            <w:vAlign w:val="center"/>
            <w:hideMark/>
          </w:tcPr>
          <w:p w14:paraId="6AC9DF31"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BFI.H510</w:t>
            </w:r>
          </w:p>
        </w:tc>
      </w:tr>
      <w:tr w:rsidR="00D74061" w:rsidRPr="00D73956" w14:paraId="289443A2"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3542F98C"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149 - PROGRAMA BRASIL ALFABETIZADO</w:t>
            </w:r>
          </w:p>
        </w:tc>
        <w:tc>
          <w:tcPr>
            <w:tcW w:w="993" w:type="dxa"/>
            <w:tcBorders>
              <w:top w:val="nil"/>
              <w:left w:val="nil"/>
              <w:bottom w:val="nil"/>
              <w:right w:val="single" w:sz="8" w:space="0" w:color="auto"/>
            </w:tcBorders>
            <w:shd w:val="clear" w:color="auto" w:fill="auto"/>
            <w:vAlign w:val="center"/>
            <w:hideMark/>
          </w:tcPr>
          <w:p w14:paraId="656C4C2B"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BFI.C511</w:t>
            </w:r>
          </w:p>
        </w:tc>
        <w:tc>
          <w:tcPr>
            <w:tcW w:w="992" w:type="dxa"/>
            <w:tcBorders>
              <w:top w:val="nil"/>
              <w:left w:val="nil"/>
              <w:bottom w:val="nil"/>
              <w:right w:val="single" w:sz="8" w:space="0" w:color="auto"/>
            </w:tcBorders>
            <w:shd w:val="clear" w:color="auto" w:fill="auto"/>
            <w:vAlign w:val="center"/>
            <w:hideMark/>
          </w:tcPr>
          <w:p w14:paraId="06B3056F"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BFI.D511</w:t>
            </w:r>
          </w:p>
        </w:tc>
        <w:tc>
          <w:tcPr>
            <w:tcW w:w="5103" w:type="dxa"/>
            <w:tcBorders>
              <w:top w:val="nil"/>
              <w:left w:val="nil"/>
              <w:bottom w:val="nil"/>
              <w:right w:val="single" w:sz="8" w:space="0" w:color="auto"/>
            </w:tcBorders>
            <w:shd w:val="clear" w:color="auto" w:fill="auto"/>
            <w:noWrap/>
            <w:vAlign w:val="center"/>
            <w:hideMark/>
          </w:tcPr>
          <w:p w14:paraId="1CE437D0"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149 - PROGRAMA BRASIL ALFABETIZADO</w:t>
            </w:r>
          </w:p>
        </w:tc>
        <w:tc>
          <w:tcPr>
            <w:tcW w:w="993" w:type="dxa"/>
            <w:tcBorders>
              <w:top w:val="nil"/>
              <w:left w:val="nil"/>
              <w:bottom w:val="nil"/>
              <w:right w:val="single" w:sz="8" w:space="0" w:color="auto"/>
            </w:tcBorders>
            <w:shd w:val="clear" w:color="auto" w:fill="auto"/>
            <w:vAlign w:val="center"/>
            <w:hideMark/>
          </w:tcPr>
          <w:p w14:paraId="7A3DDAC9"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BFI.G511</w:t>
            </w:r>
          </w:p>
        </w:tc>
        <w:tc>
          <w:tcPr>
            <w:tcW w:w="992" w:type="dxa"/>
            <w:tcBorders>
              <w:top w:val="nil"/>
              <w:left w:val="nil"/>
              <w:bottom w:val="nil"/>
              <w:right w:val="single" w:sz="8" w:space="0" w:color="auto"/>
            </w:tcBorders>
            <w:shd w:val="clear" w:color="auto" w:fill="auto"/>
            <w:vAlign w:val="center"/>
            <w:hideMark/>
          </w:tcPr>
          <w:p w14:paraId="31FF4203"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BFI.H511</w:t>
            </w:r>
          </w:p>
        </w:tc>
      </w:tr>
      <w:tr w:rsidR="00D74061" w:rsidRPr="00D73956" w14:paraId="1E51780E"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5AF36FD2"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151 - PROGRAMA DE APOIO SISTEMA DE ENSINO PARA ATENDIMENTO AO EJA</w:t>
            </w:r>
          </w:p>
        </w:tc>
        <w:tc>
          <w:tcPr>
            <w:tcW w:w="993" w:type="dxa"/>
            <w:tcBorders>
              <w:top w:val="nil"/>
              <w:left w:val="nil"/>
              <w:bottom w:val="nil"/>
              <w:right w:val="single" w:sz="8" w:space="0" w:color="auto"/>
            </w:tcBorders>
            <w:shd w:val="clear" w:color="auto" w:fill="auto"/>
            <w:vAlign w:val="center"/>
            <w:hideMark/>
          </w:tcPr>
          <w:p w14:paraId="4815C08D"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BFI.C512</w:t>
            </w:r>
          </w:p>
        </w:tc>
        <w:tc>
          <w:tcPr>
            <w:tcW w:w="992" w:type="dxa"/>
            <w:tcBorders>
              <w:top w:val="nil"/>
              <w:left w:val="nil"/>
              <w:bottom w:val="nil"/>
              <w:right w:val="single" w:sz="8" w:space="0" w:color="auto"/>
            </w:tcBorders>
            <w:shd w:val="clear" w:color="auto" w:fill="auto"/>
            <w:vAlign w:val="center"/>
            <w:hideMark/>
          </w:tcPr>
          <w:p w14:paraId="0588C555"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BFI.D512</w:t>
            </w:r>
          </w:p>
        </w:tc>
        <w:tc>
          <w:tcPr>
            <w:tcW w:w="5103" w:type="dxa"/>
            <w:tcBorders>
              <w:top w:val="nil"/>
              <w:left w:val="nil"/>
              <w:bottom w:val="nil"/>
              <w:right w:val="single" w:sz="8" w:space="0" w:color="auto"/>
            </w:tcBorders>
            <w:shd w:val="clear" w:color="auto" w:fill="auto"/>
            <w:noWrap/>
            <w:vAlign w:val="center"/>
            <w:hideMark/>
          </w:tcPr>
          <w:p w14:paraId="6B06F4C4"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151 - PROGRAMA DE APOIO SISTEMA DE ENSINO PARA ATENDIMENTO AO EJA</w:t>
            </w:r>
          </w:p>
        </w:tc>
        <w:tc>
          <w:tcPr>
            <w:tcW w:w="993" w:type="dxa"/>
            <w:tcBorders>
              <w:top w:val="nil"/>
              <w:left w:val="nil"/>
              <w:bottom w:val="nil"/>
              <w:right w:val="single" w:sz="8" w:space="0" w:color="auto"/>
            </w:tcBorders>
            <w:shd w:val="clear" w:color="auto" w:fill="auto"/>
            <w:vAlign w:val="center"/>
            <w:hideMark/>
          </w:tcPr>
          <w:p w14:paraId="04E8E776"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BFI.G512</w:t>
            </w:r>
          </w:p>
        </w:tc>
        <w:tc>
          <w:tcPr>
            <w:tcW w:w="992" w:type="dxa"/>
            <w:tcBorders>
              <w:top w:val="nil"/>
              <w:left w:val="nil"/>
              <w:bottom w:val="nil"/>
              <w:right w:val="single" w:sz="8" w:space="0" w:color="auto"/>
            </w:tcBorders>
            <w:shd w:val="clear" w:color="auto" w:fill="auto"/>
            <w:vAlign w:val="center"/>
            <w:hideMark/>
          </w:tcPr>
          <w:p w14:paraId="76044ED7"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BFI.H512</w:t>
            </w:r>
          </w:p>
        </w:tc>
      </w:tr>
      <w:tr w:rsidR="00D74061" w:rsidRPr="00D73956" w14:paraId="31051D09"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367784EE"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152 - PROGRAMA DE FOMENTO ÀS ESCOLAS DE ENSINO MÉDIO EM TEMPO INTEGRAL</w:t>
            </w:r>
          </w:p>
        </w:tc>
        <w:tc>
          <w:tcPr>
            <w:tcW w:w="993" w:type="dxa"/>
            <w:tcBorders>
              <w:top w:val="nil"/>
              <w:left w:val="nil"/>
              <w:bottom w:val="nil"/>
              <w:right w:val="single" w:sz="8" w:space="0" w:color="auto"/>
            </w:tcBorders>
            <w:shd w:val="clear" w:color="auto" w:fill="auto"/>
            <w:vAlign w:val="center"/>
            <w:hideMark/>
          </w:tcPr>
          <w:p w14:paraId="2233821E"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BFI.C513</w:t>
            </w:r>
          </w:p>
        </w:tc>
        <w:tc>
          <w:tcPr>
            <w:tcW w:w="992" w:type="dxa"/>
            <w:tcBorders>
              <w:top w:val="nil"/>
              <w:left w:val="nil"/>
              <w:bottom w:val="nil"/>
              <w:right w:val="single" w:sz="8" w:space="0" w:color="auto"/>
            </w:tcBorders>
            <w:shd w:val="clear" w:color="auto" w:fill="auto"/>
            <w:vAlign w:val="center"/>
            <w:hideMark/>
          </w:tcPr>
          <w:p w14:paraId="2D1382B4"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BFI.D513</w:t>
            </w:r>
          </w:p>
        </w:tc>
        <w:tc>
          <w:tcPr>
            <w:tcW w:w="5103" w:type="dxa"/>
            <w:tcBorders>
              <w:top w:val="nil"/>
              <w:left w:val="nil"/>
              <w:bottom w:val="nil"/>
              <w:right w:val="single" w:sz="8" w:space="0" w:color="auto"/>
            </w:tcBorders>
            <w:shd w:val="clear" w:color="auto" w:fill="auto"/>
            <w:noWrap/>
            <w:vAlign w:val="center"/>
            <w:hideMark/>
          </w:tcPr>
          <w:p w14:paraId="608A0A02"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152 - PROGRAMA DE FOMENTO ÀS ESCOLAS DE ENSINO MÉDIO EM TEMPO INTEGRAL</w:t>
            </w:r>
          </w:p>
        </w:tc>
        <w:tc>
          <w:tcPr>
            <w:tcW w:w="993" w:type="dxa"/>
            <w:tcBorders>
              <w:top w:val="nil"/>
              <w:left w:val="nil"/>
              <w:bottom w:val="nil"/>
              <w:right w:val="single" w:sz="8" w:space="0" w:color="auto"/>
            </w:tcBorders>
            <w:shd w:val="clear" w:color="auto" w:fill="auto"/>
            <w:vAlign w:val="center"/>
            <w:hideMark/>
          </w:tcPr>
          <w:p w14:paraId="2AAEC7AB"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BFI.G513</w:t>
            </w:r>
          </w:p>
        </w:tc>
        <w:tc>
          <w:tcPr>
            <w:tcW w:w="992" w:type="dxa"/>
            <w:tcBorders>
              <w:top w:val="nil"/>
              <w:left w:val="nil"/>
              <w:bottom w:val="nil"/>
              <w:right w:val="single" w:sz="8" w:space="0" w:color="auto"/>
            </w:tcBorders>
            <w:shd w:val="clear" w:color="auto" w:fill="auto"/>
            <w:vAlign w:val="center"/>
            <w:hideMark/>
          </w:tcPr>
          <w:p w14:paraId="0E2EB5E7"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BFI.H513</w:t>
            </w:r>
          </w:p>
        </w:tc>
      </w:tr>
      <w:tr w:rsidR="00D74061" w:rsidRPr="00D73956" w14:paraId="6718D011"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2C37AC00"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165 - PROGRAMA NACIONAL DE ACESSO AO ENSINO TÉCNICO E EMPREGO – PRONATEC</w:t>
            </w:r>
          </w:p>
        </w:tc>
        <w:tc>
          <w:tcPr>
            <w:tcW w:w="993" w:type="dxa"/>
            <w:tcBorders>
              <w:top w:val="nil"/>
              <w:left w:val="nil"/>
              <w:bottom w:val="nil"/>
              <w:right w:val="single" w:sz="8" w:space="0" w:color="auto"/>
            </w:tcBorders>
            <w:shd w:val="clear" w:color="auto" w:fill="auto"/>
            <w:vAlign w:val="center"/>
            <w:hideMark/>
          </w:tcPr>
          <w:p w14:paraId="6ECE4BA5"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BFI.C514</w:t>
            </w:r>
          </w:p>
        </w:tc>
        <w:tc>
          <w:tcPr>
            <w:tcW w:w="992" w:type="dxa"/>
            <w:tcBorders>
              <w:top w:val="nil"/>
              <w:left w:val="nil"/>
              <w:bottom w:val="nil"/>
              <w:right w:val="single" w:sz="8" w:space="0" w:color="auto"/>
            </w:tcBorders>
            <w:shd w:val="clear" w:color="auto" w:fill="auto"/>
            <w:vAlign w:val="center"/>
            <w:hideMark/>
          </w:tcPr>
          <w:p w14:paraId="7B38FC5D"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BFI.D514</w:t>
            </w:r>
          </w:p>
        </w:tc>
        <w:tc>
          <w:tcPr>
            <w:tcW w:w="5103" w:type="dxa"/>
            <w:tcBorders>
              <w:top w:val="nil"/>
              <w:left w:val="nil"/>
              <w:bottom w:val="nil"/>
              <w:right w:val="single" w:sz="8" w:space="0" w:color="auto"/>
            </w:tcBorders>
            <w:shd w:val="clear" w:color="auto" w:fill="auto"/>
            <w:noWrap/>
            <w:vAlign w:val="center"/>
            <w:hideMark/>
          </w:tcPr>
          <w:p w14:paraId="54366CB4"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165 - PROGRAMA NACIONAL DE ACESSO AO ENSINO TÉCNICO E EMPREGO - PRONATEC</w:t>
            </w:r>
          </w:p>
        </w:tc>
        <w:tc>
          <w:tcPr>
            <w:tcW w:w="993" w:type="dxa"/>
            <w:tcBorders>
              <w:top w:val="nil"/>
              <w:left w:val="nil"/>
              <w:bottom w:val="nil"/>
              <w:right w:val="single" w:sz="8" w:space="0" w:color="auto"/>
            </w:tcBorders>
            <w:shd w:val="clear" w:color="auto" w:fill="auto"/>
            <w:vAlign w:val="center"/>
            <w:hideMark/>
          </w:tcPr>
          <w:p w14:paraId="46F5050A"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BFI.G514</w:t>
            </w:r>
          </w:p>
        </w:tc>
        <w:tc>
          <w:tcPr>
            <w:tcW w:w="992" w:type="dxa"/>
            <w:tcBorders>
              <w:top w:val="nil"/>
              <w:left w:val="nil"/>
              <w:bottom w:val="nil"/>
              <w:right w:val="single" w:sz="8" w:space="0" w:color="auto"/>
            </w:tcBorders>
            <w:shd w:val="clear" w:color="auto" w:fill="auto"/>
            <w:vAlign w:val="center"/>
            <w:hideMark/>
          </w:tcPr>
          <w:p w14:paraId="40CF2DB2"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BFI.H514</w:t>
            </w:r>
          </w:p>
        </w:tc>
      </w:tr>
      <w:tr w:rsidR="00D74061" w:rsidRPr="00D73956" w14:paraId="7ED62BE6"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3DF3042D"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302 - SUPERÁVIT FINANCEIRO - MDE</w:t>
            </w:r>
          </w:p>
        </w:tc>
        <w:tc>
          <w:tcPr>
            <w:tcW w:w="993" w:type="dxa"/>
            <w:tcBorders>
              <w:top w:val="nil"/>
              <w:left w:val="nil"/>
              <w:bottom w:val="nil"/>
              <w:right w:val="single" w:sz="8" w:space="0" w:color="auto"/>
            </w:tcBorders>
            <w:shd w:val="clear" w:color="auto" w:fill="auto"/>
            <w:vAlign w:val="center"/>
            <w:hideMark/>
          </w:tcPr>
          <w:p w14:paraId="2EF410AF"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BFI.C515</w:t>
            </w:r>
          </w:p>
        </w:tc>
        <w:tc>
          <w:tcPr>
            <w:tcW w:w="992" w:type="dxa"/>
            <w:tcBorders>
              <w:top w:val="nil"/>
              <w:left w:val="nil"/>
              <w:bottom w:val="nil"/>
              <w:right w:val="single" w:sz="8" w:space="0" w:color="auto"/>
            </w:tcBorders>
            <w:shd w:val="clear" w:color="auto" w:fill="auto"/>
            <w:vAlign w:val="center"/>
            <w:hideMark/>
          </w:tcPr>
          <w:p w14:paraId="6430D759"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BFI.D515</w:t>
            </w:r>
          </w:p>
        </w:tc>
        <w:tc>
          <w:tcPr>
            <w:tcW w:w="5103" w:type="dxa"/>
            <w:tcBorders>
              <w:top w:val="nil"/>
              <w:left w:val="nil"/>
              <w:bottom w:val="nil"/>
              <w:right w:val="single" w:sz="8" w:space="0" w:color="auto"/>
            </w:tcBorders>
            <w:shd w:val="clear" w:color="auto" w:fill="auto"/>
            <w:noWrap/>
            <w:vAlign w:val="center"/>
            <w:hideMark/>
          </w:tcPr>
          <w:p w14:paraId="40C26000"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302 - SUPERÁVIT FINANCEIRO - MDE</w:t>
            </w:r>
          </w:p>
        </w:tc>
        <w:tc>
          <w:tcPr>
            <w:tcW w:w="993" w:type="dxa"/>
            <w:tcBorders>
              <w:top w:val="nil"/>
              <w:left w:val="nil"/>
              <w:bottom w:val="nil"/>
              <w:right w:val="single" w:sz="8" w:space="0" w:color="auto"/>
            </w:tcBorders>
            <w:shd w:val="clear" w:color="auto" w:fill="auto"/>
            <w:vAlign w:val="center"/>
            <w:hideMark/>
          </w:tcPr>
          <w:p w14:paraId="7BE9C4B3"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BFI.G515</w:t>
            </w:r>
          </w:p>
        </w:tc>
        <w:tc>
          <w:tcPr>
            <w:tcW w:w="992" w:type="dxa"/>
            <w:tcBorders>
              <w:top w:val="nil"/>
              <w:left w:val="nil"/>
              <w:bottom w:val="nil"/>
              <w:right w:val="single" w:sz="8" w:space="0" w:color="auto"/>
            </w:tcBorders>
            <w:shd w:val="clear" w:color="auto" w:fill="auto"/>
            <w:vAlign w:val="center"/>
            <w:hideMark/>
          </w:tcPr>
          <w:p w14:paraId="522C0C06"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BFI.H515</w:t>
            </w:r>
          </w:p>
        </w:tc>
      </w:tr>
      <w:tr w:rsidR="00D74061" w:rsidRPr="00D73956" w14:paraId="640E95B2"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795F2211" w14:textId="7FBF50E0"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313 - SUPERÁVIT FINANCEIRO - FUNDEB (70%)</w:t>
            </w:r>
          </w:p>
        </w:tc>
        <w:tc>
          <w:tcPr>
            <w:tcW w:w="993" w:type="dxa"/>
            <w:tcBorders>
              <w:top w:val="nil"/>
              <w:left w:val="nil"/>
              <w:bottom w:val="nil"/>
              <w:right w:val="single" w:sz="8" w:space="0" w:color="auto"/>
            </w:tcBorders>
            <w:shd w:val="clear" w:color="auto" w:fill="auto"/>
            <w:vAlign w:val="center"/>
            <w:hideMark/>
          </w:tcPr>
          <w:p w14:paraId="51AAEEC5"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BFI.C516</w:t>
            </w:r>
          </w:p>
        </w:tc>
        <w:tc>
          <w:tcPr>
            <w:tcW w:w="992" w:type="dxa"/>
            <w:tcBorders>
              <w:top w:val="nil"/>
              <w:left w:val="nil"/>
              <w:bottom w:val="nil"/>
              <w:right w:val="single" w:sz="8" w:space="0" w:color="auto"/>
            </w:tcBorders>
            <w:shd w:val="clear" w:color="auto" w:fill="auto"/>
            <w:vAlign w:val="center"/>
            <w:hideMark/>
          </w:tcPr>
          <w:p w14:paraId="2596DA81"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BFI.D516</w:t>
            </w:r>
          </w:p>
        </w:tc>
        <w:tc>
          <w:tcPr>
            <w:tcW w:w="5103" w:type="dxa"/>
            <w:tcBorders>
              <w:top w:val="nil"/>
              <w:left w:val="nil"/>
              <w:bottom w:val="nil"/>
              <w:right w:val="single" w:sz="8" w:space="0" w:color="auto"/>
            </w:tcBorders>
            <w:shd w:val="clear" w:color="auto" w:fill="auto"/>
            <w:noWrap/>
            <w:vAlign w:val="center"/>
            <w:hideMark/>
          </w:tcPr>
          <w:p w14:paraId="27493FA9" w14:textId="6151823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313 - SUPERÁVIT FINANCEIRO - FUNDEB (70%)</w:t>
            </w:r>
          </w:p>
        </w:tc>
        <w:tc>
          <w:tcPr>
            <w:tcW w:w="993" w:type="dxa"/>
            <w:tcBorders>
              <w:top w:val="nil"/>
              <w:left w:val="nil"/>
              <w:bottom w:val="nil"/>
              <w:right w:val="single" w:sz="8" w:space="0" w:color="auto"/>
            </w:tcBorders>
            <w:shd w:val="clear" w:color="auto" w:fill="auto"/>
            <w:vAlign w:val="center"/>
            <w:hideMark/>
          </w:tcPr>
          <w:p w14:paraId="401C0418"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BFI.G516</w:t>
            </w:r>
          </w:p>
        </w:tc>
        <w:tc>
          <w:tcPr>
            <w:tcW w:w="992" w:type="dxa"/>
            <w:tcBorders>
              <w:top w:val="nil"/>
              <w:left w:val="nil"/>
              <w:bottom w:val="nil"/>
              <w:right w:val="single" w:sz="8" w:space="0" w:color="auto"/>
            </w:tcBorders>
            <w:shd w:val="clear" w:color="auto" w:fill="auto"/>
            <w:vAlign w:val="center"/>
            <w:hideMark/>
          </w:tcPr>
          <w:p w14:paraId="0DD5F46C"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BFI.H516</w:t>
            </w:r>
          </w:p>
        </w:tc>
      </w:tr>
      <w:tr w:rsidR="00D74061" w:rsidRPr="00D73956" w14:paraId="2FF27D08"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1E91ABED" w14:textId="6D15C8DA"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314 - SUPERÁVIT FINANCEIRO - FUNDEB (30%)</w:t>
            </w:r>
          </w:p>
        </w:tc>
        <w:tc>
          <w:tcPr>
            <w:tcW w:w="993" w:type="dxa"/>
            <w:tcBorders>
              <w:top w:val="nil"/>
              <w:left w:val="nil"/>
              <w:bottom w:val="nil"/>
              <w:right w:val="single" w:sz="8" w:space="0" w:color="auto"/>
            </w:tcBorders>
            <w:shd w:val="clear" w:color="auto" w:fill="auto"/>
            <w:vAlign w:val="center"/>
            <w:hideMark/>
          </w:tcPr>
          <w:p w14:paraId="557D69E7"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BFI.C517</w:t>
            </w:r>
          </w:p>
        </w:tc>
        <w:tc>
          <w:tcPr>
            <w:tcW w:w="992" w:type="dxa"/>
            <w:tcBorders>
              <w:top w:val="nil"/>
              <w:left w:val="nil"/>
              <w:bottom w:val="nil"/>
              <w:right w:val="single" w:sz="8" w:space="0" w:color="auto"/>
            </w:tcBorders>
            <w:shd w:val="clear" w:color="auto" w:fill="auto"/>
            <w:vAlign w:val="center"/>
            <w:hideMark/>
          </w:tcPr>
          <w:p w14:paraId="4754B5B5"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BFI.D517</w:t>
            </w:r>
          </w:p>
        </w:tc>
        <w:tc>
          <w:tcPr>
            <w:tcW w:w="5103" w:type="dxa"/>
            <w:tcBorders>
              <w:top w:val="nil"/>
              <w:left w:val="nil"/>
              <w:bottom w:val="nil"/>
              <w:right w:val="single" w:sz="8" w:space="0" w:color="auto"/>
            </w:tcBorders>
            <w:shd w:val="clear" w:color="auto" w:fill="auto"/>
            <w:noWrap/>
            <w:vAlign w:val="center"/>
            <w:hideMark/>
          </w:tcPr>
          <w:p w14:paraId="17CBC516" w14:textId="5E5CE60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314 - SUPERÁVIT FINANCEIRO - FUNDEB (30%)</w:t>
            </w:r>
          </w:p>
        </w:tc>
        <w:tc>
          <w:tcPr>
            <w:tcW w:w="993" w:type="dxa"/>
            <w:tcBorders>
              <w:top w:val="nil"/>
              <w:left w:val="nil"/>
              <w:bottom w:val="nil"/>
              <w:right w:val="single" w:sz="8" w:space="0" w:color="auto"/>
            </w:tcBorders>
            <w:shd w:val="clear" w:color="auto" w:fill="auto"/>
            <w:vAlign w:val="center"/>
            <w:hideMark/>
          </w:tcPr>
          <w:p w14:paraId="7F5498C8"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BFI.G517</w:t>
            </w:r>
          </w:p>
        </w:tc>
        <w:tc>
          <w:tcPr>
            <w:tcW w:w="992" w:type="dxa"/>
            <w:tcBorders>
              <w:top w:val="nil"/>
              <w:left w:val="nil"/>
              <w:bottom w:val="nil"/>
              <w:right w:val="single" w:sz="8" w:space="0" w:color="auto"/>
            </w:tcBorders>
            <w:shd w:val="clear" w:color="auto" w:fill="auto"/>
            <w:vAlign w:val="center"/>
            <w:hideMark/>
          </w:tcPr>
          <w:p w14:paraId="6B762EE8"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BFI.H517</w:t>
            </w:r>
          </w:p>
        </w:tc>
      </w:tr>
      <w:tr w:rsidR="00D74061" w:rsidRPr="00D73956" w14:paraId="2D168552"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04B37467"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331 - SUPERÁVIT FINANCEIRO - COTA PARTE ESTADUAL DO SALÁRIO EDUCAÇÃO</w:t>
            </w:r>
          </w:p>
        </w:tc>
        <w:tc>
          <w:tcPr>
            <w:tcW w:w="993" w:type="dxa"/>
            <w:tcBorders>
              <w:top w:val="nil"/>
              <w:left w:val="nil"/>
              <w:bottom w:val="nil"/>
              <w:right w:val="single" w:sz="8" w:space="0" w:color="auto"/>
            </w:tcBorders>
            <w:shd w:val="clear" w:color="auto" w:fill="auto"/>
            <w:vAlign w:val="center"/>
            <w:hideMark/>
          </w:tcPr>
          <w:p w14:paraId="73853462"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BFI.C518</w:t>
            </w:r>
          </w:p>
        </w:tc>
        <w:tc>
          <w:tcPr>
            <w:tcW w:w="992" w:type="dxa"/>
            <w:tcBorders>
              <w:top w:val="nil"/>
              <w:left w:val="nil"/>
              <w:bottom w:val="nil"/>
              <w:right w:val="single" w:sz="8" w:space="0" w:color="auto"/>
            </w:tcBorders>
            <w:shd w:val="clear" w:color="auto" w:fill="auto"/>
            <w:vAlign w:val="center"/>
            <w:hideMark/>
          </w:tcPr>
          <w:p w14:paraId="583790CE"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BFI.D518</w:t>
            </w:r>
          </w:p>
        </w:tc>
        <w:tc>
          <w:tcPr>
            <w:tcW w:w="5103" w:type="dxa"/>
            <w:tcBorders>
              <w:top w:val="nil"/>
              <w:left w:val="nil"/>
              <w:bottom w:val="nil"/>
              <w:right w:val="single" w:sz="8" w:space="0" w:color="auto"/>
            </w:tcBorders>
            <w:shd w:val="clear" w:color="auto" w:fill="auto"/>
            <w:noWrap/>
            <w:vAlign w:val="center"/>
            <w:hideMark/>
          </w:tcPr>
          <w:p w14:paraId="66BB1CC1"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331 - SUPERÁVIT FINANCEIRO - COTA PARTE ESTADUAL DO SALÁRIO EDUCAÇÃO</w:t>
            </w:r>
          </w:p>
        </w:tc>
        <w:tc>
          <w:tcPr>
            <w:tcW w:w="993" w:type="dxa"/>
            <w:tcBorders>
              <w:top w:val="nil"/>
              <w:left w:val="nil"/>
              <w:bottom w:val="nil"/>
              <w:right w:val="single" w:sz="8" w:space="0" w:color="auto"/>
            </w:tcBorders>
            <w:shd w:val="clear" w:color="auto" w:fill="auto"/>
            <w:vAlign w:val="center"/>
            <w:hideMark/>
          </w:tcPr>
          <w:p w14:paraId="334B03DC"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BFI.G518</w:t>
            </w:r>
          </w:p>
        </w:tc>
        <w:tc>
          <w:tcPr>
            <w:tcW w:w="992" w:type="dxa"/>
            <w:tcBorders>
              <w:top w:val="nil"/>
              <w:left w:val="nil"/>
              <w:bottom w:val="nil"/>
              <w:right w:val="single" w:sz="8" w:space="0" w:color="auto"/>
            </w:tcBorders>
            <w:shd w:val="clear" w:color="auto" w:fill="auto"/>
            <w:vAlign w:val="center"/>
            <w:hideMark/>
          </w:tcPr>
          <w:p w14:paraId="5FDFF067"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BFI.H518</w:t>
            </w:r>
          </w:p>
        </w:tc>
      </w:tr>
      <w:tr w:rsidR="00D74061" w:rsidRPr="00D73956" w14:paraId="675B8EA4"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540575D3"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lastRenderedPageBreak/>
              <w:t>346 - SUPERÁVIT FINANCEIRO - PROGRAMA DINHEIRO DIRETO NA ESCOLA – PDDE</w:t>
            </w:r>
          </w:p>
        </w:tc>
        <w:tc>
          <w:tcPr>
            <w:tcW w:w="993" w:type="dxa"/>
            <w:tcBorders>
              <w:top w:val="nil"/>
              <w:left w:val="nil"/>
              <w:bottom w:val="nil"/>
              <w:right w:val="single" w:sz="8" w:space="0" w:color="auto"/>
            </w:tcBorders>
            <w:shd w:val="clear" w:color="auto" w:fill="auto"/>
            <w:vAlign w:val="center"/>
            <w:hideMark/>
          </w:tcPr>
          <w:p w14:paraId="70861417"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BFI.C520</w:t>
            </w:r>
          </w:p>
        </w:tc>
        <w:tc>
          <w:tcPr>
            <w:tcW w:w="992" w:type="dxa"/>
            <w:tcBorders>
              <w:top w:val="nil"/>
              <w:left w:val="nil"/>
              <w:bottom w:val="nil"/>
              <w:right w:val="single" w:sz="8" w:space="0" w:color="auto"/>
            </w:tcBorders>
            <w:shd w:val="clear" w:color="auto" w:fill="auto"/>
            <w:vAlign w:val="center"/>
            <w:hideMark/>
          </w:tcPr>
          <w:p w14:paraId="62BD9A88"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BFI.D520</w:t>
            </w:r>
          </w:p>
        </w:tc>
        <w:tc>
          <w:tcPr>
            <w:tcW w:w="5103" w:type="dxa"/>
            <w:tcBorders>
              <w:top w:val="nil"/>
              <w:left w:val="nil"/>
              <w:bottom w:val="nil"/>
              <w:right w:val="single" w:sz="8" w:space="0" w:color="auto"/>
            </w:tcBorders>
            <w:shd w:val="clear" w:color="auto" w:fill="auto"/>
            <w:noWrap/>
            <w:vAlign w:val="center"/>
            <w:hideMark/>
          </w:tcPr>
          <w:p w14:paraId="1EDE4E11"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346 - SUPERÁVIT FINANCEIRO - PROGRAMA DINHEIRO DIRETO NA ESCOLA - PDDE</w:t>
            </w:r>
          </w:p>
        </w:tc>
        <w:tc>
          <w:tcPr>
            <w:tcW w:w="993" w:type="dxa"/>
            <w:tcBorders>
              <w:top w:val="nil"/>
              <w:left w:val="nil"/>
              <w:bottom w:val="nil"/>
              <w:right w:val="single" w:sz="8" w:space="0" w:color="auto"/>
            </w:tcBorders>
            <w:shd w:val="clear" w:color="auto" w:fill="auto"/>
            <w:vAlign w:val="center"/>
            <w:hideMark/>
          </w:tcPr>
          <w:p w14:paraId="5165A2EA"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BFI.G520</w:t>
            </w:r>
          </w:p>
        </w:tc>
        <w:tc>
          <w:tcPr>
            <w:tcW w:w="992" w:type="dxa"/>
            <w:tcBorders>
              <w:top w:val="nil"/>
              <w:left w:val="nil"/>
              <w:bottom w:val="nil"/>
              <w:right w:val="single" w:sz="8" w:space="0" w:color="auto"/>
            </w:tcBorders>
            <w:shd w:val="clear" w:color="auto" w:fill="auto"/>
            <w:vAlign w:val="center"/>
            <w:hideMark/>
          </w:tcPr>
          <w:p w14:paraId="4327C273"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BFI.H520</w:t>
            </w:r>
          </w:p>
        </w:tc>
      </w:tr>
      <w:tr w:rsidR="00D74061" w:rsidRPr="00D73956" w14:paraId="3F85C326"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3E7C13C0"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347 - SUPERÁVIT FINANCEIRO - PROGRAMA NACIONAL DE ALIMENTAÇÃO ESCOLAR – PNAE</w:t>
            </w:r>
          </w:p>
        </w:tc>
        <w:tc>
          <w:tcPr>
            <w:tcW w:w="993" w:type="dxa"/>
            <w:tcBorders>
              <w:top w:val="nil"/>
              <w:left w:val="nil"/>
              <w:bottom w:val="nil"/>
              <w:right w:val="single" w:sz="8" w:space="0" w:color="auto"/>
            </w:tcBorders>
            <w:shd w:val="clear" w:color="auto" w:fill="auto"/>
            <w:vAlign w:val="center"/>
            <w:hideMark/>
          </w:tcPr>
          <w:p w14:paraId="390E955A"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BFI.C521</w:t>
            </w:r>
          </w:p>
        </w:tc>
        <w:tc>
          <w:tcPr>
            <w:tcW w:w="992" w:type="dxa"/>
            <w:tcBorders>
              <w:top w:val="nil"/>
              <w:left w:val="nil"/>
              <w:bottom w:val="nil"/>
              <w:right w:val="single" w:sz="8" w:space="0" w:color="auto"/>
            </w:tcBorders>
            <w:shd w:val="clear" w:color="auto" w:fill="auto"/>
            <w:vAlign w:val="center"/>
            <w:hideMark/>
          </w:tcPr>
          <w:p w14:paraId="7F84670C"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BFI.D521</w:t>
            </w:r>
          </w:p>
        </w:tc>
        <w:tc>
          <w:tcPr>
            <w:tcW w:w="5103" w:type="dxa"/>
            <w:tcBorders>
              <w:top w:val="nil"/>
              <w:left w:val="nil"/>
              <w:bottom w:val="nil"/>
              <w:right w:val="single" w:sz="8" w:space="0" w:color="auto"/>
            </w:tcBorders>
            <w:shd w:val="clear" w:color="auto" w:fill="auto"/>
            <w:noWrap/>
            <w:vAlign w:val="center"/>
            <w:hideMark/>
          </w:tcPr>
          <w:p w14:paraId="157230E5"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347 - SUPERÁVIT FINANCEIRO - PROGRAMA NACIONAL DE ALIMENTAÇÃO ESCOLAR - PNAE</w:t>
            </w:r>
          </w:p>
        </w:tc>
        <w:tc>
          <w:tcPr>
            <w:tcW w:w="993" w:type="dxa"/>
            <w:tcBorders>
              <w:top w:val="nil"/>
              <w:left w:val="nil"/>
              <w:bottom w:val="nil"/>
              <w:right w:val="single" w:sz="8" w:space="0" w:color="auto"/>
            </w:tcBorders>
            <w:shd w:val="clear" w:color="auto" w:fill="auto"/>
            <w:vAlign w:val="center"/>
            <w:hideMark/>
          </w:tcPr>
          <w:p w14:paraId="58CA8CA5"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BFI.G521</w:t>
            </w:r>
          </w:p>
        </w:tc>
        <w:tc>
          <w:tcPr>
            <w:tcW w:w="992" w:type="dxa"/>
            <w:tcBorders>
              <w:top w:val="nil"/>
              <w:left w:val="nil"/>
              <w:bottom w:val="nil"/>
              <w:right w:val="single" w:sz="8" w:space="0" w:color="auto"/>
            </w:tcBorders>
            <w:shd w:val="clear" w:color="auto" w:fill="auto"/>
            <w:vAlign w:val="center"/>
            <w:hideMark/>
          </w:tcPr>
          <w:p w14:paraId="6D826C68"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BFI.H521</w:t>
            </w:r>
          </w:p>
        </w:tc>
      </w:tr>
      <w:tr w:rsidR="00D74061" w:rsidRPr="00D73956" w14:paraId="22AC2C76"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099C5BE7"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348 - SUPERÁVIT FINANCEIRO - PROGRAMA NACIONAL DE APOIO AO TRANSPORTE ESCOLAR – PNATE</w:t>
            </w:r>
          </w:p>
        </w:tc>
        <w:tc>
          <w:tcPr>
            <w:tcW w:w="993" w:type="dxa"/>
            <w:tcBorders>
              <w:top w:val="nil"/>
              <w:left w:val="nil"/>
              <w:bottom w:val="nil"/>
              <w:right w:val="single" w:sz="8" w:space="0" w:color="auto"/>
            </w:tcBorders>
            <w:shd w:val="clear" w:color="auto" w:fill="auto"/>
            <w:vAlign w:val="center"/>
            <w:hideMark/>
          </w:tcPr>
          <w:p w14:paraId="4E7E7141"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BFI.C522</w:t>
            </w:r>
          </w:p>
        </w:tc>
        <w:tc>
          <w:tcPr>
            <w:tcW w:w="992" w:type="dxa"/>
            <w:tcBorders>
              <w:top w:val="nil"/>
              <w:left w:val="nil"/>
              <w:bottom w:val="nil"/>
              <w:right w:val="single" w:sz="8" w:space="0" w:color="auto"/>
            </w:tcBorders>
            <w:shd w:val="clear" w:color="auto" w:fill="auto"/>
            <w:vAlign w:val="center"/>
            <w:hideMark/>
          </w:tcPr>
          <w:p w14:paraId="63CB9743"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BFI.D522</w:t>
            </w:r>
          </w:p>
        </w:tc>
        <w:tc>
          <w:tcPr>
            <w:tcW w:w="5103" w:type="dxa"/>
            <w:tcBorders>
              <w:top w:val="nil"/>
              <w:left w:val="nil"/>
              <w:bottom w:val="nil"/>
              <w:right w:val="single" w:sz="8" w:space="0" w:color="auto"/>
            </w:tcBorders>
            <w:shd w:val="clear" w:color="auto" w:fill="auto"/>
            <w:noWrap/>
            <w:vAlign w:val="center"/>
            <w:hideMark/>
          </w:tcPr>
          <w:p w14:paraId="1476DE94"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348 - SUPERÁVIT FINANCEIRO - PROGRAMA NACIONAL DE APOIO AO TRANSPORTE ESCOLAR - PNATE</w:t>
            </w:r>
          </w:p>
        </w:tc>
        <w:tc>
          <w:tcPr>
            <w:tcW w:w="993" w:type="dxa"/>
            <w:tcBorders>
              <w:top w:val="nil"/>
              <w:left w:val="nil"/>
              <w:bottom w:val="nil"/>
              <w:right w:val="single" w:sz="8" w:space="0" w:color="auto"/>
            </w:tcBorders>
            <w:shd w:val="clear" w:color="auto" w:fill="auto"/>
            <w:vAlign w:val="center"/>
            <w:hideMark/>
          </w:tcPr>
          <w:p w14:paraId="2F458332"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BFI.G522</w:t>
            </w:r>
          </w:p>
        </w:tc>
        <w:tc>
          <w:tcPr>
            <w:tcW w:w="992" w:type="dxa"/>
            <w:tcBorders>
              <w:top w:val="nil"/>
              <w:left w:val="nil"/>
              <w:bottom w:val="nil"/>
              <w:right w:val="single" w:sz="8" w:space="0" w:color="auto"/>
            </w:tcBorders>
            <w:shd w:val="clear" w:color="auto" w:fill="auto"/>
            <w:vAlign w:val="center"/>
            <w:hideMark/>
          </w:tcPr>
          <w:p w14:paraId="18C6EE2E"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BFI.H522</w:t>
            </w:r>
          </w:p>
        </w:tc>
      </w:tr>
      <w:tr w:rsidR="00D74061" w:rsidRPr="00D73956" w14:paraId="0730CC06"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423264DD"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349 - SUPERÁVIT FINANCEIRO - PROGRAMA BRASIL ALFABETIZADO</w:t>
            </w:r>
          </w:p>
        </w:tc>
        <w:tc>
          <w:tcPr>
            <w:tcW w:w="993" w:type="dxa"/>
            <w:tcBorders>
              <w:top w:val="nil"/>
              <w:left w:val="nil"/>
              <w:bottom w:val="nil"/>
              <w:right w:val="single" w:sz="8" w:space="0" w:color="auto"/>
            </w:tcBorders>
            <w:shd w:val="clear" w:color="auto" w:fill="auto"/>
            <w:vAlign w:val="center"/>
            <w:hideMark/>
          </w:tcPr>
          <w:p w14:paraId="22543C64"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BFI.C523</w:t>
            </w:r>
          </w:p>
        </w:tc>
        <w:tc>
          <w:tcPr>
            <w:tcW w:w="992" w:type="dxa"/>
            <w:tcBorders>
              <w:top w:val="nil"/>
              <w:left w:val="nil"/>
              <w:bottom w:val="nil"/>
              <w:right w:val="single" w:sz="8" w:space="0" w:color="auto"/>
            </w:tcBorders>
            <w:shd w:val="clear" w:color="auto" w:fill="auto"/>
            <w:vAlign w:val="center"/>
            <w:hideMark/>
          </w:tcPr>
          <w:p w14:paraId="149D9475"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BFI.D523</w:t>
            </w:r>
          </w:p>
        </w:tc>
        <w:tc>
          <w:tcPr>
            <w:tcW w:w="5103" w:type="dxa"/>
            <w:tcBorders>
              <w:top w:val="nil"/>
              <w:left w:val="nil"/>
              <w:bottom w:val="nil"/>
              <w:right w:val="single" w:sz="8" w:space="0" w:color="auto"/>
            </w:tcBorders>
            <w:shd w:val="clear" w:color="auto" w:fill="auto"/>
            <w:noWrap/>
            <w:vAlign w:val="center"/>
            <w:hideMark/>
          </w:tcPr>
          <w:p w14:paraId="7C5514F5"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349 - SUPERÁVIT FINANCEIRO - PROGRAMA BRASIL ALFABETIZADO</w:t>
            </w:r>
          </w:p>
        </w:tc>
        <w:tc>
          <w:tcPr>
            <w:tcW w:w="993" w:type="dxa"/>
            <w:tcBorders>
              <w:top w:val="nil"/>
              <w:left w:val="nil"/>
              <w:bottom w:val="nil"/>
              <w:right w:val="single" w:sz="8" w:space="0" w:color="auto"/>
            </w:tcBorders>
            <w:shd w:val="clear" w:color="auto" w:fill="auto"/>
            <w:vAlign w:val="center"/>
            <w:hideMark/>
          </w:tcPr>
          <w:p w14:paraId="6711EDA4"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BFI.G523</w:t>
            </w:r>
          </w:p>
        </w:tc>
        <w:tc>
          <w:tcPr>
            <w:tcW w:w="992" w:type="dxa"/>
            <w:tcBorders>
              <w:top w:val="nil"/>
              <w:left w:val="nil"/>
              <w:bottom w:val="nil"/>
              <w:right w:val="single" w:sz="8" w:space="0" w:color="auto"/>
            </w:tcBorders>
            <w:shd w:val="clear" w:color="auto" w:fill="auto"/>
            <w:vAlign w:val="center"/>
            <w:hideMark/>
          </w:tcPr>
          <w:p w14:paraId="35D6A97C"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BFI.H523</w:t>
            </w:r>
          </w:p>
        </w:tc>
      </w:tr>
      <w:tr w:rsidR="00D74061" w:rsidRPr="00D73956" w14:paraId="0566AF1B"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760FAAB7"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351 - SUPERÁVIT FINANCEIRO - PROGRAMA DE APOIO SISTEMA DE ENSINO PARA ATENDIMENTO AO EJA</w:t>
            </w:r>
          </w:p>
        </w:tc>
        <w:tc>
          <w:tcPr>
            <w:tcW w:w="993" w:type="dxa"/>
            <w:tcBorders>
              <w:top w:val="nil"/>
              <w:left w:val="nil"/>
              <w:bottom w:val="nil"/>
              <w:right w:val="single" w:sz="8" w:space="0" w:color="auto"/>
            </w:tcBorders>
            <w:shd w:val="clear" w:color="auto" w:fill="auto"/>
            <w:vAlign w:val="center"/>
            <w:hideMark/>
          </w:tcPr>
          <w:p w14:paraId="52151295"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BFI.C524</w:t>
            </w:r>
          </w:p>
        </w:tc>
        <w:tc>
          <w:tcPr>
            <w:tcW w:w="992" w:type="dxa"/>
            <w:tcBorders>
              <w:top w:val="nil"/>
              <w:left w:val="nil"/>
              <w:bottom w:val="nil"/>
              <w:right w:val="single" w:sz="8" w:space="0" w:color="auto"/>
            </w:tcBorders>
            <w:shd w:val="clear" w:color="auto" w:fill="auto"/>
            <w:vAlign w:val="center"/>
            <w:hideMark/>
          </w:tcPr>
          <w:p w14:paraId="0D76D1BF"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BFI.D524</w:t>
            </w:r>
          </w:p>
        </w:tc>
        <w:tc>
          <w:tcPr>
            <w:tcW w:w="5103" w:type="dxa"/>
            <w:tcBorders>
              <w:top w:val="nil"/>
              <w:left w:val="nil"/>
              <w:bottom w:val="nil"/>
              <w:right w:val="single" w:sz="8" w:space="0" w:color="auto"/>
            </w:tcBorders>
            <w:shd w:val="clear" w:color="auto" w:fill="auto"/>
            <w:noWrap/>
            <w:vAlign w:val="center"/>
            <w:hideMark/>
          </w:tcPr>
          <w:p w14:paraId="22594A48"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351 - SUPERÁVIT FINANCEIRO - PROGRAMA DE APOIO SISTEMA DE ENSINO PARA ATENDIMENTO AO EJA</w:t>
            </w:r>
          </w:p>
        </w:tc>
        <w:tc>
          <w:tcPr>
            <w:tcW w:w="993" w:type="dxa"/>
            <w:tcBorders>
              <w:top w:val="nil"/>
              <w:left w:val="nil"/>
              <w:bottom w:val="nil"/>
              <w:right w:val="single" w:sz="8" w:space="0" w:color="auto"/>
            </w:tcBorders>
            <w:shd w:val="clear" w:color="auto" w:fill="auto"/>
            <w:vAlign w:val="center"/>
            <w:hideMark/>
          </w:tcPr>
          <w:p w14:paraId="568360FB"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BFI.G524</w:t>
            </w:r>
          </w:p>
        </w:tc>
        <w:tc>
          <w:tcPr>
            <w:tcW w:w="992" w:type="dxa"/>
            <w:tcBorders>
              <w:top w:val="nil"/>
              <w:left w:val="nil"/>
              <w:bottom w:val="nil"/>
              <w:right w:val="single" w:sz="8" w:space="0" w:color="auto"/>
            </w:tcBorders>
            <w:shd w:val="clear" w:color="auto" w:fill="auto"/>
            <w:vAlign w:val="center"/>
            <w:hideMark/>
          </w:tcPr>
          <w:p w14:paraId="092C5933"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BFI.H524</w:t>
            </w:r>
          </w:p>
        </w:tc>
      </w:tr>
      <w:tr w:rsidR="00D74061" w:rsidRPr="00D73956" w14:paraId="59F69755"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4F584D6A"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352 - SUPERÁVIT FINANCEIRO - PROGRAMA DE FOMENTO ÀS ESCOLAS DE ENSINO MÉDIO EM TEMPO INTEGRAL</w:t>
            </w:r>
          </w:p>
        </w:tc>
        <w:tc>
          <w:tcPr>
            <w:tcW w:w="993" w:type="dxa"/>
            <w:tcBorders>
              <w:top w:val="nil"/>
              <w:left w:val="nil"/>
              <w:bottom w:val="nil"/>
              <w:right w:val="single" w:sz="8" w:space="0" w:color="auto"/>
            </w:tcBorders>
            <w:shd w:val="clear" w:color="auto" w:fill="auto"/>
            <w:vAlign w:val="center"/>
            <w:hideMark/>
          </w:tcPr>
          <w:p w14:paraId="099EB49A"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BFI.C525</w:t>
            </w:r>
          </w:p>
        </w:tc>
        <w:tc>
          <w:tcPr>
            <w:tcW w:w="992" w:type="dxa"/>
            <w:tcBorders>
              <w:top w:val="nil"/>
              <w:left w:val="nil"/>
              <w:bottom w:val="nil"/>
              <w:right w:val="single" w:sz="8" w:space="0" w:color="auto"/>
            </w:tcBorders>
            <w:shd w:val="clear" w:color="auto" w:fill="auto"/>
            <w:vAlign w:val="center"/>
            <w:hideMark/>
          </w:tcPr>
          <w:p w14:paraId="28832A4D"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BFI.D525</w:t>
            </w:r>
          </w:p>
        </w:tc>
        <w:tc>
          <w:tcPr>
            <w:tcW w:w="5103" w:type="dxa"/>
            <w:tcBorders>
              <w:top w:val="nil"/>
              <w:left w:val="nil"/>
              <w:bottom w:val="nil"/>
              <w:right w:val="single" w:sz="8" w:space="0" w:color="auto"/>
            </w:tcBorders>
            <w:shd w:val="clear" w:color="auto" w:fill="auto"/>
            <w:noWrap/>
            <w:vAlign w:val="center"/>
            <w:hideMark/>
          </w:tcPr>
          <w:p w14:paraId="4AFA81D9"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352 - SUPERÁVIT FINANCEIRO - PROGRAMA DE FOMENTO ÀS ESCOLAS DE ENSINO MÉDIO EM TEMPO INTEGRAL</w:t>
            </w:r>
          </w:p>
        </w:tc>
        <w:tc>
          <w:tcPr>
            <w:tcW w:w="993" w:type="dxa"/>
            <w:tcBorders>
              <w:top w:val="nil"/>
              <w:left w:val="nil"/>
              <w:bottom w:val="nil"/>
              <w:right w:val="single" w:sz="8" w:space="0" w:color="auto"/>
            </w:tcBorders>
            <w:shd w:val="clear" w:color="auto" w:fill="auto"/>
            <w:vAlign w:val="center"/>
            <w:hideMark/>
          </w:tcPr>
          <w:p w14:paraId="07542C51"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BFI.G525</w:t>
            </w:r>
          </w:p>
        </w:tc>
        <w:tc>
          <w:tcPr>
            <w:tcW w:w="992" w:type="dxa"/>
            <w:tcBorders>
              <w:top w:val="nil"/>
              <w:left w:val="nil"/>
              <w:bottom w:val="nil"/>
              <w:right w:val="single" w:sz="8" w:space="0" w:color="auto"/>
            </w:tcBorders>
            <w:shd w:val="clear" w:color="auto" w:fill="auto"/>
            <w:vAlign w:val="center"/>
            <w:hideMark/>
          </w:tcPr>
          <w:p w14:paraId="4334C1AB"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BFI.H525</w:t>
            </w:r>
          </w:p>
        </w:tc>
      </w:tr>
      <w:tr w:rsidR="00D74061" w:rsidRPr="00D73956" w14:paraId="2C0EDA34"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64188C64"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365 - SUPERÁVIT FINANCEIRO - PRONATEC</w:t>
            </w:r>
          </w:p>
        </w:tc>
        <w:tc>
          <w:tcPr>
            <w:tcW w:w="993" w:type="dxa"/>
            <w:tcBorders>
              <w:top w:val="nil"/>
              <w:left w:val="nil"/>
              <w:bottom w:val="nil"/>
              <w:right w:val="single" w:sz="8" w:space="0" w:color="auto"/>
            </w:tcBorders>
            <w:shd w:val="clear" w:color="auto" w:fill="auto"/>
            <w:vAlign w:val="center"/>
            <w:hideMark/>
          </w:tcPr>
          <w:p w14:paraId="1CCEC37A"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BFI.C526</w:t>
            </w:r>
          </w:p>
        </w:tc>
        <w:tc>
          <w:tcPr>
            <w:tcW w:w="992" w:type="dxa"/>
            <w:tcBorders>
              <w:top w:val="nil"/>
              <w:left w:val="nil"/>
              <w:bottom w:val="nil"/>
              <w:right w:val="single" w:sz="8" w:space="0" w:color="auto"/>
            </w:tcBorders>
            <w:shd w:val="clear" w:color="auto" w:fill="auto"/>
            <w:vAlign w:val="center"/>
            <w:hideMark/>
          </w:tcPr>
          <w:p w14:paraId="432DEF6B"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BFI.D526</w:t>
            </w:r>
          </w:p>
        </w:tc>
        <w:tc>
          <w:tcPr>
            <w:tcW w:w="5103" w:type="dxa"/>
            <w:tcBorders>
              <w:top w:val="nil"/>
              <w:left w:val="nil"/>
              <w:bottom w:val="nil"/>
              <w:right w:val="single" w:sz="8" w:space="0" w:color="auto"/>
            </w:tcBorders>
            <w:shd w:val="clear" w:color="auto" w:fill="auto"/>
            <w:noWrap/>
            <w:vAlign w:val="center"/>
            <w:hideMark/>
          </w:tcPr>
          <w:p w14:paraId="5446BC61"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365 - SUPERÁVIT FINANCEIRO - PRONATEC</w:t>
            </w:r>
          </w:p>
        </w:tc>
        <w:tc>
          <w:tcPr>
            <w:tcW w:w="993" w:type="dxa"/>
            <w:tcBorders>
              <w:top w:val="nil"/>
              <w:left w:val="nil"/>
              <w:bottom w:val="nil"/>
              <w:right w:val="single" w:sz="8" w:space="0" w:color="auto"/>
            </w:tcBorders>
            <w:shd w:val="clear" w:color="auto" w:fill="auto"/>
            <w:vAlign w:val="center"/>
            <w:hideMark/>
          </w:tcPr>
          <w:p w14:paraId="38B5AD48"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BFI.G526</w:t>
            </w:r>
          </w:p>
        </w:tc>
        <w:tc>
          <w:tcPr>
            <w:tcW w:w="992" w:type="dxa"/>
            <w:tcBorders>
              <w:top w:val="nil"/>
              <w:left w:val="nil"/>
              <w:bottom w:val="nil"/>
              <w:right w:val="single" w:sz="8" w:space="0" w:color="auto"/>
            </w:tcBorders>
            <w:shd w:val="clear" w:color="auto" w:fill="auto"/>
            <w:vAlign w:val="center"/>
            <w:hideMark/>
          </w:tcPr>
          <w:p w14:paraId="2CC5670B"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BFI.H526</w:t>
            </w:r>
          </w:p>
        </w:tc>
      </w:tr>
      <w:tr w:rsidR="00D74061" w:rsidRPr="00D73956" w14:paraId="2B098608"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50D5C220" w14:textId="77777777" w:rsidR="00D74061" w:rsidRPr="00D73956" w:rsidRDefault="00D74061" w:rsidP="00D74061">
            <w:pPr>
              <w:spacing w:after="0" w:line="240" w:lineRule="auto"/>
              <w:ind w:firstLineChars="100" w:firstLine="161"/>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 xml:space="preserve">  Recursos Vinculados à Saúde</w:t>
            </w:r>
          </w:p>
        </w:tc>
        <w:tc>
          <w:tcPr>
            <w:tcW w:w="993" w:type="dxa"/>
            <w:tcBorders>
              <w:top w:val="nil"/>
              <w:left w:val="nil"/>
              <w:bottom w:val="nil"/>
              <w:right w:val="single" w:sz="8" w:space="0" w:color="auto"/>
            </w:tcBorders>
            <w:shd w:val="clear" w:color="auto" w:fill="auto"/>
            <w:vAlign w:val="center"/>
            <w:hideMark/>
          </w:tcPr>
          <w:p w14:paraId="3385192C" w14:textId="77777777" w:rsidR="00D74061" w:rsidRPr="00D73956" w:rsidRDefault="00D74061" w:rsidP="00D74061">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BFI.C026</w:t>
            </w:r>
          </w:p>
        </w:tc>
        <w:tc>
          <w:tcPr>
            <w:tcW w:w="992" w:type="dxa"/>
            <w:tcBorders>
              <w:top w:val="nil"/>
              <w:left w:val="nil"/>
              <w:bottom w:val="nil"/>
              <w:right w:val="single" w:sz="8" w:space="0" w:color="auto"/>
            </w:tcBorders>
            <w:shd w:val="clear" w:color="auto" w:fill="auto"/>
            <w:vAlign w:val="center"/>
            <w:hideMark/>
          </w:tcPr>
          <w:p w14:paraId="142374C5" w14:textId="77777777" w:rsidR="00D74061" w:rsidRPr="00D73956" w:rsidRDefault="00D74061" w:rsidP="00D74061">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BFI.D026</w:t>
            </w:r>
          </w:p>
        </w:tc>
        <w:tc>
          <w:tcPr>
            <w:tcW w:w="5103" w:type="dxa"/>
            <w:tcBorders>
              <w:top w:val="nil"/>
              <w:left w:val="nil"/>
              <w:bottom w:val="nil"/>
              <w:right w:val="single" w:sz="8" w:space="0" w:color="auto"/>
            </w:tcBorders>
            <w:shd w:val="clear" w:color="auto" w:fill="auto"/>
            <w:noWrap/>
            <w:vAlign w:val="center"/>
            <w:hideMark/>
          </w:tcPr>
          <w:p w14:paraId="2F435D7E" w14:textId="77777777" w:rsidR="00D74061" w:rsidRPr="00D73956" w:rsidRDefault="00D74061" w:rsidP="00D74061">
            <w:pPr>
              <w:spacing w:after="0" w:line="240" w:lineRule="auto"/>
              <w:ind w:firstLineChars="100" w:firstLine="161"/>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 xml:space="preserve">  Recursos Destinados à Saúde</w:t>
            </w:r>
          </w:p>
        </w:tc>
        <w:tc>
          <w:tcPr>
            <w:tcW w:w="993" w:type="dxa"/>
            <w:tcBorders>
              <w:top w:val="nil"/>
              <w:left w:val="nil"/>
              <w:bottom w:val="nil"/>
              <w:right w:val="single" w:sz="8" w:space="0" w:color="auto"/>
            </w:tcBorders>
            <w:shd w:val="clear" w:color="auto" w:fill="auto"/>
            <w:vAlign w:val="center"/>
            <w:hideMark/>
          </w:tcPr>
          <w:p w14:paraId="46667FE4" w14:textId="77777777" w:rsidR="00D74061" w:rsidRPr="00D73956" w:rsidRDefault="00D74061" w:rsidP="00D74061">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BFI.G026</w:t>
            </w:r>
          </w:p>
        </w:tc>
        <w:tc>
          <w:tcPr>
            <w:tcW w:w="992" w:type="dxa"/>
            <w:tcBorders>
              <w:top w:val="nil"/>
              <w:left w:val="nil"/>
              <w:bottom w:val="nil"/>
              <w:right w:val="single" w:sz="8" w:space="0" w:color="auto"/>
            </w:tcBorders>
            <w:shd w:val="clear" w:color="auto" w:fill="auto"/>
            <w:vAlign w:val="center"/>
            <w:hideMark/>
          </w:tcPr>
          <w:p w14:paraId="654534DA" w14:textId="77777777" w:rsidR="00D74061" w:rsidRPr="00D73956" w:rsidRDefault="00D74061" w:rsidP="00D74061">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BFI.H026</w:t>
            </w:r>
          </w:p>
        </w:tc>
      </w:tr>
      <w:tr w:rsidR="00D74061" w:rsidRPr="00D73956" w14:paraId="3AC473AF"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2767BDE5"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104 - AÇÕES E SERVIÇOS DE SAÚDE</w:t>
            </w:r>
          </w:p>
        </w:tc>
        <w:tc>
          <w:tcPr>
            <w:tcW w:w="993" w:type="dxa"/>
            <w:tcBorders>
              <w:top w:val="nil"/>
              <w:left w:val="nil"/>
              <w:bottom w:val="nil"/>
              <w:right w:val="single" w:sz="8" w:space="0" w:color="auto"/>
            </w:tcBorders>
            <w:shd w:val="clear" w:color="auto" w:fill="auto"/>
            <w:vAlign w:val="center"/>
            <w:hideMark/>
          </w:tcPr>
          <w:p w14:paraId="51ECBDA0"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BFI.C527</w:t>
            </w:r>
          </w:p>
        </w:tc>
        <w:tc>
          <w:tcPr>
            <w:tcW w:w="992" w:type="dxa"/>
            <w:tcBorders>
              <w:top w:val="nil"/>
              <w:left w:val="nil"/>
              <w:bottom w:val="nil"/>
              <w:right w:val="single" w:sz="8" w:space="0" w:color="auto"/>
            </w:tcBorders>
            <w:shd w:val="clear" w:color="auto" w:fill="auto"/>
            <w:vAlign w:val="center"/>
            <w:hideMark/>
          </w:tcPr>
          <w:p w14:paraId="02338F40"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BFI.D527</w:t>
            </w:r>
          </w:p>
        </w:tc>
        <w:tc>
          <w:tcPr>
            <w:tcW w:w="5103" w:type="dxa"/>
            <w:tcBorders>
              <w:top w:val="nil"/>
              <w:left w:val="nil"/>
              <w:bottom w:val="nil"/>
              <w:right w:val="single" w:sz="8" w:space="0" w:color="auto"/>
            </w:tcBorders>
            <w:shd w:val="clear" w:color="auto" w:fill="auto"/>
            <w:noWrap/>
            <w:vAlign w:val="center"/>
            <w:hideMark/>
          </w:tcPr>
          <w:p w14:paraId="0F0B41DA"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104 - AÇÕES E SERVIÇOS DE SAÚDE</w:t>
            </w:r>
          </w:p>
        </w:tc>
        <w:tc>
          <w:tcPr>
            <w:tcW w:w="993" w:type="dxa"/>
            <w:tcBorders>
              <w:top w:val="nil"/>
              <w:left w:val="nil"/>
              <w:bottom w:val="nil"/>
              <w:right w:val="single" w:sz="8" w:space="0" w:color="auto"/>
            </w:tcBorders>
            <w:shd w:val="clear" w:color="auto" w:fill="auto"/>
            <w:vAlign w:val="center"/>
            <w:hideMark/>
          </w:tcPr>
          <w:p w14:paraId="3DE9F322"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BFI.G527</w:t>
            </w:r>
          </w:p>
        </w:tc>
        <w:tc>
          <w:tcPr>
            <w:tcW w:w="992" w:type="dxa"/>
            <w:tcBorders>
              <w:top w:val="nil"/>
              <w:left w:val="nil"/>
              <w:bottom w:val="nil"/>
              <w:right w:val="single" w:sz="8" w:space="0" w:color="auto"/>
            </w:tcBorders>
            <w:shd w:val="clear" w:color="auto" w:fill="auto"/>
            <w:vAlign w:val="center"/>
            <w:hideMark/>
          </w:tcPr>
          <w:p w14:paraId="53212CE7"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BFI.H527</w:t>
            </w:r>
          </w:p>
        </w:tc>
      </w:tr>
      <w:tr w:rsidR="00D74061" w:rsidRPr="00D73956" w14:paraId="5043B12D"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1D96CB48"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130 - PROGRAMA FEDERATIVO DE ENFRENTAMENTO AO COVID-19 VINCULADO ÀS AÇÕES DE SAÚDE E ASSISTÊNCIA SOCIAL – LC 173/20</w:t>
            </w:r>
          </w:p>
        </w:tc>
        <w:tc>
          <w:tcPr>
            <w:tcW w:w="993" w:type="dxa"/>
            <w:tcBorders>
              <w:top w:val="nil"/>
              <w:left w:val="nil"/>
              <w:bottom w:val="nil"/>
              <w:right w:val="single" w:sz="8" w:space="0" w:color="auto"/>
            </w:tcBorders>
            <w:shd w:val="clear" w:color="auto" w:fill="auto"/>
            <w:vAlign w:val="center"/>
            <w:hideMark/>
          </w:tcPr>
          <w:p w14:paraId="3D01404E"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BFI.C596</w:t>
            </w:r>
          </w:p>
        </w:tc>
        <w:tc>
          <w:tcPr>
            <w:tcW w:w="992" w:type="dxa"/>
            <w:tcBorders>
              <w:top w:val="nil"/>
              <w:left w:val="nil"/>
              <w:bottom w:val="nil"/>
              <w:right w:val="single" w:sz="8" w:space="0" w:color="auto"/>
            </w:tcBorders>
            <w:shd w:val="clear" w:color="auto" w:fill="auto"/>
            <w:vAlign w:val="center"/>
            <w:hideMark/>
          </w:tcPr>
          <w:p w14:paraId="740CBE2F"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BFI.D596</w:t>
            </w:r>
          </w:p>
        </w:tc>
        <w:tc>
          <w:tcPr>
            <w:tcW w:w="5103" w:type="dxa"/>
            <w:tcBorders>
              <w:top w:val="nil"/>
              <w:left w:val="nil"/>
              <w:bottom w:val="nil"/>
              <w:right w:val="single" w:sz="8" w:space="0" w:color="auto"/>
            </w:tcBorders>
            <w:shd w:val="clear" w:color="auto" w:fill="auto"/>
            <w:noWrap/>
            <w:vAlign w:val="center"/>
            <w:hideMark/>
          </w:tcPr>
          <w:p w14:paraId="27E906B7"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130 - PROGRAMA FEDERATIVO DE ENFRENTAMENTO AO COVID-19 VINCULADO ÀS AÇÕES DE SAÚDE E ASSISTÊNCIA SOCIAL – LC 173/20</w:t>
            </w:r>
          </w:p>
        </w:tc>
        <w:tc>
          <w:tcPr>
            <w:tcW w:w="993" w:type="dxa"/>
            <w:tcBorders>
              <w:top w:val="nil"/>
              <w:left w:val="nil"/>
              <w:bottom w:val="nil"/>
              <w:right w:val="single" w:sz="8" w:space="0" w:color="auto"/>
            </w:tcBorders>
            <w:shd w:val="clear" w:color="auto" w:fill="auto"/>
            <w:vAlign w:val="center"/>
            <w:hideMark/>
          </w:tcPr>
          <w:p w14:paraId="31B354DA"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BFI.G596</w:t>
            </w:r>
          </w:p>
        </w:tc>
        <w:tc>
          <w:tcPr>
            <w:tcW w:w="992" w:type="dxa"/>
            <w:tcBorders>
              <w:top w:val="nil"/>
              <w:left w:val="nil"/>
              <w:bottom w:val="nil"/>
              <w:right w:val="single" w:sz="8" w:space="0" w:color="auto"/>
            </w:tcBorders>
            <w:shd w:val="clear" w:color="auto" w:fill="auto"/>
            <w:vAlign w:val="center"/>
            <w:hideMark/>
          </w:tcPr>
          <w:p w14:paraId="47CAF5C7"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BFI.H596</w:t>
            </w:r>
          </w:p>
        </w:tc>
      </w:tr>
      <w:tr w:rsidR="00D74061" w:rsidRPr="00D73956" w14:paraId="30D1F986"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4FF0FC0A"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134 - INCENTIVO SUS - UNIÃO</w:t>
            </w:r>
          </w:p>
        </w:tc>
        <w:tc>
          <w:tcPr>
            <w:tcW w:w="993" w:type="dxa"/>
            <w:tcBorders>
              <w:top w:val="nil"/>
              <w:left w:val="nil"/>
              <w:bottom w:val="nil"/>
              <w:right w:val="single" w:sz="8" w:space="0" w:color="auto"/>
            </w:tcBorders>
            <w:shd w:val="clear" w:color="auto" w:fill="auto"/>
            <w:vAlign w:val="center"/>
            <w:hideMark/>
          </w:tcPr>
          <w:p w14:paraId="6B01ECAA"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BFI.C528</w:t>
            </w:r>
          </w:p>
        </w:tc>
        <w:tc>
          <w:tcPr>
            <w:tcW w:w="992" w:type="dxa"/>
            <w:tcBorders>
              <w:top w:val="nil"/>
              <w:left w:val="nil"/>
              <w:bottom w:val="nil"/>
              <w:right w:val="single" w:sz="8" w:space="0" w:color="auto"/>
            </w:tcBorders>
            <w:shd w:val="clear" w:color="auto" w:fill="auto"/>
            <w:vAlign w:val="center"/>
            <w:hideMark/>
          </w:tcPr>
          <w:p w14:paraId="43E11837"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BFI.D528</w:t>
            </w:r>
          </w:p>
        </w:tc>
        <w:tc>
          <w:tcPr>
            <w:tcW w:w="5103" w:type="dxa"/>
            <w:tcBorders>
              <w:top w:val="nil"/>
              <w:left w:val="nil"/>
              <w:bottom w:val="nil"/>
              <w:right w:val="single" w:sz="8" w:space="0" w:color="auto"/>
            </w:tcBorders>
            <w:shd w:val="clear" w:color="auto" w:fill="auto"/>
            <w:noWrap/>
            <w:vAlign w:val="center"/>
            <w:hideMark/>
          </w:tcPr>
          <w:p w14:paraId="2D6AC388"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134 - INCENTIVO SUS - UNIÃO</w:t>
            </w:r>
          </w:p>
        </w:tc>
        <w:tc>
          <w:tcPr>
            <w:tcW w:w="993" w:type="dxa"/>
            <w:tcBorders>
              <w:top w:val="nil"/>
              <w:left w:val="nil"/>
              <w:bottom w:val="nil"/>
              <w:right w:val="single" w:sz="8" w:space="0" w:color="auto"/>
            </w:tcBorders>
            <w:shd w:val="clear" w:color="auto" w:fill="auto"/>
            <w:vAlign w:val="center"/>
            <w:hideMark/>
          </w:tcPr>
          <w:p w14:paraId="73DC122B"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BFI.G528</w:t>
            </w:r>
          </w:p>
        </w:tc>
        <w:tc>
          <w:tcPr>
            <w:tcW w:w="992" w:type="dxa"/>
            <w:tcBorders>
              <w:top w:val="nil"/>
              <w:left w:val="nil"/>
              <w:bottom w:val="nil"/>
              <w:right w:val="single" w:sz="8" w:space="0" w:color="auto"/>
            </w:tcBorders>
            <w:shd w:val="clear" w:color="auto" w:fill="auto"/>
            <w:vAlign w:val="center"/>
            <w:hideMark/>
          </w:tcPr>
          <w:p w14:paraId="5CB1ECB0"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BFI.H528</w:t>
            </w:r>
          </w:p>
        </w:tc>
      </w:tr>
      <w:tr w:rsidR="00D74061" w:rsidRPr="00D73956" w14:paraId="0962046A"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025E5E81"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135 - SUS - PRODUÇÃO</w:t>
            </w:r>
          </w:p>
        </w:tc>
        <w:tc>
          <w:tcPr>
            <w:tcW w:w="993" w:type="dxa"/>
            <w:tcBorders>
              <w:top w:val="nil"/>
              <w:left w:val="nil"/>
              <w:bottom w:val="nil"/>
              <w:right w:val="single" w:sz="8" w:space="0" w:color="auto"/>
            </w:tcBorders>
            <w:shd w:val="clear" w:color="auto" w:fill="auto"/>
            <w:vAlign w:val="center"/>
            <w:hideMark/>
          </w:tcPr>
          <w:p w14:paraId="795C1FA6"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BFI.C529</w:t>
            </w:r>
          </w:p>
        </w:tc>
        <w:tc>
          <w:tcPr>
            <w:tcW w:w="992" w:type="dxa"/>
            <w:tcBorders>
              <w:top w:val="nil"/>
              <w:left w:val="nil"/>
              <w:bottom w:val="nil"/>
              <w:right w:val="single" w:sz="8" w:space="0" w:color="auto"/>
            </w:tcBorders>
            <w:shd w:val="clear" w:color="auto" w:fill="auto"/>
            <w:vAlign w:val="center"/>
            <w:hideMark/>
          </w:tcPr>
          <w:p w14:paraId="5E372AA0"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BFI.D529</w:t>
            </w:r>
          </w:p>
        </w:tc>
        <w:tc>
          <w:tcPr>
            <w:tcW w:w="5103" w:type="dxa"/>
            <w:tcBorders>
              <w:top w:val="nil"/>
              <w:left w:val="nil"/>
              <w:bottom w:val="nil"/>
              <w:right w:val="single" w:sz="8" w:space="0" w:color="auto"/>
            </w:tcBorders>
            <w:shd w:val="clear" w:color="auto" w:fill="auto"/>
            <w:noWrap/>
            <w:vAlign w:val="center"/>
            <w:hideMark/>
          </w:tcPr>
          <w:p w14:paraId="056B2EB2"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135 - SUS - PRODUÇÃO</w:t>
            </w:r>
          </w:p>
        </w:tc>
        <w:tc>
          <w:tcPr>
            <w:tcW w:w="993" w:type="dxa"/>
            <w:tcBorders>
              <w:top w:val="nil"/>
              <w:left w:val="nil"/>
              <w:bottom w:val="nil"/>
              <w:right w:val="single" w:sz="8" w:space="0" w:color="auto"/>
            </w:tcBorders>
            <w:shd w:val="clear" w:color="auto" w:fill="auto"/>
            <w:vAlign w:val="center"/>
            <w:hideMark/>
          </w:tcPr>
          <w:p w14:paraId="7BEB0BB9"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BFI.G529</w:t>
            </w:r>
          </w:p>
        </w:tc>
        <w:tc>
          <w:tcPr>
            <w:tcW w:w="992" w:type="dxa"/>
            <w:tcBorders>
              <w:top w:val="nil"/>
              <w:left w:val="nil"/>
              <w:bottom w:val="nil"/>
              <w:right w:val="single" w:sz="8" w:space="0" w:color="auto"/>
            </w:tcBorders>
            <w:shd w:val="clear" w:color="auto" w:fill="auto"/>
            <w:vAlign w:val="center"/>
            <w:hideMark/>
          </w:tcPr>
          <w:p w14:paraId="032DA6BB"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BFI.H529</w:t>
            </w:r>
          </w:p>
        </w:tc>
      </w:tr>
      <w:tr w:rsidR="00D74061" w:rsidRPr="00D73956" w14:paraId="7660E207"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10501DFF"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155 - BLOCO DE CUSTEIO DAS AÇÕES E SERVIÇOS PÚBLICOS DE SAÚDE - SUS - FEDERAL</w:t>
            </w:r>
          </w:p>
        </w:tc>
        <w:tc>
          <w:tcPr>
            <w:tcW w:w="993" w:type="dxa"/>
            <w:tcBorders>
              <w:top w:val="nil"/>
              <w:left w:val="nil"/>
              <w:bottom w:val="nil"/>
              <w:right w:val="single" w:sz="8" w:space="0" w:color="auto"/>
            </w:tcBorders>
            <w:shd w:val="clear" w:color="auto" w:fill="auto"/>
            <w:vAlign w:val="center"/>
            <w:hideMark/>
          </w:tcPr>
          <w:p w14:paraId="6C9B6EAE"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BFI.C592</w:t>
            </w:r>
          </w:p>
        </w:tc>
        <w:tc>
          <w:tcPr>
            <w:tcW w:w="992" w:type="dxa"/>
            <w:tcBorders>
              <w:top w:val="nil"/>
              <w:left w:val="nil"/>
              <w:bottom w:val="nil"/>
              <w:right w:val="single" w:sz="8" w:space="0" w:color="auto"/>
            </w:tcBorders>
            <w:shd w:val="clear" w:color="auto" w:fill="auto"/>
            <w:vAlign w:val="center"/>
            <w:hideMark/>
          </w:tcPr>
          <w:p w14:paraId="21F1FCDD"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BFI.D592</w:t>
            </w:r>
          </w:p>
        </w:tc>
        <w:tc>
          <w:tcPr>
            <w:tcW w:w="5103" w:type="dxa"/>
            <w:tcBorders>
              <w:top w:val="nil"/>
              <w:left w:val="nil"/>
              <w:bottom w:val="nil"/>
              <w:right w:val="single" w:sz="8" w:space="0" w:color="auto"/>
            </w:tcBorders>
            <w:shd w:val="clear" w:color="auto" w:fill="auto"/>
            <w:noWrap/>
            <w:vAlign w:val="center"/>
            <w:hideMark/>
          </w:tcPr>
          <w:p w14:paraId="5B7E7EE1"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155 - BLOCO DE CUSTEIO DAS AÇÕES E SERVIÇOS PÚBLICOS DE SAÚDE - SUS - FEDERAL</w:t>
            </w:r>
          </w:p>
        </w:tc>
        <w:tc>
          <w:tcPr>
            <w:tcW w:w="993" w:type="dxa"/>
            <w:tcBorders>
              <w:top w:val="nil"/>
              <w:left w:val="nil"/>
              <w:bottom w:val="nil"/>
              <w:right w:val="single" w:sz="8" w:space="0" w:color="auto"/>
            </w:tcBorders>
            <w:shd w:val="clear" w:color="auto" w:fill="auto"/>
            <w:vAlign w:val="center"/>
            <w:hideMark/>
          </w:tcPr>
          <w:p w14:paraId="1ED65A5A"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BFI.G592</w:t>
            </w:r>
          </w:p>
        </w:tc>
        <w:tc>
          <w:tcPr>
            <w:tcW w:w="992" w:type="dxa"/>
            <w:tcBorders>
              <w:top w:val="nil"/>
              <w:left w:val="nil"/>
              <w:bottom w:val="nil"/>
              <w:right w:val="single" w:sz="8" w:space="0" w:color="auto"/>
            </w:tcBorders>
            <w:shd w:val="clear" w:color="auto" w:fill="auto"/>
            <w:vAlign w:val="center"/>
            <w:hideMark/>
          </w:tcPr>
          <w:p w14:paraId="2054F5A8"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BFI.H592</w:t>
            </w:r>
          </w:p>
        </w:tc>
      </w:tr>
      <w:tr w:rsidR="00D74061" w:rsidRPr="00D73956" w14:paraId="64F17FAD"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7DCC28FD"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156 - BLOCO DE INVESTIMENTO NA REDE DE SERVIÇOS PÚBLICOS DE SAÚDE - SUS - FEDERAL</w:t>
            </w:r>
          </w:p>
        </w:tc>
        <w:tc>
          <w:tcPr>
            <w:tcW w:w="993" w:type="dxa"/>
            <w:tcBorders>
              <w:top w:val="nil"/>
              <w:left w:val="nil"/>
              <w:bottom w:val="nil"/>
              <w:right w:val="single" w:sz="8" w:space="0" w:color="auto"/>
            </w:tcBorders>
            <w:shd w:val="clear" w:color="auto" w:fill="auto"/>
            <w:vAlign w:val="center"/>
            <w:hideMark/>
          </w:tcPr>
          <w:p w14:paraId="1C4D7B42"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BFI.C593</w:t>
            </w:r>
          </w:p>
        </w:tc>
        <w:tc>
          <w:tcPr>
            <w:tcW w:w="992" w:type="dxa"/>
            <w:tcBorders>
              <w:top w:val="nil"/>
              <w:left w:val="nil"/>
              <w:bottom w:val="nil"/>
              <w:right w:val="single" w:sz="8" w:space="0" w:color="auto"/>
            </w:tcBorders>
            <w:shd w:val="clear" w:color="auto" w:fill="auto"/>
            <w:vAlign w:val="center"/>
            <w:hideMark/>
          </w:tcPr>
          <w:p w14:paraId="637E4481"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BFI.D593</w:t>
            </w:r>
          </w:p>
        </w:tc>
        <w:tc>
          <w:tcPr>
            <w:tcW w:w="5103" w:type="dxa"/>
            <w:tcBorders>
              <w:top w:val="nil"/>
              <w:left w:val="nil"/>
              <w:bottom w:val="nil"/>
              <w:right w:val="single" w:sz="8" w:space="0" w:color="auto"/>
            </w:tcBorders>
            <w:shd w:val="clear" w:color="auto" w:fill="auto"/>
            <w:noWrap/>
            <w:vAlign w:val="center"/>
            <w:hideMark/>
          </w:tcPr>
          <w:p w14:paraId="7E16E52C"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156 - BLOCO DE INVESTIMENTO NA REDE DE SERVIÇOS PÚBLICOS DE SAÚDE - SUS - FEDERAL</w:t>
            </w:r>
          </w:p>
        </w:tc>
        <w:tc>
          <w:tcPr>
            <w:tcW w:w="993" w:type="dxa"/>
            <w:tcBorders>
              <w:top w:val="nil"/>
              <w:left w:val="nil"/>
              <w:bottom w:val="nil"/>
              <w:right w:val="single" w:sz="8" w:space="0" w:color="auto"/>
            </w:tcBorders>
            <w:shd w:val="clear" w:color="auto" w:fill="auto"/>
            <w:vAlign w:val="center"/>
            <w:hideMark/>
          </w:tcPr>
          <w:p w14:paraId="4F62C0CB"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BFI.G593</w:t>
            </w:r>
          </w:p>
        </w:tc>
        <w:tc>
          <w:tcPr>
            <w:tcW w:w="992" w:type="dxa"/>
            <w:tcBorders>
              <w:top w:val="nil"/>
              <w:left w:val="nil"/>
              <w:bottom w:val="nil"/>
              <w:right w:val="single" w:sz="8" w:space="0" w:color="auto"/>
            </w:tcBorders>
            <w:shd w:val="clear" w:color="auto" w:fill="auto"/>
            <w:vAlign w:val="center"/>
            <w:hideMark/>
          </w:tcPr>
          <w:p w14:paraId="1A8B16AC"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BFI.H593</w:t>
            </w:r>
          </w:p>
        </w:tc>
      </w:tr>
      <w:tr w:rsidR="00D74061" w:rsidRPr="00D73956" w14:paraId="3A1281AA"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1FBBFCB9"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169 - DECISÕES JUDICIAIS DESTINADAS AO COMBATE DA COVID-19</w:t>
            </w:r>
          </w:p>
        </w:tc>
        <w:tc>
          <w:tcPr>
            <w:tcW w:w="993" w:type="dxa"/>
            <w:tcBorders>
              <w:top w:val="nil"/>
              <w:left w:val="nil"/>
              <w:bottom w:val="nil"/>
              <w:right w:val="single" w:sz="8" w:space="0" w:color="auto"/>
            </w:tcBorders>
            <w:shd w:val="clear" w:color="auto" w:fill="auto"/>
            <w:vAlign w:val="center"/>
            <w:hideMark/>
          </w:tcPr>
          <w:p w14:paraId="09DAF5C4"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BFI.C597</w:t>
            </w:r>
          </w:p>
        </w:tc>
        <w:tc>
          <w:tcPr>
            <w:tcW w:w="992" w:type="dxa"/>
            <w:tcBorders>
              <w:top w:val="nil"/>
              <w:left w:val="nil"/>
              <w:bottom w:val="nil"/>
              <w:right w:val="single" w:sz="8" w:space="0" w:color="auto"/>
            </w:tcBorders>
            <w:shd w:val="clear" w:color="auto" w:fill="auto"/>
            <w:vAlign w:val="center"/>
            <w:hideMark/>
          </w:tcPr>
          <w:p w14:paraId="3013084B"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BFI.D597</w:t>
            </w:r>
          </w:p>
        </w:tc>
        <w:tc>
          <w:tcPr>
            <w:tcW w:w="5103" w:type="dxa"/>
            <w:tcBorders>
              <w:top w:val="nil"/>
              <w:left w:val="nil"/>
              <w:bottom w:val="nil"/>
              <w:right w:val="single" w:sz="8" w:space="0" w:color="auto"/>
            </w:tcBorders>
            <w:shd w:val="clear" w:color="auto" w:fill="auto"/>
            <w:noWrap/>
            <w:vAlign w:val="center"/>
            <w:hideMark/>
          </w:tcPr>
          <w:p w14:paraId="6531DF8A"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169 - DECISÕES JUDICIAIS DESTINADAS AO COMBATE DA COVID-19</w:t>
            </w:r>
          </w:p>
        </w:tc>
        <w:tc>
          <w:tcPr>
            <w:tcW w:w="993" w:type="dxa"/>
            <w:tcBorders>
              <w:top w:val="nil"/>
              <w:left w:val="nil"/>
              <w:bottom w:val="nil"/>
              <w:right w:val="single" w:sz="8" w:space="0" w:color="auto"/>
            </w:tcBorders>
            <w:shd w:val="clear" w:color="auto" w:fill="auto"/>
            <w:vAlign w:val="center"/>
            <w:hideMark/>
          </w:tcPr>
          <w:p w14:paraId="4559971C"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BFI.G597</w:t>
            </w:r>
          </w:p>
        </w:tc>
        <w:tc>
          <w:tcPr>
            <w:tcW w:w="992" w:type="dxa"/>
            <w:tcBorders>
              <w:top w:val="nil"/>
              <w:left w:val="nil"/>
              <w:bottom w:val="nil"/>
              <w:right w:val="single" w:sz="8" w:space="0" w:color="auto"/>
            </w:tcBorders>
            <w:shd w:val="clear" w:color="auto" w:fill="auto"/>
            <w:vAlign w:val="center"/>
            <w:hideMark/>
          </w:tcPr>
          <w:p w14:paraId="1906EF2E"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BFI.H597</w:t>
            </w:r>
          </w:p>
        </w:tc>
      </w:tr>
      <w:tr w:rsidR="00D74061" w:rsidRPr="00D73956" w14:paraId="118644CC"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73053B4F"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304 - SUPERÁVIT FINANCEIRO - AÇÕES E SERVIÇOS DE SAÚDE</w:t>
            </w:r>
          </w:p>
        </w:tc>
        <w:tc>
          <w:tcPr>
            <w:tcW w:w="993" w:type="dxa"/>
            <w:tcBorders>
              <w:top w:val="nil"/>
              <w:left w:val="nil"/>
              <w:bottom w:val="nil"/>
              <w:right w:val="single" w:sz="8" w:space="0" w:color="auto"/>
            </w:tcBorders>
            <w:shd w:val="clear" w:color="auto" w:fill="auto"/>
            <w:vAlign w:val="center"/>
            <w:hideMark/>
          </w:tcPr>
          <w:p w14:paraId="2AC13CC3"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BFI.C530</w:t>
            </w:r>
          </w:p>
        </w:tc>
        <w:tc>
          <w:tcPr>
            <w:tcW w:w="992" w:type="dxa"/>
            <w:tcBorders>
              <w:top w:val="nil"/>
              <w:left w:val="nil"/>
              <w:bottom w:val="nil"/>
              <w:right w:val="single" w:sz="8" w:space="0" w:color="auto"/>
            </w:tcBorders>
            <w:shd w:val="clear" w:color="auto" w:fill="auto"/>
            <w:vAlign w:val="center"/>
            <w:hideMark/>
          </w:tcPr>
          <w:p w14:paraId="5244D071"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BFI.D530</w:t>
            </w:r>
          </w:p>
        </w:tc>
        <w:tc>
          <w:tcPr>
            <w:tcW w:w="5103" w:type="dxa"/>
            <w:tcBorders>
              <w:top w:val="nil"/>
              <w:left w:val="nil"/>
              <w:bottom w:val="nil"/>
              <w:right w:val="single" w:sz="8" w:space="0" w:color="auto"/>
            </w:tcBorders>
            <w:shd w:val="clear" w:color="auto" w:fill="auto"/>
            <w:noWrap/>
            <w:vAlign w:val="center"/>
            <w:hideMark/>
          </w:tcPr>
          <w:p w14:paraId="34FD6375"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304 - SUPERÁVIT FINANCEIRO - AÇÕES E SERVIÇOS DE SAÚDE</w:t>
            </w:r>
          </w:p>
        </w:tc>
        <w:tc>
          <w:tcPr>
            <w:tcW w:w="993" w:type="dxa"/>
            <w:tcBorders>
              <w:top w:val="nil"/>
              <w:left w:val="nil"/>
              <w:bottom w:val="nil"/>
              <w:right w:val="single" w:sz="8" w:space="0" w:color="auto"/>
            </w:tcBorders>
            <w:shd w:val="clear" w:color="auto" w:fill="auto"/>
            <w:vAlign w:val="center"/>
            <w:hideMark/>
          </w:tcPr>
          <w:p w14:paraId="77DD4243"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BFI.G530</w:t>
            </w:r>
          </w:p>
        </w:tc>
        <w:tc>
          <w:tcPr>
            <w:tcW w:w="992" w:type="dxa"/>
            <w:tcBorders>
              <w:top w:val="nil"/>
              <w:left w:val="nil"/>
              <w:bottom w:val="nil"/>
              <w:right w:val="single" w:sz="8" w:space="0" w:color="auto"/>
            </w:tcBorders>
            <w:shd w:val="clear" w:color="auto" w:fill="auto"/>
            <w:vAlign w:val="center"/>
            <w:hideMark/>
          </w:tcPr>
          <w:p w14:paraId="7E43FE78"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BFI.H530</w:t>
            </w:r>
          </w:p>
        </w:tc>
      </w:tr>
      <w:tr w:rsidR="00D74061" w:rsidRPr="00D73956" w14:paraId="7FC94C37"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6709FBAE"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334 - SUPERÁVIT FINANCEIRO - INCENTIVO SUS UNIÃO</w:t>
            </w:r>
          </w:p>
        </w:tc>
        <w:tc>
          <w:tcPr>
            <w:tcW w:w="993" w:type="dxa"/>
            <w:tcBorders>
              <w:top w:val="nil"/>
              <w:left w:val="nil"/>
              <w:bottom w:val="nil"/>
              <w:right w:val="single" w:sz="8" w:space="0" w:color="auto"/>
            </w:tcBorders>
            <w:shd w:val="clear" w:color="auto" w:fill="auto"/>
            <w:vAlign w:val="center"/>
            <w:hideMark/>
          </w:tcPr>
          <w:p w14:paraId="05093D8C"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BFI.C531</w:t>
            </w:r>
          </w:p>
        </w:tc>
        <w:tc>
          <w:tcPr>
            <w:tcW w:w="992" w:type="dxa"/>
            <w:tcBorders>
              <w:top w:val="nil"/>
              <w:left w:val="nil"/>
              <w:bottom w:val="nil"/>
              <w:right w:val="single" w:sz="8" w:space="0" w:color="auto"/>
            </w:tcBorders>
            <w:shd w:val="clear" w:color="auto" w:fill="auto"/>
            <w:vAlign w:val="center"/>
            <w:hideMark/>
          </w:tcPr>
          <w:p w14:paraId="4E8AD696"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BFI.D531</w:t>
            </w:r>
          </w:p>
        </w:tc>
        <w:tc>
          <w:tcPr>
            <w:tcW w:w="5103" w:type="dxa"/>
            <w:tcBorders>
              <w:top w:val="nil"/>
              <w:left w:val="nil"/>
              <w:bottom w:val="nil"/>
              <w:right w:val="single" w:sz="8" w:space="0" w:color="auto"/>
            </w:tcBorders>
            <w:shd w:val="clear" w:color="auto" w:fill="auto"/>
            <w:noWrap/>
            <w:vAlign w:val="center"/>
            <w:hideMark/>
          </w:tcPr>
          <w:p w14:paraId="3F571135"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334 - SUPERÁVIT FINANCEIRO - INCENTIVO SUS UNIÃO</w:t>
            </w:r>
          </w:p>
        </w:tc>
        <w:tc>
          <w:tcPr>
            <w:tcW w:w="993" w:type="dxa"/>
            <w:tcBorders>
              <w:top w:val="nil"/>
              <w:left w:val="nil"/>
              <w:bottom w:val="nil"/>
              <w:right w:val="single" w:sz="8" w:space="0" w:color="auto"/>
            </w:tcBorders>
            <w:shd w:val="clear" w:color="auto" w:fill="auto"/>
            <w:vAlign w:val="center"/>
            <w:hideMark/>
          </w:tcPr>
          <w:p w14:paraId="0A3BFA7F"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BFI.G531</w:t>
            </w:r>
          </w:p>
        </w:tc>
        <w:tc>
          <w:tcPr>
            <w:tcW w:w="992" w:type="dxa"/>
            <w:tcBorders>
              <w:top w:val="nil"/>
              <w:left w:val="nil"/>
              <w:bottom w:val="nil"/>
              <w:right w:val="single" w:sz="8" w:space="0" w:color="auto"/>
            </w:tcBorders>
            <w:shd w:val="clear" w:color="auto" w:fill="auto"/>
            <w:vAlign w:val="center"/>
            <w:hideMark/>
          </w:tcPr>
          <w:p w14:paraId="3A057E41"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BFI.H531</w:t>
            </w:r>
          </w:p>
        </w:tc>
      </w:tr>
      <w:tr w:rsidR="00D74061" w:rsidRPr="00D73956" w14:paraId="573647AE"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687DDA8E"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335 - SUPERÁVIT FINANCEIRO - SUS PRODUÇÃO</w:t>
            </w:r>
          </w:p>
        </w:tc>
        <w:tc>
          <w:tcPr>
            <w:tcW w:w="993" w:type="dxa"/>
            <w:tcBorders>
              <w:top w:val="nil"/>
              <w:left w:val="nil"/>
              <w:bottom w:val="nil"/>
              <w:right w:val="single" w:sz="8" w:space="0" w:color="auto"/>
            </w:tcBorders>
            <w:shd w:val="clear" w:color="auto" w:fill="auto"/>
            <w:vAlign w:val="center"/>
            <w:hideMark/>
          </w:tcPr>
          <w:p w14:paraId="3F366E1A"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BFI.C532</w:t>
            </w:r>
          </w:p>
        </w:tc>
        <w:tc>
          <w:tcPr>
            <w:tcW w:w="992" w:type="dxa"/>
            <w:tcBorders>
              <w:top w:val="nil"/>
              <w:left w:val="nil"/>
              <w:bottom w:val="nil"/>
              <w:right w:val="single" w:sz="8" w:space="0" w:color="auto"/>
            </w:tcBorders>
            <w:shd w:val="clear" w:color="auto" w:fill="auto"/>
            <w:vAlign w:val="center"/>
            <w:hideMark/>
          </w:tcPr>
          <w:p w14:paraId="262AA03B"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BFI.D532</w:t>
            </w:r>
          </w:p>
        </w:tc>
        <w:tc>
          <w:tcPr>
            <w:tcW w:w="5103" w:type="dxa"/>
            <w:tcBorders>
              <w:top w:val="nil"/>
              <w:left w:val="nil"/>
              <w:bottom w:val="nil"/>
              <w:right w:val="single" w:sz="8" w:space="0" w:color="auto"/>
            </w:tcBorders>
            <w:shd w:val="clear" w:color="auto" w:fill="auto"/>
            <w:noWrap/>
            <w:vAlign w:val="center"/>
            <w:hideMark/>
          </w:tcPr>
          <w:p w14:paraId="4C51C788"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335 - SUPERÁVIT FINANCEIRO - SUS PRODUÇÃO</w:t>
            </w:r>
          </w:p>
        </w:tc>
        <w:tc>
          <w:tcPr>
            <w:tcW w:w="993" w:type="dxa"/>
            <w:tcBorders>
              <w:top w:val="nil"/>
              <w:left w:val="nil"/>
              <w:bottom w:val="nil"/>
              <w:right w:val="single" w:sz="8" w:space="0" w:color="auto"/>
            </w:tcBorders>
            <w:shd w:val="clear" w:color="auto" w:fill="auto"/>
            <w:vAlign w:val="center"/>
            <w:hideMark/>
          </w:tcPr>
          <w:p w14:paraId="78608CE9"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BFI.G532</w:t>
            </w:r>
          </w:p>
        </w:tc>
        <w:tc>
          <w:tcPr>
            <w:tcW w:w="992" w:type="dxa"/>
            <w:tcBorders>
              <w:top w:val="nil"/>
              <w:left w:val="nil"/>
              <w:bottom w:val="nil"/>
              <w:right w:val="single" w:sz="8" w:space="0" w:color="auto"/>
            </w:tcBorders>
            <w:shd w:val="clear" w:color="auto" w:fill="auto"/>
            <w:vAlign w:val="center"/>
            <w:hideMark/>
          </w:tcPr>
          <w:p w14:paraId="2B0AC50D"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BFI.H532</w:t>
            </w:r>
          </w:p>
        </w:tc>
      </w:tr>
      <w:tr w:rsidR="00D74061" w:rsidRPr="00D73956" w14:paraId="02640CAD"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5868D4BF"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355 - SUPERÁVIT FINANCEIRO - BLOCO DE CUSTEIO DAS AÇÕES E SERVIÇOS PÚBLICOS DE SAÚDE - SUS – FEDERAL</w:t>
            </w:r>
          </w:p>
        </w:tc>
        <w:tc>
          <w:tcPr>
            <w:tcW w:w="993" w:type="dxa"/>
            <w:tcBorders>
              <w:top w:val="nil"/>
              <w:left w:val="nil"/>
              <w:bottom w:val="nil"/>
              <w:right w:val="single" w:sz="8" w:space="0" w:color="auto"/>
            </w:tcBorders>
            <w:shd w:val="clear" w:color="auto" w:fill="auto"/>
            <w:vAlign w:val="center"/>
            <w:hideMark/>
          </w:tcPr>
          <w:p w14:paraId="48B68ADD"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BFI.C598</w:t>
            </w:r>
          </w:p>
        </w:tc>
        <w:tc>
          <w:tcPr>
            <w:tcW w:w="992" w:type="dxa"/>
            <w:tcBorders>
              <w:top w:val="nil"/>
              <w:left w:val="nil"/>
              <w:bottom w:val="nil"/>
              <w:right w:val="single" w:sz="8" w:space="0" w:color="auto"/>
            </w:tcBorders>
            <w:shd w:val="clear" w:color="auto" w:fill="auto"/>
            <w:vAlign w:val="center"/>
            <w:hideMark/>
          </w:tcPr>
          <w:p w14:paraId="1DFA1435"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BFI.D598</w:t>
            </w:r>
          </w:p>
        </w:tc>
        <w:tc>
          <w:tcPr>
            <w:tcW w:w="5103" w:type="dxa"/>
            <w:tcBorders>
              <w:top w:val="nil"/>
              <w:left w:val="nil"/>
              <w:bottom w:val="nil"/>
              <w:right w:val="single" w:sz="8" w:space="0" w:color="auto"/>
            </w:tcBorders>
            <w:shd w:val="clear" w:color="auto" w:fill="auto"/>
            <w:noWrap/>
            <w:vAlign w:val="center"/>
            <w:hideMark/>
          </w:tcPr>
          <w:p w14:paraId="1DE5F984"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355 - SUPERÁVIT FINANCEIRO - BLOCO DE CUSTEIO DAS AÇÕES E SERVIÇOS PÚBLICOS DE SAÚDE - SUS – FEDERAL</w:t>
            </w:r>
          </w:p>
        </w:tc>
        <w:tc>
          <w:tcPr>
            <w:tcW w:w="993" w:type="dxa"/>
            <w:tcBorders>
              <w:top w:val="nil"/>
              <w:left w:val="nil"/>
              <w:bottom w:val="nil"/>
              <w:right w:val="single" w:sz="8" w:space="0" w:color="auto"/>
            </w:tcBorders>
            <w:shd w:val="clear" w:color="auto" w:fill="auto"/>
            <w:vAlign w:val="center"/>
            <w:hideMark/>
          </w:tcPr>
          <w:p w14:paraId="1AA202A4"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BFI.G598</w:t>
            </w:r>
          </w:p>
        </w:tc>
        <w:tc>
          <w:tcPr>
            <w:tcW w:w="992" w:type="dxa"/>
            <w:tcBorders>
              <w:top w:val="nil"/>
              <w:left w:val="nil"/>
              <w:bottom w:val="nil"/>
              <w:right w:val="single" w:sz="8" w:space="0" w:color="auto"/>
            </w:tcBorders>
            <w:shd w:val="clear" w:color="auto" w:fill="auto"/>
            <w:vAlign w:val="center"/>
            <w:hideMark/>
          </w:tcPr>
          <w:p w14:paraId="544BFE35"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BFI.H598</w:t>
            </w:r>
          </w:p>
        </w:tc>
      </w:tr>
      <w:tr w:rsidR="00D74061" w:rsidRPr="00D73956" w14:paraId="77B16831"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5346FF05"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356 - SUPERÁVIT FINANCEIRO - BLOCO DE INVESTIMENTO NA REDE DE SERVIÇOS PÚBLICOS DE SAÚDE - SUS – FEDERAL</w:t>
            </w:r>
          </w:p>
        </w:tc>
        <w:tc>
          <w:tcPr>
            <w:tcW w:w="993" w:type="dxa"/>
            <w:tcBorders>
              <w:top w:val="nil"/>
              <w:left w:val="nil"/>
              <w:bottom w:val="nil"/>
              <w:right w:val="single" w:sz="8" w:space="0" w:color="auto"/>
            </w:tcBorders>
            <w:shd w:val="clear" w:color="auto" w:fill="auto"/>
            <w:vAlign w:val="center"/>
            <w:hideMark/>
          </w:tcPr>
          <w:p w14:paraId="65B2492B"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BFI.C599</w:t>
            </w:r>
          </w:p>
        </w:tc>
        <w:tc>
          <w:tcPr>
            <w:tcW w:w="992" w:type="dxa"/>
            <w:tcBorders>
              <w:top w:val="nil"/>
              <w:left w:val="nil"/>
              <w:bottom w:val="nil"/>
              <w:right w:val="single" w:sz="8" w:space="0" w:color="auto"/>
            </w:tcBorders>
            <w:shd w:val="clear" w:color="auto" w:fill="auto"/>
            <w:vAlign w:val="center"/>
            <w:hideMark/>
          </w:tcPr>
          <w:p w14:paraId="03ADEC1D"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BFI.D599</w:t>
            </w:r>
          </w:p>
        </w:tc>
        <w:tc>
          <w:tcPr>
            <w:tcW w:w="5103" w:type="dxa"/>
            <w:tcBorders>
              <w:top w:val="nil"/>
              <w:left w:val="nil"/>
              <w:bottom w:val="nil"/>
              <w:right w:val="single" w:sz="8" w:space="0" w:color="auto"/>
            </w:tcBorders>
            <w:shd w:val="clear" w:color="auto" w:fill="auto"/>
            <w:noWrap/>
            <w:vAlign w:val="center"/>
            <w:hideMark/>
          </w:tcPr>
          <w:p w14:paraId="4247C0D1"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356 - SUPERÁVIT FINANCEIRO - BLOCO DE INVESTIMENTO NA REDE DE SERVIÇOS PÚBLICOS DE SAÚDE - SUS – FEDERAL</w:t>
            </w:r>
          </w:p>
        </w:tc>
        <w:tc>
          <w:tcPr>
            <w:tcW w:w="993" w:type="dxa"/>
            <w:tcBorders>
              <w:top w:val="nil"/>
              <w:left w:val="nil"/>
              <w:bottom w:val="nil"/>
              <w:right w:val="single" w:sz="8" w:space="0" w:color="auto"/>
            </w:tcBorders>
            <w:shd w:val="clear" w:color="auto" w:fill="auto"/>
            <w:vAlign w:val="center"/>
            <w:hideMark/>
          </w:tcPr>
          <w:p w14:paraId="55BCF92D"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BFI.G599</w:t>
            </w:r>
          </w:p>
        </w:tc>
        <w:tc>
          <w:tcPr>
            <w:tcW w:w="992" w:type="dxa"/>
            <w:tcBorders>
              <w:top w:val="nil"/>
              <w:left w:val="nil"/>
              <w:bottom w:val="nil"/>
              <w:right w:val="single" w:sz="8" w:space="0" w:color="auto"/>
            </w:tcBorders>
            <w:shd w:val="clear" w:color="auto" w:fill="auto"/>
            <w:vAlign w:val="center"/>
            <w:hideMark/>
          </w:tcPr>
          <w:p w14:paraId="4DB018BA"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BFI.H599</w:t>
            </w:r>
          </w:p>
        </w:tc>
      </w:tr>
      <w:tr w:rsidR="00D74061" w:rsidRPr="00D73956" w14:paraId="34C936F5"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6BF70AB9"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369 - SUPERÁVIT FINANCEIRO - DECISÕES JUDICIAIS DESTINADAS AO COMBATE DA COVID-19</w:t>
            </w:r>
          </w:p>
        </w:tc>
        <w:tc>
          <w:tcPr>
            <w:tcW w:w="993" w:type="dxa"/>
            <w:tcBorders>
              <w:top w:val="nil"/>
              <w:left w:val="nil"/>
              <w:bottom w:val="nil"/>
              <w:right w:val="single" w:sz="8" w:space="0" w:color="auto"/>
            </w:tcBorders>
            <w:shd w:val="clear" w:color="auto" w:fill="auto"/>
            <w:vAlign w:val="center"/>
            <w:hideMark/>
          </w:tcPr>
          <w:p w14:paraId="7F633CD6"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BFI.C600</w:t>
            </w:r>
          </w:p>
        </w:tc>
        <w:tc>
          <w:tcPr>
            <w:tcW w:w="992" w:type="dxa"/>
            <w:tcBorders>
              <w:top w:val="nil"/>
              <w:left w:val="nil"/>
              <w:bottom w:val="nil"/>
              <w:right w:val="single" w:sz="8" w:space="0" w:color="auto"/>
            </w:tcBorders>
            <w:shd w:val="clear" w:color="auto" w:fill="auto"/>
            <w:vAlign w:val="center"/>
            <w:hideMark/>
          </w:tcPr>
          <w:p w14:paraId="1D21D1A9"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BFI.D600</w:t>
            </w:r>
          </w:p>
        </w:tc>
        <w:tc>
          <w:tcPr>
            <w:tcW w:w="5103" w:type="dxa"/>
            <w:tcBorders>
              <w:top w:val="nil"/>
              <w:left w:val="nil"/>
              <w:bottom w:val="nil"/>
              <w:right w:val="single" w:sz="8" w:space="0" w:color="auto"/>
            </w:tcBorders>
            <w:shd w:val="clear" w:color="auto" w:fill="auto"/>
            <w:noWrap/>
            <w:vAlign w:val="center"/>
            <w:hideMark/>
          </w:tcPr>
          <w:p w14:paraId="3574F3DF"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369 - SUPERÁVIT FINANCEIRO - DECISÕES JUDICIAIS DESTINADAS AO COMBATE DA COVID-19</w:t>
            </w:r>
          </w:p>
        </w:tc>
        <w:tc>
          <w:tcPr>
            <w:tcW w:w="993" w:type="dxa"/>
            <w:tcBorders>
              <w:top w:val="nil"/>
              <w:left w:val="nil"/>
              <w:bottom w:val="nil"/>
              <w:right w:val="single" w:sz="8" w:space="0" w:color="auto"/>
            </w:tcBorders>
            <w:shd w:val="clear" w:color="auto" w:fill="auto"/>
            <w:vAlign w:val="center"/>
            <w:hideMark/>
          </w:tcPr>
          <w:p w14:paraId="62BC83AF"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BFI.G600</w:t>
            </w:r>
          </w:p>
        </w:tc>
        <w:tc>
          <w:tcPr>
            <w:tcW w:w="992" w:type="dxa"/>
            <w:tcBorders>
              <w:top w:val="nil"/>
              <w:left w:val="nil"/>
              <w:bottom w:val="nil"/>
              <w:right w:val="single" w:sz="8" w:space="0" w:color="auto"/>
            </w:tcBorders>
            <w:shd w:val="clear" w:color="auto" w:fill="auto"/>
            <w:vAlign w:val="center"/>
            <w:hideMark/>
          </w:tcPr>
          <w:p w14:paraId="7514A9F6"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BFI.H600</w:t>
            </w:r>
          </w:p>
        </w:tc>
      </w:tr>
      <w:tr w:rsidR="00D74061" w:rsidRPr="00D73956" w14:paraId="0282DE2D"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264E20C2" w14:textId="77777777" w:rsidR="00D74061" w:rsidRPr="00D73956" w:rsidRDefault="00D74061" w:rsidP="00D74061">
            <w:pPr>
              <w:spacing w:after="0" w:line="240" w:lineRule="auto"/>
              <w:ind w:firstLineChars="100" w:firstLine="161"/>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 xml:space="preserve">  Recursos vinculados à Previdência Social - RPPS</w:t>
            </w:r>
          </w:p>
        </w:tc>
        <w:tc>
          <w:tcPr>
            <w:tcW w:w="993" w:type="dxa"/>
            <w:tcBorders>
              <w:top w:val="nil"/>
              <w:left w:val="nil"/>
              <w:bottom w:val="nil"/>
              <w:right w:val="single" w:sz="8" w:space="0" w:color="auto"/>
            </w:tcBorders>
            <w:shd w:val="clear" w:color="auto" w:fill="auto"/>
            <w:vAlign w:val="center"/>
            <w:hideMark/>
          </w:tcPr>
          <w:p w14:paraId="1E4B7E75" w14:textId="77777777" w:rsidR="00D74061" w:rsidRPr="00D73956" w:rsidRDefault="00D74061" w:rsidP="00D74061">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BFI.C033</w:t>
            </w:r>
          </w:p>
        </w:tc>
        <w:tc>
          <w:tcPr>
            <w:tcW w:w="992" w:type="dxa"/>
            <w:tcBorders>
              <w:top w:val="nil"/>
              <w:left w:val="nil"/>
              <w:bottom w:val="nil"/>
              <w:right w:val="single" w:sz="8" w:space="0" w:color="auto"/>
            </w:tcBorders>
            <w:shd w:val="clear" w:color="auto" w:fill="auto"/>
            <w:vAlign w:val="center"/>
            <w:hideMark/>
          </w:tcPr>
          <w:p w14:paraId="513F0906" w14:textId="77777777" w:rsidR="00D74061" w:rsidRPr="00D73956" w:rsidRDefault="00D74061" w:rsidP="00D74061">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BFI.D033</w:t>
            </w:r>
          </w:p>
        </w:tc>
        <w:tc>
          <w:tcPr>
            <w:tcW w:w="5103" w:type="dxa"/>
            <w:tcBorders>
              <w:top w:val="nil"/>
              <w:left w:val="nil"/>
              <w:bottom w:val="nil"/>
              <w:right w:val="single" w:sz="8" w:space="0" w:color="auto"/>
            </w:tcBorders>
            <w:shd w:val="clear" w:color="auto" w:fill="auto"/>
            <w:noWrap/>
            <w:vAlign w:val="center"/>
            <w:hideMark/>
          </w:tcPr>
          <w:p w14:paraId="7A49FFB2" w14:textId="77777777" w:rsidR="00D74061" w:rsidRPr="00D73956" w:rsidRDefault="00D74061" w:rsidP="00D74061">
            <w:pPr>
              <w:spacing w:after="0" w:line="240" w:lineRule="auto"/>
              <w:ind w:firstLineChars="100" w:firstLine="161"/>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 xml:space="preserve">  Recursos Destinado à Previdência Social - RPPS</w:t>
            </w:r>
          </w:p>
        </w:tc>
        <w:tc>
          <w:tcPr>
            <w:tcW w:w="993" w:type="dxa"/>
            <w:tcBorders>
              <w:top w:val="nil"/>
              <w:left w:val="nil"/>
              <w:bottom w:val="nil"/>
              <w:right w:val="single" w:sz="8" w:space="0" w:color="auto"/>
            </w:tcBorders>
            <w:shd w:val="clear" w:color="auto" w:fill="auto"/>
            <w:vAlign w:val="center"/>
            <w:hideMark/>
          </w:tcPr>
          <w:p w14:paraId="03E34BAD" w14:textId="77777777" w:rsidR="00D74061" w:rsidRPr="00D73956" w:rsidRDefault="00D74061" w:rsidP="00D74061">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BFI.G033</w:t>
            </w:r>
          </w:p>
        </w:tc>
        <w:tc>
          <w:tcPr>
            <w:tcW w:w="992" w:type="dxa"/>
            <w:tcBorders>
              <w:top w:val="nil"/>
              <w:left w:val="nil"/>
              <w:bottom w:val="nil"/>
              <w:right w:val="single" w:sz="8" w:space="0" w:color="auto"/>
            </w:tcBorders>
            <w:shd w:val="clear" w:color="auto" w:fill="auto"/>
            <w:vAlign w:val="center"/>
            <w:hideMark/>
          </w:tcPr>
          <w:p w14:paraId="41DAD0A3" w14:textId="77777777" w:rsidR="00D74061" w:rsidRPr="00D73956" w:rsidRDefault="00D74061" w:rsidP="00D74061">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BFI.H033</w:t>
            </w:r>
          </w:p>
        </w:tc>
      </w:tr>
      <w:tr w:rsidR="00D74061" w:rsidRPr="00D73956" w14:paraId="085D6CE7"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71921978"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270 - RECURSOS DA PREVIDÊNCIA</w:t>
            </w:r>
          </w:p>
        </w:tc>
        <w:tc>
          <w:tcPr>
            <w:tcW w:w="993" w:type="dxa"/>
            <w:tcBorders>
              <w:top w:val="nil"/>
              <w:left w:val="nil"/>
              <w:bottom w:val="nil"/>
              <w:right w:val="single" w:sz="8" w:space="0" w:color="auto"/>
            </w:tcBorders>
            <w:shd w:val="clear" w:color="auto" w:fill="auto"/>
            <w:vAlign w:val="center"/>
            <w:hideMark/>
          </w:tcPr>
          <w:p w14:paraId="0CE8087C"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BFI.C533</w:t>
            </w:r>
          </w:p>
        </w:tc>
        <w:tc>
          <w:tcPr>
            <w:tcW w:w="992" w:type="dxa"/>
            <w:tcBorders>
              <w:top w:val="nil"/>
              <w:left w:val="nil"/>
              <w:bottom w:val="nil"/>
              <w:right w:val="single" w:sz="8" w:space="0" w:color="auto"/>
            </w:tcBorders>
            <w:shd w:val="clear" w:color="auto" w:fill="auto"/>
            <w:vAlign w:val="center"/>
            <w:hideMark/>
          </w:tcPr>
          <w:p w14:paraId="3C9A3937"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BFI.D533</w:t>
            </w:r>
          </w:p>
        </w:tc>
        <w:tc>
          <w:tcPr>
            <w:tcW w:w="5103" w:type="dxa"/>
            <w:tcBorders>
              <w:top w:val="nil"/>
              <w:left w:val="nil"/>
              <w:bottom w:val="nil"/>
              <w:right w:val="single" w:sz="8" w:space="0" w:color="auto"/>
            </w:tcBorders>
            <w:shd w:val="clear" w:color="auto" w:fill="auto"/>
            <w:noWrap/>
            <w:vAlign w:val="center"/>
            <w:hideMark/>
          </w:tcPr>
          <w:p w14:paraId="0391C75B"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270 - RECURSOS DA PREVIDÊNCIA</w:t>
            </w:r>
          </w:p>
        </w:tc>
        <w:tc>
          <w:tcPr>
            <w:tcW w:w="993" w:type="dxa"/>
            <w:tcBorders>
              <w:top w:val="nil"/>
              <w:left w:val="nil"/>
              <w:bottom w:val="nil"/>
              <w:right w:val="single" w:sz="8" w:space="0" w:color="auto"/>
            </w:tcBorders>
            <w:shd w:val="clear" w:color="auto" w:fill="auto"/>
            <w:vAlign w:val="center"/>
            <w:hideMark/>
          </w:tcPr>
          <w:p w14:paraId="0A998F68"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BFI.G533</w:t>
            </w:r>
          </w:p>
        </w:tc>
        <w:tc>
          <w:tcPr>
            <w:tcW w:w="992" w:type="dxa"/>
            <w:tcBorders>
              <w:top w:val="nil"/>
              <w:left w:val="nil"/>
              <w:bottom w:val="nil"/>
              <w:right w:val="single" w:sz="8" w:space="0" w:color="auto"/>
            </w:tcBorders>
            <w:shd w:val="clear" w:color="auto" w:fill="auto"/>
            <w:vAlign w:val="center"/>
            <w:hideMark/>
          </w:tcPr>
          <w:p w14:paraId="401F35BD"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BFI.H533</w:t>
            </w:r>
          </w:p>
        </w:tc>
      </w:tr>
      <w:tr w:rsidR="00D74061" w:rsidRPr="00D73956" w14:paraId="3A6B6FC5"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03279A36"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670 - SUPERÁVIT FINANCEIRO - RECURSOS DA PREVIDÊNCIA</w:t>
            </w:r>
          </w:p>
        </w:tc>
        <w:tc>
          <w:tcPr>
            <w:tcW w:w="993" w:type="dxa"/>
            <w:tcBorders>
              <w:top w:val="nil"/>
              <w:left w:val="nil"/>
              <w:bottom w:val="nil"/>
              <w:right w:val="single" w:sz="8" w:space="0" w:color="auto"/>
            </w:tcBorders>
            <w:shd w:val="clear" w:color="auto" w:fill="auto"/>
            <w:vAlign w:val="center"/>
            <w:hideMark/>
          </w:tcPr>
          <w:p w14:paraId="2153B740"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BFI.C534</w:t>
            </w:r>
          </w:p>
        </w:tc>
        <w:tc>
          <w:tcPr>
            <w:tcW w:w="992" w:type="dxa"/>
            <w:tcBorders>
              <w:top w:val="nil"/>
              <w:left w:val="nil"/>
              <w:bottom w:val="nil"/>
              <w:right w:val="single" w:sz="8" w:space="0" w:color="auto"/>
            </w:tcBorders>
            <w:shd w:val="clear" w:color="auto" w:fill="auto"/>
            <w:vAlign w:val="center"/>
            <w:hideMark/>
          </w:tcPr>
          <w:p w14:paraId="23A9DD7B"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BFI.D534</w:t>
            </w:r>
          </w:p>
        </w:tc>
        <w:tc>
          <w:tcPr>
            <w:tcW w:w="5103" w:type="dxa"/>
            <w:tcBorders>
              <w:top w:val="nil"/>
              <w:left w:val="nil"/>
              <w:bottom w:val="nil"/>
              <w:right w:val="single" w:sz="8" w:space="0" w:color="auto"/>
            </w:tcBorders>
            <w:shd w:val="clear" w:color="auto" w:fill="auto"/>
            <w:noWrap/>
            <w:vAlign w:val="center"/>
            <w:hideMark/>
          </w:tcPr>
          <w:p w14:paraId="46A29040"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670 - SUPERÁVIT FINANCEIRO - RECURSOS DA PREVIDÊNCIA</w:t>
            </w:r>
          </w:p>
        </w:tc>
        <w:tc>
          <w:tcPr>
            <w:tcW w:w="993" w:type="dxa"/>
            <w:tcBorders>
              <w:top w:val="nil"/>
              <w:left w:val="nil"/>
              <w:bottom w:val="nil"/>
              <w:right w:val="single" w:sz="8" w:space="0" w:color="auto"/>
            </w:tcBorders>
            <w:shd w:val="clear" w:color="auto" w:fill="auto"/>
            <w:vAlign w:val="center"/>
            <w:hideMark/>
          </w:tcPr>
          <w:p w14:paraId="6584B58C"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BFI.G534</w:t>
            </w:r>
          </w:p>
        </w:tc>
        <w:tc>
          <w:tcPr>
            <w:tcW w:w="992" w:type="dxa"/>
            <w:tcBorders>
              <w:top w:val="nil"/>
              <w:left w:val="nil"/>
              <w:bottom w:val="nil"/>
              <w:right w:val="single" w:sz="8" w:space="0" w:color="auto"/>
            </w:tcBorders>
            <w:shd w:val="clear" w:color="auto" w:fill="auto"/>
            <w:vAlign w:val="center"/>
            <w:hideMark/>
          </w:tcPr>
          <w:p w14:paraId="2F35B4F2"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BFI.H534</w:t>
            </w:r>
          </w:p>
        </w:tc>
      </w:tr>
      <w:tr w:rsidR="00D74061" w:rsidRPr="00D73956" w14:paraId="3C9A43B2"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tcPr>
          <w:p w14:paraId="46ABB9D3"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676 - SUPERÁVIT FINANCEIRO - FUNDO DE PROTEÇÃO SOCIAL DOS MILITARES (OUTRAS DESTINAÇÕES DE RECURSOS).</w:t>
            </w:r>
          </w:p>
        </w:tc>
        <w:tc>
          <w:tcPr>
            <w:tcW w:w="993" w:type="dxa"/>
            <w:tcBorders>
              <w:top w:val="nil"/>
              <w:left w:val="nil"/>
              <w:bottom w:val="nil"/>
              <w:right w:val="single" w:sz="8" w:space="0" w:color="auto"/>
            </w:tcBorders>
            <w:shd w:val="clear" w:color="auto" w:fill="auto"/>
            <w:vAlign w:val="center"/>
          </w:tcPr>
          <w:p w14:paraId="4504A4A6"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BFI.C606</w:t>
            </w:r>
          </w:p>
        </w:tc>
        <w:tc>
          <w:tcPr>
            <w:tcW w:w="992" w:type="dxa"/>
            <w:tcBorders>
              <w:top w:val="nil"/>
              <w:left w:val="nil"/>
              <w:bottom w:val="nil"/>
              <w:right w:val="single" w:sz="8" w:space="0" w:color="auto"/>
            </w:tcBorders>
            <w:shd w:val="clear" w:color="auto" w:fill="auto"/>
            <w:vAlign w:val="center"/>
          </w:tcPr>
          <w:p w14:paraId="5E2D5BB4"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BFI.D606</w:t>
            </w:r>
          </w:p>
        </w:tc>
        <w:tc>
          <w:tcPr>
            <w:tcW w:w="5103" w:type="dxa"/>
            <w:tcBorders>
              <w:top w:val="nil"/>
              <w:left w:val="nil"/>
              <w:bottom w:val="nil"/>
              <w:right w:val="single" w:sz="8" w:space="0" w:color="auto"/>
            </w:tcBorders>
            <w:shd w:val="clear" w:color="auto" w:fill="auto"/>
            <w:noWrap/>
            <w:vAlign w:val="center"/>
          </w:tcPr>
          <w:p w14:paraId="0D23FBB5"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676 - SUPERÁVIT FINANCEIRO - FUNDO DE PROTEÇÃO SOCIAL DOS MILITARES (OUTRAS DESTINAÇÕES DE RECURSOS).</w:t>
            </w:r>
          </w:p>
        </w:tc>
        <w:tc>
          <w:tcPr>
            <w:tcW w:w="993" w:type="dxa"/>
            <w:tcBorders>
              <w:top w:val="nil"/>
              <w:left w:val="nil"/>
              <w:bottom w:val="nil"/>
              <w:right w:val="single" w:sz="8" w:space="0" w:color="auto"/>
            </w:tcBorders>
            <w:shd w:val="clear" w:color="auto" w:fill="auto"/>
            <w:vAlign w:val="center"/>
          </w:tcPr>
          <w:p w14:paraId="387C1723"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BFI.G606</w:t>
            </w:r>
          </w:p>
        </w:tc>
        <w:tc>
          <w:tcPr>
            <w:tcW w:w="992" w:type="dxa"/>
            <w:tcBorders>
              <w:top w:val="nil"/>
              <w:left w:val="nil"/>
              <w:bottom w:val="nil"/>
              <w:right w:val="single" w:sz="8" w:space="0" w:color="auto"/>
            </w:tcBorders>
            <w:shd w:val="clear" w:color="auto" w:fill="auto"/>
            <w:vAlign w:val="center"/>
          </w:tcPr>
          <w:p w14:paraId="0B905F07" w14:textId="485D4072"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w:t>
            </w:r>
            <w:r>
              <w:rPr>
                <w:rFonts w:ascii="Arial Narrow" w:eastAsia="Times New Roman" w:hAnsi="Arial Narrow" w:cs="Arial"/>
                <w:sz w:val="16"/>
                <w:szCs w:val="16"/>
                <w:lang w:eastAsia="pt-BR"/>
              </w:rPr>
              <w:t>H</w:t>
            </w:r>
            <w:r w:rsidRPr="00D73956">
              <w:rPr>
                <w:rFonts w:ascii="Arial Narrow" w:eastAsia="Times New Roman" w:hAnsi="Arial Narrow" w:cs="Arial"/>
                <w:sz w:val="16"/>
                <w:szCs w:val="16"/>
                <w:lang w:eastAsia="pt-BR"/>
              </w:rPr>
              <w:t>606</w:t>
            </w:r>
          </w:p>
        </w:tc>
      </w:tr>
      <w:tr w:rsidR="00D74061" w:rsidRPr="00D73956" w14:paraId="60534C1F"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0523C754" w14:textId="77777777" w:rsidR="00D74061" w:rsidRPr="00D73956" w:rsidRDefault="00D74061" w:rsidP="00D74061">
            <w:pPr>
              <w:spacing w:after="0" w:line="240" w:lineRule="auto"/>
              <w:ind w:firstLineChars="100" w:firstLine="161"/>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 xml:space="preserve">  Recursos Vinculados à Seguridade Social</w:t>
            </w:r>
          </w:p>
        </w:tc>
        <w:tc>
          <w:tcPr>
            <w:tcW w:w="993" w:type="dxa"/>
            <w:tcBorders>
              <w:top w:val="nil"/>
              <w:left w:val="nil"/>
              <w:bottom w:val="nil"/>
              <w:right w:val="single" w:sz="8" w:space="0" w:color="auto"/>
            </w:tcBorders>
            <w:shd w:val="clear" w:color="auto" w:fill="auto"/>
            <w:vAlign w:val="center"/>
            <w:hideMark/>
          </w:tcPr>
          <w:p w14:paraId="48A295D1" w14:textId="77777777" w:rsidR="00D74061" w:rsidRPr="00D73956" w:rsidRDefault="00D74061" w:rsidP="00D74061">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BFI.C039</w:t>
            </w:r>
          </w:p>
        </w:tc>
        <w:tc>
          <w:tcPr>
            <w:tcW w:w="992" w:type="dxa"/>
            <w:tcBorders>
              <w:top w:val="nil"/>
              <w:left w:val="nil"/>
              <w:bottom w:val="nil"/>
              <w:right w:val="single" w:sz="8" w:space="0" w:color="auto"/>
            </w:tcBorders>
            <w:shd w:val="clear" w:color="auto" w:fill="auto"/>
            <w:vAlign w:val="center"/>
            <w:hideMark/>
          </w:tcPr>
          <w:p w14:paraId="205A4486" w14:textId="77777777" w:rsidR="00D74061" w:rsidRPr="00D73956" w:rsidRDefault="00D74061" w:rsidP="00D74061">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BFI.D039</w:t>
            </w:r>
          </w:p>
        </w:tc>
        <w:tc>
          <w:tcPr>
            <w:tcW w:w="5103" w:type="dxa"/>
            <w:tcBorders>
              <w:top w:val="nil"/>
              <w:left w:val="nil"/>
              <w:bottom w:val="nil"/>
              <w:right w:val="single" w:sz="8" w:space="0" w:color="auto"/>
            </w:tcBorders>
            <w:shd w:val="clear" w:color="auto" w:fill="auto"/>
            <w:noWrap/>
            <w:vAlign w:val="center"/>
            <w:hideMark/>
          </w:tcPr>
          <w:p w14:paraId="42039B1A" w14:textId="77777777" w:rsidR="00D74061" w:rsidRPr="00D73956" w:rsidRDefault="00D74061" w:rsidP="00D74061">
            <w:pPr>
              <w:spacing w:after="0" w:line="240" w:lineRule="auto"/>
              <w:ind w:firstLineChars="100" w:firstLine="161"/>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 xml:space="preserve">  Recursos Destinado à Seguridade Social</w:t>
            </w:r>
          </w:p>
        </w:tc>
        <w:tc>
          <w:tcPr>
            <w:tcW w:w="993" w:type="dxa"/>
            <w:tcBorders>
              <w:top w:val="nil"/>
              <w:left w:val="nil"/>
              <w:bottom w:val="nil"/>
              <w:right w:val="single" w:sz="8" w:space="0" w:color="auto"/>
            </w:tcBorders>
            <w:shd w:val="clear" w:color="auto" w:fill="auto"/>
            <w:vAlign w:val="center"/>
            <w:hideMark/>
          </w:tcPr>
          <w:p w14:paraId="1F6206CB" w14:textId="77777777" w:rsidR="00D74061" w:rsidRPr="00D73956" w:rsidRDefault="00D74061" w:rsidP="00D74061">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BFI.G039</w:t>
            </w:r>
          </w:p>
        </w:tc>
        <w:tc>
          <w:tcPr>
            <w:tcW w:w="992" w:type="dxa"/>
            <w:tcBorders>
              <w:top w:val="nil"/>
              <w:left w:val="nil"/>
              <w:bottom w:val="nil"/>
              <w:right w:val="single" w:sz="8" w:space="0" w:color="auto"/>
            </w:tcBorders>
            <w:shd w:val="clear" w:color="auto" w:fill="auto"/>
            <w:vAlign w:val="center"/>
            <w:hideMark/>
          </w:tcPr>
          <w:p w14:paraId="0EAB6521" w14:textId="77777777" w:rsidR="00D74061" w:rsidRPr="00D73956" w:rsidRDefault="00D74061" w:rsidP="00D74061">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BFI.H039</w:t>
            </w:r>
          </w:p>
        </w:tc>
      </w:tr>
      <w:tr w:rsidR="00D74061" w:rsidRPr="00D73956" w14:paraId="53257E05"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769C36BF"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130 - PROGRAMA FEDERATIVO DE ENFRENTAMENTO AO COVID-19 VINCULADO ÀS AÇÕES DE SAÚDE E ASSISTÊNCIA SOCIAL – LC 173/20</w:t>
            </w:r>
          </w:p>
        </w:tc>
        <w:tc>
          <w:tcPr>
            <w:tcW w:w="993" w:type="dxa"/>
            <w:tcBorders>
              <w:top w:val="nil"/>
              <w:left w:val="nil"/>
              <w:bottom w:val="nil"/>
              <w:right w:val="single" w:sz="8" w:space="0" w:color="auto"/>
            </w:tcBorders>
            <w:shd w:val="clear" w:color="auto" w:fill="auto"/>
            <w:vAlign w:val="center"/>
            <w:hideMark/>
          </w:tcPr>
          <w:p w14:paraId="61ED3665"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BFI.C601</w:t>
            </w:r>
          </w:p>
        </w:tc>
        <w:tc>
          <w:tcPr>
            <w:tcW w:w="992" w:type="dxa"/>
            <w:tcBorders>
              <w:top w:val="nil"/>
              <w:left w:val="nil"/>
              <w:bottom w:val="nil"/>
              <w:right w:val="single" w:sz="8" w:space="0" w:color="auto"/>
            </w:tcBorders>
            <w:shd w:val="clear" w:color="auto" w:fill="auto"/>
            <w:vAlign w:val="center"/>
            <w:hideMark/>
          </w:tcPr>
          <w:p w14:paraId="644CA804"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BFI.D601</w:t>
            </w:r>
          </w:p>
        </w:tc>
        <w:tc>
          <w:tcPr>
            <w:tcW w:w="5103" w:type="dxa"/>
            <w:tcBorders>
              <w:top w:val="nil"/>
              <w:left w:val="nil"/>
              <w:bottom w:val="nil"/>
              <w:right w:val="single" w:sz="8" w:space="0" w:color="auto"/>
            </w:tcBorders>
            <w:shd w:val="clear" w:color="auto" w:fill="auto"/>
            <w:noWrap/>
            <w:vAlign w:val="center"/>
            <w:hideMark/>
          </w:tcPr>
          <w:p w14:paraId="6BD68DCC"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130 - PROGRAMA FEDERATIVO DE ENFRENTAMENTO AO COVID-19 VINCULADO ÀS AÇÕES DE SAÚDE E ASSISTÊNCIA SOCIAL – LC 173/20</w:t>
            </w:r>
          </w:p>
        </w:tc>
        <w:tc>
          <w:tcPr>
            <w:tcW w:w="993" w:type="dxa"/>
            <w:tcBorders>
              <w:top w:val="nil"/>
              <w:left w:val="nil"/>
              <w:bottom w:val="nil"/>
              <w:right w:val="single" w:sz="8" w:space="0" w:color="auto"/>
            </w:tcBorders>
            <w:shd w:val="clear" w:color="auto" w:fill="auto"/>
            <w:vAlign w:val="center"/>
            <w:hideMark/>
          </w:tcPr>
          <w:p w14:paraId="210ABDFA"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BFI.G601</w:t>
            </w:r>
          </w:p>
        </w:tc>
        <w:tc>
          <w:tcPr>
            <w:tcW w:w="992" w:type="dxa"/>
            <w:tcBorders>
              <w:top w:val="nil"/>
              <w:left w:val="nil"/>
              <w:bottom w:val="nil"/>
              <w:right w:val="single" w:sz="8" w:space="0" w:color="auto"/>
            </w:tcBorders>
            <w:shd w:val="clear" w:color="auto" w:fill="auto"/>
            <w:vAlign w:val="center"/>
            <w:hideMark/>
          </w:tcPr>
          <w:p w14:paraId="3426E4D5"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BFI.H601</w:t>
            </w:r>
          </w:p>
        </w:tc>
      </w:tr>
      <w:tr w:rsidR="00D74061" w:rsidRPr="00D73956" w14:paraId="6E60241D"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606059F6" w14:textId="77777777" w:rsidR="00D74061" w:rsidRPr="00D73956" w:rsidRDefault="00D74061" w:rsidP="00D74061">
            <w:pPr>
              <w:spacing w:after="0" w:line="240" w:lineRule="auto"/>
              <w:ind w:firstLineChars="100" w:firstLine="161"/>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lastRenderedPageBreak/>
              <w:t xml:space="preserve"> Outras Destinações de Recursos</w:t>
            </w:r>
          </w:p>
        </w:tc>
        <w:tc>
          <w:tcPr>
            <w:tcW w:w="993" w:type="dxa"/>
            <w:tcBorders>
              <w:top w:val="nil"/>
              <w:left w:val="nil"/>
              <w:bottom w:val="nil"/>
              <w:right w:val="single" w:sz="8" w:space="0" w:color="auto"/>
            </w:tcBorders>
            <w:shd w:val="clear" w:color="auto" w:fill="auto"/>
            <w:vAlign w:val="center"/>
            <w:hideMark/>
          </w:tcPr>
          <w:p w14:paraId="6B680B88" w14:textId="77777777" w:rsidR="00D74061" w:rsidRPr="00D73956" w:rsidRDefault="00D74061" w:rsidP="00D74061">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BFI.C043</w:t>
            </w:r>
          </w:p>
        </w:tc>
        <w:tc>
          <w:tcPr>
            <w:tcW w:w="992" w:type="dxa"/>
            <w:tcBorders>
              <w:top w:val="nil"/>
              <w:left w:val="nil"/>
              <w:bottom w:val="nil"/>
              <w:right w:val="single" w:sz="8" w:space="0" w:color="auto"/>
            </w:tcBorders>
            <w:shd w:val="clear" w:color="auto" w:fill="auto"/>
            <w:vAlign w:val="center"/>
            <w:hideMark/>
          </w:tcPr>
          <w:p w14:paraId="118F4018" w14:textId="77777777" w:rsidR="00D74061" w:rsidRPr="00D73956" w:rsidRDefault="00D74061" w:rsidP="00D74061">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BFI.D043</w:t>
            </w:r>
          </w:p>
        </w:tc>
        <w:tc>
          <w:tcPr>
            <w:tcW w:w="5103" w:type="dxa"/>
            <w:tcBorders>
              <w:top w:val="nil"/>
              <w:left w:val="nil"/>
              <w:bottom w:val="nil"/>
              <w:right w:val="single" w:sz="8" w:space="0" w:color="auto"/>
            </w:tcBorders>
            <w:shd w:val="clear" w:color="auto" w:fill="auto"/>
            <w:noWrap/>
            <w:vAlign w:val="center"/>
            <w:hideMark/>
          </w:tcPr>
          <w:p w14:paraId="3F9A8A8C" w14:textId="77777777" w:rsidR="00D74061" w:rsidRPr="00D73956" w:rsidRDefault="00D74061" w:rsidP="00D74061">
            <w:pPr>
              <w:spacing w:after="0" w:line="240" w:lineRule="auto"/>
              <w:ind w:firstLineChars="100" w:firstLine="161"/>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 xml:space="preserve"> Outras Destinações de Recursos</w:t>
            </w:r>
          </w:p>
        </w:tc>
        <w:tc>
          <w:tcPr>
            <w:tcW w:w="993" w:type="dxa"/>
            <w:tcBorders>
              <w:top w:val="nil"/>
              <w:left w:val="nil"/>
              <w:bottom w:val="nil"/>
              <w:right w:val="single" w:sz="8" w:space="0" w:color="auto"/>
            </w:tcBorders>
            <w:shd w:val="clear" w:color="auto" w:fill="auto"/>
            <w:vAlign w:val="center"/>
            <w:hideMark/>
          </w:tcPr>
          <w:p w14:paraId="26C1EEAF" w14:textId="77777777" w:rsidR="00D74061" w:rsidRPr="00D73956" w:rsidRDefault="00D74061" w:rsidP="00D74061">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BFI.G043</w:t>
            </w:r>
          </w:p>
        </w:tc>
        <w:tc>
          <w:tcPr>
            <w:tcW w:w="992" w:type="dxa"/>
            <w:tcBorders>
              <w:top w:val="nil"/>
              <w:left w:val="nil"/>
              <w:bottom w:val="nil"/>
              <w:right w:val="single" w:sz="8" w:space="0" w:color="auto"/>
            </w:tcBorders>
            <w:shd w:val="clear" w:color="auto" w:fill="auto"/>
            <w:vAlign w:val="center"/>
            <w:hideMark/>
          </w:tcPr>
          <w:p w14:paraId="78EE7089" w14:textId="77777777" w:rsidR="00D74061" w:rsidRPr="00D73956" w:rsidRDefault="00D74061" w:rsidP="00D74061">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BFI.H043</w:t>
            </w:r>
          </w:p>
        </w:tc>
      </w:tr>
      <w:tr w:rsidR="00D74061" w:rsidRPr="00D73956" w14:paraId="70A67F10"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79565F8C"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000 - CAUÇÕES E VALORES RESTITUÍVEIS</w:t>
            </w:r>
          </w:p>
        </w:tc>
        <w:tc>
          <w:tcPr>
            <w:tcW w:w="993" w:type="dxa"/>
            <w:tcBorders>
              <w:top w:val="nil"/>
              <w:left w:val="nil"/>
              <w:bottom w:val="nil"/>
              <w:right w:val="single" w:sz="8" w:space="0" w:color="auto"/>
            </w:tcBorders>
            <w:shd w:val="clear" w:color="auto" w:fill="auto"/>
            <w:vAlign w:val="center"/>
            <w:hideMark/>
          </w:tcPr>
          <w:p w14:paraId="019C772C"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BFI.C535</w:t>
            </w:r>
          </w:p>
        </w:tc>
        <w:tc>
          <w:tcPr>
            <w:tcW w:w="992" w:type="dxa"/>
            <w:tcBorders>
              <w:top w:val="nil"/>
              <w:left w:val="nil"/>
              <w:bottom w:val="nil"/>
              <w:right w:val="single" w:sz="8" w:space="0" w:color="auto"/>
            </w:tcBorders>
            <w:shd w:val="clear" w:color="auto" w:fill="auto"/>
            <w:vAlign w:val="center"/>
            <w:hideMark/>
          </w:tcPr>
          <w:p w14:paraId="6A948974"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BFI.D535</w:t>
            </w:r>
          </w:p>
        </w:tc>
        <w:tc>
          <w:tcPr>
            <w:tcW w:w="5103" w:type="dxa"/>
            <w:tcBorders>
              <w:top w:val="nil"/>
              <w:left w:val="nil"/>
              <w:bottom w:val="nil"/>
              <w:right w:val="single" w:sz="8" w:space="0" w:color="auto"/>
            </w:tcBorders>
            <w:shd w:val="clear" w:color="auto" w:fill="auto"/>
            <w:noWrap/>
            <w:vAlign w:val="center"/>
            <w:hideMark/>
          </w:tcPr>
          <w:p w14:paraId="5F6A295E"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000 - CAUÇÕES E VALORES RESTITUÍVEIS</w:t>
            </w:r>
          </w:p>
        </w:tc>
        <w:tc>
          <w:tcPr>
            <w:tcW w:w="993" w:type="dxa"/>
            <w:tcBorders>
              <w:top w:val="nil"/>
              <w:left w:val="nil"/>
              <w:bottom w:val="nil"/>
              <w:right w:val="single" w:sz="8" w:space="0" w:color="auto"/>
            </w:tcBorders>
            <w:shd w:val="clear" w:color="auto" w:fill="auto"/>
            <w:vAlign w:val="center"/>
            <w:hideMark/>
          </w:tcPr>
          <w:p w14:paraId="06C1D49E"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BFI.G535</w:t>
            </w:r>
          </w:p>
        </w:tc>
        <w:tc>
          <w:tcPr>
            <w:tcW w:w="992" w:type="dxa"/>
            <w:tcBorders>
              <w:top w:val="nil"/>
              <w:left w:val="nil"/>
              <w:bottom w:val="nil"/>
              <w:right w:val="single" w:sz="8" w:space="0" w:color="auto"/>
            </w:tcBorders>
            <w:shd w:val="clear" w:color="auto" w:fill="auto"/>
            <w:vAlign w:val="center"/>
            <w:hideMark/>
          </w:tcPr>
          <w:p w14:paraId="5506603A"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BFI.H535</w:t>
            </w:r>
          </w:p>
        </w:tc>
      </w:tr>
      <w:tr w:rsidR="00D74061" w:rsidRPr="00D73956" w14:paraId="5FF3D0BD"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3E657B87"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107 - ROYALTIES, PARTICIPAÇÃO ESPECIAL E FUNDO ESPECIAL DO PETRÓLEO</w:t>
            </w:r>
          </w:p>
        </w:tc>
        <w:tc>
          <w:tcPr>
            <w:tcW w:w="993" w:type="dxa"/>
            <w:tcBorders>
              <w:top w:val="nil"/>
              <w:left w:val="nil"/>
              <w:bottom w:val="nil"/>
              <w:right w:val="single" w:sz="8" w:space="0" w:color="auto"/>
            </w:tcBorders>
            <w:shd w:val="clear" w:color="auto" w:fill="auto"/>
            <w:vAlign w:val="center"/>
            <w:hideMark/>
          </w:tcPr>
          <w:p w14:paraId="5640C77A"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BFI.C594</w:t>
            </w:r>
          </w:p>
        </w:tc>
        <w:tc>
          <w:tcPr>
            <w:tcW w:w="992" w:type="dxa"/>
            <w:tcBorders>
              <w:top w:val="nil"/>
              <w:left w:val="nil"/>
              <w:bottom w:val="nil"/>
              <w:right w:val="single" w:sz="8" w:space="0" w:color="auto"/>
            </w:tcBorders>
            <w:shd w:val="clear" w:color="auto" w:fill="auto"/>
            <w:vAlign w:val="center"/>
            <w:hideMark/>
          </w:tcPr>
          <w:p w14:paraId="0E318092"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BFI.D594</w:t>
            </w:r>
          </w:p>
        </w:tc>
        <w:tc>
          <w:tcPr>
            <w:tcW w:w="5103" w:type="dxa"/>
            <w:tcBorders>
              <w:top w:val="nil"/>
              <w:left w:val="nil"/>
              <w:bottom w:val="nil"/>
              <w:right w:val="single" w:sz="8" w:space="0" w:color="auto"/>
            </w:tcBorders>
            <w:shd w:val="clear" w:color="auto" w:fill="auto"/>
            <w:noWrap/>
            <w:vAlign w:val="center"/>
            <w:hideMark/>
          </w:tcPr>
          <w:p w14:paraId="1C1E0E13"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107 - ROYALTIES, PARTICIPAÇÃO ESPECIAL E FUNDO ESPECIAL DO PETRÓLEO</w:t>
            </w:r>
          </w:p>
        </w:tc>
        <w:tc>
          <w:tcPr>
            <w:tcW w:w="993" w:type="dxa"/>
            <w:tcBorders>
              <w:top w:val="nil"/>
              <w:left w:val="nil"/>
              <w:bottom w:val="nil"/>
              <w:right w:val="single" w:sz="8" w:space="0" w:color="auto"/>
            </w:tcBorders>
            <w:shd w:val="clear" w:color="auto" w:fill="auto"/>
            <w:vAlign w:val="center"/>
            <w:hideMark/>
          </w:tcPr>
          <w:p w14:paraId="480EA8BF"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BFI.G594</w:t>
            </w:r>
          </w:p>
        </w:tc>
        <w:tc>
          <w:tcPr>
            <w:tcW w:w="992" w:type="dxa"/>
            <w:tcBorders>
              <w:top w:val="nil"/>
              <w:left w:val="nil"/>
              <w:bottom w:val="nil"/>
              <w:right w:val="single" w:sz="8" w:space="0" w:color="auto"/>
            </w:tcBorders>
            <w:shd w:val="clear" w:color="auto" w:fill="auto"/>
            <w:vAlign w:val="center"/>
            <w:hideMark/>
          </w:tcPr>
          <w:p w14:paraId="756C89EA"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BFI.H594</w:t>
            </w:r>
          </w:p>
        </w:tc>
      </w:tr>
      <w:tr w:rsidR="00D74061" w:rsidRPr="00D73956" w14:paraId="47BC9AE8"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279BD0E2"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108 - DISTRIBUIÇÃO DA CESSÃO ONEROSA DO BÔNUS DE ASSINATURA DO PRÉ-SAL - LEI Nº 13.885/2019</w:t>
            </w:r>
          </w:p>
        </w:tc>
        <w:tc>
          <w:tcPr>
            <w:tcW w:w="993" w:type="dxa"/>
            <w:tcBorders>
              <w:top w:val="nil"/>
              <w:left w:val="nil"/>
              <w:bottom w:val="nil"/>
              <w:right w:val="single" w:sz="8" w:space="0" w:color="auto"/>
            </w:tcBorders>
            <w:shd w:val="clear" w:color="auto" w:fill="auto"/>
            <w:vAlign w:val="center"/>
            <w:hideMark/>
          </w:tcPr>
          <w:p w14:paraId="1FA928FF"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BFI.C595</w:t>
            </w:r>
          </w:p>
        </w:tc>
        <w:tc>
          <w:tcPr>
            <w:tcW w:w="992" w:type="dxa"/>
            <w:tcBorders>
              <w:top w:val="nil"/>
              <w:left w:val="nil"/>
              <w:bottom w:val="nil"/>
              <w:right w:val="single" w:sz="8" w:space="0" w:color="auto"/>
            </w:tcBorders>
            <w:shd w:val="clear" w:color="auto" w:fill="auto"/>
            <w:vAlign w:val="center"/>
            <w:hideMark/>
          </w:tcPr>
          <w:p w14:paraId="37968FA3"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BFI.D595</w:t>
            </w:r>
          </w:p>
        </w:tc>
        <w:tc>
          <w:tcPr>
            <w:tcW w:w="5103" w:type="dxa"/>
            <w:tcBorders>
              <w:top w:val="nil"/>
              <w:left w:val="nil"/>
              <w:bottom w:val="nil"/>
              <w:right w:val="single" w:sz="8" w:space="0" w:color="auto"/>
            </w:tcBorders>
            <w:shd w:val="clear" w:color="auto" w:fill="auto"/>
            <w:noWrap/>
            <w:vAlign w:val="center"/>
            <w:hideMark/>
          </w:tcPr>
          <w:p w14:paraId="26112141"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108 - DISTRIBUIÇÃO DA CESSÃO ONEROSA DO BÔNUS DE ASSINATURA DO PRÉ-SAL - LEI Nº 13.885/2019</w:t>
            </w:r>
          </w:p>
        </w:tc>
        <w:tc>
          <w:tcPr>
            <w:tcW w:w="993" w:type="dxa"/>
            <w:tcBorders>
              <w:top w:val="nil"/>
              <w:left w:val="nil"/>
              <w:bottom w:val="nil"/>
              <w:right w:val="single" w:sz="8" w:space="0" w:color="auto"/>
            </w:tcBorders>
            <w:shd w:val="clear" w:color="auto" w:fill="auto"/>
            <w:vAlign w:val="center"/>
            <w:hideMark/>
          </w:tcPr>
          <w:p w14:paraId="7A358790"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BFI.G595</w:t>
            </w:r>
          </w:p>
        </w:tc>
        <w:tc>
          <w:tcPr>
            <w:tcW w:w="992" w:type="dxa"/>
            <w:tcBorders>
              <w:top w:val="nil"/>
              <w:left w:val="nil"/>
              <w:bottom w:val="nil"/>
              <w:right w:val="single" w:sz="8" w:space="0" w:color="auto"/>
            </w:tcBorders>
            <w:shd w:val="clear" w:color="auto" w:fill="auto"/>
            <w:vAlign w:val="center"/>
            <w:hideMark/>
          </w:tcPr>
          <w:p w14:paraId="729E8E0E"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BFI.H595</w:t>
            </w:r>
          </w:p>
        </w:tc>
      </w:tr>
      <w:tr w:rsidR="00D74061" w:rsidRPr="00D73956" w14:paraId="2FEF698C"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298F9ECF"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112 - SUPERÁVIT FINANCEIRO - DEC 2829-R, DE 17/08/11</w:t>
            </w:r>
          </w:p>
        </w:tc>
        <w:tc>
          <w:tcPr>
            <w:tcW w:w="993" w:type="dxa"/>
            <w:tcBorders>
              <w:top w:val="nil"/>
              <w:left w:val="nil"/>
              <w:bottom w:val="nil"/>
              <w:right w:val="single" w:sz="8" w:space="0" w:color="auto"/>
            </w:tcBorders>
            <w:shd w:val="clear" w:color="auto" w:fill="auto"/>
            <w:vAlign w:val="center"/>
            <w:hideMark/>
          </w:tcPr>
          <w:p w14:paraId="05CC2D97"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BFI.C536</w:t>
            </w:r>
          </w:p>
        </w:tc>
        <w:tc>
          <w:tcPr>
            <w:tcW w:w="992" w:type="dxa"/>
            <w:tcBorders>
              <w:top w:val="nil"/>
              <w:left w:val="nil"/>
              <w:bottom w:val="nil"/>
              <w:right w:val="single" w:sz="8" w:space="0" w:color="auto"/>
            </w:tcBorders>
            <w:shd w:val="clear" w:color="auto" w:fill="auto"/>
            <w:vAlign w:val="center"/>
            <w:hideMark/>
          </w:tcPr>
          <w:p w14:paraId="04FDAACA"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BFI.D536</w:t>
            </w:r>
          </w:p>
        </w:tc>
        <w:tc>
          <w:tcPr>
            <w:tcW w:w="5103" w:type="dxa"/>
            <w:tcBorders>
              <w:top w:val="nil"/>
              <w:left w:val="nil"/>
              <w:bottom w:val="nil"/>
              <w:right w:val="single" w:sz="8" w:space="0" w:color="auto"/>
            </w:tcBorders>
            <w:shd w:val="clear" w:color="auto" w:fill="auto"/>
            <w:noWrap/>
            <w:vAlign w:val="center"/>
            <w:hideMark/>
          </w:tcPr>
          <w:p w14:paraId="128DABF3"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112 - SUPERÁVIT FINANCEIRO - DEC 2829-R, DE 17/08/11</w:t>
            </w:r>
          </w:p>
        </w:tc>
        <w:tc>
          <w:tcPr>
            <w:tcW w:w="993" w:type="dxa"/>
            <w:tcBorders>
              <w:top w:val="nil"/>
              <w:left w:val="nil"/>
              <w:bottom w:val="nil"/>
              <w:right w:val="single" w:sz="8" w:space="0" w:color="auto"/>
            </w:tcBorders>
            <w:shd w:val="clear" w:color="auto" w:fill="auto"/>
            <w:vAlign w:val="center"/>
            <w:hideMark/>
          </w:tcPr>
          <w:p w14:paraId="600A5554"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BFI.G536</w:t>
            </w:r>
          </w:p>
        </w:tc>
        <w:tc>
          <w:tcPr>
            <w:tcW w:w="992" w:type="dxa"/>
            <w:tcBorders>
              <w:top w:val="nil"/>
              <w:left w:val="nil"/>
              <w:bottom w:val="nil"/>
              <w:right w:val="single" w:sz="8" w:space="0" w:color="auto"/>
            </w:tcBorders>
            <w:shd w:val="clear" w:color="auto" w:fill="auto"/>
            <w:vAlign w:val="center"/>
            <w:hideMark/>
          </w:tcPr>
          <w:p w14:paraId="07785F5F"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BFI.H536</w:t>
            </w:r>
          </w:p>
        </w:tc>
      </w:tr>
      <w:tr w:rsidR="00D74061" w:rsidRPr="00D73956" w14:paraId="3ED992D9"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0EB0F5E1"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115 - ALIENAÇÃO DE BENS</w:t>
            </w:r>
          </w:p>
        </w:tc>
        <w:tc>
          <w:tcPr>
            <w:tcW w:w="993" w:type="dxa"/>
            <w:tcBorders>
              <w:top w:val="nil"/>
              <w:left w:val="nil"/>
              <w:bottom w:val="nil"/>
              <w:right w:val="single" w:sz="8" w:space="0" w:color="auto"/>
            </w:tcBorders>
            <w:shd w:val="clear" w:color="auto" w:fill="auto"/>
            <w:vAlign w:val="center"/>
            <w:hideMark/>
          </w:tcPr>
          <w:p w14:paraId="35D5804C"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BFI.C537</w:t>
            </w:r>
          </w:p>
        </w:tc>
        <w:tc>
          <w:tcPr>
            <w:tcW w:w="992" w:type="dxa"/>
            <w:tcBorders>
              <w:top w:val="nil"/>
              <w:left w:val="nil"/>
              <w:bottom w:val="nil"/>
              <w:right w:val="single" w:sz="8" w:space="0" w:color="auto"/>
            </w:tcBorders>
            <w:shd w:val="clear" w:color="auto" w:fill="auto"/>
            <w:vAlign w:val="center"/>
            <w:hideMark/>
          </w:tcPr>
          <w:p w14:paraId="5AA7A8FE"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BFI.D537</w:t>
            </w:r>
          </w:p>
        </w:tc>
        <w:tc>
          <w:tcPr>
            <w:tcW w:w="5103" w:type="dxa"/>
            <w:tcBorders>
              <w:top w:val="nil"/>
              <w:left w:val="nil"/>
              <w:bottom w:val="nil"/>
              <w:right w:val="single" w:sz="8" w:space="0" w:color="auto"/>
            </w:tcBorders>
            <w:shd w:val="clear" w:color="auto" w:fill="auto"/>
            <w:noWrap/>
            <w:vAlign w:val="center"/>
            <w:hideMark/>
          </w:tcPr>
          <w:p w14:paraId="6D0AF9C1"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115 - ALIENAÇÃO DE BENS</w:t>
            </w:r>
          </w:p>
        </w:tc>
        <w:tc>
          <w:tcPr>
            <w:tcW w:w="993" w:type="dxa"/>
            <w:tcBorders>
              <w:top w:val="nil"/>
              <w:left w:val="nil"/>
              <w:bottom w:val="nil"/>
              <w:right w:val="single" w:sz="8" w:space="0" w:color="auto"/>
            </w:tcBorders>
            <w:shd w:val="clear" w:color="auto" w:fill="auto"/>
            <w:vAlign w:val="center"/>
            <w:hideMark/>
          </w:tcPr>
          <w:p w14:paraId="591C4704"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BFI.G537</w:t>
            </w:r>
          </w:p>
        </w:tc>
        <w:tc>
          <w:tcPr>
            <w:tcW w:w="992" w:type="dxa"/>
            <w:tcBorders>
              <w:top w:val="nil"/>
              <w:left w:val="nil"/>
              <w:bottom w:val="nil"/>
              <w:right w:val="single" w:sz="8" w:space="0" w:color="auto"/>
            </w:tcBorders>
            <w:shd w:val="clear" w:color="auto" w:fill="auto"/>
            <w:vAlign w:val="center"/>
            <w:hideMark/>
          </w:tcPr>
          <w:p w14:paraId="2CDD3F7E"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BFI.H537</w:t>
            </w:r>
          </w:p>
        </w:tc>
      </w:tr>
      <w:tr w:rsidR="00D74061" w:rsidRPr="00D73956" w14:paraId="149F965C"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3BE37303"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116 - DEPÓSITOS JUDICIAIS – LEI 10.549, DE 1º JULHO DE 2016</w:t>
            </w:r>
          </w:p>
        </w:tc>
        <w:tc>
          <w:tcPr>
            <w:tcW w:w="993" w:type="dxa"/>
            <w:tcBorders>
              <w:top w:val="nil"/>
              <w:left w:val="nil"/>
              <w:bottom w:val="nil"/>
              <w:right w:val="single" w:sz="8" w:space="0" w:color="auto"/>
            </w:tcBorders>
            <w:shd w:val="clear" w:color="auto" w:fill="auto"/>
            <w:vAlign w:val="center"/>
            <w:hideMark/>
          </w:tcPr>
          <w:p w14:paraId="1FC00E50"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BFI.C538</w:t>
            </w:r>
          </w:p>
        </w:tc>
        <w:tc>
          <w:tcPr>
            <w:tcW w:w="992" w:type="dxa"/>
            <w:tcBorders>
              <w:top w:val="nil"/>
              <w:left w:val="nil"/>
              <w:bottom w:val="nil"/>
              <w:right w:val="single" w:sz="8" w:space="0" w:color="auto"/>
            </w:tcBorders>
            <w:shd w:val="clear" w:color="auto" w:fill="auto"/>
            <w:vAlign w:val="center"/>
            <w:hideMark/>
          </w:tcPr>
          <w:p w14:paraId="25F1CCD6"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BFI.D538</w:t>
            </w:r>
          </w:p>
        </w:tc>
        <w:tc>
          <w:tcPr>
            <w:tcW w:w="5103" w:type="dxa"/>
            <w:tcBorders>
              <w:top w:val="nil"/>
              <w:left w:val="nil"/>
              <w:bottom w:val="nil"/>
              <w:right w:val="single" w:sz="8" w:space="0" w:color="auto"/>
            </w:tcBorders>
            <w:shd w:val="clear" w:color="auto" w:fill="auto"/>
            <w:noWrap/>
            <w:vAlign w:val="center"/>
            <w:hideMark/>
          </w:tcPr>
          <w:p w14:paraId="484BE2F1"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116 - DEPÓSITOS JUDICIAIS – LEI 10.549, DE 1º JULHO DE 2016</w:t>
            </w:r>
          </w:p>
        </w:tc>
        <w:tc>
          <w:tcPr>
            <w:tcW w:w="993" w:type="dxa"/>
            <w:tcBorders>
              <w:top w:val="nil"/>
              <w:left w:val="nil"/>
              <w:bottom w:val="nil"/>
              <w:right w:val="single" w:sz="8" w:space="0" w:color="auto"/>
            </w:tcBorders>
            <w:shd w:val="clear" w:color="auto" w:fill="auto"/>
            <w:vAlign w:val="center"/>
            <w:hideMark/>
          </w:tcPr>
          <w:p w14:paraId="224E100B"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BFI.G538</w:t>
            </w:r>
          </w:p>
        </w:tc>
        <w:tc>
          <w:tcPr>
            <w:tcW w:w="992" w:type="dxa"/>
            <w:tcBorders>
              <w:top w:val="nil"/>
              <w:left w:val="nil"/>
              <w:bottom w:val="nil"/>
              <w:right w:val="single" w:sz="8" w:space="0" w:color="auto"/>
            </w:tcBorders>
            <w:shd w:val="clear" w:color="auto" w:fill="auto"/>
            <w:vAlign w:val="center"/>
            <w:hideMark/>
          </w:tcPr>
          <w:p w14:paraId="27CA3D54"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BFI.H538</w:t>
            </w:r>
          </w:p>
        </w:tc>
      </w:tr>
      <w:tr w:rsidR="00D74061" w:rsidRPr="00D73956" w14:paraId="5167D1F2"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tcPr>
          <w:p w14:paraId="49580EE7"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129 – CONVÊNIOS COM INSTITUIÇÕES PRIVADAS</w:t>
            </w:r>
          </w:p>
        </w:tc>
        <w:tc>
          <w:tcPr>
            <w:tcW w:w="993" w:type="dxa"/>
            <w:tcBorders>
              <w:top w:val="nil"/>
              <w:left w:val="nil"/>
              <w:bottom w:val="nil"/>
              <w:right w:val="single" w:sz="8" w:space="0" w:color="auto"/>
            </w:tcBorders>
            <w:shd w:val="clear" w:color="auto" w:fill="auto"/>
            <w:vAlign w:val="center"/>
          </w:tcPr>
          <w:p w14:paraId="524098B2"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BFI.C605</w:t>
            </w:r>
          </w:p>
        </w:tc>
        <w:tc>
          <w:tcPr>
            <w:tcW w:w="992" w:type="dxa"/>
            <w:tcBorders>
              <w:top w:val="nil"/>
              <w:left w:val="nil"/>
              <w:bottom w:val="nil"/>
              <w:right w:val="single" w:sz="8" w:space="0" w:color="auto"/>
            </w:tcBorders>
            <w:shd w:val="clear" w:color="auto" w:fill="auto"/>
            <w:vAlign w:val="center"/>
          </w:tcPr>
          <w:p w14:paraId="132ECA45"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BFI.D605</w:t>
            </w:r>
          </w:p>
        </w:tc>
        <w:tc>
          <w:tcPr>
            <w:tcW w:w="5103" w:type="dxa"/>
            <w:tcBorders>
              <w:top w:val="nil"/>
              <w:left w:val="nil"/>
              <w:bottom w:val="nil"/>
              <w:right w:val="single" w:sz="8" w:space="0" w:color="auto"/>
            </w:tcBorders>
            <w:shd w:val="clear" w:color="auto" w:fill="auto"/>
            <w:noWrap/>
            <w:vAlign w:val="center"/>
          </w:tcPr>
          <w:p w14:paraId="0512783C"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129 – CONVÊNIOS COM INSTITUIÇÕES PRIVADAS</w:t>
            </w:r>
          </w:p>
        </w:tc>
        <w:tc>
          <w:tcPr>
            <w:tcW w:w="993" w:type="dxa"/>
            <w:tcBorders>
              <w:top w:val="nil"/>
              <w:left w:val="nil"/>
              <w:bottom w:val="nil"/>
              <w:right w:val="single" w:sz="8" w:space="0" w:color="auto"/>
            </w:tcBorders>
            <w:shd w:val="clear" w:color="auto" w:fill="auto"/>
            <w:vAlign w:val="center"/>
          </w:tcPr>
          <w:p w14:paraId="309B4DFF"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BFI.G605</w:t>
            </w:r>
          </w:p>
        </w:tc>
        <w:tc>
          <w:tcPr>
            <w:tcW w:w="992" w:type="dxa"/>
            <w:tcBorders>
              <w:top w:val="nil"/>
              <w:left w:val="nil"/>
              <w:bottom w:val="nil"/>
              <w:right w:val="single" w:sz="8" w:space="0" w:color="auto"/>
            </w:tcBorders>
            <w:shd w:val="clear" w:color="auto" w:fill="auto"/>
            <w:vAlign w:val="center"/>
          </w:tcPr>
          <w:p w14:paraId="510BEBF4"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BFI.H605</w:t>
            </w:r>
          </w:p>
        </w:tc>
      </w:tr>
      <w:tr w:rsidR="00D74061" w:rsidRPr="00D73956" w14:paraId="210BFDCF"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16EE16BF"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133 - CONVÊNIOS - UNIÃO</w:t>
            </w:r>
          </w:p>
        </w:tc>
        <w:tc>
          <w:tcPr>
            <w:tcW w:w="993" w:type="dxa"/>
            <w:tcBorders>
              <w:top w:val="nil"/>
              <w:left w:val="nil"/>
              <w:bottom w:val="nil"/>
              <w:right w:val="single" w:sz="8" w:space="0" w:color="auto"/>
            </w:tcBorders>
            <w:shd w:val="clear" w:color="auto" w:fill="auto"/>
            <w:vAlign w:val="center"/>
            <w:hideMark/>
          </w:tcPr>
          <w:p w14:paraId="46EB4B18"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BFI.C539</w:t>
            </w:r>
          </w:p>
        </w:tc>
        <w:tc>
          <w:tcPr>
            <w:tcW w:w="992" w:type="dxa"/>
            <w:tcBorders>
              <w:top w:val="nil"/>
              <w:left w:val="nil"/>
              <w:bottom w:val="nil"/>
              <w:right w:val="single" w:sz="8" w:space="0" w:color="auto"/>
            </w:tcBorders>
            <w:shd w:val="clear" w:color="auto" w:fill="auto"/>
            <w:vAlign w:val="center"/>
            <w:hideMark/>
          </w:tcPr>
          <w:p w14:paraId="4BACA9EA"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BFI.D539</w:t>
            </w:r>
          </w:p>
        </w:tc>
        <w:tc>
          <w:tcPr>
            <w:tcW w:w="5103" w:type="dxa"/>
            <w:tcBorders>
              <w:top w:val="nil"/>
              <w:left w:val="nil"/>
              <w:bottom w:val="nil"/>
              <w:right w:val="single" w:sz="8" w:space="0" w:color="auto"/>
            </w:tcBorders>
            <w:shd w:val="clear" w:color="auto" w:fill="auto"/>
            <w:noWrap/>
            <w:vAlign w:val="center"/>
            <w:hideMark/>
          </w:tcPr>
          <w:p w14:paraId="39FF59D0"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133 - CONVÊNIOS - UNIÃO</w:t>
            </w:r>
          </w:p>
        </w:tc>
        <w:tc>
          <w:tcPr>
            <w:tcW w:w="993" w:type="dxa"/>
            <w:tcBorders>
              <w:top w:val="nil"/>
              <w:left w:val="nil"/>
              <w:bottom w:val="nil"/>
              <w:right w:val="single" w:sz="8" w:space="0" w:color="auto"/>
            </w:tcBorders>
            <w:shd w:val="clear" w:color="auto" w:fill="auto"/>
            <w:vAlign w:val="center"/>
            <w:hideMark/>
          </w:tcPr>
          <w:p w14:paraId="1425584E"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BFI.G539</w:t>
            </w:r>
          </w:p>
        </w:tc>
        <w:tc>
          <w:tcPr>
            <w:tcW w:w="992" w:type="dxa"/>
            <w:tcBorders>
              <w:top w:val="nil"/>
              <w:left w:val="nil"/>
              <w:bottom w:val="nil"/>
              <w:right w:val="single" w:sz="8" w:space="0" w:color="auto"/>
            </w:tcBorders>
            <w:shd w:val="clear" w:color="auto" w:fill="auto"/>
            <w:vAlign w:val="center"/>
            <w:hideMark/>
          </w:tcPr>
          <w:p w14:paraId="77B976B5"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BFI.H539</w:t>
            </w:r>
          </w:p>
        </w:tc>
      </w:tr>
      <w:tr w:rsidR="00D74061" w:rsidRPr="00D73956" w14:paraId="5FC003CF"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6414B202"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136 - TRANSFERÊNCIAS CONSTITUCIONAIS A MUNICÍPIOS</w:t>
            </w:r>
          </w:p>
        </w:tc>
        <w:tc>
          <w:tcPr>
            <w:tcW w:w="993" w:type="dxa"/>
            <w:tcBorders>
              <w:top w:val="nil"/>
              <w:left w:val="nil"/>
              <w:bottom w:val="nil"/>
              <w:right w:val="single" w:sz="8" w:space="0" w:color="auto"/>
            </w:tcBorders>
            <w:shd w:val="clear" w:color="auto" w:fill="auto"/>
            <w:vAlign w:val="center"/>
            <w:hideMark/>
          </w:tcPr>
          <w:p w14:paraId="08FDDF55"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BFI.C540</w:t>
            </w:r>
          </w:p>
        </w:tc>
        <w:tc>
          <w:tcPr>
            <w:tcW w:w="992" w:type="dxa"/>
            <w:tcBorders>
              <w:top w:val="nil"/>
              <w:left w:val="nil"/>
              <w:bottom w:val="nil"/>
              <w:right w:val="single" w:sz="8" w:space="0" w:color="auto"/>
            </w:tcBorders>
            <w:shd w:val="clear" w:color="auto" w:fill="auto"/>
            <w:vAlign w:val="center"/>
            <w:hideMark/>
          </w:tcPr>
          <w:p w14:paraId="0E6D62E0"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BFI.D540</w:t>
            </w:r>
          </w:p>
        </w:tc>
        <w:tc>
          <w:tcPr>
            <w:tcW w:w="5103" w:type="dxa"/>
            <w:tcBorders>
              <w:top w:val="nil"/>
              <w:left w:val="nil"/>
              <w:bottom w:val="nil"/>
              <w:right w:val="single" w:sz="8" w:space="0" w:color="auto"/>
            </w:tcBorders>
            <w:shd w:val="clear" w:color="auto" w:fill="auto"/>
            <w:noWrap/>
            <w:vAlign w:val="center"/>
            <w:hideMark/>
          </w:tcPr>
          <w:p w14:paraId="1576D82F"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136 - TRANSFERÊNCIAS CONSTITUCIONAIS A MUNICÍPIOS</w:t>
            </w:r>
          </w:p>
        </w:tc>
        <w:tc>
          <w:tcPr>
            <w:tcW w:w="993" w:type="dxa"/>
            <w:tcBorders>
              <w:top w:val="nil"/>
              <w:left w:val="nil"/>
              <w:bottom w:val="nil"/>
              <w:right w:val="single" w:sz="8" w:space="0" w:color="auto"/>
            </w:tcBorders>
            <w:shd w:val="clear" w:color="auto" w:fill="auto"/>
            <w:vAlign w:val="center"/>
            <w:hideMark/>
          </w:tcPr>
          <w:p w14:paraId="0B504E61"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BFI.G540</w:t>
            </w:r>
          </w:p>
        </w:tc>
        <w:tc>
          <w:tcPr>
            <w:tcW w:w="992" w:type="dxa"/>
            <w:tcBorders>
              <w:top w:val="nil"/>
              <w:left w:val="nil"/>
              <w:bottom w:val="nil"/>
              <w:right w:val="single" w:sz="8" w:space="0" w:color="auto"/>
            </w:tcBorders>
            <w:shd w:val="clear" w:color="auto" w:fill="auto"/>
            <w:vAlign w:val="center"/>
            <w:hideMark/>
          </w:tcPr>
          <w:p w14:paraId="22DBA7C5"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BFI.H540</w:t>
            </w:r>
          </w:p>
        </w:tc>
      </w:tr>
      <w:tr w:rsidR="00D74061" w:rsidRPr="00D73956" w14:paraId="0683AEB5"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645F14D5"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138 - FUNDAP</w:t>
            </w:r>
          </w:p>
        </w:tc>
        <w:tc>
          <w:tcPr>
            <w:tcW w:w="993" w:type="dxa"/>
            <w:tcBorders>
              <w:top w:val="nil"/>
              <w:left w:val="nil"/>
              <w:bottom w:val="nil"/>
              <w:right w:val="single" w:sz="8" w:space="0" w:color="auto"/>
            </w:tcBorders>
            <w:shd w:val="clear" w:color="auto" w:fill="auto"/>
            <w:vAlign w:val="center"/>
            <w:hideMark/>
          </w:tcPr>
          <w:p w14:paraId="2EAF1A27"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BFI.C541</w:t>
            </w:r>
          </w:p>
        </w:tc>
        <w:tc>
          <w:tcPr>
            <w:tcW w:w="992" w:type="dxa"/>
            <w:tcBorders>
              <w:top w:val="nil"/>
              <w:left w:val="nil"/>
              <w:bottom w:val="nil"/>
              <w:right w:val="single" w:sz="8" w:space="0" w:color="auto"/>
            </w:tcBorders>
            <w:shd w:val="clear" w:color="auto" w:fill="auto"/>
            <w:vAlign w:val="center"/>
            <w:hideMark/>
          </w:tcPr>
          <w:p w14:paraId="0E8B1DCB"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BFI.D541</w:t>
            </w:r>
          </w:p>
        </w:tc>
        <w:tc>
          <w:tcPr>
            <w:tcW w:w="5103" w:type="dxa"/>
            <w:tcBorders>
              <w:top w:val="nil"/>
              <w:left w:val="nil"/>
              <w:bottom w:val="nil"/>
              <w:right w:val="single" w:sz="8" w:space="0" w:color="auto"/>
            </w:tcBorders>
            <w:shd w:val="clear" w:color="auto" w:fill="auto"/>
            <w:noWrap/>
            <w:vAlign w:val="center"/>
            <w:hideMark/>
          </w:tcPr>
          <w:p w14:paraId="0A029D23"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138 - FUNDAP</w:t>
            </w:r>
          </w:p>
        </w:tc>
        <w:tc>
          <w:tcPr>
            <w:tcW w:w="993" w:type="dxa"/>
            <w:tcBorders>
              <w:top w:val="nil"/>
              <w:left w:val="nil"/>
              <w:bottom w:val="nil"/>
              <w:right w:val="single" w:sz="8" w:space="0" w:color="auto"/>
            </w:tcBorders>
            <w:shd w:val="clear" w:color="auto" w:fill="auto"/>
            <w:vAlign w:val="center"/>
            <w:hideMark/>
          </w:tcPr>
          <w:p w14:paraId="2152F785"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BFI.G541</w:t>
            </w:r>
          </w:p>
        </w:tc>
        <w:tc>
          <w:tcPr>
            <w:tcW w:w="992" w:type="dxa"/>
            <w:tcBorders>
              <w:top w:val="nil"/>
              <w:left w:val="nil"/>
              <w:bottom w:val="nil"/>
              <w:right w:val="single" w:sz="8" w:space="0" w:color="auto"/>
            </w:tcBorders>
            <w:shd w:val="clear" w:color="auto" w:fill="auto"/>
            <w:vAlign w:val="center"/>
            <w:hideMark/>
          </w:tcPr>
          <w:p w14:paraId="06EE7ED0"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BFI.H541</w:t>
            </w:r>
          </w:p>
        </w:tc>
      </w:tr>
      <w:tr w:rsidR="00D74061" w:rsidRPr="00D73956" w14:paraId="7490F04E"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04D211A0"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139 - DOAÇÕES</w:t>
            </w:r>
          </w:p>
        </w:tc>
        <w:tc>
          <w:tcPr>
            <w:tcW w:w="993" w:type="dxa"/>
            <w:tcBorders>
              <w:top w:val="nil"/>
              <w:left w:val="nil"/>
              <w:bottom w:val="nil"/>
              <w:right w:val="single" w:sz="8" w:space="0" w:color="auto"/>
            </w:tcBorders>
            <w:shd w:val="clear" w:color="auto" w:fill="auto"/>
            <w:vAlign w:val="center"/>
            <w:hideMark/>
          </w:tcPr>
          <w:p w14:paraId="09FADFA0"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BFI.C542</w:t>
            </w:r>
          </w:p>
        </w:tc>
        <w:tc>
          <w:tcPr>
            <w:tcW w:w="992" w:type="dxa"/>
            <w:tcBorders>
              <w:top w:val="nil"/>
              <w:left w:val="nil"/>
              <w:bottom w:val="nil"/>
              <w:right w:val="single" w:sz="8" w:space="0" w:color="auto"/>
            </w:tcBorders>
            <w:shd w:val="clear" w:color="auto" w:fill="auto"/>
            <w:vAlign w:val="center"/>
            <w:hideMark/>
          </w:tcPr>
          <w:p w14:paraId="7861AEF3"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BFI.D542</w:t>
            </w:r>
          </w:p>
        </w:tc>
        <w:tc>
          <w:tcPr>
            <w:tcW w:w="5103" w:type="dxa"/>
            <w:tcBorders>
              <w:top w:val="nil"/>
              <w:left w:val="nil"/>
              <w:bottom w:val="nil"/>
              <w:right w:val="single" w:sz="8" w:space="0" w:color="auto"/>
            </w:tcBorders>
            <w:shd w:val="clear" w:color="auto" w:fill="auto"/>
            <w:noWrap/>
            <w:vAlign w:val="center"/>
            <w:hideMark/>
          </w:tcPr>
          <w:p w14:paraId="56819876"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139 - DOAÇÕES</w:t>
            </w:r>
          </w:p>
        </w:tc>
        <w:tc>
          <w:tcPr>
            <w:tcW w:w="993" w:type="dxa"/>
            <w:tcBorders>
              <w:top w:val="nil"/>
              <w:left w:val="nil"/>
              <w:bottom w:val="nil"/>
              <w:right w:val="single" w:sz="8" w:space="0" w:color="auto"/>
            </w:tcBorders>
            <w:shd w:val="clear" w:color="auto" w:fill="auto"/>
            <w:vAlign w:val="center"/>
            <w:hideMark/>
          </w:tcPr>
          <w:p w14:paraId="44C2CE31"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BFI.G542</w:t>
            </w:r>
          </w:p>
        </w:tc>
        <w:tc>
          <w:tcPr>
            <w:tcW w:w="992" w:type="dxa"/>
            <w:tcBorders>
              <w:top w:val="nil"/>
              <w:left w:val="nil"/>
              <w:bottom w:val="nil"/>
              <w:right w:val="single" w:sz="8" w:space="0" w:color="auto"/>
            </w:tcBorders>
            <w:shd w:val="clear" w:color="auto" w:fill="auto"/>
            <w:vAlign w:val="center"/>
            <w:hideMark/>
          </w:tcPr>
          <w:p w14:paraId="006D1A27"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BFI.H542</w:t>
            </w:r>
          </w:p>
        </w:tc>
      </w:tr>
      <w:tr w:rsidR="00D74061" w:rsidRPr="00D73956" w14:paraId="4AD9C197"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775FCBA2"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141 - CONVÊNIOS COM ÓRGÃOS NÃO FEDERAIS</w:t>
            </w:r>
          </w:p>
        </w:tc>
        <w:tc>
          <w:tcPr>
            <w:tcW w:w="993" w:type="dxa"/>
            <w:tcBorders>
              <w:top w:val="nil"/>
              <w:left w:val="nil"/>
              <w:bottom w:val="nil"/>
              <w:right w:val="single" w:sz="8" w:space="0" w:color="auto"/>
            </w:tcBorders>
            <w:shd w:val="clear" w:color="auto" w:fill="auto"/>
            <w:vAlign w:val="center"/>
            <w:hideMark/>
          </w:tcPr>
          <w:p w14:paraId="3113EF6D"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BFI.C543</w:t>
            </w:r>
          </w:p>
        </w:tc>
        <w:tc>
          <w:tcPr>
            <w:tcW w:w="992" w:type="dxa"/>
            <w:tcBorders>
              <w:top w:val="nil"/>
              <w:left w:val="nil"/>
              <w:bottom w:val="nil"/>
              <w:right w:val="single" w:sz="8" w:space="0" w:color="auto"/>
            </w:tcBorders>
            <w:shd w:val="clear" w:color="auto" w:fill="auto"/>
            <w:vAlign w:val="center"/>
            <w:hideMark/>
          </w:tcPr>
          <w:p w14:paraId="64D4FFE3"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BFI.D543</w:t>
            </w:r>
          </w:p>
        </w:tc>
        <w:tc>
          <w:tcPr>
            <w:tcW w:w="5103" w:type="dxa"/>
            <w:tcBorders>
              <w:top w:val="nil"/>
              <w:left w:val="nil"/>
              <w:bottom w:val="nil"/>
              <w:right w:val="single" w:sz="8" w:space="0" w:color="auto"/>
            </w:tcBorders>
            <w:shd w:val="clear" w:color="auto" w:fill="auto"/>
            <w:noWrap/>
            <w:vAlign w:val="center"/>
            <w:hideMark/>
          </w:tcPr>
          <w:p w14:paraId="5A6998C1"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141 - CONVÊNIOS COM ÓRGÃOS NÃO FEDERAIS</w:t>
            </w:r>
          </w:p>
        </w:tc>
        <w:tc>
          <w:tcPr>
            <w:tcW w:w="993" w:type="dxa"/>
            <w:tcBorders>
              <w:top w:val="nil"/>
              <w:left w:val="nil"/>
              <w:bottom w:val="nil"/>
              <w:right w:val="single" w:sz="8" w:space="0" w:color="auto"/>
            </w:tcBorders>
            <w:shd w:val="clear" w:color="auto" w:fill="auto"/>
            <w:vAlign w:val="center"/>
            <w:hideMark/>
          </w:tcPr>
          <w:p w14:paraId="20161688"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BFI.G543</w:t>
            </w:r>
          </w:p>
        </w:tc>
        <w:tc>
          <w:tcPr>
            <w:tcW w:w="992" w:type="dxa"/>
            <w:tcBorders>
              <w:top w:val="nil"/>
              <w:left w:val="nil"/>
              <w:bottom w:val="nil"/>
              <w:right w:val="single" w:sz="8" w:space="0" w:color="auto"/>
            </w:tcBorders>
            <w:shd w:val="clear" w:color="auto" w:fill="auto"/>
            <w:vAlign w:val="center"/>
            <w:hideMark/>
          </w:tcPr>
          <w:p w14:paraId="0A6B20E6"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BFI.H543</w:t>
            </w:r>
          </w:p>
        </w:tc>
      </w:tr>
      <w:tr w:rsidR="00D74061" w:rsidRPr="00D73956" w14:paraId="0DBE30D4"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1EE493E0"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142 - OPERAÇÕES DE CRÉDITO INTERNAS</w:t>
            </w:r>
          </w:p>
        </w:tc>
        <w:tc>
          <w:tcPr>
            <w:tcW w:w="993" w:type="dxa"/>
            <w:tcBorders>
              <w:top w:val="nil"/>
              <w:left w:val="nil"/>
              <w:bottom w:val="nil"/>
              <w:right w:val="single" w:sz="8" w:space="0" w:color="auto"/>
            </w:tcBorders>
            <w:shd w:val="clear" w:color="auto" w:fill="auto"/>
            <w:vAlign w:val="center"/>
            <w:hideMark/>
          </w:tcPr>
          <w:p w14:paraId="4209BFEF"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BFI.C544</w:t>
            </w:r>
          </w:p>
        </w:tc>
        <w:tc>
          <w:tcPr>
            <w:tcW w:w="992" w:type="dxa"/>
            <w:tcBorders>
              <w:top w:val="nil"/>
              <w:left w:val="nil"/>
              <w:bottom w:val="nil"/>
              <w:right w:val="single" w:sz="8" w:space="0" w:color="auto"/>
            </w:tcBorders>
            <w:shd w:val="clear" w:color="auto" w:fill="auto"/>
            <w:vAlign w:val="center"/>
            <w:hideMark/>
          </w:tcPr>
          <w:p w14:paraId="0B14F936"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BFI.D544</w:t>
            </w:r>
          </w:p>
        </w:tc>
        <w:tc>
          <w:tcPr>
            <w:tcW w:w="5103" w:type="dxa"/>
            <w:tcBorders>
              <w:top w:val="nil"/>
              <w:left w:val="nil"/>
              <w:bottom w:val="nil"/>
              <w:right w:val="single" w:sz="8" w:space="0" w:color="auto"/>
            </w:tcBorders>
            <w:shd w:val="clear" w:color="auto" w:fill="auto"/>
            <w:noWrap/>
            <w:vAlign w:val="center"/>
            <w:hideMark/>
          </w:tcPr>
          <w:p w14:paraId="3EA947BC"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142 - OPERAÇÕES DE CRÉDITO INTERNAS</w:t>
            </w:r>
          </w:p>
        </w:tc>
        <w:tc>
          <w:tcPr>
            <w:tcW w:w="993" w:type="dxa"/>
            <w:tcBorders>
              <w:top w:val="nil"/>
              <w:left w:val="nil"/>
              <w:bottom w:val="nil"/>
              <w:right w:val="single" w:sz="8" w:space="0" w:color="auto"/>
            </w:tcBorders>
            <w:shd w:val="clear" w:color="auto" w:fill="auto"/>
            <w:vAlign w:val="center"/>
            <w:hideMark/>
          </w:tcPr>
          <w:p w14:paraId="7F31DD32"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BFI.G544</w:t>
            </w:r>
          </w:p>
        </w:tc>
        <w:tc>
          <w:tcPr>
            <w:tcW w:w="992" w:type="dxa"/>
            <w:tcBorders>
              <w:top w:val="nil"/>
              <w:left w:val="nil"/>
              <w:bottom w:val="nil"/>
              <w:right w:val="single" w:sz="8" w:space="0" w:color="auto"/>
            </w:tcBorders>
            <w:shd w:val="clear" w:color="auto" w:fill="auto"/>
            <w:vAlign w:val="center"/>
            <w:hideMark/>
          </w:tcPr>
          <w:p w14:paraId="36FFC891"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BFI.H544</w:t>
            </w:r>
          </w:p>
        </w:tc>
      </w:tr>
      <w:tr w:rsidR="00D74061" w:rsidRPr="00D73956" w14:paraId="57AA803B"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5463F9CD"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143 - OPERAÇÕES DE CRÉDITO EXTERNAS</w:t>
            </w:r>
          </w:p>
        </w:tc>
        <w:tc>
          <w:tcPr>
            <w:tcW w:w="993" w:type="dxa"/>
            <w:tcBorders>
              <w:top w:val="nil"/>
              <w:left w:val="nil"/>
              <w:bottom w:val="nil"/>
              <w:right w:val="single" w:sz="8" w:space="0" w:color="auto"/>
            </w:tcBorders>
            <w:shd w:val="clear" w:color="auto" w:fill="auto"/>
            <w:vAlign w:val="center"/>
            <w:hideMark/>
          </w:tcPr>
          <w:p w14:paraId="1A72FD93"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BFI.C545</w:t>
            </w:r>
          </w:p>
        </w:tc>
        <w:tc>
          <w:tcPr>
            <w:tcW w:w="992" w:type="dxa"/>
            <w:tcBorders>
              <w:top w:val="nil"/>
              <w:left w:val="nil"/>
              <w:bottom w:val="nil"/>
              <w:right w:val="single" w:sz="8" w:space="0" w:color="auto"/>
            </w:tcBorders>
            <w:shd w:val="clear" w:color="auto" w:fill="auto"/>
            <w:vAlign w:val="center"/>
            <w:hideMark/>
          </w:tcPr>
          <w:p w14:paraId="4876AA8C"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BFI.D545</w:t>
            </w:r>
          </w:p>
        </w:tc>
        <w:tc>
          <w:tcPr>
            <w:tcW w:w="5103" w:type="dxa"/>
            <w:tcBorders>
              <w:top w:val="nil"/>
              <w:left w:val="nil"/>
              <w:bottom w:val="nil"/>
              <w:right w:val="single" w:sz="8" w:space="0" w:color="auto"/>
            </w:tcBorders>
            <w:shd w:val="clear" w:color="auto" w:fill="auto"/>
            <w:noWrap/>
            <w:vAlign w:val="center"/>
            <w:hideMark/>
          </w:tcPr>
          <w:p w14:paraId="0B7994E7"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143 - OPERAÇÕES DE CRÉDITO EXTERNAS</w:t>
            </w:r>
          </w:p>
        </w:tc>
        <w:tc>
          <w:tcPr>
            <w:tcW w:w="993" w:type="dxa"/>
            <w:tcBorders>
              <w:top w:val="nil"/>
              <w:left w:val="nil"/>
              <w:bottom w:val="nil"/>
              <w:right w:val="single" w:sz="8" w:space="0" w:color="auto"/>
            </w:tcBorders>
            <w:shd w:val="clear" w:color="auto" w:fill="auto"/>
            <w:vAlign w:val="center"/>
            <w:hideMark/>
          </w:tcPr>
          <w:p w14:paraId="525225CD"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BFI.G545</w:t>
            </w:r>
          </w:p>
        </w:tc>
        <w:tc>
          <w:tcPr>
            <w:tcW w:w="992" w:type="dxa"/>
            <w:tcBorders>
              <w:top w:val="nil"/>
              <w:left w:val="nil"/>
              <w:bottom w:val="nil"/>
              <w:right w:val="single" w:sz="8" w:space="0" w:color="auto"/>
            </w:tcBorders>
            <w:shd w:val="clear" w:color="auto" w:fill="auto"/>
            <w:vAlign w:val="center"/>
            <w:hideMark/>
          </w:tcPr>
          <w:p w14:paraId="3481190B"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BFI.H545</w:t>
            </w:r>
          </w:p>
        </w:tc>
      </w:tr>
      <w:tr w:rsidR="00D74061" w:rsidRPr="00D73956" w14:paraId="3E05AB1C"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43062AFB"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144 - TRANSFERÊNCIAS A MUNICÍPIOS - CIDE</w:t>
            </w:r>
          </w:p>
        </w:tc>
        <w:tc>
          <w:tcPr>
            <w:tcW w:w="993" w:type="dxa"/>
            <w:tcBorders>
              <w:top w:val="nil"/>
              <w:left w:val="nil"/>
              <w:bottom w:val="nil"/>
              <w:right w:val="single" w:sz="8" w:space="0" w:color="auto"/>
            </w:tcBorders>
            <w:shd w:val="clear" w:color="auto" w:fill="auto"/>
            <w:vAlign w:val="center"/>
            <w:hideMark/>
          </w:tcPr>
          <w:p w14:paraId="5EABA6F7"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BFI.C546</w:t>
            </w:r>
          </w:p>
        </w:tc>
        <w:tc>
          <w:tcPr>
            <w:tcW w:w="992" w:type="dxa"/>
            <w:tcBorders>
              <w:top w:val="nil"/>
              <w:left w:val="nil"/>
              <w:bottom w:val="nil"/>
              <w:right w:val="single" w:sz="8" w:space="0" w:color="auto"/>
            </w:tcBorders>
            <w:shd w:val="clear" w:color="auto" w:fill="auto"/>
            <w:vAlign w:val="center"/>
            <w:hideMark/>
          </w:tcPr>
          <w:p w14:paraId="7A312C04"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BFI.D546</w:t>
            </w:r>
          </w:p>
        </w:tc>
        <w:tc>
          <w:tcPr>
            <w:tcW w:w="5103" w:type="dxa"/>
            <w:tcBorders>
              <w:top w:val="nil"/>
              <w:left w:val="nil"/>
              <w:bottom w:val="nil"/>
              <w:right w:val="single" w:sz="8" w:space="0" w:color="auto"/>
            </w:tcBorders>
            <w:shd w:val="clear" w:color="auto" w:fill="auto"/>
            <w:noWrap/>
            <w:vAlign w:val="center"/>
            <w:hideMark/>
          </w:tcPr>
          <w:p w14:paraId="4B7290EF"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144 - TRANSFERÊNCIAS A MUNICÍPIOS - CIDE</w:t>
            </w:r>
          </w:p>
        </w:tc>
        <w:tc>
          <w:tcPr>
            <w:tcW w:w="993" w:type="dxa"/>
            <w:tcBorders>
              <w:top w:val="nil"/>
              <w:left w:val="nil"/>
              <w:bottom w:val="nil"/>
              <w:right w:val="single" w:sz="8" w:space="0" w:color="auto"/>
            </w:tcBorders>
            <w:shd w:val="clear" w:color="auto" w:fill="auto"/>
            <w:vAlign w:val="center"/>
            <w:hideMark/>
          </w:tcPr>
          <w:p w14:paraId="052F07DB"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BFI.G546</w:t>
            </w:r>
          </w:p>
        </w:tc>
        <w:tc>
          <w:tcPr>
            <w:tcW w:w="992" w:type="dxa"/>
            <w:tcBorders>
              <w:top w:val="nil"/>
              <w:left w:val="nil"/>
              <w:bottom w:val="nil"/>
              <w:right w:val="single" w:sz="8" w:space="0" w:color="auto"/>
            </w:tcBorders>
            <w:shd w:val="clear" w:color="auto" w:fill="auto"/>
            <w:vAlign w:val="center"/>
            <w:hideMark/>
          </w:tcPr>
          <w:p w14:paraId="784D06AA"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BFI.H546</w:t>
            </w:r>
          </w:p>
        </w:tc>
      </w:tr>
      <w:tr w:rsidR="00D74061" w:rsidRPr="00D73956" w14:paraId="5F2F4DC9"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7A8214AE"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150 - PACTO NACIONAL PELA GESTÃO DAS ÁGUAS – PROGESTÃO</w:t>
            </w:r>
          </w:p>
        </w:tc>
        <w:tc>
          <w:tcPr>
            <w:tcW w:w="993" w:type="dxa"/>
            <w:tcBorders>
              <w:top w:val="nil"/>
              <w:left w:val="nil"/>
              <w:bottom w:val="nil"/>
              <w:right w:val="single" w:sz="8" w:space="0" w:color="auto"/>
            </w:tcBorders>
            <w:shd w:val="clear" w:color="auto" w:fill="auto"/>
            <w:vAlign w:val="center"/>
            <w:hideMark/>
          </w:tcPr>
          <w:p w14:paraId="6B604A4C"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BFI.C547</w:t>
            </w:r>
          </w:p>
        </w:tc>
        <w:tc>
          <w:tcPr>
            <w:tcW w:w="992" w:type="dxa"/>
            <w:tcBorders>
              <w:top w:val="nil"/>
              <w:left w:val="nil"/>
              <w:bottom w:val="nil"/>
              <w:right w:val="single" w:sz="8" w:space="0" w:color="auto"/>
            </w:tcBorders>
            <w:shd w:val="clear" w:color="auto" w:fill="auto"/>
            <w:vAlign w:val="center"/>
            <w:hideMark/>
          </w:tcPr>
          <w:p w14:paraId="680F45CF"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BFI.D547</w:t>
            </w:r>
          </w:p>
        </w:tc>
        <w:tc>
          <w:tcPr>
            <w:tcW w:w="5103" w:type="dxa"/>
            <w:tcBorders>
              <w:top w:val="nil"/>
              <w:left w:val="nil"/>
              <w:bottom w:val="nil"/>
              <w:right w:val="single" w:sz="8" w:space="0" w:color="auto"/>
            </w:tcBorders>
            <w:shd w:val="clear" w:color="auto" w:fill="auto"/>
            <w:noWrap/>
            <w:vAlign w:val="center"/>
            <w:hideMark/>
          </w:tcPr>
          <w:p w14:paraId="2CF60E50"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150 - PACTO NACIONAL PELA GESTÃO DAS ÁGUAS – PROGESTÃO</w:t>
            </w:r>
          </w:p>
        </w:tc>
        <w:tc>
          <w:tcPr>
            <w:tcW w:w="993" w:type="dxa"/>
            <w:tcBorders>
              <w:top w:val="nil"/>
              <w:left w:val="nil"/>
              <w:bottom w:val="nil"/>
              <w:right w:val="single" w:sz="8" w:space="0" w:color="auto"/>
            </w:tcBorders>
            <w:shd w:val="clear" w:color="auto" w:fill="auto"/>
            <w:vAlign w:val="center"/>
            <w:hideMark/>
          </w:tcPr>
          <w:p w14:paraId="768FCD0E"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BFI.G547</w:t>
            </w:r>
          </w:p>
        </w:tc>
        <w:tc>
          <w:tcPr>
            <w:tcW w:w="992" w:type="dxa"/>
            <w:tcBorders>
              <w:top w:val="nil"/>
              <w:left w:val="nil"/>
              <w:bottom w:val="nil"/>
              <w:right w:val="single" w:sz="8" w:space="0" w:color="auto"/>
            </w:tcBorders>
            <w:shd w:val="clear" w:color="auto" w:fill="auto"/>
            <w:vAlign w:val="center"/>
            <w:hideMark/>
          </w:tcPr>
          <w:p w14:paraId="05BA828F"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BFI.H547</w:t>
            </w:r>
          </w:p>
        </w:tc>
      </w:tr>
      <w:tr w:rsidR="00D74061" w:rsidRPr="00D73956" w14:paraId="1AFD00C0"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34C80DCF"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154 - CONTRIBUIÇÃO DE INTERVENÇÃO NO DOMÍNIO ECONÔMICO</w:t>
            </w:r>
          </w:p>
        </w:tc>
        <w:tc>
          <w:tcPr>
            <w:tcW w:w="993" w:type="dxa"/>
            <w:tcBorders>
              <w:top w:val="nil"/>
              <w:left w:val="nil"/>
              <w:bottom w:val="nil"/>
              <w:right w:val="single" w:sz="8" w:space="0" w:color="auto"/>
            </w:tcBorders>
            <w:shd w:val="clear" w:color="auto" w:fill="auto"/>
            <w:vAlign w:val="center"/>
            <w:hideMark/>
          </w:tcPr>
          <w:p w14:paraId="79C6865A"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BFI.C548</w:t>
            </w:r>
          </w:p>
        </w:tc>
        <w:tc>
          <w:tcPr>
            <w:tcW w:w="992" w:type="dxa"/>
            <w:tcBorders>
              <w:top w:val="nil"/>
              <w:left w:val="nil"/>
              <w:bottom w:val="nil"/>
              <w:right w:val="single" w:sz="8" w:space="0" w:color="auto"/>
            </w:tcBorders>
            <w:shd w:val="clear" w:color="auto" w:fill="auto"/>
            <w:vAlign w:val="center"/>
            <w:hideMark/>
          </w:tcPr>
          <w:p w14:paraId="501D27D3"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BFI.D548</w:t>
            </w:r>
          </w:p>
        </w:tc>
        <w:tc>
          <w:tcPr>
            <w:tcW w:w="5103" w:type="dxa"/>
            <w:tcBorders>
              <w:top w:val="nil"/>
              <w:left w:val="nil"/>
              <w:bottom w:val="nil"/>
              <w:right w:val="single" w:sz="8" w:space="0" w:color="auto"/>
            </w:tcBorders>
            <w:shd w:val="clear" w:color="auto" w:fill="auto"/>
            <w:noWrap/>
            <w:vAlign w:val="center"/>
            <w:hideMark/>
          </w:tcPr>
          <w:p w14:paraId="098DB0AF"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154 - CONTRIBUIÇÃO DE INTERVENÇÃO NO DOMÍNIO ECONÔMICO</w:t>
            </w:r>
          </w:p>
        </w:tc>
        <w:tc>
          <w:tcPr>
            <w:tcW w:w="993" w:type="dxa"/>
            <w:tcBorders>
              <w:top w:val="nil"/>
              <w:left w:val="nil"/>
              <w:bottom w:val="nil"/>
              <w:right w:val="single" w:sz="8" w:space="0" w:color="auto"/>
            </w:tcBorders>
            <w:shd w:val="clear" w:color="auto" w:fill="auto"/>
            <w:vAlign w:val="center"/>
            <w:hideMark/>
          </w:tcPr>
          <w:p w14:paraId="1BBFD3B0"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BFI.G548</w:t>
            </w:r>
          </w:p>
        </w:tc>
        <w:tc>
          <w:tcPr>
            <w:tcW w:w="992" w:type="dxa"/>
            <w:tcBorders>
              <w:top w:val="nil"/>
              <w:left w:val="nil"/>
              <w:bottom w:val="nil"/>
              <w:right w:val="single" w:sz="8" w:space="0" w:color="auto"/>
            </w:tcBorders>
            <w:shd w:val="clear" w:color="auto" w:fill="auto"/>
            <w:vAlign w:val="center"/>
            <w:hideMark/>
          </w:tcPr>
          <w:p w14:paraId="2928BD90"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BFI.H548</w:t>
            </w:r>
          </w:p>
        </w:tc>
      </w:tr>
      <w:tr w:rsidR="00D74061" w:rsidRPr="00D73956" w14:paraId="5F4AD355"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77128B81"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157 - INCENTIVO SUAS - UNIÃO</w:t>
            </w:r>
          </w:p>
        </w:tc>
        <w:tc>
          <w:tcPr>
            <w:tcW w:w="993" w:type="dxa"/>
            <w:tcBorders>
              <w:top w:val="nil"/>
              <w:left w:val="nil"/>
              <w:bottom w:val="nil"/>
              <w:right w:val="single" w:sz="8" w:space="0" w:color="auto"/>
            </w:tcBorders>
            <w:shd w:val="clear" w:color="auto" w:fill="auto"/>
            <w:vAlign w:val="center"/>
            <w:hideMark/>
          </w:tcPr>
          <w:p w14:paraId="1D7ED830"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BFI.C549</w:t>
            </w:r>
          </w:p>
        </w:tc>
        <w:tc>
          <w:tcPr>
            <w:tcW w:w="992" w:type="dxa"/>
            <w:tcBorders>
              <w:top w:val="nil"/>
              <w:left w:val="nil"/>
              <w:bottom w:val="nil"/>
              <w:right w:val="single" w:sz="8" w:space="0" w:color="auto"/>
            </w:tcBorders>
            <w:shd w:val="clear" w:color="auto" w:fill="auto"/>
            <w:vAlign w:val="center"/>
            <w:hideMark/>
          </w:tcPr>
          <w:p w14:paraId="26387AE3"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BFI.D549</w:t>
            </w:r>
          </w:p>
        </w:tc>
        <w:tc>
          <w:tcPr>
            <w:tcW w:w="5103" w:type="dxa"/>
            <w:tcBorders>
              <w:top w:val="nil"/>
              <w:left w:val="nil"/>
              <w:bottom w:val="nil"/>
              <w:right w:val="single" w:sz="8" w:space="0" w:color="auto"/>
            </w:tcBorders>
            <w:shd w:val="clear" w:color="auto" w:fill="auto"/>
            <w:noWrap/>
            <w:vAlign w:val="center"/>
            <w:hideMark/>
          </w:tcPr>
          <w:p w14:paraId="5FCF1AF3"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157 - INCENTIVO SUAS - UNIÃO</w:t>
            </w:r>
          </w:p>
        </w:tc>
        <w:tc>
          <w:tcPr>
            <w:tcW w:w="993" w:type="dxa"/>
            <w:tcBorders>
              <w:top w:val="nil"/>
              <w:left w:val="nil"/>
              <w:bottom w:val="nil"/>
              <w:right w:val="single" w:sz="8" w:space="0" w:color="auto"/>
            </w:tcBorders>
            <w:shd w:val="clear" w:color="auto" w:fill="auto"/>
            <w:vAlign w:val="center"/>
            <w:hideMark/>
          </w:tcPr>
          <w:p w14:paraId="2749B6DE"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BFI.G549</w:t>
            </w:r>
          </w:p>
        </w:tc>
        <w:tc>
          <w:tcPr>
            <w:tcW w:w="992" w:type="dxa"/>
            <w:tcBorders>
              <w:top w:val="nil"/>
              <w:left w:val="nil"/>
              <w:bottom w:val="nil"/>
              <w:right w:val="single" w:sz="8" w:space="0" w:color="auto"/>
            </w:tcBorders>
            <w:shd w:val="clear" w:color="auto" w:fill="auto"/>
            <w:vAlign w:val="center"/>
            <w:hideMark/>
          </w:tcPr>
          <w:p w14:paraId="51F92D47"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BFI.H549</w:t>
            </w:r>
          </w:p>
        </w:tc>
      </w:tr>
      <w:tr w:rsidR="00D74061" w:rsidRPr="00D73956" w14:paraId="1F9E0E15"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549A5C36"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158 - TRANSFERÊNCIAS A MUNICÍPIOS - LEI PELÉ</w:t>
            </w:r>
          </w:p>
        </w:tc>
        <w:tc>
          <w:tcPr>
            <w:tcW w:w="993" w:type="dxa"/>
            <w:tcBorders>
              <w:top w:val="nil"/>
              <w:left w:val="nil"/>
              <w:bottom w:val="nil"/>
              <w:right w:val="single" w:sz="8" w:space="0" w:color="auto"/>
            </w:tcBorders>
            <w:shd w:val="clear" w:color="auto" w:fill="auto"/>
            <w:vAlign w:val="center"/>
            <w:hideMark/>
          </w:tcPr>
          <w:p w14:paraId="40D078E1"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BFI.C550</w:t>
            </w:r>
          </w:p>
        </w:tc>
        <w:tc>
          <w:tcPr>
            <w:tcW w:w="992" w:type="dxa"/>
            <w:tcBorders>
              <w:top w:val="nil"/>
              <w:left w:val="nil"/>
              <w:bottom w:val="nil"/>
              <w:right w:val="single" w:sz="8" w:space="0" w:color="auto"/>
            </w:tcBorders>
            <w:shd w:val="clear" w:color="auto" w:fill="auto"/>
            <w:vAlign w:val="center"/>
            <w:hideMark/>
          </w:tcPr>
          <w:p w14:paraId="18BA33D8"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BFI.D550</w:t>
            </w:r>
          </w:p>
        </w:tc>
        <w:tc>
          <w:tcPr>
            <w:tcW w:w="5103" w:type="dxa"/>
            <w:tcBorders>
              <w:top w:val="nil"/>
              <w:left w:val="nil"/>
              <w:bottom w:val="nil"/>
              <w:right w:val="single" w:sz="8" w:space="0" w:color="auto"/>
            </w:tcBorders>
            <w:shd w:val="clear" w:color="auto" w:fill="auto"/>
            <w:noWrap/>
            <w:vAlign w:val="center"/>
            <w:hideMark/>
          </w:tcPr>
          <w:p w14:paraId="3A63B2B8"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158 - TRANSFERÊNCIAS A MUNICÍPIOS - LEI PELÉ</w:t>
            </w:r>
          </w:p>
        </w:tc>
        <w:tc>
          <w:tcPr>
            <w:tcW w:w="993" w:type="dxa"/>
            <w:tcBorders>
              <w:top w:val="nil"/>
              <w:left w:val="nil"/>
              <w:bottom w:val="nil"/>
              <w:right w:val="single" w:sz="8" w:space="0" w:color="auto"/>
            </w:tcBorders>
            <w:shd w:val="clear" w:color="auto" w:fill="auto"/>
            <w:vAlign w:val="center"/>
            <w:hideMark/>
          </w:tcPr>
          <w:p w14:paraId="1DCC211A"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BFI.G550</w:t>
            </w:r>
          </w:p>
        </w:tc>
        <w:tc>
          <w:tcPr>
            <w:tcW w:w="992" w:type="dxa"/>
            <w:tcBorders>
              <w:top w:val="nil"/>
              <w:left w:val="nil"/>
              <w:bottom w:val="nil"/>
              <w:right w:val="single" w:sz="8" w:space="0" w:color="auto"/>
            </w:tcBorders>
            <w:shd w:val="clear" w:color="auto" w:fill="auto"/>
            <w:vAlign w:val="center"/>
            <w:hideMark/>
          </w:tcPr>
          <w:p w14:paraId="3B1E9745"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BFI.H550</w:t>
            </w:r>
          </w:p>
        </w:tc>
      </w:tr>
      <w:tr w:rsidR="00D74061" w:rsidRPr="00D73956" w14:paraId="545D3614"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0D8EF135"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159 - TRANSFERÊNCIAS FINANCEIRAS A FUNDOS</w:t>
            </w:r>
          </w:p>
        </w:tc>
        <w:tc>
          <w:tcPr>
            <w:tcW w:w="993" w:type="dxa"/>
            <w:tcBorders>
              <w:top w:val="nil"/>
              <w:left w:val="nil"/>
              <w:bottom w:val="nil"/>
              <w:right w:val="single" w:sz="8" w:space="0" w:color="auto"/>
            </w:tcBorders>
            <w:shd w:val="clear" w:color="auto" w:fill="auto"/>
            <w:vAlign w:val="center"/>
            <w:hideMark/>
          </w:tcPr>
          <w:p w14:paraId="3FC82CDC"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BFI.C551</w:t>
            </w:r>
          </w:p>
        </w:tc>
        <w:tc>
          <w:tcPr>
            <w:tcW w:w="992" w:type="dxa"/>
            <w:tcBorders>
              <w:top w:val="nil"/>
              <w:left w:val="nil"/>
              <w:bottom w:val="nil"/>
              <w:right w:val="single" w:sz="8" w:space="0" w:color="auto"/>
            </w:tcBorders>
            <w:shd w:val="clear" w:color="auto" w:fill="auto"/>
            <w:vAlign w:val="center"/>
            <w:hideMark/>
          </w:tcPr>
          <w:p w14:paraId="7D6DCD02"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BFI.D551</w:t>
            </w:r>
          </w:p>
        </w:tc>
        <w:tc>
          <w:tcPr>
            <w:tcW w:w="5103" w:type="dxa"/>
            <w:tcBorders>
              <w:top w:val="nil"/>
              <w:left w:val="nil"/>
              <w:bottom w:val="nil"/>
              <w:right w:val="single" w:sz="8" w:space="0" w:color="auto"/>
            </w:tcBorders>
            <w:shd w:val="clear" w:color="auto" w:fill="auto"/>
            <w:noWrap/>
            <w:vAlign w:val="center"/>
            <w:hideMark/>
          </w:tcPr>
          <w:p w14:paraId="785EC4CD"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159 - TRANSFERÊNCIAS FINANCEIRAS A FUNDOS</w:t>
            </w:r>
          </w:p>
        </w:tc>
        <w:tc>
          <w:tcPr>
            <w:tcW w:w="993" w:type="dxa"/>
            <w:tcBorders>
              <w:top w:val="nil"/>
              <w:left w:val="nil"/>
              <w:bottom w:val="nil"/>
              <w:right w:val="single" w:sz="8" w:space="0" w:color="auto"/>
            </w:tcBorders>
            <w:shd w:val="clear" w:color="auto" w:fill="auto"/>
            <w:vAlign w:val="center"/>
            <w:hideMark/>
          </w:tcPr>
          <w:p w14:paraId="66B0EF12"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BFI.G551</w:t>
            </w:r>
          </w:p>
        </w:tc>
        <w:tc>
          <w:tcPr>
            <w:tcW w:w="992" w:type="dxa"/>
            <w:tcBorders>
              <w:top w:val="nil"/>
              <w:left w:val="nil"/>
              <w:bottom w:val="nil"/>
              <w:right w:val="single" w:sz="8" w:space="0" w:color="auto"/>
            </w:tcBorders>
            <w:shd w:val="clear" w:color="auto" w:fill="auto"/>
            <w:vAlign w:val="center"/>
            <w:hideMark/>
          </w:tcPr>
          <w:p w14:paraId="2CD07675"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BFI.H551</w:t>
            </w:r>
          </w:p>
        </w:tc>
      </w:tr>
      <w:tr w:rsidR="00D74061" w:rsidRPr="00D73956" w14:paraId="2510F208"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16F0735C"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161 - FUNDO DE COMBATE A POBREZA - FUNCOP</w:t>
            </w:r>
          </w:p>
        </w:tc>
        <w:tc>
          <w:tcPr>
            <w:tcW w:w="993" w:type="dxa"/>
            <w:tcBorders>
              <w:top w:val="nil"/>
              <w:left w:val="nil"/>
              <w:bottom w:val="nil"/>
              <w:right w:val="single" w:sz="8" w:space="0" w:color="auto"/>
            </w:tcBorders>
            <w:shd w:val="clear" w:color="auto" w:fill="auto"/>
            <w:vAlign w:val="center"/>
            <w:hideMark/>
          </w:tcPr>
          <w:p w14:paraId="21865EF3"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BFI.C552</w:t>
            </w:r>
          </w:p>
        </w:tc>
        <w:tc>
          <w:tcPr>
            <w:tcW w:w="992" w:type="dxa"/>
            <w:tcBorders>
              <w:top w:val="nil"/>
              <w:left w:val="nil"/>
              <w:bottom w:val="nil"/>
              <w:right w:val="single" w:sz="8" w:space="0" w:color="auto"/>
            </w:tcBorders>
            <w:shd w:val="clear" w:color="auto" w:fill="auto"/>
            <w:vAlign w:val="center"/>
            <w:hideMark/>
          </w:tcPr>
          <w:p w14:paraId="3AF5518A"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BFI.D552</w:t>
            </w:r>
          </w:p>
        </w:tc>
        <w:tc>
          <w:tcPr>
            <w:tcW w:w="5103" w:type="dxa"/>
            <w:tcBorders>
              <w:top w:val="nil"/>
              <w:left w:val="nil"/>
              <w:bottom w:val="nil"/>
              <w:right w:val="single" w:sz="8" w:space="0" w:color="auto"/>
            </w:tcBorders>
            <w:shd w:val="clear" w:color="auto" w:fill="auto"/>
            <w:noWrap/>
            <w:vAlign w:val="center"/>
            <w:hideMark/>
          </w:tcPr>
          <w:p w14:paraId="7045FCFD"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161 - FUNDO DE COMBATE A POBREZA - FUNCOP</w:t>
            </w:r>
          </w:p>
        </w:tc>
        <w:tc>
          <w:tcPr>
            <w:tcW w:w="993" w:type="dxa"/>
            <w:tcBorders>
              <w:top w:val="nil"/>
              <w:left w:val="nil"/>
              <w:bottom w:val="nil"/>
              <w:right w:val="single" w:sz="8" w:space="0" w:color="auto"/>
            </w:tcBorders>
            <w:shd w:val="clear" w:color="auto" w:fill="auto"/>
            <w:vAlign w:val="center"/>
            <w:hideMark/>
          </w:tcPr>
          <w:p w14:paraId="4807584A"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BFI.G552</w:t>
            </w:r>
          </w:p>
        </w:tc>
        <w:tc>
          <w:tcPr>
            <w:tcW w:w="992" w:type="dxa"/>
            <w:tcBorders>
              <w:top w:val="nil"/>
              <w:left w:val="nil"/>
              <w:bottom w:val="nil"/>
              <w:right w:val="single" w:sz="8" w:space="0" w:color="auto"/>
            </w:tcBorders>
            <w:shd w:val="clear" w:color="auto" w:fill="auto"/>
            <w:vAlign w:val="center"/>
            <w:hideMark/>
          </w:tcPr>
          <w:p w14:paraId="5CD2FBC1"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BFI.H552</w:t>
            </w:r>
          </w:p>
        </w:tc>
      </w:tr>
      <w:tr w:rsidR="00D74061" w:rsidRPr="00D73956" w14:paraId="3E88396C"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1621EB5C"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163 - RECURSOS LEI PELÉ</w:t>
            </w:r>
          </w:p>
        </w:tc>
        <w:tc>
          <w:tcPr>
            <w:tcW w:w="993" w:type="dxa"/>
            <w:tcBorders>
              <w:top w:val="nil"/>
              <w:left w:val="nil"/>
              <w:bottom w:val="nil"/>
              <w:right w:val="single" w:sz="8" w:space="0" w:color="auto"/>
            </w:tcBorders>
            <w:shd w:val="clear" w:color="auto" w:fill="auto"/>
            <w:vAlign w:val="center"/>
            <w:hideMark/>
          </w:tcPr>
          <w:p w14:paraId="2E4EE2B8"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BFI.C554</w:t>
            </w:r>
          </w:p>
        </w:tc>
        <w:tc>
          <w:tcPr>
            <w:tcW w:w="992" w:type="dxa"/>
            <w:tcBorders>
              <w:top w:val="nil"/>
              <w:left w:val="nil"/>
              <w:bottom w:val="nil"/>
              <w:right w:val="single" w:sz="8" w:space="0" w:color="auto"/>
            </w:tcBorders>
            <w:shd w:val="clear" w:color="auto" w:fill="auto"/>
            <w:vAlign w:val="center"/>
            <w:hideMark/>
          </w:tcPr>
          <w:p w14:paraId="235C6C76"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BFI.D554</w:t>
            </w:r>
          </w:p>
        </w:tc>
        <w:tc>
          <w:tcPr>
            <w:tcW w:w="5103" w:type="dxa"/>
            <w:tcBorders>
              <w:top w:val="nil"/>
              <w:left w:val="nil"/>
              <w:bottom w:val="nil"/>
              <w:right w:val="single" w:sz="8" w:space="0" w:color="auto"/>
            </w:tcBorders>
            <w:shd w:val="clear" w:color="auto" w:fill="auto"/>
            <w:noWrap/>
            <w:vAlign w:val="center"/>
            <w:hideMark/>
          </w:tcPr>
          <w:p w14:paraId="2BB9A683"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163 - RECURSOS LEI PELÉ</w:t>
            </w:r>
          </w:p>
        </w:tc>
        <w:tc>
          <w:tcPr>
            <w:tcW w:w="993" w:type="dxa"/>
            <w:tcBorders>
              <w:top w:val="nil"/>
              <w:left w:val="nil"/>
              <w:bottom w:val="nil"/>
              <w:right w:val="single" w:sz="8" w:space="0" w:color="auto"/>
            </w:tcBorders>
            <w:shd w:val="clear" w:color="auto" w:fill="auto"/>
            <w:vAlign w:val="center"/>
            <w:hideMark/>
          </w:tcPr>
          <w:p w14:paraId="0C35B98C"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BFI.G554</w:t>
            </w:r>
          </w:p>
        </w:tc>
        <w:tc>
          <w:tcPr>
            <w:tcW w:w="992" w:type="dxa"/>
            <w:tcBorders>
              <w:top w:val="nil"/>
              <w:left w:val="nil"/>
              <w:bottom w:val="nil"/>
              <w:right w:val="single" w:sz="8" w:space="0" w:color="auto"/>
            </w:tcBorders>
            <w:shd w:val="clear" w:color="auto" w:fill="auto"/>
            <w:vAlign w:val="center"/>
            <w:hideMark/>
          </w:tcPr>
          <w:p w14:paraId="041BEE0E"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BFI.H554</w:t>
            </w:r>
          </w:p>
        </w:tc>
      </w:tr>
      <w:tr w:rsidR="00D74061" w:rsidRPr="00D73956" w14:paraId="20CE0AC0"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0B0FAFC4"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164 - TRANSFERÊNCIA A MUNICÍPIOS ROYALTIES LEI 8.308/06</w:t>
            </w:r>
          </w:p>
        </w:tc>
        <w:tc>
          <w:tcPr>
            <w:tcW w:w="993" w:type="dxa"/>
            <w:tcBorders>
              <w:top w:val="nil"/>
              <w:left w:val="nil"/>
              <w:bottom w:val="nil"/>
              <w:right w:val="single" w:sz="8" w:space="0" w:color="auto"/>
            </w:tcBorders>
            <w:shd w:val="clear" w:color="auto" w:fill="auto"/>
            <w:vAlign w:val="center"/>
            <w:hideMark/>
          </w:tcPr>
          <w:p w14:paraId="73D6A946"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BFI.C555</w:t>
            </w:r>
          </w:p>
        </w:tc>
        <w:tc>
          <w:tcPr>
            <w:tcW w:w="992" w:type="dxa"/>
            <w:tcBorders>
              <w:top w:val="nil"/>
              <w:left w:val="nil"/>
              <w:bottom w:val="nil"/>
              <w:right w:val="single" w:sz="8" w:space="0" w:color="auto"/>
            </w:tcBorders>
            <w:shd w:val="clear" w:color="auto" w:fill="auto"/>
            <w:vAlign w:val="center"/>
            <w:hideMark/>
          </w:tcPr>
          <w:p w14:paraId="0D28CFAE"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BFI.D555</w:t>
            </w:r>
          </w:p>
        </w:tc>
        <w:tc>
          <w:tcPr>
            <w:tcW w:w="5103" w:type="dxa"/>
            <w:tcBorders>
              <w:top w:val="nil"/>
              <w:left w:val="nil"/>
              <w:bottom w:val="nil"/>
              <w:right w:val="single" w:sz="8" w:space="0" w:color="auto"/>
            </w:tcBorders>
            <w:shd w:val="clear" w:color="auto" w:fill="auto"/>
            <w:noWrap/>
            <w:vAlign w:val="center"/>
            <w:hideMark/>
          </w:tcPr>
          <w:p w14:paraId="71B3F364"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164 - TRANSFERÊNCIA A MUNICÍPIOS ROYALTIES LEI 8.308/06</w:t>
            </w:r>
          </w:p>
        </w:tc>
        <w:tc>
          <w:tcPr>
            <w:tcW w:w="993" w:type="dxa"/>
            <w:tcBorders>
              <w:top w:val="nil"/>
              <w:left w:val="nil"/>
              <w:bottom w:val="nil"/>
              <w:right w:val="single" w:sz="8" w:space="0" w:color="auto"/>
            </w:tcBorders>
            <w:shd w:val="clear" w:color="auto" w:fill="auto"/>
            <w:vAlign w:val="center"/>
            <w:hideMark/>
          </w:tcPr>
          <w:p w14:paraId="1F8D317A"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BFI.G555</w:t>
            </w:r>
          </w:p>
        </w:tc>
        <w:tc>
          <w:tcPr>
            <w:tcW w:w="992" w:type="dxa"/>
            <w:tcBorders>
              <w:top w:val="nil"/>
              <w:left w:val="nil"/>
              <w:bottom w:val="nil"/>
              <w:right w:val="single" w:sz="8" w:space="0" w:color="auto"/>
            </w:tcBorders>
            <w:shd w:val="clear" w:color="auto" w:fill="auto"/>
            <w:vAlign w:val="center"/>
            <w:hideMark/>
          </w:tcPr>
          <w:p w14:paraId="06AFC966"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BFI.H555</w:t>
            </w:r>
          </w:p>
        </w:tc>
      </w:tr>
      <w:tr w:rsidR="00D74061" w:rsidRPr="00D73956" w14:paraId="3D23AB4F"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1B7F202C"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166 - PLANO DE AÇÕES ARTICULADAS - PAR</w:t>
            </w:r>
          </w:p>
        </w:tc>
        <w:tc>
          <w:tcPr>
            <w:tcW w:w="993" w:type="dxa"/>
            <w:tcBorders>
              <w:top w:val="nil"/>
              <w:left w:val="nil"/>
              <w:bottom w:val="nil"/>
              <w:right w:val="single" w:sz="8" w:space="0" w:color="auto"/>
            </w:tcBorders>
            <w:shd w:val="clear" w:color="auto" w:fill="auto"/>
            <w:vAlign w:val="center"/>
            <w:hideMark/>
          </w:tcPr>
          <w:p w14:paraId="77020934"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BFI.C556</w:t>
            </w:r>
          </w:p>
        </w:tc>
        <w:tc>
          <w:tcPr>
            <w:tcW w:w="992" w:type="dxa"/>
            <w:tcBorders>
              <w:top w:val="nil"/>
              <w:left w:val="nil"/>
              <w:bottom w:val="nil"/>
              <w:right w:val="single" w:sz="8" w:space="0" w:color="auto"/>
            </w:tcBorders>
            <w:shd w:val="clear" w:color="auto" w:fill="auto"/>
            <w:vAlign w:val="center"/>
            <w:hideMark/>
          </w:tcPr>
          <w:p w14:paraId="24280C33"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BFI.D556</w:t>
            </w:r>
          </w:p>
        </w:tc>
        <w:tc>
          <w:tcPr>
            <w:tcW w:w="5103" w:type="dxa"/>
            <w:tcBorders>
              <w:top w:val="nil"/>
              <w:left w:val="nil"/>
              <w:bottom w:val="nil"/>
              <w:right w:val="single" w:sz="8" w:space="0" w:color="auto"/>
            </w:tcBorders>
            <w:shd w:val="clear" w:color="auto" w:fill="auto"/>
            <w:noWrap/>
            <w:vAlign w:val="center"/>
            <w:hideMark/>
          </w:tcPr>
          <w:p w14:paraId="2F68C131"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166 - PLANO DE AÇÕES ARTICULADAS - PAR</w:t>
            </w:r>
          </w:p>
        </w:tc>
        <w:tc>
          <w:tcPr>
            <w:tcW w:w="993" w:type="dxa"/>
            <w:tcBorders>
              <w:top w:val="nil"/>
              <w:left w:val="nil"/>
              <w:bottom w:val="nil"/>
              <w:right w:val="single" w:sz="8" w:space="0" w:color="auto"/>
            </w:tcBorders>
            <w:shd w:val="clear" w:color="auto" w:fill="auto"/>
            <w:vAlign w:val="center"/>
            <w:hideMark/>
          </w:tcPr>
          <w:p w14:paraId="60C84546"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BFI.G556</w:t>
            </w:r>
          </w:p>
        </w:tc>
        <w:tc>
          <w:tcPr>
            <w:tcW w:w="992" w:type="dxa"/>
            <w:tcBorders>
              <w:top w:val="nil"/>
              <w:left w:val="nil"/>
              <w:bottom w:val="nil"/>
              <w:right w:val="single" w:sz="8" w:space="0" w:color="auto"/>
            </w:tcBorders>
            <w:shd w:val="clear" w:color="auto" w:fill="auto"/>
            <w:vAlign w:val="center"/>
            <w:hideMark/>
          </w:tcPr>
          <w:p w14:paraId="7E166B6A"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BFI.H556</w:t>
            </w:r>
          </w:p>
        </w:tc>
      </w:tr>
      <w:tr w:rsidR="00D74061" w:rsidRPr="00D73956" w14:paraId="3C574354"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1C6FBB76"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167 - TRANSFERÊNCIAS OBRIGATÓRIAS PARA AÇÕES DE DEFESA CIVIL</w:t>
            </w:r>
          </w:p>
        </w:tc>
        <w:tc>
          <w:tcPr>
            <w:tcW w:w="993" w:type="dxa"/>
            <w:tcBorders>
              <w:top w:val="nil"/>
              <w:left w:val="nil"/>
              <w:bottom w:val="nil"/>
              <w:right w:val="single" w:sz="8" w:space="0" w:color="auto"/>
            </w:tcBorders>
            <w:shd w:val="clear" w:color="auto" w:fill="auto"/>
            <w:vAlign w:val="center"/>
            <w:hideMark/>
          </w:tcPr>
          <w:p w14:paraId="05775578"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BFI.C557</w:t>
            </w:r>
          </w:p>
        </w:tc>
        <w:tc>
          <w:tcPr>
            <w:tcW w:w="992" w:type="dxa"/>
            <w:tcBorders>
              <w:top w:val="nil"/>
              <w:left w:val="nil"/>
              <w:bottom w:val="nil"/>
              <w:right w:val="single" w:sz="8" w:space="0" w:color="auto"/>
            </w:tcBorders>
            <w:shd w:val="clear" w:color="auto" w:fill="auto"/>
            <w:vAlign w:val="center"/>
            <w:hideMark/>
          </w:tcPr>
          <w:p w14:paraId="4E168787"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BFI.D557</w:t>
            </w:r>
          </w:p>
        </w:tc>
        <w:tc>
          <w:tcPr>
            <w:tcW w:w="5103" w:type="dxa"/>
            <w:tcBorders>
              <w:top w:val="nil"/>
              <w:left w:val="nil"/>
              <w:bottom w:val="nil"/>
              <w:right w:val="single" w:sz="8" w:space="0" w:color="auto"/>
            </w:tcBorders>
            <w:shd w:val="clear" w:color="auto" w:fill="auto"/>
            <w:noWrap/>
            <w:vAlign w:val="center"/>
            <w:hideMark/>
          </w:tcPr>
          <w:p w14:paraId="515A22F4"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167 - TRANSFERÊNCIAS OBRIGATÓRIAS PARA AÇÕES DE DEFESA CIVIL</w:t>
            </w:r>
          </w:p>
        </w:tc>
        <w:tc>
          <w:tcPr>
            <w:tcW w:w="993" w:type="dxa"/>
            <w:tcBorders>
              <w:top w:val="nil"/>
              <w:left w:val="nil"/>
              <w:bottom w:val="nil"/>
              <w:right w:val="single" w:sz="8" w:space="0" w:color="auto"/>
            </w:tcBorders>
            <w:shd w:val="clear" w:color="auto" w:fill="auto"/>
            <w:vAlign w:val="center"/>
            <w:hideMark/>
          </w:tcPr>
          <w:p w14:paraId="09FBCD7A"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BFI.G557</w:t>
            </w:r>
          </w:p>
        </w:tc>
        <w:tc>
          <w:tcPr>
            <w:tcW w:w="992" w:type="dxa"/>
            <w:tcBorders>
              <w:top w:val="nil"/>
              <w:left w:val="nil"/>
              <w:bottom w:val="nil"/>
              <w:right w:val="single" w:sz="8" w:space="0" w:color="auto"/>
            </w:tcBorders>
            <w:shd w:val="clear" w:color="auto" w:fill="auto"/>
            <w:vAlign w:val="center"/>
            <w:hideMark/>
          </w:tcPr>
          <w:p w14:paraId="1C0664D7"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BFI.H557</w:t>
            </w:r>
          </w:p>
        </w:tc>
      </w:tr>
      <w:tr w:rsidR="00D74061" w:rsidRPr="00D73956" w14:paraId="4F58F9A9"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tcPr>
          <w:p w14:paraId="7ABEC255"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177 - TRANSFERÊNCIA ESPECIAL DA UNIÃO – EMENDAS PARLAMENTARES INDIVIDUAIS IMPOSITIVAS (Art. 166-A, I CF/88)</w:t>
            </w:r>
          </w:p>
        </w:tc>
        <w:tc>
          <w:tcPr>
            <w:tcW w:w="993" w:type="dxa"/>
            <w:tcBorders>
              <w:top w:val="nil"/>
              <w:left w:val="nil"/>
              <w:bottom w:val="nil"/>
              <w:right w:val="single" w:sz="8" w:space="0" w:color="auto"/>
            </w:tcBorders>
            <w:shd w:val="clear" w:color="auto" w:fill="auto"/>
            <w:vAlign w:val="center"/>
          </w:tcPr>
          <w:p w14:paraId="03322866"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BFI.C607</w:t>
            </w:r>
          </w:p>
        </w:tc>
        <w:tc>
          <w:tcPr>
            <w:tcW w:w="992" w:type="dxa"/>
            <w:tcBorders>
              <w:top w:val="nil"/>
              <w:left w:val="nil"/>
              <w:bottom w:val="nil"/>
              <w:right w:val="single" w:sz="8" w:space="0" w:color="auto"/>
            </w:tcBorders>
            <w:shd w:val="clear" w:color="auto" w:fill="auto"/>
            <w:vAlign w:val="center"/>
          </w:tcPr>
          <w:p w14:paraId="36448BB9"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BFI.D607</w:t>
            </w:r>
          </w:p>
        </w:tc>
        <w:tc>
          <w:tcPr>
            <w:tcW w:w="5103" w:type="dxa"/>
            <w:tcBorders>
              <w:top w:val="nil"/>
              <w:left w:val="nil"/>
              <w:bottom w:val="nil"/>
              <w:right w:val="single" w:sz="8" w:space="0" w:color="auto"/>
            </w:tcBorders>
            <w:shd w:val="clear" w:color="auto" w:fill="auto"/>
            <w:noWrap/>
            <w:vAlign w:val="center"/>
          </w:tcPr>
          <w:p w14:paraId="7EB11AA9"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177 - TRANSFERÊNCIA ESPECIAL DA UNIÃO – EMENDAS PARLAMENTARES INDIVIDUAIS IMPOSITIVAS (Art. 166-A, I CF/88)</w:t>
            </w:r>
          </w:p>
        </w:tc>
        <w:tc>
          <w:tcPr>
            <w:tcW w:w="993" w:type="dxa"/>
            <w:tcBorders>
              <w:top w:val="nil"/>
              <w:left w:val="nil"/>
              <w:bottom w:val="nil"/>
              <w:right w:val="single" w:sz="8" w:space="0" w:color="auto"/>
            </w:tcBorders>
            <w:shd w:val="clear" w:color="auto" w:fill="auto"/>
            <w:vAlign w:val="center"/>
          </w:tcPr>
          <w:p w14:paraId="6B58D029"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BFI.G607</w:t>
            </w:r>
          </w:p>
        </w:tc>
        <w:tc>
          <w:tcPr>
            <w:tcW w:w="992" w:type="dxa"/>
            <w:tcBorders>
              <w:top w:val="nil"/>
              <w:left w:val="nil"/>
              <w:bottom w:val="nil"/>
              <w:right w:val="single" w:sz="8" w:space="0" w:color="auto"/>
            </w:tcBorders>
            <w:shd w:val="clear" w:color="auto" w:fill="auto"/>
            <w:vAlign w:val="center"/>
          </w:tcPr>
          <w:p w14:paraId="49369E05" w14:textId="51493261"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w:t>
            </w:r>
            <w:r>
              <w:rPr>
                <w:rFonts w:ascii="Arial Narrow" w:eastAsia="Times New Roman" w:hAnsi="Arial Narrow" w:cs="Arial"/>
                <w:sz w:val="16"/>
                <w:szCs w:val="16"/>
                <w:lang w:eastAsia="pt-BR"/>
              </w:rPr>
              <w:t>H</w:t>
            </w:r>
            <w:r w:rsidRPr="00D73956">
              <w:rPr>
                <w:rFonts w:ascii="Arial Narrow" w:eastAsia="Times New Roman" w:hAnsi="Arial Narrow" w:cs="Arial"/>
                <w:sz w:val="16"/>
                <w:szCs w:val="16"/>
                <w:lang w:eastAsia="pt-BR"/>
              </w:rPr>
              <w:t>607</w:t>
            </w:r>
          </w:p>
        </w:tc>
      </w:tr>
      <w:tr w:rsidR="00D74061" w:rsidRPr="00D73956" w14:paraId="08825E62"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tcPr>
          <w:p w14:paraId="236EAC0D"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179 – OUTROS RECURSOS VINCULADOS</w:t>
            </w:r>
          </w:p>
        </w:tc>
        <w:tc>
          <w:tcPr>
            <w:tcW w:w="993" w:type="dxa"/>
            <w:tcBorders>
              <w:top w:val="nil"/>
              <w:left w:val="nil"/>
              <w:bottom w:val="nil"/>
              <w:right w:val="single" w:sz="8" w:space="0" w:color="auto"/>
            </w:tcBorders>
            <w:shd w:val="clear" w:color="auto" w:fill="auto"/>
            <w:vAlign w:val="center"/>
          </w:tcPr>
          <w:p w14:paraId="67CB3886"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BFI.C608</w:t>
            </w:r>
          </w:p>
        </w:tc>
        <w:tc>
          <w:tcPr>
            <w:tcW w:w="992" w:type="dxa"/>
            <w:tcBorders>
              <w:top w:val="nil"/>
              <w:left w:val="nil"/>
              <w:bottom w:val="nil"/>
              <w:right w:val="single" w:sz="8" w:space="0" w:color="auto"/>
            </w:tcBorders>
            <w:shd w:val="clear" w:color="auto" w:fill="auto"/>
            <w:vAlign w:val="center"/>
          </w:tcPr>
          <w:p w14:paraId="7A4469A8"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BFI.D608</w:t>
            </w:r>
          </w:p>
        </w:tc>
        <w:tc>
          <w:tcPr>
            <w:tcW w:w="5103" w:type="dxa"/>
            <w:tcBorders>
              <w:top w:val="nil"/>
              <w:left w:val="nil"/>
              <w:bottom w:val="nil"/>
              <w:right w:val="single" w:sz="8" w:space="0" w:color="auto"/>
            </w:tcBorders>
            <w:shd w:val="clear" w:color="auto" w:fill="auto"/>
            <w:noWrap/>
            <w:vAlign w:val="center"/>
          </w:tcPr>
          <w:p w14:paraId="2D965156"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179 – OUTROS RECURSOS VINCULADOS</w:t>
            </w:r>
          </w:p>
        </w:tc>
        <w:tc>
          <w:tcPr>
            <w:tcW w:w="993" w:type="dxa"/>
            <w:tcBorders>
              <w:top w:val="nil"/>
              <w:left w:val="nil"/>
              <w:bottom w:val="nil"/>
              <w:right w:val="single" w:sz="8" w:space="0" w:color="auto"/>
            </w:tcBorders>
            <w:shd w:val="clear" w:color="auto" w:fill="auto"/>
            <w:vAlign w:val="center"/>
          </w:tcPr>
          <w:p w14:paraId="7ABB1B18"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BFI.G608</w:t>
            </w:r>
          </w:p>
        </w:tc>
        <w:tc>
          <w:tcPr>
            <w:tcW w:w="992" w:type="dxa"/>
            <w:tcBorders>
              <w:top w:val="nil"/>
              <w:left w:val="nil"/>
              <w:bottom w:val="nil"/>
              <w:right w:val="single" w:sz="8" w:space="0" w:color="auto"/>
            </w:tcBorders>
            <w:shd w:val="clear" w:color="auto" w:fill="auto"/>
            <w:vAlign w:val="center"/>
          </w:tcPr>
          <w:p w14:paraId="770B532A" w14:textId="2DCC78D0"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w:t>
            </w:r>
            <w:r>
              <w:rPr>
                <w:rFonts w:ascii="Arial Narrow" w:eastAsia="Times New Roman" w:hAnsi="Arial Narrow" w:cs="Arial"/>
                <w:sz w:val="16"/>
                <w:szCs w:val="16"/>
                <w:lang w:eastAsia="pt-BR"/>
              </w:rPr>
              <w:t>H</w:t>
            </w:r>
            <w:r w:rsidRPr="00D73956">
              <w:rPr>
                <w:rFonts w:ascii="Arial Narrow" w:eastAsia="Times New Roman" w:hAnsi="Arial Narrow" w:cs="Arial"/>
                <w:sz w:val="16"/>
                <w:szCs w:val="16"/>
                <w:lang w:eastAsia="pt-BR"/>
              </w:rPr>
              <w:t>608</w:t>
            </w:r>
          </w:p>
        </w:tc>
      </w:tr>
      <w:tr w:rsidR="00D74061" w:rsidRPr="00D73956" w14:paraId="55A1B3D9"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0C6B8D47"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271 - ARRECADADO PELO ÓRGÃO</w:t>
            </w:r>
          </w:p>
        </w:tc>
        <w:tc>
          <w:tcPr>
            <w:tcW w:w="993" w:type="dxa"/>
            <w:tcBorders>
              <w:top w:val="nil"/>
              <w:left w:val="nil"/>
              <w:bottom w:val="nil"/>
              <w:right w:val="single" w:sz="8" w:space="0" w:color="auto"/>
            </w:tcBorders>
            <w:shd w:val="clear" w:color="auto" w:fill="auto"/>
            <w:vAlign w:val="center"/>
            <w:hideMark/>
          </w:tcPr>
          <w:p w14:paraId="15178EB3"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BFI.C559</w:t>
            </w:r>
          </w:p>
        </w:tc>
        <w:tc>
          <w:tcPr>
            <w:tcW w:w="992" w:type="dxa"/>
            <w:tcBorders>
              <w:top w:val="nil"/>
              <w:left w:val="nil"/>
              <w:bottom w:val="nil"/>
              <w:right w:val="single" w:sz="8" w:space="0" w:color="auto"/>
            </w:tcBorders>
            <w:shd w:val="clear" w:color="auto" w:fill="auto"/>
            <w:vAlign w:val="center"/>
            <w:hideMark/>
          </w:tcPr>
          <w:p w14:paraId="43CA1B74"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BFI.D559</w:t>
            </w:r>
          </w:p>
        </w:tc>
        <w:tc>
          <w:tcPr>
            <w:tcW w:w="5103" w:type="dxa"/>
            <w:tcBorders>
              <w:top w:val="nil"/>
              <w:left w:val="nil"/>
              <w:bottom w:val="nil"/>
              <w:right w:val="single" w:sz="8" w:space="0" w:color="auto"/>
            </w:tcBorders>
            <w:shd w:val="clear" w:color="auto" w:fill="auto"/>
            <w:noWrap/>
            <w:vAlign w:val="center"/>
            <w:hideMark/>
          </w:tcPr>
          <w:p w14:paraId="3B8C1459"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271 - ARRECADADO PELO ÓRGÃO</w:t>
            </w:r>
          </w:p>
        </w:tc>
        <w:tc>
          <w:tcPr>
            <w:tcW w:w="993" w:type="dxa"/>
            <w:tcBorders>
              <w:top w:val="nil"/>
              <w:left w:val="nil"/>
              <w:bottom w:val="nil"/>
              <w:right w:val="single" w:sz="8" w:space="0" w:color="auto"/>
            </w:tcBorders>
            <w:shd w:val="clear" w:color="auto" w:fill="auto"/>
            <w:vAlign w:val="center"/>
            <w:hideMark/>
          </w:tcPr>
          <w:p w14:paraId="07F560B2"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BFI.G559</w:t>
            </w:r>
          </w:p>
        </w:tc>
        <w:tc>
          <w:tcPr>
            <w:tcW w:w="992" w:type="dxa"/>
            <w:tcBorders>
              <w:top w:val="nil"/>
              <w:left w:val="nil"/>
              <w:bottom w:val="nil"/>
              <w:right w:val="single" w:sz="8" w:space="0" w:color="auto"/>
            </w:tcBorders>
            <w:shd w:val="clear" w:color="auto" w:fill="auto"/>
            <w:vAlign w:val="center"/>
            <w:hideMark/>
          </w:tcPr>
          <w:p w14:paraId="6B8B2F47"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BFI.H559</w:t>
            </w:r>
          </w:p>
        </w:tc>
      </w:tr>
      <w:tr w:rsidR="00D74061" w:rsidRPr="00D73956" w14:paraId="48AF42B5"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377D6BD1"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272 - CONVÊNIOS COM ÓRGÃOS FEDERAIS</w:t>
            </w:r>
          </w:p>
        </w:tc>
        <w:tc>
          <w:tcPr>
            <w:tcW w:w="993" w:type="dxa"/>
            <w:tcBorders>
              <w:top w:val="nil"/>
              <w:left w:val="nil"/>
              <w:bottom w:val="nil"/>
              <w:right w:val="single" w:sz="8" w:space="0" w:color="auto"/>
            </w:tcBorders>
            <w:shd w:val="clear" w:color="auto" w:fill="auto"/>
            <w:vAlign w:val="center"/>
            <w:hideMark/>
          </w:tcPr>
          <w:p w14:paraId="619DFE8D"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BFI.C560</w:t>
            </w:r>
          </w:p>
        </w:tc>
        <w:tc>
          <w:tcPr>
            <w:tcW w:w="992" w:type="dxa"/>
            <w:tcBorders>
              <w:top w:val="nil"/>
              <w:left w:val="nil"/>
              <w:bottom w:val="nil"/>
              <w:right w:val="single" w:sz="8" w:space="0" w:color="auto"/>
            </w:tcBorders>
            <w:shd w:val="clear" w:color="auto" w:fill="auto"/>
            <w:vAlign w:val="center"/>
            <w:hideMark/>
          </w:tcPr>
          <w:p w14:paraId="053B47F6"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BFI.D560</w:t>
            </w:r>
          </w:p>
        </w:tc>
        <w:tc>
          <w:tcPr>
            <w:tcW w:w="5103" w:type="dxa"/>
            <w:tcBorders>
              <w:top w:val="nil"/>
              <w:left w:val="nil"/>
              <w:bottom w:val="nil"/>
              <w:right w:val="single" w:sz="8" w:space="0" w:color="auto"/>
            </w:tcBorders>
            <w:shd w:val="clear" w:color="auto" w:fill="auto"/>
            <w:noWrap/>
            <w:vAlign w:val="center"/>
            <w:hideMark/>
          </w:tcPr>
          <w:p w14:paraId="4E444896"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272 - CONVÊNIOS COM ÓRGÃOS FEDERAIS</w:t>
            </w:r>
          </w:p>
        </w:tc>
        <w:tc>
          <w:tcPr>
            <w:tcW w:w="993" w:type="dxa"/>
            <w:tcBorders>
              <w:top w:val="nil"/>
              <w:left w:val="nil"/>
              <w:bottom w:val="nil"/>
              <w:right w:val="single" w:sz="8" w:space="0" w:color="auto"/>
            </w:tcBorders>
            <w:shd w:val="clear" w:color="auto" w:fill="auto"/>
            <w:vAlign w:val="center"/>
            <w:hideMark/>
          </w:tcPr>
          <w:p w14:paraId="2CA18061"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BFI.G560</w:t>
            </w:r>
          </w:p>
        </w:tc>
        <w:tc>
          <w:tcPr>
            <w:tcW w:w="992" w:type="dxa"/>
            <w:tcBorders>
              <w:top w:val="nil"/>
              <w:left w:val="nil"/>
              <w:bottom w:val="nil"/>
              <w:right w:val="single" w:sz="8" w:space="0" w:color="auto"/>
            </w:tcBorders>
            <w:shd w:val="clear" w:color="auto" w:fill="auto"/>
            <w:vAlign w:val="center"/>
            <w:hideMark/>
          </w:tcPr>
          <w:p w14:paraId="4AC6D391"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BFI.H560</w:t>
            </w:r>
          </w:p>
        </w:tc>
      </w:tr>
      <w:tr w:rsidR="00D74061" w:rsidRPr="00D73956" w14:paraId="6F8EA3ED"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069EFC37"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273 - CONVÊNIOS COM ÓRGÃOS NÃO FEDERAIS</w:t>
            </w:r>
          </w:p>
        </w:tc>
        <w:tc>
          <w:tcPr>
            <w:tcW w:w="993" w:type="dxa"/>
            <w:tcBorders>
              <w:top w:val="nil"/>
              <w:left w:val="nil"/>
              <w:bottom w:val="nil"/>
              <w:right w:val="single" w:sz="8" w:space="0" w:color="auto"/>
            </w:tcBorders>
            <w:shd w:val="clear" w:color="auto" w:fill="auto"/>
            <w:vAlign w:val="center"/>
            <w:hideMark/>
          </w:tcPr>
          <w:p w14:paraId="1C3E7105"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BFI.C561</w:t>
            </w:r>
          </w:p>
        </w:tc>
        <w:tc>
          <w:tcPr>
            <w:tcW w:w="992" w:type="dxa"/>
            <w:tcBorders>
              <w:top w:val="nil"/>
              <w:left w:val="nil"/>
              <w:bottom w:val="nil"/>
              <w:right w:val="single" w:sz="8" w:space="0" w:color="auto"/>
            </w:tcBorders>
            <w:shd w:val="clear" w:color="auto" w:fill="auto"/>
            <w:vAlign w:val="center"/>
            <w:hideMark/>
          </w:tcPr>
          <w:p w14:paraId="228298A5"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BFI.D561</w:t>
            </w:r>
          </w:p>
        </w:tc>
        <w:tc>
          <w:tcPr>
            <w:tcW w:w="5103" w:type="dxa"/>
            <w:tcBorders>
              <w:top w:val="nil"/>
              <w:left w:val="nil"/>
              <w:bottom w:val="nil"/>
              <w:right w:val="single" w:sz="8" w:space="0" w:color="auto"/>
            </w:tcBorders>
            <w:shd w:val="clear" w:color="auto" w:fill="auto"/>
            <w:noWrap/>
            <w:vAlign w:val="center"/>
            <w:hideMark/>
          </w:tcPr>
          <w:p w14:paraId="0726C4E4"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273 - CONVÊNIOS COM ÓRGÃOS NÃO FEDERAIS</w:t>
            </w:r>
          </w:p>
        </w:tc>
        <w:tc>
          <w:tcPr>
            <w:tcW w:w="993" w:type="dxa"/>
            <w:tcBorders>
              <w:top w:val="nil"/>
              <w:left w:val="nil"/>
              <w:bottom w:val="nil"/>
              <w:right w:val="single" w:sz="8" w:space="0" w:color="auto"/>
            </w:tcBorders>
            <w:shd w:val="clear" w:color="auto" w:fill="auto"/>
            <w:vAlign w:val="center"/>
            <w:hideMark/>
          </w:tcPr>
          <w:p w14:paraId="755C1539"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BFI.G561</w:t>
            </w:r>
          </w:p>
        </w:tc>
        <w:tc>
          <w:tcPr>
            <w:tcW w:w="992" w:type="dxa"/>
            <w:tcBorders>
              <w:top w:val="nil"/>
              <w:left w:val="nil"/>
              <w:bottom w:val="nil"/>
              <w:right w:val="single" w:sz="8" w:space="0" w:color="auto"/>
            </w:tcBorders>
            <w:shd w:val="clear" w:color="auto" w:fill="auto"/>
            <w:vAlign w:val="center"/>
            <w:hideMark/>
          </w:tcPr>
          <w:p w14:paraId="68A726F6"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BFI.H561</w:t>
            </w:r>
          </w:p>
        </w:tc>
      </w:tr>
      <w:tr w:rsidR="00D74061" w:rsidRPr="00D73956" w14:paraId="389DD21E"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4E339EE7"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274 - TRANSFERÊNCIA DE INSTITUIÇÕES PRIVADAS</w:t>
            </w:r>
          </w:p>
        </w:tc>
        <w:tc>
          <w:tcPr>
            <w:tcW w:w="993" w:type="dxa"/>
            <w:tcBorders>
              <w:top w:val="nil"/>
              <w:left w:val="nil"/>
              <w:bottom w:val="nil"/>
              <w:right w:val="single" w:sz="8" w:space="0" w:color="auto"/>
            </w:tcBorders>
            <w:shd w:val="clear" w:color="auto" w:fill="auto"/>
            <w:vAlign w:val="center"/>
            <w:hideMark/>
          </w:tcPr>
          <w:p w14:paraId="2D63DBA9"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BFI.C562</w:t>
            </w:r>
          </w:p>
        </w:tc>
        <w:tc>
          <w:tcPr>
            <w:tcW w:w="992" w:type="dxa"/>
            <w:tcBorders>
              <w:top w:val="nil"/>
              <w:left w:val="nil"/>
              <w:bottom w:val="nil"/>
              <w:right w:val="single" w:sz="8" w:space="0" w:color="auto"/>
            </w:tcBorders>
            <w:shd w:val="clear" w:color="auto" w:fill="auto"/>
            <w:vAlign w:val="center"/>
            <w:hideMark/>
          </w:tcPr>
          <w:p w14:paraId="6AEEB0C4"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BFI.D562</w:t>
            </w:r>
          </w:p>
        </w:tc>
        <w:tc>
          <w:tcPr>
            <w:tcW w:w="5103" w:type="dxa"/>
            <w:tcBorders>
              <w:top w:val="nil"/>
              <w:left w:val="nil"/>
              <w:bottom w:val="nil"/>
              <w:right w:val="single" w:sz="8" w:space="0" w:color="auto"/>
            </w:tcBorders>
            <w:shd w:val="clear" w:color="auto" w:fill="auto"/>
            <w:noWrap/>
            <w:vAlign w:val="center"/>
            <w:hideMark/>
          </w:tcPr>
          <w:p w14:paraId="62004F41"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274 - TRANSFERÊNCIA DE INSTITUIÇÕES PRIVADAS</w:t>
            </w:r>
          </w:p>
        </w:tc>
        <w:tc>
          <w:tcPr>
            <w:tcW w:w="993" w:type="dxa"/>
            <w:tcBorders>
              <w:top w:val="nil"/>
              <w:left w:val="nil"/>
              <w:bottom w:val="nil"/>
              <w:right w:val="single" w:sz="8" w:space="0" w:color="auto"/>
            </w:tcBorders>
            <w:shd w:val="clear" w:color="auto" w:fill="auto"/>
            <w:vAlign w:val="center"/>
            <w:hideMark/>
          </w:tcPr>
          <w:p w14:paraId="40ED5AC9"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BFI.G562</w:t>
            </w:r>
          </w:p>
        </w:tc>
        <w:tc>
          <w:tcPr>
            <w:tcW w:w="992" w:type="dxa"/>
            <w:tcBorders>
              <w:top w:val="nil"/>
              <w:left w:val="nil"/>
              <w:bottom w:val="nil"/>
              <w:right w:val="single" w:sz="8" w:space="0" w:color="auto"/>
            </w:tcBorders>
            <w:shd w:val="clear" w:color="auto" w:fill="auto"/>
            <w:vAlign w:val="center"/>
            <w:hideMark/>
          </w:tcPr>
          <w:p w14:paraId="6CC0B99E"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BFI.H562</w:t>
            </w:r>
          </w:p>
        </w:tc>
      </w:tr>
      <w:tr w:rsidR="00D74061" w:rsidRPr="00D73956" w14:paraId="286D6F1D"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19929C25"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lastRenderedPageBreak/>
              <w:t>275 - OUTRAS TRANSFERÊNCIAS DA UNIÃO</w:t>
            </w:r>
          </w:p>
        </w:tc>
        <w:tc>
          <w:tcPr>
            <w:tcW w:w="993" w:type="dxa"/>
            <w:tcBorders>
              <w:top w:val="nil"/>
              <w:left w:val="nil"/>
              <w:bottom w:val="nil"/>
              <w:right w:val="single" w:sz="8" w:space="0" w:color="auto"/>
            </w:tcBorders>
            <w:shd w:val="clear" w:color="auto" w:fill="auto"/>
            <w:vAlign w:val="center"/>
            <w:hideMark/>
          </w:tcPr>
          <w:p w14:paraId="287D09B7"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BFI.C563</w:t>
            </w:r>
          </w:p>
        </w:tc>
        <w:tc>
          <w:tcPr>
            <w:tcW w:w="992" w:type="dxa"/>
            <w:tcBorders>
              <w:top w:val="nil"/>
              <w:left w:val="nil"/>
              <w:bottom w:val="nil"/>
              <w:right w:val="single" w:sz="8" w:space="0" w:color="auto"/>
            </w:tcBorders>
            <w:shd w:val="clear" w:color="auto" w:fill="auto"/>
            <w:vAlign w:val="center"/>
            <w:hideMark/>
          </w:tcPr>
          <w:p w14:paraId="5FEA75E3"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BFI.D563</w:t>
            </w:r>
          </w:p>
        </w:tc>
        <w:tc>
          <w:tcPr>
            <w:tcW w:w="5103" w:type="dxa"/>
            <w:tcBorders>
              <w:top w:val="nil"/>
              <w:left w:val="nil"/>
              <w:bottom w:val="nil"/>
              <w:right w:val="single" w:sz="8" w:space="0" w:color="auto"/>
            </w:tcBorders>
            <w:shd w:val="clear" w:color="auto" w:fill="auto"/>
            <w:noWrap/>
            <w:vAlign w:val="center"/>
            <w:hideMark/>
          </w:tcPr>
          <w:p w14:paraId="40B97F73"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275 - OUTRAS TRANSFERÊNCIAS DA UNIÃO</w:t>
            </w:r>
          </w:p>
        </w:tc>
        <w:tc>
          <w:tcPr>
            <w:tcW w:w="993" w:type="dxa"/>
            <w:tcBorders>
              <w:top w:val="nil"/>
              <w:left w:val="nil"/>
              <w:bottom w:val="nil"/>
              <w:right w:val="single" w:sz="8" w:space="0" w:color="auto"/>
            </w:tcBorders>
            <w:shd w:val="clear" w:color="auto" w:fill="auto"/>
            <w:vAlign w:val="center"/>
            <w:hideMark/>
          </w:tcPr>
          <w:p w14:paraId="275B2D87"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BFI.G563</w:t>
            </w:r>
          </w:p>
        </w:tc>
        <w:tc>
          <w:tcPr>
            <w:tcW w:w="992" w:type="dxa"/>
            <w:tcBorders>
              <w:top w:val="nil"/>
              <w:left w:val="nil"/>
              <w:bottom w:val="nil"/>
              <w:right w:val="single" w:sz="8" w:space="0" w:color="auto"/>
            </w:tcBorders>
            <w:shd w:val="clear" w:color="auto" w:fill="auto"/>
            <w:vAlign w:val="center"/>
            <w:hideMark/>
          </w:tcPr>
          <w:p w14:paraId="6FEE6A35"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BFI.H563</w:t>
            </w:r>
          </w:p>
        </w:tc>
      </w:tr>
      <w:tr w:rsidR="00D74061" w:rsidRPr="00D73956" w14:paraId="3F20278D"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094C68C1"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276 - FUNDO DE PROTEÇÃO SOCIAL DOS MILITARES</w:t>
            </w:r>
          </w:p>
        </w:tc>
        <w:tc>
          <w:tcPr>
            <w:tcW w:w="993" w:type="dxa"/>
            <w:tcBorders>
              <w:top w:val="nil"/>
              <w:left w:val="nil"/>
              <w:bottom w:val="nil"/>
              <w:right w:val="single" w:sz="8" w:space="0" w:color="auto"/>
            </w:tcBorders>
            <w:shd w:val="clear" w:color="auto" w:fill="auto"/>
            <w:vAlign w:val="center"/>
            <w:hideMark/>
          </w:tcPr>
          <w:p w14:paraId="535B76F3"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BFI.C602</w:t>
            </w:r>
          </w:p>
        </w:tc>
        <w:tc>
          <w:tcPr>
            <w:tcW w:w="992" w:type="dxa"/>
            <w:tcBorders>
              <w:top w:val="nil"/>
              <w:left w:val="nil"/>
              <w:bottom w:val="nil"/>
              <w:right w:val="single" w:sz="8" w:space="0" w:color="auto"/>
            </w:tcBorders>
            <w:shd w:val="clear" w:color="auto" w:fill="auto"/>
            <w:vAlign w:val="center"/>
            <w:hideMark/>
          </w:tcPr>
          <w:p w14:paraId="76EF2303"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BFI.D602</w:t>
            </w:r>
          </w:p>
        </w:tc>
        <w:tc>
          <w:tcPr>
            <w:tcW w:w="5103" w:type="dxa"/>
            <w:tcBorders>
              <w:top w:val="nil"/>
              <w:left w:val="nil"/>
              <w:bottom w:val="nil"/>
              <w:right w:val="single" w:sz="8" w:space="0" w:color="auto"/>
            </w:tcBorders>
            <w:shd w:val="clear" w:color="auto" w:fill="auto"/>
            <w:noWrap/>
            <w:vAlign w:val="center"/>
            <w:hideMark/>
          </w:tcPr>
          <w:p w14:paraId="4F1F2905"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276 - FUNDO DE PROTEÇÃO SOCIAL DOS MILITARES</w:t>
            </w:r>
          </w:p>
        </w:tc>
        <w:tc>
          <w:tcPr>
            <w:tcW w:w="993" w:type="dxa"/>
            <w:tcBorders>
              <w:top w:val="nil"/>
              <w:left w:val="nil"/>
              <w:bottom w:val="nil"/>
              <w:right w:val="single" w:sz="8" w:space="0" w:color="auto"/>
            </w:tcBorders>
            <w:shd w:val="clear" w:color="auto" w:fill="auto"/>
            <w:vAlign w:val="center"/>
            <w:hideMark/>
          </w:tcPr>
          <w:p w14:paraId="79757343"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BFI.G602</w:t>
            </w:r>
          </w:p>
        </w:tc>
        <w:tc>
          <w:tcPr>
            <w:tcW w:w="992" w:type="dxa"/>
            <w:tcBorders>
              <w:top w:val="nil"/>
              <w:left w:val="nil"/>
              <w:bottom w:val="nil"/>
              <w:right w:val="single" w:sz="8" w:space="0" w:color="auto"/>
            </w:tcBorders>
            <w:shd w:val="clear" w:color="auto" w:fill="auto"/>
            <w:vAlign w:val="center"/>
            <w:hideMark/>
          </w:tcPr>
          <w:p w14:paraId="29D3D85D"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BFI.H602</w:t>
            </w:r>
          </w:p>
        </w:tc>
      </w:tr>
      <w:tr w:rsidR="00D74061" w:rsidRPr="00D73956" w14:paraId="6286DE4A"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4F9A15CD"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307 - SUPERÁVIT FINANCEIRO - ROYALTIES, PARTICIPAÇÃO ESPECIAL E FUNDO ESPECIAL DO PETRÓLEO</w:t>
            </w:r>
          </w:p>
        </w:tc>
        <w:tc>
          <w:tcPr>
            <w:tcW w:w="993" w:type="dxa"/>
            <w:tcBorders>
              <w:top w:val="nil"/>
              <w:left w:val="nil"/>
              <w:bottom w:val="nil"/>
              <w:right w:val="single" w:sz="8" w:space="0" w:color="auto"/>
            </w:tcBorders>
            <w:shd w:val="clear" w:color="auto" w:fill="auto"/>
            <w:vAlign w:val="center"/>
            <w:hideMark/>
          </w:tcPr>
          <w:p w14:paraId="6543418C"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BFI.C603</w:t>
            </w:r>
          </w:p>
        </w:tc>
        <w:tc>
          <w:tcPr>
            <w:tcW w:w="992" w:type="dxa"/>
            <w:tcBorders>
              <w:top w:val="nil"/>
              <w:left w:val="nil"/>
              <w:bottom w:val="nil"/>
              <w:right w:val="single" w:sz="8" w:space="0" w:color="auto"/>
            </w:tcBorders>
            <w:shd w:val="clear" w:color="auto" w:fill="auto"/>
            <w:vAlign w:val="center"/>
            <w:hideMark/>
          </w:tcPr>
          <w:p w14:paraId="60367D29"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BFI.D603</w:t>
            </w:r>
          </w:p>
        </w:tc>
        <w:tc>
          <w:tcPr>
            <w:tcW w:w="5103" w:type="dxa"/>
            <w:tcBorders>
              <w:top w:val="nil"/>
              <w:left w:val="nil"/>
              <w:bottom w:val="nil"/>
              <w:right w:val="single" w:sz="8" w:space="0" w:color="auto"/>
            </w:tcBorders>
            <w:shd w:val="clear" w:color="auto" w:fill="auto"/>
            <w:noWrap/>
            <w:vAlign w:val="center"/>
            <w:hideMark/>
          </w:tcPr>
          <w:p w14:paraId="256C7DEA"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307 - SUPERÁVIT FINANCEIRO - ROYALTIES, PARTICIPAÇÃO ESPECIAL E FUNDO ESPECIAL DO PETRÓLEO</w:t>
            </w:r>
          </w:p>
        </w:tc>
        <w:tc>
          <w:tcPr>
            <w:tcW w:w="993" w:type="dxa"/>
            <w:tcBorders>
              <w:top w:val="nil"/>
              <w:left w:val="nil"/>
              <w:bottom w:val="nil"/>
              <w:right w:val="single" w:sz="8" w:space="0" w:color="auto"/>
            </w:tcBorders>
            <w:shd w:val="clear" w:color="auto" w:fill="auto"/>
            <w:vAlign w:val="center"/>
            <w:hideMark/>
          </w:tcPr>
          <w:p w14:paraId="4E2742B0"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BFI.G603</w:t>
            </w:r>
          </w:p>
        </w:tc>
        <w:tc>
          <w:tcPr>
            <w:tcW w:w="992" w:type="dxa"/>
            <w:tcBorders>
              <w:top w:val="nil"/>
              <w:left w:val="nil"/>
              <w:bottom w:val="nil"/>
              <w:right w:val="single" w:sz="8" w:space="0" w:color="auto"/>
            </w:tcBorders>
            <w:shd w:val="clear" w:color="auto" w:fill="auto"/>
            <w:vAlign w:val="center"/>
            <w:hideMark/>
          </w:tcPr>
          <w:p w14:paraId="53363B1E"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BFI.H603</w:t>
            </w:r>
          </w:p>
        </w:tc>
      </w:tr>
      <w:tr w:rsidR="00D74061" w:rsidRPr="00D73956" w14:paraId="555EB748"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6B0AA867"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308 - SUPERÁVIT FINANCEIRO - DISTRIBUIÇÃO DA CESSÃO ONEROSA DO BÔNUS DE ASSINATURA DO PRÉ-SAL - LEI Nº 13.885/2019</w:t>
            </w:r>
          </w:p>
        </w:tc>
        <w:tc>
          <w:tcPr>
            <w:tcW w:w="993" w:type="dxa"/>
            <w:tcBorders>
              <w:top w:val="nil"/>
              <w:left w:val="nil"/>
              <w:bottom w:val="nil"/>
              <w:right w:val="single" w:sz="8" w:space="0" w:color="auto"/>
            </w:tcBorders>
            <w:shd w:val="clear" w:color="auto" w:fill="auto"/>
            <w:vAlign w:val="center"/>
            <w:hideMark/>
          </w:tcPr>
          <w:p w14:paraId="12EB6A5C"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BFI.C604</w:t>
            </w:r>
          </w:p>
        </w:tc>
        <w:tc>
          <w:tcPr>
            <w:tcW w:w="992" w:type="dxa"/>
            <w:tcBorders>
              <w:top w:val="nil"/>
              <w:left w:val="nil"/>
              <w:bottom w:val="nil"/>
              <w:right w:val="single" w:sz="8" w:space="0" w:color="auto"/>
            </w:tcBorders>
            <w:shd w:val="clear" w:color="auto" w:fill="auto"/>
            <w:vAlign w:val="center"/>
            <w:hideMark/>
          </w:tcPr>
          <w:p w14:paraId="6C5C1779"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BFI.D604</w:t>
            </w:r>
          </w:p>
        </w:tc>
        <w:tc>
          <w:tcPr>
            <w:tcW w:w="5103" w:type="dxa"/>
            <w:tcBorders>
              <w:top w:val="nil"/>
              <w:left w:val="nil"/>
              <w:bottom w:val="nil"/>
              <w:right w:val="single" w:sz="8" w:space="0" w:color="auto"/>
            </w:tcBorders>
            <w:shd w:val="clear" w:color="auto" w:fill="auto"/>
            <w:noWrap/>
            <w:vAlign w:val="center"/>
            <w:hideMark/>
          </w:tcPr>
          <w:p w14:paraId="23FD64CF"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308 - SUPERÁVIT FINANCEIRO - DISTRIBUIÇÃO DA CESSÃO ONEROSA DO BÔNUS DE ASSINATURA DO PRÉ-SAL - LEI Nº 13.885/2019</w:t>
            </w:r>
          </w:p>
        </w:tc>
        <w:tc>
          <w:tcPr>
            <w:tcW w:w="993" w:type="dxa"/>
            <w:tcBorders>
              <w:top w:val="nil"/>
              <w:left w:val="nil"/>
              <w:bottom w:val="nil"/>
              <w:right w:val="single" w:sz="8" w:space="0" w:color="auto"/>
            </w:tcBorders>
            <w:shd w:val="clear" w:color="auto" w:fill="auto"/>
            <w:vAlign w:val="center"/>
            <w:hideMark/>
          </w:tcPr>
          <w:p w14:paraId="4B1129BF"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BFI.G604</w:t>
            </w:r>
          </w:p>
        </w:tc>
        <w:tc>
          <w:tcPr>
            <w:tcW w:w="992" w:type="dxa"/>
            <w:tcBorders>
              <w:top w:val="nil"/>
              <w:left w:val="nil"/>
              <w:bottom w:val="nil"/>
              <w:right w:val="single" w:sz="8" w:space="0" w:color="auto"/>
            </w:tcBorders>
            <w:shd w:val="clear" w:color="auto" w:fill="auto"/>
            <w:vAlign w:val="center"/>
            <w:hideMark/>
          </w:tcPr>
          <w:p w14:paraId="6C7B6857"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BFI.H604</w:t>
            </w:r>
          </w:p>
        </w:tc>
      </w:tr>
      <w:tr w:rsidR="00D74061" w:rsidRPr="00D73956" w14:paraId="5EAA35F7"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2DAA31BB"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312 - SUPERÁVIT FINANCEIRO - DEC 2829-R, DE 17/08/11</w:t>
            </w:r>
          </w:p>
        </w:tc>
        <w:tc>
          <w:tcPr>
            <w:tcW w:w="993" w:type="dxa"/>
            <w:tcBorders>
              <w:top w:val="nil"/>
              <w:left w:val="nil"/>
              <w:bottom w:val="nil"/>
              <w:right w:val="single" w:sz="8" w:space="0" w:color="auto"/>
            </w:tcBorders>
            <w:shd w:val="clear" w:color="auto" w:fill="auto"/>
            <w:vAlign w:val="center"/>
            <w:hideMark/>
          </w:tcPr>
          <w:p w14:paraId="75428DF9"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BFI.C564</w:t>
            </w:r>
          </w:p>
        </w:tc>
        <w:tc>
          <w:tcPr>
            <w:tcW w:w="992" w:type="dxa"/>
            <w:tcBorders>
              <w:top w:val="nil"/>
              <w:left w:val="nil"/>
              <w:bottom w:val="nil"/>
              <w:right w:val="single" w:sz="8" w:space="0" w:color="auto"/>
            </w:tcBorders>
            <w:shd w:val="clear" w:color="auto" w:fill="auto"/>
            <w:vAlign w:val="center"/>
            <w:hideMark/>
          </w:tcPr>
          <w:p w14:paraId="154D8EC2"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BFI.D564</w:t>
            </w:r>
          </w:p>
        </w:tc>
        <w:tc>
          <w:tcPr>
            <w:tcW w:w="5103" w:type="dxa"/>
            <w:tcBorders>
              <w:top w:val="nil"/>
              <w:left w:val="nil"/>
              <w:bottom w:val="nil"/>
              <w:right w:val="single" w:sz="8" w:space="0" w:color="auto"/>
            </w:tcBorders>
            <w:shd w:val="clear" w:color="auto" w:fill="auto"/>
            <w:noWrap/>
            <w:vAlign w:val="center"/>
            <w:hideMark/>
          </w:tcPr>
          <w:p w14:paraId="5B6A6159"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312 - SUPERÁVIT FINANCEIRO - DEC 2829-R, DE 17/08/11</w:t>
            </w:r>
          </w:p>
        </w:tc>
        <w:tc>
          <w:tcPr>
            <w:tcW w:w="993" w:type="dxa"/>
            <w:tcBorders>
              <w:top w:val="nil"/>
              <w:left w:val="nil"/>
              <w:bottom w:val="nil"/>
              <w:right w:val="single" w:sz="8" w:space="0" w:color="auto"/>
            </w:tcBorders>
            <w:shd w:val="clear" w:color="auto" w:fill="auto"/>
            <w:vAlign w:val="center"/>
            <w:hideMark/>
          </w:tcPr>
          <w:p w14:paraId="1B256801"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BFI.G564</w:t>
            </w:r>
          </w:p>
        </w:tc>
        <w:tc>
          <w:tcPr>
            <w:tcW w:w="992" w:type="dxa"/>
            <w:tcBorders>
              <w:top w:val="nil"/>
              <w:left w:val="nil"/>
              <w:bottom w:val="nil"/>
              <w:right w:val="single" w:sz="8" w:space="0" w:color="auto"/>
            </w:tcBorders>
            <w:shd w:val="clear" w:color="auto" w:fill="auto"/>
            <w:vAlign w:val="center"/>
            <w:hideMark/>
          </w:tcPr>
          <w:p w14:paraId="0513AB95"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BFI.H564</w:t>
            </w:r>
          </w:p>
        </w:tc>
      </w:tr>
      <w:tr w:rsidR="00D74061" w:rsidRPr="00D73956" w14:paraId="5F28F68F"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42E51F78"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315 - SUPERÁVIT FINANCEIRO - ALIENAÇÃO DE BENS</w:t>
            </w:r>
          </w:p>
        </w:tc>
        <w:tc>
          <w:tcPr>
            <w:tcW w:w="993" w:type="dxa"/>
            <w:tcBorders>
              <w:top w:val="nil"/>
              <w:left w:val="nil"/>
              <w:bottom w:val="nil"/>
              <w:right w:val="single" w:sz="8" w:space="0" w:color="auto"/>
            </w:tcBorders>
            <w:shd w:val="clear" w:color="auto" w:fill="auto"/>
            <w:vAlign w:val="center"/>
            <w:hideMark/>
          </w:tcPr>
          <w:p w14:paraId="6AF51728"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BFI.C565</w:t>
            </w:r>
          </w:p>
        </w:tc>
        <w:tc>
          <w:tcPr>
            <w:tcW w:w="992" w:type="dxa"/>
            <w:tcBorders>
              <w:top w:val="nil"/>
              <w:left w:val="nil"/>
              <w:bottom w:val="nil"/>
              <w:right w:val="single" w:sz="8" w:space="0" w:color="auto"/>
            </w:tcBorders>
            <w:shd w:val="clear" w:color="auto" w:fill="auto"/>
            <w:vAlign w:val="center"/>
            <w:hideMark/>
          </w:tcPr>
          <w:p w14:paraId="57864E32"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BFI.D565</w:t>
            </w:r>
          </w:p>
        </w:tc>
        <w:tc>
          <w:tcPr>
            <w:tcW w:w="5103" w:type="dxa"/>
            <w:tcBorders>
              <w:top w:val="nil"/>
              <w:left w:val="nil"/>
              <w:bottom w:val="nil"/>
              <w:right w:val="single" w:sz="8" w:space="0" w:color="auto"/>
            </w:tcBorders>
            <w:shd w:val="clear" w:color="auto" w:fill="auto"/>
            <w:noWrap/>
            <w:vAlign w:val="center"/>
            <w:hideMark/>
          </w:tcPr>
          <w:p w14:paraId="5672A6F5"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315 - SUPERÁVIT FINANCEIRO - ALIENAÇÃO DE BENS</w:t>
            </w:r>
          </w:p>
        </w:tc>
        <w:tc>
          <w:tcPr>
            <w:tcW w:w="993" w:type="dxa"/>
            <w:tcBorders>
              <w:top w:val="nil"/>
              <w:left w:val="nil"/>
              <w:bottom w:val="nil"/>
              <w:right w:val="single" w:sz="8" w:space="0" w:color="auto"/>
            </w:tcBorders>
            <w:shd w:val="clear" w:color="auto" w:fill="auto"/>
            <w:vAlign w:val="center"/>
            <w:hideMark/>
          </w:tcPr>
          <w:p w14:paraId="077BFA32"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BFI.G565</w:t>
            </w:r>
          </w:p>
        </w:tc>
        <w:tc>
          <w:tcPr>
            <w:tcW w:w="992" w:type="dxa"/>
            <w:tcBorders>
              <w:top w:val="nil"/>
              <w:left w:val="nil"/>
              <w:bottom w:val="nil"/>
              <w:right w:val="single" w:sz="8" w:space="0" w:color="auto"/>
            </w:tcBorders>
            <w:shd w:val="clear" w:color="auto" w:fill="auto"/>
            <w:vAlign w:val="center"/>
            <w:hideMark/>
          </w:tcPr>
          <w:p w14:paraId="3A3A06F0"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BFI.H565</w:t>
            </w:r>
          </w:p>
        </w:tc>
      </w:tr>
      <w:tr w:rsidR="00D74061" w:rsidRPr="00D73956" w14:paraId="4F97CD8A"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4187AFD4"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316 - SUPERÁVIT FINANCEIRO - DEPÓSITOS JUDICIAIS – LEI 10.549, DE 1º JULHO DE 2016</w:t>
            </w:r>
          </w:p>
        </w:tc>
        <w:tc>
          <w:tcPr>
            <w:tcW w:w="993" w:type="dxa"/>
            <w:tcBorders>
              <w:top w:val="nil"/>
              <w:left w:val="nil"/>
              <w:bottom w:val="nil"/>
              <w:right w:val="single" w:sz="8" w:space="0" w:color="auto"/>
            </w:tcBorders>
            <w:shd w:val="clear" w:color="auto" w:fill="auto"/>
            <w:vAlign w:val="center"/>
            <w:hideMark/>
          </w:tcPr>
          <w:p w14:paraId="0D7136BA"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BFI.C566</w:t>
            </w:r>
          </w:p>
        </w:tc>
        <w:tc>
          <w:tcPr>
            <w:tcW w:w="992" w:type="dxa"/>
            <w:tcBorders>
              <w:top w:val="nil"/>
              <w:left w:val="nil"/>
              <w:bottom w:val="nil"/>
              <w:right w:val="single" w:sz="8" w:space="0" w:color="auto"/>
            </w:tcBorders>
            <w:shd w:val="clear" w:color="auto" w:fill="auto"/>
            <w:vAlign w:val="center"/>
            <w:hideMark/>
          </w:tcPr>
          <w:p w14:paraId="4B4D47D3"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BFI.D566</w:t>
            </w:r>
          </w:p>
        </w:tc>
        <w:tc>
          <w:tcPr>
            <w:tcW w:w="5103" w:type="dxa"/>
            <w:tcBorders>
              <w:top w:val="nil"/>
              <w:left w:val="nil"/>
              <w:bottom w:val="nil"/>
              <w:right w:val="single" w:sz="8" w:space="0" w:color="auto"/>
            </w:tcBorders>
            <w:shd w:val="clear" w:color="auto" w:fill="auto"/>
            <w:noWrap/>
            <w:vAlign w:val="center"/>
            <w:hideMark/>
          </w:tcPr>
          <w:p w14:paraId="6EC943B7"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316 - SUPERÁVIT FINANCEIRO - DEPÓSITOS JUDICIAIS – LEI 10.549, DE 1º JULHO DE 2016</w:t>
            </w:r>
          </w:p>
        </w:tc>
        <w:tc>
          <w:tcPr>
            <w:tcW w:w="993" w:type="dxa"/>
            <w:tcBorders>
              <w:top w:val="nil"/>
              <w:left w:val="nil"/>
              <w:bottom w:val="nil"/>
              <w:right w:val="single" w:sz="8" w:space="0" w:color="auto"/>
            </w:tcBorders>
            <w:shd w:val="clear" w:color="auto" w:fill="auto"/>
            <w:vAlign w:val="center"/>
            <w:hideMark/>
          </w:tcPr>
          <w:p w14:paraId="3A37AA0F"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BFI.G566</w:t>
            </w:r>
          </w:p>
        </w:tc>
        <w:tc>
          <w:tcPr>
            <w:tcW w:w="992" w:type="dxa"/>
            <w:tcBorders>
              <w:top w:val="nil"/>
              <w:left w:val="nil"/>
              <w:bottom w:val="nil"/>
              <w:right w:val="single" w:sz="8" w:space="0" w:color="auto"/>
            </w:tcBorders>
            <w:shd w:val="clear" w:color="auto" w:fill="auto"/>
            <w:vAlign w:val="center"/>
            <w:hideMark/>
          </w:tcPr>
          <w:p w14:paraId="0483CE8E"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BFI.H566</w:t>
            </w:r>
          </w:p>
        </w:tc>
      </w:tr>
      <w:tr w:rsidR="00D74061" w:rsidRPr="00D73956" w14:paraId="7C9A3E6C"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0DB50A91"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333 - SUPERÁVIT FINANCEIRO - CONVÊNIOS UNIÃO</w:t>
            </w:r>
          </w:p>
        </w:tc>
        <w:tc>
          <w:tcPr>
            <w:tcW w:w="993" w:type="dxa"/>
            <w:tcBorders>
              <w:top w:val="nil"/>
              <w:left w:val="nil"/>
              <w:bottom w:val="nil"/>
              <w:right w:val="single" w:sz="8" w:space="0" w:color="auto"/>
            </w:tcBorders>
            <w:shd w:val="clear" w:color="auto" w:fill="auto"/>
            <w:vAlign w:val="center"/>
            <w:hideMark/>
          </w:tcPr>
          <w:p w14:paraId="75631192"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BFI.C567</w:t>
            </w:r>
          </w:p>
        </w:tc>
        <w:tc>
          <w:tcPr>
            <w:tcW w:w="992" w:type="dxa"/>
            <w:tcBorders>
              <w:top w:val="nil"/>
              <w:left w:val="nil"/>
              <w:bottom w:val="nil"/>
              <w:right w:val="single" w:sz="8" w:space="0" w:color="auto"/>
            </w:tcBorders>
            <w:shd w:val="clear" w:color="auto" w:fill="auto"/>
            <w:vAlign w:val="center"/>
            <w:hideMark/>
          </w:tcPr>
          <w:p w14:paraId="74A61761"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BFI.D567</w:t>
            </w:r>
          </w:p>
        </w:tc>
        <w:tc>
          <w:tcPr>
            <w:tcW w:w="5103" w:type="dxa"/>
            <w:tcBorders>
              <w:top w:val="nil"/>
              <w:left w:val="nil"/>
              <w:bottom w:val="nil"/>
              <w:right w:val="single" w:sz="8" w:space="0" w:color="auto"/>
            </w:tcBorders>
            <w:shd w:val="clear" w:color="auto" w:fill="auto"/>
            <w:noWrap/>
            <w:vAlign w:val="center"/>
            <w:hideMark/>
          </w:tcPr>
          <w:p w14:paraId="22DBE27F"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333 - SUPERÁVIT FINANCEIRO - CONVÊNIOS UNIÃO</w:t>
            </w:r>
          </w:p>
        </w:tc>
        <w:tc>
          <w:tcPr>
            <w:tcW w:w="993" w:type="dxa"/>
            <w:tcBorders>
              <w:top w:val="nil"/>
              <w:left w:val="nil"/>
              <w:bottom w:val="nil"/>
              <w:right w:val="single" w:sz="8" w:space="0" w:color="auto"/>
            </w:tcBorders>
            <w:shd w:val="clear" w:color="auto" w:fill="auto"/>
            <w:vAlign w:val="center"/>
            <w:hideMark/>
          </w:tcPr>
          <w:p w14:paraId="688CD828"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BFI.G567</w:t>
            </w:r>
          </w:p>
        </w:tc>
        <w:tc>
          <w:tcPr>
            <w:tcW w:w="992" w:type="dxa"/>
            <w:tcBorders>
              <w:top w:val="nil"/>
              <w:left w:val="nil"/>
              <w:bottom w:val="nil"/>
              <w:right w:val="single" w:sz="8" w:space="0" w:color="auto"/>
            </w:tcBorders>
            <w:shd w:val="clear" w:color="auto" w:fill="auto"/>
            <w:vAlign w:val="center"/>
            <w:hideMark/>
          </w:tcPr>
          <w:p w14:paraId="7E4D754E"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BFI.H567</w:t>
            </w:r>
          </w:p>
        </w:tc>
      </w:tr>
      <w:tr w:rsidR="00D74061" w:rsidRPr="00D73956" w14:paraId="38E30590"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4459B6A3"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336 - SUPERÁVIT FINANCEIRO - TRANSFERÊNCIAS CONSTITUCIONAIS A MUNICÍPIOS</w:t>
            </w:r>
          </w:p>
        </w:tc>
        <w:tc>
          <w:tcPr>
            <w:tcW w:w="993" w:type="dxa"/>
            <w:tcBorders>
              <w:top w:val="nil"/>
              <w:left w:val="nil"/>
              <w:bottom w:val="nil"/>
              <w:right w:val="single" w:sz="8" w:space="0" w:color="auto"/>
            </w:tcBorders>
            <w:shd w:val="clear" w:color="auto" w:fill="auto"/>
            <w:vAlign w:val="center"/>
            <w:hideMark/>
          </w:tcPr>
          <w:p w14:paraId="40C0595E"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BFI.C568</w:t>
            </w:r>
          </w:p>
        </w:tc>
        <w:tc>
          <w:tcPr>
            <w:tcW w:w="992" w:type="dxa"/>
            <w:tcBorders>
              <w:top w:val="nil"/>
              <w:left w:val="nil"/>
              <w:bottom w:val="nil"/>
              <w:right w:val="single" w:sz="8" w:space="0" w:color="auto"/>
            </w:tcBorders>
            <w:shd w:val="clear" w:color="auto" w:fill="auto"/>
            <w:vAlign w:val="center"/>
            <w:hideMark/>
          </w:tcPr>
          <w:p w14:paraId="2E312FEF"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BFI.D568</w:t>
            </w:r>
          </w:p>
        </w:tc>
        <w:tc>
          <w:tcPr>
            <w:tcW w:w="5103" w:type="dxa"/>
            <w:tcBorders>
              <w:top w:val="nil"/>
              <w:left w:val="nil"/>
              <w:bottom w:val="nil"/>
              <w:right w:val="single" w:sz="8" w:space="0" w:color="auto"/>
            </w:tcBorders>
            <w:shd w:val="clear" w:color="auto" w:fill="auto"/>
            <w:noWrap/>
            <w:vAlign w:val="center"/>
            <w:hideMark/>
          </w:tcPr>
          <w:p w14:paraId="3008B3ED"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336 - SUPERÁVIT FINANCEIRO - TRANSFERÊNCIAS CONSTITUCIONAIS A MUNICÍPIOS</w:t>
            </w:r>
          </w:p>
        </w:tc>
        <w:tc>
          <w:tcPr>
            <w:tcW w:w="993" w:type="dxa"/>
            <w:tcBorders>
              <w:top w:val="nil"/>
              <w:left w:val="nil"/>
              <w:bottom w:val="nil"/>
              <w:right w:val="single" w:sz="8" w:space="0" w:color="auto"/>
            </w:tcBorders>
            <w:shd w:val="clear" w:color="auto" w:fill="auto"/>
            <w:vAlign w:val="center"/>
            <w:hideMark/>
          </w:tcPr>
          <w:p w14:paraId="58EB453E"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BFI.G568</w:t>
            </w:r>
          </w:p>
        </w:tc>
        <w:tc>
          <w:tcPr>
            <w:tcW w:w="992" w:type="dxa"/>
            <w:tcBorders>
              <w:top w:val="nil"/>
              <w:left w:val="nil"/>
              <w:bottom w:val="nil"/>
              <w:right w:val="single" w:sz="8" w:space="0" w:color="auto"/>
            </w:tcBorders>
            <w:shd w:val="clear" w:color="auto" w:fill="auto"/>
            <w:vAlign w:val="center"/>
            <w:hideMark/>
          </w:tcPr>
          <w:p w14:paraId="54CC3390"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BFI.H568</w:t>
            </w:r>
          </w:p>
        </w:tc>
      </w:tr>
      <w:tr w:rsidR="00D74061" w:rsidRPr="00D73956" w14:paraId="73ADF46A"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78592E84"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338 - SUPERÁVIT FINANCEIRO - FUNDAP</w:t>
            </w:r>
          </w:p>
        </w:tc>
        <w:tc>
          <w:tcPr>
            <w:tcW w:w="993" w:type="dxa"/>
            <w:tcBorders>
              <w:top w:val="nil"/>
              <w:left w:val="nil"/>
              <w:bottom w:val="nil"/>
              <w:right w:val="single" w:sz="8" w:space="0" w:color="auto"/>
            </w:tcBorders>
            <w:shd w:val="clear" w:color="auto" w:fill="auto"/>
            <w:vAlign w:val="center"/>
            <w:hideMark/>
          </w:tcPr>
          <w:p w14:paraId="105A698E"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BFI.C569</w:t>
            </w:r>
          </w:p>
        </w:tc>
        <w:tc>
          <w:tcPr>
            <w:tcW w:w="992" w:type="dxa"/>
            <w:tcBorders>
              <w:top w:val="nil"/>
              <w:left w:val="nil"/>
              <w:bottom w:val="nil"/>
              <w:right w:val="single" w:sz="8" w:space="0" w:color="auto"/>
            </w:tcBorders>
            <w:shd w:val="clear" w:color="auto" w:fill="auto"/>
            <w:vAlign w:val="center"/>
            <w:hideMark/>
          </w:tcPr>
          <w:p w14:paraId="779019C4"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BFI.D569</w:t>
            </w:r>
          </w:p>
        </w:tc>
        <w:tc>
          <w:tcPr>
            <w:tcW w:w="5103" w:type="dxa"/>
            <w:tcBorders>
              <w:top w:val="nil"/>
              <w:left w:val="nil"/>
              <w:bottom w:val="nil"/>
              <w:right w:val="single" w:sz="8" w:space="0" w:color="auto"/>
            </w:tcBorders>
            <w:shd w:val="clear" w:color="auto" w:fill="auto"/>
            <w:noWrap/>
            <w:vAlign w:val="center"/>
            <w:hideMark/>
          </w:tcPr>
          <w:p w14:paraId="6E396258"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338 - SUPERÁVIT FINANCEIRO - FUNDAP</w:t>
            </w:r>
          </w:p>
        </w:tc>
        <w:tc>
          <w:tcPr>
            <w:tcW w:w="993" w:type="dxa"/>
            <w:tcBorders>
              <w:top w:val="nil"/>
              <w:left w:val="nil"/>
              <w:bottom w:val="nil"/>
              <w:right w:val="single" w:sz="8" w:space="0" w:color="auto"/>
            </w:tcBorders>
            <w:shd w:val="clear" w:color="auto" w:fill="auto"/>
            <w:vAlign w:val="center"/>
            <w:hideMark/>
          </w:tcPr>
          <w:p w14:paraId="2A7ECAC6"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BFI.G569</w:t>
            </w:r>
          </w:p>
        </w:tc>
        <w:tc>
          <w:tcPr>
            <w:tcW w:w="992" w:type="dxa"/>
            <w:tcBorders>
              <w:top w:val="nil"/>
              <w:left w:val="nil"/>
              <w:bottom w:val="nil"/>
              <w:right w:val="single" w:sz="8" w:space="0" w:color="auto"/>
            </w:tcBorders>
            <w:shd w:val="clear" w:color="auto" w:fill="auto"/>
            <w:vAlign w:val="center"/>
            <w:hideMark/>
          </w:tcPr>
          <w:p w14:paraId="5D35CAB2"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BFI.H569</w:t>
            </w:r>
          </w:p>
        </w:tc>
      </w:tr>
      <w:tr w:rsidR="00D74061" w:rsidRPr="00D73956" w14:paraId="593A6FE8"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738679F8"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339 - SUPERÁVIT FINANCEIRO - DOAÇÕES</w:t>
            </w:r>
          </w:p>
        </w:tc>
        <w:tc>
          <w:tcPr>
            <w:tcW w:w="993" w:type="dxa"/>
            <w:tcBorders>
              <w:top w:val="nil"/>
              <w:left w:val="nil"/>
              <w:bottom w:val="nil"/>
              <w:right w:val="single" w:sz="8" w:space="0" w:color="auto"/>
            </w:tcBorders>
            <w:shd w:val="clear" w:color="auto" w:fill="auto"/>
            <w:vAlign w:val="center"/>
            <w:hideMark/>
          </w:tcPr>
          <w:p w14:paraId="09021BDA"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BFI.C570</w:t>
            </w:r>
          </w:p>
        </w:tc>
        <w:tc>
          <w:tcPr>
            <w:tcW w:w="992" w:type="dxa"/>
            <w:tcBorders>
              <w:top w:val="nil"/>
              <w:left w:val="nil"/>
              <w:bottom w:val="nil"/>
              <w:right w:val="single" w:sz="8" w:space="0" w:color="auto"/>
            </w:tcBorders>
            <w:shd w:val="clear" w:color="auto" w:fill="auto"/>
            <w:vAlign w:val="center"/>
            <w:hideMark/>
          </w:tcPr>
          <w:p w14:paraId="30F33E4E"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BFI.D570</w:t>
            </w:r>
          </w:p>
        </w:tc>
        <w:tc>
          <w:tcPr>
            <w:tcW w:w="5103" w:type="dxa"/>
            <w:tcBorders>
              <w:top w:val="nil"/>
              <w:left w:val="nil"/>
              <w:bottom w:val="nil"/>
              <w:right w:val="single" w:sz="8" w:space="0" w:color="auto"/>
            </w:tcBorders>
            <w:shd w:val="clear" w:color="auto" w:fill="auto"/>
            <w:noWrap/>
            <w:vAlign w:val="center"/>
            <w:hideMark/>
          </w:tcPr>
          <w:p w14:paraId="7EAA1471"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339 - SUPERÁVIT FINANCEIRO - DOAÇÕES</w:t>
            </w:r>
          </w:p>
        </w:tc>
        <w:tc>
          <w:tcPr>
            <w:tcW w:w="993" w:type="dxa"/>
            <w:tcBorders>
              <w:top w:val="nil"/>
              <w:left w:val="nil"/>
              <w:bottom w:val="nil"/>
              <w:right w:val="single" w:sz="8" w:space="0" w:color="auto"/>
            </w:tcBorders>
            <w:shd w:val="clear" w:color="auto" w:fill="auto"/>
            <w:vAlign w:val="center"/>
            <w:hideMark/>
          </w:tcPr>
          <w:p w14:paraId="5DDF38A5"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BFI.G570</w:t>
            </w:r>
          </w:p>
        </w:tc>
        <w:tc>
          <w:tcPr>
            <w:tcW w:w="992" w:type="dxa"/>
            <w:tcBorders>
              <w:top w:val="nil"/>
              <w:left w:val="nil"/>
              <w:bottom w:val="nil"/>
              <w:right w:val="single" w:sz="8" w:space="0" w:color="auto"/>
            </w:tcBorders>
            <w:shd w:val="clear" w:color="auto" w:fill="auto"/>
            <w:vAlign w:val="center"/>
            <w:hideMark/>
          </w:tcPr>
          <w:p w14:paraId="578D0D0C"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BFI.H570</w:t>
            </w:r>
          </w:p>
        </w:tc>
      </w:tr>
      <w:tr w:rsidR="00D74061" w:rsidRPr="00D73956" w14:paraId="56427272"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31E3FC5C"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341 - SUPERÁVIT FINANCEIRO - CONVÊNIOS COM ÓRGÃOS NÃO FEDERAIS</w:t>
            </w:r>
          </w:p>
        </w:tc>
        <w:tc>
          <w:tcPr>
            <w:tcW w:w="993" w:type="dxa"/>
            <w:tcBorders>
              <w:top w:val="nil"/>
              <w:left w:val="nil"/>
              <w:bottom w:val="nil"/>
              <w:right w:val="single" w:sz="8" w:space="0" w:color="auto"/>
            </w:tcBorders>
            <w:shd w:val="clear" w:color="auto" w:fill="auto"/>
            <w:vAlign w:val="center"/>
            <w:hideMark/>
          </w:tcPr>
          <w:p w14:paraId="1255308A"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BFI.C571</w:t>
            </w:r>
          </w:p>
        </w:tc>
        <w:tc>
          <w:tcPr>
            <w:tcW w:w="992" w:type="dxa"/>
            <w:tcBorders>
              <w:top w:val="nil"/>
              <w:left w:val="nil"/>
              <w:bottom w:val="nil"/>
              <w:right w:val="single" w:sz="8" w:space="0" w:color="auto"/>
            </w:tcBorders>
            <w:shd w:val="clear" w:color="auto" w:fill="auto"/>
            <w:vAlign w:val="center"/>
            <w:hideMark/>
          </w:tcPr>
          <w:p w14:paraId="6933CCD0"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BFI.D571</w:t>
            </w:r>
          </w:p>
        </w:tc>
        <w:tc>
          <w:tcPr>
            <w:tcW w:w="5103" w:type="dxa"/>
            <w:tcBorders>
              <w:top w:val="nil"/>
              <w:left w:val="nil"/>
              <w:bottom w:val="nil"/>
              <w:right w:val="single" w:sz="8" w:space="0" w:color="auto"/>
            </w:tcBorders>
            <w:shd w:val="clear" w:color="auto" w:fill="auto"/>
            <w:noWrap/>
            <w:vAlign w:val="center"/>
            <w:hideMark/>
          </w:tcPr>
          <w:p w14:paraId="034527A0"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341 - SUPERÁVIT FINANCEIRO - CONVÊNIOS COM ÓRGÃOS NÃO FEDERAIS</w:t>
            </w:r>
          </w:p>
        </w:tc>
        <w:tc>
          <w:tcPr>
            <w:tcW w:w="993" w:type="dxa"/>
            <w:tcBorders>
              <w:top w:val="nil"/>
              <w:left w:val="nil"/>
              <w:bottom w:val="nil"/>
              <w:right w:val="single" w:sz="8" w:space="0" w:color="auto"/>
            </w:tcBorders>
            <w:shd w:val="clear" w:color="auto" w:fill="auto"/>
            <w:vAlign w:val="center"/>
            <w:hideMark/>
          </w:tcPr>
          <w:p w14:paraId="0F0DD35C"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BFI.G571</w:t>
            </w:r>
          </w:p>
        </w:tc>
        <w:tc>
          <w:tcPr>
            <w:tcW w:w="992" w:type="dxa"/>
            <w:tcBorders>
              <w:top w:val="nil"/>
              <w:left w:val="nil"/>
              <w:bottom w:val="nil"/>
              <w:right w:val="single" w:sz="8" w:space="0" w:color="auto"/>
            </w:tcBorders>
            <w:shd w:val="clear" w:color="auto" w:fill="auto"/>
            <w:vAlign w:val="center"/>
            <w:hideMark/>
          </w:tcPr>
          <w:p w14:paraId="207226AD"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BFI.H571</w:t>
            </w:r>
          </w:p>
        </w:tc>
      </w:tr>
      <w:tr w:rsidR="00D74061" w:rsidRPr="00D73956" w14:paraId="5EDCB1A3"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4E2D50B6"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342 - SUPERÁVIT FINANCEIRO - OPERAÇÕES DE CRÉDITO INTERNAS</w:t>
            </w:r>
          </w:p>
        </w:tc>
        <w:tc>
          <w:tcPr>
            <w:tcW w:w="993" w:type="dxa"/>
            <w:tcBorders>
              <w:top w:val="nil"/>
              <w:left w:val="nil"/>
              <w:bottom w:val="nil"/>
              <w:right w:val="single" w:sz="8" w:space="0" w:color="auto"/>
            </w:tcBorders>
            <w:shd w:val="clear" w:color="auto" w:fill="auto"/>
            <w:vAlign w:val="center"/>
            <w:hideMark/>
          </w:tcPr>
          <w:p w14:paraId="3B7E3307"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BFI.C572</w:t>
            </w:r>
          </w:p>
        </w:tc>
        <w:tc>
          <w:tcPr>
            <w:tcW w:w="992" w:type="dxa"/>
            <w:tcBorders>
              <w:top w:val="nil"/>
              <w:left w:val="nil"/>
              <w:bottom w:val="nil"/>
              <w:right w:val="single" w:sz="8" w:space="0" w:color="auto"/>
            </w:tcBorders>
            <w:shd w:val="clear" w:color="auto" w:fill="auto"/>
            <w:vAlign w:val="center"/>
            <w:hideMark/>
          </w:tcPr>
          <w:p w14:paraId="7378765F"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BFI.D572</w:t>
            </w:r>
          </w:p>
        </w:tc>
        <w:tc>
          <w:tcPr>
            <w:tcW w:w="5103" w:type="dxa"/>
            <w:tcBorders>
              <w:top w:val="nil"/>
              <w:left w:val="nil"/>
              <w:bottom w:val="nil"/>
              <w:right w:val="single" w:sz="8" w:space="0" w:color="auto"/>
            </w:tcBorders>
            <w:shd w:val="clear" w:color="auto" w:fill="auto"/>
            <w:noWrap/>
            <w:vAlign w:val="center"/>
            <w:hideMark/>
          </w:tcPr>
          <w:p w14:paraId="6F620AC0"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342 - SUPERÁVIT FINANCEIRO - OPERAÇÕES DE CRÉDITO INTERNAS</w:t>
            </w:r>
          </w:p>
        </w:tc>
        <w:tc>
          <w:tcPr>
            <w:tcW w:w="993" w:type="dxa"/>
            <w:tcBorders>
              <w:top w:val="nil"/>
              <w:left w:val="nil"/>
              <w:bottom w:val="nil"/>
              <w:right w:val="single" w:sz="8" w:space="0" w:color="auto"/>
            </w:tcBorders>
            <w:shd w:val="clear" w:color="auto" w:fill="auto"/>
            <w:vAlign w:val="center"/>
            <w:hideMark/>
          </w:tcPr>
          <w:p w14:paraId="1F436BDA"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BFI.G572</w:t>
            </w:r>
          </w:p>
        </w:tc>
        <w:tc>
          <w:tcPr>
            <w:tcW w:w="992" w:type="dxa"/>
            <w:tcBorders>
              <w:top w:val="nil"/>
              <w:left w:val="nil"/>
              <w:bottom w:val="nil"/>
              <w:right w:val="single" w:sz="8" w:space="0" w:color="auto"/>
            </w:tcBorders>
            <w:shd w:val="clear" w:color="auto" w:fill="auto"/>
            <w:vAlign w:val="center"/>
            <w:hideMark/>
          </w:tcPr>
          <w:p w14:paraId="788D46A9"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BFI.H572</w:t>
            </w:r>
          </w:p>
        </w:tc>
      </w:tr>
      <w:tr w:rsidR="00D74061" w:rsidRPr="00D73956" w14:paraId="1827AE26"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539797F3"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343 - SUPERÁVIT FINANCEIRO - OPERAÇÕES DE CRÉDITO EXTERNAS</w:t>
            </w:r>
          </w:p>
        </w:tc>
        <w:tc>
          <w:tcPr>
            <w:tcW w:w="993" w:type="dxa"/>
            <w:tcBorders>
              <w:top w:val="nil"/>
              <w:left w:val="nil"/>
              <w:bottom w:val="nil"/>
              <w:right w:val="single" w:sz="8" w:space="0" w:color="auto"/>
            </w:tcBorders>
            <w:shd w:val="clear" w:color="auto" w:fill="auto"/>
            <w:vAlign w:val="center"/>
            <w:hideMark/>
          </w:tcPr>
          <w:p w14:paraId="79AD2808"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BFI.C573</w:t>
            </w:r>
          </w:p>
        </w:tc>
        <w:tc>
          <w:tcPr>
            <w:tcW w:w="992" w:type="dxa"/>
            <w:tcBorders>
              <w:top w:val="nil"/>
              <w:left w:val="nil"/>
              <w:bottom w:val="nil"/>
              <w:right w:val="single" w:sz="8" w:space="0" w:color="auto"/>
            </w:tcBorders>
            <w:shd w:val="clear" w:color="auto" w:fill="auto"/>
            <w:vAlign w:val="center"/>
            <w:hideMark/>
          </w:tcPr>
          <w:p w14:paraId="02E5A42F"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BFI.D573</w:t>
            </w:r>
          </w:p>
        </w:tc>
        <w:tc>
          <w:tcPr>
            <w:tcW w:w="5103" w:type="dxa"/>
            <w:tcBorders>
              <w:top w:val="nil"/>
              <w:left w:val="nil"/>
              <w:bottom w:val="nil"/>
              <w:right w:val="single" w:sz="8" w:space="0" w:color="auto"/>
            </w:tcBorders>
            <w:shd w:val="clear" w:color="auto" w:fill="auto"/>
            <w:noWrap/>
            <w:vAlign w:val="center"/>
            <w:hideMark/>
          </w:tcPr>
          <w:p w14:paraId="3ED85A7E"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343 - SUPERÁVIT FINANCEIRO - OPERAÇÕES DE CRÉDITO EXTERNAS</w:t>
            </w:r>
          </w:p>
        </w:tc>
        <w:tc>
          <w:tcPr>
            <w:tcW w:w="993" w:type="dxa"/>
            <w:tcBorders>
              <w:top w:val="nil"/>
              <w:left w:val="nil"/>
              <w:bottom w:val="nil"/>
              <w:right w:val="single" w:sz="8" w:space="0" w:color="auto"/>
            </w:tcBorders>
            <w:shd w:val="clear" w:color="auto" w:fill="auto"/>
            <w:vAlign w:val="center"/>
            <w:hideMark/>
          </w:tcPr>
          <w:p w14:paraId="0D146F31"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BFI.G573</w:t>
            </w:r>
          </w:p>
        </w:tc>
        <w:tc>
          <w:tcPr>
            <w:tcW w:w="992" w:type="dxa"/>
            <w:tcBorders>
              <w:top w:val="nil"/>
              <w:left w:val="nil"/>
              <w:bottom w:val="nil"/>
              <w:right w:val="single" w:sz="8" w:space="0" w:color="auto"/>
            </w:tcBorders>
            <w:shd w:val="clear" w:color="auto" w:fill="auto"/>
            <w:vAlign w:val="center"/>
            <w:hideMark/>
          </w:tcPr>
          <w:p w14:paraId="63FA65FE"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BFI.H573</w:t>
            </w:r>
          </w:p>
        </w:tc>
      </w:tr>
      <w:tr w:rsidR="00D74061" w:rsidRPr="00D73956" w14:paraId="3B1B6C54"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4550985C"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344 - SUPERÁVIT FINANCEIRO - TRANSFERÊNCIAS A MUNICÍPIOS - CIDE</w:t>
            </w:r>
          </w:p>
        </w:tc>
        <w:tc>
          <w:tcPr>
            <w:tcW w:w="993" w:type="dxa"/>
            <w:tcBorders>
              <w:top w:val="nil"/>
              <w:left w:val="nil"/>
              <w:bottom w:val="nil"/>
              <w:right w:val="single" w:sz="8" w:space="0" w:color="auto"/>
            </w:tcBorders>
            <w:shd w:val="clear" w:color="auto" w:fill="auto"/>
            <w:vAlign w:val="center"/>
            <w:hideMark/>
          </w:tcPr>
          <w:p w14:paraId="3FF1CFDF"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BFI.C574</w:t>
            </w:r>
          </w:p>
        </w:tc>
        <w:tc>
          <w:tcPr>
            <w:tcW w:w="992" w:type="dxa"/>
            <w:tcBorders>
              <w:top w:val="nil"/>
              <w:left w:val="nil"/>
              <w:bottom w:val="nil"/>
              <w:right w:val="single" w:sz="8" w:space="0" w:color="auto"/>
            </w:tcBorders>
            <w:shd w:val="clear" w:color="auto" w:fill="auto"/>
            <w:vAlign w:val="center"/>
            <w:hideMark/>
          </w:tcPr>
          <w:p w14:paraId="3AC07EAB"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BFI.D574</w:t>
            </w:r>
          </w:p>
        </w:tc>
        <w:tc>
          <w:tcPr>
            <w:tcW w:w="5103" w:type="dxa"/>
            <w:tcBorders>
              <w:top w:val="nil"/>
              <w:left w:val="nil"/>
              <w:bottom w:val="nil"/>
              <w:right w:val="single" w:sz="8" w:space="0" w:color="auto"/>
            </w:tcBorders>
            <w:shd w:val="clear" w:color="auto" w:fill="auto"/>
            <w:noWrap/>
            <w:vAlign w:val="center"/>
            <w:hideMark/>
          </w:tcPr>
          <w:p w14:paraId="05C84C1A"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344 - SUPERÁVIT FINANCEIRO - TRANSFERÊNCIAS A MUNICÍPIOS - CIDE</w:t>
            </w:r>
          </w:p>
        </w:tc>
        <w:tc>
          <w:tcPr>
            <w:tcW w:w="993" w:type="dxa"/>
            <w:tcBorders>
              <w:top w:val="nil"/>
              <w:left w:val="nil"/>
              <w:bottom w:val="nil"/>
              <w:right w:val="single" w:sz="8" w:space="0" w:color="auto"/>
            </w:tcBorders>
            <w:shd w:val="clear" w:color="auto" w:fill="auto"/>
            <w:vAlign w:val="center"/>
            <w:hideMark/>
          </w:tcPr>
          <w:p w14:paraId="701C3D16"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BFI.G574</w:t>
            </w:r>
          </w:p>
        </w:tc>
        <w:tc>
          <w:tcPr>
            <w:tcW w:w="992" w:type="dxa"/>
            <w:tcBorders>
              <w:top w:val="nil"/>
              <w:left w:val="nil"/>
              <w:bottom w:val="nil"/>
              <w:right w:val="single" w:sz="8" w:space="0" w:color="auto"/>
            </w:tcBorders>
            <w:shd w:val="clear" w:color="auto" w:fill="auto"/>
            <w:vAlign w:val="center"/>
            <w:hideMark/>
          </w:tcPr>
          <w:p w14:paraId="06606550"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BFI.H574</w:t>
            </w:r>
          </w:p>
        </w:tc>
      </w:tr>
      <w:tr w:rsidR="00D74061" w:rsidRPr="00D73956" w14:paraId="3E1A08A7"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2617AA2F"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350 - SUPERÁVIT FINANCEIRO - PACTO NACIONAL PELA GESTÃO DAS ÁGUAS – PROGESTÃO</w:t>
            </w:r>
          </w:p>
        </w:tc>
        <w:tc>
          <w:tcPr>
            <w:tcW w:w="993" w:type="dxa"/>
            <w:tcBorders>
              <w:top w:val="nil"/>
              <w:left w:val="nil"/>
              <w:bottom w:val="nil"/>
              <w:right w:val="single" w:sz="8" w:space="0" w:color="auto"/>
            </w:tcBorders>
            <w:shd w:val="clear" w:color="auto" w:fill="auto"/>
            <w:vAlign w:val="center"/>
            <w:hideMark/>
          </w:tcPr>
          <w:p w14:paraId="74E8947A"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BFI.C575</w:t>
            </w:r>
          </w:p>
        </w:tc>
        <w:tc>
          <w:tcPr>
            <w:tcW w:w="992" w:type="dxa"/>
            <w:tcBorders>
              <w:top w:val="nil"/>
              <w:left w:val="nil"/>
              <w:bottom w:val="nil"/>
              <w:right w:val="single" w:sz="8" w:space="0" w:color="auto"/>
            </w:tcBorders>
            <w:shd w:val="clear" w:color="auto" w:fill="auto"/>
            <w:vAlign w:val="center"/>
            <w:hideMark/>
          </w:tcPr>
          <w:p w14:paraId="1995107F"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BFI.D575</w:t>
            </w:r>
          </w:p>
        </w:tc>
        <w:tc>
          <w:tcPr>
            <w:tcW w:w="5103" w:type="dxa"/>
            <w:tcBorders>
              <w:top w:val="nil"/>
              <w:left w:val="nil"/>
              <w:bottom w:val="nil"/>
              <w:right w:val="single" w:sz="8" w:space="0" w:color="auto"/>
            </w:tcBorders>
            <w:shd w:val="clear" w:color="auto" w:fill="auto"/>
            <w:noWrap/>
            <w:vAlign w:val="center"/>
            <w:hideMark/>
          </w:tcPr>
          <w:p w14:paraId="06A69B80"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350 - SUPERÁVIT FINANCEIRO - PACTO NACIONAL PELA GESTÃO DAS ÁGUAS – PROGESTÃO</w:t>
            </w:r>
          </w:p>
        </w:tc>
        <w:tc>
          <w:tcPr>
            <w:tcW w:w="993" w:type="dxa"/>
            <w:tcBorders>
              <w:top w:val="nil"/>
              <w:left w:val="nil"/>
              <w:bottom w:val="nil"/>
              <w:right w:val="single" w:sz="8" w:space="0" w:color="auto"/>
            </w:tcBorders>
            <w:shd w:val="clear" w:color="auto" w:fill="auto"/>
            <w:vAlign w:val="center"/>
            <w:hideMark/>
          </w:tcPr>
          <w:p w14:paraId="40A83C4A"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BFI.G575</w:t>
            </w:r>
          </w:p>
        </w:tc>
        <w:tc>
          <w:tcPr>
            <w:tcW w:w="992" w:type="dxa"/>
            <w:tcBorders>
              <w:top w:val="nil"/>
              <w:left w:val="nil"/>
              <w:bottom w:val="nil"/>
              <w:right w:val="single" w:sz="8" w:space="0" w:color="auto"/>
            </w:tcBorders>
            <w:shd w:val="clear" w:color="auto" w:fill="auto"/>
            <w:vAlign w:val="center"/>
            <w:hideMark/>
          </w:tcPr>
          <w:p w14:paraId="111DC4F8"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BFI.H575</w:t>
            </w:r>
          </w:p>
        </w:tc>
      </w:tr>
      <w:tr w:rsidR="00D74061" w:rsidRPr="00D73956" w14:paraId="44364A88"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07CACF1B"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354 - SUPERÁVIT FINANCEIRO - CIDE</w:t>
            </w:r>
          </w:p>
        </w:tc>
        <w:tc>
          <w:tcPr>
            <w:tcW w:w="993" w:type="dxa"/>
            <w:tcBorders>
              <w:top w:val="nil"/>
              <w:left w:val="nil"/>
              <w:bottom w:val="nil"/>
              <w:right w:val="single" w:sz="8" w:space="0" w:color="auto"/>
            </w:tcBorders>
            <w:shd w:val="clear" w:color="auto" w:fill="auto"/>
            <w:vAlign w:val="center"/>
            <w:hideMark/>
          </w:tcPr>
          <w:p w14:paraId="0A77E985"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BFI.C576</w:t>
            </w:r>
          </w:p>
        </w:tc>
        <w:tc>
          <w:tcPr>
            <w:tcW w:w="992" w:type="dxa"/>
            <w:tcBorders>
              <w:top w:val="nil"/>
              <w:left w:val="nil"/>
              <w:bottom w:val="nil"/>
              <w:right w:val="single" w:sz="8" w:space="0" w:color="auto"/>
            </w:tcBorders>
            <w:shd w:val="clear" w:color="auto" w:fill="auto"/>
            <w:vAlign w:val="center"/>
            <w:hideMark/>
          </w:tcPr>
          <w:p w14:paraId="35465B53"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BFI.D576</w:t>
            </w:r>
          </w:p>
        </w:tc>
        <w:tc>
          <w:tcPr>
            <w:tcW w:w="5103" w:type="dxa"/>
            <w:tcBorders>
              <w:top w:val="nil"/>
              <w:left w:val="nil"/>
              <w:bottom w:val="nil"/>
              <w:right w:val="single" w:sz="8" w:space="0" w:color="auto"/>
            </w:tcBorders>
            <w:shd w:val="clear" w:color="auto" w:fill="auto"/>
            <w:noWrap/>
            <w:vAlign w:val="center"/>
            <w:hideMark/>
          </w:tcPr>
          <w:p w14:paraId="672A47FB"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354 - SUPERÁVIT FINANCEIRO - CIDE</w:t>
            </w:r>
          </w:p>
        </w:tc>
        <w:tc>
          <w:tcPr>
            <w:tcW w:w="993" w:type="dxa"/>
            <w:tcBorders>
              <w:top w:val="nil"/>
              <w:left w:val="nil"/>
              <w:bottom w:val="nil"/>
              <w:right w:val="single" w:sz="8" w:space="0" w:color="auto"/>
            </w:tcBorders>
            <w:shd w:val="clear" w:color="auto" w:fill="auto"/>
            <w:vAlign w:val="center"/>
            <w:hideMark/>
          </w:tcPr>
          <w:p w14:paraId="5C18574D"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BFI.G576</w:t>
            </w:r>
          </w:p>
        </w:tc>
        <w:tc>
          <w:tcPr>
            <w:tcW w:w="992" w:type="dxa"/>
            <w:tcBorders>
              <w:top w:val="nil"/>
              <w:left w:val="nil"/>
              <w:bottom w:val="nil"/>
              <w:right w:val="single" w:sz="8" w:space="0" w:color="auto"/>
            </w:tcBorders>
            <w:shd w:val="clear" w:color="auto" w:fill="auto"/>
            <w:vAlign w:val="center"/>
            <w:hideMark/>
          </w:tcPr>
          <w:p w14:paraId="2CDA0D20"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BFI.H576</w:t>
            </w:r>
          </w:p>
        </w:tc>
      </w:tr>
      <w:tr w:rsidR="00D74061" w:rsidRPr="00D73956" w14:paraId="0C66AFDD"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71D62F4D"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357 - SUPERÁVIT FINANCEIRO - INCENTIVO SUAS - UNIÃO</w:t>
            </w:r>
          </w:p>
        </w:tc>
        <w:tc>
          <w:tcPr>
            <w:tcW w:w="993" w:type="dxa"/>
            <w:tcBorders>
              <w:top w:val="nil"/>
              <w:left w:val="nil"/>
              <w:bottom w:val="nil"/>
              <w:right w:val="single" w:sz="8" w:space="0" w:color="auto"/>
            </w:tcBorders>
            <w:shd w:val="clear" w:color="auto" w:fill="auto"/>
            <w:vAlign w:val="center"/>
            <w:hideMark/>
          </w:tcPr>
          <w:p w14:paraId="40E18C64"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BFI.C577</w:t>
            </w:r>
          </w:p>
        </w:tc>
        <w:tc>
          <w:tcPr>
            <w:tcW w:w="992" w:type="dxa"/>
            <w:tcBorders>
              <w:top w:val="nil"/>
              <w:left w:val="nil"/>
              <w:bottom w:val="nil"/>
              <w:right w:val="single" w:sz="8" w:space="0" w:color="auto"/>
            </w:tcBorders>
            <w:shd w:val="clear" w:color="auto" w:fill="auto"/>
            <w:vAlign w:val="center"/>
            <w:hideMark/>
          </w:tcPr>
          <w:p w14:paraId="27D3B611"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BFI.D577</w:t>
            </w:r>
          </w:p>
        </w:tc>
        <w:tc>
          <w:tcPr>
            <w:tcW w:w="5103" w:type="dxa"/>
            <w:tcBorders>
              <w:top w:val="nil"/>
              <w:left w:val="nil"/>
              <w:bottom w:val="nil"/>
              <w:right w:val="single" w:sz="8" w:space="0" w:color="auto"/>
            </w:tcBorders>
            <w:shd w:val="clear" w:color="auto" w:fill="auto"/>
            <w:noWrap/>
            <w:vAlign w:val="center"/>
            <w:hideMark/>
          </w:tcPr>
          <w:p w14:paraId="7FFC6690"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357 - SUPERÁVIT FINANCEIRO - INCENTIVO SUAS - UNIÃO</w:t>
            </w:r>
          </w:p>
        </w:tc>
        <w:tc>
          <w:tcPr>
            <w:tcW w:w="993" w:type="dxa"/>
            <w:tcBorders>
              <w:top w:val="nil"/>
              <w:left w:val="nil"/>
              <w:bottom w:val="nil"/>
              <w:right w:val="single" w:sz="8" w:space="0" w:color="auto"/>
            </w:tcBorders>
            <w:shd w:val="clear" w:color="auto" w:fill="auto"/>
            <w:vAlign w:val="center"/>
            <w:hideMark/>
          </w:tcPr>
          <w:p w14:paraId="10F7B1F4"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BFI.G577</w:t>
            </w:r>
          </w:p>
        </w:tc>
        <w:tc>
          <w:tcPr>
            <w:tcW w:w="992" w:type="dxa"/>
            <w:tcBorders>
              <w:top w:val="nil"/>
              <w:left w:val="nil"/>
              <w:bottom w:val="nil"/>
              <w:right w:val="single" w:sz="8" w:space="0" w:color="auto"/>
            </w:tcBorders>
            <w:shd w:val="clear" w:color="auto" w:fill="auto"/>
            <w:vAlign w:val="center"/>
            <w:hideMark/>
          </w:tcPr>
          <w:p w14:paraId="09729910"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BFI.H577</w:t>
            </w:r>
          </w:p>
        </w:tc>
      </w:tr>
      <w:tr w:rsidR="00D74061" w:rsidRPr="00D73956" w14:paraId="35715ECF"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5A757BD6"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358 -  SUPERÁVIT FINANCEIRO - TRANSFERÊNCIAS A MUNICÍPIOS - LEI PELÉ</w:t>
            </w:r>
          </w:p>
        </w:tc>
        <w:tc>
          <w:tcPr>
            <w:tcW w:w="993" w:type="dxa"/>
            <w:tcBorders>
              <w:top w:val="nil"/>
              <w:left w:val="nil"/>
              <w:bottom w:val="nil"/>
              <w:right w:val="single" w:sz="8" w:space="0" w:color="auto"/>
            </w:tcBorders>
            <w:shd w:val="clear" w:color="auto" w:fill="auto"/>
            <w:vAlign w:val="center"/>
            <w:hideMark/>
          </w:tcPr>
          <w:p w14:paraId="681CB6AD"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BFI.C578</w:t>
            </w:r>
          </w:p>
        </w:tc>
        <w:tc>
          <w:tcPr>
            <w:tcW w:w="992" w:type="dxa"/>
            <w:tcBorders>
              <w:top w:val="nil"/>
              <w:left w:val="nil"/>
              <w:bottom w:val="nil"/>
              <w:right w:val="single" w:sz="8" w:space="0" w:color="auto"/>
            </w:tcBorders>
            <w:shd w:val="clear" w:color="auto" w:fill="auto"/>
            <w:vAlign w:val="center"/>
            <w:hideMark/>
          </w:tcPr>
          <w:p w14:paraId="3099074E"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BFI.D578</w:t>
            </w:r>
          </w:p>
        </w:tc>
        <w:tc>
          <w:tcPr>
            <w:tcW w:w="5103" w:type="dxa"/>
            <w:tcBorders>
              <w:top w:val="nil"/>
              <w:left w:val="nil"/>
              <w:bottom w:val="nil"/>
              <w:right w:val="single" w:sz="8" w:space="0" w:color="auto"/>
            </w:tcBorders>
            <w:shd w:val="clear" w:color="auto" w:fill="auto"/>
            <w:noWrap/>
            <w:vAlign w:val="center"/>
            <w:hideMark/>
          </w:tcPr>
          <w:p w14:paraId="79BA09DC"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358 -  SUPERÁVIT FINANCEIRO - TRANSFERÊNCIAS A MUNICÍPIOS - LEI PELÉ</w:t>
            </w:r>
          </w:p>
        </w:tc>
        <w:tc>
          <w:tcPr>
            <w:tcW w:w="993" w:type="dxa"/>
            <w:tcBorders>
              <w:top w:val="nil"/>
              <w:left w:val="nil"/>
              <w:bottom w:val="nil"/>
              <w:right w:val="single" w:sz="8" w:space="0" w:color="auto"/>
            </w:tcBorders>
            <w:shd w:val="clear" w:color="auto" w:fill="auto"/>
            <w:vAlign w:val="center"/>
            <w:hideMark/>
          </w:tcPr>
          <w:p w14:paraId="7119248C"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BFI.G578</w:t>
            </w:r>
          </w:p>
        </w:tc>
        <w:tc>
          <w:tcPr>
            <w:tcW w:w="992" w:type="dxa"/>
            <w:tcBorders>
              <w:top w:val="nil"/>
              <w:left w:val="nil"/>
              <w:bottom w:val="nil"/>
              <w:right w:val="single" w:sz="8" w:space="0" w:color="auto"/>
            </w:tcBorders>
            <w:shd w:val="clear" w:color="auto" w:fill="auto"/>
            <w:vAlign w:val="center"/>
            <w:hideMark/>
          </w:tcPr>
          <w:p w14:paraId="6C9BF0CA"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BFI.H578</w:t>
            </w:r>
          </w:p>
        </w:tc>
      </w:tr>
      <w:tr w:rsidR="00D74061" w:rsidRPr="00D73956" w14:paraId="68FF843D"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594EF48E"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359 - SUPERÁVIT FINANCEIRO - TRANSFERÊNCIAS FINANCEIRAS A FUNDOS</w:t>
            </w:r>
          </w:p>
        </w:tc>
        <w:tc>
          <w:tcPr>
            <w:tcW w:w="993" w:type="dxa"/>
            <w:tcBorders>
              <w:top w:val="nil"/>
              <w:left w:val="nil"/>
              <w:bottom w:val="nil"/>
              <w:right w:val="single" w:sz="8" w:space="0" w:color="auto"/>
            </w:tcBorders>
            <w:shd w:val="clear" w:color="auto" w:fill="auto"/>
            <w:vAlign w:val="center"/>
            <w:hideMark/>
          </w:tcPr>
          <w:p w14:paraId="4508BEC2"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BFI.C579</w:t>
            </w:r>
          </w:p>
        </w:tc>
        <w:tc>
          <w:tcPr>
            <w:tcW w:w="992" w:type="dxa"/>
            <w:tcBorders>
              <w:top w:val="nil"/>
              <w:left w:val="nil"/>
              <w:bottom w:val="nil"/>
              <w:right w:val="single" w:sz="8" w:space="0" w:color="auto"/>
            </w:tcBorders>
            <w:shd w:val="clear" w:color="auto" w:fill="auto"/>
            <w:vAlign w:val="center"/>
            <w:hideMark/>
          </w:tcPr>
          <w:p w14:paraId="7B8AE3C7"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BFI.D579</w:t>
            </w:r>
          </w:p>
        </w:tc>
        <w:tc>
          <w:tcPr>
            <w:tcW w:w="5103" w:type="dxa"/>
            <w:tcBorders>
              <w:top w:val="nil"/>
              <w:left w:val="nil"/>
              <w:bottom w:val="nil"/>
              <w:right w:val="single" w:sz="8" w:space="0" w:color="auto"/>
            </w:tcBorders>
            <w:shd w:val="clear" w:color="auto" w:fill="auto"/>
            <w:noWrap/>
            <w:vAlign w:val="center"/>
            <w:hideMark/>
          </w:tcPr>
          <w:p w14:paraId="1A513831"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359 - SUPERÁVIT FINANCEIRO - TRANSFERÊNCIAS FINANCEIRAS A FUNDOS</w:t>
            </w:r>
          </w:p>
        </w:tc>
        <w:tc>
          <w:tcPr>
            <w:tcW w:w="993" w:type="dxa"/>
            <w:tcBorders>
              <w:top w:val="nil"/>
              <w:left w:val="nil"/>
              <w:bottom w:val="nil"/>
              <w:right w:val="single" w:sz="8" w:space="0" w:color="auto"/>
            </w:tcBorders>
            <w:shd w:val="clear" w:color="auto" w:fill="auto"/>
            <w:vAlign w:val="center"/>
            <w:hideMark/>
          </w:tcPr>
          <w:p w14:paraId="38E55CAF"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BFI.G579</w:t>
            </w:r>
          </w:p>
        </w:tc>
        <w:tc>
          <w:tcPr>
            <w:tcW w:w="992" w:type="dxa"/>
            <w:tcBorders>
              <w:top w:val="nil"/>
              <w:left w:val="nil"/>
              <w:bottom w:val="nil"/>
              <w:right w:val="single" w:sz="8" w:space="0" w:color="auto"/>
            </w:tcBorders>
            <w:shd w:val="clear" w:color="auto" w:fill="auto"/>
            <w:vAlign w:val="center"/>
            <w:hideMark/>
          </w:tcPr>
          <w:p w14:paraId="522177D8"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BFI.H579</w:t>
            </w:r>
          </w:p>
        </w:tc>
      </w:tr>
      <w:tr w:rsidR="00D74061" w:rsidRPr="00D73956" w14:paraId="5DD0AC82"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2D811225"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361 - SUPERÁVIT FINANCEIRO - FUNCOP</w:t>
            </w:r>
          </w:p>
        </w:tc>
        <w:tc>
          <w:tcPr>
            <w:tcW w:w="993" w:type="dxa"/>
            <w:tcBorders>
              <w:top w:val="nil"/>
              <w:left w:val="nil"/>
              <w:bottom w:val="nil"/>
              <w:right w:val="single" w:sz="8" w:space="0" w:color="auto"/>
            </w:tcBorders>
            <w:shd w:val="clear" w:color="auto" w:fill="auto"/>
            <w:vAlign w:val="center"/>
            <w:hideMark/>
          </w:tcPr>
          <w:p w14:paraId="4BA1E431"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BFI.C580</w:t>
            </w:r>
          </w:p>
        </w:tc>
        <w:tc>
          <w:tcPr>
            <w:tcW w:w="992" w:type="dxa"/>
            <w:tcBorders>
              <w:top w:val="nil"/>
              <w:left w:val="nil"/>
              <w:bottom w:val="nil"/>
              <w:right w:val="single" w:sz="8" w:space="0" w:color="auto"/>
            </w:tcBorders>
            <w:shd w:val="clear" w:color="auto" w:fill="auto"/>
            <w:vAlign w:val="center"/>
            <w:hideMark/>
          </w:tcPr>
          <w:p w14:paraId="1CBC01F9"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BFI.D580</w:t>
            </w:r>
          </w:p>
        </w:tc>
        <w:tc>
          <w:tcPr>
            <w:tcW w:w="5103" w:type="dxa"/>
            <w:tcBorders>
              <w:top w:val="nil"/>
              <w:left w:val="nil"/>
              <w:bottom w:val="nil"/>
              <w:right w:val="single" w:sz="8" w:space="0" w:color="auto"/>
            </w:tcBorders>
            <w:shd w:val="clear" w:color="auto" w:fill="auto"/>
            <w:noWrap/>
            <w:vAlign w:val="center"/>
            <w:hideMark/>
          </w:tcPr>
          <w:p w14:paraId="73A45C96"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361 - SUPERÁVIT FINANCEIRO - FUNCOP</w:t>
            </w:r>
          </w:p>
        </w:tc>
        <w:tc>
          <w:tcPr>
            <w:tcW w:w="993" w:type="dxa"/>
            <w:tcBorders>
              <w:top w:val="nil"/>
              <w:left w:val="nil"/>
              <w:bottom w:val="nil"/>
              <w:right w:val="single" w:sz="8" w:space="0" w:color="auto"/>
            </w:tcBorders>
            <w:shd w:val="clear" w:color="auto" w:fill="auto"/>
            <w:vAlign w:val="center"/>
            <w:hideMark/>
          </w:tcPr>
          <w:p w14:paraId="0380CA00"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BFI.G580</w:t>
            </w:r>
          </w:p>
        </w:tc>
        <w:tc>
          <w:tcPr>
            <w:tcW w:w="992" w:type="dxa"/>
            <w:tcBorders>
              <w:top w:val="nil"/>
              <w:left w:val="nil"/>
              <w:bottom w:val="nil"/>
              <w:right w:val="single" w:sz="8" w:space="0" w:color="auto"/>
            </w:tcBorders>
            <w:shd w:val="clear" w:color="auto" w:fill="auto"/>
            <w:vAlign w:val="center"/>
            <w:hideMark/>
          </w:tcPr>
          <w:p w14:paraId="7ED21DDD"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BFI.H580</w:t>
            </w:r>
          </w:p>
        </w:tc>
      </w:tr>
      <w:tr w:rsidR="00D74061" w:rsidRPr="00D73956" w14:paraId="4E813FD1"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2976CF92"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363 - SUPERÁVIT FINANCEIRO - RECURSOS LEI PELÉ</w:t>
            </w:r>
          </w:p>
        </w:tc>
        <w:tc>
          <w:tcPr>
            <w:tcW w:w="993" w:type="dxa"/>
            <w:tcBorders>
              <w:top w:val="nil"/>
              <w:left w:val="nil"/>
              <w:bottom w:val="nil"/>
              <w:right w:val="single" w:sz="8" w:space="0" w:color="auto"/>
            </w:tcBorders>
            <w:shd w:val="clear" w:color="auto" w:fill="auto"/>
            <w:vAlign w:val="center"/>
            <w:hideMark/>
          </w:tcPr>
          <w:p w14:paraId="4E05CD6F"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BFI.C582</w:t>
            </w:r>
          </w:p>
        </w:tc>
        <w:tc>
          <w:tcPr>
            <w:tcW w:w="992" w:type="dxa"/>
            <w:tcBorders>
              <w:top w:val="nil"/>
              <w:left w:val="nil"/>
              <w:bottom w:val="nil"/>
              <w:right w:val="single" w:sz="8" w:space="0" w:color="auto"/>
            </w:tcBorders>
            <w:shd w:val="clear" w:color="auto" w:fill="auto"/>
            <w:vAlign w:val="center"/>
            <w:hideMark/>
          </w:tcPr>
          <w:p w14:paraId="4FA6FA68"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BFI.D582</w:t>
            </w:r>
          </w:p>
        </w:tc>
        <w:tc>
          <w:tcPr>
            <w:tcW w:w="5103" w:type="dxa"/>
            <w:tcBorders>
              <w:top w:val="nil"/>
              <w:left w:val="nil"/>
              <w:bottom w:val="nil"/>
              <w:right w:val="single" w:sz="8" w:space="0" w:color="auto"/>
            </w:tcBorders>
            <w:shd w:val="clear" w:color="auto" w:fill="auto"/>
            <w:noWrap/>
            <w:vAlign w:val="center"/>
            <w:hideMark/>
          </w:tcPr>
          <w:p w14:paraId="53E154E0"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363 - SUPERÁVIT FINANCEIRO - RECURSOS LEI PELÉ</w:t>
            </w:r>
          </w:p>
        </w:tc>
        <w:tc>
          <w:tcPr>
            <w:tcW w:w="993" w:type="dxa"/>
            <w:tcBorders>
              <w:top w:val="nil"/>
              <w:left w:val="nil"/>
              <w:bottom w:val="nil"/>
              <w:right w:val="single" w:sz="8" w:space="0" w:color="auto"/>
            </w:tcBorders>
            <w:shd w:val="clear" w:color="auto" w:fill="auto"/>
            <w:vAlign w:val="center"/>
            <w:hideMark/>
          </w:tcPr>
          <w:p w14:paraId="06820133"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BFI.G582</w:t>
            </w:r>
          </w:p>
        </w:tc>
        <w:tc>
          <w:tcPr>
            <w:tcW w:w="992" w:type="dxa"/>
            <w:tcBorders>
              <w:top w:val="nil"/>
              <w:left w:val="nil"/>
              <w:bottom w:val="nil"/>
              <w:right w:val="single" w:sz="8" w:space="0" w:color="auto"/>
            </w:tcBorders>
            <w:shd w:val="clear" w:color="auto" w:fill="auto"/>
            <w:vAlign w:val="center"/>
            <w:hideMark/>
          </w:tcPr>
          <w:p w14:paraId="4474C39D"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BFI.H582</w:t>
            </w:r>
          </w:p>
        </w:tc>
      </w:tr>
      <w:tr w:rsidR="00D74061" w:rsidRPr="00D73956" w14:paraId="0F457CA2"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4F7A1056"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364 - SUPERÁVIT FINANCEIRO - TRANSFERÊNCIA A MUNICÍPIOS - ROYALTIES</w:t>
            </w:r>
          </w:p>
        </w:tc>
        <w:tc>
          <w:tcPr>
            <w:tcW w:w="993" w:type="dxa"/>
            <w:tcBorders>
              <w:top w:val="nil"/>
              <w:left w:val="nil"/>
              <w:bottom w:val="nil"/>
              <w:right w:val="single" w:sz="8" w:space="0" w:color="auto"/>
            </w:tcBorders>
            <w:shd w:val="clear" w:color="auto" w:fill="auto"/>
            <w:vAlign w:val="center"/>
            <w:hideMark/>
          </w:tcPr>
          <w:p w14:paraId="18D1A429"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BFI.C583</w:t>
            </w:r>
          </w:p>
        </w:tc>
        <w:tc>
          <w:tcPr>
            <w:tcW w:w="992" w:type="dxa"/>
            <w:tcBorders>
              <w:top w:val="nil"/>
              <w:left w:val="nil"/>
              <w:bottom w:val="nil"/>
              <w:right w:val="single" w:sz="8" w:space="0" w:color="auto"/>
            </w:tcBorders>
            <w:shd w:val="clear" w:color="auto" w:fill="auto"/>
            <w:vAlign w:val="center"/>
            <w:hideMark/>
          </w:tcPr>
          <w:p w14:paraId="3D938878"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BFI.D583</w:t>
            </w:r>
          </w:p>
        </w:tc>
        <w:tc>
          <w:tcPr>
            <w:tcW w:w="5103" w:type="dxa"/>
            <w:tcBorders>
              <w:top w:val="nil"/>
              <w:left w:val="nil"/>
              <w:bottom w:val="nil"/>
              <w:right w:val="single" w:sz="8" w:space="0" w:color="auto"/>
            </w:tcBorders>
            <w:shd w:val="clear" w:color="auto" w:fill="auto"/>
            <w:noWrap/>
            <w:vAlign w:val="center"/>
            <w:hideMark/>
          </w:tcPr>
          <w:p w14:paraId="5FE739AF"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364 - SUPERÁVIT FINANCEIRO - TRANSFERÊNCIA A MUNICÍPIOS - ROYALTIES</w:t>
            </w:r>
          </w:p>
        </w:tc>
        <w:tc>
          <w:tcPr>
            <w:tcW w:w="993" w:type="dxa"/>
            <w:tcBorders>
              <w:top w:val="nil"/>
              <w:left w:val="nil"/>
              <w:bottom w:val="nil"/>
              <w:right w:val="single" w:sz="8" w:space="0" w:color="auto"/>
            </w:tcBorders>
            <w:shd w:val="clear" w:color="auto" w:fill="auto"/>
            <w:vAlign w:val="center"/>
            <w:hideMark/>
          </w:tcPr>
          <w:p w14:paraId="449CE376"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BFI.G583</w:t>
            </w:r>
          </w:p>
        </w:tc>
        <w:tc>
          <w:tcPr>
            <w:tcW w:w="992" w:type="dxa"/>
            <w:tcBorders>
              <w:top w:val="nil"/>
              <w:left w:val="nil"/>
              <w:bottom w:val="nil"/>
              <w:right w:val="single" w:sz="8" w:space="0" w:color="auto"/>
            </w:tcBorders>
            <w:shd w:val="clear" w:color="auto" w:fill="auto"/>
            <w:vAlign w:val="center"/>
            <w:hideMark/>
          </w:tcPr>
          <w:p w14:paraId="51CF0D7E"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BFI.H583</w:t>
            </w:r>
          </w:p>
        </w:tc>
      </w:tr>
      <w:tr w:rsidR="00D74061" w:rsidRPr="00D73956" w14:paraId="5CAC780E"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77CB0EDE"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366 -  SUPERÁVIT FINANCEIRO - PAR</w:t>
            </w:r>
          </w:p>
        </w:tc>
        <w:tc>
          <w:tcPr>
            <w:tcW w:w="993" w:type="dxa"/>
            <w:tcBorders>
              <w:top w:val="nil"/>
              <w:left w:val="nil"/>
              <w:bottom w:val="nil"/>
              <w:right w:val="single" w:sz="8" w:space="0" w:color="auto"/>
            </w:tcBorders>
            <w:shd w:val="clear" w:color="auto" w:fill="auto"/>
            <w:vAlign w:val="center"/>
            <w:hideMark/>
          </w:tcPr>
          <w:p w14:paraId="44064772"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BFI.C584</w:t>
            </w:r>
          </w:p>
        </w:tc>
        <w:tc>
          <w:tcPr>
            <w:tcW w:w="992" w:type="dxa"/>
            <w:tcBorders>
              <w:top w:val="nil"/>
              <w:left w:val="nil"/>
              <w:bottom w:val="nil"/>
              <w:right w:val="single" w:sz="8" w:space="0" w:color="auto"/>
            </w:tcBorders>
            <w:shd w:val="clear" w:color="auto" w:fill="auto"/>
            <w:vAlign w:val="center"/>
            <w:hideMark/>
          </w:tcPr>
          <w:p w14:paraId="3FEFB05D"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BFI.D584</w:t>
            </w:r>
          </w:p>
        </w:tc>
        <w:tc>
          <w:tcPr>
            <w:tcW w:w="5103" w:type="dxa"/>
            <w:tcBorders>
              <w:top w:val="nil"/>
              <w:left w:val="nil"/>
              <w:bottom w:val="nil"/>
              <w:right w:val="single" w:sz="8" w:space="0" w:color="auto"/>
            </w:tcBorders>
            <w:shd w:val="clear" w:color="auto" w:fill="auto"/>
            <w:noWrap/>
            <w:vAlign w:val="center"/>
            <w:hideMark/>
          </w:tcPr>
          <w:p w14:paraId="694DB25B"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366 -  SUPERÁVIT FINANCEIRO - PAR</w:t>
            </w:r>
          </w:p>
        </w:tc>
        <w:tc>
          <w:tcPr>
            <w:tcW w:w="993" w:type="dxa"/>
            <w:tcBorders>
              <w:top w:val="nil"/>
              <w:left w:val="nil"/>
              <w:bottom w:val="nil"/>
              <w:right w:val="single" w:sz="8" w:space="0" w:color="auto"/>
            </w:tcBorders>
            <w:shd w:val="clear" w:color="auto" w:fill="auto"/>
            <w:vAlign w:val="center"/>
            <w:hideMark/>
          </w:tcPr>
          <w:p w14:paraId="64C02D57"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BFI.G584</w:t>
            </w:r>
          </w:p>
        </w:tc>
        <w:tc>
          <w:tcPr>
            <w:tcW w:w="992" w:type="dxa"/>
            <w:tcBorders>
              <w:top w:val="nil"/>
              <w:left w:val="nil"/>
              <w:bottom w:val="nil"/>
              <w:right w:val="single" w:sz="8" w:space="0" w:color="auto"/>
            </w:tcBorders>
            <w:shd w:val="clear" w:color="auto" w:fill="auto"/>
            <w:vAlign w:val="center"/>
            <w:hideMark/>
          </w:tcPr>
          <w:p w14:paraId="3B984C1B"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BFI.H584</w:t>
            </w:r>
          </w:p>
        </w:tc>
      </w:tr>
      <w:tr w:rsidR="00D74061" w:rsidRPr="00D73956" w14:paraId="1148539C"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5F869F87"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367 -  SUPERÁVIT FINANCEIRO - TRANSFERÊNCIAS OBRIGATÓRIAS PARA AÇÕES DE DEFESA CIVIL</w:t>
            </w:r>
          </w:p>
        </w:tc>
        <w:tc>
          <w:tcPr>
            <w:tcW w:w="993" w:type="dxa"/>
            <w:tcBorders>
              <w:top w:val="nil"/>
              <w:left w:val="nil"/>
              <w:bottom w:val="nil"/>
              <w:right w:val="single" w:sz="8" w:space="0" w:color="auto"/>
            </w:tcBorders>
            <w:shd w:val="clear" w:color="auto" w:fill="auto"/>
            <w:vAlign w:val="center"/>
            <w:hideMark/>
          </w:tcPr>
          <w:p w14:paraId="4AA2F434"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BFI.C585</w:t>
            </w:r>
          </w:p>
        </w:tc>
        <w:tc>
          <w:tcPr>
            <w:tcW w:w="992" w:type="dxa"/>
            <w:tcBorders>
              <w:top w:val="nil"/>
              <w:left w:val="nil"/>
              <w:bottom w:val="nil"/>
              <w:right w:val="single" w:sz="8" w:space="0" w:color="auto"/>
            </w:tcBorders>
            <w:shd w:val="clear" w:color="auto" w:fill="auto"/>
            <w:vAlign w:val="center"/>
            <w:hideMark/>
          </w:tcPr>
          <w:p w14:paraId="687F59E3"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BFI.D585</w:t>
            </w:r>
          </w:p>
        </w:tc>
        <w:tc>
          <w:tcPr>
            <w:tcW w:w="5103" w:type="dxa"/>
            <w:tcBorders>
              <w:top w:val="nil"/>
              <w:left w:val="nil"/>
              <w:bottom w:val="nil"/>
              <w:right w:val="single" w:sz="8" w:space="0" w:color="auto"/>
            </w:tcBorders>
            <w:shd w:val="clear" w:color="auto" w:fill="auto"/>
            <w:noWrap/>
            <w:vAlign w:val="center"/>
            <w:hideMark/>
          </w:tcPr>
          <w:p w14:paraId="78A841FD"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367 -  SUPERÁVIT FINANCEIRO - TRANSFERÊNCIAS OBRIGATÓRIAS PARA AÇÕES DE DEFESA CIVIL</w:t>
            </w:r>
          </w:p>
        </w:tc>
        <w:tc>
          <w:tcPr>
            <w:tcW w:w="993" w:type="dxa"/>
            <w:tcBorders>
              <w:top w:val="nil"/>
              <w:left w:val="nil"/>
              <w:bottom w:val="nil"/>
              <w:right w:val="single" w:sz="8" w:space="0" w:color="auto"/>
            </w:tcBorders>
            <w:shd w:val="clear" w:color="auto" w:fill="auto"/>
            <w:vAlign w:val="center"/>
            <w:hideMark/>
          </w:tcPr>
          <w:p w14:paraId="69F86FA8"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BFI.G585</w:t>
            </w:r>
          </w:p>
        </w:tc>
        <w:tc>
          <w:tcPr>
            <w:tcW w:w="992" w:type="dxa"/>
            <w:tcBorders>
              <w:top w:val="nil"/>
              <w:left w:val="nil"/>
              <w:bottom w:val="nil"/>
              <w:right w:val="single" w:sz="8" w:space="0" w:color="auto"/>
            </w:tcBorders>
            <w:shd w:val="clear" w:color="auto" w:fill="auto"/>
            <w:vAlign w:val="center"/>
            <w:hideMark/>
          </w:tcPr>
          <w:p w14:paraId="7AE07DD5"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BFI.H585</w:t>
            </w:r>
          </w:p>
        </w:tc>
      </w:tr>
      <w:tr w:rsidR="00D74061" w:rsidRPr="00D73956" w14:paraId="64D6D0EF"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1EBC4BA2"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671 - SUPERÁVIT FINANCEIRO - ARRECADADO PELO ÓRGÃO</w:t>
            </w:r>
          </w:p>
        </w:tc>
        <w:tc>
          <w:tcPr>
            <w:tcW w:w="993" w:type="dxa"/>
            <w:tcBorders>
              <w:top w:val="nil"/>
              <w:left w:val="nil"/>
              <w:bottom w:val="nil"/>
              <w:right w:val="single" w:sz="8" w:space="0" w:color="auto"/>
            </w:tcBorders>
            <w:shd w:val="clear" w:color="auto" w:fill="auto"/>
            <w:vAlign w:val="center"/>
            <w:hideMark/>
          </w:tcPr>
          <w:p w14:paraId="38AE5607"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BFI.C587</w:t>
            </w:r>
          </w:p>
        </w:tc>
        <w:tc>
          <w:tcPr>
            <w:tcW w:w="992" w:type="dxa"/>
            <w:tcBorders>
              <w:top w:val="nil"/>
              <w:left w:val="nil"/>
              <w:bottom w:val="nil"/>
              <w:right w:val="single" w:sz="8" w:space="0" w:color="auto"/>
            </w:tcBorders>
            <w:shd w:val="clear" w:color="auto" w:fill="auto"/>
            <w:vAlign w:val="center"/>
            <w:hideMark/>
          </w:tcPr>
          <w:p w14:paraId="13270BA9"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BFI.D587</w:t>
            </w:r>
          </w:p>
        </w:tc>
        <w:tc>
          <w:tcPr>
            <w:tcW w:w="5103" w:type="dxa"/>
            <w:tcBorders>
              <w:top w:val="nil"/>
              <w:left w:val="nil"/>
              <w:bottom w:val="nil"/>
              <w:right w:val="single" w:sz="8" w:space="0" w:color="auto"/>
            </w:tcBorders>
            <w:shd w:val="clear" w:color="auto" w:fill="auto"/>
            <w:noWrap/>
            <w:vAlign w:val="center"/>
            <w:hideMark/>
          </w:tcPr>
          <w:p w14:paraId="5BF6FFF3"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671 - SUPERÁVIT FINANCEIRO - ARRECADADO PELO ÓRGÃO</w:t>
            </w:r>
          </w:p>
        </w:tc>
        <w:tc>
          <w:tcPr>
            <w:tcW w:w="993" w:type="dxa"/>
            <w:tcBorders>
              <w:top w:val="nil"/>
              <w:left w:val="nil"/>
              <w:bottom w:val="nil"/>
              <w:right w:val="single" w:sz="8" w:space="0" w:color="auto"/>
            </w:tcBorders>
            <w:shd w:val="clear" w:color="auto" w:fill="auto"/>
            <w:vAlign w:val="center"/>
            <w:hideMark/>
          </w:tcPr>
          <w:p w14:paraId="2DC5F7E7"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BFI.G587</w:t>
            </w:r>
          </w:p>
        </w:tc>
        <w:tc>
          <w:tcPr>
            <w:tcW w:w="992" w:type="dxa"/>
            <w:tcBorders>
              <w:top w:val="nil"/>
              <w:left w:val="nil"/>
              <w:bottom w:val="nil"/>
              <w:right w:val="single" w:sz="8" w:space="0" w:color="auto"/>
            </w:tcBorders>
            <w:shd w:val="clear" w:color="auto" w:fill="auto"/>
            <w:vAlign w:val="center"/>
            <w:hideMark/>
          </w:tcPr>
          <w:p w14:paraId="1EC41E9B"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BFI.H587</w:t>
            </w:r>
          </w:p>
        </w:tc>
      </w:tr>
      <w:tr w:rsidR="00D74061" w:rsidRPr="00D73956" w14:paraId="5C16E8D1"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201A5C9C"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672 - SUPERÁVIT FINANCEIRO - CONVÊNIOS COM ÓRGÃOS FEDERAIS</w:t>
            </w:r>
          </w:p>
        </w:tc>
        <w:tc>
          <w:tcPr>
            <w:tcW w:w="993" w:type="dxa"/>
            <w:tcBorders>
              <w:top w:val="nil"/>
              <w:left w:val="nil"/>
              <w:bottom w:val="nil"/>
              <w:right w:val="single" w:sz="8" w:space="0" w:color="auto"/>
            </w:tcBorders>
            <w:shd w:val="clear" w:color="auto" w:fill="auto"/>
            <w:vAlign w:val="center"/>
            <w:hideMark/>
          </w:tcPr>
          <w:p w14:paraId="2E5F82D9"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BFI.C588</w:t>
            </w:r>
          </w:p>
        </w:tc>
        <w:tc>
          <w:tcPr>
            <w:tcW w:w="992" w:type="dxa"/>
            <w:tcBorders>
              <w:top w:val="nil"/>
              <w:left w:val="nil"/>
              <w:bottom w:val="nil"/>
              <w:right w:val="single" w:sz="8" w:space="0" w:color="auto"/>
            </w:tcBorders>
            <w:shd w:val="clear" w:color="auto" w:fill="auto"/>
            <w:vAlign w:val="center"/>
            <w:hideMark/>
          </w:tcPr>
          <w:p w14:paraId="212B7ED3"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BFI.D588</w:t>
            </w:r>
          </w:p>
        </w:tc>
        <w:tc>
          <w:tcPr>
            <w:tcW w:w="5103" w:type="dxa"/>
            <w:tcBorders>
              <w:top w:val="nil"/>
              <w:left w:val="nil"/>
              <w:bottom w:val="nil"/>
              <w:right w:val="single" w:sz="8" w:space="0" w:color="auto"/>
            </w:tcBorders>
            <w:shd w:val="clear" w:color="auto" w:fill="auto"/>
            <w:noWrap/>
            <w:vAlign w:val="center"/>
            <w:hideMark/>
          </w:tcPr>
          <w:p w14:paraId="1CAD1CC7"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672 - SUPERÁVIT FINANCEIRO - CONVÊNIOS COM ÓRGÃOS FEDERAIS</w:t>
            </w:r>
          </w:p>
        </w:tc>
        <w:tc>
          <w:tcPr>
            <w:tcW w:w="993" w:type="dxa"/>
            <w:tcBorders>
              <w:top w:val="nil"/>
              <w:left w:val="nil"/>
              <w:bottom w:val="nil"/>
              <w:right w:val="single" w:sz="8" w:space="0" w:color="auto"/>
            </w:tcBorders>
            <w:shd w:val="clear" w:color="auto" w:fill="auto"/>
            <w:vAlign w:val="center"/>
            <w:hideMark/>
          </w:tcPr>
          <w:p w14:paraId="3835B3A5"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BFI.G588</w:t>
            </w:r>
          </w:p>
        </w:tc>
        <w:tc>
          <w:tcPr>
            <w:tcW w:w="992" w:type="dxa"/>
            <w:tcBorders>
              <w:top w:val="nil"/>
              <w:left w:val="nil"/>
              <w:bottom w:val="nil"/>
              <w:right w:val="single" w:sz="8" w:space="0" w:color="auto"/>
            </w:tcBorders>
            <w:shd w:val="clear" w:color="auto" w:fill="auto"/>
            <w:vAlign w:val="center"/>
            <w:hideMark/>
          </w:tcPr>
          <w:p w14:paraId="7F398100"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BFI.H588</w:t>
            </w:r>
          </w:p>
        </w:tc>
      </w:tr>
      <w:tr w:rsidR="00D74061" w:rsidRPr="00D73956" w14:paraId="59FC40CC"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75EE71AA"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673 - SUPERÁVIT FINANCEIRO - CONVÊNIOS COM ÓRGÃOS NÃO FEDERAIS</w:t>
            </w:r>
          </w:p>
        </w:tc>
        <w:tc>
          <w:tcPr>
            <w:tcW w:w="993" w:type="dxa"/>
            <w:tcBorders>
              <w:top w:val="nil"/>
              <w:left w:val="nil"/>
              <w:bottom w:val="nil"/>
              <w:right w:val="single" w:sz="8" w:space="0" w:color="auto"/>
            </w:tcBorders>
            <w:shd w:val="clear" w:color="auto" w:fill="auto"/>
            <w:vAlign w:val="center"/>
            <w:hideMark/>
          </w:tcPr>
          <w:p w14:paraId="578B7B7F"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BFI.C589</w:t>
            </w:r>
          </w:p>
        </w:tc>
        <w:tc>
          <w:tcPr>
            <w:tcW w:w="992" w:type="dxa"/>
            <w:tcBorders>
              <w:top w:val="nil"/>
              <w:left w:val="nil"/>
              <w:bottom w:val="nil"/>
              <w:right w:val="single" w:sz="8" w:space="0" w:color="auto"/>
            </w:tcBorders>
            <w:shd w:val="clear" w:color="auto" w:fill="auto"/>
            <w:vAlign w:val="center"/>
            <w:hideMark/>
          </w:tcPr>
          <w:p w14:paraId="1D0D90FA"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BFI.D589</w:t>
            </w:r>
          </w:p>
        </w:tc>
        <w:tc>
          <w:tcPr>
            <w:tcW w:w="5103" w:type="dxa"/>
            <w:tcBorders>
              <w:top w:val="nil"/>
              <w:left w:val="nil"/>
              <w:bottom w:val="nil"/>
              <w:right w:val="single" w:sz="8" w:space="0" w:color="auto"/>
            </w:tcBorders>
            <w:shd w:val="clear" w:color="auto" w:fill="auto"/>
            <w:noWrap/>
            <w:vAlign w:val="center"/>
            <w:hideMark/>
          </w:tcPr>
          <w:p w14:paraId="2C7F987E"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673 - SUPERÁVIT FINANCEIRO - CONVÊNIOS COM ÓRGÃOS NÃO FEDERAIS</w:t>
            </w:r>
          </w:p>
        </w:tc>
        <w:tc>
          <w:tcPr>
            <w:tcW w:w="993" w:type="dxa"/>
            <w:tcBorders>
              <w:top w:val="nil"/>
              <w:left w:val="nil"/>
              <w:bottom w:val="nil"/>
              <w:right w:val="single" w:sz="8" w:space="0" w:color="auto"/>
            </w:tcBorders>
            <w:shd w:val="clear" w:color="auto" w:fill="auto"/>
            <w:vAlign w:val="center"/>
            <w:hideMark/>
          </w:tcPr>
          <w:p w14:paraId="3609F32A"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BFI.G589</w:t>
            </w:r>
          </w:p>
        </w:tc>
        <w:tc>
          <w:tcPr>
            <w:tcW w:w="992" w:type="dxa"/>
            <w:tcBorders>
              <w:top w:val="nil"/>
              <w:left w:val="nil"/>
              <w:bottom w:val="nil"/>
              <w:right w:val="single" w:sz="8" w:space="0" w:color="auto"/>
            </w:tcBorders>
            <w:shd w:val="clear" w:color="auto" w:fill="auto"/>
            <w:vAlign w:val="center"/>
            <w:hideMark/>
          </w:tcPr>
          <w:p w14:paraId="36C2607C"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BFI.H589</w:t>
            </w:r>
          </w:p>
        </w:tc>
      </w:tr>
      <w:tr w:rsidR="00D74061" w:rsidRPr="00D73956" w14:paraId="333E1F60"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3D4EC473"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lastRenderedPageBreak/>
              <w:t>674 - SUPERÁVIT FINANCEIRO - TRANSFERÊNCIAS DE INSTITUIÇÕES PRIVADAS</w:t>
            </w:r>
          </w:p>
        </w:tc>
        <w:tc>
          <w:tcPr>
            <w:tcW w:w="993" w:type="dxa"/>
            <w:tcBorders>
              <w:top w:val="nil"/>
              <w:left w:val="nil"/>
              <w:bottom w:val="nil"/>
              <w:right w:val="single" w:sz="8" w:space="0" w:color="auto"/>
            </w:tcBorders>
            <w:shd w:val="clear" w:color="auto" w:fill="auto"/>
            <w:vAlign w:val="center"/>
            <w:hideMark/>
          </w:tcPr>
          <w:p w14:paraId="11D350AA"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BFI.C590</w:t>
            </w:r>
          </w:p>
        </w:tc>
        <w:tc>
          <w:tcPr>
            <w:tcW w:w="992" w:type="dxa"/>
            <w:tcBorders>
              <w:top w:val="nil"/>
              <w:left w:val="nil"/>
              <w:bottom w:val="nil"/>
              <w:right w:val="single" w:sz="8" w:space="0" w:color="auto"/>
            </w:tcBorders>
            <w:shd w:val="clear" w:color="auto" w:fill="auto"/>
            <w:vAlign w:val="center"/>
            <w:hideMark/>
          </w:tcPr>
          <w:p w14:paraId="72CA37E9"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BFI.D590</w:t>
            </w:r>
          </w:p>
        </w:tc>
        <w:tc>
          <w:tcPr>
            <w:tcW w:w="5103" w:type="dxa"/>
            <w:tcBorders>
              <w:top w:val="nil"/>
              <w:left w:val="nil"/>
              <w:bottom w:val="nil"/>
              <w:right w:val="single" w:sz="8" w:space="0" w:color="auto"/>
            </w:tcBorders>
            <w:shd w:val="clear" w:color="auto" w:fill="auto"/>
            <w:noWrap/>
            <w:vAlign w:val="center"/>
            <w:hideMark/>
          </w:tcPr>
          <w:p w14:paraId="52CFE1A6"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674 - SUPERÁVIT FINANCEIRO - TRANSFERÊNCIAS DE INSTITUIÇÕES PRIVADAS</w:t>
            </w:r>
          </w:p>
        </w:tc>
        <w:tc>
          <w:tcPr>
            <w:tcW w:w="993" w:type="dxa"/>
            <w:tcBorders>
              <w:top w:val="nil"/>
              <w:left w:val="nil"/>
              <w:bottom w:val="nil"/>
              <w:right w:val="single" w:sz="8" w:space="0" w:color="auto"/>
            </w:tcBorders>
            <w:shd w:val="clear" w:color="auto" w:fill="auto"/>
            <w:vAlign w:val="center"/>
            <w:hideMark/>
          </w:tcPr>
          <w:p w14:paraId="0C108ED3"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BFI.G590</w:t>
            </w:r>
          </w:p>
        </w:tc>
        <w:tc>
          <w:tcPr>
            <w:tcW w:w="992" w:type="dxa"/>
            <w:tcBorders>
              <w:top w:val="nil"/>
              <w:left w:val="nil"/>
              <w:bottom w:val="nil"/>
              <w:right w:val="single" w:sz="8" w:space="0" w:color="auto"/>
            </w:tcBorders>
            <w:shd w:val="clear" w:color="auto" w:fill="auto"/>
            <w:vAlign w:val="center"/>
            <w:hideMark/>
          </w:tcPr>
          <w:p w14:paraId="7243EF3E"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BFI.H590</w:t>
            </w:r>
          </w:p>
        </w:tc>
      </w:tr>
      <w:tr w:rsidR="00D74061" w:rsidRPr="00D73956" w14:paraId="4EA2A020"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71467778"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675 - SUPERÁVIT FINANCEIRO - OUTRAS TRANSFERÊNCIAS DA UNIÃO</w:t>
            </w:r>
          </w:p>
        </w:tc>
        <w:tc>
          <w:tcPr>
            <w:tcW w:w="993" w:type="dxa"/>
            <w:tcBorders>
              <w:top w:val="nil"/>
              <w:left w:val="nil"/>
              <w:bottom w:val="nil"/>
              <w:right w:val="single" w:sz="8" w:space="0" w:color="auto"/>
            </w:tcBorders>
            <w:shd w:val="clear" w:color="auto" w:fill="auto"/>
            <w:vAlign w:val="center"/>
            <w:hideMark/>
          </w:tcPr>
          <w:p w14:paraId="37622F61"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BFI.C591</w:t>
            </w:r>
          </w:p>
        </w:tc>
        <w:tc>
          <w:tcPr>
            <w:tcW w:w="992" w:type="dxa"/>
            <w:tcBorders>
              <w:top w:val="nil"/>
              <w:left w:val="nil"/>
              <w:bottom w:val="nil"/>
              <w:right w:val="single" w:sz="8" w:space="0" w:color="auto"/>
            </w:tcBorders>
            <w:shd w:val="clear" w:color="auto" w:fill="auto"/>
            <w:vAlign w:val="center"/>
            <w:hideMark/>
          </w:tcPr>
          <w:p w14:paraId="4CC06E96"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BFI.D591</w:t>
            </w:r>
          </w:p>
        </w:tc>
        <w:tc>
          <w:tcPr>
            <w:tcW w:w="5103" w:type="dxa"/>
            <w:tcBorders>
              <w:top w:val="nil"/>
              <w:left w:val="nil"/>
              <w:bottom w:val="nil"/>
              <w:right w:val="single" w:sz="8" w:space="0" w:color="auto"/>
            </w:tcBorders>
            <w:shd w:val="clear" w:color="auto" w:fill="auto"/>
            <w:noWrap/>
            <w:vAlign w:val="center"/>
            <w:hideMark/>
          </w:tcPr>
          <w:p w14:paraId="0D5F3BE0" w14:textId="77777777" w:rsidR="00D74061" w:rsidRPr="00D73956" w:rsidRDefault="00D74061" w:rsidP="00D74061">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675 - SUPERÁVIT FINANCEIRO - OUTRAS TRANSFERÊNCIAS DA UNIÃO</w:t>
            </w:r>
          </w:p>
        </w:tc>
        <w:tc>
          <w:tcPr>
            <w:tcW w:w="993" w:type="dxa"/>
            <w:tcBorders>
              <w:top w:val="nil"/>
              <w:left w:val="nil"/>
              <w:bottom w:val="nil"/>
              <w:right w:val="single" w:sz="8" w:space="0" w:color="auto"/>
            </w:tcBorders>
            <w:shd w:val="clear" w:color="auto" w:fill="auto"/>
            <w:vAlign w:val="center"/>
            <w:hideMark/>
          </w:tcPr>
          <w:p w14:paraId="1988A983"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BFI.G591</w:t>
            </w:r>
          </w:p>
        </w:tc>
        <w:tc>
          <w:tcPr>
            <w:tcW w:w="992" w:type="dxa"/>
            <w:tcBorders>
              <w:top w:val="nil"/>
              <w:left w:val="nil"/>
              <w:bottom w:val="nil"/>
              <w:right w:val="single" w:sz="8" w:space="0" w:color="auto"/>
            </w:tcBorders>
            <w:shd w:val="clear" w:color="auto" w:fill="auto"/>
            <w:vAlign w:val="center"/>
            <w:hideMark/>
          </w:tcPr>
          <w:p w14:paraId="2ADBD5B7"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BFI.H591</w:t>
            </w:r>
          </w:p>
        </w:tc>
      </w:tr>
      <w:tr w:rsidR="00D74061" w:rsidRPr="00D73956" w14:paraId="124FC669" w14:textId="77777777" w:rsidTr="006A139B">
        <w:trPr>
          <w:trHeight w:val="255"/>
        </w:trPr>
        <w:tc>
          <w:tcPr>
            <w:tcW w:w="5104" w:type="dxa"/>
            <w:tcBorders>
              <w:top w:val="nil"/>
              <w:left w:val="single" w:sz="8" w:space="0" w:color="auto"/>
              <w:bottom w:val="nil"/>
              <w:right w:val="single" w:sz="8" w:space="0" w:color="auto"/>
            </w:tcBorders>
            <w:shd w:val="clear" w:color="auto" w:fill="auto"/>
            <w:vAlign w:val="center"/>
            <w:hideMark/>
          </w:tcPr>
          <w:p w14:paraId="4FE5D2E0"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 </w:t>
            </w:r>
          </w:p>
        </w:tc>
        <w:tc>
          <w:tcPr>
            <w:tcW w:w="993" w:type="dxa"/>
            <w:tcBorders>
              <w:top w:val="nil"/>
              <w:left w:val="nil"/>
              <w:bottom w:val="nil"/>
              <w:right w:val="single" w:sz="8" w:space="0" w:color="auto"/>
            </w:tcBorders>
            <w:shd w:val="clear" w:color="auto" w:fill="auto"/>
            <w:vAlign w:val="center"/>
            <w:hideMark/>
          </w:tcPr>
          <w:p w14:paraId="3ED7C0C1"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 </w:t>
            </w:r>
          </w:p>
        </w:tc>
        <w:tc>
          <w:tcPr>
            <w:tcW w:w="992" w:type="dxa"/>
            <w:tcBorders>
              <w:top w:val="nil"/>
              <w:left w:val="nil"/>
              <w:bottom w:val="nil"/>
              <w:right w:val="single" w:sz="8" w:space="0" w:color="auto"/>
            </w:tcBorders>
            <w:shd w:val="clear" w:color="auto" w:fill="auto"/>
            <w:vAlign w:val="center"/>
            <w:hideMark/>
          </w:tcPr>
          <w:p w14:paraId="760A7CBC"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 </w:t>
            </w:r>
          </w:p>
        </w:tc>
        <w:tc>
          <w:tcPr>
            <w:tcW w:w="5103" w:type="dxa"/>
            <w:tcBorders>
              <w:top w:val="nil"/>
              <w:left w:val="nil"/>
              <w:bottom w:val="nil"/>
              <w:right w:val="single" w:sz="8" w:space="0" w:color="auto"/>
            </w:tcBorders>
            <w:shd w:val="clear" w:color="auto" w:fill="auto"/>
            <w:vAlign w:val="center"/>
            <w:hideMark/>
          </w:tcPr>
          <w:p w14:paraId="0B602339"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 </w:t>
            </w:r>
          </w:p>
        </w:tc>
        <w:tc>
          <w:tcPr>
            <w:tcW w:w="993" w:type="dxa"/>
            <w:tcBorders>
              <w:top w:val="nil"/>
              <w:left w:val="nil"/>
              <w:bottom w:val="nil"/>
              <w:right w:val="single" w:sz="8" w:space="0" w:color="auto"/>
            </w:tcBorders>
            <w:shd w:val="clear" w:color="auto" w:fill="auto"/>
            <w:vAlign w:val="center"/>
            <w:hideMark/>
          </w:tcPr>
          <w:p w14:paraId="0233FCFB"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 </w:t>
            </w:r>
          </w:p>
        </w:tc>
        <w:tc>
          <w:tcPr>
            <w:tcW w:w="992" w:type="dxa"/>
            <w:tcBorders>
              <w:top w:val="nil"/>
              <w:left w:val="nil"/>
              <w:bottom w:val="nil"/>
              <w:right w:val="single" w:sz="8" w:space="0" w:color="auto"/>
            </w:tcBorders>
            <w:shd w:val="clear" w:color="auto" w:fill="auto"/>
            <w:vAlign w:val="center"/>
            <w:hideMark/>
          </w:tcPr>
          <w:p w14:paraId="1F7CD04C"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 </w:t>
            </w:r>
          </w:p>
        </w:tc>
      </w:tr>
      <w:tr w:rsidR="00D74061" w:rsidRPr="00D73956" w14:paraId="2983757D"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197B699D" w14:textId="77777777" w:rsidR="00D74061" w:rsidRPr="00D73956" w:rsidRDefault="00D74061" w:rsidP="00D74061">
            <w:pPr>
              <w:spacing w:after="0" w:line="240" w:lineRule="auto"/>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TRANSFERÊNCIAS FINANCEIRAS RECEBIDAS (II)</w:t>
            </w:r>
          </w:p>
        </w:tc>
        <w:tc>
          <w:tcPr>
            <w:tcW w:w="993" w:type="dxa"/>
            <w:tcBorders>
              <w:top w:val="nil"/>
              <w:left w:val="nil"/>
              <w:bottom w:val="nil"/>
              <w:right w:val="single" w:sz="8" w:space="0" w:color="auto"/>
            </w:tcBorders>
            <w:shd w:val="clear" w:color="auto" w:fill="auto"/>
            <w:vAlign w:val="center"/>
            <w:hideMark/>
          </w:tcPr>
          <w:p w14:paraId="2E8F59BE" w14:textId="77777777" w:rsidR="00D74061" w:rsidRPr="00D73956" w:rsidRDefault="00D74061" w:rsidP="00D74061">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BFI.C056</w:t>
            </w:r>
          </w:p>
        </w:tc>
        <w:tc>
          <w:tcPr>
            <w:tcW w:w="992" w:type="dxa"/>
            <w:tcBorders>
              <w:top w:val="nil"/>
              <w:left w:val="nil"/>
              <w:bottom w:val="nil"/>
              <w:right w:val="single" w:sz="8" w:space="0" w:color="auto"/>
            </w:tcBorders>
            <w:shd w:val="clear" w:color="auto" w:fill="auto"/>
            <w:vAlign w:val="center"/>
            <w:hideMark/>
          </w:tcPr>
          <w:p w14:paraId="4C72A038" w14:textId="77777777" w:rsidR="00D74061" w:rsidRPr="00D73956" w:rsidRDefault="00D74061" w:rsidP="00D74061">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BFI.D056</w:t>
            </w:r>
          </w:p>
        </w:tc>
        <w:tc>
          <w:tcPr>
            <w:tcW w:w="5103" w:type="dxa"/>
            <w:tcBorders>
              <w:top w:val="nil"/>
              <w:left w:val="nil"/>
              <w:bottom w:val="nil"/>
              <w:right w:val="single" w:sz="8" w:space="0" w:color="auto"/>
            </w:tcBorders>
            <w:shd w:val="clear" w:color="auto" w:fill="auto"/>
            <w:noWrap/>
            <w:vAlign w:val="center"/>
            <w:hideMark/>
          </w:tcPr>
          <w:p w14:paraId="64796825" w14:textId="77777777" w:rsidR="00D74061" w:rsidRPr="00D73956" w:rsidRDefault="00D74061" w:rsidP="00D74061">
            <w:pPr>
              <w:spacing w:after="0" w:line="240" w:lineRule="auto"/>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TRANSFERÊNCIAS FINANCEIRAS CONCEDIDAS (VII)</w:t>
            </w:r>
          </w:p>
        </w:tc>
        <w:tc>
          <w:tcPr>
            <w:tcW w:w="993" w:type="dxa"/>
            <w:tcBorders>
              <w:top w:val="nil"/>
              <w:left w:val="nil"/>
              <w:bottom w:val="nil"/>
              <w:right w:val="single" w:sz="8" w:space="0" w:color="auto"/>
            </w:tcBorders>
            <w:shd w:val="clear" w:color="auto" w:fill="auto"/>
            <w:vAlign w:val="center"/>
            <w:hideMark/>
          </w:tcPr>
          <w:p w14:paraId="209D518C" w14:textId="77777777" w:rsidR="00D74061" w:rsidRPr="00D73956" w:rsidRDefault="00D74061" w:rsidP="00D74061">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BFI.G056</w:t>
            </w:r>
          </w:p>
        </w:tc>
        <w:tc>
          <w:tcPr>
            <w:tcW w:w="992" w:type="dxa"/>
            <w:tcBorders>
              <w:top w:val="nil"/>
              <w:left w:val="nil"/>
              <w:bottom w:val="nil"/>
              <w:right w:val="single" w:sz="8" w:space="0" w:color="auto"/>
            </w:tcBorders>
            <w:shd w:val="clear" w:color="auto" w:fill="auto"/>
            <w:vAlign w:val="center"/>
            <w:hideMark/>
          </w:tcPr>
          <w:p w14:paraId="4E4E363C" w14:textId="77777777" w:rsidR="00D74061" w:rsidRPr="00D73956" w:rsidRDefault="00D74061" w:rsidP="00D74061">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BFI.H056</w:t>
            </w:r>
          </w:p>
        </w:tc>
      </w:tr>
      <w:tr w:rsidR="00D74061" w:rsidRPr="00D73956" w14:paraId="17AD30D3"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333F0025" w14:textId="77777777" w:rsidR="00D74061" w:rsidRPr="00D73956" w:rsidRDefault="00D74061" w:rsidP="00D74061">
            <w:pPr>
              <w:spacing w:after="0" w:line="240" w:lineRule="auto"/>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 xml:space="preserve">   Transferências Recebidas para a Execução Orçamentária</w:t>
            </w:r>
          </w:p>
        </w:tc>
        <w:tc>
          <w:tcPr>
            <w:tcW w:w="993" w:type="dxa"/>
            <w:tcBorders>
              <w:top w:val="nil"/>
              <w:left w:val="nil"/>
              <w:bottom w:val="nil"/>
              <w:right w:val="single" w:sz="8" w:space="0" w:color="auto"/>
            </w:tcBorders>
            <w:shd w:val="clear" w:color="auto" w:fill="auto"/>
            <w:vAlign w:val="center"/>
            <w:hideMark/>
          </w:tcPr>
          <w:p w14:paraId="12F56D13"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BFI.C057</w:t>
            </w:r>
          </w:p>
        </w:tc>
        <w:tc>
          <w:tcPr>
            <w:tcW w:w="992" w:type="dxa"/>
            <w:tcBorders>
              <w:top w:val="nil"/>
              <w:left w:val="nil"/>
              <w:bottom w:val="nil"/>
              <w:right w:val="single" w:sz="8" w:space="0" w:color="auto"/>
            </w:tcBorders>
            <w:shd w:val="clear" w:color="auto" w:fill="auto"/>
            <w:vAlign w:val="center"/>
            <w:hideMark/>
          </w:tcPr>
          <w:p w14:paraId="6C663F60"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BFI.D057</w:t>
            </w:r>
          </w:p>
        </w:tc>
        <w:tc>
          <w:tcPr>
            <w:tcW w:w="5103" w:type="dxa"/>
            <w:tcBorders>
              <w:top w:val="nil"/>
              <w:left w:val="nil"/>
              <w:bottom w:val="nil"/>
              <w:right w:val="single" w:sz="8" w:space="0" w:color="auto"/>
            </w:tcBorders>
            <w:shd w:val="clear" w:color="auto" w:fill="auto"/>
            <w:noWrap/>
            <w:vAlign w:val="center"/>
            <w:hideMark/>
          </w:tcPr>
          <w:p w14:paraId="299A3F09" w14:textId="77777777" w:rsidR="00D74061" w:rsidRPr="00D73956" w:rsidRDefault="00D74061" w:rsidP="00D74061">
            <w:pPr>
              <w:spacing w:after="0" w:line="240" w:lineRule="auto"/>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 xml:space="preserve">   Transferências Concedidas para a Execução Orçamentária</w:t>
            </w:r>
          </w:p>
        </w:tc>
        <w:tc>
          <w:tcPr>
            <w:tcW w:w="993" w:type="dxa"/>
            <w:tcBorders>
              <w:top w:val="nil"/>
              <w:left w:val="nil"/>
              <w:bottom w:val="nil"/>
              <w:right w:val="single" w:sz="8" w:space="0" w:color="auto"/>
            </w:tcBorders>
            <w:shd w:val="clear" w:color="auto" w:fill="auto"/>
            <w:vAlign w:val="center"/>
            <w:hideMark/>
          </w:tcPr>
          <w:p w14:paraId="1D710B2C"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BFI.G057</w:t>
            </w:r>
          </w:p>
        </w:tc>
        <w:tc>
          <w:tcPr>
            <w:tcW w:w="992" w:type="dxa"/>
            <w:tcBorders>
              <w:top w:val="nil"/>
              <w:left w:val="nil"/>
              <w:bottom w:val="nil"/>
              <w:right w:val="single" w:sz="8" w:space="0" w:color="auto"/>
            </w:tcBorders>
            <w:shd w:val="clear" w:color="auto" w:fill="auto"/>
            <w:vAlign w:val="center"/>
            <w:hideMark/>
          </w:tcPr>
          <w:p w14:paraId="14C654BA"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BFI.H057</w:t>
            </w:r>
          </w:p>
        </w:tc>
      </w:tr>
      <w:tr w:rsidR="00D74061" w:rsidRPr="00D73956" w14:paraId="045022F1"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6A36CC8A" w14:textId="77777777" w:rsidR="00D74061" w:rsidRPr="00D73956" w:rsidRDefault="00D74061" w:rsidP="00D74061">
            <w:pPr>
              <w:spacing w:after="0" w:line="240" w:lineRule="auto"/>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 xml:space="preserve">   Transferências Recebidas Independentes de Execução Orçamentária</w:t>
            </w:r>
          </w:p>
        </w:tc>
        <w:tc>
          <w:tcPr>
            <w:tcW w:w="993" w:type="dxa"/>
            <w:tcBorders>
              <w:top w:val="nil"/>
              <w:left w:val="nil"/>
              <w:bottom w:val="nil"/>
              <w:right w:val="single" w:sz="8" w:space="0" w:color="auto"/>
            </w:tcBorders>
            <w:shd w:val="clear" w:color="auto" w:fill="auto"/>
            <w:vAlign w:val="center"/>
            <w:hideMark/>
          </w:tcPr>
          <w:p w14:paraId="5351CBAF"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BFI.C058</w:t>
            </w:r>
          </w:p>
        </w:tc>
        <w:tc>
          <w:tcPr>
            <w:tcW w:w="992" w:type="dxa"/>
            <w:tcBorders>
              <w:top w:val="nil"/>
              <w:left w:val="nil"/>
              <w:bottom w:val="nil"/>
              <w:right w:val="single" w:sz="8" w:space="0" w:color="auto"/>
            </w:tcBorders>
            <w:shd w:val="clear" w:color="auto" w:fill="auto"/>
            <w:vAlign w:val="center"/>
            <w:hideMark/>
          </w:tcPr>
          <w:p w14:paraId="03FFD497"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BFI.D058</w:t>
            </w:r>
          </w:p>
        </w:tc>
        <w:tc>
          <w:tcPr>
            <w:tcW w:w="5103" w:type="dxa"/>
            <w:tcBorders>
              <w:top w:val="nil"/>
              <w:left w:val="nil"/>
              <w:bottom w:val="nil"/>
              <w:right w:val="single" w:sz="8" w:space="0" w:color="auto"/>
            </w:tcBorders>
            <w:shd w:val="clear" w:color="auto" w:fill="auto"/>
            <w:noWrap/>
            <w:vAlign w:val="center"/>
            <w:hideMark/>
          </w:tcPr>
          <w:p w14:paraId="088B5A6F" w14:textId="77777777" w:rsidR="00D74061" w:rsidRPr="00D73956" w:rsidRDefault="00D74061" w:rsidP="00D74061">
            <w:pPr>
              <w:spacing w:after="0" w:line="240" w:lineRule="auto"/>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 xml:space="preserve">   Transferências Concedidas Independentes de Execução Orçamentária</w:t>
            </w:r>
          </w:p>
        </w:tc>
        <w:tc>
          <w:tcPr>
            <w:tcW w:w="993" w:type="dxa"/>
            <w:tcBorders>
              <w:top w:val="nil"/>
              <w:left w:val="nil"/>
              <w:bottom w:val="nil"/>
              <w:right w:val="single" w:sz="8" w:space="0" w:color="auto"/>
            </w:tcBorders>
            <w:shd w:val="clear" w:color="auto" w:fill="auto"/>
            <w:vAlign w:val="center"/>
            <w:hideMark/>
          </w:tcPr>
          <w:p w14:paraId="651902ED"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BFI.G058</w:t>
            </w:r>
          </w:p>
        </w:tc>
        <w:tc>
          <w:tcPr>
            <w:tcW w:w="992" w:type="dxa"/>
            <w:tcBorders>
              <w:top w:val="nil"/>
              <w:left w:val="nil"/>
              <w:bottom w:val="nil"/>
              <w:right w:val="single" w:sz="8" w:space="0" w:color="auto"/>
            </w:tcBorders>
            <w:shd w:val="clear" w:color="auto" w:fill="auto"/>
            <w:vAlign w:val="center"/>
            <w:hideMark/>
          </w:tcPr>
          <w:p w14:paraId="0B923D8E"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BFI.H058</w:t>
            </w:r>
          </w:p>
        </w:tc>
      </w:tr>
      <w:tr w:rsidR="00D74061" w:rsidRPr="00D73956" w14:paraId="21B8F0E0"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11592D6D" w14:textId="77777777" w:rsidR="00D74061" w:rsidRPr="00D73956" w:rsidRDefault="00D74061" w:rsidP="00D74061">
            <w:pPr>
              <w:spacing w:after="0" w:line="240" w:lineRule="auto"/>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 xml:space="preserve">   Transferências Recebidas para Aportes de Recursos para o RPPS</w:t>
            </w:r>
          </w:p>
        </w:tc>
        <w:tc>
          <w:tcPr>
            <w:tcW w:w="993" w:type="dxa"/>
            <w:tcBorders>
              <w:top w:val="nil"/>
              <w:left w:val="nil"/>
              <w:bottom w:val="nil"/>
              <w:right w:val="single" w:sz="8" w:space="0" w:color="auto"/>
            </w:tcBorders>
            <w:shd w:val="clear" w:color="auto" w:fill="auto"/>
            <w:vAlign w:val="center"/>
            <w:hideMark/>
          </w:tcPr>
          <w:p w14:paraId="25307914"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BFI.C059</w:t>
            </w:r>
          </w:p>
        </w:tc>
        <w:tc>
          <w:tcPr>
            <w:tcW w:w="992" w:type="dxa"/>
            <w:tcBorders>
              <w:top w:val="nil"/>
              <w:left w:val="nil"/>
              <w:bottom w:val="nil"/>
              <w:right w:val="single" w:sz="8" w:space="0" w:color="auto"/>
            </w:tcBorders>
            <w:shd w:val="clear" w:color="auto" w:fill="auto"/>
            <w:vAlign w:val="center"/>
            <w:hideMark/>
          </w:tcPr>
          <w:p w14:paraId="4FA1BCDF"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BFI.D059</w:t>
            </w:r>
          </w:p>
        </w:tc>
        <w:tc>
          <w:tcPr>
            <w:tcW w:w="5103" w:type="dxa"/>
            <w:tcBorders>
              <w:top w:val="nil"/>
              <w:left w:val="nil"/>
              <w:bottom w:val="nil"/>
              <w:right w:val="single" w:sz="8" w:space="0" w:color="auto"/>
            </w:tcBorders>
            <w:shd w:val="clear" w:color="auto" w:fill="auto"/>
            <w:noWrap/>
            <w:vAlign w:val="center"/>
            <w:hideMark/>
          </w:tcPr>
          <w:p w14:paraId="0AD7913B" w14:textId="77777777" w:rsidR="00D74061" w:rsidRPr="00D73956" w:rsidRDefault="00D74061" w:rsidP="00D74061">
            <w:pPr>
              <w:spacing w:after="0" w:line="240" w:lineRule="auto"/>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 xml:space="preserve">   Transferências Concedidas para Aportes de Recursos para o RPPS</w:t>
            </w:r>
          </w:p>
        </w:tc>
        <w:tc>
          <w:tcPr>
            <w:tcW w:w="993" w:type="dxa"/>
            <w:tcBorders>
              <w:top w:val="nil"/>
              <w:left w:val="nil"/>
              <w:bottom w:val="nil"/>
              <w:right w:val="single" w:sz="8" w:space="0" w:color="auto"/>
            </w:tcBorders>
            <w:shd w:val="clear" w:color="auto" w:fill="auto"/>
            <w:vAlign w:val="center"/>
            <w:hideMark/>
          </w:tcPr>
          <w:p w14:paraId="0AEB2C39"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BFI.G059</w:t>
            </w:r>
          </w:p>
        </w:tc>
        <w:tc>
          <w:tcPr>
            <w:tcW w:w="992" w:type="dxa"/>
            <w:tcBorders>
              <w:top w:val="nil"/>
              <w:left w:val="nil"/>
              <w:bottom w:val="nil"/>
              <w:right w:val="single" w:sz="8" w:space="0" w:color="auto"/>
            </w:tcBorders>
            <w:shd w:val="clear" w:color="auto" w:fill="auto"/>
            <w:vAlign w:val="center"/>
            <w:hideMark/>
          </w:tcPr>
          <w:p w14:paraId="7B0C4B7D"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BFI.H059</w:t>
            </w:r>
          </w:p>
        </w:tc>
      </w:tr>
      <w:tr w:rsidR="00D74061" w:rsidRPr="00D73956" w14:paraId="075E6FA4"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4EFD7B98" w14:textId="77777777" w:rsidR="00D74061" w:rsidRPr="00D73956" w:rsidRDefault="00D74061" w:rsidP="00D74061">
            <w:pPr>
              <w:spacing w:after="0" w:line="240" w:lineRule="auto"/>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 xml:space="preserve">   Transferências Recebidas para Aportes de Recursos para o Sistema de Pagamento de Pensões Militares</w:t>
            </w:r>
          </w:p>
        </w:tc>
        <w:tc>
          <w:tcPr>
            <w:tcW w:w="993" w:type="dxa"/>
            <w:tcBorders>
              <w:top w:val="nil"/>
              <w:left w:val="nil"/>
              <w:bottom w:val="nil"/>
              <w:right w:val="single" w:sz="8" w:space="0" w:color="auto"/>
            </w:tcBorders>
            <w:shd w:val="clear" w:color="auto" w:fill="auto"/>
            <w:vAlign w:val="center"/>
            <w:hideMark/>
          </w:tcPr>
          <w:p w14:paraId="6D7B553A"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BFI.C115</w:t>
            </w:r>
          </w:p>
        </w:tc>
        <w:tc>
          <w:tcPr>
            <w:tcW w:w="992" w:type="dxa"/>
            <w:tcBorders>
              <w:top w:val="nil"/>
              <w:left w:val="nil"/>
              <w:bottom w:val="nil"/>
              <w:right w:val="single" w:sz="8" w:space="0" w:color="auto"/>
            </w:tcBorders>
            <w:shd w:val="clear" w:color="auto" w:fill="auto"/>
            <w:vAlign w:val="center"/>
            <w:hideMark/>
          </w:tcPr>
          <w:p w14:paraId="2F817833"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BFI.D115</w:t>
            </w:r>
          </w:p>
        </w:tc>
        <w:tc>
          <w:tcPr>
            <w:tcW w:w="5103" w:type="dxa"/>
            <w:tcBorders>
              <w:top w:val="nil"/>
              <w:left w:val="nil"/>
              <w:bottom w:val="nil"/>
              <w:right w:val="single" w:sz="8" w:space="0" w:color="auto"/>
            </w:tcBorders>
            <w:shd w:val="clear" w:color="auto" w:fill="auto"/>
            <w:noWrap/>
            <w:vAlign w:val="center"/>
            <w:hideMark/>
          </w:tcPr>
          <w:p w14:paraId="14ED062F" w14:textId="77777777" w:rsidR="00D74061" w:rsidRPr="00D73956" w:rsidRDefault="00D74061" w:rsidP="00D74061">
            <w:pPr>
              <w:spacing w:after="0" w:line="240" w:lineRule="auto"/>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 xml:space="preserve">   Transferências Concedidas para Aportes de recursos para o Sistema de pagamento de Pensões Militares</w:t>
            </w:r>
          </w:p>
        </w:tc>
        <w:tc>
          <w:tcPr>
            <w:tcW w:w="993" w:type="dxa"/>
            <w:tcBorders>
              <w:top w:val="nil"/>
              <w:left w:val="nil"/>
              <w:bottom w:val="nil"/>
              <w:right w:val="single" w:sz="8" w:space="0" w:color="auto"/>
            </w:tcBorders>
            <w:shd w:val="clear" w:color="auto" w:fill="auto"/>
            <w:vAlign w:val="center"/>
            <w:hideMark/>
          </w:tcPr>
          <w:p w14:paraId="641301C1"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BFI.G115</w:t>
            </w:r>
          </w:p>
        </w:tc>
        <w:tc>
          <w:tcPr>
            <w:tcW w:w="992" w:type="dxa"/>
            <w:tcBorders>
              <w:top w:val="nil"/>
              <w:left w:val="nil"/>
              <w:bottom w:val="nil"/>
              <w:right w:val="single" w:sz="8" w:space="0" w:color="auto"/>
            </w:tcBorders>
            <w:shd w:val="clear" w:color="auto" w:fill="auto"/>
            <w:vAlign w:val="center"/>
            <w:hideMark/>
          </w:tcPr>
          <w:p w14:paraId="48372A4C"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BFI.H115</w:t>
            </w:r>
          </w:p>
        </w:tc>
      </w:tr>
      <w:tr w:rsidR="00D74061" w:rsidRPr="00D73956" w14:paraId="64999810"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4CEDABBD" w14:textId="77777777" w:rsidR="00D74061" w:rsidRPr="00D73956" w:rsidRDefault="00D74061" w:rsidP="00D74061">
            <w:pPr>
              <w:spacing w:after="0" w:line="240" w:lineRule="auto"/>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 </w:t>
            </w:r>
          </w:p>
        </w:tc>
        <w:tc>
          <w:tcPr>
            <w:tcW w:w="993" w:type="dxa"/>
            <w:tcBorders>
              <w:top w:val="nil"/>
              <w:left w:val="nil"/>
              <w:bottom w:val="nil"/>
              <w:right w:val="single" w:sz="8" w:space="0" w:color="auto"/>
            </w:tcBorders>
            <w:shd w:val="clear" w:color="auto" w:fill="auto"/>
            <w:vAlign w:val="center"/>
            <w:hideMark/>
          </w:tcPr>
          <w:p w14:paraId="54E23E3C"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 </w:t>
            </w:r>
          </w:p>
        </w:tc>
        <w:tc>
          <w:tcPr>
            <w:tcW w:w="992" w:type="dxa"/>
            <w:tcBorders>
              <w:top w:val="nil"/>
              <w:left w:val="nil"/>
              <w:bottom w:val="nil"/>
              <w:right w:val="single" w:sz="8" w:space="0" w:color="auto"/>
            </w:tcBorders>
            <w:shd w:val="clear" w:color="auto" w:fill="auto"/>
            <w:vAlign w:val="center"/>
            <w:hideMark/>
          </w:tcPr>
          <w:p w14:paraId="067A7611"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 </w:t>
            </w:r>
          </w:p>
        </w:tc>
        <w:tc>
          <w:tcPr>
            <w:tcW w:w="5103" w:type="dxa"/>
            <w:tcBorders>
              <w:top w:val="nil"/>
              <w:left w:val="nil"/>
              <w:bottom w:val="nil"/>
              <w:right w:val="single" w:sz="8" w:space="0" w:color="auto"/>
            </w:tcBorders>
            <w:shd w:val="clear" w:color="auto" w:fill="auto"/>
            <w:hideMark/>
          </w:tcPr>
          <w:p w14:paraId="23101DBB" w14:textId="77777777" w:rsidR="00D74061" w:rsidRPr="00D73956" w:rsidRDefault="00D74061" w:rsidP="00D74061">
            <w:pPr>
              <w:spacing w:after="0" w:line="240" w:lineRule="auto"/>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 </w:t>
            </w:r>
          </w:p>
        </w:tc>
        <w:tc>
          <w:tcPr>
            <w:tcW w:w="993" w:type="dxa"/>
            <w:tcBorders>
              <w:top w:val="nil"/>
              <w:left w:val="nil"/>
              <w:bottom w:val="nil"/>
              <w:right w:val="single" w:sz="8" w:space="0" w:color="auto"/>
            </w:tcBorders>
            <w:shd w:val="clear" w:color="auto" w:fill="auto"/>
            <w:vAlign w:val="center"/>
            <w:hideMark/>
          </w:tcPr>
          <w:p w14:paraId="3C514136"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 </w:t>
            </w:r>
          </w:p>
        </w:tc>
        <w:tc>
          <w:tcPr>
            <w:tcW w:w="992" w:type="dxa"/>
            <w:tcBorders>
              <w:top w:val="nil"/>
              <w:left w:val="nil"/>
              <w:bottom w:val="nil"/>
              <w:right w:val="single" w:sz="8" w:space="0" w:color="auto"/>
            </w:tcBorders>
            <w:shd w:val="clear" w:color="auto" w:fill="auto"/>
            <w:vAlign w:val="center"/>
            <w:hideMark/>
          </w:tcPr>
          <w:p w14:paraId="143F89E3"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 </w:t>
            </w:r>
          </w:p>
        </w:tc>
      </w:tr>
      <w:tr w:rsidR="00D74061" w:rsidRPr="00D73956" w14:paraId="37AD79E9"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736B8C67" w14:textId="77777777" w:rsidR="00D74061" w:rsidRPr="00D73956" w:rsidRDefault="00D74061" w:rsidP="00D74061">
            <w:pPr>
              <w:spacing w:after="0" w:line="240" w:lineRule="auto"/>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RECEBIMENTOS EXTRAORÇAMENTÁRIOS (III)</w:t>
            </w:r>
          </w:p>
        </w:tc>
        <w:tc>
          <w:tcPr>
            <w:tcW w:w="993" w:type="dxa"/>
            <w:tcBorders>
              <w:top w:val="nil"/>
              <w:left w:val="nil"/>
              <w:bottom w:val="nil"/>
              <w:right w:val="single" w:sz="8" w:space="0" w:color="auto"/>
            </w:tcBorders>
            <w:shd w:val="clear" w:color="auto" w:fill="auto"/>
            <w:vAlign w:val="center"/>
            <w:hideMark/>
          </w:tcPr>
          <w:p w14:paraId="7FF64F83" w14:textId="77777777" w:rsidR="00D74061" w:rsidRPr="00D73956" w:rsidRDefault="00D74061" w:rsidP="00D74061">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BFI.C061</w:t>
            </w:r>
          </w:p>
        </w:tc>
        <w:tc>
          <w:tcPr>
            <w:tcW w:w="992" w:type="dxa"/>
            <w:tcBorders>
              <w:top w:val="nil"/>
              <w:left w:val="nil"/>
              <w:bottom w:val="nil"/>
              <w:right w:val="single" w:sz="8" w:space="0" w:color="auto"/>
            </w:tcBorders>
            <w:shd w:val="clear" w:color="auto" w:fill="auto"/>
            <w:vAlign w:val="center"/>
            <w:hideMark/>
          </w:tcPr>
          <w:p w14:paraId="27555DC9" w14:textId="77777777" w:rsidR="00D74061" w:rsidRPr="00D73956" w:rsidRDefault="00D74061" w:rsidP="00D74061">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BFI.D061</w:t>
            </w:r>
          </w:p>
        </w:tc>
        <w:tc>
          <w:tcPr>
            <w:tcW w:w="5103" w:type="dxa"/>
            <w:tcBorders>
              <w:top w:val="nil"/>
              <w:left w:val="nil"/>
              <w:bottom w:val="nil"/>
              <w:right w:val="single" w:sz="8" w:space="0" w:color="auto"/>
            </w:tcBorders>
            <w:shd w:val="clear" w:color="auto" w:fill="auto"/>
            <w:noWrap/>
            <w:vAlign w:val="center"/>
            <w:hideMark/>
          </w:tcPr>
          <w:p w14:paraId="10FBB1FA" w14:textId="77777777" w:rsidR="00D74061" w:rsidRPr="00D73956" w:rsidRDefault="00D74061" w:rsidP="00D74061">
            <w:pPr>
              <w:spacing w:after="0" w:line="240" w:lineRule="auto"/>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PAGAMENTOS  EXTRAORÇAMENTÁRIOS  (VIII)</w:t>
            </w:r>
          </w:p>
        </w:tc>
        <w:tc>
          <w:tcPr>
            <w:tcW w:w="993" w:type="dxa"/>
            <w:tcBorders>
              <w:top w:val="nil"/>
              <w:left w:val="nil"/>
              <w:bottom w:val="nil"/>
              <w:right w:val="single" w:sz="8" w:space="0" w:color="auto"/>
            </w:tcBorders>
            <w:shd w:val="clear" w:color="auto" w:fill="auto"/>
            <w:vAlign w:val="center"/>
            <w:hideMark/>
          </w:tcPr>
          <w:p w14:paraId="22E78203" w14:textId="77777777" w:rsidR="00D74061" w:rsidRPr="00D73956" w:rsidRDefault="00D74061" w:rsidP="00D74061">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BFI.G061</w:t>
            </w:r>
          </w:p>
        </w:tc>
        <w:tc>
          <w:tcPr>
            <w:tcW w:w="992" w:type="dxa"/>
            <w:tcBorders>
              <w:top w:val="nil"/>
              <w:left w:val="nil"/>
              <w:bottom w:val="nil"/>
              <w:right w:val="single" w:sz="8" w:space="0" w:color="auto"/>
            </w:tcBorders>
            <w:shd w:val="clear" w:color="auto" w:fill="auto"/>
            <w:vAlign w:val="center"/>
            <w:hideMark/>
          </w:tcPr>
          <w:p w14:paraId="26737DCA" w14:textId="77777777" w:rsidR="00D74061" w:rsidRPr="00D73956" w:rsidRDefault="00D74061" w:rsidP="00D74061">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BFI.H061</w:t>
            </w:r>
          </w:p>
        </w:tc>
      </w:tr>
      <w:tr w:rsidR="00D74061" w:rsidRPr="00D73956" w14:paraId="3506CCA4"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152ABD15" w14:textId="77777777" w:rsidR="00D74061" w:rsidRPr="00D73956" w:rsidRDefault="00D74061" w:rsidP="00D74061">
            <w:pPr>
              <w:spacing w:after="0" w:line="240" w:lineRule="auto"/>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 xml:space="preserve">   Incrição de Restos a Pagar Não Processados</w:t>
            </w:r>
          </w:p>
        </w:tc>
        <w:tc>
          <w:tcPr>
            <w:tcW w:w="993" w:type="dxa"/>
            <w:tcBorders>
              <w:top w:val="nil"/>
              <w:left w:val="nil"/>
              <w:bottom w:val="nil"/>
              <w:right w:val="single" w:sz="8" w:space="0" w:color="auto"/>
            </w:tcBorders>
            <w:shd w:val="clear" w:color="auto" w:fill="auto"/>
            <w:vAlign w:val="center"/>
            <w:hideMark/>
          </w:tcPr>
          <w:p w14:paraId="23A49583"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BFI.C062</w:t>
            </w:r>
          </w:p>
        </w:tc>
        <w:tc>
          <w:tcPr>
            <w:tcW w:w="992" w:type="dxa"/>
            <w:tcBorders>
              <w:top w:val="nil"/>
              <w:left w:val="nil"/>
              <w:bottom w:val="nil"/>
              <w:right w:val="single" w:sz="8" w:space="0" w:color="auto"/>
            </w:tcBorders>
            <w:shd w:val="clear" w:color="auto" w:fill="auto"/>
            <w:vAlign w:val="center"/>
            <w:hideMark/>
          </w:tcPr>
          <w:p w14:paraId="7C0895FB"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BFI.D062</w:t>
            </w:r>
          </w:p>
        </w:tc>
        <w:tc>
          <w:tcPr>
            <w:tcW w:w="5103" w:type="dxa"/>
            <w:tcBorders>
              <w:top w:val="nil"/>
              <w:left w:val="nil"/>
              <w:bottom w:val="nil"/>
              <w:right w:val="single" w:sz="8" w:space="0" w:color="auto"/>
            </w:tcBorders>
            <w:shd w:val="clear" w:color="auto" w:fill="auto"/>
            <w:noWrap/>
            <w:vAlign w:val="center"/>
            <w:hideMark/>
          </w:tcPr>
          <w:p w14:paraId="706EC4C1" w14:textId="77777777" w:rsidR="00D74061" w:rsidRPr="00D73956" w:rsidRDefault="00D74061" w:rsidP="00D74061">
            <w:pPr>
              <w:spacing w:after="0" w:line="240" w:lineRule="auto"/>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 xml:space="preserve">   Pagamento de Restos a Pagar Não Processados</w:t>
            </w:r>
          </w:p>
        </w:tc>
        <w:tc>
          <w:tcPr>
            <w:tcW w:w="993" w:type="dxa"/>
            <w:tcBorders>
              <w:top w:val="nil"/>
              <w:left w:val="nil"/>
              <w:bottom w:val="nil"/>
              <w:right w:val="single" w:sz="8" w:space="0" w:color="auto"/>
            </w:tcBorders>
            <w:shd w:val="clear" w:color="auto" w:fill="auto"/>
            <w:vAlign w:val="center"/>
            <w:hideMark/>
          </w:tcPr>
          <w:p w14:paraId="647F02A4"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BFI.G062</w:t>
            </w:r>
          </w:p>
        </w:tc>
        <w:tc>
          <w:tcPr>
            <w:tcW w:w="992" w:type="dxa"/>
            <w:tcBorders>
              <w:top w:val="nil"/>
              <w:left w:val="nil"/>
              <w:bottom w:val="nil"/>
              <w:right w:val="single" w:sz="8" w:space="0" w:color="auto"/>
            </w:tcBorders>
            <w:shd w:val="clear" w:color="auto" w:fill="auto"/>
            <w:vAlign w:val="center"/>
            <w:hideMark/>
          </w:tcPr>
          <w:p w14:paraId="77954862"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BFI.H062</w:t>
            </w:r>
          </w:p>
        </w:tc>
      </w:tr>
      <w:tr w:rsidR="00D74061" w:rsidRPr="00D73956" w14:paraId="7B224E11"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60E57EED" w14:textId="77777777" w:rsidR="00D74061" w:rsidRPr="00D73956" w:rsidRDefault="00D74061" w:rsidP="00D74061">
            <w:pPr>
              <w:spacing w:after="0" w:line="240" w:lineRule="auto"/>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 xml:space="preserve">   Incrição de Restos a Pagar Processados</w:t>
            </w:r>
          </w:p>
        </w:tc>
        <w:tc>
          <w:tcPr>
            <w:tcW w:w="993" w:type="dxa"/>
            <w:tcBorders>
              <w:top w:val="nil"/>
              <w:left w:val="nil"/>
              <w:bottom w:val="nil"/>
              <w:right w:val="single" w:sz="8" w:space="0" w:color="auto"/>
            </w:tcBorders>
            <w:shd w:val="clear" w:color="auto" w:fill="auto"/>
            <w:vAlign w:val="center"/>
            <w:hideMark/>
          </w:tcPr>
          <w:p w14:paraId="5F4331A6"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BFI.C063</w:t>
            </w:r>
          </w:p>
        </w:tc>
        <w:tc>
          <w:tcPr>
            <w:tcW w:w="992" w:type="dxa"/>
            <w:tcBorders>
              <w:top w:val="nil"/>
              <w:left w:val="nil"/>
              <w:bottom w:val="nil"/>
              <w:right w:val="single" w:sz="8" w:space="0" w:color="auto"/>
            </w:tcBorders>
            <w:shd w:val="clear" w:color="auto" w:fill="auto"/>
            <w:vAlign w:val="center"/>
            <w:hideMark/>
          </w:tcPr>
          <w:p w14:paraId="2FD48832"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BFI.D063</w:t>
            </w:r>
          </w:p>
        </w:tc>
        <w:tc>
          <w:tcPr>
            <w:tcW w:w="5103" w:type="dxa"/>
            <w:tcBorders>
              <w:top w:val="nil"/>
              <w:left w:val="nil"/>
              <w:bottom w:val="nil"/>
              <w:right w:val="single" w:sz="8" w:space="0" w:color="auto"/>
            </w:tcBorders>
            <w:shd w:val="clear" w:color="auto" w:fill="auto"/>
            <w:noWrap/>
            <w:vAlign w:val="center"/>
            <w:hideMark/>
          </w:tcPr>
          <w:p w14:paraId="0779A64E" w14:textId="77777777" w:rsidR="00D74061" w:rsidRPr="00D73956" w:rsidRDefault="00D74061" w:rsidP="00D74061">
            <w:pPr>
              <w:spacing w:after="0" w:line="240" w:lineRule="auto"/>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 xml:space="preserve">   Pagamento de Restos a Pagar Processados</w:t>
            </w:r>
          </w:p>
        </w:tc>
        <w:tc>
          <w:tcPr>
            <w:tcW w:w="993" w:type="dxa"/>
            <w:tcBorders>
              <w:top w:val="nil"/>
              <w:left w:val="nil"/>
              <w:bottom w:val="nil"/>
              <w:right w:val="single" w:sz="8" w:space="0" w:color="auto"/>
            </w:tcBorders>
            <w:shd w:val="clear" w:color="auto" w:fill="auto"/>
            <w:vAlign w:val="center"/>
            <w:hideMark/>
          </w:tcPr>
          <w:p w14:paraId="60EDC464"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BFI.G063</w:t>
            </w:r>
          </w:p>
        </w:tc>
        <w:tc>
          <w:tcPr>
            <w:tcW w:w="992" w:type="dxa"/>
            <w:tcBorders>
              <w:top w:val="nil"/>
              <w:left w:val="nil"/>
              <w:bottom w:val="nil"/>
              <w:right w:val="single" w:sz="8" w:space="0" w:color="auto"/>
            </w:tcBorders>
            <w:shd w:val="clear" w:color="auto" w:fill="auto"/>
            <w:vAlign w:val="center"/>
            <w:hideMark/>
          </w:tcPr>
          <w:p w14:paraId="1C942A2A"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BFI.H063</w:t>
            </w:r>
          </w:p>
        </w:tc>
      </w:tr>
      <w:tr w:rsidR="00D74061" w:rsidRPr="00D73956" w14:paraId="28D34E9B" w14:textId="77777777" w:rsidTr="006A139B">
        <w:trPr>
          <w:trHeight w:val="225"/>
        </w:trPr>
        <w:tc>
          <w:tcPr>
            <w:tcW w:w="5104" w:type="dxa"/>
            <w:tcBorders>
              <w:top w:val="nil"/>
              <w:left w:val="single" w:sz="8" w:space="0" w:color="auto"/>
              <w:bottom w:val="nil"/>
              <w:right w:val="single" w:sz="8" w:space="0" w:color="auto"/>
            </w:tcBorders>
            <w:shd w:val="clear" w:color="auto" w:fill="auto"/>
            <w:noWrap/>
            <w:vAlign w:val="center"/>
            <w:hideMark/>
          </w:tcPr>
          <w:p w14:paraId="6E19E6F2" w14:textId="77777777" w:rsidR="00D74061" w:rsidRPr="00D73956" w:rsidRDefault="00D74061" w:rsidP="00D74061">
            <w:pPr>
              <w:spacing w:after="0" w:line="240" w:lineRule="auto"/>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 xml:space="preserve">   Depósitos Restituíveis e Valores Vinculados</w:t>
            </w:r>
          </w:p>
        </w:tc>
        <w:tc>
          <w:tcPr>
            <w:tcW w:w="993" w:type="dxa"/>
            <w:tcBorders>
              <w:top w:val="nil"/>
              <w:left w:val="nil"/>
              <w:bottom w:val="nil"/>
              <w:right w:val="single" w:sz="8" w:space="0" w:color="auto"/>
            </w:tcBorders>
            <w:shd w:val="clear" w:color="auto" w:fill="auto"/>
            <w:vAlign w:val="center"/>
            <w:hideMark/>
          </w:tcPr>
          <w:p w14:paraId="72BDCD05"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BFI.C064</w:t>
            </w:r>
          </w:p>
        </w:tc>
        <w:tc>
          <w:tcPr>
            <w:tcW w:w="992" w:type="dxa"/>
            <w:tcBorders>
              <w:top w:val="nil"/>
              <w:left w:val="nil"/>
              <w:bottom w:val="nil"/>
              <w:right w:val="single" w:sz="8" w:space="0" w:color="auto"/>
            </w:tcBorders>
            <w:shd w:val="clear" w:color="auto" w:fill="auto"/>
            <w:vAlign w:val="center"/>
            <w:hideMark/>
          </w:tcPr>
          <w:p w14:paraId="766F2370"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BFI.D064</w:t>
            </w:r>
          </w:p>
        </w:tc>
        <w:tc>
          <w:tcPr>
            <w:tcW w:w="5103" w:type="dxa"/>
            <w:tcBorders>
              <w:top w:val="nil"/>
              <w:left w:val="nil"/>
              <w:bottom w:val="nil"/>
              <w:right w:val="single" w:sz="8" w:space="0" w:color="auto"/>
            </w:tcBorders>
            <w:shd w:val="clear" w:color="auto" w:fill="auto"/>
            <w:noWrap/>
            <w:vAlign w:val="center"/>
            <w:hideMark/>
          </w:tcPr>
          <w:p w14:paraId="20AF6BD0" w14:textId="77777777" w:rsidR="00D74061" w:rsidRPr="00D73956" w:rsidRDefault="00D74061" w:rsidP="00D74061">
            <w:pPr>
              <w:spacing w:after="0" w:line="240" w:lineRule="auto"/>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 xml:space="preserve">   Depósitos Restituíveis e Valores Vinculados</w:t>
            </w:r>
          </w:p>
        </w:tc>
        <w:tc>
          <w:tcPr>
            <w:tcW w:w="993" w:type="dxa"/>
            <w:tcBorders>
              <w:top w:val="nil"/>
              <w:left w:val="nil"/>
              <w:bottom w:val="nil"/>
              <w:right w:val="single" w:sz="8" w:space="0" w:color="auto"/>
            </w:tcBorders>
            <w:shd w:val="clear" w:color="auto" w:fill="auto"/>
            <w:vAlign w:val="center"/>
            <w:hideMark/>
          </w:tcPr>
          <w:p w14:paraId="04C7C23D"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BFI.G064</w:t>
            </w:r>
          </w:p>
        </w:tc>
        <w:tc>
          <w:tcPr>
            <w:tcW w:w="992" w:type="dxa"/>
            <w:tcBorders>
              <w:top w:val="nil"/>
              <w:left w:val="nil"/>
              <w:bottom w:val="nil"/>
              <w:right w:val="single" w:sz="8" w:space="0" w:color="auto"/>
            </w:tcBorders>
            <w:shd w:val="clear" w:color="auto" w:fill="auto"/>
            <w:vAlign w:val="center"/>
            <w:hideMark/>
          </w:tcPr>
          <w:p w14:paraId="7E73500F"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BFI.H064</w:t>
            </w:r>
          </w:p>
        </w:tc>
      </w:tr>
      <w:tr w:rsidR="00D74061" w:rsidRPr="00D73956" w14:paraId="38205E45" w14:textId="77777777" w:rsidTr="006A139B">
        <w:trPr>
          <w:trHeight w:val="255"/>
        </w:trPr>
        <w:tc>
          <w:tcPr>
            <w:tcW w:w="5104" w:type="dxa"/>
            <w:tcBorders>
              <w:top w:val="nil"/>
              <w:left w:val="single" w:sz="8" w:space="0" w:color="auto"/>
              <w:bottom w:val="nil"/>
              <w:right w:val="single" w:sz="8" w:space="0" w:color="auto"/>
            </w:tcBorders>
            <w:shd w:val="clear" w:color="auto" w:fill="auto"/>
            <w:hideMark/>
          </w:tcPr>
          <w:p w14:paraId="4D7B4D3A" w14:textId="77777777" w:rsidR="00D74061" w:rsidRPr="00D73956" w:rsidRDefault="00D74061" w:rsidP="00D74061">
            <w:pPr>
              <w:spacing w:after="0" w:line="240" w:lineRule="auto"/>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 xml:space="preserve">   Outros Recebimentos Extraorçamentários</w:t>
            </w:r>
          </w:p>
        </w:tc>
        <w:tc>
          <w:tcPr>
            <w:tcW w:w="993" w:type="dxa"/>
            <w:tcBorders>
              <w:top w:val="nil"/>
              <w:left w:val="nil"/>
              <w:bottom w:val="nil"/>
              <w:right w:val="single" w:sz="8" w:space="0" w:color="auto"/>
            </w:tcBorders>
            <w:shd w:val="clear" w:color="auto" w:fill="auto"/>
            <w:vAlign w:val="center"/>
            <w:hideMark/>
          </w:tcPr>
          <w:p w14:paraId="0E4E7766"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BFI.C065</w:t>
            </w:r>
          </w:p>
        </w:tc>
        <w:tc>
          <w:tcPr>
            <w:tcW w:w="992" w:type="dxa"/>
            <w:tcBorders>
              <w:top w:val="nil"/>
              <w:left w:val="nil"/>
              <w:bottom w:val="nil"/>
              <w:right w:val="single" w:sz="8" w:space="0" w:color="auto"/>
            </w:tcBorders>
            <w:shd w:val="clear" w:color="auto" w:fill="auto"/>
            <w:vAlign w:val="center"/>
            <w:hideMark/>
          </w:tcPr>
          <w:p w14:paraId="734748E9"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BFI.D065</w:t>
            </w:r>
          </w:p>
        </w:tc>
        <w:tc>
          <w:tcPr>
            <w:tcW w:w="5103" w:type="dxa"/>
            <w:tcBorders>
              <w:top w:val="nil"/>
              <w:left w:val="nil"/>
              <w:bottom w:val="nil"/>
              <w:right w:val="single" w:sz="8" w:space="0" w:color="auto"/>
            </w:tcBorders>
            <w:shd w:val="clear" w:color="auto" w:fill="auto"/>
            <w:hideMark/>
          </w:tcPr>
          <w:p w14:paraId="10C51014" w14:textId="77777777" w:rsidR="00D74061" w:rsidRPr="00D73956" w:rsidRDefault="00D74061" w:rsidP="00D74061">
            <w:pPr>
              <w:spacing w:after="0" w:line="240" w:lineRule="auto"/>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 xml:space="preserve">   Outros Pagamentos Extraorçamentários</w:t>
            </w:r>
          </w:p>
        </w:tc>
        <w:tc>
          <w:tcPr>
            <w:tcW w:w="993" w:type="dxa"/>
            <w:tcBorders>
              <w:top w:val="nil"/>
              <w:left w:val="nil"/>
              <w:bottom w:val="nil"/>
              <w:right w:val="single" w:sz="8" w:space="0" w:color="auto"/>
            </w:tcBorders>
            <w:shd w:val="clear" w:color="auto" w:fill="auto"/>
            <w:vAlign w:val="center"/>
            <w:hideMark/>
          </w:tcPr>
          <w:p w14:paraId="73068570"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BFI.G065</w:t>
            </w:r>
          </w:p>
        </w:tc>
        <w:tc>
          <w:tcPr>
            <w:tcW w:w="992" w:type="dxa"/>
            <w:tcBorders>
              <w:top w:val="nil"/>
              <w:left w:val="nil"/>
              <w:bottom w:val="nil"/>
              <w:right w:val="single" w:sz="8" w:space="0" w:color="auto"/>
            </w:tcBorders>
            <w:shd w:val="clear" w:color="auto" w:fill="auto"/>
            <w:vAlign w:val="center"/>
            <w:hideMark/>
          </w:tcPr>
          <w:p w14:paraId="5C3A000A"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BFI.H065</w:t>
            </w:r>
          </w:p>
        </w:tc>
      </w:tr>
      <w:tr w:rsidR="00D74061" w:rsidRPr="00D73956" w14:paraId="3FE5804D"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4CCD405A" w14:textId="77777777" w:rsidR="00D74061" w:rsidRPr="00D73956" w:rsidRDefault="00D74061" w:rsidP="00D74061">
            <w:pPr>
              <w:spacing w:after="0" w:line="240" w:lineRule="auto"/>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 </w:t>
            </w:r>
          </w:p>
        </w:tc>
        <w:tc>
          <w:tcPr>
            <w:tcW w:w="993" w:type="dxa"/>
            <w:tcBorders>
              <w:top w:val="nil"/>
              <w:left w:val="nil"/>
              <w:bottom w:val="nil"/>
              <w:right w:val="single" w:sz="8" w:space="0" w:color="auto"/>
            </w:tcBorders>
            <w:shd w:val="clear" w:color="auto" w:fill="auto"/>
            <w:vAlign w:val="center"/>
            <w:hideMark/>
          </w:tcPr>
          <w:p w14:paraId="792A9AE1"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 </w:t>
            </w:r>
          </w:p>
        </w:tc>
        <w:tc>
          <w:tcPr>
            <w:tcW w:w="992" w:type="dxa"/>
            <w:tcBorders>
              <w:top w:val="nil"/>
              <w:left w:val="nil"/>
              <w:bottom w:val="nil"/>
              <w:right w:val="single" w:sz="8" w:space="0" w:color="auto"/>
            </w:tcBorders>
            <w:shd w:val="clear" w:color="auto" w:fill="auto"/>
            <w:vAlign w:val="center"/>
            <w:hideMark/>
          </w:tcPr>
          <w:p w14:paraId="72848FF0"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 </w:t>
            </w:r>
          </w:p>
        </w:tc>
        <w:tc>
          <w:tcPr>
            <w:tcW w:w="5103" w:type="dxa"/>
            <w:tcBorders>
              <w:top w:val="nil"/>
              <w:left w:val="nil"/>
              <w:bottom w:val="nil"/>
              <w:right w:val="single" w:sz="8" w:space="0" w:color="auto"/>
            </w:tcBorders>
            <w:shd w:val="clear" w:color="auto" w:fill="auto"/>
            <w:noWrap/>
            <w:vAlign w:val="center"/>
            <w:hideMark/>
          </w:tcPr>
          <w:p w14:paraId="6292E119" w14:textId="77777777" w:rsidR="00D74061" w:rsidRPr="00D73956" w:rsidRDefault="00D74061" w:rsidP="00D74061">
            <w:pPr>
              <w:spacing w:after="0" w:line="240" w:lineRule="auto"/>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 </w:t>
            </w:r>
          </w:p>
        </w:tc>
        <w:tc>
          <w:tcPr>
            <w:tcW w:w="993" w:type="dxa"/>
            <w:tcBorders>
              <w:top w:val="nil"/>
              <w:left w:val="nil"/>
              <w:bottom w:val="nil"/>
              <w:right w:val="single" w:sz="8" w:space="0" w:color="auto"/>
            </w:tcBorders>
            <w:shd w:val="clear" w:color="auto" w:fill="auto"/>
            <w:vAlign w:val="center"/>
            <w:hideMark/>
          </w:tcPr>
          <w:p w14:paraId="37D2601D"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 </w:t>
            </w:r>
          </w:p>
        </w:tc>
        <w:tc>
          <w:tcPr>
            <w:tcW w:w="992" w:type="dxa"/>
            <w:tcBorders>
              <w:top w:val="nil"/>
              <w:left w:val="nil"/>
              <w:bottom w:val="nil"/>
              <w:right w:val="single" w:sz="8" w:space="0" w:color="auto"/>
            </w:tcBorders>
            <w:shd w:val="clear" w:color="auto" w:fill="auto"/>
            <w:vAlign w:val="center"/>
            <w:hideMark/>
          </w:tcPr>
          <w:p w14:paraId="1CBDFED2"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 </w:t>
            </w:r>
          </w:p>
        </w:tc>
      </w:tr>
      <w:tr w:rsidR="00D74061" w:rsidRPr="00D73956" w14:paraId="0DBF09A5"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6277E4C9" w14:textId="77777777" w:rsidR="00D74061" w:rsidRPr="00D73956" w:rsidRDefault="00D74061" w:rsidP="00D74061">
            <w:pPr>
              <w:spacing w:after="0" w:line="240" w:lineRule="auto"/>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SALDO DO EXERCÍCIO ANTERIOR (IV)</w:t>
            </w:r>
          </w:p>
        </w:tc>
        <w:tc>
          <w:tcPr>
            <w:tcW w:w="993" w:type="dxa"/>
            <w:tcBorders>
              <w:top w:val="nil"/>
              <w:left w:val="nil"/>
              <w:bottom w:val="nil"/>
              <w:right w:val="single" w:sz="8" w:space="0" w:color="auto"/>
            </w:tcBorders>
            <w:shd w:val="clear" w:color="auto" w:fill="auto"/>
            <w:vAlign w:val="center"/>
            <w:hideMark/>
          </w:tcPr>
          <w:p w14:paraId="2C90D28E" w14:textId="77777777" w:rsidR="00D74061" w:rsidRPr="00D73956" w:rsidRDefault="00D74061" w:rsidP="00D74061">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BFI.C067</w:t>
            </w:r>
          </w:p>
        </w:tc>
        <w:tc>
          <w:tcPr>
            <w:tcW w:w="992" w:type="dxa"/>
            <w:tcBorders>
              <w:top w:val="nil"/>
              <w:left w:val="nil"/>
              <w:bottom w:val="nil"/>
              <w:right w:val="single" w:sz="8" w:space="0" w:color="auto"/>
            </w:tcBorders>
            <w:shd w:val="clear" w:color="auto" w:fill="auto"/>
            <w:vAlign w:val="center"/>
            <w:hideMark/>
          </w:tcPr>
          <w:p w14:paraId="4AEA5BC4" w14:textId="77777777" w:rsidR="00D74061" w:rsidRPr="00D73956" w:rsidRDefault="00D74061" w:rsidP="00D74061">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BFI.D067</w:t>
            </w:r>
          </w:p>
        </w:tc>
        <w:tc>
          <w:tcPr>
            <w:tcW w:w="5103" w:type="dxa"/>
            <w:tcBorders>
              <w:top w:val="nil"/>
              <w:left w:val="nil"/>
              <w:bottom w:val="nil"/>
              <w:right w:val="single" w:sz="8" w:space="0" w:color="auto"/>
            </w:tcBorders>
            <w:shd w:val="clear" w:color="auto" w:fill="auto"/>
            <w:noWrap/>
            <w:vAlign w:val="center"/>
            <w:hideMark/>
          </w:tcPr>
          <w:p w14:paraId="1BCF414D" w14:textId="77777777" w:rsidR="00D74061" w:rsidRPr="00D73956" w:rsidRDefault="00D74061" w:rsidP="00D74061">
            <w:pPr>
              <w:spacing w:after="0" w:line="240" w:lineRule="auto"/>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SALDO PARA O EXERCÍCIO SEGUINTE (IX)</w:t>
            </w:r>
          </w:p>
        </w:tc>
        <w:tc>
          <w:tcPr>
            <w:tcW w:w="993" w:type="dxa"/>
            <w:tcBorders>
              <w:top w:val="nil"/>
              <w:left w:val="nil"/>
              <w:bottom w:val="nil"/>
              <w:right w:val="single" w:sz="8" w:space="0" w:color="auto"/>
            </w:tcBorders>
            <w:shd w:val="clear" w:color="auto" w:fill="auto"/>
            <w:vAlign w:val="center"/>
            <w:hideMark/>
          </w:tcPr>
          <w:p w14:paraId="7908EB4E" w14:textId="77777777" w:rsidR="00D74061" w:rsidRPr="00D73956" w:rsidRDefault="00D74061" w:rsidP="00D74061">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BFI.G067</w:t>
            </w:r>
          </w:p>
        </w:tc>
        <w:tc>
          <w:tcPr>
            <w:tcW w:w="992" w:type="dxa"/>
            <w:tcBorders>
              <w:top w:val="nil"/>
              <w:left w:val="nil"/>
              <w:bottom w:val="nil"/>
              <w:right w:val="single" w:sz="8" w:space="0" w:color="auto"/>
            </w:tcBorders>
            <w:shd w:val="clear" w:color="auto" w:fill="auto"/>
            <w:vAlign w:val="center"/>
            <w:hideMark/>
          </w:tcPr>
          <w:p w14:paraId="66380259" w14:textId="77777777" w:rsidR="00D74061" w:rsidRPr="00D73956" w:rsidRDefault="00D74061" w:rsidP="00D74061">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BFI.H067</w:t>
            </w:r>
          </w:p>
        </w:tc>
      </w:tr>
      <w:tr w:rsidR="00D74061" w:rsidRPr="00D73956" w14:paraId="33358217"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74E1B556" w14:textId="77777777" w:rsidR="00D74061" w:rsidRPr="00D73956" w:rsidRDefault="00D74061" w:rsidP="00D74061">
            <w:pPr>
              <w:spacing w:after="0" w:line="240" w:lineRule="auto"/>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 xml:space="preserve">   Caixa e Equivalentes de Caixa - Consolidação</w:t>
            </w:r>
          </w:p>
        </w:tc>
        <w:tc>
          <w:tcPr>
            <w:tcW w:w="993" w:type="dxa"/>
            <w:tcBorders>
              <w:top w:val="nil"/>
              <w:left w:val="nil"/>
              <w:bottom w:val="nil"/>
              <w:right w:val="single" w:sz="8" w:space="0" w:color="auto"/>
            </w:tcBorders>
            <w:shd w:val="clear" w:color="auto" w:fill="auto"/>
            <w:vAlign w:val="center"/>
            <w:hideMark/>
          </w:tcPr>
          <w:p w14:paraId="11F69F81" w14:textId="77777777" w:rsidR="00D74061" w:rsidRPr="00D73956" w:rsidRDefault="00D74061" w:rsidP="00D74061">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BFI.C068</w:t>
            </w:r>
          </w:p>
        </w:tc>
        <w:tc>
          <w:tcPr>
            <w:tcW w:w="992" w:type="dxa"/>
            <w:tcBorders>
              <w:top w:val="nil"/>
              <w:left w:val="nil"/>
              <w:bottom w:val="nil"/>
              <w:right w:val="single" w:sz="8" w:space="0" w:color="auto"/>
            </w:tcBorders>
            <w:shd w:val="clear" w:color="auto" w:fill="auto"/>
            <w:vAlign w:val="center"/>
            <w:hideMark/>
          </w:tcPr>
          <w:p w14:paraId="3D51C3B2" w14:textId="77777777" w:rsidR="00D74061" w:rsidRPr="00D73956" w:rsidRDefault="00D74061" w:rsidP="00D74061">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BFI.D068</w:t>
            </w:r>
          </w:p>
        </w:tc>
        <w:tc>
          <w:tcPr>
            <w:tcW w:w="5103" w:type="dxa"/>
            <w:tcBorders>
              <w:top w:val="nil"/>
              <w:left w:val="nil"/>
              <w:bottom w:val="nil"/>
              <w:right w:val="single" w:sz="8" w:space="0" w:color="auto"/>
            </w:tcBorders>
            <w:shd w:val="clear" w:color="auto" w:fill="auto"/>
            <w:noWrap/>
            <w:vAlign w:val="center"/>
            <w:hideMark/>
          </w:tcPr>
          <w:p w14:paraId="04CD6779" w14:textId="77777777" w:rsidR="00D74061" w:rsidRPr="00D73956" w:rsidRDefault="00D74061" w:rsidP="00D74061">
            <w:pPr>
              <w:spacing w:after="0" w:line="240" w:lineRule="auto"/>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 xml:space="preserve">   Caixa e Equivalentes de Caixa - Consolidação</w:t>
            </w:r>
          </w:p>
        </w:tc>
        <w:tc>
          <w:tcPr>
            <w:tcW w:w="993" w:type="dxa"/>
            <w:tcBorders>
              <w:top w:val="nil"/>
              <w:left w:val="nil"/>
              <w:bottom w:val="nil"/>
              <w:right w:val="single" w:sz="8" w:space="0" w:color="auto"/>
            </w:tcBorders>
            <w:shd w:val="clear" w:color="auto" w:fill="auto"/>
            <w:vAlign w:val="center"/>
            <w:hideMark/>
          </w:tcPr>
          <w:p w14:paraId="57073E55" w14:textId="77777777" w:rsidR="00D74061" w:rsidRPr="00D73956" w:rsidRDefault="00D74061" w:rsidP="00D74061">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BFI.G068</w:t>
            </w:r>
          </w:p>
        </w:tc>
        <w:tc>
          <w:tcPr>
            <w:tcW w:w="992" w:type="dxa"/>
            <w:tcBorders>
              <w:top w:val="nil"/>
              <w:left w:val="nil"/>
              <w:bottom w:val="nil"/>
              <w:right w:val="single" w:sz="8" w:space="0" w:color="auto"/>
            </w:tcBorders>
            <w:shd w:val="clear" w:color="auto" w:fill="auto"/>
            <w:vAlign w:val="center"/>
            <w:hideMark/>
          </w:tcPr>
          <w:p w14:paraId="4BEF379E" w14:textId="77777777" w:rsidR="00D74061" w:rsidRPr="00D73956" w:rsidRDefault="00D74061" w:rsidP="00D74061">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BFI.H068</w:t>
            </w:r>
          </w:p>
        </w:tc>
      </w:tr>
      <w:tr w:rsidR="00D74061" w:rsidRPr="00D73956" w14:paraId="5DE55590"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26CC7018" w14:textId="77777777" w:rsidR="00D74061" w:rsidRPr="00D73956" w:rsidRDefault="00D74061" w:rsidP="00D74061">
            <w:pPr>
              <w:spacing w:after="0" w:line="240" w:lineRule="auto"/>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 xml:space="preserve">      Caixa</w:t>
            </w:r>
          </w:p>
        </w:tc>
        <w:tc>
          <w:tcPr>
            <w:tcW w:w="993" w:type="dxa"/>
            <w:tcBorders>
              <w:top w:val="nil"/>
              <w:left w:val="nil"/>
              <w:bottom w:val="nil"/>
              <w:right w:val="single" w:sz="8" w:space="0" w:color="auto"/>
            </w:tcBorders>
            <w:shd w:val="clear" w:color="auto" w:fill="auto"/>
            <w:vAlign w:val="center"/>
            <w:hideMark/>
          </w:tcPr>
          <w:p w14:paraId="0BF503FE"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BFI.C069</w:t>
            </w:r>
          </w:p>
        </w:tc>
        <w:tc>
          <w:tcPr>
            <w:tcW w:w="992" w:type="dxa"/>
            <w:tcBorders>
              <w:top w:val="nil"/>
              <w:left w:val="nil"/>
              <w:bottom w:val="nil"/>
              <w:right w:val="single" w:sz="8" w:space="0" w:color="auto"/>
            </w:tcBorders>
            <w:shd w:val="clear" w:color="auto" w:fill="auto"/>
            <w:vAlign w:val="center"/>
            <w:hideMark/>
          </w:tcPr>
          <w:p w14:paraId="51A6CE63"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BFI.D069</w:t>
            </w:r>
          </w:p>
        </w:tc>
        <w:tc>
          <w:tcPr>
            <w:tcW w:w="5103" w:type="dxa"/>
            <w:tcBorders>
              <w:top w:val="nil"/>
              <w:left w:val="nil"/>
              <w:bottom w:val="nil"/>
              <w:right w:val="single" w:sz="8" w:space="0" w:color="auto"/>
            </w:tcBorders>
            <w:shd w:val="clear" w:color="auto" w:fill="auto"/>
            <w:noWrap/>
            <w:vAlign w:val="center"/>
            <w:hideMark/>
          </w:tcPr>
          <w:p w14:paraId="07487EC4" w14:textId="77777777" w:rsidR="00D74061" w:rsidRPr="00D73956" w:rsidRDefault="00D74061" w:rsidP="00D74061">
            <w:pPr>
              <w:spacing w:after="0" w:line="240" w:lineRule="auto"/>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 xml:space="preserve">      Caixa</w:t>
            </w:r>
          </w:p>
        </w:tc>
        <w:tc>
          <w:tcPr>
            <w:tcW w:w="993" w:type="dxa"/>
            <w:tcBorders>
              <w:top w:val="nil"/>
              <w:left w:val="nil"/>
              <w:bottom w:val="nil"/>
              <w:right w:val="single" w:sz="8" w:space="0" w:color="auto"/>
            </w:tcBorders>
            <w:shd w:val="clear" w:color="auto" w:fill="auto"/>
            <w:vAlign w:val="center"/>
            <w:hideMark/>
          </w:tcPr>
          <w:p w14:paraId="0333CDAB"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BFI.G069</w:t>
            </w:r>
          </w:p>
        </w:tc>
        <w:tc>
          <w:tcPr>
            <w:tcW w:w="992" w:type="dxa"/>
            <w:tcBorders>
              <w:top w:val="nil"/>
              <w:left w:val="nil"/>
              <w:bottom w:val="nil"/>
              <w:right w:val="single" w:sz="8" w:space="0" w:color="auto"/>
            </w:tcBorders>
            <w:shd w:val="clear" w:color="auto" w:fill="auto"/>
            <w:vAlign w:val="center"/>
            <w:hideMark/>
          </w:tcPr>
          <w:p w14:paraId="7565CFE4"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BFI.H069</w:t>
            </w:r>
          </w:p>
        </w:tc>
      </w:tr>
      <w:tr w:rsidR="00D74061" w:rsidRPr="00D73956" w14:paraId="715E0B1A"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42107045" w14:textId="77777777" w:rsidR="00D74061" w:rsidRPr="00D73956" w:rsidRDefault="00D74061" w:rsidP="00D74061">
            <w:pPr>
              <w:spacing w:after="0" w:line="240" w:lineRule="auto"/>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 xml:space="preserve">      Conta Única</w:t>
            </w:r>
          </w:p>
        </w:tc>
        <w:tc>
          <w:tcPr>
            <w:tcW w:w="993" w:type="dxa"/>
            <w:tcBorders>
              <w:top w:val="nil"/>
              <w:left w:val="nil"/>
              <w:bottom w:val="nil"/>
              <w:right w:val="single" w:sz="8" w:space="0" w:color="auto"/>
            </w:tcBorders>
            <w:shd w:val="clear" w:color="auto" w:fill="auto"/>
            <w:vAlign w:val="center"/>
            <w:hideMark/>
          </w:tcPr>
          <w:p w14:paraId="0BAFE3AE"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BFI.C070</w:t>
            </w:r>
          </w:p>
        </w:tc>
        <w:tc>
          <w:tcPr>
            <w:tcW w:w="992" w:type="dxa"/>
            <w:tcBorders>
              <w:top w:val="nil"/>
              <w:left w:val="nil"/>
              <w:bottom w:val="nil"/>
              <w:right w:val="single" w:sz="8" w:space="0" w:color="auto"/>
            </w:tcBorders>
            <w:shd w:val="clear" w:color="auto" w:fill="auto"/>
            <w:vAlign w:val="center"/>
            <w:hideMark/>
          </w:tcPr>
          <w:p w14:paraId="75BE512A"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BFI.D070</w:t>
            </w:r>
          </w:p>
        </w:tc>
        <w:tc>
          <w:tcPr>
            <w:tcW w:w="5103" w:type="dxa"/>
            <w:tcBorders>
              <w:top w:val="nil"/>
              <w:left w:val="nil"/>
              <w:bottom w:val="nil"/>
              <w:right w:val="single" w:sz="8" w:space="0" w:color="auto"/>
            </w:tcBorders>
            <w:shd w:val="clear" w:color="auto" w:fill="auto"/>
            <w:noWrap/>
            <w:vAlign w:val="center"/>
            <w:hideMark/>
          </w:tcPr>
          <w:p w14:paraId="213CB8FD" w14:textId="77777777" w:rsidR="00D74061" w:rsidRPr="00D73956" w:rsidRDefault="00D74061" w:rsidP="00D74061">
            <w:pPr>
              <w:spacing w:after="0" w:line="240" w:lineRule="auto"/>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 xml:space="preserve">      Conta Única</w:t>
            </w:r>
          </w:p>
        </w:tc>
        <w:tc>
          <w:tcPr>
            <w:tcW w:w="993" w:type="dxa"/>
            <w:tcBorders>
              <w:top w:val="nil"/>
              <w:left w:val="nil"/>
              <w:bottom w:val="nil"/>
              <w:right w:val="single" w:sz="8" w:space="0" w:color="auto"/>
            </w:tcBorders>
            <w:shd w:val="clear" w:color="auto" w:fill="auto"/>
            <w:vAlign w:val="center"/>
            <w:hideMark/>
          </w:tcPr>
          <w:p w14:paraId="319177C9"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BFI.G070</w:t>
            </w:r>
          </w:p>
        </w:tc>
        <w:tc>
          <w:tcPr>
            <w:tcW w:w="992" w:type="dxa"/>
            <w:tcBorders>
              <w:top w:val="nil"/>
              <w:left w:val="nil"/>
              <w:bottom w:val="nil"/>
              <w:right w:val="single" w:sz="8" w:space="0" w:color="auto"/>
            </w:tcBorders>
            <w:shd w:val="clear" w:color="auto" w:fill="auto"/>
            <w:vAlign w:val="center"/>
            <w:hideMark/>
          </w:tcPr>
          <w:p w14:paraId="34AD2480"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BFI.H070</w:t>
            </w:r>
          </w:p>
        </w:tc>
      </w:tr>
      <w:tr w:rsidR="00D74061" w:rsidRPr="00D73956" w14:paraId="5BD1FD3A"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3FDCE506" w14:textId="77777777" w:rsidR="00D74061" w:rsidRPr="00D73956" w:rsidRDefault="00D74061" w:rsidP="00D74061">
            <w:pPr>
              <w:spacing w:after="0" w:line="240" w:lineRule="auto"/>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 xml:space="preserve">      Conta Única RPPS</w:t>
            </w:r>
          </w:p>
        </w:tc>
        <w:tc>
          <w:tcPr>
            <w:tcW w:w="993" w:type="dxa"/>
            <w:tcBorders>
              <w:top w:val="nil"/>
              <w:left w:val="nil"/>
              <w:bottom w:val="nil"/>
              <w:right w:val="single" w:sz="8" w:space="0" w:color="auto"/>
            </w:tcBorders>
            <w:shd w:val="clear" w:color="auto" w:fill="auto"/>
            <w:vAlign w:val="center"/>
            <w:hideMark/>
          </w:tcPr>
          <w:p w14:paraId="184AE555"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BFI.C071</w:t>
            </w:r>
          </w:p>
        </w:tc>
        <w:tc>
          <w:tcPr>
            <w:tcW w:w="992" w:type="dxa"/>
            <w:tcBorders>
              <w:top w:val="nil"/>
              <w:left w:val="nil"/>
              <w:bottom w:val="nil"/>
              <w:right w:val="single" w:sz="8" w:space="0" w:color="auto"/>
            </w:tcBorders>
            <w:shd w:val="clear" w:color="auto" w:fill="auto"/>
            <w:vAlign w:val="center"/>
            <w:hideMark/>
          </w:tcPr>
          <w:p w14:paraId="0C4CB2AB"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BFI.D071</w:t>
            </w:r>
          </w:p>
        </w:tc>
        <w:tc>
          <w:tcPr>
            <w:tcW w:w="5103" w:type="dxa"/>
            <w:tcBorders>
              <w:top w:val="nil"/>
              <w:left w:val="nil"/>
              <w:bottom w:val="nil"/>
              <w:right w:val="single" w:sz="8" w:space="0" w:color="auto"/>
            </w:tcBorders>
            <w:shd w:val="clear" w:color="auto" w:fill="auto"/>
            <w:noWrap/>
            <w:vAlign w:val="center"/>
            <w:hideMark/>
          </w:tcPr>
          <w:p w14:paraId="756EF3DA" w14:textId="77777777" w:rsidR="00D74061" w:rsidRPr="00D73956" w:rsidRDefault="00D74061" w:rsidP="00D74061">
            <w:pPr>
              <w:spacing w:after="0" w:line="240" w:lineRule="auto"/>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 xml:space="preserve">      Conta Única RPPS</w:t>
            </w:r>
          </w:p>
        </w:tc>
        <w:tc>
          <w:tcPr>
            <w:tcW w:w="993" w:type="dxa"/>
            <w:tcBorders>
              <w:top w:val="nil"/>
              <w:left w:val="nil"/>
              <w:bottom w:val="nil"/>
              <w:right w:val="single" w:sz="8" w:space="0" w:color="auto"/>
            </w:tcBorders>
            <w:shd w:val="clear" w:color="auto" w:fill="auto"/>
            <w:vAlign w:val="center"/>
            <w:hideMark/>
          </w:tcPr>
          <w:p w14:paraId="3C8DF911"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BFI.G071</w:t>
            </w:r>
          </w:p>
        </w:tc>
        <w:tc>
          <w:tcPr>
            <w:tcW w:w="992" w:type="dxa"/>
            <w:tcBorders>
              <w:top w:val="nil"/>
              <w:left w:val="nil"/>
              <w:bottom w:val="nil"/>
              <w:right w:val="single" w:sz="8" w:space="0" w:color="auto"/>
            </w:tcBorders>
            <w:shd w:val="clear" w:color="auto" w:fill="auto"/>
            <w:vAlign w:val="center"/>
            <w:hideMark/>
          </w:tcPr>
          <w:p w14:paraId="2D98D938"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BFI.H071</w:t>
            </w:r>
          </w:p>
        </w:tc>
      </w:tr>
      <w:tr w:rsidR="00D74061" w:rsidRPr="00D73956" w14:paraId="48360A72"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21EC89A4" w14:textId="77777777" w:rsidR="00D74061" w:rsidRPr="00D73956" w:rsidRDefault="00D74061" w:rsidP="00D74061">
            <w:pPr>
              <w:spacing w:after="0" w:line="240" w:lineRule="auto"/>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 xml:space="preserve">      Bancos Conta Movimento - Demais Contas</w:t>
            </w:r>
          </w:p>
        </w:tc>
        <w:tc>
          <w:tcPr>
            <w:tcW w:w="993" w:type="dxa"/>
            <w:tcBorders>
              <w:top w:val="nil"/>
              <w:left w:val="nil"/>
              <w:bottom w:val="nil"/>
              <w:right w:val="single" w:sz="8" w:space="0" w:color="auto"/>
            </w:tcBorders>
            <w:shd w:val="clear" w:color="auto" w:fill="auto"/>
            <w:vAlign w:val="center"/>
            <w:hideMark/>
          </w:tcPr>
          <w:p w14:paraId="0A691DD1"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BFI.C072</w:t>
            </w:r>
          </w:p>
        </w:tc>
        <w:tc>
          <w:tcPr>
            <w:tcW w:w="992" w:type="dxa"/>
            <w:tcBorders>
              <w:top w:val="nil"/>
              <w:left w:val="nil"/>
              <w:bottom w:val="nil"/>
              <w:right w:val="single" w:sz="8" w:space="0" w:color="auto"/>
            </w:tcBorders>
            <w:shd w:val="clear" w:color="auto" w:fill="auto"/>
            <w:vAlign w:val="center"/>
            <w:hideMark/>
          </w:tcPr>
          <w:p w14:paraId="7DA9881B"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BFI.D072</w:t>
            </w:r>
          </w:p>
        </w:tc>
        <w:tc>
          <w:tcPr>
            <w:tcW w:w="5103" w:type="dxa"/>
            <w:tcBorders>
              <w:top w:val="nil"/>
              <w:left w:val="nil"/>
              <w:bottom w:val="nil"/>
              <w:right w:val="single" w:sz="8" w:space="0" w:color="auto"/>
            </w:tcBorders>
            <w:shd w:val="clear" w:color="auto" w:fill="auto"/>
            <w:noWrap/>
            <w:vAlign w:val="center"/>
            <w:hideMark/>
          </w:tcPr>
          <w:p w14:paraId="6BD761F3" w14:textId="77777777" w:rsidR="00D74061" w:rsidRPr="00D73956" w:rsidRDefault="00D74061" w:rsidP="00D74061">
            <w:pPr>
              <w:spacing w:after="0" w:line="240" w:lineRule="auto"/>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 xml:space="preserve">      Bancos Conta Movimento - Demais Contas</w:t>
            </w:r>
          </w:p>
        </w:tc>
        <w:tc>
          <w:tcPr>
            <w:tcW w:w="993" w:type="dxa"/>
            <w:tcBorders>
              <w:top w:val="nil"/>
              <w:left w:val="nil"/>
              <w:bottom w:val="nil"/>
              <w:right w:val="single" w:sz="8" w:space="0" w:color="auto"/>
            </w:tcBorders>
            <w:shd w:val="clear" w:color="auto" w:fill="auto"/>
            <w:vAlign w:val="center"/>
            <w:hideMark/>
          </w:tcPr>
          <w:p w14:paraId="40D5A814"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BFI.G072</w:t>
            </w:r>
          </w:p>
        </w:tc>
        <w:tc>
          <w:tcPr>
            <w:tcW w:w="992" w:type="dxa"/>
            <w:tcBorders>
              <w:top w:val="nil"/>
              <w:left w:val="nil"/>
              <w:bottom w:val="nil"/>
              <w:right w:val="single" w:sz="8" w:space="0" w:color="auto"/>
            </w:tcBorders>
            <w:shd w:val="clear" w:color="auto" w:fill="auto"/>
            <w:vAlign w:val="center"/>
            <w:hideMark/>
          </w:tcPr>
          <w:p w14:paraId="5F9DEA65"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BFI.H072</w:t>
            </w:r>
          </w:p>
        </w:tc>
      </w:tr>
      <w:tr w:rsidR="00D74061" w:rsidRPr="00D73956" w14:paraId="1DF2BD8A"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5C3B8484" w14:textId="77777777" w:rsidR="00D74061" w:rsidRPr="00D73956" w:rsidRDefault="00D74061" w:rsidP="00D74061">
            <w:pPr>
              <w:spacing w:after="0" w:line="240" w:lineRule="auto"/>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 xml:space="preserve">      Rede Bancária - Arrecadação</w:t>
            </w:r>
          </w:p>
        </w:tc>
        <w:tc>
          <w:tcPr>
            <w:tcW w:w="993" w:type="dxa"/>
            <w:tcBorders>
              <w:top w:val="nil"/>
              <w:left w:val="nil"/>
              <w:bottom w:val="nil"/>
              <w:right w:val="single" w:sz="8" w:space="0" w:color="auto"/>
            </w:tcBorders>
            <w:shd w:val="clear" w:color="auto" w:fill="auto"/>
            <w:vAlign w:val="center"/>
            <w:hideMark/>
          </w:tcPr>
          <w:p w14:paraId="72579245"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BFI.C073</w:t>
            </w:r>
          </w:p>
        </w:tc>
        <w:tc>
          <w:tcPr>
            <w:tcW w:w="992" w:type="dxa"/>
            <w:tcBorders>
              <w:top w:val="nil"/>
              <w:left w:val="nil"/>
              <w:bottom w:val="nil"/>
              <w:right w:val="single" w:sz="8" w:space="0" w:color="auto"/>
            </w:tcBorders>
            <w:shd w:val="clear" w:color="auto" w:fill="auto"/>
            <w:vAlign w:val="center"/>
            <w:hideMark/>
          </w:tcPr>
          <w:p w14:paraId="24934480"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BFI.D073</w:t>
            </w:r>
          </w:p>
        </w:tc>
        <w:tc>
          <w:tcPr>
            <w:tcW w:w="5103" w:type="dxa"/>
            <w:tcBorders>
              <w:top w:val="nil"/>
              <w:left w:val="nil"/>
              <w:bottom w:val="nil"/>
              <w:right w:val="single" w:sz="8" w:space="0" w:color="auto"/>
            </w:tcBorders>
            <w:shd w:val="clear" w:color="auto" w:fill="auto"/>
            <w:noWrap/>
            <w:vAlign w:val="center"/>
            <w:hideMark/>
          </w:tcPr>
          <w:p w14:paraId="40B79779" w14:textId="77777777" w:rsidR="00D74061" w:rsidRPr="00D73956" w:rsidRDefault="00D74061" w:rsidP="00D74061">
            <w:pPr>
              <w:spacing w:after="0" w:line="240" w:lineRule="auto"/>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 xml:space="preserve">      Rede Bancária - Arrecadação</w:t>
            </w:r>
          </w:p>
        </w:tc>
        <w:tc>
          <w:tcPr>
            <w:tcW w:w="993" w:type="dxa"/>
            <w:tcBorders>
              <w:top w:val="nil"/>
              <w:left w:val="nil"/>
              <w:bottom w:val="nil"/>
              <w:right w:val="single" w:sz="8" w:space="0" w:color="auto"/>
            </w:tcBorders>
            <w:shd w:val="clear" w:color="auto" w:fill="auto"/>
            <w:vAlign w:val="center"/>
            <w:hideMark/>
          </w:tcPr>
          <w:p w14:paraId="5E3AE6E7"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BFI.G073</w:t>
            </w:r>
          </w:p>
        </w:tc>
        <w:tc>
          <w:tcPr>
            <w:tcW w:w="992" w:type="dxa"/>
            <w:tcBorders>
              <w:top w:val="nil"/>
              <w:left w:val="nil"/>
              <w:bottom w:val="nil"/>
              <w:right w:val="single" w:sz="8" w:space="0" w:color="auto"/>
            </w:tcBorders>
            <w:shd w:val="clear" w:color="auto" w:fill="auto"/>
            <w:vAlign w:val="center"/>
            <w:hideMark/>
          </w:tcPr>
          <w:p w14:paraId="14B925FB"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BFI.H073</w:t>
            </w:r>
          </w:p>
        </w:tc>
      </w:tr>
      <w:tr w:rsidR="00D74061" w:rsidRPr="00D73956" w14:paraId="7DBF107F"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045E292F" w14:textId="77777777" w:rsidR="00D74061" w:rsidRPr="00D73956" w:rsidRDefault="00D74061" w:rsidP="00D74061">
            <w:pPr>
              <w:spacing w:after="0" w:line="240" w:lineRule="auto"/>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 xml:space="preserve">      Aplicações Financeiras de Liquidez Imediata</w:t>
            </w:r>
          </w:p>
        </w:tc>
        <w:tc>
          <w:tcPr>
            <w:tcW w:w="993" w:type="dxa"/>
            <w:tcBorders>
              <w:top w:val="nil"/>
              <w:left w:val="nil"/>
              <w:bottom w:val="nil"/>
              <w:right w:val="single" w:sz="8" w:space="0" w:color="auto"/>
            </w:tcBorders>
            <w:shd w:val="clear" w:color="auto" w:fill="auto"/>
            <w:vAlign w:val="center"/>
            <w:hideMark/>
          </w:tcPr>
          <w:p w14:paraId="2B5E9F95"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BFI.C074</w:t>
            </w:r>
          </w:p>
        </w:tc>
        <w:tc>
          <w:tcPr>
            <w:tcW w:w="992" w:type="dxa"/>
            <w:tcBorders>
              <w:top w:val="nil"/>
              <w:left w:val="nil"/>
              <w:bottom w:val="nil"/>
              <w:right w:val="single" w:sz="8" w:space="0" w:color="auto"/>
            </w:tcBorders>
            <w:shd w:val="clear" w:color="auto" w:fill="auto"/>
            <w:vAlign w:val="center"/>
            <w:hideMark/>
          </w:tcPr>
          <w:p w14:paraId="681CD0BF"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BFI.D074</w:t>
            </w:r>
          </w:p>
        </w:tc>
        <w:tc>
          <w:tcPr>
            <w:tcW w:w="5103" w:type="dxa"/>
            <w:tcBorders>
              <w:top w:val="nil"/>
              <w:left w:val="nil"/>
              <w:bottom w:val="nil"/>
              <w:right w:val="single" w:sz="8" w:space="0" w:color="auto"/>
            </w:tcBorders>
            <w:shd w:val="clear" w:color="auto" w:fill="auto"/>
            <w:noWrap/>
            <w:vAlign w:val="center"/>
            <w:hideMark/>
          </w:tcPr>
          <w:p w14:paraId="34812360" w14:textId="77777777" w:rsidR="00D74061" w:rsidRPr="00D73956" w:rsidRDefault="00D74061" w:rsidP="00D74061">
            <w:pPr>
              <w:spacing w:after="0" w:line="240" w:lineRule="auto"/>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 xml:space="preserve">      Aplicações Financeiras de Liquidez Imediata</w:t>
            </w:r>
          </w:p>
        </w:tc>
        <w:tc>
          <w:tcPr>
            <w:tcW w:w="993" w:type="dxa"/>
            <w:tcBorders>
              <w:top w:val="nil"/>
              <w:left w:val="nil"/>
              <w:bottom w:val="nil"/>
              <w:right w:val="single" w:sz="8" w:space="0" w:color="auto"/>
            </w:tcBorders>
            <w:shd w:val="clear" w:color="auto" w:fill="auto"/>
            <w:vAlign w:val="center"/>
            <w:hideMark/>
          </w:tcPr>
          <w:p w14:paraId="5936FA9B"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BFI.G074</w:t>
            </w:r>
          </w:p>
        </w:tc>
        <w:tc>
          <w:tcPr>
            <w:tcW w:w="992" w:type="dxa"/>
            <w:tcBorders>
              <w:top w:val="nil"/>
              <w:left w:val="nil"/>
              <w:bottom w:val="nil"/>
              <w:right w:val="single" w:sz="8" w:space="0" w:color="auto"/>
            </w:tcBorders>
            <w:shd w:val="clear" w:color="auto" w:fill="auto"/>
            <w:vAlign w:val="center"/>
            <w:hideMark/>
          </w:tcPr>
          <w:p w14:paraId="2D38F941" w14:textId="77777777" w:rsidR="00D74061" w:rsidRPr="00D73956" w:rsidRDefault="00D74061" w:rsidP="00D74061">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BFI.H074</w:t>
            </w:r>
          </w:p>
        </w:tc>
      </w:tr>
      <w:tr w:rsidR="00D74061" w:rsidRPr="00D73956" w14:paraId="37A18311"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25E8C8D5" w14:textId="77777777" w:rsidR="00D74061" w:rsidRPr="00D73956" w:rsidRDefault="00D74061" w:rsidP="00D74061">
            <w:pPr>
              <w:spacing w:after="0" w:line="240" w:lineRule="auto"/>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 xml:space="preserve">   Caixa e Equivalentes de Caixa - Intra OFSS</w:t>
            </w:r>
          </w:p>
        </w:tc>
        <w:tc>
          <w:tcPr>
            <w:tcW w:w="993" w:type="dxa"/>
            <w:tcBorders>
              <w:top w:val="nil"/>
              <w:left w:val="nil"/>
              <w:bottom w:val="nil"/>
              <w:right w:val="single" w:sz="8" w:space="0" w:color="auto"/>
            </w:tcBorders>
            <w:shd w:val="clear" w:color="auto" w:fill="auto"/>
            <w:vAlign w:val="center"/>
            <w:hideMark/>
          </w:tcPr>
          <w:p w14:paraId="6E6D4E0C" w14:textId="77777777" w:rsidR="00D74061" w:rsidRPr="00D73956" w:rsidRDefault="00D74061" w:rsidP="00D74061">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BFI.C077</w:t>
            </w:r>
          </w:p>
        </w:tc>
        <w:tc>
          <w:tcPr>
            <w:tcW w:w="992" w:type="dxa"/>
            <w:tcBorders>
              <w:top w:val="nil"/>
              <w:left w:val="nil"/>
              <w:bottom w:val="nil"/>
              <w:right w:val="single" w:sz="8" w:space="0" w:color="auto"/>
            </w:tcBorders>
            <w:shd w:val="clear" w:color="auto" w:fill="auto"/>
            <w:vAlign w:val="center"/>
            <w:hideMark/>
          </w:tcPr>
          <w:p w14:paraId="725804D0" w14:textId="77777777" w:rsidR="00D74061" w:rsidRPr="00D73956" w:rsidRDefault="00D74061" w:rsidP="00D74061">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BFI.D077</w:t>
            </w:r>
          </w:p>
        </w:tc>
        <w:tc>
          <w:tcPr>
            <w:tcW w:w="5103" w:type="dxa"/>
            <w:tcBorders>
              <w:top w:val="nil"/>
              <w:left w:val="nil"/>
              <w:bottom w:val="nil"/>
              <w:right w:val="single" w:sz="8" w:space="0" w:color="auto"/>
            </w:tcBorders>
            <w:shd w:val="clear" w:color="auto" w:fill="auto"/>
            <w:noWrap/>
            <w:vAlign w:val="center"/>
            <w:hideMark/>
          </w:tcPr>
          <w:p w14:paraId="35BD937A" w14:textId="77777777" w:rsidR="00D74061" w:rsidRPr="00D73956" w:rsidRDefault="00D74061" w:rsidP="00D74061">
            <w:pPr>
              <w:spacing w:after="0" w:line="240" w:lineRule="auto"/>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 xml:space="preserve">   Caixa e Equivalentes de Caixa - Intra OFSS</w:t>
            </w:r>
          </w:p>
        </w:tc>
        <w:tc>
          <w:tcPr>
            <w:tcW w:w="993" w:type="dxa"/>
            <w:tcBorders>
              <w:top w:val="nil"/>
              <w:left w:val="nil"/>
              <w:bottom w:val="nil"/>
              <w:right w:val="single" w:sz="8" w:space="0" w:color="auto"/>
            </w:tcBorders>
            <w:shd w:val="clear" w:color="auto" w:fill="auto"/>
            <w:vAlign w:val="center"/>
            <w:hideMark/>
          </w:tcPr>
          <w:p w14:paraId="44CF8929" w14:textId="77777777" w:rsidR="00D74061" w:rsidRPr="00D73956" w:rsidRDefault="00D74061" w:rsidP="00D74061">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BFI.G077</w:t>
            </w:r>
          </w:p>
        </w:tc>
        <w:tc>
          <w:tcPr>
            <w:tcW w:w="992" w:type="dxa"/>
            <w:tcBorders>
              <w:top w:val="nil"/>
              <w:left w:val="nil"/>
              <w:bottom w:val="nil"/>
              <w:right w:val="single" w:sz="8" w:space="0" w:color="auto"/>
            </w:tcBorders>
            <w:shd w:val="clear" w:color="auto" w:fill="auto"/>
            <w:vAlign w:val="center"/>
            <w:hideMark/>
          </w:tcPr>
          <w:p w14:paraId="68CDBB90" w14:textId="77777777" w:rsidR="00D74061" w:rsidRPr="00D73956" w:rsidRDefault="00D74061" w:rsidP="00D74061">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BFI.H077</w:t>
            </w:r>
          </w:p>
        </w:tc>
      </w:tr>
      <w:tr w:rsidR="00D74061" w:rsidRPr="00D73956" w14:paraId="6567A5B2" w14:textId="77777777" w:rsidTr="006A139B">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4A2DF167" w14:textId="77777777" w:rsidR="00D74061" w:rsidRPr="00D73956" w:rsidRDefault="00D74061" w:rsidP="00D74061">
            <w:pPr>
              <w:spacing w:after="0" w:line="240" w:lineRule="auto"/>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 xml:space="preserve">   Depósitos Restituíveis e Valores Vinculados</w:t>
            </w:r>
          </w:p>
        </w:tc>
        <w:tc>
          <w:tcPr>
            <w:tcW w:w="993" w:type="dxa"/>
            <w:tcBorders>
              <w:top w:val="nil"/>
              <w:left w:val="nil"/>
              <w:bottom w:val="nil"/>
              <w:right w:val="single" w:sz="8" w:space="0" w:color="auto"/>
            </w:tcBorders>
            <w:shd w:val="clear" w:color="auto" w:fill="auto"/>
            <w:vAlign w:val="center"/>
            <w:hideMark/>
          </w:tcPr>
          <w:p w14:paraId="5F92C82B" w14:textId="77777777" w:rsidR="00D74061" w:rsidRPr="00D73956" w:rsidRDefault="00D74061" w:rsidP="00D74061">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BFI.C075</w:t>
            </w:r>
          </w:p>
        </w:tc>
        <w:tc>
          <w:tcPr>
            <w:tcW w:w="992" w:type="dxa"/>
            <w:tcBorders>
              <w:top w:val="nil"/>
              <w:left w:val="nil"/>
              <w:bottom w:val="nil"/>
              <w:right w:val="single" w:sz="8" w:space="0" w:color="auto"/>
            </w:tcBorders>
            <w:shd w:val="clear" w:color="auto" w:fill="auto"/>
            <w:vAlign w:val="center"/>
            <w:hideMark/>
          </w:tcPr>
          <w:p w14:paraId="1D160BF7" w14:textId="77777777" w:rsidR="00D74061" w:rsidRPr="00D73956" w:rsidRDefault="00D74061" w:rsidP="00D74061">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BFI.D075</w:t>
            </w:r>
          </w:p>
        </w:tc>
        <w:tc>
          <w:tcPr>
            <w:tcW w:w="5103" w:type="dxa"/>
            <w:tcBorders>
              <w:top w:val="nil"/>
              <w:left w:val="nil"/>
              <w:bottom w:val="nil"/>
              <w:right w:val="single" w:sz="8" w:space="0" w:color="auto"/>
            </w:tcBorders>
            <w:shd w:val="clear" w:color="auto" w:fill="auto"/>
            <w:noWrap/>
            <w:vAlign w:val="center"/>
            <w:hideMark/>
          </w:tcPr>
          <w:p w14:paraId="71D5BD3F" w14:textId="77777777" w:rsidR="00D74061" w:rsidRPr="00D73956" w:rsidRDefault="00D74061" w:rsidP="00D74061">
            <w:pPr>
              <w:spacing w:after="0" w:line="240" w:lineRule="auto"/>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 xml:space="preserve">   Depósitos Restituíveis e Valores Vinculados</w:t>
            </w:r>
          </w:p>
        </w:tc>
        <w:tc>
          <w:tcPr>
            <w:tcW w:w="993" w:type="dxa"/>
            <w:tcBorders>
              <w:top w:val="nil"/>
              <w:left w:val="nil"/>
              <w:bottom w:val="nil"/>
              <w:right w:val="single" w:sz="8" w:space="0" w:color="auto"/>
            </w:tcBorders>
            <w:shd w:val="clear" w:color="auto" w:fill="auto"/>
            <w:vAlign w:val="center"/>
            <w:hideMark/>
          </w:tcPr>
          <w:p w14:paraId="2FCA14C5" w14:textId="77777777" w:rsidR="00D74061" w:rsidRPr="00D73956" w:rsidRDefault="00D74061" w:rsidP="00D74061">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BFI.G075</w:t>
            </w:r>
          </w:p>
        </w:tc>
        <w:tc>
          <w:tcPr>
            <w:tcW w:w="992" w:type="dxa"/>
            <w:tcBorders>
              <w:top w:val="nil"/>
              <w:left w:val="nil"/>
              <w:bottom w:val="nil"/>
              <w:right w:val="single" w:sz="8" w:space="0" w:color="auto"/>
            </w:tcBorders>
            <w:shd w:val="clear" w:color="auto" w:fill="auto"/>
            <w:vAlign w:val="center"/>
            <w:hideMark/>
          </w:tcPr>
          <w:p w14:paraId="768B9F35" w14:textId="77777777" w:rsidR="00D74061" w:rsidRPr="00D73956" w:rsidRDefault="00D74061" w:rsidP="00D74061">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BFI.H075</w:t>
            </w:r>
          </w:p>
        </w:tc>
      </w:tr>
      <w:tr w:rsidR="00D74061" w:rsidRPr="00D73956" w14:paraId="56BB8476" w14:textId="77777777" w:rsidTr="006A139B">
        <w:trPr>
          <w:trHeight w:val="270"/>
        </w:trPr>
        <w:tc>
          <w:tcPr>
            <w:tcW w:w="5104" w:type="dxa"/>
            <w:tcBorders>
              <w:top w:val="nil"/>
              <w:left w:val="single" w:sz="8" w:space="0" w:color="auto"/>
              <w:bottom w:val="nil"/>
              <w:right w:val="nil"/>
            </w:tcBorders>
            <w:shd w:val="clear" w:color="auto" w:fill="auto"/>
            <w:noWrap/>
            <w:vAlign w:val="center"/>
            <w:hideMark/>
          </w:tcPr>
          <w:p w14:paraId="544C77CD" w14:textId="77777777" w:rsidR="00D74061" w:rsidRPr="00D73956" w:rsidRDefault="00D74061" w:rsidP="00D74061">
            <w:pPr>
              <w:spacing w:after="0" w:line="240" w:lineRule="auto"/>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 xml:space="preserve">   Investimentos e Aplicações de Curto Prazo e Longo Prazos – RPPS</w:t>
            </w:r>
          </w:p>
        </w:tc>
        <w:tc>
          <w:tcPr>
            <w:tcW w:w="993" w:type="dxa"/>
            <w:tcBorders>
              <w:top w:val="nil"/>
              <w:left w:val="nil"/>
              <w:bottom w:val="nil"/>
              <w:right w:val="single" w:sz="8" w:space="0" w:color="auto"/>
            </w:tcBorders>
            <w:shd w:val="clear" w:color="auto" w:fill="auto"/>
            <w:vAlign w:val="center"/>
            <w:hideMark/>
          </w:tcPr>
          <w:p w14:paraId="149CE105" w14:textId="77777777" w:rsidR="00D74061" w:rsidRPr="00D73956" w:rsidRDefault="00D74061" w:rsidP="00D74061">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BFI.C095</w:t>
            </w:r>
          </w:p>
        </w:tc>
        <w:tc>
          <w:tcPr>
            <w:tcW w:w="992" w:type="dxa"/>
            <w:tcBorders>
              <w:top w:val="nil"/>
              <w:left w:val="nil"/>
              <w:bottom w:val="nil"/>
              <w:right w:val="single" w:sz="8" w:space="0" w:color="auto"/>
            </w:tcBorders>
            <w:shd w:val="clear" w:color="auto" w:fill="auto"/>
            <w:vAlign w:val="center"/>
            <w:hideMark/>
          </w:tcPr>
          <w:p w14:paraId="617145B8" w14:textId="77777777" w:rsidR="00D74061" w:rsidRPr="00D73956" w:rsidRDefault="00D74061" w:rsidP="00D74061">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BFI.D095</w:t>
            </w:r>
          </w:p>
        </w:tc>
        <w:tc>
          <w:tcPr>
            <w:tcW w:w="5103" w:type="dxa"/>
            <w:tcBorders>
              <w:top w:val="nil"/>
              <w:left w:val="nil"/>
              <w:bottom w:val="nil"/>
              <w:right w:val="nil"/>
            </w:tcBorders>
            <w:shd w:val="clear" w:color="auto" w:fill="auto"/>
            <w:noWrap/>
            <w:vAlign w:val="center"/>
            <w:hideMark/>
          </w:tcPr>
          <w:p w14:paraId="518C99EE" w14:textId="77777777" w:rsidR="00D74061" w:rsidRPr="00D73956" w:rsidRDefault="00D74061" w:rsidP="00D74061">
            <w:pPr>
              <w:spacing w:after="0" w:line="240" w:lineRule="auto"/>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 xml:space="preserve">   Investimentos e Aplicações de Curto Prazo e Longo Prazos - RPPS</w:t>
            </w:r>
          </w:p>
        </w:tc>
        <w:tc>
          <w:tcPr>
            <w:tcW w:w="993" w:type="dxa"/>
            <w:tcBorders>
              <w:top w:val="nil"/>
              <w:left w:val="nil"/>
              <w:bottom w:val="nil"/>
              <w:right w:val="single" w:sz="8" w:space="0" w:color="auto"/>
            </w:tcBorders>
            <w:shd w:val="clear" w:color="auto" w:fill="auto"/>
            <w:vAlign w:val="center"/>
            <w:hideMark/>
          </w:tcPr>
          <w:p w14:paraId="19FA237E" w14:textId="77777777" w:rsidR="00D74061" w:rsidRPr="00D73956" w:rsidRDefault="00D74061" w:rsidP="00D74061">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BFI.G095</w:t>
            </w:r>
          </w:p>
        </w:tc>
        <w:tc>
          <w:tcPr>
            <w:tcW w:w="992" w:type="dxa"/>
            <w:tcBorders>
              <w:top w:val="nil"/>
              <w:left w:val="nil"/>
              <w:bottom w:val="nil"/>
              <w:right w:val="single" w:sz="8" w:space="0" w:color="auto"/>
            </w:tcBorders>
            <w:shd w:val="clear" w:color="auto" w:fill="auto"/>
            <w:vAlign w:val="center"/>
            <w:hideMark/>
          </w:tcPr>
          <w:p w14:paraId="2C305F0F" w14:textId="77777777" w:rsidR="00D74061" w:rsidRPr="00D73956" w:rsidRDefault="00D74061" w:rsidP="00D74061">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BFI.H095</w:t>
            </w:r>
          </w:p>
        </w:tc>
      </w:tr>
      <w:tr w:rsidR="00D74061" w:rsidRPr="00D73956" w14:paraId="6327DBCE" w14:textId="77777777" w:rsidTr="006A139B">
        <w:trPr>
          <w:trHeight w:val="270"/>
        </w:trPr>
        <w:tc>
          <w:tcPr>
            <w:tcW w:w="5104" w:type="dxa"/>
            <w:tcBorders>
              <w:top w:val="single" w:sz="8" w:space="0" w:color="auto"/>
              <w:left w:val="single" w:sz="8" w:space="0" w:color="auto"/>
              <w:bottom w:val="single" w:sz="8" w:space="0" w:color="auto"/>
              <w:right w:val="nil"/>
            </w:tcBorders>
            <w:shd w:val="clear" w:color="auto" w:fill="auto"/>
            <w:noWrap/>
            <w:vAlign w:val="center"/>
            <w:hideMark/>
          </w:tcPr>
          <w:p w14:paraId="72D57DAD" w14:textId="77777777" w:rsidR="00D74061" w:rsidRPr="00D73956" w:rsidRDefault="00D74061" w:rsidP="00D74061">
            <w:pPr>
              <w:spacing w:after="0" w:line="240" w:lineRule="auto"/>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TOTAL (V) = (I + II + III +IV)</w:t>
            </w:r>
          </w:p>
        </w:tc>
        <w:tc>
          <w:tcPr>
            <w:tcW w:w="993" w:type="dxa"/>
            <w:tcBorders>
              <w:top w:val="single" w:sz="8" w:space="0" w:color="auto"/>
              <w:left w:val="nil"/>
              <w:bottom w:val="single" w:sz="8" w:space="0" w:color="auto"/>
              <w:right w:val="single" w:sz="8" w:space="0" w:color="auto"/>
            </w:tcBorders>
            <w:shd w:val="clear" w:color="auto" w:fill="auto"/>
            <w:vAlign w:val="center"/>
            <w:hideMark/>
          </w:tcPr>
          <w:p w14:paraId="03435BC0" w14:textId="77777777" w:rsidR="00D74061" w:rsidRPr="00D73956" w:rsidRDefault="00D74061" w:rsidP="00D74061">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BFI.C076</w:t>
            </w:r>
          </w:p>
        </w:tc>
        <w:tc>
          <w:tcPr>
            <w:tcW w:w="992" w:type="dxa"/>
            <w:tcBorders>
              <w:top w:val="single" w:sz="8" w:space="0" w:color="auto"/>
              <w:left w:val="nil"/>
              <w:bottom w:val="single" w:sz="8" w:space="0" w:color="auto"/>
              <w:right w:val="single" w:sz="8" w:space="0" w:color="auto"/>
            </w:tcBorders>
            <w:shd w:val="clear" w:color="auto" w:fill="auto"/>
            <w:vAlign w:val="center"/>
            <w:hideMark/>
          </w:tcPr>
          <w:p w14:paraId="4A2378A4" w14:textId="77777777" w:rsidR="00D74061" w:rsidRPr="00D73956" w:rsidRDefault="00D74061" w:rsidP="00D74061">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BFI.D076</w:t>
            </w:r>
          </w:p>
        </w:tc>
        <w:tc>
          <w:tcPr>
            <w:tcW w:w="5103" w:type="dxa"/>
            <w:tcBorders>
              <w:top w:val="single" w:sz="8" w:space="0" w:color="auto"/>
              <w:left w:val="nil"/>
              <w:bottom w:val="single" w:sz="8" w:space="0" w:color="auto"/>
              <w:right w:val="nil"/>
            </w:tcBorders>
            <w:shd w:val="clear" w:color="auto" w:fill="auto"/>
            <w:noWrap/>
            <w:vAlign w:val="center"/>
            <w:hideMark/>
          </w:tcPr>
          <w:p w14:paraId="4DD805A5" w14:textId="77777777" w:rsidR="00D74061" w:rsidRPr="00D73956" w:rsidRDefault="00D74061" w:rsidP="00D74061">
            <w:pPr>
              <w:spacing w:after="0" w:line="240" w:lineRule="auto"/>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 xml:space="preserve">TOTAL (X) = (VI + VII + VIII + IX) </w:t>
            </w:r>
          </w:p>
        </w:tc>
        <w:tc>
          <w:tcPr>
            <w:tcW w:w="993" w:type="dxa"/>
            <w:tcBorders>
              <w:top w:val="single" w:sz="8" w:space="0" w:color="auto"/>
              <w:left w:val="nil"/>
              <w:bottom w:val="single" w:sz="8" w:space="0" w:color="auto"/>
              <w:right w:val="single" w:sz="8" w:space="0" w:color="auto"/>
            </w:tcBorders>
            <w:shd w:val="clear" w:color="auto" w:fill="auto"/>
            <w:vAlign w:val="center"/>
            <w:hideMark/>
          </w:tcPr>
          <w:p w14:paraId="735D6228" w14:textId="77777777" w:rsidR="00D74061" w:rsidRPr="00D73956" w:rsidRDefault="00D74061" w:rsidP="00D74061">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BFI.G076</w:t>
            </w:r>
          </w:p>
        </w:tc>
        <w:tc>
          <w:tcPr>
            <w:tcW w:w="992" w:type="dxa"/>
            <w:tcBorders>
              <w:top w:val="single" w:sz="8" w:space="0" w:color="auto"/>
              <w:left w:val="nil"/>
              <w:bottom w:val="single" w:sz="8" w:space="0" w:color="auto"/>
              <w:right w:val="single" w:sz="8" w:space="0" w:color="auto"/>
            </w:tcBorders>
            <w:shd w:val="clear" w:color="auto" w:fill="auto"/>
            <w:vAlign w:val="center"/>
            <w:hideMark/>
          </w:tcPr>
          <w:p w14:paraId="608B82DA" w14:textId="77777777" w:rsidR="00D74061" w:rsidRPr="00D73956" w:rsidRDefault="00D74061" w:rsidP="00D74061">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BFI.H076</w:t>
            </w:r>
          </w:p>
        </w:tc>
      </w:tr>
    </w:tbl>
    <w:p w14:paraId="22A549AE" w14:textId="77777777" w:rsidR="007A45C9" w:rsidRDefault="007A45C9" w:rsidP="007A45C9">
      <w:pPr>
        <w:spacing w:after="0" w:line="240" w:lineRule="auto"/>
        <w:jc w:val="both"/>
        <w:rPr>
          <w:rFonts w:ascii="Arial" w:hAnsi="Arial" w:cs="Arial"/>
          <w:color w:val="0070C0"/>
          <w:sz w:val="24"/>
          <w:szCs w:val="24"/>
        </w:rPr>
      </w:pPr>
    </w:p>
    <w:p w14:paraId="3A084ACA" w14:textId="77777777" w:rsidR="007A45C9" w:rsidRDefault="007A45C9" w:rsidP="007A45C9">
      <w:pPr>
        <w:spacing w:after="0" w:line="240" w:lineRule="auto"/>
        <w:jc w:val="both"/>
        <w:rPr>
          <w:rFonts w:ascii="Arial" w:hAnsi="Arial" w:cs="Arial"/>
          <w:color w:val="0070C0"/>
          <w:sz w:val="24"/>
          <w:szCs w:val="24"/>
        </w:rPr>
      </w:pPr>
    </w:p>
    <w:p w14:paraId="6B29F229" w14:textId="77777777" w:rsidR="007A45C9" w:rsidRDefault="007A45C9">
      <w:r>
        <w:br w:type="page"/>
      </w:r>
    </w:p>
    <w:tbl>
      <w:tblPr>
        <w:tblW w:w="0" w:type="auto"/>
        <w:tblInd w:w="10" w:type="dxa"/>
        <w:tblLayout w:type="fixed"/>
        <w:tblCellMar>
          <w:left w:w="70" w:type="dxa"/>
          <w:right w:w="70" w:type="dxa"/>
        </w:tblCellMar>
        <w:tblLook w:val="04A0" w:firstRow="1" w:lastRow="0" w:firstColumn="1" w:lastColumn="0" w:noHBand="0" w:noVBand="1"/>
      </w:tblPr>
      <w:tblGrid>
        <w:gridCol w:w="45"/>
        <w:gridCol w:w="5332"/>
        <w:gridCol w:w="1276"/>
        <w:gridCol w:w="1559"/>
        <w:gridCol w:w="1417"/>
        <w:gridCol w:w="1276"/>
        <w:gridCol w:w="1204"/>
        <w:gridCol w:w="355"/>
        <w:gridCol w:w="1063"/>
        <w:gridCol w:w="71"/>
      </w:tblGrid>
      <w:tr w:rsidR="00D73956" w:rsidRPr="00D73956" w14:paraId="219DD05F" w14:textId="77777777" w:rsidTr="006A139B">
        <w:trPr>
          <w:gridBefore w:val="1"/>
          <w:gridAfter w:val="1"/>
          <w:wBefore w:w="45" w:type="dxa"/>
          <w:wAfter w:w="71" w:type="dxa"/>
          <w:trHeight w:val="255"/>
        </w:trPr>
        <w:tc>
          <w:tcPr>
            <w:tcW w:w="12064" w:type="dxa"/>
            <w:gridSpan w:val="6"/>
            <w:shd w:val="clear" w:color="auto" w:fill="auto"/>
            <w:hideMark/>
          </w:tcPr>
          <w:p w14:paraId="60898844" w14:textId="77777777" w:rsidR="00D73956" w:rsidRPr="00D73956" w:rsidRDefault="00D73956" w:rsidP="006A139B">
            <w:pPr>
              <w:spacing w:after="0" w:line="240" w:lineRule="auto"/>
              <w:ind w:right="-1482"/>
              <w:jc w:val="center"/>
              <w:rPr>
                <w:rFonts w:ascii="Arial" w:eastAsia="Times New Roman" w:hAnsi="Arial" w:cs="Arial"/>
                <w:b/>
                <w:bCs/>
                <w:sz w:val="16"/>
                <w:szCs w:val="16"/>
                <w:lang w:eastAsia="pt-BR"/>
              </w:rPr>
            </w:pPr>
            <w:bookmarkStart w:id="35" w:name="_Hlk83743811"/>
            <w:r w:rsidRPr="00D73956">
              <w:rPr>
                <w:rFonts w:ascii="Arial" w:eastAsia="Times New Roman" w:hAnsi="Arial" w:cs="Arial"/>
                <w:b/>
                <w:bCs/>
                <w:sz w:val="16"/>
                <w:szCs w:val="16"/>
                <w:lang w:eastAsia="pt-BR"/>
              </w:rPr>
              <w:lastRenderedPageBreak/>
              <w:t>QUADRO ANEXO AO BALANÇO FINANCEIRO</w:t>
            </w:r>
          </w:p>
          <w:p w14:paraId="173D8474" w14:textId="77777777" w:rsidR="00D73956" w:rsidRPr="00D73956" w:rsidRDefault="00D73956" w:rsidP="006A139B">
            <w:pPr>
              <w:spacing w:after="0" w:line="240" w:lineRule="auto"/>
              <w:ind w:right="-1482"/>
              <w:jc w:val="center"/>
              <w:rPr>
                <w:rFonts w:ascii="Arial" w:eastAsia="Times New Roman" w:hAnsi="Arial" w:cs="Arial"/>
                <w:b/>
                <w:bCs/>
                <w:sz w:val="16"/>
                <w:szCs w:val="16"/>
                <w:lang w:eastAsia="pt-BR"/>
              </w:rPr>
            </w:pPr>
            <w:r w:rsidRPr="00D73956">
              <w:rPr>
                <w:rFonts w:ascii="Arial" w:eastAsia="Times New Roman" w:hAnsi="Arial" w:cs="Arial"/>
                <w:b/>
                <w:bCs/>
                <w:sz w:val="16"/>
                <w:szCs w:val="16"/>
                <w:lang w:eastAsia="pt-BR"/>
              </w:rPr>
              <w:t>ESTADO</w:t>
            </w:r>
          </w:p>
          <w:bookmarkEnd w:id="35"/>
          <w:p w14:paraId="2E0F1143" w14:textId="77777777" w:rsidR="00D73956" w:rsidRPr="00D73956" w:rsidRDefault="00D73956" w:rsidP="006A139B">
            <w:pPr>
              <w:spacing w:after="0" w:line="240" w:lineRule="auto"/>
              <w:ind w:right="-1482"/>
              <w:jc w:val="center"/>
              <w:rPr>
                <w:rFonts w:ascii="Arial" w:eastAsia="Times New Roman" w:hAnsi="Arial" w:cs="Arial"/>
                <w:b/>
                <w:bCs/>
                <w:sz w:val="16"/>
                <w:szCs w:val="16"/>
                <w:lang w:eastAsia="pt-BR"/>
              </w:rPr>
            </w:pPr>
          </w:p>
          <w:p w14:paraId="1315F6E2" w14:textId="77777777" w:rsidR="00D73956" w:rsidRPr="00D73956" w:rsidRDefault="00D73956" w:rsidP="006A139B">
            <w:pPr>
              <w:spacing w:after="0" w:line="240" w:lineRule="auto"/>
              <w:jc w:val="center"/>
              <w:rPr>
                <w:rFonts w:ascii="Arial" w:eastAsia="Times New Roman" w:hAnsi="Arial" w:cs="Arial"/>
                <w:b/>
                <w:bCs/>
                <w:sz w:val="16"/>
                <w:szCs w:val="16"/>
                <w:lang w:eastAsia="pt-BR"/>
              </w:rPr>
            </w:pPr>
          </w:p>
        </w:tc>
        <w:tc>
          <w:tcPr>
            <w:tcW w:w="1418" w:type="dxa"/>
            <w:gridSpan w:val="2"/>
            <w:shd w:val="clear" w:color="auto" w:fill="auto"/>
            <w:vAlign w:val="center"/>
            <w:hideMark/>
          </w:tcPr>
          <w:p w14:paraId="4CACF0C7" w14:textId="77777777" w:rsidR="00D73956" w:rsidRPr="00D73956" w:rsidRDefault="00D73956" w:rsidP="006A139B">
            <w:pPr>
              <w:spacing w:after="0" w:line="240" w:lineRule="auto"/>
              <w:jc w:val="right"/>
              <w:rPr>
                <w:rFonts w:ascii="Arial" w:eastAsia="Times New Roman" w:hAnsi="Arial" w:cs="Arial"/>
                <w:b/>
                <w:bCs/>
                <w:sz w:val="16"/>
                <w:szCs w:val="16"/>
                <w:lang w:eastAsia="pt-BR"/>
              </w:rPr>
            </w:pPr>
          </w:p>
        </w:tc>
      </w:tr>
      <w:tr w:rsidR="00D73956" w:rsidRPr="00D73956" w14:paraId="4A629F86" w14:textId="77777777" w:rsidTr="006A139B">
        <w:trPr>
          <w:trHeight w:val="270"/>
        </w:trPr>
        <w:tc>
          <w:tcPr>
            <w:tcW w:w="5377" w:type="dxa"/>
            <w:gridSpan w:val="2"/>
            <w:vMerge w:val="restart"/>
            <w:tcBorders>
              <w:top w:val="single" w:sz="8" w:space="0" w:color="auto"/>
              <w:left w:val="single" w:sz="8" w:space="0" w:color="auto"/>
              <w:bottom w:val="single" w:sz="8" w:space="0" w:color="000000"/>
              <w:right w:val="nil"/>
            </w:tcBorders>
            <w:shd w:val="clear" w:color="auto" w:fill="auto"/>
            <w:noWrap/>
            <w:vAlign w:val="center"/>
            <w:hideMark/>
          </w:tcPr>
          <w:p w14:paraId="3E4F8A54" w14:textId="77777777" w:rsidR="00D73956" w:rsidRPr="00D73956" w:rsidRDefault="00D73956" w:rsidP="006A139B">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ESPECIFICAÇÃO</w:t>
            </w:r>
          </w:p>
        </w:tc>
        <w:tc>
          <w:tcPr>
            <w:tcW w:w="4252"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C7A8CBD" w14:textId="77777777" w:rsidR="00D73956" w:rsidRPr="00D73956" w:rsidRDefault="00D73956" w:rsidP="006A139B">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Exercício Atual</w:t>
            </w:r>
          </w:p>
        </w:tc>
        <w:tc>
          <w:tcPr>
            <w:tcW w:w="3969" w:type="dxa"/>
            <w:gridSpan w:val="5"/>
            <w:tcBorders>
              <w:top w:val="single" w:sz="8" w:space="0" w:color="auto"/>
              <w:left w:val="nil"/>
              <w:bottom w:val="nil"/>
              <w:right w:val="single" w:sz="8" w:space="0" w:color="000000"/>
            </w:tcBorders>
            <w:shd w:val="clear" w:color="auto" w:fill="auto"/>
            <w:noWrap/>
            <w:vAlign w:val="center"/>
            <w:hideMark/>
          </w:tcPr>
          <w:p w14:paraId="5475E86E" w14:textId="77777777" w:rsidR="00D73956" w:rsidRPr="00D73956" w:rsidRDefault="00D73956" w:rsidP="006A139B">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Exercício Anterior</w:t>
            </w:r>
          </w:p>
        </w:tc>
      </w:tr>
      <w:tr w:rsidR="00D73956" w:rsidRPr="00D73956" w14:paraId="391BE98A" w14:textId="77777777" w:rsidTr="006A139B">
        <w:trPr>
          <w:trHeight w:val="525"/>
        </w:trPr>
        <w:tc>
          <w:tcPr>
            <w:tcW w:w="5377" w:type="dxa"/>
            <w:gridSpan w:val="2"/>
            <w:vMerge/>
            <w:tcBorders>
              <w:top w:val="single" w:sz="8" w:space="0" w:color="auto"/>
              <w:left w:val="single" w:sz="8" w:space="0" w:color="auto"/>
              <w:bottom w:val="single" w:sz="8" w:space="0" w:color="000000"/>
              <w:right w:val="nil"/>
            </w:tcBorders>
            <w:shd w:val="clear" w:color="auto" w:fill="auto"/>
            <w:vAlign w:val="center"/>
            <w:hideMark/>
          </w:tcPr>
          <w:p w14:paraId="448EB02C" w14:textId="77777777" w:rsidR="00D73956" w:rsidRPr="00D73956" w:rsidRDefault="00D73956" w:rsidP="006A139B">
            <w:pPr>
              <w:spacing w:after="0" w:line="240" w:lineRule="auto"/>
              <w:rPr>
                <w:rFonts w:ascii="Arial Narrow" w:eastAsia="Times New Roman" w:hAnsi="Arial Narrow" w:cs="Arial"/>
                <w:b/>
                <w:bCs/>
                <w:sz w:val="16"/>
                <w:szCs w:val="16"/>
                <w:lang w:eastAsia="pt-BR"/>
              </w:rPr>
            </w:pPr>
          </w:p>
        </w:tc>
        <w:tc>
          <w:tcPr>
            <w:tcW w:w="1276" w:type="dxa"/>
            <w:tcBorders>
              <w:top w:val="nil"/>
              <w:left w:val="single" w:sz="8" w:space="0" w:color="auto"/>
              <w:bottom w:val="single" w:sz="8" w:space="0" w:color="auto"/>
              <w:right w:val="nil"/>
            </w:tcBorders>
            <w:shd w:val="clear" w:color="auto" w:fill="auto"/>
            <w:vAlign w:val="center"/>
            <w:hideMark/>
          </w:tcPr>
          <w:p w14:paraId="31094F51" w14:textId="77777777" w:rsidR="00D73956" w:rsidRPr="00D73956" w:rsidRDefault="00D73956" w:rsidP="006A139B">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Receita Orçamentária (a)</w:t>
            </w:r>
          </w:p>
        </w:tc>
        <w:tc>
          <w:tcPr>
            <w:tcW w:w="1559" w:type="dxa"/>
            <w:tcBorders>
              <w:top w:val="nil"/>
              <w:left w:val="single" w:sz="8" w:space="0" w:color="auto"/>
              <w:bottom w:val="single" w:sz="8" w:space="0" w:color="auto"/>
              <w:right w:val="single" w:sz="8" w:space="0" w:color="auto"/>
            </w:tcBorders>
            <w:shd w:val="clear" w:color="auto" w:fill="auto"/>
            <w:vAlign w:val="center"/>
            <w:hideMark/>
          </w:tcPr>
          <w:p w14:paraId="4D34AD44" w14:textId="77777777" w:rsidR="00D73956" w:rsidRPr="00D73956" w:rsidRDefault="00D73956" w:rsidP="006A139B">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Deduções da Receita Orçamentária (b)</w:t>
            </w:r>
          </w:p>
        </w:tc>
        <w:tc>
          <w:tcPr>
            <w:tcW w:w="1417" w:type="dxa"/>
            <w:tcBorders>
              <w:top w:val="nil"/>
              <w:left w:val="nil"/>
              <w:bottom w:val="single" w:sz="8" w:space="0" w:color="auto"/>
              <w:right w:val="single" w:sz="8" w:space="0" w:color="auto"/>
            </w:tcBorders>
            <w:shd w:val="clear" w:color="auto" w:fill="auto"/>
            <w:vAlign w:val="center"/>
            <w:hideMark/>
          </w:tcPr>
          <w:p w14:paraId="78E7F78B" w14:textId="77777777" w:rsidR="00D73956" w:rsidRPr="00D73956" w:rsidRDefault="00D73956" w:rsidP="006A139B">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Saldo (c) = (a-b)</w:t>
            </w:r>
          </w:p>
        </w:tc>
        <w:tc>
          <w:tcPr>
            <w:tcW w:w="1276" w:type="dxa"/>
            <w:tcBorders>
              <w:top w:val="single" w:sz="8" w:space="0" w:color="auto"/>
              <w:left w:val="nil"/>
              <w:bottom w:val="single" w:sz="8" w:space="0" w:color="auto"/>
              <w:right w:val="nil"/>
            </w:tcBorders>
            <w:shd w:val="clear" w:color="auto" w:fill="auto"/>
            <w:vAlign w:val="center"/>
            <w:hideMark/>
          </w:tcPr>
          <w:p w14:paraId="76109AA3" w14:textId="77777777" w:rsidR="00D73956" w:rsidRPr="00D73956" w:rsidRDefault="00D73956" w:rsidP="006A139B">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Receita Orçamentária (d)</w:t>
            </w:r>
          </w:p>
        </w:tc>
        <w:tc>
          <w:tcPr>
            <w:tcW w:w="1559"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760944E4" w14:textId="77777777" w:rsidR="00D73956" w:rsidRPr="00D73956" w:rsidRDefault="00D73956" w:rsidP="006A139B">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Deduções da Receita Orçamentária (e)</w:t>
            </w:r>
          </w:p>
        </w:tc>
        <w:tc>
          <w:tcPr>
            <w:tcW w:w="1134" w:type="dxa"/>
            <w:gridSpan w:val="2"/>
            <w:tcBorders>
              <w:top w:val="single" w:sz="8" w:space="0" w:color="auto"/>
              <w:left w:val="nil"/>
              <w:bottom w:val="single" w:sz="8" w:space="0" w:color="auto"/>
              <w:right w:val="single" w:sz="8" w:space="0" w:color="auto"/>
            </w:tcBorders>
            <w:shd w:val="clear" w:color="auto" w:fill="auto"/>
            <w:vAlign w:val="center"/>
            <w:hideMark/>
          </w:tcPr>
          <w:p w14:paraId="5CA4CB66" w14:textId="77777777" w:rsidR="00D73956" w:rsidRPr="00D73956" w:rsidRDefault="00D73956" w:rsidP="006A139B">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Saldo (f) = (d-e)</w:t>
            </w:r>
          </w:p>
        </w:tc>
      </w:tr>
      <w:tr w:rsidR="00D73956" w:rsidRPr="00D73956" w14:paraId="26CC8023"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7EDB12AB" w14:textId="77777777" w:rsidR="00D73956" w:rsidRPr="00D73956" w:rsidRDefault="00D73956" w:rsidP="006A139B">
            <w:pPr>
              <w:spacing w:after="0" w:line="240" w:lineRule="auto"/>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 </w:t>
            </w:r>
          </w:p>
        </w:tc>
        <w:tc>
          <w:tcPr>
            <w:tcW w:w="1276" w:type="dxa"/>
            <w:tcBorders>
              <w:top w:val="nil"/>
              <w:left w:val="nil"/>
              <w:bottom w:val="nil"/>
              <w:right w:val="single" w:sz="8" w:space="0" w:color="auto"/>
            </w:tcBorders>
            <w:shd w:val="clear" w:color="auto" w:fill="auto"/>
            <w:noWrap/>
            <w:vAlign w:val="center"/>
            <w:hideMark/>
          </w:tcPr>
          <w:p w14:paraId="35682B86" w14:textId="77777777" w:rsidR="00D73956" w:rsidRPr="00D73956" w:rsidRDefault="00D73956" w:rsidP="006A139B">
            <w:pPr>
              <w:spacing w:after="0" w:line="240" w:lineRule="auto"/>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 </w:t>
            </w:r>
          </w:p>
        </w:tc>
        <w:tc>
          <w:tcPr>
            <w:tcW w:w="1559" w:type="dxa"/>
            <w:tcBorders>
              <w:top w:val="nil"/>
              <w:left w:val="nil"/>
              <w:bottom w:val="nil"/>
              <w:right w:val="single" w:sz="8" w:space="0" w:color="auto"/>
            </w:tcBorders>
            <w:shd w:val="clear" w:color="auto" w:fill="auto"/>
            <w:noWrap/>
            <w:vAlign w:val="center"/>
            <w:hideMark/>
          </w:tcPr>
          <w:p w14:paraId="785A81D4" w14:textId="77777777" w:rsidR="00D73956" w:rsidRPr="00D73956" w:rsidRDefault="00D73956" w:rsidP="006A139B">
            <w:pPr>
              <w:spacing w:after="0" w:line="240" w:lineRule="auto"/>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 </w:t>
            </w:r>
          </w:p>
        </w:tc>
        <w:tc>
          <w:tcPr>
            <w:tcW w:w="1417" w:type="dxa"/>
            <w:tcBorders>
              <w:top w:val="nil"/>
              <w:left w:val="nil"/>
              <w:bottom w:val="nil"/>
              <w:right w:val="single" w:sz="8" w:space="0" w:color="auto"/>
            </w:tcBorders>
            <w:shd w:val="clear" w:color="auto" w:fill="auto"/>
            <w:noWrap/>
            <w:vAlign w:val="center"/>
            <w:hideMark/>
          </w:tcPr>
          <w:p w14:paraId="43338D2A" w14:textId="77777777" w:rsidR="00D73956" w:rsidRPr="00D73956" w:rsidRDefault="00D73956" w:rsidP="006A139B">
            <w:pPr>
              <w:spacing w:after="0" w:line="240" w:lineRule="auto"/>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 </w:t>
            </w:r>
          </w:p>
        </w:tc>
        <w:tc>
          <w:tcPr>
            <w:tcW w:w="1276" w:type="dxa"/>
            <w:tcBorders>
              <w:top w:val="nil"/>
              <w:left w:val="nil"/>
              <w:bottom w:val="nil"/>
              <w:right w:val="single" w:sz="8" w:space="0" w:color="auto"/>
            </w:tcBorders>
            <w:shd w:val="clear" w:color="auto" w:fill="auto"/>
            <w:noWrap/>
            <w:vAlign w:val="center"/>
            <w:hideMark/>
          </w:tcPr>
          <w:p w14:paraId="2BBB5482" w14:textId="77777777" w:rsidR="00D73956" w:rsidRPr="00D73956" w:rsidRDefault="00D73956" w:rsidP="006A139B">
            <w:pPr>
              <w:spacing w:after="0" w:line="240" w:lineRule="auto"/>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 </w:t>
            </w:r>
          </w:p>
        </w:tc>
        <w:tc>
          <w:tcPr>
            <w:tcW w:w="1559" w:type="dxa"/>
            <w:gridSpan w:val="2"/>
            <w:tcBorders>
              <w:top w:val="nil"/>
              <w:left w:val="nil"/>
              <w:bottom w:val="nil"/>
              <w:right w:val="single" w:sz="8" w:space="0" w:color="auto"/>
            </w:tcBorders>
            <w:shd w:val="clear" w:color="auto" w:fill="auto"/>
            <w:noWrap/>
            <w:vAlign w:val="center"/>
            <w:hideMark/>
          </w:tcPr>
          <w:p w14:paraId="4CA5C74F" w14:textId="77777777" w:rsidR="00D73956" w:rsidRPr="00D73956" w:rsidRDefault="00D73956" w:rsidP="006A139B">
            <w:pPr>
              <w:spacing w:after="0" w:line="240" w:lineRule="auto"/>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 </w:t>
            </w:r>
          </w:p>
        </w:tc>
        <w:tc>
          <w:tcPr>
            <w:tcW w:w="1134" w:type="dxa"/>
            <w:gridSpan w:val="2"/>
            <w:tcBorders>
              <w:top w:val="nil"/>
              <w:left w:val="nil"/>
              <w:bottom w:val="nil"/>
              <w:right w:val="single" w:sz="8" w:space="0" w:color="auto"/>
            </w:tcBorders>
            <w:shd w:val="clear" w:color="auto" w:fill="auto"/>
            <w:noWrap/>
            <w:vAlign w:val="center"/>
            <w:hideMark/>
          </w:tcPr>
          <w:p w14:paraId="0EDBF180" w14:textId="77777777" w:rsidR="00D73956" w:rsidRPr="00D73956" w:rsidRDefault="00D73956" w:rsidP="006A139B">
            <w:pPr>
              <w:spacing w:after="0" w:line="240" w:lineRule="auto"/>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 </w:t>
            </w:r>
          </w:p>
        </w:tc>
      </w:tr>
      <w:tr w:rsidR="00D73956" w:rsidRPr="00D73956" w14:paraId="78430F5A"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0E5C80E1" w14:textId="77777777" w:rsidR="00D73956" w:rsidRPr="00D73956" w:rsidRDefault="00D73956" w:rsidP="006A139B">
            <w:pPr>
              <w:spacing w:after="0" w:line="240" w:lineRule="auto"/>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RECEITA ORÇAMENTÁRIA (I)</w:t>
            </w:r>
          </w:p>
        </w:tc>
        <w:tc>
          <w:tcPr>
            <w:tcW w:w="1276" w:type="dxa"/>
            <w:tcBorders>
              <w:top w:val="nil"/>
              <w:left w:val="nil"/>
              <w:bottom w:val="nil"/>
              <w:right w:val="single" w:sz="8" w:space="0" w:color="auto"/>
            </w:tcBorders>
            <w:shd w:val="clear" w:color="auto" w:fill="auto"/>
            <w:vAlign w:val="center"/>
            <w:hideMark/>
          </w:tcPr>
          <w:p w14:paraId="0DC8FA21" w14:textId="77777777" w:rsidR="00D73956" w:rsidRPr="00D73956" w:rsidRDefault="00D73956" w:rsidP="006A139B">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ABF.B010</w:t>
            </w:r>
          </w:p>
        </w:tc>
        <w:tc>
          <w:tcPr>
            <w:tcW w:w="1559" w:type="dxa"/>
            <w:tcBorders>
              <w:top w:val="nil"/>
              <w:left w:val="nil"/>
              <w:bottom w:val="nil"/>
              <w:right w:val="single" w:sz="8" w:space="0" w:color="auto"/>
            </w:tcBorders>
            <w:shd w:val="clear" w:color="auto" w:fill="auto"/>
            <w:vAlign w:val="center"/>
            <w:hideMark/>
          </w:tcPr>
          <w:p w14:paraId="723074EA" w14:textId="77777777" w:rsidR="00D73956" w:rsidRPr="00D73956" w:rsidRDefault="00D73956" w:rsidP="006A139B">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ABF.C010</w:t>
            </w:r>
          </w:p>
        </w:tc>
        <w:tc>
          <w:tcPr>
            <w:tcW w:w="1417" w:type="dxa"/>
            <w:tcBorders>
              <w:top w:val="nil"/>
              <w:left w:val="nil"/>
              <w:bottom w:val="nil"/>
              <w:right w:val="single" w:sz="8" w:space="0" w:color="auto"/>
            </w:tcBorders>
            <w:shd w:val="clear" w:color="auto" w:fill="auto"/>
            <w:vAlign w:val="center"/>
            <w:hideMark/>
          </w:tcPr>
          <w:p w14:paraId="4802264D" w14:textId="77777777" w:rsidR="00D73956" w:rsidRPr="00D73956" w:rsidRDefault="00D73956" w:rsidP="006A139B">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ABF.D010</w:t>
            </w:r>
          </w:p>
        </w:tc>
        <w:tc>
          <w:tcPr>
            <w:tcW w:w="1276" w:type="dxa"/>
            <w:tcBorders>
              <w:top w:val="nil"/>
              <w:left w:val="nil"/>
              <w:bottom w:val="nil"/>
              <w:right w:val="single" w:sz="8" w:space="0" w:color="auto"/>
            </w:tcBorders>
            <w:shd w:val="clear" w:color="auto" w:fill="auto"/>
            <w:vAlign w:val="center"/>
            <w:hideMark/>
          </w:tcPr>
          <w:p w14:paraId="15842407" w14:textId="77777777" w:rsidR="00D73956" w:rsidRPr="00D73956" w:rsidRDefault="00D73956" w:rsidP="006A139B">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ABF.E010</w:t>
            </w:r>
          </w:p>
        </w:tc>
        <w:tc>
          <w:tcPr>
            <w:tcW w:w="1559" w:type="dxa"/>
            <w:gridSpan w:val="2"/>
            <w:tcBorders>
              <w:top w:val="nil"/>
              <w:left w:val="nil"/>
              <w:bottom w:val="nil"/>
              <w:right w:val="single" w:sz="8" w:space="0" w:color="auto"/>
            </w:tcBorders>
            <w:shd w:val="clear" w:color="auto" w:fill="auto"/>
            <w:vAlign w:val="center"/>
            <w:hideMark/>
          </w:tcPr>
          <w:p w14:paraId="0966E209" w14:textId="77777777" w:rsidR="00D73956" w:rsidRPr="00D73956" w:rsidRDefault="00D73956" w:rsidP="006A139B">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ABF.F010</w:t>
            </w:r>
          </w:p>
        </w:tc>
        <w:tc>
          <w:tcPr>
            <w:tcW w:w="1134" w:type="dxa"/>
            <w:gridSpan w:val="2"/>
            <w:tcBorders>
              <w:top w:val="nil"/>
              <w:left w:val="nil"/>
              <w:bottom w:val="nil"/>
              <w:right w:val="single" w:sz="8" w:space="0" w:color="auto"/>
            </w:tcBorders>
            <w:shd w:val="clear" w:color="auto" w:fill="auto"/>
            <w:vAlign w:val="center"/>
            <w:hideMark/>
          </w:tcPr>
          <w:p w14:paraId="4AFA1D4E" w14:textId="77777777" w:rsidR="00D73956" w:rsidRPr="00D73956" w:rsidRDefault="00D73956" w:rsidP="006A139B">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ABF.G010</w:t>
            </w:r>
          </w:p>
        </w:tc>
      </w:tr>
      <w:tr w:rsidR="00D73956" w:rsidRPr="00D73956" w14:paraId="73E189EE"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3FB0DD9E" w14:textId="77777777" w:rsidR="00D73956" w:rsidRPr="00D73956" w:rsidRDefault="00D73956" w:rsidP="006A139B">
            <w:pPr>
              <w:spacing w:after="0" w:line="240" w:lineRule="auto"/>
              <w:ind w:firstLineChars="100" w:firstLine="161"/>
              <w:rPr>
                <w:rFonts w:ascii="Arial Narrow" w:eastAsia="Times New Roman" w:hAnsi="Arial Narrow" w:cs="Arial"/>
                <w:b/>
                <w:bCs/>
                <w:sz w:val="16"/>
                <w:szCs w:val="16"/>
                <w:u w:val="single"/>
                <w:lang w:eastAsia="pt-BR"/>
              </w:rPr>
            </w:pPr>
            <w:r w:rsidRPr="00D73956">
              <w:rPr>
                <w:rFonts w:ascii="Arial Narrow" w:eastAsia="Times New Roman" w:hAnsi="Arial Narrow" w:cs="Arial"/>
                <w:b/>
                <w:bCs/>
                <w:sz w:val="16"/>
                <w:szCs w:val="16"/>
                <w:u w:val="single"/>
                <w:lang w:eastAsia="pt-BR"/>
              </w:rPr>
              <w:t>Ordinária</w:t>
            </w:r>
          </w:p>
        </w:tc>
        <w:tc>
          <w:tcPr>
            <w:tcW w:w="1276" w:type="dxa"/>
            <w:tcBorders>
              <w:top w:val="nil"/>
              <w:left w:val="nil"/>
              <w:bottom w:val="nil"/>
              <w:right w:val="single" w:sz="8" w:space="0" w:color="auto"/>
            </w:tcBorders>
            <w:shd w:val="clear" w:color="auto" w:fill="auto"/>
            <w:vAlign w:val="center"/>
            <w:hideMark/>
          </w:tcPr>
          <w:p w14:paraId="7F32BBDA" w14:textId="77777777" w:rsidR="00D73956" w:rsidRPr="00D73956" w:rsidRDefault="00D73956" w:rsidP="006A139B">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ABF.B011</w:t>
            </w:r>
          </w:p>
        </w:tc>
        <w:tc>
          <w:tcPr>
            <w:tcW w:w="1559" w:type="dxa"/>
            <w:tcBorders>
              <w:top w:val="nil"/>
              <w:left w:val="nil"/>
              <w:bottom w:val="nil"/>
              <w:right w:val="single" w:sz="8" w:space="0" w:color="auto"/>
            </w:tcBorders>
            <w:shd w:val="clear" w:color="auto" w:fill="auto"/>
            <w:vAlign w:val="center"/>
            <w:hideMark/>
          </w:tcPr>
          <w:p w14:paraId="585DA902" w14:textId="77777777" w:rsidR="00D73956" w:rsidRPr="00D73956" w:rsidRDefault="00D73956" w:rsidP="006A139B">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ABF.C011</w:t>
            </w:r>
          </w:p>
        </w:tc>
        <w:tc>
          <w:tcPr>
            <w:tcW w:w="1417" w:type="dxa"/>
            <w:tcBorders>
              <w:top w:val="nil"/>
              <w:left w:val="nil"/>
              <w:bottom w:val="nil"/>
              <w:right w:val="single" w:sz="8" w:space="0" w:color="auto"/>
            </w:tcBorders>
            <w:shd w:val="clear" w:color="auto" w:fill="auto"/>
            <w:vAlign w:val="center"/>
            <w:hideMark/>
          </w:tcPr>
          <w:p w14:paraId="1C2993A9" w14:textId="77777777" w:rsidR="00D73956" w:rsidRPr="00D73956" w:rsidRDefault="00D73956" w:rsidP="006A139B">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ABF.D011</w:t>
            </w:r>
          </w:p>
        </w:tc>
        <w:tc>
          <w:tcPr>
            <w:tcW w:w="1276" w:type="dxa"/>
            <w:tcBorders>
              <w:top w:val="nil"/>
              <w:left w:val="nil"/>
              <w:bottom w:val="nil"/>
              <w:right w:val="single" w:sz="8" w:space="0" w:color="auto"/>
            </w:tcBorders>
            <w:shd w:val="clear" w:color="auto" w:fill="auto"/>
            <w:vAlign w:val="center"/>
            <w:hideMark/>
          </w:tcPr>
          <w:p w14:paraId="02127D62" w14:textId="77777777" w:rsidR="00D73956" w:rsidRPr="00D73956" w:rsidRDefault="00D73956" w:rsidP="006A139B">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ABF.E011</w:t>
            </w:r>
          </w:p>
        </w:tc>
        <w:tc>
          <w:tcPr>
            <w:tcW w:w="1559" w:type="dxa"/>
            <w:gridSpan w:val="2"/>
            <w:tcBorders>
              <w:top w:val="nil"/>
              <w:left w:val="nil"/>
              <w:bottom w:val="nil"/>
              <w:right w:val="single" w:sz="8" w:space="0" w:color="auto"/>
            </w:tcBorders>
            <w:shd w:val="clear" w:color="auto" w:fill="auto"/>
            <w:vAlign w:val="center"/>
            <w:hideMark/>
          </w:tcPr>
          <w:p w14:paraId="1A60DAEA" w14:textId="77777777" w:rsidR="00D73956" w:rsidRPr="00D73956" w:rsidRDefault="00D73956" w:rsidP="006A139B">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ABF.F011</w:t>
            </w:r>
          </w:p>
        </w:tc>
        <w:tc>
          <w:tcPr>
            <w:tcW w:w="1134" w:type="dxa"/>
            <w:gridSpan w:val="2"/>
            <w:tcBorders>
              <w:top w:val="nil"/>
              <w:left w:val="nil"/>
              <w:bottom w:val="nil"/>
              <w:right w:val="single" w:sz="8" w:space="0" w:color="auto"/>
            </w:tcBorders>
            <w:shd w:val="clear" w:color="auto" w:fill="auto"/>
            <w:vAlign w:val="center"/>
            <w:hideMark/>
          </w:tcPr>
          <w:p w14:paraId="10BB1356" w14:textId="77777777" w:rsidR="00D73956" w:rsidRPr="00D73956" w:rsidRDefault="00D73956" w:rsidP="006A139B">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ABF.G011</w:t>
            </w:r>
          </w:p>
        </w:tc>
      </w:tr>
      <w:tr w:rsidR="00D73956" w:rsidRPr="00D73956" w14:paraId="68ADFA1F"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2E755870"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101 - RECURSOS ORDINÁRIOS</w:t>
            </w:r>
          </w:p>
        </w:tc>
        <w:tc>
          <w:tcPr>
            <w:tcW w:w="1276" w:type="dxa"/>
            <w:tcBorders>
              <w:top w:val="nil"/>
              <w:left w:val="nil"/>
              <w:bottom w:val="nil"/>
              <w:right w:val="single" w:sz="8" w:space="0" w:color="auto"/>
            </w:tcBorders>
            <w:shd w:val="clear" w:color="auto" w:fill="auto"/>
            <w:vAlign w:val="center"/>
            <w:hideMark/>
          </w:tcPr>
          <w:p w14:paraId="66CE8698"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ABF.B501</w:t>
            </w:r>
          </w:p>
        </w:tc>
        <w:tc>
          <w:tcPr>
            <w:tcW w:w="1559" w:type="dxa"/>
            <w:tcBorders>
              <w:top w:val="nil"/>
              <w:left w:val="nil"/>
              <w:bottom w:val="nil"/>
              <w:right w:val="single" w:sz="8" w:space="0" w:color="auto"/>
            </w:tcBorders>
            <w:shd w:val="clear" w:color="auto" w:fill="auto"/>
            <w:vAlign w:val="center"/>
            <w:hideMark/>
          </w:tcPr>
          <w:p w14:paraId="1C0E611E"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ABF.C501</w:t>
            </w:r>
          </w:p>
        </w:tc>
        <w:tc>
          <w:tcPr>
            <w:tcW w:w="1417" w:type="dxa"/>
            <w:tcBorders>
              <w:top w:val="nil"/>
              <w:left w:val="nil"/>
              <w:bottom w:val="nil"/>
              <w:right w:val="single" w:sz="8" w:space="0" w:color="auto"/>
            </w:tcBorders>
            <w:shd w:val="clear" w:color="auto" w:fill="auto"/>
            <w:vAlign w:val="center"/>
            <w:hideMark/>
          </w:tcPr>
          <w:p w14:paraId="6EB084F3"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ABF.D501</w:t>
            </w:r>
          </w:p>
        </w:tc>
        <w:tc>
          <w:tcPr>
            <w:tcW w:w="1276" w:type="dxa"/>
            <w:tcBorders>
              <w:top w:val="nil"/>
              <w:left w:val="nil"/>
              <w:bottom w:val="nil"/>
              <w:right w:val="single" w:sz="8" w:space="0" w:color="auto"/>
            </w:tcBorders>
            <w:shd w:val="clear" w:color="auto" w:fill="auto"/>
            <w:vAlign w:val="center"/>
            <w:hideMark/>
          </w:tcPr>
          <w:p w14:paraId="04E9624E"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ABF.E501</w:t>
            </w:r>
          </w:p>
        </w:tc>
        <w:tc>
          <w:tcPr>
            <w:tcW w:w="1559" w:type="dxa"/>
            <w:gridSpan w:val="2"/>
            <w:tcBorders>
              <w:top w:val="nil"/>
              <w:left w:val="nil"/>
              <w:bottom w:val="nil"/>
              <w:right w:val="single" w:sz="8" w:space="0" w:color="auto"/>
            </w:tcBorders>
            <w:shd w:val="clear" w:color="auto" w:fill="auto"/>
            <w:vAlign w:val="center"/>
            <w:hideMark/>
          </w:tcPr>
          <w:p w14:paraId="086CFFEA"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ABF.F501</w:t>
            </w:r>
          </w:p>
        </w:tc>
        <w:tc>
          <w:tcPr>
            <w:tcW w:w="1134" w:type="dxa"/>
            <w:gridSpan w:val="2"/>
            <w:tcBorders>
              <w:top w:val="nil"/>
              <w:left w:val="nil"/>
              <w:bottom w:val="nil"/>
              <w:right w:val="single" w:sz="8" w:space="0" w:color="auto"/>
            </w:tcBorders>
            <w:shd w:val="clear" w:color="auto" w:fill="auto"/>
            <w:vAlign w:val="center"/>
            <w:hideMark/>
          </w:tcPr>
          <w:p w14:paraId="58A2629D"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ABF.G501</w:t>
            </w:r>
          </w:p>
        </w:tc>
      </w:tr>
      <w:tr w:rsidR="00D73956" w:rsidRPr="00D73956" w14:paraId="426074A2"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75617656"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301 - SUPERÁVIT FINANCEIRO - RECURSOS ORDINÁRIOS</w:t>
            </w:r>
          </w:p>
        </w:tc>
        <w:tc>
          <w:tcPr>
            <w:tcW w:w="1276" w:type="dxa"/>
            <w:tcBorders>
              <w:top w:val="nil"/>
              <w:left w:val="nil"/>
              <w:bottom w:val="nil"/>
              <w:right w:val="single" w:sz="8" w:space="0" w:color="auto"/>
            </w:tcBorders>
            <w:shd w:val="clear" w:color="auto" w:fill="auto"/>
            <w:vAlign w:val="center"/>
            <w:hideMark/>
          </w:tcPr>
          <w:p w14:paraId="3705C3D8"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ABF.B502</w:t>
            </w:r>
          </w:p>
        </w:tc>
        <w:tc>
          <w:tcPr>
            <w:tcW w:w="1559" w:type="dxa"/>
            <w:tcBorders>
              <w:top w:val="nil"/>
              <w:left w:val="nil"/>
              <w:bottom w:val="nil"/>
              <w:right w:val="single" w:sz="8" w:space="0" w:color="auto"/>
            </w:tcBorders>
            <w:shd w:val="clear" w:color="auto" w:fill="auto"/>
            <w:vAlign w:val="center"/>
            <w:hideMark/>
          </w:tcPr>
          <w:p w14:paraId="73370005"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ABF.C502</w:t>
            </w:r>
          </w:p>
        </w:tc>
        <w:tc>
          <w:tcPr>
            <w:tcW w:w="1417" w:type="dxa"/>
            <w:tcBorders>
              <w:top w:val="nil"/>
              <w:left w:val="nil"/>
              <w:bottom w:val="nil"/>
              <w:right w:val="single" w:sz="8" w:space="0" w:color="auto"/>
            </w:tcBorders>
            <w:shd w:val="clear" w:color="auto" w:fill="auto"/>
            <w:vAlign w:val="center"/>
            <w:hideMark/>
          </w:tcPr>
          <w:p w14:paraId="2008B5C1"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ABF.D502</w:t>
            </w:r>
          </w:p>
        </w:tc>
        <w:tc>
          <w:tcPr>
            <w:tcW w:w="1276" w:type="dxa"/>
            <w:tcBorders>
              <w:top w:val="nil"/>
              <w:left w:val="nil"/>
              <w:bottom w:val="nil"/>
              <w:right w:val="single" w:sz="8" w:space="0" w:color="auto"/>
            </w:tcBorders>
            <w:shd w:val="clear" w:color="auto" w:fill="auto"/>
            <w:vAlign w:val="center"/>
            <w:hideMark/>
          </w:tcPr>
          <w:p w14:paraId="0931835C"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ABF.E502</w:t>
            </w:r>
          </w:p>
        </w:tc>
        <w:tc>
          <w:tcPr>
            <w:tcW w:w="1559" w:type="dxa"/>
            <w:gridSpan w:val="2"/>
            <w:tcBorders>
              <w:top w:val="nil"/>
              <w:left w:val="nil"/>
              <w:bottom w:val="nil"/>
              <w:right w:val="single" w:sz="8" w:space="0" w:color="auto"/>
            </w:tcBorders>
            <w:shd w:val="clear" w:color="auto" w:fill="auto"/>
            <w:vAlign w:val="center"/>
            <w:hideMark/>
          </w:tcPr>
          <w:p w14:paraId="4B891685"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ABF.F502</w:t>
            </w:r>
          </w:p>
        </w:tc>
        <w:tc>
          <w:tcPr>
            <w:tcW w:w="1134" w:type="dxa"/>
            <w:gridSpan w:val="2"/>
            <w:tcBorders>
              <w:top w:val="nil"/>
              <w:left w:val="nil"/>
              <w:bottom w:val="nil"/>
              <w:right w:val="single" w:sz="8" w:space="0" w:color="auto"/>
            </w:tcBorders>
            <w:shd w:val="clear" w:color="auto" w:fill="auto"/>
            <w:vAlign w:val="center"/>
            <w:hideMark/>
          </w:tcPr>
          <w:p w14:paraId="6531CBB3"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ABF.G502</w:t>
            </w:r>
          </w:p>
        </w:tc>
      </w:tr>
      <w:tr w:rsidR="00D73956" w:rsidRPr="00D73956" w14:paraId="0C54F164"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09674631" w14:textId="77777777" w:rsidR="00D73956" w:rsidRPr="00D73956" w:rsidRDefault="00D73956" w:rsidP="006A139B">
            <w:pPr>
              <w:spacing w:after="0" w:line="240" w:lineRule="auto"/>
              <w:ind w:firstLineChars="100" w:firstLine="161"/>
              <w:rPr>
                <w:rFonts w:ascii="Arial Narrow" w:eastAsia="Times New Roman" w:hAnsi="Arial Narrow" w:cs="Arial"/>
                <w:b/>
                <w:bCs/>
                <w:sz w:val="16"/>
                <w:szCs w:val="16"/>
                <w:u w:val="single"/>
                <w:lang w:eastAsia="pt-BR"/>
              </w:rPr>
            </w:pPr>
            <w:r w:rsidRPr="00D73956">
              <w:rPr>
                <w:rFonts w:ascii="Arial Narrow" w:eastAsia="Times New Roman" w:hAnsi="Arial Narrow" w:cs="Arial"/>
                <w:b/>
                <w:bCs/>
                <w:sz w:val="16"/>
                <w:szCs w:val="16"/>
                <w:u w:val="single"/>
                <w:lang w:eastAsia="pt-BR"/>
              </w:rPr>
              <w:t>Vinculada</w:t>
            </w:r>
          </w:p>
        </w:tc>
        <w:tc>
          <w:tcPr>
            <w:tcW w:w="1276" w:type="dxa"/>
            <w:tcBorders>
              <w:top w:val="nil"/>
              <w:left w:val="nil"/>
              <w:bottom w:val="nil"/>
              <w:right w:val="single" w:sz="8" w:space="0" w:color="auto"/>
            </w:tcBorders>
            <w:shd w:val="clear" w:color="auto" w:fill="auto"/>
            <w:vAlign w:val="center"/>
            <w:hideMark/>
          </w:tcPr>
          <w:p w14:paraId="59FC8963" w14:textId="77777777" w:rsidR="00D73956" w:rsidRPr="00D73956" w:rsidRDefault="00D73956" w:rsidP="006A139B">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ABF.B012</w:t>
            </w:r>
          </w:p>
        </w:tc>
        <w:tc>
          <w:tcPr>
            <w:tcW w:w="1559" w:type="dxa"/>
            <w:tcBorders>
              <w:top w:val="nil"/>
              <w:left w:val="nil"/>
              <w:bottom w:val="nil"/>
              <w:right w:val="single" w:sz="8" w:space="0" w:color="auto"/>
            </w:tcBorders>
            <w:shd w:val="clear" w:color="auto" w:fill="auto"/>
            <w:vAlign w:val="center"/>
            <w:hideMark/>
          </w:tcPr>
          <w:p w14:paraId="482F6EA9" w14:textId="77777777" w:rsidR="00D73956" w:rsidRPr="00D73956" w:rsidRDefault="00D73956" w:rsidP="006A139B">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ABF.C012</w:t>
            </w:r>
          </w:p>
        </w:tc>
        <w:tc>
          <w:tcPr>
            <w:tcW w:w="1417" w:type="dxa"/>
            <w:tcBorders>
              <w:top w:val="nil"/>
              <w:left w:val="nil"/>
              <w:bottom w:val="nil"/>
              <w:right w:val="single" w:sz="8" w:space="0" w:color="auto"/>
            </w:tcBorders>
            <w:shd w:val="clear" w:color="auto" w:fill="auto"/>
            <w:vAlign w:val="center"/>
            <w:hideMark/>
          </w:tcPr>
          <w:p w14:paraId="5EB51F1C" w14:textId="77777777" w:rsidR="00D73956" w:rsidRPr="00D73956" w:rsidRDefault="00D73956" w:rsidP="006A139B">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ABF.D012</w:t>
            </w:r>
          </w:p>
        </w:tc>
        <w:tc>
          <w:tcPr>
            <w:tcW w:w="1276" w:type="dxa"/>
            <w:tcBorders>
              <w:top w:val="nil"/>
              <w:left w:val="nil"/>
              <w:bottom w:val="nil"/>
              <w:right w:val="single" w:sz="8" w:space="0" w:color="auto"/>
            </w:tcBorders>
            <w:shd w:val="clear" w:color="auto" w:fill="auto"/>
            <w:vAlign w:val="center"/>
            <w:hideMark/>
          </w:tcPr>
          <w:p w14:paraId="65776D94" w14:textId="77777777" w:rsidR="00D73956" w:rsidRPr="00D73956" w:rsidRDefault="00D73956" w:rsidP="006A139B">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ABF.E012</w:t>
            </w:r>
          </w:p>
        </w:tc>
        <w:tc>
          <w:tcPr>
            <w:tcW w:w="1559" w:type="dxa"/>
            <w:gridSpan w:val="2"/>
            <w:tcBorders>
              <w:top w:val="nil"/>
              <w:left w:val="nil"/>
              <w:bottom w:val="nil"/>
              <w:right w:val="single" w:sz="8" w:space="0" w:color="auto"/>
            </w:tcBorders>
            <w:shd w:val="clear" w:color="auto" w:fill="auto"/>
            <w:vAlign w:val="center"/>
            <w:hideMark/>
          </w:tcPr>
          <w:p w14:paraId="31B3C2FF" w14:textId="77777777" w:rsidR="00D73956" w:rsidRPr="00D73956" w:rsidRDefault="00D73956" w:rsidP="006A139B">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ABF.F012</w:t>
            </w:r>
          </w:p>
        </w:tc>
        <w:tc>
          <w:tcPr>
            <w:tcW w:w="1134" w:type="dxa"/>
            <w:gridSpan w:val="2"/>
            <w:tcBorders>
              <w:top w:val="nil"/>
              <w:left w:val="nil"/>
              <w:bottom w:val="nil"/>
              <w:right w:val="single" w:sz="8" w:space="0" w:color="auto"/>
            </w:tcBorders>
            <w:shd w:val="clear" w:color="auto" w:fill="auto"/>
            <w:vAlign w:val="center"/>
            <w:hideMark/>
          </w:tcPr>
          <w:p w14:paraId="584C909E" w14:textId="77777777" w:rsidR="00D73956" w:rsidRPr="00D73956" w:rsidRDefault="00D73956" w:rsidP="006A139B">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ABF.G012</w:t>
            </w:r>
          </w:p>
        </w:tc>
      </w:tr>
      <w:tr w:rsidR="00D73956" w:rsidRPr="00D73956" w14:paraId="32DBE13B"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31BD43B3" w14:textId="77777777" w:rsidR="00D73956" w:rsidRPr="00D73956" w:rsidRDefault="00D73956" w:rsidP="006A139B">
            <w:pPr>
              <w:spacing w:after="0" w:line="240" w:lineRule="auto"/>
              <w:ind w:firstLineChars="100" w:firstLine="161"/>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 xml:space="preserve">  Recursos Vinculados à Educação </w:t>
            </w:r>
          </w:p>
        </w:tc>
        <w:tc>
          <w:tcPr>
            <w:tcW w:w="1276" w:type="dxa"/>
            <w:tcBorders>
              <w:top w:val="nil"/>
              <w:left w:val="nil"/>
              <w:bottom w:val="nil"/>
              <w:right w:val="single" w:sz="8" w:space="0" w:color="auto"/>
            </w:tcBorders>
            <w:shd w:val="clear" w:color="auto" w:fill="auto"/>
            <w:vAlign w:val="center"/>
            <w:hideMark/>
          </w:tcPr>
          <w:p w14:paraId="44DAF09C" w14:textId="77777777" w:rsidR="00D73956" w:rsidRPr="00D73956" w:rsidRDefault="00D73956" w:rsidP="006A139B">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ABF.B013</w:t>
            </w:r>
          </w:p>
        </w:tc>
        <w:tc>
          <w:tcPr>
            <w:tcW w:w="1559" w:type="dxa"/>
            <w:tcBorders>
              <w:top w:val="nil"/>
              <w:left w:val="nil"/>
              <w:bottom w:val="nil"/>
              <w:right w:val="single" w:sz="8" w:space="0" w:color="auto"/>
            </w:tcBorders>
            <w:shd w:val="clear" w:color="auto" w:fill="auto"/>
            <w:vAlign w:val="center"/>
            <w:hideMark/>
          </w:tcPr>
          <w:p w14:paraId="1E4D6E8F" w14:textId="77777777" w:rsidR="00D73956" w:rsidRPr="00D73956" w:rsidRDefault="00D73956" w:rsidP="006A139B">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ABF.C013</w:t>
            </w:r>
          </w:p>
        </w:tc>
        <w:tc>
          <w:tcPr>
            <w:tcW w:w="1417" w:type="dxa"/>
            <w:tcBorders>
              <w:top w:val="nil"/>
              <w:left w:val="nil"/>
              <w:bottom w:val="nil"/>
              <w:right w:val="single" w:sz="8" w:space="0" w:color="auto"/>
            </w:tcBorders>
            <w:shd w:val="clear" w:color="auto" w:fill="auto"/>
            <w:vAlign w:val="center"/>
            <w:hideMark/>
          </w:tcPr>
          <w:p w14:paraId="1B972E48" w14:textId="77777777" w:rsidR="00D73956" w:rsidRPr="00D73956" w:rsidRDefault="00D73956" w:rsidP="006A139B">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ABF.D013</w:t>
            </w:r>
          </w:p>
        </w:tc>
        <w:tc>
          <w:tcPr>
            <w:tcW w:w="1276" w:type="dxa"/>
            <w:tcBorders>
              <w:top w:val="nil"/>
              <w:left w:val="nil"/>
              <w:bottom w:val="nil"/>
              <w:right w:val="single" w:sz="8" w:space="0" w:color="auto"/>
            </w:tcBorders>
            <w:shd w:val="clear" w:color="auto" w:fill="auto"/>
            <w:vAlign w:val="center"/>
            <w:hideMark/>
          </w:tcPr>
          <w:p w14:paraId="11D73AD4" w14:textId="77777777" w:rsidR="00D73956" w:rsidRPr="00D73956" w:rsidRDefault="00D73956" w:rsidP="006A139B">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ABF.E013</w:t>
            </w:r>
          </w:p>
        </w:tc>
        <w:tc>
          <w:tcPr>
            <w:tcW w:w="1559" w:type="dxa"/>
            <w:gridSpan w:val="2"/>
            <w:tcBorders>
              <w:top w:val="nil"/>
              <w:left w:val="nil"/>
              <w:bottom w:val="nil"/>
              <w:right w:val="single" w:sz="8" w:space="0" w:color="auto"/>
            </w:tcBorders>
            <w:shd w:val="clear" w:color="auto" w:fill="auto"/>
            <w:vAlign w:val="center"/>
            <w:hideMark/>
          </w:tcPr>
          <w:p w14:paraId="08F8931D" w14:textId="77777777" w:rsidR="00D73956" w:rsidRPr="00D73956" w:rsidRDefault="00D73956" w:rsidP="006A139B">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ABF.F013</w:t>
            </w:r>
          </w:p>
        </w:tc>
        <w:tc>
          <w:tcPr>
            <w:tcW w:w="1134" w:type="dxa"/>
            <w:gridSpan w:val="2"/>
            <w:tcBorders>
              <w:top w:val="nil"/>
              <w:left w:val="nil"/>
              <w:bottom w:val="nil"/>
              <w:right w:val="single" w:sz="8" w:space="0" w:color="auto"/>
            </w:tcBorders>
            <w:shd w:val="clear" w:color="auto" w:fill="auto"/>
            <w:vAlign w:val="center"/>
            <w:hideMark/>
          </w:tcPr>
          <w:p w14:paraId="43306693" w14:textId="77777777" w:rsidR="00D73956" w:rsidRPr="00D73956" w:rsidRDefault="00D73956" w:rsidP="006A139B">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ABF.G013</w:t>
            </w:r>
          </w:p>
        </w:tc>
      </w:tr>
      <w:tr w:rsidR="00D73956" w:rsidRPr="00D73956" w14:paraId="5EF06DF6"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385C6761"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102 - MANUTENÇÃO E DESENVOLVIMENTO DO ENSINO</w:t>
            </w:r>
          </w:p>
        </w:tc>
        <w:tc>
          <w:tcPr>
            <w:tcW w:w="1276" w:type="dxa"/>
            <w:tcBorders>
              <w:top w:val="nil"/>
              <w:left w:val="nil"/>
              <w:bottom w:val="nil"/>
              <w:right w:val="single" w:sz="8" w:space="0" w:color="auto"/>
            </w:tcBorders>
            <w:shd w:val="clear" w:color="auto" w:fill="auto"/>
            <w:vAlign w:val="center"/>
            <w:hideMark/>
          </w:tcPr>
          <w:p w14:paraId="4BF6D100"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ABF.B503</w:t>
            </w:r>
          </w:p>
        </w:tc>
        <w:tc>
          <w:tcPr>
            <w:tcW w:w="1559" w:type="dxa"/>
            <w:tcBorders>
              <w:top w:val="nil"/>
              <w:left w:val="nil"/>
              <w:bottom w:val="nil"/>
              <w:right w:val="single" w:sz="8" w:space="0" w:color="auto"/>
            </w:tcBorders>
            <w:shd w:val="clear" w:color="auto" w:fill="auto"/>
            <w:vAlign w:val="center"/>
            <w:hideMark/>
          </w:tcPr>
          <w:p w14:paraId="56BCC1E5"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ABF.C503</w:t>
            </w:r>
          </w:p>
        </w:tc>
        <w:tc>
          <w:tcPr>
            <w:tcW w:w="1417" w:type="dxa"/>
            <w:tcBorders>
              <w:top w:val="nil"/>
              <w:left w:val="nil"/>
              <w:bottom w:val="nil"/>
              <w:right w:val="single" w:sz="8" w:space="0" w:color="auto"/>
            </w:tcBorders>
            <w:shd w:val="clear" w:color="auto" w:fill="auto"/>
            <w:vAlign w:val="center"/>
            <w:hideMark/>
          </w:tcPr>
          <w:p w14:paraId="22674051"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ABF.D503</w:t>
            </w:r>
          </w:p>
        </w:tc>
        <w:tc>
          <w:tcPr>
            <w:tcW w:w="1276" w:type="dxa"/>
            <w:tcBorders>
              <w:top w:val="nil"/>
              <w:left w:val="nil"/>
              <w:bottom w:val="nil"/>
              <w:right w:val="single" w:sz="8" w:space="0" w:color="auto"/>
            </w:tcBorders>
            <w:shd w:val="clear" w:color="auto" w:fill="auto"/>
            <w:vAlign w:val="center"/>
            <w:hideMark/>
          </w:tcPr>
          <w:p w14:paraId="6E1B19E5"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ABF.E503</w:t>
            </w:r>
          </w:p>
        </w:tc>
        <w:tc>
          <w:tcPr>
            <w:tcW w:w="1559" w:type="dxa"/>
            <w:gridSpan w:val="2"/>
            <w:tcBorders>
              <w:top w:val="nil"/>
              <w:left w:val="nil"/>
              <w:bottom w:val="nil"/>
              <w:right w:val="single" w:sz="8" w:space="0" w:color="auto"/>
            </w:tcBorders>
            <w:shd w:val="clear" w:color="auto" w:fill="auto"/>
            <w:vAlign w:val="center"/>
            <w:hideMark/>
          </w:tcPr>
          <w:p w14:paraId="20BD686B"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ABF.F503</w:t>
            </w:r>
          </w:p>
        </w:tc>
        <w:tc>
          <w:tcPr>
            <w:tcW w:w="1134" w:type="dxa"/>
            <w:gridSpan w:val="2"/>
            <w:tcBorders>
              <w:top w:val="nil"/>
              <w:left w:val="nil"/>
              <w:bottom w:val="nil"/>
              <w:right w:val="single" w:sz="8" w:space="0" w:color="auto"/>
            </w:tcBorders>
            <w:shd w:val="clear" w:color="auto" w:fill="auto"/>
            <w:vAlign w:val="center"/>
            <w:hideMark/>
          </w:tcPr>
          <w:p w14:paraId="1D5B9F06"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ABF.G503</w:t>
            </w:r>
          </w:p>
        </w:tc>
      </w:tr>
      <w:tr w:rsidR="00D73956" w:rsidRPr="00D73956" w14:paraId="69E48F44"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48B76CD4" w14:textId="47496ECB"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113 - MANUTENÇÃO E DESENVOLVIMENTO DA EDUCAÇÃO BÁSICA E DE VALORIZAÇÃO DOS PROFISSIONAIS DA EDUCAÇÃO - FUNDEB (70%)</w:t>
            </w:r>
          </w:p>
        </w:tc>
        <w:tc>
          <w:tcPr>
            <w:tcW w:w="1276" w:type="dxa"/>
            <w:tcBorders>
              <w:top w:val="nil"/>
              <w:left w:val="nil"/>
              <w:bottom w:val="nil"/>
              <w:right w:val="single" w:sz="8" w:space="0" w:color="auto"/>
            </w:tcBorders>
            <w:shd w:val="clear" w:color="auto" w:fill="auto"/>
            <w:vAlign w:val="center"/>
            <w:hideMark/>
          </w:tcPr>
          <w:p w14:paraId="3FD6E186"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ABF.B504</w:t>
            </w:r>
          </w:p>
        </w:tc>
        <w:tc>
          <w:tcPr>
            <w:tcW w:w="1559" w:type="dxa"/>
            <w:tcBorders>
              <w:top w:val="nil"/>
              <w:left w:val="nil"/>
              <w:bottom w:val="nil"/>
              <w:right w:val="single" w:sz="8" w:space="0" w:color="auto"/>
            </w:tcBorders>
            <w:shd w:val="clear" w:color="auto" w:fill="auto"/>
            <w:vAlign w:val="center"/>
            <w:hideMark/>
          </w:tcPr>
          <w:p w14:paraId="3196A9B9"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ABF.C504</w:t>
            </w:r>
          </w:p>
        </w:tc>
        <w:tc>
          <w:tcPr>
            <w:tcW w:w="1417" w:type="dxa"/>
            <w:tcBorders>
              <w:top w:val="nil"/>
              <w:left w:val="nil"/>
              <w:bottom w:val="nil"/>
              <w:right w:val="single" w:sz="8" w:space="0" w:color="auto"/>
            </w:tcBorders>
            <w:shd w:val="clear" w:color="auto" w:fill="auto"/>
            <w:vAlign w:val="center"/>
            <w:hideMark/>
          </w:tcPr>
          <w:p w14:paraId="7BF9E217"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ABF.D504</w:t>
            </w:r>
          </w:p>
        </w:tc>
        <w:tc>
          <w:tcPr>
            <w:tcW w:w="1276" w:type="dxa"/>
            <w:tcBorders>
              <w:top w:val="nil"/>
              <w:left w:val="nil"/>
              <w:bottom w:val="nil"/>
              <w:right w:val="single" w:sz="8" w:space="0" w:color="auto"/>
            </w:tcBorders>
            <w:shd w:val="clear" w:color="auto" w:fill="auto"/>
            <w:vAlign w:val="center"/>
            <w:hideMark/>
          </w:tcPr>
          <w:p w14:paraId="3C637BED"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ABF.E504</w:t>
            </w:r>
          </w:p>
        </w:tc>
        <w:tc>
          <w:tcPr>
            <w:tcW w:w="1559" w:type="dxa"/>
            <w:gridSpan w:val="2"/>
            <w:tcBorders>
              <w:top w:val="nil"/>
              <w:left w:val="nil"/>
              <w:bottom w:val="nil"/>
              <w:right w:val="single" w:sz="8" w:space="0" w:color="auto"/>
            </w:tcBorders>
            <w:shd w:val="clear" w:color="auto" w:fill="auto"/>
            <w:vAlign w:val="center"/>
            <w:hideMark/>
          </w:tcPr>
          <w:p w14:paraId="4F95F868"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ABF.F504</w:t>
            </w:r>
          </w:p>
        </w:tc>
        <w:tc>
          <w:tcPr>
            <w:tcW w:w="1134" w:type="dxa"/>
            <w:gridSpan w:val="2"/>
            <w:tcBorders>
              <w:top w:val="nil"/>
              <w:left w:val="nil"/>
              <w:bottom w:val="nil"/>
              <w:right w:val="single" w:sz="8" w:space="0" w:color="auto"/>
            </w:tcBorders>
            <w:shd w:val="clear" w:color="auto" w:fill="auto"/>
            <w:vAlign w:val="center"/>
            <w:hideMark/>
          </w:tcPr>
          <w:p w14:paraId="4767884B"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ABF.G504</w:t>
            </w:r>
          </w:p>
        </w:tc>
      </w:tr>
      <w:tr w:rsidR="00D73956" w:rsidRPr="00D73956" w14:paraId="34EEFCA4"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005924BC" w14:textId="2C6135E1"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114 - MANUTENÇÃO E DESENVOLVIMENTO DA EDUCAÇÃO BÁSICA E DE VALORIZAÇÃO DOS PROFISSIONAIS DA EDUCAÇÃO - FUNDEB (30%)</w:t>
            </w:r>
          </w:p>
        </w:tc>
        <w:tc>
          <w:tcPr>
            <w:tcW w:w="1276" w:type="dxa"/>
            <w:tcBorders>
              <w:top w:val="nil"/>
              <w:left w:val="nil"/>
              <w:bottom w:val="nil"/>
              <w:right w:val="single" w:sz="8" w:space="0" w:color="auto"/>
            </w:tcBorders>
            <w:shd w:val="clear" w:color="auto" w:fill="auto"/>
            <w:vAlign w:val="center"/>
            <w:hideMark/>
          </w:tcPr>
          <w:p w14:paraId="76E2EB87"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ABF.B505</w:t>
            </w:r>
          </w:p>
        </w:tc>
        <w:tc>
          <w:tcPr>
            <w:tcW w:w="1559" w:type="dxa"/>
            <w:tcBorders>
              <w:top w:val="nil"/>
              <w:left w:val="nil"/>
              <w:bottom w:val="nil"/>
              <w:right w:val="single" w:sz="8" w:space="0" w:color="auto"/>
            </w:tcBorders>
            <w:shd w:val="clear" w:color="auto" w:fill="auto"/>
            <w:vAlign w:val="center"/>
            <w:hideMark/>
          </w:tcPr>
          <w:p w14:paraId="7A7292D3"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ABF.C505</w:t>
            </w:r>
          </w:p>
        </w:tc>
        <w:tc>
          <w:tcPr>
            <w:tcW w:w="1417" w:type="dxa"/>
            <w:tcBorders>
              <w:top w:val="nil"/>
              <w:left w:val="nil"/>
              <w:bottom w:val="nil"/>
              <w:right w:val="single" w:sz="8" w:space="0" w:color="auto"/>
            </w:tcBorders>
            <w:shd w:val="clear" w:color="auto" w:fill="auto"/>
            <w:vAlign w:val="center"/>
            <w:hideMark/>
          </w:tcPr>
          <w:p w14:paraId="1877AFC0"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ABF.D505</w:t>
            </w:r>
          </w:p>
        </w:tc>
        <w:tc>
          <w:tcPr>
            <w:tcW w:w="1276" w:type="dxa"/>
            <w:tcBorders>
              <w:top w:val="nil"/>
              <w:left w:val="nil"/>
              <w:bottom w:val="nil"/>
              <w:right w:val="single" w:sz="8" w:space="0" w:color="auto"/>
            </w:tcBorders>
            <w:shd w:val="clear" w:color="auto" w:fill="auto"/>
            <w:vAlign w:val="center"/>
            <w:hideMark/>
          </w:tcPr>
          <w:p w14:paraId="429E1F68"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ABF.E505</w:t>
            </w:r>
          </w:p>
        </w:tc>
        <w:tc>
          <w:tcPr>
            <w:tcW w:w="1559" w:type="dxa"/>
            <w:gridSpan w:val="2"/>
            <w:tcBorders>
              <w:top w:val="nil"/>
              <w:left w:val="nil"/>
              <w:bottom w:val="nil"/>
              <w:right w:val="single" w:sz="8" w:space="0" w:color="auto"/>
            </w:tcBorders>
            <w:shd w:val="clear" w:color="auto" w:fill="auto"/>
            <w:vAlign w:val="center"/>
            <w:hideMark/>
          </w:tcPr>
          <w:p w14:paraId="4727BDA2"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ABF.F505</w:t>
            </w:r>
          </w:p>
        </w:tc>
        <w:tc>
          <w:tcPr>
            <w:tcW w:w="1134" w:type="dxa"/>
            <w:gridSpan w:val="2"/>
            <w:tcBorders>
              <w:top w:val="nil"/>
              <w:left w:val="nil"/>
              <w:bottom w:val="nil"/>
              <w:right w:val="single" w:sz="8" w:space="0" w:color="auto"/>
            </w:tcBorders>
            <w:shd w:val="clear" w:color="auto" w:fill="auto"/>
            <w:vAlign w:val="center"/>
            <w:hideMark/>
          </w:tcPr>
          <w:p w14:paraId="5AA2DC6C"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ABF.G505</w:t>
            </w:r>
          </w:p>
        </w:tc>
      </w:tr>
      <w:tr w:rsidR="005277C7" w:rsidRPr="00D73956" w14:paraId="267097F7"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tcPr>
          <w:p w14:paraId="0437E61C" w14:textId="49B0B023" w:rsidR="005277C7" w:rsidRPr="00D73956" w:rsidRDefault="005277C7" w:rsidP="006A139B">
            <w:pPr>
              <w:spacing w:after="0" w:line="240" w:lineRule="auto"/>
              <w:ind w:firstLineChars="200" w:firstLine="320"/>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119 - </w:t>
            </w:r>
            <w:r w:rsidRPr="00493919">
              <w:rPr>
                <w:rFonts w:ascii="Arial Narrow" w:eastAsia="Times New Roman" w:hAnsi="Arial Narrow" w:cs="Arial"/>
                <w:sz w:val="16"/>
                <w:szCs w:val="16"/>
                <w:lang w:eastAsia="pt-BR"/>
              </w:rPr>
              <w:t>OUTROS RECURSOS VINCULADOS À EDUCAÇÃO</w:t>
            </w:r>
          </w:p>
        </w:tc>
        <w:tc>
          <w:tcPr>
            <w:tcW w:w="1276" w:type="dxa"/>
            <w:tcBorders>
              <w:top w:val="nil"/>
              <w:left w:val="nil"/>
              <w:bottom w:val="nil"/>
              <w:right w:val="single" w:sz="8" w:space="0" w:color="auto"/>
            </w:tcBorders>
            <w:shd w:val="clear" w:color="auto" w:fill="auto"/>
            <w:vAlign w:val="center"/>
          </w:tcPr>
          <w:p w14:paraId="6F83664F" w14:textId="72208A47" w:rsidR="005277C7" w:rsidRPr="00D73956" w:rsidRDefault="005277C7" w:rsidP="006A139B">
            <w:pPr>
              <w:spacing w:after="0" w:line="240" w:lineRule="auto"/>
              <w:jc w:val="center"/>
              <w:rPr>
                <w:rFonts w:ascii="Arial Narrow" w:eastAsia="Times New Roman" w:hAnsi="Arial Narrow" w:cs="Arial"/>
                <w:sz w:val="16"/>
                <w:szCs w:val="16"/>
                <w:lang w:eastAsia="pt-BR"/>
              </w:rPr>
            </w:pPr>
            <w:r w:rsidRPr="00493919">
              <w:rPr>
                <w:rFonts w:ascii="Arial Narrow" w:eastAsia="Times New Roman" w:hAnsi="Arial Narrow" w:cs="Arial"/>
                <w:sz w:val="16"/>
                <w:szCs w:val="16"/>
                <w:lang w:eastAsia="pt-BR"/>
              </w:rPr>
              <w:t>ABF.B609</w:t>
            </w:r>
          </w:p>
        </w:tc>
        <w:tc>
          <w:tcPr>
            <w:tcW w:w="1559" w:type="dxa"/>
            <w:tcBorders>
              <w:top w:val="nil"/>
              <w:left w:val="nil"/>
              <w:bottom w:val="nil"/>
              <w:right w:val="single" w:sz="8" w:space="0" w:color="auto"/>
            </w:tcBorders>
            <w:shd w:val="clear" w:color="auto" w:fill="auto"/>
            <w:vAlign w:val="center"/>
          </w:tcPr>
          <w:p w14:paraId="1EF8D000" w14:textId="487A122D" w:rsidR="005277C7" w:rsidRPr="00D73956" w:rsidRDefault="005277C7" w:rsidP="006A139B">
            <w:pPr>
              <w:spacing w:after="0" w:line="240" w:lineRule="auto"/>
              <w:jc w:val="center"/>
              <w:rPr>
                <w:rFonts w:ascii="Arial Narrow" w:eastAsia="Times New Roman" w:hAnsi="Arial Narrow" w:cs="Arial"/>
                <w:sz w:val="16"/>
                <w:szCs w:val="16"/>
                <w:lang w:eastAsia="pt-BR"/>
              </w:rPr>
            </w:pPr>
            <w:r w:rsidRPr="00493919">
              <w:rPr>
                <w:rFonts w:ascii="Arial Narrow" w:eastAsia="Times New Roman" w:hAnsi="Arial Narrow" w:cs="Arial"/>
                <w:sz w:val="16"/>
                <w:szCs w:val="16"/>
                <w:lang w:eastAsia="pt-BR"/>
              </w:rPr>
              <w:t>ABF.C609</w:t>
            </w:r>
          </w:p>
        </w:tc>
        <w:tc>
          <w:tcPr>
            <w:tcW w:w="1417" w:type="dxa"/>
            <w:tcBorders>
              <w:top w:val="nil"/>
              <w:left w:val="nil"/>
              <w:bottom w:val="nil"/>
              <w:right w:val="single" w:sz="8" w:space="0" w:color="auto"/>
            </w:tcBorders>
            <w:shd w:val="clear" w:color="auto" w:fill="auto"/>
            <w:vAlign w:val="center"/>
          </w:tcPr>
          <w:p w14:paraId="4A5047AC" w14:textId="0553A051" w:rsidR="005277C7" w:rsidRPr="00D73956" w:rsidRDefault="005277C7" w:rsidP="006A139B">
            <w:pPr>
              <w:spacing w:after="0" w:line="240" w:lineRule="auto"/>
              <w:jc w:val="center"/>
              <w:rPr>
                <w:rFonts w:ascii="Arial Narrow" w:eastAsia="Times New Roman" w:hAnsi="Arial Narrow" w:cs="Arial"/>
                <w:sz w:val="16"/>
                <w:szCs w:val="16"/>
                <w:lang w:eastAsia="pt-BR"/>
              </w:rPr>
            </w:pPr>
            <w:r w:rsidRPr="00493919">
              <w:rPr>
                <w:rFonts w:ascii="Arial Narrow" w:eastAsia="Times New Roman" w:hAnsi="Arial Narrow" w:cs="Arial"/>
                <w:sz w:val="16"/>
                <w:szCs w:val="16"/>
                <w:lang w:eastAsia="pt-BR"/>
              </w:rPr>
              <w:t>ABF.D609</w:t>
            </w:r>
          </w:p>
        </w:tc>
        <w:tc>
          <w:tcPr>
            <w:tcW w:w="1276" w:type="dxa"/>
            <w:tcBorders>
              <w:top w:val="nil"/>
              <w:left w:val="nil"/>
              <w:bottom w:val="nil"/>
              <w:right w:val="single" w:sz="8" w:space="0" w:color="auto"/>
            </w:tcBorders>
            <w:shd w:val="clear" w:color="auto" w:fill="auto"/>
            <w:vAlign w:val="center"/>
          </w:tcPr>
          <w:p w14:paraId="04DA69C1" w14:textId="4CDA6594" w:rsidR="005277C7" w:rsidRPr="00D73956" w:rsidRDefault="005277C7" w:rsidP="006A139B">
            <w:pPr>
              <w:spacing w:after="0" w:line="240" w:lineRule="auto"/>
              <w:jc w:val="center"/>
              <w:rPr>
                <w:rFonts w:ascii="Arial Narrow" w:eastAsia="Times New Roman" w:hAnsi="Arial Narrow" w:cs="Arial"/>
                <w:sz w:val="16"/>
                <w:szCs w:val="16"/>
                <w:lang w:eastAsia="pt-BR"/>
              </w:rPr>
            </w:pPr>
            <w:r w:rsidRPr="00493919">
              <w:rPr>
                <w:rFonts w:ascii="Arial Narrow" w:eastAsia="Times New Roman" w:hAnsi="Arial Narrow" w:cs="Arial"/>
                <w:sz w:val="16"/>
                <w:szCs w:val="16"/>
                <w:lang w:eastAsia="pt-BR"/>
              </w:rPr>
              <w:t>ABF.E609</w:t>
            </w:r>
          </w:p>
        </w:tc>
        <w:tc>
          <w:tcPr>
            <w:tcW w:w="1559" w:type="dxa"/>
            <w:gridSpan w:val="2"/>
            <w:tcBorders>
              <w:top w:val="nil"/>
              <w:left w:val="nil"/>
              <w:bottom w:val="nil"/>
              <w:right w:val="single" w:sz="8" w:space="0" w:color="auto"/>
            </w:tcBorders>
            <w:shd w:val="clear" w:color="auto" w:fill="auto"/>
            <w:vAlign w:val="center"/>
          </w:tcPr>
          <w:p w14:paraId="4A17C38A" w14:textId="11E35F65" w:rsidR="005277C7" w:rsidRPr="00D73956" w:rsidRDefault="005277C7" w:rsidP="006A139B">
            <w:pPr>
              <w:spacing w:after="0" w:line="240" w:lineRule="auto"/>
              <w:jc w:val="center"/>
              <w:rPr>
                <w:rFonts w:ascii="Arial Narrow" w:eastAsia="Times New Roman" w:hAnsi="Arial Narrow" w:cs="Arial"/>
                <w:sz w:val="16"/>
                <w:szCs w:val="16"/>
                <w:lang w:eastAsia="pt-BR"/>
              </w:rPr>
            </w:pPr>
            <w:r w:rsidRPr="00493919">
              <w:rPr>
                <w:rFonts w:ascii="Arial Narrow" w:eastAsia="Times New Roman" w:hAnsi="Arial Narrow" w:cs="Arial"/>
                <w:sz w:val="16"/>
                <w:szCs w:val="16"/>
                <w:lang w:eastAsia="pt-BR"/>
              </w:rPr>
              <w:t>ABF.F609</w:t>
            </w:r>
          </w:p>
        </w:tc>
        <w:tc>
          <w:tcPr>
            <w:tcW w:w="1134" w:type="dxa"/>
            <w:gridSpan w:val="2"/>
            <w:tcBorders>
              <w:top w:val="nil"/>
              <w:left w:val="nil"/>
              <w:bottom w:val="nil"/>
              <w:right w:val="single" w:sz="8" w:space="0" w:color="auto"/>
            </w:tcBorders>
            <w:shd w:val="clear" w:color="auto" w:fill="auto"/>
            <w:vAlign w:val="center"/>
          </w:tcPr>
          <w:p w14:paraId="0CB56857" w14:textId="0342DAF5" w:rsidR="005277C7" w:rsidRPr="00D73956" w:rsidRDefault="005277C7" w:rsidP="006A139B">
            <w:pPr>
              <w:spacing w:after="0" w:line="240" w:lineRule="auto"/>
              <w:jc w:val="center"/>
              <w:rPr>
                <w:rFonts w:ascii="Arial Narrow" w:eastAsia="Times New Roman" w:hAnsi="Arial Narrow" w:cs="Arial"/>
                <w:sz w:val="16"/>
                <w:szCs w:val="16"/>
                <w:lang w:eastAsia="pt-BR"/>
              </w:rPr>
            </w:pPr>
            <w:r w:rsidRPr="00493919">
              <w:rPr>
                <w:rFonts w:ascii="Arial Narrow" w:eastAsia="Times New Roman" w:hAnsi="Arial Narrow" w:cs="Arial"/>
                <w:sz w:val="16"/>
                <w:szCs w:val="16"/>
                <w:lang w:eastAsia="pt-BR"/>
              </w:rPr>
              <w:t>ABF.G609</w:t>
            </w:r>
          </w:p>
        </w:tc>
      </w:tr>
      <w:tr w:rsidR="00D73956" w:rsidRPr="00D73956" w14:paraId="745C96F4"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4F5EFE83"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131 - COTA PARTE ESTADUAL DO SALÁRIO EDUCAÇÃO</w:t>
            </w:r>
          </w:p>
        </w:tc>
        <w:tc>
          <w:tcPr>
            <w:tcW w:w="1276" w:type="dxa"/>
            <w:tcBorders>
              <w:top w:val="nil"/>
              <w:left w:val="nil"/>
              <w:bottom w:val="nil"/>
              <w:right w:val="single" w:sz="8" w:space="0" w:color="auto"/>
            </w:tcBorders>
            <w:shd w:val="clear" w:color="auto" w:fill="auto"/>
            <w:vAlign w:val="center"/>
            <w:hideMark/>
          </w:tcPr>
          <w:p w14:paraId="0A56C6C1"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ABF.B506</w:t>
            </w:r>
          </w:p>
        </w:tc>
        <w:tc>
          <w:tcPr>
            <w:tcW w:w="1559" w:type="dxa"/>
            <w:tcBorders>
              <w:top w:val="nil"/>
              <w:left w:val="nil"/>
              <w:bottom w:val="nil"/>
              <w:right w:val="single" w:sz="8" w:space="0" w:color="auto"/>
            </w:tcBorders>
            <w:shd w:val="clear" w:color="auto" w:fill="auto"/>
            <w:vAlign w:val="center"/>
            <w:hideMark/>
          </w:tcPr>
          <w:p w14:paraId="3E138173"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ABF.C506</w:t>
            </w:r>
          </w:p>
        </w:tc>
        <w:tc>
          <w:tcPr>
            <w:tcW w:w="1417" w:type="dxa"/>
            <w:tcBorders>
              <w:top w:val="nil"/>
              <w:left w:val="nil"/>
              <w:bottom w:val="nil"/>
              <w:right w:val="single" w:sz="8" w:space="0" w:color="auto"/>
            </w:tcBorders>
            <w:shd w:val="clear" w:color="auto" w:fill="auto"/>
            <w:vAlign w:val="center"/>
            <w:hideMark/>
          </w:tcPr>
          <w:p w14:paraId="0D5A007B"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ABF.D506</w:t>
            </w:r>
          </w:p>
        </w:tc>
        <w:tc>
          <w:tcPr>
            <w:tcW w:w="1276" w:type="dxa"/>
            <w:tcBorders>
              <w:top w:val="nil"/>
              <w:left w:val="nil"/>
              <w:bottom w:val="nil"/>
              <w:right w:val="single" w:sz="8" w:space="0" w:color="auto"/>
            </w:tcBorders>
            <w:shd w:val="clear" w:color="auto" w:fill="auto"/>
            <w:vAlign w:val="center"/>
            <w:hideMark/>
          </w:tcPr>
          <w:p w14:paraId="50D13125"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ABF.E506</w:t>
            </w:r>
          </w:p>
        </w:tc>
        <w:tc>
          <w:tcPr>
            <w:tcW w:w="1559" w:type="dxa"/>
            <w:gridSpan w:val="2"/>
            <w:tcBorders>
              <w:top w:val="nil"/>
              <w:left w:val="nil"/>
              <w:bottom w:val="nil"/>
              <w:right w:val="single" w:sz="8" w:space="0" w:color="auto"/>
            </w:tcBorders>
            <w:shd w:val="clear" w:color="auto" w:fill="auto"/>
            <w:vAlign w:val="center"/>
            <w:hideMark/>
          </w:tcPr>
          <w:p w14:paraId="045736B5"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ABF.F506</w:t>
            </w:r>
          </w:p>
        </w:tc>
        <w:tc>
          <w:tcPr>
            <w:tcW w:w="1134" w:type="dxa"/>
            <w:gridSpan w:val="2"/>
            <w:tcBorders>
              <w:top w:val="nil"/>
              <w:left w:val="nil"/>
              <w:bottom w:val="nil"/>
              <w:right w:val="single" w:sz="8" w:space="0" w:color="auto"/>
            </w:tcBorders>
            <w:shd w:val="clear" w:color="auto" w:fill="auto"/>
            <w:vAlign w:val="center"/>
            <w:hideMark/>
          </w:tcPr>
          <w:p w14:paraId="20DA5E33"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ABF.G506</w:t>
            </w:r>
          </w:p>
        </w:tc>
      </w:tr>
      <w:tr w:rsidR="00D73956" w:rsidRPr="00D73956" w14:paraId="4D0D349F"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1F17F2F9"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146 - PROGRAMA DINHEIRO DIRETO NA ESCOLA - PDDE</w:t>
            </w:r>
          </w:p>
        </w:tc>
        <w:tc>
          <w:tcPr>
            <w:tcW w:w="1276" w:type="dxa"/>
            <w:tcBorders>
              <w:top w:val="nil"/>
              <w:left w:val="nil"/>
              <w:bottom w:val="nil"/>
              <w:right w:val="single" w:sz="8" w:space="0" w:color="auto"/>
            </w:tcBorders>
            <w:shd w:val="clear" w:color="auto" w:fill="auto"/>
            <w:vAlign w:val="center"/>
            <w:hideMark/>
          </w:tcPr>
          <w:p w14:paraId="74D0F652"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ABF.B508</w:t>
            </w:r>
          </w:p>
        </w:tc>
        <w:tc>
          <w:tcPr>
            <w:tcW w:w="1559" w:type="dxa"/>
            <w:tcBorders>
              <w:top w:val="nil"/>
              <w:left w:val="nil"/>
              <w:bottom w:val="nil"/>
              <w:right w:val="single" w:sz="8" w:space="0" w:color="auto"/>
            </w:tcBorders>
            <w:shd w:val="clear" w:color="auto" w:fill="auto"/>
            <w:vAlign w:val="center"/>
            <w:hideMark/>
          </w:tcPr>
          <w:p w14:paraId="0F86AD04"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ABF.C508</w:t>
            </w:r>
          </w:p>
        </w:tc>
        <w:tc>
          <w:tcPr>
            <w:tcW w:w="1417" w:type="dxa"/>
            <w:tcBorders>
              <w:top w:val="nil"/>
              <w:left w:val="nil"/>
              <w:bottom w:val="nil"/>
              <w:right w:val="single" w:sz="8" w:space="0" w:color="auto"/>
            </w:tcBorders>
            <w:shd w:val="clear" w:color="auto" w:fill="auto"/>
            <w:vAlign w:val="center"/>
            <w:hideMark/>
          </w:tcPr>
          <w:p w14:paraId="3CA8246E"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ABF.D508</w:t>
            </w:r>
          </w:p>
        </w:tc>
        <w:tc>
          <w:tcPr>
            <w:tcW w:w="1276" w:type="dxa"/>
            <w:tcBorders>
              <w:top w:val="nil"/>
              <w:left w:val="nil"/>
              <w:bottom w:val="nil"/>
              <w:right w:val="single" w:sz="8" w:space="0" w:color="auto"/>
            </w:tcBorders>
            <w:shd w:val="clear" w:color="auto" w:fill="auto"/>
            <w:vAlign w:val="center"/>
            <w:hideMark/>
          </w:tcPr>
          <w:p w14:paraId="198A6FB9"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ABF.E508</w:t>
            </w:r>
          </w:p>
        </w:tc>
        <w:tc>
          <w:tcPr>
            <w:tcW w:w="1559" w:type="dxa"/>
            <w:gridSpan w:val="2"/>
            <w:tcBorders>
              <w:top w:val="nil"/>
              <w:left w:val="nil"/>
              <w:bottom w:val="nil"/>
              <w:right w:val="single" w:sz="8" w:space="0" w:color="auto"/>
            </w:tcBorders>
            <w:shd w:val="clear" w:color="auto" w:fill="auto"/>
            <w:vAlign w:val="center"/>
            <w:hideMark/>
          </w:tcPr>
          <w:p w14:paraId="6EECC4ED"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ABF.F508</w:t>
            </w:r>
          </w:p>
        </w:tc>
        <w:tc>
          <w:tcPr>
            <w:tcW w:w="1134" w:type="dxa"/>
            <w:gridSpan w:val="2"/>
            <w:tcBorders>
              <w:top w:val="nil"/>
              <w:left w:val="nil"/>
              <w:bottom w:val="nil"/>
              <w:right w:val="single" w:sz="8" w:space="0" w:color="auto"/>
            </w:tcBorders>
            <w:shd w:val="clear" w:color="auto" w:fill="auto"/>
            <w:vAlign w:val="center"/>
            <w:hideMark/>
          </w:tcPr>
          <w:p w14:paraId="0C4BA532"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ABF.G508</w:t>
            </w:r>
          </w:p>
        </w:tc>
      </w:tr>
      <w:tr w:rsidR="00D73956" w:rsidRPr="00D73956" w14:paraId="39EFAD52"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0EA8A037"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147 - PROGRAMA NACIONAL DE ALIMENTAÇÃO ESCOLAR - PNAE</w:t>
            </w:r>
          </w:p>
        </w:tc>
        <w:tc>
          <w:tcPr>
            <w:tcW w:w="1276" w:type="dxa"/>
            <w:tcBorders>
              <w:top w:val="nil"/>
              <w:left w:val="nil"/>
              <w:bottom w:val="nil"/>
              <w:right w:val="single" w:sz="8" w:space="0" w:color="auto"/>
            </w:tcBorders>
            <w:shd w:val="clear" w:color="auto" w:fill="auto"/>
            <w:vAlign w:val="center"/>
            <w:hideMark/>
          </w:tcPr>
          <w:p w14:paraId="76171965"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ABF.B509</w:t>
            </w:r>
          </w:p>
        </w:tc>
        <w:tc>
          <w:tcPr>
            <w:tcW w:w="1559" w:type="dxa"/>
            <w:tcBorders>
              <w:top w:val="nil"/>
              <w:left w:val="nil"/>
              <w:bottom w:val="nil"/>
              <w:right w:val="single" w:sz="8" w:space="0" w:color="auto"/>
            </w:tcBorders>
            <w:shd w:val="clear" w:color="auto" w:fill="auto"/>
            <w:vAlign w:val="center"/>
            <w:hideMark/>
          </w:tcPr>
          <w:p w14:paraId="6F363977"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ABF.C509</w:t>
            </w:r>
          </w:p>
        </w:tc>
        <w:tc>
          <w:tcPr>
            <w:tcW w:w="1417" w:type="dxa"/>
            <w:tcBorders>
              <w:top w:val="nil"/>
              <w:left w:val="nil"/>
              <w:bottom w:val="nil"/>
              <w:right w:val="single" w:sz="8" w:space="0" w:color="auto"/>
            </w:tcBorders>
            <w:shd w:val="clear" w:color="auto" w:fill="auto"/>
            <w:vAlign w:val="center"/>
            <w:hideMark/>
          </w:tcPr>
          <w:p w14:paraId="0E477B27"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ABF.D509</w:t>
            </w:r>
          </w:p>
        </w:tc>
        <w:tc>
          <w:tcPr>
            <w:tcW w:w="1276" w:type="dxa"/>
            <w:tcBorders>
              <w:top w:val="nil"/>
              <w:left w:val="nil"/>
              <w:bottom w:val="nil"/>
              <w:right w:val="single" w:sz="8" w:space="0" w:color="auto"/>
            </w:tcBorders>
            <w:shd w:val="clear" w:color="auto" w:fill="auto"/>
            <w:vAlign w:val="center"/>
            <w:hideMark/>
          </w:tcPr>
          <w:p w14:paraId="674C3074"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ABF.E509</w:t>
            </w:r>
          </w:p>
        </w:tc>
        <w:tc>
          <w:tcPr>
            <w:tcW w:w="1559" w:type="dxa"/>
            <w:gridSpan w:val="2"/>
            <w:tcBorders>
              <w:top w:val="nil"/>
              <w:left w:val="nil"/>
              <w:bottom w:val="nil"/>
              <w:right w:val="single" w:sz="8" w:space="0" w:color="auto"/>
            </w:tcBorders>
            <w:shd w:val="clear" w:color="auto" w:fill="auto"/>
            <w:vAlign w:val="center"/>
            <w:hideMark/>
          </w:tcPr>
          <w:p w14:paraId="70EBAF33"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ABF.F509</w:t>
            </w:r>
          </w:p>
        </w:tc>
        <w:tc>
          <w:tcPr>
            <w:tcW w:w="1134" w:type="dxa"/>
            <w:gridSpan w:val="2"/>
            <w:tcBorders>
              <w:top w:val="nil"/>
              <w:left w:val="nil"/>
              <w:bottom w:val="nil"/>
              <w:right w:val="single" w:sz="8" w:space="0" w:color="auto"/>
            </w:tcBorders>
            <w:shd w:val="clear" w:color="auto" w:fill="auto"/>
            <w:vAlign w:val="center"/>
            <w:hideMark/>
          </w:tcPr>
          <w:p w14:paraId="1CAD284C"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ABF.G509</w:t>
            </w:r>
          </w:p>
        </w:tc>
      </w:tr>
      <w:tr w:rsidR="00D73956" w:rsidRPr="00D73956" w14:paraId="1993CEB9"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3AD90818"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148 - PROGRAMA NACIONAL DE APOIO AO TRANSPORTE ESCOLAR - PNATE</w:t>
            </w:r>
          </w:p>
        </w:tc>
        <w:tc>
          <w:tcPr>
            <w:tcW w:w="1276" w:type="dxa"/>
            <w:tcBorders>
              <w:top w:val="nil"/>
              <w:left w:val="nil"/>
              <w:bottom w:val="nil"/>
              <w:right w:val="single" w:sz="8" w:space="0" w:color="auto"/>
            </w:tcBorders>
            <w:shd w:val="clear" w:color="auto" w:fill="auto"/>
            <w:vAlign w:val="center"/>
            <w:hideMark/>
          </w:tcPr>
          <w:p w14:paraId="33184A60"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ABF.B510</w:t>
            </w:r>
          </w:p>
        </w:tc>
        <w:tc>
          <w:tcPr>
            <w:tcW w:w="1559" w:type="dxa"/>
            <w:tcBorders>
              <w:top w:val="nil"/>
              <w:left w:val="nil"/>
              <w:bottom w:val="nil"/>
              <w:right w:val="single" w:sz="8" w:space="0" w:color="auto"/>
            </w:tcBorders>
            <w:shd w:val="clear" w:color="auto" w:fill="auto"/>
            <w:vAlign w:val="center"/>
            <w:hideMark/>
          </w:tcPr>
          <w:p w14:paraId="45EA0D8E"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ABF.C510</w:t>
            </w:r>
          </w:p>
        </w:tc>
        <w:tc>
          <w:tcPr>
            <w:tcW w:w="1417" w:type="dxa"/>
            <w:tcBorders>
              <w:top w:val="nil"/>
              <w:left w:val="nil"/>
              <w:bottom w:val="nil"/>
              <w:right w:val="single" w:sz="8" w:space="0" w:color="auto"/>
            </w:tcBorders>
            <w:shd w:val="clear" w:color="auto" w:fill="auto"/>
            <w:vAlign w:val="center"/>
            <w:hideMark/>
          </w:tcPr>
          <w:p w14:paraId="3F16E1C5"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ABF.D510</w:t>
            </w:r>
          </w:p>
        </w:tc>
        <w:tc>
          <w:tcPr>
            <w:tcW w:w="1276" w:type="dxa"/>
            <w:tcBorders>
              <w:top w:val="nil"/>
              <w:left w:val="nil"/>
              <w:bottom w:val="nil"/>
              <w:right w:val="single" w:sz="8" w:space="0" w:color="auto"/>
            </w:tcBorders>
            <w:shd w:val="clear" w:color="auto" w:fill="auto"/>
            <w:vAlign w:val="center"/>
            <w:hideMark/>
          </w:tcPr>
          <w:p w14:paraId="6BE00C98"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ABF.E510</w:t>
            </w:r>
          </w:p>
        </w:tc>
        <w:tc>
          <w:tcPr>
            <w:tcW w:w="1559" w:type="dxa"/>
            <w:gridSpan w:val="2"/>
            <w:tcBorders>
              <w:top w:val="nil"/>
              <w:left w:val="nil"/>
              <w:bottom w:val="nil"/>
              <w:right w:val="single" w:sz="8" w:space="0" w:color="auto"/>
            </w:tcBorders>
            <w:shd w:val="clear" w:color="auto" w:fill="auto"/>
            <w:vAlign w:val="center"/>
            <w:hideMark/>
          </w:tcPr>
          <w:p w14:paraId="0D500EBF"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ABF.F510</w:t>
            </w:r>
          </w:p>
        </w:tc>
        <w:tc>
          <w:tcPr>
            <w:tcW w:w="1134" w:type="dxa"/>
            <w:gridSpan w:val="2"/>
            <w:tcBorders>
              <w:top w:val="nil"/>
              <w:left w:val="nil"/>
              <w:bottom w:val="nil"/>
              <w:right w:val="single" w:sz="8" w:space="0" w:color="auto"/>
            </w:tcBorders>
            <w:shd w:val="clear" w:color="auto" w:fill="auto"/>
            <w:vAlign w:val="center"/>
            <w:hideMark/>
          </w:tcPr>
          <w:p w14:paraId="53525BAD"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ABF.G510</w:t>
            </w:r>
          </w:p>
        </w:tc>
      </w:tr>
      <w:tr w:rsidR="00D73956" w:rsidRPr="00D73956" w14:paraId="3F322959"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566E3EA3"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149 - PROGRAMA BRASIL ALFABETIZADO</w:t>
            </w:r>
          </w:p>
        </w:tc>
        <w:tc>
          <w:tcPr>
            <w:tcW w:w="1276" w:type="dxa"/>
            <w:tcBorders>
              <w:top w:val="nil"/>
              <w:left w:val="nil"/>
              <w:bottom w:val="nil"/>
              <w:right w:val="single" w:sz="8" w:space="0" w:color="auto"/>
            </w:tcBorders>
            <w:shd w:val="clear" w:color="auto" w:fill="auto"/>
            <w:vAlign w:val="center"/>
            <w:hideMark/>
          </w:tcPr>
          <w:p w14:paraId="5E65CC3A"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ABF.B511</w:t>
            </w:r>
          </w:p>
        </w:tc>
        <w:tc>
          <w:tcPr>
            <w:tcW w:w="1559" w:type="dxa"/>
            <w:tcBorders>
              <w:top w:val="nil"/>
              <w:left w:val="nil"/>
              <w:bottom w:val="nil"/>
              <w:right w:val="single" w:sz="8" w:space="0" w:color="auto"/>
            </w:tcBorders>
            <w:shd w:val="clear" w:color="auto" w:fill="auto"/>
            <w:vAlign w:val="center"/>
            <w:hideMark/>
          </w:tcPr>
          <w:p w14:paraId="0258C52F"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ABF.C511</w:t>
            </w:r>
          </w:p>
        </w:tc>
        <w:tc>
          <w:tcPr>
            <w:tcW w:w="1417" w:type="dxa"/>
            <w:tcBorders>
              <w:top w:val="nil"/>
              <w:left w:val="nil"/>
              <w:bottom w:val="nil"/>
              <w:right w:val="single" w:sz="8" w:space="0" w:color="auto"/>
            </w:tcBorders>
            <w:shd w:val="clear" w:color="auto" w:fill="auto"/>
            <w:vAlign w:val="center"/>
            <w:hideMark/>
          </w:tcPr>
          <w:p w14:paraId="22915612"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ABF.D511</w:t>
            </w:r>
          </w:p>
        </w:tc>
        <w:tc>
          <w:tcPr>
            <w:tcW w:w="1276" w:type="dxa"/>
            <w:tcBorders>
              <w:top w:val="nil"/>
              <w:left w:val="nil"/>
              <w:bottom w:val="nil"/>
              <w:right w:val="single" w:sz="8" w:space="0" w:color="auto"/>
            </w:tcBorders>
            <w:shd w:val="clear" w:color="auto" w:fill="auto"/>
            <w:vAlign w:val="center"/>
            <w:hideMark/>
          </w:tcPr>
          <w:p w14:paraId="3C9FBAA5"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ABF.E511</w:t>
            </w:r>
          </w:p>
        </w:tc>
        <w:tc>
          <w:tcPr>
            <w:tcW w:w="1559" w:type="dxa"/>
            <w:gridSpan w:val="2"/>
            <w:tcBorders>
              <w:top w:val="nil"/>
              <w:left w:val="nil"/>
              <w:bottom w:val="nil"/>
              <w:right w:val="single" w:sz="8" w:space="0" w:color="auto"/>
            </w:tcBorders>
            <w:shd w:val="clear" w:color="auto" w:fill="auto"/>
            <w:vAlign w:val="center"/>
            <w:hideMark/>
          </w:tcPr>
          <w:p w14:paraId="56C82F12"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ABF.F511</w:t>
            </w:r>
          </w:p>
        </w:tc>
        <w:tc>
          <w:tcPr>
            <w:tcW w:w="1134" w:type="dxa"/>
            <w:gridSpan w:val="2"/>
            <w:tcBorders>
              <w:top w:val="nil"/>
              <w:left w:val="nil"/>
              <w:bottom w:val="nil"/>
              <w:right w:val="single" w:sz="8" w:space="0" w:color="auto"/>
            </w:tcBorders>
            <w:shd w:val="clear" w:color="auto" w:fill="auto"/>
            <w:vAlign w:val="center"/>
            <w:hideMark/>
          </w:tcPr>
          <w:p w14:paraId="58C2AB4A"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ABF.G511</w:t>
            </w:r>
          </w:p>
        </w:tc>
      </w:tr>
      <w:tr w:rsidR="00D73956" w:rsidRPr="00D73956" w14:paraId="471904E9"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026911A7"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151 - PROGRAMA DE APOIO SISTEMA DE ENSINO PARA ATENDIMENTO AO EJA</w:t>
            </w:r>
          </w:p>
        </w:tc>
        <w:tc>
          <w:tcPr>
            <w:tcW w:w="1276" w:type="dxa"/>
            <w:tcBorders>
              <w:top w:val="nil"/>
              <w:left w:val="nil"/>
              <w:bottom w:val="nil"/>
              <w:right w:val="single" w:sz="8" w:space="0" w:color="auto"/>
            </w:tcBorders>
            <w:shd w:val="clear" w:color="auto" w:fill="auto"/>
            <w:vAlign w:val="center"/>
            <w:hideMark/>
          </w:tcPr>
          <w:p w14:paraId="13D6F0BD"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ABF.B512</w:t>
            </w:r>
          </w:p>
        </w:tc>
        <w:tc>
          <w:tcPr>
            <w:tcW w:w="1559" w:type="dxa"/>
            <w:tcBorders>
              <w:top w:val="nil"/>
              <w:left w:val="nil"/>
              <w:bottom w:val="nil"/>
              <w:right w:val="single" w:sz="8" w:space="0" w:color="auto"/>
            </w:tcBorders>
            <w:shd w:val="clear" w:color="auto" w:fill="auto"/>
            <w:vAlign w:val="center"/>
            <w:hideMark/>
          </w:tcPr>
          <w:p w14:paraId="37DE3790"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ABF.C512</w:t>
            </w:r>
          </w:p>
        </w:tc>
        <w:tc>
          <w:tcPr>
            <w:tcW w:w="1417" w:type="dxa"/>
            <w:tcBorders>
              <w:top w:val="nil"/>
              <w:left w:val="nil"/>
              <w:bottom w:val="nil"/>
              <w:right w:val="single" w:sz="8" w:space="0" w:color="auto"/>
            </w:tcBorders>
            <w:shd w:val="clear" w:color="auto" w:fill="auto"/>
            <w:vAlign w:val="center"/>
            <w:hideMark/>
          </w:tcPr>
          <w:p w14:paraId="630662EE"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ABF.D512</w:t>
            </w:r>
          </w:p>
        </w:tc>
        <w:tc>
          <w:tcPr>
            <w:tcW w:w="1276" w:type="dxa"/>
            <w:tcBorders>
              <w:top w:val="nil"/>
              <w:left w:val="nil"/>
              <w:bottom w:val="nil"/>
              <w:right w:val="single" w:sz="8" w:space="0" w:color="auto"/>
            </w:tcBorders>
            <w:shd w:val="clear" w:color="auto" w:fill="auto"/>
            <w:vAlign w:val="center"/>
            <w:hideMark/>
          </w:tcPr>
          <w:p w14:paraId="070E3994"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ABF.E512</w:t>
            </w:r>
          </w:p>
        </w:tc>
        <w:tc>
          <w:tcPr>
            <w:tcW w:w="1559" w:type="dxa"/>
            <w:gridSpan w:val="2"/>
            <w:tcBorders>
              <w:top w:val="nil"/>
              <w:left w:val="nil"/>
              <w:bottom w:val="nil"/>
              <w:right w:val="single" w:sz="8" w:space="0" w:color="auto"/>
            </w:tcBorders>
            <w:shd w:val="clear" w:color="auto" w:fill="auto"/>
            <w:vAlign w:val="center"/>
            <w:hideMark/>
          </w:tcPr>
          <w:p w14:paraId="47C39292"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ABF.F512</w:t>
            </w:r>
          </w:p>
        </w:tc>
        <w:tc>
          <w:tcPr>
            <w:tcW w:w="1134" w:type="dxa"/>
            <w:gridSpan w:val="2"/>
            <w:tcBorders>
              <w:top w:val="nil"/>
              <w:left w:val="nil"/>
              <w:bottom w:val="nil"/>
              <w:right w:val="single" w:sz="8" w:space="0" w:color="auto"/>
            </w:tcBorders>
            <w:shd w:val="clear" w:color="auto" w:fill="auto"/>
            <w:vAlign w:val="center"/>
            <w:hideMark/>
          </w:tcPr>
          <w:p w14:paraId="34DAC089"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ABF.G512</w:t>
            </w:r>
          </w:p>
        </w:tc>
      </w:tr>
      <w:tr w:rsidR="00D73956" w:rsidRPr="00D73956" w14:paraId="67BB24DB"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25DE40E1"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152 - PROGRAMA DE FOMENTO ÀS ESCOLAS DE ENSINO MÉDIO EM TEMPO INTEGRAL</w:t>
            </w:r>
          </w:p>
        </w:tc>
        <w:tc>
          <w:tcPr>
            <w:tcW w:w="1276" w:type="dxa"/>
            <w:tcBorders>
              <w:top w:val="nil"/>
              <w:left w:val="nil"/>
              <w:bottom w:val="nil"/>
              <w:right w:val="single" w:sz="8" w:space="0" w:color="auto"/>
            </w:tcBorders>
            <w:shd w:val="clear" w:color="auto" w:fill="auto"/>
            <w:vAlign w:val="center"/>
            <w:hideMark/>
          </w:tcPr>
          <w:p w14:paraId="5A6BB03C"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ABF.B513</w:t>
            </w:r>
          </w:p>
        </w:tc>
        <w:tc>
          <w:tcPr>
            <w:tcW w:w="1559" w:type="dxa"/>
            <w:tcBorders>
              <w:top w:val="nil"/>
              <w:left w:val="nil"/>
              <w:bottom w:val="nil"/>
              <w:right w:val="single" w:sz="8" w:space="0" w:color="auto"/>
            </w:tcBorders>
            <w:shd w:val="clear" w:color="auto" w:fill="auto"/>
            <w:vAlign w:val="center"/>
            <w:hideMark/>
          </w:tcPr>
          <w:p w14:paraId="7054C5FC"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ABF.C513</w:t>
            </w:r>
          </w:p>
        </w:tc>
        <w:tc>
          <w:tcPr>
            <w:tcW w:w="1417" w:type="dxa"/>
            <w:tcBorders>
              <w:top w:val="nil"/>
              <w:left w:val="nil"/>
              <w:bottom w:val="nil"/>
              <w:right w:val="single" w:sz="8" w:space="0" w:color="auto"/>
            </w:tcBorders>
            <w:shd w:val="clear" w:color="auto" w:fill="auto"/>
            <w:vAlign w:val="center"/>
            <w:hideMark/>
          </w:tcPr>
          <w:p w14:paraId="7F3C4CBA"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ABF.D513</w:t>
            </w:r>
          </w:p>
        </w:tc>
        <w:tc>
          <w:tcPr>
            <w:tcW w:w="1276" w:type="dxa"/>
            <w:tcBorders>
              <w:top w:val="nil"/>
              <w:left w:val="nil"/>
              <w:bottom w:val="nil"/>
              <w:right w:val="single" w:sz="8" w:space="0" w:color="auto"/>
            </w:tcBorders>
            <w:shd w:val="clear" w:color="auto" w:fill="auto"/>
            <w:vAlign w:val="center"/>
            <w:hideMark/>
          </w:tcPr>
          <w:p w14:paraId="47588942"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ABF.E513</w:t>
            </w:r>
          </w:p>
        </w:tc>
        <w:tc>
          <w:tcPr>
            <w:tcW w:w="1559" w:type="dxa"/>
            <w:gridSpan w:val="2"/>
            <w:tcBorders>
              <w:top w:val="nil"/>
              <w:left w:val="nil"/>
              <w:bottom w:val="nil"/>
              <w:right w:val="single" w:sz="8" w:space="0" w:color="auto"/>
            </w:tcBorders>
            <w:shd w:val="clear" w:color="auto" w:fill="auto"/>
            <w:vAlign w:val="center"/>
            <w:hideMark/>
          </w:tcPr>
          <w:p w14:paraId="2A969566"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ABF.F513</w:t>
            </w:r>
          </w:p>
        </w:tc>
        <w:tc>
          <w:tcPr>
            <w:tcW w:w="1134" w:type="dxa"/>
            <w:gridSpan w:val="2"/>
            <w:tcBorders>
              <w:top w:val="nil"/>
              <w:left w:val="nil"/>
              <w:bottom w:val="nil"/>
              <w:right w:val="single" w:sz="8" w:space="0" w:color="auto"/>
            </w:tcBorders>
            <w:shd w:val="clear" w:color="auto" w:fill="auto"/>
            <w:vAlign w:val="center"/>
            <w:hideMark/>
          </w:tcPr>
          <w:p w14:paraId="6DEE3D86"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ABF.G513</w:t>
            </w:r>
          </w:p>
        </w:tc>
      </w:tr>
      <w:tr w:rsidR="00D73956" w:rsidRPr="00D73956" w14:paraId="0A713C02"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1181C40C"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165 - PROGRAMA NACIONAL DE ACESSO AO ENSINO TÉCNICO E EMPREGO - PRONATEC</w:t>
            </w:r>
          </w:p>
        </w:tc>
        <w:tc>
          <w:tcPr>
            <w:tcW w:w="1276" w:type="dxa"/>
            <w:tcBorders>
              <w:top w:val="nil"/>
              <w:left w:val="nil"/>
              <w:bottom w:val="nil"/>
              <w:right w:val="single" w:sz="8" w:space="0" w:color="auto"/>
            </w:tcBorders>
            <w:shd w:val="clear" w:color="auto" w:fill="auto"/>
            <w:vAlign w:val="center"/>
            <w:hideMark/>
          </w:tcPr>
          <w:p w14:paraId="3A4AB5B6"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ABF.B514</w:t>
            </w:r>
          </w:p>
        </w:tc>
        <w:tc>
          <w:tcPr>
            <w:tcW w:w="1559" w:type="dxa"/>
            <w:tcBorders>
              <w:top w:val="nil"/>
              <w:left w:val="nil"/>
              <w:bottom w:val="nil"/>
              <w:right w:val="single" w:sz="8" w:space="0" w:color="auto"/>
            </w:tcBorders>
            <w:shd w:val="clear" w:color="auto" w:fill="auto"/>
            <w:vAlign w:val="center"/>
            <w:hideMark/>
          </w:tcPr>
          <w:p w14:paraId="5F29C72E"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ABF.C514</w:t>
            </w:r>
          </w:p>
        </w:tc>
        <w:tc>
          <w:tcPr>
            <w:tcW w:w="1417" w:type="dxa"/>
            <w:tcBorders>
              <w:top w:val="nil"/>
              <w:left w:val="nil"/>
              <w:bottom w:val="nil"/>
              <w:right w:val="single" w:sz="8" w:space="0" w:color="auto"/>
            </w:tcBorders>
            <w:shd w:val="clear" w:color="auto" w:fill="auto"/>
            <w:vAlign w:val="center"/>
            <w:hideMark/>
          </w:tcPr>
          <w:p w14:paraId="60CB152A"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ABF.D514</w:t>
            </w:r>
          </w:p>
        </w:tc>
        <w:tc>
          <w:tcPr>
            <w:tcW w:w="1276" w:type="dxa"/>
            <w:tcBorders>
              <w:top w:val="nil"/>
              <w:left w:val="nil"/>
              <w:bottom w:val="nil"/>
              <w:right w:val="single" w:sz="8" w:space="0" w:color="auto"/>
            </w:tcBorders>
            <w:shd w:val="clear" w:color="auto" w:fill="auto"/>
            <w:vAlign w:val="center"/>
            <w:hideMark/>
          </w:tcPr>
          <w:p w14:paraId="69F7C3D9"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ABF.E514</w:t>
            </w:r>
          </w:p>
        </w:tc>
        <w:tc>
          <w:tcPr>
            <w:tcW w:w="1559" w:type="dxa"/>
            <w:gridSpan w:val="2"/>
            <w:tcBorders>
              <w:top w:val="nil"/>
              <w:left w:val="nil"/>
              <w:bottom w:val="nil"/>
              <w:right w:val="single" w:sz="8" w:space="0" w:color="auto"/>
            </w:tcBorders>
            <w:shd w:val="clear" w:color="auto" w:fill="auto"/>
            <w:vAlign w:val="center"/>
            <w:hideMark/>
          </w:tcPr>
          <w:p w14:paraId="612142A2"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ABF.F514</w:t>
            </w:r>
          </w:p>
        </w:tc>
        <w:tc>
          <w:tcPr>
            <w:tcW w:w="1134" w:type="dxa"/>
            <w:gridSpan w:val="2"/>
            <w:tcBorders>
              <w:top w:val="nil"/>
              <w:left w:val="nil"/>
              <w:bottom w:val="nil"/>
              <w:right w:val="single" w:sz="8" w:space="0" w:color="auto"/>
            </w:tcBorders>
            <w:shd w:val="clear" w:color="auto" w:fill="auto"/>
            <w:vAlign w:val="center"/>
            <w:hideMark/>
          </w:tcPr>
          <w:p w14:paraId="540622C8"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ABF.G514</w:t>
            </w:r>
          </w:p>
        </w:tc>
      </w:tr>
      <w:tr w:rsidR="00D73956" w:rsidRPr="00D73956" w14:paraId="0FA88FD1"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3517DB0A"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302 - SUPERÁVIT FINANCEIRO - MDE</w:t>
            </w:r>
          </w:p>
        </w:tc>
        <w:tc>
          <w:tcPr>
            <w:tcW w:w="1276" w:type="dxa"/>
            <w:tcBorders>
              <w:top w:val="nil"/>
              <w:left w:val="nil"/>
              <w:bottom w:val="nil"/>
              <w:right w:val="single" w:sz="8" w:space="0" w:color="auto"/>
            </w:tcBorders>
            <w:shd w:val="clear" w:color="auto" w:fill="auto"/>
            <w:vAlign w:val="center"/>
            <w:hideMark/>
          </w:tcPr>
          <w:p w14:paraId="6F3ADEF4"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ABF.B515</w:t>
            </w:r>
          </w:p>
        </w:tc>
        <w:tc>
          <w:tcPr>
            <w:tcW w:w="1559" w:type="dxa"/>
            <w:tcBorders>
              <w:top w:val="nil"/>
              <w:left w:val="nil"/>
              <w:bottom w:val="nil"/>
              <w:right w:val="single" w:sz="8" w:space="0" w:color="auto"/>
            </w:tcBorders>
            <w:shd w:val="clear" w:color="auto" w:fill="auto"/>
            <w:vAlign w:val="center"/>
            <w:hideMark/>
          </w:tcPr>
          <w:p w14:paraId="40882C0E"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ABF.C515</w:t>
            </w:r>
          </w:p>
        </w:tc>
        <w:tc>
          <w:tcPr>
            <w:tcW w:w="1417" w:type="dxa"/>
            <w:tcBorders>
              <w:top w:val="nil"/>
              <w:left w:val="nil"/>
              <w:bottom w:val="nil"/>
              <w:right w:val="single" w:sz="8" w:space="0" w:color="auto"/>
            </w:tcBorders>
            <w:shd w:val="clear" w:color="auto" w:fill="auto"/>
            <w:vAlign w:val="center"/>
            <w:hideMark/>
          </w:tcPr>
          <w:p w14:paraId="430EE0D7"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ABF.D515</w:t>
            </w:r>
          </w:p>
        </w:tc>
        <w:tc>
          <w:tcPr>
            <w:tcW w:w="1276" w:type="dxa"/>
            <w:tcBorders>
              <w:top w:val="nil"/>
              <w:left w:val="nil"/>
              <w:bottom w:val="nil"/>
              <w:right w:val="single" w:sz="8" w:space="0" w:color="auto"/>
            </w:tcBorders>
            <w:shd w:val="clear" w:color="auto" w:fill="auto"/>
            <w:vAlign w:val="center"/>
            <w:hideMark/>
          </w:tcPr>
          <w:p w14:paraId="2CD46416"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ABF.E515</w:t>
            </w:r>
          </w:p>
        </w:tc>
        <w:tc>
          <w:tcPr>
            <w:tcW w:w="1559" w:type="dxa"/>
            <w:gridSpan w:val="2"/>
            <w:tcBorders>
              <w:top w:val="nil"/>
              <w:left w:val="nil"/>
              <w:bottom w:val="nil"/>
              <w:right w:val="single" w:sz="8" w:space="0" w:color="auto"/>
            </w:tcBorders>
            <w:shd w:val="clear" w:color="auto" w:fill="auto"/>
            <w:vAlign w:val="center"/>
            <w:hideMark/>
          </w:tcPr>
          <w:p w14:paraId="6B105A82"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ABF.F515</w:t>
            </w:r>
          </w:p>
        </w:tc>
        <w:tc>
          <w:tcPr>
            <w:tcW w:w="1134" w:type="dxa"/>
            <w:gridSpan w:val="2"/>
            <w:tcBorders>
              <w:top w:val="nil"/>
              <w:left w:val="nil"/>
              <w:bottom w:val="nil"/>
              <w:right w:val="single" w:sz="8" w:space="0" w:color="auto"/>
            </w:tcBorders>
            <w:shd w:val="clear" w:color="auto" w:fill="auto"/>
            <w:vAlign w:val="center"/>
            <w:hideMark/>
          </w:tcPr>
          <w:p w14:paraId="6D6D281B"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ABF.G515</w:t>
            </w:r>
          </w:p>
        </w:tc>
      </w:tr>
      <w:tr w:rsidR="00D73956" w:rsidRPr="00D73956" w14:paraId="535BA1ED"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50A21014" w14:textId="635D087B"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313 - SUPERÁVIT FINANCEIRO - FUNDEB (70%)</w:t>
            </w:r>
          </w:p>
        </w:tc>
        <w:tc>
          <w:tcPr>
            <w:tcW w:w="1276" w:type="dxa"/>
            <w:tcBorders>
              <w:top w:val="nil"/>
              <w:left w:val="nil"/>
              <w:bottom w:val="nil"/>
              <w:right w:val="single" w:sz="8" w:space="0" w:color="auto"/>
            </w:tcBorders>
            <w:shd w:val="clear" w:color="auto" w:fill="auto"/>
            <w:vAlign w:val="center"/>
            <w:hideMark/>
          </w:tcPr>
          <w:p w14:paraId="744FB038"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ABF.B516</w:t>
            </w:r>
          </w:p>
        </w:tc>
        <w:tc>
          <w:tcPr>
            <w:tcW w:w="1559" w:type="dxa"/>
            <w:tcBorders>
              <w:top w:val="nil"/>
              <w:left w:val="nil"/>
              <w:bottom w:val="nil"/>
              <w:right w:val="single" w:sz="8" w:space="0" w:color="auto"/>
            </w:tcBorders>
            <w:shd w:val="clear" w:color="auto" w:fill="auto"/>
            <w:vAlign w:val="center"/>
            <w:hideMark/>
          </w:tcPr>
          <w:p w14:paraId="30285632"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ABF.C516</w:t>
            </w:r>
          </w:p>
        </w:tc>
        <w:tc>
          <w:tcPr>
            <w:tcW w:w="1417" w:type="dxa"/>
            <w:tcBorders>
              <w:top w:val="nil"/>
              <w:left w:val="nil"/>
              <w:bottom w:val="nil"/>
              <w:right w:val="single" w:sz="8" w:space="0" w:color="auto"/>
            </w:tcBorders>
            <w:shd w:val="clear" w:color="auto" w:fill="auto"/>
            <w:vAlign w:val="center"/>
            <w:hideMark/>
          </w:tcPr>
          <w:p w14:paraId="167F8DC4"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ABF.D516</w:t>
            </w:r>
          </w:p>
        </w:tc>
        <w:tc>
          <w:tcPr>
            <w:tcW w:w="1276" w:type="dxa"/>
            <w:tcBorders>
              <w:top w:val="nil"/>
              <w:left w:val="nil"/>
              <w:bottom w:val="nil"/>
              <w:right w:val="single" w:sz="8" w:space="0" w:color="auto"/>
            </w:tcBorders>
            <w:shd w:val="clear" w:color="auto" w:fill="auto"/>
            <w:vAlign w:val="center"/>
            <w:hideMark/>
          </w:tcPr>
          <w:p w14:paraId="366E4443"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ABF.E516</w:t>
            </w:r>
          </w:p>
        </w:tc>
        <w:tc>
          <w:tcPr>
            <w:tcW w:w="1559" w:type="dxa"/>
            <w:gridSpan w:val="2"/>
            <w:tcBorders>
              <w:top w:val="nil"/>
              <w:left w:val="nil"/>
              <w:bottom w:val="nil"/>
              <w:right w:val="single" w:sz="8" w:space="0" w:color="auto"/>
            </w:tcBorders>
            <w:shd w:val="clear" w:color="auto" w:fill="auto"/>
            <w:vAlign w:val="center"/>
            <w:hideMark/>
          </w:tcPr>
          <w:p w14:paraId="3F3D90B0"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ABF.F516</w:t>
            </w:r>
          </w:p>
        </w:tc>
        <w:tc>
          <w:tcPr>
            <w:tcW w:w="1134" w:type="dxa"/>
            <w:gridSpan w:val="2"/>
            <w:tcBorders>
              <w:top w:val="nil"/>
              <w:left w:val="nil"/>
              <w:bottom w:val="nil"/>
              <w:right w:val="single" w:sz="8" w:space="0" w:color="auto"/>
            </w:tcBorders>
            <w:shd w:val="clear" w:color="auto" w:fill="auto"/>
            <w:vAlign w:val="center"/>
            <w:hideMark/>
          </w:tcPr>
          <w:p w14:paraId="37E47B51"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ABF.G516</w:t>
            </w:r>
          </w:p>
        </w:tc>
      </w:tr>
      <w:tr w:rsidR="00D73956" w:rsidRPr="00D73956" w14:paraId="009A7E68"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7D5FD038" w14:textId="794ED7E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314 - SUPERÁVIT FINANCEIRO - FUNDEB (30%)</w:t>
            </w:r>
          </w:p>
        </w:tc>
        <w:tc>
          <w:tcPr>
            <w:tcW w:w="1276" w:type="dxa"/>
            <w:tcBorders>
              <w:top w:val="nil"/>
              <w:left w:val="nil"/>
              <w:bottom w:val="nil"/>
              <w:right w:val="single" w:sz="8" w:space="0" w:color="auto"/>
            </w:tcBorders>
            <w:shd w:val="clear" w:color="auto" w:fill="auto"/>
            <w:vAlign w:val="center"/>
            <w:hideMark/>
          </w:tcPr>
          <w:p w14:paraId="5FC3ED5A"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ABF.B517</w:t>
            </w:r>
          </w:p>
        </w:tc>
        <w:tc>
          <w:tcPr>
            <w:tcW w:w="1559" w:type="dxa"/>
            <w:tcBorders>
              <w:top w:val="nil"/>
              <w:left w:val="nil"/>
              <w:bottom w:val="nil"/>
              <w:right w:val="single" w:sz="8" w:space="0" w:color="auto"/>
            </w:tcBorders>
            <w:shd w:val="clear" w:color="auto" w:fill="auto"/>
            <w:vAlign w:val="center"/>
            <w:hideMark/>
          </w:tcPr>
          <w:p w14:paraId="7A757D05"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ABF.C517</w:t>
            </w:r>
          </w:p>
        </w:tc>
        <w:tc>
          <w:tcPr>
            <w:tcW w:w="1417" w:type="dxa"/>
            <w:tcBorders>
              <w:top w:val="nil"/>
              <w:left w:val="nil"/>
              <w:bottom w:val="nil"/>
              <w:right w:val="single" w:sz="8" w:space="0" w:color="auto"/>
            </w:tcBorders>
            <w:shd w:val="clear" w:color="auto" w:fill="auto"/>
            <w:vAlign w:val="center"/>
            <w:hideMark/>
          </w:tcPr>
          <w:p w14:paraId="084A152B"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ABF.D517</w:t>
            </w:r>
          </w:p>
        </w:tc>
        <w:tc>
          <w:tcPr>
            <w:tcW w:w="1276" w:type="dxa"/>
            <w:tcBorders>
              <w:top w:val="nil"/>
              <w:left w:val="nil"/>
              <w:bottom w:val="nil"/>
              <w:right w:val="single" w:sz="8" w:space="0" w:color="auto"/>
            </w:tcBorders>
            <w:shd w:val="clear" w:color="auto" w:fill="auto"/>
            <w:vAlign w:val="center"/>
            <w:hideMark/>
          </w:tcPr>
          <w:p w14:paraId="1D1AB8E9"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ABF.E517</w:t>
            </w:r>
          </w:p>
        </w:tc>
        <w:tc>
          <w:tcPr>
            <w:tcW w:w="1559" w:type="dxa"/>
            <w:gridSpan w:val="2"/>
            <w:tcBorders>
              <w:top w:val="nil"/>
              <w:left w:val="nil"/>
              <w:bottom w:val="nil"/>
              <w:right w:val="single" w:sz="8" w:space="0" w:color="auto"/>
            </w:tcBorders>
            <w:shd w:val="clear" w:color="auto" w:fill="auto"/>
            <w:vAlign w:val="center"/>
            <w:hideMark/>
          </w:tcPr>
          <w:p w14:paraId="25349584"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ABF.F517</w:t>
            </w:r>
          </w:p>
        </w:tc>
        <w:tc>
          <w:tcPr>
            <w:tcW w:w="1134" w:type="dxa"/>
            <w:gridSpan w:val="2"/>
            <w:tcBorders>
              <w:top w:val="nil"/>
              <w:left w:val="nil"/>
              <w:bottom w:val="nil"/>
              <w:right w:val="single" w:sz="8" w:space="0" w:color="auto"/>
            </w:tcBorders>
            <w:shd w:val="clear" w:color="auto" w:fill="auto"/>
            <w:vAlign w:val="center"/>
            <w:hideMark/>
          </w:tcPr>
          <w:p w14:paraId="6D58BEBE"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ABF.G517</w:t>
            </w:r>
          </w:p>
        </w:tc>
      </w:tr>
      <w:tr w:rsidR="00D73956" w:rsidRPr="00D73956" w14:paraId="166A8EE8"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41F0072A"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331 - SUPERÁVIT FINANCEIRO - COTA PARTE ESTADUAL DO SALÁRIO EDUCAÇÃO</w:t>
            </w:r>
          </w:p>
        </w:tc>
        <w:tc>
          <w:tcPr>
            <w:tcW w:w="1276" w:type="dxa"/>
            <w:tcBorders>
              <w:top w:val="nil"/>
              <w:left w:val="nil"/>
              <w:bottom w:val="nil"/>
              <w:right w:val="single" w:sz="8" w:space="0" w:color="auto"/>
            </w:tcBorders>
            <w:shd w:val="clear" w:color="auto" w:fill="auto"/>
            <w:vAlign w:val="center"/>
            <w:hideMark/>
          </w:tcPr>
          <w:p w14:paraId="304FB69E"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ABF.B518</w:t>
            </w:r>
          </w:p>
        </w:tc>
        <w:tc>
          <w:tcPr>
            <w:tcW w:w="1559" w:type="dxa"/>
            <w:tcBorders>
              <w:top w:val="nil"/>
              <w:left w:val="nil"/>
              <w:bottom w:val="nil"/>
              <w:right w:val="single" w:sz="8" w:space="0" w:color="auto"/>
            </w:tcBorders>
            <w:shd w:val="clear" w:color="auto" w:fill="auto"/>
            <w:vAlign w:val="center"/>
            <w:hideMark/>
          </w:tcPr>
          <w:p w14:paraId="7D1DA0F7"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ABF.C518</w:t>
            </w:r>
          </w:p>
        </w:tc>
        <w:tc>
          <w:tcPr>
            <w:tcW w:w="1417" w:type="dxa"/>
            <w:tcBorders>
              <w:top w:val="nil"/>
              <w:left w:val="nil"/>
              <w:bottom w:val="nil"/>
              <w:right w:val="single" w:sz="8" w:space="0" w:color="auto"/>
            </w:tcBorders>
            <w:shd w:val="clear" w:color="auto" w:fill="auto"/>
            <w:vAlign w:val="center"/>
            <w:hideMark/>
          </w:tcPr>
          <w:p w14:paraId="74B50E33"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ABF.D518</w:t>
            </w:r>
          </w:p>
        </w:tc>
        <w:tc>
          <w:tcPr>
            <w:tcW w:w="1276" w:type="dxa"/>
            <w:tcBorders>
              <w:top w:val="nil"/>
              <w:left w:val="nil"/>
              <w:bottom w:val="nil"/>
              <w:right w:val="single" w:sz="8" w:space="0" w:color="auto"/>
            </w:tcBorders>
            <w:shd w:val="clear" w:color="auto" w:fill="auto"/>
            <w:vAlign w:val="center"/>
            <w:hideMark/>
          </w:tcPr>
          <w:p w14:paraId="60EEBF13"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ABF.E518</w:t>
            </w:r>
          </w:p>
        </w:tc>
        <w:tc>
          <w:tcPr>
            <w:tcW w:w="1559" w:type="dxa"/>
            <w:gridSpan w:val="2"/>
            <w:tcBorders>
              <w:top w:val="nil"/>
              <w:left w:val="nil"/>
              <w:bottom w:val="nil"/>
              <w:right w:val="single" w:sz="8" w:space="0" w:color="auto"/>
            </w:tcBorders>
            <w:shd w:val="clear" w:color="auto" w:fill="auto"/>
            <w:vAlign w:val="center"/>
            <w:hideMark/>
          </w:tcPr>
          <w:p w14:paraId="4225222E"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ABF.F518</w:t>
            </w:r>
          </w:p>
        </w:tc>
        <w:tc>
          <w:tcPr>
            <w:tcW w:w="1134" w:type="dxa"/>
            <w:gridSpan w:val="2"/>
            <w:tcBorders>
              <w:top w:val="nil"/>
              <w:left w:val="nil"/>
              <w:bottom w:val="nil"/>
              <w:right w:val="single" w:sz="8" w:space="0" w:color="auto"/>
            </w:tcBorders>
            <w:shd w:val="clear" w:color="auto" w:fill="auto"/>
            <w:vAlign w:val="center"/>
            <w:hideMark/>
          </w:tcPr>
          <w:p w14:paraId="259D163B"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ABF.G518</w:t>
            </w:r>
          </w:p>
        </w:tc>
      </w:tr>
      <w:tr w:rsidR="00D73956" w:rsidRPr="00D73956" w14:paraId="579846C9"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10F919F9"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346 - SUPERÁVIT FINANCEIRO - PROGRAMA DINHEIRO DIRETO NA ESCOLA - PDDE</w:t>
            </w:r>
          </w:p>
        </w:tc>
        <w:tc>
          <w:tcPr>
            <w:tcW w:w="1276" w:type="dxa"/>
            <w:tcBorders>
              <w:top w:val="nil"/>
              <w:left w:val="nil"/>
              <w:bottom w:val="nil"/>
              <w:right w:val="single" w:sz="8" w:space="0" w:color="auto"/>
            </w:tcBorders>
            <w:shd w:val="clear" w:color="auto" w:fill="auto"/>
            <w:vAlign w:val="center"/>
            <w:hideMark/>
          </w:tcPr>
          <w:p w14:paraId="3F662812"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ABF.B520</w:t>
            </w:r>
          </w:p>
        </w:tc>
        <w:tc>
          <w:tcPr>
            <w:tcW w:w="1559" w:type="dxa"/>
            <w:tcBorders>
              <w:top w:val="nil"/>
              <w:left w:val="nil"/>
              <w:bottom w:val="nil"/>
              <w:right w:val="single" w:sz="8" w:space="0" w:color="auto"/>
            </w:tcBorders>
            <w:shd w:val="clear" w:color="auto" w:fill="auto"/>
            <w:vAlign w:val="center"/>
            <w:hideMark/>
          </w:tcPr>
          <w:p w14:paraId="4D1C005F"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ABF.C520</w:t>
            </w:r>
          </w:p>
        </w:tc>
        <w:tc>
          <w:tcPr>
            <w:tcW w:w="1417" w:type="dxa"/>
            <w:tcBorders>
              <w:top w:val="nil"/>
              <w:left w:val="nil"/>
              <w:bottom w:val="nil"/>
              <w:right w:val="single" w:sz="8" w:space="0" w:color="auto"/>
            </w:tcBorders>
            <w:shd w:val="clear" w:color="auto" w:fill="auto"/>
            <w:vAlign w:val="center"/>
            <w:hideMark/>
          </w:tcPr>
          <w:p w14:paraId="46472171"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ABF.D520</w:t>
            </w:r>
          </w:p>
        </w:tc>
        <w:tc>
          <w:tcPr>
            <w:tcW w:w="1276" w:type="dxa"/>
            <w:tcBorders>
              <w:top w:val="nil"/>
              <w:left w:val="nil"/>
              <w:bottom w:val="nil"/>
              <w:right w:val="single" w:sz="8" w:space="0" w:color="auto"/>
            </w:tcBorders>
            <w:shd w:val="clear" w:color="auto" w:fill="auto"/>
            <w:vAlign w:val="center"/>
            <w:hideMark/>
          </w:tcPr>
          <w:p w14:paraId="31DAB93A"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ABF.E520</w:t>
            </w:r>
          </w:p>
        </w:tc>
        <w:tc>
          <w:tcPr>
            <w:tcW w:w="1559" w:type="dxa"/>
            <w:gridSpan w:val="2"/>
            <w:tcBorders>
              <w:top w:val="nil"/>
              <w:left w:val="nil"/>
              <w:bottom w:val="nil"/>
              <w:right w:val="single" w:sz="8" w:space="0" w:color="auto"/>
            </w:tcBorders>
            <w:shd w:val="clear" w:color="auto" w:fill="auto"/>
            <w:vAlign w:val="center"/>
            <w:hideMark/>
          </w:tcPr>
          <w:p w14:paraId="2F00C35B"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ABF.F520</w:t>
            </w:r>
          </w:p>
        </w:tc>
        <w:tc>
          <w:tcPr>
            <w:tcW w:w="1134" w:type="dxa"/>
            <w:gridSpan w:val="2"/>
            <w:tcBorders>
              <w:top w:val="nil"/>
              <w:left w:val="nil"/>
              <w:bottom w:val="nil"/>
              <w:right w:val="single" w:sz="8" w:space="0" w:color="auto"/>
            </w:tcBorders>
            <w:shd w:val="clear" w:color="auto" w:fill="auto"/>
            <w:vAlign w:val="center"/>
            <w:hideMark/>
          </w:tcPr>
          <w:p w14:paraId="4B53595E"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ABF.G520</w:t>
            </w:r>
          </w:p>
        </w:tc>
      </w:tr>
      <w:tr w:rsidR="00D73956" w:rsidRPr="00D73956" w14:paraId="66AE2AAF"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07E06C7B"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lastRenderedPageBreak/>
              <w:t>347 - SUPERÁVIT FINANCEIRO - PROGRAMA NACIONAL DE ALIMENTAÇÃO ESCOLAR - PNAE</w:t>
            </w:r>
          </w:p>
        </w:tc>
        <w:tc>
          <w:tcPr>
            <w:tcW w:w="1276" w:type="dxa"/>
            <w:tcBorders>
              <w:top w:val="nil"/>
              <w:left w:val="nil"/>
              <w:bottom w:val="nil"/>
              <w:right w:val="single" w:sz="8" w:space="0" w:color="auto"/>
            </w:tcBorders>
            <w:shd w:val="clear" w:color="auto" w:fill="auto"/>
            <w:vAlign w:val="center"/>
            <w:hideMark/>
          </w:tcPr>
          <w:p w14:paraId="47AE6DE5"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ABF.B521</w:t>
            </w:r>
          </w:p>
        </w:tc>
        <w:tc>
          <w:tcPr>
            <w:tcW w:w="1559" w:type="dxa"/>
            <w:tcBorders>
              <w:top w:val="nil"/>
              <w:left w:val="nil"/>
              <w:bottom w:val="nil"/>
              <w:right w:val="single" w:sz="8" w:space="0" w:color="auto"/>
            </w:tcBorders>
            <w:shd w:val="clear" w:color="auto" w:fill="auto"/>
            <w:vAlign w:val="center"/>
            <w:hideMark/>
          </w:tcPr>
          <w:p w14:paraId="09BAC169"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ABF.C521</w:t>
            </w:r>
          </w:p>
        </w:tc>
        <w:tc>
          <w:tcPr>
            <w:tcW w:w="1417" w:type="dxa"/>
            <w:tcBorders>
              <w:top w:val="nil"/>
              <w:left w:val="nil"/>
              <w:bottom w:val="nil"/>
              <w:right w:val="single" w:sz="8" w:space="0" w:color="auto"/>
            </w:tcBorders>
            <w:shd w:val="clear" w:color="auto" w:fill="auto"/>
            <w:vAlign w:val="center"/>
            <w:hideMark/>
          </w:tcPr>
          <w:p w14:paraId="5C9A9D1A"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ABF.D521</w:t>
            </w:r>
          </w:p>
        </w:tc>
        <w:tc>
          <w:tcPr>
            <w:tcW w:w="1276" w:type="dxa"/>
            <w:tcBorders>
              <w:top w:val="nil"/>
              <w:left w:val="nil"/>
              <w:bottom w:val="nil"/>
              <w:right w:val="single" w:sz="8" w:space="0" w:color="auto"/>
            </w:tcBorders>
            <w:shd w:val="clear" w:color="auto" w:fill="auto"/>
            <w:vAlign w:val="center"/>
            <w:hideMark/>
          </w:tcPr>
          <w:p w14:paraId="3289E4FC"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ABF.E521</w:t>
            </w:r>
          </w:p>
        </w:tc>
        <w:tc>
          <w:tcPr>
            <w:tcW w:w="1559" w:type="dxa"/>
            <w:gridSpan w:val="2"/>
            <w:tcBorders>
              <w:top w:val="nil"/>
              <w:left w:val="nil"/>
              <w:bottom w:val="nil"/>
              <w:right w:val="single" w:sz="8" w:space="0" w:color="auto"/>
            </w:tcBorders>
            <w:shd w:val="clear" w:color="auto" w:fill="auto"/>
            <w:vAlign w:val="center"/>
            <w:hideMark/>
          </w:tcPr>
          <w:p w14:paraId="6F2258A8"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ABF.F521</w:t>
            </w:r>
          </w:p>
        </w:tc>
        <w:tc>
          <w:tcPr>
            <w:tcW w:w="1134" w:type="dxa"/>
            <w:gridSpan w:val="2"/>
            <w:tcBorders>
              <w:top w:val="nil"/>
              <w:left w:val="nil"/>
              <w:bottom w:val="nil"/>
              <w:right w:val="single" w:sz="8" w:space="0" w:color="auto"/>
            </w:tcBorders>
            <w:shd w:val="clear" w:color="auto" w:fill="auto"/>
            <w:vAlign w:val="center"/>
            <w:hideMark/>
          </w:tcPr>
          <w:p w14:paraId="13B01F51"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ABF.G521</w:t>
            </w:r>
          </w:p>
        </w:tc>
      </w:tr>
      <w:tr w:rsidR="00D73956" w:rsidRPr="00D73956" w14:paraId="3648599E"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42A8679F"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348 - SUPERÁVIT FINANCEIRO - PROGRAMA NACIONAL DE APOIO AO TRANSPORTE ESCOLAR - PNATE</w:t>
            </w:r>
          </w:p>
        </w:tc>
        <w:tc>
          <w:tcPr>
            <w:tcW w:w="1276" w:type="dxa"/>
            <w:tcBorders>
              <w:top w:val="nil"/>
              <w:left w:val="nil"/>
              <w:bottom w:val="nil"/>
              <w:right w:val="single" w:sz="8" w:space="0" w:color="auto"/>
            </w:tcBorders>
            <w:shd w:val="clear" w:color="auto" w:fill="auto"/>
            <w:vAlign w:val="center"/>
            <w:hideMark/>
          </w:tcPr>
          <w:p w14:paraId="519C15C1"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ABF.B522</w:t>
            </w:r>
          </w:p>
        </w:tc>
        <w:tc>
          <w:tcPr>
            <w:tcW w:w="1559" w:type="dxa"/>
            <w:tcBorders>
              <w:top w:val="nil"/>
              <w:left w:val="nil"/>
              <w:bottom w:val="nil"/>
              <w:right w:val="single" w:sz="8" w:space="0" w:color="auto"/>
            </w:tcBorders>
            <w:shd w:val="clear" w:color="auto" w:fill="auto"/>
            <w:vAlign w:val="center"/>
            <w:hideMark/>
          </w:tcPr>
          <w:p w14:paraId="6BFB6287"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ABF.C522</w:t>
            </w:r>
          </w:p>
        </w:tc>
        <w:tc>
          <w:tcPr>
            <w:tcW w:w="1417" w:type="dxa"/>
            <w:tcBorders>
              <w:top w:val="nil"/>
              <w:left w:val="nil"/>
              <w:bottom w:val="nil"/>
              <w:right w:val="single" w:sz="8" w:space="0" w:color="auto"/>
            </w:tcBorders>
            <w:shd w:val="clear" w:color="auto" w:fill="auto"/>
            <w:vAlign w:val="center"/>
            <w:hideMark/>
          </w:tcPr>
          <w:p w14:paraId="25FFD7F2"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ABF.D522</w:t>
            </w:r>
          </w:p>
        </w:tc>
        <w:tc>
          <w:tcPr>
            <w:tcW w:w="1276" w:type="dxa"/>
            <w:tcBorders>
              <w:top w:val="nil"/>
              <w:left w:val="nil"/>
              <w:bottom w:val="nil"/>
              <w:right w:val="single" w:sz="8" w:space="0" w:color="auto"/>
            </w:tcBorders>
            <w:shd w:val="clear" w:color="auto" w:fill="auto"/>
            <w:vAlign w:val="center"/>
            <w:hideMark/>
          </w:tcPr>
          <w:p w14:paraId="630C1EFA"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ABF.E522</w:t>
            </w:r>
          </w:p>
        </w:tc>
        <w:tc>
          <w:tcPr>
            <w:tcW w:w="1559" w:type="dxa"/>
            <w:gridSpan w:val="2"/>
            <w:tcBorders>
              <w:top w:val="nil"/>
              <w:left w:val="nil"/>
              <w:bottom w:val="nil"/>
              <w:right w:val="single" w:sz="8" w:space="0" w:color="auto"/>
            </w:tcBorders>
            <w:shd w:val="clear" w:color="auto" w:fill="auto"/>
            <w:vAlign w:val="center"/>
            <w:hideMark/>
          </w:tcPr>
          <w:p w14:paraId="630D4245"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ABF.F522</w:t>
            </w:r>
          </w:p>
        </w:tc>
        <w:tc>
          <w:tcPr>
            <w:tcW w:w="1134" w:type="dxa"/>
            <w:gridSpan w:val="2"/>
            <w:tcBorders>
              <w:top w:val="nil"/>
              <w:left w:val="nil"/>
              <w:bottom w:val="nil"/>
              <w:right w:val="single" w:sz="8" w:space="0" w:color="auto"/>
            </w:tcBorders>
            <w:shd w:val="clear" w:color="auto" w:fill="auto"/>
            <w:vAlign w:val="center"/>
            <w:hideMark/>
          </w:tcPr>
          <w:p w14:paraId="0EB44F06"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ABF.G522</w:t>
            </w:r>
          </w:p>
        </w:tc>
      </w:tr>
      <w:tr w:rsidR="00D73956" w:rsidRPr="00D73956" w14:paraId="0760051C"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10A2E455"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349 - SUPERÁVIT FINANCEIRO - PROGRAMA BRASIL ALFABETIZADO</w:t>
            </w:r>
          </w:p>
        </w:tc>
        <w:tc>
          <w:tcPr>
            <w:tcW w:w="1276" w:type="dxa"/>
            <w:tcBorders>
              <w:top w:val="nil"/>
              <w:left w:val="nil"/>
              <w:bottom w:val="nil"/>
              <w:right w:val="single" w:sz="8" w:space="0" w:color="auto"/>
            </w:tcBorders>
            <w:shd w:val="clear" w:color="auto" w:fill="auto"/>
            <w:vAlign w:val="center"/>
            <w:hideMark/>
          </w:tcPr>
          <w:p w14:paraId="541E53DD"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ABF.B523</w:t>
            </w:r>
          </w:p>
        </w:tc>
        <w:tc>
          <w:tcPr>
            <w:tcW w:w="1559" w:type="dxa"/>
            <w:tcBorders>
              <w:top w:val="nil"/>
              <w:left w:val="nil"/>
              <w:bottom w:val="nil"/>
              <w:right w:val="single" w:sz="8" w:space="0" w:color="auto"/>
            </w:tcBorders>
            <w:shd w:val="clear" w:color="auto" w:fill="auto"/>
            <w:vAlign w:val="center"/>
            <w:hideMark/>
          </w:tcPr>
          <w:p w14:paraId="2A842DF6"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ABF.C523</w:t>
            </w:r>
          </w:p>
        </w:tc>
        <w:tc>
          <w:tcPr>
            <w:tcW w:w="1417" w:type="dxa"/>
            <w:tcBorders>
              <w:top w:val="nil"/>
              <w:left w:val="nil"/>
              <w:bottom w:val="nil"/>
              <w:right w:val="single" w:sz="8" w:space="0" w:color="auto"/>
            </w:tcBorders>
            <w:shd w:val="clear" w:color="auto" w:fill="auto"/>
            <w:vAlign w:val="center"/>
            <w:hideMark/>
          </w:tcPr>
          <w:p w14:paraId="2BE406B1"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ABF.D523</w:t>
            </w:r>
          </w:p>
        </w:tc>
        <w:tc>
          <w:tcPr>
            <w:tcW w:w="1276" w:type="dxa"/>
            <w:tcBorders>
              <w:top w:val="nil"/>
              <w:left w:val="nil"/>
              <w:bottom w:val="nil"/>
              <w:right w:val="single" w:sz="8" w:space="0" w:color="auto"/>
            </w:tcBorders>
            <w:shd w:val="clear" w:color="auto" w:fill="auto"/>
            <w:vAlign w:val="center"/>
            <w:hideMark/>
          </w:tcPr>
          <w:p w14:paraId="65E18359"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ABF.E523</w:t>
            </w:r>
          </w:p>
        </w:tc>
        <w:tc>
          <w:tcPr>
            <w:tcW w:w="1559" w:type="dxa"/>
            <w:gridSpan w:val="2"/>
            <w:tcBorders>
              <w:top w:val="nil"/>
              <w:left w:val="nil"/>
              <w:bottom w:val="nil"/>
              <w:right w:val="single" w:sz="8" w:space="0" w:color="auto"/>
            </w:tcBorders>
            <w:shd w:val="clear" w:color="auto" w:fill="auto"/>
            <w:vAlign w:val="center"/>
            <w:hideMark/>
          </w:tcPr>
          <w:p w14:paraId="1778DF60"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ABF.F523</w:t>
            </w:r>
          </w:p>
        </w:tc>
        <w:tc>
          <w:tcPr>
            <w:tcW w:w="1134" w:type="dxa"/>
            <w:gridSpan w:val="2"/>
            <w:tcBorders>
              <w:top w:val="nil"/>
              <w:left w:val="nil"/>
              <w:bottom w:val="nil"/>
              <w:right w:val="single" w:sz="8" w:space="0" w:color="auto"/>
            </w:tcBorders>
            <w:shd w:val="clear" w:color="auto" w:fill="auto"/>
            <w:vAlign w:val="center"/>
            <w:hideMark/>
          </w:tcPr>
          <w:p w14:paraId="131E2AE3"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ABF.G523</w:t>
            </w:r>
          </w:p>
        </w:tc>
      </w:tr>
      <w:tr w:rsidR="00D73956" w:rsidRPr="00D73956" w14:paraId="3C6B76C2"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09B0B0F5"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351 - SUPERÁVIT FINANCEIRO - PROGRAMA DE APOIO SISTEMA DE ENSINO PARA ATENDIMENTO AO EJA</w:t>
            </w:r>
          </w:p>
        </w:tc>
        <w:tc>
          <w:tcPr>
            <w:tcW w:w="1276" w:type="dxa"/>
            <w:tcBorders>
              <w:top w:val="nil"/>
              <w:left w:val="nil"/>
              <w:bottom w:val="nil"/>
              <w:right w:val="single" w:sz="8" w:space="0" w:color="auto"/>
            </w:tcBorders>
            <w:shd w:val="clear" w:color="auto" w:fill="auto"/>
            <w:vAlign w:val="center"/>
            <w:hideMark/>
          </w:tcPr>
          <w:p w14:paraId="5A8159CE"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ABF.B524</w:t>
            </w:r>
          </w:p>
        </w:tc>
        <w:tc>
          <w:tcPr>
            <w:tcW w:w="1559" w:type="dxa"/>
            <w:tcBorders>
              <w:top w:val="nil"/>
              <w:left w:val="nil"/>
              <w:bottom w:val="nil"/>
              <w:right w:val="single" w:sz="8" w:space="0" w:color="auto"/>
            </w:tcBorders>
            <w:shd w:val="clear" w:color="auto" w:fill="auto"/>
            <w:vAlign w:val="center"/>
            <w:hideMark/>
          </w:tcPr>
          <w:p w14:paraId="2F5F1385"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ABF.C524</w:t>
            </w:r>
          </w:p>
        </w:tc>
        <w:tc>
          <w:tcPr>
            <w:tcW w:w="1417" w:type="dxa"/>
            <w:tcBorders>
              <w:top w:val="nil"/>
              <w:left w:val="nil"/>
              <w:bottom w:val="nil"/>
              <w:right w:val="single" w:sz="8" w:space="0" w:color="auto"/>
            </w:tcBorders>
            <w:shd w:val="clear" w:color="auto" w:fill="auto"/>
            <w:vAlign w:val="center"/>
            <w:hideMark/>
          </w:tcPr>
          <w:p w14:paraId="6D7CAD6E"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ABF.D524</w:t>
            </w:r>
          </w:p>
        </w:tc>
        <w:tc>
          <w:tcPr>
            <w:tcW w:w="1276" w:type="dxa"/>
            <w:tcBorders>
              <w:top w:val="nil"/>
              <w:left w:val="nil"/>
              <w:bottom w:val="nil"/>
              <w:right w:val="single" w:sz="8" w:space="0" w:color="auto"/>
            </w:tcBorders>
            <w:shd w:val="clear" w:color="auto" w:fill="auto"/>
            <w:vAlign w:val="center"/>
            <w:hideMark/>
          </w:tcPr>
          <w:p w14:paraId="6316462D"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ABF.E524</w:t>
            </w:r>
          </w:p>
        </w:tc>
        <w:tc>
          <w:tcPr>
            <w:tcW w:w="1559" w:type="dxa"/>
            <w:gridSpan w:val="2"/>
            <w:tcBorders>
              <w:top w:val="nil"/>
              <w:left w:val="nil"/>
              <w:bottom w:val="nil"/>
              <w:right w:val="single" w:sz="8" w:space="0" w:color="auto"/>
            </w:tcBorders>
            <w:shd w:val="clear" w:color="auto" w:fill="auto"/>
            <w:vAlign w:val="center"/>
            <w:hideMark/>
          </w:tcPr>
          <w:p w14:paraId="688F17DE"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ABF.F524</w:t>
            </w:r>
          </w:p>
        </w:tc>
        <w:tc>
          <w:tcPr>
            <w:tcW w:w="1134" w:type="dxa"/>
            <w:gridSpan w:val="2"/>
            <w:tcBorders>
              <w:top w:val="nil"/>
              <w:left w:val="nil"/>
              <w:bottom w:val="nil"/>
              <w:right w:val="single" w:sz="8" w:space="0" w:color="auto"/>
            </w:tcBorders>
            <w:shd w:val="clear" w:color="auto" w:fill="auto"/>
            <w:vAlign w:val="center"/>
            <w:hideMark/>
          </w:tcPr>
          <w:p w14:paraId="54939296"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ABF.G524</w:t>
            </w:r>
          </w:p>
        </w:tc>
      </w:tr>
      <w:tr w:rsidR="00D73956" w:rsidRPr="00D73956" w14:paraId="2BDC5BC2"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01B7CA65"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352 - SUPERÁVIT FINANCEIRO - PROGRAMA DE FOMENTO ÀS ESCOLAS DE ENSINO MÉDIO EM TEMPO INTEGRAL</w:t>
            </w:r>
          </w:p>
        </w:tc>
        <w:tc>
          <w:tcPr>
            <w:tcW w:w="1276" w:type="dxa"/>
            <w:tcBorders>
              <w:top w:val="nil"/>
              <w:left w:val="nil"/>
              <w:bottom w:val="nil"/>
              <w:right w:val="single" w:sz="8" w:space="0" w:color="auto"/>
            </w:tcBorders>
            <w:shd w:val="clear" w:color="auto" w:fill="auto"/>
            <w:vAlign w:val="center"/>
            <w:hideMark/>
          </w:tcPr>
          <w:p w14:paraId="02DC36F9"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ABF.B525</w:t>
            </w:r>
          </w:p>
        </w:tc>
        <w:tc>
          <w:tcPr>
            <w:tcW w:w="1559" w:type="dxa"/>
            <w:tcBorders>
              <w:top w:val="nil"/>
              <w:left w:val="nil"/>
              <w:bottom w:val="nil"/>
              <w:right w:val="single" w:sz="8" w:space="0" w:color="auto"/>
            </w:tcBorders>
            <w:shd w:val="clear" w:color="auto" w:fill="auto"/>
            <w:vAlign w:val="center"/>
            <w:hideMark/>
          </w:tcPr>
          <w:p w14:paraId="55359D5D"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ABF.C525</w:t>
            </w:r>
          </w:p>
        </w:tc>
        <w:tc>
          <w:tcPr>
            <w:tcW w:w="1417" w:type="dxa"/>
            <w:tcBorders>
              <w:top w:val="nil"/>
              <w:left w:val="nil"/>
              <w:bottom w:val="nil"/>
              <w:right w:val="single" w:sz="8" w:space="0" w:color="auto"/>
            </w:tcBorders>
            <w:shd w:val="clear" w:color="auto" w:fill="auto"/>
            <w:vAlign w:val="center"/>
            <w:hideMark/>
          </w:tcPr>
          <w:p w14:paraId="04E2DE63"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ABF.D525</w:t>
            </w:r>
          </w:p>
        </w:tc>
        <w:tc>
          <w:tcPr>
            <w:tcW w:w="1276" w:type="dxa"/>
            <w:tcBorders>
              <w:top w:val="nil"/>
              <w:left w:val="nil"/>
              <w:bottom w:val="nil"/>
              <w:right w:val="single" w:sz="8" w:space="0" w:color="auto"/>
            </w:tcBorders>
            <w:shd w:val="clear" w:color="auto" w:fill="auto"/>
            <w:vAlign w:val="center"/>
            <w:hideMark/>
          </w:tcPr>
          <w:p w14:paraId="0E7A337D"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ABF.E525</w:t>
            </w:r>
          </w:p>
        </w:tc>
        <w:tc>
          <w:tcPr>
            <w:tcW w:w="1559" w:type="dxa"/>
            <w:gridSpan w:val="2"/>
            <w:tcBorders>
              <w:top w:val="nil"/>
              <w:left w:val="nil"/>
              <w:bottom w:val="nil"/>
              <w:right w:val="single" w:sz="8" w:space="0" w:color="auto"/>
            </w:tcBorders>
            <w:shd w:val="clear" w:color="auto" w:fill="auto"/>
            <w:vAlign w:val="center"/>
            <w:hideMark/>
          </w:tcPr>
          <w:p w14:paraId="01160CBE"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ABF.F525</w:t>
            </w:r>
          </w:p>
        </w:tc>
        <w:tc>
          <w:tcPr>
            <w:tcW w:w="1134" w:type="dxa"/>
            <w:gridSpan w:val="2"/>
            <w:tcBorders>
              <w:top w:val="nil"/>
              <w:left w:val="nil"/>
              <w:bottom w:val="nil"/>
              <w:right w:val="single" w:sz="8" w:space="0" w:color="auto"/>
            </w:tcBorders>
            <w:shd w:val="clear" w:color="auto" w:fill="auto"/>
            <w:vAlign w:val="center"/>
            <w:hideMark/>
          </w:tcPr>
          <w:p w14:paraId="45F38FB1"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ABF.G525</w:t>
            </w:r>
          </w:p>
        </w:tc>
      </w:tr>
      <w:tr w:rsidR="00D73956" w:rsidRPr="00D73956" w14:paraId="7EAB5240"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3FB8FA58"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365 - SUPERÁVIT FINANCEIRO - PRONATEC</w:t>
            </w:r>
          </w:p>
        </w:tc>
        <w:tc>
          <w:tcPr>
            <w:tcW w:w="1276" w:type="dxa"/>
            <w:tcBorders>
              <w:top w:val="nil"/>
              <w:left w:val="nil"/>
              <w:bottom w:val="nil"/>
              <w:right w:val="single" w:sz="8" w:space="0" w:color="auto"/>
            </w:tcBorders>
            <w:shd w:val="clear" w:color="auto" w:fill="auto"/>
            <w:vAlign w:val="center"/>
            <w:hideMark/>
          </w:tcPr>
          <w:p w14:paraId="3668C5C8"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ABF.B526</w:t>
            </w:r>
          </w:p>
        </w:tc>
        <w:tc>
          <w:tcPr>
            <w:tcW w:w="1559" w:type="dxa"/>
            <w:tcBorders>
              <w:top w:val="nil"/>
              <w:left w:val="nil"/>
              <w:bottom w:val="nil"/>
              <w:right w:val="single" w:sz="8" w:space="0" w:color="auto"/>
            </w:tcBorders>
            <w:shd w:val="clear" w:color="auto" w:fill="auto"/>
            <w:vAlign w:val="center"/>
            <w:hideMark/>
          </w:tcPr>
          <w:p w14:paraId="6C784BE4"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ABF.C526</w:t>
            </w:r>
          </w:p>
        </w:tc>
        <w:tc>
          <w:tcPr>
            <w:tcW w:w="1417" w:type="dxa"/>
            <w:tcBorders>
              <w:top w:val="nil"/>
              <w:left w:val="nil"/>
              <w:bottom w:val="nil"/>
              <w:right w:val="single" w:sz="8" w:space="0" w:color="auto"/>
            </w:tcBorders>
            <w:shd w:val="clear" w:color="auto" w:fill="auto"/>
            <w:vAlign w:val="center"/>
            <w:hideMark/>
          </w:tcPr>
          <w:p w14:paraId="5E04598B"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ABF.D526</w:t>
            </w:r>
          </w:p>
        </w:tc>
        <w:tc>
          <w:tcPr>
            <w:tcW w:w="1276" w:type="dxa"/>
            <w:tcBorders>
              <w:top w:val="nil"/>
              <w:left w:val="nil"/>
              <w:bottom w:val="nil"/>
              <w:right w:val="single" w:sz="8" w:space="0" w:color="auto"/>
            </w:tcBorders>
            <w:shd w:val="clear" w:color="auto" w:fill="auto"/>
            <w:vAlign w:val="center"/>
            <w:hideMark/>
          </w:tcPr>
          <w:p w14:paraId="67EC231A"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ABF.E526</w:t>
            </w:r>
          </w:p>
        </w:tc>
        <w:tc>
          <w:tcPr>
            <w:tcW w:w="1559" w:type="dxa"/>
            <w:gridSpan w:val="2"/>
            <w:tcBorders>
              <w:top w:val="nil"/>
              <w:left w:val="nil"/>
              <w:bottom w:val="nil"/>
              <w:right w:val="single" w:sz="8" w:space="0" w:color="auto"/>
            </w:tcBorders>
            <w:shd w:val="clear" w:color="auto" w:fill="auto"/>
            <w:vAlign w:val="center"/>
            <w:hideMark/>
          </w:tcPr>
          <w:p w14:paraId="690B9514"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ABF.F526</w:t>
            </w:r>
          </w:p>
        </w:tc>
        <w:tc>
          <w:tcPr>
            <w:tcW w:w="1134" w:type="dxa"/>
            <w:gridSpan w:val="2"/>
            <w:tcBorders>
              <w:top w:val="nil"/>
              <w:left w:val="nil"/>
              <w:bottom w:val="nil"/>
              <w:right w:val="single" w:sz="8" w:space="0" w:color="auto"/>
            </w:tcBorders>
            <w:shd w:val="clear" w:color="auto" w:fill="auto"/>
            <w:vAlign w:val="center"/>
            <w:hideMark/>
          </w:tcPr>
          <w:p w14:paraId="7C630B09"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ABF.G526</w:t>
            </w:r>
          </w:p>
        </w:tc>
      </w:tr>
      <w:tr w:rsidR="00D73956" w:rsidRPr="00D73956" w14:paraId="287ABF75"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0D7F565E" w14:textId="77777777" w:rsidR="00D73956" w:rsidRPr="00D73956" w:rsidRDefault="00D73956" w:rsidP="006A139B">
            <w:pPr>
              <w:spacing w:after="0" w:line="240" w:lineRule="auto"/>
              <w:ind w:firstLineChars="100" w:firstLine="161"/>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 xml:space="preserve">  Recursos Vinculados à Saúde</w:t>
            </w:r>
          </w:p>
        </w:tc>
        <w:tc>
          <w:tcPr>
            <w:tcW w:w="1276" w:type="dxa"/>
            <w:tcBorders>
              <w:top w:val="nil"/>
              <w:left w:val="nil"/>
              <w:bottom w:val="nil"/>
              <w:right w:val="single" w:sz="8" w:space="0" w:color="auto"/>
            </w:tcBorders>
            <w:shd w:val="clear" w:color="auto" w:fill="auto"/>
            <w:vAlign w:val="center"/>
            <w:hideMark/>
          </w:tcPr>
          <w:p w14:paraId="69210407" w14:textId="77777777" w:rsidR="00D73956" w:rsidRPr="00D73956" w:rsidRDefault="00D73956" w:rsidP="006A139B">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ABF.B026</w:t>
            </w:r>
          </w:p>
        </w:tc>
        <w:tc>
          <w:tcPr>
            <w:tcW w:w="1559" w:type="dxa"/>
            <w:tcBorders>
              <w:top w:val="nil"/>
              <w:left w:val="nil"/>
              <w:bottom w:val="nil"/>
              <w:right w:val="single" w:sz="8" w:space="0" w:color="auto"/>
            </w:tcBorders>
            <w:shd w:val="clear" w:color="auto" w:fill="auto"/>
            <w:vAlign w:val="center"/>
            <w:hideMark/>
          </w:tcPr>
          <w:p w14:paraId="32A45D01" w14:textId="77777777" w:rsidR="00D73956" w:rsidRPr="00D73956" w:rsidRDefault="00D73956" w:rsidP="006A139B">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ABF.C026</w:t>
            </w:r>
          </w:p>
        </w:tc>
        <w:tc>
          <w:tcPr>
            <w:tcW w:w="1417" w:type="dxa"/>
            <w:tcBorders>
              <w:top w:val="nil"/>
              <w:left w:val="nil"/>
              <w:bottom w:val="nil"/>
              <w:right w:val="single" w:sz="8" w:space="0" w:color="auto"/>
            </w:tcBorders>
            <w:shd w:val="clear" w:color="auto" w:fill="auto"/>
            <w:vAlign w:val="center"/>
            <w:hideMark/>
          </w:tcPr>
          <w:p w14:paraId="6690CEBF" w14:textId="77777777" w:rsidR="00D73956" w:rsidRPr="00D73956" w:rsidRDefault="00D73956" w:rsidP="006A139B">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ABF.D026</w:t>
            </w:r>
          </w:p>
        </w:tc>
        <w:tc>
          <w:tcPr>
            <w:tcW w:w="1276" w:type="dxa"/>
            <w:tcBorders>
              <w:top w:val="nil"/>
              <w:left w:val="nil"/>
              <w:bottom w:val="nil"/>
              <w:right w:val="single" w:sz="8" w:space="0" w:color="auto"/>
            </w:tcBorders>
            <w:shd w:val="clear" w:color="auto" w:fill="auto"/>
            <w:vAlign w:val="center"/>
            <w:hideMark/>
          </w:tcPr>
          <w:p w14:paraId="5C5857FE" w14:textId="77777777" w:rsidR="00D73956" w:rsidRPr="00D73956" w:rsidRDefault="00D73956" w:rsidP="006A139B">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ABF.E026</w:t>
            </w:r>
          </w:p>
        </w:tc>
        <w:tc>
          <w:tcPr>
            <w:tcW w:w="1559" w:type="dxa"/>
            <w:gridSpan w:val="2"/>
            <w:tcBorders>
              <w:top w:val="nil"/>
              <w:left w:val="nil"/>
              <w:bottom w:val="nil"/>
              <w:right w:val="single" w:sz="8" w:space="0" w:color="auto"/>
            </w:tcBorders>
            <w:shd w:val="clear" w:color="auto" w:fill="auto"/>
            <w:vAlign w:val="center"/>
            <w:hideMark/>
          </w:tcPr>
          <w:p w14:paraId="4434869C" w14:textId="77777777" w:rsidR="00D73956" w:rsidRPr="00D73956" w:rsidRDefault="00D73956" w:rsidP="006A139B">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ABF.F026</w:t>
            </w:r>
          </w:p>
        </w:tc>
        <w:tc>
          <w:tcPr>
            <w:tcW w:w="1134" w:type="dxa"/>
            <w:gridSpan w:val="2"/>
            <w:tcBorders>
              <w:top w:val="nil"/>
              <w:left w:val="nil"/>
              <w:bottom w:val="nil"/>
              <w:right w:val="single" w:sz="8" w:space="0" w:color="auto"/>
            </w:tcBorders>
            <w:shd w:val="clear" w:color="auto" w:fill="auto"/>
            <w:vAlign w:val="center"/>
            <w:hideMark/>
          </w:tcPr>
          <w:p w14:paraId="2E1CF89F" w14:textId="77777777" w:rsidR="00D73956" w:rsidRPr="00D73956" w:rsidRDefault="00D73956" w:rsidP="006A139B">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ABF.G026</w:t>
            </w:r>
          </w:p>
        </w:tc>
      </w:tr>
      <w:tr w:rsidR="00D73956" w:rsidRPr="00D73956" w14:paraId="04C35EDC"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080FC13A"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104 - AÇÕES E SERVIÇOS DE SAÚDE</w:t>
            </w:r>
          </w:p>
        </w:tc>
        <w:tc>
          <w:tcPr>
            <w:tcW w:w="1276" w:type="dxa"/>
            <w:tcBorders>
              <w:top w:val="nil"/>
              <w:left w:val="nil"/>
              <w:bottom w:val="nil"/>
              <w:right w:val="single" w:sz="8" w:space="0" w:color="auto"/>
            </w:tcBorders>
            <w:shd w:val="clear" w:color="auto" w:fill="auto"/>
            <w:vAlign w:val="center"/>
            <w:hideMark/>
          </w:tcPr>
          <w:p w14:paraId="5F7479C0"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ABF.B527</w:t>
            </w:r>
          </w:p>
        </w:tc>
        <w:tc>
          <w:tcPr>
            <w:tcW w:w="1559" w:type="dxa"/>
            <w:tcBorders>
              <w:top w:val="nil"/>
              <w:left w:val="nil"/>
              <w:bottom w:val="nil"/>
              <w:right w:val="single" w:sz="8" w:space="0" w:color="auto"/>
            </w:tcBorders>
            <w:shd w:val="clear" w:color="auto" w:fill="auto"/>
            <w:vAlign w:val="center"/>
            <w:hideMark/>
          </w:tcPr>
          <w:p w14:paraId="126FB6FC"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ABF.C527</w:t>
            </w:r>
          </w:p>
        </w:tc>
        <w:tc>
          <w:tcPr>
            <w:tcW w:w="1417" w:type="dxa"/>
            <w:tcBorders>
              <w:top w:val="nil"/>
              <w:left w:val="nil"/>
              <w:bottom w:val="nil"/>
              <w:right w:val="single" w:sz="8" w:space="0" w:color="auto"/>
            </w:tcBorders>
            <w:shd w:val="clear" w:color="auto" w:fill="auto"/>
            <w:vAlign w:val="center"/>
            <w:hideMark/>
          </w:tcPr>
          <w:p w14:paraId="62CB9B2A"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ABF.D527</w:t>
            </w:r>
          </w:p>
        </w:tc>
        <w:tc>
          <w:tcPr>
            <w:tcW w:w="1276" w:type="dxa"/>
            <w:tcBorders>
              <w:top w:val="nil"/>
              <w:left w:val="nil"/>
              <w:bottom w:val="nil"/>
              <w:right w:val="single" w:sz="8" w:space="0" w:color="auto"/>
            </w:tcBorders>
            <w:shd w:val="clear" w:color="auto" w:fill="auto"/>
            <w:vAlign w:val="center"/>
            <w:hideMark/>
          </w:tcPr>
          <w:p w14:paraId="380C8E3F"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ABF.E527</w:t>
            </w:r>
          </w:p>
        </w:tc>
        <w:tc>
          <w:tcPr>
            <w:tcW w:w="1559" w:type="dxa"/>
            <w:gridSpan w:val="2"/>
            <w:tcBorders>
              <w:top w:val="nil"/>
              <w:left w:val="nil"/>
              <w:bottom w:val="nil"/>
              <w:right w:val="single" w:sz="8" w:space="0" w:color="auto"/>
            </w:tcBorders>
            <w:shd w:val="clear" w:color="auto" w:fill="auto"/>
            <w:vAlign w:val="center"/>
            <w:hideMark/>
          </w:tcPr>
          <w:p w14:paraId="54B9E79E"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ABF.F527</w:t>
            </w:r>
          </w:p>
        </w:tc>
        <w:tc>
          <w:tcPr>
            <w:tcW w:w="1134" w:type="dxa"/>
            <w:gridSpan w:val="2"/>
            <w:tcBorders>
              <w:top w:val="nil"/>
              <w:left w:val="nil"/>
              <w:bottom w:val="nil"/>
              <w:right w:val="single" w:sz="8" w:space="0" w:color="auto"/>
            </w:tcBorders>
            <w:shd w:val="clear" w:color="auto" w:fill="auto"/>
            <w:vAlign w:val="center"/>
            <w:hideMark/>
          </w:tcPr>
          <w:p w14:paraId="7AF78557"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ABF.G527</w:t>
            </w:r>
          </w:p>
        </w:tc>
      </w:tr>
      <w:tr w:rsidR="00D73956" w:rsidRPr="00D73956" w14:paraId="5324AE9D"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561AC1F6"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130 - PROGRAMA FEDERATIVO DE ENFRENTAMENTO AO COVID-19 VINCULADO ÀS AÇÕES DE SAÚDE E ASSISTÊNCIA SOCIAL – LC 173/20</w:t>
            </w:r>
          </w:p>
        </w:tc>
        <w:tc>
          <w:tcPr>
            <w:tcW w:w="1276" w:type="dxa"/>
            <w:tcBorders>
              <w:top w:val="nil"/>
              <w:left w:val="nil"/>
              <w:bottom w:val="nil"/>
              <w:right w:val="single" w:sz="8" w:space="0" w:color="auto"/>
            </w:tcBorders>
            <w:shd w:val="clear" w:color="auto" w:fill="auto"/>
            <w:vAlign w:val="center"/>
            <w:hideMark/>
          </w:tcPr>
          <w:p w14:paraId="5B8FE25E"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ABF.B596</w:t>
            </w:r>
          </w:p>
        </w:tc>
        <w:tc>
          <w:tcPr>
            <w:tcW w:w="1559" w:type="dxa"/>
            <w:tcBorders>
              <w:top w:val="nil"/>
              <w:left w:val="nil"/>
              <w:bottom w:val="nil"/>
              <w:right w:val="single" w:sz="8" w:space="0" w:color="auto"/>
            </w:tcBorders>
            <w:shd w:val="clear" w:color="auto" w:fill="auto"/>
            <w:vAlign w:val="center"/>
            <w:hideMark/>
          </w:tcPr>
          <w:p w14:paraId="39EC0E7C"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ABF.C596</w:t>
            </w:r>
          </w:p>
        </w:tc>
        <w:tc>
          <w:tcPr>
            <w:tcW w:w="1417" w:type="dxa"/>
            <w:tcBorders>
              <w:top w:val="nil"/>
              <w:left w:val="nil"/>
              <w:bottom w:val="nil"/>
              <w:right w:val="single" w:sz="8" w:space="0" w:color="auto"/>
            </w:tcBorders>
            <w:shd w:val="clear" w:color="auto" w:fill="auto"/>
            <w:vAlign w:val="center"/>
            <w:hideMark/>
          </w:tcPr>
          <w:p w14:paraId="2FF478D3"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ABF.D596</w:t>
            </w:r>
          </w:p>
        </w:tc>
        <w:tc>
          <w:tcPr>
            <w:tcW w:w="1276" w:type="dxa"/>
            <w:tcBorders>
              <w:top w:val="nil"/>
              <w:left w:val="nil"/>
              <w:bottom w:val="nil"/>
              <w:right w:val="single" w:sz="8" w:space="0" w:color="auto"/>
            </w:tcBorders>
            <w:shd w:val="clear" w:color="auto" w:fill="auto"/>
            <w:vAlign w:val="center"/>
            <w:hideMark/>
          </w:tcPr>
          <w:p w14:paraId="50CBFEF5"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ABF.E596</w:t>
            </w:r>
          </w:p>
        </w:tc>
        <w:tc>
          <w:tcPr>
            <w:tcW w:w="1559" w:type="dxa"/>
            <w:gridSpan w:val="2"/>
            <w:tcBorders>
              <w:top w:val="nil"/>
              <w:left w:val="nil"/>
              <w:bottom w:val="nil"/>
              <w:right w:val="single" w:sz="8" w:space="0" w:color="auto"/>
            </w:tcBorders>
            <w:shd w:val="clear" w:color="auto" w:fill="auto"/>
            <w:vAlign w:val="center"/>
            <w:hideMark/>
          </w:tcPr>
          <w:p w14:paraId="3D00E1B5"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ABF.F596</w:t>
            </w:r>
          </w:p>
        </w:tc>
        <w:tc>
          <w:tcPr>
            <w:tcW w:w="1134" w:type="dxa"/>
            <w:gridSpan w:val="2"/>
            <w:tcBorders>
              <w:top w:val="nil"/>
              <w:left w:val="nil"/>
              <w:bottom w:val="nil"/>
              <w:right w:val="single" w:sz="8" w:space="0" w:color="auto"/>
            </w:tcBorders>
            <w:shd w:val="clear" w:color="auto" w:fill="auto"/>
            <w:vAlign w:val="center"/>
            <w:hideMark/>
          </w:tcPr>
          <w:p w14:paraId="65DFBB63"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ABF.G596</w:t>
            </w:r>
          </w:p>
        </w:tc>
      </w:tr>
      <w:tr w:rsidR="00D73956" w:rsidRPr="00D73956" w14:paraId="5A3FDB52"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414B9B38"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134 - INCENTIVO SUS - UNIÃO</w:t>
            </w:r>
          </w:p>
        </w:tc>
        <w:tc>
          <w:tcPr>
            <w:tcW w:w="1276" w:type="dxa"/>
            <w:tcBorders>
              <w:top w:val="nil"/>
              <w:left w:val="nil"/>
              <w:bottom w:val="nil"/>
              <w:right w:val="single" w:sz="8" w:space="0" w:color="auto"/>
            </w:tcBorders>
            <w:shd w:val="clear" w:color="auto" w:fill="auto"/>
            <w:vAlign w:val="center"/>
            <w:hideMark/>
          </w:tcPr>
          <w:p w14:paraId="0C8E998D"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ABF.B528</w:t>
            </w:r>
          </w:p>
        </w:tc>
        <w:tc>
          <w:tcPr>
            <w:tcW w:w="1559" w:type="dxa"/>
            <w:tcBorders>
              <w:top w:val="nil"/>
              <w:left w:val="nil"/>
              <w:bottom w:val="nil"/>
              <w:right w:val="single" w:sz="8" w:space="0" w:color="auto"/>
            </w:tcBorders>
            <w:shd w:val="clear" w:color="auto" w:fill="auto"/>
            <w:vAlign w:val="center"/>
            <w:hideMark/>
          </w:tcPr>
          <w:p w14:paraId="55A56068"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ABF.C528</w:t>
            </w:r>
          </w:p>
        </w:tc>
        <w:tc>
          <w:tcPr>
            <w:tcW w:w="1417" w:type="dxa"/>
            <w:tcBorders>
              <w:top w:val="nil"/>
              <w:left w:val="nil"/>
              <w:bottom w:val="nil"/>
              <w:right w:val="single" w:sz="8" w:space="0" w:color="auto"/>
            </w:tcBorders>
            <w:shd w:val="clear" w:color="auto" w:fill="auto"/>
            <w:vAlign w:val="center"/>
            <w:hideMark/>
          </w:tcPr>
          <w:p w14:paraId="447059BC"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ABF.D528</w:t>
            </w:r>
          </w:p>
        </w:tc>
        <w:tc>
          <w:tcPr>
            <w:tcW w:w="1276" w:type="dxa"/>
            <w:tcBorders>
              <w:top w:val="nil"/>
              <w:left w:val="nil"/>
              <w:bottom w:val="nil"/>
              <w:right w:val="single" w:sz="8" w:space="0" w:color="auto"/>
            </w:tcBorders>
            <w:shd w:val="clear" w:color="auto" w:fill="auto"/>
            <w:vAlign w:val="center"/>
            <w:hideMark/>
          </w:tcPr>
          <w:p w14:paraId="252F66FA"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ABF.E528</w:t>
            </w:r>
          </w:p>
        </w:tc>
        <w:tc>
          <w:tcPr>
            <w:tcW w:w="1559" w:type="dxa"/>
            <w:gridSpan w:val="2"/>
            <w:tcBorders>
              <w:top w:val="nil"/>
              <w:left w:val="nil"/>
              <w:bottom w:val="nil"/>
              <w:right w:val="single" w:sz="8" w:space="0" w:color="auto"/>
            </w:tcBorders>
            <w:shd w:val="clear" w:color="auto" w:fill="auto"/>
            <w:vAlign w:val="center"/>
            <w:hideMark/>
          </w:tcPr>
          <w:p w14:paraId="268E4AF4"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ABF.F528</w:t>
            </w:r>
          </w:p>
        </w:tc>
        <w:tc>
          <w:tcPr>
            <w:tcW w:w="1134" w:type="dxa"/>
            <w:gridSpan w:val="2"/>
            <w:tcBorders>
              <w:top w:val="nil"/>
              <w:left w:val="nil"/>
              <w:bottom w:val="nil"/>
              <w:right w:val="single" w:sz="8" w:space="0" w:color="auto"/>
            </w:tcBorders>
            <w:shd w:val="clear" w:color="auto" w:fill="auto"/>
            <w:vAlign w:val="center"/>
            <w:hideMark/>
          </w:tcPr>
          <w:p w14:paraId="3BDE4D14"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ABF.G528</w:t>
            </w:r>
          </w:p>
        </w:tc>
      </w:tr>
      <w:tr w:rsidR="00D73956" w:rsidRPr="00D73956" w14:paraId="1512B8F2"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5ECDB792"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135 - SUS - PRODUÇÃO</w:t>
            </w:r>
          </w:p>
        </w:tc>
        <w:tc>
          <w:tcPr>
            <w:tcW w:w="1276" w:type="dxa"/>
            <w:tcBorders>
              <w:top w:val="nil"/>
              <w:left w:val="nil"/>
              <w:bottom w:val="nil"/>
              <w:right w:val="single" w:sz="8" w:space="0" w:color="auto"/>
            </w:tcBorders>
            <w:shd w:val="clear" w:color="auto" w:fill="auto"/>
            <w:vAlign w:val="center"/>
            <w:hideMark/>
          </w:tcPr>
          <w:p w14:paraId="150853A1"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ABF.B529</w:t>
            </w:r>
          </w:p>
        </w:tc>
        <w:tc>
          <w:tcPr>
            <w:tcW w:w="1559" w:type="dxa"/>
            <w:tcBorders>
              <w:top w:val="nil"/>
              <w:left w:val="nil"/>
              <w:bottom w:val="nil"/>
              <w:right w:val="single" w:sz="8" w:space="0" w:color="auto"/>
            </w:tcBorders>
            <w:shd w:val="clear" w:color="auto" w:fill="auto"/>
            <w:vAlign w:val="center"/>
            <w:hideMark/>
          </w:tcPr>
          <w:p w14:paraId="7B7CF710"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ABF.C529</w:t>
            </w:r>
          </w:p>
        </w:tc>
        <w:tc>
          <w:tcPr>
            <w:tcW w:w="1417" w:type="dxa"/>
            <w:tcBorders>
              <w:top w:val="nil"/>
              <w:left w:val="nil"/>
              <w:bottom w:val="nil"/>
              <w:right w:val="single" w:sz="8" w:space="0" w:color="auto"/>
            </w:tcBorders>
            <w:shd w:val="clear" w:color="auto" w:fill="auto"/>
            <w:vAlign w:val="center"/>
            <w:hideMark/>
          </w:tcPr>
          <w:p w14:paraId="041F2E22"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ABF.D529</w:t>
            </w:r>
          </w:p>
        </w:tc>
        <w:tc>
          <w:tcPr>
            <w:tcW w:w="1276" w:type="dxa"/>
            <w:tcBorders>
              <w:top w:val="nil"/>
              <w:left w:val="nil"/>
              <w:bottom w:val="nil"/>
              <w:right w:val="single" w:sz="8" w:space="0" w:color="auto"/>
            </w:tcBorders>
            <w:shd w:val="clear" w:color="auto" w:fill="auto"/>
            <w:vAlign w:val="center"/>
            <w:hideMark/>
          </w:tcPr>
          <w:p w14:paraId="3B3971A5"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ABF.E529</w:t>
            </w:r>
          </w:p>
        </w:tc>
        <w:tc>
          <w:tcPr>
            <w:tcW w:w="1559" w:type="dxa"/>
            <w:gridSpan w:val="2"/>
            <w:tcBorders>
              <w:top w:val="nil"/>
              <w:left w:val="nil"/>
              <w:bottom w:val="nil"/>
              <w:right w:val="single" w:sz="8" w:space="0" w:color="auto"/>
            </w:tcBorders>
            <w:shd w:val="clear" w:color="auto" w:fill="auto"/>
            <w:vAlign w:val="center"/>
            <w:hideMark/>
          </w:tcPr>
          <w:p w14:paraId="25C98FA0"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ABF.F529</w:t>
            </w:r>
          </w:p>
        </w:tc>
        <w:tc>
          <w:tcPr>
            <w:tcW w:w="1134" w:type="dxa"/>
            <w:gridSpan w:val="2"/>
            <w:tcBorders>
              <w:top w:val="nil"/>
              <w:left w:val="nil"/>
              <w:bottom w:val="nil"/>
              <w:right w:val="single" w:sz="8" w:space="0" w:color="auto"/>
            </w:tcBorders>
            <w:shd w:val="clear" w:color="auto" w:fill="auto"/>
            <w:vAlign w:val="center"/>
            <w:hideMark/>
          </w:tcPr>
          <w:p w14:paraId="4097A7F2"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ABF.G529</w:t>
            </w:r>
          </w:p>
        </w:tc>
      </w:tr>
      <w:tr w:rsidR="00D73956" w:rsidRPr="00D73956" w14:paraId="0C0EC03A"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0A4DE114"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155 - BLOCO DE CUSTEIO DAS AÇÕES E SERVIÇOS PÚBLICOS DE SAÚDE - SUS - FEDERAL</w:t>
            </w:r>
          </w:p>
        </w:tc>
        <w:tc>
          <w:tcPr>
            <w:tcW w:w="1276" w:type="dxa"/>
            <w:tcBorders>
              <w:top w:val="nil"/>
              <w:left w:val="nil"/>
              <w:bottom w:val="nil"/>
              <w:right w:val="single" w:sz="8" w:space="0" w:color="auto"/>
            </w:tcBorders>
            <w:shd w:val="clear" w:color="auto" w:fill="auto"/>
            <w:vAlign w:val="center"/>
            <w:hideMark/>
          </w:tcPr>
          <w:p w14:paraId="68C0627A"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ABF.B592</w:t>
            </w:r>
          </w:p>
        </w:tc>
        <w:tc>
          <w:tcPr>
            <w:tcW w:w="1559" w:type="dxa"/>
            <w:tcBorders>
              <w:top w:val="nil"/>
              <w:left w:val="nil"/>
              <w:bottom w:val="nil"/>
              <w:right w:val="single" w:sz="8" w:space="0" w:color="auto"/>
            </w:tcBorders>
            <w:shd w:val="clear" w:color="auto" w:fill="auto"/>
            <w:vAlign w:val="center"/>
            <w:hideMark/>
          </w:tcPr>
          <w:p w14:paraId="378ED496"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ABF.C592</w:t>
            </w:r>
          </w:p>
        </w:tc>
        <w:tc>
          <w:tcPr>
            <w:tcW w:w="1417" w:type="dxa"/>
            <w:tcBorders>
              <w:top w:val="nil"/>
              <w:left w:val="nil"/>
              <w:bottom w:val="nil"/>
              <w:right w:val="single" w:sz="8" w:space="0" w:color="auto"/>
            </w:tcBorders>
            <w:shd w:val="clear" w:color="auto" w:fill="auto"/>
            <w:vAlign w:val="center"/>
            <w:hideMark/>
          </w:tcPr>
          <w:p w14:paraId="7D7E5867"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ABF.D592</w:t>
            </w:r>
          </w:p>
        </w:tc>
        <w:tc>
          <w:tcPr>
            <w:tcW w:w="1276" w:type="dxa"/>
            <w:tcBorders>
              <w:top w:val="nil"/>
              <w:left w:val="nil"/>
              <w:bottom w:val="nil"/>
              <w:right w:val="single" w:sz="8" w:space="0" w:color="auto"/>
            </w:tcBorders>
            <w:shd w:val="clear" w:color="auto" w:fill="auto"/>
            <w:vAlign w:val="center"/>
            <w:hideMark/>
          </w:tcPr>
          <w:p w14:paraId="7312666B"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ABF.E592</w:t>
            </w:r>
          </w:p>
        </w:tc>
        <w:tc>
          <w:tcPr>
            <w:tcW w:w="1559" w:type="dxa"/>
            <w:gridSpan w:val="2"/>
            <w:tcBorders>
              <w:top w:val="nil"/>
              <w:left w:val="nil"/>
              <w:bottom w:val="nil"/>
              <w:right w:val="single" w:sz="8" w:space="0" w:color="auto"/>
            </w:tcBorders>
            <w:shd w:val="clear" w:color="auto" w:fill="auto"/>
            <w:vAlign w:val="center"/>
            <w:hideMark/>
          </w:tcPr>
          <w:p w14:paraId="23F01294"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ABF.F592</w:t>
            </w:r>
          </w:p>
        </w:tc>
        <w:tc>
          <w:tcPr>
            <w:tcW w:w="1134" w:type="dxa"/>
            <w:gridSpan w:val="2"/>
            <w:tcBorders>
              <w:top w:val="nil"/>
              <w:left w:val="nil"/>
              <w:bottom w:val="nil"/>
              <w:right w:val="single" w:sz="8" w:space="0" w:color="auto"/>
            </w:tcBorders>
            <w:shd w:val="clear" w:color="auto" w:fill="auto"/>
            <w:vAlign w:val="center"/>
            <w:hideMark/>
          </w:tcPr>
          <w:p w14:paraId="4C058D69"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ABF.G592</w:t>
            </w:r>
          </w:p>
        </w:tc>
      </w:tr>
      <w:tr w:rsidR="00D73956" w:rsidRPr="00D73956" w14:paraId="3C1EBABD"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2CF124B3"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156 - BLOCO DE INVESTIMENTO NA REDE DE SERVIÇOS PÚBLICOS DE SAÚDE - SUS - FEDERAL</w:t>
            </w:r>
          </w:p>
        </w:tc>
        <w:tc>
          <w:tcPr>
            <w:tcW w:w="1276" w:type="dxa"/>
            <w:tcBorders>
              <w:top w:val="nil"/>
              <w:left w:val="nil"/>
              <w:bottom w:val="nil"/>
              <w:right w:val="single" w:sz="8" w:space="0" w:color="auto"/>
            </w:tcBorders>
            <w:shd w:val="clear" w:color="auto" w:fill="auto"/>
            <w:vAlign w:val="center"/>
            <w:hideMark/>
          </w:tcPr>
          <w:p w14:paraId="3A19A046"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ABF.B593</w:t>
            </w:r>
          </w:p>
        </w:tc>
        <w:tc>
          <w:tcPr>
            <w:tcW w:w="1559" w:type="dxa"/>
            <w:tcBorders>
              <w:top w:val="nil"/>
              <w:left w:val="nil"/>
              <w:bottom w:val="nil"/>
              <w:right w:val="single" w:sz="8" w:space="0" w:color="auto"/>
            </w:tcBorders>
            <w:shd w:val="clear" w:color="auto" w:fill="auto"/>
            <w:vAlign w:val="center"/>
            <w:hideMark/>
          </w:tcPr>
          <w:p w14:paraId="04266E95"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ABF.C593</w:t>
            </w:r>
          </w:p>
        </w:tc>
        <w:tc>
          <w:tcPr>
            <w:tcW w:w="1417" w:type="dxa"/>
            <w:tcBorders>
              <w:top w:val="nil"/>
              <w:left w:val="nil"/>
              <w:bottom w:val="nil"/>
              <w:right w:val="single" w:sz="8" w:space="0" w:color="auto"/>
            </w:tcBorders>
            <w:shd w:val="clear" w:color="auto" w:fill="auto"/>
            <w:vAlign w:val="center"/>
            <w:hideMark/>
          </w:tcPr>
          <w:p w14:paraId="516CF2BD"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ABF.D593</w:t>
            </w:r>
          </w:p>
        </w:tc>
        <w:tc>
          <w:tcPr>
            <w:tcW w:w="1276" w:type="dxa"/>
            <w:tcBorders>
              <w:top w:val="nil"/>
              <w:left w:val="nil"/>
              <w:bottom w:val="nil"/>
              <w:right w:val="single" w:sz="8" w:space="0" w:color="auto"/>
            </w:tcBorders>
            <w:shd w:val="clear" w:color="auto" w:fill="auto"/>
            <w:vAlign w:val="center"/>
            <w:hideMark/>
          </w:tcPr>
          <w:p w14:paraId="5BA927BB"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ABF.E593</w:t>
            </w:r>
          </w:p>
        </w:tc>
        <w:tc>
          <w:tcPr>
            <w:tcW w:w="1559" w:type="dxa"/>
            <w:gridSpan w:val="2"/>
            <w:tcBorders>
              <w:top w:val="nil"/>
              <w:left w:val="nil"/>
              <w:bottom w:val="nil"/>
              <w:right w:val="single" w:sz="8" w:space="0" w:color="auto"/>
            </w:tcBorders>
            <w:shd w:val="clear" w:color="auto" w:fill="auto"/>
            <w:vAlign w:val="center"/>
            <w:hideMark/>
          </w:tcPr>
          <w:p w14:paraId="0366206E"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ABF.F593</w:t>
            </w:r>
          </w:p>
        </w:tc>
        <w:tc>
          <w:tcPr>
            <w:tcW w:w="1134" w:type="dxa"/>
            <w:gridSpan w:val="2"/>
            <w:tcBorders>
              <w:top w:val="nil"/>
              <w:left w:val="nil"/>
              <w:bottom w:val="nil"/>
              <w:right w:val="single" w:sz="8" w:space="0" w:color="auto"/>
            </w:tcBorders>
            <w:shd w:val="clear" w:color="auto" w:fill="auto"/>
            <w:vAlign w:val="center"/>
            <w:hideMark/>
          </w:tcPr>
          <w:p w14:paraId="7FF6DA39"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ABF.G593</w:t>
            </w:r>
          </w:p>
        </w:tc>
      </w:tr>
      <w:tr w:rsidR="00D73956" w:rsidRPr="00D73956" w14:paraId="5740C2F3"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01EEAC39"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169 - DECISÕES JUDICIAIS DESTINADAS AO COMBATE DA COVID-19</w:t>
            </w:r>
          </w:p>
        </w:tc>
        <w:tc>
          <w:tcPr>
            <w:tcW w:w="1276" w:type="dxa"/>
            <w:tcBorders>
              <w:top w:val="nil"/>
              <w:left w:val="nil"/>
              <w:bottom w:val="nil"/>
              <w:right w:val="single" w:sz="8" w:space="0" w:color="auto"/>
            </w:tcBorders>
            <w:shd w:val="clear" w:color="auto" w:fill="auto"/>
            <w:vAlign w:val="center"/>
            <w:hideMark/>
          </w:tcPr>
          <w:p w14:paraId="3C51A5BA"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ABF.B597</w:t>
            </w:r>
          </w:p>
        </w:tc>
        <w:tc>
          <w:tcPr>
            <w:tcW w:w="1559" w:type="dxa"/>
            <w:tcBorders>
              <w:top w:val="nil"/>
              <w:left w:val="nil"/>
              <w:bottom w:val="nil"/>
              <w:right w:val="single" w:sz="8" w:space="0" w:color="auto"/>
            </w:tcBorders>
            <w:shd w:val="clear" w:color="auto" w:fill="auto"/>
            <w:vAlign w:val="center"/>
            <w:hideMark/>
          </w:tcPr>
          <w:p w14:paraId="234FB20E"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ABF.C597</w:t>
            </w:r>
          </w:p>
        </w:tc>
        <w:tc>
          <w:tcPr>
            <w:tcW w:w="1417" w:type="dxa"/>
            <w:tcBorders>
              <w:top w:val="nil"/>
              <w:left w:val="nil"/>
              <w:bottom w:val="nil"/>
              <w:right w:val="single" w:sz="8" w:space="0" w:color="auto"/>
            </w:tcBorders>
            <w:shd w:val="clear" w:color="auto" w:fill="auto"/>
            <w:vAlign w:val="center"/>
            <w:hideMark/>
          </w:tcPr>
          <w:p w14:paraId="436E99A1"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ABF.D597</w:t>
            </w:r>
          </w:p>
        </w:tc>
        <w:tc>
          <w:tcPr>
            <w:tcW w:w="1276" w:type="dxa"/>
            <w:tcBorders>
              <w:top w:val="nil"/>
              <w:left w:val="nil"/>
              <w:bottom w:val="nil"/>
              <w:right w:val="single" w:sz="8" w:space="0" w:color="auto"/>
            </w:tcBorders>
            <w:shd w:val="clear" w:color="auto" w:fill="auto"/>
            <w:vAlign w:val="center"/>
            <w:hideMark/>
          </w:tcPr>
          <w:p w14:paraId="05088777"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ABF.E597</w:t>
            </w:r>
          </w:p>
        </w:tc>
        <w:tc>
          <w:tcPr>
            <w:tcW w:w="1559" w:type="dxa"/>
            <w:gridSpan w:val="2"/>
            <w:tcBorders>
              <w:top w:val="nil"/>
              <w:left w:val="nil"/>
              <w:bottom w:val="nil"/>
              <w:right w:val="single" w:sz="8" w:space="0" w:color="auto"/>
            </w:tcBorders>
            <w:shd w:val="clear" w:color="auto" w:fill="auto"/>
            <w:vAlign w:val="center"/>
            <w:hideMark/>
          </w:tcPr>
          <w:p w14:paraId="334188C5"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ABF.F597</w:t>
            </w:r>
          </w:p>
        </w:tc>
        <w:tc>
          <w:tcPr>
            <w:tcW w:w="1134" w:type="dxa"/>
            <w:gridSpan w:val="2"/>
            <w:tcBorders>
              <w:top w:val="nil"/>
              <w:left w:val="nil"/>
              <w:bottom w:val="nil"/>
              <w:right w:val="single" w:sz="8" w:space="0" w:color="auto"/>
            </w:tcBorders>
            <w:shd w:val="clear" w:color="auto" w:fill="auto"/>
            <w:vAlign w:val="center"/>
            <w:hideMark/>
          </w:tcPr>
          <w:p w14:paraId="7428AB4E"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ABF.G597</w:t>
            </w:r>
          </w:p>
        </w:tc>
      </w:tr>
      <w:tr w:rsidR="00D73956" w:rsidRPr="00D73956" w14:paraId="27FC991A"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6A83C89B"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304 - SUPERÁVIT FINANCEIRO - AÇÕES E SERVIÇOS DE SAÚDE</w:t>
            </w:r>
          </w:p>
        </w:tc>
        <w:tc>
          <w:tcPr>
            <w:tcW w:w="1276" w:type="dxa"/>
            <w:tcBorders>
              <w:top w:val="nil"/>
              <w:left w:val="nil"/>
              <w:bottom w:val="nil"/>
              <w:right w:val="single" w:sz="8" w:space="0" w:color="auto"/>
            </w:tcBorders>
            <w:shd w:val="clear" w:color="auto" w:fill="auto"/>
            <w:vAlign w:val="center"/>
            <w:hideMark/>
          </w:tcPr>
          <w:p w14:paraId="5CB3C477"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ABF.B530</w:t>
            </w:r>
          </w:p>
        </w:tc>
        <w:tc>
          <w:tcPr>
            <w:tcW w:w="1559" w:type="dxa"/>
            <w:tcBorders>
              <w:top w:val="nil"/>
              <w:left w:val="nil"/>
              <w:bottom w:val="nil"/>
              <w:right w:val="single" w:sz="8" w:space="0" w:color="auto"/>
            </w:tcBorders>
            <w:shd w:val="clear" w:color="auto" w:fill="auto"/>
            <w:vAlign w:val="center"/>
            <w:hideMark/>
          </w:tcPr>
          <w:p w14:paraId="7784E11E"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ABF.C530</w:t>
            </w:r>
          </w:p>
        </w:tc>
        <w:tc>
          <w:tcPr>
            <w:tcW w:w="1417" w:type="dxa"/>
            <w:tcBorders>
              <w:top w:val="nil"/>
              <w:left w:val="nil"/>
              <w:bottom w:val="nil"/>
              <w:right w:val="single" w:sz="8" w:space="0" w:color="auto"/>
            </w:tcBorders>
            <w:shd w:val="clear" w:color="auto" w:fill="auto"/>
            <w:vAlign w:val="center"/>
            <w:hideMark/>
          </w:tcPr>
          <w:p w14:paraId="3FBD3E93"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ABF.D530</w:t>
            </w:r>
          </w:p>
        </w:tc>
        <w:tc>
          <w:tcPr>
            <w:tcW w:w="1276" w:type="dxa"/>
            <w:tcBorders>
              <w:top w:val="nil"/>
              <w:left w:val="nil"/>
              <w:bottom w:val="nil"/>
              <w:right w:val="single" w:sz="8" w:space="0" w:color="auto"/>
            </w:tcBorders>
            <w:shd w:val="clear" w:color="auto" w:fill="auto"/>
            <w:vAlign w:val="center"/>
            <w:hideMark/>
          </w:tcPr>
          <w:p w14:paraId="5A165ED9"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ABF.E530</w:t>
            </w:r>
          </w:p>
        </w:tc>
        <w:tc>
          <w:tcPr>
            <w:tcW w:w="1559" w:type="dxa"/>
            <w:gridSpan w:val="2"/>
            <w:tcBorders>
              <w:top w:val="nil"/>
              <w:left w:val="nil"/>
              <w:bottom w:val="nil"/>
              <w:right w:val="single" w:sz="8" w:space="0" w:color="auto"/>
            </w:tcBorders>
            <w:shd w:val="clear" w:color="auto" w:fill="auto"/>
            <w:vAlign w:val="center"/>
            <w:hideMark/>
          </w:tcPr>
          <w:p w14:paraId="274195AE"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ABF.F530</w:t>
            </w:r>
          </w:p>
        </w:tc>
        <w:tc>
          <w:tcPr>
            <w:tcW w:w="1134" w:type="dxa"/>
            <w:gridSpan w:val="2"/>
            <w:tcBorders>
              <w:top w:val="nil"/>
              <w:left w:val="nil"/>
              <w:bottom w:val="nil"/>
              <w:right w:val="single" w:sz="8" w:space="0" w:color="auto"/>
            </w:tcBorders>
            <w:shd w:val="clear" w:color="auto" w:fill="auto"/>
            <w:vAlign w:val="center"/>
            <w:hideMark/>
          </w:tcPr>
          <w:p w14:paraId="1A180ECD"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ABF.G530</w:t>
            </w:r>
          </w:p>
        </w:tc>
      </w:tr>
      <w:tr w:rsidR="00D73956" w:rsidRPr="00D73956" w14:paraId="2ABABD26"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208A50FD"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334 - SUPERÁVIT FINANCEIRO - INCENTIVO SUS UNIÃO</w:t>
            </w:r>
          </w:p>
        </w:tc>
        <w:tc>
          <w:tcPr>
            <w:tcW w:w="1276" w:type="dxa"/>
            <w:tcBorders>
              <w:top w:val="nil"/>
              <w:left w:val="nil"/>
              <w:bottom w:val="nil"/>
              <w:right w:val="single" w:sz="8" w:space="0" w:color="auto"/>
            </w:tcBorders>
            <w:shd w:val="clear" w:color="auto" w:fill="auto"/>
            <w:vAlign w:val="center"/>
            <w:hideMark/>
          </w:tcPr>
          <w:p w14:paraId="7551CBE1"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ABF.B531</w:t>
            </w:r>
          </w:p>
        </w:tc>
        <w:tc>
          <w:tcPr>
            <w:tcW w:w="1559" w:type="dxa"/>
            <w:tcBorders>
              <w:top w:val="nil"/>
              <w:left w:val="nil"/>
              <w:bottom w:val="nil"/>
              <w:right w:val="single" w:sz="8" w:space="0" w:color="auto"/>
            </w:tcBorders>
            <w:shd w:val="clear" w:color="auto" w:fill="auto"/>
            <w:vAlign w:val="center"/>
            <w:hideMark/>
          </w:tcPr>
          <w:p w14:paraId="5E076C00"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ABF.C531</w:t>
            </w:r>
          </w:p>
        </w:tc>
        <w:tc>
          <w:tcPr>
            <w:tcW w:w="1417" w:type="dxa"/>
            <w:tcBorders>
              <w:top w:val="nil"/>
              <w:left w:val="nil"/>
              <w:bottom w:val="nil"/>
              <w:right w:val="single" w:sz="8" w:space="0" w:color="auto"/>
            </w:tcBorders>
            <w:shd w:val="clear" w:color="auto" w:fill="auto"/>
            <w:vAlign w:val="center"/>
            <w:hideMark/>
          </w:tcPr>
          <w:p w14:paraId="5DC7202D"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ABF.D531</w:t>
            </w:r>
          </w:p>
        </w:tc>
        <w:tc>
          <w:tcPr>
            <w:tcW w:w="1276" w:type="dxa"/>
            <w:tcBorders>
              <w:top w:val="nil"/>
              <w:left w:val="nil"/>
              <w:bottom w:val="nil"/>
              <w:right w:val="single" w:sz="8" w:space="0" w:color="auto"/>
            </w:tcBorders>
            <w:shd w:val="clear" w:color="auto" w:fill="auto"/>
            <w:vAlign w:val="center"/>
            <w:hideMark/>
          </w:tcPr>
          <w:p w14:paraId="3B2A58EE"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ABF.E531</w:t>
            </w:r>
          </w:p>
        </w:tc>
        <w:tc>
          <w:tcPr>
            <w:tcW w:w="1559" w:type="dxa"/>
            <w:gridSpan w:val="2"/>
            <w:tcBorders>
              <w:top w:val="nil"/>
              <w:left w:val="nil"/>
              <w:bottom w:val="nil"/>
              <w:right w:val="single" w:sz="8" w:space="0" w:color="auto"/>
            </w:tcBorders>
            <w:shd w:val="clear" w:color="auto" w:fill="auto"/>
            <w:vAlign w:val="center"/>
            <w:hideMark/>
          </w:tcPr>
          <w:p w14:paraId="62A28298"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ABF.F531</w:t>
            </w:r>
          </w:p>
        </w:tc>
        <w:tc>
          <w:tcPr>
            <w:tcW w:w="1134" w:type="dxa"/>
            <w:gridSpan w:val="2"/>
            <w:tcBorders>
              <w:top w:val="nil"/>
              <w:left w:val="nil"/>
              <w:bottom w:val="nil"/>
              <w:right w:val="single" w:sz="8" w:space="0" w:color="auto"/>
            </w:tcBorders>
            <w:shd w:val="clear" w:color="auto" w:fill="auto"/>
            <w:vAlign w:val="center"/>
            <w:hideMark/>
          </w:tcPr>
          <w:p w14:paraId="0F78DCC9"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ABF.G531</w:t>
            </w:r>
          </w:p>
        </w:tc>
      </w:tr>
      <w:tr w:rsidR="00D73956" w:rsidRPr="00D73956" w14:paraId="42D691EF"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58F72223"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335 - SUPERÁVIT FINANCEIRO - SUS PRODUÇÃO</w:t>
            </w:r>
          </w:p>
        </w:tc>
        <w:tc>
          <w:tcPr>
            <w:tcW w:w="1276" w:type="dxa"/>
            <w:tcBorders>
              <w:top w:val="nil"/>
              <w:left w:val="nil"/>
              <w:bottom w:val="nil"/>
              <w:right w:val="single" w:sz="8" w:space="0" w:color="auto"/>
            </w:tcBorders>
            <w:shd w:val="clear" w:color="auto" w:fill="auto"/>
            <w:vAlign w:val="center"/>
            <w:hideMark/>
          </w:tcPr>
          <w:p w14:paraId="1BE56F8F"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ABF.B532</w:t>
            </w:r>
          </w:p>
        </w:tc>
        <w:tc>
          <w:tcPr>
            <w:tcW w:w="1559" w:type="dxa"/>
            <w:tcBorders>
              <w:top w:val="nil"/>
              <w:left w:val="nil"/>
              <w:bottom w:val="nil"/>
              <w:right w:val="single" w:sz="8" w:space="0" w:color="auto"/>
            </w:tcBorders>
            <w:shd w:val="clear" w:color="auto" w:fill="auto"/>
            <w:vAlign w:val="center"/>
            <w:hideMark/>
          </w:tcPr>
          <w:p w14:paraId="4BF5886E"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ABF.C532</w:t>
            </w:r>
          </w:p>
        </w:tc>
        <w:tc>
          <w:tcPr>
            <w:tcW w:w="1417" w:type="dxa"/>
            <w:tcBorders>
              <w:top w:val="nil"/>
              <w:left w:val="nil"/>
              <w:bottom w:val="nil"/>
              <w:right w:val="single" w:sz="8" w:space="0" w:color="auto"/>
            </w:tcBorders>
            <w:shd w:val="clear" w:color="auto" w:fill="auto"/>
            <w:vAlign w:val="center"/>
            <w:hideMark/>
          </w:tcPr>
          <w:p w14:paraId="257FC8BE"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ABF.D532</w:t>
            </w:r>
          </w:p>
        </w:tc>
        <w:tc>
          <w:tcPr>
            <w:tcW w:w="1276" w:type="dxa"/>
            <w:tcBorders>
              <w:top w:val="nil"/>
              <w:left w:val="nil"/>
              <w:bottom w:val="nil"/>
              <w:right w:val="single" w:sz="8" w:space="0" w:color="auto"/>
            </w:tcBorders>
            <w:shd w:val="clear" w:color="auto" w:fill="auto"/>
            <w:vAlign w:val="center"/>
            <w:hideMark/>
          </w:tcPr>
          <w:p w14:paraId="3244E044"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ABF.E532</w:t>
            </w:r>
          </w:p>
        </w:tc>
        <w:tc>
          <w:tcPr>
            <w:tcW w:w="1559" w:type="dxa"/>
            <w:gridSpan w:val="2"/>
            <w:tcBorders>
              <w:top w:val="nil"/>
              <w:left w:val="nil"/>
              <w:bottom w:val="nil"/>
              <w:right w:val="single" w:sz="8" w:space="0" w:color="auto"/>
            </w:tcBorders>
            <w:shd w:val="clear" w:color="auto" w:fill="auto"/>
            <w:vAlign w:val="center"/>
            <w:hideMark/>
          </w:tcPr>
          <w:p w14:paraId="175C4FDF"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ABF.F532</w:t>
            </w:r>
          </w:p>
        </w:tc>
        <w:tc>
          <w:tcPr>
            <w:tcW w:w="1134" w:type="dxa"/>
            <w:gridSpan w:val="2"/>
            <w:tcBorders>
              <w:top w:val="nil"/>
              <w:left w:val="nil"/>
              <w:bottom w:val="nil"/>
              <w:right w:val="single" w:sz="8" w:space="0" w:color="auto"/>
            </w:tcBorders>
            <w:shd w:val="clear" w:color="auto" w:fill="auto"/>
            <w:vAlign w:val="center"/>
            <w:hideMark/>
          </w:tcPr>
          <w:p w14:paraId="4B70D635"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ABF.G532</w:t>
            </w:r>
          </w:p>
        </w:tc>
      </w:tr>
      <w:tr w:rsidR="00D73956" w:rsidRPr="00D73956" w14:paraId="46D00888"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3CA96021"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355 - SUPERÁVIT FINANCEIRO - BLOCO DE CUSTEIO DAS AÇÕES E SERVIÇOS PÚBLICOS DE SAÚDE - SUS – FEDERAL</w:t>
            </w:r>
          </w:p>
        </w:tc>
        <w:tc>
          <w:tcPr>
            <w:tcW w:w="1276" w:type="dxa"/>
            <w:tcBorders>
              <w:top w:val="nil"/>
              <w:left w:val="nil"/>
              <w:bottom w:val="nil"/>
              <w:right w:val="single" w:sz="8" w:space="0" w:color="auto"/>
            </w:tcBorders>
            <w:shd w:val="clear" w:color="auto" w:fill="auto"/>
            <w:vAlign w:val="center"/>
            <w:hideMark/>
          </w:tcPr>
          <w:p w14:paraId="48D9B7D1"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ABF.B598</w:t>
            </w:r>
          </w:p>
        </w:tc>
        <w:tc>
          <w:tcPr>
            <w:tcW w:w="1559" w:type="dxa"/>
            <w:tcBorders>
              <w:top w:val="nil"/>
              <w:left w:val="nil"/>
              <w:bottom w:val="nil"/>
              <w:right w:val="single" w:sz="8" w:space="0" w:color="auto"/>
            </w:tcBorders>
            <w:shd w:val="clear" w:color="auto" w:fill="auto"/>
            <w:vAlign w:val="center"/>
            <w:hideMark/>
          </w:tcPr>
          <w:p w14:paraId="636DA0FE"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ABF.C598</w:t>
            </w:r>
          </w:p>
        </w:tc>
        <w:tc>
          <w:tcPr>
            <w:tcW w:w="1417" w:type="dxa"/>
            <w:tcBorders>
              <w:top w:val="nil"/>
              <w:left w:val="nil"/>
              <w:bottom w:val="nil"/>
              <w:right w:val="single" w:sz="8" w:space="0" w:color="auto"/>
            </w:tcBorders>
            <w:shd w:val="clear" w:color="auto" w:fill="auto"/>
            <w:vAlign w:val="center"/>
            <w:hideMark/>
          </w:tcPr>
          <w:p w14:paraId="7FC628D4"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ABF.D598</w:t>
            </w:r>
          </w:p>
        </w:tc>
        <w:tc>
          <w:tcPr>
            <w:tcW w:w="1276" w:type="dxa"/>
            <w:tcBorders>
              <w:top w:val="nil"/>
              <w:left w:val="nil"/>
              <w:bottom w:val="nil"/>
              <w:right w:val="single" w:sz="8" w:space="0" w:color="auto"/>
            </w:tcBorders>
            <w:shd w:val="clear" w:color="auto" w:fill="auto"/>
            <w:vAlign w:val="center"/>
            <w:hideMark/>
          </w:tcPr>
          <w:p w14:paraId="7019572E"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ABF.E598</w:t>
            </w:r>
          </w:p>
        </w:tc>
        <w:tc>
          <w:tcPr>
            <w:tcW w:w="1559" w:type="dxa"/>
            <w:gridSpan w:val="2"/>
            <w:tcBorders>
              <w:top w:val="nil"/>
              <w:left w:val="nil"/>
              <w:bottom w:val="nil"/>
              <w:right w:val="single" w:sz="8" w:space="0" w:color="auto"/>
            </w:tcBorders>
            <w:shd w:val="clear" w:color="auto" w:fill="auto"/>
            <w:vAlign w:val="center"/>
            <w:hideMark/>
          </w:tcPr>
          <w:p w14:paraId="17327DD1"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ABF.F598</w:t>
            </w:r>
          </w:p>
        </w:tc>
        <w:tc>
          <w:tcPr>
            <w:tcW w:w="1134" w:type="dxa"/>
            <w:gridSpan w:val="2"/>
            <w:tcBorders>
              <w:top w:val="nil"/>
              <w:left w:val="nil"/>
              <w:bottom w:val="nil"/>
              <w:right w:val="single" w:sz="8" w:space="0" w:color="auto"/>
            </w:tcBorders>
            <w:shd w:val="clear" w:color="auto" w:fill="auto"/>
            <w:vAlign w:val="center"/>
            <w:hideMark/>
          </w:tcPr>
          <w:p w14:paraId="07118961"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ABF.G598</w:t>
            </w:r>
          </w:p>
        </w:tc>
      </w:tr>
      <w:tr w:rsidR="00D73956" w:rsidRPr="00D73956" w14:paraId="62F2F01D"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35E42F62"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356 - SUPERÁVIT FINANCEIRO - BLOCO DE INVESTIMENTO NA REDE DE SERVIÇOS PÚBLICOS DE SAÚDE - SUS – FEDERAL</w:t>
            </w:r>
          </w:p>
        </w:tc>
        <w:tc>
          <w:tcPr>
            <w:tcW w:w="1276" w:type="dxa"/>
            <w:tcBorders>
              <w:top w:val="nil"/>
              <w:left w:val="nil"/>
              <w:bottom w:val="nil"/>
              <w:right w:val="single" w:sz="8" w:space="0" w:color="auto"/>
            </w:tcBorders>
            <w:shd w:val="clear" w:color="auto" w:fill="auto"/>
            <w:vAlign w:val="center"/>
            <w:hideMark/>
          </w:tcPr>
          <w:p w14:paraId="0DFAA49C"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ABF.B599</w:t>
            </w:r>
          </w:p>
        </w:tc>
        <w:tc>
          <w:tcPr>
            <w:tcW w:w="1559" w:type="dxa"/>
            <w:tcBorders>
              <w:top w:val="nil"/>
              <w:left w:val="nil"/>
              <w:bottom w:val="nil"/>
              <w:right w:val="single" w:sz="8" w:space="0" w:color="auto"/>
            </w:tcBorders>
            <w:shd w:val="clear" w:color="auto" w:fill="auto"/>
            <w:vAlign w:val="center"/>
            <w:hideMark/>
          </w:tcPr>
          <w:p w14:paraId="6389BEA0"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ABF.C599</w:t>
            </w:r>
          </w:p>
        </w:tc>
        <w:tc>
          <w:tcPr>
            <w:tcW w:w="1417" w:type="dxa"/>
            <w:tcBorders>
              <w:top w:val="nil"/>
              <w:left w:val="nil"/>
              <w:bottom w:val="nil"/>
              <w:right w:val="single" w:sz="8" w:space="0" w:color="auto"/>
            </w:tcBorders>
            <w:shd w:val="clear" w:color="auto" w:fill="auto"/>
            <w:vAlign w:val="center"/>
            <w:hideMark/>
          </w:tcPr>
          <w:p w14:paraId="3662E4AE"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ABF.D599</w:t>
            </w:r>
          </w:p>
        </w:tc>
        <w:tc>
          <w:tcPr>
            <w:tcW w:w="1276" w:type="dxa"/>
            <w:tcBorders>
              <w:top w:val="nil"/>
              <w:left w:val="nil"/>
              <w:bottom w:val="nil"/>
              <w:right w:val="single" w:sz="8" w:space="0" w:color="auto"/>
            </w:tcBorders>
            <w:shd w:val="clear" w:color="auto" w:fill="auto"/>
            <w:vAlign w:val="center"/>
            <w:hideMark/>
          </w:tcPr>
          <w:p w14:paraId="0AEBB7EA"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ABF.E599</w:t>
            </w:r>
          </w:p>
        </w:tc>
        <w:tc>
          <w:tcPr>
            <w:tcW w:w="1559" w:type="dxa"/>
            <w:gridSpan w:val="2"/>
            <w:tcBorders>
              <w:top w:val="nil"/>
              <w:left w:val="nil"/>
              <w:bottom w:val="nil"/>
              <w:right w:val="single" w:sz="8" w:space="0" w:color="auto"/>
            </w:tcBorders>
            <w:shd w:val="clear" w:color="auto" w:fill="auto"/>
            <w:vAlign w:val="center"/>
            <w:hideMark/>
          </w:tcPr>
          <w:p w14:paraId="0FFB312D"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ABF.F599</w:t>
            </w:r>
          </w:p>
        </w:tc>
        <w:tc>
          <w:tcPr>
            <w:tcW w:w="1134" w:type="dxa"/>
            <w:gridSpan w:val="2"/>
            <w:tcBorders>
              <w:top w:val="nil"/>
              <w:left w:val="nil"/>
              <w:bottom w:val="nil"/>
              <w:right w:val="single" w:sz="8" w:space="0" w:color="auto"/>
            </w:tcBorders>
            <w:shd w:val="clear" w:color="auto" w:fill="auto"/>
            <w:vAlign w:val="center"/>
            <w:hideMark/>
          </w:tcPr>
          <w:p w14:paraId="329A426C"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ABF.G599</w:t>
            </w:r>
          </w:p>
        </w:tc>
      </w:tr>
      <w:tr w:rsidR="00D73956" w:rsidRPr="00D73956" w14:paraId="7E43A085"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1CF2824C"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369 - SUPERÁVIT FINANCEIRO - DECISÕES JUDICIAIS DESTINADAS AO COMBATE DA COVID-19</w:t>
            </w:r>
          </w:p>
        </w:tc>
        <w:tc>
          <w:tcPr>
            <w:tcW w:w="1276" w:type="dxa"/>
            <w:tcBorders>
              <w:top w:val="nil"/>
              <w:left w:val="nil"/>
              <w:bottom w:val="nil"/>
              <w:right w:val="single" w:sz="8" w:space="0" w:color="auto"/>
            </w:tcBorders>
            <w:shd w:val="clear" w:color="auto" w:fill="auto"/>
            <w:vAlign w:val="center"/>
            <w:hideMark/>
          </w:tcPr>
          <w:p w14:paraId="1E7D5775"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ABF.B600</w:t>
            </w:r>
          </w:p>
        </w:tc>
        <w:tc>
          <w:tcPr>
            <w:tcW w:w="1559" w:type="dxa"/>
            <w:tcBorders>
              <w:top w:val="nil"/>
              <w:left w:val="nil"/>
              <w:bottom w:val="nil"/>
              <w:right w:val="single" w:sz="8" w:space="0" w:color="auto"/>
            </w:tcBorders>
            <w:shd w:val="clear" w:color="auto" w:fill="auto"/>
            <w:vAlign w:val="center"/>
            <w:hideMark/>
          </w:tcPr>
          <w:p w14:paraId="4990DFAC"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ABF.C600</w:t>
            </w:r>
          </w:p>
        </w:tc>
        <w:tc>
          <w:tcPr>
            <w:tcW w:w="1417" w:type="dxa"/>
            <w:tcBorders>
              <w:top w:val="nil"/>
              <w:left w:val="nil"/>
              <w:bottom w:val="nil"/>
              <w:right w:val="single" w:sz="8" w:space="0" w:color="auto"/>
            </w:tcBorders>
            <w:shd w:val="clear" w:color="auto" w:fill="auto"/>
            <w:vAlign w:val="center"/>
            <w:hideMark/>
          </w:tcPr>
          <w:p w14:paraId="55E19DDA"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ABF.D600</w:t>
            </w:r>
          </w:p>
        </w:tc>
        <w:tc>
          <w:tcPr>
            <w:tcW w:w="1276" w:type="dxa"/>
            <w:tcBorders>
              <w:top w:val="nil"/>
              <w:left w:val="nil"/>
              <w:bottom w:val="nil"/>
              <w:right w:val="single" w:sz="8" w:space="0" w:color="auto"/>
            </w:tcBorders>
            <w:shd w:val="clear" w:color="auto" w:fill="auto"/>
            <w:vAlign w:val="center"/>
            <w:hideMark/>
          </w:tcPr>
          <w:p w14:paraId="4B71A244"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ABF.E600</w:t>
            </w:r>
          </w:p>
        </w:tc>
        <w:tc>
          <w:tcPr>
            <w:tcW w:w="1559" w:type="dxa"/>
            <w:gridSpan w:val="2"/>
            <w:tcBorders>
              <w:top w:val="nil"/>
              <w:left w:val="nil"/>
              <w:bottom w:val="nil"/>
              <w:right w:val="single" w:sz="8" w:space="0" w:color="auto"/>
            </w:tcBorders>
            <w:shd w:val="clear" w:color="auto" w:fill="auto"/>
            <w:vAlign w:val="center"/>
            <w:hideMark/>
          </w:tcPr>
          <w:p w14:paraId="616ADE06"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ABF.F600</w:t>
            </w:r>
          </w:p>
        </w:tc>
        <w:tc>
          <w:tcPr>
            <w:tcW w:w="1134" w:type="dxa"/>
            <w:gridSpan w:val="2"/>
            <w:tcBorders>
              <w:top w:val="nil"/>
              <w:left w:val="nil"/>
              <w:bottom w:val="nil"/>
              <w:right w:val="single" w:sz="8" w:space="0" w:color="auto"/>
            </w:tcBorders>
            <w:shd w:val="clear" w:color="auto" w:fill="auto"/>
            <w:vAlign w:val="center"/>
            <w:hideMark/>
          </w:tcPr>
          <w:p w14:paraId="5BD4656B"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ABF.G600</w:t>
            </w:r>
          </w:p>
        </w:tc>
      </w:tr>
      <w:tr w:rsidR="00D73956" w:rsidRPr="00D73956" w14:paraId="00947979"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037208AE" w14:textId="77777777" w:rsidR="00D73956" w:rsidRPr="00D73956" w:rsidRDefault="00D73956" w:rsidP="006A139B">
            <w:pPr>
              <w:spacing w:after="0" w:line="240" w:lineRule="auto"/>
              <w:ind w:firstLineChars="100" w:firstLine="161"/>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 xml:space="preserve">  Recursos vinculados à Previdência Social - RPPS</w:t>
            </w:r>
          </w:p>
        </w:tc>
        <w:tc>
          <w:tcPr>
            <w:tcW w:w="1276" w:type="dxa"/>
            <w:tcBorders>
              <w:top w:val="nil"/>
              <w:left w:val="nil"/>
              <w:bottom w:val="nil"/>
              <w:right w:val="single" w:sz="8" w:space="0" w:color="auto"/>
            </w:tcBorders>
            <w:shd w:val="clear" w:color="auto" w:fill="auto"/>
            <w:vAlign w:val="center"/>
            <w:hideMark/>
          </w:tcPr>
          <w:p w14:paraId="48C3A026" w14:textId="77777777" w:rsidR="00D73956" w:rsidRPr="00D73956" w:rsidRDefault="00D73956" w:rsidP="006A139B">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ABF.B033</w:t>
            </w:r>
          </w:p>
        </w:tc>
        <w:tc>
          <w:tcPr>
            <w:tcW w:w="1559" w:type="dxa"/>
            <w:tcBorders>
              <w:top w:val="nil"/>
              <w:left w:val="nil"/>
              <w:bottom w:val="nil"/>
              <w:right w:val="single" w:sz="8" w:space="0" w:color="auto"/>
            </w:tcBorders>
            <w:shd w:val="clear" w:color="auto" w:fill="auto"/>
            <w:vAlign w:val="center"/>
            <w:hideMark/>
          </w:tcPr>
          <w:p w14:paraId="13E3C0B4" w14:textId="77777777" w:rsidR="00D73956" w:rsidRPr="00D73956" w:rsidRDefault="00D73956" w:rsidP="006A139B">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ABF.C033</w:t>
            </w:r>
          </w:p>
        </w:tc>
        <w:tc>
          <w:tcPr>
            <w:tcW w:w="1417" w:type="dxa"/>
            <w:tcBorders>
              <w:top w:val="nil"/>
              <w:left w:val="nil"/>
              <w:bottom w:val="nil"/>
              <w:right w:val="single" w:sz="8" w:space="0" w:color="auto"/>
            </w:tcBorders>
            <w:shd w:val="clear" w:color="auto" w:fill="auto"/>
            <w:vAlign w:val="center"/>
            <w:hideMark/>
          </w:tcPr>
          <w:p w14:paraId="23646646" w14:textId="77777777" w:rsidR="00D73956" w:rsidRPr="00D73956" w:rsidRDefault="00D73956" w:rsidP="006A139B">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ABF.D033</w:t>
            </w:r>
          </w:p>
        </w:tc>
        <w:tc>
          <w:tcPr>
            <w:tcW w:w="1276" w:type="dxa"/>
            <w:tcBorders>
              <w:top w:val="nil"/>
              <w:left w:val="nil"/>
              <w:bottom w:val="nil"/>
              <w:right w:val="single" w:sz="8" w:space="0" w:color="auto"/>
            </w:tcBorders>
            <w:shd w:val="clear" w:color="auto" w:fill="auto"/>
            <w:vAlign w:val="center"/>
            <w:hideMark/>
          </w:tcPr>
          <w:p w14:paraId="5DB45DB3" w14:textId="77777777" w:rsidR="00D73956" w:rsidRPr="00D73956" w:rsidRDefault="00D73956" w:rsidP="006A139B">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ABF.E033</w:t>
            </w:r>
          </w:p>
        </w:tc>
        <w:tc>
          <w:tcPr>
            <w:tcW w:w="1559" w:type="dxa"/>
            <w:gridSpan w:val="2"/>
            <w:tcBorders>
              <w:top w:val="nil"/>
              <w:left w:val="nil"/>
              <w:bottom w:val="nil"/>
              <w:right w:val="single" w:sz="8" w:space="0" w:color="auto"/>
            </w:tcBorders>
            <w:shd w:val="clear" w:color="auto" w:fill="auto"/>
            <w:vAlign w:val="center"/>
            <w:hideMark/>
          </w:tcPr>
          <w:p w14:paraId="6B7B86CC" w14:textId="77777777" w:rsidR="00D73956" w:rsidRPr="00D73956" w:rsidRDefault="00D73956" w:rsidP="006A139B">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ABF.F033</w:t>
            </w:r>
          </w:p>
        </w:tc>
        <w:tc>
          <w:tcPr>
            <w:tcW w:w="1134" w:type="dxa"/>
            <w:gridSpan w:val="2"/>
            <w:tcBorders>
              <w:top w:val="nil"/>
              <w:left w:val="nil"/>
              <w:bottom w:val="nil"/>
              <w:right w:val="single" w:sz="8" w:space="0" w:color="auto"/>
            </w:tcBorders>
            <w:shd w:val="clear" w:color="auto" w:fill="auto"/>
            <w:vAlign w:val="center"/>
            <w:hideMark/>
          </w:tcPr>
          <w:p w14:paraId="7CEF3A17" w14:textId="77777777" w:rsidR="00D73956" w:rsidRPr="00D73956" w:rsidRDefault="00D73956" w:rsidP="006A139B">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ABF.G033</w:t>
            </w:r>
          </w:p>
        </w:tc>
      </w:tr>
      <w:tr w:rsidR="00D73956" w:rsidRPr="00D73956" w14:paraId="7C7D79C1"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5B04C6D6"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270 - RECURSOS DA PREVIDÊNCIA</w:t>
            </w:r>
          </w:p>
        </w:tc>
        <w:tc>
          <w:tcPr>
            <w:tcW w:w="1276" w:type="dxa"/>
            <w:tcBorders>
              <w:top w:val="nil"/>
              <w:left w:val="nil"/>
              <w:bottom w:val="nil"/>
              <w:right w:val="single" w:sz="8" w:space="0" w:color="auto"/>
            </w:tcBorders>
            <w:shd w:val="clear" w:color="auto" w:fill="auto"/>
            <w:vAlign w:val="center"/>
            <w:hideMark/>
          </w:tcPr>
          <w:p w14:paraId="614CDC34"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ABF.B533</w:t>
            </w:r>
          </w:p>
        </w:tc>
        <w:tc>
          <w:tcPr>
            <w:tcW w:w="1559" w:type="dxa"/>
            <w:tcBorders>
              <w:top w:val="nil"/>
              <w:left w:val="nil"/>
              <w:bottom w:val="nil"/>
              <w:right w:val="single" w:sz="8" w:space="0" w:color="auto"/>
            </w:tcBorders>
            <w:shd w:val="clear" w:color="auto" w:fill="auto"/>
            <w:vAlign w:val="center"/>
            <w:hideMark/>
          </w:tcPr>
          <w:p w14:paraId="5CA8A1BD"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ABF.C533</w:t>
            </w:r>
          </w:p>
        </w:tc>
        <w:tc>
          <w:tcPr>
            <w:tcW w:w="1417" w:type="dxa"/>
            <w:tcBorders>
              <w:top w:val="nil"/>
              <w:left w:val="nil"/>
              <w:bottom w:val="nil"/>
              <w:right w:val="single" w:sz="8" w:space="0" w:color="auto"/>
            </w:tcBorders>
            <w:shd w:val="clear" w:color="auto" w:fill="auto"/>
            <w:vAlign w:val="center"/>
            <w:hideMark/>
          </w:tcPr>
          <w:p w14:paraId="4C51AA3F"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ABF.D533</w:t>
            </w:r>
          </w:p>
        </w:tc>
        <w:tc>
          <w:tcPr>
            <w:tcW w:w="1276" w:type="dxa"/>
            <w:tcBorders>
              <w:top w:val="nil"/>
              <w:left w:val="nil"/>
              <w:bottom w:val="nil"/>
              <w:right w:val="single" w:sz="8" w:space="0" w:color="auto"/>
            </w:tcBorders>
            <w:shd w:val="clear" w:color="auto" w:fill="auto"/>
            <w:vAlign w:val="center"/>
            <w:hideMark/>
          </w:tcPr>
          <w:p w14:paraId="73FD23E0"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ABF.E533</w:t>
            </w:r>
          </w:p>
        </w:tc>
        <w:tc>
          <w:tcPr>
            <w:tcW w:w="1559" w:type="dxa"/>
            <w:gridSpan w:val="2"/>
            <w:tcBorders>
              <w:top w:val="nil"/>
              <w:left w:val="nil"/>
              <w:bottom w:val="nil"/>
              <w:right w:val="single" w:sz="8" w:space="0" w:color="auto"/>
            </w:tcBorders>
            <w:shd w:val="clear" w:color="auto" w:fill="auto"/>
            <w:vAlign w:val="center"/>
            <w:hideMark/>
          </w:tcPr>
          <w:p w14:paraId="51564548"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ABF.F533</w:t>
            </w:r>
          </w:p>
        </w:tc>
        <w:tc>
          <w:tcPr>
            <w:tcW w:w="1134" w:type="dxa"/>
            <w:gridSpan w:val="2"/>
            <w:tcBorders>
              <w:top w:val="nil"/>
              <w:left w:val="nil"/>
              <w:bottom w:val="nil"/>
              <w:right w:val="single" w:sz="8" w:space="0" w:color="auto"/>
            </w:tcBorders>
            <w:shd w:val="clear" w:color="auto" w:fill="auto"/>
            <w:vAlign w:val="center"/>
            <w:hideMark/>
          </w:tcPr>
          <w:p w14:paraId="75ACAD33"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ABF.G533</w:t>
            </w:r>
          </w:p>
        </w:tc>
      </w:tr>
      <w:tr w:rsidR="00D73956" w:rsidRPr="00D73956" w14:paraId="32B4D28B"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74B4E79B"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670 - SUPERÁVIT FINANCEIRO - RECURSOS DA PREVIDÊNCIA</w:t>
            </w:r>
          </w:p>
        </w:tc>
        <w:tc>
          <w:tcPr>
            <w:tcW w:w="1276" w:type="dxa"/>
            <w:tcBorders>
              <w:top w:val="nil"/>
              <w:left w:val="nil"/>
              <w:bottom w:val="nil"/>
              <w:right w:val="single" w:sz="8" w:space="0" w:color="auto"/>
            </w:tcBorders>
            <w:shd w:val="clear" w:color="auto" w:fill="auto"/>
            <w:vAlign w:val="center"/>
            <w:hideMark/>
          </w:tcPr>
          <w:p w14:paraId="5B26274F"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ABF.B534</w:t>
            </w:r>
          </w:p>
        </w:tc>
        <w:tc>
          <w:tcPr>
            <w:tcW w:w="1559" w:type="dxa"/>
            <w:tcBorders>
              <w:top w:val="nil"/>
              <w:left w:val="nil"/>
              <w:bottom w:val="nil"/>
              <w:right w:val="single" w:sz="8" w:space="0" w:color="auto"/>
            </w:tcBorders>
            <w:shd w:val="clear" w:color="auto" w:fill="auto"/>
            <w:vAlign w:val="center"/>
            <w:hideMark/>
          </w:tcPr>
          <w:p w14:paraId="61BEE13B"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ABF.C534</w:t>
            </w:r>
          </w:p>
        </w:tc>
        <w:tc>
          <w:tcPr>
            <w:tcW w:w="1417" w:type="dxa"/>
            <w:tcBorders>
              <w:top w:val="nil"/>
              <w:left w:val="nil"/>
              <w:bottom w:val="nil"/>
              <w:right w:val="single" w:sz="8" w:space="0" w:color="auto"/>
            </w:tcBorders>
            <w:shd w:val="clear" w:color="auto" w:fill="auto"/>
            <w:vAlign w:val="center"/>
            <w:hideMark/>
          </w:tcPr>
          <w:p w14:paraId="72D384F9"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ABF.D534</w:t>
            </w:r>
          </w:p>
        </w:tc>
        <w:tc>
          <w:tcPr>
            <w:tcW w:w="1276" w:type="dxa"/>
            <w:tcBorders>
              <w:top w:val="nil"/>
              <w:left w:val="nil"/>
              <w:bottom w:val="nil"/>
              <w:right w:val="single" w:sz="8" w:space="0" w:color="auto"/>
            </w:tcBorders>
            <w:shd w:val="clear" w:color="auto" w:fill="auto"/>
            <w:vAlign w:val="center"/>
            <w:hideMark/>
          </w:tcPr>
          <w:p w14:paraId="37A13DEB"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ABF.E534</w:t>
            </w:r>
          </w:p>
        </w:tc>
        <w:tc>
          <w:tcPr>
            <w:tcW w:w="1559" w:type="dxa"/>
            <w:gridSpan w:val="2"/>
            <w:tcBorders>
              <w:top w:val="nil"/>
              <w:left w:val="nil"/>
              <w:bottom w:val="nil"/>
              <w:right w:val="single" w:sz="8" w:space="0" w:color="auto"/>
            </w:tcBorders>
            <w:shd w:val="clear" w:color="auto" w:fill="auto"/>
            <w:vAlign w:val="center"/>
            <w:hideMark/>
          </w:tcPr>
          <w:p w14:paraId="3FD124C8"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ABF.F534</w:t>
            </w:r>
          </w:p>
        </w:tc>
        <w:tc>
          <w:tcPr>
            <w:tcW w:w="1134" w:type="dxa"/>
            <w:gridSpan w:val="2"/>
            <w:tcBorders>
              <w:top w:val="nil"/>
              <w:left w:val="nil"/>
              <w:bottom w:val="nil"/>
              <w:right w:val="single" w:sz="8" w:space="0" w:color="auto"/>
            </w:tcBorders>
            <w:shd w:val="clear" w:color="auto" w:fill="auto"/>
            <w:vAlign w:val="center"/>
            <w:hideMark/>
          </w:tcPr>
          <w:p w14:paraId="557CE046"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ABF.G534</w:t>
            </w:r>
          </w:p>
        </w:tc>
      </w:tr>
      <w:tr w:rsidR="00D73956" w:rsidRPr="00D73956" w14:paraId="05B44D6F"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tcPr>
          <w:p w14:paraId="5DFDF4AA"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676 - SUPERÁVIT FINANCEIRO - FUNDO DE PROTEÇÃO SOCIAL DOS MILITARES (OUTRAS DESTINAÇÕES DE RECURSOS).</w:t>
            </w:r>
          </w:p>
        </w:tc>
        <w:tc>
          <w:tcPr>
            <w:tcW w:w="1276" w:type="dxa"/>
            <w:tcBorders>
              <w:top w:val="nil"/>
              <w:left w:val="nil"/>
              <w:bottom w:val="nil"/>
              <w:right w:val="single" w:sz="8" w:space="0" w:color="auto"/>
            </w:tcBorders>
            <w:shd w:val="clear" w:color="auto" w:fill="auto"/>
            <w:vAlign w:val="center"/>
          </w:tcPr>
          <w:p w14:paraId="729FF340"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ABF.B606</w:t>
            </w:r>
          </w:p>
        </w:tc>
        <w:tc>
          <w:tcPr>
            <w:tcW w:w="1559" w:type="dxa"/>
            <w:tcBorders>
              <w:top w:val="nil"/>
              <w:left w:val="nil"/>
              <w:bottom w:val="nil"/>
              <w:right w:val="single" w:sz="8" w:space="0" w:color="auto"/>
            </w:tcBorders>
            <w:shd w:val="clear" w:color="auto" w:fill="auto"/>
            <w:vAlign w:val="center"/>
          </w:tcPr>
          <w:p w14:paraId="7D43C1C0"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ABF.C606</w:t>
            </w:r>
          </w:p>
        </w:tc>
        <w:tc>
          <w:tcPr>
            <w:tcW w:w="1417" w:type="dxa"/>
            <w:tcBorders>
              <w:top w:val="nil"/>
              <w:left w:val="nil"/>
              <w:bottom w:val="nil"/>
              <w:right w:val="single" w:sz="8" w:space="0" w:color="auto"/>
            </w:tcBorders>
            <w:shd w:val="clear" w:color="auto" w:fill="auto"/>
            <w:vAlign w:val="center"/>
          </w:tcPr>
          <w:p w14:paraId="2B6CEB59"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ABF.D606</w:t>
            </w:r>
          </w:p>
        </w:tc>
        <w:tc>
          <w:tcPr>
            <w:tcW w:w="1276" w:type="dxa"/>
            <w:tcBorders>
              <w:top w:val="nil"/>
              <w:left w:val="nil"/>
              <w:bottom w:val="nil"/>
              <w:right w:val="single" w:sz="8" w:space="0" w:color="auto"/>
            </w:tcBorders>
            <w:shd w:val="clear" w:color="auto" w:fill="auto"/>
            <w:vAlign w:val="center"/>
          </w:tcPr>
          <w:p w14:paraId="0C8D6DE8"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ABF.E606</w:t>
            </w:r>
          </w:p>
        </w:tc>
        <w:tc>
          <w:tcPr>
            <w:tcW w:w="1559" w:type="dxa"/>
            <w:gridSpan w:val="2"/>
            <w:tcBorders>
              <w:top w:val="nil"/>
              <w:left w:val="nil"/>
              <w:bottom w:val="nil"/>
              <w:right w:val="single" w:sz="8" w:space="0" w:color="auto"/>
            </w:tcBorders>
            <w:shd w:val="clear" w:color="auto" w:fill="auto"/>
            <w:vAlign w:val="center"/>
          </w:tcPr>
          <w:p w14:paraId="28BE1614"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ABF.F606</w:t>
            </w:r>
          </w:p>
        </w:tc>
        <w:tc>
          <w:tcPr>
            <w:tcW w:w="1134" w:type="dxa"/>
            <w:gridSpan w:val="2"/>
            <w:tcBorders>
              <w:top w:val="nil"/>
              <w:left w:val="nil"/>
              <w:bottom w:val="nil"/>
              <w:right w:val="single" w:sz="8" w:space="0" w:color="auto"/>
            </w:tcBorders>
            <w:shd w:val="clear" w:color="auto" w:fill="auto"/>
            <w:vAlign w:val="center"/>
          </w:tcPr>
          <w:p w14:paraId="1F61CAF8"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ABF.G606</w:t>
            </w:r>
          </w:p>
        </w:tc>
      </w:tr>
      <w:tr w:rsidR="00D73956" w:rsidRPr="00D73956" w14:paraId="0DBA85A9"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710B5DC8" w14:textId="77777777" w:rsidR="00D73956" w:rsidRPr="00D73956" w:rsidRDefault="00D73956" w:rsidP="006A139B">
            <w:pPr>
              <w:spacing w:after="0" w:line="240" w:lineRule="auto"/>
              <w:ind w:firstLineChars="100" w:firstLine="161"/>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 xml:space="preserve">  Recursos Vinculados à Seguridade Social</w:t>
            </w:r>
          </w:p>
        </w:tc>
        <w:tc>
          <w:tcPr>
            <w:tcW w:w="1276" w:type="dxa"/>
            <w:tcBorders>
              <w:top w:val="nil"/>
              <w:left w:val="nil"/>
              <w:bottom w:val="nil"/>
              <w:right w:val="single" w:sz="8" w:space="0" w:color="auto"/>
            </w:tcBorders>
            <w:shd w:val="clear" w:color="auto" w:fill="auto"/>
            <w:vAlign w:val="center"/>
            <w:hideMark/>
          </w:tcPr>
          <w:p w14:paraId="5C19C647" w14:textId="77777777" w:rsidR="00D73956" w:rsidRPr="00D73956" w:rsidRDefault="00D73956" w:rsidP="006A139B">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ABF.B039</w:t>
            </w:r>
          </w:p>
        </w:tc>
        <w:tc>
          <w:tcPr>
            <w:tcW w:w="1559" w:type="dxa"/>
            <w:tcBorders>
              <w:top w:val="nil"/>
              <w:left w:val="nil"/>
              <w:bottom w:val="nil"/>
              <w:right w:val="single" w:sz="8" w:space="0" w:color="auto"/>
            </w:tcBorders>
            <w:shd w:val="clear" w:color="auto" w:fill="auto"/>
            <w:vAlign w:val="center"/>
            <w:hideMark/>
          </w:tcPr>
          <w:p w14:paraId="63D87F1D" w14:textId="77777777" w:rsidR="00D73956" w:rsidRPr="00D73956" w:rsidRDefault="00D73956" w:rsidP="006A139B">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ABF.C039</w:t>
            </w:r>
          </w:p>
        </w:tc>
        <w:tc>
          <w:tcPr>
            <w:tcW w:w="1417" w:type="dxa"/>
            <w:tcBorders>
              <w:top w:val="nil"/>
              <w:left w:val="nil"/>
              <w:bottom w:val="nil"/>
              <w:right w:val="single" w:sz="8" w:space="0" w:color="auto"/>
            </w:tcBorders>
            <w:shd w:val="clear" w:color="auto" w:fill="auto"/>
            <w:vAlign w:val="center"/>
            <w:hideMark/>
          </w:tcPr>
          <w:p w14:paraId="039155E7" w14:textId="77777777" w:rsidR="00D73956" w:rsidRPr="00D73956" w:rsidRDefault="00D73956" w:rsidP="006A139B">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ABF.D039</w:t>
            </w:r>
          </w:p>
        </w:tc>
        <w:tc>
          <w:tcPr>
            <w:tcW w:w="1276" w:type="dxa"/>
            <w:tcBorders>
              <w:top w:val="nil"/>
              <w:left w:val="nil"/>
              <w:bottom w:val="nil"/>
              <w:right w:val="single" w:sz="8" w:space="0" w:color="auto"/>
            </w:tcBorders>
            <w:shd w:val="clear" w:color="auto" w:fill="auto"/>
            <w:vAlign w:val="center"/>
            <w:hideMark/>
          </w:tcPr>
          <w:p w14:paraId="799934A3" w14:textId="77777777" w:rsidR="00D73956" w:rsidRPr="00D73956" w:rsidRDefault="00D73956" w:rsidP="006A139B">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ABF.E039</w:t>
            </w:r>
          </w:p>
        </w:tc>
        <w:tc>
          <w:tcPr>
            <w:tcW w:w="1559" w:type="dxa"/>
            <w:gridSpan w:val="2"/>
            <w:tcBorders>
              <w:top w:val="nil"/>
              <w:left w:val="nil"/>
              <w:bottom w:val="nil"/>
              <w:right w:val="single" w:sz="8" w:space="0" w:color="auto"/>
            </w:tcBorders>
            <w:shd w:val="clear" w:color="auto" w:fill="auto"/>
            <w:vAlign w:val="center"/>
            <w:hideMark/>
          </w:tcPr>
          <w:p w14:paraId="05855A7D" w14:textId="77777777" w:rsidR="00D73956" w:rsidRPr="00D73956" w:rsidRDefault="00D73956" w:rsidP="006A139B">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ABF.F039</w:t>
            </w:r>
          </w:p>
        </w:tc>
        <w:tc>
          <w:tcPr>
            <w:tcW w:w="1134" w:type="dxa"/>
            <w:gridSpan w:val="2"/>
            <w:tcBorders>
              <w:top w:val="nil"/>
              <w:left w:val="nil"/>
              <w:bottom w:val="nil"/>
              <w:right w:val="single" w:sz="8" w:space="0" w:color="auto"/>
            </w:tcBorders>
            <w:shd w:val="clear" w:color="auto" w:fill="auto"/>
            <w:vAlign w:val="center"/>
            <w:hideMark/>
          </w:tcPr>
          <w:p w14:paraId="67ED17E4" w14:textId="77777777" w:rsidR="00D73956" w:rsidRPr="00D73956" w:rsidRDefault="00D73956" w:rsidP="006A139B">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ABF.G039</w:t>
            </w:r>
          </w:p>
        </w:tc>
      </w:tr>
      <w:tr w:rsidR="00D73956" w:rsidRPr="00D73956" w14:paraId="08675278"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47A65339"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130 - PROGRAMA FEDERATIVO DE ENFRENTAMENTO AO COVID-19 VINCULADO ÀS AÇÕES DE SAÚDE E ASSISTÊNCIA SOCIAL – LC 173/20</w:t>
            </w:r>
          </w:p>
        </w:tc>
        <w:tc>
          <w:tcPr>
            <w:tcW w:w="1276" w:type="dxa"/>
            <w:tcBorders>
              <w:top w:val="nil"/>
              <w:left w:val="nil"/>
              <w:bottom w:val="nil"/>
              <w:right w:val="single" w:sz="8" w:space="0" w:color="auto"/>
            </w:tcBorders>
            <w:shd w:val="clear" w:color="auto" w:fill="auto"/>
            <w:vAlign w:val="center"/>
            <w:hideMark/>
          </w:tcPr>
          <w:p w14:paraId="52D39FB3"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ABF.B601</w:t>
            </w:r>
          </w:p>
        </w:tc>
        <w:tc>
          <w:tcPr>
            <w:tcW w:w="1559" w:type="dxa"/>
            <w:tcBorders>
              <w:top w:val="nil"/>
              <w:left w:val="nil"/>
              <w:bottom w:val="nil"/>
              <w:right w:val="single" w:sz="8" w:space="0" w:color="auto"/>
            </w:tcBorders>
            <w:shd w:val="clear" w:color="auto" w:fill="auto"/>
            <w:vAlign w:val="center"/>
            <w:hideMark/>
          </w:tcPr>
          <w:p w14:paraId="1BA288BF"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ABF.C601</w:t>
            </w:r>
          </w:p>
        </w:tc>
        <w:tc>
          <w:tcPr>
            <w:tcW w:w="1417" w:type="dxa"/>
            <w:tcBorders>
              <w:top w:val="nil"/>
              <w:left w:val="nil"/>
              <w:bottom w:val="nil"/>
              <w:right w:val="single" w:sz="8" w:space="0" w:color="auto"/>
            </w:tcBorders>
            <w:shd w:val="clear" w:color="auto" w:fill="auto"/>
            <w:vAlign w:val="center"/>
            <w:hideMark/>
          </w:tcPr>
          <w:p w14:paraId="4564BE62"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ABF.D601</w:t>
            </w:r>
          </w:p>
        </w:tc>
        <w:tc>
          <w:tcPr>
            <w:tcW w:w="1276" w:type="dxa"/>
            <w:tcBorders>
              <w:top w:val="nil"/>
              <w:left w:val="nil"/>
              <w:bottom w:val="nil"/>
              <w:right w:val="single" w:sz="8" w:space="0" w:color="auto"/>
            </w:tcBorders>
            <w:shd w:val="clear" w:color="auto" w:fill="auto"/>
            <w:vAlign w:val="center"/>
            <w:hideMark/>
          </w:tcPr>
          <w:p w14:paraId="44E89BE1"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ABF.E601</w:t>
            </w:r>
          </w:p>
        </w:tc>
        <w:tc>
          <w:tcPr>
            <w:tcW w:w="1559" w:type="dxa"/>
            <w:gridSpan w:val="2"/>
            <w:tcBorders>
              <w:top w:val="nil"/>
              <w:left w:val="nil"/>
              <w:bottom w:val="nil"/>
              <w:right w:val="single" w:sz="8" w:space="0" w:color="auto"/>
            </w:tcBorders>
            <w:shd w:val="clear" w:color="auto" w:fill="auto"/>
            <w:vAlign w:val="center"/>
            <w:hideMark/>
          </w:tcPr>
          <w:p w14:paraId="2AB0DE42"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ABF.F601</w:t>
            </w:r>
          </w:p>
        </w:tc>
        <w:tc>
          <w:tcPr>
            <w:tcW w:w="1134" w:type="dxa"/>
            <w:gridSpan w:val="2"/>
            <w:tcBorders>
              <w:top w:val="nil"/>
              <w:left w:val="nil"/>
              <w:bottom w:val="nil"/>
              <w:right w:val="single" w:sz="8" w:space="0" w:color="auto"/>
            </w:tcBorders>
            <w:shd w:val="clear" w:color="auto" w:fill="auto"/>
            <w:vAlign w:val="center"/>
            <w:hideMark/>
          </w:tcPr>
          <w:p w14:paraId="5E4B4372"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ABF.G601</w:t>
            </w:r>
          </w:p>
        </w:tc>
      </w:tr>
      <w:tr w:rsidR="00D73956" w:rsidRPr="00D73956" w14:paraId="29041C5A"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7ED38834" w14:textId="77777777" w:rsidR="00D73956" w:rsidRPr="00D73956" w:rsidRDefault="00D73956" w:rsidP="006A139B">
            <w:pPr>
              <w:spacing w:after="0" w:line="240" w:lineRule="auto"/>
              <w:ind w:firstLineChars="100" w:firstLine="161"/>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 xml:space="preserve"> Outras Destinações de Recursos</w:t>
            </w:r>
          </w:p>
        </w:tc>
        <w:tc>
          <w:tcPr>
            <w:tcW w:w="1276" w:type="dxa"/>
            <w:tcBorders>
              <w:top w:val="nil"/>
              <w:left w:val="nil"/>
              <w:bottom w:val="nil"/>
              <w:right w:val="single" w:sz="8" w:space="0" w:color="auto"/>
            </w:tcBorders>
            <w:shd w:val="clear" w:color="auto" w:fill="auto"/>
            <w:vAlign w:val="center"/>
            <w:hideMark/>
          </w:tcPr>
          <w:p w14:paraId="141D1F17" w14:textId="77777777" w:rsidR="00D73956" w:rsidRPr="00D73956" w:rsidRDefault="00D73956" w:rsidP="006A139B">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ABF.B043</w:t>
            </w:r>
          </w:p>
        </w:tc>
        <w:tc>
          <w:tcPr>
            <w:tcW w:w="1559" w:type="dxa"/>
            <w:tcBorders>
              <w:top w:val="nil"/>
              <w:left w:val="nil"/>
              <w:bottom w:val="nil"/>
              <w:right w:val="single" w:sz="8" w:space="0" w:color="auto"/>
            </w:tcBorders>
            <w:shd w:val="clear" w:color="auto" w:fill="auto"/>
            <w:vAlign w:val="center"/>
            <w:hideMark/>
          </w:tcPr>
          <w:p w14:paraId="3C3E73EC" w14:textId="77777777" w:rsidR="00D73956" w:rsidRPr="00D73956" w:rsidRDefault="00D73956" w:rsidP="006A139B">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ABF.C043</w:t>
            </w:r>
          </w:p>
        </w:tc>
        <w:tc>
          <w:tcPr>
            <w:tcW w:w="1417" w:type="dxa"/>
            <w:tcBorders>
              <w:top w:val="nil"/>
              <w:left w:val="nil"/>
              <w:bottom w:val="nil"/>
              <w:right w:val="single" w:sz="8" w:space="0" w:color="auto"/>
            </w:tcBorders>
            <w:shd w:val="clear" w:color="auto" w:fill="auto"/>
            <w:vAlign w:val="center"/>
            <w:hideMark/>
          </w:tcPr>
          <w:p w14:paraId="42F1F1E9" w14:textId="77777777" w:rsidR="00D73956" w:rsidRPr="00D73956" w:rsidRDefault="00D73956" w:rsidP="006A139B">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ABF.D043</w:t>
            </w:r>
          </w:p>
        </w:tc>
        <w:tc>
          <w:tcPr>
            <w:tcW w:w="1276" w:type="dxa"/>
            <w:tcBorders>
              <w:top w:val="nil"/>
              <w:left w:val="nil"/>
              <w:bottom w:val="nil"/>
              <w:right w:val="single" w:sz="8" w:space="0" w:color="auto"/>
            </w:tcBorders>
            <w:shd w:val="clear" w:color="auto" w:fill="auto"/>
            <w:vAlign w:val="center"/>
            <w:hideMark/>
          </w:tcPr>
          <w:p w14:paraId="56DA54EE" w14:textId="77777777" w:rsidR="00D73956" w:rsidRPr="00D73956" w:rsidRDefault="00D73956" w:rsidP="006A139B">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ABF.E043</w:t>
            </w:r>
          </w:p>
        </w:tc>
        <w:tc>
          <w:tcPr>
            <w:tcW w:w="1559" w:type="dxa"/>
            <w:gridSpan w:val="2"/>
            <w:tcBorders>
              <w:top w:val="nil"/>
              <w:left w:val="nil"/>
              <w:bottom w:val="nil"/>
              <w:right w:val="single" w:sz="8" w:space="0" w:color="auto"/>
            </w:tcBorders>
            <w:shd w:val="clear" w:color="auto" w:fill="auto"/>
            <w:vAlign w:val="center"/>
            <w:hideMark/>
          </w:tcPr>
          <w:p w14:paraId="10F90DC6" w14:textId="77777777" w:rsidR="00D73956" w:rsidRPr="00D73956" w:rsidRDefault="00D73956" w:rsidP="006A139B">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ABF.F043</w:t>
            </w:r>
          </w:p>
        </w:tc>
        <w:tc>
          <w:tcPr>
            <w:tcW w:w="1134" w:type="dxa"/>
            <w:gridSpan w:val="2"/>
            <w:tcBorders>
              <w:top w:val="nil"/>
              <w:left w:val="nil"/>
              <w:bottom w:val="nil"/>
              <w:right w:val="single" w:sz="8" w:space="0" w:color="auto"/>
            </w:tcBorders>
            <w:shd w:val="clear" w:color="auto" w:fill="auto"/>
            <w:vAlign w:val="center"/>
            <w:hideMark/>
          </w:tcPr>
          <w:p w14:paraId="3D921A34" w14:textId="77777777" w:rsidR="00D73956" w:rsidRPr="00D73956" w:rsidRDefault="00D73956" w:rsidP="006A139B">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ABF.G043</w:t>
            </w:r>
          </w:p>
        </w:tc>
      </w:tr>
      <w:tr w:rsidR="00D73956" w:rsidRPr="00D73956" w14:paraId="3F35B5E3"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1DC06BE9"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000 - CAUÇÕES E VALORES RESTITUÍVEIS</w:t>
            </w:r>
          </w:p>
        </w:tc>
        <w:tc>
          <w:tcPr>
            <w:tcW w:w="1276" w:type="dxa"/>
            <w:tcBorders>
              <w:top w:val="nil"/>
              <w:left w:val="nil"/>
              <w:bottom w:val="nil"/>
              <w:right w:val="single" w:sz="8" w:space="0" w:color="auto"/>
            </w:tcBorders>
            <w:shd w:val="clear" w:color="auto" w:fill="auto"/>
            <w:vAlign w:val="center"/>
            <w:hideMark/>
          </w:tcPr>
          <w:p w14:paraId="79F87A7F"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ABF.B535</w:t>
            </w:r>
          </w:p>
        </w:tc>
        <w:tc>
          <w:tcPr>
            <w:tcW w:w="1559" w:type="dxa"/>
            <w:tcBorders>
              <w:top w:val="nil"/>
              <w:left w:val="nil"/>
              <w:bottom w:val="nil"/>
              <w:right w:val="single" w:sz="8" w:space="0" w:color="auto"/>
            </w:tcBorders>
            <w:shd w:val="clear" w:color="auto" w:fill="auto"/>
            <w:vAlign w:val="center"/>
            <w:hideMark/>
          </w:tcPr>
          <w:p w14:paraId="4C804476"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ABF.C535</w:t>
            </w:r>
          </w:p>
        </w:tc>
        <w:tc>
          <w:tcPr>
            <w:tcW w:w="1417" w:type="dxa"/>
            <w:tcBorders>
              <w:top w:val="nil"/>
              <w:left w:val="nil"/>
              <w:bottom w:val="nil"/>
              <w:right w:val="single" w:sz="8" w:space="0" w:color="auto"/>
            </w:tcBorders>
            <w:shd w:val="clear" w:color="auto" w:fill="auto"/>
            <w:vAlign w:val="center"/>
            <w:hideMark/>
          </w:tcPr>
          <w:p w14:paraId="6FCF331D"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ABF.D535</w:t>
            </w:r>
          </w:p>
        </w:tc>
        <w:tc>
          <w:tcPr>
            <w:tcW w:w="1276" w:type="dxa"/>
            <w:tcBorders>
              <w:top w:val="nil"/>
              <w:left w:val="nil"/>
              <w:bottom w:val="nil"/>
              <w:right w:val="single" w:sz="8" w:space="0" w:color="auto"/>
            </w:tcBorders>
            <w:shd w:val="clear" w:color="auto" w:fill="auto"/>
            <w:vAlign w:val="center"/>
            <w:hideMark/>
          </w:tcPr>
          <w:p w14:paraId="7AE8CDFA"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ABF.E535</w:t>
            </w:r>
          </w:p>
        </w:tc>
        <w:tc>
          <w:tcPr>
            <w:tcW w:w="1559" w:type="dxa"/>
            <w:gridSpan w:val="2"/>
            <w:tcBorders>
              <w:top w:val="nil"/>
              <w:left w:val="nil"/>
              <w:bottom w:val="nil"/>
              <w:right w:val="single" w:sz="8" w:space="0" w:color="auto"/>
            </w:tcBorders>
            <w:shd w:val="clear" w:color="auto" w:fill="auto"/>
            <w:vAlign w:val="center"/>
            <w:hideMark/>
          </w:tcPr>
          <w:p w14:paraId="5032E622"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ABF.F535</w:t>
            </w:r>
          </w:p>
        </w:tc>
        <w:tc>
          <w:tcPr>
            <w:tcW w:w="1134" w:type="dxa"/>
            <w:gridSpan w:val="2"/>
            <w:tcBorders>
              <w:top w:val="nil"/>
              <w:left w:val="nil"/>
              <w:bottom w:val="nil"/>
              <w:right w:val="single" w:sz="8" w:space="0" w:color="auto"/>
            </w:tcBorders>
            <w:shd w:val="clear" w:color="auto" w:fill="auto"/>
            <w:vAlign w:val="center"/>
            <w:hideMark/>
          </w:tcPr>
          <w:p w14:paraId="4BB378FF"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ABF.G535</w:t>
            </w:r>
          </w:p>
        </w:tc>
      </w:tr>
      <w:tr w:rsidR="00D73956" w:rsidRPr="00D73956" w14:paraId="564F56F6"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0A8FAAD9"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lastRenderedPageBreak/>
              <w:t>107 - ROYALTIES, PARTICIPAÇÃO ESPECIAL E FUNDO ESPECIAL DO PETRÓLEO</w:t>
            </w:r>
          </w:p>
        </w:tc>
        <w:tc>
          <w:tcPr>
            <w:tcW w:w="1276" w:type="dxa"/>
            <w:tcBorders>
              <w:top w:val="nil"/>
              <w:left w:val="nil"/>
              <w:bottom w:val="nil"/>
              <w:right w:val="single" w:sz="8" w:space="0" w:color="auto"/>
            </w:tcBorders>
            <w:shd w:val="clear" w:color="auto" w:fill="auto"/>
            <w:vAlign w:val="center"/>
            <w:hideMark/>
          </w:tcPr>
          <w:p w14:paraId="4499F117"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ABF.B594</w:t>
            </w:r>
          </w:p>
        </w:tc>
        <w:tc>
          <w:tcPr>
            <w:tcW w:w="1559" w:type="dxa"/>
            <w:tcBorders>
              <w:top w:val="nil"/>
              <w:left w:val="nil"/>
              <w:bottom w:val="nil"/>
              <w:right w:val="single" w:sz="8" w:space="0" w:color="auto"/>
            </w:tcBorders>
            <w:shd w:val="clear" w:color="auto" w:fill="auto"/>
            <w:vAlign w:val="center"/>
            <w:hideMark/>
          </w:tcPr>
          <w:p w14:paraId="60C2EA47"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ABF.C594</w:t>
            </w:r>
          </w:p>
        </w:tc>
        <w:tc>
          <w:tcPr>
            <w:tcW w:w="1417" w:type="dxa"/>
            <w:tcBorders>
              <w:top w:val="nil"/>
              <w:left w:val="nil"/>
              <w:bottom w:val="nil"/>
              <w:right w:val="single" w:sz="8" w:space="0" w:color="auto"/>
            </w:tcBorders>
            <w:shd w:val="clear" w:color="auto" w:fill="auto"/>
            <w:vAlign w:val="center"/>
            <w:hideMark/>
          </w:tcPr>
          <w:p w14:paraId="30A2875A"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ABF.D594</w:t>
            </w:r>
          </w:p>
        </w:tc>
        <w:tc>
          <w:tcPr>
            <w:tcW w:w="1276" w:type="dxa"/>
            <w:tcBorders>
              <w:top w:val="nil"/>
              <w:left w:val="nil"/>
              <w:bottom w:val="nil"/>
              <w:right w:val="single" w:sz="8" w:space="0" w:color="auto"/>
            </w:tcBorders>
            <w:shd w:val="clear" w:color="auto" w:fill="auto"/>
            <w:vAlign w:val="center"/>
            <w:hideMark/>
          </w:tcPr>
          <w:p w14:paraId="662F4E33"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ABF.E594</w:t>
            </w:r>
          </w:p>
        </w:tc>
        <w:tc>
          <w:tcPr>
            <w:tcW w:w="1559" w:type="dxa"/>
            <w:gridSpan w:val="2"/>
            <w:tcBorders>
              <w:top w:val="nil"/>
              <w:left w:val="nil"/>
              <w:bottom w:val="nil"/>
              <w:right w:val="single" w:sz="8" w:space="0" w:color="auto"/>
            </w:tcBorders>
            <w:shd w:val="clear" w:color="auto" w:fill="auto"/>
            <w:vAlign w:val="center"/>
            <w:hideMark/>
          </w:tcPr>
          <w:p w14:paraId="3FD7F7CF"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ABF.F594</w:t>
            </w:r>
          </w:p>
        </w:tc>
        <w:tc>
          <w:tcPr>
            <w:tcW w:w="1134" w:type="dxa"/>
            <w:gridSpan w:val="2"/>
            <w:tcBorders>
              <w:top w:val="nil"/>
              <w:left w:val="nil"/>
              <w:bottom w:val="nil"/>
              <w:right w:val="single" w:sz="8" w:space="0" w:color="auto"/>
            </w:tcBorders>
            <w:shd w:val="clear" w:color="auto" w:fill="auto"/>
            <w:vAlign w:val="center"/>
            <w:hideMark/>
          </w:tcPr>
          <w:p w14:paraId="5B4A8EA6"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ABF.G594</w:t>
            </w:r>
          </w:p>
        </w:tc>
      </w:tr>
      <w:tr w:rsidR="00D73956" w:rsidRPr="00D73956" w14:paraId="2906B3B4"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3CC80158"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108 - DISTRIBUIÇÃO DA CESSÃO ONEROSA DO BÔNUS DE ASSINATURA DO PRÉ-SAL - LEI Nº 13.885/2019</w:t>
            </w:r>
          </w:p>
        </w:tc>
        <w:tc>
          <w:tcPr>
            <w:tcW w:w="1276" w:type="dxa"/>
            <w:tcBorders>
              <w:top w:val="nil"/>
              <w:left w:val="nil"/>
              <w:bottom w:val="nil"/>
              <w:right w:val="single" w:sz="8" w:space="0" w:color="auto"/>
            </w:tcBorders>
            <w:shd w:val="clear" w:color="auto" w:fill="auto"/>
            <w:vAlign w:val="center"/>
            <w:hideMark/>
          </w:tcPr>
          <w:p w14:paraId="5FE86EF9"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ABF.B595</w:t>
            </w:r>
          </w:p>
        </w:tc>
        <w:tc>
          <w:tcPr>
            <w:tcW w:w="1559" w:type="dxa"/>
            <w:tcBorders>
              <w:top w:val="nil"/>
              <w:left w:val="nil"/>
              <w:bottom w:val="nil"/>
              <w:right w:val="single" w:sz="8" w:space="0" w:color="auto"/>
            </w:tcBorders>
            <w:shd w:val="clear" w:color="auto" w:fill="auto"/>
            <w:vAlign w:val="center"/>
            <w:hideMark/>
          </w:tcPr>
          <w:p w14:paraId="72F636C6"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ABF.C595</w:t>
            </w:r>
          </w:p>
        </w:tc>
        <w:tc>
          <w:tcPr>
            <w:tcW w:w="1417" w:type="dxa"/>
            <w:tcBorders>
              <w:top w:val="nil"/>
              <w:left w:val="nil"/>
              <w:bottom w:val="nil"/>
              <w:right w:val="single" w:sz="8" w:space="0" w:color="auto"/>
            </w:tcBorders>
            <w:shd w:val="clear" w:color="auto" w:fill="auto"/>
            <w:vAlign w:val="center"/>
            <w:hideMark/>
          </w:tcPr>
          <w:p w14:paraId="6AA02E7B"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ABF.D595</w:t>
            </w:r>
          </w:p>
        </w:tc>
        <w:tc>
          <w:tcPr>
            <w:tcW w:w="1276" w:type="dxa"/>
            <w:tcBorders>
              <w:top w:val="nil"/>
              <w:left w:val="nil"/>
              <w:bottom w:val="nil"/>
              <w:right w:val="single" w:sz="8" w:space="0" w:color="auto"/>
            </w:tcBorders>
            <w:shd w:val="clear" w:color="auto" w:fill="auto"/>
            <w:vAlign w:val="center"/>
            <w:hideMark/>
          </w:tcPr>
          <w:p w14:paraId="1E241BE6"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ABF.E595</w:t>
            </w:r>
          </w:p>
        </w:tc>
        <w:tc>
          <w:tcPr>
            <w:tcW w:w="1559" w:type="dxa"/>
            <w:gridSpan w:val="2"/>
            <w:tcBorders>
              <w:top w:val="nil"/>
              <w:left w:val="nil"/>
              <w:bottom w:val="nil"/>
              <w:right w:val="single" w:sz="8" w:space="0" w:color="auto"/>
            </w:tcBorders>
            <w:shd w:val="clear" w:color="auto" w:fill="auto"/>
            <w:vAlign w:val="center"/>
            <w:hideMark/>
          </w:tcPr>
          <w:p w14:paraId="6A4EF9A7"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ABF.F595</w:t>
            </w:r>
          </w:p>
        </w:tc>
        <w:tc>
          <w:tcPr>
            <w:tcW w:w="1134" w:type="dxa"/>
            <w:gridSpan w:val="2"/>
            <w:tcBorders>
              <w:top w:val="nil"/>
              <w:left w:val="nil"/>
              <w:bottom w:val="nil"/>
              <w:right w:val="single" w:sz="8" w:space="0" w:color="auto"/>
            </w:tcBorders>
            <w:shd w:val="clear" w:color="auto" w:fill="auto"/>
            <w:vAlign w:val="center"/>
            <w:hideMark/>
          </w:tcPr>
          <w:p w14:paraId="72CC7739"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ABF.G595</w:t>
            </w:r>
          </w:p>
        </w:tc>
      </w:tr>
      <w:tr w:rsidR="00D73956" w:rsidRPr="00D73956" w14:paraId="0EE7AE21"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0128CCBF"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112 - SUPERÁVIT FINANCEIRO - DEC 2829-R, DE 17/08/11</w:t>
            </w:r>
          </w:p>
        </w:tc>
        <w:tc>
          <w:tcPr>
            <w:tcW w:w="1276" w:type="dxa"/>
            <w:tcBorders>
              <w:top w:val="nil"/>
              <w:left w:val="nil"/>
              <w:bottom w:val="nil"/>
              <w:right w:val="single" w:sz="8" w:space="0" w:color="auto"/>
            </w:tcBorders>
            <w:shd w:val="clear" w:color="auto" w:fill="auto"/>
            <w:vAlign w:val="center"/>
            <w:hideMark/>
          </w:tcPr>
          <w:p w14:paraId="15437263"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ABF.B536</w:t>
            </w:r>
          </w:p>
        </w:tc>
        <w:tc>
          <w:tcPr>
            <w:tcW w:w="1559" w:type="dxa"/>
            <w:tcBorders>
              <w:top w:val="nil"/>
              <w:left w:val="nil"/>
              <w:bottom w:val="nil"/>
              <w:right w:val="single" w:sz="8" w:space="0" w:color="auto"/>
            </w:tcBorders>
            <w:shd w:val="clear" w:color="auto" w:fill="auto"/>
            <w:vAlign w:val="center"/>
            <w:hideMark/>
          </w:tcPr>
          <w:p w14:paraId="5787FFE1"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ABF.C536</w:t>
            </w:r>
          </w:p>
        </w:tc>
        <w:tc>
          <w:tcPr>
            <w:tcW w:w="1417" w:type="dxa"/>
            <w:tcBorders>
              <w:top w:val="nil"/>
              <w:left w:val="nil"/>
              <w:bottom w:val="nil"/>
              <w:right w:val="single" w:sz="8" w:space="0" w:color="auto"/>
            </w:tcBorders>
            <w:shd w:val="clear" w:color="auto" w:fill="auto"/>
            <w:vAlign w:val="center"/>
            <w:hideMark/>
          </w:tcPr>
          <w:p w14:paraId="17703DC2"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ABF.D536</w:t>
            </w:r>
          </w:p>
        </w:tc>
        <w:tc>
          <w:tcPr>
            <w:tcW w:w="1276" w:type="dxa"/>
            <w:tcBorders>
              <w:top w:val="nil"/>
              <w:left w:val="nil"/>
              <w:bottom w:val="nil"/>
              <w:right w:val="single" w:sz="8" w:space="0" w:color="auto"/>
            </w:tcBorders>
            <w:shd w:val="clear" w:color="auto" w:fill="auto"/>
            <w:vAlign w:val="center"/>
            <w:hideMark/>
          </w:tcPr>
          <w:p w14:paraId="47FE038F"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ABF.E536</w:t>
            </w:r>
          </w:p>
        </w:tc>
        <w:tc>
          <w:tcPr>
            <w:tcW w:w="1559" w:type="dxa"/>
            <w:gridSpan w:val="2"/>
            <w:tcBorders>
              <w:top w:val="nil"/>
              <w:left w:val="nil"/>
              <w:bottom w:val="nil"/>
              <w:right w:val="single" w:sz="8" w:space="0" w:color="auto"/>
            </w:tcBorders>
            <w:shd w:val="clear" w:color="auto" w:fill="auto"/>
            <w:vAlign w:val="center"/>
            <w:hideMark/>
          </w:tcPr>
          <w:p w14:paraId="76DB54BF"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ABF.F536</w:t>
            </w:r>
          </w:p>
        </w:tc>
        <w:tc>
          <w:tcPr>
            <w:tcW w:w="1134" w:type="dxa"/>
            <w:gridSpan w:val="2"/>
            <w:tcBorders>
              <w:top w:val="nil"/>
              <w:left w:val="nil"/>
              <w:bottom w:val="nil"/>
              <w:right w:val="single" w:sz="8" w:space="0" w:color="auto"/>
            </w:tcBorders>
            <w:shd w:val="clear" w:color="auto" w:fill="auto"/>
            <w:vAlign w:val="center"/>
            <w:hideMark/>
          </w:tcPr>
          <w:p w14:paraId="574F0E62"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ABF.G536</w:t>
            </w:r>
          </w:p>
        </w:tc>
      </w:tr>
      <w:tr w:rsidR="00D73956" w:rsidRPr="00D73956" w14:paraId="00A652DF"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690FEA5F"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115 - ALIENAÇÃO DE BENS</w:t>
            </w:r>
          </w:p>
        </w:tc>
        <w:tc>
          <w:tcPr>
            <w:tcW w:w="1276" w:type="dxa"/>
            <w:tcBorders>
              <w:top w:val="nil"/>
              <w:left w:val="nil"/>
              <w:bottom w:val="nil"/>
              <w:right w:val="single" w:sz="8" w:space="0" w:color="auto"/>
            </w:tcBorders>
            <w:shd w:val="clear" w:color="auto" w:fill="auto"/>
            <w:vAlign w:val="center"/>
            <w:hideMark/>
          </w:tcPr>
          <w:p w14:paraId="229F3C2B"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ABF.B537</w:t>
            </w:r>
          </w:p>
        </w:tc>
        <w:tc>
          <w:tcPr>
            <w:tcW w:w="1559" w:type="dxa"/>
            <w:tcBorders>
              <w:top w:val="nil"/>
              <w:left w:val="nil"/>
              <w:bottom w:val="nil"/>
              <w:right w:val="single" w:sz="8" w:space="0" w:color="auto"/>
            </w:tcBorders>
            <w:shd w:val="clear" w:color="auto" w:fill="auto"/>
            <w:vAlign w:val="center"/>
            <w:hideMark/>
          </w:tcPr>
          <w:p w14:paraId="51D4088C"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ABF.C537</w:t>
            </w:r>
          </w:p>
        </w:tc>
        <w:tc>
          <w:tcPr>
            <w:tcW w:w="1417" w:type="dxa"/>
            <w:tcBorders>
              <w:top w:val="nil"/>
              <w:left w:val="nil"/>
              <w:bottom w:val="nil"/>
              <w:right w:val="single" w:sz="8" w:space="0" w:color="auto"/>
            </w:tcBorders>
            <w:shd w:val="clear" w:color="auto" w:fill="auto"/>
            <w:vAlign w:val="center"/>
            <w:hideMark/>
          </w:tcPr>
          <w:p w14:paraId="4E58D546"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ABF.D537</w:t>
            </w:r>
          </w:p>
        </w:tc>
        <w:tc>
          <w:tcPr>
            <w:tcW w:w="1276" w:type="dxa"/>
            <w:tcBorders>
              <w:top w:val="nil"/>
              <w:left w:val="nil"/>
              <w:bottom w:val="nil"/>
              <w:right w:val="single" w:sz="8" w:space="0" w:color="auto"/>
            </w:tcBorders>
            <w:shd w:val="clear" w:color="auto" w:fill="auto"/>
            <w:vAlign w:val="center"/>
            <w:hideMark/>
          </w:tcPr>
          <w:p w14:paraId="40FAC648"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ABF.E537</w:t>
            </w:r>
          </w:p>
        </w:tc>
        <w:tc>
          <w:tcPr>
            <w:tcW w:w="1559" w:type="dxa"/>
            <w:gridSpan w:val="2"/>
            <w:tcBorders>
              <w:top w:val="nil"/>
              <w:left w:val="nil"/>
              <w:bottom w:val="nil"/>
              <w:right w:val="single" w:sz="8" w:space="0" w:color="auto"/>
            </w:tcBorders>
            <w:shd w:val="clear" w:color="auto" w:fill="auto"/>
            <w:vAlign w:val="center"/>
            <w:hideMark/>
          </w:tcPr>
          <w:p w14:paraId="6F95888D"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ABF.F537</w:t>
            </w:r>
          </w:p>
        </w:tc>
        <w:tc>
          <w:tcPr>
            <w:tcW w:w="1134" w:type="dxa"/>
            <w:gridSpan w:val="2"/>
            <w:tcBorders>
              <w:top w:val="nil"/>
              <w:left w:val="nil"/>
              <w:bottom w:val="nil"/>
              <w:right w:val="single" w:sz="8" w:space="0" w:color="auto"/>
            </w:tcBorders>
            <w:shd w:val="clear" w:color="auto" w:fill="auto"/>
            <w:vAlign w:val="center"/>
            <w:hideMark/>
          </w:tcPr>
          <w:p w14:paraId="56A4859A"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ABF.G537</w:t>
            </w:r>
          </w:p>
        </w:tc>
      </w:tr>
      <w:tr w:rsidR="00D73956" w:rsidRPr="00D73956" w14:paraId="2DB41D2F"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07C5D409"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116 - DEPÓSITOS JUDICIAIS – LEI 10.549, DE 1º JULHO DE 2016</w:t>
            </w:r>
          </w:p>
        </w:tc>
        <w:tc>
          <w:tcPr>
            <w:tcW w:w="1276" w:type="dxa"/>
            <w:tcBorders>
              <w:top w:val="nil"/>
              <w:left w:val="nil"/>
              <w:bottom w:val="nil"/>
              <w:right w:val="single" w:sz="8" w:space="0" w:color="auto"/>
            </w:tcBorders>
            <w:shd w:val="clear" w:color="auto" w:fill="auto"/>
            <w:vAlign w:val="center"/>
            <w:hideMark/>
          </w:tcPr>
          <w:p w14:paraId="4B641864"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ABF.B538</w:t>
            </w:r>
          </w:p>
        </w:tc>
        <w:tc>
          <w:tcPr>
            <w:tcW w:w="1559" w:type="dxa"/>
            <w:tcBorders>
              <w:top w:val="nil"/>
              <w:left w:val="nil"/>
              <w:bottom w:val="nil"/>
              <w:right w:val="single" w:sz="8" w:space="0" w:color="auto"/>
            </w:tcBorders>
            <w:shd w:val="clear" w:color="auto" w:fill="auto"/>
            <w:vAlign w:val="center"/>
            <w:hideMark/>
          </w:tcPr>
          <w:p w14:paraId="5A087F5E"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ABF.C538</w:t>
            </w:r>
          </w:p>
        </w:tc>
        <w:tc>
          <w:tcPr>
            <w:tcW w:w="1417" w:type="dxa"/>
            <w:tcBorders>
              <w:top w:val="nil"/>
              <w:left w:val="nil"/>
              <w:bottom w:val="nil"/>
              <w:right w:val="single" w:sz="8" w:space="0" w:color="auto"/>
            </w:tcBorders>
            <w:shd w:val="clear" w:color="auto" w:fill="auto"/>
            <w:vAlign w:val="center"/>
            <w:hideMark/>
          </w:tcPr>
          <w:p w14:paraId="130B22CD"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ABF.D538</w:t>
            </w:r>
          </w:p>
        </w:tc>
        <w:tc>
          <w:tcPr>
            <w:tcW w:w="1276" w:type="dxa"/>
            <w:tcBorders>
              <w:top w:val="nil"/>
              <w:left w:val="nil"/>
              <w:bottom w:val="nil"/>
              <w:right w:val="single" w:sz="8" w:space="0" w:color="auto"/>
            </w:tcBorders>
            <w:shd w:val="clear" w:color="auto" w:fill="auto"/>
            <w:vAlign w:val="center"/>
            <w:hideMark/>
          </w:tcPr>
          <w:p w14:paraId="2D42CA4C"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ABF.E538</w:t>
            </w:r>
          </w:p>
        </w:tc>
        <w:tc>
          <w:tcPr>
            <w:tcW w:w="1559" w:type="dxa"/>
            <w:gridSpan w:val="2"/>
            <w:tcBorders>
              <w:top w:val="nil"/>
              <w:left w:val="nil"/>
              <w:bottom w:val="nil"/>
              <w:right w:val="single" w:sz="8" w:space="0" w:color="auto"/>
            </w:tcBorders>
            <w:shd w:val="clear" w:color="auto" w:fill="auto"/>
            <w:vAlign w:val="center"/>
            <w:hideMark/>
          </w:tcPr>
          <w:p w14:paraId="76578572"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ABF.F538</w:t>
            </w:r>
          </w:p>
        </w:tc>
        <w:tc>
          <w:tcPr>
            <w:tcW w:w="1134" w:type="dxa"/>
            <w:gridSpan w:val="2"/>
            <w:tcBorders>
              <w:top w:val="nil"/>
              <w:left w:val="nil"/>
              <w:bottom w:val="nil"/>
              <w:right w:val="single" w:sz="8" w:space="0" w:color="auto"/>
            </w:tcBorders>
            <w:shd w:val="clear" w:color="auto" w:fill="auto"/>
            <w:vAlign w:val="center"/>
            <w:hideMark/>
          </w:tcPr>
          <w:p w14:paraId="16A75D54"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ABF.G538</w:t>
            </w:r>
          </w:p>
        </w:tc>
      </w:tr>
      <w:tr w:rsidR="00D73956" w:rsidRPr="00D73956" w14:paraId="325F5D94"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tcPr>
          <w:p w14:paraId="71D05A5B"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129 – CONVÊNIOS COM INSTITUIÇÕES PRIVADAS</w:t>
            </w:r>
          </w:p>
        </w:tc>
        <w:tc>
          <w:tcPr>
            <w:tcW w:w="1276" w:type="dxa"/>
            <w:tcBorders>
              <w:top w:val="nil"/>
              <w:left w:val="nil"/>
              <w:bottom w:val="nil"/>
              <w:right w:val="single" w:sz="8" w:space="0" w:color="auto"/>
            </w:tcBorders>
            <w:shd w:val="clear" w:color="auto" w:fill="auto"/>
            <w:vAlign w:val="center"/>
          </w:tcPr>
          <w:p w14:paraId="61273D6F"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ABF.B605</w:t>
            </w:r>
          </w:p>
        </w:tc>
        <w:tc>
          <w:tcPr>
            <w:tcW w:w="1559" w:type="dxa"/>
            <w:tcBorders>
              <w:top w:val="nil"/>
              <w:left w:val="nil"/>
              <w:bottom w:val="nil"/>
              <w:right w:val="single" w:sz="8" w:space="0" w:color="auto"/>
            </w:tcBorders>
            <w:shd w:val="clear" w:color="auto" w:fill="auto"/>
            <w:vAlign w:val="center"/>
          </w:tcPr>
          <w:p w14:paraId="396CA637"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ABF.C605</w:t>
            </w:r>
          </w:p>
        </w:tc>
        <w:tc>
          <w:tcPr>
            <w:tcW w:w="1417" w:type="dxa"/>
            <w:tcBorders>
              <w:top w:val="nil"/>
              <w:left w:val="nil"/>
              <w:bottom w:val="nil"/>
              <w:right w:val="single" w:sz="8" w:space="0" w:color="auto"/>
            </w:tcBorders>
            <w:shd w:val="clear" w:color="auto" w:fill="auto"/>
            <w:vAlign w:val="center"/>
          </w:tcPr>
          <w:p w14:paraId="18314C1F"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ABF.D605</w:t>
            </w:r>
          </w:p>
        </w:tc>
        <w:tc>
          <w:tcPr>
            <w:tcW w:w="1276" w:type="dxa"/>
            <w:tcBorders>
              <w:top w:val="nil"/>
              <w:left w:val="nil"/>
              <w:bottom w:val="nil"/>
              <w:right w:val="single" w:sz="8" w:space="0" w:color="auto"/>
            </w:tcBorders>
            <w:shd w:val="clear" w:color="auto" w:fill="auto"/>
            <w:vAlign w:val="center"/>
          </w:tcPr>
          <w:p w14:paraId="36420752"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ABF.E605</w:t>
            </w:r>
          </w:p>
        </w:tc>
        <w:tc>
          <w:tcPr>
            <w:tcW w:w="1559" w:type="dxa"/>
            <w:gridSpan w:val="2"/>
            <w:tcBorders>
              <w:top w:val="nil"/>
              <w:left w:val="nil"/>
              <w:bottom w:val="nil"/>
              <w:right w:val="single" w:sz="8" w:space="0" w:color="auto"/>
            </w:tcBorders>
            <w:shd w:val="clear" w:color="auto" w:fill="auto"/>
            <w:vAlign w:val="center"/>
          </w:tcPr>
          <w:p w14:paraId="1E1FA843"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ABF.F605</w:t>
            </w:r>
          </w:p>
        </w:tc>
        <w:tc>
          <w:tcPr>
            <w:tcW w:w="1134" w:type="dxa"/>
            <w:gridSpan w:val="2"/>
            <w:tcBorders>
              <w:top w:val="nil"/>
              <w:left w:val="nil"/>
              <w:bottom w:val="nil"/>
              <w:right w:val="single" w:sz="8" w:space="0" w:color="auto"/>
            </w:tcBorders>
            <w:shd w:val="clear" w:color="auto" w:fill="auto"/>
            <w:vAlign w:val="center"/>
          </w:tcPr>
          <w:p w14:paraId="3F86D327"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ABF.G605</w:t>
            </w:r>
          </w:p>
        </w:tc>
      </w:tr>
      <w:tr w:rsidR="00D73956" w:rsidRPr="00D73956" w14:paraId="4AA34FD6"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0F95CB83"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133 - CONVÊNIOS - UNIÃO</w:t>
            </w:r>
          </w:p>
        </w:tc>
        <w:tc>
          <w:tcPr>
            <w:tcW w:w="1276" w:type="dxa"/>
            <w:tcBorders>
              <w:top w:val="nil"/>
              <w:left w:val="nil"/>
              <w:bottom w:val="nil"/>
              <w:right w:val="single" w:sz="8" w:space="0" w:color="auto"/>
            </w:tcBorders>
            <w:shd w:val="clear" w:color="auto" w:fill="auto"/>
            <w:vAlign w:val="center"/>
            <w:hideMark/>
          </w:tcPr>
          <w:p w14:paraId="00AD24C7"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ABF.B539</w:t>
            </w:r>
          </w:p>
        </w:tc>
        <w:tc>
          <w:tcPr>
            <w:tcW w:w="1559" w:type="dxa"/>
            <w:tcBorders>
              <w:top w:val="nil"/>
              <w:left w:val="nil"/>
              <w:bottom w:val="nil"/>
              <w:right w:val="single" w:sz="8" w:space="0" w:color="auto"/>
            </w:tcBorders>
            <w:shd w:val="clear" w:color="auto" w:fill="auto"/>
            <w:vAlign w:val="center"/>
            <w:hideMark/>
          </w:tcPr>
          <w:p w14:paraId="0D68A503"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ABF.C539</w:t>
            </w:r>
          </w:p>
        </w:tc>
        <w:tc>
          <w:tcPr>
            <w:tcW w:w="1417" w:type="dxa"/>
            <w:tcBorders>
              <w:top w:val="nil"/>
              <w:left w:val="nil"/>
              <w:bottom w:val="nil"/>
              <w:right w:val="single" w:sz="8" w:space="0" w:color="auto"/>
            </w:tcBorders>
            <w:shd w:val="clear" w:color="auto" w:fill="auto"/>
            <w:vAlign w:val="center"/>
            <w:hideMark/>
          </w:tcPr>
          <w:p w14:paraId="028F18D8"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ABF.D539</w:t>
            </w:r>
          </w:p>
        </w:tc>
        <w:tc>
          <w:tcPr>
            <w:tcW w:w="1276" w:type="dxa"/>
            <w:tcBorders>
              <w:top w:val="nil"/>
              <w:left w:val="nil"/>
              <w:bottom w:val="nil"/>
              <w:right w:val="single" w:sz="8" w:space="0" w:color="auto"/>
            </w:tcBorders>
            <w:shd w:val="clear" w:color="auto" w:fill="auto"/>
            <w:vAlign w:val="center"/>
            <w:hideMark/>
          </w:tcPr>
          <w:p w14:paraId="46B8D0A7"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ABF.E539</w:t>
            </w:r>
          </w:p>
        </w:tc>
        <w:tc>
          <w:tcPr>
            <w:tcW w:w="1559" w:type="dxa"/>
            <w:gridSpan w:val="2"/>
            <w:tcBorders>
              <w:top w:val="nil"/>
              <w:left w:val="nil"/>
              <w:bottom w:val="nil"/>
              <w:right w:val="single" w:sz="8" w:space="0" w:color="auto"/>
            </w:tcBorders>
            <w:shd w:val="clear" w:color="auto" w:fill="auto"/>
            <w:vAlign w:val="center"/>
            <w:hideMark/>
          </w:tcPr>
          <w:p w14:paraId="3B295F04"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ABF.F539</w:t>
            </w:r>
          </w:p>
        </w:tc>
        <w:tc>
          <w:tcPr>
            <w:tcW w:w="1134" w:type="dxa"/>
            <w:gridSpan w:val="2"/>
            <w:tcBorders>
              <w:top w:val="nil"/>
              <w:left w:val="nil"/>
              <w:bottom w:val="nil"/>
              <w:right w:val="single" w:sz="8" w:space="0" w:color="auto"/>
            </w:tcBorders>
            <w:shd w:val="clear" w:color="auto" w:fill="auto"/>
            <w:vAlign w:val="center"/>
            <w:hideMark/>
          </w:tcPr>
          <w:p w14:paraId="3D2EE210"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ABF.G539</w:t>
            </w:r>
          </w:p>
        </w:tc>
      </w:tr>
      <w:tr w:rsidR="00D73956" w:rsidRPr="00D73956" w14:paraId="36559D28"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763A9E47"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136 - TRANSFERÊNCIAS CONSTITUCIONAIS A MUNICÍPIOS</w:t>
            </w:r>
          </w:p>
        </w:tc>
        <w:tc>
          <w:tcPr>
            <w:tcW w:w="1276" w:type="dxa"/>
            <w:tcBorders>
              <w:top w:val="nil"/>
              <w:left w:val="nil"/>
              <w:bottom w:val="nil"/>
              <w:right w:val="single" w:sz="8" w:space="0" w:color="auto"/>
            </w:tcBorders>
            <w:shd w:val="clear" w:color="auto" w:fill="auto"/>
            <w:vAlign w:val="center"/>
            <w:hideMark/>
          </w:tcPr>
          <w:p w14:paraId="41D70C51"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ABF.B540</w:t>
            </w:r>
          </w:p>
        </w:tc>
        <w:tc>
          <w:tcPr>
            <w:tcW w:w="1559" w:type="dxa"/>
            <w:tcBorders>
              <w:top w:val="nil"/>
              <w:left w:val="nil"/>
              <w:bottom w:val="nil"/>
              <w:right w:val="single" w:sz="8" w:space="0" w:color="auto"/>
            </w:tcBorders>
            <w:shd w:val="clear" w:color="auto" w:fill="auto"/>
            <w:vAlign w:val="center"/>
            <w:hideMark/>
          </w:tcPr>
          <w:p w14:paraId="72006972"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ABF.C540</w:t>
            </w:r>
          </w:p>
        </w:tc>
        <w:tc>
          <w:tcPr>
            <w:tcW w:w="1417" w:type="dxa"/>
            <w:tcBorders>
              <w:top w:val="nil"/>
              <w:left w:val="nil"/>
              <w:bottom w:val="nil"/>
              <w:right w:val="single" w:sz="8" w:space="0" w:color="auto"/>
            </w:tcBorders>
            <w:shd w:val="clear" w:color="auto" w:fill="auto"/>
            <w:vAlign w:val="center"/>
            <w:hideMark/>
          </w:tcPr>
          <w:p w14:paraId="14DA3B72"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ABF.D540</w:t>
            </w:r>
          </w:p>
        </w:tc>
        <w:tc>
          <w:tcPr>
            <w:tcW w:w="1276" w:type="dxa"/>
            <w:tcBorders>
              <w:top w:val="nil"/>
              <w:left w:val="nil"/>
              <w:bottom w:val="nil"/>
              <w:right w:val="single" w:sz="8" w:space="0" w:color="auto"/>
            </w:tcBorders>
            <w:shd w:val="clear" w:color="auto" w:fill="auto"/>
            <w:vAlign w:val="center"/>
            <w:hideMark/>
          </w:tcPr>
          <w:p w14:paraId="13272FCD"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ABF.E540</w:t>
            </w:r>
          </w:p>
        </w:tc>
        <w:tc>
          <w:tcPr>
            <w:tcW w:w="1559" w:type="dxa"/>
            <w:gridSpan w:val="2"/>
            <w:tcBorders>
              <w:top w:val="nil"/>
              <w:left w:val="nil"/>
              <w:bottom w:val="nil"/>
              <w:right w:val="single" w:sz="8" w:space="0" w:color="auto"/>
            </w:tcBorders>
            <w:shd w:val="clear" w:color="auto" w:fill="auto"/>
            <w:vAlign w:val="center"/>
            <w:hideMark/>
          </w:tcPr>
          <w:p w14:paraId="61618577"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ABF.F540</w:t>
            </w:r>
          </w:p>
        </w:tc>
        <w:tc>
          <w:tcPr>
            <w:tcW w:w="1134" w:type="dxa"/>
            <w:gridSpan w:val="2"/>
            <w:tcBorders>
              <w:top w:val="nil"/>
              <w:left w:val="nil"/>
              <w:bottom w:val="nil"/>
              <w:right w:val="single" w:sz="8" w:space="0" w:color="auto"/>
            </w:tcBorders>
            <w:shd w:val="clear" w:color="auto" w:fill="auto"/>
            <w:vAlign w:val="center"/>
            <w:hideMark/>
          </w:tcPr>
          <w:p w14:paraId="754A16B2"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ABF.G540</w:t>
            </w:r>
          </w:p>
        </w:tc>
      </w:tr>
      <w:tr w:rsidR="00D73956" w:rsidRPr="00D73956" w14:paraId="40DC450A"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0D7ACFFE"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138 - FUNDAP</w:t>
            </w:r>
          </w:p>
        </w:tc>
        <w:tc>
          <w:tcPr>
            <w:tcW w:w="1276" w:type="dxa"/>
            <w:tcBorders>
              <w:top w:val="nil"/>
              <w:left w:val="nil"/>
              <w:bottom w:val="nil"/>
              <w:right w:val="single" w:sz="8" w:space="0" w:color="auto"/>
            </w:tcBorders>
            <w:shd w:val="clear" w:color="auto" w:fill="auto"/>
            <w:vAlign w:val="center"/>
            <w:hideMark/>
          </w:tcPr>
          <w:p w14:paraId="3B89E930"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ABF.B541</w:t>
            </w:r>
          </w:p>
        </w:tc>
        <w:tc>
          <w:tcPr>
            <w:tcW w:w="1559" w:type="dxa"/>
            <w:tcBorders>
              <w:top w:val="nil"/>
              <w:left w:val="nil"/>
              <w:bottom w:val="nil"/>
              <w:right w:val="single" w:sz="8" w:space="0" w:color="auto"/>
            </w:tcBorders>
            <w:shd w:val="clear" w:color="auto" w:fill="auto"/>
            <w:vAlign w:val="center"/>
            <w:hideMark/>
          </w:tcPr>
          <w:p w14:paraId="34C3ACD5"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ABF.C541</w:t>
            </w:r>
          </w:p>
        </w:tc>
        <w:tc>
          <w:tcPr>
            <w:tcW w:w="1417" w:type="dxa"/>
            <w:tcBorders>
              <w:top w:val="nil"/>
              <w:left w:val="nil"/>
              <w:bottom w:val="nil"/>
              <w:right w:val="single" w:sz="8" w:space="0" w:color="auto"/>
            </w:tcBorders>
            <w:shd w:val="clear" w:color="auto" w:fill="auto"/>
            <w:vAlign w:val="center"/>
            <w:hideMark/>
          </w:tcPr>
          <w:p w14:paraId="51CA2B6A"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ABF.D541</w:t>
            </w:r>
          </w:p>
        </w:tc>
        <w:tc>
          <w:tcPr>
            <w:tcW w:w="1276" w:type="dxa"/>
            <w:tcBorders>
              <w:top w:val="nil"/>
              <w:left w:val="nil"/>
              <w:bottom w:val="nil"/>
              <w:right w:val="single" w:sz="8" w:space="0" w:color="auto"/>
            </w:tcBorders>
            <w:shd w:val="clear" w:color="auto" w:fill="auto"/>
            <w:vAlign w:val="center"/>
            <w:hideMark/>
          </w:tcPr>
          <w:p w14:paraId="53F058A6"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ABF.E541</w:t>
            </w:r>
          </w:p>
        </w:tc>
        <w:tc>
          <w:tcPr>
            <w:tcW w:w="1559" w:type="dxa"/>
            <w:gridSpan w:val="2"/>
            <w:tcBorders>
              <w:top w:val="nil"/>
              <w:left w:val="nil"/>
              <w:bottom w:val="nil"/>
              <w:right w:val="single" w:sz="8" w:space="0" w:color="auto"/>
            </w:tcBorders>
            <w:shd w:val="clear" w:color="auto" w:fill="auto"/>
            <w:vAlign w:val="center"/>
            <w:hideMark/>
          </w:tcPr>
          <w:p w14:paraId="4685BBA9"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ABF.F541</w:t>
            </w:r>
          </w:p>
        </w:tc>
        <w:tc>
          <w:tcPr>
            <w:tcW w:w="1134" w:type="dxa"/>
            <w:gridSpan w:val="2"/>
            <w:tcBorders>
              <w:top w:val="nil"/>
              <w:left w:val="nil"/>
              <w:bottom w:val="nil"/>
              <w:right w:val="single" w:sz="8" w:space="0" w:color="auto"/>
            </w:tcBorders>
            <w:shd w:val="clear" w:color="auto" w:fill="auto"/>
            <w:vAlign w:val="center"/>
            <w:hideMark/>
          </w:tcPr>
          <w:p w14:paraId="137D16B1"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ABF.G541</w:t>
            </w:r>
          </w:p>
        </w:tc>
      </w:tr>
      <w:tr w:rsidR="00D73956" w:rsidRPr="00D73956" w14:paraId="5D03A2CA"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5D516813"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139 - DOAÇÕES</w:t>
            </w:r>
          </w:p>
        </w:tc>
        <w:tc>
          <w:tcPr>
            <w:tcW w:w="1276" w:type="dxa"/>
            <w:tcBorders>
              <w:top w:val="nil"/>
              <w:left w:val="nil"/>
              <w:bottom w:val="nil"/>
              <w:right w:val="single" w:sz="8" w:space="0" w:color="auto"/>
            </w:tcBorders>
            <w:shd w:val="clear" w:color="auto" w:fill="auto"/>
            <w:vAlign w:val="center"/>
            <w:hideMark/>
          </w:tcPr>
          <w:p w14:paraId="171279C5"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ABF.B542</w:t>
            </w:r>
          </w:p>
        </w:tc>
        <w:tc>
          <w:tcPr>
            <w:tcW w:w="1559" w:type="dxa"/>
            <w:tcBorders>
              <w:top w:val="nil"/>
              <w:left w:val="nil"/>
              <w:bottom w:val="nil"/>
              <w:right w:val="single" w:sz="8" w:space="0" w:color="auto"/>
            </w:tcBorders>
            <w:shd w:val="clear" w:color="auto" w:fill="auto"/>
            <w:vAlign w:val="center"/>
            <w:hideMark/>
          </w:tcPr>
          <w:p w14:paraId="3AD63E61"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ABF.C542</w:t>
            </w:r>
          </w:p>
        </w:tc>
        <w:tc>
          <w:tcPr>
            <w:tcW w:w="1417" w:type="dxa"/>
            <w:tcBorders>
              <w:top w:val="nil"/>
              <w:left w:val="nil"/>
              <w:bottom w:val="nil"/>
              <w:right w:val="single" w:sz="8" w:space="0" w:color="auto"/>
            </w:tcBorders>
            <w:shd w:val="clear" w:color="auto" w:fill="auto"/>
            <w:vAlign w:val="center"/>
            <w:hideMark/>
          </w:tcPr>
          <w:p w14:paraId="4823D17A"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ABF.D542</w:t>
            </w:r>
          </w:p>
        </w:tc>
        <w:tc>
          <w:tcPr>
            <w:tcW w:w="1276" w:type="dxa"/>
            <w:tcBorders>
              <w:top w:val="nil"/>
              <w:left w:val="nil"/>
              <w:bottom w:val="nil"/>
              <w:right w:val="single" w:sz="8" w:space="0" w:color="auto"/>
            </w:tcBorders>
            <w:shd w:val="clear" w:color="auto" w:fill="auto"/>
            <w:vAlign w:val="center"/>
            <w:hideMark/>
          </w:tcPr>
          <w:p w14:paraId="2127FEAD"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ABF.E542</w:t>
            </w:r>
          </w:p>
        </w:tc>
        <w:tc>
          <w:tcPr>
            <w:tcW w:w="1559" w:type="dxa"/>
            <w:gridSpan w:val="2"/>
            <w:tcBorders>
              <w:top w:val="nil"/>
              <w:left w:val="nil"/>
              <w:bottom w:val="nil"/>
              <w:right w:val="single" w:sz="8" w:space="0" w:color="auto"/>
            </w:tcBorders>
            <w:shd w:val="clear" w:color="auto" w:fill="auto"/>
            <w:vAlign w:val="center"/>
            <w:hideMark/>
          </w:tcPr>
          <w:p w14:paraId="16620605"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ABF.F542</w:t>
            </w:r>
          </w:p>
        </w:tc>
        <w:tc>
          <w:tcPr>
            <w:tcW w:w="1134" w:type="dxa"/>
            <w:gridSpan w:val="2"/>
            <w:tcBorders>
              <w:top w:val="nil"/>
              <w:left w:val="nil"/>
              <w:bottom w:val="nil"/>
              <w:right w:val="single" w:sz="8" w:space="0" w:color="auto"/>
            </w:tcBorders>
            <w:shd w:val="clear" w:color="auto" w:fill="auto"/>
            <w:vAlign w:val="center"/>
            <w:hideMark/>
          </w:tcPr>
          <w:p w14:paraId="498DB91E"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ABF.G542</w:t>
            </w:r>
          </w:p>
        </w:tc>
      </w:tr>
      <w:tr w:rsidR="00D73956" w:rsidRPr="00D73956" w14:paraId="6BF8FAA8"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6F8918FD"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141 - CONVÊNIOS COM ÓRGÃOS NÃO FEDERAIS</w:t>
            </w:r>
          </w:p>
        </w:tc>
        <w:tc>
          <w:tcPr>
            <w:tcW w:w="1276" w:type="dxa"/>
            <w:tcBorders>
              <w:top w:val="nil"/>
              <w:left w:val="nil"/>
              <w:bottom w:val="nil"/>
              <w:right w:val="single" w:sz="8" w:space="0" w:color="auto"/>
            </w:tcBorders>
            <w:shd w:val="clear" w:color="auto" w:fill="auto"/>
            <w:vAlign w:val="center"/>
            <w:hideMark/>
          </w:tcPr>
          <w:p w14:paraId="79909A8B"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ABF.B543</w:t>
            </w:r>
          </w:p>
        </w:tc>
        <w:tc>
          <w:tcPr>
            <w:tcW w:w="1559" w:type="dxa"/>
            <w:tcBorders>
              <w:top w:val="nil"/>
              <w:left w:val="nil"/>
              <w:bottom w:val="nil"/>
              <w:right w:val="single" w:sz="8" w:space="0" w:color="auto"/>
            </w:tcBorders>
            <w:shd w:val="clear" w:color="auto" w:fill="auto"/>
            <w:vAlign w:val="center"/>
            <w:hideMark/>
          </w:tcPr>
          <w:p w14:paraId="3B85B16B"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ABF.C543</w:t>
            </w:r>
          </w:p>
        </w:tc>
        <w:tc>
          <w:tcPr>
            <w:tcW w:w="1417" w:type="dxa"/>
            <w:tcBorders>
              <w:top w:val="nil"/>
              <w:left w:val="nil"/>
              <w:bottom w:val="nil"/>
              <w:right w:val="single" w:sz="8" w:space="0" w:color="auto"/>
            </w:tcBorders>
            <w:shd w:val="clear" w:color="auto" w:fill="auto"/>
            <w:vAlign w:val="center"/>
            <w:hideMark/>
          </w:tcPr>
          <w:p w14:paraId="12F43781"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ABF.D543</w:t>
            </w:r>
          </w:p>
        </w:tc>
        <w:tc>
          <w:tcPr>
            <w:tcW w:w="1276" w:type="dxa"/>
            <w:tcBorders>
              <w:top w:val="nil"/>
              <w:left w:val="nil"/>
              <w:bottom w:val="nil"/>
              <w:right w:val="single" w:sz="8" w:space="0" w:color="auto"/>
            </w:tcBorders>
            <w:shd w:val="clear" w:color="auto" w:fill="auto"/>
            <w:vAlign w:val="center"/>
            <w:hideMark/>
          </w:tcPr>
          <w:p w14:paraId="3E021D57"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ABF.E543</w:t>
            </w:r>
          </w:p>
        </w:tc>
        <w:tc>
          <w:tcPr>
            <w:tcW w:w="1559" w:type="dxa"/>
            <w:gridSpan w:val="2"/>
            <w:tcBorders>
              <w:top w:val="nil"/>
              <w:left w:val="nil"/>
              <w:bottom w:val="nil"/>
              <w:right w:val="single" w:sz="8" w:space="0" w:color="auto"/>
            </w:tcBorders>
            <w:shd w:val="clear" w:color="auto" w:fill="auto"/>
            <w:vAlign w:val="center"/>
            <w:hideMark/>
          </w:tcPr>
          <w:p w14:paraId="722C6566"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ABF.F543</w:t>
            </w:r>
          </w:p>
        </w:tc>
        <w:tc>
          <w:tcPr>
            <w:tcW w:w="1134" w:type="dxa"/>
            <w:gridSpan w:val="2"/>
            <w:tcBorders>
              <w:top w:val="nil"/>
              <w:left w:val="nil"/>
              <w:bottom w:val="nil"/>
              <w:right w:val="single" w:sz="8" w:space="0" w:color="auto"/>
            </w:tcBorders>
            <w:shd w:val="clear" w:color="auto" w:fill="auto"/>
            <w:vAlign w:val="center"/>
            <w:hideMark/>
          </w:tcPr>
          <w:p w14:paraId="2C3AEF3E"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ABF.G543</w:t>
            </w:r>
          </w:p>
        </w:tc>
      </w:tr>
      <w:tr w:rsidR="00D73956" w:rsidRPr="00D73956" w14:paraId="4ECACD53"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49B4F6C4"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142 - OPERAÇÕES DE CRÉDITO INTERNAS</w:t>
            </w:r>
          </w:p>
        </w:tc>
        <w:tc>
          <w:tcPr>
            <w:tcW w:w="1276" w:type="dxa"/>
            <w:tcBorders>
              <w:top w:val="nil"/>
              <w:left w:val="nil"/>
              <w:bottom w:val="nil"/>
              <w:right w:val="single" w:sz="8" w:space="0" w:color="auto"/>
            </w:tcBorders>
            <w:shd w:val="clear" w:color="auto" w:fill="auto"/>
            <w:vAlign w:val="center"/>
            <w:hideMark/>
          </w:tcPr>
          <w:p w14:paraId="3E6BA13C"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ABF.B544</w:t>
            </w:r>
          </w:p>
        </w:tc>
        <w:tc>
          <w:tcPr>
            <w:tcW w:w="1559" w:type="dxa"/>
            <w:tcBorders>
              <w:top w:val="nil"/>
              <w:left w:val="nil"/>
              <w:bottom w:val="nil"/>
              <w:right w:val="single" w:sz="8" w:space="0" w:color="auto"/>
            </w:tcBorders>
            <w:shd w:val="clear" w:color="auto" w:fill="auto"/>
            <w:vAlign w:val="center"/>
            <w:hideMark/>
          </w:tcPr>
          <w:p w14:paraId="42154114"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ABF.C544</w:t>
            </w:r>
          </w:p>
        </w:tc>
        <w:tc>
          <w:tcPr>
            <w:tcW w:w="1417" w:type="dxa"/>
            <w:tcBorders>
              <w:top w:val="nil"/>
              <w:left w:val="nil"/>
              <w:bottom w:val="nil"/>
              <w:right w:val="single" w:sz="8" w:space="0" w:color="auto"/>
            </w:tcBorders>
            <w:shd w:val="clear" w:color="auto" w:fill="auto"/>
            <w:vAlign w:val="center"/>
            <w:hideMark/>
          </w:tcPr>
          <w:p w14:paraId="446E84A4"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ABF.D544</w:t>
            </w:r>
          </w:p>
        </w:tc>
        <w:tc>
          <w:tcPr>
            <w:tcW w:w="1276" w:type="dxa"/>
            <w:tcBorders>
              <w:top w:val="nil"/>
              <w:left w:val="nil"/>
              <w:bottom w:val="nil"/>
              <w:right w:val="single" w:sz="8" w:space="0" w:color="auto"/>
            </w:tcBorders>
            <w:shd w:val="clear" w:color="auto" w:fill="auto"/>
            <w:vAlign w:val="center"/>
            <w:hideMark/>
          </w:tcPr>
          <w:p w14:paraId="5EE36264"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ABF.E544</w:t>
            </w:r>
          </w:p>
        </w:tc>
        <w:tc>
          <w:tcPr>
            <w:tcW w:w="1559" w:type="dxa"/>
            <w:gridSpan w:val="2"/>
            <w:tcBorders>
              <w:top w:val="nil"/>
              <w:left w:val="nil"/>
              <w:bottom w:val="nil"/>
              <w:right w:val="single" w:sz="8" w:space="0" w:color="auto"/>
            </w:tcBorders>
            <w:shd w:val="clear" w:color="auto" w:fill="auto"/>
            <w:vAlign w:val="center"/>
            <w:hideMark/>
          </w:tcPr>
          <w:p w14:paraId="544275DC"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ABF.F544</w:t>
            </w:r>
          </w:p>
        </w:tc>
        <w:tc>
          <w:tcPr>
            <w:tcW w:w="1134" w:type="dxa"/>
            <w:gridSpan w:val="2"/>
            <w:tcBorders>
              <w:top w:val="nil"/>
              <w:left w:val="nil"/>
              <w:bottom w:val="nil"/>
              <w:right w:val="single" w:sz="8" w:space="0" w:color="auto"/>
            </w:tcBorders>
            <w:shd w:val="clear" w:color="auto" w:fill="auto"/>
            <w:vAlign w:val="center"/>
            <w:hideMark/>
          </w:tcPr>
          <w:p w14:paraId="14B06978"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ABF.G544</w:t>
            </w:r>
          </w:p>
        </w:tc>
      </w:tr>
      <w:tr w:rsidR="00D73956" w:rsidRPr="00D73956" w14:paraId="762289F0"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5533D3D9"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143 - OPERAÇÕES DE CRÉDITO EXTERNAS</w:t>
            </w:r>
          </w:p>
        </w:tc>
        <w:tc>
          <w:tcPr>
            <w:tcW w:w="1276" w:type="dxa"/>
            <w:tcBorders>
              <w:top w:val="nil"/>
              <w:left w:val="nil"/>
              <w:bottom w:val="nil"/>
              <w:right w:val="single" w:sz="8" w:space="0" w:color="auto"/>
            </w:tcBorders>
            <w:shd w:val="clear" w:color="auto" w:fill="auto"/>
            <w:vAlign w:val="center"/>
            <w:hideMark/>
          </w:tcPr>
          <w:p w14:paraId="40531ED9"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ABF.B545</w:t>
            </w:r>
          </w:p>
        </w:tc>
        <w:tc>
          <w:tcPr>
            <w:tcW w:w="1559" w:type="dxa"/>
            <w:tcBorders>
              <w:top w:val="nil"/>
              <w:left w:val="nil"/>
              <w:bottom w:val="nil"/>
              <w:right w:val="single" w:sz="8" w:space="0" w:color="auto"/>
            </w:tcBorders>
            <w:shd w:val="clear" w:color="auto" w:fill="auto"/>
            <w:vAlign w:val="center"/>
            <w:hideMark/>
          </w:tcPr>
          <w:p w14:paraId="4FD33DB4"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ABF.C545</w:t>
            </w:r>
          </w:p>
        </w:tc>
        <w:tc>
          <w:tcPr>
            <w:tcW w:w="1417" w:type="dxa"/>
            <w:tcBorders>
              <w:top w:val="nil"/>
              <w:left w:val="nil"/>
              <w:bottom w:val="nil"/>
              <w:right w:val="single" w:sz="8" w:space="0" w:color="auto"/>
            </w:tcBorders>
            <w:shd w:val="clear" w:color="auto" w:fill="auto"/>
            <w:vAlign w:val="center"/>
            <w:hideMark/>
          </w:tcPr>
          <w:p w14:paraId="75F2F82E"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ABF.D545</w:t>
            </w:r>
          </w:p>
        </w:tc>
        <w:tc>
          <w:tcPr>
            <w:tcW w:w="1276" w:type="dxa"/>
            <w:tcBorders>
              <w:top w:val="nil"/>
              <w:left w:val="nil"/>
              <w:bottom w:val="nil"/>
              <w:right w:val="single" w:sz="8" w:space="0" w:color="auto"/>
            </w:tcBorders>
            <w:shd w:val="clear" w:color="auto" w:fill="auto"/>
            <w:vAlign w:val="center"/>
            <w:hideMark/>
          </w:tcPr>
          <w:p w14:paraId="0527FC18"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ABF.E545</w:t>
            </w:r>
          </w:p>
        </w:tc>
        <w:tc>
          <w:tcPr>
            <w:tcW w:w="1559" w:type="dxa"/>
            <w:gridSpan w:val="2"/>
            <w:tcBorders>
              <w:top w:val="nil"/>
              <w:left w:val="nil"/>
              <w:bottom w:val="nil"/>
              <w:right w:val="single" w:sz="8" w:space="0" w:color="auto"/>
            </w:tcBorders>
            <w:shd w:val="clear" w:color="auto" w:fill="auto"/>
            <w:vAlign w:val="center"/>
            <w:hideMark/>
          </w:tcPr>
          <w:p w14:paraId="69FED01A"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ABF.F545</w:t>
            </w:r>
          </w:p>
        </w:tc>
        <w:tc>
          <w:tcPr>
            <w:tcW w:w="1134" w:type="dxa"/>
            <w:gridSpan w:val="2"/>
            <w:tcBorders>
              <w:top w:val="nil"/>
              <w:left w:val="nil"/>
              <w:bottom w:val="nil"/>
              <w:right w:val="single" w:sz="8" w:space="0" w:color="auto"/>
            </w:tcBorders>
            <w:shd w:val="clear" w:color="auto" w:fill="auto"/>
            <w:vAlign w:val="center"/>
            <w:hideMark/>
          </w:tcPr>
          <w:p w14:paraId="6F8255CD"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ABF.G545</w:t>
            </w:r>
          </w:p>
        </w:tc>
      </w:tr>
      <w:tr w:rsidR="00D73956" w:rsidRPr="00D73956" w14:paraId="158C4DC3"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2612AEC1"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144 - TRANSFERÊNCIAS A MUNICÍPIOS - CIDE</w:t>
            </w:r>
          </w:p>
        </w:tc>
        <w:tc>
          <w:tcPr>
            <w:tcW w:w="1276" w:type="dxa"/>
            <w:tcBorders>
              <w:top w:val="nil"/>
              <w:left w:val="nil"/>
              <w:bottom w:val="nil"/>
              <w:right w:val="single" w:sz="8" w:space="0" w:color="auto"/>
            </w:tcBorders>
            <w:shd w:val="clear" w:color="auto" w:fill="auto"/>
            <w:vAlign w:val="center"/>
            <w:hideMark/>
          </w:tcPr>
          <w:p w14:paraId="35C6F19D"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ABF.B546</w:t>
            </w:r>
          </w:p>
        </w:tc>
        <w:tc>
          <w:tcPr>
            <w:tcW w:w="1559" w:type="dxa"/>
            <w:tcBorders>
              <w:top w:val="nil"/>
              <w:left w:val="nil"/>
              <w:bottom w:val="nil"/>
              <w:right w:val="single" w:sz="8" w:space="0" w:color="auto"/>
            </w:tcBorders>
            <w:shd w:val="clear" w:color="auto" w:fill="auto"/>
            <w:vAlign w:val="center"/>
            <w:hideMark/>
          </w:tcPr>
          <w:p w14:paraId="2C2FE329"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ABF.C546</w:t>
            </w:r>
          </w:p>
        </w:tc>
        <w:tc>
          <w:tcPr>
            <w:tcW w:w="1417" w:type="dxa"/>
            <w:tcBorders>
              <w:top w:val="nil"/>
              <w:left w:val="nil"/>
              <w:bottom w:val="nil"/>
              <w:right w:val="single" w:sz="8" w:space="0" w:color="auto"/>
            </w:tcBorders>
            <w:shd w:val="clear" w:color="auto" w:fill="auto"/>
            <w:vAlign w:val="center"/>
            <w:hideMark/>
          </w:tcPr>
          <w:p w14:paraId="442A6E8A"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ABF.D546</w:t>
            </w:r>
          </w:p>
        </w:tc>
        <w:tc>
          <w:tcPr>
            <w:tcW w:w="1276" w:type="dxa"/>
            <w:tcBorders>
              <w:top w:val="nil"/>
              <w:left w:val="nil"/>
              <w:bottom w:val="nil"/>
              <w:right w:val="single" w:sz="8" w:space="0" w:color="auto"/>
            </w:tcBorders>
            <w:shd w:val="clear" w:color="auto" w:fill="auto"/>
            <w:vAlign w:val="center"/>
            <w:hideMark/>
          </w:tcPr>
          <w:p w14:paraId="2ADF8B63"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ABF.E546</w:t>
            </w:r>
          </w:p>
        </w:tc>
        <w:tc>
          <w:tcPr>
            <w:tcW w:w="1559" w:type="dxa"/>
            <w:gridSpan w:val="2"/>
            <w:tcBorders>
              <w:top w:val="nil"/>
              <w:left w:val="nil"/>
              <w:bottom w:val="nil"/>
              <w:right w:val="single" w:sz="8" w:space="0" w:color="auto"/>
            </w:tcBorders>
            <w:shd w:val="clear" w:color="auto" w:fill="auto"/>
            <w:vAlign w:val="center"/>
            <w:hideMark/>
          </w:tcPr>
          <w:p w14:paraId="5CF313FA"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ABF.F546</w:t>
            </w:r>
          </w:p>
        </w:tc>
        <w:tc>
          <w:tcPr>
            <w:tcW w:w="1134" w:type="dxa"/>
            <w:gridSpan w:val="2"/>
            <w:tcBorders>
              <w:top w:val="nil"/>
              <w:left w:val="nil"/>
              <w:bottom w:val="nil"/>
              <w:right w:val="single" w:sz="8" w:space="0" w:color="auto"/>
            </w:tcBorders>
            <w:shd w:val="clear" w:color="auto" w:fill="auto"/>
            <w:vAlign w:val="center"/>
            <w:hideMark/>
          </w:tcPr>
          <w:p w14:paraId="745254CE"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ABF.G546</w:t>
            </w:r>
          </w:p>
        </w:tc>
      </w:tr>
      <w:tr w:rsidR="00D73956" w:rsidRPr="00D73956" w14:paraId="5765FBCB"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428FED1C"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150 - PACTO NACIONAL PELA GESTÃO DAS ÁGUAS – PROGESTÃO</w:t>
            </w:r>
          </w:p>
        </w:tc>
        <w:tc>
          <w:tcPr>
            <w:tcW w:w="1276" w:type="dxa"/>
            <w:tcBorders>
              <w:top w:val="nil"/>
              <w:left w:val="nil"/>
              <w:bottom w:val="nil"/>
              <w:right w:val="single" w:sz="8" w:space="0" w:color="auto"/>
            </w:tcBorders>
            <w:shd w:val="clear" w:color="auto" w:fill="auto"/>
            <w:vAlign w:val="center"/>
            <w:hideMark/>
          </w:tcPr>
          <w:p w14:paraId="268818A6"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ABF.B547</w:t>
            </w:r>
          </w:p>
        </w:tc>
        <w:tc>
          <w:tcPr>
            <w:tcW w:w="1559" w:type="dxa"/>
            <w:tcBorders>
              <w:top w:val="nil"/>
              <w:left w:val="nil"/>
              <w:bottom w:val="nil"/>
              <w:right w:val="single" w:sz="8" w:space="0" w:color="auto"/>
            </w:tcBorders>
            <w:shd w:val="clear" w:color="auto" w:fill="auto"/>
            <w:vAlign w:val="center"/>
            <w:hideMark/>
          </w:tcPr>
          <w:p w14:paraId="4E266B1A"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ABF.C547</w:t>
            </w:r>
          </w:p>
        </w:tc>
        <w:tc>
          <w:tcPr>
            <w:tcW w:w="1417" w:type="dxa"/>
            <w:tcBorders>
              <w:top w:val="nil"/>
              <w:left w:val="nil"/>
              <w:bottom w:val="nil"/>
              <w:right w:val="single" w:sz="8" w:space="0" w:color="auto"/>
            </w:tcBorders>
            <w:shd w:val="clear" w:color="auto" w:fill="auto"/>
            <w:vAlign w:val="center"/>
            <w:hideMark/>
          </w:tcPr>
          <w:p w14:paraId="32E79345"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ABF.D547</w:t>
            </w:r>
          </w:p>
        </w:tc>
        <w:tc>
          <w:tcPr>
            <w:tcW w:w="1276" w:type="dxa"/>
            <w:tcBorders>
              <w:top w:val="nil"/>
              <w:left w:val="nil"/>
              <w:bottom w:val="nil"/>
              <w:right w:val="single" w:sz="8" w:space="0" w:color="auto"/>
            </w:tcBorders>
            <w:shd w:val="clear" w:color="auto" w:fill="auto"/>
            <w:vAlign w:val="center"/>
            <w:hideMark/>
          </w:tcPr>
          <w:p w14:paraId="79099B33"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ABF.E547</w:t>
            </w:r>
          </w:p>
        </w:tc>
        <w:tc>
          <w:tcPr>
            <w:tcW w:w="1559" w:type="dxa"/>
            <w:gridSpan w:val="2"/>
            <w:tcBorders>
              <w:top w:val="nil"/>
              <w:left w:val="nil"/>
              <w:bottom w:val="nil"/>
              <w:right w:val="single" w:sz="8" w:space="0" w:color="auto"/>
            </w:tcBorders>
            <w:shd w:val="clear" w:color="auto" w:fill="auto"/>
            <w:vAlign w:val="center"/>
            <w:hideMark/>
          </w:tcPr>
          <w:p w14:paraId="0093EB44"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ABF.F547</w:t>
            </w:r>
          </w:p>
        </w:tc>
        <w:tc>
          <w:tcPr>
            <w:tcW w:w="1134" w:type="dxa"/>
            <w:gridSpan w:val="2"/>
            <w:tcBorders>
              <w:top w:val="nil"/>
              <w:left w:val="nil"/>
              <w:bottom w:val="nil"/>
              <w:right w:val="single" w:sz="8" w:space="0" w:color="auto"/>
            </w:tcBorders>
            <w:shd w:val="clear" w:color="auto" w:fill="auto"/>
            <w:vAlign w:val="center"/>
            <w:hideMark/>
          </w:tcPr>
          <w:p w14:paraId="45B54D5E"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ABF.G547</w:t>
            </w:r>
          </w:p>
        </w:tc>
      </w:tr>
      <w:tr w:rsidR="00D73956" w:rsidRPr="00D73956" w14:paraId="0C86AEF0"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7E798E95"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154 - CONTRIBUIÇÃO DE INTERVENÇÃO NO DOMÍNIO ECONÔMICO</w:t>
            </w:r>
          </w:p>
        </w:tc>
        <w:tc>
          <w:tcPr>
            <w:tcW w:w="1276" w:type="dxa"/>
            <w:tcBorders>
              <w:top w:val="nil"/>
              <w:left w:val="nil"/>
              <w:bottom w:val="nil"/>
              <w:right w:val="single" w:sz="8" w:space="0" w:color="auto"/>
            </w:tcBorders>
            <w:shd w:val="clear" w:color="auto" w:fill="auto"/>
            <w:vAlign w:val="center"/>
            <w:hideMark/>
          </w:tcPr>
          <w:p w14:paraId="185FE34A"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ABF.B548</w:t>
            </w:r>
          </w:p>
        </w:tc>
        <w:tc>
          <w:tcPr>
            <w:tcW w:w="1559" w:type="dxa"/>
            <w:tcBorders>
              <w:top w:val="nil"/>
              <w:left w:val="nil"/>
              <w:bottom w:val="nil"/>
              <w:right w:val="single" w:sz="8" w:space="0" w:color="auto"/>
            </w:tcBorders>
            <w:shd w:val="clear" w:color="auto" w:fill="auto"/>
            <w:vAlign w:val="center"/>
            <w:hideMark/>
          </w:tcPr>
          <w:p w14:paraId="319F5CC9"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ABF.C548</w:t>
            </w:r>
          </w:p>
        </w:tc>
        <w:tc>
          <w:tcPr>
            <w:tcW w:w="1417" w:type="dxa"/>
            <w:tcBorders>
              <w:top w:val="nil"/>
              <w:left w:val="nil"/>
              <w:bottom w:val="nil"/>
              <w:right w:val="single" w:sz="8" w:space="0" w:color="auto"/>
            </w:tcBorders>
            <w:shd w:val="clear" w:color="auto" w:fill="auto"/>
            <w:vAlign w:val="center"/>
            <w:hideMark/>
          </w:tcPr>
          <w:p w14:paraId="49B748C3"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ABF.D548</w:t>
            </w:r>
          </w:p>
        </w:tc>
        <w:tc>
          <w:tcPr>
            <w:tcW w:w="1276" w:type="dxa"/>
            <w:tcBorders>
              <w:top w:val="nil"/>
              <w:left w:val="nil"/>
              <w:bottom w:val="nil"/>
              <w:right w:val="single" w:sz="8" w:space="0" w:color="auto"/>
            </w:tcBorders>
            <w:shd w:val="clear" w:color="auto" w:fill="auto"/>
            <w:vAlign w:val="center"/>
            <w:hideMark/>
          </w:tcPr>
          <w:p w14:paraId="176F2E18"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ABF.E548</w:t>
            </w:r>
          </w:p>
        </w:tc>
        <w:tc>
          <w:tcPr>
            <w:tcW w:w="1559" w:type="dxa"/>
            <w:gridSpan w:val="2"/>
            <w:tcBorders>
              <w:top w:val="nil"/>
              <w:left w:val="nil"/>
              <w:bottom w:val="nil"/>
              <w:right w:val="single" w:sz="8" w:space="0" w:color="auto"/>
            </w:tcBorders>
            <w:shd w:val="clear" w:color="auto" w:fill="auto"/>
            <w:vAlign w:val="center"/>
            <w:hideMark/>
          </w:tcPr>
          <w:p w14:paraId="1F480C9D"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ABF.F548</w:t>
            </w:r>
          </w:p>
        </w:tc>
        <w:tc>
          <w:tcPr>
            <w:tcW w:w="1134" w:type="dxa"/>
            <w:gridSpan w:val="2"/>
            <w:tcBorders>
              <w:top w:val="nil"/>
              <w:left w:val="nil"/>
              <w:bottom w:val="nil"/>
              <w:right w:val="single" w:sz="8" w:space="0" w:color="auto"/>
            </w:tcBorders>
            <w:shd w:val="clear" w:color="auto" w:fill="auto"/>
            <w:vAlign w:val="center"/>
            <w:hideMark/>
          </w:tcPr>
          <w:p w14:paraId="2A1897DC"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ABF.G548</w:t>
            </w:r>
          </w:p>
        </w:tc>
      </w:tr>
      <w:tr w:rsidR="00D73956" w:rsidRPr="00D73956" w14:paraId="5FD308D5"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25F1E2C3"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157 - INCENTIVO SUAS - UNIÃO</w:t>
            </w:r>
          </w:p>
        </w:tc>
        <w:tc>
          <w:tcPr>
            <w:tcW w:w="1276" w:type="dxa"/>
            <w:tcBorders>
              <w:top w:val="nil"/>
              <w:left w:val="nil"/>
              <w:bottom w:val="nil"/>
              <w:right w:val="single" w:sz="8" w:space="0" w:color="auto"/>
            </w:tcBorders>
            <w:shd w:val="clear" w:color="auto" w:fill="auto"/>
            <w:vAlign w:val="center"/>
            <w:hideMark/>
          </w:tcPr>
          <w:p w14:paraId="4B9527CF"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ABF.B549</w:t>
            </w:r>
          </w:p>
        </w:tc>
        <w:tc>
          <w:tcPr>
            <w:tcW w:w="1559" w:type="dxa"/>
            <w:tcBorders>
              <w:top w:val="nil"/>
              <w:left w:val="nil"/>
              <w:bottom w:val="nil"/>
              <w:right w:val="single" w:sz="8" w:space="0" w:color="auto"/>
            </w:tcBorders>
            <w:shd w:val="clear" w:color="auto" w:fill="auto"/>
            <w:vAlign w:val="center"/>
            <w:hideMark/>
          </w:tcPr>
          <w:p w14:paraId="3425094A"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ABF.C549</w:t>
            </w:r>
          </w:p>
        </w:tc>
        <w:tc>
          <w:tcPr>
            <w:tcW w:w="1417" w:type="dxa"/>
            <w:tcBorders>
              <w:top w:val="nil"/>
              <w:left w:val="nil"/>
              <w:bottom w:val="nil"/>
              <w:right w:val="single" w:sz="8" w:space="0" w:color="auto"/>
            </w:tcBorders>
            <w:shd w:val="clear" w:color="auto" w:fill="auto"/>
            <w:vAlign w:val="center"/>
            <w:hideMark/>
          </w:tcPr>
          <w:p w14:paraId="0BE2349A"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ABF.D549</w:t>
            </w:r>
          </w:p>
        </w:tc>
        <w:tc>
          <w:tcPr>
            <w:tcW w:w="1276" w:type="dxa"/>
            <w:tcBorders>
              <w:top w:val="nil"/>
              <w:left w:val="nil"/>
              <w:bottom w:val="nil"/>
              <w:right w:val="single" w:sz="8" w:space="0" w:color="auto"/>
            </w:tcBorders>
            <w:shd w:val="clear" w:color="auto" w:fill="auto"/>
            <w:vAlign w:val="center"/>
            <w:hideMark/>
          </w:tcPr>
          <w:p w14:paraId="0008ADD3"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ABF.E549</w:t>
            </w:r>
          </w:p>
        </w:tc>
        <w:tc>
          <w:tcPr>
            <w:tcW w:w="1559" w:type="dxa"/>
            <w:gridSpan w:val="2"/>
            <w:tcBorders>
              <w:top w:val="nil"/>
              <w:left w:val="nil"/>
              <w:bottom w:val="nil"/>
              <w:right w:val="single" w:sz="8" w:space="0" w:color="auto"/>
            </w:tcBorders>
            <w:shd w:val="clear" w:color="auto" w:fill="auto"/>
            <w:vAlign w:val="center"/>
            <w:hideMark/>
          </w:tcPr>
          <w:p w14:paraId="68011BC4"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ABF.F549</w:t>
            </w:r>
          </w:p>
        </w:tc>
        <w:tc>
          <w:tcPr>
            <w:tcW w:w="1134" w:type="dxa"/>
            <w:gridSpan w:val="2"/>
            <w:tcBorders>
              <w:top w:val="nil"/>
              <w:left w:val="nil"/>
              <w:bottom w:val="nil"/>
              <w:right w:val="single" w:sz="8" w:space="0" w:color="auto"/>
            </w:tcBorders>
            <w:shd w:val="clear" w:color="auto" w:fill="auto"/>
            <w:vAlign w:val="center"/>
            <w:hideMark/>
          </w:tcPr>
          <w:p w14:paraId="0D931D2D"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ABF.G549</w:t>
            </w:r>
          </w:p>
        </w:tc>
      </w:tr>
      <w:tr w:rsidR="00D73956" w:rsidRPr="00D73956" w14:paraId="41936751"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3E06CA24"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158 - TRANSFERÊNCIAS A MUNICÍPIOS - LEI PELÉ</w:t>
            </w:r>
          </w:p>
        </w:tc>
        <w:tc>
          <w:tcPr>
            <w:tcW w:w="1276" w:type="dxa"/>
            <w:tcBorders>
              <w:top w:val="nil"/>
              <w:left w:val="nil"/>
              <w:bottom w:val="nil"/>
              <w:right w:val="single" w:sz="8" w:space="0" w:color="auto"/>
            </w:tcBorders>
            <w:shd w:val="clear" w:color="auto" w:fill="auto"/>
            <w:vAlign w:val="center"/>
            <w:hideMark/>
          </w:tcPr>
          <w:p w14:paraId="25859D19"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ABF.B550</w:t>
            </w:r>
          </w:p>
        </w:tc>
        <w:tc>
          <w:tcPr>
            <w:tcW w:w="1559" w:type="dxa"/>
            <w:tcBorders>
              <w:top w:val="nil"/>
              <w:left w:val="nil"/>
              <w:bottom w:val="nil"/>
              <w:right w:val="single" w:sz="8" w:space="0" w:color="auto"/>
            </w:tcBorders>
            <w:shd w:val="clear" w:color="auto" w:fill="auto"/>
            <w:vAlign w:val="center"/>
            <w:hideMark/>
          </w:tcPr>
          <w:p w14:paraId="11E88FA4"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ABF.C550</w:t>
            </w:r>
          </w:p>
        </w:tc>
        <w:tc>
          <w:tcPr>
            <w:tcW w:w="1417" w:type="dxa"/>
            <w:tcBorders>
              <w:top w:val="nil"/>
              <w:left w:val="nil"/>
              <w:bottom w:val="nil"/>
              <w:right w:val="single" w:sz="8" w:space="0" w:color="auto"/>
            </w:tcBorders>
            <w:shd w:val="clear" w:color="auto" w:fill="auto"/>
            <w:vAlign w:val="center"/>
            <w:hideMark/>
          </w:tcPr>
          <w:p w14:paraId="21DB4BF7"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ABF.D550</w:t>
            </w:r>
          </w:p>
        </w:tc>
        <w:tc>
          <w:tcPr>
            <w:tcW w:w="1276" w:type="dxa"/>
            <w:tcBorders>
              <w:top w:val="nil"/>
              <w:left w:val="nil"/>
              <w:bottom w:val="nil"/>
              <w:right w:val="single" w:sz="8" w:space="0" w:color="auto"/>
            </w:tcBorders>
            <w:shd w:val="clear" w:color="auto" w:fill="auto"/>
            <w:vAlign w:val="center"/>
            <w:hideMark/>
          </w:tcPr>
          <w:p w14:paraId="74FDFDD9"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ABF.E550</w:t>
            </w:r>
          </w:p>
        </w:tc>
        <w:tc>
          <w:tcPr>
            <w:tcW w:w="1559" w:type="dxa"/>
            <w:gridSpan w:val="2"/>
            <w:tcBorders>
              <w:top w:val="nil"/>
              <w:left w:val="nil"/>
              <w:bottom w:val="nil"/>
              <w:right w:val="single" w:sz="8" w:space="0" w:color="auto"/>
            </w:tcBorders>
            <w:shd w:val="clear" w:color="auto" w:fill="auto"/>
            <w:vAlign w:val="center"/>
            <w:hideMark/>
          </w:tcPr>
          <w:p w14:paraId="4F0053BC"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ABF.F550</w:t>
            </w:r>
          </w:p>
        </w:tc>
        <w:tc>
          <w:tcPr>
            <w:tcW w:w="1134" w:type="dxa"/>
            <w:gridSpan w:val="2"/>
            <w:tcBorders>
              <w:top w:val="nil"/>
              <w:left w:val="nil"/>
              <w:bottom w:val="nil"/>
              <w:right w:val="single" w:sz="8" w:space="0" w:color="auto"/>
            </w:tcBorders>
            <w:shd w:val="clear" w:color="auto" w:fill="auto"/>
            <w:vAlign w:val="center"/>
            <w:hideMark/>
          </w:tcPr>
          <w:p w14:paraId="5A992E55"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ABF.G550</w:t>
            </w:r>
          </w:p>
        </w:tc>
      </w:tr>
      <w:tr w:rsidR="00D73956" w:rsidRPr="00D73956" w14:paraId="31340560"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4EEF729B"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159 - TRANSFERÊNCIAS FINANCEIRAS A FUNDOS</w:t>
            </w:r>
          </w:p>
        </w:tc>
        <w:tc>
          <w:tcPr>
            <w:tcW w:w="1276" w:type="dxa"/>
            <w:tcBorders>
              <w:top w:val="nil"/>
              <w:left w:val="nil"/>
              <w:bottom w:val="nil"/>
              <w:right w:val="single" w:sz="8" w:space="0" w:color="auto"/>
            </w:tcBorders>
            <w:shd w:val="clear" w:color="auto" w:fill="auto"/>
            <w:vAlign w:val="center"/>
            <w:hideMark/>
          </w:tcPr>
          <w:p w14:paraId="530C7887"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ABF.B551</w:t>
            </w:r>
          </w:p>
        </w:tc>
        <w:tc>
          <w:tcPr>
            <w:tcW w:w="1559" w:type="dxa"/>
            <w:tcBorders>
              <w:top w:val="nil"/>
              <w:left w:val="nil"/>
              <w:bottom w:val="nil"/>
              <w:right w:val="single" w:sz="8" w:space="0" w:color="auto"/>
            </w:tcBorders>
            <w:shd w:val="clear" w:color="auto" w:fill="auto"/>
            <w:vAlign w:val="center"/>
            <w:hideMark/>
          </w:tcPr>
          <w:p w14:paraId="2078B32E"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ABF.C551</w:t>
            </w:r>
          </w:p>
        </w:tc>
        <w:tc>
          <w:tcPr>
            <w:tcW w:w="1417" w:type="dxa"/>
            <w:tcBorders>
              <w:top w:val="nil"/>
              <w:left w:val="nil"/>
              <w:bottom w:val="nil"/>
              <w:right w:val="single" w:sz="8" w:space="0" w:color="auto"/>
            </w:tcBorders>
            <w:shd w:val="clear" w:color="auto" w:fill="auto"/>
            <w:vAlign w:val="center"/>
            <w:hideMark/>
          </w:tcPr>
          <w:p w14:paraId="517EA0E9"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ABF.D551</w:t>
            </w:r>
          </w:p>
        </w:tc>
        <w:tc>
          <w:tcPr>
            <w:tcW w:w="1276" w:type="dxa"/>
            <w:tcBorders>
              <w:top w:val="nil"/>
              <w:left w:val="nil"/>
              <w:bottom w:val="nil"/>
              <w:right w:val="single" w:sz="8" w:space="0" w:color="auto"/>
            </w:tcBorders>
            <w:shd w:val="clear" w:color="auto" w:fill="auto"/>
            <w:vAlign w:val="center"/>
            <w:hideMark/>
          </w:tcPr>
          <w:p w14:paraId="01EFE324"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ABF.E551</w:t>
            </w:r>
          </w:p>
        </w:tc>
        <w:tc>
          <w:tcPr>
            <w:tcW w:w="1559" w:type="dxa"/>
            <w:gridSpan w:val="2"/>
            <w:tcBorders>
              <w:top w:val="nil"/>
              <w:left w:val="nil"/>
              <w:bottom w:val="nil"/>
              <w:right w:val="single" w:sz="8" w:space="0" w:color="auto"/>
            </w:tcBorders>
            <w:shd w:val="clear" w:color="auto" w:fill="auto"/>
            <w:vAlign w:val="center"/>
            <w:hideMark/>
          </w:tcPr>
          <w:p w14:paraId="6AE97D0B"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ABF.F551</w:t>
            </w:r>
          </w:p>
        </w:tc>
        <w:tc>
          <w:tcPr>
            <w:tcW w:w="1134" w:type="dxa"/>
            <w:gridSpan w:val="2"/>
            <w:tcBorders>
              <w:top w:val="nil"/>
              <w:left w:val="nil"/>
              <w:bottom w:val="nil"/>
              <w:right w:val="single" w:sz="8" w:space="0" w:color="auto"/>
            </w:tcBorders>
            <w:shd w:val="clear" w:color="auto" w:fill="auto"/>
            <w:vAlign w:val="center"/>
            <w:hideMark/>
          </w:tcPr>
          <w:p w14:paraId="1A6F0C35"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ABF.G551</w:t>
            </w:r>
          </w:p>
        </w:tc>
      </w:tr>
      <w:tr w:rsidR="00D73956" w:rsidRPr="00D73956" w14:paraId="0CDFA9A6"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33BF0F97"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161 - FUNDO DE COMBATE A POBREZA - FUNCOP</w:t>
            </w:r>
          </w:p>
        </w:tc>
        <w:tc>
          <w:tcPr>
            <w:tcW w:w="1276" w:type="dxa"/>
            <w:tcBorders>
              <w:top w:val="nil"/>
              <w:left w:val="nil"/>
              <w:bottom w:val="nil"/>
              <w:right w:val="single" w:sz="8" w:space="0" w:color="auto"/>
            </w:tcBorders>
            <w:shd w:val="clear" w:color="auto" w:fill="auto"/>
            <w:vAlign w:val="center"/>
            <w:hideMark/>
          </w:tcPr>
          <w:p w14:paraId="43C5D3EB"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ABF.B552</w:t>
            </w:r>
          </w:p>
        </w:tc>
        <w:tc>
          <w:tcPr>
            <w:tcW w:w="1559" w:type="dxa"/>
            <w:tcBorders>
              <w:top w:val="nil"/>
              <w:left w:val="nil"/>
              <w:bottom w:val="nil"/>
              <w:right w:val="single" w:sz="8" w:space="0" w:color="auto"/>
            </w:tcBorders>
            <w:shd w:val="clear" w:color="auto" w:fill="auto"/>
            <w:vAlign w:val="center"/>
            <w:hideMark/>
          </w:tcPr>
          <w:p w14:paraId="175FC3D4"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ABF.C552</w:t>
            </w:r>
          </w:p>
        </w:tc>
        <w:tc>
          <w:tcPr>
            <w:tcW w:w="1417" w:type="dxa"/>
            <w:tcBorders>
              <w:top w:val="nil"/>
              <w:left w:val="nil"/>
              <w:bottom w:val="nil"/>
              <w:right w:val="single" w:sz="8" w:space="0" w:color="auto"/>
            </w:tcBorders>
            <w:shd w:val="clear" w:color="auto" w:fill="auto"/>
            <w:vAlign w:val="center"/>
            <w:hideMark/>
          </w:tcPr>
          <w:p w14:paraId="4FE84D3E"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ABF.D552</w:t>
            </w:r>
          </w:p>
        </w:tc>
        <w:tc>
          <w:tcPr>
            <w:tcW w:w="1276" w:type="dxa"/>
            <w:tcBorders>
              <w:top w:val="nil"/>
              <w:left w:val="nil"/>
              <w:bottom w:val="nil"/>
              <w:right w:val="single" w:sz="8" w:space="0" w:color="auto"/>
            </w:tcBorders>
            <w:shd w:val="clear" w:color="auto" w:fill="auto"/>
            <w:vAlign w:val="center"/>
            <w:hideMark/>
          </w:tcPr>
          <w:p w14:paraId="1DE82A54"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ABF.E552</w:t>
            </w:r>
          </w:p>
        </w:tc>
        <w:tc>
          <w:tcPr>
            <w:tcW w:w="1559" w:type="dxa"/>
            <w:gridSpan w:val="2"/>
            <w:tcBorders>
              <w:top w:val="nil"/>
              <w:left w:val="nil"/>
              <w:bottom w:val="nil"/>
              <w:right w:val="single" w:sz="8" w:space="0" w:color="auto"/>
            </w:tcBorders>
            <w:shd w:val="clear" w:color="auto" w:fill="auto"/>
            <w:vAlign w:val="center"/>
            <w:hideMark/>
          </w:tcPr>
          <w:p w14:paraId="6EAC9415"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ABF.F552</w:t>
            </w:r>
          </w:p>
        </w:tc>
        <w:tc>
          <w:tcPr>
            <w:tcW w:w="1134" w:type="dxa"/>
            <w:gridSpan w:val="2"/>
            <w:tcBorders>
              <w:top w:val="nil"/>
              <w:left w:val="nil"/>
              <w:bottom w:val="nil"/>
              <w:right w:val="single" w:sz="8" w:space="0" w:color="auto"/>
            </w:tcBorders>
            <w:shd w:val="clear" w:color="auto" w:fill="auto"/>
            <w:vAlign w:val="center"/>
            <w:hideMark/>
          </w:tcPr>
          <w:p w14:paraId="6DB9D2FA"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ABF.G552</w:t>
            </w:r>
          </w:p>
        </w:tc>
      </w:tr>
      <w:tr w:rsidR="00D73956" w:rsidRPr="00D73956" w14:paraId="515A5B03"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7B7BFD46"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163 - RECURSOS LEI PELÉ</w:t>
            </w:r>
          </w:p>
        </w:tc>
        <w:tc>
          <w:tcPr>
            <w:tcW w:w="1276" w:type="dxa"/>
            <w:tcBorders>
              <w:top w:val="nil"/>
              <w:left w:val="nil"/>
              <w:bottom w:val="nil"/>
              <w:right w:val="single" w:sz="8" w:space="0" w:color="auto"/>
            </w:tcBorders>
            <w:shd w:val="clear" w:color="auto" w:fill="auto"/>
            <w:vAlign w:val="center"/>
            <w:hideMark/>
          </w:tcPr>
          <w:p w14:paraId="5EB05A91"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ABF.B554</w:t>
            </w:r>
          </w:p>
        </w:tc>
        <w:tc>
          <w:tcPr>
            <w:tcW w:w="1559" w:type="dxa"/>
            <w:tcBorders>
              <w:top w:val="nil"/>
              <w:left w:val="nil"/>
              <w:bottom w:val="nil"/>
              <w:right w:val="single" w:sz="8" w:space="0" w:color="auto"/>
            </w:tcBorders>
            <w:shd w:val="clear" w:color="auto" w:fill="auto"/>
            <w:vAlign w:val="center"/>
            <w:hideMark/>
          </w:tcPr>
          <w:p w14:paraId="2E8F5B7F"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ABF.C554</w:t>
            </w:r>
          </w:p>
        </w:tc>
        <w:tc>
          <w:tcPr>
            <w:tcW w:w="1417" w:type="dxa"/>
            <w:tcBorders>
              <w:top w:val="nil"/>
              <w:left w:val="nil"/>
              <w:bottom w:val="nil"/>
              <w:right w:val="single" w:sz="8" w:space="0" w:color="auto"/>
            </w:tcBorders>
            <w:shd w:val="clear" w:color="auto" w:fill="auto"/>
            <w:vAlign w:val="center"/>
            <w:hideMark/>
          </w:tcPr>
          <w:p w14:paraId="4CB5E36A"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ABF.D554</w:t>
            </w:r>
          </w:p>
        </w:tc>
        <w:tc>
          <w:tcPr>
            <w:tcW w:w="1276" w:type="dxa"/>
            <w:tcBorders>
              <w:top w:val="nil"/>
              <w:left w:val="nil"/>
              <w:bottom w:val="nil"/>
              <w:right w:val="single" w:sz="8" w:space="0" w:color="auto"/>
            </w:tcBorders>
            <w:shd w:val="clear" w:color="auto" w:fill="auto"/>
            <w:vAlign w:val="center"/>
            <w:hideMark/>
          </w:tcPr>
          <w:p w14:paraId="78E22FE6"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ABF.E554</w:t>
            </w:r>
          </w:p>
        </w:tc>
        <w:tc>
          <w:tcPr>
            <w:tcW w:w="1559" w:type="dxa"/>
            <w:gridSpan w:val="2"/>
            <w:tcBorders>
              <w:top w:val="nil"/>
              <w:left w:val="nil"/>
              <w:bottom w:val="nil"/>
              <w:right w:val="single" w:sz="8" w:space="0" w:color="auto"/>
            </w:tcBorders>
            <w:shd w:val="clear" w:color="auto" w:fill="auto"/>
            <w:vAlign w:val="center"/>
            <w:hideMark/>
          </w:tcPr>
          <w:p w14:paraId="185474F5"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ABF.F554</w:t>
            </w:r>
          </w:p>
        </w:tc>
        <w:tc>
          <w:tcPr>
            <w:tcW w:w="1134" w:type="dxa"/>
            <w:gridSpan w:val="2"/>
            <w:tcBorders>
              <w:top w:val="nil"/>
              <w:left w:val="nil"/>
              <w:bottom w:val="nil"/>
              <w:right w:val="single" w:sz="8" w:space="0" w:color="auto"/>
            </w:tcBorders>
            <w:shd w:val="clear" w:color="auto" w:fill="auto"/>
            <w:vAlign w:val="center"/>
            <w:hideMark/>
          </w:tcPr>
          <w:p w14:paraId="7B178BC7"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ABF.G554</w:t>
            </w:r>
          </w:p>
        </w:tc>
      </w:tr>
      <w:tr w:rsidR="00D73956" w:rsidRPr="00D73956" w14:paraId="2EF78778"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1262568A"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164 - TRANSFERÊNCIA A MUNICÍPIOS ROYALTIES LEI 8.308/06</w:t>
            </w:r>
          </w:p>
        </w:tc>
        <w:tc>
          <w:tcPr>
            <w:tcW w:w="1276" w:type="dxa"/>
            <w:tcBorders>
              <w:top w:val="nil"/>
              <w:left w:val="nil"/>
              <w:bottom w:val="nil"/>
              <w:right w:val="single" w:sz="8" w:space="0" w:color="auto"/>
            </w:tcBorders>
            <w:shd w:val="clear" w:color="auto" w:fill="auto"/>
            <w:vAlign w:val="center"/>
            <w:hideMark/>
          </w:tcPr>
          <w:p w14:paraId="619E9471"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ABF.B555</w:t>
            </w:r>
          </w:p>
        </w:tc>
        <w:tc>
          <w:tcPr>
            <w:tcW w:w="1559" w:type="dxa"/>
            <w:tcBorders>
              <w:top w:val="nil"/>
              <w:left w:val="nil"/>
              <w:bottom w:val="nil"/>
              <w:right w:val="single" w:sz="8" w:space="0" w:color="auto"/>
            </w:tcBorders>
            <w:shd w:val="clear" w:color="auto" w:fill="auto"/>
            <w:vAlign w:val="center"/>
            <w:hideMark/>
          </w:tcPr>
          <w:p w14:paraId="1BB1A89E"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ABF.C555</w:t>
            </w:r>
          </w:p>
        </w:tc>
        <w:tc>
          <w:tcPr>
            <w:tcW w:w="1417" w:type="dxa"/>
            <w:tcBorders>
              <w:top w:val="nil"/>
              <w:left w:val="nil"/>
              <w:bottom w:val="nil"/>
              <w:right w:val="single" w:sz="8" w:space="0" w:color="auto"/>
            </w:tcBorders>
            <w:shd w:val="clear" w:color="auto" w:fill="auto"/>
            <w:vAlign w:val="center"/>
            <w:hideMark/>
          </w:tcPr>
          <w:p w14:paraId="099E68A7"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ABF.D555</w:t>
            </w:r>
          </w:p>
        </w:tc>
        <w:tc>
          <w:tcPr>
            <w:tcW w:w="1276" w:type="dxa"/>
            <w:tcBorders>
              <w:top w:val="nil"/>
              <w:left w:val="nil"/>
              <w:bottom w:val="nil"/>
              <w:right w:val="single" w:sz="8" w:space="0" w:color="auto"/>
            </w:tcBorders>
            <w:shd w:val="clear" w:color="auto" w:fill="auto"/>
            <w:vAlign w:val="center"/>
            <w:hideMark/>
          </w:tcPr>
          <w:p w14:paraId="1D218B70"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ABF.E555</w:t>
            </w:r>
          </w:p>
        </w:tc>
        <w:tc>
          <w:tcPr>
            <w:tcW w:w="1559" w:type="dxa"/>
            <w:gridSpan w:val="2"/>
            <w:tcBorders>
              <w:top w:val="nil"/>
              <w:left w:val="nil"/>
              <w:bottom w:val="nil"/>
              <w:right w:val="single" w:sz="8" w:space="0" w:color="auto"/>
            </w:tcBorders>
            <w:shd w:val="clear" w:color="auto" w:fill="auto"/>
            <w:vAlign w:val="center"/>
            <w:hideMark/>
          </w:tcPr>
          <w:p w14:paraId="2AEF0714"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ABF.F555</w:t>
            </w:r>
          </w:p>
        </w:tc>
        <w:tc>
          <w:tcPr>
            <w:tcW w:w="1134" w:type="dxa"/>
            <w:gridSpan w:val="2"/>
            <w:tcBorders>
              <w:top w:val="nil"/>
              <w:left w:val="nil"/>
              <w:bottom w:val="nil"/>
              <w:right w:val="single" w:sz="8" w:space="0" w:color="auto"/>
            </w:tcBorders>
            <w:shd w:val="clear" w:color="auto" w:fill="auto"/>
            <w:vAlign w:val="center"/>
            <w:hideMark/>
          </w:tcPr>
          <w:p w14:paraId="2EEF575E"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ABF.G555</w:t>
            </w:r>
          </w:p>
        </w:tc>
      </w:tr>
      <w:tr w:rsidR="00D73956" w:rsidRPr="00D73956" w14:paraId="3F2BDEEE"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6914C3A8"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166 - PLANO DE AÇÕES ARTICULADAS - PAR</w:t>
            </w:r>
          </w:p>
        </w:tc>
        <w:tc>
          <w:tcPr>
            <w:tcW w:w="1276" w:type="dxa"/>
            <w:tcBorders>
              <w:top w:val="nil"/>
              <w:left w:val="nil"/>
              <w:bottom w:val="nil"/>
              <w:right w:val="single" w:sz="8" w:space="0" w:color="auto"/>
            </w:tcBorders>
            <w:shd w:val="clear" w:color="auto" w:fill="auto"/>
            <w:vAlign w:val="center"/>
            <w:hideMark/>
          </w:tcPr>
          <w:p w14:paraId="5CA305A8"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ABF.B556</w:t>
            </w:r>
          </w:p>
        </w:tc>
        <w:tc>
          <w:tcPr>
            <w:tcW w:w="1559" w:type="dxa"/>
            <w:tcBorders>
              <w:top w:val="nil"/>
              <w:left w:val="nil"/>
              <w:bottom w:val="nil"/>
              <w:right w:val="single" w:sz="8" w:space="0" w:color="auto"/>
            </w:tcBorders>
            <w:shd w:val="clear" w:color="auto" w:fill="auto"/>
            <w:vAlign w:val="center"/>
            <w:hideMark/>
          </w:tcPr>
          <w:p w14:paraId="751CE102"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ABF.C556</w:t>
            </w:r>
          </w:p>
        </w:tc>
        <w:tc>
          <w:tcPr>
            <w:tcW w:w="1417" w:type="dxa"/>
            <w:tcBorders>
              <w:top w:val="nil"/>
              <w:left w:val="nil"/>
              <w:bottom w:val="nil"/>
              <w:right w:val="single" w:sz="8" w:space="0" w:color="auto"/>
            </w:tcBorders>
            <w:shd w:val="clear" w:color="auto" w:fill="auto"/>
            <w:vAlign w:val="center"/>
            <w:hideMark/>
          </w:tcPr>
          <w:p w14:paraId="6FF107E7"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ABF.D556</w:t>
            </w:r>
          </w:p>
        </w:tc>
        <w:tc>
          <w:tcPr>
            <w:tcW w:w="1276" w:type="dxa"/>
            <w:tcBorders>
              <w:top w:val="nil"/>
              <w:left w:val="nil"/>
              <w:bottom w:val="nil"/>
              <w:right w:val="single" w:sz="8" w:space="0" w:color="auto"/>
            </w:tcBorders>
            <w:shd w:val="clear" w:color="auto" w:fill="auto"/>
            <w:vAlign w:val="center"/>
            <w:hideMark/>
          </w:tcPr>
          <w:p w14:paraId="0CC924A1"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ABF.E556</w:t>
            </w:r>
          </w:p>
        </w:tc>
        <w:tc>
          <w:tcPr>
            <w:tcW w:w="1559" w:type="dxa"/>
            <w:gridSpan w:val="2"/>
            <w:tcBorders>
              <w:top w:val="nil"/>
              <w:left w:val="nil"/>
              <w:bottom w:val="nil"/>
              <w:right w:val="single" w:sz="8" w:space="0" w:color="auto"/>
            </w:tcBorders>
            <w:shd w:val="clear" w:color="auto" w:fill="auto"/>
            <w:vAlign w:val="center"/>
            <w:hideMark/>
          </w:tcPr>
          <w:p w14:paraId="1B8EE3C5"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ABF.F556</w:t>
            </w:r>
          </w:p>
        </w:tc>
        <w:tc>
          <w:tcPr>
            <w:tcW w:w="1134" w:type="dxa"/>
            <w:gridSpan w:val="2"/>
            <w:tcBorders>
              <w:top w:val="nil"/>
              <w:left w:val="nil"/>
              <w:bottom w:val="nil"/>
              <w:right w:val="single" w:sz="8" w:space="0" w:color="auto"/>
            </w:tcBorders>
            <w:shd w:val="clear" w:color="auto" w:fill="auto"/>
            <w:vAlign w:val="center"/>
            <w:hideMark/>
          </w:tcPr>
          <w:p w14:paraId="53C4C7A5"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ABF.G556</w:t>
            </w:r>
          </w:p>
        </w:tc>
      </w:tr>
      <w:tr w:rsidR="00D73956" w:rsidRPr="00D73956" w14:paraId="08DC6BCE"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11143013"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167 - TRANSFERÊNCIAS OBRIGATÓRIAS PARA AÇÕES DE DEFESA CIVIL</w:t>
            </w:r>
          </w:p>
        </w:tc>
        <w:tc>
          <w:tcPr>
            <w:tcW w:w="1276" w:type="dxa"/>
            <w:tcBorders>
              <w:top w:val="nil"/>
              <w:left w:val="nil"/>
              <w:bottom w:val="nil"/>
              <w:right w:val="single" w:sz="8" w:space="0" w:color="auto"/>
            </w:tcBorders>
            <w:shd w:val="clear" w:color="auto" w:fill="auto"/>
            <w:vAlign w:val="center"/>
            <w:hideMark/>
          </w:tcPr>
          <w:p w14:paraId="4E84F3B0"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ABF.B557</w:t>
            </w:r>
          </w:p>
        </w:tc>
        <w:tc>
          <w:tcPr>
            <w:tcW w:w="1559" w:type="dxa"/>
            <w:tcBorders>
              <w:top w:val="nil"/>
              <w:left w:val="nil"/>
              <w:bottom w:val="nil"/>
              <w:right w:val="single" w:sz="8" w:space="0" w:color="auto"/>
            </w:tcBorders>
            <w:shd w:val="clear" w:color="auto" w:fill="auto"/>
            <w:vAlign w:val="center"/>
            <w:hideMark/>
          </w:tcPr>
          <w:p w14:paraId="5D8575E9"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ABF.C557</w:t>
            </w:r>
          </w:p>
        </w:tc>
        <w:tc>
          <w:tcPr>
            <w:tcW w:w="1417" w:type="dxa"/>
            <w:tcBorders>
              <w:top w:val="nil"/>
              <w:left w:val="nil"/>
              <w:bottom w:val="nil"/>
              <w:right w:val="single" w:sz="8" w:space="0" w:color="auto"/>
            </w:tcBorders>
            <w:shd w:val="clear" w:color="auto" w:fill="auto"/>
            <w:vAlign w:val="center"/>
            <w:hideMark/>
          </w:tcPr>
          <w:p w14:paraId="640956B7"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ABF.D557</w:t>
            </w:r>
          </w:p>
        </w:tc>
        <w:tc>
          <w:tcPr>
            <w:tcW w:w="1276" w:type="dxa"/>
            <w:tcBorders>
              <w:top w:val="nil"/>
              <w:left w:val="nil"/>
              <w:bottom w:val="nil"/>
              <w:right w:val="single" w:sz="8" w:space="0" w:color="auto"/>
            </w:tcBorders>
            <w:shd w:val="clear" w:color="auto" w:fill="auto"/>
            <w:vAlign w:val="center"/>
            <w:hideMark/>
          </w:tcPr>
          <w:p w14:paraId="555099F9"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ABF.E557</w:t>
            </w:r>
          </w:p>
        </w:tc>
        <w:tc>
          <w:tcPr>
            <w:tcW w:w="1559" w:type="dxa"/>
            <w:gridSpan w:val="2"/>
            <w:tcBorders>
              <w:top w:val="nil"/>
              <w:left w:val="nil"/>
              <w:bottom w:val="nil"/>
              <w:right w:val="single" w:sz="8" w:space="0" w:color="auto"/>
            </w:tcBorders>
            <w:shd w:val="clear" w:color="auto" w:fill="auto"/>
            <w:vAlign w:val="center"/>
            <w:hideMark/>
          </w:tcPr>
          <w:p w14:paraId="102FCA17"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ABF.F557</w:t>
            </w:r>
          </w:p>
        </w:tc>
        <w:tc>
          <w:tcPr>
            <w:tcW w:w="1134" w:type="dxa"/>
            <w:gridSpan w:val="2"/>
            <w:tcBorders>
              <w:top w:val="nil"/>
              <w:left w:val="nil"/>
              <w:bottom w:val="nil"/>
              <w:right w:val="single" w:sz="8" w:space="0" w:color="auto"/>
            </w:tcBorders>
            <w:shd w:val="clear" w:color="auto" w:fill="auto"/>
            <w:vAlign w:val="center"/>
            <w:hideMark/>
          </w:tcPr>
          <w:p w14:paraId="146885A9"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ABF.G557</w:t>
            </w:r>
          </w:p>
        </w:tc>
      </w:tr>
      <w:tr w:rsidR="00D73956" w:rsidRPr="00D73956" w14:paraId="5963B493"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tcPr>
          <w:p w14:paraId="0B207549"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177 -- TRANSFERÊNCIA ESPECIAL DA UNIÃO – EMENDAS PARLAMENTARES INDIVIDUAIS IMPOSITIVAS (Art. 166-A, I CF/88),</w:t>
            </w:r>
          </w:p>
        </w:tc>
        <w:tc>
          <w:tcPr>
            <w:tcW w:w="1276" w:type="dxa"/>
            <w:tcBorders>
              <w:top w:val="nil"/>
              <w:left w:val="nil"/>
              <w:bottom w:val="nil"/>
              <w:right w:val="single" w:sz="8" w:space="0" w:color="auto"/>
            </w:tcBorders>
            <w:shd w:val="clear" w:color="auto" w:fill="auto"/>
            <w:vAlign w:val="center"/>
          </w:tcPr>
          <w:p w14:paraId="774034E1"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ABF.B607</w:t>
            </w:r>
          </w:p>
        </w:tc>
        <w:tc>
          <w:tcPr>
            <w:tcW w:w="1559" w:type="dxa"/>
            <w:tcBorders>
              <w:top w:val="nil"/>
              <w:left w:val="nil"/>
              <w:bottom w:val="nil"/>
              <w:right w:val="single" w:sz="8" w:space="0" w:color="auto"/>
            </w:tcBorders>
            <w:shd w:val="clear" w:color="auto" w:fill="auto"/>
            <w:vAlign w:val="center"/>
          </w:tcPr>
          <w:p w14:paraId="753980E3"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ABF.C607</w:t>
            </w:r>
          </w:p>
        </w:tc>
        <w:tc>
          <w:tcPr>
            <w:tcW w:w="1417" w:type="dxa"/>
            <w:tcBorders>
              <w:top w:val="nil"/>
              <w:left w:val="nil"/>
              <w:bottom w:val="nil"/>
              <w:right w:val="single" w:sz="8" w:space="0" w:color="auto"/>
            </w:tcBorders>
            <w:shd w:val="clear" w:color="auto" w:fill="auto"/>
            <w:vAlign w:val="center"/>
          </w:tcPr>
          <w:p w14:paraId="3A128D0F"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ABF.D607</w:t>
            </w:r>
          </w:p>
        </w:tc>
        <w:tc>
          <w:tcPr>
            <w:tcW w:w="1276" w:type="dxa"/>
            <w:tcBorders>
              <w:top w:val="nil"/>
              <w:left w:val="nil"/>
              <w:bottom w:val="nil"/>
              <w:right w:val="single" w:sz="8" w:space="0" w:color="auto"/>
            </w:tcBorders>
            <w:shd w:val="clear" w:color="auto" w:fill="auto"/>
            <w:vAlign w:val="center"/>
          </w:tcPr>
          <w:p w14:paraId="74BA5761"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ABF.E607</w:t>
            </w:r>
          </w:p>
        </w:tc>
        <w:tc>
          <w:tcPr>
            <w:tcW w:w="1559" w:type="dxa"/>
            <w:gridSpan w:val="2"/>
            <w:tcBorders>
              <w:top w:val="nil"/>
              <w:left w:val="nil"/>
              <w:bottom w:val="nil"/>
              <w:right w:val="single" w:sz="8" w:space="0" w:color="auto"/>
            </w:tcBorders>
            <w:shd w:val="clear" w:color="auto" w:fill="auto"/>
            <w:vAlign w:val="center"/>
          </w:tcPr>
          <w:p w14:paraId="2BB729C3"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ABF.F607</w:t>
            </w:r>
          </w:p>
        </w:tc>
        <w:tc>
          <w:tcPr>
            <w:tcW w:w="1134" w:type="dxa"/>
            <w:gridSpan w:val="2"/>
            <w:tcBorders>
              <w:top w:val="nil"/>
              <w:left w:val="nil"/>
              <w:bottom w:val="nil"/>
              <w:right w:val="single" w:sz="8" w:space="0" w:color="auto"/>
            </w:tcBorders>
            <w:shd w:val="clear" w:color="auto" w:fill="auto"/>
            <w:vAlign w:val="center"/>
          </w:tcPr>
          <w:p w14:paraId="2CC9EBB1"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ABF.G607</w:t>
            </w:r>
          </w:p>
        </w:tc>
      </w:tr>
      <w:tr w:rsidR="00D73956" w:rsidRPr="00D73956" w14:paraId="2844D2DE"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tcPr>
          <w:p w14:paraId="61134BFC"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179 – OUTROS RECURSOS VINCULADOS</w:t>
            </w:r>
          </w:p>
        </w:tc>
        <w:tc>
          <w:tcPr>
            <w:tcW w:w="1276" w:type="dxa"/>
            <w:tcBorders>
              <w:top w:val="nil"/>
              <w:left w:val="nil"/>
              <w:bottom w:val="nil"/>
              <w:right w:val="single" w:sz="8" w:space="0" w:color="auto"/>
            </w:tcBorders>
            <w:shd w:val="clear" w:color="auto" w:fill="auto"/>
            <w:vAlign w:val="center"/>
          </w:tcPr>
          <w:p w14:paraId="3C56E18E"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ABF.B608</w:t>
            </w:r>
          </w:p>
        </w:tc>
        <w:tc>
          <w:tcPr>
            <w:tcW w:w="1559" w:type="dxa"/>
            <w:tcBorders>
              <w:top w:val="nil"/>
              <w:left w:val="nil"/>
              <w:bottom w:val="nil"/>
              <w:right w:val="single" w:sz="8" w:space="0" w:color="auto"/>
            </w:tcBorders>
            <w:shd w:val="clear" w:color="auto" w:fill="auto"/>
            <w:vAlign w:val="center"/>
          </w:tcPr>
          <w:p w14:paraId="6C17EAB6"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ABF.C608</w:t>
            </w:r>
          </w:p>
        </w:tc>
        <w:tc>
          <w:tcPr>
            <w:tcW w:w="1417" w:type="dxa"/>
            <w:tcBorders>
              <w:top w:val="nil"/>
              <w:left w:val="nil"/>
              <w:bottom w:val="nil"/>
              <w:right w:val="single" w:sz="8" w:space="0" w:color="auto"/>
            </w:tcBorders>
            <w:shd w:val="clear" w:color="auto" w:fill="auto"/>
            <w:vAlign w:val="center"/>
          </w:tcPr>
          <w:p w14:paraId="6C94380F"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ABF.D608</w:t>
            </w:r>
          </w:p>
        </w:tc>
        <w:tc>
          <w:tcPr>
            <w:tcW w:w="1276" w:type="dxa"/>
            <w:tcBorders>
              <w:top w:val="nil"/>
              <w:left w:val="nil"/>
              <w:bottom w:val="nil"/>
              <w:right w:val="single" w:sz="8" w:space="0" w:color="auto"/>
            </w:tcBorders>
            <w:shd w:val="clear" w:color="auto" w:fill="auto"/>
            <w:vAlign w:val="center"/>
          </w:tcPr>
          <w:p w14:paraId="0D377FAE"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ABF.E608</w:t>
            </w:r>
          </w:p>
        </w:tc>
        <w:tc>
          <w:tcPr>
            <w:tcW w:w="1559" w:type="dxa"/>
            <w:gridSpan w:val="2"/>
            <w:tcBorders>
              <w:top w:val="nil"/>
              <w:left w:val="nil"/>
              <w:bottom w:val="nil"/>
              <w:right w:val="single" w:sz="8" w:space="0" w:color="auto"/>
            </w:tcBorders>
            <w:shd w:val="clear" w:color="auto" w:fill="auto"/>
            <w:vAlign w:val="center"/>
          </w:tcPr>
          <w:p w14:paraId="2529DCCD"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ABF.F608</w:t>
            </w:r>
          </w:p>
        </w:tc>
        <w:tc>
          <w:tcPr>
            <w:tcW w:w="1134" w:type="dxa"/>
            <w:gridSpan w:val="2"/>
            <w:tcBorders>
              <w:top w:val="nil"/>
              <w:left w:val="nil"/>
              <w:bottom w:val="nil"/>
              <w:right w:val="single" w:sz="8" w:space="0" w:color="auto"/>
            </w:tcBorders>
            <w:shd w:val="clear" w:color="auto" w:fill="auto"/>
            <w:vAlign w:val="center"/>
          </w:tcPr>
          <w:p w14:paraId="52086CDA"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ABF.G608</w:t>
            </w:r>
          </w:p>
        </w:tc>
      </w:tr>
      <w:tr w:rsidR="00D73956" w:rsidRPr="00D73956" w14:paraId="6FF9D171"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735A6929"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271 - ARRECADADO PELO ÓRGÃO</w:t>
            </w:r>
          </w:p>
        </w:tc>
        <w:tc>
          <w:tcPr>
            <w:tcW w:w="1276" w:type="dxa"/>
            <w:tcBorders>
              <w:top w:val="nil"/>
              <w:left w:val="nil"/>
              <w:bottom w:val="nil"/>
              <w:right w:val="single" w:sz="8" w:space="0" w:color="auto"/>
            </w:tcBorders>
            <w:shd w:val="clear" w:color="auto" w:fill="auto"/>
            <w:vAlign w:val="center"/>
            <w:hideMark/>
          </w:tcPr>
          <w:p w14:paraId="6E8133EA"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ABF.B559</w:t>
            </w:r>
          </w:p>
        </w:tc>
        <w:tc>
          <w:tcPr>
            <w:tcW w:w="1559" w:type="dxa"/>
            <w:tcBorders>
              <w:top w:val="nil"/>
              <w:left w:val="nil"/>
              <w:bottom w:val="nil"/>
              <w:right w:val="single" w:sz="8" w:space="0" w:color="auto"/>
            </w:tcBorders>
            <w:shd w:val="clear" w:color="auto" w:fill="auto"/>
            <w:vAlign w:val="center"/>
            <w:hideMark/>
          </w:tcPr>
          <w:p w14:paraId="6DB1991B"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ABF.C559</w:t>
            </w:r>
          </w:p>
        </w:tc>
        <w:tc>
          <w:tcPr>
            <w:tcW w:w="1417" w:type="dxa"/>
            <w:tcBorders>
              <w:top w:val="nil"/>
              <w:left w:val="nil"/>
              <w:bottom w:val="nil"/>
              <w:right w:val="single" w:sz="8" w:space="0" w:color="auto"/>
            </w:tcBorders>
            <w:shd w:val="clear" w:color="auto" w:fill="auto"/>
            <w:vAlign w:val="center"/>
            <w:hideMark/>
          </w:tcPr>
          <w:p w14:paraId="514B9FD0"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ABF.D559</w:t>
            </w:r>
          </w:p>
        </w:tc>
        <w:tc>
          <w:tcPr>
            <w:tcW w:w="1276" w:type="dxa"/>
            <w:tcBorders>
              <w:top w:val="nil"/>
              <w:left w:val="nil"/>
              <w:bottom w:val="nil"/>
              <w:right w:val="single" w:sz="8" w:space="0" w:color="auto"/>
            </w:tcBorders>
            <w:shd w:val="clear" w:color="auto" w:fill="auto"/>
            <w:vAlign w:val="center"/>
            <w:hideMark/>
          </w:tcPr>
          <w:p w14:paraId="5D3EC3E8"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ABF.E559</w:t>
            </w:r>
          </w:p>
        </w:tc>
        <w:tc>
          <w:tcPr>
            <w:tcW w:w="1559" w:type="dxa"/>
            <w:gridSpan w:val="2"/>
            <w:tcBorders>
              <w:top w:val="nil"/>
              <w:left w:val="nil"/>
              <w:bottom w:val="nil"/>
              <w:right w:val="single" w:sz="8" w:space="0" w:color="auto"/>
            </w:tcBorders>
            <w:shd w:val="clear" w:color="auto" w:fill="auto"/>
            <w:vAlign w:val="center"/>
            <w:hideMark/>
          </w:tcPr>
          <w:p w14:paraId="4BEE70D9"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ABF.F559</w:t>
            </w:r>
          </w:p>
        </w:tc>
        <w:tc>
          <w:tcPr>
            <w:tcW w:w="1134" w:type="dxa"/>
            <w:gridSpan w:val="2"/>
            <w:tcBorders>
              <w:top w:val="nil"/>
              <w:left w:val="nil"/>
              <w:bottom w:val="nil"/>
              <w:right w:val="single" w:sz="8" w:space="0" w:color="auto"/>
            </w:tcBorders>
            <w:shd w:val="clear" w:color="auto" w:fill="auto"/>
            <w:vAlign w:val="center"/>
            <w:hideMark/>
          </w:tcPr>
          <w:p w14:paraId="156C1F4F"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ABF.G559</w:t>
            </w:r>
          </w:p>
        </w:tc>
      </w:tr>
      <w:tr w:rsidR="00D73956" w:rsidRPr="00D73956" w14:paraId="4EAE904D"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5DE4E1A5"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272 - CONVÊNIOS COM ÓRGÃOS FEDERAIS</w:t>
            </w:r>
          </w:p>
        </w:tc>
        <w:tc>
          <w:tcPr>
            <w:tcW w:w="1276" w:type="dxa"/>
            <w:tcBorders>
              <w:top w:val="nil"/>
              <w:left w:val="nil"/>
              <w:bottom w:val="nil"/>
              <w:right w:val="single" w:sz="8" w:space="0" w:color="auto"/>
            </w:tcBorders>
            <w:shd w:val="clear" w:color="auto" w:fill="auto"/>
            <w:vAlign w:val="center"/>
            <w:hideMark/>
          </w:tcPr>
          <w:p w14:paraId="30B1720D"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ABF.B560</w:t>
            </w:r>
          </w:p>
        </w:tc>
        <w:tc>
          <w:tcPr>
            <w:tcW w:w="1559" w:type="dxa"/>
            <w:tcBorders>
              <w:top w:val="nil"/>
              <w:left w:val="nil"/>
              <w:bottom w:val="nil"/>
              <w:right w:val="single" w:sz="8" w:space="0" w:color="auto"/>
            </w:tcBorders>
            <w:shd w:val="clear" w:color="auto" w:fill="auto"/>
            <w:vAlign w:val="center"/>
            <w:hideMark/>
          </w:tcPr>
          <w:p w14:paraId="227120E9"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ABF.C560</w:t>
            </w:r>
          </w:p>
        </w:tc>
        <w:tc>
          <w:tcPr>
            <w:tcW w:w="1417" w:type="dxa"/>
            <w:tcBorders>
              <w:top w:val="nil"/>
              <w:left w:val="nil"/>
              <w:bottom w:val="nil"/>
              <w:right w:val="single" w:sz="8" w:space="0" w:color="auto"/>
            </w:tcBorders>
            <w:shd w:val="clear" w:color="auto" w:fill="auto"/>
            <w:vAlign w:val="center"/>
            <w:hideMark/>
          </w:tcPr>
          <w:p w14:paraId="6908495B"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ABF.D560</w:t>
            </w:r>
          </w:p>
        </w:tc>
        <w:tc>
          <w:tcPr>
            <w:tcW w:w="1276" w:type="dxa"/>
            <w:tcBorders>
              <w:top w:val="nil"/>
              <w:left w:val="nil"/>
              <w:bottom w:val="nil"/>
              <w:right w:val="single" w:sz="8" w:space="0" w:color="auto"/>
            </w:tcBorders>
            <w:shd w:val="clear" w:color="auto" w:fill="auto"/>
            <w:vAlign w:val="center"/>
            <w:hideMark/>
          </w:tcPr>
          <w:p w14:paraId="7DF32988"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ABF.E560</w:t>
            </w:r>
          </w:p>
        </w:tc>
        <w:tc>
          <w:tcPr>
            <w:tcW w:w="1559" w:type="dxa"/>
            <w:gridSpan w:val="2"/>
            <w:tcBorders>
              <w:top w:val="nil"/>
              <w:left w:val="nil"/>
              <w:bottom w:val="nil"/>
              <w:right w:val="single" w:sz="8" w:space="0" w:color="auto"/>
            </w:tcBorders>
            <w:shd w:val="clear" w:color="auto" w:fill="auto"/>
            <w:vAlign w:val="center"/>
            <w:hideMark/>
          </w:tcPr>
          <w:p w14:paraId="748D41CF"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ABF.F560</w:t>
            </w:r>
          </w:p>
        </w:tc>
        <w:tc>
          <w:tcPr>
            <w:tcW w:w="1134" w:type="dxa"/>
            <w:gridSpan w:val="2"/>
            <w:tcBorders>
              <w:top w:val="nil"/>
              <w:left w:val="nil"/>
              <w:bottom w:val="nil"/>
              <w:right w:val="single" w:sz="8" w:space="0" w:color="auto"/>
            </w:tcBorders>
            <w:shd w:val="clear" w:color="auto" w:fill="auto"/>
            <w:vAlign w:val="center"/>
            <w:hideMark/>
          </w:tcPr>
          <w:p w14:paraId="6A22A8B1"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ABF.G560</w:t>
            </w:r>
          </w:p>
        </w:tc>
      </w:tr>
      <w:tr w:rsidR="00D73956" w:rsidRPr="00D73956" w14:paraId="249DC6B4"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19E2B96F"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273 - CONVÊNIOS COM ÓRGÃOS NÃO FEDERAIS</w:t>
            </w:r>
          </w:p>
        </w:tc>
        <w:tc>
          <w:tcPr>
            <w:tcW w:w="1276" w:type="dxa"/>
            <w:tcBorders>
              <w:top w:val="nil"/>
              <w:left w:val="nil"/>
              <w:bottom w:val="nil"/>
              <w:right w:val="single" w:sz="8" w:space="0" w:color="auto"/>
            </w:tcBorders>
            <w:shd w:val="clear" w:color="auto" w:fill="auto"/>
            <w:vAlign w:val="center"/>
            <w:hideMark/>
          </w:tcPr>
          <w:p w14:paraId="29F09A89"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ABF.B561</w:t>
            </w:r>
          </w:p>
        </w:tc>
        <w:tc>
          <w:tcPr>
            <w:tcW w:w="1559" w:type="dxa"/>
            <w:tcBorders>
              <w:top w:val="nil"/>
              <w:left w:val="nil"/>
              <w:bottom w:val="nil"/>
              <w:right w:val="single" w:sz="8" w:space="0" w:color="auto"/>
            </w:tcBorders>
            <w:shd w:val="clear" w:color="auto" w:fill="auto"/>
            <w:vAlign w:val="center"/>
            <w:hideMark/>
          </w:tcPr>
          <w:p w14:paraId="0E6550FD"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ABF.C561</w:t>
            </w:r>
          </w:p>
        </w:tc>
        <w:tc>
          <w:tcPr>
            <w:tcW w:w="1417" w:type="dxa"/>
            <w:tcBorders>
              <w:top w:val="nil"/>
              <w:left w:val="nil"/>
              <w:bottom w:val="nil"/>
              <w:right w:val="single" w:sz="8" w:space="0" w:color="auto"/>
            </w:tcBorders>
            <w:shd w:val="clear" w:color="auto" w:fill="auto"/>
            <w:vAlign w:val="center"/>
            <w:hideMark/>
          </w:tcPr>
          <w:p w14:paraId="5FE0BDDE"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ABF.D561</w:t>
            </w:r>
          </w:p>
        </w:tc>
        <w:tc>
          <w:tcPr>
            <w:tcW w:w="1276" w:type="dxa"/>
            <w:tcBorders>
              <w:top w:val="nil"/>
              <w:left w:val="nil"/>
              <w:bottom w:val="nil"/>
              <w:right w:val="single" w:sz="8" w:space="0" w:color="auto"/>
            </w:tcBorders>
            <w:shd w:val="clear" w:color="auto" w:fill="auto"/>
            <w:vAlign w:val="center"/>
            <w:hideMark/>
          </w:tcPr>
          <w:p w14:paraId="4BE0E42F"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ABF.E561</w:t>
            </w:r>
          </w:p>
        </w:tc>
        <w:tc>
          <w:tcPr>
            <w:tcW w:w="1559" w:type="dxa"/>
            <w:gridSpan w:val="2"/>
            <w:tcBorders>
              <w:top w:val="nil"/>
              <w:left w:val="nil"/>
              <w:bottom w:val="nil"/>
              <w:right w:val="single" w:sz="8" w:space="0" w:color="auto"/>
            </w:tcBorders>
            <w:shd w:val="clear" w:color="auto" w:fill="auto"/>
            <w:vAlign w:val="center"/>
            <w:hideMark/>
          </w:tcPr>
          <w:p w14:paraId="0D9EC68E"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ABF.F561</w:t>
            </w:r>
          </w:p>
        </w:tc>
        <w:tc>
          <w:tcPr>
            <w:tcW w:w="1134" w:type="dxa"/>
            <w:gridSpan w:val="2"/>
            <w:tcBorders>
              <w:top w:val="nil"/>
              <w:left w:val="nil"/>
              <w:bottom w:val="nil"/>
              <w:right w:val="single" w:sz="8" w:space="0" w:color="auto"/>
            </w:tcBorders>
            <w:shd w:val="clear" w:color="auto" w:fill="auto"/>
            <w:vAlign w:val="center"/>
            <w:hideMark/>
          </w:tcPr>
          <w:p w14:paraId="1F33E325"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ABF.G561</w:t>
            </w:r>
          </w:p>
        </w:tc>
      </w:tr>
      <w:tr w:rsidR="00D73956" w:rsidRPr="00D73956" w14:paraId="0D6C5426"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53DCAD13"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274 - TRANSFERÊNCIA DE INSTITUIÇÕES PRIVADAS</w:t>
            </w:r>
          </w:p>
        </w:tc>
        <w:tc>
          <w:tcPr>
            <w:tcW w:w="1276" w:type="dxa"/>
            <w:tcBorders>
              <w:top w:val="nil"/>
              <w:left w:val="nil"/>
              <w:bottom w:val="nil"/>
              <w:right w:val="single" w:sz="8" w:space="0" w:color="auto"/>
            </w:tcBorders>
            <w:shd w:val="clear" w:color="auto" w:fill="auto"/>
            <w:vAlign w:val="center"/>
            <w:hideMark/>
          </w:tcPr>
          <w:p w14:paraId="53E888E5"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ABF.B562</w:t>
            </w:r>
          </w:p>
        </w:tc>
        <w:tc>
          <w:tcPr>
            <w:tcW w:w="1559" w:type="dxa"/>
            <w:tcBorders>
              <w:top w:val="nil"/>
              <w:left w:val="nil"/>
              <w:bottom w:val="nil"/>
              <w:right w:val="single" w:sz="8" w:space="0" w:color="auto"/>
            </w:tcBorders>
            <w:shd w:val="clear" w:color="auto" w:fill="auto"/>
            <w:vAlign w:val="center"/>
            <w:hideMark/>
          </w:tcPr>
          <w:p w14:paraId="1AD88E9D"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ABF.C562</w:t>
            </w:r>
          </w:p>
        </w:tc>
        <w:tc>
          <w:tcPr>
            <w:tcW w:w="1417" w:type="dxa"/>
            <w:tcBorders>
              <w:top w:val="nil"/>
              <w:left w:val="nil"/>
              <w:bottom w:val="nil"/>
              <w:right w:val="single" w:sz="8" w:space="0" w:color="auto"/>
            </w:tcBorders>
            <w:shd w:val="clear" w:color="auto" w:fill="auto"/>
            <w:vAlign w:val="center"/>
            <w:hideMark/>
          </w:tcPr>
          <w:p w14:paraId="00E3D336"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ABF.D562</w:t>
            </w:r>
          </w:p>
        </w:tc>
        <w:tc>
          <w:tcPr>
            <w:tcW w:w="1276" w:type="dxa"/>
            <w:tcBorders>
              <w:top w:val="nil"/>
              <w:left w:val="nil"/>
              <w:bottom w:val="nil"/>
              <w:right w:val="single" w:sz="8" w:space="0" w:color="auto"/>
            </w:tcBorders>
            <w:shd w:val="clear" w:color="auto" w:fill="auto"/>
            <w:vAlign w:val="center"/>
            <w:hideMark/>
          </w:tcPr>
          <w:p w14:paraId="3F2A7E9B"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ABF.E562</w:t>
            </w:r>
          </w:p>
        </w:tc>
        <w:tc>
          <w:tcPr>
            <w:tcW w:w="1559" w:type="dxa"/>
            <w:gridSpan w:val="2"/>
            <w:tcBorders>
              <w:top w:val="nil"/>
              <w:left w:val="nil"/>
              <w:bottom w:val="nil"/>
              <w:right w:val="single" w:sz="8" w:space="0" w:color="auto"/>
            </w:tcBorders>
            <w:shd w:val="clear" w:color="auto" w:fill="auto"/>
            <w:vAlign w:val="center"/>
            <w:hideMark/>
          </w:tcPr>
          <w:p w14:paraId="5C47DECB"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ABF.F562</w:t>
            </w:r>
          </w:p>
        </w:tc>
        <w:tc>
          <w:tcPr>
            <w:tcW w:w="1134" w:type="dxa"/>
            <w:gridSpan w:val="2"/>
            <w:tcBorders>
              <w:top w:val="nil"/>
              <w:left w:val="nil"/>
              <w:bottom w:val="nil"/>
              <w:right w:val="single" w:sz="8" w:space="0" w:color="auto"/>
            </w:tcBorders>
            <w:shd w:val="clear" w:color="auto" w:fill="auto"/>
            <w:vAlign w:val="center"/>
            <w:hideMark/>
          </w:tcPr>
          <w:p w14:paraId="4C3AF8EC"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ABF.G562</w:t>
            </w:r>
          </w:p>
        </w:tc>
      </w:tr>
      <w:tr w:rsidR="00D73956" w:rsidRPr="00D73956" w14:paraId="07905949"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0FE4E430"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275 - OUTRAS TRANSFERÊNCIAS DA UNIÃO</w:t>
            </w:r>
          </w:p>
        </w:tc>
        <w:tc>
          <w:tcPr>
            <w:tcW w:w="1276" w:type="dxa"/>
            <w:tcBorders>
              <w:top w:val="nil"/>
              <w:left w:val="nil"/>
              <w:bottom w:val="nil"/>
              <w:right w:val="single" w:sz="8" w:space="0" w:color="auto"/>
            </w:tcBorders>
            <w:shd w:val="clear" w:color="auto" w:fill="auto"/>
            <w:vAlign w:val="center"/>
            <w:hideMark/>
          </w:tcPr>
          <w:p w14:paraId="5B12C99F"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ABF.B563</w:t>
            </w:r>
          </w:p>
        </w:tc>
        <w:tc>
          <w:tcPr>
            <w:tcW w:w="1559" w:type="dxa"/>
            <w:tcBorders>
              <w:top w:val="nil"/>
              <w:left w:val="nil"/>
              <w:bottom w:val="nil"/>
              <w:right w:val="single" w:sz="8" w:space="0" w:color="auto"/>
            </w:tcBorders>
            <w:shd w:val="clear" w:color="auto" w:fill="auto"/>
            <w:vAlign w:val="center"/>
            <w:hideMark/>
          </w:tcPr>
          <w:p w14:paraId="7ACDBDD6"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ABF.C563</w:t>
            </w:r>
          </w:p>
        </w:tc>
        <w:tc>
          <w:tcPr>
            <w:tcW w:w="1417" w:type="dxa"/>
            <w:tcBorders>
              <w:top w:val="nil"/>
              <w:left w:val="nil"/>
              <w:bottom w:val="nil"/>
              <w:right w:val="single" w:sz="8" w:space="0" w:color="auto"/>
            </w:tcBorders>
            <w:shd w:val="clear" w:color="auto" w:fill="auto"/>
            <w:vAlign w:val="center"/>
            <w:hideMark/>
          </w:tcPr>
          <w:p w14:paraId="41F8BC38"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ABF.D563</w:t>
            </w:r>
          </w:p>
        </w:tc>
        <w:tc>
          <w:tcPr>
            <w:tcW w:w="1276" w:type="dxa"/>
            <w:tcBorders>
              <w:top w:val="nil"/>
              <w:left w:val="nil"/>
              <w:bottom w:val="nil"/>
              <w:right w:val="single" w:sz="8" w:space="0" w:color="auto"/>
            </w:tcBorders>
            <w:shd w:val="clear" w:color="auto" w:fill="auto"/>
            <w:vAlign w:val="center"/>
            <w:hideMark/>
          </w:tcPr>
          <w:p w14:paraId="7E598562"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ABF.E563</w:t>
            </w:r>
          </w:p>
        </w:tc>
        <w:tc>
          <w:tcPr>
            <w:tcW w:w="1559" w:type="dxa"/>
            <w:gridSpan w:val="2"/>
            <w:tcBorders>
              <w:top w:val="nil"/>
              <w:left w:val="nil"/>
              <w:bottom w:val="nil"/>
              <w:right w:val="single" w:sz="8" w:space="0" w:color="auto"/>
            </w:tcBorders>
            <w:shd w:val="clear" w:color="auto" w:fill="auto"/>
            <w:vAlign w:val="center"/>
            <w:hideMark/>
          </w:tcPr>
          <w:p w14:paraId="4B5F0706"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ABF.F563</w:t>
            </w:r>
          </w:p>
        </w:tc>
        <w:tc>
          <w:tcPr>
            <w:tcW w:w="1134" w:type="dxa"/>
            <w:gridSpan w:val="2"/>
            <w:tcBorders>
              <w:top w:val="nil"/>
              <w:left w:val="nil"/>
              <w:bottom w:val="nil"/>
              <w:right w:val="single" w:sz="8" w:space="0" w:color="auto"/>
            </w:tcBorders>
            <w:shd w:val="clear" w:color="auto" w:fill="auto"/>
            <w:vAlign w:val="center"/>
            <w:hideMark/>
          </w:tcPr>
          <w:p w14:paraId="179D45ED"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ABF.G563</w:t>
            </w:r>
          </w:p>
        </w:tc>
      </w:tr>
      <w:tr w:rsidR="00D73956" w:rsidRPr="00D73956" w14:paraId="2E0B9DCA"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47BE043C"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276 - FUNDO DE PROTEÇÃO SOCIAL DOS MILITARES</w:t>
            </w:r>
          </w:p>
        </w:tc>
        <w:tc>
          <w:tcPr>
            <w:tcW w:w="1276" w:type="dxa"/>
            <w:tcBorders>
              <w:top w:val="nil"/>
              <w:left w:val="nil"/>
              <w:bottom w:val="nil"/>
              <w:right w:val="single" w:sz="8" w:space="0" w:color="auto"/>
            </w:tcBorders>
            <w:shd w:val="clear" w:color="auto" w:fill="auto"/>
            <w:vAlign w:val="center"/>
            <w:hideMark/>
          </w:tcPr>
          <w:p w14:paraId="5FB54CE8"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ABF.B602</w:t>
            </w:r>
          </w:p>
        </w:tc>
        <w:tc>
          <w:tcPr>
            <w:tcW w:w="1559" w:type="dxa"/>
            <w:tcBorders>
              <w:top w:val="nil"/>
              <w:left w:val="nil"/>
              <w:bottom w:val="nil"/>
              <w:right w:val="single" w:sz="8" w:space="0" w:color="auto"/>
            </w:tcBorders>
            <w:shd w:val="clear" w:color="auto" w:fill="auto"/>
            <w:vAlign w:val="center"/>
            <w:hideMark/>
          </w:tcPr>
          <w:p w14:paraId="49545BB0"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ABF.C602</w:t>
            </w:r>
          </w:p>
        </w:tc>
        <w:tc>
          <w:tcPr>
            <w:tcW w:w="1417" w:type="dxa"/>
            <w:tcBorders>
              <w:top w:val="nil"/>
              <w:left w:val="nil"/>
              <w:bottom w:val="nil"/>
              <w:right w:val="single" w:sz="8" w:space="0" w:color="auto"/>
            </w:tcBorders>
            <w:shd w:val="clear" w:color="auto" w:fill="auto"/>
            <w:vAlign w:val="center"/>
            <w:hideMark/>
          </w:tcPr>
          <w:p w14:paraId="444E4EFF"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ABF.D602</w:t>
            </w:r>
          </w:p>
        </w:tc>
        <w:tc>
          <w:tcPr>
            <w:tcW w:w="1276" w:type="dxa"/>
            <w:tcBorders>
              <w:top w:val="nil"/>
              <w:left w:val="nil"/>
              <w:bottom w:val="nil"/>
              <w:right w:val="single" w:sz="8" w:space="0" w:color="auto"/>
            </w:tcBorders>
            <w:shd w:val="clear" w:color="auto" w:fill="auto"/>
            <w:vAlign w:val="center"/>
            <w:hideMark/>
          </w:tcPr>
          <w:p w14:paraId="0B39613C"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ABF.E602</w:t>
            </w:r>
          </w:p>
        </w:tc>
        <w:tc>
          <w:tcPr>
            <w:tcW w:w="1559" w:type="dxa"/>
            <w:gridSpan w:val="2"/>
            <w:tcBorders>
              <w:top w:val="nil"/>
              <w:left w:val="nil"/>
              <w:bottom w:val="nil"/>
              <w:right w:val="single" w:sz="8" w:space="0" w:color="auto"/>
            </w:tcBorders>
            <w:shd w:val="clear" w:color="auto" w:fill="auto"/>
            <w:vAlign w:val="center"/>
            <w:hideMark/>
          </w:tcPr>
          <w:p w14:paraId="3353F10C"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ABF.F602</w:t>
            </w:r>
          </w:p>
        </w:tc>
        <w:tc>
          <w:tcPr>
            <w:tcW w:w="1134" w:type="dxa"/>
            <w:gridSpan w:val="2"/>
            <w:tcBorders>
              <w:top w:val="nil"/>
              <w:left w:val="nil"/>
              <w:bottom w:val="nil"/>
              <w:right w:val="single" w:sz="8" w:space="0" w:color="auto"/>
            </w:tcBorders>
            <w:shd w:val="clear" w:color="auto" w:fill="auto"/>
            <w:vAlign w:val="center"/>
            <w:hideMark/>
          </w:tcPr>
          <w:p w14:paraId="36532051"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ABF.G602</w:t>
            </w:r>
          </w:p>
        </w:tc>
      </w:tr>
      <w:tr w:rsidR="00D73956" w:rsidRPr="00D73956" w14:paraId="433854C6"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0EB12A79"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lastRenderedPageBreak/>
              <w:t>307 - SUPERÁVIT FINANCEIRO - ROYALTIES, PARTICIPAÇÃO ESPECIAL E FUNDO ESPECIAL DO PETRÓLEO</w:t>
            </w:r>
          </w:p>
        </w:tc>
        <w:tc>
          <w:tcPr>
            <w:tcW w:w="1276" w:type="dxa"/>
            <w:tcBorders>
              <w:top w:val="nil"/>
              <w:left w:val="nil"/>
              <w:bottom w:val="nil"/>
              <w:right w:val="single" w:sz="8" w:space="0" w:color="auto"/>
            </w:tcBorders>
            <w:shd w:val="clear" w:color="auto" w:fill="auto"/>
            <w:vAlign w:val="center"/>
            <w:hideMark/>
          </w:tcPr>
          <w:p w14:paraId="3DB72080"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ABF.B603</w:t>
            </w:r>
          </w:p>
        </w:tc>
        <w:tc>
          <w:tcPr>
            <w:tcW w:w="1559" w:type="dxa"/>
            <w:tcBorders>
              <w:top w:val="nil"/>
              <w:left w:val="nil"/>
              <w:bottom w:val="nil"/>
              <w:right w:val="single" w:sz="8" w:space="0" w:color="auto"/>
            </w:tcBorders>
            <w:shd w:val="clear" w:color="auto" w:fill="auto"/>
            <w:vAlign w:val="center"/>
            <w:hideMark/>
          </w:tcPr>
          <w:p w14:paraId="35669F59"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ABF.C603</w:t>
            </w:r>
          </w:p>
        </w:tc>
        <w:tc>
          <w:tcPr>
            <w:tcW w:w="1417" w:type="dxa"/>
            <w:tcBorders>
              <w:top w:val="nil"/>
              <w:left w:val="nil"/>
              <w:bottom w:val="nil"/>
              <w:right w:val="single" w:sz="8" w:space="0" w:color="auto"/>
            </w:tcBorders>
            <w:shd w:val="clear" w:color="auto" w:fill="auto"/>
            <w:vAlign w:val="center"/>
            <w:hideMark/>
          </w:tcPr>
          <w:p w14:paraId="3CFBF2CC"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ABF.D603</w:t>
            </w:r>
          </w:p>
        </w:tc>
        <w:tc>
          <w:tcPr>
            <w:tcW w:w="1276" w:type="dxa"/>
            <w:tcBorders>
              <w:top w:val="nil"/>
              <w:left w:val="nil"/>
              <w:bottom w:val="nil"/>
              <w:right w:val="single" w:sz="8" w:space="0" w:color="auto"/>
            </w:tcBorders>
            <w:shd w:val="clear" w:color="auto" w:fill="auto"/>
            <w:vAlign w:val="center"/>
            <w:hideMark/>
          </w:tcPr>
          <w:p w14:paraId="289E514E"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ABF.E603</w:t>
            </w:r>
          </w:p>
        </w:tc>
        <w:tc>
          <w:tcPr>
            <w:tcW w:w="1559" w:type="dxa"/>
            <w:gridSpan w:val="2"/>
            <w:tcBorders>
              <w:top w:val="nil"/>
              <w:left w:val="nil"/>
              <w:bottom w:val="nil"/>
              <w:right w:val="single" w:sz="8" w:space="0" w:color="auto"/>
            </w:tcBorders>
            <w:shd w:val="clear" w:color="auto" w:fill="auto"/>
            <w:vAlign w:val="center"/>
            <w:hideMark/>
          </w:tcPr>
          <w:p w14:paraId="5CA1E4F7"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ABF.F603</w:t>
            </w:r>
          </w:p>
        </w:tc>
        <w:tc>
          <w:tcPr>
            <w:tcW w:w="1134" w:type="dxa"/>
            <w:gridSpan w:val="2"/>
            <w:tcBorders>
              <w:top w:val="nil"/>
              <w:left w:val="nil"/>
              <w:bottom w:val="nil"/>
              <w:right w:val="single" w:sz="8" w:space="0" w:color="auto"/>
            </w:tcBorders>
            <w:shd w:val="clear" w:color="auto" w:fill="auto"/>
            <w:vAlign w:val="center"/>
            <w:hideMark/>
          </w:tcPr>
          <w:p w14:paraId="49D9CA72"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ABF.G603</w:t>
            </w:r>
          </w:p>
        </w:tc>
      </w:tr>
      <w:tr w:rsidR="00D73956" w:rsidRPr="00D73956" w14:paraId="50ABE6CD"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63191634"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308 - SUPERÁVIT FINANCEIRO - DISTRIBUIÇÃO DA CESSÃO ONEROSA DO BÔNUS DE ASSINATURA DO PRÉ-SAL - LEI Nº 13.885/2019</w:t>
            </w:r>
          </w:p>
        </w:tc>
        <w:tc>
          <w:tcPr>
            <w:tcW w:w="1276" w:type="dxa"/>
            <w:tcBorders>
              <w:top w:val="nil"/>
              <w:left w:val="nil"/>
              <w:bottom w:val="nil"/>
              <w:right w:val="single" w:sz="8" w:space="0" w:color="auto"/>
            </w:tcBorders>
            <w:shd w:val="clear" w:color="auto" w:fill="auto"/>
            <w:vAlign w:val="center"/>
            <w:hideMark/>
          </w:tcPr>
          <w:p w14:paraId="5475C6C5"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ABF.B604</w:t>
            </w:r>
          </w:p>
        </w:tc>
        <w:tc>
          <w:tcPr>
            <w:tcW w:w="1559" w:type="dxa"/>
            <w:tcBorders>
              <w:top w:val="nil"/>
              <w:left w:val="nil"/>
              <w:bottom w:val="nil"/>
              <w:right w:val="single" w:sz="8" w:space="0" w:color="auto"/>
            </w:tcBorders>
            <w:shd w:val="clear" w:color="auto" w:fill="auto"/>
            <w:vAlign w:val="center"/>
            <w:hideMark/>
          </w:tcPr>
          <w:p w14:paraId="45575366"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ABF.C604</w:t>
            </w:r>
          </w:p>
        </w:tc>
        <w:tc>
          <w:tcPr>
            <w:tcW w:w="1417" w:type="dxa"/>
            <w:tcBorders>
              <w:top w:val="nil"/>
              <w:left w:val="nil"/>
              <w:bottom w:val="nil"/>
              <w:right w:val="single" w:sz="8" w:space="0" w:color="auto"/>
            </w:tcBorders>
            <w:shd w:val="clear" w:color="auto" w:fill="auto"/>
            <w:vAlign w:val="center"/>
            <w:hideMark/>
          </w:tcPr>
          <w:p w14:paraId="4227561B"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ABF.D604</w:t>
            </w:r>
          </w:p>
        </w:tc>
        <w:tc>
          <w:tcPr>
            <w:tcW w:w="1276" w:type="dxa"/>
            <w:tcBorders>
              <w:top w:val="nil"/>
              <w:left w:val="nil"/>
              <w:bottom w:val="nil"/>
              <w:right w:val="single" w:sz="8" w:space="0" w:color="auto"/>
            </w:tcBorders>
            <w:shd w:val="clear" w:color="auto" w:fill="auto"/>
            <w:vAlign w:val="center"/>
            <w:hideMark/>
          </w:tcPr>
          <w:p w14:paraId="7A1F32C8"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ABF.E604</w:t>
            </w:r>
          </w:p>
        </w:tc>
        <w:tc>
          <w:tcPr>
            <w:tcW w:w="1559" w:type="dxa"/>
            <w:gridSpan w:val="2"/>
            <w:tcBorders>
              <w:top w:val="nil"/>
              <w:left w:val="nil"/>
              <w:bottom w:val="nil"/>
              <w:right w:val="single" w:sz="8" w:space="0" w:color="auto"/>
            </w:tcBorders>
            <w:shd w:val="clear" w:color="auto" w:fill="auto"/>
            <w:vAlign w:val="center"/>
            <w:hideMark/>
          </w:tcPr>
          <w:p w14:paraId="19EC0EDB"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ABF.F604</w:t>
            </w:r>
          </w:p>
        </w:tc>
        <w:tc>
          <w:tcPr>
            <w:tcW w:w="1134" w:type="dxa"/>
            <w:gridSpan w:val="2"/>
            <w:tcBorders>
              <w:top w:val="nil"/>
              <w:left w:val="nil"/>
              <w:bottom w:val="nil"/>
              <w:right w:val="single" w:sz="8" w:space="0" w:color="auto"/>
            </w:tcBorders>
            <w:shd w:val="clear" w:color="auto" w:fill="auto"/>
            <w:vAlign w:val="center"/>
            <w:hideMark/>
          </w:tcPr>
          <w:p w14:paraId="1002A621"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ABF.G604</w:t>
            </w:r>
          </w:p>
        </w:tc>
      </w:tr>
      <w:tr w:rsidR="00D73956" w:rsidRPr="00D73956" w14:paraId="37A6966F"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6DC223C2"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312 - SUPERÁVIT FINANCEIRO - DEC 2829-R, DE 17/08/11</w:t>
            </w:r>
          </w:p>
        </w:tc>
        <w:tc>
          <w:tcPr>
            <w:tcW w:w="1276" w:type="dxa"/>
            <w:tcBorders>
              <w:top w:val="nil"/>
              <w:left w:val="nil"/>
              <w:bottom w:val="nil"/>
              <w:right w:val="single" w:sz="8" w:space="0" w:color="auto"/>
            </w:tcBorders>
            <w:shd w:val="clear" w:color="auto" w:fill="auto"/>
            <w:vAlign w:val="center"/>
            <w:hideMark/>
          </w:tcPr>
          <w:p w14:paraId="4BE2A8C9"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ABF.B564</w:t>
            </w:r>
          </w:p>
        </w:tc>
        <w:tc>
          <w:tcPr>
            <w:tcW w:w="1559" w:type="dxa"/>
            <w:tcBorders>
              <w:top w:val="nil"/>
              <w:left w:val="nil"/>
              <w:bottom w:val="nil"/>
              <w:right w:val="single" w:sz="8" w:space="0" w:color="auto"/>
            </w:tcBorders>
            <w:shd w:val="clear" w:color="auto" w:fill="auto"/>
            <w:vAlign w:val="center"/>
            <w:hideMark/>
          </w:tcPr>
          <w:p w14:paraId="517202A8"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ABF.C564</w:t>
            </w:r>
          </w:p>
        </w:tc>
        <w:tc>
          <w:tcPr>
            <w:tcW w:w="1417" w:type="dxa"/>
            <w:tcBorders>
              <w:top w:val="nil"/>
              <w:left w:val="nil"/>
              <w:bottom w:val="nil"/>
              <w:right w:val="single" w:sz="8" w:space="0" w:color="auto"/>
            </w:tcBorders>
            <w:shd w:val="clear" w:color="auto" w:fill="auto"/>
            <w:vAlign w:val="center"/>
            <w:hideMark/>
          </w:tcPr>
          <w:p w14:paraId="1DDCC67E"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ABF.D564</w:t>
            </w:r>
          </w:p>
        </w:tc>
        <w:tc>
          <w:tcPr>
            <w:tcW w:w="1276" w:type="dxa"/>
            <w:tcBorders>
              <w:top w:val="nil"/>
              <w:left w:val="nil"/>
              <w:bottom w:val="nil"/>
              <w:right w:val="single" w:sz="8" w:space="0" w:color="auto"/>
            </w:tcBorders>
            <w:shd w:val="clear" w:color="auto" w:fill="auto"/>
            <w:vAlign w:val="center"/>
            <w:hideMark/>
          </w:tcPr>
          <w:p w14:paraId="39B792FC"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ABF.E564</w:t>
            </w:r>
          </w:p>
        </w:tc>
        <w:tc>
          <w:tcPr>
            <w:tcW w:w="1559" w:type="dxa"/>
            <w:gridSpan w:val="2"/>
            <w:tcBorders>
              <w:top w:val="nil"/>
              <w:left w:val="nil"/>
              <w:bottom w:val="nil"/>
              <w:right w:val="single" w:sz="8" w:space="0" w:color="auto"/>
            </w:tcBorders>
            <w:shd w:val="clear" w:color="auto" w:fill="auto"/>
            <w:vAlign w:val="center"/>
            <w:hideMark/>
          </w:tcPr>
          <w:p w14:paraId="528EA4C3"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ABF.F564</w:t>
            </w:r>
          </w:p>
        </w:tc>
        <w:tc>
          <w:tcPr>
            <w:tcW w:w="1134" w:type="dxa"/>
            <w:gridSpan w:val="2"/>
            <w:tcBorders>
              <w:top w:val="nil"/>
              <w:left w:val="nil"/>
              <w:bottom w:val="nil"/>
              <w:right w:val="single" w:sz="8" w:space="0" w:color="auto"/>
            </w:tcBorders>
            <w:shd w:val="clear" w:color="auto" w:fill="auto"/>
            <w:vAlign w:val="center"/>
            <w:hideMark/>
          </w:tcPr>
          <w:p w14:paraId="4553B72A"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ABF.G564</w:t>
            </w:r>
          </w:p>
        </w:tc>
      </w:tr>
      <w:tr w:rsidR="00D73956" w:rsidRPr="00D73956" w14:paraId="6DCBC039"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0CE5E171"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315 - SUPERÁVIT FINANCEIRO - ALIENAÇÃO DE BENS</w:t>
            </w:r>
          </w:p>
        </w:tc>
        <w:tc>
          <w:tcPr>
            <w:tcW w:w="1276" w:type="dxa"/>
            <w:tcBorders>
              <w:top w:val="nil"/>
              <w:left w:val="nil"/>
              <w:bottom w:val="nil"/>
              <w:right w:val="single" w:sz="8" w:space="0" w:color="auto"/>
            </w:tcBorders>
            <w:shd w:val="clear" w:color="auto" w:fill="auto"/>
            <w:vAlign w:val="center"/>
            <w:hideMark/>
          </w:tcPr>
          <w:p w14:paraId="6A06599B"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ABF.B565</w:t>
            </w:r>
          </w:p>
        </w:tc>
        <w:tc>
          <w:tcPr>
            <w:tcW w:w="1559" w:type="dxa"/>
            <w:tcBorders>
              <w:top w:val="nil"/>
              <w:left w:val="nil"/>
              <w:bottom w:val="nil"/>
              <w:right w:val="single" w:sz="8" w:space="0" w:color="auto"/>
            </w:tcBorders>
            <w:shd w:val="clear" w:color="auto" w:fill="auto"/>
            <w:vAlign w:val="center"/>
            <w:hideMark/>
          </w:tcPr>
          <w:p w14:paraId="10A879EF"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ABF.C565</w:t>
            </w:r>
          </w:p>
        </w:tc>
        <w:tc>
          <w:tcPr>
            <w:tcW w:w="1417" w:type="dxa"/>
            <w:tcBorders>
              <w:top w:val="nil"/>
              <w:left w:val="nil"/>
              <w:bottom w:val="nil"/>
              <w:right w:val="single" w:sz="8" w:space="0" w:color="auto"/>
            </w:tcBorders>
            <w:shd w:val="clear" w:color="auto" w:fill="auto"/>
            <w:vAlign w:val="center"/>
            <w:hideMark/>
          </w:tcPr>
          <w:p w14:paraId="2A5A8B82"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ABF.D565</w:t>
            </w:r>
          </w:p>
        </w:tc>
        <w:tc>
          <w:tcPr>
            <w:tcW w:w="1276" w:type="dxa"/>
            <w:tcBorders>
              <w:top w:val="nil"/>
              <w:left w:val="nil"/>
              <w:bottom w:val="nil"/>
              <w:right w:val="single" w:sz="8" w:space="0" w:color="auto"/>
            </w:tcBorders>
            <w:shd w:val="clear" w:color="auto" w:fill="auto"/>
            <w:vAlign w:val="center"/>
            <w:hideMark/>
          </w:tcPr>
          <w:p w14:paraId="6EA6D137"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ABF.E565</w:t>
            </w:r>
          </w:p>
        </w:tc>
        <w:tc>
          <w:tcPr>
            <w:tcW w:w="1559" w:type="dxa"/>
            <w:gridSpan w:val="2"/>
            <w:tcBorders>
              <w:top w:val="nil"/>
              <w:left w:val="nil"/>
              <w:bottom w:val="nil"/>
              <w:right w:val="single" w:sz="8" w:space="0" w:color="auto"/>
            </w:tcBorders>
            <w:shd w:val="clear" w:color="auto" w:fill="auto"/>
            <w:vAlign w:val="center"/>
            <w:hideMark/>
          </w:tcPr>
          <w:p w14:paraId="10B526C4"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ABF.F565</w:t>
            </w:r>
          </w:p>
        </w:tc>
        <w:tc>
          <w:tcPr>
            <w:tcW w:w="1134" w:type="dxa"/>
            <w:gridSpan w:val="2"/>
            <w:tcBorders>
              <w:top w:val="nil"/>
              <w:left w:val="nil"/>
              <w:bottom w:val="nil"/>
              <w:right w:val="single" w:sz="8" w:space="0" w:color="auto"/>
            </w:tcBorders>
            <w:shd w:val="clear" w:color="auto" w:fill="auto"/>
            <w:vAlign w:val="center"/>
            <w:hideMark/>
          </w:tcPr>
          <w:p w14:paraId="109CE361"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ABF.G565</w:t>
            </w:r>
          </w:p>
        </w:tc>
      </w:tr>
      <w:tr w:rsidR="00D73956" w:rsidRPr="00D73956" w14:paraId="4FAC74DF"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3C9A4F8E"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316 - SUPERÁVIT FINANCEIRO - DEPÓSITOS JUDICIAIS – LEI 10.549, DE 1º JULHO DE 2016</w:t>
            </w:r>
          </w:p>
        </w:tc>
        <w:tc>
          <w:tcPr>
            <w:tcW w:w="1276" w:type="dxa"/>
            <w:tcBorders>
              <w:top w:val="nil"/>
              <w:left w:val="nil"/>
              <w:bottom w:val="nil"/>
              <w:right w:val="single" w:sz="8" w:space="0" w:color="auto"/>
            </w:tcBorders>
            <w:shd w:val="clear" w:color="auto" w:fill="auto"/>
            <w:vAlign w:val="center"/>
            <w:hideMark/>
          </w:tcPr>
          <w:p w14:paraId="06EAD660"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ABF.B566</w:t>
            </w:r>
          </w:p>
        </w:tc>
        <w:tc>
          <w:tcPr>
            <w:tcW w:w="1559" w:type="dxa"/>
            <w:tcBorders>
              <w:top w:val="nil"/>
              <w:left w:val="nil"/>
              <w:bottom w:val="nil"/>
              <w:right w:val="single" w:sz="8" w:space="0" w:color="auto"/>
            </w:tcBorders>
            <w:shd w:val="clear" w:color="auto" w:fill="auto"/>
            <w:vAlign w:val="center"/>
            <w:hideMark/>
          </w:tcPr>
          <w:p w14:paraId="7A2EE7E7"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ABF.C566</w:t>
            </w:r>
          </w:p>
        </w:tc>
        <w:tc>
          <w:tcPr>
            <w:tcW w:w="1417" w:type="dxa"/>
            <w:tcBorders>
              <w:top w:val="nil"/>
              <w:left w:val="nil"/>
              <w:bottom w:val="nil"/>
              <w:right w:val="single" w:sz="8" w:space="0" w:color="auto"/>
            </w:tcBorders>
            <w:shd w:val="clear" w:color="auto" w:fill="auto"/>
            <w:vAlign w:val="center"/>
            <w:hideMark/>
          </w:tcPr>
          <w:p w14:paraId="7483909C"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ABF.D566</w:t>
            </w:r>
          </w:p>
        </w:tc>
        <w:tc>
          <w:tcPr>
            <w:tcW w:w="1276" w:type="dxa"/>
            <w:tcBorders>
              <w:top w:val="nil"/>
              <w:left w:val="nil"/>
              <w:bottom w:val="nil"/>
              <w:right w:val="single" w:sz="8" w:space="0" w:color="auto"/>
            </w:tcBorders>
            <w:shd w:val="clear" w:color="auto" w:fill="auto"/>
            <w:vAlign w:val="center"/>
            <w:hideMark/>
          </w:tcPr>
          <w:p w14:paraId="764FAF13"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ABF.E566</w:t>
            </w:r>
          </w:p>
        </w:tc>
        <w:tc>
          <w:tcPr>
            <w:tcW w:w="1559" w:type="dxa"/>
            <w:gridSpan w:val="2"/>
            <w:tcBorders>
              <w:top w:val="nil"/>
              <w:left w:val="nil"/>
              <w:bottom w:val="nil"/>
              <w:right w:val="single" w:sz="8" w:space="0" w:color="auto"/>
            </w:tcBorders>
            <w:shd w:val="clear" w:color="auto" w:fill="auto"/>
            <w:vAlign w:val="center"/>
            <w:hideMark/>
          </w:tcPr>
          <w:p w14:paraId="69FC5639"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ABF.F566</w:t>
            </w:r>
          </w:p>
        </w:tc>
        <w:tc>
          <w:tcPr>
            <w:tcW w:w="1134" w:type="dxa"/>
            <w:gridSpan w:val="2"/>
            <w:tcBorders>
              <w:top w:val="nil"/>
              <w:left w:val="nil"/>
              <w:bottom w:val="nil"/>
              <w:right w:val="single" w:sz="8" w:space="0" w:color="auto"/>
            </w:tcBorders>
            <w:shd w:val="clear" w:color="auto" w:fill="auto"/>
            <w:vAlign w:val="center"/>
            <w:hideMark/>
          </w:tcPr>
          <w:p w14:paraId="1084BF52"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ABF.G566</w:t>
            </w:r>
          </w:p>
        </w:tc>
      </w:tr>
      <w:tr w:rsidR="00D73956" w:rsidRPr="00D73956" w14:paraId="5A1B89AB"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260C5ED0"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333 - SUPERÁVIT FINANCEIRO - CONVÊNIOS UNIÃO</w:t>
            </w:r>
          </w:p>
        </w:tc>
        <w:tc>
          <w:tcPr>
            <w:tcW w:w="1276" w:type="dxa"/>
            <w:tcBorders>
              <w:top w:val="nil"/>
              <w:left w:val="nil"/>
              <w:bottom w:val="nil"/>
              <w:right w:val="single" w:sz="8" w:space="0" w:color="auto"/>
            </w:tcBorders>
            <w:shd w:val="clear" w:color="auto" w:fill="auto"/>
            <w:vAlign w:val="center"/>
            <w:hideMark/>
          </w:tcPr>
          <w:p w14:paraId="439E1632"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ABF.B567</w:t>
            </w:r>
          </w:p>
        </w:tc>
        <w:tc>
          <w:tcPr>
            <w:tcW w:w="1559" w:type="dxa"/>
            <w:tcBorders>
              <w:top w:val="nil"/>
              <w:left w:val="nil"/>
              <w:bottom w:val="nil"/>
              <w:right w:val="single" w:sz="8" w:space="0" w:color="auto"/>
            </w:tcBorders>
            <w:shd w:val="clear" w:color="auto" w:fill="auto"/>
            <w:vAlign w:val="center"/>
            <w:hideMark/>
          </w:tcPr>
          <w:p w14:paraId="22C664B1"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ABF.C567</w:t>
            </w:r>
          </w:p>
        </w:tc>
        <w:tc>
          <w:tcPr>
            <w:tcW w:w="1417" w:type="dxa"/>
            <w:tcBorders>
              <w:top w:val="nil"/>
              <w:left w:val="nil"/>
              <w:bottom w:val="nil"/>
              <w:right w:val="single" w:sz="8" w:space="0" w:color="auto"/>
            </w:tcBorders>
            <w:shd w:val="clear" w:color="auto" w:fill="auto"/>
            <w:vAlign w:val="center"/>
            <w:hideMark/>
          </w:tcPr>
          <w:p w14:paraId="30119CB0"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ABF.D567</w:t>
            </w:r>
          </w:p>
        </w:tc>
        <w:tc>
          <w:tcPr>
            <w:tcW w:w="1276" w:type="dxa"/>
            <w:tcBorders>
              <w:top w:val="nil"/>
              <w:left w:val="nil"/>
              <w:bottom w:val="nil"/>
              <w:right w:val="single" w:sz="8" w:space="0" w:color="auto"/>
            </w:tcBorders>
            <w:shd w:val="clear" w:color="auto" w:fill="auto"/>
            <w:vAlign w:val="center"/>
            <w:hideMark/>
          </w:tcPr>
          <w:p w14:paraId="2EB4E33B"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ABF.E567</w:t>
            </w:r>
          </w:p>
        </w:tc>
        <w:tc>
          <w:tcPr>
            <w:tcW w:w="1559" w:type="dxa"/>
            <w:gridSpan w:val="2"/>
            <w:tcBorders>
              <w:top w:val="nil"/>
              <w:left w:val="nil"/>
              <w:bottom w:val="nil"/>
              <w:right w:val="single" w:sz="8" w:space="0" w:color="auto"/>
            </w:tcBorders>
            <w:shd w:val="clear" w:color="auto" w:fill="auto"/>
            <w:vAlign w:val="center"/>
            <w:hideMark/>
          </w:tcPr>
          <w:p w14:paraId="6C7E195C"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ABF.F567</w:t>
            </w:r>
          </w:p>
        </w:tc>
        <w:tc>
          <w:tcPr>
            <w:tcW w:w="1134" w:type="dxa"/>
            <w:gridSpan w:val="2"/>
            <w:tcBorders>
              <w:top w:val="nil"/>
              <w:left w:val="nil"/>
              <w:bottom w:val="nil"/>
              <w:right w:val="single" w:sz="8" w:space="0" w:color="auto"/>
            </w:tcBorders>
            <w:shd w:val="clear" w:color="auto" w:fill="auto"/>
            <w:vAlign w:val="center"/>
            <w:hideMark/>
          </w:tcPr>
          <w:p w14:paraId="3C9FD0D7"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ABF.G567</w:t>
            </w:r>
          </w:p>
        </w:tc>
      </w:tr>
      <w:tr w:rsidR="00D73956" w:rsidRPr="00D73956" w14:paraId="7EA61165"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6D7D3C7C"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336 - SUPERÁVIT FINANCEIRO - TRANSFERÊNCIAS CONSTITUCIONAIS A MUNICÍPIOS</w:t>
            </w:r>
          </w:p>
        </w:tc>
        <w:tc>
          <w:tcPr>
            <w:tcW w:w="1276" w:type="dxa"/>
            <w:tcBorders>
              <w:top w:val="nil"/>
              <w:left w:val="nil"/>
              <w:bottom w:val="nil"/>
              <w:right w:val="single" w:sz="8" w:space="0" w:color="auto"/>
            </w:tcBorders>
            <w:shd w:val="clear" w:color="auto" w:fill="auto"/>
            <w:vAlign w:val="center"/>
            <w:hideMark/>
          </w:tcPr>
          <w:p w14:paraId="7886594E"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ABF.B568</w:t>
            </w:r>
          </w:p>
        </w:tc>
        <w:tc>
          <w:tcPr>
            <w:tcW w:w="1559" w:type="dxa"/>
            <w:tcBorders>
              <w:top w:val="nil"/>
              <w:left w:val="nil"/>
              <w:bottom w:val="nil"/>
              <w:right w:val="single" w:sz="8" w:space="0" w:color="auto"/>
            </w:tcBorders>
            <w:shd w:val="clear" w:color="auto" w:fill="auto"/>
            <w:vAlign w:val="center"/>
            <w:hideMark/>
          </w:tcPr>
          <w:p w14:paraId="551CF3B4"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ABF.C568</w:t>
            </w:r>
          </w:p>
        </w:tc>
        <w:tc>
          <w:tcPr>
            <w:tcW w:w="1417" w:type="dxa"/>
            <w:tcBorders>
              <w:top w:val="nil"/>
              <w:left w:val="nil"/>
              <w:bottom w:val="nil"/>
              <w:right w:val="single" w:sz="8" w:space="0" w:color="auto"/>
            </w:tcBorders>
            <w:shd w:val="clear" w:color="auto" w:fill="auto"/>
            <w:vAlign w:val="center"/>
            <w:hideMark/>
          </w:tcPr>
          <w:p w14:paraId="52BE2FA9"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ABF.D568</w:t>
            </w:r>
          </w:p>
        </w:tc>
        <w:tc>
          <w:tcPr>
            <w:tcW w:w="1276" w:type="dxa"/>
            <w:tcBorders>
              <w:top w:val="nil"/>
              <w:left w:val="nil"/>
              <w:bottom w:val="nil"/>
              <w:right w:val="single" w:sz="8" w:space="0" w:color="auto"/>
            </w:tcBorders>
            <w:shd w:val="clear" w:color="auto" w:fill="auto"/>
            <w:vAlign w:val="center"/>
            <w:hideMark/>
          </w:tcPr>
          <w:p w14:paraId="6537361E"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ABF.E568</w:t>
            </w:r>
          </w:p>
        </w:tc>
        <w:tc>
          <w:tcPr>
            <w:tcW w:w="1559" w:type="dxa"/>
            <w:gridSpan w:val="2"/>
            <w:tcBorders>
              <w:top w:val="nil"/>
              <w:left w:val="nil"/>
              <w:bottom w:val="nil"/>
              <w:right w:val="single" w:sz="8" w:space="0" w:color="auto"/>
            </w:tcBorders>
            <w:shd w:val="clear" w:color="auto" w:fill="auto"/>
            <w:vAlign w:val="center"/>
            <w:hideMark/>
          </w:tcPr>
          <w:p w14:paraId="122400EE"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ABF.F568</w:t>
            </w:r>
          </w:p>
        </w:tc>
        <w:tc>
          <w:tcPr>
            <w:tcW w:w="1134" w:type="dxa"/>
            <w:gridSpan w:val="2"/>
            <w:tcBorders>
              <w:top w:val="nil"/>
              <w:left w:val="nil"/>
              <w:bottom w:val="nil"/>
              <w:right w:val="single" w:sz="8" w:space="0" w:color="auto"/>
            </w:tcBorders>
            <w:shd w:val="clear" w:color="auto" w:fill="auto"/>
            <w:vAlign w:val="center"/>
            <w:hideMark/>
          </w:tcPr>
          <w:p w14:paraId="0A4470BF"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ABF.G568</w:t>
            </w:r>
          </w:p>
        </w:tc>
      </w:tr>
      <w:tr w:rsidR="00D73956" w:rsidRPr="00D73956" w14:paraId="5F1B0E0F"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43F650DE"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338 - SUPERÁVIT FINANCEIRO - FUNDAP</w:t>
            </w:r>
          </w:p>
        </w:tc>
        <w:tc>
          <w:tcPr>
            <w:tcW w:w="1276" w:type="dxa"/>
            <w:tcBorders>
              <w:top w:val="nil"/>
              <w:left w:val="nil"/>
              <w:bottom w:val="nil"/>
              <w:right w:val="single" w:sz="8" w:space="0" w:color="auto"/>
            </w:tcBorders>
            <w:shd w:val="clear" w:color="auto" w:fill="auto"/>
            <w:vAlign w:val="center"/>
            <w:hideMark/>
          </w:tcPr>
          <w:p w14:paraId="5B89342E"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ABF.B569</w:t>
            </w:r>
          </w:p>
        </w:tc>
        <w:tc>
          <w:tcPr>
            <w:tcW w:w="1559" w:type="dxa"/>
            <w:tcBorders>
              <w:top w:val="nil"/>
              <w:left w:val="nil"/>
              <w:bottom w:val="nil"/>
              <w:right w:val="single" w:sz="8" w:space="0" w:color="auto"/>
            </w:tcBorders>
            <w:shd w:val="clear" w:color="auto" w:fill="auto"/>
            <w:vAlign w:val="center"/>
            <w:hideMark/>
          </w:tcPr>
          <w:p w14:paraId="39A3B941"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ABF.C569</w:t>
            </w:r>
          </w:p>
        </w:tc>
        <w:tc>
          <w:tcPr>
            <w:tcW w:w="1417" w:type="dxa"/>
            <w:tcBorders>
              <w:top w:val="nil"/>
              <w:left w:val="nil"/>
              <w:bottom w:val="nil"/>
              <w:right w:val="single" w:sz="8" w:space="0" w:color="auto"/>
            </w:tcBorders>
            <w:shd w:val="clear" w:color="auto" w:fill="auto"/>
            <w:vAlign w:val="center"/>
            <w:hideMark/>
          </w:tcPr>
          <w:p w14:paraId="5906C5B5"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ABF.D569</w:t>
            </w:r>
          </w:p>
        </w:tc>
        <w:tc>
          <w:tcPr>
            <w:tcW w:w="1276" w:type="dxa"/>
            <w:tcBorders>
              <w:top w:val="nil"/>
              <w:left w:val="nil"/>
              <w:bottom w:val="nil"/>
              <w:right w:val="single" w:sz="8" w:space="0" w:color="auto"/>
            </w:tcBorders>
            <w:shd w:val="clear" w:color="auto" w:fill="auto"/>
            <w:vAlign w:val="center"/>
            <w:hideMark/>
          </w:tcPr>
          <w:p w14:paraId="73DB9B73"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ABF.E569</w:t>
            </w:r>
          </w:p>
        </w:tc>
        <w:tc>
          <w:tcPr>
            <w:tcW w:w="1559" w:type="dxa"/>
            <w:gridSpan w:val="2"/>
            <w:tcBorders>
              <w:top w:val="nil"/>
              <w:left w:val="nil"/>
              <w:bottom w:val="nil"/>
              <w:right w:val="single" w:sz="8" w:space="0" w:color="auto"/>
            </w:tcBorders>
            <w:shd w:val="clear" w:color="auto" w:fill="auto"/>
            <w:vAlign w:val="center"/>
            <w:hideMark/>
          </w:tcPr>
          <w:p w14:paraId="4AE77DCB"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ABF.F569</w:t>
            </w:r>
          </w:p>
        </w:tc>
        <w:tc>
          <w:tcPr>
            <w:tcW w:w="1134" w:type="dxa"/>
            <w:gridSpan w:val="2"/>
            <w:tcBorders>
              <w:top w:val="nil"/>
              <w:left w:val="nil"/>
              <w:bottom w:val="nil"/>
              <w:right w:val="single" w:sz="8" w:space="0" w:color="auto"/>
            </w:tcBorders>
            <w:shd w:val="clear" w:color="auto" w:fill="auto"/>
            <w:vAlign w:val="center"/>
            <w:hideMark/>
          </w:tcPr>
          <w:p w14:paraId="2DD1A7B1"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ABF.G569</w:t>
            </w:r>
          </w:p>
        </w:tc>
      </w:tr>
      <w:tr w:rsidR="00D73956" w:rsidRPr="00D73956" w14:paraId="6F649211"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2BF750B5"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339 - SUPERÁVIT FINANCEIRO - DOAÇÕES</w:t>
            </w:r>
          </w:p>
        </w:tc>
        <w:tc>
          <w:tcPr>
            <w:tcW w:w="1276" w:type="dxa"/>
            <w:tcBorders>
              <w:top w:val="nil"/>
              <w:left w:val="nil"/>
              <w:bottom w:val="nil"/>
              <w:right w:val="single" w:sz="8" w:space="0" w:color="auto"/>
            </w:tcBorders>
            <w:shd w:val="clear" w:color="auto" w:fill="auto"/>
            <w:vAlign w:val="center"/>
            <w:hideMark/>
          </w:tcPr>
          <w:p w14:paraId="49E001E0"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ABF.B570</w:t>
            </w:r>
          </w:p>
        </w:tc>
        <w:tc>
          <w:tcPr>
            <w:tcW w:w="1559" w:type="dxa"/>
            <w:tcBorders>
              <w:top w:val="nil"/>
              <w:left w:val="nil"/>
              <w:bottom w:val="nil"/>
              <w:right w:val="single" w:sz="8" w:space="0" w:color="auto"/>
            </w:tcBorders>
            <w:shd w:val="clear" w:color="auto" w:fill="auto"/>
            <w:vAlign w:val="center"/>
            <w:hideMark/>
          </w:tcPr>
          <w:p w14:paraId="31B4CB36"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ABF.C570</w:t>
            </w:r>
          </w:p>
        </w:tc>
        <w:tc>
          <w:tcPr>
            <w:tcW w:w="1417" w:type="dxa"/>
            <w:tcBorders>
              <w:top w:val="nil"/>
              <w:left w:val="nil"/>
              <w:bottom w:val="nil"/>
              <w:right w:val="single" w:sz="8" w:space="0" w:color="auto"/>
            </w:tcBorders>
            <w:shd w:val="clear" w:color="auto" w:fill="auto"/>
            <w:vAlign w:val="center"/>
            <w:hideMark/>
          </w:tcPr>
          <w:p w14:paraId="7FE4B27A"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ABF.D570</w:t>
            </w:r>
          </w:p>
        </w:tc>
        <w:tc>
          <w:tcPr>
            <w:tcW w:w="1276" w:type="dxa"/>
            <w:tcBorders>
              <w:top w:val="nil"/>
              <w:left w:val="nil"/>
              <w:bottom w:val="nil"/>
              <w:right w:val="single" w:sz="8" w:space="0" w:color="auto"/>
            </w:tcBorders>
            <w:shd w:val="clear" w:color="auto" w:fill="auto"/>
            <w:vAlign w:val="center"/>
            <w:hideMark/>
          </w:tcPr>
          <w:p w14:paraId="039FE6B0"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ABF.E570</w:t>
            </w:r>
          </w:p>
        </w:tc>
        <w:tc>
          <w:tcPr>
            <w:tcW w:w="1559" w:type="dxa"/>
            <w:gridSpan w:val="2"/>
            <w:tcBorders>
              <w:top w:val="nil"/>
              <w:left w:val="nil"/>
              <w:bottom w:val="nil"/>
              <w:right w:val="single" w:sz="8" w:space="0" w:color="auto"/>
            </w:tcBorders>
            <w:shd w:val="clear" w:color="auto" w:fill="auto"/>
            <w:vAlign w:val="center"/>
            <w:hideMark/>
          </w:tcPr>
          <w:p w14:paraId="2861A4DD"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ABF.F570</w:t>
            </w:r>
          </w:p>
        </w:tc>
        <w:tc>
          <w:tcPr>
            <w:tcW w:w="1134" w:type="dxa"/>
            <w:gridSpan w:val="2"/>
            <w:tcBorders>
              <w:top w:val="nil"/>
              <w:left w:val="nil"/>
              <w:bottom w:val="nil"/>
              <w:right w:val="single" w:sz="8" w:space="0" w:color="auto"/>
            </w:tcBorders>
            <w:shd w:val="clear" w:color="auto" w:fill="auto"/>
            <w:vAlign w:val="center"/>
            <w:hideMark/>
          </w:tcPr>
          <w:p w14:paraId="44FE6B3B"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ABF.G570</w:t>
            </w:r>
          </w:p>
        </w:tc>
      </w:tr>
      <w:tr w:rsidR="00D73956" w:rsidRPr="00D73956" w14:paraId="2FDE02A0"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00449C00"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341 - SUPERÁVIT FINANCEIRO - CONVÊNIOS COM ÓRGÃOS NÃO FEDERAIS</w:t>
            </w:r>
          </w:p>
        </w:tc>
        <w:tc>
          <w:tcPr>
            <w:tcW w:w="1276" w:type="dxa"/>
            <w:tcBorders>
              <w:top w:val="nil"/>
              <w:left w:val="nil"/>
              <w:bottom w:val="nil"/>
              <w:right w:val="single" w:sz="8" w:space="0" w:color="auto"/>
            </w:tcBorders>
            <w:shd w:val="clear" w:color="auto" w:fill="auto"/>
            <w:vAlign w:val="center"/>
            <w:hideMark/>
          </w:tcPr>
          <w:p w14:paraId="63216F5C"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ABF.B571</w:t>
            </w:r>
          </w:p>
        </w:tc>
        <w:tc>
          <w:tcPr>
            <w:tcW w:w="1559" w:type="dxa"/>
            <w:tcBorders>
              <w:top w:val="nil"/>
              <w:left w:val="nil"/>
              <w:bottom w:val="nil"/>
              <w:right w:val="single" w:sz="8" w:space="0" w:color="auto"/>
            </w:tcBorders>
            <w:shd w:val="clear" w:color="auto" w:fill="auto"/>
            <w:vAlign w:val="center"/>
            <w:hideMark/>
          </w:tcPr>
          <w:p w14:paraId="14BA0194"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ABF.C571</w:t>
            </w:r>
          </w:p>
        </w:tc>
        <w:tc>
          <w:tcPr>
            <w:tcW w:w="1417" w:type="dxa"/>
            <w:tcBorders>
              <w:top w:val="nil"/>
              <w:left w:val="nil"/>
              <w:bottom w:val="nil"/>
              <w:right w:val="single" w:sz="8" w:space="0" w:color="auto"/>
            </w:tcBorders>
            <w:shd w:val="clear" w:color="auto" w:fill="auto"/>
            <w:vAlign w:val="center"/>
            <w:hideMark/>
          </w:tcPr>
          <w:p w14:paraId="3EDB54DF"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ABF.D571</w:t>
            </w:r>
          </w:p>
        </w:tc>
        <w:tc>
          <w:tcPr>
            <w:tcW w:w="1276" w:type="dxa"/>
            <w:tcBorders>
              <w:top w:val="nil"/>
              <w:left w:val="nil"/>
              <w:bottom w:val="nil"/>
              <w:right w:val="single" w:sz="8" w:space="0" w:color="auto"/>
            </w:tcBorders>
            <w:shd w:val="clear" w:color="auto" w:fill="auto"/>
            <w:vAlign w:val="center"/>
            <w:hideMark/>
          </w:tcPr>
          <w:p w14:paraId="7F53BB23"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ABF.E571</w:t>
            </w:r>
          </w:p>
        </w:tc>
        <w:tc>
          <w:tcPr>
            <w:tcW w:w="1559" w:type="dxa"/>
            <w:gridSpan w:val="2"/>
            <w:tcBorders>
              <w:top w:val="nil"/>
              <w:left w:val="nil"/>
              <w:bottom w:val="nil"/>
              <w:right w:val="single" w:sz="8" w:space="0" w:color="auto"/>
            </w:tcBorders>
            <w:shd w:val="clear" w:color="auto" w:fill="auto"/>
            <w:vAlign w:val="center"/>
            <w:hideMark/>
          </w:tcPr>
          <w:p w14:paraId="4A3F1C89"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ABF.F571</w:t>
            </w:r>
          </w:p>
        </w:tc>
        <w:tc>
          <w:tcPr>
            <w:tcW w:w="1134" w:type="dxa"/>
            <w:gridSpan w:val="2"/>
            <w:tcBorders>
              <w:top w:val="nil"/>
              <w:left w:val="nil"/>
              <w:bottom w:val="nil"/>
              <w:right w:val="single" w:sz="8" w:space="0" w:color="auto"/>
            </w:tcBorders>
            <w:shd w:val="clear" w:color="auto" w:fill="auto"/>
            <w:vAlign w:val="center"/>
            <w:hideMark/>
          </w:tcPr>
          <w:p w14:paraId="7236801E"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ABF.G571</w:t>
            </w:r>
          </w:p>
        </w:tc>
      </w:tr>
      <w:tr w:rsidR="00D73956" w:rsidRPr="00D73956" w14:paraId="4DEA33EF"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73177430"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342 - SUPERÁVIT FINANCEIRO - OPERAÇÕES DE CRÉDITO INTERNAS</w:t>
            </w:r>
          </w:p>
        </w:tc>
        <w:tc>
          <w:tcPr>
            <w:tcW w:w="1276" w:type="dxa"/>
            <w:tcBorders>
              <w:top w:val="nil"/>
              <w:left w:val="nil"/>
              <w:bottom w:val="nil"/>
              <w:right w:val="single" w:sz="8" w:space="0" w:color="auto"/>
            </w:tcBorders>
            <w:shd w:val="clear" w:color="auto" w:fill="auto"/>
            <w:vAlign w:val="center"/>
            <w:hideMark/>
          </w:tcPr>
          <w:p w14:paraId="65D13AE3"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ABF.B572</w:t>
            </w:r>
          </w:p>
        </w:tc>
        <w:tc>
          <w:tcPr>
            <w:tcW w:w="1559" w:type="dxa"/>
            <w:tcBorders>
              <w:top w:val="nil"/>
              <w:left w:val="nil"/>
              <w:bottom w:val="nil"/>
              <w:right w:val="single" w:sz="8" w:space="0" w:color="auto"/>
            </w:tcBorders>
            <w:shd w:val="clear" w:color="auto" w:fill="auto"/>
            <w:vAlign w:val="center"/>
            <w:hideMark/>
          </w:tcPr>
          <w:p w14:paraId="26CD1492"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ABF.C572</w:t>
            </w:r>
          </w:p>
        </w:tc>
        <w:tc>
          <w:tcPr>
            <w:tcW w:w="1417" w:type="dxa"/>
            <w:tcBorders>
              <w:top w:val="nil"/>
              <w:left w:val="nil"/>
              <w:bottom w:val="nil"/>
              <w:right w:val="single" w:sz="8" w:space="0" w:color="auto"/>
            </w:tcBorders>
            <w:shd w:val="clear" w:color="auto" w:fill="auto"/>
            <w:vAlign w:val="center"/>
            <w:hideMark/>
          </w:tcPr>
          <w:p w14:paraId="249AF36B"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ABF.D572</w:t>
            </w:r>
          </w:p>
        </w:tc>
        <w:tc>
          <w:tcPr>
            <w:tcW w:w="1276" w:type="dxa"/>
            <w:tcBorders>
              <w:top w:val="nil"/>
              <w:left w:val="nil"/>
              <w:bottom w:val="nil"/>
              <w:right w:val="single" w:sz="8" w:space="0" w:color="auto"/>
            </w:tcBorders>
            <w:shd w:val="clear" w:color="auto" w:fill="auto"/>
            <w:vAlign w:val="center"/>
            <w:hideMark/>
          </w:tcPr>
          <w:p w14:paraId="67790332"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ABF.E572</w:t>
            </w:r>
          </w:p>
        </w:tc>
        <w:tc>
          <w:tcPr>
            <w:tcW w:w="1559" w:type="dxa"/>
            <w:gridSpan w:val="2"/>
            <w:tcBorders>
              <w:top w:val="nil"/>
              <w:left w:val="nil"/>
              <w:bottom w:val="nil"/>
              <w:right w:val="single" w:sz="8" w:space="0" w:color="auto"/>
            </w:tcBorders>
            <w:shd w:val="clear" w:color="auto" w:fill="auto"/>
            <w:vAlign w:val="center"/>
            <w:hideMark/>
          </w:tcPr>
          <w:p w14:paraId="287C7F44"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ABF.F572</w:t>
            </w:r>
          </w:p>
        </w:tc>
        <w:tc>
          <w:tcPr>
            <w:tcW w:w="1134" w:type="dxa"/>
            <w:gridSpan w:val="2"/>
            <w:tcBorders>
              <w:top w:val="nil"/>
              <w:left w:val="nil"/>
              <w:bottom w:val="nil"/>
              <w:right w:val="single" w:sz="8" w:space="0" w:color="auto"/>
            </w:tcBorders>
            <w:shd w:val="clear" w:color="auto" w:fill="auto"/>
            <w:vAlign w:val="center"/>
            <w:hideMark/>
          </w:tcPr>
          <w:p w14:paraId="4B2B0EF9"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ABF.G572</w:t>
            </w:r>
          </w:p>
        </w:tc>
      </w:tr>
      <w:tr w:rsidR="00D73956" w:rsidRPr="00D73956" w14:paraId="6F293794"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2CD72A9F"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343 - SUPERÁVIT FINANCEIRO - OPERAÇÕES DE CRÉDITO EXTERNAS</w:t>
            </w:r>
          </w:p>
        </w:tc>
        <w:tc>
          <w:tcPr>
            <w:tcW w:w="1276" w:type="dxa"/>
            <w:tcBorders>
              <w:top w:val="nil"/>
              <w:left w:val="nil"/>
              <w:bottom w:val="nil"/>
              <w:right w:val="single" w:sz="8" w:space="0" w:color="auto"/>
            </w:tcBorders>
            <w:shd w:val="clear" w:color="auto" w:fill="auto"/>
            <w:vAlign w:val="center"/>
            <w:hideMark/>
          </w:tcPr>
          <w:p w14:paraId="558AE496"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ABF.B573</w:t>
            </w:r>
          </w:p>
        </w:tc>
        <w:tc>
          <w:tcPr>
            <w:tcW w:w="1559" w:type="dxa"/>
            <w:tcBorders>
              <w:top w:val="nil"/>
              <w:left w:val="nil"/>
              <w:bottom w:val="nil"/>
              <w:right w:val="single" w:sz="8" w:space="0" w:color="auto"/>
            </w:tcBorders>
            <w:shd w:val="clear" w:color="auto" w:fill="auto"/>
            <w:vAlign w:val="center"/>
            <w:hideMark/>
          </w:tcPr>
          <w:p w14:paraId="4C702BA1"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ABF.C573</w:t>
            </w:r>
          </w:p>
        </w:tc>
        <w:tc>
          <w:tcPr>
            <w:tcW w:w="1417" w:type="dxa"/>
            <w:tcBorders>
              <w:top w:val="nil"/>
              <w:left w:val="nil"/>
              <w:bottom w:val="nil"/>
              <w:right w:val="single" w:sz="8" w:space="0" w:color="auto"/>
            </w:tcBorders>
            <w:shd w:val="clear" w:color="auto" w:fill="auto"/>
            <w:vAlign w:val="center"/>
            <w:hideMark/>
          </w:tcPr>
          <w:p w14:paraId="064690DD"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ABF.D573</w:t>
            </w:r>
          </w:p>
        </w:tc>
        <w:tc>
          <w:tcPr>
            <w:tcW w:w="1276" w:type="dxa"/>
            <w:tcBorders>
              <w:top w:val="nil"/>
              <w:left w:val="nil"/>
              <w:bottom w:val="nil"/>
              <w:right w:val="single" w:sz="8" w:space="0" w:color="auto"/>
            </w:tcBorders>
            <w:shd w:val="clear" w:color="auto" w:fill="auto"/>
            <w:vAlign w:val="center"/>
            <w:hideMark/>
          </w:tcPr>
          <w:p w14:paraId="5C302BCD"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ABF.E573</w:t>
            </w:r>
          </w:p>
        </w:tc>
        <w:tc>
          <w:tcPr>
            <w:tcW w:w="1559" w:type="dxa"/>
            <w:gridSpan w:val="2"/>
            <w:tcBorders>
              <w:top w:val="nil"/>
              <w:left w:val="nil"/>
              <w:bottom w:val="nil"/>
              <w:right w:val="single" w:sz="8" w:space="0" w:color="auto"/>
            </w:tcBorders>
            <w:shd w:val="clear" w:color="auto" w:fill="auto"/>
            <w:vAlign w:val="center"/>
            <w:hideMark/>
          </w:tcPr>
          <w:p w14:paraId="3F0D362F"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ABF.F573</w:t>
            </w:r>
          </w:p>
        </w:tc>
        <w:tc>
          <w:tcPr>
            <w:tcW w:w="1134" w:type="dxa"/>
            <w:gridSpan w:val="2"/>
            <w:tcBorders>
              <w:top w:val="nil"/>
              <w:left w:val="nil"/>
              <w:bottom w:val="nil"/>
              <w:right w:val="single" w:sz="8" w:space="0" w:color="auto"/>
            </w:tcBorders>
            <w:shd w:val="clear" w:color="auto" w:fill="auto"/>
            <w:vAlign w:val="center"/>
            <w:hideMark/>
          </w:tcPr>
          <w:p w14:paraId="78E47353"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ABF.G573</w:t>
            </w:r>
          </w:p>
        </w:tc>
      </w:tr>
      <w:tr w:rsidR="00D73956" w:rsidRPr="00D73956" w14:paraId="3EE57841"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1B460F7F"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344 - SUPERÁVIT FINANCEIRO - TRANSFERÊNCIAS A MUNICÍPIOS - CIDE</w:t>
            </w:r>
          </w:p>
        </w:tc>
        <w:tc>
          <w:tcPr>
            <w:tcW w:w="1276" w:type="dxa"/>
            <w:tcBorders>
              <w:top w:val="nil"/>
              <w:left w:val="nil"/>
              <w:bottom w:val="nil"/>
              <w:right w:val="single" w:sz="8" w:space="0" w:color="auto"/>
            </w:tcBorders>
            <w:shd w:val="clear" w:color="auto" w:fill="auto"/>
            <w:vAlign w:val="center"/>
            <w:hideMark/>
          </w:tcPr>
          <w:p w14:paraId="69CD2FCF"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ABF.B574</w:t>
            </w:r>
          </w:p>
        </w:tc>
        <w:tc>
          <w:tcPr>
            <w:tcW w:w="1559" w:type="dxa"/>
            <w:tcBorders>
              <w:top w:val="nil"/>
              <w:left w:val="nil"/>
              <w:bottom w:val="nil"/>
              <w:right w:val="single" w:sz="8" w:space="0" w:color="auto"/>
            </w:tcBorders>
            <w:shd w:val="clear" w:color="auto" w:fill="auto"/>
            <w:vAlign w:val="center"/>
            <w:hideMark/>
          </w:tcPr>
          <w:p w14:paraId="7FB00CA2"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ABF.C574</w:t>
            </w:r>
          </w:p>
        </w:tc>
        <w:tc>
          <w:tcPr>
            <w:tcW w:w="1417" w:type="dxa"/>
            <w:tcBorders>
              <w:top w:val="nil"/>
              <w:left w:val="nil"/>
              <w:bottom w:val="nil"/>
              <w:right w:val="single" w:sz="8" w:space="0" w:color="auto"/>
            </w:tcBorders>
            <w:shd w:val="clear" w:color="auto" w:fill="auto"/>
            <w:vAlign w:val="center"/>
            <w:hideMark/>
          </w:tcPr>
          <w:p w14:paraId="1FE1AD65"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ABF.D574</w:t>
            </w:r>
          </w:p>
        </w:tc>
        <w:tc>
          <w:tcPr>
            <w:tcW w:w="1276" w:type="dxa"/>
            <w:tcBorders>
              <w:top w:val="nil"/>
              <w:left w:val="nil"/>
              <w:bottom w:val="nil"/>
              <w:right w:val="single" w:sz="8" w:space="0" w:color="auto"/>
            </w:tcBorders>
            <w:shd w:val="clear" w:color="auto" w:fill="auto"/>
            <w:vAlign w:val="center"/>
            <w:hideMark/>
          </w:tcPr>
          <w:p w14:paraId="2FC5CFFD"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ABF.E574</w:t>
            </w:r>
          </w:p>
        </w:tc>
        <w:tc>
          <w:tcPr>
            <w:tcW w:w="1559" w:type="dxa"/>
            <w:gridSpan w:val="2"/>
            <w:tcBorders>
              <w:top w:val="nil"/>
              <w:left w:val="nil"/>
              <w:bottom w:val="nil"/>
              <w:right w:val="single" w:sz="8" w:space="0" w:color="auto"/>
            </w:tcBorders>
            <w:shd w:val="clear" w:color="auto" w:fill="auto"/>
            <w:vAlign w:val="center"/>
            <w:hideMark/>
          </w:tcPr>
          <w:p w14:paraId="52C8DDA6"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ABF.F574</w:t>
            </w:r>
          </w:p>
        </w:tc>
        <w:tc>
          <w:tcPr>
            <w:tcW w:w="1134" w:type="dxa"/>
            <w:gridSpan w:val="2"/>
            <w:tcBorders>
              <w:top w:val="nil"/>
              <w:left w:val="nil"/>
              <w:bottom w:val="nil"/>
              <w:right w:val="single" w:sz="8" w:space="0" w:color="auto"/>
            </w:tcBorders>
            <w:shd w:val="clear" w:color="auto" w:fill="auto"/>
            <w:vAlign w:val="center"/>
            <w:hideMark/>
          </w:tcPr>
          <w:p w14:paraId="7EEC00BE"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ABF.G574</w:t>
            </w:r>
          </w:p>
        </w:tc>
      </w:tr>
      <w:tr w:rsidR="00D73956" w:rsidRPr="00D73956" w14:paraId="1F36A061"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04431994"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350 - SUPERÁVIT FINANCEIRO - PACTO NACIONAL PELA GESTÃO DAS ÁGUAS – PROGESTÃO</w:t>
            </w:r>
          </w:p>
        </w:tc>
        <w:tc>
          <w:tcPr>
            <w:tcW w:w="1276" w:type="dxa"/>
            <w:tcBorders>
              <w:top w:val="nil"/>
              <w:left w:val="nil"/>
              <w:bottom w:val="nil"/>
              <w:right w:val="single" w:sz="8" w:space="0" w:color="auto"/>
            </w:tcBorders>
            <w:shd w:val="clear" w:color="auto" w:fill="auto"/>
            <w:vAlign w:val="center"/>
            <w:hideMark/>
          </w:tcPr>
          <w:p w14:paraId="1D38EC94"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ABF.B575</w:t>
            </w:r>
          </w:p>
        </w:tc>
        <w:tc>
          <w:tcPr>
            <w:tcW w:w="1559" w:type="dxa"/>
            <w:tcBorders>
              <w:top w:val="nil"/>
              <w:left w:val="nil"/>
              <w:bottom w:val="nil"/>
              <w:right w:val="single" w:sz="8" w:space="0" w:color="auto"/>
            </w:tcBorders>
            <w:shd w:val="clear" w:color="auto" w:fill="auto"/>
            <w:vAlign w:val="center"/>
            <w:hideMark/>
          </w:tcPr>
          <w:p w14:paraId="2BD8AAE1"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ABF.C575</w:t>
            </w:r>
          </w:p>
        </w:tc>
        <w:tc>
          <w:tcPr>
            <w:tcW w:w="1417" w:type="dxa"/>
            <w:tcBorders>
              <w:top w:val="nil"/>
              <w:left w:val="nil"/>
              <w:bottom w:val="nil"/>
              <w:right w:val="single" w:sz="8" w:space="0" w:color="auto"/>
            </w:tcBorders>
            <w:shd w:val="clear" w:color="auto" w:fill="auto"/>
            <w:vAlign w:val="center"/>
            <w:hideMark/>
          </w:tcPr>
          <w:p w14:paraId="32204DA9"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ABF.D575</w:t>
            </w:r>
          </w:p>
        </w:tc>
        <w:tc>
          <w:tcPr>
            <w:tcW w:w="1276" w:type="dxa"/>
            <w:tcBorders>
              <w:top w:val="nil"/>
              <w:left w:val="nil"/>
              <w:bottom w:val="nil"/>
              <w:right w:val="single" w:sz="8" w:space="0" w:color="auto"/>
            </w:tcBorders>
            <w:shd w:val="clear" w:color="auto" w:fill="auto"/>
            <w:vAlign w:val="center"/>
            <w:hideMark/>
          </w:tcPr>
          <w:p w14:paraId="1C5010A8"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ABF.E575</w:t>
            </w:r>
          </w:p>
        </w:tc>
        <w:tc>
          <w:tcPr>
            <w:tcW w:w="1559" w:type="dxa"/>
            <w:gridSpan w:val="2"/>
            <w:tcBorders>
              <w:top w:val="nil"/>
              <w:left w:val="nil"/>
              <w:bottom w:val="nil"/>
              <w:right w:val="single" w:sz="8" w:space="0" w:color="auto"/>
            </w:tcBorders>
            <w:shd w:val="clear" w:color="auto" w:fill="auto"/>
            <w:vAlign w:val="center"/>
            <w:hideMark/>
          </w:tcPr>
          <w:p w14:paraId="469BC2B7"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ABF.F575</w:t>
            </w:r>
          </w:p>
        </w:tc>
        <w:tc>
          <w:tcPr>
            <w:tcW w:w="1134" w:type="dxa"/>
            <w:gridSpan w:val="2"/>
            <w:tcBorders>
              <w:top w:val="nil"/>
              <w:left w:val="nil"/>
              <w:bottom w:val="nil"/>
              <w:right w:val="single" w:sz="8" w:space="0" w:color="auto"/>
            </w:tcBorders>
            <w:shd w:val="clear" w:color="auto" w:fill="auto"/>
            <w:vAlign w:val="center"/>
            <w:hideMark/>
          </w:tcPr>
          <w:p w14:paraId="6089BD78"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ABF.G575</w:t>
            </w:r>
          </w:p>
        </w:tc>
      </w:tr>
      <w:tr w:rsidR="00D73956" w:rsidRPr="00D73956" w14:paraId="0BF7A9A8"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0DB35F6A"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354 - SUPERÁVIT FINANCEIRO - CIDE</w:t>
            </w:r>
          </w:p>
        </w:tc>
        <w:tc>
          <w:tcPr>
            <w:tcW w:w="1276" w:type="dxa"/>
            <w:tcBorders>
              <w:top w:val="nil"/>
              <w:left w:val="nil"/>
              <w:bottom w:val="nil"/>
              <w:right w:val="single" w:sz="8" w:space="0" w:color="auto"/>
            </w:tcBorders>
            <w:shd w:val="clear" w:color="auto" w:fill="auto"/>
            <w:vAlign w:val="center"/>
            <w:hideMark/>
          </w:tcPr>
          <w:p w14:paraId="3560257F"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ABF.B576</w:t>
            </w:r>
          </w:p>
        </w:tc>
        <w:tc>
          <w:tcPr>
            <w:tcW w:w="1559" w:type="dxa"/>
            <w:tcBorders>
              <w:top w:val="nil"/>
              <w:left w:val="nil"/>
              <w:bottom w:val="nil"/>
              <w:right w:val="single" w:sz="8" w:space="0" w:color="auto"/>
            </w:tcBorders>
            <w:shd w:val="clear" w:color="auto" w:fill="auto"/>
            <w:vAlign w:val="center"/>
            <w:hideMark/>
          </w:tcPr>
          <w:p w14:paraId="448B579F"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ABF.C576</w:t>
            </w:r>
          </w:p>
        </w:tc>
        <w:tc>
          <w:tcPr>
            <w:tcW w:w="1417" w:type="dxa"/>
            <w:tcBorders>
              <w:top w:val="nil"/>
              <w:left w:val="nil"/>
              <w:bottom w:val="nil"/>
              <w:right w:val="single" w:sz="8" w:space="0" w:color="auto"/>
            </w:tcBorders>
            <w:shd w:val="clear" w:color="auto" w:fill="auto"/>
            <w:vAlign w:val="center"/>
            <w:hideMark/>
          </w:tcPr>
          <w:p w14:paraId="30AD4A7A"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ABF.D576</w:t>
            </w:r>
          </w:p>
        </w:tc>
        <w:tc>
          <w:tcPr>
            <w:tcW w:w="1276" w:type="dxa"/>
            <w:tcBorders>
              <w:top w:val="nil"/>
              <w:left w:val="nil"/>
              <w:bottom w:val="nil"/>
              <w:right w:val="single" w:sz="8" w:space="0" w:color="auto"/>
            </w:tcBorders>
            <w:shd w:val="clear" w:color="auto" w:fill="auto"/>
            <w:vAlign w:val="center"/>
            <w:hideMark/>
          </w:tcPr>
          <w:p w14:paraId="030EEA63"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ABF.E576</w:t>
            </w:r>
          </w:p>
        </w:tc>
        <w:tc>
          <w:tcPr>
            <w:tcW w:w="1559" w:type="dxa"/>
            <w:gridSpan w:val="2"/>
            <w:tcBorders>
              <w:top w:val="nil"/>
              <w:left w:val="nil"/>
              <w:bottom w:val="nil"/>
              <w:right w:val="single" w:sz="8" w:space="0" w:color="auto"/>
            </w:tcBorders>
            <w:shd w:val="clear" w:color="auto" w:fill="auto"/>
            <w:vAlign w:val="center"/>
            <w:hideMark/>
          </w:tcPr>
          <w:p w14:paraId="6E42970D"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ABF.F576</w:t>
            </w:r>
          </w:p>
        </w:tc>
        <w:tc>
          <w:tcPr>
            <w:tcW w:w="1134" w:type="dxa"/>
            <w:gridSpan w:val="2"/>
            <w:tcBorders>
              <w:top w:val="nil"/>
              <w:left w:val="nil"/>
              <w:bottom w:val="nil"/>
              <w:right w:val="single" w:sz="8" w:space="0" w:color="auto"/>
            </w:tcBorders>
            <w:shd w:val="clear" w:color="auto" w:fill="auto"/>
            <w:vAlign w:val="center"/>
            <w:hideMark/>
          </w:tcPr>
          <w:p w14:paraId="0BA9CBAF"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ABF.G576</w:t>
            </w:r>
          </w:p>
        </w:tc>
      </w:tr>
      <w:tr w:rsidR="00D73956" w:rsidRPr="00D73956" w14:paraId="226E0B01"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37344489"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357 - SUPERÁVIT FINANCEIRO - INCENTIVO SUAS - UNIÃO</w:t>
            </w:r>
          </w:p>
        </w:tc>
        <w:tc>
          <w:tcPr>
            <w:tcW w:w="1276" w:type="dxa"/>
            <w:tcBorders>
              <w:top w:val="nil"/>
              <w:left w:val="nil"/>
              <w:bottom w:val="nil"/>
              <w:right w:val="single" w:sz="8" w:space="0" w:color="auto"/>
            </w:tcBorders>
            <w:shd w:val="clear" w:color="auto" w:fill="auto"/>
            <w:vAlign w:val="center"/>
            <w:hideMark/>
          </w:tcPr>
          <w:p w14:paraId="6B35FF94"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ABF.B577</w:t>
            </w:r>
          </w:p>
        </w:tc>
        <w:tc>
          <w:tcPr>
            <w:tcW w:w="1559" w:type="dxa"/>
            <w:tcBorders>
              <w:top w:val="nil"/>
              <w:left w:val="nil"/>
              <w:bottom w:val="nil"/>
              <w:right w:val="single" w:sz="8" w:space="0" w:color="auto"/>
            </w:tcBorders>
            <w:shd w:val="clear" w:color="auto" w:fill="auto"/>
            <w:vAlign w:val="center"/>
            <w:hideMark/>
          </w:tcPr>
          <w:p w14:paraId="119AB95E"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ABF.C577</w:t>
            </w:r>
          </w:p>
        </w:tc>
        <w:tc>
          <w:tcPr>
            <w:tcW w:w="1417" w:type="dxa"/>
            <w:tcBorders>
              <w:top w:val="nil"/>
              <w:left w:val="nil"/>
              <w:bottom w:val="nil"/>
              <w:right w:val="single" w:sz="8" w:space="0" w:color="auto"/>
            </w:tcBorders>
            <w:shd w:val="clear" w:color="auto" w:fill="auto"/>
            <w:vAlign w:val="center"/>
            <w:hideMark/>
          </w:tcPr>
          <w:p w14:paraId="77C61480"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ABF.D577</w:t>
            </w:r>
          </w:p>
        </w:tc>
        <w:tc>
          <w:tcPr>
            <w:tcW w:w="1276" w:type="dxa"/>
            <w:tcBorders>
              <w:top w:val="nil"/>
              <w:left w:val="nil"/>
              <w:bottom w:val="nil"/>
              <w:right w:val="single" w:sz="8" w:space="0" w:color="auto"/>
            </w:tcBorders>
            <w:shd w:val="clear" w:color="auto" w:fill="auto"/>
            <w:vAlign w:val="center"/>
            <w:hideMark/>
          </w:tcPr>
          <w:p w14:paraId="050D6C0A"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ABF.E577</w:t>
            </w:r>
          </w:p>
        </w:tc>
        <w:tc>
          <w:tcPr>
            <w:tcW w:w="1559" w:type="dxa"/>
            <w:gridSpan w:val="2"/>
            <w:tcBorders>
              <w:top w:val="nil"/>
              <w:left w:val="nil"/>
              <w:bottom w:val="nil"/>
              <w:right w:val="single" w:sz="8" w:space="0" w:color="auto"/>
            </w:tcBorders>
            <w:shd w:val="clear" w:color="auto" w:fill="auto"/>
            <w:vAlign w:val="center"/>
            <w:hideMark/>
          </w:tcPr>
          <w:p w14:paraId="6EF660B8"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ABF.F577</w:t>
            </w:r>
          </w:p>
        </w:tc>
        <w:tc>
          <w:tcPr>
            <w:tcW w:w="1134" w:type="dxa"/>
            <w:gridSpan w:val="2"/>
            <w:tcBorders>
              <w:top w:val="nil"/>
              <w:left w:val="nil"/>
              <w:bottom w:val="nil"/>
              <w:right w:val="single" w:sz="8" w:space="0" w:color="auto"/>
            </w:tcBorders>
            <w:shd w:val="clear" w:color="auto" w:fill="auto"/>
            <w:vAlign w:val="center"/>
            <w:hideMark/>
          </w:tcPr>
          <w:p w14:paraId="7CE96FAC"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ABF.G577</w:t>
            </w:r>
          </w:p>
        </w:tc>
      </w:tr>
      <w:tr w:rsidR="00D73956" w:rsidRPr="00D73956" w14:paraId="6DE1AE79"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72A8E008"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358 -  SUPERÁVIT FINANCEIRO - TRANSFERÊNCIAS A MUNICÍPIOS - LEI PELÉ</w:t>
            </w:r>
          </w:p>
        </w:tc>
        <w:tc>
          <w:tcPr>
            <w:tcW w:w="1276" w:type="dxa"/>
            <w:tcBorders>
              <w:top w:val="nil"/>
              <w:left w:val="nil"/>
              <w:bottom w:val="nil"/>
              <w:right w:val="single" w:sz="8" w:space="0" w:color="auto"/>
            </w:tcBorders>
            <w:shd w:val="clear" w:color="auto" w:fill="auto"/>
            <w:vAlign w:val="center"/>
            <w:hideMark/>
          </w:tcPr>
          <w:p w14:paraId="53A7755C"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ABF.B578</w:t>
            </w:r>
          </w:p>
        </w:tc>
        <w:tc>
          <w:tcPr>
            <w:tcW w:w="1559" w:type="dxa"/>
            <w:tcBorders>
              <w:top w:val="nil"/>
              <w:left w:val="nil"/>
              <w:bottom w:val="nil"/>
              <w:right w:val="single" w:sz="8" w:space="0" w:color="auto"/>
            </w:tcBorders>
            <w:shd w:val="clear" w:color="auto" w:fill="auto"/>
            <w:vAlign w:val="center"/>
            <w:hideMark/>
          </w:tcPr>
          <w:p w14:paraId="5A4E3E56"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ABF.C578</w:t>
            </w:r>
          </w:p>
        </w:tc>
        <w:tc>
          <w:tcPr>
            <w:tcW w:w="1417" w:type="dxa"/>
            <w:tcBorders>
              <w:top w:val="nil"/>
              <w:left w:val="nil"/>
              <w:bottom w:val="nil"/>
              <w:right w:val="single" w:sz="8" w:space="0" w:color="auto"/>
            </w:tcBorders>
            <w:shd w:val="clear" w:color="auto" w:fill="auto"/>
            <w:vAlign w:val="center"/>
            <w:hideMark/>
          </w:tcPr>
          <w:p w14:paraId="06BA4303"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ABF.D578</w:t>
            </w:r>
          </w:p>
        </w:tc>
        <w:tc>
          <w:tcPr>
            <w:tcW w:w="1276" w:type="dxa"/>
            <w:tcBorders>
              <w:top w:val="nil"/>
              <w:left w:val="nil"/>
              <w:bottom w:val="nil"/>
              <w:right w:val="single" w:sz="8" w:space="0" w:color="auto"/>
            </w:tcBorders>
            <w:shd w:val="clear" w:color="auto" w:fill="auto"/>
            <w:vAlign w:val="center"/>
            <w:hideMark/>
          </w:tcPr>
          <w:p w14:paraId="32A96E6E"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ABF.E578</w:t>
            </w:r>
          </w:p>
        </w:tc>
        <w:tc>
          <w:tcPr>
            <w:tcW w:w="1559" w:type="dxa"/>
            <w:gridSpan w:val="2"/>
            <w:tcBorders>
              <w:top w:val="nil"/>
              <w:left w:val="nil"/>
              <w:bottom w:val="nil"/>
              <w:right w:val="single" w:sz="8" w:space="0" w:color="auto"/>
            </w:tcBorders>
            <w:shd w:val="clear" w:color="auto" w:fill="auto"/>
            <w:vAlign w:val="center"/>
            <w:hideMark/>
          </w:tcPr>
          <w:p w14:paraId="28FE4F79"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ABF.F578</w:t>
            </w:r>
          </w:p>
        </w:tc>
        <w:tc>
          <w:tcPr>
            <w:tcW w:w="1134" w:type="dxa"/>
            <w:gridSpan w:val="2"/>
            <w:tcBorders>
              <w:top w:val="nil"/>
              <w:left w:val="nil"/>
              <w:bottom w:val="nil"/>
              <w:right w:val="single" w:sz="8" w:space="0" w:color="auto"/>
            </w:tcBorders>
            <w:shd w:val="clear" w:color="auto" w:fill="auto"/>
            <w:vAlign w:val="center"/>
            <w:hideMark/>
          </w:tcPr>
          <w:p w14:paraId="3F3BA2CF"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ABF.G578</w:t>
            </w:r>
          </w:p>
        </w:tc>
      </w:tr>
      <w:tr w:rsidR="00D73956" w:rsidRPr="00D73956" w14:paraId="1AD11294"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05EF388B"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359 - SUPERÁVIT FINANCEIRO - TRANSFERÊNCIAS FINANCEIRAS A FUNDOS</w:t>
            </w:r>
          </w:p>
        </w:tc>
        <w:tc>
          <w:tcPr>
            <w:tcW w:w="1276" w:type="dxa"/>
            <w:tcBorders>
              <w:top w:val="nil"/>
              <w:left w:val="nil"/>
              <w:bottom w:val="nil"/>
              <w:right w:val="single" w:sz="8" w:space="0" w:color="auto"/>
            </w:tcBorders>
            <w:shd w:val="clear" w:color="auto" w:fill="auto"/>
            <w:vAlign w:val="center"/>
            <w:hideMark/>
          </w:tcPr>
          <w:p w14:paraId="4558E538"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ABF.B579</w:t>
            </w:r>
          </w:p>
        </w:tc>
        <w:tc>
          <w:tcPr>
            <w:tcW w:w="1559" w:type="dxa"/>
            <w:tcBorders>
              <w:top w:val="nil"/>
              <w:left w:val="nil"/>
              <w:bottom w:val="nil"/>
              <w:right w:val="single" w:sz="8" w:space="0" w:color="auto"/>
            </w:tcBorders>
            <w:shd w:val="clear" w:color="auto" w:fill="auto"/>
            <w:vAlign w:val="center"/>
            <w:hideMark/>
          </w:tcPr>
          <w:p w14:paraId="7E5E5C13"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ABF.C579</w:t>
            </w:r>
          </w:p>
        </w:tc>
        <w:tc>
          <w:tcPr>
            <w:tcW w:w="1417" w:type="dxa"/>
            <w:tcBorders>
              <w:top w:val="nil"/>
              <w:left w:val="nil"/>
              <w:bottom w:val="nil"/>
              <w:right w:val="single" w:sz="8" w:space="0" w:color="auto"/>
            </w:tcBorders>
            <w:shd w:val="clear" w:color="auto" w:fill="auto"/>
            <w:vAlign w:val="center"/>
            <w:hideMark/>
          </w:tcPr>
          <w:p w14:paraId="04FF30BA"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ABF.D579</w:t>
            </w:r>
          </w:p>
        </w:tc>
        <w:tc>
          <w:tcPr>
            <w:tcW w:w="1276" w:type="dxa"/>
            <w:tcBorders>
              <w:top w:val="nil"/>
              <w:left w:val="nil"/>
              <w:bottom w:val="nil"/>
              <w:right w:val="single" w:sz="8" w:space="0" w:color="auto"/>
            </w:tcBorders>
            <w:shd w:val="clear" w:color="auto" w:fill="auto"/>
            <w:vAlign w:val="center"/>
            <w:hideMark/>
          </w:tcPr>
          <w:p w14:paraId="4CFD11BB"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ABF.E579</w:t>
            </w:r>
          </w:p>
        </w:tc>
        <w:tc>
          <w:tcPr>
            <w:tcW w:w="1559" w:type="dxa"/>
            <w:gridSpan w:val="2"/>
            <w:tcBorders>
              <w:top w:val="nil"/>
              <w:left w:val="nil"/>
              <w:bottom w:val="nil"/>
              <w:right w:val="single" w:sz="8" w:space="0" w:color="auto"/>
            </w:tcBorders>
            <w:shd w:val="clear" w:color="auto" w:fill="auto"/>
            <w:vAlign w:val="center"/>
            <w:hideMark/>
          </w:tcPr>
          <w:p w14:paraId="239E1BAF"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ABF.F579</w:t>
            </w:r>
          </w:p>
        </w:tc>
        <w:tc>
          <w:tcPr>
            <w:tcW w:w="1134" w:type="dxa"/>
            <w:gridSpan w:val="2"/>
            <w:tcBorders>
              <w:top w:val="nil"/>
              <w:left w:val="nil"/>
              <w:bottom w:val="nil"/>
              <w:right w:val="single" w:sz="8" w:space="0" w:color="auto"/>
            </w:tcBorders>
            <w:shd w:val="clear" w:color="auto" w:fill="auto"/>
            <w:vAlign w:val="center"/>
            <w:hideMark/>
          </w:tcPr>
          <w:p w14:paraId="0398DFDF"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ABF.G579</w:t>
            </w:r>
          </w:p>
        </w:tc>
      </w:tr>
      <w:tr w:rsidR="00D73956" w:rsidRPr="00D73956" w14:paraId="1DB46196"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61C283D1"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361 - SUPERÁVIT FINANCEIRO - FUNCOP</w:t>
            </w:r>
          </w:p>
        </w:tc>
        <w:tc>
          <w:tcPr>
            <w:tcW w:w="1276" w:type="dxa"/>
            <w:tcBorders>
              <w:top w:val="nil"/>
              <w:left w:val="nil"/>
              <w:bottom w:val="nil"/>
              <w:right w:val="single" w:sz="8" w:space="0" w:color="auto"/>
            </w:tcBorders>
            <w:shd w:val="clear" w:color="auto" w:fill="auto"/>
            <w:vAlign w:val="center"/>
            <w:hideMark/>
          </w:tcPr>
          <w:p w14:paraId="7E47D0C6"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ABF.B580</w:t>
            </w:r>
          </w:p>
        </w:tc>
        <w:tc>
          <w:tcPr>
            <w:tcW w:w="1559" w:type="dxa"/>
            <w:tcBorders>
              <w:top w:val="nil"/>
              <w:left w:val="nil"/>
              <w:bottom w:val="nil"/>
              <w:right w:val="single" w:sz="8" w:space="0" w:color="auto"/>
            </w:tcBorders>
            <w:shd w:val="clear" w:color="auto" w:fill="auto"/>
            <w:vAlign w:val="center"/>
            <w:hideMark/>
          </w:tcPr>
          <w:p w14:paraId="242132B1"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ABF.C580</w:t>
            </w:r>
          </w:p>
        </w:tc>
        <w:tc>
          <w:tcPr>
            <w:tcW w:w="1417" w:type="dxa"/>
            <w:tcBorders>
              <w:top w:val="nil"/>
              <w:left w:val="nil"/>
              <w:bottom w:val="nil"/>
              <w:right w:val="single" w:sz="8" w:space="0" w:color="auto"/>
            </w:tcBorders>
            <w:shd w:val="clear" w:color="auto" w:fill="auto"/>
            <w:vAlign w:val="center"/>
            <w:hideMark/>
          </w:tcPr>
          <w:p w14:paraId="28A28665"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ABF.D580</w:t>
            </w:r>
          </w:p>
        </w:tc>
        <w:tc>
          <w:tcPr>
            <w:tcW w:w="1276" w:type="dxa"/>
            <w:tcBorders>
              <w:top w:val="nil"/>
              <w:left w:val="nil"/>
              <w:bottom w:val="nil"/>
              <w:right w:val="single" w:sz="8" w:space="0" w:color="auto"/>
            </w:tcBorders>
            <w:shd w:val="clear" w:color="auto" w:fill="auto"/>
            <w:vAlign w:val="center"/>
            <w:hideMark/>
          </w:tcPr>
          <w:p w14:paraId="7E0A9F36"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ABF.E580</w:t>
            </w:r>
          </w:p>
        </w:tc>
        <w:tc>
          <w:tcPr>
            <w:tcW w:w="1559" w:type="dxa"/>
            <w:gridSpan w:val="2"/>
            <w:tcBorders>
              <w:top w:val="nil"/>
              <w:left w:val="nil"/>
              <w:bottom w:val="nil"/>
              <w:right w:val="single" w:sz="8" w:space="0" w:color="auto"/>
            </w:tcBorders>
            <w:shd w:val="clear" w:color="auto" w:fill="auto"/>
            <w:vAlign w:val="center"/>
            <w:hideMark/>
          </w:tcPr>
          <w:p w14:paraId="788AE89A"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ABF.F580</w:t>
            </w:r>
          </w:p>
        </w:tc>
        <w:tc>
          <w:tcPr>
            <w:tcW w:w="1134" w:type="dxa"/>
            <w:gridSpan w:val="2"/>
            <w:tcBorders>
              <w:top w:val="nil"/>
              <w:left w:val="nil"/>
              <w:bottom w:val="nil"/>
              <w:right w:val="single" w:sz="8" w:space="0" w:color="auto"/>
            </w:tcBorders>
            <w:shd w:val="clear" w:color="auto" w:fill="auto"/>
            <w:vAlign w:val="center"/>
            <w:hideMark/>
          </w:tcPr>
          <w:p w14:paraId="040A643E"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ABF.G580</w:t>
            </w:r>
          </w:p>
        </w:tc>
      </w:tr>
      <w:tr w:rsidR="00D73956" w:rsidRPr="00D73956" w14:paraId="0F1D0C60"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2C1080C6"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363 - SUPERÁVIT FINANCEIRO - RECURSOS LEI PELÉ</w:t>
            </w:r>
          </w:p>
        </w:tc>
        <w:tc>
          <w:tcPr>
            <w:tcW w:w="1276" w:type="dxa"/>
            <w:tcBorders>
              <w:top w:val="nil"/>
              <w:left w:val="nil"/>
              <w:bottom w:val="nil"/>
              <w:right w:val="single" w:sz="8" w:space="0" w:color="auto"/>
            </w:tcBorders>
            <w:shd w:val="clear" w:color="auto" w:fill="auto"/>
            <w:vAlign w:val="center"/>
            <w:hideMark/>
          </w:tcPr>
          <w:p w14:paraId="1028F823"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ABF.B582</w:t>
            </w:r>
          </w:p>
        </w:tc>
        <w:tc>
          <w:tcPr>
            <w:tcW w:w="1559" w:type="dxa"/>
            <w:tcBorders>
              <w:top w:val="nil"/>
              <w:left w:val="nil"/>
              <w:bottom w:val="nil"/>
              <w:right w:val="single" w:sz="8" w:space="0" w:color="auto"/>
            </w:tcBorders>
            <w:shd w:val="clear" w:color="auto" w:fill="auto"/>
            <w:vAlign w:val="center"/>
            <w:hideMark/>
          </w:tcPr>
          <w:p w14:paraId="0EC3FFC7"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ABF.C582</w:t>
            </w:r>
          </w:p>
        </w:tc>
        <w:tc>
          <w:tcPr>
            <w:tcW w:w="1417" w:type="dxa"/>
            <w:tcBorders>
              <w:top w:val="nil"/>
              <w:left w:val="nil"/>
              <w:bottom w:val="nil"/>
              <w:right w:val="single" w:sz="8" w:space="0" w:color="auto"/>
            </w:tcBorders>
            <w:shd w:val="clear" w:color="auto" w:fill="auto"/>
            <w:vAlign w:val="center"/>
            <w:hideMark/>
          </w:tcPr>
          <w:p w14:paraId="10383D74"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ABF.D582</w:t>
            </w:r>
          </w:p>
        </w:tc>
        <w:tc>
          <w:tcPr>
            <w:tcW w:w="1276" w:type="dxa"/>
            <w:tcBorders>
              <w:top w:val="nil"/>
              <w:left w:val="nil"/>
              <w:bottom w:val="nil"/>
              <w:right w:val="single" w:sz="8" w:space="0" w:color="auto"/>
            </w:tcBorders>
            <w:shd w:val="clear" w:color="auto" w:fill="auto"/>
            <w:vAlign w:val="center"/>
            <w:hideMark/>
          </w:tcPr>
          <w:p w14:paraId="589A3B8B"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ABF.E582</w:t>
            </w:r>
          </w:p>
        </w:tc>
        <w:tc>
          <w:tcPr>
            <w:tcW w:w="1559" w:type="dxa"/>
            <w:gridSpan w:val="2"/>
            <w:tcBorders>
              <w:top w:val="nil"/>
              <w:left w:val="nil"/>
              <w:bottom w:val="nil"/>
              <w:right w:val="single" w:sz="8" w:space="0" w:color="auto"/>
            </w:tcBorders>
            <w:shd w:val="clear" w:color="auto" w:fill="auto"/>
            <w:vAlign w:val="center"/>
            <w:hideMark/>
          </w:tcPr>
          <w:p w14:paraId="2FEB2A60"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ABF.F582</w:t>
            </w:r>
          </w:p>
        </w:tc>
        <w:tc>
          <w:tcPr>
            <w:tcW w:w="1134" w:type="dxa"/>
            <w:gridSpan w:val="2"/>
            <w:tcBorders>
              <w:top w:val="nil"/>
              <w:left w:val="nil"/>
              <w:bottom w:val="nil"/>
              <w:right w:val="single" w:sz="8" w:space="0" w:color="auto"/>
            </w:tcBorders>
            <w:shd w:val="clear" w:color="auto" w:fill="auto"/>
            <w:vAlign w:val="center"/>
            <w:hideMark/>
          </w:tcPr>
          <w:p w14:paraId="6BC56769"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ABF.G582</w:t>
            </w:r>
          </w:p>
        </w:tc>
      </w:tr>
      <w:tr w:rsidR="00D73956" w:rsidRPr="00D73956" w14:paraId="05F1211B"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687081A2"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364 - SUPERÁVIT FINANCEIRO - TRANSFERÊNCIA A MUNICÍPIOS - ROYALTIES</w:t>
            </w:r>
          </w:p>
        </w:tc>
        <w:tc>
          <w:tcPr>
            <w:tcW w:w="1276" w:type="dxa"/>
            <w:tcBorders>
              <w:top w:val="nil"/>
              <w:left w:val="nil"/>
              <w:bottom w:val="nil"/>
              <w:right w:val="single" w:sz="8" w:space="0" w:color="auto"/>
            </w:tcBorders>
            <w:shd w:val="clear" w:color="auto" w:fill="auto"/>
            <w:vAlign w:val="center"/>
            <w:hideMark/>
          </w:tcPr>
          <w:p w14:paraId="3F2A1DFC"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ABF.B583</w:t>
            </w:r>
          </w:p>
        </w:tc>
        <w:tc>
          <w:tcPr>
            <w:tcW w:w="1559" w:type="dxa"/>
            <w:tcBorders>
              <w:top w:val="nil"/>
              <w:left w:val="nil"/>
              <w:bottom w:val="nil"/>
              <w:right w:val="single" w:sz="8" w:space="0" w:color="auto"/>
            </w:tcBorders>
            <w:shd w:val="clear" w:color="auto" w:fill="auto"/>
            <w:vAlign w:val="center"/>
            <w:hideMark/>
          </w:tcPr>
          <w:p w14:paraId="4DCD293C"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ABF.C583</w:t>
            </w:r>
          </w:p>
        </w:tc>
        <w:tc>
          <w:tcPr>
            <w:tcW w:w="1417" w:type="dxa"/>
            <w:tcBorders>
              <w:top w:val="nil"/>
              <w:left w:val="nil"/>
              <w:bottom w:val="nil"/>
              <w:right w:val="single" w:sz="8" w:space="0" w:color="auto"/>
            </w:tcBorders>
            <w:shd w:val="clear" w:color="auto" w:fill="auto"/>
            <w:vAlign w:val="center"/>
            <w:hideMark/>
          </w:tcPr>
          <w:p w14:paraId="52B3B0B9"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ABF.D583</w:t>
            </w:r>
          </w:p>
        </w:tc>
        <w:tc>
          <w:tcPr>
            <w:tcW w:w="1276" w:type="dxa"/>
            <w:tcBorders>
              <w:top w:val="nil"/>
              <w:left w:val="nil"/>
              <w:bottom w:val="nil"/>
              <w:right w:val="single" w:sz="8" w:space="0" w:color="auto"/>
            </w:tcBorders>
            <w:shd w:val="clear" w:color="auto" w:fill="auto"/>
            <w:vAlign w:val="center"/>
            <w:hideMark/>
          </w:tcPr>
          <w:p w14:paraId="528F7F73"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ABF.E583</w:t>
            </w:r>
          </w:p>
        </w:tc>
        <w:tc>
          <w:tcPr>
            <w:tcW w:w="1559" w:type="dxa"/>
            <w:gridSpan w:val="2"/>
            <w:tcBorders>
              <w:top w:val="nil"/>
              <w:left w:val="nil"/>
              <w:bottom w:val="nil"/>
              <w:right w:val="single" w:sz="8" w:space="0" w:color="auto"/>
            </w:tcBorders>
            <w:shd w:val="clear" w:color="auto" w:fill="auto"/>
            <w:vAlign w:val="center"/>
            <w:hideMark/>
          </w:tcPr>
          <w:p w14:paraId="66193B3D"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ABF.F583</w:t>
            </w:r>
          </w:p>
        </w:tc>
        <w:tc>
          <w:tcPr>
            <w:tcW w:w="1134" w:type="dxa"/>
            <w:gridSpan w:val="2"/>
            <w:tcBorders>
              <w:top w:val="nil"/>
              <w:left w:val="nil"/>
              <w:bottom w:val="nil"/>
              <w:right w:val="single" w:sz="8" w:space="0" w:color="auto"/>
            </w:tcBorders>
            <w:shd w:val="clear" w:color="auto" w:fill="auto"/>
            <w:vAlign w:val="center"/>
            <w:hideMark/>
          </w:tcPr>
          <w:p w14:paraId="7102728B"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ABF.G583</w:t>
            </w:r>
          </w:p>
        </w:tc>
      </w:tr>
      <w:tr w:rsidR="00D73956" w:rsidRPr="00D73956" w14:paraId="198EA8DC"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0E8FBDC9"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366 -  SUPERÁVIT FINANCEIRO - PAR</w:t>
            </w:r>
          </w:p>
        </w:tc>
        <w:tc>
          <w:tcPr>
            <w:tcW w:w="1276" w:type="dxa"/>
            <w:tcBorders>
              <w:top w:val="nil"/>
              <w:left w:val="nil"/>
              <w:bottom w:val="nil"/>
              <w:right w:val="single" w:sz="8" w:space="0" w:color="auto"/>
            </w:tcBorders>
            <w:shd w:val="clear" w:color="auto" w:fill="auto"/>
            <w:vAlign w:val="center"/>
            <w:hideMark/>
          </w:tcPr>
          <w:p w14:paraId="3B708B9B"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ABF.B584</w:t>
            </w:r>
          </w:p>
        </w:tc>
        <w:tc>
          <w:tcPr>
            <w:tcW w:w="1559" w:type="dxa"/>
            <w:tcBorders>
              <w:top w:val="nil"/>
              <w:left w:val="nil"/>
              <w:bottom w:val="nil"/>
              <w:right w:val="single" w:sz="8" w:space="0" w:color="auto"/>
            </w:tcBorders>
            <w:shd w:val="clear" w:color="auto" w:fill="auto"/>
            <w:vAlign w:val="center"/>
            <w:hideMark/>
          </w:tcPr>
          <w:p w14:paraId="67A88D00"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ABF.C584</w:t>
            </w:r>
          </w:p>
        </w:tc>
        <w:tc>
          <w:tcPr>
            <w:tcW w:w="1417" w:type="dxa"/>
            <w:tcBorders>
              <w:top w:val="nil"/>
              <w:left w:val="nil"/>
              <w:bottom w:val="nil"/>
              <w:right w:val="single" w:sz="8" w:space="0" w:color="auto"/>
            </w:tcBorders>
            <w:shd w:val="clear" w:color="auto" w:fill="auto"/>
            <w:vAlign w:val="center"/>
            <w:hideMark/>
          </w:tcPr>
          <w:p w14:paraId="48363515"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ABF.D584</w:t>
            </w:r>
          </w:p>
        </w:tc>
        <w:tc>
          <w:tcPr>
            <w:tcW w:w="1276" w:type="dxa"/>
            <w:tcBorders>
              <w:top w:val="nil"/>
              <w:left w:val="nil"/>
              <w:bottom w:val="nil"/>
              <w:right w:val="single" w:sz="8" w:space="0" w:color="auto"/>
            </w:tcBorders>
            <w:shd w:val="clear" w:color="auto" w:fill="auto"/>
            <w:vAlign w:val="center"/>
            <w:hideMark/>
          </w:tcPr>
          <w:p w14:paraId="629F38AC"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ABF.E584</w:t>
            </w:r>
          </w:p>
        </w:tc>
        <w:tc>
          <w:tcPr>
            <w:tcW w:w="1559" w:type="dxa"/>
            <w:gridSpan w:val="2"/>
            <w:tcBorders>
              <w:top w:val="nil"/>
              <w:left w:val="nil"/>
              <w:bottom w:val="nil"/>
              <w:right w:val="single" w:sz="8" w:space="0" w:color="auto"/>
            </w:tcBorders>
            <w:shd w:val="clear" w:color="auto" w:fill="auto"/>
            <w:vAlign w:val="center"/>
            <w:hideMark/>
          </w:tcPr>
          <w:p w14:paraId="114E1AB8"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ABF.F584</w:t>
            </w:r>
          </w:p>
        </w:tc>
        <w:tc>
          <w:tcPr>
            <w:tcW w:w="1134" w:type="dxa"/>
            <w:gridSpan w:val="2"/>
            <w:tcBorders>
              <w:top w:val="nil"/>
              <w:left w:val="nil"/>
              <w:bottom w:val="nil"/>
              <w:right w:val="single" w:sz="8" w:space="0" w:color="auto"/>
            </w:tcBorders>
            <w:shd w:val="clear" w:color="auto" w:fill="auto"/>
            <w:vAlign w:val="center"/>
            <w:hideMark/>
          </w:tcPr>
          <w:p w14:paraId="7C63BE76"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ABF.G584</w:t>
            </w:r>
          </w:p>
        </w:tc>
      </w:tr>
      <w:tr w:rsidR="00D73956" w:rsidRPr="00D73956" w14:paraId="0E4E5B12"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10F0BA4B"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367 -  SUPERÁVIT FINANCEIRO - TRANSFERÊNCIAS OBRIGATÓRIAS PARA AÇÕES DE DEFESA CIVIL</w:t>
            </w:r>
          </w:p>
        </w:tc>
        <w:tc>
          <w:tcPr>
            <w:tcW w:w="1276" w:type="dxa"/>
            <w:tcBorders>
              <w:top w:val="nil"/>
              <w:left w:val="nil"/>
              <w:bottom w:val="nil"/>
              <w:right w:val="single" w:sz="8" w:space="0" w:color="auto"/>
            </w:tcBorders>
            <w:shd w:val="clear" w:color="auto" w:fill="auto"/>
            <w:vAlign w:val="center"/>
            <w:hideMark/>
          </w:tcPr>
          <w:p w14:paraId="7E2795D3"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ABF.B585</w:t>
            </w:r>
          </w:p>
        </w:tc>
        <w:tc>
          <w:tcPr>
            <w:tcW w:w="1559" w:type="dxa"/>
            <w:tcBorders>
              <w:top w:val="nil"/>
              <w:left w:val="nil"/>
              <w:bottom w:val="nil"/>
              <w:right w:val="single" w:sz="8" w:space="0" w:color="auto"/>
            </w:tcBorders>
            <w:shd w:val="clear" w:color="auto" w:fill="auto"/>
            <w:vAlign w:val="center"/>
            <w:hideMark/>
          </w:tcPr>
          <w:p w14:paraId="4FABC3E6"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ABF.C585</w:t>
            </w:r>
          </w:p>
        </w:tc>
        <w:tc>
          <w:tcPr>
            <w:tcW w:w="1417" w:type="dxa"/>
            <w:tcBorders>
              <w:top w:val="nil"/>
              <w:left w:val="nil"/>
              <w:bottom w:val="nil"/>
              <w:right w:val="single" w:sz="8" w:space="0" w:color="auto"/>
            </w:tcBorders>
            <w:shd w:val="clear" w:color="auto" w:fill="auto"/>
            <w:vAlign w:val="center"/>
            <w:hideMark/>
          </w:tcPr>
          <w:p w14:paraId="0B873F53"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ABF.D585</w:t>
            </w:r>
          </w:p>
        </w:tc>
        <w:tc>
          <w:tcPr>
            <w:tcW w:w="1276" w:type="dxa"/>
            <w:tcBorders>
              <w:top w:val="nil"/>
              <w:left w:val="nil"/>
              <w:bottom w:val="nil"/>
              <w:right w:val="single" w:sz="8" w:space="0" w:color="auto"/>
            </w:tcBorders>
            <w:shd w:val="clear" w:color="auto" w:fill="auto"/>
            <w:vAlign w:val="center"/>
            <w:hideMark/>
          </w:tcPr>
          <w:p w14:paraId="5E9514CA"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ABF.E585</w:t>
            </w:r>
          </w:p>
        </w:tc>
        <w:tc>
          <w:tcPr>
            <w:tcW w:w="1559" w:type="dxa"/>
            <w:gridSpan w:val="2"/>
            <w:tcBorders>
              <w:top w:val="nil"/>
              <w:left w:val="nil"/>
              <w:bottom w:val="nil"/>
              <w:right w:val="single" w:sz="8" w:space="0" w:color="auto"/>
            </w:tcBorders>
            <w:shd w:val="clear" w:color="auto" w:fill="auto"/>
            <w:vAlign w:val="center"/>
            <w:hideMark/>
          </w:tcPr>
          <w:p w14:paraId="184B67B8"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ABF.F585</w:t>
            </w:r>
          </w:p>
        </w:tc>
        <w:tc>
          <w:tcPr>
            <w:tcW w:w="1134" w:type="dxa"/>
            <w:gridSpan w:val="2"/>
            <w:tcBorders>
              <w:top w:val="nil"/>
              <w:left w:val="nil"/>
              <w:bottom w:val="nil"/>
              <w:right w:val="single" w:sz="8" w:space="0" w:color="auto"/>
            </w:tcBorders>
            <w:shd w:val="clear" w:color="auto" w:fill="auto"/>
            <w:vAlign w:val="center"/>
            <w:hideMark/>
          </w:tcPr>
          <w:p w14:paraId="1FD6CB9F"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ABF.G585</w:t>
            </w:r>
          </w:p>
        </w:tc>
      </w:tr>
      <w:tr w:rsidR="00D73956" w:rsidRPr="00D73956" w14:paraId="04053792"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6F087FE0"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671 - SUPERÁVIT FINANCEIRO - ARRECADADO PELO ÓRGÃO</w:t>
            </w:r>
          </w:p>
        </w:tc>
        <w:tc>
          <w:tcPr>
            <w:tcW w:w="1276" w:type="dxa"/>
            <w:tcBorders>
              <w:top w:val="nil"/>
              <w:left w:val="nil"/>
              <w:bottom w:val="nil"/>
              <w:right w:val="single" w:sz="8" w:space="0" w:color="auto"/>
            </w:tcBorders>
            <w:shd w:val="clear" w:color="auto" w:fill="auto"/>
            <w:vAlign w:val="center"/>
            <w:hideMark/>
          </w:tcPr>
          <w:p w14:paraId="341EB960"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ABF.B587</w:t>
            </w:r>
          </w:p>
        </w:tc>
        <w:tc>
          <w:tcPr>
            <w:tcW w:w="1559" w:type="dxa"/>
            <w:tcBorders>
              <w:top w:val="nil"/>
              <w:left w:val="nil"/>
              <w:bottom w:val="nil"/>
              <w:right w:val="single" w:sz="8" w:space="0" w:color="auto"/>
            </w:tcBorders>
            <w:shd w:val="clear" w:color="auto" w:fill="auto"/>
            <w:vAlign w:val="center"/>
            <w:hideMark/>
          </w:tcPr>
          <w:p w14:paraId="19BA5B3D"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ABF.C587</w:t>
            </w:r>
          </w:p>
        </w:tc>
        <w:tc>
          <w:tcPr>
            <w:tcW w:w="1417" w:type="dxa"/>
            <w:tcBorders>
              <w:top w:val="nil"/>
              <w:left w:val="nil"/>
              <w:bottom w:val="nil"/>
              <w:right w:val="single" w:sz="8" w:space="0" w:color="auto"/>
            </w:tcBorders>
            <w:shd w:val="clear" w:color="auto" w:fill="auto"/>
            <w:vAlign w:val="center"/>
            <w:hideMark/>
          </w:tcPr>
          <w:p w14:paraId="1D4AF1F4"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ABF.D587</w:t>
            </w:r>
          </w:p>
        </w:tc>
        <w:tc>
          <w:tcPr>
            <w:tcW w:w="1276" w:type="dxa"/>
            <w:tcBorders>
              <w:top w:val="nil"/>
              <w:left w:val="nil"/>
              <w:bottom w:val="nil"/>
              <w:right w:val="single" w:sz="8" w:space="0" w:color="auto"/>
            </w:tcBorders>
            <w:shd w:val="clear" w:color="auto" w:fill="auto"/>
            <w:vAlign w:val="center"/>
            <w:hideMark/>
          </w:tcPr>
          <w:p w14:paraId="5F30D95B"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ABF.E587</w:t>
            </w:r>
          </w:p>
        </w:tc>
        <w:tc>
          <w:tcPr>
            <w:tcW w:w="1559" w:type="dxa"/>
            <w:gridSpan w:val="2"/>
            <w:tcBorders>
              <w:top w:val="nil"/>
              <w:left w:val="nil"/>
              <w:bottom w:val="nil"/>
              <w:right w:val="single" w:sz="8" w:space="0" w:color="auto"/>
            </w:tcBorders>
            <w:shd w:val="clear" w:color="auto" w:fill="auto"/>
            <w:vAlign w:val="center"/>
            <w:hideMark/>
          </w:tcPr>
          <w:p w14:paraId="700F6F58"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ABF.F587</w:t>
            </w:r>
          </w:p>
        </w:tc>
        <w:tc>
          <w:tcPr>
            <w:tcW w:w="1134" w:type="dxa"/>
            <w:gridSpan w:val="2"/>
            <w:tcBorders>
              <w:top w:val="nil"/>
              <w:left w:val="nil"/>
              <w:bottom w:val="nil"/>
              <w:right w:val="single" w:sz="8" w:space="0" w:color="auto"/>
            </w:tcBorders>
            <w:shd w:val="clear" w:color="auto" w:fill="auto"/>
            <w:vAlign w:val="center"/>
            <w:hideMark/>
          </w:tcPr>
          <w:p w14:paraId="1B2F6367"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ABF.G587</w:t>
            </w:r>
          </w:p>
        </w:tc>
      </w:tr>
      <w:tr w:rsidR="00D73956" w:rsidRPr="00D73956" w14:paraId="2E69BD63"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573184A6"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672 - SUPERÁVIT FINANCEIRO - CONVÊNIOS COM ÓRGÃOS FEDERAIS</w:t>
            </w:r>
          </w:p>
        </w:tc>
        <w:tc>
          <w:tcPr>
            <w:tcW w:w="1276" w:type="dxa"/>
            <w:tcBorders>
              <w:top w:val="nil"/>
              <w:left w:val="nil"/>
              <w:bottom w:val="nil"/>
              <w:right w:val="single" w:sz="8" w:space="0" w:color="auto"/>
            </w:tcBorders>
            <w:shd w:val="clear" w:color="auto" w:fill="auto"/>
            <w:vAlign w:val="center"/>
            <w:hideMark/>
          </w:tcPr>
          <w:p w14:paraId="21BABF61"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ABF.B588</w:t>
            </w:r>
          </w:p>
        </w:tc>
        <w:tc>
          <w:tcPr>
            <w:tcW w:w="1559" w:type="dxa"/>
            <w:tcBorders>
              <w:top w:val="nil"/>
              <w:left w:val="nil"/>
              <w:bottom w:val="nil"/>
              <w:right w:val="single" w:sz="8" w:space="0" w:color="auto"/>
            </w:tcBorders>
            <w:shd w:val="clear" w:color="auto" w:fill="auto"/>
            <w:vAlign w:val="center"/>
            <w:hideMark/>
          </w:tcPr>
          <w:p w14:paraId="144CB55F"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ABF.C588</w:t>
            </w:r>
          </w:p>
        </w:tc>
        <w:tc>
          <w:tcPr>
            <w:tcW w:w="1417" w:type="dxa"/>
            <w:tcBorders>
              <w:top w:val="nil"/>
              <w:left w:val="nil"/>
              <w:bottom w:val="nil"/>
              <w:right w:val="single" w:sz="8" w:space="0" w:color="auto"/>
            </w:tcBorders>
            <w:shd w:val="clear" w:color="auto" w:fill="auto"/>
            <w:vAlign w:val="center"/>
            <w:hideMark/>
          </w:tcPr>
          <w:p w14:paraId="5DD6BBC7"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ABF.D588</w:t>
            </w:r>
          </w:p>
        </w:tc>
        <w:tc>
          <w:tcPr>
            <w:tcW w:w="1276" w:type="dxa"/>
            <w:tcBorders>
              <w:top w:val="nil"/>
              <w:left w:val="nil"/>
              <w:bottom w:val="nil"/>
              <w:right w:val="single" w:sz="8" w:space="0" w:color="auto"/>
            </w:tcBorders>
            <w:shd w:val="clear" w:color="auto" w:fill="auto"/>
            <w:vAlign w:val="center"/>
            <w:hideMark/>
          </w:tcPr>
          <w:p w14:paraId="11EE98F6"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ABF.E588</w:t>
            </w:r>
          </w:p>
        </w:tc>
        <w:tc>
          <w:tcPr>
            <w:tcW w:w="1559" w:type="dxa"/>
            <w:gridSpan w:val="2"/>
            <w:tcBorders>
              <w:top w:val="nil"/>
              <w:left w:val="nil"/>
              <w:bottom w:val="nil"/>
              <w:right w:val="single" w:sz="8" w:space="0" w:color="auto"/>
            </w:tcBorders>
            <w:shd w:val="clear" w:color="auto" w:fill="auto"/>
            <w:vAlign w:val="center"/>
            <w:hideMark/>
          </w:tcPr>
          <w:p w14:paraId="096EDCC7"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ABF.F588</w:t>
            </w:r>
          </w:p>
        </w:tc>
        <w:tc>
          <w:tcPr>
            <w:tcW w:w="1134" w:type="dxa"/>
            <w:gridSpan w:val="2"/>
            <w:tcBorders>
              <w:top w:val="nil"/>
              <w:left w:val="nil"/>
              <w:bottom w:val="nil"/>
              <w:right w:val="single" w:sz="8" w:space="0" w:color="auto"/>
            </w:tcBorders>
            <w:shd w:val="clear" w:color="auto" w:fill="auto"/>
            <w:vAlign w:val="center"/>
            <w:hideMark/>
          </w:tcPr>
          <w:p w14:paraId="7D1875BD"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ABF.G588</w:t>
            </w:r>
          </w:p>
        </w:tc>
      </w:tr>
      <w:tr w:rsidR="00D73956" w:rsidRPr="00D73956" w14:paraId="00A945E2"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29933DD5"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673 - SUPERÁVIT FINANCEIRO - CONVÊNIOS COM ÓRGÃOS NÃO FEDERAIS</w:t>
            </w:r>
          </w:p>
        </w:tc>
        <w:tc>
          <w:tcPr>
            <w:tcW w:w="1276" w:type="dxa"/>
            <w:tcBorders>
              <w:top w:val="nil"/>
              <w:left w:val="nil"/>
              <w:bottom w:val="nil"/>
              <w:right w:val="single" w:sz="8" w:space="0" w:color="auto"/>
            </w:tcBorders>
            <w:shd w:val="clear" w:color="auto" w:fill="auto"/>
            <w:vAlign w:val="center"/>
            <w:hideMark/>
          </w:tcPr>
          <w:p w14:paraId="10B7D711"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ABF.B589</w:t>
            </w:r>
          </w:p>
        </w:tc>
        <w:tc>
          <w:tcPr>
            <w:tcW w:w="1559" w:type="dxa"/>
            <w:tcBorders>
              <w:top w:val="nil"/>
              <w:left w:val="nil"/>
              <w:bottom w:val="nil"/>
              <w:right w:val="single" w:sz="8" w:space="0" w:color="auto"/>
            </w:tcBorders>
            <w:shd w:val="clear" w:color="auto" w:fill="auto"/>
            <w:vAlign w:val="center"/>
            <w:hideMark/>
          </w:tcPr>
          <w:p w14:paraId="77C273F9"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ABF.C589</w:t>
            </w:r>
          </w:p>
        </w:tc>
        <w:tc>
          <w:tcPr>
            <w:tcW w:w="1417" w:type="dxa"/>
            <w:tcBorders>
              <w:top w:val="nil"/>
              <w:left w:val="nil"/>
              <w:bottom w:val="nil"/>
              <w:right w:val="single" w:sz="8" w:space="0" w:color="auto"/>
            </w:tcBorders>
            <w:shd w:val="clear" w:color="auto" w:fill="auto"/>
            <w:vAlign w:val="center"/>
            <w:hideMark/>
          </w:tcPr>
          <w:p w14:paraId="79E81EA0"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ABF.D589</w:t>
            </w:r>
          </w:p>
        </w:tc>
        <w:tc>
          <w:tcPr>
            <w:tcW w:w="1276" w:type="dxa"/>
            <w:tcBorders>
              <w:top w:val="nil"/>
              <w:left w:val="nil"/>
              <w:bottom w:val="nil"/>
              <w:right w:val="single" w:sz="8" w:space="0" w:color="auto"/>
            </w:tcBorders>
            <w:shd w:val="clear" w:color="auto" w:fill="auto"/>
            <w:vAlign w:val="center"/>
            <w:hideMark/>
          </w:tcPr>
          <w:p w14:paraId="58EBD40A"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ABF.E589</w:t>
            </w:r>
          </w:p>
        </w:tc>
        <w:tc>
          <w:tcPr>
            <w:tcW w:w="1559" w:type="dxa"/>
            <w:gridSpan w:val="2"/>
            <w:tcBorders>
              <w:top w:val="nil"/>
              <w:left w:val="nil"/>
              <w:bottom w:val="nil"/>
              <w:right w:val="single" w:sz="8" w:space="0" w:color="auto"/>
            </w:tcBorders>
            <w:shd w:val="clear" w:color="auto" w:fill="auto"/>
            <w:vAlign w:val="center"/>
            <w:hideMark/>
          </w:tcPr>
          <w:p w14:paraId="6A325D78"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ABF.F589</w:t>
            </w:r>
          </w:p>
        </w:tc>
        <w:tc>
          <w:tcPr>
            <w:tcW w:w="1134" w:type="dxa"/>
            <w:gridSpan w:val="2"/>
            <w:tcBorders>
              <w:top w:val="nil"/>
              <w:left w:val="nil"/>
              <w:bottom w:val="nil"/>
              <w:right w:val="single" w:sz="8" w:space="0" w:color="auto"/>
            </w:tcBorders>
            <w:shd w:val="clear" w:color="auto" w:fill="auto"/>
            <w:vAlign w:val="center"/>
            <w:hideMark/>
          </w:tcPr>
          <w:p w14:paraId="2938BCA1"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ABF.G589</w:t>
            </w:r>
          </w:p>
        </w:tc>
      </w:tr>
      <w:tr w:rsidR="00D73956" w:rsidRPr="00D73956" w14:paraId="7D1148B9" w14:textId="77777777" w:rsidTr="006A139B">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78EA96F6"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674 - SUPERÁVIT FINANCEIRO - TRANSFERÊNCIAS DE INSTITUIÇÕES PRIVADAS</w:t>
            </w:r>
          </w:p>
        </w:tc>
        <w:tc>
          <w:tcPr>
            <w:tcW w:w="1276" w:type="dxa"/>
            <w:tcBorders>
              <w:top w:val="nil"/>
              <w:left w:val="nil"/>
              <w:bottom w:val="nil"/>
              <w:right w:val="single" w:sz="8" w:space="0" w:color="auto"/>
            </w:tcBorders>
            <w:shd w:val="clear" w:color="auto" w:fill="auto"/>
            <w:vAlign w:val="center"/>
            <w:hideMark/>
          </w:tcPr>
          <w:p w14:paraId="5AAE4D7C"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ABF.B590</w:t>
            </w:r>
          </w:p>
        </w:tc>
        <w:tc>
          <w:tcPr>
            <w:tcW w:w="1559" w:type="dxa"/>
            <w:tcBorders>
              <w:top w:val="nil"/>
              <w:left w:val="nil"/>
              <w:bottom w:val="nil"/>
              <w:right w:val="single" w:sz="8" w:space="0" w:color="auto"/>
            </w:tcBorders>
            <w:shd w:val="clear" w:color="auto" w:fill="auto"/>
            <w:vAlign w:val="center"/>
            <w:hideMark/>
          </w:tcPr>
          <w:p w14:paraId="6BDF65A3"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ABF.C590</w:t>
            </w:r>
          </w:p>
        </w:tc>
        <w:tc>
          <w:tcPr>
            <w:tcW w:w="1417" w:type="dxa"/>
            <w:tcBorders>
              <w:top w:val="nil"/>
              <w:left w:val="nil"/>
              <w:bottom w:val="nil"/>
              <w:right w:val="single" w:sz="8" w:space="0" w:color="auto"/>
            </w:tcBorders>
            <w:shd w:val="clear" w:color="auto" w:fill="auto"/>
            <w:vAlign w:val="center"/>
            <w:hideMark/>
          </w:tcPr>
          <w:p w14:paraId="744B0503"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ABF.D590</w:t>
            </w:r>
          </w:p>
        </w:tc>
        <w:tc>
          <w:tcPr>
            <w:tcW w:w="1276" w:type="dxa"/>
            <w:tcBorders>
              <w:top w:val="nil"/>
              <w:left w:val="nil"/>
              <w:bottom w:val="nil"/>
              <w:right w:val="single" w:sz="8" w:space="0" w:color="auto"/>
            </w:tcBorders>
            <w:shd w:val="clear" w:color="auto" w:fill="auto"/>
            <w:vAlign w:val="center"/>
            <w:hideMark/>
          </w:tcPr>
          <w:p w14:paraId="7D0C4C62"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ABF.E590</w:t>
            </w:r>
          </w:p>
        </w:tc>
        <w:tc>
          <w:tcPr>
            <w:tcW w:w="1559" w:type="dxa"/>
            <w:gridSpan w:val="2"/>
            <w:tcBorders>
              <w:top w:val="nil"/>
              <w:left w:val="nil"/>
              <w:bottom w:val="nil"/>
              <w:right w:val="single" w:sz="8" w:space="0" w:color="auto"/>
            </w:tcBorders>
            <w:shd w:val="clear" w:color="auto" w:fill="auto"/>
            <w:vAlign w:val="center"/>
            <w:hideMark/>
          </w:tcPr>
          <w:p w14:paraId="5BDB3506"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ABF.F590</w:t>
            </w:r>
          </w:p>
        </w:tc>
        <w:tc>
          <w:tcPr>
            <w:tcW w:w="1134" w:type="dxa"/>
            <w:gridSpan w:val="2"/>
            <w:tcBorders>
              <w:top w:val="nil"/>
              <w:left w:val="nil"/>
              <w:bottom w:val="nil"/>
              <w:right w:val="single" w:sz="8" w:space="0" w:color="auto"/>
            </w:tcBorders>
            <w:shd w:val="clear" w:color="auto" w:fill="auto"/>
            <w:vAlign w:val="center"/>
            <w:hideMark/>
          </w:tcPr>
          <w:p w14:paraId="038E16E7"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ABF.G590</w:t>
            </w:r>
          </w:p>
        </w:tc>
      </w:tr>
      <w:tr w:rsidR="00D73956" w:rsidRPr="00D73956" w14:paraId="08D0C718" w14:textId="77777777" w:rsidTr="006A139B">
        <w:trPr>
          <w:trHeight w:val="270"/>
        </w:trPr>
        <w:tc>
          <w:tcPr>
            <w:tcW w:w="5377" w:type="dxa"/>
            <w:gridSpan w:val="2"/>
            <w:tcBorders>
              <w:top w:val="nil"/>
              <w:left w:val="single" w:sz="8" w:space="0" w:color="auto"/>
              <w:bottom w:val="nil"/>
              <w:right w:val="single" w:sz="8" w:space="0" w:color="auto"/>
            </w:tcBorders>
            <w:shd w:val="clear" w:color="auto" w:fill="auto"/>
            <w:noWrap/>
            <w:vAlign w:val="center"/>
            <w:hideMark/>
          </w:tcPr>
          <w:p w14:paraId="1B1FD2E0" w14:textId="77777777" w:rsidR="00D73956" w:rsidRPr="00D73956" w:rsidRDefault="00D73956" w:rsidP="006A139B">
            <w:pPr>
              <w:spacing w:after="0" w:line="240" w:lineRule="auto"/>
              <w:ind w:firstLineChars="200" w:firstLine="320"/>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675 - SUPERÁVIT FINANCEIRO - OUTRAS TRANSFERÊNCIAS DA UNIÃO</w:t>
            </w:r>
          </w:p>
        </w:tc>
        <w:tc>
          <w:tcPr>
            <w:tcW w:w="1276" w:type="dxa"/>
            <w:tcBorders>
              <w:top w:val="nil"/>
              <w:left w:val="nil"/>
              <w:bottom w:val="nil"/>
              <w:right w:val="single" w:sz="8" w:space="0" w:color="auto"/>
            </w:tcBorders>
            <w:shd w:val="clear" w:color="auto" w:fill="auto"/>
            <w:vAlign w:val="center"/>
            <w:hideMark/>
          </w:tcPr>
          <w:p w14:paraId="2EE9A3FB"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ABF.B591</w:t>
            </w:r>
          </w:p>
        </w:tc>
        <w:tc>
          <w:tcPr>
            <w:tcW w:w="1559" w:type="dxa"/>
            <w:tcBorders>
              <w:top w:val="nil"/>
              <w:left w:val="nil"/>
              <w:bottom w:val="nil"/>
              <w:right w:val="single" w:sz="8" w:space="0" w:color="auto"/>
            </w:tcBorders>
            <w:shd w:val="clear" w:color="auto" w:fill="auto"/>
            <w:vAlign w:val="center"/>
            <w:hideMark/>
          </w:tcPr>
          <w:p w14:paraId="5444AE65"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ABF.C591</w:t>
            </w:r>
          </w:p>
        </w:tc>
        <w:tc>
          <w:tcPr>
            <w:tcW w:w="1417" w:type="dxa"/>
            <w:tcBorders>
              <w:top w:val="nil"/>
              <w:left w:val="nil"/>
              <w:bottom w:val="nil"/>
              <w:right w:val="single" w:sz="8" w:space="0" w:color="auto"/>
            </w:tcBorders>
            <w:shd w:val="clear" w:color="auto" w:fill="auto"/>
            <w:vAlign w:val="center"/>
            <w:hideMark/>
          </w:tcPr>
          <w:p w14:paraId="69E34D34"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ABF.D591</w:t>
            </w:r>
          </w:p>
        </w:tc>
        <w:tc>
          <w:tcPr>
            <w:tcW w:w="1276" w:type="dxa"/>
            <w:tcBorders>
              <w:top w:val="nil"/>
              <w:left w:val="nil"/>
              <w:bottom w:val="nil"/>
              <w:right w:val="single" w:sz="8" w:space="0" w:color="auto"/>
            </w:tcBorders>
            <w:shd w:val="clear" w:color="auto" w:fill="auto"/>
            <w:vAlign w:val="center"/>
            <w:hideMark/>
          </w:tcPr>
          <w:p w14:paraId="5015AF0A"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ABF.E591</w:t>
            </w:r>
          </w:p>
        </w:tc>
        <w:tc>
          <w:tcPr>
            <w:tcW w:w="1559" w:type="dxa"/>
            <w:gridSpan w:val="2"/>
            <w:tcBorders>
              <w:top w:val="nil"/>
              <w:left w:val="nil"/>
              <w:bottom w:val="nil"/>
              <w:right w:val="single" w:sz="8" w:space="0" w:color="auto"/>
            </w:tcBorders>
            <w:shd w:val="clear" w:color="auto" w:fill="auto"/>
            <w:vAlign w:val="center"/>
            <w:hideMark/>
          </w:tcPr>
          <w:p w14:paraId="6AE8E2BB"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ABF.F591</w:t>
            </w:r>
          </w:p>
        </w:tc>
        <w:tc>
          <w:tcPr>
            <w:tcW w:w="1134" w:type="dxa"/>
            <w:gridSpan w:val="2"/>
            <w:tcBorders>
              <w:top w:val="nil"/>
              <w:left w:val="nil"/>
              <w:bottom w:val="nil"/>
              <w:right w:val="single" w:sz="8" w:space="0" w:color="auto"/>
            </w:tcBorders>
            <w:shd w:val="clear" w:color="auto" w:fill="auto"/>
            <w:vAlign w:val="center"/>
            <w:hideMark/>
          </w:tcPr>
          <w:p w14:paraId="034F0072" w14:textId="77777777" w:rsidR="00D73956" w:rsidRPr="00D73956" w:rsidRDefault="00D73956" w:rsidP="006A139B">
            <w:pPr>
              <w:spacing w:after="0" w:line="240" w:lineRule="auto"/>
              <w:jc w:val="center"/>
              <w:rPr>
                <w:rFonts w:ascii="Arial Narrow" w:eastAsia="Times New Roman" w:hAnsi="Arial Narrow" w:cs="Arial"/>
                <w:sz w:val="16"/>
                <w:szCs w:val="16"/>
                <w:lang w:eastAsia="pt-BR"/>
              </w:rPr>
            </w:pPr>
            <w:r w:rsidRPr="00D73956">
              <w:rPr>
                <w:rFonts w:ascii="Arial Narrow" w:eastAsia="Times New Roman" w:hAnsi="Arial Narrow" w:cs="Arial"/>
                <w:sz w:val="16"/>
                <w:szCs w:val="16"/>
                <w:lang w:eastAsia="pt-BR"/>
              </w:rPr>
              <w:t>ABF.G591</w:t>
            </w:r>
          </w:p>
        </w:tc>
      </w:tr>
      <w:tr w:rsidR="00D73956" w:rsidRPr="00D73956" w14:paraId="1CC16EFB" w14:textId="77777777" w:rsidTr="006A139B">
        <w:trPr>
          <w:trHeight w:val="270"/>
        </w:trPr>
        <w:tc>
          <w:tcPr>
            <w:tcW w:w="5377" w:type="dxa"/>
            <w:gridSpan w:val="2"/>
            <w:tcBorders>
              <w:top w:val="single" w:sz="8" w:space="0" w:color="auto"/>
              <w:left w:val="single" w:sz="8" w:space="0" w:color="auto"/>
              <w:bottom w:val="single" w:sz="8" w:space="0" w:color="auto"/>
              <w:right w:val="nil"/>
            </w:tcBorders>
            <w:shd w:val="clear" w:color="auto" w:fill="auto"/>
            <w:noWrap/>
            <w:vAlign w:val="center"/>
            <w:hideMark/>
          </w:tcPr>
          <w:p w14:paraId="4C72A79B" w14:textId="77777777" w:rsidR="00D73956" w:rsidRPr="00D73956" w:rsidRDefault="00D73956" w:rsidP="006A139B">
            <w:pPr>
              <w:spacing w:after="0" w:line="240" w:lineRule="auto"/>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 xml:space="preserve">TOTAL </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594C581" w14:textId="77777777" w:rsidR="00D73956" w:rsidRPr="00D73956" w:rsidRDefault="00D73956" w:rsidP="006A139B">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ABF.B055</w:t>
            </w:r>
          </w:p>
        </w:tc>
        <w:tc>
          <w:tcPr>
            <w:tcW w:w="1559" w:type="dxa"/>
            <w:tcBorders>
              <w:top w:val="single" w:sz="8" w:space="0" w:color="auto"/>
              <w:left w:val="nil"/>
              <w:bottom w:val="single" w:sz="8" w:space="0" w:color="auto"/>
              <w:right w:val="single" w:sz="8" w:space="0" w:color="auto"/>
            </w:tcBorders>
            <w:shd w:val="clear" w:color="auto" w:fill="auto"/>
            <w:vAlign w:val="center"/>
            <w:hideMark/>
          </w:tcPr>
          <w:p w14:paraId="1769DF7A" w14:textId="77777777" w:rsidR="00D73956" w:rsidRPr="00D73956" w:rsidRDefault="00D73956" w:rsidP="006A139B">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ABF.C055</w:t>
            </w:r>
          </w:p>
        </w:tc>
        <w:tc>
          <w:tcPr>
            <w:tcW w:w="1417" w:type="dxa"/>
            <w:tcBorders>
              <w:top w:val="single" w:sz="8" w:space="0" w:color="auto"/>
              <w:left w:val="nil"/>
              <w:bottom w:val="single" w:sz="8" w:space="0" w:color="auto"/>
              <w:right w:val="single" w:sz="8" w:space="0" w:color="auto"/>
            </w:tcBorders>
            <w:shd w:val="clear" w:color="auto" w:fill="auto"/>
            <w:vAlign w:val="center"/>
            <w:hideMark/>
          </w:tcPr>
          <w:p w14:paraId="53AEF73A" w14:textId="77777777" w:rsidR="00D73956" w:rsidRPr="00D73956" w:rsidRDefault="00D73956" w:rsidP="006A139B">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ABF.D055</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14:paraId="7A4F56D7" w14:textId="77777777" w:rsidR="00D73956" w:rsidRPr="00D73956" w:rsidRDefault="00D73956" w:rsidP="006A139B">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ABF.E055</w:t>
            </w:r>
          </w:p>
        </w:tc>
        <w:tc>
          <w:tcPr>
            <w:tcW w:w="1559" w:type="dxa"/>
            <w:gridSpan w:val="2"/>
            <w:tcBorders>
              <w:top w:val="single" w:sz="8" w:space="0" w:color="auto"/>
              <w:left w:val="nil"/>
              <w:bottom w:val="single" w:sz="8" w:space="0" w:color="auto"/>
              <w:right w:val="single" w:sz="8" w:space="0" w:color="auto"/>
            </w:tcBorders>
            <w:shd w:val="clear" w:color="auto" w:fill="auto"/>
            <w:vAlign w:val="center"/>
            <w:hideMark/>
          </w:tcPr>
          <w:p w14:paraId="50C37017" w14:textId="77777777" w:rsidR="00D73956" w:rsidRPr="00D73956" w:rsidRDefault="00D73956" w:rsidP="006A139B">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ABF.F055</w:t>
            </w:r>
          </w:p>
        </w:tc>
        <w:tc>
          <w:tcPr>
            <w:tcW w:w="1134" w:type="dxa"/>
            <w:gridSpan w:val="2"/>
            <w:tcBorders>
              <w:top w:val="single" w:sz="8" w:space="0" w:color="auto"/>
              <w:left w:val="nil"/>
              <w:bottom w:val="single" w:sz="8" w:space="0" w:color="auto"/>
              <w:right w:val="single" w:sz="8" w:space="0" w:color="auto"/>
            </w:tcBorders>
            <w:shd w:val="clear" w:color="auto" w:fill="auto"/>
            <w:vAlign w:val="center"/>
            <w:hideMark/>
          </w:tcPr>
          <w:p w14:paraId="74AFF11A" w14:textId="77777777" w:rsidR="00D73956" w:rsidRPr="00D73956" w:rsidRDefault="00D73956" w:rsidP="006A139B">
            <w:pPr>
              <w:spacing w:after="0" w:line="240" w:lineRule="auto"/>
              <w:jc w:val="center"/>
              <w:rPr>
                <w:rFonts w:ascii="Arial Narrow" w:eastAsia="Times New Roman" w:hAnsi="Arial Narrow" w:cs="Arial"/>
                <w:b/>
                <w:bCs/>
                <w:sz w:val="16"/>
                <w:szCs w:val="16"/>
                <w:lang w:eastAsia="pt-BR"/>
              </w:rPr>
            </w:pPr>
            <w:r w:rsidRPr="00D73956">
              <w:rPr>
                <w:rFonts w:ascii="Arial Narrow" w:eastAsia="Times New Roman" w:hAnsi="Arial Narrow" w:cs="Arial"/>
                <w:b/>
                <w:bCs/>
                <w:sz w:val="16"/>
                <w:szCs w:val="16"/>
                <w:lang w:eastAsia="pt-BR"/>
              </w:rPr>
              <w:t>ABF.G055</w:t>
            </w:r>
          </w:p>
        </w:tc>
      </w:tr>
    </w:tbl>
    <w:p w14:paraId="09D23CE0" w14:textId="77777777" w:rsidR="00D73956" w:rsidRDefault="00D73956" w:rsidP="003F0939">
      <w:pPr>
        <w:spacing w:after="0" w:line="360" w:lineRule="auto"/>
        <w:jc w:val="both"/>
        <w:rPr>
          <w:rFonts w:ascii="Arial" w:hAnsi="Arial"/>
        </w:rPr>
      </w:pPr>
    </w:p>
    <w:p w14:paraId="275F195B" w14:textId="1F228197" w:rsidR="003F0939" w:rsidRPr="00EE0371" w:rsidRDefault="003F0939" w:rsidP="003F0939">
      <w:pPr>
        <w:spacing w:after="0" w:line="360" w:lineRule="auto"/>
        <w:jc w:val="both"/>
        <w:rPr>
          <w:rFonts w:ascii="Arial" w:hAnsi="Arial"/>
        </w:rPr>
      </w:pPr>
      <w:r w:rsidRPr="00EE0371">
        <w:rPr>
          <w:rFonts w:ascii="Arial" w:hAnsi="Arial"/>
        </w:rPr>
        <w:t>Observaç</w:t>
      </w:r>
      <w:r>
        <w:rPr>
          <w:rFonts w:ascii="Arial" w:hAnsi="Arial"/>
        </w:rPr>
        <w:t>ão</w:t>
      </w:r>
      <w:r w:rsidRPr="00EE0371">
        <w:rPr>
          <w:rFonts w:ascii="Arial" w:hAnsi="Arial"/>
        </w:rPr>
        <w:t>:</w:t>
      </w:r>
    </w:p>
    <w:p w14:paraId="065C8AB5" w14:textId="77777777" w:rsidR="003F0939" w:rsidRDefault="003F0939" w:rsidP="003F0939">
      <w:pPr>
        <w:spacing w:after="0" w:line="240" w:lineRule="auto"/>
        <w:jc w:val="both"/>
        <w:rPr>
          <w:rFonts w:ascii="Arial" w:hAnsi="Arial"/>
        </w:rPr>
      </w:pPr>
      <w:r w:rsidRPr="00EE0371">
        <w:rPr>
          <w:rFonts w:ascii="Arial" w:hAnsi="Arial"/>
        </w:rPr>
        <w:t>1. A elaboração do Quadro Anexo ao Balanço Financeiro seguirá a metodologia especificada na IPC 06 (Instruções de Procedimentos Contábeis - STN) observada os códigos e os nomes constantes no Quadro de Fontes de Recursos</w:t>
      </w:r>
      <w:r>
        <w:rPr>
          <w:rFonts w:ascii="Arial" w:hAnsi="Arial"/>
        </w:rPr>
        <w:t>,</w:t>
      </w:r>
      <w:r w:rsidRPr="00EE0371">
        <w:rPr>
          <w:rFonts w:ascii="Arial" w:hAnsi="Arial"/>
        </w:rPr>
        <w:t xml:space="preserve"> de acordo com a Tabela Auxilia</w:t>
      </w:r>
      <w:r>
        <w:rPr>
          <w:rFonts w:ascii="Arial" w:hAnsi="Arial"/>
        </w:rPr>
        <w:t>r</w:t>
      </w:r>
      <w:r w:rsidRPr="00EE0371">
        <w:rPr>
          <w:rFonts w:ascii="Arial" w:hAnsi="Arial"/>
        </w:rPr>
        <w:t xml:space="preserve"> 1.2: Código de Especificação das Fontes/Destinação de Recursos (CDR), </w:t>
      </w:r>
      <w:r>
        <w:rPr>
          <w:rFonts w:ascii="Arial" w:hAnsi="Arial"/>
        </w:rPr>
        <w:t>d</w:t>
      </w:r>
      <w:r w:rsidRPr="00EE0371">
        <w:rPr>
          <w:rFonts w:ascii="Arial" w:hAnsi="Arial"/>
        </w:rPr>
        <w:t xml:space="preserve">o Anexo </w:t>
      </w:r>
      <w:r>
        <w:rPr>
          <w:rFonts w:ascii="Arial" w:hAnsi="Arial"/>
        </w:rPr>
        <w:t>IV da presente</w:t>
      </w:r>
      <w:r w:rsidRPr="00EE0371">
        <w:rPr>
          <w:rFonts w:ascii="Arial" w:hAnsi="Arial"/>
        </w:rPr>
        <w:t xml:space="preserve"> Instrução Normativa.</w:t>
      </w:r>
    </w:p>
    <w:p w14:paraId="274202A5" w14:textId="77777777" w:rsidR="007A45C9" w:rsidRDefault="007A45C9" w:rsidP="00EE0371">
      <w:pPr>
        <w:spacing w:after="0" w:line="240" w:lineRule="auto"/>
        <w:jc w:val="both"/>
        <w:rPr>
          <w:rFonts w:ascii="Arial" w:hAnsi="Arial"/>
        </w:rPr>
        <w:sectPr w:rsidR="007A45C9" w:rsidSect="00E7482B">
          <w:pgSz w:w="16838" w:h="11906" w:orient="landscape"/>
          <w:pgMar w:top="1701" w:right="1418" w:bottom="1701" w:left="1418" w:header="709" w:footer="709" w:gutter="0"/>
          <w:cols w:space="708"/>
          <w:docGrid w:linePitch="360"/>
        </w:sectPr>
      </w:pPr>
    </w:p>
    <w:p w14:paraId="2A6C32F5" w14:textId="216256D5" w:rsidR="00EE0371" w:rsidRPr="00EE0371" w:rsidRDefault="00EE0371" w:rsidP="00A60EA7">
      <w:pPr>
        <w:pStyle w:val="Ttulo3"/>
      </w:pPr>
      <w:bookmarkStart w:id="36" w:name="_Toc94806312"/>
      <w:r w:rsidRPr="00EE0371">
        <w:lastRenderedPageBreak/>
        <w:t>RELPRE.XML (ou RelacaoConsolidadaPrecatorios.xml)</w:t>
      </w:r>
      <w:bookmarkEnd w:id="36"/>
    </w:p>
    <w:p w14:paraId="13EBB1A1" w14:textId="77777777" w:rsidR="00EE0371" w:rsidRPr="00EE0371" w:rsidRDefault="00EE0371" w:rsidP="00EE0371">
      <w:pPr>
        <w:spacing w:after="0" w:line="360" w:lineRule="auto"/>
        <w:jc w:val="both"/>
        <w:rPr>
          <w:rFonts w:ascii="Arial" w:hAnsi="Arial"/>
        </w:rPr>
      </w:pPr>
      <w:r w:rsidRPr="00EE0371">
        <w:rPr>
          <w:rFonts w:ascii="Arial" w:hAnsi="Arial"/>
          <w:b/>
          <w:bCs/>
        </w:rPr>
        <w:t>Descrição: </w:t>
      </w:r>
      <w:r w:rsidRPr="00EE0371">
        <w:rPr>
          <w:rFonts w:ascii="Arial" w:hAnsi="Arial"/>
        </w:rPr>
        <w:t>Este arquivo deverá conter a Relação Consolidada de Precatórios (Mapa de Precatórios).</w:t>
      </w:r>
    </w:p>
    <w:p w14:paraId="540A320C" w14:textId="77777777" w:rsidR="00EE0371" w:rsidRPr="00EE0371" w:rsidRDefault="00EE0371" w:rsidP="00EE0371">
      <w:pPr>
        <w:autoSpaceDE w:val="0"/>
        <w:autoSpaceDN w:val="0"/>
        <w:adjustRightInd w:val="0"/>
        <w:spacing w:after="0" w:line="240" w:lineRule="auto"/>
        <w:jc w:val="both"/>
        <w:rPr>
          <w:rFonts w:ascii="Arial" w:hAnsi="Arial"/>
          <w:b/>
          <w:bCs/>
        </w:rPr>
      </w:pPr>
    </w:p>
    <w:p w14:paraId="262ED7EB" w14:textId="77777777" w:rsidR="00EE0371" w:rsidRPr="00EE0371" w:rsidRDefault="00EE0371" w:rsidP="00EE0371">
      <w:pPr>
        <w:rPr>
          <w:rFonts w:ascii="Arial" w:hAnsi="Arial" w:cs="Arial"/>
          <w:b/>
          <w:sz w:val="28"/>
        </w:rPr>
      </w:pPr>
      <w:r w:rsidRPr="00EE0371">
        <w:rPr>
          <w:rFonts w:ascii="Arial" w:hAnsi="Arial"/>
          <w:b/>
          <w:bCs/>
        </w:rPr>
        <w:t>Estrutura:</w:t>
      </w:r>
    </w:p>
    <w:p w14:paraId="6E1E18E0" w14:textId="77777777" w:rsidR="00EE0371" w:rsidRPr="00EE0371" w:rsidRDefault="00EE0371" w:rsidP="00EE0371">
      <w:pPr>
        <w:spacing w:after="0" w:line="240" w:lineRule="auto"/>
        <w:rPr>
          <w:rFonts w:ascii="Arial" w:hAnsi="Arial" w:cs="Arial"/>
          <w:sz w:val="20"/>
          <w:szCs w:val="20"/>
          <w:lang w:eastAsia="pt-BR"/>
        </w:rPr>
      </w:pPr>
      <w:r w:rsidRPr="00EE0371">
        <w:rPr>
          <w:rFonts w:ascii="Arial" w:hAnsi="Arial" w:cs="Arial"/>
          <w:sz w:val="20"/>
          <w:szCs w:val="20"/>
          <w:lang w:eastAsia="pt-BR"/>
        </w:rPr>
        <w:t>&lt;?xml version="1.0" encoding=“UTF-8”?&gt;</w:t>
      </w:r>
    </w:p>
    <w:p w14:paraId="13AD46A8" w14:textId="77777777" w:rsidR="00EE0371" w:rsidRPr="00EE0371" w:rsidRDefault="00EE0371" w:rsidP="00EE0371">
      <w:pPr>
        <w:spacing w:after="0" w:line="240" w:lineRule="auto"/>
        <w:rPr>
          <w:rFonts w:ascii="Arial" w:hAnsi="Arial" w:cs="Arial"/>
          <w:sz w:val="20"/>
          <w:szCs w:val="20"/>
          <w:lang w:eastAsia="pt-BR"/>
        </w:rPr>
      </w:pPr>
      <w:r w:rsidRPr="00EE0371">
        <w:rPr>
          <w:rFonts w:ascii="Arial" w:hAnsi="Arial" w:cs="Arial"/>
          <w:sz w:val="20"/>
          <w:szCs w:val="20"/>
          <w:lang w:eastAsia="pt-BR"/>
        </w:rPr>
        <w:t>&lt;PrestacaoContasAnual&gt;</w:t>
      </w:r>
    </w:p>
    <w:p w14:paraId="797C697A" w14:textId="77777777" w:rsidR="00EE0371" w:rsidRPr="00EE0371" w:rsidRDefault="00EE0371" w:rsidP="00EE0371">
      <w:pPr>
        <w:spacing w:after="0" w:line="240" w:lineRule="auto"/>
        <w:rPr>
          <w:rFonts w:ascii="Arial" w:hAnsi="Arial" w:cs="Arial"/>
          <w:sz w:val="20"/>
          <w:szCs w:val="20"/>
          <w:lang w:eastAsia="pt-BR"/>
        </w:rPr>
      </w:pPr>
      <w:r w:rsidRPr="00EE0371">
        <w:rPr>
          <w:rFonts w:ascii="Arial" w:hAnsi="Arial" w:cs="Arial"/>
          <w:sz w:val="20"/>
          <w:szCs w:val="20"/>
          <w:lang w:eastAsia="pt-BR"/>
        </w:rPr>
        <w:t xml:space="preserve">     &lt;RelacaoConsolidadaPrecatorio_Schema&gt;</w:t>
      </w:r>
    </w:p>
    <w:p w14:paraId="34E77458" w14:textId="77777777" w:rsidR="00EE0371" w:rsidRPr="00EE0371" w:rsidRDefault="00EE0371" w:rsidP="00EE0371">
      <w:pPr>
        <w:spacing w:after="0" w:line="240" w:lineRule="auto"/>
        <w:rPr>
          <w:rFonts w:ascii="Arial" w:hAnsi="Arial" w:cs="Arial"/>
          <w:sz w:val="20"/>
          <w:szCs w:val="20"/>
          <w:lang w:eastAsia="pt-BR"/>
        </w:rPr>
      </w:pPr>
    </w:p>
    <w:p w14:paraId="2E6713BC" w14:textId="77777777" w:rsidR="00EE0371" w:rsidRPr="00EE0371" w:rsidRDefault="00EE0371" w:rsidP="00EE0371">
      <w:pPr>
        <w:spacing w:after="0" w:line="240" w:lineRule="auto"/>
        <w:ind w:firstLine="708"/>
        <w:rPr>
          <w:rFonts w:ascii="Arial" w:hAnsi="Arial" w:cs="Arial"/>
          <w:sz w:val="20"/>
          <w:szCs w:val="20"/>
          <w:lang w:eastAsia="pt-BR"/>
        </w:rPr>
      </w:pPr>
      <w:r w:rsidRPr="00EE0371">
        <w:rPr>
          <w:rFonts w:ascii="Arial" w:hAnsi="Arial" w:cs="Arial"/>
          <w:sz w:val="20"/>
          <w:szCs w:val="20"/>
          <w:lang w:eastAsia="pt-BR"/>
        </w:rPr>
        <w:t>&lt;RelacaoConsolidadaPrecatorio&gt;</w:t>
      </w:r>
    </w:p>
    <w:p w14:paraId="436CDCE0" w14:textId="77777777" w:rsidR="001D18FF" w:rsidRDefault="00EE0371" w:rsidP="001D18FF">
      <w:pPr>
        <w:spacing w:after="0" w:line="240" w:lineRule="auto"/>
        <w:ind w:firstLine="708"/>
        <w:rPr>
          <w:rFonts w:ascii="Arial" w:hAnsi="Arial" w:cs="Arial"/>
          <w:sz w:val="20"/>
          <w:szCs w:val="20"/>
          <w:lang w:eastAsia="pt-BR"/>
        </w:rPr>
      </w:pPr>
      <w:r w:rsidRPr="00EE0371">
        <w:rPr>
          <w:rFonts w:ascii="Arial" w:hAnsi="Arial" w:cs="Arial"/>
          <w:sz w:val="20"/>
          <w:szCs w:val="20"/>
          <w:lang w:eastAsia="pt-BR"/>
        </w:rPr>
        <w:t xml:space="preserve">     &lt;IdNumRegistro&gt;</w:t>
      </w:r>
      <w:r w:rsidRPr="00EE0371">
        <w:rPr>
          <w:rFonts w:ascii="Arial" w:hAnsi="Arial" w:cs="Arial"/>
          <w:b/>
          <w:sz w:val="20"/>
          <w:szCs w:val="20"/>
          <w:lang w:eastAsia="pt-BR"/>
        </w:rPr>
        <w:t>99999</w:t>
      </w:r>
      <w:r w:rsidRPr="00EE0371">
        <w:rPr>
          <w:rFonts w:ascii="Arial" w:hAnsi="Arial" w:cs="Arial"/>
          <w:sz w:val="20"/>
          <w:szCs w:val="20"/>
          <w:lang w:eastAsia="pt-BR"/>
        </w:rPr>
        <w:t>&lt;/IdNumRegistro&gt;</w:t>
      </w:r>
    </w:p>
    <w:p w14:paraId="42626573" w14:textId="77777777" w:rsidR="00292A50" w:rsidRPr="000D3464" w:rsidRDefault="00292A50" w:rsidP="001D18FF">
      <w:pPr>
        <w:spacing w:after="0" w:line="240" w:lineRule="auto"/>
        <w:ind w:firstLine="708"/>
        <w:rPr>
          <w:rFonts w:ascii="Arial" w:hAnsi="Arial" w:cs="Arial"/>
          <w:sz w:val="20"/>
          <w:szCs w:val="20"/>
          <w:lang w:eastAsia="pt-BR"/>
        </w:rPr>
      </w:pPr>
      <w:r w:rsidRPr="000D3464">
        <w:rPr>
          <w:rFonts w:ascii="Arial" w:hAnsi="Arial" w:cs="Arial"/>
          <w:sz w:val="20"/>
          <w:szCs w:val="20"/>
          <w:lang w:eastAsia="pt-BR"/>
        </w:rPr>
        <w:t xml:space="preserve">     &lt;CodigoUnidadeGestora&gt;</w:t>
      </w:r>
      <w:r w:rsidRPr="000D3464">
        <w:rPr>
          <w:rFonts w:ascii="Arial" w:hAnsi="Arial" w:cs="Arial"/>
          <w:b/>
          <w:sz w:val="20"/>
          <w:szCs w:val="20"/>
          <w:lang w:eastAsia="pt-BR"/>
        </w:rPr>
        <w:t>XXXXXXXXXXX</w:t>
      </w:r>
      <w:r w:rsidRPr="000D3464">
        <w:rPr>
          <w:rFonts w:ascii="Arial" w:hAnsi="Arial" w:cs="Arial"/>
          <w:sz w:val="20"/>
          <w:szCs w:val="20"/>
          <w:lang w:eastAsia="pt-BR"/>
        </w:rPr>
        <w:t>&lt;/CodigoUnidadeGestora&gt;</w:t>
      </w:r>
    </w:p>
    <w:p w14:paraId="53DAD214" w14:textId="77777777" w:rsidR="00EE0371" w:rsidRPr="00EE0371" w:rsidRDefault="001D18FF" w:rsidP="00EE0371">
      <w:pPr>
        <w:spacing w:after="0" w:line="240" w:lineRule="auto"/>
        <w:ind w:firstLine="708"/>
        <w:rPr>
          <w:rFonts w:ascii="Arial" w:hAnsi="Arial" w:cs="Arial"/>
          <w:sz w:val="20"/>
          <w:szCs w:val="20"/>
          <w:lang w:eastAsia="pt-BR"/>
        </w:rPr>
      </w:pPr>
      <w:r>
        <w:rPr>
          <w:rFonts w:ascii="Arial" w:hAnsi="Arial" w:cs="Arial"/>
          <w:sz w:val="20"/>
          <w:szCs w:val="20"/>
          <w:lang w:eastAsia="pt-BR"/>
        </w:rPr>
        <w:t xml:space="preserve">     </w:t>
      </w:r>
      <w:r w:rsidR="00EE0371" w:rsidRPr="00EE0371">
        <w:rPr>
          <w:rFonts w:ascii="Arial" w:hAnsi="Arial" w:cs="Arial"/>
          <w:sz w:val="20"/>
          <w:szCs w:val="20"/>
          <w:lang w:eastAsia="pt-BR"/>
        </w:rPr>
        <w:t>&lt;OrdemCronologicaPagamento&gt;</w:t>
      </w:r>
      <w:r w:rsidR="00EE0371" w:rsidRPr="00EE0371">
        <w:rPr>
          <w:rFonts w:ascii="Arial" w:hAnsi="Arial" w:cs="Arial"/>
          <w:b/>
          <w:sz w:val="20"/>
          <w:szCs w:val="20"/>
          <w:lang w:eastAsia="pt-BR"/>
        </w:rPr>
        <w:t>XXXXXXXX</w:t>
      </w:r>
      <w:r w:rsidR="00EE0371" w:rsidRPr="00EE0371">
        <w:rPr>
          <w:rFonts w:ascii="Arial" w:hAnsi="Arial" w:cs="Arial"/>
          <w:sz w:val="20"/>
          <w:szCs w:val="20"/>
          <w:lang w:eastAsia="pt-BR"/>
        </w:rPr>
        <w:t xml:space="preserve">&lt;/OrdemCronologicaPagamento&gt; </w:t>
      </w:r>
    </w:p>
    <w:p w14:paraId="0CBA3949" w14:textId="77777777" w:rsidR="00EE0371" w:rsidRPr="00EE0371" w:rsidRDefault="00EE0371" w:rsidP="00EE0371">
      <w:pPr>
        <w:spacing w:after="0" w:line="240" w:lineRule="auto"/>
        <w:ind w:firstLine="708"/>
        <w:rPr>
          <w:rFonts w:ascii="Arial" w:hAnsi="Arial" w:cs="Arial"/>
          <w:sz w:val="20"/>
          <w:szCs w:val="20"/>
          <w:lang w:eastAsia="pt-BR"/>
        </w:rPr>
      </w:pPr>
      <w:r w:rsidRPr="00EE0371">
        <w:rPr>
          <w:rFonts w:ascii="Arial" w:hAnsi="Arial" w:cs="Arial"/>
          <w:sz w:val="20"/>
          <w:szCs w:val="20"/>
          <w:lang w:eastAsia="pt-BR"/>
        </w:rPr>
        <w:t xml:space="preserve">     &lt;TribunalOrigem&gt;</w:t>
      </w:r>
      <w:r w:rsidRPr="00EE0371">
        <w:rPr>
          <w:rFonts w:ascii="Arial" w:hAnsi="Arial" w:cs="Arial"/>
          <w:b/>
          <w:sz w:val="20"/>
          <w:szCs w:val="20"/>
          <w:lang w:eastAsia="pt-BR"/>
        </w:rPr>
        <w:t>XXX...XXX</w:t>
      </w:r>
      <w:r w:rsidRPr="00EE0371">
        <w:rPr>
          <w:rFonts w:ascii="Arial" w:hAnsi="Arial" w:cs="Arial"/>
          <w:sz w:val="20"/>
          <w:szCs w:val="20"/>
          <w:lang w:eastAsia="pt-BR"/>
        </w:rPr>
        <w:t>&lt;/TribunalOrigem&gt;</w:t>
      </w:r>
    </w:p>
    <w:p w14:paraId="5F346E33" w14:textId="77777777" w:rsidR="00EE0371" w:rsidRPr="00EE0371" w:rsidRDefault="00EE0371" w:rsidP="00EE0371">
      <w:pPr>
        <w:spacing w:after="0" w:line="240" w:lineRule="auto"/>
        <w:ind w:firstLine="708"/>
        <w:rPr>
          <w:rFonts w:ascii="Arial" w:hAnsi="Arial" w:cs="Arial"/>
          <w:sz w:val="20"/>
          <w:szCs w:val="20"/>
          <w:lang w:eastAsia="pt-BR"/>
        </w:rPr>
      </w:pPr>
      <w:r w:rsidRPr="00EE0371">
        <w:rPr>
          <w:rFonts w:ascii="Arial" w:hAnsi="Arial" w:cs="Arial"/>
          <w:sz w:val="20"/>
          <w:szCs w:val="20"/>
          <w:lang w:eastAsia="pt-BR"/>
        </w:rPr>
        <w:t xml:space="preserve">     &lt;NumeroAcao&gt;</w:t>
      </w:r>
      <w:r w:rsidRPr="00EE0371">
        <w:rPr>
          <w:rFonts w:ascii="Arial" w:hAnsi="Arial" w:cs="Arial"/>
          <w:b/>
          <w:sz w:val="20"/>
          <w:szCs w:val="20"/>
          <w:lang w:eastAsia="pt-BR"/>
        </w:rPr>
        <w:t>XXX...XXX</w:t>
      </w:r>
      <w:r w:rsidRPr="00EE0371">
        <w:rPr>
          <w:rFonts w:ascii="Arial" w:hAnsi="Arial" w:cs="Arial"/>
          <w:sz w:val="20"/>
          <w:szCs w:val="20"/>
          <w:lang w:eastAsia="pt-BR"/>
        </w:rPr>
        <w:t xml:space="preserve">&lt;/NumeroAcao&gt; </w:t>
      </w:r>
    </w:p>
    <w:p w14:paraId="79747BB5" w14:textId="77777777" w:rsidR="00EE0371" w:rsidRPr="00EE0371" w:rsidRDefault="00EE0371" w:rsidP="00EE0371">
      <w:pPr>
        <w:spacing w:after="0" w:line="240" w:lineRule="auto"/>
        <w:ind w:firstLine="708"/>
        <w:rPr>
          <w:rFonts w:ascii="Arial" w:hAnsi="Arial" w:cs="Arial"/>
          <w:sz w:val="20"/>
          <w:szCs w:val="20"/>
          <w:lang w:eastAsia="pt-BR"/>
        </w:rPr>
      </w:pPr>
      <w:r w:rsidRPr="00EE0371">
        <w:rPr>
          <w:rFonts w:ascii="Arial" w:hAnsi="Arial" w:cs="Arial"/>
          <w:sz w:val="20"/>
          <w:szCs w:val="20"/>
          <w:lang w:eastAsia="pt-BR"/>
        </w:rPr>
        <w:t xml:space="preserve">     &lt;DataAjuizamentoPrecatorio&gt;</w:t>
      </w:r>
      <w:r w:rsidRPr="00EE0371">
        <w:rPr>
          <w:rFonts w:ascii="Arial" w:hAnsi="Arial" w:cs="Arial"/>
          <w:b/>
          <w:sz w:val="20"/>
          <w:szCs w:val="20"/>
          <w:lang w:eastAsia="pt-BR"/>
        </w:rPr>
        <w:t>9999-99-99</w:t>
      </w:r>
      <w:r w:rsidRPr="00EE0371">
        <w:rPr>
          <w:rFonts w:ascii="Arial" w:hAnsi="Arial" w:cs="Arial"/>
          <w:sz w:val="20"/>
          <w:szCs w:val="20"/>
          <w:lang w:eastAsia="pt-BR"/>
        </w:rPr>
        <w:t xml:space="preserve">&lt;/DataAjuizamentoPrecatorio&gt; </w:t>
      </w:r>
    </w:p>
    <w:p w14:paraId="04BABF26" w14:textId="77777777" w:rsidR="00EE0371" w:rsidRPr="00EE0371" w:rsidRDefault="00EE0371" w:rsidP="00EE0371">
      <w:pPr>
        <w:spacing w:after="0" w:line="240" w:lineRule="auto"/>
        <w:ind w:firstLine="708"/>
        <w:rPr>
          <w:rFonts w:ascii="Arial" w:hAnsi="Arial" w:cs="Arial"/>
          <w:sz w:val="20"/>
          <w:szCs w:val="20"/>
          <w:lang w:eastAsia="pt-BR"/>
        </w:rPr>
      </w:pPr>
      <w:r w:rsidRPr="00EE0371">
        <w:rPr>
          <w:rFonts w:ascii="Arial" w:hAnsi="Arial" w:cs="Arial"/>
          <w:sz w:val="20"/>
          <w:szCs w:val="20"/>
          <w:lang w:eastAsia="pt-BR"/>
        </w:rPr>
        <w:t xml:space="preserve">     &lt;DataApresentacaoPrecatorio&gt;</w:t>
      </w:r>
      <w:r w:rsidRPr="00EE0371">
        <w:rPr>
          <w:rFonts w:ascii="Arial" w:hAnsi="Arial" w:cs="Arial"/>
          <w:b/>
          <w:sz w:val="20"/>
          <w:szCs w:val="20"/>
          <w:lang w:eastAsia="pt-BR"/>
        </w:rPr>
        <w:t>9999-99-99</w:t>
      </w:r>
      <w:r w:rsidRPr="00EE0371">
        <w:rPr>
          <w:rFonts w:ascii="Arial" w:hAnsi="Arial" w:cs="Arial"/>
          <w:sz w:val="20"/>
          <w:szCs w:val="20"/>
          <w:lang w:eastAsia="pt-BR"/>
        </w:rPr>
        <w:t xml:space="preserve">&lt;/DataApresentacaoPrecatorio&gt; </w:t>
      </w:r>
    </w:p>
    <w:p w14:paraId="0B43D9F8" w14:textId="77777777" w:rsidR="00EE0371" w:rsidRPr="00EE0371" w:rsidRDefault="00EE0371" w:rsidP="00EE0371">
      <w:pPr>
        <w:spacing w:after="0" w:line="240" w:lineRule="auto"/>
        <w:ind w:firstLine="708"/>
        <w:rPr>
          <w:rFonts w:ascii="Arial" w:hAnsi="Arial" w:cs="Arial"/>
          <w:sz w:val="20"/>
          <w:szCs w:val="20"/>
          <w:lang w:eastAsia="pt-BR"/>
        </w:rPr>
      </w:pPr>
      <w:r w:rsidRPr="00EE0371">
        <w:rPr>
          <w:rFonts w:ascii="Arial" w:hAnsi="Arial" w:cs="Arial"/>
          <w:sz w:val="20"/>
          <w:szCs w:val="20"/>
          <w:lang w:eastAsia="pt-BR"/>
        </w:rPr>
        <w:t xml:space="preserve">     &lt;NumeroPrecatorio&gt;</w:t>
      </w:r>
      <w:r w:rsidRPr="00EE0371">
        <w:rPr>
          <w:rFonts w:ascii="Arial" w:hAnsi="Arial" w:cs="Arial"/>
          <w:b/>
          <w:sz w:val="20"/>
          <w:szCs w:val="20"/>
          <w:lang w:eastAsia="pt-BR"/>
        </w:rPr>
        <w:t>XXX...XXX</w:t>
      </w:r>
      <w:r w:rsidRPr="00EE0371">
        <w:rPr>
          <w:rFonts w:ascii="Arial" w:hAnsi="Arial" w:cs="Arial"/>
          <w:sz w:val="20"/>
          <w:szCs w:val="20"/>
          <w:lang w:eastAsia="pt-BR"/>
        </w:rPr>
        <w:t xml:space="preserve">&lt;/NumeroPrecatorio&gt; </w:t>
      </w:r>
    </w:p>
    <w:p w14:paraId="450DA54F" w14:textId="77777777" w:rsidR="00EE0371" w:rsidRPr="00EE0371" w:rsidRDefault="00EE0371" w:rsidP="00EE0371">
      <w:pPr>
        <w:spacing w:after="0" w:line="240" w:lineRule="auto"/>
        <w:ind w:firstLine="708"/>
        <w:rPr>
          <w:rFonts w:ascii="Arial" w:hAnsi="Arial" w:cs="Arial"/>
          <w:sz w:val="20"/>
          <w:szCs w:val="20"/>
          <w:lang w:eastAsia="pt-BR"/>
        </w:rPr>
      </w:pPr>
      <w:r w:rsidRPr="00EE0371">
        <w:rPr>
          <w:rFonts w:ascii="Arial" w:hAnsi="Arial" w:cs="Arial"/>
          <w:sz w:val="20"/>
          <w:szCs w:val="20"/>
          <w:lang w:eastAsia="pt-BR"/>
        </w:rPr>
        <w:t xml:space="preserve">     &lt;NaturezaPrecatorio&gt;</w:t>
      </w:r>
      <w:r w:rsidRPr="00EE0371">
        <w:rPr>
          <w:rFonts w:ascii="Arial" w:hAnsi="Arial" w:cs="Arial"/>
          <w:b/>
          <w:sz w:val="20"/>
          <w:szCs w:val="20"/>
          <w:lang w:eastAsia="pt-BR"/>
        </w:rPr>
        <w:t>9</w:t>
      </w:r>
      <w:r w:rsidRPr="00EE0371">
        <w:rPr>
          <w:rFonts w:ascii="Arial" w:hAnsi="Arial" w:cs="Arial"/>
          <w:sz w:val="20"/>
          <w:szCs w:val="20"/>
          <w:lang w:eastAsia="pt-BR"/>
        </w:rPr>
        <w:t xml:space="preserve">&lt;/NaturezaPrecatorio&gt; </w:t>
      </w:r>
    </w:p>
    <w:p w14:paraId="378B939A" w14:textId="77777777" w:rsidR="00EE0371" w:rsidRPr="00EE0371" w:rsidRDefault="00EE0371" w:rsidP="00EE0371">
      <w:pPr>
        <w:spacing w:after="0" w:line="240" w:lineRule="auto"/>
        <w:ind w:firstLine="708"/>
        <w:rPr>
          <w:rFonts w:ascii="Arial" w:hAnsi="Arial" w:cs="Arial"/>
          <w:sz w:val="20"/>
          <w:szCs w:val="20"/>
          <w:lang w:eastAsia="pt-BR"/>
        </w:rPr>
      </w:pPr>
      <w:r w:rsidRPr="00EE0371">
        <w:rPr>
          <w:rFonts w:ascii="Arial" w:hAnsi="Arial" w:cs="Arial"/>
          <w:sz w:val="20"/>
          <w:szCs w:val="20"/>
          <w:lang w:eastAsia="pt-BR"/>
        </w:rPr>
        <w:t xml:space="preserve">     &lt;CPFCNPJBeneficiario&gt;</w:t>
      </w:r>
      <w:r w:rsidRPr="00EE0371">
        <w:rPr>
          <w:rFonts w:ascii="Arial" w:hAnsi="Arial" w:cs="Arial"/>
          <w:b/>
          <w:sz w:val="20"/>
          <w:szCs w:val="20"/>
          <w:lang w:eastAsia="pt-BR"/>
        </w:rPr>
        <w:t>XXX...XXX</w:t>
      </w:r>
      <w:r w:rsidRPr="00EE0371">
        <w:rPr>
          <w:rFonts w:ascii="Arial" w:hAnsi="Arial" w:cs="Arial"/>
          <w:sz w:val="20"/>
          <w:szCs w:val="20"/>
          <w:lang w:eastAsia="pt-BR"/>
        </w:rPr>
        <w:t xml:space="preserve">&lt;/CPFCNPJBeneficiario&gt; </w:t>
      </w:r>
    </w:p>
    <w:p w14:paraId="00AA54DD" w14:textId="77777777" w:rsidR="00EE0371" w:rsidRPr="00EE0371" w:rsidRDefault="00EE0371" w:rsidP="00EE0371">
      <w:pPr>
        <w:spacing w:after="0" w:line="240" w:lineRule="auto"/>
        <w:ind w:firstLine="708"/>
        <w:rPr>
          <w:rFonts w:ascii="Arial" w:hAnsi="Arial" w:cs="Arial"/>
          <w:sz w:val="20"/>
          <w:szCs w:val="20"/>
          <w:lang w:eastAsia="pt-BR"/>
        </w:rPr>
      </w:pPr>
      <w:r w:rsidRPr="00EE0371">
        <w:rPr>
          <w:rFonts w:ascii="Arial" w:hAnsi="Arial" w:cs="Arial"/>
          <w:sz w:val="20"/>
          <w:szCs w:val="20"/>
          <w:lang w:eastAsia="pt-BR"/>
        </w:rPr>
        <w:t xml:space="preserve">     &lt;NomeBeneficiario&gt;</w:t>
      </w:r>
      <w:r w:rsidRPr="00EE0371">
        <w:rPr>
          <w:rFonts w:ascii="Arial" w:hAnsi="Arial" w:cs="Arial"/>
          <w:b/>
          <w:sz w:val="20"/>
          <w:szCs w:val="20"/>
          <w:lang w:eastAsia="pt-BR"/>
        </w:rPr>
        <w:t>XXX...XXX</w:t>
      </w:r>
      <w:r w:rsidRPr="00EE0371">
        <w:rPr>
          <w:rFonts w:ascii="Arial" w:hAnsi="Arial" w:cs="Arial"/>
          <w:sz w:val="20"/>
          <w:szCs w:val="20"/>
          <w:lang w:eastAsia="pt-BR"/>
        </w:rPr>
        <w:t>&lt;/NomeBeneficiario&gt;</w:t>
      </w:r>
    </w:p>
    <w:p w14:paraId="21865490" w14:textId="77777777" w:rsidR="00EE0371" w:rsidRPr="00EE0371" w:rsidRDefault="00EE0371" w:rsidP="00EE0371">
      <w:pPr>
        <w:spacing w:after="0" w:line="240" w:lineRule="auto"/>
        <w:ind w:firstLine="708"/>
        <w:rPr>
          <w:rFonts w:ascii="Arial" w:hAnsi="Arial" w:cs="Arial"/>
          <w:sz w:val="20"/>
          <w:szCs w:val="20"/>
          <w:lang w:eastAsia="pt-BR"/>
        </w:rPr>
      </w:pPr>
      <w:r w:rsidRPr="00EE0371">
        <w:rPr>
          <w:rFonts w:ascii="Arial" w:hAnsi="Arial" w:cs="Arial"/>
          <w:sz w:val="20"/>
          <w:szCs w:val="20"/>
          <w:lang w:eastAsia="pt-BR"/>
        </w:rPr>
        <w:t xml:space="preserve">     &lt;RegimePagamentoAdotado&gt;</w:t>
      </w:r>
      <w:r w:rsidRPr="00EE0371">
        <w:rPr>
          <w:rFonts w:ascii="Arial" w:hAnsi="Arial" w:cs="Arial"/>
          <w:b/>
          <w:sz w:val="20"/>
          <w:szCs w:val="20"/>
          <w:lang w:eastAsia="pt-BR"/>
        </w:rPr>
        <w:t>9</w:t>
      </w:r>
      <w:r w:rsidRPr="00EE0371">
        <w:rPr>
          <w:rFonts w:ascii="Arial" w:hAnsi="Arial" w:cs="Arial"/>
          <w:sz w:val="20"/>
          <w:szCs w:val="20"/>
          <w:lang w:eastAsia="pt-BR"/>
        </w:rPr>
        <w:t xml:space="preserve">&lt;/RegimePagamentoAdotado&gt; </w:t>
      </w:r>
    </w:p>
    <w:p w14:paraId="3966ED95" w14:textId="77777777" w:rsidR="00EE0371" w:rsidRPr="00EE0371" w:rsidRDefault="00EE0371" w:rsidP="00EE0371">
      <w:pPr>
        <w:spacing w:after="0" w:line="240" w:lineRule="auto"/>
        <w:ind w:firstLine="708"/>
        <w:rPr>
          <w:rFonts w:ascii="Arial" w:hAnsi="Arial" w:cs="Arial"/>
          <w:sz w:val="20"/>
          <w:szCs w:val="20"/>
          <w:lang w:eastAsia="pt-BR"/>
        </w:rPr>
      </w:pPr>
      <w:r w:rsidRPr="00EE0371">
        <w:rPr>
          <w:rFonts w:ascii="Arial" w:hAnsi="Arial" w:cs="Arial"/>
          <w:sz w:val="20"/>
          <w:szCs w:val="20"/>
          <w:lang w:eastAsia="pt-BR"/>
        </w:rPr>
        <w:t xml:space="preserve">     &lt;ValorOriginalPrecatorio&gt;</w:t>
      </w:r>
      <w:r w:rsidRPr="00EE0371">
        <w:rPr>
          <w:rFonts w:ascii="Arial" w:hAnsi="Arial" w:cs="Arial"/>
          <w:b/>
          <w:sz w:val="20"/>
          <w:szCs w:val="20"/>
          <w:lang w:eastAsia="pt-BR"/>
        </w:rPr>
        <w:t>99999999999999.99</w:t>
      </w:r>
      <w:r w:rsidRPr="00EE0371">
        <w:rPr>
          <w:rFonts w:ascii="Arial" w:hAnsi="Arial" w:cs="Arial"/>
          <w:sz w:val="20"/>
          <w:szCs w:val="20"/>
          <w:lang w:eastAsia="pt-BR"/>
        </w:rPr>
        <w:t xml:space="preserve">&lt;/ValorOriginalPrecatorio&gt; </w:t>
      </w:r>
    </w:p>
    <w:p w14:paraId="3CB5473B" w14:textId="77777777" w:rsidR="00EE0371" w:rsidRPr="00EE0371" w:rsidRDefault="00EE0371" w:rsidP="00EE0371">
      <w:pPr>
        <w:spacing w:after="0" w:line="240" w:lineRule="auto"/>
        <w:ind w:firstLine="708"/>
        <w:rPr>
          <w:rFonts w:ascii="Arial" w:hAnsi="Arial" w:cs="Arial"/>
          <w:sz w:val="20"/>
          <w:szCs w:val="20"/>
          <w:lang w:eastAsia="pt-BR"/>
        </w:rPr>
      </w:pPr>
      <w:r w:rsidRPr="00EE0371">
        <w:rPr>
          <w:rFonts w:ascii="Arial" w:hAnsi="Arial" w:cs="Arial"/>
          <w:sz w:val="20"/>
          <w:szCs w:val="20"/>
          <w:lang w:eastAsia="pt-BR"/>
        </w:rPr>
        <w:t xml:space="preserve">     &lt;SaldoAtualizadoPrecatorioFinalExercicioAnterior&gt;</w:t>
      </w:r>
      <w:r w:rsidRPr="00EE0371">
        <w:rPr>
          <w:rFonts w:ascii="Arial" w:hAnsi="Arial" w:cs="Arial"/>
          <w:b/>
          <w:sz w:val="20"/>
          <w:szCs w:val="20"/>
          <w:lang w:eastAsia="pt-BR"/>
        </w:rPr>
        <w:t>99999999999999.99</w:t>
      </w:r>
    </w:p>
    <w:p w14:paraId="117A795B" w14:textId="77777777" w:rsidR="00EE0371" w:rsidRPr="00EE0371" w:rsidRDefault="00EE0371" w:rsidP="00EE0371">
      <w:pPr>
        <w:spacing w:after="0" w:line="240" w:lineRule="auto"/>
        <w:ind w:left="993" w:firstLine="1"/>
        <w:rPr>
          <w:rFonts w:ascii="Arial" w:hAnsi="Arial" w:cs="Arial"/>
          <w:sz w:val="20"/>
          <w:szCs w:val="20"/>
          <w:lang w:eastAsia="pt-BR"/>
        </w:rPr>
      </w:pPr>
      <w:r w:rsidRPr="00EE0371">
        <w:rPr>
          <w:rFonts w:ascii="Arial" w:hAnsi="Arial" w:cs="Arial"/>
          <w:sz w:val="20"/>
          <w:szCs w:val="20"/>
          <w:lang w:eastAsia="pt-BR"/>
        </w:rPr>
        <w:t xml:space="preserve">&lt;/SaldoAtualizadoPrecatorioFinalExercicioAnterior&gt; </w:t>
      </w:r>
    </w:p>
    <w:p w14:paraId="228E4026" w14:textId="77777777" w:rsidR="00EE0371" w:rsidRPr="00EE0371" w:rsidRDefault="00EE0371" w:rsidP="00EE0371">
      <w:pPr>
        <w:spacing w:after="0" w:line="240" w:lineRule="auto"/>
        <w:ind w:firstLine="708"/>
        <w:rPr>
          <w:rFonts w:ascii="Arial" w:hAnsi="Arial" w:cs="Arial"/>
          <w:sz w:val="20"/>
          <w:szCs w:val="20"/>
          <w:lang w:eastAsia="pt-BR"/>
        </w:rPr>
      </w:pPr>
      <w:r w:rsidRPr="00EE0371">
        <w:rPr>
          <w:rFonts w:ascii="Arial" w:hAnsi="Arial" w:cs="Arial"/>
          <w:sz w:val="20"/>
          <w:szCs w:val="20"/>
          <w:lang w:eastAsia="pt-BR"/>
        </w:rPr>
        <w:t xml:space="preserve">     &lt;ValorAtualizacaoMonetariaExercício&gt;</w:t>
      </w:r>
      <w:r w:rsidRPr="00EE0371">
        <w:rPr>
          <w:rFonts w:ascii="Arial" w:hAnsi="Arial" w:cs="Arial"/>
          <w:b/>
          <w:sz w:val="20"/>
          <w:szCs w:val="20"/>
          <w:lang w:eastAsia="pt-BR"/>
        </w:rPr>
        <w:t>99999999999999.99</w:t>
      </w:r>
    </w:p>
    <w:p w14:paraId="463FAC19" w14:textId="77777777" w:rsidR="00EE0371" w:rsidRPr="00EE0371" w:rsidRDefault="00EE0371" w:rsidP="00EE0371">
      <w:pPr>
        <w:spacing w:after="0" w:line="240" w:lineRule="auto"/>
        <w:ind w:left="993" w:firstLine="1"/>
        <w:rPr>
          <w:rFonts w:ascii="Arial" w:hAnsi="Arial" w:cs="Arial"/>
          <w:sz w:val="20"/>
          <w:szCs w:val="20"/>
          <w:lang w:eastAsia="pt-BR"/>
        </w:rPr>
      </w:pPr>
      <w:r w:rsidRPr="00EE0371">
        <w:rPr>
          <w:rFonts w:ascii="Arial" w:hAnsi="Arial" w:cs="Arial"/>
          <w:sz w:val="20"/>
          <w:szCs w:val="20"/>
          <w:lang w:eastAsia="pt-BR"/>
        </w:rPr>
        <w:t xml:space="preserve">&lt;/ValorAtualizacaoMonetariaExercício&gt; </w:t>
      </w:r>
    </w:p>
    <w:p w14:paraId="13BA2110" w14:textId="77777777" w:rsidR="00EE0371" w:rsidRPr="00EE0371" w:rsidRDefault="00EE0371" w:rsidP="00EE0371">
      <w:pPr>
        <w:spacing w:after="0" w:line="240" w:lineRule="auto"/>
        <w:ind w:firstLine="708"/>
        <w:rPr>
          <w:rFonts w:ascii="Arial" w:hAnsi="Arial" w:cs="Arial"/>
          <w:sz w:val="20"/>
          <w:szCs w:val="20"/>
          <w:lang w:eastAsia="pt-BR"/>
        </w:rPr>
      </w:pPr>
      <w:r w:rsidRPr="00EE0371">
        <w:rPr>
          <w:rFonts w:ascii="Arial" w:hAnsi="Arial" w:cs="Arial"/>
          <w:sz w:val="20"/>
          <w:szCs w:val="20"/>
          <w:lang w:eastAsia="pt-BR"/>
        </w:rPr>
        <w:t xml:space="preserve">     &lt;ValorInclusaoExercicio&gt;</w:t>
      </w:r>
      <w:r w:rsidRPr="00EE0371">
        <w:rPr>
          <w:rFonts w:ascii="Arial" w:hAnsi="Arial" w:cs="Arial"/>
          <w:b/>
          <w:sz w:val="20"/>
          <w:szCs w:val="20"/>
          <w:lang w:eastAsia="pt-BR"/>
        </w:rPr>
        <w:t>99999999999999.99</w:t>
      </w:r>
      <w:r w:rsidRPr="00EE0371">
        <w:rPr>
          <w:rFonts w:ascii="Arial" w:hAnsi="Arial" w:cs="Arial"/>
          <w:sz w:val="20"/>
          <w:szCs w:val="20"/>
          <w:lang w:eastAsia="pt-BR"/>
        </w:rPr>
        <w:t xml:space="preserve">&lt;/ValorInclusaoExercicio&gt; </w:t>
      </w:r>
    </w:p>
    <w:p w14:paraId="66931E74" w14:textId="77777777" w:rsidR="00EE0371" w:rsidRPr="00EE0371" w:rsidRDefault="00EE0371" w:rsidP="00EE0371">
      <w:pPr>
        <w:spacing w:after="0" w:line="240" w:lineRule="auto"/>
        <w:ind w:firstLine="708"/>
        <w:rPr>
          <w:rFonts w:ascii="Arial" w:hAnsi="Arial" w:cs="Arial"/>
          <w:sz w:val="20"/>
          <w:szCs w:val="20"/>
          <w:lang w:eastAsia="pt-BR"/>
        </w:rPr>
      </w:pPr>
      <w:r w:rsidRPr="00EE0371">
        <w:rPr>
          <w:rFonts w:ascii="Arial" w:hAnsi="Arial" w:cs="Arial"/>
          <w:sz w:val="20"/>
          <w:szCs w:val="20"/>
          <w:lang w:eastAsia="pt-BR"/>
        </w:rPr>
        <w:t xml:space="preserve">     &lt;ValorOutroAcrescimoExercicio&gt;</w:t>
      </w:r>
      <w:r w:rsidRPr="00EE0371">
        <w:rPr>
          <w:rFonts w:ascii="Arial" w:hAnsi="Arial" w:cs="Arial"/>
          <w:b/>
          <w:sz w:val="20"/>
          <w:szCs w:val="20"/>
          <w:lang w:eastAsia="pt-BR"/>
        </w:rPr>
        <w:t>99999999999999.99</w:t>
      </w:r>
    </w:p>
    <w:p w14:paraId="35043876" w14:textId="77777777" w:rsidR="00EE0371" w:rsidRPr="00EE0371" w:rsidRDefault="00EE0371" w:rsidP="00EE0371">
      <w:pPr>
        <w:spacing w:after="0" w:line="240" w:lineRule="auto"/>
        <w:ind w:left="993" w:firstLine="1"/>
        <w:rPr>
          <w:rFonts w:ascii="Arial" w:hAnsi="Arial" w:cs="Arial"/>
          <w:sz w:val="20"/>
          <w:szCs w:val="20"/>
          <w:lang w:eastAsia="pt-BR"/>
        </w:rPr>
      </w:pPr>
      <w:r w:rsidRPr="00EE0371">
        <w:rPr>
          <w:rFonts w:ascii="Arial" w:hAnsi="Arial" w:cs="Arial"/>
          <w:sz w:val="20"/>
          <w:szCs w:val="20"/>
          <w:lang w:eastAsia="pt-BR"/>
        </w:rPr>
        <w:t xml:space="preserve">&lt;/ValorOutroAcrescimoExercicio&gt; </w:t>
      </w:r>
    </w:p>
    <w:p w14:paraId="7DF6C50E" w14:textId="77777777" w:rsidR="00EE0371" w:rsidRPr="00EE0371" w:rsidRDefault="00EE0371" w:rsidP="00EE0371">
      <w:pPr>
        <w:spacing w:after="0" w:line="240" w:lineRule="auto"/>
        <w:ind w:firstLine="708"/>
        <w:rPr>
          <w:rFonts w:ascii="Arial" w:hAnsi="Arial" w:cs="Arial"/>
          <w:sz w:val="20"/>
          <w:szCs w:val="20"/>
          <w:lang w:eastAsia="pt-BR"/>
        </w:rPr>
      </w:pPr>
      <w:r w:rsidRPr="00EE0371">
        <w:rPr>
          <w:rFonts w:ascii="Arial" w:hAnsi="Arial" w:cs="Arial"/>
          <w:sz w:val="20"/>
          <w:szCs w:val="20"/>
          <w:lang w:eastAsia="pt-BR"/>
        </w:rPr>
        <w:t xml:space="preserve">     &lt;ValorCancelamentoExercicio&gt;</w:t>
      </w:r>
      <w:r w:rsidRPr="00EE0371">
        <w:rPr>
          <w:rFonts w:ascii="Arial" w:hAnsi="Arial" w:cs="Arial"/>
          <w:b/>
          <w:sz w:val="20"/>
          <w:szCs w:val="20"/>
          <w:lang w:eastAsia="pt-BR"/>
        </w:rPr>
        <w:t>99999999999999.99</w:t>
      </w:r>
      <w:r w:rsidRPr="00EE0371">
        <w:rPr>
          <w:rFonts w:ascii="Arial" w:hAnsi="Arial" w:cs="Arial"/>
          <w:sz w:val="20"/>
          <w:szCs w:val="20"/>
          <w:lang w:eastAsia="pt-BR"/>
        </w:rPr>
        <w:t xml:space="preserve">&lt;/ValorCancelamentoExercicio&gt; </w:t>
      </w:r>
    </w:p>
    <w:p w14:paraId="7EF2A125" w14:textId="77777777" w:rsidR="00EE0371" w:rsidRPr="00EE0371" w:rsidRDefault="00EE0371" w:rsidP="00EE0371">
      <w:pPr>
        <w:spacing w:after="0" w:line="240" w:lineRule="auto"/>
        <w:ind w:firstLine="708"/>
        <w:rPr>
          <w:rFonts w:ascii="Arial" w:hAnsi="Arial" w:cs="Arial"/>
          <w:sz w:val="20"/>
          <w:szCs w:val="20"/>
          <w:lang w:eastAsia="pt-BR"/>
        </w:rPr>
      </w:pPr>
      <w:r w:rsidRPr="00EE0371">
        <w:rPr>
          <w:rFonts w:ascii="Arial" w:hAnsi="Arial" w:cs="Arial"/>
          <w:sz w:val="20"/>
          <w:szCs w:val="20"/>
          <w:lang w:eastAsia="pt-BR"/>
        </w:rPr>
        <w:t xml:space="preserve">     &lt;ValorPagamentoExercicio&gt;</w:t>
      </w:r>
      <w:r w:rsidRPr="00EE0371">
        <w:rPr>
          <w:rFonts w:ascii="Arial" w:hAnsi="Arial" w:cs="Arial"/>
          <w:b/>
          <w:sz w:val="20"/>
          <w:szCs w:val="20"/>
          <w:lang w:eastAsia="pt-BR"/>
        </w:rPr>
        <w:t>99999999999999.99</w:t>
      </w:r>
      <w:r w:rsidRPr="00EE0371">
        <w:rPr>
          <w:rFonts w:ascii="Arial" w:hAnsi="Arial" w:cs="Arial"/>
          <w:sz w:val="20"/>
          <w:szCs w:val="20"/>
          <w:lang w:eastAsia="pt-BR"/>
        </w:rPr>
        <w:t xml:space="preserve">&lt;/ValorPagamentoExercicio&gt; </w:t>
      </w:r>
    </w:p>
    <w:p w14:paraId="3D1CFA68" w14:textId="77777777" w:rsidR="00EE0371" w:rsidRPr="00EE0371" w:rsidRDefault="00EE0371" w:rsidP="00EE0371">
      <w:pPr>
        <w:spacing w:after="0" w:line="240" w:lineRule="auto"/>
        <w:ind w:firstLine="708"/>
        <w:rPr>
          <w:rFonts w:ascii="Arial" w:hAnsi="Arial" w:cs="Arial"/>
          <w:sz w:val="20"/>
          <w:szCs w:val="20"/>
          <w:lang w:eastAsia="pt-BR"/>
        </w:rPr>
      </w:pPr>
      <w:r w:rsidRPr="00EE0371">
        <w:rPr>
          <w:rFonts w:ascii="Arial" w:hAnsi="Arial" w:cs="Arial"/>
          <w:sz w:val="20"/>
          <w:szCs w:val="20"/>
          <w:lang w:eastAsia="pt-BR"/>
        </w:rPr>
        <w:t xml:space="preserve">     &lt;ValorAbatimentoCompensacao&gt;</w:t>
      </w:r>
      <w:r w:rsidRPr="00EE0371">
        <w:rPr>
          <w:rFonts w:ascii="Arial" w:hAnsi="Arial" w:cs="Arial"/>
          <w:b/>
          <w:sz w:val="20"/>
          <w:szCs w:val="20"/>
          <w:lang w:eastAsia="pt-BR"/>
        </w:rPr>
        <w:t>99999999999999.99</w:t>
      </w:r>
    </w:p>
    <w:p w14:paraId="1BBF4C43" w14:textId="77777777" w:rsidR="00EE0371" w:rsidRPr="00EE0371" w:rsidRDefault="00EE0371" w:rsidP="00EE0371">
      <w:pPr>
        <w:spacing w:after="0" w:line="240" w:lineRule="auto"/>
        <w:ind w:left="993" w:firstLine="1"/>
        <w:rPr>
          <w:rFonts w:ascii="Arial" w:hAnsi="Arial" w:cs="Arial"/>
          <w:sz w:val="20"/>
          <w:szCs w:val="20"/>
          <w:lang w:eastAsia="pt-BR"/>
        </w:rPr>
      </w:pPr>
      <w:r w:rsidRPr="00EE0371">
        <w:rPr>
          <w:rFonts w:ascii="Arial" w:hAnsi="Arial" w:cs="Arial"/>
          <w:sz w:val="20"/>
          <w:szCs w:val="20"/>
          <w:lang w:eastAsia="pt-BR"/>
        </w:rPr>
        <w:t xml:space="preserve">&lt;/ValorAbatimentoCompensacao&gt; </w:t>
      </w:r>
    </w:p>
    <w:p w14:paraId="14DD7012" w14:textId="77777777" w:rsidR="00EE0371" w:rsidRPr="00EE0371" w:rsidRDefault="00EE0371" w:rsidP="00EE0371">
      <w:pPr>
        <w:spacing w:after="0" w:line="240" w:lineRule="auto"/>
        <w:ind w:firstLine="708"/>
        <w:rPr>
          <w:rFonts w:ascii="Arial" w:hAnsi="Arial" w:cs="Arial"/>
          <w:sz w:val="20"/>
          <w:szCs w:val="20"/>
          <w:lang w:eastAsia="pt-BR"/>
        </w:rPr>
      </w:pPr>
      <w:r w:rsidRPr="00EE0371">
        <w:rPr>
          <w:rFonts w:ascii="Arial" w:hAnsi="Arial" w:cs="Arial"/>
          <w:sz w:val="20"/>
          <w:szCs w:val="20"/>
          <w:lang w:eastAsia="pt-BR"/>
        </w:rPr>
        <w:t xml:space="preserve">     &lt;ValorOutraDiminuicaoExercicio&gt;</w:t>
      </w:r>
      <w:r w:rsidRPr="00EE0371">
        <w:rPr>
          <w:rFonts w:ascii="Arial" w:hAnsi="Arial" w:cs="Arial"/>
          <w:b/>
          <w:sz w:val="20"/>
          <w:szCs w:val="20"/>
          <w:lang w:eastAsia="pt-BR"/>
        </w:rPr>
        <w:t>99999999999999.99</w:t>
      </w:r>
    </w:p>
    <w:p w14:paraId="0E213231" w14:textId="77777777" w:rsidR="00EE0371" w:rsidRPr="00EE0371" w:rsidRDefault="00EE0371" w:rsidP="00EE0371">
      <w:pPr>
        <w:spacing w:after="0" w:line="240" w:lineRule="auto"/>
        <w:ind w:left="993" w:firstLine="1"/>
        <w:rPr>
          <w:rFonts w:ascii="Arial" w:hAnsi="Arial" w:cs="Arial"/>
          <w:sz w:val="20"/>
          <w:szCs w:val="20"/>
          <w:lang w:eastAsia="pt-BR"/>
        </w:rPr>
      </w:pPr>
      <w:r w:rsidRPr="00EE0371">
        <w:rPr>
          <w:rFonts w:ascii="Arial" w:hAnsi="Arial" w:cs="Arial"/>
          <w:sz w:val="20"/>
          <w:szCs w:val="20"/>
          <w:lang w:eastAsia="pt-BR"/>
        </w:rPr>
        <w:t xml:space="preserve">&lt;/ValorOutraDiminuicaoExercicio&gt; </w:t>
      </w:r>
    </w:p>
    <w:p w14:paraId="2A8F3880" w14:textId="77777777" w:rsidR="00EE0371" w:rsidRPr="00EE0371" w:rsidRDefault="00EE0371" w:rsidP="00EE0371">
      <w:pPr>
        <w:spacing w:after="0" w:line="240" w:lineRule="auto"/>
        <w:ind w:firstLine="708"/>
        <w:rPr>
          <w:rFonts w:ascii="Arial" w:hAnsi="Arial" w:cs="Arial"/>
          <w:sz w:val="20"/>
          <w:szCs w:val="20"/>
          <w:lang w:eastAsia="pt-BR"/>
        </w:rPr>
      </w:pPr>
      <w:r w:rsidRPr="00EE0371">
        <w:rPr>
          <w:rFonts w:ascii="Arial" w:hAnsi="Arial" w:cs="Arial"/>
          <w:sz w:val="20"/>
          <w:szCs w:val="20"/>
          <w:lang w:eastAsia="pt-BR"/>
        </w:rPr>
        <w:t xml:space="preserve">     &lt;SaldoAtualizadoPrecatorioFinalExercicioAtual&gt;</w:t>
      </w:r>
      <w:r w:rsidRPr="00EE0371">
        <w:rPr>
          <w:rFonts w:ascii="Arial" w:hAnsi="Arial" w:cs="Arial"/>
          <w:b/>
          <w:sz w:val="20"/>
          <w:szCs w:val="20"/>
          <w:lang w:eastAsia="pt-BR"/>
        </w:rPr>
        <w:t>99999999999999.99</w:t>
      </w:r>
    </w:p>
    <w:p w14:paraId="537750E7" w14:textId="77777777" w:rsidR="00EE0371" w:rsidRPr="00EE0371" w:rsidRDefault="00EE0371" w:rsidP="00EE0371">
      <w:pPr>
        <w:spacing w:after="0" w:line="240" w:lineRule="auto"/>
        <w:ind w:left="993" w:firstLine="1"/>
        <w:rPr>
          <w:rFonts w:ascii="Arial" w:hAnsi="Arial" w:cs="Arial"/>
          <w:sz w:val="20"/>
          <w:szCs w:val="20"/>
          <w:lang w:eastAsia="pt-BR"/>
        </w:rPr>
      </w:pPr>
      <w:r w:rsidRPr="00EE0371">
        <w:rPr>
          <w:rFonts w:ascii="Arial" w:hAnsi="Arial" w:cs="Arial"/>
          <w:sz w:val="20"/>
          <w:szCs w:val="20"/>
          <w:lang w:eastAsia="pt-BR"/>
        </w:rPr>
        <w:t xml:space="preserve">&lt;/SaldoAtualizadoPrecatorioFinalExercicioAtual&gt; </w:t>
      </w:r>
    </w:p>
    <w:p w14:paraId="236795EC" w14:textId="77777777" w:rsidR="00EE0371" w:rsidRPr="00EE0371" w:rsidRDefault="00EE0371" w:rsidP="00EE0371">
      <w:pPr>
        <w:spacing w:after="0" w:line="240" w:lineRule="auto"/>
        <w:ind w:firstLine="708"/>
        <w:rPr>
          <w:rFonts w:ascii="Arial" w:hAnsi="Arial" w:cs="Arial"/>
          <w:sz w:val="20"/>
          <w:szCs w:val="20"/>
          <w:lang w:eastAsia="pt-BR"/>
        </w:rPr>
      </w:pPr>
      <w:r w:rsidRPr="00EE0371">
        <w:rPr>
          <w:rFonts w:ascii="Arial" w:hAnsi="Arial" w:cs="Arial"/>
          <w:sz w:val="20"/>
          <w:szCs w:val="20"/>
          <w:lang w:eastAsia="pt-BR"/>
        </w:rPr>
        <w:t>&lt;/RelacaoConsolidadaPrecatorio&gt;</w:t>
      </w:r>
    </w:p>
    <w:p w14:paraId="57EF36B4" w14:textId="77777777" w:rsidR="00EE0371" w:rsidRPr="00EE0371" w:rsidRDefault="00EE0371" w:rsidP="00EE0371">
      <w:pPr>
        <w:spacing w:after="0" w:line="240" w:lineRule="auto"/>
        <w:ind w:firstLine="708"/>
        <w:rPr>
          <w:rFonts w:ascii="Arial" w:hAnsi="Arial" w:cs="Arial"/>
          <w:sz w:val="20"/>
          <w:szCs w:val="20"/>
          <w:lang w:eastAsia="pt-BR"/>
        </w:rPr>
      </w:pPr>
    </w:p>
    <w:p w14:paraId="0F128B88" w14:textId="77777777" w:rsidR="00EE0371" w:rsidRPr="00EE0371" w:rsidRDefault="00EE0371" w:rsidP="00EE0371">
      <w:pPr>
        <w:spacing w:after="0" w:line="240" w:lineRule="auto"/>
        <w:rPr>
          <w:rFonts w:ascii="Arial" w:hAnsi="Arial" w:cs="Arial"/>
          <w:sz w:val="20"/>
          <w:szCs w:val="20"/>
          <w:lang w:eastAsia="pt-BR"/>
        </w:rPr>
      </w:pPr>
      <w:r w:rsidRPr="00EE0371">
        <w:rPr>
          <w:rFonts w:ascii="Arial" w:hAnsi="Arial" w:cs="Arial"/>
          <w:sz w:val="20"/>
          <w:szCs w:val="20"/>
          <w:lang w:eastAsia="pt-BR"/>
        </w:rPr>
        <w:t xml:space="preserve">     &lt;/RelacaoConsolidadaPrecatorio_Schema&gt;</w:t>
      </w:r>
    </w:p>
    <w:p w14:paraId="557FA8B6" w14:textId="77777777" w:rsidR="00EE0371" w:rsidRPr="00EE0371" w:rsidRDefault="00EE0371" w:rsidP="00EE0371">
      <w:pPr>
        <w:spacing w:after="0" w:line="240" w:lineRule="auto"/>
        <w:rPr>
          <w:rFonts w:ascii="Arial" w:hAnsi="Arial" w:cs="Arial"/>
          <w:sz w:val="20"/>
          <w:szCs w:val="20"/>
          <w:lang w:eastAsia="pt-BR"/>
        </w:rPr>
      </w:pPr>
      <w:r w:rsidRPr="00EE0371">
        <w:rPr>
          <w:rFonts w:ascii="Arial" w:hAnsi="Arial" w:cs="Arial"/>
          <w:sz w:val="20"/>
          <w:szCs w:val="20"/>
          <w:lang w:eastAsia="pt-BR"/>
        </w:rPr>
        <w:t>&lt;/PrestacaoContasAnual&gt;</w:t>
      </w:r>
    </w:p>
    <w:p w14:paraId="1D7832D3" w14:textId="77777777" w:rsidR="00EE0371" w:rsidRPr="001D18FF" w:rsidRDefault="00EE0371" w:rsidP="00EE0371">
      <w:pPr>
        <w:rPr>
          <w:rFonts w:ascii="Arial" w:hAnsi="Arial" w:cs="Arial"/>
          <w:b/>
          <w:sz w:val="20"/>
          <w:szCs w:val="20"/>
        </w:rPr>
      </w:pPr>
    </w:p>
    <w:tbl>
      <w:tblPr>
        <w:tblW w:w="904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390"/>
        <w:gridCol w:w="1133"/>
        <w:gridCol w:w="1507"/>
        <w:gridCol w:w="3016"/>
      </w:tblGrid>
      <w:tr w:rsidR="00EE0371" w:rsidRPr="00EE0371" w14:paraId="4262C441" w14:textId="77777777" w:rsidTr="00292A50">
        <w:trPr>
          <w:tblHeader/>
          <w:jc w:val="center"/>
        </w:trPr>
        <w:tc>
          <w:tcPr>
            <w:tcW w:w="3390" w:type="dxa"/>
            <w:tcBorders>
              <w:bottom w:val="single" w:sz="6" w:space="0" w:color="auto"/>
            </w:tcBorders>
            <w:shd w:val="solid" w:color="C0C0C0" w:fill="auto"/>
            <w:vAlign w:val="center"/>
          </w:tcPr>
          <w:p w14:paraId="274280ED" w14:textId="77777777" w:rsidR="00EE0371" w:rsidRPr="00EE0371" w:rsidRDefault="00EE0371" w:rsidP="00EE0371">
            <w:pPr>
              <w:spacing w:before="120" w:after="120" w:line="240" w:lineRule="auto"/>
              <w:jc w:val="center"/>
              <w:rPr>
                <w:rFonts w:ascii="Arial" w:hAnsi="Arial" w:cs="Arial"/>
                <w:b/>
                <w:sz w:val="20"/>
                <w:szCs w:val="20"/>
              </w:rPr>
            </w:pPr>
            <w:r w:rsidRPr="00EE0371">
              <w:rPr>
                <w:rFonts w:ascii="Arial" w:hAnsi="Arial"/>
                <w:b/>
                <w:bCs/>
              </w:rPr>
              <w:br w:type="page"/>
            </w:r>
            <w:r w:rsidRPr="00EE0371">
              <w:rPr>
                <w:rFonts w:ascii="Arial" w:hAnsi="Arial" w:cs="Arial"/>
                <w:b/>
                <w:sz w:val="20"/>
                <w:szCs w:val="20"/>
              </w:rPr>
              <w:t>Campo</w:t>
            </w:r>
          </w:p>
        </w:tc>
        <w:tc>
          <w:tcPr>
            <w:tcW w:w="1133" w:type="dxa"/>
            <w:tcBorders>
              <w:bottom w:val="single" w:sz="6" w:space="0" w:color="auto"/>
            </w:tcBorders>
            <w:shd w:val="solid" w:color="C0C0C0" w:fill="auto"/>
            <w:vAlign w:val="center"/>
          </w:tcPr>
          <w:p w14:paraId="3D58C762" w14:textId="77777777" w:rsidR="00EE0371" w:rsidRPr="00EE0371" w:rsidRDefault="00EE0371" w:rsidP="00EE0371">
            <w:pPr>
              <w:spacing w:before="120" w:after="120" w:line="240" w:lineRule="auto"/>
              <w:jc w:val="center"/>
              <w:rPr>
                <w:rFonts w:ascii="Arial" w:hAnsi="Arial" w:cs="Arial"/>
                <w:b/>
                <w:sz w:val="20"/>
                <w:szCs w:val="20"/>
              </w:rPr>
            </w:pPr>
            <w:r w:rsidRPr="00EE0371">
              <w:rPr>
                <w:rFonts w:ascii="Arial" w:hAnsi="Arial" w:cs="Arial"/>
                <w:b/>
                <w:sz w:val="20"/>
                <w:szCs w:val="20"/>
              </w:rPr>
              <w:t>Tipo</w:t>
            </w:r>
          </w:p>
        </w:tc>
        <w:tc>
          <w:tcPr>
            <w:tcW w:w="1507" w:type="dxa"/>
            <w:tcBorders>
              <w:bottom w:val="single" w:sz="6" w:space="0" w:color="auto"/>
            </w:tcBorders>
            <w:shd w:val="solid" w:color="C0C0C0" w:fill="auto"/>
            <w:vAlign w:val="center"/>
          </w:tcPr>
          <w:p w14:paraId="11E5D8CA" w14:textId="77777777" w:rsidR="00EE0371" w:rsidRPr="00EE0371" w:rsidRDefault="00EE0371" w:rsidP="00EE0371">
            <w:pPr>
              <w:spacing w:before="120" w:after="120" w:line="240" w:lineRule="auto"/>
              <w:jc w:val="center"/>
              <w:rPr>
                <w:rFonts w:ascii="Arial" w:hAnsi="Arial" w:cs="Arial"/>
                <w:b/>
                <w:sz w:val="20"/>
                <w:szCs w:val="20"/>
              </w:rPr>
            </w:pPr>
            <w:r w:rsidRPr="00EE0371">
              <w:rPr>
                <w:rFonts w:ascii="Arial" w:hAnsi="Arial" w:cs="Arial"/>
                <w:b/>
                <w:sz w:val="20"/>
                <w:szCs w:val="20"/>
              </w:rPr>
              <w:t>Tamanho</w:t>
            </w:r>
          </w:p>
        </w:tc>
        <w:tc>
          <w:tcPr>
            <w:tcW w:w="3016" w:type="dxa"/>
            <w:tcBorders>
              <w:bottom w:val="single" w:sz="6" w:space="0" w:color="auto"/>
            </w:tcBorders>
            <w:shd w:val="solid" w:color="C0C0C0" w:fill="auto"/>
            <w:vAlign w:val="center"/>
          </w:tcPr>
          <w:p w14:paraId="39BA7D39" w14:textId="77777777" w:rsidR="00EE0371" w:rsidRPr="00EE0371" w:rsidRDefault="00EE0371" w:rsidP="00EE0371">
            <w:pPr>
              <w:spacing w:before="120" w:after="120" w:line="240" w:lineRule="auto"/>
              <w:jc w:val="center"/>
              <w:rPr>
                <w:rFonts w:ascii="Arial" w:hAnsi="Arial" w:cs="Arial"/>
                <w:b/>
                <w:sz w:val="20"/>
                <w:szCs w:val="20"/>
              </w:rPr>
            </w:pPr>
            <w:r w:rsidRPr="00EE0371">
              <w:rPr>
                <w:rFonts w:ascii="Arial" w:hAnsi="Arial" w:cs="Arial"/>
                <w:b/>
                <w:sz w:val="20"/>
                <w:szCs w:val="20"/>
              </w:rPr>
              <w:t>Obrigatoriedade</w:t>
            </w:r>
          </w:p>
        </w:tc>
      </w:tr>
      <w:tr w:rsidR="00EE0371" w:rsidRPr="00EE0371" w14:paraId="1481015B" w14:textId="77777777" w:rsidTr="00292A50">
        <w:trPr>
          <w:jc w:val="center"/>
        </w:trPr>
        <w:tc>
          <w:tcPr>
            <w:tcW w:w="9046" w:type="dxa"/>
            <w:gridSpan w:val="4"/>
            <w:shd w:val="solid" w:color="BFBFBF" w:themeColor="background1" w:themeShade="BF" w:fill="auto"/>
            <w:vAlign w:val="center"/>
          </w:tcPr>
          <w:p w14:paraId="620FD591" w14:textId="77777777" w:rsidR="00EE0371" w:rsidRPr="00EE0371" w:rsidRDefault="00EE0371" w:rsidP="00EE0371">
            <w:pPr>
              <w:spacing w:before="120" w:after="120" w:line="240" w:lineRule="auto"/>
              <w:jc w:val="center"/>
              <w:rPr>
                <w:rFonts w:ascii="Arial" w:hAnsi="Arial" w:cs="Arial"/>
                <w:color w:val="FF0000"/>
                <w:sz w:val="20"/>
                <w:szCs w:val="20"/>
              </w:rPr>
            </w:pPr>
            <w:r w:rsidRPr="00EE0371">
              <w:rPr>
                <w:rFonts w:ascii="Arial" w:hAnsi="Arial" w:cs="Arial"/>
                <w:b/>
                <w:sz w:val="20"/>
                <w:szCs w:val="20"/>
              </w:rPr>
              <w:t>Estrutura ‘RelacaoConsolidadaPrecatorio’</w:t>
            </w:r>
          </w:p>
        </w:tc>
      </w:tr>
      <w:tr w:rsidR="00EE0371" w:rsidRPr="00EE0371" w14:paraId="1FE73B2B" w14:textId="77777777" w:rsidTr="00292A50">
        <w:trPr>
          <w:trHeight w:val="310"/>
          <w:jc w:val="center"/>
        </w:trPr>
        <w:tc>
          <w:tcPr>
            <w:tcW w:w="3390" w:type="dxa"/>
            <w:vAlign w:val="center"/>
          </w:tcPr>
          <w:p w14:paraId="341DC631"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Identificação do Numero do Registro</w:t>
            </w:r>
          </w:p>
        </w:tc>
        <w:tc>
          <w:tcPr>
            <w:tcW w:w="1133" w:type="dxa"/>
            <w:vAlign w:val="center"/>
          </w:tcPr>
          <w:p w14:paraId="7549203C"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Inteiro</w:t>
            </w:r>
          </w:p>
        </w:tc>
        <w:tc>
          <w:tcPr>
            <w:tcW w:w="1507" w:type="dxa"/>
            <w:vAlign w:val="center"/>
          </w:tcPr>
          <w:p w14:paraId="1166A738"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5</w:t>
            </w:r>
          </w:p>
        </w:tc>
        <w:tc>
          <w:tcPr>
            <w:tcW w:w="3016" w:type="dxa"/>
            <w:vAlign w:val="center"/>
          </w:tcPr>
          <w:p w14:paraId="2A29C7EB"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Obrigatório</w:t>
            </w:r>
          </w:p>
        </w:tc>
      </w:tr>
      <w:tr w:rsidR="00292A50" w:rsidRPr="00292A50" w14:paraId="78CEB941" w14:textId="77777777" w:rsidTr="00292A50">
        <w:trPr>
          <w:jc w:val="center"/>
        </w:trPr>
        <w:tc>
          <w:tcPr>
            <w:tcW w:w="3390" w:type="dxa"/>
            <w:vAlign w:val="center"/>
          </w:tcPr>
          <w:p w14:paraId="04D5AE53" w14:textId="77777777" w:rsidR="00292A50" w:rsidRPr="000D3464" w:rsidRDefault="00292A50" w:rsidP="00EE0371">
            <w:pPr>
              <w:spacing w:after="0" w:line="360" w:lineRule="auto"/>
              <w:jc w:val="both"/>
              <w:rPr>
                <w:rFonts w:ascii="Arial" w:hAnsi="Arial" w:cs="Arial"/>
                <w:sz w:val="20"/>
                <w:szCs w:val="20"/>
              </w:rPr>
            </w:pPr>
            <w:r w:rsidRPr="000D3464">
              <w:rPr>
                <w:rFonts w:ascii="Arial" w:eastAsia="Times New Roman" w:hAnsi="Arial" w:cs="Arial"/>
                <w:sz w:val="20"/>
                <w:szCs w:val="20"/>
                <w:lang w:eastAsia="pt-BR"/>
              </w:rPr>
              <w:t>Código da Unidade Gestora</w:t>
            </w:r>
            <w:r w:rsidR="005D4EB0">
              <w:rPr>
                <w:rFonts w:ascii="Arial" w:eastAsia="Times New Roman" w:hAnsi="Arial" w:cs="Arial"/>
                <w:sz w:val="20"/>
                <w:szCs w:val="20"/>
                <w:lang w:eastAsia="pt-BR"/>
              </w:rPr>
              <w:t xml:space="preserve"> </w:t>
            </w:r>
            <w:r w:rsidR="005D4EB0" w:rsidRPr="005D4EB0">
              <w:rPr>
                <w:rFonts w:ascii="Arial" w:eastAsia="Times New Roman" w:hAnsi="Arial" w:cs="Arial"/>
                <w:sz w:val="20"/>
                <w:szCs w:val="20"/>
                <w:vertAlign w:val="superscript"/>
                <w:lang w:eastAsia="pt-BR"/>
              </w:rPr>
              <w:t>[1]</w:t>
            </w:r>
          </w:p>
        </w:tc>
        <w:tc>
          <w:tcPr>
            <w:tcW w:w="1133" w:type="dxa"/>
            <w:vAlign w:val="center"/>
          </w:tcPr>
          <w:p w14:paraId="148D677E" w14:textId="77777777" w:rsidR="00292A50" w:rsidRPr="000D3464" w:rsidRDefault="00292A50" w:rsidP="00EE0371">
            <w:pPr>
              <w:spacing w:after="0" w:line="360" w:lineRule="auto"/>
              <w:jc w:val="center"/>
              <w:rPr>
                <w:rFonts w:ascii="Arial" w:hAnsi="Arial" w:cs="Arial"/>
                <w:sz w:val="20"/>
                <w:szCs w:val="20"/>
              </w:rPr>
            </w:pPr>
            <w:r w:rsidRPr="000D3464">
              <w:rPr>
                <w:rFonts w:ascii="Arial" w:eastAsia="Times New Roman" w:hAnsi="Arial" w:cs="Arial"/>
                <w:sz w:val="20"/>
                <w:szCs w:val="20"/>
                <w:lang w:eastAsia="pt-BR"/>
              </w:rPr>
              <w:t>Caracter</w:t>
            </w:r>
          </w:p>
        </w:tc>
        <w:tc>
          <w:tcPr>
            <w:tcW w:w="1507" w:type="dxa"/>
            <w:vAlign w:val="center"/>
          </w:tcPr>
          <w:p w14:paraId="0FC80F3D" w14:textId="77777777" w:rsidR="00292A50" w:rsidRPr="000D3464" w:rsidRDefault="00292A50" w:rsidP="00EE0371">
            <w:pPr>
              <w:spacing w:after="0" w:line="360" w:lineRule="auto"/>
              <w:jc w:val="center"/>
              <w:rPr>
                <w:rFonts w:ascii="Arial" w:hAnsi="Arial" w:cs="Arial"/>
                <w:sz w:val="20"/>
                <w:szCs w:val="20"/>
              </w:rPr>
            </w:pPr>
            <w:r w:rsidRPr="000D3464">
              <w:rPr>
                <w:rFonts w:ascii="Arial" w:hAnsi="Arial" w:cs="Arial"/>
                <w:sz w:val="20"/>
                <w:szCs w:val="20"/>
              </w:rPr>
              <w:t>11</w:t>
            </w:r>
          </w:p>
        </w:tc>
        <w:tc>
          <w:tcPr>
            <w:tcW w:w="3016" w:type="dxa"/>
            <w:vAlign w:val="center"/>
          </w:tcPr>
          <w:p w14:paraId="08FD4F0F" w14:textId="77777777" w:rsidR="00292A50" w:rsidRPr="000D3464" w:rsidRDefault="00292A50" w:rsidP="00EE0371">
            <w:pPr>
              <w:spacing w:after="0" w:line="360" w:lineRule="auto"/>
              <w:jc w:val="both"/>
              <w:rPr>
                <w:rFonts w:ascii="Arial" w:hAnsi="Arial" w:cs="Arial"/>
                <w:sz w:val="20"/>
                <w:szCs w:val="20"/>
              </w:rPr>
            </w:pPr>
            <w:r w:rsidRPr="000D3464">
              <w:rPr>
                <w:rFonts w:ascii="Arial" w:eastAsia="Times New Roman" w:hAnsi="Arial" w:cs="Arial"/>
                <w:sz w:val="20"/>
                <w:szCs w:val="20"/>
                <w:lang w:eastAsia="pt-BR"/>
              </w:rPr>
              <w:t>Obrigatório conforme codificação do TCEES</w:t>
            </w:r>
          </w:p>
        </w:tc>
      </w:tr>
      <w:tr w:rsidR="00EE0371" w:rsidRPr="00EE0371" w14:paraId="61AB0B46" w14:textId="77777777" w:rsidTr="00292A50">
        <w:trPr>
          <w:jc w:val="center"/>
        </w:trPr>
        <w:tc>
          <w:tcPr>
            <w:tcW w:w="3390" w:type="dxa"/>
            <w:vAlign w:val="center"/>
          </w:tcPr>
          <w:p w14:paraId="2DA5E568"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Ordem Cronológica de Pagamento</w:t>
            </w:r>
          </w:p>
        </w:tc>
        <w:tc>
          <w:tcPr>
            <w:tcW w:w="1133" w:type="dxa"/>
            <w:vAlign w:val="center"/>
          </w:tcPr>
          <w:p w14:paraId="505E84BF"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Caracter</w:t>
            </w:r>
          </w:p>
        </w:tc>
        <w:tc>
          <w:tcPr>
            <w:tcW w:w="1507" w:type="dxa"/>
            <w:vAlign w:val="center"/>
          </w:tcPr>
          <w:p w14:paraId="5517758B"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8</w:t>
            </w:r>
          </w:p>
        </w:tc>
        <w:tc>
          <w:tcPr>
            <w:tcW w:w="3016" w:type="dxa"/>
            <w:vAlign w:val="center"/>
          </w:tcPr>
          <w:p w14:paraId="00052D64"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Obrigatório</w:t>
            </w:r>
          </w:p>
        </w:tc>
      </w:tr>
      <w:tr w:rsidR="00EE0371" w:rsidRPr="00EE0371" w14:paraId="52C96308" w14:textId="77777777" w:rsidTr="00292A50">
        <w:trPr>
          <w:jc w:val="center"/>
        </w:trPr>
        <w:tc>
          <w:tcPr>
            <w:tcW w:w="3390" w:type="dxa"/>
            <w:vAlign w:val="center"/>
          </w:tcPr>
          <w:p w14:paraId="79DC743D"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Tribunal de Origem</w:t>
            </w:r>
          </w:p>
        </w:tc>
        <w:tc>
          <w:tcPr>
            <w:tcW w:w="1133" w:type="dxa"/>
            <w:vAlign w:val="center"/>
          </w:tcPr>
          <w:p w14:paraId="196440DF"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Caracter</w:t>
            </w:r>
          </w:p>
        </w:tc>
        <w:tc>
          <w:tcPr>
            <w:tcW w:w="1507" w:type="dxa"/>
            <w:vAlign w:val="center"/>
          </w:tcPr>
          <w:p w14:paraId="36197677"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80</w:t>
            </w:r>
          </w:p>
        </w:tc>
        <w:tc>
          <w:tcPr>
            <w:tcW w:w="3016" w:type="dxa"/>
            <w:vAlign w:val="center"/>
          </w:tcPr>
          <w:p w14:paraId="09E289B4"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 xml:space="preserve">Obrigatório </w:t>
            </w:r>
          </w:p>
        </w:tc>
      </w:tr>
      <w:tr w:rsidR="00EE0371" w:rsidRPr="00EE0371" w14:paraId="3545A80E" w14:textId="77777777" w:rsidTr="00292A50">
        <w:trPr>
          <w:jc w:val="center"/>
        </w:trPr>
        <w:tc>
          <w:tcPr>
            <w:tcW w:w="3390" w:type="dxa"/>
            <w:vAlign w:val="center"/>
          </w:tcPr>
          <w:p w14:paraId="12E8FCEE"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lastRenderedPageBreak/>
              <w:t>Nº da Ação</w:t>
            </w:r>
          </w:p>
        </w:tc>
        <w:tc>
          <w:tcPr>
            <w:tcW w:w="1133" w:type="dxa"/>
            <w:vAlign w:val="center"/>
          </w:tcPr>
          <w:p w14:paraId="0F3BF3D5"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Caracter</w:t>
            </w:r>
          </w:p>
        </w:tc>
        <w:tc>
          <w:tcPr>
            <w:tcW w:w="1507" w:type="dxa"/>
            <w:vAlign w:val="center"/>
          </w:tcPr>
          <w:p w14:paraId="0A05DCCB"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30</w:t>
            </w:r>
          </w:p>
        </w:tc>
        <w:tc>
          <w:tcPr>
            <w:tcW w:w="3016" w:type="dxa"/>
            <w:vAlign w:val="center"/>
          </w:tcPr>
          <w:p w14:paraId="1DF403E2"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Obrigatório</w:t>
            </w:r>
          </w:p>
        </w:tc>
      </w:tr>
      <w:tr w:rsidR="00EE0371" w:rsidRPr="00EE0371" w14:paraId="0471E1AE" w14:textId="77777777" w:rsidTr="00292A50">
        <w:trPr>
          <w:jc w:val="center"/>
        </w:trPr>
        <w:tc>
          <w:tcPr>
            <w:tcW w:w="3390" w:type="dxa"/>
            <w:vAlign w:val="center"/>
          </w:tcPr>
          <w:p w14:paraId="4C4CE858"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Data do Ajuizamento</w:t>
            </w:r>
          </w:p>
        </w:tc>
        <w:tc>
          <w:tcPr>
            <w:tcW w:w="1133" w:type="dxa"/>
            <w:vAlign w:val="center"/>
          </w:tcPr>
          <w:p w14:paraId="3D7A47D8"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Data</w:t>
            </w:r>
          </w:p>
        </w:tc>
        <w:tc>
          <w:tcPr>
            <w:tcW w:w="1507" w:type="dxa"/>
            <w:vAlign w:val="center"/>
          </w:tcPr>
          <w:p w14:paraId="1722F513"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10</w:t>
            </w:r>
          </w:p>
        </w:tc>
        <w:tc>
          <w:tcPr>
            <w:tcW w:w="3016" w:type="dxa"/>
            <w:vAlign w:val="center"/>
          </w:tcPr>
          <w:p w14:paraId="332097F2"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 xml:space="preserve">Obrigatório, </w:t>
            </w:r>
            <w:r w:rsidRPr="00EE0371">
              <w:rPr>
                <w:rFonts w:ascii="Arial" w:hAnsi="Arial" w:cs="Arial"/>
              </w:rPr>
              <w:t>AAAA-MM-DD</w:t>
            </w:r>
          </w:p>
        </w:tc>
      </w:tr>
      <w:tr w:rsidR="00EE0371" w:rsidRPr="00EE0371" w14:paraId="26B27C80" w14:textId="77777777" w:rsidTr="00292A50">
        <w:trPr>
          <w:jc w:val="center"/>
        </w:trPr>
        <w:tc>
          <w:tcPr>
            <w:tcW w:w="3390" w:type="dxa"/>
            <w:vAlign w:val="center"/>
          </w:tcPr>
          <w:p w14:paraId="1FEB7D9F"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Data de apresentação do precatório à entidade</w:t>
            </w:r>
          </w:p>
        </w:tc>
        <w:tc>
          <w:tcPr>
            <w:tcW w:w="1133" w:type="dxa"/>
            <w:vAlign w:val="center"/>
          </w:tcPr>
          <w:p w14:paraId="283EF316"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Data</w:t>
            </w:r>
          </w:p>
        </w:tc>
        <w:tc>
          <w:tcPr>
            <w:tcW w:w="1507" w:type="dxa"/>
            <w:vAlign w:val="center"/>
          </w:tcPr>
          <w:p w14:paraId="120060EC"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10</w:t>
            </w:r>
          </w:p>
        </w:tc>
        <w:tc>
          <w:tcPr>
            <w:tcW w:w="3016" w:type="dxa"/>
            <w:vAlign w:val="center"/>
          </w:tcPr>
          <w:p w14:paraId="3392ED9D"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 xml:space="preserve">Obrigatório, </w:t>
            </w:r>
            <w:r w:rsidRPr="00EE0371">
              <w:rPr>
                <w:rFonts w:ascii="Arial" w:hAnsi="Arial" w:cs="Arial"/>
              </w:rPr>
              <w:t>AAAA-MM-DD</w:t>
            </w:r>
          </w:p>
        </w:tc>
      </w:tr>
      <w:tr w:rsidR="00EE0371" w:rsidRPr="00EE0371" w14:paraId="5E526F41" w14:textId="77777777" w:rsidTr="00292A50">
        <w:trPr>
          <w:jc w:val="center"/>
        </w:trPr>
        <w:tc>
          <w:tcPr>
            <w:tcW w:w="3390" w:type="dxa"/>
            <w:vAlign w:val="center"/>
          </w:tcPr>
          <w:p w14:paraId="285EF386"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Nº do Precatório</w:t>
            </w:r>
          </w:p>
        </w:tc>
        <w:tc>
          <w:tcPr>
            <w:tcW w:w="1133" w:type="dxa"/>
            <w:vAlign w:val="center"/>
          </w:tcPr>
          <w:p w14:paraId="5DB117EC"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Caracter</w:t>
            </w:r>
          </w:p>
        </w:tc>
        <w:tc>
          <w:tcPr>
            <w:tcW w:w="1507" w:type="dxa"/>
            <w:vAlign w:val="center"/>
          </w:tcPr>
          <w:p w14:paraId="6DEF9412"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30</w:t>
            </w:r>
          </w:p>
        </w:tc>
        <w:tc>
          <w:tcPr>
            <w:tcW w:w="3016" w:type="dxa"/>
            <w:vAlign w:val="center"/>
          </w:tcPr>
          <w:p w14:paraId="1B10607E"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Obrigatório</w:t>
            </w:r>
          </w:p>
        </w:tc>
      </w:tr>
      <w:tr w:rsidR="00EE0371" w:rsidRPr="00EE0371" w14:paraId="0F5898BE" w14:textId="77777777" w:rsidTr="00292A50">
        <w:trPr>
          <w:jc w:val="center"/>
        </w:trPr>
        <w:tc>
          <w:tcPr>
            <w:tcW w:w="3390" w:type="dxa"/>
            <w:vAlign w:val="center"/>
          </w:tcPr>
          <w:p w14:paraId="1B82F445"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Natureza do Precatório</w:t>
            </w:r>
          </w:p>
        </w:tc>
        <w:tc>
          <w:tcPr>
            <w:tcW w:w="1133" w:type="dxa"/>
            <w:vAlign w:val="center"/>
          </w:tcPr>
          <w:p w14:paraId="09E1C4E0"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Inteiro</w:t>
            </w:r>
          </w:p>
        </w:tc>
        <w:tc>
          <w:tcPr>
            <w:tcW w:w="1507" w:type="dxa"/>
            <w:vAlign w:val="center"/>
          </w:tcPr>
          <w:p w14:paraId="354A75A1"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1</w:t>
            </w:r>
          </w:p>
        </w:tc>
        <w:tc>
          <w:tcPr>
            <w:tcW w:w="3016" w:type="dxa"/>
            <w:vAlign w:val="center"/>
          </w:tcPr>
          <w:p w14:paraId="048F7A6F" w14:textId="77777777" w:rsidR="00EE0371" w:rsidRPr="00EE0371" w:rsidRDefault="00EE0371" w:rsidP="000D3464">
            <w:pPr>
              <w:spacing w:after="0" w:line="360" w:lineRule="auto"/>
              <w:rPr>
                <w:rFonts w:ascii="Arial" w:hAnsi="Arial" w:cs="Arial"/>
                <w:sz w:val="20"/>
                <w:szCs w:val="20"/>
              </w:rPr>
            </w:pPr>
            <w:r w:rsidRPr="00EE0371">
              <w:rPr>
                <w:rFonts w:ascii="Arial" w:hAnsi="Arial" w:cs="Arial"/>
                <w:sz w:val="20"/>
                <w:szCs w:val="20"/>
              </w:rPr>
              <w:t>Obrigatório:</w:t>
            </w:r>
            <w:r w:rsidRPr="00EE0371">
              <w:rPr>
                <w:rFonts w:ascii="Arial" w:hAnsi="Arial" w:cs="Arial"/>
                <w:sz w:val="20"/>
                <w:szCs w:val="20"/>
              </w:rPr>
              <w:br/>
              <w:t>1 - Alimentícia (&gt; 60 anos e portadores de doença grave)</w:t>
            </w:r>
            <w:r w:rsidRPr="00EE0371">
              <w:rPr>
                <w:rFonts w:ascii="Arial" w:hAnsi="Arial" w:cs="Arial"/>
                <w:sz w:val="20"/>
                <w:szCs w:val="20"/>
              </w:rPr>
              <w:br/>
              <w:t>2 - Alimentícia (outros)</w:t>
            </w:r>
            <w:r w:rsidRPr="00EE0371">
              <w:rPr>
                <w:rFonts w:ascii="Arial" w:hAnsi="Arial" w:cs="Arial"/>
                <w:sz w:val="20"/>
                <w:szCs w:val="20"/>
              </w:rPr>
              <w:br/>
              <w:t>3 - Natureza Comum</w:t>
            </w:r>
            <w:r w:rsidRPr="00EE0371">
              <w:rPr>
                <w:rFonts w:ascii="Arial" w:hAnsi="Arial" w:cs="Arial"/>
                <w:sz w:val="20"/>
                <w:szCs w:val="20"/>
              </w:rPr>
              <w:br/>
              <w:t>4 - Outras Espécies</w:t>
            </w:r>
          </w:p>
        </w:tc>
      </w:tr>
      <w:tr w:rsidR="00EE0371" w:rsidRPr="00EE0371" w14:paraId="6FB83177" w14:textId="77777777" w:rsidTr="00292A50">
        <w:trPr>
          <w:jc w:val="center"/>
        </w:trPr>
        <w:tc>
          <w:tcPr>
            <w:tcW w:w="3390" w:type="dxa"/>
            <w:vAlign w:val="center"/>
          </w:tcPr>
          <w:p w14:paraId="54E86F23"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CPF/CNPJ do Beneficiário</w:t>
            </w:r>
          </w:p>
        </w:tc>
        <w:tc>
          <w:tcPr>
            <w:tcW w:w="1133" w:type="dxa"/>
            <w:vAlign w:val="center"/>
          </w:tcPr>
          <w:p w14:paraId="73FC81CE"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Caracter</w:t>
            </w:r>
          </w:p>
        </w:tc>
        <w:tc>
          <w:tcPr>
            <w:tcW w:w="1507" w:type="dxa"/>
            <w:vAlign w:val="center"/>
          </w:tcPr>
          <w:p w14:paraId="390CB1D9"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14</w:t>
            </w:r>
          </w:p>
        </w:tc>
        <w:tc>
          <w:tcPr>
            <w:tcW w:w="3016" w:type="dxa"/>
            <w:vAlign w:val="center"/>
          </w:tcPr>
          <w:p w14:paraId="370FAEF8"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Obrigatório</w:t>
            </w:r>
          </w:p>
        </w:tc>
      </w:tr>
      <w:tr w:rsidR="00EE0371" w:rsidRPr="00EE0371" w14:paraId="330FE31E" w14:textId="77777777" w:rsidTr="00292A50">
        <w:trPr>
          <w:jc w:val="center"/>
        </w:trPr>
        <w:tc>
          <w:tcPr>
            <w:tcW w:w="3390" w:type="dxa"/>
            <w:vAlign w:val="center"/>
          </w:tcPr>
          <w:p w14:paraId="084E861D"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Nome do Beneficiário</w:t>
            </w:r>
          </w:p>
        </w:tc>
        <w:tc>
          <w:tcPr>
            <w:tcW w:w="1133" w:type="dxa"/>
            <w:vAlign w:val="center"/>
          </w:tcPr>
          <w:p w14:paraId="477BBEF5"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Caracter</w:t>
            </w:r>
          </w:p>
        </w:tc>
        <w:tc>
          <w:tcPr>
            <w:tcW w:w="1507" w:type="dxa"/>
            <w:vAlign w:val="center"/>
          </w:tcPr>
          <w:p w14:paraId="71598E39"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200</w:t>
            </w:r>
          </w:p>
        </w:tc>
        <w:tc>
          <w:tcPr>
            <w:tcW w:w="3016" w:type="dxa"/>
            <w:vAlign w:val="center"/>
          </w:tcPr>
          <w:p w14:paraId="13B21D04"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Obrigatório</w:t>
            </w:r>
          </w:p>
        </w:tc>
      </w:tr>
      <w:tr w:rsidR="00EE0371" w:rsidRPr="00EE0371" w14:paraId="6031C9F3" w14:textId="77777777" w:rsidTr="00292A50">
        <w:trPr>
          <w:jc w:val="center"/>
        </w:trPr>
        <w:tc>
          <w:tcPr>
            <w:tcW w:w="3390" w:type="dxa"/>
            <w:vAlign w:val="center"/>
          </w:tcPr>
          <w:p w14:paraId="0388C660"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Regime de Pagamento Adotado</w:t>
            </w:r>
          </w:p>
        </w:tc>
        <w:tc>
          <w:tcPr>
            <w:tcW w:w="1133" w:type="dxa"/>
            <w:vAlign w:val="center"/>
          </w:tcPr>
          <w:p w14:paraId="312F0780"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Inteiro</w:t>
            </w:r>
          </w:p>
        </w:tc>
        <w:tc>
          <w:tcPr>
            <w:tcW w:w="1507" w:type="dxa"/>
            <w:vAlign w:val="center"/>
          </w:tcPr>
          <w:p w14:paraId="743F7CEF"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1</w:t>
            </w:r>
          </w:p>
        </w:tc>
        <w:tc>
          <w:tcPr>
            <w:tcW w:w="3016" w:type="dxa"/>
            <w:vAlign w:val="center"/>
          </w:tcPr>
          <w:p w14:paraId="42A8C8F2"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Obrigatório:</w:t>
            </w:r>
            <w:r w:rsidRPr="00EE0371">
              <w:rPr>
                <w:rFonts w:ascii="Arial" w:hAnsi="Arial" w:cs="Arial"/>
                <w:sz w:val="20"/>
                <w:szCs w:val="20"/>
              </w:rPr>
              <w:br/>
              <w:t>1 </w:t>
            </w:r>
            <w:r w:rsidRPr="00EE0371">
              <w:rPr>
                <w:rFonts w:ascii="Arial" w:hAnsi="Arial" w:cs="Arial"/>
                <w:sz w:val="20"/>
                <w:szCs w:val="20"/>
              </w:rPr>
              <w:noBreakHyphen/>
              <w:t> Regime Normal (art. 100, §5º, da CF/1988)</w:t>
            </w:r>
            <w:r w:rsidRPr="00EE0371">
              <w:rPr>
                <w:rFonts w:ascii="Arial" w:hAnsi="Arial" w:cs="Arial"/>
                <w:sz w:val="20"/>
                <w:szCs w:val="20"/>
              </w:rPr>
              <w:br/>
              <w:t>2 </w:t>
            </w:r>
            <w:r w:rsidRPr="00EE0371">
              <w:rPr>
                <w:rFonts w:ascii="Arial" w:hAnsi="Arial" w:cs="Arial"/>
                <w:sz w:val="20"/>
                <w:szCs w:val="20"/>
              </w:rPr>
              <w:noBreakHyphen/>
              <w:t> Regime Especial Mensal (ADCT - art. 97, §1º, Inciso I)</w:t>
            </w:r>
            <w:r w:rsidRPr="00EE0371">
              <w:rPr>
                <w:rFonts w:ascii="Arial" w:hAnsi="Arial" w:cs="Arial"/>
                <w:sz w:val="20"/>
                <w:szCs w:val="20"/>
              </w:rPr>
              <w:br/>
              <w:t>3 </w:t>
            </w:r>
            <w:r w:rsidRPr="00EE0371">
              <w:rPr>
                <w:rFonts w:ascii="Arial" w:hAnsi="Arial" w:cs="Arial"/>
                <w:sz w:val="20"/>
                <w:szCs w:val="20"/>
              </w:rPr>
              <w:noBreakHyphen/>
              <w:t> Regime Especial Anual (ADCT - art. 97, §1º, Inciso II)</w:t>
            </w:r>
            <w:r w:rsidRPr="00EE0371">
              <w:rPr>
                <w:rFonts w:ascii="Arial" w:hAnsi="Arial" w:cs="Arial"/>
                <w:sz w:val="20"/>
                <w:szCs w:val="20"/>
              </w:rPr>
              <w:br/>
              <w:t>4 </w:t>
            </w:r>
            <w:r w:rsidRPr="00EE0371">
              <w:rPr>
                <w:rFonts w:ascii="Arial" w:hAnsi="Arial" w:cs="Arial"/>
                <w:sz w:val="20"/>
                <w:szCs w:val="20"/>
              </w:rPr>
              <w:noBreakHyphen/>
              <w:t> Outros</w:t>
            </w:r>
          </w:p>
        </w:tc>
      </w:tr>
      <w:tr w:rsidR="00EE0371" w:rsidRPr="00EE0371" w14:paraId="277CD155" w14:textId="77777777" w:rsidTr="00292A50">
        <w:trPr>
          <w:jc w:val="center"/>
        </w:trPr>
        <w:tc>
          <w:tcPr>
            <w:tcW w:w="3390" w:type="dxa"/>
            <w:vAlign w:val="center"/>
          </w:tcPr>
          <w:p w14:paraId="711D478A"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 xml:space="preserve">Valor Original do Precatório </w:t>
            </w:r>
          </w:p>
        </w:tc>
        <w:tc>
          <w:tcPr>
            <w:tcW w:w="1133" w:type="dxa"/>
            <w:vAlign w:val="center"/>
          </w:tcPr>
          <w:p w14:paraId="0B4E784A"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decimal</w:t>
            </w:r>
          </w:p>
        </w:tc>
        <w:tc>
          <w:tcPr>
            <w:tcW w:w="1507" w:type="dxa"/>
            <w:vAlign w:val="center"/>
          </w:tcPr>
          <w:p w14:paraId="5C696BCC"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14,2</w:t>
            </w:r>
          </w:p>
        </w:tc>
        <w:tc>
          <w:tcPr>
            <w:tcW w:w="3016" w:type="dxa"/>
            <w:vAlign w:val="center"/>
          </w:tcPr>
          <w:p w14:paraId="535964CC"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 xml:space="preserve">Obrigatório </w:t>
            </w:r>
          </w:p>
        </w:tc>
      </w:tr>
      <w:tr w:rsidR="00EE0371" w:rsidRPr="00EE0371" w14:paraId="3DED2928" w14:textId="77777777" w:rsidTr="00292A50">
        <w:trPr>
          <w:jc w:val="center"/>
        </w:trPr>
        <w:tc>
          <w:tcPr>
            <w:tcW w:w="3390" w:type="dxa"/>
            <w:vAlign w:val="center"/>
          </w:tcPr>
          <w:p w14:paraId="7A7780F1"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Saldo Atualizado do Precatório até 31/12 do Exercício Anterior</w:t>
            </w:r>
          </w:p>
        </w:tc>
        <w:tc>
          <w:tcPr>
            <w:tcW w:w="1133" w:type="dxa"/>
            <w:vAlign w:val="center"/>
          </w:tcPr>
          <w:p w14:paraId="559AA04D"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decimal</w:t>
            </w:r>
          </w:p>
        </w:tc>
        <w:tc>
          <w:tcPr>
            <w:tcW w:w="1507" w:type="dxa"/>
            <w:vAlign w:val="center"/>
          </w:tcPr>
          <w:p w14:paraId="28048277"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14,2</w:t>
            </w:r>
          </w:p>
        </w:tc>
        <w:tc>
          <w:tcPr>
            <w:tcW w:w="3016" w:type="dxa"/>
            <w:vAlign w:val="center"/>
          </w:tcPr>
          <w:p w14:paraId="500DD690"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 xml:space="preserve">Obrigatório </w:t>
            </w:r>
          </w:p>
        </w:tc>
      </w:tr>
      <w:tr w:rsidR="00EE0371" w:rsidRPr="00EE0371" w14:paraId="77E204D9" w14:textId="77777777" w:rsidTr="00292A50">
        <w:trPr>
          <w:jc w:val="center"/>
        </w:trPr>
        <w:tc>
          <w:tcPr>
            <w:tcW w:w="3390" w:type="dxa"/>
            <w:vAlign w:val="center"/>
          </w:tcPr>
          <w:p w14:paraId="4E50AB03"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Valor das Atualizações Monetárias no Exercício</w:t>
            </w:r>
          </w:p>
        </w:tc>
        <w:tc>
          <w:tcPr>
            <w:tcW w:w="1133" w:type="dxa"/>
            <w:vAlign w:val="center"/>
          </w:tcPr>
          <w:p w14:paraId="07BD76DF"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decimal</w:t>
            </w:r>
          </w:p>
        </w:tc>
        <w:tc>
          <w:tcPr>
            <w:tcW w:w="1507" w:type="dxa"/>
            <w:vAlign w:val="center"/>
          </w:tcPr>
          <w:p w14:paraId="0A860841"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14,2</w:t>
            </w:r>
          </w:p>
        </w:tc>
        <w:tc>
          <w:tcPr>
            <w:tcW w:w="3016" w:type="dxa"/>
            <w:vAlign w:val="center"/>
          </w:tcPr>
          <w:p w14:paraId="52F764C7"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 xml:space="preserve">Obrigatório </w:t>
            </w:r>
          </w:p>
        </w:tc>
      </w:tr>
      <w:tr w:rsidR="00EE0371" w:rsidRPr="00EE0371" w14:paraId="5F41D3CA" w14:textId="77777777" w:rsidTr="00292A50">
        <w:trPr>
          <w:jc w:val="center"/>
        </w:trPr>
        <w:tc>
          <w:tcPr>
            <w:tcW w:w="3390" w:type="dxa"/>
            <w:vAlign w:val="center"/>
          </w:tcPr>
          <w:p w14:paraId="34E101E0"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Valor das Inclusões de Novos Precatórios no Exercício</w:t>
            </w:r>
          </w:p>
        </w:tc>
        <w:tc>
          <w:tcPr>
            <w:tcW w:w="1133" w:type="dxa"/>
            <w:vAlign w:val="center"/>
          </w:tcPr>
          <w:p w14:paraId="3711D0C2"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decimal</w:t>
            </w:r>
          </w:p>
        </w:tc>
        <w:tc>
          <w:tcPr>
            <w:tcW w:w="1507" w:type="dxa"/>
            <w:vAlign w:val="center"/>
          </w:tcPr>
          <w:p w14:paraId="418268E9"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14,2</w:t>
            </w:r>
          </w:p>
        </w:tc>
        <w:tc>
          <w:tcPr>
            <w:tcW w:w="3016" w:type="dxa"/>
            <w:vAlign w:val="center"/>
          </w:tcPr>
          <w:p w14:paraId="42FF8298"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 xml:space="preserve">Obrigatório </w:t>
            </w:r>
          </w:p>
        </w:tc>
      </w:tr>
      <w:tr w:rsidR="00EE0371" w:rsidRPr="00EE0371" w14:paraId="2EA56BF8" w14:textId="77777777" w:rsidTr="00292A50">
        <w:trPr>
          <w:jc w:val="center"/>
        </w:trPr>
        <w:tc>
          <w:tcPr>
            <w:tcW w:w="3390" w:type="dxa"/>
            <w:vAlign w:val="center"/>
          </w:tcPr>
          <w:p w14:paraId="7B66CCAA"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Valor dos Outros Acréscimos no Exercício</w:t>
            </w:r>
          </w:p>
        </w:tc>
        <w:tc>
          <w:tcPr>
            <w:tcW w:w="1133" w:type="dxa"/>
            <w:vAlign w:val="center"/>
          </w:tcPr>
          <w:p w14:paraId="31C67F42"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decimal</w:t>
            </w:r>
          </w:p>
        </w:tc>
        <w:tc>
          <w:tcPr>
            <w:tcW w:w="1507" w:type="dxa"/>
            <w:vAlign w:val="center"/>
          </w:tcPr>
          <w:p w14:paraId="270CD73A"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14,2</w:t>
            </w:r>
          </w:p>
        </w:tc>
        <w:tc>
          <w:tcPr>
            <w:tcW w:w="3016" w:type="dxa"/>
            <w:vAlign w:val="center"/>
          </w:tcPr>
          <w:p w14:paraId="32A99427"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 xml:space="preserve">Obrigatório </w:t>
            </w:r>
          </w:p>
        </w:tc>
      </w:tr>
      <w:tr w:rsidR="00EE0371" w:rsidRPr="00EE0371" w14:paraId="610E6722" w14:textId="77777777" w:rsidTr="00292A50">
        <w:trPr>
          <w:jc w:val="center"/>
        </w:trPr>
        <w:tc>
          <w:tcPr>
            <w:tcW w:w="3390" w:type="dxa"/>
            <w:vAlign w:val="center"/>
          </w:tcPr>
          <w:p w14:paraId="1B2BCDBB"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Valor dos Cancelamentos no Exercício</w:t>
            </w:r>
          </w:p>
        </w:tc>
        <w:tc>
          <w:tcPr>
            <w:tcW w:w="1133" w:type="dxa"/>
            <w:vAlign w:val="center"/>
          </w:tcPr>
          <w:p w14:paraId="7A804118"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decimal</w:t>
            </w:r>
          </w:p>
        </w:tc>
        <w:tc>
          <w:tcPr>
            <w:tcW w:w="1507" w:type="dxa"/>
            <w:vAlign w:val="center"/>
          </w:tcPr>
          <w:p w14:paraId="254E1E78"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14,2</w:t>
            </w:r>
          </w:p>
        </w:tc>
        <w:tc>
          <w:tcPr>
            <w:tcW w:w="3016" w:type="dxa"/>
            <w:vAlign w:val="center"/>
          </w:tcPr>
          <w:p w14:paraId="40F3B909"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 xml:space="preserve">Obrigatório </w:t>
            </w:r>
          </w:p>
        </w:tc>
      </w:tr>
      <w:tr w:rsidR="00EE0371" w:rsidRPr="00EE0371" w14:paraId="7FB54D6D" w14:textId="77777777" w:rsidTr="00292A50">
        <w:trPr>
          <w:jc w:val="center"/>
        </w:trPr>
        <w:tc>
          <w:tcPr>
            <w:tcW w:w="3390" w:type="dxa"/>
            <w:vAlign w:val="center"/>
          </w:tcPr>
          <w:p w14:paraId="00976D87"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Valor dos Pagamentos no Exercício</w:t>
            </w:r>
          </w:p>
        </w:tc>
        <w:tc>
          <w:tcPr>
            <w:tcW w:w="1133" w:type="dxa"/>
            <w:vAlign w:val="center"/>
          </w:tcPr>
          <w:p w14:paraId="4C519647"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decimal</w:t>
            </w:r>
          </w:p>
        </w:tc>
        <w:tc>
          <w:tcPr>
            <w:tcW w:w="1507" w:type="dxa"/>
            <w:vAlign w:val="center"/>
          </w:tcPr>
          <w:p w14:paraId="70FF1182"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14,2</w:t>
            </w:r>
          </w:p>
        </w:tc>
        <w:tc>
          <w:tcPr>
            <w:tcW w:w="3016" w:type="dxa"/>
            <w:vAlign w:val="center"/>
          </w:tcPr>
          <w:p w14:paraId="044FAD3A"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 xml:space="preserve">Obrigatório </w:t>
            </w:r>
          </w:p>
        </w:tc>
      </w:tr>
      <w:tr w:rsidR="00EE0371" w:rsidRPr="00EE0371" w14:paraId="0DC8C843" w14:textId="77777777" w:rsidTr="00292A50">
        <w:trPr>
          <w:jc w:val="center"/>
        </w:trPr>
        <w:tc>
          <w:tcPr>
            <w:tcW w:w="3390" w:type="dxa"/>
            <w:vAlign w:val="center"/>
          </w:tcPr>
          <w:p w14:paraId="69685A1D"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Valor dos Abatimentos por Compensação</w:t>
            </w:r>
          </w:p>
        </w:tc>
        <w:tc>
          <w:tcPr>
            <w:tcW w:w="1133" w:type="dxa"/>
            <w:vAlign w:val="center"/>
          </w:tcPr>
          <w:p w14:paraId="6355ECC4"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decimal</w:t>
            </w:r>
          </w:p>
        </w:tc>
        <w:tc>
          <w:tcPr>
            <w:tcW w:w="1507" w:type="dxa"/>
            <w:vAlign w:val="center"/>
          </w:tcPr>
          <w:p w14:paraId="7268FA0F"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14,2</w:t>
            </w:r>
          </w:p>
        </w:tc>
        <w:tc>
          <w:tcPr>
            <w:tcW w:w="3016" w:type="dxa"/>
            <w:vAlign w:val="center"/>
          </w:tcPr>
          <w:p w14:paraId="404E1001"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 xml:space="preserve">Obrigatório </w:t>
            </w:r>
          </w:p>
        </w:tc>
      </w:tr>
      <w:tr w:rsidR="00EE0371" w:rsidRPr="00EE0371" w14:paraId="562B3110" w14:textId="77777777" w:rsidTr="00292A50">
        <w:trPr>
          <w:jc w:val="center"/>
        </w:trPr>
        <w:tc>
          <w:tcPr>
            <w:tcW w:w="3390" w:type="dxa"/>
            <w:vAlign w:val="center"/>
          </w:tcPr>
          <w:p w14:paraId="6AB77A45"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Valor das Outras Diminuições no Exercício</w:t>
            </w:r>
          </w:p>
        </w:tc>
        <w:tc>
          <w:tcPr>
            <w:tcW w:w="1133" w:type="dxa"/>
            <w:vAlign w:val="center"/>
          </w:tcPr>
          <w:p w14:paraId="1BDA914B"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decimal</w:t>
            </w:r>
          </w:p>
        </w:tc>
        <w:tc>
          <w:tcPr>
            <w:tcW w:w="1507" w:type="dxa"/>
            <w:vAlign w:val="center"/>
          </w:tcPr>
          <w:p w14:paraId="2B04B720"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14,2</w:t>
            </w:r>
          </w:p>
        </w:tc>
        <w:tc>
          <w:tcPr>
            <w:tcW w:w="3016" w:type="dxa"/>
            <w:vAlign w:val="center"/>
          </w:tcPr>
          <w:p w14:paraId="6EF20809"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 xml:space="preserve">Obrigatório </w:t>
            </w:r>
          </w:p>
        </w:tc>
      </w:tr>
      <w:tr w:rsidR="00EE0371" w:rsidRPr="00EE0371" w14:paraId="313F3184" w14:textId="77777777" w:rsidTr="00292A50">
        <w:trPr>
          <w:jc w:val="center"/>
        </w:trPr>
        <w:tc>
          <w:tcPr>
            <w:tcW w:w="3390" w:type="dxa"/>
            <w:vAlign w:val="center"/>
          </w:tcPr>
          <w:p w14:paraId="52060CF3"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lastRenderedPageBreak/>
              <w:t>Saldo Atualizado do Precatório em 31/12 do Exercício Atual</w:t>
            </w:r>
          </w:p>
        </w:tc>
        <w:tc>
          <w:tcPr>
            <w:tcW w:w="1133" w:type="dxa"/>
            <w:vAlign w:val="center"/>
          </w:tcPr>
          <w:p w14:paraId="4D2BB3D2"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decimal</w:t>
            </w:r>
          </w:p>
        </w:tc>
        <w:tc>
          <w:tcPr>
            <w:tcW w:w="1507" w:type="dxa"/>
            <w:vAlign w:val="center"/>
          </w:tcPr>
          <w:p w14:paraId="209E6E8F"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14,2</w:t>
            </w:r>
          </w:p>
        </w:tc>
        <w:tc>
          <w:tcPr>
            <w:tcW w:w="3016" w:type="dxa"/>
            <w:vAlign w:val="center"/>
          </w:tcPr>
          <w:p w14:paraId="790433AB"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 xml:space="preserve">Obrigatório </w:t>
            </w:r>
          </w:p>
        </w:tc>
      </w:tr>
    </w:tbl>
    <w:p w14:paraId="605B5B4F" w14:textId="77777777" w:rsidR="005D4EB0" w:rsidRDefault="005D4EB0" w:rsidP="005D4EB0">
      <w:pPr>
        <w:ind w:left="142"/>
        <w:rPr>
          <w:rFonts w:ascii="Arial" w:hAnsi="Arial" w:cs="Arial"/>
          <w:b/>
          <w:sz w:val="20"/>
          <w:szCs w:val="20"/>
          <w:lang w:eastAsia="pt-BR"/>
        </w:rPr>
      </w:pPr>
      <w:r w:rsidRPr="00735CF9">
        <w:rPr>
          <w:rFonts w:ascii="Arial" w:hAnsi="Arial" w:cs="Arial"/>
          <w:sz w:val="18"/>
          <w:szCs w:val="18"/>
        </w:rPr>
        <w:t xml:space="preserve">[1] </w:t>
      </w:r>
      <w:r>
        <w:rPr>
          <w:rFonts w:ascii="Arial" w:hAnsi="Arial" w:cs="Arial"/>
          <w:sz w:val="18"/>
          <w:szCs w:val="18"/>
        </w:rPr>
        <w:t>O</w:t>
      </w:r>
      <w:r w:rsidRPr="00735CF9">
        <w:rPr>
          <w:rFonts w:ascii="Arial" w:hAnsi="Arial" w:cs="Arial"/>
          <w:sz w:val="18"/>
          <w:szCs w:val="18"/>
        </w:rPr>
        <w:t xml:space="preserve"> Código da Unidade Gestora deverá ser o mesmo da UG que estiver prestando contas</w:t>
      </w:r>
    </w:p>
    <w:p w14:paraId="2BCAD50B" w14:textId="77777777" w:rsidR="00EE0371" w:rsidRPr="00EE0371" w:rsidRDefault="00EE0371" w:rsidP="005D4EB0">
      <w:pPr>
        <w:ind w:left="142"/>
        <w:rPr>
          <w:rFonts w:ascii="Arial" w:hAnsi="Arial" w:cs="Arial"/>
          <w:b/>
          <w:sz w:val="28"/>
        </w:rPr>
      </w:pPr>
      <w:r w:rsidRPr="00EE0371">
        <w:rPr>
          <w:rFonts w:ascii="Arial" w:hAnsi="Arial" w:cs="Arial"/>
          <w:b/>
          <w:sz w:val="20"/>
          <w:szCs w:val="20"/>
          <w:lang w:eastAsia="pt-BR"/>
        </w:rPr>
        <w:t xml:space="preserve">Obs.: </w:t>
      </w:r>
      <w:r w:rsidRPr="00EE0371">
        <w:rPr>
          <w:rFonts w:ascii="Arial" w:hAnsi="Arial" w:cs="Arial"/>
          <w:sz w:val="20"/>
          <w:szCs w:val="20"/>
          <w:lang w:eastAsia="pt-BR"/>
        </w:rPr>
        <w:t>Somente serão aceitos valores positivos.</w:t>
      </w:r>
    </w:p>
    <w:p w14:paraId="1F5BDDB1" w14:textId="77777777" w:rsidR="00EE0371" w:rsidRPr="00EE0371" w:rsidRDefault="00EE0371" w:rsidP="00EE0371">
      <w:pPr>
        <w:rPr>
          <w:rFonts w:ascii="Arial" w:hAnsi="Arial" w:cs="Arial"/>
          <w:b/>
          <w:sz w:val="28"/>
        </w:rPr>
      </w:pPr>
    </w:p>
    <w:p w14:paraId="225488D9" w14:textId="3BC8F981" w:rsidR="00EE0371" w:rsidRPr="00EE0371" w:rsidRDefault="00EE0371" w:rsidP="00A60EA7">
      <w:pPr>
        <w:pStyle w:val="Ttulo3"/>
      </w:pPr>
      <w:bookmarkStart w:id="37" w:name="_Toc94806313"/>
      <w:r w:rsidRPr="00EE0371">
        <w:t>DEMCAD.XML (ou DemonstrativoCreditosAdicionais.xml)</w:t>
      </w:r>
      <w:bookmarkEnd w:id="37"/>
    </w:p>
    <w:p w14:paraId="2012B37E" w14:textId="77777777" w:rsidR="00EE0371" w:rsidRPr="00EE0371" w:rsidRDefault="00EE0371" w:rsidP="00EE0371">
      <w:pPr>
        <w:spacing w:after="0" w:line="360" w:lineRule="auto"/>
        <w:jc w:val="both"/>
        <w:rPr>
          <w:rFonts w:ascii="Arial" w:hAnsi="Arial"/>
        </w:rPr>
      </w:pPr>
      <w:r w:rsidRPr="00EE0371">
        <w:rPr>
          <w:rFonts w:ascii="Arial" w:hAnsi="Arial"/>
          <w:b/>
          <w:bCs/>
        </w:rPr>
        <w:t>Descrição: </w:t>
      </w:r>
      <w:r w:rsidRPr="00EE0371">
        <w:rPr>
          <w:rFonts w:ascii="Arial" w:hAnsi="Arial"/>
        </w:rPr>
        <w:t>Este arquivo conterá as atualizações da Lei Orçamentária Anual decorrentes de modificações durante o processo de execução orçamentária da Despesa Pública consolidada por Unidade Gestora do município.</w:t>
      </w:r>
    </w:p>
    <w:p w14:paraId="087CA744" w14:textId="77777777" w:rsidR="00EE0371" w:rsidRPr="00EE0371" w:rsidRDefault="00EE0371" w:rsidP="00EE0371">
      <w:pPr>
        <w:autoSpaceDE w:val="0"/>
        <w:autoSpaceDN w:val="0"/>
        <w:adjustRightInd w:val="0"/>
        <w:spacing w:after="0" w:line="240" w:lineRule="auto"/>
        <w:jc w:val="both"/>
        <w:rPr>
          <w:rFonts w:ascii="Arial" w:hAnsi="Arial"/>
          <w:b/>
          <w:bCs/>
        </w:rPr>
      </w:pPr>
    </w:p>
    <w:p w14:paraId="3129A1EA" w14:textId="77777777" w:rsidR="00EE0371" w:rsidRPr="00EE0371" w:rsidRDefault="00EE0371" w:rsidP="00EE0371">
      <w:pPr>
        <w:rPr>
          <w:rFonts w:ascii="Arial" w:hAnsi="Arial" w:cs="Arial"/>
          <w:b/>
          <w:sz w:val="28"/>
        </w:rPr>
      </w:pPr>
      <w:r w:rsidRPr="00EE0371">
        <w:rPr>
          <w:rFonts w:ascii="Arial" w:hAnsi="Arial"/>
          <w:b/>
          <w:bCs/>
        </w:rPr>
        <w:t>Estrutura:</w:t>
      </w:r>
    </w:p>
    <w:p w14:paraId="2535490E" w14:textId="77777777" w:rsidR="00EE0371" w:rsidRPr="00EE0371" w:rsidRDefault="00EE0371" w:rsidP="00EE0371">
      <w:pPr>
        <w:tabs>
          <w:tab w:val="left" w:pos="8504"/>
        </w:tabs>
        <w:spacing w:after="0" w:line="240" w:lineRule="auto"/>
        <w:ind w:right="-1"/>
        <w:jc w:val="both"/>
        <w:rPr>
          <w:rFonts w:ascii="Arial" w:hAnsi="Arial" w:cs="Arial"/>
          <w:sz w:val="20"/>
          <w:szCs w:val="20"/>
          <w:lang w:eastAsia="pt-BR"/>
        </w:rPr>
      </w:pPr>
      <w:r w:rsidRPr="00EE0371">
        <w:rPr>
          <w:rFonts w:ascii="Arial" w:hAnsi="Arial" w:cs="Arial"/>
          <w:sz w:val="20"/>
          <w:szCs w:val="20"/>
          <w:lang w:eastAsia="pt-BR"/>
        </w:rPr>
        <w:t>&lt;?xml version="1.0" encoding=“UTF-8”?&gt;</w:t>
      </w:r>
    </w:p>
    <w:p w14:paraId="084056A9" w14:textId="77777777" w:rsidR="00EE0371" w:rsidRPr="00EE0371" w:rsidRDefault="00EE0371" w:rsidP="00EE0371">
      <w:pPr>
        <w:tabs>
          <w:tab w:val="left" w:pos="8504"/>
        </w:tabs>
        <w:spacing w:after="0" w:line="240" w:lineRule="auto"/>
        <w:ind w:right="-1"/>
        <w:jc w:val="both"/>
        <w:rPr>
          <w:rFonts w:ascii="Arial" w:hAnsi="Arial" w:cs="Arial"/>
          <w:sz w:val="20"/>
          <w:szCs w:val="20"/>
          <w:lang w:eastAsia="pt-BR"/>
        </w:rPr>
      </w:pPr>
      <w:r w:rsidRPr="00EE0371">
        <w:rPr>
          <w:rFonts w:ascii="Arial" w:hAnsi="Arial" w:cs="Arial"/>
          <w:sz w:val="20"/>
          <w:szCs w:val="20"/>
          <w:lang w:eastAsia="pt-BR"/>
        </w:rPr>
        <w:t>&lt;PrestacaoContasAnual&gt;</w:t>
      </w:r>
    </w:p>
    <w:p w14:paraId="27494A31" w14:textId="77777777" w:rsidR="00EE0371" w:rsidRPr="00EE0371" w:rsidRDefault="00EE0371" w:rsidP="00EE0371">
      <w:pPr>
        <w:tabs>
          <w:tab w:val="left" w:pos="8504"/>
        </w:tabs>
        <w:spacing w:after="0" w:line="240" w:lineRule="auto"/>
        <w:ind w:left="284" w:right="-1"/>
        <w:jc w:val="both"/>
        <w:rPr>
          <w:rFonts w:ascii="Arial" w:hAnsi="Arial" w:cs="Arial"/>
          <w:sz w:val="20"/>
          <w:szCs w:val="20"/>
          <w:lang w:eastAsia="pt-BR"/>
        </w:rPr>
      </w:pPr>
      <w:r w:rsidRPr="00EE0371">
        <w:rPr>
          <w:rFonts w:ascii="Arial" w:hAnsi="Arial" w:cs="Arial"/>
          <w:sz w:val="20"/>
          <w:szCs w:val="20"/>
          <w:lang w:eastAsia="pt-BR"/>
        </w:rPr>
        <w:t>&lt;DemonstrativoCreditoAdicional_Schema&gt;</w:t>
      </w:r>
    </w:p>
    <w:p w14:paraId="41B00780" w14:textId="77777777" w:rsidR="00EE0371" w:rsidRPr="00EE0371" w:rsidRDefault="00EE0371" w:rsidP="00EE0371">
      <w:pPr>
        <w:tabs>
          <w:tab w:val="left" w:pos="8504"/>
        </w:tabs>
        <w:spacing w:after="0" w:line="240" w:lineRule="auto"/>
        <w:ind w:right="-1" w:firstLine="567"/>
        <w:jc w:val="both"/>
        <w:rPr>
          <w:rFonts w:ascii="Arial" w:hAnsi="Arial" w:cs="Arial"/>
          <w:sz w:val="20"/>
          <w:szCs w:val="20"/>
          <w:lang w:eastAsia="pt-BR"/>
        </w:rPr>
      </w:pPr>
    </w:p>
    <w:p w14:paraId="191CA134" w14:textId="77777777" w:rsidR="00EE0371" w:rsidRPr="00EE0371" w:rsidRDefault="00EE0371" w:rsidP="00EE0371">
      <w:pPr>
        <w:tabs>
          <w:tab w:val="left" w:pos="8504"/>
        </w:tabs>
        <w:spacing w:after="0" w:line="240" w:lineRule="auto"/>
        <w:ind w:right="-1" w:firstLine="567"/>
        <w:jc w:val="both"/>
        <w:rPr>
          <w:rFonts w:ascii="Arial" w:hAnsi="Arial" w:cs="Arial"/>
          <w:sz w:val="20"/>
          <w:szCs w:val="20"/>
          <w:lang w:eastAsia="pt-BR"/>
        </w:rPr>
      </w:pPr>
      <w:r w:rsidRPr="00EE0371">
        <w:rPr>
          <w:rFonts w:ascii="Arial" w:hAnsi="Arial" w:cs="Arial"/>
          <w:sz w:val="20"/>
          <w:szCs w:val="20"/>
          <w:lang w:eastAsia="pt-BR"/>
        </w:rPr>
        <w:t>&lt;DemonstrativoCreditoAdicional&gt;</w:t>
      </w:r>
    </w:p>
    <w:p w14:paraId="7A610A59" w14:textId="77777777" w:rsidR="00A8026A" w:rsidRDefault="00EE0371" w:rsidP="00A8026A">
      <w:pPr>
        <w:tabs>
          <w:tab w:val="left" w:pos="8504"/>
        </w:tabs>
        <w:spacing w:after="0" w:line="240" w:lineRule="auto"/>
        <w:ind w:left="851" w:right="-1"/>
        <w:jc w:val="both"/>
        <w:rPr>
          <w:rFonts w:ascii="Arial" w:hAnsi="Arial" w:cs="Arial"/>
          <w:sz w:val="20"/>
          <w:szCs w:val="20"/>
          <w:lang w:eastAsia="pt-BR"/>
        </w:rPr>
      </w:pPr>
      <w:r w:rsidRPr="00EE0371">
        <w:rPr>
          <w:rFonts w:ascii="Arial" w:hAnsi="Arial" w:cs="Arial"/>
          <w:sz w:val="20"/>
          <w:szCs w:val="20"/>
          <w:lang w:eastAsia="pt-BR"/>
        </w:rPr>
        <w:t>&lt;IdNumRegistro&gt;</w:t>
      </w:r>
      <w:r w:rsidRPr="00EE0371">
        <w:rPr>
          <w:rFonts w:ascii="Arial" w:hAnsi="Arial" w:cs="Arial"/>
          <w:b/>
          <w:sz w:val="20"/>
          <w:szCs w:val="20"/>
          <w:lang w:eastAsia="pt-BR"/>
        </w:rPr>
        <w:t>99999</w:t>
      </w:r>
      <w:r w:rsidR="00A8026A">
        <w:rPr>
          <w:rFonts w:ascii="Arial" w:hAnsi="Arial" w:cs="Arial"/>
          <w:sz w:val="20"/>
          <w:szCs w:val="20"/>
          <w:lang w:eastAsia="pt-BR"/>
        </w:rPr>
        <w:t>&lt;/IdNumRegistro&gt;</w:t>
      </w:r>
    </w:p>
    <w:p w14:paraId="77D6FCF4" w14:textId="77777777" w:rsidR="00EE0371" w:rsidRPr="00EE0371" w:rsidRDefault="00EE0371" w:rsidP="00EE0371">
      <w:pPr>
        <w:tabs>
          <w:tab w:val="left" w:pos="8504"/>
        </w:tabs>
        <w:spacing w:after="0" w:line="240" w:lineRule="auto"/>
        <w:ind w:left="851" w:right="-1"/>
        <w:jc w:val="both"/>
        <w:rPr>
          <w:rFonts w:ascii="Arial" w:hAnsi="Arial" w:cs="Arial"/>
          <w:sz w:val="20"/>
          <w:szCs w:val="20"/>
          <w:lang w:eastAsia="pt-BR"/>
        </w:rPr>
      </w:pPr>
      <w:r w:rsidRPr="00EE0371">
        <w:rPr>
          <w:rFonts w:ascii="Arial" w:hAnsi="Arial" w:cs="Arial"/>
          <w:sz w:val="20"/>
          <w:szCs w:val="20"/>
          <w:lang w:eastAsia="pt-BR"/>
        </w:rPr>
        <w:t>&lt;NumeroLeiAutorizativa&gt;</w:t>
      </w:r>
      <w:r w:rsidRPr="00EE0371">
        <w:rPr>
          <w:rFonts w:ascii="Arial" w:hAnsi="Arial" w:cs="Arial"/>
          <w:b/>
          <w:sz w:val="20"/>
          <w:szCs w:val="20"/>
          <w:lang w:eastAsia="pt-BR"/>
        </w:rPr>
        <w:t>XXXXXXXX</w:t>
      </w:r>
      <w:r w:rsidRPr="00EE0371">
        <w:rPr>
          <w:rFonts w:ascii="Arial" w:hAnsi="Arial" w:cs="Arial"/>
          <w:sz w:val="20"/>
          <w:szCs w:val="20"/>
          <w:lang w:eastAsia="pt-BR"/>
        </w:rPr>
        <w:t>&lt;/NumeroLeiAutorizativa&gt;</w:t>
      </w:r>
    </w:p>
    <w:p w14:paraId="0DB309F7" w14:textId="77777777" w:rsidR="00EE0371" w:rsidRPr="00EE0371" w:rsidRDefault="00EE0371" w:rsidP="00EE0371">
      <w:pPr>
        <w:tabs>
          <w:tab w:val="left" w:pos="8504"/>
        </w:tabs>
        <w:spacing w:after="0" w:line="240" w:lineRule="auto"/>
        <w:ind w:left="851" w:right="-1"/>
        <w:jc w:val="both"/>
        <w:rPr>
          <w:rFonts w:ascii="Arial" w:hAnsi="Arial" w:cs="Arial"/>
          <w:sz w:val="20"/>
          <w:szCs w:val="20"/>
          <w:lang w:eastAsia="pt-BR"/>
        </w:rPr>
      </w:pPr>
      <w:r w:rsidRPr="00EE0371">
        <w:rPr>
          <w:rFonts w:ascii="Arial" w:hAnsi="Arial" w:cs="Arial"/>
          <w:sz w:val="20"/>
          <w:szCs w:val="20"/>
          <w:lang w:eastAsia="pt-BR"/>
        </w:rPr>
        <w:t>&lt;AnoLeiAutorizativa&gt;</w:t>
      </w:r>
      <w:r w:rsidRPr="00EE0371">
        <w:rPr>
          <w:rFonts w:ascii="Arial" w:hAnsi="Arial" w:cs="Arial"/>
          <w:b/>
          <w:sz w:val="20"/>
          <w:szCs w:val="20"/>
          <w:lang w:eastAsia="pt-BR"/>
        </w:rPr>
        <w:t>9999</w:t>
      </w:r>
      <w:r w:rsidRPr="00EE0371">
        <w:rPr>
          <w:rFonts w:ascii="Arial" w:hAnsi="Arial" w:cs="Arial"/>
          <w:sz w:val="20"/>
          <w:szCs w:val="20"/>
          <w:lang w:eastAsia="pt-BR"/>
        </w:rPr>
        <w:t xml:space="preserve">&lt;/AnoLeiAutorizativa&gt; </w:t>
      </w:r>
    </w:p>
    <w:p w14:paraId="2891FCCF" w14:textId="77777777" w:rsidR="00EE0371" w:rsidRPr="00EE0371" w:rsidRDefault="00EE0371" w:rsidP="00EE0371">
      <w:pPr>
        <w:tabs>
          <w:tab w:val="left" w:pos="8504"/>
        </w:tabs>
        <w:spacing w:after="0" w:line="240" w:lineRule="auto"/>
        <w:ind w:left="851" w:right="-1"/>
        <w:jc w:val="both"/>
        <w:rPr>
          <w:rFonts w:ascii="Arial" w:hAnsi="Arial" w:cs="Arial"/>
          <w:sz w:val="20"/>
          <w:szCs w:val="20"/>
          <w:lang w:eastAsia="pt-BR"/>
        </w:rPr>
      </w:pPr>
      <w:r w:rsidRPr="00EE0371">
        <w:rPr>
          <w:rFonts w:ascii="Arial" w:hAnsi="Arial" w:cs="Arial"/>
          <w:sz w:val="20"/>
          <w:szCs w:val="20"/>
          <w:lang w:eastAsia="pt-BR"/>
        </w:rPr>
        <w:t>&lt;DataPublicacaoLeiAutorizativa&gt;</w:t>
      </w:r>
      <w:r w:rsidRPr="00EE0371">
        <w:rPr>
          <w:rFonts w:ascii="Arial" w:hAnsi="Arial" w:cs="Arial"/>
          <w:b/>
          <w:sz w:val="20"/>
          <w:szCs w:val="20"/>
          <w:lang w:eastAsia="pt-BR"/>
        </w:rPr>
        <w:t>9999-99-99</w:t>
      </w:r>
      <w:r w:rsidRPr="00EE0371">
        <w:rPr>
          <w:rFonts w:ascii="Arial" w:hAnsi="Arial" w:cs="Arial"/>
          <w:sz w:val="20"/>
          <w:szCs w:val="20"/>
          <w:lang w:eastAsia="pt-BR"/>
        </w:rPr>
        <w:t>&lt;/DataPublicacaoLeiAutorizativa&gt;</w:t>
      </w:r>
    </w:p>
    <w:p w14:paraId="039C4DE5" w14:textId="77777777" w:rsidR="00EE0371" w:rsidRPr="00EE0371" w:rsidRDefault="00EE0371" w:rsidP="00EE0371">
      <w:pPr>
        <w:tabs>
          <w:tab w:val="left" w:pos="8504"/>
        </w:tabs>
        <w:spacing w:after="0" w:line="240" w:lineRule="auto"/>
        <w:ind w:left="851" w:right="-1"/>
        <w:jc w:val="both"/>
        <w:rPr>
          <w:rFonts w:ascii="Arial" w:hAnsi="Arial" w:cs="Arial"/>
          <w:sz w:val="20"/>
          <w:szCs w:val="20"/>
          <w:lang w:eastAsia="pt-BR"/>
        </w:rPr>
      </w:pPr>
      <w:r w:rsidRPr="00EE0371">
        <w:rPr>
          <w:rFonts w:ascii="Arial" w:hAnsi="Arial" w:cs="Arial"/>
          <w:sz w:val="20"/>
          <w:szCs w:val="20"/>
          <w:lang w:eastAsia="pt-BR"/>
        </w:rPr>
        <w:t>&lt;TipoLeiAutorizativa&gt;</w:t>
      </w:r>
      <w:r w:rsidRPr="00EE0371">
        <w:rPr>
          <w:rFonts w:ascii="Arial" w:hAnsi="Arial" w:cs="Arial"/>
          <w:b/>
          <w:sz w:val="20"/>
          <w:szCs w:val="20"/>
          <w:lang w:eastAsia="pt-BR"/>
        </w:rPr>
        <w:t>9</w:t>
      </w:r>
      <w:r w:rsidRPr="00EE0371">
        <w:rPr>
          <w:rFonts w:ascii="Arial" w:hAnsi="Arial" w:cs="Arial"/>
          <w:sz w:val="20"/>
          <w:szCs w:val="20"/>
          <w:lang w:eastAsia="pt-BR"/>
        </w:rPr>
        <w:t xml:space="preserve">&lt;/TipoLeiAutorizativa&gt; </w:t>
      </w:r>
    </w:p>
    <w:p w14:paraId="1E65029D" w14:textId="77777777" w:rsidR="00EE0371" w:rsidRPr="00EE0371" w:rsidRDefault="00EE0371" w:rsidP="00EE0371">
      <w:pPr>
        <w:tabs>
          <w:tab w:val="left" w:pos="8504"/>
        </w:tabs>
        <w:spacing w:after="0" w:line="240" w:lineRule="auto"/>
        <w:ind w:left="851" w:right="-1"/>
        <w:jc w:val="both"/>
        <w:rPr>
          <w:rFonts w:ascii="Arial" w:hAnsi="Arial" w:cs="Arial"/>
          <w:sz w:val="20"/>
          <w:szCs w:val="20"/>
          <w:lang w:eastAsia="pt-BR"/>
        </w:rPr>
      </w:pPr>
      <w:r w:rsidRPr="00EE0371">
        <w:rPr>
          <w:rFonts w:ascii="Arial" w:hAnsi="Arial" w:cs="Arial"/>
          <w:sz w:val="20"/>
          <w:szCs w:val="20"/>
          <w:lang w:eastAsia="pt-BR"/>
        </w:rPr>
        <w:t>&lt;DispositivoLegalAberturaCreditoAdicional&gt;</w:t>
      </w:r>
      <w:r w:rsidRPr="00EE0371">
        <w:rPr>
          <w:rFonts w:ascii="Arial" w:hAnsi="Arial" w:cs="Arial"/>
          <w:b/>
          <w:sz w:val="20"/>
          <w:szCs w:val="20"/>
          <w:lang w:eastAsia="pt-BR"/>
        </w:rPr>
        <w:t>XXX...XXX</w:t>
      </w:r>
    </w:p>
    <w:p w14:paraId="24221242" w14:textId="77777777" w:rsidR="00EE0371" w:rsidRPr="00EE0371" w:rsidRDefault="00EE0371" w:rsidP="00EE0371">
      <w:pPr>
        <w:tabs>
          <w:tab w:val="left" w:pos="8504"/>
        </w:tabs>
        <w:spacing w:after="0" w:line="240" w:lineRule="auto"/>
        <w:ind w:left="851" w:right="-1"/>
        <w:jc w:val="both"/>
        <w:rPr>
          <w:rFonts w:ascii="Arial" w:hAnsi="Arial" w:cs="Arial"/>
          <w:sz w:val="20"/>
          <w:szCs w:val="20"/>
          <w:lang w:eastAsia="pt-BR"/>
        </w:rPr>
      </w:pPr>
      <w:r w:rsidRPr="00EE0371">
        <w:rPr>
          <w:rFonts w:ascii="Arial" w:hAnsi="Arial" w:cs="Arial"/>
          <w:sz w:val="20"/>
          <w:szCs w:val="20"/>
          <w:lang w:eastAsia="pt-BR"/>
        </w:rPr>
        <w:t>&lt;/DispositivoLegalAberturaCreditoAdicional&gt;</w:t>
      </w:r>
    </w:p>
    <w:p w14:paraId="4A2343EB" w14:textId="77777777" w:rsidR="00EE0371" w:rsidRPr="00EE0371" w:rsidRDefault="00EE0371" w:rsidP="00EE0371">
      <w:pPr>
        <w:tabs>
          <w:tab w:val="left" w:pos="8504"/>
        </w:tabs>
        <w:spacing w:after="0" w:line="240" w:lineRule="auto"/>
        <w:ind w:left="851" w:right="-1"/>
        <w:jc w:val="both"/>
        <w:rPr>
          <w:rFonts w:ascii="Arial" w:hAnsi="Arial" w:cs="Arial"/>
          <w:sz w:val="20"/>
          <w:szCs w:val="20"/>
          <w:lang w:eastAsia="pt-BR"/>
        </w:rPr>
      </w:pPr>
      <w:r w:rsidRPr="00EE0371">
        <w:rPr>
          <w:rFonts w:ascii="Arial" w:hAnsi="Arial" w:cs="Arial"/>
          <w:sz w:val="20"/>
          <w:szCs w:val="20"/>
          <w:lang w:eastAsia="pt-BR"/>
        </w:rPr>
        <w:t>&lt;ValorFixadoAberturaCreditoAdicional&gt;</w:t>
      </w:r>
      <w:r w:rsidRPr="00EE0371">
        <w:rPr>
          <w:rFonts w:ascii="Arial" w:hAnsi="Arial" w:cs="Arial"/>
          <w:b/>
          <w:sz w:val="20"/>
          <w:szCs w:val="20"/>
          <w:lang w:eastAsia="pt-BR"/>
        </w:rPr>
        <w:t>99999999999999.99</w:t>
      </w:r>
    </w:p>
    <w:p w14:paraId="45F17553" w14:textId="77777777" w:rsidR="00EE0371" w:rsidRPr="00EE0371" w:rsidRDefault="00EE0371" w:rsidP="00EE0371">
      <w:pPr>
        <w:tabs>
          <w:tab w:val="left" w:pos="8504"/>
        </w:tabs>
        <w:spacing w:after="0" w:line="240" w:lineRule="auto"/>
        <w:ind w:left="851" w:right="-1"/>
        <w:jc w:val="both"/>
        <w:rPr>
          <w:rFonts w:ascii="Arial" w:hAnsi="Arial" w:cs="Arial"/>
          <w:sz w:val="20"/>
          <w:szCs w:val="20"/>
          <w:lang w:eastAsia="pt-BR"/>
        </w:rPr>
      </w:pPr>
      <w:r w:rsidRPr="00EE0371">
        <w:rPr>
          <w:rFonts w:ascii="Arial" w:hAnsi="Arial" w:cs="Arial"/>
          <w:sz w:val="20"/>
          <w:szCs w:val="20"/>
          <w:lang w:eastAsia="pt-BR"/>
        </w:rPr>
        <w:t xml:space="preserve">&lt;/ValorFixadoAberturaCreditoAdicional&gt; </w:t>
      </w:r>
    </w:p>
    <w:p w14:paraId="5B2EBAA8" w14:textId="77777777" w:rsidR="00EE0371" w:rsidRPr="00EE0371" w:rsidRDefault="00EE0371" w:rsidP="00EE0371">
      <w:pPr>
        <w:tabs>
          <w:tab w:val="left" w:pos="8504"/>
        </w:tabs>
        <w:spacing w:after="0" w:line="240" w:lineRule="auto"/>
        <w:ind w:left="851" w:right="-1"/>
        <w:jc w:val="both"/>
        <w:rPr>
          <w:rFonts w:ascii="Arial" w:hAnsi="Arial" w:cs="Arial"/>
          <w:sz w:val="20"/>
          <w:szCs w:val="20"/>
          <w:lang w:eastAsia="pt-BR"/>
        </w:rPr>
      </w:pPr>
      <w:r w:rsidRPr="00EE0371">
        <w:rPr>
          <w:rFonts w:ascii="Arial" w:hAnsi="Arial" w:cs="Arial"/>
          <w:sz w:val="20"/>
          <w:szCs w:val="20"/>
          <w:lang w:eastAsia="pt-BR"/>
        </w:rPr>
        <w:t>&lt;NumeroAtoOficial&gt;</w:t>
      </w:r>
      <w:r w:rsidRPr="00EE0371">
        <w:rPr>
          <w:rFonts w:ascii="Arial" w:hAnsi="Arial" w:cs="Arial"/>
          <w:b/>
          <w:sz w:val="20"/>
          <w:szCs w:val="20"/>
          <w:lang w:eastAsia="pt-BR"/>
        </w:rPr>
        <w:t>XXXXXXXX</w:t>
      </w:r>
      <w:r w:rsidRPr="00EE0371">
        <w:rPr>
          <w:rFonts w:ascii="Arial" w:hAnsi="Arial" w:cs="Arial"/>
          <w:sz w:val="20"/>
          <w:szCs w:val="20"/>
          <w:lang w:eastAsia="pt-BR"/>
        </w:rPr>
        <w:t xml:space="preserve">&lt;/NumeroAtoOficial&gt; </w:t>
      </w:r>
    </w:p>
    <w:p w14:paraId="2ABBA024" w14:textId="77777777" w:rsidR="00EE0371" w:rsidRPr="00EE0371" w:rsidRDefault="00EE0371" w:rsidP="00EE0371">
      <w:pPr>
        <w:tabs>
          <w:tab w:val="left" w:pos="8504"/>
        </w:tabs>
        <w:spacing w:after="0" w:line="240" w:lineRule="auto"/>
        <w:ind w:left="851" w:right="-1"/>
        <w:jc w:val="both"/>
        <w:rPr>
          <w:rFonts w:ascii="Arial" w:hAnsi="Arial" w:cs="Arial"/>
          <w:sz w:val="20"/>
          <w:szCs w:val="20"/>
          <w:lang w:eastAsia="pt-BR"/>
        </w:rPr>
      </w:pPr>
      <w:r w:rsidRPr="00EE0371">
        <w:rPr>
          <w:rFonts w:ascii="Arial" w:hAnsi="Arial" w:cs="Arial"/>
          <w:sz w:val="20"/>
          <w:szCs w:val="20"/>
          <w:lang w:eastAsia="pt-BR"/>
        </w:rPr>
        <w:t>&lt;AnoAtoOficial&gt;</w:t>
      </w:r>
      <w:r w:rsidRPr="00EE0371">
        <w:rPr>
          <w:rFonts w:ascii="Arial" w:hAnsi="Arial" w:cs="Arial"/>
          <w:b/>
          <w:sz w:val="20"/>
          <w:szCs w:val="20"/>
          <w:lang w:eastAsia="pt-BR"/>
        </w:rPr>
        <w:t>9999</w:t>
      </w:r>
      <w:r w:rsidRPr="00EE0371">
        <w:rPr>
          <w:rFonts w:ascii="Arial" w:hAnsi="Arial" w:cs="Arial"/>
          <w:sz w:val="20"/>
          <w:szCs w:val="20"/>
          <w:lang w:eastAsia="pt-BR"/>
        </w:rPr>
        <w:t>&lt;/AnoAtoOficial&gt;</w:t>
      </w:r>
    </w:p>
    <w:p w14:paraId="7AFB4823" w14:textId="77777777" w:rsidR="00EE0371" w:rsidRPr="00EE0371" w:rsidRDefault="00EE0371" w:rsidP="00EE0371">
      <w:pPr>
        <w:tabs>
          <w:tab w:val="left" w:pos="8504"/>
        </w:tabs>
        <w:spacing w:after="0" w:line="240" w:lineRule="auto"/>
        <w:ind w:left="851" w:right="-1"/>
        <w:jc w:val="both"/>
        <w:rPr>
          <w:rFonts w:ascii="Arial" w:hAnsi="Arial" w:cs="Arial"/>
          <w:sz w:val="20"/>
          <w:szCs w:val="20"/>
          <w:lang w:eastAsia="pt-BR"/>
        </w:rPr>
      </w:pPr>
      <w:r w:rsidRPr="00EE0371">
        <w:rPr>
          <w:rFonts w:ascii="Arial" w:hAnsi="Arial" w:cs="Arial"/>
          <w:sz w:val="20"/>
          <w:szCs w:val="20"/>
          <w:lang w:eastAsia="pt-BR"/>
        </w:rPr>
        <w:t>&lt;DataPublicacaoAtoOficial&gt;</w:t>
      </w:r>
      <w:r w:rsidRPr="00EE0371">
        <w:rPr>
          <w:rFonts w:ascii="Arial" w:hAnsi="Arial" w:cs="Arial"/>
          <w:b/>
          <w:sz w:val="20"/>
          <w:szCs w:val="20"/>
          <w:lang w:eastAsia="pt-BR"/>
        </w:rPr>
        <w:t>9999-99-99</w:t>
      </w:r>
      <w:r w:rsidRPr="00EE0371">
        <w:rPr>
          <w:rFonts w:ascii="Arial" w:hAnsi="Arial" w:cs="Arial"/>
          <w:sz w:val="20"/>
          <w:szCs w:val="20"/>
          <w:lang w:eastAsia="pt-BR"/>
        </w:rPr>
        <w:t xml:space="preserve">&lt;/DataPublicacaoAtoOficial&gt; </w:t>
      </w:r>
    </w:p>
    <w:p w14:paraId="150B565C" w14:textId="77777777" w:rsidR="00EE0371" w:rsidRPr="00EE0371" w:rsidRDefault="00EE0371" w:rsidP="00EE0371">
      <w:pPr>
        <w:tabs>
          <w:tab w:val="left" w:pos="8504"/>
        </w:tabs>
        <w:spacing w:after="0" w:line="240" w:lineRule="auto"/>
        <w:ind w:left="851" w:right="-1"/>
        <w:jc w:val="both"/>
        <w:rPr>
          <w:rFonts w:ascii="Arial" w:hAnsi="Arial" w:cs="Arial"/>
          <w:sz w:val="20"/>
          <w:szCs w:val="20"/>
          <w:lang w:eastAsia="pt-BR"/>
        </w:rPr>
      </w:pPr>
      <w:r w:rsidRPr="00EE0371">
        <w:rPr>
          <w:rFonts w:ascii="Arial" w:hAnsi="Arial" w:cs="Arial"/>
          <w:sz w:val="20"/>
          <w:szCs w:val="20"/>
          <w:lang w:eastAsia="pt-BR"/>
        </w:rPr>
        <w:t>&lt;TipoAtoOficial&gt;</w:t>
      </w:r>
      <w:r w:rsidRPr="00EE0371">
        <w:rPr>
          <w:rFonts w:ascii="Arial" w:hAnsi="Arial" w:cs="Arial"/>
          <w:b/>
          <w:sz w:val="20"/>
          <w:szCs w:val="20"/>
          <w:lang w:eastAsia="pt-BR"/>
        </w:rPr>
        <w:t>9</w:t>
      </w:r>
      <w:r w:rsidRPr="00EE0371">
        <w:rPr>
          <w:rFonts w:ascii="Arial" w:hAnsi="Arial" w:cs="Arial"/>
          <w:sz w:val="20"/>
          <w:szCs w:val="20"/>
          <w:lang w:eastAsia="pt-BR"/>
        </w:rPr>
        <w:t xml:space="preserve">&lt;/TipoAtoOficial&gt; </w:t>
      </w:r>
    </w:p>
    <w:p w14:paraId="6EFCD3C5" w14:textId="77777777" w:rsidR="00EE0371" w:rsidRPr="00EE0371" w:rsidRDefault="00EE0371" w:rsidP="00EE0371">
      <w:pPr>
        <w:tabs>
          <w:tab w:val="left" w:pos="8504"/>
        </w:tabs>
        <w:spacing w:after="0" w:line="240" w:lineRule="auto"/>
        <w:ind w:left="851" w:right="-1"/>
        <w:jc w:val="both"/>
        <w:rPr>
          <w:rFonts w:ascii="Arial" w:hAnsi="Arial" w:cs="Arial"/>
          <w:sz w:val="20"/>
          <w:szCs w:val="20"/>
          <w:lang w:eastAsia="pt-BR"/>
        </w:rPr>
      </w:pPr>
      <w:r w:rsidRPr="00EE0371">
        <w:rPr>
          <w:rFonts w:ascii="Arial" w:hAnsi="Arial" w:cs="Arial"/>
          <w:sz w:val="20"/>
          <w:szCs w:val="20"/>
          <w:lang w:eastAsia="pt-BR"/>
        </w:rPr>
        <w:t>&lt;TipoCreditoAdicional&gt;</w:t>
      </w:r>
      <w:r w:rsidRPr="00EE0371">
        <w:rPr>
          <w:rFonts w:ascii="Arial" w:hAnsi="Arial" w:cs="Arial"/>
          <w:b/>
          <w:sz w:val="20"/>
          <w:szCs w:val="20"/>
          <w:lang w:eastAsia="pt-BR"/>
        </w:rPr>
        <w:t>9</w:t>
      </w:r>
      <w:r w:rsidRPr="00EE0371">
        <w:rPr>
          <w:rFonts w:ascii="Arial" w:hAnsi="Arial" w:cs="Arial"/>
          <w:sz w:val="20"/>
          <w:szCs w:val="20"/>
          <w:lang w:eastAsia="pt-BR"/>
        </w:rPr>
        <w:t xml:space="preserve">&lt;/TipoCreditoAdicional&gt; </w:t>
      </w:r>
    </w:p>
    <w:p w14:paraId="7455304A" w14:textId="77777777" w:rsidR="00EE0371" w:rsidRPr="00EE0371" w:rsidRDefault="00EE0371" w:rsidP="00EE0371">
      <w:pPr>
        <w:tabs>
          <w:tab w:val="left" w:pos="8504"/>
        </w:tabs>
        <w:spacing w:after="0" w:line="240" w:lineRule="auto"/>
        <w:ind w:left="851" w:right="-1"/>
        <w:jc w:val="both"/>
        <w:rPr>
          <w:rFonts w:ascii="Arial" w:hAnsi="Arial" w:cs="Arial"/>
          <w:sz w:val="20"/>
          <w:szCs w:val="20"/>
          <w:lang w:eastAsia="pt-BR"/>
        </w:rPr>
      </w:pPr>
      <w:r w:rsidRPr="00EE0371">
        <w:rPr>
          <w:rFonts w:ascii="Arial" w:hAnsi="Arial" w:cs="Arial"/>
          <w:sz w:val="20"/>
          <w:szCs w:val="20"/>
          <w:lang w:eastAsia="pt-BR"/>
        </w:rPr>
        <w:t>&lt;TipoFonteRecursos&gt;</w:t>
      </w:r>
      <w:r w:rsidRPr="00EE0371">
        <w:rPr>
          <w:rFonts w:ascii="Arial" w:hAnsi="Arial" w:cs="Arial"/>
          <w:b/>
          <w:sz w:val="20"/>
          <w:szCs w:val="20"/>
          <w:lang w:eastAsia="pt-BR"/>
        </w:rPr>
        <w:t>9</w:t>
      </w:r>
      <w:r w:rsidRPr="00EE0371">
        <w:rPr>
          <w:rFonts w:ascii="Arial" w:hAnsi="Arial" w:cs="Arial"/>
          <w:sz w:val="20"/>
          <w:szCs w:val="20"/>
          <w:lang w:eastAsia="pt-BR"/>
        </w:rPr>
        <w:t xml:space="preserve">&lt;/TipoFonteRecursos&gt; </w:t>
      </w:r>
    </w:p>
    <w:p w14:paraId="032A6D50" w14:textId="77777777" w:rsidR="00EE0371" w:rsidRPr="00EE0371" w:rsidRDefault="00EE0371" w:rsidP="00EE0371">
      <w:pPr>
        <w:tabs>
          <w:tab w:val="left" w:pos="8504"/>
        </w:tabs>
        <w:spacing w:after="0" w:line="240" w:lineRule="auto"/>
        <w:ind w:left="851" w:right="-1"/>
        <w:jc w:val="both"/>
        <w:rPr>
          <w:rFonts w:ascii="Arial" w:hAnsi="Arial" w:cs="Arial"/>
          <w:sz w:val="20"/>
          <w:szCs w:val="20"/>
          <w:lang w:eastAsia="pt-BR"/>
        </w:rPr>
      </w:pPr>
      <w:r w:rsidRPr="00EE0371">
        <w:rPr>
          <w:rFonts w:ascii="Arial" w:hAnsi="Arial" w:cs="Arial"/>
          <w:sz w:val="20"/>
          <w:szCs w:val="20"/>
          <w:lang w:eastAsia="pt-BR"/>
        </w:rPr>
        <w:t>&lt;TipoAtualizacao&gt;</w:t>
      </w:r>
      <w:r w:rsidRPr="00EE0371">
        <w:rPr>
          <w:rFonts w:ascii="Arial" w:hAnsi="Arial" w:cs="Arial"/>
          <w:b/>
          <w:sz w:val="20"/>
          <w:szCs w:val="20"/>
          <w:lang w:eastAsia="pt-BR"/>
        </w:rPr>
        <w:t>9</w:t>
      </w:r>
      <w:r w:rsidRPr="00EE0371">
        <w:rPr>
          <w:rFonts w:ascii="Arial" w:hAnsi="Arial" w:cs="Arial"/>
          <w:sz w:val="20"/>
          <w:szCs w:val="20"/>
          <w:lang w:eastAsia="pt-BR"/>
        </w:rPr>
        <w:t xml:space="preserve">&lt;/TipoAtualizacao&gt; </w:t>
      </w:r>
    </w:p>
    <w:p w14:paraId="0DB0553B" w14:textId="77777777" w:rsidR="00EE0371" w:rsidRPr="00EE0371" w:rsidRDefault="00EE0371" w:rsidP="00EE0371">
      <w:pPr>
        <w:tabs>
          <w:tab w:val="left" w:pos="8504"/>
        </w:tabs>
        <w:spacing w:after="0" w:line="240" w:lineRule="auto"/>
        <w:ind w:left="851" w:right="-1"/>
        <w:jc w:val="both"/>
        <w:rPr>
          <w:rFonts w:ascii="Arial" w:hAnsi="Arial" w:cs="Arial"/>
          <w:sz w:val="20"/>
          <w:szCs w:val="20"/>
          <w:lang w:eastAsia="pt-BR"/>
        </w:rPr>
      </w:pPr>
      <w:r w:rsidRPr="00EE0371">
        <w:rPr>
          <w:rFonts w:ascii="Arial" w:hAnsi="Arial" w:cs="Arial"/>
          <w:sz w:val="20"/>
          <w:szCs w:val="20"/>
          <w:lang w:eastAsia="pt-BR"/>
        </w:rPr>
        <w:t>&lt;CodigoUnidadeGestora&gt;</w:t>
      </w:r>
      <w:r w:rsidRPr="00EE0371">
        <w:rPr>
          <w:rFonts w:ascii="Arial" w:hAnsi="Arial" w:cs="Arial"/>
          <w:b/>
          <w:sz w:val="20"/>
          <w:szCs w:val="20"/>
          <w:lang w:eastAsia="pt-BR"/>
        </w:rPr>
        <w:t>XXXXXXXXXXX</w:t>
      </w:r>
      <w:r w:rsidRPr="00EE0371">
        <w:rPr>
          <w:rFonts w:ascii="Arial" w:hAnsi="Arial" w:cs="Arial"/>
          <w:sz w:val="20"/>
          <w:szCs w:val="20"/>
          <w:lang w:eastAsia="pt-BR"/>
        </w:rPr>
        <w:t xml:space="preserve">&lt;/CodigoUnidadeGestora&gt; </w:t>
      </w:r>
    </w:p>
    <w:p w14:paraId="40C270A2" w14:textId="77777777" w:rsidR="00EE0371" w:rsidRPr="00EE0371" w:rsidRDefault="00EE0371" w:rsidP="00EE0371">
      <w:pPr>
        <w:tabs>
          <w:tab w:val="left" w:pos="8504"/>
        </w:tabs>
        <w:spacing w:after="0" w:line="240" w:lineRule="auto"/>
        <w:ind w:left="851" w:right="-1"/>
        <w:jc w:val="both"/>
        <w:rPr>
          <w:rFonts w:ascii="Arial" w:hAnsi="Arial" w:cs="Arial"/>
          <w:sz w:val="20"/>
          <w:szCs w:val="20"/>
          <w:lang w:eastAsia="pt-BR"/>
        </w:rPr>
      </w:pPr>
      <w:r w:rsidRPr="00EE0371">
        <w:rPr>
          <w:rFonts w:ascii="Arial" w:hAnsi="Arial" w:cs="Arial"/>
          <w:sz w:val="20"/>
          <w:szCs w:val="20"/>
          <w:lang w:eastAsia="pt-BR"/>
        </w:rPr>
        <w:t>&lt;CodigoOrgao&gt;</w:t>
      </w:r>
      <w:r w:rsidRPr="00EE0371">
        <w:rPr>
          <w:rFonts w:ascii="Arial" w:hAnsi="Arial" w:cs="Arial"/>
          <w:b/>
          <w:sz w:val="20"/>
          <w:szCs w:val="20"/>
          <w:lang w:eastAsia="pt-BR"/>
        </w:rPr>
        <w:t>XXXXXX</w:t>
      </w:r>
      <w:r w:rsidRPr="00EE0371">
        <w:rPr>
          <w:rFonts w:ascii="Arial" w:hAnsi="Arial" w:cs="Arial"/>
          <w:sz w:val="20"/>
          <w:szCs w:val="20"/>
          <w:lang w:eastAsia="pt-BR"/>
        </w:rPr>
        <w:t xml:space="preserve">&lt;/CodigoOrgao&gt; </w:t>
      </w:r>
    </w:p>
    <w:p w14:paraId="7E67CA2B" w14:textId="77777777" w:rsidR="00EE0371" w:rsidRPr="00EE0371" w:rsidRDefault="00EE0371" w:rsidP="00EE0371">
      <w:pPr>
        <w:tabs>
          <w:tab w:val="left" w:pos="8504"/>
        </w:tabs>
        <w:spacing w:after="0" w:line="240" w:lineRule="auto"/>
        <w:ind w:left="851" w:right="-1"/>
        <w:jc w:val="both"/>
        <w:rPr>
          <w:rFonts w:ascii="Arial" w:hAnsi="Arial" w:cs="Arial"/>
          <w:sz w:val="20"/>
          <w:szCs w:val="20"/>
          <w:lang w:eastAsia="pt-BR"/>
        </w:rPr>
      </w:pPr>
      <w:r w:rsidRPr="00EE0371">
        <w:rPr>
          <w:rFonts w:ascii="Arial" w:hAnsi="Arial" w:cs="Arial"/>
          <w:sz w:val="20"/>
          <w:szCs w:val="20"/>
          <w:lang w:eastAsia="pt-BR"/>
        </w:rPr>
        <w:t>&lt;CodigoUnidadeOrcamentaria&gt;</w:t>
      </w:r>
      <w:r w:rsidRPr="00EE0371">
        <w:rPr>
          <w:rFonts w:ascii="Arial" w:hAnsi="Arial" w:cs="Arial"/>
          <w:b/>
          <w:sz w:val="20"/>
          <w:szCs w:val="20"/>
          <w:lang w:eastAsia="pt-BR"/>
        </w:rPr>
        <w:t>XXXXXX</w:t>
      </w:r>
      <w:r w:rsidRPr="00EE0371">
        <w:rPr>
          <w:rFonts w:ascii="Arial" w:hAnsi="Arial" w:cs="Arial"/>
          <w:sz w:val="20"/>
          <w:szCs w:val="20"/>
          <w:lang w:eastAsia="pt-BR"/>
        </w:rPr>
        <w:t xml:space="preserve">&lt;/CodigoUnidadeOrcamentaria&gt; </w:t>
      </w:r>
    </w:p>
    <w:p w14:paraId="6EC3D339" w14:textId="77777777" w:rsidR="00EE0371" w:rsidRPr="00EE0371" w:rsidRDefault="00EE0371" w:rsidP="00EE0371">
      <w:pPr>
        <w:tabs>
          <w:tab w:val="left" w:pos="8504"/>
        </w:tabs>
        <w:spacing w:after="0" w:line="240" w:lineRule="auto"/>
        <w:ind w:left="851" w:right="-1"/>
        <w:jc w:val="both"/>
        <w:rPr>
          <w:rFonts w:ascii="Arial" w:hAnsi="Arial" w:cs="Arial"/>
          <w:sz w:val="20"/>
          <w:szCs w:val="20"/>
          <w:lang w:eastAsia="pt-BR"/>
        </w:rPr>
      </w:pPr>
      <w:r w:rsidRPr="00EE0371">
        <w:rPr>
          <w:rFonts w:ascii="Arial" w:hAnsi="Arial" w:cs="Arial"/>
          <w:sz w:val="20"/>
          <w:szCs w:val="20"/>
          <w:lang w:eastAsia="pt-BR"/>
        </w:rPr>
        <w:t>&lt;CodigoFuncao&gt;</w:t>
      </w:r>
      <w:r w:rsidRPr="00EE0371">
        <w:rPr>
          <w:rFonts w:ascii="Arial" w:hAnsi="Arial" w:cs="Arial"/>
          <w:b/>
          <w:sz w:val="20"/>
          <w:szCs w:val="20"/>
          <w:lang w:eastAsia="pt-BR"/>
        </w:rPr>
        <w:t>XX</w:t>
      </w:r>
      <w:r w:rsidRPr="00EE0371">
        <w:rPr>
          <w:rFonts w:ascii="Arial" w:hAnsi="Arial" w:cs="Arial"/>
          <w:sz w:val="20"/>
          <w:szCs w:val="20"/>
          <w:lang w:eastAsia="pt-BR"/>
        </w:rPr>
        <w:t xml:space="preserve">&lt;/CodigoFuncao&gt; </w:t>
      </w:r>
    </w:p>
    <w:p w14:paraId="698B186E" w14:textId="77777777" w:rsidR="00EE0371" w:rsidRPr="00EE0371" w:rsidRDefault="00EE0371" w:rsidP="00EE0371">
      <w:pPr>
        <w:tabs>
          <w:tab w:val="left" w:pos="8504"/>
        </w:tabs>
        <w:spacing w:after="0" w:line="240" w:lineRule="auto"/>
        <w:ind w:left="851" w:right="-1"/>
        <w:jc w:val="both"/>
        <w:rPr>
          <w:rFonts w:ascii="Arial" w:hAnsi="Arial" w:cs="Arial"/>
          <w:sz w:val="20"/>
          <w:szCs w:val="20"/>
          <w:lang w:eastAsia="pt-BR"/>
        </w:rPr>
      </w:pPr>
      <w:r w:rsidRPr="00EE0371">
        <w:rPr>
          <w:rFonts w:ascii="Arial" w:hAnsi="Arial" w:cs="Arial"/>
          <w:sz w:val="20"/>
          <w:szCs w:val="20"/>
          <w:lang w:eastAsia="pt-BR"/>
        </w:rPr>
        <w:t>&lt;CodigoSubFuncao&gt;</w:t>
      </w:r>
      <w:r w:rsidRPr="00EE0371">
        <w:rPr>
          <w:rFonts w:ascii="Arial" w:hAnsi="Arial" w:cs="Arial"/>
          <w:b/>
          <w:sz w:val="20"/>
          <w:szCs w:val="20"/>
          <w:lang w:eastAsia="pt-BR"/>
        </w:rPr>
        <w:t>XXX</w:t>
      </w:r>
      <w:r w:rsidRPr="00EE0371">
        <w:rPr>
          <w:rFonts w:ascii="Arial" w:hAnsi="Arial" w:cs="Arial"/>
          <w:sz w:val="20"/>
          <w:szCs w:val="20"/>
          <w:lang w:eastAsia="pt-BR"/>
        </w:rPr>
        <w:t xml:space="preserve">&lt;/CodigoSubFuncao&gt; </w:t>
      </w:r>
    </w:p>
    <w:p w14:paraId="1835355D" w14:textId="77777777" w:rsidR="00EE0371" w:rsidRPr="00EE0371" w:rsidRDefault="00EE0371" w:rsidP="00EE0371">
      <w:pPr>
        <w:tabs>
          <w:tab w:val="left" w:pos="8504"/>
        </w:tabs>
        <w:spacing w:after="0" w:line="240" w:lineRule="auto"/>
        <w:ind w:left="851" w:right="-1"/>
        <w:jc w:val="both"/>
        <w:rPr>
          <w:rFonts w:ascii="Arial" w:hAnsi="Arial" w:cs="Arial"/>
          <w:sz w:val="20"/>
          <w:szCs w:val="20"/>
          <w:lang w:eastAsia="pt-BR"/>
        </w:rPr>
      </w:pPr>
      <w:r w:rsidRPr="00EE0371">
        <w:rPr>
          <w:rFonts w:ascii="Arial" w:hAnsi="Arial" w:cs="Arial"/>
          <w:sz w:val="20"/>
          <w:szCs w:val="20"/>
          <w:lang w:eastAsia="pt-BR"/>
        </w:rPr>
        <w:t>&lt;CodigoPrograma&gt;</w:t>
      </w:r>
      <w:r w:rsidRPr="00EE0371">
        <w:rPr>
          <w:rFonts w:ascii="Arial" w:hAnsi="Arial" w:cs="Arial"/>
          <w:b/>
          <w:sz w:val="20"/>
          <w:szCs w:val="20"/>
          <w:lang w:eastAsia="pt-BR"/>
        </w:rPr>
        <w:t>XXXX</w:t>
      </w:r>
      <w:r w:rsidRPr="00EE0371">
        <w:rPr>
          <w:rFonts w:ascii="Arial" w:hAnsi="Arial" w:cs="Arial"/>
          <w:sz w:val="20"/>
          <w:szCs w:val="20"/>
          <w:lang w:eastAsia="pt-BR"/>
        </w:rPr>
        <w:t xml:space="preserve">&lt;/CodigoPrograma&gt; </w:t>
      </w:r>
    </w:p>
    <w:p w14:paraId="4C4CFEDC" w14:textId="77777777" w:rsidR="00EE0371" w:rsidRPr="00EE0371" w:rsidRDefault="00EE0371" w:rsidP="00EE0371">
      <w:pPr>
        <w:tabs>
          <w:tab w:val="left" w:pos="8504"/>
        </w:tabs>
        <w:spacing w:after="0" w:line="240" w:lineRule="auto"/>
        <w:ind w:left="851" w:right="-1"/>
        <w:jc w:val="both"/>
        <w:rPr>
          <w:rFonts w:ascii="Arial" w:hAnsi="Arial" w:cs="Arial"/>
          <w:sz w:val="20"/>
          <w:szCs w:val="20"/>
          <w:lang w:eastAsia="pt-BR"/>
        </w:rPr>
      </w:pPr>
      <w:r w:rsidRPr="00EE0371">
        <w:rPr>
          <w:rFonts w:ascii="Arial" w:hAnsi="Arial" w:cs="Arial"/>
          <w:sz w:val="20"/>
          <w:szCs w:val="20"/>
          <w:lang w:eastAsia="pt-BR"/>
        </w:rPr>
        <w:t>&lt;CodigoAcao&gt;</w:t>
      </w:r>
      <w:r w:rsidRPr="00EE0371">
        <w:rPr>
          <w:rFonts w:ascii="Arial" w:hAnsi="Arial" w:cs="Arial"/>
          <w:b/>
          <w:sz w:val="20"/>
          <w:szCs w:val="20"/>
          <w:lang w:eastAsia="pt-BR"/>
        </w:rPr>
        <w:t>XXXXX</w:t>
      </w:r>
      <w:r w:rsidRPr="00EE0371">
        <w:rPr>
          <w:rFonts w:ascii="Arial" w:hAnsi="Arial" w:cs="Arial"/>
          <w:sz w:val="20"/>
          <w:szCs w:val="20"/>
          <w:lang w:eastAsia="pt-BR"/>
        </w:rPr>
        <w:t xml:space="preserve">&lt;/CodigoAcao&gt; </w:t>
      </w:r>
    </w:p>
    <w:p w14:paraId="40DA221A" w14:textId="77777777" w:rsidR="00EE0371" w:rsidRPr="00EE0371" w:rsidRDefault="00EE0371" w:rsidP="00EE0371">
      <w:pPr>
        <w:tabs>
          <w:tab w:val="left" w:pos="8504"/>
        </w:tabs>
        <w:spacing w:after="0" w:line="240" w:lineRule="auto"/>
        <w:ind w:left="851" w:right="-1"/>
        <w:jc w:val="both"/>
        <w:rPr>
          <w:rFonts w:ascii="Arial" w:hAnsi="Arial" w:cs="Arial"/>
          <w:sz w:val="20"/>
          <w:szCs w:val="20"/>
          <w:lang w:eastAsia="pt-BR"/>
        </w:rPr>
      </w:pPr>
      <w:r w:rsidRPr="00EE0371">
        <w:rPr>
          <w:rFonts w:ascii="Arial" w:hAnsi="Arial" w:cs="Arial"/>
          <w:sz w:val="20"/>
          <w:szCs w:val="20"/>
          <w:lang w:eastAsia="pt-BR"/>
        </w:rPr>
        <w:t>&lt;CategoriaEconomicaDespesa&gt;</w:t>
      </w:r>
      <w:r w:rsidRPr="00EE0371">
        <w:rPr>
          <w:rFonts w:ascii="Arial" w:hAnsi="Arial" w:cs="Arial"/>
          <w:b/>
          <w:sz w:val="20"/>
          <w:szCs w:val="20"/>
          <w:lang w:eastAsia="pt-BR"/>
        </w:rPr>
        <w:t>9</w:t>
      </w:r>
      <w:r w:rsidRPr="00EE0371">
        <w:rPr>
          <w:rFonts w:ascii="Arial" w:hAnsi="Arial" w:cs="Arial"/>
          <w:sz w:val="20"/>
          <w:szCs w:val="20"/>
          <w:lang w:eastAsia="pt-BR"/>
        </w:rPr>
        <w:t xml:space="preserve">&lt;/CategoriaEconomicaDespesa&gt; </w:t>
      </w:r>
    </w:p>
    <w:p w14:paraId="0B5B13AB" w14:textId="77777777" w:rsidR="00EE0371" w:rsidRPr="00EE0371" w:rsidRDefault="00EE0371" w:rsidP="00EE0371">
      <w:pPr>
        <w:tabs>
          <w:tab w:val="left" w:pos="8504"/>
        </w:tabs>
        <w:spacing w:after="0" w:line="240" w:lineRule="auto"/>
        <w:ind w:left="851" w:right="-1"/>
        <w:jc w:val="both"/>
        <w:rPr>
          <w:rFonts w:ascii="Arial" w:hAnsi="Arial" w:cs="Arial"/>
          <w:sz w:val="20"/>
          <w:szCs w:val="20"/>
          <w:lang w:eastAsia="pt-BR"/>
        </w:rPr>
      </w:pPr>
      <w:r w:rsidRPr="00EE0371">
        <w:rPr>
          <w:rFonts w:ascii="Arial" w:hAnsi="Arial" w:cs="Arial"/>
          <w:sz w:val="20"/>
          <w:szCs w:val="20"/>
          <w:lang w:eastAsia="pt-BR"/>
        </w:rPr>
        <w:t>&lt;GrupoNaturezaDespesa&gt;</w:t>
      </w:r>
      <w:r w:rsidRPr="00EE0371">
        <w:rPr>
          <w:rFonts w:ascii="Arial" w:hAnsi="Arial" w:cs="Arial"/>
          <w:b/>
          <w:sz w:val="20"/>
          <w:szCs w:val="20"/>
          <w:lang w:eastAsia="pt-BR"/>
        </w:rPr>
        <w:t>9</w:t>
      </w:r>
      <w:r w:rsidRPr="00EE0371">
        <w:rPr>
          <w:rFonts w:ascii="Arial" w:hAnsi="Arial" w:cs="Arial"/>
          <w:sz w:val="20"/>
          <w:szCs w:val="20"/>
          <w:lang w:eastAsia="pt-BR"/>
        </w:rPr>
        <w:t xml:space="preserve">&lt;/GrupoNaturezaDespesa&gt; </w:t>
      </w:r>
    </w:p>
    <w:p w14:paraId="400E40E4" w14:textId="77777777" w:rsidR="00EE0371" w:rsidRPr="00EE0371" w:rsidRDefault="00EE0371" w:rsidP="00EE0371">
      <w:pPr>
        <w:tabs>
          <w:tab w:val="left" w:pos="8504"/>
        </w:tabs>
        <w:spacing w:after="0" w:line="240" w:lineRule="auto"/>
        <w:ind w:left="851" w:right="-1"/>
        <w:jc w:val="both"/>
        <w:rPr>
          <w:rFonts w:ascii="Arial" w:hAnsi="Arial" w:cs="Arial"/>
          <w:sz w:val="20"/>
          <w:szCs w:val="20"/>
          <w:lang w:eastAsia="pt-BR"/>
        </w:rPr>
      </w:pPr>
      <w:r w:rsidRPr="00EE0371">
        <w:rPr>
          <w:rFonts w:ascii="Arial" w:hAnsi="Arial" w:cs="Arial"/>
          <w:sz w:val="20"/>
          <w:szCs w:val="20"/>
          <w:lang w:eastAsia="pt-BR"/>
        </w:rPr>
        <w:t>&lt;ModalidadeAplicacao&gt;</w:t>
      </w:r>
      <w:r w:rsidRPr="00EE0371">
        <w:rPr>
          <w:rFonts w:ascii="Arial" w:hAnsi="Arial" w:cs="Arial"/>
          <w:b/>
          <w:sz w:val="20"/>
          <w:szCs w:val="20"/>
          <w:lang w:eastAsia="pt-BR"/>
        </w:rPr>
        <w:t>99</w:t>
      </w:r>
      <w:r w:rsidRPr="00EE0371">
        <w:rPr>
          <w:rFonts w:ascii="Arial" w:hAnsi="Arial" w:cs="Arial"/>
          <w:sz w:val="20"/>
          <w:szCs w:val="20"/>
          <w:lang w:eastAsia="pt-BR"/>
        </w:rPr>
        <w:t xml:space="preserve">&lt;/ModalidadeAplicacao&gt; </w:t>
      </w:r>
    </w:p>
    <w:p w14:paraId="7DDC4663" w14:textId="77777777" w:rsidR="00EE0371" w:rsidRPr="00EE0371" w:rsidRDefault="00EE0371" w:rsidP="00EE0371">
      <w:pPr>
        <w:tabs>
          <w:tab w:val="left" w:pos="8504"/>
        </w:tabs>
        <w:spacing w:after="0" w:line="240" w:lineRule="auto"/>
        <w:ind w:left="851" w:right="-1"/>
        <w:jc w:val="both"/>
        <w:rPr>
          <w:rFonts w:ascii="Arial" w:hAnsi="Arial" w:cs="Arial"/>
          <w:sz w:val="20"/>
          <w:szCs w:val="20"/>
          <w:lang w:eastAsia="pt-BR"/>
        </w:rPr>
      </w:pPr>
      <w:r w:rsidRPr="00EE0371">
        <w:rPr>
          <w:rFonts w:ascii="Arial" w:hAnsi="Arial" w:cs="Arial"/>
          <w:sz w:val="20"/>
          <w:szCs w:val="20"/>
          <w:lang w:eastAsia="pt-BR"/>
        </w:rPr>
        <w:t>&lt;ElementoDespesa&gt;</w:t>
      </w:r>
      <w:r w:rsidRPr="00EE0371">
        <w:rPr>
          <w:rFonts w:ascii="Arial" w:hAnsi="Arial" w:cs="Arial"/>
          <w:b/>
          <w:sz w:val="20"/>
          <w:szCs w:val="20"/>
          <w:lang w:eastAsia="pt-BR"/>
        </w:rPr>
        <w:t>99</w:t>
      </w:r>
      <w:r w:rsidRPr="00EE0371">
        <w:rPr>
          <w:rFonts w:ascii="Arial" w:hAnsi="Arial" w:cs="Arial"/>
          <w:sz w:val="20"/>
          <w:szCs w:val="20"/>
          <w:lang w:eastAsia="pt-BR"/>
        </w:rPr>
        <w:t xml:space="preserve">&lt;/ElementoDespesa&gt; </w:t>
      </w:r>
    </w:p>
    <w:p w14:paraId="068542D3" w14:textId="77777777" w:rsidR="00EE0371" w:rsidRPr="00EE0371" w:rsidRDefault="00EE0371" w:rsidP="00EE0371">
      <w:pPr>
        <w:tabs>
          <w:tab w:val="left" w:pos="8504"/>
        </w:tabs>
        <w:spacing w:after="0" w:line="240" w:lineRule="auto"/>
        <w:ind w:left="851" w:right="-1"/>
        <w:jc w:val="both"/>
        <w:rPr>
          <w:rFonts w:ascii="Arial" w:hAnsi="Arial" w:cs="Arial"/>
          <w:sz w:val="20"/>
          <w:szCs w:val="20"/>
          <w:lang w:eastAsia="pt-BR"/>
        </w:rPr>
      </w:pPr>
      <w:r w:rsidRPr="00EE0371">
        <w:rPr>
          <w:rFonts w:ascii="Arial" w:hAnsi="Arial" w:cs="Arial"/>
          <w:sz w:val="20"/>
          <w:szCs w:val="20"/>
          <w:lang w:eastAsia="pt-BR"/>
        </w:rPr>
        <w:t>&lt;CodigoGrupoFonteDestinacaoRecursos&gt;</w:t>
      </w:r>
      <w:r w:rsidRPr="00EE0371">
        <w:rPr>
          <w:rFonts w:ascii="Arial" w:hAnsi="Arial" w:cs="Arial"/>
          <w:b/>
          <w:sz w:val="20"/>
          <w:szCs w:val="20"/>
          <w:lang w:eastAsia="pt-BR"/>
        </w:rPr>
        <w:t>9</w:t>
      </w:r>
    </w:p>
    <w:p w14:paraId="416139B2" w14:textId="77777777" w:rsidR="00EE0371" w:rsidRPr="00EE0371" w:rsidRDefault="00EE0371" w:rsidP="00EE0371">
      <w:pPr>
        <w:tabs>
          <w:tab w:val="left" w:pos="8504"/>
        </w:tabs>
        <w:spacing w:after="0" w:line="240" w:lineRule="auto"/>
        <w:ind w:left="851" w:right="-1"/>
        <w:jc w:val="both"/>
        <w:rPr>
          <w:rFonts w:ascii="Arial" w:hAnsi="Arial" w:cs="Arial"/>
          <w:sz w:val="20"/>
          <w:szCs w:val="20"/>
          <w:lang w:eastAsia="pt-BR"/>
        </w:rPr>
      </w:pPr>
      <w:r w:rsidRPr="00EE0371">
        <w:rPr>
          <w:rFonts w:ascii="Arial" w:hAnsi="Arial" w:cs="Arial"/>
          <w:sz w:val="20"/>
          <w:szCs w:val="20"/>
          <w:lang w:eastAsia="pt-BR"/>
        </w:rPr>
        <w:t>&lt;/CodigoGrupoFonteDestinacaoRecursos&gt;</w:t>
      </w:r>
    </w:p>
    <w:p w14:paraId="49EF3F79" w14:textId="77777777" w:rsidR="00EE0371" w:rsidRPr="00EE0371" w:rsidRDefault="00EE0371" w:rsidP="00EE0371">
      <w:pPr>
        <w:tabs>
          <w:tab w:val="left" w:pos="8504"/>
        </w:tabs>
        <w:spacing w:after="0" w:line="240" w:lineRule="auto"/>
        <w:ind w:left="851" w:right="-1"/>
        <w:jc w:val="both"/>
        <w:rPr>
          <w:rFonts w:ascii="Arial" w:hAnsi="Arial" w:cs="Arial"/>
          <w:sz w:val="20"/>
          <w:szCs w:val="20"/>
          <w:lang w:eastAsia="pt-BR"/>
        </w:rPr>
      </w:pPr>
      <w:r w:rsidRPr="00EE0371">
        <w:rPr>
          <w:rFonts w:ascii="Arial" w:hAnsi="Arial" w:cs="Arial"/>
          <w:sz w:val="20"/>
          <w:szCs w:val="20"/>
          <w:lang w:eastAsia="pt-BR"/>
        </w:rPr>
        <w:t>&lt;CodigoEspecificacaoFonteDestinacaoRecursos&gt;</w:t>
      </w:r>
      <w:r w:rsidRPr="00EE0371">
        <w:rPr>
          <w:rFonts w:ascii="Arial" w:hAnsi="Arial" w:cs="Arial"/>
          <w:b/>
          <w:sz w:val="20"/>
          <w:szCs w:val="20"/>
          <w:lang w:eastAsia="pt-BR"/>
        </w:rPr>
        <w:t>XXX</w:t>
      </w:r>
    </w:p>
    <w:p w14:paraId="7A62EEAD" w14:textId="77777777" w:rsidR="00EE0371" w:rsidRPr="00EE0371" w:rsidRDefault="00EE0371" w:rsidP="00EE0371">
      <w:pPr>
        <w:tabs>
          <w:tab w:val="left" w:pos="8504"/>
        </w:tabs>
        <w:spacing w:after="0" w:line="240" w:lineRule="auto"/>
        <w:ind w:left="851" w:right="-1"/>
        <w:jc w:val="both"/>
        <w:rPr>
          <w:rFonts w:ascii="Arial" w:hAnsi="Arial" w:cs="Arial"/>
          <w:sz w:val="20"/>
          <w:szCs w:val="20"/>
          <w:lang w:eastAsia="pt-BR"/>
        </w:rPr>
      </w:pPr>
      <w:r w:rsidRPr="00EE0371">
        <w:rPr>
          <w:rFonts w:ascii="Arial" w:hAnsi="Arial" w:cs="Arial"/>
          <w:sz w:val="20"/>
          <w:szCs w:val="20"/>
          <w:lang w:eastAsia="pt-BR"/>
        </w:rPr>
        <w:t>&lt;/ CodigoEspecificacaoFonteDestinacaoRecursos&gt;</w:t>
      </w:r>
    </w:p>
    <w:p w14:paraId="406B6E5D" w14:textId="77777777" w:rsidR="00EE0371" w:rsidRPr="00EE0371" w:rsidRDefault="00EE0371" w:rsidP="00EE0371">
      <w:pPr>
        <w:tabs>
          <w:tab w:val="left" w:pos="8504"/>
        </w:tabs>
        <w:spacing w:after="0" w:line="240" w:lineRule="auto"/>
        <w:ind w:left="851" w:right="-1"/>
        <w:jc w:val="both"/>
        <w:rPr>
          <w:rFonts w:ascii="Arial" w:hAnsi="Arial" w:cs="Arial"/>
          <w:sz w:val="20"/>
          <w:szCs w:val="20"/>
          <w:lang w:eastAsia="pt-BR"/>
        </w:rPr>
      </w:pPr>
      <w:r w:rsidRPr="00EE0371">
        <w:rPr>
          <w:rFonts w:ascii="Arial" w:hAnsi="Arial" w:cs="Arial"/>
          <w:sz w:val="20"/>
          <w:szCs w:val="20"/>
          <w:lang w:eastAsia="pt-BR"/>
        </w:rPr>
        <w:lastRenderedPageBreak/>
        <w:t>&lt;CodigoDetalhamentoFonteDestinacaoRecursos&gt;</w:t>
      </w:r>
      <w:r w:rsidRPr="00EE0371">
        <w:rPr>
          <w:rFonts w:ascii="Arial" w:hAnsi="Arial" w:cs="Arial"/>
          <w:b/>
          <w:sz w:val="20"/>
          <w:szCs w:val="20"/>
          <w:lang w:eastAsia="pt-BR"/>
        </w:rPr>
        <w:t xml:space="preserve">XXXX </w:t>
      </w:r>
      <w:r w:rsidRPr="00EE0371">
        <w:rPr>
          <w:rFonts w:ascii="Arial" w:hAnsi="Arial" w:cs="Arial"/>
          <w:sz w:val="20"/>
          <w:szCs w:val="20"/>
          <w:lang w:eastAsia="pt-BR"/>
        </w:rPr>
        <w:t xml:space="preserve">           &lt;/CodigoDetalhamentoFonteDestinacaoRecursos&gt;</w:t>
      </w:r>
    </w:p>
    <w:p w14:paraId="7475C803" w14:textId="77777777" w:rsidR="00EE0371" w:rsidRPr="00EE0371" w:rsidRDefault="00EE0371" w:rsidP="00EE0371">
      <w:pPr>
        <w:tabs>
          <w:tab w:val="left" w:pos="8504"/>
        </w:tabs>
        <w:spacing w:after="0" w:line="240" w:lineRule="auto"/>
        <w:ind w:left="851" w:right="-1"/>
        <w:jc w:val="both"/>
        <w:rPr>
          <w:rFonts w:ascii="Arial" w:hAnsi="Arial" w:cs="Arial"/>
          <w:sz w:val="20"/>
          <w:szCs w:val="20"/>
          <w:lang w:eastAsia="pt-BR"/>
        </w:rPr>
      </w:pPr>
      <w:r w:rsidRPr="00EE0371">
        <w:rPr>
          <w:rFonts w:ascii="Arial" w:hAnsi="Arial" w:cs="Arial"/>
          <w:sz w:val="20"/>
          <w:szCs w:val="20"/>
          <w:lang w:eastAsia="pt-BR"/>
        </w:rPr>
        <w:t>&lt;ValorAtualizacao&gt;</w:t>
      </w:r>
      <w:r w:rsidRPr="00EE0371">
        <w:rPr>
          <w:rFonts w:ascii="Arial" w:hAnsi="Arial" w:cs="Arial"/>
          <w:b/>
          <w:sz w:val="20"/>
          <w:szCs w:val="20"/>
          <w:lang w:eastAsia="pt-BR"/>
        </w:rPr>
        <w:t>99999999999999.99</w:t>
      </w:r>
      <w:r w:rsidRPr="00EE0371">
        <w:rPr>
          <w:rFonts w:ascii="Arial" w:hAnsi="Arial" w:cs="Arial"/>
          <w:sz w:val="20"/>
          <w:szCs w:val="20"/>
          <w:lang w:eastAsia="pt-BR"/>
        </w:rPr>
        <w:t xml:space="preserve">&lt;/ValorAtualizacao&gt; </w:t>
      </w:r>
    </w:p>
    <w:p w14:paraId="6587204F" w14:textId="77777777" w:rsidR="00EE0371" w:rsidRPr="00EE0371" w:rsidRDefault="00EE0371" w:rsidP="00EE0371">
      <w:pPr>
        <w:tabs>
          <w:tab w:val="left" w:pos="8504"/>
        </w:tabs>
        <w:spacing w:after="0" w:line="240" w:lineRule="auto"/>
        <w:ind w:right="-1" w:firstLine="567"/>
        <w:jc w:val="both"/>
        <w:rPr>
          <w:rFonts w:ascii="Arial" w:hAnsi="Arial" w:cs="Arial"/>
          <w:sz w:val="20"/>
          <w:szCs w:val="20"/>
          <w:lang w:eastAsia="pt-BR"/>
        </w:rPr>
      </w:pPr>
      <w:r w:rsidRPr="00EE0371">
        <w:rPr>
          <w:rFonts w:ascii="Arial" w:hAnsi="Arial" w:cs="Arial"/>
          <w:sz w:val="20"/>
          <w:szCs w:val="20"/>
          <w:lang w:eastAsia="pt-BR"/>
        </w:rPr>
        <w:t>&lt;/DemonstrativoCreditoAdicional&gt;</w:t>
      </w:r>
    </w:p>
    <w:p w14:paraId="0BEF7568" w14:textId="77777777" w:rsidR="00EE0371" w:rsidRPr="00EE0371" w:rsidRDefault="00EE0371" w:rsidP="00EE0371">
      <w:pPr>
        <w:tabs>
          <w:tab w:val="left" w:pos="8504"/>
        </w:tabs>
        <w:spacing w:after="0" w:line="240" w:lineRule="auto"/>
        <w:ind w:right="-1" w:firstLine="567"/>
        <w:jc w:val="both"/>
        <w:rPr>
          <w:rFonts w:ascii="Arial" w:hAnsi="Arial" w:cs="Arial"/>
          <w:sz w:val="20"/>
          <w:szCs w:val="20"/>
          <w:lang w:eastAsia="pt-BR"/>
        </w:rPr>
      </w:pPr>
      <w:r w:rsidRPr="00EE0371">
        <w:rPr>
          <w:rFonts w:ascii="Arial" w:hAnsi="Arial" w:cs="Arial"/>
          <w:sz w:val="20"/>
          <w:szCs w:val="20"/>
          <w:lang w:eastAsia="pt-BR"/>
        </w:rPr>
        <w:t xml:space="preserve">     </w:t>
      </w:r>
    </w:p>
    <w:p w14:paraId="7C77D02C" w14:textId="77777777" w:rsidR="00EE0371" w:rsidRPr="00EE0371" w:rsidRDefault="00EE0371" w:rsidP="00EE0371">
      <w:pPr>
        <w:tabs>
          <w:tab w:val="left" w:pos="8504"/>
        </w:tabs>
        <w:spacing w:after="0" w:line="240" w:lineRule="auto"/>
        <w:ind w:left="284" w:right="-1"/>
        <w:jc w:val="both"/>
        <w:rPr>
          <w:rFonts w:ascii="Arial" w:hAnsi="Arial" w:cs="Arial"/>
          <w:sz w:val="20"/>
          <w:szCs w:val="20"/>
          <w:lang w:eastAsia="pt-BR"/>
        </w:rPr>
      </w:pPr>
      <w:r w:rsidRPr="00EE0371">
        <w:rPr>
          <w:rFonts w:ascii="Arial" w:hAnsi="Arial" w:cs="Arial"/>
          <w:sz w:val="20"/>
          <w:szCs w:val="20"/>
          <w:lang w:eastAsia="pt-BR"/>
        </w:rPr>
        <w:t>&lt;/DemonstrativoCreditoAdicional_Schema&gt;</w:t>
      </w:r>
    </w:p>
    <w:p w14:paraId="1B7A2D6F" w14:textId="77777777" w:rsidR="00EE0371" w:rsidRPr="00EE0371" w:rsidRDefault="00EE0371" w:rsidP="00EE0371">
      <w:pPr>
        <w:tabs>
          <w:tab w:val="left" w:pos="8504"/>
        </w:tabs>
        <w:spacing w:after="0" w:line="240" w:lineRule="auto"/>
        <w:ind w:right="-1"/>
        <w:jc w:val="both"/>
        <w:rPr>
          <w:rFonts w:ascii="Arial" w:hAnsi="Arial" w:cs="Arial"/>
          <w:sz w:val="20"/>
          <w:szCs w:val="20"/>
          <w:lang w:eastAsia="pt-BR"/>
        </w:rPr>
      </w:pPr>
      <w:r w:rsidRPr="00EE0371">
        <w:rPr>
          <w:rFonts w:ascii="Arial" w:hAnsi="Arial" w:cs="Arial"/>
          <w:sz w:val="20"/>
          <w:szCs w:val="20"/>
          <w:lang w:eastAsia="pt-BR"/>
        </w:rPr>
        <w:t>&lt;/PrestacaoContasAnual&gt;</w:t>
      </w:r>
    </w:p>
    <w:p w14:paraId="392DC222" w14:textId="77777777" w:rsidR="00EE0371" w:rsidRPr="00EE0371" w:rsidRDefault="00EE0371" w:rsidP="00EE0371">
      <w:pPr>
        <w:rPr>
          <w:rFonts w:ascii="Arial" w:hAnsi="Arial" w:cs="Arial"/>
          <w:b/>
          <w:sz w:val="28"/>
        </w:rPr>
      </w:pPr>
    </w:p>
    <w:tbl>
      <w:tblPr>
        <w:tblW w:w="904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390"/>
        <w:gridCol w:w="1133"/>
        <w:gridCol w:w="1507"/>
        <w:gridCol w:w="3016"/>
      </w:tblGrid>
      <w:tr w:rsidR="00EE0371" w:rsidRPr="00EE0371" w14:paraId="2C6AC2A7" w14:textId="77777777" w:rsidTr="00EE0371">
        <w:trPr>
          <w:tblHeader/>
          <w:jc w:val="center"/>
        </w:trPr>
        <w:tc>
          <w:tcPr>
            <w:tcW w:w="3390" w:type="dxa"/>
            <w:tcBorders>
              <w:bottom w:val="single" w:sz="6" w:space="0" w:color="auto"/>
            </w:tcBorders>
            <w:shd w:val="solid" w:color="C0C0C0" w:fill="auto"/>
            <w:vAlign w:val="center"/>
          </w:tcPr>
          <w:p w14:paraId="2B7D5EC8" w14:textId="77777777" w:rsidR="00EE0371" w:rsidRPr="00EE0371" w:rsidRDefault="00EE0371" w:rsidP="00EE0371">
            <w:pPr>
              <w:spacing w:before="120" w:after="120" w:line="240" w:lineRule="auto"/>
              <w:jc w:val="center"/>
              <w:rPr>
                <w:rFonts w:ascii="Arial" w:hAnsi="Arial" w:cs="Arial"/>
                <w:b/>
                <w:sz w:val="20"/>
                <w:szCs w:val="20"/>
              </w:rPr>
            </w:pPr>
            <w:r w:rsidRPr="00EE0371">
              <w:rPr>
                <w:rFonts w:ascii="Arial" w:hAnsi="Arial"/>
                <w:b/>
                <w:bCs/>
              </w:rPr>
              <w:br w:type="page"/>
            </w:r>
            <w:r w:rsidRPr="00EE0371">
              <w:rPr>
                <w:rFonts w:ascii="Arial" w:hAnsi="Arial" w:cs="Arial"/>
                <w:b/>
                <w:sz w:val="20"/>
                <w:szCs w:val="20"/>
              </w:rPr>
              <w:t>Campo</w:t>
            </w:r>
          </w:p>
        </w:tc>
        <w:tc>
          <w:tcPr>
            <w:tcW w:w="1133" w:type="dxa"/>
            <w:tcBorders>
              <w:bottom w:val="single" w:sz="6" w:space="0" w:color="auto"/>
            </w:tcBorders>
            <w:shd w:val="solid" w:color="C0C0C0" w:fill="auto"/>
            <w:vAlign w:val="center"/>
          </w:tcPr>
          <w:p w14:paraId="03A9DCA0" w14:textId="77777777" w:rsidR="00EE0371" w:rsidRPr="00EE0371" w:rsidRDefault="00EE0371" w:rsidP="00EE0371">
            <w:pPr>
              <w:spacing w:before="120" w:after="120" w:line="240" w:lineRule="auto"/>
              <w:jc w:val="center"/>
              <w:rPr>
                <w:rFonts w:ascii="Arial" w:hAnsi="Arial" w:cs="Arial"/>
                <w:b/>
                <w:sz w:val="20"/>
                <w:szCs w:val="20"/>
              </w:rPr>
            </w:pPr>
            <w:r w:rsidRPr="00EE0371">
              <w:rPr>
                <w:rFonts w:ascii="Arial" w:hAnsi="Arial" w:cs="Arial"/>
                <w:b/>
                <w:sz w:val="20"/>
                <w:szCs w:val="20"/>
              </w:rPr>
              <w:t>Tipo</w:t>
            </w:r>
          </w:p>
        </w:tc>
        <w:tc>
          <w:tcPr>
            <w:tcW w:w="1507" w:type="dxa"/>
            <w:tcBorders>
              <w:bottom w:val="single" w:sz="6" w:space="0" w:color="auto"/>
            </w:tcBorders>
            <w:shd w:val="solid" w:color="C0C0C0" w:fill="auto"/>
            <w:vAlign w:val="center"/>
          </w:tcPr>
          <w:p w14:paraId="2681A1EB" w14:textId="77777777" w:rsidR="00EE0371" w:rsidRPr="00EE0371" w:rsidRDefault="00EE0371" w:rsidP="00EE0371">
            <w:pPr>
              <w:spacing w:before="120" w:after="120" w:line="240" w:lineRule="auto"/>
              <w:jc w:val="center"/>
              <w:rPr>
                <w:rFonts w:ascii="Arial" w:hAnsi="Arial" w:cs="Arial"/>
                <w:b/>
                <w:sz w:val="20"/>
                <w:szCs w:val="20"/>
              </w:rPr>
            </w:pPr>
            <w:r w:rsidRPr="00EE0371">
              <w:rPr>
                <w:rFonts w:ascii="Arial" w:hAnsi="Arial" w:cs="Arial"/>
                <w:b/>
                <w:sz w:val="20"/>
                <w:szCs w:val="20"/>
              </w:rPr>
              <w:t>Tamanho</w:t>
            </w:r>
          </w:p>
        </w:tc>
        <w:tc>
          <w:tcPr>
            <w:tcW w:w="3016" w:type="dxa"/>
            <w:tcBorders>
              <w:bottom w:val="single" w:sz="6" w:space="0" w:color="auto"/>
            </w:tcBorders>
            <w:shd w:val="solid" w:color="C0C0C0" w:fill="auto"/>
            <w:vAlign w:val="center"/>
          </w:tcPr>
          <w:p w14:paraId="562D8C43" w14:textId="77777777" w:rsidR="00EE0371" w:rsidRPr="00EE0371" w:rsidRDefault="00EE0371" w:rsidP="00EE0371">
            <w:pPr>
              <w:spacing w:before="120" w:after="120" w:line="240" w:lineRule="auto"/>
              <w:jc w:val="center"/>
              <w:rPr>
                <w:rFonts w:ascii="Arial" w:hAnsi="Arial" w:cs="Arial"/>
                <w:b/>
                <w:sz w:val="20"/>
                <w:szCs w:val="20"/>
              </w:rPr>
            </w:pPr>
            <w:r w:rsidRPr="00EE0371">
              <w:rPr>
                <w:rFonts w:ascii="Arial" w:hAnsi="Arial" w:cs="Arial"/>
                <w:b/>
                <w:sz w:val="20"/>
                <w:szCs w:val="20"/>
              </w:rPr>
              <w:t>Obrigatoriedade</w:t>
            </w:r>
          </w:p>
        </w:tc>
      </w:tr>
      <w:tr w:rsidR="00EE0371" w:rsidRPr="00EE0371" w14:paraId="04ED0D63" w14:textId="77777777" w:rsidTr="00EE0371">
        <w:trPr>
          <w:jc w:val="center"/>
        </w:trPr>
        <w:tc>
          <w:tcPr>
            <w:tcW w:w="9046" w:type="dxa"/>
            <w:gridSpan w:val="4"/>
            <w:shd w:val="solid" w:color="BFBFBF" w:themeColor="background1" w:themeShade="BF" w:fill="auto"/>
            <w:vAlign w:val="center"/>
          </w:tcPr>
          <w:p w14:paraId="16BA521E" w14:textId="77777777" w:rsidR="00EE0371" w:rsidRPr="00EE0371" w:rsidRDefault="00EE0371" w:rsidP="00EE0371">
            <w:pPr>
              <w:spacing w:before="120" w:after="120" w:line="240" w:lineRule="auto"/>
              <w:jc w:val="center"/>
              <w:rPr>
                <w:rFonts w:ascii="Arial" w:hAnsi="Arial" w:cs="Arial"/>
                <w:color w:val="FF0000"/>
                <w:sz w:val="20"/>
                <w:szCs w:val="20"/>
              </w:rPr>
            </w:pPr>
            <w:r w:rsidRPr="00EE0371">
              <w:rPr>
                <w:rFonts w:ascii="Arial" w:hAnsi="Arial" w:cs="Arial"/>
                <w:b/>
                <w:sz w:val="20"/>
                <w:szCs w:val="20"/>
              </w:rPr>
              <w:t>Estrutura ‘DemonstrativoCreditoAdicional’</w:t>
            </w:r>
          </w:p>
        </w:tc>
      </w:tr>
      <w:tr w:rsidR="00EE0371" w:rsidRPr="00EE0371" w14:paraId="12056DA5" w14:textId="77777777" w:rsidTr="00EE0371">
        <w:trPr>
          <w:trHeight w:val="310"/>
          <w:jc w:val="center"/>
        </w:trPr>
        <w:tc>
          <w:tcPr>
            <w:tcW w:w="3390" w:type="dxa"/>
            <w:vAlign w:val="center"/>
          </w:tcPr>
          <w:p w14:paraId="15274331"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Identificação do Numero do Registro</w:t>
            </w:r>
          </w:p>
        </w:tc>
        <w:tc>
          <w:tcPr>
            <w:tcW w:w="1133" w:type="dxa"/>
            <w:vAlign w:val="center"/>
          </w:tcPr>
          <w:p w14:paraId="1E49796F"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Inteiro</w:t>
            </w:r>
          </w:p>
        </w:tc>
        <w:tc>
          <w:tcPr>
            <w:tcW w:w="1507" w:type="dxa"/>
            <w:vAlign w:val="center"/>
          </w:tcPr>
          <w:p w14:paraId="03C44782"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5</w:t>
            </w:r>
          </w:p>
        </w:tc>
        <w:tc>
          <w:tcPr>
            <w:tcW w:w="3016" w:type="dxa"/>
            <w:vAlign w:val="center"/>
          </w:tcPr>
          <w:p w14:paraId="1BF7F1D6" w14:textId="77777777" w:rsidR="00EE0371" w:rsidRPr="00EE0371" w:rsidRDefault="00EE0371" w:rsidP="000D3464">
            <w:pPr>
              <w:spacing w:after="0" w:line="360" w:lineRule="auto"/>
              <w:rPr>
                <w:rFonts w:ascii="Arial" w:hAnsi="Arial" w:cs="Arial"/>
                <w:sz w:val="20"/>
                <w:szCs w:val="20"/>
              </w:rPr>
            </w:pPr>
            <w:r w:rsidRPr="00EE0371">
              <w:rPr>
                <w:rFonts w:ascii="Arial" w:hAnsi="Arial" w:cs="Arial"/>
                <w:sz w:val="20"/>
                <w:szCs w:val="20"/>
              </w:rPr>
              <w:t>Obrigatório</w:t>
            </w:r>
          </w:p>
        </w:tc>
      </w:tr>
      <w:tr w:rsidR="00EE0371" w:rsidRPr="00EE0371" w14:paraId="7F345B92" w14:textId="77777777" w:rsidTr="00EE0371">
        <w:trPr>
          <w:jc w:val="center"/>
        </w:trPr>
        <w:tc>
          <w:tcPr>
            <w:tcW w:w="3390" w:type="dxa"/>
            <w:vAlign w:val="center"/>
          </w:tcPr>
          <w:p w14:paraId="754C10AE"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 xml:space="preserve">Número da Lei Autorizativa </w:t>
            </w:r>
            <w:r w:rsidRPr="000D3464">
              <w:rPr>
                <w:rFonts w:ascii="Arial" w:hAnsi="Arial" w:cs="Arial"/>
                <w:b/>
                <w:sz w:val="20"/>
                <w:szCs w:val="20"/>
                <w:vertAlign w:val="superscript"/>
                <w:lang w:eastAsia="pt-BR"/>
              </w:rPr>
              <w:t>[1]</w:t>
            </w:r>
          </w:p>
        </w:tc>
        <w:tc>
          <w:tcPr>
            <w:tcW w:w="1133" w:type="dxa"/>
            <w:vAlign w:val="center"/>
          </w:tcPr>
          <w:p w14:paraId="0228D6D4"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Caracter</w:t>
            </w:r>
          </w:p>
        </w:tc>
        <w:tc>
          <w:tcPr>
            <w:tcW w:w="1507" w:type="dxa"/>
            <w:vAlign w:val="center"/>
          </w:tcPr>
          <w:p w14:paraId="73C640FA"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8</w:t>
            </w:r>
          </w:p>
        </w:tc>
        <w:tc>
          <w:tcPr>
            <w:tcW w:w="3016" w:type="dxa"/>
            <w:vAlign w:val="center"/>
          </w:tcPr>
          <w:p w14:paraId="17B7BF58" w14:textId="77777777" w:rsidR="00EE0371" w:rsidRPr="00EE0371" w:rsidRDefault="00EE0371" w:rsidP="000D3464">
            <w:pPr>
              <w:spacing w:after="0" w:line="360" w:lineRule="auto"/>
              <w:rPr>
                <w:rFonts w:ascii="Arial" w:hAnsi="Arial" w:cs="Arial"/>
                <w:color w:val="000000"/>
                <w:sz w:val="20"/>
                <w:szCs w:val="20"/>
              </w:rPr>
            </w:pPr>
            <w:r w:rsidRPr="00EE0371">
              <w:rPr>
                <w:rFonts w:ascii="Arial" w:hAnsi="Arial" w:cs="Arial"/>
                <w:color w:val="000000"/>
                <w:sz w:val="20"/>
                <w:szCs w:val="20"/>
              </w:rPr>
              <w:t>Obrigatório</w:t>
            </w:r>
          </w:p>
        </w:tc>
      </w:tr>
      <w:tr w:rsidR="00EE0371" w:rsidRPr="00EE0371" w14:paraId="189E982A" w14:textId="77777777" w:rsidTr="00EE0371">
        <w:trPr>
          <w:jc w:val="center"/>
        </w:trPr>
        <w:tc>
          <w:tcPr>
            <w:tcW w:w="3390" w:type="dxa"/>
            <w:vAlign w:val="center"/>
          </w:tcPr>
          <w:p w14:paraId="16A9F09E"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 xml:space="preserve">Ano da Lei Autorizativa </w:t>
            </w:r>
            <w:r w:rsidRPr="000D3464">
              <w:rPr>
                <w:rFonts w:ascii="Arial" w:hAnsi="Arial" w:cs="Arial"/>
                <w:b/>
                <w:sz w:val="20"/>
                <w:szCs w:val="20"/>
                <w:vertAlign w:val="superscript"/>
                <w:lang w:eastAsia="pt-BR"/>
              </w:rPr>
              <w:t>[1]</w:t>
            </w:r>
          </w:p>
        </w:tc>
        <w:tc>
          <w:tcPr>
            <w:tcW w:w="1133" w:type="dxa"/>
            <w:vAlign w:val="center"/>
          </w:tcPr>
          <w:p w14:paraId="1080AB8D"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Inteiro</w:t>
            </w:r>
          </w:p>
        </w:tc>
        <w:tc>
          <w:tcPr>
            <w:tcW w:w="1507" w:type="dxa"/>
            <w:vAlign w:val="center"/>
          </w:tcPr>
          <w:p w14:paraId="33420502"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4</w:t>
            </w:r>
          </w:p>
        </w:tc>
        <w:tc>
          <w:tcPr>
            <w:tcW w:w="3016" w:type="dxa"/>
            <w:vAlign w:val="center"/>
          </w:tcPr>
          <w:p w14:paraId="06C6EDD4" w14:textId="77777777" w:rsidR="00EE0371" w:rsidRPr="00EE0371" w:rsidRDefault="00EE0371" w:rsidP="000D3464">
            <w:pPr>
              <w:spacing w:after="0" w:line="360" w:lineRule="auto"/>
              <w:rPr>
                <w:rFonts w:ascii="Arial" w:hAnsi="Arial" w:cs="Arial"/>
                <w:sz w:val="20"/>
                <w:szCs w:val="20"/>
              </w:rPr>
            </w:pPr>
            <w:r w:rsidRPr="00EE0371">
              <w:rPr>
                <w:rFonts w:ascii="Arial" w:hAnsi="Arial" w:cs="Arial"/>
                <w:sz w:val="20"/>
                <w:szCs w:val="20"/>
              </w:rPr>
              <w:t>Obrigatório, AAAA</w:t>
            </w:r>
          </w:p>
        </w:tc>
      </w:tr>
      <w:tr w:rsidR="00EE0371" w:rsidRPr="00EE0371" w14:paraId="28327154" w14:textId="77777777" w:rsidTr="00EE0371">
        <w:trPr>
          <w:jc w:val="center"/>
        </w:trPr>
        <w:tc>
          <w:tcPr>
            <w:tcW w:w="3390" w:type="dxa"/>
            <w:vAlign w:val="center"/>
          </w:tcPr>
          <w:p w14:paraId="174034F0"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 xml:space="preserve">Data de Publicação da Lei Autorizativa </w:t>
            </w:r>
            <w:r w:rsidRPr="000D3464">
              <w:rPr>
                <w:rFonts w:ascii="Arial" w:hAnsi="Arial" w:cs="Arial"/>
                <w:b/>
                <w:sz w:val="20"/>
                <w:szCs w:val="20"/>
                <w:vertAlign w:val="superscript"/>
                <w:lang w:eastAsia="pt-BR"/>
              </w:rPr>
              <w:t>[1]</w:t>
            </w:r>
          </w:p>
        </w:tc>
        <w:tc>
          <w:tcPr>
            <w:tcW w:w="1133" w:type="dxa"/>
            <w:vAlign w:val="center"/>
          </w:tcPr>
          <w:p w14:paraId="153B9F13"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Data</w:t>
            </w:r>
          </w:p>
        </w:tc>
        <w:tc>
          <w:tcPr>
            <w:tcW w:w="1507" w:type="dxa"/>
            <w:vAlign w:val="center"/>
          </w:tcPr>
          <w:p w14:paraId="2B52651C"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10</w:t>
            </w:r>
          </w:p>
        </w:tc>
        <w:tc>
          <w:tcPr>
            <w:tcW w:w="3016" w:type="dxa"/>
            <w:vAlign w:val="center"/>
          </w:tcPr>
          <w:p w14:paraId="12FDA869" w14:textId="77777777" w:rsidR="00EE0371" w:rsidRPr="00EE0371" w:rsidRDefault="00EE0371" w:rsidP="000D3464">
            <w:pPr>
              <w:spacing w:after="0" w:line="360" w:lineRule="auto"/>
              <w:rPr>
                <w:rFonts w:ascii="Arial" w:hAnsi="Arial" w:cs="Arial"/>
                <w:sz w:val="20"/>
                <w:szCs w:val="20"/>
              </w:rPr>
            </w:pPr>
            <w:r w:rsidRPr="00EE0371">
              <w:rPr>
                <w:rFonts w:ascii="Arial" w:hAnsi="Arial" w:cs="Arial"/>
                <w:sz w:val="20"/>
                <w:szCs w:val="20"/>
              </w:rPr>
              <w:t xml:space="preserve">Obrigatório, </w:t>
            </w:r>
            <w:r w:rsidRPr="00EE0371">
              <w:rPr>
                <w:rFonts w:ascii="Arial" w:hAnsi="Arial" w:cs="Arial"/>
              </w:rPr>
              <w:t>AAAA-MM-DD</w:t>
            </w:r>
          </w:p>
        </w:tc>
      </w:tr>
      <w:tr w:rsidR="00EE0371" w:rsidRPr="00EE0371" w14:paraId="5E5950E8" w14:textId="77777777" w:rsidTr="00EE0371">
        <w:trPr>
          <w:jc w:val="center"/>
        </w:trPr>
        <w:tc>
          <w:tcPr>
            <w:tcW w:w="3390" w:type="dxa"/>
            <w:vAlign w:val="center"/>
          </w:tcPr>
          <w:p w14:paraId="32326B4C" w14:textId="5C3C3634"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Tipo da Lei Autorizativa</w:t>
            </w:r>
            <w:r w:rsidR="00034B3E">
              <w:rPr>
                <w:rFonts w:ascii="Arial" w:hAnsi="Arial" w:cs="Arial"/>
                <w:sz w:val="20"/>
                <w:szCs w:val="20"/>
              </w:rPr>
              <w:t xml:space="preserve"> </w:t>
            </w:r>
            <w:r w:rsidR="00034B3E" w:rsidRPr="000D3464">
              <w:rPr>
                <w:rFonts w:ascii="Arial" w:hAnsi="Arial" w:cs="Arial"/>
                <w:b/>
                <w:sz w:val="20"/>
                <w:szCs w:val="20"/>
                <w:vertAlign w:val="superscript"/>
                <w:lang w:eastAsia="pt-BR"/>
              </w:rPr>
              <w:t>[1]</w:t>
            </w:r>
          </w:p>
        </w:tc>
        <w:tc>
          <w:tcPr>
            <w:tcW w:w="1133" w:type="dxa"/>
            <w:vAlign w:val="center"/>
          </w:tcPr>
          <w:p w14:paraId="534B1CE6"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Inteiro</w:t>
            </w:r>
          </w:p>
        </w:tc>
        <w:tc>
          <w:tcPr>
            <w:tcW w:w="1507" w:type="dxa"/>
            <w:vAlign w:val="center"/>
          </w:tcPr>
          <w:p w14:paraId="03A078AD" w14:textId="77777777" w:rsidR="00EE0371" w:rsidRPr="00D05043" w:rsidRDefault="00EE0371" w:rsidP="00EE0371">
            <w:pPr>
              <w:spacing w:after="0" w:line="360" w:lineRule="auto"/>
              <w:jc w:val="center"/>
              <w:rPr>
                <w:rFonts w:ascii="Arial" w:hAnsi="Arial" w:cs="Arial"/>
                <w:sz w:val="20"/>
                <w:szCs w:val="20"/>
              </w:rPr>
            </w:pPr>
            <w:r w:rsidRPr="00D05043">
              <w:rPr>
                <w:rFonts w:ascii="Arial" w:hAnsi="Arial" w:cs="Arial"/>
                <w:sz w:val="20"/>
                <w:szCs w:val="20"/>
              </w:rPr>
              <w:t>1</w:t>
            </w:r>
          </w:p>
        </w:tc>
        <w:tc>
          <w:tcPr>
            <w:tcW w:w="3016" w:type="dxa"/>
            <w:vAlign w:val="center"/>
          </w:tcPr>
          <w:p w14:paraId="3D6C2C8D" w14:textId="568750C1" w:rsidR="00C65382" w:rsidRPr="00D05043" w:rsidRDefault="00EE0371" w:rsidP="00C65382">
            <w:pPr>
              <w:spacing w:after="0" w:line="360" w:lineRule="auto"/>
              <w:rPr>
                <w:rFonts w:ascii="Arial" w:hAnsi="Arial" w:cs="Arial"/>
                <w:b/>
                <w:bCs/>
                <w:sz w:val="20"/>
                <w:szCs w:val="20"/>
              </w:rPr>
            </w:pPr>
            <w:r w:rsidRPr="00D05043">
              <w:rPr>
                <w:rFonts w:ascii="Arial" w:hAnsi="Arial" w:cs="Arial"/>
                <w:sz w:val="20"/>
                <w:szCs w:val="20"/>
              </w:rPr>
              <w:t>Obrigatório</w:t>
            </w:r>
            <w:r w:rsidR="00C65382" w:rsidRPr="00D05043">
              <w:rPr>
                <w:rFonts w:ascii="Arial" w:hAnsi="Arial" w:cs="Arial"/>
                <w:sz w:val="20"/>
                <w:szCs w:val="20"/>
              </w:rPr>
              <w:t xml:space="preserve">, </w:t>
            </w:r>
            <w:r w:rsidR="00C65382" w:rsidRPr="00D05043">
              <w:rPr>
                <w:rFonts w:ascii="Arial" w:hAnsi="Arial" w:cs="Arial"/>
                <w:b/>
                <w:bCs/>
                <w:sz w:val="20"/>
                <w:szCs w:val="20"/>
              </w:rPr>
              <w:t>se Tipo de Crédito Adicional for diferente de 3 – Extraordinário.</w:t>
            </w:r>
          </w:p>
          <w:p w14:paraId="0F718311" w14:textId="77777777" w:rsidR="00EE0371" w:rsidRPr="00D05043" w:rsidRDefault="00EE0371" w:rsidP="000D3464">
            <w:pPr>
              <w:spacing w:after="0" w:line="360" w:lineRule="auto"/>
              <w:rPr>
                <w:rFonts w:ascii="Arial" w:hAnsi="Arial" w:cs="Arial"/>
                <w:sz w:val="20"/>
                <w:szCs w:val="20"/>
              </w:rPr>
            </w:pPr>
            <w:r w:rsidRPr="00D05043">
              <w:rPr>
                <w:rFonts w:ascii="Arial" w:hAnsi="Arial" w:cs="Arial"/>
                <w:sz w:val="20"/>
                <w:szCs w:val="20"/>
              </w:rPr>
              <w:t>1 – LOA</w:t>
            </w:r>
          </w:p>
          <w:p w14:paraId="10BDD9CD" w14:textId="77777777" w:rsidR="00EE0371" w:rsidRPr="00D05043" w:rsidRDefault="00EE0371" w:rsidP="000D3464">
            <w:pPr>
              <w:spacing w:after="0" w:line="360" w:lineRule="auto"/>
              <w:rPr>
                <w:rFonts w:ascii="Arial" w:hAnsi="Arial" w:cs="Arial"/>
                <w:sz w:val="20"/>
                <w:szCs w:val="20"/>
              </w:rPr>
            </w:pPr>
            <w:r w:rsidRPr="00D05043">
              <w:rPr>
                <w:rFonts w:ascii="Arial" w:hAnsi="Arial" w:cs="Arial"/>
                <w:sz w:val="20"/>
                <w:szCs w:val="20"/>
              </w:rPr>
              <w:t>2 – Lei Específica</w:t>
            </w:r>
          </w:p>
        </w:tc>
      </w:tr>
      <w:tr w:rsidR="00EE0371" w:rsidRPr="00EE0371" w14:paraId="56EF350A" w14:textId="77777777" w:rsidTr="00EE0371">
        <w:trPr>
          <w:jc w:val="center"/>
        </w:trPr>
        <w:tc>
          <w:tcPr>
            <w:tcW w:w="3390" w:type="dxa"/>
            <w:vAlign w:val="center"/>
          </w:tcPr>
          <w:p w14:paraId="2381C068"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 xml:space="preserve">Dispositivo Legal Abertura Crédito Adicional (Artigo, §, inciso) </w:t>
            </w:r>
            <w:r w:rsidRPr="000D3464">
              <w:rPr>
                <w:rFonts w:ascii="Arial" w:hAnsi="Arial" w:cs="Arial"/>
                <w:b/>
                <w:sz w:val="20"/>
                <w:szCs w:val="20"/>
                <w:vertAlign w:val="superscript"/>
                <w:lang w:eastAsia="pt-BR"/>
              </w:rPr>
              <w:t>[2]</w:t>
            </w:r>
          </w:p>
        </w:tc>
        <w:tc>
          <w:tcPr>
            <w:tcW w:w="1133" w:type="dxa"/>
            <w:vAlign w:val="center"/>
          </w:tcPr>
          <w:p w14:paraId="43BF0D61"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Caracter</w:t>
            </w:r>
          </w:p>
        </w:tc>
        <w:tc>
          <w:tcPr>
            <w:tcW w:w="1507" w:type="dxa"/>
            <w:vAlign w:val="center"/>
          </w:tcPr>
          <w:p w14:paraId="1371138A"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50</w:t>
            </w:r>
          </w:p>
        </w:tc>
        <w:tc>
          <w:tcPr>
            <w:tcW w:w="3016" w:type="dxa"/>
            <w:vAlign w:val="center"/>
          </w:tcPr>
          <w:p w14:paraId="74074BAE" w14:textId="77777777" w:rsidR="00EE0371" w:rsidRPr="00EE0371" w:rsidRDefault="00EE0371" w:rsidP="000D3464">
            <w:pPr>
              <w:spacing w:after="0" w:line="360" w:lineRule="auto"/>
              <w:rPr>
                <w:rFonts w:ascii="Arial" w:hAnsi="Arial" w:cs="Arial"/>
                <w:sz w:val="20"/>
                <w:szCs w:val="20"/>
              </w:rPr>
            </w:pPr>
            <w:r w:rsidRPr="00EE0371">
              <w:rPr>
                <w:rFonts w:ascii="Arial" w:hAnsi="Arial" w:cs="Arial"/>
                <w:sz w:val="20"/>
                <w:szCs w:val="20"/>
              </w:rPr>
              <w:t>Obrigatório,</w:t>
            </w:r>
            <w:r w:rsidRPr="00EE0371">
              <w:rPr>
                <w:rFonts w:ascii="Arial" w:hAnsi="Arial" w:cs="Arial"/>
                <w:sz w:val="20"/>
                <w:szCs w:val="20"/>
              </w:rPr>
              <w:br/>
              <w:t>para campo "Tipo da Lei" = 1</w:t>
            </w:r>
          </w:p>
        </w:tc>
      </w:tr>
      <w:tr w:rsidR="00EE0371" w:rsidRPr="00EE0371" w14:paraId="318A5D0E" w14:textId="77777777" w:rsidTr="00EE0371">
        <w:trPr>
          <w:jc w:val="center"/>
        </w:trPr>
        <w:tc>
          <w:tcPr>
            <w:tcW w:w="3390" w:type="dxa"/>
            <w:vAlign w:val="center"/>
          </w:tcPr>
          <w:p w14:paraId="31D2B0F4"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 xml:space="preserve">Valor Fixado para Abertura de Crédito Adicional </w:t>
            </w:r>
            <w:r w:rsidRPr="000D3464">
              <w:rPr>
                <w:rFonts w:ascii="Arial" w:hAnsi="Arial" w:cs="Arial"/>
                <w:b/>
                <w:sz w:val="20"/>
                <w:szCs w:val="20"/>
                <w:vertAlign w:val="superscript"/>
                <w:lang w:eastAsia="pt-BR"/>
              </w:rPr>
              <w:t>[3]</w:t>
            </w:r>
          </w:p>
        </w:tc>
        <w:tc>
          <w:tcPr>
            <w:tcW w:w="1133" w:type="dxa"/>
            <w:vAlign w:val="center"/>
          </w:tcPr>
          <w:p w14:paraId="7ADB3ED4"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Decimal</w:t>
            </w:r>
          </w:p>
        </w:tc>
        <w:tc>
          <w:tcPr>
            <w:tcW w:w="1507" w:type="dxa"/>
            <w:vAlign w:val="center"/>
          </w:tcPr>
          <w:p w14:paraId="48064214"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14,2</w:t>
            </w:r>
          </w:p>
        </w:tc>
        <w:tc>
          <w:tcPr>
            <w:tcW w:w="3016" w:type="dxa"/>
            <w:vAlign w:val="center"/>
          </w:tcPr>
          <w:p w14:paraId="3321C4DF" w14:textId="77777777" w:rsidR="00EE0371" w:rsidRPr="00EE0371" w:rsidRDefault="00EE0371" w:rsidP="000D3464">
            <w:pPr>
              <w:spacing w:after="0" w:line="360" w:lineRule="auto"/>
              <w:rPr>
                <w:rFonts w:ascii="Arial" w:hAnsi="Arial" w:cs="Arial"/>
                <w:sz w:val="20"/>
                <w:szCs w:val="20"/>
              </w:rPr>
            </w:pPr>
            <w:r w:rsidRPr="00EE0371">
              <w:rPr>
                <w:rFonts w:ascii="Arial" w:hAnsi="Arial" w:cs="Arial"/>
                <w:sz w:val="20"/>
                <w:szCs w:val="20"/>
              </w:rPr>
              <w:t>Obrigatório,</w:t>
            </w:r>
            <w:r w:rsidRPr="00EE0371">
              <w:rPr>
                <w:rFonts w:ascii="Arial" w:hAnsi="Arial" w:cs="Arial"/>
                <w:sz w:val="20"/>
                <w:szCs w:val="20"/>
              </w:rPr>
              <w:br/>
              <w:t>para campo "Tipo da Lei" = 1</w:t>
            </w:r>
          </w:p>
        </w:tc>
      </w:tr>
      <w:tr w:rsidR="00EE0371" w:rsidRPr="00EE0371" w14:paraId="7D46F888" w14:textId="77777777" w:rsidTr="00EE0371">
        <w:trPr>
          <w:jc w:val="center"/>
        </w:trPr>
        <w:tc>
          <w:tcPr>
            <w:tcW w:w="3390" w:type="dxa"/>
            <w:vAlign w:val="center"/>
          </w:tcPr>
          <w:p w14:paraId="2420A4D9"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 xml:space="preserve">Número do Ato Oficial </w:t>
            </w:r>
          </w:p>
        </w:tc>
        <w:tc>
          <w:tcPr>
            <w:tcW w:w="1133" w:type="dxa"/>
            <w:vAlign w:val="center"/>
          </w:tcPr>
          <w:p w14:paraId="1360EC9B"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Caracter</w:t>
            </w:r>
          </w:p>
        </w:tc>
        <w:tc>
          <w:tcPr>
            <w:tcW w:w="1507" w:type="dxa"/>
            <w:vAlign w:val="center"/>
          </w:tcPr>
          <w:p w14:paraId="0861ACA3"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8</w:t>
            </w:r>
          </w:p>
        </w:tc>
        <w:tc>
          <w:tcPr>
            <w:tcW w:w="3016" w:type="dxa"/>
            <w:vAlign w:val="center"/>
          </w:tcPr>
          <w:p w14:paraId="262890C7" w14:textId="77777777" w:rsidR="00EE0371" w:rsidRPr="00EE0371" w:rsidRDefault="00EE0371" w:rsidP="000D3464">
            <w:pPr>
              <w:spacing w:after="0" w:line="360" w:lineRule="auto"/>
              <w:rPr>
                <w:rFonts w:ascii="Arial" w:hAnsi="Arial" w:cs="Arial"/>
                <w:color w:val="000000"/>
                <w:sz w:val="20"/>
                <w:szCs w:val="20"/>
              </w:rPr>
            </w:pPr>
            <w:r w:rsidRPr="00EE0371">
              <w:rPr>
                <w:rFonts w:ascii="Arial" w:hAnsi="Arial" w:cs="Arial"/>
                <w:color w:val="000000"/>
                <w:sz w:val="20"/>
                <w:szCs w:val="20"/>
              </w:rPr>
              <w:t>Obrigatório</w:t>
            </w:r>
          </w:p>
        </w:tc>
      </w:tr>
      <w:tr w:rsidR="00EE0371" w:rsidRPr="00EE0371" w14:paraId="6DC46D60" w14:textId="77777777" w:rsidTr="00EE0371">
        <w:trPr>
          <w:jc w:val="center"/>
        </w:trPr>
        <w:tc>
          <w:tcPr>
            <w:tcW w:w="3390" w:type="dxa"/>
            <w:vAlign w:val="center"/>
          </w:tcPr>
          <w:p w14:paraId="26B97C3C"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Ano do Ato Oficial</w:t>
            </w:r>
          </w:p>
        </w:tc>
        <w:tc>
          <w:tcPr>
            <w:tcW w:w="1133" w:type="dxa"/>
            <w:vAlign w:val="center"/>
          </w:tcPr>
          <w:p w14:paraId="34DFC2F8"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Inteiro</w:t>
            </w:r>
          </w:p>
        </w:tc>
        <w:tc>
          <w:tcPr>
            <w:tcW w:w="1507" w:type="dxa"/>
            <w:vAlign w:val="center"/>
          </w:tcPr>
          <w:p w14:paraId="07476E47"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4</w:t>
            </w:r>
          </w:p>
        </w:tc>
        <w:tc>
          <w:tcPr>
            <w:tcW w:w="3016" w:type="dxa"/>
            <w:vAlign w:val="center"/>
          </w:tcPr>
          <w:p w14:paraId="5A5E4686" w14:textId="77777777" w:rsidR="00EE0371" w:rsidRPr="00EE0371" w:rsidRDefault="00EE0371" w:rsidP="000D3464">
            <w:pPr>
              <w:spacing w:after="0" w:line="360" w:lineRule="auto"/>
              <w:rPr>
                <w:rFonts w:ascii="Arial" w:hAnsi="Arial" w:cs="Arial"/>
                <w:sz w:val="20"/>
                <w:szCs w:val="20"/>
              </w:rPr>
            </w:pPr>
            <w:r w:rsidRPr="00EE0371">
              <w:rPr>
                <w:rFonts w:ascii="Arial" w:hAnsi="Arial" w:cs="Arial"/>
                <w:sz w:val="20"/>
                <w:szCs w:val="20"/>
              </w:rPr>
              <w:t>Obrigatório, AAAA</w:t>
            </w:r>
          </w:p>
        </w:tc>
      </w:tr>
      <w:tr w:rsidR="00EE0371" w:rsidRPr="00EE0371" w14:paraId="7CAA6648" w14:textId="77777777" w:rsidTr="00EE0371">
        <w:trPr>
          <w:jc w:val="center"/>
        </w:trPr>
        <w:tc>
          <w:tcPr>
            <w:tcW w:w="3390" w:type="dxa"/>
            <w:vAlign w:val="center"/>
          </w:tcPr>
          <w:p w14:paraId="23A4EEE4"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Data de Publicação do Ato Oficial</w:t>
            </w:r>
          </w:p>
        </w:tc>
        <w:tc>
          <w:tcPr>
            <w:tcW w:w="1133" w:type="dxa"/>
            <w:vAlign w:val="center"/>
          </w:tcPr>
          <w:p w14:paraId="096D73C7"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Data</w:t>
            </w:r>
          </w:p>
        </w:tc>
        <w:tc>
          <w:tcPr>
            <w:tcW w:w="1507" w:type="dxa"/>
            <w:vAlign w:val="center"/>
          </w:tcPr>
          <w:p w14:paraId="46FF4FB1"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10</w:t>
            </w:r>
          </w:p>
        </w:tc>
        <w:tc>
          <w:tcPr>
            <w:tcW w:w="3016" w:type="dxa"/>
            <w:vAlign w:val="center"/>
          </w:tcPr>
          <w:p w14:paraId="4BA10E32" w14:textId="77777777" w:rsidR="00EE0371" w:rsidRPr="00EE0371" w:rsidRDefault="00EE0371" w:rsidP="000D3464">
            <w:pPr>
              <w:spacing w:after="0" w:line="360" w:lineRule="auto"/>
              <w:rPr>
                <w:rFonts w:ascii="Arial" w:hAnsi="Arial" w:cs="Arial"/>
                <w:sz w:val="20"/>
                <w:szCs w:val="20"/>
              </w:rPr>
            </w:pPr>
            <w:r w:rsidRPr="00EE0371">
              <w:rPr>
                <w:rFonts w:ascii="Arial" w:hAnsi="Arial" w:cs="Arial"/>
                <w:sz w:val="20"/>
                <w:szCs w:val="20"/>
              </w:rPr>
              <w:t>Obrigatório,</w:t>
            </w:r>
            <w:r w:rsidRPr="00EE0371">
              <w:rPr>
                <w:rFonts w:ascii="Arial" w:hAnsi="Arial" w:cs="Arial"/>
                <w:sz w:val="18"/>
                <w:szCs w:val="20"/>
              </w:rPr>
              <w:t xml:space="preserve"> </w:t>
            </w:r>
            <w:r w:rsidRPr="00EE0371">
              <w:rPr>
                <w:rFonts w:ascii="Arial" w:hAnsi="Arial" w:cs="Arial"/>
                <w:sz w:val="20"/>
              </w:rPr>
              <w:t>AAAA-MM-DD</w:t>
            </w:r>
          </w:p>
        </w:tc>
      </w:tr>
      <w:tr w:rsidR="00EE0371" w:rsidRPr="00EE0371" w14:paraId="6A753250" w14:textId="77777777" w:rsidTr="00EE0371">
        <w:trPr>
          <w:jc w:val="center"/>
        </w:trPr>
        <w:tc>
          <w:tcPr>
            <w:tcW w:w="3390" w:type="dxa"/>
            <w:vAlign w:val="center"/>
          </w:tcPr>
          <w:p w14:paraId="3022DB5B"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 xml:space="preserve">Tipo do Ato Oficial </w:t>
            </w:r>
            <w:r w:rsidRPr="000D3464">
              <w:rPr>
                <w:rFonts w:ascii="Arial" w:hAnsi="Arial" w:cs="Arial"/>
                <w:b/>
                <w:sz w:val="20"/>
                <w:szCs w:val="20"/>
                <w:vertAlign w:val="superscript"/>
                <w:lang w:eastAsia="pt-BR"/>
              </w:rPr>
              <w:t>[4]</w:t>
            </w:r>
          </w:p>
        </w:tc>
        <w:tc>
          <w:tcPr>
            <w:tcW w:w="1133" w:type="dxa"/>
            <w:vAlign w:val="center"/>
          </w:tcPr>
          <w:p w14:paraId="44460DFF"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Inteiro</w:t>
            </w:r>
          </w:p>
        </w:tc>
        <w:tc>
          <w:tcPr>
            <w:tcW w:w="1507" w:type="dxa"/>
            <w:vAlign w:val="center"/>
          </w:tcPr>
          <w:p w14:paraId="4E93C49B"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1</w:t>
            </w:r>
          </w:p>
        </w:tc>
        <w:tc>
          <w:tcPr>
            <w:tcW w:w="3016" w:type="dxa"/>
            <w:vAlign w:val="center"/>
          </w:tcPr>
          <w:p w14:paraId="15EA4767"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Obrigatório</w:t>
            </w:r>
          </w:p>
          <w:p w14:paraId="57C1ECC5"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1 – Decreto</w:t>
            </w:r>
          </w:p>
          <w:p w14:paraId="45A51DCE"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2 – Outros</w:t>
            </w:r>
          </w:p>
        </w:tc>
      </w:tr>
      <w:tr w:rsidR="00EE0371" w:rsidRPr="00EE0371" w14:paraId="16F405AC" w14:textId="77777777" w:rsidTr="00EE0371">
        <w:trPr>
          <w:jc w:val="center"/>
        </w:trPr>
        <w:tc>
          <w:tcPr>
            <w:tcW w:w="3390" w:type="dxa"/>
            <w:vAlign w:val="center"/>
          </w:tcPr>
          <w:p w14:paraId="2D181608"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Tipo do Crédito Adicional</w:t>
            </w:r>
          </w:p>
        </w:tc>
        <w:tc>
          <w:tcPr>
            <w:tcW w:w="1133" w:type="dxa"/>
            <w:vAlign w:val="center"/>
          </w:tcPr>
          <w:p w14:paraId="10120B20"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Inteiro</w:t>
            </w:r>
          </w:p>
        </w:tc>
        <w:tc>
          <w:tcPr>
            <w:tcW w:w="1507" w:type="dxa"/>
            <w:vAlign w:val="center"/>
          </w:tcPr>
          <w:p w14:paraId="1F41726A"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1</w:t>
            </w:r>
          </w:p>
        </w:tc>
        <w:tc>
          <w:tcPr>
            <w:tcW w:w="3016" w:type="dxa"/>
            <w:vAlign w:val="center"/>
          </w:tcPr>
          <w:p w14:paraId="2CCF114B"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Obrigatório</w:t>
            </w:r>
          </w:p>
          <w:p w14:paraId="1ED73A59"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1 – Suplementar</w:t>
            </w:r>
          </w:p>
          <w:p w14:paraId="41E6227A"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2 – Especial</w:t>
            </w:r>
          </w:p>
          <w:p w14:paraId="34C57A5D"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3 – Extraordinário</w:t>
            </w:r>
          </w:p>
        </w:tc>
      </w:tr>
      <w:tr w:rsidR="00EE0371" w:rsidRPr="00EE0371" w14:paraId="209C74E5" w14:textId="77777777" w:rsidTr="00EE0371">
        <w:trPr>
          <w:jc w:val="center"/>
        </w:trPr>
        <w:tc>
          <w:tcPr>
            <w:tcW w:w="3390" w:type="dxa"/>
            <w:vAlign w:val="center"/>
          </w:tcPr>
          <w:p w14:paraId="2A8A60B1"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 xml:space="preserve">Tipo de Fonte de Recursos </w:t>
            </w:r>
            <w:r w:rsidRPr="000D3464">
              <w:rPr>
                <w:rFonts w:ascii="Arial" w:hAnsi="Arial" w:cs="Arial"/>
                <w:b/>
                <w:sz w:val="20"/>
                <w:szCs w:val="20"/>
                <w:vertAlign w:val="superscript"/>
                <w:lang w:eastAsia="pt-BR"/>
              </w:rPr>
              <w:t>[5]</w:t>
            </w:r>
          </w:p>
        </w:tc>
        <w:tc>
          <w:tcPr>
            <w:tcW w:w="1133" w:type="dxa"/>
            <w:vAlign w:val="center"/>
          </w:tcPr>
          <w:p w14:paraId="19AC2B8A"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Inteiro</w:t>
            </w:r>
          </w:p>
        </w:tc>
        <w:tc>
          <w:tcPr>
            <w:tcW w:w="1507" w:type="dxa"/>
            <w:vAlign w:val="center"/>
          </w:tcPr>
          <w:p w14:paraId="7D0EFA50"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1</w:t>
            </w:r>
          </w:p>
        </w:tc>
        <w:tc>
          <w:tcPr>
            <w:tcW w:w="3016" w:type="dxa"/>
            <w:vAlign w:val="center"/>
          </w:tcPr>
          <w:p w14:paraId="42A5BD35"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Obrigatório</w:t>
            </w:r>
          </w:p>
          <w:p w14:paraId="6B5874B1"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1 - Anulação Parcial ou Total de Dotações Orçamentárias</w:t>
            </w:r>
          </w:p>
          <w:p w14:paraId="3B818D5B"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2 - Excesso de Arrecadação</w:t>
            </w:r>
          </w:p>
          <w:p w14:paraId="7418BAFD"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3 - Superávit Financeiro</w:t>
            </w:r>
          </w:p>
          <w:p w14:paraId="73CA816E"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4 - Operações de Crédito</w:t>
            </w:r>
          </w:p>
          <w:p w14:paraId="3AD44D2D"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lastRenderedPageBreak/>
              <w:t>5 - Anulação de Reserva de Contingência;</w:t>
            </w:r>
          </w:p>
          <w:p w14:paraId="7DA186B1"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6 - Parágrafo 8º do Artigo 166 da Constituição Federal</w:t>
            </w:r>
          </w:p>
          <w:p w14:paraId="38B94237"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7 - Saldo de crédito adicional especial/extraordinário aberto nos últimos quatro meses do exercício anterior</w:t>
            </w:r>
          </w:p>
          <w:p w14:paraId="362E1305"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8. Recursos de Convênios (PC TC-028/2004)</w:t>
            </w:r>
          </w:p>
        </w:tc>
      </w:tr>
      <w:tr w:rsidR="00EE0371" w:rsidRPr="00EE0371" w14:paraId="3F324067" w14:textId="77777777" w:rsidTr="00EE0371">
        <w:trPr>
          <w:jc w:val="center"/>
        </w:trPr>
        <w:tc>
          <w:tcPr>
            <w:tcW w:w="3390" w:type="dxa"/>
            <w:vAlign w:val="center"/>
          </w:tcPr>
          <w:p w14:paraId="2D3D3302"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lastRenderedPageBreak/>
              <w:t>Tipo de Atualização</w:t>
            </w:r>
          </w:p>
        </w:tc>
        <w:tc>
          <w:tcPr>
            <w:tcW w:w="1133" w:type="dxa"/>
            <w:vAlign w:val="center"/>
          </w:tcPr>
          <w:p w14:paraId="1FDAA7F3"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Inteiro</w:t>
            </w:r>
          </w:p>
        </w:tc>
        <w:tc>
          <w:tcPr>
            <w:tcW w:w="1507" w:type="dxa"/>
            <w:vAlign w:val="center"/>
          </w:tcPr>
          <w:p w14:paraId="2269CF0D"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1</w:t>
            </w:r>
          </w:p>
        </w:tc>
        <w:tc>
          <w:tcPr>
            <w:tcW w:w="3016" w:type="dxa"/>
            <w:vAlign w:val="center"/>
          </w:tcPr>
          <w:p w14:paraId="5038DAEC" w14:textId="77777777" w:rsidR="00EE0371" w:rsidRPr="00EE0371" w:rsidRDefault="00EE0371" w:rsidP="000D3464">
            <w:pPr>
              <w:spacing w:after="0" w:line="360" w:lineRule="auto"/>
              <w:rPr>
                <w:rFonts w:ascii="Arial" w:hAnsi="Arial" w:cs="Arial"/>
                <w:sz w:val="20"/>
                <w:szCs w:val="20"/>
              </w:rPr>
            </w:pPr>
            <w:r w:rsidRPr="00EE0371">
              <w:rPr>
                <w:rFonts w:ascii="Arial" w:hAnsi="Arial" w:cs="Arial"/>
                <w:sz w:val="20"/>
                <w:szCs w:val="20"/>
              </w:rPr>
              <w:t>Obrigatório</w:t>
            </w:r>
          </w:p>
          <w:p w14:paraId="3033683A" w14:textId="77777777" w:rsidR="00EE0371" w:rsidRPr="00EE0371" w:rsidRDefault="00EE0371" w:rsidP="000D3464">
            <w:pPr>
              <w:spacing w:after="0" w:line="360" w:lineRule="auto"/>
              <w:rPr>
                <w:rFonts w:ascii="Arial" w:hAnsi="Arial" w:cs="Arial"/>
                <w:sz w:val="20"/>
                <w:szCs w:val="20"/>
              </w:rPr>
            </w:pPr>
            <w:r w:rsidRPr="00EE0371">
              <w:rPr>
                <w:rFonts w:ascii="Arial" w:hAnsi="Arial" w:cs="Arial"/>
                <w:sz w:val="20"/>
                <w:szCs w:val="20"/>
              </w:rPr>
              <w:t>1 – Redução</w:t>
            </w:r>
            <w:r w:rsidRPr="00EE0371">
              <w:rPr>
                <w:rFonts w:ascii="Arial" w:hAnsi="Arial" w:cs="Arial"/>
                <w:sz w:val="20"/>
                <w:szCs w:val="20"/>
              </w:rPr>
              <w:br/>
              <w:t>2 – Adição</w:t>
            </w:r>
            <w:r w:rsidRPr="00EE0371">
              <w:rPr>
                <w:rFonts w:ascii="Arial" w:hAnsi="Arial" w:cs="Arial"/>
                <w:sz w:val="20"/>
                <w:szCs w:val="20"/>
              </w:rPr>
              <w:br/>
              <w:t>3 – Inclusão</w:t>
            </w:r>
          </w:p>
        </w:tc>
      </w:tr>
      <w:tr w:rsidR="00EE0371" w:rsidRPr="00EE0371" w14:paraId="7C8944D1" w14:textId="77777777" w:rsidTr="00EE0371">
        <w:trPr>
          <w:jc w:val="center"/>
        </w:trPr>
        <w:tc>
          <w:tcPr>
            <w:tcW w:w="3390" w:type="dxa"/>
            <w:vAlign w:val="center"/>
          </w:tcPr>
          <w:p w14:paraId="05DD8644"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Código da Unidade Gestora</w:t>
            </w:r>
          </w:p>
        </w:tc>
        <w:tc>
          <w:tcPr>
            <w:tcW w:w="1133" w:type="dxa"/>
            <w:vAlign w:val="center"/>
          </w:tcPr>
          <w:p w14:paraId="1E747FD3"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Caracter</w:t>
            </w:r>
          </w:p>
        </w:tc>
        <w:tc>
          <w:tcPr>
            <w:tcW w:w="1507" w:type="dxa"/>
            <w:vAlign w:val="center"/>
          </w:tcPr>
          <w:p w14:paraId="76588011"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11</w:t>
            </w:r>
          </w:p>
        </w:tc>
        <w:tc>
          <w:tcPr>
            <w:tcW w:w="3016" w:type="dxa"/>
            <w:vAlign w:val="center"/>
          </w:tcPr>
          <w:p w14:paraId="3C35F1C7" w14:textId="77777777" w:rsidR="00EE0371" w:rsidRPr="00EE0371" w:rsidRDefault="00EE0371" w:rsidP="000D3464">
            <w:pPr>
              <w:spacing w:after="0" w:line="360" w:lineRule="auto"/>
              <w:rPr>
                <w:rFonts w:ascii="Arial" w:hAnsi="Arial" w:cs="Arial"/>
                <w:sz w:val="20"/>
                <w:szCs w:val="20"/>
              </w:rPr>
            </w:pPr>
            <w:r w:rsidRPr="00EE0371">
              <w:rPr>
                <w:rFonts w:ascii="Arial" w:hAnsi="Arial" w:cs="Arial"/>
                <w:sz w:val="20"/>
                <w:szCs w:val="20"/>
              </w:rPr>
              <w:t>Obrigatório</w:t>
            </w:r>
          </w:p>
        </w:tc>
      </w:tr>
      <w:tr w:rsidR="00EE0371" w:rsidRPr="00EE0371" w14:paraId="0A60374C" w14:textId="77777777" w:rsidTr="00EE0371">
        <w:trPr>
          <w:jc w:val="center"/>
        </w:trPr>
        <w:tc>
          <w:tcPr>
            <w:tcW w:w="3390" w:type="dxa"/>
            <w:vAlign w:val="center"/>
          </w:tcPr>
          <w:p w14:paraId="39220AD9"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 xml:space="preserve">Código do Órgão </w:t>
            </w:r>
          </w:p>
        </w:tc>
        <w:tc>
          <w:tcPr>
            <w:tcW w:w="1133" w:type="dxa"/>
            <w:vAlign w:val="center"/>
          </w:tcPr>
          <w:p w14:paraId="6A0709A9"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Caracter</w:t>
            </w:r>
          </w:p>
        </w:tc>
        <w:tc>
          <w:tcPr>
            <w:tcW w:w="1507" w:type="dxa"/>
            <w:vAlign w:val="center"/>
          </w:tcPr>
          <w:p w14:paraId="2B0A88A4"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6</w:t>
            </w:r>
          </w:p>
        </w:tc>
        <w:tc>
          <w:tcPr>
            <w:tcW w:w="3016" w:type="dxa"/>
            <w:vAlign w:val="center"/>
          </w:tcPr>
          <w:p w14:paraId="4E28B2CD" w14:textId="77777777" w:rsidR="00EE0371" w:rsidRPr="00EE0371" w:rsidRDefault="00EE0371" w:rsidP="000D3464">
            <w:pPr>
              <w:spacing w:after="0" w:line="360" w:lineRule="auto"/>
              <w:rPr>
                <w:rFonts w:ascii="Arial" w:hAnsi="Arial" w:cs="Arial"/>
                <w:sz w:val="20"/>
                <w:szCs w:val="20"/>
              </w:rPr>
            </w:pPr>
            <w:r w:rsidRPr="00EE0371">
              <w:rPr>
                <w:rFonts w:ascii="Arial" w:hAnsi="Arial" w:cs="Arial"/>
                <w:sz w:val="20"/>
                <w:szCs w:val="20"/>
              </w:rPr>
              <w:t>Obrigatório</w:t>
            </w:r>
          </w:p>
        </w:tc>
      </w:tr>
      <w:tr w:rsidR="00EE0371" w:rsidRPr="00EE0371" w14:paraId="005B0857" w14:textId="77777777" w:rsidTr="00EE0371">
        <w:trPr>
          <w:jc w:val="center"/>
        </w:trPr>
        <w:tc>
          <w:tcPr>
            <w:tcW w:w="3390" w:type="dxa"/>
            <w:vAlign w:val="center"/>
          </w:tcPr>
          <w:p w14:paraId="28360367"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 xml:space="preserve">Código da Unidade Orçamentária </w:t>
            </w:r>
          </w:p>
        </w:tc>
        <w:tc>
          <w:tcPr>
            <w:tcW w:w="1133" w:type="dxa"/>
            <w:vAlign w:val="center"/>
          </w:tcPr>
          <w:p w14:paraId="3B2D4103"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Caracter</w:t>
            </w:r>
          </w:p>
        </w:tc>
        <w:tc>
          <w:tcPr>
            <w:tcW w:w="1507" w:type="dxa"/>
            <w:vAlign w:val="center"/>
          </w:tcPr>
          <w:p w14:paraId="5223EB94"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6</w:t>
            </w:r>
          </w:p>
        </w:tc>
        <w:tc>
          <w:tcPr>
            <w:tcW w:w="3016" w:type="dxa"/>
            <w:vAlign w:val="center"/>
          </w:tcPr>
          <w:p w14:paraId="47115E4A" w14:textId="77777777" w:rsidR="00EE0371" w:rsidRPr="00EE0371" w:rsidRDefault="00EE0371" w:rsidP="000D3464">
            <w:pPr>
              <w:spacing w:after="0" w:line="360" w:lineRule="auto"/>
              <w:rPr>
                <w:rFonts w:ascii="Arial" w:hAnsi="Arial" w:cs="Arial"/>
                <w:sz w:val="20"/>
                <w:szCs w:val="20"/>
              </w:rPr>
            </w:pPr>
            <w:r w:rsidRPr="00EE0371">
              <w:rPr>
                <w:rFonts w:ascii="Arial" w:hAnsi="Arial" w:cs="Arial"/>
                <w:sz w:val="20"/>
                <w:szCs w:val="20"/>
              </w:rPr>
              <w:t>Obrigatório</w:t>
            </w:r>
          </w:p>
        </w:tc>
      </w:tr>
      <w:tr w:rsidR="00EE0371" w:rsidRPr="00EE0371" w14:paraId="693B1751" w14:textId="77777777" w:rsidTr="00EE0371">
        <w:trPr>
          <w:jc w:val="center"/>
        </w:trPr>
        <w:tc>
          <w:tcPr>
            <w:tcW w:w="3390" w:type="dxa"/>
            <w:vAlign w:val="center"/>
          </w:tcPr>
          <w:p w14:paraId="3F5BA1B6"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 xml:space="preserve">Código da Função </w:t>
            </w:r>
            <w:r w:rsidRPr="000D3464">
              <w:rPr>
                <w:rFonts w:ascii="Arial" w:hAnsi="Arial" w:cs="Arial"/>
                <w:b/>
                <w:sz w:val="20"/>
                <w:szCs w:val="20"/>
                <w:vertAlign w:val="superscript"/>
                <w:lang w:eastAsia="pt-BR"/>
              </w:rPr>
              <w:t>[6]</w:t>
            </w:r>
          </w:p>
        </w:tc>
        <w:tc>
          <w:tcPr>
            <w:tcW w:w="1133" w:type="dxa"/>
            <w:vAlign w:val="center"/>
          </w:tcPr>
          <w:p w14:paraId="39578E1F"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Caracter</w:t>
            </w:r>
          </w:p>
        </w:tc>
        <w:tc>
          <w:tcPr>
            <w:tcW w:w="1507" w:type="dxa"/>
            <w:vAlign w:val="center"/>
          </w:tcPr>
          <w:p w14:paraId="6EF41CAA"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2</w:t>
            </w:r>
          </w:p>
        </w:tc>
        <w:tc>
          <w:tcPr>
            <w:tcW w:w="3016" w:type="dxa"/>
            <w:vAlign w:val="center"/>
          </w:tcPr>
          <w:p w14:paraId="25FCAB0F" w14:textId="77777777" w:rsidR="00EE0371" w:rsidRPr="00EE0371" w:rsidRDefault="00EE0371" w:rsidP="000D3464">
            <w:pPr>
              <w:spacing w:after="0" w:line="360" w:lineRule="auto"/>
              <w:rPr>
                <w:rFonts w:ascii="Arial" w:hAnsi="Arial" w:cs="Arial"/>
                <w:sz w:val="20"/>
                <w:szCs w:val="20"/>
              </w:rPr>
            </w:pPr>
            <w:r w:rsidRPr="00EE0371">
              <w:rPr>
                <w:rFonts w:ascii="Arial" w:hAnsi="Arial" w:cs="Arial"/>
                <w:sz w:val="20"/>
                <w:szCs w:val="20"/>
              </w:rPr>
              <w:t>Obrigatório tabela auxiliar 7.1</w:t>
            </w:r>
          </w:p>
        </w:tc>
      </w:tr>
      <w:tr w:rsidR="00EE0371" w:rsidRPr="00EE0371" w14:paraId="630E6AAD" w14:textId="77777777" w:rsidTr="00EE0371">
        <w:trPr>
          <w:jc w:val="center"/>
        </w:trPr>
        <w:tc>
          <w:tcPr>
            <w:tcW w:w="3390" w:type="dxa"/>
            <w:vAlign w:val="center"/>
          </w:tcPr>
          <w:p w14:paraId="1AFA7976"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 xml:space="preserve">Código da Subfunção </w:t>
            </w:r>
            <w:r w:rsidRPr="000D3464">
              <w:rPr>
                <w:rFonts w:ascii="Arial" w:hAnsi="Arial" w:cs="Arial"/>
                <w:b/>
                <w:sz w:val="20"/>
                <w:szCs w:val="20"/>
                <w:vertAlign w:val="superscript"/>
                <w:lang w:eastAsia="pt-BR"/>
              </w:rPr>
              <w:t>[6]</w:t>
            </w:r>
            <w:r w:rsidRPr="000D3464">
              <w:rPr>
                <w:rFonts w:ascii="Arial" w:hAnsi="Arial" w:cs="Arial"/>
                <w:sz w:val="20"/>
                <w:szCs w:val="20"/>
                <w:vertAlign w:val="superscript"/>
              </w:rPr>
              <w:t xml:space="preserve"> </w:t>
            </w:r>
          </w:p>
        </w:tc>
        <w:tc>
          <w:tcPr>
            <w:tcW w:w="1133" w:type="dxa"/>
            <w:vAlign w:val="center"/>
          </w:tcPr>
          <w:p w14:paraId="16126116"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Caracter</w:t>
            </w:r>
          </w:p>
        </w:tc>
        <w:tc>
          <w:tcPr>
            <w:tcW w:w="1507" w:type="dxa"/>
            <w:vAlign w:val="center"/>
          </w:tcPr>
          <w:p w14:paraId="5A234BD4"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3</w:t>
            </w:r>
          </w:p>
        </w:tc>
        <w:tc>
          <w:tcPr>
            <w:tcW w:w="3016" w:type="dxa"/>
            <w:vAlign w:val="center"/>
          </w:tcPr>
          <w:p w14:paraId="1720DEC2" w14:textId="77777777" w:rsidR="00EE0371" w:rsidRPr="00EE0371" w:rsidRDefault="00EE0371" w:rsidP="000D3464">
            <w:pPr>
              <w:spacing w:after="0" w:line="360" w:lineRule="auto"/>
              <w:rPr>
                <w:rFonts w:ascii="Arial" w:hAnsi="Arial" w:cs="Arial"/>
                <w:sz w:val="20"/>
                <w:szCs w:val="20"/>
              </w:rPr>
            </w:pPr>
            <w:r w:rsidRPr="00EE0371">
              <w:rPr>
                <w:rFonts w:ascii="Arial" w:hAnsi="Arial" w:cs="Arial"/>
                <w:sz w:val="20"/>
                <w:szCs w:val="20"/>
              </w:rPr>
              <w:t>Obrigatório tabela auxiliar 7.2</w:t>
            </w:r>
          </w:p>
        </w:tc>
      </w:tr>
      <w:tr w:rsidR="00EE0371" w:rsidRPr="00EE0371" w14:paraId="2E0AA47D" w14:textId="77777777" w:rsidTr="00EE0371">
        <w:trPr>
          <w:jc w:val="center"/>
        </w:trPr>
        <w:tc>
          <w:tcPr>
            <w:tcW w:w="3390" w:type="dxa"/>
            <w:vAlign w:val="center"/>
          </w:tcPr>
          <w:p w14:paraId="3B1F6383"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 xml:space="preserve">Código do Programa  </w:t>
            </w:r>
          </w:p>
        </w:tc>
        <w:tc>
          <w:tcPr>
            <w:tcW w:w="1133" w:type="dxa"/>
            <w:vAlign w:val="center"/>
          </w:tcPr>
          <w:p w14:paraId="3E396B50"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Caracter</w:t>
            </w:r>
          </w:p>
        </w:tc>
        <w:tc>
          <w:tcPr>
            <w:tcW w:w="1507" w:type="dxa"/>
            <w:vAlign w:val="center"/>
          </w:tcPr>
          <w:p w14:paraId="3BD6A3EB"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4</w:t>
            </w:r>
          </w:p>
        </w:tc>
        <w:tc>
          <w:tcPr>
            <w:tcW w:w="3016" w:type="dxa"/>
            <w:vAlign w:val="center"/>
          </w:tcPr>
          <w:p w14:paraId="345B4FA1" w14:textId="77777777" w:rsidR="00EE0371" w:rsidRPr="00EE0371" w:rsidRDefault="00EE0371" w:rsidP="000D3464">
            <w:pPr>
              <w:spacing w:after="0" w:line="360" w:lineRule="auto"/>
              <w:rPr>
                <w:rFonts w:ascii="Arial" w:hAnsi="Arial" w:cs="Arial"/>
                <w:sz w:val="20"/>
                <w:szCs w:val="20"/>
              </w:rPr>
            </w:pPr>
            <w:r w:rsidRPr="00EE0371">
              <w:rPr>
                <w:rFonts w:ascii="Arial" w:hAnsi="Arial" w:cs="Arial"/>
                <w:sz w:val="20"/>
                <w:szCs w:val="20"/>
              </w:rPr>
              <w:t>Obrigatório</w:t>
            </w:r>
          </w:p>
        </w:tc>
      </w:tr>
      <w:tr w:rsidR="00EE0371" w:rsidRPr="00EE0371" w14:paraId="1883048E" w14:textId="77777777" w:rsidTr="00EE0371">
        <w:trPr>
          <w:jc w:val="center"/>
        </w:trPr>
        <w:tc>
          <w:tcPr>
            <w:tcW w:w="3390" w:type="dxa"/>
            <w:vAlign w:val="center"/>
          </w:tcPr>
          <w:p w14:paraId="69551072"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 xml:space="preserve">Código da Ação </w:t>
            </w:r>
          </w:p>
        </w:tc>
        <w:tc>
          <w:tcPr>
            <w:tcW w:w="1133" w:type="dxa"/>
            <w:vAlign w:val="center"/>
          </w:tcPr>
          <w:p w14:paraId="7F64D8BA"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Caracter</w:t>
            </w:r>
          </w:p>
        </w:tc>
        <w:tc>
          <w:tcPr>
            <w:tcW w:w="1507" w:type="dxa"/>
            <w:vAlign w:val="center"/>
          </w:tcPr>
          <w:p w14:paraId="5ADB4650"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5</w:t>
            </w:r>
          </w:p>
        </w:tc>
        <w:tc>
          <w:tcPr>
            <w:tcW w:w="3016" w:type="dxa"/>
            <w:vAlign w:val="center"/>
          </w:tcPr>
          <w:p w14:paraId="292556E3" w14:textId="77777777" w:rsidR="00EE0371" w:rsidRPr="00EE0371" w:rsidRDefault="00EE0371" w:rsidP="000D3464">
            <w:pPr>
              <w:spacing w:after="0" w:line="360" w:lineRule="auto"/>
              <w:rPr>
                <w:rFonts w:ascii="Arial" w:hAnsi="Arial" w:cs="Arial"/>
                <w:sz w:val="20"/>
                <w:szCs w:val="20"/>
              </w:rPr>
            </w:pPr>
            <w:r w:rsidRPr="00EE0371">
              <w:rPr>
                <w:rFonts w:ascii="Arial" w:hAnsi="Arial" w:cs="Arial"/>
                <w:sz w:val="20"/>
                <w:szCs w:val="20"/>
              </w:rPr>
              <w:t>Obrigatório</w:t>
            </w:r>
          </w:p>
        </w:tc>
      </w:tr>
      <w:tr w:rsidR="00EE0371" w:rsidRPr="00EE0371" w14:paraId="3BEC77BF" w14:textId="77777777" w:rsidTr="00EE0371">
        <w:trPr>
          <w:jc w:val="center"/>
        </w:trPr>
        <w:tc>
          <w:tcPr>
            <w:tcW w:w="3390" w:type="dxa"/>
            <w:vAlign w:val="center"/>
          </w:tcPr>
          <w:p w14:paraId="75527700"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 xml:space="preserve">Categoria Econômica da Despesa </w:t>
            </w:r>
            <w:r w:rsidRPr="000D3464">
              <w:rPr>
                <w:rFonts w:ascii="Arial" w:hAnsi="Arial" w:cs="Arial"/>
                <w:b/>
                <w:sz w:val="20"/>
                <w:szCs w:val="20"/>
                <w:vertAlign w:val="superscript"/>
                <w:lang w:eastAsia="pt-BR"/>
              </w:rPr>
              <w:t>[6]</w:t>
            </w:r>
          </w:p>
        </w:tc>
        <w:tc>
          <w:tcPr>
            <w:tcW w:w="1133" w:type="dxa"/>
            <w:vAlign w:val="center"/>
          </w:tcPr>
          <w:p w14:paraId="77AC3CC6"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Inteiro</w:t>
            </w:r>
          </w:p>
        </w:tc>
        <w:tc>
          <w:tcPr>
            <w:tcW w:w="1507" w:type="dxa"/>
            <w:vAlign w:val="center"/>
          </w:tcPr>
          <w:p w14:paraId="25A468D9"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1</w:t>
            </w:r>
          </w:p>
        </w:tc>
        <w:tc>
          <w:tcPr>
            <w:tcW w:w="3016" w:type="dxa"/>
            <w:vAlign w:val="center"/>
          </w:tcPr>
          <w:p w14:paraId="2F571C7B" w14:textId="77777777" w:rsidR="00EE0371" w:rsidRPr="00EE0371" w:rsidRDefault="00EE0371" w:rsidP="000D3464">
            <w:pPr>
              <w:spacing w:after="0" w:line="360" w:lineRule="auto"/>
              <w:rPr>
                <w:rFonts w:ascii="Arial" w:hAnsi="Arial" w:cs="Arial"/>
                <w:sz w:val="20"/>
                <w:szCs w:val="20"/>
              </w:rPr>
            </w:pPr>
            <w:r w:rsidRPr="00EE0371">
              <w:rPr>
                <w:rFonts w:ascii="Arial" w:hAnsi="Arial" w:cs="Arial"/>
                <w:sz w:val="20"/>
                <w:szCs w:val="20"/>
              </w:rPr>
              <w:t>Obrigatório tabela auxiliar 7.3</w:t>
            </w:r>
          </w:p>
        </w:tc>
      </w:tr>
      <w:tr w:rsidR="00EE0371" w:rsidRPr="00EE0371" w14:paraId="5F177A09" w14:textId="77777777" w:rsidTr="00EE0371">
        <w:trPr>
          <w:jc w:val="center"/>
        </w:trPr>
        <w:tc>
          <w:tcPr>
            <w:tcW w:w="3390" w:type="dxa"/>
            <w:vAlign w:val="center"/>
          </w:tcPr>
          <w:p w14:paraId="79BAA4CA"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 xml:space="preserve">Grupo de Natureza da Despesa </w:t>
            </w:r>
            <w:r w:rsidRPr="000D3464">
              <w:rPr>
                <w:rFonts w:ascii="Arial" w:hAnsi="Arial" w:cs="Arial"/>
                <w:b/>
                <w:sz w:val="20"/>
                <w:szCs w:val="20"/>
                <w:vertAlign w:val="superscript"/>
                <w:lang w:eastAsia="pt-BR"/>
              </w:rPr>
              <w:t>[6]</w:t>
            </w:r>
          </w:p>
        </w:tc>
        <w:tc>
          <w:tcPr>
            <w:tcW w:w="1133" w:type="dxa"/>
            <w:vAlign w:val="center"/>
          </w:tcPr>
          <w:p w14:paraId="0850C163"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Inteiro</w:t>
            </w:r>
          </w:p>
        </w:tc>
        <w:tc>
          <w:tcPr>
            <w:tcW w:w="1507" w:type="dxa"/>
            <w:vAlign w:val="center"/>
          </w:tcPr>
          <w:p w14:paraId="1D17AAF0"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1</w:t>
            </w:r>
          </w:p>
        </w:tc>
        <w:tc>
          <w:tcPr>
            <w:tcW w:w="3016" w:type="dxa"/>
            <w:vAlign w:val="center"/>
          </w:tcPr>
          <w:p w14:paraId="300586F7" w14:textId="77777777" w:rsidR="00EE0371" w:rsidRPr="00EE0371" w:rsidRDefault="00EE0371" w:rsidP="000D3464">
            <w:pPr>
              <w:spacing w:after="0" w:line="360" w:lineRule="auto"/>
              <w:rPr>
                <w:rFonts w:ascii="Arial" w:hAnsi="Arial" w:cs="Arial"/>
                <w:sz w:val="20"/>
                <w:szCs w:val="20"/>
              </w:rPr>
            </w:pPr>
            <w:r w:rsidRPr="00EE0371">
              <w:rPr>
                <w:rFonts w:ascii="Arial" w:hAnsi="Arial" w:cs="Arial"/>
                <w:sz w:val="20"/>
                <w:szCs w:val="20"/>
              </w:rPr>
              <w:t>Obrigatório tabela auxiliar 7.4</w:t>
            </w:r>
          </w:p>
        </w:tc>
      </w:tr>
      <w:tr w:rsidR="00EE0371" w:rsidRPr="00EE0371" w14:paraId="726A3B22" w14:textId="77777777" w:rsidTr="00EE0371">
        <w:trPr>
          <w:jc w:val="center"/>
        </w:trPr>
        <w:tc>
          <w:tcPr>
            <w:tcW w:w="3390" w:type="dxa"/>
            <w:vAlign w:val="center"/>
          </w:tcPr>
          <w:p w14:paraId="22B18FFA"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 xml:space="preserve">Modalidade de Aplicação </w:t>
            </w:r>
            <w:r w:rsidRPr="000D3464">
              <w:rPr>
                <w:rFonts w:ascii="Arial" w:hAnsi="Arial" w:cs="Arial"/>
                <w:b/>
                <w:sz w:val="20"/>
                <w:szCs w:val="20"/>
                <w:vertAlign w:val="superscript"/>
                <w:lang w:eastAsia="pt-BR"/>
              </w:rPr>
              <w:t>[6]</w:t>
            </w:r>
          </w:p>
        </w:tc>
        <w:tc>
          <w:tcPr>
            <w:tcW w:w="1133" w:type="dxa"/>
            <w:vAlign w:val="center"/>
          </w:tcPr>
          <w:p w14:paraId="10ED2218"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Inteiro</w:t>
            </w:r>
          </w:p>
        </w:tc>
        <w:tc>
          <w:tcPr>
            <w:tcW w:w="1507" w:type="dxa"/>
            <w:vAlign w:val="center"/>
          </w:tcPr>
          <w:p w14:paraId="7441B600"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2</w:t>
            </w:r>
          </w:p>
        </w:tc>
        <w:tc>
          <w:tcPr>
            <w:tcW w:w="3016" w:type="dxa"/>
            <w:vAlign w:val="center"/>
          </w:tcPr>
          <w:p w14:paraId="17F0228D" w14:textId="77777777" w:rsidR="00EE0371" w:rsidRPr="00EE0371" w:rsidRDefault="00EE0371" w:rsidP="000D3464">
            <w:pPr>
              <w:spacing w:after="0" w:line="360" w:lineRule="auto"/>
              <w:rPr>
                <w:rFonts w:ascii="Arial" w:hAnsi="Arial" w:cs="Arial"/>
                <w:sz w:val="20"/>
                <w:szCs w:val="20"/>
              </w:rPr>
            </w:pPr>
            <w:r w:rsidRPr="00EE0371">
              <w:rPr>
                <w:rFonts w:ascii="Arial" w:hAnsi="Arial" w:cs="Arial"/>
                <w:sz w:val="20"/>
                <w:szCs w:val="20"/>
              </w:rPr>
              <w:t>Obrigatório tabela auxiliar 7.5</w:t>
            </w:r>
          </w:p>
        </w:tc>
      </w:tr>
      <w:tr w:rsidR="00EE0371" w:rsidRPr="00EE0371" w14:paraId="55347114" w14:textId="77777777" w:rsidTr="00EE0371">
        <w:trPr>
          <w:jc w:val="center"/>
        </w:trPr>
        <w:tc>
          <w:tcPr>
            <w:tcW w:w="3390" w:type="dxa"/>
            <w:vAlign w:val="center"/>
          </w:tcPr>
          <w:p w14:paraId="706B853A"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 xml:space="preserve">Elemento de Despesa </w:t>
            </w:r>
            <w:r w:rsidRPr="000D3464">
              <w:rPr>
                <w:rFonts w:ascii="Arial" w:hAnsi="Arial" w:cs="Arial"/>
                <w:b/>
                <w:sz w:val="20"/>
                <w:szCs w:val="20"/>
                <w:vertAlign w:val="superscript"/>
                <w:lang w:eastAsia="pt-BR"/>
              </w:rPr>
              <w:t>[6]</w:t>
            </w:r>
          </w:p>
        </w:tc>
        <w:tc>
          <w:tcPr>
            <w:tcW w:w="1133" w:type="dxa"/>
            <w:vAlign w:val="center"/>
          </w:tcPr>
          <w:p w14:paraId="67E30844"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Inteiro</w:t>
            </w:r>
          </w:p>
        </w:tc>
        <w:tc>
          <w:tcPr>
            <w:tcW w:w="1507" w:type="dxa"/>
            <w:vAlign w:val="center"/>
          </w:tcPr>
          <w:p w14:paraId="0BC0FED5"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2</w:t>
            </w:r>
          </w:p>
        </w:tc>
        <w:tc>
          <w:tcPr>
            <w:tcW w:w="3016" w:type="dxa"/>
            <w:vAlign w:val="center"/>
          </w:tcPr>
          <w:p w14:paraId="05FCFAF6" w14:textId="77777777" w:rsidR="00EE0371" w:rsidRPr="00EE0371" w:rsidRDefault="00EE0371" w:rsidP="000D3464">
            <w:pPr>
              <w:spacing w:after="0" w:line="360" w:lineRule="auto"/>
              <w:rPr>
                <w:rFonts w:ascii="Arial" w:hAnsi="Arial" w:cs="Arial"/>
                <w:sz w:val="20"/>
                <w:szCs w:val="20"/>
              </w:rPr>
            </w:pPr>
            <w:r w:rsidRPr="00EE0371">
              <w:rPr>
                <w:rFonts w:ascii="Arial" w:hAnsi="Arial" w:cs="Arial"/>
                <w:sz w:val="20"/>
                <w:szCs w:val="20"/>
              </w:rPr>
              <w:t>Obrigatório tabela auxiliar 7.6</w:t>
            </w:r>
          </w:p>
        </w:tc>
      </w:tr>
      <w:tr w:rsidR="00EE0371" w:rsidRPr="00EE0371" w14:paraId="7A27BF45" w14:textId="77777777" w:rsidTr="00EE0371">
        <w:trPr>
          <w:jc w:val="center"/>
        </w:trPr>
        <w:tc>
          <w:tcPr>
            <w:tcW w:w="3390" w:type="dxa"/>
            <w:vAlign w:val="center"/>
          </w:tcPr>
          <w:p w14:paraId="57E2F191"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 xml:space="preserve">Código do Grupo de Fonte/Destinação de Recursos </w:t>
            </w:r>
            <w:r w:rsidRPr="000D3464">
              <w:rPr>
                <w:rFonts w:ascii="Arial" w:hAnsi="Arial" w:cs="Arial"/>
                <w:b/>
                <w:sz w:val="20"/>
                <w:szCs w:val="20"/>
                <w:vertAlign w:val="superscript"/>
                <w:lang w:eastAsia="pt-BR"/>
              </w:rPr>
              <w:t>[6]</w:t>
            </w:r>
          </w:p>
        </w:tc>
        <w:tc>
          <w:tcPr>
            <w:tcW w:w="1133" w:type="dxa"/>
            <w:vAlign w:val="center"/>
          </w:tcPr>
          <w:p w14:paraId="385A37B2"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Inteiro</w:t>
            </w:r>
          </w:p>
        </w:tc>
        <w:tc>
          <w:tcPr>
            <w:tcW w:w="1507" w:type="dxa"/>
            <w:vAlign w:val="center"/>
          </w:tcPr>
          <w:p w14:paraId="78177057"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1</w:t>
            </w:r>
          </w:p>
        </w:tc>
        <w:tc>
          <w:tcPr>
            <w:tcW w:w="3016" w:type="dxa"/>
            <w:vAlign w:val="center"/>
          </w:tcPr>
          <w:p w14:paraId="363DC127" w14:textId="77777777" w:rsidR="00EE0371" w:rsidRPr="00EE0371" w:rsidRDefault="00EE0371" w:rsidP="000D3464">
            <w:pPr>
              <w:spacing w:after="0" w:line="360" w:lineRule="auto"/>
              <w:rPr>
                <w:rFonts w:ascii="Arial" w:hAnsi="Arial" w:cs="Arial"/>
                <w:sz w:val="20"/>
                <w:szCs w:val="20"/>
              </w:rPr>
            </w:pPr>
            <w:r w:rsidRPr="00EE0371">
              <w:rPr>
                <w:rFonts w:ascii="Arial" w:hAnsi="Arial" w:cs="Arial"/>
                <w:sz w:val="20"/>
                <w:szCs w:val="20"/>
              </w:rPr>
              <w:t>Obrigatório conforme tabela auxiliar 1.1</w:t>
            </w:r>
          </w:p>
        </w:tc>
      </w:tr>
      <w:tr w:rsidR="00EE0371" w:rsidRPr="00EE0371" w14:paraId="01B52F82" w14:textId="77777777" w:rsidTr="00EE0371">
        <w:trPr>
          <w:jc w:val="center"/>
        </w:trPr>
        <w:tc>
          <w:tcPr>
            <w:tcW w:w="3390" w:type="dxa"/>
            <w:vAlign w:val="center"/>
          </w:tcPr>
          <w:p w14:paraId="61E1AC8E"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Código da especificação da fonte/destinação de recursos (fixo)</w:t>
            </w:r>
          </w:p>
        </w:tc>
        <w:tc>
          <w:tcPr>
            <w:tcW w:w="1133" w:type="dxa"/>
            <w:vAlign w:val="center"/>
          </w:tcPr>
          <w:p w14:paraId="29A5B268"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Caracter</w:t>
            </w:r>
          </w:p>
        </w:tc>
        <w:tc>
          <w:tcPr>
            <w:tcW w:w="1507" w:type="dxa"/>
            <w:vAlign w:val="center"/>
          </w:tcPr>
          <w:p w14:paraId="54BA0C0F"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3</w:t>
            </w:r>
          </w:p>
        </w:tc>
        <w:tc>
          <w:tcPr>
            <w:tcW w:w="3016" w:type="dxa"/>
            <w:vAlign w:val="center"/>
          </w:tcPr>
          <w:p w14:paraId="006D71D9" w14:textId="77777777" w:rsidR="00EE0371" w:rsidRPr="00EE0371" w:rsidRDefault="00EE0371" w:rsidP="000D3464">
            <w:pPr>
              <w:spacing w:after="0" w:line="360" w:lineRule="auto"/>
              <w:rPr>
                <w:rFonts w:ascii="Arial" w:hAnsi="Arial" w:cs="Arial"/>
                <w:sz w:val="20"/>
                <w:szCs w:val="20"/>
              </w:rPr>
            </w:pPr>
            <w:r w:rsidRPr="00EE0371">
              <w:rPr>
                <w:rFonts w:ascii="Arial" w:hAnsi="Arial" w:cs="Arial"/>
                <w:sz w:val="20"/>
                <w:szCs w:val="20"/>
              </w:rPr>
              <w:t>Obrigatório conforme Tabela Auxiliar 1.2 – parte fixa</w:t>
            </w:r>
          </w:p>
        </w:tc>
      </w:tr>
      <w:tr w:rsidR="00EE0371" w:rsidRPr="00EE0371" w14:paraId="6B56C01F" w14:textId="77777777" w:rsidTr="00EE0371">
        <w:trPr>
          <w:jc w:val="center"/>
        </w:trPr>
        <w:tc>
          <w:tcPr>
            <w:tcW w:w="3390" w:type="dxa"/>
            <w:vAlign w:val="center"/>
          </w:tcPr>
          <w:p w14:paraId="1EEC3F02"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Código da especificação/detalhamento da destinação de recursos (variável)</w:t>
            </w:r>
          </w:p>
        </w:tc>
        <w:tc>
          <w:tcPr>
            <w:tcW w:w="1133" w:type="dxa"/>
            <w:vAlign w:val="center"/>
          </w:tcPr>
          <w:p w14:paraId="6839F837"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Caracter</w:t>
            </w:r>
          </w:p>
        </w:tc>
        <w:tc>
          <w:tcPr>
            <w:tcW w:w="1507" w:type="dxa"/>
            <w:vAlign w:val="center"/>
          </w:tcPr>
          <w:p w14:paraId="12F44849"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4</w:t>
            </w:r>
          </w:p>
        </w:tc>
        <w:tc>
          <w:tcPr>
            <w:tcW w:w="3016" w:type="dxa"/>
            <w:vAlign w:val="center"/>
          </w:tcPr>
          <w:p w14:paraId="4085E2B3" w14:textId="77777777" w:rsidR="00EE0371" w:rsidRPr="00EE0371" w:rsidRDefault="00EE0371" w:rsidP="000D3464">
            <w:pPr>
              <w:spacing w:after="0" w:line="360" w:lineRule="auto"/>
              <w:rPr>
                <w:rFonts w:ascii="Arial" w:hAnsi="Arial" w:cs="Arial"/>
                <w:sz w:val="20"/>
                <w:szCs w:val="20"/>
              </w:rPr>
            </w:pPr>
            <w:r w:rsidRPr="00EE0371">
              <w:rPr>
                <w:rFonts w:ascii="Arial" w:hAnsi="Arial" w:cs="Arial"/>
                <w:sz w:val="20"/>
                <w:szCs w:val="20"/>
              </w:rPr>
              <w:t>Obrigatório conforme Tabela Auxiliar 1.2 ou Tabela Cadastral 1.3 – parte variável</w:t>
            </w:r>
            <w:r w:rsidR="005A1734">
              <w:rPr>
                <w:rFonts w:ascii="Arial" w:hAnsi="Arial" w:cs="Arial"/>
                <w:sz w:val="20"/>
                <w:szCs w:val="20"/>
              </w:rPr>
              <w:t xml:space="preserve"> </w:t>
            </w:r>
          </w:p>
        </w:tc>
      </w:tr>
      <w:tr w:rsidR="00EE0371" w:rsidRPr="00EE0371" w14:paraId="79F3FCD6" w14:textId="77777777" w:rsidTr="00EE0371">
        <w:trPr>
          <w:jc w:val="center"/>
        </w:trPr>
        <w:tc>
          <w:tcPr>
            <w:tcW w:w="3390" w:type="dxa"/>
            <w:vAlign w:val="center"/>
          </w:tcPr>
          <w:p w14:paraId="7A154FF5"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Valor da Atualização</w:t>
            </w:r>
          </w:p>
        </w:tc>
        <w:tc>
          <w:tcPr>
            <w:tcW w:w="1133" w:type="dxa"/>
            <w:vAlign w:val="center"/>
          </w:tcPr>
          <w:p w14:paraId="1EA95D05"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Decimal</w:t>
            </w:r>
          </w:p>
        </w:tc>
        <w:tc>
          <w:tcPr>
            <w:tcW w:w="1507" w:type="dxa"/>
            <w:vAlign w:val="center"/>
          </w:tcPr>
          <w:p w14:paraId="62625BC3"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14,2</w:t>
            </w:r>
          </w:p>
        </w:tc>
        <w:tc>
          <w:tcPr>
            <w:tcW w:w="3016" w:type="dxa"/>
            <w:vAlign w:val="center"/>
          </w:tcPr>
          <w:p w14:paraId="72672499" w14:textId="77777777" w:rsidR="00EE0371" w:rsidRPr="00EE0371" w:rsidRDefault="00EE0371" w:rsidP="000D3464">
            <w:pPr>
              <w:spacing w:after="0" w:line="360" w:lineRule="auto"/>
              <w:rPr>
                <w:rFonts w:ascii="Arial" w:hAnsi="Arial" w:cs="Arial"/>
                <w:sz w:val="20"/>
                <w:szCs w:val="20"/>
              </w:rPr>
            </w:pPr>
            <w:r w:rsidRPr="00EE0371">
              <w:rPr>
                <w:rFonts w:ascii="Arial" w:hAnsi="Arial" w:cs="Arial"/>
                <w:sz w:val="20"/>
                <w:szCs w:val="20"/>
              </w:rPr>
              <w:t>Obrigatório</w:t>
            </w:r>
          </w:p>
        </w:tc>
      </w:tr>
    </w:tbl>
    <w:p w14:paraId="2037964E" w14:textId="5D3D0AE7" w:rsidR="00EE0371" w:rsidRPr="000D3464" w:rsidRDefault="00EE0371" w:rsidP="00EE0371">
      <w:pPr>
        <w:spacing w:before="120" w:after="120" w:line="240" w:lineRule="auto"/>
        <w:jc w:val="both"/>
        <w:rPr>
          <w:rFonts w:ascii="Arial" w:hAnsi="Arial" w:cs="Arial"/>
          <w:sz w:val="18"/>
          <w:szCs w:val="18"/>
          <w:lang w:eastAsia="pt-BR"/>
        </w:rPr>
      </w:pPr>
      <w:r w:rsidRPr="000D3464">
        <w:rPr>
          <w:rFonts w:ascii="Arial" w:hAnsi="Arial" w:cs="Arial"/>
          <w:sz w:val="18"/>
          <w:szCs w:val="18"/>
          <w:lang w:eastAsia="pt-BR"/>
        </w:rPr>
        <w:t>[1] Informar o Ano, Número</w:t>
      </w:r>
      <w:r w:rsidR="00034B3E">
        <w:rPr>
          <w:rFonts w:ascii="Arial" w:hAnsi="Arial" w:cs="Arial"/>
          <w:sz w:val="18"/>
          <w:szCs w:val="18"/>
          <w:lang w:eastAsia="pt-BR"/>
        </w:rPr>
        <w:t xml:space="preserve">, </w:t>
      </w:r>
      <w:r w:rsidRPr="000D3464">
        <w:rPr>
          <w:rFonts w:ascii="Arial" w:hAnsi="Arial" w:cs="Arial"/>
          <w:sz w:val="18"/>
          <w:szCs w:val="18"/>
          <w:lang w:eastAsia="pt-BR"/>
        </w:rPr>
        <w:t>Data de Publicação da Lei Municipal</w:t>
      </w:r>
      <w:r w:rsidR="00C65382">
        <w:rPr>
          <w:rFonts w:ascii="Arial" w:hAnsi="Arial" w:cs="Arial"/>
          <w:sz w:val="18"/>
          <w:szCs w:val="18"/>
          <w:lang w:eastAsia="pt-BR"/>
        </w:rPr>
        <w:t xml:space="preserve"> e o tipo de Lei Autorizativa</w:t>
      </w:r>
      <w:r w:rsidRPr="000D3464">
        <w:rPr>
          <w:rFonts w:ascii="Arial" w:hAnsi="Arial" w:cs="Arial"/>
          <w:sz w:val="18"/>
          <w:szCs w:val="18"/>
          <w:lang w:eastAsia="pt-BR"/>
        </w:rPr>
        <w:t xml:space="preserve"> que fornece a base legal para a ocorrência da alteração orçamentária. Para os Créditos Adicionais Extraordinários não é obrigatório informar estes campos.</w:t>
      </w:r>
      <w:r w:rsidRPr="000D3464">
        <w:rPr>
          <w:rFonts w:ascii="Arial" w:hAnsi="Arial" w:cs="Arial"/>
          <w:sz w:val="18"/>
          <w:szCs w:val="18"/>
          <w:lang w:eastAsia="pt-BR"/>
        </w:rPr>
        <w:tab/>
      </w:r>
      <w:r w:rsidRPr="000D3464">
        <w:rPr>
          <w:rFonts w:ascii="Arial" w:hAnsi="Arial" w:cs="Arial"/>
          <w:sz w:val="18"/>
          <w:szCs w:val="18"/>
          <w:lang w:eastAsia="pt-BR"/>
        </w:rPr>
        <w:tab/>
      </w:r>
    </w:p>
    <w:p w14:paraId="0F8DEBDB" w14:textId="77777777" w:rsidR="00EE0371" w:rsidRPr="000D3464" w:rsidRDefault="00EE0371" w:rsidP="00EE0371">
      <w:pPr>
        <w:spacing w:after="120" w:line="240" w:lineRule="auto"/>
        <w:jc w:val="both"/>
        <w:rPr>
          <w:rFonts w:ascii="Arial" w:hAnsi="Arial" w:cs="Arial"/>
          <w:sz w:val="18"/>
          <w:szCs w:val="18"/>
          <w:lang w:eastAsia="pt-BR"/>
        </w:rPr>
      </w:pPr>
      <w:r w:rsidRPr="000D3464">
        <w:rPr>
          <w:rFonts w:ascii="Arial" w:hAnsi="Arial" w:cs="Arial"/>
          <w:sz w:val="18"/>
          <w:szCs w:val="18"/>
          <w:lang w:eastAsia="pt-BR"/>
        </w:rPr>
        <w:t xml:space="preserve">[2] Informar o dispositivo (Artigo, §, Inciso) da Lei Orçamentária que dispõe sobre o valor ou percentual autorizado para a abertura de Crédito Adicional. </w:t>
      </w:r>
      <w:r w:rsidRPr="000D3464">
        <w:rPr>
          <w:rFonts w:ascii="Arial" w:hAnsi="Arial" w:cs="Arial"/>
          <w:sz w:val="18"/>
          <w:szCs w:val="18"/>
          <w:lang w:eastAsia="pt-BR"/>
        </w:rPr>
        <w:tab/>
      </w:r>
      <w:r w:rsidRPr="000D3464">
        <w:rPr>
          <w:rFonts w:ascii="Arial" w:hAnsi="Arial" w:cs="Arial"/>
          <w:sz w:val="18"/>
          <w:szCs w:val="18"/>
          <w:lang w:eastAsia="pt-BR"/>
        </w:rPr>
        <w:tab/>
      </w:r>
    </w:p>
    <w:p w14:paraId="529DE8E7" w14:textId="77777777" w:rsidR="00EE0371" w:rsidRPr="000D3464" w:rsidRDefault="00EE0371" w:rsidP="00EE0371">
      <w:pPr>
        <w:spacing w:after="120" w:line="240" w:lineRule="auto"/>
        <w:jc w:val="both"/>
        <w:rPr>
          <w:rFonts w:ascii="Arial" w:hAnsi="Arial" w:cs="Arial"/>
          <w:sz w:val="18"/>
          <w:szCs w:val="18"/>
          <w:lang w:eastAsia="pt-BR"/>
        </w:rPr>
      </w:pPr>
      <w:r w:rsidRPr="000D3464">
        <w:rPr>
          <w:rFonts w:ascii="Arial" w:hAnsi="Arial" w:cs="Arial"/>
          <w:sz w:val="18"/>
          <w:szCs w:val="18"/>
          <w:lang w:eastAsia="pt-BR"/>
        </w:rPr>
        <w:t>[3] Caso o valor autorizado para a abertura de Crédito Adicional estiver fixado em percentual, o mesmo deverá ser convertido a valor monetário.</w:t>
      </w:r>
      <w:r w:rsidRPr="000D3464">
        <w:rPr>
          <w:rFonts w:ascii="Arial" w:hAnsi="Arial" w:cs="Arial"/>
          <w:sz w:val="18"/>
          <w:szCs w:val="18"/>
          <w:lang w:eastAsia="pt-BR"/>
        </w:rPr>
        <w:tab/>
      </w:r>
      <w:r w:rsidRPr="000D3464">
        <w:rPr>
          <w:rFonts w:ascii="Arial" w:hAnsi="Arial" w:cs="Arial"/>
          <w:sz w:val="18"/>
          <w:szCs w:val="18"/>
          <w:lang w:eastAsia="pt-BR"/>
        </w:rPr>
        <w:tab/>
      </w:r>
      <w:r w:rsidRPr="000D3464">
        <w:rPr>
          <w:rFonts w:ascii="Arial" w:hAnsi="Arial" w:cs="Arial"/>
          <w:sz w:val="18"/>
          <w:szCs w:val="18"/>
          <w:lang w:eastAsia="pt-BR"/>
        </w:rPr>
        <w:tab/>
      </w:r>
    </w:p>
    <w:p w14:paraId="0EFCD68A" w14:textId="77777777" w:rsidR="00EE0371" w:rsidRPr="000D3464" w:rsidRDefault="00EE0371" w:rsidP="00EE0371">
      <w:pPr>
        <w:spacing w:after="120" w:line="240" w:lineRule="auto"/>
        <w:jc w:val="both"/>
        <w:rPr>
          <w:rFonts w:ascii="Arial" w:hAnsi="Arial" w:cs="Arial"/>
          <w:sz w:val="18"/>
          <w:szCs w:val="18"/>
          <w:lang w:eastAsia="pt-BR"/>
        </w:rPr>
      </w:pPr>
      <w:r w:rsidRPr="000D3464">
        <w:rPr>
          <w:rFonts w:ascii="Arial" w:hAnsi="Arial" w:cs="Arial"/>
          <w:sz w:val="18"/>
          <w:szCs w:val="18"/>
          <w:lang w:eastAsia="pt-BR"/>
        </w:rPr>
        <w:lastRenderedPageBreak/>
        <w:t>[4] Os Créditos Adicionais só poderão ser abertos por instrumento normativo diferente de Decreto desde que previamente autorizado na Lei de Diretrizes Orçamentárias do Município ou outra Legislação Específica.</w:t>
      </w:r>
      <w:r w:rsidRPr="000D3464">
        <w:rPr>
          <w:rFonts w:ascii="Arial" w:hAnsi="Arial" w:cs="Arial"/>
          <w:sz w:val="18"/>
          <w:szCs w:val="18"/>
          <w:lang w:eastAsia="pt-BR"/>
        </w:rPr>
        <w:tab/>
      </w:r>
      <w:r w:rsidRPr="000D3464">
        <w:rPr>
          <w:rFonts w:ascii="Arial" w:hAnsi="Arial" w:cs="Arial"/>
          <w:sz w:val="18"/>
          <w:szCs w:val="18"/>
          <w:lang w:eastAsia="pt-BR"/>
        </w:rPr>
        <w:tab/>
      </w:r>
      <w:r w:rsidRPr="000D3464">
        <w:rPr>
          <w:rFonts w:ascii="Arial" w:hAnsi="Arial" w:cs="Arial"/>
          <w:sz w:val="18"/>
          <w:szCs w:val="18"/>
          <w:lang w:eastAsia="pt-BR"/>
        </w:rPr>
        <w:tab/>
      </w:r>
    </w:p>
    <w:p w14:paraId="14BF1FD6" w14:textId="77777777" w:rsidR="00EE0371" w:rsidRPr="000D3464" w:rsidRDefault="00EE0371" w:rsidP="00EE0371">
      <w:pPr>
        <w:spacing w:after="120" w:line="240" w:lineRule="auto"/>
        <w:jc w:val="both"/>
        <w:rPr>
          <w:rFonts w:ascii="Arial" w:hAnsi="Arial" w:cs="Arial"/>
          <w:sz w:val="18"/>
          <w:szCs w:val="18"/>
          <w:lang w:eastAsia="pt-BR"/>
        </w:rPr>
      </w:pPr>
      <w:r w:rsidRPr="000D3464">
        <w:rPr>
          <w:rFonts w:ascii="Arial" w:hAnsi="Arial" w:cs="Arial"/>
          <w:sz w:val="18"/>
          <w:szCs w:val="18"/>
          <w:lang w:eastAsia="pt-BR"/>
        </w:rPr>
        <w:t>[5] Especificar as Fontes de Recursos conforme Constituição Federal de 1988, art. 43, §1° da Lei Federal 4.320/64 e outros normativos. A fonte não é obrigatória para Tipo de Crédito Extraordinário.</w:t>
      </w:r>
      <w:r w:rsidRPr="000D3464">
        <w:rPr>
          <w:rFonts w:ascii="Arial" w:hAnsi="Arial" w:cs="Arial"/>
          <w:sz w:val="18"/>
          <w:szCs w:val="18"/>
          <w:lang w:eastAsia="pt-BR"/>
        </w:rPr>
        <w:tab/>
      </w:r>
    </w:p>
    <w:p w14:paraId="033514F6" w14:textId="77777777" w:rsidR="00EE0371" w:rsidRPr="000D3464" w:rsidRDefault="00EE0371" w:rsidP="00EE0371">
      <w:pPr>
        <w:spacing w:after="120" w:line="240" w:lineRule="auto"/>
        <w:jc w:val="both"/>
        <w:rPr>
          <w:rFonts w:ascii="Arial" w:hAnsi="Arial" w:cs="Arial"/>
          <w:sz w:val="18"/>
          <w:szCs w:val="18"/>
          <w:lang w:eastAsia="pt-BR"/>
        </w:rPr>
      </w:pPr>
      <w:r w:rsidRPr="000D3464">
        <w:rPr>
          <w:rFonts w:ascii="Arial" w:hAnsi="Arial" w:cs="Arial"/>
          <w:sz w:val="18"/>
          <w:szCs w:val="18"/>
          <w:lang w:eastAsia="pt-BR"/>
        </w:rPr>
        <w:t xml:space="preserve">[6] As Tabelas Auxiliares encontram-se no Anexo </w:t>
      </w:r>
      <w:r w:rsidR="005A1734" w:rsidRPr="000D3464">
        <w:rPr>
          <w:rFonts w:ascii="Arial" w:hAnsi="Arial" w:cs="Arial"/>
          <w:sz w:val="18"/>
          <w:szCs w:val="18"/>
          <w:lang w:eastAsia="pt-BR"/>
        </w:rPr>
        <w:t>IV da presente</w:t>
      </w:r>
      <w:r w:rsidRPr="000D3464">
        <w:rPr>
          <w:rFonts w:ascii="Arial" w:hAnsi="Arial" w:cs="Arial"/>
          <w:sz w:val="18"/>
          <w:szCs w:val="18"/>
          <w:lang w:eastAsia="pt-BR"/>
        </w:rPr>
        <w:t xml:space="preserve"> Instrução Normativa.</w:t>
      </w:r>
    </w:p>
    <w:p w14:paraId="2671C808" w14:textId="77777777" w:rsidR="00EE0371" w:rsidRPr="000D3464" w:rsidRDefault="00EE0371" w:rsidP="00EE0371">
      <w:pPr>
        <w:spacing w:after="120" w:line="240" w:lineRule="auto"/>
        <w:jc w:val="both"/>
        <w:rPr>
          <w:rFonts w:ascii="Arial" w:hAnsi="Arial" w:cs="Arial"/>
          <w:sz w:val="18"/>
          <w:szCs w:val="18"/>
          <w:lang w:eastAsia="pt-BR"/>
        </w:rPr>
      </w:pPr>
      <w:r w:rsidRPr="000D3464">
        <w:rPr>
          <w:rFonts w:ascii="Arial" w:hAnsi="Arial" w:cs="Arial"/>
          <w:sz w:val="18"/>
          <w:szCs w:val="18"/>
          <w:lang w:eastAsia="pt-BR"/>
        </w:rPr>
        <w:t>Obs.: Somente serão aceitos valores positivos.</w:t>
      </w:r>
    </w:p>
    <w:p w14:paraId="7613AA41" w14:textId="77777777" w:rsidR="005A1734" w:rsidRPr="00EE0371" w:rsidRDefault="005A1734" w:rsidP="00EE0371">
      <w:pPr>
        <w:spacing w:after="120" w:line="240" w:lineRule="auto"/>
        <w:jc w:val="both"/>
        <w:rPr>
          <w:rFonts w:ascii="Arial" w:hAnsi="Arial" w:cs="Arial"/>
          <w:b/>
          <w:sz w:val="28"/>
        </w:rPr>
      </w:pPr>
    </w:p>
    <w:p w14:paraId="6B777E2A" w14:textId="140E1AD9" w:rsidR="00EE0371" w:rsidRPr="00EE0371" w:rsidRDefault="00EE0371" w:rsidP="00A60EA7">
      <w:pPr>
        <w:pStyle w:val="Ttulo3"/>
      </w:pPr>
      <w:bookmarkStart w:id="38" w:name="_Toc94806314"/>
      <w:r w:rsidRPr="00EE0371">
        <w:t>INVIMO.XML (ou InventarioBensImoveis.xml)</w:t>
      </w:r>
      <w:bookmarkEnd w:id="38"/>
    </w:p>
    <w:p w14:paraId="62300984" w14:textId="77777777" w:rsidR="00EE0371" w:rsidRPr="00EE0371" w:rsidRDefault="00EE0371" w:rsidP="00EE0371">
      <w:pPr>
        <w:spacing w:after="0" w:line="360" w:lineRule="auto"/>
        <w:jc w:val="both"/>
        <w:rPr>
          <w:rFonts w:ascii="Arial" w:hAnsi="Arial"/>
        </w:rPr>
      </w:pPr>
      <w:r w:rsidRPr="00EE0371">
        <w:rPr>
          <w:rFonts w:ascii="Arial" w:hAnsi="Arial"/>
          <w:b/>
          <w:bCs/>
        </w:rPr>
        <w:t>Descrição: </w:t>
      </w:r>
      <w:r w:rsidRPr="00EE0371">
        <w:rPr>
          <w:rFonts w:ascii="Arial" w:hAnsi="Arial"/>
        </w:rPr>
        <w:t>Este arquivo conterá o inventário anual de bens imóveis.</w:t>
      </w:r>
    </w:p>
    <w:p w14:paraId="67E9FB52" w14:textId="77777777" w:rsidR="00EE0371" w:rsidRPr="00EE0371" w:rsidRDefault="00EE0371" w:rsidP="00EE0371">
      <w:pPr>
        <w:autoSpaceDE w:val="0"/>
        <w:autoSpaceDN w:val="0"/>
        <w:adjustRightInd w:val="0"/>
        <w:spacing w:after="0" w:line="240" w:lineRule="auto"/>
        <w:jc w:val="both"/>
        <w:rPr>
          <w:rFonts w:ascii="Arial" w:hAnsi="Arial"/>
          <w:b/>
          <w:bCs/>
        </w:rPr>
      </w:pPr>
    </w:p>
    <w:p w14:paraId="165B67FC" w14:textId="77777777" w:rsidR="00EE0371" w:rsidRPr="00EE0371" w:rsidRDefault="00EE0371" w:rsidP="00EE0371">
      <w:pPr>
        <w:autoSpaceDE w:val="0"/>
        <w:autoSpaceDN w:val="0"/>
        <w:adjustRightInd w:val="0"/>
        <w:spacing w:after="0" w:line="240" w:lineRule="auto"/>
        <w:jc w:val="both"/>
        <w:rPr>
          <w:rFonts w:ascii="Arial" w:hAnsi="Arial"/>
          <w:b/>
          <w:bCs/>
        </w:rPr>
      </w:pPr>
      <w:r w:rsidRPr="00EE0371">
        <w:rPr>
          <w:rFonts w:ascii="Arial" w:hAnsi="Arial"/>
          <w:b/>
          <w:bCs/>
        </w:rPr>
        <w:t>Estrutura:</w:t>
      </w:r>
    </w:p>
    <w:p w14:paraId="4BB0F74D" w14:textId="77777777" w:rsidR="00EE0371" w:rsidRPr="00EE0371" w:rsidRDefault="00EE0371" w:rsidP="00EE0371">
      <w:pPr>
        <w:spacing w:after="0" w:line="240" w:lineRule="auto"/>
        <w:ind w:right="600"/>
        <w:jc w:val="both"/>
        <w:rPr>
          <w:rFonts w:ascii="Arial" w:hAnsi="Arial" w:cs="Arial"/>
          <w:sz w:val="20"/>
          <w:szCs w:val="20"/>
          <w:lang w:eastAsia="pt-BR"/>
        </w:rPr>
      </w:pPr>
    </w:p>
    <w:p w14:paraId="5F0C2D1F" w14:textId="77777777" w:rsidR="00EE0371" w:rsidRPr="00EE0371" w:rsidRDefault="00EE0371" w:rsidP="00EE0371">
      <w:pPr>
        <w:spacing w:after="0" w:line="240" w:lineRule="auto"/>
        <w:jc w:val="both"/>
        <w:rPr>
          <w:rFonts w:ascii="Arial" w:eastAsia="Times New Roman" w:hAnsi="Arial" w:cs="Arial"/>
          <w:sz w:val="20"/>
          <w:szCs w:val="20"/>
          <w:lang w:eastAsia="pt-BR"/>
        </w:rPr>
      </w:pPr>
      <w:r w:rsidRPr="00EE0371">
        <w:rPr>
          <w:rFonts w:ascii="Arial" w:eastAsia="Times New Roman" w:hAnsi="Arial" w:cs="Arial"/>
          <w:sz w:val="20"/>
          <w:szCs w:val="20"/>
          <w:lang w:eastAsia="pt-BR"/>
        </w:rPr>
        <w:t>&lt;?xml version="1.0" encoding=“UTF-8”?&gt;</w:t>
      </w:r>
    </w:p>
    <w:p w14:paraId="712BEA88" w14:textId="77777777" w:rsidR="00EE0371" w:rsidRPr="00EE0371" w:rsidRDefault="00EE0371" w:rsidP="00EE0371">
      <w:pPr>
        <w:spacing w:after="0" w:line="240" w:lineRule="auto"/>
        <w:ind w:left="284"/>
        <w:jc w:val="both"/>
        <w:rPr>
          <w:rFonts w:ascii="Arial" w:eastAsia="Times New Roman" w:hAnsi="Arial" w:cs="Arial"/>
          <w:sz w:val="20"/>
          <w:szCs w:val="20"/>
          <w:lang w:eastAsia="pt-BR"/>
        </w:rPr>
      </w:pPr>
      <w:r w:rsidRPr="00EE0371">
        <w:rPr>
          <w:rFonts w:ascii="Arial" w:eastAsia="Times New Roman" w:hAnsi="Arial" w:cs="Arial"/>
          <w:sz w:val="20"/>
          <w:szCs w:val="20"/>
          <w:lang w:eastAsia="pt-BR"/>
        </w:rPr>
        <w:t>&lt;PrestacaoContasAnual&gt;</w:t>
      </w:r>
    </w:p>
    <w:p w14:paraId="3CD14F4E" w14:textId="77777777" w:rsidR="00EE0371" w:rsidRPr="00EE0371" w:rsidRDefault="00EE0371" w:rsidP="00EE0371">
      <w:pPr>
        <w:spacing w:after="0" w:line="240" w:lineRule="auto"/>
        <w:ind w:left="567"/>
        <w:jc w:val="both"/>
        <w:rPr>
          <w:rFonts w:ascii="Arial" w:eastAsia="Times New Roman" w:hAnsi="Arial" w:cs="Arial"/>
          <w:sz w:val="20"/>
          <w:szCs w:val="20"/>
          <w:lang w:eastAsia="pt-BR"/>
        </w:rPr>
      </w:pPr>
      <w:r w:rsidRPr="00EE0371">
        <w:rPr>
          <w:rFonts w:ascii="Arial" w:eastAsia="Times New Roman" w:hAnsi="Arial" w:cs="Arial"/>
          <w:sz w:val="20"/>
          <w:szCs w:val="20"/>
          <w:lang w:eastAsia="pt-BR"/>
        </w:rPr>
        <w:t>&lt;InventarioBemImovel_Schema&gt;</w:t>
      </w:r>
    </w:p>
    <w:p w14:paraId="44DC2C64" w14:textId="77777777" w:rsidR="00EE0371" w:rsidRPr="00EE0371" w:rsidRDefault="00EE0371" w:rsidP="00EE0371">
      <w:pPr>
        <w:spacing w:after="0" w:line="240" w:lineRule="auto"/>
        <w:ind w:left="851"/>
        <w:jc w:val="both"/>
        <w:rPr>
          <w:rFonts w:ascii="Arial" w:eastAsia="Times New Roman" w:hAnsi="Arial" w:cs="Arial"/>
          <w:sz w:val="20"/>
          <w:szCs w:val="20"/>
          <w:lang w:eastAsia="pt-BR"/>
        </w:rPr>
      </w:pPr>
    </w:p>
    <w:p w14:paraId="4D9FD5FD" w14:textId="77777777" w:rsidR="00EE0371" w:rsidRPr="00EE0371" w:rsidRDefault="00EE0371" w:rsidP="00EE0371">
      <w:pPr>
        <w:spacing w:after="0" w:line="240" w:lineRule="auto"/>
        <w:ind w:left="851"/>
        <w:jc w:val="both"/>
        <w:rPr>
          <w:rFonts w:ascii="Arial" w:eastAsia="Times New Roman" w:hAnsi="Arial" w:cs="Arial"/>
          <w:sz w:val="20"/>
          <w:szCs w:val="20"/>
          <w:lang w:eastAsia="pt-BR"/>
        </w:rPr>
      </w:pPr>
      <w:r w:rsidRPr="00EE0371">
        <w:rPr>
          <w:rFonts w:ascii="Arial" w:eastAsia="Times New Roman" w:hAnsi="Arial" w:cs="Arial"/>
          <w:sz w:val="20"/>
          <w:szCs w:val="20"/>
          <w:lang w:eastAsia="pt-BR"/>
        </w:rPr>
        <w:t>&lt;InventarioBemImovel&gt;</w:t>
      </w:r>
    </w:p>
    <w:p w14:paraId="07E126B3" w14:textId="77777777" w:rsidR="00EE0371" w:rsidRDefault="00EE0371" w:rsidP="00EE0371">
      <w:pPr>
        <w:spacing w:after="0" w:line="240" w:lineRule="auto"/>
        <w:ind w:left="1134"/>
        <w:jc w:val="both"/>
        <w:rPr>
          <w:rFonts w:ascii="Arial" w:eastAsia="Times New Roman" w:hAnsi="Arial" w:cs="Arial"/>
          <w:sz w:val="20"/>
          <w:szCs w:val="20"/>
          <w:lang w:eastAsia="pt-BR"/>
        </w:rPr>
      </w:pPr>
      <w:r w:rsidRPr="00EE0371">
        <w:rPr>
          <w:rFonts w:ascii="Arial" w:eastAsia="Times New Roman" w:hAnsi="Arial" w:cs="Arial"/>
          <w:sz w:val="20"/>
          <w:szCs w:val="20"/>
          <w:lang w:eastAsia="pt-BR"/>
        </w:rPr>
        <w:t>&lt;IdNumRegistro&gt;</w:t>
      </w:r>
      <w:r w:rsidRPr="00EE0371">
        <w:rPr>
          <w:rFonts w:ascii="Arial" w:eastAsia="Times New Roman" w:hAnsi="Arial" w:cs="Arial"/>
          <w:b/>
          <w:bCs/>
          <w:sz w:val="20"/>
          <w:szCs w:val="20"/>
          <w:lang w:eastAsia="pt-BR"/>
        </w:rPr>
        <w:t>99999</w:t>
      </w:r>
      <w:r w:rsidRPr="00EE0371">
        <w:rPr>
          <w:rFonts w:ascii="Arial" w:eastAsia="Times New Roman" w:hAnsi="Arial" w:cs="Arial"/>
          <w:sz w:val="20"/>
          <w:szCs w:val="20"/>
          <w:lang w:eastAsia="pt-BR"/>
        </w:rPr>
        <w:t>&lt;/IdNumRegistro&gt;</w:t>
      </w:r>
    </w:p>
    <w:p w14:paraId="6396680F" w14:textId="77777777" w:rsidR="00DD49C9" w:rsidRPr="000D3464" w:rsidRDefault="00DD49C9" w:rsidP="00EE0371">
      <w:pPr>
        <w:spacing w:after="0" w:line="240" w:lineRule="auto"/>
        <w:ind w:left="1134"/>
        <w:jc w:val="both"/>
        <w:rPr>
          <w:rFonts w:ascii="Arial" w:eastAsia="Times New Roman" w:hAnsi="Arial" w:cs="Arial"/>
          <w:sz w:val="20"/>
          <w:szCs w:val="20"/>
          <w:lang w:eastAsia="pt-BR"/>
        </w:rPr>
      </w:pPr>
      <w:r w:rsidRPr="000D3464">
        <w:rPr>
          <w:rFonts w:ascii="Arial" w:hAnsi="Arial" w:cs="Arial"/>
          <w:sz w:val="20"/>
          <w:szCs w:val="20"/>
          <w:lang w:eastAsia="pt-BR"/>
        </w:rPr>
        <w:t>&lt;CodigoUnidadeGestora&gt;</w:t>
      </w:r>
      <w:r w:rsidRPr="000D3464">
        <w:rPr>
          <w:rFonts w:ascii="Arial" w:hAnsi="Arial" w:cs="Arial"/>
          <w:b/>
          <w:sz w:val="20"/>
          <w:szCs w:val="20"/>
          <w:lang w:eastAsia="pt-BR"/>
        </w:rPr>
        <w:t>XXXXXXXXXXX</w:t>
      </w:r>
      <w:r w:rsidRPr="000D3464">
        <w:rPr>
          <w:rFonts w:ascii="Arial" w:hAnsi="Arial" w:cs="Arial"/>
          <w:sz w:val="20"/>
          <w:szCs w:val="20"/>
          <w:lang w:eastAsia="pt-BR"/>
        </w:rPr>
        <w:t>&lt;/CodigoUnidadeGestora&gt;</w:t>
      </w:r>
    </w:p>
    <w:p w14:paraId="1C22E8C9" w14:textId="77777777" w:rsidR="00EE0371" w:rsidRPr="00EE0371" w:rsidRDefault="00EE0371" w:rsidP="00EE0371">
      <w:pPr>
        <w:spacing w:after="0" w:line="240" w:lineRule="auto"/>
        <w:ind w:left="1134"/>
        <w:jc w:val="both"/>
        <w:rPr>
          <w:rFonts w:ascii="Arial" w:eastAsia="Times New Roman" w:hAnsi="Arial" w:cs="Arial"/>
          <w:sz w:val="20"/>
          <w:szCs w:val="20"/>
          <w:lang w:eastAsia="pt-BR"/>
        </w:rPr>
      </w:pPr>
      <w:r w:rsidRPr="00EE0371">
        <w:rPr>
          <w:rFonts w:ascii="Arial" w:eastAsia="Times New Roman" w:hAnsi="Arial" w:cs="Arial"/>
          <w:sz w:val="20"/>
          <w:szCs w:val="20"/>
          <w:lang w:eastAsia="pt-BR"/>
        </w:rPr>
        <w:t>&lt;CodigoContabil&gt;</w:t>
      </w:r>
      <w:r w:rsidRPr="00EE0371">
        <w:rPr>
          <w:rFonts w:ascii="Arial" w:eastAsia="Times New Roman" w:hAnsi="Arial" w:cs="Arial"/>
          <w:b/>
          <w:bCs/>
          <w:sz w:val="20"/>
          <w:szCs w:val="20"/>
          <w:lang w:eastAsia="pt-BR"/>
        </w:rPr>
        <w:t>999999999</w:t>
      </w:r>
      <w:r w:rsidRPr="00EE0371">
        <w:rPr>
          <w:rFonts w:ascii="Arial" w:eastAsia="Times New Roman" w:hAnsi="Arial" w:cs="Arial"/>
          <w:sz w:val="20"/>
          <w:szCs w:val="20"/>
          <w:lang w:eastAsia="pt-BR"/>
        </w:rPr>
        <w:t xml:space="preserve">&lt;/CodigoContabil&gt; </w:t>
      </w:r>
    </w:p>
    <w:p w14:paraId="024918A0" w14:textId="77777777" w:rsidR="00EE0371" w:rsidRPr="00EE0371" w:rsidRDefault="00EE0371" w:rsidP="00EE0371">
      <w:pPr>
        <w:spacing w:after="0" w:line="240" w:lineRule="auto"/>
        <w:ind w:left="1134"/>
        <w:jc w:val="both"/>
        <w:rPr>
          <w:rFonts w:ascii="Arial" w:eastAsia="Times New Roman" w:hAnsi="Arial" w:cs="Arial"/>
          <w:sz w:val="20"/>
          <w:szCs w:val="20"/>
          <w:lang w:eastAsia="pt-BR"/>
        </w:rPr>
      </w:pPr>
      <w:r w:rsidRPr="00EE0371">
        <w:rPr>
          <w:rFonts w:ascii="Arial" w:eastAsia="Times New Roman" w:hAnsi="Arial" w:cs="Arial"/>
          <w:sz w:val="20"/>
          <w:szCs w:val="20"/>
          <w:lang w:eastAsia="pt-BR"/>
        </w:rPr>
        <w:t>&lt;DescricaoBemImovel&gt;</w:t>
      </w:r>
      <w:r w:rsidRPr="00EE0371">
        <w:rPr>
          <w:rFonts w:ascii="Arial" w:eastAsia="Times New Roman" w:hAnsi="Arial" w:cs="Arial"/>
          <w:b/>
          <w:bCs/>
          <w:sz w:val="20"/>
          <w:szCs w:val="20"/>
          <w:lang w:eastAsia="pt-BR"/>
        </w:rPr>
        <w:t>XXX...XXX</w:t>
      </w:r>
      <w:r w:rsidRPr="00EE0371">
        <w:rPr>
          <w:rFonts w:ascii="Arial" w:eastAsia="Times New Roman" w:hAnsi="Arial" w:cs="Arial"/>
          <w:sz w:val="20"/>
          <w:szCs w:val="20"/>
          <w:lang w:eastAsia="pt-BR"/>
        </w:rPr>
        <w:t xml:space="preserve">&lt;/DescricaoBemImovel&gt; </w:t>
      </w:r>
    </w:p>
    <w:p w14:paraId="49426F0B" w14:textId="77777777" w:rsidR="00EE0371" w:rsidRPr="00EE0371" w:rsidRDefault="00EE0371" w:rsidP="00EE0371">
      <w:pPr>
        <w:spacing w:after="0" w:line="240" w:lineRule="auto"/>
        <w:ind w:left="1134"/>
        <w:jc w:val="both"/>
        <w:rPr>
          <w:rFonts w:ascii="Arial" w:eastAsia="Times New Roman" w:hAnsi="Arial" w:cs="Arial"/>
          <w:b/>
          <w:bCs/>
          <w:sz w:val="20"/>
          <w:szCs w:val="20"/>
          <w:lang w:eastAsia="pt-BR"/>
        </w:rPr>
      </w:pPr>
      <w:r w:rsidRPr="00EE0371">
        <w:rPr>
          <w:rFonts w:ascii="Arial" w:eastAsia="Times New Roman" w:hAnsi="Arial" w:cs="Arial"/>
          <w:sz w:val="20"/>
          <w:szCs w:val="20"/>
          <w:lang w:eastAsia="pt-BR"/>
        </w:rPr>
        <w:t>&lt;DataAquisicaoIncorporacaoBemImovel&gt;</w:t>
      </w:r>
      <w:r w:rsidRPr="00EE0371">
        <w:rPr>
          <w:rFonts w:ascii="Arial" w:eastAsia="Times New Roman" w:hAnsi="Arial" w:cs="Arial"/>
          <w:b/>
          <w:bCs/>
          <w:sz w:val="20"/>
          <w:szCs w:val="20"/>
          <w:lang w:eastAsia="pt-BR"/>
        </w:rPr>
        <w:t>9999</w:t>
      </w:r>
      <w:r w:rsidRPr="00EE0371">
        <w:rPr>
          <w:rFonts w:ascii="Arial" w:eastAsia="Times New Roman" w:hAnsi="Arial" w:cs="Arial"/>
          <w:b/>
          <w:bCs/>
          <w:sz w:val="20"/>
          <w:szCs w:val="20"/>
          <w:lang w:eastAsia="pt-BR"/>
        </w:rPr>
        <w:noBreakHyphen/>
        <w:t>99</w:t>
      </w:r>
      <w:r w:rsidRPr="00EE0371">
        <w:rPr>
          <w:rFonts w:ascii="Arial" w:eastAsia="Times New Roman" w:hAnsi="Arial" w:cs="Arial"/>
          <w:b/>
          <w:bCs/>
          <w:sz w:val="20"/>
          <w:szCs w:val="20"/>
          <w:lang w:eastAsia="pt-BR"/>
        </w:rPr>
        <w:noBreakHyphen/>
        <w:t>99</w:t>
      </w:r>
    </w:p>
    <w:p w14:paraId="14AAC654" w14:textId="77777777" w:rsidR="00EE0371" w:rsidRPr="00EE0371" w:rsidRDefault="00EE0371" w:rsidP="00EE0371">
      <w:pPr>
        <w:spacing w:after="0" w:line="240" w:lineRule="auto"/>
        <w:ind w:left="1134"/>
        <w:jc w:val="both"/>
        <w:rPr>
          <w:rFonts w:ascii="Arial" w:eastAsia="Times New Roman" w:hAnsi="Arial" w:cs="Arial"/>
          <w:sz w:val="20"/>
          <w:szCs w:val="20"/>
          <w:lang w:eastAsia="pt-BR"/>
        </w:rPr>
      </w:pPr>
      <w:r w:rsidRPr="00EE0371">
        <w:rPr>
          <w:rFonts w:ascii="Arial" w:eastAsia="Times New Roman" w:hAnsi="Arial" w:cs="Arial"/>
          <w:sz w:val="20"/>
          <w:szCs w:val="20"/>
          <w:lang w:eastAsia="pt-BR"/>
        </w:rPr>
        <w:t xml:space="preserve">&lt;/DataAquisicaoIncorporacaoBemImovel&gt; </w:t>
      </w:r>
    </w:p>
    <w:p w14:paraId="76873A03" w14:textId="77777777" w:rsidR="00EE0371" w:rsidRPr="00EE0371" w:rsidRDefault="00EE0371" w:rsidP="00EE0371">
      <w:pPr>
        <w:spacing w:after="0" w:line="240" w:lineRule="auto"/>
        <w:ind w:left="1134"/>
        <w:jc w:val="both"/>
        <w:rPr>
          <w:rFonts w:ascii="Arial" w:eastAsia="Times New Roman" w:hAnsi="Arial" w:cs="Arial"/>
          <w:b/>
          <w:bCs/>
          <w:sz w:val="20"/>
          <w:szCs w:val="20"/>
          <w:lang w:eastAsia="pt-BR"/>
        </w:rPr>
      </w:pPr>
      <w:r w:rsidRPr="00EE0371">
        <w:rPr>
          <w:rFonts w:ascii="Arial" w:eastAsia="Times New Roman" w:hAnsi="Arial" w:cs="Arial"/>
          <w:sz w:val="20"/>
          <w:szCs w:val="20"/>
          <w:lang w:eastAsia="pt-BR"/>
        </w:rPr>
        <w:t>&lt;ValorContabilHistoricoBemImovel&gt;</w:t>
      </w:r>
      <w:r w:rsidRPr="00EE0371">
        <w:rPr>
          <w:rFonts w:ascii="Arial" w:eastAsia="Times New Roman" w:hAnsi="Arial" w:cs="Arial"/>
          <w:b/>
          <w:bCs/>
          <w:sz w:val="20"/>
          <w:szCs w:val="20"/>
          <w:lang w:eastAsia="pt-BR"/>
        </w:rPr>
        <w:t>99999999999999.99</w:t>
      </w:r>
    </w:p>
    <w:p w14:paraId="3CC97974" w14:textId="77777777" w:rsidR="00EE0371" w:rsidRPr="00EE0371" w:rsidRDefault="00EE0371" w:rsidP="00EE0371">
      <w:pPr>
        <w:spacing w:after="0" w:line="240" w:lineRule="auto"/>
        <w:ind w:left="1134"/>
        <w:jc w:val="both"/>
        <w:rPr>
          <w:rFonts w:ascii="Arial" w:eastAsia="Times New Roman" w:hAnsi="Arial" w:cs="Arial"/>
          <w:sz w:val="20"/>
          <w:szCs w:val="20"/>
          <w:lang w:eastAsia="pt-BR"/>
        </w:rPr>
      </w:pPr>
      <w:r w:rsidRPr="00EE0371">
        <w:rPr>
          <w:rFonts w:ascii="Arial" w:eastAsia="Times New Roman" w:hAnsi="Arial" w:cs="Arial"/>
          <w:sz w:val="20"/>
          <w:szCs w:val="20"/>
          <w:lang w:eastAsia="pt-BR"/>
        </w:rPr>
        <w:t>&lt;/ValorContabilHistoricoBemImovel&gt;</w:t>
      </w:r>
    </w:p>
    <w:p w14:paraId="1845346E" w14:textId="77777777" w:rsidR="00EE0371" w:rsidRPr="00EE0371" w:rsidRDefault="00EE0371" w:rsidP="00EE0371">
      <w:pPr>
        <w:spacing w:after="0" w:line="240" w:lineRule="auto"/>
        <w:ind w:left="1134"/>
        <w:jc w:val="both"/>
        <w:rPr>
          <w:rFonts w:ascii="Arial" w:eastAsia="Times New Roman" w:hAnsi="Arial" w:cs="Arial"/>
          <w:sz w:val="20"/>
          <w:szCs w:val="20"/>
          <w:lang w:eastAsia="pt-BR"/>
        </w:rPr>
      </w:pPr>
      <w:r w:rsidRPr="00EE0371">
        <w:rPr>
          <w:rFonts w:ascii="Arial" w:eastAsia="Times New Roman" w:hAnsi="Arial" w:cs="Arial"/>
          <w:sz w:val="20"/>
          <w:szCs w:val="20"/>
          <w:lang w:eastAsia="pt-BR"/>
        </w:rPr>
        <w:t>&lt;NumeroRegistroBemImovel&gt;</w:t>
      </w:r>
      <w:r w:rsidRPr="00EE0371">
        <w:rPr>
          <w:rFonts w:ascii="Arial" w:eastAsia="Times New Roman" w:hAnsi="Arial" w:cs="Arial"/>
          <w:b/>
          <w:bCs/>
          <w:sz w:val="20"/>
          <w:szCs w:val="20"/>
          <w:lang w:eastAsia="pt-BR"/>
        </w:rPr>
        <w:t>XXX...XXX</w:t>
      </w:r>
      <w:r w:rsidRPr="00EE0371">
        <w:rPr>
          <w:rFonts w:ascii="Arial" w:eastAsia="Times New Roman" w:hAnsi="Arial" w:cs="Arial"/>
          <w:sz w:val="20"/>
          <w:szCs w:val="20"/>
          <w:lang w:eastAsia="pt-BR"/>
        </w:rPr>
        <w:t>&lt;/NumeroRegistroBemImovel&gt;</w:t>
      </w:r>
    </w:p>
    <w:p w14:paraId="31F918E8" w14:textId="77777777" w:rsidR="00EE0371" w:rsidRPr="00EE0371" w:rsidRDefault="00EE0371" w:rsidP="00EE0371">
      <w:pPr>
        <w:spacing w:after="0" w:line="240" w:lineRule="auto"/>
        <w:ind w:left="1134"/>
        <w:jc w:val="both"/>
        <w:rPr>
          <w:rFonts w:ascii="Arial" w:eastAsia="Times New Roman" w:hAnsi="Arial" w:cs="Arial"/>
          <w:sz w:val="20"/>
          <w:szCs w:val="20"/>
          <w:lang w:eastAsia="pt-BR"/>
        </w:rPr>
      </w:pPr>
      <w:r w:rsidRPr="00EE0371">
        <w:rPr>
          <w:rFonts w:ascii="Arial" w:eastAsia="Times New Roman" w:hAnsi="Arial" w:cs="Arial"/>
          <w:sz w:val="20"/>
          <w:szCs w:val="20"/>
          <w:lang w:eastAsia="pt-BR"/>
        </w:rPr>
        <w:t>&lt;LocalizacaoBemImovel&gt;</w:t>
      </w:r>
      <w:r w:rsidRPr="00EE0371">
        <w:rPr>
          <w:rFonts w:ascii="Arial" w:eastAsia="Times New Roman" w:hAnsi="Arial" w:cs="Arial"/>
          <w:b/>
          <w:bCs/>
          <w:sz w:val="20"/>
          <w:szCs w:val="20"/>
          <w:lang w:eastAsia="pt-BR"/>
        </w:rPr>
        <w:t>XXX...XXX</w:t>
      </w:r>
      <w:r w:rsidRPr="00EE0371">
        <w:rPr>
          <w:rFonts w:ascii="Arial" w:eastAsia="Times New Roman" w:hAnsi="Arial" w:cs="Arial"/>
          <w:sz w:val="20"/>
          <w:szCs w:val="20"/>
          <w:lang w:eastAsia="pt-BR"/>
        </w:rPr>
        <w:t xml:space="preserve">&lt;/LocalizacaoBemImovel&gt; </w:t>
      </w:r>
    </w:p>
    <w:p w14:paraId="3C3D57EB" w14:textId="77777777" w:rsidR="00EE0371" w:rsidRPr="00EE0371" w:rsidRDefault="00EE0371" w:rsidP="00EE0371">
      <w:pPr>
        <w:spacing w:after="0" w:line="240" w:lineRule="auto"/>
        <w:ind w:left="1134"/>
        <w:jc w:val="both"/>
        <w:rPr>
          <w:rFonts w:ascii="Arial" w:eastAsia="Times New Roman" w:hAnsi="Arial" w:cs="Arial"/>
          <w:sz w:val="20"/>
          <w:szCs w:val="20"/>
          <w:lang w:eastAsia="pt-BR"/>
        </w:rPr>
      </w:pPr>
      <w:r w:rsidRPr="00EE0371">
        <w:rPr>
          <w:rFonts w:ascii="Arial" w:eastAsia="Times New Roman" w:hAnsi="Arial" w:cs="Arial"/>
          <w:sz w:val="20"/>
          <w:szCs w:val="20"/>
          <w:lang w:eastAsia="pt-BR"/>
        </w:rPr>
        <w:t>&lt;ValorMedidaBemImovel&gt;</w:t>
      </w:r>
      <w:r w:rsidRPr="00EE0371">
        <w:rPr>
          <w:rFonts w:ascii="Arial" w:eastAsia="Times New Roman" w:hAnsi="Arial" w:cs="Arial"/>
          <w:b/>
          <w:bCs/>
          <w:sz w:val="20"/>
          <w:szCs w:val="20"/>
          <w:lang w:eastAsia="pt-BR"/>
        </w:rPr>
        <w:t>99999999999999.99</w:t>
      </w:r>
      <w:r w:rsidRPr="00EE0371">
        <w:rPr>
          <w:rFonts w:ascii="Arial" w:eastAsia="Times New Roman" w:hAnsi="Arial" w:cs="Arial"/>
          <w:sz w:val="20"/>
          <w:szCs w:val="20"/>
          <w:lang w:eastAsia="pt-BR"/>
        </w:rPr>
        <w:t xml:space="preserve">&lt;/ValorMedidaBemImovel&gt; </w:t>
      </w:r>
    </w:p>
    <w:p w14:paraId="1862B1D5" w14:textId="77777777" w:rsidR="00EE0371" w:rsidRPr="00EE0371" w:rsidRDefault="00EE0371" w:rsidP="00EE0371">
      <w:pPr>
        <w:spacing w:after="0" w:line="240" w:lineRule="auto"/>
        <w:ind w:left="1134"/>
        <w:jc w:val="both"/>
        <w:rPr>
          <w:rFonts w:ascii="Arial" w:eastAsia="Times New Roman" w:hAnsi="Arial" w:cs="Arial"/>
          <w:sz w:val="20"/>
          <w:szCs w:val="20"/>
          <w:lang w:eastAsia="pt-BR"/>
        </w:rPr>
      </w:pPr>
      <w:r w:rsidRPr="00EE0371">
        <w:rPr>
          <w:rFonts w:ascii="Arial" w:eastAsia="Times New Roman" w:hAnsi="Arial" w:cs="Arial"/>
          <w:sz w:val="20"/>
          <w:szCs w:val="20"/>
          <w:lang w:eastAsia="pt-BR"/>
        </w:rPr>
        <w:t>&lt;UnidadeMedidaBemImovel&gt;</w:t>
      </w:r>
      <w:r w:rsidRPr="00EE0371">
        <w:rPr>
          <w:rFonts w:ascii="Arial" w:eastAsia="Times New Roman" w:hAnsi="Arial" w:cs="Arial"/>
          <w:b/>
          <w:bCs/>
          <w:sz w:val="20"/>
          <w:szCs w:val="20"/>
          <w:lang w:eastAsia="pt-BR"/>
        </w:rPr>
        <w:t>9</w:t>
      </w:r>
      <w:r w:rsidRPr="00EE0371">
        <w:rPr>
          <w:rFonts w:ascii="Arial" w:eastAsia="Times New Roman" w:hAnsi="Arial" w:cs="Arial"/>
          <w:sz w:val="20"/>
          <w:szCs w:val="20"/>
          <w:lang w:eastAsia="pt-BR"/>
        </w:rPr>
        <w:t xml:space="preserve">&lt;/UnidadeMedidaBemImovel&gt; </w:t>
      </w:r>
    </w:p>
    <w:p w14:paraId="1D4CFB98" w14:textId="77777777" w:rsidR="00EE0371" w:rsidRPr="00EE0371" w:rsidRDefault="00EE0371" w:rsidP="00EE0371">
      <w:pPr>
        <w:spacing w:after="0" w:line="240" w:lineRule="auto"/>
        <w:ind w:left="1134"/>
        <w:jc w:val="both"/>
        <w:rPr>
          <w:rFonts w:ascii="Arial" w:eastAsia="Times New Roman" w:hAnsi="Arial" w:cs="Arial"/>
          <w:b/>
          <w:bCs/>
          <w:sz w:val="20"/>
          <w:szCs w:val="20"/>
          <w:lang w:eastAsia="pt-BR"/>
        </w:rPr>
      </w:pPr>
      <w:r w:rsidRPr="00EE0371">
        <w:rPr>
          <w:rFonts w:ascii="Arial" w:eastAsia="Times New Roman" w:hAnsi="Arial" w:cs="Arial"/>
          <w:sz w:val="20"/>
          <w:szCs w:val="20"/>
          <w:lang w:eastAsia="pt-BR"/>
        </w:rPr>
        <w:t>&lt;DescricaoUnidadeMedidaBemImovel&gt;</w:t>
      </w:r>
      <w:r w:rsidRPr="00EE0371">
        <w:rPr>
          <w:rFonts w:ascii="Arial" w:eastAsia="Times New Roman" w:hAnsi="Arial" w:cs="Arial"/>
          <w:b/>
          <w:bCs/>
          <w:sz w:val="20"/>
          <w:szCs w:val="20"/>
          <w:lang w:eastAsia="pt-BR"/>
        </w:rPr>
        <w:t>XXX...XXX</w:t>
      </w:r>
    </w:p>
    <w:p w14:paraId="2D5CA713" w14:textId="77777777" w:rsidR="00EE0371" w:rsidRPr="00EE0371" w:rsidRDefault="00EE0371" w:rsidP="00EE0371">
      <w:pPr>
        <w:spacing w:after="0" w:line="240" w:lineRule="auto"/>
        <w:ind w:left="1134"/>
        <w:jc w:val="both"/>
        <w:rPr>
          <w:rFonts w:ascii="Arial" w:eastAsia="Times New Roman" w:hAnsi="Arial" w:cs="Arial"/>
          <w:sz w:val="20"/>
          <w:szCs w:val="20"/>
          <w:lang w:eastAsia="pt-BR"/>
        </w:rPr>
      </w:pPr>
      <w:r w:rsidRPr="00EE0371">
        <w:rPr>
          <w:rFonts w:ascii="Arial" w:eastAsia="Times New Roman" w:hAnsi="Arial" w:cs="Arial"/>
          <w:sz w:val="20"/>
          <w:szCs w:val="20"/>
          <w:lang w:eastAsia="pt-BR"/>
        </w:rPr>
        <w:t>&lt;/DescricaoUnidadeMedidaBemImovel&gt;</w:t>
      </w:r>
    </w:p>
    <w:p w14:paraId="568247DC" w14:textId="77777777" w:rsidR="00EE0371" w:rsidRPr="00EE0371" w:rsidRDefault="00EE0371" w:rsidP="00EE0371">
      <w:pPr>
        <w:spacing w:after="0" w:line="240" w:lineRule="auto"/>
        <w:ind w:left="1134"/>
        <w:jc w:val="both"/>
        <w:rPr>
          <w:rFonts w:ascii="Arial" w:eastAsia="Times New Roman" w:hAnsi="Arial" w:cs="Arial"/>
          <w:sz w:val="20"/>
          <w:szCs w:val="20"/>
          <w:lang w:eastAsia="pt-BR"/>
        </w:rPr>
      </w:pPr>
      <w:r w:rsidRPr="00EE0371">
        <w:rPr>
          <w:rFonts w:ascii="Arial" w:eastAsia="Times New Roman" w:hAnsi="Arial" w:cs="Arial"/>
          <w:sz w:val="20"/>
          <w:szCs w:val="20"/>
          <w:lang w:eastAsia="pt-BR"/>
        </w:rPr>
        <w:t>&lt;EstadoConservacao&gt;</w:t>
      </w:r>
      <w:r w:rsidRPr="00EE0371">
        <w:rPr>
          <w:rFonts w:ascii="Arial" w:eastAsia="Times New Roman" w:hAnsi="Arial" w:cs="Arial"/>
          <w:b/>
          <w:bCs/>
          <w:sz w:val="20"/>
          <w:szCs w:val="20"/>
          <w:lang w:eastAsia="pt-BR"/>
        </w:rPr>
        <w:t>9</w:t>
      </w:r>
      <w:r w:rsidRPr="00EE0371">
        <w:rPr>
          <w:rFonts w:ascii="Arial" w:eastAsia="Times New Roman" w:hAnsi="Arial" w:cs="Arial"/>
          <w:sz w:val="20"/>
          <w:szCs w:val="20"/>
          <w:lang w:eastAsia="pt-BR"/>
        </w:rPr>
        <w:t>&lt;/EstadoConservacao&gt;</w:t>
      </w:r>
    </w:p>
    <w:p w14:paraId="5F0BB975" w14:textId="77777777" w:rsidR="00EE0371" w:rsidRPr="00EE0371" w:rsidRDefault="00EE0371" w:rsidP="00EE0371">
      <w:pPr>
        <w:spacing w:after="0" w:line="240" w:lineRule="auto"/>
        <w:ind w:left="1134"/>
        <w:jc w:val="both"/>
        <w:rPr>
          <w:rFonts w:ascii="Arial" w:eastAsia="Times New Roman" w:hAnsi="Arial" w:cs="Arial"/>
          <w:sz w:val="20"/>
          <w:szCs w:val="20"/>
          <w:lang w:eastAsia="pt-BR"/>
        </w:rPr>
      </w:pPr>
      <w:r w:rsidRPr="00EE0371">
        <w:rPr>
          <w:rFonts w:ascii="Arial" w:eastAsia="Times New Roman" w:hAnsi="Arial" w:cs="Arial"/>
          <w:sz w:val="20"/>
          <w:szCs w:val="20"/>
          <w:lang w:eastAsia="pt-BR"/>
        </w:rPr>
        <w:t>&lt;Benfeitoria&gt;</w:t>
      </w:r>
      <w:r w:rsidRPr="00EE0371">
        <w:rPr>
          <w:rFonts w:ascii="Arial" w:eastAsia="Times New Roman" w:hAnsi="Arial" w:cs="Arial"/>
          <w:b/>
          <w:bCs/>
          <w:sz w:val="20"/>
          <w:szCs w:val="20"/>
          <w:lang w:eastAsia="pt-BR"/>
        </w:rPr>
        <w:t>XXX...XXX</w:t>
      </w:r>
      <w:r w:rsidRPr="00EE0371">
        <w:rPr>
          <w:rFonts w:ascii="Arial" w:eastAsia="Times New Roman" w:hAnsi="Arial" w:cs="Arial"/>
          <w:sz w:val="20"/>
          <w:szCs w:val="20"/>
          <w:lang w:eastAsia="pt-BR"/>
        </w:rPr>
        <w:t>&lt;/Benfeitoria&gt;</w:t>
      </w:r>
    </w:p>
    <w:p w14:paraId="5FD6A4FA" w14:textId="77777777" w:rsidR="00EE0371" w:rsidRPr="00EE0371" w:rsidRDefault="00EE0371" w:rsidP="00EE0371">
      <w:pPr>
        <w:spacing w:after="0" w:line="240" w:lineRule="auto"/>
        <w:ind w:left="1134"/>
        <w:jc w:val="both"/>
        <w:rPr>
          <w:rFonts w:ascii="Arial" w:eastAsia="Times New Roman" w:hAnsi="Arial" w:cs="Arial"/>
          <w:b/>
          <w:bCs/>
          <w:sz w:val="20"/>
          <w:szCs w:val="20"/>
          <w:lang w:eastAsia="pt-BR"/>
        </w:rPr>
      </w:pPr>
      <w:r w:rsidRPr="00EE0371">
        <w:rPr>
          <w:rFonts w:ascii="Arial" w:eastAsia="Times New Roman" w:hAnsi="Arial" w:cs="Arial"/>
          <w:sz w:val="20"/>
          <w:szCs w:val="20"/>
          <w:lang w:eastAsia="pt-BR"/>
        </w:rPr>
        <w:t>&lt;ValorBrutoContabilBemImovelFinalExercicio&gt;</w:t>
      </w:r>
      <w:r w:rsidRPr="00EE0371">
        <w:rPr>
          <w:rFonts w:ascii="Arial" w:eastAsia="Times New Roman" w:hAnsi="Arial" w:cs="Arial"/>
          <w:b/>
          <w:bCs/>
          <w:sz w:val="20"/>
          <w:szCs w:val="20"/>
          <w:lang w:eastAsia="pt-BR"/>
        </w:rPr>
        <w:t>99999999999999.99</w:t>
      </w:r>
    </w:p>
    <w:p w14:paraId="4884051A" w14:textId="77777777" w:rsidR="00EE0371" w:rsidRPr="00EE0371" w:rsidRDefault="00EE0371" w:rsidP="00EE0371">
      <w:pPr>
        <w:spacing w:after="0" w:line="240" w:lineRule="auto"/>
        <w:ind w:left="1134"/>
        <w:jc w:val="both"/>
        <w:rPr>
          <w:rFonts w:ascii="Arial" w:eastAsia="Times New Roman" w:hAnsi="Arial" w:cs="Arial"/>
          <w:sz w:val="20"/>
          <w:szCs w:val="20"/>
          <w:lang w:eastAsia="pt-BR"/>
        </w:rPr>
      </w:pPr>
      <w:r w:rsidRPr="00EE0371">
        <w:rPr>
          <w:rFonts w:ascii="Arial" w:eastAsia="Times New Roman" w:hAnsi="Arial" w:cs="Arial"/>
          <w:sz w:val="20"/>
          <w:szCs w:val="20"/>
          <w:lang w:eastAsia="pt-BR"/>
        </w:rPr>
        <w:t>&lt;/ValorBrutoContabilBemImovelFinalExercicio&gt;</w:t>
      </w:r>
    </w:p>
    <w:p w14:paraId="0BC4A112" w14:textId="77777777" w:rsidR="00EE0371" w:rsidRPr="00EE0371" w:rsidRDefault="00EE0371" w:rsidP="00EE0371">
      <w:pPr>
        <w:spacing w:after="0" w:line="240" w:lineRule="auto"/>
        <w:ind w:left="851"/>
        <w:jc w:val="both"/>
        <w:rPr>
          <w:rFonts w:ascii="Arial" w:eastAsia="Times New Roman" w:hAnsi="Arial" w:cs="Arial"/>
          <w:sz w:val="20"/>
          <w:szCs w:val="20"/>
          <w:lang w:eastAsia="pt-BR"/>
        </w:rPr>
      </w:pPr>
      <w:r w:rsidRPr="00EE0371">
        <w:rPr>
          <w:rFonts w:ascii="Arial" w:eastAsia="Times New Roman" w:hAnsi="Arial" w:cs="Arial"/>
          <w:sz w:val="20"/>
          <w:szCs w:val="20"/>
          <w:lang w:eastAsia="pt-BR"/>
        </w:rPr>
        <w:t>&lt;/InventarioBemImovel&gt;</w:t>
      </w:r>
    </w:p>
    <w:p w14:paraId="1163F53A" w14:textId="77777777" w:rsidR="00EE0371" w:rsidRPr="00EE0371" w:rsidRDefault="00EE0371" w:rsidP="00EE0371">
      <w:pPr>
        <w:spacing w:after="0" w:line="240" w:lineRule="auto"/>
        <w:ind w:left="567"/>
        <w:jc w:val="both"/>
        <w:rPr>
          <w:rFonts w:ascii="Arial" w:eastAsia="Times New Roman" w:hAnsi="Arial" w:cs="Arial"/>
          <w:sz w:val="20"/>
          <w:szCs w:val="20"/>
          <w:lang w:eastAsia="pt-BR"/>
        </w:rPr>
      </w:pPr>
    </w:p>
    <w:p w14:paraId="42C362B3" w14:textId="77777777" w:rsidR="00EE0371" w:rsidRPr="00EE0371" w:rsidRDefault="00EE0371" w:rsidP="00EE0371">
      <w:pPr>
        <w:spacing w:after="0" w:line="240" w:lineRule="auto"/>
        <w:ind w:left="567"/>
        <w:jc w:val="both"/>
        <w:rPr>
          <w:rFonts w:ascii="Arial" w:eastAsia="Times New Roman" w:hAnsi="Arial" w:cs="Arial"/>
          <w:sz w:val="20"/>
          <w:szCs w:val="20"/>
          <w:lang w:eastAsia="pt-BR"/>
        </w:rPr>
      </w:pPr>
      <w:r w:rsidRPr="00EE0371">
        <w:rPr>
          <w:rFonts w:ascii="Arial" w:eastAsia="Times New Roman" w:hAnsi="Arial" w:cs="Arial"/>
          <w:sz w:val="20"/>
          <w:szCs w:val="20"/>
          <w:lang w:eastAsia="pt-BR"/>
        </w:rPr>
        <w:t>&lt;/InventarioBemImovel_Schema&gt;</w:t>
      </w:r>
    </w:p>
    <w:p w14:paraId="5CAE4272" w14:textId="77777777" w:rsidR="00EE0371" w:rsidRPr="00EE0371" w:rsidRDefault="00EE0371" w:rsidP="00EE0371">
      <w:pPr>
        <w:spacing w:after="0" w:line="240" w:lineRule="auto"/>
        <w:ind w:left="284"/>
        <w:jc w:val="both"/>
        <w:rPr>
          <w:rFonts w:ascii="Arial" w:eastAsia="Times New Roman" w:hAnsi="Arial" w:cs="Arial"/>
          <w:sz w:val="20"/>
          <w:szCs w:val="20"/>
          <w:lang w:eastAsia="pt-BR"/>
        </w:rPr>
      </w:pPr>
      <w:r w:rsidRPr="00EE0371">
        <w:rPr>
          <w:rFonts w:ascii="Arial" w:eastAsia="Times New Roman" w:hAnsi="Arial" w:cs="Arial"/>
          <w:sz w:val="20"/>
          <w:szCs w:val="20"/>
          <w:lang w:eastAsia="pt-BR"/>
        </w:rPr>
        <w:t>&lt;/PrestacaoContasAnual&gt;</w:t>
      </w:r>
    </w:p>
    <w:p w14:paraId="2437EBF4" w14:textId="77777777" w:rsidR="00EE0371" w:rsidRPr="00EE0371" w:rsidRDefault="00EE0371" w:rsidP="00EE0371">
      <w:pPr>
        <w:spacing w:after="0" w:line="240" w:lineRule="auto"/>
        <w:ind w:right="600"/>
        <w:jc w:val="both"/>
        <w:rPr>
          <w:rFonts w:ascii="Arial" w:hAnsi="Arial" w:cs="Arial"/>
          <w:sz w:val="20"/>
          <w:szCs w:val="20"/>
          <w:lang w:eastAsia="pt-BR"/>
        </w:rPr>
      </w:pPr>
    </w:p>
    <w:p w14:paraId="1063AFA2" w14:textId="77777777" w:rsidR="00EE0371" w:rsidRPr="00EE0371" w:rsidRDefault="00EE0371" w:rsidP="00EE0371">
      <w:pPr>
        <w:spacing w:after="0" w:line="240" w:lineRule="auto"/>
        <w:ind w:right="600"/>
        <w:jc w:val="both"/>
        <w:rPr>
          <w:rFonts w:ascii="Arial" w:hAnsi="Arial" w:cs="Arial"/>
          <w:sz w:val="20"/>
          <w:szCs w:val="20"/>
          <w:lang w:eastAsia="pt-BR"/>
        </w:rPr>
      </w:pPr>
    </w:p>
    <w:tbl>
      <w:tblPr>
        <w:tblW w:w="9219" w:type="dxa"/>
        <w:tblInd w:w="65" w:type="dxa"/>
        <w:tblCellMar>
          <w:left w:w="70" w:type="dxa"/>
          <w:right w:w="70" w:type="dxa"/>
        </w:tblCellMar>
        <w:tblLook w:val="04A0" w:firstRow="1" w:lastRow="0" w:firstColumn="1" w:lastColumn="0" w:noHBand="0" w:noVBand="1"/>
      </w:tblPr>
      <w:tblGrid>
        <w:gridCol w:w="3549"/>
        <w:gridCol w:w="1418"/>
        <w:gridCol w:w="1359"/>
        <w:gridCol w:w="2893"/>
      </w:tblGrid>
      <w:tr w:rsidR="00EE0371" w:rsidRPr="00EE0371" w14:paraId="6C808506" w14:textId="77777777" w:rsidTr="00DD49C9">
        <w:trPr>
          <w:trHeight w:val="255"/>
        </w:trPr>
        <w:tc>
          <w:tcPr>
            <w:tcW w:w="3549" w:type="dxa"/>
            <w:tcBorders>
              <w:top w:val="single" w:sz="4" w:space="0" w:color="auto"/>
              <w:left w:val="single" w:sz="4" w:space="0" w:color="auto"/>
              <w:bottom w:val="single" w:sz="4" w:space="0" w:color="auto"/>
              <w:right w:val="single" w:sz="4" w:space="0" w:color="auto"/>
            </w:tcBorders>
            <w:shd w:val="clear" w:color="000000" w:fill="C0C0C0"/>
            <w:vAlign w:val="center"/>
            <w:hideMark/>
          </w:tcPr>
          <w:p w14:paraId="5B5591F9" w14:textId="77777777" w:rsidR="00EE0371" w:rsidRPr="00EE0371" w:rsidRDefault="00EE0371" w:rsidP="00EE0371">
            <w:pPr>
              <w:spacing w:after="0" w:line="240" w:lineRule="auto"/>
              <w:jc w:val="center"/>
              <w:rPr>
                <w:rFonts w:ascii="Arial" w:eastAsia="Times New Roman" w:hAnsi="Arial" w:cs="Arial"/>
                <w:b/>
                <w:bCs/>
                <w:sz w:val="20"/>
                <w:szCs w:val="20"/>
                <w:lang w:eastAsia="pt-BR"/>
              </w:rPr>
            </w:pPr>
            <w:r w:rsidRPr="00EE0371">
              <w:rPr>
                <w:rFonts w:ascii="Arial" w:eastAsia="Times New Roman" w:hAnsi="Arial" w:cs="Arial"/>
                <w:b/>
                <w:bCs/>
                <w:sz w:val="20"/>
                <w:szCs w:val="20"/>
                <w:lang w:eastAsia="pt-BR"/>
              </w:rPr>
              <w:t>Campo</w:t>
            </w:r>
          </w:p>
        </w:tc>
        <w:tc>
          <w:tcPr>
            <w:tcW w:w="1418" w:type="dxa"/>
            <w:tcBorders>
              <w:top w:val="single" w:sz="4" w:space="0" w:color="auto"/>
              <w:left w:val="nil"/>
              <w:bottom w:val="single" w:sz="4" w:space="0" w:color="auto"/>
              <w:right w:val="single" w:sz="4" w:space="0" w:color="auto"/>
            </w:tcBorders>
            <w:shd w:val="clear" w:color="000000" w:fill="C0C0C0"/>
            <w:vAlign w:val="center"/>
            <w:hideMark/>
          </w:tcPr>
          <w:p w14:paraId="7CCDD92A" w14:textId="77777777" w:rsidR="00EE0371" w:rsidRPr="00EE0371" w:rsidRDefault="00EE0371" w:rsidP="00EE0371">
            <w:pPr>
              <w:spacing w:after="0" w:line="240" w:lineRule="auto"/>
              <w:jc w:val="center"/>
              <w:rPr>
                <w:rFonts w:ascii="Arial" w:eastAsia="Times New Roman" w:hAnsi="Arial" w:cs="Arial"/>
                <w:b/>
                <w:bCs/>
                <w:sz w:val="20"/>
                <w:szCs w:val="20"/>
                <w:lang w:eastAsia="pt-BR"/>
              </w:rPr>
            </w:pPr>
            <w:r w:rsidRPr="00EE0371">
              <w:rPr>
                <w:rFonts w:ascii="Arial" w:eastAsia="Times New Roman" w:hAnsi="Arial" w:cs="Arial"/>
                <w:b/>
                <w:bCs/>
                <w:sz w:val="20"/>
                <w:szCs w:val="20"/>
                <w:lang w:eastAsia="pt-BR"/>
              </w:rPr>
              <w:t>Tipo</w:t>
            </w:r>
          </w:p>
        </w:tc>
        <w:tc>
          <w:tcPr>
            <w:tcW w:w="1359" w:type="dxa"/>
            <w:tcBorders>
              <w:top w:val="single" w:sz="4" w:space="0" w:color="auto"/>
              <w:left w:val="nil"/>
              <w:bottom w:val="single" w:sz="4" w:space="0" w:color="auto"/>
              <w:right w:val="single" w:sz="4" w:space="0" w:color="auto"/>
            </w:tcBorders>
            <w:shd w:val="clear" w:color="000000" w:fill="C0C0C0"/>
            <w:vAlign w:val="center"/>
            <w:hideMark/>
          </w:tcPr>
          <w:p w14:paraId="00112D0D" w14:textId="77777777" w:rsidR="00EE0371" w:rsidRPr="00EE0371" w:rsidRDefault="00EE0371" w:rsidP="00EE0371">
            <w:pPr>
              <w:spacing w:after="0" w:line="240" w:lineRule="auto"/>
              <w:jc w:val="center"/>
              <w:rPr>
                <w:rFonts w:ascii="Arial" w:eastAsia="Times New Roman" w:hAnsi="Arial" w:cs="Arial"/>
                <w:b/>
                <w:bCs/>
                <w:sz w:val="20"/>
                <w:szCs w:val="20"/>
                <w:lang w:eastAsia="pt-BR"/>
              </w:rPr>
            </w:pPr>
            <w:r w:rsidRPr="00EE0371">
              <w:rPr>
                <w:rFonts w:ascii="Arial" w:eastAsia="Times New Roman" w:hAnsi="Arial" w:cs="Arial"/>
                <w:b/>
                <w:bCs/>
                <w:sz w:val="20"/>
                <w:szCs w:val="20"/>
                <w:lang w:eastAsia="pt-BR"/>
              </w:rPr>
              <w:t>Tamanho</w:t>
            </w:r>
          </w:p>
        </w:tc>
        <w:tc>
          <w:tcPr>
            <w:tcW w:w="2893" w:type="dxa"/>
            <w:tcBorders>
              <w:top w:val="single" w:sz="4" w:space="0" w:color="auto"/>
              <w:left w:val="nil"/>
              <w:bottom w:val="single" w:sz="4" w:space="0" w:color="auto"/>
              <w:right w:val="single" w:sz="4" w:space="0" w:color="auto"/>
            </w:tcBorders>
            <w:shd w:val="clear" w:color="000000" w:fill="C0C0C0"/>
            <w:vAlign w:val="center"/>
            <w:hideMark/>
          </w:tcPr>
          <w:p w14:paraId="2DFA0AE3" w14:textId="77777777" w:rsidR="00EE0371" w:rsidRPr="00EE0371" w:rsidRDefault="00EE0371" w:rsidP="00EE0371">
            <w:pPr>
              <w:spacing w:after="0" w:line="240" w:lineRule="auto"/>
              <w:jc w:val="center"/>
              <w:rPr>
                <w:rFonts w:ascii="Arial" w:eastAsia="Times New Roman" w:hAnsi="Arial" w:cs="Arial"/>
                <w:b/>
                <w:bCs/>
                <w:sz w:val="20"/>
                <w:szCs w:val="20"/>
                <w:lang w:eastAsia="pt-BR"/>
              </w:rPr>
            </w:pPr>
            <w:r w:rsidRPr="00EE0371">
              <w:rPr>
                <w:rFonts w:ascii="Arial" w:eastAsia="Times New Roman" w:hAnsi="Arial" w:cs="Arial"/>
                <w:b/>
                <w:bCs/>
                <w:sz w:val="20"/>
                <w:szCs w:val="20"/>
                <w:lang w:eastAsia="pt-BR"/>
              </w:rPr>
              <w:t>Obrigatoriedade</w:t>
            </w:r>
          </w:p>
        </w:tc>
      </w:tr>
      <w:tr w:rsidR="00EE0371" w:rsidRPr="00EE0371" w14:paraId="4B0417C4" w14:textId="77777777" w:rsidTr="00DD49C9">
        <w:trPr>
          <w:trHeight w:val="255"/>
        </w:trPr>
        <w:tc>
          <w:tcPr>
            <w:tcW w:w="9219" w:type="dxa"/>
            <w:gridSpan w:val="4"/>
            <w:tcBorders>
              <w:top w:val="single" w:sz="4" w:space="0" w:color="auto"/>
              <w:left w:val="single" w:sz="4" w:space="0" w:color="auto"/>
              <w:bottom w:val="single" w:sz="4" w:space="0" w:color="auto"/>
              <w:right w:val="single" w:sz="4" w:space="0" w:color="auto"/>
            </w:tcBorders>
            <w:shd w:val="clear" w:color="000000" w:fill="BFBFBF"/>
            <w:vAlign w:val="center"/>
            <w:hideMark/>
          </w:tcPr>
          <w:p w14:paraId="197C2780" w14:textId="77777777" w:rsidR="00EE0371" w:rsidRPr="00EE0371" w:rsidRDefault="00EE0371" w:rsidP="00EE0371">
            <w:pPr>
              <w:spacing w:after="0" w:line="240" w:lineRule="auto"/>
              <w:jc w:val="center"/>
              <w:rPr>
                <w:rFonts w:ascii="Arial" w:eastAsia="Times New Roman" w:hAnsi="Arial" w:cs="Arial"/>
                <w:b/>
                <w:bCs/>
                <w:sz w:val="20"/>
                <w:szCs w:val="20"/>
                <w:lang w:eastAsia="pt-BR"/>
              </w:rPr>
            </w:pPr>
            <w:r w:rsidRPr="00EE0371">
              <w:rPr>
                <w:rFonts w:ascii="Arial" w:eastAsia="Times New Roman" w:hAnsi="Arial" w:cs="Arial"/>
                <w:b/>
                <w:bCs/>
                <w:sz w:val="20"/>
                <w:szCs w:val="20"/>
                <w:lang w:eastAsia="pt-BR"/>
              </w:rPr>
              <w:t>Estrutura ‘InventarioBemImovel’</w:t>
            </w:r>
          </w:p>
        </w:tc>
      </w:tr>
      <w:tr w:rsidR="00EE0371" w:rsidRPr="00EE0371" w14:paraId="3D5B9CDE" w14:textId="77777777" w:rsidTr="00DD49C9">
        <w:trPr>
          <w:trHeight w:val="255"/>
        </w:trPr>
        <w:tc>
          <w:tcPr>
            <w:tcW w:w="3549" w:type="dxa"/>
            <w:tcBorders>
              <w:top w:val="nil"/>
              <w:left w:val="single" w:sz="4" w:space="0" w:color="auto"/>
              <w:bottom w:val="single" w:sz="4" w:space="0" w:color="auto"/>
              <w:right w:val="single" w:sz="4" w:space="0" w:color="auto"/>
            </w:tcBorders>
            <w:shd w:val="clear" w:color="auto" w:fill="auto"/>
            <w:vAlign w:val="center"/>
            <w:hideMark/>
          </w:tcPr>
          <w:p w14:paraId="771091DE" w14:textId="77777777" w:rsidR="00EE0371" w:rsidRPr="00EE0371" w:rsidRDefault="00EE0371" w:rsidP="00EE0371">
            <w:pPr>
              <w:spacing w:after="0" w:line="240" w:lineRule="auto"/>
              <w:jc w:val="both"/>
              <w:rPr>
                <w:rFonts w:ascii="Arial" w:eastAsia="Times New Roman" w:hAnsi="Arial" w:cs="Arial"/>
                <w:sz w:val="20"/>
                <w:szCs w:val="20"/>
                <w:lang w:eastAsia="pt-BR"/>
              </w:rPr>
            </w:pPr>
            <w:r w:rsidRPr="00EE0371">
              <w:rPr>
                <w:rFonts w:ascii="Arial" w:eastAsia="Times New Roman" w:hAnsi="Arial" w:cs="Arial"/>
                <w:sz w:val="20"/>
                <w:szCs w:val="20"/>
                <w:lang w:eastAsia="pt-BR"/>
              </w:rPr>
              <w:t>Identificação do Numero do Registro</w:t>
            </w:r>
          </w:p>
        </w:tc>
        <w:tc>
          <w:tcPr>
            <w:tcW w:w="1418" w:type="dxa"/>
            <w:tcBorders>
              <w:top w:val="nil"/>
              <w:left w:val="nil"/>
              <w:bottom w:val="single" w:sz="4" w:space="0" w:color="auto"/>
              <w:right w:val="single" w:sz="4" w:space="0" w:color="auto"/>
            </w:tcBorders>
            <w:shd w:val="clear" w:color="auto" w:fill="auto"/>
            <w:vAlign w:val="center"/>
            <w:hideMark/>
          </w:tcPr>
          <w:p w14:paraId="51B8DF6B" w14:textId="77777777" w:rsidR="00EE0371" w:rsidRPr="00EE0371" w:rsidRDefault="00EE0371" w:rsidP="00EE0371">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Inteiro</w:t>
            </w:r>
          </w:p>
        </w:tc>
        <w:tc>
          <w:tcPr>
            <w:tcW w:w="1359" w:type="dxa"/>
            <w:tcBorders>
              <w:top w:val="nil"/>
              <w:left w:val="nil"/>
              <w:bottom w:val="single" w:sz="4" w:space="0" w:color="auto"/>
              <w:right w:val="single" w:sz="4" w:space="0" w:color="auto"/>
            </w:tcBorders>
            <w:shd w:val="clear" w:color="auto" w:fill="auto"/>
            <w:vAlign w:val="center"/>
            <w:hideMark/>
          </w:tcPr>
          <w:p w14:paraId="3C5FE9C2" w14:textId="77777777" w:rsidR="00EE0371" w:rsidRPr="00EE0371" w:rsidRDefault="00EE0371" w:rsidP="00EE0371">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5</w:t>
            </w:r>
          </w:p>
        </w:tc>
        <w:tc>
          <w:tcPr>
            <w:tcW w:w="2893" w:type="dxa"/>
            <w:tcBorders>
              <w:top w:val="nil"/>
              <w:left w:val="nil"/>
              <w:bottom w:val="single" w:sz="4" w:space="0" w:color="auto"/>
              <w:right w:val="single" w:sz="4" w:space="0" w:color="auto"/>
            </w:tcBorders>
            <w:shd w:val="clear" w:color="auto" w:fill="auto"/>
            <w:vAlign w:val="center"/>
            <w:hideMark/>
          </w:tcPr>
          <w:p w14:paraId="469781CE" w14:textId="77777777" w:rsidR="00EE0371" w:rsidRPr="00EE0371" w:rsidRDefault="00EE0371" w:rsidP="00EE0371">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Obrigatório</w:t>
            </w:r>
          </w:p>
        </w:tc>
      </w:tr>
      <w:tr w:rsidR="00DD49C9" w:rsidRPr="00EE0371" w14:paraId="2A461313" w14:textId="77777777" w:rsidTr="00DD49C9">
        <w:trPr>
          <w:trHeight w:val="255"/>
        </w:trPr>
        <w:tc>
          <w:tcPr>
            <w:tcW w:w="3549" w:type="dxa"/>
            <w:tcBorders>
              <w:top w:val="nil"/>
              <w:left w:val="single" w:sz="4" w:space="0" w:color="auto"/>
              <w:bottom w:val="single" w:sz="4" w:space="0" w:color="auto"/>
              <w:right w:val="single" w:sz="4" w:space="0" w:color="auto"/>
            </w:tcBorders>
            <w:shd w:val="clear" w:color="auto" w:fill="auto"/>
            <w:vAlign w:val="center"/>
          </w:tcPr>
          <w:p w14:paraId="7E9DD31A" w14:textId="77777777" w:rsidR="00DD49C9" w:rsidRPr="000D3464" w:rsidRDefault="00DD49C9" w:rsidP="000D3464">
            <w:pPr>
              <w:spacing w:after="0" w:line="360" w:lineRule="auto"/>
              <w:rPr>
                <w:rFonts w:ascii="Arial" w:hAnsi="Arial" w:cs="Arial"/>
                <w:sz w:val="20"/>
                <w:szCs w:val="20"/>
              </w:rPr>
            </w:pPr>
            <w:r w:rsidRPr="000D3464">
              <w:rPr>
                <w:rFonts w:ascii="Arial" w:eastAsia="Times New Roman" w:hAnsi="Arial" w:cs="Arial"/>
                <w:sz w:val="20"/>
                <w:szCs w:val="20"/>
                <w:lang w:eastAsia="pt-BR"/>
              </w:rPr>
              <w:t>Código da Unidade Gestora</w:t>
            </w:r>
          </w:p>
        </w:tc>
        <w:tc>
          <w:tcPr>
            <w:tcW w:w="1418" w:type="dxa"/>
            <w:tcBorders>
              <w:top w:val="nil"/>
              <w:left w:val="nil"/>
              <w:bottom w:val="single" w:sz="4" w:space="0" w:color="auto"/>
              <w:right w:val="single" w:sz="4" w:space="0" w:color="auto"/>
            </w:tcBorders>
            <w:shd w:val="clear" w:color="auto" w:fill="auto"/>
            <w:vAlign w:val="center"/>
          </w:tcPr>
          <w:p w14:paraId="07B88037" w14:textId="77777777" w:rsidR="00DD49C9" w:rsidRPr="000D3464" w:rsidRDefault="00DD49C9" w:rsidP="000D3464">
            <w:pPr>
              <w:spacing w:after="0" w:line="360" w:lineRule="auto"/>
              <w:jc w:val="center"/>
              <w:rPr>
                <w:rFonts w:ascii="Arial" w:hAnsi="Arial" w:cs="Arial"/>
                <w:sz w:val="20"/>
                <w:szCs w:val="20"/>
              </w:rPr>
            </w:pPr>
            <w:r w:rsidRPr="000D3464">
              <w:rPr>
                <w:rFonts w:ascii="Arial" w:eastAsia="Times New Roman" w:hAnsi="Arial" w:cs="Arial"/>
                <w:sz w:val="20"/>
                <w:szCs w:val="20"/>
                <w:lang w:eastAsia="pt-BR"/>
              </w:rPr>
              <w:t>Caracter</w:t>
            </w:r>
          </w:p>
        </w:tc>
        <w:tc>
          <w:tcPr>
            <w:tcW w:w="1359" w:type="dxa"/>
            <w:tcBorders>
              <w:top w:val="nil"/>
              <w:left w:val="nil"/>
              <w:bottom w:val="single" w:sz="4" w:space="0" w:color="auto"/>
              <w:right w:val="single" w:sz="4" w:space="0" w:color="auto"/>
            </w:tcBorders>
            <w:shd w:val="clear" w:color="auto" w:fill="auto"/>
            <w:vAlign w:val="center"/>
          </w:tcPr>
          <w:p w14:paraId="4C1B6385" w14:textId="77777777" w:rsidR="00DD49C9" w:rsidRPr="000D3464" w:rsidRDefault="00DD49C9" w:rsidP="000D3464">
            <w:pPr>
              <w:spacing w:after="0" w:line="360" w:lineRule="auto"/>
              <w:jc w:val="center"/>
              <w:rPr>
                <w:rFonts w:ascii="Arial" w:hAnsi="Arial" w:cs="Arial"/>
                <w:sz w:val="20"/>
                <w:szCs w:val="20"/>
              </w:rPr>
            </w:pPr>
            <w:r w:rsidRPr="000D3464">
              <w:rPr>
                <w:rFonts w:ascii="Arial" w:hAnsi="Arial" w:cs="Arial"/>
                <w:sz w:val="20"/>
                <w:szCs w:val="20"/>
              </w:rPr>
              <w:t>11</w:t>
            </w:r>
          </w:p>
        </w:tc>
        <w:tc>
          <w:tcPr>
            <w:tcW w:w="2893" w:type="dxa"/>
            <w:tcBorders>
              <w:top w:val="nil"/>
              <w:left w:val="nil"/>
              <w:bottom w:val="single" w:sz="4" w:space="0" w:color="auto"/>
              <w:right w:val="single" w:sz="4" w:space="0" w:color="auto"/>
            </w:tcBorders>
            <w:shd w:val="clear" w:color="auto" w:fill="auto"/>
            <w:vAlign w:val="center"/>
          </w:tcPr>
          <w:p w14:paraId="51C5BF3B" w14:textId="77777777" w:rsidR="00DD49C9" w:rsidRPr="000D3464" w:rsidRDefault="00DD49C9" w:rsidP="000D3464">
            <w:pPr>
              <w:spacing w:after="0" w:line="360" w:lineRule="auto"/>
              <w:rPr>
                <w:rFonts w:ascii="Arial" w:hAnsi="Arial" w:cs="Arial"/>
                <w:sz w:val="20"/>
                <w:szCs w:val="20"/>
              </w:rPr>
            </w:pPr>
            <w:r w:rsidRPr="000D3464">
              <w:rPr>
                <w:rFonts w:ascii="Arial" w:eastAsia="Times New Roman" w:hAnsi="Arial" w:cs="Arial"/>
                <w:sz w:val="20"/>
                <w:szCs w:val="20"/>
                <w:lang w:eastAsia="pt-BR"/>
              </w:rPr>
              <w:t>Obrigatório conforme codificação do TCEES</w:t>
            </w:r>
          </w:p>
        </w:tc>
      </w:tr>
      <w:tr w:rsidR="00DD49C9" w:rsidRPr="00EE0371" w14:paraId="7E4FF34E" w14:textId="77777777" w:rsidTr="00DD49C9">
        <w:trPr>
          <w:trHeight w:val="1020"/>
        </w:trPr>
        <w:tc>
          <w:tcPr>
            <w:tcW w:w="3549" w:type="dxa"/>
            <w:tcBorders>
              <w:top w:val="nil"/>
              <w:left w:val="single" w:sz="4" w:space="0" w:color="auto"/>
              <w:bottom w:val="single" w:sz="4" w:space="0" w:color="auto"/>
              <w:right w:val="single" w:sz="4" w:space="0" w:color="auto"/>
            </w:tcBorders>
            <w:shd w:val="clear" w:color="auto" w:fill="auto"/>
            <w:vAlign w:val="center"/>
            <w:hideMark/>
          </w:tcPr>
          <w:p w14:paraId="5D56952B" w14:textId="77777777" w:rsidR="00DD49C9" w:rsidRPr="00EE0371" w:rsidRDefault="00DD49C9" w:rsidP="00DD49C9">
            <w:pPr>
              <w:spacing w:after="0" w:line="240" w:lineRule="auto"/>
              <w:jc w:val="both"/>
              <w:rPr>
                <w:rFonts w:ascii="Arial" w:eastAsia="Times New Roman" w:hAnsi="Arial" w:cs="Arial"/>
                <w:sz w:val="20"/>
                <w:szCs w:val="20"/>
                <w:lang w:eastAsia="pt-BR"/>
              </w:rPr>
            </w:pPr>
            <w:r w:rsidRPr="00EE0371">
              <w:rPr>
                <w:rFonts w:ascii="Arial" w:eastAsia="Times New Roman" w:hAnsi="Arial" w:cs="Arial"/>
                <w:sz w:val="20"/>
                <w:szCs w:val="20"/>
                <w:lang w:eastAsia="pt-BR"/>
              </w:rPr>
              <w:t xml:space="preserve">Código Contábil </w:t>
            </w:r>
            <w:r w:rsidRPr="000D3464">
              <w:rPr>
                <w:rFonts w:ascii="Arial" w:eastAsia="Times New Roman" w:hAnsi="Arial" w:cs="Arial"/>
                <w:b/>
                <w:bCs/>
                <w:sz w:val="20"/>
                <w:szCs w:val="20"/>
                <w:vertAlign w:val="superscript"/>
                <w:lang w:eastAsia="pt-BR"/>
              </w:rPr>
              <w:t>[1]</w:t>
            </w:r>
          </w:p>
        </w:tc>
        <w:tc>
          <w:tcPr>
            <w:tcW w:w="1418" w:type="dxa"/>
            <w:tcBorders>
              <w:top w:val="nil"/>
              <w:left w:val="nil"/>
              <w:bottom w:val="single" w:sz="4" w:space="0" w:color="auto"/>
              <w:right w:val="single" w:sz="4" w:space="0" w:color="auto"/>
            </w:tcBorders>
            <w:shd w:val="clear" w:color="auto" w:fill="auto"/>
            <w:vAlign w:val="center"/>
            <w:hideMark/>
          </w:tcPr>
          <w:p w14:paraId="5DA58795" w14:textId="77777777" w:rsidR="00DD49C9" w:rsidRPr="00EE0371" w:rsidRDefault="00DD49C9" w:rsidP="00DD49C9">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Inteiro</w:t>
            </w:r>
          </w:p>
        </w:tc>
        <w:tc>
          <w:tcPr>
            <w:tcW w:w="1359" w:type="dxa"/>
            <w:tcBorders>
              <w:top w:val="nil"/>
              <w:left w:val="nil"/>
              <w:bottom w:val="single" w:sz="4" w:space="0" w:color="auto"/>
              <w:right w:val="single" w:sz="4" w:space="0" w:color="auto"/>
            </w:tcBorders>
            <w:shd w:val="clear" w:color="auto" w:fill="auto"/>
            <w:vAlign w:val="center"/>
            <w:hideMark/>
          </w:tcPr>
          <w:p w14:paraId="324F4DB9" w14:textId="77777777" w:rsidR="00DD49C9" w:rsidRPr="00EE0371" w:rsidRDefault="00DD49C9" w:rsidP="00DD49C9">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9</w:t>
            </w:r>
          </w:p>
        </w:tc>
        <w:tc>
          <w:tcPr>
            <w:tcW w:w="2893" w:type="dxa"/>
            <w:tcBorders>
              <w:top w:val="nil"/>
              <w:left w:val="nil"/>
              <w:bottom w:val="single" w:sz="4" w:space="0" w:color="auto"/>
              <w:right w:val="single" w:sz="4" w:space="0" w:color="auto"/>
            </w:tcBorders>
            <w:shd w:val="clear" w:color="auto" w:fill="auto"/>
            <w:vAlign w:val="center"/>
            <w:hideMark/>
          </w:tcPr>
          <w:p w14:paraId="27658FF2" w14:textId="77777777" w:rsidR="00DD49C9" w:rsidRPr="00EE0371" w:rsidRDefault="00DD49C9" w:rsidP="000D3464">
            <w:pPr>
              <w:spacing w:after="0" w:line="240" w:lineRule="auto"/>
              <w:rPr>
                <w:rFonts w:ascii="Arial" w:eastAsia="Times New Roman" w:hAnsi="Arial" w:cs="Arial"/>
                <w:sz w:val="20"/>
                <w:szCs w:val="20"/>
                <w:lang w:eastAsia="pt-BR"/>
              </w:rPr>
            </w:pPr>
            <w:r w:rsidRPr="00EE0371">
              <w:rPr>
                <w:rFonts w:ascii="Arial" w:eastAsia="Times New Roman" w:hAnsi="Arial" w:cs="Arial"/>
                <w:sz w:val="20"/>
                <w:szCs w:val="20"/>
                <w:lang w:eastAsia="pt-BR"/>
              </w:rPr>
              <w:t>Obrigatório</w:t>
            </w:r>
            <w:r w:rsidRPr="00EE0371">
              <w:rPr>
                <w:rFonts w:ascii="Arial" w:eastAsia="Times New Roman" w:hAnsi="Arial" w:cs="Arial"/>
                <w:sz w:val="20"/>
                <w:szCs w:val="20"/>
                <w:lang w:eastAsia="pt-BR"/>
              </w:rPr>
              <w:br/>
              <w:t>Conforme o Código da Conta Contábil (PCASP/TCEES)</w:t>
            </w:r>
          </w:p>
        </w:tc>
      </w:tr>
      <w:tr w:rsidR="00DD49C9" w:rsidRPr="00EE0371" w14:paraId="5C46CDA7" w14:textId="77777777" w:rsidTr="00DD49C9">
        <w:trPr>
          <w:trHeight w:val="255"/>
        </w:trPr>
        <w:tc>
          <w:tcPr>
            <w:tcW w:w="3549" w:type="dxa"/>
            <w:tcBorders>
              <w:top w:val="nil"/>
              <w:left w:val="single" w:sz="4" w:space="0" w:color="auto"/>
              <w:bottom w:val="single" w:sz="4" w:space="0" w:color="auto"/>
              <w:right w:val="single" w:sz="4" w:space="0" w:color="auto"/>
            </w:tcBorders>
            <w:shd w:val="clear" w:color="auto" w:fill="auto"/>
            <w:vAlign w:val="center"/>
            <w:hideMark/>
          </w:tcPr>
          <w:p w14:paraId="5C35E09C" w14:textId="77777777" w:rsidR="00DD49C9" w:rsidRPr="00EE0371" w:rsidRDefault="00DD49C9" w:rsidP="00DD49C9">
            <w:pPr>
              <w:spacing w:after="0" w:line="240" w:lineRule="auto"/>
              <w:jc w:val="both"/>
              <w:rPr>
                <w:rFonts w:ascii="Arial" w:eastAsia="Times New Roman" w:hAnsi="Arial" w:cs="Arial"/>
                <w:sz w:val="20"/>
                <w:szCs w:val="20"/>
                <w:lang w:eastAsia="pt-BR"/>
              </w:rPr>
            </w:pPr>
            <w:r w:rsidRPr="00EE0371">
              <w:rPr>
                <w:rFonts w:ascii="Arial" w:eastAsia="Times New Roman" w:hAnsi="Arial" w:cs="Arial"/>
                <w:sz w:val="20"/>
                <w:szCs w:val="20"/>
                <w:lang w:eastAsia="pt-BR"/>
              </w:rPr>
              <w:t>Descrição do Bem Imóvel</w:t>
            </w:r>
          </w:p>
        </w:tc>
        <w:tc>
          <w:tcPr>
            <w:tcW w:w="1418" w:type="dxa"/>
            <w:tcBorders>
              <w:top w:val="nil"/>
              <w:left w:val="nil"/>
              <w:bottom w:val="single" w:sz="4" w:space="0" w:color="auto"/>
              <w:right w:val="single" w:sz="4" w:space="0" w:color="auto"/>
            </w:tcBorders>
            <w:shd w:val="clear" w:color="auto" w:fill="auto"/>
            <w:vAlign w:val="center"/>
            <w:hideMark/>
          </w:tcPr>
          <w:p w14:paraId="19F6A275" w14:textId="77777777" w:rsidR="00DD49C9" w:rsidRPr="00EE0371" w:rsidRDefault="00DD49C9" w:rsidP="00DD49C9">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Caracter</w:t>
            </w:r>
          </w:p>
        </w:tc>
        <w:tc>
          <w:tcPr>
            <w:tcW w:w="1359" w:type="dxa"/>
            <w:tcBorders>
              <w:top w:val="nil"/>
              <w:left w:val="nil"/>
              <w:bottom w:val="single" w:sz="4" w:space="0" w:color="auto"/>
              <w:right w:val="single" w:sz="4" w:space="0" w:color="auto"/>
            </w:tcBorders>
            <w:shd w:val="clear" w:color="auto" w:fill="auto"/>
            <w:vAlign w:val="center"/>
            <w:hideMark/>
          </w:tcPr>
          <w:p w14:paraId="25C3178E" w14:textId="77777777" w:rsidR="00DD49C9" w:rsidRPr="00EE0371" w:rsidRDefault="00DD49C9" w:rsidP="00DD49C9">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1000</w:t>
            </w:r>
          </w:p>
        </w:tc>
        <w:tc>
          <w:tcPr>
            <w:tcW w:w="2893" w:type="dxa"/>
            <w:tcBorders>
              <w:top w:val="nil"/>
              <w:left w:val="nil"/>
              <w:bottom w:val="single" w:sz="4" w:space="0" w:color="auto"/>
              <w:right w:val="single" w:sz="4" w:space="0" w:color="auto"/>
            </w:tcBorders>
            <w:shd w:val="clear" w:color="auto" w:fill="auto"/>
            <w:vAlign w:val="center"/>
            <w:hideMark/>
          </w:tcPr>
          <w:p w14:paraId="486B6D24" w14:textId="77777777" w:rsidR="00DD49C9" w:rsidRPr="00EE0371" w:rsidRDefault="00DD49C9" w:rsidP="000D3464">
            <w:pPr>
              <w:spacing w:after="0" w:line="240" w:lineRule="auto"/>
              <w:rPr>
                <w:rFonts w:ascii="Arial" w:eastAsia="Times New Roman" w:hAnsi="Arial" w:cs="Arial"/>
                <w:sz w:val="20"/>
                <w:szCs w:val="20"/>
                <w:lang w:eastAsia="pt-BR"/>
              </w:rPr>
            </w:pPr>
            <w:r w:rsidRPr="00EE0371">
              <w:rPr>
                <w:rFonts w:ascii="Arial" w:eastAsia="Times New Roman" w:hAnsi="Arial" w:cs="Arial"/>
                <w:sz w:val="20"/>
                <w:szCs w:val="20"/>
                <w:lang w:eastAsia="pt-BR"/>
              </w:rPr>
              <w:t>Obrigatório</w:t>
            </w:r>
          </w:p>
        </w:tc>
      </w:tr>
      <w:tr w:rsidR="00DD49C9" w:rsidRPr="00EE0371" w14:paraId="7F829F61" w14:textId="77777777" w:rsidTr="00DD49C9">
        <w:trPr>
          <w:trHeight w:val="510"/>
        </w:trPr>
        <w:tc>
          <w:tcPr>
            <w:tcW w:w="3549" w:type="dxa"/>
            <w:tcBorders>
              <w:top w:val="nil"/>
              <w:left w:val="single" w:sz="4" w:space="0" w:color="auto"/>
              <w:bottom w:val="single" w:sz="4" w:space="0" w:color="auto"/>
              <w:right w:val="single" w:sz="4" w:space="0" w:color="auto"/>
            </w:tcBorders>
            <w:shd w:val="clear" w:color="auto" w:fill="auto"/>
            <w:vAlign w:val="center"/>
            <w:hideMark/>
          </w:tcPr>
          <w:p w14:paraId="234C55C3" w14:textId="77777777" w:rsidR="00DD49C9" w:rsidRPr="00EE0371" w:rsidRDefault="00DD49C9" w:rsidP="00DD49C9">
            <w:pPr>
              <w:spacing w:after="0" w:line="240" w:lineRule="auto"/>
              <w:jc w:val="both"/>
              <w:rPr>
                <w:rFonts w:ascii="Arial" w:eastAsia="Times New Roman" w:hAnsi="Arial" w:cs="Arial"/>
                <w:sz w:val="20"/>
                <w:szCs w:val="20"/>
                <w:lang w:eastAsia="pt-BR"/>
              </w:rPr>
            </w:pPr>
            <w:r w:rsidRPr="00EE0371">
              <w:rPr>
                <w:rFonts w:ascii="Arial" w:eastAsia="Times New Roman" w:hAnsi="Arial" w:cs="Arial"/>
                <w:sz w:val="20"/>
                <w:szCs w:val="20"/>
                <w:lang w:eastAsia="pt-BR"/>
              </w:rPr>
              <w:lastRenderedPageBreak/>
              <w:t>Data de Aquisição/Incorporação</w:t>
            </w:r>
            <w:r>
              <w:rPr>
                <w:rFonts w:ascii="Arial" w:eastAsia="Times New Roman" w:hAnsi="Arial" w:cs="Arial"/>
                <w:sz w:val="20"/>
                <w:szCs w:val="20"/>
                <w:lang w:eastAsia="pt-BR"/>
              </w:rPr>
              <w:t xml:space="preserve">/ </w:t>
            </w:r>
            <w:r w:rsidRPr="00D9640F">
              <w:rPr>
                <w:rFonts w:ascii="Arial" w:hAnsi="Arial" w:cs="Arial"/>
                <w:sz w:val="20"/>
                <w:szCs w:val="20"/>
                <w:lang w:eastAsia="pt-BR"/>
              </w:rPr>
              <w:t xml:space="preserve">Ordem de Serviço </w:t>
            </w:r>
            <w:r w:rsidRPr="00EE0371">
              <w:rPr>
                <w:rFonts w:ascii="Arial" w:eastAsia="Times New Roman" w:hAnsi="Arial" w:cs="Arial"/>
                <w:sz w:val="20"/>
                <w:szCs w:val="20"/>
                <w:lang w:eastAsia="pt-BR"/>
              </w:rPr>
              <w:t>do Bem Imóvel</w:t>
            </w:r>
          </w:p>
        </w:tc>
        <w:tc>
          <w:tcPr>
            <w:tcW w:w="1418" w:type="dxa"/>
            <w:tcBorders>
              <w:top w:val="nil"/>
              <w:left w:val="nil"/>
              <w:bottom w:val="single" w:sz="4" w:space="0" w:color="auto"/>
              <w:right w:val="single" w:sz="4" w:space="0" w:color="auto"/>
            </w:tcBorders>
            <w:shd w:val="clear" w:color="auto" w:fill="auto"/>
            <w:vAlign w:val="center"/>
            <w:hideMark/>
          </w:tcPr>
          <w:p w14:paraId="4282E85D" w14:textId="77777777" w:rsidR="00DD49C9" w:rsidRPr="00EE0371" w:rsidRDefault="00DD49C9" w:rsidP="00DD49C9">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Data</w:t>
            </w:r>
          </w:p>
        </w:tc>
        <w:tc>
          <w:tcPr>
            <w:tcW w:w="1359" w:type="dxa"/>
            <w:tcBorders>
              <w:top w:val="nil"/>
              <w:left w:val="nil"/>
              <w:bottom w:val="single" w:sz="4" w:space="0" w:color="auto"/>
              <w:right w:val="single" w:sz="4" w:space="0" w:color="auto"/>
            </w:tcBorders>
            <w:shd w:val="clear" w:color="auto" w:fill="auto"/>
            <w:vAlign w:val="center"/>
            <w:hideMark/>
          </w:tcPr>
          <w:p w14:paraId="33191F69" w14:textId="77777777" w:rsidR="00DD49C9" w:rsidRPr="00EE0371" w:rsidRDefault="00DD49C9" w:rsidP="00DD49C9">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10</w:t>
            </w:r>
          </w:p>
        </w:tc>
        <w:tc>
          <w:tcPr>
            <w:tcW w:w="2893" w:type="dxa"/>
            <w:tcBorders>
              <w:top w:val="nil"/>
              <w:left w:val="nil"/>
              <w:bottom w:val="single" w:sz="4" w:space="0" w:color="auto"/>
              <w:right w:val="single" w:sz="4" w:space="0" w:color="auto"/>
            </w:tcBorders>
            <w:shd w:val="clear" w:color="auto" w:fill="auto"/>
            <w:vAlign w:val="center"/>
            <w:hideMark/>
          </w:tcPr>
          <w:p w14:paraId="65D6E100" w14:textId="77777777" w:rsidR="00DD49C9" w:rsidRPr="00EE0371" w:rsidRDefault="00DD49C9" w:rsidP="000D3464">
            <w:pPr>
              <w:spacing w:after="0" w:line="240" w:lineRule="auto"/>
              <w:rPr>
                <w:rFonts w:ascii="Arial" w:eastAsia="Times New Roman" w:hAnsi="Arial" w:cs="Arial"/>
                <w:sz w:val="20"/>
                <w:szCs w:val="20"/>
                <w:lang w:eastAsia="pt-BR"/>
              </w:rPr>
            </w:pPr>
            <w:r w:rsidRPr="00EE0371">
              <w:rPr>
                <w:rFonts w:ascii="Arial" w:eastAsia="Times New Roman" w:hAnsi="Arial" w:cs="Arial"/>
                <w:sz w:val="20"/>
                <w:szCs w:val="20"/>
                <w:lang w:eastAsia="pt-BR"/>
              </w:rPr>
              <w:t>Obrigatório, AAAA-MM-DD</w:t>
            </w:r>
          </w:p>
        </w:tc>
      </w:tr>
      <w:tr w:rsidR="00DD49C9" w:rsidRPr="00EE0371" w14:paraId="2AB34962" w14:textId="77777777" w:rsidTr="00DD49C9">
        <w:trPr>
          <w:trHeight w:val="255"/>
        </w:trPr>
        <w:tc>
          <w:tcPr>
            <w:tcW w:w="3549" w:type="dxa"/>
            <w:tcBorders>
              <w:top w:val="nil"/>
              <w:left w:val="single" w:sz="4" w:space="0" w:color="auto"/>
              <w:bottom w:val="single" w:sz="4" w:space="0" w:color="auto"/>
              <w:right w:val="single" w:sz="4" w:space="0" w:color="auto"/>
            </w:tcBorders>
            <w:shd w:val="clear" w:color="auto" w:fill="auto"/>
            <w:vAlign w:val="center"/>
            <w:hideMark/>
          </w:tcPr>
          <w:p w14:paraId="51293909" w14:textId="77777777" w:rsidR="00DD49C9" w:rsidRPr="00EE0371" w:rsidRDefault="00DD49C9" w:rsidP="00DD49C9">
            <w:pPr>
              <w:spacing w:after="0" w:line="240" w:lineRule="auto"/>
              <w:jc w:val="both"/>
              <w:rPr>
                <w:rFonts w:ascii="Arial" w:eastAsia="Times New Roman" w:hAnsi="Arial" w:cs="Arial"/>
                <w:sz w:val="20"/>
                <w:szCs w:val="20"/>
                <w:lang w:eastAsia="pt-BR"/>
              </w:rPr>
            </w:pPr>
            <w:r w:rsidRPr="00EE0371">
              <w:rPr>
                <w:rFonts w:ascii="Arial" w:eastAsia="Times New Roman" w:hAnsi="Arial" w:cs="Arial"/>
                <w:sz w:val="20"/>
                <w:szCs w:val="20"/>
                <w:lang w:eastAsia="pt-BR"/>
              </w:rPr>
              <w:t>Valor Contábil Histórico do Bem Imóvel</w:t>
            </w:r>
          </w:p>
        </w:tc>
        <w:tc>
          <w:tcPr>
            <w:tcW w:w="1418" w:type="dxa"/>
            <w:tcBorders>
              <w:top w:val="nil"/>
              <w:left w:val="nil"/>
              <w:bottom w:val="single" w:sz="4" w:space="0" w:color="auto"/>
              <w:right w:val="single" w:sz="4" w:space="0" w:color="auto"/>
            </w:tcBorders>
            <w:shd w:val="clear" w:color="auto" w:fill="auto"/>
            <w:vAlign w:val="center"/>
            <w:hideMark/>
          </w:tcPr>
          <w:p w14:paraId="357DDE38" w14:textId="77777777" w:rsidR="00DD49C9" w:rsidRPr="00EE0371" w:rsidRDefault="00DD49C9" w:rsidP="00DD49C9">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Decimal</w:t>
            </w:r>
          </w:p>
        </w:tc>
        <w:tc>
          <w:tcPr>
            <w:tcW w:w="1359" w:type="dxa"/>
            <w:tcBorders>
              <w:top w:val="nil"/>
              <w:left w:val="nil"/>
              <w:bottom w:val="single" w:sz="4" w:space="0" w:color="auto"/>
              <w:right w:val="single" w:sz="4" w:space="0" w:color="auto"/>
            </w:tcBorders>
            <w:shd w:val="clear" w:color="auto" w:fill="auto"/>
            <w:vAlign w:val="center"/>
            <w:hideMark/>
          </w:tcPr>
          <w:p w14:paraId="38C2DCEA" w14:textId="77777777" w:rsidR="00DD49C9" w:rsidRPr="00EE0371" w:rsidRDefault="00DD49C9" w:rsidP="00DD49C9">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14,2</w:t>
            </w:r>
          </w:p>
        </w:tc>
        <w:tc>
          <w:tcPr>
            <w:tcW w:w="2893" w:type="dxa"/>
            <w:tcBorders>
              <w:top w:val="nil"/>
              <w:left w:val="nil"/>
              <w:bottom w:val="single" w:sz="4" w:space="0" w:color="auto"/>
              <w:right w:val="single" w:sz="4" w:space="0" w:color="auto"/>
            </w:tcBorders>
            <w:shd w:val="clear" w:color="auto" w:fill="auto"/>
            <w:vAlign w:val="center"/>
            <w:hideMark/>
          </w:tcPr>
          <w:p w14:paraId="26A1DD4B" w14:textId="77777777" w:rsidR="00DD49C9" w:rsidRPr="00EE0371" w:rsidRDefault="00DD49C9" w:rsidP="000D3464">
            <w:pPr>
              <w:spacing w:after="0" w:line="240" w:lineRule="auto"/>
              <w:rPr>
                <w:rFonts w:ascii="Arial" w:eastAsia="Times New Roman" w:hAnsi="Arial" w:cs="Arial"/>
                <w:sz w:val="20"/>
                <w:szCs w:val="20"/>
                <w:lang w:eastAsia="pt-BR"/>
              </w:rPr>
            </w:pPr>
            <w:r w:rsidRPr="00EE0371">
              <w:rPr>
                <w:rFonts w:ascii="Arial" w:eastAsia="Times New Roman" w:hAnsi="Arial" w:cs="Arial"/>
                <w:sz w:val="20"/>
                <w:szCs w:val="20"/>
                <w:lang w:eastAsia="pt-BR"/>
              </w:rPr>
              <w:t>Obrigatório</w:t>
            </w:r>
          </w:p>
        </w:tc>
      </w:tr>
      <w:tr w:rsidR="00DD49C9" w:rsidRPr="00EE0371" w14:paraId="53E6E0B8" w14:textId="77777777" w:rsidTr="00DD49C9">
        <w:trPr>
          <w:trHeight w:val="255"/>
        </w:trPr>
        <w:tc>
          <w:tcPr>
            <w:tcW w:w="3549" w:type="dxa"/>
            <w:tcBorders>
              <w:top w:val="nil"/>
              <w:left w:val="single" w:sz="4" w:space="0" w:color="auto"/>
              <w:bottom w:val="single" w:sz="4" w:space="0" w:color="auto"/>
              <w:right w:val="single" w:sz="4" w:space="0" w:color="auto"/>
            </w:tcBorders>
            <w:shd w:val="clear" w:color="auto" w:fill="auto"/>
            <w:vAlign w:val="center"/>
            <w:hideMark/>
          </w:tcPr>
          <w:p w14:paraId="3B1304DA" w14:textId="77777777" w:rsidR="00DD49C9" w:rsidRPr="00EE0371" w:rsidRDefault="00DD49C9" w:rsidP="00DD49C9">
            <w:pPr>
              <w:spacing w:after="0" w:line="240" w:lineRule="auto"/>
              <w:jc w:val="both"/>
              <w:rPr>
                <w:rFonts w:ascii="Arial" w:eastAsia="Times New Roman" w:hAnsi="Arial" w:cs="Arial"/>
                <w:sz w:val="20"/>
                <w:szCs w:val="20"/>
                <w:lang w:eastAsia="pt-BR"/>
              </w:rPr>
            </w:pPr>
            <w:r w:rsidRPr="00EE0371">
              <w:rPr>
                <w:rFonts w:ascii="Arial" w:eastAsia="Times New Roman" w:hAnsi="Arial" w:cs="Arial"/>
                <w:sz w:val="20"/>
                <w:szCs w:val="20"/>
                <w:lang w:eastAsia="pt-BR"/>
              </w:rPr>
              <w:t>Número de Registro (Patrimônio) do Bem Imóvel</w:t>
            </w:r>
          </w:p>
        </w:tc>
        <w:tc>
          <w:tcPr>
            <w:tcW w:w="1418" w:type="dxa"/>
            <w:tcBorders>
              <w:top w:val="nil"/>
              <w:left w:val="nil"/>
              <w:bottom w:val="single" w:sz="4" w:space="0" w:color="auto"/>
              <w:right w:val="single" w:sz="4" w:space="0" w:color="auto"/>
            </w:tcBorders>
            <w:shd w:val="clear" w:color="auto" w:fill="auto"/>
            <w:vAlign w:val="center"/>
            <w:hideMark/>
          </w:tcPr>
          <w:p w14:paraId="63ADE746" w14:textId="77777777" w:rsidR="00DD49C9" w:rsidRPr="00EE0371" w:rsidRDefault="00DD49C9" w:rsidP="00DD49C9">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Caracter</w:t>
            </w:r>
          </w:p>
        </w:tc>
        <w:tc>
          <w:tcPr>
            <w:tcW w:w="1359" w:type="dxa"/>
            <w:tcBorders>
              <w:top w:val="nil"/>
              <w:left w:val="nil"/>
              <w:bottom w:val="single" w:sz="4" w:space="0" w:color="auto"/>
              <w:right w:val="single" w:sz="4" w:space="0" w:color="auto"/>
            </w:tcBorders>
            <w:shd w:val="clear" w:color="auto" w:fill="auto"/>
            <w:vAlign w:val="center"/>
            <w:hideMark/>
          </w:tcPr>
          <w:p w14:paraId="218E5E98" w14:textId="77777777" w:rsidR="00DD49C9" w:rsidRPr="00EE0371" w:rsidRDefault="00DD49C9" w:rsidP="00DD49C9">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30</w:t>
            </w:r>
          </w:p>
        </w:tc>
        <w:tc>
          <w:tcPr>
            <w:tcW w:w="2893" w:type="dxa"/>
            <w:tcBorders>
              <w:top w:val="nil"/>
              <w:left w:val="nil"/>
              <w:bottom w:val="single" w:sz="4" w:space="0" w:color="auto"/>
              <w:right w:val="single" w:sz="4" w:space="0" w:color="auto"/>
            </w:tcBorders>
            <w:shd w:val="clear" w:color="auto" w:fill="auto"/>
            <w:vAlign w:val="center"/>
            <w:hideMark/>
          </w:tcPr>
          <w:p w14:paraId="6DCFB1DA" w14:textId="77777777" w:rsidR="00DD49C9" w:rsidRPr="00EE0371" w:rsidRDefault="00DD49C9" w:rsidP="000D3464">
            <w:pPr>
              <w:spacing w:after="0" w:line="240" w:lineRule="auto"/>
              <w:rPr>
                <w:rFonts w:ascii="Arial" w:eastAsia="Times New Roman" w:hAnsi="Arial" w:cs="Arial"/>
                <w:sz w:val="20"/>
                <w:szCs w:val="20"/>
                <w:lang w:eastAsia="pt-BR"/>
              </w:rPr>
            </w:pPr>
            <w:r w:rsidRPr="00EE0371">
              <w:rPr>
                <w:rFonts w:ascii="Arial" w:eastAsia="Times New Roman" w:hAnsi="Arial" w:cs="Arial"/>
                <w:sz w:val="20"/>
                <w:szCs w:val="20"/>
                <w:lang w:eastAsia="pt-BR"/>
              </w:rPr>
              <w:t>Obrigatório</w:t>
            </w:r>
          </w:p>
        </w:tc>
      </w:tr>
      <w:tr w:rsidR="00DD49C9" w:rsidRPr="00EE0371" w14:paraId="0C57F43E" w14:textId="77777777" w:rsidTr="00DD49C9">
        <w:trPr>
          <w:trHeight w:val="255"/>
        </w:trPr>
        <w:tc>
          <w:tcPr>
            <w:tcW w:w="3549" w:type="dxa"/>
            <w:tcBorders>
              <w:top w:val="nil"/>
              <w:left w:val="single" w:sz="4" w:space="0" w:color="auto"/>
              <w:bottom w:val="single" w:sz="4" w:space="0" w:color="auto"/>
              <w:right w:val="single" w:sz="4" w:space="0" w:color="auto"/>
            </w:tcBorders>
            <w:shd w:val="clear" w:color="auto" w:fill="auto"/>
            <w:vAlign w:val="center"/>
            <w:hideMark/>
          </w:tcPr>
          <w:p w14:paraId="5B47DBAB" w14:textId="77777777" w:rsidR="00DD49C9" w:rsidRPr="00EE0371" w:rsidRDefault="00DD49C9" w:rsidP="00DD49C9">
            <w:pPr>
              <w:spacing w:after="0" w:line="240" w:lineRule="auto"/>
              <w:jc w:val="both"/>
              <w:rPr>
                <w:rFonts w:ascii="Arial" w:eastAsia="Times New Roman" w:hAnsi="Arial" w:cs="Arial"/>
                <w:sz w:val="20"/>
                <w:szCs w:val="20"/>
                <w:lang w:eastAsia="pt-BR"/>
              </w:rPr>
            </w:pPr>
            <w:r w:rsidRPr="00EE0371">
              <w:rPr>
                <w:rFonts w:ascii="Arial" w:eastAsia="Times New Roman" w:hAnsi="Arial" w:cs="Arial"/>
                <w:sz w:val="20"/>
                <w:szCs w:val="20"/>
                <w:lang w:eastAsia="pt-BR"/>
              </w:rPr>
              <w:t>Localização do Bem Imóvel</w:t>
            </w:r>
          </w:p>
        </w:tc>
        <w:tc>
          <w:tcPr>
            <w:tcW w:w="1418" w:type="dxa"/>
            <w:tcBorders>
              <w:top w:val="nil"/>
              <w:left w:val="nil"/>
              <w:bottom w:val="single" w:sz="4" w:space="0" w:color="auto"/>
              <w:right w:val="single" w:sz="4" w:space="0" w:color="auto"/>
            </w:tcBorders>
            <w:shd w:val="clear" w:color="auto" w:fill="auto"/>
            <w:vAlign w:val="center"/>
            <w:hideMark/>
          </w:tcPr>
          <w:p w14:paraId="6EC30D61" w14:textId="77777777" w:rsidR="00DD49C9" w:rsidRPr="00EE0371" w:rsidRDefault="00DD49C9" w:rsidP="00DD49C9">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Caracter</w:t>
            </w:r>
          </w:p>
        </w:tc>
        <w:tc>
          <w:tcPr>
            <w:tcW w:w="1359" w:type="dxa"/>
            <w:tcBorders>
              <w:top w:val="nil"/>
              <w:left w:val="nil"/>
              <w:bottom w:val="single" w:sz="4" w:space="0" w:color="auto"/>
              <w:right w:val="single" w:sz="4" w:space="0" w:color="auto"/>
            </w:tcBorders>
            <w:shd w:val="clear" w:color="auto" w:fill="auto"/>
            <w:vAlign w:val="center"/>
            <w:hideMark/>
          </w:tcPr>
          <w:p w14:paraId="4BE52F69" w14:textId="77777777" w:rsidR="00DD49C9" w:rsidRPr="00EE0371" w:rsidRDefault="00DD49C9" w:rsidP="00DD49C9">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1000</w:t>
            </w:r>
          </w:p>
        </w:tc>
        <w:tc>
          <w:tcPr>
            <w:tcW w:w="2893" w:type="dxa"/>
            <w:tcBorders>
              <w:top w:val="nil"/>
              <w:left w:val="nil"/>
              <w:bottom w:val="single" w:sz="4" w:space="0" w:color="auto"/>
              <w:right w:val="single" w:sz="4" w:space="0" w:color="auto"/>
            </w:tcBorders>
            <w:shd w:val="clear" w:color="auto" w:fill="auto"/>
            <w:vAlign w:val="center"/>
            <w:hideMark/>
          </w:tcPr>
          <w:p w14:paraId="32589BA6" w14:textId="77777777" w:rsidR="00DD49C9" w:rsidRPr="00EE0371" w:rsidRDefault="00DD49C9" w:rsidP="000D3464">
            <w:pPr>
              <w:spacing w:after="0" w:line="240" w:lineRule="auto"/>
              <w:rPr>
                <w:rFonts w:ascii="Arial" w:eastAsia="Times New Roman" w:hAnsi="Arial" w:cs="Arial"/>
                <w:sz w:val="20"/>
                <w:szCs w:val="20"/>
                <w:lang w:eastAsia="pt-BR"/>
              </w:rPr>
            </w:pPr>
            <w:r w:rsidRPr="00EE0371">
              <w:rPr>
                <w:rFonts w:ascii="Arial" w:eastAsia="Times New Roman" w:hAnsi="Arial" w:cs="Arial"/>
                <w:sz w:val="20"/>
                <w:szCs w:val="20"/>
                <w:lang w:eastAsia="pt-BR"/>
              </w:rPr>
              <w:t>Obrigatório</w:t>
            </w:r>
          </w:p>
        </w:tc>
      </w:tr>
      <w:tr w:rsidR="00DD49C9" w:rsidRPr="00EE0371" w14:paraId="2646AD5D" w14:textId="77777777" w:rsidTr="00DD49C9">
        <w:trPr>
          <w:trHeight w:val="255"/>
        </w:trPr>
        <w:tc>
          <w:tcPr>
            <w:tcW w:w="3549" w:type="dxa"/>
            <w:tcBorders>
              <w:top w:val="nil"/>
              <w:left w:val="single" w:sz="4" w:space="0" w:color="auto"/>
              <w:bottom w:val="single" w:sz="4" w:space="0" w:color="auto"/>
              <w:right w:val="single" w:sz="4" w:space="0" w:color="auto"/>
            </w:tcBorders>
            <w:shd w:val="clear" w:color="auto" w:fill="auto"/>
            <w:vAlign w:val="center"/>
            <w:hideMark/>
          </w:tcPr>
          <w:p w14:paraId="2541A632" w14:textId="77777777" w:rsidR="00DD49C9" w:rsidRPr="00EE0371" w:rsidRDefault="00DD49C9" w:rsidP="00DD49C9">
            <w:pPr>
              <w:spacing w:after="0" w:line="240" w:lineRule="auto"/>
              <w:jc w:val="both"/>
              <w:rPr>
                <w:rFonts w:ascii="Arial" w:eastAsia="Times New Roman" w:hAnsi="Arial" w:cs="Arial"/>
                <w:sz w:val="20"/>
                <w:szCs w:val="20"/>
                <w:lang w:eastAsia="pt-BR"/>
              </w:rPr>
            </w:pPr>
            <w:r w:rsidRPr="00EE0371">
              <w:rPr>
                <w:rFonts w:ascii="Arial" w:eastAsia="Times New Roman" w:hAnsi="Arial" w:cs="Arial"/>
                <w:sz w:val="20"/>
                <w:szCs w:val="20"/>
                <w:lang w:eastAsia="pt-BR"/>
              </w:rPr>
              <w:t xml:space="preserve">Valor da Medida do Bem Imóvel </w:t>
            </w:r>
          </w:p>
        </w:tc>
        <w:tc>
          <w:tcPr>
            <w:tcW w:w="1418" w:type="dxa"/>
            <w:tcBorders>
              <w:top w:val="nil"/>
              <w:left w:val="nil"/>
              <w:bottom w:val="single" w:sz="4" w:space="0" w:color="auto"/>
              <w:right w:val="single" w:sz="4" w:space="0" w:color="auto"/>
            </w:tcBorders>
            <w:shd w:val="clear" w:color="auto" w:fill="auto"/>
            <w:vAlign w:val="center"/>
            <w:hideMark/>
          </w:tcPr>
          <w:p w14:paraId="6291A46E" w14:textId="77777777" w:rsidR="00DD49C9" w:rsidRPr="00EE0371" w:rsidRDefault="00DD49C9" w:rsidP="00DD49C9">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Decimal</w:t>
            </w:r>
          </w:p>
        </w:tc>
        <w:tc>
          <w:tcPr>
            <w:tcW w:w="1359" w:type="dxa"/>
            <w:tcBorders>
              <w:top w:val="nil"/>
              <w:left w:val="nil"/>
              <w:bottom w:val="single" w:sz="4" w:space="0" w:color="auto"/>
              <w:right w:val="single" w:sz="4" w:space="0" w:color="auto"/>
            </w:tcBorders>
            <w:shd w:val="clear" w:color="auto" w:fill="auto"/>
            <w:vAlign w:val="center"/>
            <w:hideMark/>
          </w:tcPr>
          <w:p w14:paraId="085DE8C1" w14:textId="77777777" w:rsidR="00DD49C9" w:rsidRPr="00EE0371" w:rsidRDefault="00DD49C9" w:rsidP="00DD49C9">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14,2</w:t>
            </w:r>
          </w:p>
        </w:tc>
        <w:tc>
          <w:tcPr>
            <w:tcW w:w="2893" w:type="dxa"/>
            <w:tcBorders>
              <w:top w:val="nil"/>
              <w:left w:val="nil"/>
              <w:bottom w:val="single" w:sz="4" w:space="0" w:color="auto"/>
              <w:right w:val="single" w:sz="4" w:space="0" w:color="auto"/>
            </w:tcBorders>
            <w:shd w:val="clear" w:color="auto" w:fill="auto"/>
            <w:vAlign w:val="center"/>
            <w:hideMark/>
          </w:tcPr>
          <w:p w14:paraId="15B6F0F5" w14:textId="77777777" w:rsidR="00DD49C9" w:rsidRPr="00EE0371" w:rsidRDefault="00DD49C9" w:rsidP="000D3464">
            <w:pPr>
              <w:spacing w:after="0" w:line="240" w:lineRule="auto"/>
              <w:rPr>
                <w:rFonts w:ascii="Arial" w:eastAsia="Times New Roman" w:hAnsi="Arial" w:cs="Arial"/>
                <w:sz w:val="20"/>
                <w:szCs w:val="20"/>
                <w:lang w:eastAsia="pt-BR"/>
              </w:rPr>
            </w:pPr>
            <w:r w:rsidRPr="00EE0371">
              <w:rPr>
                <w:rFonts w:ascii="Arial" w:eastAsia="Times New Roman" w:hAnsi="Arial" w:cs="Arial"/>
                <w:sz w:val="20"/>
                <w:szCs w:val="20"/>
                <w:lang w:eastAsia="pt-BR"/>
              </w:rPr>
              <w:t>Obrigatório</w:t>
            </w:r>
          </w:p>
        </w:tc>
      </w:tr>
      <w:tr w:rsidR="00DD49C9" w:rsidRPr="00EE0371" w14:paraId="2726F584" w14:textId="77777777" w:rsidTr="00DD49C9">
        <w:trPr>
          <w:trHeight w:val="1275"/>
        </w:trPr>
        <w:tc>
          <w:tcPr>
            <w:tcW w:w="3549" w:type="dxa"/>
            <w:tcBorders>
              <w:top w:val="nil"/>
              <w:left w:val="single" w:sz="4" w:space="0" w:color="auto"/>
              <w:bottom w:val="single" w:sz="4" w:space="0" w:color="auto"/>
              <w:right w:val="single" w:sz="4" w:space="0" w:color="auto"/>
            </w:tcBorders>
            <w:shd w:val="clear" w:color="auto" w:fill="auto"/>
            <w:vAlign w:val="center"/>
            <w:hideMark/>
          </w:tcPr>
          <w:p w14:paraId="007591C5" w14:textId="77777777" w:rsidR="00DD49C9" w:rsidRPr="00EE0371" w:rsidRDefault="00DD49C9" w:rsidP="00DD49C9">
            <w:pPr>
              <w:spacing w:after="0" w:line="240" w:lineRule="auto"/>
              <w:jc w:val="both"/>
              <w:rPr>
                <w:rFonts w:ascii="Arial" w:eastAsia="Times New Roman" w:hAnsi="Arial" w:cs="Arial"/>
                <w:sz w:val="20"/>
                <w:szCs w:val="20"/>
                <w:lang w:eastAsia="pt-BR"/>
              </w:rPr>
            </w:pPr>
            <w:r w:rsidRPr="00EE0371">
              <w:rPr>
                <w:rFonts w:ascii="Arial" w:eastAsia="Times New Roman" w:hAnsi="Arial" w:cs="Arial"/>
                <w:sz w:val="20"/>
                <w:szCs w:val="20"/>
                <w:lang w:eastAsia="pt-BR"/>
              </w:rPr>
              <w:t>Unidade de Medida do Bem Imóvel</w:t>
            </w:r>
          </w:p>
        </w:tc>
        <w:tc>
          <w:tcPr>
            <w:tcW w:w="1418" w:type="dxa"/>
            <w:tcBorders>
              <w:top w:val="nil"/>
              <w:left w:val="nil"/>
              <w:bottom w:val="single" w:sz="4" w:space="0" w:color="auto"/>
              <w:right w:val="single" w:sz="4" w:space="0" w:color="auto"/>
            </w:tcBorders>
            <w:shd w:val="clear" w:color="auto" w:fill="auto"/>
            <w:vAlign w:val="center"/>
            <w:hideMark/>
          </w:tcPr>
          <w:p w14:paraId="3965E2E5" w14:textId="77777777" w:rsidR="00DD49C9" w:rsidRPr="00EE0371" w:rsidRDefault="00DD49C9" w:rsidP="00DD49C9">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Inteiro</w:t>
            </w:r>
          </w:p>
        </w:tc>
        <w:tc>
          <w:tcPr>
            <w:tcW w:w="1359" w:type="dxa"/>
            <w:tcBorders>
              <w:top w:val="nil"/>
              <w:left w:val="nil"/>
              <w:bottom w:val="single" w:sz="4" w:space="0" w:color="auto"/>
              <w:right w:val="single" w:sz="4" w:space="0" w:color="auto"/>
            </w:tcBorders>
            <w:shd w:val="clear" w:color="auto" w:fill="auto"/>
            <w:vAlign w:val="center"/>
            <w:hideMark/>
          </w:tcPr>
          <w:p w14:paraId="14BE4B1B" w14:textId="77777777" w:rsidR="00DD49C9" w:rsidRPr="00EE0371" w:rsidRDefault="00DD49C9" w:rsidP="00DD49C9">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1</w:t>
            </w:r>
          </w:p>
        </w:tc>
        <w:tc>
          <w:tcPr>
            <w:tcW w:w="2893" w:type="dxa"/>
            <w:tcBorders>
              <w:top w:val="nil"/>
              <w:left w:val="nil"/>
              <w:bottom w:val="single" w:sz="4" w:space="0" w:color="auto"/>
              <w:right w:val="single" w:sz="4" w:space="0" w:color="auto"/>
            </w:tcBorders>
            <w:shd w:val="clear" w:color="auto" w:fill="auto"/>
            <w:vAlign w:val="center"/>
            <w:hideMark/>
          </w:tcPr>
          <w:p w14:paraId="6353F691" w14:textId="77777777" w:rsidR="00DD49C9" w:rsidRPr="00EE0371" w:rsidRDefault="00DD49C9" w:rsidP="000D3464">
            <w:pPr>
              <w:spacing w:after="0" w:line="240" w:lineRule="auto"/>
              <w:rPr>
                <w:rFonts w:ascii="Arial" w:eastAsia="Times New Roman" w:hAnsi="Arial" w:cs="Arial"/>
                <w:sz w:val="20"/>
                <w:szCs w:val="20"/>
                <w:lang w:eastAsia="pt-BR"/>
              </w:rPr>
            </w:pPr>
            <w:r w:rsidRPr="00EE0371">
              <w:rPr>
                <w:rFonts w:ascii="Arial" w:eastAsia="Times New Roman" w:hAnsi="Arial" w:cs="Arial"/>
                <w:sz w:val="20"/>
                <w:szCs w:val="20"/>
                <w:lang w:eastAsia="pt-BR"/>
              </w:rPr>
              <w:t>Obrigatório</w:t>
            </w:r>
            <w:r w:rsidRPr="00EE0371">
              <w:rPr>
                <w:rFonts w:ascii="Arial" w:eastAsia="Times New Roman" w:hAnsi="Arial" w:cs="Arial"/>
                <w:sz w:val="20"/>
                <w:szCs w:val="20"/>
                <w:lang w:eastAsia="pt-BR"/>
              </w:rPr>
              <w:br/>
              <w:t xml:space="preserve">1 - m </w:t>
            </w:r>
            <w:r w:rsidRPr="00EE0371">
              <w:rPr>
                <w:rFonts w:ascii="Arial" w:eastAsia="Times New Roman" w:hAnsi="Arial" w:cs="Arial"/>
                <w:sz w:val="20"/>
                <w:szCs w:val="20"/>
                <w:lang w:eastAsia="pt-BR"/>
              </w:rPr>
              <w:br/>
              <w:t>2 - m2</w:t>
            </w:r>
            <w:r w:rsidRPr="00EE0371">
              <w:rPr>
                <w:rFonts w:ascii="Arial" w:eastAsia="Times New Roman" w:hAnsi="Arial" w:cs="Arial"/>
                <w:sz w:val="20"/>
                <w:szCs w:val="20"/>
                <w:lang w:eastAsia="pt-BR"/>
              </w:rPr>
              <w:br/>
              <w:t>3 - m3</w:t>
            </w:r>
            <w:r w:rsidRPr="00EE0371">
              <w:rPr>
                <w:rFonts w:ascii="Arial" w:eastAsia="Times New Roman" w:hAnsi="Arial" w:cs="Arial"/>
                <w:sz w:val="20"/>
                <w:szCs w:val="20"/>
                <w:lang w:eastAsia="pt-BR"/>
              </w:rPr>
              <w:br/>
              <w:t>4 - Outra</w:t>
            </w:r>
          </w:p>
        </w:tc>
      </w:tr>
      <w:tr w:rsidR="00DD49C9" w:rsidRPr="00EE0371" w14:paraId="6035DD77" w14:textId="77777777" w:rsidTr="00DD49C9">
        <w:trPr>
          <w:trHeight w:val="510"/>
        </w:trPr>
        <w:tc>
          <w:tcPr>
            <w:tcW w:w="35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A57E74" w14:textId="77777777" w:rsidR="00DD49C9" w:rsidRPr="00EE0371" w:rsidRDefault="00DD49C9" w:rsidP="00DD49C9">
            <w:pPr>
              <w:spacing w:after="0" w:line="240" w:lineRule="auto"/>
              <w:jc w:val="both"/>
              <w:rPr>
                <w:rFonts w:ascii="Arial" w:eastAsia="Times New Roman" w:hAnsi="Arial" w:cs="Arial"/>
                <w:sz w:val="20"/>
                <w:szCs w:val="20"/>
                <w:lang w:eastAsia="pt-BR"/>
              </w:rPr>
            </w:pPr>
            <w:r w:rsidRPr="00EE0371">
              <w:rPr>
                <w:rFonts w:ascii="Arial" w:eastAsia="Times New Roman" w:hAnsi="Arial" w:cs="Arial"/>
                <w:sz w:val="20"/>
                <w:szCs w:val="20"/>
                <w:lang w:eastAsia="pt-BR"/>
              </w:rPr>
              <w:t>Descrição da Unidade de Medida do Bem Imóvel</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13F0F625" w14:textId="77777777" w:rsidR="00DD49C9" w:rsidRPr="00EE0371" w:rsidRDefault="00DD49C9" w:rsidP="00DD49C9">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Caracter</w:t>
            </w:r>
          </w:p>
        </w:tc>
        <w:tc>
          <w:tcPr>
            <w:tcW w:w="1359" w:type="dxa"/>
            <w:tcBorders>
              <w:top w:val="single" w:sz="4" w:space="0" w:color="auto"/>
              <w:left w:val="nil"/>
              <w:bottom w:val="single" w:sz="4" w:space="0" w:color="auto"/>
              <w:right w:val="single" w:sz="4" w:space="0" w:color="auto"/>
            </w:tcBorders>
            <w:shd w:val="clear" w:color="auto" w:fill="auto"/>
            <w:vAlign w:val="center"/>
            <w:hideMark/>
          </w:tcPr>
          <w:p w14:paraId="1E1FA04B" w14:textId="77777777" w:rsidR="00DD49C9" w:rsidRPr="00EE0371" w:rsidRDefault="00DD49C9" w:rsidP="00DD49C9">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20</w:t>
            </w:r>
          </w:p>
        </w:tc>
        <w:tc>
          <w:tcPr>
            <w:tcW w:w="2893" w:type="dxa"/>
            <w:tcBorders>
              <w:top w:val="single" w:sz="4" w:space="0" w:color="auto"/>
              <w:left w:val="nil"/>
              <w:bottom w:val="single" w:sz="4" w:space="0" w:color="auto"/>
              <w:right w:val="single" w:sz="4" w:space="0" w:color="auto"/>
            </w:tcBorders>
            <w:shd w:val="clear" w:color="auto" w:fill="auto"/>
            <w:vAlign w:val="center"/>
            <w:hideMark/>
          </w:tcPr>
          <w:p w14:paraId="3E550F39" w14:textId="77777777" w:rsidR="00DD49C9" w:rsidRPr="00EE0371" w:rsidRDefault="00DD49C9" w:rsidP="000D3464">
            <w:pPr>
              <w:spacing w:after="0" w:line="240" w:lineRule="auto"/>
              <w:rPr>
                <w:rFonts w:ascii="Arial" w:eastAsia="Times New Roman" w:hAnsi="Arial" w:cs="Arial"/>
                <w:sz w:val="20"/>
                <w:szCs w:val="20"/>
                <w:lang w:eastAsia="pt-BR"/>
              </w:rPr>
            </w:pPr>
            <w:r w:rsidRPr="00EE0371">
              <w:rPr>
                <w:rFonts w:ascii="Arial" w:eastAsia="Times New Roman" w:hAnsi="Arial" w:cs="Arial"/>
                <w:sz w:val="20"/>
                <w:szCs w:val="20"/>
                <w:lang w:eastAsia="pt-BR"/>
              </w:rPr>
              <w:t>Obrigatório, caso Unidade de Medida = 4 (Outra)</w:t>
            </w:r>
          </w:p>
        </w:tc>
      </w:tr>
      <w:tr w:rsidR="00DD49C9" w:rsidRPr="00EE0371" w14:paraId="5E35F739" w14:textId="77777777" w:rsidTr="00DD49C9">
        <w:trPr>
          <w:trHeight w:val="255"/>
        </w:trPr>
        <w:tc>
          <w:tcPr>
            <w:tcW w:w="3549" w:type="dxa"/>
            <w:vMerge w:val="restart"/>
            <w:tcBorders>
              <w:top w:val="nil"/>
              <w:left w:val="single" w:sz="4" w:space="0" w:color="auto"/>
              <w:bottom w:val="single" w:sz="4" w:space="0" w:color="auto"/>
              <w:right w:val="single" w:sz="4" w:space="0" w:color="auto"/>
            </w:tcBorders>
            <w:shd w:val="clear" w:color="auto" w:fill="auto"/>
            <w:vAlign w:val="center"/>
            <w:hideMark/>
          </w:tcPr>
          <w:p w14:paraId="0D7DFD51" w14:textId="77777777" w:rsidR="00DD49C9" w:rsidRPr="00EE0371" w:rsidRDefault="00DD49C9" w:rsidP="00DD49C9">
            <w:pPr>
              <w:spacing w:after="0" w:line="240" w:lineRule="auto"/>
              <w:jc w:val="both"/>
              <w:rPr>
                <w:rFonts w:ascii="Arial" w:eastAsia="Times New Roman" w:hAnsi="Arial" w:cs="Arial"/>
                <w:sz w:val="20"/>
                <w:szCs w:val="20"/>
                <w:lang w:eastAsia="pt-BR"/>
              </w:rPr>
            </w:pPr>
            <w:r w:rsidRPr="00EE0371">
              <w:rPr>
                <w:rFonts w:ascii="Arial" w:eastAsia="Times New Roman" w:hAnsi="Arial" w:cs="Arial"/>
                <w:sz w:val="20"/>
                <w:szCs w:val="20"/>
                <w:lang w:eastAsia="pt-BR"/>
              </w:rPr>
              <w:t>Estado de Conservação do Bem Imóvel</w:t>
            </w:r>
            <w:r>
              <w:rPr>
                <w:rFonts w:ascii="Arial" w:eastAsia="Times New Roman" w:hAnsi="Arial" w:cs="Arial"/>
                <w:sz w:val="20"/>
                <w:szCs w:val="20"/>
                <w:lang w:eastAsia="pt-BR"/>
              </w:rPr>
              <w:t xml:space="preserve"> </w:t>
            </w:r>
            <w:r w:rsidRPr="000D3464">
              <w:rPr>
                <w:rFonts w:ascii="Arial" w:eastAsia="Times New Roman" w:hAnsi="Arial" w:cs="Arial"/>
                <w:b/>
                <w:sz w:val="20"/>
                <w:szCs w:val="20"/>
                <w:vertAlign w:val="superscript"/>
                <w:lang w:eastAsia="pt-BR"/>
              </w:rPr>
              <w:t>[3]</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14:paraId="356BD329" w14:textId="77777777" w:rsidR="00DD49C9" w:rsidRPr="00EE0371" w:rsidRDefault="00DD49C9" w:rsidP="00DD49C9">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Inteiro</w:t>
            </w:r>
          </w:p>
        </w:tc>
        <w:tc>
          <w:tcPr>
            <w:tcW w:w="1359" w:type="dxa"/>
            <w:vMerge w:val="restart"/>
            <w:tcBorders>
              <w:top w:val="nil"/>
              <w:left w:val="single" w:sz="4" w:space="0" w:color="auto"/>
              <w:bottom w:val="single" w:sz="4" w:space="0" w:color="auto"/>
              <w:right w:val="single" w:sz="4" w:space="0" w:color="auto"/>
            </w:tcBorders>
            <w:shd w:val="clear" w:color="auto" w:fill="auto"/>
            <w:vAlign w:val="center"/>
            <w:hideMark/>
          </w:tcPr>
          <w:p w14:paraId="0490915B" w14:textId="77777777" w:rsidR="00DD49C9" w:rsidRPr="00EE0371" w:rsidRDefault="00DD49C9" w:rsidP="00DD49C9">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1</w:t>
            </w:r>
          </w:p>
        </w:tc>
        <w:tc>
          <w:tcPr>
            <w:tcW w:w="2893" w:type="dxa"/>
            <w:tcBorders>
              <w:top w:val="nil"/>
              <w:left w:val="nil"/>
              <w:bottom w:val="nil"/>
              <w:right w:val="single" w:sz="4" w:space="0" w:color="auto"/>
            </w:tcBorders>
            <w:shd w:val="clear" w:color="auto" w:fill="auto"/>
            <w:vAlign w:val="center"/>
            <w:hideMark/>
          </w:tcPr>
          <w:p w14:paraId="39251225" w14:textId="77777777" w:rsidR="00DD49C9" w:rsidRPr="00EE0371" w:rsidRDefault="00DD49C9" w:rsidP="000D3464">
            <w:pPr>
              <w:spacing w:after="0" w:line="240" w:lineRule="auto"/>
              <w:rPr>
                <w:rFonts w:ascii="Arial" w:eastAsia="Times New Roman" w:hAnsi="Arial" w:cs="Arial"/>
                <w:sz w:val="20"/>
                <w:szCs w:val="20"/>
                <w:lang w:eastAsia="pt-BR"/>
              </w:rPr>
            </w:pPr>
            <w:r w:rsidRPr="00EE0371">
              <w:rPr>
                <w:rFonts w:ascii="Arial" w:eastAsia="Times New Roman" w:hAnsi="Arial" w:cs="Arial"/>
                <w:sz w:val="20"/>
                <w:szCs w:val="20"/>
                <w:lang w:eastAsia="pt-BR"/>
              </w:rPr>
              <w:t>Obrigatório,</w:t>
            </w:r>
          </w:p>
        </w:tc>
      </w:tr>
      <w:tr w:rsidR="00DD49C9" w:rsidRPr="00EE0371" w14:paraId="164B0EBF" w14:textId="77777777" w:rsidTr="00DD49C9">
        <w:trPr>
          <w:trHeight w:val="255"/>
        </w:trPr>
        <w:tc>
          <w:tcPr>
            <w:tcW w:w="3549" w:type="dxa"/>
            <w:vMerge/>
            <w:tcBorders>
              <w:top w:val="nil"/>
              <w:left w:val="single" w:sz="4" w:space="0" w:color="auto"/>
              <w:bottom w:val="single" w:sz="4" w:space="0" w:color="auto"/>
              <w:right w:val="single" w:sz="4" w:space="0" w:color="auto"/>
            </w:tcBorders>
            <w:vAlign w:val="center"/>
            <w:hideMark/>
          </w:tcPr>
          <w:p w14:paraId="575A211E" w14:textId="77777777" w:rsidR="00DD49C9" w:rsidRPr="00EE0371" w:rsidRDefault="00DD49C9" w:rsidP="00DD49C9">
            <w:pPr>
              <w:spacing w:after="0" w:line="240" w:lineRule="auto"/>
              <w:jc w:val="both"/>
              <w:rPr>
                <w:rFonts w:ascii="Arial" w:eastAsia="Times New Roman" w:hAnsi="Arial" w:cs="Arial"/>
                <w:sz w:val="20"/>
                <w:szCs w:val="20"/>
                <w:lang w:eastAsia="pt-BR"/>
              </w:rPr>
            </w:pPr>
          </w:p>
        </w:tc>
        <w:tc>
          <w:tcPr>
            <w:tcW w:w="1418" w:type="dxa"/>
            <w:vMerge/>
            <w:tcBorders>
              <w:top w:val="nil"/>
              <w:left w:val="single" w:sz="4" w:space="0" w:color="auto"/>
              <w:bottom w:val="single" w:sz="4" w:space="0" w:color="auto"/>
              <w:right w:val="single" w:sz="4" w:space="0" w:color="auto"/>
            </w:tcBorders>
            <w:vAlign w:val="center"/>
            <w:hideMark/>
          </w:tcPr>
          <w:p w14:paraId="37B56CD1" w14:textId="77777777" w:rsidR="00DD49C9" w:rsidRPr="00EE0371" w:rsidRDefault="00DD49C9" w:rsidP="00DD49C9">
            <w:pPr>
              <w:spacing w:after="0" w:line="240" w:lineRule="auto"/>
              <w:jc w:val="both"/>
              <w:rPr>
                <w:rFonts w:ascii="Arial" w:eastAsia="Times New Roman" w:hAnsi="Arial" w:cs="Arial"/>
                <w:sz w:val="20"/>
                <w:szCs w:val="20"/>
                <w:lang w:eastAsia="pt-BR"/>
              </w:rPr>
            </w:pPr>
          </w:p>
        </w:tc>
        <w:tc>
          <w:tcPr>
            <w:tcW w:w="1359" w:type="dxa"/>
            <w:vMerge/>
            <w:tcBorders>
              <w:top w:val="nil"/>
              <w:left w:val="single" w:sz="4" w:space="0" w:color="auto"/>
              <w:bottom w:val="single" w:sz="4" w:space="0" w:color="auto"/>
              <w:right w:val="single" w:sz="4" w:space="0" w:color="auto"/>
            </w:tcBorders>
            <w:vAlign w:val="center"/>
            <w:hideMark/>
          </w:tcPr>
          <w:p w14:paraId="461C5D80" w14:textId="77777777" w:rsidR="00DD49C9" w:rsidRPr="00EE0371" w:rsidRDefault="00DD49C9" w:rsidP="00DD49C9">
            <w:pPr>
              <w:spacing w:after="0" w:line="240" w:lineRule="auto"/>
              <w:jc w:val="both"/>
              <w:rPr>
                <w:rFonts w:ascii="Arial" w:eastAsia="Times New Roman" w:hAnsi="Arial" w:cs="Arial"/>
                <w:sz w:val="20"/>
                <w:szCs w:val="20"/>
                <w:lang w:eastAsia="pt-BR"/>
              </w:rPr>
            </w:pPr>
          </w:p>
        </w:tc>
        <w:tc>
          <w:tcPr>
            <w:tcW w:w="2893" w:type="dxa"/>
            <w:tcBorders>
              <w:top w:val="nil"/>
              <w:left w:val="nil"/>
              <w:bottom w:val="nil"/>
              <w:right w:val="single" w:sz="4" w:space="0" w:color="auto"/>
            </w:tcBorders>
            <w:shd w:val="clear" w:color="auto" w:fill="auto"/>
            <w:vAlign w:val="center"/>
            <w:hideMark/>
          </w:tcPr>
          <w:p w14:paraId="493BCD98" w14:textId="77777777" w:rsidR="00DD49C9" w:rsidRPr="00EE0371" w:rsidRDefault="00DD49C9" w:rsidP="000D3464">
            <w:pPr>
              <w:spacing w:after="0" w:line="240" w:lineRule="auto"/>
              <w:rPr>
                <w:rFonts w:ascii="Arial" w:eastAsia="Times New Roman" w:hAnsi="Arial" w:cs="Arial"/>
                <w:sz w:val="20"/>
                <w:szCs w:val="20"/>
                <w:lang w:eastAsia="pt-BR"/>
              </w:rPr>
            </w:pPr>
            <w:r w:rsidRPr="00EE0371">
              <w:rPr>
                <w:rFonts w:ascii="Arial" w:eastAsia="Times New Roman" w:hAnsi="Arial" w:cs="Arial"/>
                <w:sz w:val="20"/>
                <w:szCs w:val="20"/>
                <w:lang w:eastAsia="pt-BR"/>
              </w:rPr>
              <w:t>1 - Excelente</w:t>
            </w:r>
          </w:p>
        </w:tc>
      </w:tr>
      <w:tr w:rsidR="00DD49C9" w:rsidRPr="00EE0371" w14:paraId="78E981E3" w14:textId="77777777" w:rsidTr="00DD49C9">
        <w:trPr>
          <w:trHeight w:val="255"/>
        </w:trPr>
        <w:tc>
          <w:tcPr>
            <w:tcW w:w="3549" w:type="dxa"/>
            <w:vMerge/>
            <w:tcBorders>
              <w:top w:val="nil"/>
              <w:left w:val="single" w:sz="4" w:space="0" w:color="auto"/>
              <w:bottom w:val="single" w:sz="4" w:space="0" w:color="auto"/>
              <w:right w:val="single" w:sz="4" w:space="0" w:color="auto"/>
            </w:tcBorders>
            <w:vAlign w:val="center"/>
            <w:hideMark/>
          </w:tcPr>
          <w:p w14:paraId="588176A6" w14:textId="77777777" w:rsidR="00DD49C9" w:rsidRPr="00EE0371" w:rsidRDefault="00DD49C9" w:rsidP="00DD49C9">
            <w:pPr>
              <w:spacing w:after="0" w:line="240" w:lineRule="auto"/>
              <w:jc w:val="both"/>
              <w:rPr>
                <w:rFonts w:ascii="Arial" w:eastAsia="Times New Roman" w:hAnsi="Arial" w:cs="Arial"/>
                <w:sz w:val="20"/>
                <w:szCs w:val="20"/>
                <w:lang w:eastAsia="pt-BR"/>
              </w:rPr>
            </w:pPr>
          </w:p>
        </w:tc>
        <w:tc>
          <w:tcPr>
            <w:tcW w:w="1418" w:type="dxa"/>
            <w:vMerge/>
            <w:tcBorders>
              <w:top w:val="nil"/>
              <w:left w:val="single" w:sz="4" w:space="0" w:color="auto"/>
              <w:bottom w:val="single" w:sz="4" w:space="0" w:color="auto"/>
              <w:right w:val="single" w:sz="4" w:space="0" w:color="auto"/>
            </w:tcBorders>
            <w:vAlign w:val="center"/>
            <w:hideMark/>
          </w:tcPr>
          <w:p w14:paraId="79B1A028" w14:textId="77777777" w:rsidR="00DD49C9" w:rsidRPr="00EE0371" w:rsidRDefault="00DD49C9" w:rsidP="00DD49C9">
            <w:pPr>
              <w:spacing w:after="0" w:line="240" w:lineRule="auto"/>
              <w:jc w:val="both"/>
              <w:rPr>
                <w:rFonts w:ascii="Arial" w:eastAsia="Times New Roman" w:hAnsi="Arial" w:cs="Arial"/>
                <w:sz w:val="20"/>
                <w:szCs w:val="20"/>
                <w:lang w:eastAsia="pt-BR"/>
              </w:rPr>
            </w:pPr>
          </w:p>
        </w:tc>
        <w:tc>
          <w:tcPr>
            <w:tcW w:w="1359" w:type="dxa"/>
            <w:vMerge/>
            <w:tcBorders>
              <w:top w:val="nil"/>
              <w:left w:val="single" w:sz="4" w:space="0" w:color="auto"/>
              <w:bottom w:val="single" w:sz="4" w:space="0" w:color="auto"/>
              <w:right w:val="single" w:sz="4" w:space="0" w:color="auto"/>
            </w:tcBorders>
            <w:vAlign w:val="center"/>
            <w:hideMark/>
          </w:tcPr>
          <w:p w14:paraId="2E5A2747" w14:textId="77777777" w:rsidR="00DD49C9" w:rsidRPr="00EE0371" w:rsidRDefault="00DD49C9" w:rsidP="00DD49C9">
            <w:pPr>
              <w:spacing w:after="0" w:line="240" w:lineRule="auto"/>
              <w:jc w:val="both"/>
              <w:rPr>
                <w:rFonts w:ascii="Arial" w:eastAsia="Times New Roman" w:hAnsi="Arial" w:cs="Arial"/>
                <w:sz w:val="20"/>
                <w:szCs w:val="20"/>
                <w:lang w:eastAsia="pt-BR"/>
              </w:rPr>
            </w:pPr>
          </w:p>
        </w:tc>
        <w:tc>
          <w:tcPr>
            <w:tcW w:w="2893" w:type="dxa"/>
            <w:tcBorders>
              <w:top w:val="nil"/>
              <w:left w:val="nil"/>
              <w:bottom w:val="nil"/>
              <w:right w:val="single" w:sz="4" w:space="0" w:color="auto"/>
            </w:tcBorders>
            <w:shd w:val="clear" w:color="auto" w:fill="auto"/>
            <w:vAlign w:val="center"/>
            <w:hideMark/>
          </w:tcPr>
          <w:p w14:paraId="53A1954D" w14:textId="77777777" w:rsidR="00DD49C9" w:rsidRPr="00EE0371" w:rsidRDefault="00DD49C9" w:rsidP="000D3464">
            <w:pPr>
              <w:spacing w:after="0" w:line="240" w:lineRule="auto"/>
              <w:rPr>
                <w:rFonts w:ascii="Arial" w:eastAsia="Times New Roman" w:hAnsi="Arial" w:cs="Arial"/>
                <w:sz w:val="20"/>
                <w:szCs w:val="20"/>
                <w:lang w:eastAsia="pt-BR"/>
              </w:rPr>
            </w:pPr>
            <w:r w:rsidRPr="00EE0371">
              <w:rPr>
                <w:rFonts w:ascii="Arial" w:eastAsia="Times New Roman" w:hAnsi="Arial" w:cs="Arial"/>
                <w:sz w:val="20"/>
                <w:szCs w:val="20"/>
                <w:lang w:eastAsia="pt-BR"/>
              </w:rPr>
              <w:t>2 - Bom</w:t>
            </w:r>
          </w:p>
        </w:tc>
      </w:tr>
      <w:tr w:rsidR="00DD49C9" w:rsidRPr="00EE0371" w14:paraId="5C2CC86B" w14:textId="77777777" w:rsidTr="00DD49C9">
        <w:trPr>
          <w:trHeight w:val="255"/>
        </w:trPr>
        <w:tc>
          <w:tcPr>
            <w:tcW w:w="3549" w:type="dxa"/>
            <w:vMerge/>
            <w:tcBorders>
              <w:top w:val="nil"/>
              <w:left w:val="single" w:sz="4" w:space="0" w:color="auto"/>
              <w:bottom w:val="single" w:sz="4" w:space="0" w:color="auto"/>
              <w:right w:val="single" w:sz="4" w:space="0" w:color="auto"/>
            </w:tcBorders>
            <w:vAlign w:val="center"/>
            <w:hideMark/>
          </w:tcPr>
          <w:p w14:paraId="3128D647" w14:textId="77777777" w:rsidR="00DD49C9" w:rsidRPr="00EE0371" w:rsidRDefault="00DD49C9" w:rsidP="00DD49C9">
            <w:pPr>
              <w:spacing w:after="0" w:line="240" w:lineRule="auto"/>
              <w:jc w:val="both"/>
              <w:rPr>
                <w:rFonts w:ascii="Arial" w:eastAsia="Times New Roman" w:hAnsi="Arial" w:cs="Arial"/>
                <w:sz w:val="20"/>
                <w:szCs w:val="20"/>
                <w:lang w:eastAsia="pt-BR"/>
              </w:rPr>
            </w:pPr>
          </w:p>
        </w:tc>
        <w:tc>
          <w:tcPr>
            <w:tcW w:w="1418" w:type="dxa"/>
            <w:vMerge/>
            <w:tcBorders>
              <w:top w:val="nil"/>
              <w:left w:val="single" w:sz="4" w:space="0" w:color="auto"/>
              <w:bottom w:val="single" w:sz="4" w:space="0" w:color="auto"/>
              <w:right w:val="single" w:sz="4" w:space="0" w:color="auto"/>
            </w:tcBorders>
            <w:vAlign w:val="center"/>
            <w:hideMark/>
          </w:tcPr>
          <w:p w14:paraId="06B14287" w14:textId="77777777" w:rsidR="00DD49C9" w:rsidRPr="00EE0371" w:rsidRDefault="00DD49C9" w:rsidP="00DD49C9">
            <w:pPr>
              <w:spacing w:after="0" w:line="240" w:lineRule="auto"/>
              <w:jc w:val="both"/>
              <w:rPr>
                <w:rFonts w:ascii="Arial" w:eastAsia="Times New Roman" w:hAnsi="Arial" w:cs="Arial"/>
                <w:sz w:val="20"/>
                <w:szCs w:val="20"/>
                <w:lang w:eastAsia="pt-BR"/>
              </w:rPr>
            </w:pPr>
          </w:p>
        </w:tc>
        <w:tc>
          <w:tcPr>
            <w:tcW w:w="1359" w:type="dxa"/>
            <w:vMerge/>
            <w:tcBorders>
              <w:top w:val="nil"/>
              <w:left w:val="single" w:sz="4" w:space="0" w:color="auto"/>
              <w:bottom w:val="single" w:sz="4" w:space="0" w:color="auto"/>
              <w:right w:val="single" w:sz="4" w:space="0" w:color="auto"/>
            </w:tcBorders>
            <w:vAlign w:val="center"/>
            <w:hideMark/>
          </w:tcPr>
          <w:p w14:paraId="5951FBA0" w14:textId="77777777" w:rsidR="00DD49C9" w:rsidRPr="00EE0371" w:rsidRDefault="00DD49C9" w:rsidP="00DD49C9">
            <w:pPr>
              <w:spacing w:after="0" w:line="240" w:lineRule="auto"/>
              <w:jc w:val="both"/>
              <w:rPr>
                <w:rFonts w:ascii="Arial" w:eastAsia="Times New Roman" w:hAnsi="Arial" w:cs="Arial"/>
                <w:sz w:val="20"/>
                <w:szCs w:val="20"/>
                <w:lang w:eastAsia="pt-BR"/>
              </w:rPr>
            </w:pPr>
          </w:p>
        </w:tc>
        <w:tc>
          <w:tcPr>
            <w:tcW w:w="2893" w:type="dxa"/>
            <w:tcBorders>
              <w:top w:val="nil"/>
              <w:left w:val="nil"/>
              <w:bottom w:val="nil"/>
              <w:right w:val="single" w:sz="4" w:space="0" w:color="auto"/>
            </w:tcBorders>
            <w:shd w:val="clear" w:color="auto" w:fill="auto"/>
            <w:vAlign w:val="center"/>
            <w:hideMark/>
          </w:tcPr>
          <w:p w14:paraId="392F0703" w14:textId="77777777" w:rsidR="00DD49C9" w:rsidRPr="00EE0371" w:rsidRDefault="00DD49C9" w:rsidP="000D3464">
            <w:pPr>
              <w:spacing w:after="0" w:line="240" w:lineRule="auto"/>
              <w:rPr>
                <w:rFonts w:ascii="Arial" w:eastAsia="Times New Roman" w:hAnsi="Arial" w:cs="Arial"/>
                <w:sz w:val="20"/>
                <w:szCs w:val="20"/>
                <w:lang w:eastAsia="pt-BR"/>
              </w:rPr>
            </w:pPr>
            <w:r w:rsidRPr="00EE0371">
              <w:rPr>
                <w:rFonts w:ascii="Arial" w:eastAsia="Times New Roman" w:hAnsi="Arial" w:cs="Arial"/>
                <w:sz w:val="20"/>
                <w:szCs w:val="20"/>
                <w:lang w:eastAsia="pt-BR"/>
              </w:rPr>
              <w:t>3 - Regular</w:t>
            </w:r>
          </w:p>
        </w:tc>
      </w:tr>
      <w:tr w:rsidR="00DD49C9" w:rsidRPr="00EE0371" w14:paraId="48868AB5" w14:textId="77777777" w:rsidTr="00DD49C9">
        <w:trPr>
          <w:trHeight w:val="255"/>
        </w:trPr>
        <w:tc>
          <w:tcPr>
            <w:tcW w:w="3549" w:type="dxa"/>
            <w:vMerge/>
            <w:tcBorders>
              <w:top w:val="nil"/>
              <w:left w:val="single" w:sz="4" w:space="0" w:color="auto"/>
              <w:bottom w:val="single" w:sz="4" w:space="0" w:color="auto"/>
              <w:right w:val="single" w:sz="4" w:space="0" w:color="auto"/>
            </w:tcBorders>
            <w:vAlign w:val="center"/>
            <w:hideMark/>
          </w:tcPr>
          <w:p w14:paraId="3D1191E7" w14:textId="77777777" w:rsidR="00DD49C9" w:rsidRPr="00EE0371" w:rsidRDefault="00DD49C9" w:rsidP="00DD49C9">
            <w:pPr>
              <w:spacing w:after="0" w:line="240" w:lineRule="auto"/>
              <w:jc w:val="both"/>
              <w:rPr>
                <w:rFonts w:ascii="Arial" w:eastAsia="Times New Roman" w:hAnsi="Arial" w:cs="Arial"/>
                <w:sz w:val="20"/>
                <w:szCs w:val="20"/>
                <w:lang w:eastAsia="pt-BR"/>
              </w:rPr>
            </w:pPr>
          </w:p>
        </w:tc>
        <w:tc>
          <w:tcPr>
            <w:tcW w:w="1418" w:type="dxa"/>
            <w:vMerge/>
            <w:tcBorders>
              <w:top w:val="nil"/>
              <w:left w:val="single" w:sz="4" w:space="0" w:color="auto"/>
              <w:bottom w:val="single" w:sz="4" w:space="0" w:color="auto"/>
              <w:right w:val="single" w:sz="4" w:space="0" w:color="auto"/>
            </w:tcBorders>
            <w:vAlign w:val="center"/>
            <w:hideMark/>
          </w:tcPr>
          <w:p w14:paraId="66172D5F" w14:textId="77777777" w:rsidR="00DD49C9" w:rsidRPr="00EE0371" w:rsidRDefault="00DD49C9" w:rsidP="00DD49C9">
            <w:pPr>
              <w:spacing w:after="0" w:line="240" w:lineRule="auto"/>
              <w:jc w:val="both"/>
              <w:rPr>
                <w:rFonts w:ascii="Arial" w:eastAsia="Times New Roman" w:hAnsi="Arial" w:cs="Arial"/>
                <w:sz w:val="20"/>
                <w:szCs w:val="20"/>
                <w:lang w:eastAsia="pt-BR"/>
              </w:rPr>
            </w:pPr>
          </w:p>
        </w:tc>
        <w:tc>
          <w:tcPr>
            <w:tcW w:w="1359" w:type="dxa"/>
            <w:vMerge/>
            <w:tcBorders>
              <w:top w:val="nil"/>
              <w:left w:val="single" w:sz="4" w:space="0" w:color="auto"/>
              <w:bottom w:val="single" w:sz="4" w:space="0" w:color="auto"/>
              <w:right w:val="single" w:sz="4" w:space="0" w:color="auto"/>
            </w:tcBorders>
            <w:vAlign w:val="center"/>
            <w:hideMark/>
          </w:tcPr>
          <w:p w14:paraId="22348947" w14:textId="77777777" w:rsidR="00DD49C9" w:rsidRPr="00EE0371" w:rsidRDefault="00DD49C9" w:rsidP="00DD49C9">
            <w:pPr>
              <w:spacing w:after="0" w:line="240" w:lineRule="auto"/>
              <w:jc w:val="both"/>
              <w:rPr>
                <w:rFonts w:ascii="Arial" w:eastAsia="Times New Roman" w:hAnsi="Arial" w:cs="Arial"/>
                <w:sz w:val="20"/>
                <w:szCs w:val="20"/>
                <w:lang w:eastAsia="pt-BR"/>
              </w:rPr>
            </w:pPr>
          </w:p>
        </w:tc>
        <w:tc>
          <w:tcPr>
            <w:tcW w:w="2893" w:type="dxa"/>
            <w:tcBorders>
              <w:top w:val="nil"/>
              <w:left w:val="nil"/>
              <w:bottom w:val="single" w:sz="4" w:space="0" w:color="auto"/>
              <w:right w:val="single" w:sz="4" w:space="0" w:color="auto"/>
            </w:tcBorders>
            <w:shd w:val="clear" w:color="auto" w:fill="auto"/>
            <w:vAlign w:val="center"/>
            <w:hideMark/>
          </w:tcPr>
          <w:p w14:paraId="5483349F" w14:textId="77777777" w:rsidR="00DD49C9" w:rsidRPr="00EE0371" w:rsidRDefault="00DD49C9" w:rsidP="000D3464">
            <w:pPr>
              <w:spacing w:after="0" w:line="240" w:lineRule="auto"/>
              <w:rPr>
                <w:rFonts w:ascii="Arial" w:eastAsia="Times New Roman" w:hAnsi="Arial" w:cs="Arial"/>
                <w:sz w:val="20"/>
                <w:szCs w:val="20"/>
                <w:lang w:eastAsia="pt-BR"/>
              </w:rPr>
            </w:pPr>
            <w:r w:rsidRPr="00EE0371">
              <w:rPr>
                <w:rFonts w:ascii="Arial" w:eastAsia="Times New Roman" w:hAnsi="Arial" w:cs="Arial"/>
                <w:sz w:val="20"/>
                <w:szCs w:val="20"/>
                <w:lang w:eastAsia="pt-BR"/>
              </w:rPr>
              <w:t>4 - Péssimo</w:t>
            </w:r>
          </w:p>
        </w:tc>
      </w:tr>
      <w:tr w:rsidR="00DD49C9" w:rsidRPr="00EE0371" w14:paraId="4F103713" w14:textId="77777777" w:rsidTr="00DD49C9">
        <w:trPr>
          <w:trHeight w:val="255"/>
        </w:trPr>
        <w:tc>
          <w:tcPr>
            <w:tcW w:w="3549" w:type="dxa"/>
            <w:tcBorders>
              <w:top w:val="nil"/>
              <w:left w:val="single" w:sz="4" w:space="0" w:color="auto"/>
              <w:bottom w:val="single" w:sz="4" w:space="0" w:color="auto"/>
              <w:right w:val="single" w:sz="4" w:space="0" w:color="auto"/>
            </w:tcBorders>
            <w:shd w:val="clear" w:color="auto" w:fill="auto"/>
            <w:vAlign w:val="center"/>
            <w:hideMark/>
          </w:tcPr>
          <w:p w14:paraId="6C841E83" w14:textId="77777777" w:rsidR="00DD49C9" w:rsidRPr="00EE0371" w:rsidRDefault="00DD49C9" w:rsidP="00DD49C9">
            <w:pPr>
              <w:spacing w:after="0" w:line="240" w:lineRule="auto"/>
              <w:jc w:val="both"/>
              <w:rPr>
                <w:rFonts w:ascii="Arial" w:eastAsia="Times New Roman" w:hAnsi="Arial" w:cs="Arial"/>
                <w:sz w:val="20"/>
                <w:szCs w:val="20"/>
                <w:lang w:eastAsia="pt-BR"/>
              </w:rPr>
            </w:pPr>
            <w:r w:rsidRPr="00EE0371">
              <w:rPr>
                <w:rFonts w:ascii="Arial" w:eastAsia="Times New Roman" w:hAnsi="Arial" w:cs="Arial"/>
                <w:sz w:val="20"/>
                <w:szCs w:val="20"/>
                <w:lang w:eastAsia="pt-BR"/>
              </w:rPr>
              <w:t>Benfeitorias do Bem Imóvel</w:t>
            </w:r>
          </w:p>
        </w:tc>
        <w:tc>
          <w:tcPr>
            <w:tcW w:w="1418" w:type="dxa"/>
            <w:tcBorders>
              <w:top w:val="nil"/>
              <w:left w:val="nil"/>
              <w:bottom w:val="single" w:sz="4" w:space="0" w:color="auto"/>
              <w:right w:val="single" w:sz="4" w:space="0" w:color="auto"/>
            </w:tcBorders>
            <w:shd w:val="clear" w:color="auto" w:fill="auto"/>
            <w:vAlign w:val="center"/>
            <w:hideMark/>
          </w:tcPr>
          <w:p w14:paraId="239382D9" w14:textId="77777777" w:rsidR="00DD49C9" w:rsidRPr="00EE0371" w:rsidRDefault="00DD49C9" w:rsidP="00DD49C9">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Caracter</w:t>
            </w:r>
          </w:p>
        </w:tc>
        <w:tc>
          <w:tcPr>
            <w:tcW w:w="1359" w:type="dxa"/>
            <w:tcBorders>
              <w:top w:val="nil"/>
              <w:left w:val="nil"/>
              <w:bottom w:val="single" w:sz="4" w:space="0" w:color="auto"/>
              <w:right w:val="single" w:sz="4" w:space="0" w:color="auto"/>
            </w:tcBorders>
            <w:shd w:val="clear" w:color="auto" w:fill="auto"/>
            <w:vAlign w:val="center"/>
            <w:hideMark/>
          </w:tcPr>
          <w:p w14:paraId="6D0F9107" w14:textId="77777777" w:rsidR="00DD49C9" w:rsidRPr="00EE0371" w:rsidRDefault="00DD49C9" w:rsidP="00DD49C9">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1000</w:t>
            </w:r>
          </w:p>
        </w:tc>
        <w:tc>
          <w:tcPr>
            <w:tcW w:w="2893" w:type="dxa"/>
            <w:tcBorders>
              <w:top w:val="nil"/>
              <w:left w:val="nil"/>
              <w:bottom w:val="single" w:sz="4" w:space="0" w:color="auto"/>
              <w:right w:val="single" w:sz="4" w:space="0" w:color="auto"/>
            </w:tcBorders>
            <w:shd w:val="clear" w:color="auto" w:fill="auto"/>
            <w:vAlign w:val="center"/>
            <w:hideMark/>
          </w:tcPr>
          <w:p w14:paraId="093B9D5A" w14:textId="77777777" w:rsidR="00DD49C9" w:rsidRPr="00EE0371" w:rsidRDefault="00DD49C9" w:rsidP="000D3464">
            <w:pPr>
              <w:spacing w:after="0" w:line="240" w:lineRule="auto"/>
              <w:rPr>
                <w:rFonts w:ascii="Arial" w:eastAsia="Times New Roman" w:hAnsi="Arial" w:cs="Arial"/>
                <w:sz w:val="20"/>
                <w:szCs w:val="20"/>
                <w:lang w:eastAsia="pt-BR"/>
              </w:rPr>
            </w:pPr>
            <w:r w:rsidRPr="00EE0371">
              <w:rPr>
                <w:rFonts w:ascii="Arial" w:eastAsia="Times New Roman" w:hAnsi="Arial" w:cs="Arial"/>
                <w:sz w:val="20"/>
                <w:szCs w:val="20"/>
                <w:lang w:eastAsia="pt-BR"/>
              </w:rPr>
              <w:t>Opcional</w:t>
            </w:r>
          </w:p>
        </w:tc>
      </w:tr>
      <w:tr w:rsidR="00DD49C9" w:rsidRPr="00EE0371" w14:paraId="1615E15D" w14:textId="77777777" w:rsidTr="00DD49C9">
        <w:trPr>
          <w:trHeight w:val="255"/>
        </w:trPr>
        <w:tc>
          <w:tcPr>
            <w:tcW w:w="3549" w:type="dxa"/>
            <w:tcBorders>
              <w:top w:val="nil"/>
              <w:left w:val="single" w:sz="4" w:space="0" w:color="auto"/>
              <w:bottom w:val="single" w:sz="4" w:space="0" w:color="auto"/>
              <w:right w:val="single" w:sz="4" w:space="0" w:color="auto"/>
            </w:tcBorders>
            <w:shd w:val="clear" w:color="auto" w:fill="auto"/>
            <w:vAlign w:val="center"/>
            <w:hideMark/>
          </w:tcPr>
          <w:p w14:paraId="3C1DA247" w14:textId="77777777" w:rsidR="00DD49C9" w:rsidRPr="00EE0371" w:rsidRDefault="00DD49C9" w:rsidP="00DD49C9">
            <w:pPr>
              <w:spacing w:after="0" w:line="240" w:lineRule="auto"/>
              <w:jc w:val="both"/>
              <w:rPr>
                <w:rFonts w:ascii="Arial" w:eastAsia="Times New Roman" w:hAnsi="Arial" w:cs="Arial"/>
                <w:sz w:val="20"/>
                <w:szCs w:val="20"/>
                <w:lang w:eastAsia="pt-BR"/>
              </w:rPr>
            </w:pPr>
            <w:r w:rsidRPr="00EE0371">
              <w:rPr>
                <w:rFonts w:ascii="Arial" w:eastAsia="Times New Roman" w:hAnsi="Arial" w:cs="Arial"/>
                <w:sz w:val="20"/>
                <w:szCs w:val="20"/>
                <w:lang w:eastAsia="pt-BR"/>
              </w:rPr>
              <w:t xml:space="preserve">Valor Bruto Contábil do Bem Imóvel no Final do Exercício </w:t>
            </w:r>
            <w:r w:rsidRPr="000D3464">
              <w:rPr>
                <w:rFonts w:ascii="Arial" w:eastAsia="Times New Roman" w:hAnsi="Arial" w:cs="Arial"/>
                <w:b/>
                <w:sz w:val="20"/>
                <w:szCs w:val="20"/>
                <w:vertAlign w:val="superscript"/>
                <w:lang w:eastAsia="pt-BR"/>
              </w:rPr>
              <w:t>[2]</w:t>
            </w:r>
          </w:p>
        </w:tc>
        <w:tc>
          <w:tcPr>
            <w:tcW w:w="1418" w:type="dxa"/>
            <w:tcBorders>
              <w:top w:val="nil"/>
              <w:left w:val="nil"/>
              <w:bottom w:val="single" w:sz="4" w:space="0" w:color="auto"/>
              <w:right w:val="single" w:sz="4" w:space="0" w:color="auto"/>
            </w:tcBorders>
            <w:shd w:val="clear" w:color="auto" w:fill="auto"/>
            <w:vAlign w:val="center"/>
            <w:hideMark/>
          </w:tcPr>
          <w:p w14:paraId="57E7577B" w14:textId="77777777" w:rsidR="00DD49C9" w:rsidRPr="00EE0371" w:rsidRDefault="00DD49C9" w:rsidP="00DD49C9">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Decimal</w:t>
            </w:r>
          </w:p>
        </w:tc>
        <w:tc>
          <w:tcPr>
            <w:tcW w:w="1359" w:type="dxa"/>
            <w:tcBorders>
              <w:top w:val="nil"/>
              <w:left w:val="nil"/>
              <w:bottom w:val="single" w:sz="4" w:space="0" w:color="auto"/>
              <w:right w:val="single" w:sz="4" w:space="0" w:color="auto"/>
            </w:tcBorders>
            <w:shd w:val="clear" w:color="auto" w:fill="auto"/>
            <w:vAlign w:val="center"/>
            <w:hideMark/>
          </w:tcPr>
          <w:p w14:paraId="6113F3C8" w14:textId="77777777" w:rsidR="00DD49C9" w:rsidRPr="00EE0371" w:rsidRDefault="00DD49C9" w:rsidP="00DD49C9">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14,2</w:t>
            </w:r>
          </w:p>
        </w:tc>
        <w:tc>
          <w:tcPr>
            <w:tcW w:w="2893" w:type="dxa"/>
            <w:tcBorders>
              <w:top w:val="nil"/>
              <w:left w:val="nil"/>
              <w:bottom w:val="single" w:sz="4" w:space="0" w:color="auto"/>
              <w:right w:val="single" w:sz="4" w:space="0" w:color="auto"/>
            </w:tcBorders>
            <w:shd w:val="clear" w:color="auto" w:fill="auto"/>
            <w:vAlign w:val="center"/>
            <w:hideMark/>
          </w:tcPr>
          <w:p w14:paraId="557C2149" w14:textId="77777777" w:rsidR="00DD49C9" w:rsidRPr="00EE0371" w:rsidRDefault="00DD49C9" w:rsidP="000D3464">
            <w:pPr>
              <w:spacing w:after="0" w:line="240" w:lineRule="auto"/>
              <w:rPr>
                <w:rFonts w:ascii="Arial" w:eastAsia="Times New Roman" w:hAnsi="Arial" w:cs="Arial"/>
                <w:sz w:val="20"/>
                <w:szCs w:val="20"/>
                <w:lang w:eastAsia="pt-BR"/>
              </w:rPr>
            </w:pPr>
            <w:r w:rsidRPr="00EE0371">
              <w:rPr>
                <w:rFonts w:ascii="Arial" w:eastAsia="Times New Roman" w:hAnsi="Arial" w:cs="Arial"/>
                <w:sz w:val="20"/>
                <w:szCs w:val="20"/>
                <w:lang w:eastAsia="pt-BR"/>
              </w:rPr>
              <w:t>Obrigatório</w:t>
            </w:r>
          </w:p>
        </w:tc>
      </w:tr>
    </w:tbl>
    <w:p w14:paraId="60735937" w14:textId="77777777" w:rsidR="00EE0371" w:rsidRPr="00EE0371" w:rsidRDefault="00EE0371" w:rsidP="00EE0371">
      <w:pPr>
        <w:spacing w:after="0" w:line="240" w:lineRule="auto"/>
        <w:ind w:right="600"/>
        <w:jc w:val="both"/>
        <w:rPr>
          <w:rFonts w:ascii="Arial" w:hAnsi="Arial" w:cs="Arial"/>
          <w:sz w:val="20"/>
          <w:szCs w:val="20"/>
          <w:lang w:eastAsia="pt-BR"/>
        </w:rPr>
      </w:pPr>
    </w:p>
    <w:p w14:paraId="4432882B" w14:textId="77777777" w:rsidR="00EE0371" w:rsidRPr="000D3464" w:rsidRDefault="00EE0371" w:rsidP="00EE0371">
      <w:pPr>
        <w:spacing w:after="0" w:line="240" w:lineRule="auto"/>
        <w:ind w:right="600"/>
        <w:jc w:val="both"/>
        <w:rPr>
          <w:rFonts w:ascii="Arial" w:hAnsi="Arial" w:cs="Arial"/>
          <w:sz w:val="18"/>
          <w:szCs w:val="18"/>
          <w:lang w:eastAsia="pt-BR"/>
        </w:rPr>
      </w:pPr>
      <w:r w:rsidRPr="000D3464">
        <w:rPr>
          <w:rFonts w:ascii="Arial" w:hAnsi="Arial" w:cs="Arial"/>
          <w:sz w:val="18"/>
          <w:szCs w:val="18"/>
          <w:lang w:eastAsia="pt-BR"/>
        </w:rPr>
        <w:t>[1] O Código Contábil a ser informado deverá pertencer ao Plano de Contas do CidadES do exercício e com atributo de escrituração S (Sim).</w:t>
      </w:r>
      <w:r w:rsidRPr="000D3464">
        <w:rPr>
          <w:rFonts w:ascii="Arial" w:hAnsi="Arial" w:cs="Arial"/>
          <w:sz w:val="18"/>
          <w:szCs w:val="18"/>
          <w:lang w:eastAsia="pt-BR"/>
        </w:rPr>
        <w:tab/>
      </w:r>
      <w:r w:rsidRPr="000D3464">
        <w:rPr>
          <w:rFonts w:ascii="Arial" w:hAnsi="Arial" w:cs="Arial"/>
          <w:sz w:val="18"/>
          <w:szCs w:val="18"/>
          <w:lang w:eastAsia="pt-BR"/>
        </w:rPr>
        <w:tab/>
      </w:r>
      <w:r w:rsidRPr="000D3464">
        <w:rPr>
          <w:rFonts w:ascii="Arial" w:hAnsi="Arial" w:cs="Arial"/>
          <w:sz w:val="18"/>
          <w:szCs w:val="18"/>
          <w:lang w:eastAsia="pt-BR"/>
        </w:rPr>
        <w:tab/>
      </w:r>
    </w:p>
    <w:p w14:paraId="619EB6C1" w14:textId="77777777" w:rsidR="00EE0371" w:rsidRPr="000D3464" w:rsidRDefault="00EE0371" w:rsidP="00EE0371">
      <w:pPr>
        <w:spacing w:after="0" w:line="240" w:lineRule="auto"/>
        <w:jc w:val="both"/>
        <w:rPr>
          <w:rFonts w:ascii="Arial" w:eastAsia="Times New Roman" w:hAnsi="Arial" w:cs="Arial"/>
          <w:sz w:val="18"/>
          <w:szCs w:val="18"/>
          <w:lang w:eastAsia="pt-BR"/>
        </w:rPr>
      </w:pPr>
      <w:r w:rsidRPr="000D3464">
        <w:rPr>
          <w:rFonts w:ascii="Arial" w:hAnsi="Arial" w:cs="Arial"/>
          <w:sz w:val="18"/>
          <w:szCs w:val="18"/>
        </w:rPr>
        <w:t>[2] O campo &lt;</w:t>
      </w:r>
      <w:r w:rsidRPr="000D3464">
        <w:rPr>
          <w:rFonts w:ascii="Arial" w:eastAsia="Times New Roman" w:hAnsi="Arial" w:cs="Arial"/>
          <w:sz w:val="18"/>
          <w:szCs w:val="18"/>
          <w:lang w:eastAsia="pt-BR"/>
        </w:rPr>
        <w:t>ValorBrutoContabilBemImovelFinalExercicio&gt; deve evidenciar o valor bruto do bem na respectiva conta contábil do PCASP/TCEES, sem considerar as deduções do exercício referentes a outras contas contábeis específicas no PCASP/TCEES, tais como depreciação e redução ao valor recuperável.</w:t>
      </w:r>
    </w:p>
    <w:p w14:paraId="20D601DA" w14:textId="77777777" w:rsidR="00F45395" w:rsidRPr="000D3464" w:rsidRDefault="00F45395" w:rsidP="00EE0371">
      <w:pPr>
        <w:spacing w:after="0" w:line="240" w:lineRule="auto"/>
        <w:jc w:val="both"/>
        <w:rPr>
          <w:rFonts w:ascii="Arial" w:hAnsi="Arial" w:cs="Arial"/>
          <w:sz w:val="18"/>
          <w:szCs w:val="18"/>
        </w:rPr>
      </w:pPr>
      <w:r w:rsidRPr="000D3464">
        <w:rPr>
          <w:rFonts w:ascii="Arial" w:hAnsi="Arial" w:cs="Arial"/>
          <w:sz w:val="18"/>
          <w:szCs w:val="18"/>
        </w:rPr>
        <w:t>[3]</w:t>
      </w:r>
      <w:r w:rsidRPr="000D3464">
        <w:rPr>
          <w:rFonts w:ascii="Arial" w:hAnsi="Arial" w:cs="Arial"/>
          <w:sz w:val="18"/>
          <w:szCs w:val="18"/>
          <w:lang w:eastAsia="pt-BR"/>
        </w:rPr>
        <w:t xml:space="preserve"> O campo é opcional para as contas contábeis 1.2.3.2.1.06.01 (Obras em Andamento) e 1.2.3.2.1.06.05 (Estudos e Projetos)</w:t>
      </w:r>
    </w:p>
    <w:p w14:paraId="4D11C5B6" w14:textId="77777777" w:rsidR="00EE0371" w:rsidRPr="000D3464" w:rsidRDefault="00EE0371" w:rsidP="00EE0371">
      <w:pPr>
        <w:spacing w:after="0" w:line="240" w:lineRule="auto"/>
        <w:jc w:val="both"/>
        <w:rPr>
          <w:rFonts w:ascii="Arial" w:hAnsi="Arial" w:cs="Arial"/>
          <w:sz w:val="18"/>
          <w:szCs w:val="18"/>
        </w:rPr>
      </w:pPr>
    </w:p>
    <w:p w14:paraId="3DDAB5D4" w14:textId="77777777" w:rsidR="00EE0371" w:rsidRPr="000D3464" w:rsidRDefault="00EE0371" w:rsidP="00EE0371">
      <w:pPr>
        <w:spacing w:after="0" w:line="240" w:lineRule="auto"/>
        <w:jc w:val="both"/>
        <w:rPr>
          <w:rFonts w:ascii="Arial" w:hAnsi="Arial" w:cs="Arial"/>
          <w:sz w:val="18"/>
          <w:szCs w:val="18"/>
        </w:rPr>
      </w:pPr>
      <w:r w:rsidRPr="000D3464">
        <w:rPr>
          <w:rFonts w:ascii="Arial" w:hAnsi="Arial" w:cs="Arial"/>
          <w:sz w:val="18"/>
          <w:szCs w:val="18"/>
        </w:rPr>
        <w:t xml:space="preserve">Obs.: </w:t>
      </w:r>
      <w:r w:rsidR="0021514B" w:rsidRPr="000D3464">
        <w:rPr>
          <w:rFonts w:ascii="Arial" w:hAnsi="Arial" w:cs="Arial"/>
          <w:sz w:val="18"/>
          <w:szCs w:val="18"/>
          <w:lang w:eastAsia="pt-BR"/>
        </w:rPr>
        <w:t>Não serão aceitos valores negativos.</w:t>
      </w:r>
    </w:p>
    <w:p w14:paraId="0A7E5046" w14:textId="5E386ED0" w:rsidR="00EE0371" w:rsidRDefault="00EE0371" w:rsidP="00EE0371">
      <w:pPr>
        <w:spacing w:after="0" w:line="240" w:lineRule="auto"/>
        <w:ind w:left="708" w:right="600" w:firstLine="708"/>
        <w:jc w:val="both"/>
        <w:rPr>
          <w:rFonts w:ascii="Arial" w:hAnsi="Arial" w:cs="Arial"/>
          <w:sz w:val="20"/>
          <w:szCs w:val="20"/>
          <w:lang w:eastAsia="pt-BR"/>
        </w:rPr>
      </w:pPr>
    </w:p>
    <w:p w14:paraId="35FFFA0E" w14:textId="77777777" w:rsidR="00A60EA7" w:rsidRPr="00EE0371" w:rsidRDefault="00A60EA7" w:rsidP="00EE0371">
      <w:pPr>
        <w:spacing w:after="0" w:line="240" w:lineRule="auto"/>
        <w:ind w:left="708" w:right="600" w:firstLine="708"/>
        <w:jc w:val="both"/>
        <w:rPr>
          <w:rFonts w:ascii="Arial" w:hAnsi="Arial" w:cs="Arial"/>
          <w:sz w:val="20"/>
          <w:szCs w:val="20"/>
          <w:lang w:eastAsia="pt-BR"/>
        </w:rPr>
      </w:pPr>
    </w:p>
    <w:p w14:paraId="2ADA4122" w14:textId="77777777" w:rsidR="00EE0371" w:rsidRPr="00EE0371" w:rsidRDefault="00EE0371" w:rsidP="00EE0371">
      <w:pPr>
        <w:spacing w:after="0" w:line="240" w:lineRule="auto"/>
        <w:ind w:left="708" w:right="600" w:firstLine="708"/>
        <w:jc w:val="both"/>
        <w:rPr>
          <w:rFonts w:ascii="Arial" w:hAnsi="Arial" w:cs="Arial"/>
          <w:sz w:val="20"/>
          <w:szCs w:val="20"/>
          <w:lang w:eastAsia="pt-BR"/>
        </w:rPr>
      </w:pPr>
    </w:p>
    <w:p w14:paraId="12017591" w14:textId="643A7DFE" w:rsidR="00EE0371" w:rsidRPr="00EE0371" w:rsidRDefault="00EE0371" w:rsidP="00A60EA7">
      <w:pPr>
        <w:pStyle w:val="Ttulo3"/>
      </w:pPr>
      <w:bookmarkStart w:id="39" w:name="_Toc94806315"/>
      <w:r w:rsidRPr="00EE0371">
        <w:t>INVMOV.XML (ou InventarioBensMoveis.xml)</w:t>
      </w:r>
      <w:bookmarkEnd w:id="39"/>
    </w:p>
    <w:p w14:paraId="5D0808B3" w14:textId="5D5E239F" w:rsidR="00EE0371" w:rsidRPr="00EE0371" w:rsidRDefault="00EE0371" w:rsidP="00EE0371">
      <w:pPr>
        <w:spacing w:after="0" w:line="360" w:lineRule="auto"/>
        <w:jc w:val="both"/>
        <w:rPr>
          <w:rFonts w:ascii="Arial" w:hAnsi="Arial"/>
        </w:rPr>
      </w:pPr>
      <w:r w:rsidRPr="00EE0371">
        <w:rPr>
          <w:rFonts w:ascii="Arial" w:hAnsi="Arial"/>
          <w:b/>
          <w:bCs/>
        </w:rPr>
        <w:t>Descrição: </w:t>
      </w:r>
      <w:r w:rsidRPr="00EE0371">
        <w:rPr>
          <w:rFonts w:ascii="Arial" w:hAnsi="Arial"/>
        </w:rPr>
        <w:t>Este arquivo conterá o inventário anual de bens móveis.</w:t>
      </w:r>
    </w:p>
    <w:p w14:paraId="1842B0BE" w14:textId="77777777" w:rsidR="00EE0371" w:rsidRPr="00EE0371" w:rsidRDefault="00EE0371" w:rsidP="00EE0371">
      <w:pPr>
        <w:autoSpaceDE w:val="0"/>
        <w:autoSpaceDN w:val="0"/>
        <w:adjustRightInd w:val="0"/>
        <w:spacing w:after="0" w:line="240" w:lineRule="auto"/>
        <w:jc w:val="both"/>
        <w:rPr>
          <w:rFonts w:ascii="Arial" w:hAnsi="Arial"/>
          <w:b/>
          <w:bCs/>
        </w:rPr>
      </w:pPr>
    </w:p>
    <w:p w14:paraId="51832A36" w14:textId="77777777" w:rsidR="00EE0371" w:rsidRPr="00EE0371" w:rsidRDefault="00EE0371" w:rsidP="00EE0371">
      <w:pPr>
        <w:autoSpaceDE w:val="0"/>
        <w:autoSpaceDN w:val="0"/>
        <w:adjustRightInd w:val="0"/>
        <w:spacing w:after="0" w:line="240" w:lineRule="auto"/>
        <w:jc w:val="both"/>
        <w:rPr>
          <w:rFonts w:ascii="Arial" w:hAnsi="Arial"/>
          <w:b/>
          <w:bCs/>
        </w:rPr>
      </w:pPr>
      <w:r w:rsidRPr="00EE0371">
        <w:rPr>
          <w:rFonts w:ascii="Arial" w:hAnsi="Arial"/>
          <w:b/>
          <w:bCs/>
        </w:rPr>
        <w:t>Estrutura:</w:t>
      </w:r>
    </w:p>
    <w:p w14:paraId="2FF73482" w14:textId="77777777" w:rsidR="00EE0371" w:rsidRPr="00EE0371" w:rsidRDefault="00EE0371" w:rsidP="00EE0371">
      <w:pPr>
        <w:spacing w:after="0" w:line="240" w:lineRule="auto"/>
        <w:ind w:right="600"/>
        <w:jc w:val="both"/>
        <w:rPr>
          <w:rFonts w:ascii="Arial" w:hAnsi="Arial" w:cs="Arial"/>
          <w:sz w:val="20"/>
          <w:szCs w:val="20"/>
          <w:lang w:eastAsia="pt-BR"/>
        </w:rPr>
      </w:pPr>
    </w:p>
    <w:p w14:paraId="39A61F5E" w14:textId="77777777" w:rsidR="00EE0371" w:rsidRPr="00EE0371" w:rsidRDefault="00EE0371" w:rsidP="00EE0371">
      <w:pPr>
        <w:spacing w:after="0" w:line="240" w:lineRule="auto"/>
        <w:ind w:right="600"/>
        <w:jc w:val="both"/>
        <w:rPr>
          <w:rFonts w:ascii="Arial" w:hAnsi="Arial" w:cs="Arial"/>
          <w:sz w:val="20"/>
          <w:szCs w:val="20"/>
          <w:lang w:eastAsia="pt-BR"/>
        </w:rPr>
      </w:pPr>
      <w:r w:rsidRPr="00EE0371">
        <w:rPr>
          <w:rFonts w:ascii="Arial" w:hAnsi="Arial" w:cs="Arial"/>
          <w:sz w:val="20"/>
          <w:szCs w:val="20"/>
          <w:lang w:eastAsia="pt-BR"/>
        </w:rPr>
        <w:t>&lt;?xml version="1.0" encoding=“UTF-8”?&gt;</w:t>
      </w:r>
    </w:p>
    <w:p w14:paraId="350E1F35" w14:textId="77777777" w:rsidR="00EE0371" w:rsidRPr="00EE0371" w:rsidRDefault="00EE0371" w:rsidP="00EE0371">
      <w:pPr>
        <w:spacing w:after="0" w:line="240" w:lineRule="auto"/>
        <w:ind w:right="600"/>
        <w:jc w:val="both"/>
        <w:rPr>
          <w:rFonts w:ascii="Arial" w:hAnsi="Arial" w:cs="Arial"/>
          <w:sz w:val="20"/>
          <w:szCs w:val="20"/>
          <w:lang w:eastAsia="pt-BR"/>
        </w:rPr>
      </w:pPr>
      <w:r w:rsidRPr="00EE0371">
        <w:rPr>
          <w:rFonts w:ascii="Arial" w:hAnsi="Arial" w:cs="Arial"/>
          <w:sz w:val="20"/>
          <w:szCs w:val="20"/>
          <w:lang w:eastAsia="pt-BR"/>
        </w:rPr>
        <w:t>&lt;PrestacaoContasAnual&gt;</w:t>
      </w:r>
    </w:p>
    <w:p w14:paraId="79D007B9" w14:textId="77777777" w:rsidR="00EE0371" w:rsidRPr="00EE0371" w:rsidRDefault="00EE0371" w:rsidP="00EE0371">
      <w:pPr>
        <w:spacing w:after="0" w:line="240" w:lineRule="auto"/>
        <w:ind w:right="600"/>
        <w:jc w:val="both"/>
        <w:rPr>
          <w:rFonts w:ascii="Arial" w:hAnsi="Arial" w:cs="Arial"/>
          <w:sz w:val="20"/>
          <w:szCs w:val="20"/>
          <w:lang w:eastAsia="pt-BR"/>
        </w:rPr>
      </w:pPr>
      <w:r w:rsidRPr="00EE0371">
        <w:rPr>
          <w:rFonts w:ascii="Arial" w:hAnsi="Arial" w:cs="Arial"/>
          <w:sz w:val="20"/>
          <w:szCs w:val="20"/>
          <w:lang w:eastAsia="pt-BR"/>
        </w:rPr>
        <w:t xml:space="preserve">     &lt;InventarioBemMovel_Schema&gt;</w:t>
      </w:r>
    </w:p>
    <w:p w14:paraId="3CC52B62" w14:textId="77777777" w:rsidR="00EE0371" w:rsidRPr="00EE0371" w:rsidRDefault="00EE0371" w:rsidP="00EE0371">
      <w:pPr>
        <w:spacing w:after="0" w:line="240" w:lineRule="auto"/>
        <w:ind w:right="600"/>
        <w:jc w:val="both"/>
        <w:rPr>
          <w:rFonts w:ascii="Arial" w:hAnsi="Arial" w:cs="Arial"/>
          <w:sz w:val="20"/>
          <w:szCs w:val="20"/>
          <w:lang w:eastAsia="pt-BR"/>
        </w:rPr>
      </w:pPr>
    </w:p>
    <w:p w14:paraId="731E2D15" w14:textId="77777777" w:rsidR="00EE0371" w:rsidRPr="00EE0371" w:rsidRDefault="00EE0371" w:rsidP="00EE0371">
      <w:pPr>
        <w:spacing w:after="0" w:line="240" w:lineRule="auto"/>
        <w:ind w:right="600" w:firstLine="708"/>
        <w:jc w:val="both"/>
        <w:rPr>
          <w:rFonts w:ascii="Arial" w:hAnsi="Arial" w:cs="Arial"/>
          <w:sz w:val="20"/>
          <w:szCs w:val="20"/>
          <w:lang w:eastAsia="pt-BR"/>
        </w:rPr>
      </w:pPr>
      <w:r w:rsidRPr="00EE0371">
        <w:rPr>
          <w:rFonts w:ascii="Arial" w:hAnsi="Arial" w:cs="Arial"/>
          <w:sz w:val="20"/>
          <w:szCs w:val="20"/>
          <w:lang w:eastAsia="pt-BR"/>
        </w:rPr>
        <w:t>&lt;InventarioBemMovel&gt;</w:t>
      </w:r>
    </w:p>
    <w:p w14:paraId="67B480B4" w14:textId="77777777" w:rsidR="00EE0371" w:rsidRDefault="00EE0371" w:rsidP="00EE0371">
      <w:pPr>
        <w:spacing w:after="0" w:line="240" w:lineRule="auto"/>
        <w:ind w:right="600" w:firstLine="708"/>
        <w:jc w:val="both"/>
        <w:rPr>
          <w:rFonts w:ascii="Arial" w:hAnsi="Arial" w:cs="Arial"/>
          <w:sz w:val="20"/>
          <w:szCs w:val="20"/>
          <w:lang w:eastAsia="pt-BR"/>
        </w:rPr>
      </w:pPr>
      <w:r w:rsidRPr="00EE0371">
        <w:rPr>
          <w:rFonts w:ascii="Arial" w:hAnsi="Arial" w:cs="Arial"/>
          <w:sz w:val="20"/>
          <w:szCs w:val="20"/>
          <w:lang w:eastAsia="pt-BR"/>
        </w:rPr>
        <w:t xml:space="preserve">     &lt;IdNumRegistro&gt;</w:t>
      </w:r>
      <w:r w:rsidRPr="00EE0371">
        <w:rPr>
          <w:rFonts w:ascii="Arial" w:hAnsi="Arial" w:cs="Arial"/>
          <w:b/>
          <w:sz w:val="20"/>
          <w:szCs w:val="20"/>
          <w:lang w:eastAsia="pt-BR"/>
        </w:rPr>
        <w:t>99999</w:t>
      </w:r>
      <w:r w:rsidRPr="00EE0371">
        <w:rPr>
          <w:rFonts w:ascii="Arial" w:hAnsi="Arial" w:cs="Arial"/>
          <w:sz w:val="20"/>
          <w:szCs w:val="20"/>
          <w:lang w:eastAsia="pt-BR"/>
        </w:rPr>
        <w:t>&lt;/IdNumRegistro&gt;</w:t>
      </w:r>
    </w:p>
    <w:p w14:paraId="12BA5FD2" w14:textId="77777777" w:rsidR="00DD49C9" w:rsidRPr="000D3464" w:rsidRDefault="00DD49C9" w:rsidP="00DD49C9">
      <w:pPr>
        <w:spacing w:after="0" w:line="240" w:lineRule="auto"/>
        <w:ind w:firstLine="708"/>
        <w:rPr>
          <w:rFonts w:ascii="Arial" w:hAnsi="Arial" w:cs="Arial"/>
          <w:sz w:val="20"/>
          <w:szCs w:val="20"/>
          <w:lang w:eastAsia="pt-BR"/>
        </w:rPr>
      </w:pPr>
      <w:r w:rsidRPr="000D3464">
        <w:rPr>
          <w:rFonts w:ascii="Arial" w:hAnsi="Arial" w:cs="Arial"/>
          <w:sz w:val="20"/>
          <w:szCs w:val="20"/>
          <w:lang w:eastAsia="pt-BR"/>
        </w:rPr>
        <w:t xml:space="preserve">     &lt;CodigoUnidadeGestora&gt;</w:t>
      </w:r>
      <w:r w:rsidRPr="000D3464">
        <w:rPr>
          <w:rFonts w:ascii="Arial" w:hAnsi="Arial" w:cs="Arial"/>
          <w:b/>
          <w:sz w:val="20"/>
          <w:szCs w:val="20"/>
          <w:lang w:eastAsia="pt-BR"/>
        </w:rPr>
        <w:t>XXXXXXXXXXX</w:t>
      </w:r>
      <w:r w:rsidRPr="000D3464">
        <w:rPr>
          <w:rFonts w:ascii="Arial" w:hAnsi="Arial" w:cs="Arial"/>
          <w:sz w:val="20"/>
          <w:szCs w:val="20"/>
          <w:lang w:eastAsia="pt-BR"/>
        </w:rPr>
        <w:t>&lt;/CodigoUnidadeGestora&gt;</w:t>
      </w:r>
    </w:p>
    <w:p w14:paraId="12FABA62" w14:textId="77777777" w:rsidR="00EE0371" w:rsidRPr="00EE0371" w:rsidRDefault="00EE0371" w:rsidP="00EE0371">
      <w:pPr>
        <w:spacing w:after="0" w:line="240" w:lineRule="auto"/>
        <w:ind w:right="600" w:firstLine="708"/>
        <w:jc w:val="both"/>
        <w:rPr>
          <w:rFonts w:ascii="Arial" w:hAnsi="Arial" w:cs="Arial"/>
          <w:sz w:val="20"/>
          <w:szCs w:val="20"/>
          <w:lang w:eastAsia="pt-BR"/>
        </w:rPr>
      </w:pPr>
      <w:r w:rsidRPr="00EE0371">
        <w:rPr>
          <w:rFonts w:ascii="Arial" w:hAnsi="Arial" w:cs="Arial"/>
          <w:sz w:val="20"/>
          <w:szCs w:val="20"/>
          <w:lang w:eastAsia="pt-BR"/>
        </w:rPr>
        <w:t xml:space="preserve">     &lt;CodigoContabil&gt;</w:t>
      </w:r>
      <w:r w:rsidRPr="00EE0371">
        <w:rPr>
          <w:rFonts w:ascii="Arial" w:hAnsi="Arial" w:cs="Arial"/>
          <w:b/>
          <w:sz w:val="20"/>
          <w:szCs w:val="20"/>
          <w:lang w:eastAsia="pt-BR"/>
        </w:rPr>
        <w:t>999999999</w:t>
      </w:r>
      <w:r w:rsidRPr="00EE0371">
        <w:rPr>
          <w:rFonts w:ascii="Arial" w:hAnsi="Arial" w:cs="Arial"/>
          <w:sz w:val="20"/>
          <w:szCs w:val="20"/>
          <w:lang w:eastAsia="pt-BR"/>
        </w:rPr>
        <w:t>&lt;/CodigoContabil&gt;</w:t>
      </w:r>
    </w:p>
    <w:p w14:paraId="37CCF2D5" w14:textId="77777777" w:rsidR="00EE0371" w:rsidRPr="00EE0371" w:rsidRDefault="00EE0371" w:rsidP="00EE0371">
      <w:pPr>
        <w:spacing w:after="0" w:line="240" w:lineRule="auto"/>
        <w:ind w:right="600" w:firstLine="708"/>
        <w:jc w:val="both"/>
        <w:rPr>
          <w:rFonts w:ascii="Arial" w:hAnsi="Arial" w:cs="Arial"/>
          <w:sz w:val="20"/>
          <w:szCs w:val="20"/>
          <w:lang w:eastAsia="pt-BR"/>
        </w:rPr>
      </w:pPr>
      <w:r w:rsidRPr="00EE0371">
        <w:rPr>
          <w:rFonts w:ascii="Arial" w:hAnsi="Arial" w:cs="Arial"/>
          <w:sz w:val="20"/>
          <w:szCs w:val="20"/>
          <w:lang w:eastAsia="pt-BR"/>
        </w:rPr>
        <w:t xml:space="preserve">     &lt;DescricaoBemMovel&gt;</w:t>
      </w:r>
      <w:r w:rsidRPr="00EE0371">
        <w:rPr>
          <w:rFonts w:ascii="Arial" w:hAnsi="Arial" w:cs="Arial"/>
          <w:b/>
          <w:sz w:val="20"/>
          <w:szCs w:val="20"/>
          <w:lang w:eastAsia="pt-BR"/>
        </w:rPr>
        <w:t>XXX...XXX</w:t>
      </w:r>
      <w:r w:rsidRPr="00EE0371">
        <w:rPr>
          <w:rFonts w:ascii="Arial" w:hAnsi="Arial" w:cs="Arial"/>
          <w:sz w:val="20"/>
          <w:szCs w:val="20"/>
          <w:lang w:eastAsia="pt-BR"/>
        </w:rPr>
        <w:t>&lt;/DescricaoBemMovel&gt;</w:t>
      </w:r>
    </w:p>
    <w:p w14:paraId="4C8C95D1" w14:textId="77777777" w:rsidR="00EE0371" w:rsidRPr="00EE0371" w:rsidRDefault="00EE0371" w:rsidP="00EE0371">
      <w:pPr>
        <w:spacing w:after="0" w:line="240" w:lineRule="auto"/>
        <w:ind w:right="600" w:firstLine="708"/>
        <w:jc w:val="both"/>
        <w:rPr>
          <w:rFonts w:ascii="Arial" w:hAnsi="Arial" w:cs="Arial"/>
          <w:sz w:val="20"/>
          <w:szCs w:val="20"/>
          <w:lang w:eastAsia="pt-BR"/>
        </w:rPr>
      </w:pPr>
      <w:r w:rsidRPr="00EE0371">
        <w:rPr>
          <w:rFonts w:ascii="Arial" w:hAnsi="Arial" w:cs="Arial"/>
          <w:sz w:val="20"/>
          <w:szCs w:val="20"/>
          <w:lang w:eastAsia="pt-BR"/>
        </w:rPr>
        <w:t xml:space="preserve">     &lt;DataAquisicaoIncorporacaoBemMovel&gt;</w:t>
      </w:r>
      <w:r w:rsidRPr="00EE0371">
        <w:rPr>
          <w:rFonts w:ascii="Arial" w:hAnsi="Arial" w:cs="Arial"/>
          <w:b/>
          <w:sz w:val="20"/>
          <w:szCs w:val="20"/>
          <w:lang w:eastAsia="pt-BR"/>
        </w:rPr>
        <w:t>9999-99-99</w:t>
      </w:r>
    </w:p>
    <w:p w14:paraId="485C54DB" w14:textId="77777777" w:rsidR="00EE0371" w:rsidRPr="00EE0371" w:rsidRDefault="00EE0371" w:rsidP="00EE0371">
      <w:pPr>
        <w:spacing w:after="0" w:line="240" w:lineRule="auto"/>
        <w:ind w:left="993" w:right="600" w:firstLine="1"/>
        <w:jc w:val="both"/>
        <w:rPr>
          <w:rFonts w:ascii="Arial" w:hAnsi="Arial" w:cs="Arial"/>
          <w:sz w:val="20"/>
          <w:szCs w:val="20"/>
          <w:lang w:eastAsia="pt-BR"/>
        </w:rPr>
      </w:pPr>
      <w:r w:rsidRPr="00EE0371">
        <w:rPr>
          <w:rFonts w:ascii="Arial" w:hAnsi="Arial" w:cs="Arial"/>
          <w:sz w:val="20"/>
          <w:szCs w:val="20"/>
          <w:lang w:eastAsia="pt-BR"/>
        </w:rPr>
        <w:t>&lt;/DataAquisicaoIncorporacaoBemMovel&gt;</w:t>
      </w:r>
    </w:p>
    <w:p w14:paraId="19303EE9" w14:textId="77777777" w:rsidR="00EE0371" w:rsidRPr="00EE0371" w:rsidRDefault="00EE0371" w:rsidP="00EE0371">
      <w:pPr>
        <w:spacing w:after="0" w:line="240" w:lineRule="auto"/>
        <w:ind w:right="600" w:firstLine="708"/>
        <w:jc w:val="both"/>
        <w:rPr>
          <w:rFonts w:ascii="Arial" w:hAnsi="Arial" w:cs="Arial"/>
          <w:sz w:val="20"/>
          <w:szCs w:val="20"/>
          <w:lang w:eastAsia="pt-BR"/>
        </w:rPr>
      </w:pPr>
      <w:r w:rsidRPr="00EE0371">
        <w:rPr>
          <w:rFonts w:ascii="Arial" w:hAnsi="Arial" w:cs="Arial"/>
          <w:sz w:val="20"/>
          <w:szCs w:val="20"/>
          <w:lang w:eastAsia="pt-BR"/>
        </w:rPr>
        <w:t xml:space="preserve">     &lt;ValorContabilHistoricoBemMovel&gt;</w:t>
      </w:r>
      <w:r w:rsidRPr="00EE0371">
        <w:rPr>
          <w:rFonts w:ascii="Arial" w:hAnsi="Arial" w:cs="Arial"/>
          <w:b/>
          <w:sz w:val="20"/>
          <w:szCs w:val="20"/>
          <w:lang w:eastAsia="pt-BR"/>
        </w:rPr>
        <w:t>99999999999999.99</w:t>
      </w:r>
    </w:p>
    <w:p w14:paraId="6AEA32F4" w14:textId="77777777" w:rsidR="00EE0371" w:rsidRPr="00EE0371" w:rsidRDefault="00EE0371" w:rsidP="00EE0371">
      <w:pPr>
        <w:spacing w:after="0" w:line="240" w:lineRule="auto"/>
        <w:ind w:left="993" w:right="600" w:firstLine="1"/>
        <w:jc w:val="both"/>
        <w:rPr>
          <w:rFonts w:ascii="Arial" w:hAnsi="Arial" w:cs="Arial"/>
          <w:sz w:val="20"/>
          <w:szCs w:val="20"/>
          <w:lang w:eastAsia="pt-BR"/>
        </w:rPr>
      </w:pPr>
      <w:r w:rsidRPr="00EE0371">
        <w:rPr>
          <w:rFonts w:ascii="Arial" w:hAnsi="Arial" w:cs="Arial"/>
          <w:sz w:val="20"/>
          <w:szCs w:val="20"/>
          <w:lang w:eastAsia="pt-BR"/>
        </w:rPr>
        <w:t xml:space="preserve">&lt;/ValorContabilHistoricoBemMovel&gt; </w:t>
      </w:r>
      <w:r w:rsidRPr="00EE0371">
        <w:rPr>
          <w:rFonts w:ascii="Arial" w:hAnsi="Arial" w:cs="Arial"/>
          <w:sz w:val="20"/>
          <w:szCs w:val="20"/>
          <w:lang w:eastAsia="pt-BR"/>
        </w:rPr>
        <w:tab/>
      </w:r>
      <w:r w:rsidRPr="00EE0371">
        <w:rPr>
          <w:rFonts w:ascii="Arial" w:hAnsi="Arial" w:cs="Arial"/>
          <w:sz w:val="20"/>
          <w:szCs w:val="20"/>
          <w:lang w:eastAsia="pt-BR"/>
        </w:rPr>
        <w:tab/>
      </w:r>
    </w:p>
    <w:p w14:paraId="35B1B154" w14:textId="77777777" w:rsidR="00EE0371" w:rsidRPr="00EE0371" w:rsidRDefault="00EE0371" w:rsidP="00EE0371">
      <w:pPr>
        <w:spacing w:after="0" w:line="240" w:lineRule="auto"/>
        <w:ind w:right="600" w:firstLine="708"/>
        <w:jc w:val="both"/>
        <w:rPr>
          <w:rFonts w:ascii="Arial" w:hAnsi="Arial" w:cs="Arial"/>
          <w:b/>
          <w:sz w:val="20"/>
          <w:szCs w:val="20"/>
          <w:lang w:eastAsia="pt-BR"/>
        </w:rPr>
      </w:pPr>
      <w:r w:rsidRPr="00EE0371">
        <w:rPr>
          <w:rFonts w:ascii="Arial" w:hAnsi="Arial" w:cs="Arial"/>
          <w:sz w:val="20"/>
          <w:szCs w:val="20"/>
          <w:lang w:eastAsia="pt-BR"/>
        </w:rPr>
        <w:t xml:space="preserve">     &lt;NumeroRegistroBemMovel&gt;</w:t>
      </w:r>
      <w:r w:rsidRPr="00EE0371">
        <w:rPr>
          <w:rFonts w:ascii="Arial" w:hAnsi="Arial" w:cs="Arial"/>
          <w:b/>
          <w:sz w:val="20"/>
          <w:szCs w:val="20"/>
          <w:lang w:eastAsia="pt-BR"/>
        </w:rPr>
        <w:t>XXX...XXX</w:t>
      </w:r>
      <w:r w:rsidRPr="00EE0371">
        <w:rPr>
          <w:rFonts w:ascii="Arial" w:hAnsi="Arial" w:cs="Arial"/>
          <w:sz w:val="20"/>
          <w:szCs w:val="20"/>
          <w:lang w:eastAsia="pt-BR"/>
        </w:rPr>
        <w:t>&lt;/NumeroRegistroBemMovel&gt;</w:t>
      </w:r>
    </w:p>
    <w:p w14:paraId="7CECB290" w14:textId="77777777" w:rsidR="00EE0371" w:rsidRPr="00EE0371" w:rsidRDefault="00EE0371" w:rsidP="00EE0371">
      <w:pPr>
        <w:spacing w:after="0" w:line="240" w:lineRule="auto"/>
        <w:ind w:right="600" w:firstLine="708"/>
        <w:jc w:val="both"/>
        <w:rPr>
          <w:rFonts w:ascii="Arial" w:hAnsi="Arial" w:cs="Arial"/>
          <w:sz w:val="20"/>
          <w:szCs w:val="20"/>
          <w:lang w:eastAsia="pt-BR"/>
        </w:rPr>
      </w:pPr>
      <w:r w:rsidRPr="00EE0371">
        <w:rPr>
          <w:rFonts w:ascii="Arial" w:hAnsi="Arial" w:cs="Arial"/>
          <w:sz w:val="20"/>
          <w:szCs w:val="20"/>
          <w:lang w:eastAsia="pt-BR"/>
        </w:rPr>
        <w:t xml:space="preserve">     &lt;LocalizacaoBemMovel&gt;</w:t>
      </w:r>
      <w:r w:rsidRPr="00EE0371">
        <w:rPr>
          <w:rFonts w:ascii="Arial" w:hAnsi="Arial" w:cs="Arial"/>
          <w:b/>
          <w:sz w:val="20"/>
          <w:szCs w:val="20"/>
          <w:lang w:eastAsia="pt-BR"/>
        </w:rPr>
        <w:t>XXX...XXX</w:t>
      </w:r>
      <w:r w:rsidRPr="00EE0371">
        <w:rPr>
          <w:rFonts w:ascii="Arial" w:hAnsi="Arial" w:cs="Arial"/>
          <w:sz w:val="20"/>
          <w:szCs w:val="20"/>
          <w:lang w:eastAsia="pt-BR"/>
        </w:rPr>
        <w:t xml:space="preserve">&lt;/LocalizacaoBemMovel&gt; </w:t>
      </w:r>
      <w:r w:rsidRPr="00EE0371">
        <w:rPr>
          <w:rFonts w:ascii="Arial" w:hAnsi="Arial" w:cs="Arial"/>
          <w:sz w:val="20"/>
          <w:szCs w:val="20"/>
          <w:lang w:eastAsia="pt-BR"/>
        </w:rPr>
        <w:tab/>
      </w:r>
      <w:r w:rsidRPr="00EE0371">
        <w:rPr>
          <w:rFonts w:ascii="Arial" w:hAnsi="Arial" w:cs="Arial"/>
          <w:sz w:val="20"/>
          <w:szCs w:val="20"/>
          <w:lang w:eastAsia="pt-BR"/>
        </w:rPr>
        <w:tab/>
      </w:r>
    </w:p>
    <w:p w14:paraId="1F8B305B" w14:textId="77777777" w:rsidR="00EE0371" w:rsidRPr="00EE0371" w:rsidRDefault="00EE0371" w:rsidP="00EE0371">
      <w:pPr>
        <w:spacing w:after="0" w:line="240" w:lineRule="auto"/>
        <w:ind w:right="600" w:firstLine="708"/>
        <w:jc w:val="both"/>
        <w:rPr>
          <w:rFonts w:ascii="Arial" w:hAnsi="Arial" w:cs="Arial"/>
          <w:sz w:val="20"/>
          <w:szCs w:val="20"/>
          <w:lang w:eastAsia="pt-BR"/>
        </w:rPr>
      </w:pPr>
      <w:r w:rsidRPr="00EE0371">
        <w:rPr>
          <w:rFonts w:ascii="Arial" w:hAnsi="Arial" w:cs="Arial"/>
          <w:sz w:val="20"/>
          <w:szCs w:val="20"/>
          <w:lang w:eastAsia="pt-BR"/>
        </w:rPr>
        <w:lastRenderedPageBreak/>
        <w:t xml:space="preserve">     &lt;ValorBrutoContabilBemMovelFinalExercicio&gt;</w:t>
      </w:r>
      <w:r w:rsidRPr="00EE0371">
        <w:rPr>
          <w:rFonts w:ascii="Arial" w:hAnsi="Arial" w:cs="Arial"/>
          <w:b/>
          <w:sz w:val="20"/>
          <w:szCs w:val="20"/>
          <w:lang w:eastAsia="pt-BR"/>
        </w:rPr>
        <w:t>99999999999999.99</w:t>
      </w:r>
    </w:p>
    <w:p w14:paraId="39CAD838" w14:textId="77777777" w:rsidR="00EE0371" w:rsidRPr="00EE0371" w:rsidRDefault="00EE0371" w:rsidP="00EE0371">
      <w:pPr>
        <w:spacing w:after="0" w:line="240" w:lineRule="auto"/>
        <w:ind w:left="993" w:right="600" w:firstLine="1"/>
        <w:jc w:val="both"/>
        <w:rPr>
          <w:rFonts w:ascii="Arial" w:hAnsi="Arial" w:cs="Arial"/>
          <w:sz w:val="20"/>
          <w:szCs w:val="20"/>
          <w:lang w:eastAsia="pt-BR"/>
        </w:rPr>
      </w:pPr>
      <w:r w:rsidRPr="00EE0371">
        <w:rPr>
          <w:rFonts w:ascii="Arial" w:hAnsi="Arial" w:cs="Arial"/>
          <w:sz w:val="20"/>
          <w:szCs w:val="20"/>
          <w:lang w:eastAsia="pt-BR"/>
        </w:rPr>
        <w:t xml:space="preserve">&lt;/ValorBrutoContabilBemMovelFinalExercicio&gt; </w:t>
      </w:r>
      <w:r w:rsidRPr="00EE0371">
        <w:rPr>
          <w:rFonts w:ascii="Arial" w:hAnsi="Arial" w:cs="Arial"/>
          <w:sz w:val="20"/>
          <w:szCs w:val="20"/>
          <w:lang w:eastAsia="pt-BR"/>
        </w:rPr>
        <w:tab/>
      </w:r>
      <w:r w:rsidRPr="00EE0371">
        <w:rPr>
          <w:rFonts w:ascii="Arial" w:hAnsi="Arial" w:cs="Arial"/>
          <w:sz w:val="20"/>
          <w:szCs w:val="20"/>
          <w:lang w:eastAsia="pt-BR"/>
        </w:rPr>
        <w:tab/>
      </w:r>
    </w:p>
    <w:p w14:paraId="35D5A8EC" w14:textId="77777777" w:rsidR="00EE0371" w:rsidRPr="00EE0371" w:rsidRDefault="00EE0371" w:rsidP="00EE0371">
      <w:pPr>
        <w:spacing w:after="0" w:line="240" w:lineRule="auto"/>
        <w:ind w:right="600" w:firstLine="708"/>
        <w:jc w:val="both"/>
        <w:rPr>
          <w:rFonts w:ascii="Arial" w:hAnsi="Arial" w:cs="Arial"/>
          <w:sz w:val="20"/>
          <w:szCs w:val="20"/>
          <w:lang w:eastAsia="pt-BR"/>
        </w:rPr>
      </w:pPr>
      <w:r w:rsidRPr="00EE0371">
        <w:rPr>
          <w:rFonts w:ascii="Arial" w:hAnsi="Arial" w:cs="Arial"/>
          <w:sz w:val="20"/>
          <w:szCs w:val="20"/>
          <w:lang w:eastAsia="pt-BR"/>
        </w:rPr>
        <w:t>&lt;/InventarioBemMovel&gt;</w:t>
      </w:r>
      <w:r w:rsidRPr="00EE0371">
        <w:rPr>
          <w:rFonts w:ascii="Arial" w:hAnsi="Arial" w:cs="Arial"/>
          <w:sz w:val="20"/>
          <w:szCs w:val="20"/>
          <w:lang w:eastAsia="pt-BR"/>
        </w:rPr>
        <w:tab/>
      </w:r>
      <w:r w:rsidRPr="00EE0371">
        <w:rPr>
          <w:rFonts w:ascii="Arial" w:hAnsi="Arial" w:cs="Arial"/>
          <w:sz w:val="20"/>
          <w:szCs w:val="20"/>
          <w:lang w:eastAsia="pt-BR"/>
        </w:rPr>
        <w:tab/>
      </w:r>
    </w:p>
    <w:p w14:paraId="60BE31A3" w14:textId="77777777" w:rsidR="00EE0371" w:rsidRPr="00EE0371" w:rsidRDefault="00EE0371" w:rsidP="00EE0371">
      <w:pPr>
        <w:spacing w:after="0" w:line="240" w:lineRule="auto"/>
        <w:ind w:right="600"/>
        <w:jc w:val="both"/>
        <w:rPr>
          <w:rFonts w:ascii="Arial" w:hAnsi="Arial" w:cs="Arial"/>
          <w:sz w:val="20"/>
          <w:szCs w:val="20"/>
          <w:lang w:eastAsia="pt-BR"/>
        </w:rPr>
      </w:pPr>
    </w:p>
    <w:p w14:paraId="7B831420" w14:textId="77777777" w:rsidR="00EE0371" w:rsidRPr="00EE0371" w:rsidRDefault="00EE0371" w:rsidP="00EE0371">
      <w:pPr>
        <w:spacing w:after="0" w:line="240" w:lineRule="auto"/>
        <w:ind w:right="600"/>
        <w:jc w:val="both"/>
        <w:rPr>
          <w:rFonts w:ascii="Arial" w:hAnsi="Arial" w:cs="Arial"/>
          <w:sz w:val="20"/>
          <w:szCs w:val="20"/>
          <w:lang w:eastAsia="pt-BR"/>
        </w:rPr>
      </w:pPr>
      <w:r w:rsidRPr="00EE0371">
        <w:rPr>
          <w:rFonts w:ascii="Arial" w:hAnsi="Arial" w:cs="Arial"/>
          <w:sz w:val="20"/>
          <w:szCs w:val="20"/>
          <w:lang w:eastAsia="pt-BR"/>
        </w:rPr>
        <w:t xml:space="preserve">     &lt;/InventarioBemMovel_Schema&gt;</w:t>
      </w:r>
      <w:r w:rsidRPr="00EE0371">
        <w:rPr>
          <w:rFonts w:ascii="Arial" w:hAnsi="Arial" w:cs="Arial"/>
          <w:sz w:val="20"/>
          <w:szCs w:val="20"/>
          <w:lang w:eastAsia="pt-BR"/>
        </w:rPr>
        <w:tab/>
      </w:r>
      <w:r w:rsidRPr="00EE0371">
        <w:rPr>
          <w:rFonts w:ascii="Arial" w:hAnsi="Arial" w:cs="Arial"/>
          <w:sz w:val="20"/>
          <w:szCs w:val="20"/>
          <w:lang w:eastAsia="pt-BR"/>
        </w:rPr>
        <w:tab/>
      </w:r>
    </w:p>
    <w:p w14:paraId="6EA80EA0" w14:textId="77777777" w:rsidR="00EE0371" w:rsidRPr="00EE0371" w:rsidRDefault="00EE0371" w:rsidP="00EE0371">
      <w:pPr>
        <w:spacing w:after="0" w:line="240" w:lineRule="auto"/>
        <w:ind w:right="600"/>
        <w:jc w:val="both"/>
        <w:rPr>
          <w:rFonts w:ascii="Arial" w:hAnsi="Arial" w:cs="Arial"/>
          <w:sz w:val="20"/>
          <w:szCs w:val="20"/>
          <w:lang w:eastAsia="pt-BR"/>
        </w:rPr>
      </w:pPr>
      <w:r w:rsidRPr="00EE0371">
        <w:rPr>
          <w:rFonts w:ascii="Arial" w:hAnsi="Arial" w:cs="Arial"/>
          <w:sz w:val="20"/>
          <w:szCs w:val="20"/>
          <w:lang w:eastAsia="pt-BR"/>
        </w:rPr>
        <w:t>&lt;/PrestacaoContasAnual&gt;</w:t>
      </w:r>
      <w:r w:rsidRPr="00EE0371">
        <w:rPr>
          <w:rFonts w:ascii="Arial" w:hAnsi="Arial" w:cs="Arial"/>
          <w:sz w:val="20"/>
          <w:szCs w:val="20"/>
          <w:lang w:eastAsia="pt-BR"/>
        </w:rPr>
        <w:tab/>
      </w:r>
      <w:r w:rsidRPr="00EE0371">
        <w:rPr>
          <w:rFonts w:ascii="Arial" w:hAnsi="Arial" w:cs="Arial"/>
          <w:sz w:val="20"/>
          <w:szCs w:val="20"/>
          <w:lang w:eastAsia="pt-BR"/>
        </w:rPr>
        <w:tab/>
      </w:r>
    </w:p>
    <w:p w14:paraId="40460BD5" w14:textId="77777777" w:rsidR="00EE0371" w:rsidRPr="00EE0371" w:rsidRDefault="00EE0371" w:rsidP="00EE0371">
      <w:pPr>
        <w:spacing w:after="0" w:line="240" w:lineRule="auto"/>
        <w:ind w:right="600"/>
        <w:jc w:val="both"/>
        <w:rPr>
          <w:rFonts w:ascii="Arial" w:hAnsi="Arial" w:cs="Arial"/>
          <w:sz w:val="20"/>
          <w:szCs w:val="20"/>
          <w:lang w:eastAsia="pt-BR"/>
        </w:rPr>
      </w:pPr>
    </w:p>
    <w:p w14:paraId="5A40C005" w14:textId="77777777" w:rsidR="00EE0371" w:rsidRPr="00EE0371" w:rsidRDefault="00EE0371" w:rsidP="00EE0371">
      <w:pPr>
        <w:spacing w:after="0" w:line="240" w:lineRule="auto"/>
        <w:ind w:right="600"/>
        <w:jc w:val="both"/>
        <w:rPr>
          <w:rFonts w:ascii="Arial" w:hAnsi="Arial" w:cs="Arial"/>
          <w:sz w:val="20"/>
          <w:szCs w:val="20"/>
          <w:lang w:eastAsia="pt-BR"/>
        </w:rPr>
      </w:pPr>
    </w:p>
    <w:tbl>
      <w:tblPr>
        <w:tblW w:w="904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390"/>
        <w:gridCol w:w="1133"/>
        <w:gridCol w:w="1507"/>
        <w:gridCol w:w="3016"/>
      </w:tblGrid>
      <w:tr w:rsidR="00EE0371" w:rsidRPr="00EE0371" w14:paraId="3CD3E64D" w14:textId="77777777" w:rsidTr="00EE0371">
        <w:trPr>
          <w:tblHeader/>
          <w:jc w:val="center"/>
        </w:trPr>
        <w:tc>
          <w:tcPr>
            <w:tcW w:w="3390" w:type="dxa"/>
            <w:tcBorders>
              <w:bottom w:val="single" w:sz="6" w:space="0" w:color="auto"/>
            </w:tcBorders>
            <w:shd w:val="solid" w:color="C0C0C0" w:fill="auto"/>
            <w:vAlign w:val="center"/>
          </w:tcPr>
          <w:p w14:paraId="01137143" w14:textId="77777777" w:rsidR="00EE0371" w:rsidRPr="00EE0371" w:rsidRDefault="00EE0371" w:rsidP="00EE0371">
            <w:pPr>
              <w:spacing w:before="120" w:after="120" w:line="240" w:lineRule="auto"/>
              <w:jc w:val="center"/>
              <w:rPr>
                <w:rFonts w:ascii="Arial" w:hAnsi="Arial" w:cs="Arial"/>
                <w:b/>
                <w:sz w:val="20"/>
                <w:szCs w:val="20"/>
              </w:rPr>
            </w:pPr>
            <w:r w:rsidRPr="00EE0371">
              <w:rPr>
                <w:rFonts w:ascii="Arial" w:hAnsi="Arial"/>
                <w:b/>
                <w:bCs/>
              </w:rPr>
              <w:br w:type="page"/>
            </w:r>
            <w:r w:rsidRPr="00EE0371">
              <w:rPr>
                <w:rFonts w:ascii="Arial" w:hAnsi="Arial" w:cs="Arial"/>
                <w:b/>
                <w:sz w:val="20"/>
                <w:szCs w:val="20"/>
              </w:rPr>
              <w:t>Campo</w:t>
            </w:r>
          </w:p>
        </w:tc>
        <w:tc>
          <w:tcPr>
            <w:tcW w:w="1133" w:type="dxa"/>
            <w:tcBorders>
              <w:bottom w:val="single" w:sz="6" w:space="0" w:color="auto"/>
            </w:tcBorders>
            <w:shd w:val="solid" w:color="C0C0C0" w:fill="auto"/>
            <w:vAlign w:val="center"/>
          </w:tcPr>
          <w:p w14:paraId="61ECCAF7" w14:textId="77777777" w:rsidR="00EE0371" w:rsidRPr="00EE0371" w:rsidRDefault="00EE0371" w:rsidP="00EE0371">
            <w:pPr>
              <w:spacing w:before="120" w:after="120" w:line="240" w:lineRule="auto"/>
              <w:jc w:val="center"/>
              <w:rPr>
                <w:rFonts w:ascii="Arial" w:hAnsi="Arial" w:cs="Arial"/>
                <w:b/>
                <w:sz w:val="20"/>
                <w:szCs w:val="20"/>
              </w:rPr>
            </w:pPr>
            <w:r w:rsidRPr="00EE0371">
              <w:rPr>
                <w:rFonts w:ascii="Arial" w:hAnsi="Arial" w:cs="Arial"/>
                <w:b/>
                <w:sz w:val="20"/>
                <w:szCs w:val="20"/>
              </w:rPr>
              <w:t>Tipo</w:t>
            </w:r>
          </w:p>
        </w:tc>
        <w:tc>
          <w:tcPr>
            <w:tcW w:w="1507" w:type="dxa"/>
            <w:tcBorders>
              <w:bottom w:val="single" w:sz="6" w:space="0" w:color="auto"/>
            </w:tcBorders>
            <w:shd w:val="solid" w:color="C0C0C0" w:fill="auto"/>
            <w:vAlign w:val="center"/>
          </w:tcPr>
          <w:p w14:paraId="54334557" w14:textId="77777777" w:rsidR="00EE0371" w:rsidRPr="00EE0371" w:rsidRDefault="00EE0371" w:rsidP="00EE0371">
            <w:pPr>
              <w:spacing w:before="120" w:after="120" w:line="240" w:lineRule="auto"/>
              <w:jc w:val="center"/>
              <w:rPr>
                <w:rFonts w:ascii="Arial" w:hAnsi="Arial" w:cs="Arial"/>
                <w:b/>
                <w:sz w:val="20"/>
                <w:szCs w:val="20"/>
              </w:rPr>
            </w:pPr>
            <w:r w:rsidRPr="00EE0371">
              <w:rPr>
                <w:rFonts w:ascii="Arial" w:hAnsi="Arial" w:cs="Arial"/>
                <w:b/>
                <w:sz w:val="20"/>
                <w:szCs w:val="20"/>
              </w:rPr>
              <w:t>Tamanho</w:t>
            </w:r>
          </w:p>
        </w:tc>
        <w:tc>
          <w:tcPr>
            <w:tcW w:w="3016" w:type="dxa"/>
            <w:tcBorders>
              <w:bottom w:val="single" w:sz="6" w:space="0" w:color="auto"/>
            </w:tcBorders>
            <w:shd w:val="solid" w:color="C0C0C0" w:fill="auto"/>
            <w:vAlign w:val="center"/>
          </w:tcPr>
          <w:p w14:paraId="4DF7F737" w14:textId="77777777" w:rsidR="00EE0371" w:rsidRPr="00EE0371" w:rsidRDefault="00EE0371" w:rsidP="00EE0371">
            <w:pPr>
              <w:spacing w:before="120" w:after="120" w:line="240" w:lineRule="auto"/>
              <w:jc w:val="center"/>
              <w:rPr>
                <w:rFonts w:ascii="Arial" w:hAnsi="Arial" w:cs="Arial"/>
                <w:b/>
                <w:sz w:val="20"/>
                <w:szCs w:val="20"/>
              </w:rPr>
            </w:pPr>
            <w:r w:rsidRPr="00EE0371">
              <w:rPr>
                <w:rFonts w:ascii="Arial" w:hAnsi="Arial" w:cs="Arial"/>
                <w:b/>
                <w:sz w:val="20"/>
                <w:szCs w:val="20"/>
              </w:rPr>
              <w:t>Obrigatoriedade</w:t>
            </w:r>
          </w:p>
        </w:tc>
      </w:tr>
      <w:tr w:rsidR="00EE0371" w:rsidRPr="00EE0371" w14:paraId="5EFBA954" w14:textId="77777777" w:rsidTr="00EE0371">
        <w:trPr>
          <w:jc w:val="center"/>
        </w:trPr>
        <w:tc>
          <w:tcPr>
            <w:tcW w:w="9046" w:type="dxa"/>
            <w:gridSpan w:val="4"/>
            <w:shd w:val="solid" w:color="BFBFBF" w:themeColor="background1" w:themeShade="BF" w:fill="auto"/>
            <w:vAlign w:val="center"/>
          </w:tcPr>
          <w:p w14:paraId="2836F257" w14:textId="77777777" w:rsidR="00EE0371" w:rsidRPr="00EE0371" w:rsidRDefault="00EE0371" w:rsidP="00EE0371">
            <w:pPr>
              <w:spacing w:before="120" w:after="120" w:line="240" w:lineRule="auto"/>
              <w:jc w:val="center"/>
              <w:rPr>
                <w:rFonts w:ascii="Arial" w:hAnsi="Arial" w:cs="Arial"/>
                <w:color w:val="FF0000"/>
                <w:sz w:val="20"/>
                <w:szCs w:val="20"/>
              </w:rPr>
            </w:pPr>
            <w:r w:rsidRPr="00EE0371">
              <w:rPr>
                <w:rFonts w:ascii="Arial" w:hAnsi="Arial" w:cs="Arial"/>
                <w:b/>
                <w:sz w:val="20"/>
                <w:szCs w:val="20"/>
              </w:rPr>
              <w:t>Estrutura ‘InventarioBemMovel’</w:t>
            </w:r>
          </w:p>
        </w:tc>
      </w:tr>
      <w:tr w:rsidR="00EE0371" w:rsidRPr="00EE0371" w14:paraId="6A915087" w14:textId="77777777" w:rsidTr="00EE0371">
        <w:trPr>
          <w:trHeight w:val="310"/>
          <w:jc w:val="center"/>
        </w:trPr>
        <w:tc>
          <w:tcPr>
            <w:tcW w:w="3390" w:type="dxa"/>
            <w:vAlign w:val="center"/>
          </w:tcPr>
          <w:p w14:paraId="779BDE6B"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Identificação do Numero do Registro</w:t>
            </w:r>
          </w:p>
        </w:tc>
        <w:tc>
          <w:tcPr>
            <w:tcW w:w="1133" w:type="dxa"/>
            <w:vAlign w:val="center"/>
          </w:tcPr>
          <w:p w14:paraId="31B0A615"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Inteiro</w:t>
            </w:r>
          </w:p>
        </w:tc>
        <w:tc>
          <w:tcPr>
            <w:tcW w:w="1507" w:type="dxa"/>
            <w:vAlign w:val="center"/>
          </w:tcPr>
          <w:p w14:paraId="60E04D2B"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5</w:t>
            </w:r>
          </w:p>
        </w:tc>
        <w:tc>
          <w:tcPr>
            <w:tcW w:w="3016" w:type="dxa"/>
            <w:vAlign w:val="center"/>
          </w:tcPr>
          <w:p w14:paraId="17FD46C9" w14:textId="77777777" w:rsidR="00EE0371" w:rsidRPr="00EE0371" w:rsidRDefault="00EE0371" w:rsidP="000D3464">
            <w:pPr>
              <w:spacing w:after="0" w:line="360" w:lineRule="auto"/>
              <w:rPr>
                <w:rFonts w:ascii="Arial" w:hAnsi="Arial" w:cs="Arial"/>
                <w:sz w:val="20"/>
                <w:szCs w:val="20"/>
              </w:rPr>
            </w:pPr>
            <w:r w:rsidRPr="00EE0371">
              <w:rPr>
                <w:rFonts w:ascii="Arial" w:hAnsi="Arial" w:cs="Arial"/>
                <w:sz w:val="20"/>
                <w:szCs w:val="20"/>
              </w:rPr>
              <w:t>Obrigatório</w:t>
            </w:r>
          </w:p>
        </w:tc>
      </w:tr>
      <w:tr w:rsidR="00DD49C9" w:rsidRPr="00292A50" w14:paraId="4BFFDC8F" w14:textId="77777777" w:rsidTr="00DD49C9">
        <w:trPr>
          <w:jc w:val="center"/>
        </w:trPr>
        <w:tc>
          <w:tcPr>
            <w:tcW w:w="3390" w:type="dxa"/>
            <w:vAlign w:val="center"/>
          </w:tcPr>
          <w:p w14:paraId="63CB3E22" w14:textId="77777777" w:rsidR="00DD49C9" w:rsidRPr="000D3464" w:rsidRDefault="00DD49C9" w:rsidP="00DD49C9">
            <w:pPr>
              <w:spacing w:after="0" w:line="360" w:lineRule="auto"/>
              <w:jc w:val="both"/>
              <w:rPr>
                <w:rFonts w:ascii="Arial" w:hAnsi="Arial" w:cs="Arial"/>
                <w:sz w:val="20"/>
                <w:szCs w:val="20"/>
              </w:rPr>
            </w:pPr>
            <w:r w:rsidRPr="000D3464">
              <w:rPr>
                <w:rFonts w:ascii="Arial" w:eastAsia="Times New Roman" w:hAnsi="Arial" w:cs="Arial"/>
                <w:sz w:val="20"/>
                <w:szCs w:val="20"/>
                <w:lang w:eastAsia="pt-BR"/>
              </w:rPr>
              <w:t>Código da Unidade Gestora</w:t>
            </w:r>
          </w:p>
        </w:tc>
        <w:tc>
          <w:tcPr>
            <w:tcW w:w="1133" w:type="dxa"/>
            <w:vAlign w:val="center"/>
          </w:tcPr>
          <w:p w14:paraId="071B7832" w14:textId="77777777" w:rsidR="00DD49C9" w:rsidRPr="000D3464" w:rsidRDefault="00DD49C9" w:rsidP="00DD49C9">
            <w:pPr>
              <w:spacing w:after="0" w:line="360" w:lineRule="auto"/>
              <w:jc w:val="center"/>
              <w:rPr>
                <w:rFonts w:ascii="Arial" w:hAnsi="Arial" w:cs="Arial"/>
                <w:sz w:val="20"/>
                <w:szCs w:val="20"/>
              </w:rPr>
            </w:pPr>
            <w:r w:rsidRPr="000D3464">
              <w:rPr>
                <w:rFonts w:ascii="Arial" w:eastAsia="Times New Roman" w:hAnsi="Arial" w:cs="Arial"/>
                <w:sz w:val="20"/>
                <w:szCs w:val="20"/>
                <w:lang w:eastAsia="pt-BR"/>
              </w:rPr>
              <w:t>Caracter</w:t>
            </w:r>
          </w:p>
        </w:tc>
        <w:tc>
          <w:tcPr>
            <w:tcW w:w="1507" w:type="dxa"/>
            <w:vAlign w:val="center"/>
          </w:tcPr>
          <w:p w14:paraId="43DEC179" w14:textId="77777777" w:rsidR="00DD49C9" w:rsidRPr="000D3464" w:rsidRDefault="00DD49C9" w:rsidP="00DD49C9">
            <w:pPr>
              <w:spacing w:after="0" w:line="360" w:lineRule="auto"/>
              <w:jc w:val="center"/>
              <w:rPr>
                <w:rFonts w:ascii="Arial" w:hAnsi="Arial" w:cs="Arial"/>
                <w:sz w:val="20"/>
                <w:szCs w:val="20"/>
              </w:rPr>
            </w:pPr>
            <w:r w:rsidRPr="000D3464">
              <w:rPr>
                <w:rFonts w:ascii="Arial" w:hAnsi="Arial" w:cs="Arial"/>
                <w:sz w:val="20"/>
                <w:szCs w:val="20"/>
              </w:rPr>
              <w:t>11</w:t>
            </w:r>
          </w:p>
        </w:tc>
        <w:tc>
          <w:tcPr>
            <w:tcW w:w="3016" w:type="dxa"/>
            <w:vAlign w:val="center"/>
          </w:tcPr>
          <w:p w14:paraId="53B11858" w14:textId="77777777" w:rsidR="00DD49C9" w:rsidRPr="000D3464" w:rsidRDefault="00DD49C9" w:rsidP="000D3464">
            <w:pPr>
              <w:spacing w:after="0" w:line="360" w:lineRule="auto"/>
              <w:rPr>
                <w:rFonts w:ascii="Arial" w:hAnsi="Arial" w:cs="Arial"/>
                <w:sz w:val="20"/>
                <w:szCs w:val="20"/>
              </w:rPr>
            </w:pPr>
            <w:r w:rsidRPr="000D3464">
              <w:rPr>
                <w:rFonts w:ascii="Arial" w:eastAsia="Times New Roman" w:hAnsi="Arial" w:cs="Arial"/>
                <w:sz w:val="20"/>
                <w:szCs w:val="20"/>
                <w:lang w:eastAsia="pt-BR"/>
              </w:rPr>
              <w:t>Obrigatório conforme codificação do TCEES</w:t>
            </w:r>
          </w:p>
        </w:tc>
      </w:tr>
      <w:tr w:rsidR="00EE0371" w:rsidRPr="00EE0371" w14:paraId="2DC01C9A" w14:textId="77777777" w:rsidTr="00EE0371">
        <w:trPr>
          <w:jc w:val="center"/>
        </w:trPr>
        <w:tc>
          <w:tcPr>
            <w:tcW w:w="3390" w:type="dxa"/>
            <w:vAlign w:val="center"/>
          </w:tcPr>
          <w:p w14:paraId="31BD25B4"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 xml:space="preserve">Código Contábil </w:t>
            </w:r>
            <w:r w:rsidRPr="000D3464">
              <w:rPr>
                <w:rFonts w:ascii="Arial" w:hAnsi="Arial" w:cs="Arial"/>
                <w:b/>
                <w:sz w:val="20"/>
                <w:szCs w:val="20"/>
                <w:vertAlign w:val="superscript"/>
              </w:rPr>
              <w:t>[1]</w:t>
            </w:r>
          </w:p>
        </w:tc>
        <w:tc>
          <w:tcPr>
            <w:tcW w:w="1133" w:type="dxa"/>
            <w:vAlign w:val="center"/>
          </w:tcPr>
          <w:p w14:paraId="405C365E"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Inteiro</w:t>
            </w:r>
          </w:p>
        </w:tc>
        <w:tc>
          <w:tcPr>
            <w:tcW w:w="1507" w:type="dxa"/>
            <w:vAlign w:val="center"/>
          </w:tcPr>
          <w:p w14:paraId="2C9E9508"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9</w:t>
            </w:r>
          </w:p>
        </w:tc>
        <w:tc>
          <w:tcPr>
            <w:tcW w:w="3016" w:type="dxa"/>
            <w:vAlign w:val="center"/>
          </w:tcPr>
          <w:p w14:paraId="5AC8286D" w14:textId="77777777" w:rsidR="00EE0371" w:rsidRPr="00EE0371" w:rsidRDefault="00EE0371" w:rsidP="000D3464">
            <w:pPr>
              <w:spacing w:after="0" w:line="360" w:lineRule="auto"/>
              <w:rPr>
                <w:rFonts w:ascii="Arial" w:hAnsi="Arial" w:cs="Arial"/>
                <w:sz w:val="20"/>
                <w:szCs w:val="20"/>
              </w:rPr>
            </w:pPr>
            <w:r w:rsidRPr="00EE0371">
              <w:rPr>
                <w:rFonts w:ascii="Arial" w:hAnsi="Arial" w:cs="Arial"/>
                <w:sz w:val="20"/>
                <w:szCs w:val="20"/>
              </w:rPr>
              <w:t>Obrigatório</w:t>
            </w:r>
          </w:p>
          <w:p w14:paraId="4BC3B33E" w14:textId="77777777" w:rsidR="00EE0371" w:rsidRPr="00EE0371" w:rsidRDefault="00EE0371" w:rsidP="000D3464">
            <w:pPr>
              <w:spacing w:after="0" w:line="360" w:lineRule="auto"/>
              <w:rPr>
                <w:rFonts w:ascii="Arial" w:hAnsi="Arial" w:cs="Arial"/>
                <w:sz w:val="20"/>
                <w:szCs w:val="20"/>
              </w:rPr>
            </w:pPr>
            <w:r w:rsidRPr="00EE0371">
              <w:rPr>
                <w:rFonts w:ascii="Arial" w:hAnsi="Arial" w:cs="Arial"/>
                <w:sz w:val="20"/>
                <w:szCs w:val="20"/>
              </w:rPr>
              <w:t>Conforme o Código da Conta Contábil (PCASP/TCEES)</w:t>
            </w:r>
          </w:p>
        </w:tc>
      </w:tr>
      <w:tr w:rsidR="00EE0371" w:rsidRPr="00EE0371" w14:paraId="37A3C97B" w14:textId="77777777" w:rsidTr="00EE0371">
        <w:trPr>
          <w:jc w:val="center"/>
        </w:trPr>
        <w:tc>
          <w:tcPr>
            <w:tcW w:w="3390" w:type="dxa"/>
            <w:vAlign w:val="center"/>
          </w:tcPr>
          <w:p w14:paraId="3E1619EF"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Descrição do Bem Móvel</w:t>
            </w:r>
          </w:p>
        </w:tc>
        <w:tc>
          <w:tcPr>
            <w:tcW w:w="1133" w:type="dxa"/>
            <w:vAlign w:val="center"/>
          </w:tcPr>
          <w:p w14:paraId="70EDC56E"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Caracter</w:t>
            </w:r>
          </w:p>
        </w:tc>
        <w:tc>
          <w:tcPr>
            <w:tcW w:w="1507" w:type="dxa"/>
            <w:vAlign w:val="center"/>
          </w:tcPr>
          <w:p w14:paraId="6CBC0478"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1000</w:t>
            </w:r>
          </w:p>
        </w:tc>
        <w:tc>
          <w:tcPr>
            <w:tcW w:w="3016" w:type="dxa"/>
            <w:vAlign w:val="center"/>
          </w:tcPr>
          <w:p w14:paraId="04046503" w14:textId="77777777" w:rsidR="00EE0371" w:rsidRPr="00EE0371" w:rsidRDefault="00EE0371" w:rsidP="000D3464">
            <w:pPr>
              <w:spacing w:after="0" w:line="360" w:lineRule="auto"/>
              <w:rPr>
                <w:rFonts w:ascii="Arial" w:hAnsi="Arial" w:cs="Arial"/>
                <w:sz w:val="20"/>
                <w:szCs w:val="20"/>
              </w:rPr>
            </w:pPr>
            <w:r w:rsidRPr="00EE0371">
              <w:rPr>
                <w:rFonts w:ascii="Arial" w:hAnsi="Arial" w:cs="Arial"/>
                <w:sz w:val="20"/>
                <w:szCs w:val="20"/>
              </w:rPr>
              <w:t>Obrigatório</w:t>
            </w:r>
          </w:p>
        </w:tc>
      </w:tr>
      <w:tr w:rsidR="00EE0371" w:rsidRPr="00EE0371" w14:paraId="5CCDDFE8" w14:textId="77777777" w:rsidTr="00EE0371">
        <w:trPr>
          <w:jc w:val="center"/>
        </w:trPr>
        <w:tc>
          <w:tcPr>
            <w:tcW w:w="3390" w:type="dxa"/>
            <w:vAlign w:val="center"/>
          </w:tcPr>
          <w:p w14:paraId="21753FAA"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Data de Aquisição/Incorporação do Bem Móvel</w:t>
            </w:r>
          </w:p>
        </w:tc>
        <w:tc>
          <w:tcPr>
            <w:tcW w:w="1133" w:type="dxa"/>
            <w:vAlign w:val="center"/>
          </w:tcPr>
          <w:p w14:paraId="2A181747"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Data</w:t>
            </w:r>
          </w:p>
        </w:tc>
        <w:tc>
          <w:tcPr>
            <w:tcW w:w="1507" w:type="dxa"/>
            <w:vAlign w:val="center"/>
          </w:tcPr>
          <w:p w14:paraId="7941D34F"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10</w:t>
            </w:r>
          </w:p>
        </w:tc>
        <w:tc>
          <w:tcPr>
            <w:tcW w:w="3016" w:type="dxa"/>
            <w:vAlign w:val="center"/>
          </w:tcPr>
          <w:p w14:paraId="6D5479B4" w14:textId="77777777" w:rsidR="00EE0371" w:rsidRPr="00EE0371" w:rsidRDefault="00EE0371" w:rsidP="000D3464">
            <w:pPr>
              <w:spacing w:after="0" w:line="360" w:lineRule="auto"/>
              <w:rPr>
                <w:rFonts w:ascii="Arial" w:hAnsi="Arial" w:cs="Arial"/>
                <w:sz w:val="20"/>
                <w:szCs w:val="20"/>
              </w:rPr>
            </w:pPr>
            <w:r w:rsidRPr="00EE0371">
              <w:rPr>
                <w:rFonts w:ascii="Arial" w:hAnsi="Arial" w:cs="Arial"/>
                <w:sz w:val="20"/>
                <w:szCs w:val="20"/>
              </w:rPr>
              <w:t xml:space="preserve">Obrigatório, </w:t>
            </w:r>
            <w:r w:rsidRPr="00EE0371">
              <w:rPr>
                <w:rFonts w:ascii="Arial" w:hAnsi="Arial" w:cs="Arial"/>
              </w:rPr>
              <w:t>AAAA-MM-DD</w:t>
            </w:r>
          </w:p>
        </w:tc>
      </w:tr>
      <w:tr w:rsidR="00EE0371" w:rsidRPr="00EE0371" w14:paraId="5EDF156E" w14:textId="77777777" w:rsidTr="00EE0371">
        <w:trPr>
          <w:jc w:val="center"/>
        </w:trPr>
        <w:tc>
          <w:tcPr>
            <w:tcW w:w="3390" w:type="dxa"/>
            <w:vAlign w:val="center"/>
          </w:tcPr>
          <w:p w14:paraId="6113A850"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 xml:space="preserve">Valor Contábil Histórico do Bem Móvel </w:t>
            </w:r>
          </w:p>
        </w:tc>
        <w:tc>
          <w:tcPr>
            <w:tcW w:w="1133" w:type="dxa"/>
            <w:vAlign w:val="center"/>
          </w:tcPr>
          <w:p w14:paraId="4A2CE785"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Decimal</w:t>
            </w:r>
          </w:p>
        </w:tc>
        <w:tc>
          <w:tcPr>
            <w:tcW w:w="1507" w:type="dxa"/>
            <w:vAlign w:val="center"/>
          </w:tcPr>
          <w:p w14:paraId="37BAA6B8"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14,2</w:t>
            </w:r>
          </w:p>
        </w:tc>
        <w:tc>
          <w:tcPr>
            <w:tcW w:w="3016" w:type="dxa"/>
            <w:vAlign w:val="center"/>
          </w:tcPr>
          <w:p w14:paraId="0E9AACAD" w14:textId="77777777" w:rsidR="00EE0371" w:rsidRPr="00EE0371" w:rsidRDefault="00EE0371" w:rsidP="000D3464">
            <w:pPr>
              <w:spacing w:after="0" w:line="360" w:lineRule="auto"/>
              <w:rPr>
                <w:rFonts w:ascii="Arial" w:hAnsi="Arial" w:cs="Arial"/>
                <w:sz w:val="20"/>
                <w:szCs w:val="20"/>
              </w:rPr>
            </w:pPr>
            <w:r w:rsidRPr="00EE0371">
              <w:rPr>
                <w:rFonts w:ascii="Arial" w:hAnsi="Arial" w:cs="Arial"/>
                <w:sz w:val="20"/>
                <w:szCs w:val="20"/>
              </w:rPr>
              <w:t xml:space="preserve">Obrigatório </w:t>
            </w:r>
          </w:p>
        </w:tc>
      </w:tr>
      <w:tr w:rsidR="00EE0371" w:rsidRPr="00EE0371" w14:paraId="59601673" w14:textId="77777777" w:rsidTr="00EE0371">
        <w:trPr>
          <w:jc w:val="center"/>
        </w:trPr>
        <w:tc>
          <w:tcPr>
            <w:tcW w:w="3390" w:type="dxa"/>
            <w:vAlign w:val="center"/>
          </w:tcPr>
          <w:p w14:paraId="2F45F9B9"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Número de Registro (Patrimônio) do Bem Móvel</w:t>
            </w:r>
          </w:p>
        </w:tc>
        <w:tc>
          <w:tcPr>
            <w:tcW w:w="1133" w:type="dxa"/>
            <w:vAlign w:val="center"/>
          </w:tcPr>
          <w:p w14:paraId="2A8A031A"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Caracter</w:t>
            </w:r>
          </w:p>
        </w:tc>
        <w:tc>
          <w:tcPr>
            <w:tcW w:w="1507" w:type="dxa"/>
            <w:vAlign w:val="center"/>
          </w:tcPr>
          <w:p w14:paraId="0BA5CE92"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30</w:t>
            </w:r>
          </w:p>
        </w:tc>
        <w:tc>
          <w:tcPr>
            <w:tcW w:w="3016" w:type="dxa"/>
            <w:vAlign w:val="center"/>
          </w:tcPr>
          <w:p w14:paraId="72F26D82" w14:textId="77777777" w:rsidR="00EE0371" w:rsidRPr="00EE0371" w:rsidRDefault="00EE0371" w:rsidP="000D3464">
            <w:pPr>
              <w:spacing w:after="0" w:line="360" w:lineRule="auto"/>
              <w:rPr>
                <w:rFonts w:ascii="Arial" w:hAnsi="Arial" w:cs="Arial"/>
                <w:sz w:val="20"/>
                <w:szCs w:val="20"/>
              </w:rPr>
            </w:pPr>
            <w:r w:rsidRPr="00EE0371">
              <w:rPr>
                <w:rFonts w:ascii="Arial" w:hAnsi="Arial" w:cs="Arial"/>
                <w:sz w:val="20"/>
                <w:szCs w:val="20"/>
              </w:rPr>
              <w:t>Obrigatório</w:t>
            </w:r>
          </w:p>
        </w:tc>
      </w:tr>
      <w:tr w:rsidR="00EE0371" w:rsidRPr="00EE0371" w14:paraId="2B2143ED" w14:textId="77777777" w:rsidTr="00EE0371">
        <w:trPr>
          <w:jc w:val="center"/>
        </w:trPr>
        <w:tc>
          <w:tcPr>
            <w:tcW w:w="3390" w:type="dxa"/>
            <w:vAlign w:val="center"/>
          </w:tcPr>
          <w:p w14:paraId="564A2E4A"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Localização do Bem Móvel</w:t>
            </w:r>
          </w:p>
        </w:tc>
        <w:tc>
          <w:tcPr>
            <w:tcW w:w="1133" w:type="dxa"/>
            <w:vAlign w:val="center"/>
          </w:tcPr>
          <w:p w14:paraId="76DEB807"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Caracter</w:t>
            </w:r>
          </w:p>
        </w:tc>
        <w:tc>
          <w:tcPr>
            <w:tcW w:w="1507" w:type="dxa"/>
            <w:vAlign w:val="center"/>
          </w:tcPr>
          <w:p w14:paraId="5946DB01"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1000</w:t>
            </w:r>
          </w:p>
        </w:tc>
        <w:tc>
          <w:tcPr>
            <w:tcW w:w="3016" w:type="dxa"/>
            <w:vAlign w:val="center"/>
          </w:tcPr>
          <w:p w14:paraId="0E4C95F3" w14:textId="77777777" w:rsidR="00EE0371" w:rsidRPr="00EE0371" w:rsidRDefault="00EE0371" w:rsidP="000D3464">
            <w:pPr>
              <w:spacing w:after="0" w:line="360" w:lineRule="auto"/>
              <w:rPr>
                <w:rFonts w:ascii="Arial" w:hAnsi="Arial" w:cs="Arial"/>
                <w:sz w:val="20"/>
                <w:szCs w:val="20"/>
              </w:rPr>
            </w:pPr>
            <w:r w:rsidRPr="00EE0371">
              <w:rPr>
                <w:rFonts w:ascii="Arial" w:hAnsi="Arial" w:cs="Arial"/>
                <w:sz w:val="20"/>
                <w:szCs w:val="20"/>
              </w:rPr>
              <w:t>Obrigatório</w:t>
            </w:r>
          </w:p>
        </w:tc>
      </w:tr>
      <w:tr w:rsidR="00EE0371" w:rsidRPr="00EE0371" w14:paraId="60F6D239" w14:textId="77777777" w:rsidTr="00EE0371">
        <w:trPr>
          <w:jc w:val="center"/>
        </w:trPr>
        <w:tc>
          <w:tcPr>
            <w:tcW w:w="3390" w:type="dxa"/>
            <w:vAlign w:val="center"/>
          </w:tcPr>
          <w:p w14:paraId="36379ADD"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 xml:space="preserve">Valor Bruto Contábil do Bem Móvel no Final Exercício </w:t>
            </w:r>
            <w:r w:rsidRPr="000D3464">
              <w:rPr>
                <w:rFonts w:ascii="Arial" w:eastAsia="Times New Roman" w:hAnsi="Arial" w:cs="Arial"/>
                <w:b/>
                <w:sz w:val="20"/>
                <w:szCs w:val="20"/>
                <w:vertAlign w:val="superscript"/>
                <w:lang w:eastAsia="pt-BR"/>
              </w:rPr>
              <w:t>[2]</w:t>
            </w:r>
          </w:p>
        </w:tc>
        <w:tc>
          <w:tcPr>
            <w:tcW w:w="1133" w:type="dxa"/>
            <w:vAlign w:val="center"/>
          </w:tcPr>
          <w:p w14:paraId="0E3CD9DE"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Decimal</w:t>
            </w:r>
          </w:p>
        </w:tc>
        <w:tc>
          <w:tcPr>
            <w:tcW w:w="1507" w:type="dxa"/>
            <w:vAlign w:val="center"/>
          </w:tcPr>
          <w:p w14:paraId="4F7EDB5C" w14:textId="77777777" w:rsidR="00EE0371" w:rsidRPr="00EE0371" w:rsidRDefault="00EE0371" w:rsidP="00EE0371">
            <w:pPr>
              <w:spacing w:after="0" w:line="360" w:lineRule="auto"/>
              <w:jc w:val="center"/>
              <w:rPr>
                <w:rFonts w:ascii="Arial" w:hAnsi="Arial" w:cs="Arial"/>
                <w:sz w:val="20"/>
                <w:szCs w:val="20"/>
              </w:rPr>
            </w:pPr>
            <w:r w:rsidRPr="00EE0371">
              <w:rPr>
                <w:rFonts w:ascii="Arial" w:hAnsi="Arial" w:cs="Arial"/>
                <w:sz w:val="20"/>
                <w:szCs w:val="20"/>
              </w:rPr>
              <w:t>14,2</w:t>
            </w:r>
          </w:p>
        </w:tc>
        <w:tc>
          <w:tcPr>
            <w:tcW w:w="3016" w:type="dxa"/>
            <w:vAlign w:val="center"/>
          </w:tcPr>
          <w:p w14:paraId="50B23DB9" w14:textId="77777777" w:rsidR="00EE0371" w:rsidRPr="00EE0371" w:rsidRDefault="00EE0371" w:rsidP="000D3464">
            <w:pPr>
              <w:spacing w:after="0" w:line="360" w:lineRule="auto"/>
              <w:rPr>
                <w:rFonts w:ascii="Arial" w:hAnsi="Arial" w:cs="Arial"/>
                <w:sz w:val="20"/>
                <w:szCs w:val="20"/>
              </w:rPr>
            </w:pPr>
            <w:r w:rsidRPr="00EE0371">
              <w:rPr>
                <w:rFonts w:ascii="Arial" w:hAnsi="Arial" w:cs="Arial"/>
                <w:sz w:val="20"/>
                <w:szCs w:val="20"/>
              </w:rPr>
              <w:t xml:space="preserve">Obrigatório </w:t>
            </w:r>
          </w:p>
        </w:tc>
      </w:tr>
    </w:tbl>
    <w:p w14:paraId="77EBC3BF" w14:textId="77777777" w:rsidR="00EE0371" w:rsidRPr="000D3464" w:rsidRDefault="00EE0371" w:rsidP="00EE0371">
      <w:pPr>
        <w:spacing w:after="0" w:line="240" w:lineRule="auto"/>
        <w:ind w:left="142" w:right="600"/>
        <w:jc w:val="both"/>
        <w:rPr>
          <w:rFonts w:ascii="Arial" w:hAnsi="Arial" w:cs="Arial"/>
          <w:sz w:val="18"/>
          <w:szCs w:val="18"/>
          <w:lang w:eastAsia="pt-BR"/>
        </w:rPr>
      </w:pPr>
      <w:r w:rsidRPr="000D3464">
        <w:rPr>
          <w:rFonts w:ascii="Arial" w:hAnsi="Arial" w:cs="Arial"/>
          <w:sz w:val="18"/>
          <w:szCs w:val="18"/>
          <w:lang w:eastAsia="pt-BR"/>
        </w:rPr>
        <w:t>[1] O Código Contábil a ser informado deverá pertencer ao Plano de Contas do CidadES do exercício e com atributo de escrituração S (Sim).</w:t>
      </w:r>
    </w:p>
    <w:p w14:paraId="2AC17DEF" w14:textId="77777777" w:rsidR="00EE0371" w:rsidRPr="000D3464" w:rsidRDefault="00EE0371" w:rsidP="00EE0371">
      <w:pPr>
        <w:spacing w:after="0" w:line="240" w:lineRule="auto"/>
        <w:ind w:left="142"/>
        <w:jc w:val="both"/>
        <w:rPr>
          <w:rFonts w:ascii="Arial" w:hAnsi="Arial" w:cs="Arial"/>
          <w:sz w:val="18"/>
          <w:szCs w:val="18"/>
        </w:rPr>
      </w:pPr>
      <w:r w:rsidRPr="000D3464">
        <w:rPr>
          <w:rFonts w:ascii="Arial" w:hAnsi="Arial" w:cs="Arial"/>
          <w:sz w:val="18"/>
          <w:szCs w:val="18"/>
        </w:rPr>
        <w:t>[2] O campo &lt;</w:t>
      </w:r>
      <w:r w:rsidRPr="000D3464">
        <w:rPr>
          <w:rFonts w:ascii="Arial" w:eastAsia="Times New Roman" w:hAnsi="Arial" w:cs="Arial"/>
          <w:sz w:val="18"/>
          <w:szCs w:val="18"/>
          <w:lang w:eastAsia="pt-BR"/>
        </w:rPr>
        <w:t>ValorBrutoContabilBemMovelFinalExercicio&gt; deve evidenciar o valor bruto do bem na respectiva conta contábil do PCASP/TCEES, sem considerar as deduções do exercício referentes a outras contas contábeis específicas no PCASP/TCEES, tais como depreciação e redução ao valor recuperável.</w:t>
      </w:r>
    </w:p>
    <w:p w14:paraId="5C0903ED" w14:textId="77777777" w:rsidR="00EE0371" w:rsidRPr="000D3464" w:rsidRDefault="00EE0371" w:rsidP="00EE0371">
      <w:pPr>
        <w:spacing w:after="0" w:line="240" w:lineRule="auto"/>
        <w:jc w:val="both"/>
        <w:rPr>
          <w:rFonts w:ascii="Arial" w:hAnsi="Arial" w:cs="Arial"/>
          <w:sz w:val="18"/>
          <w:szCs w:val="18"/>
        </w:rPr>
      </w:pPr>
    </w:p>
    <w:p w14:paraId="60E88D96" w14:textId="77777777" w:rsidR="00EE0371" w:rsidRPr="000D3464" w:rsidRDefault="00EE0371" w:rsidP="00EE0371">
      <w:pPr>
        <w:spacing w:after="0" w:line="240" w:lineRule="auto"/>
        <w:jc w:val="both"/>
        <w:rPr>
          <w:rFonts w:ascii="Arial" w:hAnsi="Arial" w:cs="Arial"/>
          <w:sz w:val="18"/>
          <w:szCs w:val="18"/>
        </w:rPr>
      </w:pPr>
      <w:r w:rsidRPr="000D3464">
        <w:rPr>
          <w:rFonts w:ascii="Arial" w:hAnsi="Arial" w:cs="Arial"/>
          <w:sz w:val="18"/>
          <w:szCs w:val="18"/>
        </w:rPr>
        <w:t>Obs.: Somente serão aceitos valores positivos.</w:t>
      </w:r>
    </w:p>
    <w:p w14:paraId="548CA24F" w14:textId="77777777" w:rsidR="00EE0371" w:rsidRPr="00EE0371" w:rsidRDefault="00EE0371" w:rsidP="00EE0371">
      <w:pPr>
        <w:spacing w:after="0" w:line="240" w:lineRule="auto"/>
        <w:ind w:right="600"/>
        <w:jc w:val="both"/>
        <w:rPr>
          <w:rFonts w:ascii="Arial" w:hAnsi="Arial" w:cs="Arial"/>
          <w:sz w:val="20"/>
          <w:szCs w:val="20"/>
          <w:lang w:eastAsia="pt-BR"/>
        </w:rPr>
      </w:pPr>
    </w:p>
    <w:p w14:paraId="323BA357" w14:textId="77777777" w:rsidR="00EE0371" w:rsidRPr="00EE0371" w:rsidRDefault="00EE0371" w:rsidP="00EE0371">
      <w:pPr>
        <w:spacing w:after="0" w:line="240" w:lineRule="auto"/>
        <w:ind w:right="600"/>
        <w:jc w:val="both"/>
        <w:rPr>
          <w:rFonts w:ascii="Arial" w:hAnsi="Arial" w:cs="Arial"/>
          <w:sz w:val="20"/>
          <w:szCs w:val="20"/>
          <w:lang w:eastAsia="pt-BR"/>
        </w:rPr>
      </w:pPr>
    </w:p>
    <w:p w14:paraId="34F61700" w14:textId="77777777" w:rsidR="00EE0371" w:rsidRPr="00EE0371" w:rsidRDefault="00EE0371" w:rsidP="00EE0371">
      <w:pPr>
        <w:spacing w:after="0" w:line="240" w:lineRule="auto"/>
        <w:ind w:left="708" w:right="600" w:firstLine="708"/>
        <w:jc w:val="both"/>
        <w:rPr>
          <w:rFonts w:ascii="Arial" w:hAnsi="Arial" w:cs="Arial"/>
          <w:sz w:val="20"/>
          <w:szCs w:val="20"/>
          <w:lang w:eastAsia="pt-BR"/>
        </w:rPr>
      </w:pPr>
    </w:p>
    <w:p w14:paraId="5FDD1F09" w14:textId="14E0D55C" w:rsidR="00EE0371" w:rsidRPr="00EE0371" w:rsidRDefault="00EE0371" w:rsidP="00A60EA7">
      <w:pPr>
        <w:pStyle w:val="Ttulo3"/>
      </w:pPr>
      <w:bookmarkStart w:id="40" w:name="_Toc94806316"/>
      <w:r w:rsidRPr="00EE0371">
        <w:t>INVINT.XML (ou InventarioBensIntangiveis.xml)</w:t>
      </w:r>
      <w:bookmarkEnd w:id="40"/>
    </w:p>
    <w:p w14:paraId="40FC7369" w14:textId="0CE03630" w:rsidR="00EE0371" w:rsidRPr="00EE0371" w:rsidRDefault="00EE0371" w:rsidP="00EE0371">
      <w:pPr>
        <w:spacing w:after="0" w:line="360" w:lineRule="auto"/>
        <w:jc w:val="both"/>
        <w:rPr>
          <w:rFonts w:ascii="Arial" w:hAnsi="Arial"/>
        </w:rPr>
      </w:pPr>
      <w:r w:rsidRPr="00EE0371">
        <w:rPr>
          <w:rFonts w:ascii="Arial" w:hAnsi="Arial"/>
          <w:b/>
          <w:bCs/>
        </w:rPr>
        <w:t>Descrição: </w:t>
      </w:r>
      <w:r w:rsidRPr="00EE0371">
        <w:rPr>
          <w:rFonts w:ascii="Arial" w:hAnsi="Arial"/>
        </w:rPr>
        <w:t>Este arquivo conterá o inventário anual de bens intangíveis.</w:t>
      </w:r>
    </w:p>
    <w:p w14:paraId="2FE46680" w14:textId="77777777" w:rsidR="00EE0371" w:rsidRPr="00EE0371" w:rsidRDefault="00EE0371" w:rsidP="00EE0371">
      <w:pPr>
        <w:autoSpaceDE w:val="0"/>
        <w:autoSpaceDN w:val="0"/>
        <w:adjustRightInd w:val="0"/>
        <w:spacing w:after="0" w:line="240" w:lineRule="auto"/>
        <w:jc w:val="both"/>
        <w:rPr>
          <w:rFonts w:ascii="Arial" w:hAnsi="Arial"/>
          <w:b/>
          <w:bCs/>
        </w:rPr>
      </w:pPr>
    </w:p>
    <w:p w14:paraId="683D10CB" w14:textId="77777777" w:rsidR="00EE0371" w:rsidRPr="00EE0371" w:rsidRDefault="00EE0371" w:rsidP="00EE0371">
      <w:pPr>
        <w:autoSpaceDE w:val="0"/>
        <w:autoSpaceDN w:val="0"/>
        <w:adjustRightInd w:val="0"/>
        <w:spacing w:after="0" w:line="240" w:lineRule="auto"/>
        <w:jc w:val="both"/>
        <w:rPr>
          <w:rFonts w:ascii="Arial" w:hAnsi="Arial"/>
          <w:b/>
          <w:bCs/>
        </w:rPr>
      </w:pPr>
      <w:r w:rsidRPr="00EE0371">
        <w:rPr>
          <w:rFonts w:ascii="Arial" w:hAnsi="Arial"/>
          <w:b/>
          <w:bCs/>
        </w:rPr>
        <w:t>Estrutura:</w:t>
      </w:r>
    </w:p>
    <w:p w14:paraId="09BA22DA" w14:textId="77777777" w:rsidR="00EE0371" w:rsidRPr="00EE0371" w:rsidRDefault="00EE0371" w:rsidP="00EE0371">
      <w:pPr>
        <w:spacing w:after="0" w:line="240" w:lineRule="auto"/>
        <w:ind w:right="600"/>
        <w:jc w:val="both"/>
        <w:rPr>
          <w:rFonts w:ascii="Arial" w:hAnsi="Arial"/>
        </w:rPr>
      </w:pPr>
    </w:p>
    <w:p w14:paraId="44D7B646" w14:textId="77777777" w:rsidR="00EE0371" w:rsidRPr="00EE0371" w:rsidRDefault="00EE0371" w:rsidP="00EE0371">
      <w:pPr>
        <w:spacing w:after="0" w:line="240" w:lineRule="auto"/>
        <w:ind w:right="600"/>
        <w:jc w:val="both"/>
        <w:rPr>
          <w:rFonts w:ascii="Arial" w:hAnsi="Arial" w:cs="Arial"/>
          <w:sz w:val="20"/>
          <w:szCs w:val="20"/>
          <w:lang w:eastAsia="pt-BR"/>
        </w:rPr>
      </w:pPr>
      <w:r w:rsidRPr="00EE0371">
        <w:rPr>
          <w:rFonts w:ascii="Arial" w:hAnsi="Arial" w:cs="Arial"/>
          <w:sz w:val="20"/>
          <w:szCs w:val="20"/>
          <w:lang w:eastAsia="pt-BR"/>
        </w:rPr>
        <w:t>&lt;?xml version="1.0" encoding=“UTF-8”?&gt;</w:t>
      </w:r>
      <w:r w:rsidRPr="00EE0371">
        <w:rPr>
          <w:rFonts w:ascii="Arial" w:hAnsi="Arial" w:cs="Arial"/>
          <w:sz w:val="20"/>
          <w:szCs w:val="20"/>
          <w:lang w:eastAsia="pt-BR"/>
        </w:rPr>
        <w:tab/>
      </w:r>
    </w:p>
    <w:p w14:paraId="2278744C" w14:textId="77777777" w:rsidR="00EE0371" w:rsidRPr="00EE0371" w:rsidRDefault="00EE0371" w:rsidP="00EE0371">
      <w:pPr>
        <w:spacing w:after="0" w:line="240" w:lineRule="auto"/>
        <w:ind w:right="600"/>
        <w:jc w:val="both"/>
        <w:rPr>
          <w:rFonts w:ascii="Arial" w:hAnsi="Arial" w:cs="Arial"/>
          <w:sz w:val="20"/>
          <w:szCs w:val="20"/>
          <w:lang w:eastAsia="pt-BR"/>
        </w:rPr>
      </w:pPr>
      <w:r w:rsidRPr="00EE0371">
        <w:rPr>
          <w:rFonts w:ascii="Arial" w:hAnsi="Arial" w:cs="Arial"/>
          <w:sz w:val="20"/>
          <w:szCs w:val="20"/>
          <w:lang w:eastAsia="pt-BR"/>
        </w:rPr>
        <w:t>&lt;PrestacaoContasAnual&gt;</w:t>
      </w:r>
    </w:p>
    <w:p w14:paraId="02124B6C" w14:textId="77777777" w:rsidR="00EE0371" w:rsidRPr="00EE0371" w:rsidRDefault="00EE0371" w:rsidP="00EE0371">
      <w:pPr>
        <w:spacing w:after="0" w:line="240" w:lineRule="auto"/>
        <w:ind w:right="600"/>
        <w:jc w:val="both"/>
        <w:rPr>
          <w:rFonts w:ascii="Arial" w:hAnsi="Arial" w:cs="Arial"/>
          <w:sz w:val="20"/>
          <w:szCs w:val="20"/>
          <w:lang w:eastAsia="pt-BR"/>
        </w:rPr>
      </w:pPr>
      <w:r w:rsidRPr="00EE0371">
        <w:rPr>
          <w:rFonts w:ascii="Arial" w:hAnsi="Arial" w:cs="Arial"/>
          <w:sz w:val="20"/>
          <w:szCs w:val="20"/>
          <w:lang w:eastAsia="pt-BR"/>
        </w:rPr>
        <w:tab/>
      </w:r>
      <w:r w:rsidRPr="00EE0371">
        <w:rPr>
          <w:rFonts w:ascii="Arial" w:hAnsi="Arial" w:cs="Arial"/>
          <w:sz w:val="20"/>
          <w:szCs w:val="20"/>
          <w:lang w:eastAsia="pt-BR"/>
        </w:rPr>
        <w:tab/>
      </w:r>
    </w:p>
    <w:p w14:paraId="12E43079" w14:textId="77777777" w:rsidR="00EE0371" w:rsidRPr="00EE0371" w:rsidRDefault="00EE0371" w:rsidP="00EE0371">
      <w:pPr>
        <w:spacing w:after="0" w:line="240" w:lineRule="auto"/>
        <w:ind w:right="600"/>
        <w:jc w:val="both"/>
        <w:rPr>
          <w:rFonts w:ascii="Arial" w:hAnsi="Arial" w:cs="Arial"/>
          <w:sz w:val="20"/>
          <w:szCs w:val="20"/>
          <w:lang w:eastAsia="pt-BR"/>
        </w:rPr>
      </w:pPr>
      <w:r w:rsidRPr="00EE0371">
        <w:rPr>
          <w:rFonts w:ascii="Arial" w:hAnsi="Arial" w:cs="Arial"/>
          <w:sz w:val="20"/>
          <w:szCs w:val="20"/>
          <w:lang w:eastAsia="pt-BR"/>
        </w:rPr>
        <w:t xml:space="preserve">     &lt;InventarioBemIntangivel_Schema&gt;</w:t>
      </w:r>
      <w:r w:rsidRPr="00EE0371">
        <w:rPr>
          <w:rFonts w:ascii="Arial" w:hAnsi="Arial" w:cs="Arial"/>
          <w:sz w:val="20"/>
          <w:szCs w:val="20"/>
          <w:lang w:eastAsia="pt-BR"/>
        </w:rPr>
        <w:tab/>
      </w:r>
      <w:r w:rsidRPr="00EE0371">
        <w:rPr>
          <w:rFonts w:ascii="Arial" w:hAnsi="Arial" w:cs="Arial"/>
          <w:sz w:val="20"/>
          <w:szCs w:val="20"/>
          <w:lang w:eastAsia="pt-BR"/>
        </w:rPr>
        <w:tab/>
      </w:r>
    </w:p>
    <w:p w14:paraId="57245B50" w14:textId="77777777" w:rsidR="00EE0371" w:rsidRPr="00EE0371" w:rsidRDefault="00EE0371" w:rsidP="00EE0371">
      <w:pPr>
        <w:spacing w:after="0" w:line="240" w:lineRule="auto"/>
        <w:ind w:right="600" w:firstLine="708"/>
        <w:jc w:val="both"/>
        <w:rPr>
          <w:rFonts w:ascii="Arial" w:hAnsi="Arial" w:cs="Arial"/>
          <w:sz w:val="20"/>
          <w:szCs w:val="20"/>
          <w:lang w:eastAsia="pt-BR"/>
        </w:rPr>
      </w:pPr>
    </w:p>
    <w:p w14:paraId="28CFF63D" w14:textId="77777777" w:rsidR="00EE0371" w:rsidRPr="00EE0371" w:rsidRDefault="00EE0371" w:rsidP="00EE0371">
      <w:pPr>
        <w:spacing w:after="0" w:line="240" w:lineRule="auto"/>
        <w:ind w:right="600" w:firstLine="708"/>
        <w:jc w:val="both"/>
        <w:rPr>
          <w:rFonts w:ascii="Arial" w:hAnsi="Arial" w:cs="Arial"/>
          <w:sz w:val="20"/>
          <w:szCs w:val="20"/>
          <w:lang w:eastAsia="pt-BR"/>
        </w:rPr>
      </w:pPr>
      <w:r w:rsidRPr="00EE0371">
        <w:rPr>
          <w:rFonts w:ascii="Arial" w:hAnsi="Arial" w:cs="Arial"/>
          <w:sz w:val="20"/>
          <w:szCs w:val="20"/>
          <w:lang w:eastAsia="pt-BR"/>
        </w:rPr>
        <w:t>&lt;InventarioBemIntangivel&gt;</w:t>
      </w:r>
      <w:r w:rsidRPr="00EE0371">
        <w:rPr>
          <w:rFonts w:ascii="Arial" w:hAnsi="Arial" w:cs="Arial"/>
          <w:sz w:val="20"/>
          <w:szCs w:val="20"/>
          <w:lang w:eastAsia="pt-BR"/>
        </w:rPr>
        <w:tab/>
      </w:r>
      <w:r w:rsidRPr="00EE0371">
        <w:rPr>
          <w:rFonts w:ascii="Arial" w:hAnsi="Arial" w:cs="Arial"/>
          <w:sz w:val="20"/>
          <w:szCs w:val="20"/>
          <w:lang w:eastAsia="pt-BR"/>
        </w:rPr>
        <w:tab/>
      </w:r>
    </w:p>
    <w:p w14:paraId="4D264465" w14:textId="77777777" w:rsidR="00EE0371" w:rsidRDefault="00EE0371" w:rsidP="00EE0371">
      <w:pPr>
        <w:spacing w:after="0" w:line="240" w:lineRule="auto"/>
        <w:ind w:right="600" w:firstLine="708"/>
        <w:jc w:val="both"/>
        <w:rPr>
          <w:rFonts w:ascii="Arial" w:hAnsi="Arial" w:cs="Arial"/>
          <w:sz w:val="20"/>
          <w:szCs w:val="20"/>
          <w:lang w:eastAsia="pt-BR"/>
        </w:rPr>
      </w:pPr>
      <w:r w:rsidRPr="00EE0371">
        <w:rPr>
          <w:rFonts w:ascii="Arial" w:hAnsi="Arial" w:cs="Arial"/>
          <w:sz w:val="20"/>
          <w:szCs w:val="20"/>
          <w:lang w:eastAsia="pt-BR"/>
        </w:rPr>
        <w:lastRenderedPageBreak/>
        <w:t xml:space="preserve">     &lt;IdNumRegistro&gt;</w:t>
      </w:r>
      <w:r w:rsidRPr="00EE0371">
        <w:rPr>
          <w:rFonts w:ascii="Arial" w:hAnsi="Arial" w:cs="Arial"/>
          <w:b/>
          <w:sz w:val="20"/>
          <w:szCs w:val="20"/>
          <w:lang w:eastAsia="pt-BR"/>
        </w:rPr>
        <w:t>99999</w:t>
      </w:r>
      <w:r w:rsidRPr="00EE0371">
        <w:rPr>
          <w:rFonts w:ascii="Arial" w:hAnsi="Arial" w:cs="Arial"/>
          <w:sz w:val="20"/>
          <w:szCs w:val="20"/>
          <w:lang w:eastAsia="pt-BR"/>
        </w:rPr>
        <w:t>&lt;/IdNumRegistro&gt;</w:t>
      </w:r>
      <w:r w:rsidRPr="00EE0371">
        <w:rPr>
          <w:rFonts w:ascii="Arial" w:hAnsi="Arial" w:cs="Arial"/>
          <w:sz w:val="20"/>
          <w:szCs w:val="20"/>
          <w:lang w:eastAsia="pt-BR"/>
        </w:rPr>
        <w:tab/>
      </w:r>
      <w:r w:rsidRPr="00EE0371">
        <w:rPr>
          <w:rFonts w:ascii="Arial" w:hAnsi="Arial" w:cs="Arial"/>
          <w:sz w:val="20"/>
          <w:szCs w:val="20"/>
          <w:lang w:eastAsia="pt-BR"/>
        </w:rPr>
        <w:tab/>
      </w:r>
    </w:p>
    <w:p w14:paraId="501AC669" w14:textId="77777777" w:rsidR="00DD49C9" w:rsidRPr="00122606" w:rsidRDefault="00DD49C9" w:rsidP="00DD49C9">
      <w:pPr>
        <w:spacing w:after="0" w:line="240" w:lineRule="auto"/>
        <w:ind w:firstLine="708"/>
        <w:rPr>
          <w:rFonts w:ascii="Arial" w:hAnsi="Arial" w:cs="Arial"/>
          <w:sz w:val="20"/>
          <w:szCs w:val="20"/>
          <w:lang w:eastAsia="pt-BR"/>
        </w:rPr>
      </w:pPr>
      <w:r w:rsidRPr="00122606">
        <w:rPr>
          <w:rFonts w:ascii="Arial" w:hAnsi="Arial" w:cs="Arial"/>
          <w:sz w:val="20"/>
          <w:szCs w:val="20"/>
          <w:lang w:eastAsia="pt-BR"/>
        </w:rPr>
        <w:t xml:space="preserve">     &lt;CodigoUnidadeGestora&gt;</w:t>
      </w:r>
      <w:r w:rsidRPr="00122606">
        <w:rPr>
          <w:rFonts w:ascii="Arial" w:hAnsi="Arial" w:cs="Arial"/>
          <w:b/>
          <w:sz w:val="20"/>
          <w:szCs w:val="20"/>
          <w:lang w:eastAsia="pt-BR"/>
        </w:rPr>
        <w:t>XXXXXXXXXXX</w:t>
      </w:r>
      <w:r w:rsidRPr="00122606">
        <w:rPr>
          <w:rFonts w:ascii="Arial" w:hAnsi="Arial" w:cs="Arial"/>
          <w:sz w:val="20"/>
          <w:szCs w:val="20"/>
          <w:lang w:eastAsia="pt-BR"/>
        </w:rPr>
        <w:t>&lt;/CodigoUnidadeGestora&gt;</w:t>
      </w:r>
    </w:p>
    <w:p w14:paraId="2E3A7D51" w14:textId="77777777" w:rsidR="00EE0371" w:rsidRPr="00EE0371" w:rsidRDefault="00EE0371" w:rsidP="00EE0371">
      <w:pPr>
        <w:spacing w:after="0" w:line="240" w:lineRule="auto"/>
        <w:ind w:right="600" w:firstLine="708"/>
        <w:jc w:val="both"/>
        <w:rPr>
          <w:rFonts w:ascii="Arial" w:hAnsi="Arial" w:cs="Arial"/>
          <w:sz w:val="20"/>
          <w:szCs w:val="20"/>
          <w:lang w:eastAsia="pt-BR"/>
        </w:rPr>
      </w:pPr>
      <w:r w:rsidRPr="00EE0371">
        <w:rPr>
          <w:rFonts w:ascii="Arial" w:hAnsi="Arial" w:cs="Arial"/>
          <w:sz w:val="20"/>
          <w:szCs w:val="20"/>
          <w:lang w:eastAsia="pt-BR"/>
        </w:rPr>
        <w:t xml:space="preserve">     &lt;CodigoContabil&gt;</w:t>
      </w:r>
      <w:r w:rsidRPr="00EE0371">
        <w:rPr>
          <w:rFonts w:ascii="Arial" w:hAnsi="Arial" w:cs="Arial"/>
          <w:b/>
          <w:sz w:val="20"/>
          <w:szCs w:val="20"/>
          <w:lang w:eastAsia="pt-BR"/>
        </w:rPr>
        <w:t>999999999</w:t>
      </w:r>
      <w:r w:rsidRPr="00EE0371">
        <w:rPr>
          <w:rFonts w:ascii="Arial" w:hAnsi="Arial" w:cs="Arial"/>
          <w:sz w:val="20"/>
          <w:szCs w:val="20"/>
          <w:lang w:eastAsia="pt-BR"/>
        </w:rPr>
        <w:t xml:space="preserve">&lt;/CodigoContabil&gt; </w:t>
      </w:r>
      <w:r w:rsidRPr="00EE0371">
        <w:rPr>
          <w:rFonts w:ascii="Arial" w:hAnsi="Arial" w:cs="Arial"/>
          <w:sz w:val="20"/>
          <w:szCs w:val="20"/>
          <w:lang w:eastAsia="pt-BR"/>
        </w:rPr>
        <w:tab/>
      </w:r>
      <w:r w:rsidRPr="00EE0371">
        <w:rPr>
          <w:rFonts w:ascii="Arial" w:hAnsi="Arial" w:cs="Arial"/>
          <w:sz w:val="20"/>
          <w:szCs w:val="20"/>
          <w:lang w:eastAsia="pt-BR"/>
        </w:rPr>
        <w:tab/>
      </w:r>
    </w:p>
    <w:p w14:paraId="14E657BB" w14:textId="77777777" w:rsidR="00EE0371" w:rsidRPr="00EE0371" w:rsidRDefault="00EE0371" w:rsidP="00EE0371">
      <w:pPr>
        <w:spacing w:after="0" w:line="240" w:lineRule="auto"/>
        <w:ind w:right="600" w:firstLine="708"/>
        <w:jc w:val="both"/>
        <w:rPr>
          <w:rFonts w:ascii="Arial" w:hAnsi="Arial" w:cs="Arial"/>
          <w:sz w:val="20"/>
          <w:szCs w:val="20"/>
          <w:lang w:eastAsia="pt-BR"/>
        </w:rPr>
      </w:pPr>
      <w:r w:rsidRPr="00EE0371">
        <w:rPr>
          <w:rFonts w:ascii="Arial" w:hAnsi="Arial" w:cs="Arial"/>
          <w:sz w:val="20"/>
          <w:szCs w:val="20"/>
          <w:lang w:eastAsia="pt-BR"/>
        </w:rPr>
        <w:t xml:space="preserve">     &lt;DescricaoBemIntangivel&gt;</w:t>
      </w:r>
      <w:r w:rsidRPr="00EE0371">
        <w:rPr>
          <w:rFonts w:ascii="Arial" w:hAnsi="Arial" w:cs="Arial"/>
          <w:b/>
          <w:sz w:val="20"/>
          <w:szCs w:val="20"/>
          <w:lang w:eastAsia="pt-BR"/>
        </w:rPr>
        <w:t>XXX...XXX</w:t>
      </w:r>
      <w:r w:rsidRPr="00EE0371">
        <w:rPr>
          <w:rFonts w:ascii="Arial" w:hAnsi="Arial" w:cs="Arial"/>
          <w:sz w:val="20"/>
          <w:szCs w:val="20"/>
          <w:lang w:eastAsia="pt-BR"/>
        </w:rPr>
        <w:t>&lt;/DescricaoBemIntangivel&gt;</w:t>
      </w:r>
    </w:p>
    <w:p w14:paraId="63C06976" w14:textId="77777777" w:rsidR="00EE0371" w:rsidRPr="00EE0371" w:rsidRDefault="00EE0371" w:rsidP="00EE0371">
      <w:pPr>
        <w:spacing w:after="0" w:line="240" w:lineRule="auto"/>
        <w:ind w:right="600" w:firstLine="708"/>
        <w:jc w:val="both"/>
        <w:rPr>
          <w:rFonts w:ascii="Arial" w:hAnsi="Arial" w:cs="Arial"/>
          <w:sz w:val="20"/>
          <w:szCs w:val="20"/>
          <w:lang w:eastAsia="pt-BR"/>
        </w:rPr>
      </w:pPr>
      <w:r w:rsidRPr="00EE0371">
        <w:rPr>
          <w:rFonts w:ascii="Arial" w:hAnsi="Arial" w:cs="Arial"/>
          <w:sz w:val="20"/>
          <w:szCs w:val="20"/>
          <w:lang w:eastAsia="pt-BR"/>
        </w:rPr>
        <w:t xml:space="preserve">     &lt;DataAquisicaoIncorporacaoBemIntangivel&gt;</w:t>
      </w:r>
      <w:r w:rsidRPr="00EE0371">
        <w:rPr>
          <w:rFonts w:ascii="Arial" w:hAnsi="Arial" w:cs="Arial"/>
          <w:b/>
          <w:sz w:val="20"/>
          <w:szCs w:val="20"/>
          <w:lang w:eastAsia="pt-BR"/>
        </w:rPr>
        <w:t>9999-99-99</w:t>
      </w:r>
    </w:p>
    <w:p w14:paraId="679ACD79" w14:textId="77777777" w:rsidR="00EE0371" w:rsidRPr="00EE0371" w:rsidRDefault="00EE0371" w:rsidP="00EE0371">
      <w:pPr>
        <w:spacing w:after="0" w:line="240" w:lineRule="auto"/>
        <w:ind w:left="993" w:right="600" w:firstLine="1"/>
        <w:jc w:val="both"/>
        <w:rPr>
          <w:rFonts w:ascii="Arial" w:hAnsi="Arial" w:cs="Arial"/>
          <w:sz w:val="20"/>
          <w:szCs w:val="20"/>
          <w:lang w:eastAsia="pt-BR"/>
        </w:rPr>
      </w:pPr>
      <w:r w:rsidRPr="00EE0371">
        <w:rPr>
          <w:rFonts w:ascii="Arial" w:hAnsi="Arial" w:cs="Arial"/>
          <w:sz w:val="20"/>
          <w:szCs w:val="20"/>
          <w:lang w:eastAsia="pt-BR"/>
        </w:rPr>
        <w:t xml:space="preserve">&lt;/DataAquisicaoIncorporacaoBemIntangivel&gt; </w:t>
      </w:r>
    </w:p>
    <w:p w14:paraId="38C99398" w14:textId="77777777" w:rsidR="00EE0371" w:rsidRPr="00EE0371" w:rsidRDefault="00EE0371" w:rsidP="00EE0371">
      <w:pPr>
        <w:spacing w:after="0" w:line="240" w:lineRule="auto"/>
        <w:ind w:left="708" w:right="600"/>
        <w:jc w:val="both"/>
        <w:rPr>
          <w:rFonts w:ascii="Arial" w:hAnsi="Arial" w:cs="Arial"/>
          <w:sz w:val="20"/>
          <w:szCs w:val="20"/>
          <w:lang w:eastAsia="pt-BR"/>
        </w:rPr>
      </w:pPr>
      <w:r w:rsidRPr="00EE0371">
        <w:rPr>
          <w:rFonts w:ascii="Arial" w:hAnsi="Arial" w:cs="Arial"/>
          <w:sz w:val="20"/>
          <w:szCs w:val="20"/>
          <w:lang w:eastAsia="pt-BR"/>
        </w:rPr>
        <w:t xml:space="preserve">     &lt;ValorContabilHistoricoBemIntangivel&gt;</w:t>
      </w:r>
      <w:r w:rsidRPr="00EE0371">
        <w:rPr>
          <w:rFonts w:ascii="Arial" w:hAnsi="Arial" w:cs="Arial"/>
          <w:b/>
          <w:sz w:val="20"/>
          <w:szCs w:val="20"/>
          <w:lang w:eastAsia="pt-BR"/>
        </w:rPr>
        <w:t>99999999999999.99</w:t>
      </w:r>
    </w:p>
    <w:p w14:paraId="282FF2A1" w14:textId="77777777" w:rsidR="00EE0371" w:rsidRPr="00EE0371" w:rsidRDefault="00EE0371" w:rsidP="00EE0371">
      <w:pPr>
        <w:spacing w:after="0" w:line="240" w:lineRule="auto"/>
        <w:ind w:left="993" w:right="600" w:firstLine="1"/>
        <w:jc w:val="both"/>
        <w:rPr>
          <w:rFonts w:ascii="Arial" w:hAnsi="Arial" w:cs="Arial"/>
          <w:sz w:val="20"/>
          <w:szCs w:val="20"/>
          <w:lang w:eastAsia="pt-BR"/>
        </w:rPr>
      </w:pPr>
      <w:r w:rsidRPr="00EE0371">
        <w:rPr>
          <w:rFonts w:ascii="Arial" w:hAnsi="Arial" w:cs="Arial"/>
          <w:sz w:val="20"/>
          <w:szCs w:val="20"/>
          <w:lang w:eastAsia="pt-BR"/>
        </w:rPr>
        <w:t>&lt;/ValorContabilHistoricoBemIntangivel&gt;</w:t>
      </w:r>
    </w:p>
    <w:p w14:paraId="527BDE1C" w14:textId="77777777" w:rsidR="00EE0371" w:rsidRPr="00EE0371" w:rsidRDefault="00EE0371" w:rsidP="00EE0371">
      <w:pPr>
        <w:spacing w:after="0" w:line="240" w:lineRule="auto"/>
        <w:ind w:right="600" w:firstLine="708"/>
        <w:jc w:val="both"/>
        <w:rPr>
          <w:rFonts w:ascii="Arial" w:hAnsi="Arial" w:cs="Arial"/>
          <w:sz w:val="20"/>
          <w:szCs w:val="20"/>
          <w:lang w:eastAsia="pt-BR"/>
        </w:rPr>
      </w:pPr>
      <w:r w:rsidRPr="00EE0371">
        <w:rPr>
          <w:rFonts w:ascii="Arial" w:hAnsi="Arial" w:cs="Arial"/>
          <w:sz w:val="20"/>
          <w:szCs w:val="20"/>
          <w:lang w:eastAsia="pt-BR"/>
        </w:rPr>
        <w:t xml:space="preserve">     &lt;NumeroControleBemIntangivel&gt;</w:t>
      </w:r>
      <w:r w:rsidRPr="00EE0371">
        <w:rPr>
          <w:rFonts w:ascii="Arial" w:hAnsi="Arial" w:cs="Arial"/>
          <w:b/>
          <w:sz w:val="20"/>
          <w:szCs w:val="20"/>
          <w:lang w:eastAsia="pt-BR"/>
        </w:rPr>
        <w:t>XXX...XXX</w:t>
      </w:r>
    </w:p>
    <w:p w14:paraId="7504A6EB" w14:textId="77777777" w:rsidR="00EE0371" w:rsidRPr="00EE0371" w:rsidRDefault="00EE0371" w:rsidP="00EE0371">
      <w:pPr>
        <w:spacing w:after="0" w:line="240" w:lineRule="auto"/>
        <w:ind w:left="993" w:right="600" w:firstLine="1"/>
        <w:jc w:val="both"/>
        <w:rPr>
          <w:rFonts w:ascii="Arial" w:hAnsi="Arial" w:cs="Arial"/>
          <w:sz w:val="20"/>
          <w:szCs w:val="20"/>
          <w:lang w:eastAsia="pt-BR"/>
        </w:rPr>
      </w:pPr>
      <w:r w:rsidRPr="00EE0371">
        <w:rPr>
          <w:rFonts w:ascii="Arial" w:hAnsi="Arial" w:cs="Arial"/>
          <w:sz w:val="20"/>
          <w:szCs w:val="20"/>
          <w:lang w:eastAsia="pt-BR"/>
        </w:rPr>
        <w:t xml:space="preserve">&lt;/NumeroControleBemIntangivel&gt; </w:t>
      </w:r>
    </w:p>
    <w:p w14:paraId="4E8481E7" w14:textId="77777777" w:rsidR="00EE0371" w:rsidRPr="00EE0371" w:rsidRDefault="00EE0371" w:rsidP="00EE0371">
      <w:pPr>
        <w:spacing w:after="0" w:line="240" w:lineRule="auto"/>
        <w:ind w:left="993"/>
        <w:jc w:val="both"/>
        <w:rPr>
          <w:rFonts w:ascii="Arial" w:eastAsia="Times New Roman" w:hAnsi="Arial" w:cs="Arial"/>
          <w:b/>
          <w:bCs/>
          <w:sz w:val="20"/>
          <w:szCs w:val="20"/>
          <w:lang w:eastAsia="pt-BR"/>
        </w:rPr>
      </w:pPr>
      <w:r w:rsidRPr="00EE0371">
        <w:rPr>
          <w:rFonts w:ascii="Arial" w:eastAsia="Times New Roman" w:hAnsi="Arial" w:cs="Arial"/>
          <w:sz w:val="20"/>
          <w:szCs w:val="20"/>
          <w:lang w:eastAsia="pt-BR"/>
        </w:rPr>
        <w:t>&lt;NumeroCertidaoRegistroBemIntangivel&gt;</w:t>
      </w:r>
      <w:r w:rsidRPr="00EE0371">
        <w:rPr>
          <w:rFonts w:ascii="Arial" w:eastAsia="Times New Roman" w:hAnsi="Arial" w:cs="Arial"/>
          <w:b/>
          <w:bCs/>
          <w:sz w:val="20"/>
          <w:szCs w:val="20"/>
          <w:lang w:eastAsia="pt-BR"/>
        </w:rPr>
        <w:t>XXX...XXX</w:t>
      </w:r>
    </w:p>
    <w:p w14:paraId="4C785090" w14:textId="77777777" w:rsidR="00EE0371" w:rsidRPr="00EE0371" w:rsidRDefault="00EE0371" w:rsidP="00EE0371">
      <w:pPr>
        <w:spacing w:after="0" w:line="240" w:lineRule="auto"/>
        <w:ind w:left="993" w:firstLine="1"/>
        <w:jc w:val="both"/>
        <w:rPr>
          <w:rFonts w:ascii="Arial" w:eastAsia="Times New Roman" w:hAnsi="Arial" w:cs="Arial"/>
          <w:sz w:val="20"/>
          <w:szCs w:val="20"/>
          <w:lang w:eastAsia="pt-BR"/>
        </w:rPr>
      </w:pPr>
      <w:r w:rsidRPr="00EE0371">
        <w:rPr>
          <w:rFonts w:ascii="Arial" w:eastAsia="Times New Roman" w:hAnsi="Arial" w:cs="Arial"/>
          <w:sz w:val="20"/>
          <w:szCs w:val="20"/>
          <w:lang w:eastAsia="pt-BR"/>
        </w:rPr>
        <w:t xml:space="preserve">&lt;/NumeroCertidaoRegistroBemIntangivel&gt; </w:t>
      </w:r>
    </w:p>
    <w:p w14:paraId="3EB76F64" w14:textId="77777777" w:rsidR="00EE0371" w:rsidRPr="00EE0371" w:rsidRDefault="00EE0371" w:rsidP="00EE0371">
      <w:pPr>
        <w:spacing w:after="0" w:line="240" w:lineRule="auto"/>
        <w:ind w:left="993" w:right="600"/>
        <w:jc w:val="both"/>
        <w:rPr>
          <w:rFonts w:ascii="Arial" w:hAnsi="Arial" w:cs="Arial"/>
          <w:b/>
          <w:sz w:val="20"/>
          <w:szCs w:val="20"/>
          <w:lang w:eastAsia="pt-BR"/>
        </w:rPr>
      </w:pPr>
      <w:r w:rsidRPr="00EE0371">
        <w:rPr>
          <w:rFonts w:ascii="Arial" w:hAnsi="Arial" w:cs="Arial"/>
          <w:sz w:val="20"/>
          <w:szCs w:val="20"/>
          <w:lang w:eastAsia="pt-BR"/>
        </w:rPr>
        <w:t>&lt;ValorBrutoContabilBemIntangivel&gt;</w:t>
      </w:r>
      <w:r w:rsidRPr="00EE0371">
        <w:rPr>
          <w:rFonts w:ascii="Arial" w:hAnsi="Arial" w:cs="Arial"/>
          <w:b/>
          <w:sz w:val="20"/>
          <w:szCs w:val="20"/>
          <w:lang w:eastAsia="pt-BR"/>
        </w:rPr>
        <w:t>99999999999999.99</w:t>
      </w:r>
    </w:p>
    <w:p w14:paraId="1E392952" w14:textId="77777777" w:rsidR="00EE0371" w:rsidRPr="00EE0371" w:rsidRDefault="00EE0371" w:rsidP="00EE0371">
      <w:pPr>
        <w:spacing w:after="0" w:line="240" w:lineRule="auto"/>
        <w:ind w:left="993" w:right="600" w:firstLine="1"/>
        <w:jc w:val="both"/>
        <w:rPr>
          <w:rFonts w:ascii="Arial" w:hAnsi="Arial" w:cs="Arial"/>
          <w:sz w:val="20"/>
          <w:szCs w:val="20"/>
          <w:lang w:eastAsia="pt-BR"/>
        </w:rPr>
      </w:pPr>
      <w:r w:rsidRPr="00EE0371">
        <w:rPr>
          <w:rFonts w:ascii="Arial" w:hAnsi="Arial" w:cs="Arial"/>
          <w:sz w:val="20"/>
          <w:szCs w:val="20"/>
          <w:lang w:eastAsia="pt-BR"/>
        </w:rPr>
        <w:t xml:space="preserve">&lt;/ValorBrutoContabilBemIntangivel&gt; </w:t>
      </w:r>
      <w:r w:rsidRPr="00EE0371">
        <w:rPr>
          <w:rFonts w:ascii="Arial" w:hAnsi="Arial" w:cs="Arial"/>
          <w:sz w:val="20"/>
          <w:szCs w:val="20"/>
          <w:lang w:eastAsia="pt-BR"/>
        </w:rPr>
        <w:tab/>
      </w:r>
      <w:r w:rsidRPr="00EE0371">
        <w:rPr>
          <w:rFonts w:ascii="Arial" w:hAnsi="Arial" w:cs="Arial"/>
          <w:sz w:val="20"/>
          <w:szCs w:val="20"/>
          <w:lang w:eastAsia="pt-BR"/>
        </w:rPr>
        <w:tab/>
      </w:r>
    </w:p>
    <w:p w14:paraId="11F2E80A" w14:textId="77777777" w:rsidR="00EE0371" w:rsidRPr="00EE0371" w:rsidRDefault="00EE0371" w:rsidP="00EE0371">
      <w:pPr>
        <w:spacing w:after="0" w:line="240" w:lineRule="auto"/>
        <w:ind w:right="600" w:firstLine="708"/>
        <w:jc w:val="both"/>
        <w:rPr>
          <w:rFonts w:ascii="Arial" w:hAnsi="Arial" w:cs="Arial"/>
          <w:sz w:val="20"/>
          <w:szCs w:val="20"/>
          <w:lang w:eastAsia="pt-BR"/>
        </w:rPr>
      </w:pPr>
      <w:r w:rsidRPr="00EE0371">
        <w:rPr>
          <w:rFonts w:ascii="Arial" w:hAnsi="Arial" w:cs="Arial"/>
          <w:sz w:val="20"/>
          <w:szCs w:val="20"/>
          <w:lang w:eastAsia="pt-BR"/>
        </w:rPr>
        <w:t>&lt;/InventarioBemIntangivel&gt;</w:t>
      </w:r>
    </w:p>
    <w:p w14:paraId="2EBC726B" w14:textId="77777777" w:rsidR="00EE0371" w:rsidRPr="00EE0371" w:rsidRDefault="00EE0371" w:rsidP="00EE0371">
      <w:pPr>
        <w:spacing w:after="0" w:line="240" w:lineRule="auto"/>
        <w:ind w:right="600" w:firstLine="708"/>
        <w:jc w:val="both"/>
        <w:rPr>
          <w:rFonts w:ascii="Arial" w:hAnsi="Arial" w:cs="Arial"/>
          <w:sz w:val="20"/>
          <w:szCs w:val="20"/>
          <w:lang w:eastAsia="pt-BR"/>
        </w:rPr>
      </w:pPr>
      <w:r w:rsidRPr="00EE0371">
        <w:rPr>
          <w:rFonts w:ascii="Arial" w:hAnsi="Arial" w:cs="Arial"/>
          <w:sz w:val="20"/>
          <w:szCs w:val="20"/>
          <w:lang w:eastAsia="pt-BR"/>
        </w:rPr>
        <w:tab/>
      </w:r>
      <w:r w:rsidRPr="00EE0371">
        <w:rPr>
          <w:rFonts w:ascii="Arial" w:hAnsi="Arial" w:cs="Arial"/>
          <w:sz w:val="20"/>
          <w:szCs w:val="20"/>
          <w:lang w:eastAsia="pt-BR"/>
        </w:rPr>
        <w:tab/>
      </w:r>
    </w:p>
    <w:p w14:paraId="0E7E41D9" w14:textId="77777777" w:rsidR="00EE0371" w:rsidRPr="00EE0371" w:rsidRDefault="00EE0371" w:rsidP="00EE0371">
      <w:pPr>
        <w:spacing w:after="0" w:line="240" w:lineRule="auto"/>
        <w:ind w:right="600"/>
        <w:jc w:val="both"/>
        <w:rPr>
          <w:rFonts w:ascii="Arial" w:hAnsi="Arial" w:cs="Arial"/>
          <w:sz w:val="20"/>
          <w:szCs w:val="20"/>
          <w:lang w:eastAsia="pt-BR"/>
        </w:rPr>
      </w:pPr>
      <w:r w:rsidRPr="00EE0371">
        <w:rPr>
          <w:rFonts w:ascii="Arial" w:hAnsi="Arial" w:cs="Arial"/>
          <w:sz w:val="20"/>
          <w:szCs w:val="20"/>
          <w:lang w:eastAsia="pt-BR"/>
        </w:rPr>
        <w:t xml:space="preserve">     &lt;/InventarioBemIntangivel_Schema&gt;</w:t>
      </w:r>
      <w:r w:rsidRPr="00EE0371">
        <w:rPr>
          <w:rFonts w:ascii="Arial" w:hAnsi="Arial" w:cs="Arial"/>
          <w:sz w:val="20"/>
          <w:szCs w:val="20"/>
          <w:lang w:eastAsia="pt-BR"/>
        </w:rPr>
        <w:tab/>
      </w:r>
      <w:r w:rsidRPr="00EE0371">
        <w:rPr>
          <w:rFonts w:ascii="Arial" w:hAnsi="Arial" w:cs="Arial"/>
          <w:sz w:val="20"/>
          <w:szCs w:val="20"/>
          <w:lang w:eastAsia="pt-BR"/>
        </w:rPr>
        <w:tab/>
      </w:r>
    </w:p>
    <w:p w14:paraId="1CB0E68B" w14:textId="77777777" w:rsidR="00EE0371" w:rsidRPr="00EE0371" w:rsidRDefault="00EE0371" w:rsidP="00EE0371">
      <w:pPr>
        <w:spacing w:after="0" w:line="240" w:lineRule="auto"/>
        <w:ind w:right="600"/>
        <w:jc w:val="both"/>
        <w:rPr>
          <w:rFonts w:ascii="Arial" w:hAnsi="Arial"/>
        </w:rPr>
      </w:pPr>
      <w:r w:rsidRPr="00EE0371">
        <w:rPr>
          <w:rFonts w:ascii="Arial" w:hAnsi="Arial" w:cs="Arial"/>
          <w:sz w:val="20"/>
          <w:szCs w:val="20"/>
          <w:lang w:eastAsia="pt-BR"/>
        </w:rPr>
        <w:t>&lt;/PrestacaoContasAnual&gt;</w:t>
      </w:r>
      <w:r w:rsidRPr="00EE0371">
        <w:rPr>
          <w:rFonts w:ascii="Arial" w:hAnsi="Arial"/>
        </w:rPr>
        <w:tab/>
      </w:r>
      <w:r w:rsidRPr="00EE0371">
        <w:rPr>
          <w:rFonts w:ascii="Arial" w:hAnsi="Arial"/>
        </w:rPr>
        <w:tab/>
      </w:r>
    </w:p>
    <w:p w14:paraId="49892BA0" w14:textId="77777777" w:rsidR="00EE0371" w:rsidRPr="00EE0371" w:rsidRDefault="00EE0371" w:rsidP="00EE0371">
      <w:pPr>
        <w:spacing w:after="0" w:line="360" w:lineRule="auto"/>
        <w:jc w:val="both"/>
        <w:rPr>
          <w:rFonts w:ascii="Arial" w:hAnsi="Arial" w:cs="Arial"/>
          <w:b/>
          <w:sz w:val="28"/>
          <w:highlight w:val="red"/>
        </w:rPr>
      </w:pPr>
    </w:p>
    <w:tbl>
      <w:tblPr>
        <w:tblW w:w="8584" w:type="dxa"/>
        <w:tblInd w:w="60" w:type="dxa"/>
        <w:tblCellMar>
          <w:left w:w="70" w:type="dxa"/>
          <w:right w:w="70" w:type="dxa"/>
        </w:tblCellMar>
        <w:tblLook w:val="04A0" w:firstRow="1" w:lastRow="0" w:firstColumn="1" w:lastColumn="0" w:noHBand="0" w:noVBand="1"/>
      </w:tblPr>
      <w:tblGrid>
        <w:gridCol w:w="3213"/>
        <w:gridCol w:w="1080"/>
        <w:gridCol w:w="1433"/>
        <w:gridCol w:w="2858"/>
      </w:tblGrid>
      <w:tr w:rsidR="00EE0371" w:rsidRPr="00EE0371" w14:paraId="0117B07D" w14:textId="77777777" w:rsidTr="00DD49C9">
        <w:trPr>
          <w:trHeight w:val="540"/>
        </w:trPr>
        <w:tc>
          <w:tcPr>
            <w:tcW w:w="3213" w:type="dxa"/>
            <w:tcBorders>
              <w:top w:val="single" w:sz="8" w:space="0" w:color="auto"/>
              <w:left w:val="single" w:sz="8" w:space="0" w:color="auto"/>
              <w:bottom w:val="single" w:sz="8" w:space="0" w:color="auto"/>
              <w:right w:val="single" w:sz="8" w:space="0" w:color="auto"/>
            </w:tcBorders>
            <w:shd w:val="clear" w:color="000000" w:fill="B3B3B3"/>
            <w:vAlign w:val="center"/>
            <w:hideMark/>
          </w:tcPr>
          <w:p w14:paraId="2E5B7DC1" w14:textId="77777777" w:rsidR="00EE0371" w:rsidRPr="00EE0371" w:rsidRDefault="00EE0371" w:rsidP="00EE0371">
            <w:pPr>
              <w:spacing w:after="0" w:line="240" w:lineRule="auto"/>
              <w:jc w:val="center"/>
              <w:rPr>
                <w:rFonts w:ascii="Arial" w:eastAsia="Times New Roman" w:hAnsi="Arial" w:cs="Arial"/>
                <w:b/>
                <w:bCs/>
                <w:sz w:val="20"/>
                <w:szCs w:val="20"/>
                <w:lang w:eastAsia="pt-BR"/>
              </w:rPr>
            </w:pPr>
            <w:r w:rsidRPr="00EE0371">
              <w:rPr>
                <w:rFonts w:ascii="Arial" w:eastAsia="Times New Roman" w:hAnsi="Arial" w:cs="Arial"/>
                <w:b/>
                <w:bCs/>
                <w:sz w:val="20"/>
                <w:szCs w:val="20"/>
                <w:lang w:eastAsia="pt-BR"/>
              </w:rPr>
              <w:t>Campo</w:t>
            </w:r>
          </w:p>
        </w:tc>
        <w:tc>
          <w:tcPr>
            <w:tcW w:w="1080" w:type="dxa"/>
            <w:tcBorders>
              <w:top w:val="single" w:sz="8" w:space="0" w:color="auto"/>
              <w:left w:val="nil"/>
              <w:bottom w:val="single" w:sz="8" w:space="0" w:color="auto"/>
              <w:right w:val="single" w:sz="8" w:space="0" w:color="auto"/>
            </w:tcBorders>
            <w:shd w:val="clear" w:color="000000" w:fill="B3B3B3"/>
            <w:vAlign w:val="center"/>
            <w:hideMark/>
          </w:tcPr>
          <w:p w14:paraId="06F42CC8" w14:textId="77777777" w:rsidR="00EE0371" w:rsidRPr="00EE0371" w:rsidRDefault="00EE0371" w:rsidP="00EE0371">
            <w:pPr>
              <w:spacing w:after="0" w:line="240" w:lineRule="auto"/>
              <w:jc w:val="center"/>
              <w:rPr>
                <w:rFonts w:ascii="Arial" w:eastAsia="Times New Roman" w:hAnsi="Arial" w:cs="Arial"/>
                <w:b/>
                <w:bCs/>
                <w:sz w:val="20"/>
                <w:szCs w:val="20"/>
                <w:lang w:eastAsia="pt-BR"/>
              </w:rPr>
            </w:pPr>
            <w:r w:rsidRPr="00EE0371">
              <w:rPr>
                <w:rFonts w:ascii="Arial" w:eastAsia="Times New Roman" w:hAnsi="Arial" w:cs="Arial"/>
                <w:b/>
                <w:bCs/>
                <w:sz w:val="20"/>
                <w:szCs w:val="20"/>
                <w:lang w:eastAsia="pt-BR"/>
              </w:rPr>
              <w:t>Tipo</w:t>
            </w:r>
          </w:p>
        </w:tc>
        <w:tc>
          <w:tcPr>
            <w:tcW w:w="1433" w:type="dxa"/>
            <w:tcBorders>
              <w:top w:val="single" w:sz="8" w:space="0" w:color="auto"/>
              <w:left w:val="nil"/>
              <w:bottom w:val="single" w:sz="8" w:space="0" w:color="auto"/>
              <w:right w:val="single" w:sz="8" w:space="0" w:color="auto"/>
            </w:tcBorders>
            <w:shd w:val="clear" w:color="000000" w:fill="B3B3B3"/>
            <w:vAlign w:val="center"/>
            <w:hideMark/>
          </w:tcPr>
          <w:p w14:paraId="6066BC10" w14:textId="77777777" w:rsidR="00EE0371" w:rsidRPr="00EE0371" w:rsidRDefault="00EE0371" w:rsidP="00EE0371">
            <w:pPr>
              <w:spacing w:after="0" w:line="240" w:lineRule="auto"/>
              <w:jc w:val="center"/>
              <w:rPr>
                <w:rFonts w:ascii="Arial" w:eastAsia="Times New Roman" w:hAnsi="Arial" w:cs="Arial"/>
                <w:b/>
                <w:bCs/>
                <w:sz w:val="20"/>
                <w:szCs w:val="20"/>
                <w:lang w:eastAsia="pt-BR"/>
              </w:rPr>
            </w:pPr>
            <w:r w:rsidRPr="00EE0371">
              <w:rPr>
                <w:rFonts w:ascii="Arial" w:eastAsia="Times New Roman" w:hAnsi="Arial" w:cs="Arial"/>
                <w:b/>
                <w:bCs/>
                <w:sz w:val="20"/>
                <w:szCs w:val="20"/>
                <w:lang w:eastAsia="pt-BR"/>
              </w:rPr>
              <w:t>Tamanho</w:t>
            </w:r>
          </w:p>
        </w:tc>
        <w:tc>
          <w:tcPr>
            <w:tcW w:w="2858" w:type="dxa"/>
            <w:tcBorders>
              <w:top w:val="single" w:sz="8" w:space="0" w:color="auto"/>
              <w:left w:val="nil"/>
              <w:bottom w:val="single" w:sz="8" w:space="0" w:color="auto"/>
              <w:right w:val="single" w:sz="8" w:space="0" w:color="auto"/>
            </w:tcBorders>
            <w:shd w:val="clear" w:color="000000" w:fill="B3B3B3"/>
            <w:vAlign w:val="center"/>
            <w:hideMark/>
          </w:tcPr>
          <w:p w14:paraId="60498F9F" w14:textId="77777777" w:rsidR="00EE0371" w:rsidRPr="00EE0371" w:rsidRDefault="00EE0371" w:rsidP="00EE0371">
            <w:pPr>
              <w:spacing w:after="0" w:line="240" w:lineRule="auto"/>
              <w:jc w:val="center"/>
              <w:rPr>
                <w:rFonts w:ascii="Arial" w:eastAsia="Times New Roman" w:hAnsi="Arial" w:cs="Arial"/>
                <w:b/>
                <w:bCs/>
                <w:sz w:val="20"/>
                <w:szCs w:val="20"/>
                <w:lang w:eastAsia="pt-BR"/>
              </w:rPr>
            </w:pPr>
            <w:r w:rsidRPr="00EE0371">
              <w:rPr>
                <w:rFonts w:ascii="Arial" w:eastAsia="Times New Roman" w:hAnsi="Arial" w:cs="Arial"/>
                <w:b/>
                <w:bCs/>
                <w:sz w:val="20"/>
                <w:szCs w:val="20"/>
                <w:lang w:eastAsia="pt-BR"/>
              </w:rPr>
              <w:t>Obrigatoriedade</w:t>
            </w:r>
          </w:p>
        </w:tc>
      </w:tr>
      <w:tr w:rsidR="00EE0371" w:rsidRPr="00EE0371" w14:paraId="4A29089C" w14:textId="77777777" w:rsidTr="00DD49C9">
        <w:trPr>
          <w:trHeight w:val="540"/>
        </w:trPr>
        <w:tc>
          <w:tcPr>
            <w:tcW w:w="8584" w:type="dxa"/>
            <w:gridSpan w:val="4"/>
            <w:tcBorders>
              <w:top w:val="single" w:sz="8" w:space="0" w:color="auto"/>
              <w:left w:val="single" w:sz="8" w:space="0" w:color="auto"/>
              <w:bottom w:val="single" w:sz="8" w:space="0" w:color="auto"/>
              <w:right w:val="single" w:sz="8" w:space="0" w:color="auto"/>
            </w:tcBorders>
            <w:shd w:val="clear" w:color="000000" w:fill="B3B3B3"/>
            <w:vAlign w:val="center"/>
          </w:tcPr>
          <w:p w14:paraId="04DA6A34" w14:textId="77777777" w:rsidR="00EE0371" w:rsidRPr="00EE0371" w:rsidRDefault="00EE0371" w:rsidP="00EE0371">
            <w:pPr>
              <w:spacing w:after="0" w:line="240" w:lineRule="auto"/>
              <w:jc w:val="center"/>
              <w:rPr>
                <w:rFonts w:ascii="Arial" w:eastAsia="Times New Roman" w:hAnsi="Arial" w:cs="Arial"/>
                <w:b/>
                <w:bCs/>
                <w:sz w:val="20"/>
                <w:szCs w:val="20"/>
                <w:lang w:eastAsia="pt-BR"/>
              </w:rPr>
            </w:pPr>
            <w:r w:rsidRPr="00EE0371">
              <w:rPr>
                <w:rFonts w:ascii="Arial" w:hAnsi="Arial" w:cs="Arial"/>
                <w:b/>
                <w:sz w:val="20"/>
                <w:szCs w:val="20"/>
              </w:rPr>
              <w:t>Estrutura ‘InventarioBemIntangivel’</w:t>
            </w:r>
          </w:p>
        </w:tc>
      </w:tr>
      <w:tr w:rsidR="00EE0371" w:rsidRPr="00EE0371" w14:paraId="2D7A027B" w14:textId="77777777" w:rsidTr="00DD49C9">
        <w:trPr>
          <w:trHeight w:val="499"/>
        </w:trPr>
        <w:tc>
          <w:tcPr>
            <w:tcW w:w="3213" w:type="dxa"/>
            <w:tcBorders>
              <w:top w:val="nil"/>
              <w:left w:val="single" w:sz="8" w:space="0" w:color="auto"/>
              <w:bottom w:val="single" w:sz="8" w:space="0" w:color="auto"/>
              <w:right w:val="single" w:sz="8" w:space="0" w:color="auto"/>
            </w:tcBorders>
            <w:shd w:val="clear" w:color="auto" w:fill="auto"/>
            <w:vAlign w:val="center"/>
            <w:hideMark/>
          </w:tcPr>
          <w:p w14:paraId="233C2518" w14:textId="77777777" w:rsidR="00EE0371" w:rsidRPr="00EE0371" w:rsidRDefault="00EE0371" w:rsidP="00EE0371">
            <w:pPr>
              <w:spacing w:after="0" w:line="240" w:lineRule="auto"/>
              <w:jc w:val="both"/>
              <w:rPr>
                <w:rFonts w:ascii="Arial" w:eastAsia="Times New Roman" w:hAnsi="Arial" w:cs="Arial"/>
                <w:sz w:val="20"/>
                <w:szCs w:val="20"/>
                <w:lang w:eastAsia="pt-BR"/>
              </w:rPr>
            </w:pPr>
            <w:r w:rsidRPr="00EE0371">
              <w:rPr>
                <w:rFonts w:ascii="Arial" w:eastAsia="Times New Roman" w:hAnsi="Arial" w:cs="Arial"/>
                <w:sz w:val="20"/>
                <w:szCs w:val="20"/>
                <w:lang w:eastAsia="pt-BR"/>
              </w:rPr>
              <w:t>Identificação do Numero do Registro</w:t>
            </w:r>
          </w:p>
        </w:tc>
        <w:tc>
          <w:tcPr>
            <w:tcW w:w="1080" w:type="dxa"/>
            <w:tcBorders>
              <w:top w:val="nil"/>
              <w:left w:val="nil"/>
              <w:bottom w:val="single" w:sz="8" w:space="0" w:color="auto"/>
              <w:right w:val="single" w:sz="8" w:space="0" w:color="auto"/>
            </w:tcBorders>
            <w:shd w:val="clear" w:color="auto" w:fill="auto"/>
            <w:vAlign w:val="center"/>
            <w:hideMark/>
          </w:tcPr>
          <w:p w14:paraId="5567CAD5" w14:textId="77777777" w:rsidR="00EE0371" w:rsidRPr="00EE0371" w:rsidRDefault="00EE0371" w:rsidP="00EE0371">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Inteiro</w:t>
            </w:r>
          </w:p>
        </w:tc>
        <w:tc>
          <w:tcPr>
            <w:tcW w:w="1433" w:type="dxa"/>
            <w:tcBorders>
              <w:top w:val="nil"/>
              <w:left w:val="nil"/>
              <w:bottom w:val="single" w:sz="8" w:space="0" w:color="auto"/>
              <w:right w:val="single" w:sz="8" w:space="0" w:color="auto"/>
            </w:tcBorders>
            <w:shd w:val="clear" w:color="auto" w:fill="auto"/>
            <w:vAlign w:val="center"/>
            <w:hideMark/>
          </w:tcPr>
          <w:p w14:paraId="09DD214D" w14:textId="77777777" w:rsidR="00EE0371" w:rsidRPr="00EE0371" w:rsidRDefault="00EE0371" w:rsidP="00EE0371">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5</w:t>
            </w:r>
          </w:p>
        </w:tc>
        <w:tc>
          <w:tcPr>
            <w:tcW w:w="2858" w:type="dxa"/>
            <w:tcBorders>
              <w:top w:val="nil"/>
              <w:left w:val="nil"/>
              <w:bottom w:val="single" w:sz="8" w:space="0" w:color="auto"/>
              <w:right w:val="single" w:sz="8" w:space="0" w:color="auto"/>
            </w:tcBorders>
            <w:shd w:val="clear" w:color="auto" w:fill="auto"/>
            <w:vAlign w:val="center"/>
            <w:hideMark/>
          </w:tcPr>
          <w:p w14:paraId="03534B3D" w14:textId="77777777" w:rsidR="00EE0371" w:rsidRPr="00EE0371" w:rsidRDefault="00EE0371" w:rsidP="00EE0371">
            <w:pPr>
              <w:spacing w:after="0" w:line="240" w:lineRule="auto"/>
              <w:jc w:val="both"/>
              <w:rPr>
                <w:rFonts w:ascii="Arial" w:eastAsia="Times New Roman" w:hAnsi="Arial" w:cs="Arial"/>
                <w:sz w:val="20"/>
                <w:szCs w:val="20"/>
                <w:lang w:eastAsia="pt-BR"/>
              </w:rPr>
            </w:pPr>
            <w:r w:rsidRPr="00EE0371">
              <w:rPr>
                <w:rFonts w:ascii="Arial" w:eastAsia="Times New Roman" w:hAnsi="Arial" w:cs="Arial"/>
                <w:sz w:val="20"/>
                <w:szCs w:val="20"/>
                <w:lang w:eastAsia="pt-BR"/>
              </w:rPr>
              <w:t>Obrigatório</w:t>
            </w:r>
          </w:p>
        </w:tc>
      </w:tr>
      <w:tr w:rsidR="00DD49C9" w:rsidRPr="00EE0371" w14:paraId="46DC7E66" w14:textId="77777777" w:rsidTr="00DD49C9">
        <w:trPr>
          <w:trHeight w:val="499"/>
        </w:trPr>
        <w:tc>
          <w:tcPr>
            <w:tcW w:w="3213" w:type="dxa"/>
            <w:tcBorders>
              <w:top w:val="nil"/>
              <w:left w:val="single" w:sz="8" w:space="0" w:color="auto"/>
              <w:bottom w:val="single" w:sz="8" w:space="0" w:color="auto"/>
              <w:right w:val="single" w:sz="8" w:space="0" w:color="auto"/>
            </w:tcBorders>
            <w:shd w:val="clear" w:color="auto" w:fill="auto"/>
            <w:vAlign w:val="center"/>
          </w:tcPr>
          <w:p w14:paraId="3CBDFFAE" w14:textId="77777777" w:rsidR="00DD49C9" w:rsidRPr="00122606" w:rsidRDefault="00DD49C9" w:rsidP="00DD49C9">
            <w:pPr>
              <w:spacing w:after="0" w:line="360" w:lineRule="auto"/>
              <w:jc w:val="both"/>
              <w:rPr>
                <w:rFonts w:ascii="Arial" w:hAnsi="Arial" w:cs="Arial"/>
                <w:sz w:val="20"/>
                <w:szCs w:val="20"/>
              </w:rPr>
            </w:pPr>
            <w:r w:rsidRPr="00122606">
              <w:rPr>
                <w:rFonts w:ascii="Arial" w:eastAsia="Times New Roman" w:hAnsi="Arial" w:cs="Arial"/>
                <w:sz w:val="20"/>
                <w:szCs w:val="20"/>
                <w:lang w:eastAsia="pt-BR"/>
              </w:rPr>
              <w:t>Código da Unidade Gestora</w:t>
            </w:r>
          </w:p>
        </w:tc>
        <w:tc>
          <w:tcPr>
            <w:tcW w:w="1080" w:type="dxa"/>
            <w:tcBorders>
              <w:top w:val="nil"/>
              <w:left w:val="nil"/>
              <w:bottom w:val="single" w:sz="8" w:space="0" w:color="auto"/>
              <w:right w:val="single" w:sz="8" w:space="0" w:color="auto"/>
            </w:tcBorders>
            <w:shd w:val="clear" w:color="auto" w:fill="auto"/>
            <w:vAlign w:val="center"/>
          </w:tcPr>
          <w:p w14:paraId="60067C44" w14:textId="77777777" w:rsidR="00DD49C9" w:rsidRPr="00122606" w:rsidRDefault="00DD49C9" w:rsidP="00DD49C9">
            <w:pPr>
              <w:spacing w:after="0" w:line="360" w:lineRule="auto"/>
              <w:jc w:val="center"/>
              <w:rPr>
                <w:rFonts w:ascii="Arial" w:hAnsi="Arial" w:cs="Arial"/>
                <w:sz w:val="20"/>
                <w:szCs w:val="20"/>
              </w:rPr>
            </w:pPr>
            <w:r w:rsidRPr="00122606">
              <w:rPr>
                <w:rFonts w:ascii="Arial" w:eastAsia="Times New Roman" w:hAnsi="Arial" w:cs="Arial"/>
                <w:sz w:val="20"/>
                <w:szCs w:val="20"/>
                <w:lang w:eastAsia="pt-BR"/>
              </w:rPr>
              <w:t>Caracter</w:t>
            </w:r>
          </w:p>
        </w:tc>
        <w:tc>
          <w:tcPr>
            <w:tcW w:w="1433" w:type="dxa"/>
            <w:tcBorders>
              <w:top w:val="nil"/>
              <w:left w:val="nil"/>
              <w:bottom w:val="single" w:sz="8" w:space="0" w:color="auto"/>
              <w:right w:val="single" w:sz="8" w:space="0" w:color="auto"/>
            </w:tcBorders>
            <w:shd w:val="clear" w:color="auto" w:fill="auto"/>
            <w:vAlign w:val="center"/>
          </w:tcPr>
          <w:p w14:paraId="73DA3689" w14:textId="77777777" w:rsidR="00DD49C9" w:rsidRPr="00122606" w:rsidRDefault="00DD49C9" w:rsidP="00DD49C9">
            <w:pPr>
              <w:spacing w:after="0" w:line="360" w:lineRule="auto"/>
              <w:jc w:val="center"/>
              <w:rPr>
                <w:rFonts w:ascii="Arial" w:hAnsi="Arial" w:cs="Arial"/>
                <w:sz w:val="20"/>
                <w:szCs w:val="20"/>
              </w:rPr>
            </w:pPr>
            <w:r w:rsidRPr="00122606">
              <w:rPr>
                <w:rFonts w:ascii="Arial" w:hAnsi="Arial" w:cs="Arial"/>
                <w:sz w:val="20"/>
                <w:szCs w:val="20"/>
              </w:rPr>
              <w:t>11</w:t>
            </w:r>
          </w:p>
        </w:tc>
        <w:tc>
          <w:tcPr>
            <w:tcW w:w="2858" w:type="dxa"/>
            <w:tcBorders>
              <w:top w:val="nil"/>
              <w:left w:val="nil"/>
              <w:bottom w:val="single" w:sz="8" w:space="0" w:color="auto"/>
              <w:right w:val="single" w:sz="8" w:space="0" w:color="auto"/>
            </w:tcBorders>
            <w:shd w:val="clear" w:color="auto" w:fill="auto"/>
            <w:vAlign w:val="center"/>
          </w:tcPr>
          <w:p w14:paraId="156B0CF3" w14:textId="77777777" w:rsidR="00DD49C9" w:rsidRPr="00122606" w:rsidRDefault="00DD49C9" w:rsidP="00122606">
            <w:pPr>
              <w:spacing w:after="0" w:line="360" w:lineRule="auto"/>
              <w:rPr>
                <w:rFonts w:ascii="Arial" w:hAnsi="Arial" w:cs="Arial"/>
                <w:sz w:val="20"/>
                <w:szCs w:val="20"/>
              </w:rPr>
            </w:pPr>
            <w:r w:rsidRPr="00122606">
              <w:rPr>
                <w:rFonts w:ascii="Arial" w:eastAsia="Times New Roman" w:hAnsi="Arial" w:cs="Arial"/>
                <w:sz w:val="20"/>
                <w:szCs w:val="20"/>
                <w:lang w:eastAsia="pt-BR"/>
              </w:rPr>
              <w:t>Obrigatório conforme codificação do TCEES</w:t>
            </w:r>
          </w:p>
        </w:tc>
      </w:tr>
      <w:tr w:rsidR="00DD49C9" w:rsidRPr="00EE0371" w14:paraId="2BD49CE2" w14:textId="77777777" w:rsidTr="00DD49C9">
        <w:trPr>
          <w:trHeight w:val="600"/>
        </w:trPr>
        <w:tc>
          <w:tcPr>
            <w:tcW w:w="321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3E9EAC5" w14:textId="77777777" w:rsidR="00DD49C9" w:rsidRPr="00EE0371" w:rsidRDefault="00DD49C9" w:rsidP="00DD49C9">
            <w:pPr>
              <w:spacing w:after="0" w:line="240" w:lineRule="auto"/>
              <w:jc w:val="both"/>
              <w:rPr>
                <w:rFonts w:ascii="Arial" w:eastAsia="Times New Roman" w:hAnsi="Arial" w:cs="Arial"/>
                <w:sz w:val="20"/>
                <w:szCs w:val="20"/>
                <w:lang w:eastAsia="pt-BR"/>
              </w:rPr>
            </w:pPr>
            <w:r w:rsidRPr="00EE0371">
              <w:rPr>
                <w:rFonts w:ascii="Arial" w:eastAsia="Times New Roman" w:hAnsi="Arial" w:cs="Arial"/>
                <w:sz w:val="20"/>
                <w:szCs w:val="20"/>
                <w:lang w:eastAsia="pt-BR"/>
              </w:rPr>
              <w:t xml:space="preserve">Código Contábil </w:t>
            </w:r>
            <w:r w:rsidRPr="00122606">
              <w:rPr>
                <w:rFonts w:ascii="Arial" w:eastAsia="Times New Roman" w:hAnsi="Arial" w:cs="Arial"/>
                <w:b/>
                <w:sz w:val="20"/>
                <w:szCs w:val="20"/>
                <w:vertAlign w:val="superscript"/>
                <w:lang w:eastAsia="pt-BR"/>
              </w:rPr>
              <w:t>[1]</w:t>
            </w:r>
          </w:p>
        </w:tc>
        <w:tc>
          <w:tcPr>
            <w:tcW w:w="1080" w:type="dxa"/>
            <w:tcBorders>
              <w:top w:val="single" w:sz="8" w:space="0" w:color="auto"/>
              <w:left w:val="nil"/>
              <w:bottom w:val="single" w:sz="8" w:space="0" w:color="auto"/>
              <w:right w:val="single" w:sz="8" w:space="0" w:color="auto"/>
            </w:tcBorders>
            <w:shd w:val="clear" w:color="auto" w:fill="auto"/>
            <w:vAlign w:val="center"/>
            <w:hideMark/>
          </w:tcPr>
          <w:p w14:paraId="0FE047A2" w14:textId="77777777" w:rsidR="00DD49C9" w:rsidRPr="00EE0371" w:rsidRDefault="00DD49C9" w:rsidP="00DD49C9">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Inteiro</w:t>
            </w:r>
          </w:p>
        </w:tc>
        <w:tc>
          <w:tcPr>
            <w:tcW w:w="1433" w:type="dxa"/>
            <w:tcBorders>
              <w:top w:val="single" w:sz="8" w:space="0" w:color="auto"/>
              <w:left w:val="nil"/>
              <w:bottom w:val="single" w:sz="8" w:space="0" w:color="auto"/>
              <w:right w:val="single" w:sz="8" w:space="0" w:color="auto"/>
            </w:tcBorders>
            <w:shd w:val="clear" w:color="auto" w:fill="auto"/>
            <w:vAlign w:val="center"/>
            <w:hideMark/>
          </w:tcPr>
          <w:p w14:paraId="2A28D0F1" w14:textId="77777777" w:rsidR="00DD49C9" w:rsidRPr="00EE0371" w:rsidRDefault="00DD49C9" w:rsidP="00DD49C9">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9</w:t>
            </w:r>
          </w:p>
        </w:tc>
        <w:tc>
          <w:tcPr>
            <w:tcW w:w="2858" w:type="dxa"/>
            <w:tcBorders>
              <w:top w:val="single" w:sz="8" w:space="0" w:color="auto"/>
              <w:left w:val="nil"/>
              <w:bottom w:val="single" w:sz="8" w:space="0" w:color="auto"/>
              <w:right w:val="single" w:sz="8" w:space="0" w:color="auto"/>
            </w:tcBorders>
            <w:shd w:val="clear" w:color="auto" w:fill="auto"/>
            <w:vAlign w:val="center"/>
            <w:hideMark/>
          </w:tcPr>
          <w:p w14:paraId="7AE48524" w14:textId="77777777" w:rsidR="00DD49C9" w:rsidRPr="00EE0371" w:rsidRDefault="00DD49C9" w:rsidP="00DD49C9">
            <w:pPr>
              <w:spacing w:after="0" w:line="240" w:lineRule="auto"/>
              <w:rPr>
                <w:rFonts w:ascii="Arial" w:eastAsia="Times New Roman" w:hAnsi="Arial" w:cs="Arial"/>
                <w:color w:val="000000"/>
                <w:sz w:val="20"/>
                <w:szCs w:val="20"/>
                <w:lang w:eastAsia="pt-BR"/>
              </w:rPr>
            </w:pPr>
            <w:r w:rsidRPr="00EE0371">
              <w:rPr>
                <w:rFonts w:ascii="Arial" w:eastAsia="Times New Roman" w:hAnsi="Arial" w:cs="Arial"/>
                <w:color w:val="000000"/>
                <w:sz w:val="20"/>
                <w:szCs w:val="20"/>
                <w:lang w:eastAsia="pt-BR"/>
              </w:rPr>
              <w:t>Obrigatório – conforme Plano de Contas CidadES</w:t>
            </w:r>
          </w:p>
        </w:tc>
      </w:tr>
      <w:tr w:rsidR="00DD49C9" w:rsidRPr="00EE0371" w14:paraId="74AAFC60" w14:textId="77777777" w:rsidTr="00DD49C9">
        <w:trPr>
          <w:trHeight w:val="499"/>
        </w:trPr>
        <w:tc>
          <w:tcPr>
            <w:tcW w:w="3213" w:type="dxa"/>
            <w:tcBorders>
              <w:top w:val="nil"/>
              <w:left w:val="single" w:sz="8" w:space="0" w:color="auto"/>
              <w:bottom w:val="single" w:sz="8" w:space="0" w:color="auto"/>
              <w:right w:val="single" w:sz="8" w:space="0" w:color="auto"/>
            </w:tcBorders>
            <w:shd w:val="clear" w:color="auto" w:fill="auto"/>
            <w:vAlign w:val="center"/>
            <w:hideMark/>
          </w:tcPr>
          <w:p w14:paraId="169345AC" w14:textId="77777777" w:rsidR="00DD49C9" w:rsidRPr="00EE0371" w:rsidRDefault="00DD49C9" w:rsidP="00DD49C9">
            <w:pPr>
              <w:spacing w:after="0" w:line="240" w:lineRule="auto"/>
              <w:jc w:val="both"/>
              <w:rPr>
                <w:rFonts w:ascii="Arial" w:eastAsia="Times New Roman" w:hAnsi="Arial" w:cs="Arial"/>
                <w:sz w:val="20"/>
                <w:szCs w:val="20"/>
                <w:lang w:eastAsia="pt-BR"/>
              </w:rPr>
            </w:pPr>
            <w:r w:rsidRPr="00EE0371">
              <w:rPr>
                <w:rFonts w:ascii="Arial" w:eastAsia="Times New Roman" w:hAnsi="Arial" w:cs="Arial"/>
                <w:sz w:val="20"/>
                <w:szCs w:val="20"/>
                <w:lang w:eastAsia="pt-BR"/>
              </w:rPr>
              <w:t>Descrição do Bem Intangível</w:t>
            </w:r>
          </w:p>
        </w:tc>
        <w:tc>
          <w:tcPr>
            <w:tcW w:w="1080" w:type="dxa"/>
            <w:tcBorders>
              <w:top w:val="nil"/>
              <w:left w:val="nil"/>
              <w:bottom w:val="single" w:sz="8" w:space="0" w:color="auto"/>
              <w:right w:val="single" w:sz="8" w:space="0" w:color="auto"/>
            </w:tcBorders>
            <w:shd w:val="clear" w:color="auto" w:fill="auto"/>
            <w:vAlign w:val="center"/>
            <w:hideMark/>
          </w:tcPr>
          <w:p w14:paraId="2AE49A79" w14:textId="77777777" w:rsidR="00DD49C9" w:rsidRPr="00EE0371" w:rsidRDefault="00DD49C9" w:rsidP="00DD49C9">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Caracter</w:t>
            </w:r>
          </w:p>
        </w:tc>
        <w:tc>
          <w:tcPr>
            <w:tcW w:w="1433" w:type="dxa"/>
            <w:tcBorders>
              <w:top w:val="nil"/>
              <w:left w:val="nil"/>
              <w:bottom w:val="single" w:sz="8" w:space="0" w:color="auto"/>
              <w:right w:val="single" w:sz="8" w:space="0" w:color="auto"/>
            </w:tcBorders>
            <w:shd w:val="clear" w:color="auto" w:fill="auto"/>
            <w:vAlign w:val="center"/>
            <w:hideMark/>
          </w:tcPr>
          <w:p w14:paraId="1F06D645" w14:textId="77777777" w:rsidR="00DD49C9" w:rsidRPr="00EE0371" w:rsidRDefault="00DD49C9" w:rsidP="00DD49C9">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200</w:t>
            </w:r>
          </w:p>
        </w:tc>
        <w:tc>
          <w:tcPr>
            <w:tcW w:w="2858" w:type="dxa"/>
            <w:tcBorders>
              <w:top w:val="nil"/>
              <w:left w:val="nil"/>
              <w:bottom w:val="single" w:sz="8" w:space="0" w:color="auto"/>
              <w:right w:val="single" w:sz="8" w:space="0" w:color="auto"/>
            </w:tcBorders>
            <w:shd w:val="clear" w:color="auto" w:fill="auto"/>
            <w:vAlign w:val="center"/>
            <w:hideMark/>
          </w:tcPr>
          <w:p w14:paraId="6456E563" w14:textId="77777777" w:rsidR="00DD49C9" w:rsidRPr="00EE0371" w:rsidRDefault="00DD49C9" w:rsidP="00DD49C9">
            <w:pPr>
              <w:spacing w:after="0" w:line="240" w:lineRule="auto"/>
              <w:rPr>
                <w:rFonts w:ascii="Arial" w:eastAsia="Times New Roman" w:hAnsi="Arial" w:cs="Arial"/>
                <w:sz w:val="20"/>
                <w:szCs w:val="20"/>
                <w:lang w:eastAsia="pt-BR"/>
              </w:rPr>
            </w:pPr>
            <w:r w:rsidRPr="00EE0371">
              <w:rPr>
                <w:rFonts w:ascii="Arial" w:eastAsia="Times New Roman" w:hAnsi="Arial" w:cs="Arial"/>
                <w:sz w:val="20"/>
                <w:szCs w:val="20"/>
                <w:lang w:eastAsia="pt-BR"/>
              </w:rPr>
              <w:t>Obrigatório</w:t>
            </w:r>
          </w:p>
        </w:tc>
      </w:tr>
      <w:tr w:rsidR="00DD49C9" w:rsidRPr="00EE0371" w14:paraId="104229B2" w14:textId="77777777" w:rsidTr="00DD49C9">
        <w:trPr>
          <w:trHeight w:val="499"/>
        </w:trPr>
        <w:tc>
          <w:tcPr>
            <w:tcW w:w="3213" w:type="dxa"/>
            <w:tcBorders>
              <w:top w:val="nil"/>
              <w:left w:val="single" w:sz="8" w:space="0" w:color="auto"/>
              <w:bottom w:val="single" w:sz="8" w:space="0" w:color="auto"/>
              <w:right w:val="single" w:sz="8" w:space="0" w:color="auto"/>
            </w:tcBorders>
            <w:shd w:val="clear" w:color="auto" w:fill="auto"/>
            <w:vAlign w:val="center"/>
            <w:hideMark/>
          </w:tcPr>
          <w:p w14:paraId="5EA0E0EA" w14:textId="77777777" w:rsidR="00DD49C9" w:rsidRPr="00EE0371" w:rsidRDefault="00DD49C9" w:rsidP="00DD49C9">
            <w:pPr>
              <w:spacing w:after="0" w:line="240" w:lineRule="auto"/>
              <w:jc w:val="both"/>
              <w:rPr>
                <w:rFonts w:ascii="Arial" w:eastAsia="Times New Roman" w:hAnsi="Arial" w:cs="Arial"/>
                <w:sz w:val="20"/>
                <w:szCs w:val="20"/>
                <w:lang w:eastAsia="pt-BR"/>
              </w:rPr>
            </w:pPr>
            <w:r w:rsidRPr="00EE0371">
              <w:rPr>
                <w:rFonts w:ascii="Arial" w:eastAsia="Times New Roman" w:hAnsi="Arial" w:cs="Arial"/>
                <w:sz w:val="20"/>
                <w:szCs w:val="20"/>
                <w:lang w:eastAsia="pt-BR"/>
              </w:rPr>
              <w:t>Data de Aquisição/Incorporação do Bem Intangível</w:t>
            </w:r>
          </w:p>
        </w:tc>
        <w:tc>
          <w:tcPr>
            <w:tcW w:w="1080" w:type="dxa"/>
            <w:tcBorders>
              <w:top w:val="nil"/>
              <w:left w:val="nil"/>
              <w:bottom w:val="single" w:sz="8" w:space="0" w:color="auto"/>
              <w:right w:val="single" w:sz="8" w:space="0" w:color="auto"/>
            </w:tcBorders>
            <w:shd w:val="clear" w:color="auto" w:fill="auto"/>
            <w:vAlign w:val="center"/>
            <w:hideMark/>
          </w:tcPr>
          <w:p w14:paraId="5CE15C87" w14:textId="77777777" w:rsidR="00DD49C9" w:rsidRPr="00EE0371" w:rsidRDefault="00DD49C9" w:rsidP="00DD49C9">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Data</w:t>
            </w:r>
          </w:p>
        </w:tc>
        <w:tc>
          <w:tcPr>
            <w:tcW w:w="1433" w:type="dxa"/>
            <w:tcBorders>
              <w:top w:val="nil"/>
              <w:left w:val="nil"/>
              <w:bottom w:val="single" w:sz="8" w:space="0" w:color="auto"/>
              <w:right w:val="single" w:sz="8" w:space="0" w:color="auto"/>
            </w:tcBorders>
            <w:shd w:val="clear" w:color="auto" w:fill="auto"/>
            <w:vAlign w:val="center"/>
            <w:hideMark/>
          </w:tcPr>
          <w:p w14:paraId="4CA799FC" w14:textId="77777777" w:rsidR="00DD49C9" w:rsidRPr="00EE0371" w:rsidRDefault="00DD49C9" w:rsidP="00DD49C9">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10</w:t>
            </w:r>
          </w:p>
        </w:tc>
        <w:tc>
          <w:tcPr>
            <w:tcW w:w="2858" w:type="dxa"/>
            <w:tcBorders>
              <w:top w:val="nil"/>
              <w:left w:val="nil"/>
              <w:bottom w:val="single" w:sz="8" w:space="0" w:color="auto"/>
              <w:right w:val="single" w:sz="8" w:space="0" w:color="auto"/>
            </w:tcBorders>
            <w:shd w:val="clear" w:color="auto" w:fill="auto"/>
            <w:vAlign w:val="center"/>
            <w:hideMark/>
          </w:tcPr>
          <w:p w14:paraId="54CB2473" w14:textId="77777777" w:rsidR="00DD49C9" w:rsidRPr="00EE0371" w:rsidRDefault="00DD49C9" w:rsidP="00DD49C9">
            <w:pPr>
              <w:spacing w:after="0" w:line="240" w:lineRule="auto"/>
              <w:rPr>
                <w:rFonts w:ascii="Arial" w:eastAsia="Times New Roman" w:hAnsi="Arial" w:cs="Arial"/>
                <w:sz w:val="20"/>
                <w:szCs w:val="20"/>
                <w:lang w:eastAsia="pt-BR"/>
              </w:rPr>
            </w:pPr>
            <w:r w:rsidRPr="00EE0371">
              <w:rPr>
                <w:rFonts w:ascii="Arial" w:eastAsia="Times New Roman" w:hAnsi="Arial" w:cs="Arial"/>
                <w:sz w:val="20"/>
                <w:szCs w:val="20"/>
                <w:lang w:eastAsia="pt-BR"/>
              </w:rPr>
              <w:t>Obrigatório, AAAA-MM-DD</w:t>
            </w:r>
          </w:p>
        </w:tc>
      </w:tr>
      <w:tr w:rsidR="00DD49C9" w:rsidRPr="00EE0371" w14:paraId="30F6C730" w14:textId="77777777" w:rsidTr="00DD49C9">
        <w:trPr>
          <w:trHeight w:val="499"/>
        </w:trPr>
        <w:tc>
          <w:tcPr>
            <w:tcW w:w="3213" w:type="dxa"/>
            <w:tcBorders>
              <w:top w:val="nil"/>
              <w:left w:val="single" w:sz="8" w:space="0" w:color="auto"/>
              <w:bottom w:val="single" w:sz="8" w:space="0" w:color="auto"/>
              <w:right w:val="single" w:sz="8" w:space="0" w:color="auto"/>
            </w:tcBorders>
            <w:shd w:val="clear" w:color="auto" w:fill="auto"/>
            <w:vAlign w:val="center"/>
            <w:hideMark/>
          </w:tcPr>
          <w:p w14:paraId="554643F1" w14:textId="77777777" w:rsidR="00DD49C9" w:rsidRPr="00EE0371" w:rsidRDefault="00DD49C9" w:rsidP="00DD49C9">
            <w:pPr>
              <w:spacing w:after="0" w:line="240" w:lineRule="auto"/>
              <w:rPr>
                <w:rFonts w:ascii="Arial" w:eastAsia="Times New Roman" w:hAnsi="Arial" w:cs="Arial"/>
                <w:sz w:val="20"/>
                <w:szCs w:val="20"/>
                <w:lang w:eastAsia="pt-BR"/>
              </w:rPr>
            </w:pPr>
            <w:r w:rsidRPr="00EE0371">
              <w:rPr>
                <w:rFonts w:ascii="Arial" w:eastAsia="Times New Roman" w:hAnsi="Arial" w:cs="Arial"/>
                <w:sz w:val="20"/>
                <w:szCs w:val="20"/>
                <w:lang w:eastAsia="pt-BR"/>
              </w:rPr>
              <w:t>Valor Contábil Histórico do Bem Intangível</w:t>
            </w:r>
          </w:p>
        </w:tc>
        <w:tc>
          <w:tcPr>
            <w:tcW w:w="1080" w:type="dxa"/>
            <w:tcBorders>
              <w:top w:val="nil"/>
              <w:left w:val="nil"/>
              <w:bottom w:val="single" w:sz="8" w:space="0" w:color="auto"/>
              <w:right w:val="single" w:sz="8" w:space="0" w:color="auto"/>
            </w:tcBorders>
            <w:shd w:val="clear" w:color="auto" w:fill="auto"/>
            <w:vAlign w:val="center"/>
            <w:hideMark/>
          </w:tcPr>
          <w:p w14:paraId="03A949D3" w14:textId="77777777" w:rsidR="00DD49C9" w:rsidRPr="00EE0371" w:rsidRDefault="00DD49C9" w:rsidP="00DD49C9">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Decimal</w:t>
            </w:r>
          </w:p>
        </w:tc>
        <w:tc>
          <w:tcPr>
            <w:tcW w:w="1433" w:type="dxa"/>
            <w:tcBorders>
              <w:top w:val="nil"/>
              <w:left w:val="nil"/>
              <w:bottom w:val="single" w:sz="8" w:space="0" w:color="auto"/>
              <w:right w:val="single" w:sz="8" w:space="0" w:color="auto"/>
            </w:tcBorders>
            <w:shd w:val="clear" w:color="auto" w:fill="auto"/>
            <w:vAlign w:val="center"/>
            <w:hideMark/>
          </w:tcPr>
          <w:p w14:paraId="1081CBE4" w14:textId="77777777" w:rsidR="00DD49C9" w:rsidRPr="00EE0371" w:rsidRDefault="00DD49C9" w:rsidP="00DD49C9">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14,2</w:t>
            </w:r>
          </w:p>
        </w:tc>
        <w:tc>
          <w:tcPr>
            <w:tcW w:w="2858" w:type="dxa"/>
            <w:tcBorders>
              <w:top w:val="nil"/>
              <w:left w:val="nil"/>
              <w:bottom w:val="single" w:sz="8" w:space="0" w:color="auto"/>
              <w:right w:val="single" w:sz="8" w:space="0" w:color="auto"/>
            </w:tcBorders>
            <w:shd w:val="clear" w:color="auto" w:fill="auto"/>
            <w:vAlign w:val="center"/>
            <w:hideMark/>
          </w:tcPr>
          <w:p w14:paraId="5E77B20F" w14:textId="77777777" w:rsidR="00DD49C9" w:rsidRPr="00EE0371" w:rsidRDefault="00DD49C9" w:rsidP="00DD49C9">
            <w:pPr>
              <w:spacing w:after="0" w:line="240" w:lineRule="auto"/>
              <w:rPr>
                <w:rFonts w:ascii="Arial" w:eastAsia="Times New Roman" w:hAnsi="Arial" w:cs="Arial"/>
                <w:sz w:val="20"/>
                <w:szCs w:val="20"/>
                <w:lang w:eastAsia="pt-BR"/>
              </w:rPr>
            </w:pPr>
            <w:r w:rsidRPr="00EE0371">
              <w:rPr>
                <w:rFonts w:ascii="Arial" w:eastAsia="Times New Roman" w:hAnsi="Arial" w:cs="Arial"/>
                <w:sz w:val="20"/>
                <w:szCs w:val="20"/>
                <w:lang w:eastAsia="pt-BR"/>
              </w:rPr>
              <w:t xml:space="preserve">Obrigatório </w:t>
            </w:r>
          </w:p>
        </w:tc>
      </w:tr>
      <w:tr w:rsidR="00DD49C9" w:rsidRPr="00EE0371" w14:paraId="244AC6A7" w14:textId="77777777" w:rsidTr="00DD49C9">
        <w:trPr>
          <w:trHeight w:val="499"/>
        </w:trPr>
        <w:tc>
          <w:tcPr>
            <w:tcW w:w="3213" w:type="dxa"/>
            <w:tcBorders>
              <w:top w:val="nil"/>
              <w:left w:val="single" w:sz="8" w:space="0" w:color="auto"/>
              <w:bottom w:val="single" w:sz="8" w:space="0" w:color="auto"/>
              <w:right w:val="single" w:sz="8" w:space="0" w:color="auto"/>
            </w:tcBorders>
            <w:shd w:val="clear" w:color="auto" w:fill="auto"/>
            <w:vAlign w:val="center"/>
            <w:hideMark/>
          </w:tcPr>
          <w:p w14:paraId="064438D5" w14:textId="77777777" w:rsidR="00DD49C9" w:rsidRPr="00EE0371" w:rsidRDefault="00DD49C9" w:rsidP="00DD49C9">
            <w:pPr>
              <w:spacing w:after="0" w:line="240" w:lineRule="auto"/>
              <w:jc w:val="both"/>
              <w:rPr>
                <w:rFonts w:ascii="Arial" w:eastAsia="Times New Roman" w:hAnsi="Arial" w:cs="Arial"/>
                <w:sz w:val="20"/>
                <w:szCs w:val="20"/>
                <w:lang w:eastAsia="pt-BR"/>
              </w:rPr>
            </w:pPr>
            <w:r w:rsidRPr="00EE0371">
              <w:rPr>
                <w:rFonts w:ascii="Arial" w:eastAsia="Times New Roman" w:hAnsi="Arial" w:cs="Arial"/>
                <w:sz w:val="20"/>
                <w:szCs w:val="20"/>
                <w:lang w:eastAsia="pt-BR"/>
              </w:rPr>
              <w:t>Número de Controle (Registro Patrimonial) do Bem Intangível</w:t>
            </w:r>
          </w:p>
        </w:tc>
        <w:tc>
          <w:tcPr>
            <w:tcW w:w="1080" w:type="dxa"/>
            <w:tcBorders>
              <w:top w:val="nil"/>
              <w:left w:val="nil"/>
              <w:bottom w:val="single" w:sz="8" w:space="0" w:color="auto"/>
              <w:right w:val="single" w:sz="8" w:space="0" w:color="auto"/>
            </w:tcBorders>
            <w:shd w:val="clear" w:color="auto" w:fill="auto"/>
            <w:vAlign w:val="center"/>
            <w:hideMark/>
          </w:tcPr>
          <w:p w14:paraId="0245064B" w14:textId="77777777" w:rsidR="00DD49C9" w:rsidRPr="00EE0371" w:rsidRDefault="00DD49C9" w:rsidP="00DD49C9">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Caracter</w:t>
            </w:r>
          </w:p>
        </w:tc>
        <w:tc>
          <w:tcPr>
            <w:tcW w:w="1433" w:type="dxa"/>
            <w:tcBorders>
              <w:top w:val="nil"/>
              <w:left w:val="nil"/>
              <w:bottom w:val="single" w:sz="8" w:space="0" w:color="auto"/>
              <w:right w:val="single" w:sz="8" w:space="0" w:color="auto"/>
            </w:tcBorders>
            <w:shd w:val="clear" w:color="auto" w:fill="auto"/>
            <w:vAlign w:val="center"/>
            <w:hideMark/>
          </w:tcPr>
          <w:p w14:paraId="2D0F2697" w14:textId="77777777" w:rsidR="00DD49C9" w:rsidRPr="00EE0371" w:rsidRDefault="00DD49C9" w:rsidP="00DD49C9">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30</w:t>
            </w:r>
          </w:p>
        </w:tc>
        <w:tc>
          <w:tcPr>
            <w:tcW w:w="2858" w:type="dxa"/>
            <w:tcBorders>
              <w:top w:val="nil"/>
              <w:left w:val="nil"/>
              <w:bottom w:val="single" w:sz="8" w:space="0" w:color="auto"/>
              <w:right w:val="single" w:sz="8" w:space="0" w:color="auto"/>
            </w:tcBorders>
            <w:shd w:val="clear" w:color="auto" w:fill="auto"/>
            <w:vAlign w:val="center"/>
            <w:hideMark/>
          </w:tcPr>
          <w:p w14:paraId="3948434D" w14:textId="77777777" w:rsidR="00DD49C9" w:rsidRPr="00EE0371" w:rsidRDefault="00DD49C9" w:rsidP="00DD49C9">
            <w:pPr>
              <w:spacing w:after="0" w:line="240" w:lineRule="auto"/>
              <w:rPr>
                <w:rFonts w:ascii="Arial" w:eastAsia="Times New Roman" w:hAnsi="Arial" w:cs="Arial"/>
                <w:sz w:val="20"/>
                <w:szCs w:val="20"/>
                <w:lang w:eastAsia="pt-BR"/>
              </w:rPr>
            </w:pPr>
            <w:r w:rsidRPr="00EE0371">
              <w:rPr>
                <w:rFonts w:ascii="Arial" w:eastAsia="Times New Roman" w:hAnsi="Arial" w:cs="Arial"/>
                <w:sz w:val="20"/>
                <w:szCs w:val="20"/>
                <w:lang w:eastAsia="pt-BR"/>
              </w:rPr>
              <w:t>Obrigatório</w:t>
            </w:r>
          </w:p>
        </w:tc>
      </w:tr>
      <w:tr w:rsidR="00DD49C9" w:rsidRPr="00EE0371" w14:paraId="5038FE49" w14:textId="77777777" w:rsidTr="00DD49C9">
        <w:trPr>
          <w:trHeight w:val="499"/>
        </w:trPr>
        <w:tc>
          <w:tcPr>
            <w:tcW w:w="3213" w:type="dxa"/>
            <w:tcBorders>
              <w:top w:val="nil"/>
              <w:left w:val="single" w:sz="8" w:space="0" w:color="auto"/>
              <w:bottom w:val="single" w:sz="8" w:space="0" w:color="auto"/>
              <w:right w:val="single" w:sz="8" w:space="0" w:color="auto"/>
            </w:tcBorders>
            <w:shd w:val="clear" w:color="auto" w:fill="auto"/>
            <w:vAlign w:val="center"/>
          </w:tcPr>
          <w:p w14:paraId="63B3BACD" w14:textId="77777777" w:rsidR="00DD49C9" w:rsidRPr="00EE0371" w:rsidRDefault="00DD49C9" w:rsidP="00DD49C9">
            <w:pPr>
              <w:spacing w:after="0" w:line="240" w:lineRule="auto"/>
              <w:jc w:val="both"/>
              <w:rPr>
                <w:rFonts w:ascii="Arial" w:eastAsia="Times New Roman" w:hAnsi="Arial" w:cs="Arial"/>
                <w:sz w:val="20"/>
                <w:szCs w:val="20"/>
                <w:lang w:eastAsia="pt-BR"/>
              </w:rPr>
            </w:pPr>
            <w:r w:rsidRPr="00EE0371">
              <w:rPr>
                <w:rFonts w:ascii="Arial" w:eastAsia="Times New Roman" w:hAnsi="Arial" w:cs="Arial"/>
                <w:sz w:val="20"/>
                <w:szCs w:val="20"/>
                <w:lang w:eastAsia="pt-BR"/>
              </w:rPr>
              <w:t xml:space="preserve">Número da Certidão de Registro do Bem Intangível </w:t>
            </w:r>
            <w:r w:rsidRPr="00122606">
              <w:rPr>
                <w:rFonts w:ascii="Arial" w:eastAsia="Times New Roman" w:hAnsi="Arial" w:cs="Arial"/>
                <w:b/>
                <w:sz w:val="20"/>
                <w:szCs w:val="20"/>
                <w:vertAlign w:val="superscript"/>
                <w:lang w:eastAsia="pt-BR"/>
              </w:rPr>
              <w:t>[2]</w:t>
            </w:r>
          </w:p>
        </w:tc>
        <w:tc>
          <w:tcPr>
            <w:tcW w:w="1080" w:type="dxa"/>
            <w:tcBorders>
              <w:top w:val="nil"/>
              <w:left w:val="nil"/>
              <w:bottom w:val="single" w:sz="8" w:space="0" w:color="auto"/>
              <w:right w:val="single" w:sz="8" w:space="0" w:color="auto"/>
            </w:tcBorders>
            <w:shd w:val="clear" w:color="auto" w:fill="auto"/>
            <w:vAlign w:val="center"/>
          </w:tcPr>
          <w:p w14:paraId="011224EA" w14:textId="77777777" w:rsidR="00DD49C9" w:rsidRPr="00EE0371" w:rsidRDefault="00DD49C9" w:rsidP="00DD49C9">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Caracter</w:t>
            </w:r>
          </w:p>
        </w:tc>
        <w:tc>
          <w:tcPr>
            <w:tcW w:w="1433" w:type="dxa"/>
            <w:tcBorders>
              <w:top w:val="nil"/>
              <w:left w:val="nil"/>
              <w:bottom w:val="single" w:sz="8" w:space="0" w:color="auto"/>
              <w:right w:val="single" w:sz="8" w:space="0" w:color="auto"/>
            </w:tcBorders>
            <w:shd w:val="clear" w:color="auto" w:fill="auto"/>
            <w:vAlign w:val="center"/>
          </w:tcPr>
          <w:p w14:paraId="301EE1B3" w14:textId="77777777" w:rsidR="00DD49C9" w:rsidRPr="00EE0371" w:rsidRDefault="00DD49C9" w:rsidP="00DD49C9">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30</w:t>
            </w:r>
          </w:p>
        </w:tc>
        <w:tc>
          <w:tcPr>
            <w:tcW w:w="2858" w:type="dxa"/>
            <w:tcBorders>
              <w:top w:val="nil"/>
              <w:left w:val="nil"/>
              <w:bottom w:val="single" w:sz="8" w:space="0" w:color="auto"/>
              <w:right w:val="single" w:sz="8" w:space="0" w:color="auto"/>
            </w:tcBorders>
            <w:shd w:val="clear" w:color="auto" w:fill="auto"/>
            <w:vAlign w:val="center"/>
          </w:tcPr>
          <w:p w14:paraId="2BC56ED0" w14:textId="77777777" w:rsidR="00DD49C9" w:rsidRPr="00EE0371" w:rsidRDefault="00DD49C9" w:rsidP="00DD49C9">
            <w:pPr>
              <w:spacing w:after="0" w:line="240" w:lineRule="auto"/>
              <w:rPr>
                <w:rFonts w:ascii="Arial" w:eastAsia="Times New Roman" w:hAnsi="Arial" w:cs="Arial"/>
                <w:sz w:val="20"/>
                <w:szCs w:val="20"/>
                <w:lang w:eastAsia="pt-BR"/>
              </w:rPr>
            </w:pPr>
            <w:r w:rsidRPr="00EE0371">
              <w:rPr>
                <w:rFonts w:ascii="Arial" w:eastAsia="Times New Roman" w:hAnsi="Arial" w:cs="Arial"/>
                <w:sz w:val="20"/>
                <w:szCs w:val="20"/>
                <w:lang w:eastAsia="pt-BR"/>
              </w:rPr>
              <w:t>Opcional</w:t>
            </w:r>
          </w:p>
        </w:tc>
      </w:tr>
      <w:tr w:rsidR="00DD49C9" w:rsidRPr="00EE0371" w14:paraId="26C58F5C" w14:textId="77777777" w:rsidTr="00DD49C9">
        <w:trPr>
          <w:trHeight w:val="499"/>
        </w:trPr>
        <w:tc>
          <w:tcPr>
            <w:tcW w:w="3213" w:type="dxa"/>
            <w:tcBorders>
              <w:top w:val="nil"/>
              <w:left w:val="single" w:sz="8" w:space="0" w:color="auto"/>
              <w:bottom w:val="single" w:sz="8" w:space="0" w:color="auto"/>
              <w:right w:val="single" w:sz="8" w:space="0" w:color="auto"/>
            </w:tcBorders>
            <w:shd w:val="clear" w:color="auto" w:fill="auto"/>
            <w:vAlign w:val="center"/>
            <w:hideMark/>
          </w:tcPr>
          <w:p w14:paraId="35801B1D" w14:textId="77777777" w:rsidR="00DD49C9" w:rsidRPr="00EE0371" w:rsidRDefault="00DD49C9" w:rsidP="00DD49C9">
            <w:pPr>
              <w:spacing w:after="0" w:line="240" w:lineRule="auto"/>
              <w:rPr>
                <w:rFonts w:ascii="Arial" w:eastAsia="Times New Roman" w:hAnsi="Arial" w:cs="Arial"/>
                <w:sz w:val="20"/>
                <w:szCs w:val="20"/>
                <w:lang w:eastAsia="pt-BR"/>
              </w:rPr>
            </w:pPr>
            <w:r w:rsidRPr="00EE0371">
              <w:rPr>
                <w:rFonts w:ascii="Arial" w:eastAsia="Times New Roman" w:hAnsi="Arial" w:cs="Arial"/>
                <w:sz w:val="20"/>
                <w:szCs w:val="20"/>
                <w:lang w:eastAsia="pt-BR"/>
              </w:rPr>
              <w:t>Valor Bruto Contábil do Bem Intangível no Final Exercício</w:t>
            </w:r>
            <w:r w:rsidRPr="00122606">
              <w:rPr>
                <w:rFonts w:ascii="Arial" w:eastAsia="Times New Roman" w:hAnsi="Arial" w:cs="Arial"/>
                <w:b/>
                <w:sz w:val="20"/>
                <w:szCs w:val="20"/>
                <w:vertAlign w:val="superscript"/>
                <w:lang w:eastAsia="pt-BR"/>
              </w:rPr>
              <w:t>[</w:t>
            </w:r>
            <w:r w:rsidR="00122606">
              <w:rPr>
                <w:rFonts w:ascii="Arial" w:eastAsia="Times New Roman" w:hAnsi="Arial" w:cs="Arial"/>
                <w:b/>
                <w:sz w:val="20"/>
                <w:szCs w:val="20"/>
                <w:vertAlign w:val="superscript"/>
                <w:lang w:eastAsia="pt-BR"/>
              </w:rPr>
              <w:t xml:space="preserve"> </w:t>
            </w:r>
            <w:r w:rsidRPr="00122606">
              <w:rPr>
                <w:rFonts w:ascii="Arial" w:eastAsia="Times New Roman" w:hAnsi="Arial" w:cs="Arial"/>
                <w:b/>
                <w:sz w:val="20"/>
                <w:szCs w:val="20"/>
                <w:vertAlign w:val="superscript"/>
                <w:lang w:eastAsia="pt-BR"/>
              </w:rPr>
              <w:t>3]</w:t>
            </w:r>
          </w:p>
        </w:tc>
        <w:tc>
          <w:tcPr>
            <w:tcW w:w="1080" w:type="dxa"/>
            <w:tcBorders>
              <w:top w:val="nil"/>
              <w:left w:val="nil"/>
              <w:bottom w:val="single" w:sz="8" w:space="0" w:color="auto"/>
              <w:right w:val="single" w:sz="8" w:space="0" w:color="auto"/>
            </w:tcBorders>
            <w:shd w:val="clear" w:color="auto" w:fill="auto"/>
            <w:vAlign w:val="center"/>
            <w:hideMark/>
          </w:tcPr>
          <w:p w14:paraId="0E9CE894" w14:textId="77777777" w:rsidR="00DD49C9" w:rsidRPr="00EE0371" w:rsidRDefault="00DD49C9" w:rsidP="00DD49C9">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Decimal</w:t>
            </w:r>
          </w:p>
        </w:tc>
        <w:tc>
          <w:tcPr>
            <w:tcW w:w="1433" w:type="dxa"/>
            <w:tcBorders>
              <w:top w:val="nil"/>
              <w:left w:val="nil"/>
              <w:bottom w:val="single" w:sz="8" w:space="0" w:color="auto"/>
              <w:right w:val="single" w:sz="8" w:space="0" w:color="auto"/>
            </w:tcBorders>
            <w:shd w:val="clear" w:color="auto" w:fill="auto"/>
            <w:vAlign w:val="center"/>
            <w:hideMark/>
          </w:tcPr>
          <w:p w14:paraId="34931C5B" w14:textId="77777777" w:rsidR="00DD49C9" w:rsidRPr="00EE0371" w:rsidRDefault="00DD49C9" w:rsidP="00DD49C9">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14,2</w:t>
            </w:r>
          </w:p>
        </w:tc>
        <w:tc>
          <w:tcPr>
            <w:tcW w:w="2858" w:type="dxa"/>
            <w:tcBorders>
              <w:top w:val="nil"/>
              <w:left w:val="nil"/>
              <w:bottom w:val="single" w:sz="8" w:space="0" w:color="auto"/>
              <w:right w:val="single" w:sz="8" w:space="0" w:color="auto"/>
            </w:tcBorders>
            <w:shd w:val="clear" w:color="auto" w:fill="auto"/>
            <w:vAlign w:val="center"/>
            <w:hideMark/>
          </w:tcPr>
          <w:p w14:paraId="0AB39771" w14:textId="77777777" w:rsidR="00DD49C9" w:rsidRPr="00EE0371" w:rsidRDefault="00DD49C9" w:rsidP="00DD49C9">
            <w:pPr>
              <w:spacing w:after="0" w:line="240" w:lineRule="auto"/>
              <w:rPr>
                <w:rFonts w:ascii="Arial" w:eastAsia="Times New Roman" w:hAnsi="Arial" w:cs="Arial"/>
                <w:sz w:val="20"/>
                <w:szCs w:val="20"/>
                <w:lang w:eastAsia="pt-BR"/>
              </w:rPr>
            </w:pPr>
            <w:r w:rsidRPr="00EE0371">
              <w:rPr>
                <w:rFonts w:ascii="Arial" w:eastAsia="Times New Roman" w:hAnsi="Arial" w:cs="Arial"/>
                <w:sz w:val="20"/>
                <w:szCs w:val="20"/>
                <w:lang w:eastAsia="pt-BR"/>
              </w:rPr>
              <w:t xml:space="preserve">Obrigatório </w:t>
            </w:r>
          </w:p>
        </w:tc>
      </w:tr>
    </w:tbl>
    <w:p w14:paraId="041996F0" w14:textId="77777777" w:rsidR="00EE0371" w:rsidRPr="00122606" w:rsidRDefault="00EE0371" w:rsidP="00EE0371">
      <w:pPr>
        <w:spacing w:after="0" w:line="240" w:lineRule="auto"/>
        <w:jc w:val="both"/>
        <w:rPr>
          <w:rFonts w:ascii="Arial" w:hAnsi="Arial" w:cs="Arial"/>
          <w:sz w:val="18"/>
          <w:szCs w:val="18"/>
        </w:rPr>
      </w:pPr>
      <w:r w:rsidRPr="00122606">
        <w:rPr>
          <w:rFonts w:ascii="Arial" w:hAnsi="Arial" w:cs="Arial"/>
          <w:sz w:val="18"/>
          <w:szCs w:val="18"/>
        </w:rPr>
        <w:t>[1] O Código Contábil a ser informado deverá pertencer ao Plano de Contas do CidadES do exercício e com atributo de escrituração S (Sim).</w:t>
      </w:r>
    </w:p>
    <w:p w14:paraId="64C038D9" w14:textId="77777777" w:rsidR="00EE0371" w:rsidRPr="00122606" w:rsidRDefault="00EE0371" w:rsidP="00EE0371">
      <w:pPr>
        <w:spacing w:after="0" w:line="360" w:lineRule="auto"/>
        <w:jc w:val="both"/>
        <w:rPr>
          <w:rFonts w:ascii="Arial" w:eastAsia="Times New Roman" w:hAnsi="Arial" w:cs="Arial"/>
          <w:sz w:val="18"/>
          <w:szCs w:val="18"/>
          <w:lang w:eastAsia="pt-BR"/>
        </w:rPr>
      </w:pPr>
      <w:r w:rsidRPr="00122606">
        <w:rPr>
          <w:rFonts w:ascii="Arial" w:hAnsi="Arial" w:cs="Arial"/>
          <w:sz w:val="18"/>
          <w:szCs w:val="18"/>
        </w:rPr>
        <w:t xml:space="preserve">[2] </w:t>
      </w:r>
      <w:r w:rsidRPr="00122606">
        <w:rPr>
          <w:rFonts w:ascii="Arial" w:eastAsia="Times New Roman" w:hAnsi="Arial" w:cs="Arial"/>
          <w:sz w:val="18"/>
          <w:szCs w:val="18"/>
          <w:lang w:eastAsia="pt-BR"/>
        </w:rPr>
        <w:t>Número da Certidão de Registro de marca ou patente, caso exista.</w:t>
      </w:r>
    </w:p>
    <w:p w14:paraId="3D51B77F" w14:textId="77777777" w:rsidR="00EE0371" w:rsidRPr="00122606" w:rsidRDefault="00EE0371" w:rsidP="00EE0371">
      <w:pPr>
        <w:spacing w:after="0" w:line="240" w:lineRule="auto"/>
        <w:jc w:val="both"/>
        <w:rPr>
          <w:rFonts w:ascii="Arial" w:hAnsi="Arial" w:cs="Arial"/>
          <w:sz w:val="18"/>
          <w:szCs w:val="18"/>
        </w:rPr>
      </w:pPr>
      <w:r w:rsidRPr="00122606">
        <w:rPr>
          <w:rFonts w:ascii="Arial" w:hAnsi="Arial" w:cs="Arial"/>
          <w:sz w:val="18"/>
          <w:szCs w:val="18"/>
        </w:rPr>
        <w:t>[3] O campo &lt;</w:t>
      </w:r>
      <w:r w:rsidRPr="00122606">
        <w:rPr>
          <w:rFonts w:ascii="Arial" w:hAnsi="Arial" w:cs="Arial"/>
          <w:sz w:val="18"/>
          <w:szCs w:val="18"/>
          <w:lang w:eastAsia="pt-BR"/>
        </w:rPr>
        <w:t>ValorBrutoContabilBemIntangivel</w:t>
      </w:r>
      <w:r w:rsidRPr="00122606">
        <w:rPr>
          <w:rFonts w:ascii="Arial" w:eastAsia="Times New Roman" w:hAnsi="Arial" w:cs="Arial"/>
          <w:sz w:val="18"/>
          <w:szCs w:val="18"/>
          <w:lang w:eastAsia="pt-BR"/>
        </w:rPr>
        <w:t>&gt; deve evidenciar o valor bruto do bem na respectiva conta contábil do PCASP/TCEES, sem considerar as deduções do exercício referentes a outras contas contábeis específicas no PCASP/TCEES, tais como amortização e redução ao valor recuperável.</w:t>
      </w:r>
    </w:p>
    <w:p w14:paraId="02F954BD" w14:textId="77777777" w:rsidR="00EE0371" w:rsidRPr="00122606" w:rsidRDefault="00EE0371" w:rsidP="00EE0371">
      <w:pPr>
        <w:spacing w:after="0" w:line="240" w:lineRule="auto"/>
        <w:jc w:val="both"/>
        <w:rPr>
          <w:rFonts w:ascii="Arial" w:hAnsi="Arial" w:cs="Arial"/>
          <w:sz w:val="18"/>
          <w:szCs w:val="18"/>
        </w:rPr>
      </w:pPr>
    </w:p>
    <w:p w14:paraId="323482B8" w14:textId="77777777" w:rsidR="00EE0371" w:rsidRPr="00122606" w:rsidRDefault="00EE0371" w:rsidP="00EE0371">
      <w:pPr>
        <w:spacing w:after="0" w:line="240" w:lineRule="auto"/>
        <w:jc w:val="both"/>
        <w:rPr>
          <w:rFonts w:ascii="Arial" w:hAnsi="Arial" w:cs="Arial"/>
          <w:sz w:val="18"/>
          <w:szCs w:val="18"/>
        </w:rPr>
      </w:pPr>
    </w:p>
    <w:p w14:paraId="23879F32" w14:textId="77777777" w:rsidR="00EE0371" w:rsidRPr="00122606" w:rsidRDefault="00EE0371" w:rsidP="00EE0371">
      <w:pPr>
        <w:spacing w:after="0" w:line="240" w:lineRule="auto"/>
        <w:jc w:val="both"/>
        <w:rPr>
          <w:rFonts w:ascii="Arial" w:hAnsi="Arial" w:cs="Arial"/>
          <w:sz w:val="18"/>
          <w:szCs w:val="18"/>
        </w:rPr>
      </w:pPr>
      <w:r w:rsidRPr="00122606">
        <w:rPr>
          <w:rFonts w:ascii="Arial" w:hAnsi="Arial" w:cs="Arial"/>
          <w:sz w:val="18"/>
          <w:szCs w:val="18"/>
        </w:rPr>
        <w:t>Obs.: Somente serão aceitos valores positivos.</w:t>
      </w:r>
    </w:p>
    <w:p w14:paraId="24F2FD2F" w14:textId="77777777" w:rsidR="00EE0371" w:rsidRPr="00EE0371" w:rsidRDefault="00EE0371" w:rsidP="00EE0371">
      <w:pPr>
        <w:spacing w:after="0" w:line="360" w:lineRule="auto"/>
        <w:jc w:val="both"/>
        <w:rPr>
          <w:rFonts w:ascii="Arial" w:hAnsi="Arial" w:cs="Arial"/>
          <w:b/>
          <w:sz w:val="28"/>
        </w:rPr>
      </w:pPr>
    </w:p>
    <w:p w14:paraId="18E7BA82" w14:textId="0A9F935B" w:rsidR="00EE0371" w:rsidRPr="00EE0371" w:rsidRDefault="00EE0371" w:rsidP="00A60EA7">
      <w:pPr>
        <w:pStyle w:val="Ttulo3"/>
      </w:pPr>
      <w:bookmarkStart w:id="41" w:name="_Toc94806317"/>
      <w:r w:rsidRPr="00EE0371">
        <w:lastRenderedPageBreak/>
        <w:t>INVALM.XML (ou InventarioBensAlmoxarifado.xml)</w:t>
      </w:r>
      <w:bookmarkEnd w:id="41"/>
    </w:p>
    <w:p w14:paraId="0CEADD2E" w14:textId="17B5021D" w:rsidR="00EE0371" w:rsidRPr="00EE0371" w:rsidRDefault="00EE0371" w:rsidP="00EE0371">
      <w:pPr>
        <w:autoSpaceDE w:val="0"/>
        <w:autoSpaceDN w:val="0"/>
        <w:adjustRightInd w:val="0"/>
        <w:spacing w:after="0" w:line="240" w:lineRule="auto"/>
        <w:jc w:val="both"/>
        <w:rPr>
          <w:rFonts w:ascii="Arial" w:hAnsi="Arial"/>
          <w:bCs/>
        </w:rPr>
      </w:pPr>
      <w:r w:rsidRPr="00EE0371">
        <w:rPr>
          <w:rFonts w:ascii="Arial" w:hAnsi="Arial"/>
          <w:b/>
          <w:bCs/>
        </w:rPr>
        <w:t xml:space="preserve">Descrição: </w:t>
      </w:r>
      <w:r w:rsidRPr="00EE0371">
        <w:rPr>
          <w:rFonts w:ascii="Arial" w:hAnsi="Arial"/>
          <w:bCs/>
        </w:rPr>
        <w:t>Este arquivo conterá o inventário anual de bens em almoxarifado.</w:t>
      </w:r>
    </w:p>
    <w:p w14:paraId="2933D9EC" w14:textId="77777777" w:rsidR="00EE0371" w:rsidRPr="00EE0371" w:rsidRDefault="00EE0371" w:rsidP="00EE0371">
      <w:pPr>
        <w:autoSpaceDE w:val="0"/>
        <w:autoSpaceDN w:val="0"/>
        <w:adjustRightInd w:val="0"/>
        <w:spacing w:after="0" w:line="240" w:lineRule="auto"/>
        <w:jc w:val="both"/>
        <w:rPr>
          <w:rFonts w:ascii="Arial" w:hAnsi="Arial"/>
          <w:b/>
          <w:bCs/>
        </w:rPr>
      </w:pPr>
    </w:p>
    <w:p w14:paraId="453BECA7" w14:textId="77777777" w:rsidR="00EE0371" w:rsidRPr="00EE0371" w:rsidRDefault="00EE0371" w:rsidP="00EE0371">
      <w:pPr>
        <w:autoSpaceDE w:val="0"/>
        <w:autoSpaceDN w:val="0"/>
        <w:adjustRightInd w:val="0"/>
        <w:spacing w:after="0" w:line="240" w:lineRule="auto"/>
        <w:jc w:val="both"/>
        <w:rPr>
          <w:rFonts w:ascii="Arial" w:hAnsi="Arial"/>
          <w:b/>
          <w:bCs/>
        </w:rPr>
      </w:pPr>
      <w:r w:rsidRPr="00EE0371">
        <w:rPr>
          <w:rFonts w:ascii="Arial" w:hAnsi="Arial"/>
          <w:b/>
          <w:bCs/>
        </w:rPr>
        <w:t>Estrutura:</w:t>
      </w:r>
    </w:p>
    <w:p w14:paraId="26F2AC2B" w14:textId="77777777" w:rsidR="00EE0371" w:rsidRPr="00EE0371" w:rsidRDefault="00EE0371" w:rsidP="00EE0371">
      <w:pPr>
        <w:spacing w:after="0" w:line="240" w:lineRule="auto"/>
        <w:ind w:right="600"/>
        <w:jc w:val="both"/>
        <w:rPr>
          <w:rFonts w:ascii="Arial" w:hAnsi="Arial" w:cs="Arial"/>
          <w:sz w:val="20"/>
          <w:szCs w:val="20"/>
          <w:lang w:eastAsia="pt-BR"/>
        </w:rPr>
      </w:pPr>
    </w:p>
    <w:p w14:paraId="46C3BDDF" w14:textId="77777777" w:rsidR="00EE0371" w:rsidRPr="00EE0371" w:rsidRDefault="00EE0371" w:rsidP="00EE0371">
      <w:pPr>
        <w:spacing w:after="0" w:line="240" w:lineRule="auto"/>
        <w:ind w:right="600"/>
        <w:jc w:val="both"/>
        <w:rPr>
          <w:rFonts w:ascii="Arial" w:hAnsi="Arial" w:cs="Arial"/>
          <w:sz w:val="20"/>
          <w:szCs w:val="20"/>
          <w:lang w:eastAsia="pt-BR"/>
        </w:rPr>
      </w:pPr>
      <w:r w:rsidRPr="00EE0371">
        <w:rPr>
          <w:rFonts w:ascii="Arial" w:hAnsi="Arial" w:cs="Arial"/>
          <w:sz w:val="20"/>
          <w:szCs w:val="20"/>
          <w:lang w:eastAsia="pt-BR"/>
        </w:rPr>
        <w:t>&lt;?xml version="1.0" encoding=“UTF-8”?&gt;</w:t>
      </w:r>
      <w:r w:rsidRPr="00EE0371">
        <w:rPr>
          <w:rFonts w:ascii="Arial" w:hAnsi="Arial" w:cs="Arial"/>
          <w:sz w:val="20"/>
          <w:szCs w:val="20"/>
          <w:lang w:eastAsia="pt-BR"/>
        </w:rPr>
        <w:tab/>
      </w:r>
      <w:r w:rsidRPr="00EE0371">
        <w:rPr>
          <w:rFonts w:ascii="Arial" w:hAnsi="Arial" w:cs="Arial"/>
          <w:sz w:val="20"/>
          <w:szCs w:val="20"/>
          <w:lang w:eastAsia="pt-BR"/>
        </w:rPr>
        <w:tab/>
      </w:r>
    </w:p>
    <w:p w14:paraId="5E57DC17" w14:textId="77777777" w:rsidR="00EE0371" w:rsidRPr="00EE0371" w:rsidRDefault="00EE0371" w:rsidP="00EE0371">
      <w:pPr>
        <w:spacing w:after="0" w:line="240" w:lineRule="auto"/>
        <w:ind w:right="600"/>
        <w:jc w:val="both"/>
        <w:rPr>
          <w:rFonts w:ascii="Arial" w:hAnsi="Arial" w:cs="Arial"/>
          <w:sz w:val="20"/>
          <w:szCs w:val="20"/>
          <w:lang w:eastAsia="pt-BR"/>
        </w:rPr>
      </w:pPr>
      <w:r w:rsidRPr="00EE0371">
        <w:rPr>
          <w:rFonts w:ascii="Arial" w:hAnsi="Arial" w:cs="Arial"/>
          <w:sz w:val="20"/>
          <w:szCs w:val="20"/>
          <w:lang w:eastAsia="pt-BR"/>
        </w:rPr>
        <w:t>&lt;PrestacaoContasAnual&gt;</w:t>
      </w:r>
    </w:p>
    <w:p w14:paraId="6BA35484" w14:textId="77777777" w:rsidR="00EE0371" w:rsidRPr="00EE0371" w:rsidRDefault="00EE0371" w:rsidP="00EE0371">
      <w:pPr>
        <w:spacing w:after="0" w:line="240" w:lineRule="auto"/>
        <w:ind w:right="600"/>
        <w:jc w:val="both"/>
        <w:rPr>
          <w:rFonts w:ascii="Arial" w:hAnsi="Arial" w:cs="Arial"/>
          <w:sz w:val="20"/>
          <w:szCs w:val="20"/>
          <w:lang w:eastAsia="pt-BR"/>
        </w:rPr>
      </w:pPr>
      <w:r w:rsidRPr="00EE0371">
        <w:rPr>
          <w:rFonts w:ascii="Arial" w:hAnsi="Arial" w:cs="Arial"/>
          <w:sz w:val="20"/>
          <w:szCs w:val="20"/>
          <w:lang w:eastAsia="pt-BR"/>
        </w:rPr>
        <w:tab/>
      </w:r>
      <w:r w:rsidRPr="00EE0371">
        <w:rPr>
          <w:rFonts w:ascii="Arial" w:hAnsi="Arial" w:cs="Arial"/>
          <w:sz w:val="20"/>
          <w:szCs w:val="20"/>
          <w:lang w:eastAsia="pt-BR"/>
        </w:rPr>
        <w:tab/>
      </w:r>
    </w:p>
    <w:p w14:paraId="73EE36F3" w14:textId="77777777" w:rsidR="00EE0371" w:rsidRPr="00EE0371" w:rsidRDefault="00EE0371" w:rsidP="00EE0371">
      <w:pPr>
        <w:spacing w:after="0" w:line="240" w:lineRule="auto"/>
        <w:ind w:right="600"/>
        <w:jc w:val="both"/>
        <w:rPr>
          <w:rFonts w:ascii="Arial" w:hAnsi="Arial" w:cs="Arial"/>
          <w:sz w:val="20"/>
          <w:szCs w:val="20"/>
          <w:lang w:eastAsia="pt-BR"/>
        </w:rPr>
      </w:pPr>
      <w:r w:rsidRPr="00EE0371">
        <w:rPr>
          <w:rFonts w:ascii="Arial" w:hAnsi="Arial" w:cs="Arial"/>
          <w:sz w:val="20"/>
          <w:szCs w:val="20"/>
          <w:lang w:eastAsia="pt-BR"/>
        </w:rPr>
        <w:t xml:space="preserve">     &lt;InventarioBemAlmoxarifado_Schema&gt;</w:t>
      </w:r>
      <w:r w:rsidRPr="00EE0371">
        <w:rPr>
          <w:rFonts w:ascii="Arial" w:hAnsi="Arial" w:cs="Arial"/>
          <w:sz w:val="20"/>
          <w:szCs w:val="20"/>
          <w:lang w:eastAsia="pt-BR"/>
        </w:rPr>
        <w:tab/>
      </w:r>
      <w:r w:rsidRPr="00EE0371">
        <w:rPr>
          <w:rFonts w:ascii="Arial" w:hAnsi="Arial" w:cs="Arial"/>
          <w:sz w:val="20"/>
          <w:szCs w:val="20"/>
          <w:lang w:eastAsia="pt-BR"/>
        </w:rPr>
        <w:tab/>
      </w:r>
    </w:p>
    <w:p w14:paraId="14BEF0CE" w14:textId="77777777" w:rsidR="00EE0371" w:rsidRPr="00EE0371" w:rsidRDefault="00EE0371" w:rsidP="00EE0371">
      <w:pPr>
        <w:spacing w:after="0" w:line="240" w:lineRule="auto"/>
        <w:ind w:right="600" w:firstLine="708"/>
        <w:jc w:val="both"/>
        <w:rPr>
          <w:rFonts w:ascii="Arial" w:hAnsi="Arial" w:cs="Arial"/>
          <w:sz w:val="20"/>
          <w:szCs w:val="20"/>
          <w:lang w:eastAsia="pt-BR"/>
        </w:rPr>
      </w:pPr>
      <w:r w:rsidRPr="00EE0371">
        <w:rPr>
          <w:rFonts w:ascii="Arial" w:hAnsi="Arial" w:cs="Arial"/>
          <w:sz w:val="20"/>
          <w:szCs w:val="20"/>
          <w:lang w:eastAsia="pt-BR"/>
        </w:rPr>
        <w:t>&lt;InventarioBemAlmoxarifado&gt;</w:t>
      </w:r>
      <w:r w:rsidRPr="00EE0371">
        <w:rPr>
          <w:rFonts w:ascii="Arial" w:hAnsi="Arial" w:cs="Arial"/>
          <w:sz w:val="20"/>
          <w:szCs w:val="20"/>
          <w:lang w:eastAsia="pt-BR"/>
        </w:rPr>
        <w:tab/>
      </w:r>
      <w:r w:rsidRPr="00EE0371">
        <w:rPr>
          <w:rFonts w:ascii="Arial" w:hAnsi="Arial" w:cs="Arial"/>
          <w:sz w:val="20"/>
          <w:szCs w:val="20"/>
          <w:lang w:eastAsia="pt-BR"/>
        </w:rPr>
        <w:tab/>
      </w:r>
    </w:p>
    <w:p w14:paraId="7C28D14B" w14:textId="77777777" w:rsidR="00EE0371" w:rsidRDefault="00EE0371" w:rsidP="00EE0371">
      <w:pPr>
        <w:spacing w:after="0" w:line="240" w:lineRule="auto"/>
        <w:ind w:right="600" w:firstLine="708"/>
        <w:jc w:val="both"/>
        <w:rPr>
          <w:rFonts w:ascii="Arial" w:hAnsi="Arial" w:cs="Arial"/>
          <w:sz w:val="20"/>
          <w:szCs w:val="20"/>
          <w:lang w:eastAsia="pt-BR"/>
        </w:rPr>
      </w:pPr>
      <w:r w:rsidRPr="00EE0371">
        <w:rPr>
          <w:rFonts w:ascii="Arial" w:hAnsi="Arial" w:cs="Arial"/>
          <w:sz w:val="20"/>
          <w:szCs w:val="20"/>
          <w:lang w:eastAsia="pt-BR"/>
        </w:rPr>
        <w:t xml:space="preserve">     &lt;IdNumRegistro&gt;</w:t>
      </w:r>
      <w:r w:rsidRPr="00EE0371">
        <w:rPr>
          <w:rFonts w:ascii="Arial" w:hAnsi="Arial" w:cs="Arial"/>
          <w:b/>
          <w:sz w:val="20"/>
          <w:szCs w:val="20"/>
          <w:lang w:eastAsia="pt-BR"/>
        </w:rPr>
        <w:t>99999</w:t>
      </w:r>
      <w:r w:rsidRPr="00EE0371">
        <w:rPr>
          <w:rFonts w:ascii="Arial" w:hAnsi="Arial" w:cs="Arial"/>
          <w:sz w:val="20"/>
          <w:szCs w:val="20"/>
          <w:lang w:eastAsia="pt-BR"/>
        </w:rPr>
        <w:t>&lt;/IdNumRegistro&gt;</w:t>
      </w:r>
      <w:r w:rsidRPr="00EE0371">
        <w:rPr>
          <w:rFonts w:ascii="Arial" w:hAnsi="Arial" w:cs="Arial"/>
          <w:sz w:val="20"/>
          <w:szCs w:val="20"/>
          <w:lang w:eastAsia="pt-BR"/>
        </w:rPr>
        <w:tab/>
      </w:r>
      <w:r w:rsidRPr="00EE0371">
        <w:rPr>
          <w:rFonts w:ascii="Arial" w:hAnsi="Arial" w:cs="Arial"/>
          <w:sz w:val="20"/>
          <w:szCs w:val="20"/>
          <w:lang w:eastAsia="pt-BR"/>
        </w:rPr>
        <w:tab/>
      </w:r>
    </w:p>
    <w:p w14:paraId="44F22EDF" w14:textId="77777777" w:rsidR="00DD49C9" w:rsidRPr="00122606" w:rsidRDefault="00DD49C9" w:rsidP="00DD49C9">
      <w:pPr>
        <w:spacing w:after="0" w:line="240" w:lineRule="auto"/>
        <w:ind w:firstLine="708"/>
        <w:rPr>
          <w:rFonts w:ascii="Arial" w:hAnsi="Arial" w:cs="Arial"/>
          <w:sz w:val="20"/>
          <w:szCs w:val="20"/>
          <w:lang w:eastAsia="pt-BR"/>
        </w:rPr>
      </w:pPr>
      <w:r w:rsidRPr="00122606">
        <w:rPr>
          <w:rFonts w:ascii="Arial" w:hAnsi="Arial" w:cs="Arial"/>
          <w:sz w:val="20"/>
          <w:szCs w:val="20"/>
          <w:lang w:eastAsia="pt-BR"/>
        </w:rPr>
        <w:t xml:space="preserve">     &lt;CodigoUnidadeGestora&gt;</w:t>
      </w:r>
      <w:r w:rsidRPr="00122606">
        <w:rPr>
          <w:rFonts w:ascii="Arial" w:hAnsi="Arial" w:cs="Arial"/>
          <w:b/>
          <w:sz w:val="20"/>
          <w:szCs w:val="20"/>
          <w:lang w:eastAsia="pt-BR"/>
        </w:rPr>
        <w:t>XXXXXXXXXXX</w:t>
      </w:r>
      <w:r w:rsidRPr="00122606">
        <w:rPr>
          <w:rFonts w:ascii="Arial" w:hAnsi="Arial" w:cs="Arial"/>
          <w:sz w:val="20"/>
          <w:szCs w:val="20"/>
          <w:lang w:eastAsia="pt-BR"/>
        </w:rPr>
        <w:t>&lt;/CodigoUnidadeGestora&gt;</w:t>
      </w:r>
    </w:p>
    <w:p w14:paraId="19FCE7F9" w14:textId="77777777" w:rsidR="00EE0371" w:rsidRPr="00EE0371" w:rsidRDefault="00EE0371" w:rsidP="00EE0371">
      <w:pPr>
        <w:spacing w:after="0" w:line="240" w:lineRule="auto"/>
        <w:ind w:right="600" w:firstLine="708"/>
        <w:jc w:val="both"/>
        <w:rPr>
          <w:rFonts w:ascii="Arial" w:hAnsi="Arial" w:cs="Arial"/>
          <w:sz w:val="20"/>
          <w:szCs w:val="20"/>
          <w:lang w:eastAsia="pt-BR"/>
        </w:rPr>
      </w:pPr>
      <w:r w:rsidRPr="00EE0371">
        <w:rPr>
          <w:rFonts w:ascii="Arial" w:hAnsi="Arial" w:cs="Arial"/>
          <w:sz w:val="20"/>
          <w:szCs w:val="20"/>
          <w:lang w:eastAsia="pt-BR"/>
        </w:rPr>
        <w:t xml:space="preserve">     &lt;CodigoContabil&gt;</w:t>
      </w:r>
      <w:r w:rsidRPr="00EE0371">
        <w:rPr>
          <w:rFonts w:ascii="Arial" w:hAnsi="Arial" w:cs="Arial"/>
          <w:b/>
          <w:sz w:val="20"/>
          <w:szCs w:val="20"/>
          <w:lang w:eastAsia="pt-BR"/>
        </w:rPr>
        <w:t>999999999</w:t>
      </w:r>
      <w:r w:rsidRPr="00EE0371">
        <w:rPr>
          <w:rFonts w:ascii="Arial" w:hAnsi="Arial" w:cs="Arial"/>
          <w:sz w:val="20"/>
          <w:szCs w:val="20"/>
          <w:lang w:eastAsia="pt-BR"/>
        </w:rPr>
        <w:t xml:space="preserve">&lt;/CodigoContabil&gt; </w:t>
      </w:r>
      <w:r w:rsidRPr="00EE0371">
        <w:rPr>
          <w:rFonts w:ascii="Arial" w:hAnsi="Arial" w:cs="Arial"/>
          <w:sz w:val="20"/>
          <w:szCs w:val="20"/>
          <w:lang w:eastAsia="pt-BR"/>
        </w:rPr>
        <w:tab/>
      </w:r>
      <w:r w:rsidRPr="00EE0371">
        <w:rPr>
          <w:rFonts w:ascii="Arial" w:hAnsi="Arial" w:cs="Arial"/>
          <w:sz w:val="20"/>
          <w:szCs w:val="20"/>
          <w:lang w:eastAsia="pt-BR"/>
        </w:rPr>
        <w:tab/>
      </w:r>
    </w:p>
    <w:p w14:paraId="165BEF76" w14:textId="77777777" w:rsidR="00EE0371" w:rsidRPr="00EE0371" w:rsidRDefault="00EE0371" w:rsidP="00EE0371">
      <w:pPr>
        <w:spacing w:after="0" w:line="240" w:lineRule="auto"/>
        <w:ind w:right="600" w:firstLine="708"/>
        <w:jc w:val="both"/>
        <w:rPr>
          <w:rFonts w:ascii="Arial" w:hAnsi="Arial" w:cs="Arial"/>
          <w:sz w:val="20"/>
          <w:szCs w:val="20"/>
          <w:lang w:eastAsia="pt-BR"/>
        </w:rPr>
      </w:pPr>
      <w:r w:rsidRPr="00EE0371">
        <w:rPr>
          <w:rFonts w:ascii="Arial" w:hAnsi="Arial" w:cs="Arial"/>
          <w:sz w:val="20"/>
          <w:szCs w:val="20"/>
          <w:lang w:eastAsia="pt-BR"/>
        </w:rPr>
        <w:t xml:space="preserve">     &lt;DescricaoBemAlmoxarifado&gt;</w:t>
      </w:r>
      <w:r w:rsidRPr="00EE0371">
        <w:rPr>
          <w:rFonts w:ascii="Arial" w:hAnsi="Arial" w:cs="Arial"/>
          <w:b/>
          <w:sz w:val="20"/>
          <w:szCs w:val="20"/>
          <w:lang w:eastAsia="pt-BR"/>
        </w:rPr>
        <w:t>XXX...XXX</w:t>
      </w:r>
      <w:r w:rsidRPr="00EE0371">
        <w:rPr>
          <w:rFonts w:ascii="Arial" w:hAnsi="Arial" w:cs="Arial"/>
          <w:sz w:val="20"/>
          <w:szCs w:val="20"/>
          <w:lang w:eastAsia="pt-BR"/>
        </w:rPr>
        <w:t>&lt;/DescricaoBemAlmoxarifado&gt;</w:t>
      </w:r>
      <w:r w:rsidRPr="00EE0371">
        <w:rPr>
          <w:rFonts w:ascii="Arial" w:hAnsi="Arial" w:cs="Arial"/>
          <w:sz w:val="20"/>
          <w:szCs w:val="20"/>
          <w:lang w:eastAsia="pt-BR"/>
        </w:rPr>
        <w:tab/>
      </w:r>
    </w:p>
    <w:p w14:paraId="5FFE3797" w14:textId="77777777" w:rsidR="00EE0371" w:rsidRPr="00EE0371" w:rsidRDefault="00EE0371" w:rsidP="00EE0371">
      <w:pPr>
        <w:spacing w:after="0" w:line="240" w:lineRule="auto"/>
        <w:ind w:right="600" w:firstLine="708"/>
        <w:jc w:val="both"/>
        <w:rPr>
          <w:rFonts w:ascii="Arial" w:hAnsi="Arial" w:cs="Arial"/>
          <w:sz w:val="20"/>
          <w:szCs w:val="20"/>
          <w:lang w:eastAsia="pt-BR"/>
        </w:rPr>
      </w:pPr>
      <w:r w:rsidRPr="00EE0371">
        <w:rPr>
          <w:rFonts w:ascii="Arial" w:hAnsi="Arial" w:cs="Arial"/>
          <w:sz w:val="20"/>
          <w:szCs w:val="20"/>
          <w:lang w:eastAsia="pt-BR"/>
        </w:rPr>
        <w:t xml:space="preserve">     &lt;UnidadeMedida&gt;</w:t>
      </w:r>
      <w:r w:rsidRPr="00EE0371">
        <w:rPr>
          <w:rFonts w:ascii="Arial" w:hAnsi="Arial" w:cs="Arial"/>
          <w:b/>
          <w:sz w:val="20"/>
          <w:szCs w:val="20"/>
          <w:lang w:eastAsia="pt-BR"/>
        </w:rPr>
        <w:t>XXX...XXX</w:t>
      </w:r>
      <w:r w:rsidRPr="00EE0371">
        <w:rPr>
          <w:rFonts w:ascii="Arial" w:hAnsi="Arial" w:cs="Arial"/>
          <w:sz w:val="20"/>
          <w:szCs w:val="20"/>
          <w:lang w:eastAsia="pt-BR"/>
        </w:rPr>
        <w:t xml:space="preserve">&lt;/UnidadeMedida&gt; </w:t>
      </w:r>
      <w:r w:rsidRPr="00EE0371">
        <w:rPr>
          <w:rFonts w:ascii="Arial" w:hAnsi="Arial" w:cs="Arial"/>
          <w:sz w:val="20"/>
          <w:szCs w:val="20"/>
          <w:lang w:eastAsia="pt-BR"/>
        </w:rPr>
        <w:tab/>
      </w:r>
      <w:r w:rsidRPr="00EE0371">
        <w:rPr>
          <w:rFonts w:ascii="Arial" w:hAnsi="Arial" w:cs="Arial"/>
          <w:sz w:val="20"/>
          <w:szCs w:val="20"/>
          <w:lang w:eastAsia="pt-BR"/>
        </w:rPr>
        <w:tab/>
      </w:r>
    </w:p>
    <w:p w14:paraId="36A77EC3" w14:textId="77777777" w:rsidR="00EE0371" w:rsidRPr="00EE0371" w:rsidRDefault="00EE0371" w:rsidP="00EE0371">
      <w:pPr>
        <w:spacing w:after="0" w:line="240" w:lineRule="auto"/>
        <w:ind w:right="600" w:firstLine="708"/>
        <w:jc w:val="both"/>
        <w:rPr>
          <w:rFonts w:ascii="Arial" w:hAnsi="Arial" w:cs="Arial"/>
          <w:sz w:val="20"/>
          <w:szCs w:val="20"/>
          <w:lang w:eastAsia="pt-BR"/>
        </w:rPr>
      </w:pPr>
      <w:r w:rsidRPr="00EE0371">
        <w:rPr>
          <w:rFonts w:ascii="Arial" w:hAnsi="Arial" w:cs="Arial"/>
          <w:sz w:val="20"/>
          <w:szCs w:val="20"/>
          <w:lang w:eastAsia="pt-BR"/>
        </w:rPr>
        <w:t xml:space="preserve">     &lt;QuantidadeBemAlmoxarifado&gt;</w:t>
      </w:r>
      <w:r w:rsidRPr="00EE0371">
        <w:rPr>
          <w:rFonts w:ascii="Arial" w:hAnsi="Arial" w:cs="Arial"/>
          <w:b/>
          <w:sz w:val="20"/>
          <w:szCs w:val="20"/>
          <w:lang w:eastAsia="pt-BR"/>
        </w:rPr>
        <w:t>99999999999999.99</w:t>
      </w:r>
    </w:p>
    <w:p w14:paraId="52B6CFB0" w14:textId="77777777" w:rsidR="00EE0371" w:rsidRPr="00EE0371" w:rsidRDefault="00EE0371" w:rsidP="00EE0371">
      <w:pPr>
        <w:spacing w:after="0" w:line="240" w:lineRule="auto"/>
        <w:ind w:left="993" w:right="600" w:firstLine="1"/>
        <w:jc w:val="both"/>
        <w:rPr>
          <w:rFonts w:ascii="Arial" w:hAnsi="Arial" w:cs="Arial"/>
          <w:sz w:val="20"/>
          <w:szCs w:val="20"/>
          <w:lang w:eastAsia="pt-BR"/>
        </w:rPr>
      </w:pPr>
      <w:r w:rsidRPr="00EE0371">
        <w:rPr>
          <w:rFonts w:ascii="Arial" w:hAnsi="Arial" w:cs="Arial"/>
          <w:sz w:val="20"/>
          <w:szCs w:val="20"/>
          <w:lang w:eastAsia="pt-BR"/>
        </w:rPr>
        <w:t xml:space="preserve">&lt;/QuantidadeBemAlmoxarifado&gt; </w:t>
      </w:r>
      <w:r w:rsidRPr="00EE0371">
        <w:rPr>
          <w:rFonts w:ascii="Arial" w:hAnsi="Arial" w:cs="Arial"/>
          <w:sz w:val="20"/>
          <w:szCs w:val="20"/>
          <w:lang w:eastAsia="pt-BR"/>
        </w:rPr>
        <w:tab/>
      </w:r>
      <w:r w:rsidRPr="00EE0371">
        <w:rPr>
          <w:rFonts w:ascii="Arial" w:hAnsi="Arial" w:cs="Arial"/>
          <w:sz w:val="20"/>
          <w:szCs w:val="20"/>
          <w:lang w:eastAsia="pt-BR"/>
        </w:rPr>
        <w:tab/>
      </w:r>
    </w:p>
    <w:p w14:paraId="4A4A6C67" w14:textId="77777777" w:rsidR="00EE0371" w:rsidRPr="00EE0371" w:rsidRDefault="00EE0371" w:rsidP="00EE0371">
      <w:pPr>
        <w:spacing w:after="0" w:line="240" w:lineRule="auto"/>
        <w:ind w:right="600" w:firstLine="708"/>
        <w:jc w:val="both"/>
        <w:rPr>
          <w:rFonts w:ascii="Arial" w:hAnsi="Arial" w:cs="Arial"/>
          <w:sz w:val="20"/>
          <w:szCs w:val="20"/>
          <w:lang w:eastAsia="pt-BR"/>
        </w:rPr>
      </w:pPr>
      <w:r w:rsidRPr="00EE0371">
        <w:rPr>
          <w:rFonts w:ascii="Arial" w:hAnsi="Arial" w:cs="Arial"/>
          <w:sz w:val="20"/>
          <w:szCs w:val="20"/>
          <w:lang w:eastAsia="pt-BR"/>
        </w:rPr>
        <w:t xml:space="preserve">     &lt;CustoUnitarioBemAlmoxarifado&gt;</w:t>
      </w:r>
      <w:r w:rsidRPr="00EE0371">
        <w:rPr>
          <w:rFonts w:ascii="Arial" w:hAnsi="Arial" w:cs="Arial"/>
          <w:b/>
          <w:sz w:val="20"/>
          <w:szCs w:val="20"/>
          <w:lang w:eastAsia="pt-BR"/>
        </w:rPr>
        <w:t>99999999999999.9999</w:t>
      </w:r>
    </w:p>
    <w:p w14:paraId="242D809D" w14:textId="77777777" w:rsidR="00EE0371" w:rsidRPr="00EE0371" w:rsidRDefault="00EE0371" w:rsidP="00EE0371">
      <w:pPr>
        <w:spacing w:after="0" w:line="240" w:lineRule="auto"/>
        <w:ind w:left="993" w:right="600" w:firstLine="1"/>
        <w:jc w:val="both"/>
        <w:rPr>
          <w:rFonts w:ascii="Arial" w:hAnsi="Arial" w:cs="Arial"/>
          <w:sz w:val="20"/>
          <w:szCs w:val="20"/>
          <w:lang w:eastAsia="pt-BR"/>
        </w:rPr>
      </w:pPr>
      <w:r w:rsidRPr="00EE0371">
        <w:rPr>
          <w:rFonts w:ascii="Arial" w:hAnsi="Arial" w:cs="Arial"/>
          <w:sz w:val="20"/>
          <w:szCs w:val="20"/>
          <w:lang w:eastAsia="pt-BR"/>
        </w:rPr>
        <w:t xml:space="preserve">&lt;/CustoUnitarioBemAlmoxarifado&gt; </w:t>
      </w:r>
      <w:r w:rsidRPr="00EE0371">
        <w:rPr>
          <w:rFonts w:ascii="Arial" w:hAnsi="Arial" w:cs="Arial"/>
          <w:sz w:val="20"/>
          <w:szCs w:val="20"/>
          <w:lang w:eastAsia="pt-BR"/>
        </w:rPr>
        <w:tab/>
      </w:r>
      <w:r w:rsidRPr="00EE0371">
        <w:rPr>
          <w:rFonts w:ascii="Arial" w:hAnsi="Arial" w:cs="Arial"/>
          <w:sz w:val="20"/>
          <w:szCs w:val="20"/>
          <w:lang w:eastAsia="pt-BR"/>
        </w:rPr>
        <w:tab/>
      </w:r>
    </w:p>
    <w:p w14:paraId="00ABCEAC" w14:textId="77777777" w:rsidR="00EE0371" w:rsidRPr="00EE0371" w:rsidRDefault="00EE0371" w:rsidP="00EE0371">
      <w:pPr>
        <w:spacing w:after="0" w:line="240" w:lineRule="auto"/>
        <w:ind w:right="600" w:firstLine="708"/>
        <w:jc w:val="both"/>
        <w:rPr>
          <w:rFonts w:ascii="Arial" w:hAnsi="Arial" w:cs="Arial"/>
          <w:sz w:val="20"/>
          <w:szCs w:val="20"/>
          <w:lang w:eastAsia="pt-BR"/>
        </w:rPr>
      </w:pPr>
      <w:r w:rsidRPr="00EE0371">
        <w:rPr>
          <w:rFonts w:ascii="Arial" w:hAnsi="Arial" w:cs="Arial"/>
          <w:sz w:val="20"/>
          <w:szCs w:val="20"/>
          <w:lang w:eastAsia="pt-BR"/>
        </w:rPr>
        <w:t xml:space="preserve">     &lt;CustoTotalAlmoxarifadoFinalExercicio&gt;</w:t>
      </w:r>
      <w:r w:rsidRPr="00EE0371">
        <w:rPr>
          <w:rFonts w:ascii="Arial" w:hAnsi="Arial" w:cs="Arial"/>
          <w:b/>
          <w:sz w:val="20"/>
          <w:szCs w:val="20"/>
          <w:lang w:eastAsia="pt-BR"/>
        </w:rPr>
        <w:t>99999999999999.99</w:t>
      </w:r>
      <w:r w:rsidR="00E87FF6">
        <w:rPr>
          <w:rFonts w:ascii="Arial" w:hAnsi="Arial" w:cs="Arial"/>
          <w:b/>
          <w:sz w:val="20"/>
          <w:szCs w:val="20"/>
          <w:lang w:eastAsia="pt-BR"/>
        </w:rPr>
        <w:t>99</w:t>
      </w:r>
    </w:p>
    <w:p w14:paraId="5A244279" w14:textId="77777777" w:rsidR="00EE0371" w:rsidRPr="00EE0371" w:rsidRDefault="00EE0371" w:rsidP="00EE0371">
      <w:pPr>
        <w:spacing w:after="0" w:line="240" w:lineRule="auto"/>
        <w:ind w:left="993" w:right="600" w:firstLine="1"/>
        <w:jc w:val="both"/>
        <w:rPr>
          <w:rFonts w:ascii="Arial" w:hAnsi="Arial" w:cs="Arial"/>
          <w:sz w:val="20"/>
          <w:szCs w:val="20"/>
          <w:lang w:eastAsia="pt-BR"/>
        </w:rPr>
      </w:pPr>
      <w:r w:rsidRPr="00EE0371">
        <w:rPr>
          <w:rFonts w:ascii="Arial" w:hAnsi="Arial" w:cs="Arial"/>
          <w:sz w:val="20"/>
          <w:szCs w:val="20"/>
          <w:lang w:eastAsia="pt-BR"/>
        </w:rPr>
        <w:t xml:space="preserve">&lt;/CustoTotalAlmoxarifadoFinalExercicio&gt; </w:t>
      </w:r>
      <w:r w:rsidRPr="00EE0371">
        <w:rPr>
          <w:rFonts w:ascii="Arial" w:hAnsi="Arial" w:cs="Arial"/>
          <w:sz w:val="20"/>
          <w:szCs w:val="20"/>
          <w:lang w:eastAsia="pt-BR"/>
        </w:rPr>
        <w:tab/>
      </w:r>
      <w:r w:rsidRPr="00EE0371">
        <w:rPr>
          <w:rFonts w:ascii="Arial" w:hAnsi="Arial" w:cs="Arial"/>
          <w:sz w:val="20"/>
          <w:szCs w:val="20"/>
          <w:lang w:eastAsia="pt-BR"/>
        </w:rPr>
        <w:tab/>
      </w:r>
    </w:p>
    <w:p w14:paraId="3C16F952" w14:textId="77777777" w:rsidR="00EE0371" w:rsidRPr="00EE0371" w:rsidRDefault="00EE0371" w:rsidP="00EE0371">
      <w:pPr>
        <w:spacing w:after="0" w:line="240" w:lineRule="auto"/>
        <w:ind w:right="600" w:firstLine="708"/>
        <w:jc w:val="both"/>
        <w:rPr>
          <w:rFonts w:ascii="Arial" w:hAnsi="Arial" w:cs="Arial"/>
          <w:sz w:val="20"/>
          <w:szCs w:val="20"/>
          <w:lang w:eastAsia="pt-BR"/>
        </w:rPr>
      </w:pPr>
      <w:r w:rsidRPr="00EE0371">
        <w:rPr>
          <w:rFonts w:ascii="Arial" w:hAnsi="Arial" w:cs="Arial"/>
          <w:sz w:val="20"/>
          <w:szCs w:val="20"/>
          <w:lang w:eastAsia="pt-BR"/>
        </w:rPr>
        <w:t>&lt;/InventarioBemAlmoxarifado&gt;</w:t>
      </w:r>
      <w:r w:rsidRPr="00EE0371">
        <w:rPr>
          <w:rFonts w:ascii="Arial" w:hAnsi="Arial" w:cs="Arial"/>
          <w:sz w:val="20"/>
          <w:szCs w:val="20"/>
          <w:lang w:eastAsia="pt-BR"/>
        </w:rPr>
        <w:tab/>
      </w:r>
    </w:p>
    <w:p w14:paraId="58678A2A" w14:textId="77777777" w:rsidR="00EE0371" w:rsidRPr="00EE0371" w:rsidRDefault="00EE0371" w:rsidP="00EE0371">
      <w:pPr>
        <w:spacing w:after="0" w:line="240" w:lineRule="auto"/>
        <w:ind w:right="600" w:firstLine="708"/>
        <w:jc w:val="both"/>
        <w:rPr>
          <w:rFonts w:ascii="Arial" w:hAnsi="Arial" w:cs="Arial"/>
          <w:sz w:val="20"/>
          <w:szCs w:val="20"/>
          <w:lang w:eastAsia="pt-BR"/>
        </w:rPr>
      </w:pPr>
      <w:r w:rsidRPr="00EE0371">
        <w:rPr>
          <w:rFonts w:ascii="Arial" w:hAnsi="Arial" w:cs="Arial"/>
          <w:sz w:val="20"/>
          <w:szCs w:val="20"/>
          <w:lang w:eastAsia="pt-BR"/>
        </w:rPr>
        <w:tab/>
      </w:r>
    </w:p>
    <w:p w14:paraId="172C631F" w14:textId="77777777" w:rsidR="00EE0371" w:rsidRPr="00EE0371" w:rsidRDefault="00EE0371" w:rsidP="00EE0371">
      <w:pPr>
        <w:spacing w:after="0" w:line="240" w:lineRule="auto"/>
        <w:ind w:right="600"/>
        <w:jc w:val="both"/>
        <w:rPr>
          <w:rFonts w:ascii="Arial" w:hAnsi="Arial" w:cs="Arial"/>
          <w:sz w:val="20"/>
          <w:szCs w:val="20"/>
          <w:lang w:eastAsia="pt-BR"/>
        </w:rPr>
      </w:pPr>
      <w:r w:rsidRPr="00EE0371">
        <w:rPr>
          <w:rFonts w:ascii="Arial" w:hAnsi="Arial" w:cs="Arial"/>
          <w:sz w:val="20"/>
          <w:szCs w:val="20"/>
          <w:lang w:eastAsia="pt-BR"/>
        </w:rPr>
        <w:t xml:space="preserve">     &lt;/InventarioBemAlmoxarifado_Schema&gt;</w:t>
      </w:r>
      <w:r w:rsidRPr="00EE0371">
        <w:rPr>
          <w:rFonts w:ascii="Arial" w:hAnsi="Arial" w:cs="Arial"/>
          <w:sz w:val="20"/>
          <w:szCs w:val="20"/>
          <w:lang w:eastAsia="pt-BR"/>
        </w:rPr>
        <w:tab/>
      </w:r>
      <w:r w:rsidRPr="00EE0371">
        <w:rPr>
          <w:rFonts w:ascii="Arial" w:hAnsi="Arial" w:cs="Arial"/>
          <w:sz w:val="20"/>
          <w:szCs w:val="20"/>
          <w:lang w:eastAsia="pt-BR"/>
        </w:rPr>
        <w:tab/>
      </w:r>
    </w:p>
    <w:p w14:paraId="1CE36B63" w14:textId="77777777" w:rsidR="00EE0371" w:rsidRPr="00EE0371" w:rsidRDefault="00EE0371" w:rsidP="00EE0371">
      <w:pPr>
        <w:spacing w:after="0" w:line="240" w:lineRule="auto"/>
        <w:ind w:right="600"/>
        <w:jc w:val="both"/>
        <w:rPr>
          <w:rFonts w:ascii="Arial" w:hAnsi="Arial" w:cs="Arial"/>
          <w:b/>
          <w:sz w:val="28"/>
        </w:rPr>
      </w:pPr>
      <w:r w:rsidRPr="00EE0371">
        <w:rPr>
          <w:rFonts w:ascii="Arial" w:hAnsi="Arial" w:cs="Arial"/>
          <w:sz w:val="20"/>
          <w:szCs w:val="20"/>
          <w:lang w:eastAsia="pt-BR"/>
        </w:rPr>
        <w:t>&lt;/PrestacaoContasAnual&gt;</w:t>
      </w:r>
      <w:r w:rsidRPr="00EE0371">
        <w:rPr>
          <w:rFonts w:ascii="Arial" w:hAnsi="Arial" w:cs="Arial"/>
          <w:sz w:val="20"/>
          <w:szCs w:val="20"/>
          <w:lang w:eastAsia="pt-BR"/>
        </w:rPr>
        <w:tab/>
      </w:r>
      <w:r w:rsidRPr="00EE0371">
        <w:rPr>
          <w:rFonts w:ascii="Arial" w:hAnsi="Arial" w:cs="Arial"/>
          <w:b/>
          <w:sz w:val="28"/>
        </w:rPr>
        <w:tab/>
      </w:r>
    </w:p>
    <w:p w14:paraId="5B9B879C" w14:textId="77777777" w:rsidR="00EE0371" w:rsidRPr="00EE0371" w:rsidRDefault="00EE0371" w:rsidP="00EE0371">
      <w:pPr>
        <w:spacing w:after="0" w:line="360" w:lineRule="auto"/>
        <w:jc w:val="both"/>
        <w:rPr>
          <w:rFonts w:ascii="Arial" w:hAnsi="Arial" w:cs="Arial"/>
          <w:b/>
          <w:sz w:val="28"/>
          <w:highlight w:val="red"/>
        </w:rPr>
      </w:pPr>
    </w:p>
    <w:tbl>
      <w:tblPr>
        <w:tblW w:w="0" w:type="auto"/>
        <w:tblInd w:w="55" w:type="dxa"/>
        <w:tblCellMar>
          <w:left w:w="70" w:type="dxa"/>
          <w:right w:w="70" w:type="dxa"/>
        </w:tblCellMar>
        <w:tblLook w:val="04A0" w:firstRow="1" w:lastRow="0" w:firstColumn="1" w:lastColumn="0" w:noHBand="0" w:noVBand="1"/>
      </w:tblPr>
      <w:tblGrid>
        <w:gridCol w:w="3158"/>
        <w:gridCol w:w="1109"/>
        <w:gridCol w:w="1455"/>
        <w:gridCol w:w="2867"/>
      </w:tblGrid>
      <w:tr w:rsidR="00EE0371" w:rsidRPr="00EE0371" w14:paraId="0F2FC497" w14:textId="77777777" w:rsidTr="00DD49C9">
        <w:trPr>
          <w:trHeight w:val="540"/>
        </w:trPr>
        <w:tc>
          <w:tcPr>
            <w:tcW w:w="3158" w:type="dxa"/>
            <w:tcBorders>
              <w:top w:val="single" w:sz="8" w:space="0" w:color="auto"/>
              <w:left w:val="single" w:sz="8" w:space="0" w:color="auto"/>
              <w:bottom w:val="single" w:sz="8" w:space="0" w:color="auto"/>
              <w:right w:val="single" w:sz="8" w:space="0" w:color="auto"/>
            </w:tcBorders>
            <w:shd w:val="clear" w:color="000000" w:fill="B3B3B3"/>
            <w:vAlign w:val="center"/>
            <w:hideMark/>
          </w:tcPr>
          <w:p w14:paraId="78AE52EC" w14:textId="77777777" w:rsidR="00EE0371" w:rsidRPr="00EE0371" w:rsidRDefault="00EE0371" w:rsidP="00EE0371">
            <w:pPr>
              <w:spacing w:after="0" w:line="240" w:lineRule="auto"/>
              <w:jc w:val="center"/>
              <w:rPr>
                <w:rFonts w:ascii="Arial" w:eastAsia="Times New Roman" w:hAnsi="Arial" w:cs="Arial"/>
                <w:b/>
                <w:bCs/>
                <w:sz w:val="20"/>
                <w:szCs w:val="20"/>
                <w:lang w:eastAsia="pt-BR"/>
              </w:rPr>
            </w:pPr>
            <w:r w:rsidRPr="00EE0371">
              <w:rPr>
                <w:rFonts w:ascii="Arial" w:eastAsia="Times New Roman" w:hAnsi="Arial" w:cs="Arial"/>
                <w:b/>
                <w:bCs/>
                <w:sz w:val="20"/>
                <w:szCs w:val="20"/>
                <w:lang w:eastAsia="pt-BR"/>
              </w:rPr>
              <w:t>Campo</w:t>
            </w:r>
          </w:p>
        </w:tc>
        <w:tc>
          <w:tcPr>
            <w:tcW w:w="1109" w:type="dxa"/>
            <w:tcBorders>
              <w:top w:val="single" w:sz="8" w:space="0" w:color="auto"/>
              <w:left w:val="nil"/>
              <w:bottom w:val="single" w:sz="8" w:space="0" w:color="auto"/>
              <w:right w:val="single" w:sz="8" w:space="0" w:color="auto"/>
            </w:tcBorders>
            <w:shd w:val="clear" w:color="000000" w:fill="B3B3B3"/>
            <w:vAlign w:val="center"/>
            <w:hideMark/>
          </w:tcPr>
          <w:p w14:paraId="52B00D1D" w14:textId="77777777" w:rsidR="00EE0371" w:rsidRPr="00EE0371" w:rsidRDefault="00EE0371" w:rsidP="00EE0371">
            <w:pPr>
              <w:spacing w:after="0" w:line="240" w:lineRule="auto"/>
              <w:jc w:val="center"/>
              <w:rPr>
                <w:rFonts w:ascii="Arial" w:eastAsia="Times New Roman" w:hAnsi="Arial" w:cs="Arial"/>
                <w:b/>
                <w:bCs/>
                <w:sz w:val="20"/>
                <w:szCs w:val="20"/>
                <w:lang w:eastAsia="pt-BR"/>
              </w:rPr>
            </w:pPr>
            <w:r w:rsidRPr="00EE0371">
              <w:rPr>
                <w:rFonts w:ascii="Arial" w:eastAsia="Times New Roman" w:hAnsi="Arial" w:cs="Arial"/>
                <w:b/>
                <w:bCs/>
                <w:sz w:val="20"/>
                <w:szCs w:val="20"/>
                <w:lang w:eastAsia="pt-BR"/>
              </w:rPr>
              <w:t>Tipo</w:t>
            </w:r>
          </w:p>
        </w:tc>
        <w:tc>
          <w:tcPr>
            <w:tcW w:w="1455" w:type="dxa"/>
            <w:tcBorders>
              <w:top w:val="single" w:sz="8" w:space="0" w:color="auto"/>
              <w:left w:val="nil"/>
              <w:bottom w:val="single" w:sz="8" w:space="0" w:color="auto"/>
              <w:right w:val="single" w:sz="8" w:space="0" w:color="auto"/>
            </w:tcBorders>
            <w:shd w:val="clear" w:color="000000" w:fill="B3B3B3"/>
            <w:vAlign w:val="center"/>
            <w:hideMark/>
          </w:tcPr>
          <w:p w14:paraId="46F3E23C" w14:textId="77777777" w:rsidR="00EE0371" w:rsidRPr="00EE0371" w:rsidRDefault="00EE0371" w:rsidP="00EE0371">
            <w:pPr>
              <w:spacing w:after="0" w:line="240" w:lineRule="auto"/>
              <w:jc w:val="center"/>
              <w:rPr>
                <w:rFonts w:ascii="Arial" w:eastAsia="Times New Roman" w:hAnsi="Arial" w:cs="Arial"/>
                <w:b/>
                <w:bCs/>
                <w:sz w:val="20"/>
                <w:szCs w:val="20"/>
                <w:lang w:eastAsia="pt-BR"/>
              </w:rPr>
            </w:pPr>
            <w:r w:rsidRPr="00EE0371">
              <w:rPr>
                <w:rFonts w:ascii="Arial" w:eastAsia="Times New Roman" w:hAnsi="Arial" w:cs="Arial"/>
                <w:b/>
                <w:bCs/>
                <w:sz w:val="20"/>
                <w:szCs w:val="20"/>
                <w:lang w:eastAsia="pt-BR"/>
              </w:rPr>
              <w:t>Tamanho</w:t>
            </w:r>
          </w:p>
        </w:tc>
        <w:tc>
          <w:tcPr>
            <w:tcW w:w="2867" w:type="dxa"/>
            <w:tcBorders>
              <w:top w:val="single" w:sz="8" w:space="0" w:color="auto"/>
              <w:left w:val="nil"/>
              <w:bottom w:val="single" w:sz="8" w:space="0" w:color="auto"/>
              <w:right w:val="single" w:sz="8" w:space="0" w:color="auto"/>
            </w:tcBorders>
            <w:shd w:val="clear" w:color="000000" w:fill="B3B3B3"/>
            <w:vAlign w:val="center"/>
            <w:hideMark/>
          </w:tcPr>
          <w:p w14:paraId="153AE354" w14:textId="77777777" w:rsidR="00EE0371" w:rsidRPr="00EE0371" w:rsidRDefault="00EE0371" w:rsidP="00EE0371">
            <w:pPr>
              <w:spacing w:after="0" w:line="240" w:lineRule="auto"/>
              <w:jc w:val="center"/>
              <w:rPr>
                <w:rFonts w:ascii="Arial" w:eastAsia="Times New Roman" w:hAnsi="Arial" w:cs="Arial"/>
                <w:b/>
                <w:bCs/>
                <w:sz w:val="20"/>
                <w:szCs w:val="20"/>
                <w:lang w:eastAsia="pt-BR"/>
              </w:rPr>
            </w:pPr>
            <w:r w:rsidRPr="00EE0371">
              <w:rPr>
                <w:rFonts w:ascii="Arial" w:eastAsia="Times New Roman" w:hAnsi="Arial" w:cs="Arial"/>
                <w:b/>
                <w:bCs/>
                <w:sz w:val="20"/>
                <w:szCs w:val="20"/>
                <w:lang w:eastAsia="pt-BR"/>
              </w:rPr>
              <w:t>Obrigatoriedade</w:t>
            </w:r>
          </w:p>
        </w:tc>
      </w:tr>
      <w:tr w:rsidR="00EE0371" w:rsidRPr="00EE0371" w14:paraId="2484750F" w14:textId="77777777" w:rsidTr="00DD49C9">
        <w:trPr>
          <w:trHeight w:val="540"/>
        </w:trPr>
        <w:tc>
          <w:tcPr>
            <w:tcW w:w="8589" w:type="dxa"/>
            <w:gridSpan w:val="4"/>
            <w:tcBorders>
              <w:top w:val="single" w:sz="8" w:space="0" w:color="auto"/>
              <w:left w:val="single" w:sz="8" w:space="0" w:color="auto"/>
              <w:bottom w:val="single" w:sz="8" w:space="0" w:color="auto"/>
              <w:right w:val="single" w:sz="8" w:space="0" w:color="auto"/>
            </w:tcBorders>
            <w:shd w:val="clear" w:color="000000" w:fill="B3B3B3"/>
            <w:vAlign w:val="center"/>
          </w:tcPr>
          <w:p w14:paraId="36959BBD" w14:textId="77777777" w:rsidR="00EE0371" w:rsidRPr="00EE0371" w:rsidRDefault="00EE0371" w:rsidP="00EE0371">
            <w:pPr>
              <w:spacing w:after="0" w:line="240" w:lineRule="auto"/>
              <w:jc w:val="center"/>
              <w:rPr>
                <w:rFonts w:ascii="Arial" w:eastAsia="Times New Roman" w:hAnsi="Arial" w:cs="Arial"/>
                <w:b/>
                <w:bCs/>
                <w:sz w:val="20"/>
                <w:szCs w:val="20"/>
                <w:lang w:eastAsia="pt-BR"/>
              </w:rPr>
            </w:pPr>
            <w:r w:rsidRPr="00EE0371">
              <w:rPr>
                <w:rFonts w:ascii="Arial" w:hAnsi="Arial" w:cs="Arial"/>
                <w:b/>
                <w:sz w:val="20"/>
                <w:szCs w:val="20"/>
              </w:rPr>
              <w:t>Estrutura ‘InventarioBemAlmoxarifado’</w:t>
            </w:r>
          </w:p>
        </w:tc>
      </w:tr>
      <w:tr w:rsidR="00EE0371" w:rsidRPr="00EE0371" w14:paraId="1559D08E" w14:textId="77777777" w:rsidTr="00DD49C9">
        <w:trPr>
          <w:trHeight w:val="499"/>
        </w:trPr>
        <w:tc>
          <w:tcPr>
            <w:tcW w:w="3158" w:type="dxa"/>
            <w:tcBorders>
              <w:top w:val="nil"/>
              <w:left w:val="single" w:sz="8" w:space="0" w:color="auto"/>
              <w:bottom w:val="single" w:sz="8" w:space="0" w:color="auto"/>
              <w:right w:val="single" w:sz="8" w:space="0" w:color="auto"/>
            </w:tcBorders>
            <w:shd w:val="clear" w:color="auto" w:fill="auto"/>
            <w:vAlign w:val="center"/>
            <w:hideMark/>
          </w:tcPr>
          <w:p w14:paraId="088B7A4C" w14:textId="77777777" w:rsidR="00EE0371" w:rsidRPr="00EE0371" w:rsidRDefault="00EE0371" w:rsidP="00EE0371">
            <w:pPr>
              <w:spacing w:after="0" w:line="240" w:lineRule="auto"/>
              <w:jc w:val="both"/>
              <w:rPr>
                <w:rFonts w:ascii="Arial" w:eastAsia="Times New Roman" w:hAnsi="Arial" w:cs="Arial"/>
                <w:sz w:val="20"/>
                <w:szCs w:val="20"/>
                <w:lang w:eastAsia="pt-BR"/>
              </w:rPr>
            </w:pPr>
            <w:r w:rsidRPr="00EE0371">
              <w:rPr>
                <w:rFonts w:ascii="Arial" w:eastAsia="Times New Roman" w:hAnsi="Arial" w:cs="Arial"/>
                <w:sz w:val="20"/>
                <w:szCs w:val="20"/>
                <w:lang w:eastAsia="pt-BR"/>
              </w:rPr>
              <w:t>Identificação do Numero do Registro</w:t>
            </w:r>
          </w:p>
        </w:tc>
        <w:tc>
          <w:tcPr>
            <w:tcW w:w="1109" w:type="dxa"/>
            <w:tcBorders>
              <w:top w:val="nil"/>
              <w:left w:val="nil"/>
              <w:bottom w:val="single" w:sz="8" w:space="0" w:color="auto"/>
              <w:right w:val="single" w:sz="8" w:space="0" w:color="auto"/>
            </w:tcBorders>
            <w:shd w:val="clear" w:color="auto" w:fill="auto"/>
            <w:vAlign w:val="center"/>
            <w:hideMark/>
          </w:tcPr>
          <w:p w14:paraId="69DF71C6" w14:textId="77777777" w:rsidR="00EE0371" w:rsidRPr="00EE0371" w:rsidRDefault="00EE0371" w:rsidP="00EE0371">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Inteiro</w:t>
            </w:r>
          </w:p>
        </w:tc>
        <w:tc>
          <w:tcPr>
            <w:tcW w:w="1455" w:type="dxa"/>
            <w:tcBorders>
              <w:top w:val="nil"/>
              <w:left w:val="nil"/>
              <w:bottom w:val="single" w:sz="8" w:space="0" w:color="auto"/>
              <w:right w:val="single" w:sz="8" w:space="0" w:color="auto"/>
            </w:tcBorders>
            <w:shd w:val="clear" w:color="auto" w:fill="auto"/>
            <w:vAlign w:val="center"/>
            <w:hideMark/>
          </w:tcPr>
          <w:p w14:paraId="3C1CB3AA" w14:textId="77777777" w:rsidR="00EE0371" w:rsidRPr="00EE0371" w:rsidRDefault="00EE0371" w:rsidP="00EE0371">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5</w:t>
            </w:r>
          </w:p>
        </w:tc>
        <w:tc>
          <w:tcPr>
            <w:tcW w:w="2867" w:type="dxa"/>
            <w:tcBorders>
              <w:top w:val="nil"/>
              <w:left w:val="nil"/>
              <w:bottom w:val="single" w:sz="8" w:space="0" w:color="auto"/>
              <w:right w:val="single" w:sz="8" w:space="0" w:color="auto"/>
            </w:tcBorders>
            <w:shd w:val="clear" w:color="auto" w:fill="auto"/>
            <w:vAlign w:val="center"/>
            <w:hideMark/>
          </w:tcPr>
          <w:p w14:paraId="34254877" w14:textId="77777777" w:rsidR="00EE0371" w:rsidRPr="00EE0371" w:rsidRDefault="00EE0371" w:rsidP="00EE0371">
            <w:pPr>
              <w:spacing w:after="0" w:line="240" w:lineRule="auto"/>
              <w:jc w:val="both"/>
              <w:rPr>
                <w:rFonts w:ascii="Arial" w:eastAsia="Times New Roman" w:hAnsi="Arial" w:cs="Arial"/>
                <w:sz w:val="20"/>
                <w:szCs w:val="20"/>
                <w:lang w:eastAsia="pt-BR"/>
              </w:rPr>
            </w:pPr>
            <w:r w:rsidRPr="00EE0371">
              <w:rPr>
                <w:rFonts w:ascii="Arial" w:eastAsia="Times New Roman" w:hAnsi="Arial" w:cs="Arial"/>
                <w:sz w:val="20"/>
                <w:szCs w:val="20"/>
                <w:lang w:eastAsia="pt-BR"/>
              </w:rPr>
              <w:t>Obrigatório</w:t>
            </w:r>
          </w:p>
        </w:tc>
      </w:tr>
      <w:tr w:rsidR="00DD49C9" w:rsidRPr="00EE0371" w14:paraId="40F48BCF" w14:textId="77777777" w:rsidTr="00DD49C9">
        <w:trPr>
          <w:trHeight w:val="499"/>
        </w:trPr>
        <w:tc>
          <w:tcPr>
            <w:tcW w:w="3158" w:type="dxa"/>
            <w:tcBorders>
              <w:top w:val="nil"/>
              <w:left w:val="single" w:sz="8" w:space="0" w:color="auto"/>
              <w:bottom w:val="single" w:sz="8" w:space="0" w:color="auto"/>
              <w:right w:val="single" w:sz="8" w:space="0" w:color="auto"/>
            </w:tcBorders>
            <w:shd w:val="clear" w:color="auto" w:fill="auto"/>
            <w:vAlign w:val="center"/>
          </w:tcPr>
          <w:p w14:paraId="31A28A77" w14:textId="77777777" w:rsidR="00DD49C9" w:rsidRPr="00122606" w:rsidRDefault="00DD49C9" w:rsidP="00DD49C9">
            <w:pPr>
              <w:spacing w:after="0" w:line="360" w:lineRule="auto"/>
              <w:jc w:val="both"/>
              <w:rPr>
                <w:rFonts w:ascii="Arial" w:hAnsi="Arial" w:cs="Arial"/>
                <w:sz w:val="20"/>
                <w:szCs w:val="20"/>
              </w:rPr>
            </w:pPr>
            <w:r w:rsidRPr="00122606">
              <w:rPr>
                <w:rFonts w:ascii="Arial" w:eastAsia="Times New Roman" w:hAnsi="Arial" w:cs="Arial"/>
                <w:sz w:val="20"/>
                <w:szCs w:val="20"/>
                <w:lang w:eastAsia="pt-BR"/>
              </w:rPr>
              <w:t>Código da Unidade Gestora</w:t>
            </w:r>
          </w:p>
        </w:tc>
        <w:tc>
          <w:tcPr>
            <w:tcW w:w="1109" w:type="dxa"/>
            <w:tcBorders>
              <w:top w:val="nil"/>
              <w:left w:val="nil"/>
              <w:bottom w:val="single" w:sz="8" w:space="0" w:color="auto"/>
              <w:right w:val="single" w:sz="8" w:space="0" w:color="auto"/>
            </w:tcBorders>
            <w:shd w:val="clear" w:color="auto" w:fill="auto"/>
            <w:vAlign w:val="center"/>
          </w:tcPr>
          <w:p w14:paraId="43A6B785" w14:textId="77777777" w:rsidR="00DD49C9" w:rsidRPr="00122606" w:rsidRDefault="00DD49C9" w:rsidP="00DD49C9">
            <w:pPr>
              <w:spacing w:after="0" w:line="360" w:lineRule="auto"/>
              <w:jc w:val="center"/>
              <w:rPr>
                <w:rFonts w:ascii="Arial" w:hAnsi="Arial" w:cs="Arial"/>
                <w:sz w:val="20"/>
                <w:szCs w:val="20"/>
              </w:rPr>
            </w:pPr>
            <w:r w:rsidRPr="00122606">
              <w:rPr>
                <w:rFonts w:ascii="Arial" w:eastAsia="Times New Roman" w:hAnsi="Arial" w:cs="Arial"/>
                <w:sz w:val="20"/>
                <w:szCs w:val="20"/>
                <w:lang w:eastAsia="pt-BR"/>
              </w:rPr>
              <w:t>Caracter</w:t>
            </w:r>
          </w:p>
        </w:tc>
        <w:tc>
          <w:tcPr>
            <w:tcW w:w="1455" w:type="dxa"/>
            <w:tcBorders>
              <w:top w:val="nil"/>
              <w:left w:val="nil"/>
              <w:bottom w:val="single" w:sz="8" w:space="0" w:color="auto"/>
              <w:right w:val="single" w:sz="8" w:space="0" w:color="auto"/>
            </w:tcBorders>
            <w:shd w:val="clear" w:color="auto" w:fill="auto"/>
            <w:vAlign w:val="center"/>
          </w:tcPr>
          <w:p w14:paraId="6DDB3D4F" w14:textId="77777777" w:rsidR="00DD49C9" w:rsidRPr="00122606" w:rsidRDefault="00DD49C9" w:rsidP="00DD49C9">
            <w:pPr>
              <w:spacing w:after="0" w:line="360" w:lineRule="auto"/>
              <w:jc w:val="center"/>
              <w:rPr>
                <w:rFonts w:ascii="Arial" w:hAnsi="Arial" w:cs="Arial"/>
                <w:sz w:val="20"/>
                <w:szCs w:val="20"/>
              </w:rPr>
            </w:pPr>
            <w:r w:rsidRPr="00122606">
              <w:rPr>
                <w:rFonts w:ascii="Arial" w:hAnsi="Arial" w:cs="Arial"/>
                <w:sz w:val="20"/>
                <w:szCs w:val="20"/>
              </w:rPr>
              <w:t>11</w:t>
            </w:r>
          </w:p>
        </w:tc>
        <w:tc>
          <w:tcPr>
            <w:tcW w:w="2867" w:type="dxa"/>
            <w:tcBorders>
              <w:top w:val="nil"/>
              <w:left w:val="nil"/>
              <w:bottom w:val="single" w:sz="8" w:space="0" w:color="auto"/>
              <w:right w:val="single" w:sz="8" w:space="0" w:color="auto"/>
            </w:tcBorders>
            <w:shd w:val="clear" w:color="auto" w:fill="auto"/>
            <w:vAlign w:val="center"/>
          </w:tcPr>
          <w:p w14:paraId="0ECBF14B" w14:textId="77777777" w:rsidR="00DD49C9" w:rsidRPr="00122606" w:rsidRDefault="00DD49C9" w:rsidP="00122606">
            <w:pPr>
              <w:spacing w:after="0" w:line="360" w:lineRule="auto"/>
              <w:rPr>
                <w:rFonts w:ascii="Arial" w:hAnsi="Arial" w:cs="Arial"/>
                <w:sz w:val="20"/>
                <w:szCs w:val="20"/>
              </w:rPr>
            </w:pPr>
            <w:r w:rsidRPr="00122606">
              <w:rPr>
                <w:rFonts w:ascii="Arial" w:eastAsia="Times New Roman" w:hAnsi="Arial" w:cs="Arial"/>
                <w:sz w:val="20"/>
                <w:szCs w:val="20"/>
                <w:lang w:eastAsia="pt-BR"/>
              </w:rPr>
              <w:t>Obrigatório conforme codificação do TCEES</w:t>
            </w:r>
          </w:p>
        </w:tc>
      </w:tr>
      <w:tr w:rsidR="00DD49C9" w:rsidRPr="00EE0371" w14:paraId="259723E6" w14:textId="77777777" w:rsidTr="00DD49C9">
        <w:trPr>
          <w:trHeight w:val="600"/>
        </w:trPr>
        <w:tc>
          <w:tcPr>
            <w:tcW w:w="3158" w:type="dxa"/>
            <w:tcBorders>
              <w:top w:val="nil"/>
              <w:left w:val="single" w:sz="8" w:space="0" w:color="auto"/>
              <w:bottom w:val="single" w:sz="8" w:space="0" w:color="auto"/>
              <w:right w:val="single" w:sz="8" w:space="0" w:color="auto"/>
            </w:tcBorders>
            <w:shd w:val="clear" w:color="auto" w:fill="auto"/>
            <w:vAlign w:val="center"/>
            <w:hideMark/>
          </w:tcPr>
          <w:p w14:paraId="00A45B92" w14:textId="77777777" w:rsidR="00DD49C9" w:rsidRPr="00EE0371" w:rsidRDefault="00DD49C9" w:rsidP="00DD49C9">
            <w:pPr>
              <w:spacing w:after="0" w:line="240" w:lineRule="auto"/>
              <w:jc w:val="both"/>
              <w:rPr>
                <w:rFonts w:ascii="Arial" w:eastAsia="Times New Roman" w:hAnsi="Arial" w:cs="Arial"/>
                <w:sz w:val="20"/>
                <w:szCs w:val="20"/>
                <w:lang w:eastAsia="pt-BR"/>
              </w:rPr>
            </w:pPr>
            <w:r w:rsidRPr="00EE0371">
              <w:rPr>
                <w:rFonts w:ascii="Arial" w:eastAsia="Times New Roman" w:hAnsi="Arial" w:cs="Arial"/>
                <w:sz w:val="20"/>
                <w:szCs w:val="20"/>
                <w:lang w:eastAsia="pt-BR"/>
              </w:rPr>
              <w:t xml:space="preserve">Código Contábil </w:t>
            </w:r>
            <w:r w:rsidRPr="00122606">
              <w:rPr>
                <w:rFonts w:ascii="Arial" w:eastAsia="Times New Roman" w:hAnsi="Arial" w:cs="Arial"/>
                <w:b/>
                <w:sz w:val="20"/>
                <w:szCs w:val="20"/>
                <w:vertAlign w:val="superscript"/>
                <w:lang w:eastAsia="pt-BR"/>
              </w:rPr>
              <w:t>[1]</w:t>
            </w:r>
          </w:p>
        </w:tc>
        <w:tc>
          <w:tcPr>
            <w:tcW w:w="1109" w:type="dxa"/>
            <w:tcBorders>
              <w:top w:val="nil"/>
              <w:left w:val="nil"/>
              <w:bottom w:val="single" w:sz="8" w:space="0" w:color="auto"/>
              <w:right w:val="single" w:sz="8" w:space="0" w:color="auto"/>
            </w:tcBorders>
            <w:shd w:val="clear" w:color="auto" w:fill="auto"/>
            <w:vAlign w:val="center"/>
            <w:hideMark/>
          </w:tcPr>
          <w:p w14:paraId="3C599B93" w14:textId="77777777" w:rsidR="00DD49C9" w:rsidRPr="00EE0371" w:rsidRDefault="00DD49C9" w:rsidP="00DD49C9">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Inteiro</w:t>
            </w:r>
          </w:p>
        </w:tc>
        <w:tc>
          <w:tcPr>
            <w:tcW w:w="1455" w:type="dxa"/>
            <w:tcBorders>
              <w:top w:val="nil"/>
              <w:left w:val="nil"/>
              <w:bottom w:val="single" w:sz="8" w:space="0" w:color="auto"/>
              <w:right w:val="single" w:sz="8" w:space="0" w:color="auto"/>
            </w:tcBorders>
            <w:shd w:val="clear" w:color="auto" w:fill="auto"/>
            <w:vAlign w:val="center"/>
            <w:hideMark/>
          </w:tcPr>
          <w:p w14:paraId="54B21E55" w14:textId="77777777" w:rsidR="00DD49C9" w:rsidRPr="00EE0371" w:rsidRDefault="00DD49C9" w:rsidP="00DD49C9">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9</w:t>
            </w:r>
          </w:p>
        </w:tc>
        <w:tc>
          <w:tcPr>
            <w:tcW w:w="2867" w:type="dxa"/>
            <w:tcBorders>
              <w:top w:val="nil"/>
              <w:left w:val="nil"/>
              <w:bottom w:val="single" w:sz="8" w:space="0" w:color="auto"/>
              <w:right w:val="single" w:sz="8" w:space="0" w:color="auto"/>
            </w:tcBorders>
            <w:shd w:val="clear" w:color="auto" w:fill="auto"/>
            <w:vAlign w:val="center"/>
            <w:hideMark/>
          </w:tcPr>
          <w:p w14:paraId="50429691" w14:textId="77777777" w:rsidR="00DD49C9" w:rsidRPr="00EE0371" w:rsidRDefault="00DD49C9" w:rsidP="00DD49C9">
            <w:pPr>
              <w:spacing w:after="0" w:line="240" w:lineRule="auto"/>
              <w:rPr>
                <w:rFonts w:ascii="Arial" w:eastAsia="Times New Roman" w:hAnsi="Arial" w:cs="Arial"/>
                <w:color w:val="000000"/>
                <w:sz w:val="20"/>
                <w:szCs w:val="20"/>
                <w:lang w:eastAsia="pt-BR"/>
              </w:rPr>
            </w:pPr>
            <w:r w:rsidRPr="00EE0371">
              <w:rPr>
                <w:rFonts w:ascii="Arial" w:eastAsia="Times New Roman" w:hAnsi="Arial" w:cs="Arial"/>
                <w:color w:val="000000"/>
                <w:sz w:val="20"/>
                <w:szCs w:val="20"/>
                <w:lang w:eastAsia="pt-BR"/>
              </w:rPr>
              <w:t>Obrigatório – conforme Plano de Contas CidadES</w:t>
            </w:r>
          </w:p>
        </w:tc>
      </w:tr>
      <w:tr w:rsidR="00DD49C9" w:rsidRPr="00EE0371" w14:paraId="5235AB80" w14:textId="77777777" w:rsidTr="00DD49C9">
        <w:trPr>
          <w:trHeight w:val="499"/>
        </w:trPr>
        <w:tc>
          <w:tcPr>
            <w:tcW w:w="315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249059F" w14:textId="77777777" w:rsidR="00DD49C9" w:rsidRPr="00EE0371" w:rsidRDefault="00DD49C9" w:rsidP="00DD49C9">
            <w:pPr>
              <w:spacing w:after="0" w:line="240" w:lineRule="auto"/>
              <w:jc w:val="both"/>
              <w:rPr>
                <w:rFonts w:ascii="Arial" w:eastAsia="Times New Roman" w:hAnsi="Arial" w:cs="Arial"/>
                <w:sz w:val="20"/>
                <w:szCs w:val="20"/>
                <w:lang w:eastAsia="pt-BR"/>
              </w:rPr>
            </w:pPr>
            <w:r w:rsidRPr="00EE0371">
              <w:rPr>
                <w:rFonts w:ascii="Arial" w:eastAsia="Times New Roman" w:hAnsi="Arial" w:cs="Arial"/>
                <w:sz w:val="20"/>
                <w:szCs w:val="20"/>
                <w:lang w:eastAsia="pt-BR"/>
              </w:rPr>
              <w:t>Descrição do Bem em Almoxarifado</w:t>
            </w:r>
          </w:p>
        </w:tc>
        <w:tc>
          <w:tcPr>
            <w:tcW w:w="1109" w:type="dxa"/>
            <w:tcBorders>
              <w:top w:val="single" w:sz="8" w:space="0" w:color="auto"/>
              <w:left w:val="nil"/>
              <w:bottom w:val="single" w:sz="8" w:space="0" w:color="auto"/>
              <w:right w:val="single" w:sz="8" w:space="0" w:color="auto"/>
            </w:tcBorders>
            <w:shd w:val="clear" w:color="auto" w:fill="auto"/>
            <w:vAlign w:val="center"/>
            <w:hideMark/>
          </w:tcPr>
          <w:p w14:paraId="36698126" w14:textId="77777777" w:rsidR="00DD49C9" w:rsidRPr="00EE0371" w:rsidRDefault="00DD49C9" w:rsidP="00DD49C9">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Caracter</w:t>
            </w:r>
          </w:p>
        </w:tc>
        <w:tc>
          <w:tcPr>
            <w:tcW w:w="1455" w:type="dxa"/>
            <w:tcBorders>
              <w:top w:val="single" w:sz="8" w:space="0" w:color="auto"/>
              <w:left w:val="nil"/>
              <w:bottom w:val="single" w:sz="8" w:space="0" w:color="auto"/>
              <w:right w:val="single" w:sz="8" w:space="0" w:color="auto"/>
            </w:tcBorders>
            <w:shd w:val="clear" w:color="auto" w:fill="auto"/>
            <w:vAlign w:val="center"/>
            <w:hideMark/>
          </w:tcPr>
          <w:p w14:paraId="088C6739" w14:textId="77777777" w:rsidR="00DD49C9" w:rsidRPr="00EE0371" w:rsidRDefault="00DD49C9" w:rsidP="00DD49C9">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200</w:t>
            </w:r>
          </w:p>
        </w:tc>
        <w:tc>
          <w:tcPr>
            <w:tcW w:w="2867" w:type="dxa"/>
            <w:tcBorders>
              <w:top w:val="single" w:sz="8" w:space="0" w:color="auto"/>
              <w:left w:val="nil"/>
              <w:bottom w:val="single" w:sz="8" w:space="0" w:color="auto"/>
              <w:right w:val="single" w:sz="8" w:space="0" w:color="auto"/>
            </w:tcBorders>
            <w:shd w:val="clear" w:color="auto" w:fill="auto"/>
            <w:vAlign w:val="center"/>
            <w:hideMark/>
          </w:tcPr>
          <w:p w14:paraId="0D60B613" w14:textId="77777777" w:rsidR="00DD49C9" w:rsidRPr="00EE0371" w:rsidRDefault="00DD49C9" w:rsidP="00DD49C9">
            <w:pPr>
              <w:spacing w:after="0" w:line="240" w:lineRule="auto"/>
              <w:rPr>
                <w:rFonts w:ascii="Arial" w:eastAsia="Times New Roman" w:hAnsi="Arial" w:cs="Arial"/>
                <w:sz w:val="20"/>
                <w:szCs w:val="20"/>
                <w:lang w:eastAsia="pt-BR"/>
              </w:rPr>
            </w:pPr>
            <w:r w:rsidRPr="00EE0371">
              <w:rPr>
                <w:rFonts w:ascii="Arial" w:eastAsia="Times New Roman" w:hAnsi="Arial" w:cs="Arial"/>
                <w:sz w:val="20"/>
                <w:szCs w:val="20"/>
                <w:lang w:eastAsia="pt-BR"/>
              </w:rPr>
              <w:t>Obrigatório</w:t>
            </w:r>
          </w:p>
        </w:tc>
      </w:tr>
      <w:tr w:rsidR="00DD49C9" w:rsidRPr="00EE0371" w14:paraId="0F18B847" w14:textId="77777777" w:rsidTr="00DD49C9">
        <w:trPr>
          <w:trHeight w:val="499"/>
        </w:trPr>
        <w:tc>
          <w:tcPr>
            <w:tcW w:w="3158" w:type="dxa"/>
            <w:tcBorders>
              <w:top w:val="nil"/>
              <w:left w:val="single" w:sz="8" w:space="0" w:color="000000"/>
              <w:bottom w:val="single" w:sz="8" w:space="0" w:color="000000"/>
              <w:right w:val="single" w:sz="8" w:space="0" w:color="000000"/>
            </w:tcBorders>
            <w:shd w:val="clear" w:color="000000" w:fill="FFFFFF"/>
            <w:vAlign w:val="center"/>
            <w:hideMark/>
          </w:tcPr>
          <w:p w14:paraId="70013AF8" w14:textId="77777777" w:rsidR="00DD49C9" w:rsidRPr="00EE0371" w:rsidRDefault="00DD49C9" w:rsidP="00DD49C9">
            <w:pPr>
              <w:spacing w:after="0" w:line="240" w:lineRule="auto"/>
              <w:rPr>
                <w:rFonts w:ascii="Arial" w:eastAsia="Times New Roman" w:hAnsi="Arial" w:cs="Arial"/>
                <w:color w:val="000000"/>
                <w:sz w:val="20"/>
                <w:szCs w:val="20"/>
                <w:lang w:eastAsia="pt-BR"/>
              </w:rPr>
            </w:pPr>
            <w:r w:rsidRPr="00EE0371">
              <w:rPr>
                <w:rFonts w:ascii="Arial" w:eastAsia="Times New Roman" w:hAnsi="Arial" w:cs="Arial"/>
                <w:color w:val="000000"/>
                <w:sz w:val="20"/>
                <w:szCs w:val="20"/>
                <w:lang w:eastAsia="pt-BR"/>
              </w:rPr>
              <w:t>Unidade de Medida</w:t>
            </w:r>
          </w:p>
        </w:tc>
        <w:tc>
          <w:tcPr>
            <w:tcW w:w="1109" w:type="dxa"/>
            <w:tcBorders>
              <w:top w:val="nil"/>
              <w:left w:val="nil"/>
              <w:bottom w:val="single" w:sz="8" w:space="0" w:color="000000"/>
              <w:right w:val="single" w:sz="8" w:space="0" w:color="000000"/>
            </w:tcBorders>
            <w:shd w:val="clear" w:color="000000" w:fill="FFFFFF"/>
            <w:vAlign w:val="center"/>
            <w:hideMark/>
          </w:tcPr>
          <w:p w14:paraId="7A402464" w14:textId="77777777" w:rsidR="00DD49C9" w:rsidRPr="00EE0371" w:rsidRDefault="00DD49C9" w:rsidP="00DD49C9">
            <w:pPr>
              <w:spacing w:after="0" w:line="240" w:lineRule="auto"/>
              <w:jc w:val="center"/>
              <w:rPr>
                <w:rFonts w:ascii="Arial" w:eastAsia="Times New Roman" w:hAnsi="Arial" w:cs="Arial"/>
                <w:color w:val="000000"/>
                <w:sz w:val="20"/>
                <w:szCs w:val="20"/>
                <w:lang w:eastAsia="pt-BR"/>
              </w:rPr>
            </w:pPr>
            <w:r w:rsidRPr="00EE0371">
              <w:rPr>
                <w:rFonts w:ascii="Arial" w:eastAsia="Times New Roman" w:hAnsi="Arial" w:cs="Arial"/>
                <w:color w:val="000000"/>
                <w:sz w:val="20"/>
                <w:szCs w:val="20"/>
                <w:lang w:eastAsia="pt-BR"/>
              </w:rPr>
              <w:t>Caracter</w:t>
            </w:r>
          </w:p>
        </w:tc>
        <w:tc>
          <w:tcPr>
            <w:tcW w:w="1455" w:type="dxa"/>
            <w:tcBorders>
              <w:top w:val="nil"/>
              <w:left w:val="nil"/>
              <w:bottom w:val="single" w:sz="8" w:space="0" w:color="000000"/>
              <w:right w:val="single" w:sz="8" w:space="0" w:color="000000"/>
            </w:tcBorders>
            <w:shd w:val="clear" w:color="000000" w:fill="FFFFFF"/>
            <w:vAlign w:val="center"/>
            <w:hideMark/>
          </w:tcPr>
          <w:p w14:paraId="09C10A8A" w14:textId="77777777" w:rsidR="00DD49C9" w:rsidRPr="00EE0371" w:rsidRDefault="00DD49C9" w:rsidP="00DD49C9">
            <w:pPr>
              <w:spacing w:after="0" w:line="240" w:lineRule="auto"/>
              <w:jc w:val="center"/>
              <w:rPr>
                <w:rFonts w:ascii="Arial" w:eastAsia="Times New Roman" w:hAnsi="Arial" w:cs="Arial"/>
                <w:color w:val="000000"/>
                <w:sz w:val="20"/>
                <w:szCs w:val="20"/>
                <w:lang w:eastAsia="pt-BR"/>
              </w:rPr>
            </w:pPr>
            <w:r w:rsidRPr="00EE0371">
              <w:rPr>
                <w:rFonts w:ascii="Arial" w:eastAsia="Times New Roman" w:hAnsi="Arial" w:cs="Arial"/>
                <w:color w:val="000000"/>
                <w:sz w:val="20"/>
                <w:szCs w:val="20"/>
                <w:lang w:eastAsia="pt-BR"/>
              </w:rPr>
              <w:t>15</w:t>
            </w:r>
          </w:p>
        </w:tc>
        <w:tc>
          <w:tcPr>
            <w:tcW w:w="2867" w:type="dxa"/>
            <w:tcBorders>
              <w:top w:val="nil"/>
              <w:left w:val="nil"/>
              <w:bottom w:val="single" w:sz="8" w:space="0" w:color="000000"/>
              <w:right w:val="single" w:sz="8" w:space="0" w:color="000000"/>
            </w:tcBorders>
            <w:shd w:val="clear" w:color="000000" w:fill="FFFFFF"/>
            <w:vAlign w:val="center"/>
            <w:hideMark/>
          </w:tcPr>
          <w:p w14:paraId="4DBE0D80" w14:textId="77777777" w:rsidR="00DD49C9" w:rsidRPr="00EE0371" w:rsidRDefault="00DD49C9" w:rsidP="00DD49C9">
            <w:pPr>
              <w:spacing w:after="0" w:line="240" w:lineRule="auto"/>
              <w:rPr>
                <w:rFonts w:ascii="Arial" w:eastAsia="Times New Roman" w:hAnsi="Arial" w:cs="Arial"/>
                <w:color w:val="000000"/>
                <w:sz w:val="20"/>
                <w:szCs w:val="20"/>
                <w:lang w:eastAsia="pt-BR"/>
              </w:rPr>
            </w:pPr>
            <w:r w:rsidRPr="00EE0371">
              <w:rPr>
                <w:rFonts w:ascii="Arial" w:eastAsia="Times New Roman" w:hAnsi="Arial" w:cs="Arial"/>
                <w:color w:val="000000"/>
                <w:sz w:val="20"/>
                <w:szCs w:val="20"/>
                <w:lang w:eastAsia="pt-BR"/>
              </w:rPr>
              <w:t>Obrigatório</w:t>
            </w:r>
          </w:p>
        </w:tc>
      </w:tr>
      <w:tr w:rsidR="00DD49C9" w:rsidRPr="00EE0371" w14:paraId="4D0F36DE" w14:textId="77777777" w:rsidTr="00DD49C9">
        <w:trPr>
          <w:trHeight w:val="499"/>
        </w:trPr>
        <w:tc>
          <w:tcPr>
            <w:tcW w:w="3158" w:type="dxa"/>
            <w:tcBorders>
              <w:top w:val="nil"/>
              <w:left w:val="single" w:sz="8" w:space="0" w:color="000000"/>
              <w:bottom w:val="single" w:sz="8" w:space="0" w:color="000000"/>
              <w:right w:val="single" w:sz="8" w:space="0" w:color="000000"/>
            </w:tcBorders>
            <w:shd w:val="clear" w:color="000000" w:fill="FFFFFF"/>
            <w:vAlign w:val="center"/>
            <w:hideMark/>
          </w:tcPr>
          <w:p w14:paraId="426227ED" w14:textId="77777777" w:rsidR="00DD49C9" w:rsidRPr="00EE0371" w:rsidRDefault="00DD49C9" w:rsidP="00DD49C9">
            <w:pPr>
              <w:spacing w:after="0" w:line="240" w:lineRule="auto"/>
              <w:rPr>
                <w:rFonts w:ascii="Arial" w:eastAsia="Times New Roman" w:hAnsi="Arial" w:cs="Arial"/>
                <w:color w:val="000000"/>
                <w:sz w:val="20"/>
                <w:szCs w:val="20"/>
                <w:lang w:eastAsia="pt-BR"/>
              </w:rPr>
            </w:pPr>
            <w:r w:rsidRPr="00EE0371">
              <w:rPr>
                <w:rFonts w:ascii="Arial" w:eastAsia="Times New Roman" w:hAnsi="Arial" w:cs="Arial"/>
                <w:color w:val="000000"/>
                <w:sz w:val="20"/>
                <w:szCs w:val="20"/>
                <w:lang w:eastAsia="pt-BR"/>
              </w:rPr>
              <w:t xml:space="preserve">Quantidade de Bens em Almoxarifado </w:t>
            </w:r>
          </w:p>
        </w:tc>
        <w:tc>
          <w:tcPr>
            <w:tcW w:w="1109" w:type="dxa"/>
            <w:tcBorders>
              <w:top w:val="nil"/>
              <w:left w:val="nil"/>
              <w:bottom w:val="single" w:sz="8" w:space="0" w:color="000000"/>
              <w:right w:val="single" w:sz="8" w:space="0" w:color="000000"/>
            </w:tcBorders>
            <w:shd w:val="clear" w:color="000000" w:fill="FFFFFF"/>
            <w:vAlign w:val="center"/>
            <w:hideMark/>
          </w:tcPr>
          <w:p w14:paraId="4AA28869" w14:textId="77777777" w:rsidR="00DD49C9" w:rsidRPr="00EE0371" w:rsidRDefault="00DD49C9" w:rsidP="00DD49C9">
            <w:pPr>
              <w:spacing w:after="0" w:line="240" w:lineRule="auto"/>
              <w:jc w:val="center"/>
              <w:rPr>
                <w:rFonts w:ascii="Arial" w:eastAsia="Times New Roman" w:hAnsi="Arial" w:cs="Arial"/>
                <w:color w:val="000000"/>
                <w:sz w:val="20"/>
                <w:szCs w:val="20"/>
                <w:lang w:eastAsia="pt-BR"/>
              </w:rPr>
            </w:pPr>
            <w:r w:rsidRPr="00EE0371">
              <w:rPr>
                <w:rFonts w:ascii="Arial" w:eastAsia="Times New Roman" w:hAnsi="Arial" w:cs="Arial"/>
                <w:color w:val="000000"/>
                <w:sz w:val="20"/>
                <w:szCs w:val="20"/>
                <w:lang w:eastAsia="pt-BR"/>
              </w:rPr>
              <w:t>Decimal</w:t>
            </w:r>
          </w:p>
        </w:tc>
        <w:tc>
          <w:tcPr>
            <w:tcW w:w="1455" w:type="dxa"/>
            <w:tcBorders>
              <w:top w:val="nil"/>
              <w:left w:val="nil"/>
              <w:bottom w:val="single" w:sz="8" w:space="0" w:color="000000"/>
              <w:right w:val="single" w:sz="8" w:space="0" w:color="000000"/>
            </w:tcBorders>
            <w:shd w:val="clear" w:color="000000" w:fill="FFFFFF"/>
            <w:vAlign w:val="center"/>
            <w:hideMark/>
          </w:tcPr>
          <w:p w14:paraId="585811C3" w14:textId="77777777" w:rsidR="00DD49C9" w:rsidRPr="00EE0371" w:rsidRDefault="00DD49C9" w:rsidP="00DD49C9">
            <w:pPr>
              <w:spacing w:after="0" w:line="240" w:lineRule="auto"/>
              <w:jc w:val="center"/>
              <w:rPr>
                <w:rFonts w:ascii="Arial" w:eastAsia="Times New Roman" w:hAnsi="Arial" w:cs="Arial"/>
                <w:color w:val="000000"/>
                <w:sz w:val="20"/>
                <w:szCs w:val="20"/>
                <w:lang w:eastAsia="pt-BR"/>
              </w:rPr>
            </w:pPr>
            <w:r w:rsidRPr="00EE0371">
              <w:rPr>
                <w:rFonts w:ascii="Arial" w:eastAsia="Times New Roman" w:hAnsi="Arial" w:cs="Arial"/>
                <w:color w:val="000000"/>
                <w:sz w:val="20"/>
                <w:szCs w:val="20"/>
                <w:lang w:eastAsia="pt-BR"/>
              </w:rPr>
              <w:t>14,2</w:t>
            </w:r>
          </w:p>
        </w:tc>
        <w:tc>
          <w:tcPr>
            <w:tcW w:w="2867" w:type="dxa"/>
            <w:tcBorders>
              <w:top w:val="nil"/>
              <w:left w:val="nil"/>
              <w:bottom w:val="single" w:sz="8" w:space="0" w:color="000000"/>
              <w:right w:val="single" w:sz="8" w:space="0" w:color="000000"/>
            </w:tcBorders>
            <w:shd w:val="clear" w:color="000000" w:fill="FFFFFF"/>
            <w:vAlign w:val="center"/>
            <w:hideMark/>
          </w:tcPr>
          <w:p w14:paraId="45AE5C14" w14:textId="77777777" w:rsidR="00DD49C9" w:rsidRPr="00EE0371" w:rsidRDefault="00DD49C9" w:rsidP="00DD49C9">
            <w:pPr>
              <w:spacing w:after="0" w:line="240" w:lineRule="auto"/>
              <w:rPr>
                <w:rFonts w:ascii="Arial" w:eastAsia="Times New Roman" w:hAnsi="Arial" w:cs="Arial"/>
                <w:color w:val="000000"/>
                <w:sz w:val="20"/>
                <w:szCs w:val="20"/>
                <w:lang w:eastAsia="pt-BR"/>
              </w:rPr>
            </w:pPr>
            <w:r w:rsidRPr="00EE0371">
              <w:rPr>
                <w:rFonts w:ascii="Arial" w:eastAsia="Times New Roman" w:hAnsi="Arial" w:cs="Arial"/>
                <w:color w:val="000000"/>
                <w:sz w:val="20"/>
                <w:szCs w:val="20"/>
                <w:lang w:eastAsia="pt-BR"/>
              </w:rPr>
              <w:t xml:space="preserve">Obrigatório </w:t>
            </w:r>
          </w:p>
        </w:tc>
      </w:tr>
      <w:tr w:rsidR="00DD49C9" w:rsidRPr="00EE0371" w14:paraId="02B31AC8" w14:textId="77777777" w:rsidTr="00DD49C9">
        <w:trPr>
          <w:trHeight w:val="499"/>
        </w:trPr>
        <w:tc>
          <w:tcPr>
            <w:tcW w:w="3158" w:type="dxa"/>
            <w:tcBorders>
              <w:top w:val="nil"/>
              <w:left w:val="single" w:sz="8" w:space="0" w:color="auto"/>
              <w:bottom w:val="single" w:sz="8" w:space="0" w:color="auto"/>
              <w:right w:val="single" w:sz="8" w:space="0" w:color="auto"/>
            </w:tcBorders>
            <w:shd w:val="clear" w:color="auto" w:fill="auto"/>
            <w:vAlign w:val="center"/>
            <w:hideMark/>
          </w:tcPr>
          <w:p w14:paraId="5BB8C70D" w14:textId="77777777" w:rsidR="00DD49C9" w:rsidRPr="00EE0371" w:rsidRDefault="00DD49C9" w:rsidP="00DD49C9">
            <w:pPr>
              <w:spacing w:after="0" w:line="240" w:lineRule="auto"/>
              <w:rPr>
                <w:rFonts w:ascii="Arial" w:eastAsia="Times New Roman" w:hAnsi="Arial" w:cs="Arial"/>
                <w:sz w:val="20"/>
                <w:szCs w:val="20"/>
                <w:lang w:eastAsia="pt-BR"/>
              </w:rPr>
            </w:pPr>
            <w:r w:rsidRPr="00EE0371">
              <w:rPr>
                <w:rFonts w:ascii="Arial" w:eastAsia="Times New Roman" w:hAnsi="Arial" w:cs="Arial"/>
                <w:sz w:val="20"/>
                <w:szCs w:val="20"/>
                <w:lang w:eastAsia="pt-BR"/>
              </w:rPr>
              <w:t>Custo Unitário de Bem em Almoxarifado</w:t>
            </w:r>
          </w:p>
        </w:tc>
        <w:tc>
          <w:tcPr>
            <w:tcW w:w="1109" w:type="dxa"/>
            <w:tcBorders>
              <w:top w:val="nil"/>
              <w:left w:val="nil"/>
              <w:bottom w:val="single" w:sz="8" w:space="0" w:color="auto"/>
              <w:right w:val="single" w:sz="8" w:space="0" w:color="auto"/>
            </w:tcBorders>
            <w:shd w:val="clear" w:color="auto" w:fill="auto"/>
            <w:vAlign w:val="center"/>
            <w:hideMark/>
          </w:tcPr>
          <w:p w14:paraId="5AB926D9" w14:textId="77777777" w:rsidR="00DD49C9" w:rsidRPr="00EE0371" w:rsidRDefault="00DD49C9" w:rsidP="00DD49C9">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Decimal</w:t>
            </w:r>
          </w:p>
        </w:tc>
        <w:tc>
          <w:tcPr>
            <w:tcW w:w="1455" w:type="dxa"/>
            <w:tcBorders>
              <w:top w:val="nil"/>
              <w:left w:val="nil"/>
              <w:bottom w:val="single" w:sz="8" w:space="0" w:color="auto"/>
              <w:right w:val="single" w:sz="8" w:space="0" w:color="auto"/>
            </w:tcBorders>
            <w:shd w:val="clear" w:color="auto" w:fill="auto"/>
            <w:vAlign w:val="center"/>
            <w:hideMark/>
          </w:tcPr>
          <w:p w14:paraId="0C14269B" w14:textId="77777777" w:rsidR="00DD49C9" w:rsidRPr="00EE0371" w:rsidRDefault="00DD49C9" w:rsidP="00DD49C9">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14,4</w:t>
            </w:r>
          </w:p>
        </w:tc>
        <w:tc>
          <w:tcPr>
            <w:tcW w:w="2867" w:type="dxa"/>
            <w:tcBorders>
              <w:top w:val="nil"/>
              <w:left w:val="nil"/>
              <w:bottom w:val="single" w:sz="8" w:space="0" w:color="auto"/>
              <w:right w:val="single" w:sz="8" w:space="0" w:color="auto"/>
            </w:tcBorders>
            <w:shd w:val="clear" w:color="auto" w:fill="auto"/>
            <w:vAlign w:val="center"/>
            <w:hideMark/>
          </w:tcPr>
          <w:p w14:paraId="7C19BEA1" w14:textId="77777777" w:rsidR="00DD49C9" w:rsidRPr="00EE0371" w:rsidRDefault="00DD49C9" w:rsidP="00DD49C9">
            <w:pPr>
              <w:spacing w:after="0" w:line="240" w:lineRule="auto"/>
              <w:rPr>
                <w:rFonts w:ascii="Arial" w:eastAsia="Times New Roman" w:hAnsi="Arial" w:cs="Arial"/>
                <w:sz w:val="20"/>
                <w:szCs w:val="20"/>
                <w:lang w:eastAsia="pt-BR"/>
              </w:rPr>
            </w:pPr>
            <w:r w:rsidRPr="00EE0371">
              <w:rPr>
                <w:rFonts w:ascii="Arial" w:eastAsia="Times New Roman" w:hAnsi="Arial" w:cs="Arial"/>
                <w:sz w:val="20"/>
                <w:szCs w:val="20"/>
                <w:lang w:eastAsia="pt-BR"/>
              </w:rPr>
              <w:t xml:space="preserve">Obrigatório </w:t>
            </w:r>
          </w:p>
        </w:tc>
      </w:tr>
      <w:tr w:rsidR="00DD49C9" w:rsidRPr="00EE0371" w14:paraId="71DC3140" w14:textId="77777777" w:rsidTr="00DD49C9">
        <w:trPr>
          <w:trHeight w:val="499"/>
        </w:trPr>
        <w:tc>
          <w:tcPr>
            <w:tcW w:w="3158" w:type="dxa"/>
            <w:tcBorders>
              <w:top w:val="nil"/>
              <w:left w:val="single" w:sz="8" w:space="0" w:color="000000"/>
              <w:bottom w:val="single" w:sz="8" w:space="0" w:color="000000"/>
              <w:right w:val="single" w:sz="8" w:space="0" w:color="000000"/>
            </w:tcBorders>
            <w:shd w:val="clear" w:color="auto" w:fill="auto"/>
            <w:vAlign w:val="center"/>
            <w:hideMark/>
          </w:tcPr>
          <w:p w14:paraId="2C171A89" w14:textId="77777777" w:rsidR="00DD49C9" w:rsidRPr="00EE0371" w:rsidRDefault="00DD49C9" w:rsidP="00DD49C9">
            <w:pPr>
              <w:spacing w:after="0" w:line="240" w:lineRule="auto"/>
              <w:rPr>
                <w:rFonts w:ascii="Arial" w:eastAsia="Times New Roman" w:hAnsi="Arial" w:cs="Arial"/>
                <w:color w:val="000000"/>
                <w:sz w:val="20"/>
                <w:szCs w:val="20"/>
                <w:lang w:eastAsia="pt-BR"/>
              </w:rPr>
            </w:pPr>
            <w:r w:rsidRPr="00EE0371">
              <w:rPr>
                <w:rFonts w:ascii="Arial" w:eastAsia="Times New Roman" w:hAnsi="Arial" w:cs="Arial"/>
                <w:color w:val="000000"/>
                <w:sz w:val="20"/>
                <w:szCs w:val="20"/>
                <w:lang w:eastAsia="pt-BR"/>
              </w:rPr>
              <w:t xml:space="preserve">Custo Total em Almoxarifado no Final do Exercício </w:t>
            </w:r>
            <w:r w:rsidRPr="00122606">
              <w:rPr>
                <w:rFonts w:ascii="Arial" w:eastAsia="Times New Roman" w:hAnsi="Arial" w:cs="Arial"/>
                <w:b/>
                <w:color w:val="000000"/>
                <w:sz w:val="20"/>
                <w:szCs w:val="20"/>
                <w:vertAlign w:val="superscript"/>
                <w:lang w:eastAsia="pt-BR"/>
              </w:rPr>
              <w:t>[2]</w:t>
            </w:r>
          </w:p>
        </w:tc>
        <w:tc>
          <w:tcPr>
            <w:tcW w:w="1109" w:type="dxa"/>
            <w:tcBorders>
              <w:top w:val="nil"/>
              <w:left w:val="nil"/>
              <w:bottom w:val="single" w:sz="8" w:space="0" w:color="auto"/>
              <w:right w:val="single" w:sz="8" w:space="0" w:color="auto"/>
            </w:tcBorders>
            <w:shd w:val="clear" w:color="auto" w:fill="auto"/>
            <w:vAlign w:val="center"/>
            <w:hideMark/>
          </w:tcPr>
          <w:p w14:paraId="0D61D63D" w14:textId="77777777" w:rsidR="00DD49C9" w:rsidRPr="00EE0371" w:rsidRDefault="00DD49C9" w:rsidP="00DD49C9">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Decimal</w:t>
            </w:r>
          </w:p>
        </w:tc>
        <w:tc>
          <w:tcPr>
            <w:tcW w:w="1455" w:type="dxa"/>
            <w:tcBorders>
              <w:top w:val="nil"/>
              <w:left w:val="nil"/>
              <w:bottom w:val="single" w:sz="8" w:space="0" w:color="auto"/>
              <w:right w:val="single" w:sz="8" w:space="0" w:color="auto"/>
            </w:tcBorders>
            <w:shd w:val="clear" w:color="auto" w:fill="auto"/>
            <w:vAlign w:val="center"/>
            <w:hideMark/>
          </w:tcPr>
          <w:p w14:paraId="7D648BD1" w14:textId="77777777" w:rsidR="00DD49C9" w:rsidRPr="00EE0371" w:rsidRDefault="00E87FF6" w:rsidP="00DD49C9">
            <w:pPr>
              <w:spacing w:after="0" w:line="240" w:lineRule="auto"/>
              <w:jc w:val="center"/>
              <w:rPr>
                <w:rFonts w:ascii="Arial" w:eastAsia="Times New Roman" w:hAnsi="Arial" w:cs="Arial"/>
                <w:sz w:val="20"/>
                <w:szCs w:val="20"/>
                <w:lang w:eastAsia="pt-BR"/>
              </w:rPr>
            </w:pPr>
            <w:r>
              <w:rPr>
                <w:rFonts w:ascii="Arial" w:eastAsia="Times New Roman" w:hAnsi="Arial" w:cs="Arial"/>
                <w:sz w:val="20"/>
                <w:szCs w:val="20"/>
                <w:lang w:eastAsia="pt-BR"/>
              </w:rPr>
              <w:t>14,4</w:t>
            </w:r>
          </w:p>
        </w:tc>
        <w:tc>
          <w:tcPr>
            <w:tcW w:w="2867" w:type="dxa"/>
            <w:tcBorders>
              <w:top w:val="nil"/>
              <w:left w:val="nil"/>
              <w:bottom w:val="single" w:sz="8" w:space="0" w:color="auto"/>
              <w:right w:val="single" w:sz="8" w:space="0" w:color="auto"/>
            </w:tcBorders>
            <w:shd w:val="clear" w:color="auto" w:fill="auto"/>
            <w:vAlign w:val="center"/>
            <w:hideMark/>
          </w:tcPr>
          <w:p w14:paraId="1554D0D5" w14:textId="77777777" w:rsidR="00DD49C9" w:rsidRPr="00EE0371" w:rsidRDefault="00DD49C9" w:rsidP="00DD49C9">
            <w:pPr>
              <w:spacing w:after="0" w:line="240" w:lineRule="auto"/>
              <w:rPr>
                <w:rFonts w:ascii="Arial" w:eastAsia="Times New Roman" w:hAnsi="Arial" w:cs="Arial"/>
                <w:sz w:val="20"/>
                <w:szCs w:val="20"/>
                <w:lang w:eastAsia="pt-BR"/>
              </w:rPr>
            </w:pPr>
            <w:r w:rsidRPr="00EE0371">
              <w:rPr>
                <w:rFonts w:ascii="Arial" w:eastAsia="Times New Roman" w:hAnsi="Arial" w:cs="Arial"/>
                <w:sz w:val="20"/>
                <w:szCs w:val="20"/>
                <w:lang w:eastAsia="pt-BR"/>
              </w:rPr>
              <w:t xml:space="preserve">Obrigatório </w:t>
            </w:r>
          </w:p>
        </w:tc>
      </w:tr>
    </w:tbl>
    <w:p w14:paraId="275A5518" w14:textId="77777777" w:rsidR="00EE0371" w:rsidRPr="00122606" w:rsidRDefault="00EE0371" w:rsidP="00EE0371">
      <w:pPr>
        <w:spacing w:after="0" w:line="240" w:lineRule="auto"/>
        <w:jc w:val="both"/>
        <w:rPr>
          <w:rFonts w:ascii="Arial" w:hAnsi="Arial" w:cs="Arial"/>
          <w:sz w:val="18"/>
          <w:szCs w:val="18"/>
        </w:rPr>
      </w:pPr>
      <w:r w:rsidRPr="00122606">
        <w:rPr>
          <w:rFonts w:ascii="Arial" w:hAnsi="Arial" w:cs="Arial"/>
          <w:sz w:val="18"/>
          <w:szCs w:val="18"/>
        </w:rPr>
        <w:t>[1] O Código Contábil a ser informado deverá pertencer ao Plano de Contas do CidadES do exercício e com atributo de escrituração S (Sim).</w:t>
      </w:r>
    </w:p>
    <w:p w14:paraId="4F7F4279" w14:textId="77777777" w:rsidR="00EE0371" w:rsidRPr="00122606" w:rsidRDefault="00EE0371" w:rsidP="00EE0371">
      <w:pPr>
        <w:spacing w:after="0" w:line="240" w:lineRule="auto"/>
        <w:jc w:val="both"/>
        <w:rPr>
          <w:rFonts w:ascii="Arial" w:hAnsi="Arial" w:cs="Arial"/>
          <w:sz w:val="18"/>
          <w:szCs w:val="18"/>
        </w:rPr>
      </w:pPr>
      <w:r w:rsidRPr="00122606">
        <w:rPr>
          <w:rFonts w:ascii="Arial" w:hAnsi="Arial" w:cs="Arial"/>
          <w:sz w:val="18"/>
          <w:szCs w:val="18"/>
        </w:rPr>
        <w:t>[2] Custo Total sem ajustes.</w:t>
      </w:r>
    </w:p>
    <w:p w14:paraId="6026041B" w14:textId="77777777" w:rsidR="00EE0371" w:rsidRPr="00122606" w:rsidRDefault="00EE0371" w:rsidP="00EE0371">
      <w:pPr>
        <w:spacing w:after="0" w:line="240" w:lineRule="auto"/>
        <w:jc w:val="both"/>
        <w:rPr>
          <w:rFonts w:ascii="Arial" w:hAnsi="Arial" w:cs="Arial"/>
          <w:sz w:val="18"/>
          <w:szCs w:val="18"/>
        </w:rPr>
      </w:pPr>
    </w:p>
    <w:p w14:paraId="2D786C15" w14:textId="77777777" w:rsidR="00EE0371" w:rsidRPr="00122606" w:rsidRDefault="00EE0371" w:rsidP="00EE0371">
      <w:pPr>
        <w:spacing w:after="0" w:line="240" w:lineRule="auto"/>
        <w:jc w:val="both"/>
        <w:rPr>
          <w:rFonts w:ascii="Arial" w:hAnsi="Arial" w:cs="Arial"/>
          <w:sz w:val="18"/>
          <w:szCs w:val="18"/>
        </w:rPr>
      </w:pPr>
      <w:r w:rsidRPr="00122606">
        <w:rPr>
          <w:rFonts w:ascii="Arial" w:hAnsi="Arial" w:cs="Arial"/>
          <w:sz w:val="18"/>
          <w:szCs w:val="18"/>
        </w:rPr>
        <w:t>Obs.: Somente serão aceitos valores positivos.</w:t>
      </w:r>
    </w:p>
    <w:p w14:paraId="7FD72729" w14:textId="77777777" w:rsidR="00EE0371" w:rsidRPr="00EE0371" w:rsidRDefault="00EE0371" w:rsidP="00EE0371">
      <w:pPr>
        <w:rPr>
          <w:rFonts w:ascii="Arial" w:hAnsi="Arial" w:cs="Arial"/>
          <w:b/>
          <w:sz w:val="28"/>
          <w:highlight w:val="red"/>
        </w:rPr>
      </w:pPr>
    </w:p>
    <w:p w14:paraId="7C063F4F" w14:textId="2371740E" w:rsidR="00EE0371" w:rsidRPr="00EE0371" w:rsidRDefault="00EE0371" w:rsidP="00A60EA7">
      <w:pPr>
        <w:pStyle w:val="Ttulo3"/>
      </w:pPr>
      <w:bookmarkStart w:id="42" w:name="_Toc94806318"/>
      <w:r w:rsidRPr="00EE0371">
        <w:lastRenderedPageBreak/>
        <w:t>DEMDAT.XML (ou DemonstrativoDividaAtiva.xml)</w:t>
      </w:r>
      <w:bookmarkEnd w:id="42"/>
    </w:p>
    <w:p w14:paraId="16B7BDCD" w14:textId="3B50A151" w:rsidR="00EE0371" w:rsidRPr="00EE0371" w:rsidRDefault="00EE0371" w:rsidP="00EE0371">
      <w:pPr>
        <w:spacing w:after="0" w:line="360" w:lineRule="auto"/>
        <w:jc w:val="both"/>
        <w:rPr>
          <w:rFonts w:ascii="Arial" w:hAnsi="Arial"/>
        </w:rPr>
      </w:pPr>
      <w:r w:rsidRPr="00EE0371">
        <w:rPr>
          <w:rFonts w:ascii="Arial" w:hAnsi="Arial"/>
          <w:b/>
          <w:bCs/>
        </w:rPr>
        <w:t>Descrição: </w:t>
      </w:r>
      <w:r w:rsidRPr="00EE0371">
        <w:rPr>
          <w:rFonts w:ascii="Arial" w:hAnsi="Arial"/>
        </w:rPr>
        <w:t>Este arquivo deverá conter as movimentações da Divida Ativa Tributária e Não Tributária realizadas no exercício.</w:t>
      </w:r>
    </w:p>
    <w:p w14:paraId="21F91DF1" w14:textId="77777777" w:rsidR="00EE0371" w:rsidRPr="00EE0371" w:rsidRDefault="00EE0371" w:rsidP="00EE0371">
      <w:pPr>
        <w:autoSpaceDE w:val="0"/>
        <w:autoSpaceDN w:val="0"/>
        <w:adjustRightInd w:val="0"/>
        <w:spacing w:after="0" w:line="240" w:lineRule="auto"/>
        <w:jc w:val="both"/>
        <w:rPr>
          <w:rFonts w:ascii="Arial" w:hAnsi="Arial"/>
          <w:b/>
          <w:bCs/>
        </w:rPr>
      </w:pPr>
    </w:p>
    <w:p w14:paraId="6CFE706D" w14:textId="77777777" w:rsidR="00EE0371" w:rsidRPr="00EE0371" w:rsidRDefault="00EE0371" w:rsidP="00EE0371">
      <w:pPr>
        <w:autoSpaceDE w:val="0"/>
        <w:autoSpaceDN w:val="0"/>
        <w:adjustRightInd w:val="0"/>
        <w:spacing w:after="0" w:line="240" w:lineRule="auto"/>
        <w:jc w:val="both"/>
        <w:rPr>
          <w:rFonts w:ascii="Arial" w:hAnsi="Arial"/>
          <w:b/>
          <w:bCs/>
        </w:rPr>
      </w:pPr>
      <w:r w:rsidRPr="00EE0371">
        <w:rPr>
          <w:rFonts w:ascii="Arial" w:hAnsi="Arial"/>
          <w:b/>
          <w:bCs/>
        </w:rPr>
        <w:t>Estrutura:</w:t>
      </w:r>
    </w:p>
    <w:p w14:paraId="782C098B" w14:textId="77777777" w:rsidR="00EE0371" w:rsidRPr="00EE0371" w:rsidRDefault="00EE0371" w:rsidP="00EE0371">
      <w:pPr>
        <w:autoSpaceDE w:val="0"/>
        <w:autoSpaceDN w:val="0"/>
        <w:adjustRightInd w:val="0"/>
        <w:spacing w:after="0" w:line="240" w:lineRule="auto"/>
        <w:jc w:val="both"/>
        <w:rPr>
          <w:rFonts w:ascii="Arial" w:hAnsi="Arial" w:cs="Arial"/>
          <w:sz w:val="20"/>
          <w:szCs w:val="20"/>
          <w:lang w:eastAsia="pt-BR"/>
        </w:rPr>
      </w:pPr>
    </w:p>
    <w:p w14:paraId="4C7714C1" w14:textId="77777777" w:rsidR="00EE0371" w:rsidRPr="00EE0371" w:rsidRDefault="00EE0371" w:rsidP="00EE0371">
      <w:pPr>
        <w:autoSpaceDE w:val="0"/>
        <w:autoSpaceDN w:val="0"/>
        <w:adjustRightInd w:val="0"/>
        <w:spacing w:after="0" w:line="240" w:lineRule="auto"/>
        <w:jc w:val="both"/>
        <w:rPr>
          <w:rFonts w:ascii="Arial" w:hAnsi="Arial" w:cs="Arial"/>
          <w:sz w:val="20"/>
          <w:szCs w:val="20"/>
        </w:rPr>
      </w:pPr>
      <w:r w:rsidRPr="00EE0371">
        <w:rPr>
          <w:rFonts w:ascii="Arial" w:hAnsi="Arial" w:cs="Arial"/>
          <w:sz w:val="20"/>
          <w:szCs w:val="20"/>
          <w:lang w:eastAsia="pt-BR"/>
        </w:rPr>
        <w:t xml:space="preserve">&lt;?xml version="1.0" </w:t>
      </w:r>
      <w:r w:rsidRPr="00EE0371">
        <w:rPr>
          <w:rFonts w:ascii="Arial" w:hAnsi="Arial" w:cs="Arial"/>
          <w:sz w:val="20"/>
          <w:szCs w:val="20"/>
        </w:rPr>
        <w:t>encoding=“UTF-8”?&gt;</w:t>
      </w:r>
    </w:p>
    <w:p w14:paraId="0F640250" w14:textId="77777777" w:rsidR="00EE0371" w:rsidRPr="00EE0371" w:rsidRDefault="00EE0371" w:rsidP="00EE0371">
      <w:pPr>
        <w:spacing w:after="0" w:line="240" w:lineRule="auto"/>
        <w:ind w:right="600"/>
        <w:jc w:val="both"/>
        <w:rPr>
          <w:rFonts w:ascii="Arial" w:hAnsi="Arial" w:cs="Arial"/>
          <w:sz w:val="20"/>
          <w:szCs w:val="20"/>
          <w:lang w:eastAsia="pt-BR"/>
        </w:rPr>
      </w:pPr>
      <w:r w:rsidRPr="00EE0371">
        <w:rPr>
          <w:rFonts w:ascii="Arial" w:hAnsi="Arial" w:cs="Arial"/>
          <w:sz w:val="20"/>
          <w:szCs w:val="20"/>
          <w:lang w:eastAsia="pt-BR"/>
        </w:rPr>
        <w:t>&lt;PrestacaoContasAnual&gt;</w:t>
      </w:r>
    </w:p>
    <w:p w14:paraId="0AB97482" w14:textId="77777777" w:rsidR="00EE0371" w:rsidRPr="00EE0371" w:rsidRDefault="00EE0371" w:rsidP="00EE0371">
      <w:pPr>
        <w:spacing w:after="0" w:line="240" w:lineRule="auto"/>
        <w:ind w:right="600"/>
        <w:jc w:val="both"/>
        <w:rPr>
          <w:rFonts w:ascii="Arial" w:hAnsi="Arial" w:cs="Arial"/>
          <w:sz w:val="20"/>
          <w:szCs w:val="20"/>
          <w:lang w:eastAsia="pt-BR"/>
        </w:rPr>
      </w:pPr>
      <w:r w:rsidRPr="00EE0371">
        <w:rPr>
          <w:rFonts w:ascii="Arial" w:hAnsi="Arial" w:cs="Arial"/>
          <w:sz w:val="20"/>
          <w:szCs w:val="20"/>
          <w:lang w:eastAsia="pt-BR"/>
        </w:rPr>
        <w:t xml:space="preserve">      &lt;DemonstrativoDividaAtiva_Schema&gt;</w:t>
      </w:r>
    </w:p>
    <w:p w14:paraId="07B7509C" w14:textId="77777777" w:rsidR="00EE0371" w:rsidRPr="00EE0371" w:rsidRDefault="00EE0371" w:rsidP="00EE0371">
      <w:pPr>
        <w:spacing w:after="0" w:line="240" w:lineRule="auto"/>
        <w:ind w:right="600" w:firstLine="708"/>
        <w:jc w:val="both"/>
        <w:rPr>
          <w:rFonts w:ascii="Arial" w:hAnsi="Arial" w:cs="Arial"/>
          <w:sz w:val="20"/>
          <w:szCs w:val="20"/>
          <w:lang w:eastAsia="pt-BR"/>
        </w:rPr>
      </w:pPr>
    </w:p>
    <w:p w14:paraId="1E9C18B0" w14:textId="77777777" w:rsidR="00EE0371" w:rsidRPr="00EE0371" w:rsidRDefault="00EE0371" w:rsidP="00EE0371">
      <w:pPr>
        <w:spacing w:after="0" w:line="240" w:lineRule="auto"/>
        <w:ind w:right="600" w:firstLine="708"/>
        <w:jc w:val="both"/>
        <w:rPr>
          <w:rFonts w:ascii="Arial" w:hAnsi="Arial" w:cs="Arial"/>
          <w:sz w:val="20"/>
          <w:szCs w:val="20"/>
          <w:lang w:eastAsia="pt-BR"/>
        </w:rPr>
      </w:pPr>
      <w:r w:rsidRPr="00EE0371">
        <w:rPr>
          <w:rFonts w:ascii="Arial" w:hAnsi="Arial" w:cs="Arial"/>
          <w:sz w:val="20"/>
          <w:szCs w:val="20"/>
          <w:lang w:eastAsia="pt-BR"/>
        </w:rPr>
        <w:t>&lt;DemonstrativoDividaAtiva&gt;</w:t>
      </w:r>
    </w:p>
    <w:p w14:paraId="656BCB43" w14:textId="77777777" w:rsidR="00EE0371" w:rsidRDefault="00EE0371" w:rsidP="00EE0371">
      <w:pPr>
        <w:spacing w:after="0" w:line="240" w:lineRule="auto"/>
        <w:ind w:right="600" w:firstLine="708"/>
        <w:jc w:val="both"/>
        <w:rPr>
          <w:rFonts w:ascii="Arial" w:hAnsi="Arial" w:cs="Arial"/>
          <w:sz w:val="20"/>
          <w:szCs w:val="20"/>
          <w:lang w:eastAsia="pt-BR"/>
        </w:rPr>
      </w:pPr>
      <w:r w:rsidRPr="00EE0371">
        <w:rPr>
          <w:rFonts w:ascii="Arial" w:hAnsi="Arial" w:cs="Arial"/>
          <w:sz w:val="20"/>
          <w:szCs w:val="20"/>
          <w:lang w:eastAsia="pt-BR"/>
        </w:rPr>
        <w:t xml:space="preserve">     &lt;IdNumRegistro&gt;</w:t>
      </w:r>
      <w:r w:rsidRPr="00EE0371">
        <w:rPr>
          <w:rFonts w:ascii="Arial" w:hAnsi="Arial" w:cs="Arial"/>
          <w:b/>
          <w:sz w:val="20"/>
          <w:szCs w:val="20"/>
          <w:lang w:eastAsia="pt-BR"/>
        </w:rPr>
        <w:t>99999</w:t>
      </w:r>
      <w:r w:rsidRPr="00EE0371">
        <w:rPr>
          <w:rFonts w:ascii="Arial" w:hAnsi="Arial" w:cs="Arial"/>
          <w:sz w:val="20"/>
          <w:szCs w:val="20"/>
          <w:lang w:eastAsia="pt-BR"/>
        </w:rPr>
        <w:t>&lt;/IdNumRegistro&gt;</w:t>
      </w:r>
    </w:p>
    <w:p w14:paraId="7361B36F" w14:textId="77777777" w:rsidR="00DD49C9" w:rsidRPr="00122606" w:rsidRDefault="00DD49C9" w:rsidP="00DD49C9">
      <w:pPr>
        <w:spacing w:after="0" w:line="240" w:lineRule="auto"/>
        <w:ind w:firstLine="708"/>
        <w:rPr>
          <w:rFonts w:ascii="Arial" w:hAnsi="Arial" w:cs="Arial"/>
          <w:sz w:val="20"/>
          <w:szCs w:val="20"/>
          <w:lang w:eastAsia="pt-BR"/>
        </w:rPr>
      </w:pPr>
      <w:r w:rsidRPr="00122606">
        <w:rPr>
          <w:rFonts w:ascii="Arial" w:hAnsi="Arial" w:cs="Arial"/>
          <w:sz w:val="20"/>
          <w:szCs w:val="20"/>
          <w:lang w:eastAsia="pt-BR"/>
        </w:rPr>
        <w:t xml:space="preserve">     &lt;CodigoUnidadeGestora&gt;</w:t>
      </w:r>
      <w:r w:rsidRPr="00122606">
        <w:rPr>
          <w:rFonts w:ascii="Arial" w:hAnsi="Arial" w:cs="Arial"/>
          <w:b/>
          <w:sz w:val="20"/>
          <w:szCs w:val="20"/>
          <w:lang w:eastAsia="pt-BR"/>
        </w:rPr>
        <w:t>XXXXXXXXXXX</w:t>
      </w:r>
      <w:r w:rsidRPr="00122606">
        <w:rPr>
          <w:rFonts w:ascii="Arial" w:hAnsi="Arial" w:cs="Arial"/>
          <w:sz w:val="20"/>
          <w:szCs w:val="20"/>
          <w:lang w:eastAsia="pt-BR"/>
        </w:rPr>
        <w:t>&lt;/CodigoUnidadeGestora&gt;</w:t>
      </w:r>
    </w:p>
    <w:p w14:paraId="062DB153" w14:textId="77777777" w:rsidR="00EE0371" w:rsidRPr="00EE0371" w:rsidRDefault="00EE0371" w:rsidP="00EE0371">
      <w:pPr>
        <w:spacing w:after="0" w:line="240" w:lineRule="auto"/>
        <w:ind w:right="600" w:firstLine="708"/>
        <w:jc w:val="both"/>
        <w:rPr>
          <w:rFonts w:ascii="Arial" w:hAnsi="Arial" w:cs="Arial"/>
          <w:sz w:val="20"/>
          <w:szCs w:val="20"/>
          <w:lang w:eastAsia="pt-BR"/>
        </w:rPr>
      </w:pPr>
      <w:r w:rsidRPr="00EE0371">
        <w:rPr>
          <w:rFonts w:ascii="Arial" w:hAnsi="Arial" w:cs="Arial"/>
          <w:sz w:val="20"/>
          <w:szCs w:val="20"/>
          <w:lang w:eastAsia="pt-BR"/>
        </w:rPr>
        <w:t xml:space="preserve">     &lt;NaturezaDividaAtiva&gt;</w:t>
      </w:r>
      <w:r w:rsidRPr="00EE0371">
        <w:rPr>
          <w:rFonts w:ascii="Arial" w:hAnsi="Arial" w:cs="Arial"/>
          <w:b/>
          <w:sz w:val="20"/>
          <w:szCs w:val="20"/>
          <w:lang w:eastAsia="pt-BR"/>
        </w:rPr>
        <w:t>9</w:t>
      </w:r>
      <w:r w:rsidRPr="00EE0371">
        <w:rPr>
          <w:rFonts w:ascii="Arial" w:hAnsi="Arial" w:cs="Arial"/>
          <w:sz w:val="20"/>
          <w:szCs w:val="20"/>
          <w:lang w:eastAsia="pt-BR"/>
        </w:rPr>
        <w:t xml:space="preserve">&lt;/NaturezaDividaAtiva&gt; </w:t>
      </w:r>
    </w:p>
    <w:p w14:paraId="21F86458" w14:textId="77777777" w:rsidR="00EE0371" w:rsidRPr="00EE0371" w:rsidRDefault="00EE0371" w:rsidP="00EE0371">
      <w:pPr>
        <w:spacing w:after="0" w:line="240" w:lineRule="auto"/>
        <w:ind w:right="600" w:firstLine="708"/>
        <w:jc w:val="both"/>
        <w:rPr>
          <w:rFonts w:ascii="Arial" w:hAnsi="Arial" w:cs="Arial"/>
          <w:sz w:val="20"/>
          <w:szCs w:val="20"/>
          <w:lang w:eastAsia="pt-BR"/>
        </w:rPr>
      </w:pPr>
      <w:r w:rsidRPr="00EE0371">
        <w:rPr>
          <w:rFonts w:ascii="Arial" w:hAnsi="Arial" w:cs="Arial"/>
          <w:sz w:val="20"/>
          <w:szCs w:val="20"/>
          <w:lang w:eastAsia="pt-BR"/>
        </w:rPr>
        <w:t xml:space="preserve">     &lt;CaracteristicaDividaAtiva&gt;</w:t>
      </w:r>
      <w:r w:rsidRPr="00EE0371">
        <w:rPr>
          <w:rFonts w:ascii="Arial" w:hAnsi="Arial" w:cs="Arial"/>
          <w:b/>
          <w:sz w:val="20"/>
          <w:szCs w:val="20"/>
          <w:lang w:eastAsia="pt-BR"/>
        </w:rPr>
        <w:t>9</w:t>
      </w:r>
      <w:r w:rsidRPr="00EE0371">
        <w:rPr>
          <w:rFonts w:ascii="Arial" w:hAnsi="Arial" w:cs="Arial"/>
          <w:sz w:val="20"/>
          <w:szCs w:val="20"/>
          <w:lang w:eastAsia="pt-BR"/>
        </w:rPr>
        <w:t xml:space="preserve">&lt;/CaracteristicaDividaAtiva&gt; </w:t>
      </w:r>
    </w:p>
    <w:p w14:paraId="512E375E" w14:textId="77777777" w:rsidR="00EE0371" w:rsidRPr="00EE0371" w:rsidRDefault="00EE0371" w:rsidP="00EE0371">
      <w:pPr>
        <w:spacing w:after="0" w:line="240" w:lineRule="auto"/>
        <w:ind w:right="600" w:firstLine="708"/>
        <w:jc w:val="both"/>
        <w:rPr>
          <w:rFonts w:ascii="Arial" w:hAnsi="Arial" w:cs="Arial"/>
          <w:sz w:val="20"/>
          <w:szCs w:val="20"/>
          <w:lang w:eastAsia="pt-BR"/>
        </w:rPr>
      </w:pPr>
      <w:r w:rsidRPr="00EE0371">
        <w:rPr>
          <w:rFonts w:ascii="Arial" w:hAnsi="Arial" w:cs="Arial"/>
          <w:sz w:val="20"/>
          <w:szCs w:val="20"/>
          <w:lang w:eastAsia="pt-BR"/>
        </w:rPr>
        <w:t xml:space="preserve">     &lt;CodigoContabil&gt;</w:t>
      </w:r>
      <w:r w:rsidRPr="00EE0371">
        <w:rPr>
          <w:rFonts w:ascii="Arial" w:hAnsi="Arial" w:cs="Arial"/>
          <w:b/>
          <w:sz w:val="20"/>
          <w:szCs w:val="20"/>
          <w:lang w:eastAsia="pt-BR"/>
        </w:rPr>
        <w:t>999999999</w:t>
      </w:r>
      <w:r w:rsidRPr="00EE0371">
        <w:rPr>
          <w:rFonts w:ascii="Arial" w:hAnsi="Arial" w:cs="Arial"/>
          <w:sz w:val="20"/>
          <w:szCs w:val="20"/>
          <w:lang w:eastAsia="pt-BR"/>
        </w:rPr>
        <w:t>&lt;/CodigoContabil&gt;</w:t>
      </w:r>
    </w:p>
    <w:p w14:paraId="750F0236" w14:textId="77777777" w:rsidR="00EE0371" w:rsidRPr="00EE0371" w:rsidRDefault="00EE0371" w:rsidP="00EE0371">
      <w:pPr>
        <w:spacing w:after="0" w:line="240" w:lineRule="auto"/>
        <w:ind w:right="600" w:firstLine="708"/>
        <w:jc w:val="both"/>
        <w:rPr>
          <w:rFonts w:ascii="Arial" w:hAnsi="Arial" w:cs="Arial"/>
          <w:sz w:val="20"/>
          <w:szCs w:val="20"/>
          <w:lang w:eastAsia="pt-BR"/>
        </w:rPr>
      </w:pPr>
      <w:r w:rsidRPr="00EE0371">
        <w:rPr>
          <w:rFonts w:ascii="Arial" w:hAnsi="Arial" w:cs="Arial"/>
          <w:sz w:val="20"/>
          <w:szCs w:val="20"/>
          <w:lang w:eastAsia="pt-BR"/>
        </w:rPr>
        <w:t xml:space="preserve">     &lt;SaldoInicialDividaAtivaExercicio&gt;</w:t>
      </w:r>
      <w:r w:rsidRPr="00EE0371">
        <w:rPr>
          <w:rFonts w:ascii="Arial" w:hAnsi="Arial" w:cs="Arial"/>
          <w:b/>
          <w:sz w:val="20"/>
          <w:szCs w:val="20"/>
          <w:lang w:eastAsia="pt-BR"/>
        </w:rPr>
        <w:t>99999999999999.99</w:t>
      </w:r>
    </w:p>
    <w:p w14:paraId="5BD4D57D" w14:textId="77777777" w:rsidR="00EE0371" w:rsidRPr="00EE0371" w:rsidRDefault="00EE0371" w:rsidP="00EE0371">
      <w:pPr>
        <w:spacing w:after="0" w:line="240" w:lineRule="auto"/>
        <w:ind w:left="993" w:right="600"/>
        <w:jc w:val="both"/>
        <w:rPr>
          <w:rFonts w:ascii="Arial" w:hAnsi="Arial" w:cs="Arial"/>
          <w:sz w:val="20"/>
          <w:szCs w:val="20"/>
          <w:lang w:eastAsia="pt-BR"/>
        </w:rPr>
      </w:pPr>
      <w:r w:rsidRPr="00EE0371">
        <w:rPr>
          <w:rFonts w:ascii="Arial" w:hAnsi="Arial" w:cs="Arial"/>
          <w:sz w:val="20"/>
          <w:szCs w:val="20"/>
          <w:lang w:eastAsia="pt-BR"/>
        </w:rPr>
        <w:t xml:space="preserve">&lt;/SaldoInicialDividaAtivaExercicio&gt; </w:t>
      </w:r>
    </w:p>
    <w:p w14:paraId="0F0F10A1" w14:textId="77777777" w:rsidR="00EE0371" w:rsidRPr="00EE0371" w:rsidRDefault="00EE0371" w:rsidP="00EE0371">
      <w:pPr>
        <w:spacing w:after="0" w:line="240" w:lineRule="auto"/>
        <w:ind w:right="600" w:firstLine="708"/>
        <w:jc w:val="both"/>
        <w:rPr>
          <w:rFonts w:ascii="Arial" w:hAnsi="Arial" w:cs="Arial"/>
          <w:sz w:val="20"/>
          <w:szCs w:val="20"/>
          <w:lang w:eastAsia="pt-BR"/>
        </w:rPr>
      </w:pPr>
      <w:r w:rsidRPr="00EE0371">
        <w:rPr>
          <w:rFonts w:ascii="Arial" w:hAnsi="Arial" w:cs="Arial"/>
          <w:sz w:val="20"/>
          <w:szCs w:val="20"/>
          <w:lang w:eastAsia="pt-BR"/>
        </w:rPr>
        <w:t xml:space="preserve">     &lt;AcrescimoInscricaoExercicio&gt;</w:t>
      </w:r>
      <w:r w:rsidRPr="00EE0371">
        <w:rPr>
          <w:rFonts w:ascii="Arial" w:hAnsi="Arial" w:cs="Arial"/>
          <w:b/>
          <w:sz w:val="20"/>
          <w:szCs w:val="20"/>
          <w:lang w:eastAsia="pt-BR"/>
        </w:rPr>
        <w:t>99999999999999.99</w:t>
      </w:r>
    </w:p>
    <w:p w14:paraId="4FFD9966" w14:textId="77777777" w:rsidR="00EE0371" w:rsidRPr="00EE0371" w:rsidRDefault="00EE0371" w:rsidP="00EE0371">
      <w:pPr>
        <w:spacing w:after="0" w:line="240" w:lineRule="auto"/>
        <w:ind w:left="993" w:right="600" w:firstLine="1"/>
        <w:jc w:val="both"/>
        <w:rPr>
          <w:rFonts w:ascii="Arial" w:hAnsi="Arial" w:cs="Arial"/>
          <w:sz w:val="20"/>
          <w:szCs w:val="20"/>
          <w:lang w:eastAsia="pt-BR"/>
        </w:rPr>
      </w:pPr>
      <w:r w:rsidRPr="00EE0371">
        <w:rPr>
          <w:rFonts w:ascii="Arial" w:hAnsi="Arial" w:cs="Arial"/>
          <w:sz w:val="20"/>
          <w:szCs w:val="20"/>
          <w:lang w:eastAsia="pt-BR"/>
        </w:rPr>
        <w:t xml:space="preserve">&lt;/AcrescimoInscricaoExercicio&gt; </w:t>
      </w:r>
    </w:p>
    <w:p w14:paraId="4EF2BEA3" w14:textId="77777777" w:rsidR="00EE0371" w:rsidRPr="00EE0371" w:rsidRDefault="00EE0371" w:rsidP="00EE0371">
      <w:pPr>
        <w:spacing w:after="0" w:line="240" w:lineRule="auto"/>
        <w:ind w:right="600" w:firstLine="708"/>
        <w:jc w:val="both"/>
        <w:rPr>
          <w:rFonts w:ascii="Arial" w:hAnsi="Arial" w:cs="Arial"/>
          <w:sz w:val="20"/>
          <w:szCs w:val="20"/>
          <w:lang w:eastAsia="pt-BR"/>
        </w:rPr>
      </w:pPr>
      <w:r w:rsidRPr="00EE0371">
        <w:rPr>
          <w:rFonts w:ascii="Arial" w:hAnsi="Arial" w:cs="Arial"/>
          <w:sz w:val="20"/>
          <w:szCs w:val="20"/>
          <w:lang w:eastAsia="pt-BR"/>
        </w:rPr>
        <w:t xml:space="preserve">     &lt;AcrescimoJuros&gt;</w:t>
      </w:r>
      <w:r w:rsidRPr="00EE0371">
        <w:rPr>
          <w:rFonts w:ascii="Arial" w:hAnsi="Arial" w:cs="Arial"/>
          <w:b/>
          <w:sz w:val="20"/>
          <w:szCs w:val="20"/>
          <w:lang w:eastAsia="pt-BR"/>
        </w:rPr>
        <w:t>99999999999999.99</w:t>
      </w:r>
      <w:r w:rsidRPr="00EE0371">
        <w:rPr>
          <w:rFonts w:ascii="Arial" w:hAnsi="Arial" w:cs="Arial"/>
          <w:sz w:val="20"/>
          <w:szCs w:val="20"/>
          <w:lang w:eastAsia="pt-BR"/>
        </w:rPr>
        <w:t xml:space="preserve">&lt;/AcrescimoJuros&gt; </w:t>
      </w:r>
    </w:p>
    <w:p w14:paraId="51885239" w14:textId="77777777" w:rsidR="00EE0371" w:rsidRPr="00EE0371" w:rsidRDefault="00EE0371" w:rsidP="00EE0371">
      <w:pPr>
        <w:spacing w:after="0" w:line="240" w:lineRule="auto"/>
        <w:ind w:right="600" w:firstLine="708"/>
        <w:jc w:val="both"/>
        <w:rPr>
          <w:rFonts w:ascii="Arial" w:hAnsi="Arial" w:cs="Arial"/>
          <w:sz w:val="20"/>
          <w:szCs w:val="20"/>
          <w:lang w:eastAsia="pt-BR"/>
        </w:rPr>
      </w:pPr>
      <w:r w:rsidRPr="00EE0371">
        <w:rPr>
          <w:rFonts w:ascii="Arial" w:hAnsi="Arial" w:cs="Arial"/>
          <w:sz w:val="20"/>
          <w:szCs w:val="20"/>
          <w:lang w:eastAsia="pt-BR"/>
        </w:rPr>
        <w:t xml:space="preserve">     &lt;AcrescimoMulta&gt;</w:t>
      </w:r>
      <w:r w:rsidRPr="00EE0371">
        <w:rPr>
          <w:rFonts w:ascii="Arial" w:hAnsi="Arial" w:cs="Arial"/>
          <w:b/>
          <w:sz w:val="20"/>
          <w:szCs w:val="20"/>
          <w:lang w:eastAsia="pt-BR"/>
        </w:rPr>
        <w:t>99999999999999.99</w:t>
      </w:r>
      <w:r w:rsidRPr="00EE0371">
        <w:rPr>
          <w:rFonts w:ascii="Arial" w:hAnsi="Arial" w:cs="Arial"/>
          <w:sz w:val="20"/>
          <w:szCs w:val="20"/>
          <w:lang w:eastAsia="pt-BR"/>
        </w:rPr>
        <w:t xml:space="preserve">&lt;/AcrescimoMulta&gt; </w:t>
      </w:r>
    </w:p>
    <w:p w14:paraId="75C73AD5" w14:textId="77777777" w:rsidR="00EE0371" w:rsidRPr="00EE0371" w:rsidRDefault="00EE0371" w:rsidP="00EE0371">
      <w:pPr>
        <w:spacing w:after="0" w:line="240" w:lineRule="auto"/>
        <w:ind w:right="600" w:firstLine="708"/>
        <w:jc w:val="both"/>
        <w:rPr>
          <w:rFonts w:ascii="Arial" w:hAnsi="Arial" w:cs="Arial"/>
          <w:sz w:val="20"/>
          <w:szCs w:val="20"/>
          <w:lang w:eastAsia="pt-BR"/>
        </w:rPr>
      </w:pPr>
      <w:r w:rsidRPr="00EE0371">
        <w:rPr>
          <w:rFonts w:ascii="Arial" w:hAnsi="Arial" w:cs="Arial"/>
          <w:sz w:val="20"/>
          <w:szCs w:val="20"/>
          <w:lang w:eastAsia="pt-BR"/>
        </w:rPr>
        <w:t xml:space="preserve">     &lt;AcrescimoAtualizacaoMonetaria&gt;</w:t>
      </w:r>
      <w:r w:rsidRPr="00EE0371">
        <w:rPr>
          <w:rFonts w:ascii="Arial" w:hAnsi="Arial" w:cs="Arial"/>
          <w:b/>
          <w:sz w:val="20"/>
          <w:szCs w:val="20"/>
          <w:lang w:eastAsia="pt-BR"/>
        </w:rPr>
        <w:t>99999999999999.99</w:t>
      </w:r>
    </w:p>
    <w:p w14:paraId="7728ED52" w14:textId="77777777" w:rsidR="00EE0371" w:rsidRPr="00EE0371" w:rsidRDefault="00EE0371" w:rsidP="00EE0371">
      <w:pPr>
        <w:spacing w:after="0" w:line="240" w:lineRule="auto"/>
        <w:ind w:left="993" w:right="600" w:firstLine="1"/>
        <w:jc w:val="both"/>
        <w:rPr>
          <w:rFonts w:ascii="Arial" w:hAnsi="Arial" w:cs="Arial"/>
          <w:sz w:val="20"/>
          <w:szCs w:val="20"/>
          <w:lang w:eastAsia="pt-BR"/>
        </w:rPr>
      </w:pPr>
      <w:r w:rsidRPr="00EE0371">
        <w:rPr>
          <w:rFonts w:ascii="Arial" w:hAnsi="Arial" w:cs="Arial"/>
          <w:sz w:val="20"/>
          <w:szCs w:val="20"/>
          <w:lang w:eastAsia="pt-BR"/>
        </w:rPr>
        <w:t xml:space="preserve">&lt;/AcrescimoAtualizacaoMonetaria&gt; </w:t>
      </w:r>
    </w:p>
    <w:p w14:paraId="78254B03" w14:textId="77777777" w:rsidR="00EE0371" w:rsidRPr="00EE0371" w:rsidRDefault="00EE0371" w:rsidP="00EE0371">
      <w:pPr>
        <w:spacing w:after="0" w:line="240" w:lineRule="auto"/>
        <w:ind w:right="600" w:firstLine="708"/>
        <w:jc w:val="both"/>
        <w:rPr>
          <w:rFonts w:ascii="Arial" w:hAnsi="Arial" w:cs="Arial"/>
          <w:sz w:val="20"/>
          <w:szCs w:val="20"/>
          <w:lang w:eastAsia="pt-BR"/>
        </w:rPr>
      </w:pPr>
      <w:r w:rsidRPr="00EE0371">
        <w:rPr>
          <w:rFonts w:ascii="Arial" w:hAnsi="Arial" w:cs="Arial"/>
          <w:sz w:val="20"/>
          <w:szCs w:val="20"/>
          <w:lang w:eastAsia="pt-BR"/>
        </w:rPr>
        <w:t xml:space="preserve">     &lt;AcrescimoOutroEncargo&gt;</w:t>
      </w:r>
      <w:r w:rsidRPr="00EE0371">
        <w:rPr>
          <w:rFonts w:ascii="Arial" w:hAnsi="Arial" w:cs="Arial"/>
          <w:b/>
          <w:sz w:val="20"/>
          <w:szCs w:val="20"/>
          <w:lang w:eastAsia="pt-BR"/>
        </w:rPr>
        <w:t>99999999999999.99</w:t>
      </w:r>
      <w:r w:rsidRPr="00EE0371">
        <w:rPr>
          <w:rFonts w:ascii="Arial" w:hAnsi="Arial" w:cs="Arial"/>
          <w:sz w:val="20"/>
          <w:szCs w:val="20"/>
          <w:lang w:eastAsia="pt-BR"/>
        </w:rPr>
        <w:t xml:space="preserve">&lt;/AcrescimoOutroEncargo&gt; </w:t>
      </w:r>
    </w:p>
    <w:p w14:paraId="49BBA567" w14:textId="77777777" w:rsidR="00EE0371" w:rsidRPr="00EE0371" w:rsidRDefault="00EE0371" w:rsidP="00EE0371">
      <w:pPr>
        <w:spacing w:after="0" w:line="240" w:lineRule="auto"/>
        <w:ind w:right="600" w:firstLine="708"/>
        <w:jc w:val="both"/>
        <w:rPr>
          <w:rFonts w:ascii="Arial" w:hAnsi="Arial" w:cs="Arial"/>
          <w:sz w:val="20"/>
          <w:szCs w:val="20"/>
          <w:lang w:eastAsia="pt-BR"/>
        </w:rPr>
      </w:pPr>
      <w:r w:rsidRPr="00EE0371">
        <w:rPr>
          <w:rFonts w:ascii="Arial" w:hAnsi="Arial" w:cs="Arial"/>
          <w:sz w:val="20"/>
          <w:szCs w:val="20"/>
          <w:lang w:eastAsia="pt-BR"/>
        </w:rPr>
        <w:t xml:space="preserve">     &lt;BaixaRecebimentoEspecie&gt;</w:t>
      </w:r>
      <w:r w:rsidRPr="00EE0371">
        <w:rPr>
          <w:rFonts w:ascii="Arial" w:hAnsi="Arial" w:cs="Arial"/>
          <w:b/>
          <w:sz w:val="20"/>
          <w:szCs w:val="20"/>
          <w:lang w:eastAsia="pt-BR"/>
        </w:rPr>
        <w:t>99999999999999.99</w:t>
      </w:r>
    </w:p>
    <w:p w14:paraId="3EC54F3D" w14:textId="77777777" w:rsidR="00EE0371" w:rsidRPr="00EE0371" w:rsidRDefault="00EE0371" w:rsidP="00EE0371">
      <w:pPr>
        <w:spacing w:after="0" w:line="240" w:lineRule="auto"/>
        <w:ind w:left="993" w:right="600" w:firstLine="1"/>
        <w:jc w:val="both"/>
        <w:rPr>
          <w:rFonts w:ascii="Arial" w:hAnsi="Arial" w:cs="Arial"/>
          <w:sz w:val="20"/>
          <w:szCs w:val="20"/>
          <w:lang w:eastAsia="pt-BR"/>
        </w:rPr>
      </w:pPr>
      <w:r w:rsidRPr="00EE0371">
        <w:rPr>
          <w:rFonts w:ascii="Arial" w:hAnsi="Arial" w:cs="Arial"/>
          <w:sz w:val="20"/>
          <w:szCs w:val="20"/>
          <w:lang w:eastAsia="pt-BR"/>
        </w:rPr>
        <w:t>&lt;/BaixaRecebimentoEspecie&gt;</w:t>
      </w:r>
    </w:p>
    <w:p w14:paraId="327DA370" w14:textId="77777777" w:rsidR="00EE0371" w:rsidRPr="00EE0371" w:rsidRDefault="00EE0371" w:rsidP="00EE0371">
      <w:pPr>
        <w:spacing w:after="0" w:line="240" w:lineRule="auto"/>
        <w:ind w:right="600" w:firstLine="708"/>
        <w:jc w:val="both"/>
        <w:rPr>
          <w:rFonts w:ascii="Arial" w:hAnsi="Arial" w:cs="Arial"/>
          <w:sz w:val="20"/>
          <w:szCs w:val="20"/>
          <w:lang w:eastAsia="pt-BR"/>
        </w:rPr>
      </w:pPr>
      <w:r w:rsidRPr="00EE0371">
        <w:rPr>
          <w:rFonts w:ascii="Arial" w:hAnsi="Arial" w:cs="Arial"/>
          <w:sz w:val="20"/>
          <w:szCs w:val="20"/>
          <w:lang w:eastAsia="pt-BR"/>
        </w:rPr>
        <w:t xml:space="preserve">     &lt;BaixaRecebimentoBemDireito&gt;</w:t>
      </w:r>
      <w:r w:rsidRPr="00EE0371">
        <w:rPr>
          <w:rFonts w:ascii="Arial" w:hAnsi="Arial" w:cs="Arial"/>
          <w:b/>
          <w:sz w:val="20"/>
          <w:szCs w:val="20"/>
          <w:lang w:eastAsia="pt-BR"/>
        </w:rPr>
        <w:t>99999999999999.99</w:t>
      </w:r>
    </w:p>
    <w:p w14:paraId="18F3D615" w14:textId="77777777" w:rsidR="00EE0371" w:rsidRPr="00EE0371" w:rsidRDefault="00EE0371" w:rsidP="00EE0371">
      <w:pPr>
        <w:spacing w:after="0" w:line="240" w:lineRule="auto"/>
        <w:ind w:left="993" w:right="600" w:firstLine="1"/>
        <w:jc w:val="both"/>
        <w:rPr>
          <w:rFonts w:ascii="Arial" w:hAnsi="Arial" w:cs="Arial"/>
          <w:sz w:val="20"/>
          <w:szCs w:val="20"/>
          <w:lang w:eastAsia="pt-BR"/>
        </w:rPr>
      </w:pPr>
      <w:r w:rsidRPr="00EE0371">
        <w:rPr>
          <w:rFonts w:ascii="Arial" w:hAnsi="Arial" w:cs="Arial"/>
          <w:sz w:val="20"/>
          <w:szCs w:val="20"/>
          <w:lang w:eastAsia="pt-BR"/>
        </w:rPr>
        <w:t>&lt;/BaixaRecebimentoBemDireito&gt;</w:t>
      </w:r>
    </w:p>
    <w:p w14:paraId="5D68A7AA" w14:textId="77777777" w:rsidR="00EE0371" w:rsidRPr="00EE0371" w:rsidRDefault="00EE0371" w:rsidP="00EE0371">
      <w:pPr>
        <w:spacing w:after="0" w:line="240" w:lineRule="auto"/>
        <w:ind w:right="600" w:firstLine="708"/>
        <w:jc w:val="both"/>
        <w:rPr>
          <w:rFonts w:ascii="Arial" w:hAnsi="Arial" w:cs="Arial"/>
          <w:sz w:val="20"/>
          <w:szCs w:val="20"/>
          <w:lang w:eastAsia="pt-BR"/>
        </w:rPr>
      </w:pPr>
      <w:r w:rsidRPr="00EE0371">
        <w:rPr>
          <w:rFonts w:ascii="Arial" w:hAnsi="Arial" w:cs="Arial"/>
          <w:sz w:val="20"/>
          <w:szCs w:val="20"/>
          <w:lang w:eastAsia="pt-BR"/>
        </w:rPr>
        <w:t xml:space="preserve">     &lt;BaixaAbatimentoAnistiaRemissao&gt;</w:t>
      </w:r>
      <w:r w:rsidRPr="00EE0371">
        <w:rPr>
          <w:rFonts w:ascii="Arial" w:hAnsi="Arial" w:cs="Arial"/>
          <w:b/>
          <w:sz w:val="20"/>
          <w:szCs w:val="20"/>
          <w:lang w:eastAsia="pt-BR"/>
        </w:rPr>
        <w:t>99999999999999.99</w:t>
      </w:r>
    </w:p>
    <w:p w14:paraId="12F4FBE7" w14:textId="77777777" w:rsidR="00EE0371" w:rsidRPr="00EE0371" w:rsidRDefault="00EE0371" w:rsidP="00EE0371">
      <w:pPr>
        <w:spacing w:after="0" w:line="240" w:lineRule="auto"/>
        <w:ind w:left="993" w:right="600" w:firstLine="1"/>
        <w:jc w:val="both"/>
        <w:rPr>
          <w:rFonts w:ascii="Arial" w:hAnsi="Arial" w:cs="Arial"/>
          <w:sz w:val="20"/>
          <w:szCs w:val="20"/>
          <w:lang w:eastAsia="pt-BR"/>
        </w:rPr>
      </w:pPr>
      <w:r w:rsidRPr="00EE0371">
        <w:rPr>
          <w:rFonts w:ascii="Arial" w:hAnsi="Arial" w:cs="Arial"/>
          <w:sz w:val="20"/>
          <w:szCs w:val="20"/>
          <w:lang w:eastAsia="pt-BR"/>
        </w:rPr>
        <w:t>&lt;/BaixaAbatimentoAnistiaRemissao&gt;</w:t>
      </w:r>
    </w:p>
    <w:p w14:paraId="5B7089E9" w14:textId="77777777" w:rsidR="00EE0371" w:rsidRPr="00EE0371" w:rsidRDefault="00EE0371" w:rsidP="00EE0371">
      <w:pPr>
        <w:spacing w:after="0" w:line="240" w:lineRule="auto"/>
        <w:ind w:right="600" w:firstLine="708"/>
        <w:jc w:val="both"/>
        <w:rPr>
          <w:rFonts w:ascii="Arial" w:hAnsi="Arial" w:cs="Arial"/>
          <w:sz w:val="20"/>
          <w:szCs w:val="20"/>
          <w:lang w:eastAsia="pt-BR"/>
        </w:rPr>
      </w:pPr>
      <w:r w:rsidRPr="00EE0371">
        <w:rPr>
          <w:rFonts w:ascii="Arial" w:hAnsi="Arial" w:cs="Arial"/>
          <w:sz w:val="20"/>
          <w:szCs w:val="20"/>
          <w:lang w:eastAsia="pt-BR"/>
        </w:rPr>
        <w:t xml:space="preserve">     &lt;AutorizacaoLegislativaBaixaAbatimentoAnistiaRemissao&gt;</w:t>
      </w:r>
      <w:r w:rsidRPr="00EE0371">
        <w:rPr>
          <w:rFonts w:ascii="Arial" w:hAnsi="Arial" w:cs="Arial"/>
          <w:b/>
          <w:sz w:val="20"/>
          <w:szCs w:val="20"/>
          <w:lang w:eastAsia="pt-BR"/>
        </w:rPr>
        <w:t>XXX...XXX</w:t>
      </w:r>
    </w:p>
    <w:p w14:paraId="076783F1" w14:textId="77777777" w:rsidR="00EE0371" w:rsidRPr="00EE0371" w:rsidRDefault="00EE0371" w:rsidP="00EE0371">
      <w:pPr>
        <w:spacing w:after="0" w:line="240" w:lineRule="auto"/>
        <w:ind w:left="993" w:right="600" w:firstLine="1"/>
        <w:jc w:val="both"/>
        <w:rPr>
          <w:rFonts w:ascii="Arial" w:hAnsi="Arial" w:cs="Arial"/>
          <w:sz w:val="20"/>
          <w:szCs w:val="20"/>
          <w:lang w:eastAsia="pt-BR"/>
        </w:rPr>
      </w:pPr>
      <w:r w:rsidRPr="00EE0371">
        <w:rPr>
          <w:rFonts w:ascii="Arial" w:hAnsi="Arial" w:cs="Arial"/>
          <w:sz w:val="20"/>
          <w:szCs w:val="20"/>
          <w:lang w:eastAsia="pt-BR"/>
        </w:rPr>
        <w:t>&lt;/AutorizacaoLegislativaBaixaAbatimentoAnistiaRemissao&gt;</w:t>
      </w:r>
    </w:p>
    <w:p w14:paraId="293D754A" w14:textId="77777777" w:rsidR="00EE0371" w:rsidRPr="00EE0371" w:rsidRDefault="00EE0371" w:rsidP="00EE0371">
      <w:pPr>
        <w:spacing w:after="0" w:line="240" w:lineRule="auto"/>
        <w:ind w:right="600" w:firstLine="708"/>
        <w:jc w:val="both"/>
        <w:rPr>
          <w:rFonts w:ascii="Arial" w:hAnsi="Arial" w:cs="Arial"/>
          <w:sz w:val="20"/>
          <w:szCs w:val="20"/>
          <w:lang w:eastAsia="pt-BR"/>
        </w:rPr>
      </w:pPr>
      <w:r w:rsidRPr="00EE0371">
        <w:rPr>
          <w:rFonts w:ascii="Arial" w:hAnsi="Arial" w:cs="Arial"/>
          <w:sz w:val="20"/>
          <w:szCs w:val="20"/>
          <w:lang w:eastAsia="pt-BR"/>
        </w:rPr>
        <w:t xml:space="preserve">     &lt;BaixaCancelamento&gt;</w:t>
      </w:r>
      <w:r w:rsidRPr="00EE0371">
        <w:rPr>
          <w:rFonts w:ascii="Arial" w:hAnsi="Arial" w:cs="Arial"/>
          <w:b/>
          <w:sz w:val="20"/>
          <w:szCs w:val="20"/>
          <w:lang w:eastAsia="pt-BR"/>
        </w:rPr>
        <w:t>99999999999999.99</w:t>
      </w:r>
      <w:r w:rsidRPr="00EE0371">
        <w:rPr>
          <w:rFonts w:ascii="Arial" w:hAnsi="Arial" w:cs="Arial"/>
          <w:sz w:val="20"/>
          <w:szCs w:val="20"/>
          <w:lang w:eastAsia="pt-BR"/>
        </w:rPr>
        <w:t xml:space="preserve">&lt;/BaixaCancelamento&gt; </w:t>
      </w:r>
    </w:p>
    <w:p w14:paraId="35C96F53" w14:textId="77777777" w:rsidR="00EE0371" w:rsidRPr="00EE0371" w:rsidRDefault="00EE0371" w:rsidP="00EE0371">
      <w:pPr>
        <w:spacing w:after="0" w:line="240" w:lineRule="auto"/>
        <w:ind w:right="600" w:firstLine="708"/>
        <w:jc w:val="both"/>
        <w:rPr>
          <w:rFonts w:ascii="Arial" w:hAnsi="Arial" w:cs="Arial"/>
          <w:b/>
          <w:sz w:val="20"/>
          <w:szCs w:val="20"/>
          <w:lang w:eastAsia="pt-BR"/>
        </w:rPr>
      </w:pPr>
      <w:r w:rsidRPr="00EE0371">
        <w:rPr>
          <w:rFonts w:ascii="Arial" w:hAnsi="Arial" w:cs="Arial"/>
          <w:sz w:val="20"/>
          <w:szCs w:val="20"/>
          <w:lang w:eastAsia="pt-BR"/>
        </w:rPr>
        <w:t xml:space="preserve">     &lt;NomeArquivoBaixaCancelamento&gt;</w:t>
      </w:r>
      <w:r w:rsidRPr="00EE0371">
        <w:rPr>
          <w:rFonts w:ascii="Arial" w:hAnsi="Arial" w:cs="Arial"/>
          <w:b/>
          <w:sz w:val="20"/>
          <w:szCs w:val="20"/>
          <w:lang w:eastAsia="pt-BR"/>
        </w:rPr>
        <w:t>XXX...XXX</w:t>
      </w:r>
    </w:p>
    <w:p w14:paraId="0BC09C05" w14:textId="77777777" w:rsidR="00EE0371" w:rsidRPr="00EE0371" w:rsidRDefault="00EE0371" w:rsidP="00EE0371">
      <w:pPr>
        <w:spacing w:after="0" w:line="240" w:lineRule="auto"/>
        <w:ind w:left="993" w:right="600" w:firstLine="1"/>
        <w:jc w:val="both"/>
        <w:rPr>
          <w:rFonts w:ascii="Arial" w:hAnsi="Arial" w:cs="Arial"/>
          <w:sz w:val="20"/>
          <w:szCs w:val="20"/>
          <w:lang w:eastAsia="pt-BR"/>
        </w:rPr>
      </w:pPr>
      <w:r w:rsidRPr="00EE0371">
        <w:rPr>
          <w:rFonts w:ascii="Arial" w:hAnsi="Arial" w:cs="Arial"/>
          <w:sz w:val="20"/>
          <w:szCs w:val="20"/>
          <w:lang w:eastAsia="pt-BR"/>
        </w:rPr>
        <w:t>&lt;/NomeArquivoBaixaCancelamento&gt;</w:t>
      </w:r>
    </w:p>
    <w:p w14:paraId="772E2FA0" w14:textId="77777777" w:rsidR="00EE0371" w:rsidRPr="00EE0371" w:rsidRDefault="00EE0371" w:rsidP="00EE0371">
      <w:pPr>
        <w:spacing w:after="0" w:line="240" w:lineRule="auto"/>
        <w:ind w:right="600" w:firstLine="708"/>
        <w:jc w:val="both"/>
        <w:rPr>
          <w:rFonts w:ascii="Arial" w:hAnsi="Arial" w:cs="Arial"/>
          <w:sz w:val="20"/>
          <w:szCs w:val="20"/>
          <w:lang w:eastAsia="pt-BR"/>
        </w:rPr>
      </w:pPr>
      <w:r w:rsidRPr="00EE0371">
        <w:rPr>
          <w:rFonts w:ascii="Arial" w:hAnsi="Arial" w:cs="Arial"/>
          <w:sz w:val="20"/>
          <w:szCs w:val="20"/>
          <w:lang w:eastAsia="pt-BR"/>
        </w:rPr>
        <w:t xml:space="preserve">     &lt;BaixaCompensacao&gt;</w:t>
      </w:r>
      <w:r w:rsidRPr="00EE0371">
        <w:rPr>
          <w:rFonts w:ascii="Arial" w:hAnsi="Arial" w:cs="Arial"/>
          <w:b/>
          <w:sz w:val="20"/>
          <w:szCs w:val="20"/>
          <w:lang w:eastAsia="pt-BR"/>
        </w:rPr>
        <w:t>99999999999999.99</w:t>
      </w:r>
      <w:r w:rsidRPr="00EE0371">
        <w:rPr>
          <w:rFonts w:ascii="Arial" w:hAnsi="Arial" w:cs="Arial"/>
          <w:sz w:val="20"/>
          <w:szCs w:val="20"/>
          <w:lang w:eastAsia="pt-BR"/>
        </w:rPr>
        <w:t xml:space="preserve">&lt;/BaixasCompensacao&gt; </w:t>
      </w:r>
    </w:p>
    <w:p w14:paraId="41E5F5BA" w14:textId="77777777" w:rsidR="00EE0371" w:rsidRPr="00EE0371" w:rsidRDefault="00EE0371" w:rsidP="00EE0371">
      <w:pPr>
        <w:spacing w:after="0" w:line="240" w:lineRule="auto"/>
        <w:ind w:right="600" w:firstLine="708"/>
        <w:jc w:val="both"/>
        <w:rPr>
          <w:rFonts w:ascii="Arial" w:hAnsi="Arial" w:cs="Arial"/>
          <w:sz w:val="20"/>
          <w:szCs w:val="20"/>
          <w:lang w:eastAsia="pt-BR"/>
        </w:rPr>
      </w:pPr>
      <w:r w:rsidRPr="00EE0371">
        <w:rPr>
          <w:rFonts w:ascii="Arial" w:hAnsi="Arial" w:cs="Arial"/>
          <w:sz w:val="20"/>
          <w:szCs w:val="20"/>
          <w:lang w:eastAsia="pt-BR"/>
        </w:rPr>
        <w:t xml:space="preserve">     &lt;AutorizacaoLegislativaBaixaCompensacao&gt;</w:t>
      </w:r>
      <w:r w:rsidRPr="00EE0371">
        <w:rPr>
          <w:rFonts w:ascii="Arial" w:hAnsi="Arial" w:cs="Arial"/>
          <w:b/>
          <w:sz w:val="20"/>
          <w:szCs w:val="20"/>
          <w:lang w:eastAsia="pt-BR"/>
        </w:rPr>
        <w:t>XXX...XXX</w:t>
      </w:r>
    </w:p>
    <w:p w14:paraId="2E10A9ED" w14:textId="77777777" w:rsidR="00EE0371" w:rsidRPr="00EE0371" w:rsidRDefault="00EE0371" w:rsidP="00EE0371">
      <w:pPr>
        <w:spacing w:after="0" w:line="240" w:lineRule="auto"/>
        <w:ind w:left="993" w:right="600" w:firstLine="1"/>
        <w:jc w:val="both"/>
        <w:rPr>
          <w:rFonts w:ascii="Arial" w:hAnsi="Arial" w:cs="Arial"/>
          <w:sz w:val="20"/>
          <w:szCs w:val="20"/>
          <w:lang w:eastAsia="pt-BR"/>
        </w:rPr>
      </w:pPr>
      <w:r w:rsidRPr="00EE0371">
        <w:rPr>
          <w:rFonts w:ascii="Arial" w:hAnsi="Arial" w:cs="Arial"/>
          <w:sz w:val="20"/>
          <w:szCs w:val="20"/>
          <w:lang w:eastAsia="pt-BR"/>
        </w:rPr>
        <w:t>&lt;/AutorizacaoLegislativaBaixaCompensacao&gt;</w:t>
      </w:r>
    </w:p>
    <w:p w14:paraId="5053BC44" w14:textId="77777777" w:rsidR="00EE0371" w:rsidRPr="00EE0371" w:rsidRDefault="00EE0371" w:rsidP="00EE0371">
      <w:pPr>
        <w:spacing w:after="0" w:line="240" w:lineRule="auto"/>
        <w:ind w:right="600" w:firstLine="708"/>
        <w:jc w:val="both"/>
        <w:rPr>
          <w:rFonts w:ascii="Arial" w:hAnsi="Arial" w:cs="Arial"/>
          <w:sz w:val="20"/>
          <w:szCs w:val="20"/>
          <w:lang w:eastAsia="pt-BR"/>
        </w:rPr>
      </w:pPr>
      <w:r w:rsidRPr="00EE0371">
        <w:rPr>
          <w:rFonts w:ascii="Arial" w:hAnsi="Arial" w:cs="Arial"/>
          <w:sz w:val="20"/>
          <w:szCs w:val="20"/>
          <w:lang w:eastAsia="pt-BR"/>
        </w:rPr>
        <w:t xml:space="preserve">     &lt;BaixaParcelamento&gt;</w:t>
      </w:r>
      <w:r w:rsidRPr="00EE0371">
        <w:rPr>
          <w:rFonts w:ascii="Arial" w:hAnsi="Arial" w:cs="Arial"/>
          <w:b/>
          <w:sz w:val="20"/>
          <w:szCs w:val="20"/>
          <w:lang w:eastAsia="pt-BR"/>
        </w:rPr>
        <w:t>99999999999999.99</w:t>
      </w:r>
      <w:r w:rsidRPr="00EE0371">
        <w:rPr>
          <w:rFonts w:ascii="Arial" w:hAnsi="Arial" w:cs="Arial"/>
          <w:sz w:val="20"/>
          <w:szCs w:val="20"/>
          <w:lang w:eastAsia="pt-BR"/>
        </w:rPr>
        <w:t>&lt;/BaixaParcelamento&gt;</w:t>
      </w:r>
    </w:p>
    <w:p w14:paraId="376A6E5F" w14:textId="77777777" w:rsidR="00EE0371" w:rsidRPr="00EE0371" w:rsidRDefault="00EE0371" w:rsidP="00EE0371">
      <w:pPr>
        <w:spacing w:after="0" w:line="240" w:lineRule="auto"/>
        <w:ind w:right="600" w:firstLine="708"/>
        <w:jc w:val="both"/>
        <w:rPr>
          <w:rFonts w:ascii="Arial" w:hAnsi="Arial" w:cs="Arial"/>
          <w:sz w:val="20"/>
          <w:szCs w:val="20"/>
          <w:lang w:eastAsia="pt-BR"/>
        </w:rPr>
      </w:pPr>
      <w:r w:rsidRPr="00EE0371">
        <w:rPr>
          <w:rFonts w:ascii="Arial" w:hAnsi="Arial" w:cs="Arial"/>
          <w:sz w:val="20"/>
          <w:szCs w:val="20"/>
          <w:lang w:eastAsia="pt-BR"/>
        </w:rPr>
        <w:t xml:space="preserve">     &lt;OutraBaixa&gt;</w:t>
      </w:r>
      <w:r w:rsidRPr="00EE0371">
        <w:rPr>
          <w:rFonts w:ascii="Arial" w:hAnsi="Arial" w:cs="Arial"/>
          <w:b/>
          <w:sz w:val="20"/>
          <w:szCs w:val="20"/>
          <w:lang w:eastAsia="pt-BR"/>
        </w:rPr>
        <w:t>99999999999999.99</w:t>
      </w:r>
      <w:r w:rsidRPr="00EE0371">
        <w:rPr>
          <w:rFonts w:ascii="Arial" w:hAnsi="Arial" w:cs="Arial"/>
          <w:sz w:val="20"/>
          <w:szCs w:val="20"/>
          <w:lang w:eastAsia="pt-BR"/>
        </w:rPr>
        <w:t>&lt;/OutraBaixa&gt;</w:t>
      </w:r>
    </w:p>
    <w:p w14:paraId="0918FB0C" w14:textId="77777777" w:rsidR="00EE0371" w:rsidRPr="00EE0371" w:rsidRDefault="00EE0371" w:rsidP="00EE0371">
      <w:pPr>
        <w:spacing w:after="0" w:line="240" w:lineRule="auto"/>
        <w:ind w:right="600" w:firstLine="708"/>
        <w:jc w:val="both"/>
        <w:rPr>
          <w:rFonts w:ascii="Arial" w:hAnsi="Arial" w:cs="Arial"/>
          <w:sz w:val="20"/>
          <w:szCs w:val="20"/>
          <w:lang w:eastAsia="pt-BR"/>
        </w:rPr>
      </w:pPr>
      <w:r w:rsidRPr="00EE0371">
        <w:rPr>
          <w:rFonts w:ascii="Arial" w:hAnsi="Arial" w:cs="Arial"/>
          <w:sz w:val="20"/>
          <w:szCs w:val="20"/>
          <w:lang w:eastAsia="pt-BR"/>
        </w:rPr>
        <w:t xml:space="preserve">     &lt;AutorizacaoLegislativaOutraBaixa&gt;</w:t>
      </w:r>
      <w:r w:rsidRPr="00EE0371">
        <w:rPr>
          <w:rFonts w:ascii="Arial" w:hAnsi="Arial" w:cs="Arial"/>
          <w:b/>
          <w:sz w:val="20"/>
          <w:szCs w:val="20"/>
          <w:lang w:eastAsia="pt-BR"/>
        </w:rPr>
        <w:t>XXX...XXX</w:t>
      </w:r>
    </w:p>
    <w:p w14:paraId="1E63A83E" w14:textId="77777777" w:rsidR="00EE0371" w:rsidRPr="00EE0371" w:rsidRDefault="00EE0371" w:rsidP="00EE0371">
      <w:pPr>
        <w:spacing w:after="0" w:line="240" w:lineRule="auto"/>
        <w:ind w:left="993" w:right="600" w:firstLine="1"/>
        <w:jc w:val="both"/>
        <w:rPr>
          <w:rFonts w:ascii="Arial" w:hAnsi="Arial" w:cs="Arial"/>
          <w:sz w:val="20"/>
          <w:szCs w:val="20"/>
          <w:lang w:eastAsia="pt-BR"/>
        </w:rPr>
      </w:pPr>
      <w:r w:rsidRPr="00EE0371">
        <w:rPr>
          <w:rFonts w:ascii="Arial" w:hAnsi="Arial" w:cs="Arial"/>
          <w:sz w:val="20"/>
          <w:szCs w:val="20"/>
          <w:lang w:eastAsia="pt-BR"/>
        </w:rPr>
        <w:t>&lt;/AutorizacaoLegislativaOutraBaixa&gt;</w:t>
      </w:r>
    </w:p>
    <w:p w14:paraId="703A24CB" w14:textId="77777777" w:rsidR="00EE0371" w:rsidRPr="00EE0371" w:rsidRDefault="00EE0371" w:rsidP="00EE0371">
      <w:pPr>
        <w:spacing w:after="0" w:line="240" w:lineRule="auto"/>
        <w:ind w:right="600" w:firstLine="708"/>
        <w:jc w:val="both"/>
        <w:rPr>
          <w:rFonts w:ascii="Arial" w:hAnsi="Arial" w:cs="Arial"/>
          <w:sz w:val="20"/>
          <w:szCs w:val="20"/>
          <w:lang w:eastAsia="pt-BR"/>
        </w:rPr>
      </w:pPr>
      <w:r w:rsidRPr="00EE0371">
        <w:rPr>
          <w:rFonts w:ascii="Arial" w:hAnsi="Arial" w:cs="Arial"/>
          <w:sz w:val="20"/>
          <w:szCs w:val="20"/>
          <w:lang w:eastAsia="pt-BR"/>
        </w:rPr>
        <w:t xml:space="preserve">     &lt;SaldoFinalDividaAtivaExercicio&gt;</w:t>
      </w:r>
      <w:r w:rsidRPr="00EE0371">
        <w:rPr>
          <w:rFonts w:ascii="Arial" w:hAnsi="Arial" w:cs="Arial"/>
          <w:b/>
          <w:sz w:val="20"/>
          <w:szCs w:val="20"/>
          <w:lang w:eastAsia="pt-BR"/>
        </w:rPr>
        <w:t>99999999999999.99</w:t>
      </w:r>
    </w:p>
    <w:p w14:paraId="01A26A86" w14:textId="77777777" w:rsidR="00EE0371" w:rsidRPr="00EE0371" w:rsidRDefault="00EE0371" w:rsidP="00EE0371">
      <w:pPr>
        <w:spacing w:after="0" w:line="240" w:lineRule="auto"/>
        <w:ind w:left="993" w:right="600" w:firstLine="1"/>
        <w:jc w:val="both"/>
        <w:rPr>
          <w:rFonts w:ascii="Arial" w:hAnsi="Arial" w:cs="Arial"/>
          <w:sz w:val="20"/>
          <w:szCs w:val="20"/>
          <w:lang w:eastAsia="pt-BR"/>
        </w:rPr>
      </w:pPr>
      <w:r w:rsidRPr="00EE0371">
        <w:rPr>
          <w:rFonts w:ascii="Arial" w:hAnsi="Arial" w:cs="Arial"/>
          <w:sz w:val="20"/>
          <w:szCs w:val="20"/>
          <w:lang w:eastAsia="pt-BR"/>
        </w:rPr>
        <w:t>&lt;/SaldoFinalDividaAtivaExercicio&gt;</w:t>
      </w:r>
    </w:p>
    <w:p w14:paraId="4EDD4403" w14:textId="77777777" w:rsidR="00EE0371" w:rsidRPr="00EE0371" w:rsidRDefault="00EE0371" w:rsidP="00EE0371">
      <w:pPr>
        <w:spacing w:after="0" w:line="240" w:lineRule="auto"/>
        <w:ind w:right="600" w:firstLine="708"/>
        <w:jc w:val="both"/>
        <w:rPr>
          <w:rFonts w:ascii="Arial" w:hAnsi="Arial" w:cs="Arial"/>
          <w:sz w:val="20"/>
          <w:szCs w:val="20"/>
          <w:lang w:eastAsia="pt-BR"/>
        </w:rPr>
      </w:pPr>
      <w:r w:rsidRPr="00EE0371">
        <w:rPr>
          <w:rFonts w:ascii="Arial" w:hAnsi="Arial" w:cs="Arial"/>
          <w:sz w:val="20"/>
          <w:szCs w:val="20"/>
          <w:lang w:eastAsia="pt-BR"/>
        </w:rPr>
        <w:t>&lt;/DemonstrativoDividaAtiva&gt;</w:t>
      </w:r>
    </w:p>
    <w:p w14:paraId="1986FCD0" w14:textId="77777777" w:rsidR="00EE0371" w:rsidRPr="00EE0371" w:rsidRDefault="00EE0371" w:rsidP="00EE0371">
      <w:pPr>
        <w:spacing w:after="0" w:line="240" w:lineRule="auto"/>
        <w:ind w:right="600"/>
        <w:jc w:val="both"/>
        <w:rPr>
          <w:rFonts w:ascii="Arial" w:hAnsi="Arial" w:cs="Arial"/>
          <w:sz w:val="20"/>
          <w:szCs w:val="20"/>
          <w:lang w:eastAsia="pt-BR"/>
        </w:rPr>
      </w:pPr>
    </w:p>
    <w:p w14:paraId="6A9D6EB5" w14:textId="77777777" w:rsidR="00EE0371" w:rsidRPr="00EE0371" w:rsidRDefault="00EE0371" w:rsidP="00EE0371">
      <w:pPr>
        <w:spacing w:after="0" w:line="240" w:lineRule="auto"/>
        <w:ind w:right="600"/>
        <w:jc w:val="both"/>
        <w:rPr>
          <w:rFonts w:ascii="Arial" w:hAnsi="Arial" w:cs="Arial"/>
          <w:sz w:val="20"/>
          <w:szCs w:val="20"/>
          <w:lang w:eastAsia="pt-BR"/>
        </w:rPr>
      </w:pPr>
      <w:r w:rsidRPr="00EE0371">
        <w:rPr>
          <w:rFonts w:ascii="Arial" w:hAnsi="Arial" w:cs="Arial"/>
          <w:sz w:val="20"/>
          <w:szCs w:val="20"/>
          <w:lang w:eastAsia="pt-BR"/>
        </w:rPr>
        <w:t xml:space="preserve">     &lt;/DemonstrativoDividaAtiva_Schema&gt;</w:t>
      </w:r>
    </w:p>
    <w:p w14:paraId="34AD09F8" w14:textId="77777777" w:rsidR="00EE0371" w:rsidRPr="00EE0371" w:rsidRDefault="00EE0371" w:rsidP="00EE0371">
      <w:pPr>
        <w:spacing w:after="0" w:line="240" w:lineRule="auto"/>
        <w:ind w:right="600"/>
        <w:jc w:val="both"/>
        <w:rPr>
          <w:rFonts w:ascii="Arial" w:hAnsi="Arial" w:cs="Arial"/>
          <w:sz w:val="20"/>
          <w:szCs w:val="20"/>
          <w:lang w:eastAsia="pt-BR"/>
        </w:rPr>
      </w:pPr>
      <w:r w:rsidRPr="00EE0371">
        <w:rPr>
          <w:rFonts w:ascii="Arial" w:hAnsi="Arial" w:cs="Arial"/>
          <w:sz w:val="20"/>
          <w:szCs w:val="20"/>
          <w:lang w:eastAsia="pt-BR"/>
        </w:rPr>
        <w:t>&lt;/PrestacaoContasAnual&gt;</w:t>
      </w:r>
    </w:p>
    <w:p w14:paraId="6D643E5E" w14:textId="77777777" w:rsidR="00EE0371" w:rsidRPr="00EE0371" w:rsidRDefault="00EE0371" w:rsidP="00EE0371">
      <w:pPr>
        <w:spacing w:after="0" w:line="360" w:lineRule="auto"/>
        <w:jc w:val="both"/>
        <w:rPr>
          <w:rFonts w:ascii="Arial" w:hAnsi="Arial"/>
          <w:kern w:val="28"/>
        </w:rPr>
      </w:pPr>
    </w:p>
    <w:tbl>
      <w:tblPr>
        <w:tblW w:w="904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390"/>
        <w:gridCol w:w="1133"/>
        <w:gridCol w:w="1507"/>
        <w:gridCol w:w="3016"/>
      </w:tblGrid>
      <w:tr w:rsidR="00EE0371" w:rsidRPr="00EE0371" w14:paraId="2D2E74AA" w14:textId="77777777" w:rsidTr="00EE0371">
        <w:trPr>
          <w:tblHeader/>
          <w:jc w:val="center"/>
        </w:trPr>
        <w:tc>
          <w:tcPr>
            <w:tcW w:w="3390" w:type="dxa"/>
            <w:tcBorders>
              <w:bottom w:val="single" w:sz="6" w:space="0" w:color="auto"/>
            </w:tcBorders>
            <w:shd w:val="solid" w:color="C0C0C0" w:fill="auto"/>
            <w:vAlign w:val="center"/>
          </w:tcPr>
          <w:p w14:paraId="39B97CBB" w14:textId="77777777" w:rsidR="00EE0371" w:rsidRPr="00EE0371" w:rsidRDefault="00EE0371" w:rsidP="00EE0371">
            <w:pPr>
              <w:spacing w:before="120" w:after="120" w:line="240" w:lineRule="auto"/>
              <w:jc w:val="center"/>
              <w:rPr>
                <w:rFonts w:ascii="Arial" w:hAnsi="Arial" w:cs="Arial"/>
                <w:b/>
                <w:sz w:val="20"/>
                <w:szCs w:val="20"/>
              </w:rPr>
            </w:pPr>
            <w:r w:rsidRPr="00EE0371">
              <w:rPr>
                <w:rFonts w:ascii="Arial" w:hAnsi="Arial"/>
                <w:b/>
                <w:bCs/>
              </w:rPr>
              <w:br w:type="page"/>
            </w:r>
            <w:r w:rsidRPr="00EE0371">
              <w:rPr>
                <w:rFonts w:ascii="Arial" w:hAnsi="Arial" w:cs="Arial"/>
                <w:b/>
                <w:sz w:val="20"/>
                <w:szCs w:val="20"/>
              </w:rPr>
              <w:t>Campo</w:t>
            </w:r>
          </w:p>
        </w:tc>
        <w:tc>
          <w:tcPr>
            <w:tcW w:w="1133" w:type="dxa"/>
            <w:tcBorders>
              <w:bottom w:val="single" w:sz="6" w:space="0" w:color="auto"/>
            </w:tcBorders>
            <w:shd w:val="solid" w:color="C0C0C0" w:fill="auto"/>
            <w:vAlign w:val="center"/>
          </w:tcPr>
          <w:p w14:paraId="1BF2F105" w14:textId="77777777" w:rsidR="00EE0371" w:rsidRPr="00EE0371" w:rsidRDefault="00EE0371" w:rsidP="00EE0371">
            <w:pPr>
              <w:spacing w:before="120" w:after="120" w:line="240" w:lineRule="auto"/>
              <w:jc w:val="center"/>
              <w:rPr>
                <w:rFonts w:ascii="Arial" w:hAnsi="Arial" w:cs="Arial"/>
                <w:b/>
                <w:sz w:val="20"/>
                <w:szCs w:val="20"/>
              </w:rPr>
            </w:pPr>
            <w:r w:rsidRPr="00EE0371">
              <w:rPr>
                <w:rFonts w:ascii="Arial" w:hAnsi="Arial" w:cs="Arial"/>
                <w:b/>
                <w:sz w:val="20"/>
                <w:szCs w:val="20"/>
              </w:rPr>
              <w:t>Tipo</w:t>
            </w:r>
          </w:p>
        </w:tc>
        <w:tc>
          <w:tcPr>
            <w:tcW w:w="1507" w:type="dxa"/>
            <w:tcBorders>
              <w:bottom w:val="single" w:sz="6" w:space="0" w:color="auto"/>
            </w:tcBorders>
            <w:shd w:val="solid" w:color="C0C0C0" w:fill="auto"/>
            <w:vAlign w:val="center"/>
          </w:tcPr>
          <w:p w14:paraId="5215138C" w14:textId="77777777" w:rsidR="00EE0371" w:rsidRPr="00EE0371" w:rsidRDefault="00EE0371" w:rsidP="00EE0371">
            <w:pPr>
              <w:spacing w:before="120" w:after="120" w:line="240" w:lineRule="auto"/>
              <w:jc w:val="center"/>
              <w:rPr>
                <w:rFonts w:ascii="Arial" w:hAnsi="Arial" w:cs="Arial"/>
                <w:b/>
                <w:sz w:val="20"/>
                <w:szCs w:val="20"/>
              </w:rPr>
            </w:pPr>
            <w:r w:rsidRPr="00EE0371">
              <w:rPr>
                <w:rFonts w:ascii="Arial" w:hAnsi="Arial" w:cs="Arial"/>
                <w:b/>
                <w:sz w:val="20"/>
                <w:szCs w:val="20"/>
              </w:rPr>
              <w:t>Tamanho</w:t>
            </w:r>
          </w:p>
        </w:tc>
        <w:tc>
          <w:tcPr>
            <w:tcW w:w="3016" w:type="dxa"/>
            <w:tcBorders>
              <w:bottom w:val="single" w:sz="6" w:space="0" w:color="auto"/>
            </w:tcBorders>
            <w:shd w:val="solid" w:color="C0C0C0" w:fill="auto"/>
            <w:vAlign w:val="center"/>
          </w:tcPr>
          <w:p w14:paraId="0D9BCDAF" w14:textId="77777777" w:rsidR="00EE0371" w:rsidRPr="00EE0371" w:rsidRDefault="00EE0371" w:rsidP="00EE0371">
            <w:pPr>
              <w:spacing w:before="120" w:after="120" w:line="240" w:lineRule="auto"/>
              <w:jc w:val="center"/>
              <w:rPr>
                <w:rFonts w:ascii="Arial" w:hAnsi="Arial" w:cs="Arial"/>
                <w:b/>
                <w:sz w:val="20"/>
                <w:szCs w:val="20"/>
              </w:rPr>
            </w:pPr>
            <w:r w:rsidRPr="00EE0371">
              <w:rPr>
                <w:rFonts w:ascii="Arial" w:hAnsi="Arial" w:cs="Arial"/>
                <w:b/>
                <w:sz w:val="20"/>
                <w:szCs w:val="20"/>
              </w:rPr>
              <w:t>Obrigatoriedade</w:t>
            </w:r>
          </w:p>
        </w:tc>
      </w:tr>
      <w:tr w:rsidR="00EE0371" w:rsidRPr="00EE0371" w14:paraId="74EFEEC2" w14:textId="77777777" w:rsidTr="00EE0371">
        <w:trPr>
          <w:jc w:val="center"/>
        </w:trPr>
        <w:tc>
          <w:tcPr>
            <w:tcW w:w="9046" w:type="dxa"/>
            <w:gridSpan w:val="4"/>
            <w:shd w:val="solid" w:color="BFBFBF" w:themeColor="background1" w:themeShade="BF" w:fill="auto"/>
            <w:vAlign w:val="center"/>
          </w:tcPr>
          <w:p w14:paraId="6A3E592C" w14:textId="77777777" w:rsidR="00EE0371" w:rsidRPr="00EE0371" w:rsidRDefault="00EE0371" w:rsidP="00EE0371">
            <w:pPr>
              <w:spacing w:before="120" w:after="120" w:line="240" w:lineRule="auto"/>
              <w:jc w:val="center"/>
              <w:rPr>
                <w:rFonts w:ascii="Arial" w:hAnsi="Arial" w:cs="Arial"/>
                <w:color w:val="FF0000"/>
                <w:sz w:val="20"/>
                <w:szCs w:val="20"/>
              </w:rPr>
            </w:pPr>
            <w:r w:rsidRPr="00EE0371">
              <w:rPr>
                <w:rFonts w:ascii="Arial" w:hAnsi="Arial" w:cs="Arial"/>
                <w:b/>
                <w:sz w:val="20"/>
                <w:szCs w:val="20"/>
              </w:rPr>
              <w:t>Estrutura ‘DemonstrativoDividaAtiva’</w:t>
            </w:r>
          </w:p>
        </w:tc>
      </w:tr>
      <w:tr w:rsidR="00EE0371" w:rsidRPr="00EE0371" w14:paraId="2BF997AF" w14:textId="77777777" w:rsidTr="00EE0371">
        <w:trPr>
          <w:trHeight w:val="310"/>
          <w:jc w:val="center"/>
        </w:trPr>
        <w:tc>
          <w:tcPr>
            <w:tcW w:w="3390" w:type="dxa"/>
            <w:vAlign w:val="center"/>
          </w:tcPr>
          <w:p w14:paraId="33A77965"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Identificação do Número do Registro</w:t>
            </w:r>
          </w:p>
        </w:tc>
        <w:tc>
          <w:tcPr>
            <w:tcW w:w="1133" w:type="dxa"/>
            <w:vAlign w:val="center"/>
          </w:tcPr>
          <w:p w14:paraId="3AE8E757" w14:textId="77777777" w:rsidR="00EE0371" w:rsidRPr="00EE0371" w:rsidRDefault="00EE0371" w:rsidP="00EE0371">
            <w:pPr>
              <w:spacing w:before="120" w:after="120" w:line="240" w:lineRule="auto"/>
              <w:jc w:val="center"/>
              <w:rPr>
                <w:rFonts w:ascii="Arial" w:hAnsi="Arial" w:cs="Arial"/>
                <w:sz w:val="20"/>
                <w:szCs w:val="20"/>
              </w:rPr>
            </w:pPr>
            <w:r w:rsidRPr="00EE0371">
              <w:rPr>
                <w:rFonts w:ascii="Arial" w:hAnsi="Arial" w:cs="Arial"/>
                <w:sz w:val="20"/>
                <w:szCs w:val="20"/>
              </w:rPr>
              <w:t>Inteiro</w:t>
            </w:r>
          </w:p>
        </w:tc>
        <w:tc>
          <w:tcPr>
            <w:tcW w:w="1507" w:type="dxa"/>
            <w:vAlign w:val="center"/>
          </w:tcPr>
          <w:p w14:paraId="13FFD1AB" w14:textId="77777777" w:rsidR="00EE0371" w:rsidRPr="00EE0371" w:rsidRDefault="00EE0371" w:rsidP="00EE0371">
            <w:pPr>
              <w:spacing w:before="120" w:after="120" w:line="240" w:lineRule="auto"/>
              <w:jc w:val="center"/>
              <w:rPr>
                <w:rFonts w:ascii="Arial" w:hAnsi="Arial" w:cs="Arial"/>
                <w:sz w:val="20"/>
                <w:szCs w:val="20"/>
              </w:rPr>
            </w:pPr>
            <w:r w:rsidRPr="00EE0371">
              <w:rPr>
                <w:rFonts w:ascii="Arial" w:hAnsi="Arial" w:cs="Arial"/>
                <w:sz w:val="20"/>
                <w:szCs w:val="20"/>
              </w:rPr>
              <w:t>5</w:t>
            </w:r>
          </w:p>
        </w:tc>
        <w:tc>
          <w:tcPr>
            <w:tcW w:w="3016" w:type="dxa"/>
            <w:vAlign w:val="center"/>
          </w:tcPr>
          <w:p w14:paraId="581B5786" w14:textId="77777777" w:rsidR="00EE0371" w:rsidRPr="00EE0371" w:rsidRDefault="00EE0371" w:rsidP="00122606">
            <w:pPr>
              <w:spacing w:before="120" w:after="120" w:line="240" w:lineRule="auto"/>
              <w:rPr>
                <w:rFonts w:ascii="Arial" w:hAnsi="Arial" w:cs="Arial"/>
                <w:color w:val="FF0000"/>
                <w:sz w:val="20"/>
                <w:szCs w:val="20"/>
              </w:rPr>
            </w:pPr>
            <w:r w:rsidRPr="00EE0371">
              <w:rPr>
                <w:rFonts w:ascii="Arial" w:hAnsi="Arial" w:cs="Arial"/>
                <w:sz w:val="20"/>
                <w:szCs w:val="20"/>
              </w:rPr>
              <w:t>Obrigatório</w:t>
            </w:r>
          </w:p>
        </w:tc>
      </w:tr>
      <w:tr w:rsidR="00DD49C9" w:rsidRPr="00292A50" w14:paraId="05435674" w14:textId="77777777" w:rsidTr="00DD49C9">
        <w:trPr>
          <w:jc w:val="center"/>
        </w:trPr>
        <w:tc>
          <w:tcPr>
            <w:tcW w:w="3390" w:type="dxa"/>
            <w:vAlign w:val="center"/>
          </w:tcPr>
          <w:p w14:paraId="213CCC8C" w14:textId="77777777" w:rsidR="00DD49C9" w:rsidRPr="00122606" w:rsidRDefault="00DD49C9" w:rsidP="00DD49C9">
            <w:pPr>
              <w:spacing w:after="0" w:line="360" w:lineRule="auto"/>
              <w:jc w:val="both"/>
              <w:rPr>
                <w:rFonts w:ascii="Arial" w:hAnsi="Arial" w:cs="Arial"/>
                <w:sz w:val="20"/>
                <w:szCs w:val="20"/>
              </w:rPr>
            </w:pPr>
            <w:r w:rsidRPr="00122606">
              <w:rPr>
                <w:rFonts w:ascii="Arial" w:eastAsia="Times New Roman" w:hAnsi="Arial" w:cs="Arial"/>
                <w:sz w:val="20"/>
                <w:szCs w:val="20"/>
                <w:lang w:eastAsia="pt-BR"/>
              </w:rPr>
              <w:lastRenderedPageBreak/>
              <w:t>Código da Unidade Gestora</w:t>
            </w:r>
          </w:p>
        </w:tc>
        <w:tc>
          <w:tcPr>
            <w:tcW w:w="1133" w:type="dxa"/>
            <w:vAlign w:val="center"/>
          </w:tcPr>
          <w:p w14:paraId="347FE4A3" w14:textId="77777777" w:rsidR="00DD49C9" w:rsidRPr="00122606" w:rsidRDefault="00DD49C9" w:rsidP="00DD49C9">
            <w:pPr>
              <w:spacing w:after="0" w:line="360" w:lineRule="auto"/>
              <w:jc w:val="center"/>
              <w:rPr>
                <w:rFonts w:ascii="Arial" w:hAnsi="Arial" w:cs="Arial"/>
                <w:sz w:val="20"/>
                <w:szCs w:val="20"/>
              </w:rPr>
            </w:pPr>
            <w:r w:rsidRPr="00122606">
              <w:rPr>
                <w:rFonts w:ascii="Arial" w:eastAsia="Times New Roman" w:hAnsi="Arial" w:cs="Arial"/>
                <w:sz w:val="20"/>
                <w:szCs w:val="20"/>
                <w:lang w:eastAsia="pt-BR"/>
              </w:rPr>
              <w:t>Caracter</w:t>
            </w:r>
          </w:p>
        </w:tc>
        <w:tc>
          <w:tcPr>
            <w:tcW w:w="1507" w:type="dxa"/>
            <w:vAlign w:val="center"/>
          </w:tcPr>
          <w:p w14:paraId="29730986" w14:textId="77777777" w:rsidR="00DD49C9" w:rsidRPr="00122606" w:rsidRDefault="00DD49C9" w:rsidP="00DD49C9">
            <w:pPr>
              <w:spacing w:after="0" w:line="360" w:lineRule="auto"/>
              <w:jc w:val="center"/>
              <w:rPr>
                <w:rFonts w:ascii="Arial" w:hAnsi="Arial" w:cs="Arial"/>
                <w:sz w:val="20"/>
                <w:szCs w:val="20"/>
              </w:rPr>
            </w:pPr>
            <w:r w:rsidRPr="00122606">
              <w:rPr>
                <w:rFonts w:ascii="Arial" w:hAnsi="Arial" w:cs="Arial"/>
                <w:sz w:val="20"/>
                <w:szCs w:val="20"/>
              </w:rPr>
              <w:t>11</w:t>
            </w:r>
          </w:p>
        </w:tc>
        <w:tc>
          <w:tcPr>
            <w:tcW w:w="3016" w:type="dxa"/>
            <w:vAlign w:val="center"/>
          </w:tcPr>
          <w:p w14:paraId="3D411805" w14:textId="77777777" w:rsidR="00DD49C9" w:rsidRPr="00122606" w:rsidRDefault="00DD49C9" w:rsidP="00122606">
            <w:pPr>
              <w:spacing w:after="0" w:line="360" w:lineRule="auto"/>
              <w:rPr>
                <w:rFonts w:ascii="Arial" w:hAnsi="Arial" w:cs="Arial"/>
                <w:sz w:val="20"/>
                <w:szCs w:val="20"/>
              </w:rPr>
            </w:pPr>
            <w:r w:rsidRPr="00122606">
              <w:rPr>
                <w:rFonts w:ascii="Arial" w:eastAsia="Times New Roman" w:hAnsi="Arial" w:cs="Arial"/>
                <w:sz w:val="20"/>
                <w:szCs w:val="20"/>
                <w:lang w:eastAsia="pt-BR"/>
              </w:rPr>
              <w:t>Obrigatório conforme codificação do TCEES</w:t>
            </w:r>
          </w:p>
        </w:tc>
      </w:tr>
      <w:tr w:rsidR="00EE0371" w:rsidRPr="00EE0371" w14:paraId="73368BAF" w14:textId="77777777" w:rsidTr="00EE0371">
        <w:trPr>
          <w:jc w:val="center"/>
        </w:trPr>
        <w:tc>
          <w:tcPr>
            <w:tcW w:w="3390" w:type="dxa"/>
            <w:vAlign w:val="center"/>
          </w:tcPr>
          <w:p w14:paraId="0358636E"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Natureza da Dívida Ativa</w:t>
            </w:r>
          </w:p>
        </w:tc>
        <w:tc>
          <w:tcPr>
            <w:tcW w:w="1133" w:type="dxa"/>
            <w:vAlign w:val="center"/>
          </w:tcPr>
          <w:p w14:paraId="70EB2AC8" w14:textId="77777777" w:rsidR="00EE0371" w:rsidRPr="00EE0371" w:rsidRDefault="00EE0371" w:rsidP="00EE0371">
            <w:pPr>
              <w:spacing w:before="120" w:after="120" w:line="240" w:lineRule="auto"/>
              <w:jc w:val="center"/>
              <w:rPr>
                <w:rFonts w:ascii="Arial" w:hAnsi="Arial" w:cs="Arial"/>
                <w:sz w:val="20"/>
                <w:szCs w:val="20"/>
              </w:rPr>
            </w:pPr>
            <w:r w:rsidRPr="00EE0371">
              <w:rPr>
                <w:rFonts w:ascii="Arial" w:hAnsi="Arial" w:cs="Arial"/>
                <w:sz w:val="20"/>
                <w:szCs w:val="20"/>
              </w:rPr>
              <w:t>Inteiro</w:t>
            </w:r>
          </w:p>
        </w:tc>
        <w:tc>
          <w:tcPr>
            <w:tcW w:w="1507" w:type="dxa"/>
            <w:vAlign w:val="center"/>
          </w:tcPr>
          <w:p w14:paraId="08D520DD" w14:textId="77777777" w:rsidR="00EE0371" w:rsidRPr="00EE0371" w:rsidRDefault="00EE0371" w:rsidP="00EE0371">
            <w:pPr>
              <w:spacing w:before="120" w:after="120" w:line="240" w:lineRule="auto"/>
              <w:jc w:val="center"/>
              <w:rPr>
                <w:rFonts w:ascii="Arial" w:hAnsi="Arial" w:cs="Arial"/>
                <w:sz w:val="20"/>
                <w:szCs w:val="20"/>
              </w:rPr>
            </w:pPr>
            <w:r w:rsidRPr="00EE0371">
              <w:rPr>
                <w:rFonts w:ascii="Arial" w:hAnsi="Arial" w:cs="Arial"/>
                <w:sz w:val="20"/>
                <w:szCs w:val="20"/>
              </w:rPr>
              <w:t>1</w:t>
            </w:r>
          </w:p>
        </w:tc>
        <w:tc>
          <w:tcPr>
            <w:tcW w:w="3016" w:type="dxa"/>
            <w:vAlign w:val="center"/>
          </w:tcPr>
          <w:p w14:paraId="735A6878" w14:textId="77777777" w:rsidR="00EE0371" w:rsidRPr="00EE0371" w:rsidRDefault="00EE0371" w:rsidP="00122606">
            <w:pPr>
              <w:spacing w:before="120" w:after="120" w:line="240" w:lineRule="auto"/>
              <w:rPr>
                <w:rFonts w:ascii="Arial" w:hAnsi="Arial" w:cs="Arial"/>
                <w:sz w:val="20"/>
                <w:szCs w:val="20"/>
              </w:rPr>
            </w:pPr>
            <w:r w:rsidRPr="00EE0371">
              <w:rPr>
                <w:rFonts w:ascii="Arial" w:hAnsi="Arial" w:cs="Arial"/>
                <w:sz w:val="20"/>
                <w:szCs w:val="20"/>
              </w:rPr>
              <w:t>Obrigatório</w:t>
            </w:r>
          </w:p>
          <w:p w14:paraId="6E66A78C" w14:textId="77777777" w:rsidR="00EE0371" w:rsidRPr="00EE0371" w:rsidRDefault="00EE0371" w:rsidP="00122606">
            <w:pPr>
              <w:spacing w:before="120" w:after="120" w:line="240" w:lineRule="auto"/>
              <w:rPr>
                <w:rFonts w:ascii="Arial" w:hAnsi="Arial" w:cs="Arial"/>
                <w:sz w:val="20"/>
                <w:szCs w:val="20"/>
              </w:rPr>
            </w:pPr>
            <w:r w:rsidRPr="00EE0371">
              <w:rPr>
                <w:rFonts w:ascii="Arial" w:hAnsi="Arial" w:cs="Arial"/>
                <w:sz w:val="20"/>
                <w:szCs w:val="20"/>
              </w:rPr>
              <w:t>1 - Tributária</w:t>
            </w:r>
            <w:r w:rsidRPr="00EE0371">
              <w:rPr>
                <w:rFonts w:ascii="Arial" w:hAnsi="Arial" w:cs="Arial"/>
                <w:sz w:val="20"/>
                <w:szCs w:val="20"/>
              </w:rPr>
              <w:br/>
              <w:t>2 - Não Tributária</w:t>
            </w:r>
          </w:p>
        </w:tc>
      </w:tr>
      <w:tr w:rsidR="00EE0371" w:rsidRPr="00EE0371" w14:paraId="6BE523B6" w14:textId="77777777" w:rsidTr="00EE0371">
        <w:trPr>
          <w:jc w:val="center"/>
        </w:trPr>
        <w:tc>
          <w:tcPr>
            <w:tcW w:w="3390" w:type="dxa"/>
            <w:vAlign w:val="center"/>
          </w:tcPr>
          <w:p w14:paraId="0E99B316"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Característica da Dívida Ativa</w:t>
            </w:r>
          </w:p>
        </w:tc>
        <w:tc>
          <w:tcPr>
            <w:tcW w:w="1133" w:type="dxa"/>
            <w:vAlign w:val="center"/>
          </w:tcPr>
          <w:p w14:paraId="397805DF" w14:textId="77777777" w:rsidR="00EE0371" w:rsidRPr="00EE0371" w:rsidRDefault="00EE0371" w:rsidP="00EE0371">
            <w:pPr>
              <w:spacing w:before="120" w:after="120" w:line="240" w:lineRule="auto"/>
              <w:jc w:val="center"/>
              <w:rPr>
                <w:rFonts w:ascii="Arial" w:hAnsi="Arial" w:cs="Arial"/>
                <w:sz w:val="20"/>
                <w:szCs w:val="20"/>
              </w:rPr>
            </w:pPr>
            <w:r w:rsidRPr="00EE0371">
              <w:rPr>
                <w:rFonts w:ascii="Arial" w:hAnsi="Arial" w:cs="Arial"/>
                <w:sz w:val="20"/>
                <w:szCs w:val="20"/>
              </w:rPr>
              <w:t>Inteiro</w:t>
            </w:r>
          </w:p>
        </w:tc>
        <w:tc>
          <w:tcPr>
            <w:tcW w:w="1507" w:type="dxa"/>
            <w:vAlign w:val="center"/>
          </w:tcPr>
          <w:p w14:paraId="4C85FC4D" w14:textId="77777777" w:rsidR="00EE0371" w:rsidRPr="00EE0371" w:rsidRDefault="00EE0371" w:rsidP="00EE0371">
            <w:pPr>
              <w:spacing w:before="120" w:after="120" w:line="240" w:lineRule="auto"/>
              <w:jc w:val="center"/>
              <w:rPr>
                <w:rFonts w:ascii="Arial" w:hAnsi="Arial" w:cs="Arial"/>
                <w:sz w:val="20"/>
                <w:szCs w:val="20"/>
              </w:rPr>
            </w:pPr>
            <w:r w:rsidRPr="00EE0371">
              <w:rPr>
                <w:rFonts w:ascii="Arial" w:hAnsi="Arial" w:cs="Arial"/>
                <w:sz w:val="20"/>
                <w:szCs w:val="20"/>
              </w:rPr>
              <w:t>1</w:t>
            </w:r>
          </w:p>
        </w:tc>
        <w:tc>
          <w:tcPr>
            <w:tcW w:w="3016" w:type="dxa"/>
            <w:vAlign w:val="center"/>
          </w:tcPr>
          <w:p w14:paraId="4B2CE9F8" w14:textId="77777777" w:rsidR="00EE0371" w:rsidRPr="00EE0371" w:rsidRDefault="00EE0371" w:rsidP="00122606">
            <w:pPr>
              <w:spacing w:before="120" w:after="120" w:line="240" w:lineRule="auto"/>
              <w:rPr>
                <w:rFonts w:ascii="Arial" w:hAnsi="Arial" w:cs="Arial"/>
                <w:sz w:val="20"/>
                <w:szCs w:val="20"/>
              </w:rPr>
            </w:pPr>
            <w:r w:rsidRPr="00EE0371">
              <w:rPr>
                <w:rFonts w:ascii="Arial" w:hAnsi="Arial" w:cs="Arial"/>
                <w:sz w:val="20"/>
                <w:szCs w:val="20"/>
              </w:rPr>
              <w:t>Obrigatório</w:t>
            </w:r>
          </w:p>
          <w:p w14:paraId="15189A53" w14:textId="77777777" w:rsidR="00EE0371" w:rsidRPr="00EE0371" w:rsidRDefault="00EE0371" w:rsidP="00122606">
            <w:pPr>
              <w:spacing w:before="120" w:after="120" w:line="240" w:lineRule="auto"/>
              <w:rPr>
                <w:rFonts w:ascii="Arial" w:hAnsi="Arial" w:cs="Arial"/>
                <w:sz w:val="20"/>
                <w:szCs w:val="20"/>
              </w:rPr>
            </w:pPr>
            <w:r w:rsidRPr="00EE0371">
              <w:rPr>
                <w:rFonts w:ascii="Arial" w:hAnsi="Arial" w:cs="Arial"/>
                <w:sz w:val="20"/>
                <w:szCs w:val="20"/>
              </w:rPr>
              <w:t>1 - Originária</w:t>
            </w:r>
            <w:r w:rsidRPr="00EE0371">
              <w:rPr>
                <w:rFonts w:ascii="Arial" w:hAnsi="Arial" w:cs="Arial"/>
                <w:sz w:val="20"/>
                <w:szCs w:val="20"/>
              </w:rPr>
              <w:br/>
              <w:t>2 - Parcelada (renegociada)</w:t>
            </w:r>
          </w:p>
        </w:tc>
      </w:tr>
      <w:tr w:rsidR="00EE0371" w:rsidRPr="00EE0371" w14:paraId="2C759487" w14:textId="77777777" w:rsidTr="00EE0371">
        <w:trPr>
          <w:jc w:val="center"/>
        </w:trPr>
        <w:tc>
          <w:tcPr>
            <w:tcW w:w="3390" w:type="dxa"/>
            <w:vAlign w:val="center"/>
          </w:tcPr>
          <w:p w14:paraId="5097FAD9"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 xml:space="preserve">Código da Conta Contábil </w:t>
            </w:r>
            <w:r w:rsidRPr="00122606">
              <w:rPr>
                <w:rFonts w:ascii="Arial" w:hAnsi="Arial" w:cs="Arial"/>
                <w:b/>
                <w:sz w:val="20"/>
                <w:szCs w:val="20"/>
                <w:vertAlign w:val="superscript"/>
                <w:lang w:eastAsia="pt-BR"/>
              </w:rPr>
              <w:t>[1]</w:t>
            </w:r>
          </w:p>
        </w:tc>
        <w:tc>
          <w:tcPr>
            <w:tcW w:w="1133" w:type="dxa"/>
            <w:vAlign w:val="center"/>
          </w:tcPr>
          <w:p w14:paraId="717F28E0" w14:textId="77777777" w:rsidR="00EE0371" w:rsidRPr="00EE0371" w:rsidRDefault="00EE0371" w:rsidP="00EE0371">
            <w:pPr>
              <w:spacing w:before="120" w:after="120" w:line="240" w:lineRule="auto"/>
              <w:jc w:val="center"/>
              <w:rPr>
                <w:rFonts w:ascii="Arial" w:hAnsi="Arial" w:cs="Arial"/>
                <w:sz w:val="20"/>
                <w:szCs w:val="20"/>
              </w:rPr>
            </w:pPr>
            <w:r w:rsidRPr="00EE0371">
              <w:rPr>
                <w:rFonts w:ascii="Arial" w:hAnsi="Arial" w:cs="Arial"/>
                <w:sz w:val="20"/>
                <w:szCs w:val="20"/>
              </w:rPr>
              <w:t>Inteiro</w:t>
            </w:r>
          </w:p>
        </w:tc>
        <w:tc>
          <w:tcPr>
            <w:tcW w:w="1507" w:type="dxa"/>
            <w:vAlign w:val="center"/>
          </w:tcPr>
          <w:p w14:paraId="3650159B" w14:textId="77777777" w:rsidR="00EE0371" w:rsidRPr="00EE0371" w:rsidRDefault="00EE0371" w:rsidP="00EE0371">
            <w:pPr>
              <w:spacing w:before="120" w:after="120" w:line="240" w:lineRule="auto"/>
              <w:jc w:val="center"/>
              <w:rPr>
                <w:rFonts w:ascii="Arial" w:hAnsi="Arial" w:cs="Arial"/>
                <w:sz w:val="20"/>
                <w:szCs w:val="20"/>
              </w:rPr>
            </w:pPr>
            <w:r w:rsidRPr="00EE0371">
              <w:rPr>
                <w:rFonts w:ascii="Arial" w:hAnsi="Arial" w:cs="Arial"/>
                <w:sz w:val="20"/>
                <w:szCs w:val="20"/>
              </w:rPr>
              <w:t>9</w:t>
            </w:r>
          </w:p>
        </w:tc>
        <w:tc>
          <w:tcPr>
            <w:tcW w:w="3016" w:type="dxa"/>
            <w:vAlign w:val="center"/>
          </w:tcPr>
          <w:p w14:paraId="3959BB71" w14:textId="77777777" w:rsidR="00EE0371" w:rsidRPr="00EE0371" w:rsidRDefault="00EE0371" w:rsidP="00122606">
            <w:pPr>
              <w:spacing w:before="120" w:after="120" w:line="240" w:lineRule="auto"/>
              <w:rPr>
                <w:rFonts w:ascii="Arial" w:hAnsi="Arial" w:cs="Arial"/>
                <w:sz w:val="20"/>
                <w:szCs w:val="20"/>
              </w:rPr>
            </w:pPr>
            <w:r w:rsidRPr="00EE0371">
              <w:rPr>
                <w:rFonts w:ascii="Arial" w:hAnsi="Arial" w:cs="Arial"/>
                <w:sz w:val="20"/>
                <w:szCs w:val="20"/>
              </w:rPr>
              <w:t>Obrigatório</w:t>
            </w:r>
          </w:p>
          <w:p w14:paraId="4278B99D" w14:textId="77777777" w:rsidR="00EE0371" w:rsidRPr="00EE0371" w:rsidRDefault="00EE0371" w:rsidP="00122606">
            <w:pPr>
              <w:spacing w:before="120" w:after="120" w:line="240" w:lineRule="auto"/>
              <w:rPr>
                <w:rFonts w:ascii="Arial" w:hAnsi="Arial" w:cs="Arial"/>
                <w:sz w:val="20"/>
                <w:szCs w:val="20"/>
              </w:rPr>
            </w:pPr>
            <w:r w:rsidRPr="00EE0371">
              <w:rPr>
                <w:rFonts w:ascii="Arial" w:hAnsi="Arial" w:cs="Arial"/>
                <w:sz w:val="20"/>
                <w:szCs w:val="20"/>
              </w:rPr>
              <w:t>Conforme o Código da Conta Contábil (PCASP/TCEES)</w:t>
            </w:r>
          </w:p>
        </w:tc>
      </w:tr>
      <w:tr w:rsidR="00EE0371" w:rsidRPr="00EE0371" w14:paraId="075D40CF" w14:textId="77777777" w:rsidTr="00EE0371">
        <w:trPr>
          <w:jc w:val="center"/>
        </w:trPr>
        <w:tc>
          <w:tcPr>
            <w:tcW w:w="3390" w:type="dxa"/>
            <w:vAlign w:val="center"/>
          </w:tcPr>
          <w:p w14:paraId="35CFC660"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Saldo Inicial no Exercício (Estoque da Dívida Ativa)</w:t>
            </w:r>
            <w:r w:rsidRPr="00EE0371">
              <w:rPr>
                <w:rFonts w:ascii="Arial" w:hAnsi="Arial" w:cs="Arial"/>
                <w:sz w:val="20"/>
                <w:szCs w:val="20"/>
                <w:vertAlign w:val="superscript"/>
              </w:rPr>
              <w:t xml:space="preserve"> </w:t>
            </w:r>
          </w:p>
        </w:tc>
        <w:tc>
          <w:tcPr>
            <w:tcW w:w="1133" w:type="dxa"/>
            <w:vAlign w:val="center"/>
          </w:tcPr>
          <w:p w14:paraId="7EFA27B7" w14:textId="77777777" w:rsidR="00EE0371" w:rsidRPr="00EE0371" w:rsidRDefault="00EE0371" w:rsidP="00EE0371">
            <w:pPr>
              <w:spacing w:before="120" w:after="120" w:line="240" w:lineRule="auto"/>
              <w:jc w:val="center"/>
              <w:rPr>
                <w:rFonts w:ascii="Arial" w:hAnsi="Arial" w:cs="Arial"/>
                <w:sz w:val="20"/>
                <w:szCs w:val="20"/>
              </w:rPr>
            </w:pPr>
            <w:r w:rsidRPr="00EE0371">
              <w:rPr>
                <w:rFonts w:ascii="Arial" w:hAnsi="Arial" w:cs="Arial"/>
                <w:sz w:val="20"/>
                <w:szCs w:val="20"/>
              </w:rPr>
              <w:t>Decimal</w:t>
            </w:r>
          </w:p>
        </w:tc>
        <w:tc>
          <w:tcPr>
            <w:tcW w:w="1507" w:type="dxa"/>
            <w:vAlign w:val="center"/>
          </w:tcPr>
          <w:p w14:paraId="5DD28553" w14:textId="77777777" w:rsidR="00EE0371" w:rsidRPr="00EE0371" w:rsidRDefault="00EE0371" w:rsidP="00EE0371">
            <w:pPr>
              <w:spacing w:before="120" w:after="120" w:line="240" w:lineRule="auto"/>
              <w:jc w:val="center"/>
              <w:rPr>
                <w:rFonts w:ascii="Arial" w:hAnsi="Arial" w:cs="Arial"/>
                <w:sz w:val="20"/>
                <w:szCs w:val="20"/>
              </w:rPr>
            </w:pPr>
            <w:r w:rsidRPr="00EE0371">
              <w:rPr>
                <w:rFonts w:ascii="Arial" w:hAnsi="Arial" w:cs="Arial"/>
                <w:sz w:val="20"/>
                <w:szCs w:val="20"/>
              </w:rPr>
              <w:t>14,2</w:t>
            </w:r>
          </w:p>
        </w:tc>
        <w:tc>
          <w:tcPr>
            <w:tcW w:w="3016" w:type="dxa"/>
            <w:vAlign w:val="center"/>
          </w:tcPr>
          <w:p w14:paraId="7051A614" w14:textId="77777777" w:rsidR="00EE0371" w:rsidRPr="00EE0371" w:rsidRDefault="00EE0371" w:rsidP="00122606">
            <w:pPr>
              <w:spacing w:before="120" w:after="120" w:line="240" w:lineRule="auto"/>
              <w:rPr>
                <w:rFonts w:ascii="Arial" w:hAnsi="Arial" w:cs="Arial"/>
                <w:sz w:val="20"/>
                <w:szCs w:val="20"/>
              </w:rPr>
            </w:pPr>
            <w:r w:rsidRPr="00EE0371">
              <w:rPr>
                <w:rFonts w:ascii="Arial" w:hAnsi="Arial" w:cs="Arial"/>
                <w:sz w:val="20"/>
                <w:szCs w:val="20"/>
              </w:rPr>
              <w:t xml:space="preserve">Obrigatório </w:t>
            </w:r>
          </w:p>
        </w:tc>
      </w:tr>
      <w:tr w:rsidR="00EE0371" w:rsidRPr="00EE0371" w14:paraId="14F050A7" w14:textId="77777777" w:rsidTr="00EE0371">
        <w:trPr>
          <w:jc w:val="center"/>
        </w:trPr>
        <w:tc>
          <w:tcPr>
            <w:tcW w:w="3390" w:type="dxa"/>
            <w:vAlign w:val="center"/>
          </w:tcPr>
          <w:p w14:paraId="1F8BFC46"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Acréscimos por Inscrições no Exercício</w:t>
            </w:r>
          </w:p>
        </w:tc>
        <w:tc>
          <w:tcPr>
            <w:tcW w:w="1133" w:type="dxa"/>
            <w:vAlign w:val="center"/>
          </w:tcPr>
          <w:p w14:paraId="5859D050" w14:textId="77777777" w:rsidR="00EE0371" w:rsidRPr="00EE0371" w:rsidRDefault="00EE0371" w:rsidP="00EE0371">
            <w:pPr>
              <w:spacing w:before="120" w:after="120" w:line="240" w:lineRule="auto"/>
              <w:jc w:val="center"/>
              <w:rPr>
                <w:rFonts w:ascii="Arial" w:hAnsi="Arial" w:cs="Arial"/>
                <w:sz w:val="20"/>
                <w:szCs w:val="20"/>
              </w:rPr>
            </w:pPr>
            <w:r w:rsidRPr="00EE0371">
              <w:rPr>
                <w:rFonts w:ascii="Arial" w:hAnsi="Arial" w:cs="Arial"/>
                <w:sz w:val="20"/>
                <w:szCs w:val="20"/>
              </w:rPr>
              <w:t>Decimal</w:t>
            </w:r>
          </w:p>
        </w:tc>
        <w:tc>
          <w:tcPr>
            <w:tcW w:w="1507" w:type="dxa"/>
            <w:vAlign w:val="center"/>
          </w:tcPr>
          <w:p w14:paraId="08996076" w14:textId="77777777" w:rsidR="00EE0371" w:rsidRPr="00EE0371" w:rsidRDefault="00EE0371" w:rsidP="00EE0371">
            <w:pPr>
              <w:spacing w:before="120" w:after="120" w:line="240" w:lineRule="auto"/>
              <w:jc w:val="center"/>
              <w:rPr>
                <w:rFonts w:ascii="Arial" w:hAnsi="Arial" w:cs="Arial"/>
                <w:sz w:val="20"/>
                <w:szCs w:val="20"/>
              </w:rPr>
            </w:pPr>
            <w:r w:rsidRPr="00EE0371">
              <w:rPr>
                <w:rFonts w:ascii="Arial" w:hAnsi="Arial" w:cs="Arial"/>
                <w:sz w:val="20"/>
                <w:szCs w:val="20"/>
              </w:rPr>
              <w:t>14,2</w:t>
            </w:r>
          </w:p>
        </w:tc>
        <w:tc>
          <w:tcPr>
            <w:tcW w:w="3016" w:type="dxa"/>
            <w:vAlign w:val="center"/>
          </w:tcPr>
          <w:p w14:paraId="7F1648B5" w14:textId="77777777" w:rsidR="00EE0371" w:rsidRPr="00EE0371" w:rsidRDefault="00EE0371" w:rsidP="00122606">
            <w:pPr>
              <w:spacing w:before="120" w:after="120" w:line="240" w:lineRule="auto"/>
              <w:rPr>
                <w:rFonts w:ascii="Arial" w:hAnsi="Arial" w:cs="Arial"/>
                <w:sz w:val="20"/>
                <w:szCs w:val="20"/>
              </w:rPr>
            </w:pPr>
            <w:r w:rsidRPr="00EE0371">
              <w:rPr>
                <w:rFonts w:ascii="Arial" w:hAnsi="Arial" w:cs="Arial"/>
                <w:sz w:val="20"/>
                <w:szCs w:val="20"/>
              </w:rPr>
              <w:t>Obrigatório</w:t>
            </w:r>
          </w:p>
        </w:tc>
      </w:tr>
      <w:tr w:rsidR="00EE0371" w:rsidRPr="00EE0371" w14:paraId="2723A757" w14:textId="77777777" w:rsidTr="00EE0371">
        <w:trPr>
          <w:jc w:val="center"/>
        </w:trPr>
        <w:tc>
          <w:tcPr>
            <w:tcW w:w="3390" w:type="dxa"/>
            <w:vAlign w:val="center"/>
          </w:tcPr>
          <w:p w14:paraId="6252C4BF"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Acréscimos por Juros</w:t>
            </w:r>
          </w:p>
        </w:tc>
        <w:tc>
          <w:tcPr>
            <w:tcW w:w="1133" w:type="dxa"/>
            <w:vAlign w:val="center"/>
          </w:tcPr>
          <w:p w14:paraId="1C52C86D" w14:textId="77777777" w:rsidR="00EE0371" w:rsidRPr="00EE0371" w:rsidRDefault="00EE0371" w:rsidP="00EE0371">
            <w:pPr>
              <w:spacing w:before="120" w:after="120" w:line="240" w:lineRule="auto"/>
              <w:jc w:val="center"/>
              <w:rPr>
                <w:rFonts w:ascii="Arial" w:hAnsi="Arial" w:cs="Arial"/>
                <w:sz w:val="20"/>
                <w:szCs w:val="20"/>
              </w:rPr>
            </w:pPr>
            <w:r w:rsidRPr="00EE0371">
              <w:rPr>
                <w:rFonts w:ascii="Arial" w:hAnsi="Arial" w:cs="Arial"/>
                <w:sz w:val="20"/>
                <w:szCs w:val="20"/>
              </w:rPr>
              <w:t>Decimal</w:t>
            </w:r>
          </w:p>
        </w:tc>
        <w:tc>
          <w:tcPr>
            <w:tcW w:w="1507" w:type="dxa"/>
            <w:vAlign w:val="center"/>
          </w:tcPr>
          <w:p w14:paraId="2EDFCCCC" w14:textId="77777777" w:rsidR="00EE0371" w:rsidRPr="00EE0371" w:rsidRDefault="00EE0371" w:rsidP="00EE0371">
            <w:pPr>
              <w:spacing w:before="120" w:after="120" w:line="240" w:lineRule="auto"/>
              <w:jc w:val="center"/>
              <w:rPr>
                <w:rFonts w:ascii="Arial" w:hAnsi="Arial" w:cs="Arial"/>
                <w:sz w:val="20"/>
                <w:szCs w:val="20"/>
              </w:rPr>
            </w:pPr>
            <w:r w:rsidRPr="00EE0371">
              <w:rPr>
                <w:rFonts w:ascii="Arial" w:hAnsi="Arial" w:cs="Arial"/>
                <w:sz w:val="20"/>
                <w:szCs w:val="20"/>
              </w:rPr>
              <w:t>14,2</w:t>
            </w:r>
          </w:p>
        </w:tc>
        <w:tc>
          <w:tcPr>
            <w:tcW w:w="3016" w:type="dxa"/>
            <w:vAlign w:val="center"/>
          </w:tcPr>
          <w:p w14:paraId="5AC087B9" w14:textId="77777777" w:rsidR="00EE0371" w:rsidRPr="00EE0371" w:rsidRDefault="00EE0371" w:rsidP="00122606">
            <w:pPr>
              <w:spacing w:before="120" w:after="120" w:line="240" w:lineRule="auto"/>
              <w:rPr>
                <w:rFonts w:ascii="Arial" w:hAnsi="Arial" w:cs="Arial"/>
                <w:sz w:val="20"/>
                <w:szCs w:val="20"/>
              </w:rPr>
            </w:pPr>
            <w:r w:rsidRPr="00EE0371">
              <w:rPr>
                <w:rFonts w:ascii="Arial" w:hAnsi="Arial" w:cs="Arial"/>
                <w:sz w:val="20"/>
                <w:szCs w:val="20"/>
              </w:rPr>
              <w:t>Obrigatório</w:t>
            </w:r>
          </w:p>
        </w:tc>
      </w:tr>
      <w:tr w:rsidR="00EE0371" w:rsidRPr="00EE0371" w14:paraId="4B167E83" w14:textId="77777777" w:rsidTr="00EE0371">
        <w:trPr>
          <w:jc w:val="center"/>
        </w:trPr>
        <w:tc>
          <w:tcPr>
            <w:tcW w:w="3390" w:type="dxa"/>
            <w:vAlign w:val="center"/>
          </w:tcPr>
          <w:p w14:paraId="1DD773FF"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Acréscimos por  Multas</w:t>
            </w:r>
          </w:p>
        </w:tc>
        <w:tc>
          <w:tcPr>
            <w:tcW w:w="1133" w:type="dxa"/>
            <w:vAlign w:val="center"/>
          </w:tcPr>
          <w:p w14:paraId="6D89CABC" w14:textId="77777777" w:rsidR="00EE0371" w:rsidRPr="00EE0371" w:rsidRDefault="00EE0371" w:rsidP="00EE0371">
            <w:pPr>
              <w:spacing w:before="120" w:after="120" w:line="240" w:lineRule="auto"/>
              <w:jc w:val="center"/>
              <w:rPr>
                <w:rFonts w:ascii="Arial" w:hAnsi="Arial" w:cs="Arial"/>
                <w:sz w:val="20"/>
                <w:szCs w:val="20"/>
              </w:rPr>
            </w:pPr>
            <w:r w:rsidRPr="00EE0371">
              <w:rPr>
                <w:rFonts w:ascii="Arial" w:hAnsi="Arial" w:cs="Arial"/>
                <w:sz w:val="20"/>
                <w:szCs w:val="20"/>
              </w:rPr>
              <w:t>Decimal</w:t>
            </w:r>
          </w:p>
        </w:tc>
        <w:tc>
          <w:tcPr>
            <w:tcW w:w="1507" w:type="dxa"/>
            <w:vAlign w:val="center"/>
          </w:tcPr>
          <w:p w14:paraId="5A338AFA" w14:textId="77777777" w:rsidR="00EE0371" w:rsidRPr="00EE0371" w:rsidRDefault="00EE0371" w:rsidP="00EE0371">
            <w:pPr>
              <w:spacing w:before="120" w:after="120" w:line="240" w:lineRule="auto"/>
              <w:jc w:val="center"/>
              <w:rPr>
                <w:rFonts w:ascii="Arial" w:hAnsi="Arial" w:cs="Arial"/>
                <w:sz w:val="20"/>
                <w:szCs w:val="20"/>
              </w:rPr>
            </w:pPr>
            <w:r w:rsidRPr="00EE0371">
              <w:rPr>
                <w:rFonts w:ascii="Arial" w:hAnsi="Arial" w:cs="Arial"/>
                <w:sz w:val="20"/>
                <w:szCs w:val="20"/>
              </w:rPr>
              <w:t>14,2</w:t>
            </w:r>
          </w:p>
        </w:tc>
        <w:tc>
          <w:tcPr>
            <w:tcW w:w="3016" w:type="dxa"/>
            <w:vAlign w:val="center"/>
          </w:tcPr>
          <w:p w14:paraId="06677C41" w14:textId="77777777" w:rsidR="00EE0371" w:rsidRPr="00EE0371" w:rsidRDefault="00EE0371" w:rsidP="00122606">
            <w:pPr>
              <w:spacing w:before="120" w:after="120" w:line="240" w:lineRule="auto"/>
              <w:rPr>
                <w:rFonts w:ascii="Arial" w:hAnsi="Arial" w:cs="Arial"/>
                <w:sz w:val="20"/>
                <w:szCs w:val="20"/>
              </w:rPr>
            </w:pPr>
            <w:r w:rsidRPr="00EE0371">
              <w:rPr>
                <w:rFonts w:ascii="Arial" w:hAnsi="Arial" w:cs="Arial"/>
                <w:sz w:val="20"/>
                <w:szCs w:val="20"/>
              </w:rPr>
              <w:t xml:space="preserve">Obrigatório </w:t>
            </w:r>
          </w:p>
        </w:tc>
      </w:tr>
      <w:tr w:rsidR="00EE0371" w:rsidRPr="00EE0371" w14:paraId="21439E86" w14:textId="77777777" w:rsidTr="00EE0371">
        <w:trPr>
          <w:jc w:val="center"/>
        </w:trPr>
        <w:tc>
          <w:tcPr>
            <w:tcW w:w="3390" w:type="dxa"/>
            <w:vAlign w:val="center"/>
          </w:tcPr>
          <w:p w14:paraId="39004A92"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Acréscimos por Atualização Monetária</w:t>
            </w:r>
          </w:p>
        </w:tc>
        <w:tc>
          <w:tcPr>
            <w:tcW w:w="1133" w:type="dxa"/>
            <w:vAlign w:val="center"/>
          </w:tcPr>
          <w:p w14:paraId="5B399ADB" w14:textId="77777777" w:rsidR="00EE0371" w:rsidRPr="00EE0371" w:rsidRDefault="00EE0371" w:rsidP="00EE0371">
            <w:pPr>
              <w:spacing w:before="120" w:after="120" w:line="240" w:lineRule="auto"/>
              <w:jc w:val="center"/>
              <w:rPr>
                <w:rFonts w:ascii="Arial" w:hAnsi="Arial" w:cs="Arial"/>
                <w:sz w:val="20"/>
                <w:szCs w:val="20"/>
              </w:rPr>
            </w:pPr>
            <w:r w:rsidRPr="00EE0371">
              <w:rPr>
                <w:rFonts w:ascii="Arial" w:hAnsi="Arial" w:cs="Arial"/>
                <w:sz w:val="20"/>
                <w:szCs w:val="20"/>
              </w:rPr>
              <w:t>Decimal</w:t>
            </w:r>
          </w:p>
        </w:tc>
        <w:tc>
          <w:tcPr>
            <w:tcW w:w="1507" w:type="dxa"/>
            <w:vAlign w:val="center"/>
          </w:tcPr>
          <w:p w14:paraId="4BF698E7" w14:textId="77777777" w:rsidR="00EE0371" w:rsidRPr="00EE0371" w:rsidRDefault="00EE0371" w:rsidP="00EE0371">
            <w:pPr>
              <w:spacing w:before="120" w:after="120" w:line="240" w:lineRule="auto"/>
              <w:jc w:val="center"/>
              <w:rPr>
                <w:rFonts w:ascii="Arial" w:hAnsi="Arial" w:cs="Arial"/>
                <w:sz w:val="20"/>
                <w:szCs w:val="20"/>
              </w:rPr>
            </w:pPr>
            <w:r w:rsidRPr="00EE0371">
              <w:rPr>
                <w:rFonts w:ascii="Arial" w:hAnsi="Arial" w:cs="Arial"/>
                <w:sz w:val="20"/>
                <w:szCs w:val="20"/>
              </w:rPr>
              <w:t>14,2</w:t>
            </w:r>
          </w:p>
        </w:tc>
        <w:tc>
          <w:tcPr>
            <w:tcW w:w="3016" w:type="dxa"/>
            <w:vAlign w:val="center"/>
          </w:tcPr>
          <w:p w14:paraId="4E54AB7C" w14:textId="77777777" w:rsidR="00EE0371" w:rsidRPr="00EE0371" w:rsidRDefault="00EE0371" w:rsidP="00122606">
            <w:pPr>
              <w:spacing w:before="120" w:after="120" w:line="240" w:lineRule="auto"/>
              <w:rPr>
                <w:rFonts w:ascii="Arial" w:hAnsi="Arial" w:cs="Arial"/>
                <w:sz w:val="20"/>
                <w:szCs w:val="20"/>
              </w:rPr>
            </w:pPr>
            <w:r w:rsidRPr="00EE0371">
              <w:rPr>
                <w:rFonts w:ascii="Arial" w:hAnsi="Arial" w:cs="Arial"/>
                <w:sz w:val="20"/>
                <w:szCs w:val="20"/>
              </w:rPr>
              <w:t>Obrigatório</w:t>
            </w:r>
          </w:p>
        </w:tc>
      </w:tr>
      <w:tr w:rsidR="00EE0371" w:rsidRPr="00EE0371" w14:paraId="21110964" w14:textId="77777777" w:rsidTr="00EE0371">
        <w:trPr>
          <w:jc w:val="center"/>
        </w:trPr>
        <w:tc>
          <w:tcPr>
            <w:tcW w:w="3390" w:type="dxa"/>
            <w:vAlign w:val="center"/>
          </w:tcPr>
          <w:p w14:paraId="3A25326D"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Acréscimos por Outros Encargos</w:t>
            </w:r>
          </w:p>
        </w:tc>
        <w:tc>
          <w:tcPr>
            <w:tcW w:w="1133" w:type="dxa"/>
            <w:vAlign w:val="center"/>
          </w:tcPr>
          <w:p w14:paraId="400C5ED5" w14:textId="77777777" w:rsidR="00EE0371" w:rsidRPr="00EE0371" w:rsidRDefault="00EE0371" w:rsidP="00EE0371">
            <w:pPr>
              <w:spacing w:before="120" w:after="120" w:line="240" w:lineRule="auto"/>
              <w:jc w:val="center"/>
              <w:rPr>
                <w:rFonts w:ascii="Arial" w:hAnsi="Arial" w:cs="Arial"/>
                <w:sz w:val="20"/>
                <w:szCs w:val="20"/>
              </w:rPr>
            </w:pPr>
            <w:r w:rsidRPr="00EE0371">
              <w:rPr>
                <w:rFonts w:ascii="Arial" w:hAnsi="Arial" w:cs="Arial"/>
                <w:sz w:val="20"/>
                <w:szCs w:val="20"/>
              </w:rPr>
              <w:t>Decimal</w:t>
            </w:r>
          </w:p>
        </w:tc>
        <w:tc>
          <w:tcPr>
            <w:tcW w:w="1507" w:type="dxa"/>
            <w:vAlign w:val="center"/>
          </w:tcPr>
          <w:p w14:paraId="359EE60D" w14:textId="77777777" w:rsidR="00EE0371" w:rsidRPr="00EE0371" w:rsidRDefault="00EE0371" w:rsidP="00EE0371">
            <w:pPr>
              <w:spacing w:before="120" w:after="120" w:line="240" w:lineRule="auto"/>
              <w:jc w:val="center"/>
              <w:rPr>
                <w:rFonts w:ascii="Arial" w:hAnsi="Arial" w:cs="Arial"/>
                <w:sz w:val="20"/>
                <w:szCs w:val="20"/>
              </w:rPr>
            </w:pPr>
            <w:r w:rsidRPr="00EE0371">
              <w:rPr>
                <w:rFonts w:ascii="Arial" w:hAnsi="Arial" w:cs="Arial"/>
                <w:sz w:val="20"/>
                <w:szCs w:val="20"/>
              </w:rPr>
              <w:t>14,2</w:t>
            </w:r>
          </w:p>
        </w:tc>
        <w:tc>
          <w:tcPr>
            <w:tcW w:w="3016" w:type="dxa"/>
            <w:vAlign w:val="center"/>
          </w:tcPr>
          <w:p w14:paraId="2BEC3DF1" w14:textId="77777777" w:rsidR="00EE0371" w:rsidRPr="00EE0371" w:rsidRDefault="00EE0371" w:rsidP="00122606">
            <w:pPr>
              <w:spacing w:before="120" w:after="120" w:line="240" w:lineRule="auto"/>
              <w:rPr>
                <w:rFonts w:ascii="Arial" w:hAnsi="Arial" w:cs="Arial"/>
                <w:sz w:val="20"/>
                <w:szCs w:val="20"/>
              </w:rPr>
            </w:pPr>
            <w:r w:rsidRPr="00EE0371">
              <w:rPr>
                <w:rFonts w:ascii="Arial" w:hAnsi="Arial" w:cs="Arial"/>
                <w:sz w:val="20"/>
                <w:szCs w:val="20"/>
              </w:rPr>
              <w:t>Obrigatório</w:t>
            </w:r>
          </w:p>
        </w:tc>
      </w:tr>
      <w:tr w:rsidR="00EE0371" w:rsidRPr="00EE0371" w14:paraId="2356254F" w14:textId="77777777" w:rsidTr="00EE0371">
        <w:trPr>
          <w:jc w:val="center"/>
        </w:trPr>
        <w:tc>
          <w:tcPr>
            <w:tcW w:w="3390" w:type="dxa"/>
            <w:vAlign w:val="center"/>
          </w:tcPr>
          <w:p w14:paraId="25A1F5B4"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Baixas por Recebimentos - Em Espécie</w:t>
            </w:r>
          </w:p>
        </w:tc>
        <w:tc>
          <w:tcPr>
            <w:tcW w:w="1133" w:type="dxa"/>
            <w:vAlign w:val="center"/>
          </w:tcPr>
          <w:p w14:paraId="515BD2F5" w14:textId="77777777" w:rsidR="00EE0371" w:rsidRPr="00EE0371" w:rsidRDefault="00EE0371" w:rsidP="00EE0371">
            <w:pPr>
              <w:spacing w:before="120" w:after="120" w:line="240" w:lineRule="auto"/>
              <w:jc w:val="center"/>
              <w:rPr>
                <w:rFonts w:ascii="Arial" w:hAnsi="Arial" w:cs="Arial"/>
                <w:sz w:val="20"/>
                <w:szCs w:val="20"/>
              </w:rPr>
            </w:pPr>
            <w:r w:rsidRPr="00EE0371">
              <w:rPr>
                <w:rFonts w:ascii="Arial" w:hAnsi="Arial" w:cs="Arial"/>
                <w:sz w:val="20"/>
                <w:szCs w:val="20"/>
              </w:rPr>
              <w:t>Decimal</w:t>
            </w:r>
          </w:p>
        </w:tc>
        <w:tc>
          <w:tcPr>
            <w:tcW w:w="1507" w:type="dxa"/>
            <w:vAlign w:val="center"/>
          </w:tcPr>
          <w:p w14:paraId="4AB8CF4E" w14:textId="77777777" w:rsidR="00EE0371" w:rsidRPr="00EE0371" w:rsidRDefault="00EE0371" w:rsidP="00EE0371">
            <w:pPr>
              <w:spacing w:before="120" w:after="120" w:line="240" w:lineRule="auto"/>
              <w:jc w:val="center"/>
              <w:rPr>
                <w:rFonts w:ascii="Arial" w:hAnsi="Arial" w:cs="Arial"/>
                <w:sz w:val="20"/>
                <w:szCs w:val="20"/>
              </w:rPr>
            </w:pPr>
            <w:r w:rsidRPr="00EE0371">
              <w:rPr>
                <w:rFonts w:ascii="Arial" w:hAnsi="Arial" w:cs="Arial"/>
                <w:sz w:val="20"/>
                <w:szCs w:val="20"/>
              </w:rPr>
              <w:t>14,2</w:t>
            </w:r>
          </w:p>
        </w:tc>
        <w:tc>
          <w:tcPr>
            <w:tcW w:w="3016" w:type="dxa"/>
            <w:vAlign w:val="center"/>
          </w:tcPr>
          <w:p w14:paraId="2EF5B60F" w14:textId="77777777" w:rsidR="00EE0371" w:rsidRPr="00EE0371" w:rsidRDefault="00EE0371" w:rsidP="00122606">
            <w:pPr>
              <w:spacing w:before="120" w:after="120" w:line="240" w:lineRule="auto"/>
              <w:rPr>
                <w:rFonts w:ascii="Arial" w:hAnsi="Arial" w:cs="Arial"/>
                <w:sz w:val="20"/>
                <w:szCs w:val="20"/>
              </w:rPr>
            </w:pPr>
            <w:r w:rsidRPr="00EE0371">
              <w:rPr>
                <w:rFonts w:ascii="Arial" w:hAnsi="Arial" w:cs="Arial"/>
                <w:sz w:val="20"/>
                <w:szCs w:val="20"/>
              </w:rPr>
              <w:t xml:space="preserve">Obrigatório </w:t>
            </w:r>
          </w:p>
        </w:tc>
      </w:tr>
      <w:tr w:rsidR="00EE0371" w:rsidRPr="00EE0371" w14:paraId="6334C2F7" w14:textId="77777777" w:rsidTr="00EE0371">
        <w:trPr>
          <w:jc w:val="center"/>
        </w:trPr>
        <w:tc>
          <w:tcPr>
            <w:tcW w:w="3390" w:type="dxa"/>
            <w:vAlign w:val="center"/>
          </w:tcPr>
          <w:p w14:paraId="3AE20298"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Baixas por Recebimentos - Em Bens e Direitos</w:t>
            </w:r>
          </w:p>
        </w:tc>
        <w:tc>
          <w:tcPr>
            <w:tcW w:w="1133" w:type="dxa"/>
            <w:vAlign w:val="center"/>
          </w:tcPr>
          <w:p w14:paraId="0B8A5238" w14:textId="77777777" w:rsidR="00EE0371" w:rsidRPr="00EE0371" w:rsidRDefault="00EE0371" w:rsidP="00EE0371">
            <w:pPr>
              <w:spacing w:before="120" w:after="120" w:line="240" w:lineRule="auto"/>
              <w:jc w:val="center"/>
              <w:rPr>
                <w:rFonts w:ascii="Arial" w:hAnsi="Arial" w:cs="Arial"/>
                <w:sz w:val="20"/>
                <w:szCs w:val="20"/>
              </w:rPr>
            </w:pPr>
            <w:r w:rsidRPr="00EE0371">
              <w:rPr>
                <w:rFonts w:ascii="Arial" w:hAnsi="Arial" w:cs="Arial"/>
                <w:sz w:val="20"/>
                <w:szCs w:val="20"/>
              </w:rPr>
              <w:t>Decimal</w:t>
            </w:r>
          </w:p>
        </w:tc>
        <w:tc>
          <w:tcPr>
            <w:tcW w:w="1507" w:type="dxa"/>
            <w:vAlign w:val="center"/>
          </w:tcPr>
          <w:p w14:paraId="5480EF61" w14:textId="77777777" w:rsidR="00EE0371" w:rsidRPr="00EE0371" w:rsidRDefault="00EE0371" w:rsidP="00EE0371">
            <w:pPr>
              <w:spacing w:before="120" w:after="120" w:line="240" w:lineRule="auto"/>
              <w:jc w:val="center"/>
              <w:rPr>
                <w:rFonts w:ascii="Arial" w:hAnsi="Arial" w:cs="Arial"/>
                <w:sz w:val="20"/>
                <w:szCs w:val="20"/>
              </w:rPr>
            </w:pPr>
            <w:r w:rsidRPr="00EE0371">
              <w:rPr>
                <w:rFonts w:ascii="Arial" w:hAnsi="Arial" w:cs="Arial"/>
                <w:sz w:val="20"/>
                <w:szCs w:val="20"/>
              </w:rPr>
              <w:t>14,2</w:t>
            </w:r>
          </w:p>
        </w:tc>
        <w:tc>
          <w:tcPr>
            <w:tcW w:w="3016" w:type="dxa"/>
            <w:vAlign w:val="center"/>
          </w:tcPr>
          <w:p w14:paraId="716C4F8D" w14:textId="77777777" w:rsidR="00EE0371" w:rsidRPr="00EE0371" w:rsidRDefault="00EE0371" w:rsidP="00122606">
            <w:pPr>
              <w:spacing w:before="120" w:after="120" w:line="240" w:lineRule="auto"/>
              <w:rPr>
                <w:rFonts w:ascii="Arial" w:hAnsi="Arial" w:cs="Arial"/>
                <w:sz w:val="20"/>
                <w:szCs w:val="20"/>
              </w:rPr>
            </w:pPr>
            <w:r w:rsidRPr="00EE0371">
              <w:rPr>
                <w:rFonts w:ascii="Arial" w:hAnsi="Arial" w:cs="Arial"/>
                <w:sz w:val="20"/>
                <w:szCs w:val="20"/>
              </w:rPr>
              <w:t>Obrigatório</w:t>
            </w:r>
          </w:p>
        </w:tc>
      </w:tr>
      <w:tr w:rsidR="00EE0371" w:rsidRPr="00EE0371" w14:paraId="1519271B" w14:textId="77777777" w:rsidTr="00EE0371">
        <w:trPr>
          <w:jc w:val="center"/>
        </w:trPr>
        <w:tc>
          <w:tcPr>
            <w:tcW w:w="3390" w:type="dxa"/>
            <w:vAlign w:val="center"/>
          </w:tcPr>
          <w:p w14:paraId="7A28698D"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Baixas por Abatimentos / Anistias / Remissões</w:t>
            </w:r>
          </w:p>
        </w:tc>
        <w:tc>
          <w:tcPr>
            <w:tcW w:w="1133" w:type="dxa"/>
            <w:vAlign w:val="center"/>
          </w:tcPr>
          <w:p w14:paraId="7B662EAB" w14:textId="77777777" w:rsidR="00EE0371" w:rsidRPr="00EE0371" w:rsidRDefault="00EE0371" w:rsidP="00EE0371">
            <w:pPr>
              <w:spacing w:before="120" w:after="120" w:line="240" w:lineRule="auto"/>
              <w:jc w:val="center"/>
              <w:rPr>
                <w:rFonts w:ascii="Arial" w:hAnsi="Arial" w:cs="Arial"/>
                <w:sz w:val="20"/>
                <w:szCs w:val="20"/>
              </w:rPr>
            </w:pPr>
            <w:r w:rsidRPr="00EE0371">
              <w:rPr>
                <w:rFonts w:ascii="Arial" w:hAnsi="Arial" w:cs="Arial"/>
                <w:sz w:val="20"/>
                <w:szCs w:val="20"/>
              </w:rPr>
              <w:t>Decimal</w:t>
            </w:r>
          </w:p>
        </w:tc>
        <w:tc>
          <w:tcPr>
            <w:tcW w:w="1507" w:type="dxa"/>
            <w:vAlign w:val="center"/>
          </w:tcPr>
          <w:p w14:paraId="1A195E6B" w14:textId="77777777" w:rsidR="00EE0371" w:rsidRPr="00EE0371" w:rsidRDefault="00EE0371" w:rsidP="00EE0371">
            <w:pPr>
              <w:spacing w:before="120" w:after="120" w:line="240" w:lineRule="auto"/>
              <w:jc w:val="center"/>
              <w:rPr>
                <w:rFonts w:ascii="Arial" w:hAnsi="Arial" w:cs="Arial"/>
                <w:sz w:val="20"/>
                <w:szCs w:val="20"/>
              </w:rPr>
            </w:pPr>
            <w:r w:rsidRPr="00EE0371">
              <w:rPr>
                <w:rFonts w:ascii="Arial" w:hAnsi="Arial" w:cs="Arial"/>
                <w:sz w:val="20"/>
                <w:szCs w:val="20"/>
              </w:rPr>
              <w:t>14,2</w:t>
            </w:r>
          </w:p>
        </w:tc>
        <w:tc>
          <w:tcPr>
            <w:tcW w:w="3016" w:type="dxa"/>
            <w:vAlign w:val="center"/>
          </w:tcPr>
          <w:p w14:paraId="5A47F1EE" w14:textId="77777777" w:rsidR="00EE0371" w:rsidRPr="00EE0371" w:rsidRDefault="00EE0371" w:rsidP="00122606">
            <w:pPr>
              <w:spacing w:before="120" w:after="120" w:line="240" w:lineRule="auto"/>
              <w:rPr>
                <w:rFonts w:ascii="Arial" w:hAnsi="Arial" w:cs="Arial"/>
                <w:sz w:val="20"/>
                <w:szCs w:val="20"/>
              </w:rPr>
            </w:pPr>
            <w:r w:rsidRPr="00EE0371">
              <w:rPr>
                <w:rFonts w:ascii="Arial" w:hAnsi="Arial" w:cs="Arial"/>
                <w:sz w:val="20"/>
                <w:szCs w:val="20"/>
              </w:rPr>
              <w:t xml:space="preserve">Obrigatório </w:t>
            </w:r>
          </w:p>
        </w:tc>
      </w:tr>
      <w:tr w:rsidR="00EE0371" w:rsidRPr="00EE0371" w14:paraId="6B92CF3F" w14:textId="77777777" w:rsidTr="00EE0371">
        <w:trPr>
          <w:jc w:val="center"/>
        </w:trPr>
        <w:tc>
          <w:tcPr>
            <w:tcW w:w="3390" w:type="dxa"/>
            <w:vAlign w:val="center"/>
          </w:tcPr>
          <w:p w14:paraId="00FE0304"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 xml:space="preserve">Autorização legislativa (nº da lei/ano) para as baixas por Abatimentos / Anistias / Remissões </w:t>
            </w:r>
            <w:r w:rsidRPr="00122606">
              <w:rPr>
                <w:rFonts w:ascii="Arial" w:hAnsi="Arial" w:cs="Arial"/>
                <w:b/>
                <w:sz w:val="20"/>
                <w:szCs w:val="20"/>
                <w:vertAlign w:val="superscript"/>
                <w:lang w:eastAsia="pt-BR"/>
              </w:rPr>
              <w:t>[2]</w:t>
            </w:r>
          </w:p>
        </w:tc>
        <w:tc>
          <w:tcPr>
            <w:tcW w:w="1133" w:type="dxa"/>
            <w:vAlign w:val="center"/>
          </w:tcPr>
          <w:p w14:paraId="2BC65984" w14:textId="77777777" w:rsidR="00EE0371" w:rsidRPr="00EE0371" w:rsidRDefault="00EE0371" w:rsidP="00EE0371">
            <w:pPr>
              <w:spacing w:before="120" w:after="120" w:line="240" w:lineRule="auto"/>
              <w:jc w:val="center"/>
              <w:rPr>
                <w:rFonts w:ascii="Arial" w:hAnsi="Arial" w:cs="Arial"/>
                <w:sz w:val="20"/>
                <w:szCs w:val="20"/>
              </w:rPr>
            </w:pPr>
            <w:r w:rsidRPr="00EE0371">
              <w:rPr>
                <w:rFonts w:ascii="Arial" w:hAnsi="Arial" w:cs="Arial"/>
                <w:sz w:val="20"/>
                <w:szCs w:val="20"/>
              </w:rPr>
              <w:t>Caracter</w:t>
            </w:r>
          </w:p>
        </w:tc>
        <w:tc>
          <w:tcPr>
            <w:tcW w:w="1507" w:type="dxa"/>
            <w:vAlign w:val="center"/>
          </w:tcPr>
          <w:p w14:paraId="7364E51C" w14:textId="77777777" w:rsidR="00EE0371" w:rsidRPr="00EE0371" w:rsidRDefault="00EE0371" w:rsidP="00EE0371">
            <w:pPr>
              <w:spacing w:before="120" w:after="120" w:line="240" w:lineRule="auto"/>
              <w:jc w:val="center"/>
              <w:rPr>
                <w:rFonts w:ascii="Arial" w:hAnsi="Arial" w:cs="Arial"/>
                <w:sz w:val="20"/>
                <w:szCs w:val="20"/>
              </w:rPr>
            </w:pPr>
            <w:r w:rsidRPr="00EE0371">
              <w:rPr>
                <w:rFonts w:ascii="Arial" w:hAnsi="Arial" w:cs="Arial"/>
                <w:sz w:val="20"/>
                <w:szCs w:val="20"/>
              </w:rPr>
              <w:t>500</w:t>
            </w:r>
          </w:p>
        </w:tc>
        <w:tc>
          <w:tcPr>
            <w:tcW w:w="3016" w:type="dxa"/>
            <w:vAlign w:val="center"/>
          </w:tcPr>
          <w:p w14:paraId="00B64572" w14:textId="77777777" w:rsidR="00EE0371" w:rsidRPr="00EE0371" w:rsidRDefault="00EE0371" w:rsidP="00122606">
            <w:pPr>
              <w:spacing w:before="120" w:after="120" w:line="240" w:lineRule="auto"/>
              <w:rPr>
                <w:rFonts w:ascii="Arial" w:hAnsi="Arial" w:cs="Arial"/>
                <w:sz w:val="20"/>
                <w:szCs w:val="20"/>
              </w:rPr>
            </w:pPr>
            <w:r w:rsidRPr="00EE0371">
              <w:rPr>
                <w:rFonts w:ascii="Arial" w:hAnsi="Arial" w:cs="Arial"/>
                <w:sz w:val="20"/>
                <w:szCs w:val="20"/>
              </w:rPr>
              <w:t>Obrigatório</w:t>
            </w:r>
          </w:p>
        </w:tc>
      </w:tr>
      <w:tr w:rsidR="00EE0371" w:rsidRPr="00EE0371" w14:paraId="0AC0A97D" w14:textId="77777777" w:rsidTr="00EE0371">
        <w:trPr>
          <w:jc w:val="center"/>
        </w:trPr>
        <w:tc>
          <w:tcPr>
            <w:tcW w:w="3390" w:type="dxa"/>
            <w:vAlign w:val="center"/>
          </w:tcPr>
          <w:p w14:paraId="7A25A3DD"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Baixas por Cancelamentos</w:t>
            </w:r>
          </w:p>
        </w:tc>
        <w:tc>
          <w:tcPr>
            <w:tcW w:w="1133" w:type="dxa"/>
            <w:vAlign w:val="center"/>
          </w:tcPr>
          <w:p w14:paraId="110C43F5" w14:textId="77777777" w:rsidR="00EE0371" w:rsidRPr="00EE0371" w:rsidRDefault="00EE0371" w:rsidP="00EE0371">
            <w:pPr>
              <w:spacing w:before="120" w:after="120" w:line="240" w:lineRule="auto"/>
              <w:jc w:val="center"/>
              <w:rPr>
                <w:rFonts w:ascii="Arial" w:hAnsi="Arial" w:cs="Arial"/>
                <w:sz w:val="20"/>
                <w:szCs w:val="20"/>
              </w:rPr>
            </w:pPr>
            <w:r w:rsidRPr="00EE0371">
              <w:rPr>
                <w:rFonts w:ascii="Arial" w:hAnsi="Arial" w:cs="Arial"/>
                <w:sz w:val="20"/>
                <w:szCs w:val="20"/>
              </w:rPr>
              <w:t>Decimal</w:t>
            </w:r>
          </w:p>
        </w:tc>
        <w:tc>
          <w:tcPr>
            <w:tcW w:w="1507" w:type="dxa"/>
            <w:vAlign w:val="center"/>
          </w:tcPr>
          <w:p w14:paraId="1E97CC6C" w14:textId="77777777" w:rsidR="00EE0371" w:rsidRPr="00EE0371" w:rsidRDefault="00EE0371" w:rsidP="00EE0371">
            <w:pPr>
              <w:spacing w:before="120" w:after="120" w:line="240" w:lineRule="auto"/>
              <w:jc w:val="center"/>
              <w:rPr>
                <w:rFonts w:ascii="Arial" w:hAnsi="Arial" w:cs="Arial"/>
                <w:sz w:val="20"/>
                <w:szCs w:val="20"/>
              </w:rPr>
            </w:pPr>
            <w:r w:rsidRPr="00EE0371">
              <w:rPr>
                <w:rFonts w:ascii="Arial" w:hAnsi="Arial" w:cs="Arial"/>
                <w:sz w:val="20"/>
                <w:szCs w:val="20"/>
              </w:rPr>
              <w:t>14,2</w:t>
            </w:r>
          </w:p>
        </w:tc>
        <w:tc>
          <w:tcPr>
            <w:tcW w:w="3016" w:type="dxa"/>
            <w:vAlign w:val="center"/>
          </w:tcPr>
          <w:p w14:paraId="408A0A79" w14:textId="77777777" w:rsidR="00EE0371" w:rsidRPr="00EE0371" w:rsidRDefault="00EE0371" w:rsidP="00122606">
            <w:pPr>
              <w:spacing w:before="120" w:after="120" w:line="240" w:lineRule="auto"/>
              <w:rPr>
                <w:rFonts w:ascii="Arial" w:hAnsi="Arial" w:cs="Arial"/>
                <w:sz w:val="20"/>
                <w:szCs w:val="20"/>
              </w:rPr>
            </w:pPr>
            <w:r w:rsidRPr="00EE0371">
              <w:rPr>
                <w:rFonts w:ascii="Arial" w:hAnsi="Arial" w:cs="Arial"/>
                <w:sz w:val="20"/>
                <w:szCs w:val="20"/>
              </w:rPr>
              <w:t xml:space="preserve">Obrigatório </w:t>
            </w:r>
          </w:p>
        </w:tc>
      </w:tr>
      <w:tr w:rsidR="00EE0371" w:rsidRPr="00EE0371" w14:paraId="7088A044" w14:textId="77777777" w:rsidTr="00EE0371">
        <w:trPr>
          <w:jc w:val="center"/>
        </w:trPr>
        <w:tc>
          <w:tcPr>
            <w:tcW w:w="3390" w:type="dxa"/>
            <w:vAlign w:val="center"/>
          </w:tcPr>
          <w:p w14:paraId="1C32D89C"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 xml:space="preserve">Nome do Arquivo de Baixas por Cancelamentos </w:t>
            </w:r>
            <w:r w:rsidRPr="00122606">
              <w:rPr>
                <w:rFonts w:ascii="Arial" w:hAnsi="Arial" w:cs="Arial"/>
                <w:b/>
                <w:sz w:val="20"/>
                <w:szCs w:val="20"/>
                <w:vertAlign w:val="superscript"/>
                <w:lang w:eastAsia="pt-BR"/>
              </w:rPr>
              <w:t>[3]</w:t>
            </w:r>
          </w:p>
        </w:tc>
        <w:tc>
          <w:tcPr>
            <w:tcW w:w="1133" w:type="dxa"/>
            <w:vAlign w:val="center"/>
          </w:tcPr>
          <w:p w14:paraId="65AC94FD" w14:textId="77777777" w:rsidR="00EE0371" w:rsidRPr="00EE0371" w:rsidRDefault="00EE0371" w:rsidP="00EE0371">
            <w:pPr>
              <w:spacing w:before="120" w:after="120" w:line="240" w:lineRule="auto"/>
              <w:jc w:val="center"/>
              <w:rPr>
                <w:rFonts w:ascii="Arial" w:hAnsi="Arial" w:cs="Arial"/>
                <w:sz w:val="20"/>
                <w:szCs w:val="20"/>
              </w:rPr>
            </w:pPr>
            <w:r w:rsidRPr="00EE0371">
              <w:rPr>
                <w:rFonts w:ascii="Arial" w:hAnsi="Arial" w:cs="Arial"/>
                <w:sz w:val="20"/>
                <w:szCs w:val="20"/>
              </w:rPr>
              <w:t>Caracter</w:t>
            </w:r>
          </w:p>
        </w:tc>
        <w:tc>
          <w:tcPr>
            <w:tcW w:w="1507" w:type="dxa"/>
            <w:vAlign w:val="center"/>
          </w:tcPr>
          <w:p w14:paraId="28DC9038" w14:textId="77777777" w:rsidR="00EE0371" w:rsidRPr="00EE0371" w:rsidRDefault="00EE0371" w:rsidP="00EE0371">
            <w:pPr>
              <w:spacing w:before="120" w:after="120" w:line="240" w:lineRule="auto"/>
              <w:jc w:val="center"/>
              <w:rPr>
                <w:rFonts w:ascii="Arial" w:hAnsi="Arial" w:cs="Arial"/>
                <w:sz w:val="20"/>
                <w:szCs w:val="20"/>
              </w:rPr>
            </w:pPr>
            <w:r w:rsidRPr="00EE0371">
              <w:rPr>
                <w:rFonts w:ascii="Arial" w:hAnsi="Arial" w:cs="Arial"/>
                <w:sz w:val="20"/>
                <w:szCs w:val="20"/>
              </w:rPr>
              <w:t>30</w:t>
            </w:r>
          </w:p>
        </w:tc>
        <w:tc>
          <w:tcPr>
            <w:tcW w:w="3016" w:type="dxa"/>
            <w:vAlign w:val="center"/>
          </w:tcPr>
          <w:p w14:paraId="309573CF" w14:textId="77777777" w:rsidR="00EE0371" w:rsidRPr="00EE0371" w:rsidRDefault="00EE0371" w:rsidP="00122606">
            <w:pPr>
              <w:spacing w:before="120" w:after="120" w:line="240" w:lineRule="auto"/>
              <w:rPr>
                <w:rFonts w:ascii="Arial" w:hAnsi="Arial" w:cs="Arial"/>
                <w:sz w:val="20"/>
                <w:szCs w:val="20"/>
              </w:rPr>
            </w:pPr>
            <w:r w:rsidRPr="00EE0371">
              <w:rPr>
                <w:rFonts w:ascii="Arial" w:hAnsi="Arial" w:cs="Arial"/>
                <w:sz w:val="20"/>
                <w:szCs w:val="20"/>
              </w:rPr>
              <w:t>Obrigatório</w:t>
            </w:r>
          </w:p>
        </w:tc>
      </w:tr>
      <w:tr w:rsidR="00EE0371" w:rsidRPr="00EE0371" w14:paraId="072334AC" w14:textId="77777777" w:rsidTr="00EE0371">
        <w:trPr>
          <w:jc w:val="center"/>
        </w:trPr>
        <w:tc>
          <w:tcPr>
            <w:tcW w:w="3390" w:type="dxa"/>
            <w:vAlign w:val="center"/>
          </w:tcPr>
          <w:p w14:paraId="44794943"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Baixas por Compensações</w:t>
            </w:r>
          </w:p>
        </w:tc>
        <w:tc>
          <w:tcPr>
            <w:tcW w:w="1133" w:type="dxa"/>
            <w:vAlign w:val="center"/>
          </w:tcPr>
          <w:p w14:paraId="7BFC7337" w14:textId="77777777" w:rsidR="00EE0371" w:rsidRPr="00EE0371" w:rsidRDefault="00EE0371" w:rsidP="00EE0371">
            <w:pPr>
              <w:spacing w:before="120" w:after="120" w:line="240" w:lineRule="auto"/>
              <w:jc w:val="center"/>
              <w:rPr>
                <w:rFonts w:ascii="Arial" w:hAnsi="Arial" w:cs="Arial"/>
                <w:sz w:val="20"/>
                <w:szCs w:val="20"/>
              </w:rPr>
            </w:pPr>
            <w:r w:rsidRPr="00EE0371">
              <w:rPr>
                <w:rFonts w:ascii="Arial" w:hAnsi="Arial" w:cs="Arial"/>
                <w:sz w:val="20"/>
                <w:szCs w:val="20"/>
              </w:rPr>
              <w:t>Decimal</w:t>
            </w:r>
          </w:p>
        </w:tc>
        <w:tc>
          <w:tcPr>
            <w:tcW w:w="1507" w:type="dxa"/>
            <w:vAlign w:val="center"/>
          </w:tcPr>
          <w:p w14:paraId="1EDD0A0E" w14:textId="77777777" w:rsidR="00EE0371" w:rsidRPr="00EE0371" w:rsidRDefault="00EE0371" w:rsidP="00EE0371">
            <w:pPr>
              <w:spacing w:before="120" w:after="120" w:line="240" w:lineRule="auto"/>
              <w:jc w:val="center"/>
              <w:rPr>
                <w:rFonts w:ascii="Arial" w:hAnsi="Arial" w:cs="Arial"/>
                <w:sz w:val="20"/>
                <w:szCs w:val="20"/>
              </w:rPr>
            </w:pPr>
            <w:r w:rsidRPr="00EE0371">
              <w:rPr>
                <w:rFonts w:ascii="Arial" w:hAnsi="Arial" w:cs="Arial"/>
                <w:sz w:val="20"/>
                <w:szCs w:val="20"/>
              </w:rPr>
              <w:t>14,2</w:t>
            </w:r>
          </w:p>
        </w:tc>
        <w:tc>
          <w:tcPr>
            <w:tcW w:w="3016" w:type="dxa"/>
            <w:vAlign w:val="center"/>
          </w:tcPr>
          <w:p w14:paraId="20D78558" w14:textId="77777777" w:rsidR="00EE0371" w:rsidRPr="00EE0371" w:rsidRDefault="00EE0371" w:rsidP="00122606">
            <w:pPr>
              <w:spacing w:before="120" w:after="120" w:line="240" w:lineRule="auto"/>
              <w:rPr>
                <w:rFonts w:ascii="Arial" w:hAnsi="Arial" w:cs="Arial"/>
                <w:sz w:val="20"/>
                <w:szCs w:val="20"/>
              </w:rPr>
            </w:pPr>
            <w:r w:rsidRPr="00EE0371">
              <w:rPr>
                <w:rFonts w:ascii="Arial" w:hAnsi="Arial" w:cs="Arial"/>
                <w:sz w:val="20"/>
                <w:szCs w:val="20"/>
              </w:rPr>
              <w:t xml:space="preserve">Obrigatório </w:t>
            </w:r>
          </w:p>
        </w:tc>
      </w:tr>
      <w:tr w:rsidR="00EE0371" w:rsidRPr="00EE0371" w14:paraId="44260343" w14:textId="77777777" w:rsidTr="00EE0371">
        <w:trPr>
          <w:jc w:val="center"/>
        </w:trPr>
        <w:tc>
          <w:tcPr>
            <w:tcW w:w="3390" w:type="dxa"/>
            <w:vAlign w:val="center"/>
          </w:tcPr>
          <w:p w14:paraId="6CA86AB2"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 xml:space="preserve">Autorização legislativa (nº da lei/ano) para as baixas por Compensações </w:t>
            </w:r>
            <w:r w:rsidRPr="00122606">
              <w:rPr>
                <w:rFonts w:ascii="Arial" w:hAnsi="Arial" w:cs="Arial"/>
                <w:b/>
                <w:sz w:val="20"/>
                <w:szCs w:val="20"/>
                <w:vertAlign w:val="superscript"/>
                <w:lang w:eastAsia="pt-BR"/>
              </w:rPr>
              <w:t>[4]</w:t>
            </w:r>
          </w:p>
        </w:tc>
        <w:tc>
          <w:tcPr>
            <w:tcW w:w="1133" w:type="dxa"/>
            <w:vAlign w:val="center"/>
          </w:tcPr>
          <w:p w14:paraId="1412220E" w14:textId="77777777" w:rsidR="00EE0371" w:rsidRPr="00EE0371" w:rsidRDefault="00EE0371" w:rsidP="00EE0371">
            <w:pPr>
              <w:spacing w:before="120" w:after="120" w:line="240" w:lineRule="auto"/>
              <w:jc w:val="center"/>
              <w:rPr>
                <w:rFonts w:ascii="Arial" w:hAnsi="Arial" w:cs="Arial"/>
                <w:sz w:val="20"/>
                <w:szCs w:val="20"/>
              </w:rPr>
            </w:pPr>
            <w:r w:rsidRPr="00EE0371">
              <w:rPr>
                <w:rFonts w:ascii="Arial" w:hAnsi="Arial" w:cs="Arial"/>
                <w:sz w:val="20"/>
                <w:szCs w:val="20"/>
              </w:rPr>
              <w:t>Caracter</w:t>
            </w:r>
          </w:p>
        </w:tc>
        <w:tc>
          <w:tcPr>
            <w:tcW w:w="1507" w:type="dxa"/>
            <w:vAlign w:val="center"/>
          </w:tcPr>
          <w:p w14:paraId="16B14270" w14:textId="77777777" w:rsidR="00EE0371" w:rsidRPr="00EE0371" w:rsidRDefault="00EE0371" w:rsidP="00EE0371">
            <w:pPr>
              <w:spacing w:before="120" w:after="120" w:line="240" w:lineRule="auto"/>
              <w:jc w:val="center"/>
              <w:rPr>
                <w:rFonts w:ascii="Arial" w:hAnsi="Arial" w:cs="Arial"/>
                <w:sz w:val="20"/>
                <w:szCs w:val="20"/>
              </w:rPr>
            </w:pPr>
            <w:r w:rsidRPr="00EE0371">
              <w:rPr>
                <w:rFonts w:ascii="Arial" w:hAnsi="Arial" w:cs="Arial"/>
                <w:sz w:val="20"/>
                <w:szCs w:val="20"/>
              </w:rPr>
              <w:t>500</w:t>
            </w:r>
          </w:p>
        </w:tc>
        <w:tc>
          <w:tcPr>
            <w:tcW w:w="3016" w:type="dxa"/>
            <w:vAlign w:val="center"/>
          </w:tcPr>
          <w:p w14:paraId="294E83E0" w14:textId="77777777" w:rsidR="00EE0371" w:rsidRPr="00EE0371" w:rsidRDefault="00EE0371" w:rsidP="00122606">
            <w:pPr>
              <w:spacing w:before="120" w:after="120" w:line="240" w:lineRule="auto"/>
              <w:rPr>
                <w:rFonts w:ascii="Arial" w:hAnsi="Arial" w:cs="Arial"/>
                <w:sz w:val="20"/>
                <w:szCs w:val="20"/>
              </w:rPr>
            </w:pPr>
            <w:r w:rsidRPr="00EE0371">
              <w:rPr>
                <w:rFonts w:ascii="Arial" w:hAnsi="Arial" w:cs="Arial"/>
                <w:sz w:val="20"/>
                <w:szCs w:val="20"/>
              </w:rPr>
              <w:t>Obrigatório</w:t>
            </w:r>
          </w:p>
        </w:tc>
      </w:tr>
      <w:tr w:rsidR="00EE0371" w:rsidRPr="00EE0371" w14:paraId="4DDF4AE0" w14:textId="77777777" w:rsidTr="00EE0371">
        <w:trPr>
          <w:jc w:val="center"/>
        </w:trPr>
        <w:tc>
          <w:tcPr>
            <w:tcW w:w="3390" w:type="dxa"/>
            <w:vAlign w:val="center"/>
          </w:tcPr>
          <w:p w14:paraId="015807D9"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Baixas por Parcelamentos</w:t>
            </w:r>
          </w:p>
        </w:tc>
        <w:tc>
          <w:tcPr>
            <w:tcW w:w="1133" w:type="dxa"/>
            <w:vAlign w:val="center"/>
          </w:tcPr>
          <w:p w14:paraId="2931AF87" w14:textId="77777777" w:rsidR="00EE0371" w:rsidRPr="00EE0371" w:rsidRDefault="00EE0371" w:rsidP="00EE0371">
            <w:pPr>
              <w:spacing w:before="120" w:after="120" w:line="240" w:lineRule="auto"/>
              <w:jc w:val="center"/>
              <w:rPr>
                <w:rFonts w:ascii="Arial" w:hAnsi="Arial" w:cs="Arial"/>
                <w:sz w:val="20"/>
                <w:szCs w:val="20"/>
              </w:rPr>
            </w:pPr>
            <w:r w:rsidRPr="00EE0371">
              <w:rPr>
                <w:rFonts w:ascii="Arial" w:hAnsi="Arial" w:cs="Arial"/>
                <w:sz w:val="20"/>
                <w:szCs w:val="20"/>
              </w:rPr>
              <w:t>Decimal</w:t>
            </w:r>
          </w:p>
        </w:tc>
        <w:tc>
          <w:tcPr>
            <w:tcW w:w="1507" w:type="dxa"/>
            <w:vAlign w:val="center"/>
          </w:tcPr>
          <w:p w14:paraId="7227A183" w14:textId="77777777" w:rsidR="00EE0371" w:rsidRPr="00EE0371" w:rsidRDefault="00EE0371" w:rsidP="00EE0371">
            <w:pPr>
              <w:spacing w:before="120" w:after="120" w:line="240" w:lineRule="auto"/>
              <w:jc w:val="center"/>
              <w:rPr>
                <w:rFonts w:ascii="Arial" w:hAnsi="Arial" w:cs="Arial"/>
                <w:sz w:val="20"/>
                <w:szCs w:val="20"/>
              </w:rPr>
            </w:pPr>
            <w:r w:rsidRPr="00EE0371">
              <w:rPr>
                <w:rFonts w:ascii="Arial" w:hAnsi="Arial" w:cs="Arial"/>
                <w:sz w:val="20"/>
                <w:szCs w:val="20"/>
              </w:rPr>
              <w:t>14,2</w:t>
            </w:r>
          </w:p>
        </w:tc>
        <w:tc>
          <w:tcPr>
            <w:tcW w:w="3016" w:type="dxa"/>
            <w:vAlign w:val="center"/>
          </w:tcPr>
          <w:p w14:paraId="756C1144" w14:textId="77777777" w:rsidR="00EE0371" w:rsidRPr="00EE0371" w:rsidRDefault="00EE0371" w:rsidP="00122606">
            <w:pPr>
              <w:spacing w:before="120" w:after="120" w:line="240" w:lineRule="auto"/>
              <w:rPr>
                <w:rFonts w:ascii="Arial" w:hAnsi="Arial" w:cs="Arial"/>
                <w:sz w:val="20"/>
                <w:szCs w:val="20"/>
              </w:rPr>
            </w:pPr>
            <w:r w:rsidRPr="00EE0371">
              <w:rPr>
                <w:rFonts w:ascii="Arial" w:hAnsi="Arial" w:cs="Arial"/>
                <w:sz w:val="20"/>
                <w:szCs w:val="20"/>
              </w:rPr>
              <w:t xml:space="preserve">Obrigatório </w:t>
            </w:r>
          </w:p>
        </w:tc>
      </w:tr>
      <w:tr w:rsidR="00EE0371" w:rsidRPr="00EE0371" w14:paraId="6AF6B9EB" w14:textId="77777777" w:rsidTr="00EE0371">
        <w:trPr>
          <w:jc w:val="center"/>
        </w:trPr>
        <w:tc>
          <w:tcPr>
            <w:tcW w:w="3390" w:type="dxa"/>
            <w:vAlign w:val="center"/>
          </w:tcPr>
          <w:p w14:paraId="0A483FE1"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lastRenderedPageBreak/>
              <w:t>Outras Baixas</w:t>
            </w:r>
          </w:p>
        </w:tc>
        <w:tc>
          <w:tcPr>
            <w:tcW w:w="1133" w:type="dxa"/>
            <w:vAlign w:val="center"/>
          </w:tcPr>
          <w:p w14:paraId="10C75FAD" w14:textId="77777777" w:rsidR="00EE0371" w:rsidRPr="00EE0371" w:rsidRDefault="00EE0371" w:rsidP="00EE0371">
            <w:pPr>
              <w:spacing w:before="120" w:after="120" w:line="240" w:lineRule="auto"/>
              <w:jc w:val="center"/>
              <w:rPr>
                <w:rFonts w:ascii="Arial" w:hAnsi="Arial" w:cs="Arial"/>
                <w:sz w:val="20"/>
                <w:szCs w:val="20"/>
              </w:rPr>
            </w:pPr>
            <w:r w:rsidRPr="00EE0371">
              <w:rPr>
                <w:rFonts w:ascii="Arial" w:hAnsi="Arial" w:cs="Arial"/>
                <w:sz w:val="20"/>
                <w:szCs w:val="20"/>
              </w:rPr>
              <w:t>Decimal</w:t>
            </w:r>
          </w:p>
        </w:tc>
        <w:tc>
          <w:tcPr>
            <w:tcW w:w="1507" w:type="dxa"/>
            <w:vAlign w:val="center"/>
          </w:tcPr>
          <w:p w14:paraId="4BAE2785" w14:textId="77777777" w:rsidR="00EE0371" w:rsidRPr="00EE0371" w:rsidRDefault="00EE0371" w:rsidP="00EE0371">
            <w:pPr>
              <w:spacing w:before="120" w:after="120" w:line="240" w:lineRule="auto"/>
              <w:jc w:val="center"/>
              <w:rPr>
                <w:rFonts w:ascii="Arial" w:hAnsi="Arial" w:cs="Arial"/>
                <w:sz w:val="20"/>
                <w:szCs w:val="20"/>
              </w:rPr>
            </w:pPr>
            <w:r w:rsidRPr="00EE0371">
              <w:rPr>
                <w:rFonts w:ascii="Arial" w:hAnsi="Arial" w:cs="Arial"/>
                <w:sz w:val="20"/>
                <w:szCs w:val="20"/>
              </w:rPr>
              <w:t>14,2</w:t>
            </w:r>
          </w:p>
        </w:tc>
        <w:tc>
          <w:tcPr>
            <w:tcW w:w="3016" w:type="dxa"/>
            <w:vAlign w:val="center"/>
          </w:tcPr>
          <w:p w14:paraId="732EF194" w14:textId="77777777" w:rsidR="00EE0371" w:rsidRPr="00EE0371" w:rsidRDefault="00EE0371" w:rsidP="00122606">
            <w:pPr>
              <w:spacing w:before="120" w:after="120" w:line="240" w:lineRule="auto"/>
              <w:rPr>
                <w:rFonts w:ascii="Arial" w:hAnsi="Arial" w:cs="Arial"/>
                <w:sz w:val="20"/>
                <w:szCs w:val="20"/>
              </w:rPr>
            </w:pPr>
            <w:r w:rsidRPr="00EE0371">
              <w:rPr>
                <w:rFonts w:ascii="Arial" w:hAnsi="Arial" w:cs="Arial"/>
                <w:sz w:val="20"/>
                <w:szCs w:val="20"/>
              </w:rPr>
              <w:t xml:space="preserve">Obrigatório </w:t>
            </w:r>
          </w:p>
        </w:tc>
      </w:tr>
      <w:tr w:rsidR="00EE0371" w:rsidRPr="00EE0371" w14:paraId="35FAAB7B" w14:textId="77777777" w:rsidTr="00EE0371">
        <w:trPr>
          <w:jc w:val="center"/>
        </w:trPr>
        <w:tc>
          <w:tcPr>
            <w:tcW w:w="3390" w:type="dxa"/>
            <w:vAlign w:val="center"/>
          </w:tcPr>
          <w:p w14:paraId="16474FA7"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 xml:space="preserve">Autorização Legislativa (nº da lei/ano) utilizada nas Outras Baixas </w:t>
            </w:r>
            <w:r w:rsidRPr="00122606">
              <w:rPr>
                <w:rFonts w:ascii="Arial" w:hAnsi="Arial" w:cs="Arial"/>
                <w:b/>
                <w:sz w:val="20"/>
                <w:szCs w:val="20"/>
                <w:vertAlign w:val="superscript"/>
                <w:lang w:eastAsia="pt-BR"/>
              </w:rPr>
              <w:t>[5]</w:t>
            </w:r>
          </w:p>
        </w:tc>
        <w:tc>
          <w:tcPr>
            <w:tcW w:w="1133" w:type="dxa"/>
            <w:vAlign w:val="center"/>
          </w:tcPr>
          <w:p w14:paraId="48C78712" w14:textId="77777777" w:rsidR="00EE0371" w:rsidRPr="00EE0371" w:rsidRDefault="00EE0371" w:rsidP="00EE0371">
            <w:pPr>
              <w:spacing w:before="120" w:after="120" w:line="240" w:lineRule="auto"/>
              <w:jc w:val="center"/>
              <w:rPr>
                <w:rFonts w:ascii="Arial" w:hAnsi="Arial" w:cs="Arial"/>
                <w:sz w:val="20"/>
                <w:szCs w:val="20"/>
              </w:rPr>
            </w:pPr>
            <w:r w:rsidRPr="00EE0371">
              <w:rPr>
                <w:rFonts w:ascii="Arial" w:hAnsi="Arial" w:cs="Arial"/>
                <w:sz w:val="20"/>
                <w:szCs w:val="20"/>
              </w:rPr>
              <w:t>Caracter</w:t>
            </w:r>
          </w:p>
        </w:tc>
        <w:tc>
          <w:tcPr>
            <w:tcW w:w="1507" w:type="dxa"/>
            <w:vAlign w:val="center"/>
          </w:tcPr>
          <w:p w14:paraId="2995895E" w14:textId="77777777" w:rsidR="00EE0371" w:rsidRPr="00EE0371" w:rsidRDefault="00EE0371" w:rsidP="00EE0371">
            <w:pPr>
              <w:spacing w:before="120" w:after="120" w:line="240" w:lineRule="auto"/>
              <w:jc w:val="center"/>
              <w:rPr>
                <w:rFonts w:ascii="Arial" w:hAnsi="Arial" w:cs="Arial"/>
                <w:sz w:val="20"/>
                <w:szCs w:val="20"/>
              </w:rPr>
            </w:pPr>
            <w:r w:rsidRPr="00EE0371">
              <w:rPr>
                <w:rFonts w:ascii="Arial" w:hAnsi="Arial" w:cs="Arial"/>
                <w:sz w:val="20"/>
                <w:szCs w:val="20"/>
              </w:rPr>
              <w:t>500</w:t>
            </w:r>
          </w:p>
        </w:tc>
        <w:tc>
          <w:tcPr>
            <w:tcW w:w="3016" w:type="dxa"/>
            <w:vAlign w:val="center"/>
          </w:tcPr>
          <w:p w14:paraId="68C3AE18" w14:textId="77777777" w:rsidR="00EE0371" w:rsidRPr="00EE0371" w:rsidRDefault="00EE0371" w:rsidP="00122606">
            <w:pPr>
              <w:spacing w:before="120" w:after="120" w:line="240" w:lineRule="auto"/>
              <w:rPr>
                <w:rFonts w:ascii="Arial" w:hAnsi="Arial" w:cs="Arial"/>
                <w:sz w:val="20"/>
                <w:szCs w:val="20"/>
              </w:rPr>
            </w:pPr>
            <w:r w:rsidRPr="00EE0371">
              <w:rPr>
                <w:rFonts w:ascii="Arial" w:hAnsi="Arial" w:cs="Arial"/>
                <w:sz w:val="20"/>
                <w:szCs w:val="20"/>
              </w:rPr>
              <w:t>Obrigatório</w:t>
            </w:r>
          </w:p>
        </w:tc>
      </w:tr>
      <w:tr w:rsidR="00EE0371" w:rsidRPr="00EE0371" w14:paraId="51F936BE" w14:textId="77777777" w:rsidTr="00EE0371">
        <w:trPr>
          <w:jc w:val="center"/>
        </w:trPr>
        <w:tc>
          <w:tcPr>
            <w:tcW w:w="3390" w:type="dxa"/>
            <w:vAlign w:val="center"/>
          </w:tcPr>
          <w:p w14:paraId="6C916293" w14:textId="77777777" w:rsidR="00EE0371" w:rsidRPr="00EE0371" w:rsidRDefault="00EE0371" w:rsidP="00EE0371">
            <w:pPr>
              <w:spacing w:after="0" w:line="360" w:lineRule="auto"/>
              <w:jc w:val="both"/>
              <w:rPr>
                <w:rFonts w:ascii="Arial" w:hAnsi="Arial" w:cs="Arial"/>
                <w:sz w:val="20"/>
                <w:szCs w:val="20"/>
              </w:rPr>
            </w:pPr>
            <w:r w:rsidRPr="00EE0371">
              <w:rPr>
                <w:rFonts w:ascii="Arial" w:hAnsi="Arial" w:cs="Arial"/>
                <w:sz w:val="20"/>
                <w:szCs w:val="20"/>
              </w:rPr>
              <w:t>Saldo Final no Exercício (Estoque da Dívida Ativa)</w:t>
            </w:r>
            <w:r w:rsidRPr="00EE0371">
              <w:rPr>
                <w:rFonts w:ascii="Arial" w:hAnsi="Arial" w:cs="Arial"/>
                <w:sz w:val="20"/>
                <w:szCs w:val="20"/>
                <w:vertAlign w:val="superscript"/>
              </w:rPr>
              <w:t xml:space="preserve"> </w:t>
            </w:r>
          </w:p>
        </w:tc>
        <w:tc>
          <w:tcPr>
            <w:tcW w:w="1133" w:type="dxa"/>
            <w:vAlign w:val="center"/>
          </w:tcPr>
          <w:p w14:paraId="207F99E4" w14:textId="77777777" w:rsidR="00EE0371" w:rsidRPr="00EE0371" w:rsidRDefault="00EE0371" w:rsidP="00EE0371">
            <w:pPr>
              <w:spacing w:before="120" w:after="120" w:line="240" w:lineRule="auto"/>
              <w:jc w:val="center"/>
              <w:rPr>
                <w:rFonts w:ascii="Arial" w:hAnsi="Arial" w:cs="Arial"/>
                <w:sz w:val="20"/>
                <w:szCs w:val="20"/>
              </w:rPr>
            </w:pPr>
            <w:r w:rsidRPr="00EE0371">
              <w:rPr>
                <w:rFonts w:ascii="Arial" w:hAnsi="Arial" w:cs="Arial"/>
                <w:sz w:val="20"/>
                <w:szCs w:val="20"/>
              </w:rPr>
              <w:t>Decimal</w:t>
            </w:r>
          </w:p>
        </w:tc>
        <w:tc>
          <w:tcPr>
            <w:tcW w:w="1507" w:type="dxa"/>
            <w:vAlign w:val="center"/>
          </w:tcPr>
          <w:p w14:paraId="5A3F764D" w14:textId="77777777" w:rsidR="00EE0371" w:rsidRPr="00EE0371" w:rsidRDefault="00EE0371" w:rsidP="00EE0371">
            <w:pPr>
              <w:spacing w:before="120" w:after="120" w:line="240" w:lineRule="auto"/>
              <w:jc w:val="center"/>
              <w:rPr>
                <w:rFonts w:ascii="Arial" w:hAnsi="Arial" w:cs="Arial"/>
                <w:sz w:val="20"/>
                <w:szCs w:val="20"/>
              </w:rPr>
            </w:pPr>
            <w:r w:rsidRPr="00EE0371">
              <w:rPr>
                <w:rFonts w:ascii="Arial" w:hAnsi="Arial" w:cs="Arial"/>
                <w:sz w:val="20"/>
                <w:szCs w:val="20"/>
              </w:rPr>
              <w:t>14,2</w:t>
            </w:r>
          </w:p>
        </w:tc>
        <w:tc>
          <w:tcPr>
            <w:tcW w:w="3016" w:type="dxa"/>
            <w:vAlign w:val="center"/>
          </w:tcPr>
          <w:p w14:paraId="4FAA43D6" w14:textId="77777777" w:rsidR="00EE0371" w:rsidRPr="00EE0371" w:rsidRDefault="00EE0371" w:rsidP="00122606">
            <w:pPr>
              <w:spacing w:before="120" w:after="120" w:line="240" w:lineRule="auto"/>
              <w:rPr>
                <w:rFonts w:ascii="Arial" w:hAnsi="Arial" w:cs="Arial"/>
                <w:sz w:val="20"/>
                <w:szCs w:val="20"/>
              </w:rPr>
            </w:pPr>
            <w:r w:rsidRPr="00EE0371">
              <w:rPr>
                <w:rFonts w:ascii="Arial" w:hAnsi="Arial" w:cs="Arial"/>
                <w:sz w:val="20"/>
                <w:szCs w:val="20"/>
              </w:rPr>
              <w:t xml:space="preserve">Obrigatório </w:t>
            </w:r>
          </w:p>
        </w:tc>
      </w:tr>
    </w:tbl>
    <w:p w14:paraId="60B5F43C" w14:textId="77777777" w:rsidR="00EE0371" w:rsidRPr="00122606" w:rsidRDefault="00EE0371" w:rsidP="00EE0371">
      <w:pPr>
        <w:spacing w:before="120" w:after="120" w:line="240" w:lineRule="auto"/>
        <w:ind w:right="-284"/>
        <w:jc w:val="both"/>
        <w:rPr>
          <w:rFonts w:ascii="Arial" w:hAnsi="Arial" w:cs="Arial"/>
          <w:sz w:val="18"/>
          <w:szCs w:val="18"/>
          <w:lang w:eastAsia="pt-BR"/>
        </w:rPr>
      </w:pPr>
      <w:r w:rsidRPr="00122606">
        <w:rPr>
          <w:rFonts w:ascii="Arial" w:hAnsi="Arial" w:cs="Arial"/>
          <w:sz w:val="18"/>
          <w:szCs w:val="18"/>
          <w:lang w:eastAsia="pt-BR"/>
        </w:rPr>
        <w:t>[1] O Código Contábil (Conta Contábil do Ativo) a ser informado deverá pertencer ao Plano de Contas do CidadES do exercício e com atributo de escrituração S (Sim).</w:t>
      </w:r>
      <w:r w:rsidRPr="00122606">
        <w:rPr>
          <w:rFonts w:ascii="Arial" w:hAnsi="Arial" w:cs="Arial"/>
          <w:sz w:val="18"/>
          <w:szCs w:val="18"/>
          <w:lang w:eastAsia="pt-BR"/>
        </w:rPr>
        <w:tab/>
      </w:r>
      <w:r w:rsidRPr="00122606">
        <w:rPr>
          <w:rFonts w:ascii="Arial" w:hAnsi="Arial" w:cs="Arial"/>
          <w:sz w:val="18"/>
          <w:szCs w:val="18"/>
          <w:lang w:eastAsia="pt-BR"/>
        </w:rPr>
        <w:tab/>
      </w:r>
      <w:r w:rsidRPr="00122606">
        <w:rPr>
          <w:rFonts w:ascii="Arial" w:hAnsi="Arial" w:cs="Arial"/>
          <w:sz w:val="18"/>
          <w:szCs w:val="18"/>
          <w:lang w:eastAsia="pt-BR"/>
        </w:rPr>
        <w:tab/>
      </w:r>
    </w:p>
    <w:p w14:paraId="3F677A23" w14:textId="77777777" w:rsidR="00EE0371" w:rsidRPr="00122606" w:rsidRDefault="00EE0371" w:rsidP="00EE0371">
      <w:pPr>
        <w:spacing w:after="120" w:line="240" w:lineRule="auto"/>
        <w:ind w:right="-284"/>
        <w:jc w:val="both"/>
        <w:rPr>
          <w:rFonts w:ascii="Arial" w:hAnsi="Arial" w:cs="Arial"/>
          <w:sz w:val="18"/>
          <w:szCs w:val="18"/>
          <w:lang w:eastAsia="pt-BR"/>
        </w:rPr>
      </w:pPr>
      <w:r w:rsidRPr="00122606">
        <w:rPr>
          <w:rFonts w:ascii="Arial" w:hAnsi="Arial" w:cs="Arial"/>
          <w:sz w:val="18"/>
          <w:szCs w:val="18"/>
          <w:lang w:eastAsia="pt-BR"/>
        </w:rPr>
        <w:t>[2] Autorização Legislativa conforme disposto no Manual da Dívida Ativa - item 8.6.3 da STN - Secretaria do Tesouro Nacional. Campo será opcional, caso não haja baixas por a</w:t>
      </w:r>
      <w:r w:rsidRPr="00122606">
        <w:rPr>
          <w:rFonts w:ascii="Arial" w:hAnsi="Arial" w:cs="Arial"/>
          <w:sz w:val="18"/>
          <w:szCs w:val="18"/>
        </w:rPr>
        <w:t>batimentos / anistias / remissões.</w:t>
      </w:r>
      <w:r w:rsidRPr="00122606">
        <w:rPr>
          <w:rFonts w:ascii="Arial" w:hAnsi="Arial" w:cs="Arial"/>
          <w:sz w:val="18"/>
          <w:szCs w:val="18"/>
          <w:lang w:eastAsia="pt-BR"/>
        </w:rPr>
        <w:tab/>
      </w:r>
      <w:r w:rsidRPr="00122606">
        <w:rPr>
          <w:rFonts w:ascii="Arial" w:hAnsi="Arial" w:cs="Arial"/>
          <w:sz w:val="18"/>
          <w:szCs w:val="18"/>
          <w:lang w:eastAsia="pt-BR"/>
        </w:rPr>
        <w:tab/>
      </w:r>
      <w:r w:rsidRPr="00122606">
        <w:rPr>
          <w:rFonts w:ascii="Arial" w:hAnsi="Arial" w:cs="Arial"/>
          <w:sz w:val="18"/>
          <w:szCs w:val="18"/>
          <w:lang w:eastAsia="pt-BR"/>
        </w:rPr>
        <w:tab/>
      </w:r>
      <w:r w:rsidRPr="00122606">
        <w:rPr>
          <w:rFonts w:ascii="Arial" w:hAnsi="Arial" w:cs="Arial"/>
          <w:sz w:val="18"/>
          <w:szCs w:val="18"/>
          <w:lang w:eastAsia="pt-BR"/>
        </w:rPr>
        <w:tab/>
      </w:r>
    </w:p>
    <w:p w14:paraId="7FC57078" w14:textId="77777777" w:rsidR="00EE0371" w:rsidRPr="00122606" w:rsidRDefault="00EE0371" w:rsidP="00EE0371">
      <w:pPr>
        <w:spacing w:after="120" w:line="240" w:lineRule="auto"/>
        <w:ind w:right="-284"/>
        <w:jc w:val="both"/>
        <w:rPr>
          <w:rFonts w:ascii="Arial" w:hAnsi="Arial" w:cs="Arial"/>
          <w:sz w:val="18"/>
          <w:szCs w:val="18"/>
          <w:lang w:eastAsia="pt-BR"/>
        </w:rPr>
      </w:pPr>
      <w:r w:rsidRPr="00122606">
        <w:rPr>
          <w:rFonts w:ascii="Arial" w:hAnsi="Arial" w:cs="Arial"/>
          <w:sz w:val="18"/>
          <w:szCs w:val="18"/>
          <w:lang w:eastAsia="pt-BR"/>
        </w:rPr>
        <w:t>[3] Autorização Legislativa conforme disposto no Manual da Dívida Ativa - item 8.6.4 da STN - Secretaria do Tesouro Nacional. Neste arquivo, as baixas por cancelamentos devem estar acompanhadas de documentação que comprove sua legalidade e motivação.</w:t>
      </w:r>
      <w:r w:rsidR="00B6405C" w:rsidRPr="00122606">
        <w:rPr>
          <w:rFonts w:ascii="Arial" w:hAnsi="Arial" w:cs="Arial"/>
          <w:sz w:val="18"/>
          <w:szCs w:val="18"/>
          <w:lang w:eastAsia="pt-BR"/>
        </w:rPr>
        <w:t xml:space="preserve"> Este campo será opcional, caso não haja cancelamentos.</w:t>
      </w:r>
    </w:p>
    <w:p w14:paraId="5478B10A" w14:textId="77777777" w:rsidR="00EE0371" w:rsidRPr="00122606" w:rsidRDefault="00EE0371" w:rsidP="00EE0371">
      <w:pPr>
        <w:spacing w:after="120" w:line="240" w:lineRule="auto"/>
        <w:ind w:right="-284"/>
        <w:jc w:val="both"/>
        <w:rPr>
          <w:rFonts w:ascii="Arial" w:hAnsi="Arial" w:cs="Arial"/>
          <w:sz w:val="18"/>
          <w:szCs w:val="18"/>
          <w:lang w:eastAsia="pt-BR"/>
        </w:rPr>
      </w:pPr>
      <w:r w:rsidRPr="00122606">
        <w:rPr>
          <w:rFonts w:ascii="Arial" w:hAnsi="Arial" w:cs="Arial"/>
          <w:sz w:val="18"/>
          <w:szCs w:val="18"/>
          <w:lang w:eastAsia="pt-BR"/>
        </w:rPr>
        <w:t>[4] Autorização Legislativa conforme disposto no Manual da Dívida Ativa - item 8.6.5 e MCASP 6ª EDIÇÃO (p. 271), ambos da STN - Secretaria do Tesouro Nacional. Campo será opcional, caso não haja baixas por compensações.</w:t>
      </w:r>
    </w:p>
    <w:p w14:paraId="352CB9CE" w14:textId="77777777" w:rsidR="00EE0371" w:rsidRPr="00122606" w:rsidRDefault="00EE0371" w:rsidP="00EE0371">
      <w:pPr>
        <w:spacing w:after="120" w:line="240" w:lineRule="auto"/>
        <w:ind w:right="-284"/>
        <w:jc w:val="both"/>
        <w:rPr>
          <w:rFonts w:ascii="Arial" w:hAnsi="Arial" w:cs="Arial"/>
          <w:sz w:val="18"/>
          <w:szCs w:val="18"/>
          <w:lang w:eastAsia="pt-BR"/>
        </w:rPr>
      </w:pPr>
      <w:r w:rsidRPr="00122606">
        <w:rPr>
          <w:rFonts w:ascii="Arial" w:hAnsi="Arial" w:cs="Arial"/>
          <w:sz w:val="18"/>
          <w:szCs w:val="18"/>
          <w:lang w:eastAsia="pt-BR"/>
        </w:rPr>
        <w:t>[5] Campo será opcional, caso não haja outras baixas.</w:t>
      </w:r>
    </w:p>
    <w:p w14:paraId="0FE0E044" w14:textId="77777777" w:rsidR="00EE0371" w:rsidRPr="00122606" w:rsidRDefault="00EE0371" w:rsidP="00EE0371">
      <w:pPr>
        <w:spacing w:after="120" w:line="240" w:lineRule="auto"/>
        <w:ind w:right="-284"/>
        <w:jc w:val="both"/>
        <w:rPr>
          <w:rFonts w:ascii="Arial" w:hAnsi="Arial" w:cs="Arial"/>
          <w:sz w:val="18"/>
          <w:szCs w:val="18"/>
          <w:lang w:eastAsia="pt-BR"/>
        </w:rPr>
      </w:pPr>
      <w:r w:rsidRPr="00122606">
        <w:rPr>
          <w:rFonts w:ascii="Arial" w:hAnsi="Arial" w:cs="Arial"/>
          <w:sz w:val="18"/>
          <w:szCs w:val="18"/>
        </w:rPr>
        <w:t>Obs.: Somente serão aceitos valores positivos.</w:t>
      </w:r>
    </w:p>
    <w:p w14:paraId="41084EAB" w14:textId="77777777" w:rsidR="00EE0371" w:rsidRPr="00EE0371" w:rsidRDefault="00EE0371" w:rsidP="00EE0371">
      <w:pPr>
        <w:rPr>
          <w:rFonts w:ascii="Arial" w:hAnsi="Arial" w:cs="Arial"/>
          <w:b/>
          <w:sz w:val="28"/>
          <w:highlight w:val="red"/>
        </w:rPr>
      </w:pPr>
    </w:p>
    <w:p w14:paraId="76BED846" w14:textId="6EE45AD5" w:rsidR="00EE0371" w:rsidRPr="00EE0371" w:rsidRDefault="00EE0371" w:rsidP="00A60EA7">
      <w:pPr>
        <w:pStyle w:val="Ttulo3"/>
      </w:pPr>
      <w:bookmarkStart w:id="43" w:name="_Toc94806319"/>
      <w:r w:rsidRPr="00A60EA7">
        <w:t>DEMRAP</w:t>
      </w:r>
      <w:r w:rsidRPr="00EE0371">
        <w:t>.XML (ou DemonstrativoRestosPagar.xml)</w:t>
      </w:r>
      <w:bookmarkEnd w:id="43"/>
    </w:p>
    <w:p w14:paraId="127BF3B0" w14:textId="5A72F8F0" w:rsidR="00EE0371" w:rsidRPr="00EE0371" w:rsidRDefault="00EE0371" w:rsidP="00EE0371">
      <w:pPr>
        <w:spacing w:after="0" w:line="360" w:lineRule="auto"/>
        <w:jc w:val="both"/>
        <w:rPr>
          <w:rFonts w:ascii="Arial" w:hAnsi="Arial"/>
        </w:rPr>
      </w:pPr>
      <w:r w:rsidRPr="00EE0371">
        <w:rPr>
          <w:rFonts w:ascii="Arial" w:hAnsi="Arial"/>
          <w:b/>
          <w:bCs/>
        </w:rPr>
        <w:t>Descrição: </w:t>
      </w:r>
      <w:r w:rsidRPr="00EE0371">
        <w:rPr>
          <w:rFonts w:ascii="Arial" w:hAnsi="Arial"/>
        </w:rPr>
        <w:t>Este arquivo conterá as informações dos Restos a Pagar do ente.</w:t>
      </w:r>
    </w:p>
    <w:p w14:paraId="38405CF6" w14:textId="77777777" w:rsidR="00EE0371" w:rsidRPr="00EE0371" w:rsidRDefault="00EE0371" w:rsidP="00EE0371">
      <w:pPr>
        <w:autoSpaceDE w:val="0"/>
        <w:autoSpaceDN w:val="0"/>
        <w:adjustRightInd w:val="0"/>
        <w:spacing w:after="0" w:line="240" w:lineRule="auto"/>
        <w:jc w:val="both"/>
        <w:rPr>
          <w:rFonts w:ascii="Arial" w:hAnsi="Arial"/>
          <w:b/>
          <w:bCs/>
        </w:rPr>
      </w:pPr>
    </w:p>
    <w:p w14:paraId="183B21C9" w14:textId="77777777" w:rsidR="00EE0371" w:rsidRPr="00EE0371" w:rsidRDefault="00EE0371" w:rsidP="00EE0371">
      <w:pPr>
        <w:rPr>
          <w:rFonts w:ascii="Arial" w:hAnsi="Arial" w:cs="Arial"/>
          <w:b/>
          <w:sz w:val="28"/>
        </w:rPr>
      </w:pPr>
      <w:r w:rsidRPr="00EE0371">
        <w:rPr>
          <w:rFonts w:ascii="Arial" w:hAnsi="Arial"/>
          <w:b/>
          <w:bCs/>
        </w:rPr>
        <w:t>Estrutura:</w:t>
      </w:r>
    </w:p>
    <w:p w14:paraId="2F8BDC62" w14:textId="77777777" w:rsidR="00EE0371" w:rsidRPr="00EE0371" w:rsidRDefault="00EE0371" w:rsidP="00EE0371">
      <w:pPr>
        <w:spacing w:after="0" w:line="240" w:lineRule="auto"/>
        <w:jc w:val="both"/>
        <w:rPr>
          <w:rFonts w:ascii="Arial" w:eastAsia="Times New Roman" w:hAnsi="Arial" w:cs="Arial"/>
          <w:color w:val="000000"/>
          <w:sz w:val="20"/>
          <w:szCs w:val="20"/>
          <w:lang w:eastAsia="pt-BR"/>
        </w:rPr>
      </w:pPr>
      <w:r w:rsidRPr="00EE0371">
        <w:rPr>
          <w:rFonts w:ascii="Arial" w:eastAsia="Times New Roman" w:hAnsi="Arial" w:cs="Arial"/>
          <w:color w:val="000000"/>
          <w:sz w:val="20"/>
          <w:szCs w:val="20"/>
          <w:lang w:eastAsia="pt-BR"/>
        </w:rPr>
        <w:t>&lt;?xml version="1.0" encoding=“UTF-8”?&gt;</w:t>
      </w:r>
    </w:p>
    <w:p w14:paraId="23927691" w14:textId="77777777" w:rsidR="00EE0371" w:rsidRPr="00EE0371" w:rsidRDefault="00EE0371" w:rsidP="00EE0371">
      <w:pPr>
        <w:spacing w:after="0" w:line="240" w:lineRule="auto"/>
        <w:jc w:val="both"/>
        <w:rPr>
          <w:rFonts w:ascii="Arial" w:eastAsia="Times New Roman" w:hAnsi="Arial" w:cs="Arial"/>
          <w:color w:val="000000"/>
          <w:sz w:val="20"/>
          <w:szCs w:val="20"/>
          <w:lang w:eastAsia="pt-BR"/>
        </w:rPr>
      </w:pPr>
      <w:r w:rsidRPr="00EE0371">
        <w:rPr>
          <w:rFonts w:ascii="Arial" w:eastAsia="Times New Roman" w:hAnsi="Arial" w:cs="Arial"/>
          <w:color w:val="000000"/>
          <w:sz w:val="20"/>
          <w:szCs w:val="20"/>
          <w:lang w:eastAsia="pt-BR"/>
        </w:rPr>
        <w:t>&lt;PrestacaoContasAnual&gt;</w:t>
      </w:r>
    </w:p>
    <w:p w14:paraId="44DB5FC8" w14:textId="77777777" w:rsidR="00EE0371" w:rsidRPr="00EE0371" w:rsidRDefault="00EE0371" w:rsidP="00EE0371">
      <w:pPr>
        <w:spacing w:after="0" w:line="240" w:lineRule="auto"/>
        <w:ind w:left="284"/>
        <w:jc w:val="both"/>
        <w:rPr>
          <w:rFonts w:ascii="Arial" w:eastAsia="Times New Roman" w:hAnsi="Arial" w:cs="Arial"/>
          <w:color w:val="000000"/>
          <w:sz w:val="20"/>
          <w:szCs w:val="20"/>
          <w:lang w:eastAsia="pt-BR"/>
        </w:rPr>
      </w:pPr>
      <w:r w:rsidRPr="00EE0371">
        <w:rPr>
          <w:rFonts w:ascii="Arial" w:eastAsia="Times New Roman" w:hAnsi="Arial" w:cs="Arial"/>
          <w:color w:val="000000"/>
          <w:sz w:val="20"/>
          <w:szCs w:val="20"/>
          <w:lang w:eastAsia="pt-BR"/>
        </w:rPr>
        <w:t>&lt;DemonstrativoRestosPagar_Schema&gt;</w:t>
      </w:r>
    </w:p>
    <w:p w14:paraId="2EF663F5" w14:textId="77777777" w:rsidR="00EE0371" w:rsidRPr="00EE0371" w:rsidRDefault="00EE0371" w:rsidP="00EE0371">
      <w:pPr>
        <w:spacing w:after="0" w:line="240" w:lineRule="auto"/>
        <w:ind w:left="567"/>
        <w:jc w:val="both"/>
        <w:rPr>
          <w:rFonts w:ascii="Arial" w:eastAsia="Times New Roman" w:hAnsi="Arial" w:cs="Arial"/>
          <w:color w:val="000000"/>
          <w:sz w:val="20"/>
          <w:szCs w:val="20"/>
          <w:lang w:eastAsia="pt-BR"/>
        </w:rPr>
      </w:pPr>
      <w:r w:rsidRPr="00EE0371">
        <w:rPr>
          <w:rFonts w:ascii="Arial" w:eastAsia="Times New Roman" w:hAnsi="Arial" w:cs="Arial"/>
          <w:color w:val="000000"/>
          <w:sz w:val="20"/>
          <w:szCs w:val="20"/>
          <w:lang w:eastAsia="pt-BR"/>
        </w:rPr>
        <w:t>&lt;DemonstrativoRestosPagar&gt;</w:t>
      </w:r>
    </w:p>
    <w:p w14:paraId="3D6581D9" w14:textId="77777777" w:rsidR="00EE0371" w:rsidRDefault="00EE0371" w:rsidP="00EE0371">
      <w:pPr>
        <w:spacing w:after="0" w:line="240" w:lineRule="auto"/>
        <w:ind w:left="851"/>
        <w:jc w:val="both"/>
        <w:rPr>
          <w:rFonts w:ascii="Arial" w:eastAsia="Times New Roman" w:hAnsi="Arial" w:cs="Arial"/>
          <w:color w:val="000000"/>
          <w:sz w:val="20"/>
          <w:szCs w:val="20"/>
          <w:lang w:eastAsia="pt-BR"/>
        </w:rPr>
      </w:pPr>
      <w:r w:rsidRPr="00EE0371">
        <w:rPr>
          <w:rFonts w:ascii="Arial" w:eastAsia="Times New Roman" w:hAnsi="Arial" w:cs="Arial"/>
          <w:color w:val="000000"/>
          <w:sz w:val="20"/>
          <w:szCs w:val="20"/>
          <w:lang w:eastAsia="pt-BR"/>
        </w:rPr>
        <w:t>&lt;IdNumRegistro&gt;</w:t>
      </w:r>
      <w:r w:rsidRPr="00EE0371">
        <w:rPr>
          <w:rFonts w:ascii="Arial" w:eastAsia="Times New Roman" w:hAnsi="Arial" w:cs="Arial"/>
          <w:b/>
          <w:bCs/>
          <w:color w:val="000000"/>
          <w:sz w:val="20"/>
          <w:szCs w:val="20"/>
          <w:lang w:eastAsia="pt-BR"/>
        </w:rPr>
        <w:t>99999</w:t>
      </w:r>
      <w:r w:rsidRPr="00EE0371">
        <w:rPr>
          <w:rFonts w:ascii="Arial" w:eastAsia="Times New Roman" w:hAnsi="Arial" w:cs="Arial"/>
          <w:color w:val="000000"/>
          <w:sz w:val="20"/>
          <w:szCs w:val="20"/>
          <w:lang w:eastAsia="pt-BR"/>
        </w:rPr>
        <w:t>&lt;/IdNumRegistro&gt;</w:t>
      </w:r>
    </w:p>
    <w:p w14:paraId="421F041E" w14:textId="77777777" w:rsidR="00113B0F" w:rsidRPr="002A7FCB" w:rsidRDefault="00DD49C9" w:rsidP="00113B0F">
      <w:pPr>
        <w:spacing w:after="0" w:line="240" w:lineRule="auto"/>
        <w:ind w:firstLine="708"/>
        <w:rPr>
          <w:rFonts w:ascii="Arial" w:hAnsi="Arial" w:cs="Arial"/>
          <w:sz w:val="20"/>
          <w:szCs w:val="20"/>
          <w:lang w:eastAsia="pt-BR"/>
        </w:rPr>
      </w:pPr>
      <w:r w:rsidRPr="00122606">
        <w:rPr>
          <w:rFonts w:ascii="Arial" w:hAnsi="Arial" w:cs="Arial"/>
          <w:sz w:val="20"/>
          <w:szCs w:val="20"/>
          <w:lang w:eastAsia="pt-BR"/>
        </w:rPr>
        <w:t xml:space="preserve">   </w:t>
      </w:r>
      <w:r w:rsidR="00113B0F" w:rsidRPr="002A7FCB">
        <w:rPr>
          <w:rFonts w:ascii="Arial" w:hAnsi="Arial" w:cs="Arial"/>
          <w:sz w:val="20"/>
          <w:szCs w:val="20"/>
          <w:lang w:eastAsia="pt-BR"/>
        </w:rPr>
        <w:t>&lt;CodigoUnidadeGestora&gt;</w:t>
      </w:r>
      <w:r w:rsidR="00113B0F" w:rsidRPr="002A7FCB">
        <w:rPr>
          <w:rFonts w:ascii="Arial" w:hAnsi="Arial" w:cs="Arial"/>
          <w:b/>
          <w:sz w:val="20"/>
          <w:szCs w:val="20"/>
          <w:lang w:eastAsia="pt-BR"/>
        </w:rPr>
        <w:t>XXXXXXXXXXX</w:t>
      </w:r>
      <w:r w:rsidR="00113B0F" w:rsidRPr="002A7FCB">
        <w:rPr>
          <w:rFonts w:ascii="Arial" w:hAnsi="Arial" w:cs="Arial"/>
          <w:sz w:val="20"/>
          <w:szCs w:val="20"/>
          <w:lang w:eastAsia="pt-BR"/>
        </w:rPr>
        <w:t>&lt;/CodigoUnidadeGestora&gt;</w:t>
      </w:r>
    </w:p>
    <w:p w14:paraId="3AEDCA1E" w14:textId="3B3381C0" w:rsidR="00113B0F" w:rsidRPr="00E963EB" w:rsidRDefault="00113B0F" w:rsidP="00113B0F">
      <w:pPr>
        <w:spacing w:after="0" w:line="240" w:lineRule="auto"/>
        <w:ind w:left="851"/>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t>&lt;AtoAdministrativoGeradordespesa&gt;</w:t>
      </w:r>
      <w:r w:rsidRPr="00E963EB">
        <w:rPr>
          <w:rFonts w:ascii="Arial" w:eastAsia="Times New Roman" w:hAnsi="Arial" w:cs="Arial"/>
          <w:b/>
          <w:sz w:val="20"/>
          <w:szCs w:val="20"/>
          <w:lang w:eastAsia="pt-BR"/>
        </w:rPr>
        <w:t>9</w:t>
      </w:r>
      <w:r w:rsidRPr="00E963EB">
        <w:rPr>
          <w:rFonts w:ascii="Arial" w:eastAsia="Times New Roman" w:hAnsi="Arial" w:cs="Arial"/>
          <w:sz w:val="20"/>
          <w:szCs w:val="20"/>
          <w:lang w:eastAsia="pt-BR"/>
        </w:rPr>
        <w:t>&lt;/AtoAdministrativoGeradordespesa&gt;</w:t>
      </w:r>
    </w:p>
    <w:p w14:paraId="4F6FA4DC" w14:textId="6658B902" w:rsidR="00113B0F" w:rsidRPr="00E963EB" w:rsidRDefault="00113B0F" w:rsidP="00113B0F">
      <w:pPr>
        <w:spacing w:after="0" w:line="240" w:lineRule="auto"/>
        <w:ind w:left="851"/>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t>&lt;NumeroAtoAdmin</w:t>
      </w:r>
      <w:r w:rsidR="00A45E5D">
        <w:rPr>
          <w:rFonts w:ascii="Arial" w:eastAsia="Times New Roman" w:hAnsi="Arial" w:cs="Arial"/>
          <w:sz w:val="20"/>
          <w:szCs w:val="20"/>
          <w:lang w:eastAsia="pt-BR"/>
        </w:rPr>
        <w:t>i</w:t>
      </w:r>
      <w:r w:rsidRPr="00E963EB">
        <w:rPr>
          <w:rFonts w:ascii="Arial" w:eastAsia="Times New Roman" w:hAnsi="Arial" w:cs="Arial"/>
          <w:sz w:val="20"/>
          <w:szCs w:val="20"/>
          <w:lang w:eastAsia="pt-BR"/>
        </w:rPr>
        <w:t>strativo&gt;</w:t>
      </w:r>
      <w:r w:rsidRPr="00E963EB">
        <w:rPr>
          <w:rFonts w:ascii="Arial" w:eastAsia="Times New Roman" w:hAnsi="Arial" w:cs="Arial"/>
          <w:b/>
          <w:sz w:val="20"/>
          <w:szCs w:val="20"/>
          <w:lang w:eastAsia="pt-BR"/>
        </w:rPr>
        <w:t>XXX...XXX</w:t>
      </w:r>
      <w:r w:rsidRPr="00E963EB">
        <w:rPr>
          <w:rFonts w:ascii="Arial" w:eastAsia="Times New Roman" w:hAnsi="Arial" w:cs="Arial"/>
          <w:sz w:val="20"/>
          <w:szCs w:val="20"/>
          <w:lang w:eastAsia="pt-BR"/>
        </w:rPr>
        <w:t>&lt;/ NumeroAtoAdmin</w:t>
      </w:r>
      <w:r w:rsidR="00A45E5D">
        <w:rPr>
          <w:rFonts w:ascii="Arial" w:eastAsia="Times New Roman" w:hAnsi="Arial" w:cs="Arial"/>
          <w:sz w:val="20"/>
          <w:szCs w:val="20"/>
          <w:lang w:eastAsia="pt-BR"/>
        </w:rPr>
        <w:t>i</w:t>
      </w:r>
      <w:r w:rsidRPr="00E963EB">
        <w:rPr>
          <w:rFonts w:ascii="Arial" w:eastAsia="Times New Roman" w:hAnsi="Arial" w:cs="Arial"/>
          <w:sz w:val="20"/>
          <w:szCs w:val="20"/>
          <w:lang w:eastAsia="pt-BR"/>
        </w:rPr>
        <w:t>strativo&gt;</w:t>
      </w:r>
    </w:p>
    <w:p w14:paraId="09145C19" w14:textId="04CA71E9" w:rsidR="00113B0F" w:rsidRPr="00E963EB" w:rsidRDefault="00113B0F" w:rsidP="00113B0F">
      <w:pPr>
        <w:spacing w:after="0" w:line="240" w:lineRule="auto"/>
        <w:ind w:left="851"/>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t>&lt;AnoAtoAdmin</w:t>
      </w:r>
      <w:r w:rsidR="00A45E5D">
        <w:rPr>
          <w:rFonts w:ascii="Arial" w:eastAsia="Times New Roman" w:hAnsi="Arial" w:cs="Arial"/>
          <w:sz w:val="20"/>
          <w:szCs w:val="20"/>
          <w:lang w:eastAsia="pt-BR"/>
        </w:rPr>
        <w:t>i</w:t>
      </w:r>
      <w:r w:rsidRPr="00E963EB">
        <w:rPr>
          <w:rFonts w:ascii="Arial" w:eastAsia="Times New Roman" w:hAnsi="Arial" w:cs="Arial"/>
          <w:sz w:val="20"/>
          <w:szCs w:val="20"/>
          <w:lang w:eastAsia="pt-BR"/>
        </w:rPr>
        <w:t>strativo&gt;</w:t>
      </w:r>
      <w:r w:rsidRPr="00E963EB">
        <w:rPr>
          <w:rFonts w:ascii="Arial" w:eastAsia="Times New Roman" w:hAnsi="Arial" w:cs="Arial"/>
          <w:b/>
          <w:sz w:val="20"/>
          <w:szCs w:val="20"/>
          <w:lang w:eastAsia="pt-BR"/>
        </w:rPr>
        <w:t>9999</w:t>
      </w:r>
      <w:r w:rsidRPr="00E963EB">
        <w:rPr>
          <w:rFonts w:ascii="Arial" w:eastAsia="Times New Roman" w:hAnsi="Arial" w:cs="Arial"/>
          <w:sz w:val="20"/>
          <w:szCs w:val="20"/>
          <w:lang w:eastAsia="pt-BR"/>
        </w:rPr>
        <w:t>&lt;/AnoAtoAdmin</w:t>
      </w:r>
      <w:r w:rsidR="00A45E5D">
        <w:rPr>
          <w:rFonts w:ascii="Arial" w:eastAsia="Times New Roman" w:hAnsi="Arial" w:cs="Arial"/>
          <w:sz w:val="20"/>
          <w:szCs w:val="20"/>
          <w:lang w:eastAsia="pt-BR"/>
        </w:rPr>
        <w:t>i</w:t>
      </w:r>
      <w:r w:rsidRPr="00E963EB">
        <w:rPr>
          <w:rFonts w:ascii="Arial" w:eastAsia="Times New Roman" w:hAnsi="Arial" w:cs="Arial"/>
          <w:sz w:val="20"/>
          <w:szCs w:val="20"/>
          <w:lang w:eastAsia="pt-BR"/>
        </w:rPr>
        <w:t>strativo&gt;</w:t>
      </w:r>
    </w:p>
    <w:p w14:paraId="4D582640" w14:textId="2D6EE6BC" w:rsidR="00113B0F" w:rsidRPr="00E963EB" w:rsidRDefault="00113B0F" w:rsidP="00113B0F">
      <w:pPr>
        <w:spacing w:after="0" w:line="240" w:lineRule="auto"/>
        <w:ind w:left="851"/>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t>&lt;DataAssinaturaAtoAdmin</w:t>
      </w:r>
      <w:r w:rsidR="00A45E5D">
        <w:rPr>
          <w:rFonts w:ascii="Arial" w:eastAsia="Times New Roman" w:hAnsi="Arial" w:cs="Arial"/>
          <w:sz w:val="20"/>
          <w:szCs w:val="20"/>
          <w:lang w:eastAsia="pt-BR"/>
        </w:rPr>
        <w:t>i</w:t>
      </w:r>
      <w:r w:rsidRPr="00E963EB">
        <w:rPr>
          <w:rFonts w:ascii="Arial" w:eastAsia="Times New Roman" w:hAnsi="Arial" w:cs="Arial"/>
          <w:sz w:val="20"/>
          <w:szCs w:val="20"/>
          <w:lang w:eastAsia="pt-BR"/>
        </w:rPr>
        <w:t>strativo&gt;</w:t>
      </w:r>
      <w:r w:rsidRPr="00E963EB">
        <w:rPr>
          <w:rFonts w:ascii="Arial" w:eastAsia="Times New Roman" w:hAnsi="Arial" w:cs="Arial"/>
          <w:b/>
          <w:sz w:val="20"/>
          <w:szCs w:val="20"/>
          <w:lang w:eastAsia="pt-BR"/>
        </w:rPr>
        <w:t>9999-99-99</w:t>
      </w:r>
      <w:r w:rsidRPr="00E963EB">
        <w:rPr>
          <w:rFonts w:ascii="Arial" w:eastAsia="Times New Roman" w:hAnsi="Arial" w:cs="Arial"/>
          <w:sz w:val="20"/>
          <w:szCs w:val="20"/>
          <w:lang w:eastAsia="pt-BR"/>
        </w:rPr>
        <w:t>&lt;/DataAssinaturaAtoAdmin</w:t>
      </w:r>
      <w:r w:rsidR="00A45E5D">
        <w:rPr>
          <w:rFonts w:ascii="Arial" w:eastAsia="Times New Roman" w:hAnsi="Arial" w:cs="Arial"/>
          <w:sz w:val="20"/>
          <w:szCs w:val="20"/>
          <w:lang w:eastAsia="pt-BR"/>
        </w:rPr>
        <w:t>i</w:t>
      </w:r>
      <w:r w:rsidRPr="00E963EB">
        <w:rPr>
          <w:rFonts w:ascii="Arial" w:eastAsia="Times New Roman" w:hAnsi="Arial" w:cs="Arial"/>
          <w:sz w:val="20"/>
          <w:szCs w:val="20"/>
          <w:lang w:eastAsia="pt-BR"/>
        </w:rPr>
        <w:t>strativo&gt;</w:t>
      </w:r>
    </w:p>
    <w:p w14:paraId="71FBA799" w14:textId="553CC52F" w:rsidR="00113B0F" w:rsidRPr="00E963EB" w:rsidRDefault="00113B0F" w:rsidP="00113B0F">
      <w:pPr>
        <w:spacing w:after="0" w:line="240" w:lineRule="auto"/>
        <w:ind w:left="851"/>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t>&lt;ObjetoAtoAdmin</w:t>
      </w:r>
      <w:r w:rsidR="00A45E5D">
        <w:rPr>
          <w:rFonts w:ascii="Arial" w:eastAsia="Times New Roman" w:hAnsi="Arial" w:cs="Arial"/>
          <w:sz w:val="20"/>
          <w:szCs w:val="20"/>
          <w:lang w:eastAsia="pt-BR"/>
        </w:rPr>
        <w:t>i</w:t>
      </w:r>
      <w:r w:rsidRPr="00E963EB">
        <w:rPr>
          <w:rFonts w:ascii="Arial" w:eastAsia="Times New Roman" w:hAnsi="Arial" w:cs="Arial"/>
          <w:sz w:val="20"/>
          <w:szCs w:val="20"/>
          <w:lang w:eastAsia="pt-BR"/>
        </w:rPr>
        <w:t>strativo&gt;</w:t>
      </w:r>
      <w:r w:rsidRPr="00E963EB">
        <w:rPr>
          <w:rFonts w:ascii="Arial" w:eastAsia="Times New Roman" w:hAnsi="Arial" w:cs="Arial"/>
          <w:b/>
          <w:sz w:val="20"/>
          <w:szCs w:val="20"/>
          <w:lang w:eastAsia="pt-BR"/>
        </w:rPr>
        <w:t>XXX...XXX</w:t>
      </w:r>
      <w:r w:rsidRPr="00E963EB">
        <w:rPr>
          <w:rFonts w:ascii="Arial" w:eastAsia="Times New Roman" w:hAnsi="Arial" w:cs="Arial"/>
          <w:sz w:val="20"/>
          <w:szCs w:val="20"/>
          <w:lang w:eastAsia="pt-BR"/>
        </w:rPr>
        <w:t>&lt;/ObjetoAtoAdmin</w:t>
      </w:r>
      <w:r w:rsidR="00A45E5D">
        <w:rPr>
          <w:rFonts w:ascii="Arial" w:eastAsia="Times New Roman" w:hAnsi="Arial" w:cs="Arial"/>
          <w:sz w:val="20"/>
          <w:szCs w:val="20"/>
          <w:lang w:eastAsia="pt-BR"/>
        </w:rPr>
        <w:t>i</w:t>
      </w:r>
      <w:r w:rsidRPr="00E963EB">
        <w:rPr>
          <w:rFonts w:ascii="Arial" w:eastAsia="Times New Roman" w:hAnsi="Arial" w:cs="Arial"/>
          <w:sz w:val="20"/>
          <w:szCs w:val="20"/>
          <w:lang w:eastAsia="pt-BR"/>
        </w:rPr>
        <w:t>strativo&gt;</w:t>
      </w:r>
    </w:p>
    <w:p w14:paraId="10B68025" w14:textId="33D2AC32" w:rsidR="00113B0F" w:rsidRPr="00E963EB" w:rsidRDefault="00113B0F" w:rsidP="00113B0F">
      <w:pPr>
        <w:spacing w:after="0" w:line="240" w:lineRule="auto"/>
        <w:ind w:left="851"/>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t>&lt;ValorTotalAtoAdmin</w:t>
      </w:r>
      <w:r w:rsidR="00A45E5D">
        <w:rPr>
          <w:rFonts w:ascii="Arial" w:eastAsia="Times New Roman" w:hAnsi="Arial" w:cs="Arial"/>
          <w:sz w:val="20"/>
          <w:szCs w:val="20"/>
          <w:lang w:eastAsia="pt-BR"/>
        </w:rPr>
        <w:t>i</w:t>
      </w:r>
      <w:r w:rsidRPr="00E963EB">
        <w:rPr>
          <w:rFonts w:ascii="Arial" w:eastAsia="Times New Roman" w:hAnsi="Arial" w:cs="Arial"/>
          <w:sz w:val="20"/>
          <w:szCs w:val="20"/>
          <w:lang w:eastAsia="pt-BR"/>
        </w:rPr>
        <w:t>strativo&gt;</w:t>
      </w:r>
      <w:r w:rsidRPr="00E963EB">
        <w:rPr>
          <w:rFonts w:ascii="Arial" w:eastAsia="Times New Roman" w:hAnsi="Arial" w:cs="Arial"/>
          <w:b/>
          <w:sz w:val="20"/>
          <w:szCs w:val="20"/>
          <w:lang w:eastAsia="pt-BR"/>
        </w:rPr>
        <w:t>99999999999999.99</w:t>
      </w:r>
      <w:r w:rsidRPr="00E963EB">
        <w:rPr>
          <w:rFonts w:ascii="Arial" w:eastAsia="Times New Roman" w:hAnsi="Arial" w:cs="Arial"/>
          <w:sz w:val="20"/>
          <w:szCs w:val="20"/>
          <w:lang w:eastAsia="pt-BR"/>
        </w:rPr>
        <w:t>&lt;/ValorTotalAtoAdmin</w:t>
      </w:r>
      <w:r w:rsidR="00A45E5D">
        <w:rPr>
          <w:rFonts w:ascii="Arial" w:eastAsia="Times New Roman" w:hAnsi="Arial" w:cs="Arial"/>
          <w:sz w:val="20"/>
          <w:szCs w:val="20"/>
          <w:lang w:eastAsia="pt-BR"/>
        </w:rPr>
        <w:t>i</w:t>
      </w:r>
      <w:r w:rsidRPr="00E963EB">
        <w:rPr>
          <w:rFonts w:ascii="Arial" w:eastAsia="Times New Roman" w:hAnsi="Arial" w:cs="Arial"/>
          <w:sz w:val="20"/>
          <w:szCs w:val="20"/>
          <w:lang w:eastAsia="pt-BR"/>
        </w:rPr>
        <w:t xml:space="preserve">strativo&gt; </w:t>
      </w:r>
    </w:p>
    <w:p w14:paraId="445EC390" w14:textId="77777777" w:rsidR="00113B0F" w:rsidRPr="00E963EB" w:rsidRDefault="00113B0F" w:rsidP="00113B0F">
      <w:pPr>
        <w:spacing w:after="0" w:line="240" w:lineRule="auto"/>
        <w:ind w:left="851"/>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t>&lt;NumeroEmpenho&gt;</w:t>
      </w:r>
      <w:r w:rsidRPr="00E963EB">
        <w:rPr>
          <w:rFonts w:ascii="Arial" w:eastAsia="Times New Roman" w:hAnsi="Arial" w:cs="Arial"/>
          <w:b/>
          <w:sz w:val="20"/>
          <w:szCs w:val="20"/>
          <w:lang w:eastAsia="pt-BR"/>
        </w:rPr>
        <w:t>XXX...XXX</w:t>
      </w:r>
      <w:r w:rsidRPr="00E963EB">
        <w:rPr>
          <w:rFonts w:ascii="Arial" w:eastAsia="Times New Roman" w:hAnsi="Arial" w:cs="Arial"/>
          <w:sz w:val="20"/>
          <w:szCs w:val="20"/>
          <w:lang w:eastAsia="pt-BR"/>
        </w:rPr>
        <w:t>&lt;/NumeroEmpenho&gt;</w:t>
      </w:r>
    </w:p>
    <w:p w14:paraId="02814707" w14:textId="77777777" w:rsidR="00113B0F" w:rsidRPr="00E963EB" w:rsidRDefault="00113B0F" w:rsidP="00113B0F">
      <w:pPr>
        <w:spacing w:after="0" w:line="240" w:lineRule="auto"/>
        <w:ind w:left="851"/>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t>&lt;AnoEmpenho&gt;</w:t>
      </w:r>
      <w:r w:rsidRPr="00E963EB">
        <w:rPr>
          <w:rFonts w:ascii="Arial" w:eastAsia="Times New Roman" w:hAnsi="Arial" w:cs="Arial"/>
          <w:b/>
          <w:sz w:val="20"/>
          <w:szCs w:val="20"/>
          <w:lang w:eastAsia="pt-BR"/>
        </w:rPr>
        <w:t>9999</w:t>
      </w:r>
      <w:r w:rsidRPr="00E963EB">
        <w:rPr>
          <w:rFonts w:ascii="Arial" w:eastAsia="Times New Roman" w:hAnsi="Arial" w:cs="Arial"/>
          <w:sz w:val="20"/>
          <w:szCs w:val="20"/>
          <w:lang w:eastAsia="pt-BR"/>
        </w:rPr>
        <w:t>&lt;/AnoEmpenho&gt;</w:t>
      </w:r>
    </w:p>
    <w:p w14:paraId="348E979C" w14:textId="77777777" w:rsidR="00113B0F" w:rsidRPr="00E963EB" w:rsidRDefault="00113B0F" w:rsidP="00113B0F">
      <w:pPr>
        <w:spacing w:after="0" w:line="240" w:lineRule="auto"/>
        <w:ind w:left="851"/>
        <w:jc w:val="both"/>
        <w:rPr>
          <w:rFonts w:ascii="Arial" w:hAnsi="Arial" w:cs="Arial"/>
          <w:sz w:val="20"/>
          <w:szCs w:val="20"/>
          <w:lang w:eastAsia="pt-BR"/>
        </w:rPr>
      </w:pPr>
      <w:r w:rsidRPr="00E963EB">
        <w:rPr>
          <w:rFonts w:ascii="Arial" w:hAnsi="Arial" w:cs="Arial"/>
          <w:sz w:val="20"/>
          <w:szCs w:val="20"/>
          <w:lang w:eastAsia="pt-BR"/>
        </w:rPr>
        <w:t>&lt;PandemiaCovid19&gt;9&lt;/PandemiaCovid19&gt;</w:t>
      </w:r>
    </w:p>
    <w:p w14:paraId="5D5AFAC3" w14:textId="77777777" w:rsidR="00113B0F" w:rsidRPr="00E963EB" w:rsidRDefault="00113B0F" w:rsidP="00113B0F">
      <w:pPr>
        <w:spacing w:after="0" w:line="240" w:lineRule="auto"/>
        <w:ind w:left="851"/>
        <w:jc w:val="both"/>
        <w:rPr>
          <w:rFonts w:ascii="Arial" w:eastAsia="Times New Roman" w:hAnsi="Arial" w:cs="Arial"/>
          <w:sz w:val="20"/>
          <w:szCs w:val="20"/>
          <w:lang w:eastAsia="pt-BR"/>
        </w:rPr>
      </w:pPr>
      <w:r w:rsidRPr="00E963EB">
        <w:rPr>
          <w:rFonts w:ascii="Arial" w:hAnsi="Arial" w:cs="Arial"/>
          <w:sz w:val="20"/>
          <w:szCs w:val="20"/>
          <w:lang w:eastAsia="pt-BR"/>
        </w:rPr>
        <w:t>&lt;DespesaObrigatoriaCaraterContinuado&gt;</w:t>
      </w:r>
      <w:r w:rsidRPr="00E963EB">
        <w:rPr>
          <w:rFonts w:ascii="Arial" w:hAnsi="Arial" w:cs="Arial"/>
          <w:b/>
          <w:sz w:val="20"/>
          <w:szCs w:val="20"/>
          <w:lang w:eastAsia="pt-BR"/>
        </w:rPr>
        <w:t>X</w:t>
      </w:r>
      <w:r w:rsidRPr="00E963EB">
        <w:rPr>
          <w:rFonts w:ascii="Arial" w:hAnsi="Arial" w:cs="Arial"/>
          <w:sz w:val="20"/>
          <w:szCs w:val="20"/>
          <w:lang w:eastAsia="pt-BR"/>
        </w:rPr>
        <w:t>&lt;/DespesaObrigatoriaCaraterContinuado&gt;</w:t>
      </w:r>
    </w:p>
    <w:p w14:paraId="4F516D35" w14:textId="7F3F4928" w:rsidR="00A1008F" w:rsidRPr="00E963EB" w:rsidRDefault="00A1008F" w:rsidP="00113B0F">
      <w:pPr>
        <w:spacing w:after="0" w:line="240" w:lineRule="auto"/>
        <w:ind w:firstLine="708"/>
        <w:rPr>
          <w:rFonts w:ascii="Arial" w:eastAsia="Times New Roman" w:hAnsi="Arial" w:cs="Arial"/>
          <w:sz w:val="20"/>
          <w:szCs w:val="20"/>
          <w:lang w:eastAsia="pt-BR"/>
        </w:rPr>
      </w:pPr>
      <w:r w:rsidRPr="00E963EB">
        <w:rPr>
          <w:rFonts w:ascii="Arial" w:eastAsia="Times New Roman" w:hAnsi="Arial" w:cs="Arial"/>
          <w:sz w:val="20"/>
          <w:szCs w:val="20"/>
          <w:lang w:eastAsia="pt-BR"/>
        </w:rPr>
        <w:t xml:space="preserve">  </w:t>
      </w:r>
      <w:r w:rsidR="00113B0F" w:rsidRPr="00E963EB">
        <w:rPr>
          <w:rFonts w:ascii="Arial" w:eastAsia="Times New Roman" w:hAnsi="Arial" w:cs="Arial"/>
          <w:sz w:val="20"/>
          <w:szCs w:val="20"/>
          <w:lang w:eastAsia="pt-BR"/>
        </w:rPr>
        <w:t>&lt;NumeroProcessoEmpenho&gt;</w:t>
      </w:r>
      <w:r w:rsidR="00113B0F" w:rsidRPr="00E963EB">
        <w:rPr>
          <w:rFonts w:ascii="Arial" w:eastAsia="Times New Roman" w:hAnsi="Arial" w:cs="Arial"/>
          <w:b/>
          <w:sz w:val="20"/>
          <w:szCs w:val="20"/>
          <w:lang w:eastAsia="pt-BR"/>
        </w:rPr>
        <w:t>XXX...XXX</w:t>
      </w:r>
      <w:r w:rsidR="00113B0F" w:rsidRPr="00E963EB">
        <w:rPr>
          <w:rFonts w:ascii="Arial" w:eastAsia="Times New Roman" w:hAnsi="Arial" w:cs="Arial"/>
          <w:sz w:val="20"/>
          <w:szCs w:val="20"/>
          <w:lang w:eastAsia="pt-BR"/>
        </w:rPr>
        <w:t>&lt;/NumeroProcessoEmpenho&gt;</w:t>
      </w:r>
    </w:p>
    <w:p w14:paraId="7D6144EA" w14:textId="7D40F489" w:rsidR="00EE0371" w:rsidRPr="00EE0371" w:rsidRDefault="00A1008F" w:rsidP="00113B0F">
      <w:pPr>
        <w:spacing w:after="0" w:line="240" w:lineRule="auto"/>
        <w:ind w:firstLine="708"/>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 xml:space="preserve">  </w:t>
      </w:r>
      <w:r w:rsidR="00EE0371" w:rsidRPr="00EE0371">
        <w:rPr>
          <w:rFonts w:ascii="Arial" w:eastAsia="Times New Roman" w:hAnsi="Arial" w:cs="Arial"/>
          <w:color w:val="000000"/>
          <w:sz w:val="20"/>
          <w:szCs w:val="20"/>
          <w:lang w:eastAsia="pt-BR"/>
        </w:rPr>
        <w:t>&lt;AnoProcessoEmpenho&gt;</w:t>
      </w:r>
      <w:r w:rsidR="00EE0371" w:rsidRPr="00EE0371">
        <w:rPr>
          <w:rFonts w:ascii="Arial" w:eastAsia="Times New Roman" w:hAnsi="Arial" w:cs="Arial"/>
          <w:b/>
          <w:color w:val="000000"/>
          <w:sz w:val="20"/>
          <w:szCs w:val="20"/>
          <w:lang w:eastAsia="pt-BR"/>
        </w:rPr>
        <w:t>9999</w:t>
      </w:r>
      <w:r w:rsidR="00EE0371" w:rsidRPr="00EE0371">
        <w:rPr>
          <w:rFonts w:ascii="Arial" w:eastAsia="Times New Roman" w:hAnsi="Arial" w:cs="Arial"/>
          <w:color w:val="000000"/>
          <w:sz w:val="20"/>
          <w:szCs w:val="20"/>
          <w:lang w:eastAsia="pt-BR"/>
        </w:rPr>
        <w:t>&lt;/AnoProcessoEmpenho&gt;</w:t>
      </w:r>
    </w:p>
    <w:p w14:paraId="179DB3AE" w14:textId="77777777" w:rsidR="00EE0371" w:rsidRPr="00EE0371" w:rsidRDefault="00EE0371" w:rsidP="00EE0371">
      <w:pPr>
        <w:spacing w:after="0" w:line="240" w:lineRule="auto"/>
        <w:ind w:left="851"/>
        <w:jc w:val="both"/>
        <w:rPr>
          <w:rFonts w:ascii="Arial" w:eastAsia="Times New Roman" w:hAnsi="Arial" w:cs="Arial"/>
          <w:color w:val="000000"/>
          <w:sz w:val="20"/>
          <w:szCs w:val="20"/>
          <w:lang w:eastAsia="pt-BR"/>
        </w:rPr>
      </w:pPr>
      <w:r w:rsidRPr="00EE0371">
        <w:rPr>
          <w:rFonts w:ascii="Arial" w:eastAsia="Times New Roman" w:hAnsi="Arial" w:cs="Arial"/>
          <w:color w:val="000000"/>
          <w:sz w:val="20"/>
          <w:szCs w:val="20"/>
          <w:lang w:eastAsia="pt-BR"/>
        </w:rPr>
        <w:t>&lt;TipoEmpenho&gt;</w:t>
      </w:r>
      <w:r w:rsidRPr="00EE0371">
        <w:rPr>
          <w:rFonts w:ascii="Arial" w:eastAsia="Times New Roman" w:hAnsi="Arial" w:cs="Arial"/>
          <w:b/>
          <w:color w:val="000000"/>
          <w:sz w:val="20"/>
          <w:szCs w:val="20"/>
          <w:lang w:eastAsia="pt-BR"/>
        </w:rPr>
        <w:t>XX</w:t>
      </w:r>
      <w:r w:rsidRPr="00EE0371">
        <w:rPr>
          <w:rFonts w:ascii="Arial" w:eastAsia="Times New Roman" w:hAnsi="Arial" w:cs="Arial"/>
          <w:color w:val="000000"/>
          <w:sz w:val="20"/>
          <w:szCs w:val="20"/>
          <w:lang w:eastAsia="pt-BR"/>
        </w:rPr>
        <w:t>&lt;/TipoEmpenho&gt;</w:t>
      </w:r>
    </w:p>
    <w:p w14:paraId="1802D8A1" w14:textId="77777777" w:rsidR="00EE0371" w:rsidRPr="00EE0371" w:rsidRDefault="00EE0371" w:rsidP="00EE0371">
      <w:pPr>
        <w:spacing w:after="0" w:line="240" w:lineRule="auto"/>
        <w:ind w:left="851"/>
        <w:jc w:val="both"/>
        <w:rPr>
          <w:rFonts w:ascii="Arial" w:eastAsia="Times New Roman" w:hAnsi="Arial" w:cs="Arial"/>
          <w:color w:val="000000"/>
          <w:sz w:val="20"/>
          <w:szCs w:val="20"/>
          <w:lang w:eastAsia="pt-BR"/>
        </w:rPr>
      </w:pPr>
      <w:r w:rsidRPr="00EE0371">
        <w:rPr>
          <w:rFonts w:ascii="Arial" w:eastAsia="Times New Roman" w:hAnsi="Arial" w:cs="Arial"/>
          <w:color w:val="000000"/>
          <w:sz w:val="20"/>
          <w:szCs w:val="20"/>
          <w:lang w:eastAsia="pt-BR"/>
        </w:rPr>
        <w:t>&lt;DataEmpenho&gt;</w:t>
      </w:r>
      <w:r w:rsidRPr="00EE0371">
        <w:rPr>
          <w:rFonts w:ascii="Arial" w:eastAsia="Times New Roman" w:hAnsi="Arial" w:cs="Arial"/>
          <w:b/>
          <w:color w:val="000000"/>
          <w:sz w:val="20"/>
          <w:szCs w:val="20"/>
          <w:lang w:eastAsia="pt-BR"/>
        </w:rPr>
        <w:t>9999-99-99</w:t>
      </w:r>
      <w:r w:rsidRPr="00EE0371">
        <w:rPr>
          <w:rFonts w:ascii="Arial" w:eastAsia="Times New Roman" w:hAnsi="Arial" w:cs="Arial"/>
          <w:color w:val="000000"/>
          <w:sz w:val="20"/>
          <w:szCs w:val="20"/>
          <w:lang w:eastAsia="pt-BR"/>
        </w:rPr>
        <w:t>&lt;/DataEmpenho&gt;</w:t>
      </w:r>
    </w:p>
    <w:p w14:paraId="403D57BA" w14:textId="77777777" w:rsidR="00EE0371" w:rsidRPr="00EE0371" w:rsidRDefault="00EE0371" w:rsidP="00EE0371">
      <w:pPr>
        <w:spacing w:after="0" w:line="240" w:lineRule="auto"/>
        <w:ind w:left="851"/>
        <w:jc w:val="both"/>
        <w:rPr>
          <w:rFonts w:ascii="Arial" w:eastAsia="Times New Roman" w:hAnsi="Arial" w:cs="Arial"/>
          <w:color w:val="000000"/>
          <w:sz w:val="20"/>
          <w:szCs w:val="20"/>
          <w:lang w:eastAsia="pt-BR"/>
        </w:rPr>
      </w:pPr>
      <w:r w:rsidRPr="00EE0371">
        <w:rPr>
          <w:rFonts w:ascii="Arial" w:eastAsia="Times New Roman" w:hAnsi="Arial" w:cs="Arial"/>
          <w:color w:val="000000"/>
          <w:sz w:val="20"/>
          <w:szCs w:val="20"/>
          <w:lang w:eastAsia="pt-BR"/>
        </w:rPr>
        <w:t>&lt;TipoIdentificacao&gt;</w:t>
      </w:r>
      <w:r w:rsidRPr="00EE0371">
        <w:rPr>
          <w:rFonts w:ascii="Arial" w:eastAsia="Times New Roman" w:hAnsi="Arial" w:cs="Arial"/>
          <w:b/>
          <w:color w:val="000000"/>
          <w:sz w:val="20"/>
          <w:szCs w:val="20"/>
          <w:lang w:eastAsia="pt-BR"/>
        </w:rPr>
        <w:t>XX</w:t>
      </w:r>
      <w:r w:rsidRPr="00EE0371">
        <w:rPr>
          <w:rFonts w:ascii="Arial" w:eastAsia="Times New Roman" w:hAnsi="Arial" w:cs="Arial"/>
          <w:color w:val="000000"/>
          <w:sz w:val="20"/>
          <w:szCs w:val="20"/>
          <w:lang w:eastAsia="pt-BR"/>
        </w:rPr>
        <w:t>&lt;/TipoIdentificacao&gt;</w:t>
      </w:r>
    </w:p>
    <w:p w14:paraId="0C5B601A" w14:textId="77777777" w:rsidR="00EE0371" w:rsidRPr="00EE0371" w:rsidRDefault="00EE0371" w:rsidP="00EE0371">
      <w:pPr>
        <w:spacing w:after="0" w:line="240" w:lineRule="auto"/>
        <w:ind w:left="851"/>
        <w:jc w:val="both"/>
        <w:rPr>
          <w:rFonts w:ascii="Arial" w:eastAsia="Times New Roman" w:hAnsi="Arial" w:cs="Arial"/>
          <w:color w:val="000000"/>
          <w:sz w:val="20"/>
          <w:szCs w:val="20"/>
          <w:lang w:eastAsia="pt-BR"/>
        </w:rPr>
      </w:pPr>
      <w:r w:rsidRPr="00EE0371">
        <w:rPr>
          <w:rFonts w:ascii="Arial" w:eastAsia="Times New Roman" w:hAnsi="Arial" w:cs="Arial"/>
          <w:color w:val="000000"/>
          <w:sz w:val="20"/>
          <w:szCs w:val="20"/>
          <w:lang w:eastAsia="pt-BR"/>
        </w:rPr>
        <w:t>&lt;CodigoCredorFornecedor&gt;</w:t>
      </w:r>
      <w:r w:rsidRPr="00EE0371">
        <w:rPr>
          <w:rFonts w:ascii="Arial" w:eastAsia="Times New Roman" w:hAnsi="Arial" w:cs="Arial"/>
          <w:b/>
          <w:color w:val="000000"/>
          <w:sz w:val="20"/>
          <w:szCs w:val="20"/>
          <w:lang w:eastAsia="pt-BR"/>
        </w:rPr>
        <w:t>XXX...XXX</w:t>
      </w:r>
      <w:r w:rsidRPr="00EE0371">
        <w:rPr>
          <w:rFonts w:ascii="Arial" w:eastAsia="Times New Roman" w:hAnsi="Arial" w:cs="Arial"/>
          <w:color w:val="000000"/>
          <w:sz w:val="20"/>
          <w:szCs w:val="20"/>
          <w:lang w:eastAsia="pt-BR"/>
        </w:rPr>
        <w:t>&lt;/CodigoCredorFornecedor&gt;</w:t>
      </w:r>
    </w:p>
    <w:p w14:paraId="28827DA5" w14:textId="77777777" w:rsidR="00EE0371" w:rsidRPr="00EE0371" w:rsidRDefault="00EE0371" w:rsidP="00EE0371">
      <w:pPr>
        <w:spacing w:after="0" w:line="240" w:lineRule="auto"/>
        <w:ind w:left="851"/>
        <w:jc w:val="both"/>
        <w:rPr>
          <w:rFonts w:ascii="Arial" w:eastAsia="Times New Roman" w:hAnsi="Arial" w:cs="Arial"/>
          <w:color w:val="000000"/>
          <w:sz w:val="20"/>
          <w:szCs w:val="20"/>
          <w:lang w:eastAsia="pt-BR"/>
        </w:rPr>
      </w:pPr>
      <w:r w:rsidRPr="00EE0371">
        <w:rPr>
          <w:rFonts w:ascii="Arial" w:eastAsia="Times New Roman" w:hAnsi="Arial" w:cs="Arial"/>
          <w:color w:val="000000"/>
          <w:sz w:val="20"/>
          <w:szCs w:val="20"/>
          <w:lang w:eastAsia="pt-BR"/>
        </w:rPr>
        <w:t>&lt;NomeCredorFornecedor&gt;</w:t>
      </w:r>
      <w:r w:rsidRPr="00EE0371">
        <w:rPr>
          <w:rFonts w:ascii="Arial" w:eastAsia="Times New Roman" w:hAnsi="Arial" w:cs="Arial"/>
          <w:b/>
          <w:color w:val="000000"/>
          <w:sz w:val="20"/>
          <w:szCs w:val="20"/>
          <w:lang w:eastAsia="pt-BR"/>
        </w:rPr>
        <w:t>XXX...XXX</w:t>
      </w:r>
      <w:r w:rsidRPr="00EE0371">
        <w:rPr>
          <w:rFonts w:ascii="Arial" w:eastAsia="Times New Roman" w:hAnsi="Arial" w:cs="Arial"/>
          <w:color w:val="000000"/>
          <w:sz w:val="20"/>
          <w:szCs w:val="20"/>
          <w:lang w:eastAsia="pt-BR"/>
        </w:rPr>
        <w:t>&lt;/NomeCredorFornecedor&gt;</w:t>
      </w:r>
    </w:p>
    <w:p w14:paraId="311ADF43" w14:textId="77777777" w:rsidR="00EE0371" w:rsidRPr="00EE0371" w:rsidRDefault="00EE0371" w:rsidP="00EE0371">
      <w:pPr>
        <w:spacing w:after="0" w:line="240" w:lineRule="auto"/>
        <w:ind w:left="851"/>
        <w:jc w:val="both"/>
        <w:rPr>
          <w:rFonts w:ascii="Arial" w:eastAsia="Times New Roman" w:hAnsi="Arial" w:cs="Arial"/>
          <w:color w:val="000000"/>
          <w:sz w:val="20"/>
          <w:szCs w:val="20"/>
          <w:lang w:eastAsia="pt-BR"/>
        </w:rPr>
      </w:pPr>
      <w:r w:rsidRPr="00EE0371">
        <w:rPr>
          <w:rFonts w:ascii="Arial" w:eastAsia="Times New Roman" w:hAnsi="Arial" w:cs="Arial"/>
          <w:color w:val="000000"/>
          <w:sz w:val="20"/>
          <w:szCs w:val="20"/>
          <w:lang w:eastAsia="pt-BR"/>
        </w:rPr>
        <w:t>&lt;ValorEmpenho&gt;</w:t>
      </w:r>
      <w:r w:rsidRPr="00EE0371">
        <w:rPr>
          <w:rFonts w:ascii="Arial" w:eastAsia="Times New Roman" w:hAnsi="Arial" w:cs="Arial"/>
          <w:b/>
          <w:color w:val="000000"/>
          <w:sz w:val="20"/>
          <w:szCs w:val="20"/>
          <w:lang w:eastAsia="pt-BR"/>
        </w:rPr>
        <w:t>99999999999999.99</w:t>
      </w:r>
      <w:r w:rsidRPr="00EE0371">
        <w:rPr>
          <w:rFonts w:ascii="Arial" w:eastAsia="Times New Roman" w:hAnsi="Arial" w:cs="Arial"/>
          <w:color w:val="000000"/>
          <w:sz w:val="20"/>
          <w:szCs w:val="20"/>
          <w:lang w:eastAsia="pt-BR"/>
        </w:rPr>
        <w:t xml:space="preserve">&lt;/ValorEmpenho&gt; </w:t>
      </w:r>
    </w:p>
    <w:p w14:paraId="6EF3C948" w14:textId="77777777" w:rsidR="00EE0371" w:rsidRPr="00EE0371" w:rsidRDefault="00EE0371" w:rsidP="00EE0371">
      <w:pPr>
        <w:spacing w:after="0" w:line="240" w:lineRule="auto"/>
        <w:ind w:left="851"/>
        <w:jc w:val="both"/>
        <w:rPr>
          <w:rFonts w:ascii="Arial" w:eastAsia="Times New Roman" w:hAnsi="Arial" w:cs="Arial"/>
          <w:color w:val="000000"/>
          <w:sz w:val="20"/>
          <w:szCs w:val="20"/>
          <w:lang w:eastAsia="pt-BR"/>
        </w:rPr>
      </w:pPr>
      <w:r w:rsidRPr="00EE0371">
        <w:rPr>
          <w:rFonts w:ascii="Arial" w:eastAsia="Times New Roman" w:hAnsi="Arial" w:cs="Arial"/>
          <w:color w:val="000000"/>
          <w:sz w:val="20"/>
          <w:szCs w:val="20"/>
          <w:lang w:eastAsia="pt-BR"/>
        </w:rPr>
        <w:lastRenderedPageBreak/>
        <w:t>&lt;CodigoOrgao&gt;</w:t>
      </w:r>
      <w:r w:rsidRPr="00EE0371">
        <w:rPr>
          <w:rFonts w:ascii="Arial" w:eastAsia="Times New Roman" w:hAnsi="Arial" w:cs="Arial"/>
          <w:b/>
          <w:color w:val="000000"/>
          <w:sz w:val="20"/>
          <w:szCs w:val="20"/>
          <w:lang w:eastAsia="pt-BR"/>
        </w:rPr>
        <w:t>XXXXXX</w:t>
      </w:r>
      <w:r w:rsidRPr="00EE0371">
        <w:rPr>
          <w:rFonts w:ascii="Arial" w:eastAsia="Times New Roman" w:hAnsi="Arial" w:cs="Arial"/>
          <w:color w:val="000000"/>
          <w:sz w:val="20"/>
          <w:szCs w:val="20"/>
          <w:lang w:eastAsia="pt-BR"/>
        </w:rPr>
        <w:t xml:space="preserve">&lt;/CodigoOrgao&gt; </w:t>
      </w:r>
    </w:p>
    <w:p w14:paraId="197DB4FD" w14:textId="77777777" w:rsidR="00EE0371" w:rsidRPr="00EE0371" w:rsidRDefault="00EE0371" w:rsidP="00EE0371">
      <w:pPr>
        <w:spacing w:after="0" w:line="240" w:lineRule="auto"/>
        <w:ind w:left="851"/>
        <w:jc w:val="both"/>
        <w:rPr>
          <w:rFonts w:ascii="Arial" w:eastAsia="Times New Roman" w:hAnsi="Arial" w:cs="Arial"/>
          <w:color w:val="000000"/>
          <w:sz w:val="20"/>
          <w:szCs w:val="20"/>
          <w:lang w:eastAsia="pt-BR"/>
        </w:rPr>
      </w:pPr>
      <w:r w:rsidRPr="00EE0371">
        <w:rPr>
          <w:rFonts w:ascii="Arial" w:eastAsia="Times New Roman" w:hAnsi="Arial" w:cs="Arial"/>
          <w:color w:val="000000"/>
          <w:sz w:val="20"/>
          <w:szCs w:val="20"/>
          <w:lang w:eastAsia="pt-BR"/>
        </w:rPr>
        <w:t>&lt;CodigoUnidadeOrcamentaria&gt;</w:t>
      </w:r>
      <w:r w:rsidRPr="00EE0371">
        <w:rPr>
          <w:rFonts w:ascii="Arial" w:eastAsia="Times New Roman" w:hAnsi="Arial" w:cs="Arial"/>
          <w:b/>
          <w:color w:val="000000"/>
          <w:sz w:val="20"/>
          <w:szCs w:val="20"/>
          <w:lang w:eastAsia="pt-BR"/>
        </w:rPr>
        <w:t>XXXXXX</w:t>
      </w:r>
      <w:r w:rsidRPr="00EE0371">
        <w:rPr>
          <w:rFonts w:ascii="Arial" w:eastAsia="Times New Roman" w:hAnsi="Arial" w:cs="Arial"/>
          <w:color w:val="000000"/>
          <w:sz w:val="20"/>
          <w:szCs w:val="20"/>
          <w:lang w:eastAsia="pt-BR"/>
        </w:rPr>
        <w:t xml:space="preserve">&lt;/CodigoUnidadeOrcamentaria&gt; </w:t>
      </w:r>
    </w:p>
    <w:p w14:paraId="0694FBB2" w14:textId="77777777" w:rsidR="00EE0371" w:rsidRPr="00EE0371" w:rsidRDefault="00EE0371" w:rsidP="00EE0371">
      <w:pPr>
        <w:spacing w:after="0" w:line="240" w:lineRule="auto"/>
        <w:ind w:left="851"/>
        <w:jc w:val="both"/>
        <w:rPr>
          <w:rFonts w:ascii="Arial" w:eastAsia="Times New Roman" w:hAnsi="Arial" w:cs="Arial"/>
          <w:color w:val="000000"/>
          <w:sz w:val="20"/>
          <w:szCs w:val="20"/>
          <w:lang w:eastAsia="pt-BR"/>
        </w:rPr>
      </w:pPr>
      <w:r w:rsidRPr="00EE0371">
        <w:rPr>
          <w:rFonts w:ascii="Arial" w:eastAsia="Times New Roman" w:hAnsi="Arial" w:cs="Arial"/>
          <w:color w:val="000000"/>
          <w:sz w:val="20"/>
          <w:szCs w:val="20"/>
          <w:lang w:eastAsia="pt-BR"/>
        </w:rPr>
        <w:t>&lt;CodigoFuncao&gt;</w:t>
      </w:r>
      <w:r w:rsidRPr="00EE0371">
        <w:rPr>
          <w:rFonts w:ascii="Arial" w:eastAsia="Times New Roman" w:hAnsi="Arial" w:cs="Arial"/>
          <w:b/>
          <w:color w:val="000000"/>
          <w:sz w:val="20"/>
          <w:szCs w:val="20"/>
          <w:lang w:eastAsia="pt-BR"/>
        </w:rPr>
        <w:t>XX</w:t>
      </w:r>
      <w:r w:rsidRPr="00EE0371">
        <w:rPr>
          <w:rFonts w:ascii="Arial" w:eastAsia="Times New Roman" w:hAnsi="Arial" w:cs="Arial"/>
          <w:color w:val="000000"/>
          <w:sz w:val="20"/>
          <w:szCs w:val="20"/>
          <w:lang w:eastAsia="pt-BR"/>
        </w:rPr>
        <w:t xml:space="preserve">&lt;/CodigoFuncao&gt; </w:t>
      </w:r>
    </w:p>
    <w:p w14:paraId="1C888E78" w14:textId="77777777" w:rsidR="00EE0371" w:rsidRPr="00EE0371" w:rsidRDefault="00EE0371" w:rsidP="00EE0371">
      <w:pPr>
        <w:spacing w:after="0" w:line="240" w:lineRule="auto"/>
        <w:ind w:left="851"/>
        <w:jc w:val="both"/>
        <w:rPr>
          <w:rFonts w:ascii="Arial" w:eastAsia="Times New Roman" w:hAnsi="Arial" w:cs="Arial"/>
          <w:color w:val="000000"/>
          <w:sz w:val="20"/>
          <w:szCs w:val="20"/>
          <w:lang w:eastAsia="pt-BR"/>
        </w:rPr>
      </w:pPr>
      <w:r w:rsidRPr="00EE0371">
        <w:rPr>
          <w:rFonts w:ascii="Arial" w:eastAsia="Times New Roman" w:hAnsi="Arial" w:cs="Arial"/>
          <w:color w:val="000000"/>
          <w:sz w:val="20"/>
          <w:szCs w:val="20"/>
          <w:lang w:eastAsia="pt-BR"/>
        </w:rPr>
        <w:t>&lt;CodigoSubFuncao&gt;</w:t>
      </w:r>
      <w:r w:rsidRPr="00EE0371">
        <w:rPr>
          <w:rFonts w:ascii="Arial" w:eastAsia="Times New Roman" w:hAnsi="Arial" w:cs="Arial"/>
          <w:b/>
          <w:color w:val="000000"/>
          <w:sz w:val="20"/>
          <w:szCs w:val="20"/>
          <w:lang w:eastAsia="pt-BR"/>
        </w:rPr>
        <w:t>XXX</w:t>
      </w:r>
      <w:r w:rsidRPr="00EE0371">
        <w:rPr>
          <w:rFonts w:ascii="Arial" w:eastAsia="Times New Roman" w:hAnsi="Arial" w:cs="Arial"/>
          <w:color w:val="000000"/>
          <w:sz w:val="20"/>
          <w:szCs w:val="20"/>
          <w:lang w:eastAsia="pt-BR"/>
        </w:rPr>
        <w:t xml:space="preserve">&lt;/CodigoSubFuncao&gt; </w:t>
      </w:r>
    </w:p>
    <w:p w14:paraId="3DCE4AEA" w14:textId="77777777" w:rsidR="00EE0371" w:rsidRPr="00EE0371" w:rsidRDefault="00EE0371" w:rsidP="00EE0371">
      <w:pPr>
        <w:spacing w:after="0" w:line="240" w:lineRule="auto"/>
        <w:ind w:left="851"/>
        <w:jc w:val="both"/>
        <w:rPr>
          <w:rFonts w:ascii="Arial" w:eastAsia="Times New Roman" w:hAnsi="Arial" w:cs="Arial"/>
          <w:color w:val="000000"/>
          <w:sz w:val="20"/>
          <w:szCs w:val="20"/>
          <w:lang w:eastAsia="pt-BR"/>
        </w:rPr>
      </w:pPr>
      <w:r w:rsidRPr="00EE0371">
        <w:rPr>
          <w:rFonts w:ascii="Arial" w:eastAsia="Times New Roman" w:hAnsi="Arial" w:cs="Arial"/>
          <w:color w:val="000000"/>
          <w:sz w:val="20"/>
          <w:szCs w:val="20"/>
          <w:lang w:eastAsia="pt-BR"/>
        </w:rPr>
        <w:t>&lt;CodigoPrograma&gt;</w:t>
      </w:r>
      <w:r w:rsidRPr="00EE0371">
        <w:rPr>
          <w:rFonts w:ascii="Arial" w:eastAsia="Times New Roman" w:hAnsi="Arial" w:cs="Arial"/>
          <w:b/>
          <w:color w:val="000000"/>
          <w:sz w:val="20"/>
          <w:szCs w:val="20"/>
          <w:lang w:eastAsia="pt-BR"/>
        </w:rPr>
        <w:t>XXXX</w:t>
      </w:r>
      <w:r w:rsidRPr="00EE0371">
        <w:rPr>
          <w:rFonts w:ascii="Arial" w:eastAsia="Times New Roman" w:hAnsi="Arial" w:cs="Arial"/>
          <w:color w:val="000000"/>
          <w:sz w:val="20"/>
          <w:szCs w:val="20"/>
          <w:lang w:eastAsia="pt-BR"/>
        </w:rPr>
        <w:t xml:space="preserve">&lt;/CodigoPrograma&gt; </w:t>
      </w:r>
    </w:p>
    <w:p w14:paraId="2E1CCB20" w14:textId="77777777" w:rsidR="00EE0371" w:rsidRPr="00EE0371" w:rsidRDefault="00EE0371" w:rsidP="00EE0371">
      <w:pPr>
        <w:spacing w:after="0" w:line="240" w:lineRule="auto"/>
        <w:ind w:left="851"/>
        <w:jc w:val="both"/>
        <w:rPr>
          <w:rFonts w:ascii="Arial" w:eastAsia="Times New Roman" w:hAnsi="Arial" w:cs="Arial"/>
          <w:color w:val="000000"/>
          <w:sz w:val="20"/>
          <w:szCs w:val="20"/>
          <w:lang w:eastAsia="pt-BR"/>
        </w:rPr>
      </w:pPr>
      <w:r w:rsidRPr="00EE0371">
        <w:rPr>
          <w:rFonts w:ascii="Arial" w:eastAsia="Times New Roman" w:hAnsi="Arial" w:cs="Arial"/>
          <w:color w:val="000000"/>
          <w:sz w:val="20"/>
          <w:szCs w:val="20"/>
          <w:lang w:eastAsia="pt-BR"/>
        </w:rPr>
        <w:t>&lt;CodigoAcao&gt;</w:t>
      </w:r>
      <w:r w:rsidRPr="00EE0371">
        <w:rPr>
          <w:rFonts w:ascii="Arial" w:eastAsia="Times New Roman" w:hAnsi="Arial" w:cs="Arial"/>
          <w:b/>
          <w:color w:val="000000"/>
          <w:sz w:val="20"/>
          <w:szCs w:val="20"/>
          <w:lang w:eastAsia="pt-BR"/>
        </w:rPr>
        <w:t>XXXXX</w:t>
      </w:r>
      <w:r w:rsidRPr="00EE0371">
        <w:rPr>
          <w:rFonts w:ascii="Arial" w:eastAsia="Times New Roman" w:hAnsi="Arial" w:cs="Arial"/>
          <w:color w:val="000000"/>
          <w:sz w:val="20"/>
          <w:szCs w:val="20"/>
          <w:lang w:eastAsia="pt-BR"/>
        </w:rPr>
        <w:t xml:space="preserve">&lt;/CodigoAcao&gt; </w:t>
      </w:r>
    </w:p>
    <w:p w14:paraId="21A9557B" w14:textId="77777777" w:rsidR="00EE0371" w:rsidRPr="00EE0371" w:rsidRDefault="00EE0371" w:rsidP="00EE0371">
      <w:pPr>
        <w:spacing w:after="0" w:line="240" w:lineRule="auto"/>
        <w:ind w:left="851"/>
        <w:jc w:val="both"/>
        <w:rPr>
          <w:rFonts w:ascii="Arial" w:eastAsia="Times New Roman" w:hAnsi="Arial" w:cs="Arial"/>
          <w:color w:val="000000"/>
          <w:sz w:val="20"/>
          <w:szCs w:val="20"/>
          <w:lang w:eastAsia="pt-BR"/>
        </w:rPr>
      </w:pPr>
      <w:r w:rsidRPr="00EE0371">
        <w:rPr>
          <w:rFonts w:ascii="Arial" w:eastAsia="Times New Roman" w:hAnsi="Arial" w:cs="Arial"/>
          <w:color w:val="000000"/>
          <w:sz w:val="20"/>
          <w:szCs w:val="20"/>
          <w:lang w:eastAsia="pt-BR"/>
        </w:rPr>
        <w:t>&lt;CategoriaEconomicaDespesa&gt;</w:t>
      </w:r>
      <w:r w:rsidRPr="00EE0371">
        <w:rPr>
          <w:rFonts w:ascii="Arial" w:eastAsia="Times New Roman" w:hAnsi="Arial" w:cs="Arial"/>
          <w:b/>
          <w:color w:val="000000"/>
          <w:sz w:val="20"/>
          <w:szCs w:val="20"/>
          <w:lang w:eastAsia="pt-BR"/>
        </w:rPr>
        <w:t>9</w:t>
      </w:r>
      <w:r w:rsidRPr="00EE0371">
        <w:rPr>
          <w:rFonts w:ascii="Arial" w:eastAsia="Times New Roman" w:hAnsi="Arial" w:cs="Arial"/>
          <w:color w:val="000000"/>
          <w:sz w:val="20"/>
          <w:szCs w:val="20"/>
          <w:lang w:eastAsia="pt-BR"/>
        </w:rPr>
        <w:t xml:space="preserve">&lt;/CategoriaEconomicaDespesa&gt; </w:t>
      </w:r>
    </w:p>
    <w:p w14:paraId="784114C4" w14:textId="77777777" w:rsidR="00EE0371" w:rsidRPr="00EE0371" w:rsidRDefault="00EE0371" w:rsidP="00EE0371">
      <w:pPr>
        <w:spacing w:after="0" w:line="240" w:lineRule="auto"/>
        <w:ind w:left="851"/>
        <w:jc w:val="both"/>
        <w:rPr>
          <w:rFonts w:ascii="Arial" w:eastAsia="Times New Roman" w:hAnsi="Arial" w:cs="Arial"/>
          <w:color w:val="000000"/>
          <w:sz w:val="20"/>
          <w:szCs w:val="20"/>
          <w:lang w:eastAsia="pt-BR"/>
        </w:rPr>
      </w:pPr>
      <w:r w:rsidRPr="00EE0371">
        <w:rPr>
          <w:rFonts w:ascii="Arial" w:eastAsia="Times New Roman" w:hAnsi="Arial" w:cs="Arial"/>
          <w:color w:val="000000"/>
          <w:sz w:val="20"/>
          <w:szCs w:val="20"/>
          <w:lang w:eastAsia="pt-BR"/>
        </w:rPr>
        <w:t>&lt;GrupoNaturezaDespesa&gt;</w:t>
      </w:r>
      <w:r w:rsidRPr="00EE0371">
        <w:rPr>
          <w:rFonts w:ascii="Arial" w:eastAsia="Times New Roman" w:hAnsi="Arial" w:cs="Arial"/>
          <w:b/>
          <w:color w:val="000000"/>
          <w:sz w:val="20"/>
          <w:szCs w:val="20"/>
          <w:lang w:eastAsia="pt-BR"/>
        </w:rPr>
        <w:t>9</w:t>
      </w:r>
      <w:r w:rsidRPr="00EE0371">
        <w:rPr>
          <w:rFonts w:ascii="Arial" w:eastAsia="Times New Roman" w:hAnsi="Arial" w:cs="Arial"/>
          <w:color w:val="000000"/>
          <w:sz w:val="20"/>
          <w:szCs w:val="20"/>
          <w:lang w:eastAsia="pt-BR"/>
        </w:rPr>
        <w:t xml:space="preserve">&lt;/GrupoNaturezaDespesa&gt; </w:t>
      </w:r>
    </w:p>
    <w:p w14:paraId="73C68F2C" w14:textId="77777777" w:rsidR="00EE0371" w:rsidRPr="00EE0371" w:rsidRDefault="00EE0371" w:rsidP="00EE0371">
      <w:pPr>
        <w:spacing w:after="0" w:line="240" w:lineRule="auto"/>
        <w:ind w:left="851"/>
        <w:jc w:val="both"/>
        <w:rPr>
          <w:rFonts w:ascii="Arial" w:eastAsia="Times New Roman" w:hAnsi="Arial" w:cs="Arial"/>
          <w:color w:val="000000"/>
          <w:sz w:val="20"/>
          <w:szCs w:val="20"/>
          <w:lang w:eastAsia="pt-BR"/>
        </w:rPr>
      </w:pPr>
      <w:r w:rsidRPr="00EE0371">
        <w:rPr>
          <w:rFonts w:ascii="Arial" w:eastAsia="Times New Roman" w:hAnsi="Arial" w:cs="Arial"/>
          <w:color w:val="000000"/>
          <w:sz w:val="20"/>
          <w:szCs w:val="20"/>
          <w:lang w:eastAsia="pt-BR"/>
        </w:rPr>
        <w:t>&lt;ModalidadeAplicacao&gt;</w:t>
      </w:r>
      <w:r w:rsidRPr="00EE0371">
        <w:rPr>
          <w:rFonts w:ascii="Arial" w:eastAsia="Times New Roman" w:hAnsi="Arial" w:cs="Arial"/>
          <w:b/>
          <w:color w:val="000000"/>
          <w:sz w:val="20"/>
          <w:szCs w:val="20"/>
          <w:lang w:eastAsia="pt-BR"/>
        </w:rPr>
        <w:t>99</w:t>
      </w:r>
      <w:r w:rsidRPr="00EE0371">
        <w:rPr>
          <w:rFonts w:ascii="Arial" w:eastAsia="Times New Roman" w:hAnsi="Arial" w:cs="Arial"/>
          <w:color w:val="000000"/>
          <w:sz w:val="20"/>
          <w:szCs w:val="20"/>
          <w:lang w:eastAsia="pt-BR"/>
        </w:rPr>
        <w:t xml:space="preserve">&lt;/ModalidadeAplicacao&gt; </w:t>
      </w:r>
    </w:p>
    <w:p w14:paraId="236F8173" w14:textId="77777777" w:rsidR="00EE0371" w:rsidRPr="00EE0371" w:rsidRDefault="00EE0371" w:rsidP="00EE0371">
      <w:pPr>
        <w:spacing w:after="0" w:line="240" w:lineRule="auto"/>
        <w:ind w:left="851"/>
        <w:jc w:val="both"/>
        <w:rPr>
          <w:rFonts w:ascii="Arial" w:eastAsia="Times New Roman" w:hAnsi="Arial" w:cs="Arial"/>
          <w:color w:val="000000"/>
          <w:sz w:val="20"/>
          <w:szCs w:val="20"/>
          <w:lang w:eastAsia="pt-BR"/>
        </w:rPr>
      </w:pPr>
      <w:r w:rsidRPr="00EE0371">
        <w:rPr>
          <w:rFonts w:ascii="Arial" w:eastAsia="Times New Roman" w:hAnsi="Arial" w:cs="Arial"/>
          <w:color w:val="000000"/>
          <w:sz w:val="20"/>
          <w:szCs w:val="20"/>
          <w:lang w:eastAsia="pt-BR"/>
        </w:rPr>
        <w:t>&lt;ElementoDespesa&gt;</w:t>
      </w:r>
      <w:r w:rsidRPr="00EE0371">
        <w:rPr>
          <w:rFonts w:ascii="Arial" w:eastAsia="Times New Roman" w:hAnsi="Arial" w:cs="Arial"/>
          <w:b/>
          <w:color w:val="000000"/>
          <w:sz w:val="20"/>
          <w:szCs w:val="20"/>
          <w:lang w:eastAsia="pt-BR"/>
        </w:rPr>
        <w:t>99</w:t>
      </w:r>
      <w:r w:rsidRPr="00EE0371">
        <w:rPr>
          <w:rFonts w:ascii="Arial" w:eastAsia="Times New Roman" w:hAnsi="Arial" w:cs="Arial"/>
          <w:color w:val="000000"/>
          <w:sz w:val="20"/>
          <w:szCs w:val="20"/>
          <w:lang w:eastAsia="pt-BR"/>
        </w:rPr>
        <w:t xml:space="preserve">&lt;/ElementoDespesa&gt; </w:t>
      </w:r>
    </w:p>
    <w:p w14:paraId="07C5D300" w14:textId="77777777" w:rsidR="00EE0371" w:rsidRPr="00EE0371" w:rsidRDefault="00EE0371" w:rsidP="00EE0371">
      <w:pPr>
        <w:spacing w:after="0" w:line="240" w:lineRule="auto"/>
        <w:ind w:left="851"/>
        <w:jc w:val="both"/>
        <w:rPr>
          <w:rFonts w:ascii="Arial" w:eastAsia="Times New Roman" w:hAnsi="Arial" w:cs="Arial"/>
          <w:color w:val="000000"/>
          <w:sz w:val="20"/>
          <w:szCs w:val="20"/>
          <w:lang w:eastAsia="pt-BR"/>
        </w:rPr>
      </w:pPr>
      <w:r w:rsidRPr="00EE0371">
        <w:rPr>
          <w:rFonts w:ascii="Arial" w:eastAsia="Times New Roman" w:hAnsi="Arial" w:cs="Arial"/>
          <w:color w:val="000000"/>
          <w:sz w:val="20"/>
          <w:szCs w:val="20"/>
          <w:lang w:eastAsia="pt-BR"/>
        </w:rPr>
        <w:t>&lt;SubElementoDespesa&gt;</w:t>
      </w:r>
      <w:r w:rsidRPr="00EE0371">
        <w:rPr>
          <w:rFonts w:ascii="Arial" w:eastAsia="Times New Roman" w:hAnsi="Arial" w:cs="Arial"/>
          <w:b/>
          <w:color w:val="000000"/>
          <w:sz w:val="20"/>
          <w:szCs w:val="20"/>
          <w:lang w:eastAsia="pt-BR"/>
        </w:rPr>
        <w:t>99</w:t>
      </w:r>
      <w:r w:rsidRPr="00EE0371">
        <w:rPr>
          <w:rFonts w:ascii="Arial" w:eastAsia="Times New Roman" w:hAnsi="Arial" w:cs="Arial"/>
          <w:color w:val="000000"/>
          <w:sz w:val="20"/>
          <w:szCs w:val="20"/>
          <w:lang w:eastAsia="pt-BR"/>
        </w:rPr>
        <w:t xml:space="preserve">&lt;/SubElementoDespesa&gt; </w:t>
      </w:r>
    </w:p>
    <w:p w14:paraId="4B3C5FA5" w14:textId="77777777" w:rsidR="00EE0371" w:rsidRPr="00EE0371" w:rsidRDefault="00EE0371" w:rsidP="00EE0371">
      <w:pPr>
        <w:spacing w:after="0" w:line="240" w:lineRule="auto"/>
        <w:ind w:left="851"/>
        <w:jc w:val="both"/>
        <w:rPr>
          <w:rFonts w:ascii="Arial" w:eastAsia="Times New Roman" w:hAnsi="Arial" w:cs="Arial"/>
          <w:color w:val="000000"/>
          <w:sz w:val="20"/>
          <w:szCs w:val="20"/>
          <w:lang w:eastAsia="pt-BR"/>
        </w:rPr>
      </w:pPr>
      <w:r w:rsidRPr="00EE0371">
        <w:rPr>
          <w:rFonts w:ascii="Arial" w:eastAsia="Times New Roman" w:hAnsi="Arial" w:cs="Arial"/>
          <w:color w:val="000000"/>
          <w:sz w:val="20"/>
          <w:szCs w:val="20"/>
          <w:lang w:eastAsia="pt-BR"/>
        </w:rPr>
        <w:t>&lt;CodigoGrupoFonteDestinacaoRecursos&gt;</w:t>
      </w:r>
      <w:r w:rsidRPr="00EE0371">
        <w:rPr>
          <w:rFonts w:ascii="Arial" w:eastAsia="Times New Roman" w:hAnsi="Arial" w:cs="Arial"/>
          <w:b/>
          <w:color w:val="000000"/>
          <w:sz w:val="20"/>
          <w:szCs w:val="20"/>
          <w:lang w:eastAsia="pt-BR"/>
        </w:rPr>
        <w:t>9</w:t>
      </w:r>
      <w:r w:rsidRPr="00EE0371">
        <w:rPr>
          <w:rFonts w:ascii="Arial" w:eastAsia="Times New Roman" w:hAnsi="Arial" w:cs="Arial"/>
          <w:color w:val="000000"/>
          <w:sz w:val="20"/>
          <w:szCs w:val="20"/>
          <w:lang w:eastAsia="pt-BR"/>
        </w:rPr>
        <w:t>&lt;/CodigoGrupoFonteDestinacaoRecursos&gt;</w:t>
      </w:r>
    </w:p>
    <w:p w14:paraId="662E2311" w14:textId="77777777" w:rsidR="00EE0371" w:rsidRPr="00EE0371" w:rsidRDefault="00EE0371" w:rsidP="00EE0371">
      <w:pPr>
        <w:spacing w:after="0" w:line="240" w:lineRule="auto"/>
        <w:ind w:left="851"/>
        <w:jc w:val="both"/>
        <w:rPr>
          <w:rFonts w:ascii="Arial" w:eastAsia="Times New Roman" w:hAnsi="Arial" w:cs="Arial"/>
          <w:b/>
          <w:color w:val="000000"/>
          <w:sz w:val="20"/>
          <w:szCs w:val="20"/>
          <w:lang w:eastAsia="pt-BR"/>
        </w:rPr>
      </w:pPr>
      <w:r w:rsidRPr="00EE0371">
        <w:rPr>
          <w:rFonts w:ascii="Arial" w:eastAsia="Times New Roman" w:hAnsi="Arial" w:cs="Arial"/>
          <w:color w:val="000000"/>
          <w:sz w:val="20"/>
          <w:szCs w:val="20"/>
          <w:lang w:eastAsia="pt-BR"/>
        </w:rPr>
        <w:t>&lt;CodigoEspecificacaoFontesDestinacoesRecursos&gt;</w:t>
      </w:r>
      <w:r w:rsidRPr="00EE0371">
        <w:rPr>
          <w:rFonts w:ascii="Arial" w:eastAsia="Times New Roman" w:hAnsi="Arial" w:cs="Arial"/>
          <w:b/>
          <w:color w:val="000000"/>
          <w:sz w:val="20"/>
          <w:szCs w:val="20"/>
          <w:lang w:eastAsia="pt-BR"/>
        </w:rPr>
        <w:t>XXX</w:t>
      </w:r>
    </w:p>
    <w:p w14:paraId="1304331F" w14:textId="77777777" w:rsidR="00EE0371" w:rsidRPr="00EE0371" w:rsidRDefault="00EE0371" w:rsidP="00EE0371">
      <w:pPr>
        <w:spacing w:after="0" w:line="240" w:lineRule="auto"/>
        <w:ind w:left="851"/>
        <w:jc w:val="both"/>
        <w:rPr>
          <w:rFonts w:ascii="Arial" w:eastAsia="Times New Roman" w:hAnsi="Arial" w:cs="Arial"/>
          <w:color w:val="000000"/>
          <w:sz w:val="20"/>
          <w:szCs w:val="20"/>
          <w:lang w:eastAsia="pt-BR"/>
        </w:rPr>
      </w:pPr>
      <w:r w:rsidRPr="00EE0371">
        <w:rPr>
          <w:rFonts w:ascii="Arial" w:eastAsia="Times New Roman" w:hAnsi="Arial" w:cs="Arial"/>
          <w:color w:val="000000"/>
          <w:sz w:val="20"/>
          <w:szCs w:val="20"/>
          <w:lang w:eastAsia="pt-BR"/>
        </w:rPr>
        <w:t>&lt;/CodigoEspecificacaoFontesDestinacoesRecursos&gt;</w:t>
      </w:r>
    </w:p>
    <w:p w14:paraId="2329EDFA" w14:textId="77777777" w:rsidR="00EE0371" w:rsidRPr="00EE0371" w:rsidRDefault="00EE0371" w:rsidP="00EE0371">
      <w:pPr>
        <w:spacing w:after="0" w:line="240" w:lineRule="auto"/>
        <w:ind w:left="851"/>
        <w:jc w:val="both"/>
        <w:rPr>
          <w:rFonts w:ascii="Arial" w:eastAsia="Times New Roman" w:hAnsi="Arial" w:cs="Arial"/>
          <w:b/>
          <w:color w:val="000000"/>
          <w:sz w:val="20"/>
          <w:szCs w:val="20"/>
          <w:lang w:eastAsia="pt-BR"/>
        </w:rPr>
      </w:pPr>
      <w:r w:rsidRPr="00EE0371">
        <w:rPr>
          <w:rFonts w:ascii="Arial" w:eastAsia="Times New Roman" w:hAnsi="Arial" w:cs="Arial"/>
          <w:color w:val="000000"/>
          <w:sz w:val="20"/>
          <w:szCs w:val="20"/>
          <w:lang w:eastAsia="pt-BR"/>
        </w:rPr>
        <w:t>&lt;CodigoDetalhamentoFontesDestinacoesRecursos&gt;</w:t>
      </w:r>
      <w:r w:rsidRPr="00EE0371">
        <w:rPr>
          <w:rFonts w:ascii="Arial" w:eastAsia="Times New Roman" w:hAnsi="Arial" w:cs="Arial"/>
          <w:b/>
          <w:color w:val="000000"/>
          <w:sz w:val="20"/>
          <w:szCs w:val="20"/>
          <w:lang w:eastAsia="pt-BR"/>
        </w:rPr>
        <w:t>XXXX</w:t>
      </w:r>
    </w:p>
    <w:p w14:paraId="1A9B4EC3" w14:textId="77777777" w:rsidR="00EE0371" w:rsidRPr="00EE0371" w:rsidRDefault="00EE0371" w:rsidP="00EE0371">
      <w:pPr>
        <w:spacing w:after="0" w:line="240" w:lineRule="auto"/>
        <w:ind w:left="851"/>
        <w:jc w:val="both"/>
        <w:rPr>
          <w:rFonts w:ascii="Arial" w:eastAsia="Times New Roman" w:hAnsi="Arial" w:cs="Arial"/>
          <w:color w:val="000000"/>
          <w:sz w:val="20"/>
          <w:szCs w:val="20"/>
          <w:lang w:eastAsia="pt-BR"/>
        </w:rPr>
      </w:pPr>
      <w:r w:rsidRPr="00EE0371">
        <w:rPr>
          <w:rFonts w:ascii="Arial" w:eastAsia="Times New Roman" w:hAnsi="Arial" w:cs="Arial"/>
          <w:color w:val="000000"/>
          <w:sz w:val="20"/>
          <w:szCs w:val="20"/>
          <w:lang w:eastAsia="pt-BR"/>
        </w:rPr>
        <w:t>&lt;/CodigoDetalhamentoFontesDestinacoesRecursos&gt;</w:t>
      </w:r>
    </w:p>
    <w:p w14:paraId="5329587E" w14:textId="77777777" w:rsidR="00EE0371" w:rsidRPr="00EE0371" w:rsidRDefault="00EE0371" w:rsidP="00EE0371">
      <w:pPr>
        <w:spacing w:after="0" w:line="240" w:lineRule="auto"/>
        <w:ind w:left="851"/>
        <w:jc w:val="both"/>
        <w:rPr>
          <w:rFonts w:ascii="Arial" w:eastAsia="Times New Roman" w:hAnsi="Arial" w:cs="Arial"/>
          <w:color w:val="000000"/>
          <w:sz w:val="20"/>
          <w:szCs w:val="20"/>
          <w:lang w:eastAsia="pt-BR"/>
        </w:rPr>
      </w:pPr>
      <w:r w:rsidRPr="00EE0371">
        <w:rPr>
          <w:rFonts w:ascii="Arial" w:eastAsia="Times New Roman" w:hAnsi="Arial" w:cs="Arial"/>
          <w:color w:val="000000"/>
          <w:sz w:val="20"/>
          <w:szCs w:val="20"/>
          <w:lang w:eastAsia="pt-BR"/>
        </w:rPr>
        <w:t>&lt;ClassificacaoRestosPagar&gt;</w:t>
      </w:r>
      <w:r w:rsidRPr="00EE0371">
        <w:rPr>
          <w:rFonts w:ascii="Arial" w:eastAsia="Times New Roman" w:hAnsi="Arial" w:cs="Arial"/>
          <w:b/>
          <w:color w:val="000000"/>
          <w:sz w:val="20"/>
          <w:szCs w:val="20"/>
          <w:lang w:eastAsia="pt-BR"/>
        </w:rPr>
        <w:t>9</w:t>
      </w:r>
      <w:r w:rsidRPr="00EE0371">
        <w:rPr>
          <w:rFonts w:ascii="Arial" w:eastAsia="Times New Roman" w:hAnsi="Arial" w:cs="Arial"/>
          <w:color w:val="000000"/>
          <w:sz w:val="20"/>
          <w:szCs w:val="20"/>
          <w:lang w:eastAsia="pt-BR"/>
        </w:rPr>
        <w:t xml:space="preserve">&lt;/ClassificacaoRestosPagar&gt; </w:t>
      </w:r>
    </w:p>
    <w:p w14:paraId="7434C8D0" w14:textId="77777777" w:rsidR="00EE0371" w:rsidRPr="00EE0371" w:rsidRDefault="00EE0371" w:rsidP="00EE0371">
      <w:pPr>
        <w:spacing w:after="0" w:line="240" w:lineRule="auto"/>
        <w:ind w:left="851"/>
        <w:jc w:val="both"/>
        <w:rPr>
          <w:rFonts w:ascii="Arial" w:eastAsia="Times New Roman" w:hAnsi="Arial" w:cs="Arial"/>
          <w:b/>
          <w:color w:val="000000"/>
          <w:sz w:val="20"/>
          <w:szCs w:val="20"/>
          <w:lang w:eastAsia="pt-BR"/>
        </w:rPr>
      </w:pPr>
      <w:r w:rsidRPr="00EE0371">
        <w:rPr>
          <w:rFonts w:ascii="Arial" w:eastAsia="Times New Roman" w:hAnsi="Arial" w:cs="Arial"/>
          <w:color w:val="000000"/>
          <w:sz w:val="20"/>
          <w:szCs w:val="20"/>
          <w:lang w:eastAsia="pt-BR"/>
        </w:rPr>
        <w:t>&lt;SaldoFinalRestosPagarExercicioAnterior&gt;</w:t>
      </w:r>
      <w:r w:rsidRPr="00EE0371">
        <w:rPr>
          <w:rFonts w:ascii="Arial" w:eastAsia="Times New Roman" w:hAnsi="Arial" w:cs="Arial"/>
          <w:b/>
          <w:color w:val="000000"/>
          <w:sz w:val="20"/>
          <w:szCs w:val="20"/>
          <w:lang w:eastAsia="pt-BR"/>
        </w:rPr>
        <w:t>99999999999999.99</w:t>
      </w:r>
    </w:p>
    <w:p w14:paraId="2808DB1C" w14:textId="77777777" w:rsidR="00EE0371" w:rsidRPr="00EE0371" w:rsidRDefault="00EE0371" w:rsidP="00EE0371">
      <w:pPr>
        <w:spacing w:after="0" w:line="240" w:lineRule="auto"/>
        <w:ind w:left="851"/>
        <w:jc w:val="both"/>
        <w:rPr>
          <w:rFonts w:ascii="Arial" w:eastAsia="Times New Roman" w:hAnsi="Arial" w:cs="Arial"/>
          <w:color w:val="000000"/>
          <w:sz w:val="20"/>
          <w:szCs w:val="20"/>
          <w:lang w:eastAsia="pt-BR"/>
        </w:rPr>
      </w:pPr>
      <w:r w:rsidRPr="00EE0371">
        <w:rPr>
          <w:rFonts w:ascii="Arial" w:eastAsia="Times New Roman" w:hAnsi="Arial" w:cs="Arial"/>
          <w:color w:val="000000"/>
          <w:sz w:val="20"/>
          <w:szCs w:val="20"/>
          <w:lang w:eastAsia="pt-BR"/>
        </w:rPr>
        <w:t>&lt;/SaldoFinalRestosPagarExercicioAnterior&gt;</w:t>
      </w:r>
    </w:p>
    <w:p w14:paraId="76CA8B46" w14:textId="77777777" w:rsidR="00EE0371" w:rsidRPr="00EE0371" w:rsidRDefault="00EE0371" w:rsidP="00EE0371">
      <w:pPr>
        <w:spacing w:after="0" w:line="240" w:lineRule="auto"/>
        <w:ind w:left="851"/>
        <w:jc w:val="both"/>
        <w:rPr>
          <w:rFonts w:ascii="Arial" w:eastAsia="Times New Roman" w:hAnsi="Arial" w:cs="Arial"/>
          <w:color w:val="000000"/>
          <w:sz w:val="20"/>
          <w:szCs w:val="20"/>
          <w:lang w:eastAsia="pt-BR"/>
        </w:rPr>
      </w:pPr>
      <w:r w:rsidRPr="00EE0371">
        <w:rPr>
          <w:rFonts w:ascii="Arial" w:eastAsia="Times New Roman" w:hAnsi="Arial" w:cs="Arial"/>
          <w:color w:val="000000"/>
          <w:sz w:val="20"/>
          <w:szCs w:val="20"/>
          <w:lang w:eastAsia="pt-BR"/>
        </w:rPr>
        <w:t>&lt;InscricaoRestosPagar&gt;</w:t>
      </w:r>
      <w:r w:rsidRPr="00EE0371">
        <w:rPr>
          <w:rFonts w:ascii="Arial" w:eastAsia="Times New Roman" w:hAnsi="Arial" w:cs="Arial"/>
          <w:b/>
          <w:color w:val="000000"/>
          <w:sz w:val="20"/>
          <w:szCs w:val="20"/>
          <w:lang w:eastAsia="pt-BR"/>
        </w:rPr>
        <w:t>99999999999999.99</w:t>
      </w:r>
      <w:r w:rsidRPr="00EE0371">
        <w:rPr>
          <w:rFonts w:ascii="Arial" w:eastAsia="Times New Roman" w:hAnsi="Arial" w:cs="Arial"/>
          <w:color w:val="000000"/>
          <w:sz w:val="20"/>
          <w:szCs w:val="20"/>
          <w:lang w:eastAsia="pt-BR"/>
        </w:rPr>
        <w:t xml:space="preserve">&lt;/InscricaoRestosPagar&gt; </w:t>
      </w:r>
    </w:p>
    <w:p w14:paraId="534DEEEB" w14:textId="77777777" w:rsidR="00EE0371" w:rsidRPr="00EE0371" w:rsidRDefault="00EE0371" w:rsidP="00EE0371">
      <w:pPr>
        <w:spacing w:after="0" w:line="240" w:lineRule="auto"/>
        <w:ind w:left="851"/>
        <w:jc w:val="both"/>
        <w:rPr>
          <w:rFonts w:ascii="Arial" w:eastAsia="Times New Roman" w:hAnsi="Arial" w:cs="Arial"/>
          <w:color w:val="000000"/>
          <w:sz w:val="20"/>
          <w:szCs w:val="20"/>
          <w:lang w:eastAsia="pt-BR"/>
        </w:rPr>
      </w:pPr>
      <w:r w:rsidRPr="00EE0371">
        <w:rPr>
          <w:rFonts w:ascii="Arial" w:eastAsia="Times New Roman" w:hAnsi="Arial" w:cs="Arial"/>
          <w:color w:val="000000"/>
          <w:sz w:val="20"/>
          <w:szCs w:val="20"/>
          <w:lang w:eastAsia="pt-BR"/>
        </w:rPr>
        <w:t>&lt;IncorporacaoEncampacaoRestosPagar&gt;</w:t>
      </w:r>
      <w:r w:rsidRPr="00EE0371">
        <w:rPr>
          <w:rFonts w:ascii="Arial" w:eastAsia="Times New Roman" w:hAnsi="Arial" w:cs="Arial"/>
          <w:b/>
          <w:color w:val="000000"/>
          <w:sz w:val="20"/>
          <w:szCs w:val="20"/>
          <w:lang w:eastAsia="pt-BR"/>
        </w:rPr>
        <w:t>99999999999999.99</w:t>
      </w:r>
    </w:p>
    <w:p w14:paraId="6FD39C30" w14:textId="77777777" w:rsidR="00EE0371" w:rsidRPr="00EE0371" w:rsidRDefault="00EE0371" w:rsidP="00EE0371">
      <w:pPr>
        <w:spacing w:after="0" w:line="240" w:lineRule="auto"/>
        <w:ind w:left="851"/>
        <w:jc w:val="both"/>
        <w:rPr>
          <w:rFonts w:ascii="Arial" w:eastAsia="Times New Roman" w:hAnsi="Arial" w:cs="Arial"/>
          <w:color w:val="000000"/>
          <w:sz w:val="20"/>
          <w:szCs w:val="20"/>
          <w:lang w:eastAsia="pt-BR"/>
        </w:rPr>
      </w:pPr>
      <w:r w:rsidRPr="00EE0371">
        <w:rPr>
          <w:rFonts w:ascii="Arial" w:eastAsia="Times New Roman" w:hAnsi="Arial" w:cs="Arial"/>
          <w:color w:val="000000"/>
          <w:sz w:val="20"/>
          <w:szCs w:val="20"/>
          <w:lang w:eastAsia="pt-BR"/>
        </w:rPr>
        <w:t xml:space="preserve">&lt;/IncorporacaoEncampacaoRestosPagar&gt; </w:t>
      </w:r>
    </w:p>
    <w:p w14:paraId="241BD014" w14:textId="77777777" w:rsidR="00EE0371" w:rsidRPr="00EE0371" w:rsidRDefault="00EE0371" w:rsidP="00EE0371">
      <w:pPr>
        <w:spacing w:after="0" w:line="240" w:lineRule="auto"/>
        <w:ind w:left="851"/>
        <w:jc w:val="both"/>
        <w:rPr>
          <w:rFonts w:ascii="Arial" w:eastAsia="Times New Roman" w:hAnsi="Arial" w:cs="Arial"/>
          <w:color w:val="000000"/>
          <w:sz w:val="20"/>
          <w:szCs w:val="20"/>
          <w:lang w:eastAsia="pt-BR"/>
        </w:rPr>
      </w:pPr>
      <w:r w:rsidRPr="00EE0371">
        <w:rPr>
          <w:rFonts w:ascii="Arial" w:eastAsia="Times New Roman" w:hAnsi="Arial" w:cs="Arial"/>
          <w:color w:val="000000"/>
          <w:sz w:val="20"/>
          <w:szCs w:val="20"/>
          <w:lang w:eastAsia="pt-BR"/>
        </w:rPr>
        <w:t>&lt;PagamentoRestosPagar&gt;</w:t>
      </w:r>
      <w:r w:rsidRPr="00EE0371">
        <w:rPr>
          <w:rFonts w:ascii="Arial" w:eastAsia="Times New Roman" w:hAnsi="Arial" w:cs="Arial"/>
          <w:b/>
          <w:color w:val="000000"/>
          <w:sz w:val="20"/>
          <w:szCs w:val="20"/>
          <w:lang w:eastAsia="pt-BR"/>
        </w:rPr>
        <w:t>99999999999999.99</w:t>
      </w:r>
      <w:r w:rsidRPr="00EE0371">
        <w:rPr>
          <w:rFonts w:ascii="Arial" w:eastAsia="Times New Roman" w:hAnsi="Arial" w:cs="Arial"/>
          <w:color w:val="000000"/>
          <w:sz w:val="20"/>
          <w:szCs w:val="20"/>
          <w:lang w:eastAsia="pt-BR"/>
        </w:rPr>
        <w:t xml:space="preserve">&lt;/PagamentoRestosPagar&gt; </w:t>
      </w:r>
    </w:p>
    <w:p w14:paraId="5A0A65CE" w14:textId="77777777" w:rsidR="00EE0371" w:rsidRPr="00EE0371" w:rsidRDefault="00EE0371" w:rsidP="00EE0371">
      <w:pPr>
        <w:spacing w:after="0" w:line="240" w:lineRule="auto"/>
        <w:ind w:left="851"/>
        <w:jc w:val="both"/>
        <w:rPr>
          <w:rFonts w:ascii="Arial" w:eastAsia="Times New Roman" w:hAnsi="Arial" w:cs="Arial"/>
          <w:color w:val="000000"/>
          <w:sz w:val="20"/>
          <w:szCs w:val="20"/>
          <w:lang w:eastAsia="pt-BR"/>
        </w:rPr>
      </w:pPr>
      <w:r w:rsidRPr="00EE0371">
        <w:rPr>
          <w:rFonts w:ascii="Arial" w:eastAsia="Times New Roman" w:hAnsi="Arial" w:cs="Arial"/>
          <w:color w:val="000000"/>
          <w:sz w:val="20"/>
          <w:szCs w:val="20"/>
          <w:lang w:eastAsia="pt-BR"/>
        </w:rPr>
        <w:t>&lt;CancelamentoRestosPagar&gt;</w:t>
      </w:r>
      <w:r w:rsidRPr="00EE0371">
        <w:rPr>
          <w:rFonts w:ascii="Arial" w:eastAsia="Times New Roman" w:hAnsi="Arial" w:cs="Arial"/>
          <w:b/>
          <w:color w:val="000000"/>
          <w:sz w:val="20"/>
          <w:szCs w:val="20"/>
          <w:lang w:eastAsia="pt-BR"/>
        </w:rPr>
        <w:t>99999999999999.99</w:t>
      </w:r>
      <w:r w:rsidRPr="00EE0371">
        <w:rPr>
          <w:rFonts w:ascii="Arial" w:eastAsia="Times New Roman" w:hAnsi="Arial" w:cs="Arial"/>
          <w:color w:val="000000"/>
          <w:sz w:val="20"/>
          <w:szCs w:val="20"/>
          <w:lang w:eastAsia="pt-BR"/>
        </w:rPr>
        <w:t xml:space="preserve">&lt;/CancelamentoRestosPagar&gt; </w:t>
      </w:r>
    </w:p>
    <w:p w14:paraId="5BF0882B" w14:textId="77777777" w:rsidR="00EE0371" w:rsidRPr="00EE0371" w:rsidRDefault="00EE0371" w:rsidP="00EE0371">
      <w:pPr>
        <w:spacing w:after="0" w:line="240" w:lineRule="auto"/>
        <w:ind w:left="851"/>
        <w:jc w:val="both"/>
        <w:rPr>
          <w:rFonts w:ascii="Arial" w:eastAsia="Times New Roman" w:hAnsi="Arial" w:cs="Arial"/>
          <w:color w:val="000000"/>
          <w:sz w:val="20"/>
          <w:szCs w:val="20"/>
          <w:lang w:eastAsia="pt-BR"/>
        </w:rPr>
      </w:pPr>
      <w:r w:rsidRPr="00EE0371">
        <w:rPr>
          <w:rFonts w:ascii="Arial" w:eastAsia="Times New Roman" w:hAnsi="Arial" w:cs="Arial"/>
          <w:color w:val="000000"/>
          <w:sz w:val="20"/>
          <w:szCs w:val="20"/>
          <w:lang w:eastAsia="pt-BR"/>
        </w:rPr>
        <w:t>&lt;OutraBaixaRestosPagar&gt;</w:t>
      </w:r>
      <w:r w:rsidRPr="00EE0371">
        <w:rPr>
          <w:rFonts w:ascii="Arial" w:eastAsia="Times New Roman" w:hAnsi="Arial" w:cs="Arial"/>
          <w:b/>
          <w:color w:val="000000"/>
          <w:sz w:val="20"/>
          <w:szCs w:val="20"/>
          <w:lang w:eastAsia="pt-BR"/>
        </w:rPr>
        <w:t>99999999999999.99</w:t>
      </w:r>
      <w:r w:rsidRPr="00EE0371">
        <w:rPr>
          <w:rFonts w:ascii="Arial" w:eastAsia="Times New Roman" w:hAnsi="Arial" w:cs="Arial"/>
          <w:color w:val="000000"/>
          <w:sz w:val="20"/>
          <w:szCs w:val="20"/>
          <w:lang w:eastAsia="pt-BR"/>
        </w:rPr>
        <w:t xml:space="preserve">&lt;/OutraBaixaRestosPagar&gt; </w:t>
      </w:r>
    </w:p>
    <w:p w14:paraId="35A4CEE3" w14:textId="77777777" w:rsidR="00EE0371" w:rsidRPr="00EE0371" w:rsidRDefault="00EE0371" w:rsidP="00EE0371">
      <w:pPr>
        <w:spacing w:after="0" w:line="240" w:lineRule="auto"/>
        <w:ind w:left="851"/>
        <w:jc w:val="both"/>
        <w:rPr>
          <w:rFonts w:ascii="Arial" w:eastAsia="Times New Roman" w:hAnsi="Arial" w:cs="Arial"/>
          <w:color w:val="000000"/>
          <w:sz w:val="20"/>
          <w:szCs w:val="20"/>
          <w:lang w:eastAsia="pt-BR"/>
        </w:rPr>
      </w:pPr>
      <w:r w:rsidRPr="00EE0371">
        <w:rPr>
          <w:rFonts w:ascii="Arial" w:eastAsia="Times New Roman" w:hAnsi="Arial" w:cs="Arial"/>
          <w:color w:val="000000"/>
          <w:sz w:val="20"/>
          <w:szCs w:val="20"/>
          <w:lang w:eastAsia="pt-BR"/>
        </w:rPr>
        <w:t>&lt;SaldoFinalRestosPagarExercicioAtual&gt;</w:t>
      </w:r>
      <w:r w:rsidRPr="00EE0371">
        <w:rPr>
          <w:rFonts w:ascii="Arial" w:eastAsia="Times New Roman" w:hAnsi="Arial" w:cs="Arial"/>
          <w:b/>
          <w:color w:val="000000"/>
          <w:sz w:val="20"/>
          <w:szCs w:val="20"/>
          <w:lang w:eastAsia="pt-BR"/>
        </w:rPr>
        <w:t>99999999999999.99</w:t>
      </w:r>
    </w:p>
    <w:p w14:paraId="0EA19836" w14:textId="77777777" w:rsidR="00EE0371" w:rsidRPr="00EE0371" w:rsidRDefault="00EE0371" w:rsidP="00EE0371">
      <w:pPr>
        <w:spacing w:after="0" w:line="240" w:lineRule="auto"/>
        <w:ind w:left="851"/>
        <w:jc w:val="both"/>
        <w:rPr>
          <w:rFonts w:ascii="Arial" w:eastAsia="Times New Roman" w:hAnsi="Arial" w:cs="Arial"/>
          <w:color w:val="000000"/>
          <w:sz w:val="20"/>
          <w:szCs w:val="20"/>
          <w:lang w:eastAsia="pt-BR"/>
        </w:rPr>
      </w:pPr>
      <w:r w:rsidRPr="00EE0371">
        <w:rPr>
          <w:rFonts w:ascii="Arial" w:eastAsia="Times New Roman" w:hAnsi="Arial" w:cs="Arial"/>
          <w:color w:val="000000"/>
          <w:sz w:val="20"/>
          <w:szCs w:val="20"/>
          <w:lang w:eastAsia="pt-BR"/>
        </w:rPr>
        <w:t>&lt;/SaldoFinalRestosPagarExercicioAtual&gt;</w:t>
      </w:r>
    </w:p>
    <w:p w14:paraId="6858F681" w14:textId="2FB8FDB9" w:rsidR="00EE0371" w:rsidRPr="00EE0371" w:rsidRDefault="00EE0371" w:rsidP="00EE0371">
      <w:pPr>
        <w:spacing w:after="0" w:line="240" w:lineRule="auto"/>
        <w:ind w:left="567"/>
        <w:jc w:val="both"/>
        <w:rPr>
          <w:rFonts w:ascii="Arial" w:eastAsia="Times New Roman" w:hAnsi="Arial" w:cs="Arial"/>
          <w:color w:val="000000"/>
          <w:sz w:val="20"/>
          <w:szCs w:val="20"/>
          <w:lang w:eastAsia="pt-BR"/>
        </w:rPr>
      </w:pPr>
      <w:r w:rsidRPr="00EE0371">
        <w:rPr>
          <w:rFonts w:ascii="Arial" w:eastAsia="Times New Roman" w:hAnsi="Arial" w:cs="Arial"/>
          <w:color w:val="000000"/>
          <w:sz w:val="20"/>
          <w:szCs w:val="20"/>
          <w:lang w:eastAsia="pt-BR"/>
        </w:rPr>
        <w:t>&lt;</w:t>
      </w:r>
      <w:r w:rsidR="00A45E5D">
        <w:rPr>
          <w:rFonts w:ascii="Arial" w:eastAsia="Times New Roman" w:hAnsi="Arial" w:cs="Arial"/>
          <w:color w:val="000000"/>
          <w:sz w:val="20"/>
          <w:szCs w:val="20"/>
          <w:lang w:eastAsia="pt-BR"/>
        </w:rPr>
        <w:t>/</w:t>
      </w:r>
      <w:r w:rsidRPr="00EE0371">
        <w:rPr>
          <w:rFonts w:ascii="Arial" w:eastAsia="Times New Roman" w:hAnsi="Arial" w:cs="Arial"/>
          <w:color w:val="000000"/>
          <w:sz w:val="20"/>
          <w:szCs w:val="20"/>
          <w:lang w:eastAsia="pt-BR"/>
        </w:rPr>
        <w:t>DemonstrativoRestosPagar&gt;</w:t>
      </w:r>
    </w:p>
    <w:p w14:paraId="37F5971E" w14:textId="6483A974" w:rsidR="00EE0371" w:rsidRPr="00EE0371" w:rsidRDefault="00EE0371" w:rsidP="00EE0371">
      <w:pPr>
        <w:spacing w:after="0" w:line="240" w:lineRule="auto"/>
        <w:ind w:left="284"/>
        <w:jc w:val="both"/>
        <w:rPr>
          <w:rFonts w:ascii="Arial" w:eastAsia="Times New Roman" w:hAnsi="Arial" w:cs="Arial"/>
          <w:color w:val="000000"/>
          <w:sz w:val="20"/>
          <w:szCs w:val="20"/>
          <w:lang w:eastAsia="pt-BR"/>
        </w:rPr>
      </w:pPr>
      <w:r w:rsidRPr="00EE0371">
        <w:rPr>
          <w:rFonts w:ascii="Arial" w:eastAsia="Times New Roman" w:hAnsi="Arial" w:cs="Arial"/>
          <w:color w:val="000000"/>
          <w:sz w:val="20"/>
          <w:szCs w:val="20"/>
          <w:lang w:eastAsia="pt-BR"/>
        </w:rPr>
        <w:t>&lt;</w:t>
      </w:r>
      <w:r w:rsidR="00A45E5D">
        <w:rPr>
          <w:rFonts w:ascii="Arial" w:eastAsia="Times New Roman" w:hAnsi="Arial" w:cs="Arial"/>
          <w:color w:val="000000"/>
          <w:sz w:val="20"/>
          <w:szCs w:val="20"/>
          <w:lang w:eastAsia="pt-BR"/>
        </w:rPr>
        <w:t>/</w:t>
      </w:r>
      <w:r w:rsidRPr="00EE0371">
        <w:rPr>
          <w:rFonts w:ascii="Arial" w:eastAsia="Times New Roman" w:hAnsi="Arial" w:cs="Arial"/>
          <w:color w:val="000000"/>
          <w:sz w:val="20"/>
          <w:szCs w:val="20"/>
          <w:lang w:eastAsia="pt-BR"/>
        </w:rPr>
        <w:t>DemonstrativoRestosPagar_Schema&gt;</w:t>
      </w:r>
    </w:p>
    <w:p w14:paraId="63B33516" w14:textId="500F1089" w:rsidR="00EE0371" w:rsidRPr="00EE0371" w:rsidRDefault="00EE0371" w:rsidP="00EE0371">
      <w:pPr>
        <w:spacing w:after="0" w:line="240" w:lineRule="auto"/>
        <w:rPr>
          <w:rFonts w:ascii="Arial" w:eastAsia="Times New Roman" w:hAnsi="Arial" w:cs="Arial"/>
          <w:color w:val="000000"/>
          <w:sz w:val="20"/>
          <w:szCs w:val="20"/>
          <w:lang w:eastAsia="pt-BR"/>
        </w:rPr>
      </w:pPr>
      <w:r w:rsidRPr="00EE0371">
        <w:rPr>
          <w:rFonts w:ascii="Arial" w:eastAsia="Times New Roman" w:hAnsi="Arial" w:cs="Arial"/>
          <w:color w:val="000000"/>
          <w:sz w:val="20"/>
          <w:szCs w:val="20"/>
          <w:lang w:eastAsia="pt-BR"/>
        </w:rPr>
        <w:t>&lt;</w:t>
      </w:r>
      <w:r w:rsidR="00A45E5D">
        <w:rPr>
          <w:rFonts w:ascii="Arial" w:eastAsia="Times New Roman" w:hAnsi="Arial" w:cs="Arial"/>
          <w:color w:val="000000"/>
          <w:sz w:val="20"/>
          <w:szCs w:val="20"/>
          <w:lang w:eastAsia="pt-BR"/>
        </w:rPr>
        <w:t>/</w:t>
      </w:r>
      <w:r w:rsidRPr="00EE0371">
        <w:rPr>
          <w:rFonts w:ascii="Arial" w:eastAsia="Times New Roman" w:hAnsi="Arial" w:cs="Arial"/>
          <w:color w:val="000000"/>
          <w:sz w:val="20"/>
          <w:szCs w:val="20"/>
          <w:lang w:eastAsia="pt-BR"/>
        </w:rPr>
        <w:t>PrestacaoContasAnual&gt;</w:t>
      </w:r>
    </w:p>
    <w:p w14:paraId="6D086900" w14:textId="77777777" w:rsidR="00EE0371" w:rsidRPr="00EE0371" w:rsidRDefault="00EE0371" w:rsidP="00EE0371">
      <w:pPr>
        <w:spacing w:after="0" w:line="240" w:lineRule="auto"/>
        <w:rPr>
          <w:rFonts w:ascii="Arial" w:eastAsia="Times New Roman" w:hAnsi="Arial" w:cs="Arial"/>
          <w:color w:val="000000"/>
          <w:sz w:val="20"/>
          <w:szCs w:val="20"/>
          <w:lang w:eastAsia="pt-BR"/>
        </w:rPr>
      </w:pPr>
    </w:p>
    <w:p w14:paraId="76B1274C" w14:textId="77777777" w:rsidR="00EE0371" w:rsidRPr="00EE0371" w:rsidRDefault="00EE0371" w:rsidP="00EE0371">
      <w:pPr>
        <w:spacing w:after="0" w:line="240" w:lineRule="auto"/>
        <w:rPr>
          <w:rFonts w:ascii="Arial" w:eastAsia="Times New Roman" w:hAnsi="Arial" w:cs="Arial"/>
          <w:color w:val="000000"/>
          <w:sz w:val="20"/>
          <w:szCs w:val="20"/>
          <w:lang w:eastAsia="pt-BR"/>
        </w:rPr>
      </w:pPr>
    </w:p>
    <w:tbl>
      <w:tblPr>
        <w:tblW w:w="9185" w:type="dxa"/>
        <w:tblInd w:w="60" w:type="dxa"/>
        <w:tblCellMar>
          <w:left w:w="70" w:type="dxa"/>
          <w:right w:w="70" w:type="dxa"/>
        </w:tblCellMar>
        <w:tblLook w:val="04A0" w:firstRow="1" w:lastRow="0" w:firstColumn="1" w:lastColumn="0" w:noHBand="0" w:noVBand="1"/>
      </w:tblPr>
      <w:tblGrid>
        <w:gridCol w:w="3914"/>
        <w:gridCol w:w="1225"/>
        <w:gridCol w:w="1313"/>
        <w:gridCol w:w="2733"/>
      </w:tblGrid>
      <w:tr w:rsidR="00E963EB" w:rsidRPr="00E963EB" w14:paraId="49220F2C" w14:textId="77777777" w:rsidTr="00DD49C9">
        <w:trPr>
          <w:trHeight w:val="315"/>
        </w:trPr>
        <w:tc>
          <w:tcPr>
            <w:tcW w:w="3914" w:type="dxa"/>
            <w:tcBorders>
              <w:top w:val="single" w:sz="8" w:space="0" w:color="auto"/>
              <w:left w:val="single" w:sz="8" w:space="0" w:color="auto"/>
              <w:bottom w:val="single" w:sz="8" w:space="0" w:color="auto"/>
              <w:right w:val="single" w:sz="8" w:space="0" w:color="auto"/>
            </w:tcBorders>
            <w:shd w:val="clear" w:color="000000" w:fill="C0C0C0"/>
            <w:vAlign w:val="center"/>
            <w:hideMark/>
          </w:tcPr>
          <w:p w14:paraId="053D8A05" w14:textId="77777777" w:rsidR="00EE0371" w:rsidRPr="00E963EB" w:rsidRDefault="00EE0371" w:rsidP="00EE0371">
            <w:pPr>
              <w:spacing w:after="0" w:line="240" w:lineRule="auto"/>
              <w:jc w:val="center"/>
              <w:rPr>
                <w:rFonts w:ascii="Arial" w:eastAsia="Times New Roman" w:hAnsi="Arial" w:cs="Arial"/>
                <w:b/>
                <w:bCs/>
                <w:sz w:val="20"/>
                <w:szCs w:val="20"/>
                <w:lang w:eastAsia="pt-BR"/>
              </w:rPr>
            </w:pPr>
            <w:r w:rsidRPr="00E963EB">
              <w:rPr>
                <w:rFonts w:ascii="Arial" w:eastAsia="Times New Roman" w:hAnsi="Arial" w:cs="Arial"/>
                <w:b/>
                <w:bCs/>
                <w:sz w:val="20"/>
                <w:szCs w:val="20"/>
                <w:lang w:eastAsia="pt-BR"/>
              </w:rPr>
              <w:t>Campo</w:t>
            </w:r>
          </w:p>
        </w:tc>
        <w:tc>
          <w:tcPr>
            <w:tcW w:w="1225" w:type="dxa"/>
            <w:tcBorders>
              <w:top w:val="single" w:sz="8" w:space="0" w:color="auto"/>
              <w:left w:val="nil"/>
              <w:bottom w:val="single" w:sz="8" w:space="0" w:color="auto"/>
              <w:right w:val="single" w:sz="8" w:space="0" w:color="auto"/>
            </w:tcBorders>
            <w:shd w:val="clear" w:color="000000" w:fill="C0C0C0"/>
            <w:vAlign w:val="center"/>
            <w:hideMark/>
          </w:tcPr>
          <w:p w14:paraId="24E49B97" w14:textId="77777777" w:rsidR="00EE0371" w:rsidRPr="00E963EB" w:rsidRDefault="00EE0371" w:rsidP="00EE0371">
            <w:pPr>
              <w:spacing w:after="0" w:line="240" w:lineRule="auto"/>
              <w:jc w:val="center"/>
              <w:rPr>
                <w:rFonts w:ascii="Arial" w:eastAsia="Times New Roman" w:hAnsi="Arial" w:cs="Arial"/>
                <w:b/>
                <w:bCs/>
                <w:sz w:val="20"/>
                <w:szCs w:val="20"/>
                <w:lang w:eastAsia="pt-BR"/>
              </w:rPr>
            </w:pPr>
            <w:r w:rsidRPr="00E963EB">
              <w:rPr>
                <w:rFonts w:ascii="Arial" w:eastAsia="Times New Roman" w:hAnsi="Arial" w:cs="Arial"/>
                <w:b/>
                <w:bCs/>
                <w:sz w:val="20"/>
                <w:szCs w:val="20"/>
                <w:lang w:eastAsia="pt-BR"/>
              </w:rPr>
              <w:t>Tipo</w:t>
            </w:r>
          </w:p>
        </w:tc>
        <w:tc>
          <w:tcPr>
            <w:tcW w:w="1313" w:type="dxa"/>
            <w:tcBorders>
              <w:top w:val="single" w:sz="8" w:space="0" w:color="auto"/>
              <w:left w:val="nil"/>
              <w:bottom w:val="single" w:sz="8" w:space="0" w:color="auto"/>
              <w:right w:val="single" w:sz="8" w:space="0" w:color="auto"/>
            </w:tcBorders>
            <w:shd w:val="clear" w:color="000000" w:fill="C0C0C0"/>
            <w:vAlign w:val="center"/>
            <w:hideMark/>
          </w:tcPr>
          <w:p w14:paraId="7131A50D" w14:textId="77777777" w:rsidR="00EE0371" w:rsidRPr="00E963EB" w:rsidRDefault="00EE0371" w:rsidP="00EE0371">
            <w:pPr>
              <w:spacing w:after="0" w:line="240" w:lineRule="auto"/>
              <w:jc w:val="center"/>
              <w:rPr>
                <w:rFonts w:ascii="Arial" w:eastAsia="Times New Roman" w:hAnsi="Arial" w:cs="Arial"/>
                <w:b/>
                <w:bCs/>
                <w:sz w:val="20"/>
                <w:szCs w:val="20"/>
                <w:lang w:eastAsia="pt-BR"/>
              </w:rPr>
            </w:pPr>
            <w:r w:rsidRPr="00E963EB">
              <w:rPr>
                <w:rFonts w:ascii="Arial" w:eastAsia="Times New Roman" w:hAnsi="Arial" w:cs="Arial"/>
                <w:b/>
                <w:bCs/>
                <w:sz w:val="20"/>
                <w:szCs w:val="20"/>
                <w:lang w:eastAsia="pt-BR"/>
              </w:rPr>
              <w:t>Tamanho</w:t>
            </w:r>
          </w:p>
        </w:tc>
        <w:tc>
          <w:tcPr>
            <w:tcW w:w="2733" w:type="dxa"/>
            <w:tcBorders>
              <w:top w:val="single" w:sz="8" w:space="0" w:color="auto"/>
              <w:left w:val="nil"/>
              <w:bottom w:val="single" w:sz="8" w:space="0" w:color="auto"/>
              <w:right w:val="single" w:sz="8" w:space="0" w:color="auto"/>
            </w:tcBorders>
            <w:shd w:val="clear" w:color="000000" w:fill="C0C0C0"/>
            <w:vAlign w:val="center"/>
            <w:hideMark/>
          </w:tcPr>
          <w:p w14:paraId="1895E294" w14:textId="77777777" w:rsidR="00EE0371" w:rsidRPr="00E963EB" w:rsidRDefault="00EE0371" w:rsidP="00EE0371">
            <w:pPr>
              <w:spacing w:after="0" w:line="240" w:lineRule="auto"/>
              <w:jc w:val="center"/>
              <w:rPr>
                <w:rFonts w:ascii="Arial" w:eastAsia="Times New Roman" w:hAnsi="Arial" w:cs="Arial"/>
                <w:b/>
                <w:bCs/>
                <w:sz w:val="20"/>
                <w:szCs w:val="20"/>
                <w:lang w:eastAsia="pt-BR"/>
              </w:rPr>
            </w:pPr>
            <w:r w:rsidRPr="00E963EB">
              <w:rPr>
                <w:rFonts w:ascii="Arial" w:eastAsia="Times New Roman" w:hAnsi="Arial" w:cs="Arial"/>
                <w:b/>
                <w:bCs/>
                <w:sz w:val="20"/>
                <w:szCs w:val="20"/>
                <w:lang w:eastAsia="pt-BR"/>
              </w:rPr>
              <w:t>Obrigatoriedade</w:t>
            </w:r>
          </w:p>
        </w:tc>
      </w:tr>
      <w:tr w:rsidR="00E963EB" w:rsidRPr="00E963EB" w14:paraId="166B9D79" w14:textId="77777777" w:rsidTr="00DD49C9">
        <w:trPr>
          <w:trHeight w:val="315"/>
        </w:trPr>
        <w:tc>
          <w:tcPr>
            <w:tcW w:w="9185" w:type="dxa"/>
            <w:gridSpan w:val="4"/>
            <w:tcBorders>
              <w:top w:val="single" w:sz="8" w:space="0" w:color="auto"/>
              <w:left w:val="single" w:sz="8" w:space="0" w:color="auto"/>
              <w:bottom w:val="single" w:sz="8" w:space="0" w:color="auto"/>
              <w:right w:val="single" w:sz="8" w:space="0" w:color="000000"/>
            </w:tcBorders>
            <w:shd w:val="clear" w:color="000000" w:fill="BFBFBF"/>
            <w:vAlign w:val="center"/>
            <w:hideMark/>
          </w:tcPr>
          <w:p w14:paraId="3AACE8CC" w14:textId="77777777" w:rsidR="00EE0371" w:rsidRPr="00E963EB" w:rsidRDefault="00EE0371" w:rsidP="00EE0371">
            <w:pPr>
              <w:spacing w:after="0" w:line="240" w:lineRule="auto"/>
              <w:jc w:val="center"/>
              <w:rPr>
                <w:rFonts w:ascii="Arial" w:eastAsia="Times New Roman" w:hAnsi="Arial" w:cs="Arial"/>
                <w:b/>
                <w:bCs/>
                <w:sz w:val="20"/>
                <w:szCs w:val="20"/>
                <w:lang w:eastAsia="pt-BR"/>
              </w:rPr>
            </w:pPr>
            <w:r w:rsidRPr="00E963EB">
              <w:rPr>
                <w:rFonts w:ascii="Arial" w:eastAsia="Times New Roman" w:hAnsi="Arial" w:cs="Arial"/>
                <w:b/>
                <w:bCs/>
                <w:sz w:val="20"/>
                <w:szCs w:val="20"/>
                <w:lang w:eastAsia="pt-BR"/>
              </w:rPr>
              <w:t>Estrutura ‘DemonstrativoRestosPagar’</w:t>
            </w:r>
          </w:p>
        </w:tc>
      </w:tr>
      <w:tr w:rsidR="00E963EB" w:rsidRPr="00E963EB" w14:paraId="618B9909" w14:textId="77777777" w:rsidTr="00DD49C9">
        <w:trPr>
          <w:trHeight w:val="315"/>
        </w:trPr>
        <w:tc>
          <w:tcPr>
            <w:tcW w:w="3914" w:type="dxa"/>
            <w:tcBorders>
              <w:top w:val="nil"/>
              <w:left w:val="single" w:sz="8" w:space="0" w:color="auto"/>
              <w:bottom w:val="single" w:sz="8" w:space="0" w:color="auto"/>
              <w:right w:val="single" w:sz="8" w:space="0" w:color="auto"/>
            </w:tcBorders>
            <w:shd w:val="clear" w:color="auto" w:fill="auto"/>
            <w:vAlign w:val="center"/>
            <w:hideMark/>
          </w:tcPr>
          <w:p w14:paraId="3984E9BF" w14:textId="77777777" w:rsidR="00EE0371" w:rsidRPr="00E963EB" w:rsidRDefault="00EE0371" w:rsidP="00EE0371">
            <w:pPr>
              <w:spacing w:after="0" w:line="240" w:lineRule="auto"/>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t>Identificação do Numero do Registro</w:t>
            </w:r>
          </w:p>
        </w:tc>
        <w:tc>
          <w:tcPr>
            <w:tcW w:w="1225" w:type="dxa"/>
            <w:tcBorders>
              <w:top w:val="nil"/>
              <w:left w:val="nil"/>
              <w:bottom w:val="single" w:sz="8" w:space="0" w:color="auto"/>
              <w:right w:val="single" w:sz="8" w:space="0" w:color="auto"/>
            </w:tcBorders>
            <w:shd w:val="clear" w:color="auto" w:fill="auto"/>
            <w:vAlign w:val="center"/>
            <w:hideMark/>
          </w:tcPr>
          <w:p w14:paraId="3B082678" w14:textId="77777777" w:rsidR="00EE0371" w:rsidRPr="00E963EB" w:rsidRDefault="00EE0371" w:rsidP="00EE0371">
            <w:pPr>
              <w:spacing w:after="0" w:line="240" w:lineRule="auto"/>
              <w:jc w:val="center"/>
              <w:rPr>
                <w:rFonts w:ascii="Arial" w:eastAsia="Times New Roman" w:hAnsi="Arial" w:cs="Arial"/>
                <w:sz w:val="20"/>
                <w:szCs w:val="20"/>
                <w:lang w:eastAsia="pt-BR"/>
              </w:rPr>
            </w:pPr>
            <w:r w:rsidRPr="00E963EB">
              <w:rPr>
                <w:rFonts w:ascii="Arial" w:eastAsia="Times New Roman" w:hAnsi="Arial" w:cs="Arial"/>
                <w:sz w:val="20"/>
                <w:szCs w:val="20"/>
                <w:lang w:eastAsia="pt-BR"/>
              </w:rPr>
              <w:t>Inteiro</w:t>
            </w:r>
          </w:p>
        </w:tc>
        <w:tc>
          <w:tcPr>
            <w:tcW w:w="1313" w:type="dxa"/>
            <w:tcBorders>
              <w:top w:val="nil"/>
              <w:left w:val="nil"/>
              <w:bottom w:val="single" w:sz="8" w:space="0" w:color="auto"/>
              <w:right w:val="single" w:sz="8" w:space="0" w:color="auto"/>
            </w:tcBorders>
            <w:shd w:val="clear" w:color="auto" w:fill="auto"/>
            <w:vAlign w:val="center"/>
            <w:hideMark/>
          </w:tcPr>
          <w:p w14:paraId="42B89A84" w14:textId="77777777" w:rsidR="00EE0371" w:rsidRPr="00E963EB" w:rsidRDefault="00EE0371" w:rsidP="00EE0371">
            <w:pPr>
              <w:spacing w:after="0" w:line="240" w:lineRule="auto"/>
              <w:jc w:val="center"/>
              <w:rPr>
                <w:rFonts w:ascii="Arial" w:eastAsia="Times New Roman" w:hAnsi="Arial" w:cs="Arial"/>
                <w:sz w:val="20"/>
                <w:szCs w:val="20"/>
                <w:lang w:eastAsia="pt-BR"/>
              </w:rPr>
            </w:pPr>
            <w:r w:rsidRPr="00E963EB">
              <w:rPr>
                <w:rFonts w:ascii="Arial" w:eastAsia="Times New Roman" w:hAnsi="Arial" w:cs="Arial"/>
                <w:sz w:val="20"/>
                <w:szCs w:val="20"/>
                <w:lang w:eastAsia="pt-BR"/>
              </w:rPr>
              <w:t>5</w:t>
            </w:r>
          </w:p>
        </w:tc>
        <w:tc>
          <w:tcPr>
            <w:tcW w:w="2733" w:type="dxa"/>
            <w:tcBorders>
              <w:top w:val="nil"/>
              <w:left w:val="nil"/>
              <w:bottom w:val="single" w:sz="8" w:space="0" w:color="auto"/>
              <w:right w:val="single" w:sz="8" w:space="0" w:color="auto"/>
            </w:tcBorders>
            <w:shd w:val="clear" w:color="auto" w:fill="auto"/>
            <w:vAlign w:val="center"/>
            <w:hideMark/>
          </w:tcPr>
          <w:p w14:paraId="3F0C9A63" w14:textId="77777777" w:rsidR="00EE0371" w:rsidRPr="00E963EB" w:rsidRDefault="00EE0371" w:rsidP="00EE0371">
            <w:pPr>
              <w:spacing w:after="0" w:line="240" w:lineRule="auto"/>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t>Obrigatório</w:t>
            </w:r>
          </w:p>
        </w:tc>
      </w:tr>
      <w:tr w:rsidR="00E963EB" w:rsidRPr="00E963EB" w14:paraId="67BB74A9" w14:textId="77777777" w:rsidTr="00DD49C9">
        <w:trPr>
          <w:trHeight w:val="315"/>
        </w:trPr>
        <w:tc>
          <w:tcPr>
            <w:tcW w:w="3914" w:type="dxa"/>
            <w:tcBorders>
              <w:top w:val="nil"/>
              <w:left w:val="single" w:sz="8" w:space="0" w:color="auto"/>
              <w:bottom w:val="single" w:sz="8" w:space="0" w:color="auto"/>
              <w:right w:val="single" w:sz="8" w:space="0" w:color="auto"/>
            </w:tcBorders>
            <w:shd w:val="clear" w:color="auto" w:fill="auto"/>
            <w:vAlign w:val="center"/>
          </w:tcPr>
          <w:p w14:paraId="437ADCA4" w14:textId="77777777" w:rsidR="00DD49C9" w:rsidRPr="00E963EB" w:rsidRDefault="00DD49C9" w:rsidP="00DD49C9">
            <w:pPr>
              <w:spacing w:after="0" w:line="360" w:lineRule="auto"/>
              <w:jc w:val="both"/>
              <w:rPr>
                <w:rFonts w:ascii="Arial" w:hAnsi="Arial" w:cs="Arial"/>
                <w:sz w:val="20"/>
                <w:szCs w:val="20"/>
              </w:rPr>
            </w:pPr>
            <w:r w:rsidRPr="00E963EB">
              <w:rPr>
                <w:rFonts w:ascii="Arial" w:eastAsia="Times New Roman" w:hAnsi="Arial" w:cs="Arial"/>
                <w:sz w:val="20"/>
                <w:szCs w:val="20"/>
                <w:lang w:eastAsia="pt-BR"/>
              </w:rPr>
              <w:t>Código da Unidade Gestora</w:t>
            </w:r>
          </w:p>
        </w:tc>
        <w:tc>
          <w:tcPr>
            <w:tcW w:w="1225" w:type="dxa"/>
            <w:tcBorders>
              <w:top w:val="nil"/>
              <w:left w:val="nil"/>
              <w:bottom w:val="single" w:sz="8" w:space="0" w:color="auto"/>
              <w:right w:val="single" w:sz="8" w:space="0" w:color="auto"/>
            </w:tcBorders>
            <w:shd w:val="clear" w:color="auto" w:fill="auto"/>
            <w:vAlign w:val="center"/>
          </w:tcPr>
          <w:p w14:paraId="5B6F4868" w14:textId="77777777" w:rsidR="00DD49C9" w:rsidRPr="00E963EB" w:rsidRDefault="00DD49C9" w:rsidP="00DD49C9">
            <w:pPr>
              <w:spacing w:after="0" w:line="360" w:lineRule="auto"/>
              <w:jc w:val="center"/>
              <w:rPr>
                <w:rFonts w:ascii="Arial" w:hAnsi="Arial" w:cs="Arial"/>
                <w:sz w:val="20"/>
                <w:szCs w:val="20"/>
              </w:rPr>
            </w:pPr>
            <w:r w:rsidRPr="00E963EB">
              <w:rPr>
                <w:rFonts w:ascii="Arial" w:eastAsia="Times New Roman" w:hAnsi="Arial" w:cs="Arial"/>
                <w:sz w:val="20"/>
                <w:szCs w:val="20"/>
                <w:lang w:eastAsia="pt-BR"/>
              </w:rPr>
              <w:t>Caracter</w:t>
            </w:r>
          </w:p>
        </w:tc>
        <w:tc>
          <w:tcPr>
            <w:tcW w:w="1313" w:type="dxa"/>
            <w:tcBorders>
              <w:top w:val="nil"/>
              <w:left w:val="nil"/>
              <w:bottom w:val="single" w:sz="8" w:space="0" w:color="auto"/>
              <w:right w:val="single" w:sz="8" w:space="0" w:color="auto"/>
            </w:tcBorders>
            <w:shd w:val="clear" w:color="auto" w:fill="auto"/>
            <w:vAlign w:val="center"/>
          </w:tcPr>
          <w:p w14:paraId="5739ACE6" w14:textId="77777777" w:rsidR="00DD49C9" w:rsidRPr="00E963EB" w:rsidRDefault="00DD49C9" w:rsidP="00DD49C9">
            <w:pPr>
              <w:spacing w:after="0" w:line="360" w:lineRule="auto"/>
              <w:jc w:val="center"/>
              <w:rPr>
                <w:rFonts w:ascii="Arial" w:hAnsi="Arial" w:cs="Arial"/>
                <w:sz w:val="20"/>
                <w:szCs w:val="20"/>
              </w:rPr>
            </w:pPr>
            <w:r w:rsidRPr="00E963EB">
              <w:rPr>
                <w:rFonts w:ascii="Arial" w:hAnsi="Arial" w:cs="Arial"/>
                <w:sz w:val="20"/>
                <w:szCs w:val="20"/>
              </w:rPr>
              <w:t>11</w:t>
            </w:r>
          </w:p>
        </w:tc>
        <w:tc>
          <w:tcPr>
            <w:tcW w:w="2733" w:type="dxa"/>
            <w:tcBorders>
              <w:top w:val="nil"/>
              <w:left w:val="nil"/>
              <w:bottom w:val="single" w:sz="8" w:space="0" w:color="auto"/>
              <w:right w:val="single" w:sz="8" w:space="0" w:color="auto"/>
            </w:tcBorders>
            <w:shd w:val="clear" w:color="auto" w:fill="auto"/>
            <w:vAlign w:val="center"/>
          </w:tcPr>
          <w:p w14:paraId="5AAADBB4" w14:textId="77777777" w:rsidR="00DD49C9" w:rsidRPr="00E963EB" w:rsidRDefault="00DD49C9" w:rsidP="00DD49C9">
            <w:pPr>
              <w:spacing w:after="0" w:line="360" w:lineRule="auto"/>
              <w:jc w:val="both"/>
              <w:rPr>
                <w:rFonts w:ascii="Arial" w:hAnsi="Arial" w:cs="Arial"/>
                <w:sz w:val="20"/>
                <w:szCs w:val="20"/>
              </w:rPr>
            </w:pPr>
            <w:r w:rsidRPr="00E963EB">
              <w:rPr>
                <w:rFonts w:ascii="Arial" w:eastAsia="Times New Roman" w:hAnsi="Arial" w:cs="Arial"/>
                <w:sz w:val="20"/>
                <w:szCs w:val="20"/>
                <w:lang w:eastAsia="pt-BR"/>
              </w:rPr>
              <w:t>Obrigatório conforme codificação do TCEES</w:t>
            </w:r>
          </w:p>
        </w:tc>
      </w:tr>
      <w:tr w:rsidR="00E963EB" w:rsidRPr="00E963EB" w14:paraId="35B7C64F" w14:textId="77777777" w:rsidTr="00DD49C9">
        <w:trPr>
          <w:trHeight w:val="315"/>
        </w:trPr>
        <w:tc>
          <w:tcPr>
            <w:tcW w:w="3914" w:type="dxa"/>
            <w:tcBorders>
              <w:top w:val="nil"/>
              <w:left w:val="single" w:sz="8" w:space="0" w:color="auto"/>
              <w:bottom w:val="single" w:sz="8" w:space="0" w:color="auto"/>
              <w:right w:val="single" w:sz="8" w:space="0" w:color="auto"/>
            </w:tcBorders>
            <w:shd w:val="clear" w:color="auto" w:fill="auto"/>
            <w:vAlign w:val="center"/>
          </w:tcPr>
          <w:p w14:paraId="1294D2D3" w14:textId="08D03713" w:rsidR="00A1008F" w:rsidRPr="00E963EB" w:rsidRDefault="00A1008F" w:rsidP="00A1008F">
            <w:pPr>
              <w:spacing w:after="0" w:line="360" w:lineRule="auto"/>
              <w:jc w:val="both"/>
              <w:rPr>
                <w:rFonts w:ascii="Arial" w:eastAsia="Times New Roman" w:hAnsi="Arial" w:cs="Arial"/>
                <w:sz w:val="20"/>
                <w:szCs w:val="20"/>
                <w:lang w:eastAsia="pt-BR"/>
              </w:rPr>
            </w:pPr>
            <w:r w:rsidRPr="00E963EB">
              <w:rPr>
                <w:rFonts w:ascii="Arial" w:eastAsia="Calibri" w:hAnsi="Arial" w:cs="Arial"/>
                <w:sz w:val="20"/>
                <w:szCs w:val="20"/>
              </w:rPr>
              <w:t>Ato Administrativo gerador da despesa</w:t>
            </w:r>
          </w:p>
        </w:tc>
        <w:tc>
          <w:tcPr>
            <w:tcW w:w="1225" w:type="dxa"/>
            <w:tcBorders>
              <w:top w:val="nil"/>
              <w:left w:val="nil"/>
              <w:bottom w:val="single" w:sz="8" w:space="0" w:color="auto"/>
              <w:right w:val="single" w:sz="8" w:space="0" w:color="auto"/>
            </w:tcBorders>
            <w:shd w:val="clear" w:color="auto" w:fill="auto"/>
            <w:vAlign w:val="center"/>
          </w:tcPr>
          <w:p w14:paraId="7268AD2C" w14:textId="36DD96F7" w:rsidR="00A1008F" w:rsidRPr="00E963EB" w:rsidRDefault="00A1008F" w:rsidP="00A1008F">
            <w:pPr>
              <w:spacing w:after="0" w:line="360" w:lineRule="auto"/>
              <w:jc w:val="center"/>
              <w:rPr>
                <w:rFonts w:ascii="Arial" w:eastAsia="Times New Roman" w:hAnsi="Arial" w:cs="Arial"/>
                <w:sz w:val="20"/>
                <w:szCs w:val="20"/>
                <w:lang w:eastAsia="pt-BR"/>
              </w:rPr>
            </w:pPr>
            <w:r w:rsidRPr="00E963EB">
              <w:rPr>
                <w:rFonts w:ascii="Arial" w:eastAsia="Times New Roman" w:hAnsi="Arial" w:cs="Arial"/>
                <w:sz w:val="20"/>
                <w:szCs w:val="20"/>
                <w:lang w:eastAsia="pt-BR"/>
              </w:rPr>
              <w:t>Inteiro</w:t>
            </w:r>
          </w:p>
        </w:tc>
        <w:tc>
          <w:tcPr>
            <w:tcW w:w="1313" w:type="dxa"/>
            <w:tcBorders>
              <w:top w:val="nil"/>
              <w:left w:val="nil"/>
              <w:bottom w:val="single" w:sz="8" w:space="0" w:color="auto"/>
              <w:right w:val="single" w:sz="8" w:space="0" w:color="auto"/>
            </w:tcBorders>
            <w:shd w:val="clear" w:color="auto" w:fill="auto"/>
            <w:vAlign w:val="center"/>
          </w:tcPr>
          <w:p w14:paraId="34C8623D" w14:textId="6DF54B02" w:rsidR="00A1008F" w:rsidRPr="00E963EB" w:rsidRDefault="00A1008F" w:rsidP="00A1008F">
            <w:pPr>
              <w:spacing w:after="0" w:line="360" w:lineRule="auto"/>
              <w:jc w:val="center"/>
              <w:rPr>
                <w:rFonts w:ascii="Arial" w:hAnsi="Arial" w:cs="Arial"/>
                <w:sz w:val="20"/>
                <w:szCs w:val="20"/>
              </w:rPr>
            </w:pPr>
            <w:r w:rsidRPr="00E963EB">
              <w:rPr>
                <w:rFonts w:ascii="Arial" w:eastAsia="Calibri" w:hAnsi="Arial" w:cs="Arial"/>
                <w:sz w:val="20"/>
                <w:szCs w:val="20"/>
              </w:rPr>
              <w:t>1</w:t>
            </w:r>
          </w:p>
        </w:tc>
        <w:tc>
          <w:tcPr>
            <w:tcW w:w="2733" w:type="dxa"/>
            <w:tcBorders>
              <w:top w:val="nil"/>
              <w:left w:val="nil"/>
              <w:bottom w:val="single" w:sz="8" w:space="0" w:color="auto"/>
              <w:right w:val="single" w:sz="8" w:space="0" w:color="auto"/>
            </w:tcBorders>
            <w:shd w:val="clear" w:color="auto" w:fill="auto"/>
            <w:vAlign w:val="center"/>
          </w:tcPr>
          <w:p w14:paraId="764B7E4A" w14:textId="77777777" w:rsidR="00A1008F" w:rsidRPr="00E963EB" w:rsidRDefault="00A1008F" w:rsidP="00B73D5F">
            <w:pPr>
              <w:spacing w:after="0" w:line="240" w:lineRule="auto"/>
              <w:rPr>
                <w:rFonts w:ascii="Arial" w:eastAsia="Times New Roman" w:hAnsi="Arial" w:cs="Arial"/>
                <w:sz w:val="20"/>
                <w:szCs w:val="20"/>
                <w:lang w:eastAsia="pt-BR"/>
              </w:rPr>
            </w:pPr>
            <w:r w:rsidRPr="00E963EB">
              <w:rPr>
                <w:rFonts w:ascii="Arial" w:eastAsia="Times New Roman" w:hAnsi="Arial" w:cs="Arial"/>
                <w:sz w:val="20"/>
                <w:szCs w:val="20"/>
                <w:lang w:eastAsia="pt-BR"/>
              </w:rPr>
              <w:t>Obrigatório</w:t>
            </w:r>
          </w:p>
          <w:p w14:paraId="4938D2BF" w14:textId="77777777" w:rsidR="00A1008F" w:rsidRPr="00E963EB" w:rsidRDefault="00A1008F" w:rsidP="00B73D5F">
            <w:pPr>
              <w:spacing w:after="0" w:line="240" w:lineRule="auto"/>
              <w:rPr>
                <w:rFonts w:ascii="Arial" w:eastAsia="Times New Roman" w:hAnsi="Arial" w:cs="Arial"/>
                <w:sz w:val="20"/>
                <w:szCs w:val="20"/>
                <w:lang w:eastAsia="pt-BR"/>
              </w:rPr>
            </w:pPr>
            <w:r w:rsidRPr="00E963EB">
              <w:rPr>
                <w:rFonts w:ascii="Arial" w:eastAsia="Times New Roman" w:hAnsi="Arial" w:cs="Arial"/>
                <w:sz w:val="20"/>
                <w:szCs w:val="20"/>
                <w:lang w:eastAsia="pt-BR"/>
              </w:rPr>
              <w:t>1 - Contrato</w:t>
            </w:r>
          </w:p>
          <w:p w14:paraId="23F9B897" w14:textId="77777777" w:rsidR="00A1008F" w:rsidRPr="00E963EB" w:rsidRDefault="00A1008F" w:rsidP="00B73D5F">
            <w:pPr>
              <w:spacing w:after="0" w:line="240" w:lineRule="auto"/>
              <w:rPr>
                <w:rFonts w:ascii="Arial" w:eastAsia="Times New Roman" w:hAnsi="Arial" w:cs="Arial"/>
                <w:sz w:val="20"/>
                <w:szCs w:val="20"/>
                <w:lang w:eastAsia="pt-BR"/>
              </w:rPr>
            </w:pPr>
            <w:r w:rsidRPr="00E963EB">
              <w:rPr>
                <w:rFonts w:ascii="Arial" w:eastAsia="Times New Roman" w:hAnsi="Arial" w:cs="Arial"/>
                <w:sz w:val="20"/>
                <w:szCs w:val="20"/>
                <w:lang w:eastAsia="pt-BR"/>
              </w:rPr>
              <w:t>2 - Convênio a Conceder</w:t>
            </w:r>
          </w:p>
          <w:p w14:paraId="3E2B2C1B" w14:textId="77777777" w:rsidR="00A1008F" w:rsidRPr="00E963EB" w:rsidRDefault="00A1008F" w:rsidP="00B73D5F">
            <w:pPr>
              <w:spacing w:after="0" w:line="240" w:lineRule="auto"/>
              <w:rPr>
                <w:rFonts w:ascii="Arial" w:eastAsia="Times New Roman" w:hAnsi="Arial" w:cs="Arial"/>
                <w:sz w:val="20"/>
                <w:szCs w:val="20"/>
                <w:lang w:eastAsia="pt-BR"/>
              </w:rPr>
            </w:pPr>
            <w:r w:rsidRPr="00E963EB">
              <w:rPr>
                <w:rFonts w:ascii="Arial" w:eastAsia="Times New Roman" w:hAnsi="Arial" w:cs="Arial"/>
                <w:sz w:val="20"/>
                <w:szCs w:val="20"/>
                <w:lang w:eastAsia="pt-BR"/>
              </w:rPr>
              <w:t>3 - Acordo</w:t>
            </w:r>
          </w:p>
          <w:p w14:paraId="1947EAF1" w14:textId="77777777" w:rsidR="00A1008F" w:rsidRPr="00E963EB" w:rsidRDefault="00A1008F" w:rsidP="00B73D5F">
            <w:pPr>
              <w:spacing w:after="0" w:line="240" w:lineRule="auto"/>
              <w:rPr>
                <w:rFonts w:ascii="Arial" w:eastAsia="Times New Roman" w:hAnsi="Arial" w:cs="Arial"/>
                <w:sz w:val="20"/>
                <w:szCs w:val="20"/>
                <w:lang w:eastAsia="pt-BR"/>
              </w:rPr>
            </w:pPr>
            <w:r w:rsidRPr="00E963EB">
              <w:rPr>
                <w:rFonts w:ascii="Arial" w:eastAsia="Times New Roman" w:hAnsi="Arial" w:cs="Arial"/>
                <w:sz w:val="20"/>
                <w:szCs w:val="20"/>
                <w:lang w:eastAsia="pt-BR"/>
              </w:rPr>
              <w:t>4 - Ajuste</w:t>
            </w:r>
          </w:p>
          <w:p w14:paraId="412D7FB3" w14:textId="77777777" w:rsidR="00A1008F" w:rsidRDefault="00A1008F" w:rsidP="00B73D5F">
            <w:pPr>
              <w:spacing w:after="0" w:line="240" w:lineRule="auto"/>
              <w:rPr>
                <w:rFonts w:ascii="Arial" w:eastAsia="Times New Roman" w:hAnsi="Arial" w:cs="Arial"/>
                <w:sz w:val="20"/>
                <w:szCs w:val="20"/>
                <w:lang w:eastAsia="pt-BR"/>
              </w:rPr>
            </w:pPr>
            <w:r w:rsidRPr="00E963EB">
              <w:rPr>
                <w:rFonts w:ascii="Arial" w:eastAsia="Times New Roman" w:hAnsi="Arial" w:cs="Arial"/>
                <w:sz w:val="20"/>
                <w:szCs w:val="20"/>
                <w:lang w:eastAsia="pt-BR"/>
              </w:rPr>
              <w:t>5 – Outros Instrumentos Congêneres</w:t>
            </w:r>
          </w:p>
          <w:p w14:paraId="066D99F3" w14:textId="43C95079" w:rsidR="00B73D5F" w:rsidRPr="00E963EB" w:rsidRDefault="00B73D5F" w:rsidP="00B73D5F">
            <w:pPr>
              <w:spacing w:after="0" w:line="240" w:lineRule="auto"/>
              <w:rPr>
                <w:rFonts w:ascii="Arial" w:eastAsia="Times New Roman" w:hAnsi="Arial" w:cs="Arial"/>
                <w:sz w:val="20"/>
                <w:szCs w:val="20"/>
                <w:lang w:eastAsia="pt-BR"/>
              </w:rPr>
            </w:pPr>
            <w:r w:rsidRPr="000A058D">
              <w:rPr>
                <w:rFonts w:ascii="Arial" w:eastAsia="Times New Roman" w:hAnsi="Arial" w:cs="Arial"/>
                <w:sz w:val="20"/>
                <w:szCs w:val="20"/>
                <w:lang w:eastAsia="pt-BR"/>
              </w:rPr>
              <w:t>6 - Aditivo de Contrato                                         7 - Aditivo de Convênio a Conceder                                        8 - Aditivo de Acordo                                                              9 - Aditivo de Ajuste                                                            10 - Aditivo de Outros Instrumentos Congêneres</w:t>
            </w:r>
          </w:p>
        </w:tc>
      </w:tr>
      <w:tr w:rsidR="00E963EB" w:rsidRPr="00E963EB" w14:paraId="5357849C" w14:textId="77777777" w:rsidTr="00DD49C9">
        <w:trPr>
          <w:trHeight w:val="315"/>
        </w:trPr>
        <w:tc>
          <w:tcPr>
            <w:tcW w:w="3914" w:type="dxa"/>
            <w:tcBorders>
              <w:top w:val="nil"/>
              <w:left w:val="single" w:sz="8" w:space="0" w:color="auto"/>
              <w:bottom w:val="single" w:sz="8" w:space="0" w:color="auto"/>
              <w:right w:val="single" w:sz="8" w:space="0" w:color="auto"/>
            </w:tcBorders>
            <w:shd w:val="clear" w:color="auto" w:fill="auto"/>
            <w:vAlign w:val="center"/>
            <w:hideMark/>
          </w:tcPr>
          <w:p w14:paraId="1D77634B" w14:textId="094B9FFB" w:rsidR="00DD49C9" w:rsidRPr="00E963EB" w:rsidRDefault="00DD49C9" w:rsidP="00DD49C9">
            <w:pPr>
              <w:spacing w:after="0" w:line="240" w:lineRule="auto"/>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t xml:space="preserve">Número do </w:t>
            </w:r>
            <w:r w:rsidR="00A1008F" w:rsidRPr="00E963EB">
              <w:rPr>
                <w:rFonts w:ascii="Arial" w:eastAsia="Times New Roman" w:hAnsi="Arial" w:cs="Arial"/>
                <w:sz w:val="20"/>
                <w:szCs w:val="20"/>
                <w:lang w:eastAsia="pt-BR"/>
              </w:rPr>
              <w:t>Ato Administrativo</w:t>
            </w:r>
          </w:p>
        </w:tc>
        <w:tc>
          <w:tcPr>
            <w:tcW w:w="1225" w:type="dxa"/>
            <w:tcBorders>
              <w:top w:val="nil"/>
              <w:left w:val="nil"/>
              <w:bottom w:val="single" w:sz="8" w:space="0" w:color="auto"/>
              <w:right w:val="single" w:sz="8" w:space="0" w:color="auto"/>
            </w:tcBorders>
            <w:shd w:val="clear" w:color="auto" w:fill="auto"/>
            <w:vAlign w:val="center"/>
            <w:hideMark/>
          </w:tcPr>
          <w:p w14:paraId="0828FD4E" w14:textId="77777777" w:rsidR="00DD49C9" w:rsidRPr="00E963EB" w:rsidRDefault="00DD49C9" w:rsidP="00DD49C9">
            <w:pPr>
              <w:spacing w:after="0" w:line="240" w:lineRule="auto"/>
              <w:jc w:val="center"/>
              <w:rPr>
                <w:rFonts w:ascii="Arial" w:eastAsia="Times New Roman" w:hAnsi="Arial" w:cs="Arial"/>
                <w:sz w:val="20"/>
                <w:szCs w:val="20"/>
                <w:lang w:eastAsia="pt-BR"/>
              </w:rPr>
            </w:pPr>
            <w:r w:rsidRPr="00E963EB">
              <w:rPr>
                <w:rFonts w:ascii="Arial" w:eastAsia="Times New Roman" w:hAnsi="Arial" w:cs="Arial"/>
                <w:sz w:val="20"/>
                <w:szCs w:val="20"/>
                <w:lang w:eastAsia="pt-BR"/>
              </w:rPr>
              <w:t>Caracter</w:t>
            </w:r>
          </w:p>
        </w:tc>
        <w:tc>
          <w:tcPr>
            <w:tcW w:w="1313" w:type="dxa"/>
            <w:tcBorders>
              <w:top w:val="nil"/>
              <w:left w:val="nil"/>
              <w:bottom w:val="single" w:sz="8" w:space="0" w:color="auto"/>
              <w:right w:val="single" w:sz="8" w:space="0" w:color="auto"/>
            </w:tcBorders>
            <w:shd w:val="clear" w:color="auto" w:fill="auto"/>
            <w:vAlign w:val="center"/>
            <w:hideMark/>
          </w:tcPr>
          <w:p w14:paraId="278A50A3" w14:textId="77777777" w:rsidR="00DD49C9" w:rsidRPr="00E963EB" w:rsidRDefault="00DD49C9" w:rsidP="00DD49C9">
            <w:pPr>
              <w:spacing w:after="0" w:line="240" w:lineRule="auto"/>
              <w:jc w:val="center"/>
              <w:rPr>
                <w:rFonts w:ascii="Arial" w:eastAsia="Times New Roman" w:hAnsi="Arial" w:cs="Arial"/>
                <w:sz w:val="20"/>
                <w:szCs w:val="20"/>
                <w:lang w:eastAsia="pt-BR"/>
              </w:rPr>
            </w:pPr>
            <w:r w:rsidRPr="00E963EB">
              <w:rPr>
                <w:rFonts w:ascii="Arial" w:eastAsia="Times New Roman" w:hAnsi="Arial" w:cs="Arial"/>
                <w:sz w:val="20"/>
                <w:szCs w:val="20"/>
                <w:lang w:eastAsia="pt-BR"/>
              </w:rPr>
              <w:t>16</w:t>
            </w:r>
          </w:p>
        </w:tc>
        <w:tc>
          <w:tcPr>
            <w:tcW w:w="2733" w:type="dxa"/>
            <w:tcBorders>
              <w:top w:val="nil"/>
              <w:left w:val="nil"/>
              <w:bottom w:val="single" w:sz="8" w:space="0" w:color="auto"/>
              <w:right w:val="single" w:sz="8" w:space="0" w:color="auto"/>
            </w:tcBorders>
            <w:shd w:val="clear" w:color="auto" w:fill="auto"/>
            <w:vAlign w:val="center"/>
            <w:hideMark/>
          </w:tcPr>
          <w:p w14:paraId="004432A5" w14:textId="77777777" w:rsidR="00DD49C9" w:rsidRPr="00E963EB" w:rsidRDefault="00DD49C9" w:rsidP="00DD49C9">
            <w:pPr>
              <w:spacing w:after="0" w:line="240" w:lineRule="auto"/>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t>Obrigatório</w:t>
            </w:r>
          </w:p>
        </w:tc>
      </w:tr>
      <w:tr w:rsidR="00E963EB" w:rsidRPr="00E963EB" w14:paraId="6B58447A" w14:textId="77777777" w:rsidTr="00DD49C9">
        <w:trPr>
          <w:trHeight w:val="315"/>
        </w:trPr>
        <w:tc>
          <w:tcPr>
            <w:tcW w:w="3914" w:type="dxa"/>
            <w:tcBorders>
              <w:top w:val="nil"/>
              <w:left w:val="single" w:sz="8" w:space="0" w:color="auto"/>
              <w:bottom w:val="single" w:sz="8" w:space="0" w:color="auto"/>
              <w:right w:val="single" w:sz="8" w:space="0" w:color="auto"/>
            </w:tcBorders>
            <w:shd w:val="clear" w:color="auto" w:fill="auto"/>
            <w:vAlign w:val="center"/>
            <w:hideMark/>
          </w:tcPr>
          <w:p w14:paraId="5F873601" w14:textId="2520951B" w:rsidR="00DD49C9" w:rsidRPr="00E963EB" w:rsidRDefault="00DD49C9" w:rsidP="00DD49C9">
            <w:pPr>
              <w:spacing w:after="0" w:line="240" w:lineRule="auto"/>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t xml:space="preserve">Ano do </w:t>
            </w:r>
            <w:r w:rsidR="00A1008F" w:rsidRPr="00E963EB">
              <w:rPr>
                <w:rFonts w:ascii="Arial" w:eastAsia="Times New Roman" w:hAnsi="Arial" w:cs="Arial"/>
                <w:sz w:val="20"/>
                <w:szCs w:val="20"/>
                <w:lang w:eastAsia="pt-BR"/>
              </w:rPr>
              <w:t>Ato Administrativo</w:t>
            </w:r>
          </w:p>
        </w:tc>
        <w:tc>
          <w:tcPr>
            <w:tcW w:w="1225" w:type="dxa"/>
            <w:tcBorders>
              <w:top w:val="nil"/>
              <w:left w:val="nil"/>
              <w:bottom w:val="single" w:sz="8" w:space="0" w:color="auto"/>
              <w:right w:val="single" w:sz="8" w:space="0" w:color="auto"/>
            </w:tcBorders>
            <w:shd w:val="clear" w:color="auto" w:fill="auto"/>
            <w:vAlign w:val="center"/>
            <w:hideMark/>
          </w:tcPr>
          <w:p w14:paraId="612FAAB7" w14:textId="77777777" w:rsidR="00DD49C9" w:rsidRPr="00E963EB" w:rsidRDefault="00DD49C9" w:rsidP="00DD49C9">
            <w:pPr>
              <w:spacing w:after="0" w:line="240" w:lineRule="auto"/>
              <w:jc w:val="center"/>
              <w:rPr>
                <w:rFonts w:ascii="Arial" w:eastAsia="Times New Roman" w:hAnsi="Arial" w:cs="Arial"/>
                <w:sz w:val="20"/>
                <w:szCs w:val="20"/>
                <w:lang w:eastAsia="pt-BR"/>
              </w:rPr>
            </w:pPr>
            <w:r w:rsidRPr="00E963EB">
              <w:rPr>
                <w:rFonts w:ascii="Arial" w:eastAsia="Times New Roman" w:hAnsi="Arial" w:cs="Arial"/>
                <w:sz w:val="20"/>
                <w:szCs w:val="20"/>
                <w:lang w:eastAsia="pt-BR"/>
              </w:rPr>
              <w:t>Inteiro</w:t>
            </w:r>
          </w:p>
        </w:tc>
        <w:tc>
          <w:tcPr>
            <w:tcW w:w="1313" w:type="dxa"/>
            <w:tcBorders>
              <w:top w:val="nil"/>
              <w:left w:val="nil"/>
              <w:bottom w:val="single" w:sz="8" w:space="0" w:color="auto"/>
              <w:right w:val="single" w:sz="8" w:space="0" w:color="auto"/>
            </w:tcBorders>
            <w:shd w:val="clear" w:color="auto" w:fill="auto"/>
            <w:vAlign w:val="center"/>
            <w:hideMark/>
          </w:tcPr>
          <w:p w14:paraId="7CB50CF6" w14:textId="77777777" w:rsidR="00DD49C9" w:rsidRPr="00E963EB" w:rsidRDefault="00DD49C9" w:rsidP="00DD49C9">
            <w:pPr>
              <w:spacing w:after="0" w:line="240" w:lineRule="auto"/>
              <w:jc w:val="center"/>
              <w:rPr>
                <w:rFonts w:ascii="Arial" w:eastAsia="Times New Roman" w:hAnsi="Arial" w:cs="Arial"/>
                <w:sz w:val="20"/>
                <w:szCs w:val="20"/>
                <w:lang w:eastAsia="pt-BR"/>
              </w:rPr>
            </w:pPr>
            <w:r w:rsidRPr="00E963EB">
              <w:rPr>
                <w:rFonts w:ascii="Arial" w:eastAsia="Times New Roman" w:hAnsi="Arial" w:cs="Arial"/>
                <w:sz w:val="20"/>
                <w:szCs w:val="20"/>
                <w:lang w:eastAsia="pt-BR"/>
              </w:rPr>
              <w:t>4</w:t>
            </w:r>
          </w:p>
        </w:tc>
        <w:tc>
          <w:tcPr>
            <w:tcW w:w="2733" w:type="dxa"/>
            <w:tcBorders>
              <w:top w:val="nil"/>
              <w:left w:val="nil"/>
              <w:bottom w:val="single" w:sz="8" w:space="0" w:color="auto"/>
              <w:right w:val="single" w:sz="8" w:space="0" w:color="auto"/>
            </w:tcBorders>
            <w:shd w:val="clear" w:color="auto" w:fill="auto"/>
            <w:vAlign w:val="center"/>
            <w:hideMark/>
          </w:tcPr>
          <w:p w14:paraId="48BF3B71" w14:textId="77777777" w:rsidR="00DD49C9" w:rsidRPr="00E963EB" w:rsidRDefault="00DD49C9" w:rsidP="00DD49C9">
            <w:pPr>
              <w:spacing w:after="0" w:line="240" w:lineRule="auto"/>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t>Obrigatório</w:t>
            </w:r>
          </w:p>
        </w:tc>
      </w:tr>
      <w:tr w:rsidR="00E963EB" w:rsidRPr="00E963EB" w14:paraId="34AD8BBD" w14:textId="77777777" w:rsidTr="00DD49C9">
        <w:trPr>
          <w:trHeight w:val="315"/>
        </w:trPr>
        <w:tc>
          <w:tcPr>
            <w:tcW w:w="3914" w:type="dxa"/>
            <w:tcBorders>
              <w:top w:val="nil"/>
              <w:left w:val="single" w:sz="8" w:space="0" w:color="auto"/>
              <w:bottom w:val="single" w:sz="8" w:space="0" w:color="auto"/>
              <w:right w:val="single" w:sz="8" w:space="0" w:color="auto"/>
            </w:tcBorders>
            <w:shd w:val="clear" w:color="auto" w:fill="auto"/>
            <w:vAlign w:val="center"/>
            <w:hideMark/>
          </w:tcPr>
          <w:p w14:paraId="002A60EE" w14:textId="73E8539E" w:rsidR="00DD49C9" w:rsidRPr="00E963EB" w:rsidRDefault="00DD49C9" w:rsidP="00DD49C9">
            <w:pPr>
              <w:spacing w:after="0" w:line="240" w:lineRule="auto"/>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t xml:space="preserve">Data de Assinatura do </w:t>
            </w:r>
            <w:r w:rsidR="00A1008F" w:rsidRPr="00E963EB">
              <w:rPr>
                <w:rFonts w:ascii="Arial" w:eastAsia="Times New Roman" w:hAnsi="Arial" w:cs="Arial"/>
                <w:sz w:val="20"/>
                <w:szCs w:val="20"/>
                <w:lang w:eastAsia="pt-BR"/>
              </w:rPr>
              <w:t>Ato Administrativo</w:t>
            </w:r>
            <w:r w:rsidRPr="00E963EB">
              <w:rPr>
                <w:rFonts w:ascii="Arial" w:eastAsia="Times New Roman" w:hAnsi="Arial" w:cs="Arial"/>
                <w:sz w:val="20"/>
                <w:szCs w:val="20"/>
                <w:lang w:eastAsia="pt-BR"/>
              </w:rPr>
              <w:t xml:space="preserve"> </w:t>
            </w:r>
            <w:r w:rsidRPr="00E963EB">
              <w:rPr>
                <w:rFonts w:ascii="Arial" w:eastAsia="Times New Roman" w:hAnsi="Arial" w:cs="Arial"/>
                <w:b/>
                <w:sz w:val="20"/>
                <w:szCs w:val="20"/>
                <w:vertAlign w:val="superscript"/>
                <w:lang w:eastAsia="pt-BR"/>
              </w:rPr>
              <w:t>[2]</w:t>
            </w:r>
          </w:p>
        </w:tc>
        <w:tc>
          <w:tcPr>
            <w:tcW w:w="1225" w:type="dxa"/>
            <w:tcBorders>
              <w:top w:val="nil"/>
              <w:left w:val="nil"/>
              <w:bottom w:val="single" w:sz="8" w:space="0" w:color="auto"/>
              <w:right w:val="single" w:sz="8" w:space="0" w:color="auto"/>
            </w:tcBorders>
            <w:shd w:val="clear" w:color="auto" w:fill="auto"/>
            <w:vAlign w:val="center"/>
            <w:hideMark/>
          </w:tcPr>
          <w:p w14:paraId="74D5335E" w14:textId="77777777" w:rsidR="00DD49C9" w:rsidRPr="00E963EB" w:rsidRDefault="00DD49C9" w:rsidP="00DD49C9">
            <w:pPr>
              <w:spacing w:after="0" w:line="240" w:lineRule="auto"/>
              <w:jc w:val="center"/>
              <w:rPr>
                <w:rFonts w:ascii="Arial" w:eastAsia="Times New Roman" w:hAnsi="Arial" w:cs="Arial"/>
                <w:sz w:val="20"/>
                <w:szCs w:val="20"/>
                <w:lang w:eastAsia="pt-BR"/>
              </w:rPr>
            </w:pPr>
            <w:r w:rsidRPr="00E963EB">
              <w:rPr>
                <w:rFonts w:ascii="Arial" w:eastAsia="Times New Roman" w:hAnsi="Arial" w:cs="Arial"/>
                <w:sz w:val="20"/>
                <w:szCs w:val="20"/>
                <w:lang w:eastAsia="pt-BR"/>
              </w:rPr>
              <w:t>Data</w:t>
            </w:r>
          </w:p>
        </w:tc>
        <w:tc>
          <w:tcPr>
            <w:tcW w:w="1313" w:type="dxa"/>
            <w:tcBorders>
              <w:top w:val="nil"/>
              <w:left w:val="nil"/>
              <w:bottom w:val="single" w:sz="8" w:space="0" w:color="auto"/>
              <w:right w:val="single" w:sz="8" w:space="0" w:color="auto"/>
            </w:tcBorders>
            <w:shd w:val="clear" w:color="auto" w:fill="auto"/>
            <w:vAlign w:val="center"/>
            <w:hideMark/>
          </w:tcPr>
          <w:p w14:paraId="3220A419" w14:textId="77777777" w:rsidR="00DD49C9" w:rsidRPr="00E963EB" w:rsidRDefault="00DD49C9" w:rsidP="00DD49C9">
            <w:pPr>
              <w:spacing w:after="0" w:line="240" w:lineRule="auto"/>
              <w:jc w:val="center"/>
              <w:rPr>
                <w:rFonts w:ascii="Arial" w:eastAsia="Times New Roman" w:hAnsi="Arial" w:cs="Arial"/>
                <w:sz w:val="20"/>
                <w:szCs w:val="20"/>
                <w:lang w:eastAsia="pt-BR"/>
              </w:rPr>
            </w:pPr>
            <w:r w:rsidRPr="00E963EB">
              <w:rPr>
                <w:rFonts w:ascii="Arial" w:eastAsia="Times New Roman" w:hAnsi="Arial" w:cs="Arial"/>
                <w:sz w:val="20"/>
                <w:szCs w:val="20"/>
                <w:lang w:eastAsia="pt-BR"/>
              </w:rPr>
              <w:t>10</w:t>
            </w:r>
          </w:p>
        </w:tc>
        <w:tc>
          <w:tcPr>
            <w:tcW w:w="2733" w:type="dxa"/>
            <w:tcBorders>
              <w:top w:val="nil"/>
              <w:left w:val="nil"/>
              <w:bottom w:val="single" w:sz="8" w:space="0" w:color="auto"/>
              <w:right w:val="single" w:sz="8" w:space="0" w:color="auto"/>
            </w:tcBorders>
            <w:shd w:val="clear" w:color="auto" w:fill="auto"/>
            <w:vAlign w:val="center"/>
            <w:hideMark/>
          </w:tcPr>
          <w:p w14:paraId="29441A31" w14:textId="77777777" w:rsidR="00DD49C9" w:rsidRPr="00E963EB" w:rsidRDefault="00DD49C9" w:rsidP="00DD49C9">
            <w:pPr>
              <w:spacing w:after="0" w:line="240" w:lineRule="auto"/>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t>Obrigatório, AAAA-MM-DD</w:t>
            </w:r>
          </w:p>
        </w:tc>
      </w:tr>
      <w:tr w:rsidR="00E963EB" w:rsidRPr="00E963EB" w14:paraId="2E6146C2" w14:textId="77777777" w:rsidTr="00DD49C9">
        <w:trPr>
          <w:trHeight w:val="315"/>
        </w:trPr>
        <w:tc>
          <w:tcPr>
            <w:tcW w:w="3914" w:type="dxa"/>
            <w:tcBorders>
              <w:top w:val="nil"/>
              <w:left w:val="single" w:sz="8" w:space="0" w:color="auto"/>
              <w:bottom w:val="single" w:sz="8" w:space="0" w:color="auto"/>
              <w:right w:val="single" w:sz="8" w:space="0" w:color="auto"/>
            </w:tcBorders>
            <w:shd w:val="clear" w:color="auto" w:fill="auto"/>
            <w:vAlign w:val="center"/>
            <w:hideMark/>
          </w:tcPr>
          <w:p w14:paraId="232DFB22" w14:textId="2720D451" w:rsidR="00DD49C9" w:rsidRPr="00E963EB" w:rsidRDefault="00DD49C9" w:rsidP="00DD49C9">
            <w:pPr>
              <w:spacing w:after="0" w:line="240" w:lineRule="auto"/>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t xml:space="preserve">Descrição do Objeto do </w:t>
            </w:r>
            <w:r w:rsidR="00E963EB" w:rsidRPr="00E963EB">
              <w:rPr>
                <w:rFonts w:ascii="Arial" w:eastAsia="Times New Roman" w:hAnsi="Arial" w:cs="Arial"/>
                <w:sz w:val="20"/>
                <w:szCs w:val="20"/>
                <w:lang w:eastAsia="pt-BR"/>
              </w:rPr>
              <w:t>Ato Administrativo</w:t>
            </w:r>
            <w:r w:rsidRPr="00E963EB">
              <w:rPr>
                <w:rFonts w:ascii="Arial" w:eastAsia="Times New Roman" w:hAnsi="Arial" w:cs="Arial"/>
                <w:sz w:val="20"/>
                <w:szCs w:val="20"/>
                <w:lang w:eastAsia="pt-BR"/>
              </w:rPr>
              <w:t xml:space="preserve"> </w:t>
            </w:r>
            <w:r w:rsidRPr="00E963EB">
              <w:rPr>
                <w:rFonts w:ascii="Arial" w:eastAsia="Times New Roman" w:hAnsi="Arial" w:cs="Arial"/>
                <w:b/>
                <w:sz w:val="20"/>
                <w:szCs w:val="20"/>
                <w:vertAlign w:val="superscript"/>
                <w:lang w:eastAsia="pt-BR"/>
              </w:rPr>
              <w:t>[2]</w:t>
            </w:r>
          </w:p>
        </w:tc>
        <w:tc>
          <w:tcPr>
            <w:tcW w:w="1225" w:type="dxa"/>
            <w:tcBorders>
              <w:top w:val="nil"/>
              <w:left w:val="nil"/>
              <w:bottom w:val="single" w:sz="8" w:space="0" w:color="auto"/>
              <w:right w:val="single" w:sz="8" w:space="0" w:color="auto"/>
            </w:tcBorders>
            <w:shd w:val="clear" w:color="auto" w:fill="auto"/>
            <w:vAlign w:val="center"/>
            <w:hideMark/>
          </w:tcPr>
          <w:p w14:paraId="3608144E" w14:textId="77777777" w:rsidR="00DD49C9" w:rsidRPr="00E963EB" w:rsidRDefault="00DD49C9" w:rsidP="00DD49C9">
            <w:pPr>
              <w:spacing w:after="0" w:line="240" w:lineRule="auto"/>
              <w:jc w:val="center"/>
              <w:rPr>
                <w:rFonts w:ascii="Arial" w:eastAsia="Times New Roman" w:hAnsi="Arial" w:cs="Arial"/>
                <w:sz w:val="20"/>
                <w:szCs w:val="20"/>
                <w:lang w:eastAsia="pt-BR"/>
              </w:rPr>
            </w:pPr>
            <w:r w:rsidRPr="00E963EB">
              <w:rPr>
                <w:rFonts w:ascii="Arial" w:eastAsia="Times New Roman" w:hAnsi="Arial" w:cs="Arial"/>
                <w:sz w:val="20"/>
                <w:szCs w:val="20"/>
                <w:lang w:eastAsia="pt-BR"/>
              </w:rPr>
              <w:t>Caracter</w:t>
            </w:r>
          </w:p>
        </w:tc>
        <w:tc>
          <w:tcPr>
            <w:tcW w:w="1313" w:type="dxa"/>
            <w:tcBorders>
              <w:top w:val="nil"/>
              <w:left w:val="nil"/>
              <w:bottom w:val="single" w:sz="8" w:space="0" w:color="auto"/>
              <w:right w:val="single" w:sz="8" w:space="0" w:color="auto"/>
            </w:tcBorders>
            <w:shd w:val="clear" w:color="auto" w:fill="auto"/>
            <w:vAlign w:val="center"/>
            <w:hideMark/>
          </w:tcPr>
          <w:p w14:paraId="6EFFBCB7" w14:textId="77777777" w:rsidR="00DD49C9" w:rsidRPr="00E963EB" w:rsidRDefault="00DD49C9" w:rsidP="00DD49C9">
            <w:pPr>
              <w:spacing w:after="0" w:line="240" w:lineRule="auto"/>
              <w:jc w:val="center"/>
              <w:rPr>
                <w:rFonts w:ascii="Arial" w:eastAsia="Times New Roman" w:hAnsi="Arial" w:cs="Arial"/>
                <w:sz w:val="20"/>
                <w:szCs w:val="20"/>
                <w:lang w:eastAsia="pt-BR"/>
              </w:rPr>
            </w:pPr>
            <w:r w:rsidRPr="00E963EB">
              <w:rPr>
                <w:rFonts w:ascii="Arial" w:eastAsia="Times New Roman" w:hAnsi="Arial" w:cs="Arial"/>
                <w:sz w:val="20"/>
                <w:szCs w:val="20"/>
                <w:lang w:eastAsia="pt-BR"/>
              </w:rPr>
              <w:t>255</w:t>
            </w:r>
          </w:p>
        </w:tc>
        <w:tc>
          <w:tcPr>
            <w:tcW w:w="2733" w:type="dxa"/>
            <w:tcBorders>
              <w:top w:val="nil"/>
              <w:left w:val="nil"/>
              <w:bottom w:val="single" w:sz="8" w:space="0" w:color="auto"/>
              <w:right w:val="single" w:sz="8" w:space="0" w:color="auto"/>
            </w:tcBorders>
            <w:shd w:val="clear" w:color="auto" w:fill="auto"/>
            <w:vAlign w:val="center"/>
            <w:hideMark/>
          </w:tcPr>
          <w:p w14:paraId="63F7A427" w14:textId="77777777" w:rsidR="00DD49C9" w:rsidRPr="00E963EB" w:rsidRDefault="00DD49C9" w:rsidP="00DD49C9">
            <w:pPr>
              <w:spacing w:after="0" w:line="240" w:lineRule="auto"/>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t>Obrigatório</w:t>
            </w:r>
          </w:p>
        </w:tc>
      </w:tr>
      <w:tr w:rsidR="00E963EB" w:rsidRPr="00E963EB" w14:paraId="58E8AEBD" w14:textId="77777777" w:rsidTr="00DD49C9">
        <w:trPr>
          <w:trHeight w:val="315"/>
        </w:trPr>
        <w:tc>
          <w:tcPr>
            <w:tcW w:w="3914" w:type="dxa"/>
            <w:tcBorders>
              <w:top w:val="nil"/>
              <w:left w:val="single" w:sz="8" w:space="0" w:color="auto"/>
              <w:bottom w:val="single" w:sz="8" w:space="0" w:color="auto"/>
              <w:right w:val="single" w:sz="8" w:space="0" w:color="auto"/>
            </w:tcBorders>
            <w:shd w:val="clear" w:color="auto" w:fill="auto"/>
            <w:vAlign w:val="center"/>
            <w:hideMark/>
          </w:tcPr>
          <w:p w14:paraId="2FD8A166" w14:textId="24DAF827" w:rsidR="00DD49C9" w:rsidRPr="00E963EB" w:rsidRDefault="00DD49C9" w:rsidP="00DD49C9">
            <w:pPr>
              <w:spacing w:after="0" w:line="240" w:lineRule="auto"/>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lastRenderedPageBreak/>
              <w:t xml:space="preserve">Valor Total do </w:t>
            </w:r>
            <w:r w:rsidR="00E963EB" w:rsidRPr="00E963EB">
              <w:rPr>
                <w:rFonts w:ascii="Arial" w:eastAsia="Times New Roman" w:hAnsi="Arial" w:cs="Arial"/>
                <w:sz w:val="20"/>
                <w:szCs w:val="20"/>
                <w:lang w:eastAsia="pt-BR"/>
              </w:rPr>
              <w:t>Ato Administrativo</w:t>
            </w:r>
            <w:r w:rsidRPr="00E963EB">
              <w:rPr>
                <w:rFonts w:ascii="Arial" w:eastAsia="Times New Roman" w:hAnsi="Arial" w:cs="Arial"/>
                <w:sz w:val="20"/>
                <w:szCs w:val="20"/>
                <w:lang w:eastAsia="pt-BR"/>
              </w:rPr>
              <w:t xml:space="preserve"> </w:t>
            </w:r>
            <w:r w:rsidRPr="00E963EB">
              <w:rPr>
                <w:rFonts w:ascii="Arial" w:eastAsia="Times New Roman" w:hAnsi="Arial" w:cs="Arial"/>
                <w:b/>
                <w:sz w:val="20"/>
                <w:szCs w:val="20"/>
                <w:vertAlign w:val="superscript"/>
                <w:lang w:eastAsia="pt-BR"/>
              </w:rPr>
              <w:t>[2]</w:t>
            </w:r>
          </w:p>
        </w:tc>
        <w:tc>
          <w:tcPr>
            <w:tcW w:w="1225" w:type="dxa"/>
            <w:tcBorders>
              <w:top w:val="nil"/>
              <w:left w:val="nil"/>
              <w:bottom w:val="single" w:sz="8" w:space="0" w:color="auto"/>
              <w:right w:val="single" w:sz="8" w:space="0" w:color="auto"/>
            </w:tcBorders>
            <w:shd w:val="clear" w:color="auto" w:fill="auto"/>
            <w:vAlign w:val="center"/>
            <w:hideMark/>
          </w:tcPr>
          <w:p w14:paraId="24B486A5" w14:textId="77777777" w:rsidR="00DD49C9" w:rsidRPr="00E963EB" w:rsidRDefault="00DD49C9" w:rsidP="00DD49C9">
            <w:pPr>
              <w:spacing w:after="0" w:line="240" w:lineRule="auto"/>
              <w:jc w:val="center"/>
              <w:rPr>
                <w:rFonts w:ascii="Arial" w:eastAsia="Times New Roman" w:hAnsi="Arial" w:cs="Arial"/>
                <w:sz w:val="20"/>
                <w:szCs w:val="20"/>
                <w:lang w:eastAsia="pt-BR"/>
              </w:rPr>
            </w:pPr>
            <w:r w:rsidRPr="00E963EB">
              <w:rPr>
                <w:rFonts w:ascii="Arial" w:eastAsia="Times New Roman" w:hAnsi="Arial" w:cs="Arial"/>
                <w:sz w:val="20"/>
                <w:szCs w:val="20"/>
                <w:lang w:eastAsia="pt-BR"/>
              </w:rPr>
              <w:t>Decimal</w:t>
            </w:r>
          </w:p>
        </w:tc>
        <w:tc>
          <w:tcPr>
            <w:tcW w:w="1313" w:type="dxa"/>
            <w:tcBorders>
              <w:top w:val="nil"/>
              <w:left w:val="nil"/>
              <w:bottom w:val="single" w:sz="8" w:space="0" w:color="auto"/>
              <w:right w:val="single" w:sz="8" w:space="0" w:color="auto"/>
            </w:tcBorders>
            <w:shd w:val="clear" w:color="auto" w:fill="auto"/>
            <w:vAlign w:val="center"/>
            <w:hideMark/>
          </w:tcPr>
          <w:p w14:paraId="3C9E3172" w14:textId="77777777" w:rsidR="00DD49C9" w:rsidRPr="00E963EB" w:rsidRDefault="00DD49C9" w:rsidP="00DD49C9">
            <w:pPr>
              <w:spacing w:after="0" w:line="240" w:lineRule="auto"/>
              <w:jc w:val="center"/>
              <w:rPr>
                <w:rFonts w:ascii="Arial" w:eastAsia="Times New Roman" w:hAnsi="Arial" w:cs="Arial"/>
                <w:sz w:val="20"/>
                <w:szCs w:val="20"/>
                <w:lang w:eastAsia="pt-BR"/>
              </w:rPr>
            </w:pPr>
            <w:r w:rsidRPr="00E963EB">
              <w:rPr>
                <w:rFonts w:ascii="Arial" w:eastAsia="Times New Roman" w:hAnsi="Arial" w:cs="Arial"/>
                <w:sz w:val="20"/>
                <w:szCs w:val="20"/>
                <w:lang w:eastAsia="pt-BR"/>
              </w:rPr>
              <w:t>14,2</w:t>
            </w:r>
          </w:p>
        </w:tc>
        <w:tc>
          <w:tcPr>
            <w:tcW w:w="2733" w:type="dxa"/>
            <w:tcBorders>
              <w:top w:val="nil"/>
              <w:left w:val="nil"/>
              <w:bottom w:val="single" w:sz="8" w:space="0" w:color="auto"/>
              <w:right w:val="single" w:sz="8" w:space="0" w:color="auto"/>
            </w:tcBorders>
            <w:shd w:val="clear" w:color="auto" w:fill="auto"/>
            <w:vAlign w:val="center"/>
            <w:hideMark/>
          </w:tcPr>
          <w:p w14:paraId="1BDBC386" w14:textId="77777777" w:rsidR="00DD49C9" w:rsidRPr="00E963EB" w:rsidRDefault="00DD49C9" w:rsidP="00DD49C9">
            <w:pPr>
              <w:spacing w:after="0" w:line="240" w:lineRule="auto"/>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t>Obrigatório</w:t>
            </w:r>
          </w:p>
        </w:tc>
      </w:tr>
      <w:tr w:rsidR="00E963EB" w:rsidRPr="00E963EB" w14:paraId="18258A76" w14:textId="77777777" w:rsidTr="00DD49C9">
        <w:trPr>
          <w:trHeight w:val="315"/>
        </w:trPr>
        <w:tc>
          <w:tcPr>
            <w:tcW w:w="3914" w:type="dxa"/>
            <w:tcBorders>
              <w:top w:val="nil"/>
              <w:left w:val="single" w:sz="8" w:space="0" w:color="auto"/>
              <w:bottom w:val="single" w:sz="8" w:space="0" w:color="auto"/>
              <w:right w:val="single" w:sz="8" w:space="0" w:color="auto"/>
            </w:tcBorders>
            <w:shd w:val="clear" w:color="auto" w:fill="auto"/>
            <w:vAlign w:val="center"/>
            <w:hideMark/>
          </w:tcPr>
          <w:p w14:paraId="7184784D" w14:textId="77777777" w:rsidR="00DD49C9" w:rsidRPr="00E963EB" w:rsidRDefault="00DD49C9" w:rsidP="00DD49C9">
            <w:pPr>
              <w:spacing w:after="0" w:line="240" w:lineRule="auto"/>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t>Número do Empenho</w:t>
            </w:r>
          </w:p>
        </w:tc>
        <w:tc>
          <w:tcPr>
            <w:tcW w:w="1225" w:type="dxa"/>
            <w:tcBorders>
              <w:top w:val="nil"/>
              <w:left w:val="nil"/>
              <w:bottom w:val="single" w:sz="8" w:space="0" w:color="auto"/>
              <w:right w:val="single" w:sz="8" w:space="0" w:color="auto"/>
            </w:tcBorders>
            <w:shd w:val="clear" w:color="auto" w:fill="auto"/>
            <w:vAlign w:val="center"/>
            <w:hideMark/>
          </w:tcPr>
          <w:p w14:paraId="0208148B" w14:textId="77777777" w:rsidR="00DD49C9" w:rsidRPr="00E963EB" w:rsidRDefault="00DD49C9" w:rsidP="00DD49C9">
            <w:pPr>
              <w:spacing w:after="0" w:line="240" w:lineRule="auto"/>
              <w:jc w:val="center"/>
              <w:rPr>
                <w:rFonts w:ascii="Arial" w:eastAsia="Times New Roman" w:hAnsi="Arial" w:cs="Arial"/>
                <w:sz w:val="20"/>
                <w:szCs w:val="20"/>
                <w:lang w:eastAsia="pt-BR"/>
              </w:rPr>
            </w:pPr>
            <w:r w:rsidRPr="00E963EB">
              <w:rPr>
                <w:rFonts w:ascii="Arial" w:eastAsia="Times New Roman" w:hAnsi="Arial" w:cs="Arial"/>
                <w:sz w:val="20"/>
                <w:szCs w:val="20"/>
                <w:lang w:eastAsia="pt-BR"/>
              </w:rPr>
              <w:t>Caracter</w:t>
            </w:r>
          </w:p>
        </w:tc>
        <w:tc>
          <w:tcPr>
            <w:tcW w:w="1313" w:type="dxa"/>
            <w:tcBorders>
              <w:top w:val="nil"/>
              <w:left w:val="nil"/>
              <w:bottom w:val="single" w:sz="8" w:space="0" w:color="auto"/>
              <w:right w:val="single" w:sz="8" w:space="0" w:color="auto"/>
            </w:tcBorders>
            <w:shd w:val="clear" w:color="auto" w:fill="auto"/>
            <w:vAlign w:val="center"/>
            <w:hideMark/>
          </w:tcPr>
          <w:p w14:paraId="0B08C1A3" w14:textId="77777777" w:rsidR="00DD49C9" w:rsidRPr="00E963EB" w:rsidRDefault="00DD49C9" w:rsidP="00DD49C9">
            <w:pPr>
              <w:spacing w:after="0" w:line="240" w:lineRule="auto"/>
              <w:jc w:val="center"/>
              <w:rPr>
                <w:rFonts w:ascii="Arial" w:eastAsia="Times New Roman" w:hAnsi="Arial" w:cs="Arial"/>
                <w:sz w:val="20"/>
                <w:szCs w:val="20"/>
                <w:lang w:eastAsia="pt-BR"/>
              </w:rPr>
            </w:pPr>
            <w:r w:rsidRPr="00E963EB">
              <w:rPr>
                <w:rFonts w:ascii="Arial" w:eastAsia="Times New Roman" w:hAnsi="Arial" w:cs="Arial"/>
                <w:sz w:val="20"/>
                <w:szCs w:val="20"/>
                <w:lang w:eastAsia="pt-BR"/>
              </w:rPr>
              <w:t>8</w:t>
            </w:r>
          </w:p>
        </w:tc>
        <w:tc>
          <w:tcPr>
            <w:tcW w:w="2733" w:type="dxa"/>
            <w:tcBorders>
              <w:top w:val="nil"/>
              <w:left w:val="nil"/>
              <w:bottom w:val="single" w:sz="8" w:space="0" w:color="auto"/>
              <w:right w:val="single" w:sz="8" w:space="0" w:color="auto"/>
            </w:tcBorders>
            <w:shd w:val="clear" w:color="auto" w:fill="auto"/>
            <w:vAlign w:val="center"/>
            <w:hideMark/>
          </w:tcPr>
          <w:p w14:paraId="69F932FA" w14:textId="77777777" w:rsidR="00DD49C9" w:rsidRPr="00E963EB" w:rsidRDefault="00DD49C9" w:rsidP="00DD49C9">
            <w:pPr>
              <w:spacing w:after="0" w:line="240" w:lineRule="auto"/>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t>Obrigatório</w:t>
            </w:r>
          </w:p>
        </w:tc>
      </w:tr>
      <w:tr w:rsidR="00E963EB" w:rsidRPr="00E963EB" w14:paraId="66C0AB98" w14:textId="77777777" w:rsidTr="00DD49C9">
        <w:trPr>
          <w:trHeight w:val="315"/>
        </w:trPr>
        <w:tc>
          <w:tcPr>
            <w:tcW w:w="3914" w:type="dxa"/>
            <w:tcBorders>
              <w:top w:val="nil"/>
              <w:left w:val="single" w:sz="8" w:space="0" w:color="auto"/>
              <w:bottom w:val="single" w:sz="8" w:space="0" w:color="auto"/>
              <w:right w:val="single" w:sz="8" w:space="0" w:color="auto"/>
            </w:tcBorders>
            <w:shd w:val="clear" w:color="auto" w:fill="auto"/>
            <w:vAlign w:val="center"/>
            <w:hideMark/>
          </w:tcPr>
          <w:p w14:paraId="733D9FC4" w14:textId="77777777" w:rsidR="00DD49C9" w:rsidRPr="00E963EB" w:rsidRDefault="00DD49C9" w:rsidP="00DD49C9">
            <w:pPr>
              <w:spacing w:after="0" w:line="240" w:lineRule="auto"/>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t>Ano Empenho</w:t>
            </w:r>
          </w:p>
        </w:tc>
        <w:tc>
          <w:tcPr>
            <w:tcW w:w="1225" w:type="dxa"/>
            <w:tcBorders>
              <w:top w:val="nil"/>
              <w:left w:val="nil"/>
              <w:bottom w:val="single" w:sz="8" w:space="0" w:color="auto"/>
              <w:right w:val="single" w:sz="8" w:space="0" w:color="auto"/>
            </w:tcBorders>
            <w:shd w:val="clear" w:color="auto" w:fill="auto"/>
            <w:vAlign w:val="center"/>
            <w:hideMark/>
          </w:tcPr>
          <w:p w14:paraId="1E27064F" w14:textId="77777777" w:rsidR="00DD49C9" w:rsidRPr="00E963EB" w:rsidRDefault="00DD49C9" w:rsidP="00DD49C9">
            <w:pPr>
              <w:spacing w:after="0" w:line="240" w:lineRule="auto"/>
              <w:jc w:val="center"/>
              <w:rPr>
                <w:rFonts w:ascii="Arial" w:eastAsia="Times New Roman" w:hAnsi="Arial" w:cs="Arial"/>
                <w:sz w:val="20"/>
                <w:szCs w:val="20"/>
                <w:lang w:eastAsia="pt-BR"/>
              </w:rPr>
            </w:pPr>
            <w:r w:rsidRPr="00E963EB">
              <w:rPr>
                <w:rFonts w:ascii="Arial" w:eastAsia="Times New Roman" w:hAnsi="Arial" w:cs="Arial"/>
                <w:sz w:val="20"/>
                <w:szCs w:val="20"/>
                <w:lang w:eastAsia="pt-BR"/>
              </w:rPr>
              <w:t>Inteiro</w:t>
            </w:r>
          </w:p>
        </w:tc>
        <w:tc>
          <w:tcPr>
            <w:tcW w:w="1313" w:type="dxa"/>
            <w:tcBorders>
              <w:top w:val="nil"/>
              <w:left w:val="nil"/>
              <w:bottom w:val="single" w:sz="8" w:space="0" w:color="auto"/>
              <w:right w:val="single" w:sz="8" w:space="0" w:color="auto"/>
            </w:tcBorders>
            <w:shd w:val="clear" w:color="auto" w:fill="auto"/>
            <w:vAlign w:val="center"/>
            <w:hideMark/>
          </w:tcPr>
          <w:p w14:paraId="5A29D1F3" w14:textId="77777777" w:rsidR="00DD49C9" w:rsidRPr="00E963EB" w:rsidRDefault="00DD49C9" w:rsidP="00DD49C9">
            <w:pPr>
              <w:spacing w:after="0" w:line="240" w:lineRule="auto"/>
              <w:jc w:val="center"/>
              <w:rPr>
                <w:rFonts w:ascii="Arial" w:eastAsia="Times New Roman" w:hAnsi="Arial" w:cs="Arial"/>
                <w:sz w:val="20"/>
                <w:szCs w:val="20"/>
                <w:lang w:eastAsia="pt-BR"/>
              </w:rPr>
            </w:pPr>
            <w:r w:rsidRPr="00E963EB">
              <w:rPr>
                <w:rFonts w:ascii="Arial" w:eastAsia="Times New Roman" w:hAnsi="Arial" w:cs="Arial"/>
                <w:sz w:val="20"/>
                <w:szCs w:val="20"/>
                <w:lang w:eastAsia="pt-BR"/>
              </w:rPr>
              <w:t>4</w:t>
            </w:r>
          </w:p>
        </w:tc>
        <w:tc>
          <w:tcPr>
            <w:tcW w:w="2733" w:type="dxa"/>
            <w:tcBorders>
              <w:top w:val="nil"/>
              <w:left w:val="nil"/>
              <w:bottom w:val="single" w:sz="8" w:space="0" w:color="auto"/>
              <w:right w:val="single" w:sz="8" w:space="0" w:color="auto"/>
            </w:tcBorders>
            <w:shd w:val="clear" w:color="auto" w:fill="auto"/>
            <w:vAlign w:val="center"/>
            <w:hideMark/>
          </w:tcPr>
          <w:p w14:paraId="11683B89" w14:textId="77777777" w:rsidR="00DD49C9" w:rsidRPr="00E963EB" w:rsidRDefault="00DD49C9" w:rsidP="00DD49C9">
            <w:pPr>
              <w:spacing w:after="0" w:line="240" w:lineRule="auto"/>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t>Obrigatório</w:t>
            </w:r>
          </w:p>
        </w:tc>
      </w:tr>
      <w:tr w:rsidR="00E963EB" w:rsidRPr="00E963EB" w14:paraId="71EBE311" w14:textId="77777777" w:rsidTr="005C00E1">
        <w:trPr>
          <w:trHeight w:val="315"/>
        </w:trPr>
        <w:tc>
          <w:tcPr>
            <w:tcW w:w="3914" w:type="dxa"/>
            <w:tcBorders>
              <w:top w:val="nil"/>
              <w:left w:val="single" w:sz="8" w:space="0" w:color="auto"/>
              <w:bottom w:val="single" w:sz="8" w:space="0" w:color="auto"/>
              <w:right w:val="single" w:sz="8" w:space="0" w:color="auto"/>
            </w:tcBorders>
            <w:shd w:val="clear" w:color="auto" w:fill="auto"/>
          </w:tcPr>
          <w:p w14:paraId="5A4D3594" w14:textId="6336FF37" w:rsidR="00E963EB" w:rsidRPr="00E963EB" w:rsidRDefault="00E963EB" w:rsidP="00E963EB">
            <w:pPr>
              <w:spacing w:after="0" w:line="240" w:lineRule="auto"/>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t>Pandemia COVID-19</w:t>
            </w:r>
          </w:p>
        </w:tc>
        <w:tc>
          <w:tcPr>
            <w:tcW w:w="1225" w:type="dxa"/>
            <w:tcBorders>
              <w:top w:val="nil"/>
              <w:left w:val="nil"/>
              <w:bottom w:val="single" w:sz="8" w:space="0" w:color="auto"/>
              <w:right w:val="single" w:sz="8" w:space="0" w:color="auto"/>
            </w:tcBorders>
            <w:shd w:val="clear" w:color="auto" w:fill="auto"/>
          </w:tcPr>
          <w:p w14:paraId="5F0D4455" w14:textId="4FE9D724" w:rsidR="00E963EB" w:rsidRPr="00E963EB" w:rsidRDefault="00E963EB" w:rsidP="00E963EB">
            <w:pPr>
              <w:spacing w:after="0" w:line="240" w:lineRule="auto"/>
              <w:jc w:val="center"/>
              <w:rPr>
                <w:rFonts w:ascii="Arial" w:eastAsia="Times New Roman" w:hAnsi="Arial" w:cs="Arial"/>
                <w:sz w:val="20"/>
                <w:szCs w:val="20"/>
                <w:lang w:eastAsia="pt-BR"/>
              </w:rPr>
            </w:pPr>
            <w:r w:rsidRPr="00E963EB">
              <w:rPr>
                <w:rFonts w:ascii="Arial" w:eastAsia="Times New Roman" w:hAnsi="Arial" w:cs="Arial"/>
                <w:sz w:val="20"/>
                <w:szCs w:val="20"/>
                <w:lang w:eastAsia="pt-BR"/>
              </w:rPr>
              <w:t>Inteiro</w:t>
            </w:r>
          </w:p>
        </w:tc>
        <w:tc>
          <w:tcPr>
            <w:tcW w:w="1313" w:type="dxa"/>
            <w:tcBorders>
              <w:top w:val="nil"/>
              <w:left w:val="nil"/>
              <w:bottom w:val="single" w:sz="8" w:space="0" w:color="auto"/>
              <w:right w:val="single" w:sz="8" w:space="0" w:color="auto"/>
            </w:tcBorders>
            <w:shd w:val="clear" w:color="auto" w:fill="auto"/>
          </w:tcPr>
          <w:p w14:paraId="1B035B5B" w14:textId="58EF6B13" w:rsidR="00E963EB" w:rsidRPr="00E963EB" w:rsidRDefault="00E963EB" w:rsidP="00E963EB">
            <w:pPr>
              <w:spacing w:after="0" w:line="240" w:lineRule="auto"/>
              <w:jc w:val="center"/>
              <w:rPr>
                <w:rFonts w:ascii="Arial" w:eastAsia="Times New Roman" w:hAnsi="Arial" w:cs="Arial"/>
                <w:sz w:val="20"/>
                <w:szCs w:val="20"/>
                <w:lang w:eastAsia="pt-BR"/>
              </w:rPr>
            </w:pPr>
            <w:r w:rsidRPr="00E963EB">
              <w:rPr>
                <w:rFonts w:ascii="Arial" w:eastAsia="Times New Roman" w:hAnsi="Arial" w:cs="Arial"/>
                <w:sz w:val="20"/>
                <w:szCs w:val="20"/>
                <w:lang w:eastAsia="pt-BR"/>
              </w:rPr>
              <w:t>1</w:t>
            </w:r>
          </w:p>
        </w:tc>
        <w:tc>
          <w:tcPr>
            <w:tcW w:w="2733" w:type="dxa"/>
            <w:tcBorders>
              <w:top w:val="nil"/>
              <w:left w:val="nil"/>
              <w:bottom w:val="single" w:sz="8" w:space="0" w:color="auto"/>
              <w:right w:val="single" w:sz="8" w:space="0" w:color="auto"/>
            </w:tcBorders>
            <w:shd w:val="clear" w:color="auto" w:fill="auto"/>
          </w:tcPr>
          <w:p w14:paraId="73EBA06D" w14:textId="77777777" w:rsidR="00E963EB" w:rsidRPr="00E963EB" w:rsidRDefault="00E963EB" w:rsidP="00E963EB">
            <w:pPr>
              <w:overflowPunct w:val="0"/>
              <w:autoSpaceDE w:val="0"/>
              <w:autoSpaceDN w:val="0"/>
              <w:adjustRightInd w:val="0"/>
              <w:spacing w:after="0" w:line="240" w:lineRule="auto"/>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t>Obrigatório:</w:t>
            </w:r>
          </w:p>
          <w:p w14:paraId="31765E59" w14:textId="77777777" w:rsidR="00E963EB" w:rsidRPr="00E963EB" w:rsidRDefault="00E963EB" w:rsidP="00E963EB">
            <w:pPr>
              <w:overflowPunct w:val="0"/>
              <w:autoSpaceDE w:val="0"/>
              <w:autoSpaceDN w:val="0"/>
              <w:adjustRightInd w:val="0"/>
              <w:spacing w:after="0" w:line="240" w:lineRule="auto"/>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t>O empenho da despesa foi realizado para o combate a calamidade pública da Covid-19?</w:t>
            </w:r>
          </w:p>
          <w:p w14:paraId="250E53C6" w14:textId="77777777" w:rsidR="00E963EB" w:rsidRPr="00E963EB" w:rsidRDefault="00E963EB" w:rsidP="00E963EB">
            <w:pPr>
              <w:overflowPunct w:val="0"/>
              <w:autoSpaceDE w:val="0"/>
              <w:autoSpaceDN w:val="0"/>
              <w:adjustRightInd w:val="0"/>
              <w:spacing w:after="0" w:line="240" w:lineRule="auto"/>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t>1 - Sim</w:t>
            </w:r>
          </w:p>
          <w:p w14:paraId="6AD469CE" w14:textId="31B0ABCC" w:rsidR="00E963EB" w:rsidRPr="00E963EB" w:rsidRDefault="00E963EB" w:rsidP="00E963EB">
            <w:pPr>
              <w:spacing w:after="0" w:line="240" w:lineRule="auto"/>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t>2 - Não</w:t>
            </w:r>
          </w:p>
        </w:tc>
      </w:tr>
      <w:tr w:rsidR="00E963EB" w:rsidRPr="00E963EB" w14:paraId="7C319E3A" w14:textId="77777777" w:rsidTr="005C00E1">
        <w:trPr>
          <w:trHeight w:val="315"/>
        </w:trPr>
        <w:tc>
          <w:tcPr>
            <w:tcW w:w="3914" w:type="dxa"/>
            <w:tcBorders>
              <w:top w:val="nil"/>
              <w:left w:val="single" w:sz="8" w:space="0" w:color="auto"/>
              <w:bottom w:val="single" w:sz="8" w:space="0" w:color="auto"/>
              <w:right w:val="single" w:sz="8" w:space="0" w:color="auto"/>
            </w:tcBorders>
            <w:shd w:val="clear" w:color="auto" w:fill="auto"/>
          </w:tcPr>
          <w:p w14:paraId="71C84F83" w14:textId="4FB53DA9" w:rsidR="00E963EB" w:rsidRPr="00E963EB" w:rsidRDefault="00E963EB" w:rsidP="00E963EB">
            <w:pPr>
              <w:spacing w:after="0" w:line="240" w:lineRule="auto"/>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t>Despesa Obrigatória de Caráter Continuado</w:t>
            </w:r>
          </w:p>
        </w:tc>
        <w:tc>
          <w:tcPr>
            <w:tcW w:w="1225" w:type="dxa"/>
            <w:tcBorders>
              <w:top w:val="nil"/>
              <w:left w:val="nil"/>
              <w:bottom w:val="single" w:sz="8" w:space="0" w:color="auto"/>
              <w:right w:val="single" w:sz="8" w:space="0" w:color="auto"/>
            </w:tcBorders>
            <w:shd w:val="clear" w:color="auto" w:fill="auto"/>
          </w:tcPr>
          <w:p w14:paraId="2C9F3A6B" w14:textId="770B6D75" w:rsidR="00E963EB" w:rsidRPr="00E963EB" w:rsidRDefault="00E963EB" w:rsidP="00E963EB">
            <w:pPr>
              <w:spacing w:after="0" w:line="240" w:lineRule="auto"/>
              <w:jc w:val="center"/>
              <w:rPr>
                <w:rFonts w:ascii="Arial" w:eastAsia="Times New Roman" w:hAnsi="Arial" w:cs="Arial"/>
                <w:sz w:val="20"/>
                <w:szCs w:val="20"/>
                <w:lang w:eastAsia="pt-BR"/>
              </w:rPr>
            </w:pPr>
            <w:r w:rsidRPr="00E963EB">
              <w:rPr>
                <w:rFonts w:ascii="Arial" w:eastAsia="Times New Roman" w:hAnsi="Arial" w:cs="Arial"/>
                <w:sz w:val="20"/>
                <w:szCs w:val="20"/>
                <w:lang w:eastAsia="pt-BR"/>
              </w:rPr>
              <w:t>Inteiro</w:t>
            </w:r>
          </w:p>
        </w:tc>
        <w:tc>
          <w:tcPr>
            <w:tcW w:w="1313" w:type="dxa"/>
            <w:tcBorders>
              <w:top w:val="nil"/>
              <w:left w:val="nil"/>
              <w:bottom w:val="single" w:sz="8" w:space="0" w:color="auto"/>
              <w:right w:val="single" w:sz="8" w:space="0" w:color="auto"/>
            </w:tcBorders>
            <w:shd w:val="clear" w:color="auto" w:fill="auto"/>
          </w:tcPr>
          <w:p w14:paraId="7390EF03" w14:textId="0C732562" w:rsidR="00E963EB" w:rsidRPr="00E963EB" w:rsidRDefault="00E963EB" w:rsidP="00E963EB">
            <w:pPr>
              <w:spacing w:after="0" w:line="240" w:lineRule="auto"/>
              <w:jc w:val="center"/>
              <w:rPr>
                <w:rFonts w:ascii="Arial" w:eastAsia="Times New Roman" w:hAnsi="Arial" w:cs="Arial"/>
                <w:sz w:val="20"/>
                <w:szCs w:val="20"/>
                <w:lang w:eastAsia="pt-BR"/>
              </w:rPr>
            </w:pPr>
            <w:r w:rsidRPr="00E963EB">
              <w:rPr>
                <w:rFonts w:ascii="Arial" w:eastAsia="Times New Roman" w:hAnsi="Arial" w:cs="Arial"/>
                <w:sz w:val="20"/>
                <w:szCs w:val="20"/>
                <w:lang w:eastAsia="pt-BR"/>
              </w:rPr>
              <w:t>1</w:t>
            </w:r>
          </w:p>
        </w:tc>
        <w:tc>
          <w:tcPr>
            <w:tcW w:w="2733" w:type="dxa"/>
            <w:tcBorders>
              <w:top w:val="nil"/>
              <w:left w:val="nil"/>
              <w:bottom w:val="single" w:sz="8" w:space="0" w:color="auto"/>
              <w:right w:val="single" w:sz="8" w:space="0" w:color="auto"/>
            </w:tcBorders>
            <w:shd w:val="clear" w:color="auto" w:fill="auto"/>
          </w:tcPr>
          <w:p w14:paraId="386DC817" w14:textId="77777777" w:rsidR="00E963EB" w:rsidRPr="00E963EB" w:rsidRDefault="00E963EB" w:rsidP="00E963EB">
            <w:pPr>
              <w:overflowPunct w:val="0"/>
              <w:autoSpaceDE w:val="0"/>
              <w:autoSpaceDN w:val="0"/>
              <w:adjustRightInd w:val="0"/>
              <w:spacing w:after="0" w:line="240" w:lineRule="auto"/>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t>Obrigatório:</w:t>
            </w:r>
          </w:p>
          <w:p w14:paraId="66A1E9A1" w14:textId="77777777" w:rsidR="00E963EB" w:rsidRPr="00E963EB" w:rsidRDefault="00E963EB" w:rsidP="00E963EB">
            <w:pPr>
              <w:overflowPunct w:val="0"/>
              <w:autoSpaceDE w:val="0"/>
              <w:autoSpaceDN w:val="0"/>
              <w:adjustRightInd w:val="0"/>
              <w:spacing w:after="0" w:line="240" w:lineRule="auto"/>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t>1 - Sim</w:t>
            </w:r>
          </w:p>
          <w:p w14:paraId="1A2E459F" w14:textId="6C8CA612" w:rsidR="00E963EB" w:rsidRPr="00E963EB" w:rsidRDefault="00E963EB" w:rsidP="00E963EB">
            <w:pPr>
              <w:spacing w:after="0" w:line="240" w:lineRule="auto"/>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t>2 - Não</w:t>
            </w:r>
          </w:p>
        </w:tc>
      </w:tr>
      <w:tr w:rsidR="00E963EB" w:rsidRPr="00E963EB" w14:paraId="47C289A5" w14:textId="77777777" w:rsidTr="00DD49C9">
        <w:trPr>
          <w:trHeight w:val="315"/>
        </w:trPr>
        <w:tc>
          <w:tcPr>
            <w:tcW w:w="3914" w:type="dxa"/>
            <w:tcBorders>
              <w:top w:val="nil"/>
              <w:left w:val="single" w:sz="8" w:space="0" w:color="auto"/>
              <w:bottom w:val="single" w:sz="8" w:space="0" w:color="auto"/>
              <w:right w:val="single" w:sz="8" w:space="0" w:color="auto"/>
            </w:tcBorders>
            <w:shd w:val="clear" w:color="auto" w:fill="auto"/>
            <w:vAlign w:val="center"/>
            <w:hideMark/>
          </w:tcPr>
          <w:p w14:paraId="0883C23C" w14:textId="77777777" w:rsidR="00E963EB" w:rsidRPr="00E963EB" w:rsidRDefault="00E963EB" w:rsidP="00E963EB">
            <w:pPr>
              <w:spacing w:after="0" w:line="240" w:lineRule="auto"/>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t>Numero do Processo Administrativo do Empenho</w:t>
            </w:r>
          </w:p>
        </w:tc>
        <w:tc>
          <w:tcPr>
            <w:tcW w:w="1225" w:type="dxa"/>
            <w:tcBorders>
              <w:top w:val="nil"/>
              <w:left w:val="nil"/>
              <w:bottom w:val="single" w:sz="8" w:space="0" w:color="auto"/>
              <w:right w:val="single" w:sz="8" w:space="0" w:color="auto"/>
            </w:tcBorders>
            <w:shd w:val="clear" w:color="auto" w:fill="auto"/>
            <w:vAlign w:val="center"/>
            <w:hideMark/>
          </w:tcPr>
          <w:p w14:paraId="41BF2D5F" w14:textId="77777777" w:rsidR="00E963EB" w:rsidRPr="00E963EB" w:rsidRDefault="00E963EB" w:rsidP="00E963EB">
            <w:pPr>
              <w:spacing w:after="0" w:line="240" w:lineRule="auto"/>
              <w:jc w:val="center"/>
              <w:rPr>
                <w:rFonts w:ascii="Arial" w:eastAsia="Times New Roman" w:hAnsi="Arial" w:cs="Arial"/>
                <w:sz w:val="20"/>
                <w:szCs w:val="20"/>
                <w:lang w:eastAsia="pt-BR"/>
              </w:rPr>
            </w:pPr>
            <w:r w:rsidRPr="00E963EB">
              <w:rPr>
                <w:rFonts w:ascii="Arial" w:eastAsia="Times New Roman" w:hAnsi="Arial" w:cs="Arial"/>
                <w:sz w:val="20"/>
                <w:szCs w:val="20"/>
                <w:lang w:eastAsia="pt-BR"/>
              </w:rPr>
              <w:t>Caracter</w:t>
            </w:r>
          </w:p>
        </w:tc>
        <w:tc>
          <w:tcPr>
            <w:tcW w:w="1313" w:type="dxa"/>
            <w:tcBorders>
              <w:top w:val="nil"/>
              <w:left w:val="nil"/>
              <w:bottom w:val="single" w:sz="8" w:space="0" w:color="auto"/>
              <w:right w:val="single" w:sz="8" w:space="0" w:color="auto"/>
            </w:tcBorders>
            <w:shd w:val="clear" w:color="auto" w:fill="auto"/>
            <w:vAlign w:val="center"/>
            <w:hideMark/>
          </w:tcPr>
          <w:p w14:paraId="5E3C6A7B" w14:textId="77777777" w:rsidR="00E963EB" w:rsidRPr="00E963EB" w:rsidRDefault="00E963EB" w:rsidP="00E963EB">
            <w:pPr>
              <w:spacing w:after="0" w:line="240" w:lineRule="auto"/>
              <w:jc w:val="center"/>
              <w:rPr>
                <w:rFonts w:ascii="Arial" w:eastAsia="Times New Roman" w:hAnsi="Arial" w:cs="Arial"/>
                <w:sz w:val="20"/>
                <w:szCs w:val="20"/>
                <w:lang w:eastAsia="pt-BR"/>
              </w:rPr>
            </w:pPr>
            <w:r w:rsidRPr="00E963EB">
              <w:rPr>
                <w:rFonts w:ascii="Arial" w:eastAsia="Times New Roman" w:hAnsi="Arial" w:cs="Arial"/>
                <w:sz w:val="20"/>
                <w:szCs w:val="20"/>
                <w:lang w:eastAsia="pt-BR"/>
              </w:rPr>
              <w:t>16</w:t>
            </w:r>
          </w:p>
        </w:tc>
        <w:tc>
          <w:tcPr>
            <w:tcW w:w="2733" w:type="dxa"/>
            <w:tcBorders>
              <w:top w:val="nil"/>
              <w:left w:val="nil"/>
              <w:bottom w:val="single" w:sz="8" w:space="0" w:color="auto"/>
              <w:right w:val="single" w:sz="8" w:space="0" w:color="auto"/>
            </w:tcBorders>
            <w:shd w:val="clear" w:color="auto" w:fill="auto"/>
            <w:vAlign w:val="center"/>
            <w:hideMark/>
          </w:tcPr>
          <w:p w14:paraId="4ECDC9C6" w14:textId="77777777" w:rsidR="00E963EB" w:rsidRPr="00E963EB" w:rsidRDefault="00E963EB" w:rsidP="00E963EB">
            <w:pPr>
              <w:spacing w:after="0" w:line="240" w:lineRule="auto"/>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t>Obrigatório</w:t>
            </w:r>
          </w:p>
        </w:tc>
      </w:tr>
      <w:tr w:rsidR="00E963EB" w:rsidRPr="00E963EB" w14:paraId="43472DC9" w14:textId="77777777" w:rsidTr="00DD49C9">
        <w:trPr>
          <w:trHeight w:val="315"/>
        </w:trPr>
        <w:tc>
          <w:tcPr>
            <w:tcW w:w="3914" w:type="dxa"/>
            <w:tcBorders>
              <w:top w:val="nil"/>
              <w:left w:val="single" w:sz="8" w:space="0" w:color="auto"/>
              <w:bottom w:val="single" w:sz="8" w:space="0" w:color="auto"/>
              <w:right w:val="single" w:sz="8" w:space="0" w:color="auto"/>
            </w:tcBorders>
            <w:shd w:val="clear" w:color="auto" w:fill="auto"/>
            <w:vAlign w:val="center"/>
            <w:hideMark/>
          </w:tcPr>
          <w:p w14:paraId="0D275B2E" w14:textId="77777777" w:rsidR="00E963EB" w:rsidRPr="00E963EB" w:rsidRDefault="00E963EB" w:rsidP="00E963EB">
            <w:pPr>
              <w:spacing w:after="0" w:line="240" w:lineRule="auto"/>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t>Ano do Processo Administrativo do Empenho</w:t>
            </w:r>
          </w:p>
        </w:tc>
        <w:tc>
          <w:tcPr>
            <w:tcW w:w="1225" w:type="dxa"/>
            <w:tcBorders>
              <w:top w:val="nil"/>
              <w:left w:val="nil"/>
              <w:bottom w:val="single" w:sz="8" w:space="0" w:color="auto"/>
              <w:right w:val="single" w:sz="8" w:space="0" w:color="auto"/>
            </w:tcBorders>
            <w:shd w:val="clear" w:color="auto" w:fill="auto"/>
            <w:vAlign w:val="center"/>
            <w:hideMark/>
          </w:tcPr>
          <w:p w14:paraId="39E1BE31" w14:textId="77777777" w:rsidR="00E963EB" w:rsidRPr="00E963EB" w:rsidRDefault="00E963EB" w:rsidP="00E963EB">
            <w:pPr>
              <w:spacing w:after="0" w:line="240" w:lineRule="auto"/>
              <w:jc w:val="center"/>
              <w:rPr>
                <w:rFonts w:ascii="Arial" w:eastAsia="Times New Roman" w:hAnsi="Arial" w:cs="Arial"/>
                <w:sz w:val="20"/>
                <w:szCs w:val="20"/>
                <w:lang w:eastAsia="pt-BR"/>
              </w:rPr>
            </w:pPr>
            <w:r w:rsidRPr="00E963EB">
              <w:rPr>
                <w:rFonts w:ascii="Arial" w:eastAsia="Times New Roman" w:hAnsi="Arial" w:cs="Arial"/>
                <w:sz w:val="20"/>
                <w:szCs w:val="20"/>
                <w:lang w:eastAsia="pt-BR"/>
              </w:rPr>
              <w:t>Inteiro</w:t>
            </w:r>
          </w:p>
        </w:tc>
        <w:tc>
          <w:tcPr>
            <w:tcW w:w="1313" w:type="dxa"/>
            <w:tcBorders>
              <w:top w:val="nil"/>
              <w:left w:val="nil"/>
              <w:bottom w:val="single" w:sz="8" w:space="0" w:color="auto"/>
              <w:right w:val="single" w:sz="8" w:space="0" w:color="auto"/>
            </w:tcBorders>
            <w:shd w:val="clear" w:color="auto" w:fill="auto"/>
            <w:vAlign w:val="center"/>
            <w:hideMark/>
          </w:tcPr>
          <w:p w14:paraId="244A2669" w14:textId="77777777" w:rsidR="00E963EB" w:rsidRPr="00E963EB" w:rsidRDefault="00E963EB" w:rsidP="00E963EB">
            <w:pPr>
              <w:spacing w:after="0" w:line="240" w:lineRule="auto"/>
              <w:jc w:val="center"/>
              <w:rPr>
                <w:rFonts w:ascii="Arial" w:eastAsia="Times New Roman" w:hAnsi="Arial" w:cs="Arial"/>
                <w:sz w:val="20"/>
                <w:szCs w:val="20"/>
                <w:lang w:eastAsia="pt-BR"/>
              </w:rPr>
            </w:pPr>
            <w:r w:rsidRPr="00E963EB">
              <w:rPr>
                <w:rFonts w:ascii="Arial" w:eastAsia="Times New Roman" w:hAnsi="Arial" w:cs="Arial"/>
                <w:sz w:val="20"/>
                <w:szCs w:val="20"/>
                <w:lang w:eastAsia="pt-BR"/>
              </w:rPr>
              <w:t>4</w:t>
            </w:r>
          </w:p>
        </w:tc>
        <w:tc>
          <w:tcPr>
            <w:tcW w:w="2733" w:type="dxa"/>
            <w:tcBorders>
              <w:top w:val="nil"/>
              <w:left w:val="nil"/>
              <w:bottom w:val="single" w:sz="8" w:space="0" w:color="auto"/>
              <w:right w:val="single" w:sz="8" w:space="0" w:color="auto"/>
            </w:tcBorders>
            <w:shd w:val="clear" w:color="auto" w:fill="auto"/>
            <w:vAlign w:val="center"/>
            <w:hideMark/>
          </w:tcPr>
          <w:p w14:paraId="4BB03DFF" w14:textId="77777777" w:rsidR="00E963EB" w:rsidRPr="00E963EB" w:rsidRDefault="00E963EB" w:rsidP="00E963EB">
            <w:pPr>
              <w:spacing w:after="0" w:line="240" w:lineRule="auto"/>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t>Obrigatório</w:t>
            </w:r>
          </w:p>
        </w:tc>
      </w:tr>
      <w:tr w:rsidR="00E963EB" w:rsidRPr="00E963EB" w14:paraId="611CFD8B" w14:textId="77777777" w:rsidTr="00DD49C9">
        <w:trPr>
          <w:trHeight w:val="525"/>
        </w:trPr>
        <w:tc>
          <w:tcPr>
            <w:tcW w:w="3914" w:type="dxa"/>
            <w:tcBorders>
              <w:top w:val="nil"/>
              <w:left w:val="single" w:sz="8" w:space="0" w:color="auto"/>
              <w:bottom w:val="single" w:sz="8" w:space="0" w:color="auto"/>
              <w:right w:val="single" w:sz="8" w:space="0" w:color="auto"/>
            </w:tcBorders>
            <w:shd w:val="clear" w:color="auto" w:fill="auto"/>
            <w:vAlign w:val="center"/>
            <w:hideMark/>
          </w:tcPr>
          <w:p w14:paraId="1CB4632B" w14:textId="77777777" w:rsidR="00E963EB" w:rsidRPr="00E963EB" w:rsidRDefault="00E963EB" w:rsidP="00E963EB">
            <w:pPr>
              <w:spacing w:after="0" w:line="240" w:lineRule="auto"/>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t xml:space="preserve">Tipo do Empenho </w:t>
            </w:r>
            <w:r w:rsidRPr="00E963EB">
              <w:rPr>
                <w:rFonts w:ascii="Arial" w:eastAsia="Times New Roman" w:hAnsi="Arial" w:cs="Arial"/>
                <w:b/>
                <w:bCs/>
                <w:sz w:val="20"/>
                <w:szCs w:val="20"/>
                <w:vertAlign w:val="superscript"/>
                <w:lang w:eastAsia="pt-BR"/>
              </w:rPr>
              <w:t>[1]</w:t>
            </w:r>
          </w:p>
        </w:tc>
        <w:tc>
          <w:tcPr>
            <w:tcW w:w="1225" w:type="dxa"/>
            <w:tcBorders>
              <w:top w:val="nil"/>
              <w:left w:val="nil"/>
              <w:bottom w:val="single" w:sz="8" w:space="0" w:color="auto"/>
              <w:right w:val="single" w:sz="8" w:space="0" w:color="auto"/>
            </w:tcBorders>
            <w:shd w:val="clear" w:color="auto" w:fill="auto"/>
            <w:vAlign w:val="center"/>
            <w:hideMark/>
          </w:tcPr>
          <w:p w14:paraId="4F4D38B8" w14:textId="77777777" w:rsidR="00E963EB" w:rsidRPr="00E963EB" w:rsidRDefault="00E963EB" w:rsidP="00E963EB">
            <w:pPr>
              <w:spacing w:after="0" w:line="240" w:lineRule="auto"/>
              <w:jc w:val="center"/>
              <w:rPr>
                <w:rFonts w:ascii="Arial" w:eastAsia="Times New Roman" w:hAnsi="Arial" w:cs="Arial"/>
                <w:sz w:val="20"/>
                <w:szCs w:val="20"/>
                <w:lang w:eastAsia="pt-BR"/>
              </w:rPr>
            </w:pPr>
            <w:r w:rsidRPr="00E963EB">
              <w:rPr>
                <w:rFonts w:ascii="Arial" w:eastAsia="Times New Roman" w:hAnsi="Arial" w:cs="Arial"/>
                <w:sz w:val="20"/>
                <w:szCs w:val="20"/>
                <w:lang w:eastAsia="pt-BR"/>
              </w:rPr>
              <w:t>Caracter</w:t>
            </w:r>
          </w:p>
        </w:tc>
        <w:tc>
          <w:tcPr>
            <w:tcW w:w="1313" w:type="dxa"/>
            <w:tcBorders>
              <w:top w:val="nil"/>
              <w:left w:val="nil"/>
              <w:bottom w:val="single" w:sz="8" w:space="0" w:color="auto"/>
              <w:right w:val="single" w:sz="8" w:space="0" w:color="auto"/>
            </w:tcBorders>
            <w:shd w:val="clear" w:color="auto" w:fill="auto"/>
            <w:vAlign w:val="center"/>
            <w:hideMark/>
          </w:tcPr>
          <w:p w14:paraId="6085CB5A" w14:textId="77777777" w:rsidR="00E963EB" w:rsidRPr="00E963EB" w:rsidRDefault="00E963EB" w:rsidP="00E963EB">
            <w:pPr>
              <w:spacing w:after="0" w:line="240" w:lineRule="auto"/>
              <w:jc w:val="center"/>
              <w:rPr>
                <w:rFonts w:ascii="Arial" w:eastAsia="Times New Roman" w:hAnsi="Arial" w:cs="Arial"/>
                <w:sz w:val="20"/>
                <w:szCs w:val="20"/>
                <w:lang w:eastAsia="pt-BR"/>
              </w:rPr>
            </w:pPr>
            <w:r w:rsidRPr="00E963EB">
              <w:rPr>
                <w:rFonts w:ascii="Arial" w:eastAsia="Times New Roman" w:hAnsi="Arial" w:cs="Arial"/>
                <w:sz w:val="20"/>
                <w:szCs w:val="20"/>
                <w:lang w:eastAsia="pt-BR"/>
              </w:rPr>
              <w:t>2</w:t>
            </w:r>
          </w:p>
        </w:tc>
        <w:tc>
          <w:tcPr>
            <w:tcW w:w="2733" w:type="dxa"/>
            <w:tcBorders>
              <w:top w:val="nil"/>
              <w:left w:val="nil"/>
              <w:bottom w:val="single" w:sz="8" w:space="0" w:color="auto"/>
              <w:right w:val="single" w:sz="8" w:space="0" w:color="auto"/>
            </w:tcBorders>
            <w:shd w:val="clear" w:color="auto" w:fill="auto"/>
            <w:vAlign w:val="center"/>
            <w:hideMark/>
          </w:tcPr>
          <w:p w14:paraId="07D713BD" w14:textId="77777777" w:rsidR="00E963EB" w:rsidRPr="00E963EB" w:rsidRDefault="00E963EB" w:rsidP="00E963EB">
            <w:pPr>
              <w:spacing w:after="0" w:line="240" w:lineRule="auto"/>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t>Obrigatório conforme Tabela Auxiliar 9.1</w:t>
            </w:r>
          </w:p>
        </w:tc>
      </w:tr>
      <w:tr w:rsidR="00E963EB" w:rsidRPr="00E963EB" w14:paraId="038E6EEC" w14:textId="77777777" w:rsidTr="00DD49C9">
        <w:trPr>
          <w:trHeight w:val="315"/>
        </w:trPr>
        <w:tc>
          <w:tcPr>
            <w:tcW w:w="3914" w:type="dxa"/>
            <w:tcBorders>
              <w:top w:val="nil"/>
              <w:left w:val="single" w:sz="8" w:space="0" w:color="auto"/>
              <w:bottom w:val="single" w:sz="8" w:space="0" w:color="auto"/>
              <w:right w:val="single" w:sz="8" w:space="0" w:color="auto"/>
            </w:tcBorders>
            <w:shd w:val="clear" w:color="auto" w:fill="auto"/>
            <w:vAlign w:val="center"/>
            <w:hideMark/>
          </w:tcPr>
          <w:p w14:paraId="3037AD11" w14:textId="77777777" w:rsidR="00E963EB" w:rsidRPr="00E963EB" w:rsidRDefault="00E963EB" w:rsidP="00E963EB">
            <w:pPr>
              <w:spacing w:after="0" w:line="240" w:lineRule="auto"/>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t xml:space="preserve">Data do Empenho </w:t>
            </w:r>
          </w:p>
        </w:tc>
        <w:tc>
          <w:tcPr>
            <w:tcW w:w="1225" w:type="dxa"/>
            <w:tcBorders>
              <w:top w:val="nil"/>
              <w:left w:val="nil"/>
              <w:bottom w:val="single" w:sz="8" w:space="0" w:color="auto"/>
              <w:right w:val="single" w:sz="8" w:space="0" w:color="auto"/>
            </w:tcBorders>
            <w:shd w:val="clear" w:color="auto" w:fill="auto"/>
            <w:vAlign w:val="center"/>
            <w:hideMark/>
          </w:tcPr>
          <w:p w14:paraId="62F72A68" w14:textId="77777777" w:rsidR="00E963EB" w:rsidRPr="00E963EB" w:rsidRDefault="00E963EB" w:rsidP="00E963EB">
            <w:pPr>
              <w:spacing w:after="0" w:line="240" w:lineRule="auto"/>
              <w:jc w:val="center"/>
              <w:rPr>
                <w:rFonts w:ascii="Arial" w:eastAsia="Times New Roman" w:hAnsi="Arial" w:cs="Arial"/>
                <w:sz w:val="20"/>
                <w:szCs w:val="20"/>
                <w:lang w:eastAsia="pt-BR"/>
              </w:rPr>
            </w:pPr>
            <w:r w:rsidRPr="00E963EB">
              <w:rPr>
                <w:rFonts w:ascii="Arial" w:eastAsia="Times New Roman" w:hAnsi="Arial" w:cs="Arial"/>
                <w:sz w:val="20"/>
                <w:szCs w:val="20"/>
                <w:lang w:eastAsia="pt-BR"/>
              </w:rPr>
              <w:t>Data</w:t>
            </w:r>
          </w:p>
        </w:tc>
        <w:tc>
          <w:tcPr>
            <w:tcW w:w="1313" w:type="dxa"/>
            <w:tcBorders>
              <w:top w:val="nil"/>
              <w:left w:val="nil"/>
              <w:bottom w:val="single" w:sz="8" w:space="0" w:color="auto"/>
              <w:right w:val="single" w:sz="8" w:space="0" w:color="auto"/>
            </w:tcBorders>
            <w:shd w:val="clear" w:color="auto" w:fill="auto"/>
            <w:vAlign w:val="center"/>
            <w:hideMark/>
          </w:tcPr>
          <w:p w14:paraId="3F22D1B1" w14:textId="77777777" w:rsidR="00E963EB" w:rsidRPr="00E963EB" w:rsidRDefault="00E963EB" w:rsidP="00E963EB">
            <w:pPr>
              <w:spacing w:after="0" w:line="240" w:lineRule="auto"/>
              <w:jc w:val="center"/>
              <w:rPr>
                <w:rFonts w:ascii="Arial" w:eastAsia="Times New Roman" w:hAnsi="Arial" w:cs="Arial"/>
                <w:sz w:val="20"/>
                <w:szCs w:val="20"/>
                <w:lang w:eastAsia="pt-BR"/>
              </w:rPr>
            </w:pPr>
            <w:r w:rsidRPr="00E963EB">
              <w:rPr>
                <w:rFonts w:ascii="Arial" w:eastAsia="Times New Roman" w:hAnsi="Arial" w:cs="Arial"/>
                <w:sz w:val="20"/>
                <w:szCs w:val="20"/>
                <w:lang w:eastAsia="pt-BR"/>
              </w:rPr>
              <w:t>10</w:t>
            </w:r>
          </w:p>
        </w:tc>
        <w:tc>
          <w:tcPr>
            <w:tcW w:w="2733" w:type="dxa"/>
            <w:tcBorders>
              <w:top w:val="nil"/>
              <w:left w:val="nil"/>
              <w:bottom w:val="single" w:sz="8" w:space="0" w:color="auto"/>
              <w:right w:val="single" w:sz="8" w:space="0" w:color="auto"/>
            </w:tcBorders>
            <w:shd w:val="clear" w:color="auto" w:fill="auto"/>
            <w:vAlign w:val="center"/>
            <w:hideMark/>
          </w:tcPr>
          <w:p w14:paraId="35D33B15" w14:textId="77777777" w:rsidR="00E963EB" w:rsidRPr="00E963EB" w:rsidRDefault="00E963EB" w:rsidP="00E963EB">
            <w:pPr>
              <w:spacing w:after="0" w:line="240" w:lineRule="auto"/>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t>Obrigatório, AAAA-MM-DD</w:t>
            </w:r>
          </w:p>
        </w:tc>
      </w:tr>
      <w:tr w:rsidR="00E963EB" w:rsidRPr="00E963EB" w14:paraId="014DEB9E" w14:textId="77777777" w:rsidTr="00DD49C9">
        <w:trPr>
          <w:trHeight w:val="525"/>
        </w:trPr>
        <w:tc>
          <w:tcPr>
            <w:tcW w:w="3914" w:type="dxa"/>
            <w:tcBorders>
              <w:top w:val="nil"/>
              <w:left w:val="single" w:sz="8" w:space="0" w:color="auto"/>
              <w:bottom w:val="single" w:sz="8" w:space="0" w:color="auto"/>
              <w:right w:val="single" w:sz="8" w:space="0" w:color="auto"/>
            </w:tcBorders>
            <w:shd w:val="clear" w:color="auto" w:fill="auto"/>
            <w:vAlign w:val="center"/>
            <w:hideMark/>
          </w:tcPr>
          <w:p w14:paraId="0A42027E" w14:textId="77777777" w:rsidR="00E963EB" w:rsidRPr="00E963EB" w:rsidRDefault="00E963EB" w:rsidP="00E963EB">
            <w:pPr>
              <w:spacing w:after="0" w:line="240" w:lineRule="auto"/>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t xml:space="preserve">Tipo de Identificação </w:t>
            </w:r>
            <w:r w:rsidRPr="00E963EB">
              <w:rPr>
                <w:rFonts w:ascii="Arial" w:eastAsia="Times New Roman" w:hAnsi="Arial" w:cs="Arial"/>
                <w:b/>
                <w:bCs/>
                <w:sz w:val="20"/>
                <w:szCs w:val="20"/>
                <w:vertAlign w:val="superscript"/>
                <w:lang w:eastAsia="pt-BR"/>
              </w:rPr>
              <w:t>[1]</w:t>
            </w:r>
          </w:p>
        </w:tc>
        <w:tc>
          <w:tcPr>
            <w:tcW w:w="1225" w:type="dxa"/>
            <w:tcBorders>
              <w:top w:val="nil"/>
              <w:left w:val="nil"/>
              <w:bottom w:val="single" w:sz="8" w:space="0" w:color="auto"/>
              <w:right w:val="single" w:sz="8" w:space="0" w:color="auto"/>
            </w:tcBorders>
            <w:shd w:val="clear" w:color="auto" w:fill="auto"/>
            <w:vAlign w:val="center"/>
            <w:hideMark/>
          </w:tcPr>
          <w:p w14:paraId="21665C70" w14:textId="77777777" w:rsidR="00E963EB" w:rsidRPr="00E963EB" w:rsidRDefault="00E963EB" w:rsidP="00E963EB">
            <w:pPr>
              <w:spacing w:after="0" w:line="240" w:lineRule="auto"/>
              <w:jc w:val="center"/>
              <w:rPr>
                <w:rFonts w:ascii="Arial" w:eastAsia="Times New Roman" w:hAnsi="Arial" w:cs="Arial"/>
                <w:sz w:val="20"/>
                <w:szCs w:val="20"/>
                <w:lang w:eastAsia="pt-BR"/>
              </w:rPr>
            </w:pPr>
            <w:r w:rsidRPr="00E963EB">
              <w:rPr>
                <w:rFonts w:ascii="Arial" w:eastAsia="Times New Roman" w:hAnsi="Arial" w:cs="Arial"/>
                <w:sz w:val="20"/>
                <w:szCs w:val="20"/>
                <w:lang w:eastAsia="pt-BR"/>
              </w:rPr>
              <w:t>Caracter</w:t>
            </w:r>
          </w:p>
        </w:tc>
        <w:tc>
          <w:tcPr>
            <w:tcW w:w="1313" w:type="dxa"/>
            <w:tcBorders>
              <w:top w:val="nil"/>
              <w:left w:val="nil"/>
              <w:bottom w:val="single" w:sz="8" w:space="0" w:color="auto"/>
              <w:right w:val="single" w:sz="8" w:space="0" w:color="auto"/>
            </w:tcBorders>
            <w:shd w:val="clear" w:color="auto" w:fill="auto"/>
            <w:vAlign w:val="center"/>
            <w:hideMark/>
          </w:tcPr>
          <w:p w14:paraId="6EF50528" w14:textId="77777777" w:rsidR="00E963EB" w:rsidRPr="00E963EB" w:rsidRDefault="00E963EB" w:rsidP="00E963EB">
            <w:pPr>
              <w:spacing w:after="0" w:line="240" w:lineRule="auto"/>
              <w:jc w:val="center"/>
              <w:rPr>
                <w:rFonts w:ascii="Arial" w:eastAsia="Times New Roman" w:hAnsi="Arial" w:cs="Arial"/>
                <w:sz w:val="20"/>
                <w:szCs w:val="20"/>
                <w:lang w:eastAsia="pt-BR"/>
              </w:rPr>
            </w:pPr>
            <w:r w:rsidRPr="00E963EB">
              <w:rPr>
                <w:rFonts w:ascii="Arial" w:eastAsia="Times New Roman" w:hAnsi="Arial" w:cs="Arial"/>
                <w:sz w:val="20"/>
                <w:szCs w:val="20"/>
                <w:lang w:eastAsia="pt-BR"/>
              </w:rPr>
              <w:t>2</w:t>
            </w:r>
          </w:p>
        </w:tc>
        <w:tc>
          <w:tcPr>
            <w:tcW w:w="2733" w:type="dxa"/>
            <w:tcBorders>
              <w:top w:val="nil"/>
              <w:left w:val="nil"/>
              <w:bottom w:val="single" w:sz="8" w:space="0" w:color="auto"/>
              <w:right w:val="single" w:sz="8" w:space="0" w:color="auto"/>
            </w:tcBorders>
            <w:shd w:val="clear" w:color="auto" w:fill="auto"/>
            <w:vAlign w:val="center"/>
            <w:hideMark/>
          </w:tcPr>
          <w:p w14:paraId="48D3D2E1" w14:textId="77777777" w:rsidR="00E963EB" w:rsidRPr="00E963EB" w:rsidRDefault="00E963EB" w:rsidP="00E963EB">
            <w:pPr>
              <w:spacing w:after="0" w:line="240" w:lineRule="auto"/>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t>Obrigatório conforme Tabela Auxiliar  3.1</w:t>
            </w:r>
          </w:p>
        </w:tc>
      </w:tr>
      <w:tr w:rsidR="00E963EB" w:rsidRPr="00E963EB" w14:paraId="36FBE948" w14:textId="77777777" w:rsidTr="00DD49C9">
        <w:trPr>
          <w:trHeight w:val="315"/>
        </w:trPr>
        <w:tc>
          <w:tcPr>
            <w:tcW w:w="3914" w:type="dxa"/>
            <w:tcBorders>
              <w:top w:val="nil"/>
              <w:left w:val="single" w:sz="8" w:space="0" w:color="auto"/>
              <w:bottom w:val="single" w:sz="8" w:space="0" w:color="auto"/>
              <w:right w:val="single" w:sz="8" w:space="0" w:color="auto"/>
            </w:tcBorders>
            <w:shd w:val="clear" w:color="auto" w:fill="auto"/>
            <w:vAlign w:val="center"/>
            <w:hideMark/>
          </w:tcPr>
          <w:p w14:paraId="2554B2C4" w14:textId="77777777" w:rsidR="00E963EB" w:rsidRPr="00E963EB" w:rsidRDefault="00E963EB" w:rsidP="00E963EB">
            <w:pPr>
              <w:spacing w:after="0" w:line="240" w:lineRule="auto"/>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t>Código do Credor/Fornecedor</w:t>
            </w:r>
          </w:p>
        </w:tc>
        <w:tc>
          <w:tcPr>
            <w:tcW w:w="1225" w:type="dxa"/>
            <w:tcBorders>
              <w:top w:val="nil"/>
              <w:left w:val="nil"/>
              <w:bottom w:val="single" w:sz="8" w:space="0" w:color="auto"/>
              <w:right w:val="single" w:sz="8" w:space="0" w:color="auto"/>
            </w:tcBorders>
            <w:shd w:val="clear" w:color="auto" w:fill="auto"/>
            <w:vAlign w:val="center"/>
            <w:hideMark/>
          </w:tcPr>
          <w:p w14:paraId="3D5ABCAE" w14:textId="77777777" w:rsidR="00E963EB" w:rsidRPr="00E963EB" w:rsidRDefault="00E963EB" w:rsidP="00E963EB">
            <w:pPr>
              <w:spacing w:after="0" w:line="240" w:lineRule="auto"/>
              <w:jc w:val="center"/>
              <w:rPr>
                <w:rFonts w:ascii="Arial" w:eastAsia="Times New Roman" w:hAnsi="Arial" w:cs="Arial"/>
                <w:sz w:val="20"/>
                <w:szCs w:val="20"/>
                <w:lang w:eastAsia="pt-BR"/>
              </w:rPr>
            </w:pPr>
            <w:r w:rsidRPr="00E963EB">
              <w:rPr>
                <w:rFonts w:ascii="Arial" w:eastAsia="Times New Roman" w:hAnsi="Arial" w:cs="Arial"/>
                <w:sz w:val="20"/>
                <w:szCs w:val="20"/>
                <w:lang w:eastAsia="pt-BR"/>
              </w:rPr>
              <w:t>Caracter</w:t>
            </w:r>
          </w:p>
        </w:tc>
        <w:tc>
          <w:tcPr>
            <w:tcW w:w="1313" w:type="dxa"/>
            <w:tcBorders>
              <w:top w:val="nil"/>
              <w:left w:val="nil"/>
              <w:bottom w:val="single" w:sz="8" w:space="0" w:color="auto"/>
              <w:right w:val="single" w:sz="8" w:space="0" w:color="auto"/>
            </w:tcBorders>
            <w:shd w:val="clear" w:color="auto" w:fill="auto"/>
            <w:vAlign w:val="center"/>
            <w:hideMark/>
          </w:tcPr>
          <w:p w14:paraId="5D053C62" w14:textId="77777777" w:rsidR="00E963EB" w:rsidRPr="00E963EB" w:rsidRDefault="00E963EB" w:rsidP="00E963EB">
            <w:pPr>
              <w:spacing w:after="0" w:line="240" w:lineRule="auto"/>
              <w:jc w:val="center"/>
              <w:rPr>
                <w:rFonts w:ascii="Arial" w:eastAsia="Times New Roman" w:hAnsi="Arial" w:cs="Arial"/>
                <w:sz w:val="20"/>
                <w:szCs w:val="20"/>
                <w:lang w:eastAsia="pt-BR"/>
              </w:rPr>
            </w:pPr>
            <w:r w:rsidRPr="00E963EB">
              <w:rPr>
                <w:rFonts w:ascii="Arial" w:eastAsia="Times New Roman" w:hAnsi="Arial" w:cs="Arial"/>
                <w:sz w:val="20"/>
                <w:szCs w:val="20"/>
                <w:lang w:eastAsia="pt-BR"/>
              </w:rPr>
              <w:t>14</w:t>
            </w:r>
          </w:p>
        </w:tc>
        <w:tc>
          <w:tcPr>
            <w:tcW w:w="2733" w:type="dxa"/>
            <w:tcBorders>
              <w:top w:val="nil"/>
              <w:left w:val="nil"/>
              <w:bottom w:val="single" w:sz="8" w:space="0" w:color="auto"/>
              <w:right w:val="single" w:sz="8" w:space="0" w:color="auto"/>
            </w:tcBorders>
            <w:shd w:val="clear" w:color="auto" w:fill="auto"/>
            <w:vAlign w:val="center"/>
            <w:hideMark/>
          </w:tcPr>
          <w:p w14:paraId="2CEA639B" w14:textId="77777777" w:rsidR="00E963EB" w:rsidRPr="00E963EB" w:rsidRDefault="00E963EB" w:rsidP="00E963EB">
            <w:pPr>
              <w:spacing w:after="0" w:line="240" w:lineRule="auto"/>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t>Obrigatório</w:t>
            </w:r>
          </w:p>
        </w:tc>
      </w:tr>
      <w:tr w:rsidR="00E963EB" w:rsidRPr="00E963EB" w14:paraId="30715750" w14:textId="77777777" w:rsidTr="00DD49C9">
        <w:trPr>
          <w:trHeight w:val="315"/>
        </w:trPr>
        <w:tc>
          <w:tcPr>
            <w:tcW w:w="3914" w:type="dxa"/>
            <w:tcBorders>
              <w:top w:val="nil"/>
              <w:left w:val="single" w:sz="8" w:space="0" w:color="auto"/>
              <w:bottom w:val="single" w:sz="8" w:space="0" w:color="auto"/>
              <w:right w:val="single" w:sz="8" w:space="0" w:color="auto"/>
            </w:tcBorders>
            <w:shd w:val="clear" w:color="auto" w:fill="auto"/>
            <w:vAlign w:val="center"/>
            <w:hideMark/>
          </w:tcPr>
          <w:p w14:paraId="79313CEE" w14:textId="77777777" w:rsidR="00E963EB" w:rsidRPr="00E963EB" w:rsidRDefault="00E963EB" w:rsidP="00E963EB">
            <w:pPr>
              <w:spacing w:after="0" w:line="240" w:lineRule="auto"/>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t>Nome do Credor/Fornecedor</w:t>
            </w:r>
          </w:p>
        </w:tc>
        <w:tc>
          <w:tcPr>
            <w:tcW w:w="1225" w:type="dxa"/>
            <w:tcBorders>
              <w:top w:val="nil"/>
              <w:left w:val="nil"/>
              <w:bottom w:val="single" w:sz="8" w:space="0" w:color="auto"/>
              <w:right w:val="single" w:sz="8" w:space="0" w:color="auto"/>
            </w:tcBorders>
            <w:shd w:val="clear" w:color="auto" w:fill="auto"/>
            <w:vAlign w:val="center"/>
            <w:hideMark/>
          </w:tcPr>
          <w:p w14:paraId="70FB6521" w14:textId="77777777" w:rsidR="00E963EB" w:rsidRPr="00E963EB" w:rsidRDefault="00E963EB" w:rsidP="00E963EB">
            <w:pPr>
              <w:spacing w:after="0" w:line="240" w:lineRule="auto"/>
              <w:jc w:val="center"/>
              <w:rPr>
                <w:rFonts w:ascii="Arial" w:eastAsia="Times New Roman" w:hAnsi="Arial" w:cs="Arial"/>
                <w:sz w:val="20"/>
                <w:szCs w:val="20"/>
                <w:lang w:eastAsia="pt-BR"/>
              </w:rPr>
            </w:pPr>
            <w:r w:rsidRPr="00E963EB">
              <w:rPr>
                <w:rFonts w:ascii="Arial" w:eastAsia="Times New Roman" w:hAnsi="Arial" w:cs="Arial"/>
                <w:sz w:val="20"/>
                <w:szCs w:val="20"/>
                <w:lang w:eastAsia="pt-BR"/>
              </w:rPr>
              <w:t>Caracter</w:t>
            </w:r>
          </w:p>
        </w:tc>
        <w:tc>
          <w:tcPr>
            <w:tcW w:w="1313" w:type="dxa"/>
            <w:tcBorders>
              <w:top w:val="nil"/>
              <w:left w:val="nil"/>
              <w:bottom w:val="single" w:sz="8" w:space="0" w:color="auto"/>
              <w:right w:val="single" w:sz="8" w:space="0" w:color="auto"/>
            </w:tcBorders>
            <w:shd w:val="clear" w:color="auto" w:fill="auto"/>
            <w:vAlign w:val="center"/>
            <w:hideMark/>
          </w:tcPr>
          <w:p w14:paraId="776387C4" w14:textId="77777777" w:rsidR="00E963EB" w:rsidRPr="00E963EB" w:rsidRDefault="00E963EB" w:rsidP="00E963EB">
            <w:pPr>
              <w:spacing w:after="0" w:line="240" w:lineRule="auto"/>
              <w:jc w:val="center"/>
              <w:rPr>
                <w:rFonts w:ascii="Arial" w:eastAsia="Times New Roman" w:hAnsi="Arial" w:cs="Arial"/>
                <w:sz w:val="20"/>
                <w:szCs w:val="20"/>
                <w:lang w:eastAsia="pt-BR"/>
              </w:rPr>
            </w:pPr>
            <w:r w:rsidRPr="00E963EB">
              <w:rPr>
                <w:rFonts w:ascii="Arial" w:eastAsia="Times New Roman" w:hAnsi="Arial" w:cs="Arial"/>
                <w:sz w:val="20"/>
                <w:szCs w:val="20"/>
                <w:lang w:eastAsia="pt-BR"/>
              </w:rPr>
              <w:t>70</w:t>
            </w:r>
          </w:p>
        </w:tc>
        <w:tc>
          <w:tcPr>
            <w:tcW w:w="2733" w:type="dxa"/>
            <w:tcBorders>
              <w:top w:val="nil"/>
              <w:left w:val="nil"/>
              <w:bottom w:val="single" w:sz="8" w:space="0" w:color="auto"/>
              <w:right w:val="single" w:sz="8" w:space="0" w:color="auto"/>
            </w:tcBorders>
            <w:shd w:val="clear" w:color="auto" w:fill="auto"/>
            <w:vAlign w:val="center"/>
            <w:hideMark/>
          </w:tcPr>
          <w:p w14:paraId="405C4FE2" w14:textId="77777777" w:rsidR="00E963EB" w:rsidRPr="00E963EB" w:rsidRDefault="00E963EB" w:rsidP="00E963EB">
            <w:pPr>
              <w:spacing w:after="0" w:line="240" w:lineRule="auto"/>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t>Obrigatório</w:t>
            </w:r>
          </w:p>
        </w:tc>
      </w:tr>
      <w:tr w:rsidR="00E963EB" w:rsidRPr="00E963EB" w14:paraId="490A78B5" w14:textId="77777777" w:rsidTr="00DD49C9">
        <w:trPr>
          <w:trHeight w:val="315"/>
        </w:trPr>
        <w:tc>
          <w:tcPr>
            <w:tcW w:w="3914" w:type="dxa"/>
            <w:tcBorders>
              <w:top w:val="nil"/>
              <w:left w:val="single" w:sz="8" w:space="0" w:color="auto"/>
              <w:bottom w:val="single" w:sz="8" w:space="0" w:color="auto"/>
              <w:right w:val="single" w:sz="8" w:space="0" w:color="auto"/>
            </w:tcBorders>
            <w:shd w:val="clear" w:color="auto" w:fill="auto"/>
            <w:vAlign w:val="center"/>
            <w:hideMark/>
          </w:tcPr>
          <w:p w14:paraId="072F531C" w14:textId="77777777" w:rsidR="00E963EB" w:rsidRPr="00E963EB" w:rsidRDefault="00E963EB" w:rsidP="00E963EB">
            <w:pPr>
              <w:spacing w:after="0" w:line="240" w:lineRule="auto"/>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t>Valor do Empenho</w:t>
            </w:r>
          </w:p>
        </w:tc>
        <w:tc>
          <w:tcPr>
            <w:tcW w:w="1225" w:type="dxa"/>
            <w:tcBorders>
              <w:top w:val="nil"/>
              <w:left w:val="nil"/>
              <w:bottom w:val="single" w:sz="8" w:space="0" w:color="auto"/>
              <w:right w:val="single" w:sz="8" w:space="0" w:color="auto"/>
            </w:tcBorders>
            <w:shd w:val="clear" w:color="auto" w:fill="auto"/>
            <w:vAlign w:val="center"/>
            <w:hideMark/>
          </w:tcPr>
          <w:p w14:paraId="3D9411BE" w14:textId="77777777" w:rsidR="00E963EB" w:rsidRPr="00E963EB" w:rsidRDefault="00E963EB" w:rsidP="00E963EB">
            <w:pPr>
              <w:spacing w:after="0" w:line="240" w:lineRule="auto"/>
              <w:jc w:val="center"/>
              <w:rPr>
                <w:rFonts w:ascii="Arial" w:eastAsia="Times New Roman" w:hAnsi="Arial" w:cs="Arial"/>
                <w:sz w:val="20"/>
                <w:szCs w:val="20"/>
                <w:lang w:eastAsia="pt-BR"/>
              </w:rPr>
            </w:pPr>
            <w:r w:rsidRPr="00E963EB">
              <w:rPr>
                <w:rFonts w:ascii="Arial" w:eastAsia="Times New Roman" w:hAnsi="Arial" w:cs="Arial"/>
                <w:sz w:val="20"/>
                <w:szCs w:val="20"/>
                <w:lang w:eastAsia="pt-BR"/>
              </w:rPr>
              <w:t>Decimal</w:t>
            </w:r>
          </w:p>
        </w:tc>
        <w:tc>
          <w:tcPr>
            <w:tcW w:w="1313" w:type="dxa"/>
            <w:tcBorders>
              <w:top w:val="nil"/>
              <w:left w:val="nil"/>
              <w:bottom w:val="single" w:sz="8" w:space="0" w:color="auto"/>
              <w:right w:val="single" w:sz="8" w:space="0" w:color="auto"/>
            </w:tcBorders>
            <w:shd w:val="clear" w:color="auto" w:fill="auto"/>
            <w:vAlign w:val="center"/>
            <w:hideMark/>
          </w:tcPr>
          <w:p w14:paraId="7479852E" w14:textId="77777777" w:rsidR="00E963EB" w:rsidRPr="00E963EB" w:rsidRDefault="00E963EB" w:rsidP="00E963EB">
            <w:pPr>
              <w:spacing w:after="0" w:line="240" w:lineRule="auto"/>
              <w:jc w:val="center"/>
              <w:rPr>
                <w:rFonts w:ascii="Arial" w:eastAsia="Times New Roman" w:hAnsi="Arial" w:cs="Arial"/>
                <w:sz w:val="20"/>
                <w:szCs w:val="20"/>
                <w:lang w:eastAsia="pt-BR"/>
              </w:rPr>
            </w:pPr>
            <w:r w:rsidRPr="00E963EB">
              <w:rPr>
                <w:rFonts w:ascii="Arial" w:eastAsia="Times New Roman" w:hAnsi="Arial" w:cs="Arial"/>
                <w:sz w:val="20"/>
                <w:szCs w:val="20"/>
                <w:lang w:eastAsia="pt-BR"/>
              </w:rPr>
              <w:t>14,2</w:t>
            </w:r>
          </w:p>
        </w:tc>
        <w:tc>
          <w:tcPr>
            <w:tcW w:w="2733" w:type="dxa"/>
            <w:tcBorders>
              <w:top w:val="nil"/>
              <w:left w:val="nil"/>
              <w:bottom w:val="single" w:sz="8" w:space="0" w:color="auto"/>
              <w:right w:val="single" w:sz="8" w:space="0" w:color="auto"/>
            </w:tcBorders>
            <w:shd w:val="clear" w:color="auto" w:fill="auto"/>
            <w:vAlign w:val="center"/>
            <w:hideMark/>
          </w:tcPr>
          <w:p w14:paraId="74F729C6" w14:textId="77777777" w:rsidR="00E963EB" w:rsidRPr="00E963EB" w:rsidRDefault="00E963EB" w:rsidP="00E963EB">
            <w:pPr>
              <w:spacing w:after="0" w:line="240" w:lineRule="auto"/>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t>Obrigatório</w:t>
            </w:r>
          </w:p>
        </w:tc>
      </w:tr>
      <w:tr w:rsidR="00E963EB" w:rsidRPr="00E963EB" w14:paraId="5A3CF8E3" w14:textId="77777777" w:rsidTr="00DD49C9">
        <w:trPr>
          <w:trHeight w:val="315"/>
        </w:trPr>
        <w:tc>
          <w:tcPr>
            <w:tcW w:w="3914" w:type="dxa"/>
            <w:tcBorders>
              <w:top w:val="nil"/>
              <w:left w:val="single" w:sz="8" w:space="0" w:color="auto"/>
              <w:bottom w:val="single" w:sz="8" w:space="0" w:color="auto"/>
              <w:right w:val="single" w:sz="8" w:space="0" w:color="auto"/>
            </w:tcBorders>
            <w:shd w:val="clear" w:color="auto" w:fill="auto"/>
            <w:vAlign w:val="center"/>
            <w:hideMark/>
          </w:tcPr>
          <w:p w14:paraId="31C58142" w14:textId="77777777" w:rsidR="00E963EB" w:rsidRPr="00E963EB" w:rsidRDefault="00E963EB" w:rsidP="00E963EB">
            <w:pPr>
              <w:spacing w:after="0" w:line="240" w:lineRule="auto"/>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t xml:space="preserve">Código do Órgão </w:t>
            </w:r>
          </w:p>
        </w:tc>
        <w:tc>
          <w:tcPr>
            <w:tcW w:w="1225" w:type="dxa"/>
            <w:tcBorders>
              <w:top w:val="nil"/>
              <w:left w:val="nil"/>
              <w:bottom w:val="single" w:sz="8" w:space="0" w:color="auto"/>
              <w:right w:val="single" w:sz="8" w:space="0" w:color="auto"/>
            </w:tcBorders>
            <w:shd w:val="clear" w:color="auto" w:fill="auto"/>
            <w:vAlign w:val="center"/>
            <w:hideMark/>
          </w:tcPr>
          <w:p w14:paraId="00FCA216" w14:textId="77777777" w:rsidR="00E963EB" w:rsidRPr="00E963EB" w:rsidRDefault="00E963EB" w:rsidP="00E963EB">
            <w:pPr>
              <w:spacing w:after="0" w:line="240" w:lineRule="auto"/>
              <w:jc w:val="center"/>
              <w:rPr>
                <w:rFonts w:ascii="Arial" w:eastAsia="Times New Roman" w:hAnsi="Arial" w:cs="Arial"/>
                <w:sz w:val="20"/>
                <w:szCs w:val="20"/>
                <w:lang w:eastAsia="pt-BR"/>
              </w:rPr>
            </w:pPr>
            <w:r w:rsidRPr="00E963EB">
              <w:rPr>
                <w:rFonts w:ascii="Arial" w:eastAsia="Times New Roman" w:hAnsi="Arial" w:cs="Arial"/>
                <w:sz w:val="20"/>
                <w:szCs w:val="20"/>
                <w:lang w:eastAsia="pt-BR"/>
              </w:rPr>
              <w:t>Caracter</w:t>
            </w:r>
          </w:p>
        </w:tc>
        <w:tc>
          <w:tcPr>
            <w:tcW w:w="1313" w:type="dxa"/>
            <w:tcBorders>
              <w:top w:val="nil"/>
              <w:left w:val="nil"/>
              <w:bottom w:val="single" w:sz="8" w:space="0" w:color="auto"/>
              <w:right w:val="single" w:sz="8" w:space="0" w:color="auto"/>
            </w:tcBorders>
            <w:shd w:val="clear" w:color="auto" w:fill="auto"/>
            <w:vAlign w:val="center"/>
            <w:hideMark/>
          </w:tcPr>
          <w:p w14:paraId="76E2E90D" w14:textId="77777777" w:rsidR="00E963EB" w:rsidRPr="00E963EB" w:rsidRDefault="00E963EB" w:rsidP="00E963EB">
            <w:pPr>
              <w:spacing w:after="0" w:line="240" w:lineRule="auto"/>
              <w:jc w:val="center"/>
              <w:rPr>
                <w:rFonts w:ascii="Arial" w:eastAsia="Times New Roman" w:hAnsi="Arial" w:cs="Arial"/>
                <w:sz w:val="20"/>
                <w:szCs w:val="20"/>
                <w:lang w:eastAsia="pt-BR"/>
              </w:rPr>
            </w:pPr>
            <w:r w:rsidRPr="00E963EB">
              <w:rPr>
                <w:rFonts w:ascii="Arial" w:eastAsia="Times New Roman" w:hAnsi="Arial" w:cs="Arial"/>
                <w:sz w:val="20"/>
                <w:szCs w:val="20"/>
                <w:lang w:eastAsia="pt-BR"/>
              </w:rPr>
              <w:t>6</w:t>
            </w:r>
          </w:p>
        </w:tc>
        <w:tc>
          <w:tcPr>
            <w:tcW w:w="2733" w:type="dxa"/>
            <w:tcBorders>
              <w:top w:val="nil"/>
              <w:left w:val="nil"/>
              <w:bottom w:val="single" w:sz="8" w:space="0" w:color="auto"/>
              <w:right w:val="single" w:sz="8" w:space="0" w:color="auto"/>
            </w:tcBorders>
            <w:shd w:val="clear" w:color="auto" w:fill="auto"/>
            <w:vAlign w:val="center"/>
            <w:hideMark/>
          </w:tcPr>
          <w:p w14:paraId="7A13875D" w14:textId="77777777" w:rsidR="00E963EB" w:rsidRPr="00E963EB" w:rsidRDefault="00E963EB" w:rsidP="00E963EB">
            <w:pPr>
              <w:spacing w:after="0" w:line="240" w:lineRule="auto"/>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t>Obrigatório</w:t>
            </w:r>
          </w:p>
        </w:tc>
      </w:tr>
      <w:tr w:rsidR="00E963EB" w:rsidRPr="00E963EB" w14:paraId="7D1676FE" w14:textId="77777777" w:rsidTr="00DD49C9">
        <w:trPr>
          <w:trHeight w:val="315"/>
        </w:trPr>
        <w:tc>
          <w:tcPr>
            <w:tcW w:w="3914" w:type="dxa"/>
            <w:tcBorders>
              <w:top w:val="nil"/>
              <w:left w:val="single" w:sz="8" w:space="0" w:color="auto"/>
              <w:bottom w:val="single" w:sz="8" w:space="0" w:color="auto"/>
              <w:right w:val="single" w:sz="8" w:space="0" w:color="auto"/>
            </w:tcBorders>
            <w:shd w:val="clear" w:color="auto" w:fill="auto"/>
            <w:vAlign w:val="center"/>
            <w:hideMark/>
          </w:tcPr>
          <w:p w14:paraId="70251147" w14:textId="77777777" w:rsidR="00E963EB" w:rsidRPr="00E963EB" w:rsidRDefault="00E963EB" w:rsidP="00E963EB">
            <w:pPr>
              <w:spacing w:after="0" w:line="240" w:lineRule="auto"/>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t xml:space="preserve">Código da Unidade Orçamentária </w:t>
            </w:r>
          </w:p>
        </w:tc>
        <w:tc>
          <w:tcPr>
            <w:tcW w:w="1225" w:type="dxa"/>
            <w:tcBorders>
              <w:top w:val="nil"/>
              <w:left w:val="nil"/>
              <w:bottom w:val="single" w:sz="8" w:space="0" w:color="auto"/>
              <w:right w:val="single" w:sz="8" w:space="0" w:color="auto"/>
            </w:tcBorders>
            <w:shd w:val="clear" w:color="auto" w:fill="auto"/>
            <w:vAlign w:val="center"/>
            <w:hideMark/>
          </w:tcPr>
          <w:p w14:paraId="5914B173" w14:textId="77777777" w:rsidR="00E963EB" w:rsidRPr="00E963EB" w:rsidRDefault="00E963EB" w:rsidP="00E963EB">
            <w:pPr>
              <w:spacing w:after="0" w:line="240" w:lineRule="auto"/>
              <w:jc w:val="center"/>
              <w:rPr>
                <w:rFonts w:ascii="Arial" w:eastAsia="Times New Roman" w:hAnsi="Arial" w:cs="Arial"/>
                <w:sz w:val="20"/>
                <w:szCs w:val="20"/>
                <w:lang w:eastAsia="pt-BR"/>
              </w:rPr>
            </w:pPr>
            <w:r w:rsidRPr="00E963EB">
              <w:rPr>
                <w:rFonts w:ascii="Arial" w:eastAsia="Times New Roman" w:hAnsi="Arial" w:cs="Arial"/>
                <w:sz w:val="20"/>
                <w:szCs w:val="20"/>
                <w:lang w:eastAsia="pt-BR"/>
              </w:rPr>
              <w:t>Caracter</w:t>
            </w:r>
          </w:p>
        </w:tc>
        <w:tc>
          <w:tcPr>
            <w:tcW w:w="1313" w:type="dxa"/>
            <w:tcBorders>
              <w:top w:val="nil"/>
              <w:left w:val="nil"/>
              <w:bottom w:val="single" w:sz="8" w:space="0" w:color="auto"/>
              <w:right w:val="single" w:sz="8" w:space="0" w:color="auto"/>
            </w:tcBorders>
            <w:shd w:val="clear" w:color="auto" w:fill="auto"/>
            <w:vAlign w:val="center"/>
            <w:hideMark/>
          </w:tcPr>
          <w:p w14:paraId="09E86EE9" w14:textId="77777777" w:rsidR="00E963EB" w:rsidRPr="00E963EB" w:rsidRDefault="00E963EB" w:rsidP="00E963EB">
            <w:pPr>
              <w:spacing w:after="0" w:line="240" w:lineRule="auto"/>
              <w:jc w:val="center"/>
              <w:rPr>
                <w:rFonts w:ascii="Arial" w:eastAsia="Times New Roman" w:hAnsi="Arial" w:cs="Arial"/>
                <w:sz w:val="20"/>
                <w:szCs w:val="20"/>
                <w:lang w:eastAsia="pt-BR"/>
              </w:rPr>
            </w:pPr>
            <w:r w:rsidRPr="00E963EB">
              <w:rPr>
                <w:rFonts w:ascii="Arial" w:eastAsia="Times New Roman" w:hAnsi="Arial" w:cs="Arial"/>
                <w:sz w:val="20"/>
                <w:szCs w:val="20"/>
                <w:lang w:eastAsia="pt-BR"/>
              </w:rPr>
              <w:t>6</w:t>
            </w:r>
          </w:p>
        </w:tc>
        <w:tc>
          <w:tcPr>
            <w:tcW w:w="2733" w:type="dxa"/>
            <w:tcBorders>
              <w:top w:val="nil"/>
              <w:left w:val="nil"/>
              <w:bottom w:val="single" w:sz="8" w:space="0" w:color="auto"/>
              <w:right w:val="single" w:sz="8" w:space="0" w:color="auto"/>
            </w:tcBorders>
            <w:shd w:val="clear" w:color="auto" w:fill="auto"/>
            <w:vAlign w:val="center"/>
            <w:hideMark/>
          </w:tcPr>
          <w:p w14:paraId="34F383DD" w14:textId="77777777" w:rsidR="00E963EB" w:rsidRPr="00E963EB" w:rsidRDefault="00E963EB" w:rsidP="00E963EB">
            <w:pPr>
              <w:spacing w:after="0" w:line="240" w:lineRule="auto"/>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t>Obrigatório</w:t>
            </w:r>
          </w:p>
        </w:tc>
      </w:tr>
      <w:tr w:rsidR="00E963EB" w:rsidRPr="00E963EB" w14:paraId="1379CDC2" w14:textId="77777777" w:rsidTr="00DD49C9">
        <w:trPr>
          <w:trHeight w:val="315"/>
        </w:trPr>
        <w:tc>
          <w:tcPr>
            <w:tcW w:w="3914" w:type="dxa"/>
            <w:tcBorders>
              <w:top w:val="nil"/>
              <w:left w:val="single" w:sz="8" w:space="0" w:color="auto"/>
              <w:bottom w:val="single" w:sz="8" w:space="0" w:color="auto"/>
              <w:right w:val="single" w:sz="8" w:space="0" w:color="auto"/>
            </w:tcBorders>
            <w:shd w:val="clear" w:color="auto" w:fill="auto"/>
            <w:vAlign w:val="center"/>
            <w:hideMark/>
          </w:tcPr>
          <w:p w14:paraId="61DFF9F0" w14:textId="77777777" w:rsidR="00E963EB" w:rsidRPr="00E963EB" w:rsidRDefault="00E963EB" w:rsidP="00E963EB">
            <w:pPr>
              <w:spacing w:after="0" w:line="240" w:lineRule="auto"/>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t xml:space="preserve">Código da Função </w:t>
            </w:r>
            <w:r w:rsidRPr="00E963EB">
              <w:rPr>
                <w:rFonts w:ascii="Arial" w:eastAsia="Times New Roman" w:hAnsi="Arial" w:cs="Arial"/>
                <w:b/>
                <w:bCs/>
                <w:sz w:val="20"/>
                <w:szCs w:val="20"/>
                <w:vertAlign w:val="superscript"/>
                <w:lang w:eastAsia="pt-BR"/>
              </w:rPr>
              <w:t>[1]</w:t>
            </w:r>
          </w:p>
        </w:tc>
        <w:tc>
          <w:tcPr>
            <w:tcW w:w="1225" w:type="dxa"/>
            <w:tcBorders>
              <w:top w:val="nil"/>
              <w:left w:val="nil"/>
              <w:bottom w:val="single" w:sz="8" w:space="0" w:color="auto"/>
              <w:right w:val="single" w:sz="8" w:space="0" w:color="auto"/>
            </w:tcBorders>
            <w:shd w:val="clear" w:color="auto" w:fill="auto"/>
            <w:vAlign w:val="center"/>
            <w:hideMark/>
          </w:tcPr>
          <w:p w14:paraId="68845C34" w14:textId="77777777" w:rsidR="00E963EB" w:rsidRPr="00E963EB" w:rsidRDefault="00E963EB" w:rsidP="00E963EB">
            <w:pPr>
              <w:spacing w:after="0" w:line="240" w:lineRule="auto"/>
              <w:jc w:val="center"/>
              <w:rPr>
                <w:rFonts w:ascii="Arial" w:eastAsia="Times New Roman" w:hAnsi="Arial" w:cs="Arial"/>
                <w:sz w:val="20"/>
                <w:szCs w:val="20"/>
                <w:lang w:eastAsia="pt-BR"/>
              </w:rPr>
            </w:pPr>
            <w:r w:rsidRPr="00E963EB">
              <w:rPr>
                <w:rFonts w:ascii="Arial" w:eastAsia="Times New Roman" w:hAnsi="Arial" w:cs="Arial"/>
                <w:sz w:val="20"/>
                <w:szCs w:val="20"/>
                <w:lang w:eastAsia="pt-BR"/>
              </w:rPr>
              <w:t>Caracter</w:t>
            </w:r>
          </w:p>
        </w:tc>
        <w:tc>
          <w:tcPr>
            <w:tcW w:w="1313" w:type="dxa"/>
            <w:tcBorders>
              <w:top w:val="nil"/>
              <w:left w:val="nil"/>
              <w:bottom w:val="single" w:sz="8" w:space="0" w:color="auto"/>
              <w:right w:val="single" w:sz="8" w:space="0" w:color="auto"/>
            </w:tcBorders>
            <w:shd w:val="clear" w:color="auto" w:fill="auto"/>
            <w:vAlign w:val="center"/>
            <w:hideMark/>
          </w:tcPr>
          <w:p w14:paraId="38D225EF" w14:textId="77777777" w:rsidR="00E963EB" w:rsidRPr="00E963EB" w:rsidRDefault="00E963EB" w:rsidP="00E963EB">
            <w:pPr>
              <w:spacing w:after="0" w:line="240" w:lineRule="auto"/>
              <w:jc w:val="center"/>
              <w:rPr>
                <w:rFonts w:ascii="Arial" w:eastAsia="Times New Roman" w:hAnsi="Arial" w:cs="Arial"/>
                <w:sz w:val="20"/>
                <w:szCs w:val="20"/>
                <w:lang w:eastAsia="pt-BR"/>
              </w:rPr>
            </w:pPr>
            <w:r w:rsidRPr="00E963EB">
              <w:rPr>
                <w:rFonts w:ascii="Arial" w:eastAsia="Times New Roman" w:hAnsi="Arial" w:cs="Arial"/>
                <w:sz w:val="20"/>
                <w:szCs w:val="20"/>
                <w:lang w:eastAsia="pt-BR"/>
              </w:rPr>
              <w:t>2</w:t>
            </w:r>
          </w:p>
        </w:tc>
        <w:tc>
          <w:tcPr>
            <w:tcW w:w="2733" w:type="dxa"/>
            <w:tcBorders>
              <w:top w:val="nil"/>
              <w:left w:val="nil"/>
              <w:bottom w:val="single" w:sz="8" w:space="0" w:color="auto"/>
              <w:right w:val="single" w:sz="8" w:space="0" w:color="auto"/>
            </w:tcBorders>
            <w:shd w:val="clear" w:color="auto" w:fill="auto"/>
            <w:vAlign w:val="center"/>
            <w:hideMark/>
          </w:tcPr>
          <w:p w14:paraId="71062301" w14:textId="77777777" w:rsidR="00E963EB" w:rsidRPr="00E963EB" w:rsidRDefault="00E963EB" w:rsidP="00E963EB">
            <w:pPr>
              <w:spacing w:after="0" w:line="240" w:lineRule="auto"/>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t>Obrigatório tabela auxiliar 7.1</w:t>
            </w:r>
          </w:p>
        </w:tc>
      </w:tr>
      <w:tr w:rsidR="00E963EB" w:rsidRPr="00E963EB" w14:paraId="21296AFC" w14:textId="77777777" w:rsidTr="00DD49C9">
        <w:trPr>
          <w:trHeight w:val="315"/>
        </w:trPr>
        <w:tc>
          <w:tcPr>
            <w:tcW w:w="3914" w:type="dxa"/>
            <w:tcBorders>
              <w:top w:val="nil"/>
              <w:left w:val="single" w:sz="8" w:space="0" w:color="auto"/>
              <w:bottom w:val="single" w:sz="8" w:space="0" w:color="auto"/>
              <w:right w:val="single" w:sz="8" w:space="0" w:color="auto"/>
            </w:tcBorders>
            <w:shd w:val="clear" w:color="auto" w:fill="auto"/>
            <w:vAlign w:val="center"/>
            <w:hideMark/>
          </w:tcPr>
          <w:p w14:paraId="42D750A3" w14:textId="77777777" w:rsidR="00E963EB" w:rsidRPr="00E963EB" w:rsidRDefault="00E963EB" w:rsidP="00E963EB">
            <w:pPr>
              <w:spacing w:after="0" w:line="240" w:lineRule="auto"/>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t xml:space="preserve">Código da Subfunção </w:t>
            </w:r>
            <w:r w:rsidRPr="00E963EB">
              <w:rPr>
                <w:rFonts w:ascii="Arial" w:eastAsia="Times New Roman" w:hAnsi="Arial" w:cs="Arial"/>
                <w:b/>
                <w:bCs/>
                <w:sz w:val="20"/>
                <w:szCs w:val="20"/>
                <w:vertAlign w:val="superscript"/>
                <w:lang w:eastAsia="pt-BR"/>
              </w:rPr>
              <w:t>[1]</w:t>
            </w:r>
          </w:p>
        </w:tc>
        <w:tc>
          <w:tcPr>
            <w:tcW w:w="1225" w:type="dxa"/>
            <w:tcBorders>
              <w:top w:val="nil"/>
              <w:left w:val="nil"/>
              <w:bottom w:val="single" w:sz="8" w:space="0" w:color="auto"/>
              <w:right w:val="single" w:sz="8" w:space="0" w:color="auto"/>
            </w:tcBorders>
            <w:shd w:val="clear" w:color="auto" w:fill="auto"/>
            <w:vAlign w:val="center"/>
            <w:hideMark/>
          </w:tcPr>
          <w:p w14:paraId="593D49CA" w14:textId="77777777" w:rsidR="00E963EB" w:rsidRPr="00E963EB" w:rsidRDefault="00E963EB" w:rsidP="00E963EB">
            <w:pPr>
              <w:spacing w:after="0" w:line="240" w:lineRule="auto"/>
              <w:jc w:val="center"/>
              <w:rPr>
                <w:rFonts w:ascii="Arial" w:eastAsia="Times New Roman" w:hAnsi="Arial" w:cs="Arial"/>
                <w:sz w:val="20"/>
                <w:szCs w:val="20"/>
                <w:lang w:eastAsia="pt-BR"/>
              </w:rPr>
            </w:pPr>
            <w:r w:rsidRPr="00E963EB">
              <w:rPr>
                <w:rFonts w:ascii="Arial" w:eastAsia="Times New Roman" w:hAnsi="Arial" w:cs="Arial"/>
                <w:sz w:val="20"/>
                <w:szCs w:val="20"/>
                <w:lang w:eastAsia="pt-BR"/>
              </w:rPr>
              <w:t>Caracter</w:t>
            </w:r>
          </w:p>
        </w:tc>
        <w:tc>
          <w:tcPr>
            <w:tcW w:w="1313" w:type="dxa"/>
            <w:tcBorders>
              <w:top w:val="nil"/>
              <w:left w:val="nil"/>
              <w:bottom w:val="single" w:sz="8" w:space="0" w:color="auto"/>
              <w:right w:val="single" w:sz="8" w:space="0" w:color="auto"/>
            </w:tcBorders>
            <w:shd w:val="clear" w:color="auto" w:fill="auto"/>
            <w:vAlign w:val="center"/>
            <w:hideMark/>
          </w:tcPr>
          <w:p w14:paraId="1F44BCA7" w14:textId="77777777" w:rsidR="00E963EB" w:rsidRPr="00E963EB" w:rsidRDefault="00E963EB" w:rsidP="00E963EB">
            <w:pPr>
              <w:spacing w:after="0" w:line="240" w:lineRule="auto"/>
              <w:jc w:val="center"/>
              <w:rPr>
                <w:rFonts w:ascii="Arial" w:eastAsia="Times New Roman" w:hAnsi="Arial" w:cs="Arial"/>
                <w:sz w:val="20"/>
                <w:szCs w:val="20"/>
                <w:lang w:eastAsia="pt-BR"/>
              </w:rPr>
            </w:pPr>
            <w:r w:rsidRPr="00E963EB">
              <w:rPr>
                <w:rFonts w:ascii="Arial" w:eastAsia="Times New Roman" w:hAnsi="Arial" w:cs="Arial"/>
                <w:sz w:val="20"/>
                <w:szCs w:val="20"/>
                <w:lang w:eastAsia="pt-BR"/>
              </w:rPr>
              <w:t>3</w:t>
            </w:r>
          </w:p>
        </w:tc>
        <w:tc>
          <w:tcPr>
            <w:tcW w:w="2733" w:type="dxa"/>
            <w:tcBorders>
              <w:top w:val="nil"/>
              <w:left w:val="nil"/>
              <w:bottom w:val="single" w:sz="8" w:space="0" w:color="auto"/>
              <w:right w:val="single" w:sz="8" w:space="0" w:color="auto"/>
            </w:tcBorders>
            <w:shd w:val="clear" w:color="auto" w:fill="auto"/>
            <w:vAlign w:val="center"/>
            <w:hideMark/>
          </w:tcPr>
          <w:p w14:paraId="2B060638" w14:textId="77777777" w:rsidR="00E963EB" w:rsidRPr="00E963EB" w:rsidRDefault="00E963EB" w:rsidP="00E963EB">
            <w:pPr>
              <w:spacing w:after="0" w:line="240" w:lineRule="auto"/>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t>Obrigatório tabela auxiliar 7.2</w:t>
            </w:r>
          </w:p>
        </w:tc>
      </w:tr>
      <w:tr w:rsidR="00E963EB" w:rsidRPr="00E963EB" w14:paraId="6CB57203" w14:textId="77777777" w:rsidTr="00DD49C9">
        <w:trPr>
          <w:trHeight w:val="315"/>
        </w:trPr>
        <w:tc>
          <w:tcPr>
            <w:tcW w:w="3914" w:type="dxa"/>
            <w:tcBorders>
              <w:top w:val="nil"/>
              <w:left w:val="single" w:sz="8" w:space="0" w:color="auto"/>
              <w:bottom w:val="single" w:sz="8" w:space="0" w:color="auto"/>
              <w:right w:val="single" w:sz="8" w:space="0" w:color="auto"/>
            </w:tcBorders>
            <w:shd w:val="clear" w:color="auto" w:fill="auto"/>
            <w:vAlign w:val="center"/>
            <w:hideMark/>
          </w:tcPr>
          <w:p w14:paraId="4CFA1AD1" w14:textId="77777777" w:rsidR="00E963EB" w:rsidRPr="00E963EB" w:rsidRDefault="00E963EB" w:rsidP="00E963EB">
            <w:pPr>
              <w:spacing w:after="0" w:line="240" w:lineRule="auto"/>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t xml:space="preserve">Código do Programa  </w:t>
            </w:r>
          </w:p>
        </w:tc>
        <w:tc>
          <w:tcPr>
            <w:tcW w:w="1225" w:type="dxa"/>
            <w:tcBorders>
              <w:top w:val="nil"/>
              <w:left w:val="nil"/>
              <w:bottom w:val="single" w:sz="8" w:space="0" w:color="auto"/>
              <w:right w:val="single" w:sz="8" w:space="0" w:color="auto"/>
            </w:tcBorders>
            <w:shd w:val="clear" w:color="auto" w:fill="auto"/>
            <w:vAlign w:val="center"/>
            <w:hideMark/>
          </w:tcPr>
          <w:p w14:paraId="31E39287" w14:textId="77777777" w:rsidR="00E963EB" w:rsidRPr="00E963EB" w:rsidRDefault="00E963EB" w:rsidP="00E963EB">
            <w:pPr>
              <w:spacing w:after="0" w:line="240" w:lineRule="auto"/>
              <w:jc w:val="center"/>
              <w:rPr>
                <w:rFonts w:ascii="Arial" w:eastAsia="Times New Roman" w:hAnsi="Arial" w:cs="Arial"/>
                <w:sz w:val="20"/>
                <w:szCs w:val="20"/>
                <w:lang w:eastAsia="pt-BR"/>
              </w:rPr>
            </w:pPr>
            <w:r w:rsidRPr="00E963EB">
              <w:rPr>
                <w:rFonts w:ascii="Arial" w:eastAsia="Times New Roman" w:hAnsi="Arial" w:cs="Arial"/>
                <w:sz w:val="20"/>
                <w:szCs w:val="20"/>
                <w:lang w:eastAsia="pt-BR"/>
              </w:rPr>
              <w:t>Caracter</w:t>
            </w:r>
          </w:p>
        </w:tc>
        <w:tc>
          <w:tcPr>
            <w:tcW w:w="1313" w:type="dxa"/>
            <w:tcBorders>
              <w:top w:val="nil"/>
              <w:left w:val="nil"/>
              <w:bottom w:val="single" w:sz="8" w:space="0" w:color="auto"/>
              <w:right w:val="single" w:sz="8" w:space="0" w:color="auto"/>
            </w:tcBorders>
            <w:shd w:val="clear" w:color="auto" w:fill="auto"/>
            <w:vAlign w:val="center"/>
            <w:hideMark/>
          </w:tcPr>
          <w:p w14:paraId="02790D47" w14:textId="77777777" w:rsidR="00E963EB" w:rsidRPr="00E963EB" w:rsidRDefault="00E963EB" w:rsidP="00E963EB">
            <w:pPr>
              <w:spacing w:after="0" w:line="240" w:lineRule="auto"/>
              <w:jc w:val="center"/>
              <w:rPr>
                <w:rFonts w:ascii="Arial" w:eastAsia="Times New Roman" w:hAnsi="Arial" w:cs="Arial"/>
                <w:sz w:val="20"/>
                <w:szCs w:val="20"/>
                <w:lang w:eastAsia="pt-BR"/>
              </w:rPr>
            </w:pPr>
            <w:r w:rsidRPr="00E963EB">
              <w:rPr>
                <w:rFonts w:ascii="Arial" w:eastAsia="Times New Roman" w:hAnsi="Arial" w:cs="Arial"/>
                <w:sz w:val="20"/>
                <w:szCs w:val="20"/>
                <w:lang w:eastAsia="pt-BR"/>
              </w:rPr>
              <w:t>4</w:t>
            </w:r>
          </w:p>
        </w:tc>
        <w:tc>
          <w:tcPr>
            <w:tcW w:w="2733" w:type="dxa"/>
            <w:tcBorders>
              <w:top w:val="nil"/>
              <w:left w:val="nil"/>
              <w:bottom w:val="single" w:sz="8" w:space="0" w:color="auto"/>
              <w:right w:val="single" w:sz="8" w:space="0" w:color="auto"/>
            </w:tcBorders>
            <w:shd w:val="clear" w:color="auto" w:fill="auto"/>
            <w:vAlign w:val="center"/>
            <w:hideMark/>
          </w:tcPr>
          <w:p w14:paraId="78FF1429" w14:textId="77777777" w:rsidR="00E963EB" w:rsidRPr="00E963EB" w:rsidRDefault="00E963EB" w:rsidP="00E963EB">
            <w:pPr>
              <w:spacing w:after="0" w:line="240" w:lineRule="auto"/>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t>Obrigatório</w:t>
            </w:r>
          </w:p>
        </w:tc>
      </w:tr>
      <w:tr w:rsidR="00E963EB" w:rsidRPr="00E963EB" w14:paraId="26D324DF" w14:textId="77777777" w:rsidTr="00DD49C9">
        <w:trPr>
          <w:trHeight w:val="315"/>
        </w:trPr>
        <w:tc>
          <w:tcPr>
            <w:tcW w:w="3914" w:type="dxa"/>
            <w:tcBorders>
              <w:top w:val="nil"/>
              <w:left w:val="single" w:sz="8" w:space="0" w:color="auto"/>
              <w:bottom w:val="single" w:sz="8" w:space="0" w:color="auto"/>
              <w:right w:val="single" w:sz="8" w:space="0" w:color="auto"/>
            </w:tcBorders>
            <w:shd w:val="clear" w:color="auto" w:fill="auto"/>
            <w:vAlign w:val="center"/>
            <w:hideMark/>
          </w:tcPr>
          <w:p w14:paraId="07E3DD72" w14:textId="77777777" w:rsidR="00E963EB" w:rsidRPr="00E963EB" w:rsidRDefault="00E963EB" w:rsidP="00E963EB">
            <w:pPr>
              <w:spacing w:after="0" w:line="240" w:lineRule="auto"/>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t xml:space="preserve">Código da Ação </w:t>
            </w:r>
          </w:p>
        </w:tc>
        <w:tc>
          <w:tcPr>
            <w:tcW w:w="1225" w:type="dxa"/>
            <w:tcBorders>
              <w:top w:val="nil"/>
              <w:left w:val="nil"/>
              <w:bottom w:val="single" w:sz="8" w:space="0" w:color="auto"/>
              <w:right w:val="single" w:sz="8" w:space="0" w:color="auto"/>
            </w:tcBorders>
            <w:shd w:val="clear" w:color="auto" w:fill="auto"/>
            <w:vAlign w:val="center"/>
            <w:hideMark/>
          </w:tcPr>
          <w:p w14:paraId="4BB317BC" w14:textId="77777777" w:rsidR="00E963EB" w:rsidRPr="00E963EB" w:rsidRDefault="00E963EB" w:rsidP="00E963EB">
            <w:pPr>
              <w:spacing w:after="0" w:line="240" w:lineRule="auto"/>
              <w:jc w:val="center"/>
              <w:rPr>
                <w:rFonts w:ascii="Arial" w:eastAsia="Times New Roman" w:hAnsi="Arial" w:cs="Arial"/>
                <w:sz w:val="20"/>
                <w:szCs w:val="20"/>
                <w:lang w:eastAsia="pt-BR"/>
              </w:rPr>
            </w:pPr>
            <w:r w:rsidRPr="00E963EB">
              <w:rPr>
                <w:rFonts w:ascii="Arial" w:eastAsia="Times New Roman" w:hAnsi="Arial" w:cs="Arial"/>
                <w:sz w:val="20"/>
                <w:szCs w:val="20"/>
                <w:lang w:eastAsia="pt-BR"/>
              </w:rPr>
              <w:t>Caracter</w:t>
            </w:r>
          </w:p>
        </w:tc>
        <w:tc>
          <w:tcPr>
            <w:tcW w:w="1313" w:type="dxa"/>
            <w:tcBorders>
              <w:top w:val="nil"/>
              <w:left w:val="nil"/>
              <w:bottom w:val="single" w:sz="8" w:space="0" w:color="auto"/>
              <w:right w:val="single" w:sz="8" w:space="0" w:color="auto"/>
            </w:tcBorders>
            <w:shd w:val="clear" w:color="auto" w:fill="auto"/>
            <w:vAlign w:val="center"/>
            <w:hideMark/>
          </w:tcPr>
          <w:p w14:paraId="30A25F6A" w14:textId="77777777" w:rsidR="00E963EB" w:rsidRPr="00E963EB" w:rsidRDefault="00E963EB" w:rsidP="00E963EB">
            <w:pPr>
              <w:spacing w:after="0" w:line="240" w:lineRule="auto"/>
              <w:jc w:val="center"/>
              <w:rPr>
                <w:rFonts w:ascii="Arial" w:eastAsia="Times New Roman" w:hAnsi="Arial" w:cs="Arial"/>
                <w:sz w:val="20"/>
                <w:szCs w:val="20"/>
                <w:lang w:eastAsia="pt-BR"/>
              </w:rPr>
            </w:pPr>
            <w:r w:rsidRPr="00E963EB">
              <w:rPr>
                <w:rFonts w:ascii="Arial" w:eastAsia="Times New Roman" w:hAnsi="Arial" w:cs="Arial"/>
                <w:sz w:val="20"/>
                <w:szCs w:val="20"/>
                <w:lang w:eastAsia="pt-BR"/>
              </w:rPr>
              <w:t>5</w:t>
            </w:r>
          </w:p>
        </w:tc>
        <w:tc>
          <w:tcPr>
            <w:tcW w:w="2733" w:type="dxa"/>
            <w:tcBorders>
              <w:top w:val="nil"/>
              <w:left w:val="nil"/>
              <w:bottom w:val="single" w:sz="8" w:space="0" w:color="auto"/>
              <w:right w:val="single" w:sz="8" w:space="0" w:color="auto"/>
            </w:tcBorders>
            <w:shd w:val="clear" w:color="auto" w:fill="auto"/>
            <w:vAlign w:val="center"/>
            <w:hideMark/>
          </w:tcPr>
          <w:p w14:paraId="6033305C" w14:textId="77777777" w:rsidR="00E963EB" w:rsidRPr="00E963EB" w:rsidRDefault="00E963EB" w:rsidP="00E963EB">
            <w:pPr>
              <w:spacing w:after="0" w:line="240" w:lineRule="auto"/>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t>Obrigatório</w:t>
            </w:r>
          </w:p>
        </w:tc>
      </w:tr>
      <w:tr w:rsidR="00E963EB" w:rsidRPr="00E963EB" w14:paraId="6153690B" w14:textId="77777777" w:rsidTr="00DD49C9">
        <w:trPr>
          <w:trHeight w:val="315"/>
        </w:trPr>
        <w:tc>
          <w:tcPr>
            <w:tcW w:w="3914" w:type="dxa"/>
            <w:tcBorders>
              <w:top w:val="nil"/>
              <w:left w:val="single" w:sz="8" w:space="0" w:color="auto"/>
              <w:bottom w:val="single" w:sz="8" w:space="0" w:color="auto"/>
              <w:right w:val="single" w:sz="8" w:space="0" w:color="auto"/>
            </w:tcBorders>
            <w:shd w:val="clear" w:color="auto" w:fill="auto"/>
            <w:vAlign w:val="center"/>
            <w:hideMark/>
          </w:tcPr>
          <w:p w14:paraId="0D3A44A0" w14:textId="77777777" w:rsidR="00E963EB" w:rsidRPr="00E963EB" w:rsidRDefault="00E963EB" w:rsidP="00E963EB">
            <w:pPr>
              <w:spacing w:after="0" w:line="240" w:lineRule="auto"/>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t xml:space="preserve">Categoria Econômica da Despesa </w:t>
            </w:r>
            <w:r w:rsidRPr="00E963EB">
              <w:rPr>
                <w:rFonts w:ascii="Arial" w:eastAsia="Times New Roman" w:hAnsi="Arial" w:cs="Arial"/>
                <w:b/>
                <w:bCs/>
                <w:sz w:val="20"/>
                <w:szCs w:val="20"/>
                <w:vertAlign w:val="superscript"/>
                <w:lang w:eastAsia="pt-BR"/>
              </w:rPr>
              <w:t>[1]</w:t>
            </w:r>
          </w:p>
        </w:tc>
        <w:tc>
          <w:tcPr>
            <w:tcW w:w="1225" w:type="dxa"/>
            <w:tcBorders>
              <w:top w:val="nil"/>
              <w:left w:val="nil"/>
              <w:bottom w:val="single" w:sz="8" w:space="0" w:color="auto"/>
              <w:right w:val="single" w:sz="8" w:space="0" w:color="auto"/>
            </w:tcBorders>
            <w:shd w:val="clear" w:color="auto" w:fill="auto"/>
            <w:vAlign w:val="center"/>
            <w:hideMark/>
          </w:tcPr>
          <w:p w14:paraId="0F6757CA" w14:textId="77777777" w:rsidR="00E963EB" w:rsidRPr="00E963EB" w:rsidRDefault="00E963EB" w:rsidP="00E963EB">
            <w:pPr>
              <w:spacing w:after="0" w:line="240" w:lineRule="auto"/>
              <w:jc w:val="center"/>
              <w:rPr>
                <w:rFonts w:ascii="Arial" w:eastAsia="Times New Roman" w:hAnsi="Arial" w:cs="Arial"/>
                <w:sz w:val="20"/>
                <w:szCs w:val="20"/>
                <w:lang w:eastAsia="pt-BR"/>
              </w:rPr>
            </w:pPr>
            <w:r w:rsidRPr="00E963EB">
              <w:rPr>
                <w:rFonts w:ascii="Arial" w:eastAsia="Times New Roman" w:hAnsi="Arial" w:cs="Arial"/>
                <w:sz w:val="20"/>
                <w:szCs w:val="20"/>
                <w:lang w:eastAsia="pt-BR"/>
              </w:rPr>
              <w:t>Inteiro</w:t>
            </w:r>
          </w:p>
        </w:tc>
        <w:tc>
          <w:tcPr>
            <w:tcW w:w="1313" w:type="dxa"/>
            <w:tcBorders>
              <w:top w:val="nil"/>
              <w:left w:val="nil"/>
              <w:bottom w:val="single" w:sz="8" w:space="0" w:color="auto"/>
              <w:right w:val="single" w:sz="8" w:space="0" w:color="auto"/>
            </w:tcBorders>
            <w:shd w:val="clear" w:color="auto" w:fill="auto"/>
            <w:vAlign w:val="center"/>
            <w:hideMark/>
          </w:tcPr>
          <w:p w14:paraId="0A9F9390" w14:textId="77777777" w:rsidR="00E963EB" w:rsidRPr="00E963EB" w:rsidRDefault="00E963EB" w:rsidP="00E963EB">
            <w:pPr>
              <w:spacing w:after="0" w:line="240" w:lineRule="auto"/>
              <w:jc w:val="center"/>
              <w:rPr>
                <w:rFonts w:ascii="Arial" w:eastAsia="Times New Roman" w:hAnsi="Arial" w:cs="Arial"/>
                <w:sz w:val="20"/>
                <w:szCs w:val="20"/>
                <w:lang w:eastAsia="pt-BR"/>
              </w:rPr>
            </w:pPr>
            <w:r w:rsidRPr="00E963EB">
              <w:rPr>
                <w:rFonts w:ascii="Arial" w:eastAsia="Times New Roman" w:hAnsi="Arial" w:cs="Arial"/>
                <w:sz w:val="20"/>
                <w:szCs w:val="20"/>
                <w:lang w:eastAsia="pt-BR"/>
              </w:rPr>
              <w:t>1</w:t>
            </w:r>
          </w:p>
        </w:tc>
        <w:tc>
          <w:tcPr>
            <w:tcW w:w="2733" w:type="dxa"/>
            <w:tcBorders>
              <w:top w:val="nil"/>
              <w:left w:val="nil"/>
              <w:bottom w:val="single" w:sz="8" w:space="0" w:color="auto"/>
              <w:right w:val="single" w:sz="8" w:space="0" w:color="auto"/>
            </w:tcBorders>
            <w:shd w:val="clear" w:color="auto" w:fill="auto"/>
            <w:vAlign w:val="center"/>
            <w:hideMark/>
          </w:tcPr>
          <w:p w14:paraId="26ECB11D" w14:textId="77777777" w:rsidR="00E963EB" w:rsidRPr="00E963EB" w:rsidRDefault="00E963EB" w:rsidP="00E963EB">
            <w:pPr>
              <w:spacing w:after="0" w:line="240" w:lineRule="auto"/>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t>Obrigatório tabela auxiliar 7.3</w:t>
            </w:r>
          </w:p>
        </w:tc>
      </w:tr>
      <w:tr w:rsidR="00E963EB" w:rsidRPr="00E963EB" w14:paraId="756F3E80" w14:textId="77777777" w:rsidTr="00DD49C9">
        <w:trPr>
          <w:trHeight w:val="315"/>
        </w:trPr>
        <w:tc>
          <w:tcPr>
            <w:tcW w:w="3914" w:type="dxa"/>
            <w:tcBorders>
              <w:top w:val="nil"/>
              <w:left w:val="single" w:sz="8" w:space="0" w:color="auto"/>
              <w:bottom w:val="single" w:sz="8" w:space="0" w:color="auto"/>
              <w:right w:val="single" w:sz="8" w:space="0" w:color="auto"/>
            </w:tcBorders>
            <w:shd w:val="clear" w:color="auto" w:fill="auto"/>
            <w:vAlign w:val="center"/>
            <w:hideMark/>
          </w:tcPr>
          <w:p w14:paraId="57F1BE16" w14:textId="77777777" w:rsidR="00E963EB" w:rsidRPr="00E963EB" w:rsidRDefault="00E963EB" w:rsidP="00E963EB">
            <w:pPr>
              <w:spacing w:after="0" w:line="240" w:lineRule="auto"/>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t xml:space="preserve">Grupo de Natureza da Despesa </w:t>
            </w:r>
            <w:r w:rsidRPr="00E963EB">
              <w:rPr>
                <w:rFonts w:ascii="Arial" w:eastAsia="Times New Roman" w:hAnsi="Arial" w:cs="Arial"/>
                <w:b/>
                <w:bCs/>
                <w:sz w:val="20"/>
                <w:szCs w:val="20"/>
                <w:vertAlign w:val="superscript"/>
                <w:lang w:eastAsia="pt-BR"/>
              </w:rPr>
              <w:t>[1]</w:t>
            </w:r>
          </w:p>
        </w:tc>
        <w:tc>
          <w:tcPr>
            <w:tcW w:w="1225" w:type="dxa"/>
            <w:tcBorders>
              <w:top w:val="nil"/>
              <w:left w:val="nil"/>
              <w:bottom w:val="single" w:sz="8" w:space="0" w:color="auto"/>
              <w:right w:val="single" w:sz="8" w:space="0" w:color="auto"/>
            </w:tcBorders>
            <w:shd w:val="clear" w:color="auto" w:fill="auto"/>
            <w:vAlign w:val="center"/>
            <w:hideMark/>
          </w:tcPr>
          <w:p w14:paraId="70162BD4" w14:textId="77777777" w:rsidR="00E963EB" w:rsidRPr="00E963EB" w:rsidRDefault="00E963EB" w:rsidP="00E963EB">
            <w:pPr>
              <w:spacing w:after="0" w:line="240" w:lineRule="auto"/>
              <w:jc w:val="center"/>
              <w:rPr>
                <w:rFonts w:ascii="Arial" w:eastAsia="Times New Roman" w:hAnsi="Arial" w:cs="Arial"/>
                <w:sz w:val="20"/>
                <w:szCs w:val="20"/>
                <w:lang w:eastAsia="pt-BR"/>
              </w:rPr>
            </w:pPr>
            <w:r w:rsidRPr="00E963EB">
              <w:rPr>
                <w:rFonts w:ascii="Arial" w:eastAsia="Times New Roman" w:hAnsi="Arial" w:cs="Arial"/>
                <w:sz w:val="20"/>
                <w:szCs w:val="20"/>
                <w:lang w:eastAsia="pt-BR"/>
              </w:rPr>
              <w:t>Inteiro</w:t>
            </w:r>
          </w:p>
        </w:tc>
        <w:tc>
          <w:tcPr>
            <w:tcW w:w="1313" w:type="dxa"/>
            <w:tcBorders>
              <w:top w:val="nil"/>
              <w:left w:val="nil"/>
              <w:bottom w:val="single" w:sz="8" w:space="0" w:color="auto"/>
              <w:right w:val="single" w:sz="8" w:space="0" w:color="auto"/>
            </w:tcBorders>
            <w:shd w:val="clear" w:color="auto" w:fill="auto"/>
            <w:vAlign w:val="center"/>
            <w:hideMark/>
          </w:tcPr>
          <w:p w14:paraId="1D9C5C0E" w14:textId="77777777" w:rsidR="00E963EB" w:rsidRPr="00E963EB" w:rsidRDefault="00E963EB" w:rsidP="00E963EB">
            <w:pPr>
              <w:spacing w:after="0" w:line="240" w:lineRule="auto"/>
              <w:jc w:val="center"/>
              <w:rPr>
                <w:rFonts w:ascii="Arial" w:eastAsia="Times New Roman" w:hAnsi="Arial" w:cs="Arial"/>
                <w:sz w:val="20"/>
                <w:szCs w:val="20"/>
                <w:lang w:eastAsia="pt-BR"/>
              </w:rPr>
            </w:pPr>
            <w:r w:rsidRPr="00E963EB">
              <w:rPr>
                <w:rFonts w:ascii="Arial" w:eastAsia="Times New Roman" w:hAnsi="Arial" w:cs="Arial"/>
                <w:sz w:val="20"/>
                <w:szCs w:val="20"/>
                <w:lang w:eastAsia="pt-BR"/>
              </w:rPr>
              <w:t>1</w:t>
            </w:r>
          </w:p>
        </w:tc>
        <w:tc>
          <w:tcPr>
            <w:tcW w:w="2733" w:type="dxa"/>
            <w:tcBorders>
              <w:top w:val="nil"/>
              <w:left w:val="nil"/>
              <w:bottom w:val="single" w:sz="8" w:space="0" w:color="auto"/>
              <w:right w:val="single" w:sz="8" w:space="0" w:color="auto"/>
            </w:tcBorders>
            <w:shd w:val="clear" w:color="auto" w:fill="auto"/>
            <w:vAlign w:val="center"/>
            <w:hideMark/>
          </w:tcPr>
          <w:p w14:paraId="12843844" w14:textId="77777777" w:rsidR="00E963EB" w:rsidRPr="00E963EB" w:rsidRDefault="00E963EB" w:rsidP="00E963EB">
            <w:pPr>
              <w:spacing w:after="0" w:line="240" w:lineRule="auto"/>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t>Obrigatório tabela auxiliar 7.4</w:t>
            </w:r>
          </w:p>
        </w:tc>
      </w:tr>
      <w:tr w:rsidR="00E963EB" w:rsidRPr="00E963EB" w14:paraId="227ADDE5" w14:textId="77777777" w:rsidTr="00DD49C9">
        <w:trPr>
          <w:trHeight w:val="315"/>
        </w:trPr>
        <w:tc>
          <w:tcPr>
            <w:tcW w:w="3914" w:type="dxa"/>
            <w:tcBorders>
              <w:top w:val="nil"/>
              <w:left w:val="single" w:sz="8" w:space="0" w:color="auto"/>
              <w:bottom w:val="single" w:sz="8" w:space="0" w:color="auto"/>
              <w:right w:val="single" w:sz="8" w:space="0" w:color="auto"/>
            </w:tcBorders>
            <w:shd w:val="clear" w:color="auto" w:fill="auto"/>
            <w:vAlign w:val="center"/>
            <w:hideMark/>
          </w:tcPr>
          <w:p w14:paraId="47BD9E60" w14:textId="77777777" w:rsidR="00E963EB" w:rsidRPr="00E963EB" w:rsidRDefault="00E963EB" w:rsidP="00E963EB">
            <w:pPr>
              <w:spacing w:after="0" w:line="240" w:lineRule="auto"/>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t xml:space="preserve">Modalidade de Aplicação </w:t>
            </w:r>
            <w:r w:rsidRPr="00E963EB">
              <w:rPr>
                <w:rFonts w:ascii="Arial" w:eastAsia="Times New Roman" w:hAnsi="Arial" w:cs="Arial"/>
                <w:b/>
                <w:bCs/>
                <w:sz w:val="20"/>
                <w:szCs w:val="20"/>
                <w:vertAlign w:val="superscript"/>
                <w:lang w:eastAsia="pt-BR"/>
              </w:rPr>
              <w:t>[1]</w:t>
            </w:r>
          </w:p>
        </w:tc>
        <w:tc>
          <w:tcPr>
            <w:tcW w:w="1225" w:type="dxa"/>
            <w:tcBorders>
              <w:top w:val="nil"/>
              <w:left w:val="nil"/>
              <w:bottom w:val="single" w:sz="8" w:space="0" w:color="auto"/>
              <w:right w:val="single" w:sz="8" w:space="0" w:color="auto"/>
            </w:tcBorders>
            <w:shd w:val="clear" w:color="auto" w:fill="auto"/>
            <w:vAlign w:val="center"/>
            <w:hideMark/>
          </w:tcPr>
          <w:p w14:paraId="507195AD" w14:textId="77777777" w:rsidR="00E963EB" w:rsidRPr="00E963EB" w:rsidRDefault="00E963EB" w:rsidP="00E963EB">
            <w:pPr>
              <w:spacing w:after="0" w:line="240" w:lineRule="auto"/>
              <w:jc w:val="center"/>
              <w:rPr>
                <w:rFonts w:ascii="Arial" w:eastAsia="Times New Roman" w:hAnsi="Arial" w:cs="Arial"/>
                <w:sz w:val="20"/>
                <w:szCs w:val="20"/>
                <w:lang w:eastAsia="pt-BR"/>
              </w:rPr>
            </w:pPr>
            <w:r w:rsidRPr="00E963EB">
              <w:rPr>
                <w:rFonts w:ascii="Arial" w:eastAsia="Times New Roman" w:hAnsi="Arial" w:cs="Arial"/>
                <w:sz w:val="20"/>
                <w:szCs w:val="20"/>
                <w:lang w:eastAsia="pt-BR"/>
              </w:rPr>
              <w:t>Inteiro</w:t>
            </w:r>
          </w:p>
        </w:tc>
        <w:tc>
          <w:tcPr>
            <w:tcW w:w="1313" w:type="dxa"/>
            <w:tcBorders>
              <w:top w:val="nil"/>
              <w:left w:val="nil"/>
              <w:bottom w:val="single" w:sz="8" w:space="0" w:color="auto"/>
              <w:right w:val="single" w:sz="8" w:space="0" w:color="auto"/>
            </w:tcBorders>
            <w:shd w:val="clear" w:color="auto" w:fill="auto"/>
            <w:vAlign w:val="center"/>
            <w:hideMark/>
          </w:tcPr>
          <w:p w14:paraId="3087EEA8" w14:textId="77777777" w:rsidR="00E963EB" w:rsidRPr="00E963EB" w:rsidRDefault="00E963EB" w:rsidP="00E963EB">
            <w:pPr>
              <w:spacing w:after="0" w:line="240" w:lineRule="auto"/>
              <w:jc w:val="center"/>
              <w:rPr>
                <w:rFonts w:ascii="Arial" w:eastAsia="Times New Roman" w:hAnsi="Arial" w:cs="Arial"/>
                <w:sz w:val="20"/>
                <w:szCs w:val="20"/>
                <w:lang w:eastAsia="pt-BR"/>
              </w:rPr>
            </w:pPr>
            <w:r w:rsidRPr="00E963EB">
              <w:rPr>
                <w:rFonts w:ascii="Arial" w:eastAsia="Times New Roman" w:hAnsi="Arial" w:cs="Arial"/>
                <w:sz w:val="20"/>
                <w:szCs w:val="20"/>
                <w:lang w:eastAsia="pt-BR"/>
              </w:rPr>
              <w:t>2</w:t>
            </w:r>
          </w:p>
        </w:tc>
        <w:tc>
          <w:tcPr>
            <w:tcW w:w="2733" w:type="dxa"/>
            <w:tcBorders>
              <w:top w:val="nil"/>
              <w:left w:val="nil"/>
              <w:bottom w:val="single" w:sz="8" w:space="0" w:color="auto"/>
              <w:right w:val="single" w:sz="8" w:space="0" w:color="auto"/>
            </w:tcBorders>
            <w:shd w:val="clear" w:color="auto" w:fill="auto"/>
            <w:vAlign w:val="center"/>
            <w:hideMark/>
          </w:tcPr>
          <w:p w14:paraId="69DB7094" w14:textId="77777777" w:rsidR="00E963EB" w:rsidRPr="00E963EB" w:rsidRDefault="00E963EB" w:rsidP="00E963EB">
            <w:pPr>
              <w:spacing w:after="0" w:line="240" w:lineRule="auto"/>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t>Obrigatório tabela auxiliar 7.5</w:t>
            </w:r>
          </w:p>
        </w:tc>
      </w:tr>
      <w:tr w:rsidR="00E963EB" w:rsidRPr="00E963EB" w14:paraId="124750B2" w14:textId="77777777" w:rsidTr="00DD49C9">
        <w:trPr>
          <w:trHeight w:val="315"/>
        </w:trPr>
        <w:tc>
          <w:tcPr>
            <w:tcW w:w="3914" w:type="dxa"/>
            <w:tcBorders>
              <w:top w:val="nil"/>
              <w:left w:val="single" w:sz="8" w:space="0" w:color="auto"/>
              <w:bottom w:val="single" w:sz="8" w:space="0" w:color="auto"/>
              <w:right w:val="single" w:sz="8" w:space="0" w:color="auto"/>
            </w:tcBorders>
            <w:shd w:val="clear" w:color="auto" w:fill="auto"/>
            <w:vAlign w:val="center"/>
            <w:hideMark/>
          </w:tcPr>
          <w:p w14:paraId="5E9F64E5" w14:textId="77777777" w:rsidR="00E963EB" w:rsidRPr="00E963EB" w:rsidRDefault="00E963EB" w:rsidP="00E963EB">
            <w:pPr>
              <w:spacing w:after="0" w:line="240" w:lineRule="auto"/>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t xml:space="preserve">Elemento de Despesa </w:t>
            </w:r>
            <w:r w:rsidRPr="00E963EB">
              <w:rPr>
                <w:rFonts w:ascii="Arial" w:eastAsia="Times New Roman" w:hAnsi="Arial" w:cs="Arial"/>
                <w:b/>
                <w:bCs/>
                <w:sz w:val="20"/>
                <w:szCs w:val="20"/>
                <w:vertAlign w:val="superscript"/>
                <w:lang w:eastAsia="pt-BR"/>
              </w:rPr>
              <w:t>[1]</w:t>
            </w:r>
          </w:p>
        </w:tc>
        <w:tc>
          <w:tcPr>
            <w:tcW w:w="1225" w:type="dxa"/>
            <w:tcBorders>
              <w:top w:val="nil"/>
              <w:left w:val="nil"/>
              <w:bottom w:val="single" w:sz="8" w:space="0" w:color="auto"/>
              <w:right w:val="single" w:sz="8" w:space="0" w:color="auto"/>
            </w:tcBorders>
            <w:shd w:val="clear" w:color="auto" w:fill="auto"/>
            <w:vAlign w:val="center"/>
            <w:hideMark/>
          </w:tcPr>
          <w:p w14:paraId="23EE82B4" w14:textId="77777777" w:rsidR="00E963EB" w:rsidRPr="00E963EB" w:rsidRDefault="00E963EB" w:rsidP="00E963EB">
            <w:pPr>
              <w:spacing w:after="0" w:line="240" w:lineRule="auto"/>
              <w:jc w:val="center"/>
              <w:rPr>
                <w:rFonts w:ascii="Arial" w:eastAsia="Times New Roman" w:hAnsi="Arial" w:cs="Arial"/>
                <w:sz w:val="20"/>
                <w:szCs w:val="20"/>
                <w:lang w:eastAsia="pt-BR"/>
              </w:rPr>
            </w:pPr>
            <w:r w:rsidRPr="00E963EB">
              <w:rPr>
                <w:rFonts w:ascii="Arial" w:eastAsia="Times New Roman" w:hAnsi="Arial" w:cs="Arial"/>
                <w:sz w:val="20"/>
                <w:szCs w:val="20"/>
                <w:lang w:eastAsia="pt-BR"/>
              </w:rPr>
              <w:t>Inteiro</w:t>
            </w:r>
          </w:p>
        </w:tc>
        <w:tc>
          <w:tcPr>
            <w:tcW w:w="1313" w:type="dxa"/>
            <w:tcBorders>
              <w:top w:val="nil"/>
              <w:left w:val="nil"/>
              <w:bottom w:val="single" w:sz="8" w:space="0" w:color="auto"/>
              <w:right w:val="single" w:sz="8" w:space="0" w:color="auto"/>
            </w:tcBorders>
            <w:shd w:val="clear" w:color="auto" w:fill="auto"/>
            <w:vAlign w:val="center"/>
            <w:hideMark/>
          </w:tcPr>
          <w:p w14:paraId="1019013F" w14:textId="77777777" w:rsidR="00E963EB" w:rsidRPr="00E963EB" w:rsidRDefault="00E963EB" w:rsidP="00E963EB">
            <w:pPr>
              <w:spacing w:after="0" w:line="240" w:lineRule="auto"/>
              <w:jc w:val="center"/>
              <w:rPr>
                <w:rFonts w:ascii="Arial" w:eastAsia="Times New Roman" w:hAnsi="Arial" w:cs="Arial"/>
                <w:sz w:val="20"/>
                <w:szCs w:val="20"/>
                <w:lang w:eastAsia="pt-BR"/>
              </w:rPr>
            </w:pPr>
            <w:r w:rsidRPr="00E963EB">
              <w:rPr>
                <w:rFonts w:ascii="Arial" w:eastAsia="Times New Roman" w:hAnsi="Arial" w:cs="Arial"/>
                <w:sz w:val="20"/>
                <w:szCs w:val="20"/>
                <w:lang w:eastAsia="pt-BR"/>
              </w:rPr>
              <w:t>2</w:t>
            </w:r>
          </w:p>
        </w:tc>
        <w:tc>
          <w:tcPr>
            <w:tcW w:w="2733" w:type="dxa"/>
            <w:tcBorders>
              <w:top w:val="nil"/>
              <w:left w:val="nil"/>
              <w:bottom w:val="single" w:sz="8" w:space="0" w:color="auto"/>
              <w:right w:val="single" w:sz="8" w:space="0" w:color="auto"/>
            </w:tcBorders>
            <w:shd w:val="clear" w:color="auto" w:fill="auto"/>
            <w:vAlign w:val="center"/>
            <w:hideMark/>
          </w:tcPr>
          <w:p w14:paraId="2A5176CD" w14:textId="77777777" w:rsidR="00E963EB" w:rsidRPr="00E963EB" w:rsidRDefault="00E963EB" w:rsidP="00E963EB">
            <w:pPr>
              <w:spacing w:after="0" w:line="240" w:lineRule="auto"/>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t>Obrigatório tabela auxiliar 7.6</w:t>
            </w:r>
          </w:p>
        </w:tc>
      </w:tr>
      <w:tr w:rsidR="00E963EB" w:rsidRPr="00E963EB" w14:paraId="0DC77004" w14:textId="77777777" w:rsidTr="00DD49C9">
        <w:trPr>
          <w:trHeight w:val="315"/>
        </w:trPr>
        <w:tc>
          <w:tcPr>
            <w:tcW w:w="3914" w:type="dxa"/>
            <w:tcBorders>
              <w:top w:val="nil"/>
              <w:left w:val="single" w:sz="8" w:space="0" w:color="auto"/>
              <w:bottom w:val="single" w:sz="8" w:space="0" w:color="auto"/>
              <w:right w:val="single" w:sz="8" w:space="0" w:color="auto"/>
            </w:tcBorders>
            <w:shd w:val="clear" w:color="auto" w:fill="auto"/>
            <w:vAlign w:val="center"/>
            <w:hideMark/>
          </w:tcPr>
          <w:p w14:paraId="54EF754F" w14:textId="77777777" w:rsidR="00E963EB" w:rsidRPr="00E963EB" w:rsidRDefault="00E963EB" w:rsidP="00E963EB">
            <w:pPr>
              <w:spacing w:after="0" w:line="240" w:lineRule="auto"/>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t xml:space="preserve">Subelemento de Despesa </w:t>
            </w:r>
            <w:r w:rsidRPr="00E963EB">
              <w:rPr>
                <w:rFonts w:ascii="Arial" w:eastAsia="Times New Roman" w:hAnsi="Arial" w:cs="Arial"/>
                <w:b/>
                <w:bCs/>
                <w:sz w:val="20"/>
                <w:szCs w:val="20"/>
                <w:vertAlign w:val="superscript"/>
                <w:lang w:eastAsia="pt-BR"/>
              </w:rPr>
              <w:t>[1]</w:t>
            </w:r>
          </w:p>
        </w:tc>
        <w:tc>
          <w:tcPr>
            <w:tcW w:w="1225" w:type="dxa"/>
            <w:tcBorders>
              <w:top w:val="nil"/>
              <w:left w:val="nil"/>
              <w:bottom w:val="single" w:sz="8" w:space="0" w:color="auto"/>
              <w:right w:val="single" w:sz="8" w:space="0" w:color="auto"/>
            </w:tcBorders>
            <w:shd w:val="clear" w:color="auto" w:fill="auto"/>
            <w:vAlign w:val="center"/>
            <w:hideMark/>
          </w:tcPr>
          <w:p w14:paraId="01743DD5" w14:textId="77777777" w:rsidR="00E963EB" w:rsidRPr="00E963EB" w:rsidRDefault="00E963EB" w:rsidP="00E963EB">
            <w:pPr>
              <w:spacing w:after="0" w:line="240" w:lineRule="auto"/>
              <w:jc w:val="center"/>
              <w:rPr>
                <w:rFonts w:ascii="Arial" w:eastAsia="Times New Roman" w:hAnsi="Arial" w:cs="Arial"/>
                <w:sz w:val="20"/>
                <w:szCs w:val="20"/>
                <w:lang w:eastAsia="pt-BR"/>
              </w:rPr>
            </w:pPr>
            <w:r w:rsidRPr="00E963EB">
              <w:rPr>
                <w:rFonts w:ascii="Arial" w:eastAsia="Times New Roman" w:hAnsi="Arial" w:cs="Arial"/>
                <w:sz w:val="20"/>
                <w:szCs w:val="20"/>
                <w:lang w:eastAsia="pt-BR"/>
              </w:rPr>
              <w:t>Inteiro</w:t>
            </w:r>
          </w:p>
        </w:tc>
        <w:tc>
          <w:tcPr>
            <w:tcW w:w="1313" w:type="dxa"/>
            <w:tcBorders>
              <w:top w:val="nil"/>
              <w:left w:val="nil"/>
              <w:bottom w:val="single" w:sz="8" w:space="0" w:color="auto"/>
              <w:right w:val="single" w:sz="8" w:space="0" w:color="auto"/>
            </w:tcBorders>
            <w:shd w:val="clear" w:color="auto" w:fill="auto"/>
            <w:vAlign w:val="center"/>
            <w:hideMark/>
          </w:tcPr>
          <w:p w14:paraId="6374B798" w14:textId="77777777" w:rsidR="00E963EB" w:rsidRPr="00E963EB" w:rsidRDefault="00E963EB" w:rsidP="00E963EB">
            <w:pPr>
              <w:spacing w:after="0" w:line="240" w:lineRule="auto"/>
              <w:jc w:val="center"/>
              <w:rPr>
                <w:rFonts w:ascii="Arial" w:eastAsia="Times New Roman" w:hAnsi="Arial" w:cs="Arial"/>
                <w:sz w:val="20"/>
                <w:szCs w:val="20"/>
                <w:lang w:eastAsia="pt-BR"/>
              </w:rPr>
            </w:pPr>
            <w:r w:rsidRPr="00E963EB">
              <w:rPr>
                <w:rFonts w:ascii="Arial" w:eastAsia="Times New Roman" w:hAnsi="Arial" w:cs="Arial"/>
                <w:sz w:val="20"/>
                <w:szCs w:val="20"/>
                <w:lang w:eastAsia="pt-BR"/>
              </w:rPr>
              <w:t>2</w:t>
            </w:r>
          </w:p>
        </w:tc>
        <w:tc>
          <w:tcPr>
            <w:tcW w:w="2733" w:type="dxa"/>
            <w:tcBorders>
              <w:top w:val="nil"/>
              <w:left w:val="nil"/>
              <w:bottom w:val="single" w:sz="8" w:space="0" w:color="auto"/>
              <w:right w:val="single" w:sz="8" w:space="0" w:color="auto"/>
            </w:tcBorders>
            <w:shd w:val="clear" w:color="auto" w:fill="auto"/>
            <w:vAlign w:val="center"/>
            <w:hideMark/>
          </w:tcPr>
          <w:p w14:paraId="0FB42A4C" w14:textId="77777777" w:rsidR="00E963EB" w:rsidRPr="00E963EB" w:rsidRDefault="00E963EB" w:rsidP="00E963EB">
            <w:pPr>
              <w:spacing w:after="0" w:line="240" w:lineRule="auto"/>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t>Obrigatório tabela auxiliar 7.7</w:t>
            </w:r>
          </w:p>
        </w:tc>
      </w:tr>
      <w:tr w:rsidR="00E963EB" w:rsidRPr="00E963EB" w14:paraId="31858FBE" w14:textId="77777777" w:rsidTr="00DD49C9">
        <w:trPr>
          <w:trHeight w:val="525"/>
        </w:trPr>
        <w:tc>
          <w:tcPr>
            <w:tcW w:w="3914" w:type="dxa"/>
            <w:tcBorders>
              <w:top w:val="nil"/>
              <w:left w:val="single" w:sz="8" w:space="0" w:color="auto"/>
              <w:bottom w:val="single" w:sz="8" w:space="0" w:color="auto"/>
              <w:right w:val="single" w:sz="8" w:space="0" w:color="auto"/>
            </w:tcBorders>
            <w:shd w:val="clear" w:color="auto" w:fill="auto"/>
            <w:vAlign w:val="center"/>
            <w:hideMark/>
          </w:tcPr>
          <w:p w14:paraId="37210B17" w14:textId="77777777" w:rsidR="00E963EB" w:rsidRPr="00E963EB" w:rsidRDefault="00E963EB" w:rsidP="00E963EB">
            <w:pPr>
              <w:spacing w:after="0" w:line="240" w:lineRule="auto"/>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t xml:space="preserve">Código do grupo de fonte/destinação de recursos </w:t>
            </w:r>
            <w:r w:rsidRPr="00E963EB">
              <w:rPr>
                <w:rFonts w:ascii="Arial" w:eastAsia="Times New Roman" w:hAnsi="Arial" w:cs="Arial"/>
                <w:b/>
                <w:bCs/>
                <w:sz w:val="20"/>
                <w:szCs w:val="20"/>
                <w:vertAlign w:val="superscript"/>
                <w:lang w:eastAsia="pt-BR"/>
              </w:rPr>
              <w:t>[1]</w:t>
            </w:r>
          </w:p>
        </w:tc>
        <w:tc>
          <w:tcPr>
            <w:tcW w:w="1225" w:type="dxa"/>
            <w:tcBorders>
              <w:top w:val="nil"/>
              <w:left w:val="nil"/>
              <w:bottom w:val="single" w:sz="8" w:space="0" w:color="auto"/>
              <w:right w:val="single" w:sz="8" w:space="0" w:color="auto"/>
            </w:tcBorders>
            <w:shd w:val="clear" w:color="auto" w:fill="auto"/>
            <w:vAlign w:val="center"/>
            <w:hideMark/>
          </w:tcPr>
          <w:p w14:paraId="09B34FB2" w14:textId="77777777" w:rsidR="00E963EB" w:rsidRPr="00E963EB" w:rsidRDefault="00E963EB" w:rsidP="00E963EB">
            <w:pPr>
              <w:spacing w:after="0" w:line="240" w:lineRule="auto"/>
              <w:jc w:val="center"/>
              <w:rPr>
                <w:rFonts w:ascii="Arial" w:eastAsia="Times New Roman" w:hAnsi="Arial" w:cs="Arial"/>
                <w:sz w:val="20"/>
                <w:szCs w:val="20"/>
                <w:lang w:eastAsia="pt-BR"/>
              </w:rPr>
            </w:pPr>
            <w:r w:rsidRPr="00E963EB">
              <w:rPr>
                <w:rFonts w:ascii="Arial" w:eastAsia="Times New Roman" w:hAnsi="Arial" w:cs="Arial"/>
                <w:sz w:val="20"/>
                <w:szCs w:val="20"/>
                <w:lang w:eastAsia="pt-BR"/>
              </w:rPr>
              <w:t>Inteiro</w:t>
            </w:r>
          </w:p>
        </w:tc>
        <w:tc>
          <w:tcPr>
            <w:tcW w:w="1313" w:type="dxa"/>
            <w:tcBorders>
              <w:top w:val="nil"/>
              <w:left w:val="nil"/>
              <w:bottom w:val="single" w:sz="8" w:space="0" w:color="auto"/>
              <w:right w:val="single" w:sz="8" w:space="0" w:color="auto"/>
            </w:tcBorders>
            <w:shd w:val="clear" w:color="auto" w:fill="auto"/>
            <w:vAlign w:val="center"/>
            <w:hideMark/>
          </w:tcPr>
          <w:p w14:paraId="3F050714" w14:textId="77777777" w:rsidR="00E963EB" w:rsidRPr="00E963EB" w:rsidRDefault="00E963EB" w:rsidP="00E963EB">
            <w:pPr>
              <w:spacing w:after="0" w:line="240" w:lineRule="auto"/>
              <w:jc w:val="center"/>
              <w:rPr>
                <w:rFonts w:ascii="Arial" w:eastAsia="Times New Roman" w:hAnsi="Arial" w:cs="Arial"/>
                <w:sz w:val="20"/>
                <w:szCs w:val="20"/>
                <w:lang w:eastAsia="pt-BR"/>
              </w:rPr>
            </w:pPr>
            <w:r w:rsidRPr="00E963EB">
              <w:rPr>
                <w:rFonts w:ascii="Arial" w:eastAsia="Times New Roman" w:hAnsi="Arial" w:cs="Arial"/>
                <w:sz w:val="20"/>
                <w:szCs w:val="20"/>
                <w:lang w:eastAsia="pt-BR"/>
              </w:rPr>
              <w:t>1</w:t>
            </w:r>
          </w:p>
        </w:tc>
        <w:tc>
          <w:tcPr>
            <w:tcW w:w="2733" w:type="dxa"/>
            <w:tcBorders>
              <w:top w:val="nil"/>
              <w:left w:val="nil"/>
              <w:bottom w:val="single" w:sz="8" w:space="0" w:color="auto"/>
              <w:right w:val="single" w:sz="8" w:space="0" w:color="auto"/>
            </w:tcBorders>
            <w:shd w:val="clear" w:color="auto" w:fill="auto"/>
            <w:vAlign w:val="center"/>
            <w:hideMark/>
          </w:tcPr>
          <w:p w14:paraId="3EED5292" w14:textId="77777777" w:rsidR="00E963EB" w:rsidRPr="00E963EB" w:rsidRDefault="00E963EB" w:rsidP="00E963EB">
            <w:pPr>
              <w:spacing w:after="0" w:line="240" w:lineRule="auto"/>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t>Obrigatório conforme Tabela Auxiliar 1.1</w:t>
            </w:r>
          </w:p>
        </w:tc>
      </w:tr>
      <w:tr w:rsidR="00E963EB" w:rsidRPr="00E963EB" w14:paraId="13F3EE86" w14:textId="77777777" w:rsidTr="00DD49C9">
        <w:trPr>
          <w:trHeight w:val="525"/>
        </w:trPr>
        <w:tc>
          <w:tcPr>
            <w:tcW w:w="3914" w:type="dxa"/>
            <w:tcBorders>
              <w:top w:val="nil"/>
              <w:left w:val="single" w:sz="8" w:space="0" w:color="auto"/>
              <w:bottom w:val="single" w:sz="8" w:space="0" w:color="auto"/>
              <w:right w:val="single" w:sz="8" w:space="0" w:color="auto"/>
            </w:tcBorders>
            <w:shd w:val="clear" w:color="auto" w:fill="auto"/>
            <w:vAlign w:val="center"/>
            <w:hideMark/>
          </w:tcPr>
          <w:p w14:paraId="6BE84AA8" w14:textId="77777777" w:rsidR="00E963EB" w:rsidRPr="00E963EB" w:rsidRDefault="00E963EB" w:rsidP="00E963EB">
            <w:pPr>
              <w:spacing w:after="0" w:line="240" w:lineRule="auto"/>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t xml:space="preserve">Código da especificação da fonte/destinação de recursos (fixo) </w:t>
            </w:r>
            <w:r w:rsidRPr="00E963EB">
              <w:rPr>
                <w:rFonts w:ascii="Arial" w:eastAsia="Times New Roman" w:hAnsi="Arial" w:cs="Arial"/>
                <w:b/>
                <w:bCs/>
                <w:sz w:val="20"/>
                <w:szCs w:val="20"/>
                <w:vertAlign w:val="superscript"/>
                <w:lang w:eastAsia="pt-BR"/>
              </w:rPr>
              <w:t>[1]</w:t>
            </w:r>
          </w:p>
        </w:tc>
        <w:tc>
          <w:tcPr>
            <w:tcW w:w="1225" w:type="dxa"/>
            <w:tcBorders>
              <w:top w:val="nil"/>
              <w:left w:val="nil"/>
              <w:bottom w:val="single" w:sz="8" w:space="0" w:color="auto"/>
              <w:right w:val="single" w:sz="8" w:space="0" w:color="auto"/>
            </w:tcBorders>
            <w:shd w:val="clear" w:color="auto" w:fill="auto"/>
            <w:vAlign w:val="center"/>
            <w:hideMark/>
          </w:tcPr>
          <w:p w14:paraId="4984F8AE" w14:textId="77777777" w:rsidR="00E963EB" w:rsidRPr="00E963EB" w:rsidRDefault="00E963EB" w:rsidP="00E963EB">
            <w:pPr>
              <w:spacing w:after="0" w:line="240" w:lineRule="auto"/>
              <w:jc w:val="center"/>
              <w:rPr>
                <w:rFonts w:ascii="Arial" w:eastAsia="Times New Roman" w:hAnsi="Arial" w:cs="Arial"/>
                <w:sz w:val="20"/>
                <w:szCs w:val="20"/>
                <w:lang w:eastAsia="pt-BR"/>
              </w:rPr>
            </w:pPr>
            <w:r w:rsidRPr="00E963EB">
              <w:rPr>
                <w:rFonts w:ascii="Arial" w:eastAsia="Times New Roman" w:hAnsi="Arial" w:cs="Arial"/>
                <w:sz w:val="20"/>
                <w:szCs w:val="20"/>
                <w:lang w:eastAsia="pt-BR"/>
              </w:rPr>
              <w:t>Caracter</w:t>
            </w:r>
          </w:p>
        </w:tc>
        <w:tc>
          <w:tcPr>
            <w:tcW w:w="1313" w:type="dxa"/>
            <w:tcBorders>
              <w:top w:val="nil"/>
              <w:left w:val="nil"/>
              <w:bottom w:val="single" w:sz="8" w:space="0" w:color="auto"/>
              <w:right w:val="single" w:sz="8" w:space="0" w:color="auto"/>
            </w:tcBorders>
            <w:shd w:val="clear" w:color="auto" w:fill="auto"/>
            <w:vAlign w:val="center"/>
            <w:hideMark/>
          </w:tcPr>
          <w:p w14:paraId="0D45098D" w14:textId="77777777" w:rsidR="00E963EB" w:rsidRPr="00E963EB" w:rsidRDefault="00E963EB" w:rsidP="00E963EB">
            <w:pPr>
              <w:spacing w:after="0" w:line="240" w:lineRule="auto"/>
              <w:jc w:val="center"/>
              <w:rPr>
                <w:rFonts w:ascii="Arial" w:eastAsia="Times New Roman" w:hAnsi="Arial" w:cs="Arial"/>
                <w:sz w:val="20"/>
                <w:szCs w:val="20"/>
                <w:lang w:eastAsia="pt-BR"/>
              </w:rPr>
            </w:pPr>
            <w:r w:rsidRPr="00E963EB">
              <w:rPr>
                <w:rFonts w:ascii="Arial" w:eastAsia="Times New Roman" w:hAnsi="Arial" w:cs="Arial"/>
                <w:sz w:val="20"/>
                <w:szCs w:val="20"/>
                <w:lang w:eastAsia="pt-BR"/>
              </w:rPr>
              <w:t>3</w:t>
            </w:r>
          </w:p>
        </w:tc>
        <w:tc>
          <w:tcPr>
            <w:tcW w:w="2733" w:type="dxa"/>
            <w:tcBorders>
              <w:top w:val="nil"/>
              <w:left w:val="nil"/>
              <w:bottom w:val="single" w:sz="8" w:space="0" w:color="auto"/>
              <w:right w:val="single" w:sz="8" w:space="0" w:color="auto"/>
            </w:tcBorders>
            <w:shd w:val="clear" w:color="auto" w:fill="auto"/>
            <w:vAlign w:val="center"/>
            <w:hideMark/>
          </w:tcPr>
          <w:p w14:paraId="2C8C0DA3" w14:textId="77777777" w:rsidR="00E963EB" w:rsidRPr="00E963EB" w:rsidRDefault="00E963EB" w:rsidP="00E963EB">
            <w:pPr>
              <w:spacing w:after="0" w:line="240" w:lineRule="auto"/>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t>Obrigatório conforme Tabela Auxiliar 1.2 – parte fixa</w:t>
            </w:r>
          </w:p>
        </w:tc>
      </w:tr>
      <w:tr w:rsidR="00E963EB" w:rsidRPr="00E963EB" w14:paraId="705521DB" w14:textId="77777777" w:rsidTr="00DD49C9">
        <w:trPr>
          <w:trHeight w:val="780"/>
        </w:trPr>
        <w:tc>
          <w:tcPr>
            <w:tcW w:w="3914" w:type="dxa"/>
            <w:tcBorders>
              <w:top w:val="nil"/>
              <w:left w:val="single" w:sz="8" w:space="0" w:color="auto"/>
              <w:bottom w:val="single" w:sz="8" w:space="0" w:color="auto"/>
              <w:right w:val="single" w:sz="8" w:space="0" w:color="auto"/>
            </w:tcBorders>
            <w:shd w:val="clear" w:color="auto" w:fill="auto"/>
            <w:vAlign w:val="center"/>
            <w:hideMark/>
          </w:tcPr>
          <w:p w14:paraId="10124906" w14:textId="77777777" w:rsidR="00E963EB" w:rsidRPr="00E963EB" w:rsidRDefault="00E963EB" w:rsidP="00E963EB">
            <w:pPr>
              <w:spacing w:after="0" w:line="240" w:lineRule="auto"/>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t xml:space="preserve">Código da especificação/detalhamento da destinação de recursos (variável) </w:t>
            </w:r>
            <w:r w:rsidRPr="00E963EB">
              <w:rPr>
                <w:rFonts w:ascii="Arial" w:eastAsia="Times New Roman" w:hAnsi="Arial" w:cs="Arial"/>
                <w:b/>
                <w:bCs/>
                <w:sz w:val="20"/>
                <w:szCs w:val="20"/>
                <w:vertAlign w:val="superscript"/>
                <w:lang w:eastAsia="pt-BR"/>
              </w:rPr>
              <w:t>[1]</w:t>
            </w:r>
          </w:p>
        </w:tc>
        <w:tc>
          <w:tcPr>
            <w:tcW w:w="1225" w:type="dxa"/>
            <w:tcBorders>
              <w:top w:val="nil"/>
              <w:left w:val="nil"/>
              <w:bottom w:val="single" w:sz="8" w:space="0" w:color="auto"/>
              <w:right w:val="single" w:sz="8" w:space="0" w:color="auto"/>
            </w:tcBorders>
            <w:shd w:val="clear" w:color="auto" w:fill="auto"/>
            <w:vAlign w:val="center"/>
            <w:hideMark/>
          </w:tcPr>
          <w:p w14:paraId="28882374" w14:textId="77777777" w:rsidR="00E963EB" w:rsidRPr="00E963EB" w:rsidRDefault="00E963EB" w:rsidP="00E963EB">
            <w:pPr>
              <w:spacing w:after="0" w:line="240" w:lineRule="auto"/>
              <w:jc w:val="center"/>
              <w:rPr>
                <w:rFonts w:ascii="Arial" w:eastAsia="Times New Roman" w:hAnsi="Arial" w:cs="Arial"/>
                <w:sz w:val="20"/>
                <w:szCs w:val="20"/>
                <w:lang w:eastAsia="pt-BR"/>
              </w:rPr>
            </w:pPr>
            <w:r w:rsidRPr="00E963EB">
              <w:rPr>
                <w:rFonts w:ascii="Arial" w:eastAsia="Times New Roman" w:hAnsi="Arial" w:cs="Arial"/>
                <w:sz w:val="20"/>
                <w:szCs w:val="20"/>
                <w:lang w:eastAsia="pt-BR"/>
              </w:rPr>
              <w:t>Caracter</w:t>
            </w:r>
          </w:p>
        </w:tc>
        <w:tc>
          <w:tcPr>
            <w:tcW w:w="1313" w:type="dxa"/>
            <w:tcBorders>
              <w:top w:val="nil"/>
              <w:left w:val="nil"/>
              <w:bottom w:val="single" w:sz="8" w:space="0" w:color="auto"/>
              <w:right w:val="single" w:sz="8" w:space="0" w:color="auto"/>
            </w:tcBorders>
            <w:shd w:val="clear" w:color="auto" w:fill="auto"/>
            <w:vAlign w:val="center"/>
            <w:hideMark/>
          </w:tcPr>
          <w:p w14:paraId="09C4DC6E" w14:textId="77777777" w:rsidR="00E963EB" w:rsidRPr="00E963EB" w:rsidRDefault="00E963EB" w:rsidP="00E963EB">
            <w:pPr>
              <w:spacing w:after="0" w:line="240" w:lineRule="auto"/>
              <w:jc w:val="center"/>
              <w:rPr>
                <w:rFonts w:ascii="Arial" w:eastAsia="Times New Roman" w:hAnsi="Arial" w:cs="Arial"/>
                <w:sz w:val="20"/>
                <w:szCs w:val="20"/>
                <w:lang w:eastAsia="pt-BR"/>
              </w:rPr>
            </w:pPr>
            <w:r w:rsidRPr="00E963EB">
              <w:rPr>
                <w:rFonts w:ascii="Arial" w:eastAsia="Times New Roman" w:hAnsi="Arial" w:cs="Arial"/>
                <w:sz w:val="20"/>
                <w:szCs w:val="20"/>
                <w:lang w:eastAsia="pt-BR"/>
              </w:rPr>
              <w:t>4</w:t>
            </w:r>
          </w:p>
        </w:tc>
        <w:tc>
          <w:tcPr>
            <w:tcW w:w="2733" w:type="dxa"/>
            <w:tcBorders>
              <w:top w:val="nil"/>
              <w:left w:val="nil"/>
              <w:bottom w:val="single" w:sz="8" w:space="0" w:color="auto"/>
              <w:right w:val="single" w:sz="8" w:space="0" w:color="auto"/>
            </w:tcBorders>
            <w:shd w:val="clear" w:color="auto" w:fill="auto"/>
            <w:vAlign w:val="center"/>
            <w:hideMark/>
          </w:tcPr>
          <w:p w14:paraId="60491FC8" w14:textId="77777777" w:rsidR="00E963EB" w:rsidRPr="00E963EB" w:rsidRDefault="00E963EB" w:rsidP="00E963EB">
            <w:pPr>
              <w:spacing w:after="0" w:line="240" w:lineRule="auto"/>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t>Obrigatório conforme Tabela Auxiliar 1.2 ou Tabela Cadastral 1.3 – parte variável</w:t>
            </w:r>
          </w:p>
        </w:tc>
      </w:tr>
      <w:tr w:rsidR="00E963EB" w:rsidRPr="00E963EB" w14:paraId="5C24FB1E" w14:textId="77777777" w:rsidTr="00DD49C9">
        <w:trPr>
          <w:trHeight w:val="300"/>
        </w:trPr>
        <w:tc>
          <w:tcPr>
            <w:tcW w:w="3914" w:type="dxa"/>
            <w:tcBorders>
              <w:top w:val="nil"/>
              <w:left w:val="single" w:sz="8" w:space="0" w:color="auto"/>
              <w:bottom w:val="single" w:sz="8" w:space="0" w:color="000000"/>
              <w:right w:val="single" w:sz="8" w:space="0" w:color="auto"/>
            </w:tcBorders>
            <w:shd w:val="clear" w:color="auto" w:fill="auto"/>
            <w:vAlign w:val="center"/>
            <w:hideMark/>
          </w:tcPr>
          <w:p w14:paraId="0D00C579" w14:textId="77777777" w:rsidR="00E963EB" w:rsidRPr="00E963EB" w:rsidRDefault="00E963EB" w:rsidP="00E963EB">
            <w:pPr>
              <w:spacing w:after="0" w:line="240" w:lineRule="auto"/>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t>Classificação dos Restos a Pagar</w:t>
            </w:r>
          </w:p>
          <w:p w14:paraId="71A4709F" w14:textId="77777777" w:rsidR="00E963EB" w:rsidRPr="00E963EB" w:rsidRDefault="00E963EB" w:rsidP="00E963EB">
            <w:pPr>
              <w:spacing w:after="0" w:line="240" w:lineRule="auto"/>
              <w:jc w:val="both"/>
              <w:rPr>
                <w:rFonts w:ascii="Arial" w:eastAsia="Times New Roman" w:hAnsi="Arial" w:cs="Arial"/>
                <w:sz w:val="20"/>
                <w:szCs w:val="20"/>
                <w:lang w:eastAsia="pt-BR"/>
              </w:rPr>
            </w:pPr>
          </w:p>
        </w:tc>
        <w:tc>
          <w:tcPr>
            <w:tcW w:w="1225" w:type="dxa"/>
            <w:tcBorders>
              <w:top w:val="nil"/>
              <w:left w:val="single" w:sz="8" w:space="0" w:color="auto"/>
              <w:bottom w:val="single" w:sz="8" w:space="0" w:color="000000"/>
              <w:right w:val="single" w:sz="8" w:space="0" w:color="auto"/>
            </w:tcBorders>
            <w:shd w:val="clear" w:color="auto" w:fill="auto"/>
            <w:vAlign w:val="center"/>
            <w:hideMark/>
          </w:tcPr>
          <w:p w14:paraId="4C817068" w14:textId="77777777" w:rsidR="00E963EB" w:rsidRPr="00E963EB" w:rsidRDefault="00E963EB" w:rsidP="00E963EB">
            <w:pPr>
              <w:spacing w:after="0" w:line="240" w:lineRule="auto"/>
              <w:jc w:val="center"/>
              <w:rPr>
                <w:rFonts w:ascii="Arial" w:eastAsia="Times New Roman" w:hAnsi="Arial" w:cs="Arial"/>
                <w:sz w:val="20"/>
                <w:szCs w:val="20"/>
                <w:lang w:eastAsia="pt-BR"/>
              </w:rPr>
            </w:pPr>
            <w:r w:rsidRPr="00E963EB">
              <w:rPr>
                <w:rFonts w:ascii="Arial" w:eastAsia="Times New Roman" w:hAnsi="Arial" w:cs="Arial"/>
                <w:sz w:val="20"/>
                <w:szCs w:val="20"/>
                <w:lang w:eastAsia="pt-BR"/>
              </w:rPr>
              <w:t>Inteiro</w:t>
            </w:r>
          </w:p>
          <w:p w14:paraId="1CC22E4F" w14:textId="77777777" w:rsidR="00E963EB" w:rsidRPr="00E963EB" w:rsidRDefault="00E963EB" w:rsidP="00E963EB">
            <w:pPr>
              <w:spacing w:after="0" w:line="240" w:lineRule="auto"/>
              <w:jc w:val="center"/>
              <w:rPr>
                <w:rFonts w:ascii="Arial" w:eastAsia="Times New Roman" w:hAnsi="Arial" w:cs="Arial"/>
                <w:sz w:val="20"/>
                <w:szCs w:val="20"/>
                <w:lang w:eastAsia="pt-BR"/>
              </w:rPr>
            </w:pPr>
          </w:p>
        </w:tc>
        <w:tc>
          <w:tcPr>
            <w:tcW w:w="1313" w:type="dxa"/>
            <w:tcBorders>
              <w:top w:val="nil"/>
              <w:left w:val="single" w:sz="8" w:space="0" w:color="auto"/>
              <w:bottom w:val="single" w:sz="8" w:space="0" w:color="000000"/>
              <w:right w:val="single" w:sz="8" w:space="0" w:color="auto"/>
            </w:tcBorders>
            <w:shd w:val="clear" w:color="auto" w:fill="auto"/>
            <w:vAlign w:val="center"/>
            <w:hideMark/>
          </w:tcPr>
          <w:p w14:paraId="60774F16" w14:textId="77777777" w:rsidR="00E963EB" w:rsidRPr="00E963EB" w:rsidRDefault="00E963EB" w:rsidP="00E963EB">
            <w:pPr>
              <w:spacing w:after="0" w:line="240" w:lineRule="auto"/>
              <w:jc w:val="center"/>
              <w:rPr>
                <w:rFonts w:ascii="Arial" w:eastAsia="Times New Roman" w:hAnsi="Arial" w:cs="Arial"/>
                <w:sz w:val="20"/>
                <w:szCs w:val="20"/>
                <w:lang w:eastAsia="pt-BR"/>
              </w:rPr>
            </w:pPr>
            <w:r w:rsidRPr="00E963EB">
              <w:rPr>
                <w:rFonts w:ascii="Arial" w:eastAsia="Times New Roman" w:hAnsi="Arial" w:cs="Arial"/>
                <w:sz w:val="20"/>
                <w:szCs w:val="20"/>
                <w:lang w:eastAsia="pt-BR"/>
              </w:rPr>
              <w:t>1</w:t>
            </w:r>
          </w:p>
          <w:p w14:paraId="5C21D648" w14:textId="77777777" w:rsidR="00E963EB" w:rsidRPr="00E963EB" w:rsidRDefault="00E963EB" w:rsidP="00E963EB">
            <w:pPr>
              <w:spacing w:after="0" w:line="240" w:lineRule="auto"/>
              <w:jc w:val="center"/>
              <w:rPr>
                <w:rFonts w:ascii="Arial" w:eastAsia="Times New Roman" w:hAnsi="Arial" w:cs="Arial"/>
                <w:sz w:val="20"/>
                <w:szCs w:val="20"/>
                <w:lang w:eastAsia="pt-BR"/>
              </w:rPr>
            </w:pPr>
          </w:p>
        </w:tc>
        <w:tc>
          <w:tcPr>
            <w:tcW w:w="2733" w:type="dxa"/>
            <w:tcBorders>
              <w:top w:val="nil"/>
              <w:left w:val="nil"/>
              <w:bottom w:val="single" w:sz="4" w:space="0" w:color="auto"/>
              <w:right w:val="single" w:sz="8" w:space="0" w:color="auto"/>
            </w:tcBorders>
            <w:shd w:val="clear" w:color="auto" w:fill="auto"/>
            <w:vAlign w:val="center"/>
            <w:hideMark/>
          </w:tcPr>
          <w:p w14:paraId="19267973" w14:textId="77777777" w:rsidR="00E963EB" w:rsidRPr="00E963EB" w:rsidRDefault="00E963EB" w:rsidP="00E963EB">
            <w:pPr>
              <w:spacing w:after="0" w:line="240" w:lineRule="auto"/>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t>Obrigatório:</w:t>
            </w:r>
          </w:p>
          <w:p w14:paraId="740DFCD4" w14:textId="77777777" w:rsidR="00E963EB" w:rsidRPr="00E963EB" w:rsidRDefault="00E963EB" w:rsidP="00E963EB">
            <w:pPr>
              <w:spacing w:after="0" w:line="240" w:lineRule="auto"/>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t>1 - Restos a Pagar Não Processados (despesas a liquidar)</w:t>
            </w:r>
          </w:p>
          <w:p w14:paraId="57A938DD" w14:textId="77777777" w:rsidR="00E963EB" w:rsidRPr="00E963EB" w:rsidRDefault="00E963EB" w:rsidP="00E963EB">
            <w:pPr>
              <w:spacing w:after="0" w:line="240" w:lineRule="auto"/>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t xml:space="preserve">2 – Restos a Pagar Não Processados (despesas em liquidação) </w:t>
            </w:r>
            <w:r w:rsidRPr="00E963EB">
              <w:rPr>
                <w:rFonts w:ascii="Arial" w:eastAsia="Times New Roman" w:hAnsi="Arial" w:cs="Arial"/>
                <w:b/>
                <w:sz w:val="20"/>
                <w:szCs w:val="20"/>
                <w:lang w:eastAsia="pt-BR"/>
              </w:rPr>
              <w:t>[3]</w:t>
            </w:r>
          </w:p>
          <w:p w14:paraId="11F76D33" w14:textId="77777777" w:rsidR="00E963EB" w:rsidRPr="00E963EB" w:rsidRDefault="00E963EB" w:rsidP="00E963EB">
            <w:pPr>
              <w:spacing w:after="0" w:line="240" w:lineRule="auto"/>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lastRenderedPageBreak/>
              <w:t>3 – Restos a Pagar Processados (despesas já liquidadas)</w:t>
            </w:r>
          </w:p>
        </w:tc>
      </w:tr>
      <w:tr w:rsidR="00E963EB" w:rsidRPr="00E963EB" w14:paraId="0A29F740" w14:textId="77777777" w:rsidTr="00DD49C9">
        <w:trPr>
          <w:trHeight w:val="315"/>
        </w:trPr>
        <w:tc>
          <w:tcPr>
            <w:tcW w:w="3914" w:type="dxa"/>
            <w:tcBorders>
              <w:top w:val="nil"/>
              <w:left w:val="single" w:sz="8" w:space="0" w:color="auto"/>
              <w:bottom w:val="single" w:sz="8" w:space="0" w:color="auto"/>
              <w:right w:val="single" w:sz="8" w:space="0" w:color="auto"/>
            </w:tcBorders>
            <w:shd w:val="clear" w:color="auto" w:fill="auto"/>
            <w:vAlign w:val="center"/>
            <w:hideMark/>
          </w:tcPr>
          <w:p w14:paraId="11C29394" w14:textId="77777777" w:rsidR="00E963EB" w:rsidRPr="00E963EB" w:rsidRDefault="00E963EB" w:rsidP="00E963EB">
            <w:pPr>
              <w:spacing w:after="0" w:line="240" w:lineRule="auto"/>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lastRenderedPageBreak/>
              <w:t>Saldo Final do Restos a Pagar no  Exercício Anterior (31/12)</w:t>
            </w:r>
          </w:p>
        </w:tc>
        <w:tc>
          <w:tcPr>
            <w:tcW w:w="1225" w:type="dxa"/>
            <w:tcBorders>
              <w:top w:val="nil"/>
              <w:left w:val="nil"/>
              <w:bottom w:val="single" w:sz="8" w:space="0" w:color="auto"/>
              <w:right w:val="single" w:sz="8" w:space="0" w:color="auto"/>
            </w:tcBorders>
            <w:shd w:val="clear" w:color="auto" w:fill="auto"/>
            <w:vAlign w:val="center"/>
            <w:hideMark/>
          </w:tcPr>
          <w:p w14:paraId="70A45AE5" w14:textId="77777777" w:rsidR="00E963EB" w:rsidRPr="00E963EB" w:rsidRDefault="00E963EB" w:rsidP="00E963EB">
            <w:pPr>
              <w:spacing w:after="0" w:line="240" w:lineRule="auto"/>
              <w:jc w:val="center"/>
              <w:rPr>
                <w:rFonts w:ascii="Arial" w:eastAsia="Times New Roman" w:hAnsi="Arial" w:cs="Arial"/>
                <w:sz w:val="20"/>
                <w:szCs w:val="20"/>
                <w:lang w:eastAsia="pt-BR"/>
              </w:rPr>
            </w:pPr>
            <w:r w:rsidRPr="00E963EB">
              <w:rPr>
                <w:rFonts w:ascii="Arial" w:eastAsia="Times New Roman" w:hAnsi="Arial" w:cs="Arial"/>
                <w:sz w:val="20"/>
                <w:szCs w:val="20"/>
                <w:lang w:eastAsia="pt-BR"/>
              </w:rPr>
              <w:t>Decimal</w:t>
            </w:r>
          </w:p>
        </w:tc>
        <w:tc>
          <w:tcPr>
            <w:tcW w:w="1313" w:type="dxa"/>
            <w:tcBorders>
              <w:top w:val="nil"/>
              <w:left w:val="nil"/>
              <w:bottom w:val="single" w:sz="8" w:space="0" w:color="auto"/>
              <w:right w:val="single" w:sz="8" w:space="0" w:color="auto"/>
            </w:tcBorders>
            <w:shd w:val="clear" w:color="auto" w:fill="auto"/>
            <w:vAlign w:val="center"/>
            <w:hideMark/>
          </w:tcPr>
          <w:p w14:paraId="6C4003FE" w14:textId="77777777" w:rsidR="00E963EB" w:rsidRPr="00E963EB" w:rsidRDefault="00E963EB" w:rsidP="00E963EB">
            <w:pPr>
              <w:spacing w:after="0" w:line="240" w:lineRule="auto"/>
              <w:jc w:val="center"/>
              <w:rPr>
                <w:rFonts w:ascii="Arial" w:eastAsia="Times New Roman" w:hAnsi="Arial" w:cs="Arial"/>
                <w:sz w:val="20"/>
                <w:szCs w:val="20"/>
                <w:lang w:eastAsia="pt-BR"/>
              </w:rPr>
            </w:pPr>
            <w:r w:rsidRPr="00E963EB">
              <w:rPr>
                <w:rFonts w:ascii="Arial" w:eastAsia="Times New Roman" w:hAnsi="Arial" w:cs="Arial"/>
                <w:sz w:val="20"/>
                <w:szCs w:val="20"/>
                <w:lang w:eastAsia="pt-BR"/>
              </w:rPr>
              <w:t>14,2</w:t>
            </w:r>
          </w:p>
        </w:tc>
        <w:tc>
          <w:tcPr>
            <w:tcW w:w="2733" w:type="dxa"/>
            <w:tcBorders>
              <w:top w:val="single" w:sz="4" w:space="0" w:color="auto"/>
              <w:left w:val="nil"/>
              <w:bottom w:val="single" w:sz="8" w:space="0" w:color="auto"/>
              <w:right w:val="single" w:sz="8" w:space="0" w:color="auto"/>
            </w:tcBorders>
            <w:shd w:val="clear" w:color="auto" w:fill="auto"/>
            <w:vAlign w:val="center"/>
            <w:hideMark/>
          </w:tcPr>
          <w:p w14:paraId="6EE60A67" w14:textId="77777777" w:rsidR="00E963EB" w:rsidRPr="00E963EB" w:rsidRDefault="00E963EB" w:rsidP="00E963EB">
            <w:pPr>
              <w:spacing w:after="0" w:line="240" w:lineRule="auto"/>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t>Obrigatório</w:t>
            </w:r>
          </w:p>
        </w:tc>
      </w:tr>
      <w:tr w:rsidR="00E963EB" w:rsidRPr="00E963EB" w14:paraId="7E58C15F" w14:textId="77777777" w:rsidTr="00DD49C9">
        <w:trPr>
          <w:trHeight w:val="315"/>
        </w:trPr>
        <w:tc>
          <w:tcPr>
            <w:tcW w:w="3914" w:type="dxa"/>
            <w:tcBorders>
              <w:top w:val="nil"/>
              <w:left w:val="single" w:sz="8" w:space="0" w:color="auto"/>
              <w:bottom w:val="single" w:sz="8" w:space="0" w:color="auto"/>
              <w:right w:val="single" w:sz="8" w:space="0" w:color="auto"/>
            </w:tcBorders>
            <w:shd w:val="clear" w:color="auto" w:fill="auto"/>
            <w:vAlign w:val="center"/>
            <w:hideMark/>
          </w:tcPr>
          <w:p w14:paraId="06FF0009" w14:textId="77777777" w:rsidR="00E963EB" w:rsidRPr="00E963EB" w:rsidRDefault="00E963EB" w:rsidP="00E963EB">
            <w:pPr>
              <w:spacing w:after="0" w:line="240" w:lineRule="auto"/>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t>Inscrições de Restos a Pagar no Exercício</w:t>
            </w:r>
          </w:p>
        </w:tc>
        <w:tc>
          <w:tcPr>
            <w:tcW w:w="1225" w:type="dxa"/>
            <w:tcBorders>
              <w:top w:val="nil"/>
              <w:left w:val="nil"/>
              <w:bottom w:val="single" w:sz="8" w:space="0" w:color="auto"/>
              <w:right w:val="single" w:sz="8" w:space="0" w:color="auto"/>
            </w:tcBorders>
            <w:shd w:val="clear" w:color="auto" w:fill="auto"/>
            <w:vAlign w:val="center"/>
            <w:hideMark/>
          </w:tcPr>
          <w:p w14:paraId="7FB10C11" w14:textId="77777777" w:rsidR="00E963EB" w:rsidRPr="00E963EB" w:rsidRDefault="00E963EB" w:rsidP="00E963EB">
            <w:pPr>
              <w:spacing w:after="0" w:line="240" w:lineRule="auto"/>
              <w:jc w:val="center"/>
              <w:rPr>
                <w:rFonts w:ascii="Arial" w:eastAsia="Times New Roman" w:hAnsi="Arial" w:cs="Arial"/>
                <w:sz w:val="20"/>
                <w:szCs w:val="20"/>
                <w:lang w:eastAsia="pt-BR"/>
              </w:rPr>
            </w:pPr>
            <w:r w:rsidRPr="00E963EB">
              <w:rPr>
                <w:rFonts w:ascii="Arial" w:eastAsia="Times New Roman" w:hAnsi="Arial" w:cs="Arial"/>
                <w:sz w:val="20"/>
                <w:szCs w:val="20"/>
                <w:lang w:eastAsia="pt-BR"/>
              </w:rPr>
              <w:t>Decimal</w:t>
            </w:r>
          </w:p>
        </w:tc>
        <w:tc>
          <w:tcPr>
            <w:tcW w:w="1313" w:type="dxa"/>
            <w:tcBorders>
              <w:top w:val="nil"/>
              <w:left w:val="nil"/>
              <w:bottom w:val="single" w:sz="8" w:space="0" w:color="auto"/>
              <w:right w:val="single" w:sz="8" w:space="0" w:color="auto"/>
            </w:tcBorders>
            <w:shd w:val="clear" w:color="auto" w:fill="auto"/>
            <w:vAlign w:val="center"/>
            <w:hideMark/>
          </w:tcPr>
          <w:p w14:paraId="4628EE39" w14:textId="77777777" w:rsidR="00E963EB" w:rsidRPr="00E963EB" w:rsidRDefault="00E963EB" w:rsidP="00E963EB">
            <w:pPr>
              <w:spacing w:after="0" w:line="240" w:lineRule="auto"/>
              <w:jc w:val="center"/>
              <w:rPr>
                <w:rFonts w:ascii="Arial" w:eastAsia="Times New Roman" w:hAnsi="Arial" w:cs="Arial"/>
                <w:sz w:val="20"/>
                <w:szCs w:val="20"/>
                <w:lang w:eastAsia="pt-BR"/>
              </w:rPr>
            </w:pPr>
            <w:r w:rsidRPr="00E963EB">
              <w:rPr>
                <w:rFonts w:ascii="Arial" w:eastAsia="Times New Roman" w:hAnsi="Arial" w:cs="Arial"/>
                <w:sz w:val="20"/>
                <w:szCs w:val="20"/>
                <w:lang w:eastAsia="pt-BR"/>
              </w:rPr>
              <w:t>14,2</w:t>
            </w:r>
          </w:p>
        </w:tc>
        <w:tc>
          <w:tcPr>
            <w:tcW w:w="2733" w:type="dxa"/>
            <w:tcBorders>
              <w:top w:val="nil"/>
              <w:left w:val="nil"/>
              <w:bottom w:val="single" w:sz="8" w:space="0" w:color="auto"/>
              <w:right w:val="single" w:sz="8" w:space="0" w:color="auto"/>
            </w:tcBorders>
            <w:shd w:val="clear" w:color="auto" w:fill="auto"/>
            <w:vAlign w:val="center"/>
            <w:hideMark/>
          </w:tcPr>
          <w:p w14:paraId="2B47D8E6" w14:textId="77777777" w:rsidR="00E963EB" w:rsidRPr="00E963EB" w:rsidRDefault="00E963EB" w:rsidP="00E963EB">
            <w:pPr>
              <w:spacing w:after="0" w:line="240" w:lineRule="auto"/>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t>Obrigatório</w:t>
            </w:r>
          </w:p>
        </w:tc>
      </w:tr>
      <w:tr w:rsidR="00E963EB" w:rsidRPr="00E963EB" w14:paraId="51A8ECB9" w14:textId="77777777" w:rsidTr="00DD49C9">
        <w:trPr>
          <w:trHeight w:val="315"/>
        </w:trPr>
        <w:tc>
          <w:tcPr>
            <w:tcW w:w="3914" w:type="dxa"/>
            <w:tcBorders>
              <w:top w:val="nil"/>
              <w:left w:val="single" w:sz="8" w:space="0" w:color="auto"/>
              <w:bottom w:val="single" w:sz="8" w:space="0" w:color="auto"/>
              <w:right w:val="single" w:sz="8" w:space="0" w:color="auto"/>
            </w:tcBorders>
            <w:shd w:val="clear" w:color="auto" w:fill="auto"/>
            <w:vAlign w:val="center"/>
            <w:hideMark/>
          </w:tcPr>
          <w:p w14:paraId="2DFF6734" w14:textId="77777777" w:rsidR="00E963EB" w:rsidRPr="00E963EB" w:rsidRDefault="00E963EB" w:rsidP="00E963EB">
            <w:pPr>
              <w:spacing w:after="0" w:line="240" w:lineRule="auto"/>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t>Incorporação/Encampação de Restos a Pagar</w:t>
            </w:r>
          </w:p>
        </w:tc>
        <w:tc>
          <w:tcPr>
            <w:tcW w:w="1225" w:type="dxa"/>
            <w:tcBorders>
              <w:top w:val="nil"/>
              <w:left w:val="nil"/>
              <w:bottom w:val="single" w:sz="8" w:space="0" w:color="auto"/>
              <w:right w:val="single" w:sz="8" w:space="0" w:color="auto"/>
            </w:tcBorders>
            <w:shd w:val="clear" w:color="auto" w:fill="auto"/>
            <w:vAlign w:val="center"/>
            <w:hideMark/>
          </w:tcPr>
          <w:p w14:paraId="3A26FBF3" w14:textId="77777777" w:rsidR="00E963EB" w:rsidRPr="00E963EB" w:rsidRDefault="00E963EB" w:rsidP="00E963EB">
            <w:pPr>
              <w:spacing w:after="0" w:line="240" w:lineRule="auto"/>
              <w:jc w:val="center"/>
              <w:rPr>
                <w:rFonts w:ascii="Arial" w:eastAsia="Times New Roman" w:hAnsi="Arial" w:cs="Arial"/>
                <w:sz w:val="20"/>
                <w:szCs w:val="20"/>
                <w:lang w:eastAsia="pt-BR"/>
              </w:rPr>
            </w:pPr>
            <w:r w:rsidRPr="00E963EB">
              <w:rPr>
                <w:rFonts w:ascii="Arial" w:eastAsia="Times New Roman" w:hAnsi="Arial" w:cs="Arial"/>
                <w:sz w:val="20"/>
                <w:szCs w:val="20"/>
                <w:lang w:eastAsia="pt-BR"/>
              </w:rPr>
              <w:t>Decimal</w:t>
            </w:r>
          </w:p>
        </w:tc>
        <w:tc>
          <w:tcPr>
            <w:tcW w:w="1313" w:type="dxa"/>
            <w:tcBorders>
              <w:top w:val="nil"/>
              <w:left w:val="nil"/>
              <w:bottom w:val="single" w:sz="8" w:space="0" w:color="auto"/>
              <w:right w:val="single" w:sz="8" w:space="0" w:color="auto"/>
            </w:tcBorders>
            <w:shd w:val="clear" w:color="auto" w:fill="auto"/>
            <w:vAlign w:val="center"/>
            <w:hideMark/>
          </w:tcPr>
          <w:p w14:paraId="049C6CC0" w14:textId="77777777" w:rsidR="00E963EB" w:rsidRPr="00E963EB" w:rsidRDefault="00E963EB" w:rsidP="00E963EB">
            <w:pPr>
              <w:spacing w:after="0" w:line="240" w:lineRule="auto"/>
              <w:jc w:val="center"/>
              <w:rPr>
                <w:rFonts w:ascii="Arial" w:eastAsia="Times New Roman" w:hAnsi="Arial" w:cs="Arial"/>
                <w:sz w:val="20"/>
                <w:szCs w:val="20"/>
                <w:lang w:eastAsia="pt-BR"/>
              </w:rPr>
            </w:pPr>
            <w:r w:rsidRPr="00E963EB">
              <w:rPr>
                <w:rFonts w:ascii="Arial" w:eastAsia="Times New Roman" w:hAnsi="Arial" w:cs="Arial"/>
                <w:sz w:val="20"/>
                <w:szCs w:val="20"/>
                <w:lang w:eastAsia="pt-BR"/>
              </w:rPr>
              <w:t>14,2</w:t>
            </w:r>
          </w:p>
        </w:tc>
        <w:tc>
          <w:tcPr>
            <w:tcW w:w="2733" w:type="dxa"/>
            <w:tcBorders>
              <w:top w:val="nil"/>
              <w:left w:val="nil"/>
              <w:bottom w:val="single" w:sz="8" w:space="0" w:color="auto"/>
              <w:right w:val="single" w:sz="8" w:space="0" w:color="auto"/>
            </w:tcBorders>
            <w:shd w:val="clear" w:color="auto" w:fill="auto"/>
            <w:vAlign w:val="center"/>
            <w:hideMark/>
          </w:tcPr>
          <w:p w14:paraId="0004C291" w14:textId="77777777" w:rsidR="00E963EB" w:rsidRPr="00E963EB" w:rsidRDefault="00E963EB" w:rsidP="00E963EB">
            <w:pPr>
              <w:spacing w:after="0" w:line="240" w:lineRule="auto"/>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t>Obrigatório</w:t>
            </w:r>
          </w:p>
        </w:tc>
      </w:tr>
      <w:tr w:rsidR="00E963EB" w:rsidRPr="00E963EB" w14:paraId="553D6BEA" w14:textId="77777777" w:rsidTr="00DD49C9">
        <w:trPr>
          <w:trHeight w:val="315"/>
        </w:trPr>
        <w:tc>
          <w:tcPr>
            <w:tcW w:w="3914" w:type="dxa"/>
            <w:tcBorders>
              <w:top w:val="nil"/>
              <w:left w:val="single" w:sz="8" w:space="0" w:color="auto"/>
              <w:bottom w:val="single" w:sz="8" w:space="0" w:color="auto"/>
              <w:right w:val="single" w:sz="8" w:space="0" w:color="auto"/>
            </w:tcBorders>
            <w:shd w:val="clear" w:color="auto" w:fill="auto"/>
            <w:vAlign w:val="center"/>
            <w:hideMark/>
          </w:tcPr>
          <w:p w14:paraId="588E49F3" w14:textId="77777777" w:rsidR="00E963EB" w:rsidRPr="00E963EB" w:rsidRDefault="00E963EB" w:rsidP="00E963EB">
            <w:pPr>
              <w:spacing w:after="0" w:line="240" w:lineRule="auto"/>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t>Pagamentos do Restos a Pagar</w:t>
            </w:r>
          </w:p>
        </w:tc>
        <w:tc>
          <w:tcPr>
            <w:tcW w:w="1225" w:type="dxa"/>
            <w:tcBorders>
              <w:top w:val="nil"/>
              <w:left w:val="nil"/>
              <w:bottom w:val="single" w:sz="8" w:space="0" w:color="auto"/>
              <w:right w:val="single" w:sz="8" w:space="0" w:color="auto"/>
            </w:tcBorders>
            <w:shd w:val="clear" w:color="auto" w:fill="auto"/>
            <w:vAlign w:val="center"/>
            <w:hideMark/>
          </w:tcPr>
          <w:p w14:paraId="65B7E7AF" w14:textId="77777777" w:rsidR="00E963EB" w:rsidRPr="00E963EB" w:rsidRDefault="00E963EB" w:rsidP="00E963EB">
            <w:pPr>
              <w:spacing w:after="0" w:line="240" w:lineRule="auto"/>
              <w:jc w:val="center"/>
              <w:rPr>
                <w:rFonts w:ascii="Arial" w:eastAsia="Times New Roman" w:hAnsi="Arial" w:cs="Arial"/>
                <w:sz w:val="20"/>
                <w:szCs w:val="20"/>
                <w:lang w:eastAsia="pt-BR"/>
              </w:rPr>
            </w:pPr>
            <w:r w:rsidRPr="00E963EB">
              <w:rPr>
                <w:rFonts w:ascii="Arial" w:eastAsia="Times New Roman" w:hAnsi="Arial" w:cs="Arial"/>
                <w:sz w:val="20"/>
                <w:szCs w:val="20"/>
                <w:lang w:eastAsia="pt-BR"/>
              </w:rPr>
              <w:t>Decimal</w:t>
            </w:r>
          </w:p>
        </w:tc>
        <w:tc>
          <w:tcPr>
            <w:tcW w:w="1313" w:type="dxa"/>
            <w:tcBorders>
              <w:top w:val="nil"/>
              <w:left w:val="nil"/>
              <w:bottom w:val="single" w:sz="8" w:space="0" w:color="auto"/>
              <w:right w:val="single" w:sz="8" w:space="0" w:color="auto"/>
            </w:tcBorders>
            <w:shd w:val="clear" w:color="auto" w:fill="auto"/>
            <w:vAlign w:val="center"/>
            <w:hideMark/>
          </w:tcPr>
          <w:p w14:paraId="5B4020CE" w14:textId="77777777" w:rsidR="00E963EB" w:rsidRPr="00E963EB" w:rsidRDefault="00E963EB" w:rsidP="00E963EB">
            <w:pPr>
              <w:spacing w:after="0" w:line="240" w:lineRule="auto"/>
              <w:jc w:val="center"/>
              <w:rPr>
                <w:rFonts w:ascii="Arial" w:eastAsia="Times New Roman" w:hAnsi="Arial" w:cs="Arial"/>
                <w:sz w:val="20"/>
                <w:szCs w:val="20"/>
                <w:lang w:eastAsia="pt-BR"/>
              </w:rPr>
            </w:pPr>
            <w:r w:rsidRPr="00E963EB">
              <w:rPr>
                <w:rFonts w:ascii="Arial" w:eastAsia="Times New Roman" w:hAnsi="Arial" w:cs="Arial"/>
                <w:sz w:val="20"/>
                <w:szCs w:val="20"/>
                <w:lang w:eastAsia="pt-BR"/>
              </w:rPr>
              <w:t>14,2</w:t>
            </w:r>
          </w:p>
        </w:tc>
        <w:tc>
          <w:tcPr>
            <w:tcW w:w="2733" w:type="dxa"/>
            <w:tcBorders>
              <w:top w:val="nil"/>
              <w:left w:val="nil"/>
              <w:bottom w:val="single" w:sz="8" w:space="0" w:color="auto"/>
              <w:right w:val="single" w:sz="8" w:space="0" w:color="auto"/>
            </w:tcBorders>
            <w:shd w:val="clear" w:color="auto" w:fill="auto"/>
            <w:vAlign w:val="center"/>
            <w:hideMark/>
          </w:tcPr>
          <w:p w14:paraId="46375ED2" w14:textId="77777777" w:rsidR="00E963EB" w:rsidRPr="00E963EB" w:rsidRDefault="00E963EB" w:rsidP="00E963EB">
            <w:pPr>
              <w:spacing w:after="0" w:line="240" w:lineRule="auto"/>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t>Obrigatório</w:t>
            </w:r>
          </w:p>
        </w:tc>
      </w:tr>
      <w:tr w:rsidR="00E963EB" w:rsidRPr="00E963EB" w14:paraId="59CDCDCE" w14:textId="77777777" w:rsidTr="00DD49C9">
        <w:trPr>
          <w:trHeight w:val="315"/>
        </w:trPr>
        <w:tc>
          <w:tcPr>
            <w:tcW w:w="3914" w:type="dxa"/>
            <w:tcBorders>
              <w:top w:val="nil"/>
              <w:left w:val="single" w:sz="8" w:space="0" w:color="auto"/>
              <w:bottom w:val="single" w:sz="8" w:space="0" w:color="auto"/>
              <w:right w:val="single" w:sz="8" w:space="0" w:color="auto"/>
            </w:tcBorders>
            <w:shd w:val="clear" w:color="auto" w:fill="auto"/>
            <w:vAlign w:val="center"/>
            <w:hideMark/>
          </w:tcPr>
          <w:p w14:paraId="3061D0BE" w14:textId="77777777" w:rsidR="00E963EB" w:rsidRPr="00E963EB" w:rsidRDefault="00E963EB" w:rsidP="00E963EB">
            <w:pPr>
              <w:spacing w:after="0" w:line="240" w:lineRule="auto"/>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t>Cancelamentos do Restos a Pagar</w:t>
            </w:r>
          </w:p>
        </w:tc>
        <w:tc>
          <w:tcPr>
            <w:tcW w:w="1225" w:type="dxa"/>
            <w:tcBorders>
              <w:top w:val="nil"/>
              <w:left w:val="nil"/>
              <w:bottom w:val="single" w:sz="8" w:space="0" w:color="auto"/>
              <w:right w:val="single" w:sz="8" w:space="0" w:color="auto"/>
            </w:tcBorders>
            <w:shd w:val="clear" w:color="auto" w:fill="auto"/>
            <w:vAlign w:val="center"/>
            <w:hideMark/>
          </w:tcPr>
          <w:p w14:paraId="3391CF9B" w14:textId="77777777" w:rsidR="00E963EB" w:rsidRPr="00E963EB" w:rsidRDefault="00E963EB" w:rsidP="00E963EB">
            <w:pPr>
              <w:spacing w:after="0" w:line="240" w:lineRule="auto"/>
              <w:jc w:val="center"/>
              <w:rPr>
                <w:rFonts w:ascii="Arial" w:eastAsia="Times New Roman" w:hAnsi="Arial" w:cs="Arial"/>
                <w:sz w:val="20"/>
                <w:szCs w:val="20"/>
                <w:lang w:eastAsia="pt-BR"/>
              </w:rPr>
            </w:pPr>
            <w:r w:rsidRPr="00E963EB">
              <w:rPr>
                <w:rFonts w:ascii="Arial" w:eastAsia="Times New Roman" w:hAnsi="Arial" w:cs="Arial"/>
                <w:sz w:val="20"/>
                <w:szCs w:val="20"/>
                <w:lang w:eastAsia="pt-BR"/>
              </w:rPr>
              <w:t>Decimal</w:t>
            </w:r>
          </w:p>
        </w:tc>
        <w:tc>
          <w:tcPr>
            <w:tcW w:w="1313" w:type="dxa"/>
            <w:tcBorders>
              <w:top w:val="nil"/>
              <w:left w:val="nil"/>
              <w:bottom w:val="single" w:sz="8" w:space="0" w:color="auto"/>
              <w:right w:val="single" w:sz="8" w:space="0" w:color="auto"/>
            </w:tcBorders>
            <w:shd w:val="clear" w:color="auto" w:fill="auto"/>
            <w:vAlign w:val="center"/>
            <w:hideMark/>
          </w:tcPr>
          <w:p w14:paraId="7BD64B31" w14:textId="77777777" w:rsidR="00E963EB" w:rsidRPr="00E963EB" w:rsidRDefault="00E963EB" w:rsidP="00E963EB">
            <w:pPr>
              <w:spacing w:after="0" w:line="240" w:lineRule="auto"/>
              <w:jc w:val="center"/>
              <w:rPr>
                <w:rFonts w:ascii="Arial" w:eastAsia="Times New Roman" w:hAnsi="Arial" w:cs="Arial"/>
                <w:sz w:val="20"/>
                <w:szCs w:val="20"/>
                <w:lang w:eastAsia="pt-BR"/>
              </w:rPr>
            </w:pPr>
            <w:r w:rsidRPr="00E963EB">
              <w:rPr>
                <w:rFonts w:ascii="Arial" w:eastAsia="Times New Roman" w:hAnsi="Arial" w:cs="Arial"/>
                <w:sz w:val="20"/>
                <w:szCs w:val="20"/>
                <w:lang w:eastAsia="pt-BR"/>
              </w:rPr>
              <w:t>14,2</w:t>
            </w:r>
          </w:p>
        </w:tc>
        <w:tc>
          <w:tcPr>
            <w:tcW w:w="2733" w:type="dxa"/>
            <w:tcBorders>
              <w:top w:val="nil"/>
              <w:left w:val="nil"/>
              <w:bottom w:val="single" w:sz="8" w:space="0" w:color="auto"/>
              <w:right w:val="single" w:sz="8" w:space="0" w:color="auto"/>
            </w:tcBorders>
            <w:shd w:val="clear" w:color="auto" w:fill="auto"/>
            <w:vAlign w:val="center"/>
            <w:hideMark/>
          </w:tcPr>
          <w:p w14:paraId="670F877E" w14:textId="77777777" w:rsidR="00E963EB" w:rsidRPr="00E963EB" w:rsidRDefault="00E963EB" w:rsidP="00E963EB">
            <w:pPr>
              <w:spacing w:after="0" w:line="240" w:lineRule="auto"/>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t>Obrigatório</w:t>
            </w:r>
          </w:p>
        </w:tc>
      </w:tr>
      <w:tr w:rsidR="00E963EB" w:rsidRPr="00E963EB" w14:paraId="20C7375F" w14:textId="77777777" w:rsidTr="00DD49C9">
        <w:trPr>
          <w:trHeight w:val="315"/>
        </w:trPr>
        <w:tc>
          <w:tcPr>
            <w:tcW w:w="3914" w:type="dxa"/>
            <w:tcBorders>
              <w:top w:val="nil"/>
              <w:left w:val="single" w:sz="8" w:space="0" w:color="auto"/>
              <w:bottom w:val="single" w:sz="8" w:space="0" w:color="auto"/>
              <w:right w:val="single" w:sz="8" w:space="0" w:color="auto"/>
            </w:tcBorders>
            <w:shd w:val="clear" w:color="auto" w:fill="auto"/>
            <w:vAlign w:val="center"/>
            <w:hideMark/>
          </w:tcPr>
          <w:p w14:paraId="475D3A4B" w14:textId="77777777" w:rsidR="00E963EB" w:rsidRPr="00E963EB" w:rsidRDefault="00E963EB" w:rsidP="00E963EB">
            <w:pPr>
              <w:spacing w:after="0" w:line="240" w:lineRule="auto"/>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t>Outras Baixas do Restos a Pagar</w:t>
            </w:r>
          </w:p>
        </w:tc>
        <w:tc>
          <w:tcPr>
            <w:tcW w:w="1225" w:type="dxa"/>
            <w:tcBorders>
              <w:top w:val="nil"/>
              <w:left w:val="nil"/>
              <w:bottom w:val="single" w:sz="8" w:space="0" w:color="auto"/>
              <w:right w:val="single" w:sz="8" w:space="0" w:color="auto"/>
            </w:tcBorders>
            <w:shd w:val="clear" w:color="auto" w:fill="auto"/>
            <w:vAlign w:val="center"/>
            <w:hideMark/>
          </w:tcPr>
          <w:p w14:paraId="5E921CA5" w14:textId="77777777" w:rsidR="00E963EB" w:rsidRPr="00E963EB" w:rsidRDefault="00E963EB" w:rsidP="00E963EB">
            <w:pPr>
              <w:spacing w:after="0" w:line="240" w:lineRule="auto"/>
              <w:jc w:val="center"/>
              <w:rPr>
                <w:rFonts w:ascii="Arial" w:eastAsia="Times New Roman" w:hAnsi="Arial" w:cs="Arial"/>
                <w:sz w:val="20"/>
                <w:szCs w:val="20"/>
                <w:lang w:eastAsia="pt-BR"/>
              </w:rPr>
            </w:pPr>
            <w:r w:rsidRPr="00E963EB">
              <w:rPr>
                <w:rFonts w:ascii="Arial" w:eastAsia="Times New Roman" w:hAnsi="Arial" w:cs="Arial"/>
                <w:sz w:val="20"/>
                <w:szCs w:val="20"/>
                <w:lang w:eastAsia="pt-BR"/>
              </w:rPr>
              <w:t>Decimal</w:t>
            </w:r>
          </w:p>
        </w:tc>
        <w:tc>
          <w:tcPr>
            <w:tcW w:w="1313" w:type="dxa"/>
            <w:tcBorders>
              <w:top w:val="nil"/>
              <w:left w:val="nil"/>
              <w:bottom w:val="single" w:sz="8" w:space="0" w:color="auto"/>
              <w:right w:val="single" w:sz="8" w:space="0" w:color="auto"/>
            </w:tcBorders>
            <w:shd w:val="clear" w:color="auto" w:fill="auto"/>
            <w:vAlign w:val="center"/>
            <w:hideMark/>
          </w:tcPr>
          <w:p w14:paraId="2661D822" w14:textId="77777777" w:rsidR="00E963EB" w:rsidRPr="00E963EB" w:rsidRDefault="00E963EB" w:rsidP="00E963EB">
            <w:pPr>
              <w:spacing w:after="0" w:line="240" w:lineRule="auto"/>
              <w:jc w:val="center"/>
              <w:rPr>
                <w:rFonts w:ascii="Arial" w:eastAsia="Times New Roman" w:hAnsi="Arial" w:cs="Arial"/>
                <w:sz w:val="20"/>
                <w:szCs w:val="20"/>
                <w:lang w:eastAsia="pt-BR"/>
              </w:rPr>
            </w:pPr>
            <w:r w:rsidRPr="00E963EB">
              <w:rPr>
                <w:rFonts w:ascii="Arial" w:eastAsia="Times New Roman" w:hAnsi="Arial" w:cs="Arial"/>
                <w:sz w:val="20"/>
                <w:szCs w:val="20"/>
                <w:lang w:eastAsia="pt-BR"/>
              </w:rPr>
              <w:t>14,2</w:t>
            </w:r>
          </w:p>
        </w:tc>
        <w:tc>
          <w:tcPr>
            <w:tcW w:w="2733" w:type="dxa"/>
            <w:tcBorders>
              <w:top w:val="nil"/>
              <w:left w:val="nil"/>
              <w:bottom w:val="single" w:sz="8" w:space="0" w:color="auto"/>
              <w:right w:val="single" w:sz="8" w:space="0" w:color="auto"/>
            </w:tcBorders>
            <w:shd w:val="clear" w:color="auto" w:fill="auto"/>
            <w:vAlign w:val="center"/>
            <w:hideMark/>
          </w:tcPr>
          <w:p w14:paraId="12AD634D" w14:textId="77777777" w:rsidR="00E963EB" w:rsidRPr="00E963EB" w:rsidRDefault="00E963EB" w:rsidP="00E963EB">
            <w:pPr>
              <w:spacing w:after="0" w:line="240" w:lineRule="auto"/>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t>Obrigatório</w:t>
            </w:r>
          </w:p>
        </w:tc>
      </w:tr>
      <w:tr w:rsidR="00E963EB" w:rsidRPr="00E963EB" w14:paraId="610A28D2" w14:textId="77777777" w:rsidTr="00DD49C9">
        <w:trPr>
          <w:trHeight w:val="315"/>
        </w:trPr>
        <w:tc>
          <w:tcPr>
            <w:tcW w:w="3914" w:type="dxa"/>
            <w:tcBorders>
              <w:top w:val="nil"/>
              <w:left w:val="single" w:sz="8" w:space="0" w:color="auto"/>
              <w:bottom w:val="single" w:sz="8" w:space="0" w:color="auto"/>
              <w:right w:val="single" w:sz="8" w:space="0" w:color="auto"/>
            </w:tcBorders>
            <w:shd w:val="clear" w:color="auto" w:fill="auto"/>
            <w:vAlign w:val="center"/>
            <w:hideMark/>
          </w:tcPr>
          <w:p w14:paraId="15A40C69" w14:textId="77777777" w:rsidR="00E963EB" w:rsidRPr="00E963EB" w:rsidRDefault="00E963EB" w:rsidP="00E963EB">
            <w:pPr>
              <w:spacing w:after="0" w:line="240" w:lineRule="auto"/>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t>Saldo Final do Restos a Pagar no  Exercício Atual (31/12)</w:t>
            </w:r>
          </w:p>
        </w:tc>
        <w:tc>
          <w:tcPr>
            <w:tcW w:w="1225" w:type="dxa"/>
            <w:tcBorders>
              <w:top w:val="nil"/>
              <w:left w:val="nil"/>
              <w:bottom w:val="single" w:sz="8" w:space="0" w:color="auto"/>
              <w:right w:val="single" w:sz="8" w:space="0" w:color="auto"/>
            </w:tcBorders>
            <w:shd w:val="clear" w:color="auto" w:fill="auto"/>
            <w:vAlign w:val="center"/>
            <w:hideMark/>
          </w:tcPr>
          <w:p w14:paraId="517CC3E7" w14:textId="77777777" w:rsidR="00E963EB" w:rsidRPr="00E963EB" w:rsidRDefault="00E963EB" w:rsidP="00E963EB">
            <w:pPr>
              <w:spacing w:after="0" w:line="240" w:lineRule="auto"/>
              <w:jc w:val="center"/>
              <w:rPr>
                <w:rFonts w:ascii="Arial" w:eastAsia="Times New Roman" w:hAnsi="Arial" w:cs="Arial"/>
                <w:sz w:val="20"/>
                <w:szCs w:val="20"/>
                <w:lang w:eastAsia="pt-BR"/>
              </w:rPr>
            </w:pPr>
            <w:r w:rsidRPr="00E963EB">
              <w:rPr>
                <w:rFonts w:ascii="Arial" w:eastAsia="Times New Roman" w:hAnsi="Arial" w:cs="Arial"/>
                <w:sz w:val="20"/>
                <w:szCs w:val="20"/>
                <w:lang w:eastAsia="pt-BR"/>
              </w:rPr>
              <w:t>Decimal</w:t>
            </w:r>
          </w:p>
        </w:tc>
        <w:tc>
          <w:tcPr>
            <w:tcW w:w="1313" w:type="dxa"/>
            <w:tcBorders>
              <w:top w:val="nil"/>
              <w:left w:val="nil"/>
              <w:bottom w:val="single" w:sz="8" w:space="0" w:color="auto"/>
              <w:right w:val="single" w:sz="8" w:space="0" w:color="auto"/>
            </w:tcBorders>
            <w:shd w:val="clear" w:color="auto" w:fill="auto"/>
            <w:vAlign w:val="center"/>
            <w:hideMark/>
          </w:tcPr>
          <w:p w14:paraId="3A7451C1" w14:textId="77777777" w:rsidR="00E963EB" w:rsidRPr="00E963EB" w:rsidRDefault="00E963EB" w:rsidP="00E963EB">
            <w:pPr>
              <w:spacing w:after="0" w:line="240" w:lineRule="auto"/>
              <w:jc w:val="center"/>
              <w:rPr>
                <w:rFonts w:ascii="Arial" w:eastAsia="Times New Roman" w:hAnsi="Arial" w:cs="Arial"/>
                <w:sz w:val="20"/>
                <w:szCs w:val="20"/>
                <w:lang w:eastAsia="pt-BR"/>
              </w:rPr>
            </w:pPr>
            <w:r w:rsidRPr="00E963EB">
              <w:rPr>
                <w:rFonts w:ascii="Arial" w:eastAsia="Times New Roman" w:hAnsi="Arial" w:cs="Arial"/>
                <w:sz w:val="20"/>
                <w:szCs w:val="20"/>
                <w:lang w:eastAsia="pt-BR"/>
              </w:rPr>
              <w:t>14,2</w:t>
            </w:r>
          </w:p>
        </w:tc>
        <w:tc>
          <w:tcPr>
            <w:tcW w:w="2733" w:type="dxa"/>
            <w:tcBorders>
              <w:top w:val="nil"/>
              <w:left w:val="nil"/>
              <w:bottom w:val="single" w:sz="8" w:space="0" w:color="auto"/>
              <w:right w:val="single" w:sz="8" w:space="0" w:color="auto"/>
            </w:tcBorders>
            <w:shd w:val="clear" w:color="auto" w:fill="auto"/>
            <w:vAlign w:val="center"/>
            <w:hideMark/>
          </w:tcPr>
          <w:p w14:paraId="1B7134FA" w14:textId="77777777" w:rsidR="00E963EB" w:rsidRPr="00E963EB" w:rsidRDefault="00E963EB" w:rsidP="00E963EB">
            <w:pPr>
              <w:spacing w:after="0" w:line="240" w:lineRule="auto"/>
              <w:jc w:val="both"/>
              <w:rPr>
                <w:rFonts w:ascii="Arial" w:eastAsia="Times New Roman" w:hAnsi="Arial" w:cs="Arial"/>
                <w:sz w:val="20"/>
                <w:szCs w:val="20"/>
                <w:lang w:eastAsia="pt-BR"/>
              </w:rPr>
            </w:pPr>
            <w:r w:rsidRPr="00E963EB">
              <w:rPr>
                <w:rFonts w:ascii="Arial" w:eastAsia="Times New Roman" w:hAnsi="Arial" w:cs="Arial"/>
                <w:sz w:val="20"/>
                <w:szCs w:val="20"/>
                <w:lang w:eastAsia="pt-BR"/>
              </w:rPr>
              <w:t>Obrigatório</w:t>
            </w:r>
          </w:p>
        </w:tc>
      </w:tr>
    </w:tbl>
    <w:p w14:paraId="5DCCDD80" w14:textId="77777777" w:rsidR="00EE0371" w:rsidRPr="00EE0371" w:rsidRDefault="00EE0371" w:rsidP="00EE0371">
      <w:pPr>
        <w:spacing w:after="0" w:line="240" w:lineRule="auto"/>
        <w:rPr>
          <w:rFonts w:ascii="Arial" w:eastAsia="Times New Roman" w:hAnsi="Arial" w:cs="Arial"/>
          <w:color w:val="000000"/>
          <w:sz w:val="20"/>
          <w:szCs w:val="20"/>
          <w:lang w:eastAsia="pt-BR"/>
        </w:rPr>
      </w:pPr>
    </w:p>
    <w:p w14:paraId="175A4FD8" w14:textId="77777777" w:rsidR="00501D18" w:rsidRPr="007C7E57" w:rsidRDefault="00501D18" w:rsidP="00501D18">
      <w:pPr>
        <w:spacing w:after="0" w:line="240" w:lineRule="auto"/>
        <w:ind w:right="-285"/>
        <w:jc w:val="both"/>
        <w:rPr>
          <w:rFonts w:ascii="Arial" w:hAnsi="Arial" w:cs="Arial"/>
          <w:b/>
          <w:sz w:val="18"/>
          <w:szCs w:val="18"/>
          <w:lang w:eastAsia="pt-BR"/>
        </w:rPr>
      </w:pPr>
      <w:r w:rsidRPr="007C7E57">
        <w:rPr>
          <w:rFonts w:ascii="Arial" w:hAnsi="Arial" w:cs="Arial"/>
          <w:b/>
          <w:sz w:val="18"/>
          <w:szCs w:val="18"/>
        </w:rPr>
        <w:t>Obs.:</w:t>
      </w:r>
      <w:r w:rsidRPr="007C7E57">
        <w:rPr>
          <w:rFonts w:ascii="Arial" w:hAnsi="Arial" w:cs="Arial"/>
          <w:sz w:val="18"/>
          <w:szCs w:val="18"/>
        </w:rPr>
        <w:t xml:space="preserve"> Somente serão aceitos valores positivos.</w:t>
      </w:r>
    </w:p>
    <w:p w14:paraId="7EB5CADC" w14:textId="77777777" w:rsidR="00501D18" w:rsidRPr="007C7E57" w:rsidRDefault="00501D18" w:rsidP="00EE0371">
      <w:pPr>
        <w:spacing w:after="0" w:line="240" w:lineRule="auto"/>
        <w:ind w:right="-1"/>
        <w:jc w:val="both"/>
        <w:rPr>
          <w:rFonts w:ascii="Arial" w:hAnsi="Arial" w:cs="Arial"/>
          <w:b/>
          <w:sz w:val="18"/>
          <w:szCs w:val="18"/>
          <w:lang w:eastAsia="pt-BR"/>
        </w:rPr>
      </w:pPr>
    </w:p>
    <w:p w14:paraId="1F345F5F" w14:textId="7D17D6FB" w:rsidR="00EE0371" w:rsidRDefault="00EE0371" w:rsidP="00EE0371">
      <w:pPr>
        <w:spacing w:after="0" w:line="240" w:lineRule="auto"/>
        <w:ind w:right="-1"/>
        <w:jc w:val="both"/>
        <w:rPr>
          <w:rFonts w:ascii="Arial" w:hAnsi="Arial" w:cs="Arial"/>
          <w:sz w:val="18"/>
          <w:szCs w:val="18"/>
          <w:lang w:eastAsia="pt-BR"/>
        </w:rPr>
      </w:pPr>
      <w:r w:rsidRPr="00E963EB">
        <w:rPr>
          <w:rFonts w:ascii="Arial" w:hAnsi="Arial" w:cs="Arial"/>
          <w:b/>
          <w:sz w:val="18"/>
          <w:szCs w:val="18"/>
          <w:lang w:eastAsia="pt-BR"/>
        </w:rPr>
        <w:t>[1]</w:t>
      </w:r>
      <w:r w:rsidRPr="00E963EB">
        <w:rPr>
          <w:rFonts w:ascii="Arial" w:hAnsi="Arial"/>
          <w:sz w:val="18"/>
          <w:szCs w:val="18"/>
        </w:rPr>
        <w:t xml:space="preserve"> </w:t>
      </w:r>
      <w:r w:rsidRPr="00E963EB">
        <w:rPr>
          <w:rFonts w:ascii="Arial" w:hAnsi="Arial" w:cs="Arial"/>
          <w:sz w:val="18"/>
          <w:szCs w:val="18"/>
          <w:lang w:eastAsia="pt-BR"/>
        </w:rPr>
        <w:t xml:space="preserve">As Tabelas Auxiliares encontram-se no Anexo </w:t>
      </w:r>
      <w:r w:rsidR="005A1734" w:rsidRPr="00E963EB">
        <w:rPr>
          <w:rFonts w:ascii="Arial" w:hAnsi="Arial" w:cs="Arial"/>
          <w:sz w:val="18"/>
          <w:szCs w:val="18"/>
          <w:lang w:eastAsia="pt-BR"/>
        </w:rPr>
        <w:t>IV da presente</w:t>
      </w:r>
      <w:r w:rsidRPr="00E963EB">
        <w:rPr>
          <w:rFonts w:ascii="Arial" w:hAnsi="Arial" w:cs="Arial"/>
          <w:sz w:val="18"/>
          <w:szCs w:val="18"/>
          <w:lang w:eastAsia="pt-BR"/>
        </w:rPr>
        <w:t xml:space="preserve"> Instrução Normativa</w:t>
      </w:r>
      <w:r w:rsidR="005A1734" w:rsidRPr="00E963EB">
        <w:rPr>
          <w:rFonts w:ascii="Arial" w:hAnsi="Arial" w:cs="Arial"/>
          <w:sz w:val="18"/>
          <w:szCs w:val="18"/>
          <w:lang w:eastAsia="pt-BR"/>
        </w:rPr>
        <w:t>.</w:t>
      </w:r>
    </w:p>
    <w:p w14:paraId="169F540C" w14:textId="77777777" w:rsidR="00B73D5F" w:rsidRPr="00E963EB" w:rsidRDefault="00B73D5F" w:rsidP="00EE0371">
      <w:pPr>
        <w:spacing w:after="0" w:line="240" w:lineRule="auto"/>
        <w:ind w:right="-1"/>
        <w:jc w:val="both"/>
        <w:rPr>
          <w:rFonts w:ascii="Arial" w:hAnsi="Arial" w:cs="Arial"/>
          <w:sz w:val="18"/>
          <w:szCs w:val="18"/>
          <w:lang w:eastAsia="pt-BR"/>
        </w:rPr>
      </w:pPr>
    </w:p>
    <w:p w14:paraId="7B45F7A7" w14:textId="089CB29C" w:rsidR="00E963EB" w:rsidRPr="00E963EB" w:rsidRDefault="00E963EB" w:rsidP="00E963EB">
      <w:pPr>
        <w:spacing w:after="0" w:line="240" w:lineRule="auto"/>
        <w:ind w:right="-1"/>
        <w:jc w:val="both"/>
        <w:rPr>
          <w:rFonts w:ascii="Arial" w:hAnsi="Arial" w:cs="Arial"/>
          <w:sz w:val="18"/>
          <w:szCs w:val="18"/>
          <w:lang w:eastAsia="pt-BR"/>
        </w:rPr>
      </w:pPr>
      <w:r w:rsidRPr="00E963EB">
        <w:rPr>
          <w:rFonts w:ascii="Arial" w:hAnsi="Arial" w:cs="Arial"/>
          <w:b/>
          <w:sz w:val="18"/>
          <w:szCs w:val="18"/>
          <w:lang w:eastAsia="pt-BR"/>
        </w:rPr>
        <w:t>[2]</w:t>
      </w:r>
      <w:r w:rsidRPr="00E963EB">
        <w:rPr>
          <w:rFonts w:ascii="Arial" w:hAnsi="Arial"/>
          <w:sz w:val="18"/>
          <w:szCs w:val="18"/>
        </w:rPr>
        <w:t xml:space="preserve"> </w:t>
      </w:r>
      <w:r w:rsidRPr="00E963EB">
        <w:rPr>
          <w:rFonts w:ascii="Arial" w:hAnsi="Arial" w:cs="Arial"/>
          <w:sz w:val="18"/>
          <w:szCs w:val="18"/>
          <w:lang w:eastAsia="pt-BR"/>
        </w:rPr>
        <w:t>Quando não existir contrato, convênio a conceder, acordo, ajuste</w:t>
      </w:r>
      <w:r w:rsidR="00B73D5F">
        <w:rPr>
          <w:rFonts w:ascii="Arial" w:hAnsi="Arial" w:cs="Arial"/>
          <w:sz w:val="18"/>
          <w:szCs w:val="18"/>
          <w:lang w:eastAsia="pt-BR"/>
        </w:rPr>
        <w:t>, o</w:t>
      </w:r>
      <w:r w:rsidRPr="00E963EB">
        <w:rPr>
          <w:rFonts w:ascii="Arial" w:hAnsi="Arial" w:cs="Arial"/>
          <w:sz w:val="18"/>
          <w:szCs w:val="18"/>
          <w:lang w:eastAsia="pt-BR"/>
        </w:rPr>
        <w:t xml:space="preserve">utro instrumento congênere </w:t>
      </w:r>
      <w:r w:rsidR="00B73D5F">
        <w:rPr>
          <w:rFonts w:ascii="Arial" w:hAnsi="Arial" w:cs="Arial"/>
          <w:sz w:val="18"/>
          <w:szCs w:val="18"/>
          <w:lang w:eastAsia="pt-BR"/>
        </w:rPr>
        <w:t xml:space="preserve">e seus respectivos aditivos </w:t>
      </w:r>
      <w:r w:rsidRPr="00E963EB">
        <w:rPr>
          <w:rFonts w:ascii="Arial" w:hAnsi="Arial" w:cs="Arial"/>
          <w:sz w:val="18"/>
          <w:szCs w:val="18"/>
          <w:lang w:eastAsia="pt-BR"/>
        </w:rPr>
        <w:t>para o referido empenho inscrito em Restos a Pagar, informar o Número do Ato Administrativo 0000000000000000 e Ano do Ato Administrativo 0000, neste caso os demais campos referentes ao Ato Administrativo serão opcionais.</w:t>
      </w:r>
    </w:p>
    <w:p w14:paraId="373B8652" w14:textId="140E14F0" w:rsidR="00EE0371" w:rsidRPr="00E963EB" w:rsidRDefault="00EE0371" w:rsidP="00EE0371">
      <w:pPr>
        <w:spacing w:after="0" w:line="240" w:lineRule="auto"/>
        <w:ind w:right="-1"/>
        <w:jc w:val="both"/>
        <w:rPr>
          <w:rFonts w:ascii="Arial" w:hAnsi="Arial" w:cs="Arial"/>
          <w:sz w:val="18"/>
          <w:szCs w:val="18"/>
          <w:lang w:eastAsia="pt-BR"/>
        </w:rPr>
      </w:pPr>
      <w:r w:rsidRPr="00E963EB">
        <w:rPr>
          <w:rFonts w:ascii="Arial" w:hAnsi="Arial" w:cs="Arial"/>
          <w:sz w:val="18"/>
          <w:szCs w:val="18"/>
          <w:lang w:eastAsia="pt-BR"/>
        </w:rPr>
        <w:t>.</w:t>
      </w:r>
    </w:p>
    <w:p w14:paraId="019CC438" w14:textId="77777777" w:rsidR="00501D18" w:rsidRPr="007C7E57" w:rsidRDefault="00501D18" w:rsidP="00501D18">
      <w:pPr>
        <w:spacing w:after="0" w:line="240" w:lineRule="auto"/>
        <w:jc w:val="both"/>
        <w:rPr>
          <w:rFonts w:ascii="Arial" w:hAnsi="Arial" w:cs="Arial"/>
          <w:sz w:val="18"/>
          <w:szCs w:val="18"/>
        </w:rPr>
      </w:pPr>
      <w:r w:rsidRPr="007C7E57">
        <w:rPr>
          <w:rFonts w:ascii="Arial" w:hAnsi="Arial" w:cs="Arial"/>
          <w:b/>
          <w:sz w:val="18"/>
          <w:szCs w:val="18"/>
        </w:rPr>
        <w:t>[3]</w:t>
      </w:r>
      <w:r w:rsidRPr="007C7E57">
        <w:rPr>
          <w:rFonts w:ascii="Arial" w:hAnsi="Arial" w:cs="Arial"/>
          <w:sz w:val="18"/>
          <w:szCs w:val="18"/>
        </w:rPr>
        <w:t xml:space="preserve"> Conforme Manual de Contabilidade Aplicada ao Setor Público - MCASP (7ª edição), existem dois tipos de restos a pagar: os processados (despesas já liquidadas) e os não processados (despesas a liquidar ou em liquidação). Ressalta-se que o PCASP incluiu a fase da execução da despesa – “em liquidação”, que busca o registro contábil no patrimônio de acordo com a ocorrência do fato gerador, não do empenho. Essa regra possibilita a separação entre os empenhos não liquidados que possuem fato gerador dos que não possuem, evitando assim a dupla contagem para fins de apuração do passivo financeiro. Quanto aos demais lançamentos no sistema orçamentário e de controle, permanecem conforme a Lei nº 4.320/1964. O passivo financeiro é calculado a partir das contas crédito empenhado a liquidar e contas do passivo que representem obrigações independentes de autorização orçamentária para serem realizadas. Ao se iniciar o processo de execução da despesa orçamentária, caso se tenha ciência da ocorrência do fato gerador, a conta crédito empenhado a liquidar deve ser debitada em contrapartida da conta crédito empenhado em liquidação no montante correspondente à obrigação já existente no passivo. [...] Caso esse procedimento não seja feito, o passivo financeiro será contado duplamente, pois seu montante será considerado tanto na conta crédito empenhado a liquidar (tendo em vista a liquidação muitas vezes ocorrer somente depois de certo prazo de ocorrido o fato gerador) quanto na conta de obrigação anteriormente contabilizada no passivo exigível (o passivo exigível é afetado imediatamente com a ocorrência do fato gerador).</w:t>
      </w:r>
    </w:p>
    <w:p w14:paraId="7620564E" w14:textId="77777777" w:rsidR="00501D18" w:rsidRPr="007C7E57" w:rsidRDefault="00501D18" w:rsidP="00EE0371">
      <w:pPr>
        <w:spacing w:after="0" w:line="240" w:lineRule="auto"/>
        <w:ind w:right="-1"/>
        <w:jc w:val="both"/>
        <w:rPr>
          <w:rFonts w:ascii="Arial" w:hAnsi="Arial" w:cs="Arial"/>
          <w:sz w:val="18"/>
          <w:szCs w:val="18"/>
          <w:lang w:eastAsia="pt-BR"/>
        </w:rPr>
      </w:pPr>
    </w:p>
    <w:p w14:paraId="519BF6DB" w14:textId="77777777" w:rsidR="00EE0371" w:rsidRPr="00EE0371" w:rsidRDefault="00EE0371" w:rsidP="00EE0371">
      <w:pPr>
        <w:rPr>
          <w:rFonts w:ascii="Arial" w:hAnsi="Arial" w:cs="Arial"/>
          <w:b/>
          <w:sz w:val="28"/>
          <w:highlight w:val="red"/>
        </w:rPr>
      </w:pPr>
    </w:p>
    <w:p w14:paraId="675A12FD" w14:textId="6EEC4B2D" w:rsidR="00EE0371" w:rsidRPr="00EE0371" w:rsidRDefault="00EE0371" w:rsidP="00A60EA7">
      <w:pPr>
        <w:pStyle w:val="Ttulo3"/>
      </w:pPr>
      <w:bookmarkStart w:id="44" w:name="_Toc94806320"/>
      <w:r w:rsidRPr="00EE0371">
        <w:t>TVDISP.XML (ou TermoVerificacaoDisponibilidade.xml)</w:t>
      </w:r>
      <w:bookmarkEnd w:id="44"/>
    </w:p>
    <w:p w14:paraId="05974F2D" w14:textId="6B81A024" w:rsidR="000F070E" w:rsidRPr="000F070E" w:rsidRDefault="00EE0371" w:rsidP="000F070E">
      <w:pPr>
        <w:spacing w:after="0" w:line="360" w:lineRule="auto"/>
        <w:jc w:val="both"/>
        <w:rPr>
          <w:rFonts w:ascii="Arial" w:hAnsi="Arial"/>
          <w:b/>
          <w:bCs/>
          <w:sz w:val="20"/>
          <w:szCs w:val="20"/>
        </w:rPr>
      </w:pPr>
      <w:r w:rsidRPr="00EE0371">
        <w:rPr>
          <w:rFonts w:ascii="Arial" w:hAnsi="Arial"/>
          <w:b/>
          <w:bCs/>
        </w:rPr>
        <w:t>Descrição: </w:t>
      </w:r>
      <w:r w:rsidR="000F070E" w:rsidRPr="000F070E">
        <w:rPr>
          <w:rFonts w:ascii="Arial" w:hAnsi="Arial"/>
          <w:bCs/>
        </w:rPr>
        <w:t>Este arquivo conterá as informações bancárias, contábeis e as respectivas conciliações bancárias.</w:t>
      </w:r>
    </w:p>
    <w:p w14:paraId="18C52DF8" w14:textId="77777777" w:rsidR="00EE0371" w:rsidRPr="00EE0371" w:rsidRDefault="00EE0371" w:rsidP="00EE0371">
      <w:pPr>
        <w:autoSpaceDE w:val="0"/>
        <w:autoSpaceDN w:val="0"/>
        <w:adjustRightInd w:val="0"/>
        <w:spacing w:after="0" w:line="240" w:lineRule="auto"/>
        <w:jc w:val="both"/>
        <w:rPr>
          <w:rFonts w:ascii="Arial" w:hAnsi="Arial"/>
          <w:b/>
          <w:bCs/>
        </w:rPr>
      </w:pPr>
    </w:p>
    <w:p w14:paraId="5F81348B" w14:textId="77777777" w:rsidR="00EE0371" w:rsidRPr="00EE0371" w:rsidRDefault="00EE0371" w:rsidP="00EE0371">
      <w:pPr>
        <w:rPr>
          <w:rFonts w:ascii="Arial" w:hAnsi="Arial" w:cs="Arial"/>
          <w:b/>
          <w:sz w:val="28"/>
          <w:highlight w:val="red"/>
        </w:rPr>
      </w:pPr>
      <w:r w:rsidRPr="00EE0371">
        <w:rPr>
          <w:rFonts w:ascii="Arial" w:hAnsi="Arial"/>
          <w:b/>
          <w:bCs/>
        </w:rPr>
        <w:t>Estrutura:</w:t>
      </w:r>
    </w:p>
    <w:p w14:paraId="7AC9B433" w14:textId="77777777" w:rsidR="00EE0371" w:rsidRPr="00EE0371" w:rsidRDefault="00EE0371" w:rsidP="00EE0371">
      <w:pPr>
        <w:spacing w:after="0" w:line="240" w:lineRule="auto"/>
        <w:jc w:val="both"/>
        <w:rPr>
          <w:rFonts w:ascii="Arial" w:eastAsia="Times New Roman" w:hAnsi="Arial" w:cs="Arial"/>
          <w:color w:val="000000"/>
          <w:sz w:val="20"/>
          <w:szCs w:val="20"/>
          <w:lang w:eastAsia="pt-BR"/>
        </w:rPr>
      </w:pPr>
      <w:r w:rsidRPr="00EE0371">
        <w:rPr>
          <w:rFonts w:ascii="Arial" w:eastAsia="Times New Roman" w:hAnsi="Arial" w:cs="Arial"/>
          <w:color w:val="000000"/>
          <w:sz w:val="20"/>
          <w:szCs w:val="20"/>
          <w:lang w:eastAsia="pt-BR"/>
        </w:rPr>
        <w:t>&lt;?xml version="1.0" encoding=“UTF-8”?&gt;</w:t>
      </w:r>
    </w:p>
    <w:p w14:paraId="27130476" w14:textId="77777777" w:rsidR="00EE0371" w:rsidRPr="00EE0371" w:rsidRDefault="00EE0371" w:rsidP="00EE0371">
      <w:pPr>
        <w:spacing w:after="0" w:line="240" w:lineRule="auto"/>
        <w:jc w:val="both"/>
        <w:rPr>
          <w:rFonts w:ascii="Arial" w:eastAsia="Times New Roman" w:hAnsi="Arial" w:cs="Arial"/>
          <w:color w:val="000000"/>
          <w:sz w:val="20"/>
          <w:szCs w:val="20"/>
          <w:lang w:eastAsia="pt-BR"/>
        </w:rPr>
      </w:pPr>
      <w:r w:rsidRPr="00EE0371">
        <w:rPr>
          <w:rFonts w:ascii="Arial" w:eastAsia="Times New Roman" w:hAnsi="Arial" w:cs="Arial"/>
          <w:color w:val="000000"/>
          <w:sz w:val="20"/>
          <w:szCs w:val="20"/>
          <w:lang w:eastAsia="pt-BR"/>
        </w:rPr>
        <w:t>&lt;PrestacaoContasAnual&gt;</w:t>
      </w:r>
    </w:p>
    <w:p w14:paraId="1F9EE721" w14:textId="77777777" w:rsidR="00EE0371" w:rsidRPr="00EE0371" w:rsidRDefault="00EE0371" w:rsidP="00EE0371">
      <w:pPr>
        <w:spacing w:after="0" w:line="240" w:lineRule="auto"/>
        <w:ind w:left="567"/>
        <w:jc w:val="both"/>
        <w:rPr>
          <w:rFonts w:ascii="Arial" w:eastAsia="Times New Roman" w:hAnsi="Arial" w:cs="Arial"/>
          <w:color w:val="000000"/>
          <w:sz w:val="20"/>
          <w:szCs w:val="20"/>
          <w:lang w:eastAsia="pt-BR"/>
        </w:rPr>
      </w:pPr>
      <w:r w:rsidRPr="00EE0371">
        <w:rPr>
          <w:rFonts w:ascii="Arial" w:eastAsia="Times New Roman" w:hAnsi="Arial" w:cs="Arial"/>
          <w:color w:val="000000"/>
          <w:sz w:val="20"/>
          <w:szCs w:val="20"/>
          <w:lang w:eastAsia="pt-BR"/>
        </w:rPr>
        <w:t>&lt;TermoVerificacaoDisponibilidadeFinanceira_Schema&gt;</w:t>
      </w:r>
    </w:p>
    <w:p w14:paraId="2E15A2AC" w14:textId="77777777" w:rsidR="00EE0371" w:rsidRPr="00EE0371" w:rsidRDefault="00EE0371" w:rsidP="00EE0371">
      <w:pPr>
        <w:spacing w:after="0" w:line="240" w:lineRule="auto"/>
        <w:ind w:firstLineChars="500" w:firstLine="1000"/>
        <w:rPr>
          <w:rFonts w:ascii="Arial" w:eastAsia="Times New Roman" w:hAnsi="Arial" w:cs="Arial"/>
          <w:color w:val="000000"/>
          <w:sz w:val="20"/>
          <w:szCs w:val="20"/>
          <w:lang w:eastAsia="pt-BR"/>
        </w:rPr>
      </w:pPr>
    </w:p>
    <w:p w14:paraId="0F0E777B" w14:textId="77777777" w:rsidR="00EE0371" w:rsidRPr="00EE0371" w:rsidRDefault="00EE0371" w:rsidP="00EE0371">
      <w:pPr>
        <w:spacing w:after="0" w:line="240" w:lineRule="auto"/>
        <w:ind w:firstLineChars="500" w:firstLine="1000"/>
        <w:rPr>
          <w:rFonts w:ascii="Arial" w:eastAsia="Times New Roman" w:hAnsi="Arial" w:cs="Arial"/>
          <w:color w:val="000000"/>
          <w:sz w:val="20"/>
          <w:szCs w:val="20"/>
          <w:lang w:eastAsia="pt-BR"/>
        </w:rPr>
      </w:pPr>
      <w:r w:rsidRPr="00EE0371">
        <w:rPr>
          <w:rFonts w:ascii="Arial" w:eastAsia="Times New Roman" w:hAnsi="Arial" w:cs="Arial"/>
          <w:color w:val="000000"/>
          <w:sz w:val="20"/>
          <w:szCs w:val="20"/>
          <w:lang w:eastAsia="pt-BR"/>
        </w:rPr>
        <w:t>&lt;TermoVerificacaoDisponibilidadeFinanceira&gt;</w:t>
      </w:r>
    </w:p>
    <w:p w14:paraId="390A58BD" w14:textId="77777777" w:rsidR="00EE0371" w:rsidRDefault="00EE0371" w:rsidP="00EE0371">
      <w:pPr>
        <w:spacing w:after="0" w:line="240" w:lineRule="auto"/>
        <w:ind w:left="1418"/>
        <w:rPr>
          <w:rFonts w:ascii="Arial" w:eastAsia="Times New Roman" w:hAnsi="Arial" w:cs="Arial"/>
          <w:color w:val="000000"/>
          <w:sz w:val="20"/>
          <w:szCs w:val="20"/>
          <w:lang w:eastAsia="pt-BR"/>
        </w:rPr>
      </w:pPr>
      <w:r w:rsidRPr="00EE0371">
        <w:rPr>
          <w:rFonts w:ascii="Arial" w:eastAsia="Times New Roman" w:hAnsi="Arial" w:cs="Arial"/>
          <w:color w:val="000000"/>
          <w:sz w:val="20"/>
          <w:szCs w:val="20"/>
          <w:lang w:eastAsia="pt-BR"/>
        </w:rPr>
        <w:t>&lt;IdNumRegistro&gt;</w:t>
      </w:r>
      <w:r w:rsidRPr="00EE0371">
        <w:rPr>
          <w:rFonts w:ascii="Arial" w:eastAsia="Times New Roman" w:hAnsi="Arial" w:cs="Arial"/>
          <w:b/>
          <w:color w:val="000000"/>
          <w:sz w:val="20"/>
          <w:szCs w:val="20"/>
          <w:lang w:eastAsia="pt-BR"/>
        </w:rPr>
        <w:t>99999</w:t>
      </w:r>
      <w:r w:rsidRPr="00EE0371">
        <w:rPr>
          <w:rFonts w:ascii="Arial" w:eastAsia="Times New Roman" w:hAnsi="Arial" w:cs="Arial"/>
          <w:color w:val="000000"/>
          <w:sz w:val="20"/>
          <w:szCs w:val="20"/>
          <w:lang w:eastAsia="pt-BR"/>
        </w:rPr>
        <w:t>&lt;/IdNumRegistro&gt;</w:t>
      </w:r>
    </w:p>
    <w:p w14:paraId="5CFB2732" w14:textId="77777777" w:rsidR="00DD49C9" w:rsidRPr="00D73542" w:rsidRDefault="00DD49C9" w:rsidP="00DD49C9">
      <w:pPr>
        <w:spacing w:after="0" w:line="240" w:lineRule="auto"/>
        <w:ind w:firstLine="708"/>
        <w:rPr>
          <w:rFonts w:ascii="Arial" w:hAnsi="Arial" w:cs="Arial"/>
          <w:sz w:val="20"/>
          <w:szCs w:val="20"/>
          <w:lang w:eastAsia="pt-BR"/>
        </w:rPr>
      </w:pPr>
      <w:r w:rsidRPr="00D73542">
        <w:rPr>
          <w:rFonts w:ascii="Arial" w:hAnsi="Arial" w:cs="Arial"/>
          <w:sz w:val="20"/>
          <w:szCs w:val="20"/>
          <w:lang w:eastAsia="pt-BR"/>
        </w:rPr>
        <w:t xml:space="preserve">             &lt;CodigoUnidadeGestora&gt;</w:t>
      </w:r>
      <w:r w:rsidRPr="00D73542">
        <w:rPr>
          <w:rFonts w:ascii="Arial" w:hAnsi="Arial" w:cs="Arial"/>
          <w:b/>
          <w:sz w:val="20"/>
          <w:szCs w:val="20"/>
          <w:lang w:eastAsia="pt-BR"/>
        </w:rPr>
        <w:t>XXXXXXXXXXX</w:t>
      </w:r>
      <w:r w:rsidRPr="00D73542">
        <w:rPr>
          <w:rFonts w:ascii="Arial" w:hAnsi="Arial" w:cs="Arial"/>
          <w:sz w:val="20"/>
          <w:szCs w:val="20"/>
          <w:lang w:eastAsia="pt-BR"/>
        </w:rPr>
        <w:t>&lt;/CodigoUnidadeGestora&gt;</w:t>
      </w:r>
    </w:p>
    <w:p w14:paraId="2A1B8F85" w14:textId="77777777" w:rsidR="00EE0371" w:rsidRPr="00EE0371" w:rsidRDefault="00EE0371" w:rsidP="00EE0371">
      <w:pPr>
        <w:spacing w:after="0" w:line="240" w:lineRule="auto"/>
        <w:ind w:left="1418"/>
        <w:rPr>
          <w:rFonts w:ascii="Arial" w:eastAsia="Times New Roman" w:hAnsi="Arial" w:cs="Arial"/>
          <w:color w:val="000000"/>
          <w:sz w:val="20"/>
          <w:szCs w:val="20"/>
          <w:lang w:eastAsia="pt-BR"/>
        </w:rPr>
      </w:pPr>
      <w:r w:rsidRPr="00EE0371">
        <w:rPr>
          <w:rFonts w:ascii="Arial" w:eastAsia="Times New Roman" w:hAnsi="Arial" w:cs="Arial"/>
          <w:color w:val="000000"/>
          <w:sz w:val="20"/>
          <w:szCs w:val="20"/>
          <w:lang w:eastAsia="pt-BR"/>
        </w:rPr>
        <w:t>&lt;MesCompetencia&gt;</w:t>
      </w:r>
      <w:r w:rsidRPr="00EE0371">
        <w:rPr>
          <w:rFonts w:ascii="Arial" w:eastAsia="Times New Roman" w:hAnsi="Arial" w:cs="Arial"/>
          <w:b/>
          <w:color w:val="000000"/>
          <w:sz w:val="20"/>
          <w:szCs w:val="20"/>
          <w:lang w:eastAsia="pt-BR"/>
        </w:rPr>
        <w:t>99</w:t>
      </w:r>
      <w:r w:rsidRPr="00EE0371">
        <w:rPr>
          <w:rFonts w:ascii="Arial" w:eastAsia="Times New Roman" w:hAnsi="Arial" w:cs="Arial"/>
          <w:color w:val="000000"/>
          <w:sz w:val="20"/>
          <w:szCs w:val="20"/>
          <w:lang w:eastAsia="pt-BR"/>
        </w:rPr>
        <w:t>&lt;/MesCompetencia&gt;</w:t>
      </w:r>
    </w:p>
    <w:p w14:paraId="7E5D996F" w14:textId="77777777" w:rsidR="00EE0371" w:rsidRDefault="00EE0371" w:rsidP="00EE0371">
      <w:pPr>
        <w:spacing w:after="0" w:line="240" w:lineRule="auto"/>
        <w:ind w:left="1418"/>
        <w:rPr>
          <w:rFonts w:ascii="Arial" w:eastAsia="Times New Roman" w:hAnsi="Arial" w:cs="Arial"/>
          <w:color w:val="000000"/>
          <w:sz w:val="20"/>
          <w:szCs w:val="20"/>
          <w:lang w:eastAsia="pt-BR"/>
        </w:rPr>
      </w:pPr>
      <w:r w:rsidRPr="00EE0371">
        <w:rPr>
          <w:rFonts w:ascii="Arial" w:eastAsia="Times New Roman" w:hAnsi="Arial" w:cs="Arial"/>
          <w:color w:val="000000"/>
          <w:sz w:val="20"/>
          <w:szCs w:val="20"/>
          <w:lang w:eastAsia="pt-BR"/>
        </w:rPr>
        <w:t>&lt;CodigoCNPJTitularConta&gt;</w:t>
      </w:r>
      <w:r w:rsidRPr="00EE0371">
        <w:rPr>
          <w:rFonts w:ascii="Arial" w:eastAsia="Times New Roman" w:hAnsi="Arial" w:cs="Arial"/>
          <w:b/>
          <w:color w:val="000000"/>
          <w:sz w:val="20"/>
          <w:szCs w:val="20"/>
          <w:lang w:eastAsia="pt-BR"/>
        </w:rPr>
        <w:t>XXX...XXX</w:t>
      </w:r>
      <w:r w:rsidRPr="00EE0371">
        <w:rPr>
          <w:rFonts w:ascii="Arial" w:eastAsia="Times New Roman" w:hAnsi="Arial" w:cs="Arial"/>
          <w:color w:val="000000"/>
          <w:sz w:val="20"/>
          <w:szCs w:val="20"/>
          <w:lang w:eastAsia="pt-BR"/>
        </w:rPr>
        <w:t xml:space="preserve">&lt;/CodigoCNPJTitularConta&gt; </w:t>
      </w:r>
    </w:p>
    <w:p w14:paraId="67D43966" w14:textId="77777777" w:rsidR="00DD49C9" w:rsidRPr="00D73542" w:rsidRDefault="00DD49C9" w:rsidP="00DD49C9">
      <w:pPr>
        <w:spacing w:after="0" w:line="240" w:lineRule="auto"/>
        <w:ind w:left="708" w:firstLine="708"/>
        <w:rPr>
          <w:rFonts w:ascii="Arial" w:hAnsi="Arial" w:cs="Arial"/>
          <w:sz w:val="20"/>
          <w:szCs w:val="20"/>
          <w:lang w:eastAsia="pt-BR"/>
        </w:rPr>
      </w:pPr>
      <w:r w:rsidRPr="00D73542">
        <w:rPr>
          <w:rFonts w:ascii="Arial" w:hAnsi="Arial" w:cs="Arial"/>
          <w:sz w:val="20"/>
          <w:szCs w:val="20"/>
          <w:lang w:eastAsia="pt-BR"/>
        </w:rPr>
        <w:t>&lt;ContaUnica&gt;</w:t>
      </w:r>
      <w:r w:rsidRPr="00D73542">
        <w:rPr>
          <w:rFonts w:ascii="Arial" w:hAnsi="Arial" w:cs="Arial"/>
          <w:b/>
          <w:sz w:val="20"/>
          <w:szCs w:val="20"/>
          <w:lang w:eastAsia="pt-BR"/>
        </w:rPr>
        <w:t>X</w:t>
      </w:r>
      <w:r w:rsidRPr="00D73542">
        <w:rPr>
          <w:rFonts w:ascii="Arial" w:hAnsi="Arial" w:cs="Arial"/>
          <w:sz w:val="20"/>
          <w:szCs w:val="20"/>
          <w:lang w:eastAsia="pt-BR"/>
        </w:rPr>
        <w:t>&lt;/ContaUnica&gt;</w:t>
      </w:r>
    </w:p>
    <w:p w14:paraId="53AAE47B" w14:textId="77777777" w:rsidR="00EE0371" w:rsidRPr="00EE0371" w:rsidRDefault="00EE0371" w:rsidP="00EE0371">
      <w:pPr>
        <w:spacing w:after="0" w:line="240" w:lineRule="auto"/>
        <w:ind w:left="1418"/>
        <w:rPr>
          <w:rFonts w:ascii="Arial" w:eastAsia="Times New Roman" w:hAnsi="Arial" w:cs="Arial"/>
          <w:color w:val="000000"/>
          <w:sz w:val="20"/>
          <w:szCs w:val="20"/>
          <w:lang w:eastAsia="pt-BR"/>
        </w:rPr>
      </w:pPr>
      <w:r w:rsidRPr="00EE0371">
        <w:rPr>
          <w:rFonts w:ascii="Arial" w:eastAsia="Times New Roman" w:hAnsi="Arial" w:cs="Arial"/>
          <w:color w:val="000000"/>
          <w:sz w:val="20"/>
          <w:szCs w:val="20"/>
          <w:lang w:eastAsia="pt-BR"/>
        </w:rPr>
        <w:lastRenderedPageBreak/>
        <w:t>&lt;CodigoBanco&gt;</w:t>
      </w:r>
      <w:r w:rsidRPr="00EE0371">
        <w:rPr>
          <w:rFonts w:ascii="Arial" w:eastAsia="Times New Roman" w:hAnsi="Arial" w:cs="Arial"/>
          <w:b/>
          <w:color w:val="000000"/>
          <w:sz w:val="20"/>
          <w:szCs w:val="20"/>
          <w:lang w:eastAsia="pt-BR"/>
        </w:rPr>
        <w:t>XXX</w:t>
      </w:r>
      <w:r w:rsidRPr="00EE0371">
        <w:rPr>
          <w:rFonts w:ascii="Arial" w:eastAsia="Times New Roman" w:hAnsi="Arial" w:cs="Arial"/>
          <w:color w:val="000000"/>
          <w:sz w:val="20"/>
          <w:szCs w:val="20"/>
          <w:lang w:eastAsia="pt-BR"/>
        </w:rPr>
        <w:t xml:space="preserve">&lt;/CodigoBanco&gt; </w:t>
      </w:r>
    </w:p>
    <w:p w14:paraId="5E0C2823" w14:textId="77777777" w:rsidR="00EE0371" w:rsidRDefault="00EE0371" w:rsidP="00EE0371">
      <w:pPr>
        <w:spacing w:after="0" w:line="240" w:lineRule="auto"/>
        <w:ind w:left="1418"/>
        <w:rPr>
          <w:rFonts w:ascii="Arial" w:eastAsia="Times New Roman" w:hAnsi="Arial" w:cs="Arial"/>
          <w:color w:val="000000"/>
          <w:sz w:val="20"/>
          <w:szCs w:val="20"/>
          <w:lang w:eastAsia="pt-BR"/>
        </w:rPr>
      </w:pPr>
      <w:r w:rsidRPr="00EE0371">
        <w:rPr>
          <w:rFonts w:ascii="Arial" w:eastAsia="Times New Roman" w:hAnsi="Arial" w:cs="Arial"/>
          <w:color w:val="000000"/>
          <w:sz w:val="20"/>
          <w:szCs w:val="20"/>
          <w:lang w:eastAsia="pt-BR"/>
        </w:rPr>
        <w:t>&lt;CodigoAgencia&gt;</w:t>
      </w:r>
      <w:r w:rsidRPr="00EE0371">
        <w:rPr>
          <w:rFonts w:ascii="Arial" w:eastAsia="Times New Roman" w:hAnsi="Arial" w:cs="Arial"/>
          <w:b/>
          <w:color w:val="000000"/>
          <w:sz w:val="20"/>
          <w:szCs w:val="20"/>
          <w:lang w:eastAsia="pt-BR"/>
        </w:rPr>
        <w:t>XXX...XXX</w:t>
      </w:r>
      <w:r w:rsidRPr="00EE0371">
        <w:rPr>
          <w:rFonts w:ascii="Arial" w:eastAsia="Times New Roman" w:hAnsi="Arial" w:cs="Arial"/>
          <w:color w:val="000000"/>
          <w:sz w:val="20"/>
          <w:szCs w:val="20"/>
          <w:lang w:eastAsia="pt-BR"/>
        </w:rPr>
        <w:t xml:space="preserve">&lt;/CodigoAgencia&gt; </w:t>
      </w:r>
    </w:p>
    <w:p w14:paraId="136C9E4F" w14:textId="77777777" w:rsidR="00DD49C9" w:rsidRPr="00D73542" w:rsidRDefault="00DD49C9" w:rsidP="00EE0371">
      <w:pPr>
        <w:spacing w:after="0" w:line="240" w:lineRule="auto"/>
        <w:ind w:left="1418"/>
        <w:rPr>
          <w:rFonts w:ascii="Arial" w:eastAsia="Times New Roman" w:hAnsi="Arial" w:cs="Arial"/>
          <w:sz w:val="20"/>
          <w:szCs w:val="20"/>
          <w:lang w:eastAsia="pt-BR"/>
        </w:rPr>
      </w:pPr>
      <w:r w:rsidRPr="00D73542">
        <w:rPr>
          <w:rFonts w:ascii="Arial" w:eastAsia="Times New Roman" w:hAnsi="Arial" w:cs="Arial"/>
          <w:sz w:val="20"/>
          <w:szCs w:val="20"/>
          <w:lang w:eastAsia="pt-BR"/>
        </w:rPr>
        <w:t>&lt;DigitoVerificadorAgencia&gt;</w:t>
      </w:r>
      <w:r w:rsidRPr="00D73542">
        <w:rPr>
          <w:rFonts w:ascii="Arial" w:eastAsia="Times New Roman" w:hAnsi="Arial" w:cs="Arial"/>
          <w:b/>
          <w:sz w:val="20"/>
          <w:szCs w:val="20"/>
          <w:lang w:eastAsia="pt-BR"/>
        </w:rPr>
        <w:t>X</w:t>
      </w:r>
      <w:r w:rsidRPr="00D73542">
        <w:rPr>
          <w:rFonts w:ascii="Arial" w:eastAsia="Times New Roman" w:hAnsi="Arial" w:cs="Arial"/>
          <w:sz w:val="20"/>
          <w:szCs w:val="20"/>
          <w:lang w:eastAsia="pt-BR"/>
        </w:rPr>
        <w:t>&lt;/DigitoVerificadorAgencia&gt;</w:t>
      </w:r>
    </w:p>
    <w:p w14:paraId="4901FD23" w14:textId="77777777" w:rsidR="00EE0371" w:rsidRDefault="00EE0371" w:rsidP="00EE0371">
      <w:pPr>
        <w:spacing w:after="0" w:line="240" w:lineRule="auto"/>
        <w:ind w:left="1418"/>
        <w:rPr>
          <w:rFonts w:ascii="Arial" w:eastAsia="Times New Roman" w:hAnsi="Arial" w:cs="Arial"/>
          <w:color w:val="000000"/>
          <w:sz w:val="20"/>
          <w:szCs w:val="20"/>
          <w:lang w:eastAsia="pt-BR"/>
        </w:rPr>
      </w:pPr>
      <w:r w:rsidRPr="00EE0371">
        <w:rPr>
          <w:rFonts w:ascii="Arial" w:eastAsia="Times New Roman" w:hAnsi="Arial" w:cs="Arial"/>
          <w:color w:val="000000"/>
          <w:sz w:val="20"/>
          <w:szCs w:val="20"/>
          <w:lang w:eastAsia="pt-BR"/>
        </w:rPr>
        <w:t>&lt;NumeroContaBancaria&gt;</w:t>
      </w:r>
      <w:r w:rsidRPr="00EE0371">
        <w:rPr>
          <w:rFonts w:ascii="Arial" w:eastAsia="Times New Roman" w:hAnsi="Arial" w:cs="Arial"/>
          <w:b/>
          <w:color w:val="000000"/>
          <w:sz w:val="20"/>
          <w:szCs w:val="20"/>
          <w:lang w:eastAsia="pt-BR"/>
        </w:rPr>
        <w:t>XXX...XXX</w:t>
      </w:r>
      <w:r w:rsidRPr="00EE0371">
        <w:rPr>
          <w:rFonts w:ascii="Arial" w:eastAsia="Times New Roman" w:hAnsi="Arial" w:cs="Arial"/>
          <w:color w:val="000000"/>
          <w:sz w:val="20"/>
          <w:szCs w:val="20"/>
          <w:lang w:eastAsia="pt-BR"/>
        </w:rPr>
        <w:t xml:space="preserve">&lt;/NumeroContaBancaria&gt; </w:t>
      </w:r>
    </w:p>
    <w:p w14:paraId="6C5909A5" w14:textId="77777777" w:rsidR="00DD49C9" w:rsidRPr="00D73542" w:rsidRDefault="00DD49C9" w:rsidP="00DD49C9">
      <w:pPr>
        <w:spacing w:after="0" w:line="240" w:lineRule="auto"/>
        <w:ind w:left="1418"/>
        <w:rPr>
          <w:rFonts w:ascii="Arial" w:eastAsia="Times New Roman" w:hAnsi="Arial" w:cs="Arial"/>
          <w:sz w:val="20"/>
          <w:szCs w:val="20"/>
          <w:lang w:eastAsia="pt-BR"/>
        </w:rPr>
      </w:pPr>
      <w:r w:rsidRPr="00D73542">
        <w:rPr>
          <w:rFonts w:ascii="Arial" w:eastAsia="Times New Roman" w:hAnsi="Arial" w:cs="Arial"/>
          <w:sz w:val="20"/>
          <w:szCs w:val="20"/>
          <w:lang w:eastAsia="pt-BR"/>
        </w:rPr>
        <w:t>&lt;DigitoVerificadorContaBancaria&gt;</w:t>
      </w:r>
      <w:r w:rsidRPr="00D73542">
        <w:rPr>
          <w:rFonts w:ascii="Arial" w:eastAsia="Times New Roman" w:hAnsi="Arial" w:cs="Arial"/>
          <w:b/>
          <w:sz w:val="20"/>
          <w:szCs w:val="20"/>
          <w:lang w:eastAsia="pt-BR"/>
        </w:rPr>
        <w:t>X</w:t>
      </w:r>
      <w:r w:rsidRPr="00D73542">
        <w:rPr>
          <w:rFonts w:ascii="Arial" w:eastAsia="Times New Roman" w:hAnsi="Arial" w:cs="Arial"/>
          <w:sz w:val="20"/>
          <w:szCs w:val="20"/>
          <w:lang w:eastAsia="pt-BR"/>
        </w:rPr>
        <w:t>&lt;/DigitoVerificadorContaBancaria&gt;</w:t>
      </w:r>
    </w:p>
    <w:p w14:paraId="2ED3E84B" w14:textId="77777777" w:rsidR="00EE0371" w:rsidRPr="00EE0371" w:rsidRDefault="00EE0371" w:rsidP="00EE0371">
      <w:pPr>
        <w:spacing w:after="0" w:line="240" w:lineRule="auto"/>
        <w:ind w:left="1418"/>
        <w:rPr>
          <w:rFonts w:ascii="Arial" w:eastAsia="Times New Roman" w:hAnsi="Arial" w:cs="Arial"/>
          <w:color w:val="000000"/>
          <w:sz w:val="20"/>
          <w:szCs w:val="20"/>
          <w:lang w:eastAsia="pt-BR"/>
        </w:rPr>
      </w:pPr>
      <w:r w:rsidRPr="00EE0371">
        <w:rPr>
          <w:rFonts w:ascii="Arial" w:eastAsia="Times New Roman" w:hAnsi="Arial" w:cs="Arial"/>
          <w:color w:val="000000"/>
          <w:sz w:val="20"/>
          <w:szCs w:val="20"/>
          <w:lang w:eastAsia="pt-BR"/>
        </w:rPr>
        <w:t>&lt;TipoContaBancaria&gt;</w:t>
      </w:r>
      <w:r w:rsidRPr="00EE0371">
        <w:rPr>
          <w:rFonts w:ascii="Arial" w:eastAsia="Times New Roman" w:hAnsi="Arial" w:cs="Arial"/>
          <w:b/>
          <w:color w:val="000000"/>
          <w:sz w:val="20"/>
          <w:szCs w:val="20"/>
          <w:lang w:eastAsia="pt-BR"/>
        </w:rPr>
        <w:t>9</w:t>
      </w:r>
      <w:r w:rsidRPr="00EE0371">
        <w:rPr>
          <w:rFonts w:ascii="Arial" w:eastAsia="Times New Roman" w:hAnsi="Arial" w:cs="Arial"/>
          <w:color w:val="000000"/>
          <w:sz w:val="20"/>
          <w:szCs w:val="20"/>
          <w:lang w:eastAsia="pt-BR"/>
        </w:rPr>
        <w:t>&lt;/TipoContaBancaria&gt;</w:t>
      </w:r>
    </w:p>
    <w:p w14:paraId="128347B6" w14:textId="77777777" w:rsidR="00EE0371" w:rsidRPr="00EE0371" w:rsidRDefault="00EE0371" w:rsidP="00EE0371">
      <w:pPr>
        <w:spacing w:after="0" w:line="240" w:lineRule="auto"/>
        <w:ind w:left="1418"/>
        <w:rPr>
          <w:rFonts w:ascii="Arial" w:eastAsia="Times New Roman" w:hAnsi="Arial" w:cs="Arial"/>
          <w:color w:val="000000"/>
          <w:sz w:val="20"/>
          <w:szCs w:val="20"/>
          <w:lang w:eastAsia="pt-BR"/>
        </w:rPr>
      </w:pPr>
      <w:r w:rsidRPr="00EE0371">
        <w:rPr>
          <w:rFonts w:ascii="Arial" w:eastAsia="Times New Roman" w:hAnsi="Arial" w:cs="Arial"/>
          <w:color w:val="000000"/>
          <w:sz w:val="20"/>
          <w:szCs w:val="20"/>
          <w:lang w:eastAsia="pt-BR"/>
        </w:rPr>
        <w:t>&lt;ComplementoContaBancaria&gt;</w:t>
      </w:r>
      <w:r w:rsidRPr="00EE0371">
        <w:rPr>
          <w:rFonts w:ascii="Arial" w:eastAsia="Times New Roman" w:hAnsi="Arial" w:cs="Arial"/>
          <w:b/>
          <w:color w:val="000000"/>
          <w:sz w:val="20"/>
          <w:szCs w:val="20"/>
          <w:lang w:eastAsia="pt-BR"/>
        </w:rPr>
        <w:t>XXXXXXXXXX</w:t>
      </w:r>
      <w:r w:rsidRPr="00EE0371">
        <w:rPr>
          <w:rFonts w:ascii="Arial" w:eastAsia="Times New Roman" w:hAnsi="Arial" w:cs="Arial"/>
          <w:color w:val="000000"/>
          <w:sz w:val="20"/>
          <w:szCs w:val="20"/>
          <w:lang w:eastAsia="pt-BR"/>
        </w:rPr>
        <w:t xml:space="preserve">&lt;/ComplementoContaBancaria&gt; </w:t>
      </w:r>
    </w:p>
    <w:p w14:paraId="5162C903" w14:textId="77777777" w:rsidR="00EE0371" w:rsidRPr="00EE0371" w:rsidRDefault="00EE0371" w:rsidP="00EE0371">
      <w:pPr>
        <w:spacing w:after="0" w:line="240" w:lineRule="auto"/>
        <w:ind w:left="1418"/>
        <w:rPr>
          <w:rFonts w:ascii="Arial" w:eastAsia="Times New Roman" w:hAnsi="Arial" w:cs="Arial"/>
          <w:color w:val="000000"/>
          <w:sz w:val="20"/>
          <w:szCs w:val="20"/>
          <w:lang w:eastAsia="pt-BR"/>
        </w:rPr>
      </w:pPr>
      <w:r w:rsidRPr="00EE0371">
        <w:rPr>
          <w:rFonts w:ascii="Arial" w:eastAsia="Times New Roman" w:hAnsi="Arial" w:cs="Arial"/>
          <w:color w:val="000000"/>
          <w:sz w:val="20"/>
          <w:szCs w:val="20"/>
          <w:lang w:eastAsia="pt-BR"/>
        </w:rPr>
        <w:t>&lt;DescricaoContaBancaria&gt;</w:t>
      </w:r>
      <w:r w:rsidRPr="00EE0371">
        <w:rPr>
          <w:rFonts w:ascii="Arial" w:eastAsia="Times New Roman" w:hAnsi="Arial" w:cs="Arial"/>
          <w:b/>
          <w:color w:val="000000"/>
          <w:sz w:val="20"/>
          <w:szCs w:val="20"/>
          <w:lang w:eastAsia="pt-BR"/>
        </w:rPr>
        <w:t>XXX... XXX</w:t>
      </w:r>
      <w:r w:rsidRPr="00EE0371">
        <w:rPr>
          <w:rFonts w:ascii="Arial" w:eastAsia="Times New Roman" w:hAnsi="Arial" w:cs="Arial"/>
          <w:color w:val="000000"/>
          <w:sz w:val="20"/>
          <w:szCs w:val="20"/>
          <w:lang w:eastAsia="pt-BR"/>
        </w:rPr>
        <w:t xml:space="preserve">&lt;/DescricaoContaBancaria&gt; </w:t>
      </w:r>
    </w:p>
    <w:p w14:paraId="55C66542" w14:textId="77777777" w:rsidR="00EE0371" w:rsidRPr="00EE0371" w:rsidRDefault="00EE0371" w:rsidP="00EE0371">
      <w:pPr>
        <w:spacing w:after="0" w:line="240" w:lineRule="auto"/>
        <w:ind w:left="1418"/>
        <w:rPr>
          <w:rFonts w:ascii="Arial" w:eastAsia="Times New Roman" w:hAnsi="Arial" w:cs="Arial"/>
          <w:color w:val="000000"/>
          <w:sz w:val="20"/>
          <w:szCs w:val="20"/>
          <w:lang w:eastAsia="pt-BR"/>
        </w:rPr>
      </w:pPr>
      <w:r w:rsidRPr="00EE0371">
        <w:rPr>
          <w:rFonts w:ascii="Arial" w:eastAsia="Times New Roman" w:hAnsi="Arial" w:cs="Arial"/>
          <w:color w:val="000000"/>
          <w:sz w:val="20"/>
          <w:szCs w:val="20"/>
          <w:lang w:eastAsia="pt-BR"/>
        </w:rPr>
        <w:t>&lt;TipoAplicacao&gt;</w:t>
      </w:r>
      <w:r w:rsidRPr="00EE0371">
        <w:rPr>
          <w:rFonts w:ascii="Arial" w:eastAsia="Times New Roman" w:hAnsi="Arial" w:cs="Arial"/>
          <w:b/>
          <w:color w:val="000000"/>
          <w:sz w:val="20"/>
          <w:szCs w:val="20"/>
          <w:lang w:eastAsia="pt-BR"/>
        </w:rPr>
        <w:t>99</w:t>
      </w:r>
      <w:r w:rsidRPr="00EE0371">
        <w:rPr>
          <w:rFonts w:ascii="Arial" w:eastAsia="Times New Roman" w:hAnsi="Arial" w:cs="Arial"/>
          <w:color w:val="000000"/>
          <w:sz w:val="20"/>
          <w:szCs w:val="20"/>
          <w:lang w:eastAsia="pt-BR"/>
        </w:rPr>
        <w:t xml:space="preserve">&lt;/TipoAplicacao&gt; </w:t>
      </w:r>
    </w:p>
    <w:p w14:paraId="372787C4" w14:textId="77777777" w:rsidR="00EE0371" w:rsidRPr="00EE0371" w:rsidRDefault="00EE0371" w:rsidP="00EE0371">
      <w:pPr>
        <w:spacing w:after="0" w:line="240" w:lineRule="auto"/>
        <w:ind w:left="1418"/>
        <w:rPr>
          <w:rFonts w:ascii="Arial" w:eastAsia="Times New Roman" w:hAnsi="Arial" w:cs="Arial"/>
          <w:color w:val="000000"/>
          <w:sz w:val="20"/>
          <w:szCs w:val="20"/>
          <w:lang w:eastAsia="pt-BR"/>
        </w:rPr>
      </w:pPr>
      <w:r w:rsidRPr="00EE0371">
        <w:rPr>
          <w:rFonts w:ascii="Arial" w:eastAsia="Times New Roman" w:hAnsi="Arial" w:cs="Arial"/>
          <w:color w:val="000000"/>
          <w:sz w:val="20"/>
          <w:szCs w:val="20"/>
          <w:lang w:eastAsia="pt-BR"/>
        </w:rPr>
        <w:t>&lt;CodigoCNPJFundoInvestimento&gt;</w:t>
      </w:r>
      <w:r w:rsidRPr="00EE0371">
        <w:rPr>
          <w:rFonts w:ascii="Arial" w:eastAsia="Times New Roman" w:hAnsi="Arial" w:cs="Arial"/>
          <w:b/>
          <w:color w:val="000000"/>
          <w:sz w:val="20"/>
          <w:szCs w:val="20"/>
          <w:lang w:eastAsia="pt-BR"/>
        </w:rPr>
        <w:t>XXX...XXX</w:t>
      </w:r>
    </w:p>
    <w:p w14:paraId="02904E89" w14:textId="77777777" w:rsidR="00EE0371" w:rsidRPr="00EE0371" w:rsidRDefault="00EE0371" w:rsidP="00EE0371">
      <w:pPr>
        <w:spacing w:after="0" w:line="240" w:lineRule="auto"/>
        <w:ind w:left="1418"/>
        <w:rPr>
          <w:rFonts w:ascii="Arial" w:eastAsia="Times New Roman" w:hAnsi="Arial" w:cs="Arial"/>
          <w:color w:val="000000"/>
          <w:sz w:val="20"/>
          <w:szCs w:val="20"/>
          <w:lang w:eastAsia="pt-BR"/>
        </w:rPr>
      </w:pPr>
      <w:r w:rsidRPr="00EE0371">
        <w:rPr>
          <w:rFonts w:ascii="Arial" w:eastAsia="Times New Roman" w:hAnsi="Arial" w:cs="Arial"/>
          <w:color w:val="000000"/>
          <w:sz w:val="20"/>
          <w:szCs w:val="20"/>
          <w:lang w:eastAsia="pt-BR"/>
        </w:rPr>
        <w:t xml:space="preserve">&lt;/CodigoCNPJFundoInvestimento&gt; </w:t>
      </w:r>
    </w:p>
    <w:p w14:paraId="7521998F" w14:textId="77777777" w:rsidR="00EE0371" w:rsidRPr="00EE0371" w:rsidRDefault="00EE0371" w:rsidP="00EE0371">
      <w:pPr>
        <w:spacing w:after="0" w:line="240" w:lineRule="auto"/>
        <w:ind w:left="1418"/>
        <w:rPr>
          <w:rFonts w:ascii="Arial" w:eastAsia="Times New Roman" w:hAnsi="Arial" w:cs="Arial"/>
          <w:color w:val="000000"/>
          <w:sz w:val="20"/>
          <w:szCs w:val="20"/>
          <w:lang w:eastAsia="pt-BR"/>
        </w:rPr>
      </w:pPr>
      <w:r w:rsidRPr="00EE0371">
        <w:rPr>
          <w:rFonts w:ascii="Arial" w:eastAsia="Times New Roman" w:hAnsi="Arial" w:cs="Arial"/>
          <w:color w:val="000000"/>
          <w:sz w:val="20"/>
          <w:szCs w:val="20"/>
          <w:lang w:eastAsia="pt-BR"/>
        </w:rPr>
        <w:t>&lt;SaldoBancario&gt;</w:t>
      </w:r>
      <w:r w:rsidRPr="00EE0371">
        <w:rPr>
          <w:rFonts w:ascii="Arial" w:eastAsia="Times New Roman" w:hAnsi="Arial" w:cs="Arial"/>
          <w:b/>
          <w:color w:val="000000"/>
          <w:sz w:val="20"/>
          <w:szCs w:val="20"/>
          <w:lang w:eastAsia="pt-BR"/>
        </w:rPr>
        <w:t>99999999999999.99</w:t>
      </w:r>
      <w:r w:rsidRPr="00EE0371">
        <w:rPr>
          <w:rFonts w:ascii="Arial" w:eastAsia="Times New Roman" w:hAnsi="Arial" w:cs="Arial"/>
          <w:color w:val="000000"/>
          <w:sz w:val="20"/>
          <w:szCs w:val="20"/>
          <w:lang w:eastAsia="pt-BR"/>
        </w:rPr>
        <w:t xml:space="preserve">&lt;/SaldoBancario&gt; </w:t>
      </w:r>
    </w:p>
    <w:p w14:paraId="250D0135" w14:textId="77777777" w:rsidR="00EE0371" w:rsidRPr="00EE0371" w:rsidRDefault="00EE0371" w:rsidP="00EE0371">
      <w:pPr>
        <w:spacing w:after="0" w:line="240" w:lineRule="auto"/>
        <w:ind w:left="1418"/>
        <w:rPr>
          <w:rFonts w:ascii="Arial" w:eastAsia="Times New Roman" w:hAnsi="Arial" w:cs="Arial"/>
          <w:color w:val="000000"/>
          <w:sz w:val="20"/>
          <w:szCs w:val="20"/>
          <w:lang w:eastAsia="pt-BR"/>
        </w:rPr>
      </w:pPr>
      <w:r w:rsidRPr="00EE0371">
        <w:rPr>
          <w:rFonts w:ascii="Arial" w:eastAsia="Times New Roman" w:hAnsi="Arial" w:cs="Arial"/>
          <w:color w:val="000000"/>
          <w:sz w:val="20"/>
          <w:szCs w:val="20"/>
          <w:lang w:eastAsia="pt-BR"/>
        </w:rPr>
        <w:t>&lt;DescricaoSituacao1&gt;</w:t>
      </w:r>
      <w:r w:rsidRPr="00EE0371">
        <w:rPr>
          <w:rFonts w:ascii="Arial" w:eastAsia="Times New Roman" w:hAnsi="Arial" w:cs="Arial"/>
          <w:b/>
          <w:color w:val="000000"/>
          <w:sz w:val="20"/>
          <w:szCs w:val="20"/>
          <w:lang w:eastAsia="pt-BR"/>
        </w:rPr>
        <w:t>XXX...XXX</w:t>
      </w:r>
      <w:r w:rsidRPr="00EE0371">
        <w:rPr>
          <w:rFonts w:ascii="Arial" w:eastAsia="Times New Roman" w:hAnsi="Arial" w:cs="Arial"/>
          <w:color w:val="000000"/>
          <w:sz w:val="20"/>
          <w:szCs w:val="20"/>
          <w:lang w:eastAsia="pt-BR"/>
        </w:rPr>
        <w:t xml:space="preserve">&lt;/DescricaoSituacao1&gt; </w:t>
      </w:r>
    </w:p>
    <w:p w14:paraId="7EF41B34" w14:textId="77777777" w:rsidR="00EE0371" w:rsidRPr="00EE0371" w:rsidRDefault="00EE0371" w:rsidP="00EE0371">
      <w:pPr>
        <w:spacing w:after="0" w:line="240" w:lineRule="auto"/>
        <w:ind w:left="1418"/>
        <w:rPr>
          <w:rFonts w:ascii="Arial" w:eastAsia="Times New Roman" w:hAnsi="Arial" w:cs="Arial"/>
          <w:color w:val="000000"/>
          <w:sz w:val="20"/>
          <w:szCs w:val="20"/>
          <w:lang w:eastAsia="pt-BR"/>
        </w:rPr>
      </w:pPr>
      <w:r w:rsidRPr="00EE0371">
        <w:rPr>
          <w:rFonts w:ascii="Arial" w:eastAsia="Times New Roman" w:hAnsi="Arial" w:cs="Arial"/>
          <w:color w:val="000000"/>
          <w:sz w:val="20"/>
          <w:szCs w:val="20"/>
          <w:lang w:eastAsia="pt-BR"/>
        </w:rPr>
        <w:t>&lt;ValorSituacao1&gt;</w:t>
      </w:r>
      <w:r w:rsidRPr="00EE0371">
        <w:rPr>
          <w:rFonts w:ascii="Arial" w:eastAsia="Times New Roman" w:hAnsi="Arial" w:cs="Arial"/>
          <w:b/>
          <w:color w:val="000000"/>
          <w:sz w:val="20"/>
          <w:szCs w:val="20"/>
          <w:lang w:eastAsia="pt-BR"/>
        </w:rPr>
        <w:t>99999999999999.99</w:t>
      </w:r>
      <w:r w:rsidRPr="00EE0371">
        <w:rPr>
          <w:rFonts w:ascii="Arial" w:eastAsia="Times New Roman" w:hAnsi="Arial" w:cs="Arial"/>
          <w:color w:val="000000"/>
          <w:sz w:val="20"/>
          <w:szCs w:val="20"/>
          <w:lang w:eastAsia="pt-BR"/>
        </w:rPr>
        <w:t xml:space="preserve">&lt;/ValorSituacao1&gt; </w:t>
      </w:r>
    </w:p>
    <w:p w14:paraId="75C488A2" w14:textId="77777777" w:rsidR="00EE0371" w:rsidRPr="00EE0371" w:rsidRDefault="00EE0371" w:rsidP="00EE0371">
      <w:pPr>
        <w:spacing w:after="0" w:line="240" w:lineRule="auto"/>
        <w:ind w:left="1418"/>
        <w:rPr>
          <w:rFonts w:ascii="Arial" w:eastAsia="Times New Roman" w:hAnsi="Arial" w:cs="Arial"/>
          <w:color w:val="000000"/>
          <w:sz w:val="20"/>
          <w:szCs w:val="20"/>
          <w:lang w:eastAsia="pt-BR"/>
        </w:rPr>
      </w:pPr>
      <w:r w:rsidRPr="00EE0371">
        <w:rPr>
          <w:rFonts w:ascii="Arial" w:eastAsia="Times New Roman" w:hAnsi="Arial" w:cs="Arial"/>
          <w:color w:val="000000"/>
          <w:sz w:val="20"/>
          <w:szCs w:val="20"/>
          <w:lang w:eastAsia="pt-BR"/>
        </w:rPr>
        <w:t>&lt;DescricaoSituacao2&gt;</w:t>
      </w:r>
      <w:r w:rsidRPr="00EE0371">
        <w:rPr>
          <w:rFonts w:ascii="Arial" w:eastAsia="Times New Roman" w:hAnsi="Arial" w:cs="Arial"/>
          <w:b/>
          <w:color w:val="000000"/>
          <w:sz w:val="20"/>
          <w:szCs w:val="20"/>
          <w:lang w:eastAsia="pt-BR"/>
        </w:rPr>
        <w:t xml:space="preserve"> XXX...XXX</w:t>
      </w:r>
      <w:r w:rsidRPr="00EE0371">
        <w:rPr>
          <w:rFonts w:ascii="Arial" w:eastAsia="Times New Roman" w:hAnsi="Arial" w:cs="Arial"/>
          <w:color w:val="000000"/>
          <w:sz w:val="20"/>
          <w:szCs w:val="20"/>
          <w:lang w:eastAsia="pt-BR"/>
        </w:rPr>
        <w:t xml:space="preserve"> &lt;/DescricaoSituacao2&gt; </w:t>
      </w:r>
    </w:p>
    <w:p w14:paraId="0FBA9AAD" w14:textId="77777777" w:rsidR="00EE0371" w:rsidRPr="00EE0371" w:rsidRDefault="00EE0371" w:rsidP="00EE0371">
      <w:pPr>
        <w:spacing w:after="0" w:line="240" w:lineRule="auto"/>
        <w:ind w:left="1418"/>
        <w:rPr>
          <w:rFonts w:ascii="Arial" w:eastAsia="Times New Roman" w:hAnsi="Arial" w:cs="Arial"/>
          <w:color w:val="000000"/>
          <w:sz w:val="20"/>
          <w:szCs w:val="20"/>
          <w:lang w:eastAsia="pt-BR"/>
        </w:rPr>
      </w:pPr>
      <w:r w:rsidRPr="00EE0371">
        <w:rPr>
          <w:rFonts w:ascii="Arial" w:eastAsia="Times New Roman" w:hAnsi="Arial" w:cs="Arial"/>
          <w:color w:val="000000"/>
          <w:sz w:val="20"/>
          <w:szCs w:val="20"/>
          <w:lang w:eastAsia="pt-BR"/>
        </w:rPr>
        <w:t>&lt;ValorSituacao2&gt;</w:t>
      </w:r>
      <w:r w:rsidRPr="00EE0371">
        <w:rPr>
          <w:rFonts w:ascii="Arial" w:eastAsia="Times New Roman" w:hAnsi="Arial" w:cs="Arial"/>
          <w:b/>
          <w:color w:val="000000"/>
          <w:sz w:val="20"/>
          <w:szCs w:val="20"/>
          <w:lang w:eastAsia="pt-BR"/>
        </w:rPr>
        <w:t>99999999999999.99</w:t>
      </w:r>
      <w:r w:rsidRPr="00EE0371">
        <w:rPr>
          <w:rFonts w:ascii="Arial" w:eastAsia="Times New Roman" w:hAnsi="Arial" w:cs="Arial"/>
          <w:color w:val="000000"/>
          <w:sz w:val="20"/>
          <w:szCs w:val="20"/>
          <w:lang w:eastAsia="pt-BR"/>
        </w:rPr>
        <w:t xml:space="preserve">&lt;/ValorSituacao2&gt; </w:t>
      </w:r>
    </w:p>
    <w:p w14:paraId="04CCA103" w14:textId="77777777" w:rsidR="00EE0371" w:rsidRPr="00EE0371" w:rsidRDefault="00EE0371" w:rsidP="00EE0371">
      <w:pPr>
        <w:spacing w:after="0" w:line="240" w:lineRule="auto"/>
        <w:ind w:left="1418"/>
        <w:rPr>
          <w:rFonts w:ascii="Arial" w:eastAsia="Times New Roman" w:hAnsi="Arial" w:cs="Arial"/>
          <w:color w:val="000000"/>
          <w:sz w:val="20"/>
          <w:szCs w:val="20"/>
          <w:lang w:eastAsia="pt-BR"/>
        </w:rPr>
      </w:pPr>
      <w:r w:rsidRPr="00EE0371">
        <w:rPr>
          <w:rFonts w:ascii="Arial" w:eastAsia="Times New Roman" w:hAnsi="Arial" w:cs="Arial"/>
          <w:color w:val="000000"/>
          <w:sz w:val="20"/>
          <w:szCs w:val="20"/>
          <w:lang w:eastAsia="pt-BR"/>
        </w:rPr>
        <w:t>&lt;DescricaoSituacao3&gt;</w:t>
      </w:r>
      <w:r w:rsidRPr="00EE0371">
        <w:rPr>
          <w:rFonts w:ascii="Arial" w:eastAsia="Times New Roman" w:hAnsi="Arial" w:cs="Arial"/>
          <w:b/>
          <w:color w:val="000000"/>
          <w:sz w:val="20"/>
          <w:szCs w:val="20"/>
          <w:lang w:eastAsia="pt-BR"/>
        </w:rPr>
        <w:t xml:space="preserve"> XXX...XXX</w:t>
      </w:r>
      <w:r w:rsidRPr="00EE0371">
        <w:rPr>
          <w:rFonts w:ascii="Arial" w:eastAsia="Times New Roman" w:hAnsi="Arial" w:cs="Arial"/>
          <w:color w:val="000000"/>
          <w:sz w:val="20"/>
          <w:szCs w:val="20"/>
          <w:lang w:eastAsia="pt-BR"/>
        </w:rPr>
        <w:t xml:space="preserve"> &lt;/DescricaoSituacao3&gt; </w:t>
      </w:r>
    </w:p>
    <w:p w14:paraId="3949B27A" w14:textId="77777777" w:rsidR="00EE0371" w:rsidRPr="00EE0371" w:rsidRDefault="00EE0371" w:rsidP="00EE0371">
      <w:pPr>
        <w:spacing w:after="0" w:line="240" w:lineRule="auto"/>
        <w:ind w:left="1418"/>
        <w:rPr>
          <w:rFonts w:ascii="Arial" w:eastAsia="Times New Roman" w:hAnsi="Arial" w:cs="Arial"/>
          <w:color w:val="000000"/>
          <w:sz w:val="20"/>
          <w:szCs w:val="20"/>
          <w:lang w:eastAsia="pt-BR"/>
        </w:rPr>
      </w:pPr>
      <w:r w:rsidRPr="00EE0371">
        <w:rPr>
          <w:rFonts w:ascii="Arial" w:eastAsia="Times New Roman" w:hAnsi="Arial" w:cs="Arial"/>
          <w:color w:val="000000"/>
          <w:sz w:val="20"/>
          <w:szCs w:val="20"/>
          <w:lang w:eastAsia="pt-BR"/>
        </w:rPr>
        <w:t>&lt;ValorSituacao3&gt;</w:t>
      </w:r>
      <w:r w:rsidRPr="00EE0371">
        <w:rPr>
          <w:rFonts w:ascii="Arial" w:eastAsia="Times New Roman" w:hAnsi="Arial" w:cs="Arial"/>
          <w:b/>
          <w:color w:val="000000"/>
          <w:sz w:val="20"/>
          <w:szCs w:val="20"/>
          <w:lang w:eastAsia="pt-BR"/>
        </w:rPr>
        <w:t>99999999999999.99</w:t>
      </w:r>
      <w:r w:rsidRPr="00EE0371">
        <w:rPr>
          <w:rFonts w:ascii="Arial" w:eastAsia="Times New Roman" w:hAnsi="Arial" w:cs="Arial"/>
          <w:color w:val="000000"/>
          <w:sz w:val="20"/>
          <w:szCs w:val="20"/>
          <w:lang w:eastAsia="pt-BR"/>
        </w:rPr>
        <w:t xml:space="preserve">&lt;/ValorSituacao3&gt; </w:t>
      </w:r>
    </w:p>
    <w:p w14:paraId="5B50C99C" w14:textId="77777777" w:rsidR="00EE0371" w:rsidRPr="00EE0371" w:rsidRDefault="00EE0371" w:rsidP="00EE0371">
      <w:pPr>
        <w:spacing w:after="0" w:line="240" w:lineRule="auto"/>
        <w:ind w:left="1418"/>
        <w:rPr>
          <w:rFonts w:ascii="Arial" w:eastAsia="Times New Roman" w:hAnsi="Arial" w:cs="Arial"/>
          <w:color w:val="000000"/>
          <w:sz w:val="20"/>
          <w:szCs w:val="20"/>
          <w:lang w:eastAsia="pt-BR"/>
        </w:rPr>
      </w:pPr>
      <w:r w:rsidRPr="00EE0371">
        <w:rPr>
          <w:rFonts w:ascii="Arial" w:eastAsia="Times New Roman" w:hAnsi="Arial" w:cs="Arial"/>
          <w:color w:val="000000"/>
          <w:sz w:val="20"/>
          <w:szCs w:val="20"/>
          <w:lang w:eastAsia="pt-BR"/>
        </w:rPr>
        <w:t>&lt;DescricaoSituacao4&gt;</w:t>
      </w:r>
      <w:r w:rsidRPr="00EE0371">
        <w:rPr>
          <w:rFonts w:ascii="Arial" w:eastAsia="Times New Roman" w:hAnsi="Arial" w:cs="Arial"/>
          <w:b/>
          <w:color w:val="000000"/>
          <w:sz w:val="20"/>
          <w:szCs w:val="20"/>
          <w:lang w:eastAsia="pt-BR"/>
        </w:rPr>
        <w:t xml:space="preserve"> XXX...XXX</w:t>
      </w:r>
      <w:r w:rsidRPr="00EE0371">
        <w:rPr>
          <w:rFonts w:ascii="Arial" w:eastAsia="Times New Roman" w:hAnsi="Arial" w:cs="Arial"/>
          <w:color w:val="000000"/>
          <w:sz w:val="20"/>
          <w:szCs w:val="20"/>
          <w:lang w:eastAsia="pt-BR"/>
        </w:rPr>
        <w:t xml:space="preserve"> &lt;/DescricaoSituacao4&gt; </w:t>
      </w:r>
    </w:p>
    <w:p w14:paraId="455356F7" w14:textId="77777777" w:rsidR="00EE0371" w:rsidRPr="00EE0371" w:rsidRDefault="00EE0371" w:rsidP="00EE0371">
      <w:pPr>
        <w:spacing w:after="0" w:line="240" w:lineRule="auto"/>
        <w:ind w:left="1418"/>
        <w:rPr>
          <w:rFonts w:ascii="Arial" w:eastAsia="Times New Roman" w:hAnsi="Arial" w:cs="Arial"/>
          <w:color w:val="000000"/>
          <w:sz w:val="20"/>
          <w:szCs w:val="20"/>
          <w:lang w:eastAsia="pt-BR"/>
        </w:rPr>
      </w:pPr>
      <w:r w:rsidRPr="00EE0371">
        <w:rPr>
          <w:rFonts w:ascii="Arial" w:eastAsia="Times New Roman" w:hAnsi="Arial" w:cs="Arial"/>
          <w:color w:val="000000"/>
          <w:sz w:val="20"/>
          <w:szCs w:val="20"/>
          <w:lang w:eastAsia="pt-BR"/>
        </w:rPr>
        <w:t>&lt;ValorSituacao4&gt;</w:t>
      </w:r>
      <w:r w:rsidRPr="00EE0371">
        <w:rPr>
          <w:rFonts w:ascii="Arial" w:eastAsia="Times New Roman" w:hAnsi="Arial" w:cs="Arial"/>
          <w:b/>
          <w:color w:val="000000"/>
          <w:sz w:val="20"/>
          <w:szCs w:val="20"/>
          <w:lang w:eastAsia="pt-BR"/>
        </w:rPr>
        <w:t>99999999999999.99</w:t>
      </w:r>
      <w:r w:rsidRPr="00EE0371">
        <w:rPr>
          <w:rFonts w:ascii="Arial" w:eastAsia="Times New Roman" w:hAnsi="Arial" w:cs="Arial"/>
          <w:color w:val="000000"/>
          <w:sz w:val="20"/>
          <w:szCs w:val="20"/>
          <w:lang w:eastAsia="pt-BR"/>
        </w:rPr>
        <w:t xml:space="preserve">&lt;/ValorSituacao4&gt; </w:t>
      </w:r>
    </w:p>
    <w:p w14:paraId="293C0DC9" w14:textId="77777777" w:rsidR="00EE0371" w:rsidRPr="00EE0371" w:rsidRDefault="00EE0371" w:rsidP="00EE0371">
      <w:pPr>
        <w:spacing w:after="0" w:line="240" w:lineRule="auto"/>
        <w:ind w:firstLineChars="500" w:firstLine="1000"/>
        <w:rPr>
          <w:rFonts w:ascii="Arial" w:eastAsia="Times New Roman" w:hAnsi="Arial" w:cs="Arial"/>
          <w:color w:val="000000"/>
          <w:sz w:val="20"/>
          <w:szCs w:val="20"/>
          <w:lang w:eastAsia="pt-BR"/>
        </w:rPr>
      </w:pPr>
      <w:r w:rsidRPr="00EE0371">
        <w:rPr>
          <w:rFonts w:ascii="Arial" w:eastAsia="Times New Roman" w:hAnsi="Arial" w:cs="Arial"/>
          <w:color w:val="000000"/>
          <w:sz w:val="20"/>
          <w:szCs w:val="20"/>
          <w:lang w:eastAsia="pt-BR"/>
        </w:rPr>
        <w:t>&lt;/TermoVerificacaoDisponibilidadeFinanceira&gt;</w:t>
      </w:r>
    </w:p>
    <w:p w14:paraId="7FE99981" w14:textId="77777777" w:rsidR="00EE0371" w:rsidRPr="00EE0371" w:rsidRDefault="00EE0371" w:rsidP="00EE0371">
      <w:pPr>
        <w:spacing w:after="0" w:line="240" w:lineRule="auto"/>
        <w:ind w:firstLineChars="400" w:firstLine="800"/>
        <w:rPr>
          <w:rFonts w:ascii="Arial" w:eastAsia="Times New Roman" w:hAnsi="Arial" w:cs="Arial"/>
          <w:color w:val="000000"/>
          <w:sz w:val="20"/>
          <w:szCs w:val="20"/>
          <w:lang w:eastAsia="pt-BR"/>
        </w:rPr>
      </w:pPr>
    </w:p>
    <w:p w14:paraId="3FB2E0A0" w14:textId="77777777" w:rsidR="00EE0371" w:rsidRPr="00EE0371" w:rsidRDefault="00EE0371" w:rsidP="00EE0371">
      <w:pPr>
        <w:spacing w:after="0" w:line="240" w:lineRule="auto"/>
        <w:ind w:firstLineChars="500" w:firstLine="1000"/>
        <w:rPr>
          <w:rFonts w:ascii="Arial" w:eastAsia="Times New Roman" w:hAnsi="Arial" w:cs="Arial"/>
          <w:color w:val="000000"/>
          <w:sz w:val="20"/>
          <w:szCs w:val="20"/>
          <w:lang w:eastAsia="pt-BR"/>
        </w:rPr>
      </w:pPr>
      <w:r w:rsidRPr="00EE0371">
        <w:rPr>
          <w:rFonts w:ascii="Arial" w:eastAsia="Times New Roman" w:hAnsi="Arial" w:cs="Arial"/>
          <w:color w:val="000000"/>
          <w:sz w:val="20"/>
          <w:szCs w:val="20"/>
          <w:lang w:eastAsia="pt-BR"/>
        </w:rPr>
        <w:t>&lt;TermoVerificacaoDisponibilidadeFinanceiraFonte&gt;</w:t>
      </w:r>
    </w:p>
    <w:p w14:paraId="4C603038" w14:textId="77777777" w:rsidR="00EE0371" w:rsidRDefault="00EE0371" w:rsidP="00EE0371">
      <w:pPr>
        <w:spacing w:after="0" w:line="240" w:lineRule="auto"/>
        <w:ind w:left="1418"/>
        <w:rPr>
          <w:rFonts w:ascii="Arial" w:eastAsia="Times New Roman" w:hAnsi="Arial" w:cs="Arial"/>
          <w:color w:val="000000"/>
          <w:sz w:val="20"/>
          <w:szCs w:val="20"/>
          <w:lang w:eastAsia="pt-BR"/>
        </w:rPr>
      </w:pPr>
      <w:r w:rsidRPr="00EE0371">
        <w:rPr>
          <w:rFonts w:ascii="Arial" w:eastAsia="Times New Roman" w:hAnsi="Arial" w:cs="Arial"/>
          <w:color w:val="000000"/>
          <w:sz w:val="20"/>
          <w:szCs w:val="20"/>
          <w:lang w:eastAsia="pt-BR"/>
        </w:rPr>
        <w:t>&lt;IdNumRegistro&gt;</w:t>
      </w:r>
      <w:r w:rsidRPr="00EE0371">
        <w:rPr>
          <w:rFonts w:ascii="Arial" w:eastAsia="Times New Roman" w:hAnsi="Arial" w:cs="Arial"/>
          <w:b/>
          <w:color w:val="000000"/>
          <w:sz w:val="20"/>
          <w:szCs w:val="20"/>
          <w:lang w:eastAsia="pt-BR"/>
        </w:rPr>
        <w:t>99999</w:t>
      </w:r>
      <w:r w:rsidRPr="00EE0371">
        <w:rPr>
          <w:rFonts w:ascii="Arial" w:eastAsia="Times New Roman" w:hAnsi="Arial" w:cs="Arial"/>
          <w:color w:val="000000"/>
          <w:sz w:val="20"/>
          <w:szCs w:val="20"/>
          <w:lang w:eastAsia="pt-BR"/>
        </w:rPr>
        <w:t>&lt;/IdNumRegistro&gt;</w:t>
      </w:r>
    </w:p>
    <w:p w14:paraId="2126A2DF" w14:textId="77777777" w:rsidR="00EE0371" w:rsidRPr="00EE0371" w:rsidRDefault="00EE0371" w:rsidP="00EE0371">
      <w:pPr>
        <w:spacing w:after="0" w:line="240" w:lineRule="auto"/>
        <w:ind w:left="1418"/>
        <w:rPr>
          <w:rFonts w:ascii="Arial" w:eastAsia="Times New Roman" w:hAnsi="Arial" w:cs="Arial"/>
          <w:color w:val="000000"/>
          <w:sz w:val="20"/>
          <w:szCs w:val="20"/>
          <w:lang w:eastAsia="pt-BR"/>
        </w:rPr>
      </w:pPr>
      <w:r w:rsidRPr="00EE0371">
        <w:rPr>
          <w:rFonts w:ascii="Arial" w:eastAsia="Times New Roman" w:hAnsi="Arial" w:cs="Arial"/>
          <w:color w:val="000000"/>
          <w:sz w:val="20"/>
          <w:szCs w:val="20"/>
          <w:lang w:eastAsia="pt-BR"/>
        </w:rPr>
        <w:t>&lt;MesCompetencia&gt;</w:t>
      </w:r>
      <w:r w:rsidRPr="00EE0371">
        <w:rPr>
          <w:rFonts w:ascii="Arial" w:eastAsia="Times New Roman" w:hAnsi="Arial" w:cs="Arial"/>
          <w:b/>
          <w:color w:val="000000"/>
          <w:sz w:val="20"/>
          <w:szCs w:val="20"/>
          <w:lang w:eastAsia="pt-BR"/>
        </w:rPr>
        <w:t>99</w:t>
      </w:r>
      <w:r w:rsidRPr="00EE0371">
        <w:rPr>
          <w:rFonts w:ascii="Arial" w:eastAsia="Times New Roman" w:hAnsi="Arial" w:cs="Arial"/>
          <w:color w:val="000000"/>
          <w:sz w:val="20"/>
          <w:szCs w:val="20"/>
          <w:lang w:eastAsia="pt-BR"/>
        </w:rPr>
        <w:t>&lt;/MesCompetencia&gt;</w:t>
      </w:r>
    </w:p>
    <w:p w14:paraId="62430646" w14:textId="77777777" w:rsidR="00EE0371" w:rsidRPr="00EE0371" w:rsidRDefault="00EE0371" w:rsidP="00EE0371">
      <w:pPr>
        <w:spacing w:after="0" w:line="240" w:lineRule="auto"/>
        <w:ind w:left="1418"/>
        <w:rPr>
          <w:rFonts w:ascii="Arial" w:eastAsia="Times New Roman" w:hAnsi="Arial" w:cs="Arial"/>
          <w:color w:val="000000"/>
          <w:sz w:val="20"/>
          <w:szCs w:val="20"/>
          <w:lang w:eastAsia="pt-BR"/>
        </w:rPr>
      </w:pPr>
      <w:r w:rsidRPr="00EE0371">
        <w:rPr>
          <w:rFonts w:ascii="Arial" w:eastAsia="Times New Roman" w:hAnsi="Arial" w:cs="Arial"/>
          <w:color w:val="000000"/>
          <w:sz w:val="20"/>
          <w:szCs w:val="20"/>
          <w:lang w:eastAsia="pt-BR"/>
        </w:rPr>
        <w:t>&lt;CodigoBanco&gt;</w:t>
      </w:r>
      <w:r w:rsidRPr="00EE0371">
        <w:rPr>
          <w:rFonts w:ascii="Arial" w:eastAsia="Times New Roman" w:hAnsi="Arial" w:cs="Arial"/>
          <w:b/>
          <w:color w:val="000000"/>
          <w:sz w:val="20"/>
          <w:szCs w:val="20"/>
          <w:lang w:eastAsia="pt-BR"/>
        </w:rPr>
        <w:t>XXX</w:t>
      </w:r>
      <w:r w:rsidRPr="00EE0371">
        <w:rPr>
          <w:rFonts w:ascii="Arial" w:eastAsia="Times New Roman" w:hAnsi="Arial" w:cs="Arial"/>
          <w:color w:val="000000"/>
          <w:sz w:val="20"/>
          <w:szCs w:val="20"/>
          <w:lang w:eastAsia="pt-BR"/>
        </w:rPr>
        <w:t xml:space="preserve">&lt;/CodigoBanco&gt; </w:t>
      </w:r>
    </w:p>
    <w:p w14:paraId="40548D49" w14:textId="77777777" w:rsidR="00EE0371" w:rsidRDefault="00EE0371" w:rsidP="00EE0371">
      <w:pPr>
        <w:spacing w:after="0" w:line="240" w:lineRule="auto"/>
        <w:ind w:left="1418"/>
        <w:rPr>
          <w:rFonts w:ascii="Arial" w:eastAsia="Times New Roman" w:hAnsi="Arial" w:cs="Arial"/>
          <w:color w:val="000000"/>
          <w:sz w:val="20"/>
          <w:szCs w:val="20"/>
          <w:lang w:eastAsia="pt-BR"/>
        </w:rPr>
      </w:pPr>
      <w:r w:rsidRPr="00EE0371">
        <w:rPr>
          <w:rFonts w:ascii="Arial" w:eastAsia="Times New Roman" w:hAnsi="Arial" w:cs="Arial"/>
          <w:color w:val="000000"/>
          <w:sz w:val="20"/>
          <w:szCs w:val="20"/>
          <w:lang w:eastAsia="pt-BR"/>
        </w:rPr>
        <w:t>&lt;CodigoAgencia&gt;</w:t>
      </w:r>
      <w:r w:rsidRPr="00EE0371">
        <w:rPr>
          <w:rFonts w:ascii="Arial" w:eastAsia="Times New Roman" w:hAnsi="Arial" w:cs="Arial"/>
          <w:b/>
          <w:color w:val="000000"/>
          <w:sz w:val="20"/>
          <w:szCs w:val="20"/>
          <w:lang w:eastAsia="pt-BR"/>
        </w:rPr>
        <w:t>XXX...XXX</w:t>
      </w:r>
      <w:r w:rsidRPr="00EE0371">
        <w:rPr>
          <w:rFonts w:ascii="Arial" w:eastAsia="Times New Roman" w:hAnsi="Arial" w:cs="Arial"/>
          <w:color w:val="000000"/>
          <w:sz w:val="20"/>
          <w:szCs w:val="20"/>
          <w:lang w:eastAsia="pt-BR"/>
        </w:rPr>
        <w:t xml:space="preserve">&lt;/CodigoAgencia&gt; </w:t>
      </w:r>
    </w:p>
    <w:p w14:paraId="06BD0BE7" w14:textId="77777777" w:rsidR="00DD49C9" w:rsidRPr="00D73542" w:rsidRDefault="00DD49C9" w:rsidP="00DD49C9">
      <w:pPr>
        <w:spacing w:after="0" w:line="240" w:lineRule="auto"/>
        <w:ind w:left="1418"/>
        <w:rPr>
          <w:rFonts w:ascii="Arial" w:eastAsia="Times New Roman" w:hAnsi="Arial" w:cs="Arial"/>
          <w:sz w:val="20"/>
          <w:szCs w:val="20"/>
          <w:lang w:eastAsia="pt-BR"/>
        </w:rPr>
      </w:pPr>
      <w:r w:rsidRPr="00D73542">
        <w:rPr>
          <w:rFonts w:ascii="Arial" w:eastAsia="Times New Roman" w:hAnsi="Arial" w:cs="Arial"/>
          <w:sz w:val="20"/>
          <w:szCs w:val="20"/>
          <w:lang w:eastAsia="pt-BR"/>
        </w:rPr>
        <w:t>&lt;DigitoVerificadorAgencia&gt;</w:t>
      </w:r>
      <w:r w:rsidRPr="00D73542">
        <w:rPr>
          <w:rFonts w:ascii="Arial" w:eastAsia="Times New Roman" w:hAnsi="Arial" w:cs="Arial"/>
          <w:b/>
          <w:sz w:val="20"/>
          <w:szCs w:val="20"/>
          <w:lang w:eastAsia="pt-BR"/>
        </w:rPr>
        <w:t>X</w:t>
      </w:r>
      <w:r w:rsidRPr="00D73542">
        <w:rPr>
          <w:rFonts w:ascii="Arial" w:eastAsia="Times New Roman" w:hAnsi="Arial" w:cs="Arial"/>
          <w:sz w:val="20"/>
          <w:szCs w:val="20"/>
          <w:lang w:eastAsia="pt-BR"/>
        </w:rPr>
        <w:t>&lt;/DigitoVerificadorAgencia&gt;</w:t>
      </w:r>
    </w:p>
    <w:p w14:paraId="1D7E635A" w14:textId="77777777" w:rsidR="00EE0371" w:rsidRDefault="00EE0371" w:rsidP="00EE0371">
      <w:pPr>
        <w:spacing w:after="0" w:line="240" w:lineRule="auto"/>
        <w:ind w:left="1418"/>
        <w:rPr>
          <w:rFonts w:ascii="Arial" w:eastAsia="Times New Roman" w:hAnsi="Arial" w:cs="Arial"/>
          <w:color w:val="000000"/>
          <w:sz w:val="20"/>
          <w:szCs w:val="20"/>
          <w:lang w:eastAsia="pt-BR"/>
        </w:rPr>
      </w:pPr>
      <w:r w:rsidRPr="00EE0371">
        <w:rPr>
          <w:rFonts w:ascii="Arial" w:eastAsia="Times New Roman" w:hAnsi="Arial" w:cs="Arial"/>
          <w:color w:val="000000"/>
          <w:sz w:val="20"/>
          <w:szCs w:val="20"/>
          <w:lang w:eastAsia="pt-BR"/>
        </w:rPr>
        <w:t>&lt;NumeroContaBancaria&gt;</w:t>
      </w:r>
      <w:r w:rsidRPr="00EE0371">
        <w:rPr>
          <w:rFonts w:ascii="Arial" w:eastAsia="Times New Roman" w:hAnsi="Arial" w:cs="Arial"/>
          <w:b/>
          <w:color w:val="000000"/>
          <w:sz w:val="20"/>
          <w:szCs w:val="20"/>
          <w:lang w:eastAsia="pt-BR"/>
        </w:rPr>
        <w:t>XXX...XXX</w:t>
      </w:r>
      <w:r w:rsidRPr="00EE0371">
        <w:rPr>
          <w:rFonts w:ascii="Arial" w:eastAsia="Times New Roman" w:hAnsi="Arial" w:cs="Arial"/>
          <w:color w:val="000000"/>
          <w:sz w:val="20"/>
          <w:szCs w:val="20"/>
          <w:lang w:eastAsia="pt-BR"/>
        </w:rPr>
        <w:t xml:space="preserve">&lt;/NumeroContaBancaria&gt; </w:t>
      </w:r>
    </w:p>
    <w:p w14:paraId="14B643A6" w14:textId="77777777" w:rsidR="00DD49C9" w:rsidRPr="00D73542" w:rsidRDefault="00DD49C9" w:rsidP="00DD49C9">
      <w:pPr>
        <w:spacing w:after="0" w:line="240" w:lineRule="auto"/>
        <w:ind w:left="1418"/>
        <w:rPr>
          <w:rFonts w:ascii="Arial" w:eastAsia="Times New Roman" w:hAnsi="Arial" w:cs="Arial"/>
          <w:sz w:val="20"/>
          <w:szCs w:val="20"/>
          <w:lang w:eastAsia="pt-BR"/>
        </w:rPr>
      </w:pPr>
      <w:r w:rsidRPr="00D73542">
        <w:rPr>
          <w:rFonts w:ascii="Arial" w:eastAsia="Times New Roman" w:hAnsi="Arial" w:cs="Arial"/>
          <w:sz w:val="20"/>
          <w:szCs w:val="20"/>
          <w:lang w:eastAsia="pt-BR"/>
        </w:rPr>
        <w:t>&lt;DigitoVerificadorContaBancaria&gt;</w:t>
      </w:r>
      <w:r w:rsidRPr="00D73542">
        <w:rPr>
          <w:rFonts w:ascii="Arial" w:eastAsia="Times New Roman" w:hAnsi="Arial" w:cs="Arial"/>
          <w:b/>
          <w:sz w:val="20"/>
          <w:szCs w:val="20"/>
          <w:lang w:eastAsia="pt-BR"/>
        </w:rPr>
        <w:t>X</w:t>
      </w:r>
      <w:r w:rsidRPr="00D73542">
        <w:rPr>
          <w:rFonts w:ascii="Arial" w:eastAsia="Times New Roman" w:hAnsi="Arial" w:cs="Arial"/>
          <w:sz w:val="20"/>
          <w:szCs w:val="20"/>
          <w:lang w:eastAsia="pt-BR"/>
        </w:rPr>
        <w:t>&lt;/DigitoVerificadorContaBancaria&gt;</w:t>
      </w:r>
    </w:p>
    <w:p w14:paraId="2F4DE384" w14:textId="77777777" w:rsidR="00EE0371" w:rsidRPr="00EE0371" w:rsidRDefault="00EE0371" w:rsidP="00EE0371">
      <w:pPr>
        <w:spacing w:after="0" w:line="240" w:lineRule="auto"/>
        <w:ind w:left="1418"/>
        <w:rPr>
          <w:rFonts w:ascii="Arial" w:eastAsia="Times New Roman" w:hAnsi="Arial" w:cs="Arial"/>
          <w:color w:val="000000"/>
          <w:sz w:val="20"/>
          <w:szCs w:val="20"/>
          <w:lang w:eastAsia="pt-BR"/>
        </w:rPr>
      </w:pPr>
      <w:r w:rsidRPr="00EE0371">
        <w:rPr>
          <w:rFonts w:ascii="Arial" w:eastAsia="Times New Roman" w:hAnsi="Arial" w:cs="Arial"/>
          <w:color w:val="000000"/>
          <w:sz w:val="20"/>
          <w:szCs w:val="20"/>
          <w:lang w:eastAsia="pt-BR"/>
        </w:rPr>
        <w:t>&lt;TipoContaBancaria&gt;9&lt;/TipoContaBancaria&gt;</w:t>
      </w:r>
    </w:p>
    <w:p w14:paraId="5A1DF8DF" w14:textId="77777777" w:rsidR="00EE0371" w:rsidRPr="00EE0371" w:rsidRDefault="00EE0371" w:rsidP="00EE0371">
      <w:pPr>
        <w:spacing w:after="0" w:line="240" w:lineRule="auto"/>
        <w:ind w:left="1418"/>
        <w:rPr>
          <w:rFonts w:ascii="Arial" w:eastAsia="Times New Roman" w:hAnsi="Arial" w:cs="Arial"/>
          <w:color w:val="000000"/>
          <w:sz w:val="20"/>
          <w:szCs w:val="20"/>
          <w:lang w:eastAsia="pt-BR"/>
        </w:rPr>
      </w:pPr>
      <w:r w:rsidRPr="00EE0371">
        <w:rPr>
          <w:rFonts w:ascii="Arial" w:eastAsia="Times New Roman" w:hAnsi="Arial" w:cs="Arial"/>
          <w:color w:val="000000"/>
          <w:sz w:val="20"/>
          <w:szCs w:val="20"/>
          <w:lang w:eastAsia="pt-BR"/>
        </w:rPr>
        <w:t>&lt;ComplementoContaBancaria&gt;</w:t>
      </w:r>
      <w:r w:rsidRPr="00EE0371">
        <w:rPr>
          <w:rFonts w:ascii="Arial" w:eastAsia="Times New Roman" w:hAnsi="Arial" w:cs="Arial"/>
          <w:b/>
          <w:color w:val="000000"/>
          <w:sz w:val="20"/>
          <w:szCs w:val="20"/>
          <w:lang w:eastAsia="pt-BR"/>
        </w:rPr>
        <w:t>XXXXXXXXXX</w:t>
      </w:r>
      <w:r w:rsidRPr="00EE0371">
        <w:rPr>
          <w:rFonts w:ascii="Arial" w:eastAsia="Times New Roman" w:hAnsi="Arial" w:cs="Arial"/>
          <w:color w:val="000000"/>
          <w:sz w:val="20"/>
          <w:szCs w:val="20"/>
          <w:lang w:eastAsia="pt-BR"/>
        </w:rPr>
        <w:t xml:space="preserve">&lt;/ComplementoContaBancaria&gt; </w:t>
      </w:r>
    </w:p>
    <w:p w14:paraId="4AE16C83" w14:textId="77777777" w:rsidR="00EE0371" w:rsidRPr="00EE0371" w:rsidRDefault="00EE0371" w:rsidP="00EE0371">
      <w:pPr>
        <w:spacing w:after="0" w:line="240" w:lineRule="auto"/>
        <w:ind w:left="1418"/>
        <w:rPr>
          <w:rFonts w:ascii="Arial" w:eastAsia="Times New Roman" w:hAnsi="Arial" w:cs="Arial"/>
          <w:color w:val="000000"/>
          <w:sz w:val="20"/>
          <w:szCs w:val="20"/>
          <w:lang w:eastAsia="pt-BR"/>
        </w:rPr>
      </w:pPr>
      <w:r w:rsidRPr="00EE0371">
        <w:rPr>
          <w:rFonts w:ascii="Arial" w:eastAsia="Times New Roman" w:hAnsi="Arial" w:cs="Arial"/>
          <w:color w:val="000000"/>
          <w:sz w:val="20"/>
          <w:szCs w:val="20"/>
          <w:lang w:eastAsia="pt-BR"/>
        </w:rPr>
        <w:t xml:space="preserve">&lt;CodigoContabil&gt;999999999&lt;/CodigoContabil&gt; </w:t>
      </w:r>
    </w:p>
    <w:p w14:paraId="450CADD7" w14:textId="77777777" w:rsidR="00EE0371" w:rsidRPr="00EE0371" w:rsidRDefault="00EE0371" w:rsidP="00EE0371">
      <w:pPr>
        <w:spacing w:after="0" w:line="240" w:lineRule="auto"/>
        <w:ind w:left="1418"/>
        <w:rPr>
          <w:rFonts w:ascii="Arial" w:eastAsia="Times New Roman" w:hAnsi="Arial" w:cs="Arial"/>
          <w:color w:val="000000"/>
          <w:sz w:val="20"/>
          <w:szCs w:val="20"/>
          <w:lang w:eastAsia="pt-BR"/>
        </w:rPr>
      </w:pPr>
      <w:r w:rsidRPr="00EE0371">
        <w:rPr>
          <w:rFonts w:ascii="Arial" w:eastAsia="Times New Roman" w:hAnsi="Arial" w:cs="Arial"/>
          <w:color w:val="000000"/>
          <w:sz w:val="20"/>
          <w:szCs w:val="20"/>
          <w:lang w:eastAsia="pt-BR"/>
        </w:rPr>
        <w:t>&lt;CodigoGrupoFonteDestinacaoRecursos&gt;</w:t>
      </w:r>
      <w:r w:rsidRPr="00EE0371">
        <w:rPr>
          <w:rFonts w:ascii="Arial" w:eastAsia="Times New Roman" w:hAnsi="Arial" w:cs="Arial"/>
          <w:b/>
          <w:color w:val="000000"/>
          <w:sz w:val="20"/>
          <w:szCs w:val="20"/>
          <w:lang w:eastAsia="pt-BR"/>
        </w:rPr>
        <w:t>9</w:t>
      </w:r>
      <w:r w:rsidRPr="00EE0371">
        <w:rPr>
          <w:rFonts w:ascii="Arial" w:eastAsia="Times New Roman" w:hAnsi="Arial" w:cs="Arial"/>
          <w:color w:val="000000"/>
          <w:sz w:val="20"/>
          <w:szCs w:val="20"/>
          <w:lang w:eastAsia="pt-BR"/>
        </w:rPr>
        <w:t>&lt;/CodigoGrupoFonteDestinacaoRecursos&gt;</w:t>
      </w:r>
    </w:p>
    <w:p w14:paraId="1275D931" w14:textId="77777777" w:rsidR="00EE0371" w:rsidRPr="00EE0371" w:rsidRDefault="00EE0371" w:rsidP="00EE0371">
      <w:pPr>
        <w:spacing w:after="0" w:line="240" w:lineRule="auto"/>
        <w:ind w:left="1418"/>
        <w:rPr>
          <w:rFonts w:ascii="Arial" w:eastAsia="Times New Roman" w:hAnsi="Arial" w:cs="Arial"/>
          <w:b/>
          <w:color w:val="000000"/>
          <w:sz w:val="20"/>
          <w:szCs w:val="20"/>
          <w:lang w:eastAsia="pt-BR"/>
        </w:rPr>
      </w:pPr>
      <w:r w:rsidRPr="00EE0371">
        <w:rPr>
          <w:rFonts w:ascii="Arial" w:eastAsia="Times New Roman" w:hAnsi="Arial" w:cs="Arial"/>
          <w:color w:val="000000"/>
          <w:sz w:val="20"/>
          <w:szCs w:val="20"/>
          <w:lang w:eastAsia="pt-BR"/>
        </w:rPr>
        <w:t>&lt;CodigoEspecificacaoFonteDestinacaoRecursos&gt;</w:t>
      </w:r>
      <w:r w:rsidRPr="00EE0371">
        <w:rPr>
          <w:rFonts w:ascii="Arial" w:eastAsia="Times New Roman" w:hAnsi="Arial" w:cs="Arial"/>
          <w:b/>
          <w:color w:val="000000"/>
          <w:sz w:val="20"/>
          <w:szCs w:val="20"/>
          <w:lang w:eastAsia="pt-BR"/>
        </w:rPr>
        <w:t>XXX</w:t>
      </w:r>
    </w:p>
    <w:p w14:paraId="4E19D63C" w14:textId="77777777" w:rsidR="00EE0371" w:rsidRPr="00EE0371" w:rsidRDefault="00EE0371" w:rsidP="00EE0371">
      <w:pPr>
        <w:spacing w:after="0" w:line="240" w:lineRule="auto"/>
        <w:ind w:left="1418"/>
        <w:rPr>
          <w:rFonts w:ascii="Arial" w:eastAsia="Times New Roman" w:hAnsi="Arial" w:cs="Arial"/>
          <w:color w:val="000000"/>
          <w:sz w:val="20"/>
          <w:szCs w:val="20"/>
          <w:lang w:eastAsia="pt-BR"/>
        </w:rPr>
      </w:pPr>
      <w:r w:rsidRPr="00EE0371">
        <w:rPr>
          <w:rFonts w:ascii="Arial" w:eastAsia="Times New Roman" w:hAnsi="Arial" w:cs="Arial"/>
          <w:color w:val="000000"/>
          <w:sz w:val="20"/>
          <w:szCs w:val="20"/>
          <w:lang w:eastAsia="pt-BR"/>
        </w:rPr>
        <w:t>&lt;/CodigoEspecificacaoFonteDestinacaoRecursos&gt;</w:t>
      </w:r>
    </w:p>
    <w:p w14:paraId="503CA6CB" w14:textId="77777777" w:rsidR="00EE0371" w:rsidRPr="00EE0371" w:rsidRDefault="00EE0371" w:rsidP="00EE0371">
      <w:pPr>
        <w:spacing w:after="0" w:line="240" w:lineRule="auto"/>
        <w:ind w:left="1418"/>
        <w:rPr>
          <w:rFonts w:ascii="Arial" w:eastAsia="Times New Roman" w:hAnsi="Arial" w:cs="Arial"/>
          <w:b/>
          <w:color w:val="000000"/>
          <w:sz w:val="20"/>
          <w:szCs w:val="20"/>
          <w:lang w:eastAsia="pt-BR"/>
        </w:rPr>
      </w:pPr>
      <w:r w:rsidRPr="00EE0371">
        <w:rPr>
          <w:rFonts w:ascii="Arial" w:eastAsia="Times New Roman" w:hAnsi="Arial" w:cs="Arial"/>
          <w:color w:val="000000"/>
          <w:sz w:val="20"/>
          <w:szCs w:val="20"/>
          <w:lang w:eastAsia="pt-BR"/>
        </w:rPr>
        <w:t>&lt;CodigoDetalhamentoFonteDestinacaoRecursos&gt;</w:t>
      </w:r>
      <w:r w:rsidRPr="00EE0371">
        <w:rPr>
          <w:rFonts w:ascii="Arial" w:eastAsia="Times New Roman" w:hAnsi="Arial" w:cs="Arial"/>
          <w:b/>
          <w:color w:val="000000"/>
          <w:sz w:val="20"/>
          <w:szCs w:val="20"/>
          <w:lang w:eastAsia="pt-BR"/>
        </w:rPr>
        <w:t>XXXX</w:t>
      </w:r>
    </w:p>
    <w:p w14:paraId="41D7A245" w14:textId="77777777" w:rsidR="00EE0371" w:rsidRPr="00EE0371" w:rsidRDefault="00EE0371" w:rsidP="00EE0371">
      <w:pPr>
        <w:spacing w:after="0" w:line="240" w:lineRule="auto"/>
        <w:ind w:left="1418"/>
        <w:rPr>
          <w:rFonts w:ascii="Arial" w:eastAsia="Times New Roman" w:hAnsi="Arial" w:cs="Arial"/>
          <w:color w:val="000000"/>
          <w:sz w:val="20"/>
          <w:szCs w:val="20"/>
          <w:lang w:eastAsia="pt-BR"/>
        </w:rPr>
      </w:pPr>
      <w:r w:rsidRPr="00EE0371">
        <w:rPr>
          <w:rFonts w:ascii="Arial" w:eastAsia="Times New Roman" w:hAnsi="Arial" w:cs="Arial"/>
          <w:color w:val="000000"/>
          <w:sz w:val="20"/>
          <w:szCs w:val="20"/>
          <w:lang w:eastAsia="pt-BR"/>
        </w:rPr>
        <w:t>&lt;/CodigoDetalhamentoFonteDestinacaoRecursos&gt;</w:t>
      </w:r>
    </w:p>
    <w:p w14:paraId="087919D2" w14:textId="77777777" w:rsidR="00EE0371" w:rsidRPr="00EE0371" w:rsidRDefault="00EE0371" w:rsidP="00EE0371">
      <w:pPr>
        <w:spacing w:after="0" w:line="240" w:lineRule="auto"/>
        <w:ind w:left="1418"/>
        <w:rPr>
          <w:rFonts w:ascii="Arial" w:eastAsia="Times New Roman" w:hAnsi="Arial" w:cs="Arial"/>
          <w:color w:val="000000"/>
          <w:sz w:val="20"/>
          <w:szCs w:val="20"/>
          <w:lang w:eastAsia="pt-BR"/>
        </w:rPr>
      </w:pPr>
      <w:r w:rsidRPr="00EE0371">
        <w:rPr>
          <w:rFonts w:ascii="Arial" w:eastAsia="Times New Roman" w:hAnsi="Arial" w:cs="Arial"/>
          <w:color w:val="000000"/>
          <w:sz w:val="20"/>
          <w:szCs w:val="20"/>
          <w:lang w:eastAsia="pt-BR"/>
        </w:rPr>
        <w:t>&lt;SaldoContabil&gt;</w:t>
      </w:r>
      <w:r w:rsidRPr="00EE0371">
        <w:rPr>
          <w:rFonts w:ascii="Arial" w:eastAsia="Times New Roman" w:hAnsi="Arial" w:cs="Arial"/>
          <w:b/>
          <w:color w:val="000000"/>
          <w:sz w:val="20"/>
          <w:szCs w:val="20"/>
          <w:lang w:eastAsia="pt-BR"/>
        </w:rPr>
        <w:t>99999999999999.99</w:t>
      </w:r>
      <w:r w:rsidRPr="00EE0371">
        <w:rPr>
          <w:rFonts w:ascii="Arial" w:eastAsia="Times New Roman" w:hAnsi="Arial" w:cs="Arial"/>
          <w:color w:val="000000"/>
          <w:sz w:val="20"/>
          <w:szCs w:val="20"/>
          <w:lang w:eastAsia="pt-BR"/>
        </w:rPr>
        <w:t xml:space="preserve">&lt;/SaldoContabil&gt; </w:t>
      </w:r>
    </w:p>
    <w:p w14:paraId="28E03E38" w14:textId="77777777" w:rsidR="00EE0371" w:rsidRPr="00EE0371" w:rsidRDefault="00EE0371" w:rsidP="00EE0371">
      <w:pPr>
        <w:spacing w:after="0" w:line="240" w:lineRule="auto"/>
        <w:ind w:firstLineChars="500" w:firstLine="1000"/>
        <w:rPr>
          <w:rFonts w:ascii="Arial" w:eastAsia="Times New Roman" w:hAnsi="Arial" w:cs="Arial"/>
          <w:color w:val="000000"/>
          <w:sz w:val="20"/>
          <w:szCs w:val="20"/>
          <w:lang w:eastAsia="pt-BR"/>
        </w:rPr>
      </w:pPr>
      <w:r w:rsidRPr="00EE0371">
        <w:rPr>
          <w:rFonts w:ascii="Arial" w:eastAsia="Times New Roman" w:hAnsi="Arial" w:cs="Arial"/>
          <w:color w:val="000000"/>
          <w:sz w:val="20"/>
          <w:szCs w:val="20"/>
          <w:lang w:eastAsia="pt-BR"/>
        </w:rPr>
        <w:t>&lt;/TermoVerificacaoDisponibilidadeFinanceiraFonte&gt;</w:t>
      </w:r>
    </w:p>
    <w:p w14:paraId="3DBFB546" w14:textId="77777777" w:rsidR="00EE0371" w:rsidRPr="00EE0371" w:rsidRDefault="00EE0371" w:rsidP="00EE0371">
      <w:pPr>
        <w:spacing w:after="0" w:line="240" w:lineRule="auto"/>
        <w:jc w:val="both"/>
        <w:rPr>
          <w:rFonts w:ascii="Arial" w:eastAsia="Times New Roman" w:hAnsi="Arial" w:cs="Arial"/>
          <w:color w:val="000000"/>
          <w:sz w:val="20"/>
          <w:szCs w:val="20"/>
          <w:lang w:eastAsia="pt-BR"/>
        </w:rPr>
      </w:pPr>
      <w:r w:rsidRPr="00EE0371">
        <w:rPr>
          <w:rFonts w:ascii="Arial" w:eastAsia="Times New Roman" w:hAnsi="Arial" w:cs="Arial"/>
          <w:color w:val="000000"/>
          <w:sz w:val="20"/>
          <w:szCs w:val="20"/>
          <w:lang w:eastAsia="pt-BR"/>
        </w:rPr>
        <w:t xml:space="preserve">     </w:t>
      </w:r>
    </w:p>
    <w:p w14:paraId="7E9A0A7A" w14:textId="77777777" w:rsidR="00EE0371" w:rsidRPr="00EE0371" w:rsidRDefault="00EE0371" w:rsidP="00EE0371">
      <w:pPr>
        <w:spacing w:after="0" w:line="240" w:lineRule="auto"/>
        <w:ind w:left="567"/>
        <w:jc w:val="both"/>
        <w:rPr>
          <w:rFonts w:ascii="Arial" w:eastAsia="Times New Roman" w:hAnsi="Arial" w:cs="Arial"/>
          <w:color w:val="000000"/>
          <w:sz w:val="20"/>
          <w:szCs w:val="20"/>
          <w:lang w:eastAsia="pt-BR"/>
        </w:rPr>
      </w:pPr>
      <w:r w:rsidRPr="00EE0371">
        <w:rPr>
          <w:rFonts w:ascii="Arial" w:eastAsia="Times New Roman" w:hAnsi="Arial" w:cs="Arial"/>
          <w:color w:val="000000"/>
          <w:sz w:val="20"/>
          <w:szCs w:val="20"/>
          <w:lang w:eastAsia="pt-BR"/>
        </w:rPr>
        <w:t>&lt;/TermoVerificacaoDisponibilidadeFinanceira_Schema&gt;</w:t>
      </w:r>
    </w:p>
    <w:p w14:paraId="7690F888" w14:textId="77777777" w:rsidR="00EE0371" w:rsidRPr="00EE0371" w:rsidRDefault="00EE0371" w:rsidP="00EE0371">
      <w:pPr>
        <w:spacing w:after="0" w:line="240" w:lineRule="auto"/>
        <w:rPr>
          <w:rFonts w:ascii="Arial" w:eastAsia="Times New Roman" w:hAnsi="Arial" w:cs="Arial"/>
          <w:color w:val="000000"/>
          <w:sz w:val="20"/>
          <w:szCs w:val="20"/>
          <w:lang w:eastAsia="pt-BR"/>
        </w:rPr>
      </w:pPr>
      <w:r w:rsidRPr="00EE0371">
        <w:rPr>
          <w:rFonts w:ascii="Arial" w:eastAsia="Times New Roman" w:hAnsi="Arial" w:cs="Arial"/>
          <w:color w:val="000000"/>
          <w:sz w:val="20"/>
          <w:szCs w:val="20"/>
          <w:lang w:eastAsia="pt-BR"/>
        </w:rPr>
        <w:t>&lt;/PrestacaoContasAnual&gt;</w:t>
      </w:r>
    </w:p>
    <w:p w14:paraId="329B7052" w14:textId="77777777" w:rsidR="00EE0371" w:rsidRPr="00EE0371" w:rsidRDefault="00EE0371" w:rsidP="00EE0371">
      <w:pPr>
        <w:spacing w:after="0" w:line="240" w:lineRule="auto"/>
        <w:ind w:right="-1"/>
        <w:jc w:val="both"/>
        <w:rPr>
          <w:rFonts w:ascii="Arial" w:hAnsi="Arial" w:cs="Arial"/>
          <w:sz w:val="20"/>
          <w:szCs w:val="20"/>
          <w:lang w:eastAsia="pt-BR"/>
        </w:rPr>
      </w:pPr>
    </w:p>
    <w:p w14:paraId="1030B775" w14:textId="77777777" w:rsidR="00EE0371" w:rsidRPr="00EE0371" w:rsidRDefault="00EE0371" w:rsidP="00EE0371">
      <w:pPr>
        <w:spacing w:after="0" w:line="240" w:lineRule="auto"/>
        <w:ind w:right="-1"/>
        <w:jc w:val="both"/>
        <w:rPr>
          <w:rFonts w:ascii="Arial" w:hAnsi="Arial" w:cs="Arial"/>
          <w:sz w:val="20"/>
          <w:szCs w:val="20"/>
          <w:lang w:eastAsia="pt-BR"/>
        </w:rPr>
      </w:pPr>
    </w:p>
    <w:tbl>
      <w:tblPr>
        <w:tblW w:w="9231" w:type="dxa"/>
        <w:tblInd w:w="60" w:type="dxa"/>
        <w:tblLayout w:type="fixed"/>
        <w:tblCellMar>
          <w:left w:w="70" w:type="dxa"/>
          <w:right w:w="70" w:type="dxa"/>
        </w:tblCellMar>
        <w:tblLook w:val="04A0" w:firstRow="1" w:lastRow="0" w:firstColumn="1" w:lastColumn="0" w:noHBand="0" w:noVBand="1"/>
      </w:tblPr>
      <w:tblGrid>
        <w:gridCol w:w="4405"/>
        <w:gridCol w:w="1276"/>
        <w:gridCol w:w="1358"/>
        <w:gridCol w:w="2192"/>
      </w:tblGrid>
      <w:tr w:rsidR="00EE0371" w:rsidRPr="00EE0371" w14:paraId="1835D850" w14:textId="77777777" w:rsidTr="00DD49C9">
        <w:trPr>
          <w:trHeight w:val="315"/>
        </w:trPr>
        <w:tc>
          <w:tcPr>
            <w:tcW w:w="4405" w:type="dxa"/>
            <w:tcBorders>
              <w:top w:val="single" w:sz="8" w:space="0" w:color="auto"/>
              <w:left w:val="single" w:sz="8" w:space="0" w:color="auto"/>
              <w:bottom w:val="single" w:sz="8" w:space="0" w:color="auto"/>
              <w:right w:val="single" w:sz="8" w:space="0" w:color="auto"/>
            </w:tcBorders>
            <w:shd w:val="clear" w:color="000000" w:fill="C0C0C0"/>
            <w:vAlign w:val="center"/>
            <w:hideMark/>
          </w:tcPr>
          <w:p w14:paraId="37FAC9CA" w14:textId="77777777" w:rsidR="00EE0371" w:rsidRPr="00EE0371" w:rsidRDefault="00EE0371" w:rsidP="00EE0371">
            <w:pPr>
              <w:spacing w:after="0" w:line="240" w:lineRule="auto"/>
              <w:jc w:val="center"/>
              <w:rPr>
                <w:rFonts w:ascii="Arial" w:eastAsia="Times New Roman" w:hAnsi="Arial" w:cs="Arial"/>
                <w:b/>
                <w:bCs/>
                <w:sz w:val="20"/>
                <w:szCs w:val="20"/>
                <w:lang w:eastAsia="pt-BR"/>
              </w:rPr>
            </w:pPr>
            <w:r w:rsidRPr="00EE0371">
              <w:rPr>
                <w:rFonts w:ascii="Arial" w:eastAsia="Times New Roman" w:hAnsi="Arial" w:cs="Arial"/>
                <w:b/>
                <w:bCs/>
                <w:sz w:val="20"/>
                <w:szCs w:val="20"/>
                <w:lang w:eastAsia="pt-BR"/>
              </w:rPr>
              <w:t>Campo</w:t>
            </w:r>
          </w:p>
        </w:tc>
        <w:tc>
          <w:tcPr>
            <w:tcW w:w="1276" w:type="dxa"/>
            <w:tcBorders>
              <w:top w:val="single" w:sz="8" w:space="0" w:color="auto"/>
              <w:left w:val="nil"/>
              <w:bottom w:val="single" w:sz="8" w:space="0" w:color="auto"/>
              <w:right w:val="single" w:sz="8" w:space="0" w:color="auto"/>
            </w:tcBorders>
            <w:shd w:val="clear" w:color="000000" w:fill="C0C0C0"/>
            <w:vAlign w:val="center"/>
            <w:hideMark/>
          </w:tcPr>
          <w:p w14:paraId="2B1C0C65" w14:textId="77777777" w:rsidR="00EE0371" w:rsidRPr="00EE0371" w:rsidRDefault="00EE0371" w:rsidP="00EE0371">
            <w:pPr>
              <w:spacing w:after="0" w:line="240" w:lineRule="auto"/>
              <w:jc w:val="center"/>
              <w:rPr>
                <w:rFonts w:ascii="Arial" w:eastAsia="Times New Roman" w:hAnsi="Arial" w:cs="Arial"/>
                <w:b/>
                <w:bCs/>
                <w:sz w:val="20"/>
                <w:szCs w:val="20"/>
                <w:lang w:eastAsia="pt-BR"/>
              </w:rPr>
            </w:pPr>
            <w:r w:rsidRPr="00EE0371">
              <w:rPr>
                <w:rFonts w:ascii="Arial" w:eastAsia="Times New Roman" w:hAnsi="Arial" w:cs="Arial"/>
                <w:b/>
                <w:bCs/>
                <w:sz w:val="20"/>
                <w:szCs w:val="20"/>
                <w:lang w:eastAsia="pt-BR"/>
              </w:rPr>
              <w:t>Tipo</w:t>
            </w:r>
          </w:p>
        </w:tc>
        <w:tc>
          <w:tcPr>
            <w:tcW w:w="1358" w:type="dxa"/>
            <w:tcBorders>
              <w:top w:val="single" w:sz="8" w:space="0" w:color="auto"/>
              <w:left w:val="nil"/>
              <w:bottom w:val="single" w:sz="8" w:space="0" w:color="auto"/>
              <w:right w:val="single" w:sz="8" w:space="0" w:color="auto"/>
            </w:tcBorders>
            <w:shd w:val="clear" w:color="000000" w:fill="C0C0C0"/>
            <w:vAlign w:val="center"/>
            <w:hideMark/>
          </w:tcPr>
          <w:p w14:paraId="6E145981" w14:textId="77777777" w:rsidR="00EE0371" w:rsidRPr="00EE0371" w:rsidRDefault="00EE0371" w:rsidP="00EE0371">
            <w:pPr>
              <w:spacing w:after="0" w:line="240" w:lineRule="auto"/>
              <w:jc w:val="center"/>
              <w:rPr>
                <w:rFonts w:ascii="Arial" w:eastAsia="Times New Roman" w:hAnsi="Arial" w:cs="Arial"/>
                <w:b/>
                <w:bCs/>
                <w:sz w:val="20"/>
                <w:szCs w:val="20"/>
                <w:lang w:eastAsia="pt-BR"/>
              </w:rPr>
            </w:pPr>
            <w:r w:rsidRPr="00EE0371">
              <w:rPr>
                <w:rFonts w:ascii="Arial" w:eastAsia="Times New Roman" w:hAnsi="Arial" w:cs="Arial"/>
                <w:b/>
                <w:bCs/>
                <w:sz w:val="20"/>
                <w:szCs w:val="20"/>
                <w:lang w:eastAsia="pt-BR"/>
              </w:rPr>
              <w:t>Tamanho</w:t>
            </w:r>
          </w:p>
        </w:tc>
        <w:tc>
          <w:tcPr>
            <w:tcW w:w="2192" w:type="dxa"/>
            <w:tcBorders>
              <w:top w:val="single" w:sz="8" w:space="0" w:color="auto"/>
              <w:left w:val="nil"/>
              <w:bottom w:val="single" w:sz="8" w:space="0" w:color="auto"/>
              <w:right w:val="single" w:sz="8" w:space="0" w:color="auto"/>
            </w:tcBorders>
            <w:shd w:val="clear" w:color="000000" w:fill="C0C0C0"/>
            <w:vAlign w:val="center"/>
            <w:hideMark/>
          </w:tcPr>
          <w:p w14:paraId="1DBA8966" w14:textId="77777777" w:rsidR="00EE0371" w:rsidRPr="00EE0371" w:rsidRDefault="00EE0371" w:rsidP="00EE0371">
            <w:pPr>
              <w:spacing w:after="0" w:line="240" w:lineRule="auto"/>
              <w:jc w:val="center"/>
              <w:rPr>
                <w:rFonts w:ascii="Arial" w:eastAsia="Times New Roman" w:hAnsi="Arial" w:cs="Arial"/>
                <w:b/>
                <w:bCs/>
                <w:sz w:val="20"/>
                <w:szCs w:val="20"/>
                <w:lang w:eastAsia="pt-BR"/>
              </w:rPr>
            </w:pPr>
            <w:r w:rsidRPr="00EE0371">
              <w:rPr>
                <w:rFonts w:ascii="Arial" w:eastAsia="Times New Roman" w:hAnsi="Arial" w:cs="Arial"/>
                <w:b/>
                <w:bCs/>
                <w:sz w:val="20"/>
                <w:szCs w:val="20"/>
                <w:lang w:eastAsia="pt-BR"/>
              </w:rPr>
              <w:t>Obrigatoriedade</w:t>
            </w:r>
          </w:p>
        </w:tc>
      </w:tr>
      <w:tr w:rsidR="00EE0371" w:rsidRPr="00EE0371" w14:paraId="0800A76C" w14:textId="77777777" w:rsidTr="00DD49C9">
        <w:trPr>
          <w:trHeight w:val="315"/>
        </w:trPr>
        <w:tc>
          <w:tcPr>
            <w:tcW w:w="9231" w:type="dxa"/>
            <w:gridSpan w:val="4"/>
            <w:tcBorders>
              <w:top w:val="single" w:sz="8" w:space="0" w:color="auto"/>
              <w:left w:val="single" w:sz="8" w:space="0" w:color="auto"/>
              <w:bottom w:val="single" w:sz="8" w:space="0" w:color="auto"/>
              <w:right w:val="single" w:sz="8" w:space="0" w:color="000000"/>
            </w:tcBorders>
            <w:shd w:val="clear" w:color="000000" w:fill="BFBFBF"/>
            <w:vAlign w:val="center"/>
            <w:hideMark/>
          </w:tcPr>
          <w:p w14:paraId="64B828C3" w14:textId="77777777" w:rsidR="00EE0371" w:rsidRPr="00EE0371" w:rsidRDefault="00EE0371" w:rsidP="00EE0371">
            <w:pPr>
              <w:spacing w:after="0" w:line="240" w:lineRule="auto"/>
              <w:jc w:val="center"/>
              <w:rPr>
                <w:rFonts w:ascii="Arial" w:eastAsia="Times New Roman" w:hAnsi="Arial" w:cs="Arial"/>
                <w:b/>
                <w:bCs/>
                <w:sz w:val="20"/>
                <w:szCs w:val="20"/>
                <w:lang w:eastAsia="pt-BR"/>
              </w:rPr>
            </w:pPr>
            <w:r w:rsidRPr="00EE0371">
              <w:rPr>
                <w:rFonts w:ascii="Arial" w:eastAsia="Times New Roman" w:hAnsi="Arial" w:cs="Arial"/>
                <w:b/>
                <w:bCs/>
                <w:sz w:val="20"/>
                <w:szCs w:val="20"/>
                <w:lang w:eastAsia="pt-BR"/>
              </w:rPr>
              <w:t>Estrutura ‘TermoVerificacaoDisponibilidadeFinanceira’</w:t>
            </w:r>
          </w:p>
        </w:tc>
      </w:tr>
      <w:tr w:rsidR="00EE0371" w:rsidRPr="00EE0371" w14:paraId="1BAF5E30" w14:textId="77777777" w:rsidTr="00DD49C9">
        <w:trPr>
          <w:trHeight w:val="315"/>
        </w:trPr>
        <w:tc>
          <w:tcPr>
            <w:tcW w:w="4405" w:type="dxa"/>
            <w:tcBorders>
              <w:top w:val="nil"/>
              <w:left w:val="single" w:sz="8" w:space="0" w:color="auto"/>
              <w:bottom w:val="single" w:sz="8" w:space="0" w:color="auto"/>
              <w:right w:val="single" w:sz="8" w:space="0" w:color="auto"/>
            </w:tcBorders>
            <w:shd w:val="clear" w:color="auto" w:fill="auto"/>
            <w:vAlign w:val="center"/>
            <w:hideMark/>
          </w:tcPr>
          <w:p w14:paraId="1C2380E6" w14:textId="77777777" w:rsidR="00EE0371" w:rsidRPr="00EE0371" w:rsidRDefault="00EE0371" w:rsidP="00EE0371">
            <w:pPr>
              <w:spacing w:after="0" w:line="240" w:lineRule="auto"/>
              <w:jc w:val="both"/>
              <w:rPr>
                <w:rFonts w:ascii="Arial" w:eastAsia="Times New Roman" w:hAnsi="Arial" w:cs="Arial"/>
                <w:sz w:val="20"/>
                <w:szCs w:val="20"/>
                <w:lang w:eastAsia="pt-BR"/>
              </w:rPr>
            </w:pPr>
            <w:r w:rsidRPr="00EE0371">
              <w:rPr>
                <w:rFonts w:ascii="Arial" w:eastAsia="Times New Roman" w:hAnsi="Arial" w:cs="Arial"/>
                <w:sz w:val="20"/>
                <w:szCs w:val="20"/>
                <w:lang w:eastAsia="pt-BR"/>
              </w:rPr>
              <w:t>Identificação do Numero do Registro</w:t>
            </w:r>
          </w:p>
        </w:tc>
        <w:tc>
          <w:tcPr>
            <w:tcW w:w="1276" w:type="dxa"/>
            <w:tcBorders>
              <w:top w:val="nil"/>
              <w:left w:val="nil"/>
              <w:bottom w:val="single" w:sz="8" w:space="0" w:color="auto"/>
              <w:right w:val="single" w:sz="8" w:space="0" w:color="auto"/>
            </w:tcBorders>
            <w:shd w:val="clear" w:color="auto" w:fill="auto"/>
            <w:vAlign w:val="center"/>
            <w:hideMark/>
          </w:tcPr>
          <w:p w14:paraId="1914C6E8" w14:textId="77777777" w:rsidR="00EE0371" w:rsidRPr="00EE0371" w:rsidRDefault="00EE0371" w:rsidP="00EE0371">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Inteiro</w:t>
            </w:r>
          </w:p>
        </w:tc>
        <w:tc>
          <w:tcPr>
            <w:tcW w:w="1358" w:type="dxa"/>
            <w:tcBorders>
              <w:top w:val="nil"/>
              <w:left w:val="nil"/>
              <w:bottom w:val="single" w:sz="8" w:space="0" w:color="auto"/>
              <w:right w:val="single" w:sz="8" w:space="0" w:color="auto"/>
            </w:tcBorders>
            <w:shd w:val="clear" w:color="auto" w:fill="auto"/>
            <w:vAlign w:val="center"/>
            <w:hideMark/>
          </w:tcPr>
          <w:p w14:paraId="4D1F7378" w14:textId="77777777" w:rsidR="00EE0371" w:rsidRPr="00EE0371" w:rsidRDefault="00EE0371" w:rsidP="00EE0371">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5</w:t>
            </w:r>
          </w:p>
        </w:tc>
        <w:tc>
          <w:tcPr>
            <w:tcW w:w="2192" w:type="dxa"/>
            <w:tcBorders>
              <w:top w:val="nil"/>
              <w:left w:val="nil"/>
              <w:bottom w:val="single" w:sz="8" w:space="0" w:color="auto"/>
              <w:right w:val="single" w:sz="8" w:space="0" w:color="auto"/>
            </w:tcBorders>
            <w:shd w:val="clear" w:color="auto" w:fill="auto"/>
            <w:vAlign w:val="center"/>
            <w:hideMark/>
          </w:tcPr>
          <w:p w14:paraId="4A9D9D7B" w14:textId="77777777" w:rsidR="00EE0371" w:rsidRPr="00EE0371" w:rsidRDefault="00EE0371" w:rsidP="00D73542">
            <w:pPr>
              <w:spacing w:after="0" w:line="240" w:lineRule="auto"/>
              <w:rPr>
                <w:rFonts w:ascii="Arial" w:eastAsia="Times New Roman" w:hAnsi="Arial" w:cs="Arial"/>
                <w:sz w:val="20"/>
                <w:szCs w:val="20"/>
                <w:lang w:eastAsia="pt-BR"/>
              </w:rPr>
            </w:pPr>
            <w:r w:rsidRPr="00EE0371">
              <w:rPr>
                <w:rFonts w:ascii="Arial" w:eastAsia="Times New Roman" w:hAnsi="Arial" w:cs="Arial"/>
                <w:sz w:val="20"/>
                <w:szCs w:val="20"/>
                <w:lang w:eastAsia="pt-BR"/>
              </w:rPr>
              <w:t>Obrigatório</w:t>
            </w:r>
          </w:p>
        </w:tc>
      </w:tr>
      <w:tr w:rsidR="00DD49C9" w:rsidRPr="00EE0371" w14:paraId="791F013F" w14:textId="77777777" w:rsidTr="00DD49C9">
        <w:trPr>
          <w:trHeight w:val="315"/>
        </w:trPr>
        <w:tc>
          <w:tcPr>
            <w:tcW w:w="4405" w:type="dxa"/>
            <w:tcBorders>
              <w:top w:val="nil"/>
              <w:left w:val="single" w:sz="8" w:space="0" w:color="auto"/>
              <w:bottom w:val="single" w:sz="8" w:space="0" w:color="auto"/>
              <w:right w:val="single" w:sz="8" w:space="0" w:color="auto"/>
            </w:tcBorders>
            <w:shd w:val="clear" w:color="auto" w:fill="auto"/>
            <w:vAlign w:val="center"/>
          </w:tcPr>
          <w:p w14:paraId="31BD1D7F" w14:textId="77777777" w:rsidR="00DD49C9" w:rsidRPr="00D73542" w:rsidRDefault="00DD49C9" w:rsidP="00DD49C9">
            <w:pPr>
              <w:spacing w:after="0" w:line="360" w:lineRule="auto"/>
              <w:jc w:val="both"/>
              <w:rPr>
                <w:rFonts w:ascii="Arial" w:hAnsi="Arial" w:cs="Arial"/>
                <w:sz w:val="20"/>
                <w:szCs w:val="20"/>
              </w:rPr>
            </w:pPr>
            <w:r w:rsidRPr="00D73542">
              <w:rPr>
                <w:rFonts w:ascii="Arial" w:eastAsia="Times New Roman" w:hAnsi="Arial" w:cs="Arial"/>
                <w:sz w:val="20"/>
                <w:szCs w:val="20"/>
                <w:lang w:eastAsia="pt-BR"/>
              </w:rPr>
              <w:t>Código da Unidade Gestora</w:t>
            </w:r>
          </w:p>
        </w:tc>
        <w:tc>
          <w:tcPr>
            <w:tcW w:w="1276" w:type="dxa"/>
            <w:tcBorders>
              <w:top w:val="nil"/>
              <w:left w:val="nil"/>
              <w:bottom w:val="single" w:sz="8" w:space="0" w:color="auto"/>
              <w:right w:val="single" w:sz="8" w:space="0" w:color="auto"/>
            </w:tcBorders>
            <w:shd w:val="clear" w:color="auto" w:fill="auto"/>
            <w:vAlign w:val="center"/>
          </w:tcPr>
          <w:p w14:paraId="3F21649B" w14:textId="77777777" w:rsidR="00DD49C9" w:rsidRPr="00D73542" w:rsidRDefault="00DD49C9" w:rsidP="00DD49C9">
            <w:pPr>
              <w:spacing w:after="0" w:line="360" w:lineRule="auto"/>
              <w:jc w:val="center"/>
              <w:rPr>
                <w:rFonts w:ascii="Arial" w:hAnsi="Arial" w:cs="Arial"/>
                <w:sz w:val="20"/>
                <w:szCs w:val="20"/>
              </w:rPr>
            </w:pPr>
            <w:r w:rsidRPr="00D73542">
              <w:rPr>
                <w:rFonts w:ascii="Arial" w:eastAsia="Times New Roman" w:hAnsi="Arial" w:cs="Arial"/>
                <w:sz w:val="20"/>
                <w:szCs w:val="20"/>
                <w:lang w:eastAsia="pt-BR"/>
              </w:rPr>
              <w:t>Caracter</w:t>
            </w:r>
          </w:p>
        </w:tc>
        <w:tc>
          <w:tcPr>
            <w:tcW w:w="1358" w:type="dxa"/>
            <w:tcBorders>
              <w:top w:val="nil"/>
              <w:left w:val="nil"/>
              <w:bottom w:val="single" w:sz="8" w:space="0" w:color="auto"/>
              <w:right w:val="single" w:sz="8" w:space="0" w:color="auto"/>
            </w:tcBorders>
            <w:shd w:val="clear" w:color="auto" w:fill="auto"/>
            <w:vAlign w:val="center"/>
          </w:tcPr>
          <w:p w14:paraId="7F1D757B" w14:textId="77777777" w:rsidR="00DD49C9" w:rsidRPr="00D73542" w:rsidRDefault="00DD49C9" w:rsidP="00DD49C9">
            <w:pPr>
              <w:spacing w:after="0" w:line="360" w:lineRule="auto"/>
              <w:jc w:val="center"/>
              <w:rPr>
                <w:rFonts w:ascii="Arial" w:hAnsi="Arial" w:cs="Arial"/>
                <w:sz w:val="20"/>
                <w:szCs w:val="20"/>
              </w:rPr>
            </w:pPr>
            <w:r w:rsidRPr="00D73542">
              <w:rPr>
                <w:rFonts w:ascii="Arial" w:hAnsi="Arial" w:cs="Arial"/>
                <w:sz w:val="20"/>
                <w:szCs w:val="20"/>
              </w:rPr>
              <w:t>11</w:t>
            </w:r>
          </w:p>
        </w:tc>
        <w:tc>
          <w:tcPr>
            <w:tcW w:w="2192" w:type="dxa"/>
            <w:tcBorders>
              <w:top w:val="nil"/>
              <w:left w:val="nil"/>
              <w:bottom w:val="single" w:sz="8" w:space="0" w:color="auto"/>
              <w:right w:val="single" w:sz="8" w:space="0" w:color="auto"/>
            </w:tcBorders>
            <w:shd w:val="clear" w:color="auto" w:fill="auto"/>
            <w:vAlign w:val="center"/>
          </w:tcPr>
          <w:p w14:paraId="2830F475" w14:textId="77777777" w:rsidR="00DD49C9" w:rsidRPr="00D73542" w:rsidRDefault="00DD49C9" w:rsidP="00D73542">
            <w:pPr>
              <w:spacing w:after="0" w:line="360" w:lineRule="auto"/>
              <w:rPr>
                <w:rFonts w:ascii="Arial" w:hAnsi="Arial" w:cs="Arial"/>
                <w:sz w:val="20"/>
                <w:szCs w:val="20"/>
              </w:rPr>
            </w:pPr>
            <w:r w:rsidRPr="00D73542">
              <w:rPr>
                <w:rFonts w:ascii="Arial" w:eastAsia="Times New Roman" w:hAnsi="Arial" w:cs="Arial"/>
                <w:sz w:val="20"/>
                <w:szCs w:val="20"/>
                <w:lang w:eastAsia="pt-BR"/>
              </w:rPr>
              <w:t>Obrigatório conforme codificação do TCEES</w:t>
            </w:r>
          </w:p>
        </w:tc>
      </w:tr>
      <w:tr w:rsidR="00DD49C9" w:rsidRPr="00EE0371" w14:paraId="3B020F0F" w14:textId="77777777" w:rsidTr="00DD49C9">
        <w:trPr>
          <w:trHeight w:val="315"/>
        </w:trPr>
        <w:tc>
          <w:tcPr>
            <w:tcW w:w="4405" w:type="dxa"/>
            <w:tcBorders>
              <w:top w:val="nil"/>
              <w:left w:val="single" w:sz="8" w:space="0" w:color="auto"/>
              <w:bottom w:val="single" w:sz="8" w:space="0" w:color="auto"/>
              <w:right w:val="single" w:sz="8" w:space="0" w:color="auto"/>
            </w:tcBorders>
            <w:shd w:val="clear" w:color="auto" w:fill="auto"/>
            <w:vAlign w:val="center"/>
            <w:hideMark/>
          </w:tcPr>
          <w:p w14:paraId="357FB870" w14:textId="77777777" w:rsidR="00DD49C9" w:rsidRPr="00EE0371" w:rsidRDefault="00DD49C9" w:rsidP="00DD49C9">
            <w:pPr>
              <w:spacing w:after="0" w:line="240" w:lineRule="auto"/>
              <w:jc w:val="both"/>
              <w:rPr>
                <w:rFonts w:ascii="Arial" w:eastAsia="Times New Roman" w:hAnsi="Arial" w:cs="Arial"/>
                <w:sz w:val="20"/>
                <w:szCs w:val="20"/>
                <w:lang w:eastAsia="pt-BR"/>
              </w:rPr>
            </w:pPr>
            <w:r w:rsidRPr="00EE0371">
              <w:rPr>
                <w:rFonts w:ascii="Arial" w:eastAsia="Times New Roman" w:hAnsi="Arial" w:cs="Arial"/>
                <w:sz w:val="20"/>
                <w:szCs w:val="20"/>
                <w:lang w:eastAsia="pt-BR"/>
              </w:rPr>
              <w:t xml:space="preserve">Mês de Competência </w:t>
            </w:r>
            <w:r w:rsidRPr="00D73542">
              <w:rPr>
                <w:rFonts w:ascii="Arial" w:eastAsia="Times New Roman" w:hAnsi="Arial" w:cs="Arial"/>
                <w:sz w:val="20"/>
                <w:szCs w:val="20"/>
                <w:vertAlign w:val="superscript"/>
                <w:lang w:eastAsia="pt-BR"/>
              </w:rPr>
              <w:t>[2]</w:t>
            </w:r>
          </w:p>
        </w:tc>
        <w:tc>
          <w:tcPr>
            <w:tcW w:w="1276" w:type="dxa"/>
            <w:tcBorders>
              <w:top w:val="nil"/>
              <w:left w:val="nil"/>
              <w:bottom w:val="single" w:sz="8" w:space="0" w:color="auto"/>
              <w:right w:val="single" w:sz="8" w:space="0" w:color="auto"/>
            </w:tcBorders>
            <w:shd w:val="clear" w:color="auto" w:fill="auto"/>
            <w:vAlign w:val="center"/>
            <w:hideMark/>
          </w:tcPr>
          <w:p w14:paraId="7FD35F8C" w14:textId="77777777" w:rsidR="00DD49C9" w:rsidRPr="00EE0371" w:rsidRDefault="00DD49C9" w:rsidP="00DD49C9">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Inteiro</w:t>
            </w:r>
          </w:p>
        </w:tc>
        <w:tc>
          <w:tcPr>
            <w:tcW w:w="1358" w:type="dxa"/>
            <w:tcBorders>
              <w:top w:val="nil"/>
              <w:left w:val="nil"/>
              <w:bottom w:val="single" w:sz="8" w:space="0" w:color="auto"/>
              <w:right w:val="single" w:sz="8" w:space="0" w:color="auto"/>
            </w:tcBorders>
            <w:shd w:val="clear" w:color="auto" w:fill="auto"/>
            <w:vAlign w:val="center"/>
            <w:hideMark/>
          </w:tcPr>
          <w:p w14:paraId="6B058D45" w14:textId="77777777" w:rsidR="00DD49C9" w:rsidRPr="00EE0371" w:rsidRDefault="00DD49C9" w:rsidP="00DD49C9">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2</w:t>
            </w:r>
          </w:p>
        </w:tc>
        <w:tc>
          <w:tcPr>
            <w:tcW w:w="2192" w:type="dxa"/>
            <w:tcBorders>
              <w:top w:val="nil"/>
              <w:left w:val="nil"/>
              <w:bottom w:val="single" w:sz="8" w:space="0" w:color="auto"/>
              <w:right w:val="single" w:sz="8" w:space="0" w:color="auto"/>
            </w:tcBorders>
            <w:shd w:val="clear" w:color="auto" w:fill="auto"/>
            <w:vAlign w:val="center"/>
            <w:hideMark/>
          </w:tcPr>
          <w:p w14:paraId="4F098361" w14:textId="77777777" w:rsidR="00DD49C9" w:rsidRPr="00EE0371" w:rsidRDefault="00DD49C9" w:rsidP="00D73542">
            <w:pPr>
              <w:spacing w:after="0" w:line="240" w:lineRule="auto"/>
              <w:rPr>
                <w:rFonts w:ascii="Arial" w:eastAsia="Times New Roman" w:hAnsi="Arial" w:cs="Arial"/>
                <w:sz w:val="20"/>
                <w:szCs w:val="20"/>
                <w:lang w:eastAsia="pt-BR"/>
              </w:rPr>
            </w:pPr>
            <w:r w:rsidRPr="00EE0371">
              <w:rPr>
                <w:rFonts w:ascii="Arial" w:eastAsia="Times New Roman" w:hAnsi="Arial" w:cs="Arial"/>
                <w:sz w:val="20"/>
                <w:szCs w:val="20"/>
                <w:lang w:eastAsia="pt-BR"/>
              </w:rPr>
              <w:t>Obrigatório</w:t>
            </w:r>
          </w:p>
        </w:tc>
      </w:tr>
      <w:tr w:rsidR="00DD49C9" w:rsidRPr="00EE0371" w14:paraId="2F485753" w14:textId="77777777" w:rsidTr="00DD49C9">
        <w:trPr>
          <w:trHeight w:val="315"/>
        </w:trPr>
        <w:tc>
          <w:tcPr>
            <w:tcW w:w="4405" w:type="dxa"/>
            <w:tcBorders>
              <w:top w:val="nil"/>
              <w:left w:val="single" w:sz="8" w:space="0" w:color="auto"/>
              <w:bottom w:val="single" w:sz="8" w:space="0" w:color="auto"/>
              <w:right w:val="single" w:sz="8" w:space="0" w:color="auto"/>
            </w:tcBorders>
            <w:shd w:val="clear" w:color="auto" w:fill="auto"/>
            <w:vAlign w:val="center"/>
            <w:hideMark/>
          </w:tcPr>
          <w:p w14:paraId="59087EBA" w14:textId="77777777" w:rsidR="00DD49C9" w:rsidRPr="00EE0371" w:rsidRDefault="00DD49C9" w:rsidP="00DD49C9">
            <w:pPr>
              <w:spacing w:after="0" w:line="240" w:lineRule="auto"/>
              <w:jc w:val="both"/>
              <w:rPr>
                <w:rFonts w:ascii="Arial" w:eastAsia="Times New Roman" w:hAnsi="Arial" w:cs="Arial"/>
                <w:sz w:val="20"/>
                <w:szCs w:val="20"/>
                <w:lang w:eastAsia="pt-BR"/>
              </w:rPr>
            </w:pPr>
            <w:r w:rsidRPr="00EE0371">
              <w:rPr>
                <w:rFonts w:ascii="Arial" w:eastAsia="Times New Roman" w:hAnsi="Arial" w:cs="Arial"/>
                <w:sz w:val="20"/>
                <w:szCs w:val="20"/>
                <w:lang w:eastAsia="pt-BR"/>
              </w:rPr>
              <w:t>Código do CNPJ do Titular da Conta Bancária</w:t>
            </w:r>
          </w:p>
        </w:tc>
        <w:tc>
          <w:tcPr>
            <w:tcW w:w="1276" w:type="dxa"/>
            <w:tcBorders>
              <w:top w:val="nil"/>
              <w:left w:val="nil"/>
              <w:bottom w:val="single" w:sz="8" w:space="0" w:color="auto"/>
              <w:right w:val="single" w:sz="8" w:space="0" w:color="auto"/>
            </w:tcBorders>
            <w:shd w:val="clear" w:color="auto" w:fill="auto"/>
            <w:vAlign w:val="center"/>
            <w:hideMark/>
          </w:tcPr>
          <w:p w14:paraId="35F27BF7" w14:textId="77777777" w:rsidR="00DD49C9" w:rsidRPr="00EE0371" w:rsidRDefault="00DD49C9" w:rsidP="00DD49C9">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Caracter</w:t>
            </w:r>
          </w:p>
        </w:tc>
        <w:tc>
          <w:tcPr>
            <w:tcW w:w="1358" w:type="dxa"/>
            <w:tcBorders>
              <w:top w:val="nil"/>
              <w:left w:val="nil"/>
              <w:bottom w:val="single" w:sz="8" w:space="0" w:color="auto"/>
              <w:right w:val="single" w:sz="8" w:space="0" w:color="auto"/>
            </w:tcBorders>
            <w:shd w:val="clear" w:color="auto" w:fill="auto"/>
            <w:vAlign w:val="center"/>
            <w:hideMark/>
          </w:tcPr>
          <w:p w14:paraId="328A76C4" w14:textId="77777777" w:rsidR="00DD49C9" w:rsidRPr="00EE0371" w:rsidRDefault="00DD49C9" w:rsidP="00DD49C9">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14</w:t>
            </w:r>
          </w:p>
        </w:tc>
        <w:tc>
          <w:tcPr>
            <w:tcW w:w="2192" w:type="dxa"/>
            <w:tcBorders>
              <w:top w:val="nil"/>
              <w:left w:val="nil"/>
              <w:bottom w:val="single" w:sz="8" w:space="0" w:color="auto"/>
              <w:right w:val="single" w:sz="8" w:space="0" w:color="auto"/>
            </w:tcBorders>
            <w:shd w:val="clear" w:color="auto" w:fill="auto"/>
            <w:vAlign w:val="center"/>
            <w:hideMark/>
          </w:tcPr>
          <w:p w14:paraId="04FB1459" w14:textId="77777777" w:rsidR="00DD49C9" w:rsidRPr="00EE0371" w:rsidRDefault="00DD49C9" w:rsidP="00D73542">
            <w:pPr>
              <w:spacing w:after="0" w:line="240" w:lineRule="auto"/>
              <w:rPr>
                <w:rFonts w:ascii="Arial" w:eastAsia="Times New Roman" w:hAnsi="Arial" w:cs="Arial"/>
                <w:sz w:val="20"/>
                <w:szCs w:val="20"/>
                <w:lang w:eastAsia="pt-BR"/>
              </w:rPr>
            </w:pPr>
            <w:r w:rsidRPr="00EE0371">
              <w:rPr>
                <w:rFonts w:ascii="Arial" w:eastAsia="Times New Roman" w:hAnsi="Arial" w:cs="Arial"/>
                <w:sz w:val="20"/>
                <w:szCs w:val="20"/>
                <w:lang w:eastAsia="pt-BR"/>
              </w:rPr>
              <w:t>Obrigatório</w:t>
            </w:r>
          </w:p>
        </w:tc>
      </w:tr>
      <w:tr w:rsidR="00DD49C9" w:rsidRPr="00EE0371" w14:paraId="78F12513" w14:textId="77777777" w:rsidTr="00DD49C9">
        <w:trPr>
          <w:trHeight w:val="315"/>
        </w:trPr>
        <w:tc>
          <w:tcPr>
            <w:tcW w:w="4405" w:type="dxa"/>
            <w:tcBorders>
              <w:top w:val="nil"/>
              <w:left w:val="single" w:sz="8" w:space="0" w:color="auto"/>
              <w:bottom w:val="single" w:sz="8" w:space="0" w:color="auto"/>
              <w:right w:val="single" w:sz="8" w:space="0" w:color="auto"/>
            </w:tcBorders>
            <w:shd w:val="clear" w:color="auto" w:fill="auto"/>
            <w:vAlign w:val="center"/>
          </w:tcPr>
          <w:p w14:paraId="054ADF73" w14:textId="77777777" w:rsidR="00DD49C9" w:rsidRPr="00D73542" w:rsidRDefault="00DD49C9" w:rsidP="00DD49C9">
            <w:pPr>
              <w:spacing w:after="0" w:line="360" w:lineRule="auto"/>
              <w:jc w:val="both"/>
              <w:rPr>
                <w:rFonts w:ascii="Arial" w:hAnsi="Arial" w:cs="Arial"/>
                <w:sz w:val="20"/>
                <w:szCs w:val="20"/>
              </w:rPr>
            </w:pPr>
            <w:r w:rsidRPr="00D73542">
              <w:rPr>
                <w:rFonts w:ascii="Arial" w:eastAsia="Times New Roman" w:hAnsi="Arial" w:cs="Arial"/>
                <w:sz w:val="20"/>
                <w:szCs w:val="20"/>
                <w:lang w:eastAsia="pt-BR"/>
              </w:rPr>
              <w:t>Conta Única</w:t>
            </w:r>
          </w:p>
        </w:tc>
        <w:tc>
          <w:tcPr>
            <w:tcW w:w="1276" w:type="dxa"/>
            <w:tcBorders>
              <w:top w:val="nil"/>
              <w:left w:val="nil"/>
              <w:bottom w:val="single" w:sz="8" w:space="0" w:color="auto"/>
              <w:right w:val="single" w:sz="8" w:space="0" w:color="auto"/>
            </w:tcBorders>
            <w:shd w:val="clear" w:color="auto" w:fill="auto"/>
            <w:vAlign w:val="center"/>
          </w:tcPr>
          <w:p w14:paraId="246AFF84" w14:textId="77777777" w:rsidR="00DD49C9" w:rsidRPr="00D73542" w:rsidRDefault="00DD49C9" w:rsidP="00DD49C9">
            <w:pPr>
              <w:spacing w:after="0" w:line="360" w:lineRule="auto"/>
              <w:jc w:val="center"/>
              <w:rPr>
                <w:rFonts w:ascii="Arial" w:hAnsi="Arial" w:cs="Arial"/>
                <w:sz w:val="20"/>
                <w:szCs w:val="20"/>
              </w:rPr>
            </w:pPr>
            <w:r w:rsidRPr="00D73542">
              <w:rPr>
                <w:rFonts w:ascii="Arial" w:eastAsia="Times New Roman" w:hAnsi="Arial" w:cs="Arial"/>
                <w:sz w:val="20"/>
                <w:szCs w:val="20"/>
                <w:lang w:eastAsia="pt-BR"/>
              </w:rPr>
              <w:t>Caracter</w:t>
            </w:r>
          </w:p>
        </w:tc>
        <w:tc>
          <w:tcPr>
            <w:tcW w:w="1358" w:type="dxa"/>
            <w:tcBorders>
              <w:top w:val="nil"/>
              <w:left w:val="nil"/>
              <w:bottom w:val="single" w:sz="8" w:space="0" w:color="auto"/>
              <w:right w:val="single" w:sz="8" w:space="0" w:color="auto"/>
            </w:tcBorders>
            <w:shd w:val="clear" w:color="auto" w:fill="auto"/>
            <w:vAlign w:val="center"/>
          </w:tcPr>
          <w:p w14:paraId="37D94265" w14:textId="77777777" w:rsidR="00DD49C9" w:rsidRPr="00D73542" w:rsidRDefault="00DD49C9" w:rsidP="00DD49C9">
            <w:pPr>
              <w:spacing w:after="0" w:line="360" w:lineRule="auto"/>
              <w:jc w:val="center"/>
              <w:rPr>
                <w:rFonts w:ascii="Arial" w:hAnsi="Arial" w:cs="Arial"/>
                <w:sz w:val="20"/>
                <w:szCs w:val="20"/>
              </w:rPr>
            </w:pPr>
            <w:r w:rsidRPr="00D73542">
              <w:rPr>
                <w:rFonts w:ascii="Arial" w:hAnsi="Arial" w:cs="Arial"/>
                <w:sz w:val="20"/>
                <w:szCs w:val="20"/>
              </w:rPr>
              <w:t>1</w:t>
            </w:r>
          </w:p>
        </w:tc>
        <w:tc>
          <w:tcPr>
            <w:tcW w:w="2192" w:type="dxa"/>
            <w:tcBorders>
              <w:top w:val="nil"/>
              <w:left w:val="nil"/>
              <w:bottom w:val="single" w:sz="8" w:space="0" w:color="auto"/>
              <w:right w:val="single" w:sz="8" w:space="0" w:color="auto"/>
            </w:tcBorders>
            <w:shd w:val="clear" w:color="auto" w:fill="auto"/>
            <w:vAlign w:val="center"/>
          </w:tcPr>
          <w:p w14:paraId="24D4F58F" w14:textId="77777777" w:rsidR="00DD49C9" w:rsidRPr="00D73542" w:rsidRDefault="00DD49C9" w:rsidP="00D73542">
            <w:pPr>
              <w:spacing w:after="0" w:line="360" w:lineRule="auto"/>
              <w:rPr>
                <w:rFonts w:ascii="Arial" w:eastAsia="Times New Roman" w:hAnsi="Arial" w:cs="Arial"/>
                <w:sz w:val="20"/>
                <w:szCs w:val="20"/>
                <w:lang w:eastAsia="pt-BR"/>
              </w:rPr>
            </w:pPr>
            <w:r w:rsidRPr="00D73542">
              <w:rPr>
                <w:rFonts w:ascii="Arial" w:eastAsia="Times New Roman" w:hAnsi="Arial" w:cs="Arial"/>
                <w:sz w:val="20"/>
                <w:szCs w:val="20"/>
                <w:lang w:eastAsia="pt-BR"/>
              </w:rPr>
              <w:t xml:space="preserve">Obrigatório. </w:t>
            </w:r>
          </w:p>
          <w:p w14:paraId="18DD32C3" w14:textId="77777777" w:rsidR="00DD49C9" w:rsidRPr="00D73542" w:rsidRDefault="00DD49C9" w:rsidP="00D73542">
            <w:pPr>
              <w:spacing w:after="0" w:line="360" w:lineRule="auto"/>
              <w:rPr>
                <w:rFonts w:ascii="Arial" w:hAnsi="Arial" w:cs="Arial"/>
                <w:sz w:val="20"/>
                <w:szCs w:val="20"/>
              </w:rPr>
            </w:pPr>
            <w:r w:rsidRPr="00D73542">
              <w:rPr>
                <w:rFonts w:ascii="Arial" w:eastAsia="Times New Roman" w:hAnsi="Arial" w:cs="Arial"/>
                <w:sz w:val="20"/>
                <w:szCs w:val="20"/>
                <w:lang w:eastAsia="pt-BR"/>
              </w:rPr>
              <w:t>S - Sim; N - Não</w:t>
            </w:r>
          </w:p>
        </w:tc>
      </w:tr>
      <w:tr w:rsidR="00DD49C9" w:rsidRPr="00EE0371" w14:paraId="56FCE6C3" w14:textId="77777777" w:rsidTr="00DD49C9">
        <w:trPr>
          <w:trHeight w:val="300"/>
        </w:trPr>
        <w:tc>
          <w:tcPr>
            <w:tcW w:w="4405" w:type="dxa"/>
            <w:vMerge w:val="restart"/>
            <w:tcBorders>
              <w:top w:val="nil"/>
              <w:left w:val="single" w:sz="8" w:space="0" w:color="auto"/>
              <w:bottom w:val="single" w:sz="8" w:space="0" w:color="000000"/>
              <w:right w:val="single" w:sz="8" w:space="0" w:color="auto"/>
            </w:tcBorders>
            <w:shd w:val="clear" w:color="auto" w:fill="auto"/>
            <w:vAlign w:val="center"/>
            <w:hideMark/>
          </w:tcPr>
          <w:p w14:paraId="5628399F" w14:textId="77777777" w:rsidR="00DD49C9" w:rsidRPr="00EE0371" w:rsidRDefault="00DD49C9" w:rsidP="00DD49C9">
            <w:pPr>
              <w:spacing w:after="0" w:line="240" w:lineRule="auto"/>
              <w:jc w:val="both"/>
              <w:rPr>
                <w:rFonts w:ascii="Arial" w:eastAsia="Times New Roman" w:hAnsi="Arial" w:cs="Arial"/>
                <w:sz w:val="20"/>
                <w:szCs w:val="20"/>
                <w:lang w:eastAsia="pt-BR"/>
              </w:rPr>
            </w:pPr>
            <w:r w:rsidRPr="00EE0371">
              <w:rPr>
                <w:rFonts w:ascii="Arial" w:eastAsia="Times New Roman" w:hAnsi="Arial" w:cs="Arial"/>
                <w:sz w:val="20"/>
                <w:szCs w:val="20"/>
                <w:lang w:eastAsia="pt-BR"/>
              </w:rPr>
              <w:t xml:space="preserve">Código do Banco </w:t>
            </w:r>
            <w:r w:rsidRPr="00D73542">
              <w:rPr>
                <w:rFonts w:ascii="Arial" w:eastAsia="Times New Roman" w:hAnsi="Arial" w:cs="Arial"/>
                <w:sz w:val="20"/>
                <w:szCs w:val="20"/>
                <w:vertAlign w:val="superscript"/>
                <w:lang w:eastAsia="pt-BR"/>
              </w:rPr>
              <w:t>[2]</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14:paraId="60375C01" w14:textId="77777777" w:rsidR="00DD49C9" w:rsidRPr="00EE0371" w:rsidRDefault="00DD49C9" w:rsidP="00DD49C9">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Caracter</w:t>
            </w:r>
          </w:p>
        </w:tc>
        <w:tc>
          <w:tcPr>
            <w:tcW w:w="1358" w:type="dxa"/>
            <w:vMerge w:val="restart"/>
            <w:tcBorders>
              <w:top w:val="nil"/>
              <w:left w:val="single" w:sz="8" w:space="0" w:color="auto"/>
              <w:bottom w:val="single" w:sz="8" w:space="0" w:color="000000"/>
              <w:right w:val="single" w:sz="8" w:space="0" w:color="auto"/>
            </w:tcBorders>
            <w:shd w:val="clear" w:color="auto" w:fill="auto"/>
            <w:vAlign w:val="center"/>
            <w:hideMark/>
          </w:tcPr>
          <w:p w14:paraId="46D18AFF" w14:textId="77777777" w:rsidR="00DD49C9" w:rsidRPr="00EE0371" w:rsidRDefault="00DD49C9" w:rsidP="00DD49C9">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3</w:t>
            </w:r>
          </w:p>
        </w:tc>
        <w:tc>
          <w:tcPr>
            <w:tcW w:w="2192" w:type="dxa"/>
            <w:tcBorders>
              <w:top w:val="nil"/>
              <w:left w:val="nil"/>
              <w:bottom w:val="nil"/>
              <w:right w:val="single" w:sz="8" w:space="0" w:color="auto"/>
            </w:tcBorders>
            <w:shd w:val="clear" w:color="auto" w:fill="auto"/>
            <w:vAlign w:val="center"/>
            <w:hideMark/>
          </w:tcPr>
          <w:p w14:paraId="6FCE4368" w14:textId="77777777" w:rsidR="00DD49C9" w:rsidRPr="00EE0371" w:rsidRDefault="00DD49C9" w:rsidP="00D73542">
            <w:pPr>
              <w:spacing w:after="0" w:line="240" w:lineRule="auto"/>
              <w:rPr>
                <w:rFonts w:ascii="Arial" w:eastAsia="Times New Roman" w:hAnsi="Arial" w:cs="Arial"/>
                <w:sz w:val="20"/>
                <w:szCs w:val="20"/>
                <w:lang w:eastAsia="pt-BR"/>
              </w:rPr>
            </w:pPr>
            <w:r w:rsidRPr="00EE0371">
              <w:rPr>
                <w:rFonts w:ascii="Arial" w:eastAsia="Times New Roman" w:hAnsi="Arial" w:cs="Arial"/>
                <w:sz w:val="20"/>
                <w:szCs w:val="20"/>
                <w:lang w:eastAsia="pt-BR"/>
              </w:rPr>
              <w:t xml:space="preserve">Obrigatório </w:t>
            </w:r>
          </w:p>
        </w:tc>
      </w:tr>
      <w:tr w:rsidR="00DD49C9" w:rsidRPr="00EE0371" w14:paraId="39ACB911" w14:textId="77777777" w:rsidTr="00DD49C9">
        <w:trPr>
          <w:trHeight w:val="315"/>
        </w:trPr>
        <w:tc>
          <w:tcPr>
            <w:tcW w:w="4405" w:type="dxa"/>
            <w:vMerge/>
            <w:tcBorders>
              <w:top w:val="nil"/>
              <w:left w:val="single" w:sz="8" w:space="0" w:color="auto"/>
              <w:bottom w:val="single" w:sz="8" w:space="0" w:color="000000"/>
              <w:right w:val="single" w:sz="8" w:space="0" w:color="auto"/>
            </w:tcBorders>
            <w:vAlign w:val="center"/>
            <w:hideMark/>
          </w:tcPr>
          <w:p w14:paraId="3F2DBBF4" w14:textId="77777777" w:rsidR="00DD49C9" w:rsidRPr="00EE0371" w:rsidRDefault="00DD49C9" w:rsidP="00DD49C9">
            <w:pPr>
              <w:spacing w:after="0" w:line="240" w:lineRule="auto"/>
              <w:jc w:val="both"/>
              <w:rPr>
                <w:rFonts w:ascii="Arial" w:eastAsia="Times New Roman" w:hAnsi="Arial" w:cs="Arial"/>
                <w:sz w:val="20"/>
                <w:szCs w:val="20"/>
                <w:lang w:eastAsia="pt-BR"/>
              </w:rPr>
            </w:pPr>
          </w:p>
        </w:tc>
        <w:tc>
          <w:tcPr>
            <w:tcW w:w="1276" w:type="dxa"/>
            <w:vMerge/>
            <w:tcBorders>
              <w:top w:val="nil"/>
              <w:left w:val="single" w:sz="8" w:space="0" w:color="auto"/>
              <w:bottom w:val="single" w:sz="8" w:space="0" w:color="000000"/>
              <w:right w:val="single" w:sz="8" w:space="0" w:color="auto"/>
            </w:tcBorders>
            <w:vAlign w:val="center"/>
            <w:hideMark/>
          </w:tcPr>
          <w:p w14:paraId="589055CF" w14:textId="77777777" w:rsidR="00DD49C9" w:rsidRPr="00EE0371" w:rsidRDefault="00DD49C9" w:rsidP="00DD49C9">
            <w:pPr>
              <w:spacing w:after="0" w:line="240" w:lineRule="auto"/>
              <w:jc w:val="both"/>
              <w:rPr>
                <w:rFonts w:ascii="Arial" w:eastAsia="Times New Roman" w:hAnsi="Arial" w:cs="Arial"/>
                <w:sz w:val="20"/>
                <w:szCs w:val="20"/>
                <w:lang w:eastAsia="pt-BR"/>
              </w:rPr>
            </w:pPr>
          </w:p>
        </w:tc>
        <w:tc>
          <w:tcPr>
            <w:tcW w:w="1358" w:type="dxa"/>
            <w:vMerge/>
            <w:tcBorders>
              <w:top w:val="nil"/>
              <w:left w:val="single" w:sz="8" w:space="0" w:color="auto"/>
              <w:bottom w:val="single" w:sz="8" w:space="0" w:color="000000"/>
              <w:right w:val="single" w:sz="8" w:space="0" w:color="auto"/>
            </w:tcBorders>
            <w:vAlign w:val="center"/>
            <w:hideMark/>
          </w:tcPr>
          <w:p w14:paraId="3438BBB2" w14:textId="77777777" w:rsidR="00DD49C9" w:rsidRPr="00EE0371" w:rsidRDefault="00DD49C9" w:rsidP="00DD49C9">
            <w:pPr>
              <w:spacing w:after="0" w:line="240" w:lineRule="auto"/>
              <w:jc w:val="both"/>
              <w:rPr>
                <w:rFonts w:ascii="Arial" w:eastAsia="Times New Roman" w:hAnsi="Arial" w:cs="Arial"/>
                <w:sz w:val="20"/>
                <w:szCs w:val="20"/>
                <w:lang w:eastAsia="pt-BR"/>
              </w:rPr>
            </w:pPr>
          </w:p>
        </w:tc>
        <w:tc>
          <w:tcPr>
            <w:tcW w:w="2192" w:type="dxa"/>
            <w:tcBorders>
              <w:top w:val="nil"/>
              <w:left w:val="nil"/>
              <w:bottom w:val="single" w:sz="8" w:space="0" w:color="auto"/>
              <w:right w:val="single" w:sz="8" w:space="0" w:color="auto"/>
            </w:tcBorders>
            <w:shd w:val="clear" w:color="auto" w:fill="auto"/>
            <w:vAlign w:val="center"/>
            <w:hideMark/>
          </w:tcPr>
          <w:p w14:paraId="7F8558CD" w14:textId="77777777" w:rsidR="00DD49C9" w:rsidRPr="00EE0371" w:rsidRDefault="00DD49C9" w:rsidP="00D73542">
            <w:pPr>
              <w:spacing w:after="0" w:line="240" w:lineRule="auto"/>
              <w:rPr>
                <w:rFonts w:ascii="Arial" w:eastAsia="Times New Roman" w:hAnsi="Arial" w:cs="Arial"/>
                <w:sz w:val="20"/>
                <w:szCs w:val="20"/>
                <w:lang w:eastAsia="pt-BR"/>
              </w:rPr>
            </w:pPr>
            <w:r w:rsidRPr="00EE0371">
              <w:rPr>
                <w:rFonts w:ascii="Arial" w:eastAsia="Times New Roman" w:hAnsi="Arial" w:cs="Arial"/>
                <w:sz w:val="20"/>
                <w:szCs w:val="20"/>
                <w:lang w:eastAsia="pt-BR"/>
              </w:rPr>
              <w:t>conforme Tabela da FEBRABAN</w:t>
            </w:r>
          </w:p>
        </w:tc>
      </w:tr>
      <w:tr w:rsidR="00DD49C9" w:rsidRPr="00EE0371" w14:paraId="49EEAE0E" w14:textId="77777777" w:rsidTr="00DD49C9">
        <w:trPr>
          <w:trHeight w:val="315"/>
        </w:trPr>
        <w:tc>
          <w:tcPr>
            <w:tcW w:w="4405" w:type="dxa"/>
            <w:tcBorders>
              <w:top w:val="nil"/>
              <w:left w:val="single" w:sz="8" w:space="0" w:color="auto"/>
              <w:bottom w:val="single" w:sz="8" w:space="0" w:color="auto"/>
              <w:right w:val="single" w:sz="8" w:space="0" w:color="auto"/>
            </w:tcBorders>
            <w:shd w:val="clear" w:color="auto" w:fill="auto"/>
            <w:vAlign w:val="center"/>
            <w:hideMark/>
          </w:tcPr>
          <w:p w14:paraId="3244A01C" w14:textId="77777777" w:rsidR="00DD49C9" w:rsidRPr="00EE0371" w:rsidRDefault="00DD49C9" w:rsidP="00DD49C9">
            <w:pPr>
              <w:spacing w:after="0" w:line="240" w:lineRule="auto"/>
              <w:jc w:val="both"/>
              <w:rPr>
                <w:rFonts w:ascii="Arial" w:eastAsia="Times New Roman" w:hAnsi="Arial" w:cs="Arial"/>
                <w:sz w:val="20"/>
                <w:szCs w:val="20"/>
                <w:lang w:eastAsia="pt-BR"/>
              </w:rPr>
            </w:pPr>
            <w:r w:rsidRPr="00EE0371">
              <w:rPr>
                <w:rFonts w:ascii="Arial" w:eastAsia="Times New Roman" w:hAnsi="Arial" w:cs="Arial"/>
                <w:sz w:val="20"/>
                <w:szCs w:val="20"/>
                <w:lang w:eastAsia="pt-BR"/>
              </w:rPr>
              <w:lastRenderedPageBreak/>
              <w:t xml:space="preserve">Código da Agência </w:t>
            </w:r>
            <w:r w:rsidRPr="00D73542">
              <w:rPr>
                <w:rFonts w:ascii="Arial" w:eastAsia="Times New Roman" w:hAnsi="Arial" w:cs="Arial"/>
                <w:sz w:val="20"/>
                <w:szCs w:val="20"/>
                <w:vertAlign w:val="superscript"/>
                <w:lang w:eastAsia="pt-BR"/>
              </w:rPr>
              <w:t>[2</w:t>
            </w:r>
            <w:r w:rsidR="005A3CAD">
              <w:rPr>
                <w:rFonts w:ascii="Arial" w:eastAsia="Times New Roman" w:hAnsi="Arial" w:cs="Arial"/>
                <w:sz w:val="20"/>
                <w:szCs w:val="20"/>
                <w:vertAlign w:val="superscript"/>
                <w:lang w:eastAsia="pt-BR"/>
              </w:rPr>
              <w:t>] [8</w:t>
            </w:r>
            <w:r w:rsidRPr="00D73542">
              <w:rPr>
                <w:rFonts w:ascii="Arial" w:eastAsia="Times New Roman" w:hAnsi="Arial" w:cs="Arial"/>
                <w:sz w:val="20"/>
                <w:szCs w:val="20"/>
                <w:vertAlign w:val="superscript"/>
                <w:lang w:eastAsia="pt-BR"/>
              </w:rPr>
              <w:t>]</w:t>
            </w:r>
          </w:p>
        </w:tc>
        <w:tc>
          <w:tcPr>
            <w:tcW w:w="1276" w:type="dxa"/>
            <w:tcBorders>
              <w:top w:val="nil"/>
              <w:left w:val="nil"/>
              <w:bottom w:val="single" w:sz="8" w:space="0" w:color="auto"/>
              <w:right w:val="single" w:sz="8" w:space="0" w:color="auto"/>
            </w:tcBorders>
            <w:shd w:val="clear" w:color="auto" w:fill="auto"/>
            <w:vAlign w:val="center"/>
            <w:hideMark/>
          </w:tcPr>
          <w:p w14:paraId="0DBF3156" w14:textId="77777777" w:rsidR="00DD49C9" w:rsidRPr="00EE0371" w:rsidRDefault="00DD49C9" w:rsidP="00DD49C9">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Caracter</w:t>
            </w:r>
          </w:p>
        </w:tc>
        <w:tc>
          <w:tcPr>
            <w:tcW w:w="1358" w:type="dxa"/>
            <w:tcBorders>
              <w:top w:val="nil"/>
              <w:left w:val="nil"/>
              <w:bottom w:val="single" w:sz="8" w:space="0" w:color="auto"/>
              <w:right w:val="single" w:sz="8" w:space="0" w:color="auto"/>
            </w:tcBorders>
            <w:shd w:val="clear" w:color="auto" w:fill="auto"/>
            <w:vAlign w:val="center"/>
            <w:hideMark/>
          </w:tcPr>
          <w:p w14:paraId="7AD45794" w14:textId="77777777" w:rsidR="00DD49C9" w:rsidRPr="00EE0371" w:rsidRDefault="00DD49C9" w:rsidP="00DD49C9">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15</w:t>
            </w:r>
          </w:p>
        </w:tc>
        <w:tc>
          <w:tcPr>
            <w:tcW w:w="2192" w:type="dxa"/>
            <w:tcBorders>
              <w:top w:val="nil"/>
              <w:left w:val="nil"/>
              <w:bottom w:val="single" w:sz="8" w:space="0" w:color="auto"/>
              <w:right w:val="single" w:sz="8" w:space="0" w:color="auto"/>
            </w:tcBorders>
            <w:shd w:val="clear" w:color="auto" w:fill="auto"/>
            <w:vAlign w:val="center"/>
            <w:hideMark/>
          </w:tcPr>
          <w:p w14:paraId="3F30B077" w14:textId="77777777" w:rsidR="00DD49C9" w:rsidRPr="00EE0371" w:rsidRDefault="00DD49C9" w:rsidP="00D73542">
            <w:pPr>
              <w:spacing w:after="0" w:line="240" w:lineRule="auto"/>
              <w:rPr>
                <w:rFonts w:ascii="Arial" w:eastAsia="Times New Roman" w:hAnsi="Arial" w:cs="Arial"/>
                <w:sz w:val="20"/>
                <w:szCs w:val="20"/>
                <w:lang w:eastAsia="pt-BR"/>
              </w:rPr>
            </w:pPr>
            <w:r w:rsidRPr="00EE0371">
              <w:rPr>
                <w:rFonts w:ascii="Arial" w:eastAsia="Times New Roman" w:hAnsi="Arial" w:cs="Arial"/>
                <w:sz w:val="20"/>
                <w:szCs w:val="20"/>
                <w:lang w:eastAsia="pt-BR"/>
              </w:rPr>
              <w:t>Obrigatório</w:t>
            </w:r>
          </w:p>
        </w:tc>
      </w:tr>
      <w:tr w:rsidR="009653CC" w:rsidRPr="009653CC" w14:paraId="4C36B5F5" w14:textId="77777777" w:rsidTr="00DD49C9">
        <w:trPr>
          <w:trHeight w:val="315"/>
        </w:trPr>
        <w:tc>
          <w:tcPr>
            <w:tcW w:w="4405" w:type="dxa"/>
            <w:tcBorders>
              <w:top w:val="nil"/>
              <w:left w:val="single" w:sz="8" w:space="0" w:color="auto"/>
              <w:bottom w:val="single" w:sz="8" w:space="0" w:color="auto"/>
              <w:right w:val="single" w:sz="8" w:space="0" w:color="auto"/>
            </w:tcBorders>
            <w:shd w:val="clear" w:color="auto" w:fill="auto"/>
            <w:vAlign w:val="center"/>
          </w:tcPr>
          <w:p w14:paraId="64982D58" w14:textId="77777777" w:rsidR="009653CC" w:rsidRPr="00D73542" w:rsidRDefault="009653CC" w:rsidP="005A3CAD">
            <w:pPr>
              <w:spacing w:after="0" w:line="240" w:lineRule="auto"/>
              <w:jc w:val="both"/>
              <w:rPr>
                <w:rFonts w:ascii="Arial" w:eastAsia="Times New Roman" w:hAnsi="Arial" w:cs="Arial"/>
                <w:sz w:val="20"/>
                <w:szCs w:val="20"/>
                <w:lang w:eastAsia="pt-BR"/>
              </w:rPr>
            </w:pPr>
            <w:r w:rsidRPr="00D73542">
              <w:rPr>
                <w:rFonts w:ascii="Arial" w:eastAsia="Times New Roman" w:hAnsi="Arial" w:cs="Arial"/>
                <w:sz w:val="20"/>
                <w:szCs w:val="20"/>
                <w:lang w:eastAsia="pt-BR"/>
              </w:rPr>
              <w:t>Dígito Verificador da Agência</w:t>
            </w:r>
            <w:r w:rsidR="005A3CAD">
              <w:rPr>
                <w:rFonts w:ascii="Arial" w:eastAsia="Times New Roman" w:hAnsi="Arial" w:cs="Arial"/>
                <w:sz w:val="20"/>
                <w:szCs w:val="20"/>
                <w:lang w:eastAsia="pt-BR"/>
              </w:rPr>
              <w:t xml:space="preserve"> </w:t>
            </w:r>
            <w:r w:rsidR="005A3CAD">
              <w:rPr>
                <w:rFonts w:ascii="Arial" w:eastAsia="Times New Roman" w:hAnsi="Arial" w:cs="Arial"/>
                <w:sz w:val="20"/>
                <w:szCs w:val="20"/>
                <w:vertAlign w:val="superscript"/>
                <w:lang w:eastAsia="pt-BR"/>
              </w:rPr>
              <w:t>[9</w:t>
            </w:r>
            <w:r w:rsidR="005A3CAD" w:rsidRPr="00D73542">
              <w:rPr>
                <w:rFonts w:ascii="Arial" w:eastAsia="Times New Roman" w:hAnsi="Arial" w:cs="Arial"/>
                <w:sz w:val="20"/>
                <w:szCs w:val="20"/>
                <w:vertAlign w:val="superscript"/>
                <w:lang w:eastAsia="pt-BR"/>
              </w:rPr>
              <w:t>]</w:t>
            </w:r>
          </w:p>
        </w:tc>
        <w:tc>
          <w:tcPr>
            <w:tcW w:w="1276" w:type="dxa"/>
            <w:tcBorders>
              <w:top w:val="nil"/>
              <w:left w:val="nil"/>
              <w:bottom w:val="single" w:sz="8" w:space="0" w:color="auto"/>
              <w:right w:val="single" w:sz="8" w:space="0" w:color="auto"/>
            </w:tcBorders>
            <w:shd w:val="clear" w:color="auto" w:fill="auto"/>
            <w:vAlign w:val="center"/>
          </w:tcPr>
          <w:p w14:paraId="3D107624" w14:textId="77777777" w:rsidR="009653CC" w:rsidRPr="00D73542" w:rsidRDefault="009653CC" w:rsidP="00DD49C9">
            <w:pPr>
              <w:spacing w:after="0" w:line="240" w:lineRule="auto"/>
              <w:jc w:val="center"/>
              <w:rPr>
                <w:rFonts w:ascii="Arial" w:eastAsia="Times New Roman" w:hAnsi="Arial" w:cs="Arial"/>
                <w:sz w:val="20"/>
                <w:szCs w:val="20"/>
                <w:lang w:eastAsia="pt-BR"/>
              </w:rPr>
            </w:pPr>
            <w:r w:rsidRPr="00D73542">
              <w:rPr>
                <w:rFonts w:ascii="Arial" w:eastAsia="Times New Roman" w:hAnsi="Arial" w:cs="Arial"/>
                <w:sz w:val="20"/>
                <w:szCs w:val="20"/>
                <w:lang w:eastAsia="pt-BR"/>
              </w:rPr>
              <w:t>Caracter</w:t>
            </w:r>
          </w:p>
        </w:tc>
        <w:tc>
          <w:tcPr>
            <w:tcW w:w="1358" w:type="dxa"/>
            <w:tcBorders>
              <w:top w:val="nil"/>
              <w:left w:val="nil"/>
              <w:bottom w:val="single" w:sz="8" w:space="0" w:color="auto"/>
              <w:right w:val="single" w:sz="8" w:space="0" w:color="auto"/>
            </w:tcBorders>
            <w:shd w:val="clear" w:color="auto" w:fill="auto"/>
            <w:vAlign w:val="center"/>
          </w:tcPr>
          <w:p w14:paraId="3B910F81" w14:textId="77777777" w:rsidR="009653CC" w:rsidRPr="00D73542" w:rsidRDefault="009653CC" w:rsidP="00DD49C9">
            <w:pPr>
              <w:spacing w:after="0" w:line="240" w:lineRule="auto"/>
              <w:jc w:val="center"/>
              <w:rPr>
                <w:rFonts w:ascii="Arial" w:eastAsia="Times New Roman" w:hAnsi="Arial" w:cs="Arial"/>
                <w:sz w:val="20"/>
                <w:szCs w:val="20"/>
                <w:lang w:eastAsia="pt-BR"/>
              </w:rPr>
            </w:pPr>
            <w:r w:rsidRPr="00D73542">
              <w:rPr>
                <w:rFonts w:ascii="Arial" w:eastAsia="Times New Roman" w:hAnsi="Arial" w:cs="Arial"/>
                <w:sz w:val="20"/>
                <w:szCs w:val="20"/>
                <w:lang w:eastAsia="pt-BR"/>
              </w:rPr>
              <w:t>1</w:t>
            </w:r>
          </w:p>
        </w:tc>
        <w:tc>
          <w:tcPr>
            <w:tcW w:w="2192" w:type="dxa"/>
            <w:tcBorders>
              <w:top w:val="nil"/>
              <w:left w:val="nil"/>
              <w:bottom w:val="single" w:sz="8" w:space="0" w:color="auto"/>
              <w:right w:val="single" w:sz="8" w:space="0" w:color="auto"/>
            </w:tcBorders>
            <w:shd w:val="clear" w:color="auto" w:fill="auto"/>
            <w:vAlign w:val="center"/>
          </w:tcPr>
          <w:p w14:paraId="470CAC31" w14:textId="77777777" w:rsidR="009653CC" w:rsidRPr="00D73542" w:rsidRDefault="009653CC" w:rsidP="00D73542">
            <w:pPr>
              <w:spacing w:after="0" w:line="240" w:lineRule="auto"/>
              <w:rPr>
                <w:rFonts w:ascii="Arial" w:eastAsia="Times New Roman" w:hAnsi="Arial" w:cs="Arial"/>
                <w:sz w:val="20"/>
                <w:szCs w:val="20"/>
                <w:lang w:eastAsia="pt-BR"/>
              </w:rPr>
            </w:pPr>
            <w:r w:rsidRPr="00D73542">
              <w:rPr>
                <w:rFonts w:ascii="Arial" w:eastAsia="Times New Roman" w:hAnsi="Arial" w:cs="Arial"/>
                <w:sz w:val="20"/>
                <w:szCs w:val="20"/>
                <w:lang w:eastAsia="pt-BR"/>
              </w:rPr>
              <w:t>Opcional</w:t>
            </w:r>
          </w:p>
        </w:tc>
      </w:tr>
      <w:tr w:rsidR="00DD49C9" w:rsidRPr="00EE0371" w14:paraId="214E2873" w14:textId="77777777" w:rsidTr="00DD49C9">
        <w:trPr>
          <w:trHeight w:val="315"/>
        </w:trPr>
        <w:tc>
          <w:tcPr>
            <w:tcW w:w="4405" w:type="dxa"/>
            <w:tcBorders>
              <w:top w:val="nil"/>
              <w:left w:val="single" w:sz="8" w:space="0" w:color="auto"/>
              <w:bottom w:val="single" w:sz="8" w:space="0" w:color="auto"/>
              <w:right w:val="single" w:sz="8" w:space="0" w:color="auto"/>
            </w:tcBorders>
            <w:shd w:val="clear" w:color="auto" w:fill="auto"/>
            <w:vAlign w:val="center"/>
            <w:hideMark/>
          </w:tcPr>
          <w:p w14:paraId="69EF4FE4" w14:textId="77777777" w:rsidR="00DD49C9" w:rsidRPr="00EE0371" w:rsidRDefault="00DD49C9" w:rsidP="00DD49C9">
            <w:pPr>
              <w:spacing w:after="0" w:line="240" w:lineRule="auto"/>
              <w:jc w:val="both"/>
              <w:rPr>
                <w:rFonts w:ascii="Arial" w:eastAsia="Times New Roman" w:hAnsi="Arial" w:cs="Arial"/>
                <w:sz w:val="20"/>
                <w:szCs w:val="20"/>
                <w:lang w:eastAsia="pt-BR"/>
              </w:rPr>
            </w:pPr>
            <w:r w:rsidRPr="00EE0371">
              <w:rPr>
                <w:rFonts w:ascii="Arial" w:eastAsia="Times New Roman" w:hAnsi="Arial" w:cs="Arial"/>
                <w:sz w:val="20"/>
                <w:szCs w:val="20"/>
                <w:lang w:eastAsia="pt-BR"/>
              </w:rPr>
              <w:t xml:space="preserve">Número da Conta Bancária </w:t>
            </w:r>
            <w:r w:rsidRPr="00D73542">
              <w:rPr>
                <w:rFonts w:ascii="Arial" w:eastAsia="Times New Roman" w:hAnsi="Arial" w:cs="Arial"/>
                <w:sz w:val="20"/>
                <w:szCs w:val="20"/>
                <w:vertAlign w:val="superscript"/>
                <w:lang w:eastAsia="pt-BR"/>
              </w:rPr>
              <w:t>[2]</w:t>
            </w:r>
            <w:r w:rsidR="005A3CAD">
              <w:rPr>
                <w:rFonts w:ascii="Arial" w:eastAsia="Times New Roman" w:hAnsi="Arial" w:cs="Arial"/>
                <w:sz w:val="20"/>
                <w:szCs w:val="20"/>
                <w:vertAlign w:val="superscript"/>
                <w:lang w:eastAsia="pt-BR"/>
              </w:rPr>
              <w:t xml:space="preserve"> [8</w:t>
            </w:r>
            <w:r w:rsidR="005A3CAD" w:rsidRPr="00D73542">
              <w:rPr>
                <w:rFonts w:ascii="Arial" w:eastAsia="Times New Roman" w:hAnsi="Arial" w:cs="Arial"/>
                <w:sz w:val="20"/>
                <w:szCs w:val="20"/>
                <w:vertAlign w:val="superscript"/>
                <w:lang w:eastAsia="pt-BR"/>
              </w:rPr>
              <w:t>]</w:t>
            </w:r>
          </w:p>
        </w:tc>
        <w:tc>
          <w:tcPr>
            <w:tcW w:w="1276" w:type="dxa"/>
            <w:tcBorders>
              <w:top w:val="nil"/>
              <w:left w:val="nil"/>
              <w:bottom w:val="single" w:sz="8" w:space="0" w:color="auto"/>
              <w:right w:val="single" w:sz="8" w:space="0" w:color="auto"/>
            </w:tcBorders>
            <w:shd w:val="clear" w:color="auto" w:fill="auto"/>
            <w:vAlign w:val="center"/>
            <w:hideMark/>
          </w:tcPr>
          <w:p w14:paraId="1CD8E081" w14:textId="77777777" w:rsidR="00DD49C9" w:rsidRPr="00EE0371" w:rsidRDefault="00DD49C9" w:rsidP="00DD49C9">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Caracter</w:t>
            </w:r>
          </w:p>
        </w:tc>
        <w:tc>
          <w:tcPr>
            <w:tcW w:w="1358" w:type="dxa"/>
            <w:tcBorders>
              <w:top w:val="nil"/>
              <w:left w:val="nil"/>
              <w:bottom w:val="single" w:sz="8" w:space="0" w:color="auto"/>
              <w:right w:val="single" w:sz="8" w:space="0" w:color="auto"/>
            </w:tcBorders>
            <w:shd w:val="clear" w:color="auto" w:fill="auto"/>
            <w:vAlign w:val="center"/>
            <w:hideMark/>
          </w:tcPr>
          <w:p w14:paraId="4729864F" w14:textId="77777777" w:rsidR="00DD49C9" w:rsidRPr="00EE0371" w:rsidRDefault="00DD49C9" w:rsidP="00DD49C9">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15</w:t>
            </w:r>
          </w:p>
        </w:tc>
        <w:tc>
          <w:tcPr>
            <w:tcW w:w="2192" w:type="dxa"/>
            <w:tcBorders>
              <w:top w:val="nil"/>
              <w:left w:val="nil"/>
              <w:bottom w:val="single" w:sz="8" w:space="0" w:color="auto"/>
              <w:right w:val="single" w:sz="8" w:space="0" w:color="auto"/>
            </w:tcBorders>
            <w:shd w:val="clear" w:color="auto" w:fill="auto"/>
            <w:vAlign w:val="center"/>
            <w:hideMark/>
          </w:tcPr>
          <w:p w14:paraId="1F126F8D" w14:textId="77777777" w:rsidR="00DD49C9" w:rsidRPr="00EE0371" w:rsidRDefault="00DD49C9" w:rsidP="00D73542">
            <w:pPr>
              <w:spacing w:after="0" w:line="240" w:lineRule="auto"/>
              <w:rPr>
                <w:rFonts w:ascii="Arial" w:eastAsia="Times New Roman" w:hAnsi="Arial" w:cs="Arial"/>
                <w:sz w:val="20"/>
                <w:szCs w:val="20"/>
                <w:lang w:eastAsia="pt-BR"/>
              </w:rPr>
            </w:pPr>
            <w:r w:rsidRPr="00EE0371">
              <w:rPr>
                <w:rFonts w:ascii="Arial" w:eastAsia="Times New Roman" w:hAnsi="Arial" w:cs="Arial"/>
                <w:sz w:val="20"/>
                <w:szCs w:val="20"/>
                <w:lang w:eastAsia="pt-BR"/>
              </w:rPr>
              <w:t>Obrigatório</w:t>
            </w:r>
          </w:p>
        </w:tc>
      </w:tr>
      <w:tr w:rsidR="009653CC" w:rsidRPr="009653CC" w14:paraId="5A86C6C8" w14:textId="77777777" w:rsidTr="00DD49C9">
        <w:trPr>
          <w:trHeight w:val="315"/>
        </w:trPr>
        <w:tc>
          <w:tcPr>
            <w:tcW w:w="4405" w:type="dxa"/>
            <w:tcBorders>
              <w:top w:val="nil"/>
              <w:left w:val="single" w:sz="8" w:space="0" w:color="auto"/>
              <w:bottom w:val="single" w:sz="8" w:space="0" w:color="auto"/>
              <w:right w:val="single" w:sz="8" w:space="0" w:color="auto"/>
            </w:tcBorders>
            <w:shd w:val="clear" w:color="auto" w:fill="auto"/>
            <w:vAlign w:val="center"/>
          </w:tcPr>
          <w:p w14:paraId="4E728E68" w14:textId="77777777" w:rsidR="009653CC" w:rsidRPr="00D73542" w:rsidRDefault="009653CC" w:rsidP="005A3CAD">
            <w:pPr>
              <w:spacing w:after="0" w:line="240" w:lineRule="auto"/>
              <w:jc w:val="both"/>
              <w:rPr>
                <w:rFonts w:ascii="Arial" w:eastAsia="Times New Roman" w:hAnsi="Arial" w:cs="Arial"/>
                <w:sz w:val="20"/>
                <w:szCs w:val="20"/>
                <w:lang w:eastAsia="pt-BR"/>
              </w:rPr>
            </w:pPr>
            <w:r w:rsidRPr="00D73542">
              <w:rPr>
                <w:rFonts w:ascii="Arial" w:eastAsia="Times New Roman" w:hAnsi="Arial" w:cs="Arial"/>
                <w:sz w:val="20"/>
                <w:szCs w:val="20"/>
                <w:lang w:eastAsia="pt-BR"/>
              </w:rPr>
              <w:t>Dígito Verificador da Conta Bancária</w:t>
            </w:r>
            <w:r w:rsidR="005A3CAD">
              <w:rPr>
                <w:rFonts w:ascii="Arial" w:eastAsia="Times New Roman" w:hAnsi="Arial" w:cs="Arial"/>
                <w:sz w:val="20"/>
                <w:szCs w:val="20"/>
                <w:lang w:eastAsia="pt-BR"/>
              </w:rPr>
              <w:t xml:space="preserve"> </w:t>
            </w:r>
            <w:r w:rsidR="005A3CAD">
              <w:rPr>
                <w:rFonts w:ascii="Arial" w:eastAsia="Times New Roman" w:hAnsi="Arial" w:cs="Arial"/>
                <w:sz w:val="20"/>
                <w:szCs w:val="20"/>
                <w:vertAlign w:val="superscript"/>
                <w:lang w:eastAsia="pt-BR"/>
              </w:rPr>
              <w:t>[9</w:t>
            </w:r>
            <w:r w:rsidR="005A3CAD" w:rsidRPr="00D73542">
              <w:rPr>
                <w:rFonts w:ascii="Arial" w:eastAsia="Times New Roman" w:hAnsi="Arial" w:cs="Arial"/>
                <w:sz w:val="20"/>
                <w:szCs w:val="20"/>
                <w:vertAlign w:val="superscript"/>
                <w:lang w:eastAsia="pt-BR"/>
              </w:rPr>
              <w:t>]</w:t>
            </w:r>
          </w:p>
        </w:tc>
        <w:tc>
          <w:tcPr>
            <w:tcW w:w="1276" w:type="dxa"/>
            <w:tcBorders>
              <w:top w:val="nil"/>
              <w:left w:val="nil"/>
              <w:bottom w:val="single" w:sz="8" w:space="0" w:color="auto"/>
              <w:right w:val="single" w:sz="8" w:space="0" w:color="auto"/>
            </w:tcBorders>
            <w:shd w:val="clear" w:color="auto" w:fill="auto"/>
            <w:vAlign w:val="center"/>
          </w:tcPr>
          <w:p w14:paraId="1BCE0253" w14:textId="77777777" w:rsidR="009653CC" w:rsidRPr="00D73542" w:rsidRDefault="009653CC" w:rsidP="009653CC">
            <w:pPr>
              <w:spacing w:after="0" w:line="240" w:lineRule="auto"/>
              <w:jc w:val="center"/>
              <w:rPr>
                <w:rFonts w:ascii="Arial" w:eastAsia="Times New Roman" w:hAnsi="Arial" w:cs="Arial"/>
                <w:sz w:val="20"/>
                <w:szCs w:val="20"/>
                <w:lang w:eastAsia="pt-BR"/>
              </w:rPr>
            </w:pPr>
            <w:r w:rsidRPr="00D73542">
              <w:rPr>
                <w:rFonts w:ascii="Arial" w:eastAsia="Times New Roman" w:hAnsi="Arial" w:cs="Arial"/>
                <w:sz w:val="20"/>
                <w:szCs w:val="20"/>
                <w:lang w:eastAsia="pt-BR"/>
              </w:rPr>
              <w:t>Caracter</w:t>
            </w:r>
          </w:p>
        </w:tc>
        <w:tc>
          <w:tcPr>
            <w:tcW w:w="1358" w:type="dxa"/>
            <w:tcBorders>
              <w:top w:val="nil"/>
              <w:left w:val="nil"/>
              <w:bottom w:val="single" w:sz="8" w:space="0" w:color="auto"/>
              <w:right w:val="single" w:sz="8" w:space="0" w:color="auto"/>
            </w:tcBorders>
            <w:shd w:val="clear" w:color="auto" w:fill="auto"/>
            <w:vAlign w:val="center"/>
          </w:tcPr>
          <w:p w14:paraId="493BFC20" w14:textId="77777777" w:rsidR="009653CC" w:rsidRPr="00D73542" w:rsidRDefault="009653CC" w:rsidP="009653CC">
            <w:pPr>
              <w:spacing w:after="0" w:line="240" w:lineRule="auto"/>
              <w:jc w:val="center"/>
              <w:rPr>
                <w:rFonts w:ascii="Arial" w:eastAsia="Times New Roman" w:hAnsi="Arial" w:cs="Arial"/>
                <w:sz w:val="20"/>
                <w:szCs w:val="20"/>
                <w:lang w:eastAsia="pt-BR"/>
              </w:rPr>
            </w:pPr>
            <w:r w:rsidRPr="00D73542">
              <w:rPr>
                <w:rFonts w:ascii="Arial" w:eastAsia="Times New Roman" w:hAnsi="Arial" w:cs="Arial"/>
                <w:sz w:val="20"/>
                <w:szCs w:val="20"/>
                <w:lang w:eastAsia="pt-BR"/>
              </w:rPr>
              <w:t>1</w:t>
            </w:r>
          </w:p>
        </w:tc>
        <w:tc>
          <w:tcPr>
            <w:tcW w:w="2192" w:type="dxa"/>
            <w:tcBorders>
              <w:top w:val="nil"/>
              <w:left w:val="nil"/>
              <w:bottom w:val="single" w:sz="8" w:space="0" w:color="auto"/>
              <w:right w:val="single" w:sz="8" w:space="0" w:color="auto"/>
            </w:tcBorders>
            <w:shd w:val="clear" w:color="auto" w:fill="auto"/>
            <w:vAlign w:val="center"/>
          </w:tcPr>
          <w:p w14:paraId="1D442687" w14:textId="77777777" w:rsidR="009653CC" w:rsidRPr="00D73542" w:rsidRDefault="009653CC" w:rsidP="00D73542">
            <w:pPr>
              <w:spacing w:after="0" w:line="240" w:lineRule="auto"/>
              <w:rPr>
                <w:rFonts w:ascii="Arial" w:eastAsia="Times New Roman" w:hAnsi="Arial" w:cs="Arial"/>
                <w:sz w:val="20"/>
                <w:szCs w:val="20"/>
                <w:lang w:eastAsia="pt-BR"/>
              </w:rPr>
            </w:pPr>
            <w:r w:rsidRPr="00D73542">
              <w:rPr>
                <w:rFonts w:ascii="Arial" w:eastAsia="Times New Roman" w:hAnsi="Arial" w:cs="Arial"/>
                <w:sz w:val="20"/>
                <w:szCs w:val="20"/>
                <w:lang w:eastAsia="pt-BR"/>
              </w:rPr>
              <w:t>Obrigatório</w:t>
            </w:r>
          </w:p>
        </w:tc>
      </w:tr>
      <w:tr w:rsidR="009653CC" w:rsidRPr="00EE0371" w14:paraId="2136CA19" w14:textId="77777777" w:rsidTr="00DD49C9">
        <w:trPr>
          <w:trHeight w:val="300"/>
        </w:trPr>
        <w:tc>
          <w:tcPr>
            <w:tcW w:w="4405" w:type="dxa"/>
            <w:vMerge w:val="restart"/>
            <w:tcBorders>
              <w:top w:val="nil"/>
              <w:left w:val="single" w:sz="8" w:space="0" w:color="auto"/>
              <w:bottom w:val="single" w:sz="8" w:space="0" w:color="000000"/>
              <w:right w:val="single" w:sz="8" w:space="0" w:color="auto"/>
            </w:tcBorders>
            <w:shd w:val="clear" w:color="auto" w:fill="auto"/>
            <w:vAlign w:val="center"/>
            <w:hideMark/>
          </w:tcPr>
          <w:p w14:paraId="7F84DA44" w14:textId="77777777" w:rsidR="009653CC" w:rsidRPr="00D73542" w:rsidRDefault="009653CC" w:rsidP="009653CC">
            <w:pPr>
              <w:spacing w:after="0" w:line="240" w:lineRule="auto"/>
              <w:jc w:val="both"/>
              <w:rPr>
                <w:rFonts w:ascii="Arial" w:eastAsia="Times New Roman" w:hAnsi="Arial" w:cs="Arial"/>
                <w:sz w:val="20"/>
                <w:szCs w:val="20"/>
                <w:lang w:eastAsia="pt-BR"/>
              </w:rPr>
            </w:pPr>
            <w:r w:rsidRPr="00D73542">
              <w:rPr>
                <w:rFonts w:ascii="Arial" w:eastAsia="Times New Roman" w:hAnsi="Arial" w:cs="Arial"/>
                <w:sz w:val="20"/>
                <w:szCs w:val="20"/>
                <w:lang w:eastAsia="pt-BR"/>
              </w:rPr>
              <w:t xml:space="preserve">Tipo de Conta Bancária </w:t>
            </w:r>
            <w:r w:rsidRPr="00B7483D">
              <w:rPr>
                <w:rFonts w:ascii="Arial" w:eastAsia="Times New Roman" w:hAnsi="Arial" w:cs="Arial"/>
                <w:b/>
                <w:bCs/>
                <w:sz w:val="20"/>
                <w:szCs w:val="20"/>
                <w:vertAlign w:val="superscript"/>
                <w:lang w:eastAsia="pt-BR"/>
              </w:rPr>
              <w:t>[1] [2]</w:t>
            </w:r>
            <w:r w:rsidR="00F91C24">
              <w:rPr>
                <w:rFonts w:ascii="Arial" w:eastAsia="Times New Roman" w:hAnsi="Arial" w:cs="Arial"/>
                <w:b/>
                <w:bCs/>
                <w:sz w:val="20"/>
                <w:szCs w:val="20"/>
                <w:vertAlign w:val="superscript"/>
                <w:lang w:eastAsia="pt-BR"/>
              </w:rPr>
              <w:t xml:space="preserve"> </w:t>
            </w:r>
            <w:r w:rsidR="00F91C24" w:rsidRPr="00D73542">
              <w:rPr>
                <w:rFonts w:ascii="Arial" w:eastAsia="Times New Roman" w:hAnsi="Arial" w:cs="Arial"/>
                <w:b/>
                <w:bCs/>
                <w:sz w:val="20"/>
                <w:szCs w:val="20"/>
                <w:vertAlign w:val="superscript"/>
                <w:lang w:eastAsia="pt-BR"/>
              </w:rPr>
              <w:t>[7]</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14:paraId="26B66D53" w14:textId="77777777" w:rsidR="009653CC" w:rsidRPr="00D73542" w:rsidRDefault="009653CC" w:rsidP="009653CC">
            <w:pPr>
              <w:spacing w:after="0" w:line="240" w:lineRule="auto"/>
              <w:jc w:val="center"/>
              <w:rPr>
                <w:rFonts w:ascii="Arial" w:eastAsia="Times New Roman" w:hAnsi="Arial" w:cs="Arial"/>
                <w:sz w:val="20"/>
                <w:szCs w:val="20"/>
                <w:lang w:eastAsia="pt-BR"/>
              </w:rPr>
            </w:pPr>
            <w:r w:rsidRPr="00D73542">
              <w:rPr>
                <w:rFonts w:ascii="Arial" w:eastAsia="Times New Roman" w:hAnsi="Arial" w:cs="Arial"/>
                <w:sz w:val="20"/>
                <w:szCs w:val="20"/>
                <w:lang w:eastAsia="pt-BR"/>
              </w:rPr>
              <w:t>Inteiro</w:t>
            </w:r>
          </w:p>
        </w:tc>
        <w:tc>
          <w:tcPr>
            <w:tcW w:w="1358" w:type="dxa"/>
            <w:vMerge w:val="restart"/>
            <w:tcBorders>
              <w:top w:val="nil"/>
              <w:left w:val="single" w:sz="8" w:space="0" w:color="auto"/>
              <w:bottom w:val="single" w:sz="8" w:space="0" w:color="000000"/>
              <w:right w:val="single" w:sz="8" w:space="0" w:color="auto"/>
            </w:tcBorders>
            <w:shd w:val="clear" w:color="auto" w:fill="auto"/>
            <w:vAlign w:val="center"/>
            <w:hideMark/>
          </w:tcPr>
          <w:p w14:paraId="3F8CBE21" w14:textId="77777777" w:rsidR="009653CC" w:rsidRPr="00D73542" w:rsidRDefault="009653CC" w:rsidP="009653CC">
            <w:pPr>
              <w:spacing w:after="0" w:line="240" w:lineRule="auto"/>
              <w:jc w:val="center"/>
              <w:rPr>
                <w:rFonts w:ascii="Arial" w:eastAsia="Times New Roman" w:hAnsi="Arial" w:cs="Arial"/>
                <w:sz w:val="20"/>
                <w:szCs w:val="20"/>
                <w:lang w:eastAsia="pt-BR"/>
              </w:rPr>
            </w:pPr>
            <w:r w:rsidRPr="00D73542">
              <w:rPr>
                <w:rFonts w:ascii="Arial" w:eastAsia="Times New Roman" w:hAnsi="Arial" w:cs="Arial"/>
                <w:sz w:val="20"/>
                <w:szCs w:val="20"/>
                <w:lang w:eastAsia="pt-BR"/>
              </w:rPr>
              <w:t>1</w:t>
            </w:r>
          </w:p>
        </w:tc>
        <w:tc>
          <w:tcPr>
            <w:tcW w:w="2192" w:type="dxa"/>
            <w:tcBorders>
              <w:top w:val="nil"/>
              <w:left w:val="nil"/>
              <w:bottom w:val="nil"/>
              <w:right w:val="single" w:sz="8" w:space="0" w:color="auto"/>
            </w:tcBorders>
            <w:shd w:val="clear" w:color="auto" w:fill="auto"/>
            <w:vAlign w:val="center"/>
            <w:hideMark/>
          </w:tcPr>
          <w:p w14:paraId="1566BB94" w14:textId="77777777" w:rsidR="009653CC" w:rsidRPr="00D73542" w:rsidRDefault="009653CC" w:rsidP="00D73542">
            <w:pPr>
              <w:spacing w:after="0" w:line="240" w:lineRule="auto"/>
              <w:rPr>
                <w:rFonts w:ascii="Arial" w:eastAsia="Times New Roman" w:hAnsi="Arial" w:cs="Arial"/>
                <w:sz w:val="20"/>
                <w:szCs w:val="20"/>
                <w:lang w:eastAsia="pt-BR"/>
              </w:rPr>
            </w:pPr>
            <w:r w:rsidRPr="00D73542">
              <w:rPr>
                <w:rFonts w:ascii="Arial" w:eastAsia="Times New Roman" w:hAnsi="Arial" w:cs="Arial"/>
                <w:sz w:val="20"/>
                <w:szCs w:val="20"/>
                <w:lang w:eastAsia="pt-BR"/>
              </w:rPr>
              <w:t>Obrigatório</w:t>
            </w:r>
          </w:p>
        </w:tc>
      </w:tr>
      <w:tr w:rsidR="009653CC" w:rsidRPr="00EE0371" w14:paraId="756AD812" w14:textId="77777777" w:rsidTr="00DD49C9">
        <w:trPr>
          <w:trHeight w:val="300"/>
        </w:trPr>
        <w:tc>
          <w:tcPr>
            <w:tcW w:w="4405" w:type="dxa"/>
            <w:vMerge/>
            <w:tcBorders>
              <w:top w:val="nil"/>
              <w:left w:val="single" w:sz="8" w:space="0" w:color="auto"/>
              <w:bottom w:val="single" w:sz="8" w:space="0" w:color="000000"/>
              <w:right w:val="single" w:sz="8" w:space="0" w:color="auto"/>
            </w:tcBorders>
            <w:vAlign w:val="center"/>
            <w:hideMark/>
          </w:tcPr>
          <w:p w14:paraId="4DF3F6CD" w14:textId="77777777" w:rsidR="009653CC" w:rsidRPr="00D73542" w:rsidRDefault="009653CC" w:rsidP="009653CC">
            <w:pPr>
              <w:spacing w:after="0" w:line="240" w:lineRule="auto"/>
              <w:jc w:val="both"/>
              <w:rPr>
                <w:rFonts w:ascii="Arial" w:eastAsia="Times New Roman" w:hAnsi="Arial" w:cs="Arial"/>
                <w:sz w:val="20"/>
                <w:szCs w:val="20"/>
                <w:lang w:eastAsia="pt-BR"/>
              </w:rPr>
            </w:pPr>
          </w:p>
        </w:tc>
        <w:tc>
          <w:tcPr>
            <w:tcW w:w="1276" w:type="dxa"/>
            <w:vMerge/>
            <w:tcBorders>
              <w:top w:val="nil"/>
              <w:left w:val="single" w:sz="8" w:space="0" w:color="auto"/>
              <w:bottom w:val="single" w:sz="8" w:space="0" w:color="000000"/>
              <w:right w:val="single" w:sz="8" w:space="0" w:color="auto"/>
            </w:tcBorders>
            <w:vAlign w:val="center"/>
            <w:hideMark/>
          </w:tcPr>
          <w:p w14:paraId="234FE885" w14:textId="77777777" w:rsidR="009653CC" w:rsidRPr="00D73542" w:rsidRDefault="009653CC" w:rsidP="009653CC">
            <w:pPr>
              <w:spacing w:after="0" w:line="240" w:lineRule="auto"/>
              <w:jc w:val="both"/>
              <w:rPr>
                <w:rFonts w:ascii="Arial" w:eastAsia="Times New Roman" w:hAnsi="Arial" w:cs="Arial"/>
                <w:sz w:val="20"/>
                <w:szCs w:val="20"/>
                <w:lang w:eastAsia="pt-BR"/>
              </w:rPr>
            </w:pPr>
          </w:p>
        </w:tc>
        <w:tc>
          <w:tcPr>
            <w:tcW w:w="1358" w:type="dxa"/>
            <w:vMerge/>
            <w:tcBorders>
              <w:top w:val="nil"/>
              <w:left w:val="single" w:sz="8" w:space="0" w:color="auto"/>
              <w:bottom w:val="single" w:sz="8" w:space="0" w:color="000000"/>
              <w:right w:val="single" w:sz="8" w:space="0" w:color="auto"/>
            </w:tcBorders>
            <w:vAlign w:val="center"/>
            <w:hideMark/>
          </w:tcPr>
          <w:p w14:paraId="4B980C2F" w14:textId="77777777" w:rsidR="009653CC" w:rsidRPr="00D73542" w:rsidRDefault="009653CC" w:rsidP="009653CC">
            <w:pPr>
              <w:spacing w:after="0" w:line="240" w:lineRule="auto"/>
              <w:jc w:val="both"/>
              <w:rPr>
                <w:rFonts w:ascii="Arial" w:eastAsia="Times New Roman" w:hAnsi="Arial" w:cs="Arial"/>
                <w:sz w:val="20"/>
                <w:szCs w:val="20"/>
                <w:lang w:eastAsia="pt-BR"/>
              </w:rPr>
            </w:pPr>
          </w:p>
        </w:tc>
        <w:tc>
          <w:tcPr>
            <w:tcW w:w="2192" w:type="dxa"/>
            <w:tcBorders>
              <w:top w:val="nil"/>
              <w:left w:val="nil"/>
              <w:bottom w:val="nil"/>
              <w:right w:val="single" w:sz="8" w:space="0" w:color="auto"/>
            </w:tcBorders>
            <w:shd w:val="clear" w:color="auto" w:fill="auto"/>
            <w:vAlign w:val="center"/>
            <w:hideMark/>
          </w:tcPr>
          <w:p w14:paraId="2318470F" w14:textId="77777777" w:rsidR="009653CC" w:rsidRPr="00D73542" w:rsidRDefault="009653CC" w:rsidP="00D73542">
            <w:pPr>
              <w:spacing w:after="0" w:line="240" w:lineRule="auto"/>
              <w:rPr>
                <w:rFonts w:ascii="Arial" w:eastAsia="Times New Roman" w:hAnsi="Arial" w:cs="Arial"/>
                <w:sz w:val="20"/>
                <w:szCs w:val="20"/>
                <w:lang w:eastAsia="pt-BR"/>
              </w:rPr>
            </w:pPr>
            <w:r w:rsidRPr="00D73542">
              <w:rPr>
                <w:rFonts w:ascii="Arial" w:eastAsia="Times New Roman" w:hAnsi="Arial" w:cs="Arial"/>
                <w:sz w:val="20"/>
                <w:szCs w:val="20"/>
                <w:lang w:eastAsia="pt-BR"/>
              </w:rPr>
              <w:t>1 - Conta Movimento</w:t>
            </w:r>
          </w:p>
        </w:tc>
      </w:tr>
      <w:tr w:rsidR="009653CC" w:rsidRPr="00EE0371" w14:paraId="1428C573" w14:textId="77777777" w:rsidTr="00DD49C9">
        <w:trPr>
          <w:trHeight w:val="315"/>
        </w:trPr>
        <w:tc>
          <w:tcPr>
            <w:tcW w:w="4405" w:type="dxa"/>
            <w:vMerge/>
            <w:tcBorders>
              <w:top w:val="nil"/>
              <w:left w:val="single" w:sz="8" w:space="0" w:color="auto"/>
              <w:bottom w:val="single" w:sz="8" w:space="0" w:color="000000"/>
              <w:right w:val="single" w:sz="8" w:space="0" w:color="auto"/>
            </w:tcBorders>
            <w:vAlign w:val="center"/>
            <w:hideMark/>
          </w:tcPr>
          <w:p w14:paraId="1EF031A3" w14:textId="77777777" w:rsidR="009653CC" w:rsidRPr="00D73542" w:rsidRDefault="009653CC" w:rsidP="009653CC">
            <w:pPr>
              <w:spacing w:after="0" w:line="240" w:lineRule="auto"/>
              <w:jc w:val="both"/>
              <w:rPr>
                <w:rFonts w:ascii="Arial" w:eastAsia="Times New Roman" w:hAnsi="Arial" w:cs="Arial"/>
                <w:sz w:val="20"/>
                <w:szCs w:val="20"/>
                <w:lang w:eastAsia="pt-BR"/>
              </w:rPr>
            </w:pPr>
          </w:p>
        </w:tc>
        <w:tc>
          <w:tcPr>
            <w:tcW w:w="1276" w:type="dxa"/>
            <w:vMerge/>
            <w:tcBorders>
              <w:top w:val="nil"/>
              <w:left w:val="single" w:sz="8" w:space="0" w:color="auto"/>
              <w:bottom w:val="single" w:sz="8" w:space="0" w:color="000000"/>
              <w:right w:val="single" w:sz="8" w:space="0" w:color="auto"/>
            </w:tcBorders>
            <w:vAlign w:val="center"/>
            <w:hideMark/>
          </w:tcPr>
          <w:p w14:paraId="7FAD00DE" w14:textId="77777777" w:rsidR="009653CC" w:rsidRPr="00D73542" w:rsidRDefault="009653CC" w:rsidP="009653CC">
            <w:pPr>
              <w:spacing w:after="0" w:line="240" w:lineRule="auto"/>
              <w:jc w:val="both"/>
              <w:rPr>
                <w:rFonts w:ascii="Arial" w:eastAsia="Times New Roman" w:hAnsi="Arial" w:cs="Arial"/>
                <w:sz w:val="20"/>
                <w:szCs w:val="20"/>
                <w:lang w:eastAsia="pt-BR"/>
              </w:rPr>
            </w:pPr>
          </w:p>
        </w:tc>
        <w:tc>
          <w:tcPr>
            <w:tcW w:w="1358" w:type="dxa"/>
            <w:vMerge/>
            <w:tcBorders>
              <w:top w:val="nil"/>
              <w:left w:val="single" w:sz="8" w:space="0" w:color="auto"/>
              <w:bottom w:val="single" w:sz="8" w:space="0" w:color="000000"/>
              <w:right w:val="single" w:sz="8" w:space="0" w:color="auto"/>
            </w:tcBorders>
            <w:vAlign w:val="center"/>
            <w:hideMark/>
          </w:tcPr>
          <w:p w14:paraId="2B074FDE" w14:textId="77777777" w:rsidR="009653CC" w:rsidRPr="00D73542" w:rsidRDefault="009653CC" w:rsidP="009653CC">
            <w:pPr>
              <w:spacing w:after="0" w:line="240" w:lineRule="auto"/>
              <w:jc w:val="both"/>
              <w:rPr>
                <w:rFonts w:ascii="Arial" w:eastAsia="Times New Roman" w:hAnsi="Arial" w:cs="Arial"/>
                <w:sz w:val="20"/>
                <w:szCs w:val="20"/>
                <w:lang w:eastAsia="pt-BR"/>
              </w:rPr>
            </w:pPr>
          </w:p>
        </w:tc>
        <w:tc>
          <w:tcPr>
            <w:tcW w:w="2192" w:type="dxa"/>
            <w:tcBorders>
              <w:top w:val="nil"/>
              <w:left w:val="nil"/>
              <w:bottom w:val="single" w:sz="8" w:space="0" w:color="auto"/>
              <w:right w:val="single" w:sz="8" w:space="0" w:color="auto"/>
            </w:tcBorders>
            <w:shd w:val="clear" w:color="auto" w:fill="auto"/>
            <w:vAlign w:val="center"/>
            <w:hideMark/>
          </w:tcPr>
          <w:p w14:paraId="528FBE01" w14:textId="77777777" w:rsidR="009653CC" w:rsidRPr="00D73542" w:rsidRDefault="009653CC" w:rsidP="00D73542">
            <w:pPr>
              <w:spacing w:after="0" w:line="240" w:lineRule="auto"/>
              <w:rPr>
                <w:rFonts w:ascii="Arial" w:eastAsia="Times New Roman" w:hAnsi="Arial" w:cs="Arial"/>
                <w:sz w:val="20"/>
                <w:szCs w:val="20"/>
                <w:lang w:eastAsia="pt-BR"/>
              </w:rPr>
            </w:pPr>
            <w:r w:rsidRPr="00D73542">
              <w:rPr>
                <w:rFonts w:ascii="Arial" w:eastAsia="Times New Roman" w:hAnsi="Arial" w:cs="Arial"/>
                <w:sz w:val="20"/>
                <w:szCs w:val="20"/>
                <w:lang w:eastAsia="pt-BR"/>
              </w:rPr>
              <w:t>2 - Conta Aplicação</w:t>
            </w:r>
          </w:p>
          <w:p w14:paraId="6F791BB4" w14:textId="77777777" w:rsidR="009653CC" w:rsidRPr="00D73542" w:rsidRDefault="009653CC" w:rsidP="00D73542">
            <w:pPr>
              <w:spacing w:after="0" w:line="240" w:lineRule="auto"/>
              <w:rPr>
                <w:rFonts w:ascii="Arial" w:eastAsia="Times New Roman" w:hAnsi="Arial" w:cs="Arial"/>
                <w:sz w:val="20"/>
                <w:szCs w:val="20"/>
                <w:lang w:eastAsia="pt-BR"/>
              </w:rPr>
            </w:pPr>
            <w:r w:rsidRPr="00D73542">
              <w:rPr>
                <w:rFonts w:ascii="Arial" w:eastAsia="Times New Roman" w:hAnsi="Arial" w:cs="Arial"/>
                <w:sz w:val="20"/>
                <w:szCs w:val="20"/>
                <w:lang w:eastAsia="pt-BR"/>
              </w:rPr>
              <w:t>3 - Conta Poupança</w:t>
            </w:r>
          </w:p>
        </w:tc>
      </w:tr>
      <w:tr w:rsidR="009653CC" w:rsidRPr="00EE0371" w14:paraId="34C69B40" w14:textId="77777777" w:rsidTr="00DD49C9">
        <w:trPr>
          <w:trHeight w:val="315"/>
        </w:trPr>
        <w:tc>
          <w:tcPr>
            <w:tcW w:w="4405" w:type="dxa"/>
            <w:tcBorders>
              <w:top w:val="nil"/>
              <w:left w:val="single" w:sz="8" w:space="0" w:color="auto"/>
              <w:bottom w:val="single" w:sz="8" w:space="0" w:color="auto"/>
              <w:right w:val="single" w:sz="8" w:space="0" w:color="auto"/>
            </w:tcBorders>
            <w:shd w:val="clear" w:color="auto" w:fill="auto"/>
            <w:vAlign w:val="center"/>
            <w:hideMark/>
          </w:tcPr>
          <w:p w14:paraId="7B2B8665" w14:textId="77777777" w:rsidR="009653CC" w:rsidRPr="00EE0371" w:rsidRDefault="009653CC" w:rsidP="009653CC">
            <w:pPr>
              <w:spacing w:after="0" w:line="240" w:lineRule="auto"/>
              <w:jc w:val="both"/>
              <w:rPr>
                <w:rFonts w:ascii="Arial" w:eastAsia="Times New Roman" w:hAnsi="Arial" w:cs="Arial"/>
                <w:sz w:val="20"/>
                <w:szCs w:val="20"/>
                <w:lang w:eastAsia="pt-BR"/>
              </w:rPr>
            </w:pPr>
            <w:r w:rsidRPr="00EE0371">
              <w:rPr>
                <w:rFonts w:ascii="Arial" w:eastAsia="Times New Roman" w:hAnsi="Arial" w:cs="Arial"/>
                <w:sz w:val="20"/>
                <w:szCs w:val="20"/>
                <w:lang w:eastAsia="pt-BR"/>
              </w:rPr>
              <w:t xml:space="preserve">Complemento da Conta Bancária </w:t>
            </w:r>
            <w:r w:rsidRPr="00D73542">
              <w:rPr>
                <w:rFonts w:ascii="Arial" w:eastAsia="Times New Roman" w:hAnsi="Arial" w:cs="Arial"/>
                <w:b/>
                <w:bCs/>
                <w:sz w:val="20"/>
                <w:szCs w:val="20"/>
                <w:vertAlign w:val="superscript"/>
                <w:lang w:eastAsia="pt-BR"/>
              </w:rPr>
              <w:t>[2]</w:t>
            </w:r>
          </w:p>
        </w:tc>
        <w:tc>
          <w:tcPr>
            <w:tcW w:w="1276" w:type="dxa"/>
            <w:tcBorders>
              <w:top w:val="nil"/>
              <w:left w:val="nil"/>
              <w:bottom w:val="single" w:sz="8" w:space="0" w:color="auto"/>
              <w:right w:val="single" w:sz="8" w:space="0" w:color="auto"/>
            </w:tcBorders>
            <w:shd w:val="clear" w:color="auto" w:fill="auto"/>
            <w:vAlign w:val="center"/>
            <w:hideMark/>
          </w:tcPr>
          <w:p w14:paraId="4FCFC4AE" w14:textId="77777777" w:rsidR="009653CC" w:rsidRPr="00EE0371" w:rsidRDefault="009653CC" w:rsidP="009653CC">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Caracter</w:t>
            </w:r>
          </w:p>
        </w:tc>
        <w:tc>
          <w:tcPr>
            <w:tcW w:w="1358" w:type="dxa"/>
            <w:tcBorders>
              <w:top w:val="nil"/>
              <w:left w:val="nil"/>
              <w:bottom w:val="single" w:sz="8" w:space="0" w:color="auto"/>
              <w:right w:val="single" w:sz="8" w:space="0" w:color="auto"/>
            </w:tcBorders>
            <w:shd w:val="clear" w:color="auto" w:fill="auto"/>
            <w:vAlign w:val="center"/>
            <w:hideMark/>
          </w:tcPr>
          <w:p w14:paraId="70B927F1" w14:textId="77777777" w:rsidR="009653CC" w:rsidRPr="00EE0371" w:rsidRDefault="009653CC" w:rsidP="009653CC">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10</w:t>
            </w:r>
          </w:p>
        </w:tc>
        <w:tc>
          <w:tcPr>
            <w:tcW w:w="2192" w:type="dxa"/>
            <w:tcBorders>
              <w:top w:val="nil"/>
              <w:left w:val="nil"/>
              <w:bottom w:val="single" w:sz="8" w:space="0" w:color="auto"/>
              <w:right w:val="single" w:sz="8" w:space="0" w:color="auto"/>
            </w:tcBorders>
            <w:shd w:val="clear" w:color="auto" w:fill="auto"/>
            <w:vAlign w:val="center"/>
            <w:hideMark/>
          </w:tcPr>
          <w:p w14:paraId="0A3E3580" w14:textId="77777777" w:rsidR="009653CC" w:rsidRPr="00D73542" w:rsidRDefault="009653CC" w:rsidP="00D73542">
            <w:pPr>
              <w:spacing w:after="0" w:line="240" w:lineRule="auto"/>
              <w:rPr>
                <w:rFonts w:ascii="Arial" w:eastAsia="Times New Roman" w:hAnsi="Arial" w:cs="Arial"/>
                <w:sz w:val="20"/>
                <w:szCs w:val="20"/>
                <w:lang w:eastAsia="pt-BR"/>
              </w:rPr>
            </w:pPr>
            <w:r w:rsidRPr="00D73542">
              <w:rPr>
                <w:rFonts w:ascii="Arial" w:eastAsia="Times New Roman" w:hAnsi="Arial" w:cs="Arial"/>
                <w:sz w:val="20"/>
                <w:szCs w:val="20"/>
                <w:lang w:eastAsia="pt-BR"/>
              </w:rPr>
              <w:t>Obrigatório</w:t>
            </w:r>
          </w:p>
          <w:p w14:paraId="0F97272D" w14:textId="77777777" w:rsidR="009653CC" w:rsidRPr="00D73542" w:rsidRDefault="009653CC" w:rsidP="00D73542">
            <w:pPr>
              <w:spacing w:after="0" w:line="240" w:lineRule="auto"/>
              <w:rPr>
                <w:rFonts w:ascii="Arial" w:eastAsia="Times New Roman" w:hAnsi="Arial" w:cs="Arial"/>
                <w:sz w:val="20"/>
                <w:szCs w:val="20"/>
                <w:lang w:eastAsia="pt-BR"/>
              </w:rPr>
            </w:pPr>
            <w:r w:rsidRPr="00D73542">
              <w:rPr>
                <w:rFonts w:ascii="Arial" w:eastAsia="Times New Roman" w:hAnsi="Arial" w:cs="Arial"/>
                <w:sz w:val="20"/>
                <w:szCs w:val="20"/>
                <w:lang w:eastAsia="pt-BR"/>
              </w:rPr>
              <w:t>Especificamente para o banco 021 Banestes, utilizar códigos definidos na Tabela de Complemento Banestes.</w:t>
            </w:r>
          </w:p>
        </w:tc>
      </w:tr>
      <w:tr w:rsidR="009653CC" w:rsidRPr="00EE0371" w14:paraId="4E6F7B2E" w14:textId="77777777" w:rsidTr="00DD49C9">
        <w:trPr>
          <w:trHeight w:val="315"/>
        </w:trPr>
        <w:tc>
          <w:tcPr>
            <w:tcW w:w="4405" w:type="dxa"/>
            <w:tcBorders>
              <w:top w:val="nil"/>
              <w:left w:val="single" w:sz="8" w:space="0" w:color="auto"/>
              <w:bottom w:val="single" w:sz="8" w:space="0" w:color="auto"/>
              <w:right w:val="single" w:sz="8" w:space="0" w:color="auto"/>
            </w:tcBorders>
            <w:shd w:val="clear" w:color="auto" w:fill="auto"/>
            <w:vAlign w:val="center"/>
            <w:hideMark/>
          </w:tcPr>
          <w:p w14:paraId="423EBF0A" w14:textId="77777777" w:rsidR="009653CC" w:rsidRPr="00EE0371" w:rsidRDefault="009653CC" w:rsidP="009653CC">
            <w:pPr>
              <w:spacing w:after="0" w:line="240" w:lineRule="auto"/>
              <w:jc w:val="both"/>
              <w:rPr>
                <w:rFonts w:ascii="Arial" w:eastAsia="Times New Roman" w:hAnsi="Arial" w:cs="Arial"/>
                <w:sz w:val="20"/>
                <w:szCs w:val="20"/>
                <w:lang w:eastAsia="pt-BR"/>
              </w:rPr>
            </w:pPr>
            <w:r w:rsidRPr="00EE0371">
              <w:rPr>
                <w:rFonts w:ascii="Arial" w:eastAsia="Times New Roman" w:hAnsi="Arial" w:cs="Arial"/>
                <w:sz w:val="20"/>
                <w:szCs w:val="20"/>
                <w:lang w:eastAsia="pt-BR"/>
              </w:rPr>
              <w:t>Descrição da Conta Bancária</w:t>
            </w:r>
          </w:p>
        </w:tc>
        <w:tc>
          <w:tcPr>
            <w:tcW w:w="1276" w:type="dxa"/>
            <w:tcBorders>
              <w:top w:val="nil"/>
              <w:left w:val="nil"/>
              <w:bottom w:val="single" w:sz="8" w:space="0" w:color="auto"/>
              <w:right w:val="single" w:sz="8" w:space="0" w:color="auto"/>
            </w:tcBorders>
            <w:shd w:val="clear" w:color="auto" w:fill="auto"/>
            <w:vAlign w:val="center"/>
            <w:hideMark/>
          </w:tcPr>
          <w:p w14:paraId="7C33C5D6" w14:textId="77777777" w:rsidR="009653CC" w:rsidRPr="00EE0371" w:rsidRDefault="009653CC" w:rsidP="009653CC">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Caracter</w:t>
            </w:r>
          </w:p>
        </w:tc>
        <w:tc>
          <w:tcPr>
            <w:tcW w:w="1358" w:type="dxa"/>
            <w:tcBorders>
              <w:top w:val="nil"/>
              <w:left w:val="nil"/>
              <w:bottom w:val="single" w:sz="8" w:space="0" w:color="auto"/>
              <w:right w:val="single" w:sz="8" w:space="0" w:color="auto"/>
            </w:tcBorders>
            <w:shd w:val="clear" w:color="auto" w:fill="auto"/>
            <w:vAlign w:val="center"/>
            <w:hideMark/>
          </w:tcPr>
          <w:p w14:paraId="69398F76" w14:textId="77777777" w:rsidR="009653CC" w:rsidRPr="00EE0371" w:rsidRDefault="009653CC" w:rsidP="009653CC">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500</w:t>
            </w:r>
          </w:p>
        </w:tc>
        <w:tc>
          <w:tcPr>
            <w:tcW w:w="2192" w:type="dxa"/>
            <w:tcBorders>
              <w:top w:val="nil"/>
              <w:left w:val="nil"/>
              <w:bottom w:val="single" w:sz="8" w:space="0" w:color="auto"/>
              <w:right w:val="single" w:sz="8" w:space="0" w:color="auto"/>
            </w:tcBorders>
            <w:shd w:val="clear" w:color="auto" w:fill="auto"/>
            <w:vAlign w:val="center"/>
            <w:hideMark/>
          </w:tcPr>
          <w:p w14:paraId="60419149" w14:textId="77777777" w:rsidR="009653CC" w:rsidRPr="00EE0371" w:rsidRDefault="009653CC" w:rsidP="00D73542">
            <w:pPr>
              <w:spacing w:after="0" w:line="240" w:lineRule="auto"/>
              <w:rPr>
                <w:rFonts w:ascii="Arial" w:eastAsia="Times New Roman" w:hAnsi="Arial" w:cs="Arial"/>
                <w:sz w:val="20"/>
                <w:szCs w:val="20"/>
                <w:lang w:eastAsia="pt-BR"/>
              </w:rPr>
            </w:pPr>
            <w:r w:rsidRPr="00EE0371">
              <w:rPr>
                <w:rFonts w:ascii="Arial" w:eastAsia="Times New Roman" w:hAnsi="Arial" w:cs="Arial"/>
                <w:sz w:val="20"/>
                <w:szCs w:val="20"/>
                <w:lang w:eastAsia="pt-BR"/>
              </w:rPr>
              <w:t>Obrigatório</w:t>
            </w:r>
          </w:p>
        </w:tc>
      </w:tr>
      <w:tr w:rsidR="009653CC" w:rsidRPr="00EE0371" w14:paraId="3F1C5968" w14:textId="77777777" w:rsidTr="00DD49C9">
        <w:trPr>
          <w:trHeight w:val="780"/>
        </w:trPr>
        <w:tc>
          <w:tcPr>
            <w:tcW w:w="4405" w:type="dxa"/>
            <w:tcBorders>
              <w:top w:val="nil"/>
              <w:left w:val="single" w:sz="8" w:space="0" w:color="auto"/>
              <w:bottom w:val="single" w:sz="8" w:space="0" w:color="auto"/>
              <w:right w:val="single" w:sz="8" w:space="0" w:color="auto"/>
            </w:tcBorders>
            <w:shd w:val="clear" w:color="auto" w:fill="auto"/>
            <w:vAlign w:val="center"/>
            <w:hideMark/>
          </w:tcPr>
          <w:p w14:paraId="25D56F80" w14:textId="77777777" w:rsidR="009653CC" w:rsidRPr="00EE0371" w:rsidRDefault="009653CC" w:rsidP="009653CC">
            <w:pPr>
              <w:spacing w:after="0" w:line="240" w:lineRule="auto"/>
              <w:jc w:val="both"/>
              <w:rPr>
                <w:rFonts w:ascii="Arial" w:eastAsia="Times New Roman" w:hAnsi="Arial" w:cs="Arial"/>
                <w:sz w:val="20"/>
                <w:szCs w:val="20"/>
                <w:lang w:eastAsia="pt-BR"/>
              </w:rPr>
            </w:pPr>
            <w:r w:rsidRPr="00EE0371">
              <w:rPr>
                <w:rFonts w:ascii="Arial" w:eastAsia="Times New Roman" w:hAnsi="Arial" w:cs="Arial"/>
                <w:sz w:val="20"/>
                <w:szCs w:val="20"/>
                <w:lang w:eastAsia="pt-BR"/>
              </w:rPr>
              <w:t xml:space="preserve">Tipo de Aplicação </w:t>
            </w:r>
            <w:r w:rsidRPr="00D73542">
              <w:rPr>
                <w:rFonts w:ascii="Arial" w:eastAsia="Times New Roman" w:hAnsi="Arial" w:cs="Arial"/>
                <w:b/>
                <w:bCs/>
                <w:sz w:val="20"/>
                <w:szCs w:val="20"/>
                <w:vertAlign w:val="superscript"/>
                <w:lang w:eastAsia="pt-BR"/>
              </w:rPr>
              <w:t>[3] [7]</w:t>
            </w:r>
          </w:p>
        </w:tc>
        <w:tc>
          <w:tcPr>
            <w:tcW w:w="1276" w:type="dxa"/>
            <w:tcBorders>
              <w:top w:val="nil"/>
              <w:left w:val="nil"/>
              <w:bottom w:val="single" w:sz="8" w:space="0" w:color="auto"/>
              <w:right w:val="single" w:sz="8" w:space="0" w:color="auto"/>
            </w:tcBorders>
            <w:shd w:val="clear" w:color="auto" w:fill="auto"/>
            <w:vAlign w:val="center"/>
            <w:hideMark/>
          </w:tcPr>
          <w:p w14:paraId="08234889" w14:textId="77777777" w:rsidR="009653CC" w:rsidRPr="00EE0371" w:rsidRDefault="009653CC" w:rsidP="009653CC">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Inteiro</w:t>
            </w:r>
          </w:p>
        </w:tc>
        <w:tc>
          <w:tcPr>
            <w:tcW w:w="1358" w:type="dxa"/>
            <w:tcBorders>
              <w:top w:val="nil"/>
              <w:left w:val="nil"/>
              <w:bottom w:val="single" w:sz="8" w:space="0" w:color="auto"/>
              <w:right w:val="single" w:sz="8" w:space="0" w:color="auto"/>
            </w:tcBorders>
            <w:shd w:val="clear" w:color="auto" w:fill="auto"/>
            <w:vAlign w:val="center"/>
            <w:hideMark/>
          </w:tcPr>
          <w:p w14:paraId="4CA26ABD" w14:textId="77777777" w:rsidR="009653CC" w:rsidRPr="00EE0371" w:rsidRDefault="009653CC" w:rsidP="009653CC">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2</w:t>
            </w:r>
          </w:p>
        </w:tc>
        <w:tc>
          <w:tcPr>
            <w:tcW w:w="2192" w:type="dxa"/>
            <w:tcBorders>
              <w:top w:val="nil"/>
              <w:left w:val="nil"/>
              <w:bottom w:val="single" w:sz="8" w:space="0" w:color="auto"/>
              <w:right w:val="single" w:sz="8" w:space="0" w:color="auto"/>
            </w:tcBorders>
            <w:shd w:val="clear" w:color="auto" w:fill="auto"/>
            <w:vAlign w:val="center"/>
            <w:hideMark/>
          </w:tcPr>
          <w:p w14:paraId="0DE5ACA1" w14:textId="77777777" w:rsidR="009653CC" w:rsidRPr="00EE0371" w:rsidRDefault="009653CC" w:rsidP="00D73542">
            <w:pPr>
              <w:spacing w:after="0" w:line="240" w:lineRule="auto"/>
              <w:rPr>
                <w:rFonts w:ascii="Arial" w:eastAsia="Times New Roman" w:hAnsi="Arial" w:cs="Arial"/>
                <w:sz w:val="20"/>
                <w:szCs w:val="20"/>
                <w:lang w:eastAsia="pt-BR"/>
              </w:rPr>
            </w:pPr>
            <w:r w:rsidRPr="00EE0371">
              <w:rPr>
                <w:rFonts w:ascii="Arial" w:eastAsia="Times New Roman" w:hAnsi="Arial" w:cs="Arial"/>
                <w:sz w:val="20"/>
                <w:szCs w:val="20"/>
                <w:lang w:eastAsia="pt-BR"/>
              </w:rPr>
              <w:t>Obrigatório</w:t>
            </w:r>
            <w:r w:rsidRPr="00EE0371">
              <w:rPr>
                <w:rFonts w:ascii="Arial" w:eastAsia="Times New Roman" w:hAnsi="Arial" w:cs="Arial"/>
                <w:sz w:val="20"/>
                <w:szCs w:val="20"/>
                <w:lang w:eastAsia="pt-BR"/>
              </w:rPr>
              <w:br/>
              <w:t>Conforme Tabela 5 - Tipo de Aplicação, em anexo.</w:t>
            </w:r>
          </w:p>
        </w:tc>
      </w:tr>
      <w:tr w:rsidR="009653CC" w:rsidRPr="00EE0371" w14:paraId="48824EE2" w14:textId="77777777" w:rsidTr="00DD49C9">
        <w:trPr>
          <w:trHeight w:val="450"/>
        </w:trPr>
        <w:tc>
          <w:tcPr>
            <w:tcW w:w="4405" w:type="dxa"/>
            <w:tcBorders>
              <w:top w:val="nil"/>
              <w:left w:val="single" w:sz="8" w:space="0" w:color="auto"/>
              <w:bottom w:val="single" w:sz="8" w:space="0" w:color="auto"/>
              <w:right w:val="single" w:sz="8" w:space="0" w:color="auto"/>
            </w:tcBorders>
            <w:shd w:val="clear" w:color="auto" w:fill="auto"/>
            <w:vAlign w:val="center"/>
            <w:hideMark/>
          </w:tcPr>
          <w:p w14:paraId="3D9EB81C" w14:textId="77777777" w:rsidR="009653CC" w:rsidRPr="00EE0371" w:rsidRDefault="009653CC" w:rsidP="009653CC">
            <w:pPr>
              <w:spacing w:after="0" w:line="240" w:lineRule="auto"/>
              <w:jc w:val="both"/>
              <w:rPr>
                <w:rFonts w:ascii="Arial" w:eastAsia="Times New Roman" w:hAnsi="Arial" w:cs="Arial"/>
                <w:sz w:val="20"/>
                <w:szCs w:val="20"/>
                <w:lang w:eastAsia="pt-BR"/>
              </w:rPr>
            </w:pPr>
            <w:r w:rsidRPr="00EE0371">
              <w:rPr>
                <w:rFonts w:ascii="Arial" w:eastAsia="Times New Roman" w:hAnsi="Arial" w:cs="Arial"/>
                <w:sz w:val="20"/>
                <w:szCs w:val="20"/>
                <w:lang w:eastAsia="pt-BR"/>
              </w:rPr>
              <w:t xml:space="preserve">Código do CNPJ do Fundo de Investimento </w:t>
            </w:r>
            <w:r w:rsidRPr="00D73542">
              <w:rPr>
                <w:rFonts w:ascii="Arial" w:eastAsia="Times New Roman" w:hAnsi="Arial" w:cs="Arial"/>
                <w:b/>
                <w:bCs/>
                <w:sz w:val="20"/>
                <w:szCs w:val="20"/>
                <w:vertAlign w:val="superscript"/>
                <w:lang w:eastAsia="pt-BR"/>
              </w:rPr>
              <w:t>[3]</w:t>
            </w:r>
            <w:r w:rsidR="00F91C24">
              <w:rPr>
                <w:rFonts w:ascii="Arial" w:eastAsia="Times New Roman" w:hAnsi="Arial" w:cs="Arial"/>
                <w:b/>
                <w:bCs/>
                <w:sz w:val="20"/>
                <w:szCs w:val="20"/>
                <w:vertAlign w:val="superscript"/>
                <w:lang w:eastAsia="pt-BR"/>
              </w:rPr>
              <w:t xml:space="preserve"> </w:t>
            </w:r>
            <w:r w:rsidR="00F91C24" w:rsidRPr="00D73542">
              <w:rPr>
                <w:rFonts w:ascii="Arial" w:eastAsia="Times New Roman" w:hAnsi="Arial" w:cs="Arial"/>
                <w:b/>
                <w:bCs/>
                <w:sz w:val="20"/>
                <w:szCs w:val="20"/>
                <w:vertAlign w:val="superscript"/>
                <w:lang w:eastAsia="pt-BR"/>
              </w:rPr>
              <w:t>[7]</w:t>
            </w:r>
          </w:p>
        </w:tc>
        <w:tc>
          <w:tcPr>
            <w:tcW w:w="1276" w:type="dxa"/>
            <w:tcBorders>
              <w:top w:val="nil"/>
              <w:left w:val="nil"/>
              <w:bottom w:val="single" w:sz="8" w:space="0" w:color="auto"/>
              <w:right w:val="single" w:sz="8" w:space="0" w:color="auto"/>
            </w:tcBorders>
            <w:shd w:val="clear" w:color="auto" w:fill="auto"/>
            <w:vAlign w:val="center"/>
            <w:hideMark/>
          </w:tcPr>
          <w:p w14:paraId="0D09CF09" w14:textId="77777777" w:rsidR="009653CC" w:rsidRPr="00EE0371" w:rsidRDefault="009653CC" w:rsidP="009653CC">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Caracter</w:t>
            </w:r>
          </w:p>
        </w:tc>
        <w:tc>
          <w:tcPr>
            <w:tcW w:w="1358" w:type="dxa"/>
            <w:tcBorders>
              <w:top w:val="nil"/>
              <w:left w:val="nil"/>
              <w:bottom w:val="single" w:sz="8" w:space="0" w:color="auto"/>
              <w:right w:val="single" w:sz="8" w:space="0" w:color="auto"/>
            </w:tcBorders>
            <w:shd w:val="clear" w:color="auto" w:fill="auto"/>
            <w:vAlign w:val="center"/>
            <w:hideMark/>
          </w:tcPr>
          <w:p w14:paraId="4C583CF9" w14:textId="77777777" w:rsidR="009653CC" w:rsidRPr="00EE0371" w:rsidRDefault="009653CC" w:rsidP="009653CC">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14</w:t>
            </w:r>
          </w:p>
        </w:tc>
        <w:tc>
          <w:tcPr>
            <w:tcW w:w="2192" w:type="dxa"/>
            <w:tcBorders>
              <w:top w:val="nil"/>
              <w:left w:val="nil"/>
              <w:bottom w:val="single" w:sz="8" w:space="0" w:color="auto"/>
              <w:right w:val="single" w:sz="8" w:space="0" w:color="auto"/>
            </w:tcBorders>
            <w:shd w:val="clear" w:color="auto" w:fill="auto"/>
            <w:vAlign w:val="center"/>
            <w:hideMark/>
          </w:tcPr>
          <w:p w14:paraId="7027F8D7" w14:textId="77777777" w:rsidR="009653CC" w:rsidRPr="00EE0371" w:rsidRDefault="009653CC" w:rsidP="00D73542">
            <w:pPr>
              <w:spacing w:after="0" w:line="240" w:lineRule="auto"/>
              <w:rPr>
                <w:rFonts w:ascii="Arial" w:eastAsia="Times New Roman" w:hAnsi="Arial" w:cs="Arial"/>
                <w:sz w:val="20"/>
                <w:szCs w:val="20"/>
                <w:lang w:eastAsia="pt-BR"/>
              </w:rPr>
            </w:pPr>
            <w:r w:rsidRPr="00EE0371">
              <w:rPr>
                <w:rFonts w:ascii="Arial" w:eastAsia="Times New Roman" w:hAnsi="Arial" w:cs="Arial"/>
                <w:sz w:val="20"/>
                <w:szCs w:val="20"/>
                <w:lang w:eastAsia="pt-BR"/>
              </w:rPr>
              <w:t>Opcional</w:t>
            </w:r>
          </w:p>
        </w:tc>
      </w:tr>
      <w:tr w:rsidR="009653CC" w:rsidRPr="00EE0371" w14:paraId="76155AEA" w14:textId="77777777" w:rsidTr="00DD49C9">
        <w:trPr>
          <w:trHeight w:val="315"/>
        </w:trPr>
        <w:tc>
          <w:tcPr>
            <w:tcW w:w="4405" w:type="dxa"/>
            <w:tcBorders>
              <w:top w:val="nil"/>
              <w:left w:val="single" w:sz="8" w:space="0" w:color="auto"/>
              <w:bottom w:val="single" w:sz="8" w:space="0" w:color="auto"/>
              <w:right w:val="single" w:sz="8" w:space="0" w:color="auto"/>
            </w:tcBorders>
            <w:shd w:val="clear" w:color="auto" w:fill="auto"/>
            <w:vAlign w:val="center"/>
            <w:hideMark/>
          </w:tcPr>
          <w:p w14:paraId="4A191AD4" w14:textId="77777777" w:rsidR="009653CC" w:rsidRPr="00EE0371" w:rsidRDefault="009653CC" w:rsidP="009653CC">
            <w:pPr>
              <w:spacing w:after="0" w:line="240" w:lineRule="auto"/>
              <w:jc w:val="both"/>
              <w:rPr>
                <w:rFonts w:ascii="Arial" w:eastAsia="Times New Roman" w:hAnsi="Arial" w:cs="Arial"/>
                <w:sz w:val="20"/>
                <w:szCs w:val="20"/>
                <w:lang w:eastAsia="pt-BR"/>
              </w:rPr>
            </w:pPr>
            <w:r w:rsidRPr="00EE0371">
              <w:rPr>
                <w:rFonts w:ascii="Arial" w:eastAsia="Times New Roman" w:hAnsi="Arial" w:cs="Arial"/>
                <w:sz w:val="20"/>
                <w:szCs w:val="20"/>
                <w:lang w:eastAsia="pt-BR"/>
              </w:rPr>
              <w:t>Saldo Bancário</w:t>
            </w:r>
          </w:p>
        </w:tc>
        <w:tc>
          <w:tcPr>
            <w:tcW w:w="1276" w:type="dxa"/>
            <w:tcBorders>
              <w:top w:val="nil"/>
              <w:left w:val="nil"/>
              <w:bottom w:val="single" w:sz="8" w:space="0" w:color="auto"/>
              <w:right w:val="single" w:sz="8" w:space="0" w:color="auto"/>
            </w:tcBorders>
            <w:shd w:val="clear" w:color="auto" w:fill="auto"/>
            <w:vAlign w:val="center"/>
            <w:hideMark/>
          </w:tcPr>
          <w:p w14:paraId="402711FB" w14:textId="77777777" w:rsidR="009653CC" w:rsidRPr="00EE0371" w:rsidRDefault="009653CC" w:rsidP="009653CC">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Decimal</w:t>
            </w:r>
          </w:p>
        </w:tc>
        <w:tc>
          <w:tcPr>
            <w:tcW w:w="1358" w:type="dxa"/>
            <w:tcBorders>
              <w:top w:val="nil"/>
              <w:left w:val="nil"/>
              <w:bottom w:val="single" w:sz="8" w:space="0" w:color="auto"/>
              <w:right w:val="single" w:sz="8" w:space="0" w:color="auto"/>
            </w:tcBorders>
            <w:shd w:val="clear" w:color="auto" w:fill="auto"/>
            <w:vAlign w:val="center"/>
            <w:hideMark/>
          </w:tcPr>
          <w:p w14:paraId="35E9914B" w14:textId="77777777" w:rsidR="009653CC" w:rsidRPr="00EE0371" w:rsidRDefault="009653CC" w:rsidP="009653CC">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14,2</w:t>
            </w:r>
          </w:p>
        </w:tc>
        <w:tc>
          <w:tcPr>
            <w:tcW w:w="2192" w:type="dxa"/>
            <w:tcBorders>
              <w:top w:val="nil"/>
              <w:left w:val="nil"/>
              <w:bottom w:val="single" w:sz="8" w:space="0" w:color="auto"/>
              <w:right w:val="single" w:sz="8" w:space="0" w:color="auto"/>
            </w:tcBorders>
            <w:shd w:val="clear" w:color="auto" w:fill="auto"/>
            <w:vAlign w:val="center"/>
            <w:hideMark/>
          </w:tcPr>
          <w:p w14:paraId="5C77AC2E" w14:textId="77777777" w:rsidR="009653CC" w:rsidRPr="00EE0371" w:rsidRDefault="009653CC" w:rsidP="00D73542">
            <w:pPr>
              <w:spacing w:after="0" w:line="240" w:lineRule="auto"/>
              <w:rPr>
                <w:rFonts w:ascii="Arial" w:eastAsia="Times New Roman" w:hAnsi="Arial" w:cs="Arial"/>
                <w:sz w:val="20"/>
                <w:szCs w:val="20"/>
                <w:lang w:eastAsia="pt-BR"/>
              </w:rPr>
            </w:pPr>
            <w:r w:rsidRPr="00EE0371">
              <w:rPr>
                <w:rFonts w:ascii="Arial" w:eastAsia="Times New Roman" w:hAnsi="Arial" w:cs="Arial"/>
                <w:sz w:val="20"/>
                <w:szCs w:val="20"/>
                <w:lang w:eastAsia="pt-BR"/>
              </w:rPr>
              <w:t>Obrigatório</w:t>
            </w:r>
          </w:p>
        </w:tc>
      </w:tr>
      <w:tr w:rsidR="009653CC" w:rsidRPr="00EE0371" w14:paraId="12023D88" w14:textId="77777777" w:rsidTr="00DD49C9">
        <w:trPr>
          <w:trHeight w:val="315"/>
        </w:trPr>
        <w:tc>
          <w:tcPr>
            <w:tcW w:w="4405" w:type="dxa"/>
            <w:tcBorders>
              <w:top w:val="nil"/>
              <w:left w:val="single" w:sz="8" w:space="0" w:color="auto"/>
              <w:bottom w:val="single" w:sz="8" w:space="0" w:color="auto"/>
              <w:right w:val="single" w:sz="8" w:space="0" w:color="auto"/>
            </w:tcBorders>
            <w:shd w:val="clear" w:color="auto" w:fill="auto"/>
            <w:vAlign w:val="center"/>
            <w:hideMark/>
          </w:tcPr>
          <w:p w14:paraId="2C4DCD07" w14:textId="77777777" w:rsidR="009653CC" w:rsidRPr="00EE0371" w:rsidRDefault="009653CC" w:rsidP="009653CC">
            <w:pPr>
              <w:spacing w:after="0" w:line="240" w:lineRule="auto"/>
              <w:jc w:val="both"/>
              <w:rPr>
                <w:rFonts w:ascii="Arial" w:eastAsia="Times New Roman" w:hAnsi="Arial" w:cs="Arial"/>
                <w:sz w:val="20"/>
                <w:szCs w:val="20"/>
                <w:lang w:eastAsia="pt-BR"/>
              </w:rPr>
            </w:pPr>
            <w:r w:rsidRPr="00EE0371">
              <w:rPr>
                <w:rFonts w:ascii="Arial" w:eastAsia="Times New Roman" w:hAnsi="Arial" w:cs="Arial"/>
                <w:sz w:val="20"/>
                <w:szCs w:val="20"/>
                <w:lang w:eastAsia="pt-BR"/>
              </w:rPr>
              <w:t xml:space="preserve">Descrição Situação 1 </w:t>
            </w:r>
            <w:r w:rsidRPr="00D73542">
              <w:rPr>
                <w:rFonts w:ascii="Arial" w:eastAsia="Times New Roman" w:hAnsi="Arial" w:cs="Arial"/>
                <w:b/>
                <w:bCs/>
                <w:sz w:val="20"/>
                <w:szCs w:val="20"/>
                <w:vertAlign w:val="superscript"/>
                <w:lang w:eastAsia="pt-BR"/>
              </w:rPr>
              <w:t>[4]</w:t>
            </w:r>
          </w:p>
        </w:tc>
        <w:tc>
          <w:tcPr>
            <w:tcW w:w="1276" w:type="dxa"/>
            <w:tcBorders>
              <w:top w:val="nil"/>
              <w:left w:val="nil"/>
              <w:bottom w:val="single" w:sz="8" w:space="0" w:color="auto"/>
              <w:right w:val="single" w:sz="8" w:space="0" w:color="auto"/>
            </w:tcBorders>
            <w:shd w:val="clear" w:color="auto" w:fill="auto"/>
            <w:vAlign w:val="center"/>
            <w:hideMark/>
          </w:tcPr>
          <w:p w14:paraId="3FBF4F7F" w14:textId="77777777" w:rsidR="009653CC" w:rsidRPr="00EE0371" w:rsidRDefault="009653CC" w:rsidP="009653CC">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Caracter</w:t>
            </w:r>
          </w:p>
        </w:tc>
        <w:tc>
          <w:tcPr>
            <w:tcW w:w="1358" w:type="dxa"/>
            <w:tcBorders>
              <w:top w:val="nil"/>
              <w:left w:val="nil"/>
              <w:bottom w:val="single" w:sz="8" w:space="0" w:color="auto"/>
              <w:right w:val="single" w:sz="8" w:space="0" w:color="auto"/>
            </w:tcBorders>
            <w:shd w:val="clear" w:color="auto" w:fill="auto"/>
            <w:vAlign w:val="center"/>
            <w:hideMark/>
          </w:tcPr>
          <w:p w14:paraId="29599FB1" w14:textId="77777777" w:rsidR="009653CC" w:rsidRPr="00EE0371" w:rsidRDefault="009653CC" w:rsidP="009653CC">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1000</w:t>
            </w:r>
          </w:p>
        </w:tc>
        <w:tc>
          <w:tcPr>
            <w:tcW w:w="2192" w:type="dxa"/>
            <w:tcBorders>
              <w:top w:val="nil"/>
              <w:left w:val="nil"/>
              <w:bottom w:val="single" w:sz="8" w:space="0" w:color="auto"/>
              <w:right w:val="single" w:sz="8" w:space="0" w:color="auto"/>
            </w:tcBorders>
            <w:shd w:val="clear" w:color="auto" w:fill="auto"/>
            <w:vAlign w:val="center"/>
            <w:hideMark/>
          </w:tcPr>
          <w:p w14:paraId="6E5019FF" w14:textId="77777777" w:rsidR="009653CC" w:rsidRPr="00EE0371" w:rsidRDefault="009653CC" w:rsidP="00D73542">
            <w:pPr>
              <w:spacing w:after="0" w:line="240" w:lineRule="auto"/>
              <w:rPr>
                <w:rFonts w:ascii="Arial" w:eastAsia="Times New Roman" w:hAnsi="Arial" w:cs="Arial"/>
                <w:sz w:val="20"/>
                <w:szCs w:val="20"/>
                <w:lang w:eastAsia="pt-BR"/>
              </w:rPr>
            </w:pPr>
            <w:r w:rsidRPr="00EE0371">
              <w:rPr>
                <w:rFonts w:ascii="Arial" w:eastAsia="Times New Roman" w:hAnsi="Arial" w:cs="Arial"/>
                <w:sz w:val="20"/>
                <w:szCs w:val="20"/>
                <w:lang w:eastAsia="pt-BR"/>
              </w:rPr>
              <w:t>Opcional</w:t>
            </w:r>
          </w:p>
        </w:tc>
      </w:tr>
      <w:tr w:rsidR="009653CC" w:rsidRPr="00EE0371" w14:paraId="3490F7B3" w14:textId="77777777" w:rsidTr="00DD49C9">
        <w:trPr>
          <w:trHeight w:val="315"/>
        </w:trPr>
        <w:tc>
          <w:tcPr>
            <w:tcW w:w="4405" w:type="dxa"/>
            <w:tcBorders>
              <w:top w:val="nil"/>
              <w:left w:val="single" w:sz="8" w:space="0" w:color="auto"/>
              <w:bottom w:val="single" w:sz="8" w:space="0" w:color="auto"/>
              <w:right w:val="single" w:sz="8" w:space="0" w:color="auto"/>
            </w:tcBorders>
            <w:shd w:val="clear" w:color="auto" w:fill="auto"/>
            <w:vAlign w:val="center"/>
            <w:hideMark/>
          </w:tcPr>
          <w:p w14:paraId="7AFF417A" w14:textId="77777777" w:rsidR="009653CC" w:rsidRPr="00EE0371" w:rsidRDefault="009653CC" w:rsidP="009653CC">
            <w:pPr>
              <w:spacing w:after="0" w:line="240" w:lineRule="auto"/>
              <w:jc w:val="both"/>
              <w:rPr>
                <w:rFonts w:ascii="Arial" w:eastAsia="Times New Roman" w:hAnsi="Arial" w:cs="Arial"/>
                <w:sz w:val="20"/>
                <w:szCs w:val="20"/>
                <w:lang w:eastAsia="pt-BR"/>
              </w:rPr>
            </w:pPr>
            <w:r w:rsidRPr="00EE0371">
              <w:rPr>
                <w:rFonts w:ascii="Arial" w:eastAsia="Times New Roman" w:hAnsi="Arial" w:cs="Arial"/>
                <w:sz w:val="20"/>
                <w:szCs w:val="20"/>
                <w:lang w:eastAsia="pt-BR"/>
              </w:rPr>
              <w:t xml:space="preserve">Valor Situação 1 </w:t>
            </w:r>
            <w:r w:rsidRPr="00D73542">
              <w:rPr>
                <w:rFonts w:ascii="Arial" w:eastAsia="Times New Roman" w:hAnsi="Arial" w:cs="Arial"/>
                <w:b/>
                <w:bCs/>
                <w:sz w:val="20"/>
                <w:szCs w:val="20"/>
                <w:vertAlign w:val="superscript"/>
                <w:lang w:eastAsia="pt-BR"/>
              </w:rPr>
              <w:t>[4]</w:t>
            </w:r>
          </w:p>
        </w:tc>
        <w:tc>
          <w:tcPr>
            <w:tcW w:w="1276" w:type="dxa"/>
            <w:tcBorders>
              <w:top w:val="nil"/>
              <w:left w:val="nil"/>
              <w:bottom w:val="single" w:sz="8" w:space="0" w:color="auto"/>
              <w:right w:val="single" w:sz="8" w:space="0" w:color="auto"/>
            </w:tcBorders>
            <w:shd w:val="clear" w:color="auto" w:fill="auto"/>
            <w:vAlign w:val="center"/>
            <w:hideMark/>
          </w:tcPr>
          <w:p w14:paraId="2D7FD291" w14:textId="77777777" w:rsidR="009653CC" w:rsidRPr="00EE0371" w:rsidRDefault="009653CC" w:rsidP="009653CC">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Decimal</w:t>
            </w:r>
          </w:p>
        </w:tc>
        <w:tc>
          <w:tcPr>
            <w:tcW w:w="1358" w:type="dxa"/>
            <w:tcBorders>
              <w:top w:val="nil"/>
              <w:left w:val="nil"/>
              <w:bottom w:val="single" w:sz="8" w:space="0" w:color="auto"/>
              <w:right w:val="single" w:sz="8" w:space="0" w:color="auto"/>
            </w:tcBorders>
            <w:shd w:val="clear" w:color="auto" w:fill="auto"/>
            <w:vAlign w:val="center"/>
            <w:hideMark/>
          </w:tcPr>
          <w:p w14:paraId="1BBDD839" w14:textId="77777777" w:rsidR="009653CC" w:rsidRPr="00EE0371" w:rsidRDefault="009653CC" w:rsidP="009653CC">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14,2</w:t>
            </w:r>
          </w:p>
        </w:tc>
        <w:tc>
          <w:tcPr>
            <w:tcW w:w="2192" w:type="dxa"/>
            <w:tcBorders>
              <w:top w:val="nil"/>
              <w:left w:val="nil"/>
              <w:bottom w:val="single" w:sz="8" w:space="0" w:color="auto"/>
              <w:right w:val="single" w:sz="8" w:space="0" w:color="auto"/>
            </w:tcBorders>
            <w:shd w:val="clear" w:color="auto" w:fill="auto"/>
            <w:vAlign w:val="center"/>
            <w:hideMark/>
          </w:tcPr>
          <w:p w14:paraId="5D1CCA7D" w14:textId="77777777" w:rsidR="009653CC" w:rsidRPr="00EE0371" w:rsidRDefault="009653CC" w:rsidP="00D73542">
            <w:pPr>
              <w:spacing w:after="0" w:line="240" w:lineRule="auto"/>
              <w:rPr>
                <w:rFonts w:ascii="Arial" w:eastAsia="Times New Roman" w:hAnsi="Arial" w:cs="Arial"/>
                <w:sz w:val="20"/>
                <w:szCs w:val="20"/>
                <w:lang w:eastAsia="pt-BR"/>
              </w:rPr>
            </w:pPr>
            <w:r w:rsidRPr="00EE0371">
              <w:rPr>
                <w:rFonts w:ascii="Arial" w:eastAsia="Times New Roman" w:hAnsi="Arial" w:cs="Arial"/>
                <w:sz w:val="20"/>
                <w:szCs w:val="20"/>
                <w:lang w:eastAsia="pt-BR"/>
              </w:rPr>
              <w:t>Opcional</w:t>
            </w:r>
          </w:p>
        </w:tc>
      </w:tr>
      <w:tr w:rsidR="009653CC" w:rsidRPr="00EE0371" w14:paraId="7D0F2C82" w14:textId="77777777" w:rsidTr="00DD49C9">
        <w:trPr>
          <w:trHeight w:val="315"/>
        </w:trPr>
        <w:tc>
          <w:tcPr>
            <w:tcW w:w="4405" w:type="dxa"/>
            <w:tcBorders>
              <w:top w:val="nil"/>
              <w:left w:val="single" w:sz="8" w:space="0" w:color="auto"/>
              <w:bottom w:val="single" w:sz="8" w:space="0" w:color="auto"/>
              <w:right w:val="single" w:sz="8" w:space="0" w:color="auto"/>
            </w:tcBorders>
            <w:shd w:val="clear" w:color="auto" w:fill="auto"/>
            <w:vAlign w:val="center"/>
            <w:hideMark/>
          </w:tcPr>
          <w:p w14:paraId="387B6326" w14:textId="77777777" w:rsidR="009653CC" w:rsidRPr="00EE0371" w:rsidRDefault="009653CC" w:rsidP="009653CC">
            <w:pPr>
              <w:spacing w:after="0" w:line="240" w:lineRule="auto"/>
              <w:jc w:val="both"/>
              <w:rPr>
                <w:rFonts w:ascii="Arial" w:eastAsia="Times New Roman" w:hAnsi="Arial" w:cs="Arial"/>
                <w:sz w:val="20"/>
                <w:szCs w:val="20"/>
                <w:lang w:eastAsia="pt-BR"/>
              </w:rPr>
            </w:pPr>
            <w:r w:rsidRPr="00EE0371">
              <w:rPr>
                <w:rFonts w:ascii="Arial" w:eastAsia="Times New Roman" w:hAnsi="Arial" w:cs="Arial"/>
                <w:sz w:val="20"/>
                <w:szCs w:val="20"/>
                <w:lang w:eastAsia="pt-BR"/>
              </w:rPr>
              <w:t xml:space="preserve">Descrição Situação 2 </w:t>
            </w:r>
            <w:r w:rsidRPr="00D73542">
              <w:rPr>
                <w:rFonts w:ascii="Arial" w:eastAsia="Times New Roman" w:hAnsi="Arial" w:cs="Arial"/>
                <w:b/>
                <w:bCs/>
                <w:sz w:val="20"/>
                <w:szCs w:val="20"/>
                <w:vertAlign w:val="superscript"/>
                <w:lang w:eastAsia="pt-BR"/>
              </w:rPr>
              <w:t>[4]</w:t>
            </w:r>
          </w:p>
        </w:tc>
        <w:tc>
          <w:tcPr>
            <w:tcW w:w="1276" w:type="dxa"/>
            <w:tcBorders>
              <w:top w:val="nil"/>
              <w:left w:val="nil"/>
              <w:bottom w:val="single" w:sz="8" w:space="0" w:color="auto"/>
              <w:right w:val="single" w:sz="8" w:space="0" w:color="auto"/>
            </w:tcBorders>
            <w:shd w:val="clear" w:color="auto" w:fill="auto"/>
            <w:vAlign w:val="center"/>
            <w:hideMark/>
          </w:tcPr>
          <w:p w14:paraId="70976977" w14:textId="77777777" w:rsidR="009653CC" w:rsidRPr="00EE0371" w:rsidRDefault="009653CC" w:rsidP="009653CC">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Caracter</w:t>
            </w:r>
          </w:p>
        </w:tc>
        <w:tc>
          <w:tcPr>
            <w:tcW w:w="1358" w:type="dxa"/>
            <w:tcBorders>
              <w:top w:val="nil"/>
              <w:left w:val="nil"/>
              <w:bottom w:val="single" w:sz="8" w:space="0" w:color="auto"/>
              <w:right w:val="single" w:sz="8" w:space="0" w:color="auto"/>
            </w:tcBorders>
            <w:shd w:val="clear" w:color="auto" w:fill="auto"/>
            <w:vAlign w:val="center"/>
            <w:hideMark/>
          </w:tcPr>
          <w:p w14:paraId="7BB5F110" w14:textId="77777777" w:rsidR="009653CC" w:rsidRPr="00EE0371" w:rsidRDefault="009653CC" w:rsidP="009653CC">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1000</w:t>
            </w:r>
          </w:p>
        </w:tc>
        <w:tc>
          <w:tcPr>
            <w:tcW w:w="2192" w:type="dxa"/>
            <w:tcBorders>
              <w:top w:val="nil"/>
              <w:left w:val="nil"/>
              <w:bottom w:val="single" w:sz="8" w:space="0" w:color="auto"/>
              <w:right w:val="single" w:sz="8" w:space="0" w:color="auto"/>
            </w:tcBorders>
            <w:shd w:val="clear" w:color="auto" w:fill="auto"/>
            <w:vAlign w:val="center"/>
            <w:hideMark/>
          </w:tcPr>
          <w:p w14:paraId="0DEDF651" w14:textId="77777777" w:rsidR="009653CC" w:rsidRPr="00EE0371" w:rsidRDefault="009653CC" w:rsidP="00D73542">
            <w:pPr>
              <w:spacing w:after="0" w:line="240" w:lineRule="auto"/>
              <w:rPr>
                <w:rFonts w:ascii="Arial" w:eastAsia="Times New Roman" w:hAnsi="Arial" w:cs="Arial"/>
                <w:sz w:val="20"/>
                <w:szCs w:val="20"/>
                <w:lang w:eastAsia="pt-BR"/>
              </w:rPr>
            </w:pPr>
            <w:r w:rsidRPr="00EE0371">
              <w:rPr>
                <w:rFonts w:ascii="Arial" w:eastAsia="Times New Roman" w:hAnsi="Arial" w:cs="Arial"/>
                <w:sz w:val="20"/>
                <w:szCs w:val="20"/>
                <w:lang w:eastAsia="pt-BR"/>
              </w:rPr>
              <w:t>Opcional</w:t>
            </w:r>
          </w:p>
        </w:tc>
      </w:tr>
      <w:tr w:rsidR="009653CC" w:rsidRPr="00EE0371" w14:paraId="452CAD7C" w14:textId="77777777" w:rsidTr="00DD49C9">
        <w:trPr>
          <w:trHeight w:val="315"/>
        </w:trPr>
        <w:tc>
          <w:tcPr>
            <w:tcW w:w="4405" w:type="dxa"/>
            <w:tcBorders>
              <w:top w:val="nil"/>
              <w:left w:val="single" w:sz="8" w:space="0" w:color="auto"/>
              <w:bottom w:val="single" w:sz="8" w:space="0" w:color="auto"/>
              <w:right w:val="single" w:sz="8" w:space="0" w:color="auto"/>
            </w:tcBorders>
            <w:shd w:val="clear" w:color="auto" w:fill="auto"/>
            <w:vAlign w:val="center"/>
            <w:hideMark/>
          </w:tcPr>
          <w:p w14:paraId="4A2B6213" w14:textId="77777777" w:rsidR="009653CC" w:rsidRPr="00EE0371" w:rsidRDefault="009653CC" w:rsidP="009653CC">
            <w:pPr>
              <w:spacing w:after="0" w:line="240" w:lineRule="auto"/>
              <w:jc w:val="both"/>
              <w:rPr>
                <w:rFonts w:ascii="Arial" w:eastAsia="Times New Roman" w:hAnsi="Arial" w:cs="Arial"/>
                <w:sz w:val="20"/>
                <w:szCs w:val="20"/>
                <w:lang w:eastAsia="pt-BR"/>
              </w:rPr>
            </w:pPr>
            <w:r w:rsidRPr="00EE0371">
              <w:rPr>
                <w:rFonts w:ascii="Arial" w:eastAsia="Times New Roman" w:hAnsi="Arial" w:cs="Arial"/>
                <w:sz w:val="20"/>
                <w:szCs w:val="20"/>
                <w:lang w:eastAsia="pt-BR"/>
              </w:rPr>
              <w:t xml:space="preserve">Valor Situação 2 </w:t>
            </w:r>
            <w:r w:rsidRPr="00D73542">
              <w:rPr>
                <w:rFonts w:ascii="Arial" w:eastAsia="Times New Roman" w:hAnsi="Arial" w:cs="Arial"/>
                <w:b/>
                <w:bCs/>
                <w:sz w:val="20"/>
                <w:szCs w:val="20"/>
                <w:vertAlign w:val="superscript"/>
                <w:lang w:eastAsia="pt-BR"/>
              </w:rPr>
              <w:t>[4]</w:t>
            </w:r>
          </w:p>
        </w:tc>
        <w:tc>
          <w:tcPr>
            <w:tcW w:w="1276" w:type="dxa"/>
            <w:tcBorders>
              <w:top w:val="nil"/>
              <w:left w:val="nil"/>
              <w:bottom w:val="single" w:sz="8" w:space="0" w:color="auto"/>
              <w:right w:val="single" w:sz="8" w:space="0" w:color="auto"/>
            </w:tcBorders>
            <w:shd w:val="clear" w:color="auto" w:fill="auto"/>
            <w:vAlign w:val="center"/>
            <w:hideMark/>
          </w:tcPr>
          <w:p w14:paraId="7D5E4DA3" w14:textId="77777777" w:rsidR="009653CC" w:rsidRPr="00EE0371" w:rsidRDefault="009653CC" w:rsidP="009653CC">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Decimal</w:t>
            </w:r>
          </w:p>
        </w:tc>
        <w:tc>
          <w:tcPr>
            <w:tcW w:w="1358" w:type="dxa"/>
            <w:tcBorders>
              <w:top w:val="nil"/>
              <w:left w:val="nil"/>
              <w:bottom w:val="single" w:sz="8" w:space="0" w:color="auto"/>
              <w:right w:val="single" w:sz="8" w:space="0" w:color="auto"/>
            </w:tcBorders>
            <w:shd w:val="clear" w:color="auto" w:fill="auto"/>
            <w:vAlign w:val="center"/>
            <w:hideMark/>
          </w:tcPr>
          <w:p w14:paraId="25D56525" w14:textId="77777777" w:rsidR="009653CC" w:rsidRPr="00EE0371" w:rsidRDefault="009653CC" w:rsidP="009653CC">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14,2</w:t>
            </w:r>
          </w:p>
        </w:tc>
        <w:tc>
          <w:tcPr>
            <w:tcW w:w="2192" w:type="dxa"/>
            <w:tcBorders>
              <w:top w:val="nil"/>
              <w:left w:val="nil"/>
              <w:bottom w:val="single" w:sz="8" w:space="0" w:color="auto"/>
              <w:right w:val="single" w:sz="8" w:space="0" w:color="auto"/>
            </w:tcBorders>
            <w:shd w:val="clear" w:color="auto" w:fill="auto"/>
            <w:vAlign w:val="center"/>
            <w:hideMark/>
          </w:tcPr>
          <w:p w14:paraId="06960AE5" w14:textId="77777777" w:rsidR="009653CC" w:rsidRPr="00EE0371" w:rsidRDefault="009653CC" w:rsidP="009653CC">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Opcional</w:t>
            </w:r>
          </w:p>
        </w:tc>
      </w:tr>
      <w:tr w:rsidR="009653CC" w:rsidRPr="00EE0371" w14:paraId="21ABA94E" w14:textId="77777777" w:rsidTr="00DD49C9">
        <w:trPr>
          <w:trHeight w:val="315"/>
        </w:trPr>
        <w:tc>
          <w:tcPr>
            <w:tcW w:w="4405" w:type="dxa"/>
            <w:tcBorders>
              <w:top w:val="nil"/>
              <w:left w:val="single" w:sz="8" w:space="0" w:color="auto"/>
              <w:bottom w:val="single" w:sz="8" w:space="0" w:color="auto"/>
              <w:right w:val="single" w:sz="8" w:space="0" w:color="auto"/>
            </w:tcBorders>
            <w:shd w:val="clear" w:color="auto" w:fill="auto"/>
            <w:vAlign w:val="center"/>
            <w:hideMark/>
          </w:tcPr>
          <w:p w14:paraId="5E085406" w14:textId="77777777" w:rsidR="009653CC" w:rsidRPr="00EE0371" w:rsidRDefault="009653CC" w:rsidP="009653CC">
            <w:pPr>
              <w:spacing w:after="0" w:line="240" w:lineRule="auto"/>
              <w:jc w:val="both"/>
              <w:rPr>
                <w:rFonts w:ascii="Arial" w:eastAsia="Times New Roman" w:hAnsi="Arial" w:cs="Arial"/>
                <w:sz w:val="20"/>
                <w:szCs w:val="20"/>
                <w:lang w:eastAsia="pt-BR"/>
              </w:rPr>
            </w:pPr>
            <w:r w:rsidRPr="00EE0371">
              <w:rPr>
                <w:rFonts w:ascii="Arial" w:eastAsia="Times New Roman" w:hAnsi="Arial" w:cs="Arial"/>
                <w:sz w:val="20"/>
                <w:szCs w:val="20"/>
                <w:lang w:eastAsia="pt-BR"/>
              </w:rPr>
              <w:t xml:space="preserve">Descrição Situação 3 </w:t>
            </w:r>
            <w:r w:rsidRPr="00D73542">
              <w:rPr>
                <w:rFonts w:ascii="Arial" w:eastAsia="Times New Roman" w:hAnsi="Arial" w:cs="Arial"/>
                <w:b/>
                <w:bCs/>
                <w:sz w:val="20"/>
                <w:szCs w:val="20"/>
                <w:vertAlign w:val="superscript"/>
                <w:lang w:eastAsia="pt-BR"/>
              </w:rPr>
              <w:t>[4]</w:t>
            </w:r>
          </w:p>
        </w:tc>
        <w:tc>
          <w:tcPr>
            <w:tcW w:w="1276" w:type="dxa"/>
            <w:tcBorders>
              <w:top w:val="nil"/>
              <w:left w:val="nil"/>
              <w:bottom w:val="single" w:sz="8" w:space="0" w:color="auto"/>
              <w:right w:val="single" w:sz="8" w:space="0" w:color="auto"/>
            </w:tcBorders>
            <w:shd w:val="clear" w:color="auto" w:fill="auto"/>
            <w:vAlign w:val="center"/>
            <w:hideMark/>
          </w:tcPr>
          <w:p w14:paraId="008C4C31" w14:textId="77777777" w:rsidR="009653CC" w:rsidRPr="00EE0371" w:rsidRDefault="009653CC" w:rsidP="009653CC">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Caracter</w:t>
            </w:r>
          </w:p>
        </w:tc>
        <w:tc>
          <w:tcPr>
            <w:tcW w:w="1358" w:type="dxa"/>
            <w:tcBorders>
              <w:top w:val="nil"/>
              <w:left w:val="nil"/>
              <w:bottom w:val="single" w:sz="8" w:space="0" w:color="auto"/>
              <w:right w:val="single" w:sz="8" w:space="0" w:color="auto"/>
            </w:tcBorders>
            <w:shd w:val="clear" w:color="auto" w:fill="auto"/>
            <w:vAlign w:val="center"/>
            <w:hideMark/>
          </w:tcPr>
          <w:p w14:paraId="21539765" w14:textId="77777777" w:rsidR="009653CC" w:rsidRPr="00EE0371" w:rsidRDefault="009653CC" w:rsidP="009653CC">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1000</w:t>
            </w:r>
          </w:p>
        </w:tc>
        <w:tc>
          <w:tcPr>
            <w:tcW w:w="2192" w:type="dxa"/>
            <w:tcBorders>
              <w:top w:val="nil"/>
              <w:left w:val="nil"/>
              <w:bottom w:val="single" w:sz="8" w:space="0" w:color="auto"/>
              <w:right w:val="single" w:sz="8" w:space="0" w:color="auto"/>
            </w:tcBorders>
            <w:shd w:val="clear" w:color="auto" w:fill="auto"/>
            <w:vAlign w:val="center"/>
            <w:hideMark/>
          </w:tcPr>
          <w:p w14:paraId="1EE3BBE3" w14:textId="77777777" w:rsidR="009653CC" w:rsidRPr="00EE0371" w:rsidRDefault="009653CC" w:rsidP="009653CC">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Opcional</w:t>
            </w:r>
          </w:p>
        </w:tc>
      </w:tr>
      <w:tr w:rsidR="009653CC" w:rsidRPr="00EE0371" w14:paraId="6064EE9D" w14:textId="77777777" w:rsidTr="00DD49C9">
        <w:trPr>
          <w:trHeight w:val="315"/>
        </w:trPr>
        <w:tc>
          <w:tcPr>
            <w:tcW w:w="4405" w:type="dxa"/>
            <w:tcBorders>
              <w:top w:val="nil"/>
              <w:left w:val="single" w:sz="8" w:space="0" w:color="auto"/>
              <w:bottom w:val="single" w:sz="8" w:space="0" w:color="auto"/>
              <w:right w:val="single" w:sz="8" w:space="0" w:color="auto"/>
            </w:tcBorders>
            <w:shd w:val="clear" w:color="auto" w:fill="auto"/>
            <w:vAlign w:val="center"/>
            <w:hideMark/>
          </w:tcPr>
          <w:p w14:paraId="518AC926" w14:textId="77777777" w:rsidR="009653CC" w:rsidRPr="00EE0371" w:rsidRDefault="009653CC" w:rsidP="009653CC">
            <w:pPr>
              <w:spacing w:after="0" w:line="240" w:lineRule="auto"/>
              <w:jc w:val="both"/>
              <w:rPr>
                <w:rFonts w:ascii="Arial" w:eastAsia="Times New Roman" w:hAnsi="Arial" w:cs="Arial"/>
                <w:sz w:val="20"/>
                <w:szCs w:val="20"/>
                <w:lang w:eastAsia="pt-BR"/>
              </w:rPr>
            </w:pPr>
            <w:r w:rsidRPr="00EE0371">
              <w:rPr>
                <w:rFonts w:ascii="Arial" w:eastAsia="Times New Roman" w:hAnsi="Arial" w:cs="Arial"/>
                <w:sz w:val="20"/>
                <w:szCs w:val="20"/>
                <w:lang w:eastAsia="pt-BR"/>
              </w:rPr>
              <w:t xml:space="preserve">Valor Situação 3 </w:t>
            </w:r>
            <w:r w:rsidRPr="00D73542">
              <w:rPr>
                <w:rFonts w:ascii="Arial" w:eastAsia="Times New Roman" w:hAnsi="Arial" w:cs="Arial"/>
                <w:b/>
                <w:bCs/>
                <w:sz w:val="20"/>
                <w:szCs w:val="20"/>
                <w:vertAlign w:val="superscript"/>
                <w:lang w:eastAsia="pt-BR"/>
              </w:rPr>
              <w:t>[4]</w:t>
            </w:r>
          </w:p>
        </w:tc>
        <w:tc>
          <w:tcPr>
            <w:tcW w:w="1276" w:type="dxa"/>
            <w:tcBorders>
              <w:top w:val="nil"/>
              <w:left w:val="nil"/>
              <w:bottom w:val="single" w:sz="8" w:space="0" w:color="auto"/>
              <w:right w:val="single" w:sz="8" w:space="0" w:color="auto"/>
            </w:tcBorders>
            <w:shd w:val="clear" w:color="auto" w:fill="auto"/>
            <w:vAlign w:val="center"/>
            <w:hideMark/>
          </w:tcPr>
          <w:p w14:paraId="545394A7" w14:textId="77777777" w:rsidR="009653CC" w:rsidRPr="00EE0371" w:rsidRDefault="009653CC" w:rsidP="009653CC">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Decimal</w:t>
            </w:r>
          </w:p>
        </w:tc>
        <w:tc>
          <w:tcPr>
            <w:tcW w:w="1358" w:type="dxa"/>
            <w:tcBorders>
              <w:top w:val="nil"/>
              <w:left w:val="nil"/>
              <w:bottom w:val="single" w:sz="8" w:space="0" w:color="auto"/>
              <w:right w:val="single" w:sz="8" w:space="0" w:color="auto"/>
            </w:tcBorders>
            <w:shd w:val="clear" w:color="auto" w:fill="auto"/>
            <w:vAlign w:val="center"/>
            <w:hideMark/>
          </w:tcPr>
          <w:p w14:paraId="257AA4BC" w14:textId="77777777" w:rsidR="009653CC" w:rsidRPr="00EE0371" w:rsidRDefault="009653CC" w:rsidP="009653CC">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14,2</w:t>
            </w:r>
          </w:p>
        </w:tc>
        <w:tc>
          <w:tcPr>
            <w:tcW w:w="2192" w:type="dxa"/>
            <w:tcBorders>
              <w:top w:val="nil"/>
              <w:left w:val="nil"/>
              <w:bottom w:val="single" w:sz="8" w:space="0" w:color="auto"/>
              <w:right w:val="single" w:sz="8" w:space="0" w:color="auto"/>
            </w:tcBorders>
            <w:shd w:val="clear" w:color="auto" w:fill="auto"/>
            <w:vAlign w:val="center"/>
            <w:hideMark/>
          </w:tcPr>
          <w:p w14:paraId="6D0E8082" w14:textId="77777777" w:rsidR="009653CC" w:rsidRPr="00EE0371" w:rsidRDefault="009653CC" w:rsidP="009653CC">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Opcional</w:t>
            </w:r>
          </w:p>
        </w:tc>
      </w:tr>
      <w:tr w:rsidR="009653CC" w:rsidRPr="00EE0371" w14:paraId="39F2D0D7" w14:textId="77777777" w:rsidTr="00DD49C9">
        <w:trPr>
          <w:trHeight w:val="315"/>
        </w:trPr>
        <w:tc>
          <w:tcPr>
            <w:tcW w:w="4405" w:type="dxa"/>
            <w:tcBorders>
              <w:top w:val="nil"/>
              <w:left w:val="single" w:sz="8" w:space="0" w:color="auto"/>
              <w:bottom w:val="single" w:sz="8" w:space="0" w:color="auto"/>
              <w:right w:val="single" w:sz="8" w:space="0" w:color="auto"/>
            </w:tcBorders>
            <w:shd w:val="clear" w:color="auto" w:fill="auto"/>
            <w:vAlign w:val="center"/>
            <w:hideMark/>
          </w:tcPr>
          <w:p w14:paraId="1B22F2C0" w14:textId="77777777" w:rsidR="009653CC" w:rsidRPr="00EE0371" w:rsidRDefault="009653CC" w:rsidP="009653CC">
            <w:pPr>
              <w:spacing w:after="0" w:line="240" w:lineRule="auto"/>
              <w:jc w:val="both"/>
              <w:rPr>
                <w:rFonts w:ascii="Arial" w:eastAsia="Times New Roman" w:hAnsi="Arial" w:cs="Arial"/>
                <w:sz w:val="20"/>
                <w:szCs w:val="20"/>
                <w:lang w:eastAsia="pt-BR"/>
              </w:rPr>
            </w:pPr>
            <w:r w:rsidRPr="00EE0371">
              <w:rPr>
                <w:rFonts w:ascii="Arial" w:eastAsia="Times New Roman" w:hAnsi="Arial" w:cs="Arial"/>
                <w:sz w:val="20"/>
                <w:szCs w:val="20"/>
                <w:lang w:eastAsia="pt-BR"/>
              </w:rPr>
              <w:t xml:space="preserve">Descrição Situação 4 </w:t>
            </w:r>
            <w:r w:rsidRPr="00D73542">
              <w:rPr>
                <w:rFonts w:ascii="Arial" w:eastAsia="Times New Roman" w:hAnsi="Arial" w:cs="Arial"/>
                <w:b/>
                <w:bCs/>
                <w:sz w:val="20"/>
                <w:szCs w:val="20"/>
                <w:vertAlign w:val="superscript"/>
                <w:lang w:eastAsia="pt-BR"/>
              </w:rPr>
              <w:t>[4]</w:t>
            </w:r>
          </w:p>
        </w:tc>
        <w:tc>
          <w:tcPr>
            <w:tcW w:w="1276" w:type="dxa"/>
            <w:tcBorders>
              <w:top w:val="nil"/>
              <w:left w:val="nil"/>
              <w:bottom w:val="single" w:sz="8" w:space="0" w:color="auto"/>
              <w:right w:val="single" w:sz="8" w:space="0" w:color="auto"/>
            </w:tcBorders>
            <w:shd w:val="clear" w:color="auto" w:fill="auto"/>
            <w:vAlign w:val="center"/>
            <w:hideMark/>
          </w:tcPr>
          <w:p w14:paraId="26C770F1" w14:textId="77777777" w:rsidR="009653CC" w:rsidRPr="00EE0371" w:rsidRDefault="009653CC" w:rsidP="009653CC">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Caracter</w:t>
            </w:r>
          </w:p>
        </w:tc>
        <w:tc>
          <w:tcPr>
            <w:tcW w:w="1358" w:type="dxa"/>
            <w:tcBorders>
              <w:top w:val="nil"/>
              <w:left w:val="nil"/>
              <w:bottom w:val="single" w:sz="8" w:space="0" w:color="auto"/>
              <w:right w:val="single" w:sz="8" w:space="0" w:color="auto"/>
            </w:tcBorders>
            <w:shd w:val="clear" w:color="auto" w:fill="auto"/>
            <w:vAlign w:val="center"/>
            <w:hideMark/>
          </w:tcPr>
          <w:p w14:paraId="4C448213" w14:textId="77777777" w:rsidR="009653CC" w:rsidRPr="00EE0371" w:rsidRDefault="009653CC" w:rsidP="009653CC">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1000</w:t>
            </w:r>
          </w:p>
        </w:tc>
        <w:tc>
          <w:tcPr>
            <w:tcW w:w="2192" w:type="dxa"/>
            <w:tcBorders>
              <w:top w:val="nil"/>
              <w:left w:val="nil"/>
              <w:bottom w:val="single" w:sz="8" w:space="0" w:color="auto"/>
              <w:right w:val="single" w:sz="8" w:space="0" w:color="auto"/>
            </w:tcBorders>
            <w:shd w:val="clear" w:color="auto" w:fill="auto"/>
            <w:vAlign w:val="center"/>
            <w:hideMark/>
          </w:tcPr>
          <w:p w14:paraId="7B3EF967" w14:textId="77777777" w:rsidR="009653CC" w:rsidRPr="00EE0371" w:rsidRDefault="009653CC" w:rsidP="009653CC">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Opcional</w:t>
            </w:r>
          </w:p>
        </w:tc>
      </w:tr>
      <w:tr w:rsidR="009653CC" w:rsidRPr="00EE0371" w14:paraId="035C3847" w14:textId="77777777" w:rsidTr="00DD49C9">
        <w:trPr>
          <w:trHeight w:val="315"/>
        </w:trPr>
        <w:tc>
          <w:tcPr>
            <w:tcW w:w="4405" w:type="dxa"/>
            <w:tcBorders>
              <w:top w:val="nil"/>
              <w:left w:val="single" w:sz="8" w:space="0" w:color="auto"/>
              <w:bottom w:val="single" w:sz="8" w:space="0" w:color="auto"/>
              <w:right w:val="single" w:sz="8" w:space="0" w:color="auto"/>
            </w:tcBorders>
            <w:shd w:val="clear" w:color="auto" w:fill="auto"/>
            <w:vAlign w:val="center"/>
            <w:hideMark/>
          </w:tcPr>
          <w:p w14:paraId="33429BA7" w14:textId="77777777" w:rsidR="009653CC" w:rsidRPr="00EE0371" w:rsidRDefault="009653CC" w:rsidP="009653CC">
            <w:pPr>
              <w:spacing w:after="0" w:line="240" w:lineRule="auto"/>
              <w:jc w:val="both"/>
              <w:rPr>
                <w:rFonts w:ascii="Arial" w:eastAsia="Times New Roman" w:hAnsi="Arial" w:cs="Arial"/>
                <w:sz w:val="20"/>
                <w:szCs w:val="20"/>
                <w:lang w:eastAsia="pt-BR"/>
              </w:rPr>
            </w:pPr>
            <w:r w:rsidRPr="00EE0371">
              <w:rPr>
                <w:rFonts w:ascii="Arial" w:eastAsia="Times New Roman" w:hAnsi="Arial" w:cs="Arial"/>
                <w:sz w:val="20"/>
                <w:szCs w:val="20"/>
                <w:lang w:eastAsia="pt-BR"/>
              </w:rPr>
              <w:t xml:space="preserve">Valor Situação 4 </w:t>
            </w:r>
            <w:r w:rsidRPr="00D73542">
              <w:rPr>
                <w:rFonts w:ascii="Arial" w:eastAsia="Times New Roman" w:hAnsi="Arial" w:cs="Arial"/>
                <w:b/>
                <w:bCs/>
                <w:sz w:val="20"/>
                <w:szCs w:val="20"/>
                <w:vertAlign w:val="superscript"/>
                <w:lang w:eastAsia="pt-BR"/>
              </w:rPr>
              <w:t>[4]</w:t>
            </w:r>
          </w:p>
        </w:tc>
        <w:tc>
          <w:tcPr>
            <w:tcW w:w="1276" w:type="dxa"/>
            <w:tcBorders>
              <w:top w:val="nil"/>
              <w:left w:val="nil"/>
              <w:bottom w:val="single" w:sz="8" w:space="0" w:color="auto"/>
              <w:right w:val="single" w:sz="8" w:space="0" w:color="auto"/>
            </w:tcBorders>
            <w:shd w:val="clear" w:color="auto" w:fill="auto"/>
            <w:vAlign w:val="center"/>
            <w:hideMark/>
          </w:tcPr>
          <w:p w14:paraId="1D5A1D74" w14:textId="77777777" w:rsidR="009653CC" w:rsidRPr="00EE0371" w:rsidRDefault="009653CC" w:rsidP="009653CC">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Decimal</w:t>
            </w:r>
          </w:p>
        </w:tc>
        <w:tc>
          <w:tcPr>
            <w:tcW w:w="1358" w:type="dxa"/>
            <w:tcBorders>
              <w:top w:val="nil"/>
              <w:left w:val="nil"/>
              <w:bottom w:val="single" w:sz="8" w:space="0" w:color="auto"/>
              <w:right w:val="single" w:sz="8" w:space="0" w:color="auto"/>
            </w:tcBorders>
            <w:shd w:val="clear" w:color="auto" w:fill="auto"/>
            <w:vAlign w:val="center"/>
            <w:hideMark/>
          </w:tcPr>
          <w:p w14:paraId="25289F11" w14:textId="77777777" w:rsidR="009653CC" w:rsidRPr="00EE0371" w:rsidRDefault="009653CC" w:rsidP="009653CC">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14,2</w:t>
            </w:r>
          </w:p>
        </w:tc>
        <w:tc>
          <w:tcPr>
            <w:tcW w:w="2192" w:type="dxa"/>
            <w:tcBorders>
              <w:top w:val="nil"/>
              <w:left w:val="nil"/>
              <w:bottom w:val="single" w:sz="8" w:space="0" w:color="auto"/>
              <w:right w:val="single" w:sz="8" w:space="0" w:color="auto"/>
            </w:tcBorders>
            <w:shd w:val="clear" w:color="auto" w:fill="auto"/>
            <w:vAlign w:val="center"/>
            <w:hideMark/>
          </w:tcPr>
          <w:p w14:paraId="226B244C" w14:textId="77777777" w:rsidR="009653CC" w:rsidRPr="00EE0371" w:rsidRDefault="009653CC" w:rsidP="009653CC">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Opcional</w:t>
            </w:r>
          </w:p>
        </w:tc>
      </w:tr>
      <w:tr w:rsidR="009653CC" w:rsidRPr="00EE0371" w14:paraId="68D46BE7" w14:textId="77777777" w:rsidTr="00DD49C9">
        <w:trPr>
          <w:trHeight w:val="315"/>
        </w:trPr>
        <w:tc>
          <w:tcPr>
            <w:tcW w:w="9231" w:type="dxa"/>
            <w:gridSpan w:val="4"/>
            <w:tcBorders>
              <w:top w:val="single" w:sz="8" w:space="0" w:color="auto"/>
              <w:left w:val="single" w:sz="8" w:space="0" w:color="auto"/>
              <w:bottom w:val="single" w:sz="8" w:space="0" w:color="auto"/>
              <w:right w:val="single" w:sz="8" w:space="0" w:color="000000"/>
            </w:tcBorders>
            <w:shd w:val="clear" w:color="000000" w:fill="C0C0C0"/>
            <w:vAlign w:val="center"/>
            <w:hideMark/>
          </w:tcPr>
          <w:p w14:paraId="03E7A5E8" w14:textId="77777777" w:rsidR="009653CC" w:rsidRPr="00EE0371" w:rsidRDefault="009653CC" w:rsidP="009653CC">
            <w:pPr>
              <w:spacing w:after="0" w:line="240" w:lineRule="auto"/>
              <w:jc w:val="center"/>
              <w:rPr>
                <w:rFonts w:ascii="Arial" w:eastAsia="Times New Roman" w:hAnsi="Arial" w:cs="Arial"/>
                <w:b/>
                <w:bCs/>
                <w:sz w:val="20"/>
                <w:szCs w:val="20"/>
                <w:lang w:eastAsia="pt-BR"/>
              </w:rPr>
            </w:pPr>
            <w:r w:rsidRPr="00EE0371">
              <w:rPr>
                <w:rFonts w:ascii="Arial" w:hAnsi="Arial"/>
              </w:rPr>
              <w:br w:type="page"/>
            </w:r>
            <w:r w:rsidRPr="00EE0371">
              <w:rPr>
                <w:rFonts w:ascii="Arial" w:eastAsia="Times New Roman" w:hAnsi="Arial" w:cs="Arial"/>
                <w:b/>
                <w:bCs/>
                <w:sz w:val="20"/>
                <w:szCs w:val="20"/>
                <w:lang w:eastAsia="pt-BR"/>
              </w:rPr>
              <w:t>Estrutura ‘TermoVerificacaoDisponibilidadeFinanceiraFonte’</w:t>
            </w:r>
          </w:p>
        </w:tc>
      </w:tr>
      <w:tr w:rsidR="009653CC" w:rsidRPr="00EE0371" w14:paraId="3D927110" w14:textId="77777777" w:rsidTr="00DD49C9">
        <w:trPr>
          <w:trHeight w:val="315"/>
        </w:trPr>
        <w:tc>
          <w:tcPr>
            <w:tcW w:w="4405" w:type="dxa"/>
            <w:tcBorders>
              <w:top w:val="nil"/>
              <w:left w:val="single" w:sz="8" w:space="0" w:color="auto"/>
              <w:bottom w:val="single" w:sz="8" w:space="0" w:color="auto"/>
              <w:right w:val="single" w:sz="8" w:space="0" w:color="auto"/>
            </w:tcBorders>
            <w:shd w:val="clear" w:color="auto" w:fill="auto"/>
            <w:vAlign w:val="center"/>
            <w:hideMark/>
          </w:tcPr>
          <w:p w14:paraId="383C66B8" w14:textId="77777777" w:rsidR="009653CC" w:rsidRPr="00EE0371" w:rsidRDefault="009653CC" w:rsidP="009653CC">
            <w:pPr>
              <w:spacing w:after="0" w:line="240" w:lineRule="auto"/>
              <w:jc w:val="both"/>
              <w:rPr>
                <w:rFonts w:ascii="Arial" w:eastAsia="Times New Roman" w:hAnsi="Arial" w:cs="Arial"/>
                <w:sz w:val="20"/>
                <w:szCs w:val="20"/>
                <w:lang w:eastAsia="pt-BR"/>
              </w:rPr>
            </w:pPr>
            <w:r w:rsidRPr="00EE0371">
              <w:rPr>
                <w:rFonts w:ascii="Arial" w:eastAsia="Times New Roman" w:hAnsi="Arial" w:cs="Arial"/>
                <w:sz w:val="20"/>
                <w:szCs w:val="20"/>
                <w:lang w:eastAsia="pt-BR"/>
              </w:rPr>
              <w:t>Identificação do Numero do Registro</w:t>
            </w:r>
          </w:p>
        </w:tc>
        <w:tc>
          <w:tcPr>
            <w:tcW w:w="1276" w:type="dxa"/>
            <w:tcBorders>
              <w:top w:val="nil"/>
              <w:left w:val="nil"/>
              <w:bottom w:val="single" w:sz="8" w:space="0" w:color="auto"/>
              <w:right w:val="single" w:sz="8" w:space="0" w:color="auto"/>
            </w:tcBorders>
            <w:shd w:val="clear" w:color="auto" w:fill="auto"/>
            <w:vAlign w:val="center"/>
            <w:hideMark/>
          </w:tcPr>
          <w:p w14:paraId="003D669B" w14:textId="77777777" w:rsidR="009653CC" w:rsidRPr="00EE0371" w:rsidRDefault="009653CC" w:rsidP="009653CC">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Inteiro</w:t>
            </w:r>
          </w:p>
        </w:tc>
        <w:tc>
          <w:tcPr>
            <w:tcW w:w="1358" w:type="dxa"/>
            <w:tcBorders>
              <w:top w:val="nil"/>
              <w:left w:val="nil"/>
              <w:bottom w:val="single" w:sz="8" w:space="0" w:color="auto"/>
              <w:right w:val="single" w:sz="8" w:space="0" w:color="auto"/>
            </w:tcBorders>
            <w:shd w:val="clear" w:color="auto" w:fill="auto"/>
            <w:vAlign w:val="center"/>
            <w:hideMark/>
          </w:tcPr>
          <w:p w14:paraId="4E95FFE8" w14:textId="77777777" w:rsidR="009653CC" w:rsidRPr="00EE0371" w:rsidRDefault="009653CC" w:rsidP="009653CC">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5</w:t>
            </w:r>
          </w:p>
        </w:tc>
        <w:tc>
          <w:tcPr>
            <w:tcW w:w="2192" w:type="dxa"/>
            <w:tcBorders>
              <w:top w:val="nil"/>
              <w:left w:val="nil"/>
              <w:bottom w:val="single" w:sz="8" w:space="0" w:color="auto"/>
              <w:right w:val="single" w:sz="8" w:space="0" w:color="auto"/>
            </w:tcBorders>
            <w:shd w:val="clear" w:color="auto" w:fill="auto"/>
            <w:vAlign w:val="center"/>
            <w:hideMark/>
          </w:tcPr>
          <w:p w14:paraId="6B873894" w14:textId="77777777" w:rsidR="009653CC" w:rsidRPr="00EE0371" w:rsidRDefault="009653CC" w:rsidP="00D73542">
            <w:pPr>
              <w:spacing w:after="0" w:line="240" w:lineRule="auto"/>
              <w:rPr>
                <w:rFonts w:ascii="Arial" w:eastAsia="Times New Roman" w:hAnsi="Arial" w:cs="Arial"/>
                <w:sz w:val="20"/>
                <w:szCs w:val="20"/>
                <w:lang w:eastAsia="pt-BR"/>
              </w:rPr>
            </w:pPr>
            <w:r w:rsidRPr="00EE0371">
              <w:rPr>
                <w:rFonts w:ascii="Arial" w:eastAsia="Times New Roman" w:hAnsi="Arial" w:cs="Arial"/>
                <w:sz w:val="20"/>
                <w:szCs w:val="20"/>
                <w:lang w:eastAsia="pt-BR"/>
              </w:rPr>
              <w:t>Obrigatório</w:t>
            </w:r>
          </w:p>
        </w:tc>
      </w:tr>
      <w:tr w:rsidR="009653CC" w:rsidRPr="00EE0371" w14:paraId="178410A6" w14:textId="77777777" w:rsidTr="00DD49C9">
        <w:trPr>
          <w:trHeight w:val="315"/>
        </w:trPr>
        <w:tc>
          <w:tcPr>
            <w:tcW w:w="4405" w:type="dxa"/>
            <w:tcBorders>
              <w:top w:val="nil"/>
              <w:left w:val="single" w:sz="8" w:space="0" w:color="auto"/>
              <w:bottom w:val="single" w:sz="8" w:space="0" w:color="auto"/>
              <w:right w:val="single" w:sz="8" w:space="0" w:color="auto"/>
            </w:tcBorders>
            <w:shd w:val="clear" w:color="auto" w:fill="auto"/>
            <w:vAlign w:val="center"/>
            <w:hideMark/>
          </w:tcPr>
          <w:p w14:paraId="360850D9" w14:textId="77777777" w:rsidR="009653CC" w:rsidRPr="00EE0371" w:rsidRDefault="009653CC" w:rsidP="009653CC">
            <w:pPr>
              <w:spacing w:after="0" w:line="240" w:lineRule="auto"/>
              <w:jc w:val="both"/>
              <w:rPr>
                <w:rFonts w:ascii="Arial" w:eastAsia="Times New Roman" w:hAnsi="Arial" w:cs="Arial"/>
                <w:sz w:val="20"/>
                <w:szCs w:val="20"/>
                <w:lang w:eastAsia="pt-BR"/>
              </w:rPr>
            </w:pPr>
            <w:r w:rsidRPr="00EE0371">
              <w:rPr>
                <w:rFonts w:ascii="Arial" w:eastAsia="Times New Roman" w:hAnsi="Arial" w:cs="Arial"/>
                <w:sz w:val="20"/>
                <w:szCs w:val="20"/>
                <w:lang w:eastAsia="pt-BR"/>
              </w:rPr>
              <w:t xml:space="preserve">Mês de Competência </w:t>
            </w:r>
            <w:r w:rsidRPr="00D73542">
              <w:rPr>
                <w:rFonts w:ascii="Arial" w:eastAsia="Times New Roman" w:hAnsi="Arial" w:cs="Arial"/>
                <w:sz w:val="20"/>
                <w:szCs w:val="20"/>
                <w:vertAlign w:val="superscript"/>
                <w:lang w:eastAsia="pt-BR"/>
              </w:rPr>
              <w:t>[2]</w:t>
            </w:r>
          </w:p>
        </w:tc>
        <w:tc>
          <w:tcPr>
            <w:tcW w:w="1276" w:type="dxa"/>
            <w:tcBorders>
              <w:top w:val="nil"/>
              <w:left w:val="nil"/>
              <w:bottom w:val="single" w:sz="8" w:space="0" w:color="auto"/>
              <w:right w:val="single" w:sz="8" w:space="0" w:color="auto"/>
            </w:tcBorders>
            <w:shd w:val="clear" w:color="auto" w:fill="auto"/>
            <w:vAlign w:val="center"/>
            <w:hideMark/>
          </w:tcPr>
          <w:p w14:paraId="78126D18" w14:textId="77777777" w:rsidR="009653CC" w:rsidRPr="00EE0371" w:rsidRDefault="009653CC" w:rsidP="009653CC">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Inteiro</w:t>
            </w:r>
          </w:p>
        </w:tc>
        <w:tc>
          <w:tcPr>
            <w:tcW w:w="1358" w:type="dxa"/>
            <w:tcBorders>
              <w:top w:val="nil"/>
              <w:left w:val="nil"/>
              <w:bottom w:val="single" w:sz="8" w:space="0" w:color="auto"/>
              <w:right w:val="single" w:sz="8" w:space="0" w:color="auto"/>
            </w:tcBorders>
            <w:shd w:val="clear" w:color="auto" w:fill="auto"/>
            <w:vAlign w:val="center"/>
            <w:hideMark/>
          </w:tcPr>
          <w:p w14:paraId="75F030DE" w14:textId="77777777" w:rsidR="009653CC" w:rsidRPr="00EE0371" w:rsidRDefault="009653CC" w:rsidP="009653CC">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2</w:t>
            </w:r>
          </w:p>
        </w:tc>
        <w:tc>
          <w:tcPr>
            <w:tcW w:w="2192" w:type="dxa"/>
            <w:tcBorders>
              <w:top w:val="nil"/>
              <w:left w:val="nil"/>
              <w:bottom w:val="single" w:sz="8" w:space="0" w:color="auto"/>
              <w:right w:val="single" w:sz="8" w:space="0" w:color="auto"/>
            </w:tcBorders>
            <w:shd w:val="clear" w:color="auto" w:fill="auto"/>
            <w:vAlign w:val="center"/>
            <w:hideMark/>
          </w:tcPr>
          <w:p w14:paraId="1A8FBE4B" w14:textId="77777777" w:rsidR="009653CC" w:rsidRPr="00EE0371" w:rsidRDefault="009653CC" w:rsidP="00D73542">
            <w:pPr>
              <w:spacing w:after="0" w:line="240" w:lineRule="auto"/>
              <w:rPr>
                <w:rFonts w:ascii="Arial" w:eastAsia="Times New Roman" w:hAnsi="Arial" w:cs="Arial"/>
                <w:sz w:val="20"/>
                <w:szCs w:val="20"/>
                <w:lang w:eastAsia="pt-BR"/>
              </w:rPr>
            </w:pPr>
            <w:r w:rsidRPr="00EE0371">
              <w:rPr>
                <w:rFonts w:ascii="Arial" w:eastAsia="Times New Roman" w:hAnsi="Arial" w:cs="Arial"/>
                <w:sz w:val="20"/>
                <w:szCs w:val="20"/>
                <w:lang w:eastAsia="pt-BR"/>
              </w:rPr>
              <w:t>Obrigatório</w:t>
            </w:r>
          </w:p>
        </w:tc>
      </w:tr>
      <w:tr w:rsidR="009653CC" w:rsidRPr="00EE0371" w14:paraId="10B167A6" w14:textId="77777777" w:rsidTr="00DD49C9">
        <w:trPr>
          <w:trHeight w:val="300"/>
        </w:trPr>
        <w:tc>
          <w:tcPr>
            <w:tcW w:w="4405" w:type="dxa"/>
            <w:vMerge w:val="restart"/>
            <w:tcBorders>
              <w:top w:val="nil"/>
              <w:left w:val="single" w:sz="8" w:space="0" w:color="auto"/>
              <w:bottom w:val="single" w:sz="8" w:space="0" w:color="000000"/>
              <w:right w:val="single" w:sz="8" w:space="0" w:color="auto"/>
            </w:tcBorders>
            <w:shd w:val="clear" w:color="auto" w:fill="auto"/>
            <w:vAlign w:val="center"/>
            <w:hideMark/>
          </w:tcPr>
          <w:p w14:paraId="407F7C22" w14:textId="77777777" w:rsidR="009653CC" w:rsidRPr="00EE0371" w:rsidRDefault="009653CC" w:rsidP="009653CC">
            <w:pPr>
              <w:spacing w:after="0" w:line="240" w:lineRule="auto"/>
              <w:jc w:val="both"/>
              <w:rPr>
                <w:rFonts w:ascii="Arial" w:eastAsia="Times New Roman" w:hAnsi="Arial" w:cs="Arial"/>
                <w:sz w:val="20"/>
                <w:szCs w:val="20"/>
                <w:lang w:eastAsia="pt-BR"/>
              </w:rPr>
            </w:pPr>
            <w:r w:rsidRPr="00EE0371">
              <w:rPr>
                <w:rFonts w:ascii="Arial" w:eastAsia="Times New Roman" w:hAnsi="Arial" w:cs="Arial"/>
                <w:sz w:val="20"/>
                <w:szCs w:val="20"/>
                <w:lang w:eastAsia="pt-BR"/>
              </w:rPr>
              <w:t xml:space="preserve">Código do Banco </w:t>
            </w:r>
            <w:r w:rsidRPr="00D73542">
              <w:rPr>
                <w:rFonts w:ascii="Arial" w:eastAsia="Times New Roman" w:hAnsi="Arial" w:cs="Arial"/>
                <w:sz w:val="20"/>
                <w:szCs w:val="20"/>
                <w:vertAlign w:val="superscript"/>
                <w:lang w:eastAsia="pt-BR"/>
              </w:rPr>
              <w:t>[2]</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14:paraId="75C9F74B" w14:textId="77777777" w:rsidR="009653CC" w:rsidRPr="00EE0371" w:rsidRDefault="009653CC" w:rsidP="009653CC">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Inteiro</w:t>
            </w:r>
          </w:p>
        </w:tc>
        <w:tc>
          <w:tcPr>
            <w:tcW w:w="1358" w:type="dxa"/>
            <w:vMerge w:val="restart"/>
            <w:tcBorders>
              <w:top w:val="nil"/>
              <w:left w:val="single" w:sz="8" w:space="0" w:color="auto"/>
              <w:bottom w:val="single" w:sz="8" w:space="0" w:color="000000"/>
              <w:right w:val="single" w:sz="8" w:space="0" w:color="auto"/>
            </w:tcBorders>
            <w:shd w:val="clear" w:color="auto" w:fill="auto"/>
            <w:vAlign w:val="center"/>
            <w:hideMark/>
          </w:tcPr>
          <w:p w14:paraId="6020FB5E" w14:textId="77777777" w:rsidR="009653CC" w:rsidRPr="00EE0371" w:rsidRDefault="009653CC" w:rsidP="009653CC">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3</w:t>
            </w:r>
          </w:p>
        </w:tc>
        <w:tc>
          <w:tcPr>
            <w:tcW w:w="2192" w:type="dxa"/>
            <w:tcBorders>
              <w:top w:val="nil"/>
              <w:left w:val="nil"/>
              <w:bottom w:val="nil"/>
              <w:right w:val="single" w:sz="8" w:space="0" w:color="auto"/>
            </w:tcBorders>
            <w:shd w:val="clear" w:color="auto" w:fill="auto"/>
            <w:vAlign w:val="center"/>
            <w:hideMark/>
          </w:tcPr>
          <w:p w14:paraId="6C58408E" w14:textId="77777777" w:rsidR="009653CC" w:rsidRPr="00EE0371" w:rsidRDefault="009653CC" w:rsidP="00D73542">
            <w:pPr>
              <w:spacing w:after="0" w:line="240" w:lineRule="auto"/>
              <w:rPr>
                <w:rFonts w:ascii="Arial" w:eastAsia="Times New Roman" w:hAnsi="Arial" w:cs="Arial"/>
                <w:sz w:val="20"/>
                <w:szCs w:val="20"/>
                <w:lang w:eastAsia="pt-BR"/>
              </w:rPr>
            </w:pPr>
            <w:r w:rsidRPr="00EE0371">
              <w:rPr>
                <w:rFonts w:ascii="Arial" w:eastAsia="Times New Roman" w:hAnsi="Arial" w:cs="Arial"/>
                <w:sz w:val="20"/>
                <w:szCs w:val="20"/>
                <w:lang w:eastAsia="pt-BR"/>
              </w:rPr>
              <w:t>Obrigatório</w:t>
            </w:r>
          </w:p>
        </w:tc>
      </w:tr>
      <w:tr w:rsidR="009653CC" w:rsidRPr="00EE0371" w14:paraId="025C1ED9" w14:textId="77777777" w:rsidTr="00DD49C9">
        <w:trPr>
          <w:trHeight w:val="315"/>
        </w:trPr>
        <w:tc>
          <w:tcPr>
            <w:tcW w:w="4405" w:type="dxa"/>
            <w:vMerge/>
            <w:tcBorders>
              <w:top w:val="nil"/>
              <w:left w:val="single" w:sz="8" w:space="0" w:color="auto"/>
              <w:bottom w:val="single" w:sz="8" w:space="0" w:color="000000"/>
              <w:right w:val="single" w:sz="8" w:space="0" w:color="auto"/>
            </w:tcBorders>
            <w:vAlign w:val="center"/>
            <w:hideMark/>
          </w:tcPr>
          <w:p w14:paraId="00E1F9B1" w14:textId="77777777" w:rsidR="009653CC" w:rsidRPr="00EE0371" w:rsidRDefault="009653CC" w:rsidP="009653CC">
            <w:pPr>
              <w:spacing w:after="0" w:line="240" w:lineRule="auto"/>
              <w:jc w:val="both"/>
              <w:rPr>
                <w:rFonts w:ascii="Arial" w:eastAsia="Times New Roman" w:hAnsi="Arial" w:cs="Arial"/>
                <w:sz w:val="20"/>
                <w:szCs w:val="20"/>
                <w:lang w:eastAsia="pt-BR"/>
              </w:rPr>
            </w:pPr>
          </w:p>
        </w:tc>
        <w:tc>
          <w:tcPr>
            <w:tcW w:w="1276" w:type="dxa"/>
            <w:vMerge/>
            <w:tcBorders>
              <w:top w:val="nil"/>
              <w:left w:val="single" w:sz="8" w:space="0" w:color="auto"/>
              <w:bottom w:val="single" w:sz="8" w:space="0" w:color="000000"/>
              <w:right w:val="single" w:sz="8" w:space="0" w:color="auto"/>
            </w:tcBorders>
            <w:vAlign w:val="center"/>
            <w:hideMark/>
          </w:tcPr>
          <w:p w14:paraId="7834991F" w14:textId="77777777" w:rsidR="009653CC" w:rsidRPr="00EE0371" w:rsidRDefault="009653CC" w:rsidP="009653CC">
            <w:pPr>
              <w:spacing w:after="0" w:line="240" w:lineRule="auto"/>
              <w:jc w:val="both"/>
              <w:rPr>
                <w:rFonts w:ascii="Arial" w:eastAsia="Times New Roman" w:hAnsi="Arial" w:cs="Arial"/>
                <w:sz w:val="20"/>
                <w:szCs w:val="20"/>
                <w:lang w:eastAsia="pt-BR"/>
              </w:rPr>
            </w:pPr>
          </w:p>
        </w:tc>
        <w:tc>
          <w:tcPr>
            <w:tcW w:w="1358" w:type="dxa"/>
            <w:vMerge/>
            <w:tcBorders>
              <w:top w:val="nil"/>
              <w:left w:val="single" w:sz="8" w:space="0" w:color="auto"/>
              <w:bottom w:val="single" w:sz="8" w:space="0" w:color="000000"/>
              <w:right w:val="single" w:sz="8" w:space="0" w:color="auto"/>
            </w:tcBorders>
            <w:vAlign w:val="center"/>
            <w:hideMark/>
          </w:tcPr>
          <w:p w14:paraId="14E31F58" w14:textId="77777777" w:rsidR="009653CC" w:rsidRPr="00EE0371" w:rsidRDefault="009653CC" w:rsidP="009653CC">
            <w:pPr>
              <w:spacing w:after="0" w:line="240" w:lineRule="auto"/>
              <w:jc w:val="both"/>
              <w:rPr>
                <w:rFonts w:ascii="Arial" w:eastAsia="Times New Roman" w:hAnsi="Arial" w:cs="Arial"/>
                <w:sz w:val="20"/>
                <w:szCs w:val="20"/>
                <w:lang w:eastAsia="pt-BR"/>
              </w:rPr>
            </w:pPr>
          </w:p>
        </w:tc>
        <w:tc>
          <w:tcPr>
            <w:tcW w:w="2192" w:type="dxa"/>
            <w:tcBorders>
              <w:top w:val="nil"/>
              <w:left w:val="nil"/>
              <w:bottom w:val="single" w:sz="8" w:space="0" w:color="auto"/>
              <w:right w:val="single" w:sz="8" w:space="0" w:color="auto"/>
            </w:tcBorders>
            <w:shd w:val="clear" w:color="auto" w:fill="auto"/>
            <w:vAlign w:val="center"/>
            <w:hideMark/>
          </w:tcPr>
          <w:p w14:paraId="68363354" w14:textId="77777777" w:rsidR="009653CC" w:rsidRPr="00EE0371" w:rsidRDefault="009653CC" w:rsidP="00D73542">
            <w:pPr>
              <w:spacing w:after="0" w:line="240" w:lineRule="auto"/>
              <w:rPr>
                <w:rFonts w:ascii="Arial" w:eastAsia="Times New Roman" w:hAnsi="Arial" w:cs="Arial"/>
                <w:sz w:val="20"/>
                <w:szCs w:val="20"/>
                <w:lang w:eastAsia="pt-BR"/>
              </w:rPr>
            </w:pPr>
            <w:r w:rsidRPr="00EE0371">
              <w:rPr>
                <w:rFonts w:ascii="Arial" w:eastAsia="Times New Roman" w:hAnsi="Arial" w:cs="Arial"/>
                <w:sz w:val="20"/>
                <w:szCs w:val="20"/>
                <w:lang w:eastAsia="pt-BR"/>
              </w:rPr>
              <w:t>conforme Tabela da FEBRABAN</w:t>
            </w:r>
          </w:p>
        </w:tc>
      </w:tr>
      <w:tr w:rsidR="009653CC" w:rsidRPr="00EE0371" w14:paraId="19FB401F" w14:textId="77777777" w:rsidTr="00DD49C9">
        <w:trPr>
          <w:trHeight w:val="315"/>
        </w:trPr>
        <w:tc>
          <w:tcPr>
            <w:tcW w:w="4405" w:type="dxa"/>
            <w:tcBorders>
              <w:top w:val="nil"/>
              <w:left w:val="single" w:sz="8" w:space="0" w:color="auto"/>
              <w:bottom w:val="single" w:sz="8" w:space="0" w:color="auto"/>
              <w:right w:val="single" w:sz="8" w:space="0" w:color="auto"/>
            </w:tcBorders>
            <w:shd w:val="clear" w:color="auto" w:fill="auto"/>
            <w:vAlign w:val="center"/>
            <w:hideMark/>
          </w:tcPr>
          <w:p w14:paraId="23180B94" w14:textId="77777777" w:rsidR="009653CC" w:rsidRPr="00EE0371" w:rsidRDefault="009653CC" w:rsidP="009653CC">
            <w:pPr>
              <w:spacing w:after="0" w:line="240" w:lineRule="auto"/>
              <w:jc w:val="both"/>
              <w:rPr>
                <w:rFonts w:ascii="Arial" w:eastAsia="Times New Roman" w:hAnsi="Arial" w:cs="Arial"/>
                <w:sz w:val="20"/>
                <w:szCs w:val="20"/>
                <w:lang w:eastAsia="pt-BR"/>
              </w:rPr>
            </w:pPr>
            <w:r w:rsidRPr="00EE0371">
              <w:rPr>
                <w:rFonts w:ascii="Arial" w:eastAsia="Times New Roman" w:hAnsi="Arial" w:cs="Arial"/>
                <w:sz w:val="20"/>
                <w:szCs w:val="20"/>
                <w:lang w:eastAsia="pt-BR"/>
              </w:rPr>
              <w:t xml:space="preserve">Código da Agência </w:t>
            </w:r>
            <w:r w:rsidRPr="00D73542">
              <w:rPr>
                <w:rFonts w:ascii="Arial" w:eastAsia="Times New Roman" w:hAnsi="Arial" w:cs="Arial"/>
                <w:sz w:val="20"/>
                <w:szCs w:val="20"/>
                <w:vertAlign w:val="superscript"/>
                <w:lang w:eastAsia="pt-BR"/>
              </w:rPr>
              <w:t>[2]</w:t>
            </w:r>
            <w:r w:rsidR="005A3CAD">
              <w:rPr>
                <w:rFonts w:ascii="Arial" w:eastAsia="Times New Roman" w:hAnsi="Arial" w:cs="Arial"/>
                <w:sz w:val="20"/>
                <w:szCs w:val="20"/>
                <w:vertAlign w:val="superscript"/>
                <w:lang w:eastAsia="pt-BR"/>
              </w:rPr>
              <w:t xml:space="preserve"> [8</w:t>
            </w:r>
            <w:r w:rsidR="005A3CAD" w:rsidRPr="00D73542">
              <w:rPr>
                <w:rFonts w:ascii="Arial" w:eastAsia="Times New Roman" w:hAnsi="Arial" w:cs="Arial"/>
                <w:sz w:val="20"/>
                <w:szCs w:val="20"/>
                <w:vertAlign w:val="superscript"/>
                <w:lang w:eastAsia="pt-BR"/>
              </w:rPr>
              <w:t>]</w:t>
            </w:r>
          </w:p>
        </w:tc>
        <w:tc>
          <w:tcPr>
            <w:tcW w:w="1276" w:type="dxa"/>
            <w:tcBorders>
              <w:top w:val="nil"/>
              <w:left w:val="nil"/>
              <w:bottom w:val="single" w:sz="8" w:space="0" w:color="auto"/>
              <w:right w:val="single" w:sz="8" w:space="0" w:color="auto"/>
            </w:tcBorders>
            <w:shd w:val="clear" w:color="auto" w:fill="auto"/>
            <w:vAlign w:val="center"/>
            <w:hideMark/>
          </w:tcPr>
          <w:p w14:paraId="6C80EEB4" w14:textId="77777777" w:rsidR="009653CC" w:rsidRPr="00EE0371" w:rsidRDefault="009653CC" w:rsidP="009653CC">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Caracter</w:t>
            </w:r>
          </w:p>
        </w:tc>
        <w:tc>
          <w:tcPr>
            <w:tcW w:w="1358" w:type="dxa"/>
            <w:tcBorders>
              <w:top w:val="nil"/>
              <w:left w:val="nil"/>
              <w:bottom w:val="single" w:sz="8" w:space="0" w:color="auto"/>
              <w:right w:val="single" w:sz="8" w:space="0" w:color="auto"/>
            </w:tcBorders>
            <w:shd w:val="clear" w:color="auto" w:fill="auto"/>
            <w:vAlign w:val="center"/>
            <w:hideMark/>
          </w:tcPr>
          <w:p w14:paraId="29525A3D" w14:textId="77777777" w:rsidR="009653CC" w:rsidRPr="00EE0371" w:rsidRDefault="009653CC" w:rsidP="009653CC">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15</w:t>
            </w:r>
          </w:p>
        </w:tc>
        <w:tc>
          <w:tcPr>
            <w:tcW w:w="2192" w:type="dxa"/>
            <w:tcBorders>
              <w:top w:val="nil"/>
              <w:left w:val="nil"/>
              <w:bottom w:val="single" w:sz="8" w:space="0" w:color="auto"/>
              <w:right w:val="single" w:sz="8" w:space="0" w:color="auto"/>
            </w:tcBorders>
            <w:shd w:val="clear" w:color="auto" w:fill="auto"/>
            <w:vAlign w:val="center"/>
            <w:hideMark/>
          </w:tcPr>
          <w:p w14:paraId="575CB0E6" w14:textId="77777777" w:rsidR="009653CC" w:rsidRPr="00EE0371" w:rsidRDefault="009653CC" w:rsidP="00D73542">
            <w:pPr>
              <w:spacing w:after="0" w:line="240" w:lineRule="auto"/>
              <w:rPr>
                <w:rFonts w:ascii="Arial" w:eastAsia="Times New Roman" w:hAnsi="Arial" w:cs="Arial"/>
                <w:sz w:val="20"/>
                <w:szCs w:val="20"/>
                <w:lang w:eastAsia="pt-BR"/>
              </w:rPr>
            </w:pPr>
            <w:r w:rsidRPr="00EE0371">
              <w:rPr>
                <w:rFonts w:ascii="Arial" w:eastAsia="Times New Roman" w:hAnsi="Arial" w:cs="Arial"/>
                <w:sz w:val="20"/>
                <w:szCs w:val="20"/>
                <w:lang w:eastAsia="pt-BR"/>
              </w:rPr>
              <w:t>Obrigatório</w:t>
            </w:r>
          </w:p>
        </w:tc>
      </w:tr>
      <w:tr w:rsidR="009653CC" w:rsidRPr="009653CC" w14:paraId="37D93A1A" w14:textId="77777777" w:rsidTr="008B12A6">
        <w:trPr>
          <w:trHeight w:val="315"/>
        </w:trPr>
        <w:tc>
          <w:tcPr>
            <w:tcW w:w="4405" w:type="dxa"/>
            <w:tcBorders>
              <w:top w:val="nil"/>
              <w:left w:val="single" w:sz="8" w:space="0" w:color="auto"/>
              <w:bottom w:val="single" w:sz="8" w:space="0" w:color="auto"/>
              <w:right w:val="single" w:sz="8" w:space="0" w:color="auto"/>
            </w:tcBorders>
            <w:shd w:val="clear" w:color="auto" w:fill="auto"/>
            <w:vAlign w:val="center"/>
          </w:tcPr>
          <w:p w14:paraId="56D7B390" w14:textId="77777777" w:rsidR="009653CC" w:rsidRPr="00D73542" w:rsidRDefault="009653CC" w:rsidP="005A3CAD">
            <w:pPr>
              <w:spacing w:after="0" w:line="240" w:lineRule="auto"/>
              <w:jc w:val="both"/>
              <w:rPr>
                <w:rFonts w:ascii="Arial" w:eastAsia="Times New Roman" w:hAnsi="Arial" w:cs="Arial"/>
                <w:sz w:val="20"/>
                <w:szCs w:val="20"/>
                <w:lang w:eastAsia="pt-BR"/>
              </w:rPr>
            </w:pPr>
            <w:r w:rsidRPr="00D73542">
              <w:rPr>
                <w:rFonts w:ascii="Arial" w:eastAsia="Times New Roman" w:hAnsi="Arial" w:cs="Arial"/>
                <w:sz w:val="20"/>
                <w:szCs w:val="20"/>
                <w:lang w:eastAsia="pt-BR"/>
              </w:rPr>
              <w:t>Dígito Verificador da Agência</w:t>
            </w:r>
            <w:r w:rsidR="005A3CAD">
              <w:rPr>
                <w:rFonts w:ascii="Arial" w:eastAsia="Times New Roman" w:hAnsi="Arial" w:cs="Arial"/>
                <w:sz w:val="20"/>
                <w:szCs w:val="20"/>
                <w:lang w:eastAsia="pt-BR"/>
              </w:rPr>
              <w:t xml:space="preserve"> </w:t>
            </w:r>
            <w:r w:rsidR="005A3CAD">
              <w:rPr>
                <w:rFonts w:ascii="Arial" w:eastAsia="Times New Roman" w:hAnsi="Arial" w:cs="Arial"/>
                <w:sz w:val="20"/>
                <w:szCs w:val="20"/>
                <w:vertAlign w:val="superscript"/>
                <w:lang w:eastAsia="pt-BR"/>
              </w:rPr>
              <w:t>[9</w:t>
            </w:r>
            <w:r w:rsidR="005A3CAD" w:rsidRPr="00D73542">
              <w:rPr>
                <w:rFonts w:ascii="Arial" w:eastAsia="Times New Roman" w:hAnsi="Arial" w:cs="Arial"/>
                <w:sz w:val="20"/>
                <w:szCs w:val="20"/>
                <w:vertAlign w:val="superscript"/>
                <w:lang w:eastAsia="pt-BR"/>
              </w:rPr>
              <w:t>]</w:t>
            </w:r>
          </w:p>
        </w:tc>
        <w:tc>
          <w:tcPr>
            <w:tcW w:w="1276" w:type="dxa"/>
            <w:tcBorders>
              <w:top w:val="nil"/>
              <w:left w:val="nil"/>
              <w:bottom w:val="single" w:sz="8" w:space="0" w:color="auto"/>
              <w:right w:val="single" w:sz="8" w:space="0" w:color="auto"/>
            </w:tcBorders>
            <w:shd w:val="clear" w:color="auto" w:fill="auto"/>
            <w:vAlign w:val="center"/>
          </w:tcPr>
          <w:p w14:paraId="2C106E09" w14:textId="77777777" w:rsidR="009653CC" w:rsidRPr="00D73542" w:rsidRDefault="009653CC" w:rsidP="008B12A6">
            <w:pPr>
              <w:spacing w:after="0" w:line="240" w:lineRule="auto"/>
              <w:jc w:val="center"/>
              <w:rPr>
                <w:rFonts w:ascii="Arial" w:eastAsia="Times New Roman" w:hAnsi="Arial" w:cs="Arial"/>
                <w:sz w:val="20"/>
                <w:szCs w:val="20"/>
                <w:lang w:eastAsia="pt-BR"/>
              </w:rPr>
            </w:pPr>
            <w:r w:rsidRPr="00D73542">
              <w:rPr>
                <w:rFonts w:ascii="Arial" w:eastAsia="Times New Roman" w:hAnsi="Arial" w:cs="Arial"/>
                <w:sz w:val="20"/>
                <w:szCs w:val="20"/>
                <w:lang w:eastAsia="pt-BR"/>
              </w:rPr>
              <w:t>Caracter</w:t>
            </w:r>
          </w:p>
        </w:tc>
        <w:tc>
          <w:tcPr>
            <w:tcW w:w="1358" w:type="dxa"/>
            <w:tcBorders>
              <w:top w:val="nil"/>
              <w:left w:val="nil"/>
              <w:bottom w:val="single" w:sz="8" w:space="0" w:color="auto"/>
              <w:right w:val="single" w:sz="8" w:space="0" w:color="auto"/>
            </w:tcBorders>
            <w:shd w:val="clear" w:color="auto" w:fill="auto"/>
            <w:vAlign w:val="center"/>
          </w:tcPr>
          <w:p w14:paraId="0D5A1721" w14:textId="77777777" w:rsidR="009653CC" w:rsidRPr="00D73542" w:rsidRDefault="009653CC" w:rsidP="008B12A6">
            <w:pPr>
              <w:spacing w:after="0" w:line="240" w:lineRule="auto"/>
              <w:jc w:val="center"/>
              <w:rPr>
                <w:rFonts w:ascii="Arial" w:eastAsia="Times New Roman" w:hAnsi="Arial" w:cs="Arial"/>
                <w:sz w:val="20"/>
                <w:szCs w:val="20"/>
                <w:lang w:eastAsia="pt-BR"/>
              </w:rPr>
            </w:pPr>
            <w:r w:rsidRPr="00D73542">
              <w:rPr>
                <w:rFonts w:ascii="Arial" w:eastAsia="Times New Roman" w:hAnsi="Arial" w:cs="Arial"/>
                <w:sz w:val="20"/>
                <w:szCs w:val="20"/>
                <w:lang w:eastAsia="pt-BR"/>
              </w:rPr>
              <w:t>1</w:t>
            </w:r>
          </w:p>
        </w:tc>
        <w:tc>
          <w:tcPr>
            <w:tcW w:w="2192" w:type="dxa"/>
            <w:tcBorders>
              <w:top w:val="nil"/>
              <w:left w:val="nil"/>
              <w:bottom w:val="single" w:sz="8" w:space="0" w:color="auto"/>
              <w:right w:val="single" w:sz="8" w:space="0" w:color="auto"/>
            </w:tcBorders>
            <w:shd w:val="clear" w:color="auto" w:fill="auto"/>
            <w:vAlign w:val="center"/>
          </w:tcPr>
          <w:p w14:paraId="543607E2" w14:textId="77777777" w:rsidR="009653CC" w:rsidRPr="00D73542" w:rsidRDefault="009653CC" w:rsidP="00D73542">
            <w:pPr>
              <w:spacing w:after="0" w:line="240" w:lineRule="auto"/>
              <w:rPr>
                <w:rFonts w:ascii="Arial" w:eastAsia="Times New Roman" w:hAnsi="Arial" w:cs="Arial"/>
                <w:sz w:val="20"/>
                <w:szCs w:val="20"/>
                <w:lang w:eastAsia="pt-BR"/>
              </w:rPr>
            </w:pPr>
            <w:r w:rsidRPr="00D73542">
              <w:rPr>
                <w:rFonts w:ascii="Arial" w:eastAsia="Times New Roman" w:hAnsi="Arial" w:cs="Arial"/>
                <w:sz w:val="20"/>
                <w:szCs w:val="20"/>
                <w:lang w:eastAsia="pt-BR"/>
              </w:rPr>
              <w:t>Opcional</w:t>
            </w:r>
          </w:p>
        </w:tc>
      </w:tr>
      <w:tr w:rsidR="009653CC" w:rsidRPr="00EE0371" w14:paraId="70531328" w14:textId="77777777" w:rsidTr="00DD49C9">
        <w:trPr>
          <w:trHeight w:val="315"/>
        </w:trPr>
        <w:tc>
          <w:tcPr>
            <w:tcW w:w="4405" w:type="dxa"/>
            <w:tcBorders>
              <w:top w:val="nil"/>
              <w:left w:val="single" w:sz="8" w:space="0" w:color="auto"/>
              <w:bottom w:val="single" w:sz="8" w:space="0" w:color="auto"/>
              <w:right w:val="single" w:sz="8" w:space="0" w:color="auto"/>
            </w:tcBorders>
            <w:shd w:val="clear" w:color="auto" w:fill="auto"/>
            <w:vAlign w:val="center"/>
            <w:hideMark/>
          </w:tcPr>
          <w:p w14:paraId="2396B87C" w14:textId="77777777" w:rsidR="009653CC" w:rsidRPr="00EE0371" w:rsidRDefault="009653CC" w:rsidP="009653CC">
            <w:pPr>
              <w:spacing w:after="0" w:line="240" w:lineRule="auto"/>
              <w:jc w:val="both"/>
              <w:rPr>
                <w:rFonts w:ascii="Arial" w:eastAsia="Times New Roman" w:hAnsi="Arial" w:cs="Arial"/>
                <w:sz w:val="20"/>
                <w:szCs w:val="20"/>
                <w:lang w:eastAsia="pt-BR"/>
              </w:rPr>
            </w:pPr>
            <w:r w:rsidRPr="00EE0371">
              <w:rPr>
                <w:rFonts w:ascii="Arial" w:eastAsia="Times New Roman" w:hAnsi="Arial" w:cs="Arial"/>
                <w:sz w:val="20"/>
                <w:szCs w:val="20"/>
                <w:lang w:eastAsia="pt-BR"/>
              </w:rPr>
              <w:t xml:space="preserve">Número da Conta Bancária </w:t>
            </w:r>
            <w:r w:rsidRPr="00D73542">
              <w:rPr>
                <w:rFonts w:ascii="Arial" w:eastAsia="Times New Roman" w:hAnsi="Arial" w:cs="Arial"/>
                <w:sz w:val="20"/>
                <w:szCs w:val="20"/>
                <w:vertAlign w:val="superscript"/>
                <w:lang w:eastAsia="pt-BR"/>
              </w:rPr>
              <w:t>[2]</w:t>
            </w:r>
            <w:r w:rsidR="005A3CAD">
              <w:rPr>
                <w:rFonts w:ascii="Arial" w:eastAsia="Times New Roman" w:hAnsi="Arial" w:cs="Arial"/>
                <w:sz w:val="20"/>
                <w:szCs w:val="20"/>
                <w:vertAlign w:val="superscript"/>
                <w:lang w:eastAsia="pt-BR"/>
              </w:rPr>
              <w:t xml:space="preserve"> [8</w:t>
            </w:r>
            <w:r w:rsidR="005A3CAD" w:rsidRPr="00D73542">
              <w:rPr>
                <w:rFonts w:ascii="Arial" w:eastAsia="Times New Roman" w:hAnsi="Arial" w:cs="Arial"/>
                <w:sz w:val="20"/>
                <w:szCs w:val="20"/>
                <w:vertAlign w:val="superscript"/>
                <w:lang w:eastAsia="pt-BR"/>
              </w:rPr>
              <w:t>]</w:t>
            </w:r>
          </w:p>
        </w:tc>
        <w:tc>
          <w:tcPr>
            <w:tcW w:w="1276" w:type="dxa"/>
            <w:tcBorders>
              <w:top w:val="nil"/>
              <w:left w:val="nil"/>
              <w:bottom w:val="single" w:sz="8" w:space="0" w:color="auto"/>
              <w:right w:val="single" w:sz="8" w:space="0" w:color="auto"/>
            </w:tcBorders>
            <w:shd w:val="clear" w:color="auto" w:fill="auto"/>
            <w:vAlign w:val="center"/>
            <w:hideMark/>
          </w:tcPr>
          <w:p w14:paraId="683039FF" w14:textId="77777777" w:rsidR="009653CC" w:rsidRPr="00EE0371" w:rsidRDefault="009653CC" w:rsidP="009653CC">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Caracter</w:t>
            </w:r>
          </w:p>
        </w:tc>
        <w:tc>
          <w:tcPr>
            <w:tcW w:w="1358" w:type="dxa"/>
            <w:tcBorders>
              <w:top w:val="nil"/>
              <w:left w:val="nil"/>
              <w:bottom w:val="single" w:sz="8" w:space="0" w:color="auto"/>
              <w:right w:val="single" w:sz="8" w:space="0" w:color="auto"/>
            </w:tcBorders>
            <w:shd w:val="clear" w:color="auto" w:fill="auto"/>
            <w:vAlign w:val="center"/>
            <w:hideMark/>
          </w:tcPr>
          <w:p w14:paraId="1D2DDA62" w14:textId="77777777" w:rsidR="009653CC" w:rsidRPr="00EE0371" w:rsidRDefault="009653CC" w:rsidP="009653CC">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15</w:t>
            </w:r>
          </w:p>
        </w:tc>
        <w:tc>
          <w:tcPr>
            <w:tcW w:w="2192" w:type="dxa"/>
            <w:tcBorders>
              <w:top w:val="nil"/>
              <w:left w:val="nil"/>
              <w:bottom w:val="single" w:sz="8" w:space="0" w:color="auto"/>
              <w:right w:val="single" w:sz="8" w:space="0" w:color="auto"/>
            </w:tcBorders>
            <w:shd w:val="clear" w:color="auto" w:fill="auto"/>
            <w:vAlign w:val="center"/>
            <w:hideMark/>
          </w:tcPr>
          <w:p w14:paraId="031FA6EA" w14:textId="77777777" w:rsidR="009653CC" w:rsidRPr="00EE0371" w:rsidRDefault="009653CC" w:rsidP="00D73542">
            <w:pPr>
              <w:spacing w:after="0" w:line="240" w:lineRule="auto"/>
              <w:rPr>
                <w:rFonts w:ascii="Arial" w:eastAsia="Times New Roman" w:hAnsi="Arial" w:cs="Arial"/>
                <w:sz w:val="20"/>
                <w:szCs w:val="20"/>
                <w:lang w:eastAsia="pt-BR"/>
              </w:rPr>
            </w:pPr>
            <w:r w:rsidRPr="00EE0371">
              <w:rPr>
                <w:rFonts w:ascii="Arial" w:eastAsia="Times New Roman" w:hAnsi="Arial" w:cs="Arial"/>
                <w:sz w:val="20"/>
                <w:szCs w:val="20"/>
                <w:lang w:eastAsia="pt-BR"/>
              </w:rPr>
              <w:t>Obrigatório</w:t>
            </w:r>
          </w:p>
        </w:tc>
      </w:tr>
      <w:tr w:rsidR="009653CC" w:rsidRPr="009653CC" w14:paraId="683BAA35" w14:textId="77777777" w:rsidTr="008B12A6">
        <w:trPr>
          <w:trHeight w:val="315"/>
        </w:trPr>
        <w:tc>
          <w:tcPr>
            <w:tcW w:w="4405" w:type="dxa"/>
            <w:tcBorders>
              <w:top w:val="nil"/>
              <w:left w:val="single" w:sz="8" w:space="0" w:color="auto"/>
              <w:bottom w:val="single" w:sz="8" w:space="0" w:color="auto"/>
              <w:right w:val="single" w:sz="8" w:space="0" w:color="auto"/>
            </w:tcBorders>
            <w:shd w:val="clear" w:color="auto" w:fill="auto"/>
            <w:vAlign w:val="center"/>
          </w:tcPr>
          <w:p w14:paraId="3E12CF8F" w14:textId="77777777" w:rsidR="009653CC" w:rsidRPr="00D73542" w:rsidRDefault="009653CC" w:rsidP="005A3CAD">
            <w:pPr>
              <w:spacing w:after="0" w:line="240" w:lineRule="auto"/>
              <w:jc w:val="both"/>
              <w:rPr>
                <w:rFonts w:ascii="Arial" w:eastAsia="Times New Roman" w:hAnsi="Arial" w:cs="Arial"/>
                <w:sz w:val="20"/>
                <w:szCs w:val="20"/>
                <w:lang w:eastAsia="pt-BR"/>
              </w:rPr>
            </w:pPr>
            <w:r w:rsidRPr="00D73542">
              <w:rPr>
                <w:rFonts w:ascii="Arial" w:eastAsia="Times New Roman" w:hAnsi="Arial" w:cs="Arial"/>
                <w:sz w:val="20"/>
                <w:szCs w:val="20"/>
                <w:lang w:eastAsia="pt-BR"/>
              </w:rPr>
              <w:t>Dígito Verificador da Conta Bancária</w:t>
            </w:r>
            <w:r w:rsidR="005A3CAD">
              <w:rPr>
                <w:rFonts w:ascii="Arial" w:eastAsia="Times New Roman" w:hAnsi="Arial" w:cs="Arial"/>
                <w:sz w:val="20"/>
                <w:szCs w:val="20"/>
                <w:lang w:eastAsia="pt-BR"/>
              </w:rPr>
              <w:t xml:space="preserve"> </w:t>
            </w:r>
            <w:r w:rsidR="005A3CAD">
              <w:rPr>
                <w:rFonts w:ascii="Arial" w:eastAsia="Times New Roman" w:hAnsi="Arial" w:cs="Arial"/>
                <w:sz w:val="20"/>
                <w:szCs w:val="20"/>
                <w:vertAlign w:val="superscript"/>
                <w:lang w:eastAsia="pt-BR"/>
              </w:rPr>
              <w:t>[9</w:t>
            </w:r>
            <w:r w:rsidR="005A3CAD" w:rsidRPr="00D73542">
              <w:rPr>
                <w:rFonts w:ascii="Arial" w:eastAsia="Times New Roman" w:hAnsi="Arial" w:cs="Arial"/>
                <w:sz w:val="20"/>
                <w:szCs w:val="20"/>
                <w:vertAlign w:val="superscript"/>
                <w:lang w:eastAsia="pt-BR"/>
              </w:rPr>
              <w:t>]</w:t>
            </w:r>
          </w:p>
        </w:tc>
        <w:tc>
          <w:tcPr>
            <w:tcW w:w="1276" w:type="dxa"/>
            <w:tcBorders>
              <w:top w:val="nil"/>
              <w:left w:val="nil"/>
              <w:bottom w:val="single" w:sz="8" w:space="0" w:color="auto"/>
              <w:right w:val="single" w:sz="8" w:space="0" w:color="auto"/>
            </w:tcBorders>
            <w:shd w:val="clear" w:color="auto" w:fill="auto"/>
            <w:vAlign w:val="center"/>
          </w:tcPr>
          <w:p w14:paraId="72B16C40" w14:textId="77777777" w:rsidR="009653CC" w:rsidRPr="00D73542" w:rsidRDefault="009653CC" w:rsidP="008B12A6">
            <w:pPr>
              <w:spacing w:after="0" w:line="240" w:lineRule="auto"/>
              <w:jc w:val="center"/>
              <w:rPr>
                <w:rFonts w:ascii="Arial" w:eastAsia="Times New Roman" w:hAnsi="Arial" w:cs="Arial"/>
                <w:sz w:val="20"/>
                <w:szCs w:val="20"/>
                <w:lang w:eastAsia="pt-BR"/>
              </w:rPr>
            </w:pPr>
            <w:r w:rsidRPr="00D73542">
              <w:rPr>
                <w:rFonts w:ascii="Arial" w:eastAsia="Times New Roman" w:hAnsi="Arial" w:cs="Arial"/>
                <w:sz w:val="20"/>
                <w:szCs w:val="20"/>
                <w:lang w:eastAsia="pt-BR"/>
              </w:rPr>
              <w:t>Caracter</w:t>
            </w:r>
          </w:p>
        </w:tc>
        <w:tc>
          <w:tcPr>
            <w:tcW w:w="1358" w:type="dxa"/>
            <w:tcBorders>
              <w:top w:val="nil"/>
              <w:left w:val="nil"/>
              <w:bottom w:val="single" w:sz="8" w:space="0" w:color="auto"/>
              <w:right w:val="single" w:sz="8" w:space="0" w:color="auto"/>
            </w:tcBorders>
            <w:shd w:val="clear" w:color="auto" w:fill="auto"/>
            <w:vAlign w:val="center"/>
          </w:tcPr>
          <w:p w14:paraId="1B92C225" w14:textId="77777777" w:rsidR="009653CC" w:rsidRPr="00D73542" w:rsidRDefault="009653CC" w:rsidP="008B12A6">
            <w:pPr>
              <w:spacing w:after="0" w:line="240" w:lineRule="auto"/>
              <w:jc w:val="center"/>
              <w:rPr>
                <w:rFonts w:ascii="Arial" w:eastAsia="Times New Roman" w:hAnsi="Arial" w:cs="Arial"/>
                <w:sz w:val="20"/>
                <w:szCs w:val="20"/>
                <w:lang w:eastAsia="pt-BR"/>
              </w:rPr>
            </w:pPr>
            <w:r w:rsidRPr="00D73542">
              <w:rPr>
                <w:rFonts w:ascii="Arial" w:eastAsia="Times New Roman" w:hAnsi="Arial" w:cs="Arial"/>
                <w:sz w:val="20"/>
                <w:szCs w:val="20"/>
                <w:lang w:eastAsia="pt-BR"/>
              </w:rPr>
              <w:t>1</w:t>
            </w:r>
          </w:p>
        </w:tc>
        <w:tc>
          <w:tcPr>
            <w:tcW w:w="2192" w:type="dxa"/>
            <w:tcBorders>
              <w:top w:val="nil"/>
              <w:left w:val="nil"/>
              <w:bottom w:val="single" w:sz="8" w:space="0" w:color="auto"/>
              <w:right w:val="single" w:sz="8" w:space="0" w:color="auto"/>
            </w:tcBorders>
            <w:shd w:val="clear" w:color="auto" w:fill="auto"/>
            <w:vAlign w:val="center"/>
          </w:tcPr>
          <w:p w14:paraId="682ED8AF" w14:textId="77777777" w:rsidR="009653CC" w:rsidRPr="00D73542" w:rsidRDefault="009653CC" w:rsidP="00D73542">
            <w:pPr>
              <w:spacing w:after="0" w:line="240" w:lineRule="auto"/>
              <w:rPr>
                <w:rFonts w:ascii="Arial" w:eastAsia="Times New Roman" w:hAnsi="Arial" w:cs="Arial"/>
                <w:sz w:val="20"/>
                <w:szCs w:val="20"/>
                <w:lang w:eastAsia="pt-BR"/>
              </w:rPr>
            </w:pPr>
            <w:r w:rsidRPr="00D73542">
              <w:rPr>
                <w:rFonts w:ascii="Arial" w:eastAsia="Times New Roman" w:hAnsi="Arial" w:cs="Arial"/>
                <w:sz w:val="20"/>
                <w:szCs w:val="20"/>
                <w:lang w:eastAsia="pt-BR"/>
              </w:rPr>
              <w:t>Obrigatório</w:t>
            </w:r>
          </w:p>
        </w:tc>
      </w:tr>
      <w:tr w:rsidR="009653CC" w:rsidRPr="00EE0371" w14:paraId="7F1748AE" w14:textId="77777777" w:rsidTr="00DD49C9">
        <w:trPr>
          <w:trHeight w:val="300"/>
        </w:trPr>
        <w:tc>
          <w:tcPr>
            <w:tcW w:w="4405" w:type="dxa"/>
            <w:vMerge w:val="restart"/>
            <w:tcBorders>
              <w:top w:val="nil"/>
              <w:left w:val="single" w:sz="8" w:space="0" w:color="auto"/>
              <w:bottom w:val="nil"/>
              <w:right w:val="single" w:sz="8" w:space="0" w:color="auto"/>
            </w:tcBorders>
            <w:shd w:val="clear" w:color="auto" w:fill="auto"/>
            <w:vAlign w:val="center"/>
            <w:hideMark/>
          </w:tcPr>
          <w:p w14:paraId="53FD9E07" w14:textId="77777777" w:rsidR="009653CC" w:rsidRPr="00EE0371" w:rsidRDefault="009653CC" w:rsidP="009653CC">
            <w:pPr>
              <w:spacing w:after="0" w:line="240" w:lineRule="auto"/>
              <w:jc w:val="both"/>
              <w:rPr>
                <w:rFonts w:ascii="Arial" w:eastAsia="Times New Roman" w:hAnsi="Arial" w:cs="Arial"/>
                <w:sz w:val="20"/>
                <w:szCs w:val="20"/>
                <w:lang w:eastAsia="pt-BR"/>
              </w:rPr>
            </w:pPr>
            <w:r w:rsidRPr="00EE0371">
              <w:rPr>
                <w:rFonts w:ascii="Arial" w:eastAsia="Times New Roman" w:hAnsi="Arial" w:cs="Arial"/>
                <w:sz w:val="20"/>
                <w:szCs w:val="20"/>
                <w:lang w:eastAsia="pt-BR"/>
              </w:rPr>
              <w:t>Tipo de Conta Bancária</w:t>
            </w:r>
            <w:r w:rsidRPr="00EE0371">
              <w:rPr>
                <w:rFonts w:ascii="Arial" w:eastAsia="Times New Roman" w:hAnsi="Arial" w:cs="Arial"/>
                <w:b/>
                <w:bCs/>
                <w:sz w:val="20"/>
                <w:szCs w:val="20"/>
                <w:lang w:eastAsia="pt-BR"/>
              </w:rPr>
              <w:t xml:space="preserve"> </w:t>
            </w:r>
            <w:r w:rsidRPr="00D73542">
              <w:rPr>
                <w:rFonts w:ascii="Arial" w:eastAsia="Times New Roman" w:hAnsi="Arial" w:cs="Arial"/>
                <w:b/>
                <w:bCs/>
                <w:sz w:val="20"/>
                <w:szCs w:val="20"/>
                <w:vertAlign w:val="superscript"/>
                <w:lang w:eastAsia="pt-BR"/>
              </w:rPr>
              <w:t>[1] [2]</w:t>
            </w:r>
          </w:p>
        </w:tc>
        <w:tc>
          <w:tcPr>
            <w:tcW w:w="1276" w:type="dxa"/>
            <w:vMerge w:val="restart"/>
            <w:tcBorders>
              <w:top w:val="nil"/>
              <w:left w:val="single" w:sz="8" w:space="0" w:color="auto"/>
              <w:bottom w:val="nil"/>
              <w:right w:val="single" w:sz="8" w:space="0" w:color="auto"/>
            </w:tcBorders>
            <w:shd w:val="clear" w:color="auto" w:fill="auto"/>
            <w:vAlign w:val="center"/>
            <w:hideMark/>
          </w:tcPr>
          <w:p w14:paraId="43A4462A" w14:textId="77777777" w:rsidR="009653CC" w:rsidRPr="00EE0371" w:rsidRDefault="009653CC" w:rsidP="009653CC">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Inteiro</w:t>
            </w:r>
          </w:p>
        </w:tc>
        <w:tc>
          <w:tcPr>
            <w:tcW w:w="1358" w:type="dxa"/>
            <w:vMerge w:val="restart"/>
            <w:tcBorders>
              <w:top w:val="nil"/>
              <w:left w:val="single" w:sz="8" w:space="0" w:color="auto"/>
              <w:bottom w:val="nil"/>
              <w:right w:val="single" w:sz="8" w:space="0" w:color="auto"/>
            </w:tcBorders>
            <w:shd w:val="clear" w:color="auto" w:fill="auto"/>
            <w:vAlign w:val="center"/>
            <w:hideMark/>
          </w:tcPr>
          <w:p w14:paraId="10248803" w14:textId="77777777" w:rsidR="009653CC" w:rsidRPr="00EE0371" w:rsidRDefault="009653CC" w:rsidP="009653CC">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1</w:t>
            </w:r>
          </w:p>
        </w:tc>
        <w:tc>
          <w:tcPr>
            <w:tcW w:w="2192" w:type="dxa"/>
            <w:tcBorders>
              <w:top w:val="nil"/>
              <w:left w:val="nil"/>
              <w:bottom w:val="nil"/>
              <w:right w:val="single" w:sz="8" w:space="0" w:color="auto"/>
            </w:tcBorders>
            <w:shd w:val="clear" w:color="auto" w:fill="auto"/>
            <w:vAlign w:val="center"/>
            <w:hideMark/>
          </w:tcPr>
          <w:p w14:paraId="64828AE4" w14:textId="77777777" w:rsidR="009653CC" w:rsidRPr="00D73542" w:rsidRDefault="009653CC" w:rsidP="00D73542">
            <w:pPr>
              <w:spacing w:after="0" w:line="240" w:lineRule="auto"/>
              <w:rPr>
                <w:rFonts w:ascii="Arial" w:eastAsia="Times New Roman" w:hAnsi="Arial" w:cs="Arial"/>
                <w:sz w:val="20"/>
                <w:szCs w:val="20"/>
                <w:lang w:eastAsia="pt-BR"/>
              </w:rPr>
            </w:pPr>
            <w:r w:rsidRPr="00D73542">
              <w:rPr>
                <w:rFonts w:ascii="Arial" w:eastAsia="Times New Roman" w:hAnsi="Arial" w:cs="Arial"/>
                <w:sz w:val="20"/>
                <w:szCs w:val="20"/>
                <w:lang w:eastAsia="pt-BR"/>
              </w:rPr>
              <w:t>Obrigatório</w:t>
            </w:r>
          </w:p>
        </w:tc>
      </w:tr>
      <w:tr w:rsidR="009653CC" w:rsidRPr="00EE0371" w14:paraId="1ECABC95" w14:textId="77777777" w:rsidTr="00DD49C9">
        <w:trPr>
          <w:trHeight w:val="300"/>
        </w:trPr>
        <w:tc>
          <w:tcPr>
            <w:tcW w:w="4405" w:type="dxa"/>
            <w:vMerge/>
            <w:tcBorders>
              <w:top w:val="nil"/>
              <w:left w:val="single" w:sz="8" w:space="0" w:color="auto"/>
              <w:bottom w:val="nil"/>
              <w:right w:val="single" w:sz="8" w:space="0" w:color="auto"/>
            </w:tcBorders>
            <w:vAlign w:val="center"/>
            <w:hideMark/>
          </w:tcPr>
          <w:p w14:paraId="3B4C4514" w14:textId="77777777" w:rsidR="009653CC" w:rsidRPr="00EE0371" w:rsidRDefault="009653CC" w:rsidP="009653CC">
            <w:pPr>
              <w:spacing w:after="0" w:line="240" w:lineRule="auto"/>
              <w:jc w:val="both"/>
              <w:rPr>
                <w:rFonts w:ascii="Arial" w:eastAsia="Times New Roman" w:hAnsi="Arial" w:cs="Arial"/>
                <w:sz w:val="20"/>
                <w:szCs w:val="20"/>
                <w:lang w:eastAsia="pt-BR"/>
              </w:rPr>
            </w:pPr>
          </w:p>
        </w:tc>
        <w:tc>
          <w:tcPr>
            <w:tcW w:w="1276" w:type="dxa"/>
            <w:vMerge/>
            <w:tcBorders>
              <w:top w:val="nil"/>
              <w:left w:val="single" w:sz="8" w:space="0" w:color="auto"/>
              <w:bottom w:val="nil"/>
              <w:right w:val="single" w:sz="8" w:space="0" w:color="auto"/>
            </w:tcBorders>
            <w:vAlign w:val="center"/>
            <w:hideMark/>
          </w:tcPr>
          <w:p w14:paraId="7802F27E" w14:textId="77777777" w:rsidR="009653CC" w:rsidRPr="00EE0371" w:rsidRDefault="009653CC" w:rsidP="009653CC">
            <w:pPr>
              <w:spacing w:after="0" w:line="240" w:lineRule="auto"/>
              <w:jc w:val="both"/>
              <w:rPr>
                <w:rFonts w:ascii="Arial" w:eastAsia="Times New Roman" w:hAnsi="Arial" w:cs="Arial"/>
                <w:sz w:val="20"/>
                <w:szCs w:val="20"/>
                <w:lang w:eastAsia="pt-BR"/>
              </w:rPr>
            </w:pPr>
          </w:p>
        </w:tc>
        <w:tc>
          <w:tcPr>
            <w:tcW w:w="1358" w:type="dxa"/>
            <w:vMerge/>
            <w:tcBorders>
              <w:top w:val="nil"/>
              <w:left w:val="single" w:sz="8" w:space="0" w:color="auto"/>
              <w:bottom w:val="nil"/>
              <w:right w:val="single" w:sz="8" w:space="0" w:color="auto"/>
            </w:tcBorders>
            <w:vAlign w:val="center"/>
            <w:hideMark/>
          </w:tcPr>
          <w:p w14:paraId="241DD0FF" w14:textId="77777777" w:rsidR="009653CC" w:rsidRPr="00EE0371" w:rsidRDefault="009653CC" w:rsidP="009653CC">
            <w:pPr>
              <w:spacing w:after="0" w:line="240" w:lineRule="auto"/>
              <w:jc w:val="both"/>
              <w:rPr>
                <w:rFonts w:ascii="Arial" w:eastAsia="Times New Roman" w:hAnsi="Arial" w:cs="Arial"/>
                <w:sz w:val="20"/>
                <w:szCs w:val="20"/>
                <w:lang w:eastAsia="pt-BR"/>
              </w:rPr>
            </w:pPr>
          </w:p>
        </w:tc>
        <w:tc>
          <w:tcPr>
            <w:tcW w:w="2192" w:type="dxa"/>
            <w:tcBorders>
              <w:top w:val="nil"/>
              <w:left w:val="nil"/>
              <w:bottom w:val="nil"/>
              <w:right w:val="single" w:sz="8" w:space="0" w:color="auto"/>
            </w:tcBorders>
            <w:shd w:val="clear" w:color="auto" w:fill="auto"/>
            <w:vAlign w:val="center"/>
            <w:hideMark/>
          </w:tcPr>
          <w:p w14:paraId="26E79EFB" w14:textId="77777777" w:rsidR="009653CC" w:rsidRPr="00D73542" w:rsidRDefault="009653CC" w:rsidP="00D73542">
            <w:pPr>
              <w:spacing w:after="0" w:line="240" w:lineRule="auto"/>
              <w:rPr>
                <w:rFonts w:ascii="Arial" w:eastAsia="Times New Roman" w:hAnsi="Arial" w:cs="Arial"/>
                <w:sz w:val="20"/>
                <w:szCs w:val="20"/>
                <w:lang w:eastAsia="pt-BR"/>
              </w:rPr>
            </w:pPr>
            <w:r w:rsidRPr="00D73542">
              <w:rPr>
                <w:rFonts w:ascii="Arial" w:eastAsia="Times New Roman" w:hAnsi="Arial" w:cs="Arial"/>
                <w:sz w:val="20"/>
                <w:szCs w:val="20"/>
                <w:lang w:eastAsia="pt-BR"/>
              </w:rPr>
              <w:t>1 - Conta Movimento</w:t>
            </w:r>
          </w:p>
        </w:tc>
      </w:tr>
      <w:tr w:rsidR="009653CC" w:rsidRPr="00EE0371" w14:paraId="6F3C7AF3" w14:textId="77777777" w:rsidTr="00DD49C9">
        <w:trPr>
          <w:trHeight w:val="315"/>
        </w:trPr>
        <w:tc>
          <w:tcPr>
            <w:tcW w:w="4405" w:type="dxa"/>
            <w:vMerge/>
            <w:tcBorders>
              <w:top w:val="nil"/>
              <w:left w:val="single" w:sz="8" w:space="0" w:color="auto"/>
              <w:bottom w:val="nil"/>
              <w:right w:val="single" w:sz="8" w:space="0" w:color="auto"/>
            </w:tcBorders>
            <w:vAlign w:val="center"/>
            <w:hideMark/>
          </w:tcPr>
          <w:p w14:paraId="62B158D9" w14:textId="77777777" w:rsidR="009653CC" w:rsidRPr="00EE0371" w:rsidRDefault="009653CC" w:rsidP="009653CC">
            <w:pPr>
              <w:spacing w:after="0" w:line="240" w:lineRule="auto"/>
              <w:jc w:val="both"/>
              <w:rPr>
                <w:rFonts w:ascii="Arial" w:eastAsia="Times New Roman" w:hAnsi="Arial" w:cs="Arial"/>
                <w:sz w:val="20"/>
                <w:szCs w:val="20"/>
                <w:lang w:eastAsia="pt-BR"/>
              </w:rPr>
            </w:pPr>
          </w:p>
        </w:tc>
        <w:tc>
          <w:tcPr>
            <w:tcW w:w="1276" w:type="dxa"/>
            <w:vMerge/>
            <w:tcBorders>
              <w:top w:val="nil"/>
              <w:left w:val="single" w:sz="8" w:space="0" w:color="auto"/>
              <w:bottom w:val="nil"/>
              <w:right w:val="single" w:sz="8" w:space="0" w:color="auto"/>
            </w:tcBorders>
            <w:vAlign w:val="center"/>
            <w:hideMark/>
          </w:tcPr>
          <w:p w14:paraId="48AA69ED" w14:textId="77777777" w:rsidR="009653CC" w:rsidRPr="00EE0371" w:rsidRDefault="009653CC" w:rsidP="009653CC">
            <w:pPr>
              <w:spacing w:after="0" w:line="240" w:lineRule="auto"/>
              <w:jc w:val="both"/>
              <w:rPr>
                <w:rFonts w:ascii="Arial" w:eastAsia="Times New Roman" w:hAnsi="Arial" w:cs="Arial"/>
                <w:sz w:val="20"/>
                <w:szCs w:val="20"/>
                <w:lang w:eastAsia="pt-BR"/>
              </w:rPr>
            </w:pPr>
          </w:p>
        </w:tc>
        <w:tc>
          <w:tcPr>
            <w:tcW w:w="1358" w:type="dxa"/>
            <w:vMerge/>
            <w:tcBorders>
              <w:top w:val="nil"/>
              <w:left w:val="single" w:sz="8" w:space="0" w:color="auto"/>
              <w:bottom w:val="nil"/>
              <w:right w:val="single" w:sz="8" w:space="0" w:color="auto"/>
            </w:tcBorders>
            <w:vAlign w:val="center"/>
            <w:hideMark/>
          </w:tcPr>
          <w:p w14:paraId="4CAE94EB" w14:textId="77777777" w:rsidR="009653CC" w:rsidRPr="00EE0371" w:rsidRDefault="009653CC" w:rsidP="009653CC">
            <w:pPr>
              <w:spacing w:after="0" w:line="240" w:lineRule="auto"/>
              <w:jc w:val="both"/>
              <w:rPr>
                <w:rFonts w:ascii="Arial" w:eastAsia="Times New Roman" w:hAnsi="Arial" w:cs="Arial"/>
                <w:sz w:val="20"/>
                <w:szCs w:val="20"/>
                <w:lang w:eastAsia="pt-BR"/>
              </w:rPr>
            </w:pPr>
          </w:p>
        </w:tc>
        <w:tc>
          <w:tcPr>
            <w:tcW w:w="2192" w:type="dxa"/>
            <w:tcBorders>
              <w:top w:val="nil"/>
              <w:left w:val="nil"/>
              <w:bottom w:val="nil"/>
              <w:right w:val="single" w:sz="8" w:space="0" w:color="auto"/>
            </w:tcBorders>
            <w:shd w:val="clear" w:color="auto" w:fill="auto"/>
            <w:vAlign w:val="center"/>
            <w:hideMark/>
          </w:tcPr>
          <w:p w14:paraId="6093E3D2" w14:textId="77777777" w:rsidR="009653CC" w:rsidRPr="00D73542" w:rsidRDefault="009653CC" w:rsidP="00D73542">
            <w:pPr>
              <w:spacing w:after="0" w:line="240" w:lineRule="auto"/>
              <w:rPr>
                <w:rFonts w:ascii="Arial" w:eastAsia="Times New Roman" w:hAnsi="Arial" w:cs="Arial"/>
                <w:sz w:val="20"/>
                <w:szCs w:val="20"/>
                <w:lang w:eastAsia="pt-BR"/>
              </w:rPr>
            </w:pPr>
            <w:r w:rsidRPr="00D73542">
              <w:rPr>
                <w:rFonts w:ascii="Arial" w:eastAsia="Times New Roman" w:hAnsi="Arial" w:cs="Arial"/>
                <w:sz w:val="20"/>
                <w:szCs w:val="20"/>
                <w:lang w:eastAsia="pt-BR"/>
              </w:rPr>
              <w:t>2 - Conta Aplicação</w:t>
            </w:r>
          </w:p>
          <w:p w14:paraId="2497D113" w14:textId="77777777" w:rsidR="009653CC" w:rsidRPr="00D73542" w:rsidRDefault="009653CC" w:rsidP="00D73542">
            <w:pPr>
              <w:spacing w:after="0" w:line="240" w:lineRule="auto"/>
              <w:rPr>
                <w:rFonts w:ascii="Arial" w:eastAsia="Times New Roman" w:hAnsi="Arial" w:cs="Arial"/>
                <w:sz w:val="20"/>
                <w:szCs w:val="20"/>
                <w:lang w:eastAsia="pt-BR"/>
              </w:rPr>
            </w:pPr>
            <w:r w:rsidRPr="00D73542">
              <w:rPr>
                <w:rFonts w:ascii="Arial" w:eastAsia="Times New Roman" w:hAnsi="Arial" w:cs="Arial"/>
                <w:sz w:val="20"/>
                <w:szCs w:val="20"/>
                <w:lang w:eastAsia="pt-BR"/>
              </w:rPr>
              <w:t>3 - Conta Poupança</w:t>
            </w:r>
          </w:p>
        </w:tc>
      </w:tr>
      <w:tr w:rsidR="009653CC" w:rsidRPr="00EE0371" w14:paraId="295F9D89" w14:textId="77777777" w:rsidTr="00DD49C9">
        <w:trPr>
          <w:trHeight w:val="315"/>
        </w:trPr>
        <w:tc>
          <w:tcPr>
            <w:tcW w:w="440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E45AD31" w14:textId="77777777" w:rsidR="009653CC" w:rsidRPr="00EE0371" w:rsidRDefault="009653CC" w:rsidP="009653CC">
            <w:pPr>
              <w:spacing w:after="0" w:line="240" w:lineRule="auto"/>
              <w:jc w:val="both"/>
              <w:rPr>
                <w:rFonts w:ascii="Arial" w:eastAsia="Times New Roman" w:hAnsi="Arial" w:cs="Arial"/>
                <w:sz w:val="20"/>
                <w:szCs w:val="20"/>
                <w:lang w:eastAsia="pt-BR"/>
              </w:rPr>
            </w:pPr>
            <w:r w:rsidRPr="00EE0371">
              <w:rPr>
                <w:rFonts w:ascii="Arial" w:eastAsia="Times New Roman" w:hAnsi="Arial" w:cs="Arial"/>
                <w:sz w:val="20"/>
                <w:szCs w:val="20"/>
                <w:lang w:eastAsia="pt-BR"/>
              </w:rPr>
              <w:t xml:space="preserve">Complemento da Conta Bancária </w:t>
            </w:r>
            <w:r w:rsidRPr="00D73542">
              <w:rPr>
                <w:rFonts w:ascii="Arial" w:eastAsia="Times New Roman" w:hAnsi="Arial" w:cs="Arial"/>
                <w:sz w:val="20"/>
                <w:szCs w:val="20"/>
                <w:vertAlign w:val="superscript"/>
                <w:lang w:eastAsia="pt-BR"/>
              </w:rPr>
              <w:t>[2]</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14:paraId="521226D0" w14:textId="77777777" w:rsidR="009653CC" w:rsidRPr="00EE0371" w:rsidRDefault="009653CC" w:rsidP="009653CC">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Caracter</w:t>
            </w:r>
          </w:p>
        </w:tc>
        <w:tc>
          <w:tcPr>
            <w:tcW w:w="1358" w:type="dxa"/>
            <w:tcBorders>
              <w:top w:val="single" w:sz="8" w:space="0" w:color="auto"/>
              <w:left w:val="nil"/>
              <w:bottom w:val="single" w:sz="8" w:space="0" w:color="auto"/>
              <w:right w:val="single" w:sz="8" w:space="0" w:color="auto"/>
            </w:tcBorders>
            <w:shd w:val="clear" w:color="auto" w:fill="auto"/>
            <w:vAlign w:val="center"/>
            <w:hideMark/>
          </w:tcPr>
          <w:p w14:paraId="1D67D6B3" w14:textId="77777777" w:rsidR="009653CC" w:rsidRPr="00EE0371" w:rsidRDefault="009653CC" w:rsidP="009653CC">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10</w:t>
            </w:r>
          </w:p>
        </w:tc>
        <w:tc>
          <w:tcPr>
            <w:tcW w:w="2192" w:type="dxa"/>
            <w:tcBorders>
              <w:top w:val="single" w:sz="8" w:space="0" w:color="auto"/>
              <w:left w:val="nil"/>
              <w:bottom w:val="single" w:sz="8" w:space="0" w:color="auto"/>
              <w:right w:val="single" w:sz="8" w:space="0" w:color="auto"/>
            </w:tcBorders>
            <w:shd w:val="clear" w:color="auto" w:fill="auto"/>
            <w:vAlign w:val="center"/>
            <w:hideMark/>
          </w:tcPr>
          <w:p w14:paraId="33A46267" w14:textId="77777777" w:rsidR="009653CC" w:rsidRPr="00D73542" w:rsidRDefault="009653CC" w:rsidP="00D73542">
            <w:pPr>
              <w:spacing w:after="0" w:line="240" w:lineRule="auto"/>
              <w:rPr>
                <w:rFonts w:ascii="Arial" w:eastAsia="Times New Roman" w:hAnsi="Arial" w:cs="Arial"/>
                <w:sz w:val="20"/>
                <w:szCs w:val="20"/>
                <w:lang w:eastAsia="pt-BR"/>
              </w:rPr>
            </w:pPr>
            <w:r w:rsidRPr="00D73542">
              <w:rPr>
                <w:rFonts w:ascii="Arial" w:eastAsia="Times New Roman" w:hAnsi="Arial" w:cs="Arial"/>
                <w:sz w:val="20"/>
                <w:szCs w:val="20"/>
                <w:lang w:eastAsia="pt-BR"/>
              </w:rPr>
              <w:t>Obrigatório</w:t>
            </w:r>
          </w:p>
          <w:p w14:paraId="445FC6EF" w14:textId="77777777" w:rsidR="009653CC" w:rsidRPr="00D73542" w:rsidRDefault="009653CC" w:rsidP="00D73542">
            <w:pPr>
              <w:spacing w:after="0" w:line="240" w:lineRule="auto"/>
              <w:rPr>
                <w:rFonts w:ascii="Arial" w:eastAsia="Times New Roman" w:hAnsi="Arial" w:cs="Arial"/>
                <w:sz w:val="20"/>
                <w:szCs w:val="20"/>
                <w:lang w:eastAsia="pt-BR"/>
              </w:rPr>
            </w:pPr>
            <w:r w:rsidRPr="00D73542">
              <w:rPr>
                <w:rFonts w:ascii="Arial" w:eastAsia="Times New Roman" w:hAnsi="Arial" w:cs="Arial"/>
                <w:sz w:val="20"/>
                <w:szCs w:val="20"/>
                <w:lang w:eastAsia="pt-BR"/>
              </w:rPr>
              <w:lastRenderedPageBreak/>
              <w:t>Especificamente para o banco 021 Banestes, utilizar códigos definidos na Tabela de Complemento Banestes.</w:t>
            </w:r>
          </w:p>
        </w:tc>
      </w:tr>
      <w:tr w:rsidR="009653CC" w:rsidRPr="00EE0371" w14:paraId="2E7C1F4F" w14:textId="77777777" w:rsidTr="00DD49C9">
        <w:trPr>
          <w:trHeight w:val="780"/>
        </w:trPr>
        <w:tc>
          <w:tcPr>
            <w:tcW w:w="4405" w:type="dxa"/>
            <w:tcBorders>
              <w:top w:val="nil"/>
              <w:left w:val="single" w:sz="8" w:space="0" w:color="auto"/>
              <w:bottom w:val="single" w:sz="8" w:space="0" w:color="auto"/>
              <w:right w:val="single" w:sz="8" w:space="0" w:color="auto"/>
            </w:tcBorders>
            <w:shd w:val="clear" w:color="auto" w:fill="auto"/>
            <w:vAlign w:val="center"/>
            <w:hideMark/>
          </w:tcPr>
          <w:p w14:paraId="542B5B06" w14:textId="77777777" w:rsidR="009653CC" w:rsidRPr="00EE0371" w:rsidRDefault="009653CC" w:rsidP="009653CC">
            <w:pPr>
              <w:spacing w:after="0" w:line="240" w:lineRule="auto"/>
              <w:jc w:val="both"/>
              <w:rPr>
                <w:rFonts w:ascii="Arial" w:eastAsia="Times New Roman" w:hAnsi="Arial" w:cs="Arial"/>
                <w:sz w:val="20"/>
                <w:szCs w:val="20"/>
                <w:lang w:eastAsia="pt-BR"/>
              </w:rPr>
            </w:pPr>
            <w:r w:rsidRPr="00EE0371">
              <w:rPr>
                <w:rFonts w:ascii="Arial" w:eastAsia="Times New Roman" w:hAnsi="Arial" w:cs="Arial"/>
                <w:sz w:val="20"/>
                <w:szCs w:val="20"/>
                <w:lang w:eastAsia="pt-BR"/>
              </w:rPr>
              <w:lastRenderedPageBreak/>
              <w:t xml:space="preserve">Código Contábil </w:t>
            </w:r>
            <w:r w:rsidRPr="00D73542">
              <w:rPr>
                <w:rFonts w:ascii="Arial" w:eastAsia="Times New Roman" w:hAnsi="Arial" w:cs="Arial"/>
                <w:b/>
                <w:bCs/>
                <w:sz w:val="20"/>
                <w:szCs w:val="20"/>
                <w:vertAlign w:val="superscript"/>
                <w:lang w:eastAsia="pt-BR"/>
              </w:rPr>
              <w:t>[6]</w:t>
            </w:r>
          </w:p>
        </w:tc>
        <w:tc>
          <w:tcPr>
            <w:tcW w:w="1276" w:type="dxa"/>
            <w:tcBorders>
              <w:top w:val="nil"/>
              <w:left w:val="nil"/>
              <w:bottom w:val="single" w:sz="8" w:space="0" w:color="auto"/>
              <w:right w:val="single" w:sz="8" w:space="0" w:color="auto"/>
            </w:tcBorders>
            <w:shd w:val="clear" w:color="auto" w:fill="auto"/>
            <w:vAlign w:val="center"/>
            <w:hideMark/>
          </w:tcPr>
          <w:p w14:paraId="1E4FCF3F" w14:textId="77777777" w:rsidR="009653CC" w:rsidRPr="00EE0371" w:rsidRDefault="009653CC" w:rsidP="009653CC">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Inteiro</w:t>
            </w:r>
          </w:p>
        </w:tc>
        <w:tc>
          <w:tcPr>
            <w:tcW w:w="1358" w:type="dxa"/>
            <w:tcBorders>
              <w:top w:val="nil"/>
              <w:left w:val="nil"/>
              <w:bottom w:val="single" w:sz="8" w:space="0" w:color="auto"/>
              <w:right w:val="single" w:sz="8" w:space="0" w:color="auto"/>
            </w:tcBorders>
            <w:shd w:val="clear" w:color="auto" w:fill="auto"/>
            <w:vAlign w:val="center"/>
            <w:hideMark/>
          </w:tcPr>
          <w:p w14:paraId="76CE6419" w14:textId="77777777" w:rsidR="009653CC" w:rsidRPr="00EE0371" w:rsidRDefault="009653CC" w:rsidP="009653CC">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9</w:t>
            </w:r>
          </w:p>
        </w:tc>
        <w:tc>
          <w:tcPr>
            <w:tcW w:w="2192" w:type="dxa"/>
            <w:tcBorders>
              <w:top w:val="nil"/>
              <w:left w:val="nil"/>
              <w:bottom w:val="single" w:sz="8" w:space="0" w:color="auto"/>
              <w:right w:val="single" w:sz="8" w:space="0" w:color="auto"/>
            </w:tcBorders>
            <w:shd w:val="clear" w:color="auto" w:fill="auto"/>
            <w:vAlign w:val="center"/>
            <w:hideMark/>
          </w:tcPr>
          <w:p w14:paraId="66E30678" w14:textId="77777777" w:rsidR="009653CC" w:rsidRPr="00EE0371" w:rsidRDefault="009653CC" w:rsidP="00D73542">
            <w:pPr>
              <w:spacing w:after="0" w:line="240" w:lineRule="auto"/>
              <w:rPr>
                <w:rFonts w:ascii="Arial" w:eastAsia="Times New Roman" w:hAnsi="Arial" w:cs="Arial"/>
                <w:sz w:val="20"/>
                <w:szCs w:val="20"/>
                <w:lang w:eastAsia="pt-BR"/>
              </w:rPr>
            </w:pPr>
            <w:r w:rsidRPr="00EE0371">
              <w:rPr>
                <w:rFonts w:ascii="Arial" w:eastAsia="Times New Roman" w:hAnsi="Arial" w:cs="Arial"/>
                <w:sz w:val="20"/>
                <w:szCs w:val="20"/>
                <w:lang w:eastAsia="pt-BR"/>
              </w:rPr>
              <w:t>Obrigatório</w:t>
            </w:r>
            <w:r w:rsidRPr="00EE0371">
              <w:rPr>
                <w:rFonts w:ascii="Arial" w:eastAsia="Times New Roman" w:hAnsi="Arial" w:cs="Arial"/>
                <w:sz w:val="20"/>
                <w:szCs w:val="20"/>
                <w:lang w:eastAsia="pt-BR"/>
              </w:rPr>
              <w:br/>
              <w:t>Conforme o Código da Conta Contábil (PCASP/TCEES)</w:t>
            </w:r>
          </w:p>
        </w:tc>
      </w:tr>
      <w:tr w:rsidR="009653CC" w:rsidRPr="00EE0371" w14:paraId="200249DB" w14:textId="77777777" w:rsidTr="00DD49C9">
        <w:trPr>
          <w:trHeight w:val="525"/>
        </w:trPr>
        <w:tc>
          <w:tcPr>
            <w:tcW w:w="4405" w:type="dxa"/>
            <w:tcBorders>
              <w:top w:val="nil"/>
              <w:left w:val="single" w:sz="8" w:space="0" w:color="auto"/>
              <w:bottom w:val="single" w:sz="8" w:space="0" w:color="auto"/>
              <w:right w:val="single" w:sz="8" w:space="0" w:color="auto"/>
            </w:tcBorders>
            <w:shd w:val="clear" w:color="auto" w:fill="auto"/>
            <w:vAlign w:val="center"/>
            <w:hideMark/>
          </w:tcPr>
          <w:p w14:paraId="6AC9DAE2" w14:textId="77777777" w:rsidR="009653CC" w:rsidRPr="00EE0371" w:rsidRDefault="009653CC" w:rsidP="009653CC">
            <w:pPr>
              <w:spacing w:after="0" w:line="240" w:lineRule="auto"/>
              <w:jc w:val="both"/>
              <w:rPr>
                <w:rFonts w:ascii="Arial" w:eastAsia="Times New Roman" w:hAnsi="Arial" w:cs="Arial"/>
                <w:sz w:val="20"/>
                <w:szCs w:val="20"/>
                <w:lang w:eastAsia="pt-BR"/>
              </w:rPr>
            </w:pPr>
            <w:r w:rsidRPr="00EE0371">
              <w:rPr>
                <w:rFonts w:ascii="Arial" w:eastAsia="Times New Roman" w:hAnsi="Arial" w:cs="Arial"/>
                <w:sz w:val="20"/>
                <w:szCs w:val="20"/>
                <w:lang w:eastAsia="pt-BR"/>
              </w:rPr>
              <w:t xml:space="preserve">Código do grupo de fonte/destinação de recursos </w:t>
            </w:r>
            <w:r w:rsidRPr="00D73542">
              <w:rPr>
                <w:rFonts w:ascii="Arial" w:eastAsia="Times New Roman" w:hAnsi="Arial" w:cs="Arial"/>
                <w:b/>
                <w:bCs/>
                <w:sz w:val="20"/>
                <w:szCs w:val="20"/>
                <w:vertAlign w:val="superscript"/>
                <w:lang w:eastAsia="pt-BR"/>
              </w:rPr>
              <w:t>[5]</w:t>
            </w:r>
          </w:p>
        </w:tc>
        <w:tc>
          <w:tcPr>
            <w:tcW w:w="1276" w:type="dxa"/>
            <w:tcBorders>
              <w:top w:val="nil"/>
              <w:left w:val="nil"/>
              <w:bottom w:val="single" w:sz="8" w:space="0" w:color="auto"/>
              <w:right w:val="single" w:sz="8" w:space="0" w:color="auto"/>
            </w:tcBorders>
            <w:shd w:val="clear" w:color="auto" w:fill="auto"/>
            <w:vAlign w:val="center"/>
            <w:hideMark/>
          </w:tcPr>
          <w:p w14:paraId="5CDF115A" w14:textId="77777777" w:rsidR="009653CC" w:rsidRPr="00EE0371" w:rsidRDefault="009653CC" w:rsidP="009653CC">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Inteiro</w:t>
            </w:r>
          </w:p>
        </w:tc>
        <w:tc>
          <w:tcPr>
            <w:tcW w:w="1358" w:type="dxa"/>
            <w:tcBorders>
              <w:top w:val="nil"/>
              <w:left w:val="nil"/>
              <w:bottom w:val="single" w:sz="8" w:space="0" w:color="auto"/>
              <w:right w:val="single" w:sz="8" w:space="0" w:color="auto"/>
            </w:tcBorders>
            <w:shd w:val="clear" w:color="auto" w:fill="auto"/>
            <w:vAlign w:val="center"/>
            <w:hideMark/>
          </w:tcPr>
          <w:p w14:paraId="74A99045" w14:textId="77777777" w:rsidR="009653CC" w:rsidRPr="00EE0371" w:rsidRDefault="009653CC" w:rsidP="009653CC">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1</w:t>
            </w:r>
          </w:p>
        </w:tc>
        <w:tc>
          <w:tcPr>
            <w:tcW w:w="2192" w:type="dxa"/>
            <w:tcBorders>
              <w:top w:val="nil"/>
              <w:left w:val="nil"/>
              <w:bottom w:val="single" w:sz="8" w:space="0" w:color="auto"/>
              <w:right w:val="single" w:sz="8" w:space="0" w:color="auto"/>
            </w:tcBorders>
            <w:shd w:val="clear" w:color="auto" w:fill="auto"/>
            <w:vAlign w:val="center"/>
            <w:hideMark/>
          </w:tcPr>
          <w:p w14:paraId="28109A75" w14:textId="77777777" w:rsidR="009653CC" w:rsidRPr="00EE0371" w:rsidRDefault="009653CC" w:rsidP="00D73542">
            <w:pPr>
              <w:spacing w:after="0" w:line="240" w:lineRule="auto"/>
              <w:rPr>
                <w:rFonts w:ascii="Arial" w:eastAsia="Times New Roman" w:hAnsi="Arial" w:cs="Arial"/>
                <w:sz w:val="20"/>
                <w:szCs w:val="20"/>
                <w:lang w:eastAsia="pt-BR"/>
              </w:rPr>
            </w:pPr>
            <w:r w:rsidRPr="00EE0371">
              <w:rPr>
                <w:rFonts w:ascii="Arial" w:eastAsia="Times New Roman" w:hAnsi="Arial" w:cs="Arial"/>
                <w:sz w:val="20"/>
                <w:szCs w:val="20"/>
                <w:lang w:eastAsia="pt-BR"/>
              </w:rPr>
              <w:t>Obrigatório conforme Tabela Auxiliar 1.1</w:t>
            </w:r>
          </w:p>
        </w:tc>
      </w:tr>
      <w:tr w:rsidR="009653CC" w:rsidRPr="00EE0371" w14:paraId="49581392" w14:textId="77777777" w:rsidTr="00DD49C9">
        <w:trPr>
          <w:trHeight w:val="525"/>
        </w:trPr>
        <w:tc>
          <w:tcPr>
            <w:tcW w:w="4405" w:type="dxa"/>
            <w:tcBorders>
              <w:top w:val="nil"/>
              <w:left w:val="single" w:sz="8" w:space="0" w:color="auto"/>
              <w:bottom w:val="single" w:sz="8" w:space="0" w:color="auto"/>
              <w:right w:val="single" w:sz="8" w:space="0" w:color="auto"/>
            </w:tcBorders>
            <w:shd w:val="clear" w:color="auto" w:fill="auto"/>
            <w:vAlign w:val="center"/>
            <w:hideMark/>
          </w:tcPr>
          <w:p w14:paraId="12D817C0" w14:textId="77777777" w:rsidR="009653CC" w:rsidRPr="00EE0371" w:rsidRDefault="009653CC" w:rsidP="009653CC">
            <w:pPr>
              <w:spacing w:after="0" w:line="240" w:lineRule="auto"/>
              <w:jc w:val="both"/>
              <w:rPr>
                <w:rFonts w:ascii="Arial" w:eastAsia="Times New Roman" w:hAnsi="Arial" w:cs="Arial"/>
                <w:sz w:val="20"/>
                <w:szCs w:val="20"/>
                <w:lang w:eastAsia="pt-BR"/>
              </w:rPr>
            </w:pPr>
            <w:r w:rsidRPr="00EE0371">
              <w:rPr>
                <w:rFonts w:ascii="Arial" w:eastAsia="Times New Roman" w:hAnsi="Arial" w:cs="Arial"/>
                <w:sz w:val="20"/>
                <w:szCs w:val="20"/>
                <w:lang w:eastAsia="pt-BR"/>
              </w:rPr>
              <w:t xml:space="preserve">Código da especificação da fonte/destinação de recursos (fixo) </w:t>
            </w:r>
            <w:r w:rsidRPr="00D73542">
              <w:rPr>
                <w:rFonts w:ascii="Arial" w:eastAsia="Times New Roman" w:hAnsi="Arial" w:cs="Arial"/>
                <w:b/>
                <w:bCs/>
                <w:sz w:val="20"/>
                <w:szCs w:val="20"/>
                <w:vertAlign w:val="superscript"/>
                <w:lang w:eastAsia="pt-BR"/>
              </w:rPr>
              <w:t>[5]</w:t>
            </w:r>
          </w:p>
        </w:tc>
        <w:tc>
          <w:tcPr>
            <w:tcW w:w="1276" w:type="dxa"/>
            <w:tcBorders>
              <w:top w:val="nil"/>
              <w:left w:val="nil"/>
              <w:bottom w:val="single" w:sz="8" w:space="0" w:color="auto"/>
              <w:right w:val="single" w:sz="8" w:space="0" w:color="auto"/>
            </w:tcBorders>
            <w:shd w:val="clear" w:color="auto" w:fill="auto"/>
            <w:vAlign w:val="center"/>
            <w:hideMark/>
          </w:tcPr>
          <w:p w14:paraId="0713D547" w14:textId="77777777" w:rsidR="009653CC" w:rsidRPr="00EE0371" w:rsidRDefault="009653CC" w:rsidP="009653CC">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Caracter</w:t>
            </w:r>
          </w:p>
        </w:tc>
        <w:tc>
          <w:tcPr>
            <w:tcW w:w="1358" w:type="dxa"/>
            <w:tcBorders>
              <w:top w:val="nil"/>
              <w:left w:val="nil"/>
              <w:bottom w:val="single" w:sz="8" w:space="0" w:color="auto"/>
              <w:right w:val="single" w:sz="8" w:space="0" w:color="auto"/>
            </w:tcBorders>
            <w:shd w:val="clear" w:color="auto" w:fill="auto"/>
            <w:vAlign w:val="center"/>
            <w:hideMark/>
          </w:tcPr>
          <w:p w14:paraId="1EE9C4EF" w14:textId="77777777" w:rsidR="009653CC" w:rsidRPr="00EE0371" w:rsidRDefault="009653CC" w:rsidP="009653CC">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3</w:t>
            </w:r>
          </w:p>
        </w:tc>
        <w:tc>
          <w:tcPr>
            <w:tcW w:w="2192" w:type="dxa"/>
            <w:tcBorders>
              <w:top w:val="nil"/>
              <w:left w:val="nil"/>
              <w:bottom w:val="single" w:sz="8" w:space="0" w:color="auto"/>
              <w:right w:val="single" w:sz="8" w:space="0" w:color="auto"/>
            </w:tcBorders>
            <w:shd w:val="clear" w:color="auto" w:fill="auto"/>
            <w:vAlign w:val="center"/>
            <w:hideMark/>
          </w:tcPr>
          <w:p w14:paraId="0934CAE3" w14:textId="77777777" w:rsidR="009653CC" w:rsidRPr="00EE0371" w:rsidRDefault="009653CC" w:rsidP="00D73542">
            <w:pPr>
              <w:spacing w:after="0" w:line="240" w:lineRule="auto"/>
              <w:rPr>
                <w:rFonts w:ascii="Arial" w:eastAsia="Times New Roman" w:hAnsi="Arial" w:cs="Arial"/>
                <w:sz w:val="20"/>
                <w:szCs w:val="20"/>
                <w:lang w:eastAsia="pt-BR"/>
              </w:rPr>
            </w:pPr>
            <w:r w:rsidRPr="00EE0371">
              <w:rPr>
                <w:rFonts w:ascii="Arial" w:eastAsia="Times New Roman" w:hAnsi="Arial" w:cs="Arial"/>
                <w:sz w:val="20"/>
                <w:szCs w:val="20"/>
                <w:lang w:eastAsia="pt-BR"/>
              </w:rPr>
              <w:t>Obrigatório conforme Tabela Auxiliar 1.2 – parte fixa</w:t>
            </w:r>
          </w:p>
        </w:tc>
      </w:tr>
      <w:tr w:rsidR="009653CC" w:rsidRPr="00EE0371" w14:paraId="3FD2BE12" w14:textId="77777777" w:rsidTr="00DD49C9">
        <w:trPr>
          <w:trHeight w:val="780"/>
        </w:trPr>
        <w:tc>
          <w:tcPr>
            <w:tcW w:w="4405" w:type="dxa"/>
            <w:tcBorders>
              <w:top w:val="nil"/>
              <w:left w:val="single" w:sz="8" w:space="0" w:color="auto"/>
              <w:bottom w:val="single" w:sz="8" w:space="0" w:color="auto"/>
              <w:right w:val="single" w:sz="8" w:space="0" w:color="auto"/>
            </w:tcBorders>
            <w:shd w:val="clear" w:color="auto" w:fill="auto"/>
            <w:vAlign w:val="center"/>
            <w:hideMark/>
          </w:tcPr>
          <w:p w14:paraId="52F3AF37" w14:textId="77777777" w:rsidR="009653CC" w:rsidRPr="00EE0371" w:rsidRDefault="009653CC" w:rsidP="009653CC">
            <w:pPr>
              <w:spacing w:after="0" w:line="240" w:lineRule="auto"/>
              <w:jc w:val="both"/>
              <w:rPr>
                <w:rFonts w:ascii="Arial" w:eastAsia="Times New Roman" w:hAnsi="Arial" w:cs="Arial"/>
                <w:sz w:val="20"/>
                <w:szCs w:val="20"/>
                <w:lang w:eastAsia="pt-BR"/>
              </w:rPr>
            </w:pPr>
            <w:r w:rsidRPr="00EE0371">
              <w:rPr>
                <w:rFonts w:ascii="Arial" w:eastAsia="Times New Roman" w:hAnsi="Arial" w:cs="Arial"/>
                <w:sz w:val="20"/>
                <w:szCs w:val="20"/>
                <w:lang w:eastAsia="pt-BR"/>
              </w:rPr>
              <w:t xml:space="preserve">Código da especificação/detalhamento da destinação de recursos (variável) </w:t>
            </w:r>
            <w:r w:rsidRPr="00D73542">
              <w:rPr>
                <w:rFonts w:ascii="Arial" w:eastAsia="Times New Roman" w:hAnsi="Arial" w:cs="Arial"/>
                <w:b/>
                <w:bCs/>
                <w:sz w:val="20"/>
                <w:szCs w:val="20"/>
                <w:vertAlign w:val="superscript"/>
                <w:lang w:eastAsia="pt-BR"/>
              </w:rPr>
              <w:t>[5]</w:t>
            </w:r>
          </w:p>
        </w:tc>
        <w:tc>
          <w:tcPr>
            <w:tcW w:w="1276" w:type="dxa"/>
            <w:tcBorders>
              <w:top w:val="nil"/>
              <w:left w:val="nil"/>
              <w:bottom w:val="single" w:sz="8" w:space="0" w:color="auto"/>
              <w:right w:val="single" w:sz="8" w:space="0" w:color="auto"/>
            </w:tcBorders>
            <w:shd w:val="clear" w:color="auto" w:fill="auto"/>
            <w:vAlign w:val="center"/>
            <w:hideMark/>
          </w:tcPr>
          <w:p w14:paraId="6995AF63" w14:textId="77777777" w:rsidR="009653CC" w:rsidRPr="00EE0371" w:rsidRDefault="009653CC" w:rsidP="009653CC">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Caracter</w:t>
            </w:r>
          </w:p>
        </w:tc>
        <w:tc>
          <w:tcPr>
            <w:tcW w:w="1358" w:type="dxa"/>
            <w:tcBorders>
              <w:top w:val="nil"/>
              <w:left w:val="nil"/>
              <w:bottom w:val="single" w:sz="8" w:space="0" w:color="auto"/>
              <w:right w:val="single" w:sz="8" w:space="0" w:color="auto"/>
            </w:tcBorders>
            <w:shd w:val="clear" w:color="auto" w:fill="auto"/>
            <w:vAlign w:val="center"/>
            <w:hideMark/>
          </w:tcPr>
          <w:p w14:paraId="2E766413" w14:textId="77777777" w:rsidR="009653CC" w:rsidRPr="00EE0371" w:rsidRDefault="009653CC" w:rsidP="009653CC">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4</w:t>
            </w:r>
          </w:p>
        </w:tc>
        <w:tc>
          <w:tcPr>
            <w:tcW w:w="2192" w:type="dxa"/>
            <w:tcBorders>
              <w:top w:val="nil"/>
              <w:left w:val="nil"/>
              <w:bottom w:val="single" w:sz="8" w:space="0" w:color="auto"/>
              <w:right w:val="single" w:sz="8" w:space="0" w:color="auto"/>
            </w:tcBorders>
            <w:shd w:val="clear" w:color="auto" w:fill="auto"/>
            <w:vAlign w:val="center"/>
            <w:hideMark/>
          </w:tcPr>
          <w:p w14:paraId="0EE9F117" w14:textId="77777777" w:rsidR="009653CC" w:rsidRPr="00EE0371" w:rsidRDefault="009653CC" w:rsidP="00D73542">
            <w:pPr>
              <w:spacing w:after="0" w:line="240" w:lineRule="auto"/>
              <w:rPr>
                <w:rFonts w:ascii="Arial" w:eastAsia="Times New Roman" w:hAnsi="Arial" w:cs="Arial"/>
                <w:sz w:val="20"/>
                <w:szCs w:val="20"/>
                <w:lang w:eastAsia="pt-BR"/>
              </w:rPr>
            </w:pPr>
            <w:r w:rsidRPr="00EE0371">
              <w:rPr>
                <w:rFonts w:ascii="Arial" w:eastAsia="Times New Roman" w:hAnsi="Arial" w:cs="Arial"/>
                <w:sz w:val="20"/>
                <w:szCs w:val="20"/>
                <w:lang w:eastAsia="pt-BR"/>
              </w:rPr>
              <w:t>Obrigatório conforme Tabela Auxiliar 1.2 ou Tabela Cadastral 1.3 – parte variável</w:t>
            </w:r>
          </w:p>
        </w:tc>
      </w:tr>
      <w:tr w:rsidR="009653CC" w:rsidRPr="00EE0371" w14:paraId="3C71242A" w14:textId="77777777" w:rsidTr="00DD49C9">
        <w:trPr>
          <w:trHeight w:val="315"/>
        </w:trPr>
        <w:tc>
          <w:tcPr>
            <w:tcW w:w="4405" w:type="dxa"/>
            <w:tcBorders>
              <w:top w:val="nil"/>
              <w:left w:val="single" w:sz="8" w:space="0" w:color="auto"/>
              <w:bottom w:val="single" w:sz="8" w:space="0" w:color="auto"/>
              <w:right w:val="single" w:sz="8" w:space="0" w:color="auto"/>
            </w:tcBorders>
            <w:shd w:val="clear" w:color="auto" w:fill="auto"/>
            <w:vAlign w:val="center"/>
            <w:hideMark/>
          </w:tcPr>
          <w:p w14:paraId="12D293A8" w14:textId="77777777" w:rsidR="009653CC" w:rsidRPr="00EE0371" w:rsidRDefault="009653CC" w:rsidP="009653CC">
            <w:pPr>
              <w:spacing w:after="0" w:line="240" w:lineRule="auto"/>
              <w:jc w:val="both"/>
              <w:rPr>
                <w:rFonts w:ascii="Arial" w:eastAsia="Times New Roman" w:hAnsi="Arial" w:cs="Arial"/>
                <w:sz w:val="20"/>
                <w:szCs w:val="20"/>
                <w:lang w:eastAsia="pt-BR"/>
              </w:rPr>
            </w:pPr>
            <w:r w:rsidRPr="00EE0371">
              <w:rPr>
                <w:rFonts w:ascii="Arial" w:eastAsia="Times New Roman" w:hAnsi="Arial" w:cs="Arial"/>
                <w:sz w:val="20"/>
                <w:szCs w:val="20"/>
                <w:lang w:eastAsia="pt-BR"/>
              </w:rPr>
              <w:t>Saldo Contábil</w:t>
            </w:r>
          </w:p>
        </w:tc>
        <w:tc>
          <w:tcPr>
            <w:tcW w:w="1276" w:type="dxa"/>
            <w:tcBorders>
              <w:top w:val="nil"/>
              <w:left w:val="nil"/>
              <w:bottom w:val="single" w:sz="8" w:space="0" w:color="auto"/>
              <w:right w:val="single" w:sz="8" w:space="0" w:color="auto"/>
            </w:tcBorders>
            <w:shd w:val="clear" w:color="auto" w:fill="auto"/>
            <w:vAlign w:val="center"/>
            <w:hideMark/>
          </w:tcPr>
          <w:p w14:paraId="337742B6" w14:textId="77777777" w:rsidR="009653CC" w:rsidRPr="00EE0371" w:rsidRDefault="009653CC" w:rsidP="009653CC">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Decimal</w:t>
            </w:r>
          </w:p>
        </w:tc>
        <w:tc>
          <w:tcPr>
            <w:tcW w:w="1358" w:type="dxa"/>
            <w:tcBorders>
              <w:top w:val="nil"/>
              <w:left w:val="nil"/>
              <w:bottom w:val="single" w:sz="8" w:space="0" w:color="auto"/>
              <w:right w:val="single" w:sz="8" w:space="0" w:color="auto"/>
            </w:tcBorders>
            <w:shd w:val="clear" w:color="auto" w:fill="auto"/>
            <w:vAlign w:val="center"/>
            <w:hideMark/>
          </w:tcPr>
          <w:p w14:paraId="0147202E" w14:textId="77777777" w:rsidR="009653CC" w:rsidRPr="00EE0371" w:rsidRDefault="009653CC" w:rsidP="009653CC">
            <w:pPr>
              <w:spacing w:after="0" w:line="240" w:lineRule="auto"/>
              <w:jc w:val="center"/>
              <w:rPr>
                <w:rFonts w:ascii="Arial" w:eastAsia="Times New Roman" w:hAnsi="Arial" w:cs="Arial"/>
                <w:sz w:val="20"/>
                <w:szCs w:val="20"/>
                <w:lang w:eastAsia="pt-BR"/>
              </w:rPr>
            </w:pPr>
            <w:r w:rsidRPr="00EE0371">
              <w:rPr>
                <w:rFonts w:ascii="Arial" w:eastAsia="Times New Roman" w:hAnsi="Arial" w:cs="Arial"/>
                <w:sz w:val="20"/>
                <w:szCs w:val="20"/>
                <w:lang w:eastAsia="pt-BR"/>
              </w:rPr>
              <w:t>14,2</w:t>
            </w:r>
          </w:p>
        </w:tc>
        <w:tc>
          <w:tcPr>
            <w:tcW w:w="2192" w:type="dxa"/>
            <w:tcBorders>
              <w:top w:val="nil"/>
              <w:left w:val="nil"/>
              <w:bottom w:val="single" w:sz="8" w:space="0" w:color="auto"/>
              <w:right w:val="single" w:sz="8" w:space="0" w:color="auto"/>
            </w:tcBorders>
            <w:shd w:val="clear" w:color="auto" w:fill="auto"/>
            <w:vAlign w:val="center"/>
            <w:hideMark/>
          </w:tcPr>
          <w:p w14:paraId="20AA32F2" w14:textId="77777777" w:rsidR="009653CC" w:rsidRPr="00EE0371" w:rsidRDefault="009653CC" w:rsidP="00D73542">
            <w:pPr>
              <w:spacing w:after="0" w:line="240" w:lineRule="auto"/>
              <w:rPr>
                <w:rFonts w:ascii="Arial" w:eastAsia="Times New Roman" w:hAnsi="Arial" w:cs="Arial"/>
                <w:sz w:val="20"/>
                <w:szCs w:val="20"/>
                <w:lang w:eastAsia="pt-BR"/>
              </w:rPr>
            </w:pPr>
            <w:r w:rsidRPr="00EE0371">
              <w:rPr>
                <w:rFonts w:ascii="Arial" w:eastAsia="Times New Roman" w:hAnsi="Arial" w:cs="Arial"/>
                <w:sz w:val="20"/>
                <w:szCs w:val="20"/>
                <w:lang w:eastAsia="pt-BR"/>
              </w:rPr>
              <w:t>Obrigatório</w:t>
            </w:r>
          </w:p>
        </w:tc>
      </w:tr>
    </w:tbl>
    <w:p w14:paraId="5B8531B7" w14:textId="77777777" w:rsidR="00EE0371" w:rsidRPr="00EE0371" w:rsidRDefault="00EE0371" w:rsidP="00EE0371">
      <w:pPr>
        <w:spacing w:after="0" w:line="240" w:lineRule="auto"/>
        <w:ind w:right="-1"/>
        <w:jc w:val="both"/>
        <w:rPr>
          <w:rFonts w:ascii="Arial" w:hAnsi="Arial" w:cs="Arial"/>
          <w:sz w:val="20"/>
          <w:szCs w:val="20"/>
          <w:lang w:eastAsia="pt-BR"/>
        </w:rPr>
      </w:pPr>
    </w:p>
    <w:p w14:paraId="1FD12288" w14:textId="77777777" w:rsidR="00EE0371" w:rsidRPr="008727DE" w:rsidRDefault="00EE0371" w:rsidP="00EE0371">
      <w:pPr>
        <w:spacing w:after="0" w:line="240" w:lineRule="auto"/>
        <w:ind w:right="-1"/>
        <w:jc w:val="both"/>
        <w:rPr>
          <w:rFonts w:ascii="Arial" w:hAnsi="Arial" w:cs="Arial"/>
          <w:sz w:val="18"/>
          <w:szCs w:val="18"/>
          <w:lang w:eastAsia="pt-BR"/>
        </w:rPr>
      </w:pPr>
      <w:r w:rsidRPr="008727DE">
        <w:rPr>
          <w:rFonts w:ascii="Arial" w:hAnsi="Arial" w:cs="Arial"/>
          <w:sz w:val="18"/>
          <w:szCs w:val="18"/>
          <w:lang w:eastAsia="pt-BR"/>
        </w:rPr>
        <w:t>[1] Para as UGs RPPS, as contas de aplicação (TipoContaBancaria</w:t>
      </w:r>
      <w:r w:rsidR="008727DE" w:rsidRPr="008727DE">
        <w:rPr>
          <w:rFonts w:ascii="Arial" w:hAnsi="Arial" w:cs="Arial"/>
          <w:sz w:val="18"/>
          <w:szCs w:val="18"/>
          <w:lang w:eastAsia="pt-BR"/>
        </w:rPr>
        <w:t xml:space="preserve"> </w:t>
      </w:r>
      <w:r w:rsidRPr="008727DE">
        <w:rPr>
          <w:rFonts w:ascii="Arial" w:hAnsi="Arial" w:cs="Arial"/>
          <w:sz w:val="18"/>
          <w:szCs w:val="18"/>
          <w:lang w:eastAsia="pt-BR"/>
        </w:rPr>
        <w:t>=</w:t>
      </w:r>
      <w:r w:rsidR="008727DE" w:rsidRPr="008727DE">
        <w:rPr>
          <w:rFonts w:ascii="Arial" w:hAnsi="Arial" w:cs="Arial"/>
          <w:sz w:val="18"/>
          <w:szCs w:val="18"/>
          <w:lang w:eastAsia="pt-BR"/>
        </w:rPr>
        <w:t xml:space="preserve"> </w:t>
      </w:r>
      <w:r w:rsidRPr="008727DE">
        <w:rPr>
          <w:rFonts w:ascii="Arial" w:hAnsi="Arial" w:cs="Arial"/>
          <w:sz w:val="18"/>
          <w:szCs w:val="18"/>
          <w:lang w:eastAsia="pt-BR"/>
        </w:rPr>
        <w:t>2</w:t>
      </w:r>
      <w:r w:rsidR="009A4823" w:rsidRPr="008727DE">
        <w:rPr>
          <w:rFonts w:ascii="Arial" w:hAnsi="Arial" w:cs="Arial"/>
          <w:sz w:val="18"/>
          <w:szCs w:val="18"/>
          <w:lang w:eastAsia="pt-BR"/>
        </w:rPr>
        <w:t xml:space="preserve"> ou 3</w:t>
      </w:r>
      <w:r w:rsidRPr="008727DE">
        <w:rPr>
          <w:rFonts w:ascii="Arial" w:hAnsi="Arial" w:cs="Arial"/>
          <w:sz w:val="18"/>
          <w:szCs w:val="18"/>
          <w:lang w:eastAsia="pt-BR"/>
        </w:rPr>
        <w:t>) deverão ser enviadas para todos os meses de competência do exercício (1 a 12). Para os demais</w:t>
      </w:r>
      <w:r w:rsidR="009A4823" w:rsidRPr="008727DE">
        <w:rPr>
          <w:rFonts w:ascii="Arial" w:hAnsi="Arial" w:cs="Arial"/>
          <w:sz w:val="18"/>
          <w:szCs w:val="18"/>
          <w:lang w:eastAsia="pt-BR"/>
        </w:rPr>
        <w:t xml:space="preserve"> tipos de conta bancária será </w:t>
      </w:r>
      <w:r w:rsidRPr="008727DE">
        <w:rPr>
          <w:rFonts w:ascii="Arial" w:hAnsi="Arial" w:cs="Arial"/>
          <w:sz w:val="18"/>
          <w:szCs w:val="18"/>
          <w:lang w:eastAsia="pt-BR"/>
        </w:rPr>
        <w:t>necessário o envio do mês 12.</w:t>
      </w:r>
    </w:p>
    <w:p w14:paraId="35268835" w14:textId="77777777" w:rsidR="001611A8" w:rsidRPr="008727DE" w:rsidRDefault="001611A8" w:rsidP="001611A8">
      <w:pPr>
        <w:spacing w:after="0" w:line="240" w:lineRule="auto"/>
        <w:ind w:right="-1"/>
        <w:jc w:val="both"/>
        <w:rPr>
          <w:rFonts w:ascii="Arial" w:hAnsi="Arial" w:cs="Arial"/>
          <w:sz w:val="18"/>
          <w:szCs w:val="18"/>
          <w:lang w:eastAsia="pt-BR"/>
        </w:rPr>
      </w:pPr>
      <w:r w:rsidRPr="008727DE">
        <w:rPr>
          <w:rFonts w:ascii="Arial" w:hAnsi="Arial" w:cs="Arial"/>
          <w:sz w:val="18"/>
          <w:szCs w:val="18"/>
          <w:lang w:eastAsia="pt-BR"/>
        </w:rPr>
        <w:t xml:space="preserve">[2] Cada Conta Bancária será relacionada com seu saldo contábil, por fonte, pelos campos chave "&lt;MesCompetencia&gt;, &lt;CodigoBanco&gt;, &lt;CodigoAgencia&gt;, </w:t>
      </w:r>
      <w:r w:rsidR="00BC5138" w:rsidRPr="008727DE">
        <w:rPr>
          <w:rFonts w:ascii="Arial" w:hAnsi="Arial" w:cs="Arial"/>
          <w:sz w:val="18"/>
          <w:szCs w:val="18"/>
          <w:lang w:eastAsia="pt-BR"/>
        </w:rPr>
        <w:t xml:space="preserve">&lt;DigitoVerificadorAgencia&gt;, </w:t>
      </w:r>
      <w:r w:rsidRPr="008727DE">
        <w:rPr>
          <w:rFonts w:ascii="Arial" w:hAnsi="Arial" w:cs="Arial"/>
          <w:sz w:val="18"/>
          <w:szCs w:val="18"/>
          <w:lang w:eastAsia="pt-BR"/>
        </w:rPr>
        <w:t xml:space="preserve">&lt;NumeroContaBancaria&gt;, </w:t>
      </w:r>
      <w:r w:rsidR="00BC5138" w:rsidRPr="008727DE">
        <w:rPr>
          <w:rFonts w:ascii="Arial" w:hAnsi="Arial" w:cs="Arial"/>
          <w:sz w:val="18"/>
          <w:szCs w:val="18"/>
          <w:lang w:eastAsia="pt-BR"/>
        </w:rPr>
        <w:t xml:space="preserve">&lt;DigitoVerificadorContaBancaria&gt;, </w:t>
      </w:r>
      <w:r w:rsidRPr="008727DE">
        <w:rPr>
          <w:rFonts w:ascii="Arial" w:hAnsi="Arial" w:cs="Arial"/>
          <w:sz w:val="18"/>
          <w:szCs w:val="18"/>
          <w:lang w:eastAsia="pt-BR"/>
        </w:rPr>
        <w:t>&lt;TipoContaBancaria&gt; e &lt;ComplementoConta Bancaria&gt;".</w:t>
      </w:r>
    </w:p>
    <w:p w14:paraId="22443A10" w14:textId="77777777" w:rsidR="00802615" w:rsidRPr="008727DE" w:rsidRDefault="00EE0371" w:rsidP="00EE0371">
      <w:pPr>
        <w:spacing w:after="0" w:line="240" w:lineRule="auto"/>
        <w:ind w:right="-1"/>
        <w:jc w:val="both"/>
        <w:rPr>
          <w:rFonts w:ascii="Arial" w:hAnsi="Arial" w:cs="Arial"/>
          <w:sz w:val="18"/>
          <w:szCs w:val="18"/>
          <w:lang w:eastAsia="pt-BR"/>
        </w:rPr>
      </w:pPr>
      <w:r w:rsidRPr="008727DE">
        <w:rPr>
          <w:rFonts w:ascii="Arial" w:hAnsi="Arial" w:cs="Arial"/>
          <w:sz w:val="18"/>
          <w:szCs w:val="18"/>
          <w:lang w:eastAsia="pt-BR"/>
        </w:rPr>
        <w:t>[3]</w:t>
      </w:r>
      <w:r w:rsidR="00802615" w:rsidRPr="008727DE">
        <w:rPr>
          <w:rFonts w:ascii="Arial" w:hAnsi="Arial" w:cs="Arial"/>
          <w:sz w:val="18"/>
          <w:szCs w:val="18"/>
          <w:lang w:eastAsia="pt-BR"/>
        </w:rPr>
        <w:t xml:space="preserve"> Quando o campo </w:t>
      </w:r>
      <w:r w:rsidR="005F3193" w:rsidRPr="008727DE">
        <w:rPr>
          <w:rFonts w:ascii="Arial" w:hAnsi="Arial" w:cs="Arial"/>
          <w:sz w:val="18"/>
          <w:szCs w:val="18"/>
          <w:lang w:eastAsia="pt-BR"/>
        </w:rPr>
        <w:t>&lt;TipoContaBancaria&gt; for igual a 2</w:t>
      </w:r>
      <w:r w:rsidR="00A71127" w:rsidRPr="008727DE">
        <w:rPr>
          <w:rFonts w:ascii="Arial" w:hAnsi="Arial" w:cs="Arial"/>
          <w:sz w:val="18"/>
          <w:szCs w:val="18"/>
          <w:lang w:eastAsia="pt-BR"/>
        </w:rPr>
        <w:t xml:space="preserve"> ou 3</w:t>
      </w:r>
      <w:r w:rsidR="00802615" w:rsidRPr="008727DE">
        <w:rPr>
          <w:rFonts w:ascii="Arial" w:eastAsia="Times New Roman" w:hAnsi="Arial" w:cs="Arial"/>
          <w:sz w:val="18"/>
          <w:szCs w:val="18"/>
          <w:lang w:eastAsia="pt-BR"/>
        </w:rPr>
        <w:t xml:space="preserve">, </w:t>
      </w:r>
      <w:r w:rsidR="00A71127" w:rsidRPr="008727DE">
        <w:rPr>
          <w:rFonts w:ascii="Arial" w:eastAsia="Times New Roman" w:hAnsi="Arial" w:cs="Arial"/>
          <w:sz w:val="18"/>
          <w:szCs w:val="18"/>
          <w:lang w:eastAsia="pt-BR"/>
        </w:rPr>
        <w:t xml:space="preserve">o </w:t>
      </w:r>
      <w:r w:rsidR="00A71127" w:rsidRPr="008727DE">
        <w:rPr>
          <w:rFonts w:ascii="Arial" w:hAnsi="Arial" w:cs="Arial"/>
          <w:sz w:val="18"/>
          <w:szCs w:val="18"/>
          <w:lang w:eastAsia="pt-BR"/>
        </w:rPr>
        <w:t>campo &lt;</w:t>
      </w:r>
      <w:r w:rsidR="00A71127" w:rsidRPr="008727DE">
        <w:rPr>
          <w:rFonts w:ascii="Arial" w:eastAsia="Times New Roman" w:hAnsi="Arial" w:cs="Arial"/>
          <w:sz w:val="18"/>
          <w:szCs w:val="18"/>
          <w:lang w:eastAsia="pt-BR"/>
        </w:rPr>
        <w:t xml:space="preserve">TipoAplicacao&gt; será obrigatório e </w:t>
      </w:r>
      <w:r w:rsidR="00802615" w:rsidRPr="008727DE">
        <w:rPr>
          <w:rFonts w:ascii="Arial" w:eastAsia="Times New Roman" w:hAnsi="Arial" w:cs="Arial"/>
          <w:sz w:val="18"/>
          <w:szCs w:val="18"/>
          <w:lang w:eastAsia="pt-BR"/>
        </w:rPr>
        <w:t xml:space="preserve">o campo </w:t>
      </w:r>
      <w:r w:rsidR="00802615" w:rsidRPr="008727DE">
        <w:rPr>
          <w:rFonts w:ascii="Arial" w:eastAsia="Times New Roman" w:hAnsi="Arial" w:cs="Arial"/>
          <w:sz w:val="20"/>
          <w:szCs w:val="20"/>
          <w:lang w:eastAsia="pt-BR"/>
        </w:rPr>
        <w:t>&lt;CodigoCNPJFundoInvestimento&gt; deverá ser preenchido</w:t>
      </w:r>
      <w:r w:rsidR="0077712F" w:rsidRPr="008727DE">
        <w:rPr>
          <w:rFonts w:ascii="Arial" w:eastAsia="Times New Roman" w:hAnsi="Arial" w:cs="Arial"/>
          <w:sz w:val="20"/>
          <w:szCs w:val="20"/>
          <w:lang w:eastAsia="pt-BR"/>
        </w:rPr>
        <w:t>, exceto</w:t>
      </w:r>
      <w:r w:rsidR="004365D7" w:rsidRPr="008727DE">
        <w:rPr>
          <w:rFonts w:ascii="Arial" w:eastAsia="Times New Roman" w:hAnsi="Arial" w:cs="Arial"/>
          <w:sz w:val="20"/>
          <w:szCs w:val="20"/>
          <w:lang w:eastAsia="pt-BR"/>
        </w:rPr>
        <w:t xml:space="preserve"> </w:t>
      </w:r>
      <w:r w:rsidR="0077712F" w:rsidRPr="008727DE">
        <w:rPr>
          <w:rFonts w:ascii="Arial" w:hAnsi="Arial" w:cs="Arial"/>
          <w:sz w:val="18"/>
          <w:szCs w:val="18"/>
          <w:lang w:eastAsia="pt-BR"/>
        </w:rPr>
        <w:t xml:space="preserve">para </w:t>
      </w:r>
      <w:r w:rsidR="004365D7" w:rsidRPr="008727DE">
        <w:rPr>
          <w:rFonts w:ascii="Arial" w:hAnsi="Arial" w:cs="Arial"/>
          <w:sz w:val="18"/>
          <w:szCs w:val="18"/>
          <w:lang w:eastAsia="pt-BR"/>
        </w:rPr>
        <w:t>o campo &lt;</w:t>
      </w:r>
      <w:r w:rsidR="004365D7" w:rsidRPr="008727DE">
        <w:rPr>
          <w:rFonts w:ascii="Arial" w:eastAsia="Times New Roman" w:hAnsi="Arial" w:cs="Arial"/>
          <w:sz w:val="18"/>
          <w:szCs w:val="18"/>
          <w:lang w:eastAsia="pt-BR"/>
        </w:rPr>
        <w:t xml:space="preserve">TipoAplicacao&gt; </w:t>
      </w:r>
      <w:r w:rsidR="0077712F" w:rsidRPr="008727DE">
        <w:rPr>
          <w:rFonts w:ascii="Arial" w:eastAsia="Times New Roman" w:hAnsi="Arial" w:cs="Arial"/>
          <w:sz w:val="18"/>
          <w:szCs w:val="18"/>
          <w:lang w:eastAsia="pt-BR"/>
        </w:rPr>
        <w:t xml:space="preserve">igual a </w:t>
      </w:r>
      <w:r w:rsidR="004365D7" w:rsidRPr="008727DE">
        <w:rPr>
          <w:rFonts w:ascii="Arial" w:eastAsia="Times New Roman" w:hAnsi="Arial" w:cs="Arial"/>
          <w:sz w:val="18"/>
          <w:szCs w:val="18"/>
          <w:lang w:eastAsia="pt-BR"/>
        </w:rPr>
        <w:t>2, 5</w:t>
      </w:r>
      <w:r w:rsidR="0077712F" w:rsidRPr="008727DE">
        <w:rPr>
          <w:rFonts w:ascii="Arial" w:eastAsia="Times New Roman" w:hAnsi="Arial" w:cs="Arial"/>
          <w:sz w:val="18"/>
          <w:szCs w:val="18"/>
          <w:lang w:eastAsia="pt-BR"/>
        </w:rPr>
        <w:t xml:space="preserve"> ou</w:t>
      </w:r>
      <w:r w:rsidR="004365D7" w:rsidRPr="008727DE">
        <w:rPr>
          <w:rFonts w:ascii="Arial" w:eastAsia="Times New Roman" w:hAnsi="Arial" w:cs="Arial"/>
          <w:sz w:val="18"/>
          <w:szCs w:val="18"/>
          <w:lang w:eastAsia="pt-BR"/>
        </w:rPr>
        <w:t xml:space="preserve"> 6</w:t>
      </w:r>
      <w:r w:rsidR="0077712F" w:rsidRPr="008727DE">
        <w:rPr>
          <w:rFonts w:ascii="Arial" w:eastAsia="Times New Roman" w:hAnsi="Arial" w:cs="Arial"/>
          <w:sz w:val="18"/>
          <w:szCs w:val="18"/>
          <w:lang w:eastAsia="pt-BR"/>
        </w:rPr>
        <w:t>, para os quais</w:t>
      </w:r>
      <w:r w:rsidR="004365D7" w:rsidRPr="008727DE">
        <w:rPr>
          <w:rFonts w:ascii="Arial" w:eastAsia="Times New Roman" w:hAnsi="Arial" w:cs="Arial"/>
          <w:sz w:val="18"/>
          <w:szCs w:val="18"/>
          <w:lang w:eastAsia="pt-BR"/>
        </w:rPr>
        <w:t xml:space="preserve"> o campo </w:t>
      </w:r>
      <w:r w:rsidR="004365D7" w:rsidRPr="008727DE">
        <w:rPr>
          <w:rFonts w:ascii="Arial" w:eastAsia="Times New Roman" w:hAnsi="Arial" w:cs="Arial"/>
          <w:sz w:val="20"/>
          <w:szCs w:val="20"/>
          <w:lang w:eastAsia="pt-BR"/>
        </w:rPr>
        <w:t>&lt;CodigoCNPJFundoInvestimento&gt; será opcional.</w:t>
      </w:r>
    </w:p>
    <w:p w14:paraId="2E74455D" w14:textId="77777777" w:rsidR="00EE0371" w:rsidRPr="008727DE" w:rsidRDefault="00EE0371" w:rsidP="00EE0371">
      <w:pPr>
        <w:spacing w:after="0" w:line="240" w:lineRule="auto"/>
        <w:ind w:right="-1"/>
        <w:jc w:val="both"/>
        <w:rPr>
          <w:rFonts w:ascii="Arial" w:hAnsi="Arial" w:cs="Arial"/>
          <w:sz w:val="18"/>
          <w:szCs w:val="18"/>
          <w:lang w:eastAsia="pt-BR"/>
        </w:rPr>
      </w:pPr>
      <w:r w:rsidRPr="008727DE">
        <w:rPr>
          <w:rFonts w:ascii="Arial" w:hAnsi="Arial" w:cs="Arial"/>
          <w:sz w:val="18"/>
          <w:szCs w:val="18"/>
          <w:lang w:eastAsia="pt-BR"/>
        </w:rPr>
        <w:t>[4] Situações possíveis da Conciliação Bancária:</w:t>
      </w:r>
    </w:p>
    <w:p w14:paraId="3D95DA8D" w14:textId="77777777" w:rsidR="00EE0371" w:rsidRPr="008727DE" w:rsidRDefault="00EE0371" w:rsidP="00EE0371">
      <w:pPr>
        <w:spacing w:after="0" w:line="240" w:lineRule="auto"/>
        <w:ind w:right="-1"/>
        <w:jc w:val="both"/>
        <w:rPr>
          <w:rFonts w:ascii="Arial" w:hAnsi="Arial" w:cs="Arial"/>
          <w:sz w:val="18"/>
          <w:szCs w:val="18"/>
          <w:lang w:eastAsia="pt-BR"/>
        </w:rPr>
      </w:pPr>
      <w:r w:rsidRPr="008727DE">
        <w:rPr>
          <w:rFonts w:ascii="Arial" w:hAnsi="Arial" w:cs="Arial"/>
          <w:sz w:val="18"/>
          <w:szCs w:val="18"/>
          <w:lang w:eastAsia="pt-BR"/>
        </w:rPr>
        <w:t>Situação 1: (+) Valores lançados pela contabilidade e não creditados pelo banco</w:t>
      </w:r>
    </w:p>
    <w:p w14:paraId="38EE1DED" w14:textId="77777777" w:rsidR="00EE0371" w:rsidRPr="008727DE" w:rsidRDefault="00EE0371" w:rsidP="00EE0371">
      <w:pPr>
        <w:spacing w:after="0" w:line="240" w:lineRule="auto"/>
        <w:ind w:right="-1"/>
        <w:jc w:val="both"/>
        <w:rPr>
          <w:rFonts w:ascii="Arial" w:hAnsi="Arial" w:cs="Arial"/>
          <w:sz w:val="18"/>
          <w:szCs w:val="18"/>
          <w:lang w:eastAsia="pt-BR"/>
        </w:rPr>
      </w:pPr>
      <w:r w:rsidRPr="008727DE">
        <w:rPr>
          <w:rFonts w:ascii="Arial" w:hAnsi="Arial" w:cs="Arial"/>
          <w:sz w:val="18"/>
          <w:szCs w:val="18"/>
          <w:lang w:eastAsia="pt-BR"/>
        </w:rPr>
        <w:t>Situação 2: (-) Valores lançados pela contabilidade e não debitados pelo banco</w:t>
      </w:r>
    </w:p>
    <w:p w14:paraId="21FEEA9C" w14:textId="77777777" w:rsidR="00EE0371" w:rsidRPr="008727DE" w:rsidRDefault="00EE0371" w:rsidP="00EE0371">
      <w:pPr>
        <w:spacing w:after="0" w:line="240" w:lineRule="auto"/>
        <w:ind w:right="-1"/>
        <w:jc w:val="both"/>
        <w:rPr>
          <w:rFonts w:ascii="Arial" w:hAnsi="Arial" w:cs="Arial"/>
          <w:sz w:val="18"/>
          <w:szCs w:val="18"/>
          <w:lang w:eastAsia="pt-BR"/>
        </w:rPr>
      </w:pPr>
      <w:r w:rsidRPr="008727DE">
        <w:rPr>
          <w:rFonts w:ascii="Arial" w:hAnsi="Arial" w:cs="Arial"/>
          <w:sz w:val="18"/>
          <w:szCs w:val="18"/>
          <w:lang w:eastAsia="pt-BR"/>
        </w:rPr>
        <w:t>Situação 3: (-) Valores creditados pelo banco e não lançados pela contabilidade</w:t>
      </w:r>
    </w:p>
    <w:p w14:paraId="4B7B3086" w14:textId="77777777" w:rsidR="00EE0371" w:rsidRPr="008727DE" w:rsidRDefault="00EE0371" w:rsidP="00EE0371">
      <w:pPr>
        <w:spacing w:after="0" w:line="240" w:lineRule="auto"/>
        <w:ind w:right="-1"/>
        <w:jc w:val="both"/>
        <w:rPr>
          <w:rFonts w:ascii="Arial" w:hAnsi="Arial" w:cs="Arial"/>
          <w:sz w:val="18"/>
          <w:szCs w:val="18"/>
          <w:lang w:eastAsia="pt-BR"/>
        </w:rPr>
      </w:pPr>
      <w:r w:rsidRPr="008727DE">
        <w:rPr>
          <w:rFonts w:ascii="Arial" w:hAnsi="Arial" w:cs="Arial"/>
          <w:sz w:val="18"/>
          <w:szCs w:val="18"/>
          <w:lang w:eastAsia="pt-BR"/>
        </w:rPr>
        <w:t>Situação 4: (+) Valores debitados pelo banco e não lançados pela contabilidade</w:t>
      </w:r>
    </w:p>
    <w:p w14:paraId="500153F4" w14:textId="77777777" w:rsidR="00EE0371" w:rsidRPr="008727DE" w:rsidRDefault="00EE0371" w:rsidP="00EE0371">
      <w:pPr>
        <w:spacing w:after="0" w:line="240" w:lineRule="auto"/>
        <w:ind w:right="-1"/>
        <w:jc w:val="both"/>
        <w:rPr>
          <w:rFonts w:ascii="Arial" w:hAnsi="Arial" w:cs="Arial"/>
          <w:sz w:val="18"/>
          <w:szCs w:val="18"/>
          <w:lang w:eastAsia="pt-BR"/>
        </w:rPr>
      </w:pPr>
      <w:r w:rsidRPr="008727DE">
        <w:rPr>
          <w:rFonts w:ascii="Arial" w:hAnsi="Arial" w:cs="Arial"/>
          <w:sz w:val="18"/>
          <w:szCs w:val="18"/>
          <w:lang w:eastAsia="pt-BR"/>
        </w:rPr>
        <w:t xml:space="preserve">[5] As Tabelas Auxiliares encontram-se no Anexo </w:t>
      </w:r>
      <w:r w:rsidR="005A1734" w:rsidRPr="008727DE">
        <w:rPr>
          <w:rFonts w:ascii="Arial" w:hAnsi="Arial" w:cs="Arial"/>
          <w:sz w:val="18"/>
          <w:szCs w:val="18"/>
          <w:lang w:eastAsia="pt-BR"/>
        </w:rPr>
        <w:t>IV</w:t>
      </w:r>
      <w:r w:rsidRPr="008727DE">
        <w:rPr>
          <w:rFonts w:ascii="Arial" w:hAnsi="Arial" w:cs="Arial"/>
          <w:sz w:val="18"/>
          <w:szCs w:val="18"/>
          <w:lang w:eastAsia="pt-BR"/>
        </w:rPr>
        <w:t xml:space="preserve"> da </w:t>
      </w:r>
      <w:r w:rsidR="005A1734" w:rsidRPr="008727DE">
        <w:rPr>
          <w:rFonts w:ascii="Arial" w:hAnsi="Arial" w:cs="Arial"/>
          <w:sz w:val="18"/>
          <w:szCs w:val="18"/>
          <w:lang w:eastAsia="pt-BR"/>
        </w:rPr>
        <w:t xml:space="preserve">presente </w:t>
      </w:r>
      <w:r w:rsidRPr="008727DE">
        <w:rPr>
          <w:rFonts w:ascii="Arial" w:hAnsi="Arial" w:cs="Arial"/>
          <w:sz w:val="18"/>
          <w:szCs w:val="18"/>
          <w:lang w:eastAsia="pt-BR"/>
        </w:rPr>
        <w:t>Instrução Normativa.</w:t>
      </w:r>
    </w:p>
    <w:p w14:paraId="5DFE9839" w14:textId="77777777" w:rsidR="00EE0371" w:rsidRPr="008727DE" w:rsidRDefault="00EE0371" w:rsidP="00EE0371">
      <w:pPr>
        <w:spacing w:after="0" w:line="240" w:lineRule="auto"/>
        <w:ind w:right="-1"/>
        <w:jc w:val="both"/>
        <w:rPr>
          <w:rFonts w:ascii="Arial" w:hAnsi="Arial" w:cs="Arial"/>
          <w:sz w:val="18"/>
          <w:szCs w:val="18"/>
          <w:lang w:eastAsia="pt-BR"/>
        </w:rPr>
      </w:pPr>
      <w:r w:rsidRPr="008727DE">
        <w:rPr>
          <w:rFonts w:ascii="Arial" w:hAnsi="Arial" w:cs="Arial"/>
          <w:sz w:val="18"/>
          <w:szCs w:val="18"/>
          <w:lang w:eastAsia="pt-BR"/>
        </w:rPr>
        <w:t>[6] O Código Contábil a ser informado deverá pertencer ao Plano de Contas do CidadES do exercício e com atributo de escrituração S (Sim).</w:t>
      </w:r>
    </w:p>
    <w:p w14:paraId="0B22A1B8" w14:textId="77777777" w:rsidR="005A3CAD" w:rsidRPr="008727DE" w:rsidRDefault="00EE0371" w:rsidP="00EE0371">
      <w:pPr>
        <w:spacing w:after="0" w:line="240" w:lineRule="auto"/>
        <w:ind w:right="-1"/>
        <w:jc w:val="both"/>
        <w:rPr>
          <w:rFonts w:ascii="Arial" w:eastAsia="Times New Roman" w:hAnsi="Arial" w:cs="Arial"/>
          <w:sz w:val="18"/>
          <w:szCs w:val="18"/>
          <w:lang w:eastAsia="pt-BR"/>
        </w:rPr>
      </w:pPr>
      <w:r w:rsidRPr="008727DE">
        <w:rPr>
          <w:rFonts w:ascii="Arial" w:hAnsi="Arial" w:cs="Arial"/>
          <w:sz w:val="18"/>
          <w:szCs w:val="18"/>
          <w:lang w:eastAsia="pt-BR"/>
        </w:rPr>
        <w:t>[7] </w:t>
      </w:r>
      <w:r w:rsidR="007B0E4D" w:rsidRPr="008727DE">
        <w:rPr>
          <w:rFonts w:ascii="Arial" w:eastAsia="Times New Roman" w:hAnsi="Arial" w:cs="Arial"/>
          <w:sz w:val="18"/>
          <w:szCs w:val="18"/>
          <w:lang w:eastAsia="pt-BR"/>
        </w:rPr>
        <w:t xml:space="preserve">Os campos </w:t>
      </w:r>
      <w:r w:rsidR="007B0E4D" w:rsidRPr="008727DE">
        <w:rPr>
          <w:rFonts w:ascii="Arial" w:hAnsi="Arial" w:cs="Arial"/>
          <w:sz w:val="18"/>
          <w:szCs w:val="18"/>
          <w:lang w:eastAsia="pt-BR"/>
        </w:rPr>
        <w:t>&lt;</w:t>
      </w:r>
      <w:r w:rsidR="007B0E4D" w:rsidRPr="008727DE">
        <w:rPr>
          <w:rFonts w:ascii="Arial" w:eastAsia="Times New Roman" w:hAnsi="Arial" w:cs="Arial"/>
          <w:sz w:val="18"/>
          <w:szCs w:val="18"/>
          <w:lang w:eastAsia="pt-BR"/>
        </w:rPr>
        <w:t xml:space="preserve">TipoAplicacao&gt; e </w:t>
      </w:r>
      <w:r w:rsidR="007B0E4D" w:rsidRPr="008727DE">
        <w:rPr>
          <w:rFonts w:ascii="Arial" w:eastAsia="Times New Roman" w:hAnsi="Arial" w:cs="Arial"/>
          <w:sz w:val="20"/>
          <w:szCs w:val="20"/>
          <w:lang w:eastAsia="pt-BR"/>
        </w:rPr>
        <w:t xml:space="preserve">&lt;CodigoCNPJFundoInvestimento&gt; </w:t>
      </w:r>
      <w:r w:rsidR="004365D7" w:rsidRPr="008727DE">
        <w:rPr>
          <w:rFonts w:ascii="Arial" w:eastAsia="Times New Roman" w:hAnsi="Arial" w:cs="Arial"/>
          <w:sz w:val="20"/>
          <w:szCs w:val="20"/>
          <w:lang w:eastAsia="pt-BR"/>
        </w:rPr>
        <w:t>não deverão ser</w:t>
      </w:r>
      <w:r w:rsidR="00950C7A" w:rsidRPr="008727DE">
        <w:rPr>
          <w:rFonts w:ascii="Arial" w:eastAsia="Times New Roman" w:hAnsi="Arial" w:cs="Arial"/>
          <w:sz w:val="20"/>
          <w:szCs w:val="20"/>
          <w:lang w:eastAsia="pt-BR"/>
        </w:rPr>
        <w:t xml:space="preserve"> </w:t>
      </w:r>
      <w:r w:rsidR="007B0E4D" w:rsidRPr="008727DE">
        <w:rPr>
          <w:rFonts w:ascii="Arial" w:eastAsia="Times New Roman" w:hAnsi="Arial" w:cs="Arial"/>
          <w:sz w:val="20"/>
          <w:szCs w:val="20"/>
          <w:lang w:eastAsia="pt-BR"/>
        </w:rPr>
        <w:t xml:space="preserve">enviados quando o campo </w:t>
      </w:r>
      <w:r w:rsidR="007B0E4D" w:rsidRPr="008727DE">
        <w:rPr>
          <w:rFonts w:ascii="Arial" w:eastAsia="Times New Roman" w:hAnsi="Arial" w:cs="Arial"/>
          <w:sz w:val="18"/>
          <w:szCs w:val="18"/>
          <w:lang w:eastAsia="pt-BR"/>
        </w:rPr>
        <w:t xml:space="preserve">&lt;TipoContaBancaria&gt; for igual a </w:t>
      </w:r>
      <w:r w:rsidR="004365D7" w:rsidRPr="008727DE">
        <w:rPr>
          <w:rFonts w:ascii="Arial" w:eastAsia="Times New Roman" w:hAnsi="Arial" w:cs="Arial"/>
          <w:sz w:val="18"/>
          <w:szCs w:val="18"/>
          <w:lang w:eastAsia="pt-BR"/>
        </w:rPr>
        <w:t xml:space="preserve">1 </w:t>
      </w:r>
      <w:r w:rsidR="007B0E4D" w:rsidRPr="008727DE">
        <w:rPr>
          <w:rFonts w:ascii="Arial" w:eastAsia="Times New Roman" w:hAnsi="Arial" w:cs="Arial"/>
          <w:sz w:val="18"/>
          <w:szCs w:val="18"/>
          <w:lang w:eastAsia="pt-BR"/>
        </w:rPr>
        <w:t xml:space="preserve">(Conta </w:t>
      </w:r>
      <w:r w:rsidR="004365D7" w:rsidRPr="008727DE">
        <w:rPr>
          <w:rFonts w:ascii="Arial" w:eastAsia="Times New Roman" w:hAnsi="Arial" w:cs="Arial"/>
          <w:sz w:val="18"/>
          <w:szCs w:val="18"/>
          <w:lang w:eastAsia="pt-BR"/>
        </w:rPr>
        <w:t>Movimento</w:t>
      </w:r>
      <w:r w:rsidR="007B0E4D" w:rsidRPr="008727DE">
        <w:rPr>
          <w:rFonts w:ascii="Arial" w:eastAsia="Times New Roman" w:hAnsi="Arial" w:cs="Arial"/>
          <w:sz w:val="18"/>
          <w:szCs w:val="18"/>
          <w:lang w:eastAsia="pt-BR"/>
        </w:rPr>
        <w:t>).</w:t>
      </w:r>
    </w:p>
    <w:p w14:paraId="4AA2CF9B" w14:textId="77777777" w:rsidR="005A3CAD" w:rsidRPr="008727DE" w:rsidRDefault="005A3CAD" w:rsidP="005A3CAD">
      <w:pPr>
        <w:spacing w:after="0" w:line="240" w:lineRule="auto"/>
        <w:ind w:right="-1"/>
        <w:jc w:val="both"/>
        <w:rPr>
          <w:rFonts w:ascii="Arial" w:eastAsia="Times New Roman" w:hAnsi="Arial" w:cs="Arial"/>
          <w:sz w:val="18"/>
          <w:szCs w:val="18"/>
          <w:lang w:eastAsia="pt-BR"/>
        </w:rPr>
      </w:pPr>
      <w:r w:rsidRPr="008727DE">
        <w:rPr>
          <w:rFonts w:ascii="Arial" w:eastAsia="Times New Roman" w:hAnsi="Arial" w:cs="Arial"/>
          <w:sz w:val="18"/>
          <w:szCs w:val="18"/>
          <w:lang w:eastAsia="pt-BR"/>
        </w:rPr>
        <w:t xml:space="preserve">[8] </w:t>
      </w:r>
      <w:r w:rsidR="00F91C24" w:rsidRPr="008727DE">
        <w:rPr>
          <w:rFonts w:ascii="Arial" w:eastAsia="Times New Roman" w:hAnsi="Arial" w:cs="Arial"/>
          <w:sz w:val="18"/>
          <w:szCs w:val="18"/>
          <w:lang w:eastAsia="pt-BR"/>
        </w:rPr>
        <w:t>Os campos &lt;CodigoBanco&gt; e &lt;CodigoAgencia&gt; s</w:t>
      </w:r>
      <w:r w:rsidRPr="008727DE">
        <w:rPr>
          <w:rFonts w:ascii="Arial" w:eastAsia="Times New Roman" w:hAnsi="Arial" w:cs="Arial"/>
          <w:sz w:val="18"/>
          <w:szCs w:val="18"/>
          <w:lang w:eastAsia="pt-BR"/>
        </w:rPr>
        <w:t xml:space="preserve">omente </w:t>
      </w:r>
      <w:r w:rsidR="00F91C24" w:rsidRPr="008727DE">
        <w:rPr>
          <w:rFonts w:ascii="Arial" w:eastAsia="Times New Roman" w:hAnsi="Arial" w:cs="Arial"/>
          <w:sz w:val="18"/>
          <w:szCs w:val="18"/>
          <w:lang w:eastAsia="pt-BR"/>
        </w:rPr>
        <w:t xml:space="preserve">deverão ser preenchidos com </w:t>
      </w:r>
      <w:r w:rsidRPr="008727DE">
        <w:rPr>
          <w:rFonts w:ascii="Arial" w:eastAsia="Times New Roman" w:hAnsi="Arial" w:cs="Arial"/>
          <w:sz w:val="18"/>
          <w:szCs w:val="18"/>
          <w:lang w:eastAsia="pt-BR"/>
        </w:rPr>
        <w:t>números de 0 a 9.</w:t>
      </w:r>
    </w:p>
    <w:p w14:paraId="63035D40" w14:textId="77777777" w:rsidR="005A3CAD" w:rsidRPr="008727DE" w:rsidRDefault="005A3CAD" w:rsidP="005A3CAD">
      <w:pPr>
        <w:spacing w:after="0" w:line="240" w:lineRule="auto"/>
        <w:ind w:right="-1"/>
        <w:jc w:val="both"/>
        <w:rPr>
          <w:rFonts w:ascii="Arial" w:eastAsia="Times New Roman" w:hAnsi="Arial" w:cs="Arial"/>
          <w:sz w:val="18"/>
          <w:szCs w:val="18"/>
          <w:lang w:eastAsia="pt-BR"/>
        </w:rPr>
      </w:pPr>
      <w:r w:rsidRPr="008727DE">
        <w:rPr>
          <w:rFonts w:ascii="Arial" w:eastAsia="Times New Roman" w:hAnsi="Arial" w:cs="Arial"/>
          <w:sz w:val="18"/>
          <w:szCs w:val="18"/>
          <w:lang w:eastAsia="pt-BR"/>
        </w:rPr>
        <w:t xml:space="preserve">[9] </w:t>
      </w:r>
      <w:r w:rsidR="00F91C24" w:rsidRPr="008727DE">
        <w:rPr>
          <w:rFonts w:ascii="Arial" w:eastAsia="Times New Roman" w:hAnsi="Arial" w:cs="Arial"/>
          <w:sz w:val="18"/>
          <w:szCs w:val="18"/>
          <w:lang w:eastAsia="pt-BR"/>
        </w:rPr>
        <w:t xml:space="preserve">Os campos </w:t>
      </w:r>
      <w:r w:rsidR="00F91C24" w:rsidRPr="008727DE">
        <w:rPr>
          <w:rFonts w:ascii="Arial" w:hAnsi="Arial" w:cs="Arial"/>
          <w:sz w:val="18"/>
          <w:szCs w:val="18"/>
          <w:lang w:eastAsia="pt-BR"/>
        </w:rPr>
        <w:t xml:space="preserve">&lt;DigitoVerificadorAgencia&gt; e &lt;DigitoVerificadorContaBancaria&gt; </w:t>
      </w:r>
      <w:r w:rsidR="00F91C24" w:rsidRPr="008727DE">
        <w:rPr>
          <w:rFonts w:ascii="Arial" w:eastAsia="Times New Roman" w:hAnsi="Arial" w:cs="Arial"/>
          <w:sz w:val="18"/>
          <w:szCs w:val="18"/>
          <w:lang w:eastAsia="pt-BR"/>
        </w:rPr>
        <w:t>s</w:t>
      </w:r>
      <w:r w:rsidRPr="008727DE">
        <w:rPr>
          <w:rFonts w:ascii="Arial" w:eastAsia="Times New Roman" w:hAnsi="Arial" w:cs="Arial"/>
          <w:sz w:val="18"/>
          <w:szCs w:val="18"/>
          <w:lang w:eastAsia="pt-BR"/>
        </w:rPr>
        <w:t xml:space="preserve">omente </w:t>
      </w:r>
      <w:r w:rsidR="00F91C24" w:rsidRPr="008727DE">
        <w:rPr>
          <w:rFonts w:ascii="Arial" w:eastAsia="Times New Roman" w:hAnsi="Arial" w:cs="Arial"/>
          <w:sz w:val="18"/>
          <w:szCs w:val="18"/>
          <w:lang w:eastAsia="pt-BR"/>
        </w:rPr>
        <w:t xml:space="preserve">deverão ser preenchidos com </w:t>
      </w:r>
      <w:r w:rsidRPr="008727DE">
        <w:rPr>
          <w:rFonts w:ascii="Arial" w:eastAsia="Times New Roman" w:hAnsi="Arial" w:cs="Arial"/>
          <w:sz w:val="18"/>
          <w:szCs w:val="18"/>
          <w:lang w:eastAsia="pt-BR"/>
        </w:rPr>
        <w:t xml:space="preserve">números de 0 a 9, ou </w:t>
      </w:r>
      <w:r w:rsidR="00F91C24" w:rsidRPr="008727DE">
        <w:rPr>
          <w:rFonts w:ascii="Arial" w:eastAsia="Times New Roman" w:hAnsi="Arial" w:cs="Arial"/>
          <w:sz w:val="18"/>
          <w:szCs w:val="18"/>
          <w:lang w:eastAsia="pt-BR"/>
        </w:rPr>
        <w:t xml:space="preserve">a </w:t>
      </w:r>
      <w:r w:rsidRPr="008727DE">
        <w:rPr>
          <w:rFonts w:ascii="Arial" w:eastAsia="Times New Roman" w:hAnsi="Arial" w:cs="Arial"/>
          <w:sz w:val="18"/>
          <w:szCs w:val="18"/>
          <w:lang w:eastAsia="pt-BR"/>
        </w:rPr>
        <w:t>letra X.</w:t>
      </w:r>
    </w:p>
    <w:p w14:paraId="131D4854" w14:textId="77777777" w:rsidR="00EE0371" w:rsidRPr="00D73542" w:rsidRDefault="00EE0371" w:rsidP="00EE0371">
      <w:pPr>
        <w:spacing w:after="0" w:line="240" w:lineRule="auto"/>
        <w:ind w:right="-1"/>
        <w:jc w:val="both"/>
        <w:rPr>
          <w:rFonts w:ascii="Arial" w:hAnsi="Arial" w:cs="Arial"/>
          <w:sz w:val="18"/>
          <w:szCs w:val="18"/>
          <w:lang w:eastAsia="pt-BR"/>
        </w:rPr>
      </w:pPr>
    </w:p>
    <w:p w14:paraId="656C7D74" w14:textId="77777777" w:rsidR="00EE0371" w:rsidRPr="00D73542" w:rsidRDefault="00EE0371" w:rsidP="00EE0371">
      <w:pPr>
        <w:spacing w:after="0" w:line="240" w:lineRule="auto"/>
        <w:ind w:right="-1"/>
        <w:jc w:val="both"/>
        <w:rPr>
          <w:rFonts w:ascii="Arial" w:hAnsi="Arial" w:cs="Arial"/>
          <w:sz w:val="18"/>
          <w:szCs w:val="18"/>
          <w:lang w:eastAsia="pt-BR"/>
        </w:rPr>
      </w:pPr>
    </w:p>
    <w:p w14:paraId="0E15BB29" w14:textId="77777777" w:rsidR="00EE0371" w:rsidRPr="00D73542" w:rsidRDefault="00EE0371" w:rsidP="00EE0371">
      <w:pPr>
        <w:spacing w:after="0" w:line="240" w:lineRule="auto"/>
        <w:ind w:right="-1"/>
        <w:jc w:val="both"/>
        <w:rPr>
          <w:rFonts w:ascii="Arial" w:hAnsi="Arial" w:cs="Arial"/>
          <w:sz w:val="18"/>
          <w:szCs w:val="18"/>
          <w:lang w:eastAsia="pt-BR"/>
        </w:rPr>
      </w:pPr>
      <w:r w:rsidRPr="00D73542">
        <w:rPr>
          <w:rFonts w:ascii="Arial" w:hAnsi="Arial" w:cs="Arial"/>
          <w:b/>
          <w:sz w:val="18"/>
          <w:szCs w:val="18"/>
          <w:u w:val="single"/>
          <w:lang w:eastAsia="pt-BR"/>
        </w:rPr>
        <w:t>Observações</w:t>
      </w:r>
      <w:r w:rsidRPr="00D73542">
        <w:rPr>
          <w:rFonts w:ascii="Arial" w:hAnsi="Arial" w:cs="Arial"/>
          <w:sz w:val="18"/>
          <w:szCs w:val="18"/>
          <w:lang w:eastAsia="pt-BR"/>
        </w:rPr>
        <w:t xml:space="preserve">: </w:t>
      </w:r>
    </w:p>
    <w:p w14:paraId="72B9DC92" w14:textId="77777777" w:rsidR="00EE0371" w:rsidRPr="00D73542" w:rsidRDefault="00EE0371" w:rsidP="00EE0371">
      <w:pPr>
        <w:spacing w:after="0" w:line="240" w:lineRule="auto"/>
        <w:ind w:right="-1"/>
        <w:jc w:val="both"/>
        <w:rPr>
          <w:rFonts w:ascii="Arial" w:hAnsi="Arial" w:cs="Arial"/>
          <w:sz w:val="18"/>
          <w:szCs w:val="18"/>
          <w:lang w:eastAsia="pt-BR"/>
        </w:rPr>
      </w:pPr>
      <w:r w:rsidRPr="00D73542">
        <w:rPr>
          <w:rFonts w:ascii="Arial" w:hAnsi="Arial" w:cs="Arial"/>
          <w:sz w:val="18"/>
          <w:szCs w:val="18"/>
          <w:lang w:eastAsia="pt-BR"/>
        </w:rPr>
        <w:t xml:space="preserve">1 - Para cada mês de referência de uma Conta Bancária deverá ser enviado um extrato Bancário (em </w:t>
      </w:r>
      <w:r w:rsidR="00532985" w:rsidRPr="00D73542">
        <w:rPr>
          <w:rFonts w:ascii="Arial" w:hAnsi="Arial" w:cs="Arial"/>
          <w:sz w:val="18"/>
          <w:szCs w:val="18"/>
          <w:lang w:eastAsia="pt-BR"/>
        </w:rPr>
        <w:t>PDF</w:t>
      </w:r>
      <w:r w:rsidRPr="00D73542">
        <w:rPr>
          <w:rFonts w:ascii="Arial" w:hAnsi="Arial" w:cs="Arial"/>
          <w:sz w:val="18"/>
          <w:szCs w:val="18"/>
          <w:lang w:eastAsia="pt-BR"/>
        </w:rPr>
        <w:t>) referente a mesma com a seguinte codificação no nome: &lt;AnoCompetência&gt;_&lt;Mês de Competência&gt;_&lt;Código doBanco&gt;_&lt;Número da Agência&gt;_&lt;Número da Conta Bancária&gt;_&lt;Tipo da Conta Bancária&gt;_&lt;ComplementoConta Bancaria&gt;. Ex: 2016_12_001_1234_15248_2_XXXXXXXXXX.</w:t>
      </w:r>
      <w:r w:rsidR="00532985" w:rsidRPr="00D73542">
        <w:rPr>
          <w:rFonts w:ascii="Arial" w:hAnsi="Arial" w:cs="Arial"/>
          <w:sz w:val="18"/>
          <w:szCs w:val="18"/>
          <w:lang w:eastAsia="pt-BR"/>
        </w:rPr>
        <w:t>PDF</w:t>
      </w:r>
    </w:p>
    <w:p w14:paraId="5F4FD495" w14:textId="77777777" w:rsidR="00EE0371" w:rsidRPr="00EE0371" w:rsidRDefault="00EE0371" w:rsidP="00EE0371">
      <w:pPr>
        <w:spacing w:after="0" w:line="240" w:lineRule="auto"/>
        <w:ind w:right="-1"/>
        <w:jc w:val="both"/>
        <w:rPr>
          <w:rFonts w:ascii="Arial" w:hAnsi="Arial" w:cs="Arial"/>
          <w:sz w:val="20"/>
          <w:szCs w:val="20"/>
          <w:lang w:eastAsia="pt-BR"/>
        </w:rPr>
      </w:pPr>
    </w:p>
    <w:p w14:paraId="149B4899" w14:textId="77777777" w:rsidR="00EE0371" w:rsidRPr="00EE0371" w:rsidRDefault="00EE0371" w:rsidP="00EE0371">
      <w:pPr>
        <w:spacing w:after="0" w:line="240" w:lineRule="auto"/>
        <w:ind w:right="-1"/>
        <w:jc w:val="both"/>
        <w:rPr>
          <w:rFonts w:ascii="Arial" w:hAnsi="Arial" w:cs="Arial"/>
          <w:sz w:val="20"/>
          <w:szCs w:val="20"/>
          <w:lang w:eastAsia="pt-BR"/>
        </w:rPr>
      </w:pPr>
    </w:p>
    <w:p w14:paraId="243CE1B6" w14:textId="77777777" w:rsidR="00EE0371" w:rsidRPr="00EE0371" w:rsidRDefault="00EE0371" w:rsidP="00EE0371">
      <w:pPr>
        <w:rPr>
          <w:rFonts w:ascii="Arial" w:hAnsi="Arial" w:cs="Arial"/>
          <w:b/>
          <w:sz w:val="28"/>
        </w:rPr>
      </w:pPr>
      <w:r w:rsidRPr="00EE0371">
        <w:rPr>
          <w:rFonts w:ascii="Arial" w:hAnsi="Arial" w:cs="Arial"/>
          <w:b/>
          <w:sz w:val="28"/>
        </w:rPr>
        <w:br w:type="page"/>
      </w:r>
    </w:p>
    <w:p w14:paraId="4EABCB93" w14:textId="77777777" w:rsidR="00EE0371" w:rsidRPr="00BC5138" w:rsidRDefault="00EE0371" w:rsidP="00EE0371">
      <w:pPr>
        <w:jc w:val="center"/>
        <w:rPr>
          <w:rFonts w:ascii="Arial" w:hAnsi="Arial" w:cs="Arial"/>
          <w:b/>
          <w:sz w:val="28"/>
        </w:rPr>
      </w:pPr>
      <w:r w:rsidRPr="00BC5138">
        <w:rPr>
          <w:rFonts w:ascii="Arial" w:hAnsi="Arial" w:cs="Arial"/>
          <w:b/>
          <w:sz w:val="28"/>
        </w:rPr>
        <w:lastRenderedPageBreak/>
        <w:t>TABELA 5 – Tipo de Aplicação</w:t>
      </w:r>
    </w:p>
    <w:p w14:paraId="2FAD92AE" w14:textId="77777777" w:rsidR="00EE0371" w:rsidRPr="00EE0371" w:rsidRDefault="00EE0371" w:rsidP="00EE0371">
      <w:pPr>
        <w:spacing w:after="0" w:line="240" w:lineRule="auto"/>
        <w:ind w:right="-285"/>
        <w:jc w:val="both"/>
        <w:rPr>
          <w:rFonts w:ascii="Arial" w:hAnsi="Arial" w:cs="Arial"/>
          <w:sz w:val="20"/>
          <w:szCs w:val="20"/>
          <w:lang w:eastAsia="pt-BR"/>
        </w:rPr>
      </w:pPr>
    </w:p>
    <w:tbl>
      <w:tblPr>
        <w:tblW w:w="9634" w:type="dxa"/>
        <w:tblCellMar>
          <w:left w:w="70" w:type="dxa"/>
          <w:right w:w="70" w:type="dxa"/>
        </w:tblCellMar>
        <w:tblLook w:val="04A0" w:firstRow="1" w:lastRow="0" w:firstColumn="1" w:lastColumn="0" w:noHBand="0" w:noVBand="1"/>
      </w:tblPr>
      <w:tblGrid>
        <w:gridCol w:w="977"/>
        <w:gridCol w:w="6248"/>
        <w:gridCol w:w="2409"/>
      </w:tblGrid>
      <w:tr w:rsidR="00BC5138" w:rsidRPr="00BC5138" w14:paraId="40EE4558" w14:textId="77777777" w:rsidTr="00BC5138">
        <w:trPr>
          <w:trHeight w:val="315"/>
        </w:trPr>
        <w:tc>
          <w:tcPr>
            <w:tcW w:w="9634" w:type="dxa"/>
            <w:gridSpan w:val="3"/>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0E0F39B" w14:textId="77777777" w:rsidR="00BC5138" w:rsidRPr="00B7483D" w:rsidRDefault="00BC5138" w:rsidP="00BC5138">
            <w:pPr>
              <w:spacing w:after="0" w:line="240" w:lineRule="auto"/>
              <w:jc w:val="center"/>
              <w:rPr>
                <w:rFonts w:ascii="Calibri" w:eastAsia="Times New Roman" w:hAnsi="Calibri" w:cs="Times New Roman"/>
                <w:b/>
                <w:bCs/>
                <w:sz w:val="24"/>
                <w:szCs w:val="24"/>
                <w:lang w:eastAsia="pt-BR"/>
              </w:rPr>
            </w:pPr>
            <w:r w:rsidRPr="00B7483D">
              <w:rPr>
                <w:rFonts w:ascii="Calibri" w:eastAsia="Times New Roman" w:hAnsi="Calibri" w:cs="Times New Roman"/>
                <w:b/>
                <w:bCs/>
                <w:sz w:val="24"/>
                <w:szCs w:val="24"/>
                <w:lang w:eastAsia="pt-BR"/>
              </w:rPr>
              <w:t>Tipo de Aplicação TCEES</w:t>
            </w:r>
          </w:p>
        </w:tc>
      </w:tr>
      <w:tr w:rsidR="00BC5138" w:rsidRPr="00BC5138" w14:paraId="2F94CD87" w14:textId="77777777" w:rsidTr="00BC5138">
        <w:trPr>
          <w:trHeight w:val="315"/>
        </w:trPr>
        <w:tc>
          <w:tcPr>
            <w:tcW w:w="9634" w:type="dxa"/>
            <w:gridSpan w:val="3"/>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FE7181D" w14:textId="77777777" w:rsidR="00BC5138" w:rsidRPr="00B7483D" w:rsidRDefault="00BC5138" w:rsidP="00BC5138">
            <w:pPr>
              <w:spacing w:after="0" w:line="240" w:lineRule="auto"/>
              <w:jc w:val="center"/>
              <w:rPr>
                <w:rFonts w:ascii="Calibri" w:eastAsia="Times New Roman" w:hAnsi="Calibri" w:cs="Times New Roman"/>
                <w:b/>
                <w:bCs/>
                <w:sz w:val="24"/>
                <w:szCs w:val="24"/>
                <w:lang w:eastAsia="pt-BR"/>
              </w:rPr>
            </w:pPr>
            <w:r w:rsidRPr="00B7483D">
              <w:rPr>
                <w:rFonts w:ascii="Calibri" w:eastAsia="Times New Roman" w:hAnsi="Calibri" w:cs="Times New Roman"/>
                <w:b/>
                <w:bCs/>
                <w:sz w:val="24"/>
                <w:szCs w:val="24"/>
                <w:lang w:eastAsia="pt-BR"/>
              </w:rPr>
              <w:t>Resolução CMN nº 3.922, de 25/11/2010 e suas atualizações</w:t>
            </w:r>
          </w:p>
        </w:tc>
      </w:tr>
      <w:tr w:rsidR="00BC5138" w:rsidRPr="00BC5138" w14:paraId="67506202" w14:textId="77777777" w:rsidTr="00BC5138">
        <w:trPr>
          <w:trHeight w:val="315"/>
        </w:trPr>
        <w:tc>
          <w:tcPr>
            <w:tcW w:w="977" w:type="dxa"/>
            <w:tcBorders>
              <w:top w:val="nil"/>
              <w:left w:val="single" w:sz="4" w:space="0" w:color="auto"/>
              <w:bottom w:val="single" w:sz="4" w:space="0" w:color="auto"/>
              <w:right w:val="single" w:sz="4" w:space="0" w:color="auto"/>
            </w:tcBorders>
            <w:shd w:val="clear" w:color="000000" w:fill="BFBFBF"/>
            <w:noWrap/>
            <w:vAlign w:val="center"/>
            <w:hideMark/>
          </w:tcPr>
          <w:p w14:paraId="7A9D8856" w14:textId="77777777" w:rsidR="00BC5138" w:rsidRPr="00B7483D" w:rsidRDefault="00BC5138" w:rsidP="00BC5138">
            <w:pPr>
              <w:spacing w:after="0" w:line="240" w:lineRule="auto"/>
              <w:jc w:val="center"/>
              <w:rPr>
                <w:rFonts w:ascii="Calibri" w:eastAsia="Times New Roman" w:hAnsi="Calibri" w:cs="Times New Roman"/>
                <w:b/>
                <w:bCs/>
                <w:sz w:val="24"/>
                <w:szCs w:val="24"/>
                <w:lang w:eastAsia="pt-BR"/>
              </w:rPr>
            </w:pPr>
            <w:r w:rsidRPr="00B7483D">
              <w:rPr>
                <w:rFonts w:ascii="Calibri" w:eastAsia="Times New Roman" w:hAnsi="Calibri" w:cs="Times New Roman"/>
                <w:b/>
                <w:bCs/>
                <w:sz w:val="24"/>
                <w:szCs w:val="24"/>
                <w:lang w:eastAsia="pt-BR"/>
              </w:rPr>
              <w:t>Código</w:t>
            </w:r>
          </w:p>
        </w:tc>
        <w:tc>
          <w:tcPr>
            <w:tcW w:w="6248" w:type="dxa"/>
            <w:tcBorders>
              <w:top w:val="nil"/>
              <w:left w:val="nil"/>
              <w:bottom w:val="single" w:sz="4" w:space="0" w:color="auto"/>
              <w:right w:val="single" w:sz="4" w:space="0" w:color="auto"/>
            </w:tcBorders>
            <w:shd w:val="clear" w:color="000000" w:fill="BFBFBF"/>
            <w:noWrap/>
            <w:vAlign w:val="center"/>
            <w:hideMark/>
          </w:tcPr>
          <w:p w14:paraId="08843259" w14:textId="77777777" w:rsidR="00BC5138" w:rsidRPr="00B7483D" w:rsidRDefault="00BC5138" w:rsidP="00BC5138">
            <w:pPr>
              <w:spacing w:after="0" w:line="240" w:lineRule="auto"/>
              <w:jc w:val="center"/>
              <w:rPr>
                <w:rFonts w:ascii="Calibri" w:eastAsia="Times New Roman" w:hAnsi="Calibri" w:cs="Times New Roman"/>
                <w:b/>
                <w:bCs/>
                <w:sz w:val="24"/>
                <w:szCs w:val="24"/>
                <w:lang w:eastAsia="pt-BR"/>
              </w:rPr>
            </w:pPr>
            <w:r w:rsidRPr="00B7483D">
              <w:rPr>
                <w:rFonts w:ascii="Calibri" w:eastAsia="Times New Roman" w:hAnsi="Calibri" w:cs="Times New Roman"/>
                <w:b/>
                <w:bCs/>
                <w:sz w:val="24"/>
                <w:szCs w:val="24"/>
                <w:lang w:eastAsia="pt-BR"/>
              </w:rPr>
              <w:t>Descrição Resumida</w:t>
            </w:r>
          </w:p>
        </w:tc>
        <w:tc>
          <w:tcPr>
            <w:tcW w:w="2409" w:type="dxa"/>
            <w:tcBorders>
              <w:top w:val="nil"/>
              <w:left w:val="nil"/>
              <w:bottom w:val="single" w:sz="4" w:space="0" w:color="auto"/>
              <w:right w:val="single" w:sz="4" w:space="0" w:color="auto"/>
            </w:tcBorders>
            <w:shd w:val="clear" w:color="000000" w:fill="BFBFBF"/>
            <w:noWrap/>
            <w:vAlign w:val="center"/>
            <w:hideMark/>
          </w:tcPr>
          <w:p w14:paraId="528C3169" w14:textId="77777777" w:rsidR="00BC5138" w:rsidRPr="00B7483D" w:rsidRDefault="00BC5138" w:rsidP="00BC5138">
            <w:pPr>
              <w:spacing w:after="0" w:line="240" w:lineRule="auto"/>
              <w:jc w:val="center"/>
              <w:rPr>
                <w:rFonts w:ascii="Calibri" w:eastAsia="Times New Roman" w:hAnsi="Calibri" w:cs="Times New Roman"/>
                <w:b/>
                <w:bCs/>
                <w:sz w:val="24"/>
                <w:szCs w:val="24"/>
                <w:lang w:eastAsia="pt-BR"/>
              </w:rPr>
            </w:pPr>
            <w:r w:rsidRPr="00B7483D">
              <w:rPr>
                <w:rFonts w:ascii="Calibri" w:eastAsia="Times New Roman" w:hAnsi="Calibri" w:cs="Times New Roman"/>
                <w:b/>
                <w:bCs/>
                <w:sz w:val="24"/>
                <w:szCs w:val="24"/>
                <w:lang w:eastAsia="pt-BR"/>
              </w:rPr>
              <w:t>Enquadramento</w:t>
            </w:r>
          </w:p>
        </w:tc>
      </w:tr>
      <w:tr w:rsidR="00BC5138" w:rsidRPr="00BC5138" w14:paraId="781D92B5" w14:textId="77777777" w:rsidTr="00BC5138">
        <w:trPr>
          <w:trHeight w:val="1890"/>
        </w:trPr>
        <w:tc>
          <w:tcPr>
            <w:tcW w:w="977" w:type="dxa"/>
            <w:tcBorders>
              <w:top w:val="nil"/>
              <w:left w:val="single" w:sz="4" w:space="0" w:color="auto"/>
              <w:bottom w:val="single" w:sz="4" w:space="0" w:color="auto"/>
              <w:right w:val="single" w:sz="4" w:space="0" w:color="auto"/>
            </w:tcBorders>
            <w:shd w:val="clear" w:color="auto" w:fill="auto"/>
            <w:noWrap/>
            <w:vAlign w:val="center"/>
            <w:hideMark/>
          </w:tcPr>
          <w:p w14:paraId="11CCD0E7" w14:textId="77777777" w:rsidR="00BC5138" w:rsidRPr="00B7483D" w:rsidRDefault="00BC5138" w:rsidP="00BC5138">
            <w:pPr>
              <w:spacing w:after="0" w:line="240" w:lineRule="auto"/>
              <w:jc w:val="center"/>
              <w:rPr>
                <w:rFonts w:ascii="Calibri" w:eastAsia="Times New Roman" w:hAnsi="Calibri" w:cs="Times New Roman"/>
                <w:sz w:val="24"/>
                <w:szCs w:val="24"/>
                <w:lang w:eastAsia="pt-BR"/>
              </w:rPr>
            </w:pPr>
            <w:r w:rsidRPr="00B7483D">
              <w:rPr>
                <w:rFonts w:ascii="Calibri" w:eastAsia="Times New Roman" w:hAnsi="Calibri" w:cs="Times New Roman"/>
                <w:sz w:val="24"/>
                <w:szCs w:val="24"/>
                <w:lang w:eastAsia="pt-BR"/>
              </w:rPr>
              <w:t>1</w:t>
            </w:r>
          </w:p>
        </w:tc>
        <w:tc>
          <w:tcPr>
            <w:tcW w:w="6248" w:type="dxa"/>
            <w:tcBorders>
              <w:top w:val="nil"/>
              <w:left w:val="nil"/>
              <w:bottom w:val="single" w:sz="4" w:space="0" w:color="auto"/>
              <w:right w:val="single" w:sz="4" w:space="0" w:color="auto"/>
            </w:tcBorders>
            <w:shd w:val="clear" w:color="auto" w:fill="auto"/>
            <w:vAlign w:val="center"/>
            <w:hideMark/>
          </w:tcPr>
          <w:p w14:paraId="7976F027" w14:textId="77777777" w:rsidR="00BC5138" w:rsidRPr="00B7483D" w:rsidRDefault="00BC5138" w:rsidP="00BC5138">
            <w:pPr>
              <w:spacing w:after="0" w:line="240" w:lineRule="auto"/>
              <w:jc w:val="both"/>
              <w:rPr>
                <w:rFonts w:ascii="Calibri" w:eastAsia="Times New Roman" w:hAnsi="Calibri" w:cs="Times New Roman"/>
                <w:sz w:val="24"/>
                <w:szCs w:val="24"/>
                <w:lang w:eastAsia="pt-BR"/>
              </w:rPr>
            </w:pPr>
            <w:r w:rsidRPr="00B7483D">
              <w:rPr>
                <w:rFonts w:ascii="Calibri" w:eastAsia="Times New Roman" w:hAnsi="Calibri" w:cs="Times New Roman"/>
                <w:sz w:val="24"/>
                <w:szCs w:val="24"/>
                <w:lang w:eastAsia="pt-BR"/>
              </w:rPr>
              <w:t>Renda Fixa – Títulos do Tesouro Nacional (Selic), fundos de investimentos 100% em Títulos do Tesouro Nacional (condomínio aberto) e cotas de fundos de investimento em índice de mercado de renda fixa, negociáveis em bolsa de valores, cuja carteira seja composta exclusivamente por títulos públicos federais</w:t>
            </w:r>
          </w:p>
        </w:tc>
        <w:tc>
          <w:tcPr>
            <w:tcW w:w="2409" w:type="dxa"/>
            <w:tcBorders>
              <w:top w:val="nil"/>
              <w:left w:val="nil"/>
              <w:bottom w:val="single" w:sz="4" w:space="0" w:color="auto"/>
              <w:right w:val="single" w:sz="4" w:space="0" w:color="auto"/>
            </w:tcBorders>
            <w:shd w:val="clear" w:color="auto" w:fill="auto"/>
            <w:noWrap/>
            <w:vAlign w:val="center"/>
            <w:hideMark/>
          </w:tcPr>
          <w:p w14:paraId="62E7F7E2" w14:textId="77777777" w:rsidR="00BC5138" w:rsidRPr="00B7483D" w:rsidRDefault="00BC5138" w:rsidP="00BC5138">
            <w:pPr>
              <w:spacing w:after="0" w:line="240" w:lineRule="auto"/>
              <w:jc w:val="center"/>
              <w:rPr>
                <w:rFonts w:ascii="Calibri" w:eastAsia="Times New Roman" w:hAnsi="Calibri" w:cs="Times New Roman"/>
                <w:sz w:val="24"/>
                <w:szCs w:val="24"/>
                <w:lang w:eastAsia="pt-BR"/>
              </w:rPr>
            </w:pPr>
            <w:r w:rsidRPr="00B7483D">
              <w:rPr>
                <w:rFonts w:ascii="Calibri" w:eastAsia="Times New Roman" w:hAnsi="Calibri" w:cs="Times New Roman"/>
                <w:sz w:val="24"/>
                <w:szCs w:val="24"/>
                <w:lang w:eastAsia="pt-BR"/>
              </w:rPr>
              <w:t>Art. 7º, I, a, b e c</w:t>
            </w:r>
          </w:p>
        </w:tc>
      </w:tr>
      <w:tr w:rsidR="00BC5138" w:rsidRPr="00BC5138" w14:paraId="4F2FA4D6" w14:textId="77777777" w:rsidTr="00BC5138">
        <w:trPr>
          <w:trHeight w:val="630"/>
        </w:trPr>
        <w:tc>
          <w:tcPr>
            <w:tcW w:w="977" w:type="dxa"/>
            <w:tcBorders>
              <w:top w:val="nil"/>
              <w:left w:val="single" w:sz="4" w:space="0" w:color="auto"/>
              <w:bottom w:val="single" w:sz="4" w:space="0" w:color="auto"/>
              <w:right w:val="single" w:sz="4" w:space="0" w:color="auto"/>
            </w:tcBorders>
            <w:shd w:val="clear" w:color="auto" w:fill="auto"/>
            <w:noWrap/>
            <w:vAlign w:val="center"/>
            <w:hideMark/>
          </w:tcPr>
          <w:p w14:paraId="21922264" w14:textId="77777777" w:rsidR="00BC5138" w:rsidRPr="00B7483D" w:rsidRDefault="00BC5138" w:rsidP="00BC5138">
            <w:pPr>
              <w:spacing w:after="0" w:line="240" w:lineRule="auto"/>
              <w:jc w:val="center"/>
              <w:rPr>
                <w:rFonts w:ascii="Calibri" w:eastAsia="Times New Roman" w:hAnsi="Calibri" w:cs="Times New Roman"/>
                <w:sz w:val="24"/>
                <w:szCs w:val="24"/>
                <w:lang w:eastAsia="pt-BR"/>
              </w:rPr>
            </w:pPr>
            <w:r w:rsidRPr="00B7483D">
              <w:rPr>
                <w:rFonts w:ascii="Calibri" w:eastAsia="Times New Roman" w:hAnsi="Calibri" w:cs="Times New Roman"/>
                <w:sz w:val="24"/>
                <w:szCs w:val="24"/>
                <w:lang w:eastAsia="pt-BR"/>
              </w:rPr>
              <w:t>2</w:t>
            </w:r>
          </w:p>
        </w:tc>
        <w:tc>
          <w:tcPr>
            <w:tcW w:w="6248" w:type="dxa"/>
            <w:tcBorders>
              <w:top w:val="nil"/>
              <w:left w:val="nil"/>
              <w:bottom w:val="single" w:sz="4" w:space="0" w:color="auto"/>
              <w:right w:val="single" w:sz="4" w:space="0" w:color="auto"/>
            </w:tcBorders>
            <w:shd w:val="clear" w:color="auto" w:fill="auto"/>
            <w:vAlign w:val="center"/>
            <w:hideMark/>
          </w:tcPr>
          <w:p w14:paraId="7E3E1AE2" w14:textId="77777777" w:rsidR="00BC5138" w:rsidRPr="00B7483D" w:rsidRDefault="00BC5138" w:rsidP="00BC5138">
            <w:pPr>
              <w:spacing w:after="0" w:line="240" w:lineRule="auto"/>
              <w:jc w:val="both"/>
              <w:rPr>
                <w:rFonts w:ascii="Calibri" w:eastAsia="Times New Roman" w:hAnsi="Calibri" w:cs="Times New Roman"/>
                <w:sz w:val="24"/>
                <w:szCs w:val="24"/>
                <w:lang w:eastAsia="pt-BR"/>
              </w:rPr>
            </w:pPr>
            <w:r w:rsidRPr="00B7483D">
              <w:rPr>
                <w:rFonts w:ascii="Calibri" w:eastAsia="Times New Roman" w:hAnsi="Calibri" w:cs="Times New Roman"/>
                <w:sz w:val="24"/>
                <w:szCs w:val="24"/>
                <w:lang w:eastAsia="pt-BR"/>
              </w:rPr>
              <w:t>Renda Fixa – Operações compromissadas lastreadas em Títulos do Tesouro Nacional</w:t>
            </w:r>
          </w:p>
        </w:tc>
        <w:tc>
          <w:tcPr>
            <w:tcW w:w="2409" w:type="dxa"/>
            <w:tcBorders>
              <w:top w:val="nil"/>
              <w:left w:val="nil"/>
              <w:bottom w:val="single" w:sz="4" w:space="0" w:color="auto"/>
              <w:right w:val="single" w:sz="4" w:space="0" w:color="auto"/>
            </w:tcBorders>
            <w:shd w:val="clear" w:color="auto" w:fill="auto"/>
            <w:noWrap/>
            <w:vAlign w:val="center"/>
            <w:hideMark/>
          </w:tcPr>
          <w:p w14:paraId="2F9A5806" w14:textId="77777777" w:rsidR="00BC5138" w:rsidRPr="00B7483D" w:rsidRDefault="00BC5138" w:rsidP="00BC5138">
            <w:pPr>
              <w:spacing w:after="0" w:line="240" w:lineRule="auto"/>
              <w:jc w:val="center"/>
              <w:rPr>
                <w:rFonts w:ascii="Calibri" w:eastAsia="Times New Roman" w:hAnsi="Calibri" w:cs="Times New Roman"/>
                <w:sz w:val="24"/>
                <w:szCs w:val="24"/>
                <w:lang w:eastAsia="pt-BR"/>
              </w:rPr>
            </w:pPr>
            <w:r w:rsidRPr="00B7483D">
              <w:rPr>
                <w:rFonts w:ascii="Calibri" w:eastAsia="Times New Roman" w:hAnsi="Calibri" w:cs="Times New Roman"/>
                <w:sz w:val="24"/>
                <w:szCs w:val="24"/>
                <w:lang w:eastAsia="pt-BR"/>
              </w:rPr>
              <w:t>Art. 7º, II</w:t>
            </w:r>
          </w:p>
        </w:tc>
      </w:tr>
      <w:tr w:rsidR="00BC5138" w:rsidRPr="00BC5138" w14:paraId="539F0F30" w14:textId="77777777" w:rsidTr="00BC5138">
        <w:trPr>
          <w:trHeight w:val="2205"/>
        </w:trPr>
        <w:tc>
          <w:tcPr>
            <w:tcW w:w="977" w:type="dxa"/>
            <w:tcBorders>
              <w:top w:val="nil"/>
              <w:left w:val="single" w:sz="4" w:space="0" w:color="auto"/>
              <w:bottom w:val="single" w:sz="4" w:space="0" w:color="auto"/>
              <w:right w:val="single" w:sz="4" w:space="0" w:color="auto"/>
            </w:tcBorders>
            <w:shd w:val="clear" w:color="auto" w:fill="auto"/>
            <w:noWrap/>
            <w:vAlign w:val="center"/>
            <w:hideMark/>
          </w:tcPr>
          <w:p w14:paraId="71D38A98" w14:textId="77777777" w:rsidR="00BC5138" w:rsidRPr="00B7483D" w:rsidRDefault="00BC5138" w:rsidP="00BC5138">
            <w:pPr>
              <w:spacing w:after="0" w:line="240" w:lineRule="auto"/>
              <w:jc w:val="center"/>
              <w:rPr>
                <w:rFonts w:ascii="Calibri" w:eastAsia="Times New Roman" w:hAnsi="Calibri" w:cs="Times New Roman"/>
                <w:sz w:val="24"/>
                <w:szCs w:val="24"/>
                <w:lang w:eastAsia="pt-BR"/>
              </w:rPr>
            </w:pPr>
            <w:r w:rsidRPr="00B7483D">
              <w:rPr>
                <w:rFonts w:ascii="Calibri" w:eastAsia="Times New Roman" w:hAnsi="Calibri" w:cs="Times New Roman"/>
                <w:sz w:val="24"/>
                <w:szCs w:val="24"/>
                <w:lang w:eastAsia="pt-BR"/>
              </w:rPr>
              <w:t>3</w:t>
            </w:r>
          </w:p>
        </w:tc>
        <w:tc>
          <w:tcPr>
            <w:tcW w:w="6248" w:type="dxa"/>
            <w:tcBorders>
              <w:top w:val="nil"/>
              <w:left w:val="nil"/>
              <w:bottom w:val="single" w:sz="4" w:space="0" w:color="auto"/>
              <w:right w:val="single" w:sz="4" w:space="0" w:color="auto"/>
            </w:tcBorders>
            <w:shd w:val="clear" w:color="auto" w:fill="auto"/>
            <w:vAlign w:val="center"/>
            <w:hideMark/>
          </w:tcPr>
          <w:p w14:paraId="5B78D5CA" w14:textId="77777777" w:rsidR="00BC5138" w:rsidRPr="00B7483D" w:rsidRDefault="00BC5138" w:rsidP="00BC5138">
            <w:pPr>
              <w:spacing w:after="0" w:line="240" w:lineRule="auto"/>
              <w:jc w:val="both"/>
              <w:rPr>
                <w:rFonts w:ascii="Calibri" w:eastAsia="Times New Roman" w:hAnsi="Calibri" w:cs="Times New Roman"/>
                <w:sz w:val="24"/>
                <w:szCs w:val="24"/>
                <w:lang w:eastAsia="pt-BR"/>
              </w:rPr>
            </w:pPr>
            <w:r w:rsidRPr="00B7483D">
              <w:rPr>
                <w:rFonts w:ascii="Calibri" w:eastAsia="Times New Roman" w:hAnsi="Calibri" w:cs="Times New Roman"/>
                <w:sz w:val="24"/>
                <w:szCs w:val="24"/>
                <w:lang w:eastAsia="pt-BR"/>
              </w:rPr>
              <w:t>Renda Fixa – Fundos de investimento classificados como renda fixa com sufixo "referenciado" (fundos de renda fixa), constituidos na forma de condomínio aberto, ou referenciados em indicadores de desempenho de renda fixa (fundos de índice de renda fixa), cuja carteira seja composta por títulos não atrelados à taxa de juros de um dia, conforme regulamentação estabelecida pela CVM</w:t>
            </w:r>
          </w:p>
        </w:tc>
        <w:tc>
          <w:tcPr>
            <w:tcW w:w="2409" w:type="dxa"/>
            <w:tcBorders>
              <w:top w:val="nil"/>
              <w:left w:val="nil"/>
              <w:bottom w:val="single" w:sz="4" w:space="0" w:color="auto"/>
              <w:right w:val="single" w:sz="4" w:space="0" w:color="auto"/>
            </w:tcBorders>
            <w:shd w:val="clear" w:color="auto" w:fill="auto"/>
            <w:noWrap/>
            <w:vAlign w:val="center"/>
            <w:hideMark/>
          </w:tcPr>
          <w:p w14:paraId="45AE87DD" w14:textId="77777777" w:rsidR="00BC5138" w:rsidRPr="00B7483D" w:rsidRDefault="00BC5138" w:rsidP="00BC5138">
            <w:pPr>
              <w:spacing w:after="0" w:line="240" w:lineRule="auto"/>
              <w:jc w:val="center"/>
              <w:rPr>
                <w:rFonts w:ascii="Calibri" w:eastAsia="Times New Roman" w:hAnsi="Calibri" w:cs="Times New Roman"/>
                <w:sz w:val="24"/>
                <w:szCs w:val="24"/>
                <w:lang w:eastAsia="pt-BR"/>
              </w:rPr>
            </w:pPr>
            <w:r w:rsidRPr="00B7483D">
              <w:rPr>
                <w:rFonts w:ascii="Calibri" w:eastAsia="Times New Roman" w:hAnsi="Calibri" w:cs="Times New Roman"/>
                <w:sz w:val="24"/>
                <w:szCs w:val="24"/>
                <w:lang w:eastAsia="pt-BR"/>
              </w:rPr>
              <w:t>Art. 7º, III, a e b</w:t>
            </w:r>
          </w:p>
        </w:tc>
      </w:tr>
      <w:tr w:rsidR="00BC5138" w:rsidRPr="00BC5138" w14:paraId="7E8F2E3A" w14:textId="77777777" w:rsidTr="00BC5138">
        <w:trPr>
          <w:trHeight w:val="1365"/>
        </w:trPr>
        <w:tc>
          <w:tcPr>
            <w:tcW w:w="977" w:type="dxa"/>
            <w:tcBorders>
              <w:top w:val="nil"/>
              <w:left w:val="single" w:sz="4" w:space="0" w:color="auto"/>
              <w:bottom w:val="single" w:sz="4" w:space="0" w:color="auto"/>
              <w:right w:val="single" w:sz="4" w:space="0" w:color="auto"/>
            </w:tcBorders>
            <w:shd w:val="clear" w:color="auto" w:fill="auto"/>
            <w:noWrap/>
            <w:vAlign w:val="center"/>
            <w:hideMark/>
          </w:tcPr>
          <w:p w14:paraId="18167F7A" w14:textId="77777777" w:rsidR="00BC5138" w:rsidRPr="00B7483D" w:rsidRDefault="00BC5138" w:rsidP="00BC5138">
            <w:pPr>
              <w:spacing w:after="0" w:line="240" w:lineRule="auto"/>
              <w:jc w:val="center"/>
              <w:rPr>
                <w:rFonts w:ascii="Calibri" w:eastAsia="Times New Roman" w:hAnsi="Calibri" w:cs="Times New Roman"/>
                <w:sz w:val="24"/>
                <w:szCs w:val="24"/>
                <w:lang w:eastAsia="pt-BR"/>
              </w:rPr>
            </w:pPr>
            <w:r w:rsidRPr="00B7483D">
              <w:rPr>
                <w:rFonts w:ascii="Calibri" w:eastAsia="Times New Roman" w:hAnsi="Calibri" w:cs="Times New Roman"/>
                <w:sz w:val="24"/>
                <w:szCs w:val="24"/>
                <w:lang w:eastAsia="pt-BR"/>
              </w:rPr>
              <w:t>4</w:t>
            </w:r>
          </w:p>
        </w:tc>
        <w:tc>
          <w:tcPr>
            <w:tcW w:w="6248" w:type="dxa"/>
            <w:tcBorders>
              <w:top w:val="nil"/>
              <w:left w:val="nil"/>
              <w:bottom w:val="single" w:sz="4" w:space="0" w:color="auto"/>
              <w:right w:val="single" w:sz="4" w:space="0" w:color="auto"/>
            </w:tcBorders>
            <w:shd w:val="clear" w:color="auto" w:fill="auto"/>
            <w:vAlign w:val="center"/>
            <w:hideMark/>
          </w:tcPr>
          <w:p w14:paraId="32253966" w14:textId="77777777" w:rsidR="00BC5138" w:rsidRPr="00B7483D" w:rsidRDefault="00BC5138" w:rsidP="00BC5138">
            <w:pPr>
              <w:spacing w:after="0" w:line="240" w:lineRule="auto"/>
              <w:jc w:val="both"/>
              <w:rPr>
                <w:rFonts w:ascii="Calibri" w:eastAsia="Times New Roman" w:hAnsi="Calibri" w:cs="Times New Roman"/>
                <w:sz w:val="24"/>
                <w:szCs w:val="24"/>
                <w:lang w:eastAsia="pt-BR"/>
              </w:rPr>
            </w:pPr>
            <w:r w:rsidRPr="00B7483D">
              <w:rPr>
                <w:rFonts w:ascii="Calibri" w:eastAsia="Times New Roman" w:hAnsi="Calibri" w:cs="Times New Roman"/>
                <w:sz w:val="24"/>
                <w:szCs w:val="24"/>
                <w:lang w:eastAsia="pt-BR"/>
              </w:rPr>
              <w:t>Renda Fixa – Fundos de investimento classificados como renda fixa, constituidos na forma de condomínio aberto, ou referenciados em indicadores de desempenho de renda fixa (fundos de índice de renda fixa)</w:t>
            </w:r>
          </w:p>
        </w:tc>
        <w:tc>
          <w:tcPr>
            <w:tcW w:w="2409" w:type="dxa"/>
            <w:tcBorders>
              <w:top w:val="nil"/>
              <w:left w:val="nil"/>
              <w:bottom w:val="single" w:sz="4" w:space="0" w:color="auto"/>
              <w:right w:val="single" w:sz="4" w:space="0" w:color="auto"/>
            </w:tcBorders>
            <w:shd w:val="clear" w:color="auto" w:fill="auto"/>
            <w:noWrap/>
            <w:vAlign w:val="center"/>
            <w:hideMark/>
          </w:tcPr>
          <w:p w14:paraId="5917BBDF" w14:textId="77777777" w:rsidR="00BC5138" w:rsidRPr="00B7483D" w:rsidRDefault="00BC5138" w:rsidP="00BC5138">
            <w:pPr>
              <w:spacing w:after="0" w:line="240" w:lineRule="auto"/>
              <w:jc w:val="center"/>
              <w:rPr>
                <w:rFonts w:ascii="Calibri" w:eastAsia="Times New Roman" w:hAnsi="Calibri" w:cs="Times New Roman"/>
                <w:sz w:val="24"/>
                <w:szCs w:val="24"/>
                <w:lang w:eastAsia="pt-BR"/>
              </w:rPr>
            </w:pPr>
            <w:r w:rsidRPr="00B7483D">
              <w:rPr>
                <w:rFonts w:ascii="Calibri" w:eastAsia="Times New Roman" w:hAnsi="Calibri" w:cs="Times New Roman"/>
                <w:sz w:val="24"/>
                <w:szCs w:val="24"/>
                <w:lang w:eastAsia="pt-BR"/>
              </w:rPr>
              <w:t>Art. 7º, IV, a e b</w:t>
            </w:r>
          </w:p>
        </w:tc>
      </w:tr>
      <w:tr w:rsidR="00BC5138" w:rsidRPr="00BC5138" w14:paraId="6681AAE3" w14:textId="77777777" w:rsidTr="00BC5138">
        <w:trPr>
          <w:trHeight w:val="315"/>
        </w:trPr>
        <w:tc>
          <w:tcPr>
            <w:tcW w:w="977" w:type="dxa"/>
            <w:tcBorders>
              <w:top w:val="nil"/>
              <w:left w:val="single" w:sz="4" w:space="0" w:color="auto"/>
              <w:bottom w:val="single" w:sz="4" w:space="0" w:color="auto"/>
              <w:right w:val="single" w:sz="4" w:space="0" w:color="auto"/>
            </w:tcBorders>
            <w:shd w:val="clear" w:color="auto" w:fill="auto"/>
            <w:noWrap/>
            <w:vAlign w:val="center"/>
            <w:hideMark/>
          </w:tcPr>
          <w:p w14:paraId="55ED6D91" w14:textId="77777777" w:rsidR="00BC5138" w:rsidRPr="00B7483D" w:rsidRDefault="00BC5138" w:rsidP="00BC5138">
            <w:pPr>
              <w:spacing w:after="0" w:line="240" w:lineRule="auto"/>
              <w:jc w:val="center"/>
              <w:rPr>
                <w:rFonts w:ascii="Calibri" w:eastAsia="Times New Roman" w:hAnsi="Calibri" w:cs="Times New Roman"/>
                <w:sz w:val="24"/>
                <w:szCs w:val="24"/>
                <w:lang w:eastAsia="pt-BR"/>
              </w:rPr>
            </w:pPr>
            <w:r w:rsidRPr="00B7483D">
              <w:rPr>
                <w:rFonts w:ascii="Calibri" w:eastAsia="Times New Roman" w:hAnsi="Calibri" w:cs="Times New Roman"/>
                <w:sz w:val="24"/>
                <w:szCs w:val="24"/>
                <w:lang w:eastAsia="pt-BR"/>
              </w:rPr>
              <w:t>5</w:t>
            </w:r>
          </w:p>
        </w:tc>
        <w:tc>
          <w:tcPr>
            <w:tcW w:w="6248" w:type="dxa"/>
            <w:tcBorders>
              <w:top w:val="nil"/>
              <w:left w:val="nil"/>
              <w:bottom w:val="single" w:sz="4" w:space="0" w:color="auto"/>
              <w:right w:val="single" w:sz="4" w:space="0" w:color="auto"/>
            </w:tcBorders>
            <w:shd w:val="clear" w:color="auto" w:fill="auto"/>
            <w:vAlign w:val="center"/>
            <w:hideMark/>
          </w:tcPr>
          <w:p w14:paraId="10912F51" w14:textId="77777777" w:rsidR="00BC5138" w:rsidRPr="00B7483D" w:rsidRDefault="00BC5138" w:rsidP="00BC5138">
            <w:pPr>
              <w:spacing w:after="0" w:line="240" w:lineRule="auto"/>
              <w:jc w:val="both"/>
              <w:rPr>
                <w:rFonts w:ascii="Calibri" w:eastAsia="Times New Roman" w:hAnsi="Calibri" w:cs="Times New Roman"/>
                <w:sz w:val="24"/>
                <w:szCs w:val="24"/>
                <w:lang w:eastAsia="pt-BR"/>
              </w:rPr>
            </w:pPr>
            <w:r w:rsidRPr="00B7483D">
              <w:rPr>
                <w:rFonts w:ascii="Calibri" w:eastAsia="Times New Roman" w:hAnsi="Calibri" w:cs="Times New Roman"/>
                <w:sz w:val="24"/>
                <w:szCs w:val="24"/>
                <w:lang w:eastAsia="pt-BR"/>
              </w:rPr>
              <w:t>Renda Fixa – Letras Imobiliárias Garantidas</w:t>
            </w:r>
          </w:p>
        </w:tc>
        <w:tc>
          <w:tcPr>
            <w:tcW w:w="2409" w:type="dxa"/>
            <w:tcBorders>
              <w:top w:val="nil"/>
              <w:left w:val="nil"/>
              <w:bottom w:val="single" w:sz="4" w:space="0" w:color="auto"/>
              <w:right w:val="single" w:sz="4" w:space="0" w:color="auto"/>
            </w:tcBorders>
            <w:shd w:val="clear" w:color="auto" w:fill="auto"/>
            <w:noWrap/>
            <w:vAlign w:val="center"/>
            <w:hideMark/>
          </w:tcPr>
          <w:p w14:paraId="2CD0EF86" w14:textId="77777777" w:rsidR="00BC5138" w:rsidRPr="00B7483D" w:rsidRDefault="00BC5138" w:rsidP="00BC5138">
            <w:pPr>
              <w:spacing w:after="0" w:line="240" w:lineRule="auto"/>
              <w:jc w:val="center"/>
              <w:rPr>
                <w:rFonts w:ascii="Calibri" w:eastAsia="Times New Roman" w:hAnsi="Calibri" w:cs="Times New Roman"/>
                <w:sz w:val="24"/>
                <w:szCs w:val="24"/>
                <w:lang w:eastAsia="pt-BR"/>
              </w:rPr>
            </w:pPr>
            <w:r w:rsidRPr="00B7483D">
              <w:rPr>
                <w:rFonts w:ascii="Calibri" w:eastAsia="Times New Roman" w:hAnsi="Calibri" w:cs="Times New Roman"/>
                <w:sz w:val="24"/>
                <w:szCs w:val="24"/>
                <w:lang w:eastAsia="pt-BR"/>
              </w:rPr>
              <w:t>Art. 7º, V, b</w:t>
            </w:r>
          </w:p>
        </w:tc>
      </w:tr>
      <w:tr w:rsidR="00BC5138" w:rsidRPr="00BC5138" w14:paraId="1E81BDD9" w14:textId="77777777" w:rsidTr="00BC5138">
        <w:trPr>
          <w:trHeight w:val="945"/>
        </w:trPr>
        <w:tc>
          <w:tcPr>
            <w:tcW w:w="977" w:type="dxa"/>
            <w:tcBorders>
              <w:top w:val="nil"/>
              <w:left w:val="single" w:sz="4" w:space="0" w:color="auto"/>
              <w:bottom w:val="single" w:sz="4" w:space="0" w:color="auto"/>
              <w:right w:val="single" w:sz="4" w:space="0" w:color="auto"/>
            </w:tcBorders>
            <w:shd w:val="clear" w:color="auto" w:fill="auto"/>
            <w:noWrap/>
            <w:vAlign w:val="center"/>
            <w:hideMark/>
          </w:tcPr>
          <w:p w14:paraId="1785C40C" w14:textId="77777777" w:rsidR="00BC5138" w:rsidRPr="00B7483D" w:rsidRDefault="00BC5138" w:rsidP="00BC5138">
            <w:pPr>
              <w:spacing w:after="0" w:line="240" w:lineRule="auto"/>
              <w:jc w:val="center"/>
              <w:rPr>
                <w:rFonts w:ascii="Calibri" w:eastAsia="Times New Roman" w:hAnsi="Calibri" w:cs="Times New Roman"/>
                <w:sz w:val="24"/>
                <w:szCs w:val="24"/>
                <w:lang w:eastAsia="pt-BR"/>
              </w:rPr>
            </w:pPr>
            <w:r w:rsidRPr="00B7483D">
              <w:rPr>
                <w:rFonts w:ascii="Calibri" w:eastAsia="Times New Roman" w:hAnsi="Calibri" w:cs="Times New Roman"/>
                <w:sz w:val="24"/>
                <w:szCs w:val="24"/>
                <w:lang w:eastAsia="pt-BR"/>
              </w:rPr>
              <w:t>6</w:t>
            </w:r>
          </w:p>
        </w:tc>
        <w:tc>
          <w:tcPr>
            <w:tcW w:w="6248" w:type="dxa"/>
            <w:tcBorders>
              <w:top w:val="nil"/>
              <w:left w:val="nil"/>
              <w:bottom w:val="single" w:sz="4" w:space="0" w:color="auto"/>
              <w:right w:val="single" w:sz="4" w:space="0" w:color="auto"/>
            </w:tcBorders>
            <w:shd w:val="clear" w:color="auto" w:fill="auto"/>
            <w:vAlign w:val="center"/>
            <w:hideMark/>
          </w:tcPr>
          <w:p w14:paraId="01BEC453" w14:textId="77777777" w:rsidR="00BC5138" w:rsidRPr="00B7483D" w:rsidRDefault="00BC5138" w:rsidP="00BC5138">
            <w:pPr>
              <w:spacing w:after="0" w:line="240" w:lineRule="auto"/>
              <w:jc w:val="both"/>
              <w:rPr>
                <w:rFonts w:ascii="Calibri" w:eastAsia="Times New Roman" w:hAnsi="Calibri" w:cs="Times New Roman"/>
                <w:sz w:val="24"/>
                <w:szCs w:val="24"/>
                <w:lang w:eastAsia="pt-BR"/>
              </w:rPr>
            </w:pPr>
            <w:r w:rsidRPr="00B7483D">
              <w:rPr>
                <w:rFonts w:ascii="Calibri" w:eastAsia="Times New Roman" w:hAnsi="Calibri" w:cs="Times New Roman"/>
                <w:sz w:val="24"/>
                <w:szCs w:val="24"/>
                <w:lang w:eastAsia="pt-BR"/>
              </w:rPr>
              <w:t>Renda Fixa – Certificado de Depósito Bancário (CDB) e depósito em poupança, limitado ao montante garantido pelo Fundo Garantidor de Créditos (FGC)</w:t>
            </w:r>
          </w:p>
        </w:tc>
        <w:tc>
          <w:tcPr>
            <w:tcW w:w="2409" w:type="dxa"/>
            <w:tcBorders>
              <w:top w:val="nil"/>
              <w:left w:val="nil"/>
              <w:bottom w:val="single" w:sz="4" w:space="0" w:color="auto"/>
              <w:right w:val="single" w:sz="4" w:space="0" w:color="auto"/>
            </w:tcBorders>
            <w:shd w:val="clear" w:color="auto" w:fill="auto"/>
            <w:noWrap/>
            <w:vAlign w:val="center"/>
            <w:hideMark/>
          </w:tcPr>
          <w:p w14:paraId="0E7E4DF7" w14:textId="77777777" w:rsidR="00BC5138" w:rsidRPr="00B7483D" w:rsidRDefault="00BC5138" w:rsidP="00BC5138">
            <w:pPr>
              <w:spacing w:after="0" w:line="240" w:lineRule="auto"/>
              <w:jc w:val="center"/>
              <w:rPr>
                <w:rFonts w:ascii="Calibri" w:eastAsia="Times New Roman" w:hAnsi="Calibri" w:cs="Times New Roman"/>
                <w:sz w:val="24"/>
                <w:szCs w:val="24"/>
                <w:lang w:eastAsia="pt-BR"/>
              </w:rPr>
            </w:pPr>
            <w:r w:rsidRPr="00B7483D">
              <w:rPr>
                <w:rFonts w:ascii="Calibri" w:eastAsia="Times New Roman" w:hAnsi="Calibri" w:cs="Times New Roman"/>
                <w:sz w:val="24"/>
                <w:szCs w:val="24"/>
                <w:lang w:eastAsia="pt-BR"/>
              </w:rPr>
              <w:t>Art. 7º, VI, a e b</w:t>
            </w:r>
          </w:p>
        </w:tc>
      </w:tr>
      <w:tr w:rsidR="00BC5138" w:rsidRPr="00BC5138" w14:paraId="7A1D8830" w14:textId="77777777" w:rsidTr="00BC5138">
        <w:trPr>
          <w:trHeight w:val="1890"/>
        </w:trPr>
        <w:tc>
          <w:tcPr>
            <w:tcW w:w="977" w:type="dxa"/>
            <w:tcBorders>
              <w:top w:val="nil"/>
              <w:left w:val="single" w:sz="4" w:space="0" w:color="auto"/>
              <w:bottom w:val="single" w:sz="4" w:space="0" w:color="auto"/>
              <w:right w:val="single" w:sz="4" w:space="0" w:color="auto"/>
            </w:tcBorders>
            <w:shd w:val="clear" w:color="auto" w:fill="auto"/>
            <w:noWrap/>
            <w:vAlign w:val="center"/>
            <w:hideMark/>
          </w:tcPr>
          <w:p w14:paraId="725CF264" w14:textId="77777777" w:rsidR="00BC5138" w:rsidRPr="00B7483D" w:rsidRDefault="00BC5138" w:rsidP="00BC5138">
            <w:pPr>
              <w:spacing w:after="0" w:line="240" w:lineRule="auto"/>
              <w:jc w:val="center"/>
              <w:rPr>
                <w:rFonts w:ascii="Calibri" w:eastAsia="Times New Roman" w:hAnsi="Calibri" w:cs="Times New Roman"/>
                <w:sz w:val="24"/>
                <w:szCs w:val="24"/>
                <w:lang w:eastAsia="pt-BR"/>
              </w:rPr>
            </w:pPr>
            <w:r w:rsidRPr="00B7483D">
              <w:rPr>
                <w:rFonts w:ascii="Calibri" w:eastAsia="Times New Roman" w:hAnsi="Calibri" w:cs="Times New Roman"/>
                <w:sz w:val="24"/>
                <w:szCs w:val="24"/>
                <w:lang w:eastAsia="pt-BR"/>
              </w:rPr>
              <w:t>7</w:t>
            </w:r>
          </w:p>
        </w:tc>
        <w:tc>
          <w:tcPr>
            <w:tcW w:w="6248" w:type="dxa"/>
            <w:tcBorders>
              <w:top w:val="nil"/>
              <w:left w:val="nil"/>
              <w:bottom w:val="single" w:sz="4" w:space="0" w:color="auto"/>
              <w:right w:val="single" w:sz="4" w:space="0" w:color="auto"/>
            </w:tcBorders>
            <w:shd w:val="clear" w:color="auto" w:fill="auto"/>
            <w:vAlign w:val="center"/>
            <w:hideMark/>
          </w:tcPr>
          <w:p w14:paraId="72CBC7E2" w14:textId="77777777" w:rsidR="00BC5138" w:rsidRPr="00B7483D" w:rsidRDefault="00BC5138" w:rsidP="00BC5138">
            <w:pPr>
              <w:spacing w:after="0" w:line="240" w:lineRule="auto"/>
              <w:jc w:val="both"/>
              <w:rPr>
                <w:rFonts w:ascii="Calibri" w:eastAsia="Times New Roman" w:hAnsi="Calibri" w:cs="Times New Roman"/>
                <w:sz w:val="24"/>
                <w:szCs w:val="24"/>
                <w:lang w:eastAsia="pt-BR"/>
              </w:rPr>
            </w:pPr>
            <w:r w:rsidRPr="00B7483D">
              <w:rPr>
                <w:rFonts w:ascii="Calibri" w:eastAsia="Times New Roman" w:hAnsi="Calibri" w:cs="Times New Roman"/>
                <w:sz w:val="24"/>
                <w:szCs w:val="24"/>
                <w:lang w:eastAsia="pt-BR"/>
              </w:rPr>
              <w:t>Renda Fixa – Fundos de investimento em direitos creditórios  (classe sênior), cotas de fundos de investimento classificados como renda fixa com sufixo “crédito privado” constituidos na forma de condomínio aberto e cotas de fundo de investimento de que trata o art. 3º da Lei nº 12.431, de 24 de junho de 2011</w:t>
            </w:r>
          </w:p>
        </w:tc>
        <w:tc>
          <w:tcPr>
            <w:tcW w:w="2409" w:type="dxa"/>
            <w:tcBorders>
              <w:top w:val="nil"/>
              <w:left w:val="nil"/>
              <w:bottom w:val="single" w:sz="4" w:space="0" w:color="auto"/>
              <w:right w:val="single" w:sz="4" w:space="0" w:color="auto"/>
            </w:tcBorders>
            <w:shd w:val="clear" w:color="auto" w:fill="auto"/>
            <w:noWrap/>
            <w:vAlign w:val="center"/>
            <w:hideMark/>
          </w:tcPr>
          <w:p w14:paraId="0EC01620" w14:textId="77777777" w:rsidR="00BC5138" w:rsidRPr="00B7483D" w:rsidRDefault="00BC5138" w:rsidP="00BC5138">
            <w:pPr>
              <w:spacing w:after="0" w:line="240" w:lineRule="auto"/>
              <w:jc w:val="center"/>
              <w:rPr>
                <w:rFonts w:ascii="Calibri" w:eastAsia="Times New Roman" w:hAnsi="Calibri" w:cs="Times New Roman"/>
                <w:sz w:val="24"/>
                <w:szCs w:val="24"/>
                <w:lang w:eastAsia="pt-BR"/>
              </w:rPr>
            </w:pPr>
            <w:r w:rsidRPr="00B7483D">
              <w:rPr>
                <w:rFonts w:ascii="Calibri" w:eastAsia="Times New Roman" w:hAnsi="Calibri" w:cs="Times New Roman"/>
                <w:sz w:val="24"/>
                <w:szCs w:val="24"/>
                <w:lang w:eastAsia="pt-BR"/>
              </w:rPr>
              <w:t>Art. 7º, VII, a, b e c</w:t>
            </w:r>
          </w:p>
        </w:tc>
      </w:tr>
      <w:tr w:rsidR="00BC5138" w:rsidRPr="00BC5138" w14:paraId="01863D52" w14:textId="77777777" w:rsidTr="00BC5138">
        <w:trPr>
          <w:trHeight w:val="2205"/>
        </w:trPr>
        <w:tc>
          <w:tcPr>
            <w:tcW w:w="977" w:type="dxa"/>
            <w:tcBorders>
              <w:top w:val="nil"/>
              <w:left w:val="single" w:sz="4" w:space="0" w:color="auto"/>
              <w:bottom w:val="single" w:sz="4" w:space="0" w:color="auto"/>
              <w:right w:val="single" w:sz="4" w:space="0" w:color="auto"/>
            </w:tcBorders>
            <w:shd w:val="clear" w:color="auto" w:fill="auto"/>
            <w:noWrap/>
            <w:vAlign w:val="center"/>
            <w:hideMark/>
          </w:tcPr>
          <w:p w14:paraId="59FE8CFA" w14:textId="77777777" w:rsidR="00BC5138" w:rsidRPr="00B7483D" w:rsidRDefault="00BC5138" w:rsidP="00BC5138">
            <w:pPr>
              <w:spacing w:after="0" w:line="240" w:lineRule="auto"/>
              <w:jc w:val="center"/>
              <w:rPr>
                <w:rFonts w:ascii="Calibri" w:eastAsia="Times New Roman" w:hAnsi="Calibri" w:cs="Times New Roman"/>
                <w:sz w:val="24"/>
                <w:szCs w:val="24"/>
                <w:lang w:eastAsia="pt-BR"/>
              </w:rPr>
            </w:pPr>
            <w:r w:rsidRPr="00B7483D">
              <w:rPr>
                <w:rFonts w:ascii="Calibri" w:eastAsia="Times New Roman" w:hAnsi="Calibri" w:cs="Times New Roman"/>
                <w:sz w:val="24"/>
                <w:szCs w:val="24"/>
                <w:lang w:eastAsia="pt-BR"/>
              </w:rPr>
              <w:t>8</w:t>
            </w:r>
          </w:p>
        </w:tc>
        <w:tc>
          <w:tcPr>
            <w:tcW w:w="6248" w:type="dxa"/>
            <w:tcBorders>
              <w:top w:val="nil"/>
              <w:left w:val="nil"/>
              <w:bottom w:val="single" w:sz="4" w:space="0" w:color="auto"/>
              <w:right w:val="single" w:sz="4" w:space="0" w:color="auto"/>
            </w:tcBorders>
            <w:shd w:val="clear" w:color="auto" w:fill="auto"/>
            <w:vAlign w:val="center"/>
            <w:hideMark/>
          </w:tcPr>
          <w:p w14:paraId="15733042" w14:textId="77777777" w:rsidR="00BC5138" w:rsidRPr="00B7483D" w:rsidRDefault="00BC5138" w:rsidP="00BC5138">
            <w:pPr>
              <w:spacing w:after="0" w:line="240" w:lineRule="auto"/>
              <w:jc w:val="both"/>
              <w:rPr>
                <w:rFonts w:ascii="Calibri" w:eastAsia="Times New Roman" w:hAnsi="Calibri" w:cs="Times New Roman"/>
                <w:sz w:val="24"/>
                <w:szCs w:val="24"/>
                <w:lang w:eastAsia="pt-BR"/>
              </w:rPr>
            </w:pPr>
            <w:r w:rsidRPr="00B7483D">
              <w:rPr>
                <w:rFonts w:ascii="Calibri" w:eastAsia="Times New Roman" w:hAnsi="Calibri" w:cs="Times New Roman"/>
                <w:sz w:val="24"/>
                <w:szCs w:val="24"/>
                <w:lang w:eastAsia="pt-BR"/>
              </w:rPr>
              <w:t>Renda Variável – Fundos de investimento classificados como ações ou fundos de investimento em índice de mercado de renda variável, negociáveis em bolsa de valores, compostos por, no mínimo, cinquenta ações, correspondentes bônus ou recibos de subscrição e de certificados de depósitos de tais ações, conforme regulamentação estabelecida pela CVM</w:t>
            </w:r>
          </w:p>
        </w:tc>
        <w:tc>
          <w:tcPr>
            <w:tcW w:w="2409" w:type="dxa"/>
            <w:tcBorders>
              <w:top w:val="nil"/>
              <w:left w:val="nil"/>
              <w:bottom w:val="single" w:sz="4" w:space="0" w:color="auto"/>
              <w:right w:val="single" w:sz="4" w:space="0" w:color="auto"/>
            </w:tcBorders>
            <w:shd w:val="clear" w:color="auto" w:fill="auto"/>
            <w:noWrap/>
            <w:vAlign w:val="center"/>
            <w:hideMark/>
          </w:tcPr>
          <w:p w14:paraId="7F0F1ADB" w14:textId="77777777" w:rsidR="00BC5138" w:rsidRPr="00B7483D" w:rsidRDefault="00BC5138" w:rsidP="00BC5138">
            <w:pPr>
              <w:spacing w:after="0" w:line="240" w:lineRule="auto"/>
              <w:jc w:val="center"/>
              <w:rPr>
                <w:rFonts w:ascii="Calibri" w:eastAsia="Times New Roman" w:hAnsi="Calibri" w:cs="Times New Roman"/>
                <w:sz w:val="24"/>
                <w:szCs w:val="24"/>
                <w:lang w:eastAsia="pt-BR"/>
              </w:rPr>
            </w:pPr>
            <w:r w:rsidRPr="00B7483D">
              <w:rPr>
                <w:rFonts w:ascii="Calibri" w:eastAsia="Times New Roman" w:hAnsi="Calibri" w:cs="Times New Roman"/>
                <w:sz w:val="24"/>
                <w:szCs w:val="24"/>
                <w:lang w:eastAsia="pt-BR"/>
              </w:rPr>
              <w:t>Art. 8º, I, a e b</w:t>
            </w:r>
          </w:p>
        </w:tc>
      </w:tr>
      <w:tr w:rsidR="00BC5138" w:rsidRPr="00BC5138" w14:paraId="511248A0" w14:textId="77777777" w:rsidTr="00BC5138">
        <w:trPr>
          <w:trHeight w:val="2205"/>
        </w:trPr>
        <w:tc>
          <w:tcPr>
            <w:tcW w:w="977" w:type="dxa"/>
            <w:tcBorders>
              <w:top w:val="nil"/>
              <w:left w:val="single" w:sz="4" w:space="0" w:color="auto"/>
              <w:bottom w:val="single" w:sz="4" w:space="0" w:color="auto"/>
              <w:right w:val="single" w:sz="4" w:space="0" w:color="auto"/>
            </w:tcBorders>
            <w:shd w:val="clear" w:color="auto" w:fill="auto"/>
            <w:noWrap/>
            <w:vAlign w:val="center"/>
            <w:hideMark/>
          </w:tcPr>
          <w:p w14:paraId="15EB2CB6" w14:textId="77777777" w:rsidR="00BC5138" w:rsidRPr="00B7483D" w:rsidRDefault="00BC5138" w:rsidP="00BC5138">
            <w:pPr>
              <w:spacing w:after="0" w:line="240" w:lineRule="auto"/>
              <w:jc w:val="center"/>
              <w:rPr>
                <w:rFonts w:ascii="Calibri" w:eastAsia="Times New Roman" w:hAnsi="Calibri" w:cs="Times New Roman"/>
                <w:sz w:val="24"/>
                <w:szCs w:val="24"/>
                <w:lang w:eastAsia="pt-BR"/>
              </w:rPr>
            </w:pPr>
            <w:r w:rsidRPr="00B7483D">
              <w:rPr>
                <w:rFonts w:ascii="Calibri" w:eastAsia="Times New Roman" w:hAnsi="Calibri" w:cs="Times New Roman"/>
                <w:sz w:val="24"/>
                <w:szCs w:val="24"/>
                <w:lang w:eastAsia="pt-BR"/>
              </w:rPr>
              <w:lastRenderedPageBreak/>
              <w:t>9</w:t>
            </w:r>
          </w:p>
        </w:tc>
        <w:tc>
          <w:tcPr>
            <w:tcW w:w="6248" w:type="dxa"/>
            <w:tcBorders>
              <w:top w:val="nil"/>
              <w:left w:val="nil"/>
              <w:bottom w:val="single" w:sz="4" w:space="0" w:color="auto"/>
              <w:right w:val="single" w:sz="4" w:space="0" w:color="auto"/>
            </w:tcBorders>
            <w:shd w:val="clear" w:color="auto" w:fill="auto"/>
            <w:vAlign w:val="center"/>
            <w:hideMark/>
          </w:tcPr>
          <w:p w14:paraId="7A1F0540" w14:textId="77777777" w:rsidR="00BC5138" w:rsidRPr="00B7483D" w:rsidRDefault="00BC5138" w:rsidP="00BC5138">
            <w:pPr>
              <w:spacing w:after="0" w:line="240" w:lineRule="auto"/>
              <w:jc w:val="both"/>
              <w:rPr>
                <w:rFonts w:ascii="Calibri" w:eastAsia="Times New Roman" w:hAnsi="Calibri" w:cs="Times New Roman"/>
                <w:sz w:val="24"/>
                <w:szCs w:val="24"/>
                <w:lang w:eastAsia="pt-BR"/>
              </w:rPr>
            </w:pPr>
            <w:r w:rsidRPr="00B7483D">
              <w:rPr>
                <w:rFonts w:ascii="Calibri" w:eastAsia="Times New Roman" w:hAnsi="Calibri" w:cs="Times New Roman"/>
                <w:sz w:val="24"/>
                <w:szCs w:val="24"/>
                <w:lang w:eastAsia="pt-BR"/>
              </w:rPr>
              <w:t>Renda Variável – Cotas de fundos de investimento classificados como ações, constituídos sob a forma de condomínio aberto, ou cotas de fundos de investimento em índice de mercado variável, negociáveis em bolsa de valores, cujas carteiras sejam compostas por ativos financeiros que busquem refletir as variações e rentabilidade de índices de renda variável</w:t>
            </w:r>
          </w:p>
        </w:tc>
        <w:tc>
          <w:tcPr>
            <w:tcW w:w="2409" w:type="dxa"/>
            <w:tcBorders>
              <w:top w:val="nil"/>
              <w:left w:val="nil"/>
              <w:bottom w:val="single" w:sz="4" w:space="0" w:color="auto"/>
              <w:right w:val="single" w:sz="4" w:space="0" w:color="auto"/>
            </w:tcBorders>
            <w:shd w:val="clear" w:color="auto" w:fill="auto"/>
            <w:noWrap/>
            <w:vAlign w:val="center"/>
            <w:hideMark/>
          </w:tcPr>
          <w:p w14:paraId="13196A5E" w14:textId="77777777" w:rsidR="00BC5138" w:rsidRPr="00B7483D" w:rsidRDefault="00BC5138" w:rsidP="00BC5138">
            <w:pPr>
              <w:spacing w:after="0" w:line="240" w:lineRule="auto"/>
              <w:jc w:val="center"/>
              <w:rPr>
                <w:rFonts w:ascii="Calibri" w:eastAsia="Times New Roman" w:hAnsi="Calibri" w:cs="Times New Roman"/>
                <w:sz w:val="24"/>
                <w:szCs w:val="24"/>
                <w:lang w:eastAsia="pt-BR"/>
              </w:rPr>
            </w:pPr>
            <w:r w:rsidRPr="00B7483D">
              <w:rPr>
                <w:rFonts w:ascii="Calibri" w:eastAsia="Times New Roman" w:hAnsi="Calibri" w:cs="Times New Roman"/>
                <w:sz w:val="24"/>
                <w:szCs w:val="24"/>
                <w:lang w:eastAsia="pt-BR"/>
              </w:rPr>
              <w:t>Art. 8º, II, a e b</w:t>
            </w:r>
          </w:p>
        </w:tc>
      </w:tr>
      <w:tr w:rsidR="00BC5138" w:rsidRPr="00BC5138" w14:paraId="678FC590" w14:textId="77777777" w:rsidTr="00BC5138">
        <w:trPr>
          <w:trHeight w:val="1260"/>
        </w:trPr>
        <w:tc>
          <w:tcPr>
            <w:tcW w:w="977" w:type="dxa"/>
            <w:tcBorders>
              <w:top w:val="nil"/>
              <w:left w:val="single" w:sz="4" w:space="0" w:color="auto"/>
              <w:bottom w:val="single" w:sz="4" w:space="0" w:color="auto"/>
              <w:right w:val="single" w:sz="4" w:space="0" w:color="auto"/>
            </w:tcBorders>
            <w:shd w:val="clear" w:color="auto" w:fill="auto"/>
            <w:noWrap/>
            <w:vAlign w:val="center"/>
            <w:hideMark/>
          </w:tcPr>
          <w:p w14:paraId="45790FF8" w14:textId="77777777" w:rsidR="00BC5138" w:rsidRPr="00B7483D" w:rsidRDefault="00BC5138" w:rsidP="00BC5138">
            <w:pPr>
              <w:spacing w:after="0" w:line="240" w:lineRule="auto"/>
              <w:jc w:val="center"/>
              <w:rPr>
                <w:rFonts w:ascii="Calibri" w:eastAsia="Times New Roman" w:hAnsi="Calibri" w:cs="Times New Roman"/>
                <w:sz w:val="24"/>
                <w:szCs w:val="24"/>
                <w:lang w:eastAsia="pt-BR"/>
              </w:rPr>
            </w:pPr>
            <w:r w:rsidRPr="00B7483D">
              <w:rPr>
                <w:rFonts w:ascii="Calibri" w:eastAsia="Times New Roman" w:hAnsi="Calibri" w:cs="Times New Roman"/>
                <w:sz w:val="24"/>
                <w:szCs w:val="24"/>
                <w:lang w:eastAsia="pt-BR"/>
              </w:rPr>
              <w:t>10</w:t>
            </w:r>
          </w:p>
        </w:tc>
        <w:tc>
          <w:tcPr>
            <w:tcW w:w="6248" w:type="dxa"/>
            <w:tcBorders>
              <w:top w:val="nil"/>
              <w:left w:val="nil"/>
              <w:bottom w:val="single" w:sz="4" w:space="0" w:color="auto"/>
              <w:right w:val="single" w:sz="4" w:space="0" w:color="auto"/>
            </w:tcBorders>
            <w:shd w:val="clear" w:color="auto" w:fill="auto"/>
            <w:vAlign w:val="center"/>
            <w:hideMark/>
          </w:tcPr>
          <w:p w14:paraId="506681DF" w14:textId="77777777" w:rsidR="00BC5138" w:rsidRPr="00B7483D" w:rsidRDefault="00BC5138" w:rsidP="00BC5138">
            <w:pPr>
              <w:spacing w:after="0" w:line="240" w:lineRule="auto"/>
              <w:jc w:val="both"/>
              <w:rPr>
                <w:rFonts w:ascii="Calibri" w:eastAsia="Times New Roman" w:hAnsi="Calibri" w:cs="Times New Roman"/>
                <w:sz w:val="24"/>
                <w:szCs w:val="24"/>
                <w:lang w:eastAsia="pt-BR"/>
              </w:rPr>
            </w:pPr>
            <w:r w:rsidRPr="00B7483D">
              <w:rPr>
                <w:rFonts w:ascii="Calibri" w:eastAsia="Times New Roman" w:hAnsi="Calibri" w:cs="Times New Roman"/>
                <w:sz w:val="24"/>
                <w:szCs w:val="24"/>
                <w:lang w:eastAsia="pt-BR"/>
              </w:rPr>
              <w:t>Renda Variável – Fundos de Investimento classificados como multimercado, constituídos sob a forma de condomínio aberto, cujos regulamentos determinem tratar-se de fundos sem alavancagem</w:t>
            </w:r>
          </w:p>
        </w:tc>
        <w:tc>
          <w:tcPr>
            <w:tcW w:w="2409" w:type="dxa"/>
            <w:tcBorders>
              <w:top w:val="nil"/>
              <w:left w:val="nil"/>
              <w:bottom w:val="single" w:sz="4" w:space="0" w:color="auto"/>
              <w:right w:val="single" w:sz="4" w:space="0" w:color="auto"/>
            </w:tcBorders>
            <w:shd w:val="clear" w:color="auto" w:fill="auto"/>
            <w:noWrap/>
            <w:vAlign w:val="center"/>
            <w:hideMark/>
          </w:tcPr>
          <w:p w14:paraId="07912D9E" w14:textId="77777777" w:rsidR="00BC5138" w:rsidRPr="00B7483D" w:rsidRDefault="00BC5138" w:rsidP="00BC5138">
            <w:pPr>
              <w:spacing w:after="0" w:line="240" w:lineRule="auto"/>
              <w:jc w:val="center"/>
              <w:rPr>
                <w:rFonts w:ascii="Calibri" w:eastAsia="Times New Roman" w:hAnsi="Calibri" w:cs="Times New Roman"/>
                <w:sz w:val="24"/>
                <w:szCs w:val="24"/>
                <w:lang w:eastAsia="pt-BR"/>
              </w:rPr>
            </w:pPr>
            <w:r w:rsidRPr="00B7483D">
              <w:rPr>
                <w:rFonts w:ascii="Calibri" w:eastAsia="Times New Roman" w:hAnsi="Calibri" w:cs="Times New Roman"/>
                <w:sz w:val="24"/>
                <w:szCs w:val="24"/>
                <w:lang w:eastAsia="pt-BR"/>
              </w:rPr>
              <w:t>Art. 8º, III</w:t>
            </w:r>
          </w:p>
        </w:tc>
      </w:tr>
      <w:tr w:rsidR="00BC5138" w:rsidRPr="00BC5138" w14:paraId="36776C24" w14:textId="77777777" w:rsidTr="00BC5138">
        <w:trPr>
          <w:trHeight w:val="1575"/>
        </w:trPr>
        <w:tc>
          <w:tcPr>
            <w:tcW w:w="977" w:type="dxa"/>
            <w:tcBorders>
              <w:top w:val="nil"/>
              <w:left w:val="single" w:sz="4" w:space="0" w:color="auto"/>
              <w:bottom w:val="single" w:sz="4" w:space="0" w:color="auto"/>
              <w:right w:val="single" w:sz="4" w:space="0" w:color="auto"/>
            </w:tcBorders>
            <w:shd w:val="clear" w:color="auto" w:fill="auto"/>
            <w:noWrap/>
            <w:vAlign w:val="center"/>
            <w:hideMark/>
          </w:tcPr>
          <w:p w14:paraId="119B03E0" w14:textId="77777777" w:rsidR="00BC5138" w:rsidRPr="00B7483D" w:rsidRDefault="00BC5138" w:rsidP="00BC5138">
            <w:pPr>
              <w:spacing w:after="0" w:line="240" w:lineRule="auto"/>
              <w:jc w:val="center"/>
              <w:rPr>
                <w:rFonts w:ascii="Calibri" w:eastAsia="Times New Roman" w:hAnsi="Calibri" w:cs="Times New Roman"/>
                <w:sz w:val="24"/>
                <w:szCs w:val="24"/>
                <w:lang w:eastAsia="pt-BR"/>
              </w:rPr>
            </w:pPr>
            <w:r w:rsidRPr="00B7483D">
              <w:rPr>
                <w:rFonts w:ascii="Calibri" w:eastAsia="Times New Roman" w:hAnsi="Calibri" w:cs="Times New Roman"/>
                <w:sz w:val="24"/>
                <w:szCs w:val="24"/>
                <w:lang w:eastAsia="pt-BR"/>
              </w:rPr>
              <w:t>11</w:t>
            </w:r>
          </w:p>
        </w:tc>
        <w:tc>
          <w:tcPr>
            <w:tcW w:w="6248" w:type="dxa"/>
            <w:tcBorders>
              <w:top w:val="nil"/>
              <w:left w:val="nil"/>
              <w:bottom w:val="single" w:sz="4" w:space="0" w:color="auto"/>
              <w:right w:val="single" w:sz="4" w:space="0" w:color="auto"/>
            </w:tcBorders>
            <w:shd w:val="clear" w:color="auto" w:fill="auto"/>
            <w:vAlign w:val="center"/>
            <w:hideMark/>
          </w:tcPr>
          <w:p w14:paraId="02F064B2" w14:textId="77777777" w:rsidR="00BC5138" w:rsidRPr="00B7483D" w:rsidRDefault="00BC5138" w:rsidP="00BC5138">
            <w:pPr>
              <w:spacing w:after="0" w:line="240" w:lineRule="auto"/>
              <w:jc w:val="both"/>
              <w:rPr>
                <w:rFonts w:ascii="Calibri" w:eastAsia="Times New Roman" w:hAnsi="Calibri" w:cs="Times New Roman"/>
                <w:sz w:val="24"/>
                <w:szCs w:val="24"/>
                <w:lang w:eastAsia="pt-BR"/>
              </w:rPr>
            </w:pPr>
            <w:r w:rsidRPr="00B7483D">
              <w:rPr>
                <w:rFonts w:ascii="Calibri" w:eastAsia="Times New Roman" w:hAnsi="Calibri" w:cs="Times New Roman"/>
                <w:sz w:val="24"/>
                <w:szCs w:val="24"/>
                <w:lang w:eastAsia="pt-BR"/>
              </w:rPr>
              <w:t>Renda Variável – Fundos de investimento em participações (condomínio fechado), cotas de fundos de investimento imobiliário (FII) negociadas nos pregões de bolsa de valores e cotas de fundos de investimento classificados como “Ações - Mercado de Acesso”</w:t>
            </w:r>
          </w:p>
        </w:tc>
        <w:tc>
          <w:tcPr>
            <w:tcW w:w="2409" w:type="dxa"/>
            <w:tcBorders>
              <w:top w:val="nil"/>
              <w:left w:val="nil"/>
              <w:bottom w:val="single" w:sz="4" w:space="0" w:color="auto"/>
              <w:right w:val="single" w:sz="4" w:space="0" w:color="auto"/>
            </w:tcBorders>
            <w:shd w:val="clear" w:color="auto" w:fill="auto"/>
            <w:noWrap/>
            <w:vAlign w:val="center"/>
            <w:hideMark/>
          </w:tcPr>
          <w:p w14:paraId="5B53BC9B" w14:textId="77777777" w:rsidR="00BC5138" w:rsidRPr="00B7483D" w:rsidRDefault="00BC5138" w:rsidP="00BC5138">
            <w:pPr>
              <w:spacing w:after="0" w:line="240" w:lineRule="auto"/>
              <w:jc w:val="center"/>
              <w:rPr>
                <w:rFonts w:ascii="Calibri" w:eastAsia="Times New Roman" w:hAnsi="Calibri" w:cs="Times New Roman"/>
                <w:sz w:val="24"/>
                <w:szCs w:val="24"/>
                <w:lang w:eastAsia="pt-BR"/>
              </w:rPr>
            </w:pPr>
            <w:r w:rsidRPr="00B7483D">
              <w:rPr>
                <w:rFonts w:ascii="Calibri" w:eastAsia="Times New Roman" w:hAnsi="Calibri" w:cs="Times New Roman"/>
                <w:sz w:val="24"/>
                <w:szCs w:val="24"/>
                <w:lang w:eastAsia="pt-BR"/>
              </w:rPr>
              <w:t>Art. 8º, IV, a, b e c</w:t>
            </w:r>
          </w:p>
        </w:tc>
      </w:tr>
      <w:tr w:rsidR="00BC5138" w:rsidRPr="00BC5138" w14:paraId="6043E102" w14:textId="77777777" w:rsidTr="00BC5138">
        <w:trPr>
          <w:trHeight w:val="1890"/>
        </w:trPr>
        <w:tc>
          <w:tcPr>
            <w:tcW w:w="977" w:type="dxa"/>
            <w:tcBorders>
              <w:top w:val="nil"/>
              <w:left w:val="single" w:sz="4" w:space="0" w:color="auto"/>
              <w:bottom w:val="single" w:sz="4" w:space="0" w:color="auto"/>
              <w:right w:val="single" w:sz="4" w:space="0" w:color="auto"/>
            </w:tcBorders>
            <w:shd w:val="clear" w:color="auto" w:fill="auto"/>
            <w:noWrap/>
            <w:vAlign w:val="center"/>
            <w:hideMark/>
          </w:tcPr>
          <w:p w14:paraId="1E7C65CA" w14:textId="77777777" w:rsidR="00BC5138" w:rsidRPr="00B7483D" w:rsidRDefault="00BC5138" w:rsidP="00BC5138">
            <w:pPr>
              <w:spacing w:after="0" w:line="240" w:lineRule="auto"/>
              <w:jc w:val="center"/>
              <w:rPr>
                <w:rFonts w:ascii="Calibri" w:eastAsia="Times New Roman" w:hAnsi="Calibri" w:cs="Times New Roman"/>
                <w:sz w:val="24"/>
                <w:szCs w:val="24"/>
                <w:lang w:eastAsia="pt-BR"/>
              </w:rPr>
            </w:pPr>
            <w:r w:rsidRPr="00B7483D">
              <w:rPr>
                <w:rFonts w:ascii="Calibri" w:eastAsia="Times New Roman" w:hAnsi="Calibri" w:cs="Times New Roman"/>
                <w:sz w:val="24"/>
                <w:szCs w:val="24"/>
                <w:lang w:eastAsia="pt-BR"/>
              </w:rPr>
              <w:t>12</w:t>
            </w:r>
          </w:p>
        </w:tc>
        <w:tc>
          <w:tcPr>
            <w:tcW w:w="6248" w:type="dxa"/>
            <w:tcBorders>
              <w:top w:val="nil"/>
              <w:left w:val="nil"/>
              <w:bottom w:val="single" w:sz="4" w:space="0" w:color="auto"/>
              <w:right w:val="single" w:sz="4" w:space="0" w:color="auto"/>
            </w:tcBorders>
            <w:shd w:val="clear" w:color="auto" w:fill="auto"/>
            <w:vAlign w:val="center"/>
            <w:hideMark/>
          </w:tcPr>
          <w:p w14:paraId="2559BF84" w14:textId="77777777" w:rsidR="00BC5138" w:rsidRPr="00B7483D" w:rsidRDefault="00BC5138" w:rsidP="00BC5138">
            <w:pPr>
              <w:spacing w:after="0" w:line="240" w:lineRule="auto"/>
              <w:jc w:val="both"/>
              <w:rPr>
                <w:rFonts w:ascii="Calibri" w:eastAsia="Times New Roman" w:hAnsi="Calibri" w:cs="Times New Roman"/>
                <w:sz w:val="24"/>
                <w:szCs w:val="24"/>
                <w:lang w:eastAsia="pt-BR"/>
              </w:rPr>
            </w:pPr>
            <w:r w:rsidRPr="00B7483D">
              <w:rPr>
                <w:rFonts w:ascii="Calibri" w:eastAsia="Times New Roman" w:hAnsi="Calibri" w:cs="Times New Roman"/>
                <w:sz w:val="24"/>
                <w:szCs w:val="24"/>
                <w:lang w:eastAsia="pt-BR"/>
              </w:rPr>
              <w:t>Fundos de investimento e contas de fundos de investimento classificados como "Renda Fixa - Dívida Externa", fundos de investimento sob forma de condomínio aberto com o sufíxo "Investimento no Exterior" e cotas dos fundos da classe "Ações - BDR Nível I"</w:t>
            </w:r>
          </w:p>
        </w:tc>
        <w:tc>
          <w:tcPr>
            <w:tcW w:w="2409" w:type="dxa"/>
            <w:tcBorders>
              <w:top w:val="nil"/>
              <w:left w:val="nil"/>
              <w:bottom w:val="single" w:sz="4" w:space="0" w:color="auto"/>
              <w:right w:val="single" w:sz="4" w:space="0" w:color="auto"/>
            </w:tcBorders>
            <w:shd w:val="clear" w:color="auto" w:fill="auto"/>
            <w:noWrap/>
            <w:vAlign w:val="center"/>
            <w:hideMark/>
          </w:tcPr>
          <w:p w14:paraId="7F14E937" w14:textId="77777777" w:rsidR="00BC5138" w:rsidRPr="00B7483D" w:rsidRDefault="00BC5138" w:rsidP="00BC5138">
            <w:pPr>
              <w:spacing w:after="0" w:line="240" w:lineRule="auto"/>
              <w:jc w:val="center"/>
              <w:rPr>
                <w:rFonts w:ascii="Calibri" w:eastAsia="Times New Roman" w:hAnsi="Calibri" w:cs="Times New Roman"/>
                <w:sz w:val="24"/>
                <w:szCs w:val="24"/>
                <w:lang w:eastAsia="pt-BR"/>
              </w:rPr>
            </w:pPr>
            <w:r w:rsidRPr="00B7483D">
              <w:rPr>
                <w:rFonts w:ascii="Calibri" w:eastAsia="Times New Roman" w:hAnsi="Calibri" w:cs="Times New Roman"/>
                <w:sz w:val="24"/>
                <w:szCs w:val="24"/>
                <w:lang w:eastAsia="pt-BR"/>
              </w:rPr>
              <w:t>Art. 9º-A, I, II e III</w:t>
            </w:r>
          </w:p>
        </w:tc>
      </w:tr>
    </w:tbl>
    <w:p w14:paraId="271BF7A6" w14:textId="77777777" w:rsidR="00EE0371" w:rsidRDefault="00EE0371" w:rsidP="00EE0371">
      <w:pPr>
        <w:spacing w:after="0" w:line="240" w:lineRule="auto"/>
        <w:ind w:right="-285"/>
        <w:jc w:val="both"/>
        <w:rPr>
          <w:rFonts w:ascii="Arial" w:hAnsi="Arial" w:cs="Arial"/>
          <w:sz w:val="20"/>
          <w:szCs w:val="20"/>
          <w:lang w:eastAsia="pt-BR"/>
        </w:rPr>
      </w:pPr>
    </w:p>
    <w:p w14:paraId="76F860AF" w14:textId="77777777" w:rsidR="00BC5138" w:rsidRDefault="00BC5138" w:rsidP="00EE0371">
      <w:pPr>
        <w:spacing w:after="0" w:line="240" w:lineRule="auto"/>
        <w:ind w:right="-285"/>
        <w:jc w:val="both"/>
        <w:rPr>
          <w:rFonts w:ascii="Arial" w:hAnsi="Arial" w:cs="Arial"/>
          <w:sz w:val="20"/>
          <w:szCs w:val="20"/>
          <w:lang w:eastAsia="pt-BR"/>
        </w:rPr>
      </w:pPr>
    </w:p>
    <w:p w14:paraId="31A2216C" w14:textId="77777777" w:rsidR="009653CC" w:rsidRDefault="009653CC" w:rsidP="00EE0371">
      <w:pPr>
        <w:spacing w:after="0" w:line="240" w:lineRule="auto"/>
        <w:ind w:right="-285"/>
        <w:jc w:val="both"/>
        <w:rPr>
          <w:rFonts w:ascii="Arial" w:hAnsi="Arial" w:cs="Arial"/>
          <w:sz w:val="20"/>
          <w:szCs w:val="20"/>
          <w:lang w:eastAsia="pt-BR"/>
        </w:rPr>
      </w:pPr>
    </w:p>
    <w:p w14:paraId="33E8EBD9" w14:textId="77777777" w:rsidR="00BC5138" w:rsidRDefault="00BC5138" w:rsidP="00EE0371">
      <w:pPr>
        <w:spacing w:after="0" w:line="240" w:lineRule="auto"/>
        <w:ind w:right="-285"/>
        <w:jc w:val="both"/>
        <w:rPr>
          <w:rFonts w:ascii="Arial" w:hAnsi="Arial" w:cs="Arial"/>
          <w:sz w:val="20"/>
          <w:szCs w:val="20"/>
          <w:lang w:eastAsia="pt-BR"/>
        </w:rPr>
      </w:pPr>
    </w:p>
    <w:tbl>
      <w:tblPr>
        <w:tblW w:w="9554" w:type="dxa"/>
        <w:tblCellMar>
          <w:left w:w="70" w:type="dxa"/>
          <w:right w:w="70" w:type="dxa"/>
        </w:tblCellMar>
        <w:tblLook w:val="04A0" w:firstRow="1" w:lastRow="0" w:firstColumn="1" w:lastColumn="0" w:noHBand="0" w:noVBand="1"/>
      </w:tblPr>
      <w:tblGrid>
        <w:gridCol w:w="949"/>
        <w:gridCol w:w="1678"/>
        <w:gridCol w:w="6927"/>
      </w:tblGrid>
      <w:tr w:rsidR="009653CC" w:rsidRPr="009653CC" w14:paraId="442E930F" w14:textId="77777777" w:rsidTr="00B7483D">
        <w:trPr>
          <w:trHeight w:val="320"/>
        </w:trPr>
        <w:tc>
          <w:tcPr>
            <w:tcW w:w="9554" w:type="dxa"/>
            <w:gridSpan w:val="3"/>
            <w:tcBorders>
              <w:top w:val="single" w:sz="4" w:space="0" w:color="000000"/>
              <w:left w:val="single" w:sz="4" w:space="0" w:color="000000"/>
              <w:bottom w:val="single" w:sz="4" w:space="0" w:color="000000"/>
              <w:right w:val="single" w:sz="4" w:space="0" w:color="000000"/>
            </w:tcBorders>
            <w:shd w:val="clear" w:color="000000" w:fill="BFBFBF"/>
            <w:vAlign w:val="center"/>
            <w:hideMark/>
          </w:tcPr>
          <w:p w14:paraId="09ACC5D8" w14:textId="77777777" w:rsidR="009653CC" w:rsidRPr="00B7483D" w:rsidRDefault="009653CC" w:rsidP="009653CC">
            <w:pPr>
              <w:spacing w:after="0" w:line="240" w:lineRule="auto"/>
              <w:jc w:val="center"/>
              <w:rPr>
                <w:rFonts w:ascii="Calibri" w:eastAsia="Times New Roman" w:hAnsi="Calibri" w:cs="Times New Roman"/>
                <w:b/>
                <w:bCs/>
                <w:sz w:val="24"/>
                <w:szCs w:val="24"/>
                <w:lang w:eastAsia="pt-BR"/>
              </w:rPr>
            </w:pPr>
            <w:r w:rsidRPr="00B7483D">
              <w:rPr>
                <w:rFonts w:ascii="Calibri" w:eastAsia="Times New Roman" w:hAnsi="Calibri" w:cs="Times New Roman"/>
                <w:b/>
                <w:bCs/>
                <w:sz w:val="24"/>
                <w:szCs w:val="24"/>
                <w:lang w:eastAsia="pt-BR"/>
              </w:rPr>
              <w:t>Tabela de Complementos - Contas Bancárias do banco Banestes</w:t>
            </w:r>
          </w:p>
        </w:tc>
      </w:tr>
      <w:tr w:rsidR="009653CC" w:rsidRPr="009653CC" w14:paraId="18045A0B" w14:textId="77777777" w:rsidTr="00B7483D">
        <w:trPr>
          <w:trHeight w:val="320"/>
        </w:trPr>
        <w:tc>
          <w:tcPr>
            <w:tcW w:w="949" w:type="dxa"/>
            <w:tcBorders>
              <w:top w:val="single" w:sz="4" w:space="0" w:color="000000"/>
              <w:left w:val="single" w:sz="4" w:space="0" w:color="auto"/>
              <w:bottom w:val="single" w:sz="4" w:space="0" w:color="auto"/>
              <w:right w:val="single" w:sz="4" w:space="0" w:color="auto"/>
            </w:tcBorders>
            <w:shd w:val="clear" w:color="000000" w:fill="BFBFBF"/>
            <w:vAlign w:val="center"/>
            <w:hideMark/>
          </w:tcPr>
          <w:p w14:paraId="49CC8B01" w14:textId="77777777" w:rsidR="009653CC" w:rsidRPr="00B7483D" w:rsidRDefault="009653CC" w:rsidP="009653CC">
            <w:pPr>
              <w:spacing w:after="0" w:line="240" w:lineRule="auto"/>
              <w:jc w:val="center"/>
              <w:rPr>
                <w:rFonts w:ascii="Calibri" w:eastAsia="Times New Roman" w:hAnsi="Calibri" w:cs="Times New Roman"/>
                <w:b/>
                <w:bCs/>
                <w:sz w:val="24"/>
                <w:szCs w:val="24"/>
                <w:lang w:eastAsia="pt-BR"/>
              </w:rPr>
            </w:pPr>
            <w:r w:rsidRPr="00B7483D">
              <w:rPr>
                <w:rFonts w:ascii="Calibri" w:eastAsia="Times New Roman" w:hAnsi="Calibri" w:cs="Times New Roman"/>
                <w:b/>
                <w:bCs/>
                <w:sz w:val="24"/>
                <w:szCs w:val="24"/>
                <w:lang w:eastAsia="pt-BR"/>
              </w:rPr>
              <w:t>Tipo</w:t>
            </w:r>
          </w:p>
        </w:tc>
        <w:tc>
          <w:tcPr>
            <w:tcW w:w="1678" w:type="dxa"/>
            <w:tcBorders>
              <w:top w:val="single" w:sz="4" w:space="0" w:color="000000"/>
              <w:left w:val="nil"/>
              <w:bottom w:val="single" w:sz="4" w:space="0" w:color="auto"/>
              <w:right w:val="single" w:sz="4" w:space="0" w:color="auto"/>
            </w:tcBorders>
            <w:shd w:val="clear" w:color="000000" w:fill="BFBFBF"/>
            <w:vAlign w:val="center"/>
            <w:hideMark/>
          </w:tcPr>
          <w:p w14:paraId="46FD7610" w14:textId="77777777" w:rsidR="009653CC" w:rsidRPr="00B7483D" w:rsidRDefault="009653CC" w:rsidP="009653CC">
            <w:pPr>
              <w:spacing w:after="0" w:line="240" w:lineRule="auto"/>
              <w:jc w:val="center"/>
              <w:rPr>
                <w:rFonts w:ascii="Calibri" w:eastAsia="Times New Roman" w:hAnsi="Calibri" w:cs="Times New Roman"/>
                <w:b/>
                <w:bCs/>
                <w:sz w:val="24"/>
                <w:szCs w:val="24"/>
                <w:lang w:eastAsia="pt-BR"/>
              </w:rPr>
            </w:pPr>
            <w:r w:rsidRPr="00B7483D">
              <w:rPr>
                <w:rFonts w:ascii="Calibri" w:eastAsia="Times New Roman" w:hAnsi="Calibri" w:cs="Times New Roman"/>
                <w:b/>
                <w:bCs/>
                <w:sz w:val="24"/>
                <w:szCs w:val="24"/>
                <w:lang w:eastAsia="pt-BR"/>
              </w:rPr>
              <w:t>Complemento</w:t>
            </w:r>
          </w:p>
        </w:tc>
        <w:tc>
          <w:tcPr>
            <w:tcW w:w="6927" w:type="dxa"/>
            <w:tcBorders>
              <w:top w:val="single" w:sz="4" w:space="0" w:color="000000"/>
              <w:left w:val="nil"/>
              <w:bottom w:val="single" w:sz="4" w:space="0" w:color="auto"/>
              <w:right w:val="single" w:sz="4" w:space="0" w:color="auto"/>
            </w:tcBorders>
            <w:shd w:val="clear" w:color="000000" w:fill="BFBFBF"/>
            <w:vAlign w:val="center"/>
            <w:hideMark/>
          </w:tcPr>
          <w:p w14:paraId="04A70F58" w14:textId="77777777" w:rsidR="009653CC" w:rsidRPr="00B7483D" w:rsidRDefault="009653CC" w:rsidP="009653CC">
            <w:pPr>
              <w:spacing w:after="0" w:line="240" w:lineRule="auto"/>
              <w:jc w:val="center"/>
              <w:rPr>
                <w:rFonts w:ascii="Calibri" w:eastAsia="Times New Roman" w:hAnsi="Calibri" w:cs="Times New Roman"/>
                <w:b/>
                <w:bCs/>
                <w:sz w:val="24"/>
                <w:szCs w:val="24"/>
                <w:lang w:eastAsia="pt-BR"/>
              </w:rPr>
            </w:pPr>
            <w:r w:rsidRPr="00B7483D">
              <w:rPr>
                <w:rFonts w:ascii="Calibri" w:eastAsia="Times New Roman" w:hAnsi="Calibri" w:cs="Times New Roman"/>
                <w:b/>
                <w:bCs/>
                <w:sz w:val="24"/>
                <w:szCs w:val="24"/>
                <w:lang w:eastAsia="pt-BR"/>
              </w:rPr>
              <w:t>Descrição do Título</w:t>
            </w:r>
          </w:p>
        </w:tc>
      </w:tr>
      <w:tr w:rsidR="009653CC" w:rsidRPr="009653CC" w14:paraId="70120159" w14:textId="77777777" w:rsidTr="009653CC">
        <w:trPr>
          <w:trHeight w:val="305"/>
        </w:trPr>
        <w:tc>
          <w:tcPr>
            <w:tcW w:w="949" w:type="dxa"/>
            <w:tcBorders>
              <w:top w:val="nil"/>
              <w:left w:val="single" w:sz="4" w:space="0" w:color="auto"/>
              <w:bottom w:val="single" w:sz="4" w:space="0" w:color="auto"/>
              <w:right w:val="single" w:sz="4" w:space="0" w:color="auto"/>
            </w:tcBorders>
            <w:shd w:val="clear" w:color="auto" w:fill="auto"/>
            <w:vAlign w:val="center"/>
            <w:hideMark/>
          </w:tcPr>
          <w:p w14:paraId="79FF1EE0" w14:textId="77777777" w:rsidR="009653CC" w:rsidRPr="00B7483D" w:rsidRDefault="009653CC" w:rsidP="009653CC">
            <w:pPr>
              <w:spacing w:after="0" w:line="240" w:lineRule="auto"/>
              <w:jc w:val="center"/>
              <w:rPr>
                <w:rFonts w:ascii="Calibri" w:eastAsia="Times New Roman" w:hAnsi="Calibri" w:cs="Times New Roman"/>
                <w:lang w:eastAsia="pt-BR"/>
              </w:rPr>
            </w:pPr>
            <w:r w:rsidRPr="00B7483D">
              <w:rPr>
                <w:rFonts w:ascii="Calibri" w:eastAsia="Times New Roman" w:hAnsi="Calibri" w:cs="Times New Roman"/>
                <w:lang w:eastAsia="pt-BR"/>
              </w:rPr>
              <w:t>Renda Fixa</w:t>
            </w:r>
          </w:p>
        </w:tc>
        <w:tc>
          <w:tcPr>
            <w:tcW w:w="1678" w:type="dxa"/>
            <w:tcBorders>
              <w:top w:val="nil"/>
              <w:left w:val="nil"/>
              <w:bottom w:val="single" w:sz="4" w:space="0" w:color="auto"/>
              <w:right w:val="single" w:sz="4" w:space="0" w:color="auto"/>
            </w:tcBorders>
            <w:shd w:val="clear" w:color="auto" w:fill="auto"/>
            <w:vAlign w:val="center"/>
            <w:hideMark/>
          </w:tcPr>
          <w:p w14:paraId="4B507122" w14:textId="77777777" w:rsidR="009653CC" w:rsidRPr="00B7483D" w:rsidRDefault="009653CC" w:rsidP="009653CC">
            <w:pPr>
              <w:spacing w:after="0" w:line="240" w:lineRule="auto"/>
              <w:jc w:val="center"/>
              <w:rPr>
                <w:rFonts w:ascii="Calibri" w:eastAsia="Times New Roman" w:hAnsi="Calibri" w:cs="Times New Roman"/>
                <w:lang w:eastAsia="pt-BR"/>
              </w:rPr>
            </w:pPr>
            <w:r w:rsidRPr="00B7483D">
              <w:rPr>
                <w:rFonts w:ascii="Calibri" w:eastAsia="Times New Roman" w:hAnsi="Calibri" w:cs="Times New Roman"/>
                <w:lang w:eastAsia="pt-BR"/>
              </w:rPr>
              <w:t>030</w:t>
            </w:r>
          </w:p>
        </w:tc>
        <w:tc>
          <w:tcPr>
            <w:tcW w:w="6927" w:type="dxa"/>
            <w:tcBorders>
              <w:top w:val="nil"/>
              <w:left w:val="nil"/>
              <w:bottom w:val="single" w:sz="4" w:space="0" w:color="auto"/>
              <w:right w:val="single" w:sz="4" w:space="0" w:color="auto"/>
            </w:tcBorders>
            <w:shd w:val="clear" w:color="auto" w:fill="auto"/>
            <w:vAlign w:val="center"/>
            <w:hideMark/>
          </w:tcPr>
          <w:p w14:paraId="681105A2" w14:textId="77777777" w:rsidR="009653CC" w:rsidRPr="00B7483D" w:rsidRDefault="009653CC" w:rsidP="009653CC">
            <w:pPr>
              <w:spacing w:after="0" w:line="240" w:lineRule="auto"/>
              <w:jc w:val="both"/>
              <w:rPr>
                <w:rFonts w:ascii="Calibri" w:eastAsia="Times New Roman" w:hAnsi="Calibri" w:cs="Times New Roman"/>
                <w:lang w:eastAsia="pt-BR"/>
              </w:rPr>
            </w:pPr>
            <w:r w:rsidRPr="00B7483D">
              <w:rPr>
                <w:rFonts w:ascii="Calibri" w:eastAsia="Times New Roman" w:hAnsi="Calibri" w:cs="Times New Roman"/>
                <w:lang w:eastAsia="pt-BR"/>
              </w:rPr>
              <w:t>CDB - CERTIFICADO DE DEPÓSITO BANCÁRIO</w:t>
            </w:r>
          </w:p>
        </w:tc>
      </w:tr>
      <w:tr w:rsidR="009653CC" w:rsidRPr="009653CC" w14:paraId="5571F515" w14:textId="77777777" w:rsidTr="009653CC">
        <w:trPr>
          <w:trHeight w:val="610"/>
        </w:trPr>
        <w:tc>
          <w:tcPr>
            <w:tcW w:w="949" w:type="dxa"/>
            <w:tcBorders>
              <w:top w:val="nil"/>
              <w:left w:val="single" w:sz="4" w:space="0" w:color="auto"/>
              <w:bottom w:val="single" w:sz="4" w:space="0" w:color="auto"/>
              <w:right w:val="single" w:sz="4" w:space="0" w:color="auto"/>
            </w:tcBorders>
            <w:shd w:val="clear" w:color="auto" w:fill="auto"/>
            <w:vAlign w:val="center"/>
            <w:hideMark/>
          </w:tcPr>
          <w:p w14:paraId="7DCAA9F1" w14:textId="77777777" w:rsidR="009653CC" w:rsidRPr="00B7483D" w:rsidRDefault="009653CC" w:rsidP="009653CC">
            <w:pPr>
              <w:spacing w:after="0" w:line="240" w:lineRule="auto"/>
              <w:jc w:val="center"/>
              <w:rPr>
                <w:rFonts w:ascii="Calibri" w:eastAsia="Times New Roman" w:hAnsi="Calibri" w:cs="Times New Roman"/>
                <w:lang w:eastAsia="pt-BR"/>
              </w:rPr>
            </w:pPr>
            <w:r w:rsidRPr="00B7483D">
              <w:rPr>
                <w:rFonts w:ascii="Calibri" w:eastAsia="Times New Roman" w:hAnsi="Calibri" w:cs="Times New Roman"/>
                <w:lang w:eastAsia="pt-BR"/>
              </w:rPr>
              <w:t>Renda Fixa</w:t>
            </w:r>
          </w:p>
        </w:tc>
        <w:tc>
          <w:tcPr>
            <w:tcW w:w="1678" w:type="dxa"/>
            <w:tcBorders>
              <w:top w:val="nil"/>
              <w:left w:val="nil"/>
              <w:bottom w:val="single" w:sz="4" w:space="0" w:color="auto"/>
              <w:right w:val="single" w:sz="4" w:space="0" w:color="auto"/>
            </w:tcBorders>
            <w:shd w:val="clear" w:color="auto" w:fill="auto"/>
            <w:vAlign w:val="center"/>
            <w:hideMark/>
          </w:tcPr>
          <w:p w14:paraId="62E67111" w14:textId="77777777" w:rsidR="009653CC" w:rsidRPr="00B7483D" w:rsidRDefault="009653CC" w:rsidP="009653CC">
            <w:pPr>
              <w:spacing w:after="0" w:line="240" w:lineRule="auto"/>
              <w:jc w:val="center"/>
              <w:rPr>
                <w:rFonts w:ascii="Calibri" w:eastAsia="Times New Roman" w:hAnsi="Calibri" w:cs="Times New Roman"/>
                <w:lang w:eastAsia="pt-BR"/>
              </w:rPr>
            </w:pPr>
            <w:r w:rsidRPr="00B7483D">
              <w:rPr>
                <w:rFonts w:ascii="Calibri" w:eastAsia="Times New Roman" w:hAnsi="Calibri" w:cs="Times New Roman"/>
                <w:lang w:eastAsia="pt-BR"/>
              </w:rPr>
              <w:t>031</w:t>
            </w:r>
          </w:p>
        </w:tc>
        <w:tc>
          <w:tcPr>
            <w:tcW w:w="6927" w:type="dxa"/>
            <w:tcBorders>
              <w:top w:val="nil"/>
              <w:left w:val="nil"/>
              <w:bottom w:val="single" w:sz="4" w:space="0" w:color="auto"/>
              <w:right w:val="single" w:sz="4" w:space="0" w:color="auto"/>
            </w:tcBorders>
            <w:shd w:val="clear" w:color="auto" w:fill="auto"/>
            <w:vAlign w:val="center"/>
            <w:hideMark/>
          </w:tcPr>
          <w:p w14:paraId="3D8C9662" w14:textId="77777777" w:rsidR="009653CC" w:rsidRPr="00B7483D" w:rsidRDefault="009653CC" w:rsidP="009653CC">
            <w:pPr>
              <w:spacing w:after="0" w:line="240" w:lineRule="auto"/>
              <w:jc w:val="both"/>
              <w:rPr>
                <w:rFonts w:ascii="Calibri" w:eastAsia="Times New Roman" w:hAnsi="Calibri" w:cs="Times New Roman"/>
                <w:lang w:eastAsia="pt-BR"/>
              </w:rPr>
            </w:pPr>
            <w:r w:rsidRPr="00B7483D">
              <w:rPr>
                <w:rFonts w:ascii="Calibri" w:eastAsia="Times New Roman" w:hAnsi="Calibri" w:cs="Times New Roman"/>
                <w:lang w:eastAsia="pt-BR"/>
              </w:rPr>
              <w:t>CDB CORRENTE - CERTIFICADO DE DEPÓSITO BANCÁRIO COM APLICAÇÃO E RESGATE AUTOMÁTICO EM CONTA CORRENTE</w:t>
            </w:r>
          </w:p>
        </w:tc>
      </w:tr>
      <w:tr w:rsidR="009653CC" w:rsidRPr="009653CC" w14:paraId="2A1CBB8D" w14:textId="77777777" w:rsidTr="009653CC">
        <w:trPr>
          <w:trHeight w:val="305"/>
        </w:trPr>
        <w:tc>
          <w:tcPr>
            <w:tcW w:w="949" w:type="dxa"/>
            <w:tcBorders>
              <w:top w:val="nil"/>
              <w:left w:val="single" w:sz="4" w:space="0" w:color="auto"/>
              <w:bottom w:val="single" w:sz="4" w:space="0" w:color="auto"/>
              <w:right w:val="single" w:sz="4" w:space="0" w:color="auto"/>
            </w:tcBorders>
            <w:shd w:val="clear" w:color="auto" w:fill="auto"/>
            <w:vAlign w:val="center"/>
            <w:hideMark/>
          </w:tcPr>
          <w:p w14:paraId="0FD40B69" w14:textId="77777777" w:rsidR="009653CC" w:rsidRPr="00B7483D" w:rsidRDefault="009653CC" w:rsidP="009653CC">
            <w:pPr>
              <w:spacing w:after="0" w:line="240" w:lineRule="auto"/>
              <w:jc w:val="center"/>
              <w:rPr>
                <w:rFonts w:ascii="Calibri" w:eastAsia="Times New Roman" w:hAnsi="Calibri" w:cs="Times New Roman"/>
                <w:lang w:eastAsia="pt-BR"/>
              </w:rPr>
            </w:pPr>
            <w:r w:rsidRPr="00B7483D">
              <w:rPr>
                <w:rFonts w:ascii="Calibri" w:eastAsia="Times New Roman" w:hAnsi="Calibri" w:cs="Times New Roman"/>
                <w:lang w:eastAsia="pt-BR"/>
              </w:rPr>
              <w:t>Renda Fixa</w:t>
            </w:r>
          </w:p>
        </w:tc>
        <w:tc>
          <w:tcPr>
            <w:tcW w:w="1678" w:type="dxa"/>
            <w:tcBorders>
              <w:top w:val="nil"/>
              <w:left w:val="nil"/>
              <w:bottom w:val="single" w:sz="4" w:space="0" w:color="auto"/>
              <w:right w:val="single" w:sz="4" w:space="0" w:color="auto"/>
            </w:tcBorders>
            <w:shd w:val="clear" w:color="auto" w:fill="auto"/>
            <w:vAlign w:val="center"/>
            <w:hideMark/>
          </w:tcPr>
          <w:p w14:paraId="54C67A62" w14:textId="77777777" w:rsidR="009653CC" w:rsidRPr="00B7483D" w:rsidRDefault="009653CC" w:rsidP="009653CC">
            <w:pPr>
              <w:spacing w:after="0" w:line="240" w:lineRule="auto"/>
              <w:jc w:val="center"/>
              <w:rPr>
                <w:rFonts w:ascii="Calibri" w:eastAsia="Times New Roman" w:hAnsi="Calibri" w:cs="Times New Roman"/>
                <w:lang w:eastAsia="pt-BR"/>
              </w:rPr>
            </w:pPr>
            <w:r w:rsidRPr="00B7483D">
              <w:rPr>
                <w:rFonts w:ascii="Calibri" w:eastAsia="Times New Roman" w:hAnsi="Calibri" w:cs="Times New Roman"/>
                <w:lang w:eastAsia="pt-BR"/>
              </w:rPr>
              <w:t>071</w:t>
            </w:r>
          </w:p>
        </w:tc>
        <w:tc>
          <w:tcPr>
            <w:tcW w:w="6927" w:type="dxa"/>
            <w:tcBorders>
              <w:top w:val="nil"/>
              <w:left w:val="nil"/>
              <w:bottom w:val="single" w:sz="4" w:space="0" w:color="auto"/>
              <w:right w:val="single" w:sz="4" w:space="0" w:color="auto"/>
            </w:tcBorders>
            <w:shd w:val="clear" w:color="auto" w:fill="auto"/>
            <w:vAlign w:val="center"/>
            <w:hideMark/>
          </w:tcPr>
          <w:p w14:paraId="5D51E721" w14:textId="77777777" w:rsidR="009653CC" w:rsidRPr="00B7483D" w:rsidRDefault="009653CC" w:rsidP="009653CC">
            <w:pPr>
              <w:spacing w:after="0" w:line="240" w:lineRule="auto"/>
              <w:jc w:val="both"/>
              <w:rPr>
                <w:rFonts w:ascii="Calibri" w:eastAsia="Times New Roman" w:hAnsi="Calibri" w:cs="Times New Roman"/>
                <w:lang w:eastAsia="pt-BR"/>
              </w:rPr>
            </w:pPr>
            <w:r w:rsidRPr="00B7483D">
              <w:rPr>
                <w:rFonts w:ascii="Calibri" w:eastAsia="Times New Roman" w:hAnsi="Calibri" w:cs="Times New Roman"/>
                <w:lang w:eastAsia="pt-BR"/>
              </w:rPr>
              <w:t>LCI - LETRAS DE CRÉDITO IMOBILIÁRIO</w:t>
            </w:r>
          </w:p>
        </w:tc>
      </w:tr>
      <w:tr w:rsidR="009653CC" w:rsidRPr="009653CC" w14:paraId="5569DE06" w14:textId="77777777" w:rsidTr="009653CC">
        <w:trPr>
          <w:trHeight w:val="305"/>
        </w:trPr>
        <w:tc>
          <w:tcPr>
            <w:tcW w:w="949" w:type="dxa"/>
            <w:tcBorders>
              <w:top w:val="nil"/>
              <w:left w:val="single" w:sz="4" w:space="0" w:color="auto"/>
              <w:bottom w:val="single" w:sz="4" w:space="0" w:color="auto"/>
              <w:right w:val="single" w:sz="4" w:space="0" w:color="auto"/>
            </w:tcBorders>
            <w:shd w:val="clear" w:color="auto" w:fill="auto"/>
            <w:vAlign w:val="center"/>
            <w:hideMark/>
          </w:tcPr>
          <w:p w14:paraId="2B53CC8B" w14:textId="77777777" w:rsidR="009653CC" w:rsidRPr="00B7483D" w:rsidRDefault="009653CC" w:rsidP="009653CC">
            <w:pPr>
              <w:spacing w:after="0" w:line="240" w:lineRule="auto"/>
              <w:jc w:val="center"/>
              <w:rPr>
                <w:rFonts w:ascii="Calibri" w:eastAsia="Times New Roman" w:hAnsi="Calibri" w:cs="Times New Roman"/>
                <w:lang w:eastAsia="pt-BR"/>
              </w:rPr>
            </w:pPr>
            <w:r w:rsidRPr="00B7483D">
              <w:rPr>
                <w:rFonts w:ascii="Calibri" w:eastAsia="Times New Roman" w:hAnsi="Calibri" w:cs="Times New Roman"/>
                <w:lang w:eastAsia="pt-BR"/>
              </w:rPr>
              <w:t>Renda Fixa</w:t>
            </w:r>
          </w:p>
        </w:tc>
        <w:tc>
          <w:tcPr>
            <w:tcW w:w="1678" w:type="dxa"/>
            <w:tcBorders>
              <w:top w:val="nil"/>
              <w:left w:val="nil"/>
              <w:bottom w:val="single" w:sz="4" w:space="0" w:color="auto"/>
              <w:right w:val="single" w:sz="4" w:space="0" w:color="auto"/>
            </w:tcBorders>
            <w:shd w:val="clear" w:color="auto" w:fill="auto"/>
            <w:vAlign w:val="center"/>
            <w:hideMark/>
          </w:tcPr>
          <w:p w14:paraId="48DAAC70" w14:textId="77777777" w:rsidR="009653CC" w:rsidRPr="00B7483D" w:rsidRDefault="009653CC" w:rsidP="009653CC">
            <w:pPr>
              <w:spacing w:after="0" w:line="240" w:lineRule="auto"/>
              <w:jc w:val="center"/>
              <w:rPr>
                <w:rFonts w:ascii="Calibri" w:eastAsia="Times New Roman" w:hAnsi="Calibri" w:cs="Times New Roman"/>
                <w:lang w:eastAsia="pt-BR"/>
              </w:rPr>
            </w:pPr>
            <w:r w:rsidRPr="00B7483D">
              <w:rPr>
                <w:rFonts w:ascii="Calibri" w:eastAsia="Times New Roman" w:hAnsi="Calibri" w:cs="Times New Roman"/>
                <w:lang w:eastAsia="pt-BR"/>
              </w:rPr>
              <w:t>073</w:t>
            </w:r>
          </w:p>
        </w:tc>
        <w:tc>
          <w:tcPr>
            <w:tcW w:w="6927" w:type="dxa"/>
            <w:tcBorders>
              <w:top w:val="nil"/>
              <w:left w:val="nil"/>
              <w:bottom w:val="single" w:sz="4" w:space="0" w:color="auto"/>
              <w:right w:val="single" w:sz="4" w:space="0" w:color="auto"/>
            </w:tcBorders>
            <w:shd w:val="clear" w:color="auto" w:fill="auto"/>
            <w:vAlign w:val="center"/>
            <w:hideMark/>
          </w:tcPr>
          <w:p w14:paraId="08162A85" w14:textId="77777777" w:rsidR="009653CC" w:rsidRPr="00B7483D" w:rsidRDefault="009653CC" w:rsidP="009653CC">
            <w:pPr>
              <w:spacing w:after="0" w:line="240" w:lineRule="auto"/>
              <w:jc w:val="both"/>
              <w:rPr>
                <w:rFonts w:ascii="Calibri" w:eastAsia="Times New Roman" w:hAnsi="Calibri" w:cs="Times New Roman"/>
                <w:lang w:eastAsia="pt-BR"/>
              </w:rPr>
            </w:pPr>
            <w:r w:rsidRPr="00B7483D">
              <w:rPr>
                <w:rFonts w:ascii="Calibri" w:eastAsia="Times New Roman" w:hAnsi="Calibri" w:cs="Times New Roman"/>
                <w:lang w:eastAsia="pt-BR"/>
              </w:rPr>
              <w:t>LCA - LETRAS DE CRÉDITO DE AGRONEGÓCIO</w:t>
            </w:r>
          </w:p>
        </w:tc>
      </w:tr>
      <w:tr w:rsidR="009653CC" w:rsidRPr="009653CC" w14:paraId="5EED2D04" w14:textId="77777777" w:rsidTr="009653CC">
        <w:trPr>
          <w:trHeight w:val="305"/>
        </w:trPr>
        <w:tc>
          <w:tcPr>
            <w:tcW w:w="949" w:type="dxa"/>
            <w:tcBorders>
              <w:top w:val="nil"/>
              <w:left w:val="single" w:sz="4" w:space="0" w:color="auto"/>
              <w:bottom w:val="single" w:sz="4" w:space="0" w:color="auto"/>
              <w:right w:val="single" w:sz="4" w:space="0" w:color="auto"/>
            </w:tcBorders>
            <w:shd w:val="clear" w:color="auto" w:fill="auto"/>
            <w:vAlign w:val="center"/>
            <w:hideMark/>
          </w:tcPr>
          <w:p w14:paraId="59775E60" w14:textId="77777777" w:rsidR="009653CC" w:rsidRPr="00B7483D" w:rsidRDefault="009653CC" w:rsidP="009653CC">
            <w:pPr>
              <w:spacing w:after="0" w:line="240" w:lineRule="auto"/>
              <w:jc w:val="center"/>
              <w:rPr>
                <w:rFonts w:ascii="Calibri" w:eastAsia="Times New Roman" w:hAnsi="Calibri" w:cs="Times New Roman"/>
                <w:lang w:eastAsia="pt-BR"/>
              </w:rPr>
            </w:pPr>
            <w:r w:rsidRPr="00B7483D">
              <w:rPr>
                <w:rFonts w:ascii="Calibri" w:eastAsia="Times New Roman" w:hAnsi="Calibri" w:cs="Times New Roman"/>
                <w:lang w:eastAsia="pt-BR"/>
              </w:rPr>
              <w:t>Renda Fixa</w:t>
            </w:r>
          </w:p>
        </w:tc>
        <w:tc>
          <w:tcPr>
            <w:tcW w:w="1678" w:type="dxa"/>
            <w:tcBorders>
              <w:top w:val="nil"/>
              <w:left w:val="nil"/>
              <w:bottom w:val="single" w:sz="4" w:space="0" w:color="auto"/>
              <w:right w:val="single" w:sz="4" w:space="0" w:color="auto"/>
            </w:tcBorders>
            <w:shd w:val="clear" w:color="auto" w:fill="auto"/>
            <w:vAlign w:val="center"/>
            <w:hideMark/>
          </w:tcPr>
          <w:p w14:paraId="536C6CAE" w14:textId="77777777" w:rsidR="009653CC" w:rsidRPr="00B7483D" w:rsidRDefault="009653CC" w:rsidP="009653CC">
            <w:pPr>
              <w:spacing w:after="0" w:line="240" w:lineRule="auto"/>
              <w:jc w:val="center"/>
              <w:rPr>
                <w:rFonts w:ascii="Calibri" w:eastAsia="Times New Roman" w:hAnsi="Calibri" w:cs="Times New Roman"/>
                <w:lang w:eastAsia="pt-BR"/>
              </w:rPr>
            </w:pPr>
            <w:r w:rsidRPr="00B7483D">
              <w:rPr>
                <w:rFonts w:ascii="Calibri" w:eastAsia="Times New Roman" w:hAnsi="Calibri" w:cs="Times New Roman"/>
                <w:lang w:eastAsia="pt-BR"/>
              </w:rPr>
              <w:t>080</w:t>
            </w:r>
          </w:p>
        </w:tc>
        <w:tc>
          <w:tcPr>
            <w:tcW w:w="6927" w:type="dxa"/>
            <w:tcBorders>
              <w:top w:val="nil"/>
              <w:left w:val="nil"/>
              <w:bottom w:val="single" w:sz="4" w:space="0" w:color="auto"/>
              <w:right w:val="single" w:sz="4" w:space="0" w:color="auto"/>
            </w:tcBorders>
            <w:shd w:val="clear" w:color="auto" w:fill="auto"/>
            <w:vAlign w:val="center"/>
            <w:hideMark/>
          </w:tcPr>
          <w:p w14:paraId="019226F5" w14:textId="77777777" w:rsidR="009653CC" w:rsidRPr="00B7483D" w:rsidRDefault="009653CC" w:rsidP="009653CC">
            <w:pPr>
              <w:spacing w:after="0" w:line="240" w:lineRule="auto"/>
              <w:jc w:val="both"/>
              <w:rPr>
                <w:rFonts w:ascii="Calibri" w:eastAsia="Times New Roman" w:hAnsi="Calibri" w:cs="Times New Roman"/>
                <w:lang w:eastAsia="pt-BR"/>
              </w:rPr>
            </w:pPr>
            <w:r w:rsidRPr="00B7483D">
              <w:rPr>
                <w:rFonts w:ascii="Calibri" w:eastAsia="Times New Roman" w:hAnsi="Calibri" w:cs="Times New Roman"/>
                <w:lang w:eastAsia="pt-BR"/>
              </w:rPr>
              <w:t>DI LIG - DEPÓSITO INTERFINANCEIRO DE PESSOAS LIGADAS</w:t>
            </w:r>
          </w:p>
        </w:tc>
      </w:tr>
      <w:tr w:rsidR="009653CC" w:rsidRPr="009653CC" w14:paraId="588D79EE" w14:textId="77777777" w:rsidTr="009653CC">
        <w:trPr>
          <w:trHeight w:val="305"/>
        </w:trPr>
        <w:tc>
          <w:tcPr>
            <w:tcW w:w="949" w:type="dxa"/>
            <w:tcBorders>
              <w:top w:val="nil"/>
              <w:left w:val="single" w:sz="4" w:space="0" w:color="auto"/>
              <w:bottom w:val="single" w:sz="4" w:space="0" w:color="auto"/>
              <w:right w:val="single" w:sz="4" w:space="0" w:color="auto"/>
            </w:tcBorders>
            <w:shd w:val="clear" w:color="auto" w:fill="auto"/>
            <w:vAlign w:val="center"/>
            <w:hideMark/>
          </w:tcPr>
          <w:p w14:paraId="4BE4CC25" w14:textId="77777777" w:rsidR="009653CC" w:rsidRPr="00B7483D" w:rsidRDefault="009653CC" w:rsidP="009653CC">
            <w:pPr>
              <w:spacing w:after="0" w:line="240" w:lineRule="auto"/>
              <w:jc w:val="center"/>
              <w:rPr>
                <w:rFonts w:ascii="Calibri" w:eastAsia="Times New Roman" w:hAnsi="Calibri" w:cs="Times New Roman"/>
                <w:lang w:eastAsia="pt-BR"/>
              </w:rPr>
            </w:pPr>
            <w:r w:rsidRPr="00B7483D">
              <w:rPr>
                <w:rFonts w:ascii="Calibri" w:eastAsia="Times New Roman" w:hAnsi="Calibri" w:cs="Times New Roman"/>
                <w:lang w:eastAsia="pt-BR"/>
              </w:rPr>
              <w:t>Renda Fixa</w:t>
            </w:r>
          </w:p>
        </w:tc>
        <w:tc>
          <w:tcPr>
            <w:tcW w:w="1678" w:type="dxa"/>
            <w:tcBorders>
              <w:top w:val="nil"/>
              <w:left w:val="nil"/>
              <w:bottom w:val="single" w:sz="4" w:space="0" w:color="auto"/>
              <w:right w:val="single" w:sz="4" w:space="0" w:color="auto"/>
            </w:tcBorders>
            <w:shd w:val="clear" w:color="auto" w:fill="auto"/>
            <w:vAlign w:val="center"/>
            <w:hideMark/>
          </w:tcPr>
          <w:p w14:paraId="237876A5" w14:textId="77777777" w:rsidR="009653CC" w:rsidRPr="00B7483D" w:rsidRDefault="009653CC" w:rsidP="009653CC">
            <w:pPr>
              <w:spacing w:after="0" w:line="240" w:lineRule="auto"/>
              <w:jc w:val="center"/>
              <w:rPr>
                <w:rFonts w:ascii="Calibri" w:eastAsia="Times New Roman" w:hAnsi="Calibri" w:cs="Times New Roman"/>
                <w:lang w:eastAsia="pt-BR"/>
              </w:rPr>
            </w:pPr>
            <w:r w:rsidRPr="00B7483D">
              <w:rPr>
                <w:rFonts w:ascii="Calibri" w:eastAsia="Times New Roman" w:hAnsi="Calibri" w:cs="Times New Roman"/>
                <w:lang w:eastAsia="pt-BR"/>
              </w:rPr>
              <w:t>081</w:t>
            </w:r>
          </w:p>
        </w:tc>
        <w:tc>
          <w:tcPr>
            <w:tcW w:w="6927" w:type="dxa"/>
            <w:tcBorders>
              <w:top w:val="nil"/>
              <w:left w:val="nil"/>
              <w:bottom w:val="single" w:sz="4" w:space="0" w:color="auto"/>
              <w:right w:val="single" w:sz="4" w:space="0" w:color="auto"/>
            </w:tcBorders>
            <w:shd w:val="clear" w:color="auto" w:fill="auto"/>
            <w:vAlign w:val="center"/>
            <w:hideMark/>
          </w:tcPr>
          <w:p w14:paraId="5F6C4B31" w14:textId="77777777" w:rsidR="009653CC" w:rsidRPr="00B7483D" w:rsidRDefault="009653CC" w:rsidP="009653CC">
            <w:pPr>
              <w:spacing w:after="0" w:line="240" w:lineRule="auto"/>
              <w:jc w:val="both"/>
              <w:rPr>
                <w:rFonts w:ascii="Calibri" w:eastAsia="Times New Roman" w:hAnsi="Calibri" w:cs="Times New Roman"/>
                <w:lang w:eastAsia="pt-BR"/>
              </w:rPr>
            </w:pPr>
            <w:r w:rsidRPr="00B7483D">
              <w:rPr>
                <w:rFonts w:ascii="Calibri" w:eastAsia="Times New Roman" w:hAnsi="Calibri" w:cs="Times New Roman"/>
                <w:lang w:eastAsia="pt-BR"/>
              </w:rPr>
              <w:t xml:space="preserve">DI - DEPÓSITO INTERFINANCEIRO </w:t>
            </w:r>
          </w:p>
        </w:tc>
      </w:tr>
      <w:tr w:rsidR="009653CC" w:rsidRPr="009653CC" w14:paraId="50879258" w14:textId="77777777" w:rsidTr="009653CC">
        <w:trPr>
          <w:trHeight w:val="305"/>
        </w:trPr>
        <w:tc>
          <w:tcPr>
            <w:tcW w:w="949" w:type="dxa"/>
            <w:tcBorders>
              <w:top w:val="nil"/>
              <w:left w:val="single" w:sz="4" w:space="0" w:color="auto"/>
              <w:bottom w:val="single" w:sz="4" w:space="0" w:color="auto"/>
              <w:right w:val="single" w:sz="4" w:space="0" w:color="auto"/>
            </w:tcBorders>
            <w:shd w:val="clear" w:color="auto" w:fill="auto"/>
            <w:vAlign w:val="center"/>
            <w:hideMark/>
          </w:tcPr>
          <w:p w14:paraId="468B8537" w14:textId="77777777" w:rsidR="009653CC" w:rsidRPr="00B7483D" w:rsidRDefault="009653CC" w:rsidP="009653CC">
            <w:pPr>
              <w:spacing w:after="0" w:line="240" w:lineRule="auto"/>
              <w:jc w:val="center"/>
              <w:rPr>
                <w:rFonts w:ascii="Calibri" w:eastAsia="Times New Roman" w:hAnsi="Calibri" w:cs="Times New Roman"/>
                <w:lang w:eastAsia="pt-BR"/>
              </w:rPr>
            </w:pPr>
            <w:r w:rsidRPr="00B7483D">
              <w:rPr>
                <w:rFonts w:ascii="Calibri" w:eastAsia="Times New Roman" w:hAnsi="Calibri" w:cs="Times New Roman"/>
                <w:lang w:eastAsia="pt-BR"/>
              </w:rPr>
              <w:t>Fundos</w:t>
            </w:r>
          </w:p>
        </w:tc>
        <w:tc>
          <w:tcPr>
            <w:tcW w:w="1678" w:type="dxa"/>
            <w:tcBorders>
              <w:top w:val="nil"/>
              <w:left w:val="nil"/>
              <w:bottom w:val="single" w:sz="4" w:space="0" w:color="auto"/>
              <w:right w:val="single" w:sz="4" w:space="0" w:color="auto"/>
            </w:tcBorders>
            <w:shd w:val="clear" w:color="auto" w:fill="auto"/>
            <w:vAlign w:val="center"/>
            <w:hideMark/>
          </w:tcPr>
          <w:p w14:paraId="71825C14" w14:textId="77777777" w:rsidR="009653CC" w:rsidRPr="00B7483D" w:rsidRDefault="009653CC" w:rsidP="009653CC">
            <w:pPr>
              <w:spacing w:after="0" w:line="240" w:lineRule="auto"/>
              <w:jc w:val="center"/>
              <w:rPr>
                <w:rFonts w:ascii="Calibri" w:eastAsia="Times New Roman" w:hAnsi="Calibri" w:cs="Times New Roman"/>
                <w:lang w:eastAsia="pt-BR"/>
              </w:rPr>
            </w:pPr>
            <w:r w:rsidRPr="00B7483D">
              <w:rPr>
                <w:rFonts w:ascii="Calibri" w:eastAsia="Times New Roman" w:hAnsi="Calibri" w:cs="Times New Roman"/>
                <w:lang w:eastAsia="pt-BR"/>
              </w:rPr>
              <w:t>001</w:t>
            </w:r>
          </w:p>
        </w:tc>
        <w:tc>
          <w:tcPr>
            <w:tcW w:w="6927" w:type="dxa"/>
            <w:tcBorders>
              <w:top w:val="nil"/>
              <w:left w:val="nil"/>
              <w:bottom w:val="single" w:sz="4" w:space="0" w:color="auto"/>
              <w:right w:val="single" w:sz="4" w:space="0" w:color="auto"/>
            </w:tcBorders>
            <w:shd w:val="clear" w:color="auto" w:fill="auto"/>
            <w:vAlign w:val="center"/>
            <w:hideMark/>
          </w:tcPr>
          <w:p w14:paraId="311367F3" w14:textId="77777777" w:rsidR="009653CC" w:rsidRPr="00B7483D" w:rsidRDefault="009653CC" w:rsidP="009653CC">
            <w:pPr>
              <w:spacing w:after="0" w:line="240" w:lineRule="auto"/>
              <w:jc w:val="both"/>
              <w:rPr>
                <w:rFonts w:ascii="Calibri" w:eastAsia="Times New Roman" w:hAnsi="Calibri" w:cs="Times New Roman"/>
                <w:lang w:eastAsia="pt-BR"/>
              </w:rPr>
            </w:pPr>
            <w:r w:rsidRPr="00B7483D">
              <w:rPr>
                <w:rFonts w:ascii="Calibri" w:eastAsia="Times New Roman" w:hAnsi="Calibri" w:cs="Times New Roman"/>
                <w:lang w:eastAsia="pt-BR"/>
              </w:rPr>
              <w:t xml:space="preserve">BANESTES INVESTIDOR AUTOMÁTICO FUNDO DE INVESTIMENTO RENDA FIXA CURTO PRAZO </w:t>
            </w:r>
          </w:p>
        </w:tc>
      </w:tr>
      <w:tr w:rsidR="009653CC" w:rsidRPr="009653CC" w14:paraId="480F2A5E" w14:textId="77777777" w:rsidTr="009653CC">
        <w:trPr>
          <w:trHeight w:val="305"/>
        </w:trPr>
        <w:tc>
          <w:tcPr>
            <w:tcW w:w="949" w:type="dxa"/>
            <w:tcBorders>
              <w:top w:val="nil"/>
              <w:left w:val="single" w:sz="4" w:space="0" w:color="auto"/>
              <w:bottom w:val="single" w:sz="4" w:space="0" w:color="auto"/>
              <w:right w:val="single" w:sz="4" w:space="0" w:color="auto"/>
            </w:tcBorders>
            <w:shd w:val="clear" w:color="auto" w:fill="auto"/>
            <w:vAlign w:val="center"/>
            <w:hideMark/>
          </w:tcPr>
          <w:p w14:paraId="7C06153A" w14:textId="77777777" w:rsidR="009653CC" w:rsidRPr="00B7483D" w:rsidRDefault="009653CC" w:rsidP="009653CC">
            <w:pPr>
              <w:spacing w:after="0" w:line="240" w:lineRule="auto"/>
              <w:jc w:val="center"/>
              <w:rPr>
                <w:rFonts w:ascii="Calibri" w:eastAsia="Times New Roman" w:hAnsi="Calibri" w:cs="Times New Roman"/>
                <w:lang w:eastAsia="pt-BR"/>
              </w:rPr>
            </w:pPr>
            <w:r w:rsidRPr="00B7483D">
              <w:rPr>
                <w:rFonts w:ascii="Calibri" w:eastAsia="Times New Roman" w:hAnsi="Calibri" w:cs="Times New Roman"/>
                <w:lang w:eastAsia="pt-BR"/>
              </w:rPr>
              <w:t>Fundos</w:t>
            </w:r>
          </w:p>
        </w:tc>
        <w:tc>
          <w:tcPr>
            <w:tcW w:w="1678" w:type="dxa"/>
            <w:tcBorders>
              <w:top w:val="nil"/>
              <w:left w:val="nil"/>
              <w:bottom w:val="single" w:sz="4" w:space="0" w:color="auto"/>
              <w:right w:val="single" w:sz="4" w:space="0" w:color="auto"/>
            </w:tcBorders>
            <w:shd w:val="clear" w:color="auto" w:fill="auto"/>
            <w:vAlign w:val="center"/>
            <w:hideMark/>
          </w:tcPr>
          <w:p w14:paraId="10695B6B" w14:textId="77777777" w:rsidR="009653CC" w:rsidRPr="00B7483D" w:rsidRDefault="009653CC" w:rsidP="009653CC">
            <w:pPr>
              <w:spacing w:after="0" w:line="240" w:lineRule="auto"/>
              <w:jc w:val="center"/>
              <w:rPr>
                <w:rFonts w:ascii="Calibri" w:eastAsia="Times New Roman" w:hAnsi="Calibri" w:cs="Times New Roman"/>
                <w:lang w:eastAsia="pt-BR"/>
              </w:rPr>
            </w:pPr>
            <w:r w:rsidRPr="00B7483D">
              <w:rPr>
                <w:rFonts w:ascii="Calibri" w:eastAsia="Times New Roman" w:hAnsi="Calibri" w:cs="Times New Roman"/>
                <w:lang w:eastAsia="pt-BR"/>
              </w:rPr>
              <w:t>002</w:t>
            </w:r>
          </w:p>
        </w:tc>
        <w:tc>
          <w:tcPr>
            <w:tcW w:w="6927" w:type="dxa"/>
            <w:tcBorders>
              <w:top w:val="nil"/>
              <w:left w:val="nil"/>
              <w:bottom w:val="single" w:sz="4" w:space="0" w:color="auto"/>
              <w:right w:val="single" w:sz="4" w:space="0" w:color="auto"/>
            </w:tcBorders>
            <w:shd w:val="clear" w:color="auto" w:fill="auto"/>
            <w:vAlign w:val="center"/>
            <w:hideMark/>
          </w:tcPr>
          <w:p w14:paraId="34E4C966" w14:textId="77777777" w:rsidR="009653CC" w:rsidRPr="00B7483D" w:rsidRDefault="009653CC" w:rsidP="009653CC">
            <w:pPr>
              <w:spacing w:after="0" w:line="240" w:lineRule="auto"/>
              <w:jc w:val="both"/>
              <w:rPr>
                <w:rFonts w:ascii="Calibri" w:eastAsia="Times New Roman" w:hAnsi="Calibri" w:cs="Times New Roman"/>
                <w:lang w:eastAsia="pt-BR"/>
              </w:rPr>
            </w:pPr>
            <w:r w:rsidRPr="00B7483D">
              <w:rPr>
                <w:rFonts w:ascii="Calibri" w:eastAsia="Times New Roman" w:hAnsi="Calibri" w:cs="Times New Roman"/>
                <w:lang w:eastAsia="pt-BR"/>
              </w:rPr>
              <w:t>FUNDO DE INVESTIMENTO BANESTES INVEST MONEY RENDA FIXA</w:t>
            </w:r>
          </w:p>
        </w:tc>
      </w:tr>
      <w:tr w:rsidR="009653CC" w:rsidRPr="009653CC" w14:paraId="4F9CC6D5" w14:textId="77777777" w:rsidTr="009653CC">
        <w:trPr>
          <w:trHeight w:val="610"/>
        </w:trPr>
        <w:tc>
          <w:tcPr>
            <w:tcW w:w="949" w:type="dxa"/>
            <w:tcBorders>
              <w:top w:val="nil"/>
              <w:left w:val="single" w:sz="4" w:space="0" w:color="auto"/>
              <w:bottom w:val="single" w:sz="4" w:space="0" w:color="auto"/>
              <w:right w:val="single" w:sz="4" w:space="0" w:color="auto"/>
            </w:tcBorders>
            <w:shd w:val="clear" w:color="auto" w:fill="auto"/>
            <w:vAlign w:val="center"/>
            <w:hideMark/>
          </w:tcPr>
          <w:p w14:paraId="08D92999" w14:textId="77777777" w:rsidR="009653CC" w:rsidRPr="00B7483D" w:rsidRDefault="009653CC" w:rsidP="009653CC">
            <w:pPr>
              <w:spacing w:after="0" w:line="240" w:lineRule="auto"/>
              <w:jc w:val="center"/>
              <w:rPr>
                <w:rFonts w:ascii="Calibri" w:eastAsia="Times New Roman" w:hAnsi="Calibri" w:cs="Times New Roman"/>
                <w:lang w:eastAsia="pt-BR"/>
              </w:rPr>
            </w:pPr>
            <w:r w:rsidRPr="00B7483D">
              <w:rPr>
                <w:rFonts w:ascii="Calibri" w:eastAsia="Times New Roman" w:hAnsi="Calibri" w:cs="Times New Roman"/>
                <w:lang w:eastAsia="pt-BR"/>
              </w:rPr>
              <w:t>Fundos</w:t>
            </w:r>
          </w:p>
        </w:tc>
        <w:tc>
          <w:tcPr>
            <w:tcW w:w="1678" w:type="dxa"/>
            <w:tcBorders>
              <w:top w:val="nil"/>
              <w:left w:val="nil"/>
              <w:bottom w:val="single" w:sz="4" w:space="0" w:color="auto"/>
              <w:right w:val="single" w:sz="4" w:space="0" w:color="auto"/>
            </w:tcBorders>
            <w:shd w:val="clear" w:color="auto" w:fill="auto"/>
            <w:vAlign w:val="center"/>
            <w:hideMark/>
          </w:tcPr>
          <w:p w14:paraId="0E1D9712" w14:textId="77777777" w:rsidR="009653CC" w:rsidRPr="00B7483D" w:rsidRDefault="009653CC" w:rsidP="009653CC">
            <w:pPr>
              <w:spacing w:after="0" w:line="240" w:lineRule="auto"/>
              <w:jc w:val="center"/>
              <w:rPr>
                <w:rFonts w:ascii="Calibri" w:eastAsia="Times New Roman" w:hAnsi="Calibri" w:cs="Times New Roman"/>
                <w:lang w:eastAsia="pt-BR"/>
              </w:rPr>
            </w:pPr>
            <w:r w:rsidRPr="00B7483D">
              <w:rPr>
                <w:rFonts w:ascii="Calibri" w:eastAsia="Times New Roman" w:hAnsi="Calibri" w:cs="Times New Roman"/>
                <w:lang w:eastAsia="pt-BR"/>
              </w:rPr>
              <w:t>004</w:t>
            </w:r>
          </w:p>
        </w:tc>
        <w:tc>
          <w:tcPr>
            <w:tcW w:w="6927" w:type="dxa"/>
            <w:tcBorders>
              <w:top w:val="nil"/>
              <w:left w:val="nil"/>
              <w:bottom w:val="single" w:sz="4" w:space="0" w:color="auto"/>
              <w:right w:val="single" w:sz="4" w:space="0" w:color="auto"/>
            </w:tcBorders>
            <w:shd w:val="clear" w:color="auto" w:fill="auto"/>
            <w:vAlign w:val="center"/>
            <w:hideMark/>
          </w:tcPr>
          <w:p w14:paraId="203941C4" w14:textId="77777777" w:rsidR="009653CC" w:rsidRPr="00B7483D" w:rsidRDefault="009653CC" w:rsidP="009653CC">
            <w:pPr>
              <w:spacing w:after="0" w:line="240" w:lineRule="auto"/>
              <w:jc w:val="both"/>
              <w:rPr>
                <w:rFonts w:ascii="Calibri" w:eastAsia="Times New Roman" w:hAnsi="Calibri" w:cs="Times New Roman"/>
                <w:lang w:eastAsia="pt-BR"/>
              </w:rPr>
            </w:pPr>
            <w:r w:rsidRPr="00B7483D">
              <w:rPr>
                <w:rFonts w:ascii="Calibri" w:eastAsia="Times New Roman" w:hAnsi="Calibri" w:cs="Times New Roman"/>
                <w:lang w:eastAsia="pt-BR"/>
              </w:rPr>
              <w:t>BANESTES VIP DI FUNDO DE INVESTIMENTO EM COTAS DE FUNDOS DE INVESTIMENTO RENDA FIXA REFERENCIADO DI</w:t>
            </w:r>
          </w:p>
        </w:tc>
      </w:tr>
      <w:tr w:rsidR="009653CC" w:rsidRPr="009653CC" w14:paraId="46D2B2C6" w14:textId="77777777" w:rsidTr="009653CC">
        <w:trPr>
          <w:trHeight w:val="305"/>
        </w:trPr>
        <w:tc>
          <w:tcPr>
            <w:tcW w:w="949" w:type="dxa"/>
            <w:tcBorders>
              <w:top w:val="nil"/>
              <w:left w:val="single" w:sz="4" w:space="0" w:color="auto"/>
              <w:bottom w:val="single" w:sz="4" w:space="0" w:color="auto"/>
              <w:right w:val="single" w:sz="4" w:space="0" w:color="auto"/>
            </w:tcBorders>
            <w:shd w:val="clear" w:color="auto" w:fill="auto"/>
            <w:vAlign w:val="center"/>
            <w:hideMark/>
          </w:tcPr>
          <w:p w14:paraId="4C84AFEC" w14:textId="77777777" w:rsidR="009653CC" w:rsidRPr="00B7483D" w:rsidRDefault="009653CC" w:rsidP="009653CC">
            <w:pPr>
              <w:spacing w:after="0" w:line="240" w:lineRule="auto"/>
              <w:jc w:val="center"/>
              <w:rPr>
                <w:rFonts w:ascii="Calibri" w:eastAsia="Times New Roman" w:hAnsi="Calibri" w:cs="Times New Roman"/>
                <w:lang w:eastAsia="pt-BR"/>
              </w:rPr>
            </w:pPr>
            <w:r w:rsidRPr="00B7483D">
              <w:rPr>
                <w:rFonts w:ascii="Calibri" w:eastAsia="Times New Roman" w:hAnsi="Calibri" w:cs="Times New Roman"/>
                <w:lang w:eastAsia="pt-BR"/>
              </w:rPr>
              <w:t>Fundos</w:t>
            </w:r>
          </w:p>
        </w:tc>
        <w:tc>
          <w:tcPr>
            <w:tcW w:w="1678" w:type="dxa"/>
            <w:tcBorders>
              <w:top w:val="nil"/>
              <w:left w:val="nil"/>
              <w:bottom w:val="single" w:sz="4" w:space="0" w:color="auto"/>
              <w:right w:val="single" w:sz="4" w:space="0" w:color="auto"/>
            </w:tcBorders>
            <w:shd w:val="clear" w:color="auto" w:fill="auto"/>
            <w:vAlign w:val="center"/>
            <w:hideMark/>
          </w:tcPr>
          <w:p w14:paraId="195DC2B5" w14:textId="77777777" w:rsidR="009653CC" w:rsidRPr="00B7483D" w:rsidRDefault="009653CC" w:rsidP="009653CC">
            <w:pPr>
              <w:spacing w:after="0" w:line="240" w:lineRule="auto"/>
              <w:jc w:val="center"/>
              <w:rPr>
                <w:rFonts w:ascii="Calibri" w:eastAsia="Times New Roman" w:hAnsi="Calibri" w:cs="Times New Roman"/>
                <w:lang w:eastAsia="pt-BR"/>
              </w:rPr>
            </w:pPr>
            <w:r w:rsidRPr="00B7483D">
              <w:rPr>
                <w:rFonts w:ascii="Calibri" w:eastAsia="Times New Roman" w:hAnsi="Calibri" w:cs="Times New Roman"/>
                <w:lang w:eastAsia="pt-BR"/>
              </w:rPr>
              <w:t>005</w:t>
            </w:r>
          </w:p>
        </w:tc>
        <w:tc>
          <w:tcPr>
            <w:tcW w:w="6927" w:type="dxa"/>
            <w:tcBorders>
              <w:top w:val="nil"/>
              <w:left w:val="nil"/>
              <w:bottom w:val="single" w:sz="4" w:space="0" w:color="auto"/>
              <w:right w:val="single" w:sz="4" w:space="0" w:color="auto"/>
            </w:tcBorders>
            <w:shd w:val="clear" w:color="auto" w:fill="auto"/>
            <w:vAlign w:val="center"/>
            <w:hideMark/>
          </w:tcPr>
          <w:p w14:paraId="3D0368A7" w14:textId="77777777" w:rsidR="009653CC" w:rsidRPr="00B7483D" w:rsidRDefault="009653CC" w:rsidP="009653CC">
            <w:pPr>
              <w:spacing w:after="0" w:line="240" w:lineRule="auto"/>
              <w:jc w:val="both"/>
              <w:rPr>
                <w:rFonts w:ascii="Calibri" w:eastAsia="Times New Roman" w:hAnsi="Calibri" w:cs="Times New Roman"/>
                <w:lang w:eastAsia="pt-BR"/>
              </w:rPr>
            </w:pPr>
            <w:r w:rsidRPr="00B7483D">
              <w:rPr>
                <w:rFonts w:ascii="Calibri" w:eastAsia="Times New Roman" w:hAnsi="Calibri" w:cs="Times New Roman"/>
                <w:lang w:eastAsia="pt-BR"/>
              </w:rPr>
              <w:t>FUNDO DE INVESTIMENTO BANESTES INVEST PUBLIC RENDA FIXA</w:t>
            </w:r>
          </w:p>
        </w:tc>
      </w:tr>
      <w:tr w:rsidR="009653CC" w:rsidRPr="009653CC" w14:paraId="416F7062" w14:textId="77777777" w:rsidTr="009653CC">
        <w:trPr>
          <w:trHeight w:val="610"/>
        </w:trPr>
        <w:tc>
          <w:tcPr>
            <w:tcW w:w="949" w:type="dxa"/>
            <w:tcBorders>
              <w:top w:val="nil"/>
              <w:left w:val="single" w:sz="4" w:space="0" w:color="auto"/>
              <w:bottom w:val="single" w:sz="4" w:space="0" w:color="auto"/>
              <w:right w:val="single" w:sz="4" w:space="0" w:color="auto"/>
            </w:tcBorders>
            <w:shd w:val="clear" w:color="auto" w:fill="auto"/>
            <w:vAlign w:val="center"/>
            <w:hideMark/>
          </w:tcPr>
          <w:p w14:paraId="1C21232F" w14:textId="77777777" w:rsidR="009653CC" w:rsidRPr="00B7483D" w:rsidRDefault="009653CC" w:rsidP="009653CC">
            <w:pPr>
              <w:spacing w:after="0" w:line="240" w:lineRule="auto"/>
              <w:jc w:val="center"/>
              <w:rPr>
                <w:rFonts w:ascii="Calibri" w:eastAsia="Times New Roman" w:hAnsi="Calibri" w:cs="Times New Roman"/>
                <w:lang w:eastAsia="pt-BR"/>
              </w:rPr>
            </w:pPr>
            <w:r w:rsidRPr="00B7483D">
              <w:rPr>
                <w:rFonts w:ascii="Calibri" w:eastAsia="Times New Roman" w:hAnsi="Calibri" w:cs="Times New Roman"/>
                <w:lang w:eastAsia="pt-BR"/>
              </w:rPr>
              <w:lastRenderedPageBreak/>
              <w:t>Fundos</w:t>
            </w:r>
          </w:p>
        </w:tc>
        <w:tc>
          <w:tcPr>
            <w:tcW w:w="1678" w:type="dxa"/>
            <w:tcBorders>
              <w:top w:val="nil"/>
              <w:left w:val="nil"/>
              <w:bottom w:val="single" w:sz="4" w:space="0" w:color="auto"/>
              <w:right w:val="single" w:sz="4" w:space="0" w:color="auto"/>
            </w:tcBorders>
            <w:shd w:val="clear" w:color="auto" w:fill="auto"/>
            <w:vAlign w:val="center"/>
            <w:hideMark/>
          </w:tcPr>
          <w:p w14:paraId="3E4F7FF7" w14:textId="77777777" w:rsidR="009653CC" w:rsidRPr="00B7483D" w:rsidRDefault="009653CC" w:rsidP="009653CC">
            <w:pPr>
              <w:spacing w:after="0" w:line="240" w:lineRule="auto"/>
              <w:jc w:val="center"/>
              <w:rPr>
                <w:rFonts w:ascii="Calibri" w:eastAsia="Times New Roman" w:hAnsi="Calibri" w:cs="Times New Roman"/>
                <w:lang w:eastAsia="pt-BR"/>
              </w:rPr>
            </w:pPr>
            <w:r w:rsidRPr="00B7483D">
              <w:rPr>
                <w:rFonts w:ascii="Calibri" w:eastAsia="Times New Roman" w:hAnsi="Calibri" w:cs="Times New Roman"/>
                <w:lang w:eastAsia="pt-BR"/>
              </w:rPr>
              <w:t>006</w:t>
            </w:r>
          </w:p>
        </w:tc>
        <w:tc>
          <w:tcPr>
            <w:tcW w:w="6927" w:type="dxa"/>
            <w:tcBorders>
              <w:top w:val="nil"/>
              <w:left w:val="nil"/>
              <w:bottom w:val="single" w:sz="4" w:space="0" w:color="auto"/>
              <w:right w:val="single" w:sz="4" w:space="0" w:color="auto"/>
            </w:tcBorders>
            <w:shd w:val="clear" w:color="auto" w:fill="auto"/>
            <w:vAlign w:val="center"/>
            <w:hideMark/>
          </w:tcPr>
          <w:p w14:paraId="0AED01EC" w14:textId="77777777" w:rsidR="009653CC" w:rsidRPr="00B7483D" w:rsidRDefault="009653CC" w:rsidP="009653CC">
            <w:pPr>
              <w:spacing w:after="0" w:line="240" w:lineRule="auto"/>
              <w:jc w:val="both"/>
              <w:rPr>
                <w:rFonts w:ascii="Calibri" w:eastAsia="Times New Roman" w:hAnsi="Calibri" w:cs="Times New Roman"/>
                <w:lang w:eastAsia="pt-BR"/>
              </w:rPr>
            </w:pPr>
            <w:r w:rsidRPr="00B7483D">
              <w:rPr>
                <w:rFonts w:ascii="Calibri" w:eastAsia="Times New Roman" w:hAnsi="Calibri" w:cs="Times New Roman"/>
                <w:lang w:eastAsia="pt-BR"/>
              </w:rPr>
              <w:t>BANESTES VITÓRIA 500 FUNDO DE INVESTIMENTO EM COTAS DE FUNDOS DE INVESTIMENTO RENDA FIXA REFERENCIADO DI</w:t>
            </w:r>
          </w:p>
        </w:tc>
      </w:tr>
      <w:tr w:rsidR="009653CC" w:rsidRPr="009653CC" w14:paraId="13A3283B" w14:textId="77777777" w:rsidTr="009653CC">
        <w:trPr>
          <w:trHeight w:val="305"/>
        </w:trPr>
        <w:tc>
          <w:tcPr>
            <w:tcW w:w="949" w:type="dxa"/>
            <w:tcBorders>
              <w:top w:val="nil"/>
              <w:left w:val="single" w:sz="4" w:space="0" w:color="auto"/>
              <w:bottom w:val="single" w:sz="4" w:space="0" w:color="auto"/>
              <w:right w:val="single" w:sz="4" w:space="0" w:color="auto"/>
            </w:tcBorders>
            <w:shd w:val="clear" w:color="auto" w:fill="auto"/>
            <w:vAlign w:val="center"/>
            <w:hideMark/>
          </w:tcPr>
          <w:p w14:paraId="6B373B89" w14:textId="77777777" w:rsidR="009653CC" w:rsidRPr="00B7483D" w:rsidRDefault="009653CC" w:rsidP="009653CC">
            <w:pPr>
              <w:spacing w:after="0" w:line="240" w:lineRule="auto"/>
              <w:jc w:val="center"/>
              <w:rPr>
                <w:rFonts w:ascii="Calibri" w:eastAsia="Times New Roman" w:hAnsi="Calibri" w:cs="Times New Roman"/>
                <w:lang w:eastAsia="pt-BR"/>
              </w:rPr>
            </w:pPr>
            <w:r w:rsidRPr="00B7483D">
              <w:rPr>
                <w:rFonts w:ascii="Calibri" w:eastAsia="Times New Roman" w:hAnsi="Calibri" w:cs="Times New Roman"/>
                <w:lang w:eastAsia="pt-BR"/>
              </w:rPr>
              <w:t>Fundos</w:t>
            </w:r>
          </w:p>
        </w:tc>
        <w:tc>
          <w:tcPr>
            <w:tcW w:w="1678" w:type="dxa"/>
            <w:tcBorders>
              <w:top w:val="nil"/>
              <w:left w:val="nil"/>
              <w:bottom w:val="single" w:sz="4" w:space="0" w:color="auto"/>
              <w:right w:val="single" w:sz="4" w:space="0" w:color="auto"/>
            </w:tcBorders>
            <w:shd w:val="clear" w:color="auto" w:fill="auto"/>
            <w:vAlign w:val="center"/>
            <w:hideMark/>
          </w:tcPr>
          <w:p w14:paraId="40F3F21A" w14:textId="77777777" w:rsidR="009653CC" w:rsidRPr="00B7483D" w:rsidRDefault="009653CC" w:rsidP="009653CC">
            <w:pPr>
              <w:spacing w:after="0" w:line="240" w:lineRule="auto"/>
              <w:jc w:val="center"/>
              <w:rPr>
                <w:rFonts w:ascii="Calibri" w:eastAsia="Times New Roman" w:hAnsi="Calibri" w:cs="Times New Roman"/>
                <w:lang w:eastAsia="pt-BR"/>
              </w:rPr>
            </w:pPr>
            <w:r w:rsidRPr="00B7483D">
              <w:rPr>
                <w:rFonts w:ascii="Calibri" w:eastAsia="Times New Roman" w:hAnsi="Calibri" w:cs="Times New Roman"/>
                <w:lang w:eastAsia="pt-BR"/>
              </w:rPr>
              <w:t>008</w:t>
            </w:r>
          </w:p>
        </w:tc>
        <w:tc>
          <w:tcPr>
            <w:tcW w:w="6927" w:type="dxa"/>
            <w:tcBorders>
              <w:top w:val="nil"/>
              <w:left w:val="nil"/>
              <w:bottom w:val="single" w:sz="4" w:space="0" w:color="auto"/>
              <w:right w:val="single" w:sz="4" w:space="0" w:color="auto"/>
            </w:tcBorders>
            <w:shd w:val="clear" w:color="auto" w:fill="auto"/>
            <w:vAlign w:val="center"/>
            <w:hideMark/>
          </w:tcPr>
          <w:p w14:paraId="699BA8AF" w14:textId="77777777" w:rsidR="009653CC" w:rsidRPr="00B7483D" w:rsidRDefault="009653CC" w:rsidP="009653CC">
            <w:pPr>
              <w:spacing w:after="0" w:line="240" w:lineRule="auto"/>
              <w:jc w:val="both"/>
              <w:rPr>
                <w:rFonts w:ascii="Calibri" w:eastAsia="Times New Roman" w:hAnsi="Calibri" w:cs="Times New Roman"/>
                <w:lang w:eastAsia="pt-BR"/>
              </w:rPr>
            </w:pPr>
            <w:r w:rsidRPr="00B7483D">
              <w:rPr>
                <w:rFonts w:ascii="Calibri" w:eastAsia="Times New Roman" w:hAnsi="Calibri" w:cs="Times New Roman"/>
                <w:lang w:eastAsia="pt-BR"/>
              </w:rPr>
              <w:t>BANESTES INSTITUCIONAL FUNDO DE INVESTIMENTO RENDA FIXA</w:t>
            </w:r>
          </w:p>
        </w:tc>
      </w:tr>
      <w:tr w:rsidR="009653CC" w:rsidRPr="009653CC" w14:paraId="48353256" w14:textId="77777777" w:rsidTr="009653CC">
        <w:trPr>
          <w:trHeight w:val="305"/>
        </w:trPr>
        <w:tc>
          <w:tcPr>
            <w:tcW w:w="949" w:type="dxa"/>
            <w:tcBorders>
              <w:top w:val="nil"/>
              <w:left w:val="single" w:sz="4" w:space="0" w:color="auto"/>
              <w:bottom w:val="single" w:sz="4" w:space="0" w:color="auto"/>
              <w:right w:val="single" w:sz="4" w:space="0" w:color="auto"/>
            </w:tcBorders>
            <w:shd w:val="clear" w:color="auto" w:fill="auto"/>
            <w:vAlign w:val="center"/>
            <w:hideMark/>
          </w:tcPr>
          <w:p w14:paraId="754B0D10" w14:textId="77777777" w:rsidR="009653CC" w:rsidRPr="00B7483D" w:rsidRDefault="009653CC" w:rsidP="009653CC">
            <w:pPr>
              <w:spacing w:after="0" w:line="240" w:lineRule="auto"/>
              <w:jc w:val="center"/>
              <w:rPr>
                <w:rFonts w:ascii="Calibri" w:eastAsia="Times New Roman" w:hAnsi="Calibri" w:cs="Times New Roman"/>
                <w:lang w:eastAsia="pt-BR"/>
              </w:rPr>
            </w:pPr>
            <w:r w:rsidRPr="00B7483D">
              <w:rPr>
                <w:rFonts w:ascii="Calibri" w:eastAsia="Times New Roman" w:hAnsi="Calibri" w:cs="Times New Roman"/>
                <w:lang w:eastAsia="pt-BR"/>
              </w:rPr>
              <w:t>Fundos</w:t>
            </w:r>
          </w:p>
        </w:tc>
        <w:tc>
          <w:tcPr>
            <w:tcW w:w="1678" w:type="dxa"/>
            <w:tcBorders>
              <w:top w:val="nil"/>
              <w:left w:val="nil"/>
              <w:bottom w:val="single" w:sz="4" w:space="0" w:color="auto"/>
              <w:right w:val="single" w:sz="4" w:space="0" w:color="auto"/>
            </w:tcBorders>
            <w:shd w:val="clear" w:color="auto" w:fill="auto"/>
            <w:vAlign w:val="center"/>
            <w:hideMark/>
          </w:tcPr>
          <w:p w14:paraId="5B411067" w14:textId="77777777" w:rsidR="009653CC" w:rsidRPr="00B7483D" w:rsidRDefault="009653CC" w:rsidP="009653CC">
            <w:pPr>
              <w:spacing w:after="0" w:line="240" w:lineRule="auto"/>
              <w:jc w:val="center"/>
              <w:rPr>
                <w:rFonts w:ascii="Calibri" w:eastAsia="Times New Roman" w:hAnsi="Calibri" w:cs="Times New Roman"/>
                <w:lang w:eastAsia="pt-BR"/>
              </w:rPr>
            </w:pPr>
            <w:r w:rsidRPr="00B7483D">
              <w:rPr>
                <w:rFonts w:ascii="Calibri" w:eastAsia="Times New Roman" w:hAnsi="Calibri" w:cs="Times New Roman"/>
                <w:lang w:eastAsia="pt-BR"/>
              </w:rPr>
              <w:t>011</w:t>
            </w:r>
          </w:p>
        </w:tc>
        <w:tc>
          <w:tcPr>
            <w:tcW w:w="6927" w:type="dxa"/>
            <w:tcBorders>
              <w:top w:val="nil"/>
              <w:left w:val="nil"/>
              <w:bottom w:val="single" w:sz="4" w:space="0" w:color="auto"/>
              <w:right w:val="single" w:sz="4" w:space="0" w:color="auto"/>
            </w:tcBorders>
            <w:shd w:val="clear" w:color="auto" w:fill="auto"/>
            <w:vAlign w:val="center"/>
            <w:hideMark/>
          </w:tcPr>
          <w:p w14:paraId="6A1F2757" w14:textId="77777777" w:rsidR="009653CC" w:rsidRPr="00B7483D" w:rsidRDefault="009653CC" w:rsidP="009653CC">
            <w:pPr>
              <w:spacing w:after="0" w:line="240" w:lineRule="auto"/>
              <w:jc w:val="both"/>
              <w:rPr>
                <w:rFonts w:ascii="Calibri" w:eastAsia="Times New Roman" w:hAnsi="Calibri" w:cs="Times New Roman"/>
                <w:lang w:eastAsia="pt-BR"/>
              </w:rPr>
            </w:pPr>
            <w:r w:rsidRPr="00B7483D">
              <w:rPr>
                <w:rFonts w:ascii="Calibri" w:eastAsia="Times New Roman" w:hAnsi="Calibri" w:cs="Times New Roman"/>
                <w:lang w:eastAsia="pt-BR"/>
              </w:rPr>
              <w:t>BANESTES PREVIDENCIÁRIO FUNDO DE INVESTIMENTO RENDA FIXA REFERENCIADO IMA-B</w:t>
            </w:r>
          </w:p>
        </w:tc>
      </w:tr>
      <w:tr w:rsidR="009653CC" w:rsidRPr="009653CC" w14:paraId="0AA7F185" w14:textId="77777777" w:rsidTr="009653CC">
        <w:trPr>
          <w:trHeight w:val="305"/>
        </w:trPr>
        <w:tc>
          <w:tcPr>
            <w:tcW w:w="949" w:type="dxa"/>
            <w:tcBorders>
              <w:top w:val="nil"/>
              <w:left w:val="single" w:sz="4" w:space="0" w:color="auto"/>
              <w:bottom w:val="single" w:sz="4" w:space="0" w:color="auto"/>
              <w:right w:val="single" w:sz="4" w:space="0" w:color="auto"/>
            </w:tcBorders>
            <w:shd w:val="clear" w:color="auto" w:fill="auto"/>
            <w:vAlign w:val="center"/>
            <w:hideMark/>
          </w:tcPr>
          <w:p w14:paraId="3BD8DF24" w14:textId="77777777" w:rsidR="009653CC" w:rsidRPr="00B7483D" w:rsidRDefault="009653CC" w:rsidP="009653CC">
            <w:pPr>
              <w:spacing w:after="0" w:line="240" w:lineRule="auto"/>
              <w:jc w:val="center"/>
              <w:rPr>
                <w:rFonts w:ascii="Calibri" w:eastAsia="Times New Roman" w:hAnsi="Calibri" w:cs="Times New Roman"/>
                <w:lang w:eastAsia="pt-BR"/>
              </w:rPr>
            </w:pPr>
            <w:r w:rsidRPr="00B7483D">
              <w:rPr>
                <w:rFonts w:ascii="Calibri" w:eastAsia="Times New Roman" w:hAnsi="Calibri" w:cs="Times New Roman"/>
                <w:lang w:eastAsia="pt-BR"/>
              </w:rPr>
              <w:t>Fundos</w:t>
            </w:r>
          </w:p>
        </w:tc>
        <w:tc>
          <w:tcPr>
            <w:tcW w:w="1678" w:type="dxa"/>
            <w:tcBorders>
              <w:top w:val="nil"/>
              <w:left w:val="nil"/>
              <w:bottom w:val="single" w:sz="4" w:space="0" w:color="auto"/>
              <w:right w:val="single" w:sz="4" w:space="0" w:color="auto"/>
            </w:tcBorders>
            <w:shd w:val="clear" w:color="auto" w:fill="auto"/>
            <w:vAlign w:val="center"/>
            <w:hideMark/>
          </w:tcPr>
          <w:p w14:paraId="09F53003" w14:textId="77777777" w:rsidR="009653CC" w:rsidRPr="00B7483D" w:rsidRDefault="009653CC" w:rsidP="009653CC">
            <w:pPr>
              <w:spacing w:after="0" w:line="240" w:lineRule="auto"/>
              <w:jc w:val="center"/>
              <w:rPr>
                <w:rFonts w:ascii="Calibri" w:eastAsia="Times New Roman" w:hAnsi="Calibri" w:cs="Times New Roman"/>
                <w:lang w:eastAsia="pt-BR"/>
              </w:rPr>
            </w:pPr>
            <w:r w:rsidRPr="00B7483D">
              <w:rPr>
                <w:rFonts w:ascii="Calibri" w:eastAsia="Times New Roman" w:hAnsi="Calibri" w:cs="Times New Roman"/>
                <w:lang w:eastAsia="pt-BR"/>
              </w:rPr>
              <w:t>013</w:t>
            </w:r>
          </w:p>
        </w:tc>
        <w:tc>
          <w:tcPr>
            <w:tcW w:w="6927" w:type="dxa"/>
            <w:tcBorders>
              <w:top w:val="nil"/>
              <w:left w:val="nil"/>
              <w:bottom w:val="single" w:sz="4" w:space="0" w:color="auto"/>
              <w:right w:val="single" w:sz="4" w:space="0" w:color="auto"/>
            </w:tcBorders>
            <w:shd w:val="clear" w:color="auto" w:fill="auto"/>
            <w:vAlign w:val="center"/>
            <w:hideMark/>
          </w:tcPr>
          <w:p w14:paraId="1E3FA4F4" w14:textId="77777777" w:rsidR="009653CC" w:rsidRPr="00B7483D" w:rsidRDefault="009653CC" w:rsidP="009653CC">
            <w:pPr>
              <w:spacing w:after="0" w:line="240" w:lineRule="auto"/>
              <w:jc w:val="both"/>
              <w:rPr>
                <w:rFonts w:ascii="Calibri" w:eastAsia="Times New Roman" w:hAnsi="Calibri" w:cs="Times New Roman"/>
                <w:lang w:eastAsia="pt-BR"/>
              </w:rPr>
            </w:pPr>
            <w:r w:rsidRPr="00B7483D">
              <w:rPr>
                <w:rFonts w:ascii="Calibri" w:eastAsia="Times New Roman" w:hAnsi="Calibri" w:cs="Times New Roman"/>
                <w:lang w:eastAsia="pt-BR"/>
              </w:rPr>
              <w:t>FUNDO DE INVESTIMENTO BANESTES TESOURO AUTOMÁTICO RENDA FIXA CURTO PRAZO</w:t>
            </w:r>
          </w:p>
        </w:tc>
      </w:tr>
      <w:tr w:rsidR="009653CC" w:rsidRPr="009653CC" w14:paraId="050D035C" w14:textId="77777777" w:rsidTr="009653CC">
        <w:trPr>
          <w:trHeight w:val="305"/>
        </w:trPr>
        <w:tc>
          <w:tcPr>
            <w:tcW w:w="949" w:type="dxa"/>
            <w:tcBorders>
              <w:top w:val="nil"/>
              <w:left w:val="single" w:sz="4" w:space="0" w:color="auto"/>
              <w:bottom w:val="single" w:sz="4" w:space="0" w:color="auto"/>
              <w:right w:val="single" w:sz="4" w:space="0" w:color="auto"/>
            </w:tcBorders>
            <w:shd w:val="clear" w:color="auto" w:fill="auto"/>
            <w:vAlign w:val="center"/>
            <w:hideMark/>
          </w:tcPr>
          <w:p w14:paraId="67E93CBA" w14:textId="77777777" w:rsidR="009653CC" w:rsidRPr="00B7483D" w:rsidRDefault="009653CC" w:rsidP="009653CC">
            <w:pPr>
              <w:spacing w:after="0" w:line="240" w:lineRule="auto"/>
              <w:jc w:val="center"/>
              <w:rPr>
                <w:rFonts w:ascii="Calibri" w:eastAsia="Times New Roman" w:hAnsi="Calibri" w:cs="Times New Roman"/>
                <w:lang w:eastAsia="pt-BR"/>
              </w:rPr>
            </w:pPr>
            <w:r w:rsidRPr="00B7483D">
              <w:rPr>
                <w:rFonts w:ascii="Calibri" w:eastAsia="Times New Roman" w:hAnsi="Calibri" w:cs="Times New Roman"/>
                <w:lang w:eastAsia="pt-BR"/>
              </w:rPr>
              <w:t>Fundos</w:t>
            </w:r>
          </w:p>
        </w:tc>
        <w:tc>
          <w:tcPr>
            <w:tcW w:w="1678" w:type="dxa"/>
            <w:tcBorders>
              <w:top w:val="nil"/>
              <w:left w:val="nil"/>
              <w:bottom w:val="single" w:sz="4" w:space="0" w:color="auto"/>
              <w:right w:val="single" w:sz="4" w:space="0" w:color="auto"/>
            </w:tcBorders>
            <w:shd w:val="clear" w:color="auto" w:fill="auto"/>
            <w:vAlign w:val="center"/>
            <w:hideMark/>
          </w:tcPr>
          <w:p w14:paraId="79CB9B5C" w14:textId="77777777" w:rsidR="009653CC" w:rsidRPr="00B7483D" w:rsidRDefault="009653CC" w:rsidP="009653CC">
            <w:pPr>
              <w:spacing w:after="0" w:line="240" w:lineRule="auto"/>
              <w:jc w:val="center"/>
              <w:rPr>
                <w:rFonts w:ascii="Calibri" w:eastAsia="Times New Roman" w:hAnsi="Calibri" w:cs="Times New Roman"/>
                <w:lang w:eastAsia="pt-BR"/>
              </w:rPr>
            </w:pPr>
            <w:r w:rsidRPr="00B7483D">
              <w:rPr>
                <w:rFonts w:ascii="Calibri" w:eastAsia="Times New Roman" w:hAnsi="Calibri" w:cs="Times New Roman"/>
                <w:lang w:eastAsia="pt-BR"/>
              </w:rPr>
              <w:t>014</w:t>
            </w:r>
          </w:p>
        </w:tc>
        <w:tc>
          <w:tcPr>
            <w:tcW w:w="6927" w:type="dxa"/>
            <w:tcBorders>
              <w:top w:val="nil"/>
              <w:left w:val="nil"/>
              <w:bottom w:val="single" w:sz="4" w:space="0" w:color="auto"/>
              <w:right w:val="single" w:sz="4" w:space="0" w:color="auto"/>
            </w:tcBorders>
            <w:shd w:val="clear" w:color="auto" w:fill="auto"/>
            <w:vAlign w:val="center"/>
            <w:hideMark/>
          </w:tcPr>
          <w:p w14:paraId="131418ED" w14:textId="77777777" w:rsidR="009653CC" w:rsidRPr="00B7483D" w:rsidRDefault="009653CC" w:rsidP="009653CC">
            <w:pPr>
              <w:spacing w:after="0" w:line="240" w:lineRule="auto"/>
              <w:jc w:val="both"/>
              <w:rPr>
                <w:rFonts w:ascii="Calibri" w:eastAsia="Times New Roman" w:hAnsi="Calibri" w:cs="Times New Roman"/>
                <w:lang w:eastAsia="pt-BR"/>
              </w:rPr>
            </w:pPr>
            <w:r w:rsidRPr="00B7483D">
              <w:rPr>
                <w:rFonts w:ascii="Calibri" w:eastAsia="Times New Roman" w:hAnsi="Calibri" w:cs="Times New Roman"/>
                <w:lang w:eastAsia="pt-BR"/>
              </w:rPr>
              <w:t>BANESTES SOLIDEZ AUTOMÁTICO FUNDO DE INVESTIMENTO RENDA FIXA CURTO PRAZO</w:t>
            </w:r>
          </w:p>
        </w:tc>
      </w:tr>
      <w:tr w:rsidR="009653CC" w:rsidRPr="009653CC" w14:paraId="4E062420" w14:textId="77777777" w:rsidTr="009653CC">
        <w:trPr>
          <w:trHeight w:val="610"/>
        </w:trPr>
        <w:tc>
          <w:tcPr>
            <w:tcW w:w="949" w:type="dxa"/>
            <w:tcBorders>
              <w:top w:val="nil"/>
              <w:left w:val="single" w:sz="4" w:space="0" w:color="auto"/>
              <w:bottom w:val="single" w:sz="4" w:space="0" w:color="auto"/>
              <w:right w:val="single" w:sz="4" w:space="0" w:color="auto"/>
            </w:tcBorders>
            <w:shd w:val="clear" w:color="auto" w:fill="auto"/>
            <w:vAlign w:val="center"/>
            <w:hideMark/>
          </w:tcPr>
          <w:p w14:paraId="5F4689EE" w14:textId="77777777" w:rsidR="009653CC" w:rsidRPr="00B7483D" w:rsidRDefault="009653CC" w:rsidP="009653CC">
            <w:pPr>
              <w:spacing w:after="0" w:line="240" w:lineRule="auto"/>
              <w:jc w:val="center"/>
              <w:rPr>
                <w:rFonts w:ascii="Calibri" w:eastAsia="Times New Roman" w:hAnsi="Calibri" w:cs="Times New Roman"/>
                <w:lang w:eastAsia="pt-BR"/>
              </w:rPr>
            </w:pPr>
            <w:r w:rsidRPr="00B7483D">
              <w:rPr>
                <w:rFonts w:ascii="Calibri" w:eastAsia="Times New Roman" w:hAnsi="Calibri" w:cs="Times New Roman"/>
                <w:lang w:eastAsia="pt-BR"/>
              </w:rPr>
              <w:t>Fundos</w:t>
            </w:r>
          </w:p>
        </w:tc>
        <w:tc>
          <w:tcPr>
            <w:tcW w:w="1678" w:type="dxa"/>
            <w:tcBorders>
              <w:top w:val="nil"/>
              <w:left w:val="nil"/>
              <w:bottom w:val="single" w:sz="4" w:space="0" w:color="auto"/>
              <w:right w:val="single" w:sz="4" w:space="0" w:color="auto"/>
            </w:tcBorders>
            <w:shd w:val="clear" w:color="auto" w:fill="auto"/>
            <w:vAlign w:val="center"/>
            <w:hideMark/>
          </w:tcPr>
          <w:p w14:paraId="3026616E" w14:textId="77777777" w:rsidR="009653CC" w:rsidRPr="00B7483D" w:rsidRDefault="009653CC" w:rsidP="009653CC">
            <w:pPr>
              <w:spacing w:after="0" w:line="240" w:lineRule="auto"/>
              <w:jc w:val="center"/>
              <w:rPr>
                <w:rFonts w:ascii="Calibri" w:eastAsia="Times New Roman" w:hAnsi="Calibri" w:cs="Times New Roman"/>
                <w:lang w:eastAsia="pt-BR"/>
              </w:rPr>
            </w:pPr>
            <w:r w:rsidRPr="00B7483D">
              <w:rPr>
                <w:rFonts w:ascii="Calibri" w:eastAsia="Times New Roman" w:hAnsi="Calibri" w:cs="Times New Roman"/>
                <w:lang w:eastAsia="pt-BR"/>
              </w:rPr>
              <w:t>015</w:t>
            </w:r>
          </w:p>
        </w:tc>
        <w:tc>
          <w:tcPr>
            <w:tcW w:w="6927" w:type="dxa"/>
            <w:tcBorders>
              <w:top w:val="nil"/>
              <w:left w:val="nil"/>
              <w:bottom w:val="single" w:sz="4" w:space="0" w:color="auto"/>
              <w:right w:val="single" w:sz="4" w:space="0" w:color="auto"/>
            </w:tcBorders>
            <w:shd w:val="clear" w:color="auto" w:fill="auto"/>
            <w:vAlign w:val="center"/>
            <w:hideMark/>
          </w:tcPr>
          <w:p w14:paraId="4B747700" w14:textId="77777777" w:rsidR="009653CC" w:rsidRPr="00B7483D" w:rsidRDefault="009653CC" w:rsidP="009653CC">
            <w:pPr>
              <w:spacing w:after="0" w:line="240" w:lineRule="auto"/>
              <w:jc w:val="both"/>
              <w:rPr>
                <w:rFonts w:ascii="Calibri" w:eastAsia="Times New Roman" w:hAnsi="Calibri" w:cs="Times New Roman"/>
                <w:lang w:eastAsia="pt-BR"/>
              </w:rPr>
            </w:pPr>
            <w:r w:rsidRPr="00B7483D">
              <w:rPr>
                <w:rFonts w:ascii="Calibri" w:eastAsia="Times New Roman" w:hAnsi="Calibri" w:cs="Times New Roman"/>
                <w:lang w:eastAsia="pt-BR"/>
              </w:rPr>
              <w:t>BANESTES FUNDO DE INVESTIMENTO EM COTAS DE FUNDO DE INVESTIMENTO DE AÇÕES BTG PACTUAL ABSOLUTO INSTITUCIONAL</w:t>
            </w:r>
          </w:p>
        </w:tc>
      </w:tr>
      <w:tr w:rsidR="009653CC" w:rsidRPr="009653CC" w14:paraId="3C397280" w14:textId="77777777" w:rsidTr="009653CC">
        <w:trPr>
          <w:trHeight w:val="610"/>
        </w:trPr>
        <w:tc>
          <w:tcPr>
            <w:tcW w:w="949" w:type="dxa"/>
            <w:tcBorders>
              <w:top w:val="nil"/>
              <w:left w:val="single" w:sz="4" w:space="0" w:color="auto"/>
              <w:bottom w:val="single" w:sz="4" w:space="0" w:color="auto"/>
              <w:right w:val="single" w:sz="4" w:space="0" w:color="auto"/>
            </w:tcBorders>
            <w:shd w:val="clear" w:color="auto" w:fill="auto"/>
            <w:vAlign w:val="center"/>
            <w:hideMark/>
          </w:tcPr>
          <w:p w14:paraId="5CA4B365" w14:textId="77777777" w:rsidR="009653CC" w:rsidRPr="00B7483D" w:rsidRDefault="009653CC" w:rsidP="009653CC">
            <w:pPr>
              <w:spacing w:after="0" w:line="240" w:lineRule="auto"/>
              <w:jc w:val="center"/>
              <w:rPr>
                <w:rFonts w:ascii="Calibri" w:eastAsia="Times New Roman" w:hAnsi="Calibri" w:cs="Times New Roman"/>
                <w:lang w:eastAsia="pt-BR"/>
              </w:rPr>
            </w:pPr>
            <w:r w:rsidRPr="00B7483D">
              <w:rPr>
                <w:rFonts w:ascii="Calibri" w:eastAsia="Times New Roman" w:hAnsi="Calibri" w:cs="Times New Roman"/>
                <w:lang w:eastAsia="pt-BR"/>
              </w:rPr>
              <w:t>Fundos</w:t>
            </w:r>
          </w:p>
        </w:tc>
        <w:tc>
          <w:tcPr>
            <w:tcW w:w="1678" w:type="dxa"/>
            <w:tcBorders>
              <w:top w:val="nil"/>
              <w:left w:val="nil"/>
              <w:bottom w:val="single" w:sz="4" w:space="0" w:color="auto"/>
              <w:right w:val="single" w:sz="4" w:space="0" w:color="auto"/>
            </w:tcBorders>
            <w:shd w:val="clear" w:color="auto" w:fill="auto"/>
            <w:vAlign w:val="center"/>
            <w:hideMark/>
          </w:tcPr>
          <w:p w14:paraId="35830661" w14:textId="77777777" w:rsidR="009653CC" w:rsidRPr="00B7483D" w:rsidRDefault="009653CC" w:rsidP="009653CC">
            <w:pPr>
              <w:spacing w:after="0" w:line="240" w:lineRule="auto"/>
              <w:jc w:val="center"/>
              <w:rPr>
                <w:rFonts w:ascii="Calibri" w:eastAsia="Times New Roman" w:hAnsi="Calibri" w:cs="Times New Roman"/>
                <w:lang w:eastAsia="pt-BR"/>
              </w:rPr>
            </w:pPr>
            <w:r w:rsidRPr="00B7483D">
              <w:rPr>
                <w:rFonts w:ascii="Calibri" w:eastAsia="Times New Roman" w:hAnsi="Calibri" w:cs="Times New Roman"/>
                <w:lang w:eastAsia="pt-BR"/>
              </w:rPr>
              <w:t>016</w:t>
            </w:r>
          </w:p>
        </w:tc>
        <w:tc>
          <w:tcPr>
            <w:tcW w:w="6927" w:type="dxa"/>
            <w:tcBorders>
              <w:top w:val="nil"/>
              <w:left w:val="nil"/>
              <w:bottom w:val="single" w:sz="4" w:space="0" w:color="auto"/>
              <w:right w:val="single" w:sz="4" w:space="0" w:color="auto"/>
            </w:tcBorders>
            <w:shd w:val="clear" w:color="auto" w:fill="auto"/>
            <w:vAlign w:val="center"/>
            <w:hideMark/>
          </w:tcPr>
          <w:p w14:paraId="7E988529" w14:textId="77777777" w:rsidR="009653CC" w:rsidRPr="00B7483D" w:rsidRDefault="009653CC" w:rsidP="009653CC">
            <w:pPr>
              <w:spacing w:after="0" w:line="240" w:lineRule="auto"/>
              <w:jc w:val="both"/>
              <w:rPr>
                <w:rFonts w:ascii="Calibri" w:eastAsia="Times New Roman" w:hAnsi="Calibri" w:cs="Times New Roman"/>
                <w:lang w:eastAsia="pt-BR"/>
              </w:rPr>
            </w:pPr>
            <w:r w:rsidRPr="00B7483D">
              <w:rPr>
                <w:rFonts w:ascii="Calibri" w:eastAsia="Times New Roman" w:hAnsi="Calibri" w:cs="Times New Roman"/>
                <w:lang w:eastAsia="pt-BR"/>
              </w:rPr>
              <w:t>BANESTES VALORES FUNDO DE INVESTIMENTO EM COTAS DE FUNDOS DE INVESTIMENTO RENDA FIXA REFERENCIADO DI</w:t>
            </w:r>
          </w:p>
        </w:tc>
      </w:tr>
      <w:tr w:rsidR="009653CC" w:rsidRPr="009653CC" w14:paraId="5685CD9A" w14:textId="77777777" w:rsidTr="009653CC">
        <w:trPr>
          <w:trHeight w:val="305"/>
        </w:trPr>
        <w:tc>
          <w:tcPr>
            <w:tcW w:w="949" w:type="dxa"/>
            <w:tcBorders>
              <w:top w:val="nil"/>
              <w:left w:val="single" w:sz="4" w:space="0" w:color="auto"/>
              <w:bottom w:val="single" w:sz="4" w:space="0" w:color="auto"/>
              <w:right w:val="single" w:sz="4" w:space="0" w:color="auto"/>
            </w:tcBorders>
            <w:shd w:val="clear" w:color="auto" w:fill="auto"/>
            <w:vAlign w:val="center"/>
            <w:hideMark/>
          </w:tcPr>
          <w:p w14:paraId="02EA750A" w14:textId="77777777" w:rsidR="009653CC" w:rsidRPr="00B7483D" w:rsidRDefault="009653CC" w:rsidP="009653CC">
            <w:pPr>
              <w:spacing w:after="0" w:line="240" w:lineRule="auto"/>
              <w:jc w:val="center"/>
              <w:rPr>
                <w:rFonts w:ascii="Calibri" w:eastAsia="Times New Roman" w:hAnsi="Calibri" w:cs="Times New Roman"/>
                <w:lang w:eastAsia="pt-BR"/>
              </w:rPr>
            </w:pPr>
            <w:r w:rsidRPr="00B7483D">
              <w:rPr>
                <w:rFonts w:ascii="Calibri" w:eastAsia="Times New Roman" w:hAnsi="Calibri" w:cs="Times New Roman"/>
                <w:lang w:eastAsia="pt-BR"/>
              </w:rPr>
              <w:t>Fundos</w:t>
            </w:r>
          </w:p>
        </w:tc>
        <w:tc>
          <w:tcPr>
            <w:tcW w:w="1678" w:type="dxa"/>
            <w:tcBorders>
              <w:top w:val="nil"/>
              <w:left w:val="nil"/>
              <w:bottom w:val="single" w:sz="4" w:space="0" w:color="auto"/>
              <w:right w:val="single" w:sz="4" w:space="0" w:color="auto"/>
            </w:tcBorders>
            <w:shd w:val="clear" w:color="auto" w:fill="auto"/>
            <w:vAlign w:val="center"/>
            <w:hideMark/>
          </w:tcPr>
          <w:p w14:paraId="7798C09E" w14:textId="77777777" w:rsidR="009653CC" w:rsidRPr="00B7483D" w:rsidRDefault="009653CC" w:rsidP="009653CC">
            <w:pPr>
              <w:spacing w:after="0" w:line="240" w:lineRule="auto"/>
              <w:jc w:val="center"/>
              <w:rPr>
                <w:rFonts w:ascii="Calibri" w:eastAsia="Times New Roman" w:hAnsi="Calibri" w:cs="Times New Roman"/>
                <w:lang w:eastAsia="pt-BR"/>
              </w:rPr>
            </w:pPr>
            <w:r w:rsidRPr="00B7483D">
              <w:rPr>
                <w:rFonts w:ascii="Calibri" w:eastAsia="Times New Roman" w:hAnsi="Calibri" w:cs="Times New Roman"/>
                <w:lang w:eastAsia="pt-BR"/>
              </w:rPr>
              <w:t>018</w:t>
            </w:r>
          </w:p>
        </w:tc>
        <w:tc>
          <w:tcPr>
            <w:tcW w:w="6927" w:type="dxa"/>
            <w:tcBorders>
              <w:top w:val="nil"/>
              <w:left w:val="nil"/>
              <w:bottom w:val="single" w:sz="4" w:space="0" w:color="auto"/>
              <w:right w:val="single" w:sz="4" w:space="0" w:color="auto"/>
            </w:tcBorders>
            <w:shd w:val="clear" w:color="auto" w:fill="auto"/>
            <w:vAlign w:val="center"/>
            <w:hideMark/>
          </w:tcPr>
          <w:p w14:paraId="3A227240" w14:textId="77777777" w:rsidR="009653CC" w:rsidRPr="00B7483D" w:rsidRDefault="009653CC" w:rsidP="009653CC">
            <w:pPr>
              <w:spacing w:after="0" w:line="240" w:lineRule="auto"/>
              <w:jc w:val="both"/>
              <w:rPr>
                <w:rFonts w:ascii="Calibri" w:eastAsia="Times New Roman" w:hAnsi="Calibri" w:cs="Times New Roman"/>
                <w:lang w:eastAsia="pt-BR"/>
              </w:rPr>
            </w:pPr>
            <w:r w:rsidRPr="00B7483D">
              <w:rPr>
                <w:rFonts w:ascii="Calibri" w:eastAsia="Times New Roman" w:hAnsi="Calibri" w:cs="Times New Roman"/>
                <w:lang w:eastAsia="pt-BR"/>
              </w:rPr>
              <w:t>BANESTES LIQUIDEZ FUNDO DE INVESTIMENTO RENDA FIXA REFERENCIADO DI</w:t>
            </w:r>
          </w:p>
        </w:tc>
      </w:tr>
      <w:tr w:rsidR="009653CC" w:rsidRPr="009653CC" w14:paraId="0C0AFF0F" w14:textId="77777777" w:rsidTr="009653CC">
        <w:trPr>
          <w:trHeight w:val="305"/>
        </w:trPr>
        <w:tc>
          <w:tcPr>
            <w:tcW w:w="949" w:type="dxa"/>
            <w:tcBorders>
              <w:top w:val="nil"/>
              <w:left w:val="single" w:sz="4" w:space="0" w:color="auto"/>
              <w:bottom w:val="single" w:sz="4" w:space="0" w:color="auto"/>
              <w:right w:val="single" w:sz="4" w:space="0" w:color="auto"/>
            </w:tcBorders>
            <w:shd w:val="clear" w:color="auto" w:fill="auto"/>
            <w:vAlign w:val="center"/>
            <w:hideMark/>
          </w:tcPr>
          <w:p w14:paraId="662D6A4E" w14:textId="77777777" w:rsidR="009653CC" w:rsidRPr="00B7483D" w:rsidRDefault="009653CC" w:rsidP="009653CC">
            <w:pPr>
              <w:spacing w:after="0" w:line="240" w:lineRule="auto"/>
              <w:jc w:val="center"/>
              <w:rPr>
                <w:rFonts w:ascii="Calibri" w:eastAsia="Times New Roman" w:hAnsi="Calibri" w:cs="Times New Roman"/>
                <w:lang w:eastAsia="pt-BR"/>
              </w:rPr>
            </w:pPr>
            <w:r w:rsidRPr="00B7483D">
              <w:rPr>
                <w:rFonts w:ascii="Calibri" w:eastAsia="Times New Roman" w:hAnsi="Calibri" w:cs="Times New Roman"/>
                <w:lang w:eastAsia="pt-BR"/>
              </w:rPr>
              <w:t>Fundos</w:t>
            </w:r>
          </w:p>
        </w:tc>
        <w:tc>
          <w:tcPr>
            <w:tcW w:w="1678" w:type="dxa"/>
            <w:tcBorders>
              <w:top w:val="nil"/>
              <w:left w:val="nil"/>
              <w:bottom w:val="single" w:sz="4" w:space="0" w:color="auto"/>
              <w:right w:val="single" w:sz="4" w:space="0" w:color="auto"/>
            </w:tcBorders>
            <w:shd w:val="clear" w:color="auto" w:fill="auto"/>
            <w:vAlign w:val="center"/>
            <w:hideMark/>
          </w:tcPr>
          <w:p w14:paraId="7754189C" w14:textId="77777777" w:rsidR="009653CC" w:rsidRPr="00B7483D" w:rsidRDefault="009653CC" w:rsidP="009653CC">
            <w:pPr>
              <w:spacing w:after="0" w:line="240" w:lineRule="auto"/>
              <w:jc w:val="center"/>
              <w:rPr>
                <w:rFonts w:ascii="Calibri" w:eastAsia="Times New Roman" w:hAnsi="Calibri" w:cs="Times New Roman"/>
                <w:lang w:eastAsia="pt-BR"/>
              </w:rPr>
            </w:pPr>
            <w:r w:rsidRPr="00B7483D">
              <w:rPr>
                <w:rFonts w:ascii="Calibri" w:eastAsia="Times New Roman" w:hAnsi="Calibri" w:cs="Times New Roman"/>
                <w:lang w:eastAsia="pt-BR"/>
              </w:rPr>
              <w:t>019</w:t>
            </w:r>
          </w:p>
        </w:tc>
        <w:tc>
          <w:tcPr>
            <w:tcW w:w="6927" w:type="dxa"/>
            <w:tcBorders>
              <w:top w:val="nil"/>
              <w:left w:val="nil"/>
              <w:bottom w:val="single" w:sz="4" w:space="0" w:color="auto"/>
              <w:right w:val="single" w:sz="4" w:space="0" w:color="auto"/>
            </w:tcBorders>
            <w:shd w:val="clear" w:color="auto" w:fill="auto"/>
            <w:vAlign w:val="center"/>
            <w:hideMark/>
          </w:tcPr>
          <w:p w14:paraId="7041168C" w14:textId="77777777" w:rsidR="009653CC" w:rsidRPr="00B7483D" w:rsidRDefault="009653CC" w:rsidP="009653CC">
            <w:pPr>
              <w:spacing w:after="0" w:line="240" w:lineRule="auto"/>
              <w:jc w:val="both"/>
              <w:rPr>
                <w:rFonts w:ascii="Calibri" w:eastAsia="Times New Roman" w:hAnsi="Calibri" w:cs="Times New Roman"/>
                <w:lang w:eastAsia="pt-BR"/>
              </w:rPr>
            </w:pPr>
            <w:r w:rsidRPr="00B7483D">
              <w:rPr>
                <w:rFonts w:ascii="Calibri" w:eastAsia="Times New Roman" w:hAnsi="Calibri" w:cs="Times New Roman"/>
                <w:lang w:eastAsia="pt-BR"/>
              </w:rPr>
              <w:t>BANESTES REFERENCIAL FUNDO DE INVESTIMENTO RENDA FIXA REFERENCIADO IRF-M 1</w:t>
            </w:r>
          </w:p>
        </w:tc>
      </w:tr>
      <w:tr w:rsidR="009653CC" w:rsidRPr="009653CC" w14:paraId="1F0EB28F" w14:textId="77777777" w:rsidTr="009653CC">
        <w:trPr>
          <w:trHeight w:val="610"/>
        </w:trPr>
        <w:tc>
          <w:tcPr>
            <w:tcW w:w="949" w:type="dxa"/>
            <w:tcBorders>
              <w:top w:val="nil"/>
              <w:left w:val="single" w:sz="4" w:space="0" w:color="auto"/>
              <w:bottom w:val="single" w:sz="4" w:space="0" w:color="auto"/>
              <w:right w:val="single" w:sz="4" w:space="0" w:color="auto"/>
            </w:tcBorders>
            <w:shd w:val="clear" w:color="auto" w:fill="auto"/>
            <w:vAlign w:val="center"/>
            <w:hideMark/>
          </w:tcPr>
          <w:p w14:paraId="1CE7A237" w14:textId="77777777" w:rsidR="009653CC" w:rsidRPr="00B7483D" w:rsidRDefault="009653CC" w:rsidP="009653CC">
            <w:pPr>
              <w:spacing w:after="0" w:line="240" w:lineRule="auto"/>
              <w:jc w:val="center"/>
              <w:rPr>
                <w:rFonts w:ascii="Calibri" w:eastAsia="Times New Roman" w:hAnsi="Calibri" w:cs="Times New Roman"/>
                <w:lang w:eastAsia="pt-BR"/>
              </w:rPr>
            </w:pPr>
            <w:r w:rsidRPr="00B7483D">
              <w:rPr>
                <w:rFonts w:ascii="Calibri" w:eastAsia="Times New Roman" w:hAnsi="Calibri" w:cs="Times New Roman"/>
                <w:lang w:eastAsia="pt-BR"/>
              </w:rPr>
              <w:t>Fundos</w:t>
            </w:r>
          </w:p>
        </w:tc>
        <w:tc>
          <w:tcPr>
            <w:tcW w:w="1678" w:type="dxa"/>
            <w:tcBorders>
              <w:top w:val="nil"/>
              <w:left w:val="nil"/>
              <w:bottom w:val="single" w:sz="4" w:space="0" w:color="auto"/>
              <w:right w:val="single" w:sz="4" w:space="0" w:color="auto"/>
            </w:tcBorders>
            <w:shd w:val="clear" w:color="auto" w:fill="auto"/>
            <w:vAlign w:val="center"/>
            <w:hideMark/>
          </w:tcPr>
          <w:p w14:paraId="7D46E18E" w14:textId="77777777" w:rsidR="009653CC" w:rsidRPr="00B7483D" w:rsidRDefault="009653CC" w:rsidP="009653CC">
            <w:pPr>
              <w:spacing w:after="0" w:line="240" w:lineRule="auto"/>
              <w:jc w:val="center"/>
              <w:rPr>
                <w:rFonts w:ascii="Calibri" w:eastAsia="Times New Roman" w:hAnsi="Calibri" w:cs="Times New Roman"/>
                <w:lang w:eastAsia="pt-BR"/>
              </w:rPr>
            </w:pPr>
            <w:r w:rsidRPr="00B7483D">
              <w:rPr>
                <w:rFonts w:ascii="Calibri" w:eastAsia="Times New Roman" w:hAnsi="Calibri" w:cs="Times New Roman"/>
                <w:lang w:eastAsia="pt-BR"/>
              </w:rPr>
              <w:t>022</w:t>
            </w:r>
          </w:p>
        </w:tc>
        <w:tc>
          <w:tcPr>
            <w:tcW w:w="6927" w:type="dxa"/>
            <w:tcBorders>
              <w:top w:val="nil"/>
              <w:left w:val="nil"/>
              <w:bottom w:val="single" w:sz="4" w:space="0" w:color="auto"/>
              <w:right w:val="single" w:sz="4" w:space="0" w:color="auto"/>
            </w:tcBorders>
            <w:shd w:val="clear" w:color="auto" w:fill="auto"/>
            <w:vAlign w:val="center"/>
            <w:hideMark/>
          </w:tcPr>
          <w:p w14:paraId="23481307" w14:textId="77777777" w:rsidR="009653CC" w:rsidRPr="00B7483D" w:rsidRDefault="009653CC" w:rsidP="009653CC">
            <w:pPr>
              <w:spacing w:after="0" w:line="240" w:lineRule="auto"/>
              <w:jc w:val="both"/>
              <w:rPr>
                <w:rFonts w:ascii="Calibri" w:eastAsia="Times New Roman" w:hAnsi="Calibri" w:cs="Times New Roman"/>
                <w:lang w:eastAsia="pt-BR"/>
              </w:rPr>
            </w:pPr>
            <w:r w:rsidRPr="00B7483D">
              <w:rPr>
                <w:rFonts w:ascii="Calibri" w:eastAsia="Times New Roman" w:hAnsi="Calibri" w:cs="Times New Roman"/>
                <w:lang w:eastAsia="pt-BR"/>
              </w:rPr>
              <w:t>BANESTES DEBÊNTURES INCENTIVADAS FUNDO DE INVESTIMENTO EM COTAS DE FUNDOS DE INVESTIMENTO MULTIMERCADO CRÉDITO PRIVADO</w:t>
            </w:r>
          </w:p>
        </w:tc>
      </w:tr>
      <w:tr w:rsidR="009653CC" w:rsidRPr="009653CC" w14:paraId="385F3B9B" w14:textId="77777777" w:rsidTr="009653CC">
        <w:trPr>
          <w:trHeight w:val="610"/>
        </w:trPr>
        <w:tc>
          <w:tcPr>
            <w:tcW w:w="949" w:type="dxa"/>
            <w:tcBorders>
              <w:top w:val="nil"/>
              <w:left w:val="single" w:sz="4" w:space="0" w:color="auto"/>
              <w:bottom w:val="single" w:sz="4" w:space="0" w:color="auto"/>
              <w:right w:val="single" w:sz="4" w:space="0" w:color="auto"/>
            </w:tcBorders>
            <w:shd w:val="clear" w:color="auto" w:fill="auto"/>
            <w:vAlign w:val="center"/>
            <w:hideMark/>
          </w:tcPr>
          <w:p w14:paraId="11E4E893" w14:textId="77777777" w:rsidR="009653CC" w:rsidRPr="00B7483D" w:rsidRDefault="009653CC" w:rsidP="009653CC">
            <w:pPr>
              <w:spacing w:after="0" w:line="240" w:lineRule="auto"/>
              <w:jc w:val="center"/>
              <w:rPr>
                <w:rFonts w:ascii="Calibri" w:eastAsia="Times New Roman" w:hAnsi="Calibri" w:cs="Times New Roman"/>
                <w:lang w:eastAsia="pt-BR"/>
              </w:rPr>
            </w:pPr>
            <w:r w:rsidRPr="00B7483D">
              <w:rPr>
                <w:rFonts w:ascii="Calibri" w:eastAsia="Times New Roman" w:hAnsi="Calibri" w:cs="Times New Roman"/>
                <w:lang w:eastAsia="pt-BR"/>
              </w:rPr>
              <w:t>Fundos</w:t>
            </w:r>
          </w:p>
        </w:tc>
        <w:tc>
          <w:tcPr>
            <w:tcW w:w="1678" w:type="dxa"/>
            <w:tcBorders>
              <w:top w:val="nil"/>
              <w:left w:val="nil"/>
              <w:bottom w:val="single" w:sz="4" w:space="0" w:color="auto"/>
              <w:right w:val="single" w:sz="4" w:space="0" w:color="auto"/>
            </w:tcBorders>
            <w:shd w:val="clear" w:color="auto" w:fill="auto"/>
            <w:vAlign w:val="center"/>
            <w:hideMark/>
          </w:tcPr>
          <w:p w14:paraId="15BB13F7" w14:textId="77777777" w:rsidR="009653CC" w:rsidRPr="00B7483D" w:rsidRDefault="009653CC" w:rsidP="009653CC">
            <w:pPr>
              <w:spacing w:after="0" w:line="240" w:lineRule="auto"/>
              <w:jc w:val="center"/>
              <w:rPr>
                <w:rFonts w:ascii="Calibri" w:eastAsia="Times New Roman" w:hAnsi="Calibri" w:cs="Times New Roman"/>
                <w:lang w:eastAsia="pt-BR"/>
              </w:rPr>
            </w:pPr>
            <w:r w:rsidRPr="00B7483D">
              <w:rPr>
                <w:rFonts w:ascii="Calibri" w:eastAsia="Times New Roman" w:hAnsi="Calibri" w:cs="Times New Roman"/>
                <w:lang w:eastAsia="pt-BR"/>
              </w:rPr>
              <w:t>023</w:t>
            </w:r>
          </w:p>
        </w:tc>
        <w:tc>
          <w:tcPr>
            <w:tcW w:w="6927" w:type="dxa"/>
            <w:tcBorders>
              <w:top w:val="nil"/>
              <w:left w:val="nil"/>
              <w:bottom w:val="single" w:sz="4" w:space="0" w:color="auto"/>
              <w:right w:val="single" w:sz="4" w:space="0" w:color="auto"/>
            </w:tcBorders>
            <w:shd w:val="clear" w:color="auto" w:fill="auto"/>
            <w:vAlign w:val="center"/>
            <w:hideMark/>
          </w:tcPr>
          <w:p w14:paraId="44F9A5ED" w14:textId="77777777" w:rsidR="009653CC" w:rsidRPr="00B7483D" w:rsidRDefault="009653CC" w:rsidP="009653CC">
            <w:pPr>
              <w:spacing w:after="0" w:line="240" w:lineRule="auto"/>
              <w:jc w:val="both"/>
              <w:rPr>
                <w:rFonts w:ascii="Calibri" w:eastAsia="Times New Roman" w:hAnsi="Calibri" w:cs="Times New Roman"/>
                <w:lang w:eastAsia="pt-BR"/>
              </w:rPr>
            </w:pPr>
            <w:r w:rsidRPr="00B7483D">
              <w:rPr>
                <w:rFonts w:ascii="Calibri" w:eastAsia="Times New Roman" w:hAnsi="Calibri" w:cs="Times New Roman"/>
                <w:lang w:eastAsia="pt-BR"/>
              </w:rPr>
              <w:t>BANESTES ESTRATÉGIA FUNDO DE INVESTIMENTO EM COTAS DE FUNDOS DE INVESTIMENTO RENDA FIXA</w:t>
            </w:r>
          </w:p>
        </w:tc>
      </w:tr>
    </w:tbl>
    <w:p w14:paraId="387E803A" w14:textId="77777777" w:rsidR="009653CC" w:rsidRDefault="009653CC" w:rsidP="00EE0371">
      <w:pPr>
        <w:spacing w:after="0" w:line="240" w:lineRule="auto"/>
        <w:ind w:right="-285"/>
        <w:jc w:val="both"/>
        <w:rPr>
          <w:rFonts w:ascii="Arial" w:hAnsi="Arial" w:cs="Arial"/>
          <w:sz w:val="20"/>
          <w:szCs w:val="20"/>
          <w:lang w:eastAsia="pt-BR"/>
        </w:rPr>
      </w:pPr>
    </w:p>
    <w:p w14:paraId="6809FF85" w14:textId="77777777" w:rsidR="009653CC" w:rsidRPr="00EE0371" w:rsidRDefault="009653CC" w:rsidP="00EE0371">
      <w:pPr>
        <w:spacing w:after="0" w:line="240" w:lineRule="auto"/>
        <w:ind w:right="-285"/>
        <w:jc w:val="both"/>
        <w:rPr>
          <w:rFonts w:ascii="Arial" w:hAnsi="Arial" w:cs="Arial"/>
          <w:sz w:val="20"/>
          <w:szCs w:val="20"/>
          <w:lang w:eastAsia="pt-BR"/>
        </w:rPr>
      </w:pPr>
    </w:p>
    <w:p w14:paraId="629C71F9" w14:textId="77777777" w:rsidR="00EE0371" w:rsidRPr="00EE0371" w:rsidRDefault="00EE0371" w:rsidP="00EE0371">
      <w:pPr>
        <w:spacing w:after="0" w:line="240" w:lineRule="auto"/>
        <w:ind w:right="-285"/>
        <w:jc w:val="both"/>
        <w:rPr>
          <w:rFonts w:ascii="Arial" w:hAnsi="Arial" w:cs="Arial"/>
          <w:sz w:val="20"/>
          <w:szCs w:val="20"/>
          <w:lang w:eastAsia="pt-BR"/>
        </w:rPr>
      </w:pPr>
    </w:p>
    <w:p w14:paraId="619388F8" w14:textId="77777777" w:rsidR="00EE0371" w:rsidRPr="00EE0371" w:rsidRDefault="00EE0371" w:rsidP="00EE0371">
      <w:pPr>
        <w:spacing w:after="0" w:line="240" w:lineRule="auto"/>
        <w:ind w:right="600"/>
        <w:jc w:val="both"/>
        <w:rPr>
          <w:rFonts w:ascii="Arial" w:hAnsi="Arial" w:cs="Arial"/>
          <w:sz w:val="20"/>
          <w:szCs w:val="20"/>
          <w:lang w:eastAsia="pt-BR"/>
        </w:rPr>
      </w:pPr>
    </w:p>
    <w:p w14:paraId="73FA8136" w14:textId="77777777" w:rsidR="00EE0371" w:rsidRPr="00EE0371" w:rsidRDefault="00EE0371" w:rsidP="00EE0371">
      <w:pPr>
        <w:spacing w:after="0" w:line="240" w:lineRule="auto"/>
        <w:ind w:right="600"/>
        <w:jc w:val="both"/>
        <w:rPr>
          <w:rFonts w:ascii="Arial" w:hAnsi="Arial" w:cs="Arial"/>
          <w:sz w:val="20"/>
          <w:szCs w:val="20"/>
          <w:lang w:eastAsia="pt-BR"/>
        </w:rPr>
      </w:pPr>
    </w:p>
    <w:p w14:paraId="0DD53111" w14:textId="77777777" w:rsidR="00EE0371" w:rsidRPr="00EE0371" w:rsidRDefault="00EE0371" w:rsidP="00EE0371">
      <w:pPr>
        <w:spacing w:after="0" w:line="240" w:lineRule="auto"/>
        <w:ind w:right="600"/>
        <w:jc w:val="both"/>
        <w:rPr>
          <w:rFonts w:ascii="Arial" w:hAnsi="Arial" w:cs="Arial"/>
          <w:sz w:val="20"/>
          <w:szCs w:val="20"/>
          <w:lang w:eastAsia="pt-BR"/>
        </w:rPr>
      </w:pPr>
    </w:p>
    <w:p w14:paraId="4B48A32F" w14:textId="77777777" w:rsidR="00EE0371" w:rsidRPr="00EE0371" w:rsidRDefault="00EE0371" w:rsidP="00EE0371">
      <w:pPr>
        <w:spacing w:after="0" w:line="240" w:lineRule="auto"/>
        <w:ind w:right="600"/>
        <w:jc w:val="both"/>
        <w:rPr>
          <w:rFonts w:ascii="Arial" w:hAnsi="Arial" w:cs="Arial"/>
          <w:sz w:val="20"/>
          <w:szCs w:val="20"/>
          <w:lang w:eastAsia="pt-BR"/>
        </w:rPr>
      </w:pPr>
    </w:p>
    <w:p w14:paraId="3CA91266" w14:textId="77777777" w:rsidR="00EE0371" w:rsidRPr="00EE0371" w:rsidRDefault="00EE0371" w:rsidP="00EE0371">
      <w:pPr>
        <w:spacing w:after="0" w:line="240" w:lineRule="auto"/>
        <w:ind w:right="600"/>
        <w:jc w:val="both"/>
        <w:rPr>
          <w:rFonts w:ascii="Arial" w:hAnsi="Arial" w:cs="Arial"/>
          <w:sz w:val="20"/>
          <w:szCs w:val="20"/>
          <w:lang w:eastAsia="pt-BR"/>
        </w:rPr>
      </w:pPr>
    </w:p>
    <w:p w14:paraId="3D33A21B" w14:textId="77777777" w:rsidR="00EE0371" w:rsidRPr="00EE0371" w:rsidRDefault="00EE0371" w:rsidP="00EE0371">
      <w:pPr>
        <w:spacing w:after="0" w:line="240" w:lineRule="auto"/>
        <w:ind w:right="600"/>
        <w:jc w:val="both"/>
        <w:rPr>
          <w:rFonts w:ascii="Arial" w:hAnsi="Arial" w:cs="Arial"/>
          <w:sz w:val="20"/>
          <w:szCs w:val="20"/>
          <w:lang w:eastAsia="pt-BR"/>
        </w:rPr>
      </w:pPr>
    </w:p>
    <w:p w14:paraId="39AAB3BF" w14:textId="77777777" w:rsidR="00EE0371" w:rsidRPr="00EE0371" w:rsidRDefault="00EE0371" w:rsidP="00EE0371">
      <w:pPr>
        <w:spacing w:after="0" w:line="240" w:lineRule="auto"/>
        <w:ind w:right="600"/>
        <w:jc w:val="both"/>
        <w:rPr>
          <w:rFonts w:ascii="Arial" w:hAnsi="Arial" w:cs="Arial"/>
          <w:sz w:val="20"/>
          <w:szCs w:val="20"/>
          <w:lang w:eastAsia="pt-BR"/>
        </w:rPr>
      </w:pPr>
    </w:p>
    <w:p w14:paraId="64BE71FD" w14:textId="77777777" w:rsidR="00EE0371" w:rsidRPr="00EE0371" w:rsidRDefault="00EE0371" w:rsidP="00EE0371">
      <w:pPr>
        <w:spacing w:after="0" w:line="240" w:lineRule="auto"/>
        <w:ind w:right="600"/>
        <w:jc w:val="both"/>
        <w:rPr>
          <w:rFonts w:ascii="Arial" w:hAnsi="Arial" w:cs="Arial"/>
          <w:sz w:val="20"/>
          <w:szCs w:val="20"/>
          <w:lang w:eastAsia="pt-BR"/>
        </w:rPr>
      </w:pPr>
    </w:p>
    <w:p w14:paraId="3FA81E51" w14:textId="77777777" w:rsidR="00EE0371" w:rsidRPr="00EE0371" w:rsidRDefault="00EE0371" w:rsidP="00EE0371">
      <w:pPr>
        <w:spacing w:after="0" w:line="360" w:lineRule="auto"/>
        <w:jc w:val="both"/>
        <w:rPr>
          <w:rFonts w:ascii="Arial" w:hAnsi="Arial"/>
        </w:rPr>
      </w:pPr>
      <w:r w:rsidRPr="00EE0371">
        <w:rPr>
          <w:rFonts w:ascii="Arial" w:hAnsi="Arial"/>
        </w:rPr>
        <w:br w:type="page"/>
      </w:r>
    </w:p>
    <w:p w14:paraId="746DD24E" w14:textId="77777777" w:rsidR="00EE0371" w:rsidRDefault="00EE0371" w:rsidP="00EE0371">
      <w:pPr>
        <w:spacing w:after="0" w:line="240" w:lineRule="auto"/>
        <w:ind w:right="600"/>
        <w:jc w:val="both"/>
        <w:rPr>
          <w:rFonts w:ascii="Arial" w:hAnsi="Arial" w:cs="Arial"/>
          <w:sz w:val="20"/>
          <w:szCs w:val="20"/>
          <w:lang w:eastAsia="pt-BR"/>
        </w:rPr>
      </w:pPr>
    </w:p>
    <w:p w14:paraId="1A21F332" w14:textId="77777777" w:rsidR="00FD1551" w:rsidRPr="00FD1551" w:rsidRDefault="00FD1551" w:rsidP="00FD1551">
      <w:pPr>
        <w:spacing w:after="0" w:line="240" w:lineRule="auto"/>
        <w:ind w:right="600" w:firstLine="708"/>
        <w:jc w:val="both"/>
        <w:rPr>
          <w:rFonts w:ascii="Arial" w:hAnsi="Arial" w:cs="Arial"/>
          <w:sz w:val="20"/>
          <w:szCs w:val="20"/>
          <w:lang w:eastAsia="pt-BR"/>
        </w:rPr>
      </w:pPr>
    </w:p>
    <w:p w14:paraId="237B793E" w14:textId="5025FC70" w:rsidR="00FD1551" w:rsidRPr="00FD1551" w:rsidRDefault="00FD1551" w:rsidP="00A60EA7">
      <w:pPr>
        <w:pStyle w:val="Ttulo3"/>
      </w:pPr>
      <w:bookmarkStart w:id="45" w:name="_Toc94806321"/>
      <w:r w:rsidRPr="00FD1551">
        <w:t>DOCSPCA.XML (ou DocumentoPCA.xml)</w:t>
      </w:r>
      <w:bookmarkEnd w:id="45"/>
    </w:p>
    <w:p w14:paraId="52E6FC37" w14:textId="43E32912" w:rsidR="00FD1551" w:rsidRPr="00FD1551" w:rsidRDefault="00FD1551" w:rsidP="00FD1551">
      <w:pPr>
        <w:spacing w:after="0" w:line="360" w:lineRule="auto"/>
        <w:jc w:val="both"/>
        <w:rPr>
          <w:rFonts w:ascii="Arial" w:hAnsi="Arial"/>
        </w:rPr>
      </w:pPr>
      <w:r w:rsidRPr="00FD1551">
        <w:rPr>
          <w:rFonts w:ascii="Arial" w:hAnsi="Arial"/>
          <w:b/>
          <w:bCs/>
        </w:rPr>
        <w:t>Descrição: </w:t>
      </w:r>
      <w:r w:rsidRPr="00FD1551">
        <w:rPr>
          <w:rFonts w:ascii="Arial" w:hAnsi="Arial"/>
        </w:rPr>
        <w:t>Este arquivo conterá a referência aos documentos não estruturados informados na prestação de contas anual, bem como a justificativa de ausência para os arquivos não enviados, conforme o Anexo I desta IN.</w:t>
      </w:r>
    </w:p>
    <w:p w14:paraId="0266A8C5" w14:textId="77777777" w:rsidR="00FD1551" w:rsidRPr="00FD1551" w:rsidRDefault="00FD1551" w:rsidP="00FD1551">
      <w:pPr>
        <w:autoSpaceDE w:val="0"/>
        <w:autoSpaceDN w:val="0"/>
        <w:adjustRightInd w:val="0"/>
        <w:spacing w:after="0" w:line="240" w:lineRule="auto"/>
        <w:jc w:val="both"/>
        <w:rPr>
          <w:rFonts w:ascii="Arial" w:hAnsi="Arial"/>
          <w:b/>
          <w:bCs/>
        </w:rPr>
      </w:pPr>
    </w:p>
    <w:p w14:paraId="3765386D" w14:textId="77777777" w:rsidR="00FD1551" w:rsidRPr="00FD1551" w:rsidRDefault="00FD1551" w:rsidP="00FD1551">
      <w:pPr>
        <w:autoSpaceDE w:val="0"/>
        <w:autoSpaceDN w:val="0"/>
        <w:adjustRightInd w:val="0"/>
        <w:spacing w:after="0" w:line="240" w:lineRule="auto"/>
        <w:jc w:val="both"/>
        <w:rPr>
          <w:rFonts w:ascii="Arial" w:hAnsi="Arial"/>
          <w:b/>
          <w:bCs/>
        </w:rPr>
      </w:pPr>
      <w:r w:rsidRPr="00FD1551">
        <w:rPr>
          <w:rFonts w:ascii="Arial" w:hAnsi="Arial"/>
          <w:b/>
          <w:bCs/>
        </w:rPr>
        <w:t>Estrutura:</w:t>
      </w:r>
    </w:p>
    <w:p w14:paraId="4132838B" w14:textId="77777777" w:rsidR="00FD1551" w:rsidRPr="00FD1551" w:rsidRDefault="00FD1551" w:rsidP="00FD1551">
      <w:pPr>
        <w:autoSpaceDE w:val="0"/>
        <w:autoSpaceDN w:val="0"/>
        <w:adjustRightInd w:val="0"/>
        <w:spacing w:after="0" w:line="240" w:lineRule="auto"/>
        <w:jc w:val="both"/>
        <w:rPr>
          <w:rFonts w:ascii="Arial" w:hAnsi="Arial" w:cs="Arial"/>
          <w:sz w:val="20"/>
          <w:szCs w:val="20"/>
          <w:lang w:eastAsia="pt-BR"/>
        </w:rPr>
      </w:pPr>
    </w:p>
    <w:p w14:paraId="49ED4316" w14:textId="77777777" w:rsidR="00FD1551" w:rsidRPr="00FD1551" w:rsidRDefault="00FD1551" w:rsidP="00FD1551">
      <w:pPr>
        <w:autoSpaceDE w:val="0"/>
        <w:autoSpaceDN w:val="0"/>
        <w:adjustRightInd w:val="0"/>
        <w:spacing w:after="0" w:line="240" w:lineRule="auto"/>
        <w:jc w:val="both"/>
        <w:rPr>
          <w:rFonts w:ascii="Arial" w:hAnsi="Arial" w:cs="Arial"/>
          <w:sz w:val="20"/>
          <w:szCs w:val="20"/>
        </w:rPr>
      </w:pPr>
      <w:r w:rsidRPr="00FD1551">
        <w:rPr>
          <w:rFonts w:ascii="Arial" w:hAnsi="Arial" w:cs="Arial"/>
          <w:sz w:val="20"/>
          <w:szCs w:val="20"/>
          <w:lang w:eastAsia="pt-BR"/>
        </w:rPr>
        <w:t xml:space="preserve">&lt;?xml version="1.0" </w:t>
      </w:r>
      <w:r w:rsidRPr="00FD1551">
        <w:rPr>
          <w:rFonts w:ascii="Arial" w:hAnsi="Arial" w:cs="Arial"/>
          <w:sz w:val="20"/>
          <w:szCs w:val="20"/>
        </w:rPr>
        <w:t>encoding=“UTF-8”?&gt;</w:t>
      </w:r>
    </w:p>
    <w:p w14:paraId="2E3389CC" w14:textId="77777777" w:rsidR="00FD1551" w:rsidRPr="00FD1551" w:rsidRDefault="00FD1551" w:rsidP="00FD1551">
      <w:pPr>
        <w:spacing w:after="0" w:line="240" w:lineRule="auto"/>
        <w:ind w:right="600"/>
        <w:jc w:val="both"/>
        <w:rPr>
          <w:rFonts w:ascii="Arial" w:hAnsi="Arial" w:cs="Arial"/>
          <w:sz w:val="20"/>
          <w:szCs w:val="20"/>
          <w:lang w:eastAsia="pt-BR"/>
        </w:rPr>
      </w:pPr>
      <w:r w:rsidRPr="00FD1551">
        <w:rPr>
          <w:rFonts w:ascii="Arial" w:hAnsi="Arial" w:cs="Arial"/>
          <w:sz w:val="20"/>
          <w:szCs w:val="20"/>
          <w:lang w:eastAsia="pt-BR"/>
        </w:rPr>
        <w:t>&lt;PrestacaoContasAnual&gt;</w:t>
      </w:r>
    </w:p>
    <w:p w14:paraId="0A3A12AE" w14:textId="77777777" w:rsidR="00FD1551" w:rsidRPr="00FD1551" w:rsidRDefault="00FD1551" w:rsidP="00FD1551">
      <w:pPr>
        <w:spacing w:after="0" w:line="240" w:lineRule="auto"/>
        <w:ind w:right="600"/>
        <w:jc w:val="both"/>
        <w:rPr>
          <w:rFonts w:ascii="Arial" w:hAnsi="Arial" w:cs="Arial"/>
          <w:sz w:val="20"/>
          <w:szCs w:val="20"/>
          <w:lang w:eastAsia="pt-BR"/>
        </w:rPr>
      </w:pPr>
      <w:r w:rsidRPr="00FD1551">
        <w:rPr>
          <w:rFonts w:ascii="Arial" w:hAnsi="Arial" w:cs="Arial"/>
          <w:sz w:val="20"/>
          <w:szCs w:val="20"/>
          <w:lang w:eastAsia="pt-BR"/>
        </w:rPr>
        <w:t xml:space="preserve">     &lt;DocumentoPCA_Schema&gt;</w:t>
      </w:r>
    </w:p>
    <w:p w14:paraId="70EB6032" w14:textId="77777777" w:rsidR="00FD1551" w:rsidRPr="00FD1551" w:rsidRDefault="00FD1551" w:rsidP="00FD1551">
      <w:pPr>
        <w:spacing w:after="0" w:line="240" w:lineRule="auto"/>
        <w:ind w:right="600" w:firstLine="708"/>
        <w:jc w:val="both"/>
        <w:rPr>
          <w:rFonts w:ascii="Arial" w:hAnsi="Arial" w:cs="Arial"/>
          <w:sz w:val="20"/>
          <w:szCs w:val="20"/>
          <w:lang w:eastAsia="pt-BR"/>
        </w:rPr>
      </w:pPr>
    </w:p>
    <w:p w14:paraId="10D646D8" w14:textId="77777777" w:rsidR="00FD1551" w:rsidRPr="00FD1551" w:rsidRDefault="00FD1551" w:rsidP="00FD1551">
      <w:pPr>
        <w:spacing w:after="0" w:line="240" w:lineRule="auto"/>
        <w:ind w:right="600" w:firstLine="708"/>
        <w:jc w:val="both"/>
        <w:rPr>
          <w:rFonts w:ascii="Arial" w:hAnsi="Arial" w:cs="Arial"/>
          <w:sz w:val="20"/>
          <w:szCs w:val="20"/>
          <w:lang w:eastAsia="pt-BR"/>
        </w:rPr>
      </w:pPr>
      <w:r w:rsidRPr="00FD1551">
        <w:rPr>
          <w:rFonts w:ascii="Arial" w:hAnsi="Arial" w:cs="Arial"/>
          <w:sz w:val="20"/>
          <w:szCs w:val="20"/>
          <w:lang w:eastAsia="pt-BR"/>
        </w:rPr>
        <w:t>&lt;DocumentoPCANaoEstruturado&gt;</w:t>
      </w:r>
    </w:p>
    <w:p w14:paraId="07687682" w14:textId="77777777" w:rsidR="00FD1551" w:rsidRPr="00FD1551" w:rsidRDefault="00FD1551" w:rsidP="00FD1551">
      <w:pPr>
        <w:spacing w:after="0" w:line="240" w:lineRule="auto"/>
        <w:ind w:right="600" w:firstLine="708"/>
        <w:jc w:val="both"/>
        <w:rPr>
          <w:rFonts w:ascii="Arial" w:hAnsi="Arial" w:cs="Arial"/>
          <w:sz w:val="20"/>
          <w:szCs w:val="20"/>
          <w:lang w:eastAsia="pt-BR"/>
        </w:rPr>
      </w:pPr>
      <w:r w:rsidRPr="00FD1551">
        <w:rPr>
          <w:rFonts w:ascii="Arial" w:hAnsi="Arial" w:cs="Arial"/>
          <w:sz w:val="20"/>
          <w:szCs w:val="20"/>
          <w:lang w:eastAsia="pt-BR"/>
        </w:rPr>
        <w:t xml:space="preserve">     &lt;IdNumRegistro&gt;</w:t>
      </w:r>
      <w:r w:rsidRPr="00FD1551">
        <w:rPr>
          <w:rFonts w:ascii="Arial" w:hAnsi="Arial" w:cs="Arial"/>
          <w:b/>
          <w:bCs/>
          <w:sz w:val="20"/>
          <w:szCs w:val="20"/>
          <w:lang w:eastAsia="pt-BR"/>
        </w:rPr>
        <w:t>99999</w:t>
      </w:r>
      <w:r w:rsidRPr="00FD1551">
        <w:rPr>
          <w:rFonts w:ascii="Arial" w:hAnsi="Arial" w:cs="Arial"/>
          <w:sz w:val="20"/>
          <w:szCs w:val="20"/>
          <w:lang w:eastAsia="pt-BR"/>
        </w:rPr>
        <w:t>&lt;/IdNumRegistro&gt;</w:t>
      </w:r>
    </w:p>
    <w:p w14:paraId="4D9708E1" w14:textId="77777777" w:rsidR="00FD1551" w:rsidRPr="00FD1551" w:rsidRDefault="00FD1551" w:rsidP="00FD1551">
      <w:pPr>
        <w:spacing w:after="0" w:line="240" w:lineRule="auto"/>
        <w:ind w:right="600" w:firstLine="708"/>
        <w:jc w:val="both"/>
        <w:rPr>
          <w:rFonts w:ascii="Arial" w:hAnsi="Arial" w:cs="Arial"/>
          <w:sz w:val="20"/>
          <w:szCs w:val="20"/>
          <w:lang w:eastAsia="pt-BR"/>
        </w:rPr>
      </w:pPr>
      <w:r w:rsidRPr="00FD1551">
        <w:rPr>
          <w:rFonts w:ascii="Arial" w:hAnsi="Arial" w:cs="Arial"/>
          <w:sz w:val="20"/>
          <w:szCs w:val="20"/>
          <w:lang w:eastAsia="pt-BR"/>
        </w:rPr>
        <w:t xml:space="preserve">     &lt;CodigoDocumento&gt;</w:t>
      </w:r>
      <w:r w:rsidRPr="00FD1551">
        <w:rPr>
          <w:rFonts w:ascii="Arial" w:hAnsi="Arial" w:cs="Arial"/>
          <w:b/>
          <w:bCs/>
          <w:sz w:val="20"/>
          <w:szCs w:val="20"/>
          <w:lang w:eastAsia="pt-BR"/>
        </w:rPr>
        <w:t>XXXXXXXX</w:t>
      </w:r>
      <w:r w:rsidRPr="00FD1551">
        <w:rPr>
          <w:rFonts w:ascii="Arial" w:hAnsi="Arial" w:cs="Arial"/>
          <w:sz w:val="20"/>
          <w:szCs w:val="20"/>
          <w:lang w:eastAsia="pt-BR"/>
        </w:rPr>
        <w:t>&lt;/CodigoDocumento&gt;</w:t>
      </w:r>
    </w:p>
    <w:p w14:paraId="363C8DA9" w14:textId="77777777" w:rsidR="00FD1551" w:rsidRPr="00FD1551" w:rsidRDefault="00FD1551" w:rsidP="00FD1551">
      <w:pPr>
        <w:spacing w:after="0" w:line="240" w:lineRule="auto"/>
        <w:ind w:right="600" w:firstLine="708"/>
        <w:jc w:val="both"/>
        <w:rPr>
          <w:rFonts w:ascii="Arial" w:hAnsi="Arial" w:cs="Arial"/>
          <w:sz w:val="20"/>
          <w:szCs w:val="20"/>
          <w:lang w:eastAsia="pt-BR"/>
        </w:rPr>
      </w:pPr>
      <w:r w:rsidRPr="00FD1551">
        <w:rPr>
          <w:rFonts w:ascii="Arial" w:hAnsi="Arial" w:cs="Arial"/>
          <w:sz w:val="20"/>
          <w:szCs w:val="20"/>
          <w:lang w:eastAsia="pt-BR"/>
        </w:rPr>
        <w:t>&lt;/DocumentoPCANaoEstruturado&gt;</w:t>
      </w:r>
    </w:p>
    <w:p w14:paraId="4C1351C7" w14:textId="77777777" w:rsidR="00FD1551" w:rsidRPr="00FD1551" w:rsidRDefault="00FD1551" w:rsidP="00FD1551">
      <w:pPr>
        <w:spacing w:after="0" w:line="240" w:lineRule="auto"/>
        <w:ind w:left="708" w:right="600" w:firstLine="708"/>
        <w:jc w:val="both"/>
        <w:rPr>
          <w:rFonts w:ascii="Arial" w:hAnsi="Arial" w:cs="Arial"/>
          <w:sz w:val="20"/>
          <w:szCs w:val="20"/>
          <w:lang w:eastAsia="pt-BR"/>
        </w:rPr>
      </w:pPr>
    </w:p>
    <w:p w14:paraId="1C3520C7" w14:textId="77777777" w:rsidR="00FD1551" w:rsidRPr="00FD1551" w:rsidRDefault="00FD1551" w:rsidP="00FD1551">
      <w:pPr>
        <w:spacing w:after="0" w:line="240" w:lineRule="auto"/>
        <w:ind w:right="600" w:firstLine="708"/>
        <w:jc w:val="both"/>
        <w:rPr>
          <w:rFonts w:ascii="Arial" w:hAnsi="Arial" w:cs="Arial"/>
          <w:sz w:val="20"/>
          <w:szCs w:val="20"/>
          <w:lang w:eastAsia="pt-BR"/>
        </w:rPr>
      </w:pPr>
      <w:r w:rsidRPr="00FD1551">
        <w:rPr>
          <w:rFonts w:ascii="Arial" w:hAnsi="Arial" w:cs="Arial"/>
          <w:sz w:val="20"/>
          <w:szCs w:val="20"/>
          <w:lang w:eastAsia="pt-BR"/>
        </w:rPr>
        <w:t>&lt;ArquivoDocumentoPCANaoEstruturado&gt;</w:t>
      </w:r>
    </w:p>
    <w:p w14:paraId="3D3731D5" w14:textId="77777777" w:rsidR="00FD1551" w:rsidRPr="00FD1551" w:rsidRDefault="00FD1551" w:rsidP="00FD1551">
      <w:pPr>
        <w:spacing w:after="0" w:line="240" w:lineRule="auto"/>
        <w:ind w:right="600" w:firstLine="708"/>
        <w:jc w:val="both"/>
        <w:rPr>
          <w:rFonts w:ascii="Arial" w:hAnsi="Arial" w:cs="Arial"/>
          <w:sz w:val="20"/>
          <w:szCs w:val="20"/>
          <w:lang w:eastAsia="pt-BR"/>
        </w:rPr>
      </w:pPr>
      <w:r w:rsidRPr="00FD1551">
        <w:rPr>
          <w:rFonts w:ascii="Arial" w:hAnsi="Arial" w:cs="Arial"/>
          <w:sz w:val="20"/>
          <w:szCs w:val="20"/>
          <w:lang w:eastAsia="pt-BR"/>
        </w:rPr>
        <w:t xml:space="preserve">     &lt;IdNumRegistro&gt;</w:t>
      </w:r>
      <w:r w:rsidRPr="00FD1551">
        <w:rPr>
          <w:rFonts w:ascii="Arial" w:hAnsi="Arial" w:cs="Arial"/>
          <w:b/>
          <w:bCs/>
          <w:sz w:val="20"/>
          <w:szCs w:val="20"/>
          <w:lang w:eastAsia="pt-BR"/>
        </w:rPr>
        <w:t>99999</w:t>
      </w:r>
      <w:r w:rsidRPr="00FD1551">
        <w:rPr>
          <w:rFonts w:ascii="Arial" w:hAnsi="Arial" w:cs="Arial"/>
          <w:sz w:val="20"/>
          <w:szCs w:val="20"/>
          <w:lang w:eastAsia="pt-BR"/>
        </w:rPr>
        <w:t>&lt;/IdNumRegistro&gt;</w:t>
      </w:r>
    </w:p>
    <w:p w14:paraId="097F936C" w14:textId="77777777" w:rsidR="00FD1551" w:rsidRPr="00FD1551" w:rsidRDefault="00FD1551" w:rsidP="00FD1551">
      <w:pPr>
        <w:spacing w:after="0" w:line="240" w:lineRule="auto"/>
        <w:ind w:right="600" w:firstLine="708"/>
        <w:jc w:val="both"/>
        <w:rPr>
          <w:rFonts w:ascii="Arial" w:hAnsi="Arial" w:cs="Arial"/>
          <w:sz w:val="20"/>
          <w:szCs w:val="20"/>
          <w:lang w:eastAsia="pt-BR"/>
        </w:rPr>
      </w:pPr>
      <w:r w:rsidRPr="00FD1551">
        <w:rPr>
          <w:rFonts w:ascii="Arial" w:hAnsi="Arial" w:cs="Arial"/>
          <w:sz w:val="20"/>
          <w:szCs w:val="20"/>
          <w:lang w:eastAsia="pt-BR"/>
        </w:rPr>
        <w:t xml:space="preserve">     &lt;CodigoDocumento&gt;</w:t>
      </w:r>
      <w:r w:rsidRPr="00FD1551">
        <w:rPr>
          <w:rFonts w:ascii="Arial" w:hAnsi="Arial" w:cs="Arial"/>
          <w:b/>
          <w:bCs/>
          <w:sz w:val="20"/>
          <w:szCs w:val="20"/>
          <w:lang w:eastAsia="pt-BR"/>
        </w:rPr>
        <w:t>XXXXXXXX</w:t>
      </w:r>
      <w:r w:rsidRPr="00FD1551">
        <w:rPr>
          <w:rFonts w:ascii="Arial" w:hAnsi="Arial" w:cs="Arial"/>
          <w:sz w:val="20"/>
          <w:szCs w:val="20"/>
          <w:lang w:eastAsia="pt-BR"/>
        </w:rPr>
        <w:t>&lt;/CodigoDocumento&gt;</w:t>
      </w:r>
    </w:p>
    <w:p w14:paraId="7E473DF1" w14:textId="77777777" w:rsidR="00FD1551" w:rsidRPr="00FD1551" w:rsidRDefault="00FD1551" w:rsidP="00FD1551">
      <w:pPr>
        <w:spacing w:after="0" w:line="240" w:lineRule="auto"/>
        <w:ind w:right="600" w:firstLine="708"/>
        <w:jc w:val="both"/>
        <w:rPr>
          <w:rFonts w:ascii="Arial" w:hAnsi="Arial" w:cs="Arial"/>
          <w:sz w:val="20"/>
          <w:szCs w:val="20"/>
          <w:lang w:eastAsia="pt-BR"/>
        </w:rPr>
      </w:pPr>
      <w:r w:rsidRPr="00FD1551">
        <w:rPr>
          <w:rFonts w:ascii="Arial" w:hAnsi="Arial" w:cs="Arial"/>
          <w:sz w:val="20"/>
          <w:szCs w:val="20"/>
          <w:lang w:eastAsia="pt-BR"/>
        </w:rPr>
        <w:t xml:space="preserve">     &lt;NomeArquivo&gt;</w:t>
      </w:r>
      <w:r w:rsidRPr="00FD1551">
        <w:rPr>
          <w:rFonts w:ascii="Arial" w:hAnsi="Arial" w:cs="Arial"/>
          <w:b/>
          <w:bCs/>
          <w:sz w:val="20"/>
          <w:szCs w:val="20"/>
          <w:lang w:eastAsia="pt-BR"/>
        </w:rPr>
        <w:t>XXX...XXX</w:t>
      </w:r>
      <w:r w:rsidRPr="00FD1551">
        <w:rPr>
          <w:rFonts w:ascii="Arial" w:hAnsi="Arial" w:cs="Arial"/>
          <w:sz w:val="20"/>
          <w:szCs w:val="20"/>
          <w:lang w:eastAsia="pt-BR"/>
        </w:rPr>
        <w:t>&lt;/NomeArquivo&gt;</w:t>
      </w:r>
    </w:p>
    <w:p w14:paraId="0E205119" w14:textId="77777777" w:rsidR="00FD1551" w:rsidRPr="00FD1551" w:rsidRDefault="00FD1551" w:rsidP="00FD1551">
      <w:pPr>
        <w:spacing w:after="0" w:line="240" w:lineRule="auto"/>
        <w:ind w:right="600" w:firstLine="708"/>
        <w:jc w:val="both"/>
        <w:rPr>
          <w:rFonts w:ascii="Arial" w:hAnsi="Arial" w:cs="Arial"/>
          <w:sz w:val="20"/>
          <w:szCs w:val="20"/>
          <w:lang w:eastAsia="pt-BR"/>
        </w:rPr>
      </w:pPr>
      <w:r w:rsidRPr="00FD1551">
        <w:rPr>
          <w:rFonts w:ascii="Arial" w:hAnsi="Arial" w:cs="Arial"/>
          <w:sz w:val="20"/>
          <w:szCs w:val="20"/>
          <w:lang w:eastAsia="pt-BR"/>
        </w:rPr>
        <w:t>&lt;/ArquivoDocumentoPCANaoEstruturado&gt;</w:t>
      </w:r>
    </w:p>
    <w:p w14:paraId="08D3DA04" w14:textId="77777777" w:rsidR="00FD1551" w:rsidRPr="00FD1551" w:rsidRDefault="00FD1551" w:rsidP="00FD1551">
      <w:pPr>
        <w:spacing w:after="0" w:line="240" w:lineRule="auto"/>
        <w:ind w:left="708" w:right="600" w:firstLine="708"/>
        <w:jc w:val="both"/>
        <w:rPr>
          <w:rFonts w:ascii="Arial" w:hAnsi="Arial" w:cs="Arial"/>
          <w:sz w:val="20"/>
          <w:szCs w:val="20"/>
          <w:lang w:eastAsia="pt-BR"/>
        </w:rPr>
      </w:pPr>
    </w:p>
    <w:p w14:paraId="425F8C31" w14:textId="77777777" w:rsidR="00FD1551" w:rsidRPr="00FD1551" w:rsidRDefault="00FD1551" w:rsidP="00FD1551">
      <w:pPr>
        <w:spacing w:after="0" w:line="240" w:lineRule="auto"/>
        <w:ind w:right="600" w:firstLine="708"/>
        <w:jc w:val="both"/>
        <w:rPr>
          <w:rFonts w:ascii="Arial" w:hAnsi="Arial" w:cs="Arial"/>
          <w:sz w:val="20"/>
          <w:szCs w:val="20"/>
          <w:lang w:eastAsia="pt-BR"/>
        </w:rPr>
      </w:pPr>
      <w:r w:rsidRPr="00FD1551">
        <w:rPr>
          <w:rFonts w:ascii="Arial" w:hAnsi="Arial" w:cs="Arial"/>
          <w:sz w:val="20"/>
          <w:szCs w:val="20"/>
          <w:lang w:eastAsia="pt-BR"/>
        </w:rPr>
        <w:t>&lt;JustificativaAusencia&gt;</w:t>
      </w:r>
    </w:p>
    <w:p w14:paraId="66920B3D" w14:textId="77777777" w:rsidR="00FD1551" w:rsidRPr="00FD1551" w:rsidRDefault="00FD1551" w:rsidP="00FD1551">
      <w:pPr>
        <w:spacing w:after="0" w:line="240" w:lineRule="auto"/>
        <w:ind w:right="600" w:firstLine="708"/>
        <w:jc w:val="both"/>
        <w:rPr>
          <w:rFonts w:ascii="Arial" w:hAnsi="Arial" w:cs="Arial"/>
          <w:sz w:val="20"/>
          <w:szCs w:val="20"/>
          <w:lang w:eastAsia="pt-BR"/>
        </w:rPr>
      </w:pPr>
      <w:r w:rsidRPr="00FD1551">
        <w:rPr>
          <w:rFonts w:ascii="Arial" w:hAnsi="Arial" w:cs="Arial"/>
          <w:sz w:val="20"/>
          <w:szCs w:val="20"/>
          <w:lang w:eastAsia="pt-BR"/>
        </w:rPr>
        <w:t xml:space="preserve">     &lt;IdNumRegistro&gt;</w:t>
      </w:r>
      <w:r w:rsidRPr="00FD1551">
        <w:rPr>
          <w:rFonts w:ascii="Arial" w:hAnsi="Arial" w:cs="Arial"/>
          <w:b/>
          <w:bCs/>
          <w:sz w:val="20"/>
          <w:szCs w:val="20"/>
          <w:lang w:eastAsia="pt-BR"/>
        </w:rPr>
        <w:t>99999</w:t>
      </w:r>
      <w:r w:rsidRPr="00FD1551">
        <w:rPr>
          <w:rFonts w:ascii="Arial" w:hAnsi="Arial" w:cs="Arial"/>
          <w:sz w:val="20"/>
          <w:szCs w:val="20"/>
          <w:lang w:eastAsia="pt-BR"/>
        </w:rPr>
        <w:t>&lt;/IdNumRegistro&gt;</w:t>
      </w:r>
    </w:p>
    <w:p w14:paraId="0BC62264" w14:textId="77777777" w:rsidR="00FD1551" w:rsidRPr="00FD1551" w:rsidRDefault="00FD1551" w:rsidP="00FD1551">
      <w:pPr>
        <w:spacing w:after="0" w:line="240" w:lineRule="auto"/>
        <w:ind w:right="600" w:firstLine="708"/>
        <w:jc w:val="both"/>
        <w:rPr>
          <w:rFonts w:ascii="Arial" w:hAnsi="Arial" w:cs="Arial"/>
          <w:sz w:val="20"/>
          <w:szCs w:val="20"/>
          <w:lang w:eastAsia="pt-BR"/>
        </w:rPr>
      </w:pPr>
      <w:r w:rsidRPr="00FD1551">
        <w:rPr>
          <w:rFonts w:ascii="Arial" w:hAnsi="Arial" w:cs="Arial"/>
          <w:sz w:val="20"/>
          <w:szCs w:val="20"/>
          <w:lang w:eastAsia="pt-BR"/>
        </w:rPr>
        <w:t xml:space="preserve">     &lt;CodigoDocumento&gt;</w:t>
      </w:r>
      <w:r w:rsidRPr="00FD1551">
        <w:rPr>
          <w:rFonts w:ascii="Arial" w:hAnsi="Arial" w:cs="Arial"/>
          <w:b/>
          <w:bCs/>
          <w:sz w:val="20"/>
          <w:szCs w:val="20"/>
          <w:lang w:eastAsia="pt-BR"/>
        </w:rPr>
        <w:t>XXXXXXXX</w:t>
      </w:r>
      <w:r w:rsidRPr="00FD1551">
        <w:rPr>
          <w:rFonts w:ascii="Arial" w:hAnsi="Arial" w:cs="Arial"/>
          <w:sz w:val="20"/>
          <w:szCs w:val="20"/>
          <w:lang w:eastAsia="pt-BR"/>
        </w:rPr>
        <w:t>&lt;/CodigoDocumento&gt;</w:t>
      </w:r>
    </w:p>
    <w:p w14:paraId="4B221A23" w14:textId="77777777" w:rsidR="00FD1551" w:rsidRPr="00FD1551" w:rsidRDefault="00FD1551" w:rsidP="00FD1551">
      <w:pPr>
        <w:spacing w:after="0" w:line="240" w:lineRule="auto"/>
        <w:ind w:right="600" w:firstLine="708"/>
        <w:jc w:val="both"/>
        <w:rPr>
          <w:rFonts w:ascii="Arial" w:hAnsi="Arial" w:cs="Arial"/>
          <w:sz w:val="20"/>
          <w:szCs w:val="20"/>
          <w:lang w:eastAsia="pt-BR"/>
        </w:rPr>
      </w:pPr>
      <w:r w:rsidRPr="00FD1551">
        <w:rPr>
          <w:rFonts w:ascii="Arial" w:hAnsi="Arial" w:cs="Arial"/>
          <w:sz w:val="20"/>
          <w:szCs w:val="20"/>
          <w:lang w:eastAsia="pt-BR"/>
        </w:rPr>
        <w:t xml:space="preserve">     &lt;Justificativa&gt;</w:t>
      </w:r>
      <w:r w:rsidRPr="00FD1551">
        <w:rPr>
          <w:rFonts w:ascii="Arial" w:hAnsi="Arial" w:cs="Arial"/>
          <w:b/>
          <w:bCs/>
          <w:sz w:val="20"/>
          <w:szCs w:val="20"/>
          <w:lang w:eastAsia="pt-BR"/>
        </w:rPr>
        <w:t>XXX...XXX</w:t>
      </w:r>
      <w:r w:rsidRPr="00FD1551">
        <w:rPr>
          <w:rFonts w:ascii="Arial" w:hAnsi="Arial" w:cs="Arial"/>
          <w:sz w:val="20"/>
          <w:szCs w:val="20"/>
          <w:lang w:eastAsia="pt-BR"/>
        </w:rPr>
        <w:t>&lt;/Justificativa&gt;</w:t>
      </w:r>
    </w:p>
    <w:p w14:paraId="76519950" w14:textId="77777777" w:rsidR="00FD1551" w:rsidRPr="00FD1551" w:rsidRDefault="00FD1551" w:rsidP="00FD1551">
      <w:pPr>
        <w:spacing w:after="0" w:line="240" w:lineRule="auto"/>
        <w:ind w:right="600" w:firstLine="708"/>
        <w:jc w:val="both"/>
        <w:rPr>
          <w:rFonts w:ascii="Arial" w:hAnsi="Arial" w:cs="Arial"/>
          <w:sz w:val="20"/>
          <w:szCs w:val="20"/>
          <w:lang w:eastAsia="pt-BR"/>
        </w:rPr>
      </w:pPr>
      <w:r w:rsidRPr="00FD1551">
        <w:rPr>
          <w:rFonts w:ascii="Arial" w:hAnsi="Arial" w:cs="Arial"/>
          <w:sz w:val="20"/>
          <w:szCs w:val="20"/>
          <w:lang w:eastAsia="pt-BR"/>
        </w:rPr>
        <w:t>&lt;/JustificativaAusencia&gt;</w:t>
      </w:r>
    </w:p>
    <w:p w14:paraId="337381C8" w14:textId="77777777" w:rsidR="00FD1551" w:rsidRPr="00FD1551" w:rsidRDefault="00FD1551" w:rsidP="00FD1551">
      <w:pPr>
        <w:spacing w:after="0" w:line="240" w:lineRule="auto"/>
        <w:ind w:left="708" w:right="600" w:firstLine="708"/>
        <w:jc w:val="both"/>
        <w:rPr>
          <w:rFonts w:ascii="Arial" w:hAnsi="Arial" w:cs="Arial"/>
          <w:sz w:val="20"/>
          <w:szCs w:val="20"/>
          <w:lang w:eastAsia="pt-BR"/>
        </w:rPr>
      </w:pPr>
    </w:p>
    <w:p w14:paraId="7146A8E6" w14:textId="77777777" w:rsidR="00FD1551" w:rsidRPr="00FD1551" w:rsidRDefault="00FD1551" w:rsidP="00FD1551">
      <w:pPr>
        <w:spacing w:after="0" w:line="240" w:lineRule="auto"/>
        <w:ind w:right="600" w:firstLine="708"/>
        <w:jc w:val="both"/>
        <w:rPr>
          <w:rFonts w:ascii="Arial" w:hAnsi="Arial" w:cs="Arial"/>
          <w:sz w:val="20"/>
          <w:szCs w:val="20"/>
          <w:lang w:eastAsia="pt-BR"/>
        </w:rPr>
      </w:pPr>
      <w:r w:rsidRPr="00FD1551">
        <w:rPr>
          <w:rFonts w:ascii="Arial" w:hAnsi="Arial" w:cs="Arial"/>
          <w:sz w:val="20"/>
          <w:szCs w:val="20"/>
          <w:lang w:eastAsia="pt-BR"/>
        </w:rPr>
        <w:t>&lt;ArquivoJustificativaAusencia&gt;</w:t>
      </w:r>
    </w:p>
    <w:p w14:paraId="3ECA7831" w14:textId="77777777" w:rsidR="00FD1551" w:rsidRPr="00FD1551" w:rsidRDefault="00FD1551" w:rsidP="00FD1551">
      <w:pPr>
        <w:spacing w:after="0" w:line="240" w:lineRule="auto"/>
        <w:ind w:right="600" w:firstLine="708"/>
        <w:jc w:val="both"/>
        <w:rPr>
          <w:rFonts w:ascii="Arial" w:hAnsi="Arial" w:cs="Arial"/>
          <w:sz w:val="20"/>
          <w:szCs w:val="20"/>
          <w:lang w:eastAsia="pt-BR"/>
        </w:rPr>
      </w:pPr>
      <w:r w:rsidRPr="00FD1551">
        <w:rPr>
          <w:rFonts w:ascii="Arial" w:hAnsi="Arial" w:cs="Arial"/>
          <w:sz w:val="20"/>
          <w:szCs w:val="20"/>
          <w:lang w:eastAsia="pt-BR"/>
        </w:rPr>
        <w:t xml:space="preserve">     &lt;IdNumRegistro&gt;</w:t>
      </w:r>
      <w:r w:rsidRPr="00FD1551">
        <w:rPr>
          <w:rFonts w:ascii="Arial" w:hAnsi="Arial" w:cs="Arial"/>
          <w:b/>
          <w:bCs/>
          <w:sz w:val="20"/>
          <w:szCs w:val="20"/>
          <w:lang w:eastAsia="pt-BR"/>
        </w:rPr>
        <w:t>99999</w:t>
      </w:r>
      <w:r w:rsidRPr="00FD1551">
        <w:rPr>
          <w:rFonts w:ascii="Arial" w:hAnsi="Arial" w:cs="Arial"/>
          <w:sz w:val="20"/>
          <w:szCs w:val="20"/>
          <w:lang w:eastAsia="pt-BR"/>
        </w:rPr>
        <w:t>&lt;/IdNumRegistro&gt;</w:t>
      </w:r>
    </w:p>
    <w:p w14:paraId="7871B45B" w14:textId="77777777" w:rsidR="00FD1551" w:rsidRPr="00FD1551" w:rsidRDefault="00FD1551" w:rsidP="00FD1551">
      <w:pPr>
        <w:spacing w:after="0" w:line="240" w:lineRule="auto"/>
        <w:ind w:right="600" w:firstLine="708"/>
        <w:jc w:val="both"/>
        <w:rPr>
          <w:rFonts w:ascii="Arial" w:hAnsi="Arial" w:cs="Arial"/>
          <w:sz w:val="20"/>
          <w:szCs w:val="20"/>
          <w:lang w:eastAsia="pt-BR"/>
        </w:rPr>
      </w:pPr>
      <w:r w:rsidRPr="00FD1551">
        <w:rPr>
          <w:rFonts w:ascii="Arial" w:hAnsi="Arial" w:cs="Arial"/>
          <w:sz w:val="20"/>
          <w:szCs w:val="20"/>
          <w:lang w:eastAsia="pt-BR"/>
        </w:rPr>
        <w:t xml:space="preserve">     &lt;CodigoDocumento&gt;</w:t>
      </w:r>
      <w:r w:rsidRPr="00FD1551">
        <w:rPr>
          <w:rFonts w:ascii="Arial" w:hAnsi="Arial" w:cs="Arial"/>
          <w:b/>
          <w:bCs/>
          <w:sz w:val="20"/>
          <w:szCs w:val="20"/>
          <w:lang w:eastAsia="pt-BR"/>
        </w:rPr>
        <w:t>XXXXXXXX</w:t>
      </w:r>
      <w:r w:rsidRPr="00FD1551">
        <w:rPr>
          <w:rFonts w:ascii="Arial" w:hAnsi="Arial" w:cs="Arial"/>
          <w:sz w:val="20"/>
          <w:szCs w:val="20"/>
          <w:lang w:eastAsia="pt-BR"/>
        </w:rPr>
        <w:t>&lt;/CodigoDocumento&gt;</w:t>
      </w:r>
    </w:p>
    <w:p w14:paraId="3D210EFB" w14:textId="77777777" w:rsidR="00FD1551" w:rsidRPr="00FD1551" w:rsidRDefault="00FD1551" w:rsidP="00FD1551">
      <w:pPr>
        <w:spacing w:after="0" w:line="240" w:lineRule="auto"/>
        <w:ind w:right="600" w:firstLine="708"/>
        <w:jc w:val="both"/>
        <w:rPr>
          <w:rFonts w:ascii="Arial" w:hAnsi="Arial" w:cs="Arial"/>
          <w:sz w:val="20"/>
          <w:szCs w:val="20"/>
          <w:lang w:eastAsia="pt-BR"/>
        </w:rPr>
      </w:pPr>
      <w:r w:rsidRPr="00FD1551">
        <w:rPr>
          <w:rFonts w:ascii="Arial" w:hAnsi="Arial" w:cs="Arial"/>
          <w:sz w:val="20"/>
          <w:szCs w:val="20"/>
          <w:lang w:eastAsia="pt-BR"/>
        </w:rPr>
        <w:t xml:space="preserve">     &lt;NomeArquivo&gt;</w:t>
      </w:r>
      <w:r w:rsidRPr="00FD1551">
        <w:rPr>
          <w:rFonts w:ascii="Arial" w:hAnsi="Arial" w:cs="Arial"/>
          <w:b/>
          <w:bCs/>
          <w:sz w:val="20"/>
          <w:szCs w:val="20"/>
          <w:lang w:eastAsia="pt-BR"/>
        </w:rPr>
        <w:t>XXX...XXX</w:t>
      </w:r>
      <w:r w:rsidRPr="00FD1551">
        <w:rPr>
          <w:rFonts w:ascii="Arial" w:hAnsi="Arial" w:cs="Arial"/>
          <w:sz w:val="20"/>
          <w:szCs w:val="20"/>
          <w:lang w:eastAsia="pt-BR"/>
        </w:rPr>
        <w:t>&lt;/NomeArquivo&gt;</w:t>
      </w:r>
    </w:p>
    <w:p w14:paraId="384879D7" w14:textId="77777777" w:rsidR="00FD1551" w:rsidRPr="00FD1551" w:rsidRDefault="00FD1551" w:rsidP="00FD1551">
      <w:pPr>
        <w:spacing w:after="0" w:line="240" w:lineRule="auto"/>
        <w:ind w:right="600" w:firstLine="708"/>
        <w:jc w:val="both"/>
        <w:rPr>
          <w:rFonts w:ascii="Arial" w:hAnsi="Arial" w:cs="Arial"/>
          <w:sz w:val="20"/>
          <w:szCs w:val="20"/>
          <w:lang w:eastAsia="pt-BR"/>
        </w:rPr>
      </w:pPr>
      <w:r w:rsidRPr="00FD1551">
        <w:rPr>
          <w:rFonts w:ascii="Arial" w:hAnsi="Arial" w:cs="Arial"/>
          <w:sz w:val="20"/>
          <w:szCs w:val="20"/>
          <w:lang w:eastAsia="pt-BR"/>
        </w:rPr>
        <w:t>&lt;/ArquivoJustificativaAusencia&gt;</w:t>
      </w:r>
    </w:p>
    <w:p w14:paraId="4F7711F5" w14:textId="77777777" w:rsidR="00FD1551" w:rsidRPr="00FD1551" w:rsidRDefault="00FD1551" w:rsidP="00FD1551">
      <w:pPr>
        <w:spacing w:after="0" w:line="240" w:lineRule="auto"/>
        <w:ind w:right="600"/>
        <w:jc w:val="both"/>
        <w:rPr>
          <w:rFonts w:ascii="Arial" w:hAnsi="Arial" w:cs="Arial"/>
          <w:sz w:val="20"/>
          <w:szCs w:val="20"/>
          <w:lang w:eastAsia="pt-BR"/>
        </w:rPr>
      </w:pPr>
      <w:r w:rsidRPr="00FD1551">
        <w:rPr>
          <w:rFonts w:ascii="Arial" w:hAnsi="Arial" w:cs="Arial"/>
          <w:sz w:val="20"/>
          <w:szCs w:val="20"/>
          <w:lang w:eastAsia="pt-BR"/>
        </w:rPr>
        <w:tab/>
      </w:r>
    </w:p>
    <w:p w14:paraId="25F8D094" w14:textId="77777777" w:rsidR="00FD1551" w:rsidRPr="00FD1551" w:rsidRDefault="00FD1551" w:rsidP="00FD1551">
      <w:pPr>
        <w:spacing w:after="0" w:line="240" w:lineRule="auto"/>
        <w:ind w:right="600"/>
        <w:jc w:val="both"/>
        <w:rPr>
          <w:rFonts w:ascii="Arial" w:hAnsi="Arial" w:cs="Arial"/>
          <w:sz w:val="20"/>
          <w:szCs w:val="20"/>
          <w:lang w:eastAsia="pt-BR"/>
        </w:rPr>
      </w:pPr>
      <w:r w:rsidRPr="00FD1551">
        <w:rPr>
          <w:rFonts w:ascii="Arial" w:hAnsi="Arial" w:cs="Arial"/>
          <w:sz w:val="20"/>
          <w:szCs w:val="20"/>
          <w:lang w:eastAsia="pt-BR"/>
        </w:rPr>
        <w:t xml:space="preserve">     &lt;/DocumentoPCA_Schema&gt;</w:t>
      </w:r>
    </w:p>
    <w:p w14:paraId="556678CF" w14:textId="77777777" w:rsidR="00FD1551" w:rsidRPr="00FD1551" w:rsidRDefault="00FD1551" w:rsidP="00FD1551">
      <w:pPr>
        <w:spacing w:after="0" w:line="240" w:lineRule="auto"/>
        <w:ind w:right="600"/>
        <w:jc w:val="both"/>
        <w:rPr>
          <w:rFonts w:ascii="Arial" w:hAnsi="Arial" w:cs="Arial"/>
          <w:sz w:val="20"/>
          <w:szCs w:val="20"/>
          <w:lang w:eastAsia="pt-BR"/>
        </w:rPr>
      </w:pPr>
      <w:r w:rsidRPr="00FD1551">
        <w:rPr>
          <w:rFonts w:ascii="Arial" w:hAnsi="Arial" w:cs="Arial"/>
          <w:sz w:val="20"/>
          <w:szCs w:val="20"/>
          <w:lang w:eastAsia="pt-BR"/>
        </w:rPr>
        <w:t>&lt;/PrestacaoContasAnual&gt;</w:t>
      </w:r>
    </w:p>
    <w:p w14:paraId="57357C22" w14:textId="77777777" w:rsidR="00FD1551" w:rsidRPr="00FD1551" w:rsidRDefault="00FD1551" w:rsidP="00FD1551">
      <w:pPr>
        <w:spacing w:after="0" w:line="240" w:lineRule="auto"/>
        <w:ind w:right="600"/>
        <w:jc w:val="both"/>
        <w:rPr>
          <w:rFonts w:ascii="Arial" w:hAnsi="Arial" w:cs="Arial"/>
          <w:sz w:val="20"/>
          <w:szCs w:val="20"/>
          <w:lang w:eastAsia="pt-BR"/>
        </w:rPr>
      </w:pPr>
    </w:p>
    <w:p w14:paraId="39E80383" w14:textId="77777777" w:rsidR="00FD1551" w:rsidRPr="00FD1551" w:rsidRDefault="00FD1551" w:rsidP="00FD1551">
      <w:pPr>
        <w:spacing w:after="0" w:line="360" w:lineRule="auto"/>
        <w:jc w:val="both"/>
        <w:rPr>
          <w:rFonts w:ascii="Arial" w:hAnsi="Arial"/>
          <w:kern w:val="28"/>
        </w:rPr>
      </w:pPr>
    </w:p>
    <w:tbl>
      <w:tblPr>
        <w:tblW w:w="904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390"/>
        <w:gridCol w:w="1133"/>
        <w:gridCol w:w="1507"/>
        <w:gridCol w:w="3016"/>
      </w:tblGrid>
      <w:tr w:rsidR="00FD1551" w:rsidRPr="00FD1551" w14:paraId="2278D2E1" w14:textId="77777777" w:rsidTr="00FD1551">
        <w:trPr>
          <w:tblHeader/>
          <w:jc w:val="center"/>
        </w:trPr>
        <w:tc>
          <w:tcPr>
            <w:tcW w:w="3390" w:type="dxa"/>
            <w:tcBorders>
              <w:bottom w:val="single" w:sz="6" w:space="0" w:color="auto"/>
            </w:tcBorders>
            <w:shd w:val="solid" w:color="C0C0C0" w:fill="auto"/>
            <w:vAlign w:val="center"/>
          </w:tcPr>
          <w:p w14:paraId="14DB864B" w14:textId="77777777" w:rsidR="00FD1551" w:rsidRPr="00FD1551" w:rsidRDefault="00FD1551" w:rsidP="00FD1551">
            <w:pPr>
              <w:spacing w:before="120" w:after="120" w:line="240" w:lineRule="auto"/>
              <w:jc w:val="center"/>
              <w:rPr>
                <w:rFonts w:ascii="Arial" w:hAnsi="Arial" w:cs="Arial"/>
                <w:b/>
                <w:sz w:val="20"/>
                <w:szCs w:val="20"/>
              </w:rPr>
            </w:pPr>
            <w:r w:rsidRPr="00FD1551">
              <w:rPr>
                <w:rFonts w:ascii="Arial" w:hAnsi="Arial"/>
                <w:b/>
                <w:bCs/>
              </w:rPr>
              <w:br w:type="page"/>
            </w:r>
            <w:r w:rsidRPr="00FD1551">
              <w:rPr>
                <w:rFonts w:ascii="Arial" w:hAnsi="Arial" w:cs="Arial"/>
                <w:b/>
                <w:sz w:val="20"/>
                <w:szCs w:val="20"/>
              </w:rPr>
              <w:t>Campo</w:t>
            </w:r>
          </w:p>
        </w:tc>
        <w:tc>
          <w:tcPr>
            <w:tcW w:w="1133" w:type="dxa"/>
            <w:tcBorders>
              <w:bottom w:val="single" w:sz="6" w:space="0" w:color="auto"/>
            </w:tcBorders>
            <w:shd w:val="solid" w:color="C0C0C0" w:fill="auto"/>
            <w:vAlign w:val="center"/>
          </w:tcPr>
          <w:p w14:paraId="44BBAC95" w14:textId="77777777" w:rsidR="00FD1551" w:rsidRPr="00FD1551" w:rsidRDefault="00FD1551" w:rsidP="00FD1551">
            <w:pPr>
              <w:spacing w:before="120" w:after="120" w:line="240" w:lineRule="auto"/>
              <w:jc w:val="center"/>
              <w:rPr>
                <w:rFonts w:ascii="Arial" w:hAnsi="Arial" w:cs="Arial"/>
                <w:b/>
                <w:sz w:val="20"/>
                <w:szCs w:val="20"/>
              </w:rPr>
            </w:pPr>
            <w:r w:rsidRPr="00FD1551">
              <w:rPr>
                <w:rFonts w:ascii="Arial" w:hAnsi="Arial" w:cs="Arial"/>
                <w:b/>
                <w:sz w:val="20"/>
                <w:szCs w:val="20"/>
              </w:rPr>
              <w:t>Tipo</w:t>
            </w:r>
          </w:p>
        </w:tc>
        <w:tc>
          <w:tcPr>
            <w:tcW w:w="1507" w:type="dxa"/>
            <w:tcBorders>
              <w:bottom w:val="single" w:sz="6" w:space="0" w:color="auto"/>
            </w:tcBorders>
            <w:shd w:val="solid" w:color="C0C0C0" w:fill="auto"/>
            <w:vAlign w:val="center"/>
          </w:tcPr>
          <w:p w14:paraId="6ED8B8F3" w14:textId="77777777" w:rsidR="00FD1551" w:rsidRPr="00FD1551" w:rsidRDefault="00FD1551" w:rsidP="00FD1551">
            <w:pPr>
              <w:spacing w:before="120" w:after="120" w:line="240" w:lineRule="auto"/>
              <w:jc w:val="center"/>
              <w:rPr>
                <w:rFonts w:ascii="Arial" w:hAnsi="Arial" w:cs="Arial"/>
                <w:b/>
                <w:sz w:val="20"/>
                <w:szCs w:val="20"/>
              </w:rPr>
            </w:pPr>
            <w:r w:rsidRPr="00FD1551">
              <w:rPr>
                <w:rFonts w:ascii="Arial" w:hAnsi="Arial" w:cs="Arial"/>
                <w:b/>
                <w:sz w:val="20"/>
                <w:szCs w:val="20"/>
              </w:rPr>
              <w:t>Tamanho</w:t>
            </w:r>
          </w:p>
        </w:tc>
        <w:tc>
          <w:tcPr>
            <w:tcW w:w="3016" w:type="dxa"/>
            <w:tcBorders>
              <w:bottom w:val="single" w:sz="6" w:space="0" w:color="auto"/>
            </w:tcBorders>
            <w:shd w:val="solid" w:color="C0C0C0" w:fill="auto"/>
            <w:vAlign w:val="center"/>
          </w:tcPr>
          <w:p w14:paraId="0B3C46E7" w14:textId="77777777" w:rsidR="00FD1551" w:rsidRPr="00FD1551" w:rsidRDefault="00FD1551" w:rsidP="00FD1551">
            <w:pPr>
              <w:spacing w:before="120" w:after="120" w:line="240" w:lineRule="auto"/>
              <w:jc w:val="center"/>
              <w:rPr>
                <w:rFonts w:ascii="Arial" w:hAnsi="Arial" w:cs="Arial"/>
                <w:b/>
                <w:sz w:val="20"/>
                <w:szCs w:val="20"/>
              </w:rPr>
            </w:pPr>
            <w:r w:rsidRPr="00FD1551">
              <w:rPr>
                <w:rFonts w:ascii="Arial" w:hAnsi="Arial" w:cs="Arial"/>
                <w:b/>
                <w:sz w:val="20"/>
                <w:szCs w:val="20"/>
              </w:rPr>
              <w:t>Obrigatoriedade</w:t>
            </w:r>
          </w:p>
        </w:tc>
      </w:tr>
      <w:tr w:rsidR="00FD1551" w:rsidRPr="00FD1551" w14:paraId="50CEEFBF" w14:textId="77777777" w:rsidTr="00FD1551">
        <w:trPr>
          <w:jc w:val="center"/>
        </w:trPr>
        <w:tc>
          <w:tcPr>
            <w:tcW w:w="9046" w:type="dxa"/>
            <w:gridSpan w:val="4"/>
            <w:shd w:val="solid" w:color="BFBFBF" w:themeColor="background1" w:themeShade="BF" w:fill="auto"/>
            <w:vAlign w:val="center"/>
          </w:tcPr>
          <w:p w14:paraId="103EB5BE" w14:textId="77777777" w:rsidR="00FD1551" w:rsidRPr="00FD1551" w:rsidRDefault="00FD1551" w:rsidP="00FD1551">
            <w:pPr>
              <w:spacing w:before="120" w:after="120" w:line="240" w:lineRule="auto"/>
              <w:jc w:val="center"/>
              <w:rPr>
                <w:rFonts w:ascii="Arial" w:hAnsi="Arial" w:cs="Arial"/>
                <w:color w:val="FF0000"/>
                <w:sz w:val="20"/>
                <w:szCs w:val="20"/>
              </w:rPr>
            </w:pPr>
            <w:r w:rsidRPr="00FD1551">
              <w:rPr>
                <w:rFonts w:ascii="Arial" w:hAnsi="Arial" w:cs="Arial"/>
                <w:b/>
                <w:sz w:val="20"/>
                <w:szCs w:val="20"/>
              </w:rPr>
              <w:t>Estrutura ‘DocumentoPCANaoEstruturado’</w:t>
            </w:r>
          </w:p>
        </w:tc>
      </w:tr>
      <w:tr w:rsidR="00FD1551" w:rsidRPr="00FD1551" w14:paraId="0C53ABB4" w14:textId="77777777" w:rsidTr="00FD1551">
        <w:trPr>
          <w:trHeight w:val="310"/>
          <w:jc w:val="center"/>
        </w:trPr>
        <w:tc>
          <w:tcPr>
            <w:tcW w:w="3390" w:type="dxa"/>
            <w:vAlign w:val="center"/>
          </w:tcPr>
          <w:p w14:paraId="2DD0554B" w14:textId="77777777" w:rsidR="00FD1551" w:rsidRPr="00FD1551" w:rsidRDefault="00FD1551" w:rsidP="00FD1551">
            <w:pPr>
              <w:spacing w:before="120" w:after="120" w:line="240" w:lineRule="auto"/>
              <w:jc w:val="center"/>
              <w:rPr>
                <w:rFonts w:ascii="Arial" w:hAnsi="Arial" w:cs="Arial"/>
                <w:sz w:val="20"/>
                <w:szCs w:val="20"/>
              </w:rPr>
            </w:pPr>
            <w:r w:rsidRPr="00FD1551">
              <w:rPr>
                <w:rFonts w:ascii="Arial" w:hAnsi="Arial" w:cs="Arial"/>
                <w:sz w:val="20"/>
                <w:szCs w:val="20"/>
              </w:rPr>
              <w:t>IdNumRegistro</w:t>
            </w:r>
          </w:p>
        </w:tc>
        <w:tc>
          <w:tcPr>
            <w:tcW w:w="1133" w:type="dxa"/>
            <w:vAlign w:val="center"/>
          </w:tcPr>
          <w:p w14:paraId="2C64EF18" w14:textId="77777777" w:rsidR="00FD1551" w:rsidRPr="00FD1551" w:rsidRDefault="00FD1551" w:rsidP="00FD1551">
            <w:pPr>
              <w:spacing w:before="120" w:after="120" w:line="240" w:lineRule="auto"/>
              <w:jc w:val="center"/>
              <w:rPr>
                <w:rFonts w:ascii="Arial" w:hAnsi="Arial" w:cs="Arial"/>
                <w:sz w:val="20"/>
                <w:szCs w:val="20"/>
              </w:rPr>
            </w:pPr>
            <w:r w:rsidRPr="00FD1551">
              <w:rPr>
                <w:rFonts w:ascii="Arial" w:hAnsi="Arial" w:cs="Arial"/>
                <w:sz w:val="20"/>
                <w:szCs w:val="20"/>
              </w:rPr>
              <w:t>Inteiro</w:t>
            </w:r>
          </w:p>
        </w:tc>
        <w:tc>
          <w:tcPr>
            <w:tcW w:w="1507" w:type="dxa"/>
            <w:vAlign w:val="center"/>
          </w:tcPr>
          <w:p w14:paraId="3735452F" w14:textId="77777777" w:rsidR="00FD1551" w:rsidRPr="00FD1551" w:rsidRDefault="00FD1551" w:rsidP="00FD1551">
            <w:pPr>
              <w:spacing w:before="120" w:after="120" w:line="240" w:lineRule="auto"/>
              <w:jc w:val="center"/>
              <w:rPr>
                <w:rFonts w:ascii="Arial" w:hAnsi="Arial" w:cs="Arial"/>
                <w:sz w:val="20"/>
                <w:szCs w:val="20"/>
              </w:rPr>
            </w:pPr>
            <w:r w:rsidRPr="00FD1551">
              <w:rPr>
                <w:rFonts w:ascii="Arial" w:hAnsi="Arial" w:cs="Arial"/>
                <w:sz w:val="20"/>
                <w:szCs w:val="20"/>
              </w:rPr>
              <w:t>05</w:t>
            </w:r>
          </w:p>
        </w:tc>
        <w:tc>
          <w:tcPr>
            <w:tcW w:w="3016" w:type="dxa"/>
            <w:vAlign w:val="center"/>
          </w:tcPr>
          <w:p w14:paraId="11ABF145" w14:textId="77777777" w:rsidR="00FD1551" w:rsidRPr="00FD1551" w:rsidRDefault="00FD1551" w:rsidP="00CF4713">
            <w:pPr>
              <w:spacing w:before="120" w:after="120" w:line="240" w:lineRule="auto"/>
              <w:rPr>
                <w:rFonts w:ascii="Arial" w:hAnsi="Arial" w:cs="Arial"/>
                <w:color w:val="FF0000"/>
                <w:sz w:val="20"/>
                <w:szCs w:val="20"/>
              </w:rPr>
            </w:pPr>
            <w:r w:rsidRPr="00FD1551">
              <w:rPr>
                <w:rFonts w:ascii="Arial" w:hAnsi="Arial" w:cs="Arial"/>
                <w:sz w:val="20"/>
                <w:szCs w:val="20"/>
              </w:rPr>
              <w:t>Obrigatório</w:t>
            </w:r>
          </w:p>
        </w:tc>
      </w:tr>
      <w:tr w:rsidR="00FD1551" w:rsidRPr="00FD1551" w14:paraId="0AAF6EBD" w14:textId="77777777" w:rsidTr="00FD1551">
        <w:trPr>
          <w:jc w:val="center"/>
        </w:trPr>
        <w:tc>
          <w:tcPr>
            <w:tcW w:w="3390" w:type="dxa"/>
            <w:vAlign w:val="center"/>
          </w:tcPr>
          <w:p w14:paraId="00EEBE62" w14:textId="77777777" w:rsidR="00FD1551" w:rsidRPr="00FD1551" w:rsidRDefault="00FD1551" w:rsidP="00FD1551">
            <w:pPr>
              <w:spacing w:before="120" w:after="120" w:line="240" w:lineRule="auto"/>
              <w:jc w:val="center"/>
              <w:rPr>
                <w:rFonts w:ascii="Arial" w:hAnsi="Arial" w:cs="Arial"/>
                <w:sz w:val="20"/>
                <w:szCs w:val="20"/>
              </w:rPr>
            </w:pPr>
            <w:r w:rsidRPr="00FD1551">
              <w:rPr>
                <w:rFonts w:ascii="Arial" w:hAnsi="Arial" w:cs="Arial"/>
                <w:sz w:val="20"/>
                <w:szCs w:val="20"/>
                <w:lang w:eastAsia="pt-BR"/>
              </w:rPr>
              <w:t>CodigoDocumento</w:t>
            </w:r>
          </w:p>
        </w:tc>
        <w:tc>
          <w:tcPr>
            <w:tcW w:w="1133" w:type="dxa"/>
            <w:vAlign w:val="center"/>
          </w:tcPr>
          <w:p w14:paraId="620A6C99" w14:textId="77777777" w:rsidR="00FD1551" w:rsidRPr="00FD1551" w:rsidRDefault="00FD1551" w:rsidP="00FD1551">
            <w:pPr>
              <w:spacing w:before="120" w:after="120" w:line="240" w:lineRule="auto"/>
              <w:jc w:val="center"/>
              <w:rPr>
                <w:rFonts w:ascii="Arial" w:hAnsi="Arial" w:cs="Arial"/>
                <w:sz w:val="20"/>
                <w:szCs w:val="20"/>
              </w:rPr>
            </w:pPr>
            <w:r w:rsidRPr="00FD1551">
              <w:rPr>
                <w:rFonts w:ascii="Arial" w:hAnsi="Arial" w:cs="Arial"/>
                <w:sz w:val="20"/>
                <w:szCs w:val="20"/>
              </w:rPr>
              <w:t>Caracter</w:t>
            </w:r>
          </w:p>
        </w:tc>
        <w:tc>
          <w:tcPr>
            <w:tcW w:w="1507" w:type="dxa"/>
            <w:vAlign w:val="center"/>
          </w:tcPr>
          <w:p w14:paraId="44F50FDC" w14:textId="77777777" w:rsidR="00FD1551" w:rsidRPr="00FD1551" w:rsidRDefault="00FD1551" w:rsidP="00FD1551">
            <w:pPr>
              <w:spacing w:before="120" w:after="120" w:line="240" w:lineRule="auto"/>
              <w:jc w:val="center"/>
              <w:rPr>
                <w:rFonts w:ascii="Arial" w:hAnsi="Arial" w:cs="Arial"/>
                <w:sz w:val="20"/>
                <w:szCs w:val="20"/>
              </w:rPr>
            </w:pPr>
            <w:r w:rsidRPr="00FD1551">
              <w:rPr>
                <w:rFonts w:ascii="Arial" w:hAnsi="Arial" w:cs="Arial"/>
                <w:sz w:val="20"/>
                <w:szCs w:val="20"/>
              </w:rPr>
              <w:t>08</w:t>
            </w:r>
          </w:p>
        </w:tc>
        <w:tc>
          <w:tcPr>
            <w:tcW w:w="3016" w:type="dxa"/>
            <w:vAlign w:val="center"/>
          </w:tcPr>
          <w:p w14:paraId="086E4DE8" w14:textId="77777777" w:rsidR="00FD1551" w:rsidRPr="00FD1551" w:rsidRDefault="00FD1551" w:rsidP="00C16BC9">
            <w:pPr>
              <w:spacing w:before="120" w:after="120" w:line="240" w:lineRule="auto"/>
              <w:rPr>
                <w:rFonts w:ascii="Arial" w:hAnsi="Arial" w:cs="Arial"/>
                <w:sz w:val="20"/>
                <w:szCs w:val="20"/>
              </w:rPr>
            </w:pPr>
            <w:r w:rsidRPr="00FD1551">
              <w:rPr>
                <w:rFonts w:ascii="Arial" w:hAnsi="Arial" w:cs="Arial"/>
                <w:sz w:val="20"/>
                <w:szCs w:val="20"/>
              </w:rPr>
              <w:t xml:space="preserve">Obrigatório. </w:t>
            </w:r>
          </w:p>
        </w:tc>
      </w:tr>
      <w:tr w:rsidR="00FD1551" w:rsidRPr="00FD1551" w14:paraId="09242426" w14:textId="77777777" w:rsidTr="00FD1551">
        <w:trPr>
          <w:tblHeader/>
          <w:jc w:val="center"/>
        </w:trPr>
        <w:tc>
          <w:tcPr>
            <w:tcW w:w="9046" w:type="dxa"/>
            <w:gridSpan w:val="4"/>
            <w:shd w:val="solid" w:color="C0C0C0" w:fill="auto"/>
            <w:vAlign w:val="center"/>
          </w:tcPr>
          <w:p w14:paraId="0737F7A5" w14:textId="77777777" w:rsidR="00FD1551" w:rsidRPr="00FD1551" w:rsidRDefault="00FD1551" w:rsidP="00FD1551">
            <w:pPr>
              <w:spacing w:before="120" w:after="120" w:line="240" w:lineRule="auto"/>
              <w:jc w:val="center"/>
              <w:rPr>
                <w:rFonts w:ascii="Arial" w:hAnsi="Arial" w:cs="Arial"/>
                <w:b/>
                <w:sz w:val="20"/>
                <w:szCs w:val="20"/>
              </w:rPr>
            </w:pPr>
            <w:r w:rsidRPr="00FD1551">
              <w:rPr>
                <w:rFonts w:ascii="Arial" w:hAnsi="Arial" w:cs="Arial"/>
                <w:b/>
                <w:sz w:val="20"/>
                <w:szCs w:val="20"/>
              </w:rPr>
              <w:t>Estrutura ‘ArquivoDocumentoPCANaoEstruturado’</w:t>
            </w:r>
          </w:p>
        </w:tc>
      </w:tr>
      <w:tr w:rsidR="00FD1551" w:rsidRPr="00FD1551" w14:paraId="66790E65" w14:textId="77777777" w:rsidTr="00FD1551">
        <w:trPr>
          <w:jc w:val="center"/>
        </w:trPr>
        <w:tc>
          <w:tcPr>
            <w:tcW w:w="3390" w:type="dxa"/>
            <w:tcBorders>
              <w:bottom w:val="single" w:sz="6" w:space="0" w:color="auto"/>
            </w:tcBorders>
            <w:vAlign w:val="center"/>
          </w:tcPr>
          <w:p w14:paraId="4A8B89EA" w14:textId="77777777" w:rsidR="00FD1551" w:rsidRPr="00FD1551" w:rsidRDefault="00FD1551" w:rsidP="00FD1551">
            <w:pPr>
              <w:spacing w:before="120" w:after="120" w:line="240" w:lineRule="auto"/>
              <w:jc w:val="center"/>
              <w:rPr>
                <w:rFonts w:ascii="Arial" w:hAnsi="Arial" w:cs="Arial"/>
                <w:sz w:val="20"/>
                <w:szCs w:val="20"/>
              </w:rPr>
            </w:pPr>
            <w:r w:rsidRPr="00FD1551">
              <w:rPr>
                <w:rFonts w:ascii="Arial" w:hAnsi="Arial" w:cs="Arial"/>
                <w:sz w:val="20"/>
                <w:szCs w:val="20"/>
              </w:rPr>
              <w:t>IdNumRegistro</w:t>
            </w:r>
          </w:p>
        </w:tc>
        <w:tc>
          <w:tcPr>
            <w:tcW w:w="1133" w:type="dxa"/>
            <w:tcBorders>
              <w:bottom w:val="single" w:sz="6" w:space="0" w:color="auto"/>
            </w:tcBorders>
            <w:vAlign w:val="center"/>
          </w:tcPr>
          <w:p w14:paraId="6636B41E" w14:textId="77777777" w:rsidR="00FD1551" w:rsidRPr="00FD1551" w:rsidRDefault="00FD1551" w:rsidP="00FD1551">
            <w:pPr>
              <w:spacing w:before="120" w:after="120" w:line="240" w:lineRule="auto"/>
              <w:jc w:val="center"/>
              <w:rPr>
                <w:rFonts w:ascii="Arial" w:hAnsi="Arial" w:cs="Arial"/>
                <w:sz w:val="20"/>
                <w:szCs w:val="20"/>
              </w:rPr>
            </w:pPr>
            <w:r w:rsidRPr="00FD1551">
              <w:rPr>
                <w:rFonts w:ascii="Arial" w:hAnsi="Arial" w:cs="Arial"/>
                <w:sz w:val="20"/>
                <w:szCs w:val="20"/>
              </w:rPr>
              <w:t>Inteiro</w:t>
            </w:r>
          </w:p>
        </w:tc>
        <w:tc>
          <w:tcPr>
            <w:tcW w:w="1507" w:type="dxa"/>
            <w:tcBorders>
              <w:bottom w:val="single" w:sz="6" w:space="0" w:color="auto"/>
            </w:tcBorders>
            <w:vAlign w:val="center"/>
          </w:tcPr>
          <w:p w14:paraId="5BA8C222" w14:textId="77777777" w:rsidR="00FD1551" w:rsidRPr="00FD1551" w:rsidRDefault="00FD1551" w:rsidP="00FD1551">
            <w:pPr>
              <w:spacing w:before="120" w:after="120" w:line="240" w:lineRule="auto"/>
              <w:jc w:val="center"/>
              <w:rPr>
                <w:rFonts w:ascii="Arial" w:hAnsi="Arial" w:cs="Arial"/>
                <w:sz w:val="20"/>
                <w:szCs w:val="20"/>
              </w:rPr>
            </w:pPr>
            <w:r w:rsidRPr="00FD1551">
              <w:rPr>
                <w:rFonts w:ascii="Arial" w:hAnsi="Arial" w:cs="Arial"/>
                <w:sz w:val="20"/>
                <w:szCs w:val="20"/>
              </w:rPr>
              <w:t>05</w:t>
            </w:r>
          </w:p>
        </w:tc>
        <w:tc>
          <w:tcPr>
            <w:tcW w:w="3016" w:type="dxa"/>
            <w:tcBorders>
              <w:bottom w:val="single" w:sz="6" w:space="0" w:color="auto"/>
            </w:tcBorders>
            <w:vAlign w:val="center"/>
          </w:tcPr>
          <w:p w14:paraId="742C6705" w14:textId="77777777" w:rsidR="00FD1551" w:rsidRPr="00FD1551" w:rsidRDefault="00FD1551" w:rsidP="00CF4713">
            <w:pPr>
              <w:spacing w:before="120" w:after="120" w:line="240" w:lineRule="auto"/>
              <w:rPr>
                <w:rFonts w:ascii="Arial" w:hAnsi="Arial" w:cs="Arial"/>
                <w:color w:val="FF0000"/>
                <w:sz w:val="20"/>
                <w:szCs w:val="20"/>
              </w:rPr>
            </w:pPr>
            <w:r w:rsidRPr="00FD1551">
              <w:rPr>
                <w:rFonts w:ascii="Arial" w:hAnsi="Arial" w:cs="Arial"/>
                <w:sz w:val="20"/>
                <w:szCs w:val="20"/>
              </w:rPr>
              <w:t>Obrigatório</w:t>
            </w:r>
          </w:p>
        </w:tc>
      </w:tr>
      <w:tr w:rsidR="00FD1551" w:rsidRPr="00FD1551" w14:paraId="378F75BE" w14:textId="77777777" w:rsidTr="00FD1551">
        <w:trPr>
          <w:jc w:val="center"/>
        </w:trPr>
        <w:tc>
          <w:tcPr>
            <w:tcW w:w="3390" w:type="dxa"/>
            <w:tcBorders>
              <w:bottom w:val="single" w:sz="6" w:space="0" w:color="auto"/>
            </w:tcBorders>
            <w:vAlign w:val="center"/>
          </w:tcPr>
          <w:p w14:paraId="4D2A21F7" w14:textId="77777777" w:rsidR="00FD1551" w:rsidRPr="00FD1551" w:rsidRDefault="00FD1551" w:rsidP="00FD1551">
            <w:pPr>
              <w:spacing w:before="120" w:after="120" w:line="240" w:lineRule="auto"/>
              <w:jc w:val="center"/>
              <w:rPr>
                <w:rFonts w:ascii="Arial" w:hAnsi="Arial" w:cs="Arial"/>
                <w:sz w:val="20"/>
                <w:szCs w:val="20"/>
              </w:rPr>
            </w:pPr>
            <w:r w:rsidRPr="00FD1551">
              <w:rPr>
                <w:rFonts w:ascii="Arial" w:hAnsi="Arial" w:cs="Arial"/>
                <w:sz w:val="20"/>
                <w:szCs w:val="20"/>
                <w:lang w:eastAsia="pt-BR"/>
              </w:rPr>
              <w:t xml:space="preserve">CodigoDocumento </w:t>
            </w:r>
            <w:r w:rsidRPr="003F3F85">
              <w:rPr>
                <w:rFonts w:ascii="Arial" w:hAnsi="Arial" w:cs="Arial"/>
                <w:b/>
                <w:sz w:val="20"/>
                <w:szCs w:val="20"/>
                <w:vertAlign w:val="superscript"/>
                <w:lang w:eastAsia="pt-BR"/>
              </w:rPr>
              <w:t>[1]</w:t>
            </w:r>
          </w:p>
        </w:tc>
        <w:tc>
          <w:tcPr>
            <w:tcW w:w="1133" w:type="dxa"/>
            <w:tcBorders>
              <w:bottom w:val="single" w:sz="6" w:space="0" w:color="auto"/>
            </w:tcBorders>
            <w:vAlign w:val="center"/>
          </w:tcPr>
          <w:p w14:paraId="6465E26F" w14:textId="77777777" w:rsidR="00FD1551" w:rsidRPr="00FD1551" w:rsidRDefault="00FD1551" w:rsidP="00FD1551">
            <w:pPr>
              <w:spacing w:before="120" w:after="120" w:line="240" w:lineRule="auto"/>
              <w:jc w:val="center"/>
              <w:rPr>
                <w:rFonts w:ascii="Arial" w:hAnsi="Arial" w:cs="Arial"/>
                <w:sz w:val="20"/>
                <w:szCs w:val="20"/>
              </w:rPr>
            </w:pPr>
            <w:r w:rsidRPr="00FD1551">
              <w:rPr>
                <w:rFonts w:ascii="Arial" w:hAnsi="Arial" w:cs="Arial"/>
                <w:sz w:val="20"/>
                <w:szCs w:val="20"/>
              </w:rPr>
              <w:t>Caracter</w:t>
            </w:r>
          </w:p>
        </w:tc>
        <w:tc>
          <w:tcPr>
            <w:tcW w:w="1507" w:type="dxa"/>
            <w:tcBorders>
              <w:bottom w:val="single" w:sz="6" w:space="0" w:color="auto"/>
            </w:tcBorders>
            <w:vAlign w:val="center"/>
          </w:tcPr>
          <w:p w14:paraId="33ACB722" w14:textId="77777777" w:rsidR="00FD1551" w:rsidRPr="00FD1551" w:rsidRDefault="00FD1551" w:rsidP="00FD1551">
            <w:pPr>
              <w:spacing w:before="120" w:after="120" w:line="240" w:lineRule="auto"/>
              <w:jc w:val="center"/>
              <w:rPr>
                <w:rFonts w:ascii="Arial" w:hAnsi="Arial" w:cs="Arial"/>
                <w:sz w:val="20"/>
                <w:szCs w:val="20"/>
              </w:rPr>
            </w:pPr>
            <w:r w:rsidRPr="00FD1551">
              <w:rPr>
                <w:rFonts w:ascii="Arial" w:hAnsi="Arial" w:cs="Arial"/>
                <w:sz w:val="20"/>
                <w:szCs w:val="20"/>
              </w:rPr>
              <w:t>08</w:t>
            </w:r>
          </w:p>
        </w:tc>
        <w:tc>
          <w:tcPr>
            <w:tcW w:w="3016" w:type="dxa"/>
            <w:tcBorders>
              <w:bottom w:val="single" w:sz="6" w:space="0" w:color="auto"/>
            </w:tcBorders>
            <w:vAlign w:val="center"/>
          </w:tcPr>
          <w:p w14:paraId="03FA6208" w14:textId="77777777" w:rsidR="00FD1551" w:rsidRPr="00FD1551" w:rsidRDefault="00FD1551" w:rsidP="00C16BC9">
            <w:pPr>
              <w:spacing w:before="120" w:after="120" w:line="240" w:lineRule="auto"/>
              <w:rPr>
                <w:rFonts w:ascii="Arial" w:hAnsi="Arial" w:cs="Arial"/>
                <w:sz w:val="20"/>
                <w:szCs w:val="20"/>
              </w:rPr>
            </w:pPr>
            <w:r w:rsidRPr="00FD1551">
              <w:rPr>
                <w:rFonts w:ascii="Arial" w:hAnsi="Arial" w:cs="Arial"/>
                <w:sz w:val="20"/>
                <w:szCs w:val="20"/>
              </w:rPr>
              <w:t xml:space="preserve">Obrigatório. </w:t>
            </w:r>
          </w:p>
        </w:tc>
      </w:tr>
      <w:tr w:rsidR="00FD1551" w:rsidRPr="00FD1551" w14:paraId="2B666AC2" w14:textId="77777777" w:rsidTr="00FD1551">
        <w:trPr>
          <w:jc w:val="center"/>
        </w:trPr>
        <w:tc>
          <w:tcPr>
            <w:tcW w:w="3390" w:type="dxa"/>
            <w:tcBorders>
              <w:bottom w:val="single" w:sz="6" w:space="0" w:color="auto"/>
            </w:tcBorders>
            <w:vAlign w:val="center"/>
          </w:tcPr>
          <w:p w14:paraId="15A4D3A4" w14:textId="77777777" w:rsidR="00FD1551" w:rsidRPr="00FD1551" w:rsidRDefault="00FD1551" w:rsidP="00FD1551">
            <w:pPr>
              <w:spacing w:before="120" w:after="120" w:line="240" w:lineRule="auto"/>
              <w:jc w:val="center"/>
              <w:rPr>
                <w:rFonts w:ascii="Arial" w:hAnsi="Arial" w:cs="Arial"/>
                <w:sz w:val="20"/>
                <w:szCs w:val="20"/>
              </w:rPr>
            </w:pPr>
            <w:r w:rsidRPr="00FD1551">
              <w:rPr>
                <w:rFonts w:ascii="Arial" w:hAnsi="Arial" w:cs="Arial"/>
                <w:sz w:val="20"/>
                <w:szCs w:val="20"/>
              </w:rPr>
              <w:lastRenderedPageBreak/>
              <w:t>NomeArquivo</w:t>
            </w:r>
          </w:p>
        </w:tc>
        <w:tc>
          <w:tcPr>
            <w:tcW w:w="1133" w:type="dxa"/>
            <w:tcBorders>
              <w:bottom w:val="single" w:sz="6" w:space="0" w:color="auto"/>
            </w:tcBorders>
            <w:vAlign w:val="center"/>
          </w:tcPr>
          <w:p w14:paraId="6F57F758" w14:textId="77777777" w:rsidR="00FD1551" w:rsidRPr="00FD1551" w:rsidRDefault="00FD1551" w:rsidP="00FD1551">
            <w:pPr>
              <w:spacing w:before="120" w:after="120" w:line="240" w:lineRule="auto"/>
              <w:jc w:val="center"/>
              <w:rPr>
                <w:rFonts w:ascii="Arial" w:hAnsi="Arial" w:cs="Arial"/>
                <w:sz w:val="20"/>
                <w:szCs w:val="20"/>
              </w:rPr>
            </w:pPr>
            <w:r w:rsidRPr="00FD1551">
              <w:rPr>
                <w:rFonts w:ascii="Arial" w:hAnsi="Arial" w:cs="Arial"/>
                <w:sz w:val="20"/>
                <w:szCs w:val="20"/>
              </w:rPr>
              <w:t>Caracter</w:t>
            </w:r>
          </w:p>
        </w:tc>
        <w:tc>
          <w:tcPr>
            <w:tcW w:w="1507" w:type="dxa"/>
            <w:tcBorders>
              <w:bottom w:val="single" w:sz="6" w:space="0" w:color="auto"/>
            </w:tcBorders>
            <w:vAlign w:val="center"/>
          </w:tcPr>
          <w:p w14:paraId="1CB8D0B9" w14:textId="77777777" w:rsidR="00FD1551" w:rsidRPr="00FD1551" w:rsidRDefault="00FD1551" w:rsidP="00FD1551">
            <w:pPr>
              <w:spacing w:before="120" w:after="120" w:line="240" w:lineRule="auto"/>
              <w:jc w:val="center"/>
              <w:rPr>
                <w:rFonts w:ascii="Arial" w:hAnsi="Arial" w:cs="Arial"/>
                <w:sz w:val="20"/>
                <w:szCs w:val="20"/>
              </w:rPr>
            </w:pPr>
            <w:r w:rsidRPr="00FD1551">
              <w:rPr>
                <w:rFonts w:ascii="Arial" w:hAnsi="Arial" w:cs="Arial"/>
                <w:sz w:val="20"/>
                <w:szCs w:val="20"/>
              </w:rPr>
              <w:t>30</w:t>
            </w:r>
          </w:p>
        </w:tc>
        <w:tc>
          <w:tcPr>
            <w:tcW w:w="3016" w:type="dxa"/>
            <w:tcBorders>
              <w:bottom w:val="single" w:sz="6" w:space="0" w:color="auto"/>
            </w:tcBorders>
            <w:vAlign w:val="center"/>
          </w:tcPr>
          <w:p w14:paraId="792C1674" w14:textId="77777777" w:rsidR="00FD1551" w:rsidRPr="00FD1551" w:rsidRDefault="00FD1551" w:rsidP="00CF4713">
            <w:pPr>
              <w:spacing w:before="120" w:after="120" w:line="240" w:lineRule="auto"/>
              <w:rPr>
                <w:rFonts w:ascii="Arial" w:hAnsi="Arial" w:cs="Arial"/>
                <w:color w:val="FF0000"/>
                <w:sz w:val="20"/>
                <w:szCs w:val="20"/>
              </w:rPr>
            </w:pPr>
            <w:r w:rsidRPr="00FD1551">
              <w:rPr>
                <w:rFonts w:ascii="Arial" w:hAnsi="Arial" w:cs="Arial"/>
                <w:sz w:val="20"/>
                <w:szCs w:val="20"/>
              </w:rPr>
              <w:t>Obrigatório</w:t>
            </w:r>
          </w:p>
        </w:tc>
      </w:tr>
      <w:tr w:rsidR="00FD1551" w:rsidRPr="00FD1551" w14:paraId="78406882" w14:textId="77777777" w:rsidTr="00FD1551">
        <w:trPr>
          <w:jc w:val="center"/>
        </w:trPr>
        <w:tc>
          <w:tcPr>
            <w:tcW w:w="9046" w:type="dxa"/>
            <w:gridSpan w:val="4"/>
            <w:shd w:val="pct20" w:color="auto" w:fill="auto"/>
            <w:vAlign w:val="center"/>
          </w:tcPr>
          <w:p w14:paraId="131A6FD1" w14:textId="77777777" w:rsidR="00FD1551" w:rsidRPr="00FD1551" w:rsidRDefault="00FD1551" w:rsidP="00FD1551">
            <w:pPr>
              <w:spacing w:before="120" w:after="120" w:line="240" w:lineRule="auto"/>
              <w:jc w:val="center"/>
              <w:rPr>
                <w:rFonts w:ascii="Arial" w:hAnsi="Arial" w:cs="Arial"/>
                <w:sz w:val="20"/>
                <w:szCs w:val="20"/>
              </w:rPr>
            </w:pPr>
            <w:r w:rsidRPr="00FD1551">
              <w:rPr>
                <w:rFonts w:ascii="Arial" w:hAnsi="Arial" w:cs="Arial"/>
                <w:b/>
                <w:sz w:val="20"/>
                <w:szCs w:val="20"/>
              </w:rPr>
              <w:t xml:space="preserve">Estrutura ‘JustificativaAusencia’  </w:t>
            </w:r>
            <w:r w:rsidRPr="00FD1551">
              <w:rPr>
                <w:rFonts w:ascii="Arial" w:hAnsi="Arial" w:cs="Arial"/>
                <w:b/>
                <w:sz w:val="20"/>
                <w:szCs w:val="20"/>
                <w:lang w:eastAsia="pt-BR"/>
              </w:rPr>
              <w:t>[2]</w:t>
            </w:r>
          </w:p>
        </w:tc>
      </w:tr>
      <w:tr w:rsidR="00FD1551" w:rsidRPr="00FD1551" w14:paraId="0009F174" w14:textId="77777777" w:rsidTr="00FD1551">
        <w:trPr>
          <w:jc w:val="center"/>
        </w:trPr>
        <w:tc>
          <w:tcPr>
            <w:tcW w:w="3390" w:type="dxa"/>
            <w:vAlign w:val="center"/>
          </w:tcPr>
          <w:p w14:paraId="59F63D49" w14:textId="77777777" w:rsidR="00FD1551" w:rsidRPr="00FD1551" w:rsidRDefault="00FD1551" w:rsidP="00FD1551">
            <w:pPr>
              <w:spacing w:before="120" w:after="120" w:line="240" w:lineRule="auto"/>
              <w:jc w:val="center"/>
              <w:rPr>
                <w:rFonts w:ascii="Arial" w:hAnsi="Arial" w:cs="Arial"/>
                <w:sz w:val="20"/>
                <w:szCs w:val="20"/>
              </w:rPr>
            </w:pPr>
            <w:r w:rsidRPr="00FD1551">
              <w:rPr>
                <w:rFonts w:ascii="Arial" w:hAnsi="Arial" w:cs="Arial"/>
                <w:sz w:val="20"/>
                <w:szCs w:val="20"/>
              </w:rPr>
              <w:t>IdNumRegistro</w:t>
            </w:r>
          </w:p>
        </w:tc>
        <w:tc>
          <w:tcPr>
            <w:tcW w:w="1133" w:type="dxa"/>
            <w:vAlign w:val="center"/>
          </w:tcPr>
          <w:p w14:paraId="5699EF50" w14:textId="77777777" w:rsidR="00FD1551" w:rsidRPr="00FD1551" w:rsidRDefault="00FD1551" w:rsidP="00FD1551">
            <w:pPr>
              <w:spacing w:before="120" w:after="120" w:line="240" w:lineRule="auto"/>
              <w:jc w:val="center"/>
              <w:rPr>
                <w:rFonts w:ascii="Arial" w:hAnsi="Arial" w:cs="Arial"/>
                <w:sz w:val="20"/>
                <w:szCs w:val="20"/>
              </w:rPr>
            </w:pPr>
            <w:r w:rsidRPr="00FD1551">
              <w:rPr>
                <w:rFonts w:ascii="Arial" w:hAnsi="Arial" w:cs="Arial"/>
                <w:sz w:val="20"/>
                <w:szCs w:val="20"/>
              </w:rPr>
              <w:t>Inteiro</w:t>
            </w:r>
          </w:p>
        </w:tc>
        <w:tc>
          <w:tcPr>
            <w:tcW w:w="1507" w:type="dxa"/>
            <w:vAlign w:val="center"/>
          </w:tcPr>
          <w:p w14:paraId="6A7EA913" w14:textId="77777777" w:rsidR="00FD1551" w:rsidRPr="00FD1551" w:rsidRDefault="00FD1551" w:rsidP="00FD1551">
            <w:pPr>
              <w:spacing w:before="120" w:after="120" w:line="240" w:lineRule="auto"/>
              <w:jc w:val="center"/>
              <w:rPr>
                <w:rFonts w:ascii="Arial" w:hAnsi="Arial" w:cs="Arial"/>
                <w:sz w:val="20"/>
                <w:szCs w:val="20"/>
              </w:rPr>
            </w:pPr>
            <w:r w:rsidRPr="00FD1551">
              <w:rPr>
                <w:rFonts w:ascii="Arial" w:hAnsi="Arial" w:cs="Arial"/>
                <w:sz w:val="20"/>
                <w:szCs w:val="20"/>
              </w:rPr>
              <w:t>05</w:t>
            </w:r>
          </w:p>
        </w:tc>
        <w:tc>
          <w:tcPr>
            <w:tcW w:w="3016" w:type="dxa"/>
            <w:vAlign w:val="center"/>
          </w:tcPr>
          <w:p w14:paraId="18293604" w14:textId="77777777" w:rsidR="00FD1551" w:rsidRPr="00FD1551" w:rsidRDefault="00FD1551" w:rsidP="00CF4713">
            <w:pPr>
              <w:spacing w:before="120" w:after="120" w:line="240" w:lineRule="auto"/>
              <w:rPr>
                <w:rFonts w:ascii="Arial" w:hAnsi="Arial" w:cs="Arial"/>
                <w:color w:val="FF0000"/>
                <w:sz w:val="20"/>
                <w:szCs w:val="20"/>
              </w:rPr>
            </w:pPr>
            <w:r w:rsidRPr="00FD1551">
              <w:rPr>
                <w:rFonts w:ascii="Arial" w:hAnsi="Arial" w:cs="Arial"/>
                <w:sz w:val="20"/>
                <w:szCs w:val="20"/>
              </w:rPr>
              <w:t>Não Obrigatório</w:t>
            </w:r>
          </w:p>
        </w:tc>
      </w:tr>
      <w:tr w:rsidR="00FD1551" w:rsidRPr="00FD1551" w14:paraId="6736DAE7" w14:textId="77777777" w:rsidTr="00FD1551">
        <w:trPr>
          <w:jc w:val="center"/>
        </w:trPr>
        <w:tc>
          <w:tcPr>
            <w:tcW w:w="3390" w:type="dxa"/>
            <w:vAlign w:val="center"/>
          </w:tcPr>
          <w:p w14:paraId="188092E2" w14:textId="77777777" w:rsidR="00FD1551" w:rsidRPr="00FD1551" w:rsidRDefault="00FD1551" w:rsidP="00FD1551">
            <w:pPr>
              <w:spacing w:before="120" w:after="120" w:line="240" w:lineRule="auto"/>
              <w:jc w:val="center"/>
              <w:rPr>
                <w:rFonts w:ascii="Arial" w:hAnsi="Arial" w:cs="Arial"/>
                <w:sz w:val="20"/>
                <w:szCs w:val="20"/>
              </w:rPr>
            </w:pPr>
            <w:r w:rsidRPr="00FD1551">
              <w:rPr>
                <w:rFonts w:ascii="Arial" w:hAnsi="Arial" w:cs="Arial"/>
                <w:sz w:val="20"/>
                <w:szCs w:val="20"/>
                <w:lang w:eastAsia="pt-BR"/>
              </w:rPr>
              <w:t>CodigoDocumento</w:t>
            </w:r>
          </w:p>
        </w:tc>
        <w:tc>
          <w:tcPr>
            <w:tcW w:w="1133" w:type="dxa"/>
            <w:vAlign w:val="center"/>
          </w:tcPr>
          <w:p w14:paraId="178FB43C" w14:textId="77777777" w:rsidR="00FD1551" w:rsidRPr="00FD1551" w:rsidRDefault="00FD1551" w:rsidP="00FD1551">
            <w:pPr>
              <w:spacing w:before="120" w:after="120" w:line="240" w:lineRule="auto"/>
              <w:jc w:val="center"/>
              <w:rPr>
                <w:rFonts w:ascii="Arial" w:hAnsi="Arial" w:cs="Arial"/>
                <w:sz w:val="20"/>
                <w:szCs w:val="20"/>
              </w:rPr>
            </w:pPr>
            <w:r w:rsidRPr="00FD1551">
              <w:rPr>
                <w:rFonts w:ascii="Arial" w:hAnsi="Arial" w:cs="Arial"/>
                <w:sz w:val="20"/>
                <w:szCs w:val="20"/>
              </w:rPr>
              <w:t>Caracter</w:t>
            </w:r>
          </w:p>
        </w:tc>
        <w:tc>
          <w:tcPr>
            <w:tcW w:w="1507" w:type="dxa"/>
            <w:vAlign w:val="center"/>
          </w:tcPr>
          <w:p w14:paraId="7F02118B" w14:textId="77777777" w:rsidR="00FD1551" w:rsidRPr="00FD1551" w:rsidRDefault="00FD1551" w:rsidP="00FD1551">
            <w:pPr>
              <w:spacing w:before="120" w:after="120" w:line="240" w:lineRule="auto"/>
              <w:jc w:val="center"/>
              <w:rPr>
                <w:rFonts w:ascii="Arial" w:hAnsi="Arial" w:cs="Arial"/>
                <w:sz w:val="20"/>
                <w:szCs w:val="20"/>
              </w:rPr>
            </w:pPr>
            <w:r w:rsidRPr="00FD1551">
              <w:rPr>
                <w:rFonts w:ascii="Arial" w:hAnsi="Arial" w:cs="Arial"/>
                <w:sz w:val="20"/>
                <w:szCs w:val="20"/>
              </w:rPr>
              <w:t>08</w:t>
            </w:r>
          </w:p>
        </w:tc>
        <w:tc>
          <w:tcPr>
            <w:tcW w:w="3016" w:type="dxa"/>
            <w:vAlign w:val="center"/>
          </w:tcPr>
          <w:p w14:paraId="0D67EE8A" w14:textId="77777777" w:rsidR="00FD1551" w:rsidRPr="00FD1551" w:rsidRDefault="00FD1551" w:rsidP="00C16BC9">
            <w:pPr>
              <w:spacing w:before="120" w:after="120" w:line="240" w:lineRule="auto"/>
              <w:rPr>
                <w:rFonts w:ascii="Arial" w:hAnsi="Arial" w:cs="Arial"/>
                <w:sz w:val="20"/>
                <w:szCs w:val="20"/>
              </w:rPr>
            </w:pPr>
            <w:r w:rsidRPr="00FD1551">
              <w:rPr>
                <w:rFonts w:ascii="Arial" w:hAnsi="Arial" w:cs="Arial"/>
                <w:sz w:val="20"/>
                <w:szCs w:val="20"/>
              </w:rPr>
              <w:t xml:space="preserve">Não Obrigatório. </w:t>
            </w:r>
          </w:p>
        </w:tc>
      </w:tr>
      <w:tr w:rsidR="00FD1551" w:rsidRPr="00FD1551" w14:paraId="4B13A04F" w14:textId="77777777" w:rsidTr="00FD1551">
        <w:trPr>
          <w:jc w:val="center"/>
        </w:trPr>
        <w:tc>
          <w:tcPr>
            <w:tcW w:w="3390" w:type="dxa"/>
            <w:vAlign w:val="center"/>
          </w:tcPr>
          <w:p w14:paraId="3E78C7A7" w14:textId="77777777" w:rsidR="00FD1551" w:rsidRPr="00FD1551" w:rsidRDefault="00FD1551" w:rsidP="00FD1551">
            <w:pPr>
              <w:spacing w:before="120" w:after="120" w:line="240" w:lineRule="auto"/>
              <w:jc w:val="center"/>
              <w:rPr>
                <w:rFonts w:ascii="Arial" w:hAnsi="Arial" w:cs="Arial"/>
                <w:sz w:val="20"/>
                <w:szCs w:val="20"/>
              </w:rPr>
            </w:pPr>
            <w:r w:rsidRPr="00FD1551">
              <w:rPr>
                <w:rFonts w:ascii="Arial" w:hAnsi="Arial" w:cs="Arial"/>
                <w:sz w:val="20"/>
                <w:szCs w:val="20"/>
              </w:rPr>
              <w:t>Justificativa</w:t>
            </w:r>
          </w:p>
        </w:tc>
        <w:tc>
          <w:tcPr>
            <w:tcW w:w="1133" w:type="dxa"/>
            <w:vAlign w:val="center"/>
          </w:tcPr>
          <w:p w14:paraId="3A90358C" w14:textId="77777777" w:rsidR="00FD1551" w:rsidRPr="00FD1551" w:rsidRDefault="00FD1551" w:rsidP="00FD1551">
            <w:pPr>
              <w:spacing w:before="120" w:after="120" w:line="240" w:lineRule="auto"/>
              <w:jc w:val="center"/>
              <w:rPr>
                <w:rFonts w:ascii="Arial" w:hAnsi="Arial" w:cs="Arial"/>
                <w:sz w:val="20"/>
                <w:szCs w:val="20"/>
              </w:rPr>
            </w:pPr>
            <w:r w:rsidRPr="00FD1551">
              <w:rPr>
                <w:rFonts w:ascii="Arial" w:hAnsi="Arial" w:cs="Arial"/>
                <w:sz w:val="20"/>
                <w:szCs w:val="20"/>
              </w:rPr>
              <w:t>Caracter</w:t>
            </w:r>
          </w:p>
        </w:tc>
        <w:tc>
          <w:tcPr>
            <w:tcW w:w="1507" w:type="dxa"/>
            <w:vAlign w:val="center"/>
          </w:tcPr>
          <w:p w14:paraId="49631A92" w14:textId="77777777" w:rsidR="00FD1551" w:rsidRPr="00FD1551" w:rsidRDefault="00FD1551" w:rsidP="00FD1551">
            <w:pPr>
              <w:spacing w:before="120" w:after="120" w:line="240" w:lineRule="auto"/>
              <w:jc w:val="center"/>
              <w:rPr>
                <w:rFonts w:ascii="Arial" w:hAnsi="Arial" w:cs="Arial"/>
                <w:sz w:val="20"/>
                <w:szCs w:val="20"/>
              </w:rPr>
            </w:pPr>
            <w:r w:rsidRPr="00FD1551">
              <w:rPr>
                <w:rFonts w:ascii="Arial" w:hAnsi="Arial" w:cs="Arial"/>
                <w:sz w:val="20"/>
                <w:szCs w:val="20"/>
              </w:rPr>
              <w:t>1000</w:t>
            </w:r>
          </w:p>
        </w:tc>
        <w:tc>
          <w:tcPr>
            <w:tcW w:w="3016" w:type="dxa"/>
            <w:vAlign w:val="center"/>
          </w:tcPr>
          <w:p w14:paraId="79FF1D4A" w14:textId="77777777" w:rsidR="00FD1551" w:rsidRPr="00FD1551" w:rsidRDefault="00FD1551" w:rsidP="00CF4713">
            <w:pPr>
              <w:spacing w:before="120" w:after="120" w:line="240" w:lineRule="auto"/>
              <w:rPr>
                <w:rFonts w:ascii="Arial" w:hAnsi="Arial" w:cs="Arial"/>
                <w:sz w:val="20"/>
                <w:szCs w:val="20"/>
              </w:rPr>
            </w:pPr>
            <w:r w:rsidRPr="00FD1551">
              <w:rPr>
                <w:rFonts w:ascii="Arial" w:hAnsi="Arial" w:cs="Arial"/>
                <w:sz w:val="20"/>
                <w:szCs w:val="20"/>
              </w:rPr>
              <w:t>Não Obrigatório</w:t>
            </w:r>
          </w:p>
        </w:tc>
      </w:tr>
      <w:tr w:rsidR="00FD1551" w:rsidRPr="00FD1551" w14:paraId="6EB0798F" w14:textId="77777777" w:rsidTr="00FD1551">
        <w:trPr>
          <w:tblHeader/>
          <w:jc w:val="center"/>
        </w:trPr>
        <w:tc>
          <w:tcPr>
            <w:tcW w:w="9046" w:type="dxa"/>
            <w:gridSpan w:val="4"/>
            <w:shd w:val="solid" w:color="C0C0C0" w:fill="auto"/>
            <w:vAlign w:val="center"/>
          </w:tcPr>
          <w:p w14:paraId="4AF9DD6D" w14:textId="77777777" w:rsidR="00FD1551" w:rsidRPr="00FD1551" w:rsidRDefault="00FD1551" w:rsidP="00FD1551">
            <w:pPr>
              <w:spacing w:before="120" w:after="120" w:line="240" w:lineRule="auto"/>
              <w:jc w:val="center"/>
              <w:rPr>
                <w:rFonts w:ascii="Arial" w:hAnsi="Arial" w:cs="Arial"/>
                <w:b/>
                <w:sz w:val="20"/>
                <w:szCs w:val="20"/>
              </w:rPr>
            </w:pPr>
            <w:r w:rsidRPr="00FD1551">
              <w:rPr>
                <w:rFonts w:ascii="Arial" w:hAnsi="Arial" w:cs="Arial"/>
                <w:b/>
                <w:sz w:val="20"/>
                <w:szCs w:val="20"/>
              </w:rPr>
              <w:t>Estrutura ‘ArquivoJustificativaAusencia’ [4]</w:t>
            </w:r>
          </w:p>
        </w:tc>
      </w:tr>
      <w:tr w:rsidR="00FD1551" w:rsidRPr="00FD1551" w14:paraId="000A0CD1" w14:textId="77777777" w:rsidTr="00FD1551">
        <w:trPr>
          <w:jc w:val="center"/>
        </w:trPr>
        <w:tc>
          <w:tcPr>
            <w:tcW w:w="3390" w:type="dxa"/>
            <w:vAlign w:val="center"/>
          </w:tcPr>
          <w:p w14:paraId="0334506C" w14:textId="77777777" w:rsidR="00FD1551" w:rsidRPr="00FD1551" w:rsidRDefault="00FD1551" w:rsidP="00FD1551">
            <w:pPr>
              <w:spacing w:before="120" w:after="120" w:line="240" w:lineRule="auto"/>
              <w:jc w:val="center"/>
              <w:rPr>
                <w:rFonts w:ascii="Arial" w:hAnsi="Arial" w:cs="Arial"/>
                <w:sz w:val="20"/>
                <w:szCs w:val="20"/>
              </w:rPr>
            </w:pPr>
            <w:r w:rsidRPr="00FD1551">
              <w:rPr>
                <w:rFonts w:ascii="Arial" w:hAnsi="Arial" w:cs="Arial"/>
                <w:sz w:val="20"/>
                <w:szCs w:val="20"/>
              </w:rPr>
              <w:t>IdNumRegistro</w:t>
            </w:r>
          </w:p>
        </w:tc>
        <w:tc>
          <w:tcPr>
            <w:tcW w:w="1133" w:type="dxa"/>
            <w:vAlign w:val="center"/>
          </w:tcPr>
          <w:p w14:paraId="08FE0140" w14:textId="77777777" w:rsidR="00FD1551" w:rsidRPr="00FD1551" w:rsidRDefault="00FD1551" w:rsidP="00FD1551">
            <w:pPr>
              <w:spacing w:before="120" w:after="120" w:line="240" w:lineRule="auto"/>
              <w:jc w:val="center"/>
              <w:rPr>
                <w:rFonts w:ascii="Arial" w:hAnsi="Arial" w:cs="Arial"/>
                <w:sz w:val="20"/>
                <w:szCs w:val="20"/>
              </w:rPr>
            </w:pPr>
            <w:r w:rsidRPr="00FD1551">
              <w:rPr>
                <w:rFonts w:ascii="Arial" w:hAnsi="Arial" w:cs="Arial"/>
                <w:sz w:val="20"/>
                <w:szCs w:val="20"/>
              </w:rPr>
              <w:t>Inteiro</w:t>
            </w:r>
          </w:p>
        </w:tc>
        <w:tc>
          <w:tcPr>
            <w:tcW w:w="1507" w:type="dxa"/>
            <w:vAlign w:val="center"/>
          </w:tcPr>
          <w:p w14:paraId="1382A8B5" w14:textId="77777777" w:rsidR="00FD1551" w:rsidRPr="00FD1551" w:rsidRDefault="00FD1551" w:rsidP="00FD1551">
            <w:pPr>
              <w:spacing w:before="120" w:after="120" w:line="240" w:lineRule="auto"/>
              <w:jc w:val="center"/>
              <w:rPr>
                <w:rFonts w:ascii="Arial" w:hAnsi="Arial" w:cs="Arial"/>
                <w:sz w:val="20"/>
                <w:szCs w:val="20"/>
              </w:rPr>
            </w:pPr>
            <w:r w:rsidRPr="00FD1551">
              <w:rPr>
                <w:rFonts w:ascii="Arial" w:hAnsi="Arial" w:cs="Arial"/>
                <w:sz w:val="20"/>
                <w:szCs w:val="20"/>
              </w:rPr>
              <w:t>05</w:t>
            </w:r>
          </w:p>
        </w:tc>
        <w:tc>
          <w:tcPr>
            <w:tcW w:w="3016" w:type="dxa"/>
            <w:vAlign w:val="center"/>
          </w:tcPr>
          <w:p w14:paraId="168ED18F" w14:textId="77777777" w:rsidR="00FD1551" w:rsidRPr="00FD1551" w:rsidRDefault="00FD1551" w:rsidP="00CF4713">
            <w:pPr>
              <w:spacing w:before="120" w:after="120" w:line="240" w:lineRule="auto"/>
              <w:rPr>
                <w:rFonts w:ascii="Arial" w:hAnsi="Arial" w:cs="Arial"/>
                <w:color w:val="FF0000"/>
                <w:sz w:val="20"/>
                <w:szCs w:val="20"/>
              </w:rPr>
            </w:pPr>
            <w:r w:rsidRPr="00FD1551">
              <w:rPr>
                <w:rFonts w:ascii="Arial" w:hAnsi="Arial" w:cs="Arial"/>
                <w:sz w:val="20"/>
                <w:szCs w:val="20"/>
              </w:rPr>
              <w:t>Não Obrigatório</w:t>
            </w:r>
          </w:p>
        </w:tc>
      </w:tr>
      <w:tr w:rsidR="00FD1551" w:rsidRPr="00FD1551" w14:paraId="15D65556" w14:textId="77777777" w:rsidTr="00FD1551">
        <w:trPr>
          <w:jc w:val="center"/>
        </w:trPr>
        <w:tc>
          <w:tcPr>
            <w:tcW w:w="3390" w:type="dxa"/>
            <w:vAlign w:val="center"/>
          </w:tcPr>
          <w:p w14:paraId="1C9A700D" w14:textId="77777777" w:rsidR="00FD1551" w:rsidRPr="00FD1551" w:rsidRDefault="00FD1551" w:rsidP="00FD1551">
            <w:pPr>
              <w:spacing w:before="120" w:after="120" w:line="240" w:lineRule="auto"/>
              <w:jc w:val="center"/>
              <w:rPr>
                <w:rFonts w:ascii="Arial" w:hAnsi="Arial" w:cs="Arial"/>
                <w:sz w:val="20"/>
                <w:szCs w:val="20"/>
              </w:rPr>
            </w:pPr>
            <w:r w:rsidRPr="00FD1551">
              <w:rPr>
                <w:rFonts w:ascii="Arial" w:hAnsi="Arial" w:cs="Arial"/>
                <w:sz w:val="20"/>
                <w:szCs w:val="20"/>
                <w:lang w:eastAsia="pt-BR"/>
              </w:rPr>
              <w:t xml:space="preserve">CodigoDocumento </w:t>
            </w:r>
            <w:r w:rsidRPr="003F3F85">
              <w:rPr>
                <w:rFonts w:ascii="Arial" w:hAnsi="Arial" w:cs="Arial"/>
                <w:b/>
                <w:sz w:val="20"/>
                <w:szCs w:val="20"/>
                <w:vertAlign w:val="superscript"/>
                <w:lang w:eastAsia="pt-BR"/>
              </w:rPr>
              <w:t>[3]</w:t>
            </w:r>
          </w:p>
        </w:tc>
        <w:tc>
          <w:tcPr>
            <w:tcW w:w="1133" w:type="dxa"/>
            <w:vAlign w:val="center"/>
          </w:tcPr>
          <w:p w14:paraId="6BC974CE" w14:textId="77777777" w:rsidR="00FD1551" w:rsidRPr="00FD1551" w:rsidRDefault="00FD1551" w:rsidP="00FD1551">
            <w:pPr>
              <w:spacing w:before="120" w:after="120" w:line="240" w:lineRule="auto"/>
              <w:jc w:val="center"/>
              <w:rPr>
                <w:rFonts w:ascii="Arial" w:hAnsi="Arial" w:cs="Arial"/>
                <w:sz w:val="20"/>
                <w:szCs w:val="20"/>
              </w:rPr>
            </w:pPr>
            <w:r w:rsidRPr="00FD1551">
              <w:rPr>
                <w:rFonts w:ascii="Arial" w:hAnsi="Arial" w:cs="Arial"/>
                <w:sz w:val="20"/>
                <w:szCs w:val="20"/>
              </w:rPr>
              <w:t>Caracter</w:t>
            </w:r>
          </w:p>
        </w:tc>
        <w:tc>
          <w:tcPr>
            <w:tcW w:w="1507" w:type="dxa"/>
            <w:vAlign w:val="center"/>
          </w:tcPr>
          <w:p w14:paraId="2A92FD02" w14:textId="77777777" w:rsidR="00FD1551" w:rsidRPr="00FD1551" w:rsidRDefault="00FD1551" w:rsidP="00FD1551">
            <w:pPr>
              <w:spacing w:before="120" w:after="120" w:line="240" w:lineRule="auto"/>
              <w:jc w:val="center"/>
              <w:rPr>
                <w:rFonts w:ascii="Arial" w:hAnsi="Arial" w:cs="Arial"/>
                <w:sz w:val="20"/>
                <w:szCs w:val="20"/>
              </w:rPr>
            </w:pPr>
            <w:r w:rsidRPr="00FD1551">
              <w:rPr>
                <w:rFonts w:ascii="Arial" w:hAnsi="Arial" w:cs="Arial"/>
                <w:sz w:val="20"/>
                <w:szCs w:val="20"/>
              </w:rPr>
              <w:t>08</w:t>
            </w:r>
          </w:p>
        </w:tc>
        <w:tc>
          <w:tcPr>
            <w:tcW w:w="3016" w:type="dxa"/>
            <w:vAlign w:val="center"/>
          </w:tcPr>
          <w:p w14:paraId="640102D3" w14:textId="77777777" w:rsidR="00FD1551" w:rsidRPr="00FD1551" w:rsidRDefault="00CF4713" w:rsidP="00C16BC9">
            <w:pPr>
              <w:spacing w:before="120" w:after="120" w:line="240" w:lineRule="auto"/>
              <w:rPr>
                <w:rFonts w:ascii="Arial" w:hAnsi="Arial" w:cs="Arial"/>
                <w:sz w:val="20"/>
                <w:szCs w:val="20"/>
              </w:rPr>
            </w:pPr>
            <w:r>
              <w:rPr>
                <w:rFonts w:ascii="Arial" w:hAnsi="Arial" w:cs="Arial"/>
                <w:sz w:val="20"/>
                <w:szCs w:val="20"/>
              </w:rPr>
              <w:t xml:space="preserve">Não Obrigatório. </w:t>
            </w:r>
          </w:p>
        </w:tc>
      </w:tr>
      <w:tr w:rsidR="00FD1551" w:rsidRPr="00FD1551" w14:paraId="3320C326" w14:textId="77777777" w:rsidTr="00FD1551">
        <w:trPr>
          <w:jc w:val="center"/>
        </w:trPr>
        <w:tc>
          <w:tcPr>
            <w:tcW w:w="3390" w:type="dxa"/>
            <w:vAlign w:val="center"/>
          </w:tcPr>
          <w:p w14:paraId="5A94814F" w14:textId="77777777" w:rsidR="00FD1551" w:rsidRPr="00FD1551" w:rsidRDefault="00FD1551" w:rsidP="00FD1551">
            <w:pPr>
              <w:spacing w:before="120" w:after="120" w:line="240" w:lineRule="auto"/>
              <w:jc w:val="center"/>
              <w:rPr>
                <w:rFonts w:ascii="Arial" w:hAnsi="Arial" w:cs="Arial"/>
                <w:sz w:val="20"/>
                <w:szCs w:val="20"/>
              </w:rPr>
            </w:pPr>
            <w:r w:rsidRPr="00FD1551">
              <w:rPr>
                <w:rFonts w:ascii="Arial" w:hAnsi="Arial" w:cs="Arial"/>
                <w:sz w:val="20"/>
                <w:szCs w:val="20"/>
              </w:rPr>
              <w:t>NomeArquivo</w:t>
            </w:r>
          </w:p>
        </w:tc>
        <w:tc>
          <w:tcPr>
            <w:tcW w:w="1133" w:type="dxa"/>
            <w:vAlign w:val="center"/>
          </w:tcPr>
          <w:p w14:paraId="0E318EF7" w14:textId="77777777" w:rsidR="00FD1551" w:rsidRPr="00FD1551" w:rsidRDefault="00FD1551" w:rsidP="00FD1551">
            <w:pPr>
              <w:spacing w:before="120" w:after="120" w:line="240" w:lineRule="auto"/>
              <w:jc w:val="center"/>
              <w:rPr>
                <w:rFonts w:ascii="Arial" w:hAnsi="Arial" w:cs="Arial"/>
                <w:sz w:val="20"/>
                <w:szCs w:val="20"/>
              </w:rPr>
            </w:pPr>
            <w:r w:rsidRPr="00FD1551">
              <w:rPr>
                <w:rFonts w:ascii="Arial" w:hAnsi="Arial" w:cs="Arial"/>
                <w:sz w:val="20"/>
                <w:szCs w:val="20"/>
              </w:rPr>
              <w:t>Caracter</w:t>
            </w:r>
          </w:p>
        </w:tc>
        <w:tc>
          <w:tcPr>
            <w:tcW w:w="1507" w:type="dxa"/>
            <w:vAlign w:val="center"/>
          </w:tcPr>
          <w:p w14:paraId="1E46565A" w14:textId="77777777" w:rsidR="00FD1551" w:rsidRPr="00FD1551" w:rsidRDefault="00FD1551" w:rsidP="00FD1551">
            <w:pPr>
              <w:spacing w:before="120" w:after="120" w:line="240" w:lineRule="auto"/>
              <w:jc w:val="center"/>
              <w:rPr>
                <w:rFonts w:ascii="Arial" w:hAnsi="Arial" w:cs="Arial"/>
                <w:sz w:val="20"/>
                <w:szCs w:val="20"/>
              </w:rPr>
            </w:pPr>
            <w:r w:rsidRPr="00FD1551">
              <w:rPr>
                <w:rFonts w:ascii="Arial" w:hAnsi="Arial" w:cs="Arial"/>
                <w:sz w:val="20"/>
                <w:szCs w:val="20"/>
              </w:rPr>
              <w:t>30</w:t>
            </w:r>
          </w:p>
        </w:tc>
        <w:tc>
          <w:tcPr>
            <w:tcW w:w="3016" w:type="dxa"/>
            <w:vAlign w:val="center"/>
          </w:tcPr>
          <w:p w14:paraId="0B6B6C27" w14:textId="77777777" w:rsidR="00FD1551" w:rsidRPr="00FD1551" w:rsidRDefault="00FD1551" w:rsidP="00CF4713">
            <w:pPr>
              <w:spacing w:before="120" w:after="120" w:line="240" w:lineRule="auto"/>
              <w:rPr>
                <w:rFonts w:ascii="Arial" w:hAnsi="Arial" w:cs="Arial"/>
                <w:color w:val="FF0000"/>
                <w:sz w:val="20"/>
                <w:szCs w:val="20"/>
              </w:rPr>
            </w:pPr>
            <w:r w:rsidRPr="00FD1551">
              <w:rPr>
                <w:rFonts w:ascii="Arial" w:hAnsi="Arial" w:cs="Arial"/>
                <w:sz w:val="20"/>
                <w:szCs w:val="20"/>
              </w:rPr>
              <w:t>Não Obrigatório</w:t>
            </w:r>
          </w:p>
        </w:tc>
      </w:tr>
    </w:tbl>
    <w:p w14:paraId="0AEB5E60" w14:textId="77777777" w:rsidR="00FD1551" w:rsidRPr="003F3F85" w:rsidRDefault="00FD1551" w:rsidP="00FD1551">
      <w:pPr>
        <w:spacing w:before="120" w:after="0" w:line="240" w:lineRule="auto"/>
        <w:ind w:right="-285"/>
        <w:jc w:val="both"/>
        <w:rPr>
          <w:rFonts w:ascii="Arial" w:hAnsi="Arial" w:cs="Arial"/>
          <w:sz w:val="18"/>
          <w:szCs w:val="18"/>
          <w:lang w:eastAsia="pt-BR"/>
        </w:rPr>
      </w:pPr>
      <w:r w:rsidRPr="003F3F85">
        <w:rPr>
          <w:rFonts w:ascii="Arial" w:hAnsi="Arial" w:cs="Arial"/>
          <w:sz w:val="18"/>
          <w:szCs w:val="18"/>
          <w:lang w:eastAsia="pt-BR"/>
        </w:rPr>
        <w:t xml:space="preserve">[1] O campo </w:t>
      </w:r>
      <w:r w:rsidRPr="003F3F85">
        <w:rPr>
          <w:rFonts w:ascii="Arial" w:hAnsi="Arial" w:cs="Arial"/>
          <w:i/>
          <w:sz w:val="18"/>
          <w:szCs w:val="18"/>
          <w:lang w:eastAsia="pt-BR"/>
        </w:rPr>
        <w:t>‘CodigoDocumento’</w:t>
      </w:r>
      <w:r w:rsidRPr="003F3F85">
        <w:rPr>
          <w:rFonts w:ascii="Arial" w:hAnsi="Arial" w:cs="Arial"/>
          <w:sz w:val="18"/>
          <w:szCs w:val="18"/>
          <w:lang w:eastAsia="pt-BR"/>
        </w:rPr>
        <w:t xml:space="preserve"> deve conter o mesmo valor do campo </w:t>
      </w:r>
      <w:r w:rsidRPr="003F3F85">
        <w:rPr>
          <w:rFonts w:ascii="Arial" w:hAnsi="Arial" w:cs="Arial"/>
          <w:i/>
          <w:sz w:val="18"/>
          <w:szCs w:val="18"/>
          <w:lang w:eastAsia="pt-BR"/>
        </w:rPr>
        <w:t>‘CodigoDocumento’</w:t>
      </w:r>
      <w:r w:rsidRPr="003F3F85">
        <w:rPr>
          <w:rFonts w:ascii="Arial" w:hAnsi="Arial" w:cs="Arial"/>
          <w:sz w:val="18"/>
          <w:szCs w:val="18"/>
          <w:lang w:eastAsia="pt-BR"/>
        </w:rPr>
        <w:t xml:space="preserve"> na estrutura </w:t>
      </w:r>
      <w:r w:rsidRPr="003F3F85">
        <w:rPr>
          <w:rFonts w:ascii="Arial" w:hAnsi="Arial" w:cs="Arial"/>
          <w:i/>
          <w:sz w:val="18"/>
          <w:szCs w:val="18"/>
          <w:lang w:eastAsia="pt-BR"/>
        </w:rPr>
        <w:t>‘DocumentoPCANaoEstruturado’.</w:t>
      </w:r>
    </w:p>
    <w:p w14:paraId="02904CFD" w14:textId="77777777" w:rsidR="00FD1551" w:rsidRPr="003F3F85" w:rsidRDefault="00FD1551" w:rsidP="00FD1551">
      <w:pPr>
        <w:spacing w:before="120" w:after="0" w:line="240" w:lineRule="auto"/>
        <w:ind w:right="-285"/>
        <w:jc w:val="both"/>
        <w:rPr>
          <w:rFonts w:ascii="Arial" w:hAnsi="Arial" w:cs="Arial"/>
          <w:sz w:val="18"/>
          <w:szCs w:val="18"/>
          <w:lang w:eastAsia="pt-BR"/>
        </w:rPr>
      </w:pPr>
      <w:r w:rsidRPr="003F3F85">
        <w:rPr>
          <w:rFonts w:ascii="Arial" w:hAnsi="Arial" w:cs="Arial"/>
          <w:sz w:val="18"/>
          <w:szCs w:val="18"/>
          <w:lang w:eastAsia="pt-BR"/>
        </w:rPr>
        <w:t>[2] A estrutura ‘JustificativaAusencia’ somente é enviada quando algum documento não estruturado listado no Anexo I desta IN não é enviado na prestação de contas anual. Nesse caso, todos os campos da estrutura deverão ser preenchidos.</w:t>
      </w:r>
    </w:p>
    <w:p w14:paraId="74E63DA7" w14:textId="77777777" w:rsidR="00FD1551" w:rsidRPr="003F3F85" w:rsidRDefault="00FD1551" w:rsidP="00FD1551">
      <w:pPr>
        <w:spacing w:before="120" w:after="0" w:line="240" w:lineRule="auto"/>
        <w:ind w:right="-285"/>
        <w:jc w:val="both"/>
        <w:rPr>
          <w:rFonts w:ascii="Arial" w:hAnsi="Arial" w:cs="Arial"/>
          <w:i/>
          <w:sz w:val="18"/>
          <w:szCs w:val="18"/>
          <w:lang w:eastAsia="pt-BR"/>
        </w:rPr>
      </w:pPr>
      <w:r w:rsidRPr="003F3F85">
        <w:rPr>
          <w:rFonts w:ascii="Arial" w:hAnsi="Arial" w:cs="Arial"/>
          <w:sz w:val="18"/>
          <w:szCs w:val="18"/>
          <w:lang w:eastAsia="pt-BR"/>
        </w:rPr>
        <w:t xml:space="preserve">[3] O campo </w:t>
      </w:r>
      <w:r w:rsidRPr="003F3F85">
        <w:rPr>
          <w:rFonts w:ascii="Arial" w:hAnsi="Arial" w:cs="Arial"/>
          <w:i/>
          <w:sz w:val="18"/>
          <w:szCs w:val="18"/>
          <w:lang w:eastAsia="pt-BR"/>
        </w:rPr>
        <w:t>‘CodigoDocumento’</w:t>
      </w:r>
      <w:r w:rsidRPr="003F3F85">
        <w:rPr>
          <w:rFonts w:ascii="Arial" w:hAnsi="Arial" w:cs="Arial"/>
          <w:sz w:val="18"/>
          <w:szCs w:val="18"/>
          <w:lang w:eastAsia="pt-BR"/>
        </w:rPr>
        <w:t xml:space="preserve"> deve conter o mesmo valor do campo </w:t>
      </w:r>
      <w:r w:rsidRPr="003F3F85">
        <w:rPr>
          <w:rFonts w:ascii="Arial" w:hAnsi="Arial" w:cs="Arial"/>
          <w:i/>
          <w:sz w:val="18"/>
          <w:szCs w:val="18"/>
          <w:lang w:eastAsia="pt-BR"/>
        </w:rPr>
        <w:t>‘CodigoDocumento’</w:t>
      </w:r>
      <w:r w:rsidRPr="003F3F85">
        <w:rPr>
          <w:rFonts w:ascii="Arial" w:hAnsi="Arial" w:cs="Arial"/>
          <w:sz w:val="18"/>
          <w:szCs w:val="18"/>
          <w:lang w:eastAsia="pt-BR"/>
        </w:rPr>
        <w:t xml:space="preserve"> na estrutura </w:t>
      </w:r>
      <w:r w:rsidRPr="003F3F85">
        <w:rPr>
          <w:rFonts w:ascii="Arial" w:hAnsi="Arial" w:cs="Arial"/>
          <w:i/>
          <w:sz w:val="18"/>
          <w:szCs w:val="18"/>
          <w:lang w:eastAsia="pt-BR"/>
        </w:rPr>
        <w:t>‘JustificativaAusencia’.</w:t>
      </w:r>
    </w:p>
    <w:p w14:paraId="3FD83545" w14:textId="77777777" w:rsidR="00FD1551" w:rsidRPr="003F3F85" w:rsidRDefault="00FD1551" w:rsidP="00FD1551">
      <w:pPr>
        <w:spacing w:before="120" w:after="0" w:line="240" w:lineRule="auto"/>
        <w:jc w:val="both"/>
        <w:rPr>
          <w:rFonts w:ascii="Arial" w:hAnsi="Arial" w:cs="Arial"/>
          <w:sz w:val="18"/>
          <w:szCs w:val="18"/>
          <w:lang w:eastAsia="pt-BR"/>
        </w:rPr>
      </w:pPr>
      <w:r w:rsidRPr="003F3F85">
        <w:rPr>
          <w:rFonts w:ascii="Arial" w:hAnsi="Arial" w:cs="Arial"/>
          <w:sz w:val="18"/>
          <w:szCs w:val="18"/>
          <w:lang w:eastAsia="pt-BR"/>
        </w:rPr>
        <w:t xml:space="preserve">[4] Eventuais arquivos enviados para detalhar uma justificativa de ausência devem estar no formato </w:t>
      </w:r>
      <w:r w:rsidR="00532985" w:rsidRPr="003F3F85">
        <w:rPr>
          <w:rFonts w:ascii="Arial" w:hAnsi="Arial" w:cs="Arial"/>
          <w:sz w:val="18"/>
          <w:szCs w:val="18"/>
          <w:lang w:eastAsia="pt-BR"/>
        </w:rPr>
        <w:t>PDF</w:t>
      </w:r>
      <w:r w:rsidRPr="003F3F85">
        <w:rPr>
          <w:rFonts w:ascii="Arial" w:hAnsi="Arial" w:cs="Arial"/>
          <w:sz w:val="18"/>
          <w:szCs w:val="18"/>
          <w:lang w:eastAsia="pt-BR"/>
        </w:rPr>
        <w:t xml:space="preserve"> (com os requisitos estabelecidos neste Anexo).</w:t>
      </w:r>
    </w:p>
    <w:p w14:paraId="64805D60" w14:textId="77777777" w:rsidR="00FD1551" w:rsidRPr="003F3F85" w:rsidRDefault="00FD1551" w:rsidP="00FD1551">
      <w:pPr>
        <w:rPr>
          <w:rFonts w:ascii="Arial" w:hAnsi="Arial" w:cs="Arial"/>
          <w:sz w:val="18"/>
          <w:szCs w:val="18"/>
          <w:lang w:eastAsia="pt-BR"/>
        </w:rPr>
      </w:pPr>
    </w:p>
    <w:p w14:paraId="2B8B0664" w14:textId="77777777" w:rsidR="00FD1551" w:rsidRPr="003F3F85" w:rsidRDefault="00FD1551" w:rsidP="00FD1551">
      <w:pPr>
        <w:jc w:val="both"/>
        <w:rPr>
          <w:rFonts w:ascii="Arial" w:hAnsi="Arial" w:cs="Arial"/>
          <w:sz w:val="18"/>
          <w:szCs w:val="18"/>
          <w:lang w:eastAsia="pt-BR"/>
        </w:rPr>
      </w:pPr>
      <w:r w:rsidRPr="003F3F85">
        <w:rPr>
          <w:rFonts w:ascii="Arial" w:hAnsi="Arial" w:cs="Arial"/>
          <w:sz w:val="18"/>
          <w:szCs w:val="18"/>
          <w:lang w:eastAsia="pt-BR"/>
        </w:rPr>
        <w:t>Para as remessas de Retificação de Prestação de Contas Anual, não é possível justificar ausência de arquivos cuja retificação foi solicitada pelo Técnico do Tribunal de Contas. Dessa forma, o arquivo DOCSPCA contém a seguinte estrutura:</w:t>
      </w:r>
    </w:p>
    <w:p w14:paraId="0F80EDFE" w14:textId="77777777" w:rsidR="00FD1551" w:rsidRPr="00FD1551" w:rsidRDefault="00FD1551" w:rsidP="00FD1551">
      <w:pPr>
        <w:autoSpaceDE w:val="0"/>
        <w:autoSpaceDN w:val="0"/>
        <w:adjustRightInd w:val="0"/>
        <w:spacing w:after="0" w:line="240" w:lineRule="auto"/>
        <w:jc w:val="both"/>
        <w:rPr>
          <w:rFonts w:ascii="Arial" w:hAnsi="Arial"/>
          <w:b/>
          <w:bCs/>
        </w:rPr>
      </w:pPr>
      <w:r w:rsidRPr="00FD1551">
        <w:rPr>
          <w:rFonts w:ascii="Arial" w:hAnsi="Arial"/>
          <w:b/>
          <w:bCs/>
        </w:rPr>
        <w:t>Estrutura para Retificação de PCA:</w:t>
      </w:r>
    </w:p>
    <w:p w14:paraId="6036DD92" w14:textId="77777777" w:rsidR="00FD1551" w:rsidRPr="00FD1551" w:rsidRDefault="00FD1551" w:rsidP="00FD1551">
      <w:pPr>
        <w:autoSpaceDE w:val="0"/>
        <w:autoSpaceDN w:val="0"/>
        <w:adjustRightInd w:val="0"/>
        <w:spacing w:after="0" w:line="240" w:lineRule="auto"/>
        <w:jc w:val="both"/>
        <w:rPr>
          <w:rFonts w:ascii="Arial" w:hAnsi="Arial" w:cs="Arial"/>
          <w:sz w:val="20"/>
          <w:szCs w:val="20"/>
          <w:lang w:eastAsia="pt-BR"/>
        </w:rPr>
      </w:pPr>
    </w:p>
    <w:p w14:paraId="33DF2200" w14:textId="77777777" w:rsidR="00FD1551" w:rsidRPr="00FD1551" w:rsidRDefault="00FD1551" w:rsidP="00FD1551">
      <w:pPr>
        <w:autoSpaceDE w:val="0"/>
        <w:autoSpaceDN w:val="0"/>
        <w:adjustRightInd w:val="0"/>
        <w:spacing w:after="0" w:line="240" w:lineRule="auto"/>
        <w:jc w:val="both"/>
        <w:rPr>
          <w:rFonts w:ascii="Arial" w:hAnsi="Arial" w:cs="Arial"/>
          <w:sz w:val="20"/>
          <w:szCs w:val="20"/>
        </w:rPr>
      </w:pPr>
      <w:r w:rsidRPr="00FD1551">
        <w:rPr>
          <w:rFonts w:ascii="Arial" w:hAnsi="Arial" w:cs="Arial"/>
          <w:sz w:val="20"/>
          <w:szCs w:val="20"/>
          <w:lang w:eastAsia="pt-BR"/>
        </w:rPr>
        <w:t xml:space="preserve">&lt;?xml version="1.0" </w:t>
      </w:r>
      <w:r w:rsidRPr="00FD1551">
        <w:rPr>
          <w:rFonts w:ascii="Arial" w:hAnsi="Arial" w:cs="Arial"/>
          <w:sz w:val="20"/>
          <w:szCs w:val="20"/>
        </w:rPr>
        <w:t>encoding=“UTF-8”?&gt;</w:t>
      </w:r>
    </w:p>
    <w:p w14:paraId="12282C6D" w14:textId="77777777" w:rsidR="00FD1551" w:rsidRPr="00FD1551" w:rsidRDefault="00FD1551" w:rsidP="00FD1551">
      <w:pPr>
        <w:spacing w:after="0" w:line="240" w:lineRule="auto"/>
        <w:ind w:right="600"/>
        <w:jc w:val="both"/>
        <w:rPr>
          <w:rFonts w:ascii="Arial" w:hAnsi="Arial" w:cs="Arial"/>
          <w:sz w:val="20"/>
          <w:szCs w:val="20"/>
          <w:lang w:eastAsia="pt-BR"/>
        </w:rPr>
      </w:pPr>
      <w:r w:rsidRPr="00FD1551">
        <w:rPr>
          <w:rFonts w:ascii="Arial" w:hAnsi="Arial" w:cs="Arial"/>
          <w:sz w:val="20"/>
          <w:szCs w:val="20"/>
          <w:lang w:eastAsia="pt-BR"/>
        </w:rPr>
        <w:t>&lt;PrestacaoContasAnual&gt;</w:t>
      </w:r>
    </w:p>
    <w:p w14:paraId="2A3CFD95" w14:textId="77777777" w:rsidR="00FD1551" w:rsidRPr="00FD1551" w:rsidRDefault="00FD1551" w:rsidP="00FD1551">
      <w:pPr>
        <w:spacing w:after="0" w:line="240" w:lineRule="auto"/>
        <w:ind w:right="600"/>
        <w:jc w:val="both"/>
        <w:rPr>
          <w:rFonts w:ascii="Arial" w:hAnsi="Arial" w:cs="Arial"/>
          <w:sz w:val="20"/>
          <w:szCs w:val="20"/>
          <w:lang w:eastAsia="pt-BR"/>
        </w:rPr>
      </w:pPr>
      <w:r w:rsidRPr="00FD1551">
        <w:rPr>
          <w:rFonts w:ascii="Arial" w:hAnsi="Arial" w:cs="Arial"/>
          <w:sz w:val="20"/>
          <w:szCs w:val="20"/>
          <w:lang w:eastAsia="pt-BR"/>
        </w:rPr>
        <w:t xml:space="preserve">     &lt;DocumentoPCA_Schema&gt;</w:t>
      </w:r>
    </w:p>
    <w:p w14:paraId="00D90883" w14:textId="77777777" w:rsidR="00FD1551" w:rsidRPr="00FD1551" w:rsidRDefault="00FD1551" w:rsidP="00FD1551">
      <w:pPr>
        <w:spacing w:after="0" w:line="240" w:lineRule="auto"/>
        <w:ind w:right="600" w:firstLine="708"/>
        <w:jc w:val="both"/>
        <w:rPr>
          <w:rFonts w:ascii="Arial" w:hAnsi="Arial" w:cs="Arial"/>
          <w:sz w:val="20"/>
          <w:szCs w:val="20"/>
          <w:lang w:eastAsia="pt-BR"/>
        </w:rPr>
      </w:pPr>
    </w:p>
    <w:p w14:paraId="212832BA" w14:textId="77777777" w:rsidR="00FD1551" w:rsidRPr="00FD1551" w:rsidRDefault="00FD1551" w:rsidP="00FD1551">
      <w:pPr>
        <w:spacing w:after="0" w:line="240" w:lineRule="auto"/>
        <w:ind w:right="600"/>
        <w:jc w:val="both"/>
        <w:rPr>
          <w:rFonts w:ascii="Arial" w:hAnsi="Arial" w:cs="Arial"/>
          <w:sz w:val="20"/>
          <w:szCs w:val="20"/>
          <w:lang w:eastAsia="pt-BR"/>
        </w:rPr>
      </w:pPr>
      <w:r w:rsidRPr="00FD1551">
        <w:rPr>
          <w:rFonts w:ascii="Arial" w:hAnsi="Arial" w:cs="Arial"/>
          <w:sz w:val="20"/>
          <w:szCs w:val="20"/>
          <w:lang w:eastAsia="pt-BR"/>
        </w:rPr>
        <w:tab/>
        <w:t>&lt;DocumentoPCANaoEstruturado&gt;</w:t>
      </w:r>
    </w:p>
    <w:p w14:paraId="1E2ED8B3" w14:textId="77777777" w:rsidR="00FD1551" w:rsidRPr="00FD1551" w:rsidRDefault="00FD1551" w:rsidP="00FD1551">
      <w:pPr>
        <w:spacing w:after="0" w:line="240" w:lineRule="auto"/>
        <w:ind w:right="600" w:firstLine="708"/>
        <w:jc w:val="both"/>
        <w:rPr>
          <w:rFonts w:ascii="Arial" w:hAnsi="Arial" w:cs="Arial"/>
          <w:sz w:val="20"/>
          <w:szCs w:val="20"/>
          <w:lang w:eastAsia="pt-BR"/>
        </w:rPr>
      </w:pPr>
      <w:r w:rsidRPr="00FD1551">
        <w:rPr>
          <w:rFonts w:ascii="Arial" w:hAnsi="Arial" w:cs="Arial"/>
          <w:sz w:val="20"/>
          <w:szCs w:val="20"/>
          <w:lang w:eastAsia="pt-BR"/>
        </w:rPr>
        <w:t xml:space="preserve">     &lt;IdNumRegistro&gt;</w:t>
      </w:r>
      <w:r w:rsidRPr="00FD1551">
        <w:rPr>
          <w:rFonts w:ascii="Arial" w:hAnsi="Arial" w:cs="Arial"/>
          <w:b/>
          <w:bCs/>
          <w:sz w:val="20"/>
          <w:szCs w:val="20"/>
          <w:lang w:eastAsia="pt-BR"/>
        </w:rPr>
        <w:t>99999</w:t>
      </w:r>
      <w:r w:rsidRPr="00FD1551">
        <w:rPr>
          <w:rFonts w:ascii="Arial" w:hAnsi="Arial" w:cs="Arial"/>
          <w:sz w:val="20"/>
          <w:szCs w:val="20"/>
          <w:lang w:eastAsia="pt-BR"/>
        </w:rPr>
        <w:t>&lt;/IdNumRegistro&gt;</w:t>
      </w:r>
    </w:p>
    <w:p w14:paraId="063C02D1" w14:textId="77777777" w:rsidR="00FD1551" w:rsidRPr="00FD1551" w:rsidRDefault="00FD1551" w:rsidP="00FD1551">
      <w:pPr>
        <w:spacing w:after="0" w:line="240" w:lineRule="auto"/>
        <w:ind w:right="600" w:firstLine="708"/>
        <w:jc w:val="both"/>
        <w:rPr>
          <w:rFonts w:ascii="Arial" w:hAnsi="Arial" w:cs="Arial"/>
          <w:sz w:val="20"/>
          <w:szCs w:val="20"/>
          <w:lang w:eastAsia="pt-BR"/>
        </w:rPr>
      </w:pPr>
      <w:r w:rsidRPr="00FD1551">
        <w:rPr>
          <w:rFonts w:ascii="Arial" w:hAnsi="Arial" w:cs="Arial"/>
          <w:sz w:val="20"/>
          <w:szCs w:val="20"/>
          <w:lang w:eastAsia="pt-BR"/>
        </w:rPr>
        <w:t xml:space="preserve">     &lt;CodigoDocumento&gt;</w:t>
      </w:r>
      <w:r w:rsidRPr="00FD1551">
        <w:rPr>
          <w:rFonts w:ascii="Arial" w:hAnsi="Arial" w:cs="Arial"/>
          <w:b/>
          <w:bCs/>
          <w:sz w:val="20"/>
          <w:szCs w:val="20"/>
          <w:lang w:eastAsia="pt-BR"/>
        </w:rPr>
        <w:t>XXXXXXXX</w:t>
      </w:r>
      <w:r w:rsidRPr="00FD1551">
        <w:rPr>
          <w:rFonts w:ascii="Arial" w:hAnsi="Arial" w:cs="Arial"/>
          <w:sz w:val="20"/>
          <w:szCs w:val="20"/>
          <w:lang w:eastAsia="pt-BR"/>
        </w:rPr>
        <w:t>&lt;/CodigoDocumento&gt;</w:t>
      </w:r>
    </w:p>
    <w:p w14:paraId="4744B519" w14:textId="77777777" w:rsidR="00FD1551" w:rsidRPr="00FD1551" w:rsidRDefault="00FD1551" w:rsidP="00FD1551">
      <w:pPr>
        <w:spacing w:after="0" w:line="240" w:lineRule="auto"/>
        <w:ind w:right="600" w:firstLine="708"/>
        <w:jc w:val="both"/>
        <w:rPr>
          <w:rFonts w:ascii="Arial" w:hAnsi="Arial" w:cs="Arial"/>
          <w:sz w:val="20"/>
          <w:szCs w:val="20"/>
          <w:lang w:eastAsia="pt-BR"/>
        </w:rPr>
      </w:pPr>
      <w:r w:rsidRPr="00FD1551">
        <w:rPr>
          <w:rFonts w:ascii="Arial" w:hAnsi="Arial" w:cs="Arial"/>
          <w:sz w:val="20"/>
          <w:szCs w:val="20"/>
          <w:lang w:eastAsia="pt-BR"/>
        </w:rPr>
        <w:t>&lt;/DocumentoPCANaoEstruturado&gt;</w:t>
      </w:r>
    </w:p>
    <w:p w14:paraId="31E465E0" w14:textId="77777777" w:rsidR="00FD1551" w:rsidRPr="00FD1551" w:rsidRDefault="00FD1551" w:rsidP="00FD1551">
      <w:pPr>
        <w:spacing w:after="0" w:line="240" w:lineRule="auto"/>
        <w:ind w:left="708" w:right="600" w:firstLine="708"/>
        <w:jc w:val="both"/>
        <w:rPr>
          <w:rFonts w:ascii="Arial" w:hAnsi="Arial" w:cs="Arial"/>
          <w:sz w:val="20"/>
          <w:szCs w:val="20"/>
          <w:lang w:eastAsia="pt-BR"/>
        </w:rPr>
      </w:pPr>
    </w:p>
    <w:p w14:paraId="2224FFD1" w14:textId="77777777" w:rsidR="00FD1551" w:rsidRPr="00FD1551" w:rsidRDefault="00FD1551" w:rsidP="00FD1551">
      <w:pPr>
        <w:spacing w:after="0" w:line="240" w:lineRule="auto"/>
        <w:ind w:right="600" w:firstLine="708"/>
        <w:jc w:val="both"/>
        <w:rPr>
          <w:rFonts w:ascii="Arial" w:hAnsi="Arial" w:cs="Arial"/>
          <w:sz w:val="20"/>
          <w:szCs w:val="20"/>
          <w:lang w:eastAsia="pt-BR"/>
        </w:rPr>
      </w:pPr>
      <w:r w:rsidRPr="00FD1551">
        <w:rPr>
          <w:rFonts w:ascii="Arial" w:hAnsi="Arial" w:cs="Arial"/>
          <w:sz w:val="20"/>
          <w:szCs w:val="20"/>
          <w:lang w:eastAsia="pt-BR"/>
        </w:rPr>
        <w:t>&lt;ArquivoDocumentoPCANaoEstruturado&gt;</w:t>
      </w:r>
    </w:p>
    <w:p w14:paraId="0076CCAC" w14:textId="77777777" w:rsidR="00FD1551" w:rsidRPr="00FD1551" w:rsidRDefault="00FD1551" w:rsidP="00FD1551">
      <w:pPr>
        <w:spacing w:after="0" w:line="240" w:lineRule="auto"/>
        <w:ind w:right="600" w:firstLine="708"/>
        <w:jc w:val="both"/>
        <w:rPr>
          <w:rFonts w:ascii="Arial" w:hAnsi="Arial" w:cs="Arial"/>
          <w:sz w:val="20"/>
          <w:szCs w:val="20"/>
          <w:lang w:eastAsia="pt-BR"/>
        </w:rPr>
      </w:pPr>
      <w:r w:rsidRPr="00FD1551">
        <w:rPr>
          <w:rFonts w:ascii="Arial" w:hAnsi="Arial" w:cs="Arial"/>
          <w:sz w:val="20"/>
          <w:szCs w:val="20"/>
          <w:lang w:eastAsia="pt-BR"/>
        </w:rPr>
        <w:t xml:space="preserve">     &lt;IdNumRegistro&gt;</w:t>
      </w:r>
      <w:r w:rsidRPr="00FD1551">
        <w:rPr>
          <w:rFonts w:ascii="Arial" w:hAnsi="Arial" w:cs="Arial"/>
          <w:b/>
          <w:bCs/>
          <w:sz w:val="20"/>
          <w:szCs w:val="20"/>
          <w:lang w:eastAsia="pt-BR"/>
        </w:rPr>
        <w:t>99999</w:t>
      </w:r>
      <w:r w:rsidRPr="00FD1551">
        <w:rPr>
          <w:rFonts w:ascii="Arial" w:hAnsi="Arial" w:cs="Arial"/>
          <w:sz w:val="20"/>
          <w:szCs w:val="20"/>
          <w:lang w:eastAsia="pt-BR"/>
        </w:rPr>
        <w:t>&lt;/IdNumRegistro&gt;</w:t>
      </w:r>
    </w:p>
    <w:p w14:paraId="68968A7E" w14:textId="77777777" w:rsidR="00FD1551" w:rsidRPr="00FD1551" w:rsidRDefault="00FD1551" w:rsidP="00FD1551">
      <w:pPr>
        <w:spacing w:after="0" w:line="240" w:lineRule="auto"/>
        <w:ind w:right="600" w:firstLine="708"/>
        <w:jc w:val="both"/>
        <w:rPr>
          <w:rFonts w:ascii="Arial" w:hAnsi="Arial" w:cs="Arial"/>
          <w:sz w:val="20"/>
          <w:szCs w:val="20"/>
          <w:lang w:eastAsia="pt-BR"/>
        </w:rPr>
      </w:pPr>
      <w:r w:rsidRPr="00FD1551">
        <w:rPr>
          <w:rFonts w:ascii="Arial" w:hAnsi="Arial" w:cs="Arial"/>
          <w:sz w:val="20"/>
          <w:szCs w:val="20"/>
          <w:lang w:eastAsia="pt-BR"/>
        </w:rPr>
        <w:t xml:space="preserve">     &lt;CodigoDocumento&gt;</w:t>
      </w:r>
      <w:r w:rsidRPr="00FD1551">
        <w:rPr>
          <w:rFonts w:ascii="Arial" w:hAnsi="Arial" w:cs="Arial"/>
          <w:b/>
          <w:bCs/>
          <w:sz w:val="20"/>
          <w:szCs w:val="20"/>
          <w:lang w:eastAsia="pt-BR"/>
        </w:rPr>
        <w:t>XXXXXXXX</w:t>
      </w:r>
      <w:r w:rsidRPr="00FD1551">
        <w:rPr>
          <w:rFonts w:ascii="Arial" w:hAnsi="Arial" w:cs="Arial"/>
          <w:sz w:val="20"/>
          <w:szCs w:val="20"/>
          <w:lang w:eastAsia="pt-BR"/>
        </w:rPr>
        <w:t>&lt;/CodigoDocumento&gt;</w:t>
      </w:r>
    </w:p>
    <w:p w14:paraId="724C03D3" w14:textId="77777777" w:rsidR="00FD1551" w:rsidRPr="00FD1551" w:rsidRDefault="00FD1551" w:rsidP="00FD1551">
      <w:pPr>
        <w:spacing w:after="0" w:line="240" w:lineRule="auto"/>
        <w:ind w:right="600" w:firstLine="708"/>
        <w:jc w:val="both"/>
        <w:rPr>
          <w:rFonts w:ascii="Arial" w:hAnsi="Arial" w:cs="Arial"/>
          <w:sz w:val="20"/>
          <w:szCs w:val="20"/>
          <w:lang w:eastAsia="pt-BR"/>
        </w:rPr>
      </w:pPr>
      <w:r w:rsidRPr="00FD1551">
        <w:rPr>
          <w:rFonts w:ascii="Arial" w:hAnsi="Arial" w:cs="Arial"/>
          <w:sz w:val="20"/>
          <w:szCs w:val="20"/>
          <w:lang w:eastAsia="pt-BR"/>
        </w:rPr>
        <w:t xml:space="preserve">     &lt;NomeArquivo&gt;</w:t>
      </w:r>
      <w:r w:rsidRPr="00FD1551">
        <w:rPr>
          <w:rFonts w:ascii="Arial" w:hAnsi="Arial" w:cs="Arial"/>
          <w:b/>
          <w:bCs/>
          <w:sz w:val="20"/>
          <w:szCs w:val="20"/>
          <w:lang w:eastAsia="pt-BR"/>
        </w:rPr>
        <w:t>XXXXXXXXXXXXXXX</w:t>
      </w:r>
      <w:r w:rsidRPr="00FD1551">
        <w:rPr>
          <w:rFonts w:ascii="Arial" w:hAnsi="Arial" w:cs="Arial"/>
          <w:sz w:val="20"/>
          <w:szCs w:val="20"/>
          <w:lang w:eastAsia="pt-BR"/>
        </w:rPr>
        <w:t>&lt;/NomeArquivo&gt;</w:t>
      </w:r>
    </w:p>
    <w:p w14:paraId="693BAB36" w14:textId="77777777" w:rsidR="00FD1551" w:rsidRPr="00FD1551" w:rsidRDefault="00FD1551" w:rsidP="00FD1551">
      <w:pPr>
        <w:spacing w:after="0" w:line="240" w:lineRule="auto"/>
        <w:ind w:right="600" w:firstLine="708"/>
        <w:jc w:val="both"/>
        <w:rPr>
          <w:rFonts w:ascii="Arial" w:hAnsi="Arial" w:cs="Arial"/>
          <w:sz w:val="20"/>
          <w:szCs w:val="20"/>
          <w:lang w:eastAsia="pt-BR"/>
        </w:rPr>
      </w:pPr>
      <w:r w:rsidRPr="00FD1551">
        <w:rPr>
          <w:rFonts w:ascii="Arial" w:hAnsi="Arial" w:cs="Arial"/>
          <w:sz w:val="20"/>
          <w:szCs w:val="20"/>
          <w:lang w:eastAsia="pt-BR"/>
        </w:rPr>
        <w:t>&lt;/ArquivoDocumentoPCANaoEstruturado&gt;</w:t>
      </w:r>
    </w:p>
    <w:p w14:paraId="312436AC" w14:textId="77777777" w:rsidR="00FD1551" w:rsidRPr="00FD1551" w:rsidRDefault="00FD1551" w:rsidP="00FD1551">
      <w:pPr>
        <w:spacing w:after="0" w:line="240" w:lineRule="auto"/>
        <w:ind w:right="600"/>
        <w:jc w:val="both"/>
        <w:rPr>
          <w:rFonts w:ascii="Arial" w:hAnsi="Arial" w:cs="Arial"/>
          <w:sz w:val="20"/>
          <w:szCs w:val="20"/>
          <w:lang w:eastAsia="pt-BR"/>
        </w:rPr>
      </w:pPr>
      <w:r w:rsidRPr="00FD1551">
        <w:rPr>
          <w:rFonts w:ascii="Arial" w:hAnsi="Arial" w:cs="Arial"/>
          <w:sz w:val="20"/>
          <w:szCs w:val="20"/>
          <w:lang w:eastAsia="pt-BR"/>
        </w:rPr>
        <w:tab/>
      </w:r>
    </w:p>
    <w:p w14:paraId="55522838" w14:textId="77777777" w:rsidR="00FD1551" w:rsidRPr="00FD1551" w:rsidRDefault="00FD1551" w:rsidP="00FD1551">
      <w:pPr>
        <w:spacing w:after="0" w:line="240" w:lineRule="auto"/>
        <w:ind w:right="600"/>
        <w:jc w:val="both"/>
        <w:rPr>
          <w:rFonts w:ascii="Arial" w:hAnsi="Arial" w:cs="Arial"/>
          <w:sz w:val="20"/>
          <w:szCs w:val="20"/>
          <w:lang w:eastAsia="pt-BR"/>
        </w:rPr>
      </w:pPr>
      <w:r w:rsidRPr="00FD1551">
        <w:rPr>
          <w:rFonts w:ascii="Arial" w:hAnsi="Arial" w:cs="Arial"/>
          <w:sz w:val="20"/>
          <w:szCs w:val="20"/>
          <w:lang w:eastAsia="pt-BR"/>
        </w:rPr>
        <w:t xml:space="preserve">     &lt;/DocumentoPCA_Schema&gt;</w:t>
      </w:r>
    </w:p>
    <w:p w14:paraId="4BDDCDFA" w14:textId="77777777" w:rsidR="00FD1551" w:rsidRPr="00FD1551" w:rsidRDefault="00FD1551" w:rsidP="00FD1551">
      <w:pPr>
        <w:rPr>
          <w:rFonts w:ascii="Arial" w:hAnsi="Arial" w:cs="Arial"/>
          <w:sz w:val="20"/>
          <w:szCs w:val="20"/>
          <w:lang w:eastAsia="pt-BR"/>
        </w:rPr>
      </w:pPr>
      <w:r w:rsidRPr="00FD1551">
        <w:rPr>
          <w:rFonts w:ascii="Arial" w:hAnsi="Arial" w:cs="Arial"/>
          <w:sz w:val="20"/>
          <w:szCs w:val="20"/>
          <w:lang w:eastAsia="pt-BR"/>
        </w:rPr>
        <w:t>&lt;/PrestacaoContasAnual&gt;</w:t>
      </w:r>
    </w:p>
    <w:p w14:paraId="1733BD4D" w14:textId="77777777" w:rsidR="00FD1551" w:rsidRPr="00FD1551" w:rsidRDefault="00FD1551" w:rsidP="00FD1551">
      <w:pPr>
        <w:rPr>
          <w:rFonts w:ascii="Arial" w:hAnsi="Arial" w:cs="Arial"/>
          <w:sz w:val="20"/>
          <w:szCs w:val="20"/>
          <w:lang w:eastAsia="pt-BR"/>
        </w:rPr>
      </w:pPr>
    </w:p>
    <w:p w14:paraId="36F1DF68" w14:textId="7F6B7CA9" w:rsidR="00FD1551" w:rsidRPr="00FD1551" w:rsidRDefault="00FD1551" w:rsidP="00A60EA7">
      <w:pPr>
        <w:pStyle w:val="Ttulo3"/>
      </w:pPr>
      <w:bookmarkStart w:id="46" w:name="_Toc94806322"/>
      <w:r w:rsidRPr="00FD1551">
        <w:lastRenderedPageBreak/>
        <w:t>BALVERF.XML (ou BalanceteVerificacao.xml)</w:t>
      </w:r>
      <w:bookmarkEnd w:id="46"/>
    </w:p>
    <w:p w14:paraId="7814679A" w14:textId="6395B790" w:rsidR="00FD1551" w:rsidRPr="00FD1551" w:rsidRDefault="00FD1551" w:rsidP="00FD1551">
      <w:pPr>
        <w:spacing w:after="0" w:line="360" w:lineRule="auto"/>
        <w:jc w:val="both"/>
        <w:rPr>
          <w:rFonts w:ascii="Arial" w:hAnsi="Arial"/>
        </w:rPr>
      </w:pPr>
      <w:r w:rsidRPr="00FD1551">
        <w:rPr>
          <w:rFonts w:ascii="Arial" w:hAnsi="Arial"/>
          <w:b/>
          <w:bCs/>
        </w:rPr>
        <w:t>Descrição: </w:t>
      </w:r>
      <w:r w:rsidRPr="00FD1551">
        <w:rPr>
          <w:rFonts w:ascii="Arial" w:eastAsia="Times New Roman" w:hAnsi="Arial" w:cs="Arial"/>
          <w:lang w:eastAsia="pt-BR"/>
        </w:rPr>
        <w:t xml:space="preserve">Este arquivo conterá as movimentações contábeis de cada unidade gestora ocorridas durante o exercício. </w:t>
      </w:r>
    </w:p>
    <w:p w14:paraId="41D78272" w14:textId="77777777" w:rsidR="00FD1551" w:rsidRPr="00FD1551" w:rsidRDefault="00FD1551" w:rsidP="00FD1551">
      <w:pPr>
        <w:autoSpaceDE w:val="0"/>
        <w:autoSpaceDN w:val="0"/>
        <w:adjustRightInd w:val="0"/>
        <w:spacing w:after="0" w:line="240" w:lineRule="auto"/>
        <w:jc w:val="both"/>
        <w:rPr>
          <w:rFonts w:ascii="Arial" w:hAnsi="Arial"/>
          <w:b/>
          <w:bCs/>
        </w:rPr>
      </w:pPr>
    </w:p>
    <w:p w14:paraId="03B420DD" w14:textId="77777777" w:rsidR="00FD1551" w:rsidRPr="00FD1551" w:rsidRDefault="00FD1551" w:rsidP="00FD1551">
      <w:pPr>
        <w:autoSpaceDE w:val="0"/>
        <w:autoSpaceDN w:val="0"/>
        <w:adjustRightInd w:val="0"/>
        <w:spacing w:after="0" w:line="240" w:lineRule="auto"/>
        <w:jc w:val="both"/>
        <w:rPr>
          <w:rFonts w:ascii="Arial" w:hAnsi="Arial"/>
          <w:b/>
          <w:bCs/>
        </w:rPr>
      </w:pPr>
      <w:r w:rsidRPr="00FD1551">
        <w:rPr>
          <w:rFonts w:ascii="Arial" w:hAnsi="Arial"/>
          <w:b/>
          <w:bCs/>
        </w:rPr>
        <w:t>Estrutura:</w:t>
      </w:r>
    </w:p>
    <w:p w14:paraId="305D82C5" w14:textId="77777777" w:rsidR="00FD1551" w:rsidRPr="00FD1551" w:rsidRDefault="00FD1551" w:rsidP="00FD1551">
      <w:pPr>
        <w:tabs>
          <w:tab w:val="left" w:pos="8475"/>
          <w:tab w:val="left" w:pos="10235"/>
          <w:tab w:val="left" w:pos="12095"/>
        </w:tabs>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&lt;?xml version="1.0" encoding=“UTF-8”?&gt;</w:t>
      </w:r>
      <w:r w:rsidRPr="00FD1551">
        <w:rPr>
          <w:rFonts w:ascii="Arial" w:eastAsia="Times New Roman" w:hAnsi="Arial" w:cs="Arial"/>
          <w:sz w:val="20"/>
          <w:szCs w:val="20"/>
          <w:lang w:eastAsia="pt-BR"/>
        </w:rPr>
        <w:tab/>
      </w:r>
    </w:p>
    <w:p w14:paraId="0E6E9A28" w14:textId="77777777" w:rsidR="00FD1551" w:rsidRPr="00FD1551" w:rsidRDefault="00FD1551" w:rsidP="00FD1551">
      <w:pPr>
        <w:tabs>
          <w:tab w:val="left" w:pos="8475"/>
          <w:tab w:val="left" w:pos="10235"/>
          <w:tab w:val="left" w:pos="12095"/>
        </w:tabs>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&lt;PrestacaoContasAnual&gt;</w:t>
      </w:r>
      <w:r w:rsidRPr="00FD1551">
        <w:rPr>
          <w:rFonts w:ascii="Arial" w:eastAsia="Times New Roman" w:hAnsi="Arial" w:cs="Arial"/>
          <w:sz w:val="20"/>
          <w:szCs w:val="20"/>
          <w:lang w:eastAsia="pt-BR"/>
        </w:rPr>
        <w:tab/>
      </w:r>
    </w:p>
    <w:p w14:paraId="441CBB29" w14:textId="77777777" w:rsidR="00FD1551" w:rsidRPr="00FD1551" w:rsidRDefault="0039094D" w:rsidP="00FD1551">
      <w:pPr>
        <w:tabs>
          <w:tab w:val="left" w:pos="8475"/>
          <w:tab w:val="left" w:pos="10235"/>
          <w:tab w:val="left" w:pos="12095"/>
        </w:tabs>
        <w:spacing w:after="0" w:line="240" w:lineRule="auto"/>
        <w:ind w:left="567"/>
        <w:rPr>
          <w:rFonts w:ascii="Arial" w:eastAsia="Times New Roman" w:hAnsi="Arial" w:cs="Arial"/>
          <w:sz w:val="20"/>
          <w:szCs w:val="20"/>
          <w:lang w:eastAsia="pt-BR"/>
        </w:rPr>
      </w:pPr>
      <w:r>
        <w:rPr>
          <w:rFonts w:ascii="Arial" w:eastAsia="Times New Roman" w:hAnsi="Arial" w:cs="Arial"/>
          <w:sz w:val="20"/>
          <w:szCs w:val="20"/>
          <w:lang w:eastAsia="pt-BR"/>
        </w:rPr>
        <w:t>&lt;BalanceteVerificacao_Schema&gt;</w:t>
      </w:r>
      <w:r>
        <w:rPr>
          <w:rFonts w:ascii="Arial" w:eastAsia="Times New Roman" w:hAnsi="Arial" w:cs="Arial"/>
          <w:sz w:val="20"/>
          <w:szCs w:val="20"/>
          <w:lang w:eastAsia="pt-BR"/>
        </w:rPr>
        <w:tab/>
      </w:r>
    </w:p>
    <w:p w14:paraId="1D44EA70" w14:textId="77777777" w:rsidR="00FD1551" w:rsidRPr="00FD1551" w:rsidRDefault="00FD1551" w:rsidP="00FD1551">
      <w:pPr>
        <w:tabs>
          <w:tab w:val="left" w:pos="8475"/>
          <w:tab w:val="left" w:pos="10235"/>
          <w:tab w:val="left" w:pos="12095"/>
        </w:tabs>
        <w:spacing w:after="0" w:line="240" w:lineRule="auto"/>
        <w:ind w:left="1134"/>
        <w:rPr>
          <w:rFonts w:ascii="Arial" w:eastAsia="Times New Roman" w:hAnsi="Arial" w:cs="Arial"/>
          <w:sz w:val="20"/>
          <w:szCs w:val="20"/>
          <w:lang w:eastAsia="pt-BR"/>
        </w:rPr>
      </w:pPr>
      <w:r w:rsidRPr="00FD1551">
        <w:rPr>
          <w:rFonts w:ascii="Arial" w:eastAsia="Times New Roman" w:hAnsi="Arial" w:cs="Arial"/>
          <w:sz w:val="20"/>
          <w:szCs w:val="20"/>
          <w:lang w:eastAsia="pt-BR"/>
        </w:rPr>
        <w:t>&lt;BalanceteVerificacao&gt;</w:t>
      </w:r>
      <w:r w:rsidRPr="00FD1551">
        <w:rPr>
          <w:rFonts w:ascii="Arial" w:eastAsia="Times New Roman" w:hAnsi="Arial" w:cs="Arial"/>
          <w:sz w:val="20"/>
          <w:szCs w:val="20"/>
          <w:lang w:eastAsia="pt-BR"/>
        </w:rPr>
        <w:tab/>
      </w:r>
    </w:p>
    <w:p w14:paraId="77E29CA8" w14:textId="77777777" w:rsidR="00FD1551" w:rsidRPr="00FD1551" w:rsidRDefault="00FD1551" w:rsidP="00FD1551">
      <w:pPr>
        <w:tabs>
          <w:tab w:val="left" w:pos="8475"/>
          <w:tab w:val="left" w:pos="10235"/>
          <w:tab w:val="left" w:pos="12095"/>
        </w:tabs>
        <w:spacing w:after="0" w:line="240" w:lineRule="auto"/>
        <w:ind w:left="1134"/>
        <w:rPr>
          <w:rFonts w:ascii="Arial" w:eastAsia="Times New Roman" w:hAnsi="Arial" w:cs="Arial"/>
          <w:sz w:val="20"/>
          <w:szCs w:val="20"/>
          <w:lang w:eastAsia="pt-BR"/>
        </w:rPr>
      </w:pPr>
      <w:r w:rsidRPr="00FD1551">
        <w:rPr>
          <w:rFonts w:ascii="Arial" w:eastAsia="Times New Roman" w:hAnsi="Arial" w:cs="Arial"/>
          <w:sz w:val="20"/>
          <w:szCs w:val="20"/>
          <w:lang w:eastAsia="pt-BR"/>
        </w:rPr>
        <w:t>&lt;IdNumRegistro&gt;</w:t>
      </w:r>
      <w:r w:rsidRPr="00FD1551">
        <w:rPr>
          <w:rFonts w:ascii="Arial" w:eastAsia="Times New Roman" w:hAnsi="Arial" w:cs="Arial"/>
          <w:b/>
          <w:sz w:val="20"/>
          <w:szCs w:val="20"/>
          <w:lang w:eastAsia="pt-BR"/>
        </w:rPr>
        <w:t>99999</w:t>
      </w:r>
      <w:r w:rsidRPr="00FD1551">
        <w:rPr>
          <w:rFonts w:ascii="Arial" w:eastAsia="Times New Roman" w:hAnsi="Arial" w:cs="Arial"/>
          <w:sz w:val="20"/>
          <w:szCs w:val="20"/>
          <w:lang w:eastAsia="pt-BR"/>
        </w:rPr>
        <w:t>&lt;/IdNumRegistro&gt;</w:t>
      </w:r>
      <w:r w:rsidRPr="00FD1551">
        <w:rPr>
          <w:rFonts w:ascii="Arial" w:eastAsia="Times New Roman" w:hAnsi="Arial" w:cs="Arial"/>
          <w:sz w:val="20"/>
          <w:szCs w:val="20"/>
          <w:lang w:eastAsia="pt-BR"/>
        </w:rPr>
        <w:tab/>
      </w:r>
    </w:p>
    <w:p w14:paraId="4BA0CE4B" w14:textId="77777777" w:rsidR="00FD1551" w:rsidRPr="00FD1551" w:rsidRDefault="00FD1551" w:rsidP="00FD1551">
      <w:pPr>
        <w:tabs>
          <w:tab w:val="left" w:pos="12095"/>
        </w:tabs>
        <w:spacing w:after="0" w:line="240" w:lineRule="auto"/>
        <w:ind w:left="1134"/>
        <w:rPr>
          <w:rFonts w:ascii="Arial" w:eastAsia="Times New Roman" w:hAnsi="Arial" w:cs="Arial"/>
          <w:sz w:val="20"/>
          <w:szCs w:val="20"/>
          <w:lang w:eastAsia="pt-BR"/>
        </w:rPr>
      </w:pPr>
      <w:r w:rsidRPr="00FD1551">
        <w:rPr>
          <w:rFonts w:ascii="Arial" w:eastAsia="Times New Roman" w:hAnsi="Arial" w:cs="Arial"/>
          <w:sz w:val="20"/>
          <w:szCs w:val="20"/>
          <w:lang w:eastAsia="pt-BR"/>
        </w:rPr>
        <w:t>&lt;CodigoUnidadeGestora&gt;</w:t>
      </w:r>
      <w:r w:rsidRPr="00FD1551">
        <w:rPr>
          <w:rFonts w:ascii="Arial" w:eastAsia="Times New Roman" w:hAnsi="Arial" w:cs="Arial"/>
          <w:b/>
          <w:sz w:val="20"/>
          <w:szCs w:val="20"/>
          <w:lang w:eastAsia="pt-BR"/>
        </w:rPr>
        <w:t>XXXXXXXXXXX</w:t>
      </w:r>
      <w:r w:rsidRPr="00FD1551">
        <w:rPr>
          <w:rFonts w:ascii="Arial" w:eastAsia="Times New Roman" w:hAnsi="Arial" w:cs="Arial"/>
          <w:sz w:val="20"/>
          <w:szCs w:val="20"/>
          <w:lang w:eastAsia="pt-BR"/>
        </w:rPr>
        <w:t>&lt;/CodigoUnidadeGestora&gt;</w:t>
      </w:r>
    </w:p>
    <w:p w14:paraId="7316F76C" w14:textId="77777777" w:rsidR="00FD1551" w:rsidRPr="00FD1551" w:rsidRDefault="00FD1551" w:rsidP="00FD1551">
      <w:pPr>
        <w:tabs>
          <w:tab w:val="left" w:pos="8475"/>
          <w:tab w:val="left" w:pos="10235"/>
          <w:tab w:val="left" w:pos="12095"/>
        </w:tabs>
        <w:spacing w:after="0" w:line="240" w:lineRule="auto"/>
        <w:ind w:left="1134"/>
        <w:rPr>
          <w:rFonts w:ascii="Arial" w:eastAsia="Times New Roman" w:hAnsi="Arial" w:cs="Arial"/>
          <w:sz w:val="20"/>
          <w:szCs w:val="20"/>
          <w:lang w:eastAsia="pt-BR"/>
        </w:rPr>
      </w:pPr>
      <w:r w:rsidRPr="00FD1551">
        <w:rPr>
          <w:rFonts w:ascii="Arial" w:eastAsia="Times New Roman" w:hAnsi="Arial" w:cs="Arial"/>
          <w:sz w:val="20"/>
          <w:szCs w:val="20"/>
          <w:lang w:eastAsia="pt-BR"/>
        </w:rPr>
        <w:t>&lt;CodigoContabil&gt;</w:t>
      </w:r>
      <w:r w:rsidRPr="00FD1551">
        <w:rPr>
          <w:rFonts w:ascii="Arial" w:eastAsia="Times New Roman" w:hAnsi="Arial" w:cs="Arial"/>
          <w:b/>
          <w:sz w:val="20"/>
          <w:szCs w:val="20"/>
          <w:lang w:eastAsia="pt-BR"/>
        </w:rPr>
        <w:t>999999999</w:t>
      </w:r>
      <w:r w:rsidRPr="00FD1551">
        <w:rPr>
          <w:rFonts w:ascii="Arial" w:eastAsia="Times New Roman" w:hAnsi="Arial" w:cs="Arial"/>
          <w:sz w:val="20"/>
          <w:szCs w:val="20"/>
          <w:lang w:eastAsia="pt-BR"/>
        </w:rPr>
        <w:t>&lt;/CodigoContabil&gt;</w:t>
      </w:r>
      <w:r w:rsidRPr="00FD1551">
        <w:rPr>
          <w:rFonts w:ascii="Arial" w:eastAsia="Times New Roman" w:hAnsi="Arial" w:cs="Arial"/>
          <w:sz w:val="20"/>
          <w:szCs w:val="20"/>
          <w:lang w:eastAsia="pt-BR"/>
        </w:rPr>
        <w:tab/>
      </w:r>
    </w:p>
    <w:p w14:paraId="531EE4D1" w14:textId="77777777" w:rsidR="00FD1551" w:rsidRPr="00FD1551" w:rsidRDefault="00FD1551" w:rsidP="00FD1551">
      <w:pPr>
        <w:tabs>
          <w:tab w:val="left" w:pos="10235"/>
          <w:tab w:val="left" w:pos="12095"/>
        </w:tabs>
        <w:spacing w:after="0" w:line="240" w:lineRule="auto"/>
        <w:ind w:left="1134"/>
        <w:rPr>
          <w:rFonts w:ascii="Arial" w:eastAsia="Times New Roman" w:hAnsi="Arial" w:cs="Arial"/>
          <w:sz w:val="20"/>
          <w:szCs w:val="20"/>
          <w:lang w:eastAsia="pt-BR"/>
        </w:rPr>
      </w:pPr>
      <w:r w:rsidRPr="00FD1551">
        <w:rPr>
          <w:rFonts w:ascii="Arial" w:eastAsia="Times New Roman" w:hAnsi="Arial" w:cs="Arial"/>
          <w:sz w:val="20"/>
          <w:szCs w:val="20"/>
          <w:lang w:eastAsia="pt-BR"/>
        </w:rPr>
        <w:t>&lt;IndicadorSuperavitFinanceiro&gt;</w:t>
      </w:r>
      <w:r w:rsidRPr="00FD1551">
        <w:rPr>
          <w:rFonts w:ascii="Arial" w:eastAsia="Times New Roman" w:hAnsi="Arial" w:cs="Arial"/>
          <w:b/>
          <w:sz w:val="20"/>
          <w:szCs w:val="20"/>
          <w:lang w:eastAsia="pt-BR"/>
        </w:rPr>
        <w:t>X</w:t>
      </w:r>
      <w:r w:rsidRPr="00FD1551">
        <w:rPr>
          <w:rFonts w:ascii="Arial" w:eastAsia="Times New Roman" w:hAnsi="Arial" w:cs="Arial"/>
          <w:sz w:val="20"/>
          <w:szCs w:val="20"/>
          <w:lang w:eastAsia="pt-BR"/>
        </w:rPr>
        <w:t>&lt;/IndicadorSuperavitFinanceiro&gt;</w:t>
      </w:r>
    </w:p>
    <w:p w14:paraId="633D060F" w14:textId="77777777" w:rsidR="00FD1551" w:rsidRPr="00FD1551" w:rsidRDefault="00FD1551" w:rsidP="00FD1551">
      <w:pPr>
        <w:tabs>
          <w:tab w:val="left" w:pos="8475"/>
          <w:tab w:val="left" w:pos="10235"/>
          <w:tab w:val="left" w:pos="12095"/>
        </w:tabs>
        <w:spacing w:after="0" w:line="240" w:lineRule="auto"/>
        <w:ind w:left="1134"/>
        <w:rPr>
          <w:rFonts w:ascii="Arial" w:eastAsia="Times New Roman" w:hAnsi="Arial" w:cs="Arial"/>
          <w:sz w:val="20"/>
          <w:szCs w:val="20"/>
          <w:lang w:eastAsia="pt-BR"/>
        </w:rPr>
      </w:pPr>
      <w:r w:rsidRPr="00FD1551">
        <w:rPr>
          <w:rFonts w:ascii="Arial" w:eastAsia="Times New Roman" w:hAnsi="Arial" w:cs="Arial"/>
          <w:sz w:val="20"/>
          <w:szCs w:val="20"/>
          <w:lang w:eastAsia="pt-BR"/>
        </w:rPr>
        <w:t>&lt;SaldoInicial&gt;</w:t>
      </w:r>
      <w:r w:rsidRPr="00FD1551">
        <w:rPr>
          <w:rFonts w:ascii="Arial" w:eastAsia="Times New Roman" w:hAnsi="Arial" w:cs="Arial"/>
          <w:b/>
          <w:sz w:val="20"/>
          <w:szCs w:val="20"/>
          <w:lang w:eastAsia="pt-BR"/>
        </w:rPr>
        <w:t>99999999999999.99</w:t>
      </w:r>
      <w:r w:rsidRPr="00FD1551">
        <w:rPr>
          <w:rFonts w:ascii="Arial" w:eastAsia="Times New Roman" w:hAnsi="Arial" w:cs="Arial"/>
          <w:sz w:val="20"/>
          <w:szCs w:val="20"/>
          <w:lang w:eastAsia="pt-BR"/>
        </w:rPr>
        <w:t>&lt;/SaldoInicial&gt;</w:t>
      </w:r>
      <w:r w:rsidRPr="00FD1551">
        <w:rPr>
          <w:rFonts w:ascii="Arial" w:eastAsia="Times New Roman" w:hAnsi="Arial" w:cs="Arial"/>
          <w:sz w:val="20"/>
          <w:szCs w:val="20"/>
          <w:lang w:eastAsia="pt-BR"/>
        </w:rPr>
        <w:tab/>
      </w:r>
    </w:p>
    <w:p w14:paraId="371E4903" w14:textId="77777777" w:rsidR="00FD1551" w:rsidRPr="00FD1551" w:rsidRDefault="00FD1551" w:rsidP="00FD1551">
      <w:pPr>
        <w:tabs>
          <w:tab w:val="left" w:pos="8475"/>
          <w:tab w:val="left" w:pos="10235"/>
          <w:tab w:val="left" w:pos="12095"/>
        </w:tabs>
        <w:spacing w:after="0" w:line="240" w:lineRule="auto"/>
        <w:ind w:left="1134"/>
        <w:rPr>
          <w:rFonts w:ascii="Arial" w:eastAsia="Times New Roman" w:hAnsi="Arial" w:cs="Arial"/>
          <w:sz w:val="20"/>
          <w:szCs w:val="20"/>
          <w:lang w:eastAsia="pt-BR"/>
        </w:rPr>
      </w:pPr>
      <w:r w:rsidRPr="00FD1551">
        <w:rPr>
          <w:rFonts w:ascii="Arial" w:eastAsia="Times New Roman" w:hAnsi="Arial" w:cs="Arial"/>
          <w:sz w:val="20"/>
          <w:szCs w:val="20"/>
          <w:lang w:eastAsia="pt-BR"/>
        </w:rPr>
        <w:t>&lt;NaturezaSaldoInicial&gt;</w:t>
      </w:r>
      <w:r w:rsidRPr="00FD1551">
        <w:rPr>
          <w:rFonts w:ascii="Arial" w:eastAsia="Times New Roman" w:hAnsi="Arial" w:cs="Arial"/>
          <w:b/>
          <w:sz w:val="20"/>
          <w:szCs w:val="20"/>
          <w:lang w:eastAsia="pt-BR"/>
        </w:rPr>
        <w:t>X</w:t>
      </w:r>
      <w:r w:rsidRPr="00FD1551">
        <w:rPr>
          <w:rFonts w:ascii="Arial" w:eastAsia="Times New Roman" w:hAnsi="Arial" w:cs="Arial"/>
          <w:sz w:val="20"/>
          <w:szCs w:val="20"/>
          <w:lang w:eastAsia="pt-BR"/>
        </w:rPr>
        <w:t>&lt;/NaturezaSaldoInicial&gt;</w:t>
      </w:r>
      <w:r w:rsidRPr="00FD1551">
        <w:rPr>
          <w:rFonts w:ascii="Arial" w:eastAsia="Times New Roman" w:hAnsi="Arial" w:cs="Arial"/>
          <w:sz w:val="20"/>
          <w:szCs w:val="20"/>
          <w:lang w:eastAsia="pt-BR"/>
        </w:rPr>
        <w:tab/>
      </w:r>
    </w:p>
    <w:p w14:paraId="1FE3D095" w14:textId="77777777" w:rsidR="00FD1551" w:rsidRPr="00FD1551" w:rsidRDefault="00FD1551" w:rsidP="00FD1551">
      <w:pPr>
        <w:tabs>
          <w:tab w:val="left" w:pos="10235"/>
          <w:tab w:val="left" w:pos="12095"/>
        </w:tabs>
        <w:spacing w:after="0" w:line="240" w:lineRule="auto"/>
        <w:ind w:left="1134"/>
        <w:rPr>
          <w:rFonts w:ascii="Arial" w:eastAsia="Times New Roman" w:hAnsi="Arial" w:cs="Arial"/>
          <w:sz w:val="20"/>
          <w:szCs w:val="20"/>
          <w:lang w:eastAsia="pt-BR"/>
        </w:rPr>
      </w:pPr>
      <w:r w:rsidRPr="00FD1551">
        <w:rPr>
          <w:rFonts w:ascii="Arial" w:eastAsia="Times New Roman" w:hAnsi="Arial" w:cs="Arial"/>
          <w:sz w:val="20"/>
          <w:szCs w:val="20"/>
          <w:lang w:eastAsia="pt-BR"/>
        </w:rPr>
        <w:t>&lt;MovimentoDebito&gt;</w:t>
      </w:r>
      <w:r w:rsidRPr="00FD1551">
        <w:rPr>
          <w:rFonts w:ascii="Arial" w:eastAsia="Times New Roman" w:hAnsi="Arial" w:cs="Arial"/>
          <w:b/>
          <w:sz w:val="20"/>
          <w:szCs w:val="20"/>
          <w:lang w:eastAsia="pt-BR"/>
        </w:rPr>
        <w:t>99999999999999.99</w:t>
      </w:r>
      <w:r w:rsidRPr="00FD1551">
        <w:rPr>
          <w:rFonts w:ascii="Arial" w:eastAsia="Times New Roman" w:hAnsi="Arial" w:cs="Arial"/>
          <w:sz w:val="20"/>
          <w:szCs w:val="20"/>
          <w:lang w:eastAsia="pt-BR"/>
        </w:rPr>
        <w:t>&lt;/MovimentoDebito&gt;</w:t>
      </w:r>
    </w:p>
    <w:p w14:paraId="01C5AB77" w14:textId="77777777" w:rsidR="00FD1551" w:rsidRPr="00FD1551" w:rsidRDefault="00FD1551" w:rsidP="00FD1551">
      <w:pPr>
        <w:tabs>
          <w:tab w:val="left" w:pos="10235"/>
          <w:tab w:val="left" w:pos="12095"/>
        </w:tabs>
        <w:spacing w:after="0" w:line="240" w:lineRule="auto"/>
        <w:ind w:left="1134"/>
        <w:rPr>
          <w:rFonts w:ascii="Arial" w:eastAsia="Times New Roman" w:hAnsi="Arial" w:cs="Arial"/>
          <w:sz w:val="20"/>
          <w:szCs w:val="20"/>
          <w:lang w:eastAsia="pt-BR"/>
        </w:rPr>
      </w:pPr>
      <w:r w:rsidRPr="00FD1551">
        <w:rPr>
          <w:rFonts w:ascii="Arial" w:eastAsia="Times New Roman" w:hAnsi="Arial" w:cs="Arial"/>
          <w:sz w:val="20"/>
          <w:szCs w:val="20"/>
          <w:lang w:eastAsia="pt-BR"/>
        </w:rPr>
        <w:t>&lt;MovimentoCredito&gt;</w:t>
      </w:r>
      <w:r w:rsidRPr="00FD1551">
        <w:rPr>
          <w:rFonts w:ascii="Arial" w:eastAsia="Times New Roman" w:hAnsi="Arial" w:cs="Arial"/>
          <w:b/>
          <w:sz w:val="20"/>
          <w:szCs w:val="20"/>
          <w:lang w:eastAsia="pt-BR"/>
        </w:rPr>
        <w:t>99999999999999.99</w:t>
      </w:r>
      <w:r w:rsidRPr="00FD1551">
        <w:rPr>
          <w:rFonts w:ascii="Arial" w:eastAsia="Times New Roman" w:hAnsi="Arial" w:cs="Arial"/>
          <w:sz w:val="20"/>
          <w:szCs w:val="20"/>
          <w:lang w:eastAsia="pt-BR"/>
        </w:rPr>
        <w:t>&lt;/MovimentoCredito&gt;</w:t>
      </w:r>
    </w:p>
    <w:p w14:paraId="174FA4B6" w14:textId="77777777" w:rsidR="00FD1551" w:rsidRPr="00FD1551" w:rsidRDefault="00FD1551" w:rsidP="00FD1551">
      <w:pPr>
        <w:tabs>
          <w:tab w:val="left" w:pos="8475"/>
          <w:tab w:val="left" w:pos="10235"/>
          <w:tab w:val="left" w:pos="12095"/>
        </w:tabs>
        <w:spacing w:after="0" w:line="240" w:lineRule="auto"/>
        <w:ind w:left="1134"/>
        <w:rPr>
          <w:rFonts w:ascii="Arial" w:eastAsia="Times New Roman" w:hAnsi="Arial" w:cs="Arial"/>
          <w:sz w:val="20"/>
          <w:szCs w:val="20"/>
          <w:lang w:eastAsia="pt-BR"/>
        </w:rPr>
      </w:pPr>
      <w:r w:rsidRPr="00FD1551">
        <w:rPr>
          <w:rFonts w:ascii="Arial" w:eastAsia="Times New Roman" w:hAnsi="Arial" w:cs="Arial"/>
          <w:sz w:val="20"/>
          <w:szCs w:val="20"/>
          <w:lang w:eastAsia="pt-BR"/>
        </w:rPr>
        <w:t>&lt;SaldoFinal&gt;</w:t>
      </w:r>
      <w:r w:rsidRPr="00FD1551">
        <w:rPr>
          <w:rFonts w:ascii="Arial" w:eastAsia="Times New Roman" w:hAnsi="Arial" w:cs="Arial"/>
          <w:b/>
          <w:sz w:val="20"/>
          <w:szCs w:val="20"/>
          <w:lang w:eastAsia="pt-BR"/>
        </w:rPr>
        <w:t>99999999999999.99</w:t>
      </w:r>
      <w:r w:rsidRPr="00FD1551">
        <w:rPr>
          <w:rFonts w:ascii="Arial" w:eastAsia="Times New Roman" w:hAnsi="Arial" w:cs="Arial"/>
          <w:sz w:val="20"/>
          <w:szCs w:val="20"/>
          <w:lang w:eastAsia="pt-BR"/>
        </w:rPr>
        <w:t>&lt;/SaldoFinal&gt;</w:t>
      </w:r>
      <w:r w:rsidRPr="00FD1551">
        <w:rPr>
          <w:rFonts w:ascii="Arial" w:eastAsia="Times New Roman" w:hAnsi="Arial" w:cs="Arial"/>
          <w:sz w:val="20"/>
          <w:szCs w:val="20"/>
          <w:lang w:eastAsia="pt-BR"/>
        </w:rPr>
        <w:tab/>
      </w:r>
    </w:p>
    <w:p w14:paraId="656EA199" w14:textId="77777777" w:rsidR="00FD1551" w:rsidRPr="00FD1551" w:rsidRDefault="00FD1551" w:rsidP="00FD1551">
      <w:pPr>
        <w:tabs>
          <w:tab w:val="left" w:pos="8475"/>
          <w:tab w:val="left" w:pos="10235"/>
          <w:tab w:val="left" w:pos="12095"/>
        </w:tabs>
        <w:spacing w:after="0" w:line="240" w:lineRule="auto"/>
        <w:ind w:left="1134"/>
        <w:rPr>
          <w:rFonts w:ascii="Arial" w:eastAsia="Times New Roman" w:hAnsi="Arial" w:cs="Arial"/>
          <w:sz w:val="20"/>
          <w:szCs w:val="20"/>
          <w:lang w:eastAsia="pt-BR"/>
        </w:rPr>
      </w:pPr>
      <w:r w:rsidRPr="00FD1551">
        <w:rPr>
          <w:rFonts w:ascii="Arial" w:eastAsia="Times New Roman" w:hAnsi="Arial" w:cs="Arial"/>
          <w:sz w:val="20"/>
          <w:szCs w:val="20"/>
          <w:lang w:eastAsia="pt-BR"/>
        </w:rPr>
        <w:t>&lt;NaturezaSaldoFinal&gt;</w:t>
      </w:r>
      <w:r w:rsidRPr="00FD1551">
        <w:rPr>
          <w:rFonts w:ascii="Arial" w:eastAsia="Times New Roman" w:hAnsi="Arial" w:cs="Arial"/>
          <w:b/>
          <w:sz w:val="20"/>
          <w:szCs w:val="20"/>
          <w:lang w:eastAsia="pt-BR"/>
        </w:rPr>
        <w:t>X</w:t>
      </w:r>
      <w:r w:rsidRPr="00FD1551">
        <w:rPr>
          <w:rFonts w:ascii="Arial" w:eastAsia="Times New Roman" w:hAnsi="Arial" w:cs="Arial"/>
          <w:sz w:val="20"/>
          <w:szCs w:val="20"/>
          <w:lang w:eastAsia="pt-BR"/>
        </w:rPr>
        <w:t>&lt;/NaturezaSaldoFinal&gt;</w:t>
      </w:r>
      <w:r w:rsidRPr="00FD1551">
        <w:rPr>
          <w:rFonts w:ascii="Arial" w:eastAsia="Times New Roman" w:hAnsi="Arial" w:cs="Arial"/>
          <w:sz w:val="20"/>
          <w:szCs w:val="20"/>
          <w:lang w:eastAsia="pt-BR"/>
        </w:rPr>
        <w:tab/>
      </w:r>
    </w:p>
    <w:p w14:paraId="603A665D" w14:textId="77777777" w:rsidR="00FD1551" w:rsidRPr="00FD1551" w:rsidRDefault="00FD1551" w:rsidP="00FD1551">
      <w:pPr>
        <w:tabs>
          <w:tab w:val="left" w:pos="8475"/>
          <w:tab w:val="left" w:pos="10235"/>
          <w:tab w:val="left" w:pos="12095"/>
        </w:tabs>
        <w:spacing w:after="0" w:line="240" w:lineRule="auto"/>
        <w:ind w:left="1134"/>
        <w:rPr>
          <w:rFonts w:ascii="Arial" w:eastAsia="Times New Roman" w:hAnsi="Arial" w:cs="Arial"/>
          <w:sz w:val="20"/>
          <w:szCs w:val="20"/>
          <w:lang w:eastAsia="pt-BR"/>
        </w:rPr>
      </w:pPr>
      <w:r w:rsidRPr="00FD1551">
        <w:rPr>
          <w:rFonts w:ascii="Arial" w:eastAsia="Times New Roman" w:hAnsi="Arial" w:cs="Arial"/>
          <w:sz w:val="20"/>
          <w:szCs w:val="20"/>
          <w:lang w:eastAsia="pt-BR"/>
        </w:rPr>
        <w:t>&lt;/BalanceteVerificacao&gt;</w:t>
      </w:r>
      <w:r w:rsidRPr="00FD1551">
        <w:rPr>
          <w:rFonts w:ascii="Arial" w:eastAsia="Times New Roman" w:hAnsi="Arial" w:cs="Arial"/>
          <w:sz w:val="20"/>
          <w:szCs w:val="20"/>
          <w:lang w:eastAsia="pt-BR"/>
        </w:rPr>
        <w:tab/>
      </w:r>
    </w:p>
    <w:p w14:paraId="3B75DA52" w14:textId="77777777" w:rsidR="00FD1551" w:rsidRPr="00FD1551" w:rsidRDefault="00FD1551" w:rsidP="00FD1551">
      <w:pPr>
        <w:tabs>
          <w:tab w:val="left" w:pos="8475"/>
          <w:tab w:val="left" w:pos="10235"/>
          <w:tab w:val="left" w:pos="12095"/>
        </w:tabs>
        <w:spacing w:after="0" w:line="240" w:lineRule="auto"/>
        <w:ind w:left="567"/>
        <w:rPr>
          <w:rFonts w:ascii="Arial" w:eastAsia="Times New Roman" w:hAnsi="Arial" w:cs="Arial"/>
          <w:sz w:val="20"/>
          <w:szCs w:val="20"/>
          <w:lang w:eastAsia="pt-BR"/>
        </w:rPr>
      </w:pPr>
      <w:r w:rsidRPr="00FD1551">
        <w:rPr>
          <w:rFonts w:ascii="Arial" w:eastAsia="Times New Roman" w:hAnsi="Arial" w:cs="Arial"/>
          <w:sz w:val="20"/>
          <w:szCs w:val="20"/>
          <w:lang w:eastAsia="pt-BR"/>
        </w:rPr>
        <w:t>&lt;/BalanceteVerificacao_Schema&gt;</w:t>
      </w:r>
      <w:r w:rsidRPr="00FD1551">
        <w:rPr>
          <w:rFonts w:ascii="Arial" w:eastAsia="Times New Roman" w:hAnsi="Arial" w:cs="Arial"/>
          <w:sz w:val="20"/>
          <w:szCs w:val="20"/>
          <w:lang w:eastAsia="pt-BR"/>
        </w:rPr>
        <w:tab/>
      </w:r>
    </w:p>
    <w:p w14:paraId="33456224" w14:textId="77777777" w:rsidR="00FD1551" w:rsidRPr="00FD1551" w:rsidRDefault="00FD1551" w:rsidP="00FD1551">
      <w:pPr>
        <w:rPr>
          <w:rFonts w:ascii="Arial" w:eastAsia="Times New Roman" w:hAnsi="Arial" w:cs="Arial"/>
          <w:sz w:val="20"/>
          <w:szCs w:val="20"/>
          <w:lang w:eastAsia="pt-BR"/>
        </w:rPr>
      </w:pPr>
      <w:r w:rsidRPr="00FD1551">
        <w:rPr>
          <w:rFonts w:ascii="Arial" w:eastAsia="Times New Roman" w:hAnsi="Arial" w:cs="Arial"/>
          <w:sz w:val="20"/>
          <w:szCs w:val="20"/>
          <w:lang w:eastAsia="pt-BR"/>
        </w:rPr>
        <w:t>&lt;/PrestacaoContasAnual&gt;</w:t>
      </w:r>
    </w:p>
    <w:p w14:paraId="07D2DD91" w14:textId="77777777" w:rsidR="00FD1551" w:rsidRPr="00FD1551" w:rsidRDefault="00FD1551" w:rsidP="00FD1551">
      <w:pPr>
        <w:rPr>
          <w:rFonts w:ascii="Arial" w:eastAsia="Times New Roman" w:hAnsi="Arial" w:cs="Arial"/>
          <w:sz w:val="20"/>
          <w:szCs w:val="20"/>
          <w:lang w:eastAsia="pt-BR"/>
        </w:rPr>
      </w:pPr>
    </w:p>
    <w:tbl>
      <w:tblPr>
        <w:tblW w:w="9229" w:type="dxa"/>
        <w:tblInd w:w="55" w:type="dxa"/>
        <w:tblCellMar>
          <w:left w:w="70" w:type="dxa"/>
          <w:right w:w="70" w:type="dxa"/>
        </w:tblCellMar>
        <w:tblLook w:val="04A0" w:firstRow="1" w:lastRow="0" w:firstColumn="1" w:lastColumn="0" w:noHBand="0" w:noVBand="1"/>
      </w:tblPr>
      <w:tblGrid>
        <w:gridCol w:w="3559"/>
        <w:gridCol w:w="1276"/>
        <w:gridCol w:w="1134"/>
        <w:gridCol w:w="3260"/>
      </w:tblGrid>
      <w:tr w:rsidR="00FD1551" w:rsidRPr="00FD1551" w14:paraId="16598EC4" w14:textId="77777777" w:rsidTr="00FD1551">
        <w:trPr>
          <w:trHeight w:val="315"/>
        </w:trPr>
        <w:tc>
          <w:tcPr>
            <w:tcW w:w="3559" w:type="dxa"/>
            <w:tcBorders>
              <w:top w:val="single" w:sz="8" w:space="0" w:color="auto"/>
              <w:left w:val="single" w:sz="8" w:space="0" w:color="auto"/>
              <w:bottom w:val="single" w:sz="8" w:space="0" w:color="auto"/>
              <w:right w:val="single" w:sz="8" w:space="0" w:color="auto"/>
            </w:tcBorders>
            <w:shd w:val="clear" w:color="000000" w:fill="C0C0C0"/>
            <w:vAlign w:val="center"/>
            <w:hideMark/>
          </w:tcPr>
          <w:p w14:paraId="3F8AB906" w14:textId="77777777" w:rsidR="00FD1551" w:rsidRPr="00FD1551" w:rsidRDefault="00FD1551" w:rsidP="00FD1551">
            <w:pPr>
              <w:spacing w:after="0" w:line="240" w:lineRule="auto"/>
              <w:jc w:val="center"/>
              <w:rPr>
                <w:rFonts w:ascii="Arial" w:eastAsia="Times New Roman" w:hAnsi="Arial" w:cs="Arial"/>
                <w:b/>
                <w:bCs/>
                <w:sz w:val="20"/>
                <w:szCs w:val="20"/>
                <w:lang w:eastAsia="pt-BR"/>
              </w:rPr>
            </w:pPr>
            <w:r w:rsidRPr="00FD1551">
              <w:rPr>
                <w:rFonts w:ascii="Arial" w:eastAsia="Times New Roman" w:hAnsi="Arial" w:cs="Arial"/>
                <w:b/>
                <w:bCs/>
                <w:sz w:val="20"/>
                <w:szCs w:val="20"/>
                <w:lang w:eastAsia="pt-BR"/>
              </w:rPr>
              <w:t>Campo</w:t>
            </w:r>
          </w:p>
        </w:tc>
        <w:tc>
          <w:tcPr>
            <w:tcW w:w="1276" w:type="dxa"/>
            <w:tcBorders>
              <w:top w:val="single" w:sz="8" w:space="0" w:color="auto"/>
              <w:left w:val="nil"/>
              <w:bottom w:val="single" w:sz="8" w:space="0" w:color="auto"/>
              <w:right w:val="single" w:sz="8" w:space="0" w:color="auto"/>
            </w:tcBorders>
            <w:shd w:val="clear" w:color="000000" w:fill="C0C0C0"/>
            <w:vAlign w:val="center"/>
            <w:hideMark/>
          </w:tcPr>
          <w:p w14:paraId="47E9019B" w14:textId="77777777" w:rsidR="00FD1551" w:rsidRPr="00FD1551" w:rsidRDefault="00FD1551" w:rsidP="00FD1551">
            <w:pPr>
              <w:spacing w:after="0" w:line="240" w:lineRule="auto"/>
              <w:jc w:val="center"/>
              <w:rPr>
                <w:rFonts w:ascii="Arial" w:eastAsia="Times New Roman" w:hAnsi="Arial" w:cs="Arial"/>
                <w:b/>
                <w:bCs/>
                <w:sz w:val="20"/>
                <w:szCs w:val="20"/>
                <w:lang w:eastAsia="pt-BR"/>
              </w:rPr>
            </w:pPr>
            <w:r w:rsidRPr="00FD1551">
              <w:rPr>
                <w:rFonts w:ascii="Arial" w:eastAsia="Times New Roman" w:hAnsi="Arial" w:cs="Arial"/>
                <w:b/>
                <w:bCs/>
                <w:sz w:val="20"/>
                <w:szCs w:val="20"/>
                <w:lang w:eastAsia="pt-BR"/>
              </w:rPr>
              <w:t>Tipo</w:t>
            </w:r>
          </w:p>
        </w:tc>
        <w:tc>
          <w:tcPr>
            <w:tcW w:w="1134" w:type="dxa"/>
            <w:tcBorders>
              <w:top w:val="single" w:sz="8" w:space="0" w:color="auto"/>
              <w:left w:val="nil"/>
              <w:bottom w:val="single" w:sz="8" w:space="0" w:color="auto"/>
              <w:right w:val="single" w:sz="8" w:space="0" w:color="auto"/>
            </w:tcBorders>
            <w:shd w:val="clear" w:color="000000" w:fill="C0C0C0"/>
            <w:vAlign w:val="center"/>
            <w:hideMark/>
          </w:tcPr>
          <w:p w14:paraId="50EF7CC3" w14:textId="77777777" w:rsidR="00FD1551" w:rsidRPr="00FD1551" w:rsidRDefault="00FD1551" w:rsidP="00FD1551">
            <w:pPr>
              <w:spacing w:after="0" w:line="240" w:lineRule="auto"/>
              <w:jc w:val="center"/>
              <w:rPr>
                <w:rFonts w:ascii="Arial" w:eastAsia="Times New Roman" w:hAnsi="Arial" w:cs="Arial"/>
                <w:b/>
                <w:bCs/>
                <w:sz w:val="20"/>
                <w:szCs w:val="20"/>
                <w:lang w:eastAsia="pt-BR"/>
              </w:rPr>
            </w:pPr>
            <w:r w:rsidRPr="00FD1551">
              <w:rPr>
                <w:rFonts w:ascii="Arial" w:eastAsia="Times New Roman" w:hAnsi="Arial" w:cs="Arial"/>
                <w:b/>
                <w:bCs/>
                <w:sz w:val="20"/>
                <w:szCs w:val="20"/>
                <w:lang w:eastAsia="pt-BR"/>
              </w:rPr>
              <w:t>Tamanho</w:t>
            </w:r>
          </w:p>
        </w:tc>
        <w:tc>
          <w:tcPr>
            <w:tcW w:w="3260" w:type="dxa"/>
            <w:tcBorders>
              <w:top w:val="single" w:sz="8" w:space="0" w:color="auto"/>
              <w:left w:val="nil"/>
              <w:bottom w:val="single" w:sz="8" w:space="0" w:color="auto"/>
              <w:right w:val="single" w:sz="8" w:space="0" w:color="auto"/>
            </w:tcBorders>
            <w:shd w:val="clear" w:color="000000" w:fill="C0C0C0"/>
            <w:vAlign w:val="center"/>
            <w:hideMark/>
          </w:tcPr>
          <w:p w14:paraId="0E921C6F" w14:textId="77777777" w:rsidR="00FD1551" w:rsidRPr="00FD1551" w:rsidRDefault="00FD1551" w:rsidP="00FD1551">
            <w:pPr>
              <w:spacing w:after="0" w:line="240" w:lineRule="auto"/>
              <w:jc w:val="center"/>
              <w:rPr>
                <w:rFonts w:ascii="Arial" w:eastAsia="Times New Roman" w:hAnsi="Arial" w:cs="Arial"/>
                <w:b/>
                <w:bCs/>
                <w:sz w:val="20"/>
                <w:szCs w:val="20"/>
                <w:lang w:eastAsia="pt-BR"/>
              </w:rPr>
            </w:pPr>
            <w:r w:rsidRPr="00FD1551">
              <w:rPr>
                <w:rFonts w:ascii="Arial" w:eastAsia="Times New Roman" w:hAnsi="Arial" w:cs="Arial"/>
                <w:b/>
                <w:bCs/>
                <w:sz w:val="20"/>
                <w:szCs w:val="20"/>
                <w:lang w:eastAsia="pt-BR"/>
              </w:rPr>
              <w:t>Obrigatoriedade</w:t>
            </w:r>
          </w:p>
        </w:tc>
      </w:tr>
      <w:tr w:rsidR="00FD1551" w:rsidRPr="00FD1551" w14:paraId="55785EEA" w14:textId="77777777" w:rsidTr="00FD1551">
        <w:trPr>
          <w:trHeight w:val="315"/>
        </w:trPr>
        <w:tc>
          <w:tcPr>
            <w:tcW w:w="9229" w:type="dxa"/>
            <w:gridSpan w:val="4"/>
            <w:tcBorders>
              <w:top w:val="single" w:sz="8" w:space="0" w:color="auto"/>
              <w:left w:val="single" w:sz="8" w:space="0" w:color="auto"/>
              <w:bottom w:val="single" w:sz="8" w:space="0" w:color="auto"/>
              <w:right w:val="single" w:sz="8" w:space="0" w:color="000000"/>
            </w:tcBorders>
            <w:shd w:val="clear" w:color="000000" w:fill="BFBFBF"/>
            <w:vAlign w:val="center"/>
            <w:hideMark/>
          </w:tcPr>
          <w:p w14:paraId="04C6B0C6" w14:textId="77777777" w:rsidR="00FD1551" w:rsidRPr="00FD1551" w:rsidRDefault="00FD1551" w:rsidP="00FD1551">
            <w:pPr>
              <w:spacing w:after="0" w:line="240" w:lineRule="auto"/>
              <w:jc w:val="center"/>
              <w:rPr>
                <w:rFonts w:ascii="Arial" w:eastAsia="Times New Roman" w:hAnsi="Arial" w:cs="Arial"/>
                <w:b/>
                <w:bCs/>
                <w:sz w:val="20"/>
                <w:szCs w:val="20"/>
                <w:lang w:eastAsia="pt-BR"/>
              </w:rPr>
            </w:pPr>
            <w:r w:rsidRPr="00FD1551">
              <w:rPr>
                <w:rFonts w:ascii="Arial" w:eastAsia="Times New Roman" w:hAnsi="Arial" w:cs="Arial"/>
                <w:b/>
                <w:bCs/>
                <w:sz w:val="20"/>
                <w:szCs w:val="20"/>
                <w:lang w:eastAsia="pt-BR"/>
              </w:rPr>
              <w:t>Estrutura ‘BalanceteVerificacao’</w:t>
            </w:r>
          </w:p>
        </w:tc>
      </w:tr>
      <w:tr w:rsidR="00FD1551" w:rsidRPr="00FD1551" w14:paraId="436DF212" w14:textId="77777777" w:rsidTr="00FD1551">
        <w:trPr>
          <w:trHeight w:val="315"/>
        </w:trPr>
        <w:tc>
          <w:tcPr>
            <w:tcW w:w="3559" w:type="dxa"/>
            <w:tcBorders>
              <w:top w:val="nil"/>
              <w:left w:val="single" w:sz="8" w:space="0" w:color="auto"/>
              <w:bottom w:val="single" w:sz="8" w:space="0" w:color="auto"/>
              <w:right w:val="single" w:sz="8" w:space="0" w:color="auto"/>
            </w:tcBorders>
            <w:shd w:val="clear" w:color="auto" w:fill="auto"/>
            <w:vAlign w:val="center"/>
            <w:hideMark/>
          </w:tcPr>
          <w:p w14:paraId="05DE1FB0" w14:textId="77777777" w:rsidR="00FD1551" w:rsidRPr="00FD1551" w:rsidRDefault="00FD1551" w:rsidP="00FD1551">
            <w:pPr>
              <w:spacing w:after="0" w:line="240" w:lineRule="auto"/>
              <w:jc w:val="both"/>
              <w:rPr>
                <w:rFonts w:ascii="Arial" w:eastAsia="Times New Roman" w:hAnsi="Arial" w:cs="Arial"/>
                <w:sz w:val="20"/>
                <w:szCs w:val="20"/>
                <w:lang w:eastAsia="pt-BR"/>
              </w:rPr>
            </w:pPr>
            <w:r w:rsidRPr="00FD1551">
              <w:rPr>
                <w:rFonts w:ascii="Arial" w:eastAsia="Times New Roman" w:hAnsi="Arial" w:cs="Arial"/>
                <w:sz w:val="20"/>
                <w:szCs w:val="20"/>
                <w:lang w:eastAsia="pt-BR"/>
              </w:rPr>
              <w:t>Identificação do Numero do Registro</w:t>
            </w:r>
          </w:p>
        </w:tc>
        <w:tc>
          <w:tcPr>
            <w:tcW w:w="1276" w:type="dxa"/>
            <w:tcBorders>
              <w:top w:val="nil"/>
              <w:left w:val="nil"/>
              <w:bottom w:val="single" w:sz="8" w:space="0" w:color="auto"/>
              <w:right w:val="single" w:sz="8" w:space="0" w:color="auto"/>
            </w:tcBorders>
            <w:shd w:val="clear" w:color="auto" w:fill="auto"/>
            <w:vAlign w:val="center"/>
            <w:hideMark/>
          </w:tcPr>
          <w:p w14:paraId="35724CE6"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Inteiro</w:t>
            </w:r>
          </w:p>
        </w:tc>
        <w:tc>
          <w:tcPr>
            <w:tcW w:w="1134" w:type="dxa"/>
            <w:tcBorders>
              <w:top w:val="nil"/>
              <w:left w:val="nil"/>
              <w:bottom w:val="single" w:sz="8" w:space="0" w:color="auto"/>
              <w:right w:val="single" w:sz="8" w:space="0" w:color="auto"/>
            </w:tcBorders>
            <w:shd w:val="clear" w:color="auto" w:fill="auto"/>
            <w:vAlign w:val="center"/>
            <w:hideMark/>
          </w:tcPr>
          <w:p w14:paraId="7CFCE29A"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5</w:t>
            </w:r>
          </w:p>
        </w:tc>
        <w:tc>
          <w:tcPr>
            <w:tcW w:w="3260" w:type="dxa"/>
            <w:tcBorders>
              <w:top w:val="nil"/>
              <w:left w:val="nil"/>
              <w:bottom w:val="single" w:sz="8" w:space="0" w:color="auto"/>
              <w:right w:val="single" w:sz="8" w:space="0" w:color="auto"/>
            </w:tcBorders>
            <w:shd w:val="clear" w:color="auto" w:fill="auto"/>
            <w:vAlign w:val="center"/>
            <w:hideMark/>
          </w:tcPr>
          <w:p w14:paraId="0C8E1FFD" w14:textId="77777777" w:rsidR="00FD1551" w:rsidRPr="00FD1551" w:rsidRDefault="00FD1551" w:rsidP="00FD1551">
            <w:pPr>
              <w:spacing w:after="0" w:line="240" w:lineRule="auto"/>
              <w:jc w:val="both"/>
              <w:rPr>
                <w:rFonts w:ascii="Arial" w:eastAsia="Times New Roman" w:hAnsi="Arial" w:cs="Arial"/>
                <w:sz w:val="20"/>
                <w:szCs w:val="20"/>
                <w:lang w:eastAsia="pt-BR"/>
              </w:rPr>
            </w:pPr>
            <w:r w:rsidRPr="00FD1551">
              <w:rPr>
                <w:rFonts w:ascii="Arial" w:eastAsia="Times New Roman" w:hAnsi="Arial" w:cs="Arial"/>
                <w:sz w:val="20"/>
                <w:szCs w:val="20"/>
                <w:lang w:eastAsia="pt-BR"/>
              </w:rPr>
              <w:t>Obrigatório</w:t>
            </w:r>
          </w:p>
        </w:tc>
      </w:tr>
      <w:tr w:rsidR="00FD1551" w:rsidRPr="00FD1551" w14:paraId="4DB37C78" w14:textId="77777777" w:rsidTr="00FD1551">
        <w:trPr>
          <w:trHeight w:val="525"/>
        </w:trPr>
        <w:tc>
          <w:tcPr>
            <w:tcW w:w="3559" w:type="dxa"/>
            <w:tcBorders>
              <w:top w:val="nil"/>
              <w:left w:val="single" w:sz="8" w:space="0" w:color="auto"/>
              <w:bottom w:val="single" w:sz="8" w:space="0" w:color="auto"/>
              <w:right w:val="single" w:sz="8" w:space="0" w:color="auto"/>
            </w:tcBorders>
            <w:shd w:val="clear" w:color="auto" w:fill="auto"/>
            <w:vAlign w:val="center"/>
            <w:hideMark/>
          </w:tcPr>
          <w:p w14:paraId="6BEC691D" w14:textId="77777777" w:rsidR="00FD1551" w:rsidRPr="00FD1551" w:rsidRDefault="00FD1551" w:rsidP="00FD1551">
            <w:pPr>
              <w:spacing w:after="0" w:line="240" w:lineRule="auto"/>
              <w:jc w:val="both"/>
              <w:rPr>
                <w:rFonts w:ascii="Arial" w:eastAsia="Times New Roman" w:hAnsi="Arial" w:cs="Arial"/>
                <w:sz w:val="20"/>
                <w:szCs w:val="20"/>
                <w:lang w:eastAsia="pt-BR"/>
              </w:rPr>
            </w:pPr>
            <w:r w:rsidRPr="00FD1551">
              <w:rPr>
                <w:rFonts w:ascii="Arial" w:eastAsia="Times New Roman" w:hAnsi="Arial" w:cs="Arial"/>
                <w:sz w:val="20"/>
                <w:szCs w:val="20"/>
                <w:lang w:eastAsia="pt-BR"/>
              </w:rPr>
              <w:t xml:space="preserve">Código da Unidade Gestora </w:t>
            </w:r>
            <w:r w:rsidRPr="007F29D2">
              <w:rPr>
                <w:rFonts w:ascii="Arial" w:eastAsia="Times New Roman" w:hAnsi="Arial" w:cs="Arial"/>
                <w:sz w:val="20"/>
                <w:szCs w:val="20"/>
                <w:vertAlign w:val="superscript"/>
                <w:lang w:eastAsia="pt-BR"/>
              </w:rPr>
              <w:t>[1]</w:t>
            </w:r>
          </w:p>
        </w:tc>
        <w:tc>
          <w:tcPr>
            <w:tcW w:w="1276" w:type="dxa"/>
            <w:tcBorders>
              <w:top w:val="nil"/>
              <w:left w:val="nil"/>
              <w:bottom w:val="single" w:sz="8" w:space="0" w:color="auto"/>
              <w:right w:val="single" w:sz="8" w:space="0" w:color="auto"/>
            </w:tcBorders>
            <w:shd w:val="clear" w:color="auto" w:fill="auto"/>
            <w:vAlign w:val="center"/>
            <w:hideMark/>
          </w:tcPr>
          <w:p w14:paraId="67896FCC"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Caracter</w:t>
            </w:r>
          </w:p>
        </w:tc>
        <w:tc>
          <w:tcPr>
            <w:tcW w:w="1134" w:type="dxa"/>
            <w:tcBorders>
              <w:top w:val="nil"/>
              <w:left w:val="nil"/>
              <w:bottom w:val="single" w:sz="8" w:space="0" w:color="auto"/>
              <w:right w:val="single" w:sz="8" w:space="0" w:color="auto"/>
            </w:tcBorders>
            <w:shd w:val="clear" w:color="auto" w:fill="auto"/>
            <w:vAlign w:val="center"/>
            <w:hideMark/>
          </w:tcPr>
          <w:p w14:paraId="1E92E577"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11</w:t>
            </w:r>
          </w:p>
        </w:tc>
        <w:tc>
          <w:tcPr>
            <w:tcW w:w="3260" w:type="dxa"/>
            <w:tcBorders>
              <w:top w:val="nil"/>
              <w:left w:val="nil"/>
              <w:bottom w:val="single" w:sz="8" w:space="0" w:color="auto"/>
              <w:right w:val="single" w:sz="8" w:space="0" w:color="auto"/>
            </w:tcBorders>
            <w:shd w:val="clear" w:color="auto" w:fill="auto"/>
            <w:vAlign w:val="center"/>
            <w:hideMark/>
          </w:tcPr>
          <w:p w14:paraId="0479BF7B" w14:textId="77777777" w:rsidR="00FD1551" w:rsidRPr="00FD1551" w:rsidRDefault="00FD1551" w:rsidP="00FD1551">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Obrigatório – conforme Código do CidadES</w:t>
            </w:r>
          </w:p>
        </w:tc>
      </w:tr>
      <w:tr w:rsidR="00FD1551" w:rsidRPr="00FD1551" w14:paraId="2D2670B5" w14:textId="77777777" w:rsidTr="00FD1551">
        <w:trPr>
          <w:trHeight w:val="525"/>
        </w:trPr>
        <w:tc>
          <w:tcPr>
            <w:tcW w:w="3559"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9BAD691" w14:textId="77777777" w:rsidR="00FD1551" w:rsidRPr="00FD1551" w:rsidRDefault="00FD1551" w:rsidP="00FD1551">
            <w:pPr>
              <w:spacing w:after="0" w:line="240" w:lineRule="auto"/>
              <w:jc w:val="both"/>
              <w:rPr>
                <w:rFonts w:ascii="Arial" w:eastAsia="Times New Roman" w:hAnsi="Arial" w:cs="Arial"/>
                <w:sz w:val="20"/>
                <w:szCs w:val="20"/>
                <w:lang w:eastAsia="pt-BR"/>
              </w:rPr>
            </w:pPr>
            <w:r w:rsidRPr="00FD1551">
              <w:rPr>
                <w:rFonts w:ascii="Arial" w:eastAsia="Times New Roman" w:hAnsi="Arial" w:cs="Arial"/>
                <w:sz w:val="20"/>
                <w:szCs w:val="20"/>
                <w:lang w:eastAsia="pt-BR"/>
              </w:rPr>
              <w:t xml:space="preserve">Código Contábil </w:t>
            </w:r>
            <w:r w:rsidRPr="007F29D2">
              <w:rPr>
                <w:rFonts w:ascii="Calibri" w:eastAsia="Times New Roman" w:hAnsi="Calibri" w:cs="Arial"/>
                <w:vertAlign w:val="superscript"/>
                <w:lang w:eastAsia="pt-BR"/>
              </w:rPr>
              <w:t>[2]</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14:paraId="0FC663C0"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Inteiro</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14:paraId="48ED85F4"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9</w:t>
            </w:r>
          </w:p>
        </w:tc>
        <w:tc>
          <w:tcPr>
            <w:tcW w:w="3260" w:type="dxa"/>
            <w:tcBorders>
              <w:top w:val="single" w:sz="8" w:space="0" w:color="auto"/>
              <w:left w:val="nil"/>
              <w:bottom w:val="single" w:sz="8" w:space="0" w:color="auto"/>
              <w:right w:val="single" w:sz="8" w:space="0" w:color="auto"/>
            </w:tcBorders>
            <w:shd w:val="clear" w:color="auto" w:fill="auto"/>
            <w:vAlign w:val="center"/>
            <w:hideMark/>
          </w:tcPr>
          <w:p w14:paraId="5B38CD3C" w14:textId="77777777" w:rsidR="00FD1551" w:rsidRPr="00FD1551" w:rsidRDefault="00FD1551" w:rsidP="00FD1551">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Obrigatório – conforme Plano de Contas TCEES (CidadES)</w:t>
            </w:r>
          </w:p>
        </w:tc>
      </w:tr>
      <w:tr w:rsidR="00FD1551" w:rsidRPr="00FD1551" w14:paraId="09CE2BDE" w14:textId="77777777" w:rsidTr="00FD1551">
        <w:trPr>
          <w:trHeight w:val="1725"/>
        </w:trPr>
        <w:tc>
          <w:tcPr>
            <w:tcW w:w="3559"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6BE9789" w14:textId="77777777" w:rsidR="00FD1551" w:rsidRPr="00FD1551" w:rsidRDefault="00FD1551" w:rsidP="00FD1551">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Indicador de Superávit Financeiro</w:t>
            </w:r>
            <w:r w:rsidRPr="007F29D2">
              <w:rPr>
                <w:rFonts w:ascii="Calibri" w:eastAsia="Times New Roman" w:hAnsi="Calibri" w:cs="Arial"/>
                <w:sz w:val="24"/>
                <w:szCs w:val="24"/>
                <w:vertAlign w:val="superscript"/>
                <w:lang w:eastAsia="pt-BR"/>
              </w:rPr>
              <w:t>[3]</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14:paraId="48C83D0F"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Caracter</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14:paraId="44DB3D91"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1</w:t>
            </w:r>
          </w:p>
        </w:tc>
        <w:tc>
          <w:tcPr>
            <w:tcW w:w="3260" w:type="dxa"/>
            <w:tcBorders>
              <w:top w:val="single" w:sz="8" w:space="0" w:color="auto"/>
              <w:left w:val="nil"/>
              <w:bottom w:val="single" w:sz="8" w:space="0" w:color="auto"/>
              <w:right w:val="single" w:sz="8" w:space="0" w:color="auto"/>
            </w:tcBorders>
            <w:shd w:val="clear" w:color="auto" w:fill="auto"/>
            <w:vAlign w:val="center"/>
            <w:hideMark/>
          </w:tcPr>
          <w:p w14:paraId="29D5CAB4" w14:textId="77777777" w:rsidR="00FD1551" w:rsidRPr="00FD1551" w:rsidRDefault="00FD1551" w:rsidP="00FD1551">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Obrigatório</w:t>
            </w:r>
            <w:r w:rsidRPr="00FD1551">
              <w:rPr>
                <w:rFonts w:ascii="Arial" w:eastAsia="Times New Roman" w:hAnsi="Arial" w:cs="Arial"/>
                <w:sz w:val="20"/>
                <w:szCs w:val="20"/>
                <w:lang w:eastAsia="pt-BR"/>
              </w:rPr>
              <w:br/>
              <w:t>Deve ser:</w:t>
            </w:r>
            <w:r w:rsidRPr="00FD1551">
              <w:rPr>
                <w:rFonts w:ascii="Arial" w:eastAsia="Times New Roman" w:hAnsi="Arial" w:cs="Arial"/>
                <w:sz w:val="20"/>
                <w:szCs w:val="20"/>
                <w:lang w:eastAsia="pt-BR"/>
              </w:rPr>
              <w:br/>
            </w:r>
            <w:r w:rsidRPr="00FD1551">
              <w:rPr>
                <w:rFonts w:ascii="Arial" w:eastAsia="Times New Roman" w:hAnsi="Arial" w:cs="Arial"/>
                <w:b/>
                <w:bCs/>
                <w:sz w:val="20"/>
                <w:szCs w:val="20"/>
                <w:lang w:eastAsia="pt-BR"/>
              </w:rPr>
              <w:t>F - Financeiro</w:t>
            </w:r>
            <w:r w:rsidRPr="00FD1551">
              <w:rPr>
                <w:rFonts w:ascii="Arial" w:eastAsia="Times New Roman" w:hAnsi="Arial" w:cs="Arial"/>
                <w:b/>
                <w:bCs/>
                <w:sz w:val="20"/>
                <w:szCs w:val="20"/>
                <w:lang w:eastAsia="pt-BR"/>
              </w:rPr>
              <w:br/>
              <w:t>P - Permanente</w:t>
            </w:r>
            <w:r w:rsidRPr="00FD1551">
              <w:rPr>
                <w:rFonts w:ascii="Arial" w:eastAsia="Times New Roman" w:hAnsi="Arial" w:cs="Arial"/>
                <w:sz w:val="20"/>
                <w:szCs w:val="20"/>
                <w:lang w:eastAsia="pt-BR"/>
              </w:rPr>
              <w:br/>
              <w:t>Se a conta contábil não possuir tal atributo, a TAG não deverá ser enviada.</w:t>
            </w:r>
          </w:p>
        </w:tc>
      </w:tr>
      <w:tr w:rsidR="00FD1551" w:rsidRPr="00FD1551" w14:paraId="2F85E552" w14:textId="77777777" w:rsidTr="00FD1551">
        <w:trPr>
          <w:trHeight w:val="315"/>
        </w:trPr>
        <w:tc>
          <w:tcPr>
            <w:tcW w:w="3559" w:type="dxa"/>
            <w:tcBorders>
              <w:top w:val="nil"/>
              <w:left w:val="single" w:sz="8" w:space="0" w:color="auto"/>
              <w:bottom w:val="single" w:sz="8" w:space="0" w:color="auto"/>
              <w:right w:val="single" w:sz="8" w:space="0" w:color="auto"/>
            </w:tcBorders>
            <w:shd w:val="clear" w:color="auto" w:fill="auto"/>
            <w:vAlign w:val="center"/>
            <w:hideMark/>
          </w:tcPr>
          <w:p w14:paraId="45759A45" w14:textId="77777777" w:rsidR="00FD1551" w:rsidRPr="00FD1551" w:rsidRDefault="00FD1551" w:rsidP="00FD1551">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Saldo Inicial do Exercício</w:t>
            </w:r>
          </w:p>
        </w:tc>
        <w:tc>
          <w:tcPr>
            <w:tcW w:w="1276" w:type="dxa"/>
            <w:tcBorders>
              <w:top w:val="nil"/>
              <w:left w:val="nil"/>
              <w:bottom w:val="single" w:sz="8" w:space="0" w:color="auto"/>
              <w:right w:val="single" w:sz="8" w:space="0" w:color="auto"/>
            </w:tcBorders>
            <w:shd w:val="clear" w:color="auto" w:fill="auto"/>
            <w:vAlign w:val="center"/>
            <w:hideMark/>
          </w:tcPr>
          <w:p w14:paraId="4BAC32DD"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Decimal</w:t>
            </w:r>
          </w:p>
        </w:tc>
        <w:tc>
          <w:tcPr>
            <w:tcW w:w="1134" w:type="dxa"/>
            <w:tcBorders>
              <w:top w:val="nil"/>
              <w:left w:val="nil"/>
              <w:bottom w:val="single" w:sz="8" w:space="0" w:color="auto"/>
              <w:right w:val="single" w:sz="8" w:space="0" w:color="auto"/>
            </w:tcBorders>
            <w:shd w:val="clear" w:color="auto" w:fill="auto"/>
            <w:vAlign w:val="center"/>
            <w:hideMark/>
          </w:tcPr>
          <w:p w14:paraId="28283469"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(14,2)</w:t>
            </w:r>
          </w:p>
        </w:tc>
        <w:tc>
          <w:tcPr>
            <w:tcW w:w="3260" w:type="dxa"/>
            <w:tcBorders>
              <w:top w:val="nil"/>
              <w:left w:val="nil"/>
              <w:bottom w:val="single" w:sz="8" w:space="0" w:color="auto"/>
              <w:right w:val="single" w:sz="8" w:space="0" w:color="auto"/>
            </w:tcBorders>
            <w:shd w:val="clear" w:color="auto" w:fill="auto"/>
            <w:vAlign w:val="center"/>
            <w:hideMark/>
          </w:tcPr>
          <w:p w14:paraId="296F57BE" w14:textId="77777777" w:rsidR="00FD1551" w:rsidRPr="00FD1551" w:rsidRDefault="00FD1551" w:rsidP="00FD1551">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Obrigatório</w:t>
            </w:r>
          </w:p>
        </w:tc>
      </w:tr>
      <w:tr w:rsidR="00FD1551" w:rsidRPr="00FD1551" w14:paraId="42B3AB45" w14:textId="77777777" w:rsidTr="00FD1551">
        <w:trPr>
          <w:trHeight w:val="1200"/>
        </w:trPr>
        <w:tc>
          <w:tcPr>
            <w:tcW w:w="3559" w:type="dxa"/>
            <w:tcBorders>
              <w:top w:val="nil"/>
              <w:left w:val="single" w:sz="8" w:space="0" w:color="auto"/>
              <w:bottom w:val="single" w:sz="8" w:space="0" w:color="auto"/>
              <w:right w:val="single" w:sz="8" w:space="0" w:color="auto"/>
            </w:tcBorders>
            <w:shd w:val="clear" w:color="auto" w:fill="auto"/>
            <w:vAlign w:val="center"/>
            <w:hideMark/>
          </w:tcPr>
          <w:p w14:paraId="3EBB57B3" w14:textId="77777777" w:rsidR="00FD1551" w:rsidRPr="00FD1551" w:rsidRDefault="00FD1551" w:rsidP="00FD1551">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Natureza do Saldo Inicial</w:t>
            </w:r>
          </w:p>
        </w:tc>
        <w:tc>
          <w:tcPr>
            <w:tcW w:w="1276" w:type="dxa"/>
            <w:tcBorders>
              <w:top w:val="nil"/>
              <w:left w:val="nil"/>
              <w:bottom w:val="single" w:sz="8" w:space="0" w:color="auto"/>
              <w:right w:val="single" w:sz="8" w:space="0" w:color="auto"/>
            </w:tcBorders>
            <w:shd w:val="clear" w:color="auto" w:fill="auto"/>
            <w:vAlign w:val="center"/>
            <w:hideMark/>
          </w:tcPr>
          <w:p w14:paraId="342050DC"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Caracter</w:t>
            </w:r>
          </w:p>
        </w:tc>
        <w:tc>
          <w:tcPr>
            <w:tcW w:w="1134" w:type="dxa"/>
            <w:tcBorders>
              <w:top w:val="nil"/>
              <w:left w:val="nil"/>
              <w:bottom w:val="single" w:sz="8" w:space="0" w:color="auto"/>
              <w:right w:val="single" w:sz="8" w:space="0" w:color="auto"/>
            </w:tcBorders>
            <w:shd w:val="clear" w:color="auto" w:fill="auto"/>
            <w:vAlign w:val="center"/>
            <w:hideMark/>
          </w:tcPr>
          <w:p w14:paraId="56CAD1CD"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1</w:t>
            </w:r>
          </w:p>
        </w:tc>
        <w:tc>
          <w:tcPr>
            <w:tcW w:w="3260" w:type="dxa"/>
            <w:tcBorders>
              <w:top w:val="nil"/>
              <w:left w:val="nil"/>
              <w:bottom w:val="single" w:sz="8" w:space="0" w:color="auto"/>
              <w:right w:val="single" w:sz="8" w:space="0" w:color="auto"/>
            </w:tcBorders>
            <w:shd w:val="clear" w:color="auto" w:fill="auto"/>
            <w:vAlign w:val="center"/>
            <w:hideMark/>
          </w:tcPr>
          <w:p w14:paraId="3DDF830F" w14:textId="77777777" w:rsidR="00FD1551" w:rsidRPr="00FD1551" w:rsidRDefault="00FD1551" w:rsidP="00FD1551">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Obrigatório</w:t>
            </w:r>
            <w:r w:rsidRPr="00FD1551">
              <w:rPr>
                <w:rFonts w:ascii="Arial" w:eastAsia="Times New Roman" w:hAnsi="Arial" w:cs="Arial"/>
                <w:sz w:val="20"/>
                <w:szCs w:val="20"/>
                <w:lang w:eastAsia="pt-BR"/>
              </w:rPr>
              <w:br/>
              <w:t>Deve ser:</w:t>
            </w:r>
            <w:r w:rsidRPr="00FD1551">
              <w:rPr>
                <w:rFonts w:ascii="Arial" w:eastAsia="Times New Roman" w:hAnsi="Arial" w:cs="Arial"/>
                <w:sz w:val="20"/>
                <w:szCs w:val="20"/>
                <w:lang w:eastAsia="pt-BR"/>
              </w:rPr>
              <w:br/>
            </w:r>
            <w:r w:rsidRPr="00FD1551">
              <w:rPr>
                <w:rFonts w:ascii="Arial" w:eastAsia="Times New Roman" w:hAnsi="Arial" w:cs="Arial"/>
                <w:b/>
                <w:bCs/>
                <w:sz w:val="20"/>
                <w:szCs w:val="20"/>
                <w:lang w:eastAsia="pt-BR"/>
              </w:rPr>
              <w:t>D - p/ saldo Devedor</w:t>
            </w:r>
            <w:r w:rsidRPr="00FD1551">
              <w:rPr>
                <w:rFonts w:ascii="Arial" w:eastAsia="Times New Roman" w:hAnsi="Arial" w:cs="Arial"/>
                <w:sz w:val="20"/>
                <w:szCs w:val="20"/>
                <w:lang w:eastAsia="pt-BR"/>
              </w:rPr>
              <w:br/>
            </w:r>
            <w:r w:rsidRPr="00FD1551">
              <w:rPr>
                <w:rFonts w:ascii="Arial" w:eastAsia="Times New Roman" w:hAnsi="Arial" w:cs="Arial"/>
                <w:b/>
                <w:bCs/>
                <w:sz w:val="20"/>
                <w:szCs w:val="20"/>
                <w:lang w:eastAsia="pt-BR"/>
              </w:rPr>
              <w:t>C - p/ saldo credor</w:t>
            </w:r>
            <w:r w:rsidRPr="00FD1551">
              <w:rPr>
                <w:rFonts w:ascii="Arial" w:eastAsia="Times New Roman" w:hAnsi="Arial" w:cs="Arial"/>
                <w:sz w:val="20"/>
                <w:szCs w:val="20"/>
                <w:lang w:eastAsia="pt-BR"/>
              </w:rPr>
              <w:t>.</w:t>
            </w:r>
          </w:p>
        </w:tc>
      </w:tr>
      <w:tr w:rsidR="00FD1551" w:rsidRPr="00FD1551" w14:paraId="40277727" w14:textId="77777777" w:rsidTr="00FD1551">
        <w:trPr>
          <w:trHeight w:val="315"/>
        </w:trPr>
        <w:tc>
          <w:tcPr>
            <w:tcW w:w="3559" w:type="dxa"/>
            <w:tcBorders>
              <w:top w:val="nil"/>
              <w:left w:val="single" w:sz="8" w:space="0" w:color="auto"/>
              <w:bottom w:val="single" w:sz="8" w:space="0" w:color="auto"/>
              <w:right w:val="single" w:sz="8" w:space="0" w:color="auto"/>
            </w:tcBorders>
            <w:shd w:val="clear" w:color="auto" w:fill="auto"/>
            <w:vAlign w:val="center"/>
            <w:hideMark/>
          </w:tcPr>
          <w:p w14:paraId="01BE4139" w14:textId="77777777" w:rsidR="00FD1551" w:rsidRPr="00FD1551" w:rsidRDefault="00FD1551" w:rsidP="00FD1551">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Movimento de débito no Exercício</w:t>
            </w:r>
          </w:p>
        </w:tc>
        <w:tc>
          <w:tcPr>
            <w:tcW w:w="1276" w:type="dxa"/>
            <w:tcBorders>
              <w:top w:val="nil"/>
              <w:left w:val="nil"/>
              <w:bottom w:val="single" w:sz="8" w:space="0" w:color="auto"/>
              <w:right w:val="single" w:sz="8" w:space="0" w:color="auto"/>
            </w:tcBorders>
            <w:shd w:val="clear" w:color="auto" w:fill="auto"/>
            <w:vAlign w:val="center"/>
            <w:hideMark/>
          </w:tcPr>
          <w:p w14:paraId="7AD8E24C"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Decimal</w:t>
            </w:r>
          </w:p>
        </w:tc>
        <w:tc>
          <w:tcPr>
            <w:tcW w:w="1134" w:type="dxa"/>
            <w:tcBorders>
              <w:top w:val="nil"/>
              <w:left w:val="nil"/>
              <w:bottom w:val="single" w:sz="8" w:space="0" w:color="auto"/>
              <w:right w:val="single" w:sz="8" w:space="0" w:color="auto"/>
            </w:tcBorders>
            <w:shd w:val="clear" w:color="auto" w:fill="auto"/>
            <w:vAlign w:val="center"/>
            <w:hideMark/>
          </w:tcPr>
          <w:p w14:paraId="6D6E7F76"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(14,2)</w:t>
            </w:r>
          </w:p>
        </w:tc>
        <w:tc>
          <w:tcPr>
            <w:tcW w:w="3260" w:type="dxa"/>
            <w:tcBorders>
              <w:top w:val="nil"/>
              <w:left w:val="nil"/>
              <w:bottom w:val="single" w:sz="8" w:space="0" w:color="auto"/>
              <w:right w:val="single" w:sz="8" w:space="0" w:color="auto"/>
            </w:tcBorders>
            <w:shd w:val="clear" w:color="auto" w:fill="auto"/>
            <w:vAlign w:val="center"/>
            <w:hideMark/>
          </w:tcPr>
          <w:p w14:paraId="431CBA64" w14:textId="77777777" w:rsidR="00FD1551" w:rsidRPr="00FD1551" w:rsidRDefault="00FD1551" w:rsidP="00FD1551">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Obrigatório</w:t>
            </w:r>
          </w:p>
        </w:tc>
      </w:tr>
      <w:tr w:rsidR="00FD1551" w:rsidRPr="00FD1551" w14:paraId="7A75551A" w14:textId="77777777" w:rsidTr="00FD1551">
        <w:trPr>
          <w:trHeight w:val="315"/>
        </w:trPr>
        <w:tc>
          <w:tcPr>
            <w:tcW w:w="3559" w:type="dxa"/>
            <w:tcBorders>
              <w:top w:val="nil"/>
              <w:left w:val="single" w:sz="8" w:space="0" w:color="auto"/>
              <w:bottom w:val="single" w:sz="8" w:space="0" w:color="auto"/>
              <w:right w:val="single" w:sz="8" w:space="0" w:color="auto"/>
            </w:tcBorders>
            <w:shd w:val="clear" w:color="auto" w:fill="auto"/>
            <w:vAlign w:val="center"/>
            <w:hideMark/>
          </w:tcPr>
          <w:p w14:paraId="4512F16E" w14:textId="77777777" w:rsidR="00FD1551" w:rsidRPr="00FD1551" w:rsidRDefault="00FD1551" w:rsidP="00FD1551">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Movimento de crédito no Exercício</w:t>
            </w:r>
          </w:p>
        </w:tc>
        <w:tc>
          <w:tcPr>
            <w:tcW w:w="1276" w:type="dxa"/>
            <w:tcBorders>
              <w:top w:val="nil"/>
              <w:left w:val="nil"/>
              <w:bottom w:val="single" w:sz="8" w:space="0" w:color="auto"/>
              <w:right w:val="single" w:sz="8" w:space="0" w:color="auto"/>
            </w:tcBorders>
            <w:shd w:val="clear" w:color="auto" w:fill="auto"/>
            <w:vAlign w:val="center"/>
            <w:hideMark/>
          </w:tcPr>
          <w:p w14:paraId="02C4CFC6"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Decimal</w:t>
            </w:r>
          </w:p>
        </w:tc>
        <w:tc>
          <w:tcPr>
            <w:tcW w:w="1134" w:type="dxa"/>
            <w:tcBorders>
              <w:top w:val="nil"/>
              <w:left w:val="nil"/>
              <w:bottom w:val="single" w:sz="8" w:space="0" w:color="auto"/>
              <w:right w:val="single" w:sz="8" w:space="0" w:color="auto"/>
            </w:tcBorders>
            <w:shd w:val="clear" w:color="auto" w:fill="auto"/>
            <w:vAlign w:val="center"/>
            <w:hideMark/>
          </w:tcPr>
          <w:p w14:paraId="536384FE"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(14,2)</w:t>
            </w:r>
          </w:p>
        </w:tc>
        <w:tc>
          <w:tcPr>
            <w:tcW w:w="3260" w:type="dxa"/>
            <w:tcBorders>
              <w:top w:val="nil"/>
              <w:left w:val="nil"/>
              <w:bottom w:val="single" w:sz="8" w:space="0" w:color="auto"/>
              <w:right w:val="single" w:sz="8" w:space="0" w:color="auto"/>
            </w:tcBorders>
            <w:shd w:val="clear" w:color="auto" w:fill="auto"/>
            <w:vAlign w:val="center"/>
            <w:hideMark/>
          </w:tcPr>
          <w:p w14:paraId="2BF1E89B" w14:textId="77777777" w:rsidR="00FD1551" w:rsidRPr="00FD1551" w:rsidRDefault="00FD1551" w:rsidP="00FD1551">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Obrigatório</w:t>
            </w:r>
          </w:p>
        </w:tc>
      </w:tr>
      <w:tr w:rsidR="00FD1551" w:rsidRPr="00FD1551" w14:paraId="21681347" w14:textId="77777777" w:rsidTr="00FD1551">
        <w:trPr>
          <w:trHeight w:val="315"/>
        </w:trPr>
        <w:tc>
          <w:tcPr>
            <w:tcW w:w="3559" w:type="dxa"/>
            <w:tcBorders>
              <w:top w:val="nil"/>
              <w:left w:val="single" w:sz="8" w:space="0" w:color="auto"/>
              <w:bottom w:val="single" w:sz="8" w:space="0" w:color="auto"/>
              <w:right w:val="single" w:sz="8" w:space="0" w:color="auto"/>
            </w:tcBorders>
            <w:shd w:val="clear" w:color="auto" w:fill="auto"/>
            <w:vAlign w:val="center"/>
            <w:hideMark/>
          </w:tcPr>
          <w:p w14:paraId="024EBBA3" w14:textId="77777777" w:rsidR="00FD1551" w:rsidRPr="00FD1551" w:rsidRDefault="00FD1551" w:rsidP="00FD1551">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Saldo Final do Exercício</w:t>
            </w:r>
          </w:p>
        </w:tc>
        <w:tc>
          <w:tcPr>
            <w:tcW w:w="1276" w:type="dxa"/>
            <w:tcBorders>
              <w:top w:val="nil"/>
              <w:left w:val="nil"/>
              <w:bottom w:val="single" w:sz="8" w:space="0" w:color="auto"/>
              <w:right w:val="single" w:sz="8" w:space="0" w:color="auto"/>
            </w:tcBorders>
            <w:shd w:val="clear" w:color="auto" w:fill="auto"/>
            <w:vAlign w:val="center"/>
            <w:hideMark/>
          </w:tcPr>
          <w:p w14:paraId="218112FD"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Decimal</w:t>
            </w:r>
          </w:p>
        </w:tc>
        <w:tc>
          <w:tcPr>
            <w:tcW w:w="1134" w:type="dxa"/>
            <w:tcBorders>
              <w:top w:val="nil"/>
              <w:left w:val="nil"/>
              <w:bottom w:val="single" w:sz="8" w:space="0" w:color="auto"/>
              <w:right w:val="single" w:sz="8" w:space="0" w:color="auto"/>
            </w:tcBorders>
            <w:shd w:val="clear" w:color="auto" w:fill="auto"/>
            <w:vAlign w:val="center"/>
            <w:hideMark/>
          </w:tcPr>
          <w:p w14:paraId="6FC24548"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(14,2)</w:t>
            </w:r>
          </w:p>
        </w:tc>
        <w:tc>
          <w:tcPr>
            <w:tcW w:w="3260" w:type="dxa"/>
            <w:tcBorders>
              <w:top w:val="nil"/>
              <w:left w:val="nil"/>
              <w:bottom w:val="single" w:sz="8" w:space="0" w:color="auto"/>
              <w:right w:val="single" w:sz="8" w:space="0" w:color="auto"/>
            </w:tcBorders>
            <w:shd w:val="clear" w:color="auto" w:fill="auto"/>
            <w:vAlign w:val="center"/>
            <w:hideMark/>
          </w:tcPr>
          <w:p w14:paraId="0AE8D60B" w14:textId="77777777" w:rsidR="00FD1551" w:rsidRPr="00FD1551" w:rsidRDefault="00FD1551" w:rsidP="00FD1551">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Obrigatório</w:t>
            </w:r>
          </w:p>
        </w:tc>
      </w:tr>
      <w:tr w:rsidR="00FD1551" w:rsidRPr="00FD1551" w14:paraId="12D5E944" w14:textId="77777777" w:rsidTr="00FD1551">
        <w:trPr>
          <w:trHeight w:val="1140"/>
        </w:trPr>
        <w:tc>
          <w:tcPr>
            <w:tcW w:w="3559" w:type="dxa"/>
            <w:tcBorders>
              <w:top w:val="nil"/>
              <w:left w:val="single" w:sz="8" w:space="0" w:color="auto"/>
              <w:bottom w:val="single" w:sz="8" w:space="0" w:color="auto"/>
              <w:right w:val="single" w:sz="8" w:space="0" w:color="auto"/>
            </w:tcBorders>
            <w:shd w:val="clear" w:color="auto" w:fill="auto"/>
            <w:vAlign w:val="center"/>
            <w:hideMark/>
          </w:tcPr>
          <w:p w14:paraId="30B855DF" w14:textId="77777777" w:rsidR="00FD1551" w:rsidRPr="00FD1551" w:rsidRDefault="00FD1551" w:rsidP="00FD1551">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lastRenderedPageBreak/>
              <w:t>Natureza do Saldo Final</w:t>
            </w:r>
          </w:p>
        </w:tc>
        <w:tc>
          <w:tcPr>
            <w:tcW w:w="1276" w:type="dxa"/>
            <w:tcBorders>
              <w:top w:val="nil"/>
              <w:left w:val="nil"/>
              <w:bottom w:val="single" w:sz="8" w:space="0" w:color="auto"/>
              <w:right w:val="single" w:sz="8" w:space="0" w:color="auto"/>
            </w:tcBorders>
            <w:shd w:val="clear" w:color="auto" w:fill="auto"/>
            <w:vAlign w:val="center"/>
            <w:hideMark/>
          </w:tcPr>
          <w:p w14:paraId="2AC32601"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Caracter</w:t>
            </w:r>
          </w:p>
        </w:tc>
        <w:tc>
          <w:tcPr>
            <w:tcW w:w="1134" w:type="dxa"/>
            <w:tcBorders>
              <w:top w:val="nil"/>
              <w:left w:val="nil"/>
              <w:bottom w:val="single" w:sz="8" w:space="0" w:color="auto"/>
              <w:right w:val="single" w:sz="8" w:space="0" w:color="auto"/>
            </w:tcBorders>
            <w:shd w:val="clear" w:color="auto" w:fill="auto"/>
            <w:vAlign w:val="center"/>
            <w:hideMark/>
          </w:tcPr>
          <w:p w14:paraId="1B95AD9C"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1</w:t>
            </w:r>
          </w:p>
        </w:tc>
        <w:tc>
          <w:tcPr>
            <w:tcW w:w="3260" w:type="dxa"/>
            <w:tcBorders>
              <w:top w:val="nil"/>
              <w:left w:val="nil"/>
              <w:bottom w:val="single" w:sz="8" w:space="0" w:color="auto"/>
              <w:right w:val="single" w:sz="8" w:space="0" w:color="auto"/>
            </w:tcBorders>
            <w:shd w:val="clear" w:color="auto" w:fill="auto"/>
            <w:vAlign w:val="center"/>
            <w:hideMark/>
          </w:tcPr>
          <w:p w14:paraId="58320AD1" w14:textId="77777777" w:rsidR="00FD1551" w:rsidRPr="00FD1551" w:rsidRDefault="00FD1551" w:rsidP="00FD1551">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Obrigatório</w:t>
            </w:r>
            <w:r w:rsidRPr="00FD1551">
              <w:rPr>
                <w:rFonts w:ascii="Arial" w:eastAsia="Times New Roman" w:hAnsi="Arial" w:cs="Arial"/>
                <w:sz w:val="20"/>
                <w:szCs w:val="20"/>
                <w:lang w:eastAsia="pt-BR"/>
              </w:rPr>
              <w:br/>
              <w:t>Deve ser:</w:t>
            </w:r>
            <w:r w:rsidRPr="00FD1551">
              <w:rPr>
                <w:rFonts w:ascii="Arial" w:eastAsia="Times New Roman" w:hAnsi="Arial" w:cs="Arial"/>
                <w:sz w:val="20"/>
                <w:szCs w:val="20"/>
                <w:lang w:eastAsia="pt-BR"/>
              </w:rPr>
              <w:br/>
            </w:r>
            <w:r w:rsidRPr="00FD1551">
              <w:rPr>
                <w:rFonts w:ascii="Arial" w:eastAsia="Times New Roman" w:hAnsi="Arial" w:cs="Arial"/>
                <w:b/>
                <w:bCs/>
                <w:sz w:val="20"/>
                <w:szCs w:val="20"/>
                <w:lang w:eastAsia="pt-BR"/>
              </w:rPr>
              <w:t>D - p/ saldo Devedor</w:t>
            </w:r>
            <w:r w:rsidRPr="00FD1551">
              <w:rPr>
                <w:rFonts w:ascii="Arial" w:eastAsia="Times New Roman" w:hAnsi="Arial" w:cs="Arial"/>
                <w:sz w:val="20"/>
                <w:szCs w:val="20"/>
                <w:lang w:eastAsia="pt-BR"/>
              </w:rPr>
              <w:br/>
            </w:r>
            <w:r w:rsidRPr="00FD1551">
              <w:rPr>
                <w:rFonts w:ascii="Arial" w:eastAsia="Times New Roman" w:hAnsi="Arial" w:cs="Arial"/>
                <w:b/>
                <w:bCs/>
                <w:sz w:val="20"/>
                <w:szCs w:val="20"/>
                <w:lang w:eastAsia="pt-BR"/>
              </w:rPr>
              <w:t>C - p/ saldo credor</w:t>
            </w:r>
            <w:r w:rsidRPr="00FD1551">
              <w:rPr>
                <w:rFonts w:ascii="Arial" w:eastAsia="Times New Roman" w:hAnsi="Arial" w:cs="Arial"/>
                <w:sz w:val="20"/>
                <w:szCs w:val="20"/>
                <w:lang w:eastAsia="pt-BR"/>
              </w:rPr>
              <w:t>.</w:t>
            </w:r>
          </w:p>
        </w:tc>
      </w:tr>
    </w:tbl>
    <w:p w14:paraId="33629A6A" w14:textId="77777777" w:rsidR="00FD1551" w:rsidRPr="007F29D2" w:rsidRDefault="00FD1551" w:rsidP="00FD1551">
      <w:pPr>
        <w:spacing w:before="120" w:after="0" w:line="240" w:lineRule="auto"/>
        <w:ind w:right="-34"/>
        <w:jc w:val="both"/>
        <w:rPr>
          <w:rFonts w:ascii="Arial" w:eastAsia="Times New Roman" w:hAnsi="Arial" w:cs="Arial"/>
          <w:sz w:val="18"/>
          <w:szCs w:val="18"/>
          <w:lang w:eastAsia="pt-BR"/>
        </w:rPr>
      </w:pPr>
      <w:r w:rsidRPr="007F29D2">
        <w:rPr>
          <w:rFonts w:ascii="Arial" w:eastAsia="Times New Roman" w:hAnsi="Arial" w:cs="Arial"/>
          <w:sz w:val="18"/>
          <w:szCs w:val="18"/>
          <w:lang w:eastAsia="pt-BR"/>
        </w:rPr>
        <w:t xml:space="preserve">[1] Quando a Prestação de Contas se referir a Contas de Gestão, o Código da Unidade Gestora deverá ser o mesmo da UG que estiver prestando contas. </w:t>
      </w:r>
    </w:p>
    <w:p w14:paraId="68CA9DA3" w14:textId="77777777" w:rsidR="00FD1551" w:rsidRPr="007F29D2" w:rsidRDefault="00FD1551" w:rsidP="00FD1551">
      <w:pPr>
        <w:spacing w:after="0" w:line="240" w:lineRule="auto"/>
        <w:ind w:right="-1"/>
        <w:jc w:val="both"/>
        <w:rPr>
          <w:rFonts w:ascii="Arial" w:hAnsi="Arial" w:cs="Arial"/>
          <w:sz w:val="18"/>
          <w:szCs w:val="18"/>
        </w:rPr>
      </w:pPr>
      <w:r w:rsidRPr="007F29D2">
        <w:rPr>
          <w:rFonts w:ascii="Arial" w:hAnsi="Arial" w:cs="Arial"/>
          <w:sz w:val="18"/>
          <w:szCs w:val="18"/>
        </w:rPr>
        <w:t>[2] Deverão ser informados todos os códigos contábeis do Plano de Contas TCEES (contas contábeis que recebem lançamento), utilizados pelas Unidades Gestoras do Município.</w:t>
      </w:r>
    </w:p>
    <w:p w14:paraId="400E5AD8" w14:textId="77777777" w:rsidR="00FD1551" w:rsidRPr="007F29D2" w:rsidRDefault="00FD1551" w:rsidP="00FD1551">
      <w:pPr>
        <w:jc w:val="both"/>
        <w:rPr>
          <w:rFonts w:ascii="Arial" w:hAnsi="Arial" w:cs="Arial"/>
          <w:sz w:val="18"/>
          <w:szCs w:val="18"/>
          <w:lang w:eastAsia="pt-BR"/>
        </w:rPr>
      </w:pPr>
      <w:r w:rsidRPr="007F29D2">
        <w:rPr>
          <w:rFonts w:ascii="Arial" w:hAnsi="Arial" w:cs="Arial"/>
          <w:sz w:val="18"/>
          <w:szCs w:val="18"/>
        </w:rPr>
        <w:t>[3] Obrigatório para contas classes 1 - Ativo e 2 - Passivo conforme Plano de Contas TCEES. As contas com o Indicador de Superávit Financeiro X, poderão ser “F” (Financeiro) ou “P” (Permanente).</w:t>
      </w:r>
    </w:p>
    <w:p w14:paraId="01BFE824" w14:textId="77777777" w:rsidR="00FD1551" w:rsidRPr="007F29D2" w:rsidRDefault="00FD1551" w:rsidP="00FD1551">
      <w:pPr>
        <w:tabs>
          <w:tab w:val="left" w:pos="1134"/>
        </w:tabs>
        <w:spacing w:after="0" w:line="360" w:lineRule="auto"/>
        <w:jc w:val="both"/>
        <w:rPr>
          <w:rFonts w:ascii="Arial" w:hAnsi="Arial" w:cs="Arial"/>
          <w:b/>
          <w:bCs/>
          <w:i/>
          <w:iCs/>
          <w:sz w:val="18"/>
          <w:szCs w:val="18"/>
        </w:rPr>
      </w:pPr>
      <w:r w:rsidRPr="007F29D2">
        <w:rPr>
          <w:rFonts w:ascii="Arial" w:hAnsi="Arial" w:cs="Arial"/>
          <w:b/>
          <w:bCs/>
          <w:i/>
          <w:iCs/>
          <w:sz w:val="18"/>
          <w:szCs w:val="18"/>
        </w:rPr>
        <w:t>Observações:</w:t>
      </w:r>
    </w:p>
    <w:p w14:paraId="3A394E1F" w14:textId="77777777" w:rsidR="00FD1551" w:rsidRPr="007F29D2" w:rsidRDefault="00FD1551" w:rsidP="00FD1551">
      <w:pPr>
        <w:overflowPunct w:val="0"/>
        <w:autoSpaceDE w:val="0"/>
        <w:autoSpaceDN w:val="0"/>
        <w:adjustRightInd w:val="0"/>
        <w:spacing w:after="0" w:line="240" w:lineRule="auto"/>
        <w:jc w:val="both"/>
        <w:textAlignment w:val="baseline"/>
        <w:rPr>
          <w:rFonts w:ascii="Arial" w:eastAsia="Times New Roman" w:hAnsi="Arial" w:cs="Arial"/>
          <w:sz w:val="18"/>
          <w:szCs w:val="18"/>
          <w:lang w:eastAsia="pt-BR"/>
        </w:rPr>
      </w:pPr>
      <w:r w:rsidRPr="007F29D2">
        <w:rPr>
          <w:rFonts w:ascii="Arial" w:eastAsia="Times New Roman" w:hAnsi="Arial" w:cs="Arial"/>
          <w:sz w:val="18"/>
          <w:szCs w:val="18"/>
          <w:lang w:eastAsia="pt-BR"/>
        </w:rPr>
        <w:t>1- Deverão ser informados, neste arquivo, apenas os códigos contábeis analíticos (contas de lançamento) do Plano de Contas do TCEES (CidadES).</w:t>
      </w:r>
    </w:p>
    <w:p w14:paraId="4376D913" w14:textId="77777777" w:rsidR="00FD1551" w:rsidRPr="007F29D2" w:rsidRDefault="00FD1551" w:rsidP="00FD1551">
      <w:pPr>
        <w:overflowPunct w:val="0"/>
        <w:autoSpaceDE w:val="0"/>
        <w:autoSpaceDN w:val="0"/>
        <w:adjustRightInd w:val="0"/>
        <w:spacing w:after="0" w:line="240" w:lineRule="auto"/>
        <w:jc w:val="both"/>
        <w:textAlignment w:val="baseline"/>
        <w:rPr>
          <w:rFonts w:ascii="Arial" w:eastAsia="Times New Roman" w:hAnsi="Arial" w:cs="Arial"/>
          <w:sz w:val="18"/>
          <w:szCs w:val="18"/>
          <w:lang w:eastAsia="pt-BR"/>
        </w:rPr>
      </w:pPr>
      <w:r w:rsidRPr="007F29D2">
        <w:rPr>
          <w:rFonts w:ascii="Arial" w:eastAsia="Times New Roman" w:hAnsi="Arial" w:cs="Arial"/>
          <w:sz w:val="18"/>
          <w:szCs w:val="18"/>
          <w:lang w:eastAsia="pt-BR"/>
        </w:rPr>
        <w:t>2- O Saldo Inicial de cada Código Contábil deve ser igual ao Saldo Final do mesmo Código Contábil informado no exercício anterior;</w:t>
      </w:r>
    </w:p>
    <w:p w14:paraId="41728844" w14:textId="77777777" w:rsidR="00FD1551" w:rsidRPr="007F29D2" w:rsidRDefault="00FD1551" w:rsidP="00FD1551">
      <w:pPr>
        <w:overflowPunct w:val="0"/>
        <w:autoSpaceDE w:val="0"/>
        <w:autoSpaceDN w:val="0"/>
        <w:adjustRightInd w:val="0"/>
        <w:spacing w:after="0" w:line="240" w:lineRule="auto"/>
        <w:jc w:val="both"/>
        <w:textAlignment w:val="baseline"/>
        <w:rPr>
          <w:rFonts w:ascii="Arial" w:eastAsia="Times New Roman" w:hAnsi="Arial" w:cs="Arial"/>
          <w:sz w:val="18"/>
          <w:szCs w:val="18"/>
          <w:lang w:eastAsia="pt-BR"/>
        </w:rPr>
      </w:pPr>
      <w:r w:rsidRPr="007F29D2">
        <w:rPr>
          <w:rFonts w:ascii="Arial" w:eastAsia="Times New Roman" w:hAnsi="Arial" w:cs="Arial"/>
          <w:sz w:val="18"/>
          <w:szCs w:val="18"/>
          <w:lang w:eastAsia="pt-BR"/>
        </w:rPr>
        <w:t>3- Se a Conta Contábil possuir Saldo Inicial diferente de zero, mesmo não tendo sido movimentada no exercício de referência, os dados deverão ser informados no Balancete de Verificação;</w:t>
      </w:r>
    </w:p>
    <w:p w14:paraId="61E274CA" w14:textId="77777777" w:rsidR="00FD1551" w:rsidRPr="007F29D2" w:rsidRDefault="00FD1551" w:rsidP="00FD1551">
      <w:pPr>
        <w:overflowPunct w:val="0"/>
        <w:autoSpaceDE w:val="0"/>
        <w:autoSpaceDN w:val="0"/>
        <w:adjustRightInd w:val="0"/>
        <w:spacing w:after="0" w:line="240" w:lineRule="auto"/>
        <w:jc w:val="both"/>
        <w:textAlignment w:val="baseline"/>
        <w:rPr>
          <w:rFonts w:ascii="Arial" w:eastAsia="Times New Roman" w:hAnsi="Arial" w:cs="Arial"/>
          <w:sz w:val="18"/>
          <w:szCs w:val="18"/>
          <w:lang w:eastAsia="pt-BR"/>
        </w:rPr>
      </w:pPr>
      <w:r w:rsidRPr="007F29D2">
        <w:rPr>
          <w:rFonts w:ascii="Arial" w:eastAsia="Times New Roman" w:hAnsi="Arial" w:cs="Arial"/>
          <w:sz w:val="18"/>
          <w:szCs w:val="18"/>
          <w:lang w:eastAsia="pt-BR"/>
        </w:rPr>
        <w:t>4- Todas as contas contábeis que apresentarem movimentação no exercício, independente de saldo inicial ou final, deverão ser informadas no Balancete de Verificação;</w:t>
      </w:r>
    </w:p>
    <w:p w14:paraId="47A74C4A" w14:textId="77777777" w:rsidR="00FD1551" w:rsidRPr="007F29D2" w:rsidRDefault="00FD1551" w:rsidP="00FD1551">
      <w:pPr>
        <w:rPr>
          <w:rFonts w:ascii="Arial" w:eastAsia="Times New Roman" w:hAnsi="Arial" w:cs="Arial"/>
          <w:sz w:val="18"/>
          <w:szCs w:val="18"/>
          <w:lang w:eastAsia="pt-BR"/>
        </w:rPr>
      </w:pPr>
      <w:r w:rsidRPr="007F29D2">
        <w:rPr>
          <w:rFonts w:ascii="Arial" w:eastAsia="Times New Roman" w:hAnsi="Arial" w:cs="Arial"/>
          <w:sz w:val="18"/>
          <w:szCs w:val="18"/>
          <w:lang w:eastAsia="pt-BR"/>
        </w:rPr>
        <w:t>5- Os valores informados serão àqueles verificados após o e</w:t>
      </w:r>
      <w:r w:rsidR="00BD4EA9" w:rsidRPr="007F29D2">
        <w:rPr>
          <w:rFonts w:ascii="Arial" w:eastAsia="Times New Roman" w:hAnsi="Arial" w:cs="Arial"/>
          <w:sz w:val="18"/>
          <w:szCs w:val="18"/>
          <w:lang w:eastAsia="pt-BR"/>
        </w:rPr>
        <w:t>ncerramento do exercício (mês 13)</w:t>
      </w:r>
      <w:r w:rsidRPr="007F29D2">
        <w:rPr>
          <w:rFonts w:ascii="Arial" w:eastAsia="Times New Roman" w:hAnsi="Arial" w:cs="Arial"/>
          <w:sz w:val="18"/>
          <w:szCs w:val="18"/>
          <w:lang w:eastAsia="pt-BR"/>
        </w:rPr>
        <w:t>.</w:t>
      </w:r>
    </w:p>
    <w:p w14:paraId="782683BA" w14:textId="77777777" w:rsidR="00BD4EA9" w:rsidRDefault="00BD4EA9" w:rsidP="00FD1551">
      <w:pPr>
        <w:rPr>
          <w:rFonts w:ascii="Arial" w:eastAsia="Times New Roman" w:hAnsi="Arial" w:cs="Arial"/>
          <w:sz w:val="20"/>
          <w:szCs w:val="20"/>
          <w:lang w:eastAsia="pt-BR"/>
        </w:rPr>
      </w:pPr>
    </w:p>
    <w:p w14:paraId="78987665" w14:textId="77777777" w:rsidR="00054BA2" w:rsidRDefault="00054BA2" w:rsidP="00FD1551">
      <w:pPr>
        <w:rPr>
          <w:rFonts w:ascii="Arial" w:eastAsia="Times New Roman" w:hAnsi="Arial" w:cs="Arial"/>
          <w:sz w:val="20"/>
          <w:szCs w:val="20"/>
          <w:lang w:eastAsia="pt-BR"/>
        </w:rPr>
      </w:pPr>
    </w:p>
    <w:p w14:paraId="0C02FC67" w14:textId="713D08A6" w:rsidR="00BD4EA9" w:rsidRPr="007F29D2" w:rsidRDefault="00BD4EA9" w:rsidP="00A60EA7">
      <w:pPr>
        <w:pStyle w:val="Ttulo3"/>
      </w:pPr>
      <w:bookmarkStart w:id="47" w:name="_Toc94806323"/>
      <w:r w:rsidRPr="007F29D2">
        <w:t>BALVERF_E.XML (ou BalanceteVerificacaoEstado.xml)</w:t>
      </w:r>
      <w:bookmarkEnd w:id="47"/>
    </w:p>
    <w:p w14:paraId="6999AAB2" w14:textId="6F581E47" w:rsidR="00BD4EA9" w:rsidRPr="007F29D2" w:rsidRDefault="00BD4EA9" w:rsidP="00BD4EA9">
      <w:pPr>
        <w:spacing w:after="0" w:line="360" w:lineRule="auto"/>
        <w:jc w:val="both"/>
        <w:rPr>
          <w:rFonts w:ascii="Arial" w:hAnsi="Arial"/>
        </w:rPr>
      </w:pPr>
      <w:r w:rsidRPr="007F29D2">
        <w:rPr>
          <w:rFonts w:ascii="Arial" w:hAnsi="Arial"/>
          <w:b/>
          <w:bCs/>
        </w:rPr>
        <w:t>Descrição: </w:t>
      </w:r>
      <w:r w:rsidRPr="007F29D2">
        <w:rPr>
          <w:rFonts w:ascii="Arial" w:eastAsia="Times New Roman" w:hAnsi="Arial" w:cs="Arial"/>
          <w:lang w:eastAsia="pt-BR"/>
        </w:rPr>
        <w:t>Este arquivo conterá as movimentações contábeis de cada unidade gestora ocorridas durante o exercício.</w:t>
      </w:r>
    </w:p>
    <w:p w14:paraId="4736601B" w14:textId="77777777" w:rsidR="00BD4EA9" w:rsidRPr="007F29D2" w:rsidRDefault="00BD4EA9" w:rsidP="00BD4EA9">
      <w:pPr>
        <w:autoSpaceDE w:val="0"/>
        <w:autoSpaceDN w:val="0"/>
        <w:adjustRightInd w:val="0"/>
        <w:spacing w:after="0" w:line="240" w:lineRule="auto"/>
        <w:jc w:val="both"/>
        <w:rPr>
          <w:rFonts w:ascii="Arial" w:hAnsi="Arial"/>
          <w:b/>
          <w:bCs/>
        </w:rPr>
      </w:pPr>
    </w:p>
    <w:p w14:paraId="0C11C5CD" w14:textId="77777777" w:rsidR="00BD4EA9" w:rsidRPr="007F29D2" w:rsidRDefault="00BD4EA9" w:rsidP="00BD4EA9">
      <w:pPr>
        <w:autoSpaceDE w:val="0"/>
        <w:autoSpaceDN w:val="0"/>
        <w:adjustRightInd w:val="0"/>
        <w:spacing w:after="0" w:line="240" w:lineRule="auto"/>
        <w:jc w:val="both"/>
        <w:rPr>
          <w:rFonts w:ascii="Arial" w:hAnsi="Arial"/>
          <w:b/>
          <w:bCs/>
        </w:rPr>
      </w:pPr>
      <w:r w:rsidRPr="007F29D2">
        <w:rPr>
          <w:rFonts w:ascii="Arial" w:hAnsi="Arial"/>
          <w:b/>
          <w:bCs/>
        </w:rPr>
        <w:t>Estrutura:</w:t>
      </w:r>
    </w:p>
    <w:p w14:paraId="20DE02B8" w14:textId="77777777" w:rsidR="00BD4EA9" w:rsidRPr="007F29D2" w:rsidRDefault="00BD4EA9" w:rsidP="00BD4EA9">
      <w:pPr>
        <w:tabs>
          <w:tab w:val="left" w:pos="8475"/>
          <w:tab w:val="left" w:pos="10235"/>
          <w:tab w:val="left" w:pos="12095"/>
        </w:tabs>
        <w:spacing w:after="0" w:line="240" w:lineRule="auto"/>
        <w:rPr>
          <w:rFonts w:ascii="Arial" w:eastAsia="Times New Roman" w:hAnsi="Arial" w:cs="Arial"/>
          <w:sz w:val="20"/>
          <w:szCs w:val="20"/>
          <w:lang w:eastAsia="pt-BR"/>
        </w:rPr>
      </w:pPr>
      <w:r w:rsidRPr="007F29D2">
        <w:rPr>
          <w:rFonts w:ascii="Arial" w:eastAsia="Times New Roman" w:hAnsi="Arial" w:cs="Arial"/>
          <w:sz w:val="20"/>
          <w:szCs w:val="20"/>
          <w:lang w:eastAsia="pt-BR"/>
        </w:rPr>
        <w:t>&lt;?xml version="1.0" encoding=“UTF-8”?&gt;</w:t>
      </w:r>
      <w:r w:rsidRPr="007F29D2">
        <w:rPr>
          <w:rFonts w:ascii="Arial" w:eastAsia="Times New Roman" w:hAnsi="Arial" w:cs="Arial"/>
          <w:sz w:val="20"/>
          <w:szCs w:val="20"/>
          <w:lang w:eastAsia="pt-BR"/>
        </w:rPr>
        <w:tab/>
      </w:r>
    </w:p>
    <w:p w14:paraId="001B1DFF" w14:textId="77777777" w:rsidR="00BD4EA9" w:rsidRPr="007F29D2" w:rsidRDefault="00BD4EA9" w:rsidP="00BD4EA9">
      <w:pPr>
        <w:tabs>
          <w:tab w:val="left" w:pos="8475"/>
          <w:tab w:val="left" w:pos="10235"/>
          <w:tab w:val="left" w:pos="12095"/>
        </w:tabs>
        <w:spacing w:after="0" w:line="240" w:lineRule="auto"/>
        <w:rPr>
          <w:rFonts w:ascii="Arial" w:eastAsia="Times New Roman" w:hAnsi="Arial" w:cs="Arial"/>
          <w:sz w:val="20"/>
          <w:szCs w:val="20"/>
          <w:lang w:eastAsia="pt-BR"/>
        </w:rPr>
      </w:pPr>
      <w:r w:rsidRPr="007F29D2">
        <w:rPr>
          <w:rFonts w:ascii="Arial" w:eastAsia="Times New Roman" w:hAnsi="Arial" w:cs="Arial"/>
          <w:sz w:val="20"/>
          <w:szCs w:val="20"/>
          <w:lang w:eastAsia="pt-BR"/>
        </w:rPr>
        <w:t>&lt;PrestacaoContasAnual&gt;</w:t>
      </w:r>
      <w:r w:rsidRPr="007F29D2">
        <w:rPr>
          <w:rFonts w:ascii="Arial" w:eastAsia="Times New Roman" w:hAnsi="Arial" w:cs="Arial"/>
          <w:sz w:val="20"/>
          <w:szCs w:val="20"/>
          <w:lang w:eastAsia="pt-BR"/>
        </w:rPr>
        <w:tab/>
      </w:r>
    </w:p>
    <w:p w14:paraId="2B5A6840" w14:textId="77777777" w:rsidR="00BD4EA9" w:rsidRPr="007F29D2" w:rsidRDefault="00BD4EA9" w:rsidP="00BD4EA9">
      <w:pPr>
        <w:tabs>
          <w:tab w:val="left" w:pos="8475"/>
          <w:tab w:val="left" w:pos="10235"/>
          <w:tab w:val="left" w:pos="12095"/>
        </w:tabs>
        <w:spacing w:after="0" w:line="240" w:lineRule="auto"/>
        <w:ind w:left="567"/>
        <w:rPr>
          <w:rFonts w:ascii="Arial" w:eastAsia="Times New Roman" w:hAnsi="Arial" w:cs="Arial"/>
          <w:sz w:val="20"/>
          <w:szCs w:val="20"/>
          <w:lang w:eastAsia="pt-BR"/>
        </w:rPr>
      </w:pPr>
      <w:r w:rsidRPr="007F29D2">
        <w:rPr>
          <w:rFonts w:ascii="Arial" w:eastAsia="Times New Roman" w:hAnsi="Arial" w:cs="Arial"/>
          <w:sz w:val="20"/>
          <w:szCs w:val="20"/>
          <w:lang w:eastAsia="pt-BR"/>
        </w:rPr>
        <w:t>&lt;BalanceteVerificacaoEstado_Schema&gt;</w:t>
      </w:r>
      <w:r w:rsidRPr="007F29D2">
        <w:rPr>
          <w:rFonts w:ascii="Arial" w:eastAsia="Times New Roman" w:hAnsi="Arial" w:cs="Arial"/>
          <w:sz w:val="20"/>
          <w:szCs w:val="20"/>
          <w:lang w:eastAsia="pt-BR"/>
        </w:rPr>
        <w:tab/>
      </w:r>
    </w:p>
    <w:p w14:paraId="465E23F6" w14:textId="77777777" w:rsidR="00BD4EA9" w:rsidRPr="007F29D2" w:rsidRDefault="00BD4EA9" w:rsidP="00BD4EA9">
      <w:pPr>
        <w:tabs>
          <w:tab w:val="left" w:pos="8475"/>
          <w:tab w:val="left" w:pos="10235"/>
          <w:tab w:val="left" w:pos="12095"/>
        </w:tabs>
        <w:spacing w:after="0" w:line="240" w:lineRule="auto"/>
        <w:ind w:left="1134"/>
        <w:rPr>
          <w:rFonts w:ascii="Arial" w:eastAsia="Times New Roman" w:hAnsi="Arial" w:cs="Arial"/>
          <w:sz w:val="20"/>
          <w:szCs w:val="20"/>
          <w:lang w:eastAsia="pt-BR"/>
        </w:rPr>
      </w:pPr>
      <w:r w:rsidRPr="007F29D2">
        <w:rPr>
          <w:rFonts w:ascii="Arial" w:eastAsia="Times New Roman" w:hAnsi="Arial" w:cs="Arial"/>
          <w:sz w:val="20"/>
          <w:szCs w:val="20"/>
          <w:lang w:eastAsia="pt-BR"/>
        </w:rPr>
        <w:t>&lt;BalanceteVerificacaoEstado&gt;</w:t>
      </w:r>
      <w:r w:rsidRPr="007F29D2">
        <w:rPr>
          <w:rFonts w:ascii="Arial" w:eastAsia="Times New Roman" w:hAnsi="Arial" w:cs="Arial"/>
          <w:sz w:val="20"/>
          <w:szCs w:val="20"/>
          <w:lang w:eastAsia="pt-BR"/>
        </w:rPr>
        <w:tab/>
      </w:r>
    </w:p>
    <w:p w14:paraId="24966BE3" w14:textId="77777777" w:rsidR="00BD4EA9" w:rsidRPr="007F29D2" w:rsidRDefault="00BD4EA9" w:rsidP="00BD4EA9">
      <w:pPr>
        <w:tabs>
          <w:tab w:val="left" w:pos="8475"/>
          <w:tab w:val="left" w:pos="10235"/>
          <w:tab w:val="left" w:pos="12095"/>
        </w:tabs>
        <w:spacing w:after="0" w:line="240" w:lineRule="auto"/>
        <w:ind w:left="1134"/>
        <w:rPr>
          <w:rFonts w:ascii="Arial" w:eastAsia="Times New Roman" w:hAnsi="Arial" w:cs="Arial"/>
          <w:sz w:val="20"/>
          <w:szCs w:val="20"/>
          <w:lang w:eastAsia="pt-BR"/>
        </w:rPr>
      </w:pPr>
      <w:r w:rsidRPr="007F29D2">
        <w:rPr>
          <w:rFonts w:ascii="Arial" w:eastAsia="Times New Roman" w:hAnsi="Arial" w:cs="Arial"/>
          <w:sz w:val="20"/>
          <w:szCs w:val="20"/>
          <w:lang w:eastAsia="pt-BR"/>
        </w:rPr>
        <w:t>&lt;IdNumRegistro&gt;</w:t>
      </w:r>
      <w:r w:rsidRPr="007F29D2">
        <w:rPr>
          <w:rFonts w:ascii="Arial" w:eastAsia="Times New Roman" w:hAnsi="Arial" w:cs="Arial"/>
          <w:b/>
          <w:sz w:val="20"/>
          <w:szCs w:val="20"/>
          <w:lang w:eastAsia="pt-BR"/>
        </w:rPr>
        <w:t>99999</w:t>
      </w:r>
      <w:r w:rsidRPr="007F29D2">
        <w:rPr>
          <w:rFonts w:ascii="Arial" w:eastAsia="Times New Roman" w:hAnsi="Arial" w:cs="Arial"/>
          <w:sz w:val="20"/>
          <w:szCs w:val="20"/>
          <w:lang w:eastAsia="pt-BR"/>
        </w:rPr>
        <w:t>&lt;/IdNumRegistro&gt;</w:t>
      </w:r>
      <w:r w:rsidRPr="007F29D2">
        <w:rPr>
          <w:rFonts w:ascii="Arial" w:eastAsia="Times New Roman" w:hAnsi="Arial" w:cs="Arial"/>
          <w:sz w:val="20"/>
          <w:szCs w:val="20"/>
          <w:lang w:eastAsia="pt-BR"/>
        </w:rPr>
        <w:tab/>
      </w:r>
    </w:p>
    <w:p w14:paraId="39B59CF0" w14:textId="77777777" w:rsidR="00BD4EA9" w:rsidRPr="007F29D2" w:rsidRDefault="00BD4EA9" w:rsidP="00BD4EA9">
      <w:pPr>
        <w:tabs>
          <w:tab w:val="left" w:pos="12095"/>
        </w:tabs>
        <w:spacing w:after="0" w:line="240" w:lineRule="auto"/>
        <w:ind w:left="1134"/>
        <w:rPr>
          <w:rFonts w:ascii="Arial" w:eastAsia="Times New Roman" w:hAnsi="Arial" w:cs="Arial"/>
          <w:sz w:val="20"/>
          <w:szCs w:val="20"/>
          <w:lang w:eastAsia="pt-BR"/>
        </w:rPr>
      </w:pPr>
      <w:r w:rsidRPr="007F29D2">
        <w:rPr>
          <w:rFonts w:ascii="Arial" w:eastAsia="Times New Roman" w:hAnsi="Arial" w:cs="Arial"/>
          <w:sz w:val="20"/>
          <w:szCs w:val="20"/>
          <w:lang w:eastAsia="pt-BR"/>
        </w:rPr>
        <w:t>&lt;CodigoUnidadeGestora&gt;</w:t>
      </w:r>
      <w:r w:rsidRPr="007F29D2">
        <w:rPr>
          <w:rFonts w:ascii="Arial" w:eastAsia="Times New Roman" w:hAnsi="Arial" w:cs="Arial"/>
          <w:b/>
          <w:sz w:val="20"/>
          <w:szCs w:val="20"/>
          <w:lang w:eastAsia="pt-BR"/>
        </w:rPr>
        <w:t>XXXXXXXXXXX</w:t>
      </w:r>
      <w:r w:rsidRPr="007F29D2">
        <w:rPr>
          <w:rFonts w:ascii="Arial" w:eastAsia="Times New Roman" w:hAnsi="Arial" w:cs="Arial"/>
          <w:sz w:val="20"/>
          <w:szCs w:val="20"/>
          <w:lang w:eastAsia="pt-BR"/>
        </w:rPr>
        <w:t>&lt;/CodigoUnidadeGestora&gt;</w:t>
      </w:r>
    </w:p>
    <w:p w14:paraId="075262E1" w14:textId="77777777" w:rsidR="00BD4EA9" w:rsidRPr="007F29D2" w:rsidRDefault="00BD4EA9" w:rsidP="00BD4EA9">
      <w:pPr>
        <w:tabs>
          <w:tab w:val="left" w:pos="12095"/>
        </w:tabs>
        <w:spacing w:after="0" w:line="240" w:lineRule="auto"/>
        <w:ind w:left="1134"/>
        <w:rPr>
          <w:rFonts w:ascii="Arial" w:eastAsia="Times New Roman" w:hAnsi="Arial" w:cs="Arial"/>
          <w:sz w:val="20"/>
          <w:szCs w:val="20"/>
          <w:lang w:eastAsia="pt-BR"/>
        </w:rPr>
      </w:pPr>
      <w:r w:rsidRPr="0073506E">
        <w:rPr>
          <w:rFonts w:ascii="Arial" w:eastAsia="Times New Roman" w:hAnsi="Arial" w:cs="Arial"/>
          <w:sz w:val="20"/>
          <w:szCs w:val="20"/>
          <w:lang w:eastAsia="pt-BR"/>
        </w:rPr>
        <w:t>&lt;MesReferencia&gt;</w:t>
      </w:r>
      <w:r w:rsidR="00D80562" w:rsidRPr="0073506E">
        <w:rPr>
          <w:rFonts w:ascii="Arial" w:eastAsia="Times New Roman" w:hAnsi="Arial" w:cs="Arial"/>
          <w:b/>
          <w:sz w:val="20"/>
          <w:szCs w:val="20"/>
          <w:lang w:eastAsia="pt-BR"/>
        </w:rPr>
        <w:t>9</w:t>
      </w:r>
      <w:r w:rsidR="00991018">
        <w:rPr>
          <w:rFonts w:ascii="Arial" w:eastAsia="Times New Roman" w:hAnsi="Arial" w:cs="Arial"/>
          <w:b/>
          <w:sz w:val="20"/>
          <w:szCs w:val="20"/>
          <w:lang w:eastAsia="pt-BR"/>
        </w:rPr>
        <w:t>9</w:t>
      </w:r>
      <w:r w:rsidRPr="0073506E">
        <w:rPr>
          <w:rFonts w:ascii="Arial" w:eastAsia="Times New Roman" w:hAnsi="Arial" w:cs="Arial"/>
          <w:sz w:val="20"/>
          <w:szCs w:val="20"/>
          <w:lang w:eastAsia="pt-BR"/>
        </w:rPr>
        <w:t>&lt;/MesReferencia&gt;</w:t>
      </w:r>
    </w:p>
    <w:p w14:paraId="7EA81459" w14:textId="77777777" w:rsidR="00BD4EA9" w:rsidRPr="007F29D2" w:rsidRDefault="00BD4EA9" w:rsidP="00BD4EA9">
      <w:pPr>
        <w:tabs>
          <w:tab w:val="left" w:pos="8475"/>
          <w:tab w:val="left" w:pos="10235"/>
          <w:tab w:val="left" w:pos="12095"/>
        </w:tabs>
        <w:spacing w:after="0" w:line="240" w:lineRule="auto"/>
        <w:ind w:left="1134"/>
        <w:rPr>
          <w:rFonts w:ascii="Arial" w:eastAsia="Times New Roman" w:hAnsi="Arial" w:cs="Arial"/>
          <w:sz w:val="20"/>
          <w:szCs w:val="20"/>
          <w:lang w:eastAsia="pt-BR"/>
        </w:rPr>
      </w:pPr>
      <w:r w:rsidRPr="007F29D2">
        <w:rPr>
          <w:rFonts w:ascii="Arial" w:eastAsia="Times New Roman" w:hAnsi="Arial" w:cs="Arial"/>
          <w:sz w:val="20"/>
          <w:szCs w:val="20"/>
          <w:lang w:eastAsia="pt-BR"/>
        </w:rPr>
        <w:t>&lt;CodigoContabil&gt;</w:t>
      </w:r>
      <w:r w:rsidRPr="007F29D2">
        <w:rPr>
          <w:rFonts w:ascii="Arial" w:eastAsia="Times New Roman" w:hAnsi="Arial" w:cs="Arial"/>
          <w:b/>
          <w:sz w:val="20"/>
          <w:szCs w:val="20"/>
          <w:lang w:eastAsia="pt-BR"/>
        </w:rPr>
        <w:t>999999999</w:t>
      </w:r>
      <w:r w:rsidRPr="007F29D2">
        <w:rPr>
          <w:rFonts w:ascii="Arial" w:eastAsia="Times New Roman" w:hAnsi="Arial" w:cs="Arial"/>
          <w:sz w:val="20"/>
          <w:szCs w:val="20"/>
          <w:lang w:eastAsia="pt-BR"/>
        </w:rPr>
        <w:t>&lt;/CodigoContabil&gt;</w:t>
      </w:r>
      <w:r w:rsidRPr="007F29D2">
        <w:rPr>
          <w:rFonts w:ascii="Arial" w:eastAsia="Times New Roman" w:hAnsi="Arial" w:cs="Arial"/>
          <w:sz w:val="20"/>
          <w:szCs w:val="20"/>
          <w:lang w:eastAsia="pt-BR"/>
        </w:rPr>
        <w:tab/>
      </w:r>
    </w:p>
    <w:p w14:paraId="11218688" w14:textId="77777777" w:rsidR="00BD4EA9" w:rsidRPr="007F29D2" w:rsidRDefault="00BD4EA9" w:rsidP="00BD4EA9">
      <w:pPr>
        <w:tabs>
          <w:tab w:val="left" w:pos="10235"/>
          <w:tab w:val="left" w:pos="12095"/>
        </w:tabs>
        <w:spacing w:after="0" w:line="240" w:lineRule="auto"/>
        <w:ind w:left="1134"/>
        <w:rPr>
          <w:rFonts w:ascii="Arial" w:eastAsia="Times New Roman" w:hAnsi="Arial" w:cs="Arial"/>
          <w:sz w:val="20"/>
          <w:szCs w:val="20"/>
          <w:lang w:eastAsia="pt-BR"/>
        </w:rPr>
      </w:pPr>
      <w:r w:rsidRPr="007F29D2">
        <w:rPr>
          <w:rFonts w:ascii="Arial" w:eastAsia="Times New Roman" w:hAnsi="Arial" w:cs="Arial"/>
          <w:sz w:val="20"/>
          <w:szCs w:val="20"/>
          <w:lang w:eastAsia="pt-BR"/>
        </w:rPr>
        <w:t>&lt;IndicadorSuperavitFinanceiro&gt;</w:t>
      </w:r>
      <w:r w:rsidRPr="007F29D2">
        <w:rPr>
          <w:rFonts w:ascii="Arial" w:eastAsia="Times New Roman" w:hAnsi="Arial" w:cs="Arial"/>
          <w:b/>
          <w:sz w:val="20"/>
          <w:szCs w:val="20"/>
          <w:lang w:eastAsia="pt-BR"/>
        </w:rPr>
        <w:t>X</w:t>
      </w:r>
      <w:r w:rsidRPr="007F29D2">
        <w:rPr>
          <w:rFonts w:ascii="Arial" w:eastAsia="Times New Roman" w:hAnsi="Arial" w:cs="Arial"/>
          <w:sz w:val="20"/>
          <w:szCs w:val="20"/>
          <w:lang w:eastAsia="pt-BR"/>
        </w:rPr>
        <w:t>&lt;/IndicadorSuperavitFinanceiro&gt;</w:t>
      </w:r>
    </w:p>
    <w:p w14:paraId="4E32CDF9" w14:textId="77777777" w:rsidR="00BD4EA9" w:rsidRPr="007F29D2" w:rsidRDefault="00BD4EA9" w:rsidP="00BD4EA9">
      <w:pPr>
        <w:tabs>
          <w:tab w:val="left" w:pos="8475"/>
          <w:tab w:val="left" w:pos="10235"/>
          <w:tab w:val="left" w:pos="12095"/>
        </w:tabs>
        <w:spacing w:after="0" w:line="240" w:lineRule="auto"/>
        <w:ind w:left="1134"/>
        <w:rPr>
          <w:rFonts w:ascii="Arial" w:eastAsia="Times New Roman" w:hAnsi="Arial" w:cs="Arial"/>
          <w:sz w:val="20"/>
          <w:szCs w:val="20"/>
          <w:lang w:eastAsia="pt-BR"/>
        </w:rPr>
      </w:pPr>
      <w:r w:rsidRPr="007F29D2">
        <w:rPr>
          <w:rFonts w:ascii="Arial" w:eastAsia="Times New Roman" w:hAnsi="Arial" w:cs="Arial"/>
          <w:sz w:val="20"/>
          <w:szCs w:val="20"/>
          <w:lang w:eastAsia="pt-BR"/>
        </w:rPr>
        <w:t>&lt;SaldoInicial&gt;</w:t>
      </w:r>
      <w:r w:rsidRPr="007F29D2">
        <w:rPr>
          <w:rFonts w:ascii="Arial" w:eastAsia="Times New Roman" w:hAnsi="Arial" w:cs="Arial"/>
          <w:b/>
          <w:sz w:val="20"/>
          <w:szCs w:val="20"/>
          <w:lang w:eastAsia="pt-BR"/>
        </w:rPr>
        <w:t>99999999999999.99</w:t>
      </w:r>
      <w:r w:rsidRPr="007F29D2">
        <w:rPr>
          <w:rFonts w:ascii="Arial" w:eastAsia="Times New Roman" w:hAnsi="Arial" w:cs="Arial"/>
          <w:sz w:val="20"/>
          <w:szCs w:val="20"/>
          <w:lang w:eastAsia="pt-BR"/>
        </w:rPr>
        <w:t>&lt;/SaldoInicial&gt;</w:t>
      </w:r>
      <w:r w:rsidRPr="007F29D2">
        <w:rPr>
          <w:rFonts w:ascii="Arial" w:eastAsia="Times New Roman" w:hAnsi="Arial" w:cs="Arial"/>
          <w:sz w:val="20"/>
          <w:szCs w:val="20"/>
          <w:lang w:eastAsia="pt-BR"/>
        </w:rPr>
        <w:tab/>
      </w:r>
    </w:p>
    <w:p w14:paraId="0E1496A3" w14:textId="77777777" w:rsidR="00BD4EA9" w:rsidRPr="007F29D2" w:rsidRDefault="00BD4EA9" w:rsidP="00BD4EA9">
      <w:pPr>
        <w:tabs>
          <w:tab w:val="left" w:pos="8475"/>
          <w:tab w:val="left" w:pos="10235"/>
          <w:tab w:val="left" w:pos="12095"/>
        </w:tabs>
        <w:spacing w:after="0" w:line="240" w:lineRule="auto"/>
        <w:ind w:left="1134"/>
        <w:rPr>
          <w:rFonts w:ascii="Arial" w:eastAsia="Times New Roman" w:hAnsi="Arial" w:cs="Arial"/>
          <w:sz w:val="20"/>
          <w:szCs w:val="20"/>
          <w:lang w:eastAsia="pt-BR"/>
        </w:rPr>
      </w:pPr>
      <w:r w:rsidRPr="007F29D2">
        <w:rPr>
          <w:rFonts w:ascii="Arial" w:eastAsia="Times New Roman" w:hAnsi="Arial" w:cs="Arial"/>
          <w:sz w:val="20"/>
          <w:szCs w:val="20"/>
          <w:lang w:eastAsia="pt-BR"/>
        </w:rPr>
        <w:t>&lt;NaturezaSaldoInicial&gt;</w:t>
      </w:r>
      <w:r w:rsidRPr="007F29D2">
        <w:rPr>
          <w:rFonts w:ascii="Arial" w:eastAsia="Times New Roman" w:hAnsi="Arial" w:cs="Arial"/>
          <w:b/>
          <w:sz w:val="20"/>
          <w:szCs w:val="20"/>
          <w:lang w:eastAsia="pt-BR"/>
        </w:rPr>
        <w:t>X</w:t>
      </w:r>
      <w:r w:rsidRPr="007F29D2">
        <w:rPr>
          <w:rFonts w:ascii="Arial" w:eastAsia="Times New Roman" w:hAnsi="Arial" w:cs="Arial"/>
          <w:sz w:val="20"/>
          <w:szCs w:val="20"/>
          <w:lang w:eastAsia="pt-BR"/>
        </w:rPr>
        <w:t>&lt;/NaturezaSaldoInicial&gt;</w:t>
      </w:r>
      <w:r w:rsidRPr="007F29D2">
        <w:rPr>
          <w:rFonts w:ascii="Arial" w:eastAsia="Times New Roman" w:hAnsi="Arial" w:cs="Arial"/>
          <w:sz w:val="20"/>
          <w:szCs w:val="20"/>
          <w:lang w:eastAsia="pt-BR"/>
        </w:rPr>
        <w:tab/>
      </w:r>
    </w:p>
    <w:p w14:paraId="46E3A223" w14:textId="77777777" w:rsidR="00BD4EA9" w:rsidRPr="007F29D2" w:rsidRDefault="00BD4EA9" w:rsidP="00BD4EA9">
      <w:pPr>
        <w:tabs>
          <w:tab w:val="left" w:pos="10235"/>
          <w:tab w:val="left" w:pos="12095"/>
        </w:tabs>
        <w:spacing w:after="0" w:line="240" w:lineRule="auto"/>
        <w:ind w:left="1134"/>
        <w:rPr>
          <w:rFonts w:ascii="Arial" w:eastAsia="Times New Roman" w:hAnsi="Arial" w:cs="Arial"/>
          <w:sz w:val="20"/>
          <w:szCs w:val="20"/>
          <w:lang w:eastAsia="pt-BR"/>
        </w:rPr>
      </w:pPr>
      <w:r w:rsidRPr="007F29D2">
        <w:rPr>
          <w:rFonts w:ascii="Arial" w:eastAsia="Times New Roman" w:hAnsi="Arial" w:cs="Arial"/>
          <w:sz w:val="20"/>
          <w:szCs w:val="20"/>
          <w:lang w:eastAsia="pt-BR"/>
        </w:rPr>
        <w:t>&lt;MovimentoDebito&gt;</w:t>
      </w:r>
      <w:r w:rsidRPr="007F29D2">
        <w:rPr>
          <w:rFonts w:ascii="Arial" w:eastAsia="Times New Roman" w:hAnsi="Arial" w:cs="Arial"/>
          <w:b/>
          <w:sz w:val="20"/>
          <w:szCs w:val="20"/>
          <w:lang w:eastAsia="pt-BR"/>
        </w:rPr>
        <w:t>99999999999999.99</w:t>
      </w:r>
      <w:r w:rsidRPr="007F29D2">
        <w:rPr>
          <w:rFonts w:ascii="Arial" w:eastAsia="Times New Roman" w:hAnsi="Arial" w:cs="Arial"/>
          <w:sz w:val="20"/>
          <w:szCs w:val="20"/>
          <w:lang w:eastAsia="pt-BR"/>
        </w:rPr>
        <w:t>&lt;/MovimentoDebito&gt;</w:t>
      </w:r>
    </w:p>
    <w:p w14:paraId="25CFF807" w14:textId="77777777" w:rsidR="00BD4EA9" w:rsidRPr="007F29D2" w:rsidRDefault="00BD4EA9" w:rsidP="00BD4EA9">
      <w:pPr>
        <w:tabs>
          <w:tab w:val="left" w:pos="10235"/>
          <w:tab w:val="left" w:pos="12095"/>
        </w:tabs>
        <w:spacing w:after="0" w:line="240" w:lineRule="auto"/>
        <w:ind w:left="1134"/>
        <w:rPr>
          <w:rFonts w:ascii="Arial" w:eastAsia="Times New Roman" w:hAnsi="Arial" w:cs="Arial"/>
          <w:sz w:val="20"/>
          <w:szCs w:val="20"/>
          <w:lang w:eastAsia="pt-BR"/>
        </w:rPr>
      </w:pPr>
      <w:r w:rsidRPr="007F29D2">
        <w:rPr>
          <w:rFonts w:ascii="Arial" w:eastAsia="Times New Roman" w:hAnsi="Arial" w:cs="Arial"/>
          <w:sz w:val="20"/>
          <w:szCs w:val="20"/>
          <w:lang w:eastAsia="pt-BR"/>
        </w:rPr>
        <w:t>&lt;MovimentoCredito&gt;</w:t>
      </w:r>
      <w:r w:rsidRPr="007F29D2">
        <w:rPr>
          <w:rFonts w:ascii="Arial" w:eastAsia="Times New Roman" w:hAnsi="Arial" w:cs="Arial"/>
          <w:b/>
          <w:sz w:val="20"/>
          <w:szCs w:val="20"/>
          <w:lang w:eastAsia="pt-BR"/>
        </w:rPr>
        <w:t>99999999999999.99</w:t>
      </w:r>
      <w:r w:rsidRPr="007F29D2">
        <w:rPr>
          <w:rFonts w:ascii="Arial" w:eastAsia="Times New Roman" w:hAnsi="Arial" w:cs="Arial"/>
          <w:sz w:val="20"/>
          <w:szCs w:val="20"/>
          <w:lang w:eastAsia="pt-BR"/>
        </w:rPr>
        <w:t>&lt;/MovimentoCredito&gt;</w:t>
      </w:r>
    </w:p>
    <w:p w14:paraId="366AD9D1" w14:textId="77777777" w:rsidR="00BD4EA9" w:rsidRPr="007F29D2" w:rsidRDefault="00BD4EA9" w:rsidP="00BD4EA9">
      <w:pPr>
        <w:tabs>
          <w:tab w:val="left" w:pos="8475"/>
          <w:tab w:val="left" w:pos="10235"/>
          <w:tab w:val="left" w:pos="12095"/>
        </w:tabs>
        <w:spacing w:after="0" w:line="240" w:lineRule="auto"/>
        <w:ind w:left="1134"/>
        <w:rPr>
          <w:rFonts w:ascii="Arial" w:eastAsia="Times New Roman" w:hAnsi="Arial" w:cs="Arial"/>
          <w:sz w:val="20"/>
          <w:szCs w:val="20"/>
          <w:lang w:eastAsia="pt-BR"/>
        </w:rPr>
      </w:pPr>
      <w:r w:rsidRPr="007F29D2">
        <w:rPr>
          <w:rFonts w:ascii="Arial" w:eastAsia="Times New Roman" w:hAnsi="Arial" w:cs="Arial"/>
          <w:sz w:val="20"/>
          <w:szCs w:val="20"/>
          <w:lang w:eastAsia="pt-BR"/>
        </w:rPr>
        <w:t>&lt;SaldoFinal&gt;</w:t>
      </w:r>
      <w:r w:rsidRPr="007F29D2">
        <w:rPr>
          <w:rFonts w:ascii="Arial" w:eastAsia="Times New Roman" w:hAnsi="Arial" w:cs="Arial"/>
          <w:b/>
          <w:sz w:val="20"/>
          <w:szCs w:val="20"/>
          <w:lang w:eastAsia="pt-BR"/>
        </w:rPr>
        <w:t>99999999999999.99</w:t>
      </w:r>
      <w:r w:rsidRPr="007F29D2">
        <w:rPr>
          <w:rFonts w:ascii="Arial" w:eastAsia="Times New Roman" w:hAnsi="Arial" w:cs="Arial"/>
          <w:sz w:val="20"/>
          <w:szCs w:val="20"/>
          <w:lang w:eastAsia="pt-BR"/>
        </w:rPr>
        <w:t>&lt;/SaldoFinal&gt;</w:t>
      </w:r>
      <w:r w:rsidRPr="007F29D2">
        <w:rPr>
          <w:rFonts w:ascii="Arial" w:eastAsia="Times New Roman" w:hAnsi="Arial" w:cs="Arial"/>
          <w:sz w:val="20"/>
          <w:szCs w:val="20"/>
          <w:lang w:eastAsia="pt-BR"/>
        </w:rPr>
        <w:tab/>
      </w:r>
    </w:p>
    <w:p w14:paraId="3C330663" w14:textId="77777777" w:rsidR="00BD4EA9" w:rsidRPr="007F29D2" w:rsidRDefault="00BD4EA9" w:rsidP="00BD4EA9">
      <w:pPr>
        <w:tabs>
          <w:tab w:val="left" w:pos="8475"/>
          <w:tab w:val="left" w:pos="10235"/>
          <w:tab w:val="left" w:pos="12095"/>
        </w:tabs>
        <w:spacing w:after="0" w:line="240" w:lineRule="auto"/>
        <w:ind w:left="1134"/>
        <w:rPr>
          <w:rFonts w:ascii="Arial" w:eastAsia="Times New Roman" w:hAnsi="Arial" w:cs="Arial"/>
          <w:sz w:val="20"/>
          <w:szCs w:val="20"/>
          <w:lang w:eastAsia="pt-BR"/>
        </w:rPr>
      </w:pPr>
      <w:r w:rsidRPr="007F29D2">
        <w:rPr>
          <w:rFonts w:ascii="Arial" w:eastAsia="Times New Roman" w:hAnsi="Arial" w:cs="Arial"/>
          <w:sz w:val="20"/>
          <w:szCs w:val="20"/>
          <w:lang w:eastAsia="pt-BR"/>
        </w:rPr>
        <w:t>&lt;NaturezaSaldoFinal&gt;</w:t>
      </w:r>
      <w:r w:rsidRPr="007F29D2">
        <w:rPr>
          <w:rFonts w:ascii="Arial" w:eastAsia="Times New Roman" w:hAnsi="Arial" w:cs="Arial"/>
          <w:b/>
          <w:sz w:val="20"/>
          <w:szCs w:val="20"/>
          <w:lang w:eastAsia="pt-BR"/>
        </w:rPr>
        <w:t>X</w:t>
      </w:r>
      <w:r w:rsidRPr="007F29D2">
        <w:rPr>
          <w:rFonts w:ascii="Arial" w:eastAsia="Times New Roman" w:hAnsi="Arial" w:cs="Arial"/>
          <w:sz w:val="20"/>
          <w:szCs w:val="20"/>
          <w:lang w:eastAsia="pt-BR"/>
        </w:rPr>
        <w:t>&lt;/NaturezaSaldoFinal&gt;</w:t>
      </w:r>
      <w:r w:rsidRPr="007F29D2">
        <w:rPr>
          <w:rFonts w:ascii="Arial" w:eastAsia="Times New Roman" w:hAnsi="Arial" w:cs="Arial"/>
          <w:sz w:val="20"/>
          <w:szCs w:val="20"/>
          <w:lang w:eastAsia="pt-BR"/>
        </w:rPr>
        <w:tab/>
      </w:r>
    </w:p>
    <w:p w14:paraId="0C88C72E" w14:textId="77777777" w:rsidR="00BD4EA9" w:rsidRPr="007F29D2" w:rsidRDefault="00BD4EA9" w:rsidP="00BD4EA9">
      <w:pPr>
        <w:tabs>
          <w:tab w:val="left" w:pos="8475"/>
          <w:tab w:val="left" w:pos="10235"/>
          <w:tab w:val="left" w:pos="12095"/>
        </w:tabs>
        <w:spacing w:after="0" w:line="240" w:lineRule="auto"/>
        <w:ind w:left="1134"/>
        <w:rPr>
          <w:rFonts w:ascii="Arial" w:eastAsia="Times New Roman" w:hAnsi="Arial" w:cs="Arial"/>
          <w:sz w:val="20"/>
          <w:szCs w:val="20"/>
          <w:lang w:eastAsia="pt-BR"/>
        </w:rPr>
      </w:pPr>
      <w:r w:rsidRPr="007F29D2">
        <w:rPr>
          <w:rFonts w:ascii="Arial" w:eastAsia="Times New Roman" w:hAnsi="Arial" w:cs="Arial"/>
          <w:sz w:val="20"/>
          <w:szCs w:val="20"/>
          <w:lang w:eastAsia="pt-BR"/>
        </w:rPr>
        <w:t>&lt;/BalanceteVerificacaoEstado&gt;</w:t>
      </w:r>
      <w:r w:rsidRPr="007F29D2">
        <w:rPr>
          <w:rFonts w:ascii="Arial" w:eastAsia="Times New Roman" w:hAnsi="Arial" w:cs="Arial"/>
          <w:sz w:val="20"/>
          <w:szCs w:val="20"/>
          <w:lang w:eastAsia="pt-BR"/>
        </w:rPr>
        <w:tab/>
      </w:r>
    </w:p>
    <w:p w14:paraId="764DE090" w14:textId="77777777" w:rsidR="00BD4EA9" w:rsidRPr="007F29D2" w:rsidRDefault="00BD4EA9" w:rsidP="00BD4EA9">
      <w:pPr>
        <w:tabs>
          <w:tab w:val="left" w:pos="8475"/>
          <w:tab w:val="left" w:pos="10235"/>
          <w:tab w:val="left" w:pos="12095"/>
        </w:tabs>
        <w:spacing w:after="0" w:line="240" w:lineRule="auto"/>
        <w:ind w:left="567"/>
        <w:rPr>
          <w:rFonts w:ascii="Arial" w:eastAsia="Times New Roman" w:hAnsi="Arial" w:cs="Arial"/>
          <w:sz w:val="20"/>
          <w:szCs w:val="20"/>
          <w:lang w:eastAsia="pt-BR"/>
        </w:rPr>
      </w:pPr>
      <w:r w:rsidRPr="007F29D2">
        <w:rPr>
          <w:rFonts w:ascii="Arial" w:eastAsia="Times New Roman" w:hAnsi="Arial" w:cs="Arial"/>
          <w:sz w:val="20"/>
          <w:szCs w:val="20"/>
          <w:lang w:eastAsia="pt-BR"/>
        </w:rPr>
        <w:t>&lt;/BalanceteVerificacaoEstado_Schema&gt;</w:t>
      </w:r>
      <w:r w:rsidRPr="007F29D2">
        <w:rPr>
          <w:rFonts w:ascii="Arial" w:eastAsia="Times New Roman" w:hAnsi="Arial" w:cs="Arial"/>
          <w:sz w:val="20"/>
          <w:szCs w:val="20"/>
          <w:lang w:eastAsia="pt-BR"/>
        </w:rPr>
        <w:tab/>
      </w:r>
    </w:p>
    <w:p w14:paraId="24ACDEA3" w14:textId="77777777" w:rsidR="00BD4EA9" w:rsidRPr="007F29D2" w:rsidRDefault="00BD4EA9" w:rsidP="00BD4EA9">
      <w:pPr>
        <w:rPr>
          <w:rFonts w:ascii="Arial" w:eastAsia="Times New Roman" w:hAnsi="Arial" w:cs="Arial"/>
          <w:sz w:val="20"/>
          <w:szCs w:val="20"/>
          <w:lang w:eastAsia="pt-BR"/>
        </w:rPr>
      </w:pPr>
      <w:r w:rsidRPr="007F29D2">
        <w:rPr>
          <w:rFonts w:ascii="Arial" w:eastAsia="Times New Roman" w:hAnsi="Arial" w:cs="Arial"/>
          <w:sz w:val="20"/>
          <w:szCs w:val="20"/>
          <w:lang w:eastAsia="pt-BR"/>
        </w:rPr>
        <w:t>&lt;/PrestacaoContasAnual&gt;</w:t>
      </w:r>
    </w:p>
    <w:p w14:paraId="16E5E377" w14:textId="77777777" w:rsidR="00BD4EA9" w:rsidRPr="007F29D2" w:rsidRDefault="00BD4EA9" w:rsidP="00BD4EA9">
      <w:pPr>
        <w:rPr>
          <w:rFonts w:ascii="Arial" w:eastAsia="Times New Roman" w:hAnsi="Arial" w:cs="Arial"/>
          <w:sz w:val="20"/>
          <w:szCs w:val="20"/>
          <w:lang w:eastAsia="pt-BR"/>
        </w:rPr>
      </w:pPr>
    </w:p>
    <w:tbl>
      <w:tblPr>
        <w:tblW w:w="9229" w:type="dxa"/>
        <w:tblInd w:w="55" w:type="dxa"/>
        <w:tblCellMar>
          <w:left w:w="70" w:type="dxa"/>
          <w:right w:w="70" w:type="dxa"/>
        </w:tblCellMar>
        <w:tblLook w:val="04A0" w:firstRow="1" w:lastRow="0" w:firstColumn="1" w:lastColumn="0" w:noHBand="0" w:noVBand="1"/>
      </w:tblPr>
      <w:tblGrid>
        <w:gridCol w:w="3559"/>
        <w:gridCol w:w="1276"/>
        <w:gridCol w:w="1134"/>
        <w:gridCol w:w="3260"/>
      </w:tblGrid>
      <w:tr w:rsidR="007F29D2" w:rsidRPr="007F29D2" w14:paraId="64B13EF0" w14:textId="77777777" w:rsidTr="008B12A6">
        <w:trPr>
          <w:trHeight w:val="315"/>
        </w:trPr>
        <w:tc>
          <w:tcPr>
            <w:tcW w:w="3559" w:type="dxa"/>
            <w:tcBorders>
              <w:top w:val="single" w:sz="8" w:space="0" w:color="auto"/>
              <w:left w:val="single" w:sz="8" w:space="0" w:color="auto"/>
              <w:bottom w:val="single" w:sz="8" w:space="0" w:color="auto"/>
              <w:right w:val="single" w:sz="8" w:space="0" w:color="auto"/>
            </w:tcBorders>
            <w:shd w:val="clear" w:color="000000" w:fill="C0C0C0"/>
            <w:vAlign w:val="center"/>
            <w:hideMark/>
          </w:tcPr>
          <w:p w14:paraId="0C541451" w14:textId="77777777" w:rsidR="00BD4EA9" w:rsidRPr="007F29D2" w:rsidRDefault="00BD4EA9" w:rsidP="008B12A6">
            <w:pPr>
              <w:spacing w:after="0" w:line="240" w:lineRule="auto"/>
              <w:jc w:val="center"/>
              <w:rPr>
                <w:rFonts w:ascii="Arial" w:eastAsia="Times New Roman" w:hAnsi="Arial" w:cs="Arial"/>
                <w:b/>
                <w:bCs/>
                <w:sz w:val="20"/>
                <w:szCs w:val="20"/>
                <w:lang w:eastAsia="pt-BR"/>
              </w:rPr>
            </w:pPr>
            <w:r w:rsidRPr="007F29D2">
              <w:rPr>
                <w:rFonts w:ascii="Arial" w:eastAsia="Times New Roman" w:hAnsi="Arial" w:cs="Arial"/>
                <w:b/>
                <w:bCs/>
                <w:sz w:val="20"/>
                <w:szCs w:val="20"/>
                <w:lang w:eastAsia="pt-BR"/>
              </w:rPr>
              <w:t>Campo</w:t>
            </w:r>
          </w:p>
        </w:tc>
        <w:tc>
          <w:tcPr>
            <w:tcW w:w="1276" w:type="dxa"/>
            <w:tcBorders>
              <w:top w:val="single" w:sz="8" w:space="0" w:color="auto"/>
              <w:left w:val="nil"/>
              <w:bottom w:val="single" w:sz="8" w:space="0" w:color="auto"/>
              <w:right w:val="single" w:sz="8" w:space="0" w:color="auto"/>
            </w:tcBorders>
            <w:shd w:val="clear" w:color="000000" w:fill="C0C0C0"/>
            <w:vAlign w:val="center"/>
            <w:hideMark/>
          </w:tcPr>
          <w:p w14:paraId="109C10DD" w14:textId="77777777" w:rsidR="00BD4EA9" w:rsidRPr="007F29D2" w:rsidRDefault="00BD4EA9" w:rsidP="008B12A6">
            <w:pPr>
              <w:spacing w:after="0" w:line="240" w:lineRule="auto"/>
              <w:jc w:val="center"/>
              <w:rPr>
                <w:rFonts w:ascii="Arial" w:eastAsia="Times New Roman" w:hAnsi="Arial" w:cs="Arial"/>
                <w:b/>
                <w:bCs/>
                <w:sz w:val="20"/>
                <w:szCs w:val="20"/>
                <w:lang w:eastAsia="pt-BR"/>
              </w:rPr>
            </w:pPr>
            <w:r w:rsidRPr="007F29D2">
              <w:rPr>
                <w:rFonts w:ascii="Arial" w:eastAsia="Times New Roman" w:hAnsi="Arial" w:cs="Arial"/>
                <w:b/>
                <w:bCs/>
                <w:sz w:val="20"/>
                <w:szCs w:val="20"/>
                <w:lang w:eastAsia="pt-BR"/>
              </w:rPr>
              <w:t>Tipo</w:t>
            </w:r>
          </w:p>
        </w:tc>
        <w:tc>
          <w:tcPr>
            <w:tcW w:w="1134" w:type="dxa"/>
            <w:tcBorders>
              <w:top w:val="single" w:sz="8" w:space="0" w:color="auto"/>
              <w:left w:val="nil"/>
              <w:bottom w:val="single" w:sz="8" w:space="0" w:color="auto"/>
              <w:right w:val="single" w:sz="8" w:space="0" w:color="auto"/>
            </w:tcBorders>
            <w:shd w:val="clear" w:color="000000" w:fill="C0C0C0"/>
            <w:vAlign w:val="center"/>
            <w:hideMark/>
          </w:tcPr>
          <w:p w14:paraId="4E3FB2EB" w14:textId="77777777" w:rsidR="00BD4EA9" w:rsidRPr="007F29D2" w:rsidRDefault="00BD4EA9" w:rsidP="008B12A6">
            <w:pPr>
              <w:spacing w:after="0" w:line="240" w:lineRule="auto"/>
              <w:jc w:val="center"/>
              <w:rPr>
                <w:rFonts w:ascii="Arial" w:eastAsia="Times New Roman" w:hAnsi="Arial" w:cs="Arial"/>
                <w:b/>
                <w:bCs/>
                <w:sz w:val="20"/>
                <w:szCs w:val="20"/>
                <w:lang w:eastAsia="pt-BR"/>
              </w:rPr>
            </w:pPr>
            <w:r w:rsidRPr="007F29D2">
              <w:rPr>
                <w:rFonts w:ascii="Arial" w:eastAsia="Times New Roman" w:hAnsi="Arial" w:cs="Arial"/>
                <w:b/>
                <w:bCs/>
                <w:sz w:val="20"/>
                <w:szCs w:val="20"/>
                <w:lang w:eastAsia="pt-BR"/>
              </w:rPr>
              <w:t>Tamanho</w:t>
            </w:r>
          </w:p>
        </w:tc>
        <w:tc>
          <w:tcPr>
            <w:tcW w:w="3260" w:type="dxa"/>
            <w:tcBorders>
              <w:top w:val="single" w:sz="8" w:space="0" w:color="auto"/>
              <w:left w:val="nil"/>
              <w:bottom w:val="single" w:sz="8" w:space="0" w:color="auto"/>
              <w:right w:val="single" w:sz="8" w:space="0" w:color="auto"/>
            </w:tcBorders>
            <w:shd w:val="clear" w:color="000000" w:fill="C0C0C0"/>
            <w:vAlign w:val="center"/>
            <w:hideMark/>
          </w:tcPr>
          <w:p w14:paraId="7CBFC9E5" w14:textId="77777777" w:rsidR="00BD4EA9" w:rsidRPr="007F29D2" w:rsidRDefault="00BD4EA9" w:rsidP="008B12A6">
            <w:pPr>
              <w:spacing w:after="0" w:line="240" w:lineRule="auto"/>
              <w:jc w:val="center"/>
              <w:rPr>
                <w:rFonts w:ascii="Arial" w:eastAsia="Times New Roman" w:hAnsi="Arial" w:cs="Arial"/>
                <w:b/>
                <w:bCs/>
                <w:sz w:val="20"/>
                <w:szCs w:val="20"/>
                <w:lang w:eastAsia="pt-BR"/>
              </w:rPr>
            </w:pPr>
            <w:r w:rsidRPr="007F29D2">
              <w:rPr>
                <w:rFonts w:ascii="Arial" w:eastAsia="Times New Roman" w:hAnsi="Arial" w:cs="Arial"/>
                <w:b/>
                <w:bCs/>
                <w:sz w:val="20"/>
                <w:szCs w:val="20"/>
                <w:lang w:eastAsia="pt-BR"/>
              </w:rPr>
              <w:t>Obrigatoriedade</w:t>
            </w:r>
          </w:p>
        </w:tc>
      </w:tr>
      <w:tr w:rsidR="007F29D2" w:rsidRPr="007F29D2" w14:paraId="6C233B23" w14:textId="77777777" w:rsidTr="008B12A6">
        <w:trPr>
          <w:trHeight w:val="315"/>
        </w:trPr>
        <w:tc>
          <w:tcPr>
            <w:tcW w:w="9229" w:type="dxa"/>
            <w:gridSpan w:val="4"/>
            <w:tcBorders>
              <w:top w:val="single" w:sz="8" w:space="0" w:color="auto"/>
              <w:left w:val="single" w:sz="8" w:space="0" w:color="auto"/>
              <w:bottom w:val="single" w:sz="8" w:space="0" w:color="auto"/>
              <w:right w:val="single" w:sz="8" w:space="0" w:color="000000"/>
            </w:tcBorders>
            <w:shd w:val="clear" w:color="000000" w:fill="BFBFBF"/>
            <w:vAlign w:val="center"/>
            <w:hideMark/>
          </w:tcPr>
          <w:p w14:paraId="7EC87AFD" w14:textId="77777777" w:rsidR="00BD4EA9" w:rsidRPr="007F29D2" w:rsidRDefault="00BD4EA9" w:rsidP="008B12A6">
            <w:pPr>
              <w:spacing w:after="0" w:line="240" w:lineRule="auto"/>
              <w:jc w:val="center"/>
              <w:rPr>
                <w:rFonts w:ascii="Arial" w:eastAsia="Times New Roman" w:hAnsi="Arial" w:cs="Arial"/>
                <w:b/>
                <w:bCs/>
                <w:sz w:val="20"/>
                <w:szCs w:val="20"/>
                <w:lang w:eastAsia="pt-BR"/>
              </w:rPr>
            </w:pPr>
            <w:r w:rsidRPr="007F29D2">
              <w:rPr>
                <w:rFonts w:ascii="Arial" w:eastAsia="Times New Roman" w:hAnsi="Arial" w:cs="Arial"/>
                <w:b/>
                <w:bCs/>
                <w:sz w:val="20"/>
                <w:szCs w:val="20"/>
                <w:lang w:eastAsia="pt-BR"/>
              </w:rPr>
              <w:t>Estrutura ‘BalanceteVerificacao’</w:t>
            </w:r>
          </w:p>
        </w:tc>
      </w:tr>
      <w:tr w:rsidR="007F29D2" w:rsidRPr="007F29D2" w14:paraId="76328102" w14:textId="77777777" w:rsidTr="008B12A6">
        <w:trPr>
          <w:trHeight w:val="315"/>
        </w:trPr>
        <w:tc>
          <w:tcPr>
            <w:tcW w:w="3559" w:type="dxa"/>
            <w:tcBorders>
              <w:top w:val="nil"/>
              <w:left w:val="single" w:sz="8" w:space="0" w:color="auto"/>
              <w:bottom w:val="single" w:sz="8" w:space="0" w:color="auto"/>
              <w:right w:val="single" w:sz="8" w:space="0" w:color="auto"/>
            </w:tcBorders>
            <w:shd w:val="clear" w:color="auto" w:fill="auto"/>
            <w:vAlign w:val="center"/>
            <w:hideMark/>
          </w:tcPr>
          <w:p w14:paraId="1EA0980A" w14:textId="77777777" w:rsidR="00BD4EA9" w:rsidRPr="007F29D2" w:rsidRDefault="00BD4EA9" w:rsidP="008B12A6">
            <w:pPr>
              <w:spacing w:after="0" w:line="240" w:lineRule="auto"/>
              <w:jc w:val="both"/>
              <w:rPr>
                <w:rFonts w:ascii="Arial" w:eastAsia="Times New Roman" w:hAnsi="Arial" w:cs="Arial"/>
                <w:sz w:val="20"/>
                <w:szCs w:val="20"/>
                <w:lang w:eastAsia="pt-BR"/>
              </w:rPr>
            </w:pPr>
            <w:r w:rsidRPr="007F29D2">
              <w:rPr>
                <w:rFonts w:ascii="Arial" w:eastAsia="Times New Roman" w:hAnsi="Arial" w:cs="Arial"/>
                <w:sz w:val="20"/>
                <w:szCs w:val="20"/>
                <w:lang w:eastAsia="pt-BR"/>
              </w:rPr>
              <w:t>Identificação do Numero do Registro</w:t>
            </w:r>
          </w:p>
        </w:tc>
        <w:tc>
          <w:tcPr>
            <w:tcW w:w="1276" w:type="dxa"/>
            <w:tcBorders>
              <w:top w:val="nil"/>
              <w:left w:val="nil"/>
              <w:bottom w:val="single" w:sz="8" w:space="0" w:color="auto"/>
              <w:right w:val="single" w:sz="8" w:space="0" w:color="auto"/>
            </w:tcBorders>
            <w:shd w:val="clear" w:color="auto" w:fill="auto"/>
            <w:vAlign w:val="center"/>
            <w:hideMark/>
          </w:tcPr>
          <w:p w14:paraId="11F587E2" w14:textId="77777777" w:rsidR="00BD4EA9" w:rsidRPr="007F29D2" w:rsidRDefault="00BD4EA9" w:rsidP="008B12A6">
            <w:pPr>
              <w:spacing w:after="0" w:line="240" w:lineRule="auto"/>
              <w:jc w:val="center"/>
              <w:rPr>
                <w:rFonts w:ascii="Arial" w:eastAsia="Times New Roman" w:hAnsi="Arial" w:cs="Arial"/>
                <w:sz w:val="20"/>
                <w:szCs w:val="20"/>
                <w:lang w:eastAsia="pt-BR"/>
              </w:rPr>
            </w:pPr>
            <w:r w:rsidRPr="007F29D2">
              <w:rPr>
                <w:rFonts w:ascii="Arial" w:eastAsia="Times New Roman" w:hAnsi="Arial" w:cs="Arial"/>
                <w:sz w:val="20"/>
                <w:szCs w:val="20"/>
                <w:lang w:eastAsia="pt-BR"/>
              </w:rPr>
              <w:t>Inteiro</w:t>
            </w:r>
          </w:p>
        </w:tc>
        <w:tc>
          <w:tcPr>
            <w:tcW w:w="1134" w:type="dxa"/>
            <w:tcBorders>
              <w:top w:val="nil"/>
              <w:left w:val="nil"/>
              <w:bottom w:val="single" w:sz="8" w:space="0" w:color="auto"/>
              <w:right w:val="single" w:sz="8" w:space="0" w:color="auto"/>
            </w:tcBorders>
            <w:shd w:val="clear" w:color="auto" w:fill="auto"/>
            <w:vAlign w:val="center"/>
            <w:hideMark/>
          </w:tcPr>
          <w:p w14:paraId="136AB130" w14:textId="77777777" w:rsidR="00BD4EA9" w:rsidRPr="007F29D2" w:rsidRDefault="00BD4EA9" w:rsidP="008B12A6">
            <w:pPr>
              <w:spacing w:after="0" w:line="240" w:lineRule="auto"/>
              <w:jc w:val="center"/>
              <w:rPr>
                <w:rFonts w:ascii="Arial" w:eastAsia="Times New Roman" w:hAnsi="Arial" w:cs="Arial"/>
                <w:sz w:val="20"/>
                <w:szCs w:val="20"/>
                <w:lang w:eastAsia="pt-BR"/>
              </w:rPr>
            </w:pPr>
            <w:r w:rsidRPr="007F29D2">
              <w:rPr>
                <w:rFonts w:ascii="Arial" w:eastAsia="Times New Roman" w:hAnsi="Arial" w:cs="Arial"/>
                <w:sz w:val="20"/>
                <w:szCs w:val="20"/>
                <w:lang w:eastAsia="pt-BR"/>
              </w:rPr>
              <w:t>5</w:t>
            </w:r>
          </w:p>
        </w:tc>
        <w:tc>
          <w:tcPr>
            <w:tcW w:w="3260" w:type="dxa"/>
            <w:tcBorders>
              <w:top w:val="nil"/>
              <w:left w:val="nil"/>
              <w:bottom w:val="single" w:sz="8" w:space="0" w:color="auto"/>
              <w:right w:val="single" w:sz="8" w:space="0" w:color="auto"/>
            </w:tcBorders>
            <w:shd w:val="clear" w:color="auto" w:fill="auto"/>
            <w:vAlign w:val="center"/>
            <w:hideMark/>
          </w:tcPr>
          <w:p w14:paraId="7F1C27DF" w14:textId="77777777" w:rsidR="00BD4EA9" w:rsidRPr="007F29D2" w:rsidRDefault="00BD4EA9" w:rsidP="008B12A6">
            <w:pPr>
              <w:spacing w:after="0" w:line="240" w:lineRule="auto"/>
              <w:jc w:val="both"/>
              <w:rPr>
                <w:rFonts w:ascii="Arial" w:eastAsia="Times New Roman" w:hAnsi="Arial" w:cs="Arial"/>
                <w:sz w:val="20"/>
                <w:szCs w:val="20"/>
                <w:lang w:eastAsia="pt-BR"/>
              </w:rPr>
            </w:pPr>
            <w:r w:rsidRPr="007F29D2">
              <w:rPr>
                <w:rFonts w:ascii="Arial" w:eastAsia="Times New Roman" w:hAnsi="Arial" w:cs="Arial"/>
                <w:sz w:val="20"/>
                <w:szCs w:val="20"/>
                <w:lang w:eastAsia="pt-BR"/>
              </w:rPr>
              <w:t>Obrigatório</w:t>
            </w:r>
          </w:p>
        </w:tc>
      </w:tr>
      <w:tr w:rsidR="007F29D2" w:rsidRPr="007F29D2" w14:paraId="7B23C399" w14:textId="77777777" w:rsidTr="008B12A6">
        <w:trPr>
          <w:trHeight w:val="525"/>
        </w:trPr>
        <w:tc>
          <w:tcPr>
            <w:tcW w:w="3559" w:type="dxa"/>
            <w:tcBorders>
              <w:top w:val="nil"/>
              <w:left w:val="single" w:sz="8" w:space="0" w:color="auto"/>
              <w:bottom w:val="single" w:sz="8" w:space="0" w:color="auto"/>
              <w:right w:val="single" w:sz="8" w:space="0" w:color="auto"/>
            </w:tcBorders>
            <w:shd w:val="clear" w:color="auto" w:fill="auto"/>
            <w:vAlign w:val="center"/>
            <w:hideMark/>
          </w:tcPr>
          <w:p w14:paraId="0A8C1241" w14:textId="77777777" w:rsidR="00BD4EA9" w:rsidRPr="007F29D2" w:rsidRDefault="00BD4EA9" w:rsidP="008B12A6">
            <w:pPr>
              <w:spacing w:after="0" w:line="240" w:lineRule="auto"/>
              <w:jc w:val="both"/>
              <w:rPr>
                <w:rFonts w:ascii="Arial" w:eastAsia="Times New Roman" w:hAnsi="Arial" w:cs="Arial"/>
                <w:sz w:val="20"/>
                <w:szCs w:val="20"/>
                <w:lang w:eastAsia="pt-BR"/>
              </w:rPr>
            </w:pPr>
            <w:r w:rsidRPr="007F29D2">
              <w:rPr>
                <w:rFonts w:ascii="Arial" w:eastAsia="Times New Roman" w:hAnsi="Arial" w:cs="Arial"/>
                <w:sz w:val="20"/>
                <w:szCs w:val="20"/>
                <w:lang w:eastAsia="pt-BR"/>
              </w:rPr>
              <w:lastRenderedPageBreak/>
              <w:t xml:space="preserve">Código da Unidade Gestora </w:t>
            </w:r>
            <w:r w:rsidRPr="007F29D2">
              <w:rPr>
                <w:rFonts w:ascii="Arial" w:eastAsia="Times New Roman" w:hAnsi="Arial" w:cs="Arial"/>
                <w:sz w:val="20"/>
                <w:szCs w:val="20"/>
                <w:vertAlign w:val="superscript"/>
                <w:lang w:eastAsia="pt-BR"/>
              </w:rPr>
              <w:t>[1]</w:t>
            </w:r>
          </w:p>
        </w:tc>
        <w:tc>
          <w:tcPr>
            <w:tcW w:w="1276" w:type="dxa"/>
            <w:tcBorders>
              <w:top w:val="nil"/>
              <w:left w:val="nil"/>
              <w:bottom w:val="single" w:sz="8" w:space="0" w:color="auto"/>
              <w:right w:val="single" w:sz="8" w:space="0" w:color="auto"/>
            </w:tcBorders>
            <w:shd w:val="clear" w:color="auto" w:fill="auto"/>
            <w:vAlign w:val="center"/>
            <w:hideMark/>
          </w:tcPr>
          <w:p w14:paraId="3AA50A13" w14:textId="77777777" w:rsidR="00BD4EA9" w:rsidRPr="007F29D2" w:rsidRDefault="00BD4EA9" w:rsidP="008B12A6">
            <w:pPr>
              <w:spacing w:after="0" w:line="240" w:lineRule="auto"/>
              <w:jc w:val="center"/>
              <w:rPr>
                <w:rFonts w:ascii="Arial" w:eastAsia="Times New Roman" w:hAnsi="Arial" w:cs="Arial"/>
                <w:sz w:val="20"/>
                <w:szCs w:val="20"/>
                <w:lang w:eastAsia="pt-BR"/>
              </w:rPr>
            </w:pPr>
            <w:r w:rsidRPr="007F29D2">
              <w:rPr>
                <w:rFonts w:ascii="Arial" w:eastAsia="Times New Roman" w:hAnsi="Arial" w:cs="Arial"/>
                <w:sz w:val="20"/>
                <w:szCs w:val="20"/>
                <w:lang w:eastAsia="pt-BR"/>
              </w:rPr>
              <w:t>Caracter</w:t>
            </w:r>
          </w:p>
        </w:tc>
        <w:tc>
          <w:tcPr>
            <w:tcW w:w="1134" w:type="dxa"/>
            <w:tcBorders>
              <w:top w:val="nil"/>
              <w:left w:val="nil"/>
              <w:bottom w:val="single" w:sz="8" w:space="0" w:color="auto"/>
              <w:right w:val="single" w:sz="8" w:space="0" w:color="auto"/>
            </w:tcBorders>
            <w:shd w:val="clear" w:color="auto" w:fill="auto"/>
            <w:vAlign w:val="center"/>
            <w:hideMark/>
          </w:tcPr>
          <w:p w14:paraId="68805929" w14:textId="77777777" w:rsidR="00BD4EA9" w:rsidRPr="007F29D2" w:rsidRDefault="00BD4EA9" w:rsidP="008B12A6">
            <w:pPr>
              <w:spacing w:after="0" w:line="240" w:lineRule="auto"/>
              <w:jc w:val="center"/>
              <w:rPr>
                <w:rFonts w:ascii="Arial" w:eastAsia="Times New Roman" w:hAnsi="Arial" w:cs="Arial"/>
                <w:sz w:val="20"/>
                <w:szCs w:val="20"/>
                <w:lang w:eastAsia="pt-BR"/>
              </w:rPr>
            </w:pPr>
            <w:r w:rsidRPr="007F29D2">
              <w:rPr>
                <w:rFonts w:ascii="Arial" w:eastAsia="Times New Roman" w:hAnsi="Arial" w:cs="Arial"/>
                <w:sz w:val="20"/>
                <w:szCs w:val="20"/>
                <w:lang w:eastAsia="pt-BR"/>
              </w:rPr>
              <w:t>11</w:t>
            </w:r>
          </w:p>
        </w:tc>
        <w:tc>
          <w:tcPr>
            <w:tcW w:w="3260" w:type="dxa"/>
            <w:tcBorders>
              <w:top w:val="nil"/>
              <w:left w:val="nil"/>
              <w:bottom w:val="single" w:sz="8" w:space="0" w:color="auto"/>
              <w:right w:val="single" w:sz="8" w:space="0" w:color="auto"/>
            </w:tcBorders>
            <w:shd w:val="clear" w:color="auto" w:fill="auto"/>
            <w:vAlign w:val="center"/>
            <w:hideMark/>
          </w:tcPr>
          <w:p w14:paraId="1EE96711" w14:textId="77777777" w:rsidR="00BD4EA9" w:rsidRPr="007F29D2" w:rsidRDefault="00BD4EA9" w:rsidP="008B12A6">
            <w:pPr>
              <w:spacing w:after="0" w:line="240" w:lineRule="auto"/>
              <w:rPr>
                <w:rFonts w:ascii="Arial" w:eastAsia="Times New Roman" w:hAnsi="Arial" w:cs="Arial"/>
                <w:sz w:val="20"/>
                <w:szCs w:val="20"/>
                <w:lang w:eastAsia="pt-BR"/>
              </w:rPr>
            </w:pPr>
            <w:r w:rsidRPr="007F29D2">
              <w:rPr>
                <w:rFonts w:ascii="Arial" w:eastAsia="Times New Roman" w:hAnsi="Arial" w:cs="Arial"/>
                <w:sz w:val="20"/>
                <w:szCs w:val="20"/>
                <w:lang w:eastAsia="pt-BR"/>
              </w:rPr>
              <w:t>Obrigatório – conforme Código do CidadES</w:t>
            </w:r>
          </w:p>
        </w:tc>
      </w:tr>
      <w:tr w:rsidR="007F29D2" w:rsidRPr="007F29D2" w14:paraId="73D0E867" w14:textId="77777777" w:rsidTr="008B12A6">
        <w:trPr>
          <w:trHeight w:val="525"/>
        </w:trPr>
        <w:tc>
          <w:tcPr>
            <w:tcW w:w="3559" w:type="dxa"/>
            <w:tcBorders>
              <w:top w:val="single" w:sz="8" w:space="0" w:color="auto"/>
              <w:left w:val="single" w:sz="8" w:space="0" w:color="auto"/>
              <w:bottom w:val="single" w:sz="8" w:space="0" w:color="auto"/>
              <w:right w:val="single" w:sz="8" w:space="0" w:color="auto"/>
            </w:tcBorders>
            <w:shd w:val="clear" w:color="auto" w:fill="auto"/>
            <w:vAlign w:val="center"/>
          </w:tcPr>
          <w:p w14:paraId="2613CF47" w14:textId="77777777" w:rsidR="00BD4EA9" w:rsidRPr="0073506E" w:rsidRDefault="00BD4EA9" w:rsidP="008B12A6">
            <w:pPr>
              <w:spacing w:after="0" w:line="240" w:lineRule="auto"/>
              <w:jc w:val="both"/>
              <w:rPr>
                <w:rFonts w:ascii="Arial" w:eastAsia="Times New Roman" w:hAnsi="Arial" w:cs="Arial"/>
                <w:sz w:val="20"/>
                <w:szCs w:val="20"/>
                <w:lang w:eastAsia="pt-BR"/>
              </w:rPr>
            </w:pPr>
            <w:r w:rsidRPr="0073506E">
              <w:rPr>
                <w:rFonts w:ascii="Arial" w:eastAsia="Times New Roman" w:hAnsi="Arial" w:cs="Arial"/>
                <w:sz w:val="20"/>
                <w:szCs w:val="20"/>
                <w:lang w:eastAsia="pt-BR"/>
              </w:rPr>
              <w:t>Mês de Referência</w:t>
            </w:r>
          </w:p>
        </w:tc>
        <w:tc>
          <w:tcPr>
            <w:tcW w:w="1276" w:type="dxa"/>
            <w:tcBorders>
              <w:top w:val="single" w:sz="8" w:space="0" w:color="auto"/>
              <w:left w:val="nil"/>
              <w:bottom w:val="single" w:sz="8" w:space="0" w:color="auto"/>
              <w:right w:val="single" w:sz="8" w:space="0" w:color="auto"/>
            </w:tcBorders>
            <w:shd w:val="clear" w:color="auto" w:fill="auto"/>
            <w:vAlign w:val="center"/>
          </w:tcPr>
          <w:p w14:paraId="610392A9" w14:textId="77777777" w:rsidR="00BD4EA9" w:rsidRPr="0073506E" w:rsidRDefault="00BD4EA9" w:rsidP="008B12A6">
            <w:pPr>
              <w:spacing w:after="0" w:line="240" w:lineRule="auto"/>
              <w:jc w:val="center"/>
              <w:rPr>
                <w:rFonts w:ascii="Arial" w:eastAsia="Times New Roman" w:hAnsi="Arial" w:cs="Arial"/>
                <w:sz w:val="20"/>
                <w:szCs w:val="20"/>
                <w:lang w:eastAsia="pt-BR"/>
              </w:rPr>
            </w:pPr>
            <w:r w:rsidRPr="0073506E">
              <w:rPr>
                <w:rFonts w:ascii="Arial" w:eastAsia="Times New Roman" w:hAnsi="Arial" w:cs="Arial"/>
                <w:sz w:val="20"/>
                <w:szCs w:val="20"/>
                <w:lang w:eastAsia="pt-BR"/>
              </w:rPr>
              <w:t>Inteiro</w:t>
            </w:r>
          </w:p>
        </w:tc>
        <w:tc>
          <w:tcPr>
            <w:tcW w:w="1134" w:type="dxa"/>
            <w:tcBorders>
              <w:top w:val="single" w:sz="8" w:space="0" w:color="auto"/>
              <w:left w:val="nil"/>
              <w:bottom w:val="single" w:sz="8" w:space="0" w:color="auto"/>
              <w:right w:val="single" w:sz="8" w:space="0" w:color="auto"/>
            </w:tcBorders>
            <w:shd w:val="clear" w:color="auto" w:fill="auto"/>
            <w:vAlign w:val="center"/>
          </w:tcPr>
          <w:p w14:paraId="611E3C41" w14:textId="77777777" w:rsidR="00BD4EA9" w:rsidRPr="0073506E" w:rsidRDefault="00EE6277" w:rsidP="008B12A6">
            <w:pPr>
              <w:spacing w:after="0" w:line="240" w:lineRule="auto"/>
              <w:jc w:val="center"/>
              <w:rPr>
                <w:rFonts w:ascii="Arial" w:eastAsia="Times New Roman" w:hAnsi="Arial" w:cs="Arial"/>
                <w:sz w:val="20"/>
                <w:szCs w:val="20"/>
                <w:lang w:eastAsia="pt-BR"/>
              </w:rPr>
            </w:pPr>
            <w:r>
              <w:rPr>
                <w:rFonts w:ascii="Arial" w:eastAsia="Times New Roman" w:hAnsi="Arial" w:cs="Arial"/>
                <w:sz w:val="20"/>
                <w:szCs w:val="20"/>
                <w:lang w:eastAsia="pt-BR"/>
              </w:rPr>
              <w:t>2</w:t>
            </w:r>
          </w:p>
        </w:tc>
        <w:tc>
          <w:tcPr>
            <w:tcW w:w="3260" w:type="dxa"/>
            <w:tcBorders>
              <w:top w:val="single" w:sz="8" w:space="0" w:color="auto"/>
              <w:left w:val="nil"/>
              <w:bottom w:val="single" w:sz="8" w:space="0" w:color="auto"/>
              <w:right w:val="single" w:sz="8" w:space="0" w:color="auto"/>
            </w:tcBorders>
            <w:shd w:val="clear" w:color="auto" w:fill="auto"/>
            <w:vAlign w:val="center"/>
          </w:tcPr>
          <w:p w14:paraId="5FFA61CD" w14:textId="77777777" w:rsidR="00BD4EA9" w:rsidRPr="0073506E" w:rsidRDefault="00BD4EA9" w:rsidP="00BD4EA9">
            <w:pPr>
              <w:spacing w:after="0" w:line="240" w:lineRule="auto"/>
              <w:rPr>
                <w:rFonts w:ascii="Arial" w:eastAsia="Times New Roman" w:hAnsi="Arial" w:cs="Arial"/>
                <w:sz w:val="20"/>
                <w:szCs w:val="20"/>
                <w:lang w:eastAsia="pt-BR"/>
              </w:rPr>
            </w:pPr>
            <w:r w:rsidRPr="0073506E">
              <w:rPr>
                <w:rFonts w:ascii="Arial" w:eastAsia="Times New Roman" w:hAnsi="Arial" w:cs="Arial"/>
                <w:sz w:val="20"/>
                <w:szCs w:val="20"/>
                <w:lang w:eastAsia="pt-BR"/>
              </w:rPr>
              <w:t>Obrigatório</w:t>
            </w:r>
          </w:p>
          <w:p w14:paraId="2386EDA9" w14:textId="77777777" w:rsidR="00BD4EA9" w:rsidRPr="0073506E" w:rsidRDefault="00BD4EA9" w:rsidP="00BD4EA9">
            <w:pPr>
              <w:spacing w:after="0" w:line="240" w:lineRule="auto"/>
              <w:rPr>
                <w:rFonts w:ascii="Arial" w:eastAsia="Times New Roman" w:hAnsi="Arial" w:cs="Arial"/>
                <w:sz w:val="20"/>
                <w:szCs w:val="20"/>
                <w:lang w:eastAsia="pt-BR"/>
              </w:rPr>
            </w:pPr>
            <w:r w:rsidRPr="0073506E">
              <w:rPr>
                <w:rFonts w:ascii="Arial" w:eastAsia="Times New Roman" w:hAnsi="Arial" w:cs="Arial"/>
                <w:sz w:val="20"/>
                <w:szCs w:val="20"/>
                <w:lang w:eastAsia="pt-BR"/>
              </w:rPr>
              <w:t>Execução: Mês 12 (Acumulado até o mês 12)</w:t>
            </w:r>
          </w:p>
          <w:p w14:paraId="0A582D5C" w14:textId="77777777" w:rsidR="00BD4EA9" w:rsidRPr="007F29D2" w:rsidRDefault="00BD4EA9" w:rsidP="00BD4EA9">
            <w:pPr>
              <w:spacing w:after="0" w:line="240" w:lineRule="auto"/>
              <w:rPr>
                <w:rFonts w:ascii="Arial" w:eastAsia="Times New Roman" w:hAnsi="Arial" w:cs="Arial"/>
                <w:sz w:val="20"/>
                <w:szCs w:val="20"/>
                <w:lang w:eastAsia="pt-BR"/>
              </w:rPr>
            </w:pPr>
            <w:r w:rsidRPr="0073506E">
              <w:rPr>
                <w:rFonts w:ascii="Arial" w:eastAsia="Times New Roman" w:hAnsi="Arial" w:cs="Arial"/>
                <w:sz w:val="20"/>
                <w:szCs w:val="20"/>
                <w:lang w:eastAsia="pt-BR"/>
              </w:rPr>
              <w:t>Encerramento: Mês 14 (Acumulado até o mês 14)</w:t>
            </w:r>
          </w:p>
        </w:tc>
      </w:tr>
      <w:tr w:rsidR="007F29D2" w:rsidRPr="007F29D2" w14:paraId="1911C108" w14:textId="77777777" w:rsidTr="008B12A6">
        <w:trPr>
          <w:trHeight w:val="525"/>
        </w:trPr>
        <w:tc>
          <w:tcPr>
            <w:tcW w:w="3559"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070AA49" w14:textId="77777777" w:rsidR="00BD4EA9" w:rsidRPr="007F29D2" w:rsidRDefault="00BD4EA9" w:rsidP="008B12A6">
            <w:pPr>
              <w:spacing w:after="0" w:line="240" w:lineRule="auto"/>
              <w:jc w:val="both"/>
              <w:rPr>
                <w:rFonts w:ascii="Arial" w:eastAsia="Times New Roman" w:hAnsi="Arial" w:cs="Arial"/>
                <w:sz w:val="20"/>
                <w:szCs w:val="20"/>
                <w:lang w:eastAsia="pt-BR"/>
              </w:rPr>
            </w:pPr>
            <w:r w:rsidRPr="007F29D2">
              <w:rPr>
                <w:rFonts w:ascii="Arial" w:eastAsia="Times New Roman" w:hAnsi="Arial" w:cs="Arial"/>
                <w:sz w:val="20"/>
                <w:szCs w:val="20"/>
                <w:lang w:eastAsia="pt-BR"/>
              </w:rPr>
              <w:t xml:space="preserve">Código Contábil </w:t>
            </w:r>
            <w:r w:rsidRPr="007F29D2">
              <w:rPr>
                <w:rFonts w:ascii="Calibri" w:eastAsia="Times New Roman" w:hAnsi="Calibri" w:cs="Arial"/>
                <w:vertAlign w:val="superscript"/>
                <w:lang w:eastAsia="pt-BR"/>
              </w:rPr>
              <w:t>[2]</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14:paraId="6D417787" w14:textId="77777777" w:rsidR="00BD4EA9" w:rsidRPr="007F29D2" w:rsidRDefault="00BD4EA9" w:rsidP="008B12A6">
            <w:pPr>
              <w:spacing w:after="0" w:line="240" w:lineRule="auto"/>
              <w:jc w:val="center"/>
              <w:rPr>
                <w:rFonts w:ascii="Arial" w:eastAsia="Times New Roman" w:hAnsi="Arial" w:cs="Arial"/>
                <w:sz w:val="20"/>
                <w:szCs w:val="20"/>
                <w:lang w:eastAsia="pt-BR"/>
              </w:rPr>
            </w:pPr>
            <w:r w:rsidRPr="007F29D2">
              <w:rPr>
                <w:rFonts w:ascii="Arial" w:eastAsia="Times New Roman" w:hAnsi="Arial" w:cs="Arial"/>
                <w:sz w:val="20"/>
                <w:szCs w:val="20"/>
                <w:lang w:eastAsia="pt-BR"/>
              </w:rPr>
              <w:t>Inteiro</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14:paraId="03935B0D" w14:textId="77777777" w:rsidR="00BD4EA9" w:rsidRPr="007F29D2" w:rsidRDefault="00BD4EA9" w:rsidP="008B12A6">
            <w:pPr>
              <w:spacing w:after="0" w:line="240" w:lineRule="auto"/>
              <w:jc w:val="center"/>
              <w:rPr>
                <w:rFonts w:ascii="Arial" w:eastAsia="Times New Roman" w:hAnsi="Arial" w:cs="Arial"/>
                <w:sz w:val="20"/>
                <w:szCs w:val="20"/>
                <w:lang w:eastAsia="pt-BR"/>
              </w:rPr>
            </w:pPr>
            <w:r w:rsidRPr="007F29D2">
              <w:rPr>
                <w:rFonts w:ascii="Arial" w:eastAsia="Times New Roman" w:hAnsi="Arial" w:cs="Arial"/>
                <w:sz w:val="20"/>
                <w:szCs w:val="20"/>
                <w:lang w:eastAsia="pt-BR"/>
              </w:rPr>
              <w:t>9</w:t>
            </w:r>
          </w:p>
        </w:tc>
        <w:tc>
          <w:tcPr>
            <w:tcW w:w="3260" w:type="dxa"/>
            <w:tcBorders>
              <w:top w:val="single" w:sz="8" w:space="0" w:color="auto"/>
              <w:left w:val="nil"/>
              <w:bottom w:val="single" w:sz="8" w:space="0" w:color="auto"/>
              <w:right w:val="single" w:sz="8" w:space="0" w:color="auto"/>
            </w:tcBorders>
            <w:shd w:val="clear" w:color="auto" w:fill="auto"/>
            <w:vAlign w:val="center"/>
            <w:hideMark/>
          </w:tcPr>
          <w:p w14:paraId="4718AF81" w14:textId="77777777" w:rsidR="00BD4EA9" w:rsidRPr="007F29D2" w:rsidRDefault="00BD4EA9" w:rsidP="008B12A6">
            <w:pPr>
              <w:spacing w:after="0" w:line="240" w:lineRule="auto"/>
              <w:rPr>
                <w:rFonts w:ascii="Arial" w:eastAsia="Times New Roman" w:hAnsi="Arial" w:cs="Arial"/>
                <w:sz w:val="20"/>
                <w:szCs w:val="20"/>
                <w:lang w:eastAsia="pt-BR"/>
              </w:rPr>
            </w:pPr>
            <w:r w:rsidRPr="007F29D2">
              <w:rPr>
                <w:rFonts w:ascii="Arial" w:eastAsia="Times New Roman" w:hAnsi="Arial" w:cs="Arial"/>
                <w:sz w:val="20"/>
                <w:szCs w:val="20"/>
                <w:lang w:eastAsia="pt-BR"/>
              </w:rPr>
              <w:t>Obrigatório – conforme Plano de Contas TCEES (CidadES)</w:t>
            </w:r>
          </w:p>
        </w:tc>
      </w:tr>
      <w:tr w:rsidR="007F29D2" w:rsidRPr="007F29D2" w14:paraId="6DCC1E7C" w14:textId="77777777" w:rsidTr="008B12A6">
        <w:trPr>
          <w:trHeight w:val="1725"/>
        </w:trPr>
        <w:tc>
          <w:tcPr>
            <w:tcW w:w="3559"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927093A" w14:textId="77777777" w:rsidR="00BD4EA9" w:rsidRPr="007F29D2" w:rsidRDefault="00BD4EA9" w:rsidP="008B12A6">
            <w:pPr>
              <w:spacing w:after="0" w:line="240" w:lineRule="auto"/>
              <w:rPr>
                <w:rFonts w:ascii="Arial" w:eastAsia="Times New Roman" w:hAnsi="Arial" w:cs="Arial"/>
                <w:sz w:val="20"/>
                <w:szCs w:val="20"/>
                <w:lang w:eastAsia="pt-BR"/>
              </w:rPr>
            </w:pPr>
            <w:r w:rsidRPr="007F29D2">
              <w:rPr>
                <w:rFonts w:ascii="Arial" w:eastAsia="Times New Roman" w:hAnsi="Arial" w:cs="Arial"/>
                <w:sz w:val="20"/>
                <w:szCs w:val="20"/>
                <w:lang w:eastAsia="pt-BR"/>
              </w:rPr>
              <w:t>Indicador de Superávit Financeiro</w:t>
            </w:r>
            <w:r w:rsidRPr="007F29D2">
              <w:rPr>
                <w:rFonts w:ascii="Calibri" w:eastAsia="Times New Roman" w:hAnsi="Calibri" w:cs="Arial"/>
                <w:sz w:val="24"/>
                <w:szCs w:val="24"/>
                <w:vertAlign w:val="superscript"/>
                <w:lang w:eastAsia="pt-BR"/>
              </w:rPr>
              <w:t>[3]</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14:paraId="4999CE30" w14:textId="77777777" w:rsidR="00BD4EA9" w:rsidRPr="007F29D2" w:rsidRDefault="00BD4EA9" w:rsidP="008B12A6">
            <w:pPr>
              <w:spacing w:after="0" w:line="240" w:lineRule="auto"/>
              <w:jc w:val="center"/>
              <w:rPr>
                <w:rFonts w:ascii="Arial" w:eastAsia="Times New Roman" w:hAnsi="Arial" w:cs="Arial"/>
                <w:sz w:val="20"/>
                <w:szCs w:val="20"/>
                <w:lang w:eastAsia="pt-BR"/>
              </w:rPr>
            </w:pPr>
            <w:r w:rsidRPr="007F29D2">
              <w:rPr>
                <w:rFonts w:ascii="Arial" w:eastAsia="Times New Roman" w:hAnsi="Arial" w:cs="Arial"/>
                <w:sz w:val="20"/>
                <w:szCs w:val="20"/>
                <w:lang w:eastAsia="pt-BR"/>
              </w:rPr>
              <w:t>Caracter</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14:paraId="2C87D24B" w14:textId="77777777" w:rsidR="00BD4EA9" w:rsidRPr="007F29D2" w:rsidRDefault="00BD4EA9" w:rsidP="008B12A6">
            <w:pPr>
              <w:spacing w:after="0" w:line="240" w:lineRule="auto"/>
              <w:jc w:val="center"/>
              <w:rPr>
                <w:rFonts w:ascii="Arial" w:eastAsia="Times New Roman" w:hAnsi="Arial" w:cs="Arial"/>
                <w:sz w:val="20"/>
                <w:szCs w:val="20"/>
                <w:lang w:eastAsia="pt-BR"/>
              </w:rPr>
            </w:pPr>
            <w:r w:rsidRPr="007F29D2">
              <w:rPr>
                <w:rFonts w:ascii="Arial" w:eastAsia="Times New Roman" w:hAnsi="Arial" w:cs="Arial"/>
                <w:sz w:val="20"/>
                <w:szCs w:val="20"/>
                <w:lang w:eastAsia="pt-BR"/>
              </w:rPr>
              <w:t>1</w:t>
            </w:r>
          </w:p>
        </w:tc>
        <w:tc>
          <w:tcPr>
            <w:tcW w:w="3260" w:type="dxa"/>
            <w:tcBorders>
              <w:top w:val="single" w:sz="8" w:space="0" w:color="auto"/>
              <w:left w:val="nil"/>
              <w:bottom w:val="single" w:sz="8" w:space="0" w:color="auto"/>
              <w:right w:val="single" w:sz="8" w:space="0" w:color="auto"/>
            </w:tcBorders>
            <w:shd w:val="clear" w:color="auto" w:fill="auto"/>
            <w:vAlign w:val="center"/>
            <w:hideMark/>
          </w:tcPr>
          <w:p w14:paraId="719B4C54" w14:textId="77777777" w:rsidR="00BD4EA9" w:rsidRPr="007F29D2" w:rsidRDefault="00BD4EA9" w:rsidP="008B12A6">
            <w:pPr>
              <w:spacing w:after="0" w:line="240" w:lineRule="auto"/>
              <w:rPr>
                <w:rFonts w:ascii="Arial" w:eastAsia="Times New Roman" w:hAnsi="Arial" w:cs="Arial"/>
                <w:sz w:val="20"/>
                <w:szCs w:val="20"/>
                <w:lang w:eastAsia="pt-BR"/>
              </w:rPr>
            </w:pPr>
            <w:r w:rsidRPr="007F29D2">
              <w:rPr>
                <w:rFonts w:ascii="Arial" w:eastAsia="Times New Roman" w:hAnsi="Arial" w:cs="Arial"/>
                <w:sz w:val="20"/>
                <w:szCs w:val="20"/>
                <w:lang w:eastAsia="pt-BR"/>
              </w:rPr>
              <w:t>Obrigatório</w:t>
            </w:r>
            <w:r w:rsidRPr="007F29D2">
              <w:rPr>
                <w:rFonts w:ascii="Arial" w:eastAsia="Times New Roman" w:hAnsi="Arial" w:cs="Arial"/>
                <w:sz w:val="20"/>
                <w:szCs w:val="20"/>
                <w:lang w:eastAsia="pt-BR"/>
              </w:rPr>
              <w:br/>
              <w:t>Deve ser:</w:t>
            </w:r>
            <w:r w:rsidRPr="007F29D2">
              <w:rPr>
                <w:rFonts w:ascii="Arial" w:eastAsia="Times New Roman" w:hAnsi="Arial" w:cs="Arial"/>
                <w:sz w:val="20"/>
                <w:szCs w:val="20"/>
                <w:lang w:eastAsia="pt-BR"/>
              </w:rPr>
              <w:br/>
            </w:r>
            <w:r w:rsidRPr="007F29D2">
              <w:rPr>
                <w:rFonts w:ascii="Arial" w:eastAsia="Times New Roman" w:hAnsi="Arial" w:cs="Arial"/>
                <w:b/>
                <w:bCs/>
                <w:sz w:val="20"/>
                <w:szCs w:val="20"/>
                <w:lang w:eastAsia="pt-BR"/>
              </w:rPr>
              <w:t>F - Financeiro</w:t>
            </w:r>
            <w:r w:rsidRPr="007F29D2">
              <w:rPr>
                <w:rFonts w:ascii="Arial" w:eastAsia="Times New Roman" w:hAnsi="Arial" w:cs="Arial"/>
                <w:b/>
                <w:bCs/>
                <w:sz w:val="20"/>
                <w:szCs w:val="20"/>
                <w:lang w:eastAsia="pt-BR"/>
              </w:rPr>
              <w:br/>
              <w:t>P - Permanente</w:t>
            </w:r>
            <w:r w:rsidRPr="007F29D2">
              <w:rPr>
                <w:rFonts w:ascii="Arial" w:eastAsia="Times New Roman" w:hAnsi="Arial" w:cs="Arial"/>
                <w:sz w:val="20"/>
                <w:szCs w:val="20"/>
                <w:lang w:eastAsia="pt-BR"/>
              </w:rPr>
              <w:br/>
              <w:t>Se a conta contábil não possuir tal atributo, a TAG não deverá ser enviada.</w:t>
            </w:r>
          </w:p>
        </w:tc>
      </w:tr>
      <w:tr w:rsidR="007F29D2" w:rsidRPr="007F29D2" w14:paraId="57C8A02E" w14:textId="77777777" w:rsidTr="008B12A6">
        <w:trPr>
          <w:trHeight w:val="315"/>
        </w:trPr>
        <w:tc>
          <w:tcPr>
            <w:tcW w:w="3559" w:type="dxa"/>
            <w:tcBorders>
              <w:top w:val="nil"/>
              <w:left w:val="single" w:sz="8" w:space="0" w:color="auto"/>
              <w:bottom w:val="single" w:sz="8" w:space="0" w:color="auto"/>
              <w:right w:val="single" w:sz="8" w:space="0" w:color="auto"/>
            </w:tcBorders>
            <w:shd w:val="clear" w:color="auto" w:fill="auto"/>
            <w:vAlign w:val="center"/>
            <w:hideMark/>
          </w:tcPr>
          <w:p w14:paraId="4ABA7182" w14:textId="77777777" w:rsidR="00BD4EA9" w:rsidRPr="007F29D2" w:rsidRDefault="00BD4EA9" w:rsidP="008B12A6">
            <w:pPr>
              <w:spacing w:after="0" w:line="240" w:lineRule="auto"/>
              <w:rPr>
                <w:rFonts w:ascii="Arial" w:eastAsia="Times New Roman" w:hAnsi="Arial" w:cs="Arial"/>
                <w:sz w:val="20"/>
                <w:szCs w:val="20"/>
                <w:lang w:eastAsia="pt-BR"/>
              </w:rPr>
            </w:pPr>
            <w:r w:rsidRPr="007F29D2">
              <w:rPr>
                <w:rFonts w:ascii="Arial" w:eastAsia="Times New Roman" w:hAnsi="Arial" w:cs="Arial"/>
                <w:sz w:val="20"/>
                <w:szCs w:val="20"/>
                <w:lang w:eastAsia="pt-BR"/>
              </w:rPr>
              <w:t>Saldo Inicial do Exercício</w:t>
            </w:r>
          </w:p>
        </w:tc>
        <w:tc>
          <w:tcPr>
            <w:tcW w:w="1276" w:type="dxa"/>
            <w:tcBorders>
              <w:top w:val="nil"/>
              <w:left w:val="nil"/>
              <w:bottom w:val="single" w:sz="8" w:space="0" w:color="auto"/>
              <w:right w:val="single" w:sz="8" w:space="0" w:color="auto"/>
            </w:tcBorders>
            <w:shd w:val="clear" w:color="auto" w:fill="auto"/>
            <w:vAlign w:val="center"/>
            <w:hideMark/>
          </w:tcPr>
          <w:p w14:paraId="6DA168CF" w14:textId="77777777" w:rsidR="00BD4EA9" w:rsidRPr="007F29D2" w:rsidRDefault="00BD4EA9" w:rsidP="008B12A6">
            <w:pPr>
              <w:spacing w:after="0" w:line="240" w:lineRule="auto"/>
              <w:jc w:val="center"/>
              <w:rPr>
                <w:rFonts w:ascii="Arial" w:eastAsia="Times New Roman" w:hAnsi="Arial" w:cs="Arial"/>
                <w:sz w:val="20"/>
                <w:szCs w:val="20"/>
                <w:lang w:eastAsia="pt-BR"/>
              </w:rPr>
            </w:pPr>
            <w:r w:rsidRPr="007F29D2">
              <w:rPr>
                <w:rFonts w:ascii="Arial" w:eastAsia="Times New Roman" w:hAnsi="Arial" w:cs="Arial"/>
                <w:sz w:val="20"/>
                <w:szCs w:val="20"/>
                <w:lang w:eastAsia="pt-BR"/>
              </w:rPr>
              <w:t>Decimal</w:t>
            </w:r>
          </w:p>
        </w:tc>
        <w:tc>
          <w:tcPr>
            <w:tcW w:w="1134" w:type="dxa"/>
            <w:tcBorders>
              <w:top w:val="nil"/>
              <w:left w:val="nil"/>
              <w:bottom w:val="single" w:sz="8" w:space="0" w:color="auto"/>
              <w:right w:val="single" w:sz="8" w:space="0" w:color="auto"/>
            </w:tcBorders>
            <w:shd w:val="clear" w:color="auto" w:fill="auto"/>
            <w:vAlign w:val="center"/>
            <w:hideMark/>
          </w:tcPr>
          <w:p w14:paraId="643EAC35" w14:textId="77777777" w:rsidR="00BD4EA9" w:rsidRPr="007F29D2" w:rsidRDefault="00BD4EA9" w:rsidP="008B12A6">
            <w:pPr>
              <w:spacing w:after="0" w:line="240" w:lineRule="auto"/>
              <w:jc w:val="center"/>
              <w:rPr>
                <w:rFonts w:ascii="Arial" w:eastAsia="Times New Roman" w:hAnsi="Arial" w:cs="Arial"/>
                <w:sz w:val="20"/>
                <w:szCs w:val="20"/>
                <w:lang w:eastAsia="pt-BR"/>
              </w:rPr>
            </w:pPr>
            <w:r w:rsidRPr="007F29D2">
              <w:rPr>
                <w:rFonts w:ascii="Arial" w:eastAsia="Times New Roman" w:hAnsi="Arial" w:cs="Arial"/>
                <w:sz w:val="20"/>
                <w:szCs w:val="20"/>
                <w:lang w:eastAsia="pt-BR"/>
              </w:rPr>
              <w:t>(14,2)</w:t>
            </w:r>
          </w:p>
        </w:tc>
        <w:tc>
          <w:tcPr>
            <w:tcW w:w="3260" w:type="dxa"/>
            <w:tcBorders>
              <w:top w:val="nil"/>
              <w:left w:val="nil"/>
              <w:bottom w:val="single" w:sz="8" w:space="0" w:color="auto"/>
              <w:right w:val="single" w:sz="8" w:space="0" w:color="auto"/>
            </w:tcBorders>
            <w:shd w:val="clear" w:color="auto" w:fill="auto"/>
            <w:vAlign w:val="center"/>
            <w:hideMark/>
          </w:tcPr>
          <w:p w14:paraId="53615361" w14:textId="77777777" w:rsidR="00BD4EA9" w:rsidRPr="007F29D2" w:rsidRDefault="00BD4EA9" w:rsidP="008B12A6">
            <w:pPr>
              <w:spacing w:after="0" w:line="240" w:lineRule="auto"/>
              <w:rPr>
                <w:rFonts w:ascii="Arial" w:eastAsia="Times New Roman" w:hAnsi="Arial" w:cs="Arial"/>
                <w:sz w:val="20"/>
                <w:szCs w:val="20"/>
                <w:lang w:eastAsia="pt-BR"/>
              </w:rPr>
            </w:pPr>
            <w:r w:rsidRPr="007F29D2">
              <w:rPr>
                <w:rFonts w:ascii="Arial" w:eastAsia="Times New Roman" w:hAnsi="Arial" w:cs="Arial"/>
                <w:sz w:val="20"/>
                <w:szCs w:val="20"/>
                <w:lang w:eastAsia="pt-BR"/>
              </w:rPr>
              <w:t>Obrigatório</w:t>
            </w:r>
          </w:p>
        </w:tc>
      </w:tr>
      <w:tr w:rsidR="007F29D2" w:rsidRPr="007F29D2" w14:paraId="42D992EC" w14:textId="77777777" w:rsidTr="008B12A6">
        <w:trPr>
          <w:trHeight w:val="1200"/>
        </w:trPr>
        <w:tc>
          <w:tcPr>
            <w:tcW w:w="3559" w:type="dxa"/>
            <w:tcBorders>
              <w:top w:val="nil"/>
              <w:left w:val="single" w:sz="8" w:space="0" w:color="auto"/>
              <w:bottom w:val="single" w:sz="8" w:space="0" w:color="auto"/>
              <w:right w:val="single" w:sz="8" w:space="0" w:color="auto"/>
            </w:tcBorders>
            <w:shd w:val="clear" w:color="auto" w:fill="auto"/>
            <w:vAlign w:val="center"/>
            <w:hideMark/>
          </w:tcPr>
          <w:p w14:paraId="46B5ECC9" w14:textId="77777777" w:rsidR="00BD4EA9" w:rsidRPr="007F29D2" w:rsidRDefault="00BD4EA9" w:rsidP="008B12A6">
            <w:pPr>
              <w:spacing w:after="0" w:line="240" w:lineRule="auto"/>
              <w:rPr>
                <w:rFonts w:ascii="Arial" w:eastAsia="Times New Roman" w:hAnsi="Arial" w:cs="Arial"/>
                <w:sz w:val="20"/>
                <w:szCs w:val="20"/>
                <w:lang w:eastAsia="pt-BR"/>
              </w:rPr>
            </w:pPr>
            <w:r w:rsidRPr="007F29D2">
              <w:rPr>
                <w:rFonts w:ascii="Arial" w:eastAsia="Times New Roman" w:hAnsi="Arial" w:cs="Arial"/>
                <w:sz w:val="20"/>
                <w:szCs w:val="20"/>
                <w:lang w:eastAsia="pt-BR"/>
              </w:rPr>
              <w:t>Natureza do Saldo Inicial</w:t>
            </w:r>
          </w:p>
        </w:tc>
        <w:tc>
          <w:tcPr>
            <w:tcW w:w="1276" w:type="dxa"/>
            <w:tcBorders>
              <w:top w:val="nil"/>
              <w:left w:val="nil"/>
              <w:bottom w:val="single" w:sz="8" w:space="0" w:color="auto"/>
              <w:right w:val="single" w:sz="8" w:space="0" w:color="auto"/>
            </w:tcBorders>
            <w:shd w:val="clear" w:color="auto" w:fill="auto"/>
            <w:vAlign w:val="center"/>
            <w:hideMark/>
          </w:tcPr>
          <w:p w14:paraId="4C49C052" w14:textId="77777777" w:rsidR="00BD4EA9" w:rsidRPr="007F29D2" w:rsidRDefault="00BD4EA9" w:rsidP="008B12A6">
            <w:pPr>
              <w:spacing w:after="0" w:line="240" w:lineRule="auto"/>
              <w:jc w:val="center"/>
              <w:rPr>
                <w:rFonts w:ascii="Arial" w:eastAsia="Times New Roman" w:hAnsi="Arial" w:cs="Arial"/>
                <w:sz w:val="20"/>
                <w:szCs w:val="20"/>
                <w:lang w:eastAsia="pt-BR"/>
              </w:rPr>
            </w:pPr>
            <w:r w:rsidRPr="007F29D2">
              <w:rPr>
                <w:rFonts w:ascii="Arial" w:eastAsia="Times New Roman" w:hAnsi="Arial" w:cs="Arial"/>
                <w:sz w:val="20"/>
                <w:szCs w:val="20"/>
                <w:lang w:eastAsia="pt-BR"/>
              </w:rPr>
              <w:t>Caracter</w:t>
            </w:r>
          </w:p>
        </w:tc>
        <w:tc>
          <w:tcPr>
            <w:tcW w:w="1134" w:type="dxa"/>
            <w:tcBorders>
              <w:top w:val="nil"/>
              <w:left w:val="nil"/>
              <w:bottom w:val="single" w:sz="8" w:space="0" w:color="auto"/>
              <w:right w:val="single" w:sz="8" w:space="0" w:color="auto"/>
            </w:tcBorders>
            <w:shd w:val="clear" w:color="auto" w:fill="auto"/>
            <w:vAlign w:val="center"/>
            <w:hideMark/>
          </w:tcPr>
          <w:p w14:paraId="4463F9CF" w14:textId="77777777" w:rsidR="00BD4EA9" w:rsidRPr="007F29D2" w:rsidRDefault="00BD4EA9" w:rsidP="008B12A6">
            <w:pPr>
              <w:spacing w:after="0" w:line="240" w:lineRule="auto"/>
              <w:jc w:val="center"/>
              <w:rPr>
                <w:rFonts w:ascii="Arial" w:eastAsia="Times New Roman" w:hAnsi="Arial" w:cs="Arial"/>
                <w:sz w:val="20"/>
                <w:szCs w:val="20"/>
                <w:lang w:eastAsia="pt-BR"/>
              </w:rPr>
            </w:pPr>
            <w:r w:rsidRPr="007F29D2">
              <w:rPr>
                <w:rFonts w:ascii="Arial" w:eastAsia="Times New Roman" w:hAnsi="Arial" w:cs="Arial"/>
                <w:sz w:val="20"/>
                <w:szCs w:val="20"/>
                <w:lang w:eastAsia="pt-BR"/>
              </w:rPr>
              <w:t>1</w:t>
            </w:r>
          </w:p>
        </w:tc>
        <w:tc>
          <w:tcPr>
            <w:tcW w:w="3260" w:type="dxa"/>
            <w:tcBorders>
              <w:top w:val="nil"/>
              <w:left w:val="nil"/>
              <w:bottom w:val="single" w:sz="8" w:space="0" w:color="auto"/>
              <w:right w:val="single" w:sz="8" w:space="0" w:color="auto"/>
            </w:tcBorders>
            <w:shd w:val="clear" w:color="auto" w:fill="auto"/>
            <w:vAlign w:val="center"/>
            <w:hideMark/>
          </w:tcPr>
          <w:p w14:paraId="4A7342E1" w14:textId="77777777" w:rsidR="00BD4EA9" w:rsidRPr="007F29D2" w:rsidRDefault="00BD4EA9" w:rsidP="008B12A6">
            <w:pPr>
              <w:spacing w:after="0" w:line="240" w:lineRule="auto"/>
              <w:rPr>
                <w:rFonts w:ascii="Arial" w:eastAsia="Times New Roman" w:hAnsi="Arial" w:cs="Arial"/>
                <w:sz w:val="20"/>
                <w:szCs w:val="20"/>
                <w:lang w:eastAsia="pt-BR"/>
              </w:rPr>
            </w:pPr>
            <w:r w:rsidRPr="007F29D2">
              <w:rPr>
                <w:rFonts w:ascii="Arial" w:eastAsia="Times New Roman" w:hAnsi="Arial" w:cs="Arial"/>
                <w:sz w:val="20"/>
                <w:szCs w:val="20"/>
                <w:lang w:eastAsia="pt-BR"/>
              </w:rPr>
              <w:t>Obrigatório</w:t>
            </w:r>
            <w:r w:rsidRPr="007F29D2">
              <w:rPr>
                <w:rFonts w:ascii="Arial" w:eastAsia="Times New Roman" w:hAnsi="Arial" w:cs="Arial"/>
                <w:sz w:val="20"/>
                <w:szCs w:val="20"/>
                <w:lang w:eastAsia="pt-BR"/>
              </w:rPr>
              <w:br/>
              <w:t>Deve ser:</w:t>
            </w:r>
            <w:r w:rsidRPr="007F29D2">
              <w:rPr>
                <w:rFonts w:ascii="Arial" w:eastAsia="Times New Roman" w:hAnsi="Arial" w:cs="Arial"/>
                <w:sz w:val="20"/>
                <w:szCs w:val="20"/>
                <w:lang w:eastAsia="pt-BR"/>
              </w:rPr>
              <w:br/>
            </w:r>
            <w:r w:rsidRPr="007F29D2">
              <w:rPr>
                <w:rFonts w:ascii="Arial" w:eastAsia="Times New Roman" w:hAnsi="Arial" w:cs="Arial"/>
                <w:b/>
                <w:bCs/>
                <w:sz w:val="20"/>
                <w:szCs w:val="20"/>
                <w:lang w:eastAsia="pt-BR"/>
              </w:rPr>
              <w:t>D - p/ saldo Devedor</w:t>
            </w:r>
            <w:r w:rsidRPr="007F29D2">
              <w:rPr>
                <w:rFonts w:ascii="Arial" w:eastAsia="Times New Roman" w:hAnsi="Arial" w:cs="Arial"/>
                <w:sz w:val="20"/>
                <w:szCs w:val="20"/>
                <w:lang w:eastAsia="pt-BR"/>
              </w:rPr>
              <w:br/>
            </w:r>
            <w:r w:rsidRPr="007F29D2">
              <w:rPr>
                <w:rFonts w:ascii="Arial" w:eastAsia="Times New Roman" w:hAnsi="Arial" w:cs="Arial"/>
                <w:b/>
                <w:bCs/>
                <w:sz w:val="20"/>
                <w:szCs w:val="20"/>
                <w:lang w:eastAsia="pt-BR"/>
              </w:rPr>
              <w:t>C - p/ saldo credor</w:t>
            </w:r>
            <w:r w:rsidRPr="007F29D2">
              <w:rPr>
                <w:rFonts w:ascii="Arial" w:eastAsia="Times New Roman" w:hAnsi="Arial" w:cs="Arial"/>
                <w:sz w:val="20"/>
                <w:szCs w:val="20"/>
                <w:lang w:eastAsia="pt-BR"/>
              </w:rPr>
              <w:t>.</w:t>
            </w:r>
          </w:p>
        </w:tc>
      </w:tr>
      <w:tr w:rsidR="007F29D2" w:rsidRPr="007F29D2" w14:paraId="2D0079DA" w14:textId="77777777" w:rsidTr="008B12A6">
        <w:trPr>
          <w:trHeight w:val="315"/>
        </w:trPr>
        <w:tc>
          <w:tcPr>
            <w:tcW w:w="3559" w:type="dxa"/>
            <w:tcBorders>
              <w:top w:val="nil"/>
              <w:left w:val="single" w:sz="8" w:space="0" w:color="auto"/>
              <w:bottom w:val="single" w:sz="8" w:space="0" w:color="auto"/>
              <w:right w:val="single" w:sz="8" w:space="0" w:color="auto"/>
            </w:tcBorders>
            <w:shd w:val="clear" w:color="auto" w:fill="auto"/>
            <w:vAlign w:val="center"/>
            <w:hideMark/>
          </w:tcPr>
          <w:p w14:paraId="2FE631C4" w14:textId="77777777" w:rsidR="00BD4EA9" w:rsidRPr="007F29D2" w:rsidRDefault="00BD4EA9" w:rsidP="008B12A6">
            <w:pPr>
              <w:spacing w:after="0" w:line="240" w:lineRule="auto"/>
              <w:rPr>
                <w:rFonts w:ascii="Arial" w:eastAsia="Times New Roman" w:hAnsi="Arial" w:cs="Arial"/>
                <w:sz w:val="20"/>
                <w:szCs w:val="20"/>
                <w:lang w:eastAsia="pt-BR"/>
              </w:rPr>
            </w:pPr>
            <w:r w:rsidRPr="007F29D2">
              <w:rPr>
                <w:rFonts w:ascii="Arial" w:eastAsia="Times New Roman" w:hAnsi="Arial" w:cs="Arial"/>
                <w:sz w:val="20"/>
                <w:szCs w:val="20"/>
                <w:lang w:eastAsia="pt-BR"/>
              </w:rPr>
              <w:t>Movimento de débito no Exercício</w:t>
            </w:r>
          </w:p>
        </w:tc>
        <w:tc>
          <w:tcPr>
            <w:tcW w:w="1276" w:type="dxa"/>
            <w:tcBorders>
              <w:top w:val="nil"/>
              <w:left w:val="nil"/>
              <w:bottom w:val="single" w:sz="8" w:space="0" w:color="auto"/>
              <w:right w:val="single" w:sz="8" w:space="0" w:color="auto"/>
            </w:tcBorders>
            <w:shd w:val="clear" w:color="auto" w:fill="auto"/>
            <w:vAlign w:val="center"/>
            <w:hideMark/>
          </w:tcPr>
          <w:p w14:paraId="2D0FF15D" w14:textId="77777777" w:rsidR="00BD4EA9" w:rsidRPr="007F29D2" w:rsidRDefault="00BD4EA9" w:rsidP="008B12A6">
            <w:pPr>
              <w:spacing w:after="0" w:line="240" w:lineRule="auto"/>
              <w:jc w:val="center"/>
              <w:rPr>
                <w:rFonts w:ascii="Arial" w:eastAsia="Times New Roman" w:hAnsi="Arial" w:cs="Arial"/>
                <w:sz w:val="20"/>
                <w:szCs w:val="20"/>
                <w:lang w:eastAsia="pt-BR"/>
              </w:rPr>
            </w:pPr>
            <w:r w:rsidRPr="007F29D2">
              <w:rPr>
                <w:rFonts w:ascii="Arial" w:eastAsia="Times New Roman" w:hAnsi="Arial" w:cs="Arial"/>
                <w:sz w:val="20"/>
                <w:szCs w:val="20"/>
                <w:lang w:eastAsia="pt-BR"/>
              </w:rPr>
              <w:t>Decimal</w:t>
            </w:r>
          </w:p>
        </w:tc>
        <w:tc>
          <w:tcPr>
            <w:tcW w:w="1134" w:type="dxa"/>
            <w:tcBorders>
              <w:top w:val="nil"/>
              <w:left w:val="nil"/>
              <w:bottom w:val="single" w:sz="8" w:space="0" w:color="auto"/>
              <w:right w:val="single" w:sz="8" w:space="0" w:color="auto"/>
            </w:tcBorders>
            <w:shd w:val="clear" w:color="auto" w:fill="auto"/>
            <w:vAlign w:val="center"/>
            <w:hideMark/>
          </w:tcPr>
          <w:p w14:paraId="57AB495C" w14:textId="77777777" w:rsidR="00BD4EA9" w:rsidRPr="007F29D2" w:rsidRDefault="00BD4EA9" w:rsidP="008B12A6">
            <w:pPr>
              <w:spacing w:after="0" w:line="240" w:lineRule="auto"/>
              <w:jc w:val="center"/>
              <w:rPr>
                <w:rFonts w:ascii="Arial" w:eastAsia="Times New Roman" w:hAnsi="Arial" w:cs="Arial"/>
                <w:sz w:val="20"/>
                <w:szCs w:val="20"/>
                <w:lang w:eastAsia="pt-BR"/>
              </w:rPr>
            </w:pPr>
            <w:r w:rsidRPr="007F29D2">
              <w:rPr>
                <w:rFonts w:ascii="Arial" w:eastAsia="Times New Roman" w:hAnsi="Arial" w:cs="Arial"/>
                <w:sz w:val="20"/>
                <w:szCs w:val="20"/>
                <w:lang w:eastAsia="pt-BR"/>
              </w:rPr>
              <w:t>(14,2)</w:t>
            </w:r>
          </w:p>
        </w:tc>
        <w:tc>
          <w:tcPr>
            <w:tcW w:w="3260" w:type="dxa"/>
            <w:tcBorders>
              <w:top w:val="nil"/>
              <w:left w:val="nil"/>
              <w:bottom w:val="single" w:sz="8" w:space="0" w:color="auto"/>
              <w:right w:val="single" w:sz="8" w:space="0" w:color="auto"/>
            </w:tcBorders>
            <w:shd w:val="clear" w:color="auto" w:fill="auto"/>
            <w:vAlign w:val="center"/>
            <w:hideMark/>
          </w:tcPr>
          <w:p w14:paraId="612A40B0" w14:textId="77777777" w:rsidR="00BD4EA9" w:rsidRPr="007F29D2" w:rsidRDefault="00BD4EA9" w:rsidP="008B12A6">
            <w:pPr>
              <w:spacing w:after="0" w:line="240" w:lineRule="auto"/>
              <w:rPr>
                <w:rFonts w:ascii="Arial" w:eastAsia="Times New Roman" w:hAnsi="Arial" w:cs="Arial"/>
                <w:sz w:val="20"/>
                <w:szCs w:val="20"/>
                <w:lang w:eastAsia="pt-BR"/>
              </w:rPr>
            </w:pPr>
            <w:r w:rsidRPr="007F29D2">
              <w:rPr>
                <w:rFonts w:ascii="Arial" w:eastAsia="Times New Roman" w:hAnsi="Arial" w:cs="Arial"/>
                <w:sz w:val="20"/>
                <w:szCs w:val="20"/>
                <w:lang w:eastAsia="pt-BR"/>
              </w:rPr>
              <w:t>Obrigatório</w:t>
            </w:r>
          </w:p>
        </w:tc>
      </w:tr>
      <w:tr w:rsidR="007F29D2" w:rsidRPr="007F29D2" w14:paraId="74E31923" w14:textId="77777777" w:rsidTr="008B12A6">
        <w:trPr>
          <w:trHeight w:val="315"/>
        </w:trPr>
        <w:tc>
          <w:tcPr>
            <w:tcW w:w="3559" w:type="dxa"/>
            <w:tcBorders>
              <w:top w:val="nil"/>
              <w:left w:val="single" w:sz="8" w:space="0" w:color="auto"/>
              <w:bottom w:val="single" w:sz="8" w:space="0" w:color="auto"/>
              <w:right w:val="single" w:sz="8" w:space="0" w:color="auto"/>
            </w:tcBorders>
            <w:shd w:val="clear" w:color="auto" w:fill="auto"/>
            <w:vAlign w:val="center"/>
            <w:hideMark/>
          </w:tcPr>
          <w:p w14:paraId="064F78D7" w14:textId="77777777" w:rsidR="00BD4EA9" w:rsidRPr="007F29D2" w:rsidRDefault="00BD4EA9" w:rsidP="008B12A6">
            <w:pPr>
              <w:spacing w:after="0" w:line="240" w:lineRule="auto"/>
              <w:rPr>
                <w:rFonts w:ascii="Arial" w:eastAsia="Times New Roman" w:hAnsi="Arial" w:cs="Arial"/>
                <w:sz w:val="20"/>
                <w:szCs w:val="20"/>
                <w:lang w:eastAsia="pt-BR"/>
              </w:rPr>
            </w:pPr>
            <w:r w:rsidRPr="007F29D2">
              <w:rPr>
                <w:rFonts w:ascii="Arial" w:eastAsia="Times New Roman" w:hAnsi="Arial" w:cs="Arial"/>
                <w:sz w:val="20"/>
                <w:szCs w:val="20"/>
                <w:lang w:eastAsia="pt-BR"/>
              </w:rPr>
              <w:t>Movimento de crédito no Exercício</w:t>
            </w:r>
          </w:p>
        </w:tc>
        <w:tc>
          <w:tcPr>
            <w:tcW w:w="1276" w:type="dxa"/>
            <w:tcBorders>
              <w:top w:val="nil"/>
              <w:left w:val="nil"/>
              <w:bottom w:val="single" w:sz="8" w:space="0" w:color="auto"/>
              <w:right w:val="single" w:sz="8" w:space="0" w:color="auto"/>
            </w:tcBorders>
            <w:shd w:val="clear" w:color="auto" w:fill="auto"/>
            <w:vAlign w:val="center"/>
            <w:hideMark/>
          </w:tcPr>
          <w:p w14:paraId="31DB7F03" w14:textId="77777777" w:rsidR="00BD4EA9" w:rsidRPr="007F29D2" w:rsidRDefault="00BD4EA9" w:rsidP="008B12A6">
            <w:pPr>
              <w:spacing w:after="0" w:line="240" w:lineRule="auto"/>
              <w:jc w:val="center"/>
              <w:rPr>
                <w:rFonts w:ascii="Arial" w:eastAsia="Times New Roman" w:hAnsi="Arial" w:cs="Arial"/>
                <w:sz w:val="20"/>
                <w:szCs w:val="20"/>
                <w:lang w:eastAsia="pt-BR"/>
              </w:rPr>
            </w:pPr>
            <w:r w:rsidRPr="007F29D2">
              <w:rPr>
                <w:rFonts w:ascii="Arial" w:eastAsia="Times New Roman" w:hAnsi="Arial" w:cs="Arial"/>
                <w:sz w:val="20"/>
                <w:szCs w:val="20"/>
                <w:lang w:eastAsia="pt-BR"/>
              </w:rPr>
              <w:t>Decimal</w:t>
            </w:r>
          </w:p>
        </w:tc>
        <w:tc>
          <w:tcPr>
            <w:tcW w:w="1134" w:type="dxa"/>
            <w:tcBorders>
              <w:top w:val="nil"/>
              <w:left w:val="nil"/>
              <w:bottom w:val="single" w:sz="8" w:space="0" w:color="auto"/>
              <w:right w:val="single" w:sz="8" w:space="0" w:color="auto"/>
            </w:tcBorders>
            <w:shd w:val="clear" w:color="auto" w:fill="auto"/>
            <w:vAlign w:val="center"/>
            <w:hideMark/>
          </w:tcPr>
          <w:p w14:paraId="4CA464B0" w14:textId="77777777" w:rsidR="00BD4EA9" w:rsidRPr="007F29D2" w:rsidRDefault="00BD4EA9" w:rsidP="008B12A6">
            <w:pPr>
              <w:spacing w:after="0" w:line="240" w:lineRule="auto"/>
              <w:jc w:val="center"/>
              <w:rPr>
                <w:rFonts w:ascii="Arial" w:eastAsia="Times New Roman" w:hAnsi="Arial" w:cs="Arial"/>
                <w:sz w:val="20"/>
                <w:szCs w:val="20"/>
                <w:lang w:eastAsia="pt-BR"/>
              </w:rPr>
            </w:pPr>
            <w:r w:rsidRPr="007F29D2">
              <w:rPr>
                <w:rFonts w:ascii="Arial" w:eastAsia="Times New Roman" w:hAnsi="Arial" w:cs="Arial"/>
                <w:sz w:val="20"/>
                <w:szCs w:val="20"/>
                <w:lang w:eastAsia="pt-BR"/>
              </w:rPr>
              <w:t>(14,2)</w:t>
            </w:r>
          </w:p>
        </w:tc>
        <w:tc>
          <w:tcPr>
            <w:tcW w:w="3260" w:type="dxa"/>
            <w:tcBorders>
              <w:top w:val="nil"/>
              <w:left w:val="nil"/>
              <w:bottom w:val="single" w:sz="8" w:space="0" w:color="auto"/>
              <w:right w:val="single" w:sz="8" w:space="0" w:color="auto"/>
            </w:tcBorders>
            <w:shd w:val="clear" w:color="auto" w:fill="auto"/>
            <w:vAlign w:val="center"/>
            <w:hideMark/>
          </w:tcPr>
          <w:p w14:paraId="59B7A288" w14:textId="77777777" w:rsidR="00BD4EA9" w:rsidRPr="007F29D2" w:rsidRDefault="00BD4EA9" w:rsidP="008B12A6">
            <w:pPr>
              <w:spacing w:after="0" w:line="240" w:lineRule="auto"/>
              <w:rPr>
                <w:rFonts w:ascii="Arial" w:eastAsia="Times New Roman" w:hAnsi="Arial" w:cs="Arial"/>
                <w:sz w:val="20"/>
                <w:szCs w:val="20"/>
                <w:lang w:eastAsia="pt-BR"/>
              </w:rPr>
            </w:pPr>
            <w:r w:rsidRPr="007F29D2">
              <w:rPr>
                <w:rFonts w:ascii="Arial" w:eastAsia="Times New Roman" w:hAnsi="Arial" w:cs="Arial"/>
                <w:sz w:val="20"/>
                <w:szCs w:val="20"/>
                <w:lang w:eastAsia="pt-BR"/>
              </w:rPr>
              <w:t>Obrigatório</w:t>
            </w:r>
          </w:p>
        </w:tc>
      </w:tr>
      <w:tr w:rsidR="007F29D2" w:rsidRPr="007F29D2" w14:paraId="02611BE0" w14:textId="77777777" w:rsidTr="008B12A6">
        <w:trPr>
          <w:trHeight w:val="315"/>
        </w:trPr>
        <w:tc>
          <w:tcPr>
            <w:tcW w:w="3559" w:type="dxa"/>
            <w:tcBorders>
              <w:top w:val="nil"/>
              <w:left w:val="single" w:sz="8" w:space="0" w:color="auto"/>
              <w:bottom w:val="single" w:sz="8" w:space="0" w:color="auto"/>
              <w:right w:val="single" w:sz="8" w:space="0" w:color="auto"/>
            </w:tcBorders>
            <w:shd w:val="clear" w:color="auto" w:fill="auto"/>
            <w:vAlign w:val="center"/>
            <w:hideMark/>
          </w:tcPr>
          <w:p w14:paraId="47485CD5" w14:textId="77777777" w:rsidR="00BD4EA9" w:rsidRPr="007F29D2" w:rsidRDefault="00BD4EA9" w:rsidP="008B12A6">
            <w:pPr>
              <w:spacing w:after="0" w:line="240" w:lineRule="auto"/>
              <w:rPr>
                <w:rFonts w:ascii="Arial" w:eastAsia="Times New Roman" w:hAnsi="Arial" w:cs="Arial"/>
                <w:sz w:val="20"/>
                <w:szCs w:val="20"/>
                <w:lang w:eastAsia="pt-BR"/>
              </w:rPr>
            </w:pPr>
            <w:r w:rsidRPr="007F29D2">
              <w:rPr>
                <w:rFonts w:ascii="Arial" w:eastAsia="Times New Roman" w:hAnsi="Arial" w:cs="Arial"/>
                <w:sz w:val="20"/>
                <w:szCs w:val="20"/>
                <w:lang w:eastAsia="pt-BR"/>
              </w:rPr>
              <w:t>Saldo Final do Exercício</w:t>
            </w:r>
          </w:p>
        </w:tc>
        <w:tc>
          <w:tcPr>
            <w:tcW w:w="1276" w:type="dxa"/>
            <w:tcBorders>
              <w:top w:val="nil"/>
              <w:left w:val="nil"/>
              <w:bottom w:val="single" w:sz="8" w:space="0" w:color="auto"/>
              <w:right w:val="single" w:sz="8" w:space="0" w:color="auto"/>
            </w:tcBorders>
            <w:shd w:val="clear" w:color="auto" w:fill="auto"/>
            <w:vAlign w:val="center"/>
            <w:hideMark/>
          </w:tcPr>
          <w:p w14:paraId="3E1E40CE" w14:textId="77777777" w:rsidR="00BD4EA9" w:rsidRPr="007F29D2" w:rsidRDefault="00BD4EA9" w:rsidP="008B12A6">
            <w:pPr>
              <w:spacing w:after="0" w:line="240" w:lineRule="auto"/>
              <w:jc w:val="center"/>
              <w:rPr>
                <w:rFonts w:ascii="Arial" w:eastAsia="Times New Roman" w:hAnsi="Arial" w:cs="Arial"/>
                <w:sz w:val="20"/>
                <w:szCs w:val="20"/>
                <w:lang w:eastAsia="pt-BR"/>
              </w:rPr>
            </w:pPr>
            <w:r w:rsidRPr="007F29D2">
              <w:rPr>
                <w:rFonts w:ascii="Arial" w:eastAsia="Times New Roman" w:hAnsi="Arial" w:cs="Arial"/>
                <w:sz w:val="20"/>
                <w:szCs w:val="20"/>
                <w:lang w:eastAsia="pt-BR"/>
              </w:rPr>
              <w:t>Decimal</w:t>
            </w:r>
          </w:p>
        </w:tc>
        <w:tc>
          <w:tcPr>
            <w:tcW w:w="1134" w:type="dxa"/>
            <w:tcBorders>
              <w:top w:val="nil"/>
              <w:left w:val="nil"/>
              <w:bottom w:val="single" w:sz="8" w:space="0" w:color="auto"/>
              <w:right w:val="single" w:sz="8" w:space="0" w:color="auto"/>
            </w:tcBorders>
            <w:shd w:val="clear" w:color="auto" w:fill="auto"/>
            <w:vAlign w:val="center"/>
            <w:hideMark/>
          </w:tcPr>
          <w:p w14:paraId="29A8E81E" w14:textId="77777777" w:rsidR="00BD4EA9" w:rsidRPr="007F29D2" w:rsidRDefault="00BD4EA9" w:rsidP="008B12A6">
            <w:pPr>
              <w:spacing w:after="0" w:line="240" w:lineRule="auto"/>
              <w:jc w:val="center"/>
              <w:rPr>
                <w:rFonts w:ascii="Arial" w:eastAsia="Times New Roman" w:hAnsi="Arial" w:cs="Arial"/>
                <w:sz w:val="20"/>
                <w:szCs w:val="20"/>
                <w:lang w:eastAsia="pt-BR"/>
              </w:rPr>
            </w:pPr>
            <w:r w:rsidRPr="007F29D2">
              <w:rPr>
                <w:rFonts w:ascii="Arial" w:eastAsia="Times New Roman" w:hAnsi="Arial" w:cs="Arial"/>
                <w:sz w:val="20"/>
                <w:szCs w:val="20"/>
                <w:lang w:eastAsia="pt-BR"/>
              </w:rPr>
              <w:t>(14,2)</w:t>
            </w:r>
          </w:p>
        </w:tc>
        <w:tc>
          <w:tcPr>
            <w:tcW w:w="3260" w:type="dxa"/>
            <w:tcBorders>
              <w:top w:val="nil"/>
              <w:left w:val="nil"/>
              <w:bottom w:val="single" w:sz="8" w:space="0" w:color="auto"/>
              <w:right w:val="single" w:sz="8" w:space="0" w:color="auto"/>
            </w:tcBorders>
            <w:shd w:val="clear" w:color="auto" w:fill="auto"/>
            <w:vAlign w:val="center"/>
            <w:hideMark/>
          </w:tcPr>
          <w:p w14:paraId="4FDD931A" w14:textId="77777777" w:rsidR="00BD4EA9" w:rsidRPr="007F29D2" w:rsidRDefault="00BD4EA9" w:rsidP="008B12A6">
            <w:pPr>
              <w:spacing w:after="0" w:line="240" w:lineRule="auto"/>
              <w:rPr>
                <w:rFonts w:ascii="Arial" w:eastAsia="Times New Roman" w:hAnsi="Arial" w:cs="Arial"/>
                <w:sz w:val="20"/>
                <w:szCs w:val="20"/>
                <w:lang w:eastAsia="pt-BR"/>
              </w:rPr>
            </w:pPr>
            <w:r w:rsidRPr="007F29D2">
              <w:rPr>
                <w:rFonts w:ascii="Arial" w:eastAsia="Times New Roman" w:hAnsi="Arial" w:cs="Arial"/>
                <w:sz w:val="20"/>
                <w:szCs w:val="20"/>
                <w:lang w:eastAsia="pt-BR"/>
              </w:rPr>
              <w:t>Obrigatório</w:t>
            </w:r>
          </w:p>
        </w:tc>
      </w:tr>
      <w:tr w:rsidR="007F29D2" w:rsidRPr="007F29D2" w14:paraId="66F2AB19" w14:textId="77777777" w:rsidTr="008B12A6">
        <w:trPr>
          <w:trHeight w:val="1140"/>
        </w:trPr>
        <w:tc>
          <w:tcPr>
            <w:tcW w:w="3559" w:type="dxa"/>
            <w:tcBorders>
              <w:top w:val="nil"/>
              <w:left w:val="single" w:sz="8" w:space="0" w:color="auto"/>
              <w:bottom w:val="single" w:sz="8" w:space="0" w:color="auto"/>
              <w:right w:val="single" w:sz="8" w:space="0" w:color="auto"/>
            </w:tcBorders>
            <w:shd w:val="clear" w:color="auto" w:fill="auto"/>
            <w:vAlign w:val="center"/>
            <w:hideMark/>
          </w:tcPr>
          <w:p w14:paraId="6277022A" w14:textId="77777777" w:rsidR="00BD4EA9" w:rsidRPr="007F29D2" w:rsidRDefault="00BD4EA9" w:rsidP="008B12A6">
            <w:pPr>
              <w:spacing w:after="0" w:line="240" w:lineRule="auto"/>
              <w:rPr>
                <w:rFonts w:ascii="Arial" w:eastAsia="Times New Roman" w:hAnsi="Arial" w:cs="Arial"/>
                <w:sz w:val="20"/>
                <w:szCs w:val="20"/>
                <w:lang w:eastAsia="pt-BR"/>
              </w:rPr>
            </w:pPr>
            <w:r w:rsidRPr="007F29D2">
              <w:rPr>
                <w:rFonts w:ascii="Arial" w:eastAsia="Times New Roman" w:hAnsi="Arial" w:cs="Arial"/>
                <w:sz w:val="20"/>
                <w:szCs w:val="20"/>
                <w:lang w:eastAsia="pt-BR"/>
              </w:rPr>
              <w:t>Natureza do Saldo Final</w:t>
            </w:r>
          </w:p>
        </w:tc>
        <w:tc>
          <w:tcPr>
            <w:tcW w:w="1276" w:type="dxa"/>
            <w:tcBorders>
              <w:top w:val="nil"/>
              <w:left w:val="nil"/>
              <w:bottom w:val="single" w:sz="8" w:space="0" w:color="auto"/>
              <w:right w:val="single" w:sz="8" w:space="0" w:color="auto"/>
            </w:tcBorders>
            <w:shd w:val="clear" w:color="auto" w:fill="auto"/>
            <w:vAlign w:val="center"/>
            <w:hideMark/>
          </w:tcPr>
          <w:p w14:paraId="0A9B0265" w14:textId="77777777" w:rsidR="00BD4EA9" w:rsidRPr="007F29D2" w:rsidRDefault="00BD4EA9" w:rsidP="008B12A6">
            <w:pPr>
              <w:spacing w:after="0" w:line="240" w:lineRule="auto"/>
              <w:jc w:val="center"/>
              <w:rPr>
                <w:rFonts w:ascii="Arial" w:eastAsia="Times New Roman" w:hAnsi="Arial" w:cs="Arial"/>
                <w:sz w:val="20"/>
                <w:szCs w:val="20"/>
                <w:lang w:eastAsia="pt-BR"/>
              </w:rPr>
            </w:pPr>
            <w:r w:rsidRPr="007F29D2">
              <w:rPr>
                <w:rFonts w:ascii="Arial" w:eastAsia="Times New Roman" w:hAnsi="Arial" w:cs="Arial"/>
                <w:sz w:val="20"/>
                <w:szCs w:val="20"/>
                <w:lang w:eastAsia="pt-BR"/>
              </w:rPr>
              <w:t>Caracter</w:t>
            </w:r>
          </w:p>
        </w:tc>
        <w:tc>
          <w:tcPr>
            <w:tcW w:w="1134" w:type="dxa"/>
            <w:tcBorders>
              <w:top w:val="nil"/>
              <w:left w:val="nil"/>
              <w:bottom w:val="single" w:sz="8" w:space="0" w:color="auto"/>
              <w:right w:val="single" w:sz="8" w:space="0" w:color="auto"/>
            </w:tcBorders>
            <w:shd w:val="clear" w:color="auto" w:fill="auto"/>
            <w:vAlign w:val="center"/>
            <w:hideMark/>
          </w:tcPr>
          <w:p w14:paraId="77B78DD7" w14:textId="77777777" w:rsidR="00BD4EA9" w:rsidRPr="007F29D2" w:rsidRDefault="00BD4EA9" w:rsidP="008B12A6">
            <w:pPr>
              <w:spacing w:after="0" w:line="240" w:lineRule="auto"/>
              <w:jc w:val="center"/>
              <w:rPr>
                <w:rFonts w:ascii="Arial" w:eastAsia="Times New Roman" w:hAnsi="Arial" w:cs="Arial"/>
                <w:sz w:val="20"/>
                <w:szCs w:val="20"/>
                <w:lang w:eastAsia="pt-BR"/>
              </w:rPr>
            </w:pPr>
            <w:r w:rsidRPr="007F29D2">
              <w:rPr>
                <w:rFonts w:ascii="Arial" w:eastAsia="Times New Roman" w:hAnsi="Arial" w:cs="Arial"/>
                <w:sz w:val="20"/>
                <w:szCs w:val="20"/>
                <w:lang w:eastAsia="pt-BR"/>
              </w:rPr>
              <w:t>1</w:t>
            </w:r>
          </w:p>
        </w:tc>
        <w:tc>
          <w:tcPr>
            <w:tcW w:w="3260" w:type="dxa"/>
            <w:tcBorders>
              <w:top w:val="nil"/>
              <w:left w:val="nil"/>
              <w:bottom w:val="single" w:sz="8" w:space="0" w:color="auto"/>
              <w:right w:val="single" w:sz="8" w:space="0" w:color="auto"/>
            </w:tcBorders>
            <w:shd w:val="clear" w:color="auto" w:fill="auto"/>
            <w:vAlign w:val="center"/>
            <w:hideMark/>
          </w:tcPr>
          <w:p w14:paraId="57C9774D" w14:textId="77777777" w:rsidR="00BD4EA9" w:rsidRPr="007F29D2" w:rsidRDefault="00BD4EA9" w:rsidP="008B12A6">
            <w:pPr>
              <w:spacing w:after="0" w:line="240" w:lineRule="auto"/>
              <w:rPr>
                <w:rFonts w:ascii="Arial" w:eastAsia="Times New Roman" w:hAnsi="Arial" w:cs="Arial"/>
                <w:sz w:val="20"/>
                <w:szCs w:val="20"/>
                <w:lang w:eastAsia="pt-BR"/>
              </w:rPr>
            </w:pPr>
            <w:r w:rsidRPr="007F29D2">
              <w:rPr>
                <w:rFonts w:ascii="Arial" w:eastAsia="Times New Roman" w:hAnsi="Arial" w:cs="Arial"/>
                <w:sz w:val="20"/>
                <w:szCs w:val="20"/>
                <w:lang w:eastAsia="pt-BR"/>
              </w:rPr>
              <w:t>Obrigatório</w:t>
            </w:r>
            <w:r w:rsidRPr="007F29D2">
              <w:rPr>
                <w:rFonts w:ascii="Arial" w:eastAsia="Times New Roman" w:hAnsi="Arial" w:cs="Arial"/>
                <w:sz w:val="20"/>
                <w:szCs w:val="20"/>
                <w:lang w:eastAsia="pt-BR"/>
              </w:rPr>
              <w:br/>
              <w:t>Deve ser:</w:t>
            </w:r>
            <w:r w:rsidRPr="007F29D2">
              <w:rPr>
                <w:rFonts w:ascii="Arial" w:eastAsia="Times New Roman" w:hAnsi="Arial" w:cs="Arial"/>
                <w:sz w:val="20"/>
                <w:szCs w:val="20"/>
                <w:lang w:eastAsia="pt-BR"/>
              </w:rPr>
              <w:br/>
            </w:r>
            <w:r w:rsidRPr="007F29D2">
              <w:rPr>
                <w:rFonts w:ascii="Arial" w:eastAsia="Times New Roman" w:hAnsi="Arial" w:cs="Arial"/>
                <w:b/>
                <w:bCs/>
                <w:sz w:val="20"/>
                <w:szCs w:val="20"/>
                <w:lang w:eastAsia="pt-BR"/>
              </w:rPr>
              <w:t>D - p/ saldo Devedor</w:t>
            </w:r>
            <w:r w:rsidRPr="007F29D2">
              <w:rPr>
                <w:rFonts w:ascii="Arial" w:eastAsia="Times New Roman" w:hAnsi="Arial" w:cs="Arial"/>
                <w:sz w:val="20"/>
                <w:szCs w:val="20"/>
                <w:lang w:eastAsia="pt-BR"/>
              </w:rPr>
              <w:br/>
            </w:r>
            <w:r w:rsidRPr="007F29D2">
              <w:rPr>
                <w:rFonts w:ascii="Arial" w:eastAsia="Times New Roman" w:hAnsi="Arial" w:cs="Arial"/>
                <w:b/>
                <w:bCs/>
                <w:sz w:val="20"/>
                <w:szCs w:val="20"/>
                <w:lang w:eastAsia="pt-BR"/>
              </w:rPr>
              <w:t>C - p/ saldo credor</w:t>
            </w:r>
            <w:r w:rsidRPr="007F29D2">
              <w:rPr>
                <w:rFonts w:ascii="Arial" w:eastAsia="Times New Roman" w:hAnsi="Arial" w:cs="Arial"/>
                <w:sz w:val="20"/>
                <w:szCs w:val="20"/>
                <w:lang w:eastAsia="pt-BR"/>
              </w:rPr>
              <w:t>.</w:t>
            </w:r>
          </w:p>
        </w:tc>
      </w:tr>
    </w:tbl>
    <w:p w14:paraId="069ACE07" w14:textId="77777777" w:rsidR="00BD4EA9" w:rsidRPr="007F29D2" w:rsidRDefault="00BD4EA9" w:rsidP="00BD4EA9">
      <w:pPr>
        <w:spacing w:before="120" w:after="0" w:line="240" w:lineRule="auto"/>
        <w:ind w:right="-34"/>
        <w:jc w:val="both"/>
        <w:rPr>
          <w:rFonts w:ascii="Arial" w:eastAsia="Times New Roman" w:hAnsi="Arial" w:cs="Arial"/>
          <w:sz w:val="18"/>
          <w:szCs w:val="18"/>
          <w:lang w:eastAsia="pt-BR"/>
        </w:rPr>
      </w:pPr>
      <w:r w:rsidRPr="007F29D2">
        <w:rPr>
          <w:rFonts w:ascii="Arial" w:eastAsia="Times New Roman" w:hAnsi="Arial" w:cs="Arial"/>
          <w:sz w:val="18"/>
          <w:szCs w:val="18"/>
          <w:lang w:eastAsia="pt-BR"/>
        </w:rPr>
        <w:t>[1] Quando a Prestação de Contas se referir a Contas de Gestão, o Código da Unidade Gestora deverá ser o mesmo da UG que estiver prestando contas.</w:t>
      </w:r>
    </w:p>
    <w:p w14:paraId="7BDEA440" w14:textId="77777777" w:rsidR="00BD4EA9" w:rsidRPr="007F29D2" w:rsidRDefault="00BD4EA9" w:rsidP="00BD4EA9">
      <w:pPr>
        <w:spacing w:after="0" w:line="240" w:lineRule="auto"/>
        <w:ind w:right="-1"/>
        <w:jc w:val="both"/>
        <w:rPr>
          <w:rFonts w:ascii="Arial" w:hAnsi="Arial" w:cs="Arial"/>
          <w:sz w:val="18"/>
          <w:szCs w:val="18"/>
        </w:rPr>
      </w:pPr>
      <w:r w:rsidRPr="007F29D2">
        <w:rPr>
          <w:rFonts w:ascii="Arial" w:hAnsi="Arial" w:cs="Arial"/>
          <w:sz w:val="18"/>
          <w:szCs w:val="18"/>
        </w:rPr>
        <w:t>[2] Deverão ser informados todos os códigos contábeis do Plano de Contas TCEES (contas contábeis que recebem lançamento), utilizados pelas Unidades Gestoras do Estado.</w:t>
      </w:r>
    </w:p>
    <w:p w14:paraId="275036EB" w14:textId="77777777" w:rsidR="00BD4EA9" w:rsidRPr="007F29D2" w:rsidRDefault="00BD4EA9" w:rsidP="00BD4EA9">
      <w:pPr>
        <w:jc w:val="both"/>
        <w:rPr>
          <w:rFonts w:ascii="Arial" w:hAnsi="Arial" w:cs="Arial"/>
          <w:sz w:val="18"/>
          <w:szCs w:val="18"/>
          <w:lang w:eastAsia="pt-BR"/>
        </w:rPr>
      </w:pPr>
      <w:r w:rsidRPr="007F29D2">
        <w:rPr>
          <w:rFonts w:ascii="Arial" w:hAnsi="Arial" w:cs="Arial"/>
          <w:sz w:val="18"/>
          <w:szCs w:val="18"/>
        </w:rPr>
        <w:t>[3] Obrigatório para contas classes 1 - Ativo e 2 - Passivo conforme Plano de Contas TCEES. As contas com o Indicador de Superávit Financeiro X, poderão ser “F” (Financeiro) ou “P” (Permanente).</w:t>
      </w:r>
    </w:p>
    <w:p w14:paraId="4B579F06" w14:textId="77777777" w:rsidR="007F29D2" w:rsidRDefault="007F29D2" w:rsidP="00BD4EA9">
      <w:pPr>
        <w:tabs>
          <w:tab w:val="left" w:pos="1134"/>
        </w:tabs>
        <w:spacing w:after="0" w:line="360" w:lineRule="auto"/>
        <w:jc w:val="both"/>
        <w:rPr>
          <w:rFonts w:ascii="Arial" w:hAnsi="Arial" w:cs="Arial"/>
          <w:b/>
          <w:bCs/>
          <w:i/>
          <w:iCs/>
          <w:sz w:val="20"/>
          <w:szCs w:val="20"/>
        </w:rPr>
      </w:pPr>
    </w:p>
    <w:p w14:paraId="7B7C9838" w14:textId="77777777" w:rsidR="00BD4EA9" w:rsidRPr="007F29D2" w:rsidRDefault="00BD4EA9" w:rsidP="00BD4EA9">
      <w:pPr>
        <w:tabs>
          <w:tab w:val="left" w:pos="1134"/>
        </w:tabs>
        <w:spacing w:after="0" w:line="360" w:lineRule="auto"/>
        <w:jc w:val="both"/>
        <w:rPr>
          <w:rFonts w:ascii="Arial" w:hAnsi="Arial" w:cs="Arial"/>
          <w:b/>
          <w:bCs/>
          <w:i/>
          <w:iCs/>
          <w:sz w:val="18"/>
          <w:szCs w:val="18"/>
        </w:rPr>
      </w:pPr>
      <w:r w:rsidRPr="007F29D2">
        <w:rPr>
          <w:rFonts w:ascii="Arial" w:hAnsi="Arial" w:cs="Arial"/>
          <w:b/>
          <w:bCs/>
          <w:i/>
          <w:iCs/>
          <w:sz w:val="18"/>
          <w:szCs w:val="18"/>
        </w:rPr>
        <w:t>Observações:</w:t>
      </w:r>
    </w:p>
    <w:p w14:paraId="75E8A3E3" w14:textId="77777777" w:rsidR="00BD4EA9" w:rsidRPr="007F29D2" w:rsidRDefault="00BD4EA9" w:rsidP="00BD4EA9">
      <w:pPr>
        <w:overflowPunct w:val="0"/>
        <w:autoSpaceDE w:val="0"/>
        <w:autoSpaceDN w:val="0"/>
        <w:adjustRightInd w:val="0"/>
        <w:spacing w:after="0" w:line="240" w:lineRule="auto"/>
        <w:jc w:val="both"/>
        <w:textAlignment w:val="baseline"/>
        <w:rPr>
          <w:rFonts w:ascii="Arial" w:eastAsia="Times New Roman" w:hAnsi="Arial" w:cs="Arial"/>
          <w:sz w:val="18"/>
          <w:szCs w:val="18"/>
          <w:lang w:eastAsia="pt-BR"/>
        </w:rPr>
      </w:pPr>
      <w:r w:rsidRPr="007F29D2">
        <w:rPr>
          <w:rFonts w:ascii="Arial" w:eastAsia="Times New Roman" w:hAnsi="Arial" w:cs="Arial"/>
          <w:sz w:val="18"/>
          <w:szCs w:val="18"/>
          <w:lang w:eastAsia="pt-BR"/>
        </w:rPr>
        <w:t>1- Deverão ser informados, neste arquivo, apenas os códigos contábeis analíticos (contas de lançamento) do Plano de Contas do Estado.</w:t>
      </w:r>
    </w:p>
    <w:p w14:paraId="78E42BEE" w14:textId="77777777" w:rsidR="00BD4EA9" w:rsidRPr="007F29D2" w:rsidRDefault="00BD4EA9" w:rsidP="00BD4EA9">
      <w:pPr>
        <w:overflowPunct w:val="0"/>
        <w:autoSpaceDE w:val="0"/>
        <w:autoSpaceDN w:val="0"/>
        <w:adjustRightInd w:val="0"/>
        <w:spacing w:after="0" w:line="240" w:lineRule="auto"/>
        <w:jc w:val="both"/>
        <w:textAlignment w:val="baseline"/>
        <w:rPr>
          <w:rFonts w:ascii="Arial" w:eastAsia="Times New Roman" w:hAnsi="Arial" w:cs="Arial"/>
          <w:sz w:val="18"/>
          <w:szCs w:val="18"/>
          <w:lang w:eastAsia="pt-BR"/>
        </w:rPr>
      </w:pPr>
      <w:r w:rsidRPr="007F29D2">
        <w:rPr>
          <w:rFonts w:ascii="Arial" w:eastAsia="Times New Roman" w:hAnsi="Arial" w:cs="Arial"/>
          <w:sz w:val="18"/>
          <w:szCs w:val="18"/>
          <w:lang w:eastAsia="pt-BR"/>
        </w:rPr>
        <w:t>2- O Saldo Inicial de cada Código Contábil deve ser igual ao Saldo Final do mesmo Código Contábil informado no exercício anterior;</w:t>
      </w:r>
    </w:p>
    <w:p w14:paraId="64763C06" w14:textId="77777777" w:rsidR="00BD4EA9" w:rsidRPr="007F29D2" w:rsidRDefault="00BD4EA9" w:rsidP="00BD4EA9">
      <w:pPr>
        <w:overflowPunct w:val="0"/>
        <w:autoSpaceDE w:val="0"/>
        <w:autoSpaceDN w:val="0"/>
        <w:adjustRightInd w:val="0"/>
        <w:spacing w:after="0" w:line="240" w:lineRule="auto"/>
        <w:jc w:val="both"/>
        <w:textAlignment w:val="baseline"/>
        <w:rPr>
          <w:rFonts w:ascii="Arial" w:eastAsia="Times New Roman" w:hAnsi="Arial" w:cs="Arial"/>
          <w:sz w:val="18"/>
          <w:szCs w:val="18"/>
          <w:lang w:eastAsia="pt-BR"/>
        </w:rPr>
      </w:pPr>
      <w:r w:rsidRPr="007F29D2">
        <w:rPr>
          <w:rFonts w:ascii="Arial" w:eastAsia="Times New Roman" w:hAnsi="Arial" w:cs="Arial"/>
          <w:sz w:val="18"/>
          <w:szCs w:val="18"/>
          <w:lang w:eastAsia="pt-BR"/>
        </w:rPr>
        <w:t>3- Se a Conta Contábil possuir Saldo Inicial diferente de zero, mesmo não tendo sido movimentada no exercício de referência, os dados deverão ser informados no Balancete de Verificação;</w:t>
      </w:r>
    </w:p>
    <w:p w14:paraId="26E9A80B" w14:textId="77777777" w:rsidR="00BD4EA9" w:rsidRPr="007F29D2" w:rsidRDefault="00BD4EA9" w:rsidP="00BD4EA9">
      <w:pPr>
        <w:overflowPunct w:val="0"/>
        <w:autoSpaceDE w:val="0"/>
        <w:autoSpaceDN w:val="0"/>
        <w:adjustRightInd w:val="0"/>
        <w:spacing w:after="0" w:line="240" w:lineRule="auto"/>
        <w:jc w:val="both"/>
        <w:textAlignment w:val="baseline"/>
        <w:rPr>
          <w:rFonts w:ascii="Arial" w:eastAsia="Times New Roman" w:hAnsi="Arial" w:cs="Arial"/>
          <w:sz w:val="18"/>
          <w:szCs w:val="18"/>
          <w:lang w:eastAsia="pt-BR"/>
        </w:rPr>
      </w:pPr>
      <w:r w:rsidRPr="007F29D2">
        <w:rPr>
          <w:rFonts w:ascii="Arial" w:eastAsia="Times New Roman" w:hAnsi="Arial" w:cs="Arial"/>
          <w:sz w:val="18"/>
          <w:szCs w:val="18"/>
          <w:lang w:eastAsia="pt-BR"/>
        </w:rPr>
        <w:t>4- Todas as contas contábeis que apresentarem movimentação no exercício, independente de saldo inicial ou final, deverão ser informa</w:t>
      </w:r>
      <w:r w:rsidR="007F29D2" w:rsidRPr="007F29D2">
        <w:rPr>
          <w:rFonts w:ascii="Arial" w:eastAsia="Times New Roman" w:hAnsi="Arial" w:cs="Arial"/>
          <w:sz w:val="18"/>
          <w:szCs w:val="18"/>
          <w:lang w:eastAsia="pt-BR"/>
        </w:rPr>
        <w:t>das no Balancete de Verificação.</w:t>
      </w:r>
    </w:p>
    <w:p w14:paraId="6CE07D1E" w14:textId="77777777" w:rsidR="00BD4EA9" w:rsidRPr="00FD1551" w:rsidRDefault="00BD4EA9" w:rsidP="00BD4EA9">
      <w:pPr>
        <w:rPr>
          <w:rFonts w:ascii="Arial" w:eastAsia="Times New Roman" w:hAnsi="Arial" w:cs="Arial"/>
          <w:sz w:val="20"/>
          <w:szCs w:val="20"/>
          <w:lang w:eastAsia="pt-BR"/>
        </w:rPr>
      </w:pPr>
    </w:p>
    <w:p w14:paraId="7B2CE0E8" w14:textId="2F2A145C" w:rsidR="00FD1551" w:rsidRPr="00FD1551" w:rsidRDefault="00FD1551" w:rsidP="00A60EA7">
      <w:pPr>
        <w:pStyle w:val="Ttulo3"/>
        <w:rPr>
          <w:sz w:val="28"/>
        </w:rPr>
      </w:pPr>
      <w:bookmarkStart w:id="48" w:name="_Toc94806324"/>
      <w:r w:rsidRPr="00FD1551">
        <w:rPr>
          <w:sz w:val="28"/>
        </w:rPr>
        <w:t xml:space="preserve">BALEXOD.XML (ou </w:t>
      </w:r>
      <w:r w:rsidRPr="00FD1551">
        <w:t>BalanceteExecucaoOrcamentariaDespesa.xml</w:t>
      </w:r>
      <w:r w:rsidRPr="00FD1551">
        <w:rPr>
          <w:sz w:val="28"/>
        </w:rPr>
        <w:t>)</w:t>
      </w:r>
      <w:bookmarkEnd w:id="48"/>
    </w:p>
    <w:p w14:paraId="03BD0B9D" w14:textId="4B473650" w:rsidR="00FD1551" w:rsidRPr="00FD1551" w:rsidRDefault="00FD1551" w:rsidP="00FD1551">
      <w:pPr>
        <w:spacing w:after="0" w:line="360" w:lineRule="auto"/>
        <w:jc w:val="both"/>
        <w:rPr>
          <w:rFonts w:ascii="Arial" w:hAnsi="Arial"/>
        </w:rPr>
      </w:pPr>
      <w:r w:rsidRPr="00FD1551">
        <w:rPr>
          <w:rFonts w:ascii="Arial" w:hAnsi="Arial"/>
          <w:b/>
          <w:bCs/>
        </w:rPr>
        <w:t>Descrição: </w:t>
      </w:r>
      <w:r w:rsidRPr="00FD1551">
        <w:rPr>
          <w:rFonts w:ascii="Arial" w:eastAsia="Times New Roman" w:hAnsi="Arial" w:cs="Arial"/>
          <w:lang w:eastAsia="pt-BR"/>
        </w:rPr>
        <w:t>Este arquivo conterá o Balancete da Execução Orçamentária da Despesa</w:t>
      </w:r>
    </w:p>
    <w:p w14:paraId="067325BC" w14:textId="77777777" w:rsidR="00FD1551" w:rsidRPr="00FD1551" w:rsidRDefault="00FD1551" w:rsidP="00FD1551">
      <w:pPr>
        <w:autoSpaceDE w:val="0"/>
        <w:autoSpaceDN w:val="0"/>
        <w:adjustRightInd w:val="0"/>
        <w:spacing w:after="0" w:line="240" w:lineRule="auto"/>
        <w:jc w:val="both"/>
        <w:rPr>
          <w:rFonts w:ascii="Arial" w:hAnsi="Arial"/>
          <w:b/>
          <w:bCs/>
        </w:rPr>
      </w:pPr>
    </w:p>
    <w:p w14:paraId="0A7B4A68" w14:textId="77777777" w:rsidR="00FD1551" w:rsidRPr="00FD1551" w:rsidRDefault="00FD1551" w:rsidP="00FD1551">
      <w:pPr>
        <w:autoSpaceDE w:val="0"/>
        <w:autoSpaceDN w:val="0"/>
        <w:adjustRightInd w:val="0"/>
        <w:spacing w:after="0" w:line="240" w:lineRule="auto"/>
        <w:jc w:val="both"/>
        <w:rPr>
          <w:rFonts w:ascii="Arial" w:hAnsi="Arial"/>
          <w:b/>
          <w:bCs/>
        </w:rPr>
      </w:pPr>
      <w:r w:rsidRPr="00FD1551">
        <w:rPr>
          <w:rFonts w:ascii="Arial" w:hAnsi="Arial"/>
          <w:b/>
          <w:bCs/>
        </w:rPr>
        <w:t>Estrutura:</w:t>
      </w:r>
    </w:p>
    <w:p w14:paraId="36E23898" w14:textId="77777777" w:rsidR="00FD1551" w:rsidRPr="00FD1551" w:rsidRDefault="00FD1551" w:rsidP="00FD1551">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&lt;?xml version="1.0" encoding="UTF-8"?&gt;</w:t>
      </w:r>
    </w:p>
    <w:p w14:paraId="1FA1FDA1" w14:textId="77777777" w:rsidR="00FD1551" w:rsidRPr="00FD1551" w:rsidRDefault="00FD1551" w:rsidP="00FD1551">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lastRenderedPageBreak/>
        <w:t>&lt;PrestacaoContasAnual&gt;</w:t>
      </w:r>
    </w:p>
    <w:p w14:paraId="248BDE3C" w14:textId="77777777" w:rsidR="00FD1551" w:rsidRPr="00FD1551" w:rsidRDefault="00FD1551" w:rsidP="00FD1551">
      <w:pPr>
        <w:spacing w:after="0" w:line="240" w:lineRule="auto"/>
        <w:ind w:left="284"/>
        <w:rPr>
          <w:rFonts w:ascii="Arial" w:eastAsia="Times New Roman" w:hAnsi="Arial" w:cs="Arial"/>
          <w:sz w:val="20"/>
          <w:szCs w:val="20"/>
          <w:lang w:eastAsia="pt-BR"/>
        </w:rPr>
      </w:pPr>
      <w:r w:rsidRPr="00FD1551">
        <w:rPr>
          <w:rFonts w:ascii="Arial" w:eastAsia="Times New Roman" w:hAnsi="Arial" w:cs="Arial"/>
          <w:sz w:val="20"/>
          <w:szCs w:val="20"/>
          <w:lang w:eastAsia="pt-BR"/>
        </w:rPr>
        <w:t>&lt;BalanceteExecucaoOrcamentariaDespesa_Schema&gt;</w:t>
      </w:r>
    </w:p>
    <w:p w14:paraId="24D967FC" w14:textId="77777777" w:rsidR="00FD1551" w:rsidRPr="00FD1551" w:rsidRDefault="00FD1551" w:rsidP="00FD1551">
      <w:pPr>
        <w:spacing w:after="0" w:line="240" w:lineRule="auto"/>
        <w:ind w:left="567"/>
        <w:rPr>
          <w:rFonts w:ascii="Arial" w:eastAsia="Times New Roman" w:hAnsi="Arial" w:cs="Arial"/>
          <w:sz w:val="20"/>
          <w:szCs w:val="20"/>
          <w:lang w:eastAsia="pt-BR"/>
        </w:rPr>
      </w:pPr>
      <w:r w:rsidRPr="00FD1551">
        <w:rPr>
          <w:rFonts w:ascii="Arial" w:eastAsia="Times New Roman" w:hAnsi="Arial" w:cs="Arial"/>
          <w:sz w:val="20"/>
          <w:szCs w:val="20"/>
          <w:lang w:eastAsia="pt-BR"/>
        </w:rPr>
        <w:t>&lt;BalanceteExecucaoOrcamentariaDespesa&gt;</w:t>
      </w:r>
    </w:p>
    <w:p w14:paraId="4376ED43" w14:textId="77777777" w:rsidR="00FD1551" w:rsidRPr="00FD1551" w:rsidRDefault="00FD1551" w:rsidP="00FD1551">
      <w:pPr>
        <w:spacing w:after="0" w:line="240" w:lineRule="auto"/>
        <w:ind w:left="993"/>
        <w:rPr>
          <w:rFonts w:ascii="Arial" w:eastAsia="Times New Roman" w:hAnsi="Arial" w:cs="Arial"/>
          <w:sz w:val="20"/>
          <w:szCs w:val="20"/>
          <w:lang w:eastAsia="pt-BR"/>
        </w:rPr>
      </w:pPr>
      <w:r w:rsidRPr="00FD1551">
        <w:rPr>
          <w:rFonts w:ascii="Arial" w:eastAsia="Times New Roman" w:hAnsi="Arial" w:cs="Arial"/>
          <w:sz w:val="20"/>
          <w:szCs w:val="20"/>
          <w:lang w:eastAsia="pt-BR"/>
        </w:rPr>
        <w:t>&lt;IdNumRegistro&gt;</w:t>
      </w:r>
      <w:r w:rsidRPr="00FD1551">
        <w:rPr>
          <w:rFonts w:ascii="Arial" w:eastAsia="Times New Roman" w:hAnsi="Arial" w:cs="Arial"/>
          <w:b/>
          <w:bCs/>
          <w:sz w:val="20"/>
          <w:szCs w:val="20"/>
          <w:lang w:eastAsia="pt-BR"/>
        </w:rPr>
        <w:t>99999</w:t>
      </w:r>
      <w:r w:rsidRPr="00FD1551">
        <w:rPr>
          <w:rFonts w:ascii="Arial" w:eastAsia="Times New Roman" w:hAnsi="Arial" w:cs="Arial"/>
          <w:sz w:val="20"/>
          <w:szCs w:val="20"/>
          <w:lang w:eastAsia="pt-BR"/>
        </w:rPr>
        <w:t>&lt;/IdNumRegistro&gt;</w:t>
      </w:r>
    </w:p>
    <w:p w14:paraId="4478FE74" w14:textId="77777777" w:rsidR="00FD1551" w:rsidRPr="00FD1551" w:rsidRDefault="00FD1551" w:rsidP="00FD1551">
      <w:pPr>
        <w:spacing w:after="0" w:line="240" w:lineRule="auto"/>
        <w:ind w:left="993"/>
        <w:rPr>
          <w:rFonts w:ascii="Arial" w:eastAsia="Times New Roman" w:hAnsi="Arial" w:cs="Arial"/>
          <w:sz w:val="20"/>
          <w:szCs w:val="20"/>
          <w:lang w:eastAsia="pt-BR"/>
        </w:rPr>
      </w:pPr>
      <w:r w:rsidRPr="00FD1551">
        <w:rPr>
          <w:rFonts w:ascii="Arial" w:eastAsia="Times New Roman" w:hAnsi="Arial" w:cs="Arial"/>
          <w:sz w:val="20"/>
          <w:szCs w:val="20"/>
          <w:lang w:eastAsia="pt-BR"/>
        </w:rPr>
        <w:t>&lt;CodigoUnidadeGestora&gt;</w:t>
      </w:r>
      <w:r w:rsidRPr="00FD1551">
        <w:rPr>
          <w:rFonts w:ascii="Arial" w:eastAsia="Times New Roman" w:hAnsi="Arial" w:cs="Arial"/>
          <w:b/>
          <w:bCs/>
          <w:sz w:val="20"/>
          <w:szCs w:val="20"/>
          <w:lang w:eastAsia="pt-BR"/>
        </w:rPr>
        <w:t>XXXXXXXXXXX</w:t>
      </w:r>
      <w:r w:rsidRPr="00FD1551">
        <w:rPr>
          <w:rFonts w:ascii="Arial" w:eastAsia="Times New Roman" w:hAnsi="Arial" w:cs="Arial"/>
          <w:sz w:val="20"/>
          <w:szCs w:val="20"/>
          <w:lang w:eastAsia="pt-BR"/>
        </w:rPr>
        <w:t xml:space="preserve">&lt;/CodigoUnidadeGestora&gt; </w:t>
      </w:r>
    </w:p>
    <w:p w14:paraId="70C67D2E" w14:textId="77777777" w:rsidR="00FD1551" w:rsidRPr="00FD1551" w:rsidRDefault="00FD1551" w:rsidP="00FD1551">
      <w:pPr>
        <w:spacing w:after="0" w:line="240" w:lineRule="auto"/>
        <w:ind w:left="993"/>
        <w:rPr>
          <w:rFonts w:ascii="Arial" w:eastAsia="Times New Roman" w:hAnsi="Arial" w:cs="Arial"/>
          <w:sz w:val="20"/>
          <w:szCs w:val="20"/>
          <w:lang w:eastAsia="pt-BR"/>
        </w:rPr>
      </w:pPr>
      <w:r w:rsidRPr="00FD1551">
        <w:rPr>
          <w:rFonts w:ascii="Arial" w:eastAsia="Times New Roman" w:hAnsi="Arial" w:cs="Arial"/>
          <w:sz w:val="20"/>
          <w:szCs w:val="20"/>
          <w:lang w:eastAsia="pt-BR"/>
        </w:rPr>
        <w:t>&lt;CodigoFuncao&gt;</w:t>
      </w:r>
      <w:r w:rsidRPr="00FD1551">
        <w:rPr>
          <w:rFonts w:ascii="Arial" w:eastAsia="Times New Roman" w:hAnsi="Arial" w:cs="Arial"/>
          <w:b/>
          <w:bCs/>
          <w:sz w:val="20"/>
          <w:szCs w:val="20"/>
          <w:lang w:eastAsia="pt-BR"/>
        </w:rPr>
        <w:t>XX</w:t>
      </w:r>
      <w:r w:rsidRPr="00FD1551">
        <w:rPr>
          <w:rFonts w:ascii="Arial" w:eastAsia="Times New Roman" w:hAnsi="Arial" w:cs="Arial"/>
          <w:sz w:val="20"/>
          <w:szCs w:val="20"/>
          <w:lang w:eastAsia="pt-BR"/>
        </w:rPr>
        <w:t xml:space="preserve">&lt;/CodigoFuncao&gt; </w:t>
      </w:r>
    </w:p>
    <w:p w14:paraId="09BD5423" w14:textId="77777777" w:rsidR="00FD1551" w:rsidRPr="00FD1551" w:rsidRDefault="00FD1551" w:rsidP="00FD1551">
      <w:pPr>
        <w:spacing w:after="0" w:line="240" w:lineRule="auto"/>
        <w:ind w:left="993"/>
        <w:rPr>
          <w:rFonts w:ascii="Arial" w:eastAsia="Times New Roman" w:hAnsi="Arial" w:cs="Arial"/>
          <w:sz w:val="20"/>
          <w:szCs w:val="20"/>
          <w:lang w:eastAsia="pt-BR"/>
        </w:rPr>
      </w:pPr>
      <w:r w:rsidRPr="00FD1551">
        <w:rPr>
          <w:rFonts w:ascii="Arial" w:eastAsia="Times New Roman" w:hAnsi="Arial" w:cs="Arial"/>
          <w:sz w:val="20"/>
          <w:szCs w:val="20"/>
          <w:lang w:eastAsia="pt-BR"/>
        </w:rPr>
        <w:t>&lt;CodigoSubFuncao&gt;</w:t>
      </w:r>
      <w:r w:rsidRPr="00FD1551">
        <w:rPr>
          <w:rFonts w:ascii="Arial" w:eastAsia="Times New Roman" w:hAnsi="Arial" w:cs="Arial"/>
          <w:b/>
          <w:bCs/>
          <w:sz w:val="20"/>
          <w:szCs w:val="20"/>
          <w:lang w:eastAsia="pt-BR"/>
        </w:rPr>
        <w:t>XXX</w:t>
      </w:r>
      <w:r w:rsidRPr="00FD1551">
        <w:rPr>
          <w:rFonts w:ascii="Arial" w:eastAsia="Times New Roman" w:hAnsi="Arial" w:cs="Arial"/>
          <w:sz w:val="20"/>
          <w:szCs w:val="20"/>
          <w:lang w:eastAsia="pt-BR"/>
        </w:rPr>
        <w:t>&lt;/CodigoSubFuncao&gt;</w:t>
      </w:r>
    </w:p>
    <w:p w14:paraId="3F517119" w14:textId="77777777" w:rsidR="00FD1551" w:rsidRPr="00FD1551" w:rsidRDefault="00FD1551" w:rsidP="00FD1551">
      <w:pPr>
        <w:spacing w:after="0" w:line="240" w:lineRule="auto"/>
        <w:ind w:left="993"/>
        <w:rPr>
          <w:rFonts w:ascii="Arial" w:eastAsia="Times New Roman" w:hAnsi="Arial" w:cs="Arial"/>
          <w:sz w:val="20"/>
          <w:szCs w:val="20"/>
          <w:lang w:eastAsia="pt-BR"/>
        </w:rPr>
      </w:pPr>
      <w:r w:rsidRPr="00FD1551">
        <w:rPr>
          <w:rFonts w:ascii="Arial" w:eastAsia="Times New Roman" w:hAnsi="Arial" w:cs="Arial"/>
          <w:sz w:val="20"/>
          <w:szCs w:val="20"/>
          <w:lang w:eastAsia="pt-BR"/>
        </w:rPr>
        <w:t>&lt;CategoriaEconomicaDespesa&gt;</w:t>
      </w:r>
      <w:r w:rsidRPr="00FD1551">
        <w:rPr>
          <w:rFonts w:ascii="Arial" w:eastAsia="Times New Roman" w:hAnsi="Arial" w:cs="Arial"/>
          <w:b/>
          <w:bCs/>
          <w:sz w:val="20"/>
          <w:szCs w:val="20"/>
          <w:lang w:eastAsia="pt-BR"/>
        </w:rPr>
        <w:t>X</w:t>
      </w:r>
      <w:r w:rsidRPr="00FD1551">
        <w:rPr>
          <w:rFonts w:ascii="Arial" w:eastAsia="Times New Roman" w:hAnsi="Arial" w:cs="Arial"/>
          <w:sz w:val="20"/>
          <w:szCs w:val="20"/>
          <w:lang w:eastAsia="pt-BR"/>
        </w:rPr>
        <w:t>&lt;/CategoriaEconomicaDespesa&gt;</w:t>
      </w:r>
    </w:p>
    <w:p w14:paraId="326C9045" w14:textId="77777777" w:rsidR="00FD1551" w:rsidRPr="00FD1551" w:rsidRDefault="00FD1551" w:rsidP="00FD1551">
      <w:pPr>
        <w:spacing w:after="0" w:line="240" w:lineRule="auto"/>
        <w:ind w:left="993"/>
        <w:rPr>
          <w:rFonts w:ascii="Arial" w:eastAsia="Times New Roman" w:hAnsi="Arial" w:cs="Arial"/>
          <w:sz w:val="20"/>
          <w:szCs w:val="20"/>
          <w:lang w:eastAsia="pt-BR"/>
        </w:rPr>
      </w:pPr>
      <w:r w:rsidRPr="00FD1551">
        <w:rPr>
          <w:rFonts w:ascii="Arial" w:eastAsia="Times New Roman" w:hAnsi="Arial" w:cs="Arial"/>
          <w:sz w:val="20"/>
          <w:szCs w:val="20"/>
          <w:lang w:eastAsia="pt-BR"/>
        </w:rPr>
        <w:t>&lt;GrupoNaturezaDespesa&gt;</w:t>
      </w:r>
      <w:r w:rsidRPr="00FD1551">
        <w:rPr>
          <w:rFonts w:ascii="Arial" w:eastAsia="Times New Roman" w:hAnsi="Arial" w:cs="Arial"/>
          <w:b/>
          <w:bCs/>
          <w:sz w:val="20"/>
          <w:szCs w:val="20"/>
          <w:lang w:eastAsia="pt-BR"/>
        </w:rPr>
        <w:t>X</w:t>
      </w:r>
      <w:r w:rsidRPr="00FD1551">
        <w:rPr>
          <w:rFonts w:ascii="Arial" w:eastAsia="Times New Roman" w:hAnsi="Arial" w:cs="Arial"/>
          <w:sz w:val="20"/>
          <w:szCs w:val="20"/>
          <w:lang w:eastAsia="pt-BR"/>
        </w:rPr>
        <w:t>&lt;/GrupoNaturezaDespesa&gt;</w:t>
      </w:r>
    </w:p>
    <w:p w14:paraId="09E765C9" w14:textId="77777777" w:rsidR="00FD1551" w:rsidRPr="00FD1551" w:rsidRDefault="00FD1551" w:rsidP="00FD1551">
      <w:pPr>
        <w:spacing w:after="0" w:line="240" w:lineRule="auto"/>
        <w:ind w:left="993"/>
        <w:rPr>
          <w:rFonts w:ascii="Arial" w:eastAsia="Times New Roman" w:hAnsi="Arial" w:cs="Arial"/>
          <w:sz w:val="20"/>
          <w:szCs w:val="20"/>
          <w:lang w:eastAsia="pt-BR"/>
        </w:rPr>
      </w:pPr>
      <w:r w:rsidRPr="00FD1551">
        <w:rPr>
          <w:rFonts w:ascii="Arial" w:eastAsia="Times New Roman" w:hAnsi="Arial" w:cs="Arial"/>
          <w:sz w:val="20"/>
          <w:szCs w:val="20"/>
          <w:lang w:eastAsia="pt-BR"/>
        </w:rPr>
        <w:t>&lt;ModalidadeAplicacao&gt;</w:t>
      </w:r>
      <w:r w:rsidRPr="00FD1551">
        <w:rPr>
          <w:rFonts w:ascii="Arial" w:eastAsia="Times New Roman" w:hAnsi="Arial" w:cs="Arial"/>
          <w:b/>
          <w:bCs/>
          <w:sz w:val="20"/>
          <w:szCs w:val="20"/>
          <w:lang w:eastAsia="pt-BR"/>
        </w:rPr>
        <w:t>XX</w:t>
      </w:r>
      <w:r w:rsidRPr="00FD1551">
        <w:rPr>
          <w:rFonts w:ascii="Arial" w:eastAsia="Times New Roman" w:hAnsi="Arial" w:cs="Arial"/>
          <w:sz w:val="20"/>
          <w:szCs w:val="20"/>
          <w:lang w:eastAsia="pt-BR"/>
        </w:rPr>
        <w:t>&lt;/ModalidadeAplicacao&gt;</w:t>
      </w:r>
    </w:p>
    <w:p w14:paraId="0D3884C6" w14:textId="77777777" w:rsidR="00FD1551" w:rsidRPr="00FD1551" w:rsidRDefault="00FD1551" w:rsidP="00FD1551">
      <w:pPr>
        <w:spacing w:after="0" w:line="240" w:lineRule="auto"/>
        <w:ind w:left="993"/>
        <w:rPr>
          <w:rFonts w:ascii="Arial" w:eastAsia="Times New Roman" w:hAnsi="Arial" w:cs="Arial"/>
          <w:sz w:val="20"/>
          <w:szCs w:val="20"/>
          <w:lang w:eastAsia="pt-BR"/>
        </w:rPr>
      </w:pPr>
      <w:r w:rsidRPr="00FD1551">
        <w:rPr>
          <w:rFonts w:ascii="Arial" w:eastAsia="Times New Roman" w:hAnsi="Arial" w:cs="Arial"/>
          <w:sz w:val="20"/>
          <w:szCs w:val="20"/>
          <w:lang w:eastAsia="pt-BR"/>
        </w:rPr>
        <w:t>&lt;ElementoDespesa&gt;</w:t>
      </w:r>
      <w:r w:rsidRPr="00FD1551">
        <w:rPr>
          <w:rFonts w:ascii="Arial" w:eastAsia="Times New Roman" w:hAnsi="Arial" w:cs="Arial"/>
          <w:b/>
          <w:bCs/>
          <w:sz w:val="20"/>
          <w:szCs w:val="20"/>
          <w:lang w:eastAsia="pt-BR"/>
        </w:rPr>
        <w:t>XX</w:t>
      </w:r>
      <w:r w:rsidRPr="00FD1551">
        <w:rPr>
          <w:rFonts w:ascii="Arial" w:eastAsia="Times New Roman" w:hAnsi="Arial" w:cs="Arial"/>
          <w:sz w:val="20"/>
          <w:szCs w:val="20"/>
          <w:lang w:eastAsia="pt-BR"/>
        </w:rPr>
        <w:t>&lt;/ElementoDespesa&gt;</w:t>
      </w:r>
    </w:p>
    <w:p w14:paraId="4C4A4E9C" w14:textId="77777777" w:rsidR="00FD1551" w:rsidRPr="00FD1551" w:rsidRDefault="00FD1551" w:rsidP="00FD1551">
      <w:pPr>
        <w:spacing w:after="0" w:line="240" w:lineRule="auto"/>
        <w:ind w:left="993"/>
        <w:rPr>
          <w:rFonts w:ascii="Arial" w:eastAsia="Times New Roman" w:hAnsi="Arial" w:cs="Arial"/>
          <w:sz w:val="20"/>
          <w:szCs w:val="20"/>
          <w:lang w:eastAsia="pt-BR"/>
        </w:rPr>
      </w:pPr>
      <w:r w:rsidRPr="00FD1551">
        <w:rPr>
          <w:rFonts w:ascii="Arial" w:eastAsia="Times New Roman" w:hAnsi="Arial" w:cs="Arial"/>
          <w:sz w:val="20"/>
          <w:szCs w:val="20"/>
          <w:lang w:eastAsia="pt-BR"/>
        </w:rPr>
        <w:t>&lt;SubElementoDespesa&gt;</w:t>
      </w:r>
      <w:r w:rsidRPr="00FD1551">
        <w:rPr>
          <w:rFonts w:ascii="Arial" w:eastAsia="Times New Roman" w:hAnsi="Arial" w:cs="Arial"/>
          <w:b/>
          <w:bCs/>
          <w:sz w:val="20"/>
          <w:szCs w:val="20"/>
          <w:lang w:eastAsia="pt-BR"/>
        </w:rPr>
        <w:t>XX</w:t>
      </w:r>
      <w:r w:rsidRPr="00FD1551">
        <w:rPr>
          <w:rFonts w:ascii="Arial" w:eastAsia="Times New Roman" w:hAnsi="Arial" w:cs="Arial"/>
          <w:sz w:val="20"/>
          <w:szCs w:val="20"/>
          <w:lang w:eastAsia="pt-BR"/>
        </w:rPr>
        <w:t>&lt;/SubElementoDespesa&gt;</w:t>
      </w:r>
    </w:p>
    <w:p w14:paraId="59B696BB" w14:textId="77777777" w:rsidR="00FD1551" w:rsidRPr="00FD1551" w:rsidRDefault="00FD1551" w:rsidP="00FD1551">
      <w:pPr>
        <w:spacing w:after="0" w:line="240" w:lineRule="auto"/>
        <w:ind w:left="993"/>
        <w:rPr>
          <w:rFonts w:ascii="Arial" w:eastAsia="Times New Roman" w:hAnsi="Arial" w:cs="Arial"/>
          <w:sz w:val="20"/>
          <w:szCs w:val="20"/>
          <w:lang w:eastAsia="pt-BR"/>
        </w:rPr>
      </w:pPr>
      <w:r w:rsidRPr="00FD1551">
        <w:rPr>
          <w:rFonts w:ascii="Arial" w:eastAsia="Times New Roman" w:hAnsi="Arial" w:cs="Arial"/>
          <w:sz w:val="20"/>
          <w:szCs w:val="20"/>
          <w:lang w:eastAsia="pt-BR"/>
        </w:rPr>
        <w:t>&lt;CodigoGrupoFonteDestinacaoRecursos&gt;</w:t>
      </w:r>
      <w:r w:rsidRPr="00FD1551">
        <w:rPr>
          <w:rFonts w:ascii="Arial" w:eastAsia="Times New Roman" w:hAnsi="Arial" w:cs="Arial"/>
          <w:b/>
          <w:bCs/>
          <w:sz w:val="20"/>
          <w:szCs w:val="20"/>
          <w:lang w:eastAsia="pt-BR"/>
        </w:rPr>
        <w:t>9</w:t>
      </w:r>
      <w:r w:rsidRPr="00FD1551">
        <w:rPr>
          <w:rFonts w:ascii="Arial" w:eastAsia="Times New Roman" w:hAnsi="Arial" w:cs="Arial"/>
          <w:sz w:val="20"/>
          <w:szCs w:val="20"/>
          <w:lang w:eastAsia="pt-BR"/>
        </w:rPr>
        <w:t>&lt;/CodigoGrupoFonteDestinacaoRecursos&gt;</w:t>
      </w:r>
    </w:p>
    <w:p w14:paraId="4CC15887" w14:textId="77777777" w:rsidR="00FD1551" w:rsidRPr="00FD1551" w:rsidRDefault="00FD1551" w:rsidP="00FD1551">
      <w:pPr>
        <w:spacing w:after="0" w:line="240" w:lineRule="auto"/>
        <w:ind w:left="993"/>
        <w:rPr>
          <w:rFonts w:ascii="Arial" w:eastAsia="Times New Roman" w:hAnsi="Arial" w:cs="Arial"/>
          <w:b/>
          <w:bCs/>
          <w:sz w:val="20"/>
          <w:szCs w:val="20"/>
          <w:lang w:eastAsia="pt-BR"/>
        </w:rPr>
      </w:pPr>
      <w:r w:rsidRPr="00FD1551">
        <w:rPr>
          <w:rFonts w:ascii="Arial" w:eastAsia="Times New Roman" w:hAnsi="Arial" w:cs="Arial"/>
          <w:sz w:val="20"/>
          <w:szCs w:val="20"/>
          <w:lang w:eastAsia="pt-BR"/>
        </w:rPr>
        <w:t>&lt;CodigoEspecificacaoFonteDestinacaoRecursos&gt;</w:t>
      </w:r>
      <w:r w:rsidRPr="00FD1551">
        <w:rPr>
          <w:rFonts w:ascii="Arial" w:eastAsia="Times New Roman" w:hAnsi="Arial" w:cs="Arial"/>
          <w:b/>
          <w:bCs/>
          <w:sz w:val="20"/>
          <w:szCs w:val="20"/>
          <w:lang w:eastAsia="pt-BR"/>
        </w:rPr>
        <w:t>XXX</w:t>
      </w:r>
    </w:p>
    <w:p w14:paraId="306E0FA8" w14:textId="77777777" w:rsidR="00FD1551" w:rsidRPr="00FD1551" w:rsidRDefault="00FD1551" w:rsidP="00FD1551">
      <w:pPr>
        <w:spacing w:after="0" w:line="240" w:lineRule="auto"/>
        <w:ind w:left="993"/>
        <w:rPr>
          <w:rFonts w:ascii="Arial" w:eastAsia="Times New Roman" w:hAnsi="Arial" w:cs="Arial"/>
          <w:sz w:val="20"/>
          <w:szCs w:val="20"/>
          <w:lang w:eastAsia="pt-BR"/>
        </w:rPr>
      </w:pPr>
      <w:r w:rsidRPr="00FD1551">
        <w:rPr>
          <w:rFonts w:ascii="Arial" w:eastAsia="Times New Roman" w:hAnsi="Arial" w:cs="Arial"/>
          <w:sz w:val="20"/>
          <w:szCs w:val="20"/>
          <w:lang w:eastAsia="pt-BR"/>
        </w:rPr>
        <w:t>&lt;/CodigoEspecificacaoFonteDestinacaoRecursos&gt;</w:t>
      </w:r>
    </w:p>
    <w:p w14:paraId="095B66FE" w14:textId="77777777" w:rsidR="00FD1551" w:rsidRPr="00FD1551" w:rsidRDefault="00FD1551" w:rsidP="00FD1551">
      <w:pPr>
        <w:spacing w:after="0" w:line="240" w:lineRule="auto"/>
        <w:ind w:left="993"/>
        <w:rPr>
          <w:rFonts w:ascii="Calibri" w:eastAsia="Times New Roman" w:hAnsi="Calibri" w:cs="Arial"/>
          <w:b/>
          <w:bCs/>
          <w:lang w:eastAsia="pt-BR"/>
        </w:rPr>
      </w:pPr>
      <w:r w:rsidRPr="00FD1551">
        <w:rPr>
          <w:rFonts w:ascii="Arial" w:eastAsia="Times New Roman" w:hAnsi="Arial" w:cs="Arial"/>
          <w:sz w:val="20"/>
          <w:szCs w:val="20"/>
          <w:lang w:eastAsia="pt-BR"/>
        </w:rPr>
        <w:t>&lt;CodigoDetalhamentoFonteDestinacaoRecursos&gt;</w:t>
      </w:r>
      <w:r w:rsidRPr="00FD1551">
        <w:rPr>
          <w:rFonts w:ascii="Calibri" w:eastAsia="Times New Roman" w:hAnsi="Calibri" w:cs="Arial"/>
          <w:b/>
          <w:bCs/>
          <w:lang w:eastAsia="pt-BR"/>
        </w:rPr>
        <w:t>XXXX</w:t>
      </w:r>
    </w:p>
    <w:p w14:paraId="128AD247" w14:textId="77777777" w:rsidR="00FD1551" w:rsidRDefault="00FD1551" w:rsidP="00FD1551">
      <w:pPr>
        <w:spacing w:after="0" w:line="240" w:lineRule="auto"/>
        <w:ind w:left="993"/>
        <w:rPr>
          <w:rFonts w:ascii="Calibri" w:eastAsia="Times New Roman" w:hAnsi="Calibri" w:cs="Arial"/>
          <w:lang w:eastAsia="pt-BR"/>
        </w:rPr>
      </w:pPr>
      <w:r w:rsidRPr="00FD1551">
        <w:rPr>
          <w:rFonts w:ascii="Calibri" w:eastAsia="Times New Roman" w:hAnsi="Calibri" w:cs="Arial"/>
          <w:lang w:eastAsia="pt-BR"/>
        </w:rPr>
        <w:t>&lt;/CodigoDetalhamentoFonteDestinacaoRecursos&gt;</w:t>
      </w:r>
    </w:p>
    <w:p w14:paraId="72B1A384" w14:textId="77777777" w:rsidR="0039094D" w:rsidRPr="007F29D2" w:rsidRDefault="0039094D" w:rsidP="0039094D">
      <w:pPr>
        <w:spacing w:after="0" w:line="240" w:lineRule="auto"/>
        <w:ind w:left="993"/>
        <w:rPr>
          <w:rFonts w:ascii="Arial" w:eastAsia="Times New Roman" w:hAnsi="Arial" w:cs="Arial"/>
          <w:sz w:val="20"/>
          <w:szCs w:val="20"/>
          <w:lang w:eastAsia="pt-BR"/>
        </w:rPr>
      </w:pPr>
      <w:r w:rsidRPr="007F29D2">
        <w:rPr>
          <w:rFonts w:ascii="Arial" w:eastAsia="Times New Roman" w:hAnsi="Arial" w:cs="Arial"/>
          <w:sz w:val="20"/>
          <w:szCs w:val="20"/>
          <w:lang w:eastAsia="pt-BR"/>
        </w:rPr>
        <w:t>&lt;OrigemRecurso&gt;</w:t>
      </w:r>
      <w:r w:rsidRPr="007F29D2">
        <w:rPr>
          <w:rFonts w:ascii="Calibri" w:eastAsia="Times New Roman" w:hAnsi="Calibri" w:cs="Arial"/>
          <w:b/>
          <w:bCs/>
          <w:lang w:eastAsia="pt-BR"/>
        </w:rPr>
        <w:t>9</w:t>
      </w:r>
      <w:r w:rsidRPr="007F29D2">
        <w:rPr>
          <w:rFonts w:ascii="Calibri" w:eastAsia="Times New Roman" w:hAnsi="Calibri" w:cs="Arial"/>
          <w:lang w:eastAsia="pt-BR"/>
        </w:rPr>
        <w:t>&lt;/OrigemRecurso&gt;</w:t>
      </w:r>
    </w:p>
    <w:p w14:paraId="23DAE1DC" w14:textId="77777777" w:rsidR="00FD1551" w:rsidRPr="00FD1551" w:rsidRDefault="00FD1551" w:rsidP="00FD1551">
      <w:pPr>
        <w:spacing w:after="0" w:line="240" w:lineRule="auto"/>
        <w:ind w:left="993"/>
        <w:rPr>
          <w:rFonts w:ascii="Arial" w:eastAsia="Times New Roman" w:hAnsi="Arial" w:cs="Arial"/>
          <w:sz w:val="20"/>
          <w:szCs w:val="20"/>
          <w:lang w:eastAsia="pt-BR"/>
        </w:rPr>
      </w:pPr>
      <w:r w:rsidRPr="00FD1551">
        <w:rPr>
          <w:rFonts w:ascii="Arial" w:eastAsia="Times New Roman" w:hAnsi="Arial" w:cs="Arial"/>
          <w:sz w:val="20"/>
          <w:szCs w:val="20"/>
          <w:lang w:eastAsia="pt-BR"/>
        </w:rPr>
        <w:t>&lt;DotacaoInicial&gt;</w:t>
      </w:r>
      <w:r w:rsidRPr="00FD1551">
        <w:rPr>
          <w:rFonts w:ascii="Arial" w:eastAsia="Times New Roman" w:hAnsi="Arial" w:cs="Arial"/>
          <w:b/>
          <w:bCs/>
          <w:sz w:val="20"/>
          <w:szCs w:val="20"/>
          <w:lang w:eastAsia="pt-BR"/>
        </w:rPr>
        <w:t>99999999999999.99</w:t>
      </w:r>
      <w:r w:rsidRPr="00FD1551">
        <w:rPr>
          <w:rFonts w:ascii="Arial" w:eastAsia="Times New Roman" w:hAnsi="Arial" w:cs="Arial"/>
          <w:sz w:val="20"/>
          <w:szCs w:val="20"/>
          <w:lang w:eastAsia="pt-BR"/>
        </w:rPr>
        <w:t>&lt;/DotacaoInicial&gt;</w:t>
      </w:r>
    </w:p>
    <w:p w14:paraId="1F1785C6" w14:textId="77777777" w:rsidR="00FD1551" w:rsidRPr="00FD1551" w:rsidRDefault="00FD1551" w:rsidP="00FD1551">
      <w:pPr>
        <w:spacing w:after="0" w:line="240" w:lineRule="auto"/>
        <w:ind w:left="993"/>
        <w:rPr>
          <w:rFonts w:ascii="Arial" w:eastAsia="Times New Roman" w:hAnsi="Arial" w:cs="Arial"/>
          <w:sz w:val="20"/>
          <w:szCs w:val="20"/>
          <w:lang w:eastAsia="pt-BR"/>
        </w:rPr>
      </w:pPr>
      <w:r w:rsidRPr="00FD1551">
        <w:rPr>
          <w:rFonts w:ascii="Arial" w:eastAsia="Times New Roman" w:hAnsi="Arial" w:cs="Arial"/>
          <w:sz w:val="20"/>
          <w:szCs w:val="20"/>
          <w:lang w:eastAsia="pt-BR"/>
        </w:rPr>
        <w:t>&lt;Adicao&gt;</w:t>
      </w:r>
      <w:r w:rsidRPr="00FD1551">
        <w:rPr>
          <w:rFonts w:ascii="Arial" w:eastAsia="Times New Roman" w:hAnsi="Arial" w:cs="Arial"/>
          <w:b/>
          <w:bCs/>
          <w:sz w:val="20"/>
          <w:szCs w:val="20"/>
          <w:lang w:eastAsia="pt-BR"/>
        </w:rPr>
        <w:t>99999999999999.99</w:t>
      </w:r>
      <w:r w:rsidRPr="00FD1551">
        <w:rPr>
          <w:rFonts w:ascii="Arial" w:eastAsia="Times New Roman" w:hAnsi="Arial" w:cs="Arial"/>
          <w:sz w:val="20"/>
          <w:szCs w:val="20"/>
          <w:lang w:eastAsia="pt-BR"/>
        </w:rPr>
        <w:t>&lt;/Adicao&gt;</w:t>
      </w:r>
    </w:p>
    <w:p w14:paraId="6473B007" w14:textId="77777777" w:rsidR="00FD1551" w:rsidRPr="00FD1551" w:rsidRDefault="00FD1551" w:rsidP="00FD1551">
      <w:pPr>
        <w:spacing w:after="0" w:line="240" w:lineRule="auto"/>
        <w:ind w:left="993"/>
        <w:rPr>
          <w:rFonts w:ascii="Arial" w:eastAsia="Times New Roman" w:hAnsi="Arial" w:cs="Arial"/>
          <w:sz w:val="20"/>
          <w:szCs w:val="20"/>
          <w:lang w:eastAsia="pt-BR"/>
        </w:rPr>
      </w:pPr>
      <w:r w:rsidRPr="00FD1551">
        <w:rPr>
          <w:rFonts w:ascii="Arial" w:eastAsia="Times New Roman" w:hAnsi="Arial" w:cs="Arial"/>
          <w:sz w:val="20"/>
          <w:szCs w:val="20"/>
          <w:lang w:eastAsia="pt-BR"/>
        </w:rPr>
        <w:t>&lt;Subtracao&gt;</w:t>
      </w:r>
      <w:r w:rsidRPr="00FD1551">
        <w:rPr>
          <w:rFonts w:ascii="Arial" w:eastAsia="Times New Roman" w:hAnsi="Arial" w:cs="Arial"/>
          <w:b/>
          <w:bCs/>
          <w:sz w:val="20"/>
          <w:szCs w:val="20"/>
          <w:lang w:eastAsia="pt-BR"/>
        </w:rPr>
        <w:t>99999999999999.99</w:t>
      </w:r>
      <w:r w:rsidRPr="00FD1551">
        <w:rPr>
          <w:rFonts w:ascii="Arial" w:eastAsia="Times New Roman" w:hAnsi="Arial" w:cs="Arial"/>
          <w:sz w:val="20"/>
          <w:szCs w:val="20"/>
          <w:lang w:eastAsia="pt-BR"/>
        </w:rPr>
        <w:t>&lt;/Subtracao&gt;</w:t>
      </w:r>
    </w:p>
    <w:p w14:paraId="4534F81A" w14:textId="77777777" w:rsidR="00FD1551" w:rsidRPr="00FD1551" w:rsidRDefault="00FD1551" w:rsidP="00FD1551">
      <w:pPr>
        <w:spacing w:after="0" w:line="240" w:lineRule="auto"/>
        <w:ind w:left="993"/>
        <w:rPr>
          <w:rFonts w:ascii="Arial" w:eastAsia="Times New Roman" w:hAnsi="Arial" w:cs="Arial"/>
          <w:sz w:val="20"/>
          <w:szCs w:val="20"/>
          <w:lang w:eastAsia="pt-BR"/>
        </w:rPr>
      </w:pPr>
      <w:r w:rsidRPr="00FD1551">
        <w:rPr>
          <w:rFonts w:ascii="Arial" w:eastAsia="Times New Roman" w:hAnsi="Arial" w:cs="Arial"/>
          <w:sz w:val="20"/>
          <w:szCs w:val="20"/>
          <w:lang w:eastAsia="pt-BR"/>
        </w:rPr>
        <w:t>&lt;DotacaoAtualizada&gt;</w:t>
      </w:r>
      <w:r w:rsidRPr="00FD1551">
        <w:rPr>
          <w:rFonts w:ascii="Arial" w:eastAsia="Times New Roman" w:hAnsi="Arial" w:cs="Arial"/>
          <w:b/>
          <w:bCs/>
          <w:sz w:val="20"/>
          <w:szCs w:val="20"/>
          <w:lang w:eastAsia="pt-BR"/>
        </w:rPr>
        <w:t>99999999999999.99</w:t>
      </w:r>
      <w:r w:rsidRPr="00FD1551">
        <w:rPr>
          <w:rFonts w:ascii="Arial" w:eastAsia="Times New Roman" w:hAnsi="Arial" w:cs="Arial"/>
          <w:sz w:val="20"/>
          <w:szCs w:val="20"/>
          <w:lang w:eastAsia="pt-BR"/>
        </w:rPr>
        <w:t>&lt;/DotacaoAtualizada&gt;</w:t>
      </w:r>
    </w:p>
    <w:p w14:paraId="1C1EC514" w14:textId="77777777" w:rsidR="00FD1551" w:rsidRPr="00FD1551" w:rsidRDefault="00FD1551" w:rsidP="00FD1551">
      <w:pPr>
        <w:spacing w:after="0" w:line="240" w:lineRule="auto"/>
        <w:ind w:left="993"/>
        <w:rPr>
          <w:rFonts w:ascii="Arial" w:eastAsia="Times New Roman" w:hAnsi="Arial" w:cs="Arial"/>
          <w:sz w:val="20"/>
          <w:szCs w:val="20"/>
          <w:lang w:eastAsia="pt-BR"/>
        </w:rPr>
      </w:pPr>
      <w:r w:rsidRPr="00FD1551">
        <w:rPr>
          <w:rFonts w:ascii="Arial" w:eastAsia="Times New Roman" w:hAnsi="Arial" w:cs="Arial"/>
          <w:sz w:val="20"/>
          <w:szCs w:val="20"/>
          <w:lang w:eastAsia="pt-BR"/>
        </w:rPr>
        <w:t>&lt;ValorEmpenhado&gt;</w:t>
      </w:r>
      <w:r w:rsidRPr="00FD1551">
        <w:rPr>
          <w:rFonts w:ascii="Arial" w:eastAsia="Times New Roman" w:hAnsi="Arial" w:cs="Arial"/>
          <w:b/>
          <w:bCs/>
          <w:sz w:val="20"/>
          <w:szCs w:val="20"/>
          <w:lang w:eastAsia="pt-BR"/>
        </w:rPr>
        <w:t>99999999999999.99</w:t>
      </w:r>
      <w:r w:rsidRPr="00FD1551">
        <w:rPr>
          <w:rFonts w:ascii="Arial" w:eastAsia="Times New Roman" w:hAnsi="Arial" w:cs="Arial"/>
          <w:sz w:val="20"/>
          <w:szCs w:val="20"/>
          <w:lang w:eastAsia="pt-BR"/>
        </w:rPr>
        <w:t>&lt;/ValorEmpenhado&gt;</w:t>
      </w:r>
    </w:p>
    <w:p w14:paraId="637B5C9E" w14:textId="77777777" w:rsidR="00FD1551" w:rsidRPr="00FD1551" w:rsidRDefault="00FD1551" w:rsidP="00FD1551">
      <w:pPr>
        <w:spacing w:after="0" w:line="240" w:lineRule="auto"/>
        <w:ind w:left="993"/>
        <w:rPr>
          <w:rFonts w:ascii="Arial" w:eastAsia="Times New Roman" w:hAnsi="Arial" w:cs="Arial"/>
          <w:sz w:val="20"/>
          <w:szCs w:val="20"/>
          <w:lang w:eastAsia="pt-BR"/>
        </w:rPr>
      </w:pPr>
      <w:r w:rsidRPr="00FD1551">
        <w:rPr>
          <w:rFonts w:ascii="Arial" w:eastAsia="Times New Roman" w:hAnsi="Arial" w:cs="Arial"/>
          <w:sz w:val="20"/>
          <w:szCs w:val="20"/>
          <w:lang w:eastAsia="pt-BR"/>
        </w:rPr>
        <w:t>&lt;ValorLiquidado&gt;</w:t>
      </w:r>
      <w:r w:rsidRPr="00FD1551">
        <w:rPr>
          <w:rFonts w:ascii="Arial" w:eastAsia="Times New Roman" w:hAnsi="Arial" w:cs="Arial"/>
          <w:b/>
          <w:bCs/>
          <w:sz w:val="20"/>
          <w:szCs w:val="20"/>
          <w:lang w:eastAsia="pt-BR"/>
        </w:rPr>
        <w:t>99999999999999.99</w:t>
      </w:r>
      <w:r w:rsidRPr="00FD1551">
        <w:rPr>
          <w:rFonts w:ascii="Arial" w:eastAsia="Times New Roman" w:hAnsi="Arial" w:cs="Arial"/>
          <w:sz w:val="20"/>
          <w:szCs w:val="20"/>
          <w:lang w:eastAsia="pt-BR"/>
        </w:rPr>
        <w:t>&lt;/ValorLiquidado&gt;</w:t>
      </w:r>
    </w:p>
    <w:p w14:paraId="0E9CF6C3" w14:textId="77777777" w:rsidR="00FD1551" w:rsidRPr="00FD1551" w:rsidRDefault="00FD1551" w:rsidP="00FD1551">
      <w:pPr>
        <w:spacing w:after="0" w:line="240" w:lineRule="auto"/>
        <w:ind w:left="993"/>
        <w:rPr>
          <w:rFonts w:ascii="Arial" w:eastAsia="Times New Roman" w:hAnsi="Arial" w:cs="Arial"/>
          <w:sz w:val="20"/>
          <w:szCs w:val="20"/>
          <w:lang w:eastAsia="pt-BR"/>
        </w:rPr>
      </w:pPr>
      <w:r w:rsidRPr="00FD1551">
        <w:rPr>
          <w:rFonts w:ascii="Arial" w:eastAsia="Times New Roman" w:hAnsi="Arial" w:cs="Arial"/>
          <w:sz w:val="20"/>
          <w:szCs w:val="20"/>
          <w:lang w:eastAsia="pt-BR"/>
        </w:rPr>
        <w:t>&lt;ValorPago&gt;</w:t>
      </w:r>
      <w:r w:rsidRPr="00FD1551">
        <w:rPr>
          <w:rFonts w:ascii="Arial" w:eastAsia="Times New Roman" w:hAnsi="Arial" w:cs="Arial"/>
          <w:b/>
          <w:bCs/>
          <w:sz w:val="20"/>
          <w:szCs w:val="20"/>
          <w:lang w:eastAsia="pt-BR"/>
        </w:rPr>
        <w:t>99999999999999.99</w:t>
      </w:r>
      <w:r w:rsidRPr="00FD1551">
        <w:rPr>
          <w:rFonts w:ascii="Arial" w:eastAsia="Times New Roman" w:hAnsi="Arial" w:cs="Arial"/>
          <w:sz w:val="20"/>
          <w:szCs w:val="20"/>
          <w:lang w:eastAsia="pt-BR"/>
        </w:rPr>
        <w:t>&lt;/ValorPago&gt;</w:t>
      </w:r>
    </w:p>
    <w:p w14:paraId="36B356C1" w14:textId="77777777" w:rsidR="00FD1551" w:rsidRPr="00FD1551" w:rsidRDefault="00FD1551" w:rsidP="00FD1551">
      <w:pPr>
        <w:spacing w:after="0" w:line="240" w:lineRule="auto"/>
        <w:ind w:left="567"/>
        <w:rPr>
          <w:rFonts w:ascii="Arial" w:eastAsia="Times New Roman" w:hAnsi="Arial" w:cs="Arial"/>
          <w:sz w:val="20"/>
          <w:szCs w:val="20"/>
          <w:lang w:eastAsia="pt-BR"/>
        </w:rPr>
      </w:pPr>
      <w:r w:rsidRPr="00FD1551">
        <w:rPr>
          <w:rFonts w:ascii="Arial" w:eastAsia="Times New Roman" w:hAnsi="Arial" w:cs="Arial"/>
          <w:sz w:val="20"/>
          <w:szCs w:val="20"/>
          <w:lang w:eastAsia="pt-BR"/>
        </w:rPr>
        <w:t>&lt;/BalanceteExecucaoOrcamentariaDespesa&gt;</w:t>
      </w:r>
    </w:p>
    <w:p w14:paraId="191401A2" w14:textId="77777777" w:rsidR="00FD1551" w:rsidRPr="00FD1551" w:rsidRDefault="00FD1551" w:rsidP="00FD1551">
      <w:pPr>
        <w:spacing w:after="0" w:line="240" w:lineRule="auto"/>
        <w:ind w:left="284"/>
        <w:rPr>
          <w:rFonts w:ascii="Arial" w:eastAsia="Times New Roman" w:hAnsi="Arial" w:cs="Arial"/>
          <w:sz w:val="20"/>
          <w:szCs w:val="20"/>
          <w:lang w:eastAsia="pt-BR"/>
        </w:rPr>
      </w:pPr>
      <w:r w:rsidRPr="00FD1551">
        <w:rPr>
          <w:rFonts w:ascii="Arial" w:eastAsia="Times New Roman" w:hAnsi="Arial" w:cs="Arial"/>
          <w:sz w:val="20"/>
          <w:szCs w:val="20"/>
          <w:lang w:eastAsia="pt-BR"/>
        </w:rPr>
        <w:t>&lt;/BalanceteExecucaoOrcamentariaDespesa_Schema&gt;</w:t>
      </w:r>
    </w:p>
    <w:p w14:paraId="2F8F5D53" w14:textId="77777777" w:rsidR="00FD1551" w:rsidRPr="00FD1551" w:rsidRDefault="00FD1551" w:rsidP="00FD1551">
      <w:pPr>
        <w:rPr>
          <w:rFonts w:ascii="Arial" w:hAnsi="Arial" w:cs="Arial"/>
          <w:sz w:val="20"/>
          <w:szCs w:val="20"/>
          <w:lang w:eastAsia="pt-BR"/>
        </w:rPr>
      </w:pPr>
      <w:r w:rsidRPr="00FD1551">
        <w:rPr>
          <w:rFonts w:ascii="Arial" w:eastAsia="Times New Roman" w:hAnsi="Arial" w:cs="Arial"/>
          <w:sz w:val="20"/>
          <w:szCs w:val="20"/>
          <w:lang w:eastAsia="pt-BR"/>
        </w:rPr>
        <w:t>&lt;PrestacaoContasAnual&gt;</w:t>
      </w:r>
    </w:p>
    <w:tbl>
      <w:tblPr>
        <w:tblW w:w="9229" w:type="dxa"/>
        <w:tblInd w:w="55" w:type="dxa"/>
        <w:tblLayout w:type="fixed"/>
        <w:tblCellMar>
          <w:left w:w="70" w:type="dxa"/>
          <w:right w:w="70" w:type="dxa"/>
        </w:tblCellMar>
        <w:tblLook w:val="04A0" w:firstRow="1" w:lastRow="0" w:firstColumn="1" w:lastColumn="0" w:noHBand="0" w:noVBand="1"/>
      </w:tblPr>
      <w:tblGrid>
        <w:gridCol w:w="3984"/>
        <w:gridCol w:w="1276"/>
        <w:gridCol w:w="1134"/>
        <w:gridCol w:w="2835"/>
      </w:tblGrid>
      <w:tr w:rsidR="00FD1551" w:rsidRPr="00FD1551" w14:paraId="783E6648" w14:textId="77777777" w:rsidTr="00FD1551">
        <w:trPr>
          <w:trHeight w:val="315"/>
        </w:trPr>
        <w:tc>
          <w:tcPr>
            <w:tcW w:w="3984" w:type="dxa"/>
            <w:tcBorders>
              <w:top w:val="single" w:sz="8" w:space="0" w:color="auto"/>
              <w:left w:val="single" w:sz="8" w:space="0" w:color="auto"/>
              <w:bottom w:val="single" w:sz="8" w:space="0" w:color="auto"/>
              <w:right w:val="single" w:sz="8" w:space="0" w:color="auto"/>
            </w:tcBorders>
            <w:shd w:val="clear" w:color="000000" w:fill="BFBFBF"/>
            <w:vAlign w:val="center"/>
            <w:hideMark/>
          </w:tcPr>
          <w:p w14:paraId="29FBF8D8" w14:textId="77777777" w:rsidR="00FD1551" w:rsidRPr="00FD1551" w:rsidRDefault="00FD1551" w:rsidP="00FD1551">
            <w:pPr>
              <w:spacing w:after="0" w:line="240" w:lineRule="auto"/>
              <w:jc w:val="center"/>
              <w:rPr>
                <w:rFonts w:ascii="Arial" w:eastAsia="Times New Roman" w:hAnsi="Arial" w:cs="Arial"/>
                <w:b/>
                <w:bCs/>
                <w:sz w:val="20"/>
                <w:szCs w:val="20"/>
                <w:lang w:eastAsia="pt-BR"/>
              </w:rPr>
            </w:pPr>
            <w:r w:rsidRPr="00FD1551">
              <w:rPr>
                <w:rFonts w:ascii="Arial" w:eastAsia="Times New Roman" w:hAnsi="Arial" w:cs="Arial"/>
                <w:b/>
                <w:bCs/>
                <w:sz w:val="20"/>
                <w:szCs w:val="20"/>
                <w:lang w:eastAsia="pt-BR"/>
              </w:rPr>
              <w:t>Campo</w:t>
            </w:r>
          </w:p>
        </w:tc>
        <w:tc>
          <w:tcPr>
            <w:tcW w:w="1276" w:type="dxa"/>
            <w:tcBorders>
              <w:top w:val="single" w:sz="8" w:space="0" w:color="auto"/>
              <w:left w:val="nil"/>
              <w:bottom w:val="single" w:sz="8" w:space="0" w:color="auto"/>
              <w:right w:val="single" w:sz="8" w:space="0" w:color="auto"/>
            </w:tcBorders>
            <w:shd w:val="clear" w:color="000000" w:fill="BFBFBF"/>
            <w:vAlign w:val="center"/>
            <w:hideMark/>
          </w:tcPr>
          <w:p w14:paraId="42863915" w14:textId="77777777" w:rsidR="00FD1551" w:rsidRPr="00FD1551" w:rsidRDefault="00FD1551" w:rsidP="00FD1551">
            <w:pPr>
              <w:spacing w:after="0" w:line="240" w:lineRule="auto"/>
              <w:jc w:val="center"/>
              <w:rPr>
                <w:rFonts w:ascii="Arial" w:eastAsia="Times New Roman" w:hAnsi="Arial" w:cs="Arial"/>
                <w:b/>
                <w:bCs/>
                <w:sz w:val="20"/>
                <w:szCs w:val="20"/>
                <w:lang w:eastAsia="pt-BR"/>
              </w:rPr>
            </w:pPr>
            <w:r w:rsidRPr="00FD1551">
              <w:rPr>
                <w:rFonts w:ascii="Arial" w:eastAsia="Times New Roman" w:hAnsi="Arial" w:cs="Arial"/>
                <w:b/>
                <w:bCs/>
                <w:sz w:val="20"/>
                <w:szCs w:val="20"/>
                <w:lang w:eastAsia="pt-BR"/>
              </w:rPr>
              <w:t>Tipo</w:t>
            </w:r>
          </w:p>
        </w:tc>
        <w:tc>
          <w:tcPr>
            <w:tcW w:w="1134" w:type="dxa"/>
            <w:tcBorders>
              <w:top w:val="single" w:sz="8" w:space="0" w:color="auto"/>
              <w:left w:val="nil"/>
              <w:bottom w:val="single" w:sz="8" w:space="0" w:color="auto"/>
              <w:right w:val="single" w:sz="8" w:space="0" w:color="auto"/>
            </w:tcBorders>
            <w:shd w:val="clear" w:color="000000" w:fill="BFBFBF"/>
            <w:vAlign w:val="center"/>
            <w:hideMark/>
          </w:tcPr>
          <w:p w14:paraId="3248A077" w14:textId="77777777" w:rsidR="00FD1551" w:rsidRPr="00FD1551" w:rsidRDefault="00FD1551" w:rsidP="00FD1551">
            <w:pPr>
              <w:spacing w:after="0" w:line="240" w:lineRule="auto"/>
              <w:jc w:val="center"/>
              <w:rPr>
                <w:rFonts w:ascii="Arial" w:eastAsia="Times New Roman" w:hAnsi="Arial" w:cs="Arial"/>
                <w:b/>
                <w:bCs/>
                <w:sz w:val="20"/>
                <w:szCs w:val="20"/>
                <w:lang w:eastAsia="pt-BR"/>
              </w:rPr>
            </w:pPr>
            <w:r w:rsidRPr="00FD1551">
              <w:rPr>
                <w:rFonts w:ascii="Arial" w:eastAsia="Times New Roman" w:hAnsi="Arial" w:cs="Arial"/>
                <w:b/>
                <w:bCs/>
                <w:sz w:val="20"/>
                <w:szCs w:val="20"/>
                <w:lang w:eastAsia="pt-BR"/>
              </w:rPr>
              <w:t>Tamanho</w:t>
            </w:r>
          </w:p>
        </w:tc>
        <w:tc>
          <w:tcPr>
            <w:tcW w:w="2835" w:type="dxa"/>
            <w:tcBorders>
              <w:top w:val="single" w:sz="8" w:space="0" w:color="auto"/>
              <w:left w:val="nil"/>
              <w:bottom w:val="single" w:sz="8" w:space="0" w:color="auto"/>
              <w:right w:val="single" w:sz="8" w:space="0" w:color="auto"/>
            </w:tcBorders>
            <w:shd w:val="clear" w:color="000000" w:fill="BFBFBF"/>
            <w:vAlign w:val="center"/>
            <w:hideMark/>
          </w:tcPr>
          <w:p w14:paraId="2740B3CC" w14:textId="77777777" w:rsidR="00FD1551" w:rsidRPr="00FD1551" w:rsidRDefault="00FD1551" w:rsidP="00FD1551">
            <w:pPr>
              <w:spacing w:after="0" w:line="240" w:lineRule="auto"/>
              <w:jc w:val="center"/>
              <w:rPr>
                <w:rFonts w:ascii="Arial" w:eastAsia="Times New Roman" w:hAnsi="Arial" w:cs="Arial"/>
                <w:b/>
                <w:bCs/>
                <w:sz w:val="20"/>
                <w:szCs w:val="20"/>
                <w:lang w:eastAsia="pt-BR"/>
              </w:rPr>
            </w:pPr>
            <w:r w:rsidRPr="00FD1551">
              <w:rPr>
                <w:rFonts w:ascii="Arial" w:eastAsia="Times New Roman" w:hAnsi="Arial" w:cs="Arial"/>
                <w:b/>
                <w:bCs/>
                <w:sz w:val="20"/>
                <w:szCs w:val="20"/>
                <w:lang w:eastAsia="pt-BR"/>
              </w:rPr>
              <w:t>Obrigatoriedade</w:t>
            </w:r>
          </w:p>
        </w:tc>
      </w:tr>
      <w:tr w:rsidR="00FD1551" w:rsidRPr="00FD1551" w14:paraId="0F8B4D39" w14:textId="77777777" w:rsidTr="00FD1551">
        <w:trPr>
          <w:trHeight w:val="499"/>
        </w:trPr>
        <w:tc>
          <w:tcPr>
            <w:tcW w:w="9229" w:type="dxa"/>
            <w:gridSpan w:val="4"/>
            <w:tcBorders>
              <w:top w:val="single" w:sz="8" w:space="0" w:color="auto"/>
              <w:left w:val="single" w:sz="8" w:space="0" w:color="auto"/>
              <w:bottom w:val="single" w:sz="8" w:space="0" w:color="auto"/>
              <w:right w:val="single" w:sz="8" w:space="0" w:color="000000"/>
            </w:tcBorders>
            <w:shd w:val="clear" w:color="000000" w:fill="BFBFBF"/>
            <w:vAlign w:val="center"/>
            <w:hideMark/>
          </w:tcPr>
          <w:p w14:paraId="0CE6DBCF" w14:textId="77777777" w:rsidR="00FD1551" w:rsidRPr="00FD1551" w:rsidRDefault="00FD1551" w:rsidP="00FD1551">
            <w:pPr>
              <w:spacing w:after="0" w:line="240" w:lineRule="auto"/>
              <w:jc w:val="center"/>
              <w:rPr>
                <w:rFonts w:ascii="Arial" w:eastAsia="Times New Roman" w:hAnsi="Arial" w:cs="Arial"/>
                <w:b/>
                <w:bCs/>
                <w:sz w:val="20"/>
                <w:szCs w:val="20"/>
                <w:lang w:eastAsia="pt-BR"/>
              </w:rPr>
            </w:pPr>
            <w:r w:rsidRPr="00FD1551">
              <w:rPr>
                <w:rFonts w:ascii="Arial" w:eastAsia="Times New Roman" w:hAnsi="Arial" w:cs="Arial"/>
                <w:b/>
                <w:bCs/>
                <w:sz w:val="20"/>
                <w:szCs w:val="20"/>
                <w:lang w:eastAsia="pt-BR"/>
              </w:rPr>
              <w:t>Estrutura ‘BalanceteExecucaoOrcamentariaDespesa’</w:t>
            </w:r>
          </w:p>
        </w:tc>
      </w:tr>
      <w:tr w:rsidR="00FD1551" w:rsidRPr="00FD1551" w14:paraId="0A5C1D23" w14:textId="77777777" w:rsidTr="00FD1551">
        <w:trPr>
          <w:trHeight w:val="315"/>
        </w:trPr>
        <w:tc>
          <w:tcPr>
            <w:tcW w:w="3984" w:type="dxa"/>
            <w:tcBorders>
              <w:top w:val="nil"/>
              <w:left w:val="single" w:sz="8" w:space="0" w:color="auto"/>
              <w:bottom w:val="single" w:sz="8" w:space="0" w:color="auto"/>
              <w:right w:val="single" w:sz="8" w:space="0" w:color="auto"/>
            </w:tcBorders>
            <w:shd w:val="clear" w:color="auto" w:fill="auto"/>
            <w:vAlign w:val="center"/>
            <w:hideMark/>
          </w:tcPr>
          <w:p w14:paraId="6E1E3FF2" w14:textId="77777777" w:rsidR="00FD1551" w:rsidRPr="00FD1551" w:rsidRDefault="00FD1551" w:rsidP="00FD1551">
            <w:pPr>
              <w:spacing w:after="0" w:line="240" w:lineRule="auto"/>
              <w:jc w:val="both"/>
              <w:rPr>
                <w:rFonts w:ascii="Arial" w:eastAsia="Times New Roman" w:hAnsi="Arial" w:cs="Arial"/>
                <w:sz w:val="20"/>
                <w:szCs w:val="20"/>
                <w:lang w:eastAsia="pt-BR"/>
              </w:rPr>
            </w:pPr>
            <w:r w:rsidRPr="00FD1551">
              <w:rPr>
                <w:rFonts w:ascii="Arial" w:eastAsia="Times New Roman" w:hAnsi="Arial" w:cs="Arial"/>
                <w:sz w:val="20"/>
                <w:szCs w:val="20"/>
                <w:lang w:eastAsia="pt-BR"/>
              </w:rPr>
              <w:t>Identificação do Numero do Registro</w:t>
            </w:r>
          </w:p>
        </w:tc>
        <w:tc>
          <w:tcPr>
            <w:tcW w:w="1276" w:type="dxa"/>
            <w:tcBorders>
              <w:top w:val="nil"/>
              <w:left w:val="nil"/>
              <w:bottom w:val="single" w:sz="8" w:space="0" w:color="auto"/>
              <w:right w:val="single" w:sz="8" w:space="0" w:color="auto"/>
            </w:tcBorders>
            <w:shd w:val="clear" w:color="auto" w:fill="auto"/>
            <w:vAlign w:val="center"/>
            <w:hideMark/>
          </w:tcPr>
          <w:p w14:paraId="1988289E"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Inteiro</w:t>
            </w:r>
          </w:p>
        </w:tc>
        <w:tc>
          <w:tcPr>
            <w:tcW w:w="1134" w:type="dxa"/>
            <w:tcBorders>
              <w:top w:val="nil"/>
              <w:left w:val="nil"/>
              <w:bottom w:val="single" w:sz="8" w:space="0" w:color="auto"/>
              <w:right w:val="single" w:sz="8" w:space="0" w:color="auto"/>
            </w:tcBorders>
            <w:shd w:val="clear" w:color="auto" w:fill="auto"/>
            <w:vAlign w:val="center"/>
            <w:hideMark/>
          </w:tcPr>
          <w:p w14:paraId="178AF910"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5</w:t>
            </w:r>
          </w:p>
        </w:tc>
        <w:tc>
          <w:tcPr>
            <w:tcW w:w="2835" w:type="dxa"/>
            <w:tcBorders>
              <w:top w:val="nil"/>
              <w:left w:val="nil"/>
              <w:bottom w:val="single" w:sz="8" w:space="0" w:color="auto"/>
              <w:right w:val="single" w:sz="8" w:space="0" w:color="auto"/>
            </w:tcBorders>
            <w:shd w:val="clear" w:color="auto" w:fill="auto"/>
            <w:vAlign w:val="center"/>
            <w:hideMark/>
          </w:tcPr>
          <w:p w14:paraId="49818F1D"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Obrigatório</w:t>
            </w:r>
          </w:p>
        </w:tc>
      </w:tr>
      <w:tr w:rsidR="00FD1551" w:rsidRPr="00FD1551" w14:paraId="0CDB6069" w14:textId="77777777" w:rsidTr="00FD1551">
        <w:trPr>
          <w:trHeight w:val="600"/>
        </w:trPr>
        <w:tc>
          <w:tcPr>
            <w:tcW w:w="3984" w:type="dxa"/>
            <w:tcBorders>
              <w:top w:val="nil"/>
              <w:left w:val="single" w:sz="8" w:space="0" w:color="auto"/>
              <w:bottom w:val="single" w:sz="8" w:space="0" w:color="auto"/>
              <w:right w:val="single" w:sz="8" w:space="0" w:color="auto"/>
            </w:tcBorders>
            <w:shd w:val="clear" w:color="auto" w:fill="auto"/>
            <w:vAlign w:val="center"/>
            <w:hideMark/>
          </w:tcPr>
          <w:p w14:paraId="0AD673C7" w14:textId="77777777" w:rsidR="00FD1551" w:rsidRPr="00FD1551" w:rsidRDefault="00FD1551" w:rsidP="00FD1551">
            <w:pPr>
              <w:spacing w:after="0" w:line="240" w:lineRule="auto"/>
              <w:jc w:val="both"/>
              <w:rPr>
                <w:rFonts w:ascii="Arial" w:eastAsia="Times New Roman" w:hAnsi="Arial" w:cs="Arial"/>
                <w:sz w:val="20"/>
                <w:szCs w:val="20"/>
                <w:lang w:eastAsia="pt-BR"/>
              </w:rPr>
            </w:pPr>
            <w:r w:rsidRPr="00FD1551">
              <w:rPr>
                <w:rFonts w:ascii="Arial" w:eastAsia="Times New Roman" w:hAnsi="Arial" w:cs="Arial"/>
                <w:sz w:val="20"/>
                <w:szCs w:val="20"/>
                <w:lang w:eastAsia="pt-BR"/>
              </w:rPr>
              <w:t>Código da Unidade Gestora</w:t>
            </w:r>
          </w:p>
        </w:tc>
        <w:tc>
          <w:tcPr>
            <w:tcW w:w="1276" w:type="dxa"/>
            <w:tcBorders>
              <w:top w:val="nil"/>
              <w:left w:val="nil"/>
              <w:bottom w:val="single" w:sz="8" w:space="0" w:color="auto"/>
              <w:right w:val="single" w:sz="8" w:space="0" w:color="auto"/>
            </w:tcBorders>
            <w:shd w:val="clear" w:color="auto" w:fill="auto"/>
            <w:vAlign w:val="center"/>
            <w:hideMark/>
          </w:tcPr>
          <w:p w14:paraId="60244546"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Caracter</w:t>
            </w:r>
          </w:p>
        </w:tc>
        <w:tc>
          <w:tcPr>
            <w:tcW w:w="1134" w:type="dxa"/>
            <w:tcBorders>
              <w:top w:val="nil"/>
              <w:left w:val="nil"/>
              <w:bottom w:val="single" w:sz="8" w:space="0" w:color="auto"/>
              <w:right w:val="single" w:sz="8" w:space="0" w:color="auto"/>
            </w:tcBorders>
            <w:shd w:val="clear" w:color="auto" w:fill="auto"/>
            <w:vAlign w:val="center"/>
            <w:hideMark/>
          </w:tcPr>
          <w:p w14:paraId="6A82802B"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11</w:t>
            </w:r>
          </w:p>
        </w:tc>
        <w:tc>
          <w:tcPr>
            <w:tcW w:w="2835" w:type="dxa"/>
            <w:tcBorders>
              <w:top w:val="nil"/>
              <w:left w:val="nil"/>
              <w:bottom w:val="single" w:sz="8" w:space="0" w:color="auto"/>
              <w:right w:val="single" w:sz="8" w:space="0" w:color="auto"/>
            </w:tcBorders>
            <w:shd w:val="clear" w:color="auto" w:fill="auto"/>
            <w:vAlign w:val="center"/>
            <w:hideMark/>
          </w:tcPr>
          <w:p w14:paraId="2B7BE77C" w14:textId="77777777" w:rsidR="004313CE" w:rsidRDefault="00FD1551" w:rsidP="00FD1551">
            <w:pPr>
              <w:spacing w:after="0" w:line="240" w:lineRule="auto"/>
              <w:jc w:val="both"/>
              <w:rPr>
                <w:rFonts w:ascii="Arial" w:eastAsia="Times New Roman" w:hAnsi="Arial" w:cs="Arial"/>
                <w:sz w:val="20"/>
                <w:szCs w:val="20"/>
                <w:lang w:eastAsia="pt-BR"/>
              </w:rPr>
            </w:pPr>
            <w:r w:rsidRPr="00FD1551">
              <w:rPr>
                <w:rFonts w:ascii="Arial" w:eastAsia="Times New Roman" w:hAnsi="Arial" w:cs="Arial"/>
                <w:sz w:val="20"/>
                <w:szCs w:val="20"/>
                <w:lang w:eastAsia="pt-BR"/>
              </w:rPr>
              <w:t>Obrigatório</w:t>
            </w:r>
          </w:p>
          <w:p w14:paraId="4B6C4F2C" w14:textId="77777777" w:rsidR="004313CE" w:rsidRPr="007F29D2" w:rsidRDefault="004313CE" w:rsidP="004313CE">
            <w:pPr>
              <w:spacing w:after="0" w:line="240" w:lineRule="auto"/>
              <w:jc w:val="both"/>
              <w:rPr>
                <w:rFonts w:ascii="Arial" w:eastAsia="Times New Roman" w:hAnsi="Arial" w:cs="Arial"/>
                <w:sz w:val="20"/>
                <w:szCs w:val="20"/>
                <w:lang w:eastAsia="pt-BR"/>
              </w:rPr>
            </w:pPr>
            <w:r w:rsidRPr="007F29D2">
              <w:rPr>
                <w:rFonts w:ascii="Arial" w:eastAsia="Times New Roman" w:hAnsi="Arial" w:cs="Arial"/>
                <w:sz w:val="20"/>
                <w:szCs w:val="20"/>
                <w:lang w:eastAsia="pt-BR"/>
              </w:rPr>
              <w:t>- Se Origem do Recurso 1</w:t>
            </w:r>
          </w:p>
          <w:p w14:paraId="15261DA2" w14:textId="77777777" w:rsidR="004313CE" w:rsidRPr="007F29D2" w:rsidRDefault="004313CE" w:rsidP="004313CE">
            <w:pPr>
              <w:spacing w:after="0" w:line="240" w:lineRule="auto"/>
              <w:jc w:val="both"/>
              <w:rPr>
                <w:rFonts w:ascii="Arial" w:eastAsia="Times New Roman" w:hAnsi="Arial" w:cs="Arial"/>
                <w:sz w:val="20"/>
                <w:szCs w:val="20"/>
                <w:lang w:eastAsia="pt-BR"/>
              </w:rPr>
            </w:pPr>
            <w:r w:rsidRPr="007F29D2">
              <w:rPr>
                <w:rFonts w:ascii="Arial" w:eastAsia="Times New Roman" w:hAnsi="Arial" w:cs="Arial"/>
                <w:sz w:val="20"/>
                <w:szCs w:val="20"/>
                <w:lang w:eastAsia="pt-BR"/>
              </w:rPr>
              <w:t xml:space="preserve">  -- Ente sob gestão do TCEES: Código da UG</w:t>
            </w:r>
          </w:p>
          <w:p w14:paraId="724B90BD" w14:textId="77777777" w:rsidR="004313CE" w:rsidRPr="007F29D2" w:rsidRDefault="004313CE" w:rsidP="004313CE">
            <w:pPr>
              <w:spacing w:after="0" w:line="240" w:lineRule="auto"/>
              <w:jc w:val="both"/>
              <w:rPr>
                <w:rFonts w:ascii="Arial" w:eastAsia="Times New Roman" w:hAnsi="Arial" w:cs="Arial"/>
                <w:sz w:val="20"/>
                <w:szCs w:val="20"/>
                <w:lang w:eastAsia="pt-BR"/>
              </w:rPr>
            </w:pPr>
            <w:r w:rsidRPr="007F29D2">
              <w:rPr>
                <w:rFonts w:ascii="Arial" w:eastAsia="Times New Roman" w:hAnsi="Arial" w:cs="Arial"/>
                <w:sz w:val="20"/>
                <w:szCs w:val="20"/>
                <w:lang w:eastAsia="pt-BR"/>
              </w:rPr>
              <w:t xml:space="preserve">  -- Ente externo: CNPJ (não estar no cadastro de UGs)</w:t>
            </w:r>
          </w:p>
          <w:p w14:paraId="57FC8809" w14:textId="77777777" w:rsidR="004313CE" w:rsidRPr="007F29D2" w:rsidRDefault="004313CE" w:rsidP="004313CE">
            <w:pPr>
              <w:spacing w:after="0" w:line="240" w:lineRule="auto"/>
              <w:jc w:val="both"/>
              <w:rPr>
                <w:rFonts w:ascii="Arial" w:eastAsia="Times New Roman" w:hAnsi="Arial" w:cs="Arial"/>
                <w:sz w:val="20"/>
                <w:szCs w:val="20"/>
                <w:lang w:eastAsia="pt-BR"/>
              </w:rPr>
            </w:pPr>
            <w:r w:rsidRPr="007F29D2">
              <w:rPr>
                <w:rFonts w:ascii="Arial" w:eastAsia="Times New Roman" w:hAnsi="Arial" w:cs="Arial"/>
                <w:sz w:val="20"/>
                <w:szCs w:val="20"/>
                <w:lang w:eastAsia="pt-BR"/>
              </w:rPr>
              <w:t xml:space="preserve"> - Se Origem do Recurso </w:t>
            </w:r>
            <w:r w:rsidR="00450F60">
              <w:rPr>
                <w:rFonts w:ascii="Arial" w:eastAsia="Times New Roman" w:hAnsi="Arial" w:cs="Arial"/>
                <w:sz w:val="20"/>
                <w:szCs w:val="20"/>
                <w:lang w:eastAsia="pt-BR"/>
              </w:rPr>
              <w:t>9</w:t>
            </w:r>
            <w:r w:rsidRPr="007F29D2">
              <w:rPr>
                <w:rFonts w:ascii="Arial" w:eastAsia="Times New Roman" w:hAnsi="Arial" w:cs="Arial"/>
                <w:sz w:val="20"/>
                <w:szCs w:val="20"/>
                <w:lang w:eastAsia="pt-BR"/>
              </w:rPr>
              <w:t>: código da UG do Consórcio.</w:t>
            </w:r>
          </w:p>
          <w:p w14:paraId="0DFBB855" w14:textId="77777777" w:rsidR="004313CE" w:rsidRPr="00FD1551" w:rsidRDefault="004313CE" w:rsidP="00FD1551">
            <w:pPr>
              <w:spacing w:after="0" w:line="240" w:lineRule="auto"/>
              <w:jc w:val="both"/>
              <w:rPr>
                <w:rFonts w:ascii="Arial" w:eastAsia="Times New Roman" w:hAnsi="Arial" w:cs="Arial"/>
                <w:sz w:val="20"/>
                <w:szCs w:val="20"/>
                <w:lang w:eastAsia="pt-BR"/>
              </w:rPr>
            </w:pPr>
          </w:p>
        </w:tc>
      </w:tr>
      <w:tr w:rsidR="00FD1551" w:rsidRPr="00FD1551" w14:paraId="5E94AA37" w14:textId="77777777" w:rsidTr="00FD1551">
        <w:trPr>
          <w:trHeight w:val="315"/>
        </w:trPr>
        <w:tc>
          <w:tcPr>
            <w:tcW w:w="3984" w:type="dxa"/>
            <w:tcBorders>
              <w:top w:val="nil"/>
              <w:left w:val="single" w:sz="8" w:space="0" w:color="auto"/>
              <w:bottom w:val="single" w:sz="8" w:space="0" w:color="auto"/>
              <w:right w:val="single" w:sz="8" w:space="0" w:color="auto"/>
            </w:tcBorders>
            <w:shd w:val="clear" w:color="auto" w:fill="auto"/>
            <w:vAlign w:val="center"/>
            <w:hideMark/>
          </w:tcPr>
          <w:p w14:paraId="570E5337" w14:textId="77777777" w:rsidR="00FD1551" w:rsidRPr="00FD1551" w:rsidRDefault="00FD1551" w:rsidP="00FD1551">
            <w:pPr>
              <w:spacing w:after="0" w:line="240" w:lineRule="auto"/>
              <w:jc w:val="both"/>
              <w:rPr>
                <w:rFonts w:ascii="Arial" w:eastAsia="Times New Roman" w:hAnsi="Arial" w:cs="Arial"/>
                <w:sz w:val="20"/>
                <w:szCs w:val="20"/>
                <w:lang w:eastAsia="pt-BR"/>
              </w:rPr>
            </w:pPr>
            <w:r w:rsidRPr="00FD1551">
              <w:rPr>
                <w:rFonts w:ascii="Arial" w:eastAsia="Times New Roman" w:hAnsi="Arial" w:cs="Arial"/>
                <w:sz w:val="20"/>
                <w:szCs w:val="20"/>
                <w:lang w:eastAsia="pt-BR"/>
              </w:rPr>
              <w:t>Código da Função</w:t>
            </w:r>
          </w:p>
        </w:tc>
        <w:tc>
          <w:tcPr>
            <w:tcW w:w="1276" w:type="dxa"/>
            <w:tcBorders>
              <w:top w:val="nil"/>
              <w:left w:val="nil"/>
              <w:bottom w:val="single" w:sz="8" w:space="0" w:color="auto"/>
              <w:right w:val="single" w:sz="8" w:space="0" w:color="auto"/>
            </w:tcBorders>
            <w:shd w:val="clear" w:color="auto" w:fill="auto"/>
            <w:vAlign w:val="center"/>
            <w:hideMark/>
          </w:tcPr>
          <w:p w14:paraId="5B9B5239"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Caracter</w:t>
            </w:r>
          </w:p>
        </w:tc>
        <w:tc>
          <w:tcPr>
            <w:tcW w:w="1134" w:type="dxa"/>
            <w:tcBorders>
              <w:top w:val="nil"/>
              <w:left w:val="nil"/>
              <w:bottom w:val="single" w:sz="8" w:space="0" w:color="auto"/>
              <w:right w:val="single" w:sz="8" w:space="0" w:color="auto"/>
            </w:tcBorders>
            <w:shd w:val="clear" w:color="auto" w:fill="auto"/>
            <w:vAlign w:val="center"/>
            <w:hideMark/>
          </w:tcPr>
          <w:p w14:paraId="70AE4E76"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2</w:t>
            </w:r>
          </w:p>
        </w:tc>
        <w:tc>
          <w:tcPr>
            <w:tcW w:w="2835" w:type="dxa"/>
            <w:tcBorders>
              <w:top w:val="nil"/>
              <w:left w:val="nil"/>
              <w:bottom w:val="single" w:sz="8" w:space="0" w:color="auto"/>
              <w:right w:val="single" w:sz="8" w:space="0" w:color="auto"/>
            </w:tcBorders>
            <w:shd w:val="clear" w:color="auto" w:fill="auto"/>
            <w:vAlign w:val="center"/>
            <w:hideMark/>
          </w:tcPr>
          <w:p w14:paraId="6A050B70" w14:textId="77777777" w:rsidR="00FD1551" w:rsidRPr="00FD1551" w:rsidRDefault="00FD1551" w:rsidP="007F29D2">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Obrigatório tabela auxiliar 7.1</w:t>
            </w:r>
          </w:p>
        </w:tc>
      </w:tr>
      <w:tr w:rsidR="00FD1551" w:rsidRPr="00FD1551" w14:paraId="72ACF421" w14:textId="77777777" w:rsidTr="00FD1551">
        <w:trPr>
          <w:trHeight w:val="315"/>
        </w:trPr>
        <w:tc>
          <w:tcPr>
            <w:tcW w:w="3984" w:type="dxa"/>
            <w:tcBorders>
              <w:top w:val="nil"/>
              <w:left w:val="single" w:sz="8" w:space="0" w:color="auto"/>
              <w:bottom w:val="single" w:sz="8" w:space="0" w:color="auto"/>
              <w:right w:val="single" w:sz="8" w:space="0" w:color="auto"/>
            </w:tcBorders>
            <w:shd w:val="clear" w:color="auto" w:fill="auto"/>
            <w:vAlign w:val="center"/>
            <w:hideMark/>
          </w:tcPr>
          <w:p w14:paraId="0852FAB7" w14:textId="77777777" w:rsidR="00FD1551" w:rsidRPr="00FD1551" w:rsidRDefault="00FD1551" w:rsidP="00FD1551">
            <w:pPr>
              <w:spacing w:after="0" w:line="240" w:lineRule="auto"/>
              <w:jc w:val="both"/>
              <w:rPr>
                <w:rFonts w:ascii="Arial" w:eastAsia="Times New Roman" w:hAnsi="Arial" w:cs="Arial"/>
                <w:sz w:val="20"/>
                <w:szCs w:val="20"/>
                <w:lang w:eastAsia="pt-BR"/>
              </w:rPr>
            </w:pPr>
            <w:r w:rsidRPr="00FD1551">
              <w:rPr>
                <w:rFonts w:ascii="Arial" w:eastAsia="Times New Roman" w:hAnsi="Arial" w:cs="Arial"/>
                <w:sz w:val="20"/>
                <w:szCs w:val="20"/>
                <w:lang w:eastAsia="pt-BR"/>
              </w:rPr>
              <w:t>Código da Subfunção</w:t>
            </w:r>
          </w:p>
        </w:tc>
        <w:tc>
          <w:tcPr>
            <w:tcW w:w="1276" w:type="dxa"/>
            <w:tcBorders>
              <w:top w:val="nil"/>
              <w:left w:val="nil"/>
              <w:bottom w:val="single" w:sz="8" w:space="0" w:color="auto"/>
              <w:right w:val="single" w:sz="8" w:space="0" w:color="auto"/>
            </w:tcBorders>
            <w:shd w:val="clear" w:color="auto" w:fill="auto"/>
            <w:vAlign w:val="center"/>
            <w:hideMark/>
          </w:tcPr>
          <w:p w14:paraId="7269062F"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Caracter</w:t>
            </w:r>
          </w:p>
        </w:tc>
        <w:tc>
          <w:tcPr>
            <w:tcW w:w="1134" w:type="dxa"/>
            <w:tcBorders>
              <w:top w:val="nil"/>
              <w:left w:val="nil"/>
              <w:bottom w:val="single" w:sz="8" w:space="0" w:color="auto"/>
              <w:right w:val="single" w:sz="8" w:space="0" w:color="auto"/>
            </w:tcBorders>
            <w:shd w:val="clear" w:color="auto" w:fill="auto"/>
            <w:vAlign w:val="center"/>
            <w:hideMark/>
          </w:tcPr>
          <w:p w14:paraId="421F32C2"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3</w:t>
            </w:r>
          </w:p>
        </w:tc>
        <w:tc>
          <w:tcPr>
            <w:tcW w:w="2835" w:type="dxa"/>
            <w:tcBorders>
              <w:top w:val="nil"/>
              <w:left w:val="nil"/>
              <w:bottom w:val="single" w:sz="8" w:space="0" w:color="auto"/>
              <w:right w:val="single" w:sz="8" w:space="0" w:color="auto"/>
            </w:tcBorders>
            <w:shd w:val="clear" w:color="auto" w:fill="auto"/>
            <w:vAlign w:val="center"/>
            <w:hideMark/>
          </w:tcPr>
          <w:p w14:paraId="41EB15B7" w14:textId="77777777" w:rsidR="00FD1551" w:rsidRPr="00FD1551" w:rsidRDefault="00FD1551" w:rsidP="007F29D2">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Obrigatório tabela auxiliar 7.2</w:t>
            </w:r>
          </w:p>
        </w:tc>
      </w:tr>
      <w:tr w:rsidR="00FD1551" w:rsidRPr="00FD1551" w14:paraId="5AEBBF03" w14:textId="77777777" w:rsidTr="00FD1551">
        <w:trPr>
          <w:trHeight w:val="315"/>
        </w:trPr>
        <w:tc>
          <w:tcPr>
            <w:tcW w:w="3984" w:type="dxa"/>
            <w:tcBorders>
              <w:top w:val="nil"/>
              <w:left w:val="single" w:sz="8" w:space="0" w:color="auto"/>
              <w:bottom w:val="single" w:sz="8" w:space="0" w:color="auto"/>
              <w:right w:val="single" w:sz="8" w:space="0" w:color="auto"/>
            </w:tcBorders>
            <w:shd w:val="clear" w:color="auto" w:fill="auto"/>
            <w:vAlign w:val="center"/>
            <w:hideMark/>
          </w:tcPr>
          <w:p w14:paraId="701E9058" w14:textId="77777777" w:rsidR="00FD1551" w:rsidRPr="00FD1551" w:rsidRDefault="00FD1551" w:rsidP="00FD1551">
            <w:pPr>
              <w:spacing w:after="0" w:line="240" w:lineRule="auto"/>
              <w:jc w:val="both"/>
              <w:rPr>
                <w:rFonts w:ascii="Arial" w:eastAsia="Times New Roman" w:hAnsi="Arial" w:cs="Arial"/>
                <w:sz w:val="20"/>
                <w:szCs w:val="20"/>
                <w:lang w:eastAsia="pt-BR"/>
              </w:rPr>
            </w:pPr>
            <w:r w:rsidRPr="00FD1551">
              <w:rPr>
                <w:rFonts w:ascii="Arial" w:eastAsia="Times New Roman" w:hAnsi="Arial" w:cs="Arial"/>
                <w:sz w:val="20"/>
                <w:szCs w:val="20"/>
                <w:lang w:eastAsia="pt-BR"/>
              </w:rPr>
              <w:t>Categoria Econômica da Despesa</w:t>
            </w:r>
          </w:p>
        </w:tc>
        <w:tc>
          <w:tcPr>
            <w:tcW w:w="1276" w:type="dxa"/>
            <w:tcBorders>
              <w:top w:val="nil"/>
              <w:left w:val="nil"/>
              <w:bottom w:val="single" w:sz="8" w:space="0" w:color="auto"/>
              <w:right w:val="single" w:sz="8" w:space="0" w:color="auto"/>
            </w:tcBorders>
            <w:shd w:val="clear" w:color="auto" w:fill="auto"/>
            <w:vAlign w:val="center"/>
            <w:hideMark/>
          </w:tcPr>
          <w:p w14:paraId="5F9471A2"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Caracter</w:t>
            </w:r>
          </w:p>
        </w:tc>
        <w:tc>
          <w:tcPr>
            <w:tcW w:w="1134" w:type="dxa"/>
            <w:tcBorders>
              <w:top w:val="nil"/>
              <w:left w:val="nil"/>
              <w:bottom w:val="single" w:sz="8" w:space="0" w:color="auto"/>
              <w:right w:val="single" w:sz="8" w:space="0" w:color="auto"/>
            </w:tcBorders>
            <w:shd w:val="clear" w:color="auto" w:fill="auto"/>
            <w:vAlign w:val="center"/>
            <w:hideMark/>
          </w:tcPr>
          <w:p w14:paraId="5CD842D2"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1</w:t>
            </w:r>
          </w:p>
        </w:tc>
        <w:tc>
          <w:tcPr>
            <w:tcW w:w="2835" w:type="dxa"/>
            <w:tcBorders>
              <w:top w:val="nil"/>
              <w:left w:val="nil"/>
              <w:bottom w:val="single" w:sz="8" w:space="0" w:color="auto"/>
              <w:right w:val="single" w:sz="8" w:space="0" w:color="auto"/>
            </w:tcBorders>
            <w:shd w:val="clear" w:color="auto" w:fill="auto"/>
            <w:vAlign w:val="center"/>
            <w:hideMark/>
          </w:tcPr>
          <w:p w14:paraId="6F884C80" w14:textId="77777777" w:rsidR="00FD1551" w:rsidRPr="00FD1551" w:rsidRDefault="00FD1551" w:rsidP="007F29D2">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Obrigatório tabela auxiliar 7.3</w:t>
            </w:r>
          </w:p>
        </w:tc>
      </w:tr>
      <w:tr w:rsidR="00FD1551" w:rsidRPr="00FD1551" w14:paraId="152ADF9D" w14:textId="77777777" w:rsidTr="00FD1551">
        <w:trPr>
          <w:trHeight w:val="315"/>
        </w:trPr>
        <w:tc>
          <w:tcPr>
            <w:tcW w:w="3984" w:type="dxa"/>
            <w:tcBorders>
              <w:top w:val="nil"/>
              <w:left w:val="single" w:sz="8" w:space="0" w:color="auto"/>
              <w:bottom w:val="single" w:sz="8" w:space="0" w:color="auto"/>
              <w:right w:val="single" w:sz="8" w:space="0" w:color="auto"/>
            </w:tcBorders>
            <w:shd w:val="clear" w:color="auto" w:fill="auto"/>
            <w:vAlign w:val="center"/>
            <w:hideMark/>
          </w:tcPr>
          <w:p w14:paraId="210BC150" w14:textId="77777777" w:rsidR="00FD1551" w:rsidRPr="00FD1551" w:rsidRDefault="00FD1551" w:rsidP="00FD1551">
            <w:pPr>
              <w:spacing w:after="0" w:line="240" w:lineRule="auto"/>
              <w:jc w:val="both"/>
              <w:rPr>
                <w:rFonts w:ascii="Arial" w:eastAsia="Times New Roman" w:hAnsi="Arial" w:cs="Arial"/>
                <w:sz w:val="20"/>
                <w:szCs w:val="20"/>
                <w:lang w:eastAsia="pt-BR"/>
              </w:rPr>
            </w:pPr>
            <w:r w:rsidRPr="00FD1551">
              <w:rPr>
                <w:rFonts w:ascii="Arial" w:eastAsia="Times New Roman" w:hAnsi="Arial" w:cs="Arial"/>
                <w:sz w:val="20"/>
                <w:szCs w:val="20"/>
                <w:lang w:eastAsia="pt-BR"/>
              </w:rPr>
              <w:t>Grupo de Natureza da Despesa</w:t>
            </w:r>
          </w:p>
        </w:tc>
        <w:tc>
          <w:tcPr>
            <w:tcW w:w="1276" w:type="dxa"/>
            <w:tcBorders>
              <w:top w:val="nil"/>
              <w:left w:val="nil"/>
              <w:bottom w:val="single" w:sz="8" w:space="0" w:color="auto"/>
              <w:right w:val="single" w:sz="8" w:space="0" w:color="auto"/>
            </w:tcBorders>
            <w:shd w:val="clear" w:color="auto" w:fill="auto"/>
            <w:vAlign w:val="center"/>
            <w:hideMark/>
          </w:tcPr>
          <w:p w14:paraId="5B03F121"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Caracter</w:t>
            </w:r>
          </w:p>
        </w:tc>
        <w:tc>
          <w:tcPr>
            <w:tcW w:w="1134" w:type="dxa"/>
            <w:tcBorders>
              <w:top w:val="nil"/>
              <w:left w:val="nil"/>
              <w:bottom w:val="single" w:sz="8" w:space="0" w:color="auto"/>
              <w:right w:val="single" w:sz="8" w:space="0" w:color="auto"/>
            </w:tcBorders>
            <w:shd w:val="clear" w:color="auto" w:fill="auto"/>
            <w:vAlign w:val="center"/>
            <w:hideMark/>
          </w:tcPr>
          <w:p w14:paraId="41465B60"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1</w:t>
            </w:r>
          </w:p>
        </w:tc>
        <w:tc>
          <w:tcPr>
            <w:tcW w:w="2835" w:type="dxa"/>
            <w:tcBorders>
              <w:top w:val="nil"/>
              <w:left w:val="nil"/>
              <w:bottom w:val="single" w:sz="8" w:space="0" w:color="auto"/>
              <w:right w:val="single" w:sz="8" w:space="0" w:color="auto"/>
            </w:tcBorders>
            <w:shd w:val="clear" w:color="auto" w:fill="auto"/>
            <w:vAlign w:val="center"/>
            <w:hideMark/>
          </w:tcPr>
          <w:p w14:paraId="432C4A4A" w14:textId="77777777" w:rsidR="00FD1551" w:rsidRPr="00FD1551" w:rsidRDefault="00FD1551" w:rsidP="007F29D2">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Obrigatório tabela auxiliar 7.4</w:t>
            </w:r>
          </w:p>
        </w:tc>
      </w:tr>
      <w:tr w:rsidR="00FD1551" w:rsidRPr="00FD1551" w14:paraId="4033DA2F" w14:textId="77777777" w:rsidTr="00FD1551">
        <w:trPr>
          <w:trHeight w:val="315"/>
        </w:trPr>
        <w:tc>
          <w:tcPr>
            <w:tcW w:w="3984" w:type="dxa"/>
            <w:tcBorders>
              <w:top w:val="nil"/>
              <w:left w:val="single" w:sz="8" w:space="0" w:color="auto"/>
              <w:bottom w:val="single" w:sz="8" w:space="0" w:color="auto"/>
              <w:right w:val="single" w:sz="8" w:space="0" w:color="auto"/>
            </w:tcBorders>
            <w:shd w:val="clear" w:color="auto" w:fill="auto"/>
            <w:vAlign w:val="center"/>
            <w:hideMark/>
          </w:tcPr>
          <w:p w14:paraId="28D13EA3" w14:textId="77777777" w:rsidR="00FD1551" w:rsidRPr="00FD1551" w:rsidRDefault="00FD1551" w:rsidP="00FD1551">
            <w:pPr>
              <w:spacing w:after="0" w:line="240" w:lineRule="auto"/>
              <w:jc w:val="both"/>
              <w:rPr>
                <w:rFonts w:ascii="Arial" w:eastAsia="Times New Roman" w:hAnsi="Arial" w:cs="Arial"/>
                <w:sz w:val="20"/>
                <w:szCs w:val="20"/>
                <w:lang w:eastAsia="pt-BR"/>
              </w:rPr>
            </w:pPr>
            <w:r w:rsidRPr="00FD1551">
              <w:rPr>
                <w:rFonts w:ascii="Arial" w:eastAsia="Times New Roman" w:hAnsi="Arial" w:cs="Arial"/>
                <w:sz w:val="20"/>
                <w:szCs w:val="20"/>
                <w:lang w:eastAsia="pt-BR"/>
              </w:rPr>
              <w:t>Modalidade de Aplicação</w:t>
            </w:r>
          </w:p>
        </w:tc>
        <w:tc>
          <w:tcPr>
            <w:tcW w:w="1276" w:type="dxa"/>
            <w:tcBorders>
              <w:top w:val="nil"/>
              <w:left w:val="nil"/>
              <w:bottom w:val="single" w:sz="8" w:space="0" w:color="auto"/>
              <w:right w:val="single" w:sz="8" w:space="0" w:color="auto"/>
            </w:tcBorders>
            <w:shd w:val="clear" w:color="auto" w:fill="auto"/>
            <w:vAlign w:val="center"/>
            <w:hideMark/>
          </w:tcPr>
          <w:p w14:paraId="7E5CBA51"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Caracter</w:t>
            </w:r>
          </w:p>
        </w:tc>
        <w:tc>
          <w:tcPr>
            <w:tcW w:w="1134" w:type="dxa"/>
            <w:tcBorders>
              <w:top w:val="nil"/>
              <w:left w:val="nil"/>
              <w:bottom w:val="single" w:sz="8" w:space="0" w:color="auto"/>
              <w:right w:val="single" w:sz="8" w:space="0" w:color="auto"/>
            </w:tcBorders>
            <w:shd w:val="clear" w:color="auto" w:fill="auto"/>
            <w:vAlign w:val="center"/>
            <w:hideMark/>
          </w:tcPr>
          <w:p w14:paraId="4664C417"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2</w:t>
            </w:r>
          </w:p>
        </w:tc>
        <w:tc>
          <w:tcPr>
            <w:tcW w:w="2835" w:type="dxa"/>
            <w:tcBorders>
              <w:top w:val="nil"/>
              <w:left w:val="nil"/>
              <w:bottom w:val="single" w:sz="8" w:space="0" w:color="auto"/>
              <w:right w:val="single" w:sz="8" w:space="0" w:color="auto"/>
            </w:tcBorders>
            <w:shd w:val="clear" w:color="auto" w:fill="auto"/>
            <w:vAlign w:val="center"/>
            <w:hideMark/>
          </w:tcPr>
          <w:p w14:paraId="22C37A34" w14:textId="77777777" w:rsidR="00FD1551" w:rsidRPr="00FD1551" w:rsidRDefault="00FD1551" w:rsidP="007F29D2">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Obrigatório tabela auxiliar 7.5</w:t>
            </w:r>
          </w:p>
        </w:tc>
      </w:tr>
      <w:tr w:rsidR="00FD1551" w:rsidRPr="00FD1551" w14:paraId="649120C5" w14:textId="77777777" w:rsidTr="00FD1551">
        <w:trPr>
          <w:trHeight w:val="315"/>
        </w:trPr>
        <w:tc>
          <w:tcPr>
            <w:tcW w:w="3984" w:type="dxa"/>
            <w:tcBorders>
              <w:top w:val="nil"/>
              <w:left w:val="single" w:sz="8" w:space="0" w:color="auto"/>
              <w:bottom w:val="single" w:sz="8" w:space="0" w:color="auto"/>
              <w:right w:val="single" w:sz="8" w:space="0" w:color="auto"/>
            </w:tcBorders>
            <w:shd w:val="clear" w:color="auto" w:fill="auto"/>
            <w:vAlign w:val="center"/>
            <w:hideMark/>
          </w:tcPr>
          <w:p w14:paraId="204606E1" w14:textId="77777777" w:rsidR="00FD1551" w:rsidRPr="00FD1551" w:rsidRDefault="00FD1551" w:rsidP="00FD1551">
            <w:pPr>
              <w:spacing w:after="0" w:line="240" w:lineRule="auto"/>
              <w:jc w:val="both"/>
              <w:rPr>
                <w:rFonts w:ascii="Arial" w:eastAsia="Times New Roman" w:hAnsi="Arial" w:cs="Arial"/>
                <w:sz w:val="20"/>
                <w:szCs w:val="20"/>
                <w:lang w:eastAsia="pt-BR"/>
              </w:rPr>
            </w:pPr>
            <w:r w:rsidRPr="00FD1551">
              <w:rPr>
                <w:rFonts w:ascii="Arial" w:eastAsia="Times New Roman" w:hAnsi="Arial" w:cs="Arial"/>
                <w:sz w:val="20"/>
                <w:szCs w:val="20"/>
                <w:lang w:eastAsia="pt-BR"/>
              </w:rPr>
              <w:t>Elemento de Despesa</w:t>
            </w:r>
          </w:p>
        </w:tc>
        <w:tc>
          <w:tcPr>
            <w:tcW w:w="1276" w:type="dxa"/>
            <w:tcBorders>
              <w:top w:val="nil"/>
              <w:left w:val="nil"/>
              <w:bottom w:val="single" w:sz="8" w:space="0" w:color="auto"/>
              <w:right w:val="single" w:sz="8" w:space="0" w:color="auto"/>
            </w:tcBorders>
            <w:shd w:val="clear" w:color="auto" w:fill="auto"/>
            <w:vAlign w:val="center"/>
            <w:hideMark/>
          </w:tcPr>
          <w:p w14:paraId="3982BC5B"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Caracter</w:t>
            </w:r>
          </w:p>
        </w:tc>
        <w:tc>
          <w:tcPr>
            <w:tcW w:w="1134" w:type="dxa"/>
            <w:tcBorders>
              <w:top w:val="nil"/>
              <w:left w:val="nil"/>
              <w:bottom w:val="single" w:sz="8" w:space="0" w:color="auto"/>
              <w:right w:val="single" w:sz="8" w:space="0" w:color="auto"/>
            </w:tcBorders>
            <w:shd w:val="clear" w:color="auto" w:fill="auto"/>
            <w:vAlign w:val="center"/>
            <w:hideMark/>
          </w:tcPr>
          <w:p w14:paraId="6780C7FF"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2</w:t>
            </w:r>
          </w:p>
        </w:tc>
        <w:tc>
          <w:tcPr>
            <w:tcW w:w="2835" w:type="dxa"/>
            <w:tcBorders>
              <w:top w:val="nil"/>
              <w:left w:val="nil"/>
              <w:bottom w:val="single" w:sz="8" w:space="0" w:color="auto"/>
              <w:right w:val="single" w:sz="8" w:space="0" w:color="auto"/>
            </w:tcBorders>
            <w:shd w:val="clear" w:color="auto" w:fill="auto"/>
            <w:vAlign w:val="center"/>
            <w:hideMark/>
          </w:tcPr>
          <w:p w14:paraId="528572C7" w14:textId="77777777" w:rsidR="00FD1551" w:rsidRPr="00FD1551" w:rsidRDefault="00FD1551" w:rsidP="007F29D2">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Obrigatório tabela auxiliar 7.6</w:t>
            </w:r>
          </w:p>
        </w:tc>
      </w:tr>
      <w:tr w:rsidR="00FD1551" w:rsidRPr="00FD1551" w14:paraId="59C38732" w14:textId="77777777" w:rsidTr="00FD1551">
        <w:trPr>
          <w:trHeight w:val="315"/>
        </w:trPr>
        <w:tc>
          <w:tcPr>
            <w:tcW w:w="3984" w:type="dxa"/>
            <w:tcBorders>
              <w:top w:val="nil"/>
              <w:left w:val="single" w:sz="8" w:space="0" w:color="auto"/>
              <w:bottom w:val="single" w:sz="8" w:space="0" w:color="auto"/>
              <w:right w:val="single" w:sz="8" w:space="0" w:color="auto"/>
            </w:tcBorders>
            <w:shd w:val="clear" w:color="auto" w:fill="auto"/>
            <w:vAlign w:val="center"/>
            <w:hideMark/>
          </w:tcPr>
          <w:p w14:paraId="2EA315A9" w14:textId="77777777" w:rsidR="00FD1551" w:rsidRPr="00FD1551" w:rsidRDefault="00FD1551" w:rsidP="00FD1551">
            <w:pPr>
              <w:spacing w:after="0" w:line="240" w:lineRule="auto"/>
              <w:jc w:val="both"/>
              <w:rPr>
                <w:rFonts w:ascii="Arial" w:eastAsia="Times New Roman" w:hAnsi="Arial" w:cs="Arial"/>
                <w:sz w:val="20"/>
                <w:szCs w:val="20"/>
                <w:lang w:eastAsia="pt-BR"/>
              </w:rPr>
            </w:pPr>
            <w:r w:rsidRPr="00FD1551">
              <w:rPr>
                <w:rFonts w:ascii="Arial" w:eastAsia="Times New Roman" w:hAnsi="Arial" w:cs="Arial"/>
                <w:sz w:val="20"/>
                <w:szCs w:val="20"/>
                <w:lang w:eastAsia="pt-BR"/>
              </w:rPr>
              <w:t>Subelemento de Despesa</w:t>
            </w:r>
            <w:r w:rsidR="0085524B">
              <w:rPr>
                <w:rFonts w:ascii="Arial" w:eastAsia="Times New Roman" w:hAnsi="Arial" w:cs="Arial"/>
                <w:sz w:val="20"/>
                <w:szCs w:val="20"/>
                <w:lang w:eastAsia="pt-BR"/>
              </w:rPr>
              <w:t xml:space="preserve"> </w:t>
            </w:r>
            <w:r w:rsidR="0085524B" w:rsidRPr="007F29D2">
              <w:rPr>
                <w:rFonts w:ascii="Arial" w:eastAsia="Times New Roman" w:hAnsi="Arial" w:cs="Arial"/>
                <w:b/>
                <w:sz w:val="20"/>
                <w:szCs w:val="20"/>
                <w:vertAlign w:val="superscript"/>
                <w:lang w:eastAsia="pt-BR"/>
              </w:rPr>
              <w:t>[8] [9]</w:t>
            </w:r>
          </w:p>
        </w:tc>
        <w:tc>
          <w:tcPr>
            <w:tcW w:w="1276" w:type="dxa"/>
            <w:tcBorders>
              <w:top w:val="nil"/>
              <w:left w:val="nil"/>
              <w:bottom w:val="single" w:sz="8" w:space="0" w:color="auto"/>
              <w:right w:val="single" w:sz="8" w:space="0" w:color="auto"/>
            </w:tcBorders>
            <w:shd w:val="clear" w:color="auto" w:fill="auto"/>
            <w:vAlign w:val="center"/>
            <w:hideMark/>
          </w:tcPr>
          <w:p w14:paraId="4182C40B"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Caracter</w:t>
            </w:r>
          </w:p>
        </w:tc>
        <w:tc>
          <w:tcPr>
            <w:tcW w:w="1134" w:type="dxa"/>
            <w:tcBorders>
              <w:top w:val="nil"/>
              <w:left w:val="nil"/>
              <w:bottom w:val="single" w:sz="8" w:space="0" w:color="auto"/>
              <w:right w:val="single" w:sz="8" w:space="0" w:color="auto"/>
            </w:tcBorders>
            <w:shd w:val="clear" w:color="auto" w:fill="auto"/>
            <w:vAlign w:val="center"/>
            <w:hideMark/>
          </w:tcPr>
          <w:p w14:paraId="50A7B70E"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2</w:t>
            </w:r>
          </w:p>
        </w:tc>
        <w:tc>
          <w:tcPr>
            <w:tcW w:w="2835" w:type="dxa"/>
            <w:tcBorders>
              <w:top w:val="nil"/>
              <w:left w:val="nil"/>
              <w:bottom w:val="single" w:sz="8" w:space="0" w:color="auto"/>
              <w:right w:val="single" w:sz="8" w:space="0" w:color="auto"/>
            </w:tcBorders>
            <w:shd w:val="clear" w:color="auto" w:fill="auto"/>
            <w:vAlign w:val="center"/>
            <w:hideMark/>
          </w:tcPr>
          <w:p w14:paraId="4D2684DA" w14:textId="77777777" w:rsidR="00FD1551" w:rsidRPr="00FD1551" w:rsidRDefault="00FD1551" w:rsidP="007F29D2">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Obrigatório tabela auxiliar 7.7</w:t>
            </w:r>
          </w:p>
        </w:tc>
      </w:tr>
      <w:tr w:rsidR="00FD1551" w:rsidRPr="00FD1551" w14:paraId="04D303A8" w14:textId="77777777" w:rsidTr="00FD1551">
        <w:trPr>
          <w:trHeight w:val="525"/>
        </w:trPr>
        <w:tc>
          <w:tcPr>
            <w:tcW w:w="3984" w:type="dxa"/>
            <w:tcBorders>
              <w:top w:val="nil"/>
              <w:left w:val="single" w:sz="8" w:space="0" w:color="auto"/>
              <w:bottom w:val="single" w:sz="8" w:space="0" w:color="auto"/>
              <w:right w:val="single" w:sz="8" w:space="0" w:color="auto"/>
            </w:tcBorders>
            <w:shd w:val="clear" w:color="auto" w:fill="auto"/>
            <w:vAlign w:val="center"/>
            <w:hideMark/>
          </w:tcPr>
          <w:p w14:paraId="3D266780" w14:textId="77777777" w:rsidR="00FD1551" w:rsidRPr="00FD1551" w:rsidRDefault="00FD1551" w:rsidP="00FD1551">
            <w:pPr>
              <w:spacing w:after="0" w:line="240" w:lineRule="auto"/>
              <w:jc w:val="both"/>
              <w:rPr>
                <w:rFonts w:ascii="Arial" w:eastAsia="Times New Roman" w:hAnsi="Arial" w:cs="Arial"/>
                <w:sz w:val="20"/>
                <w:szCs w:val="20"/>
                <w:lang w:eastAsia="pt-BR"/>
              </w:rPr>
            </w:pPr>
            <w:r w:rsidRPr="00FD1551">
              <w:rPr>
                <w:rFonts w:ascii="Arial" w:eastAsia="Times New Roman" w:hAnsi="Arial" w:cs="Arial"/>
                <w:sz w:val="20"/>
                <w:szCs w:val="20"/>
                <w:lang w:eastAsia="pt-BR"/>
              </w:rPr>
              <w:t xml:space="preserve">Código do Grupo de Fonte/Destinação de Recursos </w:t>
            </w:r>
          </w:p>
        </w:tc>
        <w:tc>
          <w:tcPr>
            <w:tcW w:w="1276" w:type="dxa"/>
            <w:tcBorders>
              <w:top w:val="nil"/>
              <w:left w:val="nil"/>
              <w:bottom w:val="single" w:sz="8" w:space="0" w:color="auto"/>
              <w:right w:val="single" w:sz="8" w:space="0" w:color="auto"/>
            </w:tcBorders>
            <w:shd w:val="clear" w:color="auto" w:fill="auto"/>
            <w:vAlign w:val="center"/>
            <w:hideMark/>
          </w:tcPr>
          <w:p w14:paraId="055D6748"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Inteiro</w:t>
            </w:r>
          </w:p>
        </w:tc>
        <w:tc>
          <w:tcPr>
            <w:tcW w:w="1134" w:type="dxa"/>
            <w:tcBorders>
              <w:top w:val="nil"/>
              <w:left w:val="nil"/>
              <w:bottom w:val="single" w:sz="8" w:space="0" w:color="auto"/>
              <w:right w:val="single" w:sz="8" w:space="0" w:color="auto"/>
            </w:tcBorders>
            <w:shd w:val="clear" w:color="auto" w:fill="auto"/>
            <w:vAlign w:val="center"/>
            <w:hideMark/>
          </w:tcPr>
          <w:p w14:paraId="6B4FD719"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1</w:t>
            </w:r>
          </w:p>
        </w:tc>
        <w:tc>
          <w:tcPr>
            <w:tcW w:w="2835" w:type="dxa"/>
            <w:tcBorders>
              <w:top w:val="nil"/>
              <w:left w:val="nil"/>
              <w:bottom w:val="single" w:sz="8" w:space="0" w:color="auto"/>
              <w:right w:val="single" w:sz="8" w:space="0" w:color="auto"/>
            </w:tcBorders>
            <w:shd w:val="clear" w:color="auto" w:fill="auto"/>
            <w:vAlign w:val="center"/>
            <w:hideMark/>
          </w:tcPr>
          <w:p w14:paraId="70FBBEC8" w14:textId="77777777" w:rsidR="00FD1551" w:rsidRPr="00FD1551" w:rsidRDefault="00FD1551" w:rsidP="007F29D2">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Obrigatório conforme tabela auxiliar 1.1</w:t>
            </w:r>
          </w:p>
        </w:tc>
      </w:tr>
      <w:tr w:rsidR="00FD1551" w:rsidRPr="00FD1551" w14:paraId="7D95080E" w14:textId="77777777" w:rsidTr="00FD1551">
        <w:trPr>
          <w:trHeight w:val="525"/>
        </w:trPr>
        <w:tc>
          <w:tcPr>
            <w:tcW w:w="398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E400765" w14:textId="77777777" w:rsidR="00FD1551" w:rsidRPr="00FD1551" w:rsidRDefault="00FD1551" w:rsidP="00FD1551">
            <w:pPr>
              <w:spacing w:after="0" w:line="240" w:lineRule="auto"/>
              <w:jc w:val="both"/>
              <w:rPr>
                <w:rFonts w:ascii="Arial" w:eastAsia="Times New Roman" w:hAnsi="Arial" w:cs="Arial"/>
                <w:sz w:val="20"/>
                <w:szCs w:val="20"/>
                <w:lang w:eastAsia="pt-BR"/>
              </w:rPr>
            </w:pPr>
            <w:r w:rsidRPr="00FD1551">
              <w:rPr>
                <w:rFonts w:ascii="Arial" w:eastAsia="Times New Roman" w:hAnsi="Arial" w:cs="Arial"/>
                <w:sz w:val="20"/>
                <w:szCs w:val="20"/>
                <w:lang w:eastAsia="pt-BR"/>
              </w:rPr>
              <w:t>Código da especificação da fonte/destinação de recursos (fixo)</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14:paraId="69686C7B"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Caracter</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14:paraId="66168CC3"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3</w:t>
            </w:r>
          </w:p>
        </w:tc>
        <w:tc>
          <w:tcPr>
            <w:tcW w:w="2835" w:type="dxa"/>
            <w:tcBorders>
              <w:top w:val="single" w:sz="8" w:space="0" w:color="auto"/>
              <w:left w:val="nil"/>
              <w:bottom w:val="single" w:sz="8" w:space="0" w:color="auto"/>
              <w:right w:val="single" w:sz="8" w:space="0" w:color="auto"/>
            </w:tcBorders>
            <w:shd w:val="clear" w:color="auto" w:fill="auto"/>
            <w:vAlign w:val="center"/>
            <w:hideMark/>
          </w:tcPr>
          <w:p w14:paraId="0A230C21" w14:textId="77777777" w:rsidR="00FD1551" w:rsidRPr="00FD1551" w:rsidRDefault="00FD1551" w:rsidP="007F29D2">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Obrigatório conforme Tabela Auxiliar 1.2 – parte fixa</w:t>
            </w:r>
          </w:p>
        </w:tc>
      </w:tr>
      <w:tr w:rsidR="00FD1551" w:rsidRPr="00FD1551" w14:paraId="2D035459" w14:textId="77777777" w:rsidTr="00FD1551">
        <w:trPr>
          <w:trHeight w:val="780"/>
        </w:trPr>
        <w:tc>
          <w:tcPr>
            <w:tcW w:w="3984" w:type="dxa"/>
            <w:tcBorders>
              <w:top w:val="nil"/>
              <w:left w:val="single" w:sz="8" w:space="0" w:color="auto"/>
              <w:bottom w:val="single" w:sz="8" w:space="0" w:color="auto"/>
              <w:right w:val="single" w:sz="8" w:space="0" w:color="auto"/>
            </w:tcBorders>
            <w:shd w:val="clear" w:color="auto" w:fill="auto"/>
            <w:vAlign w:val="center"/>
            <w:hideMark/>
          </w:tcPr>
          <w:p w14:paraId="5962F885" w14:textId="77777777" w:rsidR="00FD1551" w:rsidRPr="00FD1551" w:rsidRDefault="00FD1551" w:rsidP="00FD1551">
            <w:pPr>
              <w:spacing w:after="0" w:line="240" w:lineRule="auto"/>
              <w:jc w:val="both"/>
              <w:rPr>
                <w:rFonts w:ascii="Arial" w:eastAsia="Times New Roman" w:hAnsi="Arial" w:cs="Arial"/>
                <w:sz w:val="20"/>
                <w:szCs w:val="20"/>
                <w:lang w:eastAsia="pt-BR"/>
              </w:rPr>
            </w:pPr>
            <w:r w:rsidRPr="00FD1551">
              <w:rPr>
                <w:rFonts w:ascii="Arial" w:eastAsia="Times New Roman" w:hAnsi="Arial" w:cs="Arial"/>
                <w:sz w:val="20"/>
                <w:szCs w:val="20"/>
                <w:lang w:eastAsia="pt-BR"/>
              </w:rPr>
              <w:lastRenderedPageBreak/>
              <w:t>Código da especificação/detalhamento da destinação de recursos (variável)</w:t>
            </w:r>
          </w:p>
        </w:tc>
        <w:tc>
          <w:tcPr>
            <w:tcW w:w="1276" w:type="dxa"/>
            <w:tcBorders>
              <w:top w:val="nil"/>
              <w:left w:val="nil"/>
              <w:bottom w:val="single" w:sz="8" w:space="0" w:color="auto"/>
              <w:right w:val="single" w:sz="8" w:space="0" w:color="auto"/>
            </w:tcBorders>
            <w:shd w:val="clear" w:color="auto" w:fill="auto"/>
            <w:vAlign w:val="center"/>
            <w:hideMark/>
          </w:tcPr>
          <w:p w14:paraId="44E4F4D6"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Caracter</w:t>
            </w:r>
          </w:p>
        </w:tc>
        <w:tc>
          <w:tcPr>
            <w:tcW w:w="1134" w:type="dxa"/>
            <w:tcBorders>
              <w:top w:val="nil"/>
              <w:left w:val="nil"/>
              <w:bottom w:val="single" w:sz="8" w:space="0" w:color="auto"/>
              <w:right w:val="single" w:sz="8" w:space="0" w:color="auto"/>
            </w:tcBorders>
            <w:shd w:val="clear" w:color="auto" w:fill="auto"/>
            <w:vAlign w:val="center"/>
            <w:hideMark/>
          </w:tcPr>
          <w:p w14:paraId="1E918C83"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4</w:t>
            </w:r>
          </w:p>
        </w:tc>
        <w:tc>
          <w:tcPr>
            <w:tcW w:w="2835" w:type="dxa"/>
            <w:tcBorders>
              <w:top w:val="nil"/>
              <w:left w:val="nil"/>
              <w:bottom w:val="single" w:sz="8" w:space="0" w:color="auto"/>
              <w:right w:val="single" w:sz="8" w:space="0" w:color="auto"/>
            </w:tcBorders>
            <w:shd w:val="clear" w:color="auto" w:fill="auto"/>
            <w:vAlign w:val="center"/>
            <w:hideMark/>
          </w:tcPr>
          <w:p w14:paraId="50C83E1A" w14:textId="77777777" w:rsidR="00FD1551" w:rsidRPr="00FD1551" w:rsidRDefault="00FD1551" w:rsidP="007F29D2">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Obrigatório conforme Tabela Auxiliar 1.2 ou Tabela Cadastral 1.3 – parte variável</w:t>
            </w:r>
          </w:p>
        </w:tc>
      </w:tr>
      <w:tr w:rsidR="004313CE" w:rsidRPr="00FD1551" w14:paraId="0E409BD4" w14:textId="77777777" w:rsidTr="00FD1551">
        <w:trPr>
          <w:trHeight w:val="315"/>
        </w:trPr>
        <w:tc>
          <w:tcPr>
            <w:tcW w:w="3984" w:type="dxa"/>
            <w:tcBorders>
              <w:top w:val="nil"/>
              <w:left w:val="single" w:sz="8" w:space="0" w:color="auto"/>
              <w:bottom w:val="single" w:sz="8" w:space="0" w:color="auto"/>
              <w:right w:val="single" w:sz="8" w:space="0" w:color="auto"/>
            </w:tcBorders>
            <w:shd w:val="clear" w:color="auto" w:fill="auto"/>
            <w:vAlign w:val="center"/>
          </w:tcPr>
          <w:p w14:paraId="73C79932" w14:textId="77777777" w:rsidR="004313CE" w:rsidRPr="007F29D2" w:rsidRDefault="004313CE" w:rsidP="004313CE">
            <w:pPr>
              <w:spacing w:after="0" w:line="240" w:lineRule="auto"/>
              <w:jc w:val="both"/>
              <w:rPr>
                <w:rFonts w:ascii="Arial" w:eastAsia="Times New Roman" w:hAnsi="Arial" w:cs="Arial"/>
                <w:sz w:val="20"/>
                <w:szCs w:val="20"/>
                <w:lang w:eastAsia="pt-BR"/>
              </w:rPr>
            </w:pPr>
            <w:r w:rsidRPr="007F29D2">
              <w:rPr>
                <w:rFonts w:ascii="Arial" w:eastAsia="Times New Roman" w:hAnsi="Arial" w:cs="Arial"/>
                <w:sz w:val="20"/>
                <w:szCs w:val="20"/>
                <w:lang w:eastAsia="pt-BR"/>
              </w:rPr>
              <w:t>Origem do recurso</w:t>
            </w:r>
          </w:p>
        </w:tc>
        <w:tc>
          <w:tcPr>
            <w:tcW w:w="1276" w:type="dxa"/>
            <w:tcBorders>
              <w:top w:val="nil"/>
              <w:left w:val="nil"/>
              <w:bottom w:val="single" w:sz="8" w:space="0" w:color="auto"/>
              <w:right w:val="single" w:sz="8" w:space="0" w:color="auto"/>
            </w:tcBorders>
            <w:shd w:val="clear" w:color="auto" w:fill="auto"/>
            <w:vAlign w:val="center"/>
          </w:tcPr>
          <w:p w14:paraId="4B4CFC37" w14:textId="77777777" w:rsidR="004313CE" w:rsidRPr="007F29D2" w:rsidRDefault="004313CE" w:rsidP="00FD1551">
            <w:pPr>
              <w:spacing w:after="0" w:line="240" w:lineRule="auto"/>
              <w:jc w:val="center"/>
              <w:rPr>
                <w:rFonts w:ascii="Arial" w:eastAsia="Times New Roman" w:hAnsi="Arial" w:cs="Arial"/>
                <w:sz w:val="20"/>
                <w:szCs w:val="20"/>
                <w:lang w:eastAsia="pt-BR"/>
              </w:rPr>
            </w:pPr>
            <w:r w:rsidRPr="007F29D2">
              <w:rPr>
                <w:rFonts w:ascii="Arial" w:eastAsia="Times New Roman" w:hAnsi="Arial" w:cs="Arial"/>
                <w:sz w:val="20"/>
                <w:szCs w:val="20"/>
                <w:lang w:eastAsia="pt-BR"/>
              </w:rPr>
              <w:t>Inteiro</w:t>
            </w:r>
          </w:p>
        </w:tc>
        <w:tc>
          <w:tcPr>
            <w:tcW w:w="1134" w:type="dxa"/>
            <w:tcBorders>
              <w:top w:val="nil"/>
              <w:left w:val="nil"/>
              <w:bottom w:val="single" w:sz="8" w:space="0" w:color="auto"/>
              <w:right w:val="single" w:sz="8" w:space="0" w:color="auto"/>
            </w:tcBorders>
            <w:shd w:val="clear" w:color="auto" w:fill="auto"/>
            <w:vAlign w:val="center"/>
          </w:tcPr>
          <w:p w14:paraId="637496EE" w14:textId="77777777" w:rsidR="004313CE" w:rsidRPr="007F29D2" w:rsidRDefault="004313CE" w:rsidP="00FD1551">
            <w:pPr>
              <w:spacing w:after="0" w:line="240" w:lineRule="auto"/>
              <w:jc w:val="center"/>
              <w:rPr>
                <w:rFonts w:ascii="Arial" w:eastAsia="Times New Roman" w:hAnsi="Arial" w:cs="Arial"/>
                <w:sz w:val="20"/>
                <w:szCs w:val="20"/>
                <w:lang w:eastAsia="pt-BR"/>
              </w:rPr>
            </w:pPr>
            <w:r w:rsidRPr="007F29D2">
              <w:rPr>
                <w:rFonts w:ascii="Arial" w:eastAsia="Times New Roman" w:hAnsi="Arial" w:cs="Arial"/>
                <w:sz w:val="20"/>
                <w:szCs w:val="20"/>
                <w:lang w:eastAsia="pt-BR"/>
              </w:rPr>
              <w:t>1</w:t>
            </w:r>
          </w:p>
        </w:tc>
        <w:tc>
          <w:tcPr>
            <w:tcW w:w="2835" w:type="dxa"/>
            <w:tcBorders>
              <w:top w:val="nil"/>
              <w:left w:val="nil"/>
              <w:bottom w:val="single" w:sz="8" w:space="0" w:color="auto"/>
              <w:right w:val="single" w:sz="8" w:space="0" w:color="auto"/>
            </w:tcBorders>
            <w:shd w:val="clear" w:color="auto" w:fill="auto"/>
            <w:vAlign w:val="center"/>
          </w:tcPr>
          <w:p w14:paraId="0ACF1735" w14:textId="77777777" w:rsidR="004313CE" w:rsidRPr="007F29D2" w:rsidRDefault="004313CE" w:rsidP="007F29D2">
            <w:pPr>
              <w:spacing w:after="0" w:line="240" w:lineRule="auto"/>
              <w:rPr>
                <w:rFonts w:ascii="Arial" w:eastAsia="Times New Roman" w:hAnsi="Arial" w:cs="Arial"/>
                <w:sz w:val="20"/>
                <w:szCs w:val="20"/>
                <w:lang w:eastAsia="pt-BR"/>
              </w:rPr>
            </w:pPr>
            <w:r w:rsidRPr="007F29D2">
              <w:rPr>
                <w:rFonts w:ascii="Arial" w:eastAsia="Times New Roman" w:hAnsi="Arial" w:cs="Arial"/>
                <w:sz w:val="20"/>
                <w:szCs w:val="20"/>
                <w:lang w:eastAsia="pt-BR"/>
              </w:rPr>
              <w:t xml:space="preserve">Obrigatório.    </w:t>
            </w:r>
          </w:p>
          <w:p w14:paraId="45BA1190" w14:textId="77777777" w:rsidR="004313CE" w:rsidRPr="007F29D2" w:rsidRDefault="004313CE" w:rsidP="007F29D2">
            <w:pPr>
              <w:spacing w:after="0" w:line="240" w:lineRule="auto"/>
              <w:rPr>
                <w:rFonts w:ascii="Arial" w:eastAsia="Times New Roman" w:hAnsi="Arial" w:cs="Arial"/>
                <w:sz w:val="20"/>
                <w:szCs w:val="20"/>
                <w:lang w:eastAsia="pt-BR"/>
              </w:rPr>
            </w:pPr>
            <w:r w:rsidRPr="007F29D2">
              <w:rPr>
                <w:rFonts w:ascii="Arial" w:eastAsia="Times New Roman" w:hAnsi="Arial" w:cs="Arial"/>
                <w:sz w:val="20"/>
                <w:szCs w:val="20"/>
                <w:lang w:eastAsia="pt-BR"/>
              </w:rPr>
              <w:t xml:space="preserve">1 – Contrato de Rateio; </w:t>
            </w:r>
            <w:r w:rsidR="00450F60">
              <w:rPr>
                <w:rFonts w:ascii="Arial" w:eastAsia="Times New Roman" w:hAnsi="Arial" w:cs="Arial"/>
                <w:sz w:val="20"/>
                <w:szCs w:val="20"/>
                <w:lang w:eastAsia="pt-BR"/>
              </w:rPr>
              <w:t>9</w:t>
            </w:r>
            <w:r w:rsidRPr="007F29D2">
              <w:rPr>
                <w:rFonts w:ascii="Arial" w:eastAsia="Times New Roman" w:hAnsi="Arial" w:cs="Arial"/>
                <w:sz w:val="20"/>
                <w:szCs w:val="20"/>
                <w:lang w:eastAsia="pt-BR"/>
              </w:rPr>
              <w:t xml:space="preserve"> – Outros</w:t>
            </w:r>
          </w:p>
        </w:tc>
      </w:tr>
      <w:tr w:rsidR="00FD1551" w:rsidRPr="00FD1551" w14:paraId="68369644" w14:textId="77777777" w:rsidTr="00FD1551">
        <w:trPr>
          <w:trHeight w:val="315"/>
        </w:trPr>
        <w:tc>
          <w:tcPr>
            <w:tcW w:w="3984" w:type="dxa"/>
            <w:tcBorders>
              <w:top w:val="nil"/>
              <w:left w:val="single" w:sz="8" w:space="0" w:color="auto"/>
              <w:bottom w:val="single" w:sz="8" w:space="0" w:color="auto"/>
              <w:right w:val="single" w:sz="8" w:space="0" w:color="auto"/>
            </w:tcBorders>
            <w:shd w:val="clear" w:color="auto" w:fill="auto"/>
            <w:vAlign w:val="center"/>
            <w:hideMark/>
          </w:tcPr>
          <w:p w14:paraId="5FA6D7AD" w14:textId="77777777" w:rsidR="00FD1551" w:rsidRPr="00FD1551" w:rsidRDefault="00FD1551" w:rsidP="00FD1551">
            <w:pPr>
              <w:spacing w:after="0" w:line="240" w:lineRule="auto"/>
              <w:jc w:val="both"/>
              <w:rPr>
                <w:rFonts w:ascii="Arial" w:eastAsia="Times New Roman" w:hAnsi="Arial" w:cs="Arial"/>
                <w:sz w:val="20"/>
                <w:szCs w:val="20"/>
                <w:lang w:eastAsia="pt-BR"/>
              </w:rPr>
            </w:pPr>
            <w:r w:rsidRPr="00FD1551">
              <w:rPr>
                <w:rFonts w:ascii="Arial" w:eastAsia="Times New Roman" w:hAnsi="Arial" w:cs="Arial"/>
                <w:sz w:val="20"/>
                <w:szCs w:val="20"/>
                <w:lang w:eastAsia="pt-BR"/>
              </w:rPr>
              <w:t xml:space="preserve">Dotação Inicial </w:t>
            </w:r>
            <w:r w:rsidRPr="007F29D2">
              <w:rPr>
                <w:rFonts w:ascii="Arial" w:eastAsia="Times New Roman" w:hAnsi="Arial" w:cs="Arial"/>
                <w:b/>
                <w:sz w:val="20"/>
                <w:szCs w:val="20"/>
                <w:vertAlign w:val="superscript"/>
                <w:lang w:eastAsia="pt-BR"/>
              </w:rPr>
              <w:t>[1]</w:t>
            </w:r>
          </w:p>
        </w:tc>
        <w:tc>
          <w:tcPr>
            <w:tcW w:w="1276" w:type="dxa"/>
            <w:tcBorders>
              <w:top w:val="nil"/>
              <w:left w:val="nil"/>
              <w:bottom w:val="single" w:sz="8" w:space="0" w:color="auto"/>
              <w:right w:val="single" w:sz="8" w:space="0" w:color="auto"/>
            </w:tcBorders>
            <w:shd w:val="clear" w:color="auto" w:fill="auto"/>
            <w:vAlign w:val="center"/>
            <w:hideMark/>
          </w:tcPr>
          <w:p w14:paraId="1EACE283"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Decimal</w:t>
            </w:r>
          </w:p>
        </w:tc>
        <w:tc>
          <w:tcPr>
            <w:tcW w:w="1134" w:type="dxa"/>
            <w:tcBorders>
              <w:top w:val="nil"/>
              <w:left w:val="nil"/>
              <w:bottom w:val="single" w:sz="8" w:space="0" w:color="auto"/>
              <w:right w:val="single" w:sz="8" w:space="0" w:color="auto"/>
            </w:tcBorders>
            <w:shd w:val="clear" w:color="auto" w:fill="auto"/>
            <w:vAlign w:val="center"/>
            <w:hideMark/>
          </w:tcPr>
          <w:p w14:paraId="697A8D2F"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14,2</w:t>
            </w:r>
          </w:p>
        </w:tc>
        <w:tc>
          <w:tcPr>
            <w:tcW w:w="2835" w:type="dxa"/>
            <w:tcBorders>
              <w:top w:val="nil"/>
              <w:left w:val="nil"/>
              <w:bottom w:val="single" w:sz="8" w:space="0" w:color="auto"/>
              <w:right w:val="single" w:sz="8" w:space="0" w:color="auto"/>
            </w:tcBorders>
            <w:shd w:val="clear" w:color="auto" w:fill="auto"/>
            <w:vAlign w:val="center"/>
            <w:hideMark/>
          </w:tcPr>
          <w:p w14:paraId="1D873CDC" w14:textId="77777777" w:rsidR="00FD1551" w:rsidRPr="00FD1551" w:rsidRDefault="00FD1551" w:rsidP="007F29D2">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Obrigatório</w:t>
            </w:r>
          </w:p>
        </w:tc>
      </w:tr>
      <w:tr w:rsidR="00FD1551" w:rsidRPr="00FD1551" w14:paraId="695F13F6" w14:textId="77777777" w:rsidTr="00FD1551">
        <w:trPr>
          <w:trHeight w:val="315"/>
        </w:trPr>
        <w:tc>
          <w:tcPr>
            <w:tcW w:w="3984" w:type="dxa"/>
            <w:tcBorders>
              <w:top w:val="nil"/>
              <w:left w:val="single" w:sz="8" w:space="0" w:color="auto"/>
              <w:bottom w:val="single" w:sz="8" w:space="0" w:color="auto"/>
              <w:right w:val="single" w:sz="8" w:space="0" w:color="auto"/>
            </w:tcBorders>
            <w:shd w:val="clear" w:color="auto" w:fill="auto"/>
            <w:vAlign w:val="center"/>
            <w:hideMark/>
          </w:tcPr>
          <w:p w14:paraId="112FA073" w14:textId="77777777" w:rsidR="00FD1551" w:rsidRPr="00FD1551" w:rsidRDefault="00FD1551" w:rsidP="00FD1551">
            <w:pPr>
              <w:spacing w:after="0" w:line="240" w:lineRule="auto"/>
              <w:jc w:val="both"/>
              <w:rPr>
                <w:rFonts w:ascii="Arial" w:eastAsia="Times New Roman" w:hAnsi="Arial" w:cs="Arial"/>
                <w:sz w:val="20"/>
                <w:szCs w:val="20"/>
                <w:lang w:eastAsia="pt-BR"/>
              </w:rPr>
            </w:pPr>
            <w:r w:rsidRPr="00FD1551">
              <w:rPr>
                <w:rFonts w:ascii="Arial" w:eastAsia="Times New Roman" w:hAnsi="Arial" w:cs="Arial"/>
                <w:sz w:val="20"/>
                <w:szCs w:val="20"/>
                <w:lang w:eastAsia="pt-BR"/>
              </w:rPr>
              <w:t xml:space="preserve">Adição Dotação </w:t>
            </w:r>
            <w:r w:rsidRPr="007F29D2">
              <w:rPr>
                <w:rFonts w:ascii="Arial" w:eastAsia="Times New Roman" w:hAnsi="Arial" w:cs="Arial"/>
                <w:b/>
                <w:sz w:val="20"/>
                <w:szCs w:val="20"/>
                <w:vertAlign w:val="superscript"/>
                <w:lang w:eastAsia="pt-BR"/>
              </w:rPr>
              <w:t>[2]</w:t>
            </w:r>
          </w:p>
        </w:tc>
        <w:tc>
          <w:tcPr>
            <w:tcW w:w="1276" w:type="dxa"/>
            <w:tcBorders>
              <w:top w:val="nil"/>
              <w:left w:val="nil"/>
              <w:bottom w:val="single" w:sz="8" w:space="0" w:color="auto"/>
              <w:right w:val="single" w:sz="8" w:space="0" w:color="auto"/>
            </w:tcBorders>
            <w:shd w:val="clear" w:color="auto" w:fill="auto"/>
            <w:vAlign w:val="center"/>
            <w:hideMark/>
          </w:tcPr>
          <w:p w14:paraId="6B2B04E9"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Decimal</w:t>
            </w:r>
          </w:p>
        </w:tc>
        <w:tc>
          <w:tcPr>
            <w:tcW w:w="1134" w:type="dxa"/>
            <w:tcBorders>
              <w:top w:val="nil"/>
              <w:left w:val="nil"/>
              <w:bottom w:val="single" w:sz="8" w:space="0" w:color="auto"/>
              <w:right w:val="single" w:sz="8" w:space="0" w:color="auto"/>
            </w:tcBorders>
            <w:shd w:val="clear" w:color="auto" w:fill="auto"/>
            <w:vAlign w:val="center"/>
            <w:hideMark/>
          </w:tcPr>
          <w:p w14:paraId="6C685421"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14,2</w:t>
            </w:r>
          </w:p>
        </w:tc>
        <w:tc>
          <w:tcPr>
            <w:tcW w:w="2835" w:type="dxa"/>
            <w:tcBorders>
              <w:top w:val="nil"/>
              <w:left w:val="nil"/>
              <w:bottom w:val="single" w:sz="8" w:space="0" w:color="auto"/>
              <w:right w:val="single" w:sz="8" w:space="0" w:color="auto"/>
            </w:tcBorders>
            <w:shd w:val="clear" w:color="auto" w:fill="auto"/>
            <w:vAlign w:val="center"/>
            <w:hideMark/>
          </w:tcPr>
          <w:p w14:paraId="79706EFF" w14:textId="77777777" w:rsidR="00FD1551" w:rsidRPr="00FD1551" w:rsidRDefault="00FD1551" w:rsidP="007F29D2">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Obrigatório</w:t>
            </w:r>
          </w:p>
        </w:tc>
      </w:tr>
      <w:tr w:rsidR="00FD1551" w:rsidRPr="00FD1551" w14:paraId="5F1A2234" w14:textId="77777777" w:rsidTr="00FD1551">
        <w:trPr>
          <w:trHeight w:val="315"/>
        </w:trPr>
        <w:tc>
          <w:tcPr>
            <w:tcW w:w="3984" w:type="dxa"/>
            <w:tcBorders>
              <w:top w:val="nil"/>
              <w:left w:val="single" w:sz="8" w:space="0" w:color="auto"/>
              <w:bottom w:val="single" w:sz="8" w:space="0" w:color="auto"/>
              <w:right w:val="single" w:sz="8" w:space="0" w:color="auto"/>
            </w:tcBorders>
            <w:shd w:val="clear" w:color="auto" w:fill="auto"/>
            <w:vAlign w:val="center"/>
            <w:hideMark/>
          </w:tcPr>
          <w:p w14:paraId="7F8DB0C9" w14:textId="77777777" w:rsidR="00FD1551" w:rsidRPr="00FD1551" w:rsidRDefault="00FD1551" w:rsidP="00FD1551">
            <w:pPr>
              <w:spacing w:after="0" w:line="240" w:lineRule="auto"/>
              <w:jc w:val="both"/>
              <w:rPr>
                <w:rFonts w:ascii="Arial" w:eastAsia="Times New Roman" w:hAnsi="Arial" w:cs="Arial"/>
                <w:sz w:val="20"/>
                <w:szCs w:val="20"/>
                <w:lang w:eastAsia="pt-BR"/>
              </w:rPr>
            </w:pPr>
            <w:r w:rsidRPr="00FD1551">
              <w:rPr>
                <w:rFonts w:ascii="Arial" w:eastAsia="Times New Roman" w:hAnsi="Arial" w:cs="Arial"/>
                <w:sz w:val="20"/>
                <w:szCs w:val="20"/>
                <w:lang w:eastAsia="pt-BR"/>
              </w:rPr>
              <w:t xml:space="preserve">Subtração Dotação </w:t>
            </w:r>
            <w:r w:rsidRPr="007F29D2">
              <w:rPr>
                <w:rFonts w:ascii="Arial" w:eastAsia="Times New Roman" w:hAnsi="Arial" w:cs="Arial"/>
                <w:b/>
                <w:sz w:val="20"/>
                <w:szCs w:val="20"/>
                <w:vertAlign w:val="superscript"/>
                <w:lang w:eastAsia="pt-BR"/>
              </w:rPr>
              <w:t>[3]</w:t>
            </w:r>
          </w:p>
        </w:tc>
        <w:tc>
          <w:tcPr>
            <w:tcW w:w="1276" w:type="dxa"/>
            <w:tcBorders>
              <w:top w:val="nil"/>
              <w:left w:val="nil"/>
              <w:bottom w:val="single" w:sz="8" w:space="0" w:color="auto"/>
              <w:right w:val="single" w:sz="8" w:space="0" w:color="auto"/>
            </w:tcBorders>
            <w:shd w:val="clear" w:color="auto" w:fill="auto"/>
            <w:vAlign w:val="center"/>
            <w:hideMark/>
          </w:tcPr>
          <w:p w14:paraId="79C408DA"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Decimal</w:t>
            </w:r>
          </w:p>
        </w:tc>
        <w:tc>
          <w:tcPr>
            <w:tcW w:w="1134" w:type="dxa"/>
            <w:tcBorders>
              <w:top w:val="nil"/>
              <w:left w:val="nil"/>
              <w:bottom w:val="single" w:sz="8" w:space="0" w:color="auto"/>
              <w:right w:val="single" w:sz="8" w:space="0" w:color="auto"/>
            </w:tcBorders>
            <w:shd w:val="clear" w:color="auto" w:fill="auto"/>
            <w:vAlign w:val="center"/>
            <w:hideMark/>
          </w:tcPr>
          <w:p w14:paraId="70947A85"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14,2</w:t>
            </w:r>
          </w:p>
        </w:tc>
        <w:tc>
          <w:tcPr>
            <w:tcW w:w="2835" w:type="dxa"/>
            <w:tcBorders>
              <w:top w:val="nil"/>
              <w:left w:val="nil"/>
              <w:bottom w:val="single" w:sz="8" w:space="0" w:color="auto"/>
              <w:right w:val="single" w:sz="8" w:space="0" w:color="auto"/>
            </w:tcBorders>
            <w:shd w:val="clear" w:color="auto" w:fill="auto"/>
            <w:vAlign w:val="center"/>
            <w:hideMark/>
          </w:tcPr>
          <w:p w14:paraId="0B2D2CBE" w14:textId="77777777" w:rsidR="00FD1551" w:rsidRPr="00FD1551" w:rsidRDefault="00FD1551" w:rsidP="007F29D2">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Obrigatório</w:t>
            </w:r>
          </w:p>
        </w:tc>
      </w:tr>
      <w:tr w:rsidR="00FD1551" w:rsidRPr="00FD1551" w14:paraId="63C37F70" w14:textId="77777777" w:rsidTr="00FD1551">
        <w:trPr>
          <w:trHeight w:val="315"/>
        </w:trPr>
        <w:tc>
          <w:tcPr>
            <w:tcW w:w="3984" w:type="dxa"/>
            <w:tcBorders>
              <w:top w:val="nil"/>
              <w:left w:val="single" w:sz="8" w:space="0" w:color="auto"/>
              <w:bottom w:val="single" w:sz="8" w:space="0" w:color="auto"/>
              <w:right w:val="single" w:sz="8" w:space="0" w:color="auto"/>
            </w:tcBorders>
            <w:shd w:val="clear" w:color="auto" w:fill="auto"/>
            <w:vAlign w:val="center"/>
            <w:hideMark/>
          </w:tcPr>
          <w:p w14:paraId="089F130A" w14:textId="77777777" w:rsidR="00FD1551" w:rsidRPr="00FD1551" w:rsidRDefault="00FD1551" w:rsidP="00FD1551">
            <w:pPr>
              <w:spacing w:after="0" w:line="240" w:lineRule="auto"/>
              <w:jc w:val="both"/>
              <w:rPr>
                <w:rFonts w:ascii="Arial" w:eastAsia="Times New Roman" w:hAnsi="Arial" w:cs="Arial"/>
                <w:sz w:val="20"/>
                <w:szCs w:val="20"/>
                <w:lang w:eastAsia="pt-BR"/>
              </w:rPr>
            </w:pPr>
            <w:r w:rsidRPr="00FD1551">
              <w:rPr>
                <w:rFonts w:ascii="Arial" w:eastAsia="Times New Roman" w:hAnsi="Arial" w:cs="Arial"/>
                <w:sz w:val="20"/>
                <w:szCs w:val="20"/>
                <w:lang w:eastAsia="pt-BR"/>
              </w:rPr>
              <w:t xml:space="preserve">Dotação Atualizada </w:t>
            </w:r>
            <w:r w:rsidRPr="007F29D2">
              <w:rPr>
                <w:rFonts w:ascii="Arial" w:eastAsia="Times New Roman" w:hAnsi="Arial" w:cs="Arial"/>
                <w:b/>
                <w:sz w:val="20"/>
                <w:szCs w:val="20"/>
                <w:vertAlign w:val="superscript"/>
                <w:lang w:eastAsia="pt-BR"/>
              </w:rPr>
              <w:t>[4]</w:t>
            </w:r>
          </w:p>
        </w:tc>
        <w:tc>
          <w:tcPr>
            <w:tcW w:w="1276" w:type="dxa"/>
            <w:tcBorders>
              <w:top w:val="nil"/>
              <w:left w:val="nil"/>
              <w:bottom w:val="single" w:sz="8" w:space="0" w:color="auto"/>
              <w:right w:val="single" w:sz="8" w:space="0" w:color="auto"/>
            </w:tcBorders>
            <w:shd w:val="clear" w:color="auto" w:fill="auto"/>
            <w:vAlign w:val="center"/>
            <w:hideMark/>
          </w:tcPr>
          <w:p w14:paraId="59AA1A8F"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Decimal</w:t>
            </w:r>
          </w:p>
        </w:tc>
        <w:tc>
          <w:tcPr>
            <w:tcW w:w="1134" w:type="dxa"/>
            <w:tcBorders>
              <w:top w:val="nil"/>
              <w:left w:val="nil"/>
              <w:bottom w:val="single" w:sz="8" w:space="0" w:color="auto"/>
              <w:right w:val="single" w:sz="8" w:space="0" w:color="auto"/>
            </w:tcBorders>
            <w:shd w:val="clear" w:color="auto" w:fill="auto"/>
            <w:vAlign w:val="center"/>
            <w:hideMark/>
          </w:tcPr>
          <w:p w14:paraId="6DC9B511"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14,2</w:t>
            </w:r>
          </w:p>
        </w:tc>
        <w:tc>
          <w:tcPr>
            <w:tcW w:w="2835" w:type="dxa"/>
            <w:tcBorders>
              <w:top w:val="nil"/>
              <w:left w:val="nil"/>
              <w:bottom w:val="single" w:sz="8" w:space="0" w:color="auto"/>
              <w:right w:val="single" w:sz="8" w:space="0" w:color="auto"/>
            </w:tcBorders>
            <w:shd w:val="clear" w:color="auto" w:fill="auto"/>
            <w:vAlign w:val="center"/>
            <w:hideMark/>
          </w:tcPr>
          <w:p w14:paraId="6E343433" w14:textId="77777777" w:rsidR="00FD1551" w:rsidRPr="00FD1551" w:rsidRDefault="00FD1551" w:rsidP="007F29D2">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Obrigatório</w:t>
            </w:r>
          </w:p>
        </w:tc>
      </w:tr>
      <w:tr w:rsidR="00FD1551" w:rsidRPr="00FD1551" w14:paraId="30FD4D19" w14:textId="77777777" w:rsidTr="00FD1551">
        <w:trPr>
          <w:trHeight w:val="315"/>
        </w:trPr>
        <w:tc>
          <w:tcPr>
            <w:tcW w:w="3984" w:type="dxa"/>
            <w:tcBorders>
              <w:top w:val="nil"/>
              <w:left w:val="single" w:sz="8" w:space="0" w:color="auto"/>
              <w:bottom w:val="single" w:sz="8" w:space="0" w:color="auto"/>
              <w:right w:val="single" w:sz="8" w:space="0" w:color="auto"/>
            </w:tcBorders>
            <w:shd w:val="clear" w:color="auto" w:fill="auto"/>
            <w:vAlign w:val="center"/>
            <w:hideMark/>
          </w:tcPr>
          <w:p w14:paraId="5DFCCFB7" w14:textId="77777777" w:rsidR="00FD1551" w:rsidRPr="00FD1551" w:rsidRDefault="00FD1551" w:rsidP="00FD1551">
            <w:pPr>
              <w:spacing w:after="0" w:line="240" w:lineRule="auto"/>
              <w:jc w:val="both"/>
              <w:rPr>
                <w:rFonts w:ascii="Arial" w:eastAsia="Times New Roman" w:hAnsi="Arial" w:cs="Arial"/>
                <w:sz w:val="20"/>
                <w:szCs w:val="20"/>
                <w:lang w:eastAsia="pt-BR"/>
              </w:rPr>
            </w:pPr>
            <w:r w:rsidRPr="00FD1551">
              <w:rPr>
                <w:rFonts w:ascii="Arial" w:eastAsia="Times New Roman" w:hAnsi="Arial" w:cs="Arial"/>
                <w:sz w:val="20"/>
                <w:szCs w:val="20"/>
                <w:lang w:eastAsia="pt-BR"/>
              </w:rPr>
              <w:t xml:space="preserve">Valor Empenhado </w:t>
            </w:r>
            <w:r w:rsidRPr="007F29D2">
              <w:rPr>
                <w:rFonts w:ascii="Arial" w:eastAsia="Times New Roman" w:hAnsi="Arial" w:cs="Arial"/>
                <w:b/>
                <w:sz w:val="20"/>
                <w:szCs w:val="20"/>
                <w:vertAlign w:val="superscript"/>
                <w:lang w:eastAsia="pt-BR"/>
              </w:rPr>
              <w:t>[5]</w:t>
            </w:r>
          </w:p>
        </w:tc>
        <w:tc>
          <w:tcPr>
            <w:tcW w:w="1276" w:type="dxa"/>
            <w:tcBorders>
              <w:top w:val="nil"/>
              <w:left w:val="nil"/>
              <w:bottom w:val="single" w:sz="8" w:space="0" w:color="auto"/>
              <w:right w:val="single" w:sz="8" w:space="0" w:color="auto"/>
            </w:tcBorders>
            <w:shd w:val="clear" w:color="auto" w:fill="auto"/>
            <w:vAlign w:val="center"/>
            <w:hideMark/>
          </w:tcPr>
          <w:p w14:paraId="46B98C20"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Decimal</w:t>
            </w:r>
          </w:p>
        </w:tc>
        <w:tc>
          <w:tcPr>
            <w:tcW w:w="1134" w:type="dxa"/>
            <w:tcBorders>
              <w:top w:val="nil"/>
              <w:left w:val="nil"/>
              <w:bottom w:val="single" w:sz="8" w:space="0" w:color="auto"/>
              <w:right w:val="single" w:sz="8" w:space="0" w:color="auto"/>
            </w:tcBorders>
            <w:shd w:val="clear" w:color="auto" w:fill="auto"/>
            <w:vAlign w:val="center"/>
            <w:hideMark/>
          </w:tcPr>
          <w:p w14:paraId="57419000"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14,2</w:t>
            </w:r>
          </w:p>
        </w:tc>
        <w:tc>
          <w:tcPr>
            <w:tcW w:w="2835" w:type="dxa"/>
            <w:tcBorders>
              <w:top w:val="nil"/>
              <w:left w:val="nil"/>
              <w:bottom w:val="single" w:sz="8" w:space="0" w:color="auto"/>
              <w:right w:val="single" w:sz="8" w:space="0" w:color="auto"/>
            </w:tcBorders>
            <w:shd w:val="clear" w:color="auto" w:fill="auto"/>
            <w:vAlign w:val="center"/>
            <w:hideMark/>
          </w:tcPr>
          <w:p w14:paraId="093E2AD1" w14:textId="77777777" w:rsidR="00FD1551" w:rsidRPr="00FD1551" w:rsidRDefault="00FD1551" w:rsidP="007F29D2">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Obrigatório</w:t>
            </w:r>
          </w:p>
        </w:tc>
      </w:tr>
      <w:tr w:rsidR="00FD1551" w:rsidRPr="00FD1551" w14:paraId="675C5C76" w14:textId="77777777" w:rsidTr="00FD1551">
        <w:trPr>
          <w:trHeight w:val="315"/>
        </w:trPr>
        <w:tc>
          <w:tcPr>
            <w:tcW w:w="3984" w:type="dxa"/>
            <w:tcBorders>
              <w:top w:val="nil"/>
              <w:left w:val="single" w:sz="8" w:space="0" w:color="auto"/>
              <w:bottom w:val="single" w:sz="8" w:space="0" w:color="auto"/>
              <w:right w:val="single" w:sz="8" w:space="0" w:color="auto"/>
            </w:tcBorders>
            <w:shd w:val="clear" w:color="auto" w:fill="auto"/>
            <w:vAlign w:val="center"/>
            <w:hideMark/>
          </w:tcPr>
          <w:p w14:paraId="00838244" w14:textId="77777777" w:rsidR="00FD1551" w:rsidRPr="00FD1551" w:rsidRDefault="00FD1551" w:rsidP="00FD1551">
            <w:pPr>
              <w:spacing w:after="0" w:line="240" w:lineRule="auto"/>
              <w:jc w:val="both"/>
              <w:rPr>
                <w:rFonts w:ascii="Arial" w:eastAsia="Times New Roman" w:hAnsi="Arial" w:cs="Arial"/>
                <w:sz w:val="20"/>
                <w:szCs w:val="20"/>
                <w:lang w:eastAsia="pt-BR"/>
              </w:rPr>
            </w:pPr>
            <w:r w:rsidRPr="00FD1551">
              <w:rPr>
                <w:rFonts w:ascii="Arial" w:eastAsia="Times New Roman" w:hAnsi="Arial" w:cs="Arial"/>
                <w:sz w:val="20"/>
                <w:szCs w:val="20"/>
                <w:lang w:eastAsia="pt-BR"/>
              </w:rPr>
              <w:t xml:space="preserve">Valor Liquidado </w:t>
            </w:r>
            <w:r w:rsidRPr="007F29D2">
              <w:rPr>
                <w:rFonts w:ascii="Arial" w:eastAsia="Times New Roman" w:hAnsi="Arial" w:cs="Arial"/>
                <w:b/>
                <w:sz w:val="20"/>
                <w:szCs w:val="20"/>
                <w:vertAlign w:val="superscript"/>
                <w:lang w:eastAsia="pt-BR"/>
              </w:rPr>
              <w:t>[6]</w:t>
            </w:r>
          </w:p>
        </w:tc>
        <w:tc>
          <w:tcPr>
            <w:tcW w:w="1276" w:type="dxa"/>
            <w:tcBorders>
              <w:top w:val="nil"/>
              <w:left w:val="nil"/>
              <w:bottom w:val="single" w:sz="8" w:space="0" w:color="auto"/>
              <w:right w:val="single" w:sz="8" w:space="0" w:color="auto"/>
            </w:tcBorders>
            <w:shd w:val="clear" w:color="auto" w:fill="auto"/>
            <w:vAlign w:val="center"/>
            <w:hideMark/>
          </w:tcPr>
          <w:p w14:paraId="5029176F"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Decimal</w:t>
            </w:r>
          </w:p>
        </w:tc>
        <w:tc>
          <w:tcPr>
            <w:tcW w:w="1134" w:type="dxa"/>
            <w:tcBorders>
              <w:top w:val="nil"/>
              <w:left w:val="nil"/>
              <w:bottom w:val="single" w:sz="8" w:space="0" w:color="auto"/>
              <w:right w:val="single" w:sz="8" w:space="0" w:color="auto"/>
            </w:tcBorders>
            <w:shd w:val="clear" w:color="auto" w:fill="auto"/>
            <w:vAlign w:val="center"/>
            <w:hideMark/>
          </w:tcPr>
          <w:p w14:paraId="5374E806"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14,2</w:t>
            </w:r>
          </w:p>
        </w:tc>
        <w:tc>
          <w:tcPr>
            <w:tcW w:w="2835" w:type="dxa"/>
            <w:tcBorders>
              <w:top w:val="nil"/>
              <w:left w:val="nil"/>
              <w:bottom w:val="single" w:sz="8" w:space="0" w:color="auto"/>
              <w:right w:val="single" w:sz="8" w:space="0" w:color="auto"/>
            </w:tcBorders>
            <w:shd w:val="clear" w:color="auto" w:fill="auto"/>
            <w:vAlign w:val="center"/>
            <w:hideMark/>
          </w:tcPr>
          <w:p w14:paraId="46F6064C" w14:textId="77777777" w:rsidR="00FD1551" w:rsidRPr="00FD1551" w:rsidRDefault="00FD1551" w:rsidP="007F29D2">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Obrigatório</w:t>
            </w:r>
          </w:p>
        </w:tc>
      </w:tr>
      <w:tr w:rsidR="00FD1551" w:rsidRPr="00FD1551" w14:paraId="18199D42" w14:textId="77777777" w:rsidTr="00FD1551">
        <w:trPr>
          <w:trHeight w:val="315"/>
        </w:trPr>
        <w:tc>
          <w:tcPr>
            <w:tcW w:w="3984" w:type="dxa"/>
            <w:tcBorders>
              <w:top w:val="nil"/>
              <w:left w:val="single" w:sz="8" w:space="0" w:color="auto"/>
              <w:bottom w:val="single" w:sz="8" w:space="0" w:color="auto"/>
              <w:right w:val="single" w:sz="8" w:space="0" w:color="auto"/>
            </w:tcBorders>
            <w:shd w:val="clear" w:color="auto" w:fill="auto"/>
            <w:vAlign w:val="center"/>
            <w:hideMark/>
          </w:tcPr>
          <w:p w14:paraId="5D540650" w14:textId="77777777" w:rsidR="00FD1551" w:rsidRPr="00FD1551" w:rsidRDefault="00FD1551" w:rsidP="00FD1551">
            <w:pPr>
              <w:spacing w:after="0" w:line="240" w:lineRule="auto"/>
              <w:jc w:val="both"/>
              <w:rPr>
                <w:rFonts w:ascii="Arial" w:eastAsia="Times New Roman" w:hAnsi="Arial" w:cs="Arial"/>
                <w:sz w:val="20"/>
                <w:szCs w:val="20"/>
                <w:lang w:eastAsia="pt-BR"/>
              </w:rPr>
            </w:pPr>
            <w:r w:rsidRPr="00FD1551">
              <w:rPr>
                <w:rFonts w:ascii="Arial" w:eastAsia="Times New Roman" w:hAnsi="Arial" w:cs="Arial"/>
                <w:sz w:val="20"/>
                <w:szCs w:val="20"/>
                <w:lang w:eastAsia="pt-BR"/>
              </w:rPr>
              <w:t xml:space="preserve">Valor Pago </w:t>
            </w:r>
            <w:r w:rsidRPr="007F29D2">
              <w:rPr>
                <w:rFonts w:ascii="Arial" w:eastAsia="Times New Roman" w:hAnsi="Arial" w:cs="Arial"/>
                <w:b/>
                <w:sz w:val="20"/>
                <w:szCs w:val="20"/>
                <w:vertAlign w:val="superscript"/>
                <w:lang w:eastAsia="pt-BR"/>
              </w:rPr>
              <w:t>[7]</w:t>
            </w:r>
          </w:p>
        </w:tc>
        <w:tc>
          <w:tcPr>
            <w:tcW w:w="1276" w:type="dxa"/>
            <w:tcBorders>
              <w:top w:val="nil"/>
              <w:left w:val="nil"/>
              <w:bottom w:val="single" w:sz="8" w:space="0" w:color="auto"/>
              <w:right w:val="single" w:sz="8" w:space="0" w:color="auto"/>
            </w:tcBorders>
            <w:shd w:val="clear" w:color="auto" w:fill="auto"/>
            <w:vAlign w:val="center"/>
            <w:hideMark/>
          </w:tcPr>
          <w:p w14:paraId="7B831708"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Decimal</w:t>
            </w:r>
          </w:p>
        </w:tc>
        <w:tc>
          <w:tcPr>
            <w:tcW w:w="1134" w:type="dxa"/>
            <w:tcBorders>
              <w:top w:val="nil"/>
              <w:left w:val="nil"/>
              <w:bottom w:val="single" w:sz="8" w:space="0" w:color="auto"/>
              <w:right w:val="single" w:sz="8" w:space="0" w:color="auto"/>
            </w:tcBorders>
            <w:shd w:val="clear" w:color="auto" w:fill="auto"/>
            <w:vAlign w:val="center"/>
            <w:hideMark/>
          </w:tcPr>
          <w:p w14:paraId="6F17844A"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14,2</w:t>
            </w:r>
          </w:p>
        </w:tc>
        <w:tc>
          <w:tcPr>
            <w:tcW w:w="2835" w:type="dxa"/>
            <w:tcBorders>
              <w:top w:val="nil"/>
              <w:left w:val="nil"/>
              <w:bottom w:val="single" w:sz="8" w:space="0" w:color="auto"/>
              <w:right w:val="single" w:sz="8" w:space="0" w:color="auto"/>
            </w:tcBorders>
            <w:shd w:val="clear" w:color="auto" w:fill="auto"/>
            <w:vAlign w:val="center"/>
            <w:hideMark/>
          </w:tcPr>
          <w:p w14:paraId="743B0AC8" w14:textId="77777777" w:rsidR="00FD1551" w:rsidRPr="00FD1551" w:rsidRDefault="00FD1551" w:rsidP="007F29D2">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Obrigatório</w:t>
            </w:r>
          </w:p>
        </w:tc>
      </w:tr>
    </w:tbl>
    <w:p w14:paraId="29B2B788" w14:textId="77777777" w:rsidR="00FD1551" w:rsidRPr="007F29D2" w:rsidRDefault="00FD1551" w:rsidP="00FD1551">
      <w:pPr>
        <w:spacing w:before="120" w:after="120" w:line="240" w:lineRule="auto"/>
        <w:rPr>
          <w:rFonts w:ascii="Arial" w:hAnsi="Arial" w:cs="Arial"/>
          <w:sz w:val="20"/>
          <w:szCs w:val="20"/>
        </w:rPr>
      </w:pPr>
      <w:r w:rsidRPr="007F29D2">
        <w:rPr>
          <w:rFonts w:ascii="Arial" w:eastAsia="Times New Roman" w:hAnsi="Arial" w:cs="Arial"/>
          <w:bCs/>
          <w:color w:val="000000"/>
          <w:sz w:val="20"/>
          <w:szCs w:val="20"/>
          <w:lang w:eastAsia="pt-BR"/>
        </w:rPr>
        <w:t>[1]</w:t>
      </w:r>
      <w:r w:rsidRPr="007F29D2">
        <w:rPr>
          <w:rFonts w:ascii="Arial" w:eastAsia="Times New Roman" w:hAnsi="Arial" w:cs="Arial"/>
          <w:color w:val="000000"/>
          <w:sz w:val="20"/>
          <w:szCs w:val="20"/>
          <w:lang w:eastAsia="pt-BR"/>
        </w:rPr>
        <w:t xml:space="preserve"> Valor da Dotação Inicial da Despe</w:t>
      </w:r>
      <w:r w:rsidR="007F29D2" w:rsidRPr="007F29D2">
        <w:rPr>
          <w:rFonts w:ascii="Arial" w:eastAsia="Times New Roman" w:hAnsi="Arial" w:cs="Arial"/>
          <w:color w:val="000000"/>
          <w:sz w:val="20"/>
          <w:szCs w:val="20"/>
          <w:lang w:eastAsia="pt-BR"/>
        </w:rPr>
        <w:t>sa Orçamentária</w:t>
      </w:r>
      <w:r w:rsidRPr="007F29D2">
        <w:rPr>
          <w:rFonts w:ascii="Arial" w:eastAsia="Times New Roman" w:hAnsi="Arial" w:cs="Arial"/>
          <w:color w:val="000000"/>
          <w:sz w:val="20"/>
          <w:szCs w:val="20"/>
          <w:lang w:eastAsia="pt-BR"/>
        </w:rPr>
        <w:t>.</w:t>
      </w:r>
    </w:p>
    <w:p w14:paraId="4837ABFB" w14:textId="77777777" w:rsidR="00FD1551" w:rsidRPr="007F29D2" w:rsidRDefault="00FD1551" w:rsidP="00FD1551">
      <w:pPr>
        <w:spacing w:after="120" w:line="240" w:lineRule="auto"/>
        <w:rPr>
          <w:rFonts w:ascii="Arial" w:hAnsi="Arial" w:cs="Arial"/>
          <w:sz w:val="20"/>
          <w:szCs w:val="20"/>
        </w:rPr>
      </w:pPr>
      <w:r w:rsidRPr="007F29D2">
        <w:rPr>
          <w:rFonts w:ascii="Arial" w:eastAsia="Times New Roman" w:hAnsi="Arial" w:cs="Arial"/>
          <w:bCs/>
          <w:color w:val="000000"/>
          <w:sz w:val="20"/>
          <w:szCs w:val="20"/>
          <w:lang w:eastAsia="pt-BR"/>
        </w:rPr>
        <w:t>[2]</w:t>
      </w:r>
      <w:r w:rsidRPr="007F29D2">
        <w:rPr>
          <w:rFonts w:ascii="Arial" w:eastAsia="Times New Roman" w:hAnsi="Arial" w:cs="Arial"/>
          <w:color w:val="000000"/>
          <w:sz w:val="20"/>
          <w:szCs w:val="20"/>
          <w:lang w:eastAsia="pt-BR"/>
        </w:rPr>
        <w:t xml:space="preserve"> Valor das adições da Despesa Orçamentária até o mês de dezembro do exercício corrente.</w:t>
      </w:r>
    </w:p>
    <w:p w14:paraId="1ACD9247" w14:textId="77777777" w:rsidR="00FD1551" w:rsidRPr="007F29D2" w:rsidRDefault="00FD1551" w:rsidP="00FD1551">
      <w:pPr>
        <w:spacing w:after="120" w:line="240" w:lineRule="auto"/>
        <w:rPr>
          <w:rFonts w:ascii="Arial" w:eastAsia="Times New Roman" w:hAnsi="Arial" w:cs="Arial"/>
          <w:color w:val="000000"/>
          <w:sz w:val="20"/>
          <w:szCs w:val="20"/>
          <w:lang w:eastAsia="pt-BR"/>
        </w:rPr>
      </w:pPr>
      <w:r w:rsidRPr="007F29D2">
        <w:rPr>
          <w:rFonts w:ascii="Arial" w:eastAsia="Times New Roman" w:hAnsi="Arial" w:cs="Arial"/>
          <w:bCs/>
          <w:color w:val="000000"/>
          <w:sz w:val="20"/>
          <w:szCs w:val="20"/>
          <w:lang w:eastAsia="pt-BR"/>
        </w:rPr>
        <w:t>[3]</w:t>
      </w:r>
      <w:r w:rsidRPr="007F29D2">
        <w:rPr>
          <w:rFonts w:ascii="Arial" w:eastAsia="Times New Roman" w:hAnsi="Arial" w:cs="Arial"/>
          <w:color w:val="000000"/>
          <w:sz w:val="20"/>
          <w:szCs w:val="20"/>
          <w:lang w:eastAsia="pt-BR"/>
        </w:rPr>
        <w:t xml:space="preserve"> Valor das subtrações da Despesa Orçamentária até o mês de dezembro do exercício corrente.</w:t>
      </w:r>
    </w:p>
    <w:p w14:paraId="5B717C51" w14:textId="77777777" w:rsidR="00FD1551" w:rsidRPr="007F29D2" w:rsidRDefault="00FD1551" w:rsidP="00FD1551">
      <w:pPr>
        <w:spacing w:after="120" w:line="240" w:lineRule="auto"/>
        <w:rPr>
          <w:rFonts w:ascii="Arial" w:eastAsia="Times New Roman" w:hAnsi="Arial" w:cs="Arial"/>
          <w:color w:val="000000"/>
          <w:sz w:val="20"/>
          <w:szCs w:val="20"/>
          <w:lang w:eastAsia="pt-BR"/>
        </w:rPr>
      </w:pPr>
      <w:r w:rsidRPr="007F29D2">
        <w:rPr>
          <w:rFonts w:ascii="Arial" w:eastAsia="Times New Roman" w:hAnsi="Arial" w:cs="Arial"/>
          <w:bCs/>
          <w:color w:val="000000"/>
          <w:sz w:val="20"/>
          <w:szCs w:val="20"/>
          <w:lang w:eastAsia="pt-BR"/>
        </w:rPr>
        <w:t>[4]</w:t>
      </w:r>
      <w:r w:rsidRPr="007F29D2">
        <w:rPr>
          <w:rFonts w:ascii="Arial" w:eastAsia="Times New Roman" w:hAnsi="Arial" w:cs="Arial"/>
          <w:color w:val="000000"/>
          <w:sz w:val="20"/>
          <w:szCs w:val="20"/>
          <w:lang w:eastAsia="pt-BR"/>
        </w:rPr>
        <w:t xml:space="preserve"> Valor da Dotação Atualizada da Despesa Orçamentária até o mês de dezembro do exercício corrente.</w:t>
      </w:r>
    </w:p>
    <w:p w14:paraId="2BBB170E" w14:textId="77777777" w:rsidR="0085524B" w:rsidRPr="007F29D2" w:rsidRDefault="0085524B" w:rsidP="0085524B">
      <w:pPr>
        <w:rPr>
          <w:rFonts w:ascii="Arial" w:eastAsia="Times New Roman" w:hAnsi="Arial" w:cs="Arial"/>
          <w:color w:val="000000"/>
          <w:sz w:val="20"/>
          <w:szCs w:val="20"/>
          <w:lang w:eastAsia="pt-BR"/>
        </w:rPr>
      </w:pPr>
      <w:r w:rsidRPr="007F29D2">
        <w:rPr>
          <w:rFonts w:ascii="Arial" w:eastAsia="Times New Roman" w:hAnsi="Arial" w:cs="Arial"/>
          <w:bCs/>
          <w:color w:val="000000"/>
          <w:sz w:val="20"/>
          <w:szCs w:val="20"/>
          <w:lang w:eastAsia="pt-BR"/>
        </w:rPr>
        <w:t>[5]</w:t>
      </w:r>
      <w:r w:rsidRPr="007F29D2">
        <w:rPr>
          <w:rFonts w:ascii="Arial" w:eastAsia="Times New Roman" w:hAnsi="Arial" w:cs="Arial"/>
          <w:color w:val="000000"/>
          <w:sz w:val="20"/>
          <w:szCs w:val="20"/>
          <w:lang w:eastAsia="pt-BR"/>
        </w:rPr>
        <w:t xml:space="preserve"> Valor da Despesa Orçamentária Empenhada até o mês de dezembro do exercício corrente.</w:t>
      </w:r>
    </w:p>
    <w:p w14:paraId="43702F94" w14:textId="77777777" w:rsidR="0085524B" w:rsidRPr="007F29D2" w:rsidRDefault="0085524B" w:rsidP="0085524B">
      <w:pPr>
        <w:spacing w:after="120" w:line="240" w:lineRule="auto"/>
        <w:rPr>
          <w:rFonts w:ascii="Arial" w:eastAsia="Times New Roman" w:hAnsi="Arial" w:cs="Arial"/>
          <w:color w:val="000000"/>
          <w:sz w:val="20"/>
          <w:szCs w:val="20"/>
          <w:lang w:eastAsia="pt-BR"/>
        </w:rPr>
      </w:pPr>
      <w:r w:rsidRPr="007F29D2">
        <w:rPr>
          <w:rFonts w:ascii="Arial" w:eastAsia="Times New Roman" w:hAnsi="Arial" w:cs="Arial"/>
          <w:bCs/>
          <w:color w:val="000000"/>
          <w:sz w:val="20"/>
          <w:szCs w:val="20"/>
          <w:lang w:eastAsia="pt-BR"/>
        </w:rPr>
        <w:t>[6]</w:t>
      </w:r>
      <w:r w:rsidRPr="007F29D2">
        <w:rPr>
          <w:rFonts w:ascii="Arial" w:eastAsia="Times New Roman" w:hAnsi="Arial" w:cs="Arial"/>
          <w:color w:val="000000"/>
          <w:sz w:val="20"/>
          <w:szCs w:val="20"/>
          <w:lang w:eastAsia="pt-BR"/>
        </w:rPr>
        <w:t xml:space="preserve"> Valor da Despesa Orçamentária Liquidada até o mês de dezembro do exercício corrente.</w:t>
      </w:r>
    </w:p>
    <w:p w14:paraId="41DE2326" w14:textId="77777777" w:rsidR="0085524B" w:rsidRPr="007F29D2" w:rsidRDefault="0085524B" w:rsidP="0085524B">
      <w:pPr>
        <w:spacing w:after="120" w:line="240" w:lineRule="auto"/>
        <w:rPr>
          <w:rFonts w:ascii="Arial" w:eastAsia="Times New Roman" w:hAnsi="Arial" w:cs="Arial"/>
          <w:color w:val="000000"/>
          <w:sz w:val="20"/>
          <w:szCs w:val="20"/>
          <w:lang w:eastAsia="pt-BR"/>
        </w:rPr>
      </w:pPr>
      <w:r w:rsidRPr="007F29D2">
        <w:rPr>
          <w:rFonts w:ascii="Arial" w:eastAsia="Times New Roman" w:hAnsi="Arial" w:cs="Arial"/>
          <w:bCs/>
          <w:color w:val="000000"/>
          <w:sz w:val="20"/>
          <w:szCs w:val="20"/>
          <w:lang w:eastAsia="pt-BR"/>
        </w:rPr>
        <w:t>[7]</w:t>
      </w:r>
      <w:r w:rsidRPr="007F29D2">
        <w:rPr>
          <w:rFonts w:ascii="Arial" w:eastAsia="Times New Roman" w:hAnsi="Arial" w:cs="Arial"/>
          <w:color w:val="000000"/>
          <w:sz w:val="20"/>
          <w:szCs w:val="20"/>
          <w:lang w:eastAsia="pt-BR"/>
        </w:rPr>
        <w:t xml:space="preserve"> Valor da Despesa Orçamentária Paga até o mês de dezembro do exercício corrente.</w:t>
      </w:r>
    </w:p>
    <w:p w14:paraId="01F72F3E" w14:textId="77777777" w:rsidR="0085524B" w:rsidRPr="007F29D2" w:rsidRDefault="0085524B" w:rsidP="0085524B">
      <w:pPr>
        <w:spacing w:after="120" w:line="240" w:lineRule="auto"/>
        <w:rPr>
          <w:rFonts w:ascii="Arial" w:eastAsia="Times New Roman" w:hAnsi="Arial" w:cs="Arial"/>
          <w:bCs/>
          <w:color w:val="000000"/>
          <w:sz w:val="20"/>
          <w:szCs w:val="20"/>
          <w:lang w:eastAsia="pt-BR"/>
        </w:rPr>
      </w:pPr>
      <w:r w:rsidRPr="007F29D2">
        <w:rPr>
          <w:rFonts w:ascii="Arial" w:eastAsia="Times New Roman" w:hAnsi="Arial" w:cs="Arial"/>
          <w:bCs/>
          <w:color w:val="000000"/>
          <w:sz w:val="20"/>
          <w:szCs w:val="20"/>
          <w:lang w:eastAsia="pt-BR"/>
        </w:rPr>
        <w:t>[8] O campo "SubElementoDespesa" é obrigatório de envio para os registros pertinentes à Execução Orçamentária da Despesa, sendo obrigatórios os envios dos campos "ValorEmpenhado", "ValorLiquidado" e "ValorPago". Portanto, quando for enviado o campo "SubelementoDespesa", os campos "DotaçãoInicial", "AdicaoDotacao", "SubtracaoDotacao" e "DotacaoAtualizada" não deverão ser enviados.</w:t>
      </w:r>
    </w:p>
    <w:p w14:paraId="02DC071D" w14:textId="77777777" w:rsidR="0085524B" w:rsidRPr="007F29D2" w:rsidRDefault="0085524B" w:rsidP="0085524B">
      <w:pPr>
        <w:spacing w:after="120" w:line="240" w:lineRule="auto"/>
        <w:rPr>
          <w:rFonts w:ascii="Arial" w:eastAsia="Times New Roman" w:hAnsi="Arial" w:cs="Arial"/>
          <w:bCs/>
          <w:color w:val="000000"/>
          <w:sz w:val="20"/>
          <w:szCs w:val="20"/>
          <w:lang w:eastAsia="pt-BR"/>
        </w:rPr>
      </w:pPr>
      <w:r w:rsidRPr="007F29D2">
        <w:rPr>
          <w:rFonts w:ascii="Arial" w:eastAsia="Times New Roman" w:hAnsi="Arial" w:cs="Arial"/>
          <w:bCs/>
          <w:color w:val="000000"/>
          <w:sz w:val="20"/>
          <w:szCs w:val="20"/>
          <w:lang w:eastAsia="pt-BR"/>
        </w:rPr>
        <w:t>[9] O campo "SubElementoDespesa" não deve ser enviado para os registros pertinentes ao detalhamento do Orçamento, sendo obrigatórios os envios dos campos "DotaçãoInicial", "AdicaoDotacao", "SubtracaoDotacao" e "DotacaoAtualizada". Portanto, quando não for enviado o campo "SubElementoDespesa", os campos "ValorEmpenhado", "ValorLiquidado" e "ValorPago" não deverão ser enviados.</w:t>
      </w:r>
    </w:p>
    <w:p w14:paraId="4E098FBF" w14:textId="77777777" w:rsidR="007F29D2" w:rsidRDefault="007F29D2" w:rsidP="00FD1551">
      <w:pPr>
        <w:spacing w:after="0" w:line="360" w:lineRule="auto"/>
        <w:rPr>
          <w:rFonts w:ascii="Arial" w:eastAsia="Times New Roman" w:hAnsi="Arial" w:cs="Arial"/>
          <w:b/>
          <w:sz w:val="18"/>
          <w:szCs w:val="18"/>
          <w:u w:val="single"/>
          <w:lang w:eastAsia="pt-BR"/>
        </w:rPr>
      </w:pPr>
    </w:p>
    <w:p w14:paraId="5FDC634E" w14:textId="77777777" w:rsidR="007F29D2" w:rsidRDefault="007F29D2" w:rsidP="00FD1551">
      <w:pPr>
        <w:spacing w:after="0" w:line="360" w:lineRule="auto"/>
        <w:rPr>
          <w:rFonts w:ascii="Arial" w:eastAsia="Times New Roman" w:hAnsi="Arial" w:cs="Arial"/>
          <w:b/>
          <w:sz w:val="18"/>
          <w:szCs w:val="18"/>
          <w:u w:val="single"/>
          <w:lang w:eastAsia="pt-BR"/>
        </w:rPr>
      </w:pPr>
    </w:p>
    <w:p w14:paraId="24DA8021" w14:textId="77777777" w:rsidR="00FD1551" w:rsidRPr="007F29D2" w:rsidRDefault="00FD1551" w:rsidP="00FD1551">
      <w:pPr>
        <w:spacing w:after="0" w:line="360" w:lineRule="auto"/>
        <w:rPr>
          <w:rFonts w:ascii="Arial" w:eastAsia="Times New Roman" w:hAnsi="Arial" w:cs="Arial"/>
          <w:sz w:val="18"/>
          <w:szCs w:val="18"/>
          <w:lang w:eastAsia="pt-BR"/>
        </w:rPr>
      </w:pPr>
      <w:r w:rsidRPr="007F29D2">
        <w:rPr>
          <w:rFonts w:ascii="Arial" w:eastAsia="Times New Roman" w:hAnsi="Arial" w:cs="Arial"/>
          <w:b/>
          <w:sz w:val="18"/>
          <w:szCs w:val="18"/>
          <w:u w:val="single"/>
          <w:lang w:eastAsia="pt-BR"/>
        </w:rPr>
        <w:t>Observaç</w:t>
      </w:r>
      <w:r w:rsidR="007F29D2" w:rsidRPr="007F29D2">
        <w:rPr>
          <w:rFonts w:ascii="Arial" w:eastAsia="Times New Roman" w:hAnsi="Arial" w:cs="Arial"/>
          <w:b/>
          <w:sz w:val="18"/>
          <w:szCs w:val="18"/>
          <w:u w:val="single"/>
          <w:lang w:eastAsia="pt-BR"/>
        </w:rPr>
        <w:t>ão</w:t>
      </w:r>
      <w:r w:rsidRPr="007F29D2">
        <w:rPr>
          <w:rFonts w:ascii="Arial" w:eastAsia="Times New Roman" w:hAnsi="Arial" w:cs="Arial"/>
          <w:sz w:val="18"/>
          <w:szCs w:val="18"/>
          <w:lang w:eastAsia="pt-BR"/>
        </w:rPr>
        <w:t>:</w:t>
      </w:r>
    </w:p>
    <w:p w14:paraId="6D722ED4" w14:textId="77777777" w:rsidR="00FD1551" w:rsidRPr="007F29D2" w:rsidRDefault="00FD1551" w:rsidP="00FD1551">
      <w:pPr>
        <w:spacing w:after="0" w:line="240" w:lineRule="auto"/>
        <w:ind w:right="-32"/>
        <w:rPr>
          <w:rFonts w:ascii="Arial" w:eastAsia="Times New Roman" w:hAnsi="Arial" w:cs="Arial"/>
          <w:sz w:val="18"/>
          <w:szCs w:val="18"/>
          <w:lang w:eastAsia="pt-BR"/>
        </w:rPr>
      </w:pPr>
      <w:r w:rsidRPr="007F29D2">
        <w:rPr>
          <w:rFonts w:ascii="Arial" w:eastAsia="Times New Roman" w:hAnsi="Arial" w:cs="Arial"/>
          <w:sz w:val="18"/>
          <w:szCs w:val="18"/>
          <w:lang w:eastAsia="pt-BR"/>
        </w:rPr>
        <w:t>1- Quando a Prestação de Contas se referir a Contas de Gestão, o Código da Unidade Gestora deverá ser o mesmo da UG que estiver prestando contas.</w:t>
      </w:r>
    </w:p>
    <w:p w14:paraId="507B67BC" w14:textId="77777777" w:rsidR="00FD1551" w:rsidRDefault="00FD1551" w:rsidP="00FD1551">
      <w:pPr>
        <w:spacing w:after="0" w:line="360" w:lineRule="auto"/>
        <w:rPr>
          <w:rFonts w:ascii="Arial" w:hAnsi="Arial" w:cs="Arial"/>
        </w:rPr>
      </w:pPr>
    </w:p>
    <w:p w14:paraId="294786B8" w14:textId="77777777" w:rsidR="00054BA2" w:rsidRDefault="00054BA2" w:rsidP="00FD1551">
      <w:pPr>
        <w:spacing w:after="0" w:line="360" w:lineRule="auto"/>
        <w:rPr>
          <w:rFonts w:ascii="Arial" w:hAnsi="Arial" w:cs="Arial"/>
        </w:rPr>
      </w:pPr>
    </w:p>
    <w:p w14:paraId="3807F824" w14:textId="4B7EE1B2" w:rsidR="00054BA2" w:rsidRPr="00CF1963" w:rsidRDefault="00054BA2" w:rsidP="00A60EA7">
      <w:pPr>
        <w:pStyle w:val="Ttulo3"/>
        <w:rPr>
          <w:sz w:val="28"/>
        </w:rPr>
      </w:pPr>
      <w:bookmarkStart w:id="49" w:name="_Toc94806325"/>
      <w:r w:rsidRPr="00CF1963">
        <w:rPr>
          <w:sz w:val="28"/>
        </w:rPr>
        <w:t xml:space="preserve">BALEXOD_E.XML (ou </w:t>
      </w:r>
      <w:r w:rsidRPr="00CF1963">
        <w:t>BalanceteExecucaoOrcamentariaDespesaEstado.xml</w:t>
      </w:r>
      <w:r w:rsidRPr="00CF1963">
        <w:rPr>
          <w:sz w:val="28"/>
        </w:rPr>
        <w:t>)</w:t>
      </w:r>
      <w:bookmarkEnd w:id="49"/>
    </w:p>
    <w:p w14:paraId="24C758DE" w14:textId="38BC77D6" w:rsidR="00054BA2" w:rsidRPr="00CF1963" w:rsidRDefault="00054BA2" w:rsidP="00054BA2">
      <w:pPr>
        <w:spacing w:after="0" w:line="360" w:lineRule="auto"/>
        <w:jc w:val="both"/>
        <w:rPr>
          <w:rFonts w:ascii="Arial" w:hAnsi="Arial" w:cs="Arial"/>
        </w:rPr>
      </w:pPr>
      <w:r w:rsidRPr="00CF1963">
        <w:rPr>
          <w:rFonts w:ascii="Arial" w:hAnsi="Arial" w:cs="Arial"/>
          <w:b/>
          <w:bCs/>
        </w:rPr>
        <w:t>Descrição: </w:t>
      </w:r>
      <w:r w:rsidRPr="00CF1963">
        <w:rPr>
          <w:rFonts w:ascii="Arial" w:eastAsia="Times New Roman" w:hAnsi="Arial" w:cs="Arial"/>
          <w:lang w:eastAsia="pt-BR"/>
        </w:rPr>
        <w:t>Este arquivo conterá o Balancete da Execução Orçamentária da Despesa</w:t>
      </w:r>
    </w:p>
    <w:p w14:paraId="0EA903AF" w14:textId="77777777" w:rsidR="00054BA2" w:rsidRPr="00CF1963" w:rsidRDefault="00054BA2" w:rsidP="00054BA2">
      <w:pPr>
        <w:autoSpaceDE w:val="0"/>
        <w:autoSpaceDN w:val="0"/>
        <w:adjustRightInd w:val="0"/>
        <w:spacing w:after="0" w:line="240" w:lineRule="auto"/>
        <w:jc w:val="both"/>
        <w:rPr>
          <w:rFonts w:ascii="Arial" w:hAnsi="Arial" w:cs="Arial"/>
          <w:b/>
          <w:bCs/>
        </w:rPr>
      </w:pPr>
    </w:p>
    <w:p w14:paraId="04FF0B8C" w14:textId="77777777" w:rsidR="00054BA2" w:rsidRPr="00CF1963" w:rsidRDefault="00054BA2" w:rsidP="00054BA2">
      <w:pPr>
        <w:autoSpaceDE w:val="0"/>
        <w:autoSpaceDN w:val="0"/>
        <w:adjustRightInd w:val="0"/>
        <w:spacing w:after="0" w:line="240" w:lineRule="auto"/>
        <w:jc w:val="both"/>
        <w:rPr>
          <w:rFonts w:ascii="Arial" w:hAnsi="Arial" w:cs="Arial"/>
          <w:b/>
          <w:bCs/>
        </w:rPr>
      </w:pPr>
      <w:r w:rsidRPr="00CF1963">
        <w:rPr>
          <w:rFonts w:ascii="Arial" w:hAnsi="Arial" w:cs="Arial"/>
          <w:b/>
          <w:bCs/>
        </w:rPr>
        <w:t>Estrutura:</w:t>
      </w:r>
    </w:p>
    <w:p w14:paraId="476AAB76" w14:textId="77777777" w:rsidR="00054BA2" w:rsidRPr="00CF1963" w:rsidRDefault="00054BA2" w:rsidP="00054BA2">
      <w:pPr>
        <w:spacing w:after="0" w:line="240" w:lineRule="auto"/>
        <w:rPr>
          <w:rFonts w:ascii="Arial" w:eastAsia="Times New Roman" w:hAnsi="Arial" w:cs="Arial"/>
          <w:sz w:val="20"/>
          <w:szCs w:val="20"/>
          <w:lang w:eastAsia="pt-BR"/>
        </w:rPr>
      </w:pPr>
      <w:r w:rsidRPr="00CF1963">
        <w:rPr>
          <w:rFonts w:ascii="Arial" w:eastAsia="Times New Roman" w:hAnsi="Arial" w:cs="Arial"/>
          <w:sz w:val="20"/>
          <w:szCs w:val="20"/>
          <w:lang w:eastAsia="pt-BR"/>
        </w:rPr>
        <w:t>&lt;?xml version="1.0" encoding="UTF-8"?&gt;</w:t>
      </w:r>
    </w:p>
    <w:p w14:paraId="6240B125" w14:textId="77777777" w:rsidR="00054BA2" w:rsidRPr="00CF1963" w:rsidRDefault="00054BA2" w:rsidP="00054BA2">
      <w:pPr>
        <w:spacing w:after="0" w:line="240" w:lineRule="auto"/>
        <w:rPr>
          <w:rFonts w:ascii="Arial" w:eastAsia="Times New Roman" w:hAnsi="Arial" w:cs="Arial"/>
          <w:sz w:val="20"/>
          <w:szCs w:val="20"/>
          <w:lang w:eastAsia="pt-BR"/>
        </w:rPr>
      </w:pPr>
      <w:r w:rsidRPr="00CF1963">
        <w:rPr>
          <w:rFonts w:ascii="Arial" w:eastAsia="Times New Roman" w:hAnsi="Arial" w:cs="Arial"/>
          <w:sz w:val="20"/>
          <w:szCs w:val="20"/>
          <w:lang w:eastAsia="pt-BR"/>
        </w:rPr>
        <w:t>&lt;PrestacaoContasAnual&gt;</w:t>
      </w:r>
    </w:p>
    <w:p w14:paraId="66D8CC21" w14:textId="77777777" w:rsidR="00054BA2" w:rsidRPr="00CF1963" w:rsidRDefault="00054BA2" w:rsidP="00054BA2">
      <w:pPr>
        <w:spacing w:after="0" w:line="240" w:lineRule="auto"/>
        <w:ind w:left="284"/>
        <w:rPr>
          <w:rFonts w:ascii="Arial" w:eastAsia="Times New Roman" w:hAnsi="Arial" w:cs="Arial"/>
          <w:sz w:val="20"/>
          <w:szCs w:val="20"/>
          <w:lang w:eastAsia="pt-BR"/>
        </w:rPr>
      </w:pPr>
      <w:r w:rsidRPr="00CF1963">
        <w:rPr>
          <w:rFonts w:ascii="Arial" w:eastAsia="Times New Roman" w:hAnsi="Arial" w:cs="Arial"/>
          <w:sz w:val="20"/>
          <w:szCs w:val="20"/>
          <w:lang w:eastAsia="pt-BR"/>
        </w:rPr>
        <w:lastRenderedPageBreak/>
        <w:t>&lt;BalanceteExecucaoOrcamentariaDespesaEstado_Schema&gt;</w:t>
      </w:r>
    </w:p>
    <w:p w14:paraId="261BF936" w14:textId="77777777" w:rsidR="00054BA2" w:rsidRPr="00CF1963" w:rsidRDefault="00054BA2" w:rsidP="00054BA2">
      <w:pPr>
        <w:spacing w:after="0" w:line="240" w:lineRule="auto"/>
        <w:ind w:left="567"/>
        <w:rPr>
          <w:rFonts w:ascii="Arial" w:eastAsia="Times New Roman" w:hAnsi="Arial" w:cs="Arial"/>
          <w:sz w:val="20"/>
          <w:szCs w:val="20"/>
          <w:lang w:eastAsia="pt-BR"/>
        </w:rPr>
      </w:pPr>
      <w:r w:rsidRPr="00CF1963">
        <w:rPr>
          <w:rFonts w:ascii="Arial" w:eastAsia="Times New Roman" w:hAnsi="Arial" w:cs="Arial"/>
          <w:sz w:val="20"/>
          <w:szCs w:val="20"/>
          <w:lang w:eastAsia="pt-BR"/>
        </w:rPr>
        <w:t>&lt;BalanceteExecucaoOrcamentariaDespesaEstado&gt;</w:t>
      </w:r>
    </w:p>
    <w:p w14:paraId="1A3463B0" w14:textId="77777777" w:rsidR="00054BA2" w:rsidRPr="00CF1963" w:rsidRDefault="00054BA2" w:rsidP="00054BA2">
      <w:pPr>
        <w:spacing w:after="0" w:line="240" w:lineRule="auto"/>
        <w:ind w:left="993"/>
        <w:rPr>
          <w:rFonts w:ascii="Arial" w:eastAsia="Times New Roman" w:hAnsi="Arial" w:cs="Arial"/>
          <w:sz w:val="20"/>
          <w:szCs w:val="20"/>
          <w:lang w:eastAsia="pt-BR"/>
        </w:rPr>
      </w:pPr>
      <w:r w:rsidRPr="00CF1963">
        <w:rPr>
          <w:rFonts w:ascii="Arial" w:eastAsia="Times New Roman" w:hAnsi="Arial" w:cs="Arial"/>
          <w:sz w:val="20"/>
          <w:szCs w:val="20"/>
          <w:lang w:eastAsia="pt-BR"/>
        </w:rPr>
        <w:t>&lt;IdNumRegistro&gt;</w:t>
      </w:r>
      <w:r w:rsidRPr="00CF1963">
        <w:rPr>
          <w:rFonts w:ascii="Arial" w:eastAsia="Times New Roman" w:hAnsi="Arial" w:cs="Arial"/>
          <w:b/>
          <w:bCs/>
          <w:sz w:val="20"/>
          <w:szCs w:val="20"/>
          <w:lang w:eastAsia="pt-BR"/>
        </w:rPr>
        <w:t>99999</w:t>
      </w:r>
      <w:r w:rsidRPr="00CF1963">
        <w:rPr>
          <w:rFonts w:ascii="Arial" w:eastAsia="Times New Roman" w:hAnsi="Arial" w:cs="Arial"/>
          <w:sz w:val="20"/>
          <w:szCs w:val="20"/>
          <w:lang w:eastAsia="pt-BR"/>
        </w:rPr>
        <w:t>&lt;/IdNumRegistro&gt;</w:t>
      </w:r>
    </w:p>
    <w:p w14:paraId="66E10CF5" w14:textId="77777777" w:rsidR="00054BA2" w:rsidRPr="00CF1963" w:rsidRDefault="00054BA2" w:rsidP="00054BA2">
      <w:pPr>
        <w:spacing w:after="0" w:line="240" w:lineRule="auto"/>
        <w:ind w:left="993"/>
        <w:rPr>
          <w:rFonts w:ascii="Arial" w:eastAsia="Times New Roman" w:hAnsi="Arial" w:cs="Arial"/>
          <w:sz w:val="20"/>
          <w:szCs w:val="20"/>
          <w:lang w:eastAsia="pt-BR"/>
        </w:rPr>
      </w:pPr>
      <w:r w:rsidRPr="00CF1963">
        <w:rPr>
          <w:rFonts w:ascii="Arial" w:eastAsia="Times New Roman" w:hAnsi="Arial" w:cs="Arial"/>
          <w:sz w:val="20"/>
          <w:szCs w:val="20"/>
          <w:lang w:eastAsia="pt-BR"/>
        </w:rPr>
        <w:t>&lt;CodigoUnidadeGestora&gt;</w:t>
      </w:r>
      <w:r w:rsidRPr="00CF1963">
        <w:rPr>
          <w:rFonts w:ascii="Arial" w:eastAsia="Times New Roman" w:hAnsi="Arial" w:cs="Arial"/>
          <w:b/>
          <w:bCs/>
          <w:sz w:val="20"/>
          <w:szCs w:val="20"/>
          <w:lang w:eastAsia="pt-BR"/>
        </w:rPr>
        <w:t>XXXXXXXXXXX</w:t>
      </w:r>
      <w:r w:rsidRPr="00CF1963">
        <w:rPr>
          <w:rFonts w:ascii="Arial" w:eastAsia="Times New Roman" w:hAnsi="Arial" w:cs="Arial"/>
          <w:sz w:val="20"/>
          <w:szCs w:val="20"/>
          <w:lang w:eastAsia="pt-BR"/>
        </w:rPr>
        <w:t xml:space="preserve">&lt;/CodigoUnidadeGestora&gt; </w:t>
      </w:r>
    </w:p>
    <w:p w14:paraId="62BB11C8" w14:textId="77777777" w:rsidR="00054BA2" w:rsidRPr="00CF1963" w:rsidRDefault="00054BA2" w:rsidP="00054BA2">
      <w:pPr>
        <w:spacing w:after="0" w:line="240" w:lineRule="auto"/>
        <w:ind w:left="993"/>
        <w:rPr>
          <w:rFonts w:ascii="Arial" w:eastAsia="Times New Roman" w:hAnsi="Arial" w:cs="Arial"/>
          <w:sz w:val="20"/>
          <w:szCs w:val="20"/>
          <w:lang w:eastAsia="pt-BR"/>
        </w:rPr>
      </w:pPr>
      <w:r w:rsidRPr="00CF1963">
        <w:rPr>
          <w:rFonts w:ascii="Arial" w:eastAsia="Times New Roman" w:hAnsi="Arial" w:cs="Arial"/>
          <w:sz w:val="20"/>
          <w:szCs w:val="20"/>
          <w:lang w:eastAsia="pt-BR"/>
        </w:rPr>
        <w:t>&lt;CodigoOrgao&gt;</w:t>
      </w:r>
      <w:r w:rsidRPr="00CF1963">
        <w:rPr>
          <w:rFonts w:ascii="Arial" w:eastAsia="Times New Roman" w:hAnsi="Arial" w:cs="Arial"/>
          <w:b/>
          <w:bCs/>
          <w:sz w:val="20"/>
          <w:szCs w:val="20"/>
          <w:lang w:eastAsia="pt-BR"/>
        </w:rPr>
        <w:t>XX</w:t>
      </w:r>
      <w:r w:rsidRPr="00CF1963">
        <w:rPr>
          <w:rFonts w:ascii="Arial" w:eastAsia="Times New Roman" w:hAnsi="Arial" w:cs="Arial"/>
          <w:sz w:val="20"/>
          <w:szCs w:val="20"/>
          <w:lang w:eastAsia="pt-BR"/>
        </w:rPr>
        <w:t xml:space="preserve">&lt;/CodigoOrgao&gt; </w:t>
      </w:r>
    </w:p>
    <w:p w14:paraId="3DA60C62" w14:textId="77777777" w:rsidR="00054BA2" w:rsidRPr="00CF1963" w:rsidRDefault="00054BA2" w:rsidP="00054BA2">
      <w:pPr>
        <w:spacing w:after="0" w:line="240" w:lineRule="auto"/>
        <w:ind w:left="993"/>
        <w:rPr>
          <w:rFonts w:ascii="Arial" w:eastAsia="Times New Roman" w:hAnsi="Arial" w:cs="Arial"/>
          <w:sz w:val="20"/>
          <w:szCs w:val="20"/>
          <w:lang w:eastAsia="pt-BR"/>
        </w:rPr>
      </w:pPr>
      <w:r w:rsidRPr="00CF1963">
        <w:rPr>
          <w:rFonts w:ascii="Arial" w:eastAsia="Times New Roman" w:hAnsi="Arial" w:cs="Arial"/>
          <w:sz w:val="20"/>
          <w:szCs w:val="20"/>
          <w:lang w:eastAsia="pt-BR"/>
        </w:rPr>
        <w:t>&lt;CodigoUnidadeOrcamentaria&gt;</w:t>
      </w:r>
      <w:r w:rsidRPr="00CF1963">
        <w:rPr>
          <w:rFonts w:ascii="Arial" w:eastAsia="Times New Roman" w:hAnsi="Arial" w:cs="Arial"/>
          <w:b/>
          <w:bCs/>
          <w:sz w:val="20"/>
          <w:szCs w:val="20"/>
          <w:lang w:eastAsia="pt-BR"/>
        </w:rPr>
        <w:t>XXXXX</w:t>
      </w:r>
      <w:r w:rsidRPr="00CF1963">
        <w:rPr>
          <w:rFonts w:ascii="Arial" w:eastAsia="Times New Roman" w:hAnsi="Arial" w:cs="Arial"/>
          <w:sz w:val="20"/>
          <w:szCs w:val="20"/>
          <w:lang w:eastAsia="pt-BR"/>
        </w:rPr>
        <w:t>&lt;/CodigoUnidadeOrcamentaria&gt;</w:t>
      </w:r>
    </w:p>
    <w:p w14:paraId="2635E691" w14:textId="77777777" w:rsidR="00054BA2" w:rsidRPr="00CF1963" w:rsidRDefault="00054BA2" w:rsidP="00054BA2">
      <w:pPr>
        <w:spacing w:after="0" w:line="240" w:lineRule="auto"/>
        <w:ind w:left="993"/>
        <w:rPr>
          <w:rFonts w:ascii="Arial" w:eastAsia="Times New Roman" w:hAnsi="Arial" w:cs="Arial"/>
          <w:sz w:val="20"/>
          <w:szCs w:val="20"/>
          <w:lang w:eastAsia="pt-BR"/>
        </w:rPr>
      </w:pPr>
      <w:r w:rsidRPr="00CF1963">
        <w:rPr>
          <w:rFonts w:ascii="Arial" w:eastAsia="Times New Roman" w:hAnsi="Arial" w:cs="Arial"/>
          <w:sz w:val="20"/>
          <w:szCs w:val="20"/>
          <w:lang w:eastAsia="pt-BR"/>
        </w:rPr>
        <w:t>&lt;CodigoFuncao&gt;</w:t>
      </w:r>
      <w:r w:rsidRPr="00CF1963">
        <w:rPr>
          <w:rFonts w:ascii="Arial" w:eastAsia="Times New Roman" w:hAnsi="Arial" w:cs="Arial"/>
          <w:b/>
          <w:bCs/>
          <w:sz w:val="20"/>
          <w:szCs w:val="20"/>
          <w:lang w:eastAsia="pt-BR"/>
        </w:rPr>
        <w:t>XX</w:t>
      </w:r>
      <w:r w:rsidRPr="00CF1963">
        <w:rPr>
          <w:rFonts w:ascii="Arial" w:eastAsia="Times New Roman" w:hAnsi="Arial" w:cs="Arial"/>
          <w:sz w:val="20"/>
          <w:szCs w:val="20"/>
          <w:lang w:eastAsia="pt-BR"/>
        </w:rPr>
        <w:t xml:space="preserve">&lt;/CodigoFuncao&gt; </w:t>
      </w:r>
    </w:p>
    <w:p w14:paraId="7CDB0FC8" w14:textId="77777777" w:rsidR="00054BA2" w:rsidRPr="00CF1963" w:rsidRDefault="00054BA2" w:rsidP="00054BA2">
      <w:pPr>
        <w:spacing w:after="0" w:line="240" w:lineRule="auto"/>
        <w:ind w:left="993"/>
        <w:rPr>
          <w:rFonts w:ascii="Arial" w:eastAsia="Times New Roman" w:hAnsi="Arial" w:cs="Arial"/>
          <w:sz w:val="20"/>
          <w:szCs w:val="20"/>
          <w:lang w:eastAsia="pt-BR"/>
        </w:rPr>
      </w:pPr>
      <w:r w:rsidRPr="00CF1963">
        <w:rPr>
          <w:rFonts w:ascii="Arial" w:eastAsia="Times New Roman" w:hAnsi="Arial" w:cs="Arial"/>
          <w:sz w:val="20"/>
          <w:szCs w:val="20"/>
          <w:lang w:eastAsia="pt-BR"/>
        </w:rPr>
        <w:t>&lt;CodigoSubFuncao&gt;</w:t>
      </w:r>
      <w:r w:rsidRPr="00CF1963">
        <w:rPr>
          <w:rFonts w:ascii="Arial" w:eastAsia="Times New Roman" w:hAnsi="Arial" w:cs="Arial"/>
          <w:b/>
          <w:bCs/>
          <w:sz w:val="20"/>
          <w:szCs w:val="20"/>
          <w:lang w:eastAsia="pt-BR"/>
        </w:rPr>
        <w:t>XXX</w:t>
      </w:r>
      <w:r w:rsidRPr="00CF1963">
        <w:rPr>
          <w:rFonts w:ascii="Arial" w:eastAsia="Times New Roman" w:hAnsi="Arial" w:cs="Arial"/>
          <w:sz w:val="20"/>
          <w:szCs w:val="20"/>
          <w:lang w:eastAsia="pt-BR"/>
        </w:rPr>
        <w:t>&lt;/CodigoSubFuncao&gt;</w:t>
      </w:r>
    </w:p>
    <w:p w14:paraId="7AF953F4" w14:textId="77777777" w:rsidR="00054BA2" w:rsidRPr="00CF1963" w:rsidRDefault="00054BA2" w:rsidP="00054BA2">
      <w:pPr>
        <w:spacing w:after="0" w:line="240" w:lineRule="auto"/>
        <w:ind w:left="993"/>
        <w:rPr>
          <w:rFonts w:ascii="Arial" w:eastAsia="Times New Roman" w:hAnsi="Arial" w:cs="Arial"/>
          <w:sz w:val="20"/>
          <w:szCs w:val="20"/>
          <w:lang w:eastAsia="pt-BR"/>
        </w:rPr>
      </w:pPr>
      <w:r w:rsidRPr="00CF1963">
        <w:rPr>
          <w:rFonts w:ascii="Arial" w:eastAsia="Times New Roman" w:hAnsi="Arial" w:cs="Arial"/>
          <w:sz w:val="20"/>
          <w:szCs w:val="20"/>
          <w:lang w:eastAsia="pt-BR"/>
        </w:rPr>
        <w:t>&lt;CodigoPrograma&gt;</w:t>
      </w:r>
      <w:r w:rsidRPr="00CF1963">
        <w:rPr>
          <w:rFonts w:ascii="Arial" w:eastAsia="Times New Roman" w:hAnsi="Arial" w:cs="Arial"/>
          <w:b/>
          <w:bCs/>
          <w:sz w:val="20"/>
          <w:szCs w:val="20"/>
          <w:lang w:eastAsia="pt-BR"/>
        </w:rPr>
        <w:t>XXXX</w:t>
      </w:r>
      <w:r w:rsidRPr="00CF1963">
        <w:rPr>
          <w:rFonts w:ascii="Arial" w:eastAsia="Times New Roman" w:hAnsi="Arial" w:cs="Arial"/>
          <w:sz w:val="20"/>
          <w:szCs w:val="20"/>
          <w:lang w:eastAsia="pt-BR"/>
        </w:rPr>
        <w:t>&lt;/CodigoPrograma&gt;</w:t>
      </w:r>
    </w:p>
    <w:p w14:paraId="4A16B1D9" w14:textId="77777777" w:rsidR="00054BA2" w:rsidRPr="00CF1963" w:rsidRDefault="00054BA2" w:rsidP="00054BA2">
      <w:pPr>
        <w:spacing w:after="0" w:line="240" w:lineRule="auto"/>
        <w:ind w:left="993"/>
        <w:rPr>
          <w:rFonts w:ascii="Arial" w:eastAsia="Times New Roman" w:hAnsi="Arial" w:cs="Arial"/>
          <w:strike/>
          <w:sz w:val="20"/>
          <w:szCs w:val="20"/>
          <w:lang w:eastAsia="pt-BR"/>
        </w:rPr>
      </w:pPr>
      <w:r w:rsidRPr="00CF1963">
        <w:rPr>
          <w:rFonts w:ascii="Arial" w:eastAsia="Times New Roman" w:hAnsi="Arial" w:cs="Arial"/>
          <w:sz w:val="20"/>
          <w:szCs w:val="20"/>
          <w:lang w:eastAsia="pt-BR"/>
        </w:rPr>
        <w:t>&lt;CodigoAcao&gt;</w:t>
      </w:r>
      <w:r w:rsidRPr="00CF1963">
        <w:rPr>
          <w:rFonts w:ascii="Arial" w:eastAsia="Times New Roman" w:hAnsi="Arial" w:cs="Arial"/>
          <w:b/>
          <w:bCs/>
          <w:sz w:val="20"/>
          <w:szCs w:val="20"/>
          <w:lang w:eastAsia="pt-BR"/>
        </w:rPr>
        <w:t>XXXX</w:t>
      </w:r>
      <w:r w:rsidRPr="00CF1963">
        <w:rPr>
          <w:rFonts w:ascii="Arial" w:eastAsia="Times New Roman" w:hAnsi="Arial" w:cs="Arial"/>
          <w:sz w:val="20"/>
          <w:szCs w:val="20"/>
          <w:lang w:eastAsia="pt-BR"/>
        </w:rPr>
        <w:t>&lt;/CodigoAcao&gt;</w:t>
      </w:r>
    </w:p>
    <w:p w14:paraId="63B1B58F" w14:textId="77777777" w:rsidR="00054BA2" w:rsidRPr="00CF1963" w:rsidRDefault="00054BA2" w:rsidP="00054BA2">
      <w:pPr>
        <w:spacing w:after="0" w:line="240" w:lineRule="auto"/>
        <w:ind w:left="993"/>
        <w:rPr>
          <w:rFonts w:ascii="Arial" w:eastAsia="Times New Roman" w:hAnsi="Arial" w:cs="Arial"/>
          <w:sz w:val="20"/>
          <w:szCs w:val="20"/>
          <w:lang w:eastAsia="pt-BR"/>
        </w:rPr>
      </w:pPr>
      <w:r w:rsidRPr="00CF1963">
        <w:rPr>
          <w:rFonts w:ascii="Arial" w:eastAsia="Times New Roman" w:hAnsi="Arial" w:cs="Arial"/>
          <w:sz w:val="20"/>
          <w:szCs w:val="20"/>
          <w:lang w:eastAsia="pt-BR"/>
        </w:rPr>
        <w:t>&lt;CategoriaEconomicaDespesa&gt;</w:t>
      </w:r>
      <w:r w:rsidRPr="00CF1963">
        <w:rPr>
          <w:rFonts w:ascii="Arial" w:eastAsia="Times New Roman" w:hAnsi="Arial" w:cs="Arial"/>
          <w:b/>
          <w:bCs/>
          <w:sz w:val="20"/>
          <w:szCs w:val="20"/>
          <w:lang w:eastAsia="pt-BR"/>
        </w:rPr>
        <w:t>X</w:t>
      </w:r>
      <w:r w:rsidRPr="00CF1963">
        <w:rPr>
          <w:rFonts w:ascii="Arial" w:eastAsia="Times New Roman" w:hAnsi="Arial" w:cs="Arial"/>
          <w:sz w:val="20"/>
          <w:szCs w:val="20"/>
          <w:lang w:eastAsia="pt-BR"/>
        </w:rPr>
        <w:t>&lt;/CategoriaEconomicaDespesa&gt;</w:t>
      </w:r>
    </w:p>
    <w:p w14:paraId="338F2616" w14:textId="77777777" w:rsidR="00054BA2" w:rsidRPr="00CF1963" w:rsidRDefault="00054BA2" w:rsidP="00054BA2">
      <w:pPr>
        <w:spacing w:after="0" w:line="240" w:lineRule="auto"/>
        <w:ind w:left="993"/>
        <w:rPr>
          <w:rFonts w:ascii="Arial" w:eastAsia="Times New Roman" w:hAnsi="Arial" w:cs="Arial"/>
          <w:sz w:val="20"/>
          <w:szCs w:val="20"/>
          <w:lang w:eastAsia="pt-BR"/>
        </w:rPr>
      </w:pPr>
      <w:r w:rsidRPr="00CF1963">
        <w:rPr>
          <w:rFonts w:ascii="Arial" w:eastAsia="Times New Roman" w:hAnsi="Arial" w:cs="Arial"/>
          <w:sz w:val="20"/>
          <w:szCs w:val="20"/>
          <w:lang w:eastAsia="pt-BR"/>
        </w:rPr>
        <w:t>&lt;GrupoNaturezaDespesa&gt;</w:t>
      </w:r>
      <w:r w:rsidRPr="00CF1963">
        <w:rPr>
          <w:rFonts w:ascii="Arial" w:eastAsia="Times New Roman" w:hAnsi="Arial" w:cs="Arial"/>
          <w:b/>
          <w:bCs/>
          <w:sz w:val="20"/>
          <w:szCs w:val="20"/>
          <w:lang w:eastAsia="pt-BR"/>
        </w:rPr>
        <w:t>X</w:t>
      </w:r>
      <w:r w:rsidRPr="00CF1963">
        <w:rPr>
          <w:rFonts w:ascii="Arial" w:eastAsia="Times New Roman" w:hAnsi="Arial" w:cs="Arial"/>
          <w:sz w:val="20"/>
          <w:szCs w:val="20"/>
          <w:lang w:eastAsia="pt-BR"/>
        </w:rPr>
        <w:t>&lt;/GrupoNaturezaDespesa&gt;</w:t>
      </w:r>
    </w:p>
    <w:p w14:paraId="15B4EC7E" w14:textId="77777777" w:rsidR="00054BA2" w:rsidRPr="00CF1963" w:rsidRDefault="00054BA2" w:rsidP="00054BA2">
      <w:pPr>
        <w:spacing w:after="0" w:line="240" w:lineRule="auto"/>
        <w:ind w:left="993"/>
        <w:rPr>
          <w:rFonts w:ascii="Arial" w:eastAsia="Times New Roman" w:hAnsi="Arial" w:cs="Arial"/>
          <w:sz w:val="20"/>
          <w:szCs w:val="20"/>
          <w:lang w:eastAsia="pt-BR"/>
        </w:rPr>
      </w:pPr>
      <w:r w:rsidRPr="00CF1963">
        <w:rPr>
          <w:rFonts w:ascii="Arial" w:eastAsia="Times New Roman" w:hAnsi="Arial" w:cs="Arial"/>
          <w:sz w:val="20"/>
          <w:szCs w:val="20"/>
          <w:lang w:eastAsia="pt-BR"/>
        </w:rPr>
        <w:t>&lt;ModalidadeAplicacao&gt;</w:t>
      </w:r>
      <w:r w:rsidRPr="00CF1963">
        <w:rPr>
          <w:rFonts w:ascii="Arial" w:eastAsia="Times New Roman" w:hAnsi="Arial" w:cs="Arial"/>
          <w:b/>
          <w:bCs/>
          <w:sz w:val="20"/>
          <w:szCs w:val="20"/>
          <w:lang w:eastAsia="pt-BR"/>
        </w:rPr>
        <w:t>XX</w:t>
      </w:r>
      <w:r w:rsidRPr="00CF1963">
        <w:rPr>
          <w:rFonts w:ascii="Arial" w:eastAsia="Times New Roman" w:hAnsi="Arial" w:cs="Arial"/>
          <w:sz w:val="20"/>
          <w:szCs w:val="20"/>
          <w:lang w:eastAsia="pt-BR"/>
        </w:rPr>
        <w:t>&lt;/ModalidadeAplicacao&gt;</w:t>
      </w:r>
    </w:p>
    <w:p w14:paraId="58E150B9" w14:textId="77777777" w:rsidR="00054BA2" w:rsidRPr="00CF1963" w:rsidRDefault="00054BA2" w:rsidP="00054BA2">
      <w:pPr>
        <w:spacing w:after="0" w:line="240" w:lineRule="auto"/>
        <w:ind w:left="993"/>
        <w:rPr>
          <w:rFonts w:ascii="Arial" w:eastAsia="Times New Roman" w:hAnsi="Arial" w:cs="Arial"/>
          <w:sz w:val="20"/>
          <w:szCs w:val="20"/>
          <w:lang w:eastAsia="pt-BR"/>
        </w:rPr>
      </w:pPr>
      <w:r w:rsidRPr="00CF1963">
        <w:rPr>
          <w:rFonts w:ascii="Arial" w:eastAsia="Times New Roman" w:hAnsi="Arial" w:cs="Arial"/>
          <w:sz w:val="20"/>
          <w:szCs w:val="20"/>
          <w:lang w:eastAsia="pt-BR"/>
        </w:rPr>
        <w:t>&lt;ElementoDespesa&gt;</w:t>
      </w:r>
      <w:r w:rsidRPr="00CF1963">
        <w:rPr>
          <w:rFonts w:ascii="Arial" w:eastAsia="Times New Roman" w:hAnsi="Arial" w:cs="Arial"/>
          <w:b/>
          <w:bCs/>
          <w:sz w:val="20"/>
          <w:szCs w:val="20"/>
          <w:lang w:eastAsia="pt-BR"/>
        </w:rPr>
        <w:t>XX</w:t>
      </w:r>
      <w:r w:rsidRPr="00CF1963">
        <w:rPr>
          <w:rFonts w:ascii="Arial" w:eastAsia="Times New Roman" w:hAnsi="Arial" w:cs="Arial"/>
          <w:sz w:val="20"/>
          <w:szCs w:val="20"/>
          <w:lang w:eastAsia="pt-BR"/>
        </w:rPr>
        <w:t>&lt;/ElementoDespesa&gt;</w:t>
      </w:r>
    </w:p>
    <w:p w14:paraId="56E2B6D3" w14:textId="77777777" w:rsidR="00054BA2" w:rsidRPr="00CF1963" w:rsidRDefault="00054BA2" w:rsidP="00054BA2">
      <w:pPr>
        <w:spacing w:after="0" w:line="240" w:lineRule="auto"/>
        <w:ind w:left="993"/>
        <w:rPr>
          <w:rFonts w:ascii="Arial" w:eastAsia="Times New Roman" w:hAnsi="Arial" w:cs="Arial"/>
          <w:sz w:val="20"/>
          <w:szCs w:val="20"/>
          <w:lang w:eastAsia="pt-BR"/>
        </w:rPr>
      </w:pPr>
      <w:r w:rsidRPr="00CF1963">
        <w:rPr>
          <w:rFonts w:ascii="Arial" w:eastAsia="Times New Roman" w:hAnsi="Arial" w:cs="Arial"/>
          <w:sz w:val="20"/>
          <w:szCs w:val="20"/>
          <w:lang w:eastAsia="pt-BR"/>
        </w:rPr>
        <w:t>&lt;SubElementoDespesa&gt;</w:t>
      </w:r>
      <w:r w:rsidRPr="00CF1963">
        <w:rPr>
          <w:rFonts w:ascii="Arial" w:eastAsia="Times New Roman" w:hAnsi="Arial" w:cs="Arial"/>
          <w:b/>
          <w:bCs/>
          <w:sz w:val="20"/>
          <w:szCs w:val="20"/>
          <w:lang w:eastAsia="pt-BR"/>
        </w:rPr>
        <w:t>XX</w:t>
      </w:r>
      <w:r w:rsidRPr="00CF1963">
        <w:rPr>
          <w:rFonts w:ascii="Arial" w:eastAsia="Times New Roman" w:hAnsi="Arial" w:cs="Arial"/>
          <w:sz w:val="20"/>
          <w:szCs w:val="20"/>
          <w:lang w:eastAsia="pt-BR"/>
        </w:rPr>
        <w:t>&lt;/SubElementoDespesa&gt;</w:t>
      </w:r>
    </w:p>
    <w:p w14:paraId="528CB2E3" w14:textId="77777777" w:rsidR="00054BA2" w:rsidRPr="00CF1963" w:rsidRDefault="00054BA2" w:rsidP="00054BA2">
      <w:pPr>
        <w:spacing w:after="0" w:line="240" w:lineRule="auto"/>
        <w:ind w:left="993"/>
        <w:rPr>
          <w:rFonts w:ascii="Arial" w:eastAsia="Times New Roman" w:hAnsi="Arial" w:cs="Arial"/>
          <w:sz w:val="20"/>
          <w:szCs w:val="20"/>
          <w:lang w:eastAsia="pt-BR"/>
        </w:rPr>
      </w:pPr>
      <w:r w:rsidRPr="00CF1963">
        <w:rPr>
          <w:rFonts w:ascii="Arial" w:eastAsia="Times New Roman" w:hAnsi="Arial" w:cs="Arial"/>
          <w:sz w:val="20"/>
          <w:szCs w:val="20"/>
          <w:lang w:eastAsia="pt-BR"/>
        </w:rPr>
        <w:t>&lt;ItemPatrimonial&gt;</w:t>
      </w:r>
      <w:r w:rsidRPr="00CF1963">
        <w:rPr>
          <w:rFonts w:ascii="Arial" w:eastAsia="Times New Roman" w:hAnsi="Arial" w:cs="Arial"/>
          <w:b/>
          <w:sz w:val="20"/>
          <w:szCs w:val="20"/>
          <w:lang w:eastAsia="pt-BR"/>
        </w:rPr>
        <w:t>XXXX</w:t>
      </w:r>
      <w:r w:rsidRPr="00CF1963">
        <w:rPr>
          <w:rFonts w:ascii="Arial" w:eastAsia="Times New Roman" w:hAnsi="Arial" w:cs="Arial"/>
          <w:sz w:val="20"/>
          <w:szCs w:val="20"/>
          <w:lang w:eastAsia="pt-BR"/>
        </w:rPr>
        <w:t>&lt;/ItemPatrimonial&gt;</w:t>
      </w:r>
    </w:p>
    <w:p w14:paraId="7AB7A06D" w14:textId="77777777" w:rsidR="00054BA2" w:rsidRPr="00CF1963" w:rsidRDefault="00054BA2" w:rsidP="00054BA2">
      <w:pPr>
        <w:spacing w:after="0" w:line="240" w:lineRule="auto"/>
        <w:ind w:left="993"/>
        <w:rPr>
          <w:rFonts w:ascii="Arial" w:eastAsia="Times New Roman" w:hAnsi="Arial" w:cs="Arial"/>
          <w:sz w:val="20"/>
          <w:szCs w:val="20"/>
          <w:lang w:eastAsia="pt-BR"/>
        </w:rPr>
      </w:pPr>
      <w:r w:rsidRPr="00CF1963">
        <w:rPr>
          <w:rFonts w:ascii="Arial" w:eastAsia="Times New Roman" w:hAnsi="Arial" w:cs="Arial"/>
          <w:sz w:val="20"/>
          <w:szCs w:val="20"/>
          <w:lang w:eastAsia="pt-BR"/>
        </w:rPr>
        <w:t>&lt;CodigoGrupoFonteDestinacaoRecursos&gt;</w:t>
      </w:r>
      <w:r w:rsidRPr="00CF1963">
        <w:rPr>
          <w:rFonts w:ascii="Arial" w:eastAsia="Times New Roman" w:hAnsi="Arial" w:cs="Arial"/>
          <w:b/>
          <w:bCs/>
          <w:sz w:val="20"/>
          <w:szCs w:val="20"/>
          <w:lang w:eastAsia="pt-BR"/>
        </w:rPr>
        <w:t>9</w:t>
      </w:r>
      <w:r w:rsidRPr="00CF1963">
        <w:rPr>
          <w:rFonts w:ascii="Arial" w:eastAsia="Times New Roman" w:hAnsi="Arial" w:cs="Arial"/>
          <w:sz w:val="20"/>
          <w:szCs w:val="20"/>
          <w:lang w:eastAsia="pt-BR"/>
        </w:rPr>
        <w:t>&lt;/CodigoGrupoFonteDestinacaoRecursos&gt;</w:t>
      </w:r>
    </w:p>
    <w:p w14:paraId="7192805D" w14:textId="77777777" w:rsidR="00054BA2" w:rsidRPr="00CF1963" w:rsidRDefault="00054BA2" w:rsidP="00054BA2">
      <w:pPr>
        <w:spacing w:after="0" w:line="240" w:lineRule="auto"/>
        <w:ind w:left="993"/>
        <w:rPr>
          <w:rFonts w:ascii="Arial" w:eastAsia="Times New Roman" w:hAnsi="Arial" w:cs="Arial"/>
          <w:sz w:val="20"/>
          <w:szCs w:val="20"/>
          <w:lang w:eastAsia="pt-BR"/>
        </w:rPr>
      </w:pPr>
      <w:r w:rsidRPr="00CF1963">
        <w:rPr>
          <w:rFonts w:ascii="Arial" w:eastAsia="Times New Roman" w:hAnsi="Arial" w:cs="Arial"/>
          <w:sz w:val="20"/>
          <w:szCs w:val="20"/>
          <w:lang w:eastAsia="pt-BR"/>
        </w:rPr>
        <w:t>&lt;IdentificadorUso&gt;</w:t>
      </w:r>
      <w:r w:rsidRPr="00CF1963">
        <w:rPr>
          <w:rFonts w:ascii="Arial" w:eastAsia="Times New Roman" w:hAnsi="Arial" w:cs="Arial"/>
          <w:b/>
          <w:sz w:val="20"/>
          <w:szCs w:val="20"/>
          <w:lang w:eastAsia="pt-BR"/>
        </w:rPr>
        <w:t>X</w:t>
      </w:r>
      <w:r w:rsidRPr="00CF1963">
        <w:rPr>
          <w:rFonts w:ascii="Arial" w:eastAsia="Times New Roman" w:hAnsi="Arial" w:cs="Arial"/>
          <w:sz w:val="20"/>
          <w:szCs w:val="20"/>
          <w:lang w:eastAsia="pt-BR"/>
        </w:rPr>
        <w:t>&lt;/IdentificadorUso&gt;</w:t>
      </w:r>
    </w:p>
    <w:p w14:paraId="1C5358E9" w14:textId="77777777" w:rsidR="00054BA2" w:rsidRPr="00CF1963" w:rsidRDefault="00054BA2" w:rsidP="00054BA2">
      <w:pPr>
        <w:spacing w:after="0" w:line="240" w:lineRule="auto"/>
        <w:ind w:left="993"/>
        <w:rPr>
          <w:rFonts w:ascii="Arial" w:eastAsia="Times New Roman" w:hAnsi="Arial" w:cs="Arial"/>
          <w:b/>
          <w:bCs/>
          <w:sz w:val="20"/>
          <w:szCs w:val="20"/>
          <w:lang w:eastAsia="pt-BR"/>
        </w:rPr>
      </w:pPr>
      <w:r w:rsidRPr="00CF1963">
        <w:rPr>
          <w:rFonts w:ascii="Arial" w:eastAsia="Times New Roman" w:hAnsi="Arial" w:cs="Arial"/>
          <w:sz w:val="20"/>
          <w:szCs w:val="20"/>
          <w:lang w:eastAsia="pt-BR"/>
        </w:rPr>
        <w:t>&lt;CodigoEspecificacaoFonteDestinacaoRecursos&gt;</w:t>
      </w:r>
      <w:r w:rsidRPr="00CF1963">
        <w:rPr>
          <w:rFonts w:ascii="Arial" w:eastAsia="Times New Roman" w:hAnsi="Arial" w:cs="Arial"/>
          <w:b/>
          <w:bCs/>
          <w:sz w:val="20"/>
          <w:szCs w:val="20"/>
          <w:lang w:eastAsia="pt-BR"/>
        </w:rPr>
        <w:t>XXX</w:t>
      </w:r>
    </w:p>
    <w:p w14:paraId="4486B67D" w14:textId="77777777" w:rsidR="00054BA2" w:rsidRPr="00CF1963" w:rsidRDefault="00054BA2" w:rsidP="00054BA2">
      <w:pPr>
        <w:spacing w:after="0" w:line="240" w:lineRule="auto"/>
        <w:ind w:left="993"/>
        <w:rPr>
          <w:rFonts w:ascii="Arial" w:eastAsia="Times New Roman" w:hAnsi="Arial" w:cs="Arial"/>
          <w:sz w:val="20"/>
          <w:szCs w:val="20"/>
          <w:lang w:eastAsia="pt-BR"/>
        </w:rPr>
      </w:pPr>
      <w:r w:rsidRPr="00CF1963">
        <w:rPr>
          <w:rFonts w:ascii="Arial" w:eastAsia="Times New Roman" w:hAnsi="Arial" w:cs="Arial"/>
          <w:sz w:val="20"/>
          <w:szCs w:val="20"/>
          <w:lang w:eastAsia="pt-BR"/>
        </w:rPr>
        <w:t>&lt;/CodigoEspecificacaoFonteDestinacaoRecursos&gt;</w:t>
      </w:r>
    </w:p>
    <w:p w14:paraId="7F13BD10" w14:textId="77777777" w:rsidR="00054BA2" w:rsidRPr="00CF1963" w:rsidRDefault="00054BA2" w:rsidP="00054BA2">
      <w:pPr>
        <w:spacing w:after="0" w:line="240" w:lineRule="auto"/>
        <w:ind w:left="993"/>
        <w:rPr>
          <w:rFonts w:ascii="Arial" w:eastAsia="Times New Roman" w:hAnsi="Arial" w:cs="Arial"/>
          <w:b/>
          <w:bCs/>
          <w:lang w:eastAsia="pt-BR"/>
        </w:rPr>
      </w:pPr>
      <w:r w:rsidRPr="00CF1963">
        <w:rPr>
          <w:rFonts w:ascii="Arial" w:eastAsia="Times New Roman" w:hAnsi="Arial" w:cs="Arial"/>
          <w:sz w:val="20"/>
          <w:szCs w:val="20"/>
          <w:lang w:eastAsia="pt-BR"/>
        </w:rPr>
        <w:t>&lt;CodigoDetalhamentoFonteDestinacaoRecursos&gt;</w:t>
      </w:r>
      <w:r w:rsidRPr="00AE677F">
        <w:rPr>
          <w:rFonts w:ascii="Arial" w:eastAsia="Times New Roman" w:hAnsi="Arial" w:cs="Arial"/>
          <w:b/>
          <w:bCs/>
          <w:sz w:val="20"/>
          <w:szCs w:val="20"/>
          <w:lang w:eastAsia="pt-BR"/>
        </w:rPr>
        <w:t>XXXX</w:t>
      </w:r>
      <w:r w:rsidR="00AE677F">
        <w:rPr>
          <w:rFonts w:ascii="Arial" w:eastAsia="Times New Roman" w:hAnsi="Arial" w:cs="Arial"/>
          <w:b/>
          <w:bCs/>
          <w:sz w:val="20"/>
          <w:szCs w:val="20"/>
          <w:lang w:eastAsia="pt-BR"/>
        </w:rPr>
        <w:t>XX</w:t>
      </w:r>
    </w:p>
    <w:p w14:paraId="3348FEFB" w14:textId="77777777" w:rsidR="00054BA2" w:rsidRPr="00AE677F" w:rsidRDefault="00054BA2" w:rsidP="00054BA2">
      <w:pPr>
        <w:spacing w:after="0" w:line="240" w:lineRule="auto"/>
        <w:ind w:left="993"/>
        <w:rPr>
          <w:rFonts w:ascii="Arial" w:eastAsia="Times New Roman" w:hAnsi="Arial" w:cs="Arial"/>
          <w:sz w:val="20"/>
          <w:szCs w:val="20"/>
          <w:lang w:eastAsia="pt-BR"/>
        </w:rPr>
      </w:pPr>
      <w:r w:rsidRPr="00AE677F">
        <w:rPr>
          <w:rFonts w:ascii="Arial" w:eastAsia="Times New Roman" w:hAnsi="Arial" w:cs="Arial"/>
          <w:sz w:val="20"/>
          <w:szCs w:val="20"/>
          <w:lang w:eastAsia="pt-BR"/>
        </w:rPr>
        <w:t>&lt;/CodigoDetalhamentoFonteDestinacaoRecursos&gt;</w:t>
      </w:r>
    </w:p>
    <w:p w14:paraId="126AB9E1" w14:textId="77777777" w:rsidR="00054BA2" w:rsidRPr="00CF1963" w:rsidRDefault="00054BA2" w:rsidP="00054BA2">
      <w:pPr>
        <w:spacing w:after="0" w:line="240" w:lineRule="auto"/>
        <w:ind w:left="993"/>
        <w:rPr>
          <w:rFonts w:ascii="Arial" w:eastAsia="Times New Roman" w:hAnsi="Arial" w:cs="Arial"/>
          <w:sz w:val="20"/>
          <w:szCs w:val="20"/>
          <w:lang w:eastAsia="pt-BR"/>
        </w:rPr>
      </w:pPr>
      <w:r w:rsidRPr="00CF1963">
        <w:rPr>
          <w:rFonts w:ascii="Arial" w:eastAsia="Times New Roman" w:hAnsi="Arial" w:cs="Arial"/>
          <w:sz w:val="20"/>
          <w:szCs w:val="20"/>
          <w:lang w:eastAsia="pt-BR"/>
        </w:rPr>
        <w:t>&lt;DotacaoInicial&gt;</w:t>
      </w:r>
      <w:r w:rsidRPr="00CF1963">
        <w:rPr>
          <w:rFonts w:ascii="Arial" w:eastAsia="Times New Roman" w:hAnsi="Arial" w:cs="Arial"/>
          <w:b/>
          <w:bCs/>
          <w:sz w:val="20"/>
          <w:szCs w:val="20"/>
          <w:lang w:eastAsia="pt-BR"/>
        </w:rPr>
        <w:t>99999999999999.99</w:t>
      </w:r>
      <w:r w:rsidRPr="00CF1963">
        <w:rPr>
          <w:rFonts w:ascii="Arial" w:eastAsia="Times New Roman" w:hAnsi="Arial" w:cs="Arial"/>
          <w:sz w:val="20"/>
          <w:szCs w:val="20"/>
          <w:lang w:eastAsia="pt-BR"/>
        </w:rPr>
        <w:t>&lt;/DotacaoInicial&gt;</w:t>
      </w:r>
    </w:p>
    <w:p w14:paraId="2369A649" w14:textId="77777777" w:rsidR="00054BA2" w:rsidRPr="00CF1963" w:rsidRDefault="00054BA2" w:rsidP="00054BA2">
      <w:pPr>
        <w:spacing w:after="0" w:line="240" w:lineRule="auto"/>
        <w:ind w:left="993"/>
        <w:rPr>
          <w:rFonts w:ascii="Arial" w:eastAsia="Times New Roman" w:hAnsi="Arial" w:cs="Arial"/>
          <w:sz w:val="20"/>
          <w:szCs w:val="20"/>
          <w:lang w:eastAsia="pt-BR"/>
        </w:rPr>
      </w:pPr>
      <w:r w:rsidRPr="00CF1963">
        <w:rPr>
          <w:rFonts w:ascii="Arial" w:eastAsia="Times New Roman" w:hAnsi="Arial" w:cs="Arial"/>
          <w:sz w:val="20"/>
          <w:szCs w:val="20"/>
          <w:lang w:eastAsia="pt-BR"/>
        </w:rPr>
        <w:t>&lt;Adicao&gt;</w:t>
      </w:r>
      <w:r w:rsidRPr="00CF1963">
        <w:rPr>
          <w:rFonts w:ascii="Arial" w:eastAsia="Times New Roman" w:hAnsi="Arial" w:cs="Arial"/>
          <w:b/>
          <w:bCs/>
          <w:sz w:val="20"/>
          <w:szCs w:val="20"/>
          <w:lang w:eastAsia="pt-BR"/>
        </w:rPr>
        <w:t>99999999999999.99</w:t>
      </w:r>
      <w:r w:rsidRPr="00CF1963">
        <w:rPr>
          <w:rFonts w:ascii="Arial" w:eastAsia="Times New Roman" w:hAnsi="Arial" w:cs="Arial"/>
          <w:sz w:val="20"/>
          <w:szCs w:val="20"/>
          <w:lang w:eastAsia="pt-BR"/>
        </w:rPr>
        <w:t>&lt;/Adicao&gt;</w:t>
      </w:r>
    </w:p>
    <w:p w14:paraId="271D052E" w14:textId="77777777" w:rsidR="00054BA2" w:rsidRPr="00CF1963" w:rsidRDefault="00054BA2" w:rsidP="00054BA2">
      <w:pPr>
        <w:spacing w:after="0" w:line="240" w:lineRule="auto"/>
        <w:ind w:left="993"/>
        <w:rPr>
          <w:rFonts w:ascii="Arial" w:eastAsia="Times New Roman" w:hAnsi="Arial" w:cs="Arial"/>
          <w:sz w:val="20"/>
          <w:szCs w:val="20"/>
          <w:lang w:eastAsia="pt-BR"/>
        </w:rPr>
      </w:pPr>
      <w:r w:rsidRPr="00CF1963">
        <w:rPr>
          <w:rFonts w:ascii="Arial" w:eastAsia="Times New Roman" w:hAnsi="Arial" w:cs="Arial"/>
          <w:sz w:val="20"/>
          <w:szCs w:val="20"/>
          <w:lang w:eastAsia="pt-BR"/>
        </w:rPr>
        <w:t>&lt;Subtracao&gt;</w:t>
      </w:r>
      <w:r w:rsidRPr="00CF1963">
        <w:rPr>
          <w:rFonts w:ascii="Arial" w:eastAsia="Times New Roman" w:hAnsi="Arial" w:cs="Arial"/>
          <w:b/>
          <w:bCs/>
          <w:sz w:val="20"/>
          <w:szCs w:val="20"/>
          <w:lang w:eastAsia="pt-BR"/>
        </w:rPr>
        <w:t>99999999999999.99</w:t>
      </w:r>
      <w:r w:rsidRPr="00CF1963">
        <w:rPr>
          <w:rFonts w:ascii="Arial" w:eastAsia="Times New Roman" w:hAnsi="Arial" w:cs="Arial"/>
          <w:sz w:val="20"/>
          <w:szCs w:val="20"/>
          <w:lang w:eastAsia="pt-BR"/>
        </w:rPr>
        <w:t>&lt;/Subtracao&gt;</w:t>
      </w:r>
    </w:p>
    <w:p w14:paraId="1F5C7434" w14:textId="77777777" w:rsidR="00054BA2" w:rsidRPr="00CF1963" w:rsidRDefault="00054BA2" w:rsidP="00054BA2">
      <w:pPr>
        <w:spacing w:after="0" w:line="240" w:lineRule="auto"/>
        <w:ind w:left="993"/>
        <w:rPr>
          <w:rFonts w:ascii="Arial" w:eastAsia="Times New Roman" w:hAnsi="Arial" w:cs="Arial"/>
          <w:sz w:val="20"/>
          <w:szCs w:val="20"/>
          <w:lang w:eastAsia="pt-BR"/>
        </w:rPr>
      </w:pPr>
      <w:r w:rsidRPr="00CF1963">
        <w:rPr>
          <w:rFonts w:ascii="Arial" w:eastAsia="Times New Roman" w:hAnsi="Arial" w:cs="Arial"/>
          <w:sz w:val="20"/>
          <w:szCs w:val="20"/>
          <w:lang w:eastAsia="pt-BR"/>
        </w:rPr>
        <w:t>&lt;DotacaoAtualizada&gt;</w:t>
      </w:r>
      <w:r w:rsidRPr="00CF1963">
        <w:rPr>
          <w:rFonts w:ascii="Arial" w:eastAsia="Times New Roman" w:hAnsi="Arial" w:cs="Arial"/>
          <w:b/>
          <w:bCs/>
          <w:sz w:val="20"/>
          <w:szCs w:val="20"/>
          <w:lang w:eastAsia="pt-BR"/>
        </w:rPr>
        <w:t>99999999999999.99</w:t>
      </w:r>
      <w:r w:rsidRPr="00CF1963">
        <w:rPr>
          <w:rFonts w:ascii="Arial" w:eastAsia="Times New Roman" w:hAnsi="Arial" w:cs="Arial"/>
          <w:sz w:val="20"/>
          <w:szCs w:val="20"/>
          <w:lang w:eastAsia="pt-BR"/>
        </w:rPr>
        <w:t>&lt;/DotacaoAtualizada&gt;</w:t>
      </w:r>
    </w:p>
    <w:p w14:paraId="38E2B519" w14:textId="77777777" w:rsidR="00054BA2" w:rsidRPr="00CF1963" w:rsidRDefault="00054BA2" w:rsidP="00054BA2">
      <w:pPr>
        <w:spacing w:after="0" w:line="240" w:lineRule="auto"/>
        <w:ind w:left="993"/>
        <w:rPr>
          <w:rFonts w:ascii="Arial" w:eastAsia="Times New Roman" w:hAnsi="Arial" w:cs="Arial"/>
          <w:sz w:val="20"/>
          <w:szCs w:val="20"/>
          <w:lang w:eastAsia="pt-BR"/>
        </w:rPr>
      </w:pPr>
      <w:r w:rsidRPr="00CF1963">
        <w:rPr>
          <w:rFonts w:ascii="Arial" w:eastAsia="Times New Roman" w:hAnsi="Arial" w:cs="Arial"/>
          <w:sz w:val="20"/>
          <w:szCs w:val="20"/>
          <w:lang w:eastAsia="pt-BR"/>
        </w:rPr>
        <w:t>&lt;ValorEmpenhado&gt;</w:t>
      </w:r>
      <w:r w:rsidRPr="00CF1963">
        <w:rPr>
          <w:rFonts w:ascii="Arial" w:eastAsia="Times New Roman" w:hAnsi="Arial" w:cs="Arial"/>
          <w:b/>
          <w:bCs/>
          <w:sz w:val="20"/>
          <w:szCs w:val="20"/>
          <w:lang w:eastAsia="pt-BR"/>
        </w:rPr>
        <w:t>99999999999999.99</w:t>
      </w:r>
      <w:r w:rsidRPr="00CF1963">
        <w:rPr>
          <w:rFonts w:ascii="Arial" w:eastAsia="Times New Roman" w:hAnsi="Arial" w:cs="Arial"/>
          <w:sz w:val="20"/>
          <w:szCs w:val="20"/>
          <w:lang w:eastAsia="pt-BR"/>
        </w:rPr>
        <w:t>&lt;/ValorEmpenhado&gt;</w:t>
      </w:r>
    </w:p>
    <w:p w14:paraId="6C4A617D" w14:textId="77777777" w:rsidR="00054BA2" w:rsidRPr="00CF1963" w:rsidRDefault="00054BA2" w:rsidP="00054BA2">
      <w:pPr>
        <w:spacing w:after="0" w:line="240" w:lineRule="auto"/>
        <w:ind w:left="993"/>
        <w:rPr>
          <w:rFonts w:ascii="Arial" w:eastAsia="Times New Roman" w:hAnsi="Arial" w:cs="Arial"/>
          <w:sz w:val="20"/>
          <w:szCs w:val="20"/>
          <w:lang w:eastAsia="pt-BR"/>
        </w:rPr>
      </w:pPr>
      <w:r w:rsidRPr="00CF1963">
        <w:rPr>
          <w:rFonts w:ascii="Arial" w:eastAsia="Times New Roman" w:hAnsi="Arial" w:cs="Arial"/>
          <w:sz w:val="20"/>
          <w:szCs w:val="20"/>
          <w:lang w:eastAsia="pt-BR"/>
        </w:rPr>
        <w:t>&lt;ValorLiquidado&gt;</w:t>
      </w:r>
      <w:r w:rsidRPr="00CF1963">
        <w:rPr>
          <w:rFonts w:ascii="Arial" w:eastAsia="Times New Roman" w:hAnsi="Arial" w:cs="Arial"/>
          <w:b/>
          <w:bCs/>
          <w:sz w:val="20"/>
          <w:szCs w:val="20"/>
          <w:lang w:eastAsia="pt-BR"/>
        </w:rPr>
        <w:t>99999999999999.99</w:t>
      </w:r>
      <w:r w:rsidRPr="00CF1963">
        <w:rPr>
          <w:rFonts w:ascii="Arial" w:eastAsia="Times New Roman" w:hAnsi="Arial" w:cs="Arial"/>
          <w:sz w:val="20"/>
          <w:szCs w:val="20"/>
          <w:lang w:eastAsia="pt-BR"/>
        </w:rPr>
        <w:t>&lt;/ValorLiquidado&gt;</w:t>
      </w:r>
    </w:p>
    <w:p w14:paraId="7C8AD757" w14:textId="77777777" w:rsidR="00054BA2" w:rsidRPr="00CF1963" w:rsidRDefault="00054BA2" w:rsidP="00054BA2">
      <w:pPr>
        <w:spacing w:after="0" w:line="240" w:lineRule="auto"/>
        <w:ind w:left="993"/>
        <w:rPr>
          <w:rFonts w:ascii="Arial" w:eastAsia="Times New Roman" w:hAnsi="Arial" w:cs="Arial"/>
          <w:sz w:val="20"/>
          <w:szCs w:val="20"/>
          <w:lang w:eastAsia="pt-BR"/>
        </w:rPr>
      </w:pPr>
      <w:r w:rsidRPr="00CF1963">
        <w:rPr>
          <w:rFonts w:ascii="Arial" w:eastAsia="Times New Roman" w:hAnsi="Arial" w:cs="Arial"/>
          <w:sz w:val="20"/>
          <w:szCs w:val="20"/>
          <w:lang w:eastAsia="pt-BR"/>
        </w:rPr>
        <w:t>&lt;ValorPago&gt;</w:t>
      </w:r>
      <w:r w:rsidRPr="00CF1963">
        <w:rPr>
          <w:rFonts w:ascii="Arial" w:eastAsia="Times New Roman" w:hAnsi="Arial" w:cs="Arial"/>
          <w:b/>
          <w:bCs/>
          <w:sz w:val="20"/>
          <w:szCs w:val="20"/>
          <w:lang w:eastAsia="pt-BR"/>
        </w:rPr>
        <w:t>99999999999999.99</w:t>
      </w:r>
      <w:r w:rsidRPr="00CF1963">
        <w:rPr>
          <w:rFonts w:ascii="Arial" w:eastAsia="Times New Roman" w:hAnsi="Arial" w:cs="Arial"/>
          <w:sz w:val="20"/>
          <w:szCs w:val="20"/>
          <w:lang w:eastAsia="pt-BR"/>
        </w:rPr>
        <w:t>&lt;/ValorPago&gt;</w:t>
      </w:r>
    </w:p>
    <w:p w14:paraId="75742A33" w14:textId="77777777" w:rsidR="00054BA2" w:rsidRPr="00CF1963" w:rsidRDefault="00054BA2" w:rsidP="00054BA2">
      <w:pPr>
        <w:spacing w:after="0" w:line="240" w:lineRule="auto"/>
        <w:ind w:left="567"/>
        <w:rPr>
          <w:rFonts w:ascii="Arial" w:eastAsia="Times New Roman" w:hAnsi="Arial" w:cs="Arial"/>
          <w:sz w:val="20"/>
          <w:szCs w:val="20"/>
          <w:lang w:eastAsia="pt-BR"/>
        </w:rPr>
      </w:pPr>
      <w:r w:rsidRPr="00CF1963">
        <w:rPr>
          <w:rFonts w:ascii="Arial" w:eastAsia="Times New Roman" w:hAnsi="Arial" w:cs="Arial"/>
          <w:sz w:val="20"/>
          <w:szCs w:val="20"/>
          <w:lang w:eastAsia="pt-BR"/>
        </w:rPr>
        <w:t>&lt;/BalanceteExecucaoOrcamentariaDespesaEstado&gt;</w:t>
      </w:r>
    </w:p>
    <w:p w14:paraId="0483E1A3" w14:textId="77777777" w:rsidR="00054BA2" w:rsidRPr="00CF1963" w:rsidRDefault="00054BA2" w:rsidP="00054BA2">
      <w:pPr>
        <w:spacing w:after="0" w:line="240" w:lineRule="auto"/>
        <w:ind w:left="284"/>
        <w:rPr>
          <w:rFonts w:ascii="Arial" w:eastAsia="Times New Roman" w:hAnsi="Arial" w:cs="Arial"/>
          <w:sz w:val="20"/>
          <w:szCs w:val="20"/>
          <w:lang w:eastAsia="pt-BR"/>
        </w:rPr>
      </w:pPr>
      <w:r w:rsidRPr="00CF1963">
        <w:rPr>
          <w:rFonts w:ascii="Arial" w:eastAsia="Times New Roman" w:hAnsi="Arial" w:cs="Arial"/>
          <w:sz w:val="20"/>
          <w:szCs w:val="20"/>
          <w:lang w:eastAsia="pt-BR"/>
        </w:rPr>
        <w:t>&lt;/BalanceteExecucaoOrcamentariaDespesaEstado_Schema&gt;</w:t>
      </w:r>
    </w:p>
    <w:p w14:paraId="5273EE79" w14:textId="77777777" w:rsidR="00054BA2" w:rsidRPr="00CF1963" w:rsidRDefault="00054BA2" w:rsidP="00054BA2">
      <w:pPr>
        <w:rPr>
          <w:rFonts w:ascii="Arial" w:eastAsia="Times New Roman" w:hAnsi="Arial" w:cs="Arial"/>
          <w:sz w:val="20"/>
          <w:szCs w:val="20"/>
          <w:lang w:eastAsia="pt-BR"/>
        </w:rPr>
      </w:pPr>
      <w:r w:rsidRPr="00CF1963">
        <w:rPr>
          <w:rFonts w:ascii="Arial" w:eastAsia="Times New Roman" w:hAnsi="Arial" w:cs="Arial"/>
          <w:sz w:val="20"/>
          <w:szCs w:val="20"/>
          <w:lang w:eastAsia="pt-BR"/>
        </w:rPr>
        <w:t>&lt;PrestacaoContasAnual&gt;</w:t>
      </w:r>
    </w:p>
    <w:p w14:paraId="44908401" w14:textId="77777777" w:rsidR="00054BA2" w:rsidRPr="00CF1963" w:rsidRDefault="00054BA2" w:rsidP="00054BA2">
      <w:pPr>
        <w:rPr>
          <w:rFonts w:ascii="Arial" w:hAnsi="Arial" w:cs="Arial"/>
          <w:sz w:val="20"/>
          <w:szCs w:val="20"/>
          <w:lang w:eastAsia="pt-BR"/>
        </w:rPr>
      </w:pPr>
    </w:p>
    <w:tbl>
      <w:tblPr>
        <w:tblW w:w="9229" w:type="dxa"/>
        <w:tblInd w:w="55" w:type="dxa"/>
        <w:tblLayout w:type="fixed"/>
        <w:tblCellMar>
          <w:left w:w="70" w:type="dxa"/>
          <w:right w:w="70" w:type="dxa"/>
        </w:tblCellMar>
        <w:tblLook w:val="04A0" w:firstRow="1" w:lastRow="0" w:firstColumn="1" w:lastColumn="0" w:noHBand="0" w:noVBand="1"/>
      </w:tblPr>
      <w:tblGrid>
        <w:gridCol w:w="3984"/>
        <w:gridCol w:w="1276"/>
        <w:gridCol w:w="1134"/>
        <w:gridCol w:w="2835"/>
      </w:tblGrid>
      <w:tr w:rsidR="00CF1963" w:rsidRPr="00CF1963" w14:paraId="4860A122" w14:textId="77777777" w:rsidTr="008B12A6">
        <w:trPr>
          <w:trHeight w:val="315"/>
        </w:trPr>
        <w:tc>
          <w:tcPr>
            <w:tcW w:w="3984" w:type="dxa"/>
            <w:tcBorders>
              <w:top w:val="single" w:sz="8" w:space="0" w:color="auto"/>
              <w:left w:val="single" w:sz="8" w:space="0" w:color="auto"/>
              <w:bottom w:val="single" w:sz="8" w:space="0" w:color="auto"/>
              <w:right w:val="single" w:sz="8" w:space="0" w:color="auto"/>
            </w:tcBorders>
            <w:shd w:val="clear" w:color="000000" w:fill="BFBFBF"/>
            <w:vAlign w:val="center"/>
            <w:hideMark/>
          </w:tcPr>
          <w:p w14:paraId="7724F15A" w14:textId="77777777" w:rsidR="00054BA2" w:rsidRPr="00CF1963" w:rsidRDefault="00054BA2" w:rsidP="008B12A6">
            <w:pPr>
              <w:spacing w:after="0" w:line="240" w:lineRule="auto"/>
              <w:jc w:val="center"/>
              <w:rPr>
                <w:rFonts w:ascii="Arial" w:eastAsia="Times New Roman" w:hAnsi="Arial" w:cs="Arial"/>
                <w:b/>
                <w:bCs/>
                <w:sz w:val="20"/>
                <w:szCs w:val="20"/>
                <w:lang w:eastAsia="pt-BR"/>
              </w:rPr>
            </w:pPr>
            <w:r w:rsidRPr="00CF1963">
              <w:rPr>
                <w:rFonts w:ascii="Arial" w:eastAsia="Times New Roman" w:hAnsi="Arial" w:cs="Arial"/>
                <w:b/>
                <w:bCs/>
                <w:sz w:val="20"/>
                <w:szCs w:val="20"/>
                <w:lang w:eastAsia="pt-BR"/>
              </w:rPr>
              <w:t>Campo</w:t>
            </w:r>
          </w:p>
        </w:tc>
        <w:tc>
          <w:tcPr>
            <w:tcW w:w="1276" w:type="dxa"/>
            <w:tcBorders>
              <w:top w:val="single" w:sz="8" w:space="0" w:color="auto"/>
              <w:left w:val="nil"/>
              <w:bottom w:val="single" w:sz="8" w:space="0" w:color="auto"/>
              <w:right w:val="single" w:sz="8" w:space="0" w:color="auto"/>
            </w:tcBorders>
            <w:shd w:val="clear" w:color="000000" w:fill="BFBFBF"/>
            <w:vAlign w:val="center"/>
            <w:hideMark/>
          </w:tcPr>
          <w:p w14:paraId="5F4C057A" w14:textId="77777777" w:rsidR="00054BA2" w:rsidRPr="00CF1963" w:rsidRDefault="00054BA2" w:rsidP="008B12A6">
            <w:pPr>
              <w:spacing w:after="0" w:line="240" w:lineRule="auto"/>
              <w:jc w:val="center"/>
              <w:rPr>
                <w:rFonts w:ascii="Arial" w:eastAsia="Times New Roman" w:hAnsi="Arial" w:cs="Arial"/>
                <w:b/>
                <w:bCs/>
                <w:sz w:val="20"/>
                <w:szCs w:val="20"/>
                <w:lang w:eastAsia="pt-BR"/>
              </w:rPr>
            </w:pPr>
            <w:r w:rsidRPr="00CF1963">
              <w:rPr>
                <w:rFonts w:ascii="Arial" w:eastAsia="Times New Roman" w:hAnsi="Arial" w:cs="Arial"/>
                <w:b/>
                <w:bCs/>
                <w:sz w:val="20"/>
                <w:szCs w:val="20"/>
                <w:lang w:eastAsia="pt-BR"/>
              </w:rPr>
              <w:t>Tipo</w:t>
            </w:r>
          </w:p>
        </w:tc>
        <w:tc>
          <w:tcPr>
            <w:tcW w:w="1134" w:type="dxa"/>
            <w:tcBorders>
              <w:top w:val="single" w:sz="8" w:space="0" w:color="auto"/>
              <w:left w:val="nil"/>
              <w:bottom w:val="single" w:sz="8" w:space="0" w:color="auto"/>
              <w:right w:val="single" w:sz="8" w:space="0" w:color="auto"/>
            </w:tcBorders>
            <w:shd w:val="clear" w:color="000000" w:fill="BFBFBF"/>
            <w:vAlign w:val="center"/>
            <w:hideMark/>
          </w:tcPr>
          <w:p w14:paraId="027AF5DC" w14:textId="77777777" w:rsidR="00054BA2" w:rsidRPr="00CF1963" w:rsidRDefault="00054BA2" w:rsidP="008B12A6">
            <w:pPr>
              <w:spacing w:after="0" w:line="240" w:lineRule="auto"/>
              <w:jc w:val="center"/>
              <w:rPr>
                <w:rFonts w:ascii="Arial" w:eastAsia="Times New Roman" w:hAnsi="Arial" w:cs="Arial"/>
                <w:b/>
                <w:bCs/>
                <w:sz w:val="20"/>
                <w:szCs w:val="20"/>
                <w:lang w:eastAsia="pt-BR"/>
              </w:rPr>
            </w:pPr>
            <w:r w:rsidRPr="00CF1963">
              <w:rPr>
                <w:rFonts w:ascii="Arial" w:eastAsia="Times New Roman" w:hAnsi="Arial" w:cs="Arial"/>
                <w:b/>
                <w:bCs/>
                <w:sz w:val="20"/>
                <w:szCs w:val="20"/>
                <w:lang w:eastAsia="pt-BR"/>
              </w:rPr>
              <w:t>Tamanho</w:t>
            </w:r>
          </w:p>
        </w:tc>
        <w:tc>
          <w:tcPr>
            <w:tcW w:w="2835" w:type="dxa"/>
            <w:tcBorders>
              <w:top w:val="single" w:sz="8" w:space="0" w:color="auto"/>
              <w:left w:val="nil"/>
              <w:bottom w:val="single" w:sz="8" w:space="0" w:color="auto"/>
              <w:right w:val="single" w:sz="8" w:space="0" w:color="auto"/>
            </w:tcBorders>
            <w:shd w:val="clear" w:color="000000" w:fill="BFBFBF"/>
            <w:vAlign w:val="center"/>
            <w:hideMark/>
          </w:tcPr>
          <w:p w14:paraId="4236B8E9" w14:textId="77777777" w:rsidR="00054BA2" w:rsidRPr="00CF1963" w:rsidRDefault="00054BA2" w:rsidP="008B12A6">
            <w:pPr>
              <w:spacing w:after="0" w:line="240" w:lineRule="auto"/>
              <w:jc w:val="center"/>
              <w:rPr>
                <w:rFonts w:ascii="Arial" w:eastAsia="Times New Roman" w:hAnsi="Arial" w:cs="Arial"/>
                <w:b/>
                <w:bCs/>
                <w:sz w:val="20"/>
                <w:szCs w:val="20"/>
                <w:lang w:eastAsia="pt-BR"/>
              </w:rPr>
            </w:pPr>
            <w:r w:rsidRPr="00CF1963">
              <w:rPr>
                <w:rFonts w:ascii="Arial" w:eastAsia="Times New Roman" w:hAnsi="Arial" w:cs="Arial"/>
                <w:b/>
                <w:bCs/>
                <w:sz w:val="20"/>
                <w:szCs w:val="20"/>
                <w:lang w:eastAsia="pt-BR"/>
              </w:rPr>
              <w:t>Obrigatoriedade</w:t>
            </w:r>
          </w:p>
        </w:tc>
      </w:tr>
      <w:tr w:rsidR="00CF1963" w:rsidRPr="00CF1963" w14:paraId="623B13C0" w14:textId="77777777" w:rsidTr="008B12A6">
        <w:trPr>
          <w:trHeight w:val="499"/>
        </w:trPr>
        <w:tc>
          <w:tcPr>
            <w:tcW w:w="9229" w:type="dxa"/>
            <w:gridSpan w:val="4"/>
            <w:tcBorders>
              <w:top w:val="single" w:sz="8" w:space="0" w:color="auto"/>
              <w:left w:val="single" w:sz="8" w:space="0" w:color="auto"/>
              <w:bottom w:val="single" w:sz="8" w:space="0" w:color="auto"/>
              <w:right w:val="single" w:sz="8" w:space="0" w:color="000000"/>
            </w:tcBorders>
            <w:shd w:val="clear" w:color="000000" w:fill="BFBFBF"/>
            <w:vAlign w:val="center"/>
            <w:hideMark/>
          </w:tcPr>
          <w:p w14:paraId="3E1261B4" w14:textId="77777777" w:rsidR="00054BA2" w:rsidRPr="00CF1963" w:rsidRDefault="00054BA2" w:rsidP="008B12A6">
            <w:pPr>
              <w:spacing w:after="0" w:line="240" w:lineRule="auto"/>
              <w:jc w:val="center"/>
              <w:rPr>
                <w:rFonts w:ascii="Arial" w:eastAsia="Times New Roman" w:hAnsi="Arial" w:cs="Arial"/>
                <w:b/>
                <w:bCs/>
                <w:sz w:val="20"/>
                <w:szCs w:val="20"/>
                <w:lang w:eastAsia="pt-BR"/>
              </w:rPr>
            </w:pPr>
            <w:r w:rsidRPr="00CF1963">
              <w:rPr>
                <w:rFonts w:ascii="Arial" w:eastAsia="Times New Roman" w:hAnsi="Arial" w:cs="Arial"/>
                <w:b/>
                <w:bCs/>
                <w:sz w:val="20"/>
                <w:szCs w:val="20"/>
                <w:lang w:eastAsia="pt-BR"/>
              </w:rPr>
              <w:t>Estrutura ‘BalanceteExecucaoOrcamentariaDespesaEstado’</w:t>
            </w:r>
          </w:p>
        </w:tc>
      </w:tr>
      <w:tr w:rsidR="00CF1963" w:rsidRPr="00CF1963" w14:paraId="7BD5983A" w14:textId="77777777" w:rsidTr="008B12A6">
        <w:trPr>
          <w:trHeight w:val="315"/>
        </w:trPr>
        <w:tc>
          <w:tcPr>
            <w:tcW w:w="3984" w:type="dxa"/>
            <w:tcBorders>
              <w:top w:val="nil"/>
              <w:left w:val="single" w:sz="8" w:space="0" w:color="auto"/>
              <w:bottom w:val="single" w:sz="8" w:space="0" w:color="auto"/>
              <w:right w:val="single" w:sz="8" w:space="0" w:color="auto"/>
            </w:tcBorders>
            <w:shd w:val="clear" w:color="auto" w:fill="auto"/>
            <w:vAlign w:val="center"/>
            <w:hideMark/>
          </w:tcPr>
          <w:p w14:paraId="0F719308" w14:textId="77777777" w:rsidR="00054BA2" w:rsidRPr="00CF1963" w:rsidRDefault="00054BA2" w:rsidP="008B12A6">
            <w:pPr>
              <w:spacing w:after="0" w:line="240" w:lineRule="auto"/>
              <w:jc w:val="both"/>
              <w:rPr>
                <w:rFonts w:ascii="Arial" w:eastAsia="Times New Roman" w:hAnsi="Arial" w:cs="Arial"/>
                <w:sz w:val="20"/>
                <w:szCs w:val="20"/>
                <w:lang w:eastAsia="pt-BR"/>
              </w:rPr>
            </w:pPr>
            <w:r w:rsidRPr="00CF1963">
              <w:rPr>
                <w:rFonts w:ascii="Arial" w:eastAsia="Times New Roman" w:hAnsi="Arial" w:cs="Arial"/>
                <w:sz w:val="20"/>
                <w:szCs w:val="20"/>
                <w:lang w:eastAsia="pt-BR"/>
              </w:rPr>
              <w:t>Identificação do Numero do Registro</w:t>
            </w:r>
          </w:p>
        </w:tc>
        <w:tc>
          <w:tcPr>
            <w:tcW w:w="1276" w:type="dxa"/>
            <w:tcBorders>
              <w:top w:val="nil"/>
              <w:left w:val="nil"/>
              <w:bottom w:val="single" w:sz="8" w:space="0" w:color="auto"/>
              <w:right w:val="single" w:sz="8" w:space="0" w:color="auto"/>
            </w:tcBorders>
            <w:shd w:val="clear" w:color="auto" w:fill="auto"/>
            <w:vAlign w:val="center"/>
            <w:hideMark/>
          </w:tcPr>
          <w:p w14:paraId="13224B10" w14:textId="77777777" w:rsidR="00054BA2" w:rsidRPr="00CF1963" w:rsidRDefault="00054BA2" w:rsidP="008B12A6">
            <w:pPr>
              <w:spacing w:after="0" w:line="240" w:lineRule="auto"/>
              <w:jc w:val="center"/>
              <w:rPr>
                <w:rFonts w:ascii="Arial" w:eastAsia="Times New Roman" w:hAnsi="Arial" w:cs="Arial"/>
                <w:sz w:val="20"/>
                <w:szCs w:val="20"/>
                <w:lang w:eastAsia="pt-BR"/>
              </w:rPr>
            </w:pPr>
            <w:r w:rsidRPr="00CF1963">
              <w:rPr>
                <w:rFonts w:ascii="Arial" w:eastAsia="Times New Roman" w:hAnsi="Arial" w:cs="Arial"/>
                <w:sz w:val="20"/>
                <w:szCs w:val="20"/>
                <w:lang w:eastAsia="pt-BR"/>
              </w:rPr>
              <w:t>Inteiro</w:t>
            </w:r>
          </w:p>
        </w:tc>
        <w:tc>
          <w:tcPr>
            <w:tcW w:w="1134" w:type="dxa"/>
            <w:tcBorders>
              <w:top w:val="nil"/>
              <w:left w:val="nil"/>
              <w:bottom w:val="single" w:sz="8" w:space="0" w:color="auto"/>
              <w:right w:val="single" w:sz="8" w:space="0" w:color="auto"/>
            </w:tcBorders>
            <w:shd w:val="clear" w:color="auto" w:fill="auto"/>
            <w:vAlign w:val="center"/>
            <w:hideMark/>
          </w:tcPr>
          <w:p w14:paraId="25A65E49" w14:textId="77777777" w:rsidR="00054BA2" w:rsidRPr="00CF1963" w:rsidRDefault="00054BA2" w:rsidP="008B12A6">
            <w:pPr>
              <w:spacing w:after="0" w:line="240" w:lineRule="auto"/>
              <w:jc w:val="center"/>
              <w:rPr>
                <w:rFonts w:ascii="Arial" w:eastAsia="Times New Roman" w:hAnsi="Arial" w:cs="Arial"/>
                <w:sz w:val="20"/>
                <w:szCs w:val="20"/>
                <w:lang w:eastAsia="pt-BR"/>
              </w:rPr>
            </w:pPr>
            <w:r w:rsidRPr="00CF1963">
              <w:rPr>
                <w:rFonts w:ascii="Arial" w:eastAsia="Times New Roman" w:hAnsi="Arial" w:cs="Arial"/>
                <w:sz w:val="20"/>
                <w:szCs w:val="20"/>
                <w:lang w:eastAsia="pt-BR"/>
              </w:rPr>
              <w:t>5</w:t>
            </w:r>
          </w:p>
        </w:tc>
        <w:tc>
          <w:tcPr>
            <w:tcW w:w="2835" w:type="dxa"/>
            <w:tcBorders>
              <w:top w:val="nil"/>
              <w:left w:val="nil"/>
              <w:bottom w:val="single" w:sz="8" w:space="0" w:color="auto"/>
              <w:right w:val="single" w:sz="8" w:space="0" w:color="auto"/>
            </w:tcBorders>
            <w:shd w:val="clear" w:color="auto" w:fill="auto"/>
            <w:vAlign w:val="center"/>
            <w:hideMark/>
          </w:tcPr>
          <w:p w14:paraId="7A7BD635" w14:textId="77777777" w:rsidR="00054BA2" w:rsidRPr="00CF1963" w:rsidRDefault="00054BA2" w:rsidP="008B12A6">
            <w:pPr>
              <w:spacing w:after="0" w:line="240" w:lineRule="auto"/>
              <w:jc w:val="center"/>
              <w:rPr>
                <w:rFonts w:ascii="Arial" w:eastAsia="Times New Roman" w:hAnsi="Arial" w:cs="Arial"/>
                <w:sz w:val="20"/>
                <w:szCs w:val="20"/>
                <w:lang w:eastAsia="pt-BR"/>
              </w:rPr>
            </w:pPr>
            <w:r w:rsidRPr="00CF1963">
              <w:rPr>
                <w:rFonts w:ascii="Arial" w:eastAsia="Times New Roman" w:hAnsi="Arial" w:cs="Arial"/>
                <w:sz w:val="20"/>
                <w:szCs w:val="20"/>
                <w:lang w:eastAsia="pt-BR"/>
              </w:rPr>
              <w:t>Obrigatório</w:t>
            </w:r>
          </w:p>
        </w:tc>
      </w:tr>
      <w:tr w:rsidR="00CF1963" w:rsidRPr="00CF1963" w14:paraId="09EFA512" w14:textId="77777777" w:rsidTr="008B12A6">
        <w:trPr>
          <w:trHeight w:val="600"/>
        </w:trPr>
        <w:tc>
          <w:tcPr>
            <w:tcW w:w="3984" w:type="dxa"/>
            <w:tcBorders>
              <w:top w:val="nil"/>
              <w:left w:val="single" w:sz="8" w:space="0" w:color="auto"/>
              <w:bottom w:val="single" w:sz="8" w:space="0" w:color="auto"/>
              <w:right w:val="single" w:sz="8" w:space="0" w:color="auto"/>
            </w:tcBorders>
            <w:shd w:val="clear" w:color="auto" w:fill="auto"/>
            <w:vAlign w:val="center"/>
            <w:hideMark/>
          </w:tcPr>
          <w:p w14:paraId="4C3DD557" w14:textId="77777777" w:rsidR="00054BA2" w:rsidRPr="00CF1963" w:rsidRDefault="00054BA2" w:rsidP="008B12A6">
            <w:pPr>
              <w:spacing w:after="0" w:line="240" w:lineRule="auto"/>
              <w:jc w:val="both"/>
              <w:rPr>
                <w:rFonts w:ascii="Arial" w:eastAsia="Times New Roman" w:hAnsi="Arial" w:cs="Arial"/>
                <w:sz w:val="20"/>
                <w:szCs w:val="20"/>
                <w:lang w:eastAsia="pt-BR"/>
              </w:rPr>
            </w:pPr>
            <w:r w:rsidRPr="00CF1963">
              <w:rPr>
                <w:rFonts w:ascii="Arial" w:eastAsia="Times New Roman" w:hAnsi="Arial" w:cs="Arial"/>
                <w:sz w:val="20"/>
                <w:szCs w:val="20"/>
                <w:lang w:eastAsia="pt-BR"/>
              </w:rPr>
              <w:t>Código da Unidade Gestora</w:t>
            </w:r>
          </w:p>
        </w:tc>
        <w:tc>
          <w:tcPr>
            <w:tcW w:w="1276" w:type="dxa"/>
            <w:tcBorders>
              <w:top w:val="nil"/>
              <w:left w:val="nil"/>
              <w:bottom w:val="single" w:sz="8" w:space="0" w:color="auto"/>
              <w:right w:val="single" w:sz="8" w:space="0" w:color="auto"/>
            </w:tcBorders>
            <w:shd w:val="clear" w:color="auto" w:fill="auto"/>
            <w:vAlign w:val="center"/>
            <w:hideMark/>
          </w:tcPr>
          <w:p w14:paraId="7B2E5693" w14:textId="77777777" w:rsidR="00054BA2" w:rsidRPr="00CF1963" w:rsidRDefault="00054BA2" w:rsidP="008B12A6">
            <w:pPr>
              <w:spacing w:after="0" w:line="240" w:lineRule="auto"/>
              <w:jc w:val="center"/>
              <w:rPr>
                <w:rFonts w:ascii="Arial" w:eastAsia="Times New Roman" w:hAnsi="Arial" w:cs="Arial"/>
                <w:sz w:val="20"/>
                <w:szCs w:val="20"/>
                <w:lang w:eastAsia="pt-BR"/>
              </w:rPr>
            </w:pPr>
            <w:r w:rsidRPr="00CF1963">
              <w:rPr>
                <w:rFonts w:ascii="Arial" w:eastAsia="Times New Roman" w:hAnsi="Arial" w:cs="Arial"/>
                <w:sz w:val="20"/>
                <w:szCs w:val="20"/>
                <w:lang w:eastAsia="pt-BR"/>
              </w:rPr>
              <w:t>Caracter</w:t>
            </w:r>
          </w:p>
        </w:tc>
        <w:tc>
          <w:tcPr>
            <w:tcW w:w="1134" w:type="dxa"/>
            <w:tcBorders>
              <w:top w:val="nil"/>
              <w:left w:val="nil"/>
              <w:bottom w:val="single" w:sz="8" w:space="0" w:color="auto"/>
              <w:right w:val="single" w:sz="8" w:space="0" w:color="auto"/>
            </w:tcBorders>
            <w:shd w:val="clear" w:color="auto" w:fill="auto"/>
            <w:vAlign w:val="center"/>
            <w:hideMark/>
          </w:tcPr>
          <w:p w14:paraId="3BBC3BCA" w14:textId="77777777" w:rsidR="00054BA2" w:rsidRPr="00CF1963" w:rsidRDefault="00054BA2" w:rsidP="008B12A6">
            <w:pPr>
              <w:spacing w:after="0" w:line="240" w:lineRule="auto"/>
              <w:jc w:val="center"/>
              <w:rPr>
                <w:rFonts w:ascii="Arial" w:eastAsia="Times New Roman" w:hAnsi="Arial" w:cs="Arial"/>
                <w:sz w:val="20"/>
                <w:szCs w:val="20"/>
                <w:lang w:eastAsia="pt-BR"/>
              </w:rPr>
            </w:pPr>
            <w:r w:rsidRPr="00CF1963">
              <w:rPr>
                <w:rFonts w:ascii="Arial" w:eastAsia="Times New Roman" w:hAnsi="Arial" w:cs="Arial"/>
                <w:sz w:val="20"/>
                <w:szCs w:val="20"/>
                <w:lang w:eastAsia="pt-BR"/>
              </w:rPr>
              <w:t>11</w:t>
            </w:r>
          </w:p>
        </w:tc>
        <w:tc>
          <w:tcPr>
            <w:tcW w:w="2835" w:type="dxa"/>
            <w:tcBorders>
              <w:top w:val="nil"/>
              <w:left w:val="nil"/>
              <w:bottom w:val="single" w:sz="8" w:space="0" w:color="auto"/>
              <w:right w:val="single" w:sz="8" w:space="0" w:color="auto"/>
            </w:tcBorders>
            <w:shd w:val="clear" w:color="auto" w:fill="auto"/>
            <w:vAlign w:val="center"/>
            <w:hideMark/>
          </w:tcPr>
          <w:p w14:paraId="3F4E8DEC" w14:textId="77777777" w:rsidR="00054BA2" w:rsidRPr="00CF1963" w:rsidRDefault="00054BA2" w:rsidP="008B12A6">
            <w:pPr>
              <w:spacing w:after="0" w:line="240" w:lineRule="auto"/>
              <w:jc w:val="both"/>
              <w:rPr>
                <w:rFonts w:ascii="Arial" w:eastAsia="Times New Roman" w:hAnsi="Arial" w:cs="Arial"/>
                <w:sz w:val="20"/>
                <w:szCs w:val="20"/>
                <w:lang w:eastAsia="pt-BR"/>
              </w:rPr>
            </w:pPr>
            <w:r w:rsidRPr="00CF1963">
              <w:rPr>
                <w:rFonts w:ascii="Arial" w:eastAsia="Times New Roman" w:hAnsi="Arial" w:cs="Arial"/>
                <w:sz w:val="20"/>
                <w:szCs w:val="20"/>
                <w:lang w:eastAsia="pt-BR"/>
              </w:rPr>
              <w:t>Obrigatório</w:t>
            </w:r>
          </w:p>
          <w:p w14:paraId="43A772E5" w14:textId="77777777" w:rsidR="00054BA2" w:rsidRPr="00CF1963" w:rsidRDefault="00054BA2" w:rsidP="00054BA2">
            <w:pPr>
              <w:spacing w:after="0" w:line="240" w:lineRule="auto"/>
              <w:jc w:val="both"/>
              <w:rPr>
                <w:rFonts w:ascii="Arial" w:eastAsia="Times New Roman" w:hAnsi="Arial" w:cs="Arial"/>
                <w:sz w:val="20"/>
                <w:szCs w:val="20"/>
                <w:lang w:eastAsia="pt-BR"/>
              </w:rPr>
            </w:pPr>
            <w:r w:rsidRPr="00CF1963">
              <w:rPr>
                <w:rFonts w:ascii="Arial" w:eastAsia="Times New Roman" w:hAnsi="Arial" w:cs="Arial"/>
                <w:sz w:val="20"/>
                <w:szCs w:val="20"/>
                <w:lang w:eastAsia="pt-BR"/>
              </w:rPr>
              <w:t>conforme codificação do TCEES</w:t>
            </w:r>
          </w:p>
        </w:tc>
      </w:tr>
      <w:tr w:rsidR="00CF1963" w:rsidRPr="00CF1963" w14:paraId="5A86BB63" w14:textId="77777777" w:rsidTr="008B12A6">
        <w:trPr>
          <w:trHeight w:val="315"/>
        </w:trPr>
        <w:tc>
          <w:tcPr>
            <w:tcW w:w="3984" w:type="dxa"/>
            <w:tcBorders>
              <w:top w:val="nil"/>
              <w:left w:val="single" w:sz="8" w:space="0" w:color="auto"/>
              <w:bottom w:val="single" w:sz="8" w:space="0" w:color="auto"/>
              <w:right w:val="single" w:sz="8" w:space="0" w:color="auto"/>
            </w:tcBorders>
            <w:shd w:val="clear" w:color="auto" w:fill="auto"/>
            <w:vAlign w:val="center"/>
            <w:hideMark/>
          </w:tcPr>
          <w:p w14:paraId="499C49E7" w14:textId="77777777" w:rsidR="00054BA2" w:rsidRPr="00CF1963" w:rsidRDefault="00054BA2" w:rsidP="008B12A6">
            <w:pPr>
              <w:spacing w:after="0" w:line="240" w:lineRule="auto"/>
              <w:jc w:val="both"/>
              <w:rPr>
                <w:rFonts w:ascii="Arial" w:eastAsia="Times New Roman" w:hAnsi="Arial" w:cs="Arial"/>
                <w:sz w:val="20"/>
                <w:szCs w:val="20"/>
                <w:lang w:eastAsia="pt-BR"/>
              </w:rPr>
            </w:pPr>
            <w:r w:rsidRPr="00CF1963">
              <w:rPr>
                <w:rFonts w:ascii="Arial" w:eastAsia="Times New Roman" w:hAnsi="Arial" w:cs="Arial"/>
                <w:sz w:val="20"/>
                <w:szCs w:val="20"/>
                <w:lang w:eastAsia="pt-BR"/>
              </w:rPr>
              <w:t>Código do Órgão</w:t>
            </w:r>
          </w:p>
        </w:tc>
        <w:tc>
          <w:tcPr>
            <w:tcW w:w="1276" w:type="dxa"/>
            <w:tcBorders>
              <w:top w:val="nil"/>
              <w:left w:val="nil"/>
              <w:bottom w:val="single" w:sz="8" w:space="0" w:color="auto"/>
              <w:right w:val="single" w:sz="8" w:space="0" w:color="auto"/>
            </w:tcBorders>
            <w:shd w:val="clear" w:color="auto" w:fill="auto"/>
            <w:vAlign w:val="center"/>
            <w:hideMark/>
          </w:tcPr>
          <w:p w14:paraId="0BCBFCC3" w14:textId="77777777" w:rsidR="00054BA2" w:rsidRPr="00CF1963" w:rsidRDefault="00054BA2" w:rsidP="008B12A6">
            <w:pPr>
              <w:spacing w:after="0" w:line="240" w:lineRule="auto"/>
              <w:jc w:val="center"/>
              <w:rPr>
                <w:rFonts w:ascii="Arial" w:eastAsia="Times New Roman" w:hAnsi="Arial" w:cs="Arial"/>
                <w:sz w:val="20"/>
                <w:szCs w:val="20"/>
                <w:lang w:eastAsia="pt-BR"/>
              </w:rPr>
            </w:pPr>
            <w:r w:rsidRPr="00CF1963">
              <w:rPr>
                <w:rFonts w:ascii="Arial" w:eastAsia="Times New Roman" w:hAnsi="Arial" w:cs="Arial"/>
                <w:sz w:val="20"/>
                <w:szCs w:val="20"/>
                <w:lang w:eastAsia="pt-BR"/>
              </w:rPr>
              <w:t>Caracter</w:t>
            </w:r>
          </w:p>
        </w:tc>
        <w:tc>
          <w:tcPr>
            <w:tcW w:w="1134" w:type="dxa"/>
            <w:tcBorders>
              <w:top w:val="nil"/>
              <w:left w:val="nil"/>
              <w:bottom w:val="single" w:sz="8" w:space="0" w:color="auto"/>
              <w:right w:val="single" w:sz="8" w:space="0" w:color="auto"/>
            </w:tcBorders>
            <w:shd w:val="clear" w:color="auto" w:fill="auto"/>
            <w:vAlign w:val="center"/>
            <w:hideMark/>
          </w:tcPr>
          <w:p w14:paraId="2BAC7026" w14:textId="77777777" w:rsidR="00054BA2" w:rsidRPr="00CF1963" w:rsidRDefault="00054BA2" w:rsidP="008B12A6">
            <w:pPr>
              <w:spacing w:after="0" w:line="240" w:lineRule="auto"/>
              <w:jc w:val="center"/>
              <w:rPr>
                <w:rFonts w:ascii="Arial" w:eastAsia="Times New Roman" w:hAnsi="Arial" w:cs="Arial"/>
                <w:sz w:val="20"/>
                <w:szCs w:val="20"/>
                <w:lang w:eastAsia="pt-BR"/>
              </w:rPr>
            </w:pPr>
            <w:r w:rsidRPr="00CF1963">
              <w:rPr>
                <w:rFonts w:ascii="Arial" w:eastAsia="Times New Roman" w:hAnsi="Arial" w:cs="Arial"/>
                <w:sz w:val="20"/>
                <w:szCs w:val="20"/>
                <w:lang w:eastAsia="pt-BR"/>
              </w:rPr>
              <w:t>2</w:t>
            </w:r>
          </w:p>
        </w:tc>
        <w:tc>
          <w:tcPr>
            <w:tcW w:w="2835" w:type="dxa"/>
            <w:tcBorders>
              <w:top w:val="nil"/>
              <w:left w:val="nil"/>
              <w:bottom w:val="single" w:sz="8" w:space="0" w:color="auto"/>
              <w:right w:val="single" w:sz="8" w:space="0" w:color="auto"/>
            </w:tcBorders>
            <w:shd w:val="clear" w:color="auto" w:fill="auto"/>
            <w:vAlign w:val="center"/>
            <w:hideMark/>
          </w:tcPr>
          <w:p w14:paraId="11573B33" w14:textId="77777777" w:rsidR="00054BA2" w:rsidRPr="00CF1963" w:rsidRDefault="00054BA2" w:rsidP="008B12A6">
            <w:pPr>
              <w:spacing w:after="0" w:line="240" w:lineRule="auto"/>
              <w:jc w:val="both"/>
              <w:rPr>
                <w:rFonts w:ascii="Arial" w:eastAsia="Times New Roman" w:hAnsi="Arial" w:cs="Arial"/>
                <w:sz w:val="20"/>
                <w:szCs w:val="20"/>
                <w:lang w:eastAsia="pt-BR"/>
              </w:rPr>
            </w:pPr>
            <w:r w:rsidRPr="00CF1963">
              <w:rPr>
                <w:rFonts w:ascii="Arial" w:eastAsia="Times New Roman" w:hAnsi="Arial" w:cs="Arial"/>
                <w:sz w:val="20"/>
                <w:szCs w:val="20"/>
                <w:lang w:eastAsia="pt-BR"/>
              </w:rPr>
              <w:t>Obrigatório</w:t>
            </w:r>
          </w:p>
        </w:tc>
      </w:tr>
      <w:tr w:rsidR="00CF1963" w:rsidRPr="00CF1963" w14:paraId="30973E5D" w14:textId="77777777" w:rsidTr="008B12A6">
        <w:trPr>
          <w:trHeight w:val="315"/>
        </w:trPr>
        <w:tc>
          <w:tcPr>
            <w:tcW w:w="3984" w:type="dxa"/>
            <w:tcBorders>
              <w:top w:val="nil"/>
              <w:left w:val="single" w:sz="8" w:space="0" w:color="auto"/>
              <w:bottom w:val="single" w:sz="8" w:space="0" w:color="auto"/>
              <w:right w:val="single" w:sz="8" w:space="0" w:color="auto"/>
            </w:tcBorders>
            <w:shd w:val="clear" w:color="auto" w:fill="auto"/>
            <w:vAlign w:val="center"/>
            <w:hideMark/>
          </w:tcPr>
          <w:p w14:paraId="7DCFB714" w14:textId="77777777" w:rsidR="00054BA2" w:rsidRPr="00CF1963" w:rsidRDefault="00054BA2" w:rsidP="008B12A6">
            <w:pPr>
              <w:spacing w:after="0" w:line="240" w:lineRule="auto"/>
              <w:jc w:val="both"/>
              <w:rPr>
                <w:rFonts w:ascii="Arial" w:eastAsia="Times New Roman" w:hAnsi="Arial" w:cs="Arial"/>
                <w:sz w:val="20"/>
                <w:szCs w:val="20"/>
                <w:lang w:eastAsia="pt-BR"/>
              </w:rPr>
            </w:pPr>
            <w:r w:rsidRPr="00CF1963">
              <w:rPr>
                <w:rFonts w:ascii="Arial" w:eastAsia="Times New Roman" w:hAnsi="Arial" w:cs="Arial"/>
                <w:sz w:val="20"/>
                <w:szCs w:val="20"/>
                <w:lang w:eastAsia="pt-BR"/>
              </w:rPr>
              <w:t>Código da Unidade Orçamentária</w:t>
            </w:r>
          </w:p>
        </w:tc>
        <w:tc>
          <w:tcPr>
            <w:tcW w:w="1276" w:type="dxa"/>
            <w:tcBorders>
              <w:top w:val="nil"/>
              <w:left w:val="nil"/>
              <w:bottom w:val="single" w:sz="8" w:space="0" w:color="auto"/>
              <w:right w:val="single" w:sz="8" w:space="0" w:color="auto"/>
            </w:tcBorders>
            <w:shd w:val="clear" w:color="auto" w:fill="auto"/>
            <w:vAlign w:val="center"/>
            <w:hideMark/>
          </w:tcPr>
          <w:p w14:paraId="24AF6C9C" w14:textId="77777777" w:rsidR="00054BA2" w:rsidRPr="00CF1963" w:rsidRDefault="00054BA2" w:rsidP="008B12A6">
            <w:pPr>
              <w:spacing w:after="0" w:line="240" w:lineRule="auto"/>
              <w:jc w:val="center"/>
              <w:rPr>
                <w:rFonts w:ascii="Arial" w:eastAsia="Times New Roman" w:hAnsi="Arial" w:cs="Arial"/>
                <w:sz w:val="20"/>
                <w:szCs w:val="20"/>
                <w:lang w:eastAsia="pt-BR"/>
              </w:rPr>
            </w:pPr>
            <w:r w:rsidRPr="00CF1963">
              <w:rPr>
                <w:rFonts w:ascii="Arial" w:eastAsia="Times New Roman" w:hAnsi="Arial" w:cs="Arial"/>
                <w:sz w:val="20"/>
                <w:szCs w:val="20"/>
                <w:lang w:eastAsia="pt-BR"/>
              </w:rPr>
              <w:t>Caracter</w:t>
            </w:r>
          </w:p>
        </w:tc>
        <w:tc>
          <w:tcPr>
            <w:tcW w:w="1134" w:type="dxa"/>
            <w:tcBorders>
              <w:top w:val="nil"/>
              <w:left w:val="nil"/>
              <w:bottom w:val="single" w:sz="8" w:space="0" w:color="auto"/>
              <w:right w:val="single" w:sz="8" w:space="0" w:color="auto"/>
            </w:tcBorders>
            <w:shd w:val="clear" w:color="auto" w:fill="auto"/>
            <w:vAlign w:val="center"/>
            <w:hideMark/>
          </w:tcPr>
          <w:p w14:paraId="78E65756" w14:textId="77777777" w:rsidR="00054BA2" w:rsidRPr="00CF1963" w:rsidRDefault="00054BA2" w:rsidP="008B12A6">
            <w:pPr>
              <w:spacing w:after="0" w:line="240" w:lineRule="auto"/>
              <w:jc w:val="center"/>
              <w:rPr>
                <w:rFonts w:ascii="Arial" w:eastAsia="Times New Roman" w:hAnsi="Arial" w:cs="Arial"/>
                <w:sz w:val="20"/>
                <w:szCs w:val="20"/>
                <w:lang w:eastAsia="pt-BR"/>
              </w:rPr>
            </w:pPr>
            <w:r w:rsidRPr="00CF1963">
              <w:rPr>
                <w:rFonts w:ascii="Arial" w:eastAsia="Times New Roman" w:hAnsi="Arial" w:cs="Arial"/>
                <w:sz w:val="20"/>
                <w:szCs w:val="20"/>
                <w:lang w:eastAsia="pt-BR"/>
              </w:rPr>
              <w:t>5</w:t>
            </w:r>
          </w:p>
        </w:tc>
        <w:tc>
          <w:tcPr>
            <w:tcW w:w="2835" w:type="dxa"/>
            <w:tcBorders>
              <w:top w:val="nil"/>
              <w:left w:val="nil"/>
              <w:bottom w:val="single" w:sz="8" w:space="0" w:color="auto"/>
              <w:right w:val="single" w:sz="8" w:space="0" w:color="auto"/>
            </w:tcBorders>
            <w:shd w:val="clear" w:color="auto" w:fill="auto"/>
            <w:vAlign w:val="center"/>
            <w:hideMark/>
          </w:tcPr>
          <w:p w14:paraId="37B18710" w14:textId="77777777" w:rsidR="00054BA2" w:rsidRPr="00CF1963" w:rsidRDefault="00054BA2" w:rsidP="008B12A6">
            <w:pPr>
              <w:spacing w:after="0" w:line="240" w:lineRule="auto"/>
              <w:jc w:val="both"/>
              <w:rPr>
                <w:rFonts w:ascii="Arial" w:eastAsia="Times New Roman" w:hAnsi="Arial" w:cs="Arial"/>
                <w:sz w:val="20"/>
                <w:szCs w:val="20"/>
                <w:lang w:eastAsia="pt-BR"/>
              </w:rPr>
            </w:pPr>
            <w:r w:rsidRPr="00CF1963">
              <w:rPr>
                <w:rFonts w:ascii="Arial" w:eastAsia="Times New Roman" w:hAnsi="Arial" w:cs="Arial"/>
                <w:sz w:val="20"/>
                <w:szCs w:val="20"/>
                <w:lang w:eastAsia="pt-BR"/>
              </w:rPr>
              <w:t>Obrigatório</w:t>
            </w:r>
          </w:p>
        </w:tc>
      </w:tr>
      <w:tr w:rsidR="00CF1963" w:rsidRPr="00CF1963" w14:paraId="373DD8F4" w14:textId="77777777" w:rsidTr="008B12A6">
        <w:trPr>
          <w:trHeight w:val="315"/>
        </w:trPr>
        <w:tc>
          <w:tcPr>
            <w:tcW w:w="3984" w:type="dxa"/>
            <w:tcBorders>
              <w:top w:val="nil"/>
              <w:left w:val="single" w:sz="8" w:space="0" w:color="auto"/>
              <w:bottom w:val="single" w:sz="8" w:space="0" w:color="auto"/>
              <w:right w:val="single" w:sz="8" w:space="0" w:color="auto"/>
            </w:tcBorders>
            <w:shd w:val="clear" w:color="auto" w:fill="auto"/>
            <w:vAlign w:val="center"/>
            <w:hideMark/>
          </w:tcPr>
          <w:p w14:paraId="35404F8D" w14:textId="77777777" w:rsidR="00054BA2" w:rsidRPr="00CF1963" w:rsidRDefault="00054BA2" w:rsidP="008B12A6">
            <w:pPr>
              <w:spacing w:after="0" w:line="240" w:lineRule="auto"/>
              <w:jc w:val="both"/>
              <w:rPr>
                <w:rFonts w:ascii="Arial" w:eastAsia="Times New Roman" w:hAnsi="Arial" w:cs="Arial"/>
                <w:sz w:val="20"/>
                <w:szCs w:val="20"/>
                <w:lang w:eastAsia="pt-BR"/>
              </w:rPr>
            </w:pPr>
            <w:r w:rsidRPr="00CF1963">
              <w:rPr>
                <w:rFonts w:ascii="Arial" w:eastAsia="Times New Roman" w:hAnsi="Arial" w:cs="Arial"/>
                <w:sz w:val="20"/>
                <w:szCs w:val="20"/>
                <w:lang w:eastAsia="pt-BR"/>
              </w:rPr>
              <w:t>Código da Função</w:t>
            </w:r>
          </w:p>
        </w:tc>
        <w:tc>
          <w:tcPr>
            <w:tcW w:w="1276" w:type="dxa"/>
            <w:tcBorders>
              <w:top w:val="nil"/>
              <w:left w:val="nil"/>
              <w:bottom w:val="single" w:sz="8" w:space="0" w:color="auto"/>
              <w:right w:val="single" w:sz="8" w:space="0" w:color="auto"/>
            </w:tcBorders>
            <w:shd w:val="clear" w:color="auto" w:fill="auto"/>
            <w:vAlign w:val="center"/>
            <w:hideMark/>
          </w:tcPr>
          <w:p w14:paraId="7F389EEC" w14:textId="77777777" w:rsidR="00054BA2" w:rsidRPr="00CF1963" w:rsidRDefault="00054BA2" w:rsidP="008B12A6">
            <w:pPr>
              <w:spacing w:after="0" w:line="240" w:lineRule="auto"/>
              <w:jc w:val="center"/>
              <w:rPr>
                <w:rFonts w:ascii="Arial" w:eastAsia="Times New Roman" w:hAnsi="Arial" w:cs="Arial"/>
                <w:sz w:val="20"/>
                <w:szCs w:val="20"/>
                <w:lang w:eastAsia="pt-BR"/>
              </w:rPr>
            </w:pPr>
            <w:r w:rsidRPr="00CF1963">
              <w:rPr>
                <w:rFonts w:ascii="Arial" w:eastAsia="Times New Roman" w:hAnsi="Arial" w:cs="Arial"/>
                <w:sz w:val="20"/>
                <w:szCs w:val="20"/>
                <w:lang w:eastAsia="pt-BR"/>
              </w:rPr>
              <w:t>Caracter</w:t>
            </w:r>
          </w:p>
        </w:tc>
        <w:tc>
          <w:tcPr>
            <w:tcW w:w="1134" w:type="dxa"/>
            <w:tcBorders>
              <w:top w:val="nil"/>
              <w:left w:val="nil"/>
              <w:bottom w:val="single" w:sz="8" w:space="0" w:color="auto"/>
              <w:right w:val="single" w:sz="8" w:space="0" w:color="auto"/>
            </w:tcBorders>
            <w:shd w:val="clear" w:color="auto" w:fill="auto"/>
            <w:vAlign w:val="center"/>
            <w:hideMark/>
          </w:tcPr>
          <w:p w14:paraId="3A35C79C" w14:textId="77777777" w:rsidR="00054BA2" w:rsidRPr="00CF1963" w:rsidRDefault="00054BA2" w:rsidP="008B12A6">
            <w:pPr>
              <w:spacing w:after="0" w:line="240" w:lineRule="auto"/>
              <w:jc w:val="center"/>
              <w:rPr>
                <w:rFonts w:ascii="Arial" w:eastAsia="Times New Roman" w:hAnsi="Arial" w:cs="Arial"/>
                <w:sz w:val="20"/>
                <w:szCs w:val="20"/>
                <w:lang w:eastAsia="pt-BR"/>
              </w:rPr>
            </w:pPr>
            <w:r w:rsidRPr="00CF1963">
              <w:rPr>
                <w:rFonts w:ascii="Arial" w:eastAsia="Times New Roman" w:hAnsi="Arial" w:cs="Arial"/>
                <w:sz w:val="20"/>
                <w:szCs w:val="20"/>
                <w:lang w:eastAsia="pt-BR"/>
              </w:rPr>
              <w:t>2</w:t>
            </w:r>
          </w:p>
        </w:tc>
        <w:tc>
          <w:tcPr>
            <w:tcW w:w="2835" w:type="dxa"/>
            <w:tcBorders>
              <w:top w:val="nil"/>
              <w:left w:val="nil"/>
              <w:bottom w:val="single" w:sz="8" w:space="0" w:color="auto"/>
              <w:right w:val="single" w:sz="8" w:space="0" w:color="auto"/>
            </w:tcBorders>
            <w:shd w:val="clear" w:color="auto" w:fill="auto"/>
            <w:vAlign w:val="center"/>
            <w:hideMark/>
          </w:tcPr>
          <w:p w14:paraId="3C377986" w14:textId="77777777" w:rsidR="00054BA2" w:rsidRPr="00CF1963" w:rsidRDefault="00054BA2" w:rsidP="008B12A6">
            <w:pPr>
              <w:spacing w:after="0" w:line="240" w:lineRule="auto"/>
              <w:rPr>
                <w:rFonts w:ascii="Arial" w:eastAsia="Times New Roman" w:hAnsi="Arial" w:cs="Arial"/>
                <w:sz w:val="20"/>
                <w:szCs w:val="20"/>
                <w:lang w:eastAsia="pt-BR"/>
              </w:rPr>
            </w:pPr>
            <w:r w:rsidRPr="00CF1963">
              <w:rPr>
                <w:rFonts w:ascii="Arial" w:eastAsia="Times New Roman" w:hAnsi="Arial" w:cs="Arial"/>
                <w:sz w:val="20"/>
                <w:szCs w:val="20"/>
                <w:lang w:eastAsia="pt-BR"/>
              </w:rPr>
              <w:t>Obrigatório tabela auxiliar 7.1</w:t>
            </w:r>
          </w:p>
        </w:tc>
      </w:tr>
      <w:tr w:rsidR="00CF1963" w:rsidRPr="00CF1963" w14:paraId="7DD08053" w14:textId="77777777" w:rsidTr="008B12A6">
        <w:trPr>
          <w:trHeight w:val="315"/>
        </w:trPr>
        <w:tc>
          <w:tcPr>
            <w:tcW w:w="3984" w:type="dxa"/>
            <w:tcBorders>
              <w:top w:val="nil"/>
              <w:left w:val="single" w:sz="8" w:space="0" w:color="auto"/>
              <w:bottom w:val="single" w:sz="8" w:space="0" w:color="auto"/>
              <w:right w:val="single" w:sz="8" w:space="0" w:color="auto"/>
            </w:tcBorders>
            <w:shd w:val="clear" w:color="auto" w:fill="auto"/>
            <w:vAlign w:val="center"/>
            <w:hideMark/>
          </w:tcPr>
          <w:p w14:paraId="5AB8E939" w14:textId="77777777" w:rsidR="00054BA2" w:rsidRPr="00CF1963" w:rsidRDefault="00054BA2" w:rsidP="008B12A6">
            <w:pPr>
              <w:spacing w:after="0" w:line="240" w:lineRule="auto"/>
              <w:jc w:val="both"/>
              <w:rPr>
                <w:rFonts w:ascii="Arial" w:eastAsia="Times New Roman" w:hAnsi="Arial" w:cs="Arial"/>
                <w:sz w:val="20"/>
                <w:szCs w:val="20"/>
                <w:lang w:eastAsia="pt-BR"/>
              </w:rPr>
            </w:pPr>
            <w:r w:rsidRPr="00CF1963">
              <w:rPr>
                <w:rFonts w:ascii="Arial" w:eastAsia="Times New Roman" w:hAnsi="Arial" w:cs="Arial"/>
                <w:sz w:val="20"/>
                <w:szCs w:val="20"/>
                <w:lang w:eastAsia="pt-BR"/>
              </w:rPr>
              <w:t>Código da Subfunção</w:t>
            </w:r>
          </w:p>
        </w:tc>
        <w:tc>
          <w:tcPr>
            <w:tcW w:w="1276" w:type="dxa"/>
            <w:tcBorders>
              <w:top w:val="nil"/>
              <w:left w:val="nil"/>
              <w:bottom w:val="single" w:sz="8" w:space="0" w:color="auto"/>
              <w:right w:val="single" w:sz="8" w:space="0" w:color="auto"/>
            </w:tcBorders>
            <w:shd w:val="clear" w:color="auto" w:fill="auto"/>
            <w:vAlign w:val="center"/>
            <w:hideMark/>
          </w:tcPr>
          <w:p w14:paraId="02D80EB8" w14:textId="77777777" w:rsidR="00054BA2" w:rsidRPr="00CF1963" w:rsidRDefault="00054BA2" w:rsidP="008B12A6">
            <w:pPr>
              <w:spacing w:after="0" w:line="240" w:lineRule="auto"/>
              <w:jc w:val="center"/>
              <w:rPr>
                <w:rFonts w:ascii="Arial" w:eastAsia="Times New Roman" w:hAnsi="Arial" w:cs="Arial"/>
                <w:sz w:val="20"/>
                <w:szCs w:val="20"/>
                <w:lang w:eastAsia="pt-BR"/>
              </w:rPr>
            </w:pPr>
            <w:r w:rsidRPr="00CF1963">
              <w:rPr>
                <w:rFonts w:ascii="Arial" w:eastAsia="Times New Roman" w:hAnsi="Arial" w:cs="Arial"/>
                <w:sz w:val="20"/>
                <w:szCs w:val="20"/>
                <w:lang w:eastAsia="pt-BR"/>
              </w:rPr>
              <w:t>Caracter</w:t>
            </w:r>
          </w:p>
        </w:tc>
        <w:tc>
          <w:tcPr>
            <w:tcW w:w="1134" w:type="dxa"/>
            <w:tcBorders>
              <w:top w:val="nil"/>
              <w:left w:val="nil"/>
              <w:bottom w:val="single" w:sz="8" w:space="0" w:color="auto"/>
              <w:right w:val="single" w:sz="8" w:space="0" w:color="auto"/>
            </w:tcBorders>
            <w:shd w:val="clear" w:color="auto" w:fill="auto"/>
            <w:vAlign w:val="center"/>
            <w:hideMark/>
          </w:tcPr>
          <w:p w14:paraId="35B9689C" w14:textId="77777777" w:rsidR="00054BA2" w:rsidRPr="00CF1963" w:rsidRDefault="00054BA2" w:rsidP="008B12A6">
            <w:pPr>
              <w:spacing w:after="0" w:line="240" w:lineRule="auto"/>
              <w:jc w:val="center"/>
              <w:rPr>
                <w:rFonts w:ascii="Arial" w:eastAsia="Times New Roman" w:hAnsi="Arial" w:cs="Arial"/>
                <w:sz w:val="20"/>
                <w:szCs w:val="20"/>
                <w:lang w:eastAsia="pt-BR"/>
              </w:rPr>
            </w:pPr>
            <w:r w:rsidRPr="00CF1963">
              <w:rPr>
                <w:rFonts w:ascii="Arial" w:eastAsia="Times New Roman" w:hAnsi="Arial" w:cs="Arial"/>
                <w:sz w:val="20"/>
                <w:szCs w:val="20"/>
                <w:lang w:eastAsia="pt-BR"/>
              </w:rPr>
              <w:t>3</w:t>
            </w:r>
          </w:p>
        </w:tc>
        <w:tc>
          <w:tcPr>
            <w:tcW w:w="2835" w:type="dxa"/>
            <w:tcBorders>
              <w:top w:val="nil"/>
              <w:left w:val="nil"/>
              <w:bottom w:val="single" w:sz="8" w:space="0" w:color="auto"/>
              <w:right w:val="single" w:sz="8" w:space="0" w:color="auto"/>
            </w:tcBorders>
            <w:shd w:val="clear" w:color="auto" w:fill="auto"/>
            <w:vAlign w:val="center"/>
            <w:hideMark/>
          </w:tcPr>
          <w:p w14:paraId="24EEF241" w14:textId="77777777" w:rsidR="00054BA2" w:rsidRPr="00CF1963" w:rsidRDefault="00054BA2" w:rsidP="008B12A6">
            <w:pPr>
              <w:spacing w:after="0" w:line="240" w:lineRule="auto"/>
              <w:rPr>
                <w:rFonts w:ascii="Arial" w:eastAsia="Times New Roman" w:hAnsi="Arial" w:cs="Arial"/>
                <w:sz w:val="20"/>
                <w:szCs w:val="20"/>
                <w:lang w:eastAsia="pt-BR"/>
              </w:rPr>
            </w:pPr>
            <w:r w:rsidRPr="00CF1963">
              <w:rPr>
                <w:rFonts w:ascii="Arial" w:eastAsia="Times New Roman" w:hAnsi="Arial" w:cs="Arial"/>
                <w:sz w:val="20"/>
                <w:szCs w:val="20"/>
                <w:lang w:eastAsia="pt-BR"/>
              </w:rPr>
              <w:t>Obrigatório tabela auxiliar 7.2</w:t>
            </w:r>
          </w:p>
        </w:tc>
      </w:tr>
      <w:tr w:rsidR="00CF1963" w:rsidRPr="00CF1963" w14:paraId="2CA121BF" w14:textId="77777777" w:rsidTr="008B12A6">
        <w:trPr>
          <w:trHeight w:val="315"/>
        </w:trPr>
        <w:tc>
          <w:tcPr>
            <w:tcW w:w="3984" w:type="dxa"/>
            <w:tcBorders>
              <w:top w:val="nil"/>
              <w:left w:val="single" w:sz="8" w:space="0" w:color="auto"/>
              <w:bottom w:val="single" w:sz="8" w:space="0" w:color="auto"/>
              <w:right w:val="single" w:sz="8" w:space="0" w:color="auto"/>
            </w:tcBorders>
            <w:shd w:val="clear" w:color="auto" w:fill="auto"/>
            <w:vAlign w:val="center"/>
            <w:hideMark/>
          </w:tcPr>
          <w:p w14:paraId="42D7F2C1" w14:textId="77777777" w:rsidR="00054BA2" w:rsidRPr="00CF1963" w:rsidRDefault="00054BA2" w:rsidP="008B12A6">
            <w:pPr>
              <w:spacing w:after="0" w:line="240" w:lineRule="auto"/>
              <w:jc w:val="both"/>
              <w:rPr>
                <w:rFonts w:ascii="Arial" w:eastAsia="Times New Roman" w:hAnsi="Arial" w:cs="Arial"/>
                <w:sz w:val="20"/>
                <w:szCs w:val="20"/>
                <w:lang w:eastAsia="pt-BR"/>
              </w:rPr>
            </w:pPr>
            <w:r w:rsidRPr="00CF1963">
              <w:rPr>
                <w:rFonts w:ascii="Arial" w:eastAsia="Times New Roman" w:hAnsi="Arial" w:cs="Arial"/>
                <w:sz w:val="20"/>
                <w:szCs w:val="20"/>
                <w:lang w:eastAsia="pt-BR"/>
              </w:rPr>
              <w:t xml:space="preserve">Código do Programa </w:t>
            </w:r>
          </w:p>
        </w:tc>
        <w:tc>
          <w:tcPr>
            <w:tcW w:w="1276" w:type="dxa"/>
            <w:tcBorders>
              <w:top w:val="nil"/>
              <w:left w:val="nil"/>
              <w:bottom w:val="single" w:sz="8" w:space="0" w:color="auto"/>
              <w:right w:val="single" w:sz="8" w:space="0" w:color="auto"/>
            </w:tcBorders>
            <w:shd w:val="clear" w:color="auto" w:fill="auto"/>
            <w:vAlign w:val="center"/>
            <w:hideMark/>
          </w:tcPr>
          <w:p w14:paraId="7188A0AA" w14:textId="77777777" w:rsidR="00054BA2" w:rsidRPr="00CF1963" w:rsidRDefault="00054BA2" w:rsidP="008B12A6">
            <w:pPr>
              <w:spacing w:after="0" w:line="240" w:lineRule="auto"/>
              <w:jc w:val="center"/>
              <w:rPr>
                <w:rFonts w:ascii="Arial" w:eastAsia="Times New Roman" w:hAnsi="Arial" w:cs="Arial"/>
                <w:sz w:val="20"/>
                <w:szCs w:val="20"/>
                <w:lang w:eastAsia="pt-BR"/>
              </w:rPr>
            </w:pPr>
            <w:r w:rsidRPr="00CF1963">
              <w:rPr>
                <w:rFonts w:ascii="Arial" w:eastAsia="Times New Roman" w:hAnsi="Arial" w:cs="Arial"/>
                <w:sz w:val="20"/>
                <w:szCs w:val="20"/>
                <w:lang w:eastAsia="pt-BR"/>
              </w:rPr>
              <w:t>Caracter</w:t>
            </w:r>
          </w:p>
        </w:tc>
        <w:tc>
          <w:tcPr>
            <w:tcW w:w="1134" w:type="dxa"/>
            <w:tcBorders>
              <w:top w:val="nil"/>
              <w:left w:val="nil"/>
              <w:bottom w:val="single" w:sz="8" w:space="0" w:color="auto"/>
              <w:right w:val="single" w:sz="8" w:space="0" w:color="auto"/>
            </w:tcBorders>
            <w:shd w:val="clear" w:color="auto" w:fill="auto"/>
            <w:vAlign w:val="center"/>
            <w:hideMark/>
          </w:tcPr>
          <w:p w14:paraId="21888FB2" w14:textId="77777777" w:rsidR="00054BA2" w:rsidRPr="00CF1963" w:rsidRDefault="00054BA2" w:rsidP="008B12A6">
            <w:pPr>
              <w:spacing w:after="0" w:line="240" w:lineRule="auto"/>
              <w:jc w:val="center"/>
              <w:rPr>
                <w:rFonts w:ascii="Arial" w:eastAsia="Times New Roman" w:hAnsi="Arial" w:cs="Arial"/>
                <w:sz w:val="20"/>
                <w:szCs w:val="20"/>
                <w:lang w:eastAsia="pt-BR"/>
              </w:rPr>
            </w:pPr>
            <w:r w:rsidRPr="00CF1963">
              <w:rPr>
                <w:rFonts w:ascii="Arial" w:eastAsia="Times New Roman" w:hAnsi="Arial" w:cs="Arial"/>
                <w:sz w:val="20"/>
                <w:szCs w:val="20"/>
                <w:lang w:eastAsia="pt-BR"/>
              </w:rPr>
              <w:t>4</w:t>
            </w:r>
          </w:p>
        </w:tc>
        <w:tc>
          <w:tcPr>
            <w:tcW w:w="2835" w:type="dxa"/>
            <w:tcBorders>
              <w:top w:val="nil"/>
              <w:left w:val="nil"/>
              <w:bottom w:val="single" w:sz="8" w:space="0" w:color="auto"/>
              <w:right w:val="single" w:sz="8" w:space="0" w:color="auto"/>
            </w:tcBorders>
            <w:shd w:val="clear" w:color="auto" w:fill="auto"/>
            <w:vAlign w:val="center"/>
            <w:hideMark/>
          </w:tcPr>
          <w:p w14:paraId="0EFD75E9" w14:textId="77777777" w:rsidR="00054BA2" w:rsidRPr="00CF1963" w:rsidRDefault="00054BA2" w:rsidP="008B12A6">
            <w:pPr>
              <w:spacing w:after="0" w:line="240" w:lineRule="auto"/>
              <w:jc w:val="both"/>
              <w:rPr>
                <w:rFonts w:ascii="Arial" w:eastAsia="Times New Roman" w:hAnsi="Arial" w:cs="Arial"/>
                <w:sz w:val="20"/>
                <w:szCs w:val="20"/>
                <w:lang w:eastAsia="pt-BR"/>
              </w:rPr>
            </w:pPr>
            <w:r w:rsidRPr="00CF1963">
              <w:rPr>
                <w:rFonts w:ascii="Arial" w:eastAsia="Times New Roman" w:hAnsi="Arial" w:cs="Arial"/>
                <w:sz w:val="20"/>
                <w:szCs w:val="20"/>
                <w:lang w:eastAsia="pt-BR"/>
              </w:rPr>
              <w:t>Obrigatório</w:t>
            </w:r>
          </w:p>
        </w:tc>
      </w:tr>
      <w:tr w:rsidR="00CF1963" w:rsidRPr="00CF1963" w14:paraId="6D6DAE6D" w14:textId="77777777" w:rsidTr="008B12A6">
        <w:trPr>
          <w:trHeight w:val="315"/>
        </w:trPr>
        <w:tc>
          <w:tcPr>
            <w:tcW w:w="3984" w:type="dxa"/>
            <w:tcBorders>
              <w:top w:val="nil"/>
              <w:left w:val="single" w:sz="8" w:space="0" w:color="auto"/>
              <w:bottom w:val="single" w:sz="8" w:space="0" w:color="auto"/>
              <w:right w:val="single" w:sz="8" w:space="0" w:color="auto"/>
            </w:tcBorders>
            <w:shd w:val="clear" w:color="auto" w:fill="auto"/>
            <w:vAlign w:val="center"/>
            <w:hideMark/>
          </w:tcPr>
          <w:p w14:paraId="3C985568" w14:textId="77777777" w:rsidR="00054BA2" w:rsidRPr="00CF1963" w:rsidRDefault="00054BA2" w:rsidP="008B12A6">
            <w:pPr>
              <w:spacing w:after="0" w:line="240" w:lineRule="auto"/>
              <w:jc w:val="both"/>
              <w:rPr>
                <w:rFonts w:ascii="Arial" w:eastAsia="Times New Roman" w:hAnsi="Arial" w:cs="Arial"/>
                <w:sz w:val="20"/>
                <w:szCs w:val="20"/>
                <w:lang w:eastAsia="pt-BR"/>
              </w:rPr>
            </w:pPr>
            <w:r w:rsidRPr="00CF1963">
              <w:rPr>
                <w:rFonts w:ascii="Arial" w:eastAsia="Times New Roman" w:hAnsi="Arial" w:cs="Arial"/>
                <w:sz w:val="20"/>
                <w:szCs w:val="20"/>
                <w:lang w:eastAsia="pt-BR"/>
              </w:rPr>
              <w:t>Código da Ação</w:t>
            </w:r>
          </w:p>
        </w:tc>
        <w:tc>
          <w:tcPr>
            <w:tcW w:w="1276" w:type="dxa"/>
            <w:tcBorders>
              <w:top w:val="nil"/>
              <w:left w:val="nil"/>
              <w:bottom w:val="single" w:sz="8" w:space="0" w:color="auto"/>
              <w:right w:val="single" w:sz="8" w:space="0" w:color="auto"/>
            </w:tcBorders>
            <w:shd w:val="clear" w:color="auto" w:fill="auto"/>
            <w:vAlign w:val="center"/>
            <w:hideMark/>
          </w:tcPr>
          <w:p w14:paraId="3B115963" w14:textId="77777777" w:rsidR="00054BA2" w:rsidRPr="00CF1963" w:rsidRDefault="00054BA2" w:rsidP="008B12A6">
            <w:pPr>
              <w:spacing w:after="0" w:line="240" w:lineRule="auto"/>
              <w:jc w:val="center"/>
              <w:rPr>
                <w:rFonts w:ascii="Arial" w:eastAsia="Times New Roman" w:hAnsi="Arial" w:cs="Arial"/>
                <w:sz w:val="20"/>
                <w:szCs w:val="20"/>
                <w:lang w:eastAsia="pt-BR"/>
              </w:rPr>
            </w:pPr>
            <w:r w:rsidRPr="00CF1963">
              <w:rPr>
                <w:rFonts w:ascii="Arial" w:eastAsia="Times New Roman" w:hAnsi="Arial" w:cs="Arial"/>
                <w:sz w:val="20"/>
                <w:szCs w:val="20"/>
                <w:lang w:eastAsia="pt-BR"/>
              </w:rPr>
              <w:t>Caracter</w:t>
            </w:r>
          </w:p>
        </w:tc>
        <w:tc>
          <w:tcPr>
            <w:tcW w:w="1134" w:type="dxa"/>
            <w:tcBorders>
              <w:top w:val="nil"/>
              <w:left w:val="nil"/>
              <w:bottom w:val="single" w:sz="8" w:space="0" w:color="auto"/>
              <w:right w:val="single" w:sz="8" w:space="0" w:color="auto"/>
            </w:tcBorders>
            <w:shd w:val="clear" w:color="auto" w:fill="auto"/>
            <w:vAlign w:val="center"/>
            <w:hideMark/>
          </w:tcPr>
          <w:p w14:paraId="239F064E" w14:textId="77777777" w:rsidR="00054BA2" w:rsidRPr="00CF1963" w:rsidRDefault="00054BA2" w:rsidP="008B12A6">
            <w:pPr>
              <w:spacing w:after="0" w:line="240" w:lineRule="auto"/>
              <w:jc w:val="center"/>
              <w:rPr>
                <w:rFonts w:ascii="Arial" w:eastAsia="Times New Roman" w:hAnsi="Arial" w:cs="Arial"/>
                <w:sz w:val="20"/>
                <w:szCs w:val="20"/>
                <w:lang w:eastAsia="pt-BR"/>
              </w:rPr>
            </w:pPr>
            <w:r w:rsidRPr="00CF1963">
              <w:rPr>
                <w:rFonts w:ascii="Arial" w:eastAsia="Times New Roman" w:hAnsi="Arial" w:cs="Arial"/>
                <w:sz w:val="20"/>
                <w:szCs w:val="20"/>
                <w:lang w:eastAsia="pt-BR"/>
              </w:rPr>
              <w:t>4</w:t>
            </w:r>
          </w:p>
        </w:tc>
        <w:tc>
          <w:tcPr>
            <w:tcW w:w="2835" w:type="dxa"/>
            <w:tcBorders>
              <w:top w:val="nil"/>
              <w:left w:val="nil"/>
              <w:bottom w:val="single" w:sz="8" w:space="0" w:color="auto"/>
              <w:right w:val="single" w:sz="8" w:space="0" w:color="auto"/>
            </w:tcBorders>
            <w:shd w:val="clear" w:color="auto" w:fill="auto"/>
            <w:vAlign w:val="center"/>
            <w:hideMark/>
          </w:tcPr>
          <w:p w14:paraId="26C1A1EC" w14:textId="77777777" w:rsidR="00054BA2" w:rsidRPr="00CF1963" w:rsidRDefault="00054BA2" w:rsidP="008B12A6">
            <w:pPr>
              <w:spacing w:after="0" w:line="240" w:lineRule="auto"/>
              <w:rPr>
                <w:rFonts w:ascii="Arial" w:eastAsia="Times New Roman" w:hAnsi="Arial" w:cs="Arial"/>
                <w:sz w:val="20"/>
                <w:szCs w:val="20"/>
                <w:lang w:eastAsia="pt-BR"/>
              </w:rPr>
            </w:pPr>
            <w:r w:rsidRPr="00CF1963">
              <w:rPr>
                <w:rFonts w:ascii="Arial" w:eastAsia="Times New Roman" w:hAnsi="Arial" w:cs="Arial"/>
                <w:sz w:val="20"/>
                <w:szCs w:val="20"/>
                <w:lang w:eastAsia="pt-BR"/>
              </w:rPr>
              <w:t>Obrigatório</w:t>
            </w:r>
          </w:p>
        </w:tc>
      </w:tr>
      <w:tr w:rsidR="00CF1963" w:rsidRPr="00CF1963" w14:paraId="1AB0A6C5" w14:textId="77777777" w:rsidTr="008B12A6">
        <w:trPr>
          <w:trHeight w:val="315"/>
        </w:trPr>
        <w:tc>
          <w:tcPr>
            <w:tcW w:w="3984" w:type="dxa"/>
            <w:tcBorders>
              <w:top w:val="nil"/>
              <w:left w:val="single" w:sz="8" w:space="0" w:color="auto"/>
              <w:bottom w:val="single" w:sz="8" w:space="0" w:color="auto"/>
              <w:right w:val="single" w:sz="8" w:space="0" w:color="auto"/>
            </w:tcBorders>
            <w:shd w:val="clear" w:color="auto" w:fill="auto"/>
            <w:vAlign w:val="center"/>
            <w:hideMark/>
          </w:tcPr>
          <w:p w14:paraId="23C987AE" w14:textId="77777777" w:rsidR="00054BA2" w:rsidRPr="00CF1963" w:rsidRDefault="00054BA2" w:rsidP="008B12A6">
            <w:pPr>
              <w:spacing w:after="0" w:line="240" w:lineRule="auto"/>
              <w:jc w:val="both"/>
              <w:rPr>
                <w:rFonts w:ascii="Arial" w:eastAsia="Times New Roman" w:hAnsi="Arial" w:cs="Arial"/>
                <w:sz w:val="20"/>
                <w:szCs w:val="20"/>
                <w:lang w:eastAsia="pt-BR"/>
              </w:rPr>
            </w:pPr>
            <w:r w:rsidRPr="00CF1963">
              <w:rPr>
                <w:rFonts w:ascii="Arial" w:eastAsia="Times New Roman" w:hAnsi="Arial" w:cs="Arial"/>
                <w:sz w:val="20"/>
                <w:szCs w:val="20"/>
                <w:lang w:eastAsia="pt-BR"/>
              </w:rPr>
              <w:t>Categoria Econômica da Despesa</w:t>
            </w:r>
          </w:p>
        </w:tc>
        <w:tc>
          <w:tcPr>
            <w:tcW w:w="1276" w:type="dxa"/>
            <w:tcBorders>
              <w:top w:val="nil"/>
              <w:left w:val="nil"/>
              <w:bottom w:val="single" w:sz="8" w:space="0" w:color="auto"/>
              <w:right w:val="single" w:sz="8" w:space="0" w:color="auto"/>
            </w:tcBorders>
            <w:shd w:val="clear" w:color="auto" w:fill="auto"/>
            <w:vAlign w:val="center"/>
            <w:hideMark/>
          </w:tcPr>
          <w:p w14:paraId="0566F043" w14:textId="77777777" w:rsidR="00054BA2" w:rsidRPr="00CF1963" w:rsidRDefault="00054BA2" w:rsidP="008B12A6">
            <w:pPr>
              <w:spacing w:after="0" w:line="240" w:lineRule="auto"/>
              <w:jc w:val="center"/>
              <w:rPr>
                <w:rFonts w:ascii="Arial" w:eastAsia="Times New Roman" w:hAnsi="Arial" w:cs="Arial"/>
                <w:sz w:val="20"/>
                <w:szCs w:val="20"/>
                <w:lang w:eastAsia="pt-BR"/>
              </w:rPr>
            </w:pPr>
            <w:r w:rsidRPr="00CF1963">
              <w:rPr>
                <w:rFonts w:ascii="Arial" w:eastAsia="Times New Roman" w:hAnsi="Arial" w:cs="Arial"/>
                <w:sz w:val="20"/>
                <w:szCs w:val="20"/>
                <w:lang w:eastAsia="pt-BR"/>
              </w:rPr>
              <w:t>Caracter</w:t>
            </w:r>
          </w:p>
        </w:tc>
        <w:tc>
          <w:tcPr>
            <w:tcW w:w="1134" w:type="dxa"/>
            <w:tcBorders>
              <w:top w:val="nil"/>
              <w:left w:val="nil"/>
              <w:bottom w:val="single" w:sz="8" w:space="0" w:color="auto"/>
              <w:right w:val="single" w:sz="8" w:space="0" w:color="auto"/>
            </w:tcBorders>
            <w:shd w:val="clear" w:color="auto" w:fill="auto"/>
            <w:vAlign w:val="center"/>
            <w:hideMark/>
          </w:tcPr>
          <w:p w14:paraId="591BE9D8" w14:textId="77777777" w:rsidR="00054BA2" w:rsidRPr="00CF1963" w:rsidRDefault="00054BA2" w:rsidP="008B12A6">
            <w:pPr>
              <w:spacing w:after="0" w:line="240" w:lineRule="auto"/>
              <w:jc w:val="center"/>
              <w:rPr>
                <w:rFonts w:ascii="Arial" w:eastAsia="Times New Roman" w:hAnsi="Arial" w:cs="Arial"/>
                <w:sz w:val="20"/>
                <w:szCs w:val="20"/>
                <w:lang w:eastAsia="pt-BR"/>
              </w:rPr>
            </w:pPr>
            <w:r w:rsidRPr="00CF1963">
              <w:rPr>
                <w:rFonts w:ascii="Arial" w:eastAsia="Times New Roman" w:hAnsi="Arial" w:cs="Arial"/>
                <w:sz w:val="20"/>
                <w:szCs w:val="20"/>
                <w:lang w:eastAsia="pt-BR"/>
              </w:rPr>
              <w:t>1</w:t>
            </w:r>
          </w:p>
        </w:tc>
        <w:tc>
          <w:tcPr>
            <w:tcW w:w="2835" w:type="dxa"/>
            <w:tcBorders>
              <w:top w:val="nil"/>
              <w:left w:val="nil"/>
              <w:bottom w:val="single" w:sz="8" w:space="0" w:color="auto"/>
              <w:right w:val="single" w:sz="8" w:space="0" w:color="auto"/>
            </w:tcBorders>
            <w:shd w:val="clear" w:color="auto" w:fill="auto"/>
            <w:vAlign w:val="center"/>
            <w:hideMark/>
          </w:tcPr>
          <w:p w14:paraId="1EE6E374" w14:textId="77777777" w:rsidR="00054BA2" w:rsidRPr="00CF1963" w:rsidRDefault="00054BA2" w:rsidP="00054BA2">
            <w:pPr>
              <w:spacing w:after="0" w:line="240" w:lineRule="auto"/>
              <w:rPr>
                <w:rFonts w:ascii="Arial" w:eastAsia="Times New Roman" w:hAnsi="Arial" w:cs="Arial"/>
                <w:sz w:val="20"/>
                <w:szCs w:val="20"/>
                <w:lang w:eastAsia="pt-BR"/>
              </w:rPr>
            </w:pPr>
            <w:r w:rsidRPr="00CF1963">
              <w:rPr>
                <w:rFonts w:ascii="Arial" w:eastAsia="Times New Roman" w:hAnsi="Arial" w:cs="Arial"/>
                <w:sz w:val="20"/>
                <w:szCs w:val="20"/>
                <w:lang w:eastAsia="pt-BR"/>
              </w:rPr>
              <w:t>Obrigatório</w:t>
            </w:r>
          </w:p>
        </w:tc>
      </w:tr>
      <w:tr w:rsidR="00CF1963" w:rsidRPr="00CF1963" w14:paraId="1EE24180" w14:textId="77777777" w:rsidTr="008B12A6">
        <w:trPr>
          <w:trHeight w:val="315"/>
        </w:trPr>
        <w:tc>
          <w:tcPr>
            <w:tcW w:w="3984" w:type="dxa"/>
            <w:tcBorders>
              <w:top w:val="nil"/>
              <w:left w:val="single" w:sz="8" w:space="0" w:color="auto"/>
              <w:bottom w:val="single" w:sz="8" w:space="0" w:color="auto"/>
              <w:right w:val="single" w:sz="8" w:space="0" w:color="auto"/>
            </w:tcBorders>
            <w:shd w:val="clear" w:color="auto" w:fill="auto"/>
            <w:vAlign w:val="center"/>
            <w:hideMark/>
          </w:tcPr>
          <w:p w14:paraId="05FA8DF0" w14:textId="77777777" w:rsidR="00054BA2" w:rsidRPr="00CF1963" w:rsidRDefault="00054BA2" w:rsidP="008B12A6">
            <w:pPr>
              <w:spacing w:after="0" w:line="240" w:lineRule="auto"/>
              <w:jc w:val="both"/>
              <w:rPr>
                <w:rFonts w:ascii="Arial" w:eastAsia="Times New Roman" w:hAnsi="Arial" w:cs="Arial"/>
                <w:sz w:val="20"/>
                <w:szCs w:val="20"/>
                <w:lang w:eastAsia="pt-BR"/>
              </w:rPr>
            </w:pPr>
            <w:r w:rsidRPr="00CF1963">
              <w:rPr>
                <w:rFonts w:ascii="Arial" w:eastAsia="Times New Roman" w:hAnsi="Arial" w:cs="Arial"/>
                <w:sz w:val="20"/>
                <w:szCs w:val="20"/>
                <w:lang w:eastAsia="pt-BR"/>
              </w:rPr>
              <w:t>Grupo de Natureza da Despesa</w:t>
            </w:r>
          </w:p>
        </w:tc>
        <w:tc>
          <w:tcPr>
            <w:tcW w:w="1276" w:type="dxa"/>
            <w:tcBorders>
              <w:top w:val="nil"/>
              <w:left w:val="nil"/>
              <w:bottom w:val="single" w:sz="8" w:space="0" w:color="auto"/>
              <w:right w:val="single" w:sz="8" w:space="0" w:color="auto"/>
            </w:tcBorders>
            <w:shd w:val="clear" w:color="auto" w:fill="auto"/>
            <w:vAlign w:val="center"/>
            <w:hideMark/>
          </w:tcPr>
          <w:p w14:paraId="7823F6C4" w14:textId="77777777" w:rsidR="00054BA2" w:rsidRPr="00CF1963" w:rsidRDefault="00054BA2" w:rsidP="008B12A6">
            <w:pPr>
              <w:spacing w:after="0" w:line="240" w:lineRule="auto"/>
              <w:jc w:val="center"/>
              <w:rPr>
                <w:rFonts w:ascii="Arial" w:eastAsia="Times New Roman" w:hAnsi="Arial" w:cs="Arial"/>
                <w:sz w:val="20"/>
                <w:szCs w:val="20"/>
                <w:lang w:eastAsia="pt-BR"/>
              </w:rPr>
            </w:pPr>
            <w:r w:rsidRPr="00CF1963">
              <w:rPr>
                <w:rFonts w:ascii="Arial" w:eastAsia="Times New Roman" w:hAnsi="Arial" w:cs="Arial"/>
                <w:sz w:val="20"/>
                <w:szCs w:val="20"/>
                <w:lang w:eastAsia="pt-BR"/>
              </w:rPr>
              <w:t>Caracter</w:t>
            </w:r>
          </w:p>
        </w:tc>
        <w:tc>
          <w:tcPr>
            <w:tcW w:w="1134" w:type="dxa"/>
            <w:tcBorders>
              <w:top w:val="nil"/>
              <w:left w:val="nil"/>
              <w:bottom w:val="single" w:sz="8" w:space="0" w:color="auto"/>
              <w:right w:val="single" w:sz="8" w:space="0" w:color="auto"/>
            </w:tcBorders>
            <w:shd w:val="clear" w:color="auto" w:fill="auto"/>
            <w:vAlign w:val="center"/>
            <w:hideMark/>
          </w:tcPr>
          <w:p w14:paraId="16BEC174" w14:textId="77777777" w:rsidR="00054BA2" w:rsidRPr="00CF1963" w:rsidRDefault="00054BA2" w:rsidP="008B12A6">
            <w:pPr>
              <w:spacing w:after="0" w:line="240" w:lineRule="auto"/>
              <w:jc w:val="center"/>
              <w:rPr>
                <w:rFonts w:ascii="Arial" w:eastAsia="Times New Roman" w:hAnsi="Arial" w:cs="Arial"/>
                <w:sz w:val="20"/>
                <w:szCs w:val="20"/>
                <w:lang w:eastAsia="pt-BR"/>
              </w:rPr>
            </w:pPr>
            <w:r w:rsidRPr="00CF1963">
              <w:rPr>
                <w:rFonts w:ascii="Arial" w:eastAsia="Times New Roman" w:hAnsi="Arial" w:cs="Arial"/>
                <w:sz w:val="20"/>
                <w:szCs w:val="20"/>
                <w:lang w:eastAsia="pt-BR"/>
              </w:rPr>
              <w:t>1</w:t>
            </w:r>
          </w:p>
        </w:tc>
        <w:tc>
          <w:tcPr>
            <w:tcW w:w="2835" w:type="dxa"/>
            <w:tcBorders>
              <w:top w:val="nil"/>
              <w:left w:val="nil"/>
              <w:bottom w:val="single" w:sz="8" w:space="0" w:color="auto"/>
              <w:right w:val="single" w:sz="8" w:space="0" w:color="auto"/>
            </w:tcBorders>
            <w:shd w:val="clear" w:color="auto" w:fill="auto"/>
            <w:vAlign w:val="center"/>
            <w:hideMark/>
          </w:tcPr>
          <w:p w14:paraId="2F10498C" w14:textId="77777777" w:rsidR="00054BA2" w:rsidRPr="00CF1963" w:rsidRDefault="00054BA2" w:rsidP="00054BA2">
            <w:pPr>
              <w:spacing w:after="0" w:line="240" w:lineRule="auto"/>
              <w:rPr>
                <w:rFonts w:ascii="Arial" w:eastAsia="Times New Roman" w:hAnsi="Arial" w:cs="Arial"/>
                <w:sz w:val="20"/>
                <w:szCs w:val="20"/>
                <w:lang w:eastAsia="pt-BR"/>
              </w:rPr>
            </w:pPr>
            <w:r w:rsidRPr="00CF1963">
              <w:rPr>
                <w:rFonts w:ascii="Arial" w:eastAsia="Times New Roman" w:hAnsi="Arial" w:cs="Arial"/>
                <w:sz w:val="20"/>
                <w:szCs w:val="20"/>
                <w:lang w:eastAsia="pt-BR"/>
              </w:rPr>
              <w:t>Obrigatório</w:t>
            </w:r>
          </w:p>
        </w:tc>
      </w:tr>
      <w:tr w:rsidR="00CF1963" w:rsidRPr="00CF1963" w14:paraId="406EE8E3" w14:textId="77777777" w:rsidTr="008B12A6">
        <w:trPr>
          <w:trHeight w:val="315"/>
        </w:trPr>
        <w:tc>
          <w:tcPr>
            <w:tcW w:w="3984" w:type="dxa"/>
            <w:tcBorders>
              <w:top w:val="nil"/>
              <w:left w:val="single" w:sz="8" w:space="0" w:color="auto"/>
              <w:bottom w:val="single" w:sz="8" w:space="0" w:color="auto"/>
              <w:right w:val="single" w:sz="8" w:space="0" w:color="auto"/>
            </w:tcBorders>
            <w:shd w:val="clear" w:color="auto" w:fill="auto"/>
            <w:vAlign w:val="center"/>
            <w:hideMark/>
          </w:tcPr>
          <w:p w14:paraId="68F78378" w14:textId="77777777" w:rsidR="00054BA2" w:rsidRPr="00CF1963" w:rsidRDefault="00054BA2" w:rsidP="008B12A6">
            <w:pPr>
              <w:spacing w:after="0" w:line="240" w:lineRule="auto"/>
              <w:jc w:val="both"/>
              <w:rPr>
                <w:rFonts w:ascii="Arial" w:eastAsia="Times New Roman" w:hAnsi="Arial" w:cs="Arial"/>
                <w:sz w:val="20"/>
                <w:szCs w:val="20"/>
                <w:lang w:eastAsia="pt-BR"/>
              </w:rPr>
            </w:pPr>
            <w:r w:rsidRPr="00CF1963">
              <w:rPr>
                <w:rFonts w:ascii="Arial" w:eastAsia="Times New Roman" w:hAnsi="Arial" w:cs="Arial"/>
                <w:sz w:val="20"/>
                <w:szCs w:val="20"/>
                <w:lang w:eastAsia="pt-BR"/>
              </w:rPr>
              <w:t>Modalidade de Aplicação</w:t>
            </w:r>
          </w:p>
        </w:tc>
        <w:tc>
          <w:tcPr>
            <w:tcW w:w="1276" w:type="dxa"/>
            <w:tcBorders>
              <w:top w:val="nil"/>
              <w:left w:val="nil"/>
              <w:bottom w:val="single" w:sz="8" w:space="0" w:color="auto"/>
              <w:right w:val="single" w:sz="8" w:space="0" w:color="auto"/>
            </w:tcBorders>
            <w:shd w:val="clear" w:color="auto" w:fill="auto"/>
            <w:vAlign w:val="center"/>
            <w:hideMark/>
          </w:tcPr>
          <w:p w14:paraId="7A7B86BB" w14:textId="77777777" w:rsidR="00054BA2" w:rsidRPr="00CF1963" w:rsidRDefault="00054BA2" w:rsidP="008B12A6">
            <w:pPr>
              <w:spacing w:after="0" w:line="240" w:lineRule="auto"/>
              <w:jc w:val="center"/>
              <w:rPr>
                <w:rFonts w:ascii="Arial" w:eastAsia="Times New Roman" w:hAnsi="Arial" w:cs="Arial"/>
                <w:sz w:val="20"/>
                <w:szCs w:val="20"/>
                <w:lang w:eastAsia="pt-BR"/>
              </w:rPr>
            </w:pPr>
            <w:r w:rsidRPr="00CF1963">
              <w:rPr>
                <w:rFonts w:ascii="Arial" w:eastAsia="Times New Roman" w:hAnsi="Arial" w:cs="Arial"/>
                <w:sz w:val="20"/>
                <w:szCs w:val="20"/>
                <w:lang w:eastAsia="pt-BR"/>
              </w:rPr>
              <w:t>Caracter</w:t>
            </w:r>
          </w:p>
        </w:tc>
        <w:tc>
          <w:tcPr>
            <w:tcW w:w="1134" w:type="dxa"/>
            <w:tcBorders>
              <w:top w:val="nil"/>
              <w:left w:val="nil"/>
              <w:bottom w:val="single" w:sz="8" w:space="0" w:color="auto"/>
              <w:right w:val="single" w:sz="8" w:space="0" w:color="auto"/>
            </w:tcBorders>
            <w:shd w:val="clear" w:color="auto" w:fill="auto"/>
            <w:vAlign w:val="center"/>
            <w:hideMark/>
          </w:tcPr>
          <w:p w14:paraId="6FECA29A" w14:textId="77777777" w:rsidR="00054BA2" w:rsidRPr="00CF1963" w:rsidRDefault="00054BA2" w:rsidP="008B12A6">
            <w:pPr>
              <w:spacing w:after="0" w:line="240" w:lineRule="auto"/>
              <w:jc w:val="center"/>
              <w:rPr>
                <w:rFonts w:ascii="Arial" w:eastAsia="Times New Roman" w:hAnsi="Arial" w:cs="Arial"/>
                <w:sz w:val="20"/>
                <w:szCs w:val="20"/>
                <w:lang w:eastAsia="pt-BR"/>
              </w:rPr>
            </w:pPr>
            <w:r w:rsidRPr="00CF1963">
              <w:rPr>
                <w:rFonts w:ascii="Arial" w:eastAsia="Times New Roman" w:hAnsi="Arial" w:cs="Arial"/>
                <w:sz w:val="20"/>
                <w:szCs w:val="20"/>
                <w:lang w:eastAsia="pt-BR"/>
              </w:rPr>
              <w:t>2</w:t>
            </w:r>
          </w:p>
        </w:tc>
        <w:tc>
          <w:tcPr>
            <w:tcW w:w="2835" w:type="dxa"/>
            <w:tcBorders>
              <w:top w:val="nil"/>
              <w:left w:val="nil"/>
              <w:bottom w:val="single" w:sz="8" w:space="0" w:color="auto"/>
              <w:right w:val="single" w:sz="8" w:space="0" w:color="auto"/>
            </w:tcBorders>
            <w:shd w:val="clear" w:color="auto" w:fill="auto"/>
            <w:vAlign w:val="center"/>
            <w:hideMark/>
          </w:tcPr>
          <w:p w14:paraId="6426D2B9" w14:textId="77777777" w:rsidR="00054BA2" w:rsidRPr="00CF1963" w:rsidRDefault="00054BA2" w:rsidP="00054BA2">
            <w:pPr>
              <w:spacing w:after="0" w:line="240" w:lineRule="auto"/>
              <w:rPr>
                <w:rFonts w:ascii="Arial" w:eastAsia="Times New Roman" w:hAnsi="Arial" w:cs="Arial"/>
                <w:sz w:val="20"/>
                <w:szCs w:val="20"/>
                <w:lang w:eastAsia="pt-BR"/>
              </w:rPr>
            </w:pPr>
            <w:r w:rsidRPr="00CF1963">
              <w:rPr>
                <w:rFonts w:ascii="Arial" w:eastAsia="Times New Roman" w:hAnsi="Arial" w:cs="Arial"/>
                <w:sz w:val="20"/>
                <w:szCs w:val="20"/>
                <w:lang w:eastAsia="pt-BR"/>
              </w:rPr>
              <w:t>Obrigatório</w:t>
            </w:r>
          </w:p>
        </w:tc>
      </w:tr>
      <w:tr w:rsidR="00CF1963" w:rsidRPr="00CF1963" w14:paraId="55E1FE2B" w14:textId="77777777" w:rsidTr="008B12A6">
        <w:trPr>
          <w:trHeight w:val="315"/>
        </w:trPr>
        <w:tc>
          <w:tcPr>
            <w:tcW w:w="3984" w:type="dxa"/>
            <w:tcBorders>
              <w:top w:val="nil"/>
              <w:left w:val="single" w:sz="8" w:space="0" w:color="auto"/>
              <w:bottom w:val="single" w:sz="8" w:space="0" w:color="auto"/>
              <w:right w:val="single" w:sz="8" w:space="0" w:color="auto"/>
            </w:tcBorders>
            <w:shd w:val="clear" w:color="auto" w:fill="auto"/>
            <w:vAlign w:val="center"/>
            <w:hideMark/>
          </w:tcPr>
          <w:p w14:paraId="79E91298" w14:textId="77777777" w:rsidR="00054BA2" w:rsidRPr="00CF1963" w:rsidRDefault="00054BA2" w:rsidP="008B12A6">
            <w:pPr>
              <w:spacing w:after="0" w:line="240" w:lineRule="auto"/>
              <w:jc w:val="both"/>
              <w:rPr>
                <w:rFonts w:ascii="Arial" w:eastAsia="Times New Roman" w:hAnsi="Arial" w:cs="Arial"/>
                <w:sz w:val="20"/>
                <w:szCs w:val="20"/>
                <w:lang w:eastAsia="pt-BR"/>
              </w:rPr>
            </w:pPr>
            <w:r w:rsidRPr="00CF1963">
              <w:rPr>
                <w:rFonts w:ascii="Arial" w:eastAsia="Times New Roman" w:hAnsi="Arial" w:cs="Arial"/>
                <w:sz w:val="20"/>
                <w:szCs w:val="20"/>
                <w:lang w:eastAsia="pt-BR"/>
              </w:rPr>
              <w:t>Elemento de Despesa</w:t>
            </w:r>
          </w:p>
        </w:tc>
        <w:tc>
          <w:tcPr>
            <w:tcW w:w="1276" w:type="dxa"/>
            <w:tcBorders>
              <w:top w:val="nil"/>
              <w:left w:val="nil"/>
              <w:bottom w:val="single" w:sz="8" w:space="0" w:color="auto"/>
              <w:right w:val="single" w:sz="8" w:space="0" w:color="auto"/>
            </w:tcBorders>
            <w:shd w:val="clear" w:color="auto" w:fill="auto"/>
            <w:vAlign w:val="center"/>
            <w:hideMark/>
          </w:tcPr>
          <w:p w14:paraId="7D7B5204" w14:textId="77777777" w:rsidR="00054BA2" w:rsidRPr="00CF1963" w:rsidRDefault="00054BA2" w:rsidP="008B12A6">
            <w:pPr>
              <w:spacing w:after="0" w:line="240" w:lineRule="auto"/>
              <w:jc w:val="center"/>
              <w:rPr>
                <w:rFonts w:ascii="Arial" w:eastAsia="Times New Roman" w:hAnsi="Arial" w:cs="Arial"/>
                <w:sz w:val="20"/>
                <w:szCs w:val="20"/>
                <w:lang w:eastAsia="pt-BR"/>
              </w:rPr>
            </w:pPr>
            <w:r w:rsidRPr="00CF1963">
              <w:rPr>
                <w:rFonts w:ascii="Arial" w:eastAsia="Times New Roman" w:hAnsi="Arial" w:cs="Arial"/>
                <w:sz w:val="20"/>
                <w:szCs w:val="20"/>
                <w:lang w:eastAsia="pt-BR"/>
              </w:rPr>
              <w:t>Caracter</w:t>
            </w:r>
          </w:p>
        </w:tc>
        <w:tc>
          <w:tcPr>
            <w:tcW w:w="1134" w:type="dxa"/>
            <w:tcBorders>
              <w:top w:val="nil"/>
              <w:left w:val="nil"/>
              <w:bottom w:val="single" w:sz="8" w:space="0" w:color="auto"/>
              <w:right w:val="single" w:sz="8" w:space="0" w:color="auto"/>
            </w:tcBorders>
            <w:shd w:val="clear" w:color="auto" w:fill="auto"/>
            <w:vAlign w:val="center"/>
            <w:hideMark/>
          </w:tcPr>
          <w:p w14:paraId="7F066CF1" w14:textId="77777777" w:rsidR="00054BA2" w:rsidRPr="00CF1963" w:rsidRDefault="00054BA2" w:rsidP="008B12A6">
            <w:pPr>
              <w:spacing w:after="0" w:line="240" w:lineRule="auto"/>
              <w:jc w:val="center"/>
              <w:rPr>
                <w:rFonts w:ascii="Arial" w:eastAsia="Times New Roman" w:hAnsi="Arial" w:cs="Arial"/>
                <w:sz w:val="20"/>
                <w:szCs w:val="20"/>
                <w:lang w:eastAsia="pt-BR"/>
              </w:rPr>
            </w:pPr>
            <w:r w:rsidRPr="00CF1963">
              <w:rPr>
                <w:rFonts w:ascii="Arial" w:eastAsia="Times New Roman" w:hAnsi="Arial" w:cs="Arial"/>
                <w:sz w:val="20"/>
                <w:szCs w:val="20"/>
                <w:lang w:eastAsia="pt-BR"/>
              </w:rPr>
              <w:t>2</w:t>
            </w:r>
          </w:p>
        </w:tc>
        <w:tc>
          <w:tcPr>
            <w:tcW w:w="2835" w:type="dxa"/>
            <w:tcBorders>
              <w:top w:val="nil"/>
              <w:left w:val="nil"/>
              <w:bottom w:val="single" w:sz="8" w:space="0" w:color="auto"/>
              <w:right w:val="single" w:sz="8" w:space="0" w:color="auto"/>
            </w:tcBorders>
            <w:shd w:val="clear" w:color="auto" w:fill="auto"/>
            <w:vAlign w:val="center"/>
            <w:hideMark/>
          </w:tcPr>
          <w:p w14:paraId="348E65BE" w14:textId="77777777" w:rsidR="00054BA2" w:rsidRPr="00CF1963" w:rsidRDefault="00054BA2" w:rsidP="00054BA2">
            <w:pPr>
              <w:spacing w:after="0" w:line="240" w:lineRule="auto"/>
              <w:rPr>
                <w:rFonts w:ascii="Arial" w:eastAsia="Times New Roman" w:hAnsi="Arial" w:cs="Arial"/>
                <w:sz w:val="20"/>
                <w:szCs w:val="20"/>
                <w:lang w:eastAsia="pt-BR"/>
              </w:rPr>
            </w:pPr>
            <w:r w:rsidRPr="00CF1963">
              <w:rPr>
                <w:rFonts w:ascii="Arial" w:eastAsia="Times New Roman" w:hAnsi="Arial" w:cs="Arial"/>
                <w:sz w:val="20"/>
                <w:szCs w:val="20"/>
                <w:lang w:eastAsia="pt-BR"/>
              </w:rPr>
              <w:t>Obrigatório</w:t>
            </w:r>
          </w:p>
        </w:tc>
      </w:tr>
      <w:tr w:rsidR="00CF1963" w:rsidRPr="00CF1963" w14:paraId="1949F7B7" w14:textId="77777777" w:rsidTr="008B12A6">
        <w:trPr>
          <w:trHeight w:val="315"/>
        </w:trPr>
        <w:tc>
          <w:tcPr>
            <w:tcW w:w="3984" w:type="dxa"/>
            <w:tcBorders>
              <w:top w:val="nil"/>
              <w:left w:val="single" w:sz="8" w:space="0" w:color="auto"/>
              <w:bottom w:val="single" w:sz="8" w:space="0" w:color="auto"/>
              <w:right w:val="single" w:sz="8" w:space="0" w:color="auto"/>
            </w:tcBorders>
            <w:shd w:val="clear" w:color="auto" w:fill="auto"/>
            <w:vAlign w:val="center"/>
            <w:hideMark/>
          </w:tcPr>
          <w:p w14:paraId="59E090C9" w14:textId="77777777" w:rsidR="00054BA2" w:rsidRPr="00CF1963" w:rsidRDefault="00054BA2" w:rsidP="008B12A6">
            <w:pPr>
              <w:spacing w:after="0" w:line="240" w:lineRule="auto"/>
              <w:jc w:val="both"/>
              <w:rPr>
                <w:rFonts w:ascii="Arial" w:eastAsia="Times New Roman" w:hAnsi="Arial" w:cs="Arial"/>
                <w:sz w:val="20"/>
                <w:szCs w:val="20"/>
                <w:lang w:eastAsia="pt-BR"/>
              </w:rPr>
            </w:pPr>
            <w:r w:rsidRPr="00CF1963">
              <w:rPr>
                <w:rFonts w:ascii="Arial" w:eastAsia="Times New Roman" w:hAnsi="Arial" w:cs="Arial"/>
                <w:sz w:val="20"/>
                <w:szCs w:val="20"/>
                <w:lang w:eastAsia="pt-BR"/>
              </w:rPr>
              <w:t xml:space="preserve">Subelemento de Despesa </w:t>
            </w:r>
            <w:r w:rsidRPr="00CF1963">
              <w:rPr>
                <w:rFonts w:ascii="Arial" w:eastAsia="Times New Roman" w:hAnsi="Arial" w:cs="Arial"/>
                <w:b/>
                <w:sz w:val="20"/>
                <w:szCs w:val="20"/>
                <w:vertAlign w:val="superscript"/>
                <w:lang w:eastAsia="pt-BR"/>
              </w:rPr>
              <w:t>[8] [9]</w:t>
            </w:r>
          </w:p>
        </w:tc>
        <w:tc>
          <w:tcPr>
            <w:tcW w:w="1276" w:type="dxa"/>
            <w:tcBorders>
              <w:top w:val="nil"/>
              <w:left w:val="nil"/>
              <w:bottom w:val="single" w:sz="8" w:space="0" w:color="auto"/>
              <w:right w:val="single" w:sz="8" w:space="0" w:color="auto"/>
            </w:tcBorders>
            <w:shd w:val="clear" w:color="auto" w:fill="auto"/>
            <w:vAlign w:val="center"/>
            <w:hideMark/>
          </w:tcPr>
          <w:p w14:paraId="171F4EB5" w14:textId="77777777" w:rsidR="00054BA2" w:rsidRPr="00CF1963" w:rsidRDefault="00054BA2" w:rsidP="008B12A6">
            <w:pPr>
              <w:spacing w:after="0" w:line="240" w:lineRule="auto"/>
              <w:jc w:val="center"/>
              <w:rPr>
                <w:rFonts w:ascii="Arial" w:eastAsia="Times New Roman" w:hAnsi="Arial" w:cs="Arial"/>
                <w:sz w:val="20"/>
                <w:szCs w:val="20"/>
                <w:lang w:eastAsia="pt-BR"/>
              </w:rPr>
            </w:pPr>
            <w:r w:rsidRPr="00CF1963">
              <w:rPr>
                <w:rFonts w:ascii="Arial" w:eastAsia="Times New Roman" w:hAnsi="Arial" w:cs="Arial"/>
                <w:sz w:val="20"/>
                <w:szCs w:val="20"/>
                <w:lang w:eastAsia="pt-BR"/>
              </w:rPr>
              <w:t>Caracter</w:t>
            </w:r>
          </w:p>
        </w:tc>
        <w:tc>
          <w:tcPr>
            <w:tcW w:w="1134" w:type="dxa"/>
            <w:tcBorders>
              <w:top w:val="nil"/>
              <w:left w:val="nil"/>
              <w:bottom w:val="single" w:sz="8" w:space="0" w:color="auto"/>
              <w:right w:val="single" w:sz="8" w:space="0" w:color="auto"/>
            </w:tcBorders>
            <w:shd w:val="clear" w:color="auto" w:fill="auto"/>
            <w:vAlign w:val="center"/>
            <w:hideMark/>
          </w:tcPr>
          <w:p w14:paraId="271B2782" w14:textId="77777777" w:rsidR="00054BA2" w:rsidRPr="00CF1963" w:rsidRDefault="00054BA2" w:rsidP="008B12A6">
            <w:pPr>
              <w:spacing w:after="0" w:line="240" w:lineRule="auto"/>
              <w:jc w:val="center"/>
              <w:rPr>
                <w:rFonts w:ascii="Arial" w:eastAsia="Times New Roman" w:hAnsi="Arial" w:cs="Arial"/>
                <w:sz w:val="20"/>
                <w:szCs w:val="20"/>
                <w:lang w:eastAsia="pt-BR"/>
              </w:rPr>
            </w:pPr>
            <w:r w:rsidRPr="00CF1963">
              <w:rPr>
                <w:rFonts w:ascii="Arial" w:eastAsia="Times New Roman" w:hAnsi="Arial" w:cs="Arial"/>
                <w:sz w:val="20"/>
                <w:szCs w:val="20"/>
                <w:lang w:eastAsia="pt-BR"/>
              </w:rPr>
              <w:t>2</w:t>
            </w:r>
          </w:p>
        </w:tc>
        <w:tc>
          <w:tcPr>
            <w:tcW w:w="2835" w:type="dxa"/>
            <w:tcBorders>
              <w:top w:val="nil"/>
              <w:left w:val="nil"/>
              <w:bottom w:val="single" w:sz="8" w:space="0" w:color="auto"/>
              <w:right w:val="single" w:sz="8" w:space="0" w:color="auto"/>
            </w:tcBorders>
            <w:shd w:val="clear" w:color="auto" w:fill="auto"/>
            <w:vAlign w:val="center"/>
            <w:hideMark/>
          </w:tcPr>
          <w:p w14:paraId="57C77114" w14:textId="77777777" w:rsidR="00054BA2" w:rsidRPr="00CF1963" w:rsidRDefault="00054BA2" w:rsidP="00054BA2">
            <w:pPr>
              <w:spacing w:after="0" w:line="240" w:lineRule="auto"/>
              <w:rPr>
                <w:rFonts w:ascii="Arial" w:eastAsia="Times New Roman" w:hAnsi="Arial" w:cs="Arial"/>
                <w:sz w:val="20"/>
                <w:szCs w:val="20"/>
                <w:lang w:eastAsia="pt-BR"/>
              </w:rPr>
            </w:pPr>
            <w:r w:rsidRPr="00CF1963">
              <w:rPr>
                <w:rFonts w:ascii="Arial" w:eastAsia="Times New Roman" w:hAnsi="Arial" w:cs="Arial"/>
                <w:sz w:val="20"/>
                <w:szCs w:val="20"/>
                <w:lang w:eastAsia="pt-BR"/>
              </w:rPr>
              <w:t>Obrigatório</w:t>
            </w:r>
          </w:p>
        </w:tc>
      </w:tr>
      <w:tr w:rsidR="00CF1963" w:rsidRPr="00CF1963" w14:paraId="42FB3B04" w14:textId="77777777" w:rsidTr="008B12A6">
        <w:trPr>
          <w:trHeight w:val="525"/>
        </w:trPr>
        <w:tc>
          <w:tcPr>
            <w:tcW w:w="3984" w:type="dxa"/>
            <w:tcBorders>
              <w:top w:val="nil"/>
              <w:left w:val="single" w:sz="8" w:space="0" w:color="auto"/>
              <w:bottom w:val="single" w:sz="8" w:space="0" w:color="auto"/>
              <w:right w:val="single" w:sz="8" w:space="0" w:color="auto"/>
            </w:tcBorders>
            <w:shd w:val="clear" w:color="auto" w:fill="auto"/>
            <w:vAlign w:val="center"/>
          </w:tcPr>
          <w:p w14:paraId="45B0ED17" w14:textId="77777777" w:rsidR="00054BA2" w:rsidRPr="00CF1963" w:rsidRDefault="00054BA2" w:rsidP="008B12A6">
            <w:pPr>
              <w:spacing w:after="0" w:line="240" w:lineRule="auto"/>
              <w:jc w:val="both"/>
              <w:rPr>
                <w:rFonts w:ascii="Arial" w:eastAsia="Times New Roman" w:hAnsi="Arial" w:cs="Arial"/>
                <w:sz w:val="20"/>
                <w:szCs w:val="20"/>
                <w:lang w:eastAsia="pt-BR"/>
              </w:rPr>
            </w:pPr>
            <w:r w:rsidRPr="00CF1963">
              <w:rPr>
                <w:rFonts w:ascii="Arial" w:eastAsia="Times New Roman" w:hAnsi="Arial" w:cs="Arial"/>
                <w:sz w:val="20"/>
                <w:szCs w:val="20"/>
                <w:lang w:eastAsia="pt-BR"/>
              </w:rPr>
              <w:lastRenderedPageBreak/>
              <w:t xml:space="preserve">Item Patrimonial </w:t>
            </w:r>
            <w:r w:rsidRPr="00CF1963">
              <w:rPr>
                <w:rFonts w:ascii="Arial" w:eastAsia="Times New Roman" w:hAnsi="Arial" w:cs="Arial"/>
                <w:b/>
                <w:sz w:val="20"/>
                <w:szCs w:val="20"/>
                <w:vertAlign w:val="superscript"/>
                <w:lang w:eastAsia="pt-BR"/>
              </w:rPr>
              <w:t>[8] [9]</w:t>
            </w:r>
          </w:p>
        </w:tc>
        <w:tc>
          <w:tcPr>
            <w:tcW w:w="1276" w:type="dxa"/>
            <w:tcBorders>
              <w:top w:val="nil"/>
              <w:left w:val="nil"/>
              <w:bottom w:val="single" w:sz="8" w:space="0" w:color="auto"/>
              <w:right w:val="single" w:sz="8" w:space="0" w:color="auto"/>
            </w:tcBorders>
            <w:shd w:val="clear" w:color="auto" w:fill="auto"/>
            <w:vAlign w:val="center"/>
          </w:tcPr>
          <w:p w14:paraId="2F845B61" w14:textId="77777777" w:rsidR="00054BA2" w:rsidRPr="00CF1963" w:rsidRDefault="00054BA2" w:rsidP="008B12A6">
            <w:pPr>
              <w:spacing w:after="0" w:line="240" w:lineRule="auto"/>
              <w:jc w:val="center"/>
              <w:rPr>
                <w:rFonts w:ascii="Arial" w:eastAsia="Times New Roman" w:hAnsi="Arial" w:cs="Arial"/>
                <w:sz w:val="20"/>
                <w:szCs w:val="20"/>
                <w:lang w:eastAsia="pt-BR"/>
              </w:rPr>
            </w:pPr>
            <w:r w:rsidRPr="00CF1963">
              <w:rPr>
                <w:rFonts w:ascii="Arial" w:eastAsia="Times New Roman" w:hAnsi="Arial" w:cs="Arial"/>
                <w:sz w:val="20"/>
                <w:szCs w:val="20"/>
                <w:lang w:eastAsia="pt-BR"/>
              </w:rPr>
              <w:t>Caracter</w:t>
            </w:r>
          </w:p>
        </w:tc>
        <w:tc>
          <w:tcPr>
            <w:tcW w:w="1134" w:type="dxa"/>
            <w:tcBorders>
              <w:top w:val="nil"/>
              <w:left w:val="nil"/>
              <w:bottom w:val="single" w:sz="8" w:space="0" w:color="auto"/>
              <w:right w:val="single" w:sz="8" w:space="0" w:color="auto"/>
            </w:tcBorders>
            <w:shd w:val="clear" w:color="auto" w:fill="auto"/>
            <w:vAlign w:val="center"/>
          </w:tcPr>
          <w:p w14:paraId="03B271C8" w14:textId="77777777" w:rsidR="00054BA2" w:rsidRPr="00CF1963" w:rsidRDefault="00054BA2" w:rsidP="008B12A6">
            <w:pPr>
              <w:spacing w:after="0" w:line="240" w:lineRule="auto"/>
              <w:jc w:val="center"/>
              <w:rPr>
                <w:rFonts w:ascii="Arial" w:eastAsia="Times New Roman" w:hAnsi="Arial" w:cs="Arial"/>
                <w:sz w:val="20"/>
                <w:szCs w:val="20"/>
                <w:lang w:eastAsia="pt-BR"/>
              </w:rPr>
            </w:pPr>
            <w:r w:rsidRPr="00CF1963">
              <w:rPr>
                <w:rFonts w:ascii="Arial" w:eastAsia="Times New Roman" w:hAnsi="Arial" w:cs="Arial"/>
                <w:sz w:val="20"/>
                <w:szCs w:val="20"/>
                <w:lang w:eastAsia="pt-BR"/>
              </w:rPr>
              <w:t>4</w:t>
            </w:r>
          </w:p>
        </w:tc>
        <w:tc>
          <w:tcPr>
            <w:tcW w:w="2835" w:type="dxa"/>
            <w:tcBorders>
              <w:top w:val="nil"/>
              <w:left w:val="nil"/>
              <w:bottom w:val="single" w:sz="8" w:space="0" w:color="auto"/>
              <w:right w:val="single" w:sz="8" w:space="0" w:color="auto"/>
            </w:tcBorders>
            <w:shd w:val="clear" w:color="auto" w:fill="auto"/>
            <w:vAlign w:val="center"/>
          </w:tcPr>
          <w:p w14:paraId="6FC3BB74" w14:textId="77777777" w:rsidR="00054BA2" w:rsidRPr="00CF1963" w:rsidRDefault="00054BA2" w:rsidP="008B12A6">
            <w:pPr>
              <w:spacing w:after="0" w:line="240" w:lineRule="auto"/>
              <w:rPr>
                <w:rFonts w:ascii="Arial" w:eastAsia="Times New Roman" w:hAnsi="Arial" w:cs="Arial"/>
                <w:sz w:val="20"/>
                <w:szCs w:val="20"/>
                <w:lang w:eastAsia="pt-BR"/>
              </w:rPr>
            </w:pPr>
            <w:r w:rsidRPr="00CF1963">
              <w:rPr>
                <w:rFonts w:ascii="Arial" w:eastAsia="Times New Roman" w:hAnsi="Arial" w:cs="Arial"/>
                <w:sz w:val="20"/>
                <w:szCs w:val="20"/>
                <w:lang w:eastAsia="pt-BR"/>
              </w:rPr>
              <w:t>Obrigatório</w:t>
            </w:r>
          </w:p>
        </w:tc>
      </w:tr>
      <w:tr w:rsidR="00CF1963" w:rsidRPr="00CF1963" w14:paraId="5129EFBA" w14:textId="77777777" w:rsidTr="008B12A6">
        <w:trPr>
          <w:trHeight w:val="525"/>
        </w:trPr>
        <w:tc>
          <w:tcPr>
            <w:tcW w:w="3984" w:type="dxa"/>
            <w:tcBorders>
              <w:top w:val="nil"/>
              <w:left w:val="single" w:sz="8" w:space="0" w:color="auto"/>
              <w:bottom w:val="single" w:sz="8" w:space="0" w:color="auto"/>
              <w:right w:val="single" w:sz="8" w:space="0" w:color="auto"/>
            </w:tcBorders>
            <w:shd w:val="clear" w:color="auto" w:fill="auto"/>
            <w:vAlign w:val="center"/>
            <w:hideMark/>
          </w:tcPr>
          <w:p w14:paraId="3B13D541" w14:textId="77777777" w:rsidR="00054BA2" w:rsidRPr="00CF1963" w:rsidRDefault="00054BA2" w:rsidP="008B12A6">
            <w:pPr>
              <w:spacing w:after="0" w:line="240" w:lineRule="auto"/>
              <w:jc w:val="both"/>
              <w:rPr>
                <w:rFonts w:ascii="Arial" w:eastAsia="Times New Roman" w:hAnsi="Arial" w:cs="Arial"/>
                <w:sz w:val="20"/>
                <w:szCs w:val="20"/>
                <w:lang w:eastAsia="pt-BR"/>
              </w:rPr>
            </w:pPr>
            <w:r w:rsidRPr="00CF1963">
              <w:rPr>
                <w:rFonts w:ascii="Arial" w:eastAsia="Times New Roman" w:hAnsi="Arial" w:cs="Arial"/>
                <w:sz w:val="20"/>
                <w:szCs w:val="20"/>
                <w:lang w:eastAsia="pt-BR"/>
              </w:rPr>
              <w:t xml:space="preserve">Código do Grupo de Fonte/Destinação de Recursos </w:t>
            </w:r>
          </w:p>
        </w:tc>
        <w:tc>
          <w:tcPr>
            <w:tcW w:w="1276" w:type="dxa"/>
            <w:tcBorders>
              <w:top w:val="nil"/>
              <w:left w:val="nil"/>
              <w:bottom w:val="single" w:sz="8" w:space="0" w:color="auto"/>
              <w:right w:val="single" w:sz="8" w:space="0" w:color="auto"/>
            </w:tcBorders>
            <w:shd w:val="clear" w:color="auto" w:fill="auto"/>
            <w:vAlign w:val="center"/>
            <w:hideMark/>
          </w:tcPr>
          <w:p w14:paraId="02E8FF6D" w14:textId="77777777" w:rsidR="00054BA2" w:rsidRPr="00CF1963" w:rsidRDefault="00054BA2" w:rsidP="008B12A6">
            <w:pPr>
              <w:spacing w:after="0" w:line="240" w:lineRule="auto"/>
              <w:jc w:val="center"/>
              <w:rPr>
                <w:rFonts w:ascii="Arial" w:eastAsia="Times New Roman" w:hAnsi="Arial" w:cs="Arial"/>
                <w:sz w:val="20"/>
                <w:szCs w:val="20"/>
                <w:lang w:eastAsia="pt-BR"/>
              </w:rPr>
            </w:pPr>
            <w:r w:rsidRPr="00CF1963">
              <w:rPr>
                <w:rFonts w:ascii="Arial" w:eastAsia="Times New Roman" w:hAnsi="Arial" w:cs="Arial"/>
                <w:sz w:val="20"/>
                <w:szCs w:val="20"/>
                <w:lang w:eastAsia="pt-BR"/>
              </w:rPr>
              <w:t>Inteiro</w:t>
            </w:r>
          </w:p>
        </w:tc>
        <w:tc>
          <w:tcPr>
            <w:tcW w:w="1134" w:type="dxa"/>
            <w:tcBorders>
              <w:top w:val="nil"/>
              <w:left w:val="nil"/>
              <w:bottom w:val="single" w:sz="8" w:space="0" w:color="auto"/>
              <w:right w:val="single" w:sz="8" w:space="0" w:color="auto"/>
            </w:tcBorders>
            <w:shd w:val="clear" w:color="auto" w:fill="auto"/>
            <w:vAlign w:val="center"/>
            <w:hideMark/>
          </w:tcPr>
          <w:p w14:paraId="3F9B9FC9" w14:textId="77777777" w:rsidR="00054BA2" w:rsidRPr="00CF1963" w:rsidRDefault="00054BA2" w:rsidP="008B12A6">
            <w:pPr>
              <w:spacing w:after="0" w:line="240" w:lineRule="auto"/>
              <w:jc w:val="center"/>
              <w:rPr>
                <w:rFonts w:ascii="Arial" w:eastAsia="Times New Roman" w:hAnsi="Arial" w:cs="Arial"/>
                <w:sz w:val="20"/>
                <w:szCs w:val="20"/>
                <w:lang w:eastAsia="pt-BR"/>
              </w:rPr>
            </w:pPr>
            <w:r w:rsidRPr="00CF1963">
              <w:rPr>
                <w:rFonts w:ascii="Arial" w:eastAsia="Times New Roman" w:hAnsi="Arial" w:cs="Arial"/>
                <w:sz w:val="20"/>
                <w:szCs w:val="20"/>
                <w:lang w:eastAsia="pt-BR"/>
              </w:rPr>
              <w:t>1</w:t>
            </w:r>
          </w:p>
        </w:tc>
        <w:tc>
          <w:tcPr>
            <w:tcW w:w="2835" w:type="dxa"/>
            <w:tcBorders>
              <w:top w:val="nil"/>
              <w:left w:val="nil"/>
              <w:bottom w:val="single" w:sz="8" w:space="0" w:color="auto"/>
              <w:right w:val="single" w:sz="8" w:space="0" w:color="auto"/>
            </w:tcBorders>
            <w:shd w:val="clear" w:color="auto" w:fill="auto"/>
            <w:vAlign w:val="center"/>
            <w:hideMark/>
          </w:tcPr>
          <w:p w14:paraId="504DBBC9" w14:textId="77777777" w:rsidR="00054BA2" w:rsidRPr="00CF1963" w:rsidRDefault="00054BA2" w:rsidP="008B12A6">
            <w:pPr>
              <w:spacing w:after="0" w:line="240" w:lineRule="auto"/>
              <w:rPr>
                <w:rFonts w:ascii="Arial" w:eastAsia="Times New Roman" w:hAnsi="Arial" w:cs="Arial"/>
                <w:sz w:val="20"/>
                <w:szCs w:val="20"/>
                <w:lang w:eastAsia="pt-BR"/>
              </w:rPr>
            </w:pPr>
            <w:r w:rsidRPr="00CF1963">
              <w:rPr>
                <w:rFonts w:ascii="Arial" w:eastAsia="Times New Roman" w:hAnsi="Arial" w:cs="Arial"/>
                <w:sz w:val="20"/>
                <w:szCs w:val="20"/>
                <w:lang w:eastAsia="pt-BR"/>
              </w:rPr>
              <w:t>Obrigatório conforme tabela auxiliar 1.1</w:t>
            </w:r>
          </w:p>
        </w:tc>
      </w:tr>
      <w:tr w:rsidR="00CF1963" w:rsidRPr="00CF1963" w14:paraId="6CE69CDA" w14:textId="77777777" w:rsidTr="008B12A6">
        <w:trPr>
          <w:trHeight w:val="525"/>
        </w:trPr>
        <w:tc>
          <w:tcPr>
            <w:tcW w:w="3984" w:type="dxa"/>
            <w:tcBorders>
              <w:top w:val="single" w:sz="8" w:space="0" w:color="auto"/>
              <w:left w:val="single" w:sz="8" w:space="0" w:color="auto"/>
              <w:bottom w:val="single" w:sz="8" w:space="0" w:color="auto"/>
              <w:right w:val="single" w:sz="8" w:space="0" w:color="auto"/>
            </w:tcBorders>
            <w:shd w:val="clear" w:color="auto" w:fill="auto"/>
            <w:vAlign w:val="center"/>
          </w:tcPr>
          <w:p w14:paraId="50DE8704" w14:textId="77777777" w:rsidR="00054BA2" w:rsidRPr="00CF1963" w:rsidRDefault="00054BA2" w:rsidP="00225E45">
            <w:pPr>
              <w:spacing w:after="0" w:line="240" w:lineRule="auto"/>
              <w:jc w:val="both"/>
              <w:rPr>
                <w:rFonts w:ascii="Arial" w:eastAsia="Times New Roman" w:hAnsi="Arial" w:cs="Arial"/>
                <w:sz w:val="20"/>
                <w:szCs w:val="20"/>
                <w:lang w:eastAsia="pt-BR"/>
              </w:rPr>
            </w:pPr>
            <w:r w:rsidRPr="00CF1963">
              <w:rPr>
                <w:rFonts w:ascii="Arial" w:eastAsia="Times New Roman" w:hAnsi="Arial" w:cs="Arial"/>
                <w:sz w:val="20"/>
                <w:szCs w:val="20"/>
                <w:lang w:eastAsia="pt-BR"/>
              </w:rPr>
              <w:t>Identificad</w:t>
            </w:r>
            <w:r w:rsidR="00225E45">
              <w:rPr>
                <w:rFonts w:ascii="Arial" w:eastAsia="Times New Roman" w:hAnsi="Arial" w:cs="Arial"/>
                <w:sz w:val="20"/>
                <w:szCs w:val="20"/>
                <w:lang w:eastAsia="pt-BR"/>
              </w:rPr>
              <w:t>o</w:t>
            </w:r>
            <w:r w:rsidRPr="00CF1963">
              <w:rPr>
                <w:rFonts w:ascii="Arial" w:eastAsia="Times New Roman" w:hAnsi="Arial" w:cs="Arial"/>
                <w:sz w:val="20"/>
                <w:szCs w:val="20"/>
                <w:lang w:eastAsia="pt-BR"/>
              </w:rPr>
              <w:t>r de Uso</w:t>
            </w:r>
          </w:p>
        </w:tc>
        <w:tc>
          <w:tcPr>
            <w:tcW w:w="1276" w:type="dxa"/>
            <w:tcBorders>
              <w:top w:val="single" w:sz="8" w:space="0" w:color="auto"/>
              <w:left w:val="nil"/>
              <w:bottom w:val="single" w:sz="8" w:space="0" w:color="auto"/>
              <w:right w:val="single" w:sz="8" w:space="0" w:color="auto"/>
            </w:tcBorders>
            <w:shd w:val="clear" w:color="auto" w:fill="auto"/>
            <w:vAlign w:val="center"/>
          </w:tcPr>
          <w:p w14:paraId="03EE7322" w14:textId="77777777" w:rsidR="00054BA2" w:rsidRPr="00CF1963" w:rsidRDefault="00054BA2" w:rsidP="008B12A6">
            <w:pPr>
              <w:spacing w:after="0" w:line="240" w:lineRule="auto"/>
              <w:jc w:val="center"/>
              <w:rPr>
                <w:rFonts w:ascii="Arial" w:eastAsia="Times New Roman" w:hAnsi="Arial" w:cs="Arial"/>
                <w:sz w:val="20"/>
                <w:szCs w:val="20"/>
                <w:lang w:eastAsia="pt-BR"/>
              </w:rPr>
            </w:pPr>
            <w:r w:rsidRPr="00CF1963">
              <w:rPr>
                <w:rFonts w:ascii="Arial" w:eastAsia="Times New Roman" w:hAnsi="Arial" w:cs="Arial"/>
                <w:sz w:val="20"/>
                <w:szCs w:val="20"/>
                <w:lang w:eastAsia="pt-BR"/>
              </w:rPr>
              <w:t>Caracter</w:t>
            </w:r>
          </w:p>
        </w:tc>
        <w:tc>
          <w:tcPr>
            <w:tcW w:w="1134" w:type="dxa"/>
            <w:tcBorders>
              <w:top w:val="single" w:sz="8" w:space="0" w:color="auto"/>
              <w:left w:val="nil"/>
              <w:bottom w:val="single" w:sz="8" w:space="0" w:color="auto"/>
              <w:right w:val="single" w:sz="8" w:space="0" w:color="auto"/>
            </w:tcBorders>
            <w:shd w:val="clear" w:color="auto" w:fill="auto"/>
            <w:vAlign w:val="center"/>
          </w:tcPr>
          <w:p w14:paraId="6DC3882F" w14:textId="77777777" w:rsidR="00054BA2" w:rsidRPr="00CF1963" w:rsidRDefault="00054BA2" w:rsidP="008B12A6">
            <w:pPr>
              <w:spacing w:after="0" w:line="240" w:lineRule="auto"/>
              <w:jc w:val="center"/>
              <w:rPr>
                <w:rFonts w:ascii="Arial" w:eastAsia="Times New Roman" w:hAnsi="Arial" w:cs="Arial"/>
                <w:sz w:val="20"/>
                <w:szCs w:val="20"/>
                <w:lang w:eastAsia="pt-BR"/>
              </w:rPr>
            </w:pPr>
            <w:r w:rsidRPr="00CF1963">
              <w:rPr>
                <w:rFonts w:ascii="Arial" w:eastAsia="Times New Roman" w:hAnsi="Arial" w:cs="Arial"/>
                <w:sz w:val="20"/>
                <w:szCs w:val="20"/>
                <w:lang w:eastAsia="pt-BR"/>
              </w:rPr>
              <w:t>1</w:t>
            </w:r>
          </w:p>
        </w:tc>
        <w:tc>
          <w:tcPr>
            <w:tcW w:w="2835" w:type="dxa"/>
            <w:tcBorders>
              <w:top w:val="single" w:sz="8" w:space="0" w:color="auto"/>
              <w:left w:val="nil"/>
              <w:bottom w:val="single" w:sz="8" w:space="0" w:color="auto"/>
              <w:right w:val="single" w:sz="8" w:space="0" w:color="auto"/>
            </w:tcBorders>
            <w:shd w:val="clear" w:color="auto" w:fill="auto"/>
            <w:vAlign w:val="center"/>
          </w:tcPr>
          <w:p w14:paraId="014C730E" w14:textId="77777777" w:rsidR="00054BA2" w:rsidRPr="00CF1963" w:rsidRDefault="00054BA2" w:rsidP="00054BA2">
            <w:pPr>
              <w:spacing w:after="0" w:line="240" w:lineRule="auto"/>
              <w:rPr>
                <w:rFonts w:ascii="Arial" w:eastAsia="Times New Roman" w:hAnsi="Arial" w:cs="Arial"/>
                <w:sz w:val="20"/>
                <w:szCs w:val="20"/>
                <w:lang w:eastAsia="pt-BR"/>
              </w:rPr>
            </w:pPr>
            <w:r w:rsidRPr="00CF1963">
              <w:rPr>
                <w:rFonts w:ascii="Arial" w:eastAsia="Times New Roman" w:hAnsi="Arial" w:cs="Arial"/>
                <w:sz w:val="20"/>
                <w:szCs w:val="20"/>
                <w:lang w:eastAsia="pt-BR"/>
              </w:rPr>
              <w:t>Obrigatório</w:t>
            </w:r>
          </w:p>
        </w:tc>
      </w:tr>
      <w:tr w:rsidR="00CF1963" w:rsidRPr="00CF1963" w14:paraId="6C80F8F0" w14:textId="77777777" w:rsidTr="008B12A6">
        <w:trPr>
          <w:trHeight w:val="525"/>
        </w:trPr>
        <w:tc>
          <w:tcPr>
            <w:tcW w:w="398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61C3CF2" w14:textId="77777777" w:rsidR="00054BA2" w:rsidRPr="00CF1963" w:rsidRDefault="00054BA2" w:rsidP="00054BA2">
            <w:pPr>
              <w:spacing w:after="0" w:line="240" w:lineRule="auto"/>
              <w:jc w:val="both"/>
              <w:rPr>
                <w:rFonts w:ascii="Arial" w:eastAsia="Times New Roman" w:hAnsi="Arial" w:cs="Arial"/>
                <w:sz w:val="20"/>
                <w:szCs w:val="20"/>
                <w:lang w:eastAsia="pt-BR"/>
              </w:rPr>
            </w:pPr>
            <w:r w:rsidRPr="00CF1963">
              <w:rPr>
                <w:rFonts w:ascii="Arial" w:eastAsia="Times New Roman" w:hAnsi="Arial" w:cs="Arial"/>
                <w:sz w:val="20"/>
                <w:szCs w:val="20"/>
                <w:lang w:eastAsia="pt-BR"/>
              </w:rPr>
              <w:t>Código da especificação da fonte/destinação de recursos</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14:paraId="645B0EEA" w14:textId="77777777" w:rsidR="00054BA2" w:rsidRPr="00CF1963" w:rsidRDefault="00054BA2" w:rsidP="008B12A6">
            <w:pPr>
              <w:spacing w:after="0" w:line="240" w:lineRule="auto"/>
              <w:jc w:val="center"/>
              <w:rPr>
                <w:rFonts w:ascii="Arial" w:eastAsia="Times New Roman" w:hAnsi="Arial" w:cs="Arial"/>
                <w:sz w:val="20"/>
                <w:szCs w:val="20"/>
                <w:lang w:eastAsia="pt-BR"/>
              </w:rPr>
            </w:pPr>
            <w:r w:rsidRPr="00CF1963">
              <w:rPr>
                <w:rFonts w:ascii="Arial" w:eastAsia="Times New Roman" w:hAnsi="Arial" w:cs="Arial"/>
                <w:sz w:val="20"/>
                <w:szCs w:val="20"/>
                <w:lang w:eastAsia="pt-BR"/>
              </w:rPr>
              <w:t>Caracter</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14:paraId="145822A4" w14:textId="77777777" w:rsidR="00054BA2" w:rsidRPr="00CF1963" w:rsidRDefault="00054BA2" w:rsidP="008B12A6">
            <w:pPr>
              <w:spacing w:after="0" w:line="240" w:lineRule="auto"/>
              <w:jc w:val="center"/>
              <w:rPr>
                <w:rFonts w:ascii="Arial" w:eastAsia="Times New Roman" w:hAnsi="Arial" w:cs="Arial"/>
                <w:sz w:val="20"/>
                <w:szCs w:val="20"/>
                <w:lang w:eastAsia="pt-BR"/>
              </w:rPr>
            </w:pPr>
            <w:r w:rsidRPr="00CF1963">
              <w:rPr>
                <w:rFonts w:ascii="Arial" w:eastAsia="Times New Roman" w:hAnsi="Arial" w:cs="Arial"/>
                <w:sz w:val="20"/>
                <w:szCs w:val="20"/>
                <w:lang w:eastAsia="pt-BR"/>
              </w:rPr>
              <w:t>3</w:t>
            </w:r>
          </w:p>
        </w:tc>
        <w:tc>
          <w:tcPr>
            <w:tcW w:w="2835" w:type="dxa"/>
            <w:tcBorders>
              <w:top w:val="single" w:sz="8" w:space="0" w:color="auto"/>
              <w:left w:val="nil"/>
              <w:bottom w:val="single" w:sz="8" w:space="0" w:color="auto"/>
              <w:right w:val="single" w:sz="8" w:space="0" w:color="auto"/>
            </w:tcBorders>
            <w:shd w:val="clear" w:color="auto" w:fill="auto"/>
            <w:vAlign w:val="center"/>
            <w:hideMark/>
          </w:tcPr>
          <w:p w14:paraId="1435BC2E" w14:textId="77777777" w:rsidR="00054BA2" w:rsidRPr="00CF1963" w:rsidRDefault="00054BA2" w:rsidP="00054BA2">
            <w:pPr>
              <w:spacing w:after="0" w:line="240" w:lineRule="auto"/>
              <w:rPr>
                <w:rFonts w:ascii="Arial" w:eastAsia="Times New Roman" w:hAnsi="Arial" w:cs="Arial"/>
                <w:sz w:val="20"/>
                <w:szCs w:val="20"/>
                <w:lang w:eastAsia="pt-BR"/>
              </w:rPr>
            </w:pPr>
            <w:r w:rsidRPr="00CF1963">
              <w:rPr>
                <w:rFonts w:ascii="Arial" w:eastAsia="Times New Roman" w:hAnsi="Arial" w:cs="Arial"/>
                <w:sz w:val="20"/>
                <w:szCs w:val="20"/>
                <w:lang w:eastAsia="pt-BR"/>
              </w:rPr>
              <w:t>Obrigatório</w:t>
            </w:r>
          </w:p>
        </w:tc>
      </w:tr>
      <w:tr w:rsidR="00CF1963" w:rsidRPr="00CF1963" w14:paraId="1AD52ABB" w14:textId="77777777" w:rsidTr="008B12A6">
        <w:trPr>
          <w:trHeight w:val="780"/>
        </w:trPr>
        <w:tc>
          <w:tcPr>
            <w:tcW w:w="3984" w:type="dxa"/>
            <w:tcBorders>
              <w:top w:val="nil"/>
              <w:left w:val="single" w:sz="8" w:space="0" w:color="auto"/>
              <w:bottom w:val="single" w:sz="8" w:space="0" w:color="auto"/>
              <w:right w:val="single" w:sz="8" w:space="0" w:color="auto"/>
            </w:tcBorders>
            <w:shd w:val="clear" w:color="auto" w:fill="auto"/>
            <w:vAlign w:val="center"/>
            <w:hideMark/>
          </w:tcPr>
          <w:p w14:paraId="2ADB134A" w14:textId="77777777" w:rsidR="00054BA2" w:rsidRPr="00CF1963" w:rsidRDefault="00054BA2" w:rsidP="00AE677F">
            <w:pPr>
              <w:spacing w:after="0" w:line="240" w:lineRule="auto"/>
              <w:jc w:val="both"/>
              <w:rPr>
                <w:rFonts w:ascii="Arial" w:eastAsia="Times New Roman" w:hAnsi="Arial" w:cs="Arial"/>
                <w:sz w:val="20"/>
                <w:szCs w:val="20"/>
                <w:lang w:eastAsia="pt-BR"/>
              </w:rPr>
            </w:pPr>
            <w:r w:rsidRPr="00CF1963">
              <w:rPr>
                <w:rFonts w:ascii="Arial" w:eastAsia="Times New Roman" w:hAnsi="Arial" w:cs="Arial"/>
                <w:sz w:val="20"/>
                <w:szCs w:val="20"/>
                <w:lang w:eastAsia="pt-BR"/>
              </w:rPr>
              <w:t xml:space="preserve">Código </w:t>
            </w:r>
            <w:r w:rsidR="00AE677F">
              <w:rPr>
                <w:rFonts w:ascii="Arial" w:eastAsia="Times New Roman" w:hAnsi="Arial" w:cs="Arial"/>
                <w:sz w:val="20"/>
                <w:szCs w:val="20"/>
                <w:lang w:eastAsia="pt-BR"/>
              </w:rPr>
              <w:t xml:space="preserve">de </w:t>
            </w:r>
            <w:r w:rsidRPr="00CF1963">
              <w:rPr>
                <w:rFonts w:ascii="Arial" w:eastAsia="Times New Roman" w:hAnsi="Arial" w:cs="Arial"/>
                <w:sz w:val="20"/>
                <w:szCs w:val="20"/>
                <w:lang w:eastAsia="pt-BR"/>
              </w:rPr>
              <w:t>detalhamento da destinação de recursos</w:t>
            </w:r>
          </w:p>
        </w:tc>
        <w:tc>
          <w:tcPr>
            <w:tcW w:w="1276" w:type="dxa"/>
            <w:tcBorders>
              <w:top w:val="nil"/>
              <w:left w:val="nil"/>
              <w:bottom w:val="single" w:sz="8" w:space="0" w:color="auto"/>
              <w:right w:val="single" w:sz="8" w:space="0" w:color="auto"/>
            </w:tcBorders>
            <w:shd w:val="clear" w:color="auto" w:fill="auto"/>
            <w:vAlign w:val="center"/>
            <w:hideMark/>
          </w:tcPr>
          <w:p w14:paraId="317FBA5A" w14:textId="77777777" w:rsidR="00054BA2" w:rsidRPr="00CF1963" w:rsidRDefault="00054BA2" w:rsidP="008B12A6">
            <w:pPr>
              <w:spacing w:after="0" w:line="240" w:lineRule="auto"/>
              <w:jc w:val="center"/>
              <w:rPr>
                <w:rFonts w:ascii="Arial" w:eastAsia="Times New Roman" w:hAnsi="Arial" w:cs="Arial"/>
                <w:sz w:val="20"/>
                <w:szCs w:val="20"/>
                <w:lang w:eastAsia="pt-BR"/>
              </w:rPr>
            </w:pPr>
            <w:r w:rsidRPr="00CF1963">
              <w:rPr>
                <w:rFonts w:ascii="Arial" w:eastAsia="Times New Roman" w:hAnsi="Arial" w:cs="Arial"/>
                <w:sz w:val="20"/>
                <w:szCs w:val="20"/>
                <w:lang w:eastAsia="pt-BR"/>
              </w:rPr>
              <w:t>Caracter</w:t>
            </w:r>
          </w:p>
        </w:tc>
        <w:tc>
          <w:tcPr>
            <w:tcW w:w="1134" w:type="dxa"/>
            <w:tcBorders>
              <w:top w:val="nil"/>
              <w:left w:val="nil"/>
              <w:bottom w:val="single" w:sz="8" w:space="0" w:color="auto"/>
              <w:right w:val="single" w:sz="8" w:space="0" w:color="auto"/>
            </w:tcBorders>
            <w:shd w:val="clear" w:color="auto" w:fill="auto"/>
            <w:vAlign w:val="center"/>
            <w:hideMark/>
          </w:tcPr>
          <w:p w14:paraId="0C1CD894" w14:textId="77777777" w:rsidR="00054BA2" w:rsidRPr="00CF1963" w:rsidRDefault="00AE677F" w:rsidP="008B12A6">
            <w:pPr>
              <w:spacing w:after="0" w:line="240" w:lineRule="auto"/>
              <w:jc w:val="center"/>
              <w:rPr>
                <w:rFonts w:ascii="Arial" w:eastAsia="Times New Roman" w:hAnsi="Arial" w:cs="Arial"/>
                <w:sz w:val="20"/>
                <w:szCs w:val="20"/>
                <w:lang w:eastAsia="pt-BR"/>
              </w:rPr>
            </w:pPr>
            <w:r>
              <w:rPr>
                <w:rFonts w:ascii="Arial" w:eastAsia="Times New Roman" w:hAnsi="Arial" w:cs="Arial"/>
                <w:sz w:val="20"/>
                <w:szCs w:val="20"/>
                <w:lang w:eastAsia="pt-BR"/>
              </w:rPr>
              <w:t>6</w:t>
            </w:r>
          </w:p>
        </w:tc>
        <w:tc>
          <w:tcPr>
            <w:tcW w:w="2835" w:type="dxa"/>
            <w:tcBorders>
              <w:top w:val="nil"/>
              <w:left w:val="nil"/>
              <w:bottom w:val="single" w:sz="8" w:space="0" w:color="auto"/>
              <w:right w:val="single" w:sz="8" w:space="0" w:color="auto"/>
            </w:tcBorders>
            <w:shd w:val="clear" w:color="auto" w:fill="auto"/>
            <w:vAlign w:val="center"/>
            <w:hideMark/>
          </w:tcPr>
          <w:p w14:paraId="49AD5CFD" w14:textId="77777777" w:rsidR="00054BA2" w:rsidRPr="00CF1963" w:rsidRDefault="00054BA2" w:rsidP="00054BA2">
            <w:pPr>
              <w:spacing w:after="0" w:line="240" w:lineRule="auto"/>
              <w:rPr>
                <w:rFonts w:ascii="Arial" w:eastAsia="Times New Roman" w:hAnsi="Arial" w:cs="Arial"/>
                <w:sz w:val="20"/>
                <w:szCs w:val="20"/>
                <w:lang w:eastAsia="pt-BR"/>
              </w:rPr>
            </w:pPr>
            <w:r w:rsidRPr="00CF1963">
              <w:rPr>
                <w:rFonts w:ascii="Arial" w:eastAsia="Times New Roman" w:hAnsi="Arial" w:cs="Arial"/>
                <w:sz w:val="20"/>
                <w:szCs w:val="20"/>
                <w:lang w:eastAsia="pt-BR"/>
              </w:rPr>
              <w:t>Obrigatório</w:t>
            </w:r>
          </w:p>
        </w:tc>
      </w:tr>
      <w:tr w:rsidR="00CF1963" w:rsidRPr="00CF1963" w14:paraId="62137ACD" w14:textId="77777777" w:rsidTr="008B12A6">
        <w:trPr>
          <w:trHeight w:val="315"/>
        </w:trPr>
        <w:tc>
          <w:tcPr>
            <w:tcW w:w="3984" w:type="dxa"/>
            <w:tcBorders>
              <w:top w:val="nil"/>
              <w:left w:val="single" w:sz="8" w:space="0" w:color="auto"/>
              <w:bottom w:val="single" w:sz="8" w:space="0" w:color="auto"/>
              <w:right w:val="single" w:sz="8" w:space="0" w:color="auto"/>
            </w:tcBorders>
            <w:shd w:val="clear" w:color="auto" w:fill="auto"/>
            <w:vAlign w:val="center"/>
            <w:hideMark/>
          </w:tcPr>
          <w:p w14:paraId="7ED51315" w14:textId="77777777" w:rsidR="00054BA2" w:rsidRPr="00CF1963" w:rsidRDefault="00054BA2" w:rsidP="008B12A6">
            <w:pPr>
              <w:spacing w:after="0" w:line="240" w:lineRule="auto"/>
              <w:jc w:val="both"/>
              <w:rPr>
                <w:rFonts w:ascii="Arial" w:eastAsia="Times New Roman" w:hAnsi="Arial" w:cs="Arial"/>
                <w:sz w:val="20"/>
                <w:szCs w:val="20"/>
                <w:lang w:eastAsia="pt-BR"/>
              </w:rPr>
            </w:pPr>
            <w:r w:rsidRPr="00CF1963">
              <w:rPr>
                <w:rFonts w:ascii="Arial" w:eastAsia="Times New Roman" w:hAnsi="Arial" w:cs="Arial"/>
                <w:sz w:val="20"/>
                <w:szCs w:val="20"/>
                <w:lang w:eastAsia="pt-BR"/>
              </w:rPr>
              <w:t xml:space="preserve">Dotação Inicial </w:t>
            </w:r>
            <w:r w:rsidRPr="00CF1963">
              <w:rPr>
                <w:rFonts w:ascii="Arial" w:eastAsia="Times New Roman" w:hAnsi="Arial" w:cs="Arial"/>
                <w:b/>
                <w:sz w:val="20"/>
                <w:szCs w:val="20"/>
                <w:vertAlign w:val="superscript"/>
                <w:lang w:eastAsia="pt-BR"/>
              </w:rPr>
              <w:t>[1]</w:t>
            </w:r>
          </w:p>
        </w:tc>
        <w:tc>
          <w:tcPr>
            <w:tcW w:w="1276" w:type="dxa"/>
            <w:tcBorders>
              <w:top w:val="nil"/>
              <w:left w:val="nil"/>
              <w:bottom w:val="single" w:sz="8" w:space="0" w:color="auto"/>
              <w:right w:val="single" w:sz="8" w:space="0" w:color="auto"/>
            </w:tcBorders>
            <w:shd w:val="clear" w:color="auto" w:fill="auto"/>
            <w:vAlign w:val="center"/>
            <w:hideMark/>
          </w:tcPr>
          <w:p w14:paraId="4F4A13F3" w14:textId="77777777" w:rsidR="00054BA2" w:rsidRPr="00CF1963" w:rsidRDefault="00054BA2" w:rsidP="008B12A6">
            <w:pPr>
              <w:spacing w:after="0" w:line="240" w:lineRule="auto"/>
              <w:jc w:val="center"/>
              <w:rPr>
                <w:rFonts w:ascii="Arial" w:eastAsia="Times New Roman" w:hAnsi="Arial" w:cs="Arial"/>
                <w:sz w:val="20"/>
                <w:szCs w:val="20"/>
                <w:lang w:eastAsia="pt-BR"/>
              </w:rPr>
            </w:pPr>
            <w:r w:rsidRPr="00CF1963">
              <w:rPr>
                <w:rFonts w:ascii="Arial" w:eastAsia="Times New Roman" w:hAnsi="Arial" w:cs="Arial"/>
                <w:sz w:val="20"/>
                <w:szCs w:val="20"/>
                <w:lang w:eastAsia="pt-BR"/>
              </w:rPr>
              <w:t>Decimal</w:t>
            </w:r>
          </w:p>
        </w:tc>
        <w:tc>
          <w:tcPr>
            <w:tcW w:w="1134" w:type="dxa"/>
            <w:tcBorders>
              <w:top w:val="nil"/>
              <w:left w:val="nil"/>
              <w:bottom w:val="single" w:sz="8" w:space="0" w:color="auto"/>
              <w:right w:val="single" w:sz="8" w:space="0" w:color="auto"/>
            </w:tcBorders>
            <w:shd w:val="clear" w:color="auto" w:fill="auto"/>
            <w:vAlign w:val="center"/>
            <w:hideMark/>
          </w:tcPr>
          <w:p w14:paraId="67EC2CEA" w14:textId="77777777" w:rsidR="00054BA2" w:rsidRPr="00CF1963" w:rsidRDefault="00054BA2" w:rsidP="008B12A6">
            <w:pPr>
              <w:spacing w:after="0" w:line="240" w:lineRule="auto"/>
              <w:jc w:val="center"/>
              <w:rPr>
                <w:rFonts w:ascii="Arial" w:eastAsia="Times New Roman" w:hAnsi="Arial" w:cs="Arial"/>
                <w:sz w:val="20"/>
                <w:szCs w:val="20"/>
                <w:lang w:eastAsia="pt-BR"/>
              </w:rPr>
            </w:pPr>
            <w:r w:rsidRPr="00CF1963">
              <w:rPr>
                <w:rFonts w:ascii="Arial" w:eastAsia="Times New Roman" w:hAnsi="Arial" w:cs="Arial"/>
                <w:sz w:val="20"/>
                <w:szCs w:val="20"/>
                <w:lang w:eastAsia="pt-BR"/>
              </w:rPr>
              <w:t>14,2</w:t>
            </w:r>
          </w:p>
        </w:tc>
        <w:tc>
          <w:tcPr>
            <w:tcW w:w="2835" w:type="dxa"/>
            <w:tcBorders>
              <w:top w:val="nil"/>
              <w:left w:val="nil"/>
              <w:bottom w:val="single" w:sz="8" w:space="0" w:color="auto"/>
              <w:right w:val="single" w:sz="8" w:space="0" w:color="auto"/>
            </w:tcBorders>
            <w:shd w:val="clear" w:color="auto" w:fill="auto"/>
            <w:vAlign w:val="center"/>
            <w:hideMark/>
          </w:tcPr>
          <w:p w14:paraId="6A83EC77" w14:textId="77777777" w:rsidR="00054BA2" w:rsidRPr="00CF1963" w:rsidRDefault="00054BA2" w:rsidP="00054BA2">
            <w:pPr>
              <w:spacing w:after="0" w:line="240" w:lineRule="auto"/>
              <w:rPr>
                <w:rFonts w:ascii="Arial" w:eastAsia="Times New Roman" w:hAnsi="Arial" w:cs="Arial"/>
                <w:sz w:val="20"/>
                <w:szCs w:val="20"/>
                <w:lang w:eastAsia="pt-BR"/>
              </w:rPr>
            </w:pPr>
            <w:r w:rsidRPr="00CF1963">
              <w:rPr>
                <w:rFonts w:ascii="Arial" w:eastAsia="Times New Roman" w:hAnsi="Arial" w:cs="Arial"/>
                <w:sz w:val="20"/>
                <w:szCs w:val="20"/>
                <w:lang w:eastAsia="pt-BR"/>
              </w:rPr>
              <w:t>Obrigatório</w:t>
            </w:r>
          </w:p>
        </w:tc>
      </w:tr>
      <w:tr w:rsidR="00CF1963" w:rsidRPr="00CF1963" w14:paraId="28162F06" w14:textId="77777777" w:rsidTr="008B12A6">
        <w:trPr>
          <w:trHeight w:val="315"/>
        </w:trPr>
        <w:tc>
          <w:tcPr>
            <w:tcW w:w="3984" w:type="dxa"/>
            <w:tcBorders>
              <w:top w:val="nil"/>
              <w:left w:val="single" w:sz="8" w:space="0" w:color="auto"/>
              <w:bottom w:val="single" w:sz="8" w:space="0" w:color="auto"/>
              <w:right w:val="single" w:sz="8" w:space="0" w:color="auto"/>
            </w:tcBorders>
            <w:shd w:val="clear" w:color="auto" w:fill="auto"/>
            <w:vAlign w:val="center"/>
            <w:hideMark/>
          </w:tcPr>
          <w:p w14:paraId="205B080E" w14:textId="77777777" w:rsidR="00054BA2" w:rsidRPr="00CF1963" w:rsidRDefault="00054BA2" w:rsidP="008B12A6">
            <w:pPr>
              <w:spacing w:after="0" w:line="240" w:lineRule="auto"/>
              <w:jc w:val="both"/>
              <w:rPr>
                <w:rFonts w:ascii="Arial" w:eastAsia="Times New Roman" w:hAnsi="Arial" w:cs="Arial"/>
                <w:sz w:val="20"/>
                <w:szCs w:val="20"/>
                <w:lang w:eastAsia="pt-BR"/>
              </w:rPr>
            </w:pPr>
            <w:r w:rsidRPr="00CF1963">
              <w:rPr>
                <w:rFonts w:ascii="Arial" w:eastAsia="Times New Roman" w:hAnsi="Arial" w:cs="Arial"/>
                <w:sz w:val="20"/>
                <w:szCs w:val="20"/>
                <w:lang w:eastAsia="pt-BR"/>
              </w:rPr>
              <w:t xml:space="preserve">Adição Dotação </w:t>
            </w:r>
            <w:r w:rsidRPr="00CF1963">
              <w:rPr>
                <w:rFonts w:ascii="Arial" w:eastAsia="Times New Roman" w:hAnsi="Arial" w:cs="Arial"/>
                <w:b/>
                <w:sz w:val="20"/>
                <w:szCs w:val="20"/>
                <w:vertAlign w:val="superscript"/>
                <w:lang w:eastAsia="pt-BR"/>
              </w:rPr>
              <w:t>[2]</w:t>
            </w:r>
          </w:p>
        </w:tc>
        <w:tc>
          <w:tcPr>
            <w:tcW w:w="1276" w:type="dxa"/>
            <w:tcBorders>
              <w:top w:val="nil"/>
              <w:left w:val="nil"/>
              <w:bottom w:val="single" w:sz="8" w:space="0" w:color="auto"/>
              <w:right w:val="single" w:sz="8" w:space="0" w:color="auto"/>
            </w:tcBorders>
            <w:shd w:val="clear" w:color="auto" w:fill="auto"/>
            <w:vAlign w:val="center"/>
            <w:hideMark/>
          </w:tcPr>
          <w:p w14:paraId="5F50C50B" w14:textId="77777777" w:rsidR="00054BA2" w:rsidRPr="00CF1963" w:rsidRDefault="00054BA2" w:rsidP="008B12A6">
            <w:pPr>
              <w:spacing w:after="0" w:line="240" w:lineRule="auto"/>
              <w:jc w:val="center"/>
              <w:rPr>
                <w:rFonts w:ascii="Arial" w:eastAsia="Times New Roman" w:hAnsi="Arial" w:cs="Arial"/>
                <w:sz w:val="20"/>
                <w:szCs w:val="20"/>
                <w:lang w:eastAsia="pt-BR"/>
              </w:rPr>
            </w:pPr>
            <w:r w:rsidRPr="00CF1963">
              <w:rPr>
                <w:rFonts w:ascii="Arial" w:eastAsia="Times New Roman" w:hAnsi="Arial" w:cs="Arial"/>
                <w:sz w:val="20"/>
                <w:szCs w:val="20"/>
                <w:lang w:eastAsia="pt-BR"/>
              </w:rPr>
              <w:t>Decimal</w:t>
            </w:r>
          </w:p>
        </w:tc>
        <w:tc>
          <w:tcPr>
            <w:tcW w:w="1134" w:type="dxa"/>
            <w:tcBorders>
              <w:top w:val="nil"/>
              <w:left w:val="nil"/>
              <w:bottom w:val="single" w:sz="8" w:space="0" w:color="auto"/>
              <w:right w:val="single" w:sz="8" w:space="0" w:color="auto"/>
            </w:tcBorders>
            <w:shd w:val="clear" w:color="auto" w:fill="auto"/>
            <w:vAlign w:val="center"/>
            <w:hideMark/>
          </w:tcPr>
          <w:p w14:paraId="38A42D89" w14:textId="77777777" w:rsidR="00054BA2" w:rsidRPr="00CF1963" w:rsidRDefault="00054BA2" w:rsidP="008B12A6">
            <w:pPr>
              <w:spacing w:after="0" w:line="240" w:lineRule="auto"/>
              <w:jc w:val="center"/>
              <w:rPr>
                <w:rFonts w:ascii="Arial" w:eastAsia="Times New Roman" w:hAnsi="Arial" w:cs="Arial"/>
                <w:sz w:val="20"/>
                <w:szCs w:val="20"/>
                <w:lang w:eastAsia="pt-BR"/>
              </w:rPr>
            </w:pPr>
            <w:r w:rsidRPr="00CF1963">
              <w:rPr>
                <w:rFonts w:ascii="Arial" w:eastAsia="Times New Roman" w:hAnsi="Arial" w:cs="Arial"/>
                <w:sz w:val="20"/>
                <w:szCs w:val="20"/>
                <w:lang w:eastAsia="pt-BR"/>
              </w:rPr>
              <w:t>14,2</w:t>
            </w:r>
          </w:p>
        </w:tc>
        <w:tc>
          <w:tcPr>
            <w:tcW w:w="2835" w:type="dxa"/>
            <w:tcBorders>
              <w:top w:val="nil"/>
              <w:left w:val="nil"/>
              <w:bottom w:val="single" w:sz="8" w:space="0" w:color="auto"/>
              <w:right w:val="single" w:sz="8" w:space="0" w:color="auto"/>
            </w:tcBorders>
            <w:shd w:val="clear" w:color="auto" w:fill="auto"/>
            <w:vAlign w:val="center"/>
            <w:hideMark/>
          </w:tcPr>
          <w:p w14:paraId="0D73A1E3" w14:textId="77777777" w:rsidR="00054BA2" w:rsidRPr="00CF1963" w:rsidRDefault="00054BA2" w:rsidP="00054BA2">
            <w:pPr>
              <w:spacing w:after="0" w:line="240" w:lineRule="auto"/>
              <w:rPr>
                <w:rFonts w:ascii="Arial" w:eastAsia="Times New Roman" w:hAnsi="Arial" w:cs="Arial"/>
                <w:sz w:val="20"/>
                <w:szCs w:val="20"/>
                <w:lang w:eastAsia="pt-BR"/>
              </w:rPr>
            </w:pPr>
            <w:r w:rsidRPr="00CF1963">
              <w:rPr>
                <w:rFonts w:ascii="Arial" w:eastAsia="Times New Roman" w:hAnsi="Arial" w:cs="Arial"/>
                <w:sz w:val="20"/>
                <w:szCs w:val="20"/>
                <w:lang w:eastAsia="pt-BR"/>
              </w:rPr>
              <w:t>Obrigatório</w:t>
            </w:r>
          </w:p>
        </w:tc>
      </w:tr>
      <w:tr w:rsidR="00CF1963" w:rsidRPr="00CF1963" w14:paraId="7A98224A" w14:textId="77777777" w:rsidTr="008B12A6">
        <w:trPr>
          <w:trHeight w:val="315"/>
        </w:trPr>
        <w:tc>
          <w:tcPr>
            <w:tcW w:w="3984" w:type="dxa"/>
            <w:tcBorders>
              <w:top w:val="nil"/>
              <w:left w:val="single" w:sz="8" w:space="0" w:color="auto"/>
              <w:bottom w:val="single" w:sz="8" w:space="0" w:color="auto"/>
              <w:right w:val="single" w:sz="8" w:space="0" w:color="auto"/>
            </w:tcBorders>
            <w:shd w:val="clear" w:color="auto" w:fill="auto"/>
            <w:vAlign w:val="center"/>
            <w:hideMark/>
          </w:tcPr>
          <w:p w14:paraId="7616BD70" w14:textId="77777777" w:rsidR="00054BA2" w:rsidRPr="00CF1963" w:rsidRDefault="00054BA2" w:rsidP="008B12A6">
            <w:pPr>
              <w:spacing w:after="0" w:line="240" w:lineRule="auto"/>
              <w:jc w:val="both"/>
              <w:rPr>
                <w:rFonts w:ascii="Arial" w:eastAsia="Times New Roman" w:hAnsi="Arial" w:cs="Arial"/>
                <w:sz w:val="20"/>
                <w:szCs w:val="20"/>
                <w:lang w:eastAsia="pt-BR"/>
              </w:rPr>
            </w:pPr>
            <w:r w:rsidRPr="00CF1963">
              <w:rPr>
                <w:rFonts w:ascii="Arial" w:eastAsia="Times New Roman" w:hAnsi="Arial" w:cs="Arial"/>
                <w:sz w:val="20"/>
                <w:szCs w:val="20"/>
                <w:lang w:eastAsia="pt-BR"/>
              </w:rPr>
              <w:t xml:space="preserve">Subtração Dotação </w:t>
            </w:r>
            <w:r w:rsidRPr="00CF1963">
              <w:rPr>
                <w:rFonts w:ascii="Arial" w:eastAsia="Times New Roman" w:hAnsi="Arial" w:cs="Arial"/>
                <w:b/>
                <w:sz w:val="20"/>
                <w:szCs w:val="20"/>
                <w:vertAlign w:val="superscript"/>
                <w:lang w:eastAsia="pt-BR"/>
              </w:rPr>
              <w:t>[3]</w:t>
            </w:r>
          </w:p>
        </w:tc>
        <w:tc>
          <w:tcPr>
            <w:tcW w:w="1276" w:type="dxa"/>
            <w:tcBorders>
              <w:top w:val="nil"/>
              <w:left w:val="nil"/>
              <w:bottom w:val="single" w:sz="8" w:space="0" w:color="auto"/>
              <w:right w:val="single" w:sz="8" w:space="0" w:color="auto"/>
            </w:tcBorders>
            <w:shd w:val="clear" w:color="auto" w:fill="auto"/>
            <w:vAlign w:val="center"/>
            <w:hideMark/>
          </w:tcPr>
          <w:p w14:paraId="616E5DBB" w14:textId="77777777" w:rsidR="00054BA2" w:rsidRPr="00CF1963" w:rsidRDefault="00054BA2" w:rsidP="008B12A6">
            <w:pPr>
              <w:spacing w:after="0" w:line="240" w:lineRule="auto"/>
              <w:jc w:val="center"/>
              <w:rPr>
                <w:rFonts w:ascii="Arial" w:eastAsia="Times New Roman" w:hAnsi="Arial" w:cs="Arial"/>
                <w:sz w:val="20"/>
                <w:szCs w:val="20"/>
                <w:lang w:eastAsia="pt-BR"/>
              </w:rPr>
            </w:pPr>
            <w:r w:rsidRPr="00CF1963">
              <w:rPr>
                <w:rFonts w:ascii="Arial" w:eastAsia="Times New Roman" w:hAnsi="Arial" w:cs="Arial"/>
                <w:sz w:val="20"/>
                <w:szCs w:val="20"/>
                <w:lang w:eastAsia="pt-BR"/>
              </w:rPr>
              <w:t>Decimal</w:t>
            </w:r>
          </w:p>
        </w:tc>
        <w:tc>
          <w:tcPr>
            <w:tcW w:w="1134" w:type="dxa"/>
            <w:tcBorders>
              <w:top w:val="nil"/>
              <w:left w:val="nil"/>
              <w:bottom w:val="single" w:sz="8" w:space="0" w:color="auto"/>
              <w:right w:val="single" w:sz="8" w:space="0" w:color="auto"/>
            </w:tcBorders>
            <w:shd w:val="clear" w:color="auto" w:fill="auto"/>
            <w:vAlign w:val="center"/>
            <w:hideMark/>
          </w:tcPr>
          <w:p w14:paraId="620ECC70" w14:textId="77777777" w:rsidR="00054BA2" w:rsidRPr="00CF1963" w:rsidRDefault="00054BA2" w:rsidP="008B12A6">
            <w:pPr>
              <w:spacing w:after="0" w:line="240" w:lineRule="auto"/>
              <w:jc w:val="center"/>
              <w:rPr>
                <w:rFonts w:ascii="Arial" w:eastAsia="Times New Roman" w:hAnsi="Arial" w:cs="Arial"/>
                <w:sz w:val="20"/>
                <w:szCs w:val="20"/>
                <w:lang w:eastAsia="pt-BR"/>
              </w:rPr>
            </w:pPr>
            <w:r w:rsidRPr="00CF1963">
              <w:rPr>
                <w:rFonts w:ascii="Arial" w:eastAsia="Times New Roman" w:hAnsi="Arial" w:cs="Arial"/>
                <w:sz w:val="20"/>
                <w:szCs w:val="20"/>
                <w:lang w:eastAsia="pt-BR"/>
              </w:rPr>
              <w:t>14,2</w:t>
            </w:r>
          </w:p>
        </w:tc>
        <w:tc>
          <w:tcPr>
            <w:tcW w:w="2835" w:type="dxa"/>
            <w:tcBorders>
              <w:top w:val="nil"/>
              <w:left w:val="nil"/>
              <w:bottom w:val="single" w:sz="8" w:space="0" w:color="auto"/>
              <w:right w:val="single" w:sz="8" w:space="0" w:color="auto"/>
            </w:tcBorders>
            <w:shd w:val="clear" w:color="auto" w:fill="auto"/>
            <w:vAlign w:val="center"/>
            <w:hideMark/>
          </w:tcPr>
          <w:p w14:paraId="6CC5C80A" w14:textId="77777777" w:rsidR="00054BA2" w:rsidRPr="00CF1963" w:rsidRDefault="00054BA2" w:rsidP="00054BA2">
            <w:pPr>
              <w:spacing w:after="0" w:line="240" w:lineRule="auto"/>
              <w:rPr>
                <w:rFonts w:ascii="Arial" w:eastAsia="Times New Roman" w:hAnsi="Arial" w:cs="Arial"/>
                <w:sz w:val="20"/>
                <w:szCs w:val="20"/>
                <w:lang w:eastAsia="pt-BR"/>
              </w:rPr>
            </w:pPr>
            <w:r w:rsidRPr="00CF1963">
              <w:rPr>
                <w:rFonts w:ascii="Arial" w:eastAsia="Times New Roman" w:hAnsi="Arial" w:cs="Arial"/>
                <w:sz w:val="20"/>
                <w:szCs w:val="20"/>
                <w:lang w:eastAsia="pt-BR"/>
              </w:rPr>
              <w:t>Obrigatório</w:t>
            </w:r>
          </w:p>
        </w:tc>
      </w:tr>
      <w:tr w:rsidR="00CF1963" w:rsidRPr="00CF1963" w14:paraId="1F4BCEB2" w14:textId="77777777" w:rsidTr="008B12A6">
        <w:trPr>
          <w:trHeight w:val="315"/>
        </w:trPr>
        <w:tc>
          <w:tcPr>
            <w:tcW w:w="3984" w:type="dxa"/>
            <w:tcBorders>
              <w:top w:val="nil"/>
              <w:left w:val="single" w:sz="8" w:space="0" w:color="auto"/>
              <w:bottom w:val="single" w:sz="8" w:space="0" w:color="auto"/>
              <w:right w:val="single" w:sz="8" w:space="0" w:color="auto"/>
            </w:tcBorders>
            <w:shd w:val="clear" w:color="auto" w:fill="auto"/>
            <w:vAlign w:val="center"/>
            <w:hideMark/>
          </w:tcPr>
          <w:p w14:paraId="3968580F" w14:textId="77777777" w:rsidR="00054BA2" w:rsidRPr="00CF1963" w:rsidRDefault="00054BA2" w:rsidP="008B12A6">
            <w:pPr>
              <w:spacing w:after="0" w:line="240" w:lineRule="auto"/>
              <w:jc w:val="both"/>
              <w:rPr>
                <w:rFonts w:ascii="Arial" w:eastAsia="Times New Roman" w:hAnsi="Arial" w:cs="Arial"/>
                <w:sz w:val="20"/>
                <w:szCs w:val="20"/>
                <w:lang w:eastAsia="pt-BR"/>
              </w:rPr>
            </w:pPr>
            <w:r w:rsidRPr="00CF1963">
              <w:rPr>
                <w:rFonts w:ascii="Arial" w:eastAsia="Times New Roman" w:hAnsi="Arial" w:cs="Arial"/>
                <w:sz w:val="20"/>
                <w:szCs w:val="20"/>
                <w:lang w:eastAsia="pt-BR"/>
              </w:rPr>
              <w:t xml:space="preserve">Dotação Atualizada </w:t>
            </w:r>
            <w:r w:rsidRPr="00CF1963">
              <w:rPr>
                <w:rFonts w:ascii="Arial" w:eastAsia="Times New Roman" w:hAnsi="Arial" w:cs="Arial"/>
                <w:b/>
                <w:sz w:val="20"/>
                <w:szCs w:val="20"/>
                <w:vertAlign w:val="superscript"/>
                <w:lang w:eastAsia="pt-BR"/>
              </w:rPr>
              <w:t>[4]</w:t>
            </w:r>
          </w:p>
        </w:tc>
        <w:tc>
          <w:tcPr>
            <w:tcW w:w="1276" w:type="dxa"/>
            <w:tcBorders>
              <w:top w:val="nil"/>
              <w:left w:val="nil"/>
              <w:bottom w:val="single" w:sz="8" w:space="0" w:color="auto"/>
              <w:right w:val="single" w:sz="8" w:space="0" w:color="auto"/>
            </w:tcBorders>
            <w:shd w:val="clear" w:color="auto" w:fill="auto"/>
            <w:vAlign w:val="center"/>
            <w:hideMark/>
          </w:tcPr>
          <w:p w14:paraId="730715EE" w14:textId="77777777" w:rsidR="00054BA2" w:rsidRPr="00CF1963" w:rsidRDefault="00054BA2" w:rsidP="008B12A6">
            <w:pPr>
              <w:spacing w:after="0" w:line="240" w:lineRule="auto"/>
              <w:jc w:val="center"/>
              <w:rPr>
                <w:rFonts w:ascii="Arial" w:eastAsia="Times New Roman" w:hAnsi="Arial" w:cs="Arial"/>
                <w:sz w:val="20"/>
                <w:szCs w:val="20"/>
                <w:lang w:eastAsia="pt-BR"/>
              </w:rPr>
            </w:pPr>
            <w:r w:rsidRPr="00CF1963">
              <w:rPr>
                <w:rFonts w:ascii="Arial" w:eastAsia="Times New Roman" w:hAnsi="Arial" w:cs="Arial"/>
                <w:sz w:val="20"/>
                <w:szCs w:val="20"/>
                <w:lang w:eastAsia="pt-BR"/>
              </w:rPr>
              <w:t>Decimal</w:t>
            </w:r>
          </w:p>
        </w:tc>
        <w:tc>
          <w:tcPr>
            <w:tcW w:w="1134" w:type="dxa"/>
            <w:tcBorders>
              <w:top w:val="nil"/>
              <w:left w:val="nil"/>
              <w:bottom w:val="single" w:sz="8" w:space="0" w:color="auto"/>
              <w:right w:val="single" w:sz="8" w:space="0" w:color="auto"/>
            </w:tcBorders>
            <w:shd w:val="clear" w:color="auto" w:fill="auto"/>
            <w:vAlign w:val="center"/>
            <w:hideMark/>
          </w:tcPr>
          <w:p w14:paraId="71E14D89" w14:textId="77777777" w:rsidR="00054BA2" w:rsidRPr="00CF1963" w:rsidRDefault="00054BA2" w:rsidP="008B12A6">
            <w:pPr>
              <w:spacing w:after="0" w:line="240" w:lineRule="auto"/>
              <w:jc w:val="center"/>
              <w:rPr>
                <w:rFonts w:ascii="Arial" w:eastAsia="Times New Roman" w:hAnsi="Arial" w:cs="Arial"/>
                <w:sz w:val="20"/>
                <w:szCs w:val="20"/>
                <w:lang w:eastAsia="pt-BR"/>
              </w:rPr>
            </w:pPr>
            <w:r w:rsidRPr="00CF1963">
              <w:rPr>
                <w:rFonts w:ascii="Arial" w:eastAsia="Times New Roman" w:hAnsi="Arial" w:cs="Arial"/>
                <w:sz w:val="20"/>
                <w:szCs w:val="20"/>
                <w:lang w:eastAsia="pt-BR"/>
              </w:rPr>
              <w:t>14,2</w:t>
            </w:r>
          </w:p>
        </w:tc>
        <w:tc>
          <w:tcPr>
            <w:tcW w:w="2835" w:type="dxa"/>
            <w:tcBorders>
              <w:top w:val="nil"/>
              <w:left w:val="nil"/>
              <w:bottom w:val="single" w:sz="8" w:space="0" w:color="auto"/>
              <w:right w:val="single" w:sz="8" w:space="0" w:color="auto"/>
            </w:tcBorders>
            <w:shd w:val="clear" w:color="auto" w:fill="auto"/>
            <w:vAlign w:val="center"/>
            <w:hideMark/>
          </w:tcPr>
          <w:p w14:paraId="6B686732" w14:textId="77777777" w:rsidR="00054BA2" w:rsidRPr="00CF1963" w:rsidRDefault="00054BA2" w:rsidP="00054BA2">
            <w:pPr>
              <w:spacing w:after="0" w:line="240" w:lineRule="auto"/>
              <w:rPr>
                <w:rFonts w:ascii="Arial" w:eastAsia="Times New Roman" w:hAnsi="Arial" w:cs="Arial"/>
                <w:sz w:val="20"/>
                <w:szCs w:val="20"/>
                <w:lang w:eastAsia="pt-BR"/>
              </w:rPr>
            </w:pPr>
            <w:r w:rsidRPr="00CF1963">
              <w:rPr>
                <w:rFonts w:ascii="Arial" w:eastAsia="Times New Roman" w:hAnsi="Arial" w:cs="Arial"/>
                <w:sz w:val="20"/>
                <w:szCs w:val="20"/>
                <w:lang w:eastAsia="pt-BR"/>
              </w:rPr>
              <w:t>Obrigatório</w:t>
            </w:r>
          </w:p>
        </w:tc>
      </w:tr>
      <w:tr w:rsidR="00CF1963" w:rsidRPr="00CF1963" w14:paraId="6A53D5B4" w14:textId="77777777" w:rsidTr="008B12A6">
        <w:trPr>
          <w:trHeight w:val="315"/>
        </w:trPr>
        <w:tc>
          <w:tcPr>
            <w:tcW w:w="3984" w:type="dxa"/>
            <w:tcBorders>
              <w:top w:val="nil"/>
              <w:left w:val="single" w:sz="8" w:space="0" w:color="auto"/>
              <w:bottom w:val="single" w:sz="8" w:space="0" w:color="auto"/>
              <w:right w:val="single" w:sz="8" w:space="0" w:color="auto"/>
            </w:tcBorders>
            <w:shd w:val="clear" w:color="auto" w:fill="auto"/>
            <w:vAlign w:val="center"/>
            <w:hideMark/>
          </w:tcPr>
          <w:p w14:paraId="3A453AF0" w14:textId="77777777" w:rsidR="00054BA2" w:rsidRPr="00CF1963" w:rsidRDefault="00054BA2" w:rsidP="008B12A6">
            <w:pPr>
              <w:spacing w:after="0" w:line="240" w:lineRule="auto"/>
              <w:jc w:val="both"/>
              <w:rPr>
                <w:rFonts w:ascii="Arial" w:eastAsia="Times New Roman" w:hAnsi="Arial" w:cs="Arial"/>
                <w:sz w:val="20"/>
                <w:szCs w:val="20"/>
                <w:lang w:eastAsia="pt-BR"/>
              </w:rPr>
            </w:pPr>
            <w:r w:rsidRPr="00CF1963">
              <w:rPr>
                <w:rFonts w:ascii="Arial" w:eastAsia="Times New Roman" w:hAnsi="Arial" w:cs="Arial"/>
                <w:sz w:val="20"/>
                <w:szCs w:val="20"/>
                <w:lang w:eastAsia="pt-BR"/>
              </w:rPr>
              <w:t xml:space="preserve">Valor Empenhado </w:t>
            </w:r>
            <w:r w:rsidRPr="00CF1963">
              <w:rPr>
                <w:rFonts w:ascii="Arial" w:eastAsia="Times New Roman" w:hAnsi="Arial" w:cs="Arial"/>
                <w:b/>
                <w:sz w:val="20"/>
                <w:szCs w:val="20"/>
                <w:vertAlign w:val="superscript"/>
                <w:lang w:eastAsia="pt-BR"/>
              </w:rPr>
              <w:t>[5]</w:t>
            </w:r>
          </w:p>
        </w:tc>
        <w:tc>
          <w:tcPr>
            <w:tcW w:w="1276" w:type="dxa"/>
            <w:tcBorders>
              <w:top w:val="nil"/>
              <w:left w:val="nil"/>
              <w:bottom w:val="single" w:sz="8" w:space="0" w:color="auto"/>
              <w:right w:val="single" w:sz="8" w:space="0" w:color="auto"/>
            </w:tcBorders>
            <w:shd w:val="clear" w:color="auto" w:fill="auto"/>
            <w:vAlign w:val="center"/>
            <w:hideMark/>
          </w:tcPr>
          <w:p w14:paraId="0CF2CC7A" w14:textId="77777777" w:rsidR="00054BA2" w:rsidRPr="00CF1963" w:rsidRDefault="00054BA2" w:rsidP="008B12A6">
            <w:pPr>
              <w:spacing w:after="0" w:line="240" w:lineRule="auto"/>
              <w:jc w:val="center"/>
              <w:rPr>
                <w:rFonts w:ascii="Arial" w:eastAsia="Times New Roman" w:hAnsi="Arial" w:cs="Arial"/>
                <w:sz w:val="20"/>
                <w:szCs w:val="20"/>
                <w:lang w:eastAsia="pt-BR"/>
              </w:rPr>
            </w:pPr>
            <w:r w:rsidRPr="00CF1963">
              <w:rPr>
                <w:rFonts w:ascii="Arial" w:eastAsia="Times New Roman" w:hAnsi="Arial" w:cs="Arial"/>
                <w:sz w:val="20"/>
                <w:szCs w:val="20"/>
                <w:lang w:eastAsia="pt-BR"/>
              </w:rPr>
              <w:t>Decimal</w:t>
            </w:r>
          </w:p>
        </w:tc>
        <w:tc>
          <w:tcPr>
            <w:tcW w:w="1134" w:type="dxa"/>
            <w:tcBorders>
              <w:top w:val="nil"/>
              <w:left w:val="nil"/>
              <w:bottom w:val="single" w:sz="8" w:space="0" w:color="auto"/>
              <w:right w:val="single" w:sz="8" w:space="0" w:color="auto"/>
            </w:tcBorders>
            <w:shd w:val="clear" w:color="auto" w:fill="auto"/>
            <w:vAlign w:val="center"/>
            <w:hideMark/>
          </w:tcPr>
          <w:p w14:paraId="599B1C24" w14:textId="77777777" w:rsidR="00054BA2" w:rsidRPr="00CF1963" w:rsidRDefault="00054BA2" w:rsidP="008B12A6">
            <w:pPr>
              <w:spacing w:after="0" w:line="240" w:lineRule="auto"/>
              <w:jc w:val="center"/>
              <w:rPr>
                <w:rFonts w:ascii="Arial" w:eastAsia="Times New Roman" w:hAnsi="Arial" w:cs="Arial"/>
                <w:sz w:val="20"/>
                <w:szCs w:val="20"/>
                <w:lang w:eastAsia="pt-BR"/>
              </w:rPr>
            </w:pPr>
            <w:r w:rsidRPr="00CF1963">
              <w:rPr>
                <w:rFonts w:ascii="Arial" w:eastAsia="Times New Roman" w:hAnsi="Arial" w:cs="Arial"/>
                <w:sz w:val="20"/>
                <w:szCs w:val="20"/>
                <w:lang w:eastAsia="pt-BR"/>
              </w:rPr>
              <w:t>14,2</w:t>
            </w:r>
          </w:p>
        </w:tc>
        <w:tc>
          <w:tcPr>
            <w:tcW w:w="2835" w:type="dxa"/>
            <w:tcBorders>
              <w:top w:val="nil"/>
              <w:left w:val="nil"/>
              <w:bottom w:val="single" w:sz="8" w:space="0" w:color="auto"/>
              <w:right w:val="single" w:sz="8" w:space="0" w:color="auto"/>
            </w:tcBorders>
            <w:shd w:val="clear" w:color="auto" w:fill="auto"/>
            <w:vAlign w:val="center"/>
            <w:hideMark/>
          </w:tcPr>
          <w:p w14:paraId="2E937748" w14:textId="77777777" w:rsidR="00054BA2" w:rsidRPr="00CF1963" w:rsidRDefault="00054BA2" w:rsidP="00054BA2">
            <w:pPr>
              <w:spacing w:after="0" w:line="240" w:lineRule="auto"/>
              <w:rPr>
                <w:rFonts w:ascii="Arial" w:eastAsia="Times New Roman" w:hAnsi="Arial" w:cs="Arial"/>
                <w:sz w:val="20"/>
                <w:szCs w:val="20"/>
                <w:lang w:eastAsia="pt-BR"/>
              </w:rPr>
            </w:pPr>
            <w:r w:rsidRPr="00CF1963">
              <w:rPr>
                <w:rFonts w:ascii="Arial" w:eastAsia="Times New Roman" w:hAnsi="Arial" w:cs="Arial"/>
                <w:sz w:val="20"/>
                <w:szCs w:val="20"/>
                <w:lang w:eastAsia="pt-BR"/>
              </w:rPr>
              <w:t>Obrigatório</w:t>
            </w:r>
          </w:p>
        </w:tc>
      </w:tr>
      <w:tr w:rsidR="00CF1963" w:rsidRPr="00CF1963" w14:paraId="238E42AF" w14:textId="77777777" w:rsidTr="008B12A6">
        <w:trPr>
          <w:trHeight w:val="315"/>
        </w:trPr>
        <w:tc>
          <w:tcPr>
            <w:tcW w:w="3984" w:type="dxa"/>
            <w:tcBorders>
              <w:top w:val="nil"/>
              <w:left w:val="single" w:sz="8" w:space="0" w:color="auto"/>
              <w:bottom w:val="single" w:sz="8" w:space="0" w:color="auto"/>
              <w:right w:val="single" w:sz="8" w:space="0" w:color="auto"/>
            </w:tcBorders>
            <w:shd w:val="clear" w:color="auto" w:fill="auto"/>
            <w:vAlign w:val="center"/>
            <w:hideMark/>
          </w:tcPr>
          <w:p w14:paraId="2D3A3E59" w14:textId="77777777" w:rsidR="00054BA2" w:rsidRPr="00CF1963" w:rsidRDefault="00054BA2" w:rsidP="008B12A6">
            <w:pPr>
              <w:spacing w:after="0" w:line="240" w:lineRule="auto"/>
              <w:jc w:val="both"/>
              <w:rPr>
                <w:rFonts w:ascii="Arial" w:eastAsia="Times New Roman" w:hAnsi="Arial" w:cs="Arial"/>
                <w:sz w:val="20"/>
                <w:szCs w:val="20"/>
                <w:lang w:eastAsia="pt-BR"/>
              </w:rPr>
            </w:pPr>
            <w:r w:rsidRPr="00CF1963">
              <w:rPr>
                <w:rFonts w:ascii="Arial" w:eastAsia="Times New Roman" w:hAnsi="Arial" w:cs="Arial"/>
                <w:sz w:val="20"/>
                <w:szCs w:val="20"/>
                <w:lang w:eastAsia="pt-BR"/>
              </w:rPr>
              <w:t xml:space="preserve">Valor Liquidado </w:t>
            </w:r>
            <w:r w:rsidRPr="00CF1963">
              <w:rPr>
                <w:rFonts w:ascii="Arial" w:eastAsia="Times New Roman" w:hAnsi="Arial" w:cs="Arial"/>
                <w:b/>
                <w:sz w:val="20"/>
                <w:szCs w:val="20"/>
                <w:vertAlign w:val="superscript"/>
                <w:lang w:eastAsia="pt-BR"/>
              </w:rPr>
              <w:t>[6]</w:t>
            </w:r>
          </w:p>
        </w:tc>
        <w:tc>
          <w:tcPr>
            <w:tcW w:w="1276" w:type="dxa"/>
            <w:tcBorders>
              <w:top w:val="nil"/>
              <w:left w:val="nil"/>
              <w:bottom w:val="single" w:sz="8" w:space="0" w:color="auto"/>
              <w:right w:val="single" w:sz="8" w:space="0" w:color="auto"/>
            </w:tcBorders>
            <w:shd w:val="clear" w:color="auto" w:fill="auto"/>
            <w:vAlign w:val="center"/>
            <w:hideMark/>
          </w:tcPr>
          <w:p w14:paraId="2E769BA6" w14:textId="77777777" w:rsidR="00054BA2" w:rsidRPr="00CF1963" w:rsidRDefault="00054BA2" w:rsidP="008B12A6">
            <w:pPr>
              <w:spacing w:after="0" w:line="240" w:lineRule="auto"/>
              <w:jc w:val="center"/>
              <w:rPr>
                <w:rFonts w:ascii="Arial" w:eastAsia="Times New Roman" w:hAnsi="Arial" w:cs="Arial"/>
                <w:sz w:val="20"/>
                <w:szCs w:val="20"/>
                <w:lang w:eastAsia="pt-BR"/>
              </w:rPr>
            </w:pPr>
            <w:r w:rsidRPr="00CF1963">
              <w:rPr>
                <w:rFonts w:ascii="Arial" w:eastAsia="Times New Roman" w:hAnsi="Arial" w:cs="Arial"/>
                <w:sz w:val="20"/>
                <w:szCs w:val="20"/>
                <w:lang w:eastAsia="pt-BR"/>
              </w:rPr>
              <w:t>Decimal</w:t>
            </w:r>
          </w:p>
        </w:tc>
        <w:tc>
          <w:tcPr>
            <w:tcW w:w="1134" w:type="dxa"/>
            <w:tcBorders>
              <w:top w:val="nil"/>
              <w:left w:val="nil"/>
              <w:bottom w:val="single" w:sz="8" w:space="0" w:color="auto"/>
              <w:right w:val="single" w:sz="8" w:space="0" w:color="auto"/>
            </w:tcBorders>
            <w:shd w:val="clear" w:color="auto" w:fill="auto"/>
            <w:vAlign w:val="center"/>
            <w:hideMark/>
          </w:tcPr>
          <w:p w14:paraId="173DF571" w14:textId="77777777" w:rsidR="00054BA2" w:rsidRPr="00CF1963" w:rsidRDefault="00054BA2" w:rsidP="008B12A6">
            <w:pPr>
              <w:spacing w:after="0" w:line="240" w:lineRule="auto"/>
              <w:jc w:val="center"/>
              <w:rPr>
                <w:rFonts w:ascii="Arial" w:eastAsia="Times New Roman" w:hAnsi="Arial" w:cs="Arial"/>
                <w:sz w:val="20"/>
                <w:szCs w:val="20"/>
                <w:lang w:eastAsia="pt-BR"/>
              </w:rPr>
            </w:pPr>
            <w:r w:rsidRPr="00CF1963">
              <w:rPr>
                <w:rFonts w:ascii="Arial" w:eastAsia="Times New Roman" w:hAnsi="Arial" w:cs="Arial"/>
                <w:sz w:val="20"/>
                <w:szCs w:val="20"/>
                <w:lang w:eastAsia="pt-BR"/>
              </w:rPr>
              <w:t>14,2</w:t>
            </w:r>
          </w:p>
        </w:tc>
        <w:tc>
          <w:tcPr>
            <w:tcW w:w="2835" w:type="dxa"/>
            <w:tcBorders>
              <w:top w:val="nil"/>
              <w:left w:val="nil"/>
              <w:bottom w:val="single" w:sz="8" w:space="0" w:color="auto"/>
              <w:right w:val="single" w:sz="8" w:space="0" w:color="auto"/>
            </w:tcBorders>
            <w:shd w:val="clear" w:color="auto" w:fill="auto"/>
            <w:vAlign w:val="center"/>
            <w:hideMark/>
          </w:tcPr>
          <w:p w14:paraId="3EFDA420" w14:textId="77777777" w:rsidR="00054BA2" w:rsidRPr="00CF1963" w:rsidRDefault="00054BA2" w:rsidP="00054BA2">
            <w:pPr>
              <w:spacing w:after="0" w:line="240" w:lineRule="auto"/>
              <w:rPr>
                <w:rFonts w:ascii="Arial" w:eastAsia="Times New Roman" w:hAnsi="Arial" w:cs="Arial"/>
                <w:sz w:val="20"/>
                <w:szCs w:val="20"/>
                <w:lang w:eastAsia="pt-BR"/>
              </w:rPr>
            </w:pPr>
            <w:r w:rsidRPr="00CF1963">
              <w:rPr>
                <w:rFonts w:ascii="Arial" w:eastAsia="Times New Roman" w:hAnsi="Arial" w:cs="Arial"/>
                <w:sz w:val="20"/>
                <w:szCs w:val="20"/>
                <w:lang w:eastAsia="pt-BR"/>
              </w:rPr>
              <w:t>Obrigatório</w:t>
            </w:r>
          </w:p>
        </w:tc>
      </w:tr>
      <w:tr w:rsidR="00CF1963" w:rsidRPr="00CF1963" w14:paraId="49419189" w14:textId="77777777" w:rsidTr="008B12A6">
        <w:trPr>
          <w:trHeight w:val="315"/>
        </w:trPr>
        <w:tc>
          <w:tcPr>
            <w:tcW w:w="3984" w:type="dxa"/>
            <w:tcBorders>
              <w:top w:val="nil"/>
              <w:left w:val="single" w:sz="8" w:space="0" w:color="auto"/>
              <w:bottom w:val="single" w:sz="8" w:space="0" w:color="auto"/>
              <w:right w:val="single" w:sz="8" w:space="0" w:color="auto"/>
            </w:tcBorders>
            <w:shd w:val="clear" w:color="auto" w:fill="auto"/>
            <w:vAlign w:val="center"/>
            <w:hideMark/>
          </w:tcPr>
          <w:p w14:paraId="23A0EBFF" w14:textId="77777777" w:rsidR="00054BA2" w:rsidRPr="00CF1963" w:rsidRDefault="00054BA2" w:rsidP="008B12A6">
            <w:pPr>
              <w:spacing w:after="0" w:line="240" w:lineRule="auto"/>
              <w:jc w:val="both"/>
              <w:rPr>
                <w:rFonts w:ascii="Arial" w:eastAsia="Times New Roman" w:hAnsi="Arial" w:cs="Arial"/>
                <w:sz w:val="20"/>
                <w:szCs w:val="20"/>
                <w:lang w:eastAsia="pt-BR"/>
              </w:rPr>
            </w:pPr>
            <w:r w:rsidRPr="00CF1963">
              <w:rPr>
                <w:rFonts w:ascii="Arial" w:eastAsia="Times New Roman" w:hAnsi="Arial" w:cs="Arial"/>
                <w:sz w:val="20"/>
                <w:szCs w:val="20"/>
                <w:lang w:eastAsia="pt-BR"/>
              </w:rPr>
              <w:t xml:space="preserve">Valor Pago </w:t>
            </w:r>
            <w:r w:rsidRPr="00CF1963">
              <w:rPr>
                <w:rFonts w:ascii="Arial" w:eastAsia="Times New Roman" w:hAnsi="Arial" w:cs="Arial"/>
                <w:b/>
                <w:sz w:val="20"/>
                <w:szCs w:val="20"/>
                <w:vertAlign w:val="superscript"/>
                <w:lang w:eastAsia="pt-BR"/>
              </w:rPr>
              <w:t>[7]</w:t>
            </w:r>
          </w:p>
        </w:tc>
        <w:tc>
          <w:tcPr>
            <w:tcW w:w="1276" w:type="dxa"/>
            <w:tcBorders>
              <w:top w:val="nil"/>
              <w:left w:val="nil"/>
              <w:bottom w:val="single" w:sz="8" w:space="0" w:color="auto"/>
              <w:right w:val="single" w:sz="8" w:space="0" w:color="auto"/>
            </w:tcBorders>
            <w:shd w:val="clear" w:color="auto" w:fill="auto"/>
            <w:vAlign w:val="center"/>
            <w:hideMark/>
          </w:tcPr>
          <w:p w14:paraId="6F8A66DB" w14:textId="77777777" w:rsidR="00054BA2" w:rsidRPr="00CF1963" w:rsidRDefault="00054BA2" w:rsidP="008B12A6">
            <w:pPr>
              <w:spacing w:after="0" w:line="240" w:lineRule="auto"/>
              <w:jc w:val="center"/>
              <w:rPr>
                <w:rFonts w:ascii="Arial" w:eastAsia="Times New Roman" w:hAnsi="Arial" w:cs="Arial"/>
                <w:sz w:val="20"/>
                <w:szCs w:val="20"/>
                <w:lang w:eastAsia="pt-BR"/>
              </w:rPr>
            </w:pPr>
            <w:r w:rsidRPr="00CF1963">
              <w:rPr>
                <w:rFonts w:ascii="Arial" w:eastAsia="Times New Roman" w:hAnsi="Arial" w:cs="Arial"/>
                <w:sz w:val="20"/>
                <w:szCs w:val="20"/>
                <w:lang w:eastAsia="pt-BR"/>
              </w:rPr>
              <w:t>Decimal</w:t>
            </w:r>
          </w:p>
        </w:tc>
        <w:tc>
          <w:tcPr>
            <w:tcW w:w="1134" w:type="dxa"/>
            <w:tcBorders>
              <w:top w:val="nil"/>
              <w:left w:val="nil"/>
              <w:bottom w:val="single" w:sz="8" w:space="0" w:color="auto"/>
              <w:right w:val="single" w:sz="8" w:space="0" w:color="auto"/>
            </w:tcBorders>
            <w:shd w:val="clear" w:color="auto" w:fill="auto"/>
            <w:vAlign w:val="center"/>
            <w:hideMark/>
          </w:tcPr>
          <w:p w14:paraId="2B98DBDE" w14:textId="77777777" w:rsidR="00054BA2" w:rsidRPr="00CF1963" w:rsidRDefault="00054BA2" w:rsidP="008B12A6">
            <w:pPr>
              <w:spacing w:after="0" w:line="240" w:lineRule="auto"/>
              <w:jc w:val="center"/>
              <w:rPr>
                <w:rFonts w:ascii="Arial" w:eastAsia="Times New Roman" w:hAnsi="Arial" w:cs="Arial"/>
                <w:sz w:val="20"/>
                <w:szCs w:val="20"/>
                <w:lang w:eastAsia="pt-BR"/>
              </w:rPr>
            </w:pPr>
            <w:r w:rsidRPr="00CF1963">
              <w:rPr>
                <w:rFonts w:ascii="Arial" w:eastAsia="Times New Roman" w:hAnsi="Arial" w:cs="Arial"/>
                <w:sz w:val="20"/>
                <w:szCs w:val="20"/>
                <w:lang w:eastAsia="pt-BR"/>
              </w:rPr>
              <w:t>14,2</w:t>
            </w:r>
          </w:p>
        </w:tc>
        <w:tc>
          <w:tcPr>
            <w:tcW w:w="2835" w:type="dxa"/>
            <w:tcBorders>
              <w:top w:val="nil"/>
              <w:left w:val="nil"/>
              <w:bottom w:val="single" w:sz="8" w:space="0" w:color="auto"/>
              <w:right w:val="single" w:sz="8" w:space="0" w:color="auto"/>
            </w:tcBorders>
            <w:shd w:val="clear" w:color="auto" w:fill="auto"/>
            <w:vAlign w:val="center"/>
            <w:hideMark/>
          </w:tcPr>
          <w:p w14:paraId="22379450" w14:textId="77777777" w:rsidR="00054BA2" w:rsidRPr="00CF1963" w:rsidRDefault="00054BA2" w:rsidP="00054BA2">
            <w:pPr>
              <w:spacing w:after="0" w:line="240" w:lineRule="auto"/>
              <w:rPr>
                <w:rFonts w:ascii="Arial" w:eastAsia="Times New Roman" w:hAnsi="Arial" w:cs="Arial"/>
                <w:sz w:val="20"/>
                <w:szCs w:val="20"/>
                <w:lang w:eastAsia="pt-BR"/>
              </w:rPr>
            </w:pPr>
            <w:r w:rsidRPr="00CF1963">
              <w:rPr>
                <w:rFonts w:ascii="Arial" w:eastAsia="Times New Roman" w:hAnsi="Arial" w:cs="Arial"/>
                <w:sz w:val="20"/>
                <w:szCs w:val="20"/>
                <w:lang w:eastAsia="pt-BR"/>
              </w:rPr>
              <w:t>Obrigatório</w:t>
            </w:r>
          </w:p>
        </w:tc>
      </w:tr>
    </w:tbl>
    <w:p w14:paraId="737911C1" w14:textId="77777777" w:rsidR="00054BA2" w:rsidRPr="00CF1963" w:rsidRDefault="00054BA2" w:rsidP="00054BA2">
      <w:pPr>
        <w:spacing w:before="120" w:after="120" w:line="240" w:lineRule="auto"/>
        <w:rPr>
          <w:rFonts w:ascii="Arial" w:hAnsi="Arial" w:cs="Arial"/>
          <w:sz w:val="18"/>
          <w:szCs w:val="18"/>
        </w:rPr>
      </w:pPr>
      <w:r w:rsidRPr="00CF1963">
        <w:rPr>
          <w:rFonts w:ascii="Arial" w:eastAsia="Times New Roman" w:hAnsi="Arial" w:cs="Arial"/>
          <w:bCs/>
          <w:sz w:val="18"/>
          <w:szCs w:val="18"/>
          <w:lang w:eastAsia="pt-BR"/>
        </w:rPr>
        <w:t>[1]</w:t>
      </w:r>
      <w:r w:rsidRPr="00CF1963">
        <w:rPr>
          <w:rFonts w:ascii="Arial" w:eastAsia="Times New Roman" w:hAnsi="Arial" w:cs="Arial"/>
          <w:sz w:val="18"/>
          <w:szCs w:val="18"/>
          <w:lang w:eastAsia="pt-BR"/>
        </w:rPr>
        <w:t xml:space="preserve"> Valor da Dotação Inicial da Despesa Orçamentária constante na LOA.</w:t>
      </w:r>
    </w:p>
    <w:p w14:paraId="06AB02EA" w14:textId="77777777" w:rsidR="00054BA2" w:rsidRPr="00CF1963" w:rsidRDefault="00054BA2" w:rsidP="00054BA2">
      <w:pPr>
        <w:spacing w:after="120" w:line="240" w:lineRule="auto"/>
        <w:rPr>
          <w:rFonts w:ascii="Arial" w:hAnsi="Arial" w:cs="Arial"/>
          <w:sz w:val="18"/>
          <w:szCs w:val="18"/>
        </w:rPr>
      </w:pPr>
      <w:r w:rsidRPr="00CF1963">
        <w:rPr>
          <w:rFonts w:ascii="Arial" w:eastAsia="Times New Roman" w:hAnsi="Arial" w:cs="Arial"/>
          <w:bCs/>
          <w:sz w:val="18"/>
          <w:szCs w:val="18"/>
          <w:lang w:eastAsia="pt-BR"/>
        </w:rPr>
        <w:t>[2]</w:t>
      </w:r>
      <w:r w:rsidRPr="00CF1963">
        <w:rPr>
          <w:rFonts w:ascii="Arial" w:eastAsia="Times New Roman" w:hAnsi="Arial" w:cs="Arial"/>
          <w:sz w:val="18"/>
          <w:szCs w:val="18"/>
          <w:lang w:eastAsia="pt-BR"/>
        </w:rPr>
        <w:t xml:space="preserve"> Valor das adições da Despesa Orçamentária até o mês de dezembro do exercício corrente.</w:t>
      </w:r>
    </w:p>
    <w:p w14:paraId="699B90C4" w14:textId="77777777" w:rsidR="00054BA2" w:rsidRPr="00CF1963" w:rsidRDefault="00054BA2" w:rsidP="00054BA2">
      <w:pPr>
        <w:spacing w:after="120" w:line="240" w:lineRule="auto"/>
        <w:rPr>
          <w:rFonts w:ascii="Arial" w:eastAsia="Times New Roman" w:hAnsi="Arial" w:cs="Arial"/>
          <w:sz w:val="18"/>
          <w:szCs w:val="18"/>
          <w:lang w:eastAsia="pt-BR"/>
        </w:rPr>
      </w:pPr>
      <w:r w:rsidRPr="00CF1963">
        <w:rPr>
          <w:rFonts w:ascii="Arial" w:eastAsia="Times New Roman" w:hAnsi="Arial" w:cs="Arial"/>
          <w:bCs/>
          <w:sz w:val="18"/>
          <w:szCs w:val="18"/>
          <w:lang w:eastAsia="pt-BR"/>
        </w:rPr>
        <w:t>[3]</w:t>
      </w:r>
      <w:r w:rsidRPr="00CF1963">
        <w:rPr>
          <w:rFonts w:ascii="Arial" w:eastAsia="Times New Roman" w:hAnsi="Arial" w:cs="Arial"/>
          <w:sz w:val="18"/>
          <w:szCs w:val="18"/>
          <w:lang w:eastAsia="pt-BR"/>
        </w:rPr>
        <w:t xml:space="preserve"> Valor das subtrações da Despesa Orçamentária até o mês de dezembro do exercício corrente.</w:t>
      </w:r>
    </w:p>
    <w:p w14:paraId="100D8D2B" w14:textId="77777777" w:rsidR="00054BA2" w:rsidRPr="00CF1963" w:rsidRDefault="00054BA2" w:rsidP="00054BA2">
      <w:pPr>
        <w:spacing w:after="120" w:line="240" w:lineRule="auto"/>
        <w:rPr>
          <w:rFonts w:ascii="Arial" w:eastAsia="Times New Roman" w:hAnsi="Arial" w:cs="Arial"/>
          <w:sz w:val="18"/>
          <w:szCs w:val="18"/>
          <w:lang w:eastAsia="pt-BR"/>
        </w:rPr>
      </w:pPr>
      <w:r w:rsidRPr="00CF1963">
        <w:rPr>
          <w:rFonts w:ascii="Arial" w:eastAsia="Times New Roman" w:hAnsi="Arial" w:cs="Arial"/>
          <w:bCs/>
          <w:sz w:val="18"/>
          <w:szCs w:val="18"/>
          <w:lang w:eastAsia="pt-BR"/>
        </w:rPr>
        <w:t>[4]</w:t>
      </w:r>
      <w:r w:rsidRPr="00CF1963">
        <w:rPr>
          <w:rFonts w:ascii="Arial" w:eastAsia="Times New Roman" w:hAnsi="Arial" w:cs="Arial"/>
          <w:sz w:val="18"/>
          <w:szCs w:val="18"/>
          <w:lang w:eastAsia="pt-BR"/>
        </w:rPr>
        <w:t xml:space="preserve"> Valor da Dotação Atualizada da Despesa Orçamentária até o mês de dezembro do exercício corrente.</w:t>
      </w:r>
    </w:p>
    <w:p w14:paraId="72ED558D" w14:textId="77777777" w:rsidR="00054BA2" w:rsidRPr="00CF1963" w:rsidRDefault="00054BA2" w:rsidP="00054BA2">
      <w:pPr>
        <w:rPr>
          <w:rFonts w:ascii="Arial" w:eastAsia="Times New Roman" w:hAnsi="Arial" w:cs="Arial"/>
          <w:sz w:val="18"/>
          <w:szCs w:val="18"/>
          <w:lang w:eastAsia="pt-BR"/>
        </w:rPr>
      </w:pPr>
      <w:r w:rsidRPr="00CF1963">
        <w:rPr>
          <w:rFonts w:ascii="Arial" w:eastAsia="Times New Roman" w:hAnsi="Arial" w:cs="Arial"/>
          <w:bCs/>
          <w:sz w:val="18"/>
          <w:szCs w:val="18"/>
          <w:lang w:eastAsia="pt-BR"/>
        </w:rPr>
        <w:t>[5]</w:t>
      </w:r>
      <w:r w:rsidRPr="00CF1963">
        <w:rPr>
          <w:rFonts w:ascii="Arial" w:eastAsia="Times New Roman" w:hAnsi="Arial" w:cs="Arial"/>
          <w:sz w:val="18"/>
          <w:szCs w:val="18"/>
          <w:lang w:eastAsia="pt-BR"/>
        </w:rPr>
        <w:t xml:space="preserve"> Valor da Despesa Orçamentária Empenhada até o mês de dezembro do exercício corrente.</w:t>
      </w:r>
    </w:p>
    <w:p w14:paraId="15F80580" w14:textId="77777777" w:rsidR="00054BA2" w:rsidRPr="00CF1963" w:rsidRDefault="00054BA2" w:rsidP="00054BA2">
      <w:pPr>
        <w:spacing w:after="120" w:line="240" w:lineRule="auto"/>
        <w:rPr>
          <w:rFonts w:ascii="Arial" w:eastAsia="Times New Roman" w:hAnsi="Arial" w:cs="Arial"/>
          <w:sz w:val="18"/>
          <w:szCs w:val="18"/>
          <w:lang w:eastAsia="pt-BR"/>
        </w:rPr>
      </w:pPr>
      <w:r w:rsidRPr="00CF1963">
        <w:rPr>
          <w:rFonts w:ascii="Arial" w:eastAsia="Times New Roman" w:hAnsi="Arial" w:cs="Arial"/>
          <w:bCs/>
          <w:sz w:val="18"/>
          <w:szCs w:val="18"/>
          <w:lang w:eastAsia="pt-BR"/>
        </w:rPr>
        <w:t>[6]</w:t>
      </w:r>
      <w:r w:rsidRPr="00CF1963">
        <w:rPr>
          <w:rFonts w:ascii="Arial" w:eastAsia="Times New Roman" w:hAnsi="Arial" w:cs="Arial"/>
          <w:sz w:val="18"/>
          <w:szCs w:val="18"/>
          <w:lang w:eastAsia="pt-BR"/>
        </w:rPr>
        <w:t xml:space="preserve"> Valor da Despesa Orçamentária Liquidada até o mês de dezembro do exercício corrente.</w:t>
      </w:r>
    </w:p>
    <w:p w14:paraId="66F7BBF7" w14:textId="77777777" w:rsidR="00054BA2" w:rsidRPr="00CF1963" w:rsidRDefault="00054BA2" w:rsidP="00054BA2">
      <w:pPr>
        <w:spacing w:after="120" w:line="240" w:lineRule="auto"/>
        <w:rPr>
          <w:rFonts w:ascii="Arial" w:eastAsia="Times New Roman" w:hAnsi="Arial" w:cs="Arial"/>
          <w:sz w:val="18"/>
          <w:szCs w:val="18"/>
          <w:lang w:eastAsia="pt-BR"/>
        </w:rPr>
      </w:pPr>
      <w:r w:rsidRPr="00CF1963">
        <w:rPr>
          <w:rFonts w:ascii="Arial" w:eastAsia="Times New Roman" w:hAnsi="Arial" w:cs="Arial"/>
          <w:bCs/>
          <w:sz w:val="18"/>
          <w:szCs w:val="18"/>
          <w:lang w:eastAsia="pt-BR"/>
        </w:rPr>
        <w:t>[7]</w:t>
      </w:r>
      <w:r w:rsidRPr="00CF1963">
        <w:rPr>
          <w:rFonts w:ascii="Arial" w:eastAsia="Times New Roman" w:hAnsi="Arial" w:cs="Arial"/>
          <w:sz w:val="18"/>
          <w:szCs w:val="18"/>
          <w:lang w:eastAsia="pt-BR"/>
        </w:rPr>
        <w:t xml:space="preserve"> Valor da Despesa Orçamentária Paga até o mês de dezembro do exercício corrente.</w:t>
      </w:r>
    </w:p>
    <w:p w14:paraId="48F2E2F9" w14:textId="77777777" w:rsidR="00054BA2" w:rsidRPr="00CF1963" w:rsidRDefault="00054BA2" w:rsidP="00054BA2">
      <w:pPr>
        <w:spacing w:after="120" w:line="240" w:lineRule="auto"/>
        <w:rPr>
          <w:rFonts w:ascii="Arial" w:eastAsia="Times New Roman" w:hAnsi="Arial" w:cs="Arial"/>
          <w:bCs/>
          <w:sz w:val="18"/>
          <w:szCs w:val="18"/>
          <w:lang w:eastAsia="pt-BR"/>
        </w:rPr>
      </w:pPr>
      <w:r w:rsidRPr="00CF1963">
        <w:rPr>
          <w:rFonts w:ascii="Arial" w:eastAsia="Times New Roman" w:hAnsi="Arial" w:cs="Arial"/>
          <w:bCs/>
          <w:sz w:val="18"/>
          <w:szCs w:val="18"/>
          <w:lang w:eastAsia="pt-BR"/>
        </w:rPr>
        <w:t>[8] O</w:t>
      </w:r>
      <w:r w:rsidR="004C1C3E">
        <w:rPr>
          <w:rFonts w:ascii="Arial" w:eastAsia="Times New Roman" w:hAnsi="Arial" w:cs="Arial"/>
          <w:bCs/>
          <w:sz w:val="18"/>
          <w:szCs w:val="18"/>
          <w:lang w:eastAsia="pt-BR"/>
        </w:rPr>
        <w:t>s</w:t>
      </w:r>
      <w:r w:rsidRPr="00CF1963">
        <w:rPr>
          <w:rFonts w:ascii="Arial" w:eastAsia="Times New Roman" w:hAnsi="Arial" w:cs="Arial"/>
          <w:bCs/>
          <w:sz w:val="18"/>
          <w:szCs w:val="18"/>
          <w:lang w:eastAsia="pt-BR"/>
        </w:rPr>
        <w:t xml:space="preserve"> campo</w:t>
      </w:r>
      <w:r w:rsidR="004C1C3E">
        <w:rPr>
          <w:rFonts w:ascii="Arial" w:eastAsia="Times New Roman" w:hAnsi="Arial" w:cs="Arial"/>
          <w:bCs/>
          <w:sz w:val="18"/>
          <w:szCs w:val="18"/>
          <w:lang w:eastAsia="pt-BR"/>
        </w:rPr>
        <w:t>s</w:t>
      </w:r>
      <w:r w:rsidRPr="00CF1963">
        <w:rPr>
          <w:rFonts w:ascii="Arial" w:eastAsia="Times New Roman" w:hAnsi="Arial" w:cs="Arial"/>
          <w:bCs/>
          <w:sz w:val="18"/>
          <w:szCs w:val="18"/>
          <w:lang w:eastAsia="pt-BR"/>
        </w:rPr>
        <w:t xml:space="preserve"> "SubElementoDespesa" </w:t>
      </w:r>
      <w:r w:rsidR="00225E45">
        <w:rPr>
          <w:rFonts w:ascii="Arial" w:eastAsia="Times New Roman" w:hAnsi="Arial" w:cs="Arial"/>
          <w:bCs/>
          <w:sz w:val="18"/>
          <w:szCs w:val="18"/>
          <w:lang w:eastAsia="pt-BR"/>
        </w:rPr>
        <w:t>e  “ItemPatrimonial” são</w:t>
      </w:r>
      <w:r w:rsidRPr="00CF1963">
        <w:rPr>
          <w:rFonts w:ascii="Arial" w:eastAsia="Times New Roman" w:hAnsi="Arial" w:cs="Arial"/>
          <w:bCs/>
          <w:sz w:val="18"/>
          <w:szCs w:val="18"/>
          <w:lang w:eastAsia="pt-BR"/>
        </w:rPr>
        <w:t xml:space="preserve"> de envio </w:t>
      </w:r>
      <w:r w:rsidR="004C1C3E">
        <w:rPr>
          <w:rFonts w:ascii="Arial" w:eastAsia="Times New Roman" w:hAnsi="Arial" w:cs="Arial"/>
          <w:bCs/>
          <w:sz w:val="18"/>
          <w:szCs w:val="18"/>
          <w:lang w:eastAsia="pt-BR"/>
        </w:rPr>
        <w:t xml:space="preserve">obrigatório </w:t>
      </w:r>
      <w:r w:rsidRPr="00CF1963">
        <w:rPr>
          <w:rFonts w:ascii="Arial" w:eastAsia="Times New Roman" w:hAnsi="Arial" w:cs="Arial"/>
          <w:bCs/>
          <w:sz w:val="18"/>
          <w:szCs w:val="18"/>
          <w:lang w:eastAsia="pt-BR"/>
        </w:rPr>
        <w:t>para os registros pertinentes à Execução Orçamentária da Despesa, sendo obrigatórios os envios dos campos "ValorEmpenhado", "ValorLiquidado" e "ValorPago". Portanto, quando for enviado o campo "SubelementoDespesa", os campos "DotaçãoInicial", "AdicaoDotacao", "SubtracaoDotacao" e "DotacaoAtualizada" não deverão ser enviados.</w:t>
      </w:r>
    </w:p>
    <w:p w14:paraId="28FA480B" w14:textId="77777777" w:rsidR="00054BA2" w:rsidRPr="00CF1963" w:rsidRDefault="00054BA2" w:rsidP="00054BA2">
      <w:pPr>
        <w:spacing w:after="120" w:line="240" w:lineRule="auto"/>
        <w:rPr>
          <w:rFonts w:ascii="Arial" w:eastAsia="Times New Roman" w:hAnsi="Arial" w:cs="Arial"/>
          <w:bCs/>
          <w:sz w:val="18"/>
          <w:szCs w:val="18"/>
          <w:lang w:eastAsia="pt-BR"/>
        </w:rPr>
      </w:pPr>
      <w:r w:rsidRPr="00CF1963">
        <w:rPr>
          <w:rFonts w:ascii="Arial" w:eastAsia="Times New Roman" w:hAnsi="Arial" w:cs="Arial"/>
          <w:bCs/>
          <w:sz w:val="18"/>
          <w:szCs w:val="18"/>
          <w:lang w:eastAsia="pt-BR"/>
        </w:rPr>
        <w:t>[9] O</w:t>
      </w:r>
      <w:r w:rsidR="004C1C3E">
        <w:rPr>
          <w:rFonts w:ascii="Arial" w:eastAsia="Times New Roman" w:hAnsi="Arial" w:cs="Arial"/>
          <w:bCs/>
          <w:sz w:val="18"/>
          <w:szCs w:val="18"/>
          <w:lang w:eastAsia="pt-BR"/>
        </w:rPr>
        <w:t>s</w:t>
      </w:r>
      <w:r w:rsidRPr="00CF1963">
        <w:rPr>
          <w:rFonts w:ascii="Arial" w:eastAsia="Times New Roman" w:hAnsi="Arial" w:cs="Arial"/>
          <w:bCs/>
          <w:sz w:val="18"/>
          <w:szCs w:val="18"/>
          <w:lang w:eastAsia="pt-BR"/>
        </w:rPr>
        <w:t xml:space="preserve"> campo</w:t>
      </w:r>
      <w:r w:rsidR="004C1C3E">
        <w:rPr>
          <w:rFonts w:ascii="Arial" w:eastAsia="Times New Roman" w:hAnsi="Arial" w:cs="Arial"/>
          <w:bCs/>
          <w:sz w:val="18"/>
          <w:szCs w:val="18"/>
          <w:lang w:eastAsia="pt-BR"/>
        </w:rPr>
        <w:t>s</w:t>
      </w:r>
      <w:r w:rsidRPr="00CF1963">
        <w:rPr>
          <w:rFonts w:ascii="Arial" w:eastAsia="Times New Roman" w:hAnsi="Arial" w:cs="Arial"/>
          <w:bCs/>
          <w:sz w:val="18"/>
          <w:szCs w:val="18"/>
          <w:lang w:eastAsia="pt-BR"/>
        </w:rPr>
        <w:t xml:space="preserve"> "SubElementoDespesa" </w:t>
      </w:r>
      <w:r w:rsidR="00225E45">
        <w:rPr>
          <w:rFonts w:ascii="Arial" w:eastAsia="Times New Roman" w:hAnsi="Arial" w:cs="Arial"/>
          <w:bCs/>
          <w:sz w:val="18"/>
          <w:szCs w:val="18"/>
          <w:lang w:eastAsia="pt-BR"/>
        </w:rPr>
        <w:t xml:space="preserve">e “ItemPatrimonial” </w:t>
      </w:r>
      <w:r w:rsidRPr="00CF1963">
        <w:rPr>
          <w:rFonts w:ascii="Arial" w:eastAsia="Times New Roman" w:hAnsi="Arial" w:cs="Arial"/>
          <w:bCs/>
          <w:sz w:val="18"/>
          <w:szCs w:val="18"/>
          <w:lang w:eastAsia="pt-BR"/>
        </w:rPr>
        <w:t>não deve</w:t>
      </w:r>
      <w:r w:rsidR="00225E45">
        <w:rPr>
          <w:rFonts w:ascii="Arial" w:eastAsia="Times New Roman" w:hAnsi="Arial" w:cs="Arial"/>
          <w:bCs/>
          <w:sz w:val="18"/>
          <w:szCs w:val="18"/>
          <w:lang w:eastAsia="pt-BR"/>
        </w:rPr>
        <w:t>m</w:t>
      </w:r>
      <w:r w:rsidRPr="00CF1963">
        <w:rPr>
          <w:rFonts w:ascii="Arial" w:eastAsia="Times New Roman" w:hAnsi="Arial" w:cs="Arial"/>
          <w:bCs/>
          <w:sz w:val="18"/>
          <w:szCs w:val="18"/>
          <w:lang w:eastAsia="pt-BR"/>
        </w:rPr>
        <w:t xml:space="preserve"> ser enviado</w:t>
      </w:r>
      <w:r w:rsidR="00225E45">
        <w:rPr>
          <w:rFonts w:ascii="Arial" w:eastAsia="Times New Roman" w:hAnsi="Arial" w:cs="Arial"/>
          <w:bCs/>
          <w:sz w:val="18"/>
          <w:szCs w:val="18"/>
          <w:lang w:eastAsia="pt-BR"/>
        </w:rPr>
        <w:t>s</w:t>
      </w:r>
      <w:r w:rsidRPr="00CF1963">
        <w:rPr>
          <w:rFonts w:ascii="Arial" w:eastAsia="Times New Roman" w:hAnsi="Arial" w:cs="Arial"/>
          <w:bCs/>
          <w:sz w:val="18"/>
          <w:szCs w:val="18"/>
          <w:lang w:eastAsia="pt-BR"/>
        </w:rPr>
        <w:t xml:space="preserve"> para os registros pertinentes ao detalhamento do Orçamento, sendo obrigatórios os envios dos campos "DotaçãoInicial", "AdicaoDotacao", "SubtracaoDotacao" e "DotacaoAtualizada". Portanto, quando não for enviado o campo "SubElementoDespesa", os campos "ValorEmpenhado", "ValorLiquidado" e "ValorPago" não deverão ser enviados.</w:t>
      </w:r>
    </w:p>
    <w:p w14:paraId="24AAA2D1" w14:textId="77777777" w:rsidR="00054BA2" w:rsidRPr="00CF1963" w:rsidRDefault="00054BA2" w:rsidP="00054BA2">
      <w:pPr>
        <w:spacing w:after="120" w:line="240" w:lineRule="auto"/>
        <w:rPr>
          <w:rFonts w:ascii="Arial" w:eastAsia="Times New Roman" w:hAnsi="Arial" w:cs="Arial"/>
          <w:lang w:eastAsia="pt-BR"/>
        </w:rPr>
      </w:pPr>
    </w:p>
    <w:p w14:paraId="4134F714" w14:textId="77777777" w:rsidR="00054BA2" w:rsidRPr="00CF1963" w:rsidRDefault="00054BA2" w:rsidP="00054BA2">
      <w:pPr>
        <w:spacing w:after="0" w:line="360" w:lineRule="auto"/>
        <w:rPr>
          <w:rFonts w:ascii="Arial" w:eastAsia="Times New Roman" w:hAnsi="Arial" w:cs="Arial"/>
          <w:sz w:val="18"/>
          <w:szCs w:val="18"/>
          <w:lang w:eastAsia="pt-BR"/>
        </w:rPr>
      </w:pPr>
      <w:r w:rsidRPr="00CF1963">
        <w:rPr>
          <w:rFonts w:ascii="Arial" w:eastAsia="Times New Roman" w:hAnsi="Arial" w:cs="Arial"/>
          <w:b/>
          <w:sz w:val="18"/>
          <w:szCs w:val="18"/>
          <w:u w:val="single"/>
          <w:lang w:eastAsia="pt-BR"/>
        </w:rPr>
        <w:t>Observaç</w:t>
      </w:r>
      <w:r w:rsidR="00CF1963" w:rsidRPr="00CF1963">
        <w:rPr>
          <w:rFonts w:ascii="Arial" w:eastAsia="Times New Roman" w:hAnsi="Arial" w:cs="Arial"/>
          <w:b/>
          <w:sz w:val="18"/>
          <w:szCs w:val="18"/>
          <w:u w:val="single"/>
          <w:lang w:eastAsia="pt-BR"/>
        </w:rPr>
        <w:t>ão</w:t>
      </w:r>
      <w:r w:rsidRPr="00CF1963">
        <w:rPr>
          <w:rFonts w:ascii="Arial" w:eastAsia="Times New Roman" w:hAnsi="Arial" w:cs="Arial"/>
          <w:sz w:val="18"/>
          <w:szCs w:val="18"/>
          <w:lang w:eastAsia="pt-BR"/>
        </w:rPr>
        <w:t>:</w:t>
      </w:r>
    </w:p>
    <w:p w14:paraId="27F79B3A" w14:textId="77777777" w:rsidR="00054BA2" w:rsidRPr="00CF1963" w:rsidRDefault="00054BA2" w:rsidP="00054BA2">
      <w:pPr>
        <w:spacing w:after="0" w:line="240" w:lineRule="auto"/>
        <w:ind w:right="-32"/>
        <w:rPr>
          <w:rFonts w:ascii="Arial" w:eastAsia="Times New Roman" w:hAnsi="Arial" w:cs="Arial"/>
          <w:sz w:val="18"/>
          <w:szCs w:val="18"/>
          <w:lang w:eastAsia="pt-BR"/>
        </w:rPr>
      </w:pPr>
      <w:r w:rsidRPr="00CF1963">
        <w:rPr>
          <w:rFonts w:ascii="Arial" w:eastAsia="Times New Roman" w:hAnsi="Arial" w:cs="Arial"/>
          <w:sz w:val="18"/>
          <w:szCs w:val="18"/>
          <w:lang w:eastAsia="pt-BR"/>
        </w:rPr>
        <w:t>1- Quando a Prestação de Contas se referir a Contas de Gestão, o Código da Unidade Gestora deverá ser o mesmo da UG que estiver prestando contas.</w:t>
      </w:r>
    </w:p>
    <w:p w14:paraId="610AB531" w14:textId="77777777" w:rsidR="00054BA2" w:rsidRDefault="00054BA2" w:rsidP="00FD1551">
      <w:pPr>
        <w:spacing w:after="0" w:line="360" w:lineRule="auto"/>
        <w:rPr>
          <w:rFonts w:ascii="Arial" w:hAnsi="Arial" w:cs="Arial"/>
        </w:rPr>
      </w:pPr>
    </w:p>
    <w:p w14:paraId="72D610AF" w14:textId="77777777" w:rsidR="00054BA2" w:rsidRPr="00FD1551" w:rsidRDefault="00054BA2" w:rsidP="00FD1551">
      <w:pPr>
        <w:spacing w:after="0" w:line="360" w:lineRule="auto"/>
        <w:rPr>
          <w:rFonts w:ascii="Arial" w:hAnsi="Arial" w:cs="Arial"/>
        </w:rPr>
      </w:pPr>
    </w:p>
    <w:p w14:paraId="194AFB65" w14:textId="7E40321F" w:rsidR="00FD1551" w:rsidRPr="00FD1551" w:rsidRDefault="00FD1551" w:rsidP="00A60EA7">
      <w:pPr>
        <w:pStyle w:val="Ttulo3"/>
      </w:pPr>
      <w:bookmarkStart w:id="50" w:name="_Toc94806326"/>
      <w:r w:rsidRPr="00FD1551">
        <w:t>BALEXOR.XML (ou BalanceteExecucaoOrcamentariaReceita.xml)</w:t>
      </w:r>
      <w:bookmarkEnd w:id="50"/>
    </w:p>
    <w:p w14:paraId="6C9B01DE" w14:textId="4048D1F8" w:rsidR="00FD1551" w:rsidRPr="00FD1551" w:rsidRDefault="00FD1551" w:rsidP="00FD1551">
      <w:pPr>
        <w:spacing w:after="0" w:line="360" w:lineRule="auto"/>
        <w:jc w:val="both"/>
        <w:rPr>
          <w:rFonts w:ascii="Arial" w:hAnsi="Arial"/>
        </w:rPr>
      </w:pPr>
      <w:r w:rsidRPr="00FD1551">
        <w:rPr>
          <w:rFonts w:ascii="Arial" w:hAnsi="Arial"/>
          <w:b/>
          <w:bCs/>
        </w:rPr>
        <w:t>Descrição: </w:t>
      </w:r>
      <w:r w:rsidRPr="00FD1551">
        <w:rPr>
          <w:rFonts w:ascii="Arial" w:eastAsia="Times New Roman" w:hAnsi="Arial" w:cs="Arial"/>
          <w:lang w:eastAsia="pt-BR"/>
        </w:rPr>
        <w:t>Este arquivo conterá o Balancete da Execução Orçamentária da Receita</w:t>
      </w:r>
    </w:p>
    <w:p w14:paraId="11A399FD" w14:textId="77777777" w:rsidR="00FD1551" w:rsidRPr="00FD1551" w:rsidRDefault="00FD1551" w:rsidP="00FD1551">
      <w:pPr>
        <w:autoSpaceDE w:val="0"/>
        <w:autoSpaceDN w:val="0"/>
        <w:adjustRightInd w:val="0"/>
        <w:spacing w:after="0" w:line="240" w:lineRule="auto"/>
        <w:jc w:val="both"/>
        <w:rPr>
          <w:rFonts w:ascii="Arial" w:hAnsi="Arial"/>
          <w:b/>
          <w:bCs/>
        </w:rPr>
      </w:pPr>
      <w:r w:rsidRPr="00FD1551">
        <w:rPr>
          <w:rFonts w:ascii="Arial" w:hAnsi="Arial"/>
          <w:b/>
          <w:bCs/>
        </w:rPr>
        <w:t>Estrutura:</w:t>
      </w:r>
    </w:p>
    <w:p w14:paraId="4C572799" w14:textId="77777777" w:rsidR="00FD1551" w:rsidRPr="00FD1551" w:rsidRDefault="00FD1551" w:rsidP="00FD1551">
      <w:pPr>
        <w:autoSpaceDE w:val="0"/>
        <w:autoSpaceDN w:val="0"/>
        <w:adjustRightInd w:val="0"/>
        <w:spacing w:after="0" w:line="240" w:lineRule="auto"/>
        <w:jc w:val="both"/>
        <w:rPr>
          <w:rFonts w:ascii="Arial" w:hAnsi="Arial"/>
          <w:b/>
          <w:bCs/>
        </w:rPr>
      </w:pPr>
    </w:p>
    <w:p w14:paraId="4696E442" w14:textId="77777777" w:rsidR="00FD1551" w:rsidRPr="00FD1551" w:rsidRDefault="00FD1551" w:rsidP="00FD1551">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&lt;?xml version="1.0" encoding="UTF-8"?&gt;</w:t>
      </w:r>
    </w:p>
    <w:p w14:paraId="25BFA35A" w14:textId="77777777" w:rsidR="00FD1551" w:rsidRPr="00FD1551" w:rsidRDefault="00FD1551" w:rsidP="00FD1551">
      <w:pPr>
        <w:spacing w:after="0" w:line="240" w:lineRule="auto"/>
        <w:ind w:left="284"/>
        <w:rPr>
          <w:rFonts w:ascii="Arial" w:eastAsia="Times New Roman" w:hAnsi="Arial" w:cs="Arial"/>
          <w:sz w:val="20"/>
          <w:szCs w:val="20"/>
          <w:lang w:eastAsia="pt-BR"/>
        </w:rPr>
      </w:pPr>
      <w:r w:rsidRPr="00FD1551">
        <w:rPr>
          <w:rFonts w:ascii="Arial" w:eastAsia="Times New Roman" w:hAnsi="Arial" w:cs="Arial"/>
          <w:sz w:val="20"/>
          <w:szCs w:val="20"/>
          <w:lang w:eastAsia="pt-BR"/>
        </w:rPr>
        <w:t>&lt;PrestacaoContasAnual&gt;</w:t>
      </w:r>
    </w:p>
    <w:p w14:paraId="43EA7256" w14:textId="77777777" w:rsidR="00FD1551" w:rsidRPr="00FD1551" w:rsidRDefault="00FD1551" w:rsidP="00FD1551">
      <w:pPr>
        <w:spacing w:after="0" w:line="240" w:lineRule="auto"/>
        <w:ind w:left="567"/>
        <w:rPr>
          <w:rFonts w:ascii="Arial" w:eastAsia="Times New Roman" w:hAnsi="Arial" w:cs="Arial"/>
          <w:sz w:val="20"/>
          <w:szCs w:val="20"/>
          <w:lang w:eastAsia="pt-BR"/>
        </w:rPr>
      </w:pPr>
    </w:p>
    <w:p w14:paraId="14312164" w14:textId="77777777" w:rsidR="00FD1551" w:rsidRPr="00FD1551" w:rsidRDefault="00FD1551" w:rsidP="00FD1551">
      <w:pPr>
        <w:spacing w:after="0" w:line="240" w:lineRule="auto"/>
        <w:ind w:left="567"/>
        <w:rPr>
          <w:rFonts w:ascii="Arial" w:eastAsia="Times New Roman" w:hAnsi="Arial" w:cs="Arial"/>
          <w:sz w:val="20"/>
          <w:szCs w:val="20"/>
          <w:lang w:eastAsia="pt-BR"/>
        </w:rPr>
      </w:pPr>
      <w:r w:rsidRPr="00FD1551">
        <w:rPr>
          <w:rFonts w:ascii="Arial" w:eastAsia="Times New Roman" w:hAnsi="Arial" w:cs="Arial"/>
          <w:sz w:val="20"/>
          <w:szCs w:val="20"/>
          <w:lang w:eastAsia="pt-BR"/>
        </w:rPr>
        <w:lastRenderedPageBreak/>
        <w:t>&lt;BalanceteExecucaoOrcamentariaReceita_Schema&gt;</w:t>
      </w:r>
    </w:p>
    <w:p w14:paraId="3BDAAC21" w14:textId="77777777" w:rsidR="00FD1551" w:rsidRPr="00FD1551" w:rsidRDefault="00FD1551" w:rsidP="00FD1551">
      <w:pPr>
        <w:spacing w:after="0" w:line="240" w:lineRule="auto"/>
        <w:ind w:left="851"/>
        <w:rPr>
          <w:rFonts w:ascii="Arial" w:eastAsia="Times New Roman" w:hAnsi="Arial" w:cs="Arial"/>
          <w:sz w:val="20"/>
          <w:szCs w:val="20"/>
          <w:lang w:eastAsia="pt-BR"/>
        </w:rPr>
      </w:pPr>
    </w:p>
    <w:p w14:paraId="4F0A4DAC" w14:textId="77777777" w:rsidR="00FD1551" w:rsidRPr="00FD1551" w:rsidRDefault="00FD1551" w:rsidP="00FD1551">
      <w:pPr>
        <w:spacing w:after="0" w:line="240" w:lineRule="auto"/>
        <w:ind w:left="851"/>
        <w:rPr>
          <w:rFonts w:ascii="Arial" w:eastAsia="Times New Roman" w:hAnsi="Arial" w:cs="Arial"/>
          <w:sz w:val="20"/>
          <w:szCs w:val="20"/>
          <w:lang w:eastAsia="pt-BR"/>
        </w:rPr>
      </w:pPr>
      <w:r w:rsidRPr="00FD1551">
        <w:rPr>
          <w:rFonts w:ascii="Arial" w:eastAsia="Times New Roman" w:hAnsi="Arial" w:cs="Arial"/>
          <w:sz w:val="20"/>
          <w:szCs w:val="20"/>
          <w:lang w:eastAsia="pt-BR"/>
        </w:rPr>
        <w:t>&lt;BalanceteExecucaoOrcamentariaReceita&gt;</w:t>
      </w:r>
    </w:p>
    <w:p w14:paraId="59529799" w14:textId="77777777" w:rsidR="00FD1551" w:rsidRPr="00FD1551" w:rsidRDefault="00FD1551" w:rsidP="00FD1551">
      <w:pPr>
        <w:spacing w:after="0" w:line="240" w:lineRule="auto"/>
        <w:ind w:left="1134"/>
        <w:rPr>
          <w:rFonts w:ascii="Arial" w:eastAsia="Times New Roman" w:hAnsi="Arial" w:cs="Arial"/>
          <w:sz w:val="20"/>
          <w:szCs w:val="20"/>
          <w:lang w:eastAsia="pt-BR"/>
        </w:rPr>
      </w:pPr>
      <w:r w:rsidRPr="00FD1551">
        <w:rPr>
          <w:rFonts w:ascii="Arial" w:eastAsia="Times New Roman" w:hAnsi="Arial" w:cs="Arial"/>
          <w:sz w:val="20"/>
          <w:szCs w:val="20"/>
          <w:lang w:eastAsia="pt-BR"/>
        </w:rPr>
        <w:t>&lt;IdNumRegistro&gt;</w:t>
      </w:r>
      <w:r w:rsidRPr="00FD1551">
        <w:rPr>
          <w:rFonts w:ascii="Arial" w:eastAsia="Times New Roman" w:hAnsi="Arial" w:cs="Arial"/>
          <w:b/>
          <w:bCs/>
          <w:sz w:val="20"/>
          <w:szCs w:val="20"/>
          <w:lang w:eastAsia="pt-BR"/>
        </w:rPr>
        <w:t>99999</w:t>
      </w:r>
      <w:r w:rsidRPr="00FD1551">
        <w:rPr>
          <w:rFonts w:ascii="Arial" w:eastAsia="Times New Roman" w:hAnsi="Arial" w:cs="Arial"/>
          <w:sz w:val="20"/>
          <w:szCs w:val="20"/>
          <w:lang w:eastAsia="pt-BR"/>
        </w:rPr>
        <w:t>&lt;/IdNumRegistro&gt;</w:t>
      </w:r>
    </w:p>
    <w:p w14:paraId="508EB9CC" w14:textId="77777777" w:rsidR="00FD1551" w:rsidRPr="00FD1551" w:rsidRDefault="00FD1551" w:rsidP="00FD1551">
      <w:pPr>
        <w:spacing w:after="0" w:line="240" w:lineRule="auto"/>
        <w:ind w:left="1134"/>
        <w:rPr>
          <w:rFonts w:ascii="Arial" w:eastAsia="Times New Roman" w:hAnsi="Arial" w:cs="Arial"/>
          <w:sz w:val="20"/>
          <w:szCs w:val="20"/>
          <w:lang w:eastAsia="pt-BR"/>
        </w:rPr>
      </w:pPr>
      <w:r w:rsidRPr="00FD1551">
        <w:rPr>
          <w:rFonts w:ascii="Arial" w:eastAsia="Times New Roman" w:hAnsi="Arial" w:cs="Arial"/>
          <w:sz w:val="20"/>
          <w:szCs w:val="20"/>
          <w:lang w:eastAsia="pt-BR"/>
        </w:rPr>
        <w:t>&lt;CodigoUnidadeGestora&gt;</w:t>
      </w:r>
      <w:r w:rsidRPr="00FD1551">
        <w:rPr>
          <w:rFonts w:ascii="Arial" w:eastAsia="Times New Roman" w:hAnsi="Arial" w:cs="Arial"/>
          <w:b/>
          <w:bCs/>
          <w:sz w:val="20"/>
          <w:szCs w:val="20"/>
          <w:lang w:eastAsia="pt-BR"/>
        </w:rPr>
        <w:t>XXXXXXXXXXX</w:t>
      </w:r>
      <w:r w:rsidRPr="00FD1551">
        <w:rPr>
          <w:rFonts w:ascii="Arial" w:eastAsia="Times New Roman" w:hAnsi="Arial" w:cs="Arial"/>
          <w:sz w:val="20"/>
          <w:szCs w:val="20"/>
          <w:lang w:eastAsia="pt-BR"/>
        </w:rPr>
        <w:t xml:space="preserve">&lt;/CodigoUnidadeGestora&gt; </w:t>
      </w:r>
    </w:p>
    <w:p w14:paraId="0E7AB28F" w14:textId="77777777" w:rsidR="00FD1551" w:rsidRPr="00FD1551" w:rsidRDefault="00FD1551" w:rsidP="00FD1551">
      <w:pPr>
        <w:spacing w:after="0" w:line="240" w:lineRule="auto"/>
        <w:ind w:left="1134"/>
        <w:rPr>
          <w:rFonts w:ascii="Arial" w:eastAsia="Times New Roman" w:hAnsi="Arial" w:cs="Arial"/>
          <w:sz w:val="20"/>
          <w:szCs w:val="20"/>
          <w:lang w:eastAsia="pt-BR"/>
        </w:rPr>
      </w:pPr>
      <w:r w:rsidRPr="00FD1551">
        <w:rPr>
          <w:rFonts w:ascii="Arial" w:eastAsia="Times New Roman" w:hAnsi="Arial" w:cs="Arial"/>
          <w:sz w:val="20"/>
          <w:szCs w:val="20"/>
          <w:lang w:eastAsia="pt-BR"/>
        </w:rPr>
        <w:t>&lt;CategoriaEconomica&gt;</w:t>
      </w:r>
      <w:r w:rsidRPr="00FD1551">
        <w:rPr>
          <w:rFonts w:ascii="Arial" w:eastAsia="Times New Roman" w:hAnsi="Arial" w:cs="Arial"/>
          <w:b/>
          <w:bCs/>
          <w:sz w:val="20"/>
          <w:szCs w:val="20"/>
          <w:lang w:eastAsia="pt-BR"/>
        </w:rPr>
        <w:t>X</w:t>
      </w:r>
      <w:r w:rsidRPr="00FD1551">
        <w:rPr>
          <w:rFonts w:ascii="Arial" w:eastAsia="Times New Roman" w:hAnsi="Arial" w:cs="Arial"/>
          <w:sz w:val="20"/>
          <w:szCs w:val="20"/>
          <w:lang w:eastAsia="pt-BR"/>
        </w:rPr>
        <w:t>&lt;/CategoriaEconomica&gt;</w:t>
      </w:r>
    </w:p>
    <w:p w14:paraId="1420DD90" w14:textId="77777777" w:rsidR="00FD1551" w:rsidRPr="00FD1551" w:rsidRDefault="00FD1551" w:rsidP="00FD1551">
      <w:pPr>
        <w:spacing w:after="0" w:line="240" w:lineRule="auto"/>
        <w:ind w:left="1134"/>
        <w:rPr>
          <w:rFonts w:ascii="Arial" w:eastAsia="Times New Roman" w:hAnsi="Arial" w:cs="Arial"/>
          <w:sz w:val="20"/>
          <w:szCs w:val="20"/>
          <w:lang w:eastAsia="pt-BR"/>
        </w:rPr>
      </w:pPr>
      <w:r w:rsidRPr="00FD1551">
        <w:rPr>
          <w:rFonts w:ascii="Arial" w:eastAsia="Times New Roman" w:hAnsi="Arial" w:cs="Arial"/>
          <w:sz w:val="20"/>
          <w:szCs w:val="20"/>
          <w:lang w:eastAsia="pt-BR"/>
        </w:rPr>
        <w:t>&lt;Origem&gt;</w:t>
      </w:r>
      <w:r w:rsidRPr="00FD1551">
        <w:rPr>
          <w:rFonts w:ascii="Arial" w:eastAsia="Times New Roman" w:hAnsi="Arial" w:cs="Arial"/>
          <w:b/>
          <w:bCs/>
          <w:sz w:val="20"/>
          <w:szCs w:val="20"/>
          <w:lang w:eastAsia="pt-BR"/>
        </w:rPr>
        <w:t>X</w:t>
      </w:r>
      <w:r w:rsidRPr="00FD1551">
        <w:rPr>
          <w:rFonts w:ascii="Arial" w:eastAsia="Times New Roman" w:hAnsi="Arial" w:cs="Arial"/>
          <w:sz w:val="20"/>
          <w:szCs w:val="20"/>
          <w:lang w:eastAsia="pt-BR"/>
        </w:rPr>
        <w:t>&lt;/Origem&gt;</w:t>
      </w:r>
    </w:p>
    <w:p w14:paraId="4BE086F9" w14:textId="77777777" w:rsidR="00FD1551" w:rsidRPr="00FD1551" w:rsidRDefault="00FD1551" w:rsidP="00FD1551">
      <w:pPr>
        <w:spacing w:after="0" w:line="240" w:lineRule="auto"/>
        <w:ind w:left="1134"/>
        <w:rPr>
          <w:rFonts w:ascii="Arial" w:eastAsia="Times New Roman" w:hAnsi="Arial" w:cs="Arial"/>
          <w:sz w:val="20"/>
          <w:szCs w:val="20"/>
          <w:lang w:eastAsia="pt-BR"/>
        </w:rPr>
      </w:pPr>
      <w:r w:rsidRPr="00FD1551">
        <w:rPr>
          <w:rFonts w:ascii="Arial" w:eastAsia="Times New Roman" w:hAnsi="Arial" w:cs="Arial"/>
          <w:sz w:val="20"/>
          <w:szCs w:val="20"/>
          <w:lang w:eastAsia="pt-BR"/>
        </w:rPr>
        <w:t>&lt;Especie&gt;</w:t>
      </w:r>
      <w:r w:rsidRPr="00FD1551">
        <w:rPr>
          <w:rFonts w:ascii="Arial" w:eastAsia="Times New Roman" w:hAnsi="Arial" w:cs="Arial"/>
          <w:b/>
          <w:bCs/>
          <w:sz w:val="20"/>
          <w:szCs w:val="20"/>
          <w:lang w:eastAsia="pt-BR"/>
        </w:rPr>
        <w:t>X</w:t>
      </w:r>
      <w:r w:rsidRPr="00FD1551">
        <w:rPr>
          <w:rFonts w:ascii="Arial" w:eastAsia="Times New Roman" w:hAnsi="Arial" w:cs="Arial"/>
          <w:sz w:val="20"/>
          <w:szCs w:val="20"/>
          <w:lang w:eastAsia="pt-BR"/>
        </w:rPr>
        <w:t>&lt;/Especie&gt;</w:t>
      </w:r>
    </w:p>
    <w:p w14:paraId="7FA6D7FE" w14:textId="77777777" w:rsidR="00FD1551" w:rsidRPr="00FD1551" w:rsidRDefault="00FD1551" w:rsidP="00FD1551">
      <w:pPr>
        <w:spacing w:after="0" w:line="240" w:lineRule="auto"/>
        <w:ind w:left="1134"/>
        <w:rPr>
          <w:rFonts w:ascii="Arial" w:eastAsia="Times New Roman" w:hAnsi="Arial" w:cs="Arial"/>
          <w:sz w:val="20"/>
          <w:szCs w:val="20"/>
          <w:lang w:eastAsia="pt-BR"/>
        </w:rPr>
      </w:pPr>
      <w:r w:rsidRPr="00FD1551">
        <w:rPr>
          <w:rFonts w:ascii="Arial" w:eastAsia="Times New Roman" w:hAnsi="Arial" w:cs="Arial"/>
          <w:sz w:val="20"/>
          <w:szCs w:val="20"/>
          <w:lang w:eastAsia="pt-BR"/>
        </w:rPr>
        <w:t>&lt;</w:t>
      </w:r>
      <w:r w:rsidR="00AC38D7">
        <w:rPr>
          <w:rFonts w:ascii="Arial" w:eastAsia="Times New Roman" w:hAnsi="Arial" w:cs="Arial"/>
          <w:sz w:val="20"/>
          <w:szCs w:val="20"/>
          <w:lang w:eastAsia="pt-BR"/>
        </w:rPr>
        <w:t>Detalhamento1</w:t>
      </w:r>
      <w:r w:rsidRPr="00FD1551">
        <w:rPr>
          <w:rFonts w:ascii="Arial" w:eastAsia="Times New Roman" w:hAnsi="Arial" w:cs="Arial"/>
          <w:sz w:val="20"/>
          <w:szCs w:val="20"/>
          <w:lang w:eastAsia="pt-BR"/>
        </w:rPr>
        <w:t>&gt;</w:t>
      </w:r>
      <w:r w:rsidRPr="00FD1551">
        <w:rPr>
          <w:rFonts w:ascii="Arial" w:eastAsia="Times New Roman" w:hAnsi="Arial" w:cs="Arial"/>
          <w:b/>
          <w:bCs/>
          <w:sz w:val="20"/>
          <w:szCs w:val="20"/>
          <w:lang w:eastAsia="pt-BR"/>
        </w:rPr>
        <w:t>X</w:t>
      </w:r>
      <w:r w:rsidRPr="00FD1551">
        <w:rPr>
          <w:rFonts w:ascii="Arial" w:eastAsia="Times New Roman" w:hAnsi="Arial" w:cs="Arial"/>
          <w:sz w:val="20"/>
          <w:szCs w:val="20"/>
          <w:lang w:eastAsia="pt-BR"/>
        </w:rPr>
        <w:t>&lt;/</w:t>
      </w:r>
      <w:r w:rsidR="00AC38D7">
        <w:rPr>
          <w:rFonts w:ascii="Arial" w:eastAsia="Times New Roman" w:hAnsi="Arial" w:cs="Arial"/>
          <w:sz w:val="20"/>
          <w:szCs w:val="20"/>
          <w:lang w:eastAsia="pt-BR"/>
        </w:rPr>
        <w:t>Detalhamento1</w:t>
      </w:r>
      <w:r w:rsidRPr="00FD1551">
        <w:rPr>
          <w:rFonts w:ascii="Arial" w:eastAsia="Times New Roman" w:hAnsi="Arial" w:cs="Arial"/>
          <w:sz w:val="20"/>
          <w:szCs w:val="20"/>
          <w:lang w:eastAsia="pt-BR"/>
        </w:rPr>
        <w:t>&gt;</w:t>
      </w:r>
    </w:p>
    <w:p w14:paraId="3EB92DCD" w14:textId="77777777" w:rsidR="00FD1551" w:rsidRPr="00FD1551" w:rsidRDefault="00AC38D7" w:rsidP="00FD1551">
      <w:pPr>
        <w:spacing w:after="0" w:line="240" w:lineRule="auto"/>
        <w:ind w:left="1134"/>
        <w:rPr>
          <w:rFonts w:ascii="Arial" w:eastAsia="Times New Roman" w:hAnsi="Arial" w:cs="Arial"/>
          <w:sz w:val="20"/>
          <w:szCs w:val="20"/>
          <w:lang w:eastAsia="pt-BR"/>
        </w:rPr>
      </w:pPr>
      <w:r w:rsidRPr="00FD1551">
        <w:rPr>
          <w:rFonts w:ascii="Arial" w:eastAsia="Times New Roman" w:hAnsi="Arial" w:cs="Arial"/>
          <w:sz w:val="20"/>
          <w:szCs w:val="20"/>
          <w:lang w:eastAsia="pt-BR"/>
        </w:rPr>
        <w:t>&lt;</w:t>
      </w:r>
      <w:r>
        <w:rPr>
          <w:rFonts w:ascii="Arial" w:eastAsia="Times New Roman" w:hAnsi="Arial" w:cs="Arial"/>
          <w:sz w:val="20"/>
          <w:szCs w:val="20"/>
          <w:lang w:eastAsia="pt-BR"/>
        </w:rPr>
        <w:t>Detalhamento2</w:t>
      </w:r>
      <w:r w:rsidRPr="00FD1551">
        <w:rPr>
          <w:rFonts w:ascii="Arial" w:eastAsia="Times New Roman" w:hAnsi="Arial" w:cs="Arial"/>
          <w:sz w:val="20"/>
          <w:szCs w:val="20"/>
          <w:lang w:eastAsia="pt-BR"/>
        </w:rPr>
        <w:t>&gt;</w:t>
      </w:r>
      <w:r w:rsidRPr="00FD1551">
        <w:rPr>
          <w:rFonts w:ascii="Arial" w:eastAsia="Times New Roman" w:hAnsi="Arial" w:cs="Arial"/>
          <w:b/>
          <w:bCs/>
          <w:sz w:val="20"/>
          <w:szCs w:val="20"/>
          <w:lang w:eastAsia="pt-BR"/>
        </w:rPr>
        <w:t>X</w:t>
      </w:r>
      <w:r>
        <w:rPr>
          <w:rFonts w:ascii="Arial" w:eastAsia="Times New Roman" w:hAnsi="Arial" w:cs="Arial"/>
          <w:b/>
          <w:bCs/>
          <w:sz w:val="20"/>
          <w:szCs w:val="20"/>
          <w:lang w:eastAsia="pt-BR"/>
        </w:rPr>
        <w:t>X</w:t>
      </w:r>
      <w:r w:rsidRPr="00FD1551">
        <w:rPr>
          <w:rFonts w:ascii="Arial" w:eastAsia="Times New Roman" w:hAnsi="Arial" w:cs="Arial"/>
          <w:sz w:val="20"/>
          <w:szCs w:val="20"/>
          <w:lang w:eastAsia="pt-BR"/>
        </w:rPr>
        <w:t>&lt;/</w:t>
      </w:r>
      <w:r>
        <w:rPr>
          <w:rFonts w:ascii="Arial" w:eastAsia="Times New Roman" w:hAnsi="Arial" w:cs="Arial"/>
          <w:sz w:val="20"/>
          <w:szCs w:val="20"/>
          <w:lang w:eastAsia="pt-BR"/>
        </w:rPr>
        <w:t>Detalhamento2</w:t>
      </w:r>
      <w:r w:rsidRPr="00FD1551">
        <w:rPr>
          <w:rFonts w:ascii="Arial" w:eastAsia="Times New Roman" w:hAnsi="Arial" w:cs="Arial"/>
          <w:sz w:val="20"/>
          <w:szCs w:val="20"/>
          <w:lang w:eastAsia="pt-BR"/>
        </w:rPr>
        <w:t>&gt;</w:t>
      </w:r>
    </w:p>
    <w:p w14:paraId="611ED522" w14:textId="77777777" w:rsidR="00FD1551" w:rsidRDefault="00AC38D7" w:rsidP="00FD1551">
      <w:pPr>
        <w:spacing w:after="0" w:line="240" w:lineRule="auto"/>
        <w:ind w:left="1134"/>
        <w:rPr>
          <w:rFonts w:ascii="Arial" w:eastAsia="Times New Roman" w:hAnsi="Arial" w:cs="Arial"/>
          <w:sz w:val="20"/>
          <w:szCs w:val="20"/>
          <w:lang w:eastAsia="pt-BR"/>
        </w:rPr>
      </w:pPr>
      <w:r w:rsidRPr="00FD1551">
        <w:rPr>
          <w:rFonts w:ascii="Arial" w:eastAsia="Times New Roman" w:hAnsi="Arial" w:cs="Arial"/>
          <w:sz w:val="20"/>
          <w:szCs w:val="20"/>
          <w:lang w:eastAsia="pt-BR"/>
        </w:rPr>
        <w:t>&lt;</w:t>
      </w:r>
      <w:r>
        <w:rPr>
          <w:rFonts w:ascii="Arial" w:eastAsia="Times New Roman" w:hAnsi="Arial" w:cs="Arial"/>
          <w:sz w:val="20"/>
          <w:szCs w:val="20"/>
          <w:lang w:eastAsia="pt-BR"/>
        </w:rPr>
        <w:t>Detalhamento3</w:t>
      </w:r>
      <w:r w:rsidRPr="00FD1551">
        <w:rPr>
          <w:rFonts w:ascii="Arial" w:eastAsia="Times New Roman" w:hAnsi="Arial" w:cs="Arial"/>
          <w:sz w:val="20"/>
          <w:szCs w:val="20"/>
          <w:lang w:eastAsia="pt-BR"/>
        </w:rPr>
        <w:t>&gt;</w:t>
      </w:r>
      <w:r w:rsidRPr="00FD1551">
        <w:rPr>
          <w:rFonts w:ascii="Arial" w:eastAsia="Times New Roman" w:hAnsi="Arial" w:cs="Arial"/>
          <w:b/>
          <w:bCs/>
          <w:sz w:val="20"/>
          <w:szCs w:val="20"/>
          <w:lang w:eastAsia="pt-BR"/>
        </w:rPr>
        <w:t>X</w:t>
      </w:r>
      <w:r w:rsidRPr="00FD1551">
        <w:rPr>
          <w:rFonts w:ascii="Arial" w:eastAsia="Times New Roman" w:hAnsi="Arial" w:cs="Arial"/>
          <w:sz w:val="20"/>
          <w:szCs w:val="20"/>
          <w:lang w:eastAsia="pt-BR"/>
        </w:rPr>
        <w:t>&lt;/</w:t>
      </w:r>
      <w:r>
        <w:rPr>
          <w:rFonts w:ascii="Arial" w:eastAsia="Times New Roman" w:hAnsi="Arial" w:cs="Arial"/>
          <w:sz w:val="20"/>
          <w:szCs w:val="20"/>
          <w:lang w:eastAsia="pt-BR"/>
        </w:rPr>
        <w:t>Detalhamento3</w:t>
      </w:r>
      <w:r w:rsidRPr="00FD1551">
        <w:rPr>
          <w:rFonts w:ascii="Arial" w:eastAsia="Times New Roman" w:hAnsi="Arial" w:cs="Arial"/>
          <w:sz w:val="20"/>
          <w:szCs w:val="20"/>
          <w:lang w:eastAsia="pt-BR"/>
        </w:rPr>
        <w:t>&gt;</w:t>
      </w:r>
    </w:p>
    <w:p w14:paraId="76E35403" w14:textId="77777777" w:rsidR="00AC38D7" w:rsidRPr="00FD1551" w:rsidRDefault="00AC38D7" w:rsidP="00FD1551">
      <w:pPr>
        <w:spacing w:after="0" w:line="240" w:lineRule="auto"/>
        <w:ind w:left="1134"/>
        <w:rPr>
          <w:rFonts w:ascii="Arial" w:eastAsia="Times New Roman" w:hAnsi="Arial" w:cs="Arial"/>
          <w:sz w:val="20"/>
          <w:szCs w:val="20"/>
          <w:lang w:eastAsia="pt-BR"/>
        </w:rPr>
      </w:pPr>
      <w:r w:rsidRPr="00FD1551">
        <w:rPr>
          <w:rFonts w:ascii="Arial" w:eastAsia="Times New Roman" w:hAnsi="Arial" w:cs="Arial"/>
          <w:sz w:val="20"/>
          <w:szCs w:val="20"/>
          <w:lang w:eastAsia="pt-BR"/>
        </w:rPr>
        <w:t>&lt;</w:t>
      </w:r>
      <w:r>
        <w:rPr>
          <w:rFonts w:ascii="Arial" w:eastAsia="Times New Roman" w:hAnsi="Arial" w:cs="Arial"/>
          <w:sz w:val="20"/>
          <w:szCs w:val="20"/>
          <w:lang w:eastAsia="pt-BR"/>
        </w:rPr>
        <w:t>Tipo</w:t>
      </w:r>
      <w:r w:rsidRPr="00FD1551">
        <w:rPr>
          <w:rFonts w:ascii="Arial" w:eastAsia="Times New Roman" w:hAnsi="Arial" w:cs="Arial"/>
          <w:sz w:val="20"/>
          <w:szCs w:val="20"/>
          <w:lang w:eastAsia="pt-BR"/>
        </w:rPr>
        <w:t>&gt;</w:t>
      </w:r>
      <w:r w:rsidRPr="00FD1551">
        <w:rPr>
          <w:rFonts w:ascii="Arial" w:eastAsia="Times New Roman" w:hAnsi="Arial" w:cs="Arial"/>
          <w:b/>
          <w:bCs/>
          <w:sz w:val="20"/>
          <w:szCs w:val="20"/>
          <w:lang w:eastAsia="pt-BR"/>
        </w:rPr>
        <w:t>X</w:t>
      </w:r>
      <w:r w:rsidRPr="00FD1551">
        <w:rPr>
          <w:rFonts w:ascii="Arial" w:eastAsia="Times New Roman" w:hAnsi="Arial" w:cs="Arial"/>
          <w:sz w:val="20"/>
          <w:szCs w:val="20"/>
          <w:lang w:eastAsia="pt-BR"/>
        </w:rPr>
        <w:t>&lt;/</w:t>
      </w:r>
      <w:r>
        <w:rPr>
          <w:rFonts w:ascii="Arial" w:eastAsia="Times New Roman" w:hAnsi="Arial" w:cs="Arial"/>
          <w:sz w:val="20"/>
          <w:szCs w:val="20"/>
          <w:lang w:eastAsia="pt-BR"/>
        </w:rPr>
        <w:t>Tipo</w:t>
      </w:r>
      <w:r w:rsidRPr="00FD1551">
        <w:rPr>
          <w:rFonts w:ascii="Arial" w:eastAsia="Times New Roman" w:hAnsi="Arial" w:cs="Arial"/>
          <w:sz w:val="20"/>
          <w:szCs w:val="20"/>
          <w:lang w:eastAsia="pt-BR"/>
        </w:rPr>
        <w:t>&gt;</w:t>
      </w:r>
    </w:p>
    <w:p w14:paraId="0A1AEF0E" w14:textId="77777777" w:rsidR="00FD1551" w:rsidRPr="00FD1551" w:rsidRDefault="00FD1551" w:rsidP="00FD1551">
      <w:pPr>
        <w:spacing w:after="0" w:line="240" w:lineRule="auto"/>
        <w:ind w:left="1134"/>
        <w:rPr>
          <w:rFonts w:ascii="Arial" w:eastAsia="Times New Roman" w:hAnsi="Arial" w:cs="Arial"/>
          <w:sz w:val="20"/>
          <w:szCs w:val="20"/>
          <w:lang w:eastAsia="pt-BR"/>
        </w:rPr>
      </w:pPr>
      <w:r w:rsidRPr="00FD1551">
        <w:rPr>
          <w:rFonts w:ascii="Arial" w:eastAsia="Times New Roman" w:hAnsi="Arial" w:cs="Arial"/>
          <w:sz w:val="20"/>
          <w:szCs w:val="20"/>
          <w:lang w:eastAsia="pt-BR"/>
        </w:rPr>
        <w:t>&lt;CodigoGrupoFonteDestinacaoRecursos&gt;</w:t>
      </w:r>
      <w:r w:rsidRPr="00FD1551">
        <w:rPr>
          <w:rFonts w:ascii="Arial" w:eastAsia="Times New Roman" w:hAnsi="Arial" w:cs="Arial"/>
          <w:b/>
          <w:bCs/>
          <w:sz w:val="20"/>
          <w:szCs w:val="20"/>
          <w:lang w:eastAsia="pt-BR"/>
        </w:rPr>
        <w:t>9</w:t>
      </w:r>
      <w:r w:rsidRPr="00FD1551">
        <w:rPr>
          <w:rFonts w:ascii="Arial" w:eastAsia="Times New Roman" w:hAnsi="Arial" w:cs="Arial"/>
          <w:sz w:val="20"/>
          <w:szCs w:val="20"/>
          <w:lang w:eastAsia="pt-BR"/>
        </w:rPr>
        <w:t>&lt;/CodigoGrupoFonteDestinacaoRecursos&gt;</w:t>
      </w:r>
    </w:p>
    <w:p w14:paraId="46519838" w14:textId="77777777" w:rsidR="00FD1551" w:rsidRPr="00FD1551" w:rsidRDefault="00FD1551" w:rsidP="00FD1551">
      <w:pPr>
        <w:spacing w:after="0" w:line="240" w:lineRule="auto"/>
        <w:ind w:left="1134"/>
        <w:rPr>
          <w:rFonts w:ascii="Arial" w:eastAsia="Times New Roman" w:hAnsi="Arial" w:cs="Arial"/>
          <w:b/>
          <w:bCs/>
          <w:sz w:val="20"/>
          <w:szCs w:val="20"/>
          <w:lang w:eastAsia="pt-BR"/>
        </w:rPr>
      </w:pPr>
      <w:r w:rsidRPr="00FD1551">
        <w:rPr>
          <w:rFonts w:ascii="Arial" w:eastAsia="Times New Roman" w:hAnsi="Arial" w:cs="Arial"/>
          <w:sz w:val="20"/>
          <w:szCs w:val="20"/>
          <w:lang w:eastAsia="pt-BR"/>
        </w:rPr>
        <w:t>&lt;CodigoEspecificacaoFonteDestinacaoRecursos&gt;</w:t>
      </w:r>
      <w:r w:rsidRPr="00FD1551">
        <w:rPr>
          <w:rFonts w:ascii="Arial" w:eastAsia="Times New Roman" w:hAnsi="Arial" w:cs="Arial"/>
          <w:b/>
          <w:bCs/>
          <w:sz w:val="20"/>
          <w:szCs w:val="20"/>
          <w:lang w:eastAsia="pt-BR"/>
        </w:rPr>
        <w:t>XXX</w:t>
      </w:r>
    </w:p>
    <w:p w14:paraId="434975A9" w14:textId="77777777" w:rsidR="00FD1551" w:rsidRPr="00FD1551" w:rsidRDefault="00FD1551" w:rsidP="00FD1551">
      <w:pPr>
        <w:spacing w:after="0" w:line="240" w:lineRule="auto"/>
        <w:ind w:left="1134"/>
        <w:rPr>
          <w:rFonts w:ascii="Arial" w:eastAsia="Times New Roman" w:hAnsi="Arial" w:cs="Arial"/>
          <w:sz w:val="20"/>
          <w:szCs w:val="20"/>
          <w:lang w:eastAsia="pt-BR"/>
        </w:rPr>
      </w:pPr>
      <w:r w:rsidRPr="00FD1551">
        <w:rPr>
          <w:rFonts w:ascii="Arial" w:eastAsia="Times New Roman" w:hAnsi="Arial" w:cs="Arial"/>
          <w:sz w:val="20"/>
          <w:szCs w:val="20"/>
          <w:lang w:eastAsia="pt-BR"/>
        </w:rPr>
        <w:t>&lt;/CodigoEspecificacaoFonteDestinacaoRecursos&gt;</w:t>
      </w:r>
    </w:p>
    <w:p w14:paraId="74339BA6" w14:textId="77777777" w:rsidR="00FD1551" w:rsidRPr="00FD1551" w:rsidRDefault="00FD1551" w:rsidP="00FD1551">
      <w:pPr>
        <w:spacing w:after="0" w:line="240" w:lineRule="auto"/>
        <w:ind w:left="1134"/>
        <w:rPr>
          <w:rFonts w:ascii="Calibri" w:eastAsia="Times New Roman" w:hAnsi="Calibri" w:cs="Arial"/>
          <w:b/>
          <w:bCs/>
          <w:lang w:eastAsia="pt-BR"/>
        </w:rPr>
      </w:pPr>
      <w:r w:rsidRPr="00FD1551">
        <w:rPr>
          <w:rFonts w:ascii="Arial" w:eastAsia="Times New Roman" w:hAnsi="Arial" w:cs="Arial"/>
          <w:sz w:val="20"/>
          <w:szCs w:val="20"/>
          <w:lang w:eastAsia="pt-BR"/>
        </w:rPr>
        <w:t>&lt;CodigoDetalhamentoFonteDestinacaoRecursos&gt;</w:t>
      </w:r>
      <w:r w:rsidRPr="00FD1551">
        <w:rPr>
          <w:rFonts w:ascii="Calibri" w:eastAsia="Times New Roman" w:hAnsi="Calibri" w:cs="Arial"/>
          <w:b/>
          <w:bCs/>
          <w:lang w:eastAsia="pt-BR"/>
        </w:rPr>
        <w:t>XXXX</w:t>
      </w:r>
    </w:p>
    <w:p w14:paraId="7AE7258A" w14:textId="77777777" w:rsidR="00FD1551" w:rsidRDefault="00FD1551" w:rsidP="00FD1551">
      <w:pPr>
        <w:spacing w:after="0" w:line="240" w:lineRule="auto"/>
        <w:ind w:left="1134"/>
        <w:rPr>
          <w:rFonts w:ascii="Calibri" w:eastAsia="Times New Roman" w:hAnsi="Calibri" w:cs="Arial"/>
          <w:lang w:eastAsia="pt-BR"/>
        </w:rPr>
      </w:pPr>
      <w:r w:rsidRPr="00FD1551">
        <w:rPr>
          <w:rFonts w:ascii="Calibri" w:eastAsia="Times New Roman" w:hAnsi="Calibri" w:cs="Arial"/>
          <w:lang w:eastAsia="pt-BR"/>
        </w:rPr>
        <w:t>&lt;/CodigoDetalhamentoFonteDestinacaoRecursos&gt;</w:t>
      </w:r>
    </w:p>
    <w:p w14:paraId="10981140" w14:textId="77777777" w:rsidR="004313CE" w:rsidRPr="00BB337D" w:rsidRDefault="004313CE" w:rsidP="004313CE">
      <w:pPr>
        <w:spacing w:after="0" w:line="240" w:lineRule="auto"/>
        <w:ind w:left="993"/>
        <w:rPr>
          <w:rFonts w:ascii="Arial" w:eastAsia="Times New Roman" w:hAnsi="Arial" w:cs="Arial"/>
          <w:sz w:val="20"/>
          <w:szCs w:val="20"/>
          <w:lang w:eastAsia="pt-BR"/>
        </w:rPr>
      </w:pPr>
      <w:r>
        <w:rPr>
          <w:rFonts w:ascii="Arial" w:eastAsia="Times New Roman" w:hAnsi="Arial" w:cs="Arial"/>
          <w:color w:val="0070C0"/>
          <w:sz w:val="20"/>
          <w:szCs w:val="20"/>
          <w:lang w:eastAsia="pt-BR"/>
        </w:rPr>
        <w:t xml:space="preserve">   </w:t>
      </w:r>
      <w:r w:rsidRPr="00BB337D">
        <w:rPr>
          <w:rFonts w:ascii="Arial" w:eastAsia="Times New Roman" w:hAnsi="Arial" w:cs="Arial"/>
          <w:sz w:val="20"/>
          <w:szCs w:val="20"/>
          <w:lang w:eastAsia="pt-BR"/>
        </w:rPr>
        <w:t>&lt;OrigemRecurso&gt;</w:t>
      </w:r>
      <w:r w:rsidRPr="00BB337D">
        <w:rPr>
          <w:rFonts w:ascii="Calibri" w:eastAsia="Times New Roman" w:hAnsi="Calibri" w:cs="Arial"/>
          <w:b/>
          <w:bCs/>
          <w:lang w:eastAsia="pt-BR"/>
        </w:rPr>
        <w:t>9</w:t>
      </w:r>
      <w:r w:rsidRPr="00BB337D">
        <w:rPr>
          <w:rFonts w:ascii="Calibri" w:eastAsia="Times New Roman" w:hAnsi="Calibri" w:cs="Arial"/>
          <w:lang w:eastAsia="pt-BR"/>
        </w:rPr>
        <w:t>&lt;/OrigemRecurso&gt;</w:t>
      </w:r>
    </w:p>
    <w:p w14:paraId="34DA904E" w14:textId="77777777" w:rsidR="00FD1551" w:rsidRPr="00FD1551" w:rsidRDefault="00FD1551" w:rsidP="00FD1551">
      <w:pPr>
        <w:spacing w:after="0" w:line="240" w:lineRule="auto"/>
        <w:ind w:left="1134"/>
        <w:rPr>
          <w:rFonts w:ascii="Arial" w:eastAsia="Times New Roman" w:hAnsi="Arial" w:cs="Arial"/>
          <w:sz w:val="20"/>
          <w:szCs w:val="20"/>
          <w:lang w:eastAsia="pt-BR"/>
        </w:rPr>
      </w:pPr>
      <w:r w:rsidRPr="00FD1551">
        <w:rPr>
          <w:rFonts w:ascii="Arial" w:eastAsia="Times New Roman" w:hAnsi="Arial" w:cs="Arial"/>
          <w:sz w:val="20"/>
          <w:szCs w:val="20"/>
          <w:lang w:eastAsia="pt-BR"/>
        </w:rPr>
        <w:t>&lt;PrevisaoInicial&gt;</w:t>
      </w:r>
      <w:r w:rsidRPr="00FD1551">
        <w:rPr>
          <w:rFonts w:ascii="Arial" w:eastAsia="Times New Roman" w:hAnsi="Arial" w:cs="Arial"/>
          <w:b/>
          <w:bCs/>
          <w:sz w:val="20"/>
          <w:szCs w:val="20"/>
          <w:lang w:eastAsia="pt-BR"/>
        </w:rPr>
        <w:t>99999999999999.99</w:t>
      </w:r>
      <w:r w:rsidRPr="00FD1551">
        <w:rPr>
          <w:rFonts w:ascii="Arial" w:eastAsia="Times New Roman" w:hAnsi="Arial" w:cs="Arial"/>
          <w:sz w:val="20"/>
          <w:szCs w:val="20"/>
          <w:lang w:eastAsia="pt-BR"/>
        </w:rPr>
        <w:t>&lt;/PrevisaoInicial&gt;</w:t>
      </w:r>
    </w:p>
    <w:p w14:paraId="3FDEC1D3" w14:textId="77777777" w:rsidR="00FD1551" w:rsidRPr="00FD1551" w:rsidRDefault="00FD1551" w:rsidP="00FD1551">
      <w:pPr>
        <w:spacing w:after="0" w:line="240" w:lineRule="auto"/>
        <w:ind w:left="1134"/>
        <w:rPr>
          <w:rFonts w:ascii="Arial" w:eastAsia="Times New Roman" w:hAnsi="Arial" w:cs="Arial"/>
          <w:sz w:val="20"/>
          <w:szCs w:val="20"/>
          <w:lang w:eastAsia="pt-BR"/>
        </w:rPr>
      </w:pPr>
      <w:r w:rsidRPr="00FD1551">
        <w:rPr>
          <w:rFonts w:ascii="Arial" w:eastAsia="Times New Roman" w:hAnsi="Arial" w:cs="Arial"/>
          <w:sz w:val="20"/>
          <w:szCs w:val="20"/>
          <w:lang w:eastAsia="pt-BR"/>
        </w:rPr>
        <w:t>&lt;PrevisaoAtualizada&gt;</w:t>
      </w:r>
      <w:r w:rsidRPr="00FD1551">
        <w:rPr>
          <w:rFonts w:ascii="Arial" w:eastAsia="Times New Roman" w:hAnsi="Arial" w:cs="Arial"/>
          <w:b/>
          <w:bCs/>
          <w:sz w:val="20"/>
          <w:szCs w:val="20"/>
          <w:lang w:eastAsia="pt-BR"/>
        </w:rPr>
        <w:t>99999999999999.99</w:t>
      </w:r>
      <w:r w:rsidRPr="00FD1551">
        <w:rPr>
          <w:rFonts w:ascii="Arial" w:eastAsia="Times New Roman" w:hAnsi="Arial" w:cs="Arial"/>
          <w:sz w:val="20"/>
          <w:szCs w:val="20"/>
          <w:lang w:eastAsia="pt-BR"/>
        </w:rPr>
        <w:t>&lt;/PrevisaoAtualizada&gt;</w:t>
      </w:r>
    </w:p>
    <w:p w14:paraId="5FBE8C0C" w14:textId="77777777" w:rsidR="00FD1551" w:rsidRPr="00FD1551" w:rsidRDefault="00FD1551" w:rsidP="00FD1551">
      <w:pPr>
        <w:spacing w:after="0" w:line="240" w:lineRule="auto"/>
        <w:ind w:left="1134"/>
        <w:rPr>
          <w:rFonts w:ascii="Arial" w:eastAsia="Times New Roman" w:hAnsi="Arial" w:cs="Arial"/>
          <w:sz w:val="20"/>
          <w:szCs w:val="20"/>
          <w:lang w:eastAsia="pt-BR"/>
        </w:rPr>
      </w:pPr>
      <w:r w:rsidRPr="00FD1551">
        <w:rPr>
          <w:rFonts w:ascii="Arial" w:eastAsia="Times New Roman" w:hAnsi="Arial" w:cs="Arial"/>
          <w:sz w:val="20"/>
          <w:szCs w:val="20"/>
          <w:lang w:eastAsia="pt-BR"/>
        </w:rPr>
        <w:t>&lt;ValorArrecadado&gt;</w:t>
      </w:r>
      <w:r w:rsidRPr="00FD1551">
        <w:rPr>
          <w:rFonts w:ascii="Arial" w:eastAsia="Times New Roman" w:hAnsi="Arial" w:cs="Arial"/>
          <w:b/>
          <w:bCs/>
          <w:sz w:val="20"/>
          <w:szCs w:val="20"/>
          <w:lang w:eastAsia="pt-BR"/>
        </w:rPr>
        <w:t>99999999999999.99</w:t>
      </w:r>
      <w:r w:rsidRPr="00FD1551">
        <w:rPr>
          <w:rFonts w:ascii="Arial" w:eastAsia="Times New Roman" w:hAnsi="Arial" w:cs="Arial"/>
          <w:sz w:val="20"/>
          <w:szCs w:val="20"/>
          <w:lang w:eastAsia="pt-BR"/>
        </w:rPr>
        <w:t>&lt;/ValorArrecadado&gt;</w:t>
      </w:r>
    </w:p>
    <w:p w14:paraId="2C0FA4BE" w14:textId="77777777" w:rsidR="00FD1551" w:rsidRPr="00FD1551" w:rsidRDefault="00FD1551" w:rsidP="00FD1551">
      <w:pPr>
        <w:spacing w:after="0" w:line="240" w:lineRule="auto"/>
        <w:ind w:left="851"/>
        <w:rPr>
          <w:rFonts w:ascii="Arial" w:eastAsia="Times New Roman" w:hAnsi="Arial" w:cs="Arial"/>
          <w:sz w:val="20"/>
          <w:szCs w:val="20"/>
          <w:lang w:eastAsia="pt-BR"/>
        </w:rPr>
      </w:pPr>
      <w:r w:rsidRPr="00FD1551">
        <w:rPr>
          <w:rFonts w:ascii="Arial" w:eastAsia="Times New Roman" w:hAnsi="Arial" w:cs="Arial"/>
          <w:sz w:val="20"/>
          <w:szCs w:val="20"/>
          <w:lang w:eastAsia="pt-BR"/>
        </w:rPr>
        <w:t>&lt;/BalanceteExecucaoOrcamentariaReceita&gt;</w:t>
      </w:r>
    </w:p>
    <w:p w14:paraId="6F2FD494" w14:textId="77777777" w:rsidR="00FD1551" w:rsidRPr="00FD1551" w:rsidRDefault="00FD1551" w:rsidP="00FD1551">
      <w:pPr>
        <w:spacing w:after="0" w:line="240" w:lineRule="auto"/>
        <w:ind w:left="567"/>
        <w:rPr>
          <w:rFonts w:ascii="Arial" w:eastAsia="Times New Roman" w:hAnsi="Arial" w:cs="Arial"/>
          <w:sz w:val="20"/>
          <w:szCs w:val="20"/>
          <w:lang w:eastAsia="pt-BR"/>
        </w:rPr>
      </w:pPr>
    </w:p>
    <w:p w14:paraId="18FB1D84" w14:textId="77777777" w:rsidR="00FD1551" w:rsidRPr="00FD1551" w:rsidRDefault="00FD1551" w:rsidP="00FD1551">
      <w:pPr>
        <w:spacing w:after="0" w:line="240" w:lineRule="auto"/>
        <w:ind w:left="567"/>
        <w:rPr>
          <w:rFonts w:ascii="Arial" w:eastAsia="Times New Roman" w:hAnsi="Arial" w:cs="Arial"/>
          <w:sz w:val="20"/>
          <w:szCs w:val="20"/>
          <w:lang w:eastAsia="pt-BR"/>
        </w:rPr>
      </w:pPr>
      <w:r w:rsidRPr="00FD1551">
        <w:rPr>
          <w:rFonts w:ascii="Arial" w:eastAsia="Times New Roman" w:hAnsi="Arial" w:cs="Arial"/>
          <w:sz w:val="20"/>
          <w:szCs w:val="20"/>
          <w:lang w:eastAsia="pt-BR"/>
        </w:rPr>
        <w:t>&lt;/BalanceteExecucaoOrcamentariaReceita_Schema&gt;</w:t>
      </w:r>
    </w:p>
    <w:p w14:paraId="74A80C38" w14:textId="77777777" w:rsidR="00FD1551" w:rsidRPr="00FD1551" w:rsidRDefault="00FD1551" w:rsidP="00FD1551">
      <w:pPr>
        <w:spacing w:after="0" w:line="240" w:lineRule="auto"/>
        <w:ind w:left="284"/>
        <w:rPr>
          <w:rFonts w:ascii="Arial" w:eastAsia="Times New Roman" w:hAnsi="Arial" w:cs="Arial"/>
          <w:sz w:val="20"/>
          <w:szCs w:val="20"/>
          <w:lang w:eastAsia="pt-BR"/>
        </w:rPr>
      </w:pPr>
    </w:p>
    <w:p w14:paraId="6DE9B42E" w14:textId="77777777" w:rsidR="00FD1551" w:rsidRPr="00FD1551" w:rsidRDefault="00FD1551" w:rsidP="00FD1551">
      <w:pPr>
        <w:spacing w:after="0" w:line="240" w:lineRule="auto"/>
        <w:ind w:left="284"/>
        <w:rPr>
          <w:rFonts w:ascii="Arial" w:eastAsia="Times New Roman" w:hAnsi="Arial" w:cs="Arial"/>
          <w:sz w:val="20"/>
          <w:szCs w:val="20"/>
          <w:lang w:eastAsia="pt-BR"/>
        </w:rPr>
      </w:pPr>
      <w:r w:rsidRPr="00FD1551">
        <w:rPr>
          <w:rFonts w:ascii="Arial" w:eastAsia="Times New Roman" w:hAnsi="Arial" w:cs="Arial"/>
          <w:sz w:val="20"/>
          <w:szCs w:val="20"/>
          <w:lang w:eastAsia="pt-BR"/>
        </w:rPr>
        <w:t>&lt;PrestacaoContasAnual&gt;</w:t>
      </w:r>
    </w:p>
    <w:p w14:paraId="39B24205" w14:textId="77777777" w:rsidR="00FD1551" w:rsidRPr="00FD1551" w:rsidRDefault="00FD1551" w:rsidP="00FD1551">
      <w:pPr>
        <w:autoSpaceDE w:val="0"/>
        <w:autoSpaceDN w:val="0"/>
        <w:adjustRightInd w:val="0"/>
        <w:spacing w:after="0" w:line="240" w:lineRule="auto"/>
        <w:jc w:val="both"/>
        <w:rPr>
          <w:rFonts w:ascii="Arial" w:hAnsi="Arial"/>
          <w:b/>
          <w:bCs/>
        </w:rPr>
      </w:pPr>
    </w:p>
    <w:tbl>
      <w:tblPr>
        <w:tblW w:w="9229" w:type="dxa"/>
        <w:tblInd w:w="55" w:type="dxa"/>
        <w:tblLayout w:type="fixed"/>
        <w:tblCellMar>
          <w:left w:w="70" w:type="dxa"/>
          <w:right w:w="70" w:type="dxa"/>
        </w:tblCellMar>
        <w:tblLook w:val="04A0" w:firstRow="1" w:lastRow="0" w:firstColumn="1" w:lastColumn="0" w:noHBand="0" w:noVBand="1"/>
      </w:tblPr>
      <w:tblGrid>
        <w:gridCol w:w="3559"/>
        <w:gridCol w:w="1134"/>
        <w:gridCol w:w="1276"/>
        <w:gridCol w:w="3260"/>
      </w:tblGrid>
      <w:tr w:rsidR="00FD1551" w:rsidRPr="00FD1551" w14:paraId="2FE2199D" w14:textId="77777777" w:rsidTr="00FD1551">
        <w:trPr>
          <w:trHeight w:val="315"/>
        </w:trPr>
        <w:tc>
          <w:tcPr>
            <w:tcW w:w="3559" w:type="dxa"/>
            <w:tcBorders>
              <w:top w:val="single" w:sz="8" w:space="0" w:color="auto"/>
              <w:left w:val="single" w:sz="8" w:space="0" w:color="auto"/>
              <w:bottom w:val="single" w:sz="8" w:space="0" w:color="auto"/>
              <w:right w:val="single" w:sz="8" w:space="0" w:color="auto"/>
            </w:tcBorders>
            <w:shd w:val="clear" w:color="000000" w:fill="C0C0C0"/>
            <w:vAlign w:val="center"/>
            <w:hideMark/>
          </w:tcPr>
          <w:p w14:paraId="069B96A8" w14:textId="77777777" w:rsidR="00FD1551" w:rsidRPr="00FD1551" w:rsidRDefault="00FD1551" w:rsidP="00FD1551">
            <w:pPr>
              <w:spacing w:after="0" w:line="240" w:lineRule="auto"/>
              <w:jc w:val="center"/>
              <w:rPr>
                <w:rFonts w:ascii="Arial" w:eastAsia="Times New Roman" w:hAnsi="Arial" w:cs="Arial"/>
                <w:b/>
                <w:bCs/>
                <w:sz w:val="20"/>
                <w:szCs w:val="20"/>
                <w:lang w:eastAsia="pt-BR"/>
              </w:rPr>
            </w:pPr>
            <w:r w:rsidRPr="00FD1551">
              <w:rPr>
                <w:rFonts w:ascii="Arial" w:eastAsia="Times New Roman" w:hAnsi="Arial" w:cs="Arial"/>
                <w:b/>
                <w:bCs/>
                <w:sz w:val="20"/>
                <w:szCs w:val="20"/>
                <w:lang w:eastAsia="pt-BR"/>
              </w:rPr>
              <w:t>Campo</w:t>
            </w:r>
          </w:p>
        </w:tc>
        <w:tc>
          <w:tcPr>
            <w:tcW w:w="1134" w:type="dxa"/>
            <w:tcBorders>
              <w:top w:val="single" w:sz="8" w:space="0" w:color="auto"/>
              <w:left w:val="nil"/>
              <w:bottom w:val="single" w:sz="8" w:space="0" w:color="auto"/>
              <w:right w:val="single" w:sz="8" w:space="0" w:color="auto"/>
            </w:tcBorders>
            <w:shd w:val="clear" w:color="000000" w:fill="C0C0C0"/>
            <w:vAlign w:val="center"/>
            <w:hideMark/>
          </w:tcPr>
          <w:p w14:paraId="19EF6088" w14:textId="77777777" w:rsidR="00FD1551" w:rsidRPr="00FD1551" w:rsidRDefault="00FD1551" w:rsidP="00FD1551">
            <w:pPr>
              <w:spacing w:after="0" w:line="240" w:lineRule="auto"/>
              <w:jc w:val="center"/>
              <w:rPr>
                <w:rFonts w:ascii="Arial" w:eastAsia="Times New Roman" w:hAnsi="Arial" w:cs="Arial"/>
                <w:b/>
                <w:bCs/>
                <w:sz w:val="20"/>
                <w:szCs w:val="20"/>
                <w:lang w:eastAsia="pt-BR"/>
              </w:rPr>
            </w:pPr>
            <w:r w:rsidRPr="00FD1551">
              <w:rPr>
                <w:rFonts w:ascii="Arial" w:eastAsia="Times New Roman" w:hAnsi="Arial" w:cs="Arial"/>
                <w:b/>
                <w:bCs/>
                <w:sz w:val="20"/>
                <w:szCs w:val="20"/>
                <w:lang w:eastAsia="pt-BR"/>
              </w:rPr>
              <w:t>Tipo</w:t>
            </w:r>
          </w:p>
        </w:tc>
        <w:tc>
          <w:tcPr>
            <w:tcW w:w="1276" w:type="dxa"/>
            <w:tcBorders>
              <w:top w:val="single" w:sz="8" w:space="0" w:color="auto"/>
              <w:left w:val="nil"/>
              <w:bottom w:val="single" w:sz="8" w:space="0" w:color="auto"/>
              <w:right w:val="single" w:sz="8" w:space="0" w:color="auto"/>
            </w:tcBorders>
            <w:shd w:val="clear" w:color="000000" w:fill="C0C0C0"/>
            <w:vAlign w:val="center"/>
            <w:hideMark/>
          </w:tcPr>
          <w:p w14:paraId="0F570F69" w14:textId="77777777" w:rsidR="00FD1551" w:rsidRPr="00FD1551" w:rsidRDefault="00FD1551" w:rsidP="00FD1551">
            <w:pPr>
              <w:spacing w:after="0" w:line="240" w:lineRule="auto"/>
              <w:jc w:val="center"/>
              <w:rPr>
                <w:rFonts w:ascii="Arial" w:eastAsia="Times New Roman" w:hAnsi="Arial" w:cs="Arial"/>
                <w:b/>
                <w:bCs/>
                <w:sz w:val="20"/>
                <w:szCs w:val="20"/>
                <w:lang w:eastAsia="pt-BR"/>
              </w:rPr>
            </w:pPr>
            <w:r w:rsidRPr="00FD1551">
              <w:rPr>
                <w:rFonts w:ascii="Arial" w:eastAsia="Times New Roman" w:hAnsi="Arial" w:cs="Arial"/>
                <w:b/>
                <w:bCs/>
                <w:sz w:val="20"/>
                <w:szCs w:val="20"/>
                <w:lang w:eastAsia="pt-BR"/>
              </w:rPr>
              <w:t>Tamanho</w:t>
            </w:r>
          </w:p>
        </w:tc>
        <w:tc>
          <w:tcPr>
            <w:tcW w:w="3260" w:type="dxa"/>
            <w:tcBorders>
              <w:top w:val="single" w:sz="8" w:space="0" w:color="auto"/>
              <w:left w:val="nil"/>
              <w:bottom w:val="single" w:sz="8" w:space="0" w:color="auto"/>
              <w:right w:val="single" w:sz="8" w:space="0" w:color="auto"/>
            </w:tcBorders>
            <w:shd w:val="clear" w:color="000000" w:fill="C0C0C0"/>
            <w:vAlign w:val="center"/>
            <w:hideMark/>
          </w:tcPr>
          <w:p w14:paraId="19F6E5FF" w14:textId="77777777" w:rsidR="00FD1551" w:rsidRPr="00FD1551" w:rsidRDefault="00FD1551" w:rsidP="00FD1551">
            <w:pPr>
              <w:spacing w:after="0" w:line="240" w:lineRule="auto"/>
              <w:jc w:val="center"/>
              <w:rPr>
                <w:rFonts w:ascii="Arial" w:eastAsia="Times New Roman" w:hAnsi="Arial" w:cs="Arial"/>
                <w:b/>
                <w:bCs/>
                <w:sz w:val="20"/>
                <w:szCs w:val="20"/>
                <w:lang w:eastAsia="pt-BR"/>
              </w:rPr>
            </w:pPr>
            <w:r w:rsidRPr="00FD1551">
              <w:rPr>
                <w:rFonts w:ascii="Arial" w:eastAsia="Times New Roman" w:hAnsi="Arial" w:cs="Arial"/>
                <w:b/>
                <w:bCs/>
                <w:sz w:val="20"/>
                <w:szCs w:val="20"/>
                <w:lang w:eastAsia="pt-BR"/>
              </w:rPr>
              <w:t>Obrigatoriedade</w:t>
            </w:r>
          </w:p>
        </w:tc>
      </w:tr>
      <w:tr w:rsidR="00FD1551" w:rsidRPr="00FD1551" w14:paraId="0A82F9D5" w14:textId="77777777" w:rsidTr="00FD1551">
        <w:trPr>
          <w:trHeight w:val="420"/>
        </w:trPr>
        <w:tc>
          <w:tcPr>
            <w:tcW w:w="9229" w:type="dxa"/>
            <w:gridSpan w:val="4"/>
            <w:tcBorders>
              <w:top w:val="single" w:sz="8" w:space="0" w:color="auto"/>
              <w:left w:val="single" w:sz="8" w:space="0" w:color="auto"/>
              <w:bottom w:val="single" w:sz="8" w:space="0" w:color="auto"/>
              <w:right w:val="single" w:sz="8" w:space="0" w:color="000000"/>
            </w:tcBorders>
            <w:shd w:val="clear" w:color="000000" w:fill="BFBFBF"/>
            <w:vAlign w:val="center"/>
            <w:hideMark/>
          </w:tcPr>
          <w:p w14:paraId="0FFD7BCC" w14:textId="77777777" w:rsidR="00FD1551" w:rsidRPr="00FD1551" w:rsidRDefault="00FD1551" w:rsidP="00FD1551">
            <w:pPr>
              <w:spacing w:after="0" w:line="240" w:lineRule="auto"/>
              <w:jc w:val="center"/>
              <w:rPr>
                <w:rFonts w:ascii="Arial" w:eastAsia="Times New Roman" w:hAnsi="Arial" w:cs="Arial"/>
                <w:b/>
                <w:bCs/>
                <w:sz w:val="20"/>
                <w:szCs w:val="20"/>
                <w:lang w:eastAsia="pt-BR"/>
              </w:rPr>
            </w:pPr>
            <w:r w:rsidRPr="00FD1551">
              <w:rPr>
                <w:rFonts w:ascii="Arial" w:eastAsia="Times New Roman" w:hAnsi="Arial" w:cs="Arial"/>
                <w:b/>
                <w:bCs/>
                <w:sz w:val="20"/>
                <w:szCs w:val="20"/>
                <w:lang w:eastAsia="pt-BR"/>
              </w:rPr>
              <w:t>Estrutura ‘BalanceteExecucaoOrcamentariaReceita’</w:t>
            </w:r>
          </w:p>
        </w:tc>
      </w:tr>
      <w:tr w:rsidR="00FD1551" w:rsidRPr="00FD1551" w14:paraId="6420D752" w14:textId="77777777" w:rsidTr="00FD1551">
        <w:trPr>
          <w:trHeight w:val="315"/>
        </w:trPr>
        <w:tc>
          <w:tcPr>
            <w:tcW w:w="3559" w:type="dxa"/>
            <w:tcBorders>
              <w:top w:val="nil"/>
              <w:left w:val="single" w:sz="8" w:space="0" w:color="auto"/>
              <w:bottom w:val="single" w:sz="8" w:space="0" w:color="auto"/>
              <w:right w:val="single" w:sz="8" w:space="0" w:color="auto"/>
            </w:tcBorders>
            <w:shd w:val="clear" w:color="auto" w:fill="auto"/>
            <w:vAlign w:val="center"/>
            <w:hideMark/>
          </w:tcPr>
          <w:p w14:paraId="5DB7271C" w14:textId="77777777" w:rsidR="00FD1551" w:rsidRPr="00FD1551" w:rsidRDefault="00FD1551" w:rsidP="00FD1551">
            <w:pPr>
              <w:spacing w:after="0" w:line="240" w:lineRule="auto"/>
              <w:jc w:val="both"/>
              <w:rPr>
                <w:rFonts w:ascii="Arial" w:eastAsia="Times New Roman" w:hAnsi="Arial" w:cs="Arial"/>
                <w:sz w:val="20"/>
                <w:szCs w:val="20"/>
                <w:lang w:eastAsia="pt-BR"/>
              </w:rPr>
            </w:pPr>
            <w:r w:rsidRPr="00FD1551">
              <w:rPr>
                <w:rFonts w:ascii="Arial" w:eastAsia="Times New Roman" w:hAnsi="Arial" w:cs="Arial"/>
                <w:sz w:val="20"/>
                <w:szCs w:val="20"/>
                <w:lang w:eastAsia="pt-BR"/>
              </w:rPr>
              <w:t>Identificação do Numero do Registro</w:t>
            </w:r>
          </w:p>
        </w:tc>
        <w:tc>
          <w:tcPr>
            <w:tcW w:w="1134" w:type="dxa"/>
            <w:tcBorders>
              <w:top w:val="nil"/>
              <w:left w:val="nil"/>
              <w:bottom w:val="single" w:sz="8" w:space="0" w:color="auto"/>
              <w:right w:val="single" w:sz="8" w:space="0" w:color="auto"/>
            </w:tcBorders>
            <w:shd w:val="clear" w:color="auto" w:fill="auto"/>
            <w:vAlign w:val="center"/>
            <w:hideMark/>
          </w:tcPr>
          <w:p w14:paraId="566448FE"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Inteiro</w:t>
            </w:r>
          </w:p>
        </w:tc>
        <w:tc>
          <w:tcPr>
            <w:tcW w:w="1276" w:type="dxa"/>
            <w:tcBorders>
              <w:top w:val="nil"/>
              <w:left w:val="nil"/>
              <w:bottom w:val="single" w:sz="8" w:space="0" w:color="auto"/>
              <w:right w:val="single" w:sz="8" w:space="0" w:color="auto"/>
            </w:tcBorders>
            <w:shd w:val="clear" w:color="auto" w:fill="auto"/>
            <w:vAlign w:val="center"/>
            <w:hideMark/>
          </w:tcPr>
          <w:p w14:paraId="605120B9"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5</w:t>
            </w:r>
          </w:p>
        </w:tc>
        <w:tc>
          <w:tcPr>
            <w:tcW w:w="3260" w:type="dxa"/>
            <w:tcBorders>
              <w:top w:val="nil"/>
              <w:left w:val="nil"/>
              <w:bottom w:val="single" w:sz="8" w:space="0" w:color="auto"/>
              <w:right w:val="single" w:sz="8" w:space="0" w:color="auto"/>
            </w:tcBorders>
            <w:shd w:val="clear" w:color="auto" w:fill="auto"/>
            <w:vAlign w:val="center"/>
            <w:hideMark/>
          </w:tcPr>
          <w:p w14:paraId="23613AFE" w14:textId="77777777" w:rsidR="00FD1551" w:rsidRPr="00FD1551" w:rsidRDefault="00FD1551" w:rsidP="00FD1551">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Obrigatório</w:t>
            </w:r>
          </w:p>
        </w:tc>
      </w:tr>
      <w:tr w:rsidR="00FD1551" w:rsidRPr="00FD1551" w14:paraId="09BEBC65" w14:textId="77777777" w:rsidTr="00FD1551">
        <w:trPr>
          <w:trHeight w:val="315"/>
        </w:trPr>
        <w:tc>
          <w:tcPr>
            <w:tcW w:w="3559" w:type="dxa"/>
            <w:tcBorders>
              <w:top w:val="nil"/>
              <w:left w:val="single" w:sz="8" w:space="0" w:color="auto"/>
              <w:bottom w:val="single" w:sz="8" w:space="0" w:color="auto"/>
              <w:right w:val="single" w:sz="8" w:space="0" w:color="auto"/>
            </w:tcBorders>
            <w:shd w:val="clear" w:color="auto" w:fill="auto"/>
            <w:vAlign w:val="center"/>
            <w:hideMark/>
          </w:tcPr>
          <w:p w14:paraId="5AF155B4" w14:textId="77777777" w:rsidR="00FD1551" w:rsidRPr="00FD1551" w:rsidRDefault="00FD1551" w:rsidP="00FD1551">
            <w:pPr>
              <w:spacing w:after="0" w:line="240" w:lineRule="auto"/>
              <w:jc w:val="both"/>
              <w:rPr>
                <w:rFonts w:ascii="Arial" w:eastAsia="Times New Roman" w:hAnsi="Arial" w:cs="Arial"/>
                <w:sz w:val="20"/>
                <w:szCs w:val="20"/>
                <w:lang w:eastAsia="pt-BR"/>
              </w:rPr>
            </w:pPr>
            <w:r w:rsidRPr="00FD1551">
              <w:rPr>
                <w:rFonts w:ascii="Arial" w:eastAsia="Times New Roman" w:hAnsi="Arial" w:cs="Arial"/>
                <w:sz w:val="20"/>
                <w:szCs w:val="20"/>
                <w:lang w:eastAsia="pt-BR"/>
              </w:rPr>
              <w:t>Código da Unidade Gestora</w:t>
            </w:r>
          </w:p>
        </w:tc>
        <w:tc>
          <w:tcPr>
            <w:tcW w:w="1134" w:type="dxa"/>
            <w:tcBorders>
              <w:top w:val="nil"/>
              <w:left w:val="nil"/>
              <w:bottom w:val="single" w:sz="8" w:space="0" w:color="auto"/>
              <w:right w:val="single" w:sz="8" w:space="0" w:color="auto"/>
            </w:tcBorders>
            <w:shd w:val="clear" w:color="auto" w:fill="auto"/>
            <w:vAlign w:val="center"/>
            <w:hideMark/>
          </w:tcPr>
          <w:p w14:paraId="7771D053"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Caracter</w:t>
            </w:r>
          </w:p>
        </w:tc>
        <w:tc>
          <w:tcPr>
            <w:tcW w:w="1276" w:type="dxa"/>
            <w:tcBorders>
              <w:top w:val="nil"/>
              <w:left w:val="nil"/>
              <w:bottom w:val="single" w:sz="8" w:space="0" w:color="auto"/>
              <w:right w:val="single" w:sz="8" w:space="0" w:color="auto"/>
            </w:tcBorders>
            <w:shd w:val="clear" w:color="auto" w:fill="auto"/>
            <w:vAlign w:val="center"/>
            <w:hideMark/>
          </w:tcPr>
          <w:p w14:paraId="6451FC9B"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11</w:t>
            </w:r>
          </w:p>
        </w:tc>
        <w:tc>
          <w:tcPr>
            <w:tcW w:w="3260" w:type="dxa"/>
            <w:tcBorders>
              <w:top w:val="nil"/>
              <w:left w:val="nil"/>
              <w:bottom w:val="single" w:sz="8" w:space="0" w:color="auto"/>
              <w:right w:val="single" w:sz="8" w:space="0" w:color="auto"/>
            </w:tcBorders>
            <w:shd w:val="clear" w:color="auto" w:fill="auto"/>
            <w:vAlign w:val="center"/>
            <w:hideMark/>
          </w:tcPr>
          <w:p w14:paraId="3854BB46" w14:textId="77777777" w:rsidR="00FD1551" w:rsidRPr="00BB337D" w:rsidRDefault="00FD1551" w:rsidP="00BB337D">
            <w:pPr>
              <w:spacing w:after="0" w:line="240" w:lineRule="auto"/>
              <w:rPr>
                <w:rFonts w:ascii="Arial" w:eastAsia="Times New Roman" w:hAnsi="Arial" w:cs="Arial"/>
                <w:sz w:val="20"/>
                <w:szCs w:val="20"/>
                <w:lang w:eastAsia="pt-BR"/>
              </w:rPr>
            </w:pPr>
            <w:r w:rsidRPr="00BB337D">
              <w:rPr>
                <w:rFonts w:ascii="Arial" w:eastAsia="Times New Roman" w:hAnsi="Arial" w:cs="Arial"/>
                <w:sz w:val="20"/>
                <w:szCs w:val="20"/>
                <w:lang w:eastAsia="pt-BR"/>
              </w:rPr>
              <w:t>Obrigatório</w:t>
            </w:r>
          </w:p>
          <w:p w14:paraId="25A134AA" w14:textId="77777777" w:rsidR="004313CE" w:rsidRPr="00BB337D" w:rsidRDefault="004313CE" w:rsidP="00BB337D">
            <w:pPr>
              <w:spacing w:after="0" w:line="240" w:lineRule="auto"/>
              <w:rPr>
                <w:rFonts w:ascii="Arial" w:eastAsia="Times New Roman" w:hAnsi="Arial" w:cs="Arial"/>
                <w:sz w:val="20"/>
                <w:szCs w:val="20"/>
                <w:lang w:eastAsia="pt-BR"/>
              </w:rPr>
            </w:pPr>
            <w:r w:rsidRPr="00BB337D">
              <w:rPr>
                <w:rFonts w:ascii="Arial" w:eastAsia="Times New Roman" w:hAnsi="Arial" w:cs="Arial"/>
                <w:sz w:val="20"/>
                <w:szCs w:val="20"/>
                <w:lang w:eastAsia="pt-BR"/>
              </w:rPr>
              <w:t>- Se Origem do Recurso 1 ou 2</w:t>
            </w:r>
          </w:p>
          <w:p w14:paraId="346E1521" w14:textId="77777777" w:rsidR="004313CE" w:rsidRPr="00BB337D" w:rsidRDefault="004313CE" w:rsidP="00BB337D">
            <w:pPr>
              <w:spacing w:after="0" w:line="240" w:lineRule="auto"/>
              <w:rPr>
                <w:rFonts w:ascii="Arial" w:eastAsia="Times New Roman" w:hAnsi="Arial" w:cs="Arial"/>
                <w:sz w:val="20"/>
                <w:szCs w:val="20"/>
                <w:lang w:eastAsia="pt-BR"/>
              </w:rPr>
            </w:pPr>
            <w:r w:rsidRPr="00BB337D">
              <w:rPr>
                <w:rFonts w:ascii="Arial" w:eastAsia="Times New Roman" w:hAnsi="Arial" w:cs="Arial"/>
                <w:sz w:val="20"/>
                <w:szCs w:val="20"/>
                <w:lang w:eastAsia="pt-BR"/>
              </w:rPr>
              <w:t xml:space="preserve">     -- Ente sob gestão do TCEES: Código da UG</w:t>
            </w:r>
          </w:p>
          <w:p w14:paraId="7E2D75BE" w14:textId="77777777" w:rsidR="004313CE" w:rsidRPr="00BB337D" w:rsidRDefault="004313CE" w:rsidP="00BB337D">
            <w:pPr>
              <w:spacing w:after="0" w:line="240" w:lineRule="auto"/>
              <w:rPr>
                <w:rFonts w:ascii="Arial" w:eastAsia="Times New Roman" w:hAnsi="Arial" w:cs="Arial"/>
                <w:sz w:val="20"/>
                <w:szCs w:val="20"/>
                <w:lang w:eastAsia="pt-BR"/>
              </w:rPr>
            </w:pPr>
            <w:r w:rsidRPr="00BB337D">
              <w:rPr>
                <w:rFonts w:ascii="Arial" w:eastAsia="Times New Roman" w:hAnsi="Arial" w:cs="Arial"/>
                <w:sz w:val="20"/>
                <w:szCs w:val="20"/>
                <w:lang w:eastAsia="pt-BR"/>
              </w:rPr>
              <w:t xml:space="preserve">    -- Ente externo: CNPJ (não estar no cadastro de UGs)</w:t>
            </w:r>
          </w:p>
          <w:p w14:paraId="310AE34D" w14:textId="77777777" w:rsidR="004313CE" w:rsidRPr="00BB337D" w:rsidRDefault="004313CE" w:rsidP="00BB337D">
            <w:pPr>
              <w:spacing w:after="0" w:line="240" w:lineRule="auto"/>
              <w:rPr>
                <w:rFonts w:ascii="Arial" w:eastAsia="Times New Roman" w:hAnsi="Arial" w:cs="Arial"/>
                <w:sz w:val="20"/>
                <w:szCs w:val="20"/>
                <w:lang w:eastAsia="pt-BR"/>
              </w:rPr>
            </w:pPr>
            <w:r w:rsidRPr="00BB337D">
              <w:rPr>
                <w:rFonts w:ascii="Arial" w:eastAsia="Times New Roman" w:hAnsi="Arial" w:cs="Arial"/>
                <w:sz w:val="20"/>
                <w:szCs w:val="20"/>
                <w:lang w:eastAsia="pt-BR"/>
              </w:rPr>
              <w:t>- Se Origem do Recurso 3</w:t>
            </w:r>
            <w:r w:rsidR="00450F60">
              <w:rPr>
                <w:rFonts w:ascii="Arial" w:eastAsia="Times New Roman" w:hAnsi="Arial" w:cs="Arial"/>
                <w:sz w:val="20"/>
                <w:szCs w:val="20"/>
                <w:lang w:eastAsia="pt-BR"/>
              </w:rPr>
              <w:t xml:space="preserve"> ou 9</w:t>
            </w:r>
            <w:r w:rsidRPr="00BB337D">
              <w:rPr>
                <w:rFonts w:ascii="Arial" w:eastAsia="Times New Roman" w:hAnsi="Arial" w:cs="Arial"/>
                <w:sz w:val="20"/>
                <w:szCs w:val="20"/>
                <w:lang w:eastAsia="pt-BR"/>
              </w:rPr>
              <w:t>: código da UG do Consórcio</w:t>
            </w:r>
          </w:p>
        </w:tc>
      </w:tr>
      <w:tr w:rsidR="00FD1551" w:rsidRPr="00FD1551" w14:paraId="31359572" w14:textId="77777777" w:rsidTr="00FD1551">
        <w:trPr>
          <w:trHeight w:val="525"/>
        </w:trPr>
        <w:tc>
          <w:tcPr>
            <w:tcW w:w="3559" w:type="dxa"/>
            <w:tcBorders>
              <w:top w:val="nil"/>
              <w:left w:val="single" w:sz="8" w:space="0" w:color="auto"/>
              <w:bottom w:val="single" w:sz="8" w:space="0" w:color="auto"/>
              <w:right w:val="single" w:sz="8" w:space="0" w:color="auto"/>
            </w:tcBorders>
            <w:shd w:val="clear" w:color="auto" w:fill="auto"/>
            <w:vAlign w:val="center"/>
            <w:hideMark/>
          </w:tcPr>
          <w:p w14:paraId="754E23BD" w14:textId="77777777" w:rsidR="00FD1551" w:rsidRPr="00FD1551" w:rsidRDefault="00FD1551" w:rsidP="00FD1551">
            <w:pPr>
              <w:spacing w:after="0" w:line="240" w:lineRule="auto"/>
              <w:jc w:val="both"/>
              <w:rPr>
                <w:rFonts w:ascii="Arial" w:eastAsia="Times New Roman" w:hAnsi="Arial" w:cs="Arial"/>
                <w:sz w:val="20"/>
                <w:szCs w:val="20"/>
                <w:lang w:eastAsia="pt-BR"/>
              </w:rPr>
            </w:pPr>
            <w:r w:rsidRPr="00FD1551">
              <w:rPr>
                <w:rFonts w:ascii="Arial" w:eastAsia="Times New Roman" w:hAnsi="Arial" w:cs="Arial"/>
                <w:sz w:val="20"/>
                <w:szCs w:val="20"/>
                <w:lang w:eastAsia="pt-BR"/>
              </w:rPr>
              <w:t>Categoria Economica</w:t>
            </w:r>
          </w:p>
        </w:tc>
        <w:tc>
          <w:tcPr>
            <w:tcW w:w="1134" w:type="dxa"/>
            <w:tcBorders>
              <w:top w:val="nil"/>
              <w:left w:val="nil"/>
              <w:bottom w:val="single" w:sz="8" w:space="0" w:color="auto"/>
              <w:right w:val="single" w:sz="8" w:space="0" w:color="auto"/>
            </w:tcBorders>
            <w:shd w:val="clear" w:color="auto" w:fill="auto"/>
            <w:vAlign w:val="center"/>
            <w:hideMark/>
          </w:tcPr>
          <w:p w14:paraId="51BDFA94"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Caracter</w:t>
            </w:r>
          </w:p>
        </w:tc>
        <w:tc>
          <w:tcPr>
            <w:tcW w:w="1276" w:type="dxa"/>
            <w:tcBorders>
              <w:top w:val="nil"/>
              <w:left w:val="nil"/>
              <w:bottom w:val="single" w:sz="8" w:space="0" w:color="auto"/>
              <w:right w:val="single" w:sz="8" w:space="0" w:color="auto"/>
            </w:tcBorders>
            <w:shd w:val="clear" w:color="auto" w:fill="auto"/>
            <w:vAlign w:val="center"/>
            <w:hideMark/>
          </w:tcPr>
          <w:p w14:paraId="0042CF6B"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1</w:t>
            </w:r>
          </w:p>
        </w:tc>
        <w:tc>
          <w:tcPr>
            <w:tcW w:w="3260" w:type="dxa"/>
            <w:tcBorders>
              <w:top w:val="nil"/>
              <w:left w:val="nil"/>
              <w:bottom w:val="single" w:sz="8" w:space="0" w:color="auto"/>
              <w:right w:val="single" w:sz="8" w:space="0" w:color="auto"/>
            </w:tcBorders>
            <w:shd w:val="clear" w:color="auto" w:fill="auto"/>
            <w:vAlign w:val="center"/>
            <w:hideMark/>
          </w:tcPr>
          <w:p w14:paraId="1E1BF292" w14:textId="77777777" w:rsidR="00FD1551" w:rsidRPr="00FD1551" w:rsidRDefault="00FD1551" w:rsidP="00FD1551">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w:t>
            </w:r>
            <w:r w:rsidR="00AC38D7">
              <w:rPr>
                <w:rFonts w:ascii="Arial" w:eastAsia="Times New Roman" w:hAnsi="Arial" w:cs="Arial"/>
                <w:sz w:val="20"/>
                <w:szCs w:val="20"/>
                <w:lang w:eastAsia="pt-BR"/>
              </w:rPr>
              <w:t>io, conforme Tabela Auxiliar 4.4</w:t>
            </w:r>
          </w:p>
        </w:tc>
      </w:tr>
      <w:tr w:rsidR="00FD1551" w:rsidRPr="00FD1551" w14:paraId="27A6EF51" w14:textId="77777777" w:rsidTr="00FD1551">
        <w:trPr>
          <w:trHeight w:val="525"/>
        </w:trPr>
        <w:tc>
          <w:tcPr>
            <w:tcW w:w="3559" w:type="dxa"/>
            <w:tcBorders>
              <w:top w:val="nil"/>
              <w:left w:val="single" w:sz="8" w:space="0" w:color="auto"/>
              <w:bottom w:val="single" w:sz="8" w:space="0" w:color="auto"/>
              <w:right w:val="single" w:sz="8" w:space="0" w:color="auto"/>
            </w:tcBorders>
            <w:shd w:val="clear" w:color="auto" w:fill="auto"/>
            <w:vAlign w:val="center"/>
            <w:hideMark/>
          </w:tcPr>
          <w:p w14:paraId="6FB3066F" w14:textId="77777777" w:rsidR="00FD1551" w:rsidRPr="00FD1551" w:rsidRDefault="00FD1551" w:rsidP="00FD1551">
            <w:pPr>
              <w:spacing w:after="0" w:line="240" w:lineRule="auto"/>
              <w:jc w:val="both"/>
              <w:rPr>
                <w:rFonts w:ascii="Arial" w:eastAsia="Times New Roman" w:hAnsi="Arial" w:cs="Arial"/>
                <w:sz w:val="20"/>
                <w:szCs w:val="20"/>
                <w:lang w:eastAsia="pt-BR"/>
              </w:rPr>
            </w:pPr>
            <w:r w:rsidRPr="00FD1551">
              <w:rPr>
                <w:rFonts w:ascii="Arial" w:eastAsia="Times New Roman" w:hAnsi="Arial" w:cs="Arial"/>
                <w:sz w:val="20"/>
                <w:szCs w:val="20"/>
                <w:lang w:eastAsia="pt-BR"/>
              </w:rPr>
              <w:t>Origem</w:t>
            </w:r>
          </w:p>
        </w:tc>
        <w:tc>
          <w:tcPr>
            <w:tcW w:w="1134" w:type="dxa"/>
            <w:tcBorders>
              <w:top w:val="nil"/>
              <w:left w:val="nil"/>
              <w:bottom w:val="single" w:sz="8" w:space="0" w:color="auto"/>
              <w:right w:val="single" w:sz="8" w:space="0" w:color="auto"/>
            </w:tcBorders>
            <w:shd w:val="clear" w:color="auto" w:fill="auto"/>
            <w:vAlign w:val="center"/>
            <w:hideMark/>
          </w:tcPr>
          <w:p w14:paraId="420AD03A"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Caracter</w:t>
            </w:r>
          </w:p>
        </w:tc>
        <w:tc>
          <w:tcPr>
            <w:tcW w:w="1276" w:type="dxa"/>
            <w:tcBorders>
              <w:top w:val="nil"/>
              <w:left w:val="nil"/>
              <w:bottom w:val="single" w:sz="8" w:space="0" w:color="auto"/>
              <w:right w:val="single" w:sz="8" w:space="0" w:color="auto"/>
            </w:tcBorders>
            <w:shd w:val="clear" w:color="auto" w:fill="auto"/>
            <w:vAlign w:val="center"/>
            <w:hideMark/>
          </w:tcPr>
          <w:p w14:paraId="33E31D4F"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1</w:t>
            </w:r>
          </w:p>
        </w:tc>
        <w:tc>
          <w:tcPr>
            <w:tcW w:w="3260" w:type="dxa"/>
            <w:tcBorders>
              <w:top w:val="nil"/>
              <w:left w:val="nil"/>
              <w:bottom w:val="single" w:sz="8" w:space="0" w:color="auto"/>
              <w:right w:val="single" w:sz="8" w:space="0" w:color="auto"/>
            </w:tcBorders>
            <w:shd w:val="clear" w:color="auto" w:fill="auto"/>
            <w:vAlign w:val="center"/>
            <w:hideMark/>
          </w:tcPr>
          <w:p w14:paraId="2AE82A2E" w14:textId="77777777" w:rsidR="00FD1551" w:rsidRPr="00FD1551" w:rsidRDefault="00FD1551" w:rsidP="00FD1551">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w:t>
            </w:r>
            <w:r w:rsidR="00AC38D7">
              <w:rPr>
                <w:rFonts w:ascii="Arial" w:eastAsia="Times New Roman" w:hAnsi="Arial" w:cs="Arial"/>
                <w:sz w:val="20"/>
                <w:szCs w:val="20"/>
                <w:lang w:eastAsia="pt-BR"/>
              </w:rPr>
              <w:t>io, conforme tabela auxiliar 4.4</w:t>
            </w:r>
          </w:p>
        </w:tc>
      </w:tr>
      <w:tr w:rsidR="00FD1551" w:rsidRPr="00FD1551" w14:paraId="5854E70F" w14:textId="77777777" w:rsidTr="00FD1551">
        <w:trPr>
          <w:trHeight w:val="525"/>
        </w:trPr>
        <w:tc>
          <w:tcPr>
            <w:tcW w:w="3559" w:type="dxa"/>
            <w:tcBorders>
              <w:top w:val="nil"/>
              <w:left w:val="single" w:sz="8" w:space="0" w:color="auto"/>
              <w:bottom w:val="single" w:sz="8" w:space="0" w:color="auto"/>
              <w:right w:val="single" w:sz="8" w:space="0" w:color="auto"/>
            </w:tcBorders>
            <w:shd w:val="clear" w:color="auto" w:fill="auto"/>
            <w:vAlign w:val="center"/>
            <w:hideMark/>
          </w:tcPr>
          <w:p w14:paraId="4A37D0A4" w14:textId="77777777" w:rsidR="00FD1551" w:rsidRPr="00FD1551" w:rsidRDefault="00FD1551" w:rsidP="00FD1551">
            <w:pPr>
              <w:spacing w:after="0" w:line="240" w:lineRule="auto"/>
              <w:jc w:val="both"/>
              <w:rPr>
                <w:rFonts w:ascii="Arial" w:eastAsia="Times New Roman" w:hAnsi="Arial" w:cs="Arial"/>
                <w:sz w:val="20"/>
                <w:szCs w:val="20"/>
                <w:lang w:eastAsia="pt-BR"/>
              </w:rPr>
            </w:pPr>
            <w:r w:rsidRPr="00FD1551">
              <w:rPr>
                <w:rFonts w:ascii="Arial" w:eastAsia="Times New Roman" w:hAnsi="Arial" w:cs="Arial"/>
                <w:sz w:val="20"/>
                <w:szCs w:val="20"/>
                <w:lang w:eastAsia="pt-BR"/>
              </w:rPr>
              <w:t>Espécie</w:t>
            </w:r>
          </w:p>
        </w:tc>
        <w:tc>
          <w:tcPr>
            <w:tcW w:w="1134" w:type="dxa"/>
            <w:tcBorders>
              <w:top w:val="nil"/>
              <w:left w:val="nil"/>
              <w:bottom w:val="single" w:sz="8" w:space="0" w:color="auto"/>
              <w:right w:val="single" w:sz="8" w:space="0" w:color="auto"/>
            </w:tcBorders>
            <w:shd w:val="clear" w:color="auto" w:fill="auto"/>
            <w:vAlign w:val="center"/>
            <w:hideMark/>
          </w:tcPr>
          <w:p w14:paraId="5A4BF1BA"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Caracter</w:t>
            </w:r>
          </w:p>
        </w:tc>
        <w:tc>
          <w:tcPr>
            <w:tcW w:w="1276" w:type="dxa"/>
            <w:tcBorders>
              <w:top w:val="nil"/>
              <w:left w:val="nil"/>
              <w:bottom w:val="single" w:sz="8" w:space="0" w:color="auto"/>
              <w:right w:val="single" w:sz="8" w:space="0" w:color="auto"/>
            </w:tcBorders>
            <w:shd w:val="clear" w:color="auto" w:fill="auto"/>
            <w:vAlign w:val="center"/>
            <w:hideMark/>
          </w:tcPr>
          <w:p w14:paraId="2E8557B8"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1</w:t>
            </w:r>
          </w:p>
        </w:tc>
        <w:tc>
          <w:tcPr>
            <w:tcW w:w="3260" w:type="dxa"/>
            <w:tcBorders>
              <w:top w:val="nil"/>
              <w:left w:val="nil"/>
              <w:bottom w:val="single" w:sz="8" w:space="0" w:color="auto"/>
              <w:right w:val="single" w:sz="8" w:space="0" w:color="auto"/>
            </w:tcBorders>
            <w:shd w:val="clear" w:color="auto" w:fill="auto"/>
            <w:vAlign w:val="center"/>
            <w:hideMark/>
          </w:tcPr>
          <w:p w14:paraId="4C82FDF1" w14:textId="77777777" w:rsidR="00FD1551" w:rsidRPr="00FD1551" w:rsidRDefault="00FD1551" w:rsidP="00FD1551">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w:t>
            </w:r>
            <w:r w:rsidR="00AC38D7">
              <w:rPr>
                <w:rFonts w:ascii="Arial" w:eastAsia="Times New Roman" w:hAnsi="Arial" w:cs="Arial"/>
                <w:sz w:val="20"/>
                <w:szCs w:val="20"/>
                <w:lang w:eastAsia="pt-BR"/>
              </w:rPr>
              <w:t>io, conforme tabela auxiliar 4.4</w:t>
            </w:r>
          </w:p>
        </w:tc>
      </w:tr>
      <w:tr w:rsidR="00FD1551" w:rsidRPr="00FD1551" w14:paraId="0C3E6442" w14:textId="77777777" w:rsidTr="00FD1551">
        <w:trPr>
          <w:trHeight w:val="525"/>
        </w:trPr>
        <w:tc>
          <w:tcPr>
            <w:tcW w:w="3559" w:type="dxa"/>
            <w:tcBorders>
              <w:top w:val="nil"/>
              <w:left w:val="single" w:sz="8" w:space="0" w:color="auto"/>
              <w:bottom w:val="single" w:sz="8" w:space="0" w:color="auto"/>
              <w:right w:val="single" w:sz="8" w:space="0" w:color="auto"/>
            </w:tcBorders>
            <w:shd w:val="clear" w:color="auto" w:fill="auto"/>
            <w:vAlign w:val="center"/>
            <w:hideMark/>
          </w:tcPr>
          <w:p w14:paraId="4C31027D" w14:textId="77777777" w:rsidR="00FD1551" w:rsidRPr="00FD1551" w:rsidRDefault="00AC38D7" w:rsidP="00FD1551">
            <w:pPr>
              <w:spacing w:after="0" w:line="240" w:lineRule="auto"/>
              <w:jc w:val="both"/>
              <w:rPr>
                <w:rFonts w:ascii="Arial" w:eastAsia="Times New Roman" w:hAnsi="Arial" w:cs="Arial"/>
                <w:sz w:val="20"/>
                <w:szCs w:val="20"/>
                <w:lang w:eastAsia="pt-BR"/>
              </w:rPr>
            </w:pPr>
            <w:r>
              <w:rPr>
                <w:rFonts w:ascii="Arial" w:eastAsia="Times New Roman" w:hAnsi="Arial" w:cs="Arial"/>
                <w:sz w:val="20"/>
                <w:szCs w:val="20"/>
                <w:lang w:eastAsia="pt-BR"/>
              </w:rPr>
              <w:t>Detalhamento1</w:t>
            </w:r>
          </w:p>
        </w:tc>
        <w:tc>
          <w:tcPr>
            <w:tcW w:w="1134" w:type="dxa"/>
            <w:tcBorders>
              <w:top w:val="nil"/>
              <w:left w:val="nil"/>
              <w:bottom w:val="single" w:sz="8" w:space="0" w:color="auto"/>
              <w:right w:val="single" w:sz="8" w:space="0" w:color="auto"/>
            </w:tcBorders>
            <w:shd w:val="clear" w:color="auto" w:fill="auto"/>
            <w:vAlign w:val="center"/>
            <w:hideMark/>
          </w:tcPr>
          <w:p w14:paraId="0F395FA9"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Caracter</w:t>
            </w:r>
          </w:p>
        </w:tc>
        <w:tc>
          <w:tcPr>
            <w:tcW w:w="1276" w:type="dxa"/>
            <w:tcBorders>
              <w:top w:val="nil"/>
              <w:left w:val="nil"/>
              <w:bottom w:val="single" w:sz="8" w:space="0" w:color="auto"/>
              <w:right w:val="single" w:sz="8" w:space="0" w:color="auto"/>
            </w:tcBorders>
            <w:shd w:val="clear" w:color="auto" w:fill="auto"/>
            <w:vAlign w:val="center"/>
            <w:hideMark/>
          </w:tcPr>
          <w:p w14:paraId="27179F9A"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1</w:t>
            </w:r>
          </w:p>
        </w:tc>
        <w:tc>
          <w:tcPr>
            <w:tcW w:w="3260" w:type="dxa"/>
            <w:tcBorders>
              <w:top w:val="nil"/>
              <w:left w:val="nil"/>
              <w:bottom w:val="single" w:sz="8" w:space="0" w:color="auto"/>
              <w:right w:val="single" w:sz="8" w:space="0" w:color="auto"/>
            </w:tcBorders>
            <w:shd w:val="clear" w:color="auto" w:fill="auto"/>
            <w:vAlign w:val="center"/>
            <w:hideMark/>
          </w:tcPr>
          <w:p w14:paraId="50529C2E" w14:textId="77777777" w:rsidR="00FD1551" w:rsidRPr="00FD1551" w:rsidRDefault="00FD1551" w:rsidP="00FD1551">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Obrigatório, conforme tabela auxiliar 4.4</w:t>
            </w:r>
          </w:p>
        </w:tc>
      </w:tr>
      <w:tr w:rsidR="00FD1551" w:rsidRPr="00FD1551" w14:paraId="00AC3167" w14:textId="77777777" w:rsidTr="00FD1551">
        <w:trPr>
          <w:trHeight w:val="525"/>
        </w:trPr>
        <w:tc>
          <w:tcPr>
            <w:tcW w:w="3559" w:type="dxa"/>
            <w:tcBorders>
              <w:top w:val="nil"/>
              <w:left w:val="single" w:sz="8" w:space="0" w:color="auto"/>
              <w:bottom w:val="single" w:sz="8" w:space="0" w:color="auto"/>
              <w:right w:val="single" w:sz="8" w:space="0" w:color="auto"/>
            </w:tcBorders>
            <w:shd w:val="clear" w:color="auto" w:fill="auto"/>
            <w:vAlign w:val="center"/>
            <w:hideMark/>
          </w:tcPr>
          <w:p w14:paraId="5098FFC2" w14:textId="77777777" w:rsidR="00FD1551" w:rsidRPr="00FD1551" w:rsidRDefault="00AC38D7" w:rsidP="00FD1551">
            <w:pPr>
              <w:spacing w:after="0" w:line="240" w:lineRule="auto"/>
              <w:jc w:val="both"/>
              <w:rPr>
                <w:rFonts w:ascii="Arial" w:eastAsia="Times New Roman" w:hAnsi="Arial" w:cs="Arial"/>
                <w:sz w:val="20"/>
                <w:szCs w:val="20"/>
                <w:lang w:eastAsia="pt-BR"/>
              </w:rPr>
            </w:pPr>
            <w:r>
              <w:rPr>
                <w:rFonts w:ascii="Arial" w:eastAsia="Times New Roman" w:hAnsi="Arial" w:cs="Arial"/>
                <w:sz w:val="20"/>
                <w:szCs w:val="20"/>
                <w:lang w:eastAsia="pt-BR"/>
              </w:rPr>
              <w:t>Detalhamento2</w:t>
            </w:r>
          </w:p>
        </w:tc>
        <w:tc>
          <w:tcPr>
            <w:tcW w:w="1134" w:type="dxa"/>
            <w:tcBorders>
              <w:top w:val="nil"/>
              <w:left w:val="nil"/>
              <w:bottom w:val="single" w:sz="8" w:space="0" w:color="auto"/>
              <w:right w:val="single" w:sz="8" w:space="0" w:color="auto"/>
            </w:tcBorders>
            <w:shd w:val="clear" w:color="auto" w:fill="auto"/>
            <w:vAlign w:val="center"/>
            <w:hideMark/>
          </w:tcPr>
          <w:p w14:paraId="18988FC5"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Caracter</w:t>
            </w:r>
          </w:p>
        </w:tc>
        <w:tc>
          <w:tcPr>
            <w:tcW w:w="1276" w:type="dxa"/>
            <w:tcBorders>
              <w:top w:val="nil"/>
              <w:left w:val="nil"/>
              <w:bottom w:val="single" w:sz="8" w:space="0" w:color="auto"/>
              <w:right w:val="single" w:sz="8" w:space="0" w:color="auto"/>
            </w:tcBorders>
            <w:shd w:val="clear" w:color="auto" w:fill="auto"/>
            <w:vAlign w:val="center"/>
            <w:hideMark/>
          </w:tcPr>
          <w:p w14:paraId="2FD02753"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2</w:t>
            </w:r>
          </w:p>
        </w:tc>
        <w:tc>
          <w:tcPr>
            <w:tcW w:w="3260" w:type="dxa"/>
            <w:tcBorders>
              <w:top w:val="nil"/>
              <w:left w:val="nil"/>
              <w:bottom w:val="single" w:sz="8" w:space="0" w:color="auto"/>
              <w:right w:val="single" w:sz="8" w:space="0" w:color="auto"/>
            </w:tcBorders>
            <w:shd w:val="clear" w:color="auto" w:fill="auto"/>
            <w:vAlign w:val="center"/>
            <w:hideMark/>
          </w:tcPr>
          <w:p w14:paraId="5F815BD0" w14:textId="77777777" w:rsidR="00FD1551" w:rsidRPr="00FD1551" w:rsidRDefault="00FD1551" w:rsidP="00FD1551">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w:t>
            </w:r>
            <w:r w:rsidR="00AC38D7">
              <w:rPr>
                <w:rFonts w:ascii="Arial" w:eastAsia="Times New Roman" w:hAnsi="Arial" w:cs="Arial"/>
                <w:sz w:val="20"/>
                <w:szCs w:val="20"/>
                <w:lang w:eastAsia="pt-BR"/>
              </w:rPr>
              <w:t>io, conforme tabela auxiliar 4.4</w:t>
            </w:r>
          </w:p>
        </w:tc>
      </w:tr>
      <w:tr w:rsidR="00FD1551" w:rsidRPr="00FD1551" w14:paraId="3B54EA6D" w14:textId="77777777" w:rsidTr="00FD1551">
        <w:trPr>
          <w:trHeight w:val="525"/>
        </w:trPr>
        <w:tc>
          <w:tcPr>
            <w:tcW w:w="3559" w:type="dxa"/>
            <w:tcBorders>
              <w:top w:val="nil"/>
              <w:left w:val="single" w:sz="8" w:space="0" w:color="auto"/>
              <w:bottom w:val="single" w:sz="8" w:space="0" w:color="auto"/>
              <w:right w:val="single" w:sz="8" w:space="0" w:color="auto"/>
            </w:tcBorders>
            <w:shd w:val="clear" w:color="auto" w:fill="auto"/>
            <w:vAlign w:val="center"/>
            <w:hideMark/>
          </w:tcPr>
          <w:p w14:paraId="68EFF30A" w14:textId="77777777" w:rsidR="00FD1551" w:rsidRPr="00FD1551" w:rsidRDefault="00AC38D7" w:rsidP="00FD1551">
            <w:pPr>
              <w:spacing w:after="0" w:line="240" w:lineRule="auto"/>
              <w:jc w:val="both"/>
              <w:rPr>
                <w:rFonts w:ascii="Arial" w:eastAsia="Times New Roman" w:hAnsi="Arial" w:cs="Arial"/>
                <w:sz w:val="20"/>
                <w:szCs w:val="20"/>
                <w:lang w:eastAsia="pt-BR"/>
              </w:rPr>
            </w:pPr>
            <w:r>
              <w:rPr>
                <w:rFonts w:ascii="Arial" w:eastAsia="Times New Roman" w:hAnsi="Arial" w:cs="Arial"/>
                <w:sz w:val="20"/>
                <w:szCs w:val="20"/>
                <w:lang w:eastAsia="pt-BR"/>
              </w:rPr>
              <w:t>Detalhamento3</w:t>
            </w:r>
          </w:p>
        </w:tc>
        <w:tc>
          <w:tcPr>
            <w:tcW w:w="1134" w:type="dxa"/>
            <w:tcBorders>
              <w:top w:val="nil"/>
              <w:left w:val="nil"/>
              <w:bottom w:val="single" w:sz="8" w:space="0" w:color="auto"/>
              <w:right w:val="single" w:sz="8" w:space="0" w:color="auto"/>
            </w:tcBorders>
            <w:shd w:val="clear" w:color="auto" w:fill="auto"/>
            <w:vAlign w:val="center"/>
            <w:hideMark/>
          </w:tcPr>
          <w:p w14:paraId="584BB06E"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Caracter</w:t>
            </w:r>
          </w:p>
        </w:tc>
        <w:tc>
          <w:tcPr>
            <w:tcW w:w="1276" w:type="dxa"/>
            <w:tcBorders>
              <w:top w:val="nil"/>
              <w:left w:val="nil"/>
              <w:bottom w:val="single" w:sz="8" w:space="0" w:color="auto"/>
              <w:right w:val="single" w:sz="8" w:space="0" w:color="auto"/>
            </w:tcBorders>
            <w:shd w:val="clear" w:color="auto" w:fill="auto"/>
            <w:vAlign w:val="center"/>
            <w:hideMark/>
          </w:tcPr>
          <w:p w14:paraId="6ABC638B" w14:textId="77777777" w:rsidR="00FD1551" w:rsidRPr="00FD1551" w:rsidRDefault="00F90B73" w:rsidP="00FD1551">
            <w:pPr>
              <w:spacing w:after="0" w:line="240" w:lineRule="auto"/>
              <w:jc w:val="center"/>
              <w:rPr>
                <w:rFonts w:ascii="Arial" w:eastAsia="Times New Roman" w:hAnsi="Arial" w:cs="Arial"/>
                <w:sz w:val="20"/>
                <w:szCs w:val="20"/>
                <w:lang w:eastAsia="pt-BR"/>
              </w:rPr>
            </w:pPr>
            <w:r>
              <w:rPr>
                <w:rFonts w:ascii="Arial" w:eastAsia="Times New Roman" w:hAnsi="Arial" w:cs="Arial"/>
                <w:sz w:val="20"/>
                <w:szCs w:val="20"/>
                <w:lang w:eastAsia="pt-BR"/>
              </w:rPr>
              <w:t>1</w:t>
            </w:r>
          </w:p>
        </w:tc>
        <w:tc>
          <w:tcPr>
            <w:tcW w:w="3260" w:type="dxa"/>
            <w:tcBorders>
              <w:top w:val="nil"/>
              <w:left w:val="nil"/>
              <w:bottom w:val="single" w:sz="8" w:space="0" w:color="auto"/>
              <w:right w:val="single" w:sz="8" w:space="0" w:color="auto"/>
            </w:tcBorders>
            <w:shd w:val="clear" w:color="auto" w:fill="auto"/>
            <w:vAlign w:val="center"/>
            <w:hideMark/>
          </w:tcPr>
          <w:p w14:paraId="5843C7CD" w14:textId="77777777" w:rsidR="00FD1551" w:rsidRPr="00FD1551" w:rsidRDefault="00FD1551" w:rsidP="00FD1551">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w:t>
            </w:r>
            <w:r w:rsidR="00AC38D7">
              <w:rPr>
                <w:rFonts w:ascii="Arial" w:eastAsia="Times New Roman" w:hAnsi="Arial" w:cs="Arial"/>
                <w:sz w:val="20"/>
                <w:szCs w:val="20"/>
                <w:lang w:eastAsia="pt-BR"/>
              </w:rPr>
              <w:t>io, conforme tabela auxiliar 4.4</w:t>
            </w:r>
          </w:p>
        </w:tc>
      </w:tr>
      <w:tr w:rsidR="00F90B73" w:rsidRPr="00FD1551" w14:paraId="57BB54B1" w14:textId="77777777" w:rsidTr="00FD1551">
        <w:trPr>
          <w:trHeight w:val="525"/>
        </w:trPr>
        <w:tc>
          <w:tcPr>
            <w:tcW w:w="3559" w:type="dxa"/>
            <w:tcBorders>
              <w:top w:val="nil"/>
              <w:left w:val="single" w:sz="8" w:space="0" w:color="auto"/>
              <w:bottom w:val="single" w:sz="8" w:space="0" w:color="auto"/>
              <w:right w:val="single" w:sz="8" w:space="0" w:color="auto"/>
            </w:tcBorders>
            <w:shd w:val="clear" w:color="auto" w:fill="auto"/>
            <w:vAlign w:val="center"/>
          </w:tcPr>
          <w:p w14:paraId="43B2211A" w14:textId="77777777" w:rsidR="00F90B73" w:rsidRPr="00FD1551" w:rsidRDefault="00F90B73" w:rsidP="00FD1551">
            <w:pPr>
              <w:spacing w:after="0" w:line="240" w:lineRule="auto"/>
              <w:jc w:val="both"/>
              <w:rPr>
                <w:rFonts w:ascii="Arial" w:eastAsia="Times New Roman" w:hAnsi="Arial" w:cs="Arial"/>
                <w:sz w:val="20"/>
                <w:szCs w:val="20"/>
                <w:lang w:eastAsia="pt-BR"/>
              </w:rPr>
            </w:pPr>
            <w:r>
              <w:rPr>
                <w:rFonts w:ascii="Arial" w:eastAsia="Times New Roman" w:hAnsi="Arial" w:cs="Arial"/>
                <w:sz w:val="20"/>
                <w:szCs w:val="20"/>
                <w:lang w:eastAsia="pt-BR"/>
              </w:rPr>
              <w:t>Tipo</w:t>
            </w:r>
          </w:p>
        </w:tc>
        <w:tc>
          <w:tcPr>
            <w:tcW w:w="1134" w:type="dxa"/>
            <w:tcBorders>
              <w:top w:val="nil"/>
              <w:left w:val="nil"/>
              <w:bottom w:val="single" w:sz="8" w:space="0" w:color="auto"/>
              <w:right w:val="single" w:sz="8" w:space="0" w:color="auto"/>
            </w:tcBorders>
            <w:shd w:val="clear" w:color="auto" w:fill="auto"/>
            <w:vAlign w:val="center"/>
          </w:tcPr>
          <w:p w14:paraId="23ACC38E" w14:textId="77777777" w:rsidR="00F90B73" w:rsidRPr="00FD1551" w:rsidRDefault="00F90B73" w:rsidP="00FD1551">
            <w:pPr>
              <w:spacing w:after="0" w:line="240" w:lineRule="auto"/>
              <w:jc w:val="center"/>
              <w:rPr>
                <w:rFonts w:ascii="Arial" w:eastAsia="Times New Roman" w:hAnsi="Arial" w:cs="Arial"/>
                <w:sz w:val="20"/>
                <w:szCs w:val="20"/>
                <w:lang w:eastAsia="pt-BR"/>
              </w:rPr>
            </w:pPr>
            <w:r>
              <w:rPr>
                <w:rFonts w:ascii="Arial" w:eastAsia="Times New Roman" w:hAnsi="Arial" w:cs="Arial"/>
                <w:sz w:val="20"/>
                <w:szCs w:val="20"/>
                <w:lang w:eastAsia="pt-BR"/>
              </w:rPr>
              <w:t>Caracter</w:t>
            </w:r>
          </w:p>
        </w:tc>
        <w:tc>
          <w:tcPr>
            <w:tcW w:w="1276" w:type="dxa"/>
            <w:tcBorders>
              <w:top w:val="nil"/>
              <w:left w:val="nil"/>
              <w:bottom w:val="single" w:sz="8" w:space="0" w:color="auto"/>
              <w:right w:val="single" w:sz="8" w:space="0" w:color="auto"/>
            </w:tcBorders>
            <w:shd w:val="clear" w:color="auto" w:fill="auto"/>
            <w:vAlign w:val="center"/>
          </w:tcPr>
          <w:p w14:paraId="35D6E1A6" w14:textId="77777777" w:rsidR="00F90B73" w:rsidRPr="00FD1551" w:rsidRDefault="00F90B73" w:rsidP="00FD1551">
            <w:pPr>
              <w:spacing w:after="0" w:line="240" w:lineRule="auto"/>
              <w:jc w:val="center"/>
              <w:rPr>
                <w:rFonts w:ascii="Arial" w:eastAsia="Times New Roman" w:hAnsi="Arial" w:cs="Arial"/>
                <w:sz w:val="20"/>
                <w:szCs w:val="20"/>
                <w:lang w:eastAsia="pt-BR"/>
              </w:rPr>
            </w:pPr>
            <w:r>
              <w:rPr>
                <w:rFonts w:ascii="Arial" w:eastAsia="Times New Roman" w:hAnsi="Arial" w:cs="Arial"/>
                <w:sz w:val="20"/>
                <w:szCs w:val="20"/>
                <w:lang w:eastAsia="pt-BR"/>
              </w:rPr>
              <w:t>1</w:t>
            </w:r>
          </w:p>
        </w:tc>
        <w:tc>
          <w:tcPr>
            <w:tcW w:w="3260" w:type="dxa"/>
            <w:tcBorders>
              <w:top w:val="nil"/>
              <w:left w:val="nil"/>
              <w:bottom w:val="single" w:sz="8" w:space="0" w:color="auto"/>
              <w:right w:val="single" w:sz="8" w:space="0" w:color="auto"/>
            </w:tcBorders>
            <w:shd w:val="clear" w:color="auto" w:fill="auto"/>
            <w:vAlign w:val="center"/>
          </w:tcPr>
          <w:p w14:paraId="0F9B6696" w14:textId="77777777" w:rsidR="00F90B73" w:rsidRPr="00FD1551" w:rsidRDefault="00F90B73" w:rsidP="00FD1551">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w:t>
            </w:r>
            <w:r>
              <w:rPr>
                <w:rFonts w:ascii="Arial" w:eastAsia="Times New Roman" w:hAnsi="Arial" w:cs="Arial"/>
                <w:sz w:val="20"/>
                <w:szCs w:val="20"/>
                <w:lang w:eastAsia="pt-BR"/>
              </w:rPr>
              <w:t>io, conforme tabela auxiliar 4.4</w:t>
            </w:r>
          </w:p>
        </w:tc>
      </w:tr>
      <w:tr w:rsidR="00FD1551" w:rsidRPr="00FD1551" w14:paraId="241ED8BA" w14:textId="77777777" w:rsidTr="00FD1551">
        <w:trPr>
          <w:trHeight w:val="525"/>
        </w:trPr>
        <w:tc>
          <w:tcPr>
            <w:tcW w:w="3559" w:type="dxa"/>
            <w:tcBorders>
              <w:top w:val="nil"/>
              <w:left w:val="single" w:sz="8" w:space="0" w:color="auto"/>
              <w:bottom w:val="single" w:sz="8" w:space="0" w:color="auto"/>
              <w:right w:val="single" w:sz="8" w:space="0" w:color="auto"/>
            </w:tcBorders>
            <w:shd w:val="clear" w:color="auto" w:fill="auto"/>
            <w:vAlign w:val="center"/>
            <w:hideMark/>
          </w:tcPr>
          <w:p w14:paraId="48AD0016" w14:textId="77777777" w:rsidR="00FD1551" w:rsidRPr="00FD1551" w:rsidRDefault="00FD1551" w:rsidP="00FD1551">
            <w:pPr>
              <w:spacing w:after="0" w:line="240" w:lineRule="auto"/>
              <w:jc w:val="both"/>
              <w:rPr>
                <w:rFonts w:ascii="Arial" w:eastAsia="Times New Roman" w:hAnsi="Arial" w:cs="Arial"/>
                <w:sz w:val="20"/>
                <w:szCs w:val="20"/>
                <w:lang w:eastAsia="pt-BR"/>
              </w:rPr>
            </w:pPr>
            <w:r w:rsidRPr="00FD1551">
              <w:rPr>
                <w:rFonts w:ascii="Arial" w:eastAsia="Times New Roman" w:hAnsi="Arial" w:cs="Arial"/>
                <w:sz w:val="20"/>
                <w:szCs w:val="20"/>
                <w:lang w:eastAsia="pt-BR"/>
              </w:rPr>
              <w:t xml:space="preserve">Código do Grupo de Fonte/Destinação de Recursos </w:t>
            </w:r>
          </w:p>
        </w:tc>
        <w:tc>
          <w:tcPr>
            <w:tcW w:w="1134" w:type="dxa"/>
            <w:tcBorders>
              <w:top w:val="nil"/>
              <w:left w:val="nil"/>
              <w:bottom w:val="single" w:sz="8" w:space="0" w:color="auto"/>
              <w:right w:val="single" w:sz="8" w:space="0" w:color="auto"/>
            </w:tcBorders>
            <w:shd w:val="clear" w:color="auto" w:fill="auto"/>
            <w:vAlign w:val="center"/>
            <w:hideMark/>
          </w:tcPr>
          <w:p w14:paraId="2FE93A83"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Inteiro</w:t>
            </w:r>
          </w:p>
        </w:tc>
        <w:tc>
          <w:tcPr>
            <w:tcW w:w="1276" w:type="dxa"/>
            <w:tcBorders>
              <w:top w:val="nil"/>
              <w:left w:val="nil"/>
              <w:bottom w:val="single" w:sz="8" w:space="0" w:color="auto"/>
              <w:right w:val="single" w:sz="8" w:space="0" w:color="auto"/>
            </w:tcBorders>
            <w:shd w:val="clear" w:color="auto" w:fill="auto"/>
            <w:vAlign w:val="center"/>
            <w:hideMark/>
          </w:tcPr>
          <w:p w14:paraId="21768A5C"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1</w:t>
            </w:r>
          </w:p>
        </w:tc>
        <w:tc>
          <w:tcPr>
            <w:tcW w:w="3260" w:type="dxa"/>
            <w:tcBorders>
              <w:top w:val="nil"/>
              <w:left w:val="nil"/>
              <w:bottom w:val="single" w:sz="8" w:space="0" w:color="auto"/>
              <w:right w:val="single" w:sz="8" w:space="0" w:color="auto"/>
            </w:tcBorders>
            <w:shd w:val="clear" w:color="auto" w:fill="auto"/>
            <w:vAlign w:val="center"/>
            <w:hideMark/>
          </w:tcPr>
          <w:p w14:paraId="5BA6ABEF" w14:textId="77777777" w:rsidR="00FD1551" w:rsidRPr="00FD1551" w:rsidRDefault="00FD1551" w:rsidP="00FD1551">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 xml:space="preserve"> Obrigatório conforme tabela auxiliar 1.1</w:t>
            </w:r>
          </w:p>
        </w:tc>
      </w:tr>
      <w:tr w:rsidR="00FD1551" w:rsidRPr="00FD1551" w14:paraId="7DCC0794" w14:textId="77777777" w:rsidTr="00FD1551">
        <w:trPr>
          <w:trHeight w:val="525"/>
        </w:trPr>
        <w:tc>
          <w:tcPr>
            <w:tcW w:w="3559" w:type="dxa"/>
            <w:tcBorders>
              <w:top w:val="nil"/>
              <w:left w:val="single" w:sz="8" w:space="0" w:color="auto"/>
              <w:bottom w:val="single" w:sz="8" w:space="0" w:color="auto"/>
              <w:right w:val="single" w:sz="8" w:space="0" w:color="auto"/>
            </w:tcBorders>
            <w:shd w:val="clear" w:color="auto" w:fill="auto"/>
            <w:vAlign w:val="center"/>
            <w:hideMark/>
          </w:tcPr>
          <w:p w14:paraId="4E6D166F" w14:textId="77777777" w:rsidR="00FD1551" w:rsidRPr="00FD1551" w:rsidRDefault="00FD1551" w:rsidP="00FD1551">
            <w:pPr>
              <w:spacing w:after="0" w:line="240" w:lineRule="auto"/>
              <w:jc w:val="both"/>
              <w:rPr>
                <w:rFonts w:ascii="Arial" w:eastAsia="Times New Roman" w:hAnsi="Arial" w:cs="Arial"/>
                <w:sz w:val="20"/>
                <w:szCs w:val="20"/>
                <w:lang w:eastAsia="pt-BR"/>
              </w:rPr>
            </w:pPr>
            <w:r w:rsidRPr="00FD1551">
              <w:rPr>
                <w:rFonts w:ascii="Arial" w:eastAsia="Times New Roman" w:hAnsi="Arial" w:cs="Arial"/>
                <w:sz w:val="20"/>
                <w:szCs w:val="20"/>
                <w:lang w:eastAsia="pt-BR"/>
              </w:rPr>
              <w:lastRenderedPageBreak/>
              <w:t>Código da especificação da fonte/destinação de recursos (fixo)</w:t>
            </w:r>
          </w:p>
        </w:tc>
        <w:tc>
          <w:tcPr>
            <w:tcW w:w="1134" w:type="dxa"/>
            <w:tcBorders>
              <w:top w:val="nil"/>
              <w:left w:val="nil"/>
              <w:bottom w:val="single" w:sz="8" w:space="0" w:color="auto"/>
              <w:right w:val="single" w:sz="8" w:space="0" w:color="auto"/>
            </w:tcBorders>
            <w:shd w:val="clear" w:color="auto" w:fill="auto"/>
            <w:vAlign w:val="center"/>
            <w:hideMark/>
          </w:tcPr>
          <w:p w14:paraId="4A028960"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Caracter</w:t>
            </w:r>
          </w:p>
        </w:tc>
        <w:tc>
          <w:tcPr>
            <w:tcW w:w="1276" w:type="dxa"/>
            <w:tcBorders>
              <w:top w:val="nil"/>
              <w:left w:val="nil"/>
              <w:bottom w:val="single" w:sz="8" w:space="0" w:color="auto"/>
              <w:right w:val="single" w:sz="8" w:space="0" w:color="auto"/>
            </w:tcBorders>
            <w:shd w:val="clear" w:color="auto" w:fill="auto"/>
            <w:vAlign w:val="center"/>
            <w:hideMark/>
          </w:tcPr>
          <w:p w14:paraId="5E5CF4AD"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3</w:t>
            </w:r>
          </w:p>
        </w:tc>
        <w:tc>
          <w:tcPr>
            <w:tcW w:w="3260" w:type="dxa"/>
            <w:tcBorders>
              <w:top w:val="nil"/>
              <w:left w:val="nil"/>
              <w:bottom w:val="single" w:sz="8" w:space="0" w:color="auto"/>
              <w:right w:val="single" w:sz="8" w:space="0" w:color="auto"/>
            </w:tcBorders>
            <w:shd w:val="clear" w:color="auto" w:fill="auto"/>
            <w:vAlign w:val="center"/>
            <w:hideMark/>
          </w:tcPr>
          <w:p w14:paraId="2F2371A8" w14:textId="77777777" w:rsidR="00FD1551" w:rsidRPr="00FD1551" w:rsidRDefault="00FD1551" w:rsidP="00FD1551">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Obrigatório conforme Tabela Auxiliar 1.2 – parte fixa</w:t>
            </w:r>
          </w:p>
        </w:tc>
      </w:tr>
      <w:tr w:rsidR="00FD1551" w:rsidRPr="00FD1551" w14:paraId="7789E246" w14:textId="77777777" w:rsidTr="00FD1551">
        <w:trPr>
          <w:trHeight w:val="780"/>
        </w:trPr>
        <w:tc>
          <w:tcPr>
            <w:tcW w:w="3559" w:type="dxa"/>
            <w:tcBorders>
              <w:top w:val="nil"/>
              <w:left w:val="single" w:sz="8" w:space="0" w:color="auto"/>
              <w:bottom w:val="single" w:sz="8" w:space="0" w:color="auto"/>
              <w:right w:val="single" w:sz="8" w:space="0" w:color="auto"/>
            </w:tcBorders>
            <w:shd w:val="clear" w:color="auto" w:fill="auto"/>
            <w:vAlign w:val="center"/>
            <w:hideMark/>
          </w:tcPr>
          <w:p w14:paraId="174BB8E5" w14:textId="77777777" w:rsidR="00FD1551" w:rsidRPr="00FD1551" w:rsidRDefault="00FD1551" w:rsidP="00FD1551">
            <w:pPr>
              <w:spacing w:after="0" w:line="240" w:lineRule="auto"/>
              <w:jc w:val="both"/>
              <w:rPr>
                <w:rFonts w:ascii="Arial" w:eastAsia="Times New Roman" w:hAnsi="Arial" w:cs="Arial"/>
                <w:sz w:val="20"/>
                <w:szCs w:val="20"/>
                <w:lang w:eastAsia="pt-BR"/>
              </w:rPr>
            </w:pPr>
            <w:r w:rsidRPr="00FD1551">
              <w:rPr>
                <w:rFonts w:ascii="Arial" w:eastAsia="Times New Roman" w:hAnsi="Arial" w:cs="Arial"/>
                <w:sz w:val="20"/>
                <w:szCs w:val="20"/>
                <w:lang w:eastAsia="pt-BR"/>
              </w:rPr>
              <w:t>Código da especificação/detalhamento da destinação de recursos (variável)</w:t>
            </w:r>
          </w:p>
        </w:tc>
        <w:tc>
          <w:tcPr>
            <w:tcW w:w="1134" w:type="dxa"/>
            <w:tcBorders>
              <w:top w:val="nil"/>
              <w:left w:val="nil"/>
              <w:bottom w:val="single" w:sz="8" w:space="0" w:color="auto"/>
              <w:right w:val="single" w:sz="8" w:space="0" w:color="auto"/>
            </w:tcBorders>
            <w:shd w:val="clear" w:color="auto" w:fill="auto"/>
            <w:vAlign w:val="center"/>
            <w:hideMark/>
          </w:tcPr>
          <w:p w14:paraId="4F00F40B"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Caracter</w:t>
            </w:r>
          </w:p>
        </w:tc>
        <w:tc>
          <w:tcPr>
            <w:tcW w:w="1276" w:type="dxa"/>
            <w:tcBorders>
              <w:top w:val="nil"/>
              <w:left w:val="nil"/>
              <w:bottom w:val="single" w:sz="8" w:space="0" w:color="auto"/>
              <w:right w:val="single" w:sz="8" w:space="0" w:color="auto"/>
            </w:tcBorders>
            <w:shd w:val="clear" w:color="auto" w:fill="auto"/>
            <w:vAlign w:val="center"/>
            <w:hideMark/>
          </w:tcPr>
          <w:p w14:paraId="729F3571"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4</w:t>
            </w:r>
          </w:p>
        </w:tc>
        <w:tc>
          <w:tcPr>
            <w:tcW w:w="3260" w:type="dxa"/>
            <w:tcBorders>
              <w:top w:val="nil"/>
              <w:left w:val="nil"/>
              <w:bottom w:val="single" w:sz="8" w:space="0" w:color="auto"/>
              <w:right w:val="single" w:sz="8" w:space="0" w:color="auto"/>
            </w:tcBorders>
            <w:shd w:val="clear" w:color="auto" w:fill="auto"/>
            <w:vAlign w:val="center"/>
            <w:hideMark/>
          </w:tcPr>
          <w:p w14:paraId="60D21C05" w14:textId="77777777" w:rsidR="00FD1551" w:rsidRPr="00FD1551" w:rsidRDefault="00FD1551" w:rsidP="00FD1551">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Obrigatório conforme Tabela Auxiliar 1.2 ou Tabela Cadastral 1.3 – parte variável</w:t>
            </w:r>
          </w:p>
        </w:tc>
      </w:tr>
      <w:tr w:rsidR="004313CE" w:rsidRPr="00FD1551" w14:paraId="056AE0DC" w14:textId="77777777" w:rsidTr="00FD1551">
        <w:trPr>
          <w:trHeight w:val="780"/>
        </w:trPr>
        <w:tc>
          <w:tcPr>
            <w:tcW w:w="3559" w:type="dxa"/>
            <w:tcBorders>
              <w:top w:val="nil"/>
              <w:left w:val="single" w:sz="8" w:space="0" w:color="auto"/>
              <w:bottom w:val="single" w:sz="8" w:space="0" w:color="auto"/>
              <w:right w:val="single" w:sz="8" w:space="0" w:color="auto"/>
            </w:tcBorders>
            <w:shd w:val="clear" w:color="auto" w:fill="auto"/>
            <w:vAlign w:val="center"/>
          </w:tcPr>
          <w:p w14:paraId="7FBA9E4C" w14:textId="77777777" w:rsidR="004313CE" w:rsidRPr="00BB337D" w:rsidRDefault="004313CE" w:rsidP="004313CE">
            <w:pPr>
              <w:spacing w:after="0" w:line="240" w:lineRule="auto"/>
              <w:jc w:val="both"/>
              <w:rPr>
                <w:rFonts w:ascii="Arial" w:eastAsia="Times New Roman" w:hAnsi="Arial" w:cs="Arial"/>
                <w:sz w:val="20"/>
                <w:szCs w:val="20"/>
                <w:lang w:eastAsia="pt-BR"/>
              </w:rPr>
            </w:pPr>
            <w:r w:rsidRPr="00BB337D">
              <w:rPr>
                <w:rFonts w:ascii="Arial" w:eastAsia="Times New Roman" w:hAnsi="Arial" w:cs="Arial"/>
                <w:sz w:val="20"/>
                <w:szCs w:val="20"/>
                <w:lang w:eastAsia="pt-BR"/>
              </w:rPr>
              <w:t>Origem do recurso</w:t>
            </w:r>
          </w:p>
        </w:tc>
        <w:tc>
          <w:tcPr>
            <w:tcW w:w="1134" w:type="dxa"/>
            <w:tcBorders>
              <w:top w:val="nil"/>
              <w:left w:val="nil"/>
              <w:bottom w:val="single" w:sz="8" w:space="0" w:color="auto"/>
              <w:right w:val="single" w:sz="8" w:space="0" w:color="auto"/>
            </w:tcBorders>
            <w:shd w:val="clear" w:color="auto" w:fill="auto"/>
            <w:vAlign w:val="center"/>
          </w:tcPr>
          <w:p w14:paraId="3557C804" w14:textId="77777777" w:rsidR="004313CE" w:rsidRPr="00BB337D" w:rsidRDefault="004313CE" w:rsidP="004313CE">
            <w:pPr>
              <w:spacing w:after="0" w:line="240" w:lineRule="auto"/>
              <w:jc w:val="center"/>
              <w:rPr>
                <w:rFonts w:ascii="Arial" w:eastAsia="Times New Roman" w:hAnsi="Arial" w:cs="Arial"/>
                <w:sz w:val="20"/>
                <w:szCs w:val="20"/>
                <w:lang w:eastAsia="pt-BR"/>
              </w:rPr>
            </w:pPr>
            <w:r w:rsidRPr="00BB337D">
              <w:rPr>
                <w:rFonts w:ascii="Arial" w:eastAsia="Times New Roman" w:hAnsi="Arial" w:cs="Arial"/>
                <w:sz w:val="20"/>
                <w:szCs w:val="20"/>
                <w:lang w:eastAsia="pt-BR"/>
              </w:rPr>
              <w:t>Inteiro</w:t>
            </w:r>
          </w:p>
        </w:tc>
        <w:tc>
          <w:tcPr>
            <w:tcW w:w="1276" w:type="dxa"/>
            <w:tcBorders>
              <w:top w:val="nil"/>
              <w:left w:val="nil"/>
              <w:bottom w:val="single" w:sz="8" w:space="0" w:color="auto"/>
              <w:right w:val="single" w:sz="8" w:space="0" w:color="auto"/>
            </w:tcBorders>
            <w:shd w:val="clear" w:color="auto" w:fill="auto"/>
            <w:vAlign w:val="center"/>
          </w:tcPr>
          <w:p w14:paraId="03A1056B" w14:textId="77777777" w:rsidR="004313CE" w:rsidRPr="00BB337D" w:rsidRDefault="004313CE" w:rsidP="004313CE">
            <w:pPr>
              <w:spacing w:after="0" w:line="240" w:lineRule="auto"/>
              <w:jc w:val="center"/>
              <w:rPr>
                <w:rFonts w:ascii="Arial" w:eastAsia="Times New Roman" w:hAnsi="Arial" w:cs="Arial"/>
                <w:sz w:val="20"/>
                <w:szCs w:val="20"/>
                <w:lang w:eastAsia="pt-BR"/>
              </w:rPr>
            </w:pPr>
            <w:r w:rsidRPr="00BB337D">
              <w:rPr>
                <w:rFonts w:ascii="Arial" w:eastAsia="Times New Roman" w:hAnsi="Arial" w:cs="Arial"/>
                <w:sz w:val="20"/>
                <w:szCs w:val="20"/>
                <w:lang w:eastAsia="pt-BR"/>
              </w:rPr>
              <w:t>1</w:t>
            </w:r>
          </w:p>
        </w:tc>
        <w:tc>
          <w:tcPr>
            <w:tcW w:w="3260" w:type="dxa"/>
            <w:tcBorders>
              <w:top w:val="nil"/>
              <w:left w:val="nil"/>
              <w:bottom w:val="single" w:sz="8" w:space="0" w:color="auto"/>
              <w:right w:val="single" w:sz="8" w:space="0" w:color="auto"/>
            </w:tcBorders>
            <w:shd w:val="clear" w:color="auto" w:fill="auto"/>
            <w:vAlign w:val="center"/>
          </w:tcPr>
          <w:p w14:paraId="535983AE" w14:textId="77777777" w:rsidR="00BB337D" w:rsidRPr="00BB337D" w:rsidRDefault="00BB337D" w:rsidP="00BB337D">
            <w:pPr>
              <w:spacing w:after="0" w:line="240" w:lineRule="auto"/>
              <w:rPr>
                <w:rFonts w:ascii="Arial" w:eastAsia="Times New Roman" w:hAnsi="Arial" w:cs="Arial"/>
                <w:sz w:val="20"/>
                <w:szCs w:val="20"/>
                <w:lang w:eastAsia="pt-BR"/>
              </w:rPr>
            </w:pPr>
            <w:r>
              <w:rPr>
                <w:rFonts w:ascii="Arial" w:eastAsia="Times New Roman" w:hAnsi="Arial" w:cs="Arial"/>
                <w:sz w:val="20"/>
                <w:szCs w:val="20"/>
                <w:lang w:eastAsia="pt-BR"/>
              </w:rPr>
              <w:t>Obrigatório</w:t>
            </w:r>
            <w:r w:rsidRPr="00BB337D">
              <w:rPr>
                <w:rFonts w:ascii="Arial" w:eastAsia="Times New Roman" w:hAnsi="Arial" w:cs="Arial"/>
                <w:sz w:val="20"/>
                <w:szCs w:val="20"/>
                <w:lang w:eastAsia="pt-BR"/>
              </w:rPr>
              <w:t xml:space="preserve">   </w:t>
            </w:r>
          </w:p>
          <w:p w14:paraId="2C1D91B0" w14:textId="77777777" w:rsidR="004313CE" w:rsidRPr="00450F60" w:rsidRDefault="00450F60" w:rsidP="00BB337D">
            <w:pPr>
              <w:spacing w:after="0" w:line="240" w:lineRule="auto"/>
              <w:rPr>
                <w:rFonts w:ascii="Arial" w:eastAsia="Times New Roman" w:hAnsi="Arial" w:cs="Arial"/>
                <w:sz w:val="20"/>
                <w:szCs w:val="20"/>
                <w:lang w:eastAsia="pt-BR"/>
              </w:rPr>
            </w:pPr>
            <w:r w:rsidRPr="00450F60">
              <w:rPr>
                <w:rFonts w:ascii="Arial" w:eastAsia="Times New Roman" w:hAnsi="Arial" w:cs="Arial"/>
                <w:sz w:val="20"/>
                <w:szCs w:val="20"/>
                <w:lang w:eastAsia="pt-BR"/>
              </w:rPr>
              <w:t>Obrigatório. 1 – Contrato de Rateio; 2 – Contrato de Programa; 3 – Contratação Direta; 9 – Outros</w:t>
            </w:r>
          </w:p>
        </w:tc>
      </w:tr>
      <w:tr w:rsidR="004313CE" w:rsidRPr="00FD1551" w14:paraId="4A0DED8F" w14:textId="77777777" w:rsidTr="00FD1551">
        <w:trPr>
          <w:trHeight w:val="315"/>
        </w:trPr>
        <w:tc>
          <w:tcPr>
            <w:tcW w:w="3559" w:type="dxa"/>
            <w:tcBorders>
              <w:top w:val="nil"/>
              <w:left w:val="single" w:sz="8" w:space="0" w:color="auto"/>
              <w:bottom w:val="single" w:sz="8" w:space="0" w:color="auto"/>
              <w:right w:val="single" w:sz="8" w:space="0" w:color="auto"/>
            </w:tcBorders>
            <w:shd w:val="clear" w:color="auto" w:fill="auto"/>
            <w:vAlign w:val="center"/>
            <w:hideMark/>
          </w:tcPr>
          <w:p w14:paraId="70411C2E" w14:textId="77777777" w:rsidR="004313CE" w:rsidRPr="00FD1551" w:rsidRDefault="004313CE" w:rsidP="00BB337D">
            <w:pPr>
              <w:spacing w:after="0" w:line="240" w:lineRule="auto"/>
              <w:jc w:val="both"/>
              <w:rPr>
                <w:rFonts w:ascii="Arial" w:eastAsia="Times New Roman" w:hAnsi="Arial" w:cs="Arial"/>
                <w:sz w:val="20"/>
                <w:szCs w:val="20"/>
                <w:lang w:eastAsia="pt-BR"/>
              </w:rPr>
            </w:pPr>
            <w:r w:rsidRPr="00FD1551">
              <w:rPr>
                <w:rFonts w:ascii="Arial" w:eastAsia="Times New Roman" w:hAnsi="Arial" w:cs="Arial"/>
                <w:sz w:val="20"/>
                <w:szCs w:val="20"/>
                <w:lang w:eastAsia="pt-BR"/>
              </w:rPr>
              <w:t xml:space="preserve">Previsao Inicial </w:t>
            </w:r>
            <w:r w:rsidRPr="00BB337D">
              <w:rPr>
                <w:rFonts w:ascii="Arial" w:eastAsia="Times New Roman" w:hAnsi="Arial" w:cs="Arial"/>
                <w:b/>
                <w:sz w:val="20"/>
                <w:szCs w:val="20"/>
                <w:vertAlign w:val="superscript"/>
                <w:lang w:eastAsia="pt-BR"/>
              </w:rPr>
              <w:t>[</w:t>
            </w:r>
            <w:r w:rsidR="00BB337D" w:rsidRPr="00BB337D">
              <w:rPr>
                <w:rFonts w:ascii="Arial" w:eastAsia="Times New Roman" w:hAnsi="Arial" w:cs="Arial"/>
                <w:b/>
                <w:sz w:val="20"/>
                <w:szCs w:val="20"/>
                <w:vertAlign w:val="superscript"/>
                <w:lang w:eastAsia="pt-BR"/>
              </w:rPr>
              <w:t>1</w:t>
            </w:r>
            <w:r w:rsidRPr="00BB337D">
              <w:rPr>
                <w:rFonts w:ascii="Arial" w:eastAsia="Times New Roman" w:hAnsi="Arial" w:cs="Arial"/>
                <w:b/>
                <w:sz w:val="20"/>
                <w:szCs w:val="20"/>
                <w:vertAlign w:val="superscript"/>
                <w:lang w:eastAsia="pt-BR"/>
              </w:rPr>
              <w:t>]</w:t>
            </w:r>
          </w:p>
        </w:tc>
        <w:tc>
          <w:tcPr>
            <w:tcW w:w="1134" w:type="dxa"/>
            <w:tcBorders>
              <w:top w:val="nil"/>
              <w:left w:val="nil"/>
              <w:bottom w:val="single" w:sz="8" w:space="0" w:color="auto"/>
              <w:right w:val="single" w:sz="8" w:space="0" w:color="auto"/>
            </w:tcBorders>
            <w:shd w:val="clear" w:color="auto" w:fill="auto"/>
            <w:vAlign w:val="center"/>
            <w:hideMark/>
          </w:tcPr>
          <w:p w14:paraId="0CE2FCC3" w14:textId="77777777" w:rsidR="004313CE" w:rsidRPr="00FD1551" w:rsidRDefault="004313CE" w:rsidP="004313CE">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Decimal</w:t>
            </w:r>
          </w:p>
        </w:tc>
        <w:tc>
          <w:tcPr>
            <w:tcW w:w="1276" w:type="dxa"/>
            <w:tcBorders>
              <w:top w:val="nil"/>
              <w:left w:val="nil"/>
              <w:bottom w:val="single" w:sz="8" w:space="0" w:color="auto"/>
              <w:right w:val="single" w:sz="8" w:space="0" w:color="auto"/>
            </w:tcBorders>
            <w:shd w:val="clear" w:color="auto" w:fill="auto"/>
            <w:vAlign w:val="center"/>
            <w:hideMark/>
          </w:tcPr>
          <w:p w14:paraId="7B07759D" w14:textId="77777777" w:rsidR="004313CE" w:rsidRPr="00FD1551" w:rsidRDefault="004313CE" w:rsidP="004313CE">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14,2</w:t>
            </w:r>
          </w:p>
        </w:tc>
        <w:tc>
          <w:tcPr>
            <w:tcW w:w="3260" w:type="dxa"/>
            <w:tcBorders>
              <w:top w:val="nil"/>
              <w:left w:val="nil"/>
              <w:bottom w:val="single" w:sz="8" w:space="0" w:color="auto"/>
              <w:right w:val="single" w:sz="8" w:space="0" w:color="auto"/>
            </w:tcBorders>
            <w:shd w:val="clear" w:color="auto" w:fill="auto"/>
            <w:vAlign w:val="center"/>
            <w:hideMark/>
          </w:tcPr>
          <w:p w14:paraId="683811C0" w14:textId="77777777" w:rsidR="004313CE" w:rsidRPr="00FD1551" w:rsidRDefault="004313CE" w:rsidP="004313CE">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Obrigatório</w:t>
            </w:r>
          </w:p>
        </w:tc>
      </w:tr>
      <w:tr w:rsidR="004313CE" w:rsidRPr="00FD1551" w14:paraId="63C63FB4" w14:textId="77777777" w:rsidTr="00FD1551">
        <w:trPr>
          <w:trHeight w:val="315"/>
        </w:trPr>
        <w:tc>
          <w:tcPr>
            <w:tcW w:w="3559" w:type="dxa"/>
            <w:tcBorders>
              <w:top w:val="nil"/>
              <w:left w:val="single" w:sz="8" w:space="0" w:color="auto"/>
              <w:bottom w:val="single" w:sz="8" w:space="0" w:color="auto"/>
              <w:right w:val="single" w:sz="8" w:space="0" w:color="auto"/>
            </w:tcBorders>
            <w:shd w:val="clear" w:color="auto" w:fill="auto"/>
            <w:vAlign w:val="center"/>
            <w:hideMark/>
          </w:tcPr>
          <w:p w14:paraId="135F55A1" w14:textId="77777777" w:rsidR="004313CE" w:rsidRPr="00FD1551" w:rsidRDefault="004313CE" w:rsidP="00BB337D">
            <w:pPr>
              <w:spacing w:after="0" w:line="240" w:lineRule="auto"/>
              <w:jc w:val="both"/>
              <w:rPr>
                <w:rFonts w:ascii="Arial" w:eastAsia="Times New Roman" w:hAnsi="Arial" w:cs="Arial"/>
                <w:sz w:val="20"/>
                <w:szCs w:val="20"/>
                <w:lang w:eastAsia="pt-BR"/>
              </w:rPr>
            </w:pPr>
            <w:r w:rsidRPr="00FD1551">
              <w:rPr>
                <w:rFonts w:ascii="Arial" w:eastAsia="Times New Roman" w:hAnsi="Arial" w:cs="Arial"/>
                <w:sz w:val="20"/>
                <w:szCs w:val="20"/>
                <w:lang w:eastAsia="pt-BR"/>
              </w:rPr>
              <w:t xml:space="preserve">Previsão Atualizada </w:t>
            </w:r>
            <w:r w:rsidRPr="00BB337D">
              <w:rPr>
                <w:rFonts w:ascii="Arial" w:eastAsia="Times New Roman" w:hAnsi="Arial" w:cs="Arial"/>
                <w:b/>
                <w:sz w:val="20"/>
                <w:szCs w:val="20"/>
                <w:vertAlign w:val="superscript"/>
                <w:lang w:eastAsia="pt-BR"/>
              </w:rPr>
              <w:t>[</w:t>
            </w:r>
            <w:r w:rsidR="00BB337D" w:rsidRPr="00BB337D">
              <w:rPr>
                <w:rFonts w:ascii="Arial" w:eastAsia="Times New Roman" w:hAnsi="Arial" w:cs="Arial"/>
                <w:b/>
                <w:sz w:val="20"/>
                <w:szCs w:val="20"/>
                <w:vertAlign w:val="superscript"/>
                <w:lang w:eastAsia="pt-BR"/>
              </w:rPr>
              <w:t>2</w:t>
            </w:r>
            <w:r w:rsidRPr="00BB337D">
              <w:rPr>
                <w:rFonts w:ascii="Arial" w:eastAsia="Times New Roman" w:hAnsi="Arial" w:cs="Arial"/>
                <w:b/>
                <w:sz w:val="20"/>
                <w:szCs w:val="20"/>
                <w:vertAlign w:val="superscript"/>
                <w:lang w:eastAsia="pt-BR"/>
              </w:rPr>
              <w:t>]</w:t>
            </w:r>
          </w:p>
        </w:tc>
        <w:tc>
          <w:tcPr>
            <w:tcW w:w="1134" w:type="dxa"/>
            <w:tcBorders>
              <w:top w:val="nil"/>
              <w:left w:val="nil"/>
              <w:bottom w:val="single" w:sz="8" w:space="0" w:color="auto"/>
              <w:right w:val="single" w:sz="8" w:space="0" w:color="auto"/>
            </w:tcBorders>
            <w:shd w:val="clear" w:color="auto" w:fill="auto"/>
            <w:vAlign w:val="center"/>
            <w:hideMark/>
          </w:tcPr>
          <w:p w14:paraId="4B64AA53" w14:textId="77777777" w:rsidR="004313CE" w:rsidRPr="00FD1551" w:rsidRDefault="004313CE" w:rsidP="004313CE">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Decimal</w:t>
            </w:r>
          </w:p>
        </w:tc>
        <w:tc>
          <w:tcPr>
            <w:tcW w:w="1276" w:type="dxa"/>
            <w:tcBorders>
              <w:top w:val="nil"/>
              <w:left w:val="nil"/>
              <w:bottom w:val="single" w:sz="8" w:space="0" w:color="auto"/>
              <w:right w:val="single" w:sz="8" w:space="0" w:color="auto"/>
            </w:tcBorders>
            <w:shd w:val="clear" w:color="auto" w:fill="auto"/>
            <w:vAlign w:val="center"/>
            <w:hideMark/>
          </w:tcPr>
          <w:p w14:paraId="6FE70BC4" w14:textId="77777777" w:rsidR="004313CE" w:rsidRPr="00FD1551" w:rsidRDefault="004313CE" w:rsidP="004313CE">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14,2</w:t>
            </w:r>
          </w:p>
        </w:tc>
        <w:tc>
          <w:tcPr>
            <w:tcW w:w="3260" w:type="dxa"/>
            <w:tcBorders>
              <w:top w:val="nil"/>
              <w:left w:val="nil"/>
              <w:bottom w:val="single" w:sz="8" w:space="0" w:color="auto"/>
              <w:right w:val="single" w:sz="8" w:space="0" w:color="auto"/>
            </w:tcBorders>
            <w:shd w:val="clear" w:color="auto" w:fill="auto"/>
            <w:vAlign w:val="center"/>
            <w:hideMark/>
          </w:tcPr>
          <w:p w14:paraId="0DBB4156" w14:textId="77777777" w:rsidR="004313CE" w:rsidRPr="00FD1551" w:rsidRDefault="004313CE" w:rsidP="004313CE">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Obrigatório</w:t>
            </w:r>
          </w:p>
        </w:tc>
      </w:tr>
      <w:tr w:rsidR="004313CE" w:rsidRPr="00FD1551" w14:paraId="68CEC774" w14:textId="77777777" w:rsidTr="00FD1551">
        <w:trPr>
          <w:trHeight w:val="315"/>
        </w:trPr>
        <w:tc>
          <w:tcPr>
            <w:tcW w:w="3559" w:type="dxa"/>
            <w:tcBorders>
              <w:top w:val="nil"/>
              <w:left w:val="single" w:sz="8" w:space="0" w:color="auto"/>
              <w:bottom w:val="single" w:sz="8" w:space="0" w:color="auto"/>
              <w:right w:val="single" w:sz="8" w:space="0" w:color="auto"/>
            </w:tcBorders>
            <w:shd w:val="clear" w:color="auto" w:fill="auto"/>
            <w:vAlign w:val="center"/>
            <w:hideMark/>
          </w:tcPr>
          <w:p w14:paraId="4786D6D3" w14:textId="77777777" w:rsidR="004313CE" w:rsidRPr="00FD1551" w:rsidRDefault="004313CE" w:rsidP="00BB337D">
            <w:pPr>
              <w:spacing w:after="0" w:line="240" w:lineRule="auto"/>
              <w:jc w:val="both"/>
              <w:rPr>
                <w:rFonts w:ascii="Arial" w:eastAsia="Times New Roman" w:hAnsi="Arial" w:cs="Arial"/>
                <w:sz w:val="20"/>
                <w:szCs w:val="20"/>
                <w:lang w:eastAsia="pt-BR"/>
              </w:rPr>
            </w:pPr>
            <w:r w:rsidRPr="00FD1551">
              <w:rPr>
                <w:rFonts w:ascii="Arial" w:eastAsia="Times New Roman" w:hAnsi="Arial" w:cs="Arial"/>
                <w:sz w:val="20"/>
                <w:szCs w:val="20"/>
                <w:lang w:eastAsia="pt-BR"/>
              </w:rPr>
              <w:t xml:space="preserve">Valor Arrecadado </w:t>
            </w:r>
            <w:r w:rsidRPr="00BB337D">
              <w:rPr>
                <w:rFonts w:ascii="Arial" w:eastAsia="Times New Roman" w:hAnsi="Arial" w:cs="Arial"/>
                <w:b/>
                <w:sz w:val="20"/>
                <w:szCs w:val="20"/>
                <w:vertAlign w:val="superscript"/>
                <w:lang w:eastAsia="pt-BR"/>
              </w:rPr>
              <w:t>[</w:t>
            </w:r>
            <w:r w:rsidR="00BB337D" w:rsidRPr="00BB337D">
              <w:rPr>
                <w:rFonts w:ascii="Arial" w:eastAsia="Times New Roman" w:hAnsi="Arial" w:cs="Arial"/>
                <w:b/>
                <w:sz w:val="20"/>
                <w:szCs w:val="20"/>
                <w:vertAlign w:val="superscript"/>
                <w:lang w:eastAsia="pt-BR"/>
              </w:rPr>
              <w:t>3</w:t>
            </w:r>
            <w:r w:rsidRPr="00BB337D">
              <w:rPr>
                <w:rFonts w:ascii="Arial" w:eastAsia="Times New Roman" w:hAnsi="Arial" w:cs="Arial"/>
                <w:b/>
                <w:sz w:val="20"/>
                <w:szCs w:val="20"/>
                <w:vertAlign w:val="superscript"/>
                <w:lang w:eastAsia="pt-BR"/>
              </w:rPr>
              <w:t>]</w:t>
            </w:r>
          </w:p>
        </w:tc>
        <w:tc>
          <w:tcPr>
            <w:tcW w:w="1134" w:type="dxa"/>
            <w:tcBorders>
              <w:top w:val="nil"/>
              <w:left w:val="nil"/>
              <w:bottom w:val="single" w:sz="8" w:space="0" w:color="auto"/>
              <w:right w:val="single" w:sz="8" w:space="0" w:color="auto"/>
            </w:tcBorders>
            <w:shd w:val="clear" w:color="auto" w:fill="auto"/>
            <w:vAlign w:val="center"/>
            <w:hideMark/>
          </w:tcPr>
          <w:p w14:paraId="1AEC2EDA" w14:textId="77777777" w:rsidR="004313CE" w:rsidRPr="00FD1551" w:rsidRDefault="004313CE" w:rsidP="004313CE">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Decimal</w:t>
            </w:r>
          </w:p>
        </w:tc>
        <w:tc>
          <w:tcPr>
            <w:tcW w:w="1276" w:type="dxa"/>
            <w:tcBorders>
              <w:top w:val="nil"/>
              <w:left w:val="nil"/>
              <w:bottom w:val="single" w:sz="8" w:space="0" w:color="auto"/>
              <w:right w:val="single" w:sz="8" w:space="0" w:color="auto"/>
            </w:tcBorders>
            <w:shd w:val="clear" w:color="auto" w:fill="auto"/>
            <w:vAlign w:val="center"/>
            <w:hideMark/>
          </w:tcPr>
          <w:p w14:paraId="71CE1EA2" w14:textId="77777777" w:rsidR="004313CE" w:rsidRPr="00FD1551" w:rsidRDefault="004313CE" w:rsidP="004313CE">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14,2</w:t>
            </w:r>
          </w:p>
        </w:tc>
        <w:tc>
          <w:tcPr>
            <w:tcW w:w="3260" w:type="dxa"/>
            <w:tcBorders>
              <w:top w:val="nil"/>
              <w:left w:val="nil"/>
              <w:bottom w:val="single" w:sz="8" w:space="0" w:color="auto"/>
              <w:right w:val="single" w:sz="8" w:space="0" w:color="auto"/>
            </w:tcBorders>
            <w:shd w:val="clear" w:color="auto" w:fill="auto"/>
            <w:vAlign w:val="center"/>
            <w:hideMark/>
          </w:tcPr>
          <w:p w14:paraId="0B7A2AF6" w14:textId="77777777" w:rsidR="004313CE" w:rsidRPr="00FD1551" w:rsidRDefault="004313CE" w:rsidP="004313CE">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Obrigatório</w:t>
            </w:r>
          </w:p>
        </w:tc>
      </w:tr>
    </w:tbl>
    <w:p w14:paraId="5FC68DCC" w14:textId="77777777" w:rsidR="00FD1551" w:rsidRPr="00FD1551" w:rsidRDefault="00FD1551" w:rsidP="00FD1551">
      <w:pPr>
        <w:spacing w:after="0" w:line="360" w:lineRule="auto"/>
        <w:rPr>
          <w:rFonts w:ascii="Arial" w:hAnsi="Arial" w:cs="Arial"/>
        </w:rPr>
      </w:pPr>
    </w:p>
    <w:p w14:paraId="5F3AB116" w14:textId="77777777" w:rsidR="00FD1551" w:rsidRPr="00BB337D" w:rsidRDefault="00FD1551" w:rsidP="00FD1551">
      <w:pPr>
        <w:spacing w:after="120" w:line="240" w:lineRule="auto"/>
        <w:rPr>
          <w:rFonts w:ascii="Arial" w:eastAsia="Times New Roman" w:hAnsi="Arial" w:cs="Arial"/>
          <w:color w:val="000000"/>
          <w:sz w:val="18"/>
          <w:szCs w:val="18"/>
          <w:lang w:eastAsia="pt-BR"/>
        </w:rPr>
      </w:pPr>
      <w:r w:rsidRPr="00BB337D">
        <w:rPr>
          <w:rFonts w:ascii="Arial" w:eastAsia="Times New Roman" w:hAnsi="Arial" w:cs="Arial"/>
          <w:b/>
          <w:bCs/>
          <w:color w:val="000000"/>
          <w:sz w:val="18"/>
          <w:szCs w:val="18"/>
          <w:lang w:eastAsia="pt-BR"/>
        </w:rPr>
        <w:t>[</w:t>
      </w:r>
      <w:r w:rsidR="00BB337D" w:rsidRPr="00BB337D">
        <w:rPr>
          <w:rFonts w:ascii="Arial" w:eastAsia="Times New Roman" w:hAnsi="Arial" w:cs="Arial"/>
          <w:b/>
          <w:bCs/>
          <w:color w:val="000000"/>
          <w:sz w:val="18"/>
          <w:szCs w:val="18"/>
          <w:lang w:eastAsia="pt-BR"/>
        </w:rPr>
        <w:t>1</w:t>
      </w:r>
      <w:r w:rsidRPr="00BB337D">
        <w:rPr>
          <w:rFonts w:ascii="Arial" w:eastAsia="Times New Roman" w:hAnsi="Arial" w:cs="Arial"/>
          <w:b/>
          <w:bCs/>
          <w:color w:val="000000"/>
          <w:sz w:val="18"/>
          <w:szCs w:val="18"/>
          <w:lang w:eastAsia="pt-BR"/>
        </w:rPr>
        <w:t>]</w:t>
      </w:r>
      <w:r w:rsidRPr="00BB337D">
        <w:rPr>
          <w:rFonts w:ascii="Arial" w:eastAsia="Times New Roman" w:hAnsi="Arial" w:cs="Arial"/>
          <w:color w:val="000000"/>
          <w:sz w:val="18"/>
          <w:szCs w:val="18"/>
          <w:lang w:eastAsia="pt-BR"/>
        </w:rPr>
        <w:t xml:space="preserve"> Valor da Previsão Inicial da Receita Orçamentária </w:t>
      </w:r>
      <w:r w:rsidR="00BB337D" w:rsidRPr="00BB337D">
        <w:rPr>
          <w:rFonts w:ascii="Arial" w:eastAsia="Times New Roman" w:hAnsi="Arial" w:cs="Arial"/>
          <w:color w:val="000000"/>
          <w:sz w:val="18"/>
          <w:szCs w:val="18"/>
          <w:lang w:eastAsia="pt-BR"/>
        </w:rPr>
        <w:t>Líquid</w:t>
      </w:r>
      <w:r w:rsidR="00BB337D">
        <w:rPr>
          <w:rFonts w:ascii="Arial" w:eastAsia="Times New Roman" w:hAnsi="Arial" w:cs="Arial"/>
          <w:color w:val="000000"/>
          <w:sz w:val="18"/>
          <w:szCs w:val="18"/>
          <w:lang w:eastAsia="pt-BR"/>
        </w:rPr>
        <w:t>a</w:t>
      </w:r>
      <w:r w:rsidRPr="00BB337D">
        <w:rPr>
          <w:rFonts w:ascii="Arial" w:eastAsia="Times New Roman" w:hAnsi="Arial" w:cs="Arial"/>
          <w:color w:val="000000"/>
          <w:sz w:val="18"/>
          <w:szCs w:val="18"/>
          <w:lang w:eastAsia="pt-BR"/>
        </w:rPr>
        <w:t>.</w:t>
      </w:r>
    </w:p>
    <w:p w14:paraId="69A87AFF" w14:textId="77777777" w:rsidR="00FD1551" w:rsidRPr="00BB337D" w:rsidRDefault="00FD1551" w:rsidP="00FD1551">
      <w:pPr>
        <w:spacing w:after="120" w:line="240" w:lineRule="auto"/>
        <w:rPr>
          <w:rFonts w:ascii="Arial" w:eastAsia="Times New Roman" w:hAnsi="Arial" w:cs="Arial"/>
          <w:color w:val="000000"/>
          <w:sz w:val="18"/>
          <w:szCs w:val="18"/>
          <w:lang w:eastAsia="pt-BR"/>
        </w:rPr>
      </w:pPr>
      <w:r w:rsidRPr="00BB337D">
        <w:rPr>
          <w:rFonts w:ascii="Arial" w:eastAsia="Times New Roman" w:hAnsi="Arial" w:cs="Arial"/>
          <w:b/>
          <w:bCs/>
          <w:color w:val="000000"/>
          <w:sz w:val="18"/>
          <w:szCs w:val="18"/>
          <w:lang w:eastAsia="pt-BR"/>
        </w:rPr>
        <w:t>[</w:t>
      </w:r>
      <w:r w:rsidR="00BB337D" w:rsidRPr="00BB337D">
        <w:rPr>
          <w:rFonts w:ascii="Arial" w:eastAsia="Times New Roman" w:hAnsi="Arial" w:cs="Arial"/>
          <w:b/>
          <w:bCs/>
          <w:color w:val="000000"/>
          <w:sz w:val="18"/>
          <w:szCs w:val="18"/>
          <w:lang w:eastAsia="pt-BR"/>
        </w:rPr>
        <w:t>2</w:t>
      </w:r>
      <w:r w:rsidRPr="00BB337D">
        <w:rPr>
          <w:rFonts w:ascii="Arial" w:eastAsia="Times New Roman" w:hAnsi="Arial" w:cs="Arial"/>
          <w:b/>
          <w:bCs/>
          <w:color w:val="000000"/>
          <w:sz w:val="18"/>
          <w:szCs w:val="18"/>
          <w:lang w:eastAsia="pt-BR"/>
        </w:rPr>
        <w:t>]</w:t>
      </w:r>
      <w:r w:rsidRPr="00BB337D">
        <w:rPr>
          <w:rFonts w:ascii="Arial" w:eastAsia="Times New Roman" w:hAnsi="Arial" w:cs="Arial"/>
          <w:color w:val="000000"/>
          <w:sz w:val="18"/>
          <w:szCs w:val="18"/>
          <w:lang w:eastAsia="pt-BR"/>
        </w:rPr>
        <w:t xml:space="preserve"> Valor da Previsão Atualizada da Receita Orçamentária </w:t>
      </w:r>
      <w:r w:rsidR="00BB337D" w:rsidRPr="00BB337D">
        <w:rPr>
          <w:rFonts w:ascii="Arial" w:eastAsia="Times New Roman" w:hAnsi="Arial" w:cs="Arial"/>
          <w:color w:val="000000"/>
          <w:sz w:val="18"/>
          <w:szCs w:val="18"/>
          <w:lang w:eastAsia="pt-BR"/>
        </w:rPr>
        <w:t xml:space="preserve">Líquida </w:t>
      </w:r>
      <w:r w:rsidRPr="00BB337D">
        <w:rPr>
          <w:rFonts w:ascii="Arial" w:eastAsia="Times New Roman" w:hAnsi="Arial" w:cs="Arial"/>
          <w:color w:val="000000"/>
          <w:sz w:val="18"/>
          <w:szCs w:val="18"/>
          <w:lang w:eastAsia="pt-BR"/>
        </w:rPr>
        <w:t>até o mês de dezembro do exercício corrente.</w:t>
      </w:r>
    </w:p>
    <w:p w14:paraId="7F8378F3" w14:textId="77777777" w:rsidR="00FD1551" w:rsidRPr="00BB337D" w:rsidRDefault="00FD1551" w:rsidP="00FD1551">
      <w:pPr>
        <w:spacing w:after="120" w:line="240" w:lineRule="auto"/>
        <w:rPr>
          <w:rFonts w:ascii="Arial" w:eastAsia="Times New Roman" w:hAnsi="Arial" w:cs="Arial"/>
          <w:color w:val="000000"/>
          <w:sz w:val="18"/>
          <w:szCs w:val="18"/>
          <w:lang w:eastAsia="pt-BR"/>
        </w:rPr>
      </w:pPr>
      <w:r w:rsidRPr="00BB337D">
        <w:rPr>
          <w:rFonts w:ascii="Arial" w:eastAsia="Times New Roman" w:hAnsi="Arial" w:cs="Arial"/>
          <w:b/>
          <w:bCs/>
          <w:color w:val="000000"/>
          <w:sz w:val="18"/>
          <w:szCs w:val="18"/>
          <w:lang w:eastAsia="pt-BR"/>
        </w:rPr>
        <w:t>[</w:t>
      </w:r>
      <w:r w:rsidR="00BB337D" w:rsidRPr="00BB337D">
        <w:rPr>
          <w:rFonts w:ascii="Arial" w:eastAsia="Times New Roman" w:hAnsi="Arial" w:cs="Arial"/>
          <w:b/>
          <w:bCs/>
          <w:color w:val="000000"/>
          <w:sz w:val="18"/>
          <w:szCs w:val="18"/>
          <w:lang w:eastAsia="pt-BR"/>
        </w:rPr>
        <w:t>3</w:t>
      </w:r>
      <w:r w:rsidRPr="00BB337D">
        <w:rPr>
          <w:rFonts w:ascii="Arial" w:eastAsia="Times New Roman" w:hAnsi="Arial" w:cs="Arial"/>
          <w:b/>
          <w:bCs/>
          <w:color w:val="000000"/>
          <w:sz w:val="18"/>
          <w:szCs w:val="18"/>
          <w:lang w:eastAsia="pt-BR"/>
        </w:rPr>
        <w:t>]</w:t>
      </w:r>
      <w:r w:rsidRPr="00BB337D">
        <w:rPr>
          <w:rFonts w:ascii="Arial" w:eastAsia="Times New Roman" w:hAnsi="Arial" w:cs="Arial"/>
          <w:color w:val="000000"/>
          <w:sz w:val="18"/>
          <w:szCs w:val="18"/>
          <w:lang w:eastAsia="pt-BR"/>
        </w:rPr>
        <w:t xml:space="preserve"> Valor da Receita Orçamentária Arrecadada até o mês de </w:t>
      </w:r>
      <w:r w:rsidR="00BB337D">
        <w:rPr>
          <w:rFonts w:ascii="Arial" w:eastAsia="Times New Roman" w:hAnsi="Arial" w:cs="Arial"/>
          <w:color w:val="000000"/>
          <w:sz w:val="18"/>
          <w:szCs w:val="18"/>
          <w:lang w:eastAsia="pt-BR"/>
        </w:rPr>
        <w:t>d</w:t>
      </w:r>
      <w:r w:rsidRPr="00BB337D">
        <w:rPr>
          <w:rFonts w:ascii="Arial" w:eastAsia="Times New Roman" w:hAnsi="Arial" w:cs="Arial"/>
          <w:color w:val="000000"/>
          <w:sz w:val="18"/>
          <w:szCs w:val="18"/>
          <w:lang w:eastAsia="pt-BR"/>
        </w:rPr>
        <w:t>ezembro do exercício corrente.</w:t>
      </w:r>
    </w:p>
    <w:p w14:paraId="71C40D31" w14:textId="77777777" w:rsidR="00FD1551" w:rsidRPr="00FD1551" w:rsidRDefault="00FD1551" w:rsidP="00FD1551">
      <w:pPr>
        <w:spacing w:after="0" w:line="360" w:lineRule="auto"/>
        <w:rPr>
          <w:rFonts w:ascii="Arial" w:eastAsia="Times New Roman" w:hAnsi="Arial" w:cs="Arial"/>
          <w:b/>
          <w:sz w:val="20"/>
          <w:szCs w:val="20"/>
          <w:u w:val="single"/>
          <w:lang w:eastAsia="pt-BR"/>
        </w:rPr>
      </w:pPr>
    </w:p>
    <w:p w14:paraId="093B0804" w14:textId="77777777" w:rsidR="00FD1551" w:rsidRPr="00BB337D" w:rsidRDefault="00FD1551" w:rsidP="00FD1551">
      <w:pPr>
        <w:spacing w:after="0" w:line="360" w:lineRule="auto"/>
        <w:rPr>
          <w:rFonts w:ascii="Arial" w:eastAsia="Times New Roman" w:hAnsi="Arial" w:cs="Arial"/>
          <w:sz w:val="18"/>
          <w:szCs w:val="18"/>
          <w:lang w:eastAsia="pt-BR"/>
        </w:rPr>
      </w:pPr>
      <w:r w:rsidRPr="00BB337D">
        <w:rPr>
          <w:rFonts w:ascii="Arial" w:eastAsia="Times New Roman" w:hAnsi="Arial" w:cs="Arial"/>
          <w:b/>
          <w:sz w:val="18"/>
          <w:szCs w:val="18"/>
          <w:u w:val="single"/>
          <w:lang w:eastAsia="pt-BR"/>
        </w:rPr>
        <w:t>Observaç</w:t>
      </w:r>
      <w:r w:rsidR="00BB337D" w:rsidRPr="00BB337D">
        <w:rPr>
          <w:rFonts w:ascii="Arial" w:eastAsia="Times New Roman" w:hAnsi="Arial" w:cs="Arial"/>
          <w:b/>
          <w:sz w:val="18"/>
          <w:szCs w:val="18"/>
          <w:u w:val="single"/>
          <w:lang w:eastAsia="pt-BR"/>
        </w:rPr>
        <w:t>ão</w:t>
      </w:r>
      <w:r w:rsidRPr="00BB337D">
        <w:rPr>
          <w:rFonts w:ascii="Arial" w:eastAsia="Times New Roman" w:hAnsi="Arial" w:cs="Arial"/>
          <w:sz w:val="18"/>
          <w:szCs w:val="18"/>
          <w:lang w:eastAsia="pt-BR"/>
        </w:rPr>
        <w:t>:</w:t>
      </w:r>
    </w:p>
    <w:p w14:paraId="38AF34A1" w14:textId="77777777" w:rsidR="00FD1551" w:rsidRPr="00BB337D" w:rsidRDefault="00FD1551" w:rsidP="00FD1551">
      <w:pPr>
        <w:spacing w:after="0" w:line="240" w:lineRule="auto"/>
        <w:ind w:right="-32"/>
        <w:rPr>
          <w:rFonts w:ascii="Arial" w:eastAsia="Times New Roman" w:hAnsi="Arial" w:cs="Arial"/>
          <w:sz w:val="18"/>
          <w:szCs w:val="18"/>
          <w:lang w:eastAsia="pt-BR"/>
        </w:rPr>
      </w:pPr>
      <w:r w:rsidRPr="00BB337D">
        <w:rPr>
          <w:rFonts w:ascii="Arial" w:eastAsia="Times New Roman" w:hAnsi="Arial" w:cs="Arial"/>
          <w:sz w:val="18"/>
          <w:szCs w:val="18"/>
          <w:lang w:eastAsia="pt-BR"/>
        </w:rPr>
        <w:t>1 - Quando a Prestação de Contas se referir a Contas de Gestão, o Código da Unidade Gestora deverá ser o mesmo da UG que estiver prestando contas.</w:t>
      </w:r>
    </w:p>
    <w:p w14:paraId="3482E0A7" w14:textId="77777777" w:rsidR="00FD1551" w:rsidRPr="00FD1551" w:rsidRDefault="00FD1551" w:rsidP="00FD1551">
      <w:pPr>
        <w:rPr>
          <w:rFonts w:ascii="Arial" w:hAnsi="Arial" w:cs="Arial"/>
          <w:sz w:val="20"/>
          <w:szCs w:val="20"/>
          <w:lang w:eastAsia="pt-BR"/>
        </w:rPr>
      </w:pPr>
    </w:p>
    <w:p w14:paraId="1BF12A2E" w14:textId="77777777" w:rsidR="00FD1551" w:rsidRDefault="00FD1551" w:rsidP="00FD1551">
      <w:pPr>
        <w:rPr>
          <w:rFonts w:ascii="Arial" w:hAnsi="Arial" w:cs="Arial"/>
          <w:sz w:val="20"/>
          <w:szCs w:val="20"/>
          <w:lang w:eastAsia="pt-BR"/>
        </w:rPr>
      </w:pPr>
    </w:p>
    <w:p w14:paraId="0DEBF371" w14:textId="197594F1" w:rsidR="00054BA2" w:rsidRPr="00FD1551" w:rsidRDefault="00054BA2" w:rsidP="00A60EA7">
      <w:pPr>
        <w:pStyle w:val="Ttulo3"/>
      </w:pPr>
      <w:bookmarkStart w:id="51" w:name="_Toc94806327"/>
      <w:r w:rsidRPr="00FD1551">
        <w:t>BALEXOR</w:t>
      </w:r>
      <w:r>
        <w:t>_E</w:t>
      </w:r>
      <w:r w:rsidRPr="00FD1551">
        <w:t>.XML (ou BalanceteExecucaoOrcamentariaReceita</w:t>
      </w:r>
      <w:r>
        <w:t>Estado</w:t>
      </w:r>
      <w:r w:rsidRPr="00FD1551">
        <w:t>.xml)</w:t>
      </w:r>
      <w:bookmarkEnd w:id="51"/>
    </w:p>
    <w:p w14:paraId="2FE6E987" w14:textId="5A449EF4" w:rsidR="00054BA2" w:rsidRPr="00FD1551" w:rsidRDefault="00054BA2" w:rsidP="00054BA2">
      <w:pPr>
        <w:spacing w:after="0" w:line="360" w:lineRule="auto"/>
        <w:jc w:val="both"/>
        <w:rPr>
          <w:rFonts w:ascii="Arial" w:hAnsi="Arial"/>
        </w:rPr>
      </w:pPr>
      <w:r w:rsidRPr="00FD1551">
        <w:rPr>
          <w:rFonts w:ascii="Arial" w:hAnsi="Arial"/>
          <w:b/>
          <w:bCs/>
        </w:rPr>
        <w:t>Descrição: </w:t>
      </w:r>
      <w:r w:rsidRPr="00FD1551">
        <w:rPr>
          <w:rFonts w:ascii="Arial" w:eastAsia="Times New Roman" w:hAnsi="Arial" w:cs="Arial"/>
          <w:lang w:eastAsia="pt-BR"/>
        </w:rPr>
        <w:t>Este arquivo conterá o Balancete da Execução Orçamentária da Receita</w:t>
      </w:r>
    </w:p>
    <w:p w14:paraId="4899B1B7" w14:textId="77777777" w:rsidR="00054BA2" w:rsidRPr="00FD1551" w:rsidRDefault="00054BA2" w:rsidP="00054BA2">
      <w:pPr>
        <w:autoSpaceDE w:val="0"/>
        <w:autoSpaceDN w:val="0"/>
        <w:adjustRightInd w:val="0"/>
        <w:spacing w:after="0" w:line="240" w:lineRule="auto"/>
        <w:jc w:val="both"/>
        <w:rPr>
          <w:rFonts w:ascii="Arial" w:hAnsi="Arial"/>
          <w:b/>
          <w:bCs/>
        </w:rPr>
      </w:pPr>
      <w:r w:rsidRPr="00FD1551">
        <w:rPr>
          <w:rFonts w:ascii="Arial" w:hAnsi="Arial"/>
          <w:b/>
          <w:bCs/>
        </w:rPr>
        <w:t>Estrutura:</w:t>
      </w:r>
    </w:p>
    <w:p w14:paraId="4B4392DF" w14:textId="77777777" w:rsidR="00054BA2" w:rsidRPr="00FD1551" w:rsidRDefault="00054BA2" w:rsidP="00054BA2">
      <w:pPr>
        <w:autoSpaceDE w:val="0"/>
        <w:autoSpaceDN w:val="0"/>
        <w:adjustRightInd w:val="0"/>
        <w:spacing w:after="0" w:line="240" w:lineRule="auto"/>
        <w:jc w:val="both"/>
        <w:rPr>
          <w:rFonts w:ascii="Arial" w:hAnsi="Arial"/>
          <w:b/>
          <w:bCs/>
        </w:rPr>
      </w:pPr>
    </w:p>
    <w:p w14:paraId="7A66433C" w14:textId="77777777" w:rsidR="00054BA2" w:rsidRPr="00FD1551" w:rsidRDefault="00054BA2" w:rsidP="00054BA2">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&lt;?xml version="1.0" encoding="UTF-8"?&gt;</w:t>
      </w:r>
    </w:p>
    <w:p w14:paraId="402E46EA" w14:textId="77777777" w:rsidR="00054BA2" w:rsidRPr="00FD1551" w:rsidRDefault="00054BA2" w:rsidP="00054BA2">
      <w:pPr>
        <w:spacing w:after="0" w:line="240" w:lineRule="auto"/>
        <w:ind w:left="284"/>
        <w:rPr>
          <w:rFonts w:ascii="Arial" w:eastAsia="Times New Roman" w:hAnsi="Arial" w:cs="Arial"/>
          <w:sz w:val="20"/>
          <w:szCs w:val="20"/>
          <w:lang w:eastAsia="pt-BR"/>
        </w:rPr>
      </w:pPr>
      <w:r w:rsidRPr="00FD1551">
        <w:rPr>
          <w:rFonts w:ascii="Arial" w:eastAsia="Times New Roman" w:hAnsi="Arial" w:cs="Arial"/>
          <w:sz w:val="20"/>
          <w:szCs w:val="20"/>
          <w:lang w:eastAsia="pt-BR"/>
        </w:rPr>
        <w:t>&lt;PrestacaoContasAnual&gt;</w:t>
      </w:r>
    </w:p>
    <w:p w14:paraId="4A634B0F" w14:textId="77777777" w:rsidR="00054BA2" w:rsidRPr="00FD1551" w:rsidRDefault="00054BA2" w:rsidP="00054BA2">
      <w:pPr>
        <w:spacing w:after="0" w:line="240" w:lineRule="auto"/>
        <w:ind w:left="567"/>
        <w:rPr>
          <w:rFonts w:ascii="Arial" w:eastAsia="Times New Roman" w:hAnsi="Arial" w:cs="Arial"/>
          <w:sz w:val="20"/>
          <w:szCs w:val="20"/>
          <w:lang w:eastAsia="pt-BR"/>
        </w:rPr>
      </w:pPr>
    </w:p>
    <w:p w14:paraId="5E43664C" w14:textId="77777777" w:rsidR="00054BA2" w:rsidRPr="00FD1551" w:rsidRDefault="00054BA2" w:rsidP="00054BA2">
      <w:pPr>
        <w:spacing w:after="0" w:line="240" w:lineRule="auto"/>
        <w:ind w:left="567"/>
        <w:rPr>
          <w:rFonts w:ascii="Arial" w:eastAsia="Times New Roman" w:hAnsi="Arial" w:cs="Arial"/>
          <w:sz w:val="20"/>
          <w:szCs w:val="20"/>
          <w:lang w:eastAsia="pt-BR"/>
        </w:rPr>
      </w:pPr>
      <w:r w:rsidRPr="00FD1551">
        <w:rPr>
          <w:rFonts w:ascii="Arial" w:eastAsia="Times New Roman" w:hAnsi="Arial" w:cs="Arial"/>
          <w:sz w:val="20"/>
          <w:szCs w:val="20"/>
          <w:lang w:eastAsia="pt-BR"/>
        </w:rPr>
        <w:t>&lt;BalanceteExecucaoOrcamentariaReceita</w:t>
      </w:r>
      <w:r>
        <w:rPr>
          <w:rFonts w:ascii="Arial" w:eastAsia="Times New Roman" w:hAnsi="Arial" w:cs="Arial"/>
          <w:sz w:val="20"/>
          <w:szCs w:val="20"/>
          <w:lang w:eastAsia="pt-BR"/>
        </w:rPr>
        <w:t>Estado</w:t>
      </w:r>
      <w:r w:rsidRPr="00FD1551">
        <w:rPr>
          <w:rFonts w:ascii="Arial" w:eastAsia="Times New Roman" w:hAnsi="Arial" w:cs="Arial"/>
          <w:sz w:val="20"/>
          <w:szCs w:val="20"/>
          <w:lang w:eastAsia="pt-BR"/>
        </w:rPr>
        <w:t>_Schema&gt;</w:t>
      </w:r>
    </w:p>
    <w:p w14:paraId="5AB8685F" w14:textId="77777777" w:rsidR="00054BA2" w:rsidRPr="00FD1551" w:rsidRDefault="00054BA2" w:rsidP="00054BA2">
      <w:pPr>
        <w:spacing w:after="0" w:line="240" w:lineRule="auto"/>
        <w:ind w:left="851"/>
        <w:rPr>
          <w:rFonts w:ascii="Arial" w:eastAsia="Times New Roman" w:hAnsi="Arial" w:cs="Arial"/>
          <w:sz w:val="20"/>
          <w:szCs w:val="20"/>
          <w:lang w:eastAsia="pt-BR"/>
        </w:rPr>
      </w:pPr>
    </w:p>
    <w:p w14:paraId="6F88DA87" w14:textId="77777777" w:rsidR="00054BA2" w:rsidRPr="00FD1551" w:rsidRDefault="00054BA2" w:rsidP="00054BA2">
      <w:pPr>
        <w:spacing w:after="0" w:line="240" w:lineRule="auto"/>
        <w:ind w:left="851"/>
        <w:rPr>
          <w:rFonts w:ascii="Arial" w:eastAsia="Times New Roman" w:hAnsi="Arial" w:cs="Arial"/>
          <w:sz w:val="20"/>
          <w:szCs w:val="20"/>
          <w:lang w:eastAsia="pt-BR"/>
        </w:rPr>
      </w:pPr>
      <w:r w:rsidRPr="00FD1551">
        <w:rPr>
          <w:rFonts w:ascii="Arial" w:eastAsia="Times New Roman" w:hAnsi="Arial" w:cs="Arial"/>
          <w:sz w:val="20"/>
          <w:szCs w:val="20"/>
          <w:lang w:eastAsia="pt-BR"/>
        </w:rPr>
        <w:t>&lt;BalanceteExecucaoOrcamentariaReceita</w:t>
      </w:r>
      <w:r>
        <w:rPr>
          <w:rFonts w:ascii="Arial" w:eastAsia="Times New Roman" w:hAnsi="Arial" w:cs="Arial"/>
          <w:sz w:val="20"/>
          <w:szCs w:val="20"/>
          <w:lang w:eastAsia="pt-BR"/>
        </w:rPr>
        <w:t>Estado</w:t>
      </w:r>
      <w:r w:rsidRPr="00FD1551">
        <w:rPr>
          <w:rFonts w:ascii="Arial" w:eastAsia="Times New Roman" w:hAnsi="Arial" w:cs="Arial"/>
          <w:sz w:val="20"/>
          <w:szCs w:val="20"/>
          <w:lang w:eastAsia="pt-BR"/>
        </w:rPr>
        <w:t>&gt;</w:t>
      </w:r>
    </w:p>
    <w:p w14:paraId="70345AF6" w14:textId="77777777" w:rsidR="00054BA2" w:rsidRPr="00FD1551" w:rsidRDefault="00054BA2" w:rsidP="00054BA2">
      <w:pPr>
        <w:spacing w:after="0" w:line="240" w:lineRule="auto"/>
        <w:ind w:left="1134"/>
        <w:rPr>
          <w:rFonts w:ascii="Arial" w:eastAsia="Times New Roman" w:hAnsi="Arial" w:cs="Arial"/>
          <w:sz w:val="20"/>
          <w:szCs w:val="20"/>
          <w:lang w:eastAsia="pt-BR"/>
        </w:rPr>
      </w:pPr>
      <w:r w:rsidRPr="00FD1551">
        <w:rPr>
          <w:rFonts w:ascii="Arial" w:eastAsia="Times New Roman" w:hAnsi="Arial" w:cs="Arial"/>
          <w:sz w:val="20"/>
          <w:szCs w:val="20"/>
          <w:lang w:eastAsia="pt-BR"/>
        </w:rPr>
        <w:t>&lt;IdNumRegistro&gt;</w:t>
      </w:r>
      <w:r w:rsidRPr="00FD1551">
        <w:rPr>
          <w:rFonts w:ascii="Arial" w:eastAsia="Times New Roman" w:hAnsi="Arial" w:cs="Arial"/>
          <w:b/>
          <w:bCs/>
          <w:sz w:val="20"/>
          <w:szCs w:val="20"/>
          <w:lang w:eastAsia="pt-BR"/>
        </w:rPr>
        <w:t>99999</w:t>
      </w:r>
      <w:r w:rsidRPr="00FD1551">
        <w:rPr>
          <w:rFonts w:ascii="Arial" w:eastAsia="Times New Roman" w:hAnsi="Arial" w:cs="Arial"/>
          <w:sz w:val="20"/>
          <w:szCs w:val="20"/>
          <w:lang w:eastAsia="pt-BR"/>
        </w:rPr>
        <w:t>&lt;/IdNumRegistro&gt;</w:t>
      </w:r>
    </w:p>
    <w:p w14:paraId="23927B31" w14:textId="77777777" w:rsidR="00054BA2" w:rsidRPr="00FD1551" w:rsidRDefault="00054BA2" w:rsidP="00054BA2">
      <w:pPr>
        <w:spacing w:after="0" w:line="240" w:lineRule="auto"/>
        <w:ind w:left="1134"/>
        <w:rPr>
          <w:rFonts w:ascii="Arial" w:eastAsia="Times New Roman" w:hAnsi="Arial" w:cs="Arial"/>
          <w:sz w:val="20"/>
          <w:szCs w:val="20"/>
          <w:lang w:eastAsia="pt-BR"/>
        </w:rPr>
      </w:pPr>
      <w:r w:rsidRPr="00FD1551">
        <w:rPr>
          <w:rFonts w:ascii="Arial" w:eastAsia="Times New Roman" w:hAnsi="Arial" w:cs="Arial"/>
          <w:sz w:val="20"/>
          <w:szCs w:val="20"/>
          <w:lang w:eastAsia="pt-BR"/>
        </w:rPr>
        <w:t>&lt;CodigoUnidadeGestora&gt;</w:t>
      </w:r>
      <w:r w:rsidRPr="00FD1551">
        <w:rPr>
          <w:rFonts w:ascii="Arial" w:eastAsia="Times New Roman" w:hAnsi="Arial" w:cs="Arial"/>
          <w:b/>
          <w:bCs/>
          <w:sz w:val="20"/>
          <w:szCs w:val="20"/>
          <w:lang w:eastAsia="pt-BR"/>
        </w:rPr>
        <w:t>XXXXXXXXXXX</w:t>
      </w:r>
      <w:r w:rsidRPr="00FD1551">
        <w:rPr>
          <w:rFonts w:ascii="Arial" w:eastAsia="Times New Roman" w:hAnsi="Arial" w:cs="Arial"/>
          <w:sz w:val="20"/>
          <w:szCs w:val="20"/>
          <w:lang w:eastAsia="pt-BR"/>
        </w:rPr>
        <w:t xml:space="preserve">&lt;/CodigoUnidadeGestora&gt; </w:t>
      </w:r>
    </w:p>
    <w:p w14:paraId="458CC8F6" w14:textId="77777777" w:rsidR="00054BA2" w:rsidRPr="00FD1551" w:rsidRDefault="00054BA2" w:rsidP="00054BA2">
      <w:pPr>
        <w:spacing w:after="0" w:line="240" w:lineRule="auto"/>
        <w:ind w:left="1134"/>
        <w:rPr>
          <w:rFonts w:ascii="Arial" w:eastAsia="Times New Roman" w:hAnsi="Arial" w:cs="Arial"/>
          <w:sz w:val="20"/>
          <w:szCs w:val="20"/>
          <w:lang w:eastAsia="pt-BR"/>
        </w:rPr>
      </w:pPr>
      <w:r w:rsidRPr="00FD1551">
        <w:rPr>
          <w:rFonts w:ascii="Arial" w:eastAsia="Times New Roman" w:hAnsi="Arial" w:cs="Arial"/>
          <w:sz w:val="20"/>
          <w:szCs w:val="20"/>
          <w:lang w:eastAsia="pt-BR"/>
        </w:rPr>
        <w:t>&lt;CategoriaEconomica&gt;</w:t>
      </w:r>
      <w:r w:rsidRPr="00FD1551">
        <w:rPr>
          <w:rFonts w:ascii="Arial" w:eastAsia="Times New Roman" w:hAnsi="Arial" w:cs="Arial"/>
          <w:b/>
          <w:bCs/>
          <w:sz w:val="20"/>
          <w:szCs w:val="20"/>
          <w:lang w:eastAsia="pt-BR"/>
        </w:rPr>
        <w:t>X</w:t>
      </w:r>
      <w:r w:rsidRPr="00FD1551">
        <w:rPr>
          <w:rFonts w:ascii="Arial" w:eastAsia="Times New Roman" w:hAnsi="Arial" w:cs="Arial"/>
          <w:sz w:val="20"/>
          <w:szCs w:val="20"/>
          <w:lang w:eastAsia="pt-BR"/>
        </w:rPr>
        <w:t>&lt;/CategoriaEconomica&gt;</w:t>
      </w:r>
    </w:p>
    <w:p w14:paraId="45066E1E" w14:textId="77777777" w:rsidR="00054BA2" w:rsidRPr="00FD1551" w:rsidRDefault="00054BA2" w:rsidP="00054BA2">
      <w:pPr>
        <w:spacing w:after="0" w:line="240" w:lineRule="auto"/>
        <w:ind w:left="1134"/>
        <w:rPr>
          <w:rFonts w:ascii="Arial" w:eastAsia="Times New Roman" w:hAnsi="Arial" w:cs="Arial"/>
          <w:sz w:val="20"/>
          <w:szCs w:val="20"/>
          <w:lang w:eastAsia="pt-BR"/>
        </w:rPr>
      </w:pPr>
      <w:r w:rsidRPr="00FD1551">
        <w:rPr>
          <w:rFonts w:ascii="Arial" w:eastAsia="Times New Roman" w:hAnsi="Arial" w:cs="Arial"/>
          <w:sz w:val="20"/>
          <w:szCs w:val="20"/>
          <w:lang w:eastAsia="pt-BR"/>
        </w:rPr>
        <w:t>&lt;Origem&gt;</w:t>
      </w:r>
      <w:r w:rsidRPr="00FD1551">
        <w:rPr>
          <w:rFonts w:ascii="Arial" w:eastAsia="Times New Roman" w:hAnsi="Arial" w:cs="Arial"/>
          <w:b/>
          <w:bCs/>
          <w:sz w:val="20"/>
          <w:szCs w:val="20"/>
          <w:lang w:eastAsia="pt-BR"/>
        </w:rPr>
        <w:t>X</w:t>
      </w:r>
      <w:r w:rsidRPr="00FD1551">
        <w:rPr>
          <w:rFonts w:ascii="Arial" w:eastAsia="Times New Roman" w:hAnsi="Arial" w:cs="Arial"/>
          <w:sz w:val="20"/>
          <w:szCs w:val="20"/>
          <w:lang w:eastAsia="pt-BR"/>
        </w:rPr>
        <w:t>&lt;/Origem&gt;</w:t>
      </w:r>
    </w:p>
    <w:p w14:paraId="22BB4C31" w14:textId="77777777" w:rsidR="00054BA2" w:rsidRPr="00FD1551" w:rsidRDefault="00054BA2" w:rsidP="00054BA2">
      <w:pPr>
        <w:spacing w:after="0" w:line="240" w:lineRule="auto"/>
        <w:ind w:left="1134"/>
        <w:rPr>
          <w:rFonts w:ascii="Arial" w:eastAsia="Times New Roman" w:hAnsi="Arial" w:cs="Arial"/>
          <w:sz w:val="20"/>
          <w:szCs w:val="20"/>
          <w:lang w:eastAsia="pt-BR"/>
        </w:rPr>
      </w:pPr>
      <w:r w:rsidRPr="00FD1551">
        <w:rPr>
          <w:rFonts w:ascii="Arial" w:eastAsia="Times New Roman" w:hAnsi="Arial" w:cs="Arial"/>
          <w:sz w:val="20"/>
          <w:szCs w:val="20"/>
          <w:lang w:eastAsia="pt-BR"/>
        </w:rPr>
        <w:t>&lt;Especie&gt;</w:t>
      </w:r>
      <w:r w:rsidRPr="00FD1551">
        <w:rPr>
          <w:rFonts w:ascii="Arial" w:eastAsia="Times New Roman" w:hAnsi="Arial" w:cs="Arial"/>
          <w:b/>
          <w:bCs/>
          <w:sz w:val="20"/>
          <w:szCs w:val="20"/>
          <w:lang w:eastAsia="pt-BR"/>
        </w:rPr>
        <w:t>X</w:t>
      </w:r>
      <w:r w:rsidRPr="00FD1551">
        <w:rPr>
          <w:rFonts w:ascii="Arial" w:eastAsia="Times New Roman" w:hAnsi="Arial" w:cs="Arial"/>
          <w:sz w:val="20"/>
          <w:szCs w:val="20"/>
          <w:lang w:eastAsia="pt-BR"/>
        </w:rPr>
        <w:t>&lt;/Especie&gt;</w:t>
      </w:r>
    </w:p>
    <w:p w14:paraId="0666BEBC" w14:textId="77777777" w:rsidR="00054BA2" w:rsidRPr="00FD1551" w:rsidRDefault="00054BA2" w:rsidP="00054BA2">
      <w:pPr>
        <w:spacing w:after="0" w:line="240" w:lineRule="auto"/>
        <w:ind w:left="1134"/>
        <w:rPr>
          <w:rFonts w:ascii="Arial" w:eastAsia="Times New Roman" w:hAnsi="Arial" w:cs="Arial"/>
          <w:sz w:val="20"/>
          <w:szCs w:val="20"/>
          <w:lang w:eastAsia="pt-BR"/>
        </w:rPr>
      </w:pPr>
      <w:r w:rsidRPr="00FD1551">
        <w:rPr>
          <w:rFonts w:ascii="Arial" w:eastAsia="Times New Roman" w:hAnsi="Arial" w:cs="Arial"/>
          <w:sz w:val="20"/>
          <w:szCs w:val="20"/>
          <w:lang w:eastAsia="pt-BR"/>
        </w:rPr>
        <w:t>&lt;</w:t>
      </w:r>
      <w:r>
        <w:rPr>
          <w:rFonts w:ascii="Arial" w:eastAsia="Times New Roman" w:hAnsi="Arial" w:cs="Arial"/>
          <w:sz w:val="20"/>
          <w:szCs w:val="20"/>
          <w:lang w:eastAsia="pt-BR"/>
        </w:rPr>
        <w:t>Rubrica</w:t>
      </w:r>
      <w:r w:rsidRPr="00FD1551">
        <w:rPr>
          <w:rFonts w:ascii="Arial" w:eastAsia="Times New Roman" w:hAnsi="Arial" w:cs="Arial"/>
          <w:sz w:val="20"/>
          <w:szCs w:val="20"/>
          <w:lang w:eastAsia="pt-BR"/>
        </w:rPr>
        <w:t>&gt;</w:t>
      </w:r>
      <w:r w:rsidRPr="00FD1551">
        <w:rPr>
          <w:rFonts w:ascii="Arial" w:eastAsia="Times New Roman" w:hAnsi="Arial" w:cs="Arial"/>
          <w:b/>
          <w:bCs/>
          <w:sz w:val="20"/>
          <w:szCs w:val="20"/>
          <w:lang w:eastAsia="pt-BR"/>
        </w:rPr>
        <w:t>X</w:t>
      </w:r>
      <w:r w:rsidRPr="00FD1551">
        <w:rPr>
          <w:rFonts w:ascii="Arial" w:eastAsia="Times New Roman" w:hAnsi="Arial" w:cs="Arial"/>
          <w:sz w:val="20"/>
          <w:szCs w:val="20"/>
          <w:lang w:eastAsia="pt-BR"/>
        </w:rPr>
        <w:t>&lt;/</w:t>
      </w:r>
      <w:r>
        <w:rPr>
          <w:rFonts w:ascii="Arial" w:eastAsia="Times New Roman" w:hAnsi="Arial" w:cs="Arial"/>
          <w:sz w:val="20"/>
          <w:szCs w:val="20"/>
          <w:lang w:eastAsia="pt-BR"/>
        </w:rPr>
        <w:t>Rubrica</w:t>
      </w:r>
      <w:r w:rsidRPr="00FD1551">
        <w:rPr>
          <w:rFonts w:ascii="Arial" w:eastAsia="Times New Roman" w:hAnsi="Arial" w:cs="Arial"/>
          <w:sz w:val="20"/>
          <w:szCs w:val="20"/>
          <w:lang w:eastAsia="pt-BR"/>
        </w:rPr>
        <w:t>&gt;</w:t>
      </w:r>
    </w:p>
    <w:p w14:paraId="2EAFD7FD" w14:textId="77777777" w:rsidR="00054BA2" w:rsidRPr="00FD1551" w:rsidRDefault="00054BA2" w:rsidP="00054BA2">
      <w:pPr>
        <w:spacing w:after="0" w:line="240" w:lineRule="auto"/>
        <w:ind w:left="1134"/>
        <w:rPr>
          <w:rFonts w:ascii="Arial" w:eastAsia="Times New Roman" w:hAnsi="Arial" w:cs="Arial"/>
          <w:sz w:val="20"/>
          <w:szCs w:val="20"/>
          <w:lang w:eastAsia="pt-BR"/>
        </w:rPr>
      </w:pPr>
      <w:r w:rsidRPr="00FD1551">
        <w:rPr>
          <w:rFonts w:ascii="Arial" w:eastAsia="Times New Roman" w:hAnsi="Arial" w:cs="Arial"/>
          <w:sz w:val="20"/>
          <w:szCs w:val="20"/>
          <w:lang w:eastAsia="pt-BR"/>
        </w:rPr>
        <w:t>&lt;</w:t>
      </w:r>
      <w:r>
        <w:rPr>
          <w:rFonts w:ascii="Arial" w:eastAsia="Times New Roman" w:hAnsi="Arial" w:cs="Arial"/>
          <w:sz w:val="20"/>
          <w:szCs w:val="20"/>
          <w:lang w:eastAsia="pt-BR"/>
        </w:rPr>
        <w:t>Alinea</w:t>
      </w:r>
      <w:r w:rsidRPr="00FD1551">
        <w:rPr>
          <w:rFonts w:ascii="Arial" w:eastAsia="Times New Roman" w:hAnsi="Arial" w:cs="Arial"/>
          <w:sz w:val="20"/>
          <w:szCs w:val="20"/>
          <w:lang w:eastAsia="pt-BR"/>
        </w:rPr>
        <w:t>&gt;</w:t>
      </w:r>
      <w:r w:rsidRPr="00FD1551">
        <w:rPr>
          <w:rFonts w:ascii="Arial" w:eastAsia="Times New Roman" w:hAnsi="Arial" w:cs="Arial"/>
          <w:b/>
          <w:bCs/>
          <w:sz w:val="20"/>
          <w:szCs w:val="20"/>
          <w:lang w:eastAsia="pt-BR"/>
        </w:rPr>
        <w:t>X</w:t>
      </w:r>
      <w:r>
        <w:rPr>
          <w:rFonts w:ascii="Arial" w:eastAsia="Times New Roman" w:hAnsi="Arial" w:cs="Arial"/>
          <w:b/>
          <w:bCs/>
          <w:sz w:val="20"/>
          <w:szCs w:val="20"/>
          <w:lang w:eastAsia="pt-BR"/>
        </w:rPr>
        <w:t>X</w:t>
      </w:r>
      <w:r w:rsidRPr="00FD1551">
        <w:rPr>
          <w:rFonts w:ascii="Arial" w:eastAsia="Times New Roman" w:hAnsi="Arial" w:cs="Arial"/>
          <w:sz w:val="20"/>
          <w:szCs w:val="20"/>
          <w:lang w:eastAsia="pt-BR"/>
        </w:rPr>
        <w:t>&lt;/</w:t>
      </w:r>
      <w:r>
        <w:rPr>
          <w:rFonts w:ascii="Arial" w:eastAsia="Times New Roman" w:hAnsi="Arial" w:cs="Arial"/>
          <w:sz w:val="20"/>
          <w:szCs w:val="20"/>
          <w:lang w:eastAsia="pt-BR"/>
        </w:rPr>
        <w:t>Alinea</w:t>
      </w:r>
      <w:r w:rsidRPr="00FD1551">
        <w:rPr>
          <w:rFonts w:ascii="Arial" w:eastAsia="Times New Roman" w:hAnsi="Arial" w:cs="Arial"/>
          <w:sz w:val="20"/>
          <w:szCs w:val="20"/>
          <w:lang w:eastAsia="pt-BR"/>
        </w:rPr>
        <w:t>&gt;</w:t>
      </w:r>
    </w:p>
    <w:p w14:paraId="2AFDC666" w14:textId="77777777" w:rsidR="00054BA2" w:rsidRDefault="00054BA2" w:rsidP="00054BA2">
      <w:pPr>
        <w:spacing w:after="0" w:line="240" w:lineRule="auto"/>
        <w:ind w:left="1134"/>
        <w:rPr>
          <w:rFonts w:ascii="Arial" w:eastAsia="Times New Roman" w:hAnsi="Arial" w:cs="Arial"/>
          <w:sz w:val="20"/>
          <w:szCs w:val="20"/>
          <w:lang w:eastAsia="pt-BR"/>
        </w:rPr>
      </w:pPr>
      <w:r w:rsidRPr="00FD1551">
        <w:rPr>
          <w:rFonts w:ascii="Arial" w:eastAsia="Times New Roman" w:hAnsi="Arial" w:cs="Arial"/>
          <w:sz w:val="20"/>
          <w:szCs w:val="20"/>
          <w:lang w:eastAsia="pt-BR"/>
        </w:rPr>
        <w:t>&lt;</w:t>
      </w:r>
      <w:r>
        <w:rPr>
          <w:rFonts w:ascii="Arial" w:eastAsia="Times New Roman" w:hAnsi="Arial" w:cs="Arial"/>
          <w:sz w:val="20"/>
          <w:szCs w:val="20"/>
          <w:lang w:eastAsia="pt-BR"/>
        </w:rPr>
        <w:t>SubAlinea</w:t>
      </w:r>
      <w:r w:rsidRPr="00FD1551">
        <w:rPr>
          <w:rFonts w:ascii="Arial" w:eastAsia="Times New Roman" w:hAnsi="Arial" w:cs="Arial"/>
          <w:sz w:val="20"/>
          <w:szCs w:val="20"/>
          <w:lang w:eastAsia="pt-BR"/>
        </w:rPr>
        <w:t>&gt;</w:t>
      </w:r>
      <w:r w:rsidRPr="00FD1551">
        <w:rPr>
          <w:rFonts w:ascii="Arial" w:eastAsia="Times New Roman" w:hAnsi="Arial" w:cs="Arial"/>
          <w:b/>
          <w:bCs/>
          <w:sz w:val="20"/>
          <w:szCs w:val="20"/>
          <w:lang w:eastAsia="pt-BR"/>
        </w:rPr>
        <w:t>X</w:t>
      </w:r>
      <w:r w:rsidR="00232F02">
        <w:rPr>
          <w:rFonts w:ascii="Arial" w:eastAsia="Times New Roman" w:hAnsi="Arial" w:cs="Arial"/>
          <w:b/>
          <w:bCs/>
          <w:sz w:val="20"/>
          <w:szCs w:val="20"/>
          <w:lang w:eastAsia="pt-BR"/>
        </w:rPr>
        <w:t>X</w:t>
      </w:r>
      <w:r w:rsidRPr="00FD1551">
        <w:rPr>
          <w:rFonts w:ascii="Arial" w:eastAsia="Times New Roman" w:hAnsi="Arial" w:cs="Arial"/>
          <w:sz w:val="20"/>
          <w:szCs w:val="20"/>
          <w:lang w:eastAsia="pt-BR"/>
        </w:rPr>
        <w:t>&lt;/</w:t>
      </w:r>
      <w:r>
        <w:rPr>
          <w:rFonts w:ascii="Arial" w:eastAsia="Times New Roman" w:hAnsi="Arial" w:cs="Arial"/>
          <w:sz w:val="20"/>
          <w:szCs w:val="20"/>
          <w:lang w:eastAsia="pt-BR"/>
        </w:rPr>
        <w:t>SubAlinea</w:t>
      </w:r>
      <w:r w:rsidRPr="00FD1551">
        <w:rPr>
          <w:rFonts w:ascii="Arial" w:eastAsia="Times New Roman" w:hAnsi="Arial" w:cs="Arial"/>
          <w:sz w:val="20"/>
          <w:szCs w:val="20"/>
          <w:lang w:eastAsia="pt-BR"/>
        </w:rPr>
        <w:t>&gt;</w:t>
      </w:r>
    </w:p>
    <w:p w14:paraId="64B10773" w14:textId="77777777" w:rsidR="00054BA2" w:rsidRDefault="00054BA2" w:rsidP="00054BA2">
      <w:pPr>
        <w:spacing w:after="0" w:line="240" w:lineRule="auto"/>
        <w:ind w:left="1134"/>
        <w:rPr>
          <w:rFonts w:ascii="Arial" w:eastAsia="Times New Roman" w:hAnsi="Arial" w:cs="Arial"/>
          <w:sz w:val="20"/>
          <w:szCs w:val="20"/>
          <w:lang w:eastAsia="pt-BR"/>
        </w:rPr>
      </w:pPr>
      <w:r w:rsidRPr="00FD1551">
        <w:rPr>
          <w:rFonts w:ascii="Arial" w:eastAsia="Times New Roman" w:hAnsi="Arial" w:cs="Arial"/>
          <w:sz w:val="20"/>
          <w:szCs w:val="20"/>
          <w:lang w:eastAsia="pt-BR"/>
        </w:rPr>
        <w:t>&lt;CodigoGrupoFonteDestinacaoRecursos&gt;</w:t>
      </w:r>
      <w:r w:rsidRPr="00FD1551">
        <w:rPr>
          <w:rFonts w:ascii="Arial" w:eastAsia="Times New Roman" w:hAnsi="Arial" w:cs="Arial"/>
          <w:b/>
          <w:bCs/>
          <w:sz w:val="20"/>
          <w:szCs w:val="20"/>
          <w:lang w:eastAsia="pt-BR"/>
        </w:rPr>
        <w:t>9</w:t>
      </w:r>
      <w:r w:rsidRPr="00FD1551">
        <w:rPr>
          <w:rFonts w:ascii="Arial" w:eastAsia="Times New Roman" w:hAnsi="Arial" w:cs="Arial"/>
          <w:sz w:val="20"/>
          <w:szCs w:val="20"/>
          <w:lang w:eastAsia="pt-BR"/>
        </w:rPr>
        <w:t>&lt;/CodigoGrupoFonteDestinacaoRecursos&gt;</w:t>
      </w:r>
    </w:p>
    <w:p w14:paraId="7677C328" w14:textId="77777777" w:rsidR="00054BA2" w:rsidRPr="00FD1551" w:rsidRDefault="00054BA2" w:rsidP="00054BA2">
      <w:pPr>
        <w:spacing w:after="0" w:line="240" w:lineRule="auto"/>
        <w:ind w:left="1134"/>
        <w:rPr>
          <w:rFonts w:ascii="Arial" w:eastAsia="Times New Roman" w:hAnsi="Arial" w:cs="Arial"/>
          <w:sz w:val="20"/>
          <w:szCs w:val="20"/>
          <w:lang w:eastAsia="pt-BR"/>
        </w:rPr>
      </w:pPr>
      <w:r>
        <w:rPr>
          <w:rFonts w:ascii="Arial" w:eastAsia="Times New Roman" w:hAnsi="Arial" w:cs="Arial"/>
          <w:sz w:val="20"/>
          <w:szCs w:val="20"/>
          <w:lang w:eastAsia="pt-BR"/>
        </w:rPr>
        <w:t>&lt;IdentificadorUso&gt;</w:t>
      </w:r>
      <w:r w:rsidR="00232F02" w:rsidRPr="00232F02">
        <w:rPr>
          <w:rFonts w:ascii="Arial" w:eastAsia="Times New Roman" w:hAnsi="Arial" w:cs="Arial"/>
          <w:b/>
          <w:sz w:val="20"/>
          <w:szCs w:val="20"/>
          <w:lang w:eastAsia="pt-BR"/>
        </w:rPr>
        <w:t>X</w:t>
      </w:r>
      <w:r w:rsidR="00232F02">
        <w:rPr>
          <w:rFonts w:ascii="Arial" w:eastAsia="Times New Roman" w:hAnsi="Arial" w:cs="Arial"/>
          <w:sz w:val="20"/>
          <w:szCs w:val="20"/>
          <w:lang w:eastAsia="pt-BR"/>
        </w:rPr>
        <w:t>&lt;/IdentificadorUso&gt;</w:t>
      </w:r>
    </w:p>
    <w:p w14:paraId="6B86C373" w14:textId="77777777" w:rsidR="00054BA2" w:rsidRPr="00FD1551" w:rsidRDefault="00054BA2" w:rsidP="00054BA2">
      <w:pPr>
        <w:spacing w:after="0" w:line="240" w:lineRule="auto"/>
        <w:ind w:left="1134"/>
        <w:rPr>
          <w:rFonts w:ascii="Arial" w:eastAsia="Times New Roman" w:hAnsi="Arial" w:cs="Arial"/>
          <w:b/>
          <w:bCs/>
          <w:sz w:val="20"/>
          <w:szCs w:val="20"/>
          <w:lang w:eastAsia="pt-BR"/>
        </w:rPr>
      </w:pPr>
      <w:r w:rsidRPr="00FD1551">
        <w:rPr>
          <w:rFonts w:ascii="Arial" w:eastAsia="Times New Roman" w:hAnsi="Arial" w:cs="Arial"/>
          <w:sz w:val="20"/>
          <w:szCs w:val="20"/>
          <w:lang w:eastAsia="pt-BR"/>
        </w:rPr>
        <w:t>&lt;CodigoEspecificacaoFonteDestinacaoRecursos&gt;</w:t>
      </w:r>
      <w:r w:rsidRPr="00FD1551">
        <w:rPr>
          <w:rFonts w:ascii="Arial" w:eastAsia="Times New Roman" w:hAnsi="Arial" w:cs="Arial"/>
          <w:b/>
          <w:bCs/>
          <w:sz w:val="20"/>
          <w:szCs w:val="20"/>
          <w:lang w:eastAsia="pt-BR"/>
        </w:rPr>
        <w:t>XXX</w:t>
      </w:r>
    </w:p>
    <w:p w14:paraId="2C04FE9A" w14:textId="77777777" w:rsidR="00054BA2" w:rsidRPr="00FD1551" w:rsidRDefault="00054BA2" w:rsidP="00054BA2">
      <w:pPr>
        <w:spacing w:after="0" w:line="240" w:lineRule="auto"/>
        <w:ind w:left="1134"/>
        <w:rPr>
          <w:rFonts w:ascii="Arial" w:eastAsia="Times New Roman" w:hAnsi="Arial" w:cs="Arial"/>
          <w:sz w:val="20"/>
          <w:szCs w:val="20"/>
          <w:lang w:eastAsia="pt-BR"/>
        </w:rPr>
      </w:pPr>
      <w:r w:rsidRPr="00FD1551">
        <w:rPr>
          <w:rFonts w:ascii="Arial" w:eastAsia="Times New Roman" w:hAnsi="Arial" w:cs="Arial"/>
          <w:sz w:val="20"/>
          <w:szCs w:val="20"/>
          <w:lang w:eastAsia="pt-BR"/>
        </w:rPr>
        <w:t>&lt;/CodigoEspecificacaoFonteDestinacaoRecursos&gt;</w:t>
      </w:r>
    </w:p>
    <w:p w14:paraId="56A81C1B" w14:textId="77777777" w:rsidR="00054BA2" w:rsidRPr="00FD1551" w:rsidRDefault="00054BA2" w:rsidP="00054BA2">
      <w:pPr>
        <w:spacing w:after="0" w:line="240" w:lineRule="auto"/>
        <w:ind w:left="1134"/>
        <w:rPr>
          <w:rFonts w:ascii="Calibri" w:eastAsia="Times New Roman" w:hAnsi="Calibri" w:cs="Arial"/>
          <w:b/>
          <w:bCs/>
          <w:lang w:eastAsia="pt-BR"/>
        </w:rPr>
      </w:pPr>
      <w:r w:rsidRPr="00FD1551">
        <w:rPr>
          <w:rFonts w:ascii="Arial" w:eastAsia="Times New Roman" w:hAnsi="Arial" w:cs="Arial"/>
          <w:sz w:val="20"/>
          <w:szCs w:val="20"/>
          <w:lang w:eastAsia="pt-BR"/>
        </w:rPr>
        <w:t>&lt;CodigoDetalhamentoFonteDestinacaoRecursos&gt;</w:t>
      </w:r>
      <w:r w:rsidRPr="00FD1551">
        <w:rPr>
          <w:rFonts w:ascii="Calibri" w:eastAsia="Times New Roman" w:hAnsi="Calibri" w:cs="Arial"/>
          <w:b/>
          <w:bCs/>
          <w:lang w:eastAsia="pt-BR"/>
        </w:rPr>
        <w:t>XXXX</w:t>
      </w:r>
      <w:r w:rsidR="00232F02">
        <w:rPr>
          <w:rFonts w:ascii="Calibri" w:eastAsia="Times New Roman" w:hAnsi="Calibri" w:cs="Arial"/>
          <w:b/>
          <w:bCs/>
          <w:lang w:eastAsia="pt-BR"/>
        </w:rPr>
        <w:t>XX</w:t>
      </w:r>
    </w:p>
    <w:p w14:paraId="0A4B2090" w14:textId="77777777" w:rsidR="00054BA2" w:rsidRDefault="00054BA2" w:rsidP="00054BA2">
      <w:pPr>
        <w:spacing w:after="0" w:line="240" w:lineRule="auto"/>
        <w:ind w:left="1134"/>
        <w:rPr>
          <w:rFonts w:ascii="Calibri" w:eastAsia="Times New Roman" w:hAnsi="Calibri" w:cs="Arial"/>
          <w:lang w:eastAsia="pt-BR"/>
        </w:rPr>
      </w:pPr>
      <w:r w:rsidRPr="00FD1551">
        <w:rPr>
          <w:rFonts w:ascii="Calibri" w:eastAsia="Times New Roman" w:hAnsi="Calibri" w:cs="Arial"/>
          <w:lang w:eastAsia="pt-BR"/>
        </w:rPr>
        <w:t>&lt;/CodigoDetalhamentoFonteDestinacaoRecursos&gt;</w:t>
      </w:r>
    </w:p>
    <w:p w14:paraId="7F2CE53D" w14:textId="77777777" w:rsidR="00054BA2" w:rsidRPr="00FD1551" w:rsidRDefault="00054BA2" w:rsidP="00054BA2">
      <w:pPr>
        <w:spacing w:after="0" w:line="240" w:lineRule="auto"/>
        <w:ind w:left="1134"/>
        <w:rPr>
          <w:rFonts w:ascii="Arial" w:eastAsia="Times New Roman" w:hAnsi="Arial" w:cs="Arial"/>
          <w:sz w:val="20"/>
          <w:szCs w:val="20"/>
          <w:lang w:eastAsia="pt-BR"/>
        </w:rPr>
      </w:pPr>
      <w:r w:rsidRPr="00FD1551">
        <w:rPr>
          <w:rFonts w:ascii="Arial" w:eastAsia="Times New Roman" w:hAnsi="Arial" w:cs="Arial"/>
          <w:sz w:val="20"/>
          <w:szCs w:val="20"/>
          <w:lang w:eastAsia="pt-BR"/>
        </w:rPr>
        <w:t>&lt;TipoReceita&gt;</w:t>
      </w:r>
      <w:r w:rsidRPr="00FD1551">
        <w:rPr>
          <w:rFonts w:ascii="Arial" w:eastAsia="Times New Roman" w:hAnsi="Arial" w:cs="Arial"/>
          <w:b/>
          <w:bCs/>
          <w:sz w:val="20"/>
          <w:szCs w:val="20"/>
          <w:lang w:eastAsia="pt-BR"/>
        </w:rPr>
        <w:t>9</w:t>
      </w:r>
      <w:r w:rsidRPr="00FD1551">
        <w:rPr>
          <w:rFonts w:ascii="Arial" w:eastAsia="Times New Roman" w:hAnsi="Arial" w:cs="Arial"/>
          <w:sz w:val="20"/>
          <w:szCs w:val="20"/>
          <w:lang w:eastAsia="pt-BR"/>
        </w:rPr>
        <w:t>&lt;/TipoReceita&gt;</w:t>
      </w:r>
    </w:p>
    <w:p w14:paraId="78634673" w14:textId="77777777" w:rsidR="00054BA2" w:rsidRPr="00FD1551" w:rsidRDefault="00054BA2" w:rsidP="00054BA2">
      <w:pPr>
        <w:spacing w:after="0" w:line="240" w:lineRule="auto"/>
        <w:ind w:left="1134"/>
        <w:rPr>
          <w:rFonts w:ascii="Arial" w:eastAsia="Times New Roman" w:hAnsi="Arial" w:cs="Arial"/>
          <w:sz w:val="20"/>
          <w:szCs w:val="20"/>
          <w:lang w:eastAsia="pt-BR"/>
        </w:rPr>
      </w:pPr>
      <w:r w:rsidRPr="00FD1551">
        <w:rPr>
          <w:rFonts w:ascii="Arial" w:eastAsia="Times New Roman" w:hAnsi="Arial" w:cs="Arial"/>
          <w:sz w:val="20"/>
          <w:szCs w:val="20"/>
          <w:lang w:eastAsia="pt-BR"/>
        </w:rPr>
        <w:t>&lt;PrevisaoInicial&gt;</w:t>
      </w:r>
      <w:r w:rsidRPr="00FD1551">
        <w:rPr>
          <w:rFonts w:ascii="Arial" w:eastAsia="Times New Roman" w:hAnsi="Arial" w:cs="Arial"/>
          <w:b/>
          <w:bCs/>
          <w:sz w:val="20"/>
          <w:szCs w:val="20"/>
          <w:lang w:eastAsia="pt-BR"/>
        </w:rPr>
        <w:t>99999999999999.99</w:t>
      </w:r>
      <w:r w:rsidRPr="00FD1551">
        <w:rPr>
          <w:rFonts w:ascii="Arial" w:eastAsia="Times New Roman" w:hAnsi="Arial" w:cs="Arial"/>
          <w:sz w:val="20"/>
          <w:szCs w:val="20"/>
          <w:lang w:eastAsia="pt-BR"/>
        </w:rPr>
        <w:t>&lt;/PrevisaoInicial&gt;</w:t>
      </w:r>
    </w:p>
    <w:p w14:paraId="13929C32" w14:textId="77777777" w:rsidR="00054BA2" w:rsidRPr="00FD1551" w:rsidRDefault="00054BA2" w:rsidP="00054BA2">
      <w:pPr>
        <w:spacing w:after="0" w:line="240" w:lineRule="auto"/>
        <w:ind w:left="1134"/>
        <w:rPr>
          <w:rFonts w:ascii="Arial" w:eastAsia="Times New Roman" w:hAnsi="Arial" w:cs="Arial"/>
          <w:sz w:val="20"/>
          <w:szCs w:val="20"/>
          <w:lang w:eastAsia="pt-BR"/>
        </w:rPr>
      </w:pPr>
      <w:r w:rsidRPr="00FD1551">
        <w:rPr>
          <w:rFonts w:ascii="Arial" w:eastAsia="Times New Roman" w:hAnsi="Arial" w:cs="Arial"/>
          <w:sz w:val="20"/>
          <w:szCs w:val="20"/>
          <w:lang w:eastAsia="pt-BR"/>
        </w:rPr>
        <w:lastRenderedPageBreak/>
        <w:t>&lt;PrevisaoAtualizada&gt;</w:t>
      </w:r>
      <w:r w:rsidRPr="00FD1551">
        <w:rPr>
          <w:rFonts w:ascii="Arial" w:eastAsia="Times New Roman" w:hAnsi="Arial" w:cs="Arial"/>
          <w:b/>
          <w:bCs/>
          <w:sz w:val="20"/>
          <w:szCs w:val="20"/>
          <w:lang w:eastAsia="pt-BR"/>
        </w:rPr>
        <w:t>99999999999999.99</w:t>
      </w:r>
      <w:r w:rsidRPr="00FD1551">
        <w:rPr>
          <w:rFonts w:ascii="Arial" w:eastAsia="Times New Roman" w:hAnsi="Arial" w:cs="Arial"/>
          <w:sz w:val="20"/>
          <w:szCs w:val="20"/>
          <w:lang w:eastAsia="pt-BR"/>
        </w:rPr>
        <w:t>&lt;/PrevisaoAtualizada&gt;</w:t>
      </w:r>
    </w:p>
    <w:p w14:paraId="7A7EEBB9" w14:textId="77777777" w:rsidR="00054BA2" w:rsidRPr="00FD1551" w:rsidRDefault="00054BA2" w:rsidP="00054BA2">
      <w:pPr>
        <w:spacing w:after="0" w:line="240" w:lineRule="auto"/>
        <w:ind w:left="1134"/>
        <w:rPr>
          <w:rFonts w:ascii="Arial" w:eastAsia="Times New Roman" w:hAnsi="Arial" w:cs="Arial"/>
          <w:sz w:val="20"/>
          <w:szCs w:val="20"/>
          <w:lang w:eastAsia="pt-BR"/>
        </w:rPr>
      </w:pPr>
      <w:r w:rsidRPr="00FD1551">
        <w:rPr>
          <w:rFonts w:ascii="Arial" w:eastAsia="Times New Roman" w:hAnsi="Arial" w:cs="Arial"/>
          <w:sz w:val="20"/>
          <w:szCs w:val="20"/>
          <w:lang w:eastAsia="pt-BR"/>
        </w:rPr>
        <w:t>&lt;ValorArrecadado&gt;</w:t>
      </w:r>
      <w:r w:rsidRPr="00FD1551">
        <w:rPr>
          <w:rFonts w:ascii="Arial" w:eastAsia="Times New Roman" w:hAnsi="Arial" w:cs="Arial"/>
          <w:b/>
          <w:bCs/>
          <w:sz w:val="20"/>
          <w:szCs w:val="20"/>
          <w:lang w:eastAsia="pt-BR"/>
        </w:rPr>
        <w:t>99999999999999.99</w:t>
      </w:r>
      <w:r w:rsidRPr="00FD1551">
        <w:rPr>
          <w:rFonts w:ascii="Arial" w:eastAsia="Times New Roman" w:hAnsi="Arial" w:cs="Arial"/>
          <w:sz w:val="20"/>
          <w:szCs w:val="20"/>
          <w:lang w:eastAsia="pt-BR"/>
        </w:rPr>
        <w:t>&lt;/ValorArrecadado&gt;</w:t>
      </w:r>
    </w:p>
    <w:p w14:paraId="722615EF" w14:textId="77777777" w:rsidR="00054BA2" w:rsidRPr="00FD1551" w:rsidRDefault="00054BA2" w:rsidP="00054BA2">
      <w:pPr>
        <w:spacing w:after="0" w:line="240" w:lineRule="auto"/>
        <w:ind w:left="851"/>
        <w:rPr>
          <w:rFonts w:ascii="Arial" w:eastAsia="Times New Roman" w:hAnsi="Arial" w:cs="Arial"/>
          <w:sz w:val="20"/>
          <w:szCs w:val="20"/>
          <w:lang w:eastAsia="pt-BR"/>
        </w:rPr>
      </w:pPr>
      <w:r w:rsidRPr="00FD1551">
        <w:rPr>
          <w:rFonts w:ascii="Arial" w:eastAsia="Times New Roman" w:hAnsi="Arial" w:cs="Arial"/>
          <w:sz w:val="20"/>
          <w:szCs w:val="20"/>
          <w:lang w:eastAsia="pt-BR"/>
        </w:rPr>
        <w:t>&lt;/BalanceteExecucaoOrcamentariaReceita</w:t>
      </w:r>
      <w:r>
        <w:rPr>
          <w:rFonts w:ascii="Arial" w:eastAsia="Times New Roman" w:hAnsi="Arial" w:cs="Arial"/>
          <w:sz w:val="20"/>
          <w:szCs w:val="20"/>
          <w:lang w:eastAsia="pt-BR"/>
        </w:rPr>
        <w:t>Estado</w:t>
      </w:r>
      <w:r w:rsidRPr="00FD1551">
        <w:rPr>
          <w:rFonts w:ascii="Arial" w:eastAsia="Times New Roman" w:hAnsi="Arial" w:cs="Arial"/>
          <w:sz w:val="20"/>
          <w:szCs w:val="20"/>
          <w:lang w:eastAsia="pt-BR"/>
        </w:rPr>
        <w:t>&gt;</w:t>
      </w:r>
    </w:p>
    <w:p w14:paraId="3A246A3C" w14:textId="77777777" w:rsidR="00054BA2" w:rsidRPr="00FD1551" w:rsidRDefault="00054BA2" w:rsidP="00054BA2">
      <w:pPr>
        <w:spacing w:after="0" w:line="240" w:lineRule="auto"/>
        <w:ind w:left="567"/>
        <w:rPr>
          <w:rFonts w:ascii="Arial" w:eastAsia="Times New Roman" w:hAnsi="Arial" w:cs="Arial"/>
          <w:sz w:val="20"/>
          <w:szCs w:val="20"/>
          <w:lang w:eastAsia="pt-BR"/>
        </w:rPr>
      </w:pPr>
    </w:p>
    <w:p w14:paraId="220C55BE" w14:textId="77777777" w:rsidR="00054BA2" w:rsidRPr="00FD1551" w:rsidRDefault="00054BA2" w:rsidP="00054BA2">
      <w:pPr>
        <w:spacing w:after="0" w:line="240" w:lineRule="auto"/>
        <w:ind w:left="567"/>
        <w:rPr>
          <w:rFonts w:ascii="Arial" w:eastAsia="Times New Roman" w:hAnsi="Arial" w:cs="Arial"/>
          <w:sz w:val="20"/>
          <w:szCs w:val="20"/>
          <w:lang w:eastAsia="pt-BR"/>
        </w:rPr>
      </w:pPr>
      <w:r w:rsidRPr="00FD1551">
        <w:rPr>
          <w:rFonts w:ascii="Arial" w:eastAsia="Times New Roman" w:hAnsi="Arial" w:cs="Arial"/>
          <w:sz w:val="20"/>
          <w:szCs w:val="20"/>
          <w:lang w:eastAsia="pt-BR"/>
        </w:rPr>
        <w:t>&lt;/BalanceteExecucaoOrcamentariaReceita</w:t>
      </w:r>
      <w:r>
        <w:rPr>
          <w:rFonts w:ascii="Arial" w:eastAsia="Times New Roman" w:hAnsi="Arial" w:cs="Arial"/>
          <w:sz w:val="20"/>
          <w:szCs w:val="20"/>
          <w:lang w:eastAsia="pt-BR"/>
        </w:rPr>
        <w:t>Estado</w:t>
      </w:r>
      <w:r w:rsidRPr="00FD1551">
        <w:rPr>
          <w:rFonts w:ascii="Arial" w:eastAsia="Times New Roman" w:hAnsi="Arial" w:cs="Arial"/>
          <w:sz w:val="20"/>
          <w:szCs w:val="20"/>
          <w:lang w:eastAsia="pt-BR"/>
        </w:rPr>
        <w:t>_Schema&gt;</w:t>
      </w:r>
    </w:p>
    <w:p w14:paraId="4E421A9C" w14:textId="77777777" w:rsidR="00054BA2" w:rsidRPr="00FD1551" w:rsidRDefault="00054BA2" w:rsidP="00054BA2">
      <w:pPr>
        <w:spacing w:after="0" w:line="240" w:lineRule="auto"/>
        <w:ind w:left="284"/>
        <w:rPr>
          <w:rFonts w:ascii="Arial" w:eastAsia="Times New Roman" w:hAnsi="Arial" w:cs="Arial"/>
          <w:sz w:val="20"/>
          <w:szCs w:val="20"/>
          <w:lang w:eastAsia="pt-BR"/>
        </w:rPr>
      </w:pPr>
    </w:p>
    <w:p w14:paraId="5903C28A" w14:textId="77777777" w:rsidR="00054BA2" w:rsidRPr="00FD1551" w:rsidRDefault="00054BA2" w:rsidP="00054BA2">
      <w:pPr>
        <w:spacing w:after="0" w:line="240" w:lineRule="auto"/>
        <w:ind w:left="284"/>
        <w:rPr>
          <w:rFonts w:ascii="Arial" w:eastAsia="Times New Roman" w:hAnsi="Arial" w:cs="Arial"/>
          <w:sz w:val="20"/>
          <w:szCs w:val="20"/>
          <w:lang w:eastAsia="pt-BR"/>
        </w:rPr>
      </w:pPr>
      <w:r w:rsidRPr="00FD1551">
        <w:rPr>
          <w:rFonts w:ascii="Arial" w:eastAsia="Times New Roman" w:hAnsi="Arial" w:cs="Arial"/>
          <w:sz w:val="20"/>
          <w:szCs w:val="20"/>
          <w:lang w:eastAsia="pt-BR"/>
        </w:rPr>
        <w:t>&lt;PrestacaoContasAnual&gt;</w:t>
      </w:r>
    </w:p>
    <w:p w14:paraId="004B093E" w14:textId="77777777" w:rsidR="00054BA2" w:rsidRPr="00FD1551" w:rsidRDefault="00054BA2" w:rsidP="00054BA2">
      <w:pPr>
        <w:autoSpaceDE w:val="0"/>
        <w:autoSpaceDN w:val="0"/>
        <w:adjustRightInd w:val="0"/>
        <w:spacing w:after="0" w:line="240" w:lineRule="auto"/>
        <w:jc w:val="both"/>
        <w:rPr>
          <w:rFonts w:ascii="Arial" w:hAnsi="Arial"/>
          <w:b/>
          <w:bCs/>
        </w:rPr>
      </w:pPr>
    </w:p>
    <w:tbl>
      <w:tblPr>
        <w:tblW w:w="9229" w:type="dxa"/>
        <w:tblInd w:w="55" w:type="dxa"/>
        <w:tblLayout w:type="fixed"/>
        <w:tblCellMar>
          <w:left w:w="70" w:type="dxa"/>
          <w:right w:w="70" w:type="dxa"/>
        </w:tblCellMar>
        <w:tblLook w:val="04A0" w:firstRow="1" w:lastRow="0" w:firstColumn="1" w:lastColumn="0" w:noHBand="0" w:noVBand="1"/>
      </w:tblPr>
      <w:tblGrid>
        <w:gridCol w:w="3559"/>
        <w:gridCol w:w="1134"/>
        <w:gridCol w:w="1276"/>
        <w:gridCol w:w="3260"/>
      </w:tblGrid>
      <w:tr w:rsidR="00054BA2" w:rsidRPr="00FD1551" w14:paraId="6C0C6974" w14:textId="77777777" w:rsidTr="008B12A6">
        <w:trPr>
          <w:trHeight w:val="315"/>
        </w:trPr>
        <w:tc>
          <w:tcPr>
            <w:tcW w:w="3559" w:type="dxa"/>
            <w:tcBorders>
              <w:top w:val="single" w:sz="8" w:space="0" w:color="auto"/>
              <w:left w:val="single" w:sz="8" w:space="0" w:color="auto"/>
              <w:bottom w:val="single" w:sz="8" w:space="0" w:color="auto"/>
              <w:right w:val="single" w:sz="8" w:space="0" w:color="auto"/>
            </w:tcBorders>
            <w:shd w:val="clear" w:color="000000" w:fill="C0C0C0"/>
            <w:vAlign w:val="center"/>
            <w:hideMark/>
          </w:tcPr>
          <w:p w14:paraId="59AE5295" w14:textId="77777777" w:rsidR="00054BA2" w:rsidRPr="00FD1551" w:rsidRDefault="00054BA2" w:rsidP="008B12A6">
            <w:pPr>
              <w:spacing w:after="0" w:line="240" w:lineRule="auto"/>
              <w:jc w:val="center"/>
              <w:rPr>
                <w:rFonts w:ascii="Arial" w:eastAsia="Times New Roman" w:hAnsi="Arial" w:cs="Arial"/>
                <w:b/>
                <w:bCs/>
                <w:sz w:val="20"/>
                <w:szCs w:val="20"/>
                <w:lang w:eastAsia="pt-BR"/>
              </w:rPr>
            </w:pPr>
            <w:r w:rsidRPr="00FD1551">
              <w:rPr>
                <w:rFonts w:ascii="Arial" w:eastAsia="Times New Roman" w:hAnsi="Arial" w:cs="Arial"/>
                <w:b/>
                <w:bCs/>
                <w:sz w:val="20"/>
                <w:szCs w:val="20"/>
                <w:lang w:eastAsia="pt-BR"/>
              </w:rPr>
              <w:t>Campo</w:t>
            </w:r>
          </w:p>
        </w:tc>
        <w:tc>
          <w:tcPr>
            <w:tcW w:w="1134" w:type="dxa"/>
            <w:tcBorders>
              <w:top w:val="single" w:sz="8" w:space="0" w:color="auto"/>
              <w:left w:val="nil"/>
              <w:bottom w:val="single" w:sz="8" w:space="0" w:color="auto"/>
              <w:right w:val="single" w:sz="8" w:space="0" w:color="auto"/>
            </w:tcBorders>
            <w:shd w:val="clear" w:color="000000" w:fill="C0C0C0"/>
            <w:vAlign w:val="center"/>
            <w:hideMark/>
          </w:tcPr>
          <w:p w14:paraId="0FA30DC7" w14:textId="77777777" w:rsidR="00054BA2" w:rsidRPr="00FD1551" w:rsidRDefault="00054BA2" w:rsidP="008B12A6">
            <w:pPr>
              <w:spacing w:after="0" w:line="240" w:lineRule="auto"/>
              <w:jc w:val="center"/>
              <w:rPr>
                <w:rFonts w:ascii="Arial" w:eastAsia="Times New Roman" w:hAnsi="Arial" w:cs="Arial"/>
                <w:b/>
                <w:bCs/>
                <w:sz w:val="20"/>
                <w:szCs w:val="20"/>
                <w:lang w:eastAsia="pt-BR"/>
              </w:rPr>
            </w:pPr>
            <w:r w:rsidRPr="00FD1551">
              <w:rPr>
                <w:rFonts w:ascii="Arial" w:eastAsia="Times New Roman" w:hAnsi="Arial" w:cs="Arial"/>
                <w:b/>
                <w:bCs/>
                <w:sz w:val="20"/>
                <w:szCs w:val="20"/>
                <w:lang w:eastAsia="pt-BR"/>
              </w:rPr>
              <w:t>Tipo</w:t>
            </w:r>
          </w:p>
        </w:tc>
        <w:tc>
          <w:tcPr>
            <w:tcW w:w="1276" w:type="dxa"/>
            <w:tcBorders>
              <w:top w:val="single" w:sz="8" w:space="0" w:color="auto"/>
              <w:left w:val="nil"/>
              <w:bottom w:val="single" w:sz="8" w:space="0" w:color="auto"/>
              <w:right w:val="single" w:sz="8" w:space="0" w:color="auto"/>
            </w:tcBorders>
            <w:shd w:val="clear" w:color="000000" w:fill="C0C0C0"/>
            <w:vAlign w:val="center"/>
            <w:hideMark/>
          </w:tcPr>
          <w:p w14:paraId="7D543F84" w14:textId="77777777" w:rsidR="00054BA2" w:rsidRPr="00FD1551" w:rsidRDefault="00054BA2" w:rsidP="008B12A6">
            <w:pPr>
              <w:spacing w:after="0" w:line="240" w:lineRule="auto"/>
              <w:jc w:val="center"/>
              <w:rPr>
                <w:rFonts w:ascii="Arial" w:eastAsia="Times New Roman" w:hAnsi="Arial" w:cs="Arial"/>
                <w:b/>
                <w:bCs/>
                <w:sz w:val="20"/>
                <w:szCs w:val="20"/>
                <w:lang w:eastAsia="pt-BR"/>
              </w:rPr>
            </w:pPr>
            <w:r w:rsidRPr="00FD1551">
              <w:rPr>
                <w:rFonts w:ascii="Arial" w:eastAsia="Times New Roman" w:hAnsi="Arial" w:cs="Arial"/>
                <w:b/>
                <w:bCs/>
                <w:sz w:val="20"/>
                <w:szCs w:val="20"/>
                <w:lang w:eastAsia="pt-BR"/>
              </w:rPr>
              <w:t>Tamanho</w:t>
            </w:r>
          </w:p>
        </w:tc>
        <w:tc>
          <w:tcPr>
            <w:tcW w:w="3260" w:type="dxa"/>
            <w:tcBorders>
              <w:top w:val="single" w:sz="8" w:space="0" w:color="auto"/>
              <w:left w:val="nil"/>
              <w:bottom w:val="single" w:sz="8" w:space="0" w:color="auto"/>
              <w:right w:val="single" w:sz="8" w:space="0" w:color="auto"/>
            </w:tcBorders>
            <w:shd w:val="clear" w:color="000000" w:fill="C0C0C0"/>
            <w:vAlign w:val="center"/>
            <w:hideMark/>
          </w:tcPr>
          <w:p w14:paraId="24159BF2" w14:textId="77777777" w:rsidR="00054BA2" w:rsidRPr="00FD1551" w:rsidRDefault="00054BA2" w:rsidP="008B12A6">
            <w:pPr>
              <w:spacing w:after="0" w:line="240" w:lineRule="auto"/>
              <w:jc w:val="center"/>
              <w:rPr>
                <w:rFonts w:ascii="Arial" w:eastAsia="Times New Roman" w:hAnsi="Arial" w:cs="Arial"/>
                <w:b/>
                <w:bCs/>
                <w:sz w:val="20"/>
                <w:szCs w:val="20"/>
                <w:lang w:eastAsia="pt-BR"/>
              </w:rPr>
            </w:pPr>
            <w:r w:rsidRPr="00FD1551">
              <w:rPr>
                <w:rFonts w:ascii="Arial" w:eastAsia="Times New Roman" w:hAnsi="Arial" w:cs="Arial"/>
                <w:b/>
                <w:bCs/>
                <w:sz w:val="20"/>
                <w:szCs w:val="20"/>
                <w:lang w:eastAsia="pt-BR"/>
              </w:rPr>
              <w:t>Obrigatoriedade</w:t>
            </w:r>
          </w:p>
        </w:tc>
      </w:tr>
      <w:tr w:rsidR="00054BA2" w:rsidRPr="00FD1551" w14:paraId="4CC53A5F" w14:textId="77777777" w:rsidTr="008B12A6">
        <w:trPr>
          <w:trHeight w:val="420"/>
        </w:trPr>
        <w:tc>
          <w:tcPr>
            <w:tcW w:w="9229" w:type="dxa"/>
            <w:gridSpan w:val="4"/>
            <w:tcBorders>
              <w:top w:val="single" w:sz="8" w:space="0" w:color="auto"/>
              <w:left w:val="single" w:sz="8" w:space="0" w:color="auto"/>
              <w:bottom w:val="single" w:sz="8" w:space="0" w:color="auto"/>
              <w:right w:val="single" w:sz="8" w:space="0" w:color="000000"/>
            </w:tcBorders>
            <w:shd w:val="clear" w:color="000000" w:fill="BFBFBF"/>
            <w:vAlign w:val="center"/>
            <w:hideMark/>
          </w:tcPr>
          <w:p w14:paraId="33367F7A" w14:textId="77777777" w:rsidR="00054BA2" w:rsidRPr="00FD1551" w:rsidRDefault="00054BA2" w:rsidP="008B12A6">
            <w:pPr>
              <w:spacing w:after="0" w:line="240" w:lineRule="auto"/>
              <w:jc w:val="center"/>
              <w:rPr>
                <w:rFonts w:ascii="Arial" w:eastAsia="Times New Roman" w:hAnsi="Arial" w:cs="Arial"/>
                <w:b/>
                <w:bCs/>
                <w:sz w:val="20"/>
                <w:szCs w:val="20"/>
                <w:lang w:eastAsia="pt-BR"/>
              </w:rPr>
            </w:pPr>
            <w:r w:rsidRPr="00FD1551">
              <w:rPr>
                <w:rFonts w:ascii="Arial" w:eastAsia="Times New Roman" w:hAnsi="Arial" w:cs="Arial"/>
                <w:b/>
                <w:bCs/>
                <w:sz w:val="20"/>
                <w:szCs w:val="20"/>
                <w:lang w:eastAsia="pt-BR"/>
              </w:rPr>
              <w:t>Estrutura ‘BalanceteExecucaoOrcamentariaReceita’</w:t>
            </w:r>
          </w:p>
        </w:tc>
      </w:tr>
      <w:tr w:rsidR="00054BA2" w:rsidRPr="00FD1551" w14:paraId="001F7570" w14:textId="77777777" w:rsidTr="008B12A6">
        <w:trPr>
          <w:trHeight w:val="315"/>
        </w:trPr>
        <w:tc>
          <w:tcPr>
            <w:tcW w:w="3559" w:type="dxa"/>
            <w:tcBorders>
              <w:top w:val="nil"/>
              <w:left w:val="single" w:sz="8" w:space="0" w:color="auto"/>
              <w:bottom w:val="single" w:sz="8" w:space="0" w:color="auto"/>
              <w:right w:val="single" w:sz="8" w:space="0" w:color="auto"/>
            </w:tcBorders>
            <w:shd w:val="clear" w:color="auto" w:fill="auto"/>
            <w:vAlign w:val="center"/>
            <w:hideMark/>
          </w:tcPr>
          <w:p w14:paraId="455D1A30" w14:textId="77777777" w:rsidR="00054BA2" w:rsidRPr="00FD1551" w:rsidRDefault="00054BA2" w:rsidP="008B12A6">
            <w:pPr>
              <w:spacing w:after="0" w:line="240" w:lineRule="auto"/>
              <w:jc w:val="both"/>
              <w:rPr>
                <w:rFonts w:ascii="Arial" w:eastAsia="Times New Roman" w:hAnsi="Arial" w:cs="Arial"/>
                <w:sz w:val="20"/>
                <w:szCs w:val="20"/>
                <w:lang w:eastAsia="pt-BR"/>
              </w:rPr>
            </w:pPr>
            <w:r w:rsidRPr="00FD1551">
              <w:rPr>
                <w:rFonts w:ascii="Arial" w:eastAsia="Times New Roman" w:hAnsi="Arial" w:cs="Arial"/>
                <w:sz w:val="20"/>
                <w:szCs w:val="20"/>
                <w:lang w:eastAsia="pt-BR"/>
              </w:rPr>
              <w:t>Identificação do Numero do Registro</w:t>
            </w:r>
          </w:p>
        </w:tc>
        <w:tc>
          <w:tcPr>
            <w:tcW w:w="1134" w:type="dxa"/>
            <w:tcBorders>
              <w:top w:val="nil"/>
              <w:left w:val="nil"/>
              <w:bottom w:val="single" w:sz="8" w:space="0" w:color="auto"/>
              <w:right w:val="single" w:sz="8" w:space="0" w:color="auto"/>
            </w:tcBorders>
            <w:shd w:val="clear" w:color="auto" w:fill="auto"/>
            <w:vAlign w:val="center"/>
            <w:hideMark/>
          </w:tcPr>
          <w:p w14:paraId="1FC28ED0" w14:textId="77777777" w:rsidR="00054BA2" w:rsidRPr="00FD1551" w:rsidRDefault="00054BA2" w:rsidP="008B12A6">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Inteiro</w:t>
            </w:r>
          </w:p>
        </w:tc>
        <w:tc>
          <w:tcPr>
            <w:tcW w:w="1276" w:type="dxa"/>
            <w:tcBorders>
              <w:top w:val="nil"/>
              <w:left w:val="nil"/>
              <w:bottom w:val="single" w:sz="8" w:space="0" w:color="auto"/>
              <w:right w:val="single" w:sz="8" w:space="0" w:color="auto"/>
            </w:tcBorders>
            <w:shd w:val="clear" w:color="auto" w:fill="auto"/>
            <w:vAlign w:val="center"/>
            <w:hideMark/>
          </w:tcPr>
          <w:p w14:paraId="05ED8035" w14:textId="77777777" w:rsidR="00054BA2" w:rsidRPr="00FD1551" w:rsidRDefault="00054BA2" w:rsidP="008B12A6">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5</w:t>
            </w:r>
          </w:p>
        </w:tc>
        <w:tc>
          <w:tcPr>
            <w:tcW w:w="3260" w:type="dxa"/>
            <w:tcBorders>
              <w:top w:val="nil"/>
              <w:left w:val="nil"/>
              <w:bottom w:val="single" w:sz="8" w:space="0" w:color="auto"/>
              <w:right w:val="single" w:sz="8" w:space="0" w:color="auto"/>
            </w:tcBorders>
            <w:shd w:val="clear" w:color="auto" w:fill="auto"/>
            <w:vAlign w:val="center"/>
            <w:hideMark/>
          </w:tcPr>
          <w:p w14:paraId="035C1F0A" w14:textId="77777777" w:rsidR="00054BA2" w:rsidRPr="00FD1551" w:rsidRDefault="00054BA2" w:rsidP="008B12A6">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Obrigatório</w:t>
            </w:r>
          </w:p>
        </w:tc>
      </w:tr>
      <w:tr w:rsidR="00054BA2" w:rsidRPr="00FD1551" w14:paraId="217ACDB9" w14:textId="77777777" w:rsidTr="008B12A6">
        <w:trPr>
          <w:trHeight w:val="315"/>
        </w:trPr>
        <w:tc>
          <w:tcPr>
            <w:tcW w:w="3559" w:type="dxa"/>
            <w:tcBorders>
              <w:top w:val="nil"/>
              <w:left w:val="single" w:sz="8" w:space="0" w:color="auto"/>
              <w:bottom w:val="single" w:sz="8" w:space="0" w:color="auto"/>
              <w:right w:val="single" w:sz="8" w:space="0" w:color="auto"/>
            </w:tcBorders>
            <w:shd w:val="clear" w:color="auto" w:fill="auto"/>
            <w:vAlign w:val="center"/>
            <w:hideMark/>
          </w:tcPr>
          <w:p w14:paraId="51E90302" w14:textId="77777777" w:rsidR="00054BA2" w:rsidRPr="00FD1551" w:rsidRDefault="00054BA2" w:rsidP="008B12A6">
            <w:pPr>
              <w:spacing w:after="0" w:line="240" w:lineRule="auto"/>
              <w:jc w:val="both"/>
              <w:rPr>
                <w:rFonts w:ascii="Arial" w:eastAsia="Times New Roman" w:hAnsi="Arial" w:cs="Arial"/>
                <w:sz w:val="20"/>
                <w:szCs w:val="20"/>
                <w:lang w:eastAsia="pt-BR"/>
              </w:rPr>
            </w:pPr>
            <w:r w:rsidRPr="00FD1551">
              <w:rPr>
                <w:rFonts w:ascii="Arial" w:eastAsia="Times New Roman" w:hAnsi="Arial" w:cs="Arial"/>
                <w:sz w:val="20"/>
                <w:szCs w:val="20"/>
                <w:lang w:eastAsia="pt-BR"/>
              </w:rPr>
              <w:t>Código da Unidade Gestora</w:t>
            </w:r>
          </w:p>
        </w:tc>
        <w:tc>
          <w:tcPr>
            <w:tcW w:w="1134" w:type="dxa"/>
            <w:tcBorders>
              <w:top w:val="nil"/>
              <w:left w:val="nil"/>
              <w:bottom w:val="single" w:sz="8" w:space="0" w:color="auto"/>
              <w:right w:val="single" w:sz="8" w:space="0" w:color="auto"/>
            </w:tcBorders>
            <w:shd w:val="clear" w:color="auto" w:fill="auto"/>
            <w:vAlign w:val="center"/>
            <w:hideMark/>
          </w:tcPr>
          <w:p w14:paraId="73253BD7" w14:textId="77777777" w:rsidR="00054BA2" w:rsidRPr="00FD1551" w:rsidRDefault="00054BA2" w:rsidP="008B12A6">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Caracter</w:t>
            </w:r>
          </w:p>
        </w:tc>
        <w:tc>
          <w:tcPr>
            <w:tcW w:w="1276" w:type="dxa"/>
            <w:tcBorders>
              <w:top w:val="nil"/>
              <w:left w:val="nil"/>
              <w:bottom w:val="single" w:sz="8" w:space="0" w:color="auto"/>
              <w:right w:val="single" w:sz="8" w:space="0" w:color="auto"/>
            </w:tcBorders>
            <w:shd w:val="clear" w:color="auto" w:fill="auto"/>
            <w:vAlign w:val="center"/>
            <w:hideMark/>
          </w:tcPr>
          <w:p w14:paraId="7675A6B5" w14:textId="77777777" w:rsidR="00054BA2" w:rsidRPr="00FD1551" w:rsidRDefault="00054BA2" w:rsidP="008B12A6">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11</w:t>
            </w:r>
          </w:p>
        </w:tc>
        <w:tc>
          <w:tcPr>
            <w:tcW w:w="3260" w:type="dxa"/>
            <w:tcBorders>
              <w:top w:val="nil"/>
              <w:left w:val="nil"/>
              <w:bottom w:val="single" w:sz="8" w:space="0" w:color="auto"/>
              <w:right w:val="single" w:sz="8" w:space="0" w:color="auto"/>
            </w:tcBorders>
            <w:shd w:val="clear" w:color="auto" w:fill="auto"/>
            <w:vAlign w:val="center"/>
            <w:hideMark/>
          </w:tcPr>
          <w:p w14:paraId="1A89547C" w14:textId="77777777" w:rsidR="00054BA2" w:rsidRPr="00FD1551" w:rsidRDefault="00054BA2" w:rsidP="00232F02">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Obrigatório</w:t>
            </w:r>
          </w:p>
        </w:tc>
      </w:tr>
      <w:tr w:rsidR="00054BA2" w:rsidRPr="00FD1551" w14:paraId="07FC4D75" w14:textId="77777777" w:rsidTr="008B12A6">
        <w:trPr>
          <w:trHeight w:val="525"/>
        </w:trPr>
        <w:tc>
          <w:tcPr>
            <w:tcW w:w="3559" w:type="dxa"/>
            <w:tcBorders>
              <w:top w:val="nil"/>
              <w:left w:val="single" w:sz="8" w:space="0" w:color="auto"/>
              <w:bottom w:val="single" w:sz="8" w:space="0" w:color="auto"/>
              <w:right w:val="single" w:sz="8" w:space="0" w:color="auto"/>
            </w:tcBorders>
            <w:shd w:val="clear" w:color="auto" w:fill="auto"/>
            <w:vAlign w:val="center"/>
            <w:hideMark/>
          </w:tcPr>
          <w:p w14:paraId="7F330047" w14:textId="77777777" w:rsidR="00054BA2" w:rsidRPr="00FD1551" w:rsidRDefault="00054BA2" w:rsidP="008B12A6">
            <w:pPr>
              <w:spacing w:after="0" w:line="240" w:lineRule="auto"/>
              <w:jc w:val="both"/>
              <w:rPr>
                <w:rFonts w:ascii="Arial" w:eastAsia="Times New Roman" w:hAnsi="Arial" w:cs="Arial"/>
                <w:sz w:val="20"/>
                <w:szCs w:val="20"/>
                <w:lang w:eastAsia="pt-BR"/>
              </w:rPr>
            </w:pPr>
            <w:r w:rsidRPr="00FD1551">
              <w:rPr>
                <w:rFonts w:ascii="Arial" w:eastAsia="Times New Roman" w:hAnsi="Arial" w:cs="Arial"/>
                <w:sz w:val="20"/>
                <w:szCs w:val="20"/>
                <w:lang w:eastAsia="pt-BR"/>
              </w:rPr>
              <w:t>Categoria Economica</w:t>
            </w:r>
          </w:p>
        </w:tc>
        <w:tc>
          <w:tcPr>
            <w:tcW w:w="1134" w:type="dxa"/>
            <w:tcBorders>
              <w:top w:val="nil"/>
              <w:left w:val="nil"/>
              <w:bottom w:val="single" w:sz="8" w:space="0" w:color="auto"/>
              <w:right w:val="single" w:sz="8" w:space="0" w:color="auto"/>
            </w:tcBorders>
            <w:shd w:val="clear" w:color="auto" w:fill="auto"/>
            <w:vAlign w:val="center"/>
            <w:hideMark/>
          </w:tcPr>
          <w:p w14:paraId="629EAE55" w14:textId="77777777" w:rsidR="00054BA2" w:rsidRPr="00FD1551" w:rsidRDefault="00054BA2" w:rsidP="008B12A6">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Caracter</w:t>
            </w:r>
          </w:p>
        </w:tc>
        <w:tc>
          <w:tcPr>
            <w:tcW w:w="1276" w:type="dxa"/>
            <w:tcBorders>
              <w:top w:val="nil"/>
              <w:left w:val="nil"/>
              <w:bottom w:val="single" w:sz="8" w:space="0" w:color="auto"/>
              <w:right w:val="single" w:sz="8" w:space="0" w:color="auto"/>
            </w:tcBorders>
            <w:shd w:val="clear" w:color="auto" w:fill="auto"/>
            <w:vAlign w:val="center"/>
            <w:hideMark/>
          </w:tcPr>
          <w:p w14:paraId="7C92ED88" w14:textId="77777777" w:rsidR="00054BA2" w:rsidRPr="00FD1551" w:rsidRDefault="00054BA2" w:rsidP="008B12A6">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1</w:t>
            </w:r>
          </w:p>
        </w:tc>
        <w:tc>
          <w:tcPr>
            <w:tcW w:w="3260" w:type="dxa"/>
            <w:tcBorders>
              <w:top w:val="nil"/>
              <w:left w:val="nil"/>
              <w:bottom w:val="single" w:sz="8" w:space="0" w:color="auto"/>
              <w:right w:val="single" w:sz="8" w:space="0" w:color="auto"/>
            </w:tcBorders>
            <w:shd w:val="clear" w:color="auto" w:fill="auto"/>
            <w:vAlign w:val="center"/>
            <w:hideMark/>
          </w:tcPr>
          <w:p w14:paraId="2BAF87DF" w14:textId="77777777" w:rsidR="00054BA2" w:rsidRPr="00FD1551" w:rsidRDefault="00054BA2" w:rsidP="00232F02">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w:t>
            </w:r>
            <w:r>
              <w:rPr>
                <w:rFonts w:ascii="Arial" w:eastAsia="Times New Roman" w:hAnsi="Arial" w:cs="Arial"/>
                <w:sz w:val="20"/>
                <w:szCs w:val="20"/>
                <w:lang w:eastAsia="pt-BR"/>
              </w:rPr>
              <w:t>io</w:t>
            </w:r>
          </w:p>
        </w:tc>
      </w:tr>
      <w:tr w:rsidR="00054BA2" w:rsidRPr="00FD1551" w14:paraId="0E42E695" w14:textId="77777777" w:rsidTr="008B12A6">
        <w:trPr>
          <w:trHeight w:val="525"/>
        </w:trPr>
        <w:tc>
          <w:tcPr>
            <w:tcW w:w="3559" w:type="dxa"/>
            <w:tcBorders>
              <w:top w:val="nil"/>
              <w:left w:val="single" w:sz="8" w:space="0" w:color="auto"/>
              <w:bottom w:val="single" w:sz="8" w:space="0" w:color="auto"/>
              <w:right w:val="single" w:sz="8" w:space="0" w:color="auto"/>
            </w:tcBorders>
            <w:shd w:val="clear" w:color="auto" w:fill="auto"/>
            <w:vAlign w:val="center"/>
            <w:hideMark/>
          </w:tcPr>
          <w:p w14:paraId="75343401" w14:textId="77777777" w:rsidR="00054BA2" w:rsidRPr="00FD1551" w:rsidRDefault="00054BA2" w:rsidP="008B12A6">
            <w:pPr>
              <w:spacing w:after="0" w:line="240" w:lineRule="auto"/>
              <w:jc w:val="both"/>
              <w:rPr>
                <w:rFonts w:ascii="Arial" w:eastAsia="Times New Roman" w:hAnsi="Arial" w:cs="Arial"/>
                <w:sz w:val="20"/>
                <w:szCs w:val="20"/>
                <w:lang w:eastAsia="pt-BR"/>
              </w:rPr>
            </w:pPr>
            <w:r w:rsidRPr="00FD1551">
              <w:rPr>
                <w:rFonts w:ascii="Arial" w:eastAsia="Times New Roman" w:hAnsi="Arial" w:cs="Arial"/>
                <w:sz w:val="20"/>
                <w:szCs w:val="20"/>
                <w:lang w:eastAsia="pt-BR"/>
              </w:rPr>
              <w:t>Origem</w:t>
            </w:r>
          </w:p>
        </w:tc>
        <w:tc>
          <w:tcPr>
            <w:tcW w:w="1134" w:type="dxa"/>
            <w:tcBorders>
              <w:top w:val="nil"/>
              <w:left w:val="nil"/>
              <w:bottom w:val="single" w:sz="8" w:space="0" w:color="auto"/>
              <w:right w:val="single" w:sz="8" w:space="0" w:color="auto"/>
            </w:tcBorders>
            <w:shd w:val="clear" w:color="auto" w:fill="auto"/>
            <w:vAlign w:val="center"/>
            <w:hideMark/>
          </w:tcPr>
          <w:p w14:paraId="6EBBF489" w14:textId="77777777" w:rsidR="00054BA2" w:rsidRPr="00FD1551" w:rsidRDefault="00054BA2" w:rsidP="008B12A6">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Caracter</w:t>
            </w:r>
          </w:p>
        </w:tc>
        <w:tc>
          <w:tcPr>
            <w:tcW w:w="1276" w:type="dxa"/>
            <w:tcBorders>
              <w:top w:val="nil"/>
              <w:left w:val="nil"/>
              <w:bottom w:val="single" w:sz="8" w:space="0" w:color="auto"/>
              <w:right w:val="single" w:sz="8" w:space="0" w:color="auto"/>
            </w:tcBorders>
            <w:shd w:val="clear" w:color="auto" w:fill="auto"/>
            <w:vAlign w:val="center"/>
            <w:hideMark/>
          </w:tcPr>
          <w:p w14:paraId="3BA11472" w14:textId="77777777" w:rsidR="00054BA2" w:rsidRPr="00FD1551" w:rsidRDefault="00054BA2" w:rsidP="008B12A6">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1</w:t>
            </w:r>
          </w:p>
        </w:tc>
        <w:tc>
          <w:tcPr>
            <w:tcW w:w="3260" w:type="dxa"/>
            <w:tcBorders>
              <w:top w:val="nil"/>
              <w:left w:val="nil"/>
              <w:bottom w:val="single" w:sz="8" w:space="0" w:color="auto"/>
              <w:right w:val="single" w:sz="8" w:space="0" w:color="auto"/>
            </w:tcBorders>
            <w:shd w:val="clear" w:color="auto" w:fill="auto"/>
            <w:vAlign w:val="center"/>
            <w:hideMark/>
          </w:tcPr>
          <w:p w14:paraId="2D9A29D0" w14:textId="77777777" w:rsidR="00054BA2" w:rsidRPr="00FD1551" w:rsidRDefault="00054BA2" w:rsidP="00232F02">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w:t>
            </w:r>
            <w:r>
              <w:rPr>
                <w:rFonts w:ascii="Arial" w:eastAsia="Times New Roman" w:hAnsi="Arial" w:cs="Arial"/>
                <w:sz w:val="20"/>
                <w:szCs w:val="20"/>
                <w:lang w:eastAsia="pt-BR"/>
              </w:rPr>
              <w:t>io</w:t>
            </w:r>
          </w:p>
        </w:tc>
      </w:tr>
      <w:tr w:rsidR="00054BA2" w:rsidRPr="00FD1551" w14:paraId="42154622" w14:textId="77777777" w:rsidTr="008B12A6">
        <w:trPr>
          <w:trHeight w:val="525"/>
        </w:trPr>
        <w:tc>
          <w:tcPr>
            <w:tcW w:w="3559" w:type="dxa"/>
            <w:tcBorders>
              <w:top w:val="nil"/>
              <w:left w:val="single" w:sz="8" w:space="0" w:color="auto"/>
              <w:bottom w:val="single" w:sz="8" w:space="0" w:color="auto"/>
              <w:right w:val="single" w:sz="8" w:space="0" w:color="auto"/>
            </w:tcBorders>
            <w:shd w:val="clear" w:color="auto" w:fill="auto"/>
            <w:vAlign w:val="center"/>
            <w:hideMark/>
          </w:tcPr>
          <w:p w14:paraId="3794A9B0" w14:textId="77777777" w:rsidR="00054BA2" w:rsidRPr="00FD1551" w:rsidRDefault="00054BA2" w:rsidP="008B12A6">
            <w:pPr>
              <w:spacing w:after="0" w:line="240" w:lineRule="auto"/>
              <w:jc w:val="both"/>
              <w:rPr>
                <w:rFonts w:ascii="Arial" w:eastAsia="Times New Roman" w:hAnsi="Arial" w:cs="Arial"/>
                <w:sz w:val="20"/>
                <w:szCs w:val="20"/>
                <w:lang w:eastAsia="pt-BR"/>
              </w:rPr>
            </w:pPr>
            <w:r w:rsidRPr="00FD1551">
              <w:rPr>
                <w:rFonts w:ascii="Arial" w:eastAsia="Times New Roman" w:hAnsi="Arial" w:cs="Arial"/>
                <w:sz w:val="20"/>
                <w:szCs w:val="20"/>
                <w:lang w:eastAsia="pt-BR"/>
              </w:rPr>
              <w:t>Espécie</w:t>
            </w:r>
          </w:p>
        </w:tc>
        <w:tc>
          <w:tcPr>
            <w:tcW w:w="1134" w:type="dxa"/>
            <w:tcBorders>
              <w:top w:val="nil"/>
              <w:left w:val="nil"/>
              <w:bottom w:val="single" w:sz="8" w:space="0" w:color="auto"/>
              <w:right w:val="single" w:sz="8" w:space="0" w:color="auto"/>
            </w:tcBorders>
            <w:shd w:val="clear" w:color="auto" w:fill="auto"/>
            <w:vAlign w:val="center"/>
            <w:hideMark/>
          </w:tcPr>
          <w:p w14:paraId="5D3E8A52" w14:textId="77777777" w:rsidR="00054BA2" w:rsidRPr="00FD1551" w:rsidRDefault="00054BA2" w:rsidP="008B12A6">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Caracter</w:t>
            </w:r>
          </w:p>
        </w:tc>
        <w:tc>
          <w:tcPr>
            <w:tcW w:w="1276" w:type="dxa"/>
            <w:tcBorders>
              <w:top w:val="nil"/>
              <w:left w:val="nil"/>
              <w:bottom w:val="single" w:sz="8" w:space="0" w:color="auto"/>
              <w:right w:val="single" w:sz="8" w:space="0" w:color="auto"/>
            </w:tcBorders>
            <w:shd w:val="clear" w:color="auto" w:fill="auto"/>
            <w:vAlign w:val="center"/>
            <w:hideMark/>
          </w:tcPr>
          <w:p w14:paraId="434D4D45" w14:textId="77777777" w:rsidR="00054BA2" w:rsidRPr="00FD1551" w:rsidRDefault="00054BA2" w:rsidP="008B12A6">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1</w:t>
            </w:r>
          </w:p>
        </w:tc>
        <w:tc>
          <w:tcPr>
            <w:tcW w:w="3260" w:type="dxa"/>
            <w:tcBorders>
              <w:top w:val="nil"/>
              <w:left w:val="nil"/>
              <w:bottom w:val="single" w:sz="8" w:space="0" w:color="auto"/>
              <w:right w:val="single" w:sz="8" w:space="0" w:color="auto"/>
            </w:tcBorders>
            <w:shd w:val="clear" w:color="auto" w:fill="auto"/>
            <w:vAlign w:val="center"/>
            <w:hideMark/>
          </w:tcPr>
          <w:p w14:paraId="079A35F9" w14:textId="77777777" w:rsidR="00054BA2" w:rsidRPr="00FD1551" w:rsidRDefault="00054BA2" w:rsidP="00232F02">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w:t>
            </w:r>
            <w:r>
              <w:rPr>
                <w:rFonts w:ascii="Arial" w:eastAsia="Times New Roman" w:hAnsi="Arial" w:cs="Arial"/>
                <w:sz w:val="20"/>
                <w:szCs w:val="20"/>
                <w:lang w:eastAsia="pt-BR"/>
              </w:rPr>
              <w:t>io</w:t>
            </w:r>
          </w:p>
        </w:tc>
      </w:tr>
      <w:tr w:rsidR="00054BA2" w:rsidRPr="00FD1551" w14:paraId="398278D8" w14:textId="77777777" w:rsidTr="008B12A6">
        <w:trPr>
          <w:trHeight w:val="525"/>
        </w:trPr>
        <w:tc>
          <w:tcPr>
            <w:tcW w:w="3559" w:type="dxa"/>
            <w:tcBorders>
              <w:top w:val="nil"/>
              <w:left w:val="single" w:sz="8" w:space="0" w:color="auto"/>
              <w:bottom w:val="single" w:sz="8" w:space="0" w:color="auto"/>
              <w:right w:val="single" w:sz="8" w:space="0" w:color="auto"/>
            </w:tcBorders>
            <w:shd w:val="clear" w:color="auto" w:fill="auto"/>
            <w:vAlign w:val="center"/>
            <w:hideMark/>
          </w:tcPr>
          <w:p w14:paraId="4530546D" w14:textId="77777777" w:rsidR="00054BA2" w:rsidRPr="00FD1551" w:rsidRDefault="00232F02" w:rsidP="008B12A6">
            <w:pPr>
              <w:spacing w:after="0" w:line="240" w:lineRule="auto"/>
              <w:jc w:val="both"/>
              <w:rPr>
                <w:rFonts w:ascii="Arial" w:eastAsia="Times New Roman" w:hAnsi="Arial" w:cs="Arial"/>
                <w:sz w:val="20"/>
                <w:szCs w:val="20"/>
                <w:lang w:eastAsia="pt-BR"/>
              </w:rPr>
            </w:pPr>
            <w:r>
              <w:rPr>
                <w:rFonts w:ascii="Arial" w:eastAsia="Times New Roman" w:hAnsi="Arial" w:cs="Arial"/>
                <w:sz w:val="20"/>
                <w:szCs w:val="20"/>
                <w:lang w:eastAsia="pt-BR"/>
              </w:rPr>
              <w:t>Rúbrica</w:t>
            </w:r>
          </w:p>
        </w:tc>
        <w:tc>
          <w:tcPr>
            <w:tcW w:w="1134" w:type="dxa"/>
            <w:tcBorders>
              <w:top w:val="nil"/>
              <w:left w:val="nil"/>
              <w:bottom w:val="single" w:sz="8" w:space="0" w:color="auto"/>
              <w:right w:val="single" w:sz="8" w:space="0" w:color="auto"/>
            </w:tcBorders>
            <w:shd w:val="clear" w:color="auto" w:fill="auto"/>
            <w:vAlign w:val="center"/>
            <w:hideMark/>
          </w:tcPr>
          <w:p w14:paraId="6A23BDC6" w14:textId="77777777" w:rsidR="00054BA2" w:rsidRPr="00FD1551" w:rsidRDefault="00054BA2" w:rsidP="008B12A6">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Caracter</w:t>
            </w:r>
          </w:p>
        </w:tc>
        <w:tc>
          <w:tcPr>
            <w:tcW w:w="1276" w:type="dxa"/>
            <w:tcBorders>
              <w:top w:val="nil"/>
              <w:left w:val="nil"/>
              <w:bottom w:val="single" w:sz="8" w:space="0" w:color="auto"/>
              <w:right w:val="single" w:sz="8" w:space="0" w:color="auto"/>
            </w:tcBorders>
            <w:shd w:val="clear" w:color="auto" w:fill="auto"/>
            <w:vAlign w:val="center"/>
            <w:hideMark/>
          </w:tcPr>
          <w:p w14:paraId="78344F82" w14:textId="77777777" w:rsidR="00054BA2" w:rsidRPr="00FD1551" w:rsidRDefault="00054BA2" w:rsidP="008B12A6">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1</w:t>
            </w:r>
          </w:p>
        </w:tc>
        <w:tc>
          <w:tcPr>
            <w:tcW w:w="3260" w:type="dxa"/>
            <w:tcBorders>
              <w:top w:val="nil"/>
              <w:left w:val="nil"/>
              <w:bottom w:val="single" w:sz="8" w:space="0" w:color="auto"/>
              <w:right w:val="single" w:sz="8" w:space="0" w:color="auto"/>
            </w:tcBorders>
            <w:shd w:val="clear" w:color="auto" w:fill="auto"/>
            <w:vAlign w:val="center"/>
            <w:hideMark/>
          </w:tcPr>
          <w:p w14:paraId="09DB34BA" w14:textId="77777777" w:rsidR="00054BA2" w:rsidRPr="00FD1551" w:rsidRDefault="00054BA2" w:rsidP="00232F02">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Obrigatório</w:t>
            </w:r>
          </w:p>
        </w:tc>
      </w:tr>
      <w:tr w:rsidR="00054BA2" w:rsidRPr="00FD1551" w14:paraId="2A4F40DF" w14:textId="77777777" w:rsidTr="008B12A6">
        <w:trPr>
          <w:trHeight w:val="525"/>
        </w:trPr>
        <w:tc>
          <w:tcPr>
            <w:tcW w:w="3559" w:type="dxa"/>
            <w:tcBorders>
              <w:top w:val="nil"/>
              <w:left w:val="single" w:sz="8" w:space="0" w:color="auto"/>
              <w:bottom w:val="single" w:sz="8" w:space="0" w:color="auto"/>
              <w:right w:val="single" w:sz="8" w:space="0" w:color="auto"/>
            </w:tcBorders>
            <w:shd w:val="clear" w:color="auto" w:fill="auto"/>
            <w:vAlign w:val="center"/>
            <w:hideMark/>
          </w:tcPr>
          <w:p w14:paraId="5D62D5ED" w14:textId="77777777" w:rsidR="00054BA2" w:rsidRPr="00FD1551" w:rsidRDefault="00232F02" w:rsidP="008B12A6">
            <w:pPr>
              <w:spacing w:after="0" w:line="240" w:lineRule="auto"/>
              <w:jc w:val="both"/>
              <w:rPr>
                <w:rFonts w:ascii="Arial" w:eastAsia="Times New Roman" w:hAnsi="Arial" w:cs="Arial"/>
                <w:sz w:val="20"/>
                <w:szCs w:val="20"/>
                <w:lang w:eastAsia="pt-BR"/>
              </w:rPr>
            </w:pPr>
            <w:r>
              <w:rPr>
                <w:rFonts w:ascii="Arial" w:eastAsia="Times New Roman" w:hAnsi="Arial" w:cs="Arial"/>
                <w:sz w:val="20"/>
                <w:szCs w:val="20"/>
                <w:lang w:eastAsia="pt-BR"/>
              </w:rPr>
              <w:t>Alínea</w:t>
            </w:r>
          </w:p>
        </w:tc>
        <w:tc>
          <w:tcPr>
            <w:tcW w:w="1134" w:type="dxa"/>
            <w:tcBorders>
              <w:top w:val="nil"/>
              <w:left w:val="nil"/>
              <w:bottom w:val="single" w:sz="8" w:space="0" w:color="auto"/>
              <w:right w:val="single" w:sz="8" w:space="0" w:color="auto"/>
            </w:tcBorders>
            <w:shd w:val="clear" w:color="auto" w:fill="auto"/>
            <w:vAlign w:val="center"/>
            <w:hideMark/>
          </w:tcPr>
          <w:p w14:paraId="33B5CEAC" w14:textId="77777777" w:rsidR="00054BA2" w:rsidRPr="00FD1551" w:rsidRDefault="00054BA2" w:rsidP="008B12A6">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Caracter</w:t>
            </w:r>
          </w:p>
        </w:tc>
        <w:tc>
          <w:tcPr>
            <w:tcW w:w="1276" w:type="dxa"/>
            <w:tcBorders>
              <w:top w:val="nil"/>
              <w:left w:val="nil"/>
              <w:bottom w:val="single" w:sz="8" w:space="0" w:color="auto"/>
              <w:right w:val="single" w:sz="8" w:space="0" w:color="auto"/>
            </w:tcBorders>
            <w:shd w:val="clear" w:color="auto" w:fill="auto"/>
            <w:vAlign w:val="center"/>
            <w:hideMark/>
          </w:tcPr>
          <w:p w14:paraId="60C673B3" w14:textId="77777777" w:rsidR="00054BA2" w:rsidRPr="00FD1551" w:rsidRDefault="00054BA2" w:rsidP="008B12A6">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2</w:t>
            </w:r>
          </w:p>
        </w:tc>
        <w:tc>
          <w:tcPr>
            <w:tcW w:w="3260" w:type="dxa"/>
            <w:tcBorders>
              <w:top w:val="nil"/>
              <w:left w:val="nil"/>
              <w:bottom w:val="single" w:sz="8" w:space="0" w:color="auto"/>
              <w:right w:val="single" w:sz="8" w:space="0" w:color="auto"/>
            </w:tcBorders>
            <w:shd w:val="clear" w:color="auto" w:fill="auto"/>
            <w:vAlign w:val="center"/>
            <w:hideMark/>
          </w:tcPr>
          <w:p w14:paraId="3851845A" w14:textId="77777777" w:rsidR="00054BA2" w:rsidRPr="00FD1551" w:rsidRDefault="00054BA2" w:rsidP="00232F02">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w:t>
            </w:r>
            <w:r>
              <w:rPr>
                <w:rFonts w:ascii="Arial" w:eastAsia="Times New Roman" w:hAnsi="Arial" w:cs="Arial"/>
                <w:sz w:val="20"/>
                <w:szCs w:val="20"/>
                <w:lang w:eastAsia="pt-BR"/>
              </w:rPr>
              <w:t>io</w:t>
            </w:r>
          </w:p>
        </w:tc>
      </w:tr>
      <w:tr w:rsidR="00054BA2" w:rsidRPr="00FD1551" w14:paraId="3A16DAE8" w14:textId="77777777" w:rsidTr="008B12A6">
        <w:trPr>
          <w:trHeight w:val="525"/>
        </w:trPr>
        <w:tc>
          <w:tcPr>
            <w:tcW w:w="3559" w:type="dxa"/>
            <w:tcBorders>
              <w:top w:val="nil"/>
              <w:left w:val="single" w:sz="8" w:space="0" w:color="auto"/>
              <w:bottom w:val="single" w:sz="8" w:space="0" w:color="auto"/>
              <w:right w:val="single" w:sz="8" w:space="0" w:color="auto"/>
            </w:tcBorders>
            <w:shd w:val="clear" w:color="auto" w:fill="auto"/>
            <w:vAlign w:val="center"/>
            <w:hideMark/>
          </w:tcPr>
          <w:p w14:paraId="3D786C20" w14:textId="77777777" w:rsidR="00054BA2" w:rsidRPr="00FD1551" w:rsidRDefault="00232F02" w:rsidP="008B12A6">
            <w:pPr>
              <w:spacing w:after="0" w:line="240" w:lineRule="auto"/>
              <w:jc w:val="both"/>
              <w:rPr>
                <w:rFonts w:ascii="Arial" w:eastAsia="Times New Roman" w:hAnsi="Arial" w:cs="Arial"/>
                <w:sz w:val="20"/>
                <w:szCs w:val="20"/>
                <w:lang w:eastAsia="pt-BR"/>
              </w:rPr>
            </w:pPr>
            <w:r>
              <w:rPr>
                <w:rFonts w:ascii="Arial" w:eastAsia="Times New Roman" w:hAnsi="Arial" w:cs="Arial"/>
                <w:sz w:val="20"/>
                <w:szCs w:val="20"/>
                <w:lang w:eastAsia="pt-BR"/>
              </w:rPr>
              <w:t>SubAlínea</w:t>
            </w:r>
          </w:p>
        </w:tc>
        <w:tc>
          <w:tcPr>
            <w:tcW w:w="1134" w:type="dxa"/>
            <w:tcBorders>
              <w:top w:val="nil"/>
              <w:left w:val="nil"/>
              <w:bottom w:val="single" w:sz="8" w:space="0" w:color="auto"/>
              <w:right w:val="single" w:sz="8" w:space="0" w:color="auto"/>
            </w:tcBorders>
            <w:shd w:val="clear" w:color="auto" w:fill="auto"/>
            <w:vAlign w:val="center"/>
            <w:hideMark/>
          </w:tcPr>
          <w:p w14:paraId="4FD8DB8B" w14:textId="77777777" w:rsidR="00054BA2" w:rsidRPr="00FD1551" w:rsidRDefault="00054BA2" w:rsidP="008B12A6">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Caracter</w:t>
            </w:r>
          </w:p>
        </w:tc>
        <w:tc>
          <w:tcPr>
            <w:tcW w:w="1276" w:type="dxa"/>
            <w:tcBorders>
              <w:top w:val="nil"/>
              <w:left w:val="nil"/>
              <w:bottom w:val="single" w:sz="8" w:space="0" w:color="auto"/>
              <w:right w:val="single" w:sz="8" w:space="0" w:color="auto"/>
            </w:tcBorders>
            <w:shd w:val="clear" w:color="auto" w:fill="auto"/>
            <w:vAlign w:val="center"/>
            <w:hideMark/>
          </w:tcPr>
          <w:p w14:paraId="4D6B4E1E" w14:textId="77777777" w:rsidR="00054BA2" w:rsidRPr="00FD1551" w:rsidRDefault="00232F02" w:rsidP="008B12A6">
            <w:pPr>
              <w:spacing w:after="0" w:line="240" w:lineRule="auto"/>
              <w:jc w:val="center"/>
              <w:rPr>
                <w:rFonts w:ascii="Arial" w:eastAsia="Times New Roman" w:hAnsi="Arial" w:cs="Arial"/>
                <w:sz w:val="20"/>
                <w:szCs w:val="20"/>
                <w:lang w:eastAsia="pt-BR"/>
              </w:rPr>
            </w:pPr>
            <w:r>
              <w:rPr>
                <w:rFonts w:ascii="Arial" w:eastAsia="Times New Roman" w:hAnsi="Arial" w:cs="Arial"/>
                <w:sz w:val="20"/>
                <w:szCs w:val="20"/>
                <w:lang w:eastAsia="pt-BR"/>
              </w:rPr>
              <w:t>2</w:t>
            </w:r>
          </w:p>
        </w:tc>
        <w:tc>
          <w:tcPr>
            <w:tcW w:w="3260" w:type="dxa"/>
            <w:tcBorders>
              <w:top w:val="nil"/>
              <w:left w:val="nil"/>
              <w:bottom w:val="single" w:sz="8" w:space="0" w:color="auto"/>
              <w:right w:val="single" w:sz="8" w:space="0" w:color="auto"/>
            </w:tcBorders>
            <w:shd w:val="clear" w:color="auto" w:fill="auto"/>
            <w:vAlign w:val="center"/>
            <w:hideMark/>
          </w:tcPr>
          <w:p w14:paraId="28A0C0F2" w14:textId="77777777" w:rsidR="00054BA2" w:rsidRPr="00FD1551" w:rsidRDefault="00054BA2" w:rsidP="00232F02">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w:t>
            </w:r>
            <w:r>
              <w:rPr>
                <w:rFonts w:ascii="Arial" w:eastAsia="Times New Roman" w:hAnsi="Arial" w:cs="Arial"/>
                <w:sz w:val="20"/>
                <w:szCs w:val="20"/>
                <w:lang w:eastAsia="pt-BR"/>
              </w:rPr>
              <w:t>io</w:t>
            </w:r>
          </w:p>
        </w:tc>
      </w:tr>
      <w:tr w:rsidR="00054BA2" w:rsidRPr="00FD1551" w14:paraId="6A610E3C" w14:textId="77777777" w:rsidTr="008B12A6">
        <w:trPr>
          <w:trHeight w:val="525"/>
        </w:trPr>
        <w:tc>
          <w:tcPr>
            <w:tcW w:w="3559" w:type="dxa"/>
            <w:tcBorders>
              <w:top w:val="nil"/>
              <w:left w:val="single" w:sz="8" w:space="0" w:color="auto"/>
              <w:bottom w:val="single" w:sz="8" w:space="0" w:color="auto"/>
              <w:right w:val="single" w:sz="8" w:space="0" w:color="auto"/>
            </w:tcBorders>
            <w:shd w:val="clear" w:color="auto" w:fill="auto"/>
            <w:vAlign w:val="center"/>
            <w:hideMark/>
          </w:tcPr>
          <w:p w14:paraId="19D8CBB4" w14:textId="77777777" w:rsidR="00054BA2" w:rsidRPr="00FD1551" w:rsidRDefault="00054BA2" w:rsidP="008B12A6">
            <w:pPr>
              <w:spacing w:after="0" w:line="240" w:lineRule="auto"/>
              <w:jc w:val="both"/>
              <w:rPr>
                <w:rFonts w:ascii="Arial" w:eastAsia="Times New Roman" w:hAnsi="Arial" w:cs="Arial"/>
                <w:sz w:val="20"/>
                <w:szCs w:val="20"/>
                <w:lang w:eastAsia="pt-BR"/>
              </w:rPr>
            </w:pPr>
            <w:r w:rsidRPr="00FD1551">
              <w:rPr>
                <w:rFonts w:ascii="Arial" w:eastAsia="Times New Roman" w:hAnsi="Arial" w:cs="Arial"/>
                <w:sz w:val="20"/>
                <w:szCs w:val="20"/>
                <w:lang w:eastAsia="pt-BR"/>
              </w:rPr>
              <w:t xml:space="preserve">Código do Grupo de Fonte/Destinação de Recursos </w:t>
            </w:r>
          </w:p>
        </w:tc>
        <w:tc>
          <w:tcPr>
            <w:tcW w:w="1134" w:type="dxa"/>
            <w:tcBorders>
              <w:top w:val="nil"/>
              <w:left w:val="nil"/>
              <w:bottom w:val="single" w:sz="8" w:space="0" w:color="auto"/>
              <w:right w:val="single" w:sz="8" w:space="0" w:color="auto"/>
            </w:tcBorders>
            <w:shd w:val="clear" w:color="auto" w:fill="auto"/>
            <w:vAlign w:val="center"/>
            <w:hideMark/>
          </w:tcPr>
          <w:p w14:paraId="2D0B6E91" w14:textId="77777777" w:rsidR="00054BA2" w:rsidRPr="00FD1551" w:rsidRDefault="00054BA2" w:rsidP="008B12A6">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Inteiro</w:t>
            </w:r>
          </w:p>
        </w:tc>
        <w:tc>
          <w:tcPr>
            <w:tcW w:w="1276" w:type="dxa"/>
            <w:tcBorders>
              <w:top w:val="nil"/>
              <w:left w:val="nil"/>
              <w:bottom w:val="single" w:sz="8" w:space="0" w:color="auto"/>
              <w:right w:val="single" w:sz="8" w:space="0" w:color="auto"/>
            </w:tcBorders>
            <w:shd w:val="clear" w:color="auto" w:fill="auto"/>
            <w:vAlign w:val="center"/>
            <w:hideMark/>
          </w:tcPr>
          <w:p w14:paraId="2A9D70AB" w14:textId="77777777" w:rsidR="00054BA2" w:rsidRPr="00FD1551" w:rsidRDefault="00054BA2" w:rsidP="008B12A6">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1</w:t>
            </w:r>
          </w:p>
        </w:tc>
        <w:tc>
          <w:tcPr>
            <w:tcW w:w="3260" w:type="dxa"/>
            <w:tcBorders>
              <w:top w:val="nil"/>
              <w:left w:val="nil"/>
              <w:bottom w:val="single" w:sz="8" w:space="0" w:color="auto"/>
              <w:right w:val="single" w:sz="8" w:space="0" w:color="auto"/>
            </w:tcBorders>
            <w:shd w:val="clear" w:color="auto" w:fill="auto"/>
            <w:vAlign w:val="center"/>
            <w:hideMark/>
          </w:tcPr>
          <w:p w14:paraId="74F8083D" w14:textId="77777777" w:rsidR="00054BA2" w:rsidRPr="00FD1551" w:rsidRDefault="00054BA2" w:rsidP="00232F02">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 xml:space="preserve"> Obrigatório</w:t>
            </w:r>
          </w:p>
        </w:tc>
      </w:tr>
      <w:tr w:rsidR="00232F02" w:rsidRPr="00FD1551" w14:paraId="347B3BC4" w14:textId="77777777" w:rsidTr="008B12A6">
        <w:trPr>
          <w:trHeight w:val="525"/>
        </w:trPr>
        <w:tc>
          <w:tcPr>
            <w:tcW w:w="3559" w:type="dxa"/>
            <w:tcBorders>
              <w:top w:val="nil"/>
              <w:left w:val="single" w:sz="8" w:space="0" w:color="auto"/>
              <w:bottom w:val="single" w:sz="8" w:space="0" w:color="auto"/>
              <w:right w:val="single" w:sz="8" w:space="0" w:color="auto"/>
            </w:tcBorders>
            <w:shd w:val="clear" w:color="auto" w:fill="auto"/>
            <w:vAlign w:val="center"/>
          </w:tcPr>
          <w:p w14:paraId="286BFA3A" w14:textId="77777777" w:rsidR="00232F02" w:rsidRPr="00FD1551" w:rsidRDefault="00232F02" w:rsidP="00232F02">
            <w:pPr>
              <w:spacing w:after="0" w:line="240" w:lineRule="auto"/>
              <w:jc w:val="both"/>
              <w:rPr>
                <w:rFonts w:ascii="Arial" w:eastAsia="Times New Roman" w:hAnsi="Arial" w:cs="Arial"/>
                <w:sz w:val="20"/>
                <w:szCs w:val="20"/>
                <w:lang w:eastAsia="pt-BR"/>
              </w:rPr>
            </w:pPr>
            <w:r>
              <w:rPr>
                <w:rFonts w:ascii="Arial" w:eastAsia="Times New Roman" w:hAnsi="Arial" w:cs="Arial"/>
                <w:sz w:val="20"/>
                <w:szCs w:val="20"/>
                <w:lang w:eastAsia="pt-BR"/>
              </w:rPr>
              <w:t>Identificador de Uso</w:t>
            </w:r>
          </w:p>
        </w:tc>
        <w:tc>
          <w:tcPr>
            <w:tcW w:w="1134" w:type="dxa"/>
            <w:tcBorders>
              <w:top w:val="nil"/>
              <w:left w:val="nil"/>
              <w:bottom w:val="single" w:sz="8" w:space="0" w:color="auto"/>
              <w:right w:val="single" w:sz="8" w:space="0" w:color="auto"/>
            </w:tcBorders>
            <w:shd w:val="clear" w:color="auto" w:fill="auto"/>
            <w:vAlign w:val="center"/>
          </w:tcPr>
          <w:p w14:paraId="516B4229" w14:textId="77777777" w:rsidR="00232F02" w:rsidRPr="00FD1551" w:rsidRDefault="00232F02" w:rsidP="008B12A6">
            <w:pPr>
              <w:spacing w:after="0" w:line="240" w:lineRule="auto"/>
              <w:jc w:val="center"/>
              <w:rPr>
                <w:rFonts w:ascii="Arial" w:eastAsia="Times New Roman" w:hAnsi="Arial" w:cs="Arial"/>
                <w:sz w:val="20"/>
                <w:szCs w:val="20"/>
                <w:lang w:eastAsia="pt-BR"/>
              </w:rPr>
            </w:pPr>
            <w:r>
              <w:rPr>
                <w:rFonts w:ascii="Arial" w:eastAsia="Times New Roman" w:hAnsi="Arial" w:cs="Arial"/>
                <w:sz w:val="20"/>
                <w:szCs w:val="20"/>
                <w:lang w:eastAsia="pt-BR"/>
              </w:rPr>
              <w:t>Caracter</w:t>
            </w:r>
          </w:p>
        </w:tc>
        <w:tc>
          <w:tcPr>
            <w:tcW w:w="1276" w:type="dxa"/>
            <w:tcBorders>
              <w:top w:val="nil"/>
              <w:left w:val="nil"/>
              <w:bottom w:val="single" w:sz="8" w:space="0" w:color="auto"/>
              <w:right w:val="single" w:sz="8" w:space="0" w:color="auto"/>
            </w:tcBorders>
            <w:shd w:val="clear" w:color="auto" w:fill="auto"/>
            <w:vAlign w:val="center"/>
          </w:tcPr>
          <w:p w14:paraId="1AD5F67D" w14:textId="77777777" w:rsidR="00232F02" w:rsidRPr="00FD1551" w:rsidRDefault="00232F02" w:rsidP="008B12A6">
            <w:pPr>
              <w:spacing w:after="0" w:line="240" w:lineRule="auto"/>
              <w:jc w:val="center"/>
              <w:rPr>
                <w:rFonts w:ascii="Arial" w:eastAsia="Times New Roman" w:hAnsi="Arial" w:cs="Arial"/>
                <w:sz w:val="20"/>
                <w:szCs w:val="20"/>
                <w:lang w:eastAsia="pt-BR"/>
              </w:rPr>
            </w:pPr>
            <w:r>
              <w:rPr>
                <w:rFonts w:ascii="Arial" w:eastAsia="Times New Roman" w:hAnsi="Arial" w:cs="Arial"/>
                <w:sz w:val="20"/>
                <w:szCs w:val="20"/>
                <w:lang w:eastAsia="pt-BR"/>
              </w:rPr>
              <w:t>1</w:t>
            </w:r>
          </w:p>
        </w:tc>
        <w:tc>
          <w:tcPr>
            <w:tcW w:w="3260" w:type="dxa"/>
            <w:tcBorders>
              <w:top w:val="nil"/>
              <w:left w:val="nil"/>
              <w:bottom w:val="single" w:sz="8" w:space="0" w:color="auto"/>
              <w:right w:val="single" w:sz="8" w:space="0" w:color="auto"/>
            </w:tcBorders>
            <w:shd w:val="clear" w:color="auto" w:fill="auto"/>
            <w:vAlign w:val="center"/>
          </w:tcPr>
          <w:p w14:paraId="1D5DD9DA" w14:textId="77777777" w:rsidR="00232F02" w:rsidRPr="00FD1551" w:rsidRDefault="00232F02" w:rsidP="008B12A6">
            <w:pPr>
              <w:spacing w:after="0" w:line="240" w:lineRule="auto"/>
              <w:rPr>
                <w:rFonts w:ascii="Arial" w:eastAsia="Times New Roman" w:hAnsi="Arial" w:cs="Arial"/>
                <w:sz w:val="20"/>
                <w:szCs w:val="20"/>
                <w:lang w:eastAsia="pt-BR"/>
              </w:rPr>
            </w:pPr>
            <w:r>
              <w:rPr>
                <w:rFonts w:ascii="Arial" w:eastAsia="Times New Roman" w:hAnsi="Arial" w:cs="Arial"/>
                <w:sz w:val="20"/>
                <w:szCs w:val="20"/>
                <w:lang w:eastAsia="pt-BR"/>
              </w:rPr>
              <w:t>Obrigatório</w:t>
            </w:r>
          </w:p>
        </w:tc>
      </w:tr>
      <w:tr w:rsidR="00054BA2" w:rsidRPr="00FD1551" w14:paraId="31B29EE6" w14:textId="77777777" w:rsidTr="008B12A6">
        <w:trPr>
          <w:trHeight w:val="525"/>
        </w:trPr>
        <w:tc>
          <w:tcPr>
            <w:tcW w:w="3559" w:type="dxa"/>
            <w:tcBorders>
              <w:top w:val="nil"/>
              <w:left w:val="single" w:sz="8" w:space="0" w:color="auto"/>
              <w:bottom w:val="single" w:sz="8" w:space="0" w:color="auto"/>
              <w:right w:val="single" w:sz="8" w:space="0" w:color="auto"/>
            </w:tcBorders>
            <w:shd w:val="clear" w:color="auto" w:fill="auto"/>
            <w:vAlign w:val="center"/>
            <w:hideMark/>
          </w:tcPr>
          <w:p w14:paraId="76B09130" w14:textId="77777777" w:rsidR="00054BA2" w:rsidRPr="00FD1551" w:rsidRDefault="00054BA2" w:rsidP="00232F02">
            <w:pPr>
              <w:spacing w:after="0" w:line="240" w:lineRule="auto"/>
              <w:jc w:val="both"/>
              <w:rPr>
                <w:rFonts w:ascii="Arial" w:eastAsia="Times New Roman" w:hAnsi="Arial" w:cs="Arial"/>
                <w:sz w:val="20"/>
                <w:szCs w:val="20"/>
                <w:lang w:eastAsia="pt-BR"/>
              </w:rPr>
            </w:pPr>
            <w:r w:rsidRPr="00FD1551">
              <w:rPr>
                <w:rFonts w:ascii="Arial" w:eastAsia="Times New Roman" w:hAnsi="Arial" w:cs="Arial"/>
                <w:sz w:val="20"/>
                <w:szCs w:val="20"/>
                <w:lang w:eastAsia="pt-BR"/>
              </w:rPr>
              <w:t>Código da especificação da fonte/destinação de recursos</w:t>
            </w:r>
          </w:p>
        </w:tc>
        <w:tc>
          <w:tcPr>
            <w:tcW w:w="1134" w:type="dxa"/>
            <w:tcBorders>
              <w:top w:val="nil"/>
              <w:left w:val="nil"/>
              <w:bottom w:val="single" w:sz="8" w:space="0" w:color="auto"/>
              <w:right w:val="single" w:sz="8" w:space="0" w:color="auto"/>
            </w:tcBorders>
            <w:shd w:val="clear" w:color="auto" w:fill="auto"/>
            <w:vAlign w:val="center"/>
            <w:hideMark/>
          </w:tcPr>
          <w:p w14:paraId="6EBEC71C" w14:textId="77777777" w:rsidR="00054BA2" w:rsidRPr="00FD1551" w:rsidRDefault="00054BA2" w:rsidP="008B12A6">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Caracter</w:t>
            </w:r>
          </w:p>
        </w:tc>
        <w:tc>
          <w:tcPr>
            <w:tcW w:w="1276" w:type="dxa"/>
            <w:tcBorders>
              <w:top w:val="nil"/>
              <w:left w:val="nil"/>
              <w:bottom w:val="single" w:sz="8" w:space="0" w:color="auto"/>
              <w:right w:val="single" w:sz="8" w:space="0" w:color="auto"/>
            </w:tcBorders>
            <w:shd w:val="clear" w:color="auto" w:fill="auto"/>
            <w:vAlign w:val="center"/>
            <w:hideMark/>
          </w:tcPr>
          <w:p w14:paraId="27E973EF" w14:textId="77777777" w:rsidR="00054BA2" w:rsidRPr="00FD1551" w:rsidRDefault="00054BA2" w:rsidP="008B12A6">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3</w:t>
            </w:r>
          </w:p>
        </w:tc>
        <w:tc>
          <w:tcPr>
            <w:tcW w:w="3260" w:type="dxa"/>
            <w:tcBorders>
              <w:top w:val="nil"/>
              <w:left w:val="nil"/>
              <w:bottom w:val="single" w:sz="8" w:space="0" w:color="auto"/>
              <w:right w:val="single" w:sz="8" w:space="0" w:color="auto"/>
            </w:tcBorders>
            <w:shd w:val="clear" w:color="auto" w:fill="auto"/>
            <w:vAlign w:val="center"/>
            <w:hideMark/>
          </w:tcPr>
          <w:p w14:paraId="42116DEB" w14:textId="77777777" w:rsidR="00054BA2" w:rsidRPr="00FD1551" w:rsidRDefault="00054BA2" w:rsidP="00232F02">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Obrigatório</w:t>
            </w:r>
          </w:p>
        </w:tc>
      </w:tr>
      <w:tr w:rsidR="00054BA2" w:rsidRPr="00FD1551" w14:paraId="4725BA20" w14:textId="77777777" w:rsidTr="008B12A6">
        <w:trPr>
          <w:trHeight w:val="780"/>
        </w:trPr>
        <w:tc>
          <w:tcPr>
            <w:tcW w:w="3559" w:type="dxa"/>
            <w:tcBorders>
              <w:top w:val="nil"/>
              <w:left w:val="single" w:sz="8" w:space="0" w:color="auto"/>
              <w:bottom w:val="single" w:sz="8" w:space="0" w:color="auto"/>
              <w:right w:val="single" w:sz="8" w:space="0" w:color="auto"/>
            </w:tcBorders>
            <w:shd w:val="clear" w:color="auto" w:fill="auto"/>
            <w:vAlign w:val="center"/>
            <w:hideMark/>
          </w:tcPr>
          <w:p w14:paraId="2C869ED2" w14:textId="77777777" w:rsidR="00054BA2" w:rsidRPr="00FD1551" w:rsidRDefault="00054BA2" w:rsidP="00232F02">
            <w:pPr>
              <w:spacing w:after="0" w:line="240" w:lineRule="auto"/>
              <w:jc w:val="both"/>
              <w:rPr>
                <w:rFonts w:ascii="Arial" w:eastAsia="Times New Roman" w:hAnsi="Arial" w:cs="Arial"/>
                <w:sz w:val="20"/>
                <w:szCs w:val="20"/>
                <w:lang w:eastAsia="pt-BR"/>
              </w:rPr>
            </w:pPr>
            <w:r w:rsidRPr="00FD1551">
              <w:rPr>
                <w:rFonts w:ascii="Arial" w:eastAsia="Times New Roman" w:hAnsi="Arial" w:cs="Arial"/>
                <w:sz w:val="20"/>
                <w:szCs w:val="20"/>
                <w:lang w:eastAsia="pt-BR"/>
              </w:rPr>
              <w:t>Código da especificação/detalhamento da destinação de recursos</w:t>
            </w:r>
          </w:p>
        </w:tc>
        <w:tc>
          <w:tcPr>
            <w:tcW w:w="1134" w:type="dxa"/>
            <w:tcBorders>
              <w:top w:val="nil"/>
              <w:left w:val="nil"/>
              <w:bottom w:val="single" w:sz="8" w:space="0" w:color="auto"/>
              <w:right w:val="single" w:sz="8" w:space="0" w:color="auto"/>
            </w:tcBorders>
            <w:shd w:val="clear" w:color="auto" w:fill="auto"/>
            <w:vAlign w:val="center"/>
            <w:hideMark/>
          </w:tcPr>
          <w:p w14:paraId="438799C8" w14:textId="77777777" w:rsidR="00054BA2" w:rsidRPr="00FD1551" w:rsidRDefault="00054BA2" w:rsidP="008B12A6">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Caracter</w:t>
            </w:r>
          </w:p>
        </w:tc>
        <w:tc>
          <w:tcPr>
            <w:tcW w:w="1276" w:type="dxa"/>
            <w:tcBorders>
              <w:top w:val="nil"/>
              <w:left w:val="nil"/>
              <w:bottom w:val="single" w:sz="8" w:space="0" w:color="auto"/>
              <w:right w:val="single" w:sz="8" w:space="0" w:color="auto"/>
            </w:tcBorders>
            <w:shd w:val="clear" w:color="auto" w:fill="auto"/>
            <w:vAlign w:val="center"/>
            <w:hideMark/>
          </w:tcPr>
          <w:p w14:paraId="4423700A" w14:textId="77777777" w:rsidR="00054BA2" w:rsidRPr="00FD1551" w:rsidRDefault="00232F02" w:rsidP="008B12A6">
            <w:pPr>
              <w:spacing w:after="0" w:line="240" w:lineRule="auto"/>
              <w:jc w:val="center"/>
              <w:rPr>
                <w:rFonts w:ascii="Arial" w:eastAsia="Times New Roman" w:hAnsi="Arial" w:cs="Arial"/>
                <w:sz w:val="20"/>
                <w:szCs w:val="20"/>
                <w:lang w:eastAsia="pt-BR"/>
              </w:rPr>
            </w:pPr>
            <w:r>
              <w:rPr>
                <w:rFonts w:ascii="Arial" w:eastAsia="Times New Roman" w:hAnsi="Arial" w:cs="Arial"/>
                <w:sz w:val="20"/>
                <w:szCs w:val="20"/>
                <w:lang w:eastAsia="pt-BR"/>
              </w:rPr>
              <w:t>6</w:t>
            </w:r>
          </w:p>
        </w:tc>
        <w:tc>
          <w:tcPr>
            <w:tcW w:w="3260" w:type="dxa"/>
            <w:tcBorders>
              <w:top w:val="nil"/>
              <w:left w:val="nil"/>
              <w:bottom w:val="single" w:sz="8" w:space="0" w:color="auto"/>
              <w:right w:val="single" w:sz="8" w:space="0" w:color="auto"/>
            </w:tcBorders>
            <w:shd w:val="clear" w:color="auto" w:fill="auto"/>
            <w:vAlign w:val="center"/>
            <w:hideMark/>
          </w:tcPr>
          <w:p w14:paraId="1E8DF611" w14:textId="77777777" w:rsidR="00054BA2" w:rsidRPr="00FD1551" w:rsidRDefault="00054BA2" w:rsidP="00232F02">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Obrigatório</w:t>
            </w:r>
          </w:p>
        </w:tc>
      </w:tr>
      <w:tr w:rsidR="00054BA2" w:rsidRPr="00FD1551" w14:paraId="6142DD0E" w14:textId="77777777" w:rsidTr="008B12A6">
        <w:trPr>
          <w:trHeight w:val="780"/>
        </w:trPr>
        <w:tc>
          <w:tcPr>
            <w:tcW w:w="3559" w:type="dxa"/>
            <w:tcBorders>
              <w:top w:val="nil"/>
              <w:left w:val="single" w:sz="8" w:space="0" w:color="auto"/>
              <w:bottom w:val="single" w:sz="8" w:space="0" w:color="auto"/>
              <w:right w:val="single" w:sz="8" w:space="0" w:color="auto"/>
            </w:tcBorders>
            <w:shd w:val="clear" w:color="auto" w:fill="auto"/>
            <w:vAlign w:val="center"/>
          </w:tcPr>
          <w:p w14:paraId="0D623033" w14:textId="77777777" w:rsidR="00054BA2" w:rsidRPr="00984E83" w:rsidRDefault="00232F02" w:rsidP="00232F02">
            <w:pPr>
              <w:spacing w:after="0" w:line="240" w:lineRule="auto"/>
              <w:jc w:val="both"/>
              <w:rPr>
                <w:rFonts w:ascii="Arial" w:eastAsia="Times New Roman" w:hAnsi="Arial" w:cs="Arial"/>
                <w:sz w:val="20"/>
                <w:szCs w:val="20"/>
                <w:lang w:eastAsia="pt-BR"/>
              </w:rPr>
            </w:pPr>
            <w:r w:rsidRPr="00984E83">
              <w:rPr>
                <w:rFonts w:ascii="Arial" w:eastAsia="Times New Roman" w:hAnsi="Arial" w:cs="Arial"/>
                <w:sz w:val="20"/>
                <w:szCs w:val="20"/>
                <w:lang w:eastAsia="pt-BR"/>
              </w:rPr>
              <w:t>Tipo de Receita</w:t>
            </w:r>
          </w:p>
        </w:tc>
        <w:tc>
          <w:tcPr>
            <w:tcW w:w="1134" w:type="dxa"/>
            <w:tcBorders>
              <w:top w:val="nil"/>
              <w:left w:val="nil"/>
              <w:bottom w:val="single" w:sz="8" w:space="0" w:color="auto"/>
              <w:right w:val="single" w:sz="8" w:space="0" w:color="auto"/>
            </w:tcBorders>
            <w:shd w:val="clear" w:color="auto" w:fill="auto"/>
            <w:vAlign w:val="center"/>
          </w:tcPr>
          <w:p w14:paraId="0ADFCE73" w14:textId="77777777" w:rsidR="00054BA2" w:rsidRPr="00984E83" w:rsidRDefault="00054BA2" w:rsidP="008B12A6">
            <w:pPr>
              <w:spacing w:after="0" w:line="240" w:lineRule="auto"/>
              <w:jc w:val="center"/>
              <w:rPr>
                <w:rFonts w:ascii="Arial" w:eastAsia="Times New Roman" w:hAnsi="Arial" w:cs="Arial"/>
                <w:sz w:val="20"/>
                <w:szCs w:val="20"/>
                <w:lang w:eastAsia="pt-BR"/>
              </w:rPr>
            </w:pPr>
            <w:r w:rsidRPr="00984E83">
              <w:rPr>
                <w:rFonts w:ascii="Arial" w:eastAsia="Times New Roman" w:hAnsi="Arial" w:cs="Arial"/>
                <w:sz w:val="20"/>
                <w:szCs w:val="20"/>
                <w:lang w:eastAsia="pt-BR"/>
              </w:rPr>
              <w:t>Inteiro</w:t>
            </w:r>
          </w:p>
        </w:tc>
        <w:tc>
          <w:tcPr>
            <w:tcW w:w="1276" w:type="dxa"/>
            <w:tcBorders>
              <w:top w:val="nil"/>
              <w:left w:val="nil"/>
              <w:bottom w:val="single" w:sz="8" w:space="0" w:color="auto"/>
              <w:right w:val="single" w:sz="8" w:space="0" w:color="auto"/>
            </w:tcBorders>
            <w:shd w:val="clear" w:color="auto" w:fill="auto"/>
            <w:vAlign w:val="center"/>
          </w:tcPr>
          <w:p w14:paraId="46FFD4EA" w14:textId="77777777" w:rsidR="00054BA2" w:rsidRPr="00984E83" w:rsidRDefault="00054BA2" w:rsidP="008B12A6">
            <w:pPr>
              <w:spacing w:after="0" w:line="240" w:lineRule="auto"/>
              <w:jc w:val="center"/>
              <w:rPr>
                <w:rFonts w:ascii="Arial" w:eastAsia="Times New Roman" w:hAnsi="Arial" w:cs="Arial"/>
                <w:sz w:val="20"/>
                <w:szCs w:val="20"/>
                <w:lang w:eastAsia="pt-BR"/>
              </w:rPr>
            </w:pPr>
            <w:r w:rsidRPr="00984E83">
              <w:rPr>
                <w:rFonts w:ascii="Arial" w:eastAsia="Times New Roman" w:hAnsi="Arial" w:cs="Arial"/>
                <w:sz w:val="20"/>
                <w:szCs w:val="20"/>
                <w:lang w:eastAsia="pt-BR"/>
              </w:rPr>
              <w:t>1</w:t>
            </w:r>
          </w:p>
        </w:tc>
        <w:tc>
          <w:tcPr>
            <w:tcW w:w="3260" w:type="dxa"/>
            <w:tcBorders>
              <w:top w:val="nil"/>
              <w:left w:val="nil"/>
              <w:bottom w:val="single" w:sz="8" w:space="0" w:color="auto"/>
              <w:right w:val="single" w:sz="8" w:space="0" w:color="auto"/>
            </w:tcBorders>
            <w:shd w:val="clear" w:color="auto" w:fill="auto"/>
            <w:vAlign w:val="center"/>
          </w:tcPr>
          <w:p w14:paraId="5F97E541" w14:textId="77777777" w:rsidR="00054BA2" w:rsidRPr="00984E83" w:rsidRDefault="00232F02" w:rsidP="00AE677F">
            <w:pPr>
              <w:spacing w:after="0" w:line="240" w:lineRule="auto"/>
              <w:rPr>
                <w:rFonts w:ascii="Arial" w:eastAsia="Times New Roman" w:hAnsi="Arial" w:cs="Arial"/>
                <w:sz w:val="20"/>
                <w:szCs w:val="20"/>
                <w:lang w:eastAsia="pt-BR"/>
              </w:rPr>
            </w:pPr>
            <w:r w:rsidRPr="00984E83">
              <w:rPr>
                <w:rFonts w:ascii="Arial" w:eastAsia="Times New Roman" w:hAnsi="Arial" w:cs="Arial"/>
                <w:sz w:val="20"/>
                <w:szCs w:val="20"/>
                <w:lang w:eastAsia="pt-BR"/>
              </w:rPr>
              <w:t xml:space="preserve">Obrigatório. 1 – Receita Líquida; 2 – Renúncia de Receitas; 3 – Restituição  de Receitas; 4 – Descontos Concedidos; 5 – Transferência aos Municípios; 6 – FUNDEB; </w:t>
            </w:r>
            <w:r w:rsidR="00AE677F">
              <w:rPr>
                <w:rFonts w:ascii="Arial" w:eastAsia="Times New Roman" w:hAnsi="Arial" w:cs="Arial"/>
                <w:sz w:val="20"/>
                <w:szCs w:val="20"/>
                <w:lang w:eastAsia="pt-BR"/>
              </w:rPr>
              <w:t>7</w:t>
            </w:r>
            <w:r w:rsidRPr="00984E83">
              <w:rPr>
                <w:rFonts w:ascii="Arial" w:eastAsia="Times New Roman" w:hAnsi="Arial" w:cs="Arial"/>
                <w:sz w:val="20"/>
                <w:szCs w:val="20"/>
                <w:lang w:eastAsia="pt-BR"/>
              </w:rPr>
              <w:t xml:space="preserve"> – Retificações; </w:t>
            </w:r>
            <w:r w:rsidR="00AE677F">
              <w:rPr>
                <w:rFonts w:ascii="Arial" w:eastAsia="Times New Roman" w:hAnsi="Arial" w:cs="Arial"/>
                <w:sz w:val="20"/>
                <w:szCs w:val="20"/>
                <w:lang w:eastAsia="pt-BR"/>
              </w:rPr>
              <w:t>8</w:t>
            </w:r>
            <w:r w:rsidRPr="00984E83">
              <w:rPr>
                <w:rFonts w:ascii="Arial" w:eastAsia="Times New Roman" w:hAnsi="Arial" w:cs="Arial"/>
                <w:sz w:val="20"/>
                <w:szCs w:val="20"/>
                <w:lang w:eastAsia="pt-BR"/>
              </w:rPr>
              <w:t xml:space="preserve"> – Outras Deduções</w:t>
            </w:r>
          </w:p>
        </w:tc>
      </w:tr>
      <w:tr w:rsidR="00054BA2" w:rsidRPr="00FD1551" w14:paraId="6C1697AA" w14:textId="77777777" w:rsidTr="008B12A6">
        <w:trPr>
          <w:trHeight w:val="315"/>
        </w:trPr>
        <w:tc>
          <w:tcPr>
            <w:tcW w:w="3559" w:type="dxa"/>
            <w:tcBorders>
              <w:top w:val="nil"/>
              <w:left w:val="single" w:sz="8" w:space="0" w:color="auto"/>
              <w:bottom w:val="single" w:sz="8" w:space="0" w:color="auto"/>
              <w:right w:val="single" w:sz="8" w:space="0" w:color="auto"/>
            </w:tcBorders>
            <w:shd w:val="clear" w:color="auto" w:fill="auto"/>
            <w:vAlign w:val="center"/>
            <w:hideMark/>
          </w:tcPr>
          <w:p w14:paraId="5D27583F" w14:textId="77777777" w:rsidR="00054BA2" w:rsidRPr="00FD1551" w:rsidRDefault="00054BA2" w:rsidP="00225E45">
            <w:pPr>
              <w:spacing w:after="0" w:line="240" w:lineRule="auto"/>
              <w:jc w:val="both"/>
              <w:rPr>
                <w:rFonts w:ascii="Arial" w:eastAsia="Times New Roman" w:hAnsi="Arial" w:cs="Arial"/>
                <w:sz w:val="20"/>
                <w:szCs w:val="20"/>
                <w:lang w:eastAsia="pt-BR"/>
              </w:rPr>
            </w:pPr>
            <w:r w:rsidRPr="00FD1551">
              <w:rPr>
                <w:rFonts w:ascii="Arial" w:eastAsia="Times New Roman" w:hAnsi="Arial" w:cs="Arial"/>
                <w:sz w:val="20"/>
                <w:szCs w:val="20"/>
                <w:lang w:eastAsia="pt-BR"/>
              </w:rPr>
              <w:t xml:space="preserve">Previsao Inicial </w:t>
            </w:r>
            <w:r w:rsidRPr="00984E83">
              <w:rPr>
                <w:rFonts w:ascii="Arial" w:eastAsia="Times New Roman" w:hAnsi="Arial" w:cs="Arial"/>
                <w:b/>
                <w:sz w:val="20"/>
                <w:szCs w:val="20"/>
                <w:vertAlign w:val="superscript"/>
                <w:lang w:eastAsia="pt-BR"/>
              </w:rPr>
              <w:t>[</w:t>
            </w:r>
            <w:r w:rsidR="00225E45">
              <w:rPr>
                <w:rFonts w:ascii="Arial" w:eastAsia="Times New Roman" w:hAnsi="Arial" w:cs="Arial"/>
                <w:b/>
                <w:sz w:val="20"/>
                <w:szCs w:val="20"/>
                <w:vertAlign w:val="superscript"/>
                <w:lang w:eastAsia="pt-BR"/>
              </w:rPr>
              <w:t>1</w:t>
            </w:r>
            <w:r w:rsidRPr="00984E83">
              <w:rPr>
                <w:rFonts w:ascii="Arial" w:eastAsia="Times New Roman" w:hAnsi="Arial" w:cs="Arial"/>
                <w:b/>
                <w:sz w:val="20"/>
                <w:szCs w:val="20"/>
                <w:vertAlign w:val="superscript"/>
                <w:lang w:eastAsia="pt-BR"/>
              </w:rPr>
              <w:t>]</w:t>
            </w:r>
          </w:p>
        </w:tc>
        <w:tc>
          <w:tcPr>
            <w:tcW w:w="1134" w:type="dxa"/>
            <w:tcBorders>
              <w:top w:val="nil"/>
              <w:left w:val="nil"/>
              <w:bottom w:val="single" w:sz="8" w:space="0" w:color="auto"/>
              <w:right w:val="single" w:sz="8" w:space="0" w:color="auto"/>
            </w:tcBorders>
            <w:shd w:val="clear" w:color="auto" w:fill="auto"/>
            <w:vAlign w:val="center"/>
            <w:hideMark/>
          </w:tcPr>
          <w:p w14:paraId="497153E2" w14:textId="77777777" w:rsidR="00054BA2" w:rsidRPr="00FD1551" w:rsidRDefault="00054BA2" w:rsidP="008B12A6">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Decimal</w:t>
            </w:r>
          </w:p>
        </w:tc>
        <w:tc>
          <w:tcPr>
            <w:tcW w:w="1276" w:type="dxa"/>
            <w:tcBorders>
              <w:top w:val="nil"/>
              <w:left w:val="nil"/>
              <w:bottom w:val="single" w:sz="8" w:space="0" w:color="auto"/>
              <w:right w:val="single" w:sz="8" w:space="0" w:color="auto"/>
            </w:tcBorders>
            <w:shd w:val="clear" w:color="auto" w:fill="auto"/>
            <w:vAlign w:val="center"/>
            <w:hideMark/>
          </w:tcPr>
          <w:p w14:paraId="1BABEDA1" w14:textId="77777777" w:rsidR="00054BA2" w:rsidRPr="00FD1551" w:rsidRDefault="00054BA2" w:rsidP="008B12A6">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14,2</w:t>
            </w:r>
          </w:p>
        </w:tc>
        <w:tc>
          <w:tcPr>
            <w:tcW w:w="3260" w:type="dxa"/>
            <w:tcBorders>
              <w:top w:val="nil"/>
              <w:left w:val="nil"/>
              <w:bottom w:val="single" w:sz="8" w:space="0" w:color="auto"/>
              <w:right w:val="single" w:sz="8" w:space="0" w:color="auto"/>
            </w:tcBorders>
            <w:shd w:val="clear" w:color="auto" w:fill="auto"/>
            <w:vAlign w:val="center"/>
            <w:hideMark/>
          </w:tcPr>
          <w:p w14:paraId="2DC7FBE0" w14:textId="77777777" w:rsidR="00054BA2" w:rsidRPr="00FD1551" w:rsidRDefault="00054BA2" w:rsidP="008B12A6">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Obrigatório</w:t>
            </w:r>
          </w:p>
        </w:tc>
      </w:tr>
      <w:tr w:rsidR="00054BA2" w:rsidRPr="00FD1551" w14:paraId="32563B1B" w14:textId="77777777" w:rsidTr="008B12A6">
        <w:trPr>
          <w:trHeight w:val="315"/>
        </w:trPr>
        <w:tc>
          <w:tcPr>
            <w:tcW w:w="3559" w:type="dxa"/>
            <w:tcBorders>
              <w:top w:val="nil"/>
              <w:left w:val="single" w:sz="8" w:space="0" w:color="auto"/>
              <w:bottom w:val="single" w:sz="8" w:space="0" w:color="auto"/>
              <w:right w:val="single" w:sz="8" w:space="0" w:color="auto"/>
            </w:tcBorders>
            <w:shd w:val="clear" w:color="auto" w:fill="auto"/>
            <w:vAlign w:val="center"/>
            <w:hideMark/>
          </w:tcPr>
          <w:p w14:paraId="39C5460D" w14:textId="77777777" w:rsidR="00054BA2" w:rsidRPr="00FD1551" w:rsidRDefault="00054BA2" w:rsidP="00225E45">
            <w:pPr>
              <w:spacing w:after="0" w:line="240" w:lineRule="auto"/>
              <w:jc w:val="both"/>
              <w:rPr>
                <w:rFonts w:ascii="Arial" w:eastAsia="Times New Roman" w:hAnsi="Arial" w:cs="Arial"/>
                <w:sz w:val="20"/>
                <w:szCs w:val="20"/>
                <w:lang w:eastAsia="pt-BR"/>
              </w:rPr>
            </w:pPr>
            <w:r w:rsidRPr="00FD1551">
              <w:rPr>
                <w:rFonts w:ascii="Arial" w:eastAsia="Times New Roman" w:hAnsi="Arial" w:cs="Arial"/>
                <w:sz w:val="20"/>
                <w:szCs w:val="20"/>
                <w:lang w:eastAsia="pt-BR"/>
              </w:rPr>
              <w:t xml:space="preserve">Previsão Atualizada </w:t>
            </w:r>
            <w:r w:rsidRPr="00984E83">
              <w:rPr>
                <w:rFonts w:ascii="Arial" w:eastAsia="Times New Roman" w:hAnsi="Arial" w:cs="Arial"/>
                <w:b/>
                <w:sz w:val="20"/>
                <w:szCs w:val="20"/>
                <w:vertAlign w:val="superscript"/>
                <w:lang w:eastAsia="pt-BR"/>
              </w:rPr>
              <w:t>[</w:t>
            </w:r>
            <w:r w:rsidR="00225E45">
              <w:rPr>
                <w:rFonts w:ascii="Arial" w:eastAsia="Times New Roman" w:hAnsi="Arial" w:cs="Arial"/>
                <w:b/>
                <w:sz w:val="20"/>
                <w:szCs w:val="20"/>
                <w:vertAlign w:val="superscript"/>
                <w:lang w:eastAsia="pt-BR"/>
              </w:rPr>
              <w:t>2</w:t>
            </w:r>
            <w:r w:rsidRPr="00984E83">
              <w:rPr>
                <w:rFonts w:ascii="Arial" w:eastAsia="Times New Roman" w:hAnsi="Arial" w:cs="Arial"/>
                <w:b/>
                <w:sz w:val="20"/>
                <w:szCs w:val="20"/>
                <w:vertAlign w:val="superscript"/>
                <w:lang w:eastAsia="pt-BR"/>
              </w:rPr>
              <w:t>]</w:t>
            </w:r>
          </w:p>
        </w:tc>
        <w:tc>
          <w:tcPr>
            <w:tcW w:w="1134" w:type="dxa"/>
            <w:tcBorders>
              <w:top w:val="nil"/>
              <w:left w:val="nil"/>
              <w:bottom w:val="single" w:sz="8" w:space="0" w:color="auto"/>
              <w:right w:val="single" w:sz="8" w:space="0" w:color="auto"/>
            </w:tcBorders>
            <w:shd w:val="clear" w:color="auto" w:fill="auto"/>
            <w:vAlign w:val="center"/>
            <w:hideMark/>
          </w:tcPr>
          <w:p w14:paraId="601D2CC6" w14:textId="77777777" w:rsidR="00054BA2" w:rsidRPr="00FD1551" w:rsidRDefault="00054BA2" w:rsidP="008B12A6">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Decimal</w:t>
            </w:r>
          </w:p>
        </w:tc>
        <w:tc>
          <w:tcPr>
            <w:tcW w:w="1276" w:type="dxa"/>
            <w:tcBorders>
              <w:top w:val="nil"/>
              <w:left w:val="nil"/>
              <w:bottom w:val="single" w:sz="8" w:space="0" w:color="auto"/>
              <w:right w:val="single" w:sz="8" w:space="0" w:color="auto"/>
            </w:tcBorders>
            <w:shd w:val="clear" w:color="auto" w:fill="auto"/>
            <w:vAlign w:val="center"/>
            <w:hideMark/>
          </w:tcPr>
          <w:p w14:paraId="5A4B8FC7" w14:textId="77777777" w:rsidR="00054BA2" w:rsidRPr="00FD1551" w:rsidRDefault="00054BA2" w:rsidP="008B12A6">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14,2</w:t>
            </w:r>
          </w:p>
        </w:tc>
        <w:tc>
          <w:tcPr>
            <w:tcW w:w="3260" w:type="dxa"/>
            <w:tcBorders>
              <w:top w:val="nil"/>
              <w:left w:val="nil"/>
              <w:bottom w:val="single" w:sz="8" w:space="0" w:color="auto"/>
              <w:right w:val="single" w:sz="8" w:space="0" w:color="auto"/>
            </w:tcBorders>
            <w:shd w:val="clear" w:color="auto" w:fill="auto"/>
            <w:vAlign w:val="center"/>
            <w:hideMark/>
          </w:tcPr>
          <w:p w14:paraId="1FD7BC0E" w14:textId="77777777" w:rsidR="00054BA2" w:rsidRPr="00FD1551" w:rsidRDefault="00054BA2" w:rsidP="008B12A6">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Obrigatório</w:t>
            </w:r>
          </w:p>
        </w:tc>
      </w:tr>
      <w:tr w:rsidR="00054BA2" w:rsidRPr="00FD1551" w14:paraId="5320EE2F" w14:textId="77777777" w:rsidTr="008B12A6">
        <w:trPr>
          <w:trHeight w:val="315"/>
        </w:trPr>
        <w:tc>
          <w:tcPr>
            <w:tcW w:w="3559" w:type="dxa"/>
            <w:tcBorders>
              <w:top w:val="nil"/>
              <w:left w:val="single" w:sz="8" w:space="0" w:color="auto"/>
              <w:bottom w:val="single" w:sz="8" w:space="0" w:color="auto"/>
              <w:right w:val="single" w:sz="8" w:space="0" w:color="auto"/>
            </w:tcBorders>
            <w:shd w:val="clear" w:color="auto" w:fill="auto"/>
            <w:vAlign w:val="center"/>
            <w:hideMark/>
          </w:tcPr>
          <w:p w14:paraId="3126425E" w14:textId="77777777" w:rsidR="00054BA2" w:rsidRPr="00FD1551" w:rsidRDefault="00054BA2" w:rsidP="00225E45">
            <w:pPr>
              <w:spacing w:after="0" w:line="240" w:lineRule="auto"/>
              <w:jc w:val="both"/>
              <w:rPr>
                <w:rFonts w:ascii="Arial" w:eastAsia="Times New Roman" w:hAnsi="Arial" w:cs="Arial"/>
                <w:sz w:val="20"/>
                <w:szCs w:val="20"/>
                <w:lang w:eastAsia="pt-BR"/>
              </w:rPr>
            </w:pPr>
            <w:r w:rsidRPr="00FD1551">
              <w:rPr>
                <w:rFonts w:ascii="Arial" w:eastAsia="Times New Roman" w:hAnsi="Arial" w:cs="Arial"/>
                <w:sz w:val="20"/>
                <w:szCs w:val="20"/>
                <w:lang w:eastAsia="pt-BR"/>
              </w:rPr>
              <w:t xml:space="preserve">Valor Arrecadado </w:t>
            </w:r>
            <w:r w:rsidRPr="00984E83">
              <w:rPr>
                <w:rFonts w:ascii="Arial" w:eastAsia="Times New Roman" w:hAnsi="Arial" w:cs="Arial"/>
                <w:b/>
                <w:sz w:val="20"/>
                <w:szCs w:val="20"/>
                <w:vertAlign w:val="superscript"/>
                <w:lang w:eastAsia="pt-BR"/>
              </w:rPr>
              <w:t>[</w:t>
            </w:r>
            <w:r w:rsidR="00225E45">
              <w:rPr>
                <w:rFonts w:ascii="Arial" w:eastAsia="Times New Roman" w:hAnsi="Arial" w:cs="Arial"/>
                <w:b/>
                <w:sz w:val="20"/>
                <w:szCs w:val="20"/>
                <w:vertAlign w:val="superscript"/>
                <w:lang w:eastAsia="pt-BR"/>
              </w:rPr>
              <w:t>3</w:t>
            </w:r>
            <w:r w:rsidRPr="00984E83">
              <w:rPr>
                <w:rFonts w:ascii="Arial" w:eastAsia="Times New Roman" w:hAnsi="Arial" w:cs="Arial"/>
                <w:b/>
                <w:sz w:val="20"/>
                <w:szCs w:val="20"/>
                <w:vertAlign w:val="superscript"/>
                <w:lang w:eastAsia="pt-BR"/>
              </w:rPr>
              <w:t>]</w:t>
            </w:r>
          </w:p>
        </w:tc>
        <w:tc>
          <w:tcPr>
            <w:tcW w:w="1134" w:type="dxa"/>
            <w:tcBorders>
              <w:top w:val="nil"/>
              <w:left w:val="nil"/>
              <w:bottom w:val="single" w:sz="8" w:space="0" w:color="auto"/>
              <w:right w:val="single" w:sz="8" w:space="0" w:color="auto"/>
            </w:tcBorders>
            <w:shd w:val="clear" w:color="auto" w:fill="auto"/>
            <w:vAlign w:val="center"/>
            <w:hideMark/>
          </w:tcPr>
          <w:p w14:paraId="23CCD589" w14:textId="77777777" w:rsidR="00054BA2" w:rsidRPr="00FD1551" w:rsidRDefault="00054BA2" w:rsidP="008B12A6">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Decimal</w:t>
            </w:r>
          </w:p>
        </w:tc>
        <w:tc>
          <w:tcPr>
            <w:tcW w:w="1276" w:type="dxa"/>
            <w:tcBorders>
              <w:top w:val="nil"/>
              <w:left w:val="nil"/>
              <w:bottom w:val="single" w:sz="8" w:space="0" w:color="auto"/>
              <w:right w:val="single" w:sz="8" w:space="0" w:color="auto"/>
            </w:tcBorders>
            <w:shd w:val="clear" w:color="auto" w:fill="auto"/>
            <w:vAlign w:val="center"/>
            <w:hideMark/>
          </w:tcPr>
          <w:p w14:paraId="0428A3E4" w14:textId="77777777" w:rsidR="00054BA2" w:rsidRPr="00FD1551" w:rsidRDefault="00054BA2" w:rsidP="008B12A6">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14,2</w:t>
            </w:r>
          </w:p>
        </w:tc>
        <w:tc>
          <w:tcPr>
            <w:tcW w:w="3260" w:type="dxa"/>
            <w:tcBorders>
              <w:top w:val="nil"/>
              <w:left w:val="nil"/>
              <w:bottom w:val="single" w:sz="8" w:space="0" w:color="auto"/>
              <w:right w:val="single" w:sz="8" w:space="0" w:color="auto"/>
            </w:tcBorders>
            <w:shd w:val="clear" w:color="auto" w:fill="auto"/>
            <w:vAlign w:val="center"/>
            <w:hideMark/>
          </w:tcPr>
          <w:p w14:paraId="2624215F" w14:textId="77777777" w:rsidR="00054BA2" w:rsidRPr="00FD1551" w:rsidRDefault="00054BA2" w:rsidP="008B12A6">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Obrigatório</w:t>
            </w:r>
          </w:p>
        </w:tc>
      </w:tr>
    </w:tbl>
    <w:p w14:paraId="315E7584" w14:textId="77777777" w:rsidR="00054BA2" w:rsidRPr="00FD1551" w:rsidRDefault="00054BA2" w:rsidP="00054BA2">
      <w:pPr>
        <w:spacing w:after="0" w:line="360" w:lineRule="auto"/>
        <w:rPr>
          <w:rFonts w:ascii="Arial" w:hAnsi="Arial" w:cs="Arial"/>
        </w:rPr>
      </w:pPr>
    </w:p>
    <w:p w14:paraId="0FCF06C6" w14:textId="77777777" w:rsidR="00054BA2" w:rsidRPr="00984E83" w:rsidRDefault="00054BA2" w:rsidP="00984E83">
      <w:pPr>
        <w:spacing w:after="120" w:line="240" w:lineRule="auto"/>
        <w:rPr>
          <w:rFonts w:ascii="Arial" w:eastAsia="Times New Roman" w:hAnsi="Arial" w:cs="Arial"/>
          <w:sz w:val="18"/>
          <w:szCs w:val="18"/>
          <w:lang w:eastAsia="pt-BR"/>
        </w:rPr>
      </w:pPr>
      <w:r w:rsidRPr="00984E83">
        <w:rPr>
          <w:rFonts w:ascii="Arial" w:eastAsia="Times New Roman" w:hAnsi="Arial" w:cs="Arial"/>
          <w:bCs/>
          <w:sz w:val="18"/>
          <w:szCs w:val="18"/>
          <w:lang w:eastAsia="pt-BR"/>
        </w:rPr>
        <w:t>[</w:t>
      </w:r>
      <w:r w:rsidR="00225E45">
        <w:rPr>
          <w:rFonts w:ascii="Arial" w:eastAsia="Times New Roman" w:hAnsi="Arial" w:cs="Arial"/>
          <w:bCs/>
          <w:sz w:val="18"/>
          <w:szCs w:val="18"/>
          <w:lang w:eastAsia="pt-BR"/>
        </w:rPr>
        <w:t>1</w:t>
      </w:r>
      <w:r w:rsidRPr="00984E83">
        <w:rPr>
          <w:rFonts w:ascii="Arial" w:eastAsia="Times New Roman" w:hAnsi="Arial" w:cs="Arial"/>
          <w:bCs/>
          <w:sz w:val="18"/>
          <w:szCs w:val="18"/>
          <w:lang w:eastAsia="pt-BR"/>
        </w:rPr>
        <w:t>]</w:t>
      </w:r>
      <w:r w:rsidRPr="00984E83">
        <w:rPr>
          <w:rFonts w:ascii="Arial" w:eastAsia="Times New Roman" w:hAnsi="Arial" w:cs="Arial"/>
          <w:sz w:val="18"/>
          <w:szCs w:val="18"/>
          <w:lang w:eastAsia="pt-BR"/>
        </w:rPr>
        <w:t xml:space="preserve"> Valor da Previsão Inicial da Receita Orçamentária constante na LOA.</w:t>
      </w:r>
    </w:p>
    <w:p w14:paraId="144387CA" w14:textId="77777777" w:rsidR="00054BA2" w:rsidRPr="00984E83" w:rsidRDefault="00054BA2" w:rsidP="00054BA2">
      <w:pPr>
        <w:spacing w:after="120" w:line="240" w:lineRule="auto"/>
        <w:rPr>
          <w:rFonts w:ascii="Arial" w:eastAsia="Times New Roman" w:hAnsi="Arial" w:cs="Arial"/>
          <w:sz w:val="18"/>
          <w:szCs w:val="18"/>
          <w:lang w:eastAsia="pt-BR"/>
        </w:rPr>
      </w:pPr>
      <w:r w:rsidRPr="00984E83">
        <w:rPr>
          <w:rFonts w:ascii="Arial" w:eastAsia="Times New Roman" w:hAnsi="Arial" w:cs="Arial"/>
          <w:bCs/>
          <w:sz w:val="18"/>
          <w:szCs w:val="18"/>
          <w:lang w:eastAsia="pt-BR"/>
        </w:rPr>
        <w:t>[</w:t>
      </w:r>
      <w:r w:rsidR="00225E45">
        <w:rPr>
          <w:rFonts w:ascii="Arial" w:eastAsia="Times New Roman" w:hAnsi="Arial" w:cs="Arial"/>
          <w:bCs/>
          <w:sz w:val="18"/>
          <w:szCs w:val="18"/>
          <w:lang w:eastAsia="pt-BR"/>
        </w:rPr>
        <w:t>2</w:t>
      </w:r>
      <w:r w:rsidRPr="00984E83">
        <w:rPr>
          <w:rFonts w:ascii="Arial" w:eastAsia="Times New Roman" w:hAnsi="Arial" w:cs="Arial"/>
          <w:bCs/>
          <w:sz w:val="18"/>
          <w:szCs w:val="18"/>
          <w:lang w:eastAsia="pt-BR"/>
        </w:rPr>
        <w:t>]</w:t>
      </w:r>
      <w:r w:rsidRPr="00984E83">
        <w:rPr>
          <w:rFonts w:ascii="Arial" w:eastAsia="Times New Roman" w:hAnsi="Arial" w:cs="Arial"/>
          <w:sz w:val="18"/>
          <w:szCs w:val="18"/>
          <w:lang w:eastAsia="pt-BR"/>
        </w:rPr>
        <w:t xml:space="preserve"> Valor da Previsão Atualizada da Receita Orçamentária até o mês de dezembro do exercício corrente.</w:t>
      </w:r>
    </w:p>
    <w:p w14:paraId="7DBD0A26" w14:textId="77777777" w:rsidR="00054BA2" w:rsidRPr="00984E83" w:rsidRDefault="00054BA2" w:rsidP="00054BA2">
      <w:pPr>
        <w:spacing w:after="120" w:line="240" w:lineRule="auto"/>
        <w:rPr>
          <w:rFonts w:ascii="Arial" w:eastAsia="Times New Roman" w:hAnsi="Arial" w:cs="Arial"/>
          <w:sz w:val="18"/>
          <w:szCs w:val="18"/>
          <w:lang w:eastAsia="pt-BR"/>
        </w:rPr>
      </w:pPr>
      <w:r w:rsidRPr="00984E83">
        <w:rPr>
          <w:rFonts w:ascii="Arial" w:eastAsia="Times New Roman" w:hAnsi="Arial" w:cs="Arial"/>
          <w:bCs/>
          <w:sz w:val="18"/>
          <w:szCs w:val="18"/>
          <w:lang w:eastAsia="pt-BR"/>
        </w:rPr>
        <w:t>[</w:t>
      </w:r>
      <w:r w:rsidR="00225E45">
        <w:rPr>
          <w:rFonts w:ascii="Arial" w:eastAsia="Times New Roman" w:hAnsi="Arial" w:cs="Arial"/>
          <w:bCs/>
          <w:sz w:val="18"/>
          <w:szCs w:val="18"/>
          <w:lang w:eastAsia="pt-BR"/>
        </w:rPr>
        <w:t>3</w:t>
      </w:r>
      <w:r w:rsidRPr="00984E83">
        <w:rPr>
          <w:rFonts w:ascii="Arial" w:eastAsia="Times New Roman" w:hAnsi="Arial" w:cs="Arial"/>
          <w:bCs/>
          <w:sz w:val="18"/>
          <w:szCs w:val="18"/>
          <w:lang w:eastAsia="pt-BR"/>
        </w:rPr>
        <w:t>]</w:t>
      </w:r>
      <w:r w:rsidRPr="00984E83">
        <w:rPr>
          <w:rFonts w:ascii="Arial" w:eastAsia="Times New Roman" w:hAnsi="Arial" w:cs="Arial"/>
          <w:sz w:val="18"/>
          <w:szCs w:val="18"/>
          <w:lang w:eastAsia="pt-BR"/>
        </w:rPr>
        <w:t xml:space="preserve"> Valor da Receita Orçamentária Arrecadada até o mês de Dezembro do exercício corrente.</w:t>
      </w:r>
    </w:p>
    <w:p w14:paraId="583B55BB" w14:textId="77777777" w:rsidR="00054BA2" w:rsidRPr="00FD1551" w:rsidRDefault="00054BA2" w:rsidP="00054BA2">
      <w:pPr>
        <w:spacing w:after="0" w:line="360" w:lineRule="auto"/>
        <w:rPr>
          <w:rFonts w:ascii="Arial" w:eastAsia="Times New Roman" w:hAnsi="Arial" w:cs="Arial"/>
          <w:b/>
          <w:sz w:val="20"/>
          <w:szCs w:val="20"/>
          <w:u w:val="single"/>
          <w:lang w:eastAsia="pt-BR"/>
        </w:rPr>
      </w:pPr>
    </w:p>
    <w:p w14:paraId="7754BF92" w14:textId="77777777" w:rsidR="00054BA2" w:rsidRPr="00984E83" w:rsidRDefault="00054BA2" w:rsidP="00054BA2">
      <w:pPr>
        <w:spacing w:after="0" w:line="360" w:lineRule="auto"/>
        <w:rPr>
          <w:rFonts w:ascii="Arial" w:eastAsia="Times New Roman" w:hAnsi="Arial" w:cs="Arial"/>
          <w:sz w:val="18"/>
          <w:szCs w:val="18"/>
          <w:lang w:eastAsia="pt-BR"/>
        </w:rPr>
      </w:pPr>
      <w:r w:rsidRPr="00984E83">
        <w:rPr>
          <w:rFonts w:ascii="Arial" w:eastAsia="Times New Roman" w:hAnsi="Arial" w:cs="Arial"/>
          <w:b/>
          <w:sz w:val="18"/>
          <w:szCs w:val="18"/>
          <w:u w:val="single"/>
          <w:lang w:eastAsia="pt-BR"/>
        </w:rPr>
        <w:t>Observaç</w:t>
      </w:r>
      <w:r w:rsidR="00984E83" w:rsidRPr="00984E83">
        <w:rPr>
          <w:rFonts w:ascii="Arial" w:eastAsia="Times New Roman" w:hAnsi="Arial" w:cs="Arial"/>
          <w:b/>
          <w:sz w:val="18"/>
          <w:szCs w:val="18"/>
          <w:u w:val="single"/>
          <w:lang w:eastAsia="pt-BR"/>
        </w:rPr>
        <w:t>ão</w:t>
      </w:r>
      <w:r w:rsidRPr="00984E83">
        <w:rPr>
          <w:rFonts w:ascii="Arial" w:eastAsia="Times New Roman" w:hAnsi="Arial" w:cs="Arial"/>
          <w:sz w:val="18"/>
          <w:szCs w:val="18"/>
          <w:lang w:eastAsia="pt-BR"/>
        </w:rPr>
        <w:t>:</w:t>
      </w:r>
    </w:p>
    <w:p w14:paraId="09463FAD" w14:textId="77777777" w:rsidR="00054BA2" w:rsidRPr="00984E83" w:rsidRDefault="00054BA2" w:rsidP="00054BA2">
      <w:pPr>
        <w:spacing w:after="0" w:line="240" w:lineRule="auto"/>
        <w:ind w:right="-32"/>
        <w:rPr>
          <w:rFonts w:ascii="Arial" w:eastAsia="Times New Roman" w:hAnsi="Arial" w:cs="Arial"/>
          <w:sz w:val="18"/>
          <w:szCs w:val="18"/>
          <w:lang w:eastAsia="pt-BR"/>
        </w:rPr>
      </w:pPr>
      <w:r w:rsidRPr="00984E83">
        <w:rPr>
          <w:rFonts w:ascii="Arial" w:eastAsia="Times New Roman" w:hAnsi="Arial" w:cs="Arial"/>
          <w:sz w:val="18"/>
          <w:szCs w:val="18"/>
          <w:lang w:eastAsia="pt-BR"/>
        </w:rPr>
        <w:lastRenderedPageBreak/>
        <w:t>1 - Quando a Prestação de Contas se referir a Contas de Gestão, o Código da Unidade Gestora deverá ser o mesmo da UG que estiver prestando contas.</w:t>
      </w:r>
    </w:p>
    <w:p w14:paraId="6705783B" w14:textId="77777777" w:rsidR="00054BA2" w:rsidRDefault="00054BA2" w:rsidP="00FD1551">
      <w:pPr>
        <w:rPr>
          <w:rFonts w:ascii="Arial" w:hAnsi="Arial" w:cs="Arial"/>
          <w:sz w:val="20"/>
          <w:szCs w:val="20"/>
          <w:lang w:eastAsia="pt-BR"/>
        </w:rPr>
      </w:pPr>
    </w:p>
    <w:p w14:paraId="57E26BF7" w14:textId="77777777" w:rsidR="00984E83" w:rsidRPr="00FD1551" w:rsidRDefault="00984E83" w:rsidP="00FD1551">
      <w:pPr>
        <w:rPr>
          <w:rFonts w:ascii="Arial" w:hAnsi="Arial" w:cs="Arial"/>
          <w:sz w:val="20"/>
          <w:szCs w:val="20"/>
          <w:lang w:eastAsia="pt-BR"/>
        </w:rPr>
      </w:pPr>
    </w:p>
    <w:p w14:paraId="2454B83A" w14:textId="03942993" w:rsidR="00FD1551" w:rsidRPr="00FD1551" w:rsidRDefault="00FD1551" w:rsidP="00A60EA7">
      <w:pPr>
        <w:pStyle w:val="Ttulo3"/>
      </w:pPr>
      <w:bookmarkStart w:id="52" w:name="_Toc94806328"/>
      <w:r w:rsidRPr="00FD1551">
        <w:t>BALEXOC.XML (ou BalanceteExecucaoOrcamentariaConsorcio.xml)</w:t>
      </w:r>
      <w:bookmarkEnd w:id="52"/>
    </w:p>
    <w:p w14:paraId="612C4636" w14:textId="38012B94" w:rsidR="00FD1551" w:rsidRPr="00FD1551" w:rsidRDefault="00FD1551" w:rsidP="00FD1551">
      <w:pPr>
        <w:spacing w:after="0" w:line="360" w:lineRule="auto"/>
        <w:jc w:val="both"/>
        <w:rPr>
          <w:rFonts w:ascii="Arial" w:hAnsi="Arial"/>
        </w:rPr>
      </w:pPr>
      <w:r w:rsidRPr="00FD1551">
        <w:rPr>
          <w:rFonts w:ascii="Arial" w:hAnsi="Arial"/>
          <w:b/>
          <w:bCs/>
        </w:rPr>
        <w:t>Descrição: </w:t>
      </w:r>
      <w:r w:rsidRPr="00FD1551">
        <w:rPr>
          <w:rFonts w:ascii="Arial" w:eastAsia="Times New Roman" w:hAnsi="Arial" w:cs="Arial"/>
          <w:sz w:val="20"/>
          <w:szCs w:val="20"/>
          <w:lang w:eastAsia="pt-BR"/>
        </w:rPr>
        <w:t>Este arquivo conterá o Balancete da Execução Orçamentária do Consórcio</w:t>
      </w:r>
    </w:p>
    <w:p w14:paraId="7A8E67D8" w14:textId="77777777" w:rsidR="00FD1551" w:rsidRPr="00FD1551" w:rsidRDefault="00FD1551" w:rsidP="00FD1551">
      <w:pPr>
        <w:autoSpaceDE w:val="0"/>
        <w:autoSpaceDN w:val="0"/>
        <w:adjustRightInd w:val="0"/>
        <w:spacing w:after="0" w:line="240" w:lineRule="auto"/>
        <w:jc w:val="both"/>
        <w:rPr>
          <w:rFonts w:ascii="Arial" w:hAnsi="Arial"/>
          <w:b/>
          <w:bCs/>
        </w:rPr>
      </w:pPr>
    </w:p>
    <w:p w14:paraId="4432CEB1" w14:textId="77777777" w:rsidR="00FD1551" w:rsidRPr="00FD1551" w:rsidRDefault="00FD1551" w:rsidP="00FD1551">
      <w:pPr>
        <w:autoSpaceDE w:val="0"/>
        <w:autoSpaceDN w:val="0"/>
        <w:adjustRightInd w:val="0"/>
        <w:spacing w:after="0" w:line="240" w:lineRule="auto"/>
        <w:jc w:val="both"/>
        <w:rPr>
          <w:rFonts w:ascii="Arial" w:hAnsi="Arial"/>
          <w:b/>
          <w:bCs/>
        </w:rPr>
      </w:pPr>
      <w:r w:rsidRPr="00FD1551">
        <w:rPr>
          <w:rFonts w:ascii="Arial" w:hAnsi="Arial"/>
          <w:b/>
          <w:bCs/>
        </w:rPr>
        <w:t>Estrutura:</w:t>
      </w:r>
    </w:p>
    <w:p w14:paraId="6C3034A4" w14:textId="77777777" w:rsidR="00FD1551" w:rsidRPr="00FD1551" w:rsidRDefault="00FD1551" w:rsidP="00FD1551">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&lt;?xml version="1.0" encoding="UTF-8"?&gt;</w:t>
      </w:r>
    </w:p>
    <w:p w14:paraId="10605757" w14:textId="77777777" w:rsidR="00FD1551" w:rsidRPr="00FD1551" w:rsidRDefault="00FD1551" w:rsidP="00FD1551">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&lt;PrestacaoContasAnual&gt;</w:t>
      </w:r>
    </w:p>
    <w:p w14:paraId="5B035D7A" w14:textId="77777777" w:rsidR="00FD1551" w:rsidRPr="00FD1551" w:rsidRDefault="00FD1551" w:rsidP="00FD1551">
      <w:pPr>
        <w:spacing w:after="0" w:line="240" w:lineRule="auto"/>
        <w:ind w:left="567"/>
        <w:rPr>
          <w:rFonts w:ascii="Arial" w:eastAsia="Times New Roman" w:hAnsi="Arial" w:cs="Arial"/>
          <w:sz w:val="20"/>
          <w:szCs w:val="20"/>
          <w:lang w:eastAsia="pt-BR"/>
        </w:rPr>
      </w:pPr>
      <w:r w:rsidRPr="00FD1551">
        <w:rPr>
          <w:rFonts w:ascii="Arial" w:eastAsia="Times New Roman" w:hAnsi="Arial" w:cs="Arial"/>
          <w:sz w:val="20"/>
          <w:szCs w:val="20"/>
          <w:lang w:eastAsia="pt-BR"/>
        </w:rPr>
        <w:t>&lt;BalanceteExecucaoOrcamentariaConsorcio_Schema&gt;</w:t>
      </w:r>
    </w:p>
    <w:p w14:paraId="2B25E5FE" w14:textId="77777777" w:rsidR="00FD1551" w:rsidRPr="00FD1551" w:rsidRDefault="00FD1551" w:rsidP="00FD1551">
      <w:pPr>
        <w:spacing w:after="0" w:line="240" w:lineRule="auto"/>
        <w:ind w:left="1134"/>
        <w:rPr>
          <w:rFonts w:ascii="Arial" w:eastAsia="Times New Roman" w:hAnsi="Arial" w:cs="Arial"/>
          <w:sz w:val="20"/>
          <w:szCs w:val="20"/>
          <w:lang w:eastAsia="pt-BR"/>
        </w:rPr>
      </w:pPr>
      <w:r w:rsidRPr="00FD1551">
        <w:rPr>
          <w:rFonts w:ascii="Arial" w:eastAsia="Times New Roman" w:hAnsi="Arial" w:cs="Arial"/>
          <w:sz w:val="20"/>
          <w:szCs w:val="20"/>
          <w:lang w:eastAsia="pt-BR"/>
        </w:rPr>
        <w:t>&lt;BalanceteExecucaoOrcamentariaConsorcio&gt;</w:t>
      </w:r>
    </w:p>
    <w:p w14:paraId="67F4FE7D" w14:textId="77777777" w:rsidR="00FD1551" w:rsidRPr="00FD1551" w:rsidRDefault="00FD1551" w:rsidP="00FD1551">
      <w:pPr>
        <w:spacing w:after="0" w:line="240" w:lineRule="auto"/>
        <w:ind w:left="1701"/>
        <w:rPr>
          <w:rFonts w:ascii="Arial" w:eastAsia="Times New Roman" w:hAnsi="Arial" w:cs="Arial"/>
          <w:sz w:val="20"/>
          <w:szCs w:val="20"/>
          <w:lang w:eastAsia="pt-BR"/>
        </w:rPr>
      </w:pPr>
      <w:r w:rsidRPr="00FD1551">
        <w:rPr>
          <w:rFonts w:ascii="Arial" w:eastAsia="Times New Roman" w:hAnsi="Arial" w:cs="Arial"/>
          <w:sz w:val="20"/>
          <w:szCs w:val="20"/>
          <w:lang w:eastAsia="pt-BR"/>
        </w:rPr>
        <w:t>&lt;IdNumRegistro&gt;</w:t>
      </w:r>
      <w:r w:rsidRPr="00FD1551">
        <w:rPr>
          <w:rFonts w:ascii="Arial" w:eastAsia="Times New Roman" w:hAnsi="Arial" w:cs="Arial"/>
          <w:b/>
          <w:sz w:val="20"/>
          <w:szCs w:val="20"/>
          <w:lang w:eastAsia="pt-BR"/>
        </w:rPr>
        <w:t>99999</w:t>
      </w:r>
      <w:r w:rsidRPr="00FD1551">
        <w:rPr>
          <w:rFonts w:ascii="Arial" w:eastAsia="Times New Roman" w:hAnsi="Arial" w:cs="Arial"/>
          <w:sz w:val="20"/>
          <w:szCs w:val="20"/>
          <w:lang w:eastAsia="pt-BR"/>
        </w:rPr>
        <w:t>&lt;/IdNumRegistro&gt;</w:t>
      </w:r>
    </w:p>
    <w:p w14:paraId="3CD3EA9C" w14:textId="77777777" w:rsidR="00FD1551" w:rsidRPr="00FD1551" w:rsidRDefault="00FD1551" w:rsidP="00FD1551">
      <w:pPr>
        <w:spacing w:after="0" w:line="240" w:lineRule="auto"/>
        <w:ind w:left="1701"/>
        <w:rPr>
          <w:rFonts w:ascii="Arial" w:eastAsia="Times New Roman" w:hAnsi="Arial" w:cs="Arial"/>
          <w:sz w:val="20"/>
          <w:szCs w:val="20"/>
          <w:lang w:eastAsia="pt-BR"/>
        </w:rPr>
      </w:pPr>
      <w:r w:rsidRPr="00FD1551">
        <w:rPr>
          <w:rFonts w:ascii="Arial" w:eastAsia="Times New Roman" w:hAnsi="Arial" w:cs="Arial"/>
          <w:sz w:val="20"/>
          <w:szCs w:val="20"/>
          <w:lang w:eastAsia="pt-BR"/>
        </w:rPr>
        <w:t>&lt;CodigoCNPJConsorcio&gt;</w:t>
      </w:r>
      <w:r w:rsidRPr="00FD1551">
        <w:rPr>
          <w:rFonts w:ascii="Arial" w:eastAsia="Times New Roman" w:hAnsi="Arial" w:cs="Arial"/>
          <w:b/>
          <w:sz w:val="20"/>
          <w:szCs w:val="20"/>
          <w:lang w:eastAsia="pt-BR"/>
        </w:rPr>
        <w:t>XXX...XXX</w:t>
      </w:r>
      <w:r w:rsidRPr="00FD1551">
        <w:rPr>
          <w:rFonts w:ascii="Arial" w:eastAsia="Times New Roman" w:hAnsi="Arial" w:cs="Arial"/>
          <w:sz w:val="20"/>
          <w:szCs w:val="20"/>
          <w:lang w:eastAsia="pt-BR"/>
        </w:rPr>
        <w:t>&lt;/CodigoCNPJConsorcio&gt;</w:t>
      </w:r>
    </w:p>
    <w:p w14:paraId="28DC3D69" w14:textId="77777777" w:rsidR="00FD1551" w:rsidRPr="00FD1551" w:rsidRDefault="00FD1551" w:rsidP="00FD1551">
      <w:pPr>
        <w:spacing w:after="0" w:line="240" w:lineRule="auto"/>
        <w:ind w:left="1701"/>
        <w:rPr>
          <w:rFonts w:ascii="Arial" w:eastAsia="Times New Roman" w:hAnsi="Arial" w:cs="Arial"/>
          <w:sz w:val="20"/>
          <w:szCs w:val="20"/>
          <w:lang w:eastAsia="pt-BR"/>
        </w:rPr>
      </w:pPr>
      <w:r w:rsidRPr="00FD1551">
        <w:rPr>
          <w:rFonts w:ascii="Arial" w:eastAsia="Times New Roman" w:hAnsi="Arial" w:cs="Arial"/>
          <w:sz w:val="20"/>
          <w:szCs w:val="20"/>
          <w:lang w:eastAsia="pt-BR"/>
        </w:rPr>
        <w:t>&lt;CodigoFuncao&gt;</w:t>
      </w:r>
      <w:r w:rsidRPr="00FD1551">
        <w:rPr>
          <w:rFonts w:ascii="Arial" w:eastAsia="Times New Roman" w:hAnsi="Arial" w:cs="Arial"/>
          <w:b/>
          <w:sz w:val="20"/>
          <w:szCs w:val="20"/>
          <w:lang w:eastAsia="pt-BR"/>
        </w:rPr>
        <w:t>XX</w:t>
      </w:r>
      <w:r w:rsidRPr="00FD1551">
        <w:rPr>
          <w:rFonts w:ascii="Arial" w:eastAsia="Times New Roman" w:hAnsi="Arial" w:cs="Arial"/>
          <w:sz w:val="20"/>
          <w:szCs w:val="20"/>
          <w:lang w:eastAsia="pt-BR"/>
        </w:rPr>
        <w:t xml:space="preserve">&lt;/CodigoFuncao&gt; </w:t>
      </w:r>
    </w:p>
    <w:p w14:paraId="242CBDB6" w14:textId="77777777" w:rsidR="00FD1551" w:rsidRPr="00FD1551" w:rsidRDefault="00FD1551" w:rsidP="00FD1551">
      <w:pPr>
        <w:spacing w:after="0" w:line="240" w:lineRule="auto"/>
        <w:ind w:left="1701"/>
        <w:rPr>
          <w:rFonts w:ascii="Arial" w:eastAsia="Times New Roman" w:hAnsi="Arial" w:cs="Arial"/>
          <w:sz w:val="20"/>
          <w:szCs w:val="20"/>
          <w:lang w:eastAsia="pt-BR"/>
        </w:rPr>
      </w:pPr>
      <w:r w:rsidRPr="00FD1551">
        <w:rPr>
          <w:rFonts w:ascii="Arial" w:eastAsia="Times New Roman" w:hAnsi="Arial" w:cs="Arial"/>
          <w:sz w:val="20"/>
          <w:szCs w:val="20"/>
          <w:lang w:eastAsia="pt-BR"/>
        </w:rPr>
        <w:t>&lt;CodigoSubFuncao&gt;</w:t>
      </w:r>
      <w:r w:rsidRPr="00FD1551">
        <w:rPr>
          <w:rFonts w:ascii="Arial" w:eastAsia="Times New Roman" w:hAnsi="Arial" w:cs="Arial"/>
          <w:b/>
          <w:sz w:val="20"/>
          <w:szCs w:val="20"/>
          <w:lang w:eastAsia="pt-BR"/>
        </w:rPr>
        <w:t>XXX</w:t>
      </w:r>
      <w:r w:rsidRPr="00FD1551">
        <w:rPr>
          <w:rFonts w:ascii="Arial" w:eastAsia="Times New Roman" w:hAnsi="Arial" w:cs="Arial"/>
          <w:sz w:val="20"/>
          <w:szCs w:val="20"/>
          <w:lang w:eastAsia="pt-BR"/>
        </w:rPr>
        <w:t>&lt;/CodigoSubFuncao&gt;</w:t>
      </w:r>
    </w:p>
    <w:p w14:paraId="6376BD6A" w14:textId="77777777" w:rsidR="00FD1551" w:rsidRPr="00FD1551" w:rsidRDefault="00FD1551" w:rsidP="00FD1551">
      <w:pPr>
        <w:spacing w:after="0" w:line="240" w:lineRule="auto"/>
        <w:ind w:left="1701"/>
        <w:rPr>
          <w:rFonts w:ascii="Arial" w:eastAsia="Times New Roman" w:hAnsi="Arial" w:cs="Arial"/>
          <w:sz w:val="20"/>
          <w:szCs w:val="20"/>
          <w:lang w:eastAsia="pt-BR"/>
        </w:rPr>
      </w:pPr>
      <w:r w:rsidRPr="00FD1551">
        <w:rPr>
          <w:rFonts w:ascii="Arial" w:eastAsia="Times New Roman" w:hAnsi="Arial" w:cs="Arial"/>
          <w:sz w:val="20"/>
          <w:szCs w:val="20"/>
          <w:lang w:eastAsia="pt-BR"/>
        </w:rPr>
        <w:t>&lt;CategoriaEconomicaDespesa&gt;</w:t>
      </w:r>
      <w:r w:rsidRPr="00FD1551">
        <w:rPr>
          <w:rFonts w:ascii="Arial" w:eastAsia="Times New Roman" w:hAnsi="Arial" w:cs="Arial"/>
          <w:b/>
          <w:sz w:val="20"/>
          <w:szCs w:val="20"/>
          <w:lang w:eastAsia="pt-BR"/>
        </w:rPr>
        <w:t>X</w:t>
      </w:r>
      <w:r w:rsidRPr="00FD1551">
        <w:rPr>
          <w:rFonts w:ascii="Arial" w:eastAsia="Times New Roman" w:hAnsi="Arial" w:cs="Arial"/>
          <w:sz w:val="20"/>
          <w:szCs w:val="20"/>
          <w:lang w:eastAsia="pt-BR"/>
        </w:rPr>
        <w:t>&lt;/CategoriaEconomicaDespesa&gt;</w:t>
      </w:r>
    </w:p>
    <w:p w14:paraId="5D4D8497" w14:textId="77777777" w:rsidR="00FD1551" w:rsidRPr="00FD1551" w:rsidRDefault="00FD1551" w:rsidP="00FD1551">
      <w:pPr>
        <w:spacing w:after="0" w:line="240" w:lineRule="auto"/>
        <w:ind w:left="1701"/>
        <w:rPr>
          <w:rFonts w:ascii="Arial" w:eastAsia="Times New Roman" w:hAnsi="Arial" w:cs="Arial"/>
          <w:sz w:val="20"/>
          <w:szCs w:val="20"/>
          <w:lang w:eastAsia="pt-BR"/>
        </w:rPr>
      </w:pPr>
      <w:r w:rsidRPr="00FD1551">
        <w:rPr>
          <w:rFonts w:ascii="Arial" w:eastAsia="Times New Roman" w:hAnsi="Arial" w:cs="Arial"/>
          <w:sz w:val="20"/>
          <w:szCs w:val="20"/>
          <w:lang w:eastAsia="pt-BR"/>
        </w:rPr>
        <w:t>&lt;GrupoNaturezaDespesa&gt;</w:t>
      </w:r>
      <w:r w:rsidRPr="00FD1551">
        <w:rPr>
          <w:rFonts w:ascii="Arial" w:eastAsia="Times New Roman" w:hAnsi="Arial" w:cs="Arial"/>
          <w:b/>
          <w:sz w:val="20"/>
          <w:szCs w:val="20"/>
          <w:lang w:eastAsia="pt-BR"/>
        </w:rPr>
        <w:t>X</w:t>
      </w:r>
      <w:r w:rsidRPr="00FD1551">
        <w:rPr>
          <w:rFonts w:ascii="Arial" w:eastAsia="Times New Roman" w:hAnsi="Arial" w:cs="Arial"/>
          <w:sz w:val="20"/>
          <w:szCs w:val="20"/>
          <w:lang w:eastAsia="pt-BR"/>
        </w:rPr>
        <w:t>&lt;/GrupoNaturezaDespesa&gt;</w:t>
      </w:r>
    </w:p>
    <w:p w14:paraId="01E48314" w14:textId="77777777" w:rsidR="00FD1551" w:rsidRPr="00FD1551" w:rsidRDefault="00FD1551" w:rsidP="00FD1551">
      <w:pPr>
        <w:spacing w:after="0" w:line="240" w:lineRule="auto"/>
        <w:ind w:left="1701"/>
        <w:rPr>
          <w:rFonts w:ascii="Arial" w:eastAsia="Times New Roman" w:hAnsi="Arial" w:cs="Arial"/>
          <w:sz w:val="20"/>
          <w:szCs w:val="20"/>
          <w:lang w:eastAsia="pt-BR"/>
        </w:rPr>
      </w:pPr>
      <w:r w:rsidRPr="00FD1551">
        <w:rPr>
          <w:rFonts w:ascii="Arial" w:eastAsia="Times New Roman" w:hAnsi="Arial" w:cs="Arial"/>
          <w:sz w:val="20"/>
          <w:szCs w:val="20"/>
          <w:lang w:eastAsia="pt-BR"/>
        </w:rPr>
        <w:t>&lt;ModalidadeAplicacao&gt;</w:t>
      </w:r>
      <w:r w:rsidRPr="00FD1551">
        <w:rPr>
          <w:rFonts w:ascii="Arial" w:eastAsia="Times New Roman" w:hAnsi="Arial" w:cs="Arial"/>
          <w:b/>
          <w:sz w:val="20"/>
          <w:szCs w:val="20"/>
          <w:lang w:eastAsia="pt-BR"/>
        </w:rPr>
        <w:t>XX</w:t>
      </w:r>
      <w:r w:rsidRPr="00FD1551">
        <w:rPr>
          <w:rFonts w:ascii="Arial" w:eastAsia="Times New Roman" w:hAnsi="Arial" w:cs="Arial"/>
          <w:sz w:val="20"/>
          <w:szCs w:val="20"/>
          <w:lang w:eastAsia="pt-BR"/>
        </w:rPr>
        <w:t>&lt;/ModalidadeAplicacao&gt;</w:t>
      </w:r>
    </w:p>
    <w:p w14:paraId="36855129" w14:textId="77777777" w:rsidR="00FD1551" w:rsidRPr="00FD1551" w:rsidRDefault="00FD1551" w:rsidP="00FD1551">
      <w:pPr>
        <w:spacing w:after="0" w:line="240" w:lineRule="auto"/>
        <w:ind w:left="1701"/>
        <w:rPr>
          <w:rFonts w:ascii="Arial" w:eastAsia="Times New Roman" w:hAnsi="Arial" w:cs="Arial"/>
          <w:sz w:val="20"/>
          <w:szCs w:val="20"/>
          <w:lang w:eastAsia="pt-BR"/>
        </w:rPr>
      </w:pPr>
      <w:r w:rsidRPr="00FD1551">
        <w:rPr>
          <w:rFonts w:ascii="Arial" w:eastAsia="Times New Roman" w:hAnsi="Arial" w:cs="Arial"/>
          <w:sz w:val="20"/>
          <w:szCs w:val="20"/>
          <w:lang w:eastAsia="pt-BR"/>
        </w:rPr>
        <w:t>&lt;ElementoDespesa&gt;</w:t>
      </w:r>
      <w:r w:rsidRPr="00FD1551">
        <w:rPr>
          <w:rFonts w:ascii="Arial" w:eastAsia="Times New Roman" w:hAnsi="Arial" w:cs="Arial"/>
          <w:b/>
          <w:sz w:val="20"/>
          <w:szCs w:val="20"/>
          <w:lang w:eastAsia="pt-BR"/>
        </w:rPr>
        <w:t>XX</w:t>
      </w:r>
      <w:r w:rsidRPr="00FD1551">
        <w:rPr>
          <w:rFonts w:ascii="Arial" w:eastAsia="Times New Roman" w:hAnsi="Arial" w:cs="Arial"/>
          <w:sz w:val="20"/>
          <w:szCs w:val="20"/>
          <w:lang w:eastAsia="pt-BR"/>
        </w:rPr>
        <w:t>&lt;/ElementoDespesa&gt;</w:t>
      </w:r>
    </w:p>
    <w:p w14:paraId="338762E5" w14:textId="77777777" w:rsidR="00FD1551" w:rsidRPr="00FD1551" w:rsidRDefault="00FD1551" w:rsidP="00FD1551">
      <w:pPr>
        <w:spacing w:after="0" w:line="240" w:lineRule="auto"/>
        <w:ind w:left="1701"/>
        <w:rPr>
          <w:rFonts w:ascii="Arial" w:eastAsia="Times New Roman" w:hAnsi="Arial" w:cs="Arial"/>
          <w:sz w:val="20"/>
          <w:szCs w:val="20"/>
          <w:lang w:eastAsia="pt-BR"/>
        </w:rPr>
      </w:pPr>
      <w:r w:rsidRPr="00FD1551">
        <w:rPr>
          <w:rFonts w:ascii="Arial" w:eastAsia="Times New Roman" w:hAnsi="Arial" w:cs="Arial"/>
          <w:sz w:val="20"/>
          <w:szCs w:val="20"/>
          <w:lang w:eastAsia="pt-BR"/>
        </w:rPr>
        <w:t>&lt;SubElementoDespesa&gt;</w:t>
      </w:r>
      <w:r w:rsidRPr="00FD1551">
        <w:rPr>
          <w:rFonts w:ascii="Arial" w:eastAsia="Times New Roman" w:hAnsi="Arial" w:cs="Arial"/>
          <w:b/>
          <w:sz w:val="20"/>
          <w:szCs w:val="20"/>
          <w:lang w:eastAsia="pt-BR"/>
        </w:rPr>
        <w:t>XX</w:t>
      </w:r>
      <w:r w:rsidRPr="00FD1551">
        <w:rPr>
          <w:rFonts w:ascii="Arial" w:eastAsia="Times New Roman" w:hAnsi="Arial" w:cs="Arial"/>
          <w:sz w:val="20"/>
          <w:szCs w:val="20"/>
          <w:lang w:eastAsia="pt-BR"/>
        </w:rPr>
        <w:t>&lt;/SubElementoDespesa&gt;</w:t>
      </w:r>
    </w:p>
    <w:p w14:paraId="6BE9C33B" w14:textId="77777777" w:rsidR="00FD1551" w:rsidRPr="00FD1551" w:rsidRDefault="00FD1551" w:rsidP="00FD1551">
      <w:pPr>
        <w:spacing w:after="0" w:line="240" w:lineRule="auto"/>
        <w:ind w:left="1701"/>
        <w:rPr>
          <w:rFonts w:ascii="Arial" w:eastAsia="Times New Roman" w:hAnsi="Arial" w:cs="Arial"/>
          <w:sz w:val="20"/>
          <w:szCs w:val="20"/>
          <w:lang w:eastAsia="pt-BR"/>
        </w:rPr>
      </w:pPr>
      <w:r w:rsidRPr="00FD1551">
        <w:rPr>
          <w:rFonts w:ascii="Arial" w:eastAsia="Times New Roman" w:hAnsi="Arial" w:cs="Arial"/>
          <w:sz w:val="20"/>
          <w:szCs w:val="20"/>
          <w:lang w:eastAsia="pt-BR"/>
        </w:rPr>
        <w:t>&lt;CodigoGrupoFonteDestinacaoRecursos&gt;</w:t>
      </w:r>
      <w:r w:rsidRPr="00FD1551">
        <w:rPr>
          <w:rFonts w:ascii="Arial" w:eastAsia="Times New Roman" w:hAnsi="Arial" w:cs="Arial"/>
          <w:b/>
          <w:sz w:val="20"/>
          <w:szCs w:val="20"/>
          <w:lang w:eastAsia="pt-BR"/>
        </w:rPr>
        <w:t>9</w:t>
      </w:r>
    </w:p>
    <w:p w14:paraId="01F398B0" w14:textId="77777777" w:rsidR="00FD1551" w:rsidRPr="00FD1551" w:rsidRDefault="00FD1551" w:rsidP="00FD1551">
      <w:pPr>
        <w:spacing w:after="0" w:line="240" w:lineRule="auto"/>
        <w:ind w:left="1701"/>
        <w:rPr>
          <w:rFonts w:ascii="Arial" w:eastAsia="Times New Roman" w:hAnsi="Arial" w:cs="Arial"/>
          <w:sz w:val="20"/>
          <w:szCs w:val="20"/>
          <w:lang w:eastAsia="pt-BR"/>
        </w:rPr>
      </w:pPr>
      <w:r w:rsidRPr="00FD1551">
        <w:rPr>
          <w:rFonts w:ascii="Arial" w:eastAsia="Times New Roman" w:hAnsi="Arial" w:cs="Arial"/>
          <w:sz w:val="20"/>
          <w:szCs w:val="20"/>
          <w:lang w:eastAsia="pt-BR"/>
        </w:rPr>
        <w:t>&lt;/CodigoGrupoFonteDestinacaoRecursos&gt;</w:t>
      </w:r>
    </w:p>
    <w:p w14:paraId="79353AED" w14:textId="77777777" w:rsidR="00FD1551" w:rsidRPr="00FD1551" w:rsidRDefault="00FD1551" w:rsidP="00FD1551">
      <w:pPr>
        <w:spacing w:after="0" w:line="240" w:lineRule="auto"/>
        <w:ind w:left="1701"/>
        <w:rPr>
          <w:rFonts w:ascii="Arial" w:eastAsia="Times New Roman" w:hAnsi="Arial" w:cs="Arial"/>
          <w:sz w:val="20"/>
          <w:szCs w:val="20"/>
          <w:lang w:eastAsia="pt-BR"/>
        </w:rPr>
      </w:pPr>
      <w:r w:rsidRPr="00FD1551">
        <w:rPr>
          <w:rFonts w:ascii="Arial" w:eastAsia="Times New Roman" w:hAnsi="Arial" w:cs="Arial"/>
          <w:sz w:val="20"/>
          <w:szCs w:val="20"/>
          <w:lang w:eastAsia="pt-BR"/>
        </w:rPr>
        <w:t>&lt;CodigoEspecificacaoFonteDestinacaoRecursos&gt;</w:t>
      </w:r>
      <w:r w:rsidRPr="00FD1551">
        <w:rPr>
          <w:rFonts w:ascii="Arial" w:eastAsia="Times New Roman" w:hAnsi="Arial" w:cs="Arial"/>
          <w:b/>
          <w:sz w:val="20"/>
          <w:szCs w:val="20"/>
          <w:lang w:eastAsia="pt-BR"/>
        </w:rPr>
        <w:t>XXX</w:t>
      </w:r>
    </w:p>
    <w:p w14:paraId="0A228FA3" w14:textId="77777777" w:rsidR="00FD1551" w:rsidRPr="00FD1551" w:rsidRDefault="00FD1551" w:rsidP="00FD1551">
      <w:pPr>
        <w:spacing w:after="0" w:line="240" w:lineRule="auto"/>
        <w:ind w:left="1701"/>
        <w:rPr>
          <w:rFonts w:ascii="Arial" w:eastAsia="Times New Roman" w:hAnsi="Arial" w:cs="Arial"/>
          <w:sz w:val="20"/>
          <w:szCs w:val="20"/>
          <w:lang w:eastAsia="pt-BR"/>
        </w:rPr>
      </w:pPr>
      <w:r w:rsidRPr="00FD1551">
        <w:rPr>
          <w:rFonts w:ascii="Arial" w:eastAsia="Times New Roman" w:hAnsi="Arial" w:cs="Arial"/>
          <w:sz w:val="20"/>
          <w:szCs w:val="20"/>
          <w:lang w:eastAsia="pt-BR"/>
        </w:rPr>
        <w:t>&lt;/CodigoEspecificacaoFonteDestinacaoRecursos&gt;</w:t>
      </w:r>
    </w:p>
    <w:p w14:paraId="6AED1C3B" w14:textId="77777777" w:rsidR="00FD1551" w:rsidRPr="00FD1551" w:rsidRDefault="00FD1551" w:rsidP="00FD1551">
      <w:pPr>
        <w:spacing w:after="0" w:line="240" w:lineRule="auto"/>
        <w:ind w:left="1701"/>
        <w:rPr>
          <w:rFonts w:ascii="Arial" w:eastAsia="Times New Roman" w:hAnsi="Arial" w:cs="Arial"/>
          <w:sz w:val="20"/>
          <w:szCs w:val="20"/>
          <w:lang w:eastAsia="pt-BR"/>
        </w:rPr>
      </w:pPr>
      <w:r w:rsidRPr="00FD1551">
        <w:rPr>
          <w:rFonts w:ascii="Arial" w:eastAsia="Times New Roman" w:hAnsi="Arial" w:cs="Arial"/>
          <w:sz w:val="20"/>
          <w:szCs w:val="20"/>
          <w:lang w:eastAsia="pt-BR"/>
        </w:rPr>
        <w:t>&lt;CodigoDetalhamentoFonteDestinacaoRecursos&gt;</w:t>
      </w:r>
      <w:r w:rsidRPr="00FD1551">
        <w:rPr>
          <w:rFonts w:ascii="Arial" w:eastAsia="Times New Roman" w:hAnsi="Arial" w:cs="Arial"/>
          <w:b/>
          <w:sz w:val="20"/>
          <w:szCs w:val="20"/>
          <w:lang w:eastAsia="pt-BR"/>
        </w:rPr>
        <w:t>XXXX</w:t>
      </w:r>
    </w:p>
    <w:p w14:paraId="2560F03B" w14:textId="77777777" w:rsidR="00FD1551" w:rsidRPr="00FD1551" w:rsidRDefault="00FD1551" w:rsidP="00FD1551">
      <w:pPr>
        <w:spacing w:after="0" w:line="240" w:lineRule="auto"/>
        <w:ind w:left="1701"/>
        <w:rPr>
          <w:rFonts w:ascii="Arial" w:eastAsia="Times New Roman" w:hAnsi="Arial" w:cs="Arial"/>
          <w:sz w:val="20"/>
          <w:szCs w:val="20"/>
          <w:lang w:eastAsia="pt-BR"/>
        </w:rPr>
      </w:pPr>
      <w:r w:rsidRPr="00FD1551">
        <w:rPr>
          <w:rFonts w:ascii="Arial" w:eastAsia="Times New Roman" w:hAnsi="Arial" w:cs="Arial"/>
          <w:sz w:val="20"/>
          <w:szCs w:val="20"/>
          <w:lang w:eastAsia="pt-BR"/>
        </w:rPr>
        <w:t>&lt;/CodigoDetalhamentoFonteDestinacaoRecursos&gt;</w:t>
      </w:r>
    </w:p>
    <w:p w14:paraId="12ECD763" w14:textId="77777777" w:rsidR="00FD1551" w:rsidRPr="00FD1551" w:rsidRDefault="00FD1551" w:rsidP="00FD1551">
      <w:pPr>
        <w:spacing w:after="0" w:line="240" w:lineRule="auto"/>
        <w:ind w:left="1701"/>
        <w:rPr>
          <w:rFonts w:ascii="Arial" w:eastAsia="Times New Roman" w:hAnsi="Arial" w:cs="Arial"/>
          <w:sz w:val="20"/>
          <w:szCs w:val="20"/>
          <w:lang w:eastAsia="pt-BR"/>
        </w:rPr>
      </w:pPr>
      <w:r w:rsidRPr="00FD1551">
        <w:rPr>
          <w:rFonts w:ascii="Arial" w:eastAsia="Times New Roman" w:hAnsi="Arial" w:cs="Arial"/>
          <w:sz w:val="20"/>
          <w:szCs w:val="20"/>
          <w:lang w:eastAsia="pt-BR"/>
        </w:rPr>
        <w:t>&lt;ValorEmpenhado&gt;</w:t>
      </w:r>
      <w:r w:rsidRPr="00FD1551">
        <w:rPr>
          <w:rFonts w:ascii="Arial" w:eastAsia="Times New Roman" w:hAnsi="Arial" w:cs="Arial"/>
          <w:b/>
          <w:sz w:val="20"/>
          <w:szCs w:val="20"/>
          <w:lang w:eastAsia="pt-BR"/>
        </w:rPr>
        <w:t>99999999999999.99</w:t>
      </w:r>
      <w:r w:rsidRPr="00FD1551">
        <w:rPr>
          <w:rFonts w:ascii="Arial" w:eastAsia="Times New Roman" w:hAnsi="Arial" w:cs="Arial"/>
          <w:sz w:val="20"/>
          <w:szCs w:val="20"/>
          <w:lang w:eastAsia="pt-BR"/>
        </w:rPr>
        <w:t>&lt;/ValorEmpenhado&gt;</w:t>
      </w:r>
    </w:p>
    <w:p w14:paraId="230F9D2D" w14:textId="77777777" w:rsidR="00FD1551" w:rsidRPr="00FD1551" w:rsidRDefault="00FD1551" w:rsidP="00FD1551">
      <w:pPr>
        <w:spacing w:after="0" w:line="240" w:lineRule="auto"/>
        <w:ind w:left="1701"/>
        <w:rPr>
          <w:rFonts w:ascii="Arial" w:eastAsia="Times New Roman" w:hAnsi="Arial" w:cs="Arial"/>
          <w:sz w:val="20"/>
          <w:szCs w:val="20"/>
          <w:lang w:eastAsia="pt-BR"/>
        </w:rPr>
      </w:pPr>
      <w:r w:rsidRPr="00FD1551">
        <w:rPr>
          <w:rFonts w:ascii="Arial" w:eastAsia="Times New Roman" w:hAnsi="Arial" w:cs="Arial"/>
          <w:sz w:val="20"/>
          <w:szCs w:val="20"/>
          <w:lang w:eastAsia="pt-BR"/>
        </w:rPr>
        <w:t>&lt;ValorLiquidado&gt;</w:t>
      </w:r>
      <w:r w:rsidRPr="00FD1551">
        <w:rPr>
          <w:rFonts w:ascii="Arial" w:eastAsia="Times New Roman" w:hAnsi="Arial" w:cs="Arial"/>
          <w:b/>
          <w:sz w:val="20"/>
          <w:szCs w:val="20"/>
          <w:lang w:eastAsia="pt-BR"/>
        </w:rPr>
        <w:t>99999999999999.99</w:t>
      </w:r>
      <w:r w:rsidRPr="00FD1551">
        <w:rPr>
          <w:rFonts w:ascii="Arial" w:eastAsia="Times New Roman" w:hAnsi="Arial" w:cs="Arial"/>
          <w:sz w:val="20"/>
          <w:szCs w:val="20"/>
          <w:lang w:eastAsia="pt-BR"/>
        </w:rPr>
        <w:t>&lt;/ValorLiquidado&gt;</w:t>
      </w:r>
    </w:p>
    <w:p w14:paraId="290D8145" w14:textId="77777777" w:rsidR="00FD1551" w:rsidRPr="00FD1551" w:rsidRDefault="00FD1551" w:rsidP="00FD1551">
      <w:pPr>
        <w:spacing w:after="0" w:line="240" w:lineRule="auto"/>
        <w:ind w:left="1701"/>
        <w:rPr>
          <w:rFonts w:ascii="Arial" w:eastAsia="Times New Roman" w:hAnsi="Arial" w:cs="Arial"/>
          <w:sz w:val="20"/>
          <w:szCs w:val="20"/>
          <w:lang w:eastAsia="pt-BR"/>
        </w:rPr>
      </w:pPr>
      <w:r w:rsidRPr="00FD1551">
        <w:rPr>
          <w:rFonts w:ascii="Arial" w:eastAsia="Times New Roman" w:hAnsi="Arial" w:cs="Arial"/>
          <w:sz w:val="20"/>
          <w:szCs w:val="20"/>
          <w:lang w:eastAsia="pt-BR"/>
        </w:rPr>
        <w:t>&lt;ValorPago&gt;</w:t>
      </w:r>
      <w:r w:rsidRPr="00FD1551">
        <w:rPr>
          <w:rFonts w:ascii="Arial" w:eastAsia="Times New Roman" w:hAnsi="Arial" w:cs="Arial"/>
          <w:b/>
          <w:sz w:val="20"/>
          <w:szCs w:val="20"/>
          <w:lang w:eastAsia="pt-BR"/>
        </w:rPr>
        <w:t>99999999999999.99</w:t>
      </w:r>
      <w:r w:rsidRPr="00FD1551">
        <w:rPr>
          <w:rFonts w:ascii="Arial" w:eastAsia="Times New Roman" w:hAnsi="Arial" w:cs="Arial"/>
          <w:sz w:val="20"/>
          <w:szCs w:val="20"/>
          <w:lang w:eastAsia="pt-BR"/>
        </w:rPr>
        <w:t>&lt;/ValorPago&gt;</w:t>
      </w:r>
    </w:p>
    <w:p w14:paraId="0624F735" w14:textId="77777777" w:rsidR="00FD1551" w:rsidRPr="00FD1551" w:rsidRDefault="00FD1551" w:rsidP="00FD1551">
      <w:pPr>
        <w:spacing w:after="0" w:line="240" w:lineRule="auto"/>
        <w:ind w:left="1134"/>
        <w:rPr>
          <w:rFonts w:ascii="Arial" w:eastAsia="Times New Roman" w:hAnsi="Arial" w:cs="Arial"/>
          <w:sz w:val="20"/>
          <w:szCs w:val="20"/>
          <w:lang w:eastAsia="pt-BR"/>
        </w:rPr>
      </w:pPr>
      <w:r w:rsidRPr="00FD1551">
        <w:rPr>
          <w:rFonts w:ascii="Arial" w:eastAsia="Times New Roman" w:hAnsi="Arial" w:cs="Arial"/>
          <w:sz w:val="20"/>
          <w:szCs w:val="20"/>
          <w:lang w:eastAsia="pt-BR"/>
        </w:rPr>
        <w:t>&lt;/BalanceteExecucaoOrcamentariaConsorcio&gt;</w:t>
      </w:r>
    </w:p>
    <w:p w14:paraId="532C5623" w14:textId="77777777" w:rsidR="00FD1551" w:rsidRPr="00FD1551" w:rsidRDefault="00FD1551" w:rsidP="00FD1551">
      <w:pPr>
        <w:spacing w:after="0" w:line="240" w:lineRule="auto"/>
        <w:rPr>
          <w:rFonts w:ascii="Calibri" w:eastAsia="Times New Roman" w:hAnsi="Calibri" w:cs="Times New Roman"/>
          <w:lang w:eastAsia="pt-BR"/>
        </w:rPr>
      </w:pPr>
    </w:p>
    <w:p w14:paraId="66F16B28" w14:textId="77777777" w:rsidR="00FD1551" w:rsidRPr="00FD1551" w:rsidRDefault="00FD1551" w:rsidP="00FD1551">
      <w:pPr>
        <w:spacing w:after="0" w:line="240" w:lineRule="auto"/>
        <w:ind w:left="1134"/>
        <w:rPr>
          <w:rFonts w:ascii="Arial" w:eastAsia="Times New Roman" w:hAnsi="Arial" w:cs="Arial"/>
          <w:sz w:val="20"/>
          <w:szCs w:val="20"/>
          <w:lang w:eastAsia="pt-BR"/>
        </w:rPr>
      </w:pPr>
      <w:r w:rsidRPr="00FD1551">
        <w:rPr>
          <w:rFonts w:ascii="Arial" w:eastAsia="Times New Roman" w:hAnsi="Arial" w:cs="Arial"/>
          <w:sz w:val="20"/>
          <w:szCs w:val="20"/>
          <w:lang w:eastAsia="pt-BR"/>
        </w:rPr>
        <w:t>&lt;CancelamentoRestosPagarConsorcio&gt;</w:t>
      </w:r>
    </w:p>
    <w:p w14:paraId="56A8D3B1" w14:textId="77777777" w:rsidR="00FD1551" w:rsidRPr="00FD1551" w:rsidRDefault="00FD1551" w:rsidP="00FD1551">
      <w:pPr>
        <w:spacing w:after="0" w:line="240" w:lineRule="auto"/>
        <w:ind w:left="1701"/>
        <w:rPr>
          <w:rFonts w:ascii="Arial" w:eastAsia="Times New Roman" w:hAnsi="Arial" w:cs="Arial"/>
          <w:sz w:val="20"/>
          <w:szCs w:val="20"/>
          <w:lang w:eastAsia="pt-BR"/>
        </w:rPr>
      </w:pPr>
      <w:r w:rsidRPr="00FD1551">
        <w:rPr>
          <w:rFonts w:ascii="Arial" w:eastAsia="Times New Roman" w:hAnsi="Arial" w:cs="Arial"/>
          <w:sz w:val="20"/>
          <w:szCs w:val="20"/>
          <w:lang w:eastAsia="pt-BR"/>
        </w:rPr>
        <w:t>&lt;IdNumRegistro&gt;</w:t>
      </w:r>
      <w:r w:rsidRPr="00FD1551">
        <w:rPr>
          <w:rFonts w:ascii="Arial" w:eastAsia="Times New Roman" w:hAnsi="Arial" w:cs="Arial"/>
          <w:b/>
          <w:sz w:val="20"/>
          <w:szCs w:val="20"/>
          <w:lang w:eastAsia="pt-BR"/>
        </w:rPr>
        <w:t>99999</w:t>
      </w:r>
      <w:r w:rsidRPr="00FD1551">
        <w:rPr>
          <w:rFonts w:ascii="Arial" w:eastAsia="Times New Roman" w:hAnsi="Arial" w:cs="Arial"/>
          <w:sz w:val="20"/>
          <w:szCs w:val="20"/>
          <w:lang w:eastAsia="pt-BR"/>
        </w:rPr>
        <w:t>&lt;/IdNumRegistro&gt;</w:t>
      </w:r>
    </w:p>
    <w:p w14:paraId="25CE184D" w14:textId="77777777" w:rsidR="00FD1551" w:rsidRPr="00FD1551" w:rsidRDefault="00FD1551" w:rsidP="00FD1551">
      <w:pPr>
        <w:spacing w:after="0" w:line="240" w:lineRule="auto"/>
        <w:ind w:left="1701"/>
        <w:rPr>
          <w:rFonts w:ascii="Arial" w:eastAsia="Times New Roman" w:hAnsi="Arial" w:cs="Arial"/>
          <w:sz w:val="20"/>
          <w:szCs w:val="20"/>
          <w:lang w:eastAsia="pt-BR"/>
        </w:rPr>
      </w:pPr>
      <w:r w:rsidRPr="00FD1551">
        <w:rPr>
          <w:rFonts w:ascii="Arial" w:eastAsia="Times New Roman" w:hAnsi="Arial" w:cs="Arial"/>
          <w:sz w:val="20"/>
          <w:szCs w:val="20"/>
          <w:lang w:eastAsia="pt-BR"/>
        </w:rPr>
        <w:t>&lt;CodigoCNPJConsorcio&gt;</w:t>
      </w:r>
      <w:r w:rsidRPr="00FD1551">
        <w:rPr>
          <w:rFonts w:ascii="Arial" w:eastAsia="Times New Roman" w:hAnsi="Arial" w:cs="Arial"/>
          <w:b/>
          <w:sz w:val="20"/>
          <w:szCs w:val="20"/>
          <w:lang w:eastAsia="pt-BR"/>
        </w:rPr>
        <w:t>XXX...XXX</w:t>
      </w:r>
      <w:r w:rsidRPr="00FD1551">
        <w:rPr>
          <w:rFonts w:ascii="Arial" w:eastAsia="Times New Roman" w:hAnsi="Arial" w:cs="Arial"/>
          <w:sz w:val="20"/>
          <w:szCs w:val="20"/>
          <w:lang w:eastAsia="pt-BR"/>
        </w:rPr>
        <w:t>&lt;/CodigoCNPJConsorcio&gt;</w:t>
      </w:r>
    </w:p>
    <w:p w14:paraId="6E870422" w14:textId="77777777" w:rsidR="00FD1551" w:rsidRPr="00FD1551" w:rsidRDefault="00FD1551" w:rsidP="00FD1551">
      <w:pPr>
        <w:spacing w:after="0" w:line="240" w:lineRule="auto"/>
        <w:ind w:left="1701"/>
        <w:rPr>
          <w:rFonts w:ascii="Arial" w:eastAsia="Times New Roman" w:hAnsi="Arial" w:cs="Arial"/>
          <w:sz w:val="20"/>
          <w:szCs w:val="20"/>
          <w:lang w:eastAsia="pt-BR"/>
        </w:rPr>
      </w:pPr>
      <w:r w:rsidRPr="00FD1551">
        <w:rPr>
          <w:rFonts w:ascii="Arial" w:eastAsia="Times New Roman" w:hAnsi="Arial" w:cs="Arial"/>
          <w:sz w:val="20"/>
          <w:szCs w:val="20"/>
          <w:lang w:eastAsia="pt-BR"/>
        </w:rPr>
        <w:t>&lt;TipoRestosPagar&gt;</w:t>
      </w:r>
      <w:r w:rsidRPr="00FD1551">
        <w:rPr>
          <w:rFonts w:ascii="Arial" w:eastAsia="Times New Roman" w:hAnsi="Arial" w:cs="Arial"/>
          <w:b/>
          <w:sz w:val="20"/>
          <w:szCs w:val="20"/>
          <w:lang w:eastAsia="pt-BR"/>
        </w:rPr>
        <w:t>9</w:t>
      </w:r>
      <w:r w:rsidRPr="00FD1551">
        <w:rPr>
          <w:rFonts w:ascii="Arial" w:eastAsia="Times New Roman" w:hAnsi="Arial" w:cs="Arial"/>
          <w:sz w:val="20"/>
          <w:szCs w:val="20"/>
          <w:lang w:eastAsia="pt-BR"/>
        </w:rPr>
        <w:t>&lt;/TipoRestosPagar&gt;</w:t>
      </w:r>
    </w:p>
    <w:p w14:paraId="4CB6751A" w14:textId="77777777" w:rsidR="00FD1551" w:rsidRPr="00FD1551" w:rsidRDefault="00FD1551" w:rsidP="00FD1551">
      <w:pPr>
        <w:spacing w:after="0" w:line="240" w:lineRule="auto"/>
        <w:ind w:left="1701"/>
        <w:rPr>
          <w:rFonts w:ascii="Arial" w:eastAsia="Times New Roman" w:hAnsi="Arial" w:cs="Arial"/>
          <w:sz w:val="20"/>
          <w:szCs w:val="20"/>
          <w:lang w:eastAsia="pt-BR"/>
        </w:rPr>
      </w:pPr>
      <w:r w:rsidRPr="00FD1551">
        <w:rPr>
          <w:rFonts w:ascii="Arial" w:eastAsia="Times New Roman" w:hAnsi="Arial" w:cs="Arial"/>
          <w:sz w:val="20"/>
          <w:szCs w:val="20"/>
          <w:lang w:eastAsia="pt-BR"/>
        </w:rPr>
        <w:t>&lt;AnoRestosPagar&gt;</w:t>
      </w:r>
      <w:r w:rsidRPr="00FD1551">
        <w:rPr>
          <w:rFonts w:ascii="Arial" w:eastAsia="Times New Roman" w:hAnsi="Arial" w:cs="Arial"/>
          <w:b/>
          <w:sz w:val="20"/>
          <w:szCs w:val="20"/>
          <w:lang w:eastAsia="pt-BR"/>
        </w:rPr>
        <w:t>9999</w:t>
      </w:r>
      <w:r w:rsidRPr="00FD1551">
        <w:rPr>
          <w:rFonts w:ascii="Arial" w:eastAsia="Times New Roman" w:hAnsi="Arial" w:cs="Arial"/>
          <w:sz w:val="20"/>
          <w:szCs w:val="20"/>
          <w:lang w:eastAsia="pt-BR"/>
        </w:rPr>
        <w:t>&lt;/AnoRestosPagar&gt;</w:t>
      </w:r>
    </w:p>
    <w:p w14:paraId="0EB73DE4" w14:textId="77777777" w:rsidR="00FD1551" w:rsidRPr="00FD1551" w:rsidRDefault="00FD1551" w:rsidP="00FD1551">
      <w:pPr>
        <w:spacing w:after="0" w:line="240" w:lineRule="auto"/>
        <w:ind w:left="1701"/>
        <w:rPr>
          <w:rFonts w:ascii="Arial" w:eastAsia="Times New Roman" w:hAnsi="Arial" w:cs="Arial"/>
          <w:sz w:val="20"/>
          <w:szCs w:val="20"/>
          <w:lang w:eastAsia="pt-BR"/>
        </w:rPr>
      </w:pPr>
      <w:r w:rsidRPr="00FD1551">
        <w:rPr>
          <w:rFonts w:ascii="Arial" w:eastAsia="Times New Roman" w:hAnsi="Arial" w:cs="Arial"/>
          <w:sz w:val="20"/>
          <w:szCs w:val="20"/>
          <w:lang w:eastAsia="pt-BR"/>
        </w:rPr>
        <w:t>&lt;CodigoFuncao&gt;</w:t>
      </w:r>
      <w:r w:rsidRPr="00FD1551">
        <w:rPr>
          <w:rFonts w:ascii="Arial" w:eastAsia="Times New Roman" w:hAnsi="Arial" w:cs="Arial"/>
          <w:b/>
          <w:sz w:val="20"/>
          <w:szCs w:val="20"/>
          <w:lang w:eastAsia="pt-BR"/>
        </w:rPr>
        <w:t>XX</w:t>
      </w:r>
      <w:r w:rsidRPr="00FD1551">
        <w:rPr>
          <w:rFonts w:ascii="Arial" w:eastAsia="Times New Roman" w:hAnsi="Arial" w:cs="Arial"/>
          <w:sz w:val="20"/>
          <w:szCs w:val="20"/>
          <w:lang w:eastAsia="pt-BR"/>
        </w:rPr>
        <w:t xml:space="preserve">&lt;/CodigoFuncao&gt; </w:t>
      </w:r>
    </w:p>
    <w:p w14:paraId="26CE0655" w14:textId="77777777" w:rsidR="00FD1551" w:rsidRPr="00FD1551" w:rsidRDefault="00FD1551" w:rsidP="00FD1551">
      <w:pPr>
        <w:spacing w:after="0" w:line="240" w:lineRule="auto"/>
        <w:ind w:left="1701"/>
        <w:rPr>
          <w:rFonts w:ascii="Arial" w:eastAsia="Times New Roman" w:hAnsi="Arial" w:cs="Arial"/>
          <w:sz w:val="20"/>
          <w:szCs w:val="20"/>
          <w:lang w:eastAsia="pt-BR"/>
        </w:rPr>
      </w:pPr>
      <w:r w:rsidRPr="00FD1551">
        <w:rPr>
          <w:rFonts w:ascii="Arial" w:eastAsia="Times New Roman" w:hAnsi="Arial" w:cs="Arial"/>
          <w:sz w:val="20"/>
          <w:szCs w:val="20"/>
          <w:lang w:eastAsia="pt-BR"/>
        </w:rPr>
        <w:t>&lt;CodigoSubFuncao&gt;</w:t>
      </w:r>
      <w:r w:rsidRPr="00FD1551">
        <w:rPr>
          <w:rFonts w:ascii="Arial" w:eastAsia="Times New Roman" w:hAnsi="Arial" w:cs="Arial"/>
          <w:b/>
          <w:sz w:val="20"/>
          <w:szCs w:val="20"/>
          <w:lang w:eastAsia="pt-BR"/>
        </w:rPr>
        <w:t>XXX</w:t>
      </w:r>
      <w:r w:rsidRPr="00FD1551">
        <w:rPr>
          <w:rFonts w:ascii="Arial" w:eastAsia="Times New Roman" w:hAnsi="Arial" w:cs="Arial"/>
          <w:sz w:val="20"/>
          <w:szCs w:val="20"/>
          <w:lang w:eastAsia="pt-BR"/>
        </w:rPr>
        <w:t>&lt;/CodigoSubFuncao&gt;</w:t>
      </w:r>
    </w:p>
    <w:p w14:paraId="48D5AEB0" w14:textId="77777777" w:rsidR="00FD1551" w:rsidRPr="00FD1551" w:rsidRDefault="00FD1551" w:rsidP="00FD1551">
      <w:pPr>
        <w:spacing w:after="0" w:line="240" w:lineRule="auto"/>
        <w:ind w:left="1701"/>
        <w:rPr>
          <w:rFonts w:ascii="Arial" w:eastAsia="Times New Roman" w:hAnsi="Arial" w:cs="Arial"/>
          <w:sz w:val="20"/>
          <w:szCs w:val="20"/>
          <w:lang w:eastAsia="pt-BR"/>
        </w:rPr>
      </w:pPr>
      <w:r w:rsidRPr="00FD1551">
        <w:rPr>
          <w:rFonts w:ascii="Arial" w:eastAsia="Times New Roman" w:hAnsi="Arial" w:cs="Arial"/>
          <w:sz w:val="20"/>
          <w:szCs w:val="20"/>
          <w:lang w:eastAsia="pt-BR"/>
        </w:rPr>
        <w:t>&lt;CategoriaEconomicaDespesa&gt;</w:t>
      </w:r>
      <w:r w:rsidRPr="00FD1551">
        <w:rPr>
          <w:rFonts w:ascii="Arial" w:eastAsia="Times New Roman" w:hAnsi="Arial" w:cs="Arial"/>
          <w:b/>
          <w:sz w:val="20"/>
          <w:szCs w:val="20"/>
          <w:lang w:eastAsia="pt-BR"/>
        </w:rPr>
        <w:t>X</w:t>
      </w:r>
      <w:r w:rsidRPr="00FD1551">
        <w:rPr>
          <w:rFonts w:ascii="Arial" w:eastAsia="Times New Roman" w:hAnsi="Arial" w:cs="Arial"/>
          <w:sz w:val="20"/>
          <w:szCs w:val="20"/>
          <w:lang w:eastAsia="pt-BR"/>
        </w:rPr>
        <w:t>&lt;/CategoriaEconomicaDespesa&gt;</w:t>
      </w:r>
    </w:p>
    <w:p w14:paraId="489B7E8A" w14:textId="77777777" w:rsidR="00FD1551" w:rsidRPr="00FD1551" w:rsidRDefault="00FD1551" w:rsidP="00FD1551">
      <w:pPr>
        <w:spacing w:after="0" w:line="240" w:lineRule="auto"/>
        <w:ind w:left="1701"/>
        <w:rPr>
          <w:rFonts w:ascii="Arial" w:eastAsia="Times New Roman" w:hAnsi="Arial" w:cs="Arial"/>
          <w:sz w:val="20"/>
          <w:szCs w:val="20"/>
          <w:lang w:eastAsia="pt-BR"/>
        </w:rPr>
      </w:pPr>
      <w:r w:rsidRPr="00FD1551">
        <w:rPr>
          <w:rFonts w:ascii="Arial" w:eastAsia="Times New Roman" w:hAnsi="Arial" w:cs="Arial"/>
          <w:sz w:val="20"/>
          <w:szCs w:val="20"/>
          <w:lang w:eastAsia="pt-BR"/>
        </w:rPr>
        <w:t>&lt;GrupoNaturezaDespesa&gt;</w:t>
      </w:r>
      <w:r w:rsidRPr="00FD1551">
        <w:rPr>
          <w:rFonts w:ascii="Arial" w:eastAsia="Times New Roman" w:hAnsi="Arial" w:cs="Arial"/>
          <w:b/>
          <w:sz w:val="20"/>
          <w:szCs w:val="20"/>
          <w:lang w:eastAsia="pt-BR"/>
        </w:rPr>
        <w:t>X</w:t>
      </w:r>
      <w:r w:rsidRPr="00FD1551">
        <w:rPr>
          <w:rFonts w:ascii="Arial" w:eastAsia="Times New Roman" w:hAnsi="Arial" w:cs="Arial"/>
          <w:sz w:val="20"/>
          <w:szCs w:val="20"/>
          <w:lang w:eastAsia="pt-BR"/>
        </w:rPr>
        <w:t>&lt;/GrupoNaturezaDespesa&gt;</w:t>
      </w:r>
    </w:p>
    <w:p w14:paraId="10523D7E" w14:textId="77777777" w:rsidR="00FD1551" w:rsidRPr="00FD1551" w:rsidRDefault="00FD1551" w:rsidP="00FD1551">
      <w:pPr>
        <w:spacing w:after="0" w:line="240" w:lineRule="auto"/>
        <w:ind w:left="1701"/>
        <w:rPr>
          <w:rFonts w:ascii="Arial" w:eastAsia="Times New Roman" w:hAnsi="Arial" w:cs="Arial"/>
          <w:sz w:val="20"/>
          <w:szCs w:val="20"/>
          <w:lang w:eastAsia="pt-BR"/>
        </w:rPr>
      </w:pPr>
      <w:r w:rsidRPr="00FD1551">
        <w:rPr>
          <w:rFonts w:ascii="Arial" w:eastAsia="Times New Roman" w:hAnsi="Arial" w:cs="Arial"/>
          <w:sz w:val="20"/>
          <w:szCs w:val="20"/>
          <w:lang w:eastAsia="pt-BR"/>
        </w:rPr>
        <w:t>&lt;ModalidadeAplicacao&gt;</w:t>
      </w:r>
      <w:r w:rsidRPr="00FD1551">
        <w:rPr>
          <w:rFonts w:ascii="Arial" w:eastAsia="Times New Roman" w:hAnsi="Arial" w:cs="Arial"/>
          <w:b/>
          <w:sz w:val="20"/>
          <w:szCs w:val="20"/>
          <w:lang w:eastAsia="pt-BR"/>
        </w:rPr>
        <w:t>XX</w:t>
      </w:r>
      <w:r w:rsidRPr="00FD1551">
        <w:rPr>
          <w:rFonts w:ascii="Arial" w:eastAsia="Times New Roman" w:hAnsi="Arial" w:cs="Arial"/>
          <w:sz w:val="20"/>
          <w:szCs w:val="20"/>
          <w:lang w:eastAsia="pt-BR"/>
        </w:rPr>
        <w:t>&lt;/ModalidadeAplicacao&gt;</w:t>
      </w:r>
    </w:p>
    <w:p w14:paraId="3E0DB795" w14:textId="77777777" w:rsidR="00FD1551" w:rsidRPr="00FD1551" w:rsidRDefault="00FD1551" w:rsidP="00FD1551">
      <w:pPr>
        <w:spacing w:after="0" w:line="240" w:lineRule="auto"/>
        <w:ind w:left="1701"/>
        <w:rPr>
          <w:rFonts w:ascii="Arial" w:eastAsia="Times New Roman" w:hAnsi="Arial" w:cs="Arial"/>
          <w:sz w:val="20"/>
          <w:szCs w:val="20"/>
          <w:lang w:eastAsia="pt-BR"/>
        </w:rPr>
      </w:pPr>
      <w:r w:rsidRPr="00FD1551">
        <w:rPr>
          <w:rFonts w:ascii="Arial" w:eastAsia="Times New Roman" w:hAnsi="Arial" w:cs="Arial"/>
          <w:sz w:val="20"/>
          <w:szCs w:val="20"/>
          <w:lang w:eastAsia="pt-BR"/>
        </w:rPr>
        <w:t>&lt;ElementoDespesa&gt;</w:t>
      </w:r>
      <w:r w:rsidRPr="00FD1551">
        <w:rPr>
          <w:rFonts w:ascii="Arial" w:eastAsia="Times New Roman" w:hAnsi="Arial" w:cs="Arial"/>
          <w:b/>
          <w:sz w:val="20"/>
          <w:szCs w:val="20"/>
          <w:lang w:eastAsia="pt-BR"/>
        </w:rPr>
        <w:t>XX</w:t>
      </w:r>
      <w:r w:rsidRPr="00FD1551">
        <w:rPr>
          <w:rFonts w:ascii="Arial" w:eastAsia="Times New Roman" w:hAnsi="Arial" w:cs="Arial"/>
          <w:sz w:val="20"/>
          <w:szCs w:val="20"/>
          <w:lang w:eastAsia="pt-BR"/>
        </w:rPr>
        <w:t>&lt;/ElementoDespesa&gt;</w:t>
      </w:r>
    </w:p>
    <w:p w14:paraId="2F489A6F" w14:textId="77777777" w:rsidR="00FD1551" w:rsidRPr="00FD1551" w:rsidRDefault="00FD1551" w:rsidP="00FD1551">
      <w:pPr>
        <w:spacing w:after="0" w:line="240" w:lineRule="auto"/>
        <w:ind w:left="1701"/>
        <w:rPr>
          <w:rFonts w:ascii="Arial" w:eastAsia="Times New Roman" w:hAnsi="Arial" w:cs="Arial"/>
          <w:sz w:val="20"/>
          <w:szCs w:val="20"/>
          <w:lang w:eastAsia="pt-BR"/>
        </w:rPr>
      </w:pPr>
      <w:r w:rsidRPr="00FD1551">
        <w:rPr>
          <w:rFonts w:ascii="Arial" w:eastAsia="Times New Roman" w:hAnsi="Arial" w:cs="Arial"/>
          <w:sz w:val="20"/>
          <w:szCs w:val="20"/>
          <w:lang w:eastAsia="pt-BR"/>
        </w:rPr>
        <w:t>&lt;SubElementoDespesa&gt;</w:t>
      </w:r>
      <w:r w:rsidRPr="00FD1551">
        <w:rPr>
          <w:rFonts w:ascii="Arial" w:eastAsia="Times New Roman" w:hAnsi="Arial" w:cs="Arial"/>
          <w:b/>
          <w:sz w:val="20"/>
          <w:szCs w:val="20"/>
          <w:lang w:eastAsia="pt-BR"/>
        </w:rPr>
        <w:t>XX</w:t>
      </w:r>
      <w:r w:rsidRPr="00FD1551">
        <w:rPr>
          <w:rFonts w:ascii="Arial" w:eastAsia="Times New Roman" w:hAnsi="Arial" w:cs="Arial"/>
          <w:sz w:val="20"/>
          <w:szCs w:val="20"/>
          <w:lang w:eastAsia="pt-BR"/>
        </w:rPr>
        <w:t>&lt;/SubElementoDespesa&gt;</w:t>
      </w:r>
    </w:p>
    <w:p w14:paraId="0F595CDC" w14:textId="77777777" w:rsidR="00FD1551" w:rsidRPr="00FD1551" w:rsidRDefault="00FD1551" w:rsidP="00FD1551">
      <w:pPr>
        <w:spacing w:after="0" w:line="240" w:lineRule="auto"/>
        <w:ind w:left="1701"/>
        <w:rPr>
          <w:rFonts w:ascii="Arial" w:eastAsia="Times New Roman" w:hAnsi="Arial" w:cs="Arial"/>
          <w:sz w:val="20"/>
          <w:szCs w:val="20"/>
          <w:lang w:eastAsia="pt-BR"/>
        </w:rPr>
      </w:pPr>
      <w:r w:rsidRPr="00FD1551">
        <w:rPr>
          <w:rFonts w:ascii="Arial" w:eastAsia="Times New Roman" w:hAnsi="Arial" w:cs="Arial"/>
          <w:sz w:val="20"/>
          <w:szCs w:val="20"/>
          <w:lang w:eastAsia="pt-BR"/>
        </w:rPr>
        <w:t>&lt;CodigoGrupoFonteDestinacaoRecursos&gt;</w:t>
      </w:r>
      <w:r w:rsidRPr="00FD1551">
        <w:rPr>
          <w:rFonts w:ascii="Arial" w:eastAsia="Times New Roman" w:hAnsi="Arial" w:cs="Arial"/>
          <w:b/>
          <w:sz w:val="20"/>
          <w:szCs w:val="20"/>
          <w:lang w:eastAsia="pt-BR"/>
        </w:rPr>
        <w:t>9</w:t>
      </w:r>
    </w:p>
    <w:p w14:paraId="724C10CD" w14:textId="77777777" w:rsidR="00FD1551" w:rsidRPr="00FD1551" w:rsidRDefault="00FD1551" w:rsidP="00FD1551">
      <w:pPr>
        <w:spacing w:after="0" w:line="240" w:lineRule="auto"/>
        <w:ind w:left="1701"/>
        <w:rPr>
          <w:rFonts w:ascii="Arial" w:eastAsia="Times New Roman" w:hAnsi="Arial" w:cs="Arial"/>
          <w:sz w:val="20"/>
          <w:szCs w:val="20"/>
          <w:lang w:eastAsia="pt-BR"/>
        </w:rPr>
      </w:pPr>
      <w:r w:rsidRPr="00FD1551">
        <w:rPr>
          <w:rFonts w:ascii="Arial" w:eastAsia="Times New Roman" w:hAnsi="Arial" w:cs="Arial"/>
          <w:sz w:val="20"/>
          <w:szCs w:val="20"/>
          <w:lang w:eastAsia="pt-BR"/>
        </w:rPr>
        <w:t>&lt;/CodigoGrupoFonteDestinacaoRecursos&gt;</w:t>
      </w:r>
    </w:p>
    <w:p w14:paraId="6B2D811B" w14:textId="77777777" w:rsidR="00FD1551" w:rsidRPr="00FD1551" w:rsidRDefault="00FD1551" w:rsidP="00FD1551">
      <w:pPr>
        <w:spacing w:after="0" w:line="240" w:lineRule="auto"/>
        <w:ind w:left="1701"/>
        <w:rPr>
          <w:rFonts w:ascii="Arial" w:eastAsia="Times New Roman" w:hAnsi="Arial" w:cs="Arial"/>
          <w:sz w:val="20"/>
          <w:szCs w:val="20"/>
          <w:lang w:eastAsia="pt-BR"/>
        </w:rPr>
      </w:pPr>
      <w:r w:rsidRPr="00FD1551">
        <w:rPr>
          <w:rFonts w:ascii="Arial" w:eastAsia="Times New Roman" w:hAnsi="Arial" w:cs="Arial"/>
          <w:sz w:val="20"/>
          <w:szCs w:val="20"/>
          <w:lang w:eastAsia="pt-BR"/>
        </w:rPr>
        <w:t>&lt;CodigoEspecificacaoFonteDestinacaoRecursos&gt;</w:t>
      </w:r>
      <w:r w:rsidRPr="00FD1551">
        <w:rPr>
          <w:rFonts w:ascii="Arial" w:eastAsia="Times New Roman" w:hAnsi="Arial" w:cs="Arial"/>
          <w:b/>
          <w:sz w:val="20"/>
          <w:szCs w:val="20"/>
          <w:lang w:eastAsia="pt-BR"/>
        </w:rPr>
        <w:t>XXX</w:t>
      </w:r>
    </w:p>
    <w:p w14:paraId="4BBED3BB" w14:textId="77777777" w:rsidR="00FD1551" w:rsidRPr="00FD1551" w:rsidRDefault="00FD1551" w:rsidP="00FD1551">
      <w:pPr>
        <w:spacing w:after="0" w:line="240" w:lineRule="auto"/>
        <w:ind w:left="1701"/>
        <w:rPr>
          <w:rFonts w:ascii="Arial" w:eastAsia="Times New Roman" w:hAnsi="Arial" w:cs="Arial"/>
          <w:sz w:val="20"/>
          <w:szCs w:val="20"/>
          <w:lang w:eastAsia="pt-BR"/>
        </w:rPr>
      </w:pPr>
      <w:r w:rsidRPr="00FD1551">
        <w:rPr>
          <w:rFonts w:ascii="Arial" w:eastAsia="Times New Roman" w:hAnsi="Arial" w:cs="Arial"/>
          <w:sz w:val="20"/>
          <w:szCs w:val="20"/>
          <w:lang w:eastAsia="pt-BR"/>
        </w:rPr>
        <w:t>&lt;/CodigoEspecificacaoFonteDestinacaoRecursos&gt;</w:t>
      </w:r>
    </w:p>
    <w:p w14:paraId="72CD8E90" w14:textId="77777777" w:rsidR="00FD1551" w:rsidRPr="00FD1551" w:rsidRDefault="00FD1551" w:rsidP="00FD1551">
      <w:pPr>
        <w:spacing w:after="0" w:line="240" w:lineRule="auto"/>
        <w:ind w:left="1701"/>
        <w:rPr>
          <w:rFonts w:ascii="Arial" w:eastAsia="Times New Roman" w:hAnsi="Arial" w:cs="Arial"/>
          <w:sz w:val="20"/>
          <w:szCs w:val="20"/>
          <w:lang w:eastAsia="pt-BR"/>
        </w:rPr>
      </w:pPr>
      <w:r w:rsidRPr="00FD1551">
        <w:rPr>
          <w:rFonts w:ascii="Arial" w:eastAsia="Times New Roman" w:hAnsi="Arial" w:cs="Arial"/>
          <w:sz w:val="20"/>
          <w:szCs w:val="20"/>
          <w:lang w:eastAsia="pt-BR"/>
        </w:rPr>
        <w:t>&lt;CodigoDetalhamentoFonteDestinacaoRecursos&gt;</w:t>
      </w:r>
      <w:r w:rsidRPr="00FD1551">
        <w:rPr>
          <w:rFonts w:ascii="Arial" w:eastAsia="Times New Roman" w:hAnsi="Arial" w:cs="Arial"/>
          <w:b/>
          <w:sz w:val="20"/>
          <w:szCs w:val="20"/>
          <w:lang w:eastAsia="pt-BR"/>
        </w:rPr>
        <w:t>XXXX</w:t>
      </w:r>
    </w:p>
    <w:p w14:paraId="52E31E27" w14:textId="77777777" w:rsidR="00FD1551" w:rsidRPr="00FD1551" w:rsidRDefault="00FD1551" w:rsidP="00FD1551">
      <w:pPr>
        <w:spacing w:after="0" w:line="240" w:lineRule="auto"/>
        <w:ind w:left="1701"/>
        <w:rPr>
          <w:rFonts w:ascii="Arial" w:eastAsia="Times New Roman" w:hAnsi="Arial" w:cs="Arial"/>
          <w:sz w:val="20"/>
          <w:szCs w:val="20"/>
          <w:lang w:eastAsia="pt-BR"/>
        </w:rPr>
      </w:pPr>
      <w:r w:rsidRPr="00FD1551">
        <w:rPr>
          <w:rFonts w:ascii="Arial" w:eastAsia="Times New Roman" w:hAnsi="Arial" w:cs="Arial"/>
          <w:sz w:val="20"/>
          <w:szCs w:val="20"/>
          <w:lang w:eastAsia="pt-BR"/>
        </w:rPr>
        <w:t>&lt;/CodigoDetalhamentoFonteDestinacaoRecursos&gt;</w:t>
      </w:r>
    </w:p>
    <w:p w14:paraId="6E08911C" w14:textId="77777777" w:rsidR="00FD1551" w:rsidRPr="00FD1551" w:rsidRDefault="00FD1551" w:rsidP="00FD1551">
      <w:pPr>
        <w:spacing w:after="0" w:line="240" w:lineRule="auto"/>
        <w:ind w:left="1701"/>
        <w:rPr>
          <w:rFonts w:ascii="Arial" w:eastAsia="Times New Roman" w:hAnsi="Arial" w:cs="Arial"/>
          <w:sz w:val="20"/>
          <w:szCs w:val="20"/>
          <w:lang w:eastAsia="pt-BR"/>
        </w:rPr>
      </w:pPr>
      <w:r w:rsidRPr="00FD1551">
        <w:rPr>
          <w:rFonts w:ascii="Arial" w:eastAsia="Times New Roman" w:hAnsi="Arial" w:cs="Arial"/>
          <w:sz w:val="20"/>
          <w:szCs w:val="20"/>
          <w:lang w:eastAsia="pt-BR"/>
        </w:rPr>
        <w:t>&lt;ValorCancelado&gt;</w:t>
      </w:r>
      <w:r w:rsidRPr="00FD1551">
        <w:rPr>
          <w:rFonts w:ascii="Arial" w:eastAsia="Times New Roman" w:hAnsi="Arial" w:cs="Arial"/>
          <w:b/>
          <w:sz w:val="20"/>
          <w:szCs w:val="20"/>
          <w:lang w:eastAsia="pt-BR"/>
        </w:rPr>
        <w:t>99999999999999.99</w:t>
      </w:r>
      <w:r w:rsidRPr="00FD1551">
        <w:rPr>
          <w:rFonts w:ascii="Arial" w:eastAsia="Times New Roman" w:hAnsi="Arial" w:cs="Arial"/>
          <w:sz w:val="20"/>
          <w:szCs w:val="20"/>
          <w:lang w:eastAsia="pt-BR"/>
        </w:rPr>
        <w:t>&lt;/ValorCancelado&gt;</w:t>
      </w:r>
    </w:p>
    <w:p w14:paraId="59B3E24C" w14:textId="77777777" w:rsidR="00FD1551" w:rsidRPr="00FD1551" w:rsidRDefault="00FD1551" w:rsidP="00FD1551">
      <w:pPr>
        <w:spacing w:after="0" w:line="240" w:lineRule="auto"/>
        <w:ind w:left="1134"/>
        <w:rPr>
          <w:rFonts w:ascii="Arial" w:eastAsia="Times New Roman" w:hAnsi="Arial" w:cs="Arial"/>
          <w:sz w:val="20"/>
          <w:szCs w:val="20"/>
          <w:lang w:eastAsia="pt-BR"/>
        </w:rPr>
      </w:pPr>
      <w:r w:rsidRPr="00FD1551">
        <w:rPr>
          <w:rFonts w:ascii="Arial" w:eastAsia="Times New Roman" w:hAnsi="Arial" w:cs="Arial"/>
          <w:sz w:val="20"/>
          <w:szCs w:val="20"/>
          <w:lang w:eastAsia="pt-BR"/>
        </w:rPr>
        <w:t>&lt;/CancelamentoRestosPagarConsorcio&gt;</w:t>
      </w:r>
    </w:p>
    <w:p w14:paraId="64FD52A7" w14:textId="77777777" w:rsidR="00FD1551" w:rsidRPr="00FD1551" w:rsidRDefault="00FD1551" w:rsidP="00FD1551">
      <w:pPr>
        <w:spacing w:after="0" w:line="240" w:lineRule="auto"/>
        <w:rPr>
          <w:rFonts w:ascii="Calibri" w:eastAsia="Times New Roman" w:hAnsi="Calibri" w:cs="Times New Roman"/>
          <w:lang w:eastAsia="pt-BR"/>
        </w:rPr>
      </w:pPr>
    </w:p>
    <w:p w14:paraId="6558B0B9" w14:textId="77777777" w:rsidR="00FD1551" w:rsidRPr="00FD1551" w:rsidRDefault="00FD1551" w:rsidP="00FD1551">
      <w:pPr>
        <w:spacing w:after="0" w:line="240" w:lineRule="auto"/>
        <w:ind w:left="1134"/>
        <w:rPr>
          <w:rFonts w:ascii="Arial" w:eastAsia="Times New Roman" w:hAnsi="Arial" w:cs="Arial"/>
          <w:sz w:val="20"/>
          <w:szCs w:val="20"/>
          <w:lang w:eastAsia="pt-BR"/>
        </w:rPr>
      </w:pPr>
      <w:r w:rsidRPr="00FD1551">
        <w:rPr>
          <w:rFonts w:ascii="Arial" w:eastAsia="Times New Roman" w:hAnsi="Arial" w:cs="Arial"/>
          <w:sz w:val="20"/>
          <w:szCs w:val="20"/>
          <w:lang w:eastAsia="pt-BR"/>
        </w:rPr>
        <w:t>&lt;InsuficienciaCaixaConsorcio&gt;</w:t>
      </w:r>
    </w:p>
    <w:p w14:paraId="1680A42B" w14:textId="77777777" w:rsidR="00FD1551" w:rsidRPr="00FD1551" w:rsidRDefault="00FD1551" w:rsidP="00FD1551">
      <w:pPr>
        <w:spacing w:after="0" w:line="240" w:lineRule="auto"/>
        <w:ind w:left="1701"/>
        <w:rPr>
          <w:rFonts w:ascii="Arial" w:eastAsia="Times New Roman" w:hAnsi="Arial" w:cs="Arial"/>
          <w:sz w:val="20"/>
          <w:szCs w:val="20"/>
          <w:lang w:eastAsia="pt-BR"/>
        </w:rPr>
      </w:pPr>
      <w:r w:rsidRPr="00FD1551">
        <w:rPr>
          <w:rFonts w:ascii="Arial" w:eastAsia="Times New Roman" w:hAnsi="Arial" w:cs="Arial"/>
          <w:sz w:val="20"/>
          <w:szCs w:val="20"/>
          <w:lang w:eastAsia="pt-BR"/>
        </w:rPr>
        <w:t>&lt;IdNumRegistro&gt;</w:t>
      </w:r>
      <w:r w:rsidRPr="00FD1551">
        <w:rPr>
          <w:rFonts w:ascii="Arial" w:eastAsia="Times New Roman" w:hAnsi="Arial" w:cs="Arial"/>
          <w:b/>
          <w:sz w:val="20"/>
          <w:szCs w:val="20"/>
          <w:lang w:eastAsia="pt-BR"/>
        </w:rPr>
        <w:t>99999</w:t>
      </w:r>
      <w:r w:rsidRPr="00FD1551">
        <w:rPr>
          <w:rFonts w:ascii="Arial" w:eastAsia="Times New Roman" w:hAnsi="Arial" w:cs="Arial"/>
          <w:sz w:val="20"/>
          <w:szCs w:val="20"/>
          <w:lang w:eastAsia="pt-BR"/>
        </w:rPr>
        <w:t>&lt;/IdNumRegistro&gt;</w:t>
      </w:r>
    </w:p>
    <w:p w14:paraId="6026BBDE" w14:textId="77777777" w:rsidR="00FD1551" w:rsidRPr="00FD1551" w:rsidRDefault="00FD1551" w:rsidP="00FD1551">
      <w:pPr>
        <w:spacing w:after="0" w:line="240" w:lineRule="auto"/>
        <w:ind w:left="1701"/>
        <w:rPr>
          <w:rFonts w:ascii="Arial" w:eastAsia="Times New Roman" w:hAnsi="Arial" w:cs="Arial"/>
          <w:sz w:val="20"/>
          <w:szCs w:val="20"/>
          <w:lang w:eastAsia="pt-BR"/>
        </w:rPr>
      </w:pPr>
      <w:r w:rsidRPr="00FD1551">
        <w:rPr>
          <w:rFonts w:ascii="Arial" w:eastAsia="Times New Roman" w:hAnsi="Arial" w:cs="Arial"/>
          <w:sz w:val="20"/>
          <w:szCs w:val="20"/>
          <w:lang w:eastAsia="pt-BR"/>
        </w:rPr>
        <w:lastRenderedPageBreak/>
        <w:t>&lt;CodigoCNPJConsorcio&gt;</w:t>
      </w:r>
      <w:r w:rsidRPr="00FD1551">
        <w:rPr>
          <w:rFonts w:ascii="Arial" w:eastAsia="Times New Roman" w:hAnsi="Arial" w:cs="Arial"/>
          <w:b/>
          <w:sz w:val="20"/>
          <w:szCs w:val="20"/>
          <w:lang w:eastAsia="pt-BR"/>
        </w:rPr>
        <w:t>XXX...XXX</w:t>
      </w:r>
      <w:r w:rsidRPr="00FD1551">
        <w:rPr>
          <w:rFonts w:ascii="Arial" w:eastAsia="Times New Roman" w:hAnsi="Arial" w:cs="Arial"/>
          <w:sz w:val="20"/>
          <w:szCs w:val="20"/>
          <w:lang w:eastAsia="pt-BR"/>
        </w:rPr>
        <w:t>&lt;/CodigoCNPJConsorcio&gt;</w:t>
      </w:r>
    </w:p>
    <w:p w14:paraId="490220F8" w14:textId="77777777" w:rsidR="00FD1551" w:rsidRPr="00FD1551" w:rsidRDefault="00FD1551" w:rsidP="00FD1551">
      <w:pPr>
        <w:spacing w:after="0" w:line="240" w:lineRule="auto"/>
        <w:ind w:left="1701"/>
        <w:rPr>
          <w:rFonts w:ascii="Arial" w:eastAsia="Times New Roman" w:hAnsi="Arial" w:cs="Arial"/>
          <w:sz w:val="20"/>
          <w:szCs w:val="20"/>
          <w:lang w:eastAsia="pt-BR"/>
        </w:rPr>
      </w:pPr>
      <w:r w:rsidRPr="00FD1551">
        <w:rPr>
          <w:rFonts w:ascii="Arial" w:eastAsia="Times New Roman" w:hAnsi="Arial" w:cs="Arial"/>
          <w:sz w:val="20"/>
          <w:szCs w:val="20"/>
          <w:lang w:eastAsia="pt-BR"/>
        </w:rPr>
        <w:t>&lt;CodigoGrupoFonteDestinacaoRecursos&gt;</w:t>
      </w:r>
      <w:r w:rsidRPr="00FD1551">
        <w:rPr>
          <w:rFonts w:ascii="Arial" w:eastAsia="Times New Roman" w:hAnsi="Arial" w:cs="Arial"/>
          <w:b/>
          <w:sz w:val="20"/>
          <w:szCs w:val="20"/>
          <w:lang w:eastAsia="pt-BR"/>
        </w:rPr>
        <w:t>9</w:t>
      </w:r>
    </w:p>
    <w:p w14:paraId="71B7A474" w14:textId="77777777" w:rsidR="00FD1551" w:rsidRPr="00FD1551" w:rsidRDefault="00FD1551" w:rsidP="00FD1551">
      <w:pPr>
        <w:spacing w:after="0" w:line="240" w:lineRule="auto"/>
        <w:ind w:left="1701"/>
        <w:rPr>
          <w:rFonts w:ascii="Arial" w:eastAsia="Times New Roman" w:hAnsi="Arial" w:cs="Arial"/>
          <w:sz w:val="20"/>
          <w:szCs w:val="20"/>
          <w:lang w:eastAsia="pt-BR"/>
        </w:rPr>
      </w:pPr>
      <w:r w:rsidRPr="00FD1551">
        <w:rPr>
          <w:rFonts w:ascii="Arial" w:eastAsia="Times New Roman" w:hAnsi="Arial" w:cs="Arial"/>
          <w:sz w:val="20"/>
          <w:szCs w:val="20"/>
          <w:lang w:eastAsia="pt-BR"/>
        </w:rPr>
        <w:t>&lt;/CodigoGrupoFonteDestinacaoRecursos&gt;</w:t>
      </w:r>
    </w:p>
    <w:p w14:paraId="2D2CF898" w14:textId="77777777" w:rsidR="00FD1551" w:rsidRPr="00FD1551" w:rsidRDefault="00FD1551" w:rsidP="00FD1551">
      <w:pPr>
        <w:spacing w:after="0" w:line="240" w:lineRule="auto"/>
        <w:ind w:left="1701"/>
        <w:rPr>
          <w:rFonts w:ascii="Arial" w:eastAsia="Times New Roman" w:hAnsi="Arial" w:cs="Arial"/>
          <w:sz w:val="20"/>
          <w:szCs w:val="20"/>
          <w:lang w:eastAsia="pt-BR"/>
        </w:rPr>
      </w:pPr>
      <w:r w:rsidRPr="00FD1551">
        <w:rPr>
          <w:rFonts w:ascii="Arial" w:eastAsia="Times New Roman" w:hAnsi="Arial" w:cs="Arial"/>
          <w:sz w:val="20"/>
          <w:szCs w:val="20"/>
          <w:lang w:eastAsia="pt-BR"/>
        </w:rPr>
        <w:t>&lt;CodigoEspecificacaoFonteDestinacaoRecursos&gt;</w:t>
      </w:r>
      <w:r w:rsidRPr="00FD1551">
        <w:rPr>
          <w:rFonts w:ascii="Arial" w:eastAsia="Times New Roman" w:hAnsi="Arial" w:cs="Arial"/>
          <w:b/>
          <w:sz w:val="20"/>
          <w:szCs w:val="20"/>
          <w:lang w:eastAsia="pt-BR"/>
        </w:rPr>
        <w:t>XXX</w:t>
      </w:r>
    </w:p>
    <w:p w14:paraId="31499BD6" w14:textId="77777777" w:rsidR="00FD1551" w:rsidRPr="00FD1551" w:rsidRDefault="00FD1551" w:rsidP="00FD1551">
      <w:pPr>
        <w:spacing w:after="0" w:line="240" w:lineRule="auto"/>
        <w:ind w:left="1701"/>
        <w:rPr>
          <w:rFonts w:ascii="Arial" w:eastAsia="Times New Roman" w:hAnsi="Arial" w:cs="Arial"/>
          <w:sz w:val="20"/>
          <w:szCs w:val="20"/>
          <w:lang w:eastAsia="pt-BR"/>
        </w:rPr>
      </w:pPr>
      <w:r w:rsidRPr="00FD1551">
        <w:rPr>
          <w:rFonts w:ascii="Arial" w:eastAsia="Times New Roman" w:hAnsi="Arial" w:cs="Arial"/>
          <w:sz w:val="20"/>
          <w:szCs w:val="20"/>
          <w:lang w:eastAsia="pt-BR"/>
        </w:rPr>
        <w:t>&lt;/CodigoEspecificacaoFonteDestinacaoRecursos&gt;</w:t>
      </w:r>
    </w:p>
    <w:p w14:paraId="6FEC388E" w14:textId="77777777" w:rsidR="00FD1551" w:rsidRPr="00FD1551" w:rsidRDefault="00FD1551" w:rsidP="00FD1551">
      <w:pPr>
        <w:spacing w:after="0" w:line="240" w:lineRule="auto"/>
        <w:ind w:left="1701"/>
        <w:rPr>
          <w:rFonts w:ascii="Arial" w:eastAsia="Times New Roman" w:hAnsi="Arial" w:cs="Arial"/>
          <w:sz w:val="20"/>
          <w:szCs w:val="20"/>
          <w:lang w:eastAsia="pt-BR"/>
        </w:rPr>
      </w:pPr>
      <w:r w:rsidRPr="00FD1551">
        <w:rPr>
          <w:rFonts w:ascii="Arial" w:eastAsia="Times New Roman" w:hAnsi="Arial" w:cs="Arial"/>
          <w:sz w:val="20"/>
          <w:szCs w:val="20"/>
          <w:lang w:eastAsia="pt-BR"/>
        </w:rPr>
        <w:t>&lt;CodigoDetalhamentoFonteDestinacaoRecursos&gt;</w:t>
      </w:r>
      <w:r w:rsidRPr="00FD1551">
        <w:rPr>
          <w:rFonts w:ascii="Arial" w:eastAsia="Times New Roman" w:hAnsi="Arial" w:cs="Arial"/>
          <w:b/>
          <w:sz w:val="20"/>
          <w:szCs w:val="20"/>
          <w:lang w:eastAsia="pt-BR"/>
        </w:rPr>
        <w:t>XXXX</w:t>
      </w:r>
    </w:p>
    <w:p w14:paraId="54429B4B" w14:textId="77777777" w:rsidR="00FD1551" w:rsidRPr="00FD1551" w:rsidRDefault="00FD1551" w:rsidP="00FD1551">
      <w:pPr>
        <w:spacing w:after="0" w:line="240" w:lineRule="auto"/>
        <w:ind w:left="1701"/>
        <w:rPr>
          <w:rFonts w:ascii="Arial" w:eastAsia="Times New Roman" w:hAnsi="Arial" w:cs="Arial"/>
          <w:sz w:val="20"/>
          <w:szCs w:val="20"/>
          <w:lang w:eastAsia="pt-BR"/>
        </w:rPr>
      </w:pPr>
      <w:r w:rsidRPr="00FD1551">
        <w:rPr>
          <w:rFonts w:ascii="Arial" w:eastAsia="Times New Roman" w:hAnsi="Arial" w:cs="Arial"/>
          <w:sz w:val="20"/>
          <w:szCs w:val="20"/>
          <w:lang w:eastAsia="pt-BR"/>
        </w:rPr>
        <w:t>&lt;/CodigoDetalhamentoFonteDestinacaoRecursos&gt;</w:t>
      </w:r>
    </w:p>
    <w:p w14:paraId="1A4C61E4" w14:textId="77777777" w:rsidR="00FD1551" w:rsidRPr="00FD1551" w:rsidRDefault="00FD1551" w:rsidP="00FD1551">
      <w:pPr>
        <w:spacing w:after="0" w:line="240" w:lineRule="auto"/>
        <w:ind w:left="1701"/>
        <w:rPr>
          <w:rFonts w:ascii="Arial" w:eastAsia="Times New Roman" w:hAnsi="Arial" w:cs="Arial"/>
          <w:sz w:val="20"/>
          <w:szCs w:val="20"/>
          <w:lang w:eastAsia="pt-BR"/>
        </w:rPr>
      </w:pPr>
      <w:r w:rsidRPr="00FD1551">
        <w:rPr>
          <w:rFonts w:ascii="Arial" w:eastAsia="Times New Roman" w:hAnsi="Arial" w:cs="Arial"/>
          <w:sz w:val="20"/>
          <w:szCs w:val="20"/>
          <w:lang w:eastAsia="pt-BR"/>
        </w:rPr>
        <w:t>&lt;ValorInsuficienciaCaixa&gt;</w:t>
      </w:r>
      <w:r w:rsidRPr="00FD1551">
        <w:rPr>
          <w:rFonts w:ascii="Arial" w:eastAsia="Times New Roman" w:hAnsi="Arial" w:cs="Arial"/>
          <w:b/>
          <w:sz w:val="20"/>
          <w:szCs w:val="20"/>
          <w:lang w:eastAsia="pt-BR"/>
        </w:rPr>
        <w:t>99999999999999.99</w:t>
      </w:r>
      <w:r w:rsidRPr="00FD1551">
        <w:rPr>
          <w:rFonts w:ascii="Arial" w:eastAsia="Times New Roman" w:hAnsi="Arial" w:cs="Arial"/>
          <w:sz w:val="20"/>
          <w:szCs w:val="20"/>
          <w:lang w:eastAsia="pt-BR"/>
        </w:rPr>
        <w:t>&lt;/ValorInsuficienciaCaixa&gt;</w:t>
      </w:r>
    </w:p>
    <w:p w14:paraId="7F5432E7" w14:textId="77777777" w:rsidR="00FD1551" w:rsidRPr="00FD1551" w:rsidRDefault="00FD1551" w:rsidP="00FD1551">
      <w:pPr>
        <w:spacing w:after="0" w:line="240" w:lineRule="auto"/>
        <w:ind w:left="1134"/>
        <w:rPr>
          <w:rFonts w:ascii="Arial" w:eastAsia="Times New Roman" w:hAnsi="Arial" w:cs="Arial"/>
          <w:sz w:val="20"/>
          <w:szCs w:val="20"/>
          <w:lang w:eastAsia="pt-BR"/>
        </w:rPr>
      </w:pPr>
      <w:r w:rsidRPr="00FD1551">
        <w:rPr>
          <w:rFonts w:ascii="Arial" w:eastAsia="Times New Roman" w:hAnsi="Arial" w:cs="Arial"/>
          <w:sz w:val="20"/>
          <w:szCs w:val="20"/>
          <w:lang w:eastAsia="pt-BR"/>
        </w:rPr>
        <w:t xml:space="preserve"> &lt;/InsuficienciaCaixaConsorcio&gt;</w:t>
      </w:r>
    </w:p>
    <w:p w14:paraId="5C31C845" w14:textId="77777777" w:rsidR="00FD1551" w:rsidRPr="00FD1551" w:rsidRDefault="00FD1551" w:rsidP="00FD1551">
      <w:pPr>
        <w:spacing w:after="0" w:line="240" w:lineRule="auto"/>
        <w:rPr>
          <w:rFonts w:ascii="Arial" w:eastAsia="Times New Roman" w:hAnsi="Arial" w:cs="Arial"/>
          <w:sz w:val="20"/>
          <w:szCs w:val="20"/>
          <w:lang w:eastAsia="pt-BR"/>
        </w:rPr>
      </w:pPr>
    </w:p>
    <w:p w14:paraId="7CDCDEBF" w14:textId="77777777" w:rsidR="00FD1551" w:rsidRPr="00FD1551" w:rsidRDefault="00FD1551" w:rsidP="00FD1551">
      <w:pPr>
        <w:spacing w:after="0" w:line="240" w:lineRule="auto"/>
        <w:ind w:left="567"/>
        <w:rPr>
          <w:rFonts w:ascii="Arial" w:eastAsia="Times New Roman" w:hAnsi="Arial" w:cs="Arial"/>
          <w:sz w:val="20"/>
          <w:szCs w:val="20"/>
          <w:lang w:eastAsia="pt-BR"/>
        </w:rPr>
      </w:pPr>
      <w:r w:rsidRPr="00FD1551">
        <w:rPr>
          <w:rFonts w:ascii="Arial" w:eastAsia="Times New Roman" w:hAnsi="Arial" w:cs="Arial"/>
          <w:sz w:val="20"/>
          <w:szCs w:val="20"/>
          <w:lang w:eastAsia="pt-BR"/>
        </w:rPr>
        <w:t>&lt;/BalanceteExecucaoOrcamentariaConsorcio_Schema</w:t>
      </w:r>
    </w:p>
    <w:p w14:paraId="405A43DE" w14:textId="77777777" w:rsidR="00FD1551" w:rsidRPr="00FD1551" w:rsidRDefault="00FD1551" w:rsidP="00FD1551">
      <w:pPr>
        <w:rPr>
          <w:rFonts w:ascii="Arial" w:eastAsia="Times New Roman" w:hAnsi="Arial" w:cs="Arial"/>
          <w:sz w:val="20"/>
          <w:szCs w:val="20"/>
          <w:lang w:eastAsia="pt-BR"/>
        </w:rPr>
      </w:pPr>
      <w:r w:rsidRPr="00FD1551">
        <w:rPr>
          <w:rFonts w:ascii="Arial" w:eastAsia="Times New Roman" w:hAnsi="Arial" w:cs="Arial"/>
          <w:sz w:val="20"/>
          <w:szCs w:val="20"/>
          <w:lang w:eastAsia="pt-BR"/>
        </w:rPr>
        <w:t>&lt;PrestacaoContasAnual&gt;</w:t>
      </w:r>
    </w:p>
    <w:tbl>
      <w:tblPr>
        <w:tblW w:w="9229" w:type="dxa"/>
        <w:tblInd w:w="55" w:type="dxa"/>
        <w:tblLayout w:type="fixed"/>
        <w:tblCellMar>
          <w:left w:w="70" w:type="dxa"/>
          <w:right w:w="70" w:type="dxa"/>
        </w:tblCellMar>
        <w:tblLook w:val="04A0" w:firstRow="1" w:lastRow="0" w:firstColumn="1" w:lastColumn="0" w:noHBand="0" w:noVBand="1"/>
      </w:tblPr>
      <w:tblGrid>
        <w:gridCol w:w="3417"/>
        <w:gridCol w:w="1276"/>
        <w:gridCol w:w="1134"/>
        <w:gridCol w:w="3402"/>
      </w:tblGrid>
      <w:tr w:rsidR="00FD1551" w:rsidRPr="00FD1551" w14:paraId="5E7E22D2" w14:textId="77777777" w:rsidTr="00FD1551">
        <w:trPr>
          <w:trHeight w:val="315"/>
        </w:trPr>
        <w:tc>
          <w:tcPr>
            <w:tcW w:w="3417" w:type="dxa"/>
            <w:tcBorders>
              <w:top w:val="single" w:sz="8" w:space="0" w:color="auto"/>
              <w:left w:val="single" w:sz="8" w:space="0" w:color="auto"/>
              <w:bottom w:val="single" w:sz="8" w:space="0" w:color="auto"/>
              <w:right w:val="single" w:sz="8" w:space="0" w:color="auto"/>
            </w:tcBorders>
            <w:shd w:val="clear" w:color="000000" w:fill="C0C0C0"/>
            <w:vAlign w:val="center"/>
            <w:hideMark/>
          </w:tcPr>
          <w:p w14:paraId="61EA6680" w14:textId="77777777" w:rsidR="00FD1551" w:rsidRPr="00FD1551" w:rsidRDefault="00FD1551" w:rsidP="00FD1551">
            <w:pPr>
              <w:spacing w:after="0" w:line="240" w:lineRule="auto"/>
              <w:jc w:val="center"/>
              <w:rPr>
                <w:rFonts w:ascii="Arial" w:eastAsia="Times New Roman" w:hAnsi="Arial" w:cs="Arial"/>
                <w:b/>
                <w:bCs/>
                <w:sz w:val="20"/>
                <w:szCs w:val="20"/>
                <w:lang w:eastAsia="pt-BR"/>
              </w:rPr>
            </w:pPr>
            <w:r w:rsidRPr="00FD1551">
              <w:rPr>
                <w:rFonts w:ascii="Arial" w:eastAsia="Times New Roman" w:hAnsi="Arial" w:cs="Arial"/>
                <w:b/>
                <w:bCs/>
                <w:sz w:val="20"/>
                <w:szCs w:val="20"/>
                <w:lang w:eastAsia="pt-BR"/>
              </w:rPr>
              <w:t>Campo</w:t>
            </w:r>
          </w:p>
        </w:tc>
        <w:tc>
          <w:tcPr>
            <w:tcW w:w="1276" w:type="dxa"/>
            <w:tcBorders>
              <w:top w:val="single" w:sz="8" w:space="0" w:color="auto"/>
              <w:left w:val="nil"/>
              <w:bottom w:val="single" w:sz="8" w:space="0" w:color="auto"/>
              <w:right w:val="single" w:sz="8" w:space="0" w:color="auto"/>
            </w:tcBorders>
            <w:shd w:val="clear" w:color="000000" w:fill="C0C0C0"/>
            <w:vAlign w:val="center"/>
            <w:hideMark/>
          </w:tcPr>
          <w:p w14:paraId="786B27F2" w14:textId="77777777" w:rsidR="00FD1551" w:rsidRPr="00FD1551" w:rsidRDefault="00FD1551" w:rsidP="00FD1551">
            <w:pPr>
              <w:spacing w:after="0" w:line="240" w:lineRule="auto"/>
              <w:jc w:val="center"/>
              <w:rPr>
                <w:rFonts w:ascii="Arial" w:eastAsia="Times New Roman" w:hAnsi="Arial" w:cs="Arial"/>
                <w:b/>
                <w:bCs/>
                <w:sz w:val="20"/>
                <w:szCs w:val="20"/>
                <w:lang w:eastAsia="pt-BR"/>
              </w:rPr>
            </w:pPr>
            <w:r w:rsidRPr="00FD1551">
              <w:rPr>
                <w:rFonts w:ascii="Arial" w:eastAsia="Times New Roman" w:hAnsi="Arial" w:cs="Arial"/>
                <w:b/>
                <w:bCs/>
                <w:sz w:val="20"/>
                <w:szCs w:val="20"/>
                <w:lang w:eastAsia="pt-BR"/>
              </w:rPr>
              <w:t>Tipo</w:t>
            </w:r>
          </w:p>
        </w:tc>
        <w:tc>
          <w:tcPr>
            <w:tcW w:w="1134" w:type="dxa"/>
            <w:tcBorders>
              <w:top w:val="single" w:sz="8" w:space="0" w:color="auto"/>
              <w:left w:val="nil"/>
              <w:bottom w:val="single" w:sz="8" w:space="0" w:color="auto"/>
              <w:right w:val="single" w:sz="8" w:space="0" w:color="auto"/>
            </w:tcBorders>
            <w:shd w:val="clear" w:color="000000" w:fill="C0C0C0"/>
            <w:vAlign w:val="center"/>
            <w:hideMark/>
          </w:tcPr>
          <w:p w14:paraId="41E85AE3" w14:textId="77777777" w:rsidR="00FD1551" w:rsidRPr="00FD1551" w:rsidRDefault="00FD1551" w:rsidP="00FD1551">
            <w:pPr>
              <w:spacing w:after="0" w:line="240" w:lineRule="auto"/>
              <w:jc w:val="center"/>
              <w:rPr>
                <w:rFonts w:ascii="Arial" w:eastAsia="Times New Roman" w:hAnsi="Arial" w:cs="Arial"/>
                <w:b/>
                <w:bCs/>
                <w:sz w:val="20"/>
                <w:szCs w:val="20"/>
                <w:lang w:eastAsia="pt-BR"/>
              </w:rPr>
            </w:pPr>
            <w:r w:rsidRPr="00FD1551">
              <w:rPr>
                <w:rFonts w:ascii="Arial" w:eastAsia="Times New Roman" w:hAnsi="Arial" w:cs="Arial"/>
                <w:b/>
                <w:bCs/>
                <w:sz w:val="20"/>
                <w:szCs w:val="20"/>
                <w:lang w:eastAsia="pt-BR"/>
              </w:rPr>
              <w:t>Tamanho</w:t>
            </w:r>
          </w:p>
        </w:tc>
        <w:tc>
          <w:tcPr>
            <w:tcW w:w="3402" w:type="dxa"/>
            <w:tcBorders>
              <w:top w:val="single" w:sz="8" w:space="0" w:color="auto"/>
              <w:left w:val="nil"/>
              <w:bottom w:val="single" w:sz="8" w:space="0" w:color="auto"/>
              <w:right w:val="single" w:sz="8" w:space="0" w:color="auto"/>
            </w:tcBorders>
            <w:shd w:val="clear" w:color="000000" w:fill="C0C0C0"/>
            <w:vAlign w:val="center"/>
            <w:hideMark/>
          </w:tcPr>
          <w:p w14:paraId="09F38691" w14:textId="77777777" w:rsidR="00FD1551" w:rsidRPr="00FD1551" w:rsidRDefault="00FD1551" w:rsidP="00FD1551">
            <w:pPr>
              <w:spacing w:after="0" w:line="240" w:lineRule="auto"/>
              <w:jc w:val="center"/>
              <w:rPr>
                <w:rFonts w:ascii="Arial" w:eastAsia="Times New Roman" w:hAnsi="Arial" w:cs="Arial"/>
                <w:b/>
                <w:bCs/>
                <w:sz w:val="20"/>
                <w:szCs w:val="20"/>
                <w:lang w:eastAsia="pt-BR"/>
              </w:rPr>
            </w:pPr>
            <w:r w:rsidRPr="00FD1551">
              <w:rPr>
                <w:rFonts w:ascii="Arial" w:eastAsia="Times New Roman" w:hAnsi="Arial" w:cs="Arial"/>
                <w:b/>
                <w:bCs/>
                <w:sz w:val="20"/>
                <w:szCs w:val="20"/>
                <w:lang w:eastAsia="pt-BR"/>
              </w:rPr>
              <w:t>Obrigatoriedade</w:t>
            </w:r>
          </w:p>
        </w:tc>
      </w:tr>
      <w:tr w:rsidR="00FD1551" w:rsidRPr="00FD1551" w14:paraId="3C3542C4" w14:textId="77777777" w:rsidTr="00FD1551">
        <w:trPr>
          <w:trHeight w:val="499"/>
        </w:trPr>
        <w:tc>
          <w:tcPr>
            <w:tcW w:w="9229" w:type="dxa"/>
            <w:gridSpan w:val="4"/>
            <w:tcBorders>
              <w:top w:val="single" w:sz="8" w:space="0" w:color="auto"/>
              <w:left w:val="single" w:sz="8" w:space="0" w:color="auto"/>
              <w:bottom w:val="single" w:sz="8" w:space="0" w:color="auto"/>
              <w:right w:val="single" w:sz="8" w:space="0" w:color="000000"/>
            </w:tcBorders>
            <w:shd w:val="clear" w:color="000000" w:fill="BFBFBF"/>
            <w:vAlign w:val="center"/>
            <w:hideMark/>
          </w:tcPr>
          <w:p w14:paraId="280AAA55" w14:textId="77777777" w:rsidR="00FD1551" w:rsidRPr="00FD1551" w:rsidRDefault="00FD1551" w:rsidP="00FD1551">
            <w:pPr>
              <w:spacing w:after="0" w:line="240" w:lineRule="auto"/>
              <w:jc w:val="center"/>
              <w:rPr>
                <w:rFonts w:ascii="Arial" w:eastAsia="Times New Roman" w:hAnsi="Arial" w:cs="Arial"/>
                <w:b/>
                <w:bCs/>
                <w:sz w:val="20"/>
                <w:szCs w:val="20"/>
                <w:lang w:eastAsia="pt-BR"/>
              </w:rPr>
            </w:pPr>
            <w:r w:rsidRPr="00FD1551">
              <w:rPr>
                <w:rFonts w:ascii="Arial" w:eastAsia="Times New Roman" w:hAnsi="Arial" w:cs="Arial"/>
                <w:b/>
                <w:bCs/>
                <w:sz w:val="20"/>
                <w:szCs w:val="20"/>
                <w:lang w:eastAsia="pt-BR"/>
              </w:rPr>
              <w:t>Estrutura ‘BalanceteExecucaoOrcamentariaConsorcio’</w:t>
            </w:r>
          </w:p>
        </w:tc>
      </w:tr>
      <w:tr w:rsidR="00FD1551" w:rsidRPr="00FD1551" w14:paraId="6FEBA3C2" w14:textId="77777777" w:rsidTr="00FD1551">
        <w:trPr>
          <w:trHeight w:val="315"/>
        </w:trPr>
        <w:tc>
          <w:tcPr>
            <w:tcW w:w="3417" w:type="dxa"/>
            <w:tcBorders>
              <w:top w:val="nil"/>
              <w:left w:val="single" w:sz="8" w:space="0" w:color="auto"/>
              <w:bottom w:val="single" w:sz="8" w:space="0" w:color="auto"/>
              <w:right w:val="single" w:sz="8" w:space="0" w:color="auto"/>
            </w:tcBorders>
            <w:shd w:val="clear" w:color="auto" w:fill="auto"/>
            <w:vAlign w:val="center"/>
            <w:hideMark/>
          </w:tcPr>
          <w:p w14:paraId="624F2268" w14:textId="77777777" w:rsidR="00FD1551" w:rsidRPr="00FD1551" w:rsidRDefault="00FD1551" w:rsidP="00FD1551">
            <w:pPr>
              <w:spacing w:after="0" w:line="240" w:lineRule="auto"/>
              <w:jc w:val="both"/>
              <w:rPr>
                <w:rFonts w:ascii="Arial" w:eastAsia="Times New Roman" w:hAnsi="Arial" w:cs="Arial"/>
                <w:sz w:val="20"/>
                <w:szCs w:val="20"/>
                <w:lang w:eastAsia="pt-BR"/>
              </w:rPr>
            </w:pPr>
            <w:r w:rsidRPr="00FD1551">
              <w:rPr>
                <w:rFonts w:ascii="Arial" w:eastAsia="Times New Roman" w:hAnsi="Arial" w:cs="Arial"/>
                <w:sz w:val="20"/>
                <w:szCs w:val="20"/>
                <w:lang w:eastAsia="pt-BR"/>
              </w:rPr>
              <w:t>Identificação do Numero do Registro</w:t>
            </w:r>
          </w:p>
        </w:tc>
        <w:tc>
          <w:tcPr>
            <w:tcW w:w="1276" w:type="dxa"/>
            <w:tcBorders>
              <w:top w:val="nil"/>
              <w:left w:val="nil"/>
              <w:bottom w:val="single" w:sz="8" w:space="0" w:color="auto"/>
              <w:right w:val="single" w:sz="8" w:space="0" w:color="auto"/>
            </w:tcBorders>
            <w:shd w:val="clear" w:color="auto" w:fill="auto"/>
            <w:vAlign w:val="center"/>
            <w:hideMark/>
          </w:tcPr>
          <w:p w14:paraId="10E7DB62"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Inteiro</w:t>
            </w:r>
          </w:p>
        </w:tc>
        <w:tc>
          <w:tcPr>
            <w:tcW w:w="1134" w:type="dxa"/>
            <w:tcBorders>
              <w:top w:val="nil"/>
              <w:left w:val="nil"/>
              <w:bottom w:val="single" w:sz="8" w:space="0" w:color="auto"/>
              <w:right w:val="single" w:sz="8" w:space="0" w:color="auto"/>
            </w:tcBorders>
            <w:shd w:val="clear" w:color="auto" w:fill="auto"/>
            <w:vAlign w:val="center"/>
            <w:hideMark/>
          </w:tcPr>
          <w:p w14:paraId="29D7EBC9"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5</w:t>
            </w:r>
          </w:p>
        </w:tc>
        <w:tc>
          <w:tcPr>
            <w:tcW w:w="3402" w:type="dxa"/>
            <w:tcBorders>
              <w:top w:val="nil"/>
              <w:left w:val="nil"/>
              <w:bottom w:val="single" w:sz="8" w:space="0" w:color="auto"/>
              <w:right w:val="single" w:sz="8" w:space="0" w:color="auto"/>
            </w:tcBorders>
            <w:shd w:val="clear" w:color="auto" w:fill="auto"/>
            <w:vAlign w:val="center"/>
            <w:hideMark/>
          </w:tcPr>
          <w:p w14:paraId="5B7D45CD" w14:textId="77777777" w:rsidR="00FD1551" w:rsidRPr="00FD1551" w:rsidRDefault="00FD1551" w:rsidP="00FD1551">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Obrigatório</w:t>
            </w:r>
          </w:p>
        </w:tc>
      </w:tr>
      <w:tr w:rsidR="00FD1551" w:rsidRPr="00FD1551" w14:paraId="09367782" w14:textId="77777777" w:rsidTr="00FD1551">
        <w:trPr>
          <w:trHeight w:val="600"/>
        </w:trPr>
        <w:tc>
          <w:tcPr>
            <w:tcW w:w="3417" w:type="dxa"/>
            <w:tcBorders>
              <w:top w:val="nil"/>
              <w:left w:val="single" w:sz="8" w:space="0" w:color="auto"/>
              <w:bottom w:val="single" w:sz="8" w:space="0" w:color="auto"/>
              <w:right w:val="single" w:sz="8" w:space="0" w:color="auto"/>
            </w:tcBorders>
            <w:shd w:val="clear" w:color="auto" w:fill="auto"/>
            <w:vAlign w:val="center"/>
            <w:hideMark/>
          </w:tcPr>
          <w:p w14:paraId="3DF644F5" w14:textId="77777777" w:rsidR="00FD1551" w:rsidRPr="00FD1551" w:rsidRDefault="00FD1551" w:rsidP="00FD1551">
            <w:pPr>
              <w:spacing w:after="0" w:line="240" w:lineRule="auto"/>
              <w:jc w:val="both"/>
              <w:rPr>
                <w:rFonts w:ascii="Arial" w:eastAsia="Times New Roman" w:hAnsi="Arial" w:cs="Arial"/>
                <w:sz w:val="20"/>
                <w:szCs w:val="20"/>
                <w:lang w:eastAsia="pt-BR"/>
              </w:rPr>
            </w:pPr>
            <w:r w:rsidRPr="00FD1551">
              <w:rPr>
                <w:rFonts w:ascii="Arial" w:eastAsia="Times New Roman" w:hAnsi="Arial" w:cs="Arial"/>
                <w:sz w:val="20"/>
                <w:szCs w:val="20"/>
                <w:lang w:eastAsia="pt-BR"/>
              </w:rPr>
              <w:t>CNPJ do Consórcio</w:t>
            </w:r>
          </w:p>
        </w:tc>
        <w:tc>
          <w:tcPr>
            <w:tcW w:w="1276" w:type="dxa"/>
            <w:tcBorders>
              <w:top w:val="nil"/>
              <w:left w:val="nil"/>
              <w:bottom w:val="single" w:sz="8" w:space="0" w:color="auto"/>
              <w:right w:val="single" w:sz="8" w:space="0" w:color="auto"/>
            </w:tcBorders>
            <w:shd w:val="clear" w:color="auto" w:fill="auto"/>
            <w:vAlign w:val="center"/>
            <w:hideMark/>
          </w:tcPr>
          <w:p w14:paraId="2BC05208"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Caracter</w:t>
            </w:r>
          </w:p>
        </w:tc>
        <w:tc>
          <w:tcPr>
            <w:tcW w:w="1134" w:type="dxa"/>
            <w:tcBorders>
              <w:top w:val="nil"/>
              <w:left w:val="nil"/>
              <w:bottom w:val="single" w:sz="8" w:space="0" w:color="auto"/>
              <w:right w:val="single" w:sz="8" w:space="0" w:color="auto"/>
            </w:tcBorders>
            <w:shd w:val="clear" w:color="auto" w:fill="auto"/>
            <w:vAlign w:val="center"/>
            <w:hideMark/>
          </w:tcPr>
          <w:p w14:paraId="0C17CD62"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14</w:t>
            </w:r>
          </w:p>
        </w:tc>
        <w:tc>
          <w:tcPr>
            <w:tcW w:w="3402" w:type="dxa"/>
            <w:tcBorders>
              <w:top w:val="nil"/>
              <w:left w:val="nil"/>
              <w:bottom w:val="single" w:sz="8" w:space="0" w:color="auto"/>
              <w:right w:val="single" w:sz="8" w:space="0" w:color="auto"/>
            </w:tcBorders>
            <w:shd w:val="clear" w:color="auto" w:fill="auto"/>
            <w:vAlign w:val="center"/>
            <w:hideMark/>
          </w:tcPr>
          <w:p w14:paraId="082EDF3A" w14:textId="77777777" w:rsidR="00FD1551" w:rsidRPr="00FD1551" w:rsidRDefault="00FD1551" w:rsidP="00FD1551">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Obrigatório</w:t>
            </w:r>
          </w:p>
        </w:tc>
      </w:tr>
      <w:tr w:rsidR="00FD1551" w:rsidRPr="00FD1551" w14:paraId="03052C90" w14:textId="77777777" w:rsidTr="00FD1551">
        <w:trPr>
          <w:trHeight w:val="315"/>
        </w:trPr>
        <w:tc>
          <w:tcPr>
            <w:tcW w:w="3417" w:type="dxa"/>
            <w:tcBorders>
              <w:top w:val="nil"/>
              <w:left w:val="single" w:sz="8" w:space="0" w:color="auto"/>
              <w:bottom w:val="single" w:sz="8" w:space="0" w:color="auto"/>
              <w:right w:val="single" w:sz="8" w:space="0" w:color="auto"/>
            </w:tcBorders>
            <w:shd w:val="clear" w:color="auto" w:fill="auto"/>
            <w:vAlign w:val="center"/>
            <w:hideMark/>
          </w:tcPr>
          <w:p w14:paraId="09937BFD" w14:textId="77777777" w:rsidR="00FD1551" w:rsidRPr="00FD1551" w:rsidRDefault="00FD1551" w:rsidP="00FD1551">
            <w:pPr>
              <w:spacing w:after="0" w:line="240" w:lineRule="auto"/>
              <w:jc w:val="both"/>
              <w:rPr>
                <w:rFonts w:ascii="Arial" w:eastAsia="Times New Roman" w:hAnsi="Arial" w:cs="Arial"/>
                <w:sz w:val="20"/>
                <w:szCs w:val="20"/>
                <w:lang w:eastAsia="pt-BR"/>
              </w:rPr>
            </w:pPr>
            <w:r w:rsidRPr="00FD1551">
              <w:rPr>
                <w:rFonts w:ascii="Arial" w:eastAsia="Times New Roman" w:hAnsi="Arial" w:cs="Arial"/>
                <w:sz w:val="20"/>
                <w:szCs w:val="20"/>
                <w:lang w:eastAsia="pt-BR"/>
              </w:rPr>
              <w:t>Código da Função</w:t>
            </w:r>
          </w:p>
        </w:tc>
        <w:tc>
          <w:tcPr>
            <w:tcW w:w="1276" w:type="dxa"/>
            <w:tcBorders>
              <w:top w:val="nil"/>
              <w:left w:val="nil"/>
              <w:bottom w:val="single" w:sz="8" w:space="0" w:color="auto"/>
              <w:right w:val="single" w:sz="8" w:space="0" w:color="auto"/>
            </w:tcBorders>
            <w:shd w:val="clear" w:color="auto" w:fill="auto"/>
            <w:vAlign w:val="center"/>
            <w:hideMark/>
          </w:tcPr>
          <w:p w14:paraId="7A085081"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Caracter</w:t>
            </w:r>
          </w:p>
        </w:tc>
        <w:tc>
          <w:tcPr>
            <w:tcW w:w="1134" w:type="dxa"/>
            <w:tcBorders>
              <w:top w:val="nil"/>
              <w:left w:val="nil"/>
              <w:bottom w:val="single" w:sz="8" w:space="0" w:color="auto"/>
              <w:right w:val="single" w:sz="8" w:space="0" w:color="auto"/>
            </w:tcBorders>
            <w:shd w:val="clear" w:color="auto" w:fill="auto"/>
            <w:vAlign w:val="center"/>
            <w:hideMark/>
          </w:tcPr>
          <w:p w14:paraId="2C055C86"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2</w:t>
            </w:r>
          </w:p>
        </w:tc>
        <w:tc>
          <w:tcPr>
            <w:tcW w:w="3402" w:type="dxa"/>
            <w:tcBorders>
              <w:top w:val="nil"/>
              <w:left w:val="nil"/>
              <w:bottom w:val="single" w:sz="8" w:space="0" w:color="auto"/>
              <w:right w:val="single" w:sz="8" w:space="0" w:color="auto"/>
            </w:tcBorders>
            <w:shd w:val="clear" w:color="auto" w:fill="auto"/>
            <w:vAlign w:val="center"/>
            <w:hideMark/>
          </w:tcPr>
          <w:p w14:paraId="64BB5DAA" w14:textId="77777777" w:rsidR="00FD1551" w:rsidRPr="00FD1551" w:rsidRDefault="00FD1551" w:rsidP="00FD1551">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Obrigatório tabela auxiliar 7.1</w:t>
            </w:r>
          </w:p>
        </w:tc>
      </w:tr>
      <w:tr w:rsidR="00FD1551" w:rsidRPr="00FD1551" w14:paraId="1CE2DC0C" w14:textId="77777777" w:rsidTr="00FD1551">
        <w:trPr>
          <w:trHeight w:val="315"/>
        </w:trPr>
        <w:tc>
          <w:tcPr>
            <w:tcW w:w="3417" w:type="dxa"/>
            <w:tcBorders>
              <w:top w:val="nil"/>
              <w:left w:val="single" w:sz="8" w:space="0" w:color="auto"/>
              <w:bottom w:val="single" w:sz="8" w:space="0" w:color="auto"/>
              <w:right w:val="single" w:sz="8" w:space="0" w:color="auto"/>
            </w:tcBorders>
            <w:shd w:val="clear" w:color="auto" w:fill="auto"/>
            <w:vAlign w:val="center"/>
            <w:hideMark/>
          </w:tcPr>
          <w:p w14:paraId="788B2FB4" w14:textId="77777777" w:rsidR="00FD1551" w:rsidRPr="00FD1551" w:rsidRDefault="00FD1551" w:rsidP="00FD1551">
            <w:pPr>
              <w:spacing w:after="0" w:line="240" w:lineRule="auto"/>
              <w:jc w:val="both"/>
              <w:rPr>
                <w:rFonts w:ascii="Arial" w:eastAsia="Times New Roman" w:hAnsi="Arial" w:cs="Arial"/>
                <w:sz w:val="20"/>
                <w:szCs w:val="20"/>
                <w:lang w:eastAsia="pt-BR"/>
              </w:rPr>
            </w:pPr>
            <w:r w:rsidRPr="00FD1551">
              <w:rPr>
                <w:rFonts w:ascii="Arial" w:eastAsia="Times New Roman" w:hAnsi="Arial" w:cs="Arial"/>
                <w:sz w:val="20"/>
                <w:szCs w:val="20"/>
                <w:lang w:eastAsia="pt-BR"/>
              </w:rPr>
              <w:t>Código da Subfunção</w:t>
            </w:r>
          </w:p>
        </w:tc>
        <w:tc>
          <w:tcPr>
            <w:tcW w:w="1276" w:type="dxa"/>
            <w:tcBorders>
              <w:top w:val="nil"/>
              <w:left w:val="nil"/>
              <w:bottom w:val="single" w:sz="8" w:space="0" w:color="auto"/>
              <w:right w:val="single" w:sz="8" w:space="0" w:color="auto"/>
            </w:tcBorders>
            <w:shd w:val="clear" w:color="auto" w:fill="auto"/>
            <w:vAlign w:val="center"/>
            <w:hideMark/>
          </w:tcPr>
          <w:p w14:paraId="0EB210B8"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Caracter</w:t>
            </w:r>
          </w:p>
        </w:tc>
        <w:tc>
          <w:tcPr>
            <w:tcW w:w="1134" w:type="dxa"/>
            <w:tcBorders>
              <w:top w:val="nil"/>
              <w:left w:val="nil"/>
              <w:bottom w:val="single" w:sz="8" w:space="0" w:color="auto"/>
              <w:right w:val="single" w:sz="8" w:space="0" w:color="auto"/>
            </w:tcBorders>
            <w:shd w:val="clear" w:color="auto" w:fill="auto"/>
            <w:vAlign w:val="center"/>
            <w:hideMark/>
          </w:tcPr>
          <w:p w14:paraId="603824DB"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3</w:t>
            </w:r>
          </w:p>
        </w:tc>
        <w:tc>
          <w:tcPr>
            <w:tcW w:w="3402" w:type="dxa"/>
            <w:tcBorders>
              <w:top w:val="nil"/>
              <w:left w:val="nil"/>
              <w:bottom w:val="single" w:sz="8" w:space="0" w:color="auto"/>
              <w:right w:val="single" w:sz="8" w:space="0" w:color="auto"/>
            </w:tcBorders>
            <w:shd w:val="clear" w:color="auto" w:fill="auto"/>
            <w:vAlign w:val="center"/>
            <w:hideMark/>
          </w:tcPr>
          <w:p w14:paraId="64EAC05F" w14:textId="77777777" w:rsidR="00FD1551" w:rsidRPr="00FD1551" w:rsidRDefault="00FD1551" w:rsidP="00FD1551">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Obrigatório tabela auxiliar 7.2</w:t>
            </w:r>
          </w:p>
        </w:tc>
      </w:tr>
      <w:tr w:rsidR="00FD1551" w:rsidRPr="00FD1551" w14:paraId="3A4E5B4A" w14:textId="77777777" w:rsidTr="00FD1551">
        <w:trPr>
          <w:trHeight w:val="315"/>
        </w:trPr>
        <w:tc>
          <w:tcPr>
            <w:tcW w:w="3417" w:type="dxa"/>
            <w:tcBorders>
              <w:top w:val="nil"/>
              <w:left w:val="single" w:sz="8" w:space="0" w:color="auto"/>
              <w:bottom w:val="single" w:sz="8" w:space="0" w:color="auto"/>
              <w:right w:val="single" w:sz="8" w:space="0" w:color="auto"/>
            </w:tcBorders>
            <w:shd w:val="clear" w:color="auto" w:fill="auto"/>
            <w:vAlign w:val="center"/>
            <w:hideMark/>
          </w:tcPr>
          <w:p w14:paraId="4620828A" w14:textId="77777777" w:rsidR="00FD1551" w:rsidRPr="00FD1551" w:rsidRDefault="00FD1551" w:rsidP="00FD1551">
            <w:pPr>
              <w:spacing w:after="0" w:line="240" w:lineRule="auto"/>
              <w:jc w:val="both"/>
              <w:rPr>
                <w:rFonts w:ascii="Arial" w:eastAsia="Times New Roman" w:hAnsi="Arial" w:cs="Arial"/>
                <w:sz w:val="20"/>
                <w:szCs w:val="20"/>
                <w:lang w:eastAsia="pt-BR"/>
              </w:rPr>
            </w:pPr>
            <w:r w:rsidRPr="00FD1551">
              <w:rPr>
                <w:rFonts w:ascii="Arial" w:eastAsia="Times New Roman" w:hAnsi="Arial" w:cs="Arial"/>
                <w:sz w:val="20"/>
                <w:szCs w:val="20"/>
                <w:lang w:eastAsia="pt-BR"/>
              </w:rPr>
              <w:t>Categoria Econômica da Despesa</w:t>
            </w:r>
          </w:p>
        </w:tc>
        <w:tc>
          <w:tcPr>
            <w:tcW w:w="1276" w:type="dxa"/>
            <w:tcBorders>
              <w:top w:val="nil"/>
              <w:left w:val="nil"/>
              <w:bottom w:val="single" w:sz="8" w:space="0" w:color="auto"/>
              <w:right w:val="single" w:sz="8" w:space="0" w:color="auto"/>
            </w:tcBorders>
            <w:shd w:val="clear" w:color="auto" w:fill="auto"/>
            <w:vAlign w:val="center"/>
            <w:hideMark/>
          </w:tcPr>
          <w:p w14:paraId="683CBB3A"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Caracter</w:t>
            </w:r>
          </w:p>
        </w:tc>
        <w:tc>
          <w:tcPr>
            <w:tcW w:w="1134" w:type="dxa"/>
            <w:tcBorders>
              <w:top w:val="nil"/>
              <w:left w:val="nil"/>
              <w:bottom w:val="single" w:sz="8" w:space="0" w:color="auto"/>
              <w:right w:val="single" w:sz="8" w:space="0" w:color="auto"/>
            </w:tcBorders>
            <w:shd w:val="clear" w:color="auto" w:fill="auto"/>
            <w:vAlign w:val="center"/>
            <w:hideMark/>
          </w:tcPr>
          <w:p w14:paraId="7CE78AC4"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1</w:t>
            </w:r>
          </w:p>
        </w:tc>
        <w:tc>
          <w:tcPr>
            <w:tcW w:w="3402" w:type="dxa"/>
            <w:tcBorders>
              <w:top w:val="nil"/>
              <w:left w:val="nil"/>
              <w:bottom w:val="single" w:sz="8" w:space="0" w:color="auto"/>
              <w:right w:val="single" w:sz="8" w:space="0" w:color="auto"/>
            </w:tcBorders>
            <w:shd w:val="clear" w:color="auto" w:fill="auto"/>
            <w:vAlign w:val="center"/>
            <w:hideMark/>
          </w:tcPr>
          <w:p w14:paraId="59C37438" w14:textId="77777777" w:rsidR="00FD1551" w:rsidRPr="00FD1551" w:rsidRDefault="00FD1551" w:rsidP="00FD1551">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Obrigatório tabela auxiliar 7.3</w:t>
            </w:r>
          </w:p>
        </w:tc>
      </w:tr>
      <w:tr w:rsidR="00FD1551" w:rsidRPr="00FD1551" w14:paraId="7C7FBD03" w14:textId="77777777" w:rsidTr="00FD1551">
        <w:trPr>
          <w:trHeight w:val="315"/>
        </w:trPr>
        <w:tc>
          <w:tcPr>
            <w:tcW w:w="3417" w:type="dxa"/>
            <w:tcBorders>
              <w:top w:val="nil"/>
              <w:left w:val="single" w:sz="8" w:space="0" w:color="auto"/>
              <w:bottom w:val="single" w:sz="8" w:space="0" w:color="auto"/>
              <w:right w:val="single" w:sz="8" w:space="0" w:color="auto"/>
            </w:tcBorders>
            <w:shd w:val="clear" w:color="auto" w:fill="auto"/>
            <w:vAlign w:val="center"/>
            <w:hideMark/>
          </w:tcPr>
          <w:p w14:paraId="6B1102A4" w14:textId="77777777" w:rsidR="00FD1551" w:rsidRPr="00FD1551" w:rsidRDefault="00FD1551" w:rsidP="00FD1551">
            <w:pPr>
              <w:spacing w:after="0" w:line="240" w:lineRule="auto"/>
              <w:jc w:val="both"/>
              <w:rPr>
                <w:rFonts w:ascii="Arial" w:eastAsia="Times New Roman" w:hAnsi="Arial" w:cs="Arial"/>
                <w:sz w:val="20"/>
                <w:szCs w:val="20"/>
                <w:lang w:eastAsia="pt-BR"/>
              </w:rPr>
            </w:pPr>
            <w:r w:rsidRPr="00FD1551">
              <w:rPr>
                <w:rFonts w:ascii="Arial" w:eastAsia="Times New Roman" w:hAnsi="Arial" w:cs="Arial"/>
                <w:sz w:val="20"/>
                <w:szCs w:val="20"/>
                <w:lang w:eastAsia="pt-BR"/>
              </w:rPr>
              <w:t>Grupo de Natureza da Despesa</w:t>
            </w:r>
          </w:p>
        </w:tc>
        <w:tc>
          <w:tcPr>
            <w:tcW w:w="1276" w:type="dxa"/>
            <w:tcBorders>
              <w:top w:val="nil"/>
              <w:left w:val="nil"/>
              <w:bottom w:val="single" w:sz="8" w:space="0" w:color="auto"/>
              <w:right w:val="single" w:sz="8" w:space="0" w:color="auto"/>
            </w:tcBorders>
            <w:shd w:val="clear" w:color="auto" w:fill="auto"/>
            <w:vAlign w:val="center"/>
            <w:hideMark/>
          </w:tcPr>
          <w:p w14:paraId="069F48D7"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Caracter</w:t>
            </w:r>
          </w:p>
        </w:tc>
        <w:tc>
          <w:tcPr>
            <w:tcW w:w="1134" w:type="dxa"/>
            <w:tcBorders>
              <w:top w:val="nil"/>
              <w:left w:val="nil"/>
              <w:bottom w:val="single" w:sz="8" w:space="0" w:color="auto"/>
              <w:right w:val="single" w:sz="8" w:space="0" w:color="auto"/>
            </w:tcBorders>
            <w:shd w:val="clear" w:color="auto" w:fill="auto"/>
            <w:vAlign w:val="center"/>
            <w:hideMark/>
          </w:tcPr>
          <w:p w14:paraId="27BA0BF1"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1</w:t>
            </w:r>
          </w:p>
        </w:tc>
        <w:tc>
          <w:tcPr>
            <w:tcW w:w="3402" w:type="dxa"/>
            <w:tcBorders>
              <w:top w:val="nil"/>
              <w:left w:val="nil"/>
              <w:bottom w:val="single" w:sz="8" w:space="0" w:color="auto"/>
              <w:right w:val="single" w:sz="8" w:space="0" w:color="auto"/>
            </w:tcBorders>
            <w:shd w:val="clear" w:color="auto" w:fill="auto"/>
            <w:vAlign w:val="center"/>
            <w:hideMark/>
          </w:tcPr>
          <w:p w14:paraId="2768D9FE" w14:textId="77777777" w:rsidR="00FD1551" w:rsidRPr="00FD1551" w:rsidRDefault="00FD1551" w:rsidP="00FD1551">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Obrigatório tabela auxiliar 7.4</w:t>
            </w:r>
          </w:p>
        </w:tc>
      </w:tr>
      <w:tr w:rsidR="00FD1551" w:rsidRPr="00FD1551" w14:paraId="4E1E3D9E" w14:textId="77777777" w:rsidTr="00FD1551">
        <w:trPr>
          <w:trHeight w:val="315"/>
        </w:trPr>
        <w:tc>
          <w:tcPr>
            <w:tcW w:w="3417" w:type="dxa"/>
            <w:tcBorders>
              <w:top w:val="nil"/>
              <w:left w:val="single" w:sz="8" w:space="0" w:color="auto"/>
              <w:bottom w:val="single" w:sz="8" w:space="0" w:color="auto"/>
              <w:right w:val="single" w:sz="8" w:space="0" w:color="auto"/>
            </w:tcBorders>
            <w:shd w:val="clear" w:color="auto" w:fill="auto"/>
            <w:vAlign w:val="center"/>
            <w:hideMark/>
          </w:tcPr>
          <w:p w14:paraId="4B8310D4" w14:textId="77777777" w:rsidR="00FD1551" w:rsidRPr="00FD1551" w:rsidRDefault="00FD1551" w:rsidP="00FD1551">
            <w:pPr>
              <w:spacing w:after="0" w:line="240" w:lineRule="auto"/>
              <w:jc w:val="both"/>
              <w:rPr>
                <w:rFonts w:ascii="Arial" w:eastAsia="Times New Roman" w:hAnsi="Arial" w:cs="Arial"/>
                <w:sz w:val="20"/>
                <w:szCs w:val="20"/>
                <w:lang w:eastAsia="pt-BR"/>
              </w:rPr>
            </w:pPr>
            <w:r w:rsidRPr="00FD1551">
              <w:rPr>
                <w:rFonts w:ascii="Arial" w:eastAsia="Times New Roman" w:hAnsi="Arial" w:cs="Arial"/>
                <w:sz w:val="20"/>
                <w:szCs w:val="20"/>
                <w:lang w:eastAsia="pt-BR"/>
              </w:rPr>
              <w:t>Modalidade de Aplicação</w:t>
            </w:r>
          </w:p>
        </w:tc>
        <w:tc>
          <w:tcPr>
            <w:tcW w:w="1276" w:type="dxa"/>
            <w:tcBorders>
              <w:top w:val="nil"/>
              <w:left w:val="nil"/>
              <w:bottom w:val="single" w:sz="8" w:space="0" w:color="auto"/>
              <w:right w:val="single" w:sz="8" w:space="0" w:color="auto"/>
            </w:tcBorders>
            <w:shd w:val="clear" w:color="auto" w:fill="auto"/>
            <w:vAlign w:val="center"/>
            <w:hideMark/>
          </w:tcPr>
          <w:p w14:paraId="7E296EDA"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Caracter</w:t>
            </w:r>
          </w:p>
        </w:tc>
        <w:tc>
          <w:tcPr>
            <w:tcW w:w="1134" w:type="dxa"/>
            <w:tcBorders>
              <w:top w:val="nil"/>
              <w:left w:val="nil"/>
              <w:bottom w:val="single" w:sz="8" w:space="0" w:color="auto"/>
              <w:right w:val="single" w:sz="8" w:space="0" w:color="auto"/>
            </w:tcBorders>
            <w:shd w:val="clear" w:color="auto" w:fill="auto"/>
            <w:vAlign w:val="center"/>
            <w:hideMark/>
          </w:tcPr>
          <w:p w14:paraId="168E993C"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2</w:t>
            </w:r>
          </w:p>
        </w:tc>
        <w:tc>
          <w:tcPr>
            <w:tcW w:w="3402" w:type="dxa"/>
            <w:tcBorders>
              <w:top w:val="nil"/>
              <w:left w:val="nil"/>
              <w:bottom w:val="single" w:sz="8" w:space="0" w:color="auto"/>
              <w:right w:val="single" w:sz="8" w:space="0" w:color="auto"/>
            </w:tcBorders>
            <w:shd w:val="clear" w:color="auto" w:fill="auto"/>
            <w:vAlign w:val="center"/>
            <w:hideMark/>
          </w:tcPr>
          <w:p w14:paraId="779945F8" w14:textId="77777777" w:rsidR="00FD1551" w:rsidRPr="00FD1551" w:rsidRDefault="00FD1551" w:rsidP="00FD1551">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Obrigatório tabela auxiliar 7.5</w:t>
            </w:r>
          </w:p>
        </w:tc>
      </w:tr>
      <w:tr w:rsidR="00FD1551" w:rsidRPr="00FD1551" w14:paraId="2ABD46FC" w14:textId="77777777" w:rsidTr="00FD1551">
        <w:trPr>
          <w:trHeight w:val="315"/>
        </w:trPr>
        <w:tc>
          <w:tcPr>
            <w:tcW w:w="3417" w:type="dxa"/>
            <w:tcBorders>
              <w:top w:val="nil"/>
              <w:left w:val="single" w:sz="8" w:space="0" w:color="auto"/>
              <w:bottom w:val="single" w:sz="8" w:space="0" w:color="auto"/>
              <w:right w:val="single" w:sz="8" w:space="0" w:color="auto"/>
            </w:tcBorders>
            <w:shd w:val="clear" w:color="auto" w:fill="auto"/>
            <w:vAlign w:val="center"/>
            <w:hideMark/>
          </w:tcPr>
          <w:p w14:paraId="792EC06B" w14:textId="77777777" w:rsidR="00FD1551" w:rsidRPr="00FD1551" w:rsidRDefault="00FD1551" w:rsidP="00FD1551">
            <w:pPr>
              <w:spacing w:after="0" w:line="240" w:lineRule="auto"/>
              <w:jc w:val="both"/>
              <w:rPr>
                <w:rFonts w:ascii="Arial" w:eastAsia="Times New Roman" w:hAnsi="Arial" w:cs="Arial"/>
                <w:sz w:val="20"/>
                <w:szCs w:val="20"/>
                <w:lang w:eastAsia="pt-BR"/>
              </w:rPr>
            </w:pPr>
            <w:r w:rsidRPr="00FD1551">
              <w:rPr>
                <w:rFonts w:ascii="Arial" w:eastAsia="Times New Roman" w:hAnsi="Arial" w:cs="Arial"/>
                <w:sz w:val="20"/>
                <w:szCs w:val="20"/>
                <w:lang w:eastAsia="pt-BR"/>
              </w:rPr>
              <w:t>Elemento de Despesa</w:t>
            </w:r>
          </w:p>
        </w:tc>
        <w:tc>
          <w:tcPr>
            <w:tcW w:w="1276" w:type="dxa"/>
            <w:tcBorders>
              <w:top w:val="nil"/>
              <w:left w:val="nil"/>
              <w:bottom w:val="single" w:sz="8" w:space="0" w:color="auto"/>
              <w:right w:val="single" w:sz="8" w:space="0" w:color="auto"/>
            </w:tcBorders>
            <w:shd w:val="clear" w:color="auto" w:fill="auto"/>
            <w:vAlign w:val="center"/>
            <w:hideMark/>
          </w:tcPr>
          <w:p w14:paraId="1198C9E7"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Caracter</w:t>
            </w:r>
          </w:p>
        </w:tc>
        <w:tc>
          <w:tcPr>
            <w:tcW w:w="1134" w:type="dxa"/>
            <w:tcBorders>
              <w:top w:val="nil"/>
              <w:left w:val="nil"/>
              <w:bottom w:val="single" w:sz="8" w:space="0" w:color="auto"/>
              <w:right w:val="single" w:sz="8" w:space="0" w:color="auto"/>
            </w:tcBorders>
            <w:shd w:val="clear" w:color="auto" w:fill="auto"/>
            <w:vAlign w:val="center"/>
            <w:hideMark/>
          </w:tcPr>
          <w:p w14:paraId="2D864E4E"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2</w:t>
            </w:r>
          </w:p>
        </w:tc>
        <w:tc>
          <w:tcPr>
            <w:tcW w:w="3402" w:type="dxa"/>
            <w:tcBorders>
              <w:top w:val="nil"/>
              <w:left w:val="nil"/>
              <w:bottom w:val="single" w:sz="8" w:space="0" w:color="auto"/>
              <w:right w:val="single" w:sz="8" w:space="0" w:color="auto"/>
            </w:tcBorders>
            <w:shd w:val="clear" w:color="auto" w:fill="auto"/>
            <w:vAlign w:val="center"/>
            <w:hideMark/>
          </w:tcPr>
          <w:p w14:paraId="1476C055" w14:textId="77777777" w:rsidR="00FD1551" w:rsidRPr="00FD1551" w:rsidRDefault="00FD1551" w:rsidP="00FD1551">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Obrigatório tabela auxiliar 7.6</w:t>
            </w:r>
          </w:p>
        </w:tc>
      </w:tr>
      <w:tr w:rsidR="00FD1551" w:rsidRPr="00FD1551" w14:paraId="3F819200" w14:textId="77777777" w:rsidTr="00FD1551">
        <w:trPr>
          <w:trHeight w:val="315"/>
        </w:trPr>
        <w:tc>
          <w:tcPr>
            <w:tcW w:w="3417" w:type="dxa"/>
            <w:tcBorders>
              <w:top w:val="nil"/>
              <w:left w:val="single" w:sz="8" w:space="0" w:color="auto"/>
              <w:bottom w:val="single" w:sz="8" w:space="0" w:color="auto"/>
              <w:right w:val="single" w:sz="8" w:space="0" w:color="auto"/>
            </w:tcBorders>
            <w:shd w:val="clear" w:color="auto" w:fill="auto"/>
            <w:vAlign w:val="center"/>
            <w:hideMark/>
          </w:tcPr>
          <w:p w14:paraId="3A58FDAD" w14:textId="77777777" w:rsidR="00FD1551" w:rsidRPr="00FD1551" w:rsidRDefault="00FD1551" w:rsidP="00FD1551">
            <w:pPr>
              <w:spacing w:after="0" w:line="240" w:lineRule="auto"/>
              <w:jc w:val="both"/>
              <w:rPr>
                <w:rFonts w:ascii="Arial" w:eastAsia="Times New Roman" w:hAnsi="Arial" w:cs="Arial"/>
                <w:sz w:val="20"/>
                <w:szCs w:val="20"/>
                <w:lang w:eastAsia="pt-BR"/>
              </w:rPr>
            </w:pPr>
            <w:r w:rsidRPr="00FD1551">
              <w:rPr>
                <w:rFonts w:ascii="Arial" w:eastAsia="Times New Roman" w:hAnsi="Arial" w:cs="Arial"/>
                <w:sz w:val="20"/>
                <w:szCs w:val="20"/>
                <w:lang w:eastAsia="pt-BR"/>
              </w:rPr>
              <w:t>Subelemento de Despesa</w:t>
            </w:r>
          </w:p>
        </w:tc>
        <w:tc>
          <w:tcPr>
            <w:tcW w:w="1276" w:type="dxa"/>
            <w:tcBorders>
              <w:top w:val="nil"/>
              <w:left w:val="nil"/>
              <w:bottom w:val="single" w:sz="8" w:space="0" w:color="auto"/>
              <w:right w:val="single" w:sz="8" w:space="0" w:color="auto"/>
            </w:tcBorders>
            <w:shd w:val="clear" w:color="auto" w:fill="auto"/>
            <w:vAlign w:val="center"/>
            <w:hideMark/>
          </w:tcPr>
          <w:p w14:paraId="03089E4F"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Caracter</w:t>
            </w:r>
          </w:p>
        </w:tc>
        <w:tc>
          <w:tcPr>
            <w:tcW w:w="1134" w:type="dxa"/>
            <w:tcBorders>
              <w:top w:val="nil"/>
              <w:left w:val="nil"/>
              <w:bottom w:val="single" w:sz="8" w:space="0" w:color="auto"/>
              <w:right w:val="single" w:sz="8" w:space="0" w:color="auto"/>
            </w:tcBorders>
            <w:shd w:val="clear" w:color="auto" w:fill="auto"/>
            <w:vAlign w:val="center"/>
            <w:hideMark/>
          </w:tcPr>
          <w:p w14:paraId="7CADE29C"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2</w:t>
            </w:r>
          </w:p>
        </w:tc>
        <w:tc>
          <w:tcPr>
            <w:tcW w:w="3402" w:type="dxa"/>
            <w:tcBorders>
              <w:top w:val="nil"/>
              <w:left w:val="nil"/>
              <w:bottom w:val="single" w:sz="8" w:space="0" w:color="auto"/>
              <w:right w:val="single" w:sz="8" w:space="0" w:color="auto"/>
            </w:tcBorders>
            <w:shd w:val="clear" w:color="auto" w:fill="auto"/>
            <w:vAlign w:val="center"/>
            <w:hideMark/>
          </w:tcPr>
          <w:p w14:paraId="35DB776E" w14:textId="77777777" w:rsidR="00FD1551" w:rsidRPr="00FD1551" w:rsidRDefault="00FD1551" w:rsidP="00FD1551">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Obrigatório tabela auxiliar 7.7</w:t>
            </w:r>
          </w:p>
        </w:tc>
      </w:tr>
      <w:tr w:rsidR="00FD1551" w:rsidRPr="00FD1551" w14:paraId="4D5FBD5E" w14:textId="77777777" w:rsidTr="00FD1551">
        <w:trPr>
          <w:trHeight w:val="525"/>
        </w:trPr>
        <w:tc>
          <w:tcPr>
            <w:tcW w:w="3417" w:type="dxa"/>
            <w:tcBorders>
              <w:top w:val="nil"/>
              <w:left w:val="single" w:sz="8" w:space="0" w:color="auto"/>
              <w:bottom w:val="single" w:sz="8" w:space="0" w:color="auto"/>
              <w:right w:val="single" w:sz="8" w:space="0" w:color="auto"/>
            </w:tcBorders>
            <w:shd w:val="clear" w:color="auto" w:fill="auto"/>
            <w:vAlign w:val="center"/>
            <w:hideMark/>
          </w:tcPr>
          <w:p w14:paraId="68CAD813" w14:textId="77777777" w:rsidR="00FD1551" w:rsidRPr="00FD1551" w:rsidRDefault="00FD1551" w:rsidP="00FD1551">
            <w:pPr>
              <w:spacing w:after="0" w:line="240" w:lineRule="auto"/>
              <w:jc w:val="both"/>
              <w:rPr>
                <w:rFonts w:ascii="Arial" w:eastAsia="Times New Roman" w:hAnsi="Arial" w:cs="Arial"/>
                <w:sz w:val="20"/>
                <w:szCs w:val="20"/>
                <w:lang w:eastAsia="pt-BR"/>
              </w:rPr>
            </w:pPr>
            <w:r w:rsidRPr="00FD1551">
              <w:rPr>
                <w:rFonts w:ascii="Arial" w:eastAsia="Times New Roman" w:hAnsi="Arial" w:cs="Arial"/>
                <w:sz w:val="20"/>
                <w:szCs w:val="20"/>
                <w:lang w:eastAsia="pt-BR"/>
              </w:rPr>
              <w:t xml:space="preserve">Código do Grupo de Fonte/Destinação de Recursos </w:t>
            </w:r>
          </w:p>
        </w:tc>
        <w:tc>
          <w:tcPr>
            <w:tcW w:w="1276" w:type="dxa"/>
            <w:tcBorders>
              <w:top w:val="nil"/>
              <w:left w:val="nil"/>
              <w:bottom w:val="single" w:sz="8" w:space="0" w:color="auto"/>
              <w:right w:val="single" w:sz="8" w:space="0" w:color="auto"/>
            </w:tcBorders>
            <w:shd w:val="clear" w:color="auto" w:fill="auto"/>
            <w:vAlign w:val="center"/>
            <w:hideMark/>
          </w:tcPr>
          <w:p w14:paraId="48D03515"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Inteiro</w:t>
            </w:r>
          </w:p>
        </w:tc>
        <w:tc>
          <w:tcPr>
            <w:tcW w:w="1134" w:type="dxa"/>
            <w:tcBorders>
              <w:top w:val="nil"/>
              <w:left w:val="nil"/>
              <w:bottom w:val="single" w:sz="8" w:space="0" w:color="auto"/>
              <w:right w:val="single" w:sz="8" w:space="0" w:color="auto"/>
            </w:tcBorders>
            <w:shd w:val="clear" w:color="auto" w:fill="auto"/>
            <w:vAlign w:val="center"/>
            <w:hideMark/>
          </w:tcPr>
          <w:p w14:paraId="76913AD8"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1</w:t>
            </w:r>
          </w:p>
        </w:tc>
        <w:tc>
          <w:tcPr>
            <w:tcW w:w="3402" w:type="dxa"/>
            <w:tcBorders>
              <w:top w:val="nil"/>
              <w:left w:val="nil"/>
              <w:bottom w:val="single" w:sz="8" w:space="0" w:color="auto"/>
              <w:right w:val="single" w:sz="8" w:space="0" w:color="auto"/>
            </w:tcBorders>
            <w:shd w:val="clear" w:color="auto" w:fill="auto"/>
            <w:vAlign w:val="center"/>
            <w:hideMark/>
          </w:tcPr>
          <w:p w14:paraId="3C8B76F7" w14:textId="77777777" w:rsidR="00FD1551" w:rsidRPr="00FD1551" w:rsidRDefault="00FD1551" w:rsidP="00FD1551">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Obrigatório conforme tabela auxiliar 1.1</w:t>
            </w:r>
          </w:p>
        </w:tc>
      </w:tr>
      <w:tr w:rsidR="00FD1551" w:rsidRPr="00FD1551" w14:paraId="13D482D1" w14:textId="77777777" w:rsidTr="00FD1551">
        <w:trPr>
          <w:trHeight w:val="525"/>
        </w:trPr>
        <w:tc>
          <w:tcPr>
            <w:tcW w:w="3417" w:type="dxa"/>
            <w:tcBorders>
              <w:top w:val="nil"/>
              <w:left w:val="single" w:sz="8" w:space="0" w:color="auto"/>
              <w:bottom w:val="single" w:sz="8" w:space="0" w:color="auto"/>
              <w:right w:val="single" w:sz="8" w:space="0" w:color="auto"/>
            </w:tcBorders>
            <w:shd w:val="clear" w:color="auto" w:fill="auto"/>
            <w:vAlign w:val="center"/>
            <w:hideMark/>
          </w:tcPr>
          <w:p w14:paraId="6CF09E9B" w14:textId="77777777" w:rsidR="00FD1551" w:rsidRPr="00FD1551" w:rsidRDefault="00FD1551" w:rsidP="00FD1551">
            <w:pPr>
              <w:spacing w:after="0" w:line="240" w:lineRule="auto"/>
              <w:jc w:val="both"/>
              <w:rPr>
                <w:rFonts w:ascii="Arial" w:eastAsia="Times New Roman" w:hAnsi="Arial" w:cs="Arial"/>
                <w:sz w:val="20"/>
                <w:szCs w:val="20"/>
                <w:lang w:eastAsia="pt-BR"/>
              </w:rPr>
            </w:pPr>
            <w:r w:rsidRPr="00FD1551">
              <w:rPr>
                <w:rFonts w:ascii="Arial" w:eastAsia="Times New Roman" w:hAnsi="Arial" w:cs="Arial"/>
                <w:sz w:val="20"/>
                <w:szCs w:val="20"/>
                <w:lang w:eastAsia="pt-BR"/>
              </w:rPr>
              <w:t>Código da especificação da fonte/destinação de recursos (fixo)</w:t>
            </w:r>
          </w:p>
        </w:tc>
        <w:tc>
          <w:tcPr>
            <w:tcW w:w="1276" w:type="dxa"/>
            <w:tcBorders>
              <w:top w:val="nil"/>
              <w:left w:val="nil"/>
              <w:bottom w:val="single" w:sz="8" w:space="0" w:color="auto"/>
              <w:right w:val="single" w:sz="8" w:space="0" w:color="auto"/>
            </w:tcBorders>
            <w:shd w:val="clear" w:color="auto" w:fill="auto"/>
            <w:vAlign w:val="center"/>
            <w:hideMark/>
          </w:tcPr>
          <w:p w14:paraId="660189E1"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Caracter</w:t>
            </w:r>
          </w:p>
        </w:tc>
        <w:tc>
          <w:tcPr>
            <w:tcW w:w="1134" w:type="dxa"/>
            <w:tcBorders>
              <w:top w:val="nil"/>
              <w:left w:val="nil"/>
              <w:bottom w:val="single" w:sz="8" w:space="0" w:color="auto"/>
              <w:right w:val="single" w:sz="8" w:space="0" w:color="auto"/>
            </w:tcBorders>
            <w:shd w:val="clear" w:color="auto" w:fill="auto"/>
            <w:vAlign w:val="center"/>
            <w:hideMark/>
          </w:tcPr>
          <w:p w14:paraId="64137A64"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3</w:t>
            </w:r>
          </w:p>
        </w:tc>
        <w:tc>
          <w:tcPr>
            <w:tcW w:w="3402" w:type="dxa"/>
            <w:tcBorders>
              <w:top w:val="nil"/>
              <w:left w:val="nil"/>
              <w:bottom w:val="single" w:sz="8" w:space="0" w:color="auto"/>
              <w:right w:val="single" w:sz="8" w:space="0" w:color="auto"/>
            </w:tcBorders>
            <w:shd w:val="clear" w:color="auto" w:fill="auto"/>
            <w:vAlign w:val="center"/>
            <w:hideMark/>
          </w:tcPr>
          <w:p w14:paraId="5A4B3F9E" w14:textId="77777777" w:rsidR="00FD1551" w:rsidRPr="00FD1551" w:rsidRDefault="00FD1551" w:rsidP="00FD1551">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Obrigatório conforme Tabela Auxiliar 1.2 – parte fixa</w:t>
            </w:r>
          </w:p>
        </w:tc>
      </w:tr>
      <w:tr w:rsidR="00FD1551" w:rsidRPr="00FD1551" w14:paraId="2C82D4CB" w14:textId="77777777" w:rsidTr="00FD1551">
        <w:trPr>
          <w:trHeight w:val="780"/>
        </w:trPr>
        <w:tc>
          <w:tcPr>
            <w:tcW w:w="3417" w:type="dxa"/>
            <w:tcBorders>
              <w:top w:val="nil"/>
              <w:left w:val="single" w:sz="8" w:space="0" w:color="auto"/>
              <w:bottom w:val="single" w:sz="8" w:space="0" w:color="auto"/>
              <w:right w:val="single" w:sz="8" w:space="0" w:color="auto"/>
            </w:tcBorders>
            <w:shd w:val="clear" w:color="auto" w:fill="auto"/>
            <w:vAlign w:val="center"/>
            <w:hideMark/>
          </w:tcPr>
          <w:p w14:paraId="5AAB4D69" w14:textId="77777777" w:rsidR="00FD1551" w:rsidRPr="00FD1551" w:rsidRDefault="00FD1551" w:rsidP="00FD1551">
            <w:pPr>
              <w:spacing w:after="0" w:line="240" w:lineRule="auto"/>
              <w:jc w:val="both"/>
              <w:rPr>
                <w:rFonts w:ascii="Arial" w:eastAsia="Times New Roman" w:hAnsi="Arial" w:cs="Arial"/>
                <w:sz w:val="20"/>
                <w:szCs w:val="20"/>
                <w:lang w:eastAsia="pt-BR"/>
              </w:rPr>
            </w:pPr>
            <w:r w:rsidRPr="00FD1551">
              <w:rPr>
                <w:rFonts w:ascii="Arial" w:eastAsia="Times New Roman" w:hAnsi="Arial" w:cs="Arial"/>
                <w:sz w:val="20"/>
                <w:szCs w:val="20"/>
                <w:lang w:eastAsia="pt-BR"/>
              </w:rPr>
              <w:t>Código da especificação/detalhamento da destinação de recursos (variável)</w:t>
            </w:r>
          </w:p>
        </w:tc>
        <w:tc>
          <w:tcPr>
            <w:tcW w:w="1276" w:type="dxa"/>
            <w:tcBorders>
              <w:top w:val="nil"/>
              <w:left w:val="nil"/>
              <w:bottom w:val="single" w:sz="8" w:space="0" w:color="auto"/>
              <w:right w:val="single" w:sz="8" w:space="0" w:color="auto"/>
            </w:tcBorders>
            <w:shd w:val="clear" w:color="auto" w:fill="auto"/>
            <w:vAlign w:val="center"/>
            <w:hideMark/>
          </w:tcPr>
          <w:p w14:paraId="78C5ABE7"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Caracter</w:t>
            </w:r>
          </w:p>
        </w:tc>
        <w:tc>
          <w:tcPr>
            <w:tcW w:w="1134" w:type="dxa"/>
            <w:tcBorders>
              <w:top w:val="nil"/>
              <w:left w:val="nil"/>
              <w:bottom w:val="single" w:sz="8" w:space="0" w:color="auto"/>
              <w:right w:val="single" w:sz="8" w:space="0" w:color="auto"/>
            </w:tcBorders>
            <w:shd w:val="clear" w:color="auto" w:fill="auto"/>
            <w:vAlign w:val="center"/>
            <w:hideMark/>
          </w:tcPr>
          <w:p w14:paraId="5260B94C"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4</w:t>
            </w:r>
          </w:p>
        </w:tc>
        <w:tc>
          <w:tcPr>
            <w:tcW w:w="3402" w:type="dxa"/>
            <w:tcBorders>
              <w:top w:val="nil"/>
              <w:left w:val="nil"/>
              <w:bottom w:val="single" w:sz="8" w:space="0" w:color="auto"/>
              <w:right w:val="single" w:sz="8" w:space="0" w:color="auto"/>
            </w:tcBorders>
            <w:shd w:val="clear" w:color="auto" w:fill="auto"/>
            <w:vAlign w:val="center"/>
            <w:hideMark/>
          </w:tcPr>
          <w:p w14:paraId="63B18687" w14:textId="77777777" w:rsidR="00FD1551" w:rsidRPr="00FD1551" w:rsidRDefault="00FD1551" w:rsidP="00FD1551">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Obrigatório conforme Tabela Auxiliar 1.2 ou Tabela Cadastral 1.3 – parte variável</w:t>
            </w:r>
          </w:p>
        </w:tc>
      </w:tr>
      <w:tr w:rsidR="00FD1551" w:rsidRPr="00FD1551" w14:paraId="089CCEE0" w14:textId="77777777" w:rsidTr="00FD1551">
        <w:trPr>
          <w:trHeight w:val="315"/>
        </w:trPr>
        <w:tc>
          <w:tcPr>
            <w:tcW w:w="3417" w:type="dxa"/>
            <w:tcBorders>
              <w:top w:val="nil"/>
              <w:left w:val="single" w:sz="8" w:space="0" w:color="auto"/>
              <w:bottom w:val="single" w:sz="8" w:space="0" w:color="auto"/>
              <w:right w:val="single" w:sz="8" w:space="0" w:color="auto"/>
            </w:tcBorders>
            <w:shd w:val="clear" w:color="auto" w:fill="auto"/>
            <w:vAlign w:val="center"/>
            <w:hideMark/>
          </w:tcPr>
          <w:p w14:paraId="322A2ADE" w14:textId="77777777" w:rsidR="00FD1551" w:rsidRPr="00FD1551" w:rsidRDefault="00FD1551" w:rsidP="00FD1551">
            <w:pPr>
              <w:spacing w:after="0" w:line="240" w:lineRule="auto"/>
              <w:jc w:val="both"/>
              <w:rPr>
                <w:rFonts w:ascii="Arial" w:eastAsia="Times New Roman" w:hAnsi="Arial" w:cs="Arial"/>
                <w:sz w:val="20"/>
                <w:szCs w:val="20"/>
                <w:lang w:eastAsia="pt-BR"/>
              </w:rPr>
            </w:pPr>
            <w:r w:rsidRPr="00FD1551">
              <w:rPr>
                <w:rFonts w:ascii="Arial" w:eastAsia="Times New Roman" w:hAnsi="Arial" w:cs="Arial"/>
                <w:sz w:val="20"/>
                <w:szCs w:val="20"/>
                <w:lang w:eastAsia="pt-BR"/>
              </w:rPr>
              <w:t xml:space="preserve">Valor Empenhado </w:t>
            </w:r>
            <w:r w:rsidRPr="00984E83">
              <w:rPr>
                <w:rFonts w:ascii="Arial" w:eastAsia="Times New Roman" w:hAnsi="Arial" w:cs="Arial"/>
                <w:b/>
                <w:sz w:val="20"/>
                <w:szCs w:val="20"/>
                <w:vertAlign w:val="superscript"/>
                <w:lang w:eastAsia="pt-BR"/>
              </w:rPr>
              <w:t>[1]</w:t>
            </w:r>
          </w:p>
        </w:tc>
        <w:tc>
          <w:tcPr>
            <w:tcW w:w="1276" w:type="dxa"/>
            <w:tcBorders>
              <w:top w:val="nil"/>
              <w:left w:val="nil"/>
              <w:bottom w:val="single" w:sz="8" w:space="0" w:color="auto"/>
              <w:right w:val="single" w:sz="8" w:space="0" w:color="auto"/>
            </w:tcBorders>
            <w:shd w:val="clear" w:color="auto" w:fill="auto"/>
            <w:vAlign w:val="center"/>
            <w:hideMark/>
          </w:tcPr>
          <w:p w14:paraId="16BB4631"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Decimal</w:t>
            </w:r>
          </w:p>
        </w:tc>
        <w:tc>
          <w:tcPr>
            <w:tcW w:w="1134" w:type="dxa"/>
            <w:tcBorders>
              <w:top w:val="nil"/>
              <w:left w:val="nil"/>
              <w:bottom w:val="single" w:sz="8" w:space="0" w:color="auto"/>
              <w:right w:val="single" w:sz="8" w:space="0" w:color="auto"/>
            </w:tcBorders>
            <w:shd w:val="clear" w:color="auto" w:fill="auto"/>
            <w:vAlign w:val="center"/>
            <w:hideMark/>
          </w:tcPr>
          <w:p w14:paraId="29807A7A"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14,2</w:t>
            </w:r>
          </w:p>
        </w:tc>
        <w:tc>
          <w:tcPr>
            <w:tcW w:w="3402" w:type="dxa"/>
            <w:tcBorders>
              <w:top w:val="nil"/>
              <w:left w:val="nil"/>
              <w:bottom w:val="single" w:sz="8" w:space="0" w:color="auto"/>
              <w:right w:val="single" w:sz="8" w:space="0" w:color="auto"/>
            </w:tcBorders>
            <w:shd w:val="clear" w:color="auto" w:fill="auto"/>
            <w:vAlign w:val="center"/>
            <w:hideMark/>
          </w:tcPr>
          <w:p w14:paraId="40E76865" w14:textId="77777777" w:rsidR="00FD1551" w:rsidRPr="00FD1551" w:rsidRDefault="00FD1551" w:rsidP="00FD1551">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Obrigatório</w:t>
            </w:r>
          </w:p>
        </w:tc>
      </w:tr>
      <w:tr w:rsidR="00FD1551" w:rsidRPr="00FD1551" w14:paraId="1DD4504D" w14:textId="77777777" w:rsidTr="00FD1551">
        <w:trPr>
          <w:trHeight w:val="315"/>
        </w:trPr>
        <w:tc>
          <w:tcPr>
            <w:tcW w:w="3417" w:type="dxa"/>
            <w:tcBorders>
              <w:top w:val="nil"/>
              <w:left w:val="single" w:sz="8" w:space="0" w:color="auto"/>
              <w:bottom w:val="single" w:sz="8" w:space="0" w:color="auto"/>
              <w:right w:val="single" w:sz="8" w:space="0" w:color="auto"/>
            </w:tcBorders>
            <w:shd w:val="clear" w:color="auto" w:fill="auto"/>
            <w:vAlign w:val="center"/>
            <w:hideMark/>
          </w:tcPr>
          <w:p w14:paraId="02B9153C" w14:textId="77777777" w:rsidR="00FD1551" w:rsidRPr="00FD1551" w:rsidRDefault="00FD1551" w:rsidP="00FD1551">
            <w:pPr>
              <w:spacing w:after="0" w:line="240" w:lineRule="auto"/>
              <w:jc w:val="both"/>
              <w:rPr>
                <w:rFonts w:ascii="Arial" w:eastAsia="Times New Roman" w:hAnsi="Arial" w:cs="Arial"/>
                <w:sz w:val="20"/>
                <w:szCs w:val="20"/>
                <w:lang w:eastAsia="pt-BR"/>
              </w:rPr>
            </w:pPr>
            <w:r w:rsidRPr="00FD1551">
              <w:rPr>
                <w:rFonts w:ascii="Arial" w:eastAsia="Times New Roman" w:hAnsi="Arial" w:cs="Arial"/>
                <w:sz w:val="20"/>
                <w:szCs w:val="20"/>
                <w:lang w:eastAsia="pt-BR"/>
              </w:rPr>
              <w:t xml:space="preserve">Valor Liquidado </w:t>
            </w:r>
            <w:r w:rsidRPr="00984E83">
              <w:rPr>
                <w:rFonts w:ascii="Arial" w:eastAsia="Times New Roman" w:hAnsi="Arial" w:cs="Arial"/>
                <w:b/>
                <w:sz w:val="20"/>
                <w:szCs w:val="20"/>
                <w:vertAlign w:val="superscript"/>
                <w:lang w:eastAsia="pt-BR"/>
              </w:rPr>
              <w:t>[2]</w:t>
            </w:r>
          </w:p>
        </w:tc>
        <w:tc>
          <w:tcPr>
            <w:tcW w:w="1276" w:type="dxa"/>
            <w:tcBorders>
              <w:top w:val="nil"/>
              <w:left w:val="nil"/>
              <w:bottom w:val="single" w:sz="8" w:space="0" w:color="auto"/>
              <w:right w:val="single" w:sz="8" w:space="0" w:color="auto"/>
            </w:tcBorders>
            <w:shd w:val="clear" w:color="auto" w:fill="auto"/>
            <w:vAlign w:val="center"/>
            <w:hideMark/>
          </w:tcPr>
          <w:p w14:paraId="11705892"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Decimal</w:t>
            </w:r>
          </w:p>
        </w:tc>
        <w:tc>
          <w:tcPr>
            <w:tcW w:w="1134" w:type="dxa"/>
            <w:tcBorders>
              <w:top w:val="nil"/>
              <w:left w:val="nil"/>
              <w:bottom w:val="single" w:sz="8" w:space="0" w:color="auto"/>
              <w:right w:val="single" w:sz="8" w:space="0" w:color="auto"/>
            </w:tcBorders>
            <w:shd w:val="clear" w:color="auto" w:fill="auto"/>
            <w:vAlign w:val="center"/>
            <w:hideMark/>
          </w:tcPr>
          <w:p w14:paraId="1E028E3E"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14,2</w:t>
            </w:r>
          </w:p>
        </w:tc>
        <w:tc>
          <w:tcPr>
            <w:tcW w:w="3402" w:type="dxa"/>
            <w:tcBorders>
              <w:top w:val="nil"/>
              <w:left w:val="nil"/>
              <w:bottom w:val="single" w:sz="8" w:space="0" w:color="auto"/>
              <w:right w:val="single" w:sz="8" w:space="0" w:color="auto"/>
            </w:tcBorders>
            <w:shd w:val="clear" w:color="auto" w:fill="auto"/>
            <w:vAlign w:val="center"/>
            <w:hideMark/>
          </w:tcPr>
          <w:p w14:paraId="6317A9A7" w14:textId="77777777" w:rsidR="00FD1551" w:rsidRPr="00FD1551" w:rsidRDefault="00FD1551" w:rsidP="00FD1551">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Obrigatório</w:t>
            </w:r>
          </w:p>
        </w:tc>
      </w:tr>
      <w:tr w:rsidR="00FD1551" w:rsidRPr="00FD1551" w14:paraId="4613D2C6" w14:textId="77777777" w:rsidTr="00FD1551">
        <w:trPr>
          <w:trHeight w:val="315"/>
        </w:trPr>
        <w:tc>
          <w:tcPr>
            <w:tcW w:w="3417" w:type="dxa"/>
            <w:tcBorders>
              <w:top w:val="nil"/>
              <w:left w:val="single" w:sz="8" w:space="0" w:color="auto"/>
              <w:bottom w:val="single" w:sz="8" w:space="0" w:color="auto"/>
              <w:right w:val="single" w:sz="8" w:space="0" w:color="auto"/>
            </w:tcBorders>
            <w:shd w:val="clear" w:color="auto" w:fill="auto"/>
            <w:vAlign w:val="center"/>
            <w:hideMark/>
          </w:tcPr>
          <w:p w14:paraId="75194B46" w14:textId="77777777" w:rsidR="00FD1551" w:rsidRPr="00FD1551" w:rsidRDefault="00FD1551" w:rsidP="00FD1551">
            <w:pPr>
              <w:spacing w:after="0" w:line="240" w:lineRule="auto"/>
              <w:jc w:val="both"/>
              <w:rPr>
                <w:rFonts w:ascii="Arial" w:eastAsia="Times New Roman" w:hAnsi="Arial" w:cs="Arial"/>
                <w:sz w:val="20"/>
                <w:szCs w:val="20"/>
                <w:lang w:eastAsia="pt-BR"/>
              </w:rPr>
            </w:pPr>
            <w:r w:rsidRPr="00FD1551">
              <w:rPr>
                <w:rFonts w:ascii="Arial" w:eastAsia="Times New Roman" w:hAnsi="Arial" w:cs="Arial"/>
                <w:sz w:val="20"/>
                <w:szCs w:val="20"/>
                <w:lang w:eastAsia="pt-BR"/>
              </w:rPr>
              <w:t xml:space="preserve">Valor Pago </w:t>
            </w:r>
            <w:r w:rsidRPr="00984E83">
              <w:rPr>
                <w:rFonts w:ascii="Arial" w:eastAsia="Times New Roman" w:hAnsi="Arial" w:cs="Arial"/>
                <w:b/>
                <w:sz w:val="20"/>
                <w:szCs w:val="20"/>
                <w:vertAlign w:val="superscript"/>
                <w:lang w:eastAsia="pt-BR"/>
              </w:rPr>
              <w:t>[3]</w:t>
            </w:r>
          </w:p>
        </w:tc>
        <w:tc>
          <w:tcPr>
            <w:tcW w:w="1276" w:type="dxa"/>
            <w:tcBorders>
              <w:top w:val="nil"/>
              <w:left w:val="nil"/>
              <w:bottom w:val="single" w:sz="8" w:space="0" w:color="auto"/>
              <w:right w:val="single" w:sz="8" w:space="0" w:color="auto"/>
            </w:tcBorders>
            <w:shd w:val="clear" w:color="auto" w:fill="auto"/>
            <w:vAlign w:val="center"/>
            <w:hideMark/>
          </w:tcPr>
          <w:p w14:paraId="6669AA33"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Decimal</w:t>
            </w:r>
          </w:p>
        </w:tc>
        <w:tc>
          <w:tcPr>
            <w:tcW w:w="1134" w:type="dxa"/>
            <w:tcBorders>
              <w:top w:val="nil"/>
              <w:left w:val="nil"/>
              <w:bottom w:val="single" w:sz="8" w:space="0" w:color="auto"/>
              <w:right w:val="single" w:sz="8" w:space="0" w:color="auto"/>
            </w:tcBorders>
            <w:shd w:val="clear" w:color="auto" w:fill="auto"/>
            <w:vAlign w:val="center"/>
            <w:hideMark/>
          </w:tcPr>
          <w:p w14:paraId="7EB34469"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14,2</w:t>
            </w:r>
          </w:p>
        </w:tc>
        <w:tc>
          <w:tcPr>
            <w:tcW w:w="3402" w:type="dxa"/>
            <w:tcBorders>
              <w:top w:val="nil"/>
              <w:left w:val="nil"/>
              <w:bottom w:val="single" w:sz="8" w:space="0" w:color="auto"/>
              <w:right w:val="single" w:sz="8" w:space="0" w:color="auto"/>
            </w:tcBorders>
            <w:shd w:val="clear" w:color="auto" w:fill="auto"/>
            <w:vAlign w:val="center"/>
            <w:hideMark/>
          </w:tcPr>
          <w:p w14:paraId="3E5460D6" w14:textId="77777777" w:rsidR="00FD1551" w:rsidRPr="00FD1551" w:rsidRDefault="00FD1551" w:rsidP="00FD1551">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Obrigatório</w:t>
            </w:r>
          </w:p>
        </w:tc>
      </w:tr>
      <w:tr w:rsidR="00FD1551" w:rsidRPr="00FD1551" w14:paraId="203F1B5E" w14:textId="77777777" w:rsidTr="00FD1551">
        <w:trPr>
          <w:trHeight w:val="499"/>
        </w:trPr>
        <w:tc>
          <w:tcPr>
            <w:tcW w:w="9229" w:type="dxa"/>
            <w:gridSpan w:val="4"/>
            <w:tcBorders>
              <w:top w:val="single" w:sz="8" w:space="0" w:color="auto"/>
              <w:left w:val="single" w:sz="8" w:space="0" w:color="auto"/>
              <w:bottom w:val="single" w:sz="8" w:space="0" w:color="auto"/>
              <w:right w:val="single" w:sz="8" w:space="0" w:color="000000"/>
            </w:tcBorders>
            <w:shd w:val="clear" w:color="000000" w:fill="C0C0C0"/>
            <w:vAlign w:val="center"/>
            <w:hideMark/>
          </w:tcPr>
          <w:p w14:paraId="0189D864" w14:textId="77777777" w:rsidR="00FD1551" w:rsidRPr="00FD1551" w:rsidRDefault="00FD1551" w:rsidP="00FD1551">
            <w:pPr>
              <w:spacing w:after="0" w:line="240" w:lineRule="auto"/>
              <w:jc w:val="center"/>
              <w:rPr>
                <w:rFonts w:ascii="Arial" w:eastAsia="Times New Roman" w:hAnsi="Arial" w:cs="Arial"/>
                <w:b/>
                <w:bCs/>
                <w:sz w:val="20"/>
                <w:szCs w:val="20"/>
                <w:lang w:eastAsia="pt-BR"/>
              </w:rPr>
            </w:pPr>
            <w:r w:rsidRPr="00FD1551">
              <w:rPr>
                <w:rFonts w:ascii="Arial" w:eastAsia="Times New Roman" w:hAnsi="Arial" w:cs="Arial"/>
                <w:b/>
                <w:bCs/>
                <w:sz w:val="20"/>
                <w:szCs w:val="20"/>
                <w:lang w:eastAsia="pt-BR"/>
              </w:rPr>
              <w:t>Estrutura ‘CancelamentoRestosPagarConsorcio’</w:t>
            </w:r>
          </w:p>
        </w:tc>
      </w:tr>
      <w:tr w:rsidR="00FD1551" w:rsidRPr="00FD1551" w14:paraId="3D073B4F" w14:textId="77777777" w:rsidTr="00FD1551">
        <w:trPr>
          <w:trHeight w:val="315"/>
        </w:trPr>
        <w:tc>
          <w:tcPr>
            <w:tcW w:w="3417" w:type="dxa"/>
            <w:tcBorders>
              <w:top w:val="nil"/>
              <w:left w:val="single" w:sz="8" w:space="0" w:color="auto"/>
              <w:bottom w:val="single" w:sz="8" w:space="0" w:color="auto"/>
              <w:right w:val="single" w:sz="8" w:space="0" w:color="auto"/>
            </w:tcBorders>
            <w:shd w:val="clear" w:color="auto" w:fill="auto"/>
            <w:vAlign w:val="center"/>
            <w:hideMark/>
          </w:tcPr>
          <w:p w14:paraId="3009B0FA" w14:textId="77777777" w:rsidR="00FD1551" w:rsidRPr="00FD1551" w:rsidRDefault="00FD1551" w:rsidP="00FD1551">
            <w:pPr>
              <w:spacing w:after="0" w:line="240" w:lineRule="auto"/>
              <w:jc w:val="both"/>
              <w:rPr>
                <w:rFonts w:ascii="Arial" w:eastAsia="Times New Roman" w:hAnsi="Arial" w:cs="Arial"/>
                <w:sz w:val="20"/>
                <w:szCs w:val="20"/>
                <w:lang w:eastAsia="pt-BR"/>
              </w:rPr>
            </w:pPr>
            <w:r w:rsidRPr="00FD1551">
              <w:rPr>
                <w:rFonts w:ascii="Arial" w:eastAsia="Times New Roman" w:hAnsi="Arial" w:cs="Arial"/>
                <w:sz w:val="20"/>
                <w:szCs w:val="20"/>
                <w:lang w:eastAsia="pt-BR"/>
              </w:rPr>
              <w:t>Identificação do Numero do Registro</w:t>
            </w:r>
          </w:p>
        </w:tc>
        <w:tc>
          <w:tcPr>
            <w:tcW w:w="1276" w:type="dxa"/>
            <w:tcBorders>
              <w:top w:val="nil"/>
              <w:left w:val="nil"/>
              <w:bottom w:val="single" w:sz="8" w:space="0" w:color="auto"/>
              <w:right w:val="single" w:sz="8" w:space="0" w:color="auto"/>
            </w:tcBorders>
            <w:shd w:val="clear" w:color="auto" w:fill="auto"/>
            <w:vAlign w:val="center"/>
            <w:hideMark/>
          </w:tcPr>
          <w:p w14:paraId="7ED74544"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Inteiro</w:t>
            </w:r>
          </w:p>
        </w:tc>
        <w:tc>
          <w:tcPr>
            <w:tcW w:w="1134" w:type="dxa"/>
            <w:tcBorders>
              <w:top w:val="nil"/>
              <w:left w:val="nil"/>
              <w:bottom w:val="single" w:sz="8" w:space="0" w:color="auto"/>
              <w:right w:val="single" w:sz="8" w:space="0" w:color="auto"/>
            </w:tcBorders>
            <w:shd w:val="clear" w:color="auto" w:fill="auto"/>
            <w:vAlign w:val="center"/>
            <w:hideMark/>
          </w:tcPr>
          <w:p w14:paraId="23892D1D"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5</w:t>
            </w:r>
          </w:p>
        </w:tc>
        <w:tc>
          <w:tcPr>
            <w:tcW w:w="3402" w:type="dxa"/>
            <w:tcBorders>
              <w:top w:val="nil"/>
              <w:left w:val="nil"/>
              <w:bottom w:val="single" w:sz="8" w:space="0" w:color="auto"/>
              <w:right w:val="single" w:sz="8" w:space="0" w:color="auto"/>
            </w:tcBorders>
            <w:shd w:val="clear" w:color="auto" w:fill="auto"/>
            <w:vAlign w:val="center"/>
            <w:hideMark/>
          </w:tcPr>
          <w:p w14:paraId="609486E0" w14:textId="77777777" w:rsidR="00FD1551" w:rsidRPr="00FD1551" w:rsidRDefault="00FD1551" w:rsidP="00FD1551">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Obrigatório</w:t>
            </w:r>
          </w:p>
        </w:tc>
      </w:tr>
      <w:tr w:rsidR="00FD1551" w:rsidRPr="00FD1551" w14:paraId="5B959B5A" w14:textId="77777777" w:rsidTr="00FD1551">
        <w:trPr>
          <w:trHeight w:val="600"/>
        </w:trPr>
        <w:tc>
          <w:tcPr>
            <w:tcW w:w="341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97B09CF" w14:textId="77777777" w:rsidR="00FD1551" w:rsidRPr="00FD1551" w:rsidRDefault="00FD1551" w:rsidP="00FD1551">
            <w:pPr>
              <w:spacing w:after="0" w:line="240" w:lineRule="auto"/>
              <w:jc w:val="both"/>
              <w:rPr>
                <w:rFonts w:ascii="Arial" w:eastAsia="Times New Roman" w:hAnsi="Arial" w:cs="Arial"/>
                <w:sz w:val="20"/>
                <w:szCs w:val="20"/>
                <w:lang w:eastAsia="pt-BR"/>
              </w:rPr>
            </w:pPr>
            <w:r w:rsidRPr="00FD1551">
              <w:rPr>
                <w:rFonts w:ascii="Arial" w:eastAsia="Times New Roman" w:hAnsi="Arial" w:cs="Arial"/>
                <w:sz w:val="20"/>
                <w:szCs w:val="20"/>
                <w:lang w:eastAsia="pt-BR"/>
              </w:rPr>
              <w:t>CNPJ do Consórcio</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14:paraId="6034284F"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Caracter</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14:paraId="4BFB3DEF"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14</w:t>
            </w:r>
          </w:p>
        </w:tc>
        <w:tc>
          <w:tcPr>
            <w:tcW w:w="3402" w:type="dxa"/>
            <w:tcBorders>
              <w:top w:val="single" w:sz="8" w:space="0" w:color="auto"/>
              <w:left w:val="nil"/>
              <w:bottom w:val="single" w:sz="8" w:space="0" w:color="auto"/>
              <w:right w:val="single" w:sz="8" w:space="0" w:color="auto"/>
            </w:tcBorders>
            <w:shd w:val="clear" w:color="auto" w:fill="auto"/>
            <w:vAlign w:val="center"/>
            <w:hideMark/>
          </w:tcPr>
          <w:p w14:paraId="0083CE7F" w14:textId="77777777" w:rsidR="00FD1551" w:rsidRPr="00FD1551" w:rsidRDefault="00FD1551" w:rsidP="00FD1551">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Obrigatório</w:t>
            </w:r>
          </w:p>
        </w:tc>
      </w:tr>
      <w:tr w:rsidR="00FD1551" w:rsidRPr="00FD1551" w14:paraId="5BB85EF9" w14:textId="77777777" w:rsidTr="00FD1551">
        <w:trPr>
          <w:trHeight w:val="315"/>
        </w:trPr>
        <w:tc>
          <w:tcPr>
            <w:tcW w:w="3417" w:type="dxa"/>
            <w:tcBorders>
              <w:top w:val="nil"/>
              <w:left w:val="single" w:sz="8" w:space="0" w:color="auto"/>
              <w:bottom w:val="single" w:sz="8" w:space="0" w:color="auto"/>
              <w:right w:val="single" w:sz="8" w:space="0" w:color="auto"/>
            </w:tcBorders>
            <w:shd w:val="clear" w:color="auto" w:fill="auto"/>
            <w:vAlign w:val="center"/>
            <w:hideMark/>
          </w:tcPr>
          <w:p w14:paraId="1575B4E6" w14:textId="77777777" w:rsidR="00FD1551" w:rsidRPr="00FD1551" w:rsidRDefault="00FD1551" w:rsidP="00FD1551">
            <w:pPr>
              <w:spacing w:after="0" w:line="240" w:lineRule="auto"/>
              <w:jc w:val="both"/>
              <w:rPr>
                <w:rFonts w:ascii="Arial" w:eastAsia="Times New Roman" w:hAnsi="Arial" w:cs="Arial"/>
                <w:sz w:val="20"/>
                <w:szCs w:val="20"/>
                <w:lang w:eastAsia="pt-BR"/>
              </w:rPr>
            </w:pPr>
            <w:r w:rsidRPr="00FD1551">
              <w:rPr>
                <w:rFonts w:ascii="Arial" w:eastAsia="Times New Roman" w:hAnsi="Arial" w:cs="Arial"/>
                <w:sz w:val="20"/>
                <w:szCs w:val="20"/>
                <w:lang w:eastAsia="pt-BR"/>
              </w:rPr>
              <w:t>Tipo de Restos a Pagar</w:t>
            </w:r>
          </w:p>
        </w:tc>
        <w:tc>
          <w:tcPr>
            <w:tcW w:w="1276" w:type="dxa"/>
            <w:tcBorders>
              <w:top w:val="nil"/>
              <w:left w:val="nil"/>
              <w:bottom w:val="single" w:sz="8" w:space="0" w:color="auto"/>
              <w:right w:val="single" w:sz="8" w:space="0" w:color="auto"/>
            </w:tcBorders>
            <w:shd w:val="clear" w:color="auto" w:fill="auto"/>
            <w:vAlign w:val="center"/>
            <w:hideMark/>
          </w:tcPr>
          <w:p w14:paraId="5FA99B64"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Inteiro</w:t>
            </w:r>
          </w:p>
        </w:tc>
        <w:tc>
          <w:tcPr>
            <w:tcW w:w="1134" w:type="dxa"/>
            <w:tcBorders>
              <w:top w:val="nil"/>
              <w:left w:val="nil"/>
              <w:bottom w:val="single" w:sz="8" w:space="0" w:color="auto"/>
              <w:right w:val="single" w:sz="8" w:space="0" w:color="auto"/>
            </w:tcBorders>
            <w:shd w:val="clear" w:color="auto" w:fill="auto"/>
            <w:vAlign w:val="center"/>
            <w:hideMark/>
          </w:tcPr>
          <w:p w14:paraId="08BB423E"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1</w:t>
            </w:r>
          </w:p>
        </w:tc>
        <w:tc>
          <w:tcPr>
            <w:tcW w:w="3402" w:type="dxa"/>
            <w:tcBorders>
              <w:top w:val="nil"/>
              <w:left w:val="nil"/>
              <w:bottom w:val="single" w:sz="8" w:space="0" w:color="auto"/>
              <w:right w:val="single" w:sz="8" w:space="0" w:color="auto"/>
            </w:tcBorders>
            <w:shd w:val="clear" w:color="auto" w:fill="auto"/>
            <w:vAlign w:val="center"/>
            <w:hideMark/>
          </w:tcPr>
          <w:p w14:paraId="12E9021E" w14:textId="77777777" w:rsidR="00FD1551" w:rsidRPr="00FD1551" w:rsidRDefault="00FD1551" w:rsidP="00FD1551">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Obrigatório</w:t>
            </w:r>
          </w:p>
          <w:p w14:paraId="1002F837" w14:textId="77777777" w:rsidR="00FD1551" w:rsidRPr="00FD1551" w:rsidRDefault="00FD1551" w:rsidP="00FD1551">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1 – RP Não Processados</w:t>
            </w:r>
          </w:p>
          <w:p w14:paraId="5CF91C1D" w14:textId="77777777" w:rsidR="00FD1551" w:rsidRPr="00FD1551" w:rsidRDefault="00FD1551" w:rsidP="00FD1551">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2 – RP Processados</w:t>
            </w:r>
          </w:p>
        </w:tc>
      </w:tr>
      <w:tr w:rsidR="00FD1551" w:rsidRPr="00FD1551" w14:paraId="74CBEB21" w14:textId="77777777" w:rsidTr="00FD1551">
        <w:trPr>
          <w:trHeight w:val="315"/>
        </w:trPr>
        <w:tc>
          <w:tcPr>
            <w:tcW w:w="3417" w:type="dxa"/>
            <w:tcBorders>
              <w:top w:val="nil"/>
              <w:left w:val="single" w:sz="8" w:space="0" w:color="auto"/>
              <w:bottom w:val="single" w:sz="8" w:space="0" w:color="auto"/>
              <w:right w:val="single" w:sz="8" w:space="0" w:color="auto"/>
            </w:tcBorders>
            <w:shd w:val="clear" w:color="auto" w:fill="auto"/>
            <w:vAlign w:val="center"/>
            <w:hideMark/>
          </w:tcPr>
          <w:p w14:paraId="4B205983" w14:textId="77777777" w:rsidR="00FD1551" w:rsidRPr="00FD1551" w:rsidRDefault="00FD1551" w:rsidP="00FD1551">
            <w:pPr>
              <w:spacing w:after="0" w:line="240" w:lineRule="auto"/>
              <w:jc w:val="both"/>
              <w:rPr>
                <w:rFonts w:ascii="Arial" w:eastAsia="Times New Roman" w:hAnsi="Arial" w:cs="Arial"/>
                <w:sz w:val="20"/>
                <w:szCs w:val="20"/>
                <w:lang w:eastAsia="pt-BR"/>
              </w:rPr>
            </w:pPr>
            <w:r w:rsidRPr="00FD1551">
              <w:rPr>
                <w:rFonts w:ascii="Arial" w:eastAsia="Times New Roman" w:hAnsi="Arial" w:cs="Arial"/>
                <w:sz w:val="20"/>
                <w:szCs w:val="20"/>
                <w:lang w:eastAsia="pt-BR"/>
              </w:rPr>
              <w:t xml:space="preserve">Ano dos Restos a Pagar </w:t>
            </w:r>
            <w:r w:rsidRPr="00984E83">
              <w:rPr>
                <w:rFonts w:ascii="Arial" w:eastAsia="Times New Roman" w:hAnsi="Arial" w:cs="Arial"/>
                <w:b/>
                <w:sz w:val="20"/>
                <w:szCs w:val="20"/>
                <w:vertAlign w:val="superscript"/>
                <w:lang w:eastAsia="pt-BR"/>
              </w:rPr>
              <w:t>[6]</w:t>
            </w:r>
          </w:p>
        </w:tc>
        <w:tc>
          <w:tcPr>
            <w:tcW w:w="1276" w:type="dxa"/>
            <w:tcBorders>
              <w:top w:val="nil"/>
              <w:left w:val="nil"/>
              <w:bottom w:val="single" w:sz="8" w:space="0" w:color="auto"/>
              <w:right w:val="single" w:sz="8" w:space="0" w:color="auto"/>
            </w:tcBorders>
            <w:shd w:val="clear" w:color="auto" w:fill="auto"/>
            <w:vAlign w:val="center"/>
            <w:hideMark/>
          </w:tcPr>
          <w:p w14:paraId="3316D560"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Inteiro</w:t>
            </w:r>
          </w:p>
        </w:tc>
        <w:tc>
          <w:tcPr>
            <w:tcW w:w="1134" w:type="dxa"/>
            <w:tcBorders>
              <w:top w:val="nil"/>
              <w:left w:val="nil"/>
              <w:bottom w:val="single" w:sz="8" w:space="0" w:color="auto"/>
              <w:right w:val="single" w:sz="8" w:space="0" w:color="auto"/>
            </w:tcBorders>
            <w:shd w:val="clear" w:color="auto" w:fill="auto"/>
            <w:vAlign w:val="center"/>
            <w:hideMark/>
          </w:tcPr>
          <w:p w14:paraId="0E04951A"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4</w:t>
            </w:r>
          </w:p>
        </w:tc>
        <w:tc>
          <w:tcPr>
            <w:tcW w:w="3402" w:type="dxa"/>
            <w:tcBorders>
              <w:top w:val="nil"/>
              <w:left w:val="nil"/>
              <w:bottom w:val="single" w:sz="8" w:space="0" w:color="auto"/>
              <w:right w:val="single" w:sz="8" w:space="0" w:color="auto"/>
            </w:tcBorders>
            <w:shd w:val="clear" w:color="auto" w:fill="auto"/>
            <w:vAlign w:val="center"/>
            <w:hideMark/>
          </w:tcPr>
          <w:p w14:paraId="60D8B606" w14:textId="77777777" w:rsidR="00FD1551" w:rsidRPr="00FD1551" w:rsidRDefault="00FD1551" w:rsidP="00FD1551">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Obrigatório</w:t>
            </w:r>
          </w:p>
        </w:tc>
      </w:tr>
      <w:tr w:rsidR="00FD1551" w:rsidRPr="00FD1551" w14:paraId="62BE3876" w14:textId="77777777" w:rsidTr="00FD1551">
        <w:trPr>
          <w:trHeight w:val="315"/>
        </w:trPr>
        <w:tc>
          <w:tcPr>
            <w:tcW w:w="3417" w:type="dxa"/>
            <w:tcBorders>
              <w:top w:val="nil"/>
              <w:left w:val="single" w:sz="8" w:space="0" w:color="auto"/>
              <w:bottom w:val="single" w:sz="8" w:space="0" w:color="auto"/>
              <w:right w:val="single" w:sz="8" w:space="0" w:color="auto"/>
            </w:tcBorders>
            <w:shd w:val="clear" w:color="auto" w:fill="auto"/>
            <w:vAlign w:val="center"/>
            <w:hideMark/>
          </w:tcPr>
          <w:p w14:paraId="4E0840DB" w14:textId="77777777" w:rsidR="00FD1551" w:rsidRPr="00FD1551" w:rsidRDefault="00FD1551" w:rsidP="00FD1551">
            <w:pPr>
              <w:spacing w:after="0" w:line="240" w:lineRule="auto"/>
              <w:jc w:val="both"/>
              <w:rPr>
                <w:rFonts w:ascii="Arial" w:eastAsia="Times New Roman" w:hAnsi="Arial" w:cs="Arial"/>
                <w:sz w:val="20"/>
                <w:szCs w:val="20"/>
                <w:lang w:eastAsia="pt-BR"/>
              </w:rPr>
            </w:pPr>
            <w:r w:rsidRPr="00FD1551">
              <w:rPr>
                <w:rFonts w:ascii="Arial" w:eastAsia="Times New Roman" w:hAnsi="Arial" w:cs="Arial"/>
                <w:sz w:val="20"/>
                <w:szCs w:val="20"/>
                <w:lang w:eastAsia="pt-BR"/>
              </w:rPr>
              <w:t>Código da Função</w:t>
            </w:r>
          </w:p>
        </w:tc>
        <w:tc>
          <w:tcPr>
            <w:tcW w:w="1276" w:type="dxa"/>
            <w:tcBorders>
              <w:top w:val="nil"/>
              <w:left w:val="nil"/>
              <w:bottom w:val="single" w:sz="8" w:space="0" w:color="auto"/>
              <w:right w:val="single" w:sz="8" w:space="0" w:color="auto"/>
            </w:tcBorders>
            <w:shd w:val="clear" w:color="auto" w:fill="auto"/>
            <w:vAlign w:val="center"/>
            <w:hideMark/>
          </w:tcPr>
          <w:p w14:paraId="2DACF2BE"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Caracter</w:t>
            </w:r>
          </w:p>
        </w:tc>
        <w:tc>
          <w:tcPr>
            <w:tcW w:w="1134" w:type="dxa"/>
            <w:tcBorders>
              <w:top w:val="nil"/>
              <w:left w:val="nil"/>
              <w:bottom w:val="single" w:sz="8" w:space="0" w:color="auto"/>
              <w:right w:val="single" w:sz="8" w:space="0" w:color="auto"/>
            </w:tcBorders>
            <w:shd w:val="clear" w:color="auto" w:fill="auto"/>
            <w:vAlign w:val="center"/>
            <w:hideMark/>
          </w:tcPr>
          <w:p w14:paraId="5EE92D0D"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2</w:t>
            </w:r>
          </w:p>
        </w:tc>
        <w:tc>
          <w:tcPr>
            <w:tcW w:w="3402" w:type="dxa"/>
            <w:tcBorders>
              <w:top w:val="nil"/>
              <w:left w:val="nil"/>
              <w:bottom w:val="single" w:sz="8" w:space="0" w:color="auto"/>
              <w:right w:val="single" w:sz="8" w:space="0" w:color="auto"/>
            </w:tcBorders>
            <w:shd w:val="clear" w:color="auto" w:fill="auto"/>
            <w:vAlign w:val="center"/>
            <w:hideMark/>
          </w:tcPr>
          <w:p w14:paraId="3272373F" w14:textId="77777777" w:rsidR="00FD1551" w:rsidRPr="00FD1551" w:rsidRDefault="00FD1551" w:rsidP="00FD1551">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Obrigatório tabela auxiliar 7.1</w:t>
            </w:r>
          </w:p>
        </w:tc>
      </w:tr>
      <w:tr w:rsidR="00FD1551" w:rsidRPr="00FD1551" w14:paraId="126ED7C3" w14:textId="77777777" w:rsidTr="00FD1551">
        <w:trPr>
          <w:trHeight w:val="315"/>
        </w:trPr>
        <w:tc>
          <w:tcPr>
            <w:tcW w:w="3417" w:type="dxa"/>
            <w:tcBorders>
              <w:top w:val="nil"/>
              <w:left w:val="single" w:sz="8" w:space="0" w:color="auto"/>
              <w:bottom w:val="single" w:sz="8" w:space="0" w:color="auto"/>
              <w:right w:val="single" w:sz="8" w:space="0" w:color="auto"/>
            </w:tcBorders>
            <w:shd w:val="clear" w:color="auto" w:fill="auto"/>
            <w:vAlign w:val="center"/>
            <w:hideMark/>
          </w:tcPr>
          <w:p w14:paraId="3688F922" w14:textId="77777777" w:rsidR="00FD1551" w:rsidRPr="00FD1551" w:rsidRDefault="00FD1551" w:rsidP="00FD1551">
            <w:pPr>
              <w:spacing w:after="0" w:line="240" w:lineRule="auto"/>
              <w:jc w:val="both"/>
              <w:rPr>
                <w:rFonts w:ascii="Arial" w:eastAsia="Times New Roman" w:hAnsi="Arial" w:cs="Arial"/>
                <w:sz w:val="20"/>
                <w:szCs w:val="20"/>
                <w:lang w:eastAsia="pt-BR"/>
              </w:rPr>
            </w:pPr>
            <w:r w:rsidRPr="00FD1551">
              <w:rPr>
                <w:rFonts w:ascii="Arial" w:eastAsia="Times New Roman" w:hAnsi="Arial" w:cs="Arial"/>
                <w:sz w:val="20"/>
                <w:szCs w:val="20"/>
                <w:lang w:eastAsia="pt-BR"/>
              </w:rPr>
              <w:t>Código da Subfunção</w:t>
            </w:r>
          </w:p>
        </w:tc>
        <w:tc>
          <w:tcPr>
            <w:tcW w:w="1276" w:type="dxa"/>
            <w:tcBorders>
              <w:top w:val="nil"/>
              <w:left w:val="nil"/>
              <w:bottom w:val="single" w:sz="8" w:space="0" w:color="auto"/>
              <w:right w:val="single" w:sz="8" w:space="0" w:color="auto"/>
            </w:tcBorders>
            <w:shd w:val="clear" w:color="auto" w:fill="auto"/>
            <w:vAlign w:val="center"/>
            <w:hideMark/>
          </w:tcPr>
          <w:p w14:paraId="3FCA6744"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Caracter</w:t>
            </w:r>
          </w:p>
        </w:tc>
        <w:tc>
          <w:tcPr>
            <w:tcW w:w="1134" w:type="dxa"/>
            <w:tcBorders>
              <w:top w:val="nil"/>
              <w:left w:val="nil"/>
              <w:bottom w:val="single" w:sz="8" w:space="0" w:color="auto"/>
              <w:right w:val="single" w:sz="8" w:space="0" w:color="auto"/>
            </w:tcBorders>
            <w:shd w:val="clear" w:color="auto" w:fill="auto"/>
            <w:vAlign w:val="center"/>
            <w:hideMark/>
          </w:tcPr>
          <w:p w14:paraId="52E87458"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3</w:t>
            </w:r>
          </w:p>
        </w:tc>
        <w:tc>
          <w:tcPr>
            <w:tcW w:w="3402" w:type="dxa"/>
            <w:tcBorders>
              <w:top w:val="nil"/>
              <w:left w:val="nil"/>
              <w:bottom w:val="single" w:sz="8" w:space="0" w:color="auto"/>
              <w:right w:val="single" w:sz="8" w:space="0" w:color="auto"/>
            </w:tcBorders>
            <w:shd w:val="clear" w:color="auto" w:fill="auto"/>
            <w:vAlign w:val="center"/>
            <w:hideMark/>
          </w:tcPr>
          <w:p w14:paraId="3AC4293D" w14:textId="77777777" w:rsidR="00FD1551" w:rsidRPr="00FD1551" w:rsidRDefault="00FD1551" w:rsidP="00FD1551">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Obrigatório tabela auxiliar 7.2</w:t>
            </w:r>
          </w:p>
        </w:tc>
      </w:tr>
      <w:tr w:rsidR="00FD1551" w:rsidRPr="00FD1551" w14:paraId="3AD2A7DB" w14:textId="77777777" w:rsidTr="00FD1551">
        <w:trPr>
          <w:trHeight w:val="315"/>
        </w:trPr>
        <w:tc>
          <w:tcPr>
            <w:tcW w:w="3417" w:type="dxa"/>
            <w:tcBorders>
              <w:top w:val="nil"/>
              <w:left w:val="single" w:sz="8" w:space="0" w:color="auto"/>
              <w:bottom w:val="single" w:sz="8" w:space="0" w:color="auto"/>
              <w:right w:val="single" w:sz="8" w:space="0" w:color="auto"/>
            </w:tcBorders>
            <w:shd w:val="clear" w:color="auto" w:fill="auto"/>
            <w:vAlign w:val="center"/>
            <w:hideMark/>
          </w:tcPr>
          <w:p w14:paraId="41581C12" w14:textId="77777777" w:rsidR="00FD1551" w:rsidRPr="00FD1551" w:rsidRDefault="00FD1551" w:rsidP="00FD1551">
            <w:pPr>
              <w:spacing w:after="0" w:line="240" w:lineRule="auto"/>
              <w:jc w:val="both"/>
              <w:rPr>
                <w:rFonts w:ascii="Arial" w:eastAsia="Times New Roman" w:hAnsi="Arial" w:cs="Arial"/>
                <w:sz w:val="20"/>
                <w:szCs w:val="20"/>
                <w:lang w:eastAsia="pt-BR"/>
              </w:rPr>
            </w:pPr>
            <w:r w:rsidRPr="00FD1551">
              <w:rPr>
                <w:rFonts w:ascii="Arial" w:eastAsia="Times New Roman" w:hAnsi="Arial" w:cs="Arial"/>
                <w:sz w:val="20"/>
                <w:szCs w:val="20"/>
                <w:lang w:eastAsia="pt-BR"/>
              </w:rPr>
              <w:t>Categoria Econômica da Despesa</w:t>
            </w:r>
          </w:p>
        </w:tc>
        <w:tc>
          <w:tcPr>
            <w:tcW w:w="1276" w:type="dxa"/>
            <w:tcBorders>
              <w:top w:val="nil"/>
              <w:left w:val="nil"/>
              <w:bottom w:val="single" w:sz="8" w:space="0" w:color="auto"/>
              <w:right w:val="single" w:sz="8" w:space="0" w:color="auto"/>
            </w:tcBorders>
            <w:shd w:val="clear" w:color="auto" w:fill="auto"/>
            <w:vAlign w:val="center"/>
            <w:hideMark/>
          </w:tcPr>
          <w:p w14:paraId="6C39BC46"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Caracter</w:t>
            </w:r>
          </w:p>
        </w:tc>
        <w:tc>
          <w:tcPr>
            <w:tcW w:w="1134" w:type="dxa"/>
            <w:tcBorders>
              <w:top w:val="nil"/>
              <w:left w:val="nil"/>
              <w:bottom w:val="single" w:sz="8" w:space="0" w:color="auto"/>
              <w:right w:val="single" w:sz="8" w:space="0" w:color="auto"/>
            </w:tcBorders>
            <w:shd w:val="clear" w:color="auto" w:fill="auto"/>
            <w:vAlign w:val="center"/>
            <w:hideMark/>
          </w:tcPr>
          <w:p w14:paraId="7DF8AC2F"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1</w:t>
            </w:r>
          </w:p>
        </w:tc>
        <w:tc>
          <w:tcPr>
            <w:tcW w:w="3402" w:type="dxa"/>
            <w:tcBorders>
              <w:top w:val="nil"/>
              <w:left w:val="nil"/>
              <w:bottom w:val="single" w:sz="8" w:space="0" w:color="auto"/>
              <w:right w:val="single" w:sz="8" w:space="0" w:color="auto"/>
            </w:tcBorders>
            <w:shd w:val="clear" w:color="auto" w:fill="auto"/>
            <w:vAlign w:val="center"/>
            <w:hideMark/>
          </w:tcPr>
          <w:p w14:paraId="47F27080" w14:textId="77777777" w:rsidR="00FD1551" w:rsidRPr="00FD1551" w:rsidRDefault="00FD1551" w:rsidP="00FD1551">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Obrigatório tabela auxiliar 7.3</w:t>
            </w:r>
          </w:p>
        </w:tc>
      </w:tr>
      <w:tr w:rsidR="00FD1551" w:rsidRPr="00FD1551" w14:paraId="3C110222" w14:textId="77777777" w:rsidTr="00FD1551">
        <w:trPr>
          <w:trHeight w:val="315"/>
        </w:trPr>
        <w:tc>
          <w:tcPr>
            <w:tcW w:w="3417" w:type="dxa"/>
            <w:tcBorders>
              <w:top w:val="nil"/>
              <w:left w:val="single" w:sz="8" w:space="0" w:color="auto"/>
              <w:bottom w:val="single" w:sz="8" w:space="0" w:color="auto"/>
              <w:right w:val="single" w:sz="8" w:space="0" w:color="auto"/>
            </w:tcBorders>
            <w:shd w:val="clear" w:color="auto" w:fill="auto"/>
            <w:vAlign w:val="center"/>
            <w:hideMark/>
          </w:tcPr>
          <w:p w14:paraId="3E7E4FBB" w14:textId="77777777" w:rsidR="00FD1551" w:rsidRPr="00FD1551" w:rsidRDefault="00FD1551" w:rsidP="00FD1551">
            <w:pPr>
              <w:spacing w:after="0" w:line="240" w:lineRule="auto"/>
              <w:jc w:val="both"/>
              <w:rPr>
                <w:rFonts w:ascii="Arial" w:eastAsia="Times New Roman" w:hAnsi="Arial" w:cs="Arial"/>
                <w:sz w:val="20"/>
                <w:szCs w:val="20"/>
                <w:lang w:eastAsia="pt-BR"/>
              </w:rPr>
            </w:pPr>
            <w:r w:rsidRPr="00FD1551">
              <w:rPr>
                <w:rFonts w:ascii="Arial" w:eastAsia="Times New Roman" w:hAnsi="Arial" w:cs="Arial"/>
                <w:sz w:val="20"/>
                <w:szCs w:val="20"/>
                <w:lang w:eastAsia="pt-BR"/>
              </w:rPr>
              <w:t>Grupo de Natureza da Despesa</w:t>
            </w:r>
          </w:p>
        </w:tc>
        <w:tc>
          <w:tcPr>
            <w:tcW w:w="1276" w:type="dxa"/>
            <w:tcBorders>
              <w:top w:val="nil"/>
              <w:left w:val="nil"/>
              <w:bottom w:val="single" w:sz="8" w:space="0" w:color="auto"/>
              <w:right w:val="single" w:sz="8" w:space="0" w:color="auto"/>
            </w:tcBorders>
            <w:shd w:val="clear" w:color="auto" w:fill="auto"/>
            <w:vAlign w:val="center"/>
            <w:hideMark/>
          </w:tcPr>
          <w:p w14:paraId="0EC5843D"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Caracter</w:t>
            </w:r>
          </w:p>
        </w:tc>
        <w:tc>
          <w:tcPr>
            <w:tcW w:w="1134" w:type="dxa"/>
            <w:tcBorders>
              <w:top w:val="nil"/>
              <w:left w:val="nil"/>
              <w:bottom w:val="single" w:sz="8" w:space="0" w:color="auto"/>
              <w:right w:val="single" w:sz="8" w:space="0" w:color="auto"/>
            </w:tcBorders>
            <w:shd w:val="clear" w:color="auto" w:fill="auto"/>
            <w:vAlign w:val="center"/>
            <w:hideMark/>
          </w:tcPr>
          <w:p w14:paraId="4A6EE0B1"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1</w:t>
            </w:r>
          </w:p>
        </w:tc>
        <w:tc>
          <w:tcPr>
            <w:tcW w:w="3402" w:type="dxa"/>
            <w:tcBorders>
              <w:top w:val="nil"/>
              <w:left w:val="nil"/>
              <w:bottom w:val="single" w:sz="8" w:space="0" w:color="auto"/>
              <w:right w:val="single" w:sz="8" w:space="0" w:color="auto"/>
            </w:tcBorders>
            <w:shd w:val="clear" w:color="auto" w:fill="auto"/>
            <w:vAlign w:val="center"/>
            <w:hideMark/>
          </w:tcPr>
          <w:p w14:paraId="1AAEB98C" w14:textId="77777777" w:rsidR="00FD1551" w:rsidRPr="00FD1551" w:rsidRDefault="00FD1551" w:rsidP="00FD1551">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Obrigatório tabela auxiliar 7.4</w:t>
            </w:r>
          </w:p>
        </w:tc>
      </w:tr>
      <w:tr w:rsidR="00FD1551" w:rsidRPr="00FD1551" w14:paraId="7692FE2A" w14:textId="77777777" w:rsidTr="00FD1551">
        <w:trPr>
          <w:trHeight w:val="315"/>
        </w:trPr>
        <w:tc>
          <w:tcPr>
            <w:tcW w:w="3417" w:type="dxa"/>
            <w:tcBorders>
              <w:top w:val="nil"/>
              <w:left w:val="single" w:sz="8" w:space="0" w:color="auto"/>
              <w:bottom w:val="single" w:sz="8" w:space="0" w:color="auto"/>
              <w:right w:val="single" w:sz="8" w:space="0" w:color="auto"/>
            </w:tcBorders>
            <w:shd w:val="clear" w:color="auto" w:fill="auto"/>
            <w:vAlign w:val="center"/>
            <w:hideMark/>
          </w:tcPr>
          <w:p w14:paraId="738B96C2" w14:textId="77777777" w:rsidR="00FD1551" w:rsidRPr="00FD1551" w:rsidRDefault="00FD1551" w:rsidP="00FD1551">
            <w:pPr>
              <w:spacing w:after="0" w:line="240" w:lineRule="auto"/>
              <w:jc w:val="both"/>
              <w:rPr>
                <w:rFonts w:ascii="Arial" w:eastAsia="Times New Roman" w:hAnsi="Arial" w:cs="Arial"/>
                <w:sz w:val="20"/>
                <w:szCs w:val="20"/>
                <w:lang w:eastAsia="pt-BR"/>
              </w:rPr>
            </w:pPr>
            <w:r w:rsidRPr="00FD1551">
              <w:rPr>
                <w:rFonts w:ascii="Arial" w:eastAsia="Times New Roman" w:hAnsi="Arial" w:cs="Arial"/>
                <w:sz w:val="20"/>
                <w:szCs w:val="20"/>
                <w:lang w:eastAsia="pt-BR"/>
              </w:rPr>
              <w:lastRenderedPageBreak/>
              <w:t>Modalidade de Aplicação</w:t>
            </w:r>
          </w:p>
        </w:tc>
        <w:tc>
          <w:tcPr>
            <w:tcW w:w="1276" w:type="dxa"/>
            <w:tcBorders>
              <w:top w:val="nil"/>
              <w:left w:val="nil"/>
              <w:bottom w:val="single" w:sz="8" w:space="0" w:color="auto"/>
              <w:right w:val="single" w:sz="8" w:space="0" w:color="auto"/>
            </w:tcBorders>
            <w:shd w:val="clear" w:color="auto" w:fill="auto"/>
            <w:vAlign w:val="center"/>
            <w:hideMark/>
          </w:tcPr>
          <w:p w14:paraId="4D238A76"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Caracter</w:t>
            </w:r>
          </w:p>
        </w:tc>
        <w:tc>
          <w:tcPr>
            <w:tcW w:w="1134" w:type="dxa"/>
            <w:tcBorders>
              <w:top w:val="nil"/>
              <w:left w:val="nil"/>
              <w:bottom w:val="single" w:sz="8" w:space="0" w:color="auto"/>
              <w:right w:val="single" w:sz="8" w:space="0" w:color="auto"/>
            </w:tcBorders>
            <w:shd w:val="clear" w:color="auto" w:fill="auto"/>
            <w:vAlign w:val="center"/>
            <w:hideMark/>
          </w:tcPr>
          <w:p w14:paraId="67839F9D"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2</w:t>
            </w:r>
          </w:p>
        </w:tc>
        <w:tc>
          <w:tcPr>
            <w:tcW w:w="3402" w:type="dxa"/>
            <w:tcBorders>
              <w:top w:val="nil"/>
              <w:left w:val="nil"/>
              <w:bottom w:val="single" w:sz="8" w:space="0" w:color="auto"/>
              <w:right w:val="single" w:sz="8" w:space="0" w:color="auto"/>
            </w:tcBorders>
            <w:shd w:val="clear" w:color="auto" w:fill="auto"/>
            <w:vAlign w:val="center"/>
            <w:hideMark/>
          </w:tcPr>
          <w:p w14:paraId="3F8F4691" w14:textId="77777777" w:rsidR="00FD1551" w:rsidRPr="00FD1551" w:rsidRDefault="00FD1551" w:rsidP="00FD1551">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Obrigatório tabela auxiliar 7.5</w:t>
            </w:r>
          </w:p>
        </w:tc>
      </w:tr>
      <w:tr w:rsidR="00FD1551" w:rsidRPr="00FD1551" w14:paraId="6E02F7CD" w14:textId="77777777" w:rsidTr="00FD1551">
        <w:trPr>
          <w:trHeight w:val="315"/>
        </w:trPr>
        <w:tc>
          <w:tcPr>
            <w:tcW w:w="3417" w:type="dxa"/>
            <w:tcBorders>
              <w:top w:val="nil"/>
              <w:left w:val="single" w:sz="8" w:space="0" w:color="auto"/>
              <w:bottom w:val="single" w:sz="8" w:space="0" w:color="auto"/>
              <w:right w:val="single" w:sz="8" w:space="0" w:color="auto"/>
            </w:tcBorders>
            <w:shd w:val="clear" w:color="auto" w:fill="auto"/>
            <w:vAlign w:val="center"/>
            <w:hideMark/>
          </w:tcPr>
          <w:p w14:paraId="002D9B21" w14:textId="77777777" w:rsidR="00FD1551" w:rsidRPr="00FD1551" w:rsidRDefault="00FD1551" w:rsidP="00FD1551">
            <w:pPr>
              <w:spacing w:after="0" w:line="240" w:lineRule="auto"/>
              <w:jc w:val="both"/>
              <w:rPr>
                <w:rFonts w:ascii="Arial" w:eastAsia="Times New Roman" w:hAnsi="Arial" w:cs="Arial"/>
                <w:sz w:val="20"/>
                <w:szCs w:val="20"/>
                <w:lang w:eastAsia="pt-BR"/>
              </w:rPr>
            </w:pPr>
            <w:r w:rsidRPr="00FD1551">
              <w:rPr>
                <w:rFonts w:ascii="Arial" w:eastAsia="Times New Roman" w:hAnsi="Arial" w:cs="Arial"/>
                <w:sz w:val="20"/>
                <w:szCs w:val="20"/>
                <w:lang w:eastAsia="pt-BR"/>
              </w:rPr>
              <w:t>Elemento de Despesa</w:t>
            </w:r>
          </w:p>
        </w:tc>
        <w:tc>
          <w:tcPr>
            <w:tcW w:w="1276" w:type="dxa"/>
            <w:tcBorders>
              <w:top w:val="nil"/>
              <w:left w:val="nil"/>
              <w:bottom w:val="single" w:sz="8" w:space="0" w:color="auto"/>
              <w:right w:val="single" w:sz="8" w:space="0" w:color="auto"/>
            </w:tcBorders>
            <w:shd w:val="clear" w:color="auto" w:fill="auto"/>
            <w:vAlign w:val="center"/>
            <w:hideMark/>
          </w:tcPr>
          <w:p w14:paraId="70A4FCDA"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Caracter</w:t>
            </w:r>
          </w:p>
        </w:tc>
        <w:tc>
          <w:tcPr>
            <w:tcW w:w="1134" w:type="dxa"/>
            <w:tcBorders>
              <w:top w:val="nil"/>
              <w:left w:val="nil"/>
              <w:bottom w:val="single" w:sz="8" w:space="0" w:color="auto"/>
              <w:right w:val="single" w:sz="8" w:space="0" w:color="auto"/>
            </w:tcBorders>
            <w:shd w:val="clear" w:color="auto" w:fill="auto"/>
            <w:vAlign w:val="center"/>
            <w:hideMark/>
          </w:tcPr>
          <w:p w14:paraId="04853C6C"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2</w:t>
            </w:r>
          </w:p>
        </w:tc>
        <w:tc>
          <w:tcPr>
            <w:tcW w:w="3402" w:type="dxa"/>
            <w:tcBorders>
              <w:top w:val="nil"/>
              <w:left w:val="nil"/>
              <w:bottom w:val="single" w:sz="8" w:space="0" w:color="auto"/>
              <w:right w:val="single" w:sz="8" w:space="0" w:color="auto"/>
            </w:tcBorders>
            <w:shd w:val="clear" w:color="auto" w:fill="auto"/>
            <w:vAlign w:val="center"/>
            <w:hideMark/>
          </w:tcPr>
          <w:p w14:paraId="066BBB74" w14:textId="77777777" w:rsidR="00FD1551" w:rsidRPr="00FD1551" w:rsidRDefault="00FD1551" w:rsidP="00FD1551">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Obrigatório tabela auxiliar 7.6</w:t>
            </w:r>
          </w:p>
        </w:tc>
      </w:tr>
      <w:tr w:rsidR="00FD1551" w:rsidRPr="00FD1551" w14:paraId="595F5AC6" w14:textId="77777777" w:rsidTr="00FD1551">
        <w:trPr>
          <w:trHeight w:val="315"/>
        </w:trPr>
        <w:tc>
          <w:tcPr>
            <w:tcW w:w="3417" w:type="dxa"/>
            <w:tcBorders>
              <w:top w:val="nil"/>
              <w:left w:val="single" w:sz="8" w:space="0" w:color="auto"/>
              <w:bottom w:val="single" w:sz="8" w:space="0" w:color="auto"/>
              <w:right w:val="single" w:sz="8" w:space="0" w:color="auto"/>
            </w:tcBorders>
            <w:shd w:val="clear" w:color="auto" w:fill="auto"/>
            <w:vAlign w:val="center"/>
            <w:hideMark/>
          </w:tcPr>
          <w:p w14:paraId="02E96930" w14:textId="77777777" w:rsidR="00FD1551" w:rsidRPr="00FD1551" w:rsidRDefault="00FD1551" w:rsidP="00FD1551">
            <w:pPr>
              <w:spacing w:after="0" w:line="240" w:lineRule="auto"/>
              <w:jc w:val="both"/>
              <w:rPr>
                <w:rFonts w:ascii="Arial" w:eastAsia="Times New Roman" w:hAnsi="Arial" w:cs="Arial"/>
                <w:sz w:val="20"/>
                <w:szCs w:val="20"/>
                <w:lang w:eastAsia="pt-BR"/>
              </w:rPr>
            </w:pPr>
            <w:r w:rsidRPr="00FD1551">
              <w:rPr>
                <w:rFonts w:ascii="Arial" w:eastAsia="Times New Roman" w:hAnsi="Arial" w:cs="Arial"/>
                <w:sz w:val="20"/>
                <w:szCs w:val="20"/>
                <w:lang w:eastAsia="pt-BR"/>
              </w:rPr>
              <w:t>Subelemento de Despesa</w:t>
            </w:r>
          </w:p>
        </w:tc>
        <w:tc>
          <w:tcPr>
            <w:tcW w:w="1276" w:type="dxa"/>
            <w:tcBorders>
              <w:top w:val="nil"/>
              <w:left w:val="nil"/>
              <w:bottom w:val="single" w:sz="8" w:space="0" w:color="auto"/>
              <w:right w:val="single" w:sz="8" w:space="0" w:color="auto"/>
            </w:tcBorders>
            <w:shd w:val="clear" w:color="auto" w:fill="auto"/>
            <w:vAlign w:val="center"/>
            <w:hideMark/>
          </w:tcPr>
          <w:p w14:paraId="4F7517B3"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Caracter</w:t>
            </w:r>
          </w:p>
        </w:tc>
        <w:tc>
          <w:tcPr>
            <w:tcW w:w="1134" w:type="dxa"/>
            <w:tcBorders>
              <w:top w:val="nil"/>
              <w:left w:val="nil"/>
              <w:bottom w:val="single" w:sz="8" w:space="0" w:color="auto"/>
              <w:right w:val="single" w:sz="8" w:space="0" w:color="auto"/>
            </w:tcBorders>
            <w:shd w:val="clear" w:color="auto" w:fill="auto"/>
            <w:vAlign w:val="center"/>
            <w:hideMark/>
          </w:tcPr>
          <w:p w14:paraId="5A1B0FE3"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2</w:t>
            </w:r>
          </w:p>
        </w:tc>
        <w:tc>
          <w:tcPr>
            <w:tcW w:w="3402" w:type="dxa"/>
            <w:tcBorders>
              <w:top w:val="nil"/>
              <w:left w:val="nil"/>
              <w:bottom w:val="single" w:sz="8" w:space="0" w:color="auto"/>
              <w:right w:val="single" w:sz="8" w:space="0" w:color="auto"/>
            </w:tcBorders>
            <w:shd w:val="clear" w:color="auto" w:fill="auto"/>
            <w:vAlign w:val="center"/>
            <w:hideMark/>
          </w:tcPr>
          <w:p w14:paraId="5B3D4A7C" w14:textId="77777777" w:rsidR="00FD1551" w:rsidRPr="00FD1551" w:rsidRDefault="00FD1551" w:rsidP="00FD1551">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Obrigatório tabela auxiliar 7.7</w:t>
            </w:r>
          </w:p>
        </w:tc>
      </w:tr>
      <w:tr w:rsidR="00FD1551" w:rsidRPr="00FD1551" w14:paraId="0C050AD0" w14:textId="77777777" w:rsidTr="00FD1551">
        <w:trPr>
          <w:trHeight w:val="525"/>
        </w:trPr>
        <w:tc>
          <w:tcPr>
            <w:tcW w:w="3417" w:type="dxa"/>
            <w:tcBorders>
              <w:top w:val="nil"/>
              <w:left w:val="single" w:sz="8" w:space="0" w:color="auto"/>
              <w:bottom w:val="single" w:sz="8" w:space="0" w:color="auto"/>
              <w:right w:val="single" w:sz="8" w:space="0" w:color="auto"/>
            </w:tcBorders>
            <w:shd w:val="clear" w:color="auto" w:fill="auto"/>
            <w:vAlign w:val="center"/>
            <w:hideMark/>
          </w:tcPr>
          <w:p w14:paraId="3A2A5511" w14:textId="77777777" w:rsidR="00FD1551" w:rsidRPr="00FD1551" w:rsidRDefault="00FD1551" w:rsidP="00FD1551">
            <w:pPr>
              <w:spacing w:after="0" w:line="240" w:lineRule="auto"/>
              <w:jc w:val="both"/>
              <w:rPr>
                <w:rFonts w:ascii="Arial" w:eastAsia="Times New Roman" w:hAnsi="Arial" w:cs="Arial"/>
                <w:sz w:val="20"/>
                <w:szCs w:val="20"/>
                <w:lang w:eastAsia="pt-BR"/>
              </w:rPr>
            </w:pPr>
            <w:r w:rsidRPr="00FD1551">
              <w:rPr>
                <w:rFonts w:ascii="Arial" w:eastAsia="Times New Roman" w:hAnsi="Arial" w:cs="Arial"/>
                <w:sz w:val="20"/>
                <w:szCs w:val="20"/>
                <w:lang w:eastAsia="pt-BR"/>
              </w:rPr>
              <w:t xml:space="preserve">Código do Grupo de Fonte/Destinação de Recursos </w:t>
            </w:r>
          </w:p>
        </w:tc>
        <w:tc>
          <w:tcPr>
            <w:tcW w:w="1276" w:type="dxa"/>
            <w:tcBorders>
              <w:top w:val="nil"/>
              <w:left w:val="nil"/>
              <w:bottom w:val="single" w:sz="8" w:space="0" w:color="auto"/>
              <w:right w:val="single" w:sz="8" w:space="0" w:color="auto"/>
            </w:tcBorders>
            <w:shd w:val="clear" w:color="auto" w:fill="auto"/>
            <w:vAlign w:val="center"/>
            <w:hideMark/>
          </w:tcPr>
          <w:p w14:paraId="050E3FAD"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Inteiro</w:t>
            </w:r>
          </w:p>
        </w:tc>
        <w:tc>
          <w:tcPr>
            <w:tcW w:w="1134" w:type="dxa"/>
            <w:tcBorders>
              <w:top w:val="nil"/>
              <w:left w:val="nil"/>
              <w:bottom w:val="single" w:sz="8" w:space="0" w:color="auto"/>
              <w:right w:val="single" w:sz="8" w:space="0" w:color="auto"/>
            </w:tcBorders>
            <w:shd w:val="clear" w:color="auto" w:fill="auto"/>
            <w:vAlign w:val="center"/>
            <w:hideMark/>
          </w:tcPr>
          <w:p w14:paraId="0EAD82CD"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1</w:t>
            </w:r>
          </w:p>
        </w:tc>
        <w:tc>
          <w:tcPr>
            <w:tcW w:w="3402" w:type="dxa"/>
            <w:tcBorders>
              <w:top w:val="nil"/>
              <w:left w:val="nil"/>
              <w:bottom w:val="single" w:sz="8" w:space="0" w:color="auto"/>
              <w:right w:val="single" w:sz="8" w:space="0" w:color="auto"/>
            </w:tcBorders>
            <w:shd w:val="clear" w:color="auto" w:fill="auto"/>
            <w:vAlign w:val="center"/>
            <w:hideMark/>
          </w:tcPr>
          <w:p w14:paraId="317FB9BB" w14:textId="77777777" w:rsidR="00FD1551" w:rsidRPr="00FD1551" w:rsidRDefault="00FD1551" w:rsidP="00FD1551">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Obrigatório conforme tabela auxiliar 1.1</w:t>
            </w:r>
          </w:p>
        </w:tc>
      </w:tr>
      <w:tr w:rsidR="00FD1551" w:rsidRPr="00FD1551" w14:paraId="00C4D5C2" w14:textId="77777777" w:rsidTr="00FD1551">
        <w:trPr>
          <w:trHeight w:val="525"/>
        </w:trPr>
        <w:tc>
          <w:tcPr>
            <w:tcW w:w="3417" w:type="dxa"/>
            <w:tcBorders>
              <w:top w:val="nil"/>
              <w:left w:val="single" w:sz="8" w:space="0" w:color="auto"/>
              <w:bottom w:val="single" w:sz="8" w:space="0" w:color="auto"/>
              <w:right w:val="single" w:sz="8" w:space="0" w:color="auto"/>
            </w:tcBorders>
            <w:shd w:val="clear" w:color="auto" w:fill="auto"/>
            <w:vAlign w:val="center"/>
            <w:hideMark/>
          </w:tcPr>
          <w:p w14:paraId="387C72CD" w14:textId="77777777" w:rsidR="00FD1551" w:rsidRPr="00FD1551" w:rsidRDefault="00FD1551" w:rsidP="00FD1551">
            <w:pPr>
              <w:spacing w:after="0" w:line="240" w:lineRule="auto"/>
              <w:jc w:val="both"/>
              <w:rPr>
                <w:rFonts w:ascii="Arial" w:eastAsia="Times New Roman" w:hAnsi="Arial" w:cs="Arial"/>
                <w:sz w:val="20"/>
                <w:szCs w:val="20"/>
                <w:lang w:eastAsia="pt-BR"/>
              </w:rPr>
            </w:pPr>
            <w:r w:rsidRPr="00FD1551">
              <w:rPr>
                <w:rFonts w:ascii="Arial" w:eastAsia="Times New Roman" w:hAnsi="Arial" w:cs="Arial"/>
                <w:sz w:val="20"/>
                <w:szCs w:val="20"/>
                <w:lang w:eastAsia="pt-BR"/>
              </w:rPr>
              <w:t>Código da especificação da fonte/destinação de recursos (fixo)</w:t>
            </w:r>
          </w:p>
        </w:tc>
        <w:tc>
          <w:tcPr>
            <w:tcW w:w="1276" w:type="dxa"/>
            <w:tcBorders>
              <w:top w:val="nil"/>
              <w:left w:val="nil"/>
              <w:bottom w:val="single" w:sz="8" w:space="0" w:color="auto"/>
              <w:right w:val="single" w:sz="8" w:space="0" w:color="auto"/>
            </w:tcBorders>
            <w:shd w:val="clear" w:color="auto" w:fill="auto"/>
            <w:vAlign w:val="center"/>
            <w:hideMark/>
          </w:tcPr>
          <w:p w14:paraId="194D06E1"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Caracter</w:t>
            </w:r>
          </w:p>
        </w:tc>
        <w:tc>
          <w:tcPr>
            <w:tcW w:w="1134" w:type="dxa"/>
            <w:tcBorders>
              <w:top w:val="nil"/>
              <w:left w:val="nil"/>
              <w:bottom w:val="single" w:sz="8" w:space="0" w:color="auto"/>
              <w:right w:val="single" w:sz="8" w:space="0" w:color="auto"/>
            </w:tcBorders>
            <w:shd w:val="clear" w:color="auto" w:fill="auto"/>
            <w:vAlign w:val="center"/>
            <w:hideMark/>
          </w:tcPr>
          <w:p w14:paraId="3B0DA880"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3</w:t>
            </w:r>
          </w:p>
        </w:tc>
        <w:tc>
          <w:tcPr>
            <w:tcW w:w="3402" w:type="dxa"/>
            <w:tcBorders>
              <w:top w:val="nil"/>
              <w:left w:val="nil"/>
              <w:bottom w:val="single" w:sz="8" w:space="0" w:color="auto"/>
              <w:right w:val="single" w:sz="8" w:space="0" w:color="auto"/>
            </w:tcBorders>
            <w:shd w:val="clear" w:color="auto" w:fill="auto"/>
            <w:vAlign w:val="center"/>
            <w:hideMark/>
          </w:tcPr>
          <w:p w14:paraId="16060A46" w14:textId="77777777" w:rsidR="00FD1551" w:rsidRPr="00FD1551" w:rsidRDefault="00FD1551" w:rsidP="00FD1551">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Obrigatório conforme Tabela Auxiliar 1.2 – parte fixa</w:t>
            </w:r>
          </w:p>
        </w:tc>
      </w:tr>
      <w:tr w:rsidR="00FD1551" w:rsidRPr="00FD1551" w14:paraId="3E8C0DF3" w14:textId="77777777" w:rsidTr="00FD1551">
        <w:trPr>
          <w:trHeight w:val="780"/>
        </w:trPr>
        <w:tc>
          <w:tcPr>
            <w:tcW w:w="3417" w:type="dxa"/>
            <w:tcBorders>
              <w:top w:val="nil"/>
              <w:left w:val="single" w:sz="8" w:space="0" w:color="auto"/>
              <w:bottom w:val="single" w:sz="8" w:space="0" w:color="auto"/>
              <w:right w:val="single" w:sz="8" w:space="0" w:color="auto"/>
            </w:tcBorders>
            <w:shd w:val="clear" w:color="auto" w:fill="auto"/>
            <w:vAlign w:val="center"/>
            <w:hideMark/>
          </w:tcPr>
          <w:p w14:paraId="1A491B0B" w14:textId="77777777" w:rsidR="00FD1551" w:rsidRPr="00FD1551" w:rsidRDefault="00FD1551" w:rsidP="00FD1551">
            <w:pPr>
              <w:spacing w:after="0" w:line="240" w:lineRule="auto"/>
              <w:jc w:val="both"/>
              <w:rPr>
                <w:rFonts w:ascii="Arial" w:eastAsia="Times New Roman" w:hAnsi="Arial" w:cs="Arial"/>
                <w:sz w:val="20"/>
                <w:szCs w:val="20"/>
                <w:lang w:eastAsia="pt-BR"/>
              </w:rPr>
            </w:pPr>
            <w:r w:rsidRPr="00FD1551">
              <w:rPr>
                <w:rFonts w:ascii="Arial" w:eastAsia="Times New Roman" w:hAnsi="Arial" w:cs="Arial"/>
                <w:sz w:val="20"/>
                <w:szCs w:val="20"/>
                <w:lang w:eastAsia="pt-BR"/>
              </w:rPr>
              <w:t>Código da especificação/detalhamento da destinação de recursos (variável)</w:t>
            </w:r>
          </w:p>
        </w:tc>
        <w:tc>
          <w:tcPr>
            <w:tcW w:w="1276" w:type="dxa"/>
            <w:tcBorders>
              <w:top w:val="nil"/>
              <w:left w:val="nil"/>
              <w:bottom w:val="single" w:sz="8" w:space="0" w:color="auto"/>
              <w:right w:val="single" w:sz="8" w:space="0" w:color="auto"/>
            </w:tcBorders>
            <w:shd w:val="clear" w:color="auto" w:fill="auto"/>
            <w:vAlign w:val="center"/>
            <w:hideMark/>
          </w:tcPr>
          <w:p w14:paraId="019F24E1"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Caracter</w:t>
            </w:r>
          </w:p>
        </w:tc>
        <w:tc>
          <w:tcPr>
            <w:tcW w:w="1134" w:type="dxa"/>
            <w:tcBorders>
              <w:top w:val="nil"/>
              <w:left w:val="nil"/>
              <w:bottom w:val="single" w:sz="8" w:space="0" w:color="auto"/>
              <w:right w:val="single" w:sz="8" w:space="0" w:color="auto"/>
            </w:tcBorders>
            <w:shd w:val="clear" w:color="auto" w:fill="auto"/>
            <w:vAlign w:val="center"/>
            <w:hideMark/>
          </w:tcPr>
          <w:p w14:paraId="51568D56"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4</w:t>
            </w:r>
          </w:p>
        </w:tc>
        <w:tc>
          <w:tcPr>
            <w:tcW w:w="3402" w:type="dxa"/>
            <w:tcBorders>
              <w:top w:val="nil"/>
              <w:left w:val="nil"/>
              <w:bottom w:val="single" w:sz="8" w:space="0" w:color="auto"/>
              <w:right w:val="single" w:sz="8" w:space="0" w:color="auto"/>
            </w:tcBorders>
            <w:shd w:val="clear" w:color="auto" w:fill="auto"/>
            <w:vAlign w:val="center"/>
            <w:hideMark/>
          </w:tcPr>
          <w:p w14:paraId="00790A48" w14:textId="77777777" w:rsidR="00FD1551" w:rsidRPr="00FD1551" w:rsidRDefault="00FD1551" w:rsidP="00FD1551">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Obrigatório conforme Tabela Auxiliar 1.2 ou Tabela Cadastral 1.3 – parte variável</w:t>
            </w:r>
          </w:p>
        </w:tc>
      </w:tr>
      <w:tr w:rsidR="00FD1551" w:rsidRPr="00FD1551" w14:paraId="08C28579" w14:textId="77777777" w:rsidTr="00FD1551">
        <w:trPr>
          <w:trHeight w:val="315"/>
        </w:trPr>
        <w:tc>
          <w:tcPr>
            <w:tcW w:w="3417" w:type="dxa"/>
            <w:tcBorders>
              <w:top w:val="nil"/>
              <w:left w:val="single" w:sz="8" w:space="0" w:color="auto"/>
              <w:bottom w:val="single" w:sz="8" w:space="0" w:color="auto"/>
              <w:right w:val="single" w:sz="8" w:space="0" w:color="auto"/>
            </w:tcBorders>
            <w:shd w:val="clear" w:color="auto" w:fill="auto"/>
            <w:vAlign w:val="center"/>
            <w:hideMark/>
          </w:tcPr>
          <w:p w14:paraId="1DFFFA0C" w14:textId="77777777" w:rsidR="00FD1551" w:rsidRPr="00FD1551" w:rsidRDefault="00FD1551" w:rsidP="00FD1551">
            <w:pPr>
              <w:spacing w:after="0" w:line="240" w:lineRule="auto"/>
              <w:jc w:val="both"/>
              <w:rPr>
                <w:rFonts w:ascii="Arial" w:eastAsia="Times New Roman" w:hAnsi="Arial" w:cs="Arial"/>
                <w:sz w:val="20"/>
                <w:szCs w:val="20"/>
                <w:lang w:eastAsia="pt-BR"/>
              </w:rPr>
            </w:pPr>
            <w:r w:rsidRPr="00FD1551">
              <w:rPr>
                <w:rFonts w:ascii="Arial" w:eastAsia="Times New Roman" w:hAnsi="Arial" w:cs="Arial"/>
                <w:sz w:val="20"/>
                <w:szCs w:val="20"/>
                <w:lang w:eastAsia="pt-BR"/>
              </w:rPr>
              <w:t xml:space="preserve">Valor Cancelado </w:t>
            </w:r>
            <w:r w:rsidRPr="00984E83">
              <w:rPr>
                <w:rFonts w:ascii="Arial" w:eastAsia="Times New Roman" w:hAnsi="Arial" w:cs="Arial"/>
                <w:b/>
                <w:sz w:val="20"/>
                <w:szCs w:val="20"/>
                <w:vertAlign w:val="superscript"/>
                <w:lang w:eastAsia="pt-BR"/>
              </w:rPr>
              <w:t>[4]</w:t>
            </w:r>
          </w:p>
        </w:tc>
        <w:tc>
          <w:tcPr>
            <w:tcW w:w="1276" w:type="dxa"/>
            <w:tcBorders>
              <w:top w:val="nil"/>
              <w:left w:val="nil"/>
              <w:bottom w:val="single" w:sz="8" w:space="0" w:color="auto"/>
              <w:right w:val="single" w:sz="8" w:space="0" w:color="auto"/>
            </w:tcBorders>
            <w:shd w:val="clear" w:color="auto" w:fill="auto"/>
            <w:vAlign w:val="center"/>
            <w:hideMark/>
          </w:tcPr>
          <w:p w14:paraId="00286A57"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Decimal</w:t>
            </w:r>
          </w:p>
        </w:tc>
        <w:tc>
          <w:tcPr>
            <w:tcW w:w="1134" w:type="dxa"/>
            <w:tcBorders>
              <w:top w:val="nil"/>
              <w:left w:val="nil"/>
              <w:bottom w:val="single" w:sz="8" w:space="0" w:color="auto"/>
              <w:right w:val="single" w:sz="8" w:space="0" w:color="auto"/>
            </w:tcBorders>
            <w:shd w:val="clear" w:color="auto" w:fill="auto"/>
            <w:vAlign w:val="center"/>
            <w:hideMark/>
          </w:tcPr>
          <w:p w14:paraId="29844620"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14,2</w:t>
            </w:r>
          </w:p>
        </w:tc>
        <w:tc>
          <w:tcPr>
            <w:tcW w:w="3402" w:type="dxa"/>
            <w:tcBorders>
              <w:top w:val="nil"/>
              <w:left w:val="nil"/>
              <w:bottom w:val="single" w:sz="8" w:space="0" w:color="auto"/>
              <w:right w:val="single" w:sz="8" w:space="0" w:color="auto"/>
            </w:tcBorders>
            <w:shd w:val="clear" w:color="auto" w:fill="auto"/>
            <w:vAlign w:val="center"/>
            <w:hideMark/>
          </w:tcPr>
          <w:p w14:paraId="52830E25" w14:textId="77777777" w:rsidR="00FD1551" w:rsidRPr="00FD1551" w:rsidRDefault="00FD1551" w:rsidP="00FD1551">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Obrigatório</w:t>
            </w:r>
          </w:p>
        </w:tc>
      </w:tr>
      <w:tr w:rsidR="00FD1551" w:rsidRPr="00FD1551" w14:paraId="43ABC189" w14:textId="77777777" w:rsidTr="00FD1551">
        <w:trPr>
          <w:trHeight w:val="499"/>
        </w:trPr>
        <w:tc>
          <w:tcPr>
            <w:tcW w:w="9229" w:type="dxa"/>
            <w:gridSpan w:val="4"/>
            <w:tcBorders>
              <w:top w:val="single" w:sz="8" w:space="0" w:color="auto"/>
              <w:left w:val="single" w:sz="8" w:space="0" w:color="auto"/>
              <w:bottom w:val="single" w:sz="8" w:space="0" w:color="auto"/>
              <w:right w:val="single" w:sz="8" w:space="0" w:color="000000"/>
            </w:tcBorders>
            <w:shd w:val="clear" w:color="000000" w:fill="C0C0C0"/>
            <w:vAlign w:val="center"/>
            <w:hideMark/>
          </w:tcPr>
          <w:p w14:paraId="2987393E" w14:textId="77777777" w:rsidR="00FD1551" w:rsidRPr="00FD1551" w:rsidRDefault="00FD1551" w:rsidP="00FD1551">
            <w:pPr>
              <w:spacing w:after="0" w:line="240" w:lineRule="auto"/>
              <w:jc w:val="center"/>
              <w:rPr>
                <w:rFonts w:ascii="Arial" w:eastAsia="Times New Roman" w:hAnsi="Arial" w:cs="Arial"/>
                <w:b/>
                <w:bCs/>
                <w:sz w:val="20"/>
                <w:szCs w:val="20"/>
                <w:lang w:eastAsia="pt-BR"/>
              </w:rPr>
            </w:pPr>
            <w:r w:rsidRPr="00FD1551">
              <w:rPr>
                <w:rFonts w:ascii="Arial" w:hAnsi="Arial"/>
              </w:rPr>
              <w:br w:type="page"/>
            </w:r>
            <w:r w:rsidRPr="00FD1551">
              <w:rPr>
                <w:rFonts w:ascii="Arial" w:eastAsia="Times New Roman" w:hAnsi="Arial" w:cs="Arial"/>
                <w:b/>
                <w:bCs/>
                <w:sz w:val="20"/>
                <w:szCs w:val="20"/>
                <w:lang w:eastAsia="pt-BR"/>
              </w:rPr>
              <w:t>Estrutura ‘InsuficienciaCaixaConsorcio’</w:t>
            </w:r>
          </w:p>
        </w:tc>
      </w:tr>
      <w:tr w:rsidR="00FD1551" w:rsidRPr="00FD1551" w14:paraId="22435FDB" w14:textId="77777777" w:rsidTr="00FD1551">
        <w:trPr>
          <w:trHeight w:val="315"/>
        </w:trPr>
        <w:tc>
          <w:tcPr>
            <w:tcW w:w="341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F2C7F95" w14:textId="77777777" w:rsidR="00FD1551" w:rsidRPr="00FD1551" w:rsidRDefault="00FD1551" w:rsidP="00FD1551">
            <w:pPr>
              <w:spacing w:after="0" w:line="240" w:lineRule="auto"/>
              <w:jc w:val="both"/>
              <w:rPr>
                <w:rFonts w:ascii="Arial" w:eastAsia="Times New Roman" w:hAnsi="Arial" w:cs="Arial"/>
                <w:sz w:val="20"/>
                <w:szCs w:val="20"/>
                <w:lang w:eastAsia="pt-BR"/>
              </w:rPr>
            </w:pPr>
            <w:r w:rsidRPr="00FD1551">
              <w:rPr>
                <w:rFonts w:ascii="Arial" w:eastAsia="Times New Roman" w:hAnsi="Arial" w:cs="Arial"/>
                <w:sz w:val="20"/>
                <w:szCs w:val="20"/>
                <w:lang w:eastAsia="pt-BR"/>
              </w:rPr>
              <w:t>Identificação do Numero do Registro</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14:paraId="592756A9"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Inteiro</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14:paraId="553481F0"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5</w:t>
            </w:r>
          </w:p>
        </w:tc>
        <w:tc>
          <w:tcPr>
            <w:tcW w:w="3402" w:type="dxa"/>
            <w:tcBorders>
              <w:top w:val="single" w:sz="8" w:space="0" w:color="auto"/>
              <w:left w:val="nil"/>
              <w:bottom w:val="single" w:sz="8" w:space="0" w:color="auto"/>
              <w:right w:val="single" w:sz="8" w:space="0" w:color="auto"/>
            </w:tcBorders>
            <w:shd w:val="clear" w:color="auto" w:fill="auto"/>
            <w:vAlign w:val="center"/>
            <w:hideMark/>
          </w:tcPr>
          <w:p w14:paraId="5A69A748" w14:textId="77777777" w:rsidR="00FD1551" w:rsidRPr="00FD1551" w:rsidRDefault="00FD1551" w:rsidP="00FD1551">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Obrigatório</w:t>
            </w:r>
          </w:p>
        </w:tc>
      </w:tr>
      <w:tr w:rsidR="00FD1551" w:rsidRPr="00FD1551" w14:paraId="15E22908" w14:textId="77777777" w:rsidTr="00FD1551">
        <w:trPr>
          <w:trHeight w:val="600"/>
        </w:trPr>
        <w:tc>
          <w:tcPr>
            <w:tcW w:w="3417" w:type="dxa"/>
            <w:tcBorders>
              <w:top w:val="nil"/>
              <w:left w:val="single" w:sz="8" w:space="0" w:color="auto"/>
              <w:bottom w:val="single" w:sz="8" w:space="0" w:color="auto"/>
              <w:right w:val="single" w:sz="8" w:space="0" w:color="auto"/>
            </w:tcBorders>
            <w:shd w:val="clear" w:color="auto" w:fill="auto"/>
            <w:vAlign w:val="center"/>
            <w:hideMark/>
          </w:tcPr>
          <w:p w14:paraId="0DC12137" w14:textId="77777777" w:rsidR="00FD1551" w:rsidRPr="00FD1551" w:rsidRDefault="00FD1551" w:rsidP="00FD1551">
            <w:pPr>
              <w:spacing w:after="0" w:line="240" w:lineRule="auto"/>
              <w:jc w:val="both"/>
              <w:rPr>
                <w:rFonts w:ascii="Arial" w:eastAsia="Times New Roman" w:hAnsi="Arial" w:cs="Arial"/>
                <w:sz w:val="20"/>
                <w:szCs w:val="20"/>
                <w:lang w:eastAsia="pt-BR"/>
              </w:rPr>
            </w:pPr>
            <w:r w:rsidRPr="00FD1551">
              <w:rPr>
                <w:rFonts w:ascii="Arial" w:eastAsia="Times New Roman" w:hAnsi="Arial" w:cs="Arial"/>
                <w:sz w:val="20"/>
                <w:szCs w:val="20"/>
                <w:lang w:eastAsia="pt-BR"/>
              </w:rPr>
              <w:t>CNPJ do Consórcio</w:t>
            </w:r>
          </w:p>
        </w:tc>
        <w:tc>
          <w:tcPr>
            <w:tcW w:w="1276" w:type="dxa"/>
            <w:tcBorders>
              <w:top w:val="nil"/>
              <w:left w:val="nil"/>
              <w:bottom w:val="single" w:sz="8" w:space="0" w:color="auto"/>
              <w:right w:val="single" w:sz="8" w:space="0" w:color="auto"/>
            </w:tcBorders>
            <w:shd w:val="clear" w:color="auto" w:fill="auto"/>
            <w:vAlign w:val="center"/>
            <w:hideMark/>
          </w:tcPr>
          <w:p w14:paraId="4523E77D"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Caracter</w:t>
            </w:r>
          </w:p>
        </w:tc>
        <w:tc>
          <w:tcPr>
            <w:tcW w:w="1134" w:type="dxa"/>
            <w:tcBorders>
              <w:top w:val="nil"/>
              <w:left w:val="nil"/>
              <w:bottom w:val="single" w:sz="8" w:space="0" w:color="auto"/>
              <w:right w:val="single" w:sz="8" w:space="0" w:color="auto"/>
            </w:tcBorders>
            <w:shd w:val="clear" w:color="auto" w:fill="auto"/>
            <w:vAlign w:val="center"/>
            <w:hideMark/>
          </w:tcPr>
          <w:p w14:paraId="0D747C35"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14</w:t>
            </w:r>
          </w:p>
        </w:tc>
        <w:tc>
          <w:tcPr>
            <w:tcW w:w="3402" w:type="dxa"/>
            <w:tcBorders>
              <w:top w:val="nil"/>
              <w:left w:val="nil"/>
              <w:bottom w:val="single" w:sz="8" w:space="0" w:color="auto"/>
              <w:right w:val="single" w:sz="8" w:space="0" w:color="auto"/>
            </w:tcBorders>
            <w:shd w:val="clear" w:color="auto" w:fill="auto"/>
            <w:vAlign w:val="center"/>
            <w:hideMark/>
          </w:tcPr>
          <w:p w14:paraId="48CDAFE8" w14:textId="77777777" w:rsidR="00FD1551" w:rsidRPr="00FD1551" w:rsidRDefault="00FD1551" w:rsidP="00FD1551">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Obrigatório</w:t>
            </w:r>
          </w:p>
        </w:tc>
      </w:tr>
      <w:tr w:rsidR="00FD1551" w:rsidRPr="00FD1551" w14:paraId="72C3F8CE" w14:textId="77777777" w:rsidTr="00FD1551">
        <w:trPr>
          <w:trHeight w:val="525"/>
        </w:trPr>
        <w:tc>
          <w:tcPr>
            <w:tcW w:w="3417" w:type="dxa"/>
            <w:tcBorders>
              <w:top w:val="nil"/>
              <w:left w:val="single" w:sz="8" w:space="0" w:color="auto"/>
              <w:bottom w:val="single" w:sz="8" w:space="0" w:color="auto"/>
              <w:right w:val="single" w:sz="8" w:space="0" w:color="auto"/>
            </w:tcBorders>
            <w:shd w:val="clear" w:color="auto" w:fill="auto"/>
            <w:vAlign w:val="center"/>
            <w:hideMark/>
          </w:tcPr>
          <w:p w14:paraId="204CD1E7" w14:textId="77777777" w:rsidR="00FD1551" w:rsidRPr="00FD1551" w:rsidRDefault="00FD1551" w:rsidP="00FD1551">
            <w:pPr>
              <w:spacing w:after="0" w:line="240" w:lineRule="auto"/>
              <w:jc w:val="both"/>
              <w:rPr>
                <w:rFonts w:ascii="Arial" w:eastAsia="Times New Roman" w:hAnsi="Arial" w:cs="Arial"/>
                <w:sz w:val="20"/>
                <w:szCs w:val="20"/>
                <w:lang w:eastAsia="pt-BR"/>
              </w:rPr>
            </w:pPr>
            <w:r w:rsidRPr="00FD1551">
              <w:rPr>
                <w:rFonts w:ascii="Arial" w:eastAsia="Times New Roman" w:hAnsi="Arial" w:cs="Arial"/>
                <w:sz w:val="20"/>
                <w:szCs w:val="20"/>
                <w:lang w:eastAsia="pt-BR"/>
              </w:rPr>
              <w:t xml:space="preserve">Código do Grupo de Fonte/Destinação de Recursos </w:t>
            </w:r>
          </w:p>
        </w:tc>
        <w:tc>
          <w:tcPr>
            <w:tcW w:w="1276" w:type="dxa"/>
            <w:tcBorders>
              <w:top w:val="nil"/>
              <w:left w:val="nil"/>
              <w:bottom w:val="single" w:sz="8" w:space="0" w:color="auto"/>
              <w:right w:val="single" w:sz="8" w:space="0" w:color="auto"/>
            </w:tcBorders>
            <w:shd w:val="clear" w:color="auto" w:fill="auto"/>
            <w:vAlign w:val="center"/>
            <w:hideMark/>
          </w:tcPr>
          <w:p w14:paraId="3E1D5506"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Inteiro</w:t>
            </w:r>
          </w:p>
        </w:tc>
        <w:tc>
          <w:tcPr>
            <w:tcW w:w="1134" w:type="dxa"/>
            <w:tcBorders>
              <w:top w:val="nil"/>
              <w:left w:val="nil"/>
              <w:bottom w:val="single" w:sz="8" w:space="0" w:color="auto"/>
              <w:right w:val="single" w:sz="8" w:space="0" w:color="auto"/>
            </w:tcBorders>
            <w:shd w:val="clear" w:color="auto" w:fill="auto"/>
            <w:vAlign w:val="center"/>
            <w:hideMark/>
          </w:tcPr>
          <w:p w14:paraId="06539350"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1</w:t>
            </w:r>
          </w:p>
        </w:tc>
        <w:tc>
          <w:tcPr>
            <w:tcW w:w="3402" w:type="dxa"/>
            <w:tcBorders>
              <w:top w:val="nil"/>
              <w:left w:val="nil"/>
              <w:bottom w:val="single" w:sz="8" w:space="0" w:color="auto"/>
              <w:right w:val="single" w:sz="8" w:space="0" w:color="auto"/>
            </w:tcBorders>
            <w:shd w:val="clear" w:color="auto" w:fill="auto"/>
            <w:vAlign w:val="center"/>
            <w:hideMark/>
          </w:tcPr>
          <w:p w14:paraId="4F470627" w14:textId="77777777" w:rsidR="00FD1551" w:rsidRPr="00FD1551" w:rsidRDefault="00FD1551" w:rsidP="00FD1551">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Obrigatório conforme tabela auxiliar 1.1</w:t>
            </w:r>
          </w:p>
        </w:tc>
      </w:tr>
      <w:tr w:rsidR="00FD1551" w:rsidRPr="00FD1551" w14:paraId="5814A117" w14:textId="77777777" w:rsidTr="00FD1551">
        <w:trPr>
          <w:trHeight w:val="525"/>
        </w:trPr>
        <w:tc>
          <w:tcPr>
            <w:tcW w:w="3417" w:type="dxa"/>
            <w:tcBorders>
              <w:top w:val="nil"/>
              <w:left w:val="single" w:sz="8" w:space="0" w:color="auto"/>
              <w:bottom w:val="single" w:sz="8" w:space="0" w:color="auto"/>
              <w:right w:val="single" w:sz="8" w:space="0" w:color="auto"/>
            </w:tcBorders>
            <w:shd w:val="clear" w:color="auto" w:fill="auto"/>
            <w:vAlign w:val="center"/>
            <w:hideMark/>
          </w:tcPr>
          <w:p w14:paraId="632CF397" w14:textId="77777777" w:rsidR="00FD1551" w:rsidRPr="00FD1551" w:rsidRDefault="00FD1551" w:rsidP="00FD1551">
            <w:pPr>
              <w:spacing w:after="0" w:line="240" w:lineRule="auto"/>
              <w:jc w:val="both"/>
              <w:rPr>
                <w:rFonts w:ascii="Arial" w:eastAsia="Times New Roman" w:hAnsi="Arial" w:cs="Arial"/>
                <w:sz w:val="20"/>
                <w:szCs w:val="20"/>
                <w:lang w:eastAsia="pt-BR"/>
              </w:rPr>
            </w:pPr>
            <w:r w:rsidRPr="00FD1551">
              <w:rPr>
                <w:rFonts w:ascii="Arial" w:eastAsia="Times New Roman" w:hAnsi="Arial" w:cs="Arial"/>
                <w:sz w:val="20"/>
                <w:szCs w:val="20"/>
                <w:lang w:eastAsia="pt-BR"/>
              </w:rPr>
              <w:t>Código da especificação da fonte/destinação de recursos (fixo)</w:t>
            </w:r>
          </w:p>
        </w:tc>
        <w:tc>
          <w:tcPr>
            <w:tcW w:w="1276" w:type="dxa"/>
            <w:tcBorders>
              <w:top w:val="nil"/>
              <w:left w:val="nil"/>
              <w:bottom w:val="single" w:sz="8" w:space="0" w:color="auto"/>
              <w:right w:val="single" w:sz="8" w:space="0" w:color="auto"/>
            </w:tcBorders>
            <w:shd w:val="clear" w:color="auto" w:fill="auto"/>
            <w:vAlign w:val="center"/>
            <w:hideMark/>
          </w:tcPr>
          <w:p w14:paraId="4E89D254"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Caracter</w:t>
            </w:r>
          </w:p>
        </w:tc>
        <w:tc>
          <w:tcPr>
            <w:tcW w:w="1134" w:type="dxa"/>
            <w:tcBorders>
              <w:top w:val="nil"/>
              <w:left w:val="nil"/>
              <w:bottom w:val="single" w:sz="8" w:space="0" w:color="auto"/>
              <w:right w:val="single" w:sz="8" w:space="0" w:color="auto"/>
            </w:tcBorders>
            <w:shd w:val="clear" w:color="auto" w:fill="auto"/>
            <w:vAlign w:val="center"/>
            <w:hideMark/>
          </w:tcPr>
          <w:p w14:paraId="1856BEA1"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3</w:t>
            </w:r>
          </w:p>
        </w:tc>
        <w:tc>
          <w:tcPr>
            <w:tcW w:w="3402" w:type="dxa"/>
            <w:tcBorders>
              <w:top w:val="nil"/>
              <w:left w:val="nil"/>
              <w:bottom w:val="single" w:sz="8" w:space="0" w:color="auto"/>
              <w:right w:val="single" w:sz="8" w:space="0" w:color="auto"/>
            </w:tcBorders>
            <w:shd w:val="clear" w:color="auto" w:fill="auto"/>
            <w:vAlign w:val="center"/>
            <w:hideMark/>
          </w:tcPr>
          <w:p w14:paraId="52DBDF5C" w14:textId="77777777" w:rsidR="00FD1551" w:rsidRPr="00FD1551" w:rsidRDefault="00FD1551" w:rsidP="00FD1551">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Obrigatório conforme Tabela Auxiliar 1.2 – parte fixa</w:t>
            </w:r>
          </w:p>
        </w:tc>
      </w:tr>
      <w:tr w:rsidR="00FD1551" w:rsidRPr="00FD1551" w14:paraId="138D0CA4" w14:textId="77777777" w:rsidTr="00FD1551">
        <w:trPr>
          <w:trHeight w:val="780"/>
        </w:trPr>
        <w:tc>
          <w:tcPr>
            <w:tcW w:w="3417" w:type="dxa"/>
            <w:tcBorders>
              <w:top w:val="nil"/>
              <w:left w:val="single" w:sz="8" w:space="0" w:color="auto"/>
              <w:bottom w:val="single" w:sz="8" w:space="0" w:color="auto"/>
              <w:right w:val="single" w:sz="8" w:space="0" w:color="auto"/>
            </w:tcBorders>
            <w:shd w:val="clear" w:color="auto" w:fill="auto"/>
            <w:vAlign w:val="center"/>
            <w:hideMark/>
          </w:tcPr>
          <w:p w14:paraId="2A74D2F0" w14:textId="77777777" w:rsidR="00FD1551" w:rsidRPr="00FD1551" w:rsidRDefault="00FD1551" w:rsidP="00FD1551">
            <w:pPr>
              <w:spacing w:after="0" w:line="240" w:lineRule="auto"/>
              <w:jc w:val="both"/>
              <w:rPr>
                <w:rFonts w:ascii="Arial" w:eastAsia="Times New Roman" w:hAnsi="Arial" w:cs="Arial"/>
                <w:sz w:val="20"/>
                <w:szCs w:val="20"/>
                <w:lang w:eastAsia="pt-BR"/>
              </w:rPr>
            </w:pPr>
            <w:r w:rsidRPr="00FD1551">
              <w:rPr>
                <w:rFonts w:ascii="Arial" w:eastAsia="Times New Roman" w:hAnsi="Arial" w:cs="Arial"/>
                <w:sz w:val="20"/>
                <w:szCs w:val="20"/>
                <w:lang w:eastAsia="pt-BR"/>
              </w:rPr>
              <w:t>Código da especificação/detalhamento da destinação de recursos (variável)</w:t>
            </w:r>
          </w:p>
        </w:tc>
        <w:tc>
          <w:tcPr>
            <w:tcW w:w="1276" w:type="dxa"/>
            <w:tcBorders>
              <w:top w:val="nil"/>
              <w:left w:val="nil"/>
              <w:bottom w:val="single" w:sz="8" w:space="0" w:color="auto"/>
              <w:right w:val="single" w:sz="8" w:space="0" w:color="auto"/>
            </w:tcBorders>
            <w:shd w:val="clear" w:color="auto" w:fill="auto"/>
            <w:vAlign w:val="center"/>
            <w:hideMark/>
          </w:tcPr>
          <w:p w14:paraId="5ECD0406"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Caracter</w:t>
            </w:r>
          </w:p>
        </w:tc>
        <w:tc>
          <w:tcPr>
            <w:tcW w:w="1134" w:type="dxa"/>
            <w:tcBorders>
              <w:top w:val="nil"/>
              <w:left w:val="nil"/>
              <w:bottom w:val="single" w:sz="8" w:space="0" w:color="auto"/>
              <w:right w:val="single" w:sz="8" w:space="0" w:color="auto"/>
            </w:tcBorders>
            <w:shd w:val="clear" w:color="auto" w:fill="auto"/>
            <w:vAlign w:val="center"/>
            <w:hideMark/>
          </w:tcPr>
          <w:p w14:paraId="7A2034EA"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4</w:t>
            </w:r>
          </w:p>
        </w:tc>
        <w:tc>
          <w:tcPr>
            <w:tcW w:w="3402" w:type="dxa"/>
            <w:tcBorders>
              <w:top w:val="nil"/>
              <w:left w:val="nil"/>
              <w:bottom w:val="single" w:sz="8" w:space="0" w:color="auto"/>
              <w:right w:val="single" w:sz="8" w:space="0" w:color="auto"/>
            </w:tcBorders>
            <w:shd w:val="clear" w:color="auto" w:fill="auto"/>
            <w:vAlign w:val="center"/>
            <w:hideMark/>
          </w:tcPr>
          <w:p w14:paraId="409AF3F0" w14:textId="77777777" w:rsidR="00FD1551" w:rsidRPr="00FD1551" w:rsidRDefault="00FD1551" w:rsidP="00FD1551">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Obrigatório conforme Tabela Auxiliar 1.2 ou Tabela Cadastral 1.3 – parte variável</w:t>
            </w:r>
          </w:p>
        </w:tc>
      </w:tr>
      <w:tr w:rsidR="00FD1551" w:rsidRPr="00FD1551" w14:paraId="33AA9DB5" w14:textId="77777777" w:rsidTr="00FD1551">
        <w:trPr>
          <w:trHeight w:val="315"/>
        </w:trPr>
        <w:tc>
          <w:tcPr>
            <w:tcW w:w="3417" w:type="dxa"/>
            <w:tcBorders>
              <w:top w:val="nil"/>
              <w:left w:val="single" w:sz="8" w:space="0" w:color="auto"/>
              <w:bottom w:val="single" w:sz="8" w:space="0" w:color="auto"/>
              <w:right w:val="single" w:sz="8" w:space="0" w:color="auto"/>
            </w:tcBorders>
            <w:shd w:val="clear" w:color="auto" w:fill="auto"/>
            <w:vAlign w:val="center"/>
            <w:hideMark/>
          </w:tcPr>
          <w:p w14:paraId="252AA9E0" w14:textId="77777777" w:rsidR="00FD1551" w:rsidRPr="00FD1551" w:rsidRDefault="00FD1551" w:rsidP="00FD1551">
            <w:pPr>
              <w:spacing w:after="0" w:line="240" w:lineRule="auto"/>
              <w:jc w:val="both"/>
              <w:rPr>
                <w:rFonts w:ascii="Arial" w:eastAsia="Times New Roman" w:hAnsi="Arial" w:cs="Arial"/>
                <w:sz w:val="20"/>
                <w:szCs w:val="20"/>
                <w:lang w:eastAsia="pt-BR"/>
              </w:rPr>
            </w:pPr>
            <w:r w:rsidRPr="00FD1551">
              <w:rPr>
                <w:rFonts w:ascii="Arial" w:eastAsia="Times New Roman" w:hAnsi="Arial" w:cs="Arial"/>
                <w:sz w:val="20"/>
                <w:szCs w:val="20"/>
                <w:lang w:eastAsia="pt-BR"/>
              </w:rPr>
              <w:t xml:space="preserve">Valor da Insuficiência de Caixa </w:t>
            </w:r>
            <w:r w:rsidRPr="00984E83">
              <w:rPr>
                <w:rFonts w:ascii="Arial" w:eastAsia="Times New Roman" w:hAnsi="Arial" w:cs="Arial"/>
                <w:b/>
                <w:sz w:val="20"/>
                <w:szCs w:val="20"/>
                <w:vertAlign w:val="superscript"/>
                <w:lang w:eastAsia="pt-BR"/>
              </w:rPr>
              <w:t>[5]</w:t>
            </w:r>
          </w:p>
        </w:tc>
        <w:tc>
          <w:tcPr>
            <w:tcW w:w="1276" w:type="dxa"/>
            <w:tcBorders>
              <w:top w:val="nil"/>
              <w:left w:val="nil"/>
              <w:bottom w:val="single" w:sz="8" w:space="0" w:color="auto"/>
              <w:right w:val="single" w:sz="8" w:space="0" w:color="auto"/>
            </w:tcBorders>
            <w:shd w:val="clear" w:color="auto" w:fill="auto"/>
            <w:vAlign w:val="center"/>
            <w:hideMark/>
          </w:tcPr>
          <w:p w14:paraId="70C3B5FD"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Decimal</w:t>
            </w:r>
          </w:p>
        </w:tc>
        <w:tc>
          <w:tcPr>
            <w:tcW w:w="1134" w:type="dxa"/>
            <w:tcBorders>
              <w:top w:val="nil"/>
              <w:left w:val="nil"/>
              <w:bottom w:val="single" w:sz="8" w:space="0" w:color="auto"/>
              <w:right w:val="single" w:sz="8" w:space="0" w:color="auto"/>
            </w:tcBorders>
            <w:shd w:val="clear" w:color="auto" w:fill="auto"/>
            <w:vAlign w:val="center"/>
            <w:hideMark/>
          </w:tcPr>
          <w:p w14:paraId="1F298CEB"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14,2</w:t>
            </w:r>
          </w:p>
        </w:tc>
        <w:tc>
          <w:tcPr>
            <w:tcW w:w="3402" w:type="dxa"/>
            <w:tcBorders>
              <w:top w:val="nil"/>
              <w:left w:val="nil"/>
              <w:bottom w:val="single" w:sz="8" w:space="0" w:color="auto"/>
              <w:right w:val="single" w:sz="8" w:space="0" w:color="auto"/>
            </w:tcBorders>
            <w:shd w:val="clear" w:color="auto" w:fill="auto"/>
            <w:vAlign w:val="center"/>
            <w:hideMark/>
          </w:tcPr>
          <w:p w14:paraId="180FDD54" w14:textId="77777777" w:rsidR="00FD1551" w:rsidRPr="00FD1551" w:rsidRDefault="00FD1551" w:rsidP="00FD1551">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Obrigatório</w:t>
            </w:r>
          </w:p>
        </w:tc>
      </w:tr>
    </w:tbl>
    <w:p w14:paraId="3370F974" w14:textId="77777777" w:rsidR="00FD1551" w:rsidRPr="00984E83" w:rsidRDefault="00FD1551" w:rsidP="00FD1551">
      <w:pPr>
        <w:spacing w:before="120" w:after="120" w:line="240" w:lineRule="auto"/>
        <w:rPr>
          <w:rFonts w:ascii="Arial" w:eastAsia="Times New Roman" w:hAnsi="Arial" w:cs="Arial"/>
          <w:color w:val="000000"/>
          <w:sz w:val="18"/>
          <w:szCs w:val="18"/>
          <w:lang w:eastAsia="pt-BR"/>
        </w:rPr>
      </w:pPr>
      <w:r w:rsidRPr="00984E83">
        <w:rPr>
          <w:rFonts w:ascii="Arial" w:eastAsia="Times New Roman" w:hAnsi="Arial" w:cs="Arial"/>
          <w:bCs/>
          <w:color w:val="000000"/>
          <w:sz w:val="18"/>
          <w:szCs w:val="18"/>
          <w:lang w:eastAsia="pt-BR"/>
        </w:rPr>
        <w:t>[1]</w:t>
      </w:r>
      <w:r w:rsidRPr="00984E83">
        <w:rPr>
          <w:rFonts w:ascii="Arial" w:eastAsia="Times New Roman" w:hAnsi="Arial" w:cs="Arial"/>
          <w:color w:val="000000"/>
          <w:sz w:val="18"/>
          <w:szCs w:val="18"/>
          <w:lang w:eastAsia="pt-BR"/>
        </w:rPr>
        <w:t xml:space="preserve"> Valor da Despesa Empenhada até o mês de dezembro do exercício corrente.</w:t>
      </w:r>
    </w:p>
    <w:p w14:paraId="101EA2AC" w14:textId="77777777" w:rsidR="00FD1551" w:rsidRPr="00984E83" w:rsidRDefault="00FD1551" w:rsidP="00FD1551">
      <w:pPr>
        <w:spacing w:after="120" w:line="240" w:lineRule="auto"/>
        <w:rPr>
          <w:rFonts w:ascii="Arial" w:eastAsia="Times New Roman" w:hAnsi="Arial" w:cs="Arial"/>
          <w:color w:val="000000"/>
          <w:sz w:val="18"/>
          <w:szCs w:val="18"/>
          <w:lang w:eastAsia="pt-BR"/>
        </w:rPr>
      </w:pPr>
      <w:r w:rsidRPr="00984E83">
        <w:rPr>
          <w:rFonts w:ascii="Arial" w:eastAsia="Times New Roman" w:hAnsi="Arial" w:cs="Arial"/>
          <w:bCs/>
          <w:color w:val="000000"/>
          <w:sz w:val="18"/>
          <w:szCs w:val="18"/>
          <w:lang w:eastAsia="pt-BR"/>
        </w:rPr>
        <w:t>[2]</w:t>
      </w:r>
      <w:r w:rsidRPr="00984E83">
        <w:rPr>
          <w:rFonts w:ascii="Arial" w:eastAsia="Times New Roman" w:hAnsi="Arial" w:cs="Arial"/>
          <w:color w:val="000000"/>
          <w:sz w:val="18"/>
          <w:szCs w:val="18"/>
          <w:lang w:eastAsia="pt-BR"/>
        </w:rPr>
        <w:t xml:space="preserve"> Valor da Despesa Liquidada até o mês de dezembro do exercício corrente.</w:t>
      </w:r>
    </w:p>
    <w:p w14:paraId="02535790" w14:textId="77777777" w:rsidR="00FD1551" w:rsidRPr="00984E83" w:rsidRDefault="00FD1551" w:rsidP="00FD1551">
      <w:pPr>
        <w:spacing w:after="120" w:line="240" w:lineRule="auto"/>
        <w:rPr>
          <w:rFonts w:ascii="Arial" w:hAnsi="Arial" w:cs="Arial"/>
          <w:sz w:val="18"/>
          <w:szCs w:val="18"/>
          <w:lang w:eastAsia="pt-BR"/>
        </w:rPr>
      </w:pPr>
      <w:r w:rsidRPr="00984E83">
        <w:rPr>
          <w:rFonts w:ascii="Arial" w:eastAsia="Times New Roman" w:hAnsi="Arial" w:cs="Arial"/>
          <w:bCs/>
          <w:color w:val="000000"/>
          <w:sz w:val="18"/>
          <w:szCs w:val="18"/>
          <w:lang w:eastAsia="pt-BR"/>
        </w:rPr>
        <w:t>[3]</w:t>
      </w:r>
      <w:r w:rsidRPr="00984E83">
        <w:rPr>
          <w:rFonts w:ascii="Arial" w:eastAsia="Times New Roman" w:hAnsi="Arial" w:cs="Arial"/>
          <w:color w:val="000000"/>
          <w:sz w:val="18"/>
          <w:szCs w:val="18"/>
          <w:lang w:eastAsia="pt-BR"/>
        </w:rPr>
        <w:t xml:space="preserve"> Valor da Despesa Paga até o mês de dezembro do exercício corrente.</w:t>
      </w:r>
    </w:p>
    <w:p w14:paraId="5252CFD5" w14:textId="77777777" w:rsidR="00FD1551" w:rsidRPr="00984E83" w:rsidRDefault="00FD1551" w:rsidP="00FD1551">
      <w:pPr>
        <w:spacing w:after="120" w:line="240" w:lineRule="auto"/>
        <w:rPr>
          <w:rFonts w:ascii="Arial" w:hAnsi="Arial" w:cs="Arial"/>
          <w:sz w:val="18"/>
          <w:szCs w:val="18"/>
          <w:lang w:eastAsia="pt-BR"/>
        </w:rPr>
      </w:pPr>
      <w:r w:rsidRPr="00984E83">
        <w:rPr>
          <w:rFonts w:ascii="Arial" w:eastAsia="Times New Roman" w:hAnsi="Arial" w:cs="Arial"/>
          <w:bCs/>
          <w:color w:val="000000"/>
          <w:sz w:val="18"/>
          <w:szCs w:val="18"/>
          <w:lang w:eastAsia="pt-BR"/>
        </w:rPr>
        <w:t>[4]</w:t>
      </w:r>
      <w:r w:rsidRPr="00984E83">
        <w:rPr>
          <w:rFonts w:ascii="Arial" w:eastAsia="Times New Roman" w:hAnsi="Arial" w:cs="Arial"/>
          <w:color w:val="000000"/>
          <w:sz w:val="18"/>
          <w:szCs w:val="18"/>
          <w:lang w:eastAsia="pt-BR"/>
        </w:rPr>
        <w:t xml:space="preserve"> Valor dos Restos a Pagar cancelados até o mês de dezembro do exercício corrente.</w:t>
      </w:r>
    </w:p>
    <w:p w14:paraId="4DFBF1C7" w14:textId="77777777" w:rsidR="00FD1551" w:rsidRPr="00984E83" w:rsidRDefault="00FD1551" w:rsidP="00FD1551">
      <w:pPr>
        <w:spacing w:after="120" w:line="240" w:lineRule="auto"/>
        <w:rPr>
          <w:rFonts w:ascii="Arial" w:eastAsia="Times New Roman" w:hAnsi="Arial" w:cs="Arial"/>
          <w:color w:val="000000"/>
          <w:sz w:val="18"/>
          <w:szCs w:val="18"/>
          <w:lang w:eastAsia="pt-BR"/>
        </w:rPr>
      </w:pPr>
      <w:r w:rsidRPr="00984E83">
        <w:rPr>
          <w:rFonts w:ascii="Arial" w:eastAsia="Times New Roman" w:hAnsi="Arial" w:cs="Arial"/>
          <w:bCs/>
          <w:color w:val="000000"/>
          <w:sz w:val="18"/>
          <w:szCs w:val="18"/>
          <w:lang w:eastAsia="pt-BR"/>
        </w:rPr>
        <w:t>[5]</w:t>
      </w:r>
      <w:r w:rsidRPr="00984E83">
        <w:rPr>
          <w:rFonts w:ascii="Arial" w:eastAsia="Times New Roman" w:hAnsi="Arial" w:cs="Arial"/>
          <w:color w:val="000000"/>
          <w:sz w:val="18"/>
          <w:szCs w:val="18"/>
          <w:lang w:eastAsia="pt-BR"/>
        </w:rPr>
        <w:t xml:space="preserve"> Valor da Insuficiência de Caixa Gerada no Consórcio Público atribuída ao ente com base no Contrato de Rateio, apurada após o encerramento do exercício.</w:t>
      </w:r>
    </w:p>
    <w:p w14:paraId="55773024" w14:textId="77777777" w:rsidR="00FD1551" w:rsidRPr="00984E83" w:rsidRDefault="00FD1551" w:rsidP="00FD1551">
      <w:pPr>
        <w:spacing w:after="120" w:line="240" w:lineRule="auto"/>
        <w:rPr>
          <w:rFonts w:ascii="Arial" w:eastAsia="Times New Roman" w:hAnsi="Arial" w:cs="Arial"/>
          <w:color w:val="000000"/>
          <w:sz w:val="18"/>
          <w:szCs w:val="18"/>
          <w:lang w:eastAsia="pt-BR"/>
        </w:rPr>
      </w:pPr>
      <w:r w:rsidRPr="00984E83">
        <w:rPr>
          <w:rFonts w:ascii="Arial" w:eastAsia="Times New Roman" w:hAnsi="Arial" w:cs="Arial"/>
          <w:color w:val="000000"/>
          <w:sz w:val="18"/>
          <w:szCs w:val="18"/>
          <w:lang w:eastAsia="pt-BR"/>
        </w:rPr>
        <w:t>[6] Ano de Inscrição dos Restos a Pagar que estão sendo cancelados.</w:t>
      </w:r>
    </w:p>
    <w:p w14:paraId="587EAE8B" w14:textId="77777777" w:rsidR="00984E83" w:rsidRDefault="00984E83" w:rsidP="00FD1551">
      <w:pPr>
        <w:spacing w:after="120" w:line="240" w:lineRule="auto"/>
        <w:rPr>
          <w:rFonts w:ascii="Arial" w:hAnsi="Arial" w:cs="Arial"/>
          <w:sz w:val="20"/>
          <w:szCs w:val="20"/>
          <w:lang w:eastAsia="pt-BR"/>
        </w:rPr>
      </w:pPr>
    </w:p>
    <w:p w14:paraId="0EFADFB1" w14:textId="77777777" w:rsidR="00984E83" w:rsidRPr="00984E83" w:rsidRDefault="00984E83" w:rsidP="00FD1551">
      <w:pPr>
        <w:spacing w:after="120" w:line="240" w:lineRule="auto"/>
        <w:rPr>
          <w:rFonts w:ascii="Arial" w:hAnsi="Arial" w:cs="Arial"/>
          <w:sz w:val="20"/>
          <w:szCs w:val="20"/>
          <w:lang w:eastAsia="pt-BR"/>
        </w:rPr>
      </w:pPr>
    </w:p>
    <w:p w14:paraId="496450EF" w14:textId="77777777" w:rsidR="00FD1551" w:rsidRPr="00984E83" w:rsidRDefault="00FD1551" w:rsidP="00FD1551">
      <w:pPr>
        <w:spacing w:after="0" w:line="240" w:lineRule="auto"/>
        <w:rPr>
          <w:rFonts w:ascii="Arial" w:hAnsi="Arial" w:cs="Arial"/>
          <w:sz w:val="18"/>
          <w:szCs w:val="18"/>
        </w:rPr>
      </w:pPr>
      <w:r w:rsidRPr="00984E83">
        <w:rPr>
          <w:rFonts w:ascii="Arial" w:hAnsi="Arial" w:cs="Arial"/>
          <w:b/>
          <w:sz w:val="18"/>
          <w:szCs w:val="18"/>
          <w:u w:val="single"/>
        </w:rPr>
        <w:t>Observações</w:t>
      </w:r>
      <w:r w:rsidRPr="00984E83">
        <w:rPr>
          <w:rFonts w:ascii="Arial" w:hAnsi="Arial" w:cs="Arial"/>
          <w:sz w:val="18"/>
          <w:szCs w:val="18"/>
        </w:rPr>
        <w:t>:</w:t>
      </w:r>
    </w:p>
    <w:p w14:paraId="2881AD2E" w14:textId="77777777" w:rsidR="00FD1551" w:rsidRPr="00984E83" w:rsidRDefault="00FD1551" w:rsidP="00FD1551">
      <w:pPr>
        <w:spacing w:before="120" w:after="0" w:line="240" w:lineRule="auto"/>
        <w:ind w:right="-32"/>
        <w:jc w:val="both"/>
        <w:rPr>
          <w:rFonts w:ascii="Arial" w:eastAsia="Times New Roman" w:hAnsi="Arial" w:cs="Arial"/>
          <w:sz w:val="18"/>
          <w:szCs w:val="18"/>
          <w:lang w:eastAsia="pt-BR"/>
        </w:rPr>
      </w:pPr>
      <w:r w:rsidRPr="00984E83">
        <w:rPr>
          <w:rFonts w:ascii="Arial" w:eastAsia="Times New Roman" w:hAnsi="Arial" w:cs="Arial"/>
          <w:sz w:val="18"/>
          <w:szCs w:val="18"/>
          <w:lang w:eastAsia="pt-BR"/>
        </w:rPr>
        <w:t>1 </w:t>
      </w:r>
      <w:r w:rsidRPr="00984E83">
        <w:rPr>
          <w:rFonts w:ascii="Arial" w:eastAsia="Times New Roman" w:hAnsi="Arial" w:cs="Arial"/>
          <w:sz w:val="18"/>
          <w:szCs w:val="18"/>
          <w:lang w:eastAsia="pt-BR"/>
        </w:rPr>
        <w:noBreakHyphen/>
        <w:t> Este arquivo será encaminhado somente pela UG Prefeituta nas Contas de Governo.</w:t>
      </w:r>
    </w:p>
    <w:p w14:paraId="11DD74B6" w14:textId="77777777" w:rsidR="00FD1551" w:rsidRPr="00984E83" w:rsidRDefault="00FD1551" w:rsidP="00FD1551">
      <w:pPr>
        <w:spacing w:before="120" w:after="0" w:line="240" w:lineRule="auto"/>
        <w:ind w:right="-32"/>
        <w:jc w:val="both"/>
        <w:rPr>
          <w:rFonts w:ascii="Arial" w:eastAsia="Times New Roman" w:hAnsi="Arial" w:cs="Arial"/>
          <w:sz w:val="18"/>
          <w:szCs w:val="18"/>
          <w:lang w:eastAsia="pt-BR"/>
        </w:rPr>
      </w:pPr>
      <w:r w:rsidRPr="00984E83">
        <w:rPr>
          <w:rFonts w:ascii="Arial" w:eastAsia="Times New Roman" w:hAnsi="Arial" w:cs="Arial"/>
          <w:sz w:val="18"/>
          <w:szCs w:val="18"/>
          <w:lang w:eastAsia="pt-BR"/>
        </w:rPr>
        <w:t>2 </w:t>
      </w:r>
      <w:r w:rsidRPr="00984E83">
        <w:rPr>
          <w:rFonts w:ascii="Arial" w:eastAsia="Times New Roman" w:hAnsi="Arial" w:cs="Arial"/>
          <w:sz w:val="18"/>
          <w:szCs w:val="18"/>
          <w:lang w:eastAsia="pt-BR"/>
        </w:rPr>
        <w:noBreakHyphen/>
        <w:t> Compreende as informações referentes aos consórcios públicos, atribuídas ao ente consorciado com base no contrato de rateio, que serão enviadas pelo consórcio aos municípios consorciados para fins de elaboração dos Demonstrativos Fiscais (Saúde, Pessoal, Educação e Disponibilidade de Caixa), em atendimento a Portaria STN n.º 72/2012.</w:t>
      </w:r>
    </w:p>
    <w:p w14:paraId="77D32A07" w14:textId="77777777" w:rsidR="00FD1551" w:rsidRPr="00984E83" w:rsidRDefault="00FD1551" w:rsidP="00FD1551">
      <w:pPr>
        <w:spacing w:before="120" w:after="0" w:line="240" w:lineRule="auto"/>
        <w:ind w:right="-32"/>
        <w:jc w:val="both"/>
        <w:rPr>
          <w:rFonts w:ascii="Arial" w:eastAsia="Times New Roman" w:hAnsi="Arial" w:cs="Arial"/>
          <w:sz w:val="18"/>
          <w:szCs w:val="18"/>
          <w:lang w:eastAsia="pt-BR"/>
        </w:rPr>
      </w:pPr>
      <w:r w:rsidRPr="00984E83">
        <w:rPr>
          <w:rFonts w:ascii="Arial" w:eastAsia="Times New Roman" w:hAnsi="Arial" w:cs="Arial"/>
          <w:sz w:val="18"/>
          <w:szCs w:val="18"/>
          <w:lang w:eastAsia="pt-BR"/>
        </w:rPr>
        <w:t>3 </w:t>
      </w:r>
      <w:r w:rsidRPr="00984E83">
        <w:rPr>
          <w:rFonts w:ascii="Arial" w:eastAsia="Times New Roman" w:hAnsi="Arial" w:cs="Arial"/>
          <w:sz w:val="18"/>
          <w:szCs w:val="18"/>
          <w:lang w:eastAsia="pt-BR"/>
        </w:rPr>
        <w:noBreakHyphen/>
        <w:t> As informações da Estrutura ‘BalanceteExecucaoOrcamentariaConsorcio’ são aquelas contabilizadas, pelos Municípios consorciados, no Grupo de Contas Contábeis "8.5.3.2.0.00.00 DESPESAS EXECUTADAS EM CONSÓRCIOS PÚBLICOS", Conta para uso do Ente Consorciado, conforme PCASP TCEES.</w:t>
      </w:r>
    </w:p>
    <w:p w14:paraId="7B004C6B" w14:textId="77777777" w:rsidR="00FD1551" w:rsidRPr="00984E83" w:rsidRDefault="00FD1551" w:rsidP="00FD1551">
      <w:pPr>
        <w:spacing w:before="120" w:after="0" w:line="240" w:lineRule="auto"/>
        <w:ind w:right="-32"/>
        <w:jc w:val="both"/>
        <w:rPr>
          <w:rFonts w:ascii="Arial" w:eastAsia="Times New Roman" w:hAnsi="Arial" w:cs="Arial"/>
          <w:sz w:val="18"/>
          <w:szCs w:val="18"/>
          <w:lang w:eastAsia="pt-BR"/>
        </w:rPr>
      </w:pPr>
      <w:r w:rsidRPr="00984E83">
        <w:rPr>
          <w:rFonts w:ascii="Arial" w:eastAsia="Times New Roman" w:hAnsi="Arial" w:cs="Arial"/>
          <w:sz w:val="18"/>
          <w:szCs w:val="18"/>
          <w:lang w:eastAsia="pt-BR"/>
        </w:rPr>
        <w:t>4 </w:t>
      </w:r>
      <w:r w:rsidRPr="00984E83">
        <w:rPr>
          <w:rFonts w:ascii="Arial" w:eastAsia="Times New Roman" w:hAnsi="Arial" w:cs="Arial"/>
          <w:sz w:val="18"/>
          <w:szCs w:val="18"/>
          <w:lang w:eastAsia="pt-BR"/>
        </w:rPr>
        <w:noBreakHyphen/>
        <w:t> As informações da Estrutura ‘CancelamentoRestosPagarConsorcio’ são aquelas contabilizadas, pelos Municípios consorciados, no Grupo de Contas Contábeis "8.5.3.3.8.00.00 RP NÃO PROCESSADOS CANCELADOS" e "8.5.3.4.5.00.00 RP PROCESSADOS CANCELADOS", Conta para uso do Ente Consorciado, conforme PCASP TCEES.</w:t>
      </w:r>
    </w:p>
    <w:p w14:paraId="5580AB11" w14:textId="77777777" w:rsidR="00FD1551" w:rsidRPr="00984E83" w:rsidRDefault="00FD1551" w:rsidP="00FD1551">
      <w:pPr>
        <w:spacing w:before="120" w:after="0" w:line="240" w:lineRule="auto"/>
        <w:ind w:right="-32"/>
        <w:jc w:val="both"/>
        <w:rPr>
          <w:rFonts w:ascii="Arial" w:eastAsia="Times New Roman" w:hAnsi="Arial" w:cs="Arial"/>
          <w:sz w:val="18"/>
          <w:szCs w:val="18"/>
          <w:lang w:eastAsia="pt-BR"/>
        </w:rPr>
      </w:pPr>
      <w:r w:rsidRPr="00984E83">
        <w:rPr>
          <w:rFonts w:ascii="Arial" w:eastAsia="Times New Roman" w:hAnsi="Arial" w:cs="Arial"/>
          <w:sz w:val="18"/>
          <w:szCs w:val="18"/>
          <w:lang w:eastAsia="pt-BR"/>
        </w:rPr>
        <w:t>5 </w:t>
      </w:r>
      <w:r w:rsidRPr="00984E83">
        <w:rPr>
          <w:rFonts w:ascii="Arial" w:eastAsia="Times New Roman" w:hAnsi="Arial" w:cs="Arial"/>
          <w:sz w:val="18"/>
          <w:szCs w:val="18"/>
          <w:lang w:eastAsia="pt-BR"/>
        </w:rPr>
        <w:noBreakHyphen/>
        <w:t> As informações da Estrutura ‘InsuficienciaCaixaConsorcio’ são aquelas contabilizadas, pelos Municípios consorciados, no Grupo de Contas Contábeis "8.5.3.5.0.00.00 INSUFICIÊNCIA DE CAIXA DO CONSÓRCIO PÚBLICO (saldo final do Mês 1</w:t>
      </w:r>
      <w:r w:rsidR="001A0F50">
        <w:rPr>
          <w:rFonts w:ascii="Arial" w:eastAsia="Times New Roman" w:hAnsi="Arial" w:cs="Arial"/>
          <w:sz w:val="18"/>
          <w:szCs w:val="18"/>
          <w:lang w:eastAsia="pt-BR"/>
        </w:rPr>
        <w:t>3</w:t>
      </w:r>
      <w:r w:rsidRPr="00984E83">
        <w:rPr>
          <w:rFonts w:ascii="Arial" w:eastAsia="Times New Roman" w:hAnsi="Arial" w:cs="Arial"/>
          <w:sz w:val="18"/>
          <w:szCs w:val="18"/>
          <w:lang w:eastAsia="pt-BR"/>
        </w:rPr>
        <w:t>)", Conta para uso do Ente Consorciado, conforme PCASP TCEES.</w:t>
      </w:r>
    </w:p>
    <w:p w14:paraId="442F914E" w14:textId="77777777" w:rsidR="00FD1551" w:rsidRPr="00984E83" w:rsidRDefault="00FD1551" w:rsidP="00FD1551">
      <w:pPr>
        <w:spacing w:before="120"/>
        <w:jc w:val="both"/>
        <w:rPr>
          <w:rFonts w:ascii="Arial" w:eastAsia="Times New Roman" w:hAnsi="Arial" w:cs="Arial"/>
          <w:sz w:val="18"/>
          <w:szCs w:val="18"/>
          <w:lang w:eastAsia="pt-BR"/>
        </w:rPr>
      </w:pPr>
      <w:r w:rsidRPr="00984E83">
        <w:rPr>
          <w:rFonts w:ascii="Arial" w:eastAsia="Times New Roman" w:hAnsi="Arial" w:cs="Arial"/>
          <w:sz w:val="18"/>
          <w:szCs w:val="18"/>
          <w:lang w:eastAsia="pt-BR"/>
        </w:rPr>
        <w:lastRenderedPageBreak/>
        <w:t>6 </w:t>
      </w:r>
      <w:r w:rsidRPr="00984E83">
        <w:rPr>
          <w:rFonts w:ascii="Arial" w:eastAsia="Times New Roman" w:hAnsi="Arial" w:cs="Arial"/>
          <w:sz w:val="18"/>
          <w:szCs w:val="18"/>
          <w:lang w:eastAsia="pt-BR"/>
        </w:rPr>
        <w:noBreakHyphen/>
        <w:t> Deverão ser encaminhadas as informações relativas a todos os Consórcios Públicos de que o ente (Município) participe como membro consorciado.</w:t>
      </w:r>
    </w:p>
    <w:p w14:paraId="6FE626EA" w14:textId="77777777" w:rsidR="00FD1551" w:rsidRPr="00FD1551" w:rsidRDefault="00FD1551" w:rsidP="00FD1551">
      <w:pPr>
        <w:jc w:val="both"/>
        <w:rPr>
          <w:rFonts w:ascii="Arial" w:eastAsia="Times New Roman" w:hAnsi="Arial" w:cs="Arial"/>
          <w:sz w:val="20"/>
          <w:szCs w:val="20"/>
          <w:lang w:eastAsia="pt-BR"/>
        </w:rPr>
      </w:pPr>
    </w:p>
    <w:p w14:paraId="6B6FC715" w14:textId="543902AD" w:rsidR="00FD1551" w:rsidRPr="00FD1551" w:rsidRDefault="00FD1551" w:rsidP="00A60EA7">
      <w:pPr>
        <w:pStyle w:val="Ttulo3"/>
      </w:pPr>
      <w:bookmarkStart w:id="53" w:name="_Toc94806329"/>
      <w:r w:rsidRPr="00FD1551">
        <w:t>DEMDFLT.XML (ou DemonstrativoDividaFlutuante.xml)</w:t>
      </w:r>
      <w:bookmarkEnd w:id="53"/>
    </w:p>
    <w:p w14:paraId="3A355602" w14:textId="5B682DCE" w:rsidR="00FD1551" w:rsidRPr="00FD1551" w:rsidRDefault="00FD1551" w:rsidP="00FD1551">
      <w:pPr>
        <w:spacing w:after="0" w:line="360" w:lineRule="auto"/>
        <w:jc w:val="both"/>
        <w:rPr>
          <w:rFonts w:ascii="Arial" w:hAnsi="Arial"/>
        </w:rPr>
      </w:pPr>
      <w:r w:rsidRPr="00FD1551">
        <w:rPr>
          <w:rFonts w:ascii="Arial" w:hAnsi="Arial"/>
          <w:b/>
          <w:bCs/>
        </w:rPr>
        <w:t>Descrição: </w:t>
      </w:r>
      <w:r w:rsidRPr="00FD1551">
        <w:rPr>
          <w:rFonts w:ascii="Arial" w:eastAsia="Times New Roman" w:hAnsi="Arial" w:cs="Arial"/>
          <w:lang w:eastAsia="pt-BR"/>
        </w:rPr>
        <w:t>Este arquivo conterá as informações referentes à Divida Flutuante de cada Unidade Gestora (Anexo 17 da Lei 4.320/64), acompanhado das notas explicativas que se fizerem necessárias, conforme determina o artigo 101 da Lei 4.320/64. A unidade gestora Prefeitura deverá apresentar o demonstrativo consolidado para as Contas de Governo, e caso execute o orçamento, deverá também apresentar o demonstrativo da referida UG.</w:t>
      </w:r>
    </w:p>
    <w:p w14:paraId="2B315B6D" w14:textId="77777777" w:rsidR="00FD1551" w:rsidRPr="00FD1551" w:rsidRDefault="00FD1551" w:rsidP="00FD1551">
      <w:pPr>
        <w:autoSpaceDE w:val="0"/>
        <w:autoSpaceDN w:val="0"/>
        <w:adjustRightInd w:val="0"/>
        <w:spacing w:after="0" w:line="240" w:lineRule="auto"/>
        <w:jc w:val="both"/>
        <w:rPr>
          <w:rFonts w:ascii="Arial" w:hAnsi="Arial"/>
          <w:b/>
          <w:bCs/>
        </w:rPr>
      </w:pPr>
    </w:p>
    <w:p w14:paraId="1F8D3021" w14:textId="77777777" w:rsidR="00FD1551" w:rsidRPr="00FD1551" w:rsidRDefault="00FD1551" w:rsidP="00FD1551">
      <w:pPr>
        <w:autoSpaceDE w:val="0"/>
        <w:autoSpaceDN w:val="0"/>
        <w:adjustRightInd w:val="0"/>
        <w:spacing w:after="0" w:line="240" w:lineRule="auto"/>
        <w:jc w:val="both"/>
        <w:rPr>
          <w:rFonts w:ascii="Arial" w:hAnsi="Arial"/>
          <w:b/>
          <w:bCs/>
        </w:rPr>
      </w:pPr>
      <w:r w:rsidRPr="00FD1551">
        <w:rPr>
          <w:rFonts w:ascii="Arial" w:hAnsi="Arial"/>
          <w:b/>
          <w:bCs/>
        </w:rPr>
        <w:t>Estrutura:</w:t>
      </w:r>
    </w:p>
    <w:p w14:paraId="067C1910" w14:textId="77777777" w:rsidR="00FD1551" w:rsidRPr="00FD1551" w:rsidRDefault="00FD1551" w:rsidP="00FD1551">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&lt;?xml version="1.0" encoding=“UTF-8”?&gt;</w:t>
      </w:r>
    </w:p>
    <w:p w14:paraId="61DA41B1" w14:textId="77777777" w:rsidR="00FD1551" w:rsidRPr="00FD1551" w:rsidRDefault="00FD1551" w:rsidP="00FD1551">
      <w:pPr>
        <w:spacing w:after="0" w:line="240" w:lineRule="auto"/>
        <w:ind w:firstLineChars="300" w:firstLine="600"/>
        <w:rPr>
          <w:rFonts w:ascii="Arial" w:eastAsia="Times New Roman" w:hAnsi="Arial" w:cs="Arial"/>
          <w:sz w:val="20"/>
          <w:szCs w:val="20"/>
          <w:lang w:eastAsia="pt-BR"/>
        </w:rPr>
      </w:pPr>
      <w:r w:rsidRPr="00FD1551">
        <w:rPr>
          <w:rFonts w:ascii="Arial" w:eastAsia="Times New Roman" w:hAnsi="Arial" w:cs="Arial"/>
          <w:sz w:val="20"/>
          <w:szCs w:val="20"/>
          <w:lang w:eastAsia="pt-BR"/>
        </w:rPr>
        <w:t>&lt;PrestacaoContasAnual&gt;</w:t>
      </w:r>
    </w:p>
    <w:p w14:paraId="0D171D10" w14:textId="77777777" w:rsidR="00FD1551" w:rsidRPr="00FD1551" w:rsidRDefault="00FD1551" w:rsidP="00FD1551">
      <w:pPr>
        <w:spacing w:after="0" w:line="240" w:lineRule="auto"/>
        <w:ind w:firstLineChars="300" w:firstLine="600"/>
        <w:rPr>
          <w:rFonts w:ascii="Arial" w:eastAsia="Times New Roman" w:hAnsi="Arial" w:cs="Arial"/>
          <w:sz w:val="20"/>
          <w:szCs w:val="20"/>
          <w:lang w:eastAsia="pt-BR"/>
        </w:rPr>
      </w:pPr>
      <w:r w:rsidRPr="00FD1551">
        <w:rPr>
          <w:rFonts w:ascii="Arial" w:eastAsia="Times New Roman" w:hAnsi="Arial" w:cs="Arial"/>
          <w:sz w:val="20"/>
          <w:szCs w:val="20"/>
          <w:lang w:eastAsia="pt-BR"/>
        </w:rPr>
        <w:t>&lt;DemonstrativoDividaFlutuante_Schema&gt;</w:t>
      </w:r>
    </w:p>
    <w:p w14:paraId="4AC2A8A8" w14:textId="77777777" w:rsidR="00FD1551" w:rsidRPr="00FD1551" w:rsidRDefault="00FD1551" w:rsidP="00FD1551">
      <w:pPr>
        <w:spacing w:after="0" w:line="240" w:lineRule="auto"/>
        <w:ind w:firstLineChars="800" w:firstLine="1600"/>
        <w:rPr>
          <w:rFonts w:ascii="Arial" w:eastAsia="Times New Roman" w:hAnsi="Arial" w:cs="Arial"/>
          <w:sz w:val="20"/>
          <w:szCs w:val="20"/>
          <w:lang w:eastAsia="pt-BR"/>
        </w:rPr>
      </w:pPr>
      <w:r w:rsidRPr="00FD1551">
        <w:rPr>
          <w:rFonts w:ascii="Arial" w:eastAsia="Times New Roman" w:hAnsi="Arial" w:cs="Arial"/>
          <w:sz w:val="20"/>
          <w:szCs w:val="20"/>
          <w:lang w:eastAsia="pt-BR"/>
        </w:rPr>
        <w:t>&lt;DemonstrativoDividaFlutuante&gt;</w:t>
      </w:r>
    </w:p>
    <w:p w14:paraId="28CD1790" w14:textId="77777777" w:rsidR="00FD1551" w:rsidRPr="00FD1551" w:rsidRDefault="00FD1551" w:rsidP="00FD1551">
      <w:pPr>
        <w:spacing w:after="0" w:line="240" w:lineRule="auto"/>
        <w:ind w:firstLineChars="1000" w:firstLine="2000"/>
        <w:rPr>
          <w:rFonts w:ascii="Arial" w:eastAsia="Times New Roman" w:hAnsi="Arial" w:cs="Arial"/>
          <w:sz w:val="20"/>
          <w:szCs w:val="20"/>
          <w:lang w:eastAsia="pt-BR"/>
        </w:rPr>
      </w:pPr>
      <w:r w:rsidRPr="00FD1551">
        <w:rPr>
          <w:rFonts w:ascii="Arial" w:eastAsia="Times New Roman" w:hAnsi="Arial" w:cs="Arial"/>
          <w:sz w:val="20"/>
          <w:szCs w:val="20"/>
          <w:lang w:eastAsia="pt-BR"/>
        </w:rPr>
        <w:t>&lt;IdNumRegistro&gt;</w:t>
      </w:r>
      <w:r w:rsidRPr="00FD1551">
        <w:rPr>
          <w:rFonts w:ascii="Arial" w:eastAsia="Times New Roman" w:hAnsi="Arial" w:cs="Arial"/>
          <w:b/>
          <w:bCs/>
          <w:sz w:val="20"/>
          <w:szCs w:val="20"/>
          <w:lang w:eastAsia="pt-BR"/>
        </w:rPr>
        <w:t>99999</w:t>
      </w:r>
      <w:r w:rsidRPr="00FD1551">
        <w:rPr>
          <w:rFonts w:ascii="Arial" w:eastAsia="Times New Roman" w:hAnsi="Arial" w:cs="Arial"/>
          <w:sz w:val="20"/>
          <w:szCs w:val="20"/>
          <w:lang w:eastAsia="pt-BR"/>
        </w:rPr>
        <w:t>&lt;/IdNumRegistro&gt;</w:t>
      </w:r>
    </w:p>
    <w:p w14:paraId="5F0DC3AE" w14:textId="77777777" w:rsidR="00FD1551" w:rsidRPr="00FD1551" w:rsidRDefault="00FD1551" w:rsidP="00FD1551">
      <w:pPr>
        <w:spacing w:after="0" w:line="240" w:lineRule="auto"/>
        <w:ind w:firstLineChars="992" w:firstLine="1984"/>
        <w:rPr>
          <w:rFonts w:ascii="Arial" w:eastAsia="Times New Roman" w:hAnsi="Arial" w:cs="Arial"/>
          <w:sz w:val="20"/>
          <w:szCs w:val="20"/>
          <w:lang w:eastAsia="pt-BR"/>
        </w:rPr>
      </w:pPr>
      <w:r w:rsidRPr="00FD1551">
        <w:rPr>
          <w:rFonts w:ascii="Arial" w:eastAsia="Times New Roman" w:hAnsi="Arial" w:cs="Arial"/>
          <w:sz w:val="20"/>
          <w:szCs w:val="20"/>
          <w:lang w:eastAsia="pt-BR"/>
        </w:rPr>
        <w:t>&lt;CodigoUnidadeGestora&gt;</w:t>
      </w:r>
      <w:r w:rsidRPr="00FD1551">
        <w:rPr>
          <w:rFonts w:ascii="Arial" w:eastAsia="Times New Roman" w:hAnsi="Arial" w:cs="Arial"/>
          <w:b/>
          <w:sz w:val="20"/>
          <w:szCs w:val="20"/>
          <w:lang w:eastAsia="pt-BR"/>
        </w:rPr>
        <w:t>XXXXXXXXXXX</w:t>
      </w:r>
      <w:r w:rsidRPr="00FD1551">
        <w:rPr>
          <w:rFonts w:ascii="Arial" w:eastAsia="Times New Roman" w:hAnsi="Arial" w:cs="Arial"/>
          <w:sz w:val="20"/>
          <w:szCs w:val="20"/>
          <w:lang w:eastAsia="pt-BR"/>
        </w:rPr>
        <w:t>&lt;/CodigoUnidadeGestora&gt;</w:t>
      </w:r>
    </w:p>
    <w:p w14:paraId="2E18D848" w14:textId="77777777" w:rsidR="00FD1551" w:rsidRPr="00FD1551" w:rsidRDefault="00FD1551" w:rsidP="00FD1551">
      <w:pPr>
        <w:spacing w:after="0" w:line="240" w:lineRule="auto"/>
        <w:ind w:firstLineChars="1000" w:firstLine="2000"/>
        <w:rPr>
          <w:rFonts w:ascii="Arial" w:eastAsia="Times New Roman" w:hAnsi="Arial" w:cs="Arial"/>
          <w:sz w:val="20"/>
          <w:szCs w:val="20"/>
          <w:lang w:eastAsia="pt-BR"/>
        </w:rPr>
      </w:pPr>
      <w:r w:rsidRPr="00FD1551">
        <w:rPr>
          <w:rFonts w:ascii="Arial" w:eastAsia="Times New Roman" w:hAnsi="Arial" w:cs="Arial"/>
          <w:sz w:val="20"/>
          <w:szCs w:val="20"/>
          <w:lang w:eastAsia="pt-BR"/>
        </w:rPr>
        <w:t>&lt;CodigoContabil&gt;</w:t>
      </w:r>
      <w:r w:rsidRPr="00FD1551">
        <w:rPr>
          <w:rFonts w:ascii="Arial" w:eastAsia="Times New Roman" w:hAnsi="Arial" w:cs="Arial"/>
          <w:b/>
          <w:bCs/>
          <w:sz w:val="20"/>
          <w:szCs w:val="20"/>
          <w:lang w:eastAsia="pt-BR"/>
        </w:rPr>
        <w:t>999999999</w:t>
      </w:r>
      <w:r w:rsidRPr="00FD1551">
        <w:rPr>
          <w:rFonts w:ascii="Arial" w:eastAsia="Times New Roman" w:hAnsi="Arial" w:cs="Arial"/>
          <w:sz w:val="20"/>
          <w:szCs w:val="20"/>
          <w:lang w:eastAsia="pt-BR"/>
        </w:rPr>
        <w:t xml:space="preserve">&lt;/CodigoContabil&gt; </w:t>
      </w:r>
    </w:p>
    <w:p w14:paraId="0A2E157B" w14:textId="77777777" w:rsidR="00FD1551" w:rsidRPr="00FD1551" w:rsidRDefault="00FD1551" w:rsidP="00FD1551">
      <w:pPr>
        <w:spacing w:after="0" w:line="240" w:lineRule="auto"/>
        <w:ind w:firstLineChars="1000" w:firstLine="2000"/>
        <w:rPr>
          <w:rFonts w:ascii="Arial" w:eastAsia="Times New Roman" w:hAnsi="Arial" w:cs="Arial"/>
          <w:sz w:val="20"/>
          <w:szCs w:val="20"/>
          <w:lang w:eastAsia="pt-BR"/>
        </w:rPr>
      </w:pPr>
      <w:r w:rsidRPr="00FD1551">
        <w:rPr>
          <w:rFonts w:ascii="Arial" w:eastAsia="Times New Roman" w:hAnsi="Arial" w:cs="Arial"/>
          <w:sz w:val="20"/>
          <w:szCs w:val="20"/>
          <w:lang w:eastAsia="pt-BR"/>
        </w:rPr>
        <w:t>&lt;DescricaoDivida&gt;</w:t>
      </w:r>
      <w:r w:rsidRPr="00FD1551">
        <w:rPr>
          <w:rFonts w:ascii="Arial" w:eastAsia="Times New Roman" w:hAnsi="Arial" w:cs="Arial"/>
          <w:b/>
          <w:bCs/>
          <w:sz w:val="20"/>
          <w:szCs w:val="20"/>
          <w:lang w:eastAsia="pt-BR"/>
        </w:rPr>
        <w:t>XXX...XXX</w:t>
      </w:r>
      <w:r w:rsidRPr="00FD1551">
        <w:rPr>
          <w:rFonts w:ascii="Arial" w:eastAsia="Times New Roman" w:hAnsi="Arial" w:cs="Arial"/>
          <w:sz w:val="20"/>
          <w:szCs w:val="20"/>
          <w:lang w:eastAsia="pt-BR"/>
        </w:rPr>
        <w:t>&lt;/DescricaoDivida&gt;</w:t>
      </w:r>
    </w:p>
    <w:p w14:paraId="24FAC290" w14:textId="77777777" w:rsidR="00FD1551" w:rsidRPr="00FD1551" w:rsidRDefault="00FD1551" w:rsidP="00FD1551">
      <w:pPr>
        <w:spacing w:after="0" w:line="240" w:lineRule="auto"/>
        <w:ind w:firstLineChars="1000" w:firstLine="2000"/>
        <w:rPr>
          <w:rFonts w:ascii="Arial" w:eastAsia="Times New Roman" w:hAnsi="Arial" w:cs="Arial"/>
          <w:sz w:val="20"/>
          <w:szCs w:val="20"/>
          <w:lang w:eastAsia="pt-BR"/>
        </w:rPr>
      </w:pPr>
      <w:r w:rsidRPr="00FD1551">
        <w:rPr>
          <w:rFonts w:ascii="Arial" w:eastAsia="Times New Roman" w:hAnsi="Arial" w:cs="Arial"/>
          <w:sz w:val="20"/>
          <w:szCs w:val="20"/>
          <w:lang w:eastAsia="pt-BR"/>
        </w:rPr>
        <w:t>&lt;TipoConsignacao&gt;</w:t>
      </w:r>
      <w:r w:rsidRPr="00FD1551">
        <w:rPr>
          <w:rFonts w:ascii="Arial" w:eastAsia="Times New Roman" w:hAnsi="Arial" w:cs="Arial"/>
          <w:b/>
          <w:sz w:val="20"/>
          <w:szCs w:val="20"/>
          <w:lang w:eastAsia="pt-BR"/>
        </w:rPr>
        <w:t>9</w:t>
      </w:r>
      <w:r w:rsidRPr="00FD1551">
        <w:rPr>
          <w:rFonts w:ascii="Arial" w:eastAsia="Times New Roman" w:hAnsi="Arial" w:cs="Arial"/>
          <w:sz w:val="20"/>
          <w:szCs w:val="20"/>
          <w:lang w:eastAsia="pt-BR"/>
        </w:rPr>
        <w:t>&lt;/TipoConsignacao&gt;</w:t>
      </w:r>
    </w:p>
    <w:p w14:paraId="4306CE9A" w14:textId="77777777" w:rsidR="00FD1551" w:rsidRPr="00FD1551" w:rsidRDefault="00FD1551" w:rsidP="00FD1551">
      <w:pPr>
        <w:spacing w:after="0" w:line="240" w:lineRule="auto"/>
        <w:ind w:firstLineChars="1000" w:firstLine="2000"/>
        <w:rPr>
          <w:rFonts w:ascii="Arial" w:eastAsia="Times New Roman" w:hAnsi="Arial" w:cs="Arial"/>
          <w:sz w:val="20"/>
          <w:szCs w:val="20"/>
          <w:lang w:eastAsia="pt-BR"/>
        </w:rPr>
      </w:pPr>
      <w:r w:rsidRPr="00FD1551">
        <w:rPr>
          <w:rFonts w:ascii="Arial" w:eastAsia="Times New Roman" w:hAnsi="Arial" w:cs="Arial"/>
          <w:sz w:val="20"/>
          <w:szCs w:val="20"/>
          <w:lang w:eastAsia="pt-BR"/>
        </w:rPr>
        <w:t>&lt;SaldoInicial&gt;</w:t>
      </w:r>
      <w:r w:rsidRPr="00FD1551">
        <w:rPr>
          <w:rFonts w:ascii="Arial" w:eastAsia="Times New Roman" w:hAnsi="Arial" w:cs="Arial"/>
          <w:b/>
          <w:bCs/>
          <w:sz w:val="20"/>
          <w:szCs w:val="20"/>
          <w:lang w:eastAsia="pt-BR"/>
        </w:rPr>
        <w:t>99999999999999.99</w:t>
      </w:r>
      <w:r w:rsidRPr="00FD1551">
        <w:rPr>
          <w:rFonts w:ascii="Arial" w:eastAsia="Times New Roman" w:hAnsi="Arial" w:cs="Arial"/>
          <w:sz w:val="20"/>
          <w:szCs w:val="20"/>
          <w:lang w:eastAsia="pt-BR"/>
        </w:rPr>
        <w:t xml:space="preserve">&lt;/SaldoInicial&gt; </w:t>
      </w:r>
    </w:p>
    <w:p w14:paraId="7730BDF0" w14:textId="77777777" w:rsidR="00FD1551" w:rsidRPr="00FD1551" w:rsidRDefault="00FD1551" w:rsidP="00FD1551">
      <w:pPr>
        <w:spacing w:after="0" w:line="240" w:lineRule="auto"/>
        <w:ind w:firstLineChars="1000" w:firstLine="2000"/>
        <w:rPr>
          <w:rFonts w:ascii="Arial" w:eastAsia="Times New Roman" w:hAnsi="Arial" w:cs="Arial"/>
          <w:sz w:val="20"/>
          <w:szCs w:val="20"/>
          <w:lang w:eastAsia="pt-BR"/>
        </w:rPr>
      </w:pPr>
      <w:r w:rsidRPr="00FD1551">
        <w:rPr>
          <w:rFonts w:ascii="Arial" w:eastAsia="Times New Roman" w:hAnsi="Arial" w:cs="Arial"/>
          <w:sz w:val="20"/>
          <w:szCs w:val="20"/>
          <w:lang w:eastAsia="pt-BR"/>
        </w:rPr>
        <w:t>&lt;Inscricao&gt;</w:t>
      </w:r>
      <w:r w:rsidRPr="00FD1551">
        <w:rPr>
          <w:rFonts w:ascii="Arial" w:eastAsia="Times New Roman" w:hAnsi="Arial" w:cs="Arial"/>
          <w:b/>
          <w:bCs/>
          <w:sz w:val="20"/>
          <w:szCs w:val="20"/>
          <w:lang w:eastAsia="pt-BR"/>
        </w:rPr>
        <w:t>99999999999999.99</w:t>
      </w:r>
      <w:r w:rsidRPr="00FD1551">
        <w:rPr>
          <w:rFonts w:ascii="Arial" w:eastAsia="Times New Roman" w:hAnsi="Arial" w:cs="Arial"/>
          <w:sz w:val="20"/>
          <w:szCs w:val="20"/>
          <w:lang w:eastAsia="pt-BR"/>
        </w:rPr>
        <w:t xml:space="preserve">&lt;/Inscricao&gt; </w:t>
      </w:r>
    </w:p>
    <w:p w14:paraId="23F391C8" w14:textId="77777777" w:rsidR="00FD1551" w:rsidRPr="00FD1551" w:rsidRDefault="00FD1551" w:rsidP="00FD1551">
      <w:pPr>
        <w:spacing w:after="0" w:line="240" w:lineRule="auto"/>
        <w:ind w:firstLineChars="1000" w:firstLine="2000"/>
        <w:rPr>
          <w:rFonts w:ascii="Arial" w:eastAsia="Times New Roman" w:hAnsi="Arial" w:cs="Arial"/>
          <w:sz w:val="20"/>
          <w:szCs w:val="20"/>
          <w:lang w:eastAsia="pt-BR"/>
        </w:rPr>
      </w:pPr>
      <w:r w:rsidRPr="00FD1551">
        <w:rPr>
          <w:rFonts w:ascii="Arial" w:eastAsia="Times New Roman" w:hAnsi="Arial" w:cs="Arial"/>
          <w:sz w:val="20"/>
          <w:szCs w:val="20"/>
          <w:lang w:eastAsia="pt-BR"/>
        </w:rPr>
        <w:t>&lt;Incorporacao&gt;</w:t>
      </w:r>
      <w:r w:rsidRPr="00FD1551">
        <w:rPr>
          <w:rFonts w:ascii="Arial" w:eastAsia="Times New Roman" w:hAnsi="Arial" w:cs="Arial"/>
          <w:b/>
          <w:bCs/>
          <w:sz w:val="20"/>
          <w:szCs w:val="20"/>
          <w:lang w:eastAsia="pt-BR"/>
        </w:rPr>
        <w:t>99999999999999.99</w:t>
      </w:r>
      <w:r w:rsidRPr="00FD1551">
        <w:rPr>
          <w:rFonts w:ascii="Arial" w:eastAsia="Times New Roman" w:hAnsi="Arial" w:cs="Arial"/>
          <w:sz w:val="20"/>
          <w:szCs w:val="20"/>
          <w:lang w:eastAsia="pt-BR"/>
        </w:rPr>
        <w:t>&lt;/Incorporacao&gt;</w:t>
      </w:r>
    </w:p>
    <w:p w14:paraId="522C6738" w14:textId="77777777" w:rsidR="00FD1551" w:rsidRPr="00FD1551" w:rsidRDefault="00FD1551" w:rsidP="00FD1551">
      <w:pPr>
        <w:spacing w:after="0" w:line="240" w:lineRule="auto"/>
        <w:ind w:firstLineChars="1000" w:firstLine="2000"/>
        <w:rPr>
          <w:rFonts w:ascii="Arial" w:eastAsia="Times New Roman" w:hAnsi="Arial" w:cs="Arial"/>
          <w:sz w:val="20"/>
          <w:szCs w:val="20"/>
          <w:lang w:eastAsia="pt-BR"/>
        </w:rPr>
      </w:pPr>
      <w:r w:rsidRPr="00FD1551">
        <w:rPr>
          <w:rFonts w:ascii="Arial" w:eastAsia="Times New Roman" w:hAnsi="Arial" w:cs="Arial"/>
          <w:sz w:val="20"/>
          <w:szCs w:val="20"/>
          <w:lang w:eastAsia="pt-BR"/>
        </w:rPr>
        <w:t>&lt;Pagamento&gt;</w:t>
      </w:r>
      <w:r w:rsidRPr="00FD1551">
        <w:rPr>
          <w:rFonts w:ascii="Arial" w:eastAsia="Times New Roman" w:hAnsi="Arial" w:cs="Arial"/>
          <w:b/>
          <w:bCs/>
          <w:sz w:val="20"/>
          <w:szCs w:val="20"/>
          <w:lang w:eastAsia="pt-BR"/>
        </w:rPr>
        <w:t>99999999999999.99</w:t>
      </w:r>
      <w:r w:rsidRPr="00FD1551">
        <w:rPr>
          <w:rFonts w:ascii="Arial" w:eastAsia="Times New Roman" w:hAnsi="Arial" w:cs="Arial"/>
          <w:sz w:val="20"/>
          <w:szCs w:val="20"/>
          <w:lang w:eastAsia="pt-BR"/>
        </w:rPr>
        <w:t>&lt;/Pagamento&gt;</w:t>
      </w:r>
    </w:p>
    <w:p w14:paraId="0C80A6B7" w14:textId="77777777" w:rsidR="00FD1551" w:rsidRPr="00FD1551" w:rsidRDefault="00FD1551" w:rsidP="00FD1551">
      <w:pPr>
        <w:spacing w:after="0" w:line="240" w:lineRule="auto"/>
        <w:ind w:firstLineChars="1000" w:firstLine="2000"/>
        <w:rPr>
          <w:rFonts w:ascii="Arial" w:eastAsia="Times New Roman" w:hAnsi="Arial" w:cs="Arial"/>
          <w:sz w:val="20"/>
          <w:szCs w:val="20"/>
          <w:lang w:eastAsia="pt-BR"/>
        </w:rPr>
      </w:pPr>
      <w:r w:rsidRPr="00FD1551">
        <w:rPr>
          <w:rFonts w:ascii="Arial" w:eastAsia="Times New Roman" w:hAnsi="Arial" w:cs="Arial"/>
          <w:sz w:val="20"/>
          <w:szCs w:val="20"/>
          <w:lang w:eastAsia="pt-BR"/>
        </w:rPr>
        <w:t>&lt;Cancelamento&gt;</w:t>
      </w:r>
      <w:r w:rsidRPr="00FD1551">
        <w:rPr>
          <w:rFonts w:ascii="Arial" w:eastAsia="Times New Roman" w:hAnsi="Arial" w:cs="Arial"/>
          <w:b/>
          <w:bCs/>
          <w:sz w:val="20"/>
          <w:szCs w:val="20"/>
          <w:lang w:eastAsia="pt-BR"/>
        </w:rPr>
        <w:t>99999999999999.99</w:t>
      </w:r>
      <w:r w:rsidRPr="00FD1551">
        <w:rPr>
          <w:rFonts w:ascii="Arial" w:eastAsia="Times New Roman" w:hAnsi="Arial" w:cs="Arial"/>
          <w:sz w:val="20"/>
          <w:szCs w:val="20"/>
          <w:lang w:eastAsia="pt-BR"/>
        </w:rPr>
        <w:t>&lt;/Cancelamento&gt;</w:t>
      </w:r>
    </w:p>
    <w:p w14:paraId="3E886604" w14:textId="77777777" w:rsidR="00FD1551" w:rsidRPr="00FD1551" w:rsidRDefault="00FD1551" w:rsidP="00FD1551">
      <w:pPr>
        <w:spacing w:after="0" w:line="240" w:lineRule="auto"/>
        <w:ind w:firstLineChars="1000" w:firstLine="2000"/>
        <w:rPr>
          <w:rFonts w:ascii="Arial" w:eastAsia="Times New Roman" w:hAnsi="Arial" w:cs="Arial"/>
          <w:sz w:val="20"/>
          <w:szCs w:val="20"/>
          <w:lang w:eastAsia="pt-BR"/>
        </w:rPr>
      </w:pPr>
      <w:r w:rsidRPr="00FD1551">
        <w:rPr>
          <w:rFonts w:ascii="Arial" w:eastAsia="Times New Roman" w:hAnsi="Arial" w:cs="Arial"/>
          <w:sz w:val="20"/>
          <w:szCs w:val="20"/>
          <w:lang w:eastAsia="pt-BR"/>
        </w:rPr>
        <w:t>&lt;OutraBaixa&gt;</w:t>
      </w:r>
      <w:r w:rsidRPr="00FD1551">
        <w:rPr>
          <w:rFonts w:ascii="Arial" w:eastAsia="Times New Roman" w:hAnsi="Arial" w:cs="Arial"/>
          <w:b/>
          <w:bCs/>
          <w:sz w:val="20"/>
          <w:szCs w:val="20"/>
          <w:lang w:eastAsia="pt-BR"/>
        </w:rPr>
        <w:t>99999999999999.99</w:t>
      </w:r>
      <w:r w:rsidRPr="00FD1551">
        <w:rPr>
          <w:rFonts w:ascii="Arial" w:eastAsia="Times New Roman" w:hAnsi="Arial" w:cs="Arial"/>
          <w:sz w:val="20"/>
          <w:szCs w:val="20"/>
          <w:lang w:eastAsia="pt-BR"/>
        </w:rPr>
        <w:t>&lt;/OutraBaixa&gt;</w:t>
      </w:r>
    </w:p>
    <w:p w14:paraId="11BE6F63" w14:textId="77777777" w:rsidR="00FD1551" w:rsidRPr="00FD1551" w:rsidRDefault="00FD1551" w:rsidP="00FD1551">
      <w:pPr>
        <w:spacing w:after="0" w:line="240" w:lineRule="auto"/>
        <w:ind w:firstLineChars="1000" w:firstLine="2000"/>
        <w:rPr>
          <w:rFonts w:ascii="Arial" w:eastAsia="Times New Roman" w:hAnsi="Arial" w:cs="Arial"/>
          <w:sz w:val="20"/>
          <w:szCs w:val="20"/>
          <w:lang w:eastAsia="pt-BR"/>
        </w:rPr>
      </w:pPr>
      <w:r w:rsidRPr="00FD1551">
        <w:rPr>
          <w:rFonts w:ascii="Arial" w:eastAsia="Times New Roman" w:hAnsi="Arial" w:cs="Arial"/>
          <w:sz w:val="20"/>
          <w:szCs w:val="20"/>
          <w:lang w:eastAsia="pt-BR"/>
        </w:rPr>
        <w:t>&lt;SaldoFinal&gt;</w:t>
      </w:r>
      <w:r w:rsidRPr="00FD1551">
        <w:rPr>
          <w:rFonts w:ascii="Arial" w:eastAsia="Times New Roman" w:hAnsi="Arial" w:cs="Arial"/>
          <w:b/>
          <w:bCs/>
          <w:sz w:val="20"/>
          <w:szCs w:val="20"/>
          <w:lang w:eastAsia="pt-BR"/>
        </w:rPr>
        <w:t>99999999999999.99</w:t>
      </w:r>
      <w:r w:rsidRPr="00FD1551">
        <w:rPr>
          <w:rFonts w:ascii="Arial" w:eastAsia="Times New Roman" w:hAnsi="Arial" w:cs="Arial"/>
          <w:sz w:val="20"/>
          <w:szCs w:val="20"/>
          <w:lang w:eastAsia="pt-BR"/>
        </w:rPr>
        <w:t xml:space="preserve">&lt;/SaldoFinal&gt; </w:t>
      </w:r>
    </w:p>
    <w:p w14:paraId="51C3EAD3" w14:textId="77777777" w:rsidR="00FD1551" w:rsidRPr="00FD1551" w:rsidRDefault="00FD1551" w:rsidP="00FD1551">
      <w:pPr>
        <w:spacing w:after="0" w:line="240" w:lineRule="auto"/>
        <w:ind w:firstLineChars="800" w:firstLine="1600"/>
        <w:rPr>
          <w:rFonts w:ascii="Arial" w:eastAsia="Times New Roman" w:hAnsi="Arial" w:cs="Arial"/>
          <w:sz w:val="20"/>
          <w:szCs w:val="20"/>
          <w:lang w:eastAsia="pt-BR"/>
        </w:rPr>
      </w:pPr>
      <w:r w:rsidRPr="00FD1551">
        <w:rPr>
          <w:rFonts w:ascii="Arial" w:eastAsia="Times New Roman" w:hAnsi="Arial" w:cs="Arial"/>
          <w:sz w:val="20"/>
          <w:szCs w:val="20"/>
          <w:lang w:eastAsia="pt-BR"/>
        </w:rPr>
        <w:t>&lt;/DemonstrativoDividaFlutuante&gt;</w:t>
      </w:r>
    </w:p>
    <w:p w14:paraId="1970475D" w14:textId="77777777" w:rsidR="00FD1551" w:rsidRPr="00FD1551" w:rsidRDefault="00FD1551" w:rsidP="00FD1551">
      <w:pPr>
        <w:spacing w:after="0" w:line="240" w:lineRule="auto"/>
        <w:ind w:firstLineChars="400" w:firstLine="800"/>
        <w:rPr>
          <w:rFonts w:ascii="Arial" w:eastAsia="Times New Roman" w:hAnsi="Arial" w:cs="Arial"/>
          <w:sz w:val="20"/>
          <w:szCs w:val="20"/>
          <w:lang w:eastAsia="pt-BR"/>
        </w:rPr>
      </w:pPr>
      <w:r w:rsidRPr="00FD1551">
        <w:rPr>
          <w:rFonts w:ascii="Arial" w:eastAsia="Times New Roman" w:hAnsi="Arial" w:cs="Arial"/>
          <w:sz w:val="20"/>
          <w:szCs w:val="20"/>
          <w:lang w:eastAsia="pt-BR"/>
        </w:rPr>
        <w:t>&lt;/DemonstrativoDividaFlutuante_Schema&gt;</w:t>
      </w:r>
    </w:p>
    <w:p w14:paraId="036E7F20" w14:textId="77777777" w:rsidR="00FD1551" w:rsidRPr="00FD1551" w:rsidRDefault="00FD1551" w:rsidP="00FD1551">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&lt;/PrestacaoContasAnual&gt;</w:t>
      </w:r>
    </w:p>
    <w:p w14:paraId="410F94EA" w14:textId="77777777" w:rsidR="00FD1551" w:rsidRPr="00FD1551" w:rsidRDefault="00FD1551" w:rsidP="00FD1551">
      <w:pPr>
        <w:autoSpaceDE w:val="0"/>
        <w:autoSpaceDN w:val="0"/>
        <w:adjustRightInd w:val="0"/>
        <w:spacing w:after="0" w:line="240" w:lineRule="auto"/>
        <w:jc w:val="both"/>
        <w:rPr>
          <w:rFonts w:ascii="Arial" w:hAnsi="Arial"/>
          <w:b/>
          <w:bCs/>
        </w:rPr>
      </w:pPr>
    </w:p>
    <w:p w14:paraId="0DD0A7E2" w14:textId="77777777" w:rsidR="00FD1551" w:rsidRPr="00FD1551" w:rsidRDefault="00FD1551" w:rsidP="00FD1551">
      <w:pPr>
        <w:autoSpaceDE w:val="0"/>
        <w:autoSpaceDN w:val="0"/>
        <w:adjustRightInd w:val="0"/>
        <w:spacing w:after="0" w:line="240" w:lineRule="auto"/>
        <w:jc w:val="both"/>
        <w:rPr>
          <w:rFonts w:ascii="Arial" w:hAnsi="Arial"/>
          <w:b/>
          <w:bCs/>
        </w:rPr>
      </w:pPr>
    </w:p>
    <w:tbl>
      <w:tblPr>
        <w:tblW w:w="9229" w:type="dxa"/>
        <w:tblInd w:w="55" w:type="dxa"/>
        <w:tblLayout w:type="fixed"/>
        <w:tblCellMar>
          <w:left w:w="70" w:type="dxa"/>
          <w:right w:w="70" w:type="dxa"/>
        </w:tblCellMar>
        <w:tblLook w:val="04A0" w:firstRow="1" w:lastRow="0" w:firstColumn="1" w:lastColumn="0" w:noHBand="0" w:noVBand="1"/>
      </w:tblPr>
      <w:tblGrid>
        <w:gridCol w:w="3843"/>
        <w:gridCol w:w="1134"/>
        <w:gridCol w:w="1134"/>
        <w:gridCol w:w="3118"/>
      </w:tblGrid>
      <w:tr w:rsidR="00FD1551" w:rsidRPr="00FD1551" w14:paraId="0B4CE19B" w14:textId="77777777" w:rsidTr="00FD1551">
        <w:trPr>
          <w:trHeight w:val="330"/>
        </w:trPr>
        <w:tc>
          <w:tcPr>
            <w:tcW w:w="3843" w:type="dxa"/>
            <w:tcBorders>
              <w:top w:val="single" w:sz="8" w:space="0" w:color="auto"/>
              <w:left w:val="single" w:sz="8" w:space="0" w:color="auto"/>
              <w:bottom w:val="single" w:sz="8" w:space="0" w:color="auto"/>
              <w:right w:val="single" w:sz="8" w:space="0" w:color="auto"/>
            </w:tcBorders>
            <w:shd w:val="clear" w:color="000000" w:fill="C0C0C0"/>
            <w:vAlign w:val="center"/>
            <w:hideMark/>
          </w:tcPr>
          <w:p w14:paraId="18C53889" w14:textId="77777777" w:rsidR="00FD1551" w:rsidRPr="00FD1551" w:rsidRDefault="00FD1551" w:rsidP="00FD1551">
            <w:pPr>
              <w:spacing w:after="0" w:line="240" w:lineRule="auto"/>
              <w:jc w:val="center"/>
              <w:rPr>
                <w:rFonts w:ascii="Arial" w:eastAsia="Times New Roman" w:hAnsi="Arial" w:cs="Arial"/>
                <w:b/>
                <w:bCs/>
                <w:sz w:val="20"/>
                <w:szCs w:val="20"/>
                <w:lang w:eastAsia="pt-BR"/>
              </w:rPr>
            </w:pPr>
            <w:r w:rsidRPr="00FD1551">
              <w:rPr>
                <w:rFonts w:ascii="Arial" w:eastAsia="Times New Roman" w:hAnsi="Arial" w:cs="Arial"/>
                <w:b/>
                <w:bCs/>
                <w:sz w:val="20"/>
                <w:szCs w:val="20"/>
                <w:lang w:eastAsia="pt-BR"/>
              </w:rPr>
              <w:t>Campo</w:t>
            </w:r>
          </w:p>
        </w:tc>
        <w:tc>
          <w:tcPr>
            <w:tcW w:w="1134" w:type="dxa"/>
            <w:tcBorders>
              <w:top w:val="single" w:sz="8" w:space="0" w:color="auto"/>
              <w:left w:val="nil"/>
              <w:bottom w:val="single" w:sz="8" w:space="0" w:color="auto"/>
              <w:right w:val="single" w:sz="8" w:space="0" w:color="auto"/>
            </w:tcBorders>
            <w:shd w:val="clear" w:color="000000" w:fill="C0C0C0"/>
            <w:vAlign w:val="center"/>
            <w:hideMark/>
          </w:tcPr>
          <w:p w14:paraId="6116926B" w14:textId="77777777" w:rsidR="00FD1551" w:rsidRPr="00FD1551" w:rsidRDefault="00FD1551" w:rsidP="00FD1551">
            <w:pPr>
              <w:spacing w:after="0" w:line="240" w:lineRule="auto"/>
              <w:jc w:val="center"/>
              <w:rPr>
                <w:rFonts w:ascii="Arial" w:eastAsia="Times New Roman" w:hAnsi="Arial" w:cs="Arial"/>
                <w:b/>
                <w:bCs/>
                <w:sz w:val="20"/>
                <w:szCs w:val="20"/>
                <w:lang w:eastAsia="pt-BR"/>
              </w:rPr>
            </w:pPr>
            <w:r w:rsidRPr="00FD1551">
              <w:rPr>
                <w:rFonts w:ascii="Arial" w:eastAsia="Times New Roman" w:hAnsi="Arial" w:cs="Arial"/>
                <w:b/>
                <w:bCs/>
                <w:sz w:val="20"/>
                <w:szCs w:val="20"/>
                <w:lang w:eastAsia="pt-BR"/>
              </w:rPr>
              <w:t>Tipo</w:t>
            </w:r>
          </w:p>
        </w:tc>
        <w:tc>
          <w:tcPr>
            <w:tcW w:w="1134" w:type="dxa"/>
            <w:tcBorders>
              <w:top w:val="single" w:sz="8" w:space="0" w:color="auto"/>
              <w:left w:val="nil"/>
              <w:bottom w:val="single" w:sz="8" w:space="0" w:color="auto"/>
              <w:right w:val="single" w:sz="8" w:space="0" w:color="auto"/>
            </w:tcBorders>
            <w:shd w:val="clear" w:color="000000" w:fill="C0C0C0"/>
            <w:vAlign w:val="center"/>
            <w:hideMark/>
          </w:tcPr>
          <w:p w14:paraId="39FC0AFB" w14:textId="77777777" w:rsidR="00FD1551" w:rsidRPr="00FD1551" w:rsidRDefault="00FD1551" w:rsidP="00FD1551">
            <w:pPr>
              <w:spacing w:after="0" w:line="240" w:lineRule="auto"/>
              <w:jc w:val="center"/>
              <w:rPr>
                <w:rFonts w:ascii="Arial" w:eastAsia="Times New Roman" w:hAnsi="Arial" w:cs="Arial"/>
                <w:b/>
                <w:bCs/>
                <w:sz w:val="20"/>
                <w:szCs w:val="20"/>
                <w:lang w:eastAsia="pt-BR"/>
              </w:rPr>
            </w:pPr>
            <w:r w:rsidRPr="00FD1551">
              <w:rPr>
                <w:rFonts w:ascii="Arial" w:eastAsia="Times New Roman" w:hAnsi="Arial" w:cs="Arial"/>
                <w:b/>
                <w:bCs/>
                <w:sz w:val="20"/>
                <w:szCs w:val="20"/>
                <w:lang w:eastAsia="pt-BR"/>
              </w:rPr>
              <w:t>Tamanho</w:t>
            </w:r>
          </w:p>
        </w:tc>
        <w:tc>
          <w:tcPr>
            <w:tcW w:w="3118" w:type="dxa"/>
            <w:tcBorders>
              <w:top w:val="single" w:sz="8" w:space="0" w:color="auto"/>
              <w:left w:val="nil"/>
              <w:bottom w:val="single" w:sz="8" w:space="0" w:color="auto"/>
              <w:right w:val="single" w:sz="8" w:space="0" w:color="auto"/>
            </w:tcBorders>
            <w:shd w:val="clear" w:color="000000" w:fill="C0C0C0"/>
            <w:vAlign w:val="center"/>
            <w:hideMark/>
          </w:tcPr>
          <w:p w14:paraId="153E1F8B" w14:textId="77777777" w:rsidR="00FD1551" w:rsidRPr="00FD1551" w:rsidRDefault="00FD1551" w:rsidP="00FD1551">
            <w:pPr>
              <w:spacing w:after="0" w:line="240" w:lineRule="auto"/>
              <w:jc w:val="center"/>
              <w:rPr>
                <w:rFonts w:ascii="Arial" w:eastAsia="Times New Roman" w:hAnsi="Arial" w:cs="Arial"/>
                <w:b/>
                <w:bCs/>
                <w:sz w:val="20"/>
                <w:szCs w:val="20"/>
                <w:lang w:eastAsia="pt-BR"/>
              </w:rPr>
            </w:pPr>
            <w:r w:rsidRPr="00FD1551">
              <w:rPr>
                <w:rFonts w:ascii="Arial" w:eastAsia="Times New Roman" w:hAnsi="Arial" w:cs="Arial"/>
                <w:b/>
                <w:bCs/>
                <w:sz w:val="20"/>
                <w:szCs w:val="20"/>
                <w:lang w:eastAsia="pt-BR"/>
              </w:rPr>
              <w:t>Obrigatoriedade</w:t>
            </w:r>
          </w:p>
        </w:tc>
      </w:tr>
      <w:tr w:rsidR="00FD1551" w:rsidRPr="00FD1551" w14:paraId="4AD1AA5C" w14:textId="77777777" w:rsidTr="00FD1551">
        <w:trPr>
          <w:trHeight w:val="330"/>
        </w:trPr>
        <w:tc>
          <w:tcPr>
            <w:tcW w:w="9229" w:type="dxa"/>
            <w:gridSpan w:val="4"/>
            <w:tcBorders>
              <w:top w:val="single" w:sz="8" w:space="0" w:color="auto"/>
              <w:left w:val="single" w:sz="8" w:space="0" w:color="auto"/>
              <w:bottom w:val="single" w:sz="8" w:space="0" w:color="auto"/>
              <w:right w:val="single" w:sz="8" w:space="0" w:color="000000"/>
            </w:tcBorders>
            <w:shd w:val="clear" w:color="000000" w:fill="BFBFBF"/>
            <w:vAlign w:val="center"/>
            <w:hideMark/>
          </w:tcPr>
          <w:p w14:paraId="1F779D13" w14:textId="77777777" w:rsidR="00FD1551" w:rsidRPr="00FD1551" w:rsidRDefault="00FD1551" w:rsidP="00FD1551">
            <w:pPr>
              <w:spacing w:after="0" w:line="240" w:lineRule="auto"/>
              <w:jc w:val="center"/>
              <w:rPr>
                <w:rFonts w:ascii="Arial" w:eastAsia="Times New Roman" w:hAnsi="Arial" w:cs="Arial"/>
                <w:b/>
                <w:bCs/>
                <w:sz w:val="20"/>
                <w:szCs w:val="20"/>
                <w:lang w:eastAsia="pt-BR"/>
              </w:rPr>
            </w:pPr>
            <w:r w:rsidRPr="00FD1551">
              <w:rPr>
                <w:rFonts w:ascii="Arial" w:eastAsia="Times New Roman" w:hAnsi="Arial" w:cs="Arial"/>
                <w:b/>
                <w:bCs/>
                <w:sz w:val="20"/>
                <w:szCs w:val="20"/>
                <w:lang w:eastAsia="pt-BR"/>
              </w:rPr>
              <w:t>Estrutura ‘DemonstrativoDividaFlutuante’</w:t>
            </w:r>
          </w:p>
        </w:tc>
      </w:tr>
      <w:tr w:rsidR="00FD1551" w:rsidRPr="00FD1551" w14:paraId="63DDA99B" w14:textId="77777777" w:rsidTr="00FD1551">
        <w:trPr>
          <w:trHeight w:val="402"/>
        </w:trPr>
        <w:tc>
          <w:tcPr>
            <w:tcW w:w="3843" w:type="dxa"/>
            <w:tcBorders>
              <w:top w:val="nil"/>
              <w:left w:val="single" w:sz="8" w:space="0" w:color="auto"/>
              <w:bottom w:val="single" w:sz="8" w:space="0" w:color="auto"/>
              <w:right w:val="single" w:sz="8" w:space="0" w:color="auto"/>
            </w:tcBorders>
            <w:shd w:val="clear" w:color="auto" w:fill="auto"/>
            <w:vAlign w:val="center"/>
            <w:hideMark/>
          </w:tcPr>
          <w:p w14:paraId="688157B2" w14:textId="77777777" w:rsidR="00FD1551" w:rsidRPr="00FD1551" w:rsidRDefault="00FD1551" w:rsidP="00FD1551">
            <w:pPr>
              <w:spacing w:after="0" w:line="240" w:lineRule="auto"/>
              <w:jc w:val="both"/>
              <w:rPr>
                <w:rFonts w:ascii="Arial" w:eastAsia="Times New Roman" w:hAnsi="Arial" w:cs="Arial"/>
                <w:bCs/>
                <w:sz w:val="20"/>
                <w:szCs w:val="20"/>
                <w:lang w:eastAsia="pt-BR"/>
              </w:rPr>
            </w:pPr>
            <w:r w:rsidRPr="00FD1551">
              <w:rPr>
                <w:rFonts w:ascii="Arial" w:eastAsia="Times New Roman" w:hAnsi="Arial" w:cs="Arial"/>
                <w:bCs/>
                <w:sz w:val="20"/>
                <w:szCs w:val="20"/>
                <w:lang w:eastAsia="pt-BR"/>
              </w:rPr>
              <w:t>IdNumRegistro</w:t>
            </w:r>
          </w:p>
        </w:tc>
        <w:tc>
          <w:tcPr>
            <w:tcW w:w="1134" w:type="dxa"/>
            <w:tcBorders>
              <w:top w:val="nil"/>
              <w:left w:val="nil"/>
              <w:bottom w:val="single" w:sz="8" w:space="0" w:color="auto"/>
              <w:right w:val="single" w:sz="8" w:space="0" w:color="auto"/>
            </w:tcBorders>
            <w:shd w:val="clear" w:color="auto" w:fill="auto"/>
            <w:vAlign w:val="center"/>
            <w:hideMark/>
          </w:tcPr>
          <w:p w14:paraId="450E446B" w14:textId="77777777" w:rsidR="00FD1551" w:rsidRPr="00FD1551" w:rsidRDefault="00FD1551" w:rsidP="00FD1551">
            <w:pPr>
              <w:spacing w:after="0" w:line="240" w:lineRule="auto"/>
              <w:jc w:val="center"/>
              <w:rPr>
                <w:rFonts w:ascii="Arial" w:eastAsia="Times New Roman" w:hAnsi="Arial" w:cs="Arial"/>
                <w:bCs/>
                <w:sz w:val="20"/>
                <w:szCs w:val="20"/>
                <w:lang w:eastAsia="pt-BR"/>
              </w:rPr>
            </w:pPr>
            <w:r w:rsidRPr="00FD1551">
              <w:rPr>
                <w:rFonts w:ascii="Arial" w:eastAsia="Times New Roman" w:hAnsi="Arial" w:cs="Arial"/>
                <w:bCs/>
                <w:sz w:val="20"/>
                <w:szCs w:val="20"/>
                <w:lang w:eastAsia="pt-BR"/>
              </w:rPr>
              <w:t>Inteiro</w:t>
            </w:r>
          </w:p>
        </w:tc>
        <w:tc>
          <w:tcPr>
            <w:tcW w:w="1134" w:type="dxa"/>
            <w:tcBorders>
              <w:top w:val="nil"/>
              <w:left w:val="nil"/>
              <w:bottom w:val="single" w:sz="8" w:space="0" w:color="auto"/>
              <w:right w:val="single" w:sz="8" w:space="0" w:color="auto"/>
            </w:tcBorders>
            <w:shd w:val="clear" w:color="auto" w:fill="auto"/>
            <w:vAlign w:val="center"/>
            <w:hideMark/>
          </w:tcPr>
          <w:p w14:paraId="4F63A745" w14:textId="77777777" w:rsidR="00FD1551" w:rsidRPr="00FD1551" w:rsidRDefault="00FD1551" w:rsidP="00FD1551">
            <w:pPr>
              <w:spacing w:after="0" w:line="240" w:lineRule="auto"/>
              <w:jc w:val="center"/>
              <w:rPr>
                <w:rFonts w:ascii="Arial" w:eastAsia="Times New Roman" w:hAnsi="Arial" w:cs="Arial"/>
                <w:bCs/>
                <w:sz w:val="20"/>
                <w:szCs w:val="20"/>
                <w:lang w:eastAsia="pt-BR"/>
              </w:rPr>
            </w:pPr>
            <w:r w:rsidRPr="00FD1551">
              <w:rPr>
                <w:rFonts w:ascii="Arial" w:eastAsia="Times New Roman" w:hAnsi="Arial" w:cs="Arial"/>
                <w:bCs/>
                <w:sz w:val="20"/>
                <w:szCs w:val="20"/>
                <w:lang w:eastAsia="pt-BR"/>
              </w:rPr>
              <w:t>5</w:t>
            </w:r>
          </w:p>
        </w:tc>
        <w:tc>
          <w:tcPr>
            <w:tcW w:w="3118" w:type="dxa"/>
            <w:tcBorders>
              <w:top w:val="nil"/>
              <w:left w:val="nil"/>
              <w:bottom w:val="single" w:sz="8" w:space="0" w:color="auto"/>
              <w:right w:val="single" w:sz="8" w:space="0" w:color="auto"/>
            </w:tcBorders>
            <w:shd w:val="clear" w:color="auto" w:fill="auto"/>
            <w:vAlign w:val="center"/>
            <w:hideMark/>
          </w:tcPr>
          <w:p w14:paraId="3D14D935" w14:textId="77777777" w:rsidR="00FD1551" w:rsidRPr="00FD1551" w:rsidRDefault="00FD1551" w:rsidP="00FD1551">
            <w:pPr>
              <w:spacing w:after="0" w:line="240" w:lineRule="auto"/>
              <w:jc w:val="both"/>
              <w:rPr>
                <w:rFonts w:ascii="Arial" w:eastAsia="Times New Roman" w:hAnsi="Arial" w:cs="Arial"/>
                <w:bCs/>
                <w:sz w:val="20"/>
                <w:szCs w:val="20"/>
                <w:lang w:eastAsia="pt-BR"/>
              </w:rPr>
            </w:pPr>
            <w:r w:rsidRPr="00FD1551">
              <w:rPr>
                <w:rFonts w:ascii="Arial" w:eastAsia="Times New Roman" w:hAnsi="Arial" w:cs="Arial"/>
                <w:bCs/>
                <w:sz w:val="20"/>
                <w:szCs w:val="20"/>
                <w:lang w:eastAsia="pt-BR"/>
              </w:rPr>
              <w:t>Obrigatório</w:t>
            </w:r>
          </w:p>
        </w:tc>
      </w:tr>
      <w:tr w:rsidR="00FD1551" w:rsidRPr="00FD1551" w14:paraId="6628DC36" w14:textId="77777777" w:rsidTr="00FD1551">
        <w:trPr>
          <w:trHeight w:val="735"/>
        </w:trPr>
        <w:tc>
          <w:tcPr>
            <w:tcW w:w="3843" w:type="dxa"/>
            <w:tcBorders>
              <w:top w:val="nil"/>
              <w:left w:val="single" w:sz="8" w:space="0" w:color="auto"/>
              <w:bottom w:val="single" w:sz="8" w:space="0" w:color="auto"/>
              <w:right w:val="single" w:sz="8" w:space="0" w:color="auto"/>
            </w:tcBorders>
            <w:shd w:val="clear" w:color="auto" w:fill="auto"/>
            <w:vAlign w:val="center"/>
            <w:hideMark/>
          </w:tcPr>
          <w:p w14:paraId="49C099F7" w14:textId="77777777" w:rsidR="00FD1551" w:rsidRPr="00FD1551" w:rsidRDefault="00FD1551" w:rsidP="00FD1551">
            <w:pPr>
              <w:spacing w:after="0" w:line="240" w:lineRule="auto"/>
              <w:jc w:val="both"/>
              <w:rPr>
                <w:rFonts w:ascii="Arial" w:eastAsia="Times New Roman" w:hAnsi="Arial" w:cs="Arial"/>
                <w:bCs/>
                <w:sz w:val="20"/>
                <w:szCs w:val="20"/>
                <w:lang w:eastAsia="pt-BR"/>
              </w:rPr>
            </w:pPr>
            <w:r w:rsidRPr="00FD1551">
              <w:rPr>
                <w:rFonts w:ascii="Arial" w:eastAsia="Times New Roman" w:hAnsi="Arial" w:cs="Arial"/>
                <w:bCs/>
                <w:sz w:val="20"/>
                <w:szCs w:val="20"/>
                <w:lang w:eastAsia="pt-BR"/>
              </w:rPr>
              <w:t xml:space="preserve">Código da Unidade Gestora </w:t>
            </w:r>
            <w:r w:rsidRPr="00344D79">
              <w:rPr>
                <w:rFonts w:ascii="Arial" w:eastAsia="Times New Roman" w:hAnsi="Arial" w:cs="Arial"/>
                <w:b/>
                <w:bCs/>
                <w:sz w:val="20"/>
                <w:szCs w:val="20"/>
                <w:vertAlign w:val="superscript"/>
                <w:lang w:eastAsia="pt-BR"/>
              </w:rPr>
              <w:t>[1]</w:t>
            </w:r>
            <w:r w:rsidRPr="00FD1551">
              <w:rPr>
                <w:rFonts w:ascii="Arial" w:eastAsia="Times New Roman" w:hAnsi="Arial" w:cs="Arial"/>
                <w:bCs/>
                <w:sz w:val="20"/>
                <w:szCs w:val="20"/>
                <w:lang w:eastAsia="pt-BR"/>
              </w:rPr>
              <w:t xml:space="preserve"> </w:t>
            </w:r>
          </w:p>
        </w:tc>
        <w:tc>
          <w:tcPr>
            <w:tcW w:w="1134" w:type="dxa"/>
            <w:tcBorders>
              <w:top w:val="nil"/>
              <w:left w:val="nil"/>
              <w:bottom w:val="single" w:sz="8" w:space="0" w:color="auto"/>
              <w:right w:val="single" w:sz="8" w:space="0" w:color="auto"/>
            </w:tcBorders>
            <w:shd w:val="clear" w:color="auto" w:fill="auto"/>
            <w:vAlign w:val="center"/>
            <w:hideMark/>
          </w:tcPr>
          <w:p w14:paraId="7CDF7FD4" w14:textId="77777777" w:rsidR="00FD1551" w:rsidRPr="00FD1551" w:rsidRDefault="00FD1551" w:rsidP="00FD1551">
            <w:pPr>
              <w:spacing w:after="0" w:line="240" w:lineRule="auto"/>
              <w:jc w:val="center"/>
              <w:rPr>
                <w:rFonts w:ascii="Arial" w:eastAsia="Times New Roman" w:hAnsi="Arial" w:cs="Arial"/>
                <w:bCs/>
                <w:sz w:val="20"/>
                <w:szCs w:val="20"/>
                <w:lang w:eastAsia="pt-BR"/>
              </w:rPr>
            </w:pPr>
            <w:r w:rsidRPr="00FD1551">
              <w:rPr>
                <w:rFonts w:ascii="Arial" w:eastAsia="Times New Roman" w:hAnsi="Arial" w:cs="Arial"/>
                <w:bCs/>
                <w:sz w:val="20"/>
                <w:szCs w:val="20"/>
                <w:lang w:eastAsia="pt-BR"/>
              </w:rPr>
              <w:t>Caracter</w:t>
            </w:r>
          </w:p>
        </w:tc>
        <w:tc>
          <w:tcPr>
            <w:tcW w:w="1134" w:type="dxa"/>
            <w:tcBorders>
              <w:top w:val="nil"/>
              <w:left w:val="nil"/>
              <w:bottom w:val="single" w:sz="8" w:space="0" w:color="auto"/>
              <w:right w:val="single" w:sz="8" w:space="0" w:color="auto"/>
            </w:tcBorders>
            <w:shd w:val="clear" w:color="auto" w:fill="auto"/>
            <w:vAlign w:val="center"/>
            <w:hideMark/>
          </w:tcPr>
          <w:p w14:paraId="2537E5D2" w14:textId="77777777" w:rsidR="00FD1551" w:rsidRPr="00FD1551" w:rsidRDefault="00FD1551" w:rsidP="00FD1551">
            <w:pPr>
              <w:spacing w:after="0" w:line="240" w:lineRule="auto"/>
              <w:jc w:val="center"/>
              <w:rPr>
                <w:rFonts w:ascii="Arial" w:eastAsia="Times New Roman" w:hAnsi="Arial" w:cs="Arial"/>
                <w:bCs/>
                <w:sz w:val="20"/>
                <w:szCs w:val="20"/>
                <w:lang w:eastAsia="pt-BR"/>
              </w:rPr>
            </w:pPr>
            <w:r w:rsidRPr="00FD1551">
              <w:rPr>
                <w:rFonts w:ascii="Arial" w:eastAsia="Times New Roman" w:hAnsi="Arial" w:cs="Arial"/>
                <w:bCs/>
                <w:sz w:val="20"/>
                <w:szCs w:val="20"/>
                <w:lang w:eastAsia="pt-BR"/>
              </w:rPr>
              <w:t>11</w:t>
            </w:r>
          </w:p>
        </w:tc>
        <w:tc>
          <w:tcPr>
            <w:tcW w:w="3118" w:type="dxa"/>
            <w:tcBorders>
              <w:top w:val="nil"/>
              <w:left w:val="nil"/>
              <w:bottom w:val="single" w:sz="8" w:space="0" w:color="auto"/>
              <w:right w:val="single" w:sz="8" w:space="0" w:color="auto"/>
            </w:tcBorders>
            <w:shd w:val="clear" w:color="auto" w:fill="auto"/>
            <w:vAlign w:val="center"/>
            <w:hideMark/>
          </w:tcPr>
          <w:p w14:paraId="6C78823A" w14:textId="77777777" w:rsidR="00FD1551" w:rsidRPr="00FD1551" w:rsidRDefault="00FD1551" w:rsidP="00FD1551">
            <w:pPr>
              <w:spacing w:after="0" w:line="240" w:lineRule="auto"/>
              <w:rPr>
                <w:rFonts w:ascii="Arial" w:eastAsia="Times New Roman" w:hAnsi="Arial" w:cs="Arial"/>
                <w:bCs/>
                <w:sz w:val="20"/>
                <w:szCs w:val="20"/>
                <w:lang w:eastAsia="pt-BR"/>
              </w:rPr>
            </w:pPr>
            <w:r w:rsidRPr="00FD1551">
              <w:rPr>
                <w:rFonts w:ascii="Arial" w:eastAsia="Times New Roman" w:hAnsi="Arial" w:cs="Arial"/>
                <w:bCs/>
                <w:sz w:val="20"/>
                <w:szCs w:val="20"/>
                <w:lang w:eastAsia="pt-BR"/>
              </w:rPr>
              <w:t>Obrigatório – conforme Código do CidadES</w:t>
            </w:r>
          </w:p>
        </w:tc>
      </w:tr>
      <w:tr w:rsidR="00FD1551" w:rsidRPr="00FD1551" w14:paraId="6290535A" w14:textId="77777777" w:rsidTr="00FD1551">
        <w:trPr>
          <w:trHeight w:val="795"/>
        </w:trPr>
        <w:tc>
          <w:tcPr>
            <w:tcW w:w="3843" w:type="dxa"/>
            <w:tcBorders>
              <w:top w:val="nil"/>
              <w:left w:val="single" w:sz="8" w:space="0" w:color="auto"/>
              <w:bottom w:val="single" w:sz="8" w:space="0" w:color="auto"/>
              <w:right w:val="single" w:sz="8" w:space="0" w:color="auto"/>
            </w:tcBorders>
            <w:shd w:val="clear" w:color="auto" w:fill="auto"/>
            <w:vAlign w:val="center"/>
            <w:hideMark/>
          </w:tcPr>
          <w:p w14:paraId="4894E83F" w14:textId="77777777" w:rsidR="00FD1551" w:rsidRPr="00FD1551" w:rsidRDefault="00FD1551" w:rsidP="00FD1551">
            <w:pPr>
              <w:spacing w:after="0" w:line="240" w:lineRule="auto"/>
              <w:jc w:val="both"/>
              <w:rPr>
                <w:rFonts w:ascii="Arial" w:eastAsia="Times New Roman" w:hAnsi="Arial" w:cs="Arial"/>
                <w:bCs/>
                <w:sz w:val="20"/>
                <w:szCs w:val="20"/>
                <w:lang w:eastAsia="pt-BR"/>
              </w:rPr>
            </w:pPr>
            <w:r w:rsidRPr="00FD1551">
              <w:rPr>
                <w:rFonts w:ascii="Arial" w:eastAsia="Times New Roman" w:hAnsi="Arial" w:cs="Arial"/>
                <w:bCs/>
                <w:sz w:val="20"/>
                <w:szCs w:val="20"/>
                <w:lang w:eastAsia="pt-BR"/>
              </w:rPr>
              <w:t xml:space="preserve">Código Contábil </w:t>
            </w:r>
            <w:r w:rsidRPr="00344D79">
              <w:rPr>
                <w:rFonts w:ascii="Arial" w:eastAsia="Times New Roman" w:hAnsi="Arial" w:cs="Arial"/>
                <w:b/>
                <w:bCs/>
                <w:sz w:val="20"/>
                <w:szCs w:val="20"/>
                <w:vertAlign w:val="superscript"/>
                <w:lang w:eastAsia="pt-BR"/>
              </w:rPr>
              <w:t>[2]</w:t>
            </w:r>
          </w:p>
        </w:tc>
        <w:tc>
          <w:tcPr>
            <w:tcW w:w="1134" w:type="dxa"/>
            <w:tcBorders>
              <w:top w:val="nil"/>
              <w:left w:val="nil"/>
              <w:bottom w:val="single" w:sz="8" w:space="0" w:color="auto"/>
              <w:right w:val="single" w:sz="8" w:space="0" w:color="auto"/>
            </w:tcBorders>
            <w:shd w:val="clear" w:color="auto" w:fill="auto"/>
            <w:vAlign w:val="center"/>
            <w:hideMark/>
          </w:tcPr>
          <w:p w14:paraId="139E908E" w14:textId="77777777" w:rsidR="00FD1551" w:rsidRPr="00FD1551" w:rsidRDefault="00FD1551" w:rsidP="00FD1551">
            <w:pPr>
              <w:spacing w:after="0" w:line="240" w:lineRule="auto"/>
              <w:jc w:val="center"/>
              <w:rPr>
                <w:rFonts w:ascii="Arial" w:eastAsia="Times New Roman" w:hAnsi="Arial" w:cs="Arial"/>
                <w:bCs/>
                <w:sz w:val="20"/>
                <w:szCs w:val="20"/>
                <w:lang w:eastAsia="pt-BR"/>
              </w:rPr>
            </w:pPr>
            <w:r w:rsidRPr="00FD1551">
              <w:rPr>
                <w:rFonts w:ascii="Arial" w:eastAsia="Times New Roman" w:hAnsi="Arial" w:cs="Arial"/>
                <w:bCs/>
                <w:sz w:val="20"/>
                <w:szCs w:val="20"/>
                <w:lang w:eastAsia="pt-BR"/>
              </w:rPr>
              <w:t>Inteiro</w:t>
            </w:r>
          </w:p>
        </w:tc>
        <w:tc>
          <w:tcPr>
            <w:tcW w:w="1134" w:type="dxa"/>
            <w:tcBorders>
              <w:top w:val="nil"/>
              <w:left w:val="nil"/>
              <w:bottom w:val="single" w:sz="8" w:space="0" w:color="auto"/>
              <w:right w:val="single" w:sz="8" w:space="0" w:color="auto"/>
            </w:tcBorders>
            <w:shd w:val="clear" w:color="auto" w:fill="auto"/>
            <w:vAlign w:val="center"/>
            <w:hideMark/>
          </w:tcPr>
          <w:p w14:paraId="451C5EFE" w14:textId="77777777" w:rsidR="00FD1551" w:rsidRPr="00FD1551" w:rsidRDefault="00FD1551" w:rsidP="00FD1551">
            <w:pPr>
              <w:spacing w:after="0" w:line="240" w:lineRule="auto"/>
              <w:jc w:val="center"/>
              <w:rPr>
                <w:rFonts w:ascii="Arial" w:eastAsia="Times New Roman" w:hAnsi="Arial" w:cs="Arial"/>
                <w:bCs/>
                <w:sz w:val="20"/>
                <w:szCs w:val="20"/>
                <w:lang w:eastAsia="pt-BR"/>
              </w:rPr>
            </w:pPr>
            <w:r w:rsidRPr="00FD1551">
              <w:rPr>
                <w:rFonts w:ascii="Arial" w:eastAsia="Times New Roman" w:hAnsi="Arial" w:cs="Arial"/>
                <w:bCs/>
                <w:sz w:val="20"/>
                <w:szCs w:val="20"/>
                <w:lang w:eastAsia="pt-BR"/>
              </w:rPr>
              <w:t>9</w:t>
            </w:r>
          </w:p>
        </w:tc>
        <w:tc>
          <w:tcPr>
            <w:tcW w:w="3118" w:type="dxa"/>
            <w:tcBorders>
              <w:top w:val="nil"/>
              <w:left w:val="nil"/>
              <w:bottom w:val="single" w:sz="8" w:space="0" w:color="auto"/>
              <w:right w:val="single" w:sz="8" w:space="0" w:color="auto"/>
            </w:tcBorders>
            <w:shd w:val="clear" w:color="auto" w:fill="auto"/>
            <w:vAlign w:val="center"/>
            <w:hideMark/>
          </w:tcPr>
          <w:p w14:paraId="6C751415" w14:textId="77777777" w:rsidR="00FD1551" w:rsidRPr="00FD1551" w:rsidRDefault="00FD1551" w:rsidP="00FD1551">
            <w:pPr>
              <w:spacing w:after="0" w:line="240" w:lineRule="auto"/>
              <w:rPr>
                <w:rFonts w:ascii="Arial" w:eastAsia="Times New Roman" w:hAnsi="Arial" w:cs="Arial"/>
                <w:bCs/>
                <w:sz w:val="20"/>
                <w:szCs w:val="20"/>
                <w:lang w:eastAsia="pt-BR"/>
              </w:rPr>
            </w:pPr>
            <w:r w:rsidRPr="00FD1551">
              <w:rPr>
                <w:rFonts w:ascii="Arial" w:eastAsia="Times New Roman" w:hAnsi="Arial" w:cs="Arial"/>
                <w:bCs/>
                <w:sz w:val="20"/>
                <w:szCs w:val="20"/>
                <w:lang w:eastAsia="pt-BR"/>
              </w:rPr>
              <w:t>Obrigatório – conforme Plano de Contas do CidadES</w:t>
            </w:r>
          </w:p>
        </w:tc>
      </w:tr>
      <w:tr w:rsidR="00FD1551" w:rsidRPr="00FD1551" w14:paraId="5D56CAA2" w14:textId="77777777" w:rsidTr="00FD1551">
        <w:trPr>
          <w:trHeight w:val="402"/>
        </w:trPr>
        <w:tc>
          <w:tcPr>
            <w:tcW w:w="3843" w:type="dxa"/>
            <w:tcBorders>
              <w:top w:val="nil"/>
              <w:left w:val="single" w:sz="8" w:space="0" w:color="auto"/>
              <w:bottom w:val="single" w:sz="8" w:space="0" w:color="auto"/>
              <w:right w:val="single" w:sz="8" w:space="0" w:color="auto"/>
            </w:tcBorders>
            <w:shd w:val="clear" w:color="auto" w:fill="auto"/>
            <w:vAlign w:val="center"/>
            <w:hideMark/>
          </w:tcPr>
          <w:p w14:paraId="55DA88EC" w14:textId="77777777" w:rsidR="00FD1551" w:rsidRPr="00FD1551" w:rsidRDefault="00FD1551" w:rsidP="00FD1551">
            <w:pPr>
              <w:spacing w:after="0" w:line="240" w:lineRule="auto"/>
              <w:jc w:val="both"/>
              <w:rPr>
                <w:rFonts w:ascii="Arial" w:eastAsia="Times New Roman" w:hAnsi="Arial" w:cs="Arial"/>
                <w:bCs/>
                <w:sz w:val="20"/>
                <w:szCs w:val="20"/>
                <w:lang w:eastAsia="pt-BR"/>
              </w:rPr>
            </w:pPr>
            <w:r w:rsidRPr="00FD1551">
              <w:rPr>
                <w:rFonts w:ascii="Arial" w:eastAsia="Times New Roman" w:hAnsi="Arial" w:cs="Arial"/>
                <w:bCs/>
                <w:sz w:val="20"/>
                <w:szCs w:val="20"/>
                <w:lang w:eastAsia="pt-BR"/>
              </w:rPr>
              <w:t>Descrição da Dívida</w:t>
            </w:r>
          </w:p>
        </w:tc>
        <w:tc>
          <w:tcPr>
            <w:tcW w:w="1134" w:type="dxa"/>
            <w:tcBorders>
              <w:top w:val="nil"/>
              <w:left w:val="nil"/>
              <w:bottom w:val="single" w:sz="8" w:space="0" w:color="auto"/>
              <w:right w:val="single" w:sz="8" w:space="0" w:color="auto"/>
            </w:tcBorders>
            <w:shd w:val="clear" w:color="auto" w:fill="auto"/>
            <w:vAlign w:val="center"/>
            <w:hideMark/>
          </w:tcPr>
          <w:p w14:paraId="3BC3AEC9" w14:textId="77777777" w:rsidR="00FD1551" w:rsidRPr="00FD1551" w:rsidRDefault="00FD1551" w:rsidP="00FD1551">
            <w:pPr>
              <w:spacing w:after="0" w:line="240" w:lineRule="auto"/>
              <w:jc w:val="center"/>
              <w:rPr>
                <w:rFonts w:ascii="Arial" w:eastAsia="Times New Roman" w:hAnsi="Arial" w:cs="Arial"/>
                <w:bCs/>
                <w:sz w:val="20"/>
                <w:szCs w:val="20"/>
                <w:lang w:eastAsia="pt-BR"/>
              </w:rPr>
            </w:pPr>
            <w:r w:rsidRPr="00FD1551">
              <w:rPr>
                <w:rFonts w:ascii="Arial" w:eastAsia="Times New Roman" w:hAnsi="Arial" w:cs="Arial"/>
                <w:bCs/>
                <w:sz w:val="20"/>
                <w:szCs w:val="20"/>
                <w:lang w:eastAsia="pt-BR"/>
              </w:rPr>
              <w:t>Caracter</w:t>
            </w:r>
          </w:p>
        </w:tc>
        <w:tc>
          <w:tcPr>
            <w:tcW w:w="1134" w:type="dxa"/>
            <w:tcBorders>
              <w:top w:val="nil"/>
              <w:left w:val="nil"/>
              <w:bottom w:val="single" w:sz="8" w:space="0" w:color="auto"/>
              <w:right w:val="single" w:sz="8" w:space="0" w:color="auto"/>
            </w:tcBorders>
            <w:shd w:val="clear" w:color="auto" w:fill="auto"/>
            <w:vAlign w:val="center"/>
            <w:hideMark/>
          </w:tcPr>
          <w:p w14:paraId="5D1521D2" w14:textId="77777777" w:rsidR="00FD1551" w:rsidRPr="00FD1551" w:rsidRDefault="00FD1551" w:rsidP="00FD1551">
            <w:pPr>
              <w:spacing w:after="0" w:line="240" w:lineRule="auto"/>
              <w:jc w:val="center"/>
              <w:rPr>
                <w:rFonts w:ascii="Arial" w:eastAsia="Times New Roman" w:hAnsi="Arial" w:cs="Arial"/>
                <w:bCs/>
                <w:sz w:val="20"/>
                <w:szCs w:val="20"/>
                <w:lang w:eastAsia="pt-BR"/>
              </w:rPr>
            </w:pPr>
            <w:r w:rsidRPr="00FD1551">
              <w:rPr>
                <w:rFonts w:ascii="Arial" w:eastAsia="Times New Roman" w:hAnsi="Arial" w:cs="Arial"/>
                <w:bCs/>
                <w:sz w:val="20"/>
                <w:szCs w:val="20"/>
                <w:lang w:eastAsia="pt-BR"/>
              </w:rPr>
              <w:t>1000</w:t>
            </w:r>
          </w:p>
        </w:tc>
        <w:tc>
          <w:tcPr>
            <w:tcW w:w="3118" w:type="dxa"/>
            <w:tcBorders>
              <w:top w:val="nil"/>
              <w:left w:val="nil"/>
              <w:bottom w:val="single" w:sz="8" w:space="0" w:color="auto"/>
              <w:right w:val="single" w:sz="8" w:space="0" w:color="auto"/>
            </w:tcBorders>
            <w:shd w:val="clear" w:color="auto" w:fill="auto"/>
            <w:vAlign w:val="center"/>
            <w:hideMark/>
          </w:tcPr>
          <w:p w14:paraId="0EBF561A" w14:textId="77777777" w:rsidR="00FD1551" w:rsidRPr="00FD1551" w:rsidRDefault="00FD1551" w:rsidP="00FD1551">
            <w:pPr>
              <w:spacing w:after="0" w:line="240" w:lineRule="auto"/>
              <w:jc w:val="both"/>
              <w:rPr>
                <w:rFonts w:ascii="Arial" w:eastAsia="Times New Roman" w:hAnsi="Arial" w:cs="Arial"/>
                <w:bCs/>
                <w:sz w:val="20"/>
                <w:szCs w:val="20"/>
                <w:lang w:eastAsia="pt-BR"/>
              </w:rPr>
            </w:pPr>
            <w:r w:rsidRPr="00FD1551">
              <w:rPr>
                <w:rFonts w:ascii="Arial" w:eastAsia="Times New Roman" w:hAnsi="Arial" w:cs="Arial"/>
                <w:bCs/>
                <w:sz w:val="20"/>
                <w:szCs w:val="20"/>
                <w:lang w:eastAsia="pt-BR"/>
              </w:rPr>
              <w:t>Obrigatório</w:t>
            </w:r>
          </w:p>
        </w:tc>
      </w:tr>
      <w:tr w:rsidR="00FD1551" w:rsidRPr="00FD1551" w14:paraId="2B7B60D6" w14:textId="77777777" w:rsidTr="00FD1551">
        <w:trPr>
          <w:trHeight w:val="402"/>
        </w:trPr>
        <w:tc>
          <w:tcPr>
            <w:tcW w:w="3843" w:type="dxa"/>
            <w:tcBorders>
              <w:top w:val="nil"/>
              <w:left w:val="single" w:sz="8" w:space="0" w:color="auto"/>
              <w:bottom w:val="single" w:sz="8" w:space="0" w:color="auto"/>
              <w:right w:val="single" w:sz="8" w:space="0" w:color="auto"/>
            </w:tcBorders>
            <w:shd w:val="clear" w:color="auto" w:fill="auto"/>
            <w:vAlign w:val="center"/>
            <w:hideMark/>
          </w:tcPr>
          <w:p w14:paraId="65A8829D" w14:textId="77777777" w:rsidR="00FD1551" w:rsidRPr="00FD1551" w:rsidRDefault="00FD1551" w:rsidP="00FD1551">
            <w:pPr>
              <w:spacing w:after="0" w:line="240" w:lineRule="auto"/>
              <w:jc w:val="both"/>
              <w:rPr>
                <w:rFonts w:ascii="Arial" w:eastAsia="Times New Roman" w:hAnsi="Arial" w:cs="Arial"/>
                <w:bCs/>
                <w:sz w:val="20"/>
                <w:szCs w:val="20"/>
                <w:lang w:eastAsia="pt-BR"/>
              </w:rPr>
            </w:pPr>
            <w:r w:rsidRPr="00FD1551">
              <w:rPr>
                <w:rFonts w:ascii="Arial" w:eastAsia="Times New Roman" w:hAnsi="Arial" w:cs="Arial"/>
                <w:bCs/>
                <w:sz w:val="20"/>
                <w:szCs w:val="20"/>
                <w:lang w:eastAsia="pt-BR"/>
              </w:rPr>
              <w:t xml:space="preserve">Tipo da Consignação </w:t>
            </w:r>
            <w:r w:rsidRPr="00344D79">
              <w:rPr>
                <w:rFonts w:ascii="Arial" w:eastAsia="Times New Roman" w:hAnsi="Arial" w:cs="Arial"/>
                <w:b/>
                <w:bCs/>
                <w:sz w:val="20"/>
                <w:szCs w:val="20"/>
                <w:vertAlign w:val="superscript"/>
                <w:lang w:eastAsia="pt-BR"/>
              </w:rPr>
              <w:t>[3]</w:t>
            </w:r>
          </w:p>
        </w:tc>
        <w:tc>
          <w:tcPr>
            <w:tcW w:w="1134" w:type="dxa"/>
            <w:tcBorders>
              <w:top w:val="nil"/>
              <w:left w:val="nil"/>
              <w:bottom w:val="single" w:sz="8" w:space="0" w:color="auto"/>
              <w:right w:val="single" w:sz="8" w:space="0" w:color="auto"/>
            </w:tcBorders>
            <w:shd w:val="clear" w:color="auto" w:fill="auto"/>
            <w:vAlign w:val="center"/>
            <w:hideMark/>
          </w:tcPr>
          <w:p w14:paraId="0CA7B21B" w14:textId="77777777" w:rsidR="00FD1551" w:rsidRPr="00FD1551" w:rsidRDefault="00FD1551" w:rsidP="00FD1551">
            <w:pPr>
              <w:spacing w:after="0" w:line="240" w:lineRule="auto"/>
              <w:jc w:val="center"/>
              <w:rPr>
                <w:rFonts w:ascii="Arial" w:eastAsia="Times New Roman" w:hAnsi="Arial" w:cs="Arial"/>
                <w:bCs/>
                <w:sz w:val="20"/>
                <w:szCs w:val="20"/>
                <w:lang w:eastAsia="pt-BR"/>
              </w:rPr>
            </w:pPr>
            <w:r w:rsidRPr="00FD1551">
              <w:rPr>
                <w:rFonts w:ascii="Arial" w:eastAsia="Times New Roman" w:hAnsi="Arial" w:cs="Arial"/>
                <w:bCs/>
                <w:sz w:val="20"/>
                <w:szCs w:val="20"/>
                <w:lang w:eastAsia="pt-BR"/>
              </w:rPr>
              <w:t>Inteiro</w:t>
            </w:r>
          </w:p>
        </w:tc>
        <w:tc>
          <w:tcPr>
            <w:tcW w:w="1134" w:type="dxa"/>
            <w:tcBorders>
              <w:top w:val="nil"/>
              <w:left w:val="nil"/>
              <w:bottom w:val="single" w:sz="8" w:space="0" w:color="auto"/>
              <w:right w:val="single" w:sz="8" w:space="0" w:color="auto"/>
            </w:tcBorders>
            <w:shd w:val="clear" w:color="auto" w:fill="auto"/>
            <w:vAlign w:val="center"/>
            <w:hideMark/>
          </w:tcPr>
          <w:p w14:paraId="18686CF5" w14:textId="77777777" w:rsidR="00FD1551" w:rsidRPr="00FD1551" w:rsidRDefault="00FD1551" w:rsidP="00FD1551">
            <w:pPr>
              <w:spacing w:after="0" w:line="240" w:lineRule="auto"/>
              <w:jc w:val="center"/>
              <w:rPr>
                <w:rFonts w:ascii="Arial" w:eastAsia="Times New Roman" w:hAnsi="Arial" w:cs="Arial"/>
                <w:bCs/>
                <w:sz w:val="20"/>
                <w:szCs w:val="20"/>
                <w:lang w:eastAsia="pt-BR"/>
              </w:rPr>
            </w:pPr>
            <w:r w:rsidRPr="00FD1551">
              <w:rPr>
                <w:rFonts w:ascii="Arial" w:eastAsia="Times New Roman" w:hAnsi="Arial" w:cs="Arial"/>
                <w:bCs/>
                <w:sz w:val="20"/>
                <w:szCs w:val="20"/>
                <w:lang w:eastAsia="pt-BR"/>
              </w:rPr>
              <w:t>1</w:t>
            </w:r>
          </w:p>
        </w:tc>
        <w:tc>
          <w:tcPr>
            <w:tcW w:w="3118" w:type="dxa"/>
            <w:tcBorders>
              <w:top w:val="nil"/>
              <w:left w:val="nil"/>
              <w:bottom w:val="single" w:sz="8" w:space="0" w:color="auto"/>
              <w:right w:val="single" w:sz="8" w:space="0" w:color="auto"/>
            </w:tcBorders>
            <w:shd w:val="clear" w:color="auto" w:fill="auto"/>
            <w:vAlign w:val="center"/>
            <w:hideMark/>
          </w:tcPr>
          <w:p w14:paraId="7928C0DA" w14:textId="77777777" w:rsidR="00FD1551" w:rsidRPr="00FD1551" w:rsidRDefault="00FD1551" w:rsidP="00FD1551">
            <w:pPr>
              <w:spacing w:after="0" w:line="240" w:lineRule="auto"/>
              <w:rPr>
                <w:rFonts w:ascii="Arial" w:eastAsia="Times New Roman" w:hAnsi="Arial" w:cs="Arial"/>
                <w:bCs/>
                <w:sz w:val="20"/>
                <w:szCs w:val="20"/>
                <w:lang w:eastAsia="pt-BR"/>
              </w:rPr>
            </w:pPr>
            <w:r w:rsidRPr="00FD1551">
              <w:rPr>
                <w:rFonts w:ascii="Arial" w:eastAsia="Times New Roman" w:hAnsi="Arial" w:cs="Arial"/>
                <w:bCs/>
                <w:sz w:val="20"/>
                <w:szCs w:val="20"/>
                <w:lang w:eastAsia="pt-BR"/>
              </w:rPr>
              <w:t>Opcional</w:t>
            </w:r>
          </w:p>
        </w:tc>
      </w:tr>
      <w:tr w:rsidR="00FD1551" w:rsidRPr="00FD1551" w14:paraId="53C2FF4F" w14:textId="77777777" w:rsidTr="00FD1551">
        <w:trPr>
          <w:trHeight w:val="402"/>
        </w:trPr>
        <w:tc>
          <w:tcPr>
            <w:tcW w:w="3843" w:type="dxa"/>
            <w:tcBorders>
              <w:top w:val="nil"/>
              <w:left w:val="single" w:sz="8" w:space="0" w:color="auto"/>
              <w:bottom w:val="single" w:sz="8" w:space="0" w:color="auto"/>
              <w:right w:val="single" w:sz="8" w:space="0" w:color="auto"/>
            </w:tcBorders>
            <w:shd w:val="clear" w:color="auto" w:fill="auto"/>
            <w:vAlign w:val="center"/>
            <w:hideMark/>
          </w:tcPr>
          <w:p w14:paraId="373EAC1D" w14:textId="77777777" w:rsidR="00FD1551" w:rsidRPr="00FD1551" w:rsidRDefault="00FD1551" w:rsidP="00FD1551">
            <w:pPr>
              <w:spacing w:after="0" w:line="240" w:lineRule="auto"/>
              <w:jc w:val="both"/>
              <w:rPr>
                <w:rFonts w:ascii="Arial" w:eastAsia="Times New Roman" w:hAnsi="Arial" w:cs="Arial"/>
                <w:bCs/>
                <w:sz w:val="20"/>
                <w:szCs w:val="20"/>
                <w:lang w:eastAsia="pt-BR"/>
              </w:rPr>
            </w:pPr>
            <w:r w:rsidRPr="00FD1551">
              <w:rPr>
                <w:rFonts w:ascii="Arial" w:eastAsia="Times New Roman" w:hAnsi="Arial" w:cs="Arial"/>
                <w:bCs/>
                <w:sz w:val="20"/>
                <w:szCs w:val="20"/>
                <w:lang w:eastAsia="pt-BR"/>
              </w:rPr>
              <w:t>Saldo Inicial do Exercício</w:t>
            </w:r>
          </w:p>
        </w:tc>
        <w:tc>
          <w:tcPr>
            <w:tcW w:w="1134" w:type="dxa"/>
            <w:tcBorders>
              <w:top w:val="nil"/>
              <w:left w:val="nil"/>
              <w:bottom w:val="single" w:sz="8" w:space="0" w:color="auto"/>
              <w:right w:val="single" w:sz="8" w:space="0" w:color="auto"/>
            </w:tcBorders>
            <w:shd w:val="clear" w:color="auto" w:fill="auto"/>
            <w:vAlign w:val="center"/>
            <w:hideMark/>
          </w:tcPr>
          <w:p w14:paraId="7A5D9B1D" w14:textId="77777777" w:rsidR="00FD1551" w:rsidRPr="00FD1551" w:rsidRDefault="00FD1551" w:rsidP="00FD1551">
            <w:pPr>
              <w:spacing w:after="0" w:line="240" w:lineRule="auto"/>
              <w:jc w:val="center"/>
              <w:rPr>
                <w:rFonts w:ascii="Arial" w:eastAsia="Times New Roman" w:hAnsi="Arial" w:cs="Arial"/>
                <w:bCs/>
                <w:sz w:val="20"/>
                <w:szCs w:val="20"/>
                <w:lang w:eastAsia="pt-BR"/>
              </w:rPr>
            </w:pPr>
            <w:r w:rsidRPr="00FD1551">
              <w:rPr>
                <w:rFonts w:ascii="Arial" w:eastAsia="Times New Roman" w:hAnsi="Arial" w:cs="Arial"/>
                <w:bCs/>
                <w:sz w:val="20"/>
                <w:szCs w:val="20"/>
                <w:lang w:eastAsia="pt-BR"/>
              </w:rPr>
              <w:t>Decimal</w:t>
            </w:r>
          </w:p>
        </w:tc>
        <w:tc>
          <w:tcPr>
            <w:tcW w:w="1134" w:type="dxa"/>
            <w:tcBorders>
              <w:top w:val="nil"/>
              <w:left w:val="nil"/>
              <w:bottom w:val="single" w:sz="8" w:space="0" w:color="auto"/>
              <w:right w:val="single" w:sz="8" w:space="0" w:color="auto"/>
            </w:tcBorders>
            <w:shd w:val="clear" w:color="auto" w:fill="auto"/>
            <w:vAlign w:val="center"/>
            <w:hideMark/>
          </w:tcPr>
          <w:p w14:paraId="7414ABC8" w14:textId="77777777" w:rsidR="00FD1551" w:rsidRPr="00FD1551" w:rsidRDefault="00FD1551" w:rsidP="00FD1551">
            <w:pPr>
              <w:spacing w:after="0" w:line="240" w:lineRule="auto"/>
              <w:jc w:val="center"/>
              <w:rPr>
                <w:rFonts w:ascii="Arial" w:eastAsia="Times New Roman" w:hAnsi="Arial" w:cs="Arial"/>
                <w:bCs/>
                <w:sz w:val="20"/>
                <w:szCs w:val="20"/>
                <w:lang w:eastAsia="pt-BR"/>
              </w:rPr>
            </w:pPr>
            <w:r w:rsidRPr="00FD1551">
              <w:rPr>
                <w:rFonts w:ascii="Arial" w:eastAsia="Times New Roman" w:hAnsi="Arial" w:cs="Arial"/>
                <w:bCs/>
                <w:sz w:val="20"/>
                <w:szCs w:val="20"/>
                <w:lang w:eastAsia="pt-BR"/>
              </w:rPr>
              <w:t>(14,2)</w:t>
            </w:r>
          </w:p>
        </w:tc>
        <w:tc>
          <w:tcPr>
            <w:tcW w:w="3118" w:type="dxa"/>
            <w:tcBorders>
              <w:top w:val="nil"/>
              <w:left w:val="nil"/>
              <w:bottom w:val="single" w:sz="8" w:space="0" w:color="auto"/>
              <w:right w:val="single" w:sz="8" w:space="0" w:color="auto"/>
            </w:tcBorders>
            <w:shd w:val="clear" w:color="auto" w:fill="auto"/>
            <w:vAlign w:val="center"/>
            <w:hideMark/>
          </w:tcPr>
          <w:p w14:paraId="580F086C" w14:textId="77777777" w:rsidR="00FD1551" w:rsidRPr="00FD1551" w:rsidRDefault="00FD1551" w:rsidP="00FD1551">
            <w:pPr>
              <w:spacing w:after="0" w:line="240" w:lineRule="auto"/>
              <w:rPr>
                <w:rFonts w:ascii="Arial" w:eastAsia="Times New Roman" w:hAnsi="Arial" w:cs="Arial"/>
                <w:bCs/>
                <w:sz w:val="20"/>
                <w:szCs w:val="20"/>
                <w:lang w:eastAsia="pt-BR"/>
              </w:rPr>
            </w:pPr>
            <w:r w:rsidRPr="00FD1551">
              <w:rPr>
                <w:rFonts w:ascii="Arial" w:eastAsia="Times New Roman" w:hAnsi="Arial" w:cs="Arial"/>
                <w:bCs/>
                <w:sz w:val="20"/>
                <w:szCs w:val="20"/>
                <w:lang w:eastAsia="pt-BR"/>
              </w:rPr>
              <w:t>Obrigatório</w:t>
            </w:r>
          </w:p>
        </w:tc>
      </w:tr>
      <w:tr w:rsidR="00FD1551" w:rsidRPr="00FD1551" w14:paraId="69F529B5" w14:textId="77777777" w:rsidTr="00FD1551">
        <w:trPr>
          <w:trHeight w:val="402"/>
        </w:trPr>
        <w:tc>
          <w:tcPr>
            <w:tcW w:w="3843" w:type="dxa"/>
            <w:tcBorders>
              <w:top w:val="nil"/>
              <w:left w:val="single" w:sz="8" w:space="0" w:color="auto"/>
              <w:bottom w:val="single" w:sz="8" w:space="0" w:color="auto"/>
              <w:right w:val="single" w:sz="8" w:space="0" w:color="auto"/>
            </w:tcBorders>
            <w:shd w:val="clear" w:color="auto" w:fill="auto"/>
            <w:vAlign w:val="center"/>
            <w:hideMark/>
          </w:tcPr>
          <w:p w14:paraId="7AC95F00" w14:textId="77777777" w:rsidR="00FD1551" w:rsidRPr="00FD1551" w:rsidRDefault="00FD1551" w:rsidP="00FD1551">
            <w:pPr>
              <w:spacing w:after="0" w:line="240" w:lineRule="auto"/>
              <w:jc w:val="both"/>
              <w:rPr>
                <w:rFonts w:ascii="Arial" w:eastAsia="Times New Roman" w:hAnsi="Arial" w:cs="Arial"/>
                <w:bCs/>
                <w:sz w:val="20"/>
                <w:szCs w:val="20"/>
                <w:lang w:eastAsia="pt-BR"/>
              </w:rPr>
            </w:pPr>
            <w:r w:rsidRPr="00FD1551">
              <w:rPr>
                <w:rFonts w:ascii="Arial" w:eastAsia="Times New Roman" w:hAnsi="Arial" w:cs="Arial"/>
                <w:bCs/>
                <w:sz w:val="20"/>
                <w:szCs w:val="20"/>
                <w:lang w:eastAsia="pt-BR"/>
              </w:rPr>
              <w:t>Inscrição</w:t>
            </w:r>
          </w:p>
        </w:tc>
        <w:tc>
          <w:tcPr>
            <w:tcW w:w="1134" w:type="dxa"/>
            <w:tcBorders>
              <w:top w:val="nil"/>
              <w:left w:val="nil"/>
              <w:bottom w:val="single" w:sz="8" w:space="0" w:color="auto"/>
              <w:right w:val="single" w:sz="8" w:space="0" w:color="auto"/>
            </w:tcBorders>
            <w:shd w:val="clear" w:color="auto" w:fill="auto"/>
            <w:vAlign w:val="center"/>
            <w:hideMark/>
          </w:tcPr>
          <w:p w14:paraId="1A4E7305" w14:textId="77777777" w:rsidR="00FD1551" w:rsidRPr="00FD1551" w:rsidRDefault="00FD1551" w:rsidP="00FD1551">
            <w:pPr>
              <w:spacing w:after="0" w:line="240" w:lineRule="auto"/>
              <w:jc w:val="center"/>
              <w:rPr>
                <w:rFonts w:ascii="Arial" w:eastAsia="Times New Roman" w:hAnsi="Arial" w:cs="Arial"/>
                <w:bCs/>
                <w:sz w:val="20"/>
                <w:szCs w:val="20"/>
                <w:lang w:eastAsia="pt-BR"/>
              </w:rPr>
            </w:pPr>
            <w:r w:rsidRPr="00FD1551">
              <w:rPr>
                <w:rFonts w:ascii="Arial" w:eastAsia="Times New Roman" w:hAnsi="Arial" w:cs="Arial"/>
                <w:bCs/>
                <w:sz w:val="20"/>
                <w:szCs w:val="20"/>
                <w:lang w:eastAsia="pt-BR"/>
              </w:rPr>
              <w:t>Decimal</w:t>
            </w:r>
          </w:p>
        </w:tc>
        <w:tc>
          <w:tcPr>
            <w:tcW w:w="1134" w:type="dxa"/>
            <w:tcBorders>
              <w:top w:val="nil"/>
              <w:left w:val="nil"/>
              <w:bottom w:val="single" w:sz="8" w:space="0" w:color="auto"/>
              <w:right w:val="single" w:sz="8" w:space="0" w:color="auto"/>
            </w:tcBorders>
            <w:shd w:val="clear" w:color="auto" w:fill="auto"/>
            <w:vAlign w:val="center"/>
            <w:hideMark/>
          </w:tcPr>
          <w:p w14:paraId="4E9F4F92" w14:textId="77777777" w:rsidR="00FD1551" w:rsidRPr="00FD1551" w:rsidRDefault="00FD1551" w:rsidP="00FD1551">
            <w:pPr>
              <w:spacing w:after="0" w:line="240" w:lineRule="auto"/>
              <w:jc w:val="center"/>
              <w:rPr>
                <w:rFonts w:ascii="Arial" w:eastAsia="Times New Roman" w:hAnsi="Arial" w:cs="Arial"/>
                <w:bCs/>
                <w:sz w:val="20"/>
                <w:szCs w:val="20"/>
                <w:lang w:eastAsia="pt-BR"/>
              </w:rPr>
            </w:pPr>
            <w:r w:rsidRPr="00FD1551">
              <w:rPr>
                <w:rFonts w:ascii="Arial" w:eastAsia="Times New Roman" w:hAnsi="Arial" w:cs="Arial"/>
                <w:bCs/>
                <w:sz w:val="20"/>
                <w:szCs w:val="20"/>
                <w:lang w:eastAsia="pt-BR"/>
              </w:rPr>
              <w:t>(14,2)</w:t>
            </w:r>
          </w:p>
        </w:tc>
        <w:tc>
          <w:tcPr>
            <w:tcW w:w="3118" w:type="dxa"/>
            <w:tcBorders>
              <w:top w:val="nil"/>
              <w:left w:val="nil"/>
              <w:bottom w:val="single" w:sz="8" w:space="0" w:color="auto"/>
              <w:right w:val="single" w:sz="8" w:space="0" w:color="auto"/>
            </w:tcBorders>
            <w:shd w:val="clear" w:color="auto" w:fill="auto"/>
            <w:vAlign w:val="center"/>
            <w:hideMark/>
          </w:tcPr>
          <w:p w14:paraId="50BC7C30" w14:textId="77777777" w:rsidR="00FD1551" w:rsidRPr="00FD1551" w:rsidRDefault="00FD1551" w:rsidP="00FD1551">
            <w:pPr>
              <w:spacing w:after="0" w:line="240" w:lineRule="auto"/>
              <w:rPr>
                <w:rFonts w:ascii="Arial" w:eastAsia="Times New Roman" w:hAnsi="Arial" w:cs="Arial"/>
                <w:bCs/>
                <w:sz w:val="20"/>
                <w:szCs w:val="20"/>
                <w:lang w:eastAsia="pt-BR"/>
              </w:rPr>
            </w:pPr>
            <w:r w:rsidRPr="00FD1551">
              <w:rPr>
                <w:rFonts w:ascii="Arial" w:eastAsia="Times New Roman" w:hAnsi="Arial" w:cs="Arial"/>
                <w:bCs/>
                <w:sz w:val="20"/>
                <w:szCs w:val="20"/>
                <w:lang w:eastAsia="pt-BR"/>
              </w:rPr>
              <w:t>Obrigatório</w:t>
            </w:r>
          </w:p>
        </w:tc>
      </w:tr>
      <w:tr w:rsidR="00FD1551" w:rsidRPr="00FD1551" w14:paraId="4C275A9C" w14:textId="77777777" w:rsidTr="00FD1551">
        <w:trPr>
          <w:trHeight w:val="402"/>
        </w:trPr>
        <w:tc>
          <w:tcPr>
            <w:tcW w:w="3843" w:type="dxa"/>
            <w:tcBorders>
              <w:top w:val="nil"/>
              <w:left w:val="single" w:sz="8" w:space="0" w:color="auto"/>
              <w:bottom w:val="single" w:sz="8" w:space="0" w:color="auto"/>
              <w:right w:val="single" w:sz="8" w:space="0" w:color="auto"/>
            </w:tcBorders>
            <w:shd w:val="clear" w:color="auto" w:fill="auto"/>
            <w:vAlign w:val="center"/>
            <w:hideMark/>
          </w:tcPr>
          <w:p w14:paraId="7D4DF0A6" w14:textId="77777777" w:rsidR="00FD1551" w:rsidRPr="00FD1551" w:rsidRDefault="00FD1551" w:rsidP="00FD1551">
            <w:pPr>
              <w:spacing w:after="0" w:line="240" w:lineRule="auto"/>
              <w:jc w:val="both"/>
              <w:rPr>
                <w:rFonts w:ascii="Arial" w:eastAsia="Times New Roman" w:hAnsi="Arial" w:cs="Arial"/>
                <w:bCs/>
                <w:sz w:val="20"/>
                <w:szCs w:val="20"/>
                <w:lang w:eastAsia="pt-BR"/>
              </w:rPr>
            </w:pPr>
            <w:r w:rsidRPr="00FD1551">
              <w:rPr>
                <w:rFonts w:ascii="Arial" w:eastAsia="Times New Roman" w:hAnsi="Arial" w:cs="Arial"/>
                <w:bCs/>
                <w:sz w:val="20"/>
                <w:szCs w:val="20"/>
                <w:lang w:eastAsia="pt-BR"/>
              </w:rPr>
              <w:t>Incorporação/Encampação</w:t>
            </w:r>
          </w:p>
        </w:tc>
        <w:tc>
          <w:tcPr>
            <w:tcW w:w="1134" w:type="dxa"/>
            <w:tcBorders>
              <w:top w:val="nil"/>
              <w:left w:val="nil"/>
              <w:bottom w:val="single" w:sz="8" w:space="0" w:color="auto"/>
              <w:right w:val="single" w:sz="8" w:space="0" w:color="auto"/>
            </w:tcBorders>
            <w:shd w:val="clear" w:color="auto" w:fill="auto"/>
            <w:vAlign w:val="center"/>
            <w:hideMark/>
          </w:tcPr>
          <w:p w14:paraId="3215FFB9" w14:textId="77777777" w:rsidR="00FD1551" w:rsidRPr="00FD1551" w:rsidRDefault="00FD1551" w:rsidP="00FD1551">
            <w:pPr>
              <w:spacing w:after="0" w:line="240" w:lineRule="auto"/>
              <w:jc w:val="center"/>
              <w:rPr>
                <w:rFonts w:ascii="Arial" w:eastAsia="Times New Roman" w:hAnsi="Arial" w:cs="Arial"/>
                <w:bCs/>
                <w:sz w:val="20"/>
                <w:szCs w:val="20"/>
                <w:lang w:eastAsia="pt-BR"/>
              </w:rPr>
            </w:pPr>
            <w:r w:rsidRPr="00FD1551">
              <w:rPr>
                <w:rFonts w:ascii="Arial" w:eastAsia="Times New Roman" w:hAnsi="Arial" w:cs="Arial"/>
                <w:bCs/>
                <w:sz w:val="20"/>
                <w:szCs w:val="20"/>
                <w:lang w:eastAsia="pt-BR"/>
              </w:rPr>
              <w:t>Decimal</w:t>
            </w:r>
          </w:p>
        </w:tc>
        <w:tc>
          <w:tcPr>
            <w:tcW w:w="1134" w:type="dxa"/>
            <w:tcBorders>
              <w:top w:val="nil"/>
              <w:left w:val="nil"/>
              <w:bottom w:val="single" w:sz="8" w:space="0" w:color="auto"/>
              <w:right w:val="single" w:sz="8" w:space="0" w:color="auto"/>
            </w:tcBorders>
            <w:shd w:val="clear" w:color="auto" w:fill="auto"/>
            <w:vAlign w:val="center"/>
            <w:hideMark/>
          </w:tcPr>
          <w:p w14:paraId="110039F2" w14:textId="77777777" w:rsidR="00FD1551" w:rsidRPr="00FD1551" w:rsidRDefault="00FD1551" w:rsidP="00FD1551">
            <w:pPr>
              <w:spacing w:after="0" w:line="240" w:lineRule="auto"/>
              <w:jc w:val="center"/>
              <w:rPr>
                <w:rFonts w:ascii="Arial" w:eastAsia="Times New Roman" w:hAnsi="Arial" w:cs="Arial"/>
                <w:bCs/>
                <w:sz w:val="20"/>
                <w:szCs w:val="20"/>
                <w:lang w:eastAsia="pt-BR"/>
              </w:rPr>
            </w:pPr>
            <w:r w:rsidRPr="00FD1551">
              <w:rPr>
                <w:rFonts w:ascii="Arial" w:eastAsia="Times New Roman" w:hAnsi="Arial" w:cs="Arial"/>
                <w:bCs/>
                <w:sz w:val="20"/>
                <w:szCs w:val="20"/>
                <w:lang w:eastAsia="pt-BR"/>
              </w:rPr>
              <w:t>(14,2)</w:t>
            </w:r>
          </w:p>
        </w:tc>
        <w:tc>
          <w:tcPr>
            <w:tcW w:w="3118" w:type="dxa"/>
            <w:tcBorders>
              <w:top w:val="nil"/>
              <w:left w:val="nil"/>
              <w:bottom w:val="single" w:sz="8" w:space="0" w:color="auto"/>
              <w:right w:val="single" w:sz="8" w:space="0" w:color="auto"/>
            </w:tcBorders>
            <w:shd w:val="clear" w:color="auto" w:fill="auto"/>
            <w:vAlign w:val="center"/>
            <w:hideMark/>
          </w:tcPr>
          <w:p w14:paraId="50BBB54E" w14:textId="77777777" w:rsidR="00FD1551" w:rsidRPr="00FD1551" w:rsidRDefault="00FD1551" w:rsidP="00FD1551">
            <w:pPr>
              <w:spacing w:after="0" w:line="240" w:lineRule="auto"/>
              <w:rPr>
                <w:rFonts w:ascii="Arial" w:eastAsia="Times New Roman" w:hAnsi="Arial" w:cs="Arial"/>
                <w:bCs/>
                <w:sz w:val="20"/>
                <w:szCs w:val="20"/>
                <w:lang w:eastAsia="pt-BR"/>
              </w:rPr>
            </w:pPr>
            <w:r w:rsidRPr="00FD1551">
              <w:rPr>
                <w:rFonts w:ascii="Arial" w:eastAsia="Times New Roman" w:hAnsi="Arial" w:cs="Arial"/>
                <w:bCs/>
                <w:sz w:val="20"/>
                <w:szCs w:val="20"/>
                <w:lang w:eastAsia="pt-BR"/>
              </w:rPr>
              <w:t>Obrigatório</w:t>
            </w:r>
          </w:p>
        </w:tc>
      </w:tr>
      <w:tr w:rsidR="00FD1551" w:rsidRPr="00FD1551" w14:paraId="00D17065" w14:textId="77777777" w:rsidTr="00FD1551">
        <w:trPr>
          <w:trHeight w:val="402"/>
        </w:trPr>
        <w:tc>
          <w:tcPr>
            <w:tcW w:w="3843" w:type="dxa"/>
            <w:tcBorders>
              <w:top w:val="nil"/>
              <w:left w:val="single" w:sz="8" w:space="0" w:color="auto"/>
              <w:bottom w:val="single" w:sz="8" w:space="0" w:color="auto"/>
              <w:right w:val="single" w:sz="8" w:space="0" w:color="auto"/>
            </w:tcBorders>
            <w:shd w:val="clear" w:color="auto" w:fill="auto"/>
            <w:vAlign w:val="center"/>
            <w:hideMark/>
          </w:tcPr>
          <w:p w14:paraId="1CCBF461" w14:textId="77777777" w:rsidR="00FD1551" w:rsidRPr="00FD1551" w:rsidRDefault="00FD1551" w:rsidP="00FD1551">
            <w:pPr>
              <w:spacing w:after="0" w:line="240" w:lineRule="auto"/>
              <w:jc w:val="both"/>
              <w:rPr>
                <w:rFonts w:ascii="Arial" w:eastAsia="Times New Roman" w:hAnsi="Arial" w:cs="Arial"/>
                <w:bCs/>
                <w:sz w:val="20"/>
                <w:szCs w:val="20"/>
                <w:lang w:eastAsia="pt-BR"/>
              </w:rPr>
            </w:pPr>
            <w:r w:rsidRPr="00FD1551">
              <w:rPr>
                <w:rFonts w:ascii="Arial" w:eastAsia="Times New Roman" w:hAnsi="Arial" w:cs="Arial"/>
                <w:bCs/>
                <w:sz w:val="20"/>
                <w:szCs w:val="20"/>
                <w:lang w:eastAsia="pt-BR"/>
              </w:rPr>
              <w:lastRenderedPageBreak/>
              <w:t xml:space="preserve">Pagamento </w:t>
            </w:r>
          </w:p>
        </w:tc>
        <w:tc>
          <w:tcPr>
            <w:tcW w:w="1134" w:type="dxa"/>
            <w:tcBorders>
              <w:top w:val="nil"/>
              <w:left w:val="nil"/>
              <w:bottom w:val="single" w:sz="8" w:space="0" w:color="auto"/>
              <w:right w:val="single" w:sz="8" w:space="0" w:color="auto"/>
            </w:tcBorders>
            <w:shd w:val="clear" w:color="auto" w:fill="auto"/>
            <w:vAlign w:val="center"/>
            <w:hideMark/>
          </w:tcPr>
          <w:p w14:paraId="576B01AE" w14:textId="77777777" w:rsidR="00FD1551" w:rsidRPr="00FD1551" w:rsidRDefault="00FD1551" w:rsidP="00FD1551">
            <w:pPr>
              <w:spacing w:after="0" w:line="240" w:lineRule="auto"/>
              <w:jc w:val="center"/>
              <w:rPr>
                <w:rFonts w:ascii="Arial" w:eastAsia="Times New Roman" w:hAnsi="Arial" w:cs="Arial"/>
                <w:bCs/>
                <w:sz w:val="20"/>
                <w:szCs w:val="20"/>
                <w:lang w:eastAsia="pt-BR"/>
              </w:rPr>
            </w:pPr>
            <w:r w:rsidRPr="00FD1551">
              <w:rPr>
                <w:rFonts w:ascii="Arial" w:eastAsia="Times New Roman" w:hAnsi="Arial" w:cs="Arial"/>
                <w:bCs/>
                <w:sz w:val="20"/>
                <w:szCs w:val="20"/>
                <w:lang w:eastAsia="pt-BR"/>
              </w:rPr>
              <w:t>Decimal</w:t>
            </w:r>
          </w:p>
        </w:tc>
        <w:tc>
          <w:tcPr>
            <w:tcW w:w="1134" w:type="dxa"/>
            <w:tcBorders>
              <w:top w:val="nil"/>
              <w:left w:val="nil"/>
              <w:bottom w:val="single" w:sz="8" w:space="0" w:color="auto"/>
              <w:right w:val="single" w:sz="8" w:space="0" w:color="auto"/>
            </w:tcBorders>
            <w:shd w:val="clear" w:color="auto" w:fill="auto"/>
            <w:vAlign w:val="center"/>
            <w:hideMark/>
          </w:tcPr>
          <w:p w14:paraId="3F2C6540" w14:textId="77777777" w:rsidR="00FD1551" w:rsidRPr="00FD1551" w:rsidRDefault="00FD1551" w:rsidP="00FD1551">
            <w:pPr>
              <w:spacing w:after="0" w:line="240" w:lineRule="auto"/>
              <w:jc w:val="center"/>
              <w:rPr>
                <w:rFonts w:ascii="Arial" w:eastAsia="Times New Roman" w:hAnsi="Arial" w:cs="Arial"/>
                <w:bCs/>
                <w:sz w:val="20"/>
                <w:szCs w:val="20"/>
                <w:lang w:eastAsia="pt-BR"/>
              </w:rPr>
            </w:pPr>
            <w:r w:rsidRPr="00FD1551">
              <w:rPr>
                <w:rFonts w:ascii="Arial" w:eastAsia="Times New Roman" w:hAnsi="Arial" w:cs="Arial"/>
                <w:bCs/>
                <w:sz w:val="20"/>
                <w:szCs w:val="20"/>
                <w:lang w:eastAsia="pt-BR"/>
              </w:rPr>
              <w:t>(14,2)</w:t>
            </w:r>
          </w:p>
        </w:tc>
        <w:tc>
          <w:tcPr>
            <w:tcW w:w="3118" w:type="dxa"/>
            <w:tcBorders>
              <w:top w:val="nil"/>
              <w:left w:val="nil"/>
              <w:bottom w:val="single" w:sz="8" w:space="0" w:color="auto"/>
              <w:right w:val="single" w:sz="8" w:space="0" w:color="auto"/>
            </w:tcBorders>
            <w:shd w:val="clear" w:color="auto" w:fill="auto"/>
            <w:vAlign w:val="center"/>
            <w:hideMark/>
          </w:tcPr>
          <w:p w14:paraId="25351773" w14:textId="77777777" w:rsidR="00FD1551" w:rsidRPr="00FD1551" w:rsidRDefault="00FD1551" w:rsidP="00FD1551">
            <w:pPr>
              <w:spacing w:after="0" w:line="240" w:lineRule="auto"/>
              <w:rPr>
                <w:rFonts w:ascii="Arial" w:eastAsia="Times New Roman" w:hAnsi="Arial" w:cs="Arial"/>
                <w:bCs/>
                <w:sz w:val="20"/>
                <w:szCs w:val="20"/>
                <w:lang w:eastAsia="pt-BR"/>
              </w:rPr>
            </w:pPr>
            <w:r w:rsidRPr="00FD1551">
              <w:rPr>
                <w:rFonts w:ascii="Arial" w:eastAsia="Times New Roman" w:hAnsi="Arial" w:cs="Arial"/>
                <w:bCs/>
                <w:sz w:val="20"/>
                <w:szCs w:val="20"/>
                <w:lang w:eastAsia="pt-BR"/>
              </w:rPr>
              <w:t>Obrigatório</w:t>
            </w:r>
          </w:p>
        </w:tc>
      </w:tr>
      <w:tr w:rsidR="00FD1551" w:rsidRPr="00FD1551" w14:paraId="14850998" w14:textId="77777777" w:rsidTr="00FD1551">
        <w:trPr>
          <w:trHeight w:val="402"/>
        </w:trPr>
        <w:tc>
          <w:tcPr>
            <w:tcW w:w="3843" w:type="dxa"/>
            <w:tcBorders>
              <w:top w:val="nil"/>
              <w:left w:val="single" w:sz="8" w:space="0" w:color="auto"/>
              <w:bottom w:val="single" w:sz="8" w:space="0" w:color="auto"/>
              <w:right w:val="single" w:sz="8" w:space="0" w:color="auto"/>
            </w:tcBorders>
            <w:shd w:val="clear" w:color="auto" w:fill="auto"/>
            <w:vAlign w:val="center"/>
            <w:hideMark/>
          </w:tcPr>
          <w:p w14:paraId="7DD18F74" w14:textId="77777777" w:rsidR="00FD1551" w:rsidRPr="00FD1551" w:rsidRDefault="00FD1551" w:rsidP="00FD1551">
            <w:pPr>
              <w:spacing w:after="0" w:line="240" w:lineRule="auto"/>
              <w:jc w:val="both"/>
              <w:rPr>
                <w:rFonts w:ascii="Arial" w:eastAsia="Times New Roman" w:hAnsi="Arial" w:cs="Arial"/>
                <w:bCs/>
                <w:sz w:val="20"/>
                <w:szCs w:val="20"/>
                <w:lang w:eastAsia="pt-BR"/>
              </w:rPr>
            </w:pPr>
            <w:r w:rsidRPr="00FD1551">
              <w:rPr>
                <w:rFonts w:ascii="Arial" w:eastAsia="Times New Roman" w:hAnsi="Arial" w:cs="Arial"/>
                <w:bCs/>
                <w:sz w:val="20"/>
                <w:szCs w:val="20"/>
                <w:lang w:eastAsia="pt-BR"/>
              </w:rPr>
              <w:t>Cancelamento</w:t>
            </w:r>
          </w:p>
        </w:tc>
        <w:tc>
          <w:tcPr>
            <w:tcW w:w="1134" w:type="dxa"/>
            <w:tcBorders>
              <w:top w:val="nil"/>
              <w:left w:val="nil"/>
              <w:bottom w:val="single" w:sz="8" w:space="0" w:color="auto"/>
              <w:right w:val="single" w:sz="8" w:space="0" w:color="auto"/>
            </w:tcBorders>
            <w:shd w:val="clear" w:color="auto" w:fill="auto"/>
            <w:vAlign w:val="center"/>
            <w:hideMark/>
          </w:tcPr>
          <w:p w14:paraId="6B796141" w14:textId="77777777" w:rsidR="00FD1551" w:rsidRPr="00FD1551" w:rsidRDefault="00FD1551" w:rsidP="00FD1551">
            <w:pPr>
              <w:spacing w:after="0" w:line="240" w:lineRule="auto"/>
              <w:jc w:val="center"/>
              <w:rPr>
                <w:rFonts w:ascii="Arial" w:eastAsia="Times New Roman" w:hAnsi="Arial" w:cs="Arial"/>
                <w:bCs/>
                <w:sz w:val="20"/>
                <w:szCs w:val="20"/>
                <w:lang w:eastAsia="pt-BR"/>
              </w:rPr>
            </w:pPr>
            <w:r w:rsidRPr="00FD1551">
              <w:rPr>
                <w:rFonts w:ascii="Arial" w:eastAsia="Times New Roman" w:hAnsi="Arial" w:cs="Arial"/>
                <w:bCs/>
                <w:sz w:val="20"/>
                <w:szCs w:val="20"/>
                <w:lang w:eastAsia="pt-BR"/>
              </w:rPr>
              <w:t>Decimal</w:t>
            </w:r>
          </w:p>
        </w:tc>
        <w:tc>
          <w:tcPr>
            <w:tcW w:w="1134" w:type="dxa"/>
            <w:tcBorders>
              <w:top w:val="nil"/>
              <w:left w:val="nil"/>
              <w:bottom w:val="single" w:sz="8" w:space="0" w:color="auto"/>
              <w:right w:val="single" w:sz="8" w:space="0" w:color="auto"/>
            </w:tcBorders>
            <w:shd w:val="clear" w:color="auto" w:fill="auto"/>
            <w:vAlign w:val="center"/>
            <w:hideMark/>
          </w:tcPr>
          <w:p w14:paraId="2A94F99E" w14:textId="77777777" w:rsidR="00FD1551" w:rsidRPr="00FD1551" w:rsidRDefault="00FD1551" w:rsidP="00FD1551">
            <w:pPr>
              <w:spacing w:after="0" w:line="240" w:lineRule="auto"/>
              <w:jc w:val="center"/>
              <w:rPr>
                <w:rFonts w:ascii="Arial" w:eastAsia="Times New Roman" w:hAnsi="Arial" w:cs="Arial"/>
                <w:bCs/>
                <w:sz w:val="20"/>
                <w:szCs w:val="20"/>
                <w:lang w:eastAsia="pt-BR"/>
              </w:rPr>
            </w:pPr>
            <w:r w:rsidRPr="00FD1551">
              <w:rPr>
                <w:rFonts w:ascii="Arial" w:eastAsia="Times New Roman" w:hAnsi="Arial" w:cs="Arial"/>
                <w:bCs/>
                <w:sz w:val="20"/>
                <w:szCs w:val="20"/>
                <w:lang w:eastAsia="pt-BR"/>
              </w:rPr>
              <w:t>(14,2)</w:t>
            </w:r>
          </w:p>
        </w:tc>
        <w:tc>
          <w:tcPr>
            <w:tcW w:w="3118" w:type="dxa"/>
            <w:tcBorders>
              <w:top w:val="nil"/>
              <w:left w:val="nil"/>
              <w:bottom w:val="single" w:sz="8" w:space="0" w:color="auto"/>
              <w:right w:val="single" w:sz="8" w:space="0" w:color="auto"/>
            </w:tcBorders>
            <w:shd w:val="clear" w:color="auto" w:fill="auto"/>
            <w:vAlign w:val="center"/>
            <w:hideMark/>
          </w:tcPr>
          <w:p w14:paraId="3038F7BE" w14:textId="77777777" w:rsidR="00FD1551" w:rsidRPr="00FD1551" w:rsidRDefault="00FD1551" w:rsidP="00FD1551">
            <w:pPr>
              <w:spacing w:after="0" w:line="240" w:lineRule="auto"/>
              <w:rPr>
                <w:rFonts w:ascii="Arial" w:eastAsia="Times New Roman" w:hAnsi="Arial" w:cs="Arial"/>
                <w:bCs/>
                <w:sz w:val="20"/>
                <w:szCs w:val="20"/>
                <w:lang w:eastAsia="pt-BR"/>
              </w:rPr>
            </w:pPr>
            <w:r w:rsidRPr="00FD1551">
              <w:rPr>
                <w:rFonts w:ascii="Arial" w:eastAsia="Times New Roman" w:hAnsi="Arial" w:cs="Arial"/>
                <w:bCs/>
                <w:sz w:val="20"/>
                <w:szCs w:val="20"/>
                <w:lang w:eastAsia="pt-BR"/>
              </w:rPr>
              <w:t>Obrigatório</w:t>
            </w:r>
          </w:p>
        </w:tc>
      </w:tr>
      <w:tr w:rsidR="00FD1551" w:rsidRPr="00FD1551" w14:paraId="7D2930EF" w14:textId="77777777" w:rsidTr="00FD1551">
        <w:trPr>
          <w:trHeight w:val="402"/>
        </w:trPr>
        <w:tc>
          <w:tcPr>
            <w:tcW w:w="3843" w:type="dxa"/>
            <w:tcBorders>
              <w:top w:val="nil"/>
              <w:left w:val="single" w:sz="8" w:space="0" w:color="auto"/>
              <w:bottom w:val="single" w:sz="8" w:space="0" w:color="auto"/>
              <w:right w:val="single" w:sz="8" w:space="0" w:color="auto"/>
            </w:tcBorders>
            <w:shd w:val="clear" w:color="auto" w:fill="auto"/>
            <w:vAlign w:val="center"/>
            <w:hideMark/>
          </w:tcPr>
          <w:p w14:paraId="4ECDD054" w14:textId="77777777" w:rsidR="00FD1551" w:rsidRPr="00FD1551" w:rsidRDefault="00FD1551" w:rsidP="00FD1551">
            <w:pPr>
              <w:spacing w:after="0" w:line="240" w:lineRule="auto"/>
              <w:jc w:val="both"/>
              <w:rPr>
                <w:rFonts w:ascii="Arial" w:eastAsia="Times New Roman" w:hAnsi="Arial" w:cs="Arial"/>
                <w:bCs/>
                <w:sz w:val="20"/>
                <w:szCs w:val="20"/>
                <w:lang w:eastAsia="pt-BR"/>
              </w:rPr>
            </w:pPr>
            <w:r w:rsidRPr="00FD1551">
              <w:rPr>
                <w:rFonts w:ascii="Arial" w:eastAsia="Times New Roman" w:hAnsi="Arial" w:cs="Arial"/>
                <w:bCs/>
                <w:sz w:val="20"/>
                <w:szCs w:val="20"/>
                <w:lang w:eastAsia="pt-BR"/>
              </w:rPr>
              <w:t>Outras Baixas</w:t>
            </w:r>
          </w:p>
        </w:tc>
        <w:tc>
          <w:tcPr>
            <w:tcW w:w="1134" w:type="dxa"/>
            <w:tcBorders>
              <w:top w:val="nil"/>
              <w:left w:val="nil"/>
              <w:bottom w:val="single" w:sz="8" w:space="0" w:color="auto"/>
              <w:right w:val="single" w:sz="8" w:space="0" w:color="auto"/>
            </w:tcBorders>
            <w:shd w:val="clear" w:color="auto" w:fill="auto"/>
            <w:vAlign w:val="center"/>
            <w:hideMark/>
          </w:tcPr>
          <w:p w14:paraId="48BE04A0" w14:textId="77777777" w:rsidR="00FD1551" w:rsidRPr="00FD1551" w:rsidRDefault="00FD1551" w:rsidP="00FD1551">
            <w:pPr>
              <w:spacing w:after="0" w:line="240" w:lineRule="auto"/>
              <w:jc w:val="center"/>
              <w:rPr>
                <w:rFonts w:ascii="Arial" w:eastAsia="Times New Roman" w:hAnsi="Arial" w:cs="Arial"/>
                <w:bCs/>
                <w:sz w:val="20"/>
                <w:szCs w:val="20"/>
                <w:lang w:eastAsia="pt-BR"/>
              </w:rPr>
            </w:pPr>
            <w:r w:rsidRPr="00FD1551">
              <w:rPr>
                <w:rFonts w:ascii="Arial" w:eastAsia="Times New Roman" w:hAnsi="Arial" w:cs="Arial"/>
                <w:bCs/>
                <w:sz w:val="20"/>
                <w:szCs w:val="20"/>
                <w:lang w:eastAsia="pt-BR"/>
              </w:rPr>
              <w:t>Decimal</w:t>
            </w:r>
          </w:p>
        </w:tc>
        <w:tc>
          <w:tcPr>
            <w:tcW w:w="1134" w:type="dxa"/>
            <w:tcBorders>
              <w:top w:val="nil"/>
              <w:left w:val="nil"/>
              <w:bottom w:val="single" w:sz="8" w:space="0" w:color="auto"/>
              <w:right w:val="single" w:sz="8" w:space="0" w:color="auto"/>
            </w:tcBorders>
            <w:shd w:val="clear" w:color="auto" w:fill="auto"/>
            <w:vAlign w:val="center"/>
            <w:hideMark/>
          </w:tcPr>
          <w:p w14:paraId="3CC44D5C" w14:textId="77777777" w:rsidR="00FD1551" w:rsidRPr="00FD1551" w:rsidRDefault="00FD1551" w:rsidP="00FD1551">
            <w:pPr>
              <w:spacing w:after="0" w:line="240" w:lineRule="auto"/>
              <w:jc w:val="center"/>
              <w:rPr>
                <w:rFonts w:ascii="Arial" w:eastAsia="Times New Roman" w:hAnsi="Arial" w:cs="Arial"/>
                <w:bCs/>
                <w:sz w:val="20"/>
                <w:szCs w:val="20"/>
                <w:lang w:eastAsia="pt-BR"/>
              </w:rPr>
            </w:pPr>
            <w:r w:rsidRPr="00FD1551">
              <w:rPr>
                <w:rFonts w:ascii="Arial" w:eastAsia="Times New Roman" w:hAnsi="Arial" w:cs="Arial"/>
                <w:bCs/>
                <w:sz w:val="20"/>
                <w:szCs w:val="20"/>
                <w:lang w:eastAsia="pt-BR"/>
              </w:rPr>
              <w:t>(14,2)</w:t>
            </w:r>
          </w:p>
        </w:tc>
        <w:tc>
          <w:tcPr>
            <w:tcW w:w="3118" w:type="dxa"/>
            <w:tcBorders>
              <w:top w:val="nil"/>
              <w:left w:val="nil"/>
              <w:bottom w:val="single" w:sz="8" w:space="0" w:color="auto"/>
              <w:right w:val="single" w:sz="8" w:space="0" w:color="auto"/>
            </w:tcBorders>
            <w:shd w:val="clear" w:color="auto" w:fill="auto"/>
            <w:vAlign w:val="center"/>
            <w:hideMark/>
          </w:tcPr>
          <w:p w14:paraId="51D89717" w14:textId="77777777" w:rsidR="00FD1551" w:rsidRPr="00FD1551" w:rsidRDefault="00FD1551" w:rsidP="00FD1551">
            <w:pPr>
              <w:spacing w:after="0" w:line="240" w:lineRule="auto"/>
              <w:rPr>
                <w:rFonts w:ascii="Arial" w:eastAsia="Times New Roman" w:hAnsi="Arial" w:cs="Arial"/>
                <w:bCs/>
                <w:sz w:val="20"/>
                <w:szCs w:val="20"/>
                <w:lang w:eastAsia="pt-BR"/>
              </w:rPr>
            </w:pPr>
            <w:r w:rsidRPr="00FD1551">
              <w:rPr>
                <w:rFonts w:ascii="Arial" w:eastAsia="Times New Roman" w:hAnsi="Arial" w:cs="Arial"/>
                <w:bCs/>
                <w:sz w:val="20"/>
                <w:szCs w:val="20"/>
                <w:lang w:eastAsia="pt-BR"/>
              </w:rPr>
              <w:t>Obrigatório</w:t>
            </w:r>
          </w:p>
        </w:tc>
      </w:tr>
      <w:tr w:rsidR="00FD1551" w:rsidRPr="00FD1551" w14:paraId="0F27F022" w14:textId="77777777" w:rsidTr="00FD1551">
        <w:trPr>
          <w:trHeight w:val="402"/>
        </w:trPr>
        <w:tc>
          <w:tcPr>
            <w:tcW w:w="3843" w:type="dxa"/>
            <w:tcBorders>
              <w:top w:val="nil"/>
              <w:left w:val="single" w:sz="8" w:space="0" w:color="auto"/>
              <w:bottom w:val="single" w:sz="8" w:space="0" w:color="auto"/>
              <w:right w:val="single" w:sz="8" w:space="0" w:color="auto"/>
            </w:tcBorders>
            <w:shd w:val="clear" w:color="auto" w:fill="auto"/>
            <w:vAlign w:val="center"/>
            <w:hideMark/>
          </w:tcPr>
          <w:p w14:paraId="30472A06" w14:textId="77777777" w:rsidR="00FD1551" w:rsidRPr="00FD1551" w:rsidRDefault="00FD1551" w:rsidP="00FD1551">
            <w:pPr>
              <w:spacing w:after="0" w:line="240" w:lineRule="auto"/>
              <w:jc w:val="both"/>
              <w:rPr>
                <w:rFonts w:ascii="Arial" w:eastAsia="Times New Roman" w:hAnsi="Arial" w:cs="Arial"/>
                <w:bCs/>
                <w:sz w:val="20"/>
                <w:szCs w:val="20"/>
                <w:lang w:eastAsia="pt-BR"/>
              </w:rPr>
            </w:pPr>
            <w:r w:rsidRPr="00FD1551">
              <w:rPr>
                <w:rFonts w:ascii="Arial" w:eastAsia="Times New Roman" w:hAnsi="Arial" w:cs="Arial"/>
                <w:bCs/>
                <w:sz w:val="20"/>
                <w:szCs w:val="20"/>
                <w:lang w:eastAsia="pt-BR"/>
              </w:rPr>
              <w:t>Saldo Final do Exercício</w:t>
            </w:r>
          </w:p>
        </w:tc>
        <w:tc>
          <w:tcPr>
            <w:tcW w:w="1134" w:type="dxa"/>
            <w:tcBorders>
              <w:top w:val="nil"/>
              <w:left w:val="nil"/>
              <w:bottom w:val="single" w:sz="8" w:space="0" w:color="auto"/>
              <w:right w:val="single" w:sz="8" w:space="0" w:color="auto"/>
            </w:tcBorders>
            <w:shd w:val="clear" w:color="auto" w:fill="auto"/>
            <w:vAlign w:val="center"/>
            <w:hideMark/>
          </w:tcPr>
          <w:p w14:paraId="352402EB" w14:textId="77777777" w:rsidR="00FD1551" w:rsidRPr="00FD1551" w:rsidRDefault="00FD1551" w:rsidP="00FD1551">
            <w:pPr>
              <w:spacing w:after="0" w:line="240" w:lineRule="auto"/>
              <w:jc w:val="center"/>
              <w:rPr>
                <w:rFonts w:ascii="Arial" w:eastAsia="Times New Roman" w:hAnsi="Arial" w:cs="Arial"/>
                <w:bCs/>
                <w:sz w:val="20"/>
                <w:szCs w:val="20"/>
                <w:lang w:eastAsia="pt-BR"/>
              </w:rPr>
            </w:pPr>
            <w:r w:rsidRPr="00FD1551">
              <w:rPr>
                <w:rFonts w:ascii="Arial" w:eastAsia="Times New Roman" w:hAnsi="Arial" w:cs="Arial"/>
                <w:bCs/>
                <w:sz w:val="20"/>
                <w:szCs w:val="20"/>
                <w:lang w:eastAsia="pt-BR"/>
              </w:rPr>
              <w:t>Decimal</w:t>
            </w:r>
          </w:p>
        </w:tc>
        <w:tc>
          <w:tcPr>
            <w:tcW w:w="1134" w:type="dxa"/>
            <w:tcBorders>
              <w:top w:val="nil"/>
              <w:left w:val="nil"/>
              <w:bottom w:val="single" w:sz="8" w:space="0" w:color="auto"/>
              <w:right w:val="single" w:sz="8" w:space="0" w:color="auto"/>
            </w:tcBorders>
            <w:shd w:val="clear" w:color="auto" w:fill="auto"/>
            <w:vAlign w:val="center"/>
            <w:hideMark/>
          </w:tcPr>
          <w:p w14:paraId="4190C9F0" w14:textId="77777777" w:rsidR="00FD1551" w:rsidRPr="00FD1551" w:rsidRDefault="00FD1551" w:rsidP="00FD1551">
            <w:pPr>
              <w:spacing w:after="0" w:line="240" w:lineRule="auto"/>
              <w:jc w:val="center"/>
              <w:rPr>
                <w:rFonts w:ascii="Arial" w:eastAsia="Times New Roman" w:hAnsi="Arial" w:cs="Arial"/>
                <w:bCs/>
                <w:sz w:val="20"/>
                <w:szCs w:val="20"/>
                <w:lang w:eastAsia="pt-BR"/>
              </w:rPr>
            </w:pPr>
            <w:r w:rsidRPr="00FD1551">
              <w:rPr>
                <w:rFonts w:ascii="Arial" w:eastAsia="Times New Roman" w:hAnsi="Arial" w:cs="Arial"/>
                <w:bCs/>
                <w:sz w:val="20"/>
                <w:szCs w:val="20"/>
                <w:lang w:eastAsia="pt-BR"/>
              </w:rPr>
              <w:t>(14,2)</w:t>
            </w:r>
          </w:p>
        </w:tc>
        <w:tc>
          <w:tcPr>
            <w:tcW w:w="3118" w:type="dxa"/>
            <w:tcBorders>
              <w:top w:val="nil"/>
              <w:left w:val="nil"/>
              <w:bottom w:val="single" w:sz="8" w:space="0" w:color="auto"/>
              <w:right w:val="single" w:sz="8" w:space="0" w:color="auto"/>
            </w:tcBorders>
            <w:shd w:val="clear" w:color="auto" w:fill="auto"/>
            <w:vAlign w:val="center"/>
            <w:hideMark/>
          </w:tcPr>
          <w:p w14:paraId="6A9FCA7C" w14:textId="77777777" w:rsidR="00FD1551" w:rsidRPr="00FD1551" w:rsidRDefault="00FD1551" w:rsidP="00FD1551">
            <w:pPr>
              <w:spacing w:after="0" w:line="240" w:lineRule="auto"/>
              <w:rPr>
                <w:rFonts w:ascii="Arial" w:eastAsia="Times New Roman" w:hAnsi="Arial" w:cs="Arial"/>
                <w:bCs/>
                <w:sz w:val="20"/>
                <w:szCs w:val="20"/>
                <w:lang w:eastAsia="pt-BR"/>
              </w:rPr>
            </w:pPr>
            <w:r w:rsidRPr="00FD1551">
              <w:rPr>
                <w:rFonts w:ascii="Arial" w:eastAsia="Times New Roman" w:hAnsi="Arial" w:cs="Arial"/>
                <w:bCs/>
                <w:sz w:val="20"/>
                <w:szCs w:val="20"/>
                <w:lang w:eastAsia="pt-BR"/>
              </w:rPr>
              <w:t>Obrigatório</w:t>
            </w:r>
          </w:p>
        </w:tc>
      </w:tr>
    </w:tbl>
    <w:p w14:paraId="7BBE6B6C" w14:textId="77777777" w:rsidR="00FD1551" w:rsidRPr="00FD1551" w:rsidRDefault="00FD1551" w:rsidP="00FD1551">
      <w:pPr>
        <w:autoSpaceDE w:val="0"/>
        <w:autoSpaceDN w:val="0"/>
        <w:adjustRightInd w:val="0"/>
        <w:spacing w:after="0" w:line="240" w:lineRule="auto"/>
        <w:jc w:val="both"/>
        <w:rPr>
          <w:rFonts w:ascii="Arial" w:hAnsi="Arial"/>
          <w:b/>
          <w:bCs/>
        </w:rPr>
      </w:pPr>
    </w:p>
    <w:p w14:paraId="532C1148" w14:textId="77777777" w:rsidR="00FD1551" w:rsidRPr="00344D79" w:rsidRDefault="00FD1551" w:rsidP="00FD1551">
      <w:pPr>
        <w:spacing w:after="0" w:line="240" w:lineRule="auto"/>
        <w:ind w:right="-32"/>
        <w:jc w:val="both"/>
        <w:rPr>
          <w:rFonts w:ascii="Arial" w:eastAsia="Times New Roman" w:hAnsi="Arial" w:cs="Arial"/>
          <w:sz w:val="18"/>
          <w:szCs w:val="18"/>
          <w:lang w:eastAsia="pt-BR"/>
        </w:rPr>
      </w:pPr>
      <w:r w:rsidRPr="00344D79">
        <w:rPr>
          <w:rFonts w:ascii="Arial" w:eastAsia="Times New Roman" w:hAnsi="Arial" w:cs="Arial"/>
          <w:sz w:val="18"/>
          <w:szCs w:val="18"/>
          <w:lang w:eastAsia="pt-BR"/>
        </w:rPr>
        <w:t>[1] Quando a Prestação de Contas se referir a Contas de Gestão, o Código da Unidade Gestora deverá ser o mesmo da UG que estiver prestando contas. Quando se referir a Contas de Governo, a UG Prefeitura deverá informar a movimentação de cada uma das UG´s do Município (separadamente), inclusive a sua própria movimentação, no caso do Prefeito Ordenar Despesas.</w:t>
      </w:r>
    </w:p>
    <w:p w14:paraId="5C9FEB85" w14:textId="77777777" w:rsidR="00FD1551" w:rsidRPr="00344D79" w:rsidRDefault="00FD1551" w:rsidP="00FD1551">
      <w:pPr>
        <w:spacing w:after="0" w:line="240" w:lineRule="auto"/>
        <w:ind w:right="-32"/>
        <w:jc w:val="both"/>
        <w:rPr>
          <w:rFonts w:ascii="Arial" w:eastAsia="Times New Roman" w:hAnsi="Arial" w:cs="Arial"/>
          <w:sz w:val="18"/>
          <w:szCs w:val="18"/>
          <w:lang w:eastAsia="pt-BR"/>
        </w:rPr>
      </w:pPr>
    </w:p>
    <w:p w14:paraId="7E1B2A86" w14:textId="77777777" w:rsidR="00FD1551" w:rsidRPr="00344D79" w:rsidRDefault="00FD1551" w:rsidP="007C292C">
      <w:pPr>
        <w:spacing w:after="0" w:line="240" w:lineRule="auto"/>
        <w:ind w:right="-32"/>
        <w:jc w:val="both"/>
        <w:rPr>
          <w:rFonts w:ascii="Arial" w:eastAsia="Times New Roman" w:hAnsi="Arial" w:cs="Arial"/>
          <w:sz w:val="18"/>
          <w:szCs w:val="18"/>
          <w:lang w:eastAsia="pt-BR"/>
        </w:rPr>
      </w:pPr>
      <w:r w:rsidRPr="00344D79">
        <w:rPr>
          <w:rFonts w:ascii="Arial" w:eastAsia="Times New Roman" w:hAnsi="Arial" w:cs="Arial"/>
          <w:sz w:val="18"/>
          <w:szCs w:val="18"/>
          <w:lang w:eastAsia="pt-BR"/>
        </w:rPr>
        <w:t>[2] Deverão ser informados, neste arquivo, todos os códigos contábeis (Contas de Escrituração dos Grupos 2.1 – Passivo Circulante e 2.2 – Passivo Não-Circulante, cujo Indicador de Superávit Financeiro seja igual a igual a “F” e, “X”, quando “X” for “F”), e que apresentem saldo inicial ou final diferente de zero, mesmo que não tenha havido movimentação no período. As contas que apresentarem saldo zero, mas que foram movimentadas no exercício, também deverão ser informadas.</w:t>
      </w:r>
      <w:r w:rsidR="007C292C" w:rsidRPr="00344D79">
        <w:rPr>
          <w:rFonts w:ascii="Arial" w:eastAsia="Times New Roman" w:hAnsi="Arial" w:cs="Arial"/>
          <w:sz w:val="18"/>
          <w:szCs w:val="18"/>
          <w:lang w:eastAsia="pt-BR"/>
        </w:rPr>
        <w:t xml:space="preserve"> Importante destacar que também se enquadram na situação detalhada acima os valores relativos aos empenhos liquidados (Restos a Pagar Processados)</w:t>
      </w:r>
      <w:r w:rsidR="004313CE" w:rsidRPr="00344D79">
        <w:rPr>
          <w:rFonts w:ascii="Arial" w:eastAsia="Times New Roman" w:hAnsi="Arial" w:cs="Arial"/>
          <w:sz w:val="18"/>
          <w:szCs w:val="18"/>
          <w:lang w:eastAsia="pt-BR"/>
        </w:rPr>
        <w:t xml:space="preserve"> e os empenhos em liquidação (Restos a Pagar Não Processados em Liquidação)</w:t>
      </w:r>
      <w:r w:rsidR="007C292C" w:rsidRPr="00344D79">
        <w:rPr>
          <w:rFonts w:ascii="Arial" w:eastAsia="Times New Roman" w:hAnsi="Arial" w:cs="Arial"/>
          <w:sz w:val="18"/>
          <w:szCs w:val="18"/>
          <w:lang w:eastAsia="pt-BR"/>
        </w:rPr>
        <w:t>, uma vez que tais valores constam do Passivo da Entidade com Atributo de Superávit Financeiro F.</w:t>
      </w:r>
    </w:p>
    <w:p w14:paraId="733B5561" w14:textId="77777777" w:rsidR="00FD1551" w:rsidRPr="00344D79" w:rsidRDefault="00FD1551" w:rsidP="00FD1551">
      <w:pPr>
        <w:spacing w:after="0" w:line="240" w:lineRule="auto"/>
        <w:ind w:right="-32"/>
        <w:jc w:val="both"/>
        <w:rPr>
          <w:rFonts w:ascii="Arial" w:eastAsia="Times New Roman" w:hAnsi="Arial" w:cs="Arial"/>
          <w:sz w:val="18"/>
          <w:szCs w:val="18"/>
          <w:lang w:eastAsia="pt-BR"/>
        </w:rPr>
      </w:pPr>
    </w:p>
    <w:p w14:paraId="4647706F" w14:textId="77777777" w:rsidR="00FD1551" w:rsidRPr="00344D79" w:rsidRDefault="00FD1551" w:rsidP="00FD1551">
      <w:pPr>
        <w:spacing w:after="0" w:line="240" w:lineRule="auto"/>
        <w:ind w:right="-32"/>
        <w:jc w:val="both"/>
        <w:rPr>
          <w:rFonts w:ascii="Arial" w:eastAsia="Times New Roman" w:hAnsi="Arial" w:cs="Arial"/>
          <w:sz w:val="18"/>
          <w:szCs w:val="18"/>
          <w:lang w:eastAsia="pt-BR"/>
        </w:rPr>
      </w:pPr>
      <w:r w:rsidRPr="00344D79">
        <w:rPr>
          <w:rFonts w:ascii="Arial" w:eastAsia="Times New Roman" w:hAnsi="Arial" w:cs="Arial"/>
          <w:sz w:val="18"/>
          <w:szCs w:val="18"/>
          <w:lang w:eastAsia="pt-BR"/>
        </w:rPr>
        <w:t>[3] Tipo da Consignação deve ser:</w:t>
      </w:r>
    </w:p>
    <w:p w14:paraId="3DB13874" w14:textId="77777777" w:rsidR="00FD1551" w:rsidRPr="00344D79" w:rsidRDefault="00FD1551" w:rsidP="00FD1551">
      <w:pPr>
        <w:spacing w:after="0" w:line="240" w:lineRule="auto"/>
        <w:ind w:right="-32"/>
        <w:jc w:val="both"/>
        <w:rPr>
          <w:rFonts w:ascii="Arial" w:eastAsia="Times New Roman" w:hAnsi="Arial" w:cs="Arial"/>
          <w:sz w:val="18"/>
          <w:szCs w:val="18"/>
          <w:lang w:eastAsia="pt-BR"/>
        </w:rPr>
      </w:pPr>
      <w:r w:rsidRPr="00344D79">
        <w:rPr>
          <w:rFonts w:ascii="Arial" w:eastAsia="Times New Roman" w:hAnsi="Arial" w:cs="Arial"/>
          <w:sz w:val="18"/>
          <w:szCs w:val="18"/>
          <w:lang w:eastAsia="pt-BR"/>
        </w:rPr>
        <w:t>“1” – para consignações ao RPPS – SEM SEGREGAÇÃO DE MASSA;</w:t>
      </w:r>
    </w:p>
    <w:p w14:paraId="52CF83B8" w14:textId="77777777" w:rsidR="00FD1551" w:rsidRPr="00344D79" w:rsidRDefault="00FD1551" w:rsidP="00FD1551">
      <w:pPr>
        <w:spacing w:after="0" w:line="240" w:lineRule="auto"/>
        <w:ind w:right="-32"/>
        <w:jc w:val="both"/>
        <w:rPr>
          <w:rFonts w:ascii="Arial" w:eastAsia="Times New Roman" w:hAnsi="Arial" w:cs="Arial"/>
          <w:sz w:val="18"/>
          <w:szCs w:val="18"/>
          <w:lang w:eastAsia="pt-BR"/>
        </w:rPr>
      </w:pPr>
      <w:r w:rsidRPr="00344D79">
        <w:rPr>
          <w:rFonts w:ascii="Arial" w:eastAsia="Times New Roman" w:hAnsi="Arial" w:cs="Arial"/>
          <w:sz w:val="18"/>
          <w:szCs w:val="18"/>
          <w:lang w:eastAsia="pt-BR"/>
        </w:rPr>
        <w:t>“2” – para consignações ao RPPS – COM SEGREGAÇÃO DE MASSA (PLANO PREVIDENCIÁRIO);</w:t>
      </w:r>
    </w:p>
    <w:p w14:paraId="7DFD11EA" w14:textId="77777777" w:rsidR="00FD1551" w:rsidRPr="00344D79" w:rsidRDefault="00FD1551" w:rsidP="00FD1551">
      <w:pPr>
        <w:spacing w:after="0" w:line="240" w:lineRule="auto"/>
        <w:ind w:right="-32"/>
        <w:jc w:val="both"/>
        <w:rPr>
          <w:rFonts w:ascii="Arial" w:eastAsia="Times New Roman" w:hAnsi="Arial" w:cs="Arial"/>
          <w:sz w:val="18"/>
          <w:szCs w:val="18"/>
          <w:lang w:eastAsia="pt-BR"/>
        </w:rPr>
      </w:pPr>
      <w:r w:rsidRPr="00344D79">
        <w:rPr>
          <w:rFonts w:ascii="Arial" w:eastAsia="Times New Roman" w:hAnsi="Arial" w:cs="Arial"/>
          <w:sz w:val="18"/>
          <w:szCs w:val="18"/>
          <w:lang w:eastAsia="pt-BR"/>
        </w:rPr>
        <w:t>“3” – para consignações ao RPPS – COM SEGREGAÇÃO DE MASSA (PLANO FINANCEIRO);</w:t>
      </w:r>
    </w:p>
    <w:p w14:paraId="70A549AC" w14:textId="77777777" w:rsidR="00FD1551" w:rsidRPr="00344D79" w:rsidRDefault="00FD1551" w:rsidP="00FD1551">
      <w:pPr>
        <w:spacing w:after="0" w:line="240" w:lineRule="auto"/>
        <w:ind w:right="-32"/>
        <w:jc w:val="both"/>
        <w:rPr>
          <w:rFonts w:ascii="Arial" w:eastAsia="Times New Roman" w:hAnsi="Arial" w:cs="Arial"/>
          <w:sz w:val="18"/>
          <w:szCs w:val="18"/>
          <w:lang w:eastAsia="pt-BR"/>
        </w:rPr>
      </w:pPr>
      <w:r w:rsidRPr="00344D79">
        <w:rPr>
          <w:rFonts w:ascii="Arial" w:eastAsia="Times New Roman" w:hAnsi="Arial" w:cs="Arial"/>
          <w:sz w:val="18"/>
          <w:szCs w:val="18"/>
          <w:lang w:eastAsia="pt-BR"/>
        </w:rPr>
        <w:t>“4” – para consignações ao RGPS – SERVIDORES/EMPREGADOS REGIDOS PELA CLT;</w:t>
      </w:r>
    </w:p>
    <w:p w14:paraId="10083B81" w14:textId="77777777" w:rsidR="00FD1551" w:rsidRPr="00344D79" w:rsidRDefault="00FD1551" w:rsidP="00FD1551">
      <w:pPr>
        <w:spacing w:after="0" w:line="240" w:lineRule="auto"/>
        <w:ind w:right="-32"/>
        <w:jc w:val="both"/>
        <w:rPr>
          <w:rFonts w:ascii="Arial" w:eastAsia="Times New Roman" w:hAnsi="Arial" w:cs="Arial"/>
          <w:sz w:val="18"/>
          <w:szCs w:val="18"/>
          <w:lang w:eastAsia="pt-BR"/>
        </w:rPr>
      </w:pPr>
      <w:r w:rsidRPr="00344D79">
        <w:rPr>
          <w:rFonts w:ascii="Arial" w:eastAsia="Times New Roman" w:hAnsi="Arial" w:cs="Arial"/>
          <w:sz w:val="18"/>
          <w:szCs w:val="18"/>
          <w:lang w:eastAsia="pt-BR"/>
        </w:rPr>
        <w:t>“5” – para consignações ao RGPS – SERVIÇOS DE TERCEIROS;</w:t>
      </w:r>
    </w:p>
    <w:p w14:paraId="26DF8C9F" w14:textId="77777777" w:rsidR="000F6CAF" w:rsidRPr="00344D79" w:rsidRDefault="000F6CAF" w:rsidP="00FD1551">
      <w:pPr>
        <w:spacing w:after="0" w:line="240" w:lineRule="auto"/>
        <w:ind w:right="-32"/>
        <w:jc w:val="both"/>
        <w:rPr>
          <w:rFonts w:ascii="Arial" w:eastAsia="Times New Roman" w:hAnsi="Arial" w:cs="Arial"/>
          <w:sz w:val="18"/>
          <w:szCs w:val="18"/>
          <w:lang w:eastAsia="pt-BR"/>
        </w:rPr>
      </w:pPr>
      <w:r w:rsidRPr="00344D79">
        <w:rPr>
          <w:rFonts w:ascii="Arial" w:hAnsi="Arial" w:cs="Arial"/>
          <w:sz w:val="18"/>
          <w:szCs w:val="18"/>
        </w:rPr>
        <w:t>Nota.: Este Campo será Obrigatório quando Conta Contábil for igual a 2.1.8.8.</w:t>
      </w:r>
      <w:r w:rsidR="00C8669A" w:rsidRPr="00344D79">
        <w:rPr>
          <w:rFonts w:ascii="Arial" w:hAnsi="Arial" w:cs="Arial"/>
          <w:sz w:val="18"/>
          <w:szCs w:val="18"/>
        </w:rPr>
        <w:t>2</w:t>
      </w:r>
      <w:r w:rsidRPr="00344D79">
        <w:rPr>
          <w:rFonts w:ascii="Arial" w:hAnsi="Arial" w:cs="Arial"/>
          <w:sz w:val="18"/>
          <w:szCs w:val="18"/>
        </w:rPr>
        <w:t>.01.01 RPPS - RETENÇÕES SOBRE VENCIMENTOS E VANTAGENS, 2.1.8.8.1.01.02 CONTRIBUIÇÃO AO RGPS, 2.2.8.8.1.01.01 RPPS - RETENÇÕES SOBRE VENCIMENTOS E VANTAGENS, 2.2.8.8.1.01.02 RGPS - RETENÇÕES DE CONTRIBUIÇÕES PREVIDENCIÁRIAS</w:t>
      </w:r>
    </w:p>
    <w:p w14:paraId="6922718C" w14:textId="77777777" w:rsidR="00FD1551" w:rsidRPr="00344D79" w:rsidRDefault="00FD1551" w:rsidP="00FD1551">
      <w:pPr>
        <w:spacing w:after="0" w:line="240" w:lineRule="auto"/>
        <w:ind w:right="-32"/>
        <w:jc w:val="both"/>
        <w:rPr>
          <w:rFonts w:ascii="Arial" w:eastAsia="Times New Roman" w:hAnsi="Arial" w:cs="Arial"/>
          <w:sz w:val="18"/>
          <w:szCs w:val="18"/>
          <w:lang w:eastAsia="pt-BR"/>
        </w:rPr>
      </w:pPr>
    </w:p>
    <w:p w14:paraId="797DE08A" w14:textId="77777777" w:rsidR="00FD1551" w:rsidRPr="00344D79" w:rsidRDefault="00FD1551" w:rsidP="00FD1551">
      <w:pPr>
        <w:spacing w:after="0" w:line="240" w:lineRule="auto"/>
        <w:ind w:right="-32"/>
        <w:jc w:val="both"/>
        <w:rPr>
          <w:rFonts w:ascii="Arial" w:eastAsia="Times New Roman" w:hAnsi="Arial" w:cs="Arial"/>
          <w:sz w:val="18"/>
          <w:szCs w:val="18"/>
          <w:lang w:eastAsia="pt-BR"/>
        </w:rPr>
      </w:pPr>
      <w:r w:rsidRPr="00344D79">
        <w:rPr>
          <w:rFonts w:ascii="Arial" w:eastAsia="Times New Roman" w:hAnsi="Arial" w:cs="Arial"/>
          <w:b/>
          <w:sz w:val="18"/>
          <w:szCs w:val="18"/>
          <w:u w:val="single"/>
          <w:lang w:eastAsia="pt-BR"/>
        </w:rPr>
        <w:t>Observações</w:t>
      </w:r>
      <w:r w:rsidRPr="00344D79">
        <w:rPr>
          <w:rFonts w:ascii="Arial" w:eastAsia="Times New Roman" w:hAnsi="Arial" w:cs="Arial"/>
          <w:sz w:val="18"/>
          <w:szCs w:val="18"/>
          <w:lang w:eastAsia="pt-BR"/>
        </w:rPr>
        <w:t>:</w:t>
      </w:r>
    </w:p>
    <w:p w14:paraId="6D1C0544" w14:textId="77777777" w:rsidR="00FD1551" w:rsidRPr="00344D79" w:rsidRDefault="00FD1551" w:rsidP="00FD1551">
      <w:pPr>
        <w:spacing w:after="0" w:line="240" w:lineRule="auto"/>
        <w:ind w:right="-32"/>
        <w:jc w:val="both"/>
        <w:rPr>
          <w:rFonts w:ascii="Arial" w:eastAsia="Times New Roman" w:hAnsi="Arial" w:cs="Arial"/>
          <w:sz w:val="18"/>
          <w:szCs w:val="18"/>
          <w:lang w:eastAsia="pt-BR"/>
        </w:rPr>
      </w:pPr>
    </w:p>
    <w:p w14:paraId="6702FAB6" w14:textId="77777777" w:rsidR="00FD1551" w:rsidRPr="00344D79" w:rsidRDefault="00FD1551" w:rsidP="00FD1551">
      <w:pPr>
        <w:spacing w:after="0" w:line="240" w:lineRule="auto"/>
        <w:ind w:right="-32"/>
        <w:jc w:val="both"/>
        <w:rPr>
          <w:rFonts w:ascii="Arial" w:eastAsia="Times New Roman" w:hAnsi="Arial" w:cs="Arial"/>
          <w:sz w:val="18"/>
          <w:szCs w:val="18"/>
          <w:lang w:eastAsia="pt-BR"/>
        </w:rPr>
      </w:pPr>
      <w:r w:rsidRPr="00344D79">
        <w:rPr>
          <w:rFonts w:ascii="Arial" w:eastAsia="Times New Roman" w:hAnsi="Arial" w:cs="Arial"/>
          <w:sz w:val="18"/>
          <w:szCs w:val="18"/>
          <w:lang w:eastAsia="pt-BR"/>
        </w:rPr>
        <w:t>1 </w:t>
      </w:r>
      <w:r w:rsidRPr="00344D79">
        <w:rPr>
          <w:rFonts w:ascii="Arial" w:eastAsia="Times New Roman" w:hAnsi="Arial" w:cs="Arial"/>
          <w:sz w:val="18"/>
          <w:szCs w:val="18"/>
          <w:lang w:eastAsia="pt-BR"/>
        </w:rPr>
        <w:noBreakHyphen/>
        <w:t> O Saldo Inicial de cada Conta Contábil informada deve ser igual ao Saldo Final do mesmo Código Contábil informado no exercício anterior;</w:t>
      </w:r>
    </w:p>
    <w:p w14:paraId="7858FF71" w14:textId="77777777" w:rsidR="00FD1551" w:rsidRPr="00344D79" w:rsidRDefault="00FD1551" w:rsidP="00FD1551">
      <w:pPr>
        <w:spacing w:after="0" w:line="240" w:lineRule="auto"/>
        <w:ind w:right="-32"/>
        <w:jc w:val="both"/>
        <w:rPr>
          <w:rFonts w:ascii="Arial" w:eastAsia="Times New Roman" w:hAnsi="Arial" w:cs="Arial"/>
          <w:sz w:val="18"/>
          <w:szCs w:val="18"/>
          <w:lang w:eastAsia="pt-BR"/>
        </w:rPr>
      </w:pPr>
      <w:r w:rsidRPr="00344D79">
        <w:rPr>
          <w:rFonts w:ascii="Arial" w:eastAsia="Times New Roman" w:hAnsi="Arial" w:cs="Arial"/>
          <w:sz w:val="18"/>
          <w:szCs w:val="18"/>
          <w:lang w:eastAsia="pt-BR"/>
        </w:rPr>
        <w:t>2 </w:t>
      </w:r>
      <w:r w:rsidRPr="00344D79">
        <w:rPr>
          <w:rFonts w:ascii="Arial" w:eastAsia="Times New Roman" w:hAnsi="Arial" w:cs="Arial"/>
          <w:sz w:val="18"/>
          <w:szCs w:val="18"/>
          <w:lang w:eastAsia="pt-BR"/>
        </w:rPr>
        <w:noBreakHyphen/>
        <w:t> Se a Conta Contábil possuir Saldo Inicial diferente de zero, mesmo não tendo sido movimentada no exercício de referência, os dados deverão ser informados no demonstrativo;</w:t>
      </w:r>
    </w:p>
    <w:p w14:paraId="094C7E67" w14:textId="77777777" w:rsidR="00FD1551" w:rsidRPr="00344D79" w:rsidRDefault="00FD1551" w:rsidP="00FD1551">
      <w:pPr>
        <w:spacing w:after="0" w:line="240" w:lineRule="auto"/>
        <w:ind w:right="-32"/>
        <w:jc w:val="both"/>
        <w:rPr>
          <w:rFonts w:ascii="Arial" w:eastAsia="Times New Roman" w:hAnsi="Arial" w:cs="Arial"/>
          <w:sz w:val="18"/>
          <w:szCs w:val="18"/>
          <w:lang w:eastAsia="pt-BR"/>
        </w:rPr>
      </w:pPr>
      <w:r w:rsidRPr="00344D79">
        <w:rPr>
          <w:rFonts w:ascii="Arial" w:eastAsia="Times New Roman" w:hAnsi="Arial" w:cs="Arial"/>
          <w:sz w:val="18"/>
          <w:szCs w:val="18"/>
          <w:lang w:eastAsia="pt-BR"/>
        </w:rPr>
        <w:t>3 </w:t>
      </w:r>
      <w:r w:rsidRPr="00344D79">
        <w:rPr>
          <w:rFonts w:ascii="Arial" w:eastAsia="Times New Roman" w:hAnsi="Arial" w:cs="Arial"/>
          <w:sz w:val="18"/>
          <w:szCs w:val="18"/>
          <w:lang w:eastAsia="pt-BR"/>
        </w:rPr>
        <w:noBreakHyphen/>
        <w:t> As informações relativas aos Restos a Pagar não Processados</w:t>
      </w:r>
      <w:r w:rsidR="004313CE" w:rsidRPr="00344D79">
        <w:rPr>
          <w:rFonts w:ascii="Arial" w:eastAsia="Times New Roman" w:hAnsi="Arial" w:cs="Arial"/>
          <w:sz w:val="18"/>
          <w:szCs w:val="18"/>
          <w:lang w:eastAsia="pt-BR"/>
        </w:rPr>
        <w:t xml:space="preserve"> (a Liquidar)</w:t>
      </w:r>
      <w:r w:rsidRPr="00344D79">
        <w:rPr>
          <w:rFonts w:ascii="Arial" w:eastAsia="Times New Roman" w:hAnsi="Arial" w:cs="Arial"/>
          <w:sz w:val="18"/>
          <w:szCs w:val="18"/>
          <w:lang w:eastAsia="pt-BR"/>
        </w:rPr>
        <w:t>, cujos valores não constam do Passivo da entidade (grupo 2 do plano de contas), mas nas contas de controle orçamentário (grupo 6), não devem ser encaminhadas, porém estas serão extraídas do Arquivo DEMRAP.XML para compor o relatório, por força da Lei 4.320/64.</w:t>
      </w:r>
    </w:p>
    <w:p w14:paraId="5699DBB5" w14:textId="77777777" w:rsidR="00FD1551" w:rsidRPr="00344D79" w:rsidRDefault="00FD1551" w:rsidP="00FD1551">
      <w:pPr>
        <w:spacing w:after="0" w:line="240" w:lineRule="auto"/>
        <w:ind w:right="-32"/>
        <w:jc w:val="both"/>
        <w:rPr>
          <w:rFonts w:ascii="Arial" w:eastAsia="Times New Roman" w:hAnsi="Arial" w:cs="Arial"/>
          <w:sz w:val="18"/>
          <w:szCs w:val="18"/>
          <w:lang w:eastAsia="pt-BR"/>
        </w:rPr>
      </w:pPr>
      <w:r w:rsidRPr="00344D79">
        <w:rPr>
          <w:rFonts w:ascii="Arial" w:eastAsia="Times New Roman" w:hAnsi="Arial" w:cs="Arial"/>
          <w:sz w:val="18"/>
          <w:szCs w:val="18"/>
          <w:lang w:eastAsia="pt-BR"/>
        </w:rPr>
        <w:t>4 </w:t>
      </w:r>
      <w:r w:rsidRPr="00344D79">
        <w:rPr>
          <w:rFonts w:ascii="Arial" w:eastAsia="Times New Roman" w:hAnsi="Arial" w:cs="Arial"/>
          <w:sz w:val="18"/>
          <w:szCs w:val="18"/>
          <w:lang w:eastAsia="pt-BR"/>
        </w:rPr>
        <w:noBreakHyphen/>
        <w:t xml:space="preserve"> O relatório a ser exibido pelo sistema deverá apresentar as contas e seus respectivos movimentos organizados de acordo com a estrutura hierarquizada do Plano de Contas Aplicáveis ao Setor Público do Tribunal de Constas do Estado do Espírito Santo – PCASP - TCEES, respeitando o modelo do demonstrativo. Os valores deverão ser totalizados de acordo com os grupos e subgrupos de contas contábeis apresentados no modelo. As informações relativas a Restos a Pagar não Processados </w:t>
      </w:r>
      <w:r w:rsidR="004313CE" w:rsidRPr="00344D79">
        <w:rPr>
          <w:rFonts w:ascii="Arial" w:eastAsia="Times New Roman" w:hAnsi="Arial" w:cs="Arial"/>
          <w:sz w:val="18"/>
          <w:szCs w:val="18"/>
          <w:lang w:eastAsia="pt-BR"/>
        </w:rPr>
        <w:t xml:space="preserve">- a Liquidar </w:t>
      </w:r>
      <w:r w:rsidRPr="00344D79">
        <w:rPr>
          <w:rFonts w:ascii="Arial" w:eastAsia="Times New Roman" w:hAnsi="Arial" w:cs="Arial"/>
          <w:sz w:val="18"/>
          <w:szCs w:val="18"/>
          <w:lang w:eastAsia="pt-BR"/>
        </w:rPr>
        <w:t>(contas do Grupo 6 do Plano de Contas) a serem informadas no final do demonstrativo serão extraídas do arquivo DEMRAP.XML.</w:t>
      </w:r>
    </w:p>
    <w:p w14:paraId="678E819F" w14:textId="77777777" w:rsidR="00FD1551" w:rsidRPr="00344D79" w:rsidRDefault="00FD1551" w:rsidP="00FD1551">
      <w:pPr>
        <w:jc w:val="both"/>
        <w:rPr>
          <w:rFonts w:ascii="Arial" w:eastAsia="Times New Roman" w:hAnsi="Arial" w:cs="Arial"/>
          <w:sz w:val="18"/>
          <w:szCs w:val="18"/>
          <w:lang w:eastAsia="pt-BR"/>
        </w:rPr>
      </w:pPr>
      <w:r w:rsidRPr="00344D79">
        <w:rPr>
          <w:rFonts w:ascii="Arial" w:eastAsia="Times New Roman" w:hAnsi="Arial" w:cs="Arial"/>
          <w:sz w:val="18"/>
          <w:szCs w:val="18"/>
          <w:lang w:eastAsia="pt-BR"/>
        </w:rPr>
        <w:t>5 </w:t>
      </w:r>
      <w:r w:rsidRPr="00344D79">
        <w:rPr>
          <w:rFonts w:ascii="Arial" w:eastAsia="Times New Roman" w:hAnsi="Arial" w:cs="Arial"/>
          <w:sz w:val="18"/>
          <w:szCs w:val="18"/>
          <w:lang w:eastAsia="pt-BR"/>
        </w:rPr>
        <w:noBreakHyphen/>
        <w:t> Os dados relativos à Esfera Administrativa e Unidade Gestora a serem inseridos no relatório serão os mesmos informados no cadastro da Unidade Gestora responsável pelo envio do relatório.</w:t>
      </w:r>
    </w:p>
    <w:p w14:paraId="610FACEB" w14:textId="77777777" w:rsidR="00FD1551" w:rsidRPr="00FD1551" w:rsidRDefault="00FD1551" w:rsidP="00FD1551">
      <w:pPr>
        <w:jc w:val="both"/>
        <w:rPr>
          <w:rFonts w:ascii="Arial" w:eastAsia="Times New Roman" w:hAnsi="Arial" w:cs="Arial"/>
          <w:sz w:val="20"/>
          <w:szCs w:val="20"/>
          <w:lang w:eastAsia="pt-BR"/>
        </w:rPr>
      </w:pPr>
    </w:p>
    <w:p w14:paraId="31698C63" w14:textId="7DFABE59" w:rsidR="00FD1551" w:rsidRPr="00FD1551" w:rsidRDefault="00FD1551" w:rsidP="00A60EA7">
      <w:pPr>
        <w:pStyle w:val="Ttulo3"/>
      </w:pPr>
      <w:bookmarkStart w:id="54" w:name="_Toc94806330"/>
      <w:r w:rsidRPr="00FD1551">
        <w:t>DEMDIFD.XML (ou DemonstrativoDividaFundada.xml)</w:t>
      </w:r>
      <w:bookmarkEnd w:id="54"/>
    </w:p>
    <w:p w14:paraId="393B83B6" w14:textId="173CA7E7" w:rsidR="00FD1551" w:rsidRPr="00FD1551" w:rsidRDefault="00FD1551" w:rsidP="00FD1551">
      <w:pPr>
        <w:spacing w:after="0" w:line="360" w:lineRule="auto"/>
        <w:jc w:val="both"/>
        <w:rPr>
          <w:rFonts w:ascii="Arial" w:hAnsi="Arial"/>
        </w:rPr>
      </w:pPr>
      <w:r w:rsidRPr="00FD1551">
        <w:rPr>
          <w:rFonts w:ascii="Arial" w:hAnsi="Arial"/>
          <w:b/>
          <w:bCs/>
        </w:rPr>
        <w:t>Descrição: </w:t>
      </w:r>
      <w:r w:rsidRPr="00FD1551">
        <w:rPr>
          <w:rFonts w:ascii="Arial" w:eastAsia="Times New Roman" w:hAnsi="Arial" w:cs="Arial"/>
          <w:lang w:eastAsia="pt-BR"/>
        </w:rPr>
        <w:t xml:space="preserve">Este arquivo conterá as informações referentes à Divida Fundada de cada Unidade Gestora (Anexo 16 da Lei 4.320/64), acompanhado das notas explicativas que se fizerem necessárias, conforme determina o artigo 101 da Lei 4.320/64. A unidade gestora Prefeitura deverá apresentar o demonstrativo consolidado para as Contas de Governo, por cada UG </w:t>
      </w:r>
      <w:r w:rsidRPr="00FD1551">
        <w:rPr>
          <w:rFonts w:ascii="Arial" w:eastAsia="Times New Roman" w:hAnsi="Arial" w:cs="Arial"/>
          <w:lang w:eastAsia="pt-BR"/>
        </w:rPr>
        <w:lastRenderedPageBreak/>
        <w:t>separadamente, e caso execute o orçamento, deverá também apresentar o demonstrativo da referida UG para as Contas de Gestão.</w:t>
      </w:r>
    </w:p>
    <w:p w14:paraId="3B38BD7A" w14:textId="77777777" w:rsidR="00FD1551" w:rsidRPr="00FD1551" w:rsidRDefault="00FD1551" w:rsidP="00FD1551">
      <w:pPr>
        <w:autoSpaceDE w:val="0"/>
        <w:autoSpaceDN w:val="0"/>
        <w:adjustRightInd w:val="0"/>
        <w:spacing w:after="0" w:line="240" w:lineRule="auto"/>
        <w:jc w:val="both"/>
        <w:rPr>
          <w:rFonts w:ascii="Arial" w:hAnsi="Arial"/>
          <w:b/>
          <w:bCs/>
        </w:rPr>
      </w:pPr>
    </w:p>
    <w:p w14:paraId="0AC9BB6E" w14:textId="77777777" w:rsidR="00FD1551" w:rsidRPr="00FD1551" w:rsidRDefault="00FD1551" w:rsidP="00FD1551">
      <w:pPr>
        <w:autoSpaceDE w:val="0"/>
        <w:autoSpaceDN w:val="0"/>
        <w:adjustRightInd w:val="0"/>
        <w:spacing w:after="0" w:line="240" w:lineRule="auto"/>
        <w:jc w:val="both"/>
        <w:rPr>
          <w:rFonts w:ascii="Arial" w:hAnsi="Arial"/>
          <w:b/>
          <w:bCs/>
        </w:rPr>
      </w:pPr>
      <w:r w:rsidRPr="00FD1551">
        <w:rPr>
          <w:rFonts w:ascii="Arial" w:hAnsi="Arial"/>
          <w:b/>
          <w:bCs/>
        </w:rPr>
        <w:t>Estrutura:</w:t>
      </w:r>
    </w:p>
    <w:p w14:paraId="782810B9" w14:textId="77777777" w:rsidR="00FD1551" w:rsidRPr="00FD1551" w:rsidRDefault="00FD1551" w:rsidP="00FD1551">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&lt;?xml version="1.0" encoding=“UTF-8”?&gt;</w:t>
      </w:r>
    </w:p>
    <w:p w14:paraId="34167807" w14:textId="77777777" w:rsidR="00FD1551" w:rsidRPr="00FD1551" w:rsidRDefault="00FD1551" w:rsidP="00FD1551">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&lt;PrestacaoContasAnual&gt;</w:t>
      </w:r>
    </w:p>
    <w:p w14:paraId="5D0770E5" w14:textId="77777777" w:rsidR="00FD1551" w:rsidRPr="00FD1551" w:rsidRDefault="00FD1551" w:rsidP="00FD1551">
      <w:pPr>
        <w:spacing w:after="0" w:line="240" w:lineRule="auto"/>
        <w:ind w:firstLineChars="300" w:firstLine="600"/>
        <w:rPr>
          <w:rFonts w:ascii="Arial" w:eastAsia="Times New Roman" w:hAnsi="Arial" w:cs="Arial"/>
          <w:sz w:val="20"/>
          <w:szCs w:val="20"/>
          <w:lang w:eastAsia="pt-BR"/>
        </w:rPr>
      </w:pPr>
      <w:r w:rsidRPr="00FD1551">
        <w:rPr>
          <w:rFonts w:ascii="Arial" w:eastAsia="Times New Roman" w:hAnsi="Arial" w:cs="Arial"/>
          <w:sz w:val="20"/>
          <w:szCs w:val="20"/>
          <w:lang w:eastAsia="pt-BR"/>
        </w:rPr>
        <w:t>&lt;DemonstrativoDividaFundada_Schema&gt;</w:t>
      </w:r>
    </w:p>
    <w:p w14:paraId="0182DE8E" w14:textId="77777777" w:rsidR="00FD1551" w:rsidRPr="00FD1551" w:rsidRDefault="00FD1551" w:rsidP="00FD1551">
      <w:pPr>
        <w:spacing w:after="0" w:line="240" w:lineRule="auto"/>
        <w:ind w:firstLineChars="600" w:firstLine="1200"/>
        <w:rPr>
          <w:rFonts w:ascii="Arial" w:eastAsia="Times New Roman" w:hAnsi="Arial" w:cs="Arial"/>
          <w:sz w:val="20"/>
          <w:szCs w:val="20"/>
          <w:lang w:eastAsia="pt-BR"/>
        </w:rPr>
      </w:pPr>
    </w:p>
    <w:p w14:paraId="14A0AD81" w14:textId="77777777" w:rsidR="00FD1551" w:rsidRPr="00FD1551" w:rsidRDefault="00FD1551" w:rsidP="00FD1551">
      <w:pPr>
        <w:spacing w:after="0" w:line="240" w:lineRule="auto"/>
        <w:ind w:firstLineChars="600" w:firstLine="1200"/>
        <w:rPr>
          <w:rFonts w:ascii="Arial" w:eastAsia="Times New Roman" w:hAnsi="Arial" w:cs="Arial"/>
          <w:sz w:val="20"/>
          <w:szCs w:val="20"/>
          <w:lang w:eastAsia="pt-BR"/>
        </w:rPr>
      </w:pPr>
      <w:r w:rsidRPr="00FD1551">
        <w:rPr>
          <w:rFonts w:ascii="Arial" w:eastAsia="Times New Roman" w:hAnsi="Arial" w:cs="Arial"/>
          <w:sz w:val="20"/>
          <w:szCs w:val="20"/>
          <w:lang w:eastAsia="pt-BR"/>
        </w:rPr>
        <w:t>&lt;DemonstrativoDividaFundada&gt;</w:t>
      </w:r>
    </w:p>
    <w:p w14:paraId="732CDF04" w14:textId="77777777" w:rsidR="00FD1551" w:rsidRPr="00FD1551" w:rsidRDefault="00FD1551" w:rsidP="00FD1551">
      <w:pPr>
        <w:spacing w:after="0" w:line="240" w:lineRule="auto"/>
        <w:ind w:firstLineChars="900" w:firstLine="1800"/>
        <w:rPr>
          <w:rFonts w:ascii="Arial" w:eastAsia="Times New Roman" w:hAnsi="Arial" w:cs="Arial"/>
          <w:sz w:val="20"/>
          <w:szCs w:val="20"/>
          <w:lang w:eastAsia="pt-BR"/>
        </w:rPr>
      </w:pPr>
      <w:r w:rsidRPr="00FD1551">
        <w:rPr>
          <w:rFonts w:ascii="Arial" w:eastAsia="Times New Roman" w:hAnsi="Arial" w:cs="Arial"/>
          <w:sz w:val="20"/>
          <w:szCs w:val="20"/>
          <w:lang w:eastAsia="pt-BR"/>
        </w:rPr>
        <w:t>&lt;IdNumRegistro&gt;</w:t>
      </w:r>
      <w:r w:rsidRPr="00FD1551">
        <w:rPr>
          <w:rFonts w:ascii="Arial" w:eastAsia="Times New Roman" w:hAnsi="Arial" w:cs="Arial"/>
          <w:b/>
          <w:sz w:val="20"/>
          <w:szCs w:val="20"/>
          <w:lang w:eastAsia="pt-BR"/>
        </w:rPr>
        <w:t>99999</w:t>
      </w:r>
      <w:r w:rsidRPr="00FD1551">
        <w:rPr>
          <w:rFonts w:ascii="Arial" w:eastAsia="Times New Roman" w:hAnsi="Arial" w:cs="Arial"/>
          <w:sz w:val="20"/>
          <w:szCs w:val="20"/>
          <w:lang w:eastAsia="pt-BR"/>
        </w:rPr>
        <w:t>&lt;/IdNumRegistro&gt;</w:t>
      </w:r>
    </w:p>
    <w:p w14:paraId="1B7487CA" w14:textId="77777777" w:rsidR="00FD1551" w:rsidRPr="00FD1551" w:rsidRDefault="00FD1551" w:rsidP="00FD1551">
      <w:pPr>
        <w:spacing w:after="0" w:line="240" w:lineRule="auto"/>
        <w:ind w:firstLineChars="900" w:firstLine="1800"/>
        <w:rPr>
          <w:rFonts w:ascii="Arial" w:eastAsia="Times New Roman" w:hAnsi="Arial" w:cs="Arial"/>
          <w:sz w:val="20"/>
          <w:szCs w:val="20"/>
          <w:lang w:eastAsia="pt-BR"/>
        </w:rPr>
      </w:pPr>
      <w:r w:rsidRPr="00FD1551">
        <w:rPr>
          <w:rFonts w:ascii="Arial" w:eastAsia="Times New Roman" w:hAnsi="Arial" w:cs="Arial"/>
          <w:sz w:val="20"/>
          <w:szCs w:val="20"/>
          <w:lang w:eastAsia="pt-BR"/>
        </w:rPr>
        <w:t>&lt;CodigoUnidadeGestora&gt;</w:t>
      </w:r>
      <w:r w:rsidRPr="00FD1551">
        <w:rPr>
          <w:rFonts w:ascii="Arial" w:eastAsia="Times New Roman" w:hAnsi="Arial" w:cs="Arial"/>
          <w:b/>
          <w:sz w:val="20"/>
          <w:szCs w:val="20"/>
          <w:lang w:eastAsia="pt-BR"/>
        </w:rPr>
        <w:t>XXXXXXXXXXX</w:t>
      </w:r>
      <w:r w:rsidRPr="00FD1551">
        <w:rPr>
          <w:rFonts w:ascii="Arial" w:eastAsia="Times New Roman" w:hAnsi="Arial" w:cs="Arial"/>
          <w:sz w:val="20"/>
          <w:szCs w:val="20"/>
          <w:lang w:eastAsia="pt-BR"/>
        </w:rPr>
        <w:t>&lt;/CodigoUnidadeGestora&gt;</w:t>
      </w:r>
    </w:p>
    <w:p w14:paraId="608A1ED5" w14:textId="77777777" w:rsidR="00FD1551" w:rsidRPr="00FD1551" w:rsidRDefault="00FD1551" w:rsidP="00FD1551">
      <w:pPr>
        <w:spacing w:after="0" w:line="240" w:lineRule="auto"/>
        <w:ind w:firstLineChars="900" w:firstLine="1800"/>
        <w:rPr>
          <w:rFonts w:ascii="Arial" w:eastAsia="Times New Roman" w:hAnsi="Arial" w:cs="Arial"/>
          <w:sz w:val="20"/>
          <w:szCs w:val="20"/>
          <w:lang w:eastAsia="pt-BR"/>
        </w:rPr>
      </w:pPr>
      <w:r w:rsidRPr="00FD1551">
        <w:rPr>
          <w:rFonts w:ascii="Arial" w:eastAsia="Times New Roman" w:hAnsi="Arial" w:cs="Arial"/>
          <w:sz w:val="20"/>
          <w:szCs w:val="20"/>
          <w:lang w:eastAsia="pt-BR"/>
        </w:rPr>
        <w:t>&lt;CodigoContabil&gt;</w:t>
      </w:r>
      <w:r w:rsidRPr="00FD1551">
        <w:rPr>
          <w:rFonts w:ascii="Arial" w:eastAsia="Times New Roman" w:hAnsi="Arial" w:cs="Arial"/>
          <w:b/>
          <w:sz w:val="20"/>
          <w:szCs w:val="20"/>
          <w:lang w:eastAsia="pt-BR"/>
        </w:rPr>
        <w:t>999999999</w:t>
      </w:r>
      <w:r w:rsidRPr="00FD1551">
        <w:rPr>
          <w:rFonts w:ascii="Arial" w:eastAsia="Times New Roman" w:hAnsi="Arial" w:cs="Arial"/>
          <w:sz w:val="20"/>
          <w:szCs w:val="20"/>
          <w:lang w:eastAsia="pt-BR"/>
        </w:rPr>
        <w:t>&lt;/CodigoContabil&gt;</w:t>
      </w:r>
    </w:p>
    <w:p w14:paraId="2DCDB20A" w14:textId="77777777" w:rsidR="00FD1551" w:rsidRPr="00FD1551" w:rsidRDefault="00FD1551" w:rsidP="00FD1551">
      <w:pPr>
        <w:spacing w:after="0" w:line="240" w:lineRule="auto"/>
        <w:ind w:firstLineChars="900" w:firstLine="1800"/>
        <w:rPr>
          <w:rFonts w:ascii="Arial" w:eastAsia="Times New Roman" w:hAnsi="Arial" w:cs="Arial"/>
          <w:sz w:val="20"/>
          <w:szCs w:val="20"/>
          <w:lang w:eastAsia="pt-BR"/>
        </w:rPr>
      </w:pPr>
      <w:r w:rsidRPr="00FD1551">
        <w:rPr>
          <w:rFonts w:ascii="Arial" w:eastAsia="Times New Roman" w:hAnsi="Arial" w:cs="Arial"/>
          <w:sz w:val="20"/>
          <w:szCs w:val="20"/>
          <w:lang w:eastAsia="pt-BR"/>
        </w:rPr>
        <w:t>&lt;ClassificacaoDivida&gt;</w:t>
      </w:r>
      <w:r w:rsidRPr="00FD1551">
        <w:rPr>
          <w:rFonts w:ascii="Arial" w:eastAsia="Times New Roman" w:hAnsi="Arial" w:cs="Arial"/>
          <w:b/>
          <w:sz w:val="20"/>
          <w:szCs w:val="20"/>
          <w:lang w:eastAsia="pt-BR"/>
        </w:rPr>
        <w:t>9</w:t>
      </w:r>
      <w:r w:rsidRPr="00FD1551">
        <w:rPr>
          <w:rFonts w:ascii="Arial" w:eastAsia="Times New Roman" w:hAnsi="Arial" w:cs="Arial"/>
          <w:sz w:val="20"/>
          <w:szCs w:val="20"/>
          <w:lang w:eastAsia="pt-BR"/>
        </w:rPr>
        <w:t>&lt;/ClassificacaoDivida&gt;</w:t>
      </w:r>
    </w:p>
    <w:p w14:paraId="4733E93F" w14:textId="77777777" w:rsidR="00FD1551" w:rsidRPr="00FD1551" w:rsidRDefault="00FD1551" w:rsidP="00FD1551">
      <w:pPr>
        <w:spacing w:after="0" w:line="240" w:lineRule="auto"/>
        <w:ind w:firstLineChars="900" w:firstLine="1800"/>
        <w:rPr>
          <w:rFonts w:ascii="Arial" w:eastAsia="Times New Roman" w:hAnsi="Arial" w:cs="Arial"/>
          <w:sz w:val="20"/>
          <w:szCs w:val="20"/>
          <w:lang w:eastAsia="pt-BR"/>
        </w:rPr>
      </w:pPr>
      <w:r w:rsidRPr="00FD1551">
        <w:rPr>
          <w:rFonts w:ascii="Arial" w:eastAsia="Times New Roman" w:hAnsi="Arial" w:cs="Arial"/>
          <w:sz w:val="20"/>
          <w:szCs w:val="20"/>
          <w:lang w:eastAsia="pt-BR"/>
        </w:rPr>
        <w:t>&lt;DescricaoDivida&gt;</w:t>
      </w:r>
      <w:r w:rsidRPr="00FD1551">
        <w:rPr>
          <w:rFonts w:ascii="Arial" w:eastAsia="Times New Roman" w:hAnsi="Arial" w:cs="Arial"/>
          <w:b/>
          <w:sz w:val="20"/>
          <w:szCs w:val="20"/>
          <w:lang w:eastAsia="pt-BR"/>
        </w:rPr>
        <w:t>XXX...XXX</w:t>
      </w:r>
      <w:r w:rsidRPr="00FD1551">
        <w:rPr>
          <w:rFonts w:ascii="Arial" w:eastAsia="Times New Roman" w:hAnsi="Arial" w:cs="Arial"/>
          <w:sz w:val="20"/>
          <w:szCs w:val="20"/>
          <w:lang w:eastAsia="pt-BR"/>
        </w:rPr>
        <w:t>&lt;/DescricaoDivida&gt;</w:t>
      </w:r>
    </w:p>
    <w:p w14:paraId="2D87F7E5" w14:textId="77777777" w:rsidR="00FD1551" w:rsidRPr="00FD1551" w:rsidRDefault="00FD1551" w:rsidP="00FD1551">
      <w:pPr>
        <w:spacing w:after="0" w:line="240" w:lineRule="auto"/>
        <w:ind w:firstLineChars="900" w:firstLine="1800"/>
        <w:rPr>
          <w:rFonts w:ascii="Arial" w:eastAsia="Times New Roman" w:hAnsi="Arial" w:cs="Arial"/>
          <w:sz w:val="20"/>
          <w:szCs w:val="20"/>
          <w:lang w:eastAsia="pt-BR"/>
        </w:rPr>
      </w:pPr>
      <w:r w:rsidRPr="00FD1551">
        <w:rPr>
          <w:rFonts w:ascii="Arial" w:eastAsia="Times New Roman" w:hAnsi="Arial" w:cs="Arial"/>
          <w:sz w:val="20"/>
          <w:szCs w:val="20"/>
          <w:lang w:eastAsia="pt-BR"/>
        </w:rPr>
        <w:t>&lt;SaldoInicial&gt;</w:t>
      </w:r>
      <w:r w:rsidRPr="00FD1551">
        <w:rPr>
          <w:rFonts w:ascii="Arial" w:eastAsia="Times New Roman" w:hAnsi="Arial" w:cs="Arial"/>
          <w:b/>
          <w:sz w:val="20"/>
          <w:szCs w:val="20"/>
          <w:lang w:eastAsia="pt-BR"/>
        </w:rPr>
        <w:t>99999999999999.99</w:t>
      </w:r>
      <w:r w:rsidRPr="00FD1551">
        <w:rPr>
          <w:rFonts w:ascii="Arial" w:eastAsia="Times New Roman" w:hAnsi="Arial" w:cs="Arial"/>
          <w:sz w:val="20"/>
          <w:szCs w:val="20"/>
          <w:lang w:eastAsia="pt-BR"/>
        </w:rPr>
        <w:t xml:space="preserve">&lt;/SaldoInicial&gt; </w:t>
      </w:r>
    </w:p>
    <w:p w14:paraId="543DD625" w14:textId="77777777" w:rsidR="00FD1551" w:rsidRPr="00FD1551" w:rsidRDefault="00FD1551" w:rsidP="00FD1551">
      <w:pPr>
        <w:spacing w:after="0" w:line="240" w:lineRule="auto"/>
        <w:ind w:firstLineChars="900" w:firstLine="1800"/>
        <w:rPr>
          <w:rFonts w:ascii="Arial" w:eastAsia="Times New Roman" w:hAnsi="Arial" w:cs="Arial"/>
          <w:sz w:val="20"/>
          <w:szCs w:val="20"/>
          <w:lang w:eastAsia="pt-BR"/>
        </w:rPr>
      </w:pPr>
      <w:r w:rsidRPr="00FD1551">
        <w:rPr>
          <w:rFonts w:ascii="Arial" w:eastAsia="Times New Roman" w:hAnsi="Arial" w:cs="Arial"/>
          <w:sz w:val="20"/>
          <w:szCs w:val="20"/>
          <w:lang w:eastAsia="pt-BR"/>
        </w:rPr>
        <w:t>&lt;EmissaoDivida&gt;</w:t>
      </w:r>
      <w:r w:rsidRPr="00FD1551">
        <w:rPr>
          <w:rFonts w:ascii="Arial" w:eastAsia="Times New Roman" w:hAnsi="Arial" w:cs="Arial"/>
          <w:b/>
          <w:sz w:val="20"/>
          <w:szCs w:val="20"/>
          <w:lang w:eastAsia="pt-BR"/>
        </w:rPr>
        <w:t>99999999999999.99</w:t>
      </w:r>
      <w:r w:rsidRPr="00FD1551">
        <w:rPr>
          <w:rFonts w:ascii="Arial" w:eastAsia="Times New Roman" w:hAnsi="Arial" w:cs="Arial"/>
          <w:sz w:val="20"/>
          <w:szCs w:val="20"/>
          <w:lang w:eastAsia="pt-BR"/>
        </w:rPr>
        <w:t>&lt;/EmissaoDivida &gt;</w:t>
      </w:r>
    </w:p>
    <w:p w14:paraId="634D2DFE" w14:textId="77777777" w:rsidR="00FD1551" w:rsidRPr="00FD1551" w:rsidRDefault="00FD1551" w:rsidP="00FD1551">
      <w:pPr>
        <w:spacing w:after="0" w:line="240" w:lineRule="auto"/>
        <w:ind w:firstLineChars="900" w:firstLine="1800"/>
        <w:rPr>
          <w:rFonts w:ascii="Arial" w:eastAsia="Times New Roman" w:hAnsi="Arial" w:cs="Arial"/>
          <w:sz w:val="20"/>
          <w:szCs w:val="20"/>
          <w:lang w:eastAsia="pt-BR"/>
        </w:rPr>
      </w:pPr>
      <w:r w:rsidRPr="00FD1551">
        <w:rPr>
          <w:rFonts w:ascii="Arial" w:eastAsia="Times New Roman" w:hAnsi="Arial" w:cs="Arial"/>
          <w:sz w:val="20"/>
          <w:szCs w:val="20"/>
          <w:lang w:eastAsia="pt-BR"/>
        </w:rPr>
        <w:t>&lt;Atualizacao&gt;</w:t>
      </w:r>
      <w:r w:rsidRPr="00FD1551">
        <w:rPr>
          <w:rFonts w:ascii="Arial" w:eastAsia="Times New Roman" w:hAnsi="Arial" w:cs="Arial"/>
          <w:b/>
          <w:sz w:val="20"/>
          <w:szCs w:val="20"/>
          <w:lang w:eastAsia="pt-BR"/>
        </w:rPr>
        <w:t>99999999999999.99</w:t>
      </w:r>
      <w:r w:rsidRPr="00FD1551">
        <w:rPr>
          <w:rFonts w:ascii="Arial" w:eastAsia="Times New Roman" w:hAnsi="Arial" w:cs="Arial"/>
          <w:sz w:val="20"/>
          <w:szCs w:val="20"/>
          <w:lang w:eastAsia="pt-BR"/>
        </w:rPr>
        <w:t>&lt;/Atualizacao&gt;</w:t>
      </w:r>
    </w:p>
    <w:p w14:paraId="22EA6056" w14:textId="77777777" w:rsidR="00FD1551" w:rsidRPr="00FD1551" w:rsidRDefault="00FD1551" w:rsidP="00FD1551">
      <w:pPr>
        <w:spacing w:after="0" w:line="240" w:lineRule="auto"/>
        <w:ind w:firstLineChars="900" w:firstLine="1800"/>
        <w:rPr>
          <w:rFonts w:ascii="Arial" w:eastAsia="Times New Roman" w:hAnsi="Arial" w:cs="Arial"/>
          <w:sz w:val="20"/>
          <w:szCs w:val="20"/>
          <w:lang w:eastAsia="pt-BR"/>
        </w:rPr>
      </w:pPr>
      <w:r w:rsidRPr="00FD1551">
        <w:rPr>
          <w:rFonts w:ascii="Arial" w:eastAsia="Times New Roman" w:hAnsi="Arial" w:cs="Arial"/>
          <w:sz w:val="20"/>
          <w:szCs w:val="20"/>
          <w:lang w:eastAsia="pt-BR"/>
        </w:rPr>
        <w:t>&lt;Encargo&gt;</w:t>
      </w:r>
      <w:r w:rsidRPr="00FD1551">
        <w:rPr>
          <w:rFonts w:ascii="Arial" w:eastAsia="Times New Roman" w:hAnsi="Arial" w:cs="Arial"/>
          <w:b/>
          <w:sz w:val="20"/>
          <w:szCs w:val="20"/>
          <w:lang w:eastAsia="pt-BR"/>
        </w:rPr>
        <w:t>99999999999999.99</w:t>
      </w:r>
      <w:r w:rsidRPr="00FD1551">
        <w:rPr>
          <w:rFonts w:ascii="Arial" w:eastAsia="Times New Roman" w:hAnsi="Arial" w:cs="Arial"/>
          <w:sz w:val="20"/>
          <w:szCs w:val="20"/>
          <w:lang w:eastAsia="pt-BR"/>
        </w:rPr>
        <w:t>&lt;/Encargo&gt;</w:t>
      </w:r>
    </w:p>
    <w:p w14:paraId="147E8EC6" w14:textId="77777777" w:rsidR="00FD1551" w:rsidRPr="00FD1551" w:rsidRDefault="00FD1551" w:rsidP="00FD1551">
      <w:pPr>
        <w:spacing w:after="0" w:line="240" w:lineRule="auto"/>
        <w:ind w:firstLineChars="900" w:firstLine="1800"/>
        <w:rPr>
          <w:rFonts w:ascii="Arial" w:eastAsia="Times New Roman" w:hAnsi="Arial" w:cs="Arial"/>
          <w:sz w:val="20"/>
          <w:szCs w:val="20"/>
          <w:lang w:eastAsia="pt-BR"/>
        </w:rPr>
      </w:pPr>
      <w:r w:rsidRPr="00FD1551">
        <w:rPr>
          <w:rFonts w:ascii="Arial" w:eastAsia="Times New Roman" w:hAnsi="Arial" w:cs="Arial"/>
          <w:sz w:val="20"/>
          <w:szCs w:val="20"/>
          <w:lang w:eastAsia="pt-BR"/>
        </w:rPr>
        <w:t>&lt;Cancelamento&gt;</w:t>
      </w:r>
      <w:r w:rsidRPr="00FD1551">
        <w:rPr>
          <w:rFonts w:ascii="Arial" w:eastAsia="Times New Roman" w:hAnsi="Arial" w:cs="Arial"/>
          <w:b/>
          <w:sz w:val="20"/>
          <w:szCs w:val="20"/>
          <w:lang w:eastAsia="pt-BR"/>
        </w:rPr>
        <w:t>99999999999999.99</w:t>
      </w:r>
      <w:r w:rsidRPr="00FD1551">
        <w:rPr>
          <w:rFonts w:ascii="Arial" w:eastAsia="Times New Roman" w:hAnsi="Arial" w:cs="Arial"/>
          <w:sz w:val="20"/>
          <w:szCs w:val="20"/>
          <w:lang w:eastAsia="pt-BR"/>
        </w:rPr>
        <w:t>&lt;/Cancelamento&gt;</w:t>
      </w:r>
    </w:p>
    <w:p w14:paraId="5637F900" w14:textId="77777777" w:rsidR="00FD1551" w:rsidRPr="00FD1551" w:rsidRDefault="00FD1551" w:rsidP="00FD1551">
      <w:pPr>
        <w:spacing w:after="0" w:line="240" w:lineRule="auto"/>
        <w:ind w:firstLineChars="900" w:firstLine="1800"/>
        <w:rPr>
          <w:rFonts w:ascii="Arial" w:eastAsia="Times New Roman" w:hAnsi="Arial" w:cs="Arial"/>
          <w:sz w:val="20"/>
          <w:szCs w:val="20"/>
          <w:lang w:eastAsia="pt-BR"/>
        </w:rPr>
      </w:pPr>
      <w:r w:rsidRPr="00FD1551">
        <w:rPr>
          <w:rFonts w:ascii="Arial" w:eastAsia="Times New Roman" w:hAnsi="Arial" w:cs="Arial"/>
          <w:sz w:val="20"/>
          <w:szCs w:val="20"/>
          <w:lang w:eastAsia="pt-BR"/>
        </w:rPr>
        <w:t>&lt;Amortizacao&gt;</w:t>
      </w:r>
      <w:r w:rsidRPr="00FD1551">
        <w:rPr>
          <w:rFonts w:ascii="Arial" w:eastAsia="Times New Roman" w:hAnsi="Arial" w:cs="Arial"/>
          <w:b/>
          <w:sz w:val="20"/>
          <w:szCs w:val="20"/>
          <w:lang w:eastAsia="pt-BR"/>
        </w:rPr>
        <w:t>99999999999999.99</w:t>
      </w:r>
      <w:r w:rsidRPr="00FD1551">
        <w:rPr>
          <w:rFonts w:ascii="Arial" w:eastAsia="Times New Roman" w:hAnsi="Arial" w:cs="Arial"/>
          <w:sz w:val="20"/>
          <w:szCs w:val="20"/>
          <w:lang w:eastAsia="pt-BR"/>
        </w:rPr>
        <w:t xml:space="preserve">&lt;/Amortizacao&gt; </w:t>
      </w:r>
    </w:p>
    <w:p w14:paraId="3C58623F" w14:textId="77777777" w:rsidR="00FD1551" w:rsidRPr="00FD1551" w:rsidRDefault="00FD1551" w:rsidP="00FD1551">
      <w:pPr>
        <w:spacing w:after="0" w:line="240" w:lineRule="auto"/>
        <w:ind w:firstLineChars="900" w:firstLine="1800"/>
        <w:rPr>
          <w:rFonts w:ascii="Arial" w:eastAsia="Times New Roman" w:hAnsi="Arial" w:cs="Arial"/>
          <w:sz w:val="20"/>
          <w:szCs w:val="20"/>
          <w:lang w:eastAsia="pt-BR"/>
        </w:rPr>
      </w:pPr>
      <w:r w:rsidRPr="00FD1551">
        <w:rPr>
          <w:rFonts w:ascii="Arial" w:eastAsia="Times New Roman" w:hAnsi="Arial" w:cs="Arial"/>
          <w:sz w:val="20"/>
          <w:szCs w:val="20"/>
          <w:lang w:eastAsia="pt-BR"/>
        </w:rPr>
        <w:t>&lt;SaldoFinal&gt;</w:t>
      </w:r>
      <w:r w:rsidRPr="00FD1551">
        <w:rPr>
          <w:rFonts w:ascii="Arial" w:eastAsia="Times New Roman" w:hAnsi="Arial" w:cs="Arial"/>
          <w:b/>
          <w:sz w:val="20"/>
          <w:szCs w:val="20"/>
          <w:lang w:eastAsia="pt-BR"/>
        </w:rPr>
        <w:t>99999999999999.99</w:t>
      </w:r>
      <w:r w:rsidRPr="00FD1551">
        <w:rPr>
          <w:rFonts w:ascii="Arial" w:eastAsia="Times New Roman" w:hAnsi="Arial" w:cs="Arial"/>
          <w:sz w:val="20"/>
          <w:szCs w:val="20"/>
          <w:lang w:eastAsia="pt-BR"/>
        </w:rPr>
        <w:t xml:space="preserve">&lt;/SaldoFinal&gt; </w:t>
      </w:r>
    </w:p>
    <w:p w14:paraId="25BDDE49" w14:textId="77777777" w:rsidR="00FD1551" w:rsidRPr="00FD1551" w:rsidRDefault="00FD1551" w:rsidP="00FD1551">
      <w:pPr>
        <w:spacing w:after="0" w:line="240" w:lineRule="auto"/>
        <w:ind w:firstLineChars="600" w:firstLine="1200"/>
        <w:rPr>
          <w:rFonts w:ascii="Arial" w:eastAsia="Times New Roman" w:hAnsi="Arial" w:cs="Arial"/>
          <w:sz w:val="20"/>
          <w:szCs w:val="20"/>
          <w:lang w:eastAsia="pt-BR"/>
        </w:rPr>
      </w:pPr>
      <w:r w:rsidRPr="00FD1551">
        <w:rPr>
          <w:rFonts w:ascii="Arial" w:eastAsia="Times New Roman" w:hAnsi="Arial" w:cs="Arial"/>
          <w:sz w:val="20"/>
          <w:szCs w:val="20"/>
          <w:lang w:eastAsia="pt-BR"/>
        </w:rPr>
        <w:t>&lt;/DemonstrativoDividaFundada&gt;</w:t>
      </w:r>
    </w:p>
    <w:p w14:paraId="72CC9040" w14:textId="77777777" w:rsidR="00FD1551" w:rsidRPr="00FD1551" w:rsidRDefault="00FD1551" w:rsidP="00FD1551">
      <w:pPr>
        <w:spacing w:after="0" w:line="240" w:lineRule="auto"/>
        <w:ind w:firstLineChars="300" w:firstLine="600"/>
        <w:rPr>
          <w:rFonts w:ascii="Arial" w:eastAsia="Times New Roman" w:hAnsi="Arial" w:cs="Arial"/>
          <w:sz w:val="20"/>
          <w:szCs w:val="20"/>
          <w:lang w:eastAsia="pt-BR"/>
        </w:rPr>
      </w:pPr>
    </w:p>
    <w:p w14:paraId="2CC6EC66" w14:textId="77777777" w:rsidR="00FD1551" w:rsidRPr="00FD1551" w:rsidRDefault="00FD1551" w:rsidP="00FD1551">
      <w:pPr>
        <w:spacing w:after="0" w:line="240" w:lineRule="auto"/>
        <w:ind w:firstLineChars="300" w:firstLine="600"/>
        <w:rPr>
          <w:rFonts w:ascii="Arial" w:eastAsia="Times New Roman" w:hAnsi="Arial" w:cs="Arial"/>
          <w:sz w:val="20"/>
          <w:szCs w:val="20"/>
          <w:lang w:eastAsia="pt-BR"/>
        </w:rPr>
      </w:pPr>
      <w:r w:rsidRPr="00FD1551">
        <w:rPr>
          <w:rFonts w:ascii="Arial" w:eastAsia="Times New Roman" w:hAnsi="Arial" w:cs="Arial"/>
          <w:sz w:val="20"/>
          <w:szCs w:val="20"/>
          <w:lang w:eastAsia="pt-BR"/>
        </w:rPr>
        <w:t>&lt;/DemonstrativoDividaFundada_Schema&gt;</w:t>
      </w:r>
    </w:p>
    <w:p w14:paraId="6667D65A" w14:textId="77777777" w:rsidR="00FD1551" w:rsidRPr="00FD1551" w:rsidRDefault="00FD1551" w:rsidP="00FD1551">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&lt;/PrestacaoContasAnual&gt;</w:t>
      </w:r>
    </w:p>
    <w:p w14:paraId="3897179B" w14:textId="77777777" w:rsidR="00FD1551" w:rsidRPr="00FD1551" w:rsidRDefault="00FD1551" w:rsidP="00FD1551">
      <w:pPr>
        <w:jc w:val="both"/>
        <w:rPr>
          <w:rFonts w:ascii="Arial" w:hAnsi="Arial" w:cs="Arial"/>
          <w:sz w:val="20"/>
          <w:szCs w:val="20"/>
          <w:lang w:eastAsia="pt-BR"/>
        </w:rPr>
      </w:pPr>
    </w:p>
    <w:tbl>
      <w:tblPr>
        <w:tblW w:w="9294" w:type="dxa"/>
        <w:tblInd w:w="55" w:type="dxa"/>
        <w:tblLayout w:type="fixed"/>
        <w:tblCellMar>
          <w:left w:w="70" w:type="dxa"/>
          <w:right w:w="70" w:type="dxa"/>
        </w:tblCellMar>
        <w:tblLook w:val="04A0" w:firstRow="1" w:lastRow="0" w:firstColumn="1" w:lastColumn="0" w:noHBand="0" w:noVBand="1"/>
      </w:tblPr>
      <w:tblGrid>
        <w:gridCol w:w="3417"/>
        <w:gridCol w:w="1276"/>
        <w:gridCol w:w="1276"/>
        <w:gridCol w:w="3325"/>
      </w:tblGrid>
      <w:tr w:rsidR="00FD1551" w:rsidRPr="00FD1551" w14:paraId="0AD02AE0" w14:textId="77777777" w:rsidTr="00FD1551">
        <w:trPr>
          <w:trHeight w:val="330"/>
        </w:trPr>
        <w:tc>
          <w:tcPr>
            <w:tcW w:w="3417" w:type="dxa"/>
            <w:tcBorders>
              <w:top w:val="single" w:sz="8" w:space="0" w:color="auto"/>
              <w:left w:val="single" w:sz="8" w:space="0" w:color="auto"/>
              <w:bottom w:val="single" w:sz="8" w:space="0" w:color="auto"/>
              <w:right w:val="single" w:sz="8" w:space="0" w:color="auto"/>
            </w:tcBorders>
            <w:shd w:val="clear" w:color="000000" w:fill="C0C0C0"/>
            <w:vAlign w:val="center"/>
            <w:hideMark/>
          </w:tcPr>
          <w:p w14:paraId="17717824" w14:textId="77777777" w:rsidR="00FD1551" w:rsidRPr="00FD1551" w:rsidRDefault="00FD1551" w:rsidP="00FD1551">
            <w:pPr>
              <w:spacing w:after="0" w:line="240" w:lineRule="auto"/>
              <w:jc w:val="center"/>
              <w:rPr>
                <w:rFonts w:ascii="Arial" w:eastAsia="Times New Roman" w:hAnsi="Arial" w:cs="Arial"/>
                <w:b/>
                <w:bCs/>
                <w:sz w:val="20"/>
                <w:szCs w:val="20"/>
                <w:lang w:eastAsia="pt-BR"/>
              </w:rPr>
            </w:pPr>
            <w:r w:rsidRPr="00FD1551">
              <w:rPr>
                <w:rFonts w:ascii="Arial" w:eastAsia="Times New Roman" w:hAnsi="Arial" w:cs="Arial"/>
                <w:b/>
                <w:bCs/>
                <w:sz w:val="20"/>
                <w:szCs w:val="20"/>
                <w:lang w:eastAsia="pt-BR"/>
              </w:rPr>
              <w:t>Campo</w:t>
            </w:r>
          </w:p>
        </w:tc>
        <w:tc>
          <w:tcPr>
            <w:tcW w:w="1276" w:type="dxa"/>
            <w:tcBorders>
              <w:top w:val="single" w:sz="8" w:space="0" w:color="auto"/>
              <w:left w:val="nil"/>
              <w:bottom w:val="single" w:sz="8" w:space="0" w:color="auto"/>
              <w:right w:val="single" w:sz="8" w:space="0" w:color="auto"/>
            </w:tcBorders>
            <w:shd w:val="clear" w:color="000000" w:fill="C0C0C0"/>
            <w:vAlign w:val="center"/>
            <w:hideMark/>
          </w:tcPr>
          <w:p w14:paraId="771AC6F4" w14:textId="77777777" w:rsidR="00FD1551" w:rsidRPr="00FD1551" w:rsidRDefault="00FD1551" w:rsidP="00FD1551">
            <w:pPr>
              <w:spacing w:after="0" w:line="240" w:lineRule="auto"/>
              <w:jc w:val="center"/>
              <w:rPr>
                <w:rFonts w:ascii="Arial" w:eastAsia="Times New Roman" w:hAnsi="Arial" w:cs="Arial"/>
                <w:b/>
                <w:bCs/>
                <w:sz w:val="20"/>
                <w:szCs w:val="20"/>
                <w:lang w:eastAsia="pt-BR"/>
              </w:rPr>
            </w:pPr>
            <w:r w:rsidRPr="00FD1551">
              <w:rPr>
                <w:rFonts w:ascii="Arial" w:eastAsia="Times New Roman" w:hAnsi="Arial" w:cs="Arial"/>
                <w:b/>
                <w:bCs/>
                <w:sz w:val="20"/>
                <w:szCs w:val="20"/>
                <w:lang w:eastAsia="pt-BR"/>
              </w:rPr>
              <w:t>Tipo</w:t>
            </w:r>
          </w:p>
        </w:tc>
        <w:tc>
          <w:tcPr>
            <w:tcW w:w="1276" w:type="dxa"/>
            <w:tcBorders>
              <w:top w:val="single" w:sz="8" w:space="0" w:color="auto"/>
              <w:left w:val="nil"/>
              <w:bottom w:val="single" w:sz="8" w:space="0" w:color="auto"/>
              <w:right w:val="single" w:sz="8" w:space="0" w:color="auto"/>
            </w:tcBorders>
            <w:shd w:val="clear" w:color="000000" w:fill="C0C0C0"/>
            <w:vAlign w:val="center"/>
            <w:hideMark/>
          </w:tcPr>
          <w:p w14:paraId="594F8297" w14:textId="77777777" w:rsidR="00FD1551" w:rsidRPr="00FD1551" w:rsidRDefault="00FD1551" w:rsidP="00FD1551">
            <w:pPr>
              <w:spacing w:after="0" w:line="240" w:lineRule="auto"/>
              <w:jc w:val="center"/>
              <w:rPr>
                <w:rFonts w:ascii="Arial" w:eastAsia="Times New Roman" w:hAnsi="Arial" w:cs="Arial"/>
                <w:b/>
                <w:bCs/>
                <w:sz w:val="20"/>
                <w:szCs w:val="20"/>
                <w:lang w:eastAsia="pt-BR"/>
              </w:rPr>
            </w:pPr>
            <w:r w:rsidRPr="00FD1551">
              <w:rPr>
                <w:rFonts w:ascii="Arial" w:eastAsia="Times New Roman" w:hAnsi="Arial" w:cs="Arial"/>
                <w:b/>
                <w:bCs/>
                <w:sz w:val="20"/>
                <w:szCs w:val="20"/>
                <w:lang w:eastAsia="pt-BR"/>
              </w:rPr>
              <w:t>Tamanho</w:t>
            </w:r>
          </w:p>
        </w:tc>
        <w:tc>
          <w:tcPr>
            <w:tcW w:w="3325" w:type="dxa"/>
            <w:tcBorders>
              <w:top w:val="single" w:sz="8" w:space="0" w:color="auto"/>
              <w:left w:val="nil"/>
              <w:bottom w:val="single" w:sz="8" w:space="0" w:color="auto"/>
              <w:right w:val="single" w:sz="8" w:space="0" w:color="auto"/>
            </w:tcBorders>
            <w:shd w:val="clear" w:color="000000" w:fill="C0C0C0"/>
            <w:vAlign w:val="center"/>
            <w:hideMark/>
          </w:tcPr>
          <w:p w14:paraId="5A51AFBF" w14:textId="77777777" w:rsidR="00FD1551" w:rsidRPr="00FD1551" w:rsidRDefault="00FD1551" w:rsidP="00FD1551">
            <w:pPr>
              <w:spacing w:after="0" w:line="240" w:lineRule="auto"/>
              <w:jc w:val="center"/>
              <w:rPr>
                <w:rFonts w:ascii="Arial" w:eastAsia="Times New Roman" w:hAnsi="Arial" w:cs="Arial"/>
                <w:b/>
                <w:bCs/>
                <w:sz w:val="20"/>
                <w:szCs w:val="20"/>
                <w:lang w:eastAsia="pt-BR"/>
              </w:rPr>
            </w:pPr>
            <w:r w:rsidRPr="00FD1551">
              <w:rPr>
                <w:rFonts w:ascii="Arial" w:eastAsia="Times New Roman" w:hAnsi="Arial" w:cs="Arial"/>
                <w:b/>
                <w:bCs/>
                <w:sz w:val="20"/>
                <w:szCs w:val="20"/>
                <w:lang w:eastAsia="pt-BR"/>
              </w:rPr>
              <w:t>Obrigatoriedade</w:t>
            </w:r>
          </w:p>
        </w:tc>
      </w:tr>
      <w:tr w:rsidR="00FD1551" w:rsidRPr="00FD1551" w14:paraId="5BFA25B1" w14:textId="77777777" w:rsidTr="00FD1551">
        <w:trPr>
          <w:trHeight w:val="330"/>
        </w:trPr>
        <w:tc>
          <w:tcPr>
            <w:tcW w:w="9294" w:type="dxa"/>
            <w:gridSpan w:val="4"/>
            <w:tcBorders>
              <w:top w:val="single" w:sz="8" w:space="0" w:color="auto"/>
              <w:left w:val="single" w:sz="8" w:space="0" w:color="auto"/>
              <w:bottom w:val="single" w:sz="8" w:space="0" w:color="auto"/>
              <w:right w:val="single" w:sz="8" w:space="0" w:color="000000"/>
            </w:tcBorders>
            <w:shd w:val="clear" w:color="000000" w:fill="BFBFBF"/>
            <w:vAlign w:val="center"/>
            <w:hideMark/>
          </w:tcPr>
          <w:p w14:paraId="6F0989D8" w14:textId="77777777" w:rsidR="00FD1551" w:rsidRPr="00FD1551" w:rsidRDefault="00FD1551" w:rsidP="00FD1551">
            <w:pPr>
              <w:spacing w:after="0" w:line="240" w:lineRule="auto"/>
              <w:jc w:val="center"/>
              <w:rPr>
                <w:rFonts w:ascii="Arial" w:eastAsia="Times New Roman" w:hAnsi="Arial" w:cs="Arial"/>
                <w:b/>
                <w:bCs/>
                <w:sz w:val="20"/>
                <w:szCs w:val="20"/>
                <w:lang w:eastAsia="pt-BR"/>
              </w:rPr>
            </w:pPr>
            <w:r w:rsidRPr="00FD1551">
              <w:rPr>
                <w:rFonts w:ascii="Arial" w:eastAsia="Times New Roman" w:hAnsi="Arial" w:cs="Arial"/>
                <w:b/>
                <w:bCs/>
                <w:sz w:val="20"/>
                <w:szCs w:val="20"/>
                <w:lang w:eastAsia="pt-BR"/>
              </w:rPr>
              <w:t>Estrutura ‘DemonstrativoDividaFundada’</w:t>
            </w:r>
          </w:p>
        </w:tc>
      </w:tr>
      <w:tr w:rsidR="00FD1551" w:rsidRPr="00FD1551" w14:paraId="51140873" w14:textId="77777777" w:rsidTr="00FD1551">
        <w:trPr>
          <w:trHeight w:val="499"/>
        </w:trPr>
        <w:tc>
          <w:tcPr>
            <w:tcW w:w="3417" w:type="dxa"/>
            <w:tcBorders>
              <w:top w:val="nil"/>
              <w:left w:val="single" w:sz="8" w:space="0" w:color="auto"/>
              <w:bottom w:val="single" w:sz="8" w:space="0" w:color="auto"/>
              <w:right w:val="single" w:sz="8" w:space="0" w:color="auto"/>
            </w:tcBorders>
            <w:shd w:val="clear" w:color="auto" w:fill="auto"/>
            <w:vAlign w:val="center"/>
            <w:hideMark/>
          </w:tcPr>
          <w:p w14:paraId="2684EBD1" w14:textId="77777777" w:rsidR="00FD1551" w:rsidRPr="00FD1551" w:rsidRDefault="00FD1551" w:rsidP="00FD1551">
            <w:pPr>
              <w:spacing w:after="0" w:line="240" w:lineRule="auto"/>
              <w:jc w:val="both"/>
              <w:rPr>
                <w:rFonts w:ascii="Arial" w:eastAsia="Times New Roman" w:hAnsi="Arial" w:cs="Arial"/>
                <w:sz w:val="20"/>
                <w:szCs w:val="20"/>
                <w:lang w:eastAsia="pt-BR"/>
              </w:rPr>
            </w:pPr>
            <w:r w:rsidRPr="00FD1551">
              <w:rPr>
                <w:rFonts w:ascii="Arial" w:eastAsia="Times New Roman" w:hAnsi="Arial" w:cs="Arial"/>
                <w:sz w:val="20"/>
                <w:szCs w:val="20"/>
                <w:lang w:eastAsia="pt-BR"/>
              </w:rPr>
              <w:t>Identificação do Numero do Registro</w:t>
            </w:r>
          </w:p>
        </w:tc>
        <w:tc>
          <w:tcPr>
            <w:tcW w:w="1276" w:type="dxa"/>
            <w:tcBorders>
              <w:top w:val="nil"/>
              <w:left w:val="nil"/>
              <w:bottom w:val="single" w:sz="8" w:space="0" w:color="auto"/>
              <w:right w:val="single" w:sz="8" w:space="0" w:color="auto"/>
            </w:tcBorders>
            <w:shd w:val="clear" w:color="auto" w:fill="auto"/>
            <w:vAlign w:val="center"/>
            <w:hideMark/>
          </w:tcPr>
          <w:p w14:paraId="545775B6"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Inteiro</w:t>
            </w:r>
          </w:p>
        </w:tc>
        <w:tc>
          <w:tcPr>
            <w:tcW w:w="1276" w:type="dxa"/>
            <w:tcBorders>
              <w:top w:val="nil"/>
              <w:left w:val="nil"/>
              <w:bottom w:val="single" w:sz="8" w:space="0" w:color="auto"/>
              <w:right w:val="single" w:sz="8" w:space="0" w:color="auto"/>
            </w:tcBorders>
            <w:shd w:val="clear" w:color="auto" w:fill="auto"/>
            <w:vAlign w:val="center"/>
            <w:hideMark/>
          </w:tcPr>
          <w:p w14:paraId="3A4B9737"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5</w:t>
            </w:r>
          </w:p>
        </w:tc>
        <w:tc>
          <w:tcPr>
            <w:tcW w:w="3325" w:type="dxa"/>
            <w:tcBorders>
              <w:top w:val="nil"/>
              <w:left w:val="nil"/>
              <w:bottom w:val="single" w:sz="8" w:space="0" w:color="auto"/>
              <w:right w:val="single" w:sz="8" w:space="0" w:color="auto"/>
            </w:tcBorders>
            <w:shd w:val="clear" w:color="auto" w:fill="auto"/>
            <w:vAlign w:val="center"/>
            <w:hideMark/>
          </w:tcPr>
          <w:p w14:paraId="00F4F97E" w14:textId="77777777" w:rsidR="00FD1551" w:rsidRPr="00FD1551" w:rsidRDefault="00FD1551" w:rsidP="00FD1551">
            <w:pPr>
              <w:spacing w:after="0" w:line="240" w:lineRule="auto"/>
              <w:jc w:val="both"/>
              <w:rPr>
                <w:rFonts w:ascii="Arial" w:eastAsia="Times New Roman" w:hAnsi="Arial" w:cs="Arial"/>
                <w:sz w:val="20"/>
                <w:szCs w:val="20"/>
                <w:lang w:eastAsia="pt-BR"/>
              </w:rPr>
            </w:pPr>
            <w:r w:rsidRPr="00FD1551">
              <w:rPr>
                <w:rFonts w:ascii="Arial" w:eastAsia="Times New Roman" w:hAnsi="Arial" w:cs="Arial"/>
                <w:sz w:val="20"/>
                <w:szCs w:val="20"/>
                <w:lang w:eastAsia="pt-BR"/>
              </w:rPr>
              <w:t>Obrigatório</w:t>
            </w:r>
          </w:p>
        </w:tc>
      </w:tr>
      <w:tr w:rsidR="00FD1551" w:rsidRPr="00FD1551" w14:paraId="0AF61B87" w14:textId="77777777" w:rsidTr="00FD1551">
        <w:trPr>
          <w:trHeight w:val="795"/>
        </w:trPr>
        <w:tc>
          <w:tcPr>
            <w:tcW w:w="3417" w:type="dxa"/>
            <w:tcBorders>
              <w:top w:val="nil"/>
              <w:left w:val="single" w:sz="8" w:space="0" w:color="auto"/>
              <w:bottom w:val="single" w:sz="8" w:space="0" w:color="auto"/>
              <w:right w:val="single" w:sz="8" w:space="0" w:color="auto"/>
            </w:tcBorders>
            <w:shd w:val="clear" w:color="auto" w:fill="auto"/>
            <w:vAlign w:val="center"/>
            <w:hideMark/>
          </w:tcPr>
          <w:p w14:paraId="08950E08" w14:textId="77777777" w:rsidR="00FD1551" w:rsidRPr="00FD1551" w:rsidRDefault="00FD1551" w:rsidP="00FD1551">
            <w:pPr>
              <w:spacing w:after="0" w:line="240" w:lineRule="auto"/>
              <w:jc w:val="both"/>
              <w:rPr>
                <w:rFonts w:ascii="Arial" w:eastAsia="Times New Roman" w:hAnsi="Arial" w:cs="Arial"/>
                <w:sz w:val="20"/>
                <w:szCs w:val="20"/>
                <w:lang w:eastAsia="pt-BR"/>
              </w:rPr>
            </w:pPr>
            <w:r w:rsidRPr="00FD1551">
              <w:rPr>
                <w:rFonts w:ascii="Arial" w:eastAsia="Times New Roman" w:hAnsi="Arial" w:cs="Arial"/>
                <w:sz w:val="20"/>
                <w:szCs w:val="20"/>
                <w:lang w:eastAsia="pt-BR"/>
              </w:rPr>
              <w:t xml:space="preserve">Código da Unidade Gestora </w:t>
            </w:r>
            <w:r w:rsidRPr="00735CF9">
              <w:rPr>
                <w:rFonts w:ascii="Arial" w:eastAsia="Times New Roman" w:hAnsi="Arial" w:cs="Arial"/>
                <w:b/>
                <w:sz w:val="20"/>
                <w:szCs w:val="20"/>
                <w:vertAlign w:val="superscript"/>
                <w:lang w:eastAsia="pt-BR"/>
              </w:rPr>
              <w:t>[1]</w:t>
            </w:r>
          </w:p>
        </w:tc>
        <w:tc>
          <w:tcPr>
            <w:tcW w:w="1276" w:type="dxa"/>
            <w:tcBorders>
              <w:top w:val="nil"/>
              <w:left w:val="nil"/>
              <w:bottom w:val="single" w:sz="8" w:space="0" w:color="auto"/>
              <w:right w:val="single" w:sz="8" w:space="0" w:color="auto"/>
            </w:tcBorders>
            <w:shd w:val="clear" w:color="auto" w:fill="auto"/>
            <w:vAlign w:val="center"/>
            <w:hideMark/>
          </w:tcPr>
          <w:p w14:paraId="5947F736"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Caracter</w:t>
            </w:r>
          </w:p>
        </w:tc>
        <w:tc>
          <w:tcPr>
            <w:tcW w:w="1276" w:type="dxa"/>
            <w:tcBorders>
              <w:top w:val="nil"/>
              <w:left w:val="nil"/>
              <w:bottom w:val="single" w:sz="8" w:space="0" w:color="auto"/>
              <w:right w:val="single" w:sz="8" w:space="0" w:color="auto"/>
            </w:tcBorders>
            <w:shd w:val="clear" w:color="auto" w:fill="auto"/>
            <w:vAlign w:val="center"/>
            <w:hideMark/>
          </w:tcPr>
          <w:p w14:paraId="38E3B633"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11</w:t>
            </w:r>
          </w:p>
        </w:tc>
        <w:tc>
          <w:tcPr>
            <w:tcW w:w="3325" w:type="dxa"/>
            <w:tcBorders>
              <w:top w:val="nil"/>
              <w:left w:val="nil"/>
              <w:bottom w:val="single" w:sz="8" w:space="0" w:color="auto"/>
              <w:right w:val="single" w:sz="8" w:space="0" w:color="auto"/>
            </w:tcBorders>
            <w:shd w:val="clear" w:color="auto" w:fill="auto"/>
            <w:vAlign w:val="center"/>
            <w:hideMark/>
          </w:tcPr>
          <w:p w14:paraId="12D1855E" w14:textId="77777777" w:rsidR="00FD1551" w:rsidRPr="00FD1551" w:rsidRDefault="00FD1551" w:rsidP="00FD1551">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Obrigatório – conforme Código do CidadES</w:t>
            </w:r>
          </w:p>
        </w:tc>
      </w:tr>
      <w:tr w:rsidR="00FD1551" w:rsidRPr="00FD1551" w14:paraId="5C4B3E15" w14:textId="77777777" w:rsidTr="00FD1551">
        <w:trPr>
          <w:trHeight w:val="1125"/>
        </w:trPr>
        <w:tc>
          <w:tcPr>
            <w:tcW w:w="3417" w:type="dxa"/>
            <w:tcBorders>
              <w:top w:val="nil"/>
              <w:left w:val="single" w:sz="8" w:space="0" w:color="auto"/>
              <w:bottom w:val="single" w:sz="8" w:space="0" w:color="auto"/>
              <w:right w:val="single" w:sz="8" w:space="0" w:color="auto"/>
            </w:tcBorders>
            <w:shd w:val="clear" w:color="auto" w:fill="auto"/>
            <w:vAlign w:val="center"/>
            <w:hideMark/>
          </w:tcPr>
          <w:p w14:paraId="1E8ABC3F" w14:textId="77777777" w:rsidR="00FD1551" w:rsidRPr="00FD1551" w:rsidRDefault="00FD1551" w:rsidP="00FD1551">
            <w:pPr>
              <w:spacing w:after="0" w:line="240" w:lineRule="auto"/>
              <w:jc w:val="both"/>
              <w:rPr>
                <w:rFonts w:ascii="Arial" w:eastAsia="Times New Roman" w:hAnsi="Arial" w:cs="Arial"/>
                <w:sz w:val="20"/>
                <w:szCs w:val="20"/>
                <w:lang w:eastAsia="pt-BR"/>
              </w:rPr>
            </w:pPr>
            <w:r w:rsidRPr="00FD1551">
              <w:rPr>
                <w:rFonts w:ascii="Arial" w:eastAsia="Times New Roman" w:hAnsi="Arial" w:cs="Arial"/>
                <w:sz w:val="20"/>
                <w:szCs w:val="20"/>
                <w:lang w:eastAsia="pt-BR"/>
              </w:rPr>
              <w:t>Código Contábil</w:t>
            </w:r>
          </w:p>
        </w:tc>
        <w:tc>
          <w:tcPr>
            <w:tcW w:w="1276" w:type="dxa"/>
            <w:tcBorders>
              <w:top w:val="nil"/>
              <w:left w:val="nil"/>
              <w:bottom w:val="single" w:sz="8" w:space="0" w:color="auto"/>
              <w:right w:val="single" w:sz="8" w:space="0" w:color="auto"/>
            </w:tcBorders>
            <w:shd w:val="clear" w:color="auto" w:fill="auto"/>
            <w:vAlign w:val="center"/>
            <w:hideMark/>
          </w:tcPr>
          <w:p w14:paraId="4B648B30"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Inteiro</w:t>
            </w:r>
          </w:p>
        </w:tc>
        <w:tc>
          <w:tcPr>
            <w:tcW w:w="1276" w:type="dxa"/>
            <w:tcBorders>
              <w:top w:val="nil"/>
              <w:left w:val="nil"/>
              <w:bottom w:val="single" w:sz="8" w:space="0" w:color="auto"/>
              <w:right w:val="single" w:sz="8" w:space="0" w:color="auto"/>
            </w:tcBorders>
            <w:shd w:val="clear" w:color="auto" w:fill="auto"/>
            <w:vAlign w:val="center"/>
            <w:hideMark/>
          </w:tcPr>
          <w:p w14:paraId="6B3C8328"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9</w:t>
            </w:r>
          </w:p>
        </w:tc>
        <w:tc>
          <w:tcPr>
            <w:tcW w:w="3325" w:type="dxa"/>
            <w:tcBorders>
              <w:top w:val="nil"/>
              <w:left w:val="nil"/>
              <w:bottom w:val="single" w:sz="8" w:space="0" w:color="auto"/>
              <w:right w:val="single" w:sz="8" w:space="0" w:color="auto"/>
            </w:tcBorders>
            <w:shd w:val="clear" w:color="auto" w:fill="auto"/>
            <w:vAlign w:val="center"/>
            <w:hideMark/>
          </w:tcPr>
          <w:p w14:paraId="0B8083C1" w14:textId="77777777" w:rsidR="00FD1551" w:rsidRPr="00FD1551" w:rsidRDefault="00FD1551" w:rsidP="00FD1551">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Obrigatório – conforme Plano de Contas do CidadES</w:t>
            </w:r>
          </w:p>
        </w:tc>
      </w:tr>
      <w:tr w:rsidR="00FD1551" w:rsidRPr="00FD1551" w14:paraId="44A88571" w14:textId="77777777" w:rsidTr="00FD1551">
        <w:trPr>
          <w:trHeight w:val="1215"/>
        </w:trPr>
        <w:tc>
          <w:tcPr>
            <w:tcW w:w="3417" w:type="dxa"/>
            <w:tcBorders>
              <w:top w:val="nil"/>
              <w:left w:val="single" w:sz="8" w:space="0" w:color="auto"/>
              <w:bottom w:val="single" w:sz="8" w:space="0" w:color="auto"/>
              <w:right w:val="single" w:sz="8" w:space="0" w:color="auto"/>
            </w:tcBorders>
            <w:shd w:val="clear" w:color="auto" w:fill="auto"/>
            <w:vAlign w:val="center"/>
            <w:hideMark/>
          </w:tcPr>
          <w:p w14:paraId="4D998398" w14:textId="77777777" w:rsidR="00FD1551" w:rsidRPr="00FD1551" w:rsidRDefault="00FD1551" w:rsidP="00FD1551">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Classificação da Dívida</w:t>
            </w:r>
          </w:p>
        </w:tc>
        <w:tc>
          <w:tcPr>
            <w:tcW w:w="1276" w:type="dxa"/>
            <w:tcBorders>
              <w:top w:val="nil"/>
              <w:left w:val="nil"/>
              <w:bottom w:val="single" w:sz="8" w:space="0" w:color="auto"/>
              <w:right w:val="single" w:sz="8" w:space="0" w:color="auto"/>
            </w:tcBorders>
            <w:shd w:val="clear" w:color="auto" w:fill="auto"/>
            <w:vAlign w:val="center"/>
            <w:hideMark/>
          </w:tcPr>
          <w:p w14:paraId="155A4180"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Inteiro</w:t>
            </w:r>
          </w:p>
        </w:tc>
        <w:tc>
          <w:tcPr>
            <w:tcW w:w="1276" w:type="dxa"/>
            <w:tcBorders>
              <w:top w:val="nil"/>
              <w:left w:val="nil"/>
              <w:bottom w:val="single" w:sz="8" w:space="0" w:color="auto"/>
              <w:right w:val="single" w:sz="8" w:space="0" w:color="auto"/>
            </w:tcBorders>
            <w:shd w:val="clear" w:color="auto" w:fill="auto"/>
            <w:vAlign w:val="center"/>
            <w:hideMark/>
          </w:tcPr>
          <w:p w14:paraId="428F98D3"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1</w:t>
            </w:r>
          </w:p>
        </w:tc>
        <w:tc>
          <w:tcPr>
            <w:tcW w:w="3325" w:type="dxa"/>
            <w:tcBorders>
              <w:top w:val="nil"/>
              <w:left w:val="nil"/>
              <w:bottom w:val="single" w:sz="8" w:space="0" w:color="auto"/>
              <w:right w:val="single" w:sz="8" w:space="0" w:color="auto"/>
            </w:tcBorders>
            <w:shd w:val="clear" w:color="auto" w:fill="auto"/>
            <w:vAlign w:val="center"/>
            <w:hideMark/>
          </w:tcPr>
          <w:p w14:paraId="19E6C1E1" w14:textId="77777777" w:rsidR="00FD1551" w:rsidRPr="00FD1551" w:rsidRDefault="00FD1551" w:rsidP="00FD1551">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Obrigatório:</w:t>
            </w:r>
            <w:r w:rsidRPr="00FD1551">
              <w:rPr>
                <w:rFonts w:ascii="Arial" w:eastAsia="Times New Roman" w:hAnsi="Arial" w:cs="Arial"/>
                <w:sz w:val="20"/>
                <w:szCs w:val="20"/>
                <w:lang w:eastAsia="pt-BR"/>
              </w:rPr>
              <w:br/>
              <w:t>1 – Interna</w:t>
            </w:r>
            <w:r w:rsidRPr="00FD1551">
              <w:rPr>
                <w:rFonts w:ascii="Arial" w:eastAsia="Times New Roman" w:hAnsi="Arial" w:cs="Arial"/>
                <w:sz w:val="20"/>
                <w:szCs w:val="20"/>
                <w:lang w:eastAsia="pt-BR"/>
              </w:rPr>
              <w:br/>
              <w:t>2 – Externa</w:t>
            </w:r>
          </w:p>
        </w:tc>
      </w:tr>
      <w:tr w:rsidR="00FD1551" w:rsidRPr="00FD1551" w14:paraId="4707A841" w14:textId="77777777" w:rsidTr="00FD1551">
        <w:trPr>
          <w:trHeight w:val="499"/>
        </w:trPr>
        <w:tc>
          <w:tcPr>
            <w:tcW w:w="341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0141C71" w14:textId="77777777" w:rsidR="00FD1551" w:rsidRPr="00FD1551" w:rsidRDefault="00FD1551" w:rsidP="00FD1551">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Descrição da Dívida</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14:paraId="6E93CD1A"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Caracter</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14:paraId="3730452C"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1000</w:t>
            </w:r>
          </w:p>
        </w:tc>
        <w:tc>
          <w:tcPr>
            <w:tcW w:w="3325" w:type="dxa"/>
            <w:tcBorders>
              <w:top w:val="single" w:sz="8" w:space="0" w:color="auto"/>
              <w:left w:val="nil"/>
              <w:bottom w:val="single" w:sz="8" w:space="0" w:color="auto"/>
              <w:right w:val="single" w:sz="8" w:space="0" w:color="auto"/>
            </w:tcBorders>
            <w:shd w:val="clear" w:color="auto" w:fill="auto"/>
            <w:vAlign w:val="center"/>
            <w:hideMark/>
          </w:tcPr>
          <w:p w14:paraId="51DA8406" w14:textId="77777777" w:rsidR="00FD1551" w:rsidRPr="00FD1551" w:rsidRDefault="00FD1551" w:rsidP="00FD1551">
            <w:pPr>
              <w:spacing w:after="0" w:line="240" w:lineRule="auto"/>
              <w:jc w:val="both"/>
              <w:rPr>
                <w:rFonts w:ascii="Arial" w:eastAsia="Times New Roman" w:hAnsi="Arial" w:cs="Arial"/>
                <w:sz w:val="20"/>
                <w:szCs w:val="20"/>
                <w:lang w:eastAsia="pt-BR"/>
              </w:rPr>
            </w:pPr>
            <w:r w:rsidRPr="00FD1551">
              <w:rPr>
                <w:rFonts w:ascii="Arial" w:eastAsia="Times New Roman" w:hAnsi="Arial" w:cs="Arial"/>
                <w:sz w:val="20"/>
                <w:szCs w:val="20"/>
                <w:lang w:eastAsia="pt-BR"/>
              </w:rPr>
              <w:t>Obrigatório</w:t>
            </w:r>
          </w:p>
        </w:tc>
      </w:tr>
      <w:tr w:rsidR="00FD1551" w:rsidRPr="00FD1551" w14:paraId="01604154" w14:textId="77777777" w:rsidTr="00FD1551">
        <w:trPr>
          <w:trHeight w:val="499"/>
        </w:trPr>
        <w:tc>
          <w:tcPr>
            <w:tcW w:w="3417" w:type="dxa"/>
            <w:tcBorders>
              <w:top w:val="nil"/>
              <w:left w:val="single" w:sz="8" w:space="0" w:color="auto"/>
              <w:bottom w:val="single" w:sz="8" w:space="0" w:color="auto"/>
              <w:right w:val="single" w:sz="8" w:space="0" w:color="auto"/>
            </w:tcBorders>
            <w:shd w:val="clear" w:color="auto" w:fill="auto"/>
            <w:vAlign w:val="center"/>
            <w:hideMark/>
          </w:tcPr>
          <w:p w14:paraId="0BCEA9CC" w14:textId="77777777" w:rsidR="00FD1551" w:rsidRPr="00FD1551" w:rsidRDefault="00FD1551" w:rsidP="00FD1551">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Saldo Inicial</w:t>
            </w:r>
          </w:p>
        </w:tc>
        <w:tc>
          <w:tcPr>
            <w:tcW w:w="1276" w:type="dxa"/>
            <w:tcBorders>
              <w:top w:val="nil"/>
              <w:left w:val="nil"/>
              <w:bottom w:val="single" w:sz="8" w:space="0" w:color="auto"/>
              <w:right w:val="single" w:sz="8" w:space="0" w:color="auto"/>
            </w:tcBorders>
            <w:shd w:val="clear" w:color="auto" w:fill="auto"/>
            <w:vAlign w:val="center"/>
            <w:hideMark/>
          </w:tcPr>
          <w:p w14:paraId="1254A4F8"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Decimal</w:t>
            </w:r>
          </w:p>
        </w:tc>
        <w:tc>
          <w:tcPr>
            <w:tcW w:w="1276" w:type="dxa"/>
            <w:tcBorders>
              <w:top w:val="nil"/>
              <w:left w:val="nil"/>
              <w:bottom w:val="single" w:sz="8" w:space="0" w:color="auto"/>
              <w:right w:val="single" w:sz="8" w:space="0" w:color="auto"/>
            </w:tcBorders>
            <w:shd w:val="clear" w:color="auto" w:fill="auto"/>
            <w:vAlign w:val="center"/>
            <w:hideMark/>
          </w:tcPr>
          <w:p w14:paraId="544977DD"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14,2</w:t>
            </w:r>
          </w:p>
        </w:tc>
        <w:tc>
          <w:tcPr>
            <w:tcW w:w="3325" w:type="dxa"/>
            <w:tcBorders>
              <w:top w:val="nil"/>
              <w:left w:val="nil"/>
              <w:bottom w:val="single" w:sz="8" w:space="0" w:color="auto"/>
              <w:right w:val="single" w:sz="8" w:space="0" w:color="auto"/>
            </w:tcBorders>
            <w:shd w:val="clear" w:color="auto" w:fill="auto"/>
            <w:vAlign w:val="center"/>
            <w:hideMark/>
          </w:tcPr>
          <w:p w14:paraId="218834DA" w14:textId="77777777" w:rsidR="00FD1551" w:rsidRPr="00FD1551" w:rsidRDefault="00FD1551" w:rsidP="00FD1551">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Obrigatório</w:t>
            </w:r>
          </w:p>
        </w:tc>
      </w:tr>
      <w:tr w:rsidR="00FD1551" w:rsidRPr="00FD1551" w14:paraId="223C9332" w14:textId="77777777" w:rsidTr="00FD1551">
        <w:trPr>
          <w:trHeight w:val="499"/>
        </w:trPr>
        <w:tc>
          <w:tcPr>
            <w:tcW w:w="3417" w:type="dxa"/>
            <w:tcBorders>
              <w:top w:val="nil"/>
              <w:left w:val="single" w:sz="8" w:space="0" w:color="auto"/>
              <w:bottom w:val="single" w:sz="8" w:space="0" w:color="auto"/>
              <w:right w:val="single" w:sz="8" w:space="0" w:color="auto"/>
            </w:tcBorders>
            <w:shd w:val="clear" w:color="auto" w:fill="auto"/>
            <w:vAlign w:val="center"/>
            <w:hideMark/>
          </w:tcPr>
          <w:p w14:paraId="64B6D47B" w14:textId="77777777" w:rsidR="00FD1551" w:rsidRPr="00FD1551" w:rsidRDefault="00FD1551" w:rsidP="00FD1551">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Emissão da Dívida</w:t>
            </w:r>
          </w:p>
        </w:tc>
        <w:tc>
          <w:tcPr>
            <w:tcW w:w="1276" w:type="dxa"/>
            <w:tcBorders>
              <w:top w:val="nil"/>
              <w:left w:val="nil"/>
              <w:bottom w:val="single" w:sz="8" w:space="0" w:color="auto"/>
              <w:right w:val="single" w:sz="8" w:space="0" w:color="auto"/>
            </w:tcBorders>
            <w:shd w:val="clear" w:color="auto" w:fill="auto"/>
            <w:vAlign w:val="center"/>
            <w:hideMark/>
          </w:tcPr>
          <w:p w14:paraId="55026FE4"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Decimal</w:t>
            </w:r>
          </w:p>
        </w:tc>
        <w:tc>
          <w:tcPr>
            <w:tcW w:w="1276" w:type="dxa"/>
            <w:tcBorders>
              <w:top w:val="nil"/>
              <w:left w:val="nil"/>
              <w:bottom w:val="single" w:sz="8" w:space="0" w:color="auto"/>
              <w:right w:val="single" w:sz="8" w:space="0" w:color="auto"/>
            </w:tcBorders>
            <w:shd w:val="clear" w:color="auto" w:fill="auto"/>
            <w:vAlign w:val="center"/>
            <w:hideMark/>
          </w:tcPr>
          <w:p w14:paraId="598B50C6"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14,2</w:t>
            </w:r>
          </w:p>
        </w:tc>
        <w:tc>
          <w:tcPr>
            <w:tcW w:w="3325" w:type="dxa"/>
            <w:tcBorders>
              <w:top w:val="nil"/>
              <w:left w:val="nil"/>
              <w:bottom w:val="single" w:sz="8" w:space="0" w:color="auto"/>
              <w:right w:val="single" w:sz="8" w:space="0" w:color="auto"/>
            </w:tcBorders>
            <w:shd w:val="clear" w:color="auto" w:fill="auto"/>
            <w:vAlign w:val="center"/>
            <w:hideMark/>
          </w:tcPr>
          <w:p w14:paraId="50A698B1" w14:textId="77777777" w:rsidR="00FD1551" w:rsidRPr="00FD1551" w:rsidRDefault="00FD1551" w:rsidP="00FD1551">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Obrigatório</w:t>
            </w:r>
          </w:p>
        </w:tc>
      </w:tr>
      <w:tr w:rsidR="00FD1551" w:rsidRPr="00FD1551" w14:paraId="7149FE81" w14:textId="77777777" w:rsidTr="00FD1551">
        <w:trPr>
          <w:trHeight w:val="499"/>
        </w:trPr>
        <w:tc>
          <w:tcPr>
            <w:tcW w:w="3417" w:type="dxa"/>
            <w:tcBorders>
              <w:top w:val="nil"/>
              <w:left w:val="single" w:sz="8" w:space="0" w:color="auto"/>
              <w:bottom w:val="single" w:sz="8" w:space="0" w:color="auto"/>
              <w:right w:val="single" w:sz="8" w:space="0" w:color="auto"/>
            </w:tcBorders>
            <w:shd w:val="clear" w:color="auto" w:fill="auto"/>
            <w:vAlign w:val="center"/>
            <w:hideMark/>
          </w:tcPr>
          <w:p w14:paraId="08E7B74A" w14:textId="77777777" w:rsidR="00FD1551" w:rsidRPr="00FD1551" w:rsidRDefault="00FD1551" w:rsidP="00FD1551">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Atualização</w:t>
            </w:r>
          </w:p>
        </w:tc>
        <w:tc>
          <w:tcPr>
            <w:tcW w:w="1276" w:type="dxa"/>
            <w:tcBorders>
              <w:top w:val="nil"/>
              <w:left w:val="nil"/>
              <w:bottom w:val="single" w:sz="8" w:space="0" w:color="auto"/>
              <w:right w:val="single" w:sz="8" w:space="0" w:color="auto"/>
            </w:tcBorders>
            <w:shd w:val="clear" w:color="auto" w:fill="auto"/>
            <w:vAlign w:val="center"/>
            <w:hideMark/>
          </w:tcPr>
          <w:p w14:paraId="3C6F485B"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Decimal</w:t>
            </w:r>
          </w:p>
        </w:tc>
        <w:tc>
          <w:tcPr>
            <w:tcW w:w="1276" w:type="dxa"/>
            <w:tcBorders>
              <w:top w:val="nil"/>
              <w:left w:val="nil"/>
              <w:bottom w:val="single" w:sz="8" w:space="0" w:color="auto"/>
              <w:right w:val="single" w:sz="8" w:space="0" w:color="auto"/>
            </w:tcBorders>
            <w:shd w:val="clear" w:color="auto" w:fill="auto"/>
            <w:vAlign w:val="center"/>
            <w:hideMark/>
          </w:tcPr>
          <w:p w14:paraId="1437A6EC"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14,2</w:t>
            </w:r>
          </w:p>
        </w:tc>
        <w:tc>
          <w:tcPr>
            <w:tcW w:w="3325" w:type="dxa"/>
            <w:tcBorders>
              <w:top w:val="nil"/>
              <w:left w:val="nil"/>
              <w:bottom w:val="single" w:sz="8" w:space="0" w:color="auto"/>
              <w:right w:val="single" w:sz="8" w:space="0" w:color="auto"/>
            </w:tcBorders>
            <w:shd w:val="clear" w:color="auto" w:fill="auto"/>
            <w:vAlign w:val="center"/>
            <w:hideMark/>
          </w:tcPr>
          <w:p w14:paraId="360B79BC" w14:textId="77777777" w:rsidR="00FD1551" w:rsidRPr="00FD1551" w:rsidRDefault="00FD1551" w:rsidP="00FD1551">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Obrigatório</w:t>
            </w:r>
          </w:p>
        </w:tc>
      </w:tr>
      <w:tr w:rsidR="00FD1551" w:rsidRPr="00FD1551" w14:paraId="65573B66" w14:textId="77777777" w:rsidTr="00FD1551">
        <w:trPr>
          <w:trHeight w:val="499"/>
        </w:trPr>
        <w:tc>
          <w:tcPr>
            <w:tcW w:w="3417" w:type="dxa"/>
            <w:tcBorders>
              <w:top w:val="nil"/>
              <w:left w:val="single" w:sz="8" w:space="0" w:color="auto"/>
              <w:bottom w:val="single" w:sz="8" w:space="0" w:color="auto"/>
              <w:right w:val="single" w:sz="8" w:space="0" w:color="auto"/>
            </w:tcBorders>
            <w:shd w:val="clear" w:color="auto" w:fill="auto"/>
            <w:vAlign w:val="center"/>
            <w:hideMark/>
          </w:tcPr>
          <w:p w14:paraId="3EB59991" w14:textId="77777777" w:rsidR="00FD1551" w:rsidRPr="00FD1551" w:rsidRDefault="00FD1551" w:rsidP="00FD1551">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Encargos (Multas/Juros)</w:t>
            </w:r>
          </w:p>
        </w:tc>
        <w:tc>
          <w:tcPr>
            <w:tcW w:w="1276" w:type="dxa"/>
            <w:tcBorders>
              <w:top w:val="nil"/>
              <w:left w:val="nil"/>
              <w:bottom w:val="single" w:sz="8" w:space="0" w:color="auto"/>
              <w:right w:val="single" w:sz="8" w:space="0" w:color="auto"/>
            </w:tcBorders>
            <w:shd w:val="clear" w:color="auto" w:fill="auto"/>
            <w:vAlign w:val="center"/>
            <w:hideMark/>
          </w:tcPr>
          <w:p w14:paraId="57D12F82"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Decimal</w:t>
            </w:r>
          </w:p>
        </w:tc>
        <w:tc>
          <w:tcPr>
            <w:tcW w:w="1276" w:type="dxa"/>
            <w:tcBorders>
              <w:top w:val="nil"/>
              <w:left w:val="nil"/>
              <w:bottom w:val="single" w:sz="8" w:space="0" w:color="auto"/>
              <w:right w:val="single" w:sz="8" w:space="0" w:color="auto"/>
            </w:tcBorders>
            <w:shd w:val="clear" w:color="auto" w:fill="auto"/>
            <w:vAlign w:val="center"/>
            <w:hideMark/>
          </w:tcPr>
          <w:p w14:paraId="0F187448"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14,2</w:t>
            </w:r>
          </w:p>
        </w:tc>
        <w:tc>
          <w:tcPr>
            <w:tcW w:w="3325" w:type="dxa"/>
            <w:tcBorders>
              <w:top w:val="nil"/>
              <w:left w:val="nil"/>
              <w:bottom w:val="single" w:sz="8" w:space="0" w:color="auto"/>
              <w:right w:val="single" w:sz="8" w:space="0" w:color="auto"/>
            </w:tcBorders>
            <w:shd w:val="clear" w:color="auto" w:fill="auto"/>
            <w:vAlign w:val="center"/>
            <w:hideMark/>
          </w:tcPr>
          <w:p w14:paraId="3831B0C5" w14:textId="77777777" w:rsidR="00FD1551" w:rsidRPr="00FD1551" w:rsidRDefault="00FD1551" w:rsidP="00FD1551">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Obrigatório</w:t>
            </w:r>
          </w:p>
        </w:tc>
      </w:tr>
      <w:tr w:rsidR="00FD1551" w:rsidRPr="00FD1551" w14:paraId="2B891045" w14:textId="77777777" w:rsidTr="00FD1551">
        <w:trPr>
          <w:trHeight w:val="499"/>
        </w:trPr>
        <w:tc>
          <w:tcPr>
            <w:tcW w:w="3417" w:type="dxa"/>
            <w:tcBorders>
              <w:top w:val="nil"/>
              <w:left w:val="single" w:sz="8" w:space="0" w:color="auto"/>
              <w:bottom w:val="single" w:sz="8" w:space="0" w:color="auto"/>
              <w:right w:val="single" w:sz="8" w:space="0" w:color="auto"/>
            </w:tcBorders>
            <w:shd w:val="clear" w:color="auto" w:fill="auto"/>
            <w:vAlign w:val="center"/>
            <w:hideMark/>
          </w:tcPr>
          <w:p w14:paraId="5E8E9CFB" w14:textId="77777777" w:rsidR="00FD1551" w:rsidRPr="00FD1551" w:rsidRDefault="00FD1551" w:rsidP="00FD1551">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lastRenderedPageBreak/>
              <w:t>Cancelamento</w:t>
            </w:r>
          </w:p>
        </w:tc>
        <w:tc>
          <w:tcPr>
            <w:tcW w:w="1276" w:type="dxa"/>
            <w:tcBorders>
              <w:top w:val="nil"/>
              <w:left w:val="nil"/>
              <w:bottom w:val="single" w:sz="8" w:space="0" w:color="auto"/>
              <w:right w:val="single" w:sz="8" w:space="0" w:color="auto"/>
            </w:tcBorders>
            <w:shd w:val="clear" w:color="auto" w:fill="auto"/>
            <w:vAlign w:val="center"/>
            <w:hideMark/>
          </w:tcPr>
          <w:p w14:paraId="20293CBA"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Decimal</w:t>
            </w:r>
          </w:p>
        </w:tc>
        <w:tc>
          <w:tcPr>
            <w:tcW w:w="1276" w:type="dxa"/>
            <w:tcBorders>
              <w:top w:val="nil"/>
              <w:left w:val="nil"/>
              <w:bottom w:val="single" w:sz="8" w:space="0" w:color="auto"/>
              <w:right w:val="single" w:sz="8" w:space="0" w:color="auto"/>
            </w:tcBorders>
            <w:shd w:val="clear" w:color="auto" w:fill="auto"/>
            <w:vAlign w:val="center"/>
            <w:hideMark/>
          </w:tcPr>
          <w:p w14:paraId="690B627E"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14,2</w:t>
            </w:r>
          </w:p>
        </w:tc>
        <w:tc>
          <w:tcPr>
            <w:tcW w:w="3325" w:type="dxa"/>
            <w:tcBorders>
              <w:top w:val="nil"/>
              <w:left w:val="nil"/>
              <w:bottom w:val="single" w:sz="8" w:space="0" w:color="auto"/>
              <w:right w:val="single" w:sz="8" w:space="0" w:color="auto"/>
            </w:tcBorders>
            <w:shd w:val="clear" w:color="auto" w:fill="auto"/>
            <w:vAlign w:val="center"/>
            <w:hideMark/>
          </w:tcPr>
          <w:p w14:paraId="74CE5B14" w14:textId="77777777" w:rsidR="00FD1551" w:rsidRPr="00FD1551" w:rsidRDefault="00FD1551" w:rsidP="00FD1551">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Obrigatório</w:t>
            </w:r>
          </w:p>
        </w:tc>
      </w:tr>
      <w:tr w:rsidR="00FD1551" w:rsidRPr="00FD1551" w14:paraId="6FA59738" w14:textId="77777777" w:rsidTr="00FD1551">
        <w:trPr>
          <w:trHeight w:val="499"/>
        </w:trPr>
        <w:tc>
          <w:tcPr>
            <w:tcW w:w="3417" w:type="dxa"/>
            <w:tcBorders>
              <w:top w:val="nil"/>
              <w:left w:val="single" w:sz="8" w:space="0" w:color="auto"/>
              <w:bottom w:val="single" w:sz="8" w:space="0" w:color="auto"/>
              <w:right w:val="single" w:sz="8" w:space="0" w:color="auto"/>
            </w:tcBorders>
            <w:shd w:val="clear" w:color="auto" w:fill="auto"/>
            <w:vAlign w:val="center"/>
            <w:hideMark/>
          </w:tcPr>
          <w:p w14:paraId="4441E03D" w14:textId="77777777" w:rsidR="00FD1551" w:rsidRPr="00FD1551" w:rsidRDefault="00FD1551" w:rsidP="00FD1551">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Amortização</w:t>
            </w:r>
          </w:p>
        </w:tc>
        <w:tc>
          <w:tcPr>
            <w:tcW w:w="1276" w:type="dxa"/>
            <w:tcBorders>
              <w:top w:val="nil"/>
              <w:left w:val="nil"/>
              <w:bottom w:val="single" w:sz="8" w:space="0" w:color="auto"/>
              <w:right w:val="single" w:sz="8" w:space="0" w:color="auto"/>
            </w:tcBorders>
            <w:shd w:val="clear" w:color="auto" w:fill="auto"/>
            <w:vAlign w:val="center"/>
            <w:hideMark/>
          </w:tcPr>
          <w:p w14:paraId="2E444E57"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Decimal</w:t>
            </w:r>
          </w:p>
        </w:tc>
        <w:tc>
          <w:tcPr>
            <w:tcW w:w="1276" w:type="dxa"/>
            <w:tcBorders>
              <w:top w:val="nil"/>
              <w:left w:val="nil"/>
              <w:bottom w:val="single" w:sz="8" w:space="0" w:color="auto"/>
              <w:right w:val="single" w:sz="8" w:space="0" w:color="auto"/>
            </w:tcBorders>
            <w:shd w:val="clear" w:color="auto" w:fill="auto"/>
            <w:vAlign w:val="center"/>
            <w:hideMark/>
          </w:tcPr>
          <w:p w14:paraId="0D7E32B4"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14,2</w:t>
            </w:r>
          </w:p>
        </w:tc>
        <w:tc>
          <w:tcPr>
            <w:tcW w:w="3325" w:type="dxa"/>
            <w:tcBorders>
              <w:top w:val="nil"/>
              <w:left w:val="nil"/>
              <w:bottom w:val="single" w:sz="8" w:space="0" w:color="auto"/>
              <w:right w:val="single" w:sz="8" w:space="0" w:color="auto"/>
            </w:tcBorders>
            <w:shd w:val="clear" w:color="auto" w:fill="auto"/>
            <w:vAlign w:val="center"/>
            <w:hideMark/>
          </w:tcPr>
          <w:p w14:paraId="3D6BE7BA" w14:textId="77777777" w:rsidR="00FD1551" w:rsidRPr="00FD1551" w:rsidRDefault="00FD1551" w:rsidP="00FD1551">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Obrigatório</w:t>
            </w:r>
          </w:p>
        </w:tc>
      </w:tr>
      <w:tr w:rsidR="00FD1551" w:rsidRPr="00FD1551" w14:paraId="071AE716" w14:textId="77777777" w:rsidTr="00FD1551">
        <w:trPr>
          <w:trHeight w:val="499"/>
        </w:trPr>
        <w:tc>
          <w:tcPr>
            <w:tcW w:w="3417" w:type="dxa"/>
            <w:tcBorders>
              <w:top w:val="nil"/>
              <w:left w:val="single" w:sz="8" w:space="0" w:color="auto"/>
              <w:bottom w:val="single" w:sz="8" w:space="0" w:color="auto"/>
              <w:right w:val="single" w:sz="8" w:space="0" w:color="auto"/>
            </w:tcBorders>
            <w:shd w:val="clear" w:color="auto" w:fill="auto"/>
            <w:vAlign w:val="center"/>
            <w:hideMark/>
          </w:tcPr>
          <w:p w14:paraId="3EA73894" w14:textId="77777777" w:rsidR="00FD1551" w:rsidRPr="00FD1551" w:rsidRDefault="00FD1551" w:rsidP="00FD1551">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Saldo Final</w:t>
            </w:r>
          </w:p>
        </w:tc>
        <w:tc>
          <w:tcPr>
            <w:tcW w:w="1276" w:type="dxa"/>
            <w:tcBorders>
              <w:top w:val="nil"/>
              <w:left w:val="nil"/>
              <w:bottom w:val="single" w:sz="8" w:space="0" w:color="auto"/>
              <w:right w:val="single" w:sz="8" w:space="0" w:color="auto"/>
            </w:tcBorders>
            <w:shd w:val="clear" w:color="auto" w:fill="auto"/>
            <w:vAlign w:val="center"/>
            <w:hideMark/>
          </w:tcPr>
          <w:p w14:paraId="30325BB6"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Decimal</w:t>
            </w:r>
          </w:p>
        </w:tc>
        <w:tc>
          <w:tcPr>
            <w:tcW w:w="1276" w:type="dxa"/>
            <w:tcBorders>
              <w:top w:val="nil"/>
              <w:left w:val="nil"/>
              <w:bottom w:val="single" w:sz="8" w:space="0" w:color="auto"/>
              <w:right w:val="single" w:sz="8" w:space="0" w:color="auto"/>
            </w:tcBorders>
            <w:shd w:val="clear" w:color="auto" w:fill="auto"/>
            <w:vAlign w:val="center"/>
            <w:hideMark/>
          </w:tcPr>
          <w:p w14:paraId="16F515B5" w14:textId="77777777" w:rsidR="00FD1551" w:rsidRPr="00FD1551" w:rsidRDefault="00FD1551" w:rsidP="00FD1551">
            <w:pPr>
              <w:spacing w:after="0" w:line="240" w:lineRule="auto"/>
              <w:jc w:val="center"/>
              <w:rPr>
                <w:rFonts w:ascii="Arial" w:eastAsia="Times New Roman" w:hAnsi="Arial" w:cs="Arial"/>
                <w:sz w:val="20"/>
                <w:szCs w:val="20"/>
                <w:lang w:eastAsia="pt-BR"/>
              </w:rPr>
            </w:pPr>
            <w:r w:rsidRPr="00FD1551">
              <w:rPr>
                <w:rFonts w:ascii="Arial" w:eastAsia="Times New Roman" w:hAnsi="Arial" w:cs="Arial"/>
                <w:sz w:val="20"/>
                <w:szCs w:val="20"/>
                <w:lang w:eastAsia="pt-BR"/>
              </w:rPr>
              <w:t>14,2</w:t>
            </w:r>
          </w:p>
        </w:tc>
        <w:tc>
          <w:tcPr>
            <w:tcW w:w="3325" w:type="dxa"/>
            <w:tcBorders>
              <w:top w:val="nil"/>
              <w:left w:val="nil"/>
              <w:bottom w:val="single" w:sz="8" w:space="0" w:color="auto"/>
              <w:right w:val="single" w:sz="8" w:space="0" w:color="auto"/>
            </w:tcBorders>
            <w:shd w:val="clear" w:color="auto" w:fill="auto"/>
            <w:vAlign w:val="center"/>
            <w:hideMark/>
          </w:tcPr>
          <w:p w14:paraId="534E8A42" w14:textId="77777777" w:rsidR="00FD1551" w:rsidRPr="00FD1551" w:rsidRDefault="00FD1551" w:rsidP="00FD1551">
            <w:pPr>
              <w:spacing w:after="0" w:line="240" w:lineRule="auto"/>
              <w:rPr>
                <w:rFonts w:ascii="Arial" w:eastAsia="Times New Roman" w:hAnsi="Arial" w:cs="Arial"/>
                <w:sz w:val="20"/>
                <w:szCs w:val="20"/>
                <w:lang w:eastAsia="pt-BR"/>
              </w:rPr>
            </w:pPr>
            <w:r w:rsidRPr="00FD1551">
              <w:rPr>
                <w:rFonts w:ascii="Arial" w:eastAsia="Times New Roman" w:hAnsi="Arial" w:cs="Arial"/>
                <w:sz w:val="20"/>
                <w:szCs w:val="20"/>
                <w:lang w:eastAsia="pt-BR"/>
              </w:rPr>
              <w:t>Obrigatório</w:t>
            </w:r>
          </w:p>
        </w:tc>
      </w:tr>
    </w:tbl>
    <w:p w14:paraId="0F9E1D11" w14:textId="77777777" w:rsidR="00253153" w:rsidRDefault="00253153" w:rsidP="00FD1551">
      <w:pPr>
        <w:spacing w:after="0" w:line="240" w:lineRule="auto"/>
        <w:jc w:val="both"/>
        <w:rPr>
          <w:rFonts w:ascii="Arial" w:hAnsi="Arial" w:cs="Arial"/>
          <w:sz w:val="18"/>
          <w:szCs w:val="18"/>
        </w:rPr>
      </w:pPr>
    </w:p>
    <w:p w14:paraId="10C19CF0" w14:textId="6B4D4D5F" w:rsidR="00FD1551" w:rsidRPr="00735CF9" w:rsidRDefault="00FD1551" w:rsidP="00FD1551">
      <w:pPr>
        <w:spacing w:after="0" w:line="240" w:lineRule="auto"/>
        <w:jc w:val="both"/>
        <w:rPr>
          <w:rFonts w:ascii="Arial" w:hAnsi="Arial" w:cs="Arial"/>
          <w:sz w:val="18"/>
          <w:szCs w:val="18"/>
        </w:rPr>
      </w:pPr>
      <w:r w:rsidRPr="00735CF9">
        <w:rPr>
          <w:rFonts w:ascii="Arial" w:hAnsi="Arial" w:cs="Arial"/>
          <w:sz w:val="18"/>
          <w:szCs w:val="18"/>
        </w:rPr>
        <w:t>[1] Quando a Prestação de Contas se referir a Contas de Gestão, o Código da Unidade Gestora deverá ser o mesmo da UG que estiver prestando contas. Quando se referir a Contas de Governo, a UG Prefeitura deverá informar a movimentação de cada uma das UG´s do Município (separadamente), inclusive a sua própria movimentação, no caso do Prefeito Ordenar Despesas.</w:t>
      </w:r>
    </w:p>
    <w:p w14:paraId="33956E88" w14:textId="77777777" w:rsidR="00FD1551" w:rsidRPr="00735CF9" w:rsidRDefault="00FD1551" w:rsidP="00FD1551">
      <w:pPr>
        <w:spacing w:after="0" w:line="240" w:lineRule="auto"/>
        <w:jc w:val="both"/>
        <w:rPr>
          <w:rFonts w:ascii="Arial" w:hAnsi="Arial" w:cs="Arial"/>
          <w:sz w:val="18"/>
          <w:szCs w:val="18"/>
        </w:rPr>
      </w:pPr>
    </w:p>
    <w:p w14:paraId="06BE23C3" w14:textId="77777777" w:rsidR="00FD1551" w:rsidRPr="00735CF9" w:rsidRDefault="00FD1551" w:rsidP="00FD1551">
      <w:pPr>
        <w:spacing w:after="0" w:line="240" w:lineRule="auto"/>
        <w:jc w:val="both"/>
        <w:rPr>
          <w:rFonts w:ascii="Arial" w:hAnsi="Arial" w:cs="Arial"/>
          <w:sz w:val="18"/>
          <w:szCs w:val="18"/>
        </w:rPr>
      </w:pPr>
      <w:r w:rsidRPr="00735CF9">
        <w:rPr>
          <w:rFonts w:ascii="Arial" w:hAnsi="Arial" w:cs="Arial"/>
          <w:b/>
          <w:sz w:val="18"/>
          <w:szCs w:val="18"/>
        </w:rPr>
        <w:t>Observações</w:t>
      </w:r>
      <w:r w:rsidRPr="00735CF9">
        <w:rPr>
          <w:rFonts w:ascii="Arial" w:hAnsi="Arial" w:cs="Arial"/>
          <w:sz w:val="18"/>
          <w:szCs w:val="18"/>
        </w:rPr>
        <w:t>:</w:t>
      </w:r>
    </w:p>
    <w:p w14:paraId="476EA6D6" w14:textId="77777777" w:rsidR="00FD1551" w:rsidRPr="00735CF9" w:rsidRDefault="00FD1551" w:rsidP="00FD1551">
      <w:pPr>
        <w:spacing w:before="120" w:after="0" w:line="240" w:lineRule="auto"/>
        <w:jc w:val="both"/>
        <w:rPr>
          <w:rFonts w:ascii="Arial" w:hAnsi="Arial" w:cs="Arial"/>
          <w:sz w:val="18"/>
          <w:szCs w:val="18"/>
        </w:rPr>
      </w:pPr>
      <w:r w:rsidRPr="00735CF9">
        <w:rPr>
          <w:rFonts w:ascii="Arial" w:hAnsi="Arial" w:cs="Arial"/>
          <w:sz w:val="18"/>
          <w:szCs w:val="18"/>
        </w:rPr>
        <w:t>1- Existindo registros com saldo inicial diferente de zero, mas sem movimentação no exercício de referência, os dados deverão ser informados no demonstrativo.</w:t>
      </w:r>
    </w:p>
    <w:p w14:paraId="7B034604" w14:textId="77777777" w:rsidR="00FD1551" w:rsidRPr="00735CF9" w:rsidRDefault="00FD1551" w:rsidP="00FD1551">
      <w:pPr>
        <w:spacing w:before="120" w:after="0" w:line="240" w:lineRule="auto"/>
        <w:jc w:val="both"/>
        <w:rPr>
          <w:rFonts w:ascii="Arial" w:hAnsi="Arial" w:cs="Arial"/>
          <w:sz w:val="18"/>
          <w:szCs w:val="18"/>
        </w:rPr>
      </w:pPr>
      <w:r w:rsidRPr="00735CF9">
        <w:rPr>
          <w:rFonts w:ascii="Arial" w:hAnsi="Arial" w:cs="Arial"/>
          <w:sz w:val="18"/>
          <w:szCs w:val="18"/>
        </w:rPr>
        <w:t>2- Os registros que apresentarem movimentação no exercício, independente de saldo inicial ou final, deverão ser informadas no demonstrativo.</w:t>
      </w:r>
    </w:p>
    <w:p w14:paraId="47A20555" w14:textId="77777777" w:rsidR="009755C1" w:rsidRPr="00735CF9" w:rsidRDefault="00FD1551" w:rsidP="00707637">
      <w:pPr>
        <w:spacing w:before="120" w:after="0" w:line="240" w:lineRule="auto"/>
        <w:jc w:val="both"/>
        <w:rPr>
          <w:rFonts w:ascii="Arial" w:hAnsi="Arial" w:cs="Arial"/>
          <w:sz w:val="18"/>
          <w:szCs w:val="18"/>
        </w:rPr>
      </w:pPr>
      <w:r w:rsidRPr="00735CF9">
        <w:rPr>
          <w:rFonts w:ascii="Arial" w:hAnsi="Arial" w:cs="Arial"/>
          <w:sz w:val="18"/>
          <w:szCs w:val="18"/>
        </w:rPr>
        <w:t>3- Os dados relativos à Esfera Administrativa e Unidade Gestora a serem inseridos no relatório serão os mesmos informados no cadastro da Unidade Gestora responsável pelo envio do relatório.</w:t>
      </w:r>
      <w:r w:rsidR="009755C1" w:rsidRPr="00735CF9">
        <w:rPr>
          <w:rFonts w:ascii="Arial" w:hAnsi="Arial" w:cs="Arial"/>
          <w:sz w:val="18"/>
          <w:szCs w:val="18"/>
        </w:rPr>
        <w:br w:type="page"/>
      </w:r>
    </w:p>
    <w:p w14:paraId="2DB36DB7" w14:textId="570D1F7E" w:rsidR="009755C1" w:rsidRPr="009755C1" w:rsidRDefault="009755C1" w:rsidP="00A60EA7">
      <w:pPr>
        <w:pStyle w:val="Ttulo3"/>
        <w:rPr>
          <w:rFonts w:eastAsia="Calibri"/>
        </w:rPr>
      </w:pPr>
      <w:bookmarkStart w:id="55" w:name="_Toc94806331"/>
      <w:r w:rsidRPr="009755C1">
        <w:rPr>
          <w:rFonts w:eastAsia="Calibri"/>
        </w:rPr>
        <w:lastRenderedPageBreak/>
        <w:t>DEMREC.XML (ou DemonstrativoReceitaContribuicaoRPPS.xml)</w:t>
      </w:r>
      <w:bookmarkEnd w:id="55"/>
      <w:r w:rsidRPr="009755C1">
        <w:rPr>
          <w:rFonts w:eastAsia="Calibri"/>
        </w:rPr>
        <w:t xml:space="preserve">   </w:t>
      </w:r>
    </w:p>
    <w:p w14:paraId="5784C52B" w14:textId="6E4E72A7" w:rsidR="009755C1" w:rsidRPr="009755C1" w:rsidRDefault="009755C1" w:rsidP="009755C1">
      <w:pPr>
        <w:autoSpaceDE w:val="0"/>
        <w:autoSpaceDN w:val="0"/>
        <w:adjustRightInd w:val="0"/>
        <w:spacing w:after="0" w:line="360" w:lineRule="auto"/>
        <w:jc w:val="both"/>
        <w:rPr>
          <w:rFonts w:ascii="Arial" w:eastAsia="Calibri" w:hAnsi="Arial" w:cs="Arial"/>
          <w:b/>
          <w:bCs/>
        </w:rPr>
      </w:pPr>
      <w:r w:rsidRPr="009755C1">
        <w:rPr>
          <w:rFonts w:ascii="Arial" w:eastAsia="Calibri" w:hAnsi="Arial" w:cs="Arial"/>
          <w:b/>
          <w:bCs/>
        </w:rPr>
        <w:t>Descrição: </w:t>
      </w:r>
      <w:r w:rsidRPr="009755C1">
        <w:rPr>
          <w:rFonts w:ascii="Arial" w:eastAsia="Calibri" w:hAnsi="Arial" w:cs="Arial"/>
        </w:rPr>
        <w:t xml:space="preserve">Este arquivo tem como objetivo evidenciar os valores devidos de receitas previdenciárias no exercício de competência da PCA, como também quanto desses valores foram efetivamente arrecadados no referido exercício. Possibilita determinar o valor devido e não repassado, relativo ao exercício da PCA, constituindo-se como </w:t>
      </w:r>
      <w:r w:rsidRPr="009755C1">
        <w:rPr>
          <w:rFonts w:ascii="Arial" w:eastAsia="Calibri" w:hAnsi="Arial" w:cs="Arial"/>
          <w:b/>
        </w:rPr>
        <w:t>direito a receber do órgão gestor da previdência</w:t>
      </w:r>
      <w:r w:rsidRPr="009755C1">
        <w:rPr>
          <w:rFonts w:ascii="Arial" w:eastAsia="Calibri" w:hAnsi="Arial" w:cs="Arial"/>
        </w:rPr>
        <w:t>. Também serão evidenciadas as receitas de repasses para cobertura de déficit financeiro e/ou previdenciário, segregadas por unidade gestora/órgão</w:t>
      </w:r>
      <w:r>
        <w:rPr>
          <w:rFonts w:ascii="Arial" w:eastAsia="Calibri" w:hAnsi="Arial" w:cs="Arial"/>
        </w:rPr>
        <w:t>.</w:t>
      </w:r>
    </w:p>
    <w:p w14:paraId="1B8CEB99" w14:textId="77777777" w:rsidR="009755C1" w:rsidRDefault="009755C1" w:rsidP="009755C1">
      <w:pPr>
        <w:rPr>
          <w:rFonts w:ascii="Arial" w:eastAsia="Calibri" w:hAnsi="Arial" w:cs="Arial"/>
          <w:b/>
          <w:bCs/>
        </w:rPr>
      </w:pPr>
    </w:p>
    <w:p w14:paraId="0837126B" w14:textId="77777777" w:rsidR="009755C1" w:rsidRPr="009755C1" w:rsidRDefault="009755C1" w:rsidP="009755C1">
      <w:pPr>
        <w:rPr>
          <w:rFonts w:ascii="Arial" w:eastAsia="Calibri" w:hAnsi="Arial" w:cs="Arial"/>
          <w:b/>
          <w:sz w:val="28"/>
          <w:highlight w:val="red"/>
        </w:rPr>
      </w:pPr>
      <w:r w:rsidRPr="009755C1">
        <w:rPr>
          <w:rFonts w:ascii="Arial" w:eastAsia="Calibri" w:hAnsi="Arial" w:cs="Arial"/>
          <w:b/>
          <w:bCs/>
        </w:rPr>
        <w:t>Estrutura:</w:t>
      </w:r>
    </w:p>
    <w:p w14:paraId="43CA5170" w14:textId="77777777" w:rsidR="009755C1" w:rsidRPr="009755C1" w:rsidRDefault="009755C1" w:rsidP="009755C1">
      <w:pPr>
        <w:spacing w:after="0" w:line="240" w:lineRule="auto"/>
        <w:rPr>
          <w:rFonts w:ascii="Arial" w:eastAsia="Times New Roman" w:hAnsi="Arial" w:cs="Arial"/>
          <w:sz w:val="20"/>
          <w:szCs w:val="20"/>
          <w:lang w:eastAsia="pt-BR"/>
        </w:rPr>
      </w:pPr>
      <w:r w:rsidRPr="009755C1">
        <w:rPr>
          <w:rFonts w:ascii="Arial" w:eastAsia="Times New Roman" w:hAnsi="Arial" w:cs="Arial"/>
          <w:sz w:val="20"/>
          <w:szCs w:val="20"/>
          <w:lang w:eastAsia="pt-BR"/>
        </w:rPr>
        <w:t>&lt;?xml version="1.0" encoding=“UTF-8”?&gt;</w:t>
      </w:r>
    </w:p>
    <w:p w14:paraId="43A302DD" w14:textId="77777777" w:rsidR="009755C1" w:rsidRPr="009755C1" w:rsidRDefault="009755C1" w:rsidP="009755C1">
      <w:pPr>
        <w:spacing w:after="0" w:line="240" w:lineRule="auto"/>
        <w:rPr>
          <w:rFonts w:ascii="Arial" w:eastAsia="Times New Roman" w:hAnsi="Arial" w:cs="Arial"/>
          <w:sz w:val="20"/>
          <w:szCs w:val="20"/>
          <w:lang w:eastAsia="pt-BR"/>
        </w:rPr>
      </w:pPr>
      <w:r w:rsidRPr="009755C1">
        <w:rPr>
          <w:rFonts w:ascii="Arial" w:eastAsia="Times New Roman" w:hAnsi="Arial" w:cs="Arial"/>
          <w:sz w:val="20"/>
          <w:szCs w:val="20"/>
          <w:lang w:eastAsia="pt-BR"/>
        </w:rPr>
        <w:t>&lt;PrestacaoContasAnual&gt;</w:t>
      </w:r>
    </w:p>
    <w:p w14:paraId="5FB1B592" w14:textId="77777777" w:rsidR="009755C1" w:rsidRPr="009755C1" w:rsidRDefault="009755C1" w:rsidP="009755C1">
      <w:pPr>
        <w:spacing w:after="0" w:line="240" w:lineRule="auto"/>
        <w:ind w:left="284"/>
        <w:rPr>
          <w:rFonts w:ascii="Arial" w:eastAsia="Times New Roman" w:hAnsi="Arial" w:cs="Arial"/>
          <w:sz w:val="20"/>
          <w:szCs w:val="20"/>
          <w:lang w:eastAsia="pt-BR"/>
        </w:rPr>
      </w:pPr>
      <w:r w:rsidRPr="009755C1">
        <w:rPr>
          <w:rFonts w:ascii="Arial" w:eastAsia="Times New Roman" w:hAnsi="Arial" w:cs="Arial"/>
          <w:sz w:val="20"/>
          <w:szCs w:val="20"/>
          <w:lang w:eastAsia="pt-BR"/>
        </w:rPr>
        <w:t>&lt;DemonstrativoReceitaContribuicaoRPPS_Schema&gt;</w:t>
      </w:r>
    </w:p>
    <w:p w14:paraId="3F8F8159" w14:textId="77777777" w:rsidR="009755C1" w:rsidRPr="009755C1" w:rsidRDefault="009755C1" w:rsidP="009755C1">
      <w:pPr>
        <w:spacing w:after="0" w:line="240" w:lineRule="auto"/>
        <w:ind w:left="284"/>
        <w:rPr>
          <w:rFonts w:ascii="Arial" w:eastAsia="Times New Roman" w:hAnsi="Arial" w:cs="Arial"/>
          <w:sz w:val="20"/>
          <w:szCs w:val="20"/>
          <w:lang w:eastAsia="pt-BR"/>
        </w:rPr>
      </w:pPr>
    </w:p>
    <w:p w14:paraId="7F620EF7" w14:textId="77777777" w:rsidR="009755C1" w:rsidRPr="009755C1" w:rsidRDefault="009755C1" w:rsidP="009755C1">
      <w:pPr>
        <w:spacing w:after="0" w:line="240" w:lineRule="auto"/>
        <w:ind w:left="567"/>
        <w:rPr>
          <w:rFonts w:ascii="Arial" w:eastAsia="Times New Roman" w:hAnsi="Arial" w:cs="Arial"/>
          <w:sz w:val="20"/>
          <w:szCs w:val="20"/>
          <w:lang w:eastAsia="pt-BR"/>
        </w:rPr>
      </w:pPr>
      <w:r w:rsidRPr="009755C1">
        <w:rPr>
          <w:rFonts w:ascii="Arial" w:eastAsia="Times New Roman" w:hAnsi="Arial" w:cs="Arial"/>
          <w:sz w:val="20"/>
          <w:szCs w:val="20"/>
          <w:lang w:eastAsia="pt-BR"/>
        </w:rPr>
        <w:t>&lt;DemonstrativoReceitaContribuicaoRPPS&gt;</w:t>
      </w:r>
    </w:p>
    <w:p w14:paraId="6FE51F8D" w14:textId="77777777" w:rsidR="009755C1" w:rsidRPr="009755C1" w:rsidRDefault="009755C1" w:rsidP="009755C1">
      <w:pPr>
        <w:spacing w:after="0" w:line="240" w:lineRule="auto"/>
        <w:ind w:left="851"/>
        <w:rPr>
          <w:rFonts w:ascii="Arial" w:eastAsia="Times New Roman" w:hAnsi="Arial" w:cs="Arial"/>
          <w:sz w:val="20"/>
          <w:szCs w:val="20"/>
          <w:lang w:eastAsia="pt-BR"/>
        </w:rPr>
      </w:pPr>
      <w:r w:rsidRPr="009755C1">
        <w:rPr>
          <w:rFonts w:ascii="Arial" w:eastAsia="Times New Roman" w:hAnsi="Arial" w:cs="Arial"/>
          <w:sz w:val="20"/>
          <w:szCs w:val="20"/>
          <w:lang w:eastAsia="pt-BR"/>
        </w:rPr>
        <w:t>&lt;IdNumRegistro&gt;</w:t>
      </w:r>
      <w:r w:rsidRPr="009755C1">
        <w:rPr>
          <w:rFonts w:ascii="Arial" w:eastAsia="Times New Roman" w:hAnsi="Arial" w:cs="Arial"/>
          <w:b/>
          <w:bCs/>
          <w:sz w:val="20"/>
          <w:szCs w:val="20"/>
          <w:lang w:eastAsia="pt-BR"/>
        </w:rPr>
        <w:t>99999</w:t>
      </w:r>
      <w:r w:rsidRPr="009755C1">
        <w:rPr>
          <w:rFonts w:ascii="Arial" w:eastAsia="Times New Roman" w:hAnsi="Arial" w:cs="Arial"/>
          <w:sz w:val="20"/>
          <w:szCs w:val="20"/>
          <w:lang w:eastAsia="pt-BR"/>
        </w:rPr>
        <w:t>&lt;/IdNumRegistro&gt;</w:t>
      </w:r>
    </w:p>
    <w:p w14:paraId="43F84DF2" w14:textId="77777777" w:rsidR="009755C1" w:rsidRPr="009755C1" w:rsidRDefault="009755C1" w:rsidP="009755C1">
      <w:pPr>
        <w:spacing w:after="0" w:line="240" w:lineRule="auto"/>
        <w:ind w:left="851"/>
        <w:rPr>
          <w:rFonts w:ascii="Arial" w:eastAsia="Times New Roman" w:hAnsi="Arial" w:cs="Arial"/>
          <w:sz w:val="20"/>
          <w:szCs w:val="20"/>
          <w:lang w:eastAsia="pt-BR"/>
        </w:rPr>
      </w:pPr>
      <w:r w:rsidRPr="009755C1">
        <w:rPr>
          <w:rFonts w:ascii="Arial" w:eastAsia="Times New Roman" w:hAnsi="Arial" w:cs="Arial"/>
          <w:sz w:val="20"/>
          <w:szCs w:val="20"/>
          <w:lang w:eastAsia="pt-BR"/>
        </w:rPr>
        <w:t>&lt;CodigoTabela&gt;</w:t>
      </w:r>
      <w:r w:rsidRPr="009755C1">
        <w:rPr>
          <w:rFonts w:ascii="Arial" w:eastAsia="Times New Roman" w:hAnsi="Arial" w:cs="Arial"/>
          <w:b/>
          <w:sz w:val="20"/>
          <w:szCs w:val="20"/>
          <w:lang w:eastAsia="pt-BR"/>
        </w:rPr>
        <w:t>9</w:t>
      </w:r>
      <w:r w:rsidRPr="009755C1">
        <w:rPr>
          <w:rFonts w:ascii="Arial" w:eastAsia="Times New Roman" w:hAnsi="Arial" w:cs="Arial"/>
          <w:sz w:val="20"/>
          <w:szCs w:val="20"/>
          <w:lang w:eastAsia="pt-BR"/>
        </w:rPr>
        <w:t>&lt;/CodigoTabela&gt;</w:t>
      </w:r>
    </w:p>
    <w:p w14:paraId="27D32225" w14:textId="77777777" w:rsidR="009755C1" w:rsidRPr="009755C1" w:rsidRDefault="009755C1" w:rsidP="009755C1">
      <w:pPr>
        <w:spacing w:after="0" w:line="240" w:lineRule="auto"/>
        <w:ind w:left="851"/>
        <w:rPr>
          <w:rFonts w:ascii="Arial" w:eastAsia="Times New Roman" w:hAnsi="Arial" w:cs="Arial"/>
          <w:sz w:val="20"/>
          <w:szCs w:val="20"/>
          <w:lang w:eastAsia="pt-BR"/>
        </w:rPr>
      </w:pPr>
      <w:r w:rsidRPr="009755C1">
        <w:rPr>
          <w:rFonts w:ascii="Arial" w:eastAsia="Times New Roman" w:hAnsi="Arial" w:cs="Arial"/>
          <w:sz w:val="20"/>
          <w:szCs w:val="20"/>
          <w:lang w:eastAsia="pt-BR"/>
        </w:rPr>
        <w:t>&lt;CodigoUnidadeGestora&gt;</w:t>
      </w:r>
      <w:r w:rsidRPr="009755C1">
        <w:rPr>
          <w:rFonts w:ascii="Arial" w:eastAsia="Times New Roman" w:hAnsi="Arial" w:cs="Arial"/>
          <w:b/>
          <w:sz w:val="20"/>
          <w:szCs w:val="20"/>
          <w:lang w:eastAsia="pt-BR"/>
        </w:rPr>
        <w:t>XXXXXXXXXXX</w:t>
      </w:r>
      <w:r w:rsidRPr="009755C1">
        <w:rPr>
          <w:rFonts w:ascii="Arial" w:eastAsia="Times New Roman" w:hAnsi="Arial" w:cs="Arial"/>
          <w:sz w:val="20"/>
          <w:szCs w:val="20"/>
          <w:lang w:eastAsia="pt-BR"/>
        </w:rPr>
        <w:t>&lt;/CodigoUnidadeGestora &gt;</w:t>
      </w:r>
    </w:p>
    <w:p w14:paraId="69D1A820" w14:textId="77777777" w:rsidR="009755C1" w:rsidRPr="009755C1" w:rsidRDefault="009755C1" w:rsidP="009755C1">
      <w:pPr>
        <w:spacing w:after="0" w:line="240" w:lineRule="auto"/>
        <w:ind w:left="851"/>
        <w:rPr>
          <w:rFonts w:ascii="Arial" w:eastAsia="Times New Roman" w:hAnsi="Arial" w:cs="Arial"/>
          <w:sz w:val="20"/>
          <w:szCs w:val="20"/>
          <w:lang w:eastAsia="pt-BR"/>
        </w:rPr>
      </w:pPr>
      <w:r w:rsidRPr="009755C1">
        <w:rPr>
          <w:rFonts w:ascii="Arial" w:eastAsia="Times New Roman" w:hAnsi="Arial" w:cs="Arial"/>
          <w:sz w:val="20"/>
          <w:szCs w:val="20"/>
          <w:lang w:eastAsia="pt-BR"/>
        </w:rPr>
        <w:t>&lt;DescricaoOrgaoExterno&gt;</w:t>
      </w:r>
      <w:r w:rsidRPr="009755C1">
        <w:rPr>
          <w:rFonts w:ascii="Arial" w:eastAsia="Times New Roman" w:hAnsi="Arial" w:cs="Arial"/>
          <w:b/>
          <w:sz w:val="20"/>
          <w:szCs w:val="20"/>
          <w:lang w:eastAsia="pt-BR"/>
        </w:rPr>
        <w:t>XXX...XXX</w:t>
      </w:r>
      <w:r w:rsidRPr="009755C1">
        <w:rPr>
          <w:rFonts w:ascii="Arial" w:eastAsia="Times New Roman" w:hAnsi="Arial" w:cs="Arial"/>
          <w:sz w:val="20"/>
          <w:szCs w:val="20"/>
          <w:lang w:eastAsia="pt-BR"/>
        </w:rPr>
        <w:t xml:space="preserve">&lt;/DescricaoOrgaoExterno&gt; </w:t>
      </w:r>
    </w:p>
    <w:p w14:paraId="2B2BC6CB" w14:textId="77777777" w:rsidR="009755C1" w:rsidRPr="009755C1" w:rsidRDefault="009755C1" w:rsidP="009755C1">
      <w:pPr>
        <w:spacing w:after="0" w:line="240" w:lineRule="auto"/>
        <w:ind w:left="851"/>
        <w:rPr>
          <w:rFonts w:ascii="Arial" w:eastAsia="Times New Roman" w:hAnsi="Arial" w:cs="Arial"/>
          <w:sz w:val="20"/>
          <w:szCs w:val="20"/>
          <w:lang w:eastAsia="pt-BR"/>
        </w:rPr>
      </w:pPr>
      <w:r w:rsidRPr="009755C1">
        <w:rPr>
          <w:rFonts w:ascii="Arial" w:eastAsia="Times New Roman" w:hAnsi="Arial" w:cs="Arial"/>
          <w:sz w:val="20"/>
          <w:szCs w:val="20"/>
          <w:lang w:eastAsia="pt-BR"/>
        </w:rPr>
        <w:t>&lt;ValorArrecadadoExerciciosAnteriores&gt;</w:t>
      </w:r>
      <w:r w:rsidRPr="009755C1">
        <w:rPr>
          <w:rFonts w:ascii="Arial" w:eastAsia="Times New Roman" w:hAnsi="Arial" w:cs="Arial"/>
          <w:b/>
          <w:sz w:val="20"/>
          <w:szCs w:val="20"/>
          <w:lang w:eastAsia="pt-BR"/>
        </w:rPr>
        <w:t>99999999999999.99</w:t>
      </w:r>
      <w:r w:rsidRPr="009755C1">
        <w:rPr>
          <w:rFonts w:ascii="Arial" w:eastAsia="Times New Roman" w:hAnsi="Arial" w:cs="Arial"/>
          <w:sz w:val="20"/>
          <w:szCs w:val="20"/>
          <w:lang w:eastAsia="pt-BR"/>
        </w:rPr>
        <w:t xml:space="preserve">&lt;/ValorArrecadadoExerciciosAnteriores&gt; </w:t>
      </w:r>
    </w:p>
    <w:p w14:paraId="49761431" w14:textId="77777777" w:rsidR="009755C1" w:rsidRPr="009755C1" w:rsidRDefault="009755C1" w:rsidP="009755C1">
      <w:pPr>
        <w:spacing w:after="0" w:line="240" w:lineRule="auto"/>
        <w:ind w:leftChars="386" w:left="849" w:firstLine="1"/>
        <w:rPr>
          <w:rFonts w:ascii="Arial" w:eastAsia="Times New Roman" w:hAnsi="Arial" w:cs="Arial"/>
          <w:sz w:val="20"/>
          <w:szCs w:val="20"/>
          <w:lang w:eastAsia="pt-BR"/>
        </w:rPr>
      </w:pPr>
      <w:r w:rsidRPr="009755C1">
        <w:rPr>
          <w:rFonts w:ascii="Arial" w:eastAsia="Times New Roman" w:hAnsi="Arial" w:cs="Arial"/>
          <w:sz w:val="20"/>
          <w:szCs w:val="20"/>
          <w:lang w:eastAsia="pt-BR"/>
        </w:rPr>
        <w:t>&lt;ValorDevidoMes01&gt;</w:t>
      </w:r>
      <w:r w:rsidRPr="009755C1">
        <w:rPr>
          <w:rFonts w:ascii="Arial" w:eastAsia="Times New Roman" w:hAnsi="Arial" w:cs="Arial"/>
          <w:b/>
          <w:sz w:val="20"/>
          <w:szCs w:val="20"/>
          <w:lang w:eastAsia="pt-BR"/>
        </w:rPr>
        <w:t>99999999999999.99</w:t>
      </w:r>
      <w:r w:rsidRPr="009755C1">
        <w:rPr>
          <w:rFonts w:ascii="Arial" w:eastAsia="Times New Roman" w:hAnsi="Arial" w:cs="Arial"/>
          <w:sz w:val="20"/>
          <w:szCs w:val="20"/>
          <w:lang w:eastAsia="pt-BR"/>
        </w:rPr>
        <w:t>&lt;/ValorDevidoMes01&gt;</w:t>
      </w:r>
    </w:p>
    <w:p w14:paraId="51F1695A" w14:textId="77777777" w:rsidR="009755C1" w:rsidRPr="009755C1" w:rsidRDefault="009755C1" w:rsidP="009755C1">
      <w:pPr>
        <w:spacing w:after="0" w:line="240" w:lineRule="auto"/>
        <w:ind w:leftChars="386" w:left="849" w:firstLine="1"/>
        <w:rPr>
          <w:rFonts w:ascii="Arial" w:eastAsia="Times New Roman" w:hAnsi="Arial" w:cs="Arial"/>
          <w:sz w:val="20"/>
          <w:szCs w:val="20"/>
          <w:lang w:eastAsia="pt-BR"/>
        </w:rPr>
      </w:pPr>
      <w:r w:rsidRPr="009755C1">
        <w:rPr>
          <w:rFonts w:ascii="Arial" w:eastAsia="Times New Roman" w:hAnsi="Arial" w:cs="Arial"/>
          <w:sz w:val="20"/>
          <w:szCs w:val="20"/>
          <w:lang w:eastAsia="pt-BR"/>
        </w:rPr>
        <w:t>&lt;ValorArrecadadoMes01&gt;</w:t>
      </w:r>
      <w:r w:rsidRPr="009755C1">
        <w:rPr>
          <w:rFonts w:ascii="Arial" w:eastAsia="Times New Roman" w:hAnsi="Arial" w:cs="Arial"/>
          <w:b/>
          <w:sz w:val="20"/>
          <w:szCs w:val="20"/>
          <w:lang w:eastAsia="pt-BR"/>
        </w:rPr>
        <w:t>99999999999999.99</w:t>
      </w:r>
      <w:r w:rsidRPr="009755C1">
        <w:rPr>
          <w:rFonts w:ascii="Arial" w:eastAsia="Times New Roman" w:hAnsi="Arial" w:cs="Arial"/>
          <w:sz w:val="20"/>
          <w:szCs w:val="20"/>
          <w:lang w:eastAsia="pt-BR"/>
        </w:rPr>
        <w:t>&lt;/ValorArrecadadoMes01&gt;</w:t>
      </w:r>
    </w:p>
    <w:p w14:paraId="35637B76" w14:textId="77777777" w:rsidR="009755C1" w:rsidRPr="009755C1" w:rsidRDefault="009755C1" w:rsidP="009755C1">
      <w:pPr>
        <w:spacing w:after="0" w:line="240" w:lineRule="auto"/>
        <w:ind w:leftChars="386" w:left="849" w:firstLine="1"/>
        <w:rPr>
          <w:rFonts w:ascii="Arial" w:eastAsia="Times New Roman" w:hAnsi="Arial" w:cs="Arial"/>
          <w:sz w:val="20"/>
          <w:szCs w:val="20"/>
          <w:lang w:eastAsia="pt-BR"/>
        </w:rPr>
      </w:pPr>
      <w:r w:rsidRPr="009755C1">
        <w:rPr>
          <w:rFonts w:ascii="Arial" w:eastAsia="Times New Roman" w:hAnsi="Arial" w:cs="Arial"/>
          <w:sz w:val="20"/>
          <w:szCs w:val="20"/>
          <w:lang w:eastAsia="pt-BR"/>
        </w:rPr>
        <w:t>&lt;ValorDevidoMes02&gt;</w:t>
      </w:r>
      <w:r w:rsidRPr="009755C1">
        <w:rPr>
          <w:rFonts w:ascii="Arial" w:eastAsia="Times New Roman" w:hAnsi="Arial" w:cs="Arial"/>
          <w:b/>
          <w:sz w:val="20"/>
          <w:szCs w:val="20"/>
          <w:lang w:eastAsia="pt-BR"/>
        </w:rPr>
        <w:t>99999999999999.99</w:t>
      </w:r>
      <w:r w:rsidRPr="009755C1">
        <w:rPr>
          <w:rFonts w:ascii="Arial" w:eastAsia="Times New Roman" w:hAnsi="Arial" w:cs="Arial"/>
          <w:sz w:val="20"/>
          <w:szCs w:val="20"/>
          <w:lang w:eastAsia="pt-BR"/>
        </w:rPr>
        <w:t>&lt;/ValorDevidoMes02&gt;</w:t>
      </w:r>
    </w:p>
    <w:p w14:paraId="44842892" w14:textId="77777777" w:rsidR="009755C1" w:rsidRPr="009755C1" w:rsidRDefault="009755C1" w:rsidP="009755C1">
      <w:pPr>
        <w:spacing w:after="0" w:line="240" w:lineRule="auto"/>
        <w:ind w:leftChars="386" w:left="849" w:firstLine="1"/>
        <w:rPr>
          <w:rFonts w:ascii="Arial" w:eastAsia="Times New Roman" w:hAnsi="Arial" w:cs="Arial"/>
          <w:sz w:val="20"/>
          <w:szCs w:val="20"/>
          <w:lang w:eastAsia="pt-BR"/>
        </w:rPr>
      </w:pPr>
      <w:r w:rsidRPr="009755C1">
        <w:rPr>
          <w:rFonts w:ascii="Arial" w:eastAsia="Times New Roman" w:hAnsi="Arial" w:cs="Arial"/>
          <w:sz w:val="20"/>
          <w:szCs w:val="20"/>
          <w:lang w:eastAsia="pt-BR"/>
        </w:rPr>
        <w:t>&lt;ValorArrecadadoMes02&gt;</w:t>
      </w:r>
      <w:r w:rsidRPr="009755C1">
        <w:rPr>
          <w:rFonts w:ascii="Arial" w:eastAsia="Times New Roman" w:hAnsi="Arial" w:cs="Arial"/>
          <w:b/>
          <w:sz w:val="20"/>
          <w:szCs w:val="20"/>
          <w:lang w:eastAsia="pt-BR"/>
        </w:rPr>
        <w:t>99999999999999.99</w:t>
      </w:r>
      <w:r w:rsidRPr="009755C1">
        <w:rPr>
          <w:rFonts w:ascii="Arial" w:eastAsia="Times New Roman" w:hAnsi="Arial" w:cs="Arial"/>
          <w:sz w:val="20"/>
          <w:szCs w:val="20"/>
          <w:lang w:eastAsia="pt-BR"/>
        </w:rPr>
        <w:t>&lt;/ValorArrecadadoMes02&gt;</w:t>
      </w:r>
    </w:p>
    <w:p w14:paraId="1D15468D" w14:textId="77777777" w:rsidR="009755C1" w:rsidRPr="009755C1" w:rsidRDefault="009755C1" w:rsidP="009755C1">
      <w:pPr>
        <w:spacing w:after="0" w:line="240" w:lineRule="auto"/>
        <w:ind w:leftChars="386" w:left="849" w:firstLine="1"/>
        <w:rPr>
          <w:rFonts w:ascii="Arial" w:eastAsia="Times New Roman" w:hAnsi="Arial" w:cs="Arial"/>
          <w:sz w:val="20"/>
          <w:szCs w:val="20"/>
          <w:lang w:eastAsia="pt-BR"/>
        </w:rPr>
      </w:pPr>
      <w:r w:rsidRPr="009755C1">
        <w:rPr>
          <w:rFonts w:ascii="Arial" w:eastAsia="Times New Roman" w:hAnsi="Arial" w:cs="Arial"/>
          <w:sz w:val="20"/>
          <w:szCs w:val="20"/>
          <w:lang w:eastAsia="pt-BR"/>
        </w:rPr>
        <w:t>&lt;ValorDevidoMes03&gt;</w:t>
      </w:r>
      <w:r w:rsidRPr="009755C1">
        <w:rPr>
          <w:rFonts w:ascii="Arial" w:eastAsia="Times New Roman" w:hAnsi="Arial" w:cs="Arial"/>
          <w:b/>
          <w:sz w:val="20"/>
          <w:szCs w:val="20"/>
          <w:lang w:eastAsia="pt-BR"/>
        </w:rPr>
        <w:t>99999999999999.99</w:t>
      </w:r>
      <w:r w:rsidRPr="009755C1">
        <w:rPr>
          <w:rFonts w:ascii="Arial" w:eastAsia="Times New Roman" w:hAnsi="Arial" w:cs="Arial"/>
          <w:sz w:val="20"/>
          <w:szCs w:val="20"/>
          <w:lang w:eastAsia="pt-BR"/>
        </w:rPr>
        <w:t>&lt;/ValorDevidoMes03&gt;</w:t>
      </w:r>
    </w:p>
    <w:p w14:paraId="54405D12" w14:textId="77777777" w:rsidR="009755C1" w:rsidRPr="009755C1" w:rsidRDefault="009755C1" w:rsidP="009755C1">
      <w:pPr>
        <w:spacing w:after="0" w:line="240" w:lineRule="auto"/>
        <w:ind w:leftChars="386" w:left="849" w:firstLine="1"/>
        <w:rPr>
          <w:rFonts w:ascii="Arial" w:eastAsia="Times New Roman" w:hAnsi="Arial" w:cs="Arial"/>
          <w:sz w:val="20"/>
          <w:szCs w:val="20"/>
          <w:lang w:eastAsia="pt-BR"/>
        </w:rPr>
      </w:pPr>
      <w:r w:rsidRPr="009755C1">
        <w:rPr>
          <w:rFonts w:ascii="Arial" w:eastAsia="Times New Roman" w:hAnsi="Arial" w:cs="Arial"/>
          <w:sz w:val="20"/>
          <w:szCs w:val="20"/>
          <w:lang w:eastAsia="pt-BR"/>
        </w:rPr>
        <w:t>&lt;ValorArrecadadoMes03&gt;</w:t>
      </w:r>
      <w:r w:rsidRPr="009755C1">
        <w:rPr>
          <w:rFonts w:ascii="Arial" w:eastAsia="Times New Roman" w:hAnsi="Arial" w:cs="Arial"/>
          <w:b/>
          <w:sz w:val="20"/>
          <w:szCs w:val="20"/>
          <w:lang w:eastAsia="pt-BR"/>
        </w:rPr>
        <w:t>99999999999999.99</w:t>
      </w:r>
      <w:r w:rsidRPr="009755C1">
        <w:rPr>
          <w:rFonts w:ascii="Arial" w:eastAsia="Times New Roman" w:hAnsi="Arial" w:cs="Arial"/>
          <w:sz w:val="20"/>
          <w:szCs w:val="20"/>
          <w:lang w:eastAsia="pt-BR"/>
        </w:rPr>
        <w:t>&lt;/ValorArrecadadoMes03&gt;</w:t>
      </w:r>
    </w:p>
    <w:p w14:paraId="443F712D" w14:textId="77777777" w:rsidR="009755C1" w:rsidRPr="009755C1" w:rsidRDefault="009755C1" w:rsidP="009755C1">
      <w:pPr>
        <w:spacing w:after="0" w:line="240" w:lineRule="auto"/>
        <w:ind w:leftChars="386" w:left="849" w:firstLine="1"/>
        <w:rPr>
          <w:rFonts w:ascii="Arial" w:eastAsia="Times New Roman" w:hAnsi="Arial" w:cs="Arial"/>
          <w:sz w:val="20"/>
          <w:szCs w:val="20"/>
          <w:lang w:eastAsia="pt-BR"/>
        </w:rPr>
      </w:pPr>
      <w:r w:rsidRPr="009755C1">
        <w:rPr>
          <w:rFonts w:ascii="Arial" w:eastAsia="Times New Roman" w:hAnsi="Arial" w:cs="Arial"/>
          <w:sz w:val="20"/>
          <w:szCs w:val="20"/>
          <w:lang w:eastAsia="pt-BR"/>
        </w:rPr>
        <w:t>&lt;ValorDevidoMes04&gt;</w:t>
      </w:r>
      <w:r w:rsidRPr="009755C1">
        <w:rPr>
          <w:rFonts w:ascii="Arial" w:eastAsia="Times New Roman" w:hAnsi="Arial" w:cs="Arial"/>
          <w:b/>
          <w:sz w:val="20"/>
          <w:szCs w:val="20"/>
          <w:lang w:eastAsia="pt-BR"/>
        </w:rPr>
        <w:t>99999999999999.99</w:t>
      </w:r>
      <w:r w:rsidRPr="009755C1">
        <w:rPr>
          <w:rFonts w:ascii="Arial" w:eastAsia="Times New Roman" w:hAnsi="Arial" w:cs="Arial"/>
          <w:sz w:val="20"/>
          <w:szCs w:val="20"/>
          <w:lang w:eastAsia="pt-BR"/>
        </w:rPr>
        <w:t>&lt;/ValorDevidoMes04&gt;</w:t>
      </w:r>
    </w:p>
    <w:p w14:paraId="50E5ABEE" w14:textId="77777777" w:rsidR="009755C1" w:rsidRPr="009755C1" w:rsidRDefault="009755C1" w:rsidP="009755C1">
      <w:pPr>
        <w:spacing w:after="0" w:line="240" w:lineRule="auto"/>
        <w:ind w:leftChars="386" w:left="849" w:firstLine="1"/>
        <w:rPr>
          <w:rFonts w:ascii="Arial" w:eastAsia="Times New Roman" w:hAnsi="Arial" w:cs="Arial"/>
          <w:sz w:val="20"/>
          <w:szCs w:val="20"/>
          <w:lang w:eastAsia="pt-BR"/>
        </w:rPr>
      </w:pPr>
      <w:r w:rsidRPr="009755C1">
        <w:rPr>
          <w:rFonts w:ascii="Arial" w:eastAsia="Times New Roman" w:hAnsi="Arial" w:cs="Arial"/>
          <w:sz w:val="20"/>
          <w:szCs w:val="20"/>
          <w:lang w:eastAsia="pt-BR"/>
        </w:rPr>
        <w:t>&lt;ValorArrecadadoMes04&gt;</w:t>
      </w:r>
      <w:r w:rsidRPr="009755C1">
        <w:rPr>
          <w:rFonts w:ascii="Arial" w:eastAsia="Times New Roman" w:hAnsi="Arial" w:cs="Arial"/>
          <w:b/>
          <w:sz w:val="20"/>
          <w:szCs w:val="20"/>
          <w:lang w:eastAsia="pt-BR"/>
        </w:rPr>
        <w:t>99999999999999.99</w:t>
      </w:r>
      <w:r w:rsidRPr="009755C1">
        <w:rPr>
          <w:rFonts w:ascii="Arial" w:eastAsia="Times New Roman" w:hAnsi="Arial" w:cs="Arial"/>
          <w:sz w:val="20"/>
          <w:szCs w:val="20"/>
          <w:lang w:eastAsia="pt-BR"/>
        </w:rPr>
        <w:t>&lt;/ValorArrecadadoMes04&gt;</w:t>
      </w:r>
    </w:p>
    <w:p w14:paraId="1601A879" w14:textId="77777777" w:rsidR="009755C1" w:rsidRPr="009755C1" w:rsidRDefault="009755C1" w:rsidP="009755C1">
      <w:pPr>
        <w:spacing w:after="0" w:line="240" w:lineRule="auto"/>
        <w:ind w:leftChars="386" w:left="849" w:firstLine="1"/>
        <w:rPr>
          <w:rFonts w:ascii="Arial" w:eastAsia="Times New Roman" w:hAnsi="Arial" w:cs="Arial"/>
          <w:sz w:val="20"/>
          <w:szCs w:val="20"/>
          <w:lang w:eastAsia="pt-BR"/>
        </w:rPr>
      </w:pPr>
      <w:r w:rsidRPr="009755C1">
        <w:rPr>
          <w:rFonts w:ascii="Arial" w:eastAsia="Times New Roman" w:hAnsi="Arial" w:cs="Arial"/>
          <w:sz w:val="20"/>
          <w:szCs w:val="20"/>
          <w:lang w:eastAsia="pt-BR"/>
        </w:rPr>
        <w:t>&lt;ValorDevidoMes05&gt;</w:t>
      </w:r>
      <w:r w:rsidRPr="009755C1">
        <w:rPr>
          <w:rFonts w:ascii="Arial" w:eastAsia="Times New Roman" w:hAnsi="Arial" w:cs="Arial"/>
          <w:b/>
          <w:sz w:val="20"/>
          <w:szCs w:val="20"/>
          <w:lang w:eastAsia="pt-BR"/>
        </w:rPr>
        <w:t>99999999999999.99</w:t>
      </w:r>
      <w:r w:rsidRPr="009755C1">
        <w:rPr>
          <w:rFonts w:ascii="Arial" w:eastAsia="Times New Roman" w:hAnsi="Arial" w:cs="Arial"/>
          <w:sz w:val="20"/>
          <w:szCs w:val="20"/>
          <w:lang w:eastAsia="pt-BR"/>
        </w:rPr>
        <w:t>&lt;/ValorDevidoMes05&gt;</w:t>
      </w:r>
    </w:p>
    <w:p w14:paraId="58A8E9B8" w14:textId="77777777" w:rsidR="009755C1" w:rsidRPr="009755C1" w:rsidRDefault="009755C1" w:rsidP="009755C1">
      <w:pPr>
        <w:spacing w:after="0" w:line="240" w:lineRule="auto"/>
        <w:ind w:leftChars="386" w:left="849" w:firstLine="1"/>
        <w:rPr>
          <w:rFonts w:ascii="Arial" w:eastAsia="Times New Roman" w:hAnsi="Arial" w:cs="Arial"/>
          <w:sz w:val="20"/>
          <w:szCs w:val="20"/>
          <w:lang w:eastAsia="pt-BR"/>
        </w:rPr>
      </w:pPr>
      <w:r w:rsidRPr="009755C1">
        <w:rPr>
          <w:rFonts w:ascii="Arial" w:eastAsia="Times New Roman" w:hAnsi="Arial" w:cs="Arial"/>
          <w:sz w:val="20"/>
          <w:szCs w:val="20"/>
          <w:lang w:eastAsia="pt-BR"/>
        </w:rPr>
        <w:t>&lt;ValorArrecadadoMes05&gt;</w:t>
      </w:r>
      <w:r w:rsidRPr="009755C1">
        <w:rPr>
          <w:rFonts w:ascii="Arial" w:eastAsia="Times New Roman" w:hAnsi="Arial" w:cs="Arial"/>
          <w:b/>
          <w:sz w:val="20"/>
          <w:szCs w:val="20"/>
          <w:lang w:eastAsia="pt-BR"/>
        </w:rPr>
        <w:t>99999999999999.99</w:t>
      </w:r>
      <w:r w:rsidRPr="009755C1">
        <w:rPr>
          <w:rFonts w:ascii="Arial" w:eastAsia="Times New Roman" w:hAnsi="Arial" w:cs="Arial"/>
          <w:sz w:val="20"/>
          <w:szCs w:val="20"/>
          <w:lang w:eastAsia="pt-BR"/>
        </w:rPr>
        <w:t>&lt;/ValorArrecadadoMes05&gt;</w:t>
      </w:r>
    </w:p>
    <w:p w14:paraId="631B27C9" w14:textId="77777777" w:rsidR="009755C1" w:rsidRPr="009755C1" w:rsidRDefault="009755C1" w:rsidP="009755C1">
      <w:pPr>
        <w:spacing w:after="0" w:line="240" w:lineRule="auto"/>
        <w:ind w:leftChars="386" w:left="849" w:firstLine="1"/>
        <w:rPr>
          <w:rFonts w:ascii="Arial" w:eastAsia="Times New Roman" w:hAnsi="Arial" w:cs="Arial"/>
          <w:sz w:val="20"/>
          <w:szCs w:val="20"/>
          <w:lang w:eastAsia="pt-BR"/>
        </w:rPr>
      </w:pPr>
      <w:r w:rsidRPr="009755C1">
        <w:rPr>
          <w:rFonts w:ascii="Arial" w:eastAsia="Times New Roman" w:hAnsi="Arial" w:cs="Arial"/>
          <w:sz w:val="20"/>
          <w:szCs w:val="20"/>
          <w:lang w:eastAsia="pt-BR"/>
        </w:rPr>
        <w:t>&lt;ValorDevidoMes06&gt;</w:t>
      </w:r>
      <w:r w:rsidRPr="009755C1">
        <w:rPr>
          <w:rFonts w:ascii="Arial" w:eastAsia="Times New Roman" w:hAnsi="Arial" w:cs="Arial"/>
          <w:b/>
          <w:sz w:val="20"/>
          <w:szCs w:val="20"/>
          <w:lang w:eastAsia="pt-BR"/>
        </w:rPr>
        <w:t>99999999999999.99</w:t>
      </w:r>
      <w:r w:rsidRPr="009755C1">
        <w:rPr>
          <w:rFonts w:ascii="Arial" w:eastAsia="Times New Roman" w:hAnsi="Arial" w:cs="Arial"/>
          <w:sz w:val="20"/>
          <w:szCs w:val="20"/>
          <w:lang w:eastAsia="pt-BR"/>
        </w:rPr>
        <w:t>&lt;/ValorDevidoMes06&gt;</w:t>
      </w:r>
    </w:p>
    <w:p w14:paraId="23D23219" w14:textId="77777777" w:rsidR="009755C1" w:rsidRPr="009755C1" w:rsidRDefault="009755C1" w:rsidP="009755C1">
      <w:pPr>
        <w:spacing w:after="0" w:line="240" w:lineRule="auto"/>
        <w:ind w:leftChars="386" w:left="849" w:firstLine="1"/>
        <w:rPr>
          <w:rFonts w:ascii="Arial" w:eastAsia="Times New Roman" w:hAnsi="Arial" w:cs="Arial"/>
          <w:sz w:val="20"/>
          <w:szCs w:val="20"/>
          <w:lang w:eastAsia="pt-BR"/>
        </w:rPr>
      </w:pPr>
      <w:r w:rsidRPr="009755C1">
        <w:rPr>
          <w:rFonts w:ascii="Arial" w:eastAsia="Times New Roman" w:hAnsi="Arial" w:cs="Arial"/>
          <w:sz w:val="20"/>
          <w:szCs w:val="20"/>
          <w:lang w:eastAsia="pt-BR"/>
        </w:rPr>
        <w:t>&lt;ValorArrecadadoMes06&gt;</w:t>
      </w:r>
      <w:r w:rsidRPr="009755C1">
        <w:rPr>
          <w:rFonts w:ascii="Arial" w:eastAsia="Times New Roman" w:hAnsi="Arial" w:cs="Arial"/>
          <w:b/>
          <w:sz w:val="20"/>
          <w:szCs w:val="20"/>
          <w:lang w:eastAsia="pt-BR"/>
        </w:rPr>
        <w:t>99999999999999.99</w:t>
      </w:r>
      <w:r w:rsidRPr="009755C1">
        <w:rPr>
          <w:rFonts w:ascii="Arial" w:eastAsia="Times New Roman" w:hAnsi="Arial" w:cs="Arial"/>
          <w:sz w:val="20"/>
          <w:szCs w:val="20"/>
          <w:lang w:eastAsia="pt-BR"/>
        </w:rPr>
        <w:t>&lt;/ValorArrecadadoMes06&gt;</w:t>
      </w:r>
    </w:p>
    <w:p w14:paraId="51D8A805" w14:textId="77777777" w:rsidR="009755C1" w:rsidRPr="009755C1" w:rsidRDefault="009755C1" w:rsidP="009755C1">
      <w:pPr>
        <w:spacing w:after="0" w:line="240" w:lineRule="auto"/>
        <w:ind w:leftChars="386" w:left="849" w:firstLine="1"/>
        <w:rPr>
          <w:rFonts w:ascii="Arial" w:eastAsia="Times New Roman" w:hAnsi="Arial" w:cs="Arial"/>
          <w:sz w:val="20"/>
          <w:szCs w:val="20"/>
          <w:lang w:eastAsia="pt-BR"/>
        </w:rPr>
      </w:pPr>
      <w:r w:rsidRPr="009755C1">
        <w:rPr>
          <w:rFonts w:ascii="Arial" w:eastAsia="Times New Roman" w:hAnsi="Arial" w:cs="Arial"/>
          <w:sz w:val="20"/>
          <w:szCs w:val="20"/>
          <w:lang w:eastAsia="pt-BR"/>
        </w:rPr>
        <w:t>&lt;ValorDevidoMes07&gt;</w:t>
      </w:r>
      <w:r w:rsidRPr="009755C1">
        <w:rPr>
          <w:rFonts w:ascii="Arial" w:eastAsia="Times New Roman" w:hAnsi="Arial" w:cs="Arial"/>
          <w:b/>
          <w:sz w:val="20"/>
          <w:szCs w:val="20"/>
          <w:lang w:eastAsia="pt-BR"/>
        </w:rPr>
        <w:t>99999999999999.99</w:t>
      </w:r>
      <w:r w:rsidRPr="009755C1">
        <w:rPr>
          <w:rFonts w:ascii="Arial" w:eastAsia="Times New Roman" w:hAnsi="Arial" w:cs="Arial"/>
          <w:sz w:val="20"/>
          <w:szCs w:val="20"/>
          <w:lang w:eastAsia="pt-BR"/>
        </w:rPr>
        <w:t>&lt;/ValorDevidoMes07&gt;</w:t>
      </w:r>
    </w:p>
    <w:p w14:paraId="7FB2B7D5" w14:textId="77777777" w:rsidR="009755C1" w:rsidRPr="009755C1" w:rsidRDefault="009755C1" w:rsidP="009755C1">
      <w:pPr>
        <w:spacing w:after="0" w:line="240" w:lineRule="auto"/>
        <w:ind w:leftChars="386" w:left="849" w:firstLine="1"/>
        <w:rPr>
          <w:rFonts w:ascii="Arial" w:eastAsia="Times New Roman" w:hAnsi="Arial" w:cs="Arial"/>
          <w:sz w:val="20"/>
          <w:szCs w:val="20"/>
          <w:lang w:eastAsia="pt-BR"/>
        </w:rPr>
      </w:pPr>
      <w:r w:rsidRPr="009755C1">
        <w:rPr>
          <w:rFonts w:ascii="Arial" w:eastAsia="Times New Roman" w:hAnsi="Arial" w:cs="Arial"/>
          <w:sz w:val="20"/>
          <w:szCs w:val="20"/>
          <w:lang w:eastAsia="pt-BR"/>
        </w:rPr>
        <w:t>&lt;ValorArrecadadoMes07&gt;</w:t>
      </w:r>
      <w:r w:rsidRPr="009755C1">
        <w:rPr>
          <w:rFonts w:ascii="Arial" w:eastAsia="Times New Roman" w:hAnsi="Arial" w:cs="Arial"/>
          <w:b/>
          <w:sz w:val="20"/>
          <w:szCs w:val="20"/>
          <w:lang w:eastAsia="pt-BR"/>
        </w:rPr>
        <w:t>99999999999999.99</w:t>
      </w:r>
      <w:r w:rsidRPr="009755C1">
        <w:rPr>
          <w:rFonts w:ascii="Arial" w:eastAsia="Times New Roman" w:hAnsi="Arial" w:cs="Arial"/>
          <w:sz w:val="20"/>
          <w:szCs w:val="20"/>
          <w:lang w:eastAsia="pt-BR"/>
        </w:rPr>
        <w:t>&lt;/ValorArrecadadoMes07&gt;</w:t>
      </w:r>
    </w:p>
    <w:p w14:paraId="0643556D" w14:textId="77777777" w:rsidR="009755C1" w:rsidRPr="009755C1" w:rsidRDefault="009755C1" w:rsidP="009755C1">
      <w:pPr>
        <w:spacing w:after="0" w:line="240" w:lineRule="auto"/>
        <w:ind w:leftChars="386" w:left="849" w:firstLine="1"/>
        <w:rPr>
          <w:rFonts w:ascii="Arial" w:eastAsia="Times New Roman" w:hAnsi="Arial" w:cs="Arial"/>
          <w:sz w:val="20"/>
          <w:szCs w:val="20"/>
          <w:lang w:eastAsia="pt-BR"/>
        </w:rPr>
      </w:pPr>
      <w:r w:rsidRPr="009755C1">
        <w:rPr>
          <w:rFonts w:ascii="Arial" w:eastAsia="Times New Roman" w:hAnsi="Arial" w:cs="Arial"/>
          <w:sz w:val="20"/>
          <w:szCs w:val="20"/>
          <w:lang w:eastAsia="pt-BR"/>
        </w:rPr>
        <w:t>&lt;ValorDevidoMes08&gt;</w:t>
      </w:r>
      <w:r w:rsidRPr="009755C1">
        <w:rPr>
          <w:rFonts w:ascii="Arial" w:eastAsia="Times New Roman" w:hAnsi="Arial" w:cs="Arial"/>
          <w:b/>
          <w:sz w:val="20"/>
          <w:szCs w:val="20"/>
          <w:lang w:eastAsia="pt-BR"/>
        </w:rPr>
        <w:t>99999999999999.99</w:t>
      </w:r>
      <w:r w:rsidRPr="009755C1">
        <w:rPr>
          <w:rFonts w:ascii="Arial" w:eastAsia="Times New Roman" w:hAnsi="Arial" w:cs="Arial"/>
          <w:sz w:val="20"/>
          <w:szCs w:val="20"/>
          <w:lang w:eastAsia="pt-BR"/>
        </w:rPr>
        <w:t>&lt;/ValorDevidoMes08&gt;</w:t>
      </w:r>
    </w:p>
    <w:p w14:paraId="6030F191" w14:textId="77777777" w:rsidR="009755C1" w:rsidRPr="009755C1" w:rsidRDefault="009755C1" w:rsidP="009755C1">
      <w:pPr>
        <w:spacing w:after="0" w:line="240" w:lineRule="auto"/>
        <w:ind w:leftChars="386" w:left="849" w:firstLine="1"/>
        <w:rPr>
          <w:rFonts w:ascii="Arial" w:eastAsia="Times New Roman" w:hAnsi="Arial" w:cs="Arial"/>
          <w:sz w:val="20"/>
          <w:szCs w:val="20"/>
          <w:lang w:eastAsia="pt-BR"/>
        </w:rPr>
      </w:pPr>
      <w:r w:rsidRPr="009755C1">
        <w:rPr>
          <w:rFonts w:ascii="Arial" w:eastAsia="Times New Roman" w:hAnsi="Arial" w:cs="Arial"/>
          <w:sz w:val="20"/>
          <w:szCs w:val="20"/>
          <w:lang w:eastAsia="pt-BR"/>
        </w:rPr>
        <w:t>&lt;ValorArrecadadoMes08&gt;</w:t>
      </w:r>
      <w:r w:rsidRPr="009755C1">
        <w:rPr>
          <w:rFonts w:ascii="Arial" w:eastAsia="Times New Roman" w:hAnsi="Arial" w:cs="Arial"/>
          <w:b/>
          <w:sz w:val="20"/>
          <w:szCs w:val="20"/>
          <w:lang w:eastAsia="pt-BR"/>
        </w:rPr>
        <w:t>99999999999999.99</w:t>
      </w:r>
      <w:r w:rsidRPr="009755C1">
        <w:rPr>
          <w:rFonts w:ascii="Arial" w:eastAsia="Times New Roman" w:hAnsi="Arial" w:cs="Arial"/>
          <w:sz w:val="20"/>
          <w:szCs w:val="20"/>
          <w:lang w:eastAsia="pt-BR"/>
        </w:rPr>
        <w:t>&lt;/ValorArrecadadoMes08&gt;</w:t>
      </w:r>
    </w:p>
    <w:p w14:paraId="50B01FA4" w14:textId="77777777" w:rsidR="009755C1" w:rsidRPr="009755C1" w:rsidRDefault="009755C1" w:rsidP="009755C1">
      <w:pPr>
        <w:spacing w:after="0" w:line="240" w:lineRule="auto"/>
        <w:ind w:leftChars="386" w:left="849" w:firstLine="1"/>
        <w:rPr>
          <w:rFonts w:ascii="Arial" w:eastAsia="Times New Roman" w:hAnsi="Arial" w:cs="Arial"/>
          <w:sz w:val="20"/>
          <w:szCs w:val="20"/>
          <w:lang w:eastAsia="pt-BR"/>
        </w:rPr>
      </w:pPr>
      <w:r w:rsidRPr="009755C1">
        <w:rPr>
          <w:rFonts w:ascii="Arial" w:eastAsia="Times New Roman" w:hAnsi="Arial" w:cs="Arial"/>
          <w:sz w:val="20"/>
          <w:szCs w:val="20"/>
          <w:lang w:eastAsia="pt-BR"/>
        </w:rPr>
        <w:t>&lt;ValorDevidoMes09&gt;</w:t>
      </w:r>
      <w:r w:rsidRPr="009755C1">
        <w:rPr>
          <w:rFonts w:ascii="Arial" w:eastAsia="Times New Roman" w:hAnsi="Arial" w:cs="Arial"/>
          <w:b/>
          <w:sz w:val="20"/>
          <w:szCs w:val="20"/>
          <w:lang w:eastAsia="pt-BR"/>
        </w:rPr>
        <w:t>99999999999999.99</w:t>
      </w:r>
      <w:r w:rsidRPr="009755C1">
        <w:rPr>
          <w:rFonts w:ascii="Arial" w:eastAsia="Times New Roman" w:hAnsi="Arial" w:cs="Arial"/>
          <w:sz w:val="20"/>
          <w:szCs w:val="20"/>
          <w:lang w:eastAsia="pt-BR"/>
        </w:rPr>
        <w:t>&lt;/ValorDevidoMes09&gt;</w:t>
      </w:r>
    </w:p>
    <w:p w14:paraId="0FBAB9DD" w14:textId="77777777" w:rsidR="009755C1" w:rsidRPr="009755C1" w:rsidRDefault="009755C1" w:rsidP="009755C1">
      <w:pPr>
        <w:spacing w:after="0" w:line="240" w:lineRule="auto"/>
        <w:ind w:leftChars="386" w:left="849" w:firstLine="1"/>
        <w:rPr>
          <w:rFonts w:ascii="Arial" w:eastAsia="Times New Roman" w:hAnsi="Arial" w:cs="Arial"/>
          <w:sz w:val="20"/>
          <w:szCs w:val="20"/>
          <w:lang w:eastAsia="pt-BR"/>
        </w:rPr>
      </w:pPr>
      <w:r w:rsidRPr="009755C1">
        <w:rPr>
          <w:rFonts w:ascii="Arial" w:eastAsia="Times New Roman" w:hAnsi="Arial" w:cs="Arial"/>
          <w:sz w:val="20"/>
          <w:szCs w:val="20"/>
          <w:lang w:eastAsia="pt-BR"/>
        </w:rPr>
        <w:t>&lt;ValorArrecadadoMes09&gt;</w:t>
      </w:r>
      <w:r w:rsidRPr="009755C1">
        <w:rPr>
          <w:rFonts w:ascii="Arial" w:eastAsia="Times New Roman" w:hAnsi="Arial" w:cs="Arial"/>
          <w:b/>
          <w:sz w:val="20"/>
          <w:szCs w:val="20"/>
          <w:lang w:eastAsia="pt-BR"/>
        </w:rPr>
        <w:t>99999999999999.99</w:t>
      </w:r>
      <w:r w:rsidRPr="009755C1">
        <w:rPr>
          <w:rFonts w:ascii="Arial" w:eastAsia="Times New Roman" w:hAnsi="Arial" w:cs="Arial"/>
          <w:sz w:val="20"/>
          <w:szCs w:val="20"/>
          <w:lang w:eastAsia="pt-BR"/>
        </w:rPr>
        <w:t>&lt;/ValorArrecadadoMes09&gt;</w:t>
      </w:r>
    </w:p>
    <w:p w14:paraId="0978FA40" w14:textId="77777777" w:rsidR="009755C1" w:rsidRPr="009755C1" w:rsidRDefault="009755C1" w:rsidP="009755C1">
      <w:pPr>
        <w:spacing w:after="0" w:line="240" w:lineRule="auto"/>
        <w:ind w:leftChars="386" w:left="849" w:firstLine="1"/>
        <w:rPr>
          <w:rFonts w:ascii="Arial" w:eastAsia="Times New Roman" w:hAnsi="Arial" w:cs="Arial"/>
          <w:sz w:val="20"/>
          <w:szCs w:val="20"/>
          <w:lang w:eastAsia="pt-BR"/>
        </w:rPr>
      </w:pPr>
      <w:r w:rsidRPr="009755C1">
        <w:rPr>
          <w:rFonts w:ascii="Arial" w:eastAsia="Times New Roman" w:hAnsi="Arial" w:cs="Arial"/>
          <w:sz w:val="20"/>
          <w:szCs w:val="20"/>
          <w:lang w:eastAsia="pt-BR"/>
        </w:rPr>
        <w:t>&lt;ValorDevidoMes10&gt;</w:t>
      </w:r>
      <w:r w:rsidRPr="009755C1">
        <w:rPr>
          <w:rFonts w:ascii="Arial" w:eastAsia="Times New Roman" w:hAnsi="Arial" w:cs="Arial"/>
          <w:b/>
          <w:sz w:val="20"/>
          <w:szCs w:val="20"/>
          <w:lang w:eastAsia="pt-BR"/>
        </w:rPr>
        <w:t>99999999999999.99</w:t>
      </w:r>
      <w:r w:rsidRPr="009755C1">
        <w:rPr>
          <w:rFonts w:ascii="Arial" w:eastAsia="Times New Roman" w:hAnsi="Arial" w:cs="Arial"/>
          <w:sz w:val="20"/>
          <w:szCs w:val="20"/>
          <w:lang w:eastAsia="pt-BR"/>
        </w:rPr>
        <w:t>&lt;/ValorDevidoMes10&gt;</w:t>
      </w:r>
    </w:p>
    <w:p w14:paraId="01252E1D" w14:textId="77777777" w:rsidR="009755C1" w:rsidRPr="009755C1" w:rsidRDefault="009755C1" w:rsidP="009755C1">
      <w:pPr>
        <w:spacing w:after="0" w:line="240" w:lineRule="auto"/>
        <w:ind w:leftChars="386" w:left="849" w:firstLine="1"/>
        <w:rPr>
          <w:rFonts w:ascii="Arial" w:eastAsia="Times New Roman" w:hAnsi="Arial" w:cs="Arial"/>
          <w:sz w:val="20"/>
          <w:szCs w:val="20"/>
          <w:lang w:eastAsia="pt-BR"/>
        </w:rPr>
      </w:pPr>
      <w:r w:rsidRPr="009755C1">
        <w:rPr>
          <w:rFonts w:ascii="Arial" w:eastAsia="Times New Roman" w:hAnsi="Arial" w:cs="Arial"/>
          <w:sz w:val="20"/>
          <w:szCs w:val="20"/>
          <w:lang w:eastAsia="pt-BR"/>
        </w:rPr>
        <w:t>&lt;ValorArrecadadoMes10&gt;</w:t>
      </w:r>
      <w:r w:rsidRPr="009755C1">
        <w:rPr>
          <w:rFonts w:ascii="Arial" w:eastAsia="Times New Roman" w:hAnsi="Arial" w:cs="Arial"/>
          <w:b/>
          <w:sz w:val="20"/>
          <w:szCs w:val="20"/>
          <w:lang w:eastAsia="pt-BR"/>
        </w:rPr>
        <w:t>99999999999999.99</w:t>
      </w:r>
      <w:r w:rsidRPr="009755C1">
        <w:rPr>
          <w:rFonts w:ascii="Arial" w:eastAsia="Times New Roman" w:hAnsi="Arial" w:cs="Arial"/>
          <w:sz w:val="20"/>
          <w:szCs w:val="20"/>
          <w:lang w:eastAsia="pt-BR"/>
        </w:rPr>
        <w:t>&lt;/ValorArrecadadoMes10&gt;</w:t>
      </w:r>
    </w:p>
    <w:p w14:paraId="0A66BF3E" w14:textId="77777777" w:rsidR="009755C1" w:rsidRPr="009755C1" w:rsidRDefault="009755C1" w:rsidP="009755C1">
      <w:pPr>
        <w:spacing w:after="0" w:line="240" w:lineRule="auto"/>
        <w:ind w:leftChars="386" w:left="849" w:firstLine="1"/>
        <w:rPr>
          <w:rFonts w:ascii="Arial" w:eastAsia="Times New Roman" w:hAnsi="Arial" w:cs="Arial"/>
          <w:sz w:val="20"/>
          <w:szCs w:val="20"/>
          <w:lang w:eastAsia="pt-BR"/>
        </w:rPr>
      </w:pPr>
      <w:r w:rsidRPr="009755C1">
        <w:rPr>
          <w:rFonts w:ascii="Arial" w:eastAsia="Times New Roman" w:hAnsi="Arial" w:cs="Arial"/>
          <w:sz w:val="20"/>
          <w:szCs w:val="20"/>
          <w:lang w:eastAsia="pt-BR"/>
        </w:rPr>
        <w:t>&lt;ValorDevidoMes11&gt;</w:t>
      </w:r>
      <w:r w:rsidRPr="009755C1">
        <w:rPr>
          <w:rFonts w:ascii="Arial" w:eastAsia="Times New Roman" w:hAnsi="Arial" w:cs="Arial"/>
          <w:b/>
          <w:sz w:val="20"/>
          <w:szCs w:val="20"/>
          <w:lang w:eastAsia="pt-BR"/>
        </w:rPr>
        <w:t>99999999999999.99</w:t>
      </w:r>
      <w:r w:rsidRPr="009755C1">
        <w:rPr>
          <w:rFonts w:ascii="Arial" w:eastAsia="Times New Roman" w:hAnsi="Arial" w:cs="Arial"/>
          <w:sz w:val="20"/>
          <w:szCs w:val="20"/>
          <w:lang w:eastAsia="pt-BR"/>
        </w:rPr>
        <w:t>&lt;/ValorDevidoMes11&gt;</w:t>
      </w:r>
    </w:p>
    <w:p w14:paraId="22C3638D" w14:textId="77777777" w:rsidR="009755C1" w:rsidRPr="009755C1" w:rsidRDefault="009755C1" w:rsidP="009755C1">
      <w:pPr>
        <w:spacing w:after="0" w:line="240" w:lineRule="auto"/>
        <w:ind w:leftChars="386" w:left="849" w:firstLine="1"/>
        <w:rPr>
          <w:rFonts w:ascii="Arial" w:eastAsia="Times New Roman" w:hAnsi="Arial" w:cs="Arial"/>
          <w:sz w:val="20"/>
          <w:szCs w:val="20"/>
          <w:lang w:eastAsia="pt-BR"/>
        </w:rPr>
      </w:pPr>
      <w:r w:rsidRPr="009755C1">
        <w:rPr>
          <w:rFonts w:ascii="Arial" w:eastAsia="Times New Roman" w:hAnsi="Arial" w:cs="Arial"/>
          <w:sz w:val="20"/>
          <w:szCs w:val="20"/>
          <w:lang w:eastAsia="pt-BR"/>
        </w:rPr>
        <w:t>&lt;ValorArrecadadoMes11&gt;</w:t>
      </w:r>
      <w:r w:rsidRPr="009755C1">
        <w:rPr>
          <w:rFonts w:ascii="Arial" w:eastAsia="Times New Roman" w:hAnsi="Arial" w:cs="Arial"/>
          <w:b/>
          <w:sz w:val="20"/>
          <w:szCs w:val="20"/>
          <w:lang w:eastAsia="pt-BR"/>
        </w:rPr>
        <w:t>99999999999999.99</w:t>
      </w:r>
      <w:r w:rsidRPr="009755C1">
        <w:rPr>
          <w:rFonts w:ascii="Arial" w:eastAsia="Times New Roman" w:hAnsi="Arial" w:cs="Arial"/>
          <w:sz w:val="20"/>
          <w:szCs w:val="20"/>
          <w:lang w:eastAsia="pt-BR"/>
        </w:rPr>
        <w:t>&lt;/ValorArrecadadoMes11&gt;</w:t>
      </w:r>
    </w:p>
    <w:p w14:paraId="3CCED5C7" w14:textId="77777777" w:rsidR="009755C1" w:rsidRPr="009755C1" w:rsidRDefault="009755C1" w:rsidP="009755C1">
      <w:pPr>
        <w:spacing w:after="0" w:line="240" w:lineRule="auto"/>
        <w:ind w:leftChars="386" w:left="849" w:firstLine="1"/>
        <w:rPr>
          <w:rFonts w:ascii="Arial" w:eastAsia="Times New Roman" w:hAnsi="Arial" w:cs="Arial"/>
          <w:sz w:val="20"/>
          <w:szCs w:val="20"/>
          <w:lang w:eastAsia="pt-BR"/>
        </w:rPr>
      </w:pPr>
      <w:r w:rsidRPr="009755C1">
        <w:rPr>
          <w:rFonts w:ascii="Arial" w:eastAsia="Times New Roman" w:hAnsi="Arial" w:cs="Arial"/>
          <w:sz w:val="20"/>
          <w:szCs w:val="20"/>
          <w:lang w:eastAsia="pt-BR"/>
        </w:rPr>
        <w:t>&lt;ValorDevidoMes12&gt;</w:t>
      </w:r>
      <w:r w:rsidRPr="009755C1">
        <w:rPr>
          <w:rFonts w:ascii="Arial" w:eastAsia="Times New Roman" w:hAnsi="Arial" w:cs="Arial"/>
          <w:b/>
          <w:sz w:val="20"/>
          <w:szCs w:val="20"/>
          <w:lang w:eastAsia="pt-BR"/>
        </w:rPr>
        <w:t>99999999999999.99</w:t>
      </w:r>
      <w:r w:rsidRPr="009755C1">
        <w:rPr>
          <w:rFonts w:ascii="Arial" w:eastAsia="Times New Roman" w:hAnsi="Arial" w:cs="Arial"/>
          <w:sz w:val="20"/>
          <w:szCs w:val="20"/>
          <w:lang w:eastAsia="pt-BR"/>
        </w:rPr>
        <w:t>&lt;/ValorDevidoMes12&gt;</w:t>
      </w:r>
    </w:p>
    <w:p w14:paraId="65EC024E" w14:textId="77777777" w:rsidR="009755C1" w:rsidRPr="009755C1" w:rsidRDefault="009755C1" w:rsidP="009755C1">
      <w:pPr>
        <w:spacing w:after="0" w:line="240" w:lineRule="auto"/>
        <w:ind w:leftChars="386" w:left="849" w:firstLine="1"/>
        <w:rPr>
          <w:rFonts w:ascii="Arial" w:eastAsia="Times New Roman" w:hAnsi="Arial" w:cs="Arial"/>
          <w:sz w:val="20"/>
          <w:szCs w:val="20"/>
          <w:lang w:eastAsia="pt-BR"/>
        </w:rPr>
      </w:pPr>
      <w:r w:rsidRPr="009755C1">
        <w:rPr>
          <w:rFonts w:ascii="Arial" w:eastAsia="Times New Roman" w:hAnsi="Arial" w:cs="Arial"/>
          <w:sz w:val="20"/>
          <w:szCs w:val="20"/>
          <w:lang w:eastAsia="pt-BR"/>
        </w:rPr>
        <w:t>&lt;ValorArrecadadoMes12&gt;</w:t>
      </w:r>
      <w:r w:rsidRPr="009755C1">
        <w:rPr>
          <w:rFonts w:ascii="Arial" w:eastAsia="Times New Roman" w:hAnsi="Arial" w:cs="Arial"/>
          <w:b/>
          <w:sz w:val="20"/>
          <w:szCs w:val="20"/>
          <w:lang w:eastAsia="pt-BR"/>
        </w:rPr>
        <w:t>99999999999999.99</w:t>
      </w:r>
      <w:r w:rsidRPr="009755C1">
        <w:rPr>
          <w:rFonts w:ascii="Arial" w:eastAsia="Times New Roman" w:hAnsi="Arial" w:cs="Arial"/>
          <w:sz w:val="20"/>
          <w:szCs w:val="20"/>
          <w:lang w:eastAsia="pt-BR"/>
        </w:rPr>
        <w:t>&lt;/ValorArrecadadoMes12&gt;</w:t>
      </w:r>
    </w:p>
    <w:p w14:paraId="2A2145C0" w14:textId="77777777" w:rsidR="009755C1" w:rsidRPr="009755C1" w:rsidRDefault="009755C1" w:rsidP="009755C1">
      <w:pPr>
        <w:spacing w:after="0" w:line="240" w:lineRule="auto"/>
        <w:ind w:left="851"/>
        <w:rPr>
          <w:rFonts w:ascii="Arial" w:eastAsia="Times New Roman" w:hAnsi="Arial" w:cs="Arial"/>
          <w:sz w:val="20"/>
          <w:szCs w:val="20"/>
          <w:lang w:eastAsia="pt-BR"/>
        </w:rPr>
      </w:pPr>
      <w:r w:rsidRPr="009755C1">
        <w:rPr>
          <w:rFonts w:ascii="Arial" w:eastAsia="Times New Roman" w:hAnsi="Arial" w:cs="Arial"/>
          <w:sz w:val="20"/>
          <w:szCs w:val="20"/>
          <w:lang w:eastAsia="pt-BR"/>
        </w:rPr>
        <w:t>&lt;ValorDevidoAnual&gt;</w:t>
      </w:r>
      <w:r w:rsidRPr="009755C1">
        <w:rPr>
          <w:rFonts w:ascii="Arial" w:eastAsia="Times New Roman" w:hAnsi="Arial" w:cs="Arial"/>
          <w:b/>
          <w:sz w:val="20"/>
          <w:szCs w:val="20"/>
          <w:lang w:eastAsia="pt-BR"/>
        </w:rPr>
        <w:t>99999999999999.99</w:t>
      </w:r>
      <w:r w:rsidRPr="009755C1">
        <w:rPr>
          <w:rFonts w:ascii="Arial" w:eastAsia="Times New Roman" w:hAnsi="Arial" w:cs="Arial"/>
          <w:sz w:val="20"/>
          <w:szCs w:val="20"/>
          <w:lang w:eastAsia="pt-BR"/>
        </w:rPr>
        <w:t>&lt;/ValorDevidoAnual&gt;</w:t>
      </w:r>
    </w:p>
    <w:p w14:paraId="597DA14D" w14:textId="77777777" w:rsidR="009755C1" w:rsidRPr="009755C1" w:rsidRDefault="009755C1" w:rsidP="009755C1">
      <w:pPr>
        <w:spacing w:after="0" w:line="240" w:lineRule="auto"/>
        <w:ind w:left="851"/>
        <w:rPr>
          <w:rFonts w:ascii="Arial" w:eastAsia="Times New Roman" w:hAnsi="Arial" w:cs="Arial"/>
          <w:sz w:val="20"/>
          <w:szCs w:val="20"/>
          <w:lang w:eastAsia="pt-BR"/>
        </w:rPr>
      </w:pPr>
      <w:r w:rsidRPr="009755C1">
        <w:rPr>
          <w:rFonts w:ascii="Arial" w:eastAsia="Times New Roman" w:hAnsi="Arial" w:cs="Arial"/>
          <w:sz w:val="20"/>
          <w:szCs w:val="20"/>
          <w:lang w:eastAsia="pt-BR"/>
        </w:rPr>
        <w:t>&lt;ValorArrecadadoAnual&gt;</w:t>
      </w:r>
      <w:r w:rsidRPr="009755C1">
        <w:rPr>
          <w:rFonts w:ascii="Arial" w:eastAsia="Times New Roman" w:hAnsi="Arial" w:cs="Arial"/>
          <w:b/>
          <w:sz w:val="20"/>
          <w:szCs w:val="20"/>
          <w:lang w:eastAsia="pt-BR"/>
        </w:rPr>
        <w:t>99999999999999.99</w:t>
      </w:r>
      <w:r w:rsidRPr="009755C1">
        <w:rPr>
          <w:rFonts w:ascii="Arial" w:eastAsia="Times New Roman" w:hAnsi="Arial" w:cs="Arial"/>
          <w:sz w:val="20"/>
          <w:szCs w:val="20"/>
          <w:lang w:eastAsia="pt-BR"/>
        </w:rPr>
        <w:t>&lt;/ValorArrecadadoAnual&gt;</w:t>
      </w:r>
    </w:p>
    <w:p w14:paraId="43A1FCE9" w14:textId="77777777" w:rsidR="009755C1" w:rsidRPr="009755C1" w:rsidRDefault="009755C1" w:rsidP="009755C1">
      <w:pPr>
        <w:spacing w:after="0" w:line="240" w:lineRule="auto"/>
        <w:ind w:left="567"/>
        <w:rPr>
          <w:rFonts w:ascii="Arial" w:eastAsia="Times New Roman" w:hAnsi="Arial" w:cs="Arial"/>
          <w:sz w:val="20"/>
          <w:szCs w:val="20"/>
          <w:lang w:eastAsia="pt-BR"/>
        </w:rPr>
      </w:pPr>
      <w:r w:rsidRPr="009755C1">
        <w:rPr>
          <w:rFonts w:ascii="Arial" w:eastAsia="Times New Roman" w:hAnsi="Arial" w:cs="Arial"/>
          <w:sz w:val="20"/>
          <w:szCs w:val="20"/>
          <w:lang w:eastAsia="pt-BR"/>
        </w:rPr>
        <w:t>&lt;/DemonstrativoReceitaContribuicaoRPPS&gt;</w:t>
      </w:r>
    </w:p>
    <w:p w14:paraId="38704CBD" w14:textId="77777777" w:rsidR="009755C1" w:rsidRPr="009755C1" w:rsidRDefault="009755C1" w:rsidP="009755C1">
      <w:pPr>
        <w:spacing w:after="0" w:line="240" w:lineRule="auto"/>
        <w:ind w:left="567"/>
        <w:rPr>
          <w:rFonts w:ascii="Arial" w:eastAsia="Times New Roman" w:hAnsi="Arial" w:cs="Arial"/>
          <w:sz w:val="20"/>
          <w:szCs w:val="20"/>
          <w:lang w:eastAsia="pt-BR"/>
        </w:rPr>
      </w:pPr>
    </w:p>
    <w:p w14:paraId="473CBD2F" w14:textId="77777777" w:rsidR="009755C1" w:rsidRPr="009755C1" w:rsidRDefault="009755C1" w:rsidP="009755C1">
      <w:pPr>
        <w:spacing w:after="0" w:line="240" w:lineRule="auto"/>
        <w:ind w:left="284"/>
        <w:rPr>
          <w:rFonts w:ascii="Arial" w:eastAsia="Times New Roman" w:hAnsi="Arial" w:cs="Arial"/>
          <w:sz w:val="20"/>
          <w:szCs w:val="20"/>
          <w:lang w:eastAsia="pt-BR"/>
        </w:rPr>
      </w:pPr>
      <w:r w:rsidRPr="009755C1">
        <w:rPr>
          <w:rFonts w:ascii="Arial" w:eastAsia="Times New Roman" w:hAnsi="Arial" w:cs="Arial"/>
          <w:sz w:val="20"/>
          <w:szCs w:val="20"/>
          <w:lang w:eastAsia="pt-BR"/>
        </w:rPr>
        <w:t>&lt;/DemonstrativoReceitaContribuicaoRPPS_Schema&gt;</w:t>
      </w:r>
    </w:p>
    <w:p w14:paraId="00329BB4" w14:textId="77777777" w:rsidR="009755C1" w:rsidRPr="009755C1" w:rsidRDefault="009755C1" w:rsidP="009755C1">
      <w:pPr>
        <w:spacing w:after="0" w:line="240" w:lineRule="auto"/>
        <w:rPr>
          <w:rFonts w:ascii="Arial" w:eastAsia="Times New Roman" w:hAnsi="Arial" w:cs="Arial"/>
          <w:sz w:val="20"/>
          <w:szCs w:val="20"/>
          <w:lang w:eastAsia="pt-BR"/>
        </w:rPr>
      </w:pPr>
      <w:r w:rsidRPr="009755C1">
        <w:rPr>
          <w:rFonts w:ascii="Arial" w:eastAsia="Times New Roman" w:hAnsi="Arial" w:cs="Arial"/>
          <w:sz w:val="20"/>
          <w:szCs w:val="20"/>
          <w:lang w:eastAsia="pt-BR"/>
        </w:rPr>
        <w:t>&lt;/PrestacaoContasAnual&gt;</w:t>
      </w:r>
    </w:p>
    <w:p w14:paraId="308C03E3" w14:textId="77777777" w:rsidR="009755C1" w:rsidRPr="009755C1" w:rsidRDefault="009755C1" w:rsidP="009755C1">
      <w:pPr>
        <w:spacing w:after="0" w:line="240" w:lineRule="auto"/>
        <w:ind w:right="600"/>
        <w:rPr>
          <w:rFonts w:ascii="Arial" w:eastAsia="Calibri" w:hAnsi="Arial" w:cs="Arial"/>
          <w:sz w:val="20"/>
          <w:szCs w:val="20"/>
          <w:lang w:eastAsia="pt-BR"/>
        </w:rPr>
      </w:pPr>
    </w:p>
    <w:p w14:paraId="067DD77D" w14:textId="77777777" w:rsidR="009755C1" w:rsidRPr="009755C1" w:rsidRDefault="009755C1" w:rsidP="009755C1">
      <w:pPr>
        <w:spacing w:after="0" w:line="240" w:lineRule="auto"/>
        <w:ind w:right="600"/>
        <w:rPr>
          <w:rFonts w:ascii="Arial" w:eastAsia="Calibri" w:hAnsi="Arial" w:cs="Arial"/>
          <w:sz w:val="20"/>
          <w:szCs w:val="20"/>
          <w:lang w:eastAsia="pt-BR"/>
        </w:rPr>
      </w:pPr>
    </w:p>
    <w:tbl>
      <w:tblPr>
        <w:tblW w:w="9366" w:type="dxa"/>
        <w:tblInd w:w="60" w:type="dxa"/>
        <w:tblLayout w:type="fixed"/>
        <w:tblCellMar>
          <w:left w:w="70" w:type="dxa"/>
          <w:right w:w="70" w:type="dxa"/>
        </w:tblCellMar>
        <w:tblLook w:val="04A0" w:firstRow="1" w:lastRow="0" w:firstColumn="1" w:lastColumn="0" w:noHBand="0" w:noVBand="1"/>
      </w:tblPr>
      <w:tblGrid>
        <w:gridCol w:w="3272"/>
        <w:gridCol w:w="1276"/>
        <w:gridCol w:w="1276"/>
        <w:gridCol w:w="3542"/>
      </w:tblGrid>
      <w:tr w:rsidR="009755C1" w:rsidRPr="009755C1" w14:paraId="52C6D84C" w14:textId="77777777" w:rsidTr="00FA6132">
        <w:trPr>
          <w:trHeight w:val="315"/>
        </w:trPr>
        <w:tc>
          <w:tcPr>
            <w:tcW w:w="3272" w:type="dxa"/>
            <w:tcBorders>
              <w:top w:val="single" w:sz="8" w:space="0" w:color="auto"/>
              <w:left w:val="single" w:sz="8" w:space="0" w:color="auto"/>
              <w:bottom w:val="single" w:sz="8" w:space="0" w:color="auto"/>
              <w:right w:val="single" w:sz="8" w:space="0" w:color="auto"/>
            </w:tcBorders>
            <w:shd w:val="clear" w:color="000000" w:fill="C0C0C0"/>
            <w:vAlign w:val="center"/>
            <w:hideMark/>
          </w:tcPr>
          <w:p w14:paraId="24C084DE" w14:textId="77777777" w:rsidR="009755C1" w:rsidRPr="009755C1" w:rsidRDefault="009755C1" w:rsidP="00FA6132">
            <w:pPr>
              <w:spacing w:after="160" w:line="240" w:lineRule="auto"/>
              <w:jc w:val="center"/>
              <w:rPr>
                <w:rFonts w:ascii="Arial" w:eastAsia="Times New Roman" w:hAnsi="Arial" w:cs="Arial"/>
                <w:b/>
                <w:bCs/>
                <w:sz w:val="20"/>
                <w:szCs w:val="20"/>
                <w:lang w:eastAsia="pt-BR"/>
              </w:rPr>
            </w:pPr>
            <w:r w:rsidRPr="009755C1">
              <w:rPr>
                <w:rFonts w:ascii="Arial" w:eastAsia="Times New Roman" w:hAnsi="Arial" w:cs="Arial"/>
                <w:b/>
                <w:bCs/>
                <w:sz w:val="20"/>
                <w:szCs w:val="20"/>
                <w:lang w:eastAsia="pt-BR"/>
              </w:rPr>
              <w:lastRenderedPageBreak/>
              <w:t>Campo</w:t>
            </w:r>
          </w:p>
        </w:tc>
        <w:tc>
          <w:tcPr>
            <w:tcW w:w="1276" w:type="dxa"/>
            <w:tcBorders>
              <w:top w:val="single" w:sz="8" w:space="0" w:color="auto"/>
              <w:left w:val="nil"/>
              <w:bottom w:val="single" w:sz="8" w:space="0" w:color="auto"/>
              <w:right w:val="single" w:sz="8" w:space="0" w:color="auto"/>
            </w:tcBorders>
            <w:shd w:val="clear" w:color="000000" w:fill="C0C0C0"/>
            <w:vAlign w:val="center"/>
            <w:hideMark/>
          </w:tcPr>
          <w:p w14:paraId="08B603CE" w14:textId="77777777" w:rsidR="009755C1" w:rsidRPr="009755C1" w:rsidRDefault="009755C1" w:rsidP="00FA6132">
            <w:pPr>
              <w:spacing w:after="160" w:line="240" w:lineRule="auto"/>
              <w:jc w:val="center"/>
              <w:rPr>
                <w:rFonts w:ascii="Arial" w:eastAsia="Times New Roman" w:hAnsi="Arial" w:cs="Arial"/>
                <w:b/>
                <w:bCs/>
                <w:sz w:val="20"/>
                <w:szCs w:val="20"/>
                <w:lang w:eastAsia="pt-BR"/>
              </w:rPr>
            </w:pPr>
            <w:r w:rsidRPr="009755C1">
              <w:rPr>
                <w:rFonts w:ascii="Arial" w:eastAsia="Times New Roman" w:hAnsi="Arial" w:cs="Arial"/>
                <w:b/>
                <w:bCs/>
                <w:sz w:val="20"/>
                <w:szCs w:val="20"/>
                <w:lang w:eastAsia="pt-BR"/>
              </w:rPr>
              <w:t>Tipo</w:t>
            </w:r>
          </w:p>
        </w:tc>
        <w:tc>
          <w:tcPr>
            <w:tcW w:w="1276" w:type="dxa"/>
            <w:tcBorders>
              <w:top w:val="single" w:sz="8" w:space="0" w:color="auto"/>
              <w:left w:val="nil"/>
              <w:bottom w:val="single" w:sz="8" w:space="0" w:color="auto"/>
              <w:right w:val="single" w:sz="8" w:space="0" w:color="auto"/>
            </w:tcBorders>
            <w:shd w:val="clear" w:color="000000" w:fill="C0C0C0"/>
            <w:vAlign w:val="center"/>
            <w:hideMark/>
          </w:tcPr>
          <w:p w14:paraId="49BCB06E" w14:textId="77777777" w:rsidR="009755C1" w:rsidRPr="009755C1" w:rsidRDefault="009755C1" w:rsidP="00FA6132">
            <w:pPr>
              <w:spacing w:after="160" w:line="240" w:lineRule="auto"/>
              <w:jc w:val="center"/>
              <w:rPr>
                <w:rFonts w:ascii="Arial" w:eastAsia="Times New Roman" w:hAnsi="Arial" w:cs="Arial"/>
                <w:b/>
                <w:bCs/>
                <w:sz w:val="20"/>
                <w:szCs w:val="20"/>
                <w:lang w:eastAsia="pt-BR"/>
              </w:rPr>
            </w:pPr>
            <w:r w:rsidRPr="009755C1">
              <w:rPr>
                <w:rFonts w:ascii="Arial" w:eastAsia="Times New Roman" w:hAnsi="Arial" w:cs="Arial"/>
                <w:b/>
                <w:bCs/>
                <w:sz w:val="20"/>
                <w:szCs w:val="20"/>
                <w:lang w:eastAsia="pt-BR"/>
              </w:rPr>
              <w:t>Tamanho</w:t>
            </w:r>
          </w:p>
        </w:tc>
        <w:tc>
          <w:tcPr>
            <w:tcW w:w="3542" w:type="dxa"/>
            <w:tcBorders>
              <w:top w:val="single" w:sz="8" w:space="0" w:color="auto"/>
              <w:left w:val="nil"/>
              <w:bottom w:val="single" w:sz="8" w:space="0" w:color="auto"/>
              <w:right w:val="single" w:sz="8" w:space="0" w:color="auto"/>
            </w:tcBorders>
            <w:shd w:val="clear" w:color="000000" w:fill="C0C0C0"/>
            <w:vAlign w:val="center"/>
            <w:hideMark/>
          </w:tcPr>
          <w:p w14:paraId="66C94772" w14:textId="77777777" w:rsidR="009755C1" w:rsidRPr="009755C1" w:rsidRDefault="009755C1" w:rsidP="00FA6132">
            <w:pPr>
              <w:spacing w:after="160" w:line="240" w:lineRule="auto"/>
              <w:jc w:val="both"/>
              <w:rPr>
                <w:rFonts w:ascii="Arial" w:eastAsia="Times New Roman" w:hAnsi="Arial" w:cs="Arial"/>
                <w:b/>
                <w:bCs/>
                <w:sz w:val="20"/>
                <w:szCs w:val="20"/>
                <w:lang w:eastAsia="pt-BR"/>
              </w:rPr>
            </w:pPr>
            <w:r w:rsidRPr="009755C1">
              <w:rPr>
                <w:rFonts w:ascii="Arial" w:eastAsia="Times New Roman" w:hAnsi="Arial" w:cs="Arial"/>
                <w:b/>
                <w:bCs/>
                <w:sz w:val="20"/>
                <w:szCs w:val="20"/>
                <w:lang w:eastAsia="pt-BR"/>
              </w:rPr>
              <w:t>Obrigatoriedade</w:t>
            </w:r>
          </w:p>
        </w:tc>
      </w:tr>
      <w:tr w:rsidR="009755C1" w:rsidRPr="009755C1" w14:paraId="0329A512" w14:textId="77777777" w:rsidTr="00FA6132">
        <w:trPr>
          <w:trHeight w:val="315"/>
        </w:trPr>
        <w:tc>
          <w:tcPr>
            <w:tcW w:w="9366" w:type="dxa"/>
            <w:gridSpan w:val="4"/>
            <w:tcBorders>
              <w:top w:val="single" w:sz="8" w:space="0" w:color="auto"/>
              <w:left w:val="single" w:sz="8" w:space="0" w:color="auto"/>
              <w:bottom w:val="single" w:sz="8" w:space="0" w:color="auto"/>
              <w:right w:val="single" w:sz="8" w:space="0" w:color="000000"/>
            </w:tcBorders>
            <w:shd w:val="clear" w:color="000000" w:fill="BFBFBF"/>
            <w:vAlign w:val="center"/>
            <w:hideMark/>
          </w:tcPr>
          <w:p w14:paraId="3164CD6D" w14:textId="77777777" w:rsidR="009755C1" w:rsidRPr="009755C1" w:rsidRDefault="009755C1" w:rsidP="00FA6132">
            <w:pPr>
              <w:spacing w:after="160" w:line="240" w:lineRule="auto"/>
              <w:jc w:val="center"/>
              <w:rPr>
                <w:rFonts w:ascii="Arial" w:eastAsia="Times New Roman" w:hAnsi="Arial" w:cs="Arial"/>
                <w:b/>
                <w:bCs/>
                <w:sz w:val="20"/>
                <w:szCs w:val="20"/>
                <w:lang w:eastAsia="pt-BR"/>
              </w:rPr>
            </w:pPr>
            <w:r w:rsidRPr="009755C1">
              <w:rPr>
                <w:rFonts w:ascii="Arial" w:eastAsia="Times New Roman" w:hAnsi="Arial" w:cs="Arial"/>
                <w:b/>
                <w:bCs/>
                <w:sz w:val="20"/>
                <w:szCs w:val="20"/>
                <w:lang w:eastAsia="pt-BR"/>
              </w:rPr>
              <w:t>Estrutura ‘</w:t>
            </w:r>
            <w:r w:rsidRPr="009755C1">
              <w:rPr>
                <w:rFonts w:ascii="Arial" w:eastAsia="Times New Roman" w:hAnsi="Arial" w:cs="Arial"/>
                <w:b/>
                <w:sz w:val="20"/>
                <w:szCs w:val="20"/>
                <w:lang w:eastAsia="pt-BR"/>
              </w:rPr>
              <w:t>DemonstrativoReceitaContribuicaoRPPS</w:t>
            </w:r>
            <w:r w:rsidRPr="009755C1">
              <w:rPr>
                <w:rFonts w:ascii="Arial" w:eastAsia="Times New Roman" w:hAnsi="Arial" w:cs="Arial"/>
                <w:b/>
                <w:bCs/>
                <w:sz w:val="20"/>
                <w:szCs w:val="20"/>
                <w:lang w:eastAsia="pt-BR"/>
              </w:rPr>
              <w:t>’</w:t>
            </w:r>
          </w:p>
        </w:tc>
      </w:tr>
      <w:tr w:rsidR="009755C1" w:rsidRPr="009755C1" w14:paraId="417CC860" w14:textId="77777777" w:rsidTr="00FA6132">
        <w:trPr>
          <w:trHeight w:val="315"/>
        </w:trPr>
        <w:tc>
          <w:tcPr>
            <w:tcW w:w="3272" w:type="dxa"/>
            <w:tcBorders>
              <w:top w:val="nil"/>
              <w:left w:val="single" w:sz="8" w:space="0" w:color="auto"/>
              <w:bottom w:val="single" w:sz="8" w:space="0" w:color="auto"/>
              <w:right w:val="single" w:sz="8" w:space="0" w:color="auto"/>
            </w:tcBorders>
            <w:shd w:val="clear" w:color="auto" w:fill="auto"/>
            <w:vAlign w:val="center"/>
            <w:hideMark/>
          </w:tcPr>
          <w:p w14:paraId="6FAE482D" w14:textId="77777777" w:rsidR="009755C1" w:rsidRPr="009755C1" w:rsidRDefault="009755C1" w:rsidP="00FA6132">
            <w:pPr>
              <w:spacing w:after="160" w:line="240" w:lineRule="auto"/>
              <w:rPr>
                <w:rFonts w:ascii="Arial" w:eastAsia="Times New Roman" w:hAnsi="Arial" w:cs="Arial"/>
                <w:sz w:val="20"/>
                <w:szCs w:val="20"/>
                <w:lang w:eastAsia="pt-BR"/>
              </w:rPr>
            </w:pPr>
            <w:r w:rsidRPr="009755C1">
              <w:rPr>
                <w:rFonts w:ascii="Arial" w:eastAsia="Times New Roman" w:hAnsi="Arial" w:cs="Arial"/>
                <w:sz w:val="20"/>
                <w:szCs w:val="20"/>
                <w:lang w:eastAsia="pt-BR"/>
              </w:rPr>
              <w:t>Identificação do Número do Registro</w:t>
            </w:r>
          </w:p>
        </w:tc>
        <w:tc>
          <w:tcPr>
            <w:tcW w:w="1276" w:type="dxa"/>
            <w:tcBorders>
              <w:top w:val="nil"/>
              <w:left w:val="nil"/>
              <w:bottom w:val="single" w:sz="8" w:space="0" w:color="auto"/>
              <w:right w:val="single" w:sz="8" w:space="0" w:color="auto"/>
            </w:tcBorders>
            <w:shd w:val="clear" w:color="auto" w:fill="auto"/>
            <w:vAlign w:val="center"/>
            <w:hideMark/>
          </w:tcPr>
          <w:p w14:paraId="0C13DFBD"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Inteiro</w:t>
            </w:r>
          </w:p>
        </w:tc>
        <w:tc>
          <w:tcPr>
            <w:tcW w:w="1276" w:type="dxa"/>
            <w:tcBorders>
              <w:top w:val="nil"/>
              <w:left w:val="nil"/>
              <w:bottom w:val="single" w:sz="8" w:space="0" w:color="auto"/>
              <w:right w:val="single" w:sz="8" w:space="0" w:color="auto"/>
            </w:tcBorders>
            <w:shd w:val="clear" w:color="auto" w:fill="auto"/>
            <w:vAlign w:val="center"/>
            <w:hideMark/>
          </w:tcPr>
          <w:p w14:paraId="717B03BD"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5</w:t>
            </w:r>
          </w:p>
        </w:tc>
        <w:tc>
          <w:tcPr>
            <w:tcW w:w="3542" w:type="dxa"/>
            <w:tcBorders>
              <w:top w:val="nil"/>
              <w:left w:val="nil"/>
              <w:bottom w:val="single" w:sz="8" w:space="0" w:color="auto"/>
              <w:right w:val="single" w:sz="8" w:space="0" w:color="auto"/>
            </w:tcBorders>
            <w:shd w:val="clear" w:color="auto" w:fill="auto"/>
            <w:vAlign w:val="center"/>
            <w:hideMark/>
          </w:tcPr>
          <w:p w14:paraId="174B5EB3" w14:textId="77777777" w:rsidR="009755C1" w:rsidRPr="009755C1" w:rsidRDefault="009755C1" w:rsidP="00FA6132">
            <w:pPr>
              <w:spacing w:after="160" w:line="240" w:lineRule="auto"/>
              <w:jc w:val="both"/>
              <w:rPr>
                <w:rFonts w:ascii="Arial" w:eastAsia="Times New Roman" w:hAnsi="Arial" w:cs="Arial"/>
                <w:sz w:val="20"/>
                <w:szCs w:val="20"/>
                <w:lang w:eastAsia="pt-BR"/>
              </w:rPr>
            </w:pPr>
            <w:r w:rsidRPr="009755C1">
              <w:rPr>
                <w:rFonts w:ascii="Arial" w:eastAsia="Times New Roman" w:hAnsi="Arial" w:cs="Arial"/>
                <w:sz w:val="20"/>
                <w:szCs w:val="20"/>
                <w:lang w:eastAsia="pt-BR"/>
              </w:rPr>
              <w:t>Obrigatório</w:t>
            </w:r>
          </w:p>
        </w:tc>
      </w:tr>
      <w:tr w:rsidR="009755C1" w:rsidRPr="009755C1" w14:paraId="053BD1A9" w14:textId="77777777" w:rsidTr="00FA6132">
        <w:trPr>
          <w:trHeight w:val="315"/>
        </w:trPr>
        <w:tc>
          <w:tcPr>
            <w:tcW w:w="3272" w:type="dxa"/>
            <w:tcBorders>
              <w:top w:val="nil"/>
              <w:left w:val="single" w:sz="8" w:space="0" w:color="auto"/>
              <w:bottom w:val="single" w:sz="8" w:space="0" w:color="auto"/>
              <w:right w:val="single" w:sz="8" w:space="0" w:color="auto"/>
            </w:tcBorders>
            <w:shd w:val="clear" w:color="auto" w:fill="auto"/>
            <w:vAlign w:val="center"/>
          </w:tcPr>
          <w:p w14:paraId="6B1FF26C" w14:textId="77777777" w:rsidR="009755C1" w:rsidRPr="009755C1" w:rsidRDefault="009755C1" w:rsidP="00FA6132">
            <w:pPr>
              <w:spacing w:after="160" w:line="240" w:lineRule="auto"/>
              <w:rPr>
                <w:rFonts w:ascii="Arial" w:eastAsia="Times New Roman" w:hAnsi="Arial" w:cs="Arial"/>
                <w:sz w:val="20"/>
                <w:szCs w:val="20"/>
                <w:lang w:eastAsia="pt-BR"/>
              </w:rPr>
            </w:pPr>
            <w:r w:rsidRPr="009755C1">
              <w:rPr>
                <w:rFonts w:ascii="Arial" w:eastAsia="Times New Roman" w:hAnsi="Arial" w:cs="Arial"/>
                <w:sz w:val="20"/>
                <w:szCs w:val="20"/>
                <w:lang w:eastAsia="pt-BR"/>
              </w:rPr>
              <w:t>Código da Tabela</w:t>
            </w:r>
          </w:p>
        </w:tc>
        <w:tc>
          <w:tcPr>
            <w:tcW w:w="1276" w:type="dxa"/>
            <w:tcBorders>
              <w:top w:val="nil"/>
              <w:left w:val="nil"/>
              <w:bottom w:val="single" w:sz="8" w:space="0" w:color="auto"/>
              <w:right w:val="single" w:sz="8" w:space="0" w:color="auto"/>
            </w:tcBorders>
            <w:shd w:val="clear" w:color="auto" w:fill="auto"/>
            <w:vAlign w:val="center"/>
          </w:tcPr>
          <w:p w14:paraId="43A41A7C"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Inteiro</w:t>
            </w:r>
          </w:p>
        </w:tc>
        <w:tc>
          <w:tcPr>
            <w:tcW w:w="1276" w:type="dxa"/>
            <w:tcBorders>
              <w:top w:val="nil"/>
              <w:left w:val="nil"/>
              <w:bottom w:val="single" w:sz="8" w:space="0" w:color="auto"/>
              <w:right w:val="single" w:sz="8" w:space="0" w:color="auto"/>
            </w:tcBorders>
            <w:shd w:val="clear" w:color="auto" w:fill="auto"/>
            <w:vAlign w:val="center"/>
          </w:tcPr>
          <w:p w14:paraId="0998EDA1"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2</w:t>
            </w:r>
          </w:p>
        </w:tc>
        <w:tc>
          <w:tcPr>
            <w:tcW w:w="3542" w:type="dxa"/>
            <w:tcBorders>
              <w:top w:val="nil"/>
              <w:left w:val="nil"/>
              <w:bottom w:val="single" w:sz="8" w:space="0" w:color="auto"/>
              <w:right w:val="single" w:sz="8" w:space="0" w:color="auto"/>
            </w:tcBorders>
            <w:shd w:val="clear" w:color="auto" w:fill="auto"/>
            <w:vAlign w:val="center"/>
          </w:tcPr>
          <w:p w14:paraId="4AE0E027" w14:textId="77777777" w:rsidR="009755C1" w:rsidRPr="009755C1" w:rsidRDefault="009755C1" w:rsidP="00FA6132">
            <w:pPr>
              <w:spacing w:after="160" w:line="240" w:lineRule="auto"/>
              <w:jc w:val="both"/>
              <w:rPr>
                <w:rFonts w:ascii="Arial" w:eastAsia="Times New Roman" w:hAnsi="Arial" w:cs="Arial"/>
                <w:sz w:val="20"/>
                <w:szCs w:val="20"/>
                <w:lang w:eastAsia="pt-BR"/>
              </w:rPr>
            </w:pPr>
            <w:r w:rsidRPr="009755C1">
              <w:rPr>
                <w:rFonts w:ascii="Arial" w:eastAsia="Times New Roman" w:hAnsi="Arial" w:cs="Arial"/>
                <w:sz w:val="20"/>
                <w:szCs w:val="20"/>
                <w:lang w:eastAsia="pt-BR"/>
              </w:rPr>
              <w:t>Obrigatório:</w:t>
            </w:r>
          </w:p>
          <w:p w14:paraId="30040785" w14:textId="77777777" w:rsidR="009755C1" w:rsidRPr="009755C1" w:rsidRDefault="009755C1" w:rsidP="00FA6132">
            <w:pPr>
              <w:spacing w:after="160" w:line="240" w:lineRule="auto"/>
              <w:jc w:val="both"/>
              <w:rPr>
                <w:rFonts w:ascii="Arial" w:eastAsia="Times New Roman" w:hAnsi="Arial" w:cs="Arial"/>
                <w:sz w:val="20"/>
                <w:szCs w:val="20"/>
                <w:lang w:eastAsia="pt-BR"/>
              </w:rPr>
            </w:pPr>
            <w:r w:rsidRPr="009755C1">
              <w:rPr>
                <w:rFonts w:ascii="Arial" w:eastAsia="Times New Roman" w:hAnsi="Arial" w:cs="Arial"/>
                <w:sz w:val="20"/>
                <w:szCs w:val="20"/>
                <w:lang w:eastAsia="pt-BR"/>
              </w:rPr>
              <w:t>1 – Receita de Contribuições Previdenciárias dos Servidores, exceto servidores em gozo de auxílio doença ou salário maternidade</w:t>
            </w:r>
          </w:p>
          <w:p w14:paraId="25A13A82" w14:textId="77777777" w:rsidR="009755C1" w:rsidRPr="009755C1" w:rsidRDefault="009755C1" w:rsidP="00FA6132">
            <w:pPr>
              <w:spacing w:after="160" w:line="240" w:lineRule="auto"/>
              <w:jc w:val="both"/>
              <w:rPr>
                <w:rFonts w:ascii="Arial" w:eastAsia="Times New Roman" w:hAnsi="Arial" w:cs="Arial"/>
                <w:sz w:val="20"/>
                <w:szCs w:val="20"/>
                <w:lang w:eastAsia="pt-BR"/>
              </w:rPr>
            </w:pPr>
            <w:r w:rsidRPr="009755C1">
              <w:rPr>
                <w:rFonts w:ascii="Arial" w:eastAsia="Times New Roman" w:hAnsi="Arial" w:cs="Arial"/>
                <w:sz w:val="20"/>
                <w:szCs w:val="20"/>
                <w:lang w:eastAsia="pt-BR"/>
              </w:rPr>
              <w:t>2 – Receita de Contribuições Previdenciárias dos Servidores em Gozo de Auxílio Doença ou Salário Maternidade</w:t>
            </w:r>
          </w:p>
          <w:p w14:paraId="354E41C1" w14:textId="77777777" w:rsidR="009755C1" w:rsidRPr="009755C1" w:rsidRDefault="009755C1" w:rsidP="00FA6132">
            <w:pPr>
              <w:spacing w:after="160" w:line="240" w:lineRule="auto"/>
              <w:jc w:val="both"/>
              <w:rPr>
                <w:rFonts w:ascii="Arial" w:eastAsia="Times New Roman" w:hAnsi="Arial" w:cs="Arial"/>
                <w:sz w:val="20"/>
                <w:szCs w:val="20"/>
                <w:lang w:eastAsia="pt-BR"/>
              </w:rPr>
            </w:pPr>
            <w:r w:rsidRPr="009755C1">
              <w:rPr>
                <w:rFonts w:ascii="Arial" w:eastAsia="Times New Roman" w:hAnsi="Arial" w:cs="Arial"/>
                <w:sz w:val="20"/>
                <w:szCs w:val="20"/>
                <w:lang w:eastAsia="pt-BR"/>
              </w:rPr>
              <w:t>3 – Receita de Contribuições Previdenciárias Retidas dos Inativos</w:t>
            </w:r>
          </w:p>
          <w:p w14:paraId="163D4941" w14:textId="77777777" w:rsidR="009755C1" w:rsidRPr="009755C1" w:rsidRDefault="009755C1" w:rsidP="00FA6132">
            <w:pPr>
              <w:spacing w:after="160" w:line="240" w:lineRule="auto"/>
              <w:jc w:val="both"/>
              <w:rPr>
                <w:rFonts w:ascii="Arial" w:eastAsia="Times New Roman" w:hAnsi="Arial" w:cs="Arial"/>
                <w:sz w:val="20"/>
                <w:szCs w:val="20"/>
                <w:lang w:eastAsia="pt-BR"/>
              </w:rPr>
            </w:pPr>
            <w:r w:rsidRPr="009755C1">
              <w:rPr>
                <w:rFonts w:ascii="Arial" w:eastAsia="Times New Roman" w:hAnsi="Arial" w:cs="Arial"/>
                <w:sz w:val="20"/>
                <w:szCs w:val="20"/>
                <w:lang w:eastAsia="pt-BR"/>
              </w:rPr>
              <w:t>4 – Receita de Contribuições Previdenciárias Retidas dos Pensionistas</w:t>
            </w:r>
          </w:p>
          <w:p w14:paraId="483008AC" w14:textId="77777777" w:rsidR="009755C1" w:rsidRPr="009755C1" w:rsidRDefault="009755C1" w:rsidP="00FA6132">
            <w:pPr>
              <w:spacing w:after="160" w:line="240" w:lineRule="auto"/>
              <w:jc w:val="both"/>
              <w:rPr>
                <w:rFonts w:ascii="Arial" w:eastAsia="Times New Roman" w:hAnsi="Arial" w:cs="Arial"/>
                <w:sz w:val="20"/>
                <w:szCs w:val="20"/>
                <w:lang w:eastAsia="pt-BR"/>
              </w:rPr>
            </w:pPr>
            <w:r w:rsidRPr="009755C1">
              <w:rPr>
                <w:rFonts w:ascii="Arial" w:eastAsia="Times New Roman" w:hAnsi="Arial" w:cs="Arial"/>
                <w:sz w:val="20"/>
                <w:szCs w:val="20"/>
                <w:lang w:eastAsia="pt-BR"/>
              </w:rPr>
              <w:t>5 – Receita de Contribuições Previdenciárias do Ente (Parte Patronal), exceto as Contribuições Devidas sobre Benefícios de auxílio doença ou salário maternidade</w:t>
            </w:r>
          </w:p>
          <w:p w14:paraId="75C981F4" w14:textId="77777777" w:rsidR="009755C1" w:rsidRPr="009755C1" w:rsidRDefault="009755C1" w:rsidP="00FA6132">
            <w:pPr>
              <w:spacing w:after="160" w:line="240" w:lineRule="auto"/>
              <w:jc w:val="both"/>
              <w:rPr>
                <w:rFonts w:ascii="Arial" w:eastAsia="Times New Roman" w:hAnsi="Arial" w:cs="Arial"/>
                <w:sz w:val="20"/>
                <w:szCs w:val="20"/>
                <w:lang w:eastAsia="pt-BR"/>
              </w:rPr>
            </w:pPr>
            <w:r w:rsidRPr="009755C1">
              <w:rPr>
                <w:rFonts w:ascii="Arial" w:eastAsia="Times New Roman" w:hAnsi="Arial" w:cs="Arial"/>
                <w:sz w:val="20"/>
                <w:szCs w:val="20"/>
                <w:lang w:eastAsia="pt-BR"/>
              </w:rPr>
              <w:t>6 – Receita de Contribuição Patronal Devida sobre Benefícios de Auxílio Doença e Salário Maternidade</w:t>
            </w:r>
          </w:p>
          <w:p w14:paraId="4E8B54D1" w14:textId="77777777" w:rsidR="009755C1" w:rsidRPr="009755C1" w:rsidRDefault="009755C1" w:rsidP="00FA6132">
            <w:pPr>
              <w:spacing w:after="160" w:line="240" w:lineRule="auto"/>
              <w:jc w:val="both"/>
              <w:rPr>
                <w:rFonts w:ascii="Arial" w:eastAsia="Times New Roman" w:hAnsi="Arial" w:cs="Arial"/>
                <w:sz w:val="20"/>
                <w:szCs w:val="20"/>
                <w:lang w:eastAsia="pt-BR"/>
              </w:rPr>
            </w:pPr>
            <w:r w:rsidRPr="009755C1">
              <w:rPr>
                <w:rFonts w:ascii="Arial" w:eastAsia="Times New Roman" w:hAnsi="Arial" w:cs="Arial"/>
                <w:sz w:val="20"/>
                <w:szCs w:val="20"/>
                <w:lang w:eastAsia="pt-BR"/>
              </w:rPr>
              <w:t>7 – Receita de Contribuição Patronal Incidente sobre Inativos e Pensionistas</w:t>
            </w:r>
          </w:p>
          <w:p w14:paraId="5241B469" w14:textId="77777777" w:rsidR="009755C1" w:rsidRPr="009755C1" w:rsidRDefault="009755C1" w:rsidP="00FA6132">
            <w:pPr>
              <w:spacing w:after="160" w:line="240" w:lineRule="auto"/>
              <w:jc w:val="both"/>
              <w:rPr>
                <w:rFonts w:ascii="Arial" w:eastAsia="Times New Roman" w:hAnsi="Arial" w:cs="Arial"/>
                <w:sz w:val="20"/>
                <w:szCs w:val="20"/>
                <w:lang w:eastAsia="pt-BR"/>
              </w:rPr>
            </w:pPr>
            <w:r w:rsidRPr="009755C1">
              <w:rPr>
                <w:rFonts w:ascii="Arial" w:eastAsia="Times New Roman" w:hAnsi="Arial" w:cs="Arial"/>
                <w:sz w:val="20"/>
                <w:szCs w:val="20"/>
                <w:lang w:eastAsia="pt-BR"/>
              </w:rPr>
              <w:t>8 – Complementação de Insuficiências Financeiras</w:t>
            </w:r>
          </w:p>
          <w:p w14:paraId="3DB2FBDB" w14:textId="77777777" w:rsidR="009755C1" w:rsidRPr="009755C1" w:rsidRDefault="009755C1" w:rsidP="00FA6132">
            <w:pPr>
              <w:spacing w:after="160" w:line="240" w:lineRule="auto"/>
              <w:jc w:val="both"/>
              <w:rPr>
                <w:rFonts w:ascii="Arial" w:eastAsia="Times New Roman" w:hAnsi="Arial" w:cs="Arial"/>
                <w:sz w:val="20"/>
                <w:szCs w:val="20"/>
                <w:lang w:eastAsia="pt-BR"/>
              </w:rPr>
            </w:pPr>
            <w:r w:rsidRPr="009755C1">
              <w:rPr>
                <w:rFonts w:ascii="Arial" w:eastAsia="Times New Roman" w:hAnsi="Arial" w:cs="Arial"/>
                <w:sz w:val="20"/>
                <w:szCs w:val="20"/>
                <w:lang w:eastAsia="pt-BR"/>
              </w:rPr>
              <w:t>9 – Receita de Contribuições Previdenciárias do Ente (Alíquota Suplementar)</w:t>
            </w:r>
          </w:p>
          <w:p w14:paraId="1674E6FD" w14:textId="77777777" w:rsidR="009755C1" w:rsidRPr="009755C1" w:rsidRDefault="009755C1" w:rsidP="00FA6132">
            <w:pPr>
              <w:spacing w:after="160" w:line="240" w:lineRule="auto"/>
              <w:jc w:val="both"/>
              <w:rPr>
                <w:rFonts w:ascii="Arial" w:eastAsia="Times New Roman" w:hAnsi="Arial" w:cs="Arial"/>
                <w:sz w:val="20"/>
                <w:szCs w:val="20"/>
                <w:lang w:eastAsia="pt-BR"/>
              </w:rPr>
            </w:pPr>
            <w:r w:rsidRPr="009755C1">
              <w:rPr>
                <w:rFonts w:ascii="Arial" w:eastAsia="Times New Roman" w:hAnsi="Arial" w:cs="Arial"/>
                <w:sz w:val="20"/>
                <w:szCs w:val="20"/>
                <w:lang w:eastAsia="pt-BR"/>
              </w:rPr>
              <w:t>10 – Aporte Atuarial</w:t>
            </w:r>
          </w:p>
          <w:p w14:paraId="1DCE3701" w14:textId="77777777" w:rsidR="009755C1" w:rsidRPr="009755C1" w:rsidRDefault="009755C1" w:rsidP="00FA6132">
            <w:pPr>
              <w:spacing w:after="160" w:line="240" w:lineRule="auto"/>
              <w:jc w:val="both"/>
              <w:rPr>
                <w:rFonts w:ascii="Arial" w:eastAsia="Times New Roman" w:hAnsi="Arial" w:cs="Arial"/>
                <w:sz w:val="20"/>
                <w:szCs w:val="20"/>
                <w:lang w:eastAsia="pt-BR"/>
              </w:rPr>
            </w:pPr>
            <w:r w:rsidRPr="009755C1">
              <w:rPr>
                <w:rFonts w:ascii="Arial" w:eastAsia="Times New Roman" w:hAnsi="Arial" w:cs="Arial"/>
                <w:sz w:val="20"/>
                <w:szCs w:val="20"/>
                <w:lang w:eastAsia="pt-BR"/>
              </w:rPr>
              <w:t>11 – Receita de Parcelamentos do Exercício</w:t>
            </w:r>
          </w:p>
          <w:p w14:paraId="0B20D298" w14:textId="77777777" w:rsidR="009755C1" w:rsidRPr="009755C1" w:rsidRDefault="009755C1" w:rsidP="00FA6132">
            <w:pPr>
              <w:spacing w:after="160" w:line="240" w:lineRule="auto"/>
              <w:jc w:val="both"/>
              <w:rPr>
                <w:rFonts w:ascii="Arial" w:eastAsia="Times New Roman" w:hAnsi="Arial" w:cs="Arial"/>
                <w:sz w:val="20"/>
                <w:szCs w:val="20"/>
                <w:lang w:eastAsia="pt-BR"/>
              </w:rPr>
            </w:pPr>
          </w:p>
        </w:tc>
      </w:tr>
      <w:tr w:rsidR="009755C1" w:rsidRPr="009755C1" w14:paraId="0D40F379" w14:textId="77777777" w:rsidTr="00FA6132">
        <w:trPr>
          <w:trHeight w:val="600"/>
        </w:trPr>
        <w:tc>
          <w:tcPr>
            <w:tcW w:w="3272" w:type="dxa"/>
            <w:tcBorders>
              <w:top w:val="nil"/>
              <w:left w:val="single" w:sz="8" w:space="0" w:color="auto"/>
              <w:bottom w:val="single" w:sz="8" w:space="0" w:color="auto"/>
              <w:right w:val="single" w:sz="8" w:space="0" w:color="auto"/>
            </w:tcBorders>
            <w:shd w:val="clear" w:color="auto" w:fill="auto"/>
            <w:vAlign w:val="center"/>
            <w:hideMark/>
          </w:tcPr>
          <w:p w14:paraId="62E6FBF6" w14:textId="77777777" w:rsidR="009755C1" w:rsidRPr="00735CF9" w:rsidRDefault="009755C1" w:rsidP="008F4F4C">
            <w:pPr>
              <w:spacing w:after="160" w:line="240" w:lineRule="auto"/>
              <w:rPr>
                <w:rFonts w:ascii="Arial" w:eastAsia="Times New Roman" w:hAnsi="Arial" w:cs="Arial"/>
                <w:sz w:val="20"/>
                <w:szCs w:val="20"/>
                <w:lang w:eastAsia="pt-BR"/>
              </w:rPr>
            </w:pPr>
            <w:r w:rsidRPr="00735CF9">
              <w:rPr>
                <w:rFonts w:ascii="Arial" w:eastAsia="Times New Roman" w:hAnsi="Arial" w:cs="Arial"/>
                <w:sz w:val="20"/>
                <w:szCs w:val="20"/>
                <w:lang w:eastAsia="pt-BR"/>
              </w:rPr>
              <w:t>Código da Unidade Gestora ou CNPJ do Órgão Externo</w:t>
            </w:r>
            <w:r w:rsidR="008F4F4C" w:rsidRPr="00735CF9">
              <w:rPr>
                <w:rFonts w:ascii="Arial" w:eastAsia="Times New Roman" w:hAnsi="Arial" w:cs="Arial"/>
                <w:sz w:val="20"/>
                <w:szCs w:val="20"/>
                <w:lang w:eastAsia="pt-BR"/>
              </w:rPr>
              <w:t xml:space="preserve"> ou CPF</w:t>
            </w:r>
          </w:p>
        </w:tc>
        <w:tc>
          <w:tcPr>
            <w:tcW w:w="1276" w:type="dxa"/>
            <w:tcBorders>
              <w:top w:val="nil"/>
              <w:left w:val="nil"/>
              <w:bottom w:val="single" w:sz="8" w:space="0" w:color="auto"/>
              <w:right w:val="single" w:sz="8" w:space="0" w:color="auto"/>
            </w:tcBorders>
            <w:shd w:val="clear" w:color="auto" w:fill="auto"/>
            <w:vAlign w:val="center"/>
            <w:hideMark/>
          </w:tcPr>
          <w:p w14:paraId="525CF5B7" w14:textId="77777777" w:rsidR="009755C1" w:rsidRPr="00735CF9" w:rsidRDefault="009755C1" w:rsidP="00FA6132">
            <w:pPr>
              <w:spacing w:after="160" w:line="240" w:lineRule="auto"/>
              <w:jc w:val="center"/>
              <w:rPr>
                <w:rFonts w:ascii="Arial" w:eastAsia="Times New Roman" w:hAnsi="Arial" w:cs="Arial"/>
                <w:sz w:val="20"/>
                <w:szCs w:val="20"/>
                <w:lang w:eastAsia="pt-BR"/>
              </w:rPr>
            </w:pPr>
            <w:r w:rsidRPr="00735CF9">
              <w:rPr>
                <w:rFonts w:ascii="Arial" w:eastAsia="Times New Roman" w:hAnsi="Arial" w:cs="Arial"/>
                <w:sz w:val="20"/>
                <w:szCs w:val="20"/>
                <w:lang w:eastAsia="pt-BR"/>
              </w:rPr>
              <w:t>Caracter</w:t>
            </w:r>
          </w:p>
        </w:tc>
        <w:tc>
          <w:tcPr>
            <w:tcW w:w="1276" w:type="dxa"/>
            <w:tcBorders>
              <w:top w:val="nil"/>
              <w:left w:val="nil"/>
              <w:bottom w:val="single" w:sz="8" w:space="0" w:color="auto"/>
              <w:right w:val="single" w:sz="8" w:space="0" w:color="auto"/>
            </w:tcBorders>
            <w:shd w:val="clear" w:color="auto" w:fill="auto"/>
            <w:vAlign w:val="center"/>
            <w:hideMark/>
          </w:tcPr>
          <w:p w14:paraId="534B5628" w14:textId="77777777" w:rsidR="009755C1" w:rsidRPr="00735CF9" w:rsidRDefault="009755C1" w:rsidP="00FA6132">
            <w:pPr>
              <w:spacing w:after="160" w:line="240" w:lineRule="auto"/>
              <w:jc w:val="center"/>
              <w:rPr>
                <w:rFonts w:ascii="Arial" w:eastAsia="Times New Roman" w:hAnsi="Arial" w:cs="Arial"/>
                <w:sz w:val="20"/>
                <w:szCs w:val="20"/>
                <w:lang w:eastAsia="pt-BR"/>
              </w:rPr>
            </w:pPr>
            <w:r w:rsidRPr="00735CF9">
              <w:rPr>
                <w:rFonts w:ascii="Arial" w:eastAsia="Times New Roman" w:hAnsi="Arial" w:cs="Arial"/>
                <w:sz w:val="20"/>
                <w:szCs w:val="20"/>
                <w:lang w:eastAsia="pt-BR"/>
              </w:rPr>
              <w:t>14</w:t>
            </w:r>
          </w:p>
        </w:tc>
        <w:tc>
          <w:tcPr>
            <w:tcW w:w="3542" w:type="dxa"/>
            <w:tcBorders>
              <w:top w:val="nil"/>
              <w:left w:val="nil"/>
              <w:bottom w:val="single" w:sz="8" w:space="0" w:color="auto"/>
              <w:right w:val="single" w:sz="8" w:space="0" w:color="auto"/>
            </w:tcBorders>
            <w:shd w:val="clear" w:color="auto" w:fill="auto"/>
            <w:vAlign w:val="center"/>
            <w:hideMark/>
          </w:tcPr>
          <w:p w14:paraId="0C350CDC" w14:textId="77777777" w:rsidR="009755C1" w:rsidRPr="00735CF9" w:rsidRDefault="009755C1" w:rsidP="00FA6132">
            <w:pPr>
              <w:spacing w:after="160" w:line="240" w:lineRule="auto"/>
              <w:jc w:val="both"/>
              <w:rPr>
                <w:rFonts w:ascii="Arial" w:eastAsia="Times New Roman" w:hAnsi="Arial" w:cs="Arial"/>
                <w:sz w:val="20"/>
                <w:szCs w:val="20"/>
                <w:lang w:eastAsia="pt-BR"/>
              </w:rPr>
            </w:pPr>
            <w:r w:rsidRPr="00735CF9">
              <w:rPr>
                <w:rFonts w:ascii="Arial" w:eastAsia="Times New Roman" w:hAnsi="Arial" w:cs="Arial"/>
                <w:sz w:val="20"/>
                <w:szCs w:val="20"/>
                <w:lang w:eastAsia="pt-BR"/>
              </w:rPr>
              <w:t xml:space="preserve">Obrigatório </w:t>
            </w:r>
          </w:p>
          <w:p w14:paraId="6A3AFC9B" w14:textId="77777777" w:rsidR="009755C1" w:rsidRPr="00735CF9" w:rsidRDefault="009755C1" w:rsidP="00FA6132">
            <w:pPr>
              <w:spacing w:after="160" w:line="240" w:lineRule="auto"/>
              <w:jc w:val="both"/>
              <w:rPr>
                <w:rFonts w:ascii="Arial" w:eastAsia="Times New Roman" w:hAnsi="Arial" w:cs="Arial"/>
                <w:sz w:val="20"/>
                <w:szCs w:val="20"/>
                <w:lang w:eastAsia="pt-BR"/>
              </w:rPr>
            </w:pPr>
            <w:r w:rsidRPr="00735CF9">
              <w:rPr>
                <w:rFonts w:ascii="Arial" w:eastAsia="Times New Roman" w:hAnsi="Arial" w:cs="Arial"/>
                <w:sz w:val="20"/>
                <w:szCs w:val="20"/>
                <w:lang w:eastAsia="pt-BR"/>
              </w:rPr>
              <w:t>Em caso de unidade gestora existente no CidadES, utilizar codificação do sistema CidadES.</w:t>
            </w:r>
          </w:p>
          <w:p w14:paraId="73F9B859" w14:textId="77777777" w:rsidR="009755C1" w:rsidRPr="00735CF9" w:rsidRDefault="009755C1" w:rsidP="00FA6132">
            <w:pPr>
              <w:spacing w:after="160" w:line="240" w:lineRule="auto"/>
              <w:jc w:val="both"/>
              <w:rPr>
                <w:rFonts w:ascii="Arial" w:eastAsia="Times New Roman" w:hAnsi="Arial" w:cs="Arial"/>
                <w:sz w:val="20"/>
                <w:szCs w:val="20"/>
                <w:lang w:eastAsia="pt-BR"/>
              </w:rPr>
            </w:pPr>
            <w:r w:rsidRPr="00735CF9">
              <w:rPr>
                <w:rFonts w:ascii="Arial" w:eastAsia="Times New Roman" w:hAnsi="Arial" w:cs="Arial"/>
                <w:sz w:val="20"/>
                <w:szCs w:val="20"/>
                <w:lang w:eastAsia="pt-BR"/>
              </w:rPr>
              <w:t>Para órgãos externos, utilizar o CNPJ do Órgão Externo</w:t>
            </w:r>
          </w:p>
          <w:p w14:paraId="4E2219B4" w14:textId="77777777" w:rsidR="00793B85" w:rsidRPr="00735CF9" w:rsidRDefault="00793B85" w:rsidP="00FA6132">
            <w:pPr>
              <w:spacing w:after="160" w:line="240" w:lineRule="auto"/>
              <w:jc w:val="both"/>
              <w:rPr>
                <w:rFonts w:ascii="Arial" w:eastAsia="Times New Roman" w:hAnsi="Arial" w:cs="Arial"/>
                <w:sz w:val="20"/>
                <w:szCs w:val="20"/>
                <w:lang w:eastAsia="pt-BR"/>
              </w:rPr>
            </w:pPr>
            <w:r w:rsidRPr="00735CF9">
              <w:rPr>
                <w:rFonts w:ascii="Arial" w:eastAsia="Times New Roman" w:hAnsi="Arial" w:cs="Arial"/>
                <w:sz w:val="20"/>
                <w:szCs w:val="20"/>
                <w:lang w:eastAsia="pt-BR"/>
              </w:rPr>
              <w:t>Em caso de Pessoa Física, utilizar CPF.</w:t>
            </w:r>
          </w:p>
        </w:tc>
      </w:tr>
      <w:tr w:rsidR="009755C1" w:rsidRPr="009755C1" w14:paraId="0C037B98" w14:textId="77777777" w:rsidTr="00FA6132">
        <w:trPr>
          <w:trHeight w:val="315"/>
        </w:trPr>
        <w:tc>
          <w:tcPr>
            <w:tcW w:w="3272" w:type="dxa"/>
            <w:tcBorders>
              <w:top w:val="nil"/>
              <w:left w:val="single" w:sz="8" w:space="0" w:color="auto"/>
              <w:bottom w:val="single" w:sz="8" w:space="0" w:color="auto"/>
              <w:right w:val="single" w:sz="8" w:space="0" w:color="auto"/>
            </w:tcBorders>
            <w:shd w:val="clear" w:color="auto" w:fill="auto"/>
            <w:vAlign w:val="center"/>
            <w:hideMark/>
          </w:tcPr>
          <w:p w14:paraId="0FC91DB6" w14:textId="77777777" w:rsidR="009755C1" w:rsidRPr="00735CF9" w:rsidRDefault="009755C1" w:rsidP="00FA6132">
            <w:pPr>
              <w:spacing w:after="160" w:line="240" w:lineRule="auto"/>
              <w:rPr>
                <w:rFonts w:ascii="Arial" w:eastAsia="Times New Roman" w:hAnsi="Arial" w:cs="Arial"/>
                <w:sz w:val="20"/>
                <w:szCs w:val="20"/>
                <w:lang w:eastAsia="pt-BR"/>
              </w:rPr>
            </w:pPr>
            <w:r w:rsidRPr="00735CF9">
              <w:rPr>
                <w:rFonts w:ascii="Arial" w:eastAsia="Times New Roman" w:hAnsi="Arial" w:cs="Arial"/>
                <w:sz w:val="20"/>
                <w:szCs w:val="20"/>
                <w:lang w:eastAsia="pt-BR"/>
              </w:rPr>
              <w:lastRenderedPageBreak/>
              <w:t>Descrição do Órgão Externo</w:t>
            </w:r>
            <w:r w:rsidR="00FD22F7" w:rsidRPr="00735CF9">
              <w:rPr>
                <w:rFonts w:ascii="Arial" w:eastAsia="Times New Roman" w:hAnsi="Arial" w:cs="Arial"/>
                <w:sz w:val="20"/>
                <w:szCs w:val="20"/>
                <w:lang w:eastAsia="pt-BR"/>
              </w:rPr>
              <w:t xml:space="preserve"> ou da Pessoa Física</w:t>
            </w:r>
          </w:p>
        </w:tc>
        <w:tc>
          <w:tcPr>
            <w:tcW w:w="1276" w:type="dxa"/>
            <w:tcBorders>
              <w:top w:val="nil"/>
              <w:left w:val="nil"/>
              <w:bottom w:val="single" w:sz="8" w:space="0" w:color="auto"/>
              <w:right w:val="single" w:sz="8" w:space="0" w:color="auto"/>
            </w:tcBorders>
            <w:shd w:val="clear" w:color="auto" w:fill="auto"/>
            <w:vAlign w:val="center"/>
            <w:hideMark/>
          </w:tcPr>
          <w:p w14:paraId="31857DCC" w14:textId="77777777" w:rsidR="009755C1" w:rsidRPr="00735CF9" w:rsidRDefault="009755C1" w:rsidP="00FA6132">
            <w:pPr>
              <w:spacing w:after="160" w:line="240" w:lineRule="auto"/>
              <w:jc w:val="center"/>
              <w:rPr>
                <w:rFonts w:ascii="Arial" w:eastAsia="Times New Roman" w:hAnsi="Arial" w:cs="Arial"/>
                <w:sz w:val="20"/>
                <w:szCs w:val="20"/>
                <w:lang w:eastAsia="pt-BR"/>
              </w:rPr>
            </w:pPr>
            <w:r w:rsidRPr="00735CF9">
              <w:rPr>
                <w:rFonts w:ascii="Arial" w:eastAsia="Times New Roman" w:hAnsi="Arial" w:cs="Arial"/>
                <w:sz w:val="20"/>
                <w:szCs w:val="20"/>
                <w:lang w:eastAsia="pt-BR"/>
              </w:rPr>
              <w:t>Caracter</w:t>
            </w:r>
          </w:p>
        </w:tc>
        <w:tc>
          <w:tcPr>
            <w:tcW w:w="1276" w:type="dxa"/>
            <w:tcBorders>
              <w:top w:val="nil"/>
              <w:left w:val="nil"/>
              <w:bottom w:val="single" w:sz="8" w:space="0" w:color="auto"/>
              <w:right w:val="single" w:sz="8" w:space="0" w:color="auto"/>
            </w:tcBorders>
            <w:shd w:val="clear" w:color="auto" w:fill="auto"/>
            <w:vAlign w:val="center"/>
            <w:hideMark/>
          </w:tcPr>
          <w:p w14:paraId="6937DB2A" w14:textId="77777777" w:rsidR="009755C1" w:rsidRPr="00735CF9" w:rsidRDefault="009755C1" w:rsidP="00FA6132">
            <w:pPr>
              <w:spacing w:after="160" w:line="240" w:lineRule="auto"/>
              <w:jc w:val="center"/>
              <w:rPr>
                <w:rFonts w:ascii="Arial" w:eastAsia="Times New Roman" w:hAnsi="Arial" w:cs="Arial"/>
                <w:sz w:val="20"/>
                <w:szCs w:val="20"/>
                <w:lang w:eastAsia="pt-BR"/>
              </w:rPr>
            </w:pPr>
            <w:r w:rsidRPr="00735CF9">
              <w:rPr>
                <w:rFonts w:ascii="Arial" w:eastAsia="Times New Roman" w:hAnsi="Arial" w:cs="Arial"/>
                <w:sz w:val="20"/>
                <w:szCs w:val="20"/>
                <w:lang w:eastAsia="pt-BR"/>
              </w:rPr>
              <w:t>300</w:t>
            </w:r>
          </w:p>
        </w:tc>
        <w:tc>
          <w:tcPr>
            <w:tcW w:w="3542" w:type="dxa"/>
            <w:tcBorders>
              <w:top w:val="nil"/>
              <w:left w:val="nil"/>
              <w:bottom w:val="single" w:sz="8" w:space="0" w:color="auto"/>
              <w:right w:val="single" w:sz="8" w:space="0" w:color="auto"/>
            </w:tcBorders>
            <w:shd w:val="clear" w:color="auto" w:fill="auto"/>
            <w:vAlign w:val="center"/>
            <w:hideMark/>
          </w:tcPr>
          <w:p w14:paraId="1EDFD538" w14:textId="77777777" w:rsidR="009755C1" w:rsidRPr="00735CF9" w:rsidRDefault="009755C1" w:rsidP="00FA6132">
            <w:pPr>
              <w:spacing w:after="160" w:line="240" w:lineRule="auto"/>
              <w:jc w:val="both"/>
              <w:rPr>
                <w:rFonts w:ascii="Arial" w:eastAsia="Times New Roman" w:hAnsi="Arial" w:cs="Arial"/>
                <w:sz w:val="20"/>
                <w:szCs w:val="20"/>
                <w:lang w:eastAsia="pt-BR"/>
              </w:rPr>
            </w:pPr>
            <w:r w:rsidRPr="00735CF9">
              <w:rPr>
                <w:rFonts w:ascii="Arial" w:eastAsia="Times New Roman" w:hAnsi="Arial" w:cs="Arial"/>
                <w:sz w:val="20"/>
                <w:szCs w:val="20"/>
                <w:lang w:eastAsia="pt-BR"/>
              </w:rPr>
              <w:t>Obrigatório, apenas se o campo CodigoUnidadeGestora se tratar do CNPJ de órgão externo</w:t>
            </w:r>
            <w:r w:rsidR="00793B85" w:rsidRPr="00735CF9">
              <w:rPr>
                <w:rFonts w:ascii="Arial" w:eastAsia="Times New Roman" w:hAnsi="Arial" w:cs="Arial"/>
                <w:sz w:val="20"/>
                <w:szCs w:val="20"/>
                <w:lang w:eastAsia="pt-BR"/>
              </w:rPr>
              <w:t xml:space="preserve"> ou de CPF.</w:t>
            </w:r>
          </w:p>
        </w:tc>
      </w:tr>
      <w:tr w:rsidR="009755C1" w:rsidRPr="009755C1" w14:paraId="4D5D86BD" w14:textId="77777777" w:rsidTr="00FA6132">
        <w:trPr>
          <w:trHeight w:val="315"/>
        </w:trPr>
        <w:tc>
          <w:tcPr>
            <w:tcW w:w="3272" w:type="dxa"/>
            <w:tcBorders>
              <w:top w:val="nil"/>
              <w:left w:val="single" w:sz="8" w:space="0" w:color="auto"/>
              <w:bottom w:val="single" w:sz="8" w:space="0" w:color="auto"/>
              <w:right w:val="single" w:sz="8" w:space="0" w:color="auto"/>
            </w:tcBorders>
            <w:shd w:val="clear" w:color="auto" w:fill="auto"/>
            <w:vAlign w:val="center"/>
            <w:hideMark/>
          </w:tcPr>
          <w:p w14:paraId="7CA93D2C" w14:textId="77777777" w:rsidR="009755C1" w:rsidRPr="009755C1" w:rsidRDefault="009755C1" w:rsidP="00FA6132">
            <w:pPr>
              <w:spacing w:after="160" w:line="240" w:lineRule="auto"/>
              <w:rPr>
                <w:rFonts w:ascii="Arial" w:eastAsia="Times New Roman" w:hAnsi="Arial" w:cs="Arial"/>
                <w:sz w:val="20"/>
                <w:szCs w:val="20"/>
                <w:lang w:eastAsia="pt-BR"/>
              </w:rPr>
            </w:pPr>
            <w:r w:rsidRPr="009755C1">
              <w:rPr>
                <w:rFonts w:ascii="Arial" w:eastAsia="Times New Roman" w:hAnsi="Arial" w:cs="Arial"/>
                <w:sz w:val="20"/>
                <w:szCs w:val="20"/>
                <w:lang w:eastAsia="pt-BR"/>
              </w:rPr>
              <w:t>Valor arrecadado pelo RPPS referente a Exercícios Anteriores</w:t>
            </w:r>
          </w:p>
        </w:tc>
        <w:tc>
          <w:tcPr>
            <w:tcW w:w="1276" w:type="dxa"/>
            <w:tcBorders>
              <w:top w:val="nil"/>
              <w:left w:val="nil"/>
              <w:bottom w:val="single" w:sz="8" w:space="0" w:color="auto"/>
              <w:right w:val="single" w:sz="8" w:space="0" w:color="auto"/>
            </w:tcBorders>
            <w:shd w:val="clear" w:color="auto" w:fill="auto"/>
            <w:vAlign w:val="center"/>
            <w:hideMark/>
          </w:tcPr>
          <w:p w14:paraId="039CC1B7"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Decimal</w:t>
            </w:r>
          </w:p>
        </w:tc>
        <w:tc>
          <w:tcPr>
            <w:tcW w:w="1276" w:type="dxa"/>
            <w:tcBorders>
              <w:top w:val="nil"/>
              <w:left w:val="nil"/>
              <w:bottom w:val="single" w:sz="8" w:space="0" w:color="auto"/>
              <w:right w:val="single" w:sz="8" w:space="0" w:color="auto"/>
            </w:tcBorders>
            <w:shd w:val="clear" w:color="auto" w:fill="auto"/>
            <w:vAlign w:val="center"/>
            <w:hideMark/>
          </w:tcPr>
          <w:p w14:paraId="2FC03F5B"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14,2</w:t>
            </w:r>
          </w:p>
        </w:tc>
        <w:tc>
          <w:tcPr>
            <w:tcW w:w="3542" w:type="dxa"/>
            <w:tcBorders>
              <w:top w:val="nil"/>
              <w:left w:val="nil"/>
              <w:bottom w:val="single" w:sz="8" w:space="0" w:color="auto"/>
              <w:right w:val="single" w:sz="8" w:space="0" w:color="auto"/>
            </w:tcBorders>
            <w:shd w:val="clear" w:color="auto" w:fill="auto"/>
            <w:vAlign w:val="center"/>
            <w:hideMark/>
          </w:tcPr>
          <w:p w14:paraId="7D4B5089" w14:textId="77777777" w:rsidR="009755C1" w:rsidRPr="009755C1" w:rsidRDefault="009755C1" w:rsidP="00FA6132">
            <w:pPr>
              <w:spacing w:after="160" w:line="240" w:lineRule="auto"/>
              <w:jc w:val="both"/>
              <w:rPr>
                <w:rFonts w:ascii="Arial" w:eastAsia="Times New Roman" w:hAnsi="Arial" w:cs="Arial"/>
                <w:sz w:val="20"/>
                <w:szCs w:val="20"/>
                <w:lang w:eastAsia="pt-BR"/>
              </w:rPr>
            </w:pPr>
            <w:r w:rsidRPr="009755C1">
              <w:rPr>
                <w:rFonts w:ascii="Arial" w:eastAsia="Times New Roman" w:hAnsi="Arial" w:cs="Arial"/>
                <w:sz w:val="20"/>
                <w:szCs w:val="20"/>
                <w:lang w:eastAsia="pt-BR"/>
              </w:rPr>
              <w:t xml:space="preserve">Obrigatório </w:t>
            </w:r>
          </w:p>
        </w:tc>
      </w:tr>
      <w:tr w:rsidR="009755C1" w:rsidRPr="009755C1" w14:paraId="379B3D6A" w14:textId="77777777" w:rsidTr="00FA6132">
        <w:trPr>
          <w:trHeight w:val="315"/>
        </w:trPr>
        <w:tc>
          <w:tcPr>
            <w:tcW w:w="3272" w:type="dxa"/>
            <w:tcBorders>
              <w:top w:val="nil"/>
              <w:left w:val="single" w:sz="8" w:space="0" w:color="auto"/>
              <w:bottom w:val="single" w:sz="8" w:space="0" w:color="auto"/>
              <w:right w:val="single" w:sz="8" w:space="0" w:color="auto"/>
            </w:tcBorders>
            <w:shd w:val="clear" w:color="auto" w:fill="auto"/>
            <w:vAlign w:val="center"/>
            <w:hideMark/>
          </w:tcPr>
          <w:p w14:paraId="1806DAF4" w14:textId="77777777" w:rsidR="009755C1" w:rsidRPr="009755C1" w:rsidRDefault="009755C1" w:rsidP="00FA6132">
            <w:pPr>
              <w:spacing w:after="160" w:line="240" w:lineRule="auto"/>
              <w:rPr>
                <w:rFonts w:ascii="Arial" w:eastAsia="Times New Roman" w:hAnsi="Arial" w:cs="Arial"/>
                <w:sz w:val="20"/>
                <w:szCs w:val="20"/>
                <w:lang w:eastAsia="pt-BR"/>
              </w:rPr>
            </w:pPr>
            <w:r w:rsidRPr="009755C1">
              <w:rPr>
                <w:rFonts w:ascii="Arial" w:eastAsia="Times New Roman" w:hAnsi="Arial" w:cs="Arial"/>
                <w:sz w:val="20"/>
                <w:szCs w:val="20"/>
                <w:lang w:eastAsia="pt-BR"/>
              </w:rPr>
              <w:t>Valor devido ao RPPS referente ao Mês Janeiro</w:t>
            </w:r>
          </w:p>
        </w:tc>
        <w:tc>
          <w:tcPr>
            <w:tcW w:w="1276" w:type="dxa"/>
            <w:tcBorders>
              <w:top w:val="nil"/>
              <w:left w:val="nil"/>
              <w:bottom w:val="single" w:sz="8" w:space="0" w:color="auto"/>
              <w:right w:val="single" w:sz="8" w:space="0" w:color="auto"/>
            </w:tcBorders>
            <w:shd w:val="clear" w:color="auto" w:fill="auto"/>
            <w:vAlign w:val="center"/>
            <w:hideMark/>
          </w:tcPr>
          <w:p w14:paraId="5A0A7165"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Decimal</w:t>
            </w:r>
          </w:p>
        </w:tc>
        <w:tc>
          <w:tcPr>
            <w:tcW w:w="1276" w:type="dxa"/>
            <w:tcBorders>
              <w:top w:val="nil"/>
              <w:left w:val="nil"/>
              <w:bottom w:val="single" w:sz="8" w:space="0" w:color="auto"/>
              <w:right w:val="single" w:sz="8" w:space="0" w:color="auto"/>
            </w:tcBorders>
            <w:shd w:val="clear" w:color="auto" w:fill="auto"/>
            <w:vAlign w:val="center"/>
            <w:hideMark/>
          </w:tcPr>
          <w:p w14:paraId="5DAD16B7"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14,2</w:t>
            </w:r>
          </w:p>
        </w:tc>
        <w:tc>
          <w:tcPr>
            <w:tcW w:w="3542" w:type="dxa"/>
            <w:tcBorders>
              <w:top w:val="nil"/>
              <w:left w:val="nil"/>
              <w:bottom w:val="single" w:sz="8" w:space="0" w:color="auto"/>
              <w:right w:val="single" w:sz="8" w:space="0" w:color="auto"/>
            </w:tcBorders>
            <w:shd w:val="clear" w:color="auto" w:fill="auto"/>
            <w:vAlign w:val="center"/>
            <w:hideMark/>
          </w:tcPr>
          <w:p w14:paraId="544D6151" w14:textId="77777777" w:rsidR="009755C1" w:rsidRPr="009755C1" w:rsidRDefault="009755C1" w:rsidP="00FA6132">
            <w:pPr>
              <w:spacing w:after="160" w:line="240" w:lineRule="auto"/>
              <w:jc w:val="both"/>
              <w:rPr>
                <w:rFonts w:ascii="Arial" w:eastAsia="Times New Roman" w:hAnsi="Arial" w:cs="Arial"/>
                <w:sz w:val="20"/>
                <w:szCs w:val="20"/>
                <w:lang w:eastAsia="pt-BR"/>
              </w:rPr>
            </w:pPr>
            <w:r w:rsidRPr="009755C1">
              <w:rPr>
                <w:rFonts w:ascii="Arial" w:eastAsia="Times New Roman" w:hAnsi="Arial" w:cs="Arial"/>
                <w:sz w:val="20"/>
                <w:szCs w:val="20"/>
                <w:lang w:eastAsia="pt-BR"/>
              </w:rPr>
              <w:t>Obrigatório</w:t>
            </w:r>
          </w:p>
        </w:tc>
      </w:tr>
      <w:tr w:rsidR="009755C1" w:rsidRPr="009755C1" w14:paraId="15DF8FD9" w14:textId="77777777" w:rsidTr="00FA6132">
        <w:trPr>
          <w:trHeight w:val="315"/>
        </w:trPr>
        <w:tc>
          <w:tcPr>
            <w:tcW w:w="3272" w:type="dxa"/>
            <w:tcBorders>
              <w:top w:val="nil"/>
              <w:left w:val="single" w:sz="8" w:space="0" w:color="auto"/>
              <w:bottom w:val="single" w:sz="8" w:space="0" w:color="auto"/>
              <w:right w:val="single" w:sz="8" w:space="0" w:color="auto"/>
            </w:tcBorders>
            <w:shd w:val="clear" w:color="auto" w:fill="auto"/>
            <w:vAlign w:val="center"/>
            <w:hideMark/>
          </w:tcPr>
          <w:p w14:paraId="598FCEF1" w14:textId="77777777" w:rsidR="009755C1" w:rsidRPr="009755C1" w:rsidRDefault="009755C1" w:rsidP="00FA6132">
            <w:pPr>
              <w:spacing w:after="160" w:line="240" w:lineRule="auto"/>
              <w:rPr>
                <w:rFonts w:ascii="Arial" w:eastAsia="Times New Roman" w:hAnsi="Arial" w:cs="Arial"/>
                <w:sz w:val="20"/>
                <w:szCs w:val="20"/>
                <w:lang w:eastAsia="pt-BR"/>
              </w:rPr>
            </w:pPr>
            <w:r w:rsidRPr="009755C1">
              <w:rPr>
                <w:rFonts w:ascii="Arial" w:eastAsia="Times New Roman" w:hAnsi="Arial" w:cs="Arial"/>
                <w:sz w:val="20"/>
                <w:szCs w:val="20"/>
                <w:lang w:eastAsia="pt-BR"/>
              </w:rPr>
              <w:t>Valor arrecadado pelo RPPS referente ao Mês Janeiro</w:t>
            </w:r>
          </w:p>
        </w:tc>
        <w:tc>
          <w:tcPr>
            <w:tcW w:w="1276" w:type="dxa"/>
            <w:tcBorders>
              <w:top w:val="nil"/>
              <w:left w:val="nil"/>
              <w:bottom w:val="single" w:sz="8" w:space="0" w:color="auto"/>
              <w:right w:val="single" w:sz="8" w:space="0" w:color="auto"/>
            </w:tcBorders>
            <w:shd w:val="clear" w:color="auto" w:fill="auto"/>
            <w:vAlign w:val="center"/>
            <w:hideMark/>
          </w:tcPr>
          <w:p w14:paraId="7D02DFAB"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Decimal</w:t>
            </w:r>
          </w:p>
        </w:tc>
        <w:tc>
          <w:tcPr>
            <w:tcW w:w="1276" w:type="dxa"/>
            <w:tcBorders>
              <w:top w:val="nil"/>
              <w:left w:val="nil"/>
              <w:bottom w:val="single" w:sz="8" w:space="0" w:color="auto"/>
              <w:right w:val="single" w:sz="8" w:space="0" w:color="auto"/>
            </w:tcBorders>
            <w:shd w:val="clear" w:color="auto" w:fill="auto"/>
            <w:vAlign w:val="center"/>
            <w:hideMark/>
          </w:tcPr>
          <w:p w14:paraId="724BA771"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14,2</w:t>
            </w:r>
          </w:p>
        </w:tc>
        <w:tc>
          <w:tcPr>
            <w:tcW w:w="3542" w:type="dxa"/>
            <w:tcBorders>
              <w:top w:val="nil"/>
              <w:left w:val="nil"/>
              <w:bottom w:val="single" w:sz="8" w:space="0" w:color="auto"/>
              <w:right w:val="single" w:sz="8" w:space="0" w:color="auto"/>
            </w:tcBorders>
            <w:shd w:val="clear" w:color="auto" w:fill="auto"/>
            <w:vAlign w:val="center"/>
            <w:hideMark/>
          </w:tcPr>
          <w:p w14:paraId="5B6391DC" w14:textId="77777777" w:rsidR="009755C1" w:rsidRPr="009755C1" w:rsidRDefault="009755C1" w:rsidP="00FA6132">
            <w:pPr>
              <w:spacing w:after="160" w:line="240" w:lineRule="auto"/>
              <w:jc w:val="both"/>
              <w:rPr>
                <w:rFonts w:ascii="Arial" w:eastAsia="Times New Roman" w:hAnsi="Arial" w:cs="Arial"/>
                <w:sz w:val="20"/>
                <w:szCs w:val="20"/>
                <w:lang w:eastAsia="pt-BR"/>
              </w:rPr>
            </w:pPr>
            <w:r w:rsidRPr="009755C1">
              <w:rPr>
                <w:rFonts w:ascii="Arial" w:eastAsia="Times New Roman" w:hAnsi="Arial" w:cs="Arial"/>
                <w:sz w:val="20"/>
                <w:szCs w:val="20"/>
                <w:lang w:eastAsia="pt-BR"/>
              </w:rPr>
              <w:t>Obrigatório</w:t>
            </w:r>
          </w:p>
        </w:tc>
      </w:tr>
      <w:tr w:rsidR="009755C1" w:rsidRPr="009755C1" w14:paraId="64F91A46" w14:textId="77777777" w:rsidTr="00FA6132">
        <w:trPr>
          <w:trHeight w:val="315"/>
        </w:trPr>
        <w:tc>
          <w:tcPr>
            <w:tcW w:w="3272" w:type="dxa"/>
            <w:tcBorders>
              <w:top w:val="nil"/>
              <w:left w:val="single" w:sz="8" w:space="0" w:color="auto"/>
              <w:bottom w:val="single" w:sz="8" w:space="0" w:color="auto"/>
              <w:right w:val="single" w:sz="8" w:space="0" w:color="auto"/>
            </w:tcBorders>
            <w:shd w:val="clear" w:color="auto" w:fill="auto"/>
            <w:vAlign w:val="center"/>
            <w:hideMark/>
          </w:tcPr>
          <w:p w14:paraId="3C9E3307" w14:textId="77777777" w:rsidR="009755C1" w:rsidRPr="009755C1" w:rsidRDefault="009755C1" w:rsidP="00FA6132">
            <w:pPr>
              <w:spacing w:after="160" w:line="240" w:lineRule="auto"/>
              <w:rPr>
                <w:rFonts w:ascii="Arial" w:eastAsia="Times New Roman" w:hAnsi="Arial" w:cs="Arial"/>
                <w:sz w:val="20"/>
                <w:szCs w:val="20"/>
                <w:lang w:eastAsia="pt-BR"/>
              </w:rPr>
            </w:pPr>
            <w:r w:rsidRPr="009755C1">
              <w:rPr>
                <w:rFonts w:ascii="Arial" w:eastAsia="Times New Roman" w:hAnsi="Arial" w:cs="Arial"/>
                <w:sz w:val="20"/>
                <w:szCs w:val="20"/>
                <w:lang w:eastAsia="pt-BR"/>
              </w:rPr>
              <w:t>Valor devido ao RPPS referente ao Mês Fevereiro</w:t>
            </w:r>
          </w:p>
        </w:tc>
        <w:tc>
          <w:tcPr>
            <w:tcW w:w="1276" w:type="dxa"/>
            <w:tcBorders>
              <w:top w:val="nil"/>
              <w:left w:val="nil"/>
              <w:bottom w:val="single" w:sz="8" w:space="0" w:color="auto"/>
              <w:right w:val="single" w:sz="8" w:space="0" w:color="auto"/>
            </w:tcBorders>
            <w:shd w:val="clear" w:color="auto" w:fill="auto"/>
            <w:vAlign w:val="center"/>
            <w:hideMark/>
          </w:tcPr>
          <w:p w14:paraId="1C185A0E"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Decimal</w:t>
            </w:r>
          </w:p>
        </w:tc>
        <w:tc>
          <w:tcPr>
            <w:tcW w:w="1276" w:type="dxa"/>
            <w:tcBorders>
              <w:top w:val="nil"/>
              <w:left w:val="nil"/>
              <w:bottom w:val="single" w:sz="8" w:space="0" w:color="auto"/>
              <w:right w:val="single" w:sz="8" w:space="0" w:color="auto"/>
            </w:tcBorders>
            <w:shd w:val="clear" w:color="auto" w:fill="auto"/>
            <w:vAlign w:val="center"/>
            <w:hideMark/>
          </w:tcPr>
          <w:p w14:paraId="6D437BA3"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14,2</w:t>
            </w:r>
          </w:p>
        </w:tc>
        <w:tc>
          <w:tcPr>
            <w:tcW w:w="3542" w:type="dxa"/>
            <w:tcBorders>
              <w:top w:val="nil"/>
              <w:left w:val="nil"/>
              <w:bottom w:val="single" w:sz="8" w:space="0" w:color="auto"/>
              <w:right w:val="single" w:sz="8" w:space="0" w:color="auto"/>
            </w:tcBorders>
            <w:shd w:val="clear" w:color="auto" w:fill="auto"/>
            <w:vAlign w:val="center"/>
            <w:hideMark/>
          </w:tcPr>
          <w:p w14:paraId="50EB1107" w14:textId="77777777" w:rsidR="009755C1" w:rsidRPr="009755C1" w:rsidRDefault="009755C1" w:rsidP="00FA6132">
            <w:pPr>
              <w:spacing w:after="160" w:line="240" w:lineRule="auto"/>
              <w:jc w:val="both"/>
              <w:rPr>
                <w:rFonts w:ascii="Arial" w:eastAsia="Times New Roman" w:hAnsi="Arial" w:cs="Arial"/>
                <w:sz w:val="20"/>
                <w:szCs w:val="20"/>
                <w:lang w:eastAsia="pt-BR"/>
              </w:rPr>
            </w:pPr>
            <w:r w:rsidRPr="009755C1">
              <w:rPr>
                <w:rFonts w:ascii="Arial" w:eastAsia="Times New Roman" w:hAnsi="Arial" w:cs="Arial"/>
                <w:sz w:val="20"/>
                <w:szCs w:val="20"/>
                <w:lang w:eastAsia="pt-BR"/>
              </w:rPr>
              <w:t>Obrigatório</w:t>
            </w:r>
          </w:p>
        </w:tc>
      </w:tr>
      <w:tr w:rsidR="009755C1" w:rsidRPr="009755C1" w14:paraId="558B0120" w14:textId="77777777" w:rsidTr="00FA6132">
        <w:trPr>
          <w:trHeight w:val="315"/>
        </w:trPr>
        <w:tc>
          <w:tcPr>
            <w:tcW w:w="3272" w:type="dxa"/>
            <w:tcBorders>
              <w:top w:val="nil"/>
              <w:left w:val="single" w:sz="8" w:space="0" w:color="auto"/>
              <w:bottom w:val="single" w:sz="8" w:space="0" w:color="auto"/>
              <w:right w:val="single" w:sz="8" w:space="0" w:color="auto"/>
            </w:tcBorders>
            <w:shd w:val="clear" w:color="auto" w:fill="auto"/>
            <w:vAlign w:val="center"/>
            <w:hideMark/>
          </w:tcPr>
          <w:p w14:paraId="4371DC60" w14:textId="77777777" w:rsidR="009755C1" w:rsidRPr="009755C1" w:rsidRDefault="009755C1" w:rsidP="00FA6132">
            <w:pPr>
              <w:spacing w:after="160" w:line="240" w:lineRule="auto"/>
              <w:rPr>
                <w:rFonts w:ascii="Arial" w:eastAsia="Times New Roman" w:hAnsi="Arial" w:cs="Arial"/>
                <w:sz w:val="20"/>
                <w:szCs w:val="20"/>
                <w:lang w:eastAsia="pt-BR"/>
              </w:rPr>
            </w:pPr>
            <w:r w:rsidRPr="009755C1">
              <w:rPr>
                <w:rFonts w:ascii="Arial" w:eastAsia="Times New Roman" w:hAnsi="Arial" w:cs="Arial"/>
                <w:sz w:val="20"/>
                <w:szCs w:val="20"/>
                <w:lang w:eastAsia="pt-BR"/>
              </w:rPr>
              <w:t>Valor arrecadado pelo RPPS referente ao Mês Fevereiro</w:t>
            </w:r>
          </w:p>
        </w:tc>
        <w:tc>
          <w:tcPr>
            <w:tcW w:w="1276" w:type="dxa"/>
            <w:tcBorders>
              <w:top w:val="nil"/>
              <w:left w:val="nil"/>
              <w:bottom w:val="single" w:sz="8" w:space="0" w:color="auto"/>
              <w:right w:val="single" w:sz="8" w:space="0" w:color="auto"/>
            </w:tcBorders>
            <w:shd w:val="clear" w:color="auto" w:fill="auto"/>
            <w:vAlign w:val="center"/>
            <w:hideMark/>
          </w:tcPr>
          <w:p w14:paraId="02202CC4"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Decimal</w:t>
            </w:r>
          </w:p>
        </w:tc>
        <w:tc>
          <w:tcPr>
            <w:tcW w:w="1276" w:type="dxa"/>
            <w:tcBorders>
              <w:top w:val="nil"/>
              <w:left w:val="nil"/>
              <w:bottom w:val="single" w:sz="8" w:space="0" w:color="auto"/>
              <w:right w:val="single" w:sz="8" w:space="0" w:color="auto"/>
            </w:tcBorders>
            <w:shd w:val="clear" w:color="auto" w:fill="auto"/>
            <w:vAlign w:val="center"/>
            <w:hideMark/>
          </w:tcPr>
          <w:p w14:paraId="2761FF2C"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14,2</w:t>
            </w:r>
          </w:p>
        </w:tc>
        <w:tc>
          <w:tcPr>
            <w:tcW w:w="3542" w:type="dxa"/>
            <w:tcBorders>
              <w:top w:val="nil"/>
              <w:left w:val="nil"/>
              <w:bottom w:val="single" w:sz="8" w:space="0" w:color="auto"/>
              <w:right w:val="single" w:sz="8" w:space="0" w:color="auto"/>
            </w:tcBorders>
            <w:shd w:val="clear" w:color="auto" w:fill="auto"/>
            <w:vAlign w:val="center"/>
            <w:hideMark/>
          </w:tcPr>
          <w:p w14:paraId="7586F5A7" w14:textId="77777777" w:rsidR="009755C1" w:rsidRPr="009755C1" w:rsidRDefault="009755C1" w:rsidP="00FA6132">
            <w:pPr>
              <w:spacing w:after="160" w:line="240" w:lineRule="auto"/>
              <w:jc w:val="both"/>
              <w:rPr>
                <w:rFonts w:ascii="Arial" w:eastAsia="Times New Roman" w:hAnsi="Arial" w:cs="Arial"/>
                <w:sz w:val="20"/>
                <w:szCs w:val="20"/>
                <w:lang w:eastAsia="pt-BR"/>
              </w:rPr>
            </w:pPr>
            <w:r w:rsidRPr="009755C1">
              <w:rPr>
                <w:rFonts w:ascii="Arial" w:eastAsia="Times New Roman" w:hAnsi="Arial" w:cs="Arial"/>
                <w:sz w:val="20"/>
                <w:szCs w:val="20"/>
                <w:lang w:eastAsia="pt-BR"/>
              </w:rPr>
              <w:t>Obrigatório</w:t>
            </w:r>
          </w:p>
        </w:tc>
      </w:tr>
      <w:tr w:rsidR="009755C1" w:rsidRPr="009755C1" w14:paraId="3419543F" w14:textId="77777777" w:rsidTr="00FA6132">
        <w:trPr>
          <w:trHeight w:val="315"/>
        </w:trPr>
        <w:tc>
          <w:tcPr>
            <w:tcW w:w="3272" w:type="dxa"/>
            <w:tcBorders>
              <w:top w:val="nil"/>
              <w:left w:val="single" w:sz="8" w:space="0" w:color="auto"/>
              <w:bottom w:val="single" w:sz="8" w:space="0" w:color="auto"/>
              <w:right w:val="single" w:sz="8" w:space="0" w:color="auto"/>
            </w:tcBorders>
            <w:shd w:val="clear" w:color="auto" w:fill="auto"/>
            <w:vAlign w:val="center"/>
            <w:hideMark/>
          </w:tcPr>
          <w:p w14:paraId="50B71366" w14:textId="77777777" w:rsidR="009755C1" w:rsidRPr="009755C1" w:rsidRDefault="009755C1" w:rsidP="00FA6132">
            <w:pPr>
              <w:spacing w:after="160" w:line="240" w:lineRule="auto"/>
              <w:rPr>
                <w:rFonts w:ascii="Arial" w:eastAsia="Times New Roman" w:hAnsi="Arial" w:cs="Arial"/>
                <w:sz w:val="20"/>
                <w:szCs w:val="20"/>
                <w:lang w:eastAsia="pt-BR"/>
              </w:rPr>
            </w:pPr>
            <w:r w:rsidRPr="009755C1">
              <w:rPr>
                <w:rFonts w:ascii="Arial" w:eastAsia="Times New Roman" w:hAnsi="Arial" w:cs="Arial"/>
                <w:sz w:val="20"/>
                <w:szCs w:val="20"/>
                <w:lang w:eastAsia="pt-BR"/>
              </w:rPr>
              <w:t>Valor devido ao RPPS referente ao Mês Março</w:t>
            </w:r>
          </w:p>
        </w:tc>
        <w:tc>
          <w:tcPr>
            <w:tcW w:w="1276" w:type="dxa"/>
            <w:tcBorders>
              <w:top w:val="nil"/>
              <w:left w:val="nil"/>
              <w:bottom w:val="single" w:sz="8" w:space="0" w:color="auto"/>
              <w:right w:val="single" w:sz="8" w:space="0" w:color="auto"/>
            </w:tcBorders>
            <w:shd w:val="clear" w:color="auto" w:fill="auto"/>
            <w:vAlign w:val="center"/>
            <w:hideMark/>
          </w:tcPr>
          <w:p w14:paraId="1A7003AD"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Decimal</w:t>
            </w:r>
          </w:p>
        </w:tc>
        <w:tc>
          <w:tcPr>
            <w:tcW w:w="1276" w:type="dxa"/>
            <w:tcBorders>
              <w:top w:val="nil"/>
              <w:left w:val="nil"/>
              <w:bottom w:val="single" w:sz="8" w:space="0" w:color="auto"/>
              <w:right w:val="single" w:sz="8" w:space="0" w:color="auto"/>
            </w:tcBorders>
            <w:shd w:val="clear" w:color="auto" w:fill="auto"/>
            <w:vAlign w:val="center"/>
            <w:hideMark/>
          </w:tcPr>
          <w:p w14:paraId="5649D299"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14,2</w:t>
            </w:r>
          </w:p>
        </w:tc>
        <w:tc>
          <w:tcPr>
            <w:tcW w:w="3542" w:type="dxa"/>
            <w:tcBorders>
              <w:top w:val="nil"/>
              <w:left w:val="nil"/>
              <w:bottom w:val="single" w:sz="8" w:space="0" w:color="auto"/>
              <w:right w:val="single" w:sz="8" w:space="0" w:color="auto"/>
            </w:tcBorders>
            <w:shd w:val="clear" w:color="auto" w:fill="auto"/>
            <w:vAlign w:val="center"/>
            <w:hideMark/>
          </w:tcPr>
          <w:p w14:paraId="69210DBF" w14:textId="77777777" w:rsidR="009755C1" w:rsidRPr="009755C1" w:rsidRDefault="009755C1" w:rsidP="00FA6132">
            <w:pPr>
              <w:spacing w:after="160" w:line="240" w:lineRule="auto"/>
              <w:jc w:val="both"/>
              <w:rPr>
                <w:rFonts w:ascii="Arial" w:eastAsia="Times New Roman" w:hAnsi="Arial" w:cs="Arial"/>
                <w:sz w:val="20"/>
                <w:szCs w:val="20"/>
                <w:lang w:eastAsia="pt-BR"/>
              </w:rPr>
            </w:pPr>
            <w:r w:rsidRPr="009755C1">
              <w:rPr>
                <w:rFonts w:ascii="Arial" w:eastAsia="Times New Roman" w:hAnsi="Arial" w:cs="Arial"/>
                <w:sz w:val="20"/>
                <w:szCs w:val="20"/>
                <w:lang w:eastAsia="pt-BR"/>
              </w:rPr>
              <w:t>Obrigatório</w:t>
            </w:r>
          </w:p>
        </w:tc>
      </w:tr>
      <w:tr w:rsidR="009755C1" w:rsidRPr="009755C1" w14:paraId="5C58B439" w14:textId="77777777" w:rsidTr="00FA6132">
        <w:trPr>
          <w:trHeight w:val="315"/>
        </w:trPr>
        <w:tc>
          <w:tcPr>
            <w:tcW w:w="3272" w:type="dxa"/>
            <w:tcBorders>
              <w:top w:val="nil"/>
              <w:left w:val="single" w:sz="8" w:space="0" w:color="auto"/>
              <w:bottom w:val="single" w:sz="8" w:space="0" w:color="auto"/>
              <w:right w:val="single" w:sz="8" w:space="0" w:color="auto"/>
            </w:tcBorders>
            <w:shd w:val="clear" w:color="auto" w:fill="auto"/>
            <w:vAlign w:val="center"/>
            <w:hideMark/>
          </w:tcPr>
          <w:p w14:paraId="4AC1B207" w14:textId="77777777" w:rsidR="009755C1" w:rsidRPr="009755C1" w:rsidRDefault="009755C1" w:rsidP="00FA6132">
            <w:pPr>
              <w:spacing w:after="160" w:line="240" w:lineRule="auto"/>
              <w:rPr>
                <w:rFonts w:ascii="Arial" w:eastAsia="Times New Roman" w:hAnsi="Arial" w:cs="Arial"/>
                <w:sz w:val="20"/>
                <w:szCs w:val="20"/>
                <w:lang w:eastAsia="pt-BR"/>
              </w:rPr>
            </w:pPr>
            <w:r w:rsidRPr="009755C1">
              <w:rPr>
                <w:rFonts w:ascii="Arial" w:eastAsia="Times New Roman" w:hAnsi="Arial" w:cs="Arial"/>
                <w:sz w:val="20"/>
                <w:szCs w:val="20"/>
                <w:lang w:eastAsia="pt-BR"/>
              </w:rPr>
              <w:t>Valor arrecadado pelo RPPS referente ao Mês Março</w:t>
            </w:r>
          </w:p>
        </w:tc>
        <w:tc>
          <w:tcPr>
            <w:tcW w:w="1276" w:type="dxa"/>
            <w:tcBorders>
              <w:top w:val="nil"/>
              <w:left w:val="nil"/>
              <w:bottom w:val="single" w:sz="8" w:space="0" w:color="auto"/>
              <w:right w:val="single" w:sz="8" w:space="0" w:color="auto"/>
            </w:tcBorders>
            <w:shd w:val="clear" w:color="auto" w:fill="auto"/>
            <w:vAlign w:val="center"/>
            <w:hideMark/>
          </w:tcPr>
          <w:p w14:paraId="03D798C7"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Decimal</w:t>
            </w:r>
          </w:p>
        </w:tc>
        <w:tc>
          <w:tcPr>
            <w:tcW w:w="1276" w:type="dxa"/>
            <w:tcBorders>
              <w:top w:val="nil"/>
              <w:left w:val="nil"/>
              <w:bottom w:val="single" w:sz="8" w:space="0" w:color="auto"/>
              <w:right w:val="single" w:sz="8" w:space="0" w:color="auto"/>
            </w:tcBorders>
            <w:shd w:val="clear" w:color="auto" w:fill="auto"/>
            <w:vAlign w:val="center"/>
            <w:hideMark/>
          </w:tcPr>
          <w:p w14:paraId="010CC2CB"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14,2</w:t>
            </w:r>
          </w:p>
        </w:tc>
        <w:tc>
          <w:tcPr>
            <w:tcW w:w="3542" w:type="dxa"/>
            <w:tcBorders>
              <w:top w:val="nil"/>
              <w:left w:val="nil"/>
              <w:bottom w:val="single" w:sz="8" w:space="0" w:color="auto"/>
              <w:right w:val="single" w:sz="8" w:space="0" w:color="auto"/>
            </w:tcBorders>
            <w:shd w:val="clear" w:color="auto" w:fill="auto"/>
            <w:vAlign w:val="center"/>
            <w:hideMark/>
          </w:tcPr>
          <w:p w14:paraId="61999792" w14:textId="77777777" w:rsidR="009755C1" w:rsidRPr="009755C1" w:rsidRDefault="009755C1" w:rsidP="00FA6132">
            <w:pPr>
              <w:spacing w:after="160" w:line="240" w:lineRule="auto"/>
              <w:jc w:val="both"/>
              <w:rPr>
                <w:rFonts w:ascii="Arial" w:eastAsia="Times New Roman" w:hAnsi="Arial" w:cs="Arial"/>
                <w:sz w:val="20"/>
                <w:szCs w:val="20"/>
                <w:lang w:eastAsia="pt-BR"/>
              </w:rPr>
            </w:pPr>
            <w:r w:rsidRPr="009755C1">
              <w:rPr>
                <w:rFonts w:ascii="Arial" w:eastAsia="Times New Roman" w:hAnsi="Arial" w:cs="Arial"/>
                <w:sz w:val="20"/>
                <w:szCs w:val="20"/>
                <w:lang w:eastAsia="pt-BR"/>
              </w:rPr>
              <w:t>Obrigatório</w:t>
            </w:r>
          </w:p>
        </w:tc>
      </w:tr>
      <w:tr w:rsidR="009755C1" w:rsidRPr="009755C1" w14:paraId="694C429C" w14:textId="77777777" w:rsidTr="00FA6132">
        <w:trPr>
          <w:trHeight w:val="315"/>
        </w:trPr>
        <w:tc>
          <w:tcPr>
            <w:tcW w:w="3272" w:type="dxa"/>
            <w:tcBorders>
              <w:top w:val="nil"/>
              <w:left w:val="single" w:sz="8" w:space="0" w:color="auto"/>
              <w:bottom w:val="single" w:sz="8" w:space="0" w:color="auto"/>
              <w:right w:val="single" w:sz="8" w:space="0" w:color="auto"/>
            </w:tcBorders>
            <w:shd w:val="clear" w:color="auto" w:fill="auto"/>
            <w:vAlign w:val="center"/>
            <w:hideMark/>
          </w:tcPr>
          <w:p w14:paraId="5206E17F" w14:textId="77777777" w:rsidR="009755C1" w:rsidRPr="009755C1" w:rsidRDefault="009755C1" w:rsidP="00FA6132">
            <w:pPr>
              <w:spacing w:after="160" w:line="240" w:lineRule="auto"/>
              <w:rPr>
                <w:rFonts w:ascii="Arial" w:eastAsia="Times New Roman" w:hAnsi="Arial" w:cs="Arial"/>
                <w:sz w:val="20"/>
                <w:szCs w:val="20"/>
                <w:lang w:eastAsia="pt-BR"/>
              </w:rPr>
            </w:pPr>
            <w:r w:rsidRPr="009755C1">
              <w:rPr>
                <w:rFonts w:ascii="Arial" w:eastAsia="Times New Roman" w:hAnsi="Arial" w:cs="Arial"/>
                <w:sz w:val="20"/>
                <w:szCs w:val="20"/>
                <w:lang w:eastAsia="pt-BR"/>
              </w:rPr>
              <w:t>Valor devido ao RPPS referente ao Mês Abril</w:t>
            </w:r>
          </w:p>
        </w:tc>
        <w:tc>
          <w:tcPr>
            <w:tcW w:w="1276" w:type="dxa"/>
            <w:tcBorders>
              <w:top w:val="nil"/>
              <w:left w:val="nil"/>
              <w:bottom w:val="single" w:sz="8" w:space="0" w:color="auto"/>
              <w:right w:val="single" w:sz="8" w:space="0" w:color="auto"/>
            </w:tcBorders>
            <w:shd w:val="clear" w:color="auto" w:fill="auto"/>
            <w:vAlign w:val="center"/>
            <w:hideMark/>
          </w:tcPr>
          <w:p w14:paraId="6D05A977"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Decimal</w:t>
            </w:r>
          </w:p>
        </w:tc>
        <w:tc>
          <w:tcPr>
            <w:tcW w:w="1276" w:type="dxa"/>
            <w:tcBorders>
              <w:top w:val="nil"/>
              <w:left w:val="nil"/>
              <w:bottom w:val="single" w:sz="8" w:space="0" w:color="auto"/>
              <w:right w:val="single" w:sz="8" w:space="0" w:color="auto"/>
            </w:tcBorders>
            <w:shd w:val="clear" w:color="auto" w:fill="auto"/>
            <w:vAlign w:val="center"/>
            <w:hideMark/>
          </w:tcPr>
          <w:p w14:paraId="0D431C64"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14,2</w:t>
            </w:r>
          </w:p>
        </w:tc>
        <w:tc>
          <w:tcPr>
            <w:tcW w:w="3542" w:type="dxa"/>
            <w:tcBorders>
              <w:top w:val="nil"/>
              <w:left w:val="nil"/>
              <w:bottom w:val="single" w:sz="8" w:space="0" w:color="auto"/>
              <w:right w:val="single" w:sz="8" w:space="0" w:color="auto"/>
            </w:tcBorders>
            <w:shd w:val="clear" w:color="auto" w:fill="auto"/>
            <w:vAlign w:val="center"/>
            <w:hideMark/>
          </w:tcPr>
          <w:p w14:paraId="62A4DA01" w14:textId="77777777" w:rsidR="009755C1" w:rsidRPr="009755C1" w:rsidRDefault="009755C1" w:rsidP="00FA6132">
            <w:pPr>
              <w:spacing w:after="160" w:line="240" w:lineRule="auto"/>
              <w:jc w:val="both"/>
              <w:rPr>
                <w:rFonts w:ascii="Arial" w:eastAsia="Times New Roman" w:hAnsi="Arial" w:cs="Arial"/>
                <w:sz w:val="20"/>
                <w:szCs w:val="20"/>
                <w:lang w:eastAsia="pt-BR"/>
              </w:rPr>
            </w:pPr>
            <w:r w:rsidRPr="009755C1">
              <w:rPr>
                <w:rFonts w:ascii="Arial" w:eastAsia="Times New Roman" w:hAnsi="Arial" w:cs="Arial"/>
                <w:sz w:val="20"/>
                <w:szCs w:val="20"/>
                <w:lang w:eastAsia="pt-BR"/>
              </w:rPr>
              <w:t>Obrigatório</w:t>
            </w:r>
          </w:p>
        </w:tc>
      </w:tr>
      <w:tr w:rsidR="009755C1" w:rsidRPr="009755C1" w14:paraId="1097DBA9" w14:textId="77777777" w:rsidTr="00FA6132">
        <w:trPr>
          <w:trHeight w:val="315"/>
        </w:trPr>
        <w:tc>
          <w:tcPr>
            <w:tcW w:w="3272" w:type="dxa"/>
            <w:tcBorders>
              <w:top w:val="nil"/>
              <w:left w:val="single" w:sz="8" w:space="0" w:color="auto"/>
              <w:bottom w:val="single" w:sz="8" w:space="0" w:color="auto"/>
              <w:right w:val="single" w:sz="8" w:space="0" w:color="auto"/>
            </w:tcBorders>
            <w:shd w:val="clear" w:color="auto" w:fill="auto"/>
            <w:vAlign w:val="center"/>
            <w:hideMark/>
          </w:tcPr>
          <w:p w14:paraId="2DA44A3E" w14:textId="77777777" w:rsidR="009755C1" w:rsidRPr="009755C1" w:rsidRDefault="009755C1" w:rsidP="00FA6132">
            <w:pPr>
              <w:spacing w:after="160" w:line="240" w:lineRule="auto"/>
              <w:rPr>
                <w:rFonts w:ascii="Arial" w:eastAsia="Times New Roman" w:hAnsi="Arial" w:cs="Arial"/>
                <w:sz w:val="20"/>
                <w:szCs w:val="20"/>
                <w:lang w:eastAsia="pt-BR"/>
              </w:rPr>
            </w:pPr>
            <w:r w:rsidRPr="009755C1">
              <w:rPr>
                <w:rFonts w:ascii="Arial" w:eastAsia="Times New Roman" w:hAnsi="Arial" w:cs="Arial"/>
                <w:sz w:val="20"/>
                <w:szCs w:val="20"/>
                <w:lang w:eastAsia="pt-BR"/>
              </w:rPr>
              <w:t>Valor arrecadado pelo RPPS referente ao Mês Abril</w:t>
            </w:r>
          </w:p>
        </w:tc>
        <w:tc>
          <w:tcPr>
            <w:tcW w:w="1276" w:type="dxa"/>
            <w:tcBorders>
              <w:top w:val="nil"/>
              <w:left w:val="nil"/>
              <w:bottom w:val="single" w:sz="8" w:space="0" w:color="auto"/>
              <w:right w:val="single" w:sz="8" w:space="0" w:color="auto"/>
            </w:tcBorders>
            <w:shd w:val="clear" w:color="auto" w:fill="auto"/>
            <w:vAlign w:val="center"/>
            <w:hideMark/>
          </w:tcPr>
          <w:p w14:paraId="12C0F1C3"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Decimal</w:t>
            </w:r>
          </w:p>
        </w:tc>
        <w:tc>
          <w:tcPr>
            <w:tcW w:w="1276" w:type="dxa"/>
            <w:tcBorders>
              <w:top w:val="nil"/>
              <w:left w:val="nil"/>
              <w:bottom w:val="single" w:sz="8" w:space="0" w:color="auto"/>
              <w:right w:val="single" w:sz="8" w:space="0" w:color="auto"/>
            </w:tcBorders>
            <w:shd w:val="clear" w:color="auto" w:fill="auto"/>
            <w:vAlign w:val="center"/>
            <w:hideMark/>
          </w:tcPr>
          <w:p w14:paraId="0F077306"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14,2</w:t>
            </w:r>
          </w:p>
        </w:tc>
        <w:tc>
          <w:tcPr>
            <w:tcW w:w="3542" w:type="dxa"/>
            <w:tcBorders>
              <w:top w:val="nil"/>
              <w:left w:val="nil"/>
              <w:bottom w:val="single" w:sz="8" w:space="0" w:color="auto"/>
              <w:right w:val="single" w:sz="8" w:space="0" w:color="auto"/>
            </w:tcBorders>
            <w:shd w:val="clear" w:color="auto" w:fill="auto"/>
            <w:vAlign w:val="center"/>
            <w:hideMark/>
          </w:tcPr>
          <w:p w14:paraId="2BD474F6" w14:textId="77777777" w:rsidR="009755C1" w:rsidRPr="009755C1" w:rsidRDefault="009755C1" w:rsidP="00FA6132">
            <w:pPr>
              <w:spacing w:after="160" w:line="240" w:lineRule="auto"/>
              <w:jc w:val="both"/>
              <w:rPr>
                <w:rFonts w:ascii="Arial" w:eastAsia="Times New Roman" w:hAnsi="Arial" w:cs="Arial"/>
                <w:sz w:val="20"/>
                <w:szCs w:val="20"/>
                <w:lang w:eastAsia="pt-BR"/>
              </w:rPr>
            </w:pPr>
            <w:r w:rsidRPr="009755C1">
              <w:rPr>
                <w:rFonts w:ascii="Arial" w:eastAsia="Times New Roman" w:hAnsi="Arial" w:cs="Arial"/>
                <w:sz w:val="20"/>
                <w:szCs w:val="20"/>
                <w:lang w:eastAsia="pt-BR"/>
              </w:rPr>
              <w:t>Obrigatório</w:t>
            </w:r>
          </w:p>
        </w:tc>
      </w:tr>
      <w:tr w:rsidR="009755C1" w:rsidRPr="009755C1" w14:paraId="64586282" w14:textId="77777777" w:rsidTr="00FA6132">
        <w:trPr>
          <w:trHeight w:val="315"/>
        </w:trPr>
        <w:tc>
          <w:tcPr>
            <w:tcW w:w="3272" w:type="dxa"/>
            <w:tcBorders>
              <w:top w:val="nil"/>
              <w:left w:val="single" w:sz="8" w:space="0" w:color="auto"/>
              <w:bottom w:val="single" w:sz="8" w:space="0" w:color="auto"/>
              <w:right w:val="single" w:sz="8" w:space="0" w:color="auto"/>
            </w:tcBorders>
            <w:shd w:val="clear" w:color="auto" w:fill="auto"/>
            <w:vAlign w:val="center"/>
            <w:hideMark/>
          </w:tcPr>
          <w:p w14:paraId="2CD29127" w14:textId="77777777" w:rsidR="009755C1" w:rsidRPr="009755C1" w:rsidRDefault="009755C1" w:rsidP="00FA6132">
            <w:pPr>
              <w:spacing w:after="160" w:line="240" w:lineRule="auto"/>
              <w:rPr>
                <w:rFonts w:ascii="Arial" w:eastAsia="Times New Roman" w:hAnsi="Arial" w:cs="Arial"/>
                <w:sz w:val="20"/>
                <w:szCs w:val="20"/>
                <w:lang w:eastAsia="pt-BR"/>
              </w:rPr>
            </w:pPr>
            <w:r w:rsidRPr="009755C1">
              <w:rPr>
                <w:rFonts w:ascii="Arial" w:eastAsia="Times New Roman" w:hAnsi="Arial" w:cs="Arial"/>
                <w:sz w:val="20"/>
                <w:szCs w:val="20"/>
                <w:lang w:eastAsia="pt-BR"/>
              </w:rPr>
              <w:t>Valor devido ao RPPS referente ao Mês Maio</w:t>
            </w:r>
          </w:p>
        </w:tc>
        <w:tc>
          <w:tcPr>
            <w:tcW w:w="1276" w:type="dxa"/>
            <w:tcBorders>
              <w:top w:val="nil"/>
              <w:left w:val="nil"/>
              <w:bottom w:val="single" w:sz="8" w:space="0" w:color="auto"/>
              <w:right w:val="single" w:sz="8" w:space="0" w:color="auto"/>
            </w:tcBorders>
            <w:shd w:val="clear" w:color="auto" w:fill="auto"/>
            <w:vAlign w:val="center"/>
            <w:hideMark/>
          </w:tcPr>
          <w:p w14:paraId="251745D5"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Decimal</w:t>
            </w:r>
          </w:p>
        </w:tc>
        <w:tc>
          <w:tcPr>
            <w:tcW w:w="1276" w:type="dxa"/>
            <w:tcBorders>
              <w:top w:val="nil"/>
              <w:left w:val="nil"/>
              <w:bottom w:val="single" w:sz="8" w:space="0" w:color="auto"/>
              <w:right w:val="single" w:sz="8" w:space="0" w:color="auto"/>
            </w:tcBorders>
            <w:shd w:val="clear" w:color="auto" w:fill="auto"/>
            <w:vAlign w:val="center"/>
            <w:hideMark/>
          </w:tcPr>
          <w:p w14:paraId="08DECCDB"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14,2</w:t>
            </w:r>
          </w:p>
        </w:tc>
        <w:tc>
          <w:tcPr>
            <w:tcW w:w="3542" w:type="dxa"/>
            <w:tcBorders>
              <w:top w:val="nil"/>
              <w:left w:val="nil"/>
              <w:bottom w:val="single" w:sz="8" w:space="0" w:color="auto"/>
              <w:right w:val="single" w:sz="8" w:space="0" w:color="auto"/>
            </w:tcBorders>
            <w:shd w:val="clear" w:color="auto" w:fill="auto"/>
            <w:vAlign w:val="center"/>
            <w:hideMark/>
          </w:tcPr>
          <w:p w14:paraId="6665A42E" w14:textId="77777777" w:rsidR="009755C1" w:rsidRPr="009755C1" w:rsidRDefault="009755C1" w:rsidP="00FA6132">
            <w:pPr>
              <w:spacing w:after="160" w:line="240" w:lineRule="auto"/>
              <w:jc w:val="both"/>
              <w:rPr>
                <w:rFonts w:ascii="Arial" w:eastAsia="Times New Roman" w:hAnsi="Arial" w:cs="Arial"/>
                <w:sz w:val="20"/>
                <w:szCs w:val="20"/>
                <w:lang w:eastAsia="pt-BR"/>
              </w:rPr>
            </w:pPr>
            <w:r w:rsidRPr="009755C1">
              <w:rPr>
                <w:rFonts w:ascii="Arial" w:eastAsia="Times New Roman" w:hAnsi="Arial" w:cs="Arial"/>
                <w:sz w:val="20"/>
                <w:szCs w:val="20"/>
                <w:lang w:eastAsia="pt-BR"/>
              </w:rPr>
              <w:t>Obrigatório</w:t>
            </w:r>
          </w:p>
        </w:tc>
      </w:tr>
      <w:tr w:rsidR="009755C1" w:rsidRPr="009755C1" w14:paraId="45AE787B" w14:textId="77777777" w:rsidTr="00FA6132">
        <w:trPr>
          <w:trHeight w:val="315"/>
        </w:trPr>
        <w:tc>
          <w:tcPr>
            <w:tcW w:w="3272" w:type="dxa"/>
            <w:tcBorders>
              <w:top w:val="nil"/>
              <w:left w:val="single" w:sz="8" w:space="0" w:color="auto"/>
              <w:bottom w:val="single" w:sz="8" w:space="0" w:color="auto"/>
              <w:right w:val="single" w:sz="8" w:space="0" w:color="auto"/>
            </w:tcBorders>
            <w:shd w:val="clear" w:color="auto" w:fill="auto"/>
            <w:vAlign w:val="center"/>
            <w:hideMark/>
          </w:tcPr>
          <w:p w14:paraId="2DC80159" w14:textId="77777777" w:rsidR="009755C1" w:rsidRPr="009755C1" w:rsidRDefault="009755C1" w:rsidP="00FA6132">
            <w:pPr>
              <w:spacing w:after="160" w:line="240" w:lineRule="auto"/>
              <w:rPr>
                <w:rFonts w:ascii="Arial" w:eastAsia="Times New Roman" w:hAnsi="Arial" w:cs="Arial"/>
                <w:sz w:val="20"/>
                <w:szCs w:val="20"/>
                <w:lang w:eastAsia="pt-BR"/>
              </w:rPr>
            </w:pPr>
            <w:r w:rsidRPr="009755C1">
              <w:rPr>
                <w:rFonts w:ascii="Arial" w:eastAsia="Times New Roman" w:hAnsi="Arial" w:cs="Arial"/>
                <w:sz w:val="20"/>
                <w:szCs w:val="20"/>
                <w:lang w:eastAsia="pt-BR"/>
              </w:rPr>
              <w:t>Valor arrecadado pelo RPPS referente ao Mês Maio</w:t>
            </w:r>
          </w:p>
        </w:tc>
        <w:tc>
          <w:tcPr>
            <w:tcW w:w="1276" w:type="dxa"/>
            <w:tcBorders>
              <w:top w:val="nil"/>
              <w:left w:val="nil"/>
              <w:bottom w:val="single" w:sz="8" w:space="0" w:color="auto"/>
              <w:right w:val="single" w:sz="8" w:space="0" w:color="auto"/>
            </w:tcBorders>
            <w:shd w:val="clear" w:color="auto" w:fill="auto"/>
            <w:vAlign w:val="center"/>
            <w:hideMark/>
          </w:tcPr>
          <w:p w14:paraId="6CE8914A"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Decimal</w:t>
            </w:r>
          </w:p>
        </w:tc>
        <w:tc>
          <w:tcPr>
            <w:tcW w:w="1276" w:type="dxa"/>
            <w:tcBorders>
              <w:top w:val="nil"/>
              <w:left w:val="nil"/>
              <w:bottom w:val="single" w:sz="8" w:space="0" w:color="auto"/>
              <w:right w:val="single" w:sz="8" w:space="0" w:color="auto"/>
            </w:tcBorders>
            <w:shd w:val="clear" w:color="auto" w:fill="auto"/>
            <w:vAlign w:val="center"/>
            <w:hideMark/>
          </w:tcPr>
          <w:p w14:paraId="311ABB8B"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14,2</w:t>
            </w:r>
          </w:p>
        </w:tc>
        <w:tc>
          <w:tcPr>
            <w:tcW w:w="3542" w:type="dxa"/>
            <w:tcBorders>
              <w:top w:val="nil"/>
              <w:left w:val="nil"/>
              <w:bottom w:val="single" w:sz="8" w:space="0" w:color="auto"/>
              <w:right w:val="single" w:sz="8" w:space="0" w:color="auto"/>
            </w:tcBorders>
            <w:shd w:val="clear" w:color="auto" w:fill="auto"/>
            <w:vAlign w:val="center"/>
            <w:hideMark/>
          </w:tcPr>
          <w:p w14:paraId="6999A07B" w14:textId="77777777" w:rsidR="009755C1" w:rsidRPr="009755C1" w:rsidRDefault="009755C1" w:rsidP="00FA6132">
            <w:pPr>
              <w:spacing w:after="160" w:line="240" w:lineRule="auto"/>
              <w:jc w:val="both"/>
              <w:rPr>
                <w:rFonts w:ascii="Arial" w:eastAsia="Times New Roman" w:hAnsi="Arial" w:cs="Arial"/>
                <w:sz w:val="20"/>
                <w:szCs w:val="20"/>
                <w:lang w:eastAsia="pt-BR"/>
              </w:rPr>
            </w:pPr>
            <w:r w:rsidRPr="009755C1">
              <w:rPr>
                <w:rFonts w:ascii="Arial" w:eastAsia="Times New Roman" w:hAnsi="Arial" w:cs="Arial"/>
                <w:sz w:val="20"/>
                <w:szCs w:val="20"/>
                <w:lang w:eastAsia="pt-BR"/>
              </w:rPr>
              <w:t>Obrigatório</w:t>
            </w:r>
          </w:p>
        </w:tc>
      </w:tr>
      <w:tr w:rsidR="009755C1" w:rsidRPr="009755C1" w14:paraId="42BECC22" w14:textId="77777777" w:rsidTr="00FA6132">
        <w:trPr>
          <w:trHeight w:val="315"/>
        </w:trPr>
        <w:tc>
          <w:tcPr>
            <w:tcW w:w="3272" w:type="dxa"/>
            <w:tcBorders>
              <w:top w:val="nil"/>
              <w:left w:val="single" w:sz="8" w:space="0" w:color="auto"/>
              <w:bottom w:val="single" w:sz="8" w:space="0" w:color="auto"/>
              <w:right w:val="single" w:sz="8" w:space="0" w:color="auto"/>
            </w:tcBorders>
            <w:shd w:val="clear" w:color="auto" w:fill="auto"/>
            <w:vAlign w:val="center"/>
            <w:hideMark/>
          </w:tcPr>
          <w:p w14:paraId="5150F2CE" w14:textId="77777777" w:rsidR="009755C1" w:rsidRPr="009755C1" w:rsidRDefault="009755C1" w:rsidP="00FA6132">
            <w:pPr>
              <w:spacing w:after="160" w:line="240" w:lineRule="auto"/>
              <w:rPr>
                <w:rFonts w:ascii="Arial" w:eastAsia="Times New Roman" w:hAnsi="Arial" w:cs="Arial"/>
                <w:sz w:val="20"/>
                <w:szCs w:val="20"/>
                <w:lang w:eastAsia="pt-BR"/>
              </w:rPr>
            </w:pPr>
            <w:r w:rsidRPr="009755C1">
              <w:rPr>
                <w:rFonts w:ascii="Arial" w:eastAsia="Times New Roman" w:hAnsi="Arial" w:cs="Arial"/>
                <w:sz w:val="20"/>
                <w:szCs w:val="20"/>
                <w:lang w:eastAsia="pt-BR"/>
              </w:rPr>
              <w:t>Valor devido ao RPPS referente ao Mês Junho</w:t>
            </w:r>
          </w:p>
        </w:tc>
        <w:tc>
          <w:tcPr>
            <w:tcW w:w="1276" w:type="dxa"/>
            <w:tcBorders>
              <w:top w:val="nil"/>
              <w:left w:val="nil"/>
              <w:bottom w:val="single" w:sz="8" w:space="0" w:color="auto"/>
              <w:right w:val="single" w:sz="8" w:space="0" w:color="auto"/>
            </w:tcBorders>
            <w:shd w:val="clear" w:color="auto" w:fill="auto"/>
            <w:vAlign w:val="center"/>
            <w:hideMark/>
          </w:tcPr>
          <w:p w14:paraId="297FA6CC"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Decimal</w:t>
            </w:r>
          </w:p>
        </w:tc>
        <w:tc>
          <w:tcPr>
            <w:tcW w:w="1276" w:type="dxa"/>
            <w:tcBorders>
              <w:top w:val="nil"/>
              <w:left w:val="nil"/>
              <w:bottom w:val="single" w:sz="8" w:space="0" w:color="auto"/>
              <w:right w:val="single" w:sz="8" w:space="0" w:color="auto"/>
            </w:tcBorders>
            <w:shd w:val="clear" w:color="auto" w:fill="auto"/>
            <w:vAlign w:val="center"/>
            <w:hideMark/>
          </w:tcPr>
          <w:p w14:paraId="212EB169"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14,2</w:t>
            </w:r>
          </w:p>
        </w:tc>
        <w:tc>
          <w:tcPr>
            <w:tcW w:w="3542" w:type="dxa"/>
            <w:tcBorders>
              <w:top w:val="nil"/>
              <w:left w:val="nil"/>
              <w:bottom w:val="single" w:sz="8" w:space="0" w:color="auto"/>
              <w:right w:val="single" w:sz="8" w:space="0" w:color="auto"/>
            </w:tcBorders>
            <w:shd w:val="clear" w:color="auto" w:fill="auto"/>
            <w:vAlign w:val="center"/>
            <w:hideMark/>
          </w:tcPr>
          <w:p w14:paraId="1758BFB2" w14:textId="77777777" w:rsidR="009755C1" w:rsidRPr="009755C1" w:rsidRDefault="009755C1" w:rsidP="00FA6132">
            <w:pPr>
              <w:spacing w:after="160" w:line="240" w:lineRule="auto"/>
              <w:jc w:val="both"/>
              <w:rPr>
                <w:rFonts w:ascii="Arial" w:eastAsia="Times New Roman" w:hAnsi="Arial" w:cs="Arial"/>
                <w:sz w:val="20"/>
                <w:szCs w:val="20"/>
                <w:lang w:eastAsia="pt-BR"/>
              </w:rPr>
            </w:pPr>
            <w:r w:rsidRPr="009755C1">
              <w:rPr>
                <w:rFonts w:ascii="Arial" w:eastAsia="Times New Roman" w:hAnsi="Arial" w:cs="Arial"/>
                <w:sz w:val="20"/>
                <w:szCs w:val="20"/>
                <w:lang w:eastAsia="pt-BR"/>
              </w:rPr>
              <w:t>Obrigatório</w:t>
            </w:r>
          </w:p>
        </w:tc>
      </w:tr>
      <w:tr w:rsidR="009755C1" w:rsidRPr="009755C1" w14:paraId="75AC6A1A" w14:textId="77777777" w:rsidTr="00FA6132">
        <w:trPr>
          <w:trHeight w:val="315"/>
        </w:trPr>
        <w:tc>
          <w:tcPr>
            <w:tcW w:w="3272" w:type="dxa"/>
            <w:tcBorders>
              <w:top w:val="nil"/>
              <w:left w:val="single" w:sz="8" w:space="0" w:color="auto"/>
              <w:bottom w:val="single" w:sz="8" w:space="0" w:color="auto"/>
              <w:right w:val="single" w:sz="8" w:space="0" w:color="auto"/>
            </w:tcBorders>
            <w:shd w:val="clear" w:color="auto" w:fill="auto"/>
            <w:vAlign w:val="center"/>
            <w:hideMark/>
          </w:tcPr>
          <w:p w14:paraId="2CA9FE3B" w14:textId="77777777" w:rsidR="009755C1" w:rsidRPr="009755C1" w:rsidRDefault="009755C1" w:rsidP="00FA6132">
            <w:pPr>
              <w:spacing w:after="160" w:line="240" w:lineRule="auto"/>
              <w:rPr>
                <w:rFonts w:ascii="Arial" w:eastAsia="Times New Roman" w:hAnsi="Arial" w:cs="Arial"/>
                <w:sz w:val="20"/>
                <w:szCs w:val="20"/>
                <w:lang w:eastAsia="pt-BR"/>
              </w:rPr>
            </w:pPr>
            <w:r w:rsidRPr="009755C1">
              <w:rPr>
                <w:rFonts w:ascii="Arial" w:eastAsia="Times New Roman" w:hAnsi="Arial" w:cs="Arial"/>
                <w:sz w:val="20"/>
                <w:szCs w:val="20"/>
                <w:lang w:eastAsia="pt-BR"/>
              </w:rPr>
              <w:t>Valor arrecadado pelo RPPS referente ao Mês Junho</w:t>
            </w:r>
          </w:p>
        </w:tc>
        <w:tc>
          <w:tcPr>
            <w:tcW w:w="1276" w:type="dxa"/>
            <w:tcBorders>
              <w:top w:val="nil"/>
              <w:left w:val="nil"/>
              <w:bottom w:val="single" w:sz="8" w:space="0" w:color="auto"/>
              <w:right w:val="single" w:sz="8" w:space="0" w:color="auto"/>
            </w:tcBorders>
            <w:shd w:val="clear" w:color="auto" w:fill="auto"/>
            <w:vAlign w:val="center"/>
            <w:hideMark/>
          </w:tcPr>
          <w:p w14:paraId="108AFB06"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Decimal</w:t>
            </w:r>
          </w:p>
        </w:tc>
        <w:tc>
          <w:tcPr>
            <w:tcW w:w="1276" w:type="dxa"/>
            <w:tcBorders>
              <w:top w:val="nil"/>
              <w:left w:val="nil"/>
              <w:bottom w:val="single" w:sz="8" w:space="0" w:color="auto"/>
              <w:right w:val="single" w:sz="8" w:space="0" w:color="auto"/>
            </w:tcBorders>
            <w:shd w:val="clear" w:color="auto" w:fill="auto"/>
            <w:vAlign w:val="center"/>
            <w:hideMark/>
          </w:tcPr>
          <w:p w14:paraId="3ECCC3A3"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14,2</w:t>
            </w:r>
          </w:p>
        </w:tc>
        <w:tc>
          <w:tcPr>
            <w:tcW w:w="3542" w:type="dxa"/>
            <w:tcBorders>
              <w:top w:val="nil"/>
              <w:left w:val="nil"/>
              <w:bottom w:val="single" w:sz="8" w:space="0" w:color="auto"/>
              <w:right w:val="single" w:sz="8" w:space="0" w:color="auto"/>
            </w:tcBorders>
            <w:shd w:val="clear" w:color="auto" w:fill="auto"/>
            <w:vAlign w:val="center"/>
            <w:hideMark/>
          </w:tcPr>
          <w:p w14:paraId="507A0F5E" w14:textId="77777777" w:rsidR="009755C1" w:rsidRPr="009755C1" w:rsidRDefault="009755C1" w:rsidP="00FA6132">
            <w:pPr>
              <w:spacing w:after="160" w:line="240" w:lineRule="auto"/>
              <w:jc w:val="both"/>
              <w:rPr>
                <w:rFonts w:ascii="Arial" w:eastAsia="Times New Roman" w:hAnsi="Arial" w:cs="Arial"/>
                <w:sz w:val="20"/>
                <w:szCs w:val="20"/>
                <w:lang w:eastAsia="pt-BR"/>
              </w:rPr>
            </w:pPr>
            <w:r w:rsidRPr="009755C1">
              <w:rPr>
                <w:rFonts w:ascii="Arial" w:eastAsia="Times New Roman" w:hAnsi="Arial" w:cs="Arial"/>
                <w:sz w:val="20"/>
                <w:szCs w:val="20"/>
                <w:lang w:eastAsia="pt-BR"/>
              </w:rPr>
              <w:t>Obrigatório</w:t>
            </w:r>
          </w:p>
        </w:tc>
      </w:tr>
      <w:tr w:rsidR="009755C1" w:rsidRPr="009755C1" w14:paraId="3B20F36F" w14:textId="77777777" w:rsidTr="00FA6132">
        <w:trPr>
          <w:trHeight w:val="315"/>
        </w:trPr>
        <w:tc>
          <w:tcPr>
            <w:tcW w:w="3272" w:type="dxa"/>
            <w:tcBorders>
              <w:top w:val="nil"/>
              <w:left w:val="single" w:sz="8" w:space="0" w:color="auto"/>
              <w:bottom w:val="single" w:sz="8" w:space="0" w:color="auto"/>
              <w:right w:val="single" w:sz="8" w:space="0" w:color="auto"/>
            </w:tcBorders>
            <w:shd w:val="clear" w:color="auto" w:fill="auto"/>
            <w:vAlign w:val="center"/>
            <w:hideMark/>
          </w:tcPr>
          <w:p w14:paraId="726F694B" w14:textId="77777777" w:rsidR="009755C1" w:rsidRPr="009755C1" w:rsidRDefault="009755C1" w:rsidP="00FA6132">
            <w:pPr>
              <w:spacing w:after="160" w:line="240" w:lineRule="auto"/>
              <w:rPr>
                <w:rFonts w:ascii="Arial" w:eastAsia="Times New Roman" w:hAnsi="Arial" w:cs="Arial"/>
                <w:sz w:val="20"/>
                <w:szCs w:val="20"/>
                <w:lang w:eastAsia="pt-BR"/>
              </w:rPr>
            </w:pPr>
            <w:r w:rsidRPr="009755C1">
              <w:rPr>
                <w:rFonts w:ascii="Arial" w:eastAsia="Times New Roman" w:hAnsi="Arial" w:cs="Arial"/>
                <w:sz w:val="20"/>
                <w:szCs w:val="20"/>
                <w:lang w:eastAsia="pt-BR"/>
              </w:rPr>
              <w:t>Valor devido ao RPPS referente ao Mês Julho</w:t>
            </w:r>
          </w:p>
        </w:tc>
        <w:tc>
          <w:tcPr>
            <w:tcW w:w="1276" w:type="dxa"/>
            <w:tcBorders>
              <w:top w:val="nil"/>
              <w:left w:val="nil"/>
              <w:bottom w:val="single" w:sz="8" w:space="0" w:color="auto"/>
              <w:right w:val="single" w:sz="8" w:space="0" w:color="auto"/>
            </w:tcBorders>
            <w:shd w:val="clear" w:color="auto" w:fill="auto"/>
            <w:vAlign w:val="center"/>
            <w:hideMark/>
          </w:tcPr>
          <w:p w14:paraId="37275A35"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Decimal</w:t>
            </w:r>
          </w:p>
        </w:tc>
        <w:tc>
          <w:tcPr>
            <w:tcW w:w="1276" w:type="dxa"/>
            <w:tcBorders>
              <w:top w:val="nil"/>
              <w:left w:val="nil"/>
              <w:bottom w:val="single" w:sz="8" w:space="0" w:color="auto"/>
              <w:right w:val="single" w:sz="8" w:space="0" w:color="auto"/>
            </w:tcBorders>
            <w:shd w:val="clear" w:color="auto" w:fill="auto"/>
            <w:vAlign w:val="center"/>
            <w:hideMark/>
          </w:tcPr>
          <w:p w14:paraId="7BBC75BF"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14,2</w:t>
            </w:r>
          </w:p>
        </w:tc>
        <w:tc>
          <w:tcPr>
            <w:tcW w:w="3542" w:type="dxa"/>
            <w:tcBorders>
              <w:top w:val="nil"/>
              <w:left w:val="nil"/>
              <w:bottom w:val="single" w:sz="8" w:space="0" w:color="auto"/>
              <w:right w:val="single" w:sz="8" w:space="0" w:color="auto"/>
            </w:tcBorders>
            <w:shd w:val="clear" w:color="auto" w:fill="auto"/>
            <w:vAlign w:val="center"/>
            <w:hideMark/>
          </w:tcPr>
          <w:p w14:paraId="07FE2011" w14:textId="77777777" w:rsidR="009755C1" w:rsidRPr="009755C1" w:rsidRDefault="009755C1" w:rsidP="00FA6132">
            <w:pPr>
              <w:spacing w:after="160" w:line="240" w:lineRule="auto"/>
              <w:jc w:val="both"/>
              <w:rPr>
                <w:rFonts w:ascii="Arial" w:eastAsia="Times New Roman" w:hAnsi="Arial" w:cs="Arial"/>
                <w:sz w:val="20"/>
                <w:szCs w:val="20"/>
                <w:lang w:eastAsia="pt-BR"/>
              </w:rPr>
            </w:pPr>
            <w:r w:rsidRPr="009755C1">
              <w:rPr>
                <w:rFonts w:ascii="Arial" w:eastAsia="Times New Roman" w:hAnsi="Arial" w:cs="Arial"/>
                <w:sz w:val="20"/>
                <w:szCs w:val="20"/>
                <w:lang w:eastAsia="pt-BR"/>
              </w:rPr>
              <w:t>Obrigatório</w:t>
            </w:r>
          </w:p>
        </w:tc>
      </w:tr>
      <w:tr w:rsidR="009755C1" w:rsidRPr="009755C1" w14:paraId="41470FCD" w14:textId="77777777" w:rsidTr="00FA6132">
        <w:trPr>
          <w:trHeight w:val="315"/>
        </w:trPr>
        <w:tc>
          <w:tcPr>
            <w:tcW w:w="3272" w:type="dxa"/>
            <w:tcBorders>
              <w:top w:val="nil"/>
              <w:left w:val="single" w:sz="8" w:space="0" w:color="auto"/>
              <w:bottom w:val="single" w:sz="8" w:space="0" w:color="auto"/>
              <w:right w:val="single" w:sz="8" w:space="0" w:color="auto"/>
            </w:tcBorders>
            <w:shd w:val="clear" w:color="auto" w:fill="auto"/>
            <w:vAlign w:val="center"/>
            <w:hideMark/>
          </w:tcPr>
          <w:p w14:paraId="7A27B932" w14:textId="77777777" w:rsidR="009755C1" w:rsidRPr="009755C1" w:rsidRDefault="009755C1" w:rsidP="00FA6132">
            <w:pPr>
              <w:spacing w:after="160" w:line="240" w:lineRule="auto"/>
              <w:rPr>
                <w:rFonts w:ascii="Arial" w:eastAsia="Times New Roman" w:hAnsi="Arial" w:cs="Arial"/>
                <w:sz w:val="20"/>
                <w:szCs w:val="20"/>
                <w:lang w:eastAsia="pt-BR"/>
              </w:rPr>
            </w:pPr>
            <w:r w:rsidRPr="009755C1">
              <w:rPr>
                <w:rFonts w:ascii="Arial" w:eastAsia="Times New Roman" w:hAnsi="Arial" w:cs="Arial"/>
                <w:sz w:val="20"/>
                <w:szCs w:val="20"/>
                <w:lang w:eastAsia="pt-BR"/>
              </w:rPr>
              <w:t>Valor arrecadado pelo RPPS referente ao Mês Julho</w:t>
            </w:r>
          </w:p>
        </w:tc>
        <w:tc>
          <w:tcPr>
            <w:tcW w:w="1276" w:type="dxa"/>
            <w:tcBorders>
              <w:top w:val="nil"/>
              <w:left w:val="nil"/>
              <w:bottom w:val="single" w:sz="8" w:space="0" w:color="auto"/>
              <w:right w:val="single" w:sz="8" w:space="0" w:color="auto"/>
            </w:tcBorders>
            <w:shd w:val="clear" w:color="auto" w:fill="auto"/>
            <w:vAlign w:val="center"/>
            <w:hideMark/>
          </w:tcPr>
          <w:p w14:paraId="60F8A521"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Decimal</w:t>
            </w:r>
          </w:p>
        </w:tc>
        <w:tc>
          <w:tcPr>
            <w:tcW w:w="1276" w:type="dxa"/>
            <w:tcBorders>
              <w:top w:val="nil"/>
              <w:left w:val="nil"/>
              <w:bottom w:val="single" w:sz="8" w:space="0" w:color="auto"/>
              <w:right w:val="single" w:sz="8" w:space="0" w:color="auto"/>
            </w:tcBorders>
            <w:shd w:val="clear" w:color="auto" w:fill="auto"/>
            <w:vAlign w:val="center"/>
            <w:hideMark/>
          </w:tcPr>
          <w:p w14:paraId="3DE3C778"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14,2</w:t>
            </w:r>
          </w:p>
        </w:tc>
        <w:tc>
          <w:tcPr>
            <w:tcW w:w="3542" w:type="dxa"/>
            <w:tcBorders>
              <w:top w:val="nil"/>
              <w:left w:val="nil"/>
              <w:bottom w:val="single" w:sz="8" w:space="0" w:color="auto"/>
              <w:right w:val="single" w:sz="8" w:space="0" w:color="auto"/>
            </w:tcBorders>
            <w:shd w:val="clear" w:color="auto" w:fill="auto"/>
            <w:vAlign w:val="center"/>
            <w:hideMark/>
          </w:tcPr>
          <w:p w14:paraId="66681052" w14:textId="77777777" w:rsidR="009755C1" w:rsidRPr="009755C1" w:rsidRDefault="009755C1" w:rsidP="00FA6132">
            <w:pPr>
              <w:spacing w:after="160" w:line="240" w:lineRule="auto"/>
              <w:jc w:val="both"/>
              <w:rPr>
                <w:rFonts w:ascii="Arial" w:eastAsia="Times New Roman" w:hAnsi="Arial" w:cs="Arial"/>
                <w:sz w:val="20"/>
                <w:szCs w:val="20"/>
                <w:lang w:eastAsia="pt-BR"/>
              </w:rPr>
            </w:pPr>
            <w:r w:rsidRPr="009755C1">
              <w:rPr>
                <w:rFonts w:ascii="Arial" w:eastAsia="Times New Roman" w:hAnsi="Arial" w:cs="Arial"/>
                <w:sz w:val="20"/>
                <w:szCs w:val="20"/>
                <w:lang w:eastAsia="pt-BR"/>
              </w:rPr>
              <w:t>Obrigatório</w:t>
            </w:r>
          </w:p>
        </w:tc>
      </w:tr>
      <w:tr w:rsidR="009755C1" w:rsidRPr="009755C1" w14:paraId="359601E1" w14:textId="77777777" w:rsidTr="00FA6132">
        <w:trPr>
          <w:trHeight w:val="315"/>
        </w:trPr>
        <w:tc>
          <w:tcPr>
            <w:tcW w:w="3272" w:type="dxa"/>
            <w:tcBorders>
              <w:top w:val="nil"/>
              <w:left w:val="single" w:sz="8" w:space="0" w:color="auto"/>
              <w:bottom w:val="single" w:sz="8" w:space="0" w:color="auto"/>
              <w:right w:val="single" w:sz="8" w:space="0" w:color="auto"/>
            </w:tcBorders>
            <w:shd w:val="clear" w:color="auto" w:fill="auto"/>
            <w:vAlign w:val="center"/>
            <w:hideMark/>
          </w:tcPr>
          <w:p w14:paraId="5E360888" w14:textId="77777777" w:rsidR="009755C1" w:rsidRPr="009755C1" w:rsidRDefault="009755C1" w:rsidP="00FA6132">
            <w:pPr>
              <w:spacing w:after="160" w:line="240" w:lineRule="auto"/>
              <w:rPr>
                <w:rFonts w:ascii="Arial" w:eastAsia="Times New Roman" w:hAnsi="Arial" w:cs="Arial"/>
                <w:sz w:val="20"/>
                <w:szCs w:val="20"/>
                <w:lang w:eastAsia="pt-BR"/>
              </w:rPr>
            </w:pPr>
            <w:r w:rsidRPr="009755C1">
              <w:rPr>
                <w:rFonts w:ascii="Arial" w:eastAsia="Times New Roman" w:hAnsi="Arial" w:cs="Arial"/>
                <w:sz w:val="20"/>
                <w:szCs w:val="20"/>
                <w:lang w:eastAsia="pt-BR"/>
              </w:rPr>
              <w:t>Valor devido ao RPPS referente ao Mês Agosto</w:t>
            </w:r>
          </w:p>
        </w:tc>
        <w:tc>
          <w:tcPr>
            <w:tcW w:w="1276" w:type="dxa"/>
            <w:tcBorders>
              <w:top w:val="nil"/>
              <w:left w:val="nil"/>
              <w:bottom w:val="single" w:sz="8" w:space="0" w:color="auto"/>
              <w:right w:val="single" w:sz="8" w:space="0" w:color="auto"/>
            </w:tcBorders>
            <w:shd w:val="clear" w:color="auto" w:fill="auto"/>
            <w:vAlign w:val="center"/>
            <w:hideMark/>
          </w:tcPr>
          <w:p w14:paraId="59F23A2C"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Decimal</w:t>
            </w:r>
          </w:p>
        </w:tc>
        <w:tc>
          <w:tcPr>
            <w:tcW w:w="1276" w:type="dxa"/>
            <w:tcBorders>
              <w:top w:val="nil"/>
              <w:left w:val="nil"/>
              <w:bottom w:val="single" w:sz="8" w:space="0" w:color="auto"/>
              <w:right w:val="single" w:sz="8" w:space="0" w:color="auto"/>
            </w:tcBorders>
            <w:shd w:val="clear" w:color="auto" w:fill="auto"/>
            <w:vAlign w:val="center"/>
            <w:hideMark/>
          </w:tcPr>
          <w:p w14:paraId="3CAE91FC"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14,2</w:t>
            </w:r>
          </w:p>
        </w:tc>
        <w:tc>
          <w:tcPr>
            <w:tcW w:w="3542" w:type="dxa"/>
            <w:tcBorders>
              <w:top w:val="nil"/>
              <w:left w:val="nil"/>
              <w:bottom w:val="single" w:sz="8" w:space="0" w:color="auto"/>
              <w:right w:val="single" w:sz="8" w:space="0" w:color="auto"/>
            </w:tcBorders>
            <w:shd w:val="clear" w:color="auto" w:fill="auto"/>
            <w:vAlign w:val="center"/>
            <w:hideMark/>
          </w:tcPr>
          <w:p w14:paraId="10234EE3" w14:textId="77777777" w:rsidR="009755C1" w:rsidRPr="009755C1" w:rsidRDefault="009755C1" w:rsidP="00FA6132">
            <w:pPr>
              <w:spacing w:after="160" w:line="240" w:lineRule="auto"/>
              <w:jc w:val="both"/>
              <w:rPr>
                <w:rFonts w:ascii="Arial" w:eastAsia="Times New Roman" w:hAnsi="Arial" w:cs="Arial"/>
                <w:sz w:val="20"/>
                <w:szCs w:val="20"/>
                <w:lang w:eastAsia="pt-BR"/>
              </w:rPr>
            </w:pPr>
            <w:r w:rsidRPr="009755C1">
              <w:rPr>
                <w:rFonts w:ascii="Arial" w:eastAsia="Times New Roman" w:hAnsi="Arial" w:cs="Arial"/>
                <w:sz w:val="20"/>
                <w:szCs w:val="20"/>
                <w:lang w:eastAsia="pt-BR"/>
              </w:rPr>
              <w:t>Obrigatório</w:t>
            </w:r>
          </w:p>
        </w:tc>
      </w:tr>
      <w:tr w:rsidR="009755C1" w:rsidRPr="009755C1" w14:paraId="4E04A50D" w14:textId="77777777" w:rsidTr="00FA6132">
        <w:trPr>
          <w:trHeight w:val="315"/>
        </w:trPr>
        <w:tc>
          <w:tcPr>
            <w:tcW w:w="3272" w:type="dxa"/>
            <w:tcBorders>
              <w:top w:val="nil"/>
              <w:left w:val="single" w:sz="8" w:space="0" w:color="auto"/>
              <w:bottom w:val="single" w:sz="8" w:space="0" w:color="auto"/>
              <w:right w:val="single" w:sz="8" w:space="0" w:color="auto"/>
            </w:tcBorders>
            <w:shd w:val="clear" w:color="auto" w:fill="auto"/>
            <w:vAlign w:val="center"/>
            <w:hideMark/>
          </w:tcPr>
          <w:p w14:paraId="56D2DD0B" w14:textId="77777777" w:rsidR="009755C1" w:rsidRPr="009755C1" w:rsidRDefault="009755C1" w:rsidP="00FA6132">
            <w:pPr>
              <w:spacing w:after="160" w:line="240" w:lineRule="auto"/>
              <w:rPr>
                <w:rFonts w:ascii="Arial" w:eastAsia="Times New Roman" w:hAnsi="Arial" w:cs="Arial"/>
                <w:sz w:val="20"/>
                <w:szCs w:val="20"/>
                <w:lang w:eastAsia="pt-BR"/>
              </w:rPr>
            </w:pPr>
            <w:r w:rsidRPr="009755C1">
              <w:rPr>
                <w:rFonts w:ascii="Arial" w:eastAsia="Times New Roman" w:hAnsi="Arial" w:cs="Arial"/>
                <w:sz w:val="20"/>
                <w:szCs w:val="20"/>
                <w:lang w:eastAsia="pt-BR"/>
              </w:rPr>
              <w:t>Valor arrecadado pelo RPPS referente ao Mês Agosto</w:t>
            </w:r>
          </w:p>
        </w:tc>
        <w:tc>
          <w:tcPr>
            <w:tcW w:w="1276" w:type="dxa"/>
            <w:tcBorders>
              <w:top w:val="nil"/>
              <w:left w:val="nil"/>
              <w:bottom w:val="single" w:sz="8" w:space="0" w:color="auto"/>
              <w:right w:val="single" w:sz="8" w:space="0" w:color="auto"/>
            </w:tcBorders>
            <w:shd w:val="clear" w:color="auto" w:fill="auto"/>
            <w:vAlign w:val="center"/>
            <w:hideMark/>
          </w:tcPr>
          <w:p w14:paraId="7276D3B2"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Decimal</w:t>
            </w:r>
          </w:p>
        </w:tc>
        <w:tc>
          <w:tcPr>
            <w:tcW w:w="1276" w:type="dxa"/>
            <w:tcBorders>
              <w:top w:val="nil"/>
              <w:left w:val="nil"/>
              <w:bottom w:val="single" w:sz="8" w:space="0" w:color="auto"/>
              <w:right w:val="single" w:sz="8" w:space="0" w:color="auto"/>
            </w:tcBorders>
            <w:shd w:val="clear" w:color="auto" w:fill="auto"/>
            <w:vAlign w:val="center"/>
            <w:hideMark/>
          </w:tcPr>
          <w:p w14:paraId="53A458A9"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14,2</w:t>
            </w:r>
          </w:p>
        </w:tc>
        <w:tc>
          <w:tcPr>
            <w:tcW w:w="3542" w:type="dxa"/>
            <w:tcBorders>
              <w:top w:val="nil"/>
              <w:left w:val="nil"/>
              <w:bottom w:val="single" w:sz="8" w:space="0" w:color="auto"/>
              <w:right w:val="single" w:sz="8" w:space="0" w:color="auto"/>
            </w:tcBorders>
            <w:shd w:val="clear" w:color="auto" w:fill="auto"/>
            <w:vAlign w:val="center"/>
            <w:hideMark/>
          </w:tcPr>
          <w:p w14:paraId="62EA351E" w14:textId="77777777" w:rsidR="009755C1" w:rsidRPr="009755C1" w:rsidRDefault="009755C1" w:rsidP="00FA6132">
            <w:pPr>
              <w:spacing w:after="160" w:line="240" w:lineRule="auto"/>
              <w:jc w:val="both"/>
              <w:rPr>
                <w:rFonts w:ascii="Arial" w:eastAsia="Times New Roman" w:hAnsi="Arial" w:cs="Arial"/>
                <w:sz w:val="20"/>
                <w:szCs w:val="20"/>
                <w:lang w:eastAsia="pt-BR"/>
              </w:rPr>
            </w:pPr>
            <w:r w:rsidRPr="009755C1">
              <w:rPr>
                <w:rFonts w:ascii="Arial" w:eastAsia="Times New Roman" w:hAnsi="Arial" w:cs="Arial"/>
                <w:sz w:val="20"/>
                <w:szCs w:val="20"/>
                <w:lang w:eastAsia="pt-BR"/>
              </w:rPr>
              <w:t>Obrigatório</w:t>
            </w:r>
          </w:p>
        </w:tc>
      </w:tr>
      <w:tr w:rsidR="009755C1" w:rsidRPr="009755C1" w14:paraId="284F6BCC" w14:textId="77777777" w:rsidTr="00FA6132">
        <w:trPr>
          <w:trHeight w:val="315"/>
        </w:trPr>
        <w:tc>
          <w:tcPr>
            <w:tcW w:w="3272" w:type="dxa"/>
            <w:tcBorders>
              <w:top w:val="nil"/>
              <w:left w:val="single" w:sz="8" w:space="0" w:color="auto"/>
              <w:bottom w:val="single" w:sz="8" w:space="0" w:color="auto"/>
              <w:right w:val="single" w:sz="8" w:space="0" w:color="auto"/>
            </w:tcBorders>
            <w:shd w:val="clear" w:color="auto" w:fill="auto"/>
            <w:vAlign w:val="center"/>
            <w:hideMark/>
          </w:tcPr>
          <w:p w14:paraId="233CC5CE" w14:textId="77777777" w:rsidR="009755C1" w:rsidRPr="009755C1" w:rsidRDefault="009755C1" w:rsidP="00FA6132">
            <w:pPr>
              <w:spacing w:after="160" w:line="240" w:lineRule="auto"/>
              <w:rPr>
                <w:rFonts w:ascii="Arial" w:eastAsia="Times New Roman" w:hAnsi="Arial" w:cs="Arial"/>
                <w:sz w:val="20"/>
                <w:szCs w:val="20"/>
                <w:lang w:eastAsia="pt-BR"/>
              </w:rPr>
            </w:pPr>
            <w:r w:rsidRPr="009755C1">
              <w:rPr>
                <w:rFonts w:ascii="Arial" w:eastAsia="Times New Roman" w:hAnsi="Arial" w:cs="Arial"/>
                <w:sz w:val="20"/>
                <w:szCs w:val="20"/>
                <w:lang w:eastAsia="pt-BR"/>
              </w:rPr>
              <w:t>Valor devido ao RPPS referente ao Mês Setembro</w:t>
            </w:r>
          </w:p>
        </w:tc>
        <w:tc>
          <w:tcPr>
            <w:tcW w:w="1276" w:type="dxa"/>
            <w:tcBorders>
              <w:top w:val="nil"/>
              <w:left w:val="nil"/>
              <w:bottom w:val="single" w:sz="8" w:space="0" w:color="auto"/>
              <w:right w:val="single" w:sz="8" w:space="0" w:color="auto"/>
            </w:tcBorders>
            <w:shd w:val="clear" w:color="auto" w:fill="auto"/>
            <w:vAlign w:val="center"/>
            <w:hideMark/>
          </w:tcPr>
          <w:p w14:paraId="6D7D40C2"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Decimal</w:t>
            </w:r>
          </w:p>
        </w:tc>
        <w:tc>
          <w:tcPr>
            <w:tcW w:w="1276" w:type="dxa"/>
            <w:tcBorders>
              <w:top w:val="nil"/>
              <w:left w:val="nil"/>
              <w:bottom w:val="single" w:sz="8" w:space="0" w:color="auto"/>
              <w:right w:val="single" w:sz="8" w:space="0" w:color="auto"/>
            </w:tcBorders>
            <w:shd w:val="clear" w:color="auto" w:fill="auto"/>
            <w:vAlign w:val="center"/>
            <w:hideMark/>
          </w:tcPr>
          <w:p w14:paraId="792A32E8"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14,2</w:t>
            </w:r>
          </w:p>
        </w:tc>
        <w:tc>
          <w:tcPr>
            <w:tcW w:w="3542" w:type="dxa"/>
            <w:tcBorders>
              <w:top w:val="nil"/>
              <w:left w:val="nil"/>
              <w:bottom w:val="single" w:sz="8" w:space="0" w:color="auto"/>
              <w:right w:val="single" w:sz="8" w:space="0" w:color="auto"/>
            </w:tcBorders>
            <w:shd w:val="clear" w:color="auto" w:fill="auto"/>
            <w:vAlign w:val="center"/>
            <w:hideMark/>
          </w:tcPr>
          <w:p w14:paraId="62EFE5CA" w14:textId="77777777" w:rsidR="009755C1" w:rsidRPr="009755C1" w:rsidRDefault="009755C1" w:rsidP="00FA6132">
            <w:pPr>
              <w:spacing w:after="160" w:line="240" w:lineRule="auto"/>
              <w:jc w:val="both"/>
              <w:rPr>
                <w:rFonts w:ascii="Arial" w:eastAsia="Times New Roman" w:hAnsi="Arial" w:cs="Arial"/>
                <w:sz w:val="20"/>
                <w:szCs w:val="20"/>
                <w:lang w:eastAsia="pt-BR"/>
              </w:rPr>
            </w:pPr>
            <w:r w:rsidRPr="009755C1">
              <w:rPr>
                <w:rFonts w:ascii="Arial" w:eastAsia="Times New Roman" w:hAnsi="Arial" w:cs="Arial"/>
                <w:sz w:val="20"/>
                <w:szCs w:val="20"/>
                <w:lang w:eastAsia="pt-BR"/>
              </w:rPr>
              <w:t>Obrigatório</w:t>
            </w:r>
          </w:p>
        </w:tc>
      </w:tr>
      <w:tr w:rsidR="009755C1" w:rsidRPr="009755C1" w14:paraId="00714359" w14:textId="77777777" w:rsidTr="00FA6132">
        <w:trPr>
          <w:trHeight w:val="315"/>
        </w:trPr>
        <w:tc>
          <w:tcPr>
            <w:tcW w:w="3272" w:type="dxa"/>
            <w:tcBorders>
              <w:top w:val="nil"/>
              <w:left w:val="single" w:sz="8" w:space="0" w:color="auto"/>
              <w:bottom w:val="single" w:sz="8" w:space="0" w:color="auto"/>
              <w:right w:val="single" w:sz="8" w:space="0" w:color="auto"/>
            </w:tcBorders>
            <w:shd w:val="clear" w:color="auto" w:fill="auto"/>
            <w:vAlign w:val="center"/>
            <w:hideMark/>
          </w:tcPr>
          <w:p w14:paraId="09E73CCA" w14:textId="77777777" w:rsidR="009755C1" w:rsidRPr="009755C1" w:rsidRDefault="009755C1" w:rsidP="00FA6132">
            <w:pPr>
              <w:spacing w:after="160" w:line="240" w:lineRule="auto"/>
              <w:rPr>
                <w:rFonts w:ascii="Arial" w:eastAsia="Times New Roman" w:hAnsi="Arial" w:cs="Arial"/>
                <w:sz w:val="20"/>
                <w:szCs w:val="20"/>
                <w:lang w:eastAsia="pt-BR"/>
              </w:rPr>
            </w:pPr>
            <w:r w:rsidRPr="009755C1">
              <w:rPr>
                <w:rFonts w:ascii="Arial" w:eastAsia="Times New Roman" w:hAnsi="Arial" w:cs="Arial"/>
                <w:sz w:val="20"/>
                <w:szCs w:val="20"/>
                <w:lang w:eastAsia="pt-BR"/>
              </w:rPr>
              <w:t>Valor arrecadado pelo RPPS referente ao Mês Setembro</w:t>
            </w:r>
          </w:p>
        </w:tc>
        <w:tc>
          <w:tcPr>
            <w:tcW w:w="1276" w:type="dxa"/>
            <w:tcBorders>
              <w:top w:val="nil"/>
              <w:left w:val="nil"/>
              <w:bottom w:val="single" w:sz="8" w:space="0" w:color="auto"/>
              <w:right w:val="single" w:sz="8" w:space="0" w:color="auto"/>
            </w:tcBorders>
            <w:shd w:val="clear" w:color="auto" w:fill="auto"/>
            <w:vAlign w:val="center"/>
            <w:hideMark/>
          </w:tcPr>
          <w:p w14:paraId="0713D665"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Decimal</w:t>
            </w:r>
          </w:p>
        </w:tc>
        <w:tc>
          <w:tcPr>
            <w:tcW w:w="1276" w:type="dxa"/>
            <w:tcBorders>
              <w:top w:val="nil"/>
              <w:left w:val="nil"/>
              <w:bottom w:val="single" w:sz="8" w:space="0" w:color="auto"/>
              <w:right w:val="single" w:sz="8" w:space="0" w:color="auto"/>
            </w:tcBorders>
            <w:shd w:val="clear" w:color="auto" w:fill="auto"/>
            <w:vAlign w:val="center"/>
            <w:hideMark/>
          </w:tcPr>
          <w:p w14:paraId="1F149F55"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14,2</w:t>
            </w:r>
          </w:p>
        </w:tc>
        <w:tc>
          <w:tcPr>
            <w:tcW w:w="3542" w:type="dxa"/>
            <w:tcBorders>
              <w:top w:val="nil"/>
              <w:left w:val="nil"/>
              <w:bottom w:val="single" w:sz="8" w:space="0" w:color="auto"/>
              <w:right w:val="single" w:sz="8" w:space="0" w:color="auto"/>
            </w:tcBorders>
            <w:shd w:val="clear" w:color="auto" w:fill="auto"/>
            <w:vAlign w:val="center"/>
            <w:hideMark/>
          </w:tcPr>
          <w:p w14:paraId="75315405" w14:textId="77777777" w:rsidR="009755C1" w:rsidRPr="009755C1" w:rsidRDefault="009755C1" w:rsidP="00FA6132">
            <w:pPr>
              <w:spacing w:after="160" w:line="240" w:lineRule="auto"/>
              <w:jc w:val="both"/>
              <w:rPr>
                <w:rFonts w:ascii="Arial" w:eastAsia="Times New Roman" w:hAnsi="Arial" w:cs="Arial"/>
                <w:sz w:val="20"/>
                <w:szCs w:val="20"/>
                <w:lang w:eastAsia="pt-BR"/>
              </w:rPr>
            </w:pPr>
            <w:r w:rsidRPr="009755C1">
              <w:rPr>
                <w:rFonts w:ascii="Arial" w:eastAsia="Times New Roman" w:hAnsi="Arial" w:cs="Arial"/>
                <w:sz w:val="20"/>
                <w:szCs w:val="20"/>
                <w:lang w:eastAsia="pt-BR"/>
              </w:rPr>
              <w:t>Obrigatório</w:t>
            </w:r>
          </w:p>
        </w:tc>
      </w:tr>
      <w:tr w:rsidR="009755C1" w:rsidRPr="009755C1" w14:paraId="1574DC5E" w14:textId="77777777" w:rsidTr="00FA6132">
        <w:trPr>
          <w:trHeight w:val="315"/>
        </w:trPr>
        <w:tc>
          <w:tcPr>
            <w:tcW w:w="3272" w:type="dxa"/>
            <w:tcBorders>
              <w:top w:val="nil"/>
              <w:left w:val="single" w:sz="8" w:space="0" w:color="auto"/>
              <w:bottom w:val="single" w:sz="8" w:space="0" w:color="auto"/>
              <w:right w:val="single" w:sz="8" w:space="0" w:color="auto"/>
            </w:tcBorders>
            <w:shd w:val="clear" w:color="auto" w:fill="auto"/>
            <w:vAlign w:val="center"/>
            <w:hideMark/>
          </w:tcPr>
          <w:p w14:paraId="143166CE" w14:textId="77777777" w:rsidR="009755C1" w:rsidRPr="009755C1" w:rsidRDefault="009755C1" w:rsidP="00FA6132">
            <w:pPr>
              <w:spacing w:after="160" w:line="240" w:lineRule="auto"/>
              <w:rPr>
                <w:rFonts w:ascii="Arial" w:eastAsia="Times New Roman" w:hAnsi="Arial" w:cs="Arial"/>
                <w:sz w:val="20"/>
                <w:szCs w:val="20"/>
                <w:lang w:eastAsia="pt-BR"/>
              </w:rPr>
            </w:pPr>
            <w:r w:rsidRPr="009755C1">
              <w:rPr>
                <w:rFonts w:ascii="Arial" w:eastAsia="Times New Roman" w:hAnsi="Arial" w:cs="Arial"/>
                <w:sz w:val="20"/>
                <w:szCs w:val="20"/>
                <w:lang w:eastAsia="pt-BR"/>
              </w:rPr>
              <w:t>Valor devido ao RPPS referente ao Mês Outubro</w:t>
            </w:r>
          </w:p>
        </w:tc>
        <w:tc>
          <w:tcPr>
            <w:tcW w:w="1276" w:type="dxa"/>
            <w:tcBorders>
              <w:top w:val="nil"/>
              <w:left w:val="nil"/>
              <w:bottom w:val="single" w:sz="8" w:space="0" w:color="auto"/>
              <w:right w:val="single" w:sz="8" w:space="0" w:color="auto"/>
            </w:tcBorders>
            <w:shd w:val="clear" w:color="auto" w:fill="auto"/>
            <w:vAlign w:val="center"/>
            <w:hideMark/>
          </w:tcPr>
          <w:p w14:paraId="4641AC87"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Decimal</w:t>
            </w:r>
          </w:p>
        </w:tc>
        <w:tc>
          <w:tcPr>
            <w:tcW w:w="1276" w:type="dxa"/>
            <w:tcBorders>
              <w:top w:val="nil"/>
              <w:left w:val="nil"/>
              <w:bottom w:val="single" w:sz="8" w:space="0" w:color="auto"/>
              <w:right w:val="single" w:sz="8" w:space="0" w:color="auto"/>
            </w:tcBorders>
            <w:shd w:val="clear" w:color="auto" w:fill="auto"/>
            <w:vAlign w:val="center"/>
            <w:hideMark/>
          </w:tcPr>
          <w:p w14:paraId="60848527"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14,2</w:t>
            </w:r>
          </w:p>
        </w:tc>
        <w:tc>
          <w:tcPr>
            <w:tcW w:w="3542" w:type="dxa"/>
            <w:tcBorders>
              <w:top w:val="nil"/>
              <w:left w:val="nil"/>
              <w:bottom w:val="single" w:sz="8" w:space="0" w:color="auto"/>
              <w:right w:val="single" w:sz="8" w:space="0" w:color="auto"/>
            </w:tcBorders>
            <w:shd w:val="clear" w:color="auto" w:fill="auto"/>
            <w:vAlign w:val="center"/>
            <w:hideMark/>
          </w:tcPr>
          <w:p w14:paraId="56F5240D" w14:textId="77777777" w:rsidR="009755C1" w:rsidRPr="009755C1" w:rsidRDefault="009755C1" w:rsidP="00FA6132">
            <w:pPr>
              <w:spacing w:after="160" w:line="240" w:lineRule="auto"/>
              <w:jc w:val="both"/>
              <w:rPr>
                <w:rFonts w:ascii="Arial" w:eastAsia="Times New Roman" w:hAnsi="Arial" w:cs="Arial"/>
                <w:sz w:val="20"/>
                <w:szCs w:val="20"/>
                <w:lang w:eastAsia="pt-BR"/>
              </w:rPr>
            </w:pPr>
            <w:r w:rsidRPr="009755C1">
              <w:rPr>
                <w:rFonts w:ascii="Arial" w:eastAsia="Times New Roman" w:hAnsi="Arial" w:cs="Arial"/>
                <w:sz w:val="20"/>
                <w:szCs w:val="20"/>
                <w:lang w:eastAsia="pt-BR"/>
              </w:rPr>
              <w:t>Obrigatório</w:t>
            </w:r>
          </w:p>
        </w:tc>
      </w:tr>
      <w:tr w:rsidR="009755C1" w:rsidRPr="009755C1" w14:paraId="6AFAF78E" w14:textId="77777777" w:rsidTr="00FA6132">
        <w:trPr>
          <w:trHeight w:val="315"/>
        </w:trPr>
        <w:tc>
          <w:tcPr>
            <w:tcW w:w="3272" w:type="dxa"/>
            <w:tcBorders>
              <w:top w:val="nil"/>
              <w:left w:val="single" w:sz="8" w:space="0" w:color="auto"/>
              <w:bottom w:val="single" w:sz="8" w:space="0" w:color="auto"/>
              <w:right w:val="single" w:sz="8" w:space="0" w:color="auto"/>
            </w:tcBorders>
            <w:shd w:val="clear" w:color="auto" w:fill="auto"/>
            <w:vAlign w:val="center"/>
            <w:hideMark/>
          </w:tcPr>
          <w:p w14:paraId="3F36CD3A" w14:textId="77777777" w:rsidR="009755C1" w:rsidRPr="009755C1" w:rsidRDefault="009755C1" w:rsidP="00FA6132">
            <w:pPr>
              <w:spacing w:after="160" w:line="240" w:lineRule="auto"/>
              <w:rPr>
                <w:rFonts w:ascii="Arial" w:eastAsia="Times New Roman" w:hAnsi="Arial" w:cs="Arial"/>
                <w:sz w:val="20"/>
                <w:szCs w:val="20"/>
                <w:lang w:eastAsia="pt-BR"/>
              </w:rPr>
            </w:pPr>
            <w:r w:rsidRPr="009755C1">
              <w:rPr>
                <w:rFonts w:ascii="Arial" w:eastAsia="Times New Roman" w:hAnsi="Arial" w:cs="Arial"/>
                <w:sz w:val="20"/>
                <w:szCs w:val="20"/>
                <w:lang w:eastAsia="pt-BR"/>
              </w:rPr>
              <w:lastRenderedPageBreak/>
              <w:t>Valor arrecadado pelo RPPS referente ao Mês Outubro</w:t>
            </w:r>
          </w:p>
        </w:tc>
        <w:tc>
          <w:tcPr>
            <w:tcW w:w="1276" w:type="dxa"/>
            <w:tcBorders>
              <w:top w:val="nil"/>
              <w:left w:val="nil"/>
              <w:bottom w:val="single" w:sz="8" w:space="0" w:color="auto"/>
              <w:right w:val="single" w:sz="8" w:space="0" w:color="auto"/>
            </w:tcBorders>
            <w:shd w:val="clear" w:color="auto" w:fill="auto"/>
            <w:vAlign w:val="center"/>
            <w:hideMark/>
          </w:tcPr>
          <w:p w14:paraId="346C040F"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Decimal</w:t>
            </w:r>
          </w:p>
        </w:tc>
        <w:tc>
          <w:tcPr>
            <w:tcW w:w="1276" w:type="dxa"/>
            <w:tcBorders>
              <w:top w:val="nil"/>
              <w:left w:val="nil"/>
              <w:bottom w:val="single" w:sz="8" w:space="0" w:color="auto"/>
              <w:right w:val="single" w:sz="8" w:space="0" w:color="auto"/>
            </w:tcBorders>
            <w:shd w:val="clear" w:color="auto" w:fill="auto"/>
            <w:vAlign w:val="center"/>
            <w:hideMark/>
          </w:tcPr>
          <w:p w14:paraId="2EE4930F"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14,2</w:t>
            </w:r>
          </w:p>
        </w:tc>
        <w:tc>
          <w:tcPr>
            <w:tcW w:w="3542" w:type="dxa"/>
            <w:tcBorders>
              <w:top w:val="nil"/>
              <w:left w:val="nil"/>
              <w:bottom w:val="single" w:sz="8" w:space="0" w:color="auto"/>
              <w:right w:val="single" w:sz="8" w:space="0" w:color="auto"/>
            </w:tcBorders>
            <w:shd w:val="clear" w:color="auto" w:fill="auto"/>
            <w:vAlign w:val="center"/>
            <w:hideMark/>
          </w:tcPr>
          <w:p w14:paraId="11EA779A" w14:textId="77777777" w:rsidR="009755C1" w:rsidRPr="009755C1" w:rsidRDefault="009755C1" w:rsidP="00FA6132">
            <w:pPr>
              <w:spacing w:after="160" w:line="240" w:lineRule="auto"/>
              <w:jc w:val="both"/>
              <w:rPr>
                <w:rFonts w:ascii="Arial" w:eastAsia="Times New Roman" w:hAnsi="Arial" w:cs="Arial"/>
                <w:sz w:val="20"/>
                <w:szCs w:val="20"/>
                <w:lang w:eastAsia="pt-BR"/>
              </w:rPr>
            </w:pPr>
            <w:r w:rsidRPr="009755C1">
              <w:rPr>
                <w:rFonts w:ascii="Arial" w:eastAsia="Times New Roman" w:hAnsi="Arial" w:cs="Arial"/>
                <w:sz w:val="20"/>
                <w:szCs w:val="20"/>
                <w:lang w:eastAsia="pt-BR"/>
              </w:rPr>
              <w:t>Obrigatório</w:t>
            </w:r>
          </w:p>
        </w:tc>
      </w:tr>
      <w:tr w:rsidR="009755C1" w:rsidRPr="009755C1" w14:paraId="504CEDC2" w14:textId="77777777" w:rsidTr="00FA6132">
        <w:trPr>
          <w:trHeight w:val="315"/>
        </w:trPr>
        <w:tc>
          <w:tcPr>
            <w:tcW w:w="3272" w:type="dxa"/>
            <w:tcBorders>
              <w:top w:val="nil"/>
              <w:left w:val="single" w:sz="8" w:space="0" w:color="auto"/>
              <w:bottom w:val="single" w:sz="8" w:space="0" w:color="auto"/>
              <w:right w:val="single" w:sz="8" w:space="0" w:color="auto"/>
            </w:tcBorders>
            <w:shd w:val="clear" w:color="auto" w:fill="auto"/>
            <w:vAlign w:val="center"/>
            <w:hideMark/>
          </w:tcPr>
          <w:p w14:paraId="38F7EDA9" w14:textId="77777777" w:rsidR="009755C1" w:rsidRPr="009755C1" w:rsidRDefault="009755C1" w:rsidP="00FA6132">
            <w:pPr>
              <w:spacing w:after="160" w:line="240" w:lineRule="auto"/>
              <w:rPr>
                <w:rFonts w:ascii="Arial" w:eastAsia="Times New Roman" w:hAnsi="Arial" w:cs="Arial"/>
                <w:sz w:val="20"/>
                <w:szCs w:val="20"/>
                <w:lang w:eastAsia="pt-BR"/>
              </w:rPr>
            </w:pPr>
            <w:r w:rsidRPr="009755C1">
              <w:rPr>
                <w:rFonts w:ascii="Arial" w:eastAsia="Times New Roman" w:hAnsi="Arial" w:cs="Arial"/>
                <w:sz w:val="20"/>
                <w:szCs w:val="20"/>
                <w:lang w:eastAsia="pt-BR"/>
              </w:rPr>
              <w:t>Valor devido ao RPPS referente ao Mês Novembro</w:t>
            </w:r>
          </w:p>
        </w:tc>
        <w:tc>
          <w:tcPr>
            <w:tcW w:w="1276" w:type="dxa"/>
            <w:tcBorders>
              <w:top w:val="nil"/>
              <w:left w:val="nil"/>
              <w:bottom w:val="single" w:sz="8" w:space="0" w:color="auto"/>
              <w:right w:val="single" w:sz="8" w:space="0" w:color="auto"/>
            </w:tcBorders>
            <w:shd w:val="clear" w:color="auto" w:fill="auto"/>
            <w:vAlign w:val="center"/>
            <w:hideMark/>
          </w:tcPr>
          <w:p w14:paraId="1A65359A"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Decimal</w:t>
            </w:r>
          </w:p>
        </w:tc>
        <w:tc>
          <w:tcPr>
            <w:tcW w:w="1276" w:type="dxa"/>
            <w:tcBorders>
              <w:top w:val="nil"/>
              <w:left w:val="nil"/>
              <w:bottom w:val="single" w:sz="8" w:space="0" w:color="auto"/>
              <w:right w:val="single" w:sz="8" w:space="0" w:color="auto"/>
            </w:tcBorders>
            <w:shd w:val="clear" w:color="auto" w:fill="auto"/>
            <w:vAlign w:val="center"/>
            <w:hideMark/>
          </w:tcPr>
          <w:p w14:paraId="37C61A2E"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14,2</w:t>
            </w:r>
          </w:p>
        </w:tc>
        <w:tc>
          <w:tcPr>
            <w:tcW w:w="3542" w:type="dxa"/>
            <w:tcBorders>
              <w:top w:val="nil"/>
              <w:left w:val="nil"/>
              <w:bottom w:val="single" w:sz="8" w:space="0" w:color="auto"/>
              <w:right w:val="single" w:sz="8" w:space="0" w:color="auto"/>
            </w:tcBorders>
            <w:shd w:val="clear" w:color="auto" w:fill="auto"/>
            <w:vAlign w:val="center"/>
            <w:hideMark/>
          </w:tcPr>
          <w:p w14:paraId="45E72A42" w14:textId="77777777" w:rsidR="009755C1" w:rsidRPr="009755C1" w:rsidRDefault="009755C1" w:rsidP="00FA6132">
            <w:pPr>
              <w:spacing w:after="160" w:line="240" w:lineRule="auto"/>
              <w:jc w:val="both"/>
              <w:rPr>
                <w:rFonts w:ascii="Arial" w:eastAsia="Times New Roman" w:hAnsi="Arial" w:cs="Arial"/>
                <w:sz w:val="20"/>
                <w:szCs w:val="20"/>
                <w:lang w:eastAsia="pt-BR"/>
              </w:rPr>
            </w:pPr>
            <w:r w:rsidRPr="009755C1">
              <w:rPr>
                <w:rFonts w:ascii="Arial" w:eastAsia="Times New Roman" w:hAnsi="Arial" w:cs="Arial"/>
                <w:sz w:val="20"/>
                <w:szCs w:val="20"/>
                <w:lang w:eastAsia="pt-BR"/>
              </w:rPr>
              <w:t>Obrigatório</w:t>
            </w:r>
          </w:p>
        </w:tc>
      </w:tr>
      <w:tr w:rsidR="009755C1" w:rsidRPr="009755C1" w14:paraId="094B490B" w14:textId="77777777" w:rsidTr="00FA6132">
        <w:trPr>
          <w:trHeight w:val="315"/>
        </w:trPr>
        <w:tc>
          <w:tcPr>
            <w:tcW w:w="3272" w:type="dxa"/>
            <w:tcBorders>
              <w:top w:val="nil"/>
              <w:left w:val="single" w:sz="8" w:space="0" w:color="auto"/>
              <w:bottom w:val="single" w:sz="8" w:space="0" w:color="auto"/>
              <w:right w:val="single" w:sz="8" w:space="0" w:color="auto"/>
            </w:tcBorders>
            <w:shd w:val="clear" w:color="auto" w:fill="auto"/>
            <w:vAlign w:val="center"/>
            <w:hideMark/>
          </w:tcPr>
          <w:p w14:paraId="324A05C4" w14:textId="77777777" w:rsidR="009755C1" w:rsidRPr="009755C1" w:rsidRDefault="009755C1" w:rsidP="00FA6132">
            <w:pPr>
              <w:spacing w:after="160" w:line="240" w:lineRule="auto"/>
              <w:rPr>
                <w:rFonts w:ascii="Arial" w:eastAsia="Times New Roman" w:hAnsi="Arial" w:cs="Arial"/>
                <w:sz w:val="20"/>
                <w:szCs w:val="20"/>
                <w:lang w:eastAsia="pt-BR"/>
              </w:rPr>
            </w:pPr>
            <w:r w:rsidRPr="009755C1">
              <w:rPr>
                <w:rFonts w:ascii="Arial" w:eastAsia="Times New Roman" w:hAnsi="Arial" w:cs="Arial"/>
                <w:sz w:val="20"/>
                <w:szCs w:val="20"/>
                <w:lang w:eastAsia="pt-BR"/>
              </w:rPr>
              <w:t>Valor arrecadado pelo RPPS referente ao Mês Novembro</w:t>
            </w:r>
          </w:p>
        </w:tc>
        <w:tc>
          <w:tcPr>
            <w:tcW w:w="1276" w:type="dxa"/>
            <w:tcBorders>
              <w:top w:val="nil"/>
              <w:left w:val="nil"/>
              <w:bottom w:val="single" w:sz="8" w:space="0" w:color="auto"/>
              <w:right w:val="single" w:sz="8" w:space="0" w:color="auto"/>
            </w:tcBorders>
            <w:shd w:val="clear" w:color="auto" w:fill="auto"/>
            <w:vAlign w:val="center"/>
            <w:hideMark/>
          </w:tcPr>
          <w:p w14:paraId="5CCC0552"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Decimal</w:t>
            </w:r>
          </w:p>
        </w:tc>
        <w:tc>
          <w:tcPr>
            <w:tcW w:w="1276" w:type="dxa"/>
            <w:tcBorders>
              <w:top w:val="nil"/>
              <w:left w:val="nil"/>
              <w:bottom w:val="single" w:sz="8" w:space="0" w:color="auto"/>
              <w:right w:val="single" w:sz="8" w:space="0" w:color="auto"/>
            </w:tcBorders>
            <w:shd w:val="clear" w:color="auto" w:fill="auto"/>
            <w:vAlign w:val="center"/>
            <w:hideMark/>
          </w:tcPr>
          <w:p w14:paraId="19F501D1"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14,2</w:t>
            </w:r>
          </w:p>
        </w:tc>
        <w:tc>
          <w:tcPr>
            <w:tcW w:w="3542" w:type="dxa"/>
            <w:tcBorders>
              <w:top w:val="nil"/>
              <w:left w:val="nil"/>
              <w:bottom w:val="single" w:sz="8" w:space="0" w:color="auto"/>
              <w:right w:val="single" w:sz="8" w:space="0" w:color="auto"/>
            </w:tcBorders>
            <w:shd w:val="clear" w:color="auto" w:fill="auto"/>
            <w:vAlign w:val="center"/>
            <w:hideMark/>
          </w:tcPr>
          <w:p w14:paraId="67537F66" w14:textId="77777777" w:rsidR="009755C1" w:rsidRPr="009755C1" w:rsidRDefault="009755C1" w:rsidP="00FA6132">
            <w:pPr>
              <w:spacing w:after="160" w:line="240" w:lineRule="auto"/>
              <w:jc w:val="both"/>
              <w:rPr>
                <w:rFonts w:ascii="Arial" w:eastAsia="Times New Roman" w:hAnsi="Arial" w:cs="Arial"/>
                <w:sz w:val="20"/>
                <w:szCs w:val="20"/>
                <w:lang w:eastAsia="pt-BR"/>
              </w:rPr>
            </w:pPr>
            <w:r w:rsidRPr="009755C1">
              <w:rPr>
                <w:rFonts w:ascii="Arial" w:eastAsia="Times New Roman" w:hAnsi="Arial" w:cs="Arial"/>
                <w:sz w:val="20"/>
                <w:szCs w:val="20"/>
                <w:lang w:eastAsia="pt-BR"/>
              </w:rPr>
              <w:t>Obrigatório</w:t>
            </w:r>
          </w:p>
        </w:tc>
      </w:tr>
      <w:tr w:rsidR="009755C1" w:rsidRPr="009755C1" w14:paraId="46D28FD2" w14:textId="77777777" w:rsidTr="00FA6132">
        <w:trPr>
          <w:trHeight w:val="315"/>
        </w:trPr>
        <w:tc>
          <w:tcPr>
            <w:tcW w:w="3272" w:type="dxa"/>
            <w:tcBorders>
              <w:top w:val="nil"/>
              <w:left w:val="single" w:sz="8" w:space="0" w:color="auto"/>
              <w:bottom w:val="single" w:sz="8" w:space="0" w:color="auto"/>
              <w:right w:val="single" w:sz="8" w:space="0" w:color="auto"/>
            </w:tcBorders>
            <w:shd w:val="clear" w:color="auto" w:fill="auto"/>
            <w:vAlign w:val="center"/>
            <w:hideMark/>
          </w:tcPr>
          <w:p w14:paraId="283DEE6F" w14:textId="77777777" w:rsidR="009755C1" w:rsidRPr="009755C1" w:rsidRDefault="009755C1" w:rsidP="00FA6132">
            <w:pPr>
              <w:spacing w:after="160" w:line="240" w:lineRule="auto"/>
              <w:rPr>
                <w:rFonts w:ascii="Arial" w:eastAsia="Times New Roman" w:hAnsi="Arial" w:cs="Arial"/>
                <w:sz w:val="20"/>
                <w:szCs w:val="20"/>
                <w:lang w:eastAsia="pt-BR"/>
              </w:rPr>
            </w:pPr>
            <w:r w:rsidRPr="009755C1">
              <w:rPr>
                <w:rFonts w:ascii="Arial" w:eastAsia="Times New Roman" w:hAnsi="Arial" w:cs="Arial"/>
                <w:sz w:val="20"/>
                <w:szCs w:val="20"/>
                <w:lang w:eastAsia="pt-BR"/>
              </w:rPr>
              <w:t>Valor devido ao RPPS referente ao Mês Dezembro</w:t>
            </w:r>
          </w:p>
        </w:tc>
        <w:tc>
          <w:tcPr>
            <w:tcW w:w="1276" w:type="dxa"/>
            <w:tcBorders>
              <w:top w:val="nil"/>
              <w:left w:val="nil"/>
              <w:bottom w:val="single" w:sz="8" w:space="0" w:color="auto"/>
              <w:right w:val="single" w:sz="8" w:space="0" w:color="auto"/>
            </w:tcBorders>
            <w:shd w:val="clear" w:color="auto" w:fill="auto"/>
            <w:vAlign w:val="center"/>
            <w:hideMark/>
          </w:tcPr>
          <w:p w14:paraId="6AF0DE15"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Decimal</w:t>
            </w:r>
          </w:p>
        </w:tc>
        <w:tc>
          <w:tcPr>
            <w:tcW w:w="1276" w:type="dxa"/>
            <w:tcBorders>
              <w:top w:val="nil"/>
              <w:left w:val="nil"/>
              <w:bottom w:val="single" w:sz="8" w:space="0" w:color="auto"/>
              <w:right w:val="single" w:sz="8" w:space="0" w:color="auto"/>
            </w:tcBorders>
            <w:shd w:val="clear" w:color="auto" w:fill="auto"/>
            <w:vAlign w:val="center"/>
            <w:hideMark/>
          </w:tcPr>
          <w:p w14:paraId="3584A997"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14,2</w:t>
            </w:r>
          </w:p>
        </w:tc>
        <w:tc>
          <w:tcPr>
            <w:tcW w:w="3542" w:type="dxa"/>
            <w:tcBorders>
              <w:top w:val="nil"/>
              <w:left w:val="nil"/>
              <w:bottom w:val="single" w:sz="8" w:space="0" w:color="auto"/>
              <w:right w:val="single" w:sz="8" w:space="0" w:color="auto"/>
            </w:tcBorders>
            <w:shd w:val="clear" w:color="auto" w:fill="auto"/>
            <w:vAlign w:val="center"/>
            <w:hideMark/>
          </w:tcPr>
          <w:p w14:paraId="3D6AD74E" w14:textId="77777777" w:rsidR="009755C1" w:rsidRPr="009755C1" w:rsidRDefault="009755C1" w:rsidP="00FA6132">
            <w:pPr>
              <w:spacing w:after="160" w:line="240" w:lineRule="auto"/>
              <w:jc w:val="both"/>
              <w:rPr>
                <w:rFonts w:ascii="Arial" w:eastAsia="Times New Roman" w:hAnsi="Arial" w:cs="Arial"/>
                <w:sz w:val="20"/>
                <w:szCs w:val="20"/>
                <w:lang w:eastAsia="pt-BR"/>
              </w:rPr>
            </w:pPr>
            <w:r w:rsidRPr="009755C1">
              <w:rPr>
                <w:rFonts w:ascii="Arial" w:eastAsia="Times New Roman" w:hAnsi="Arial" w:cs="Arial"/>
                <w:sz w:val="20"/>
                <w:szCs w:val="20"/>
                <w:lang w:eastAsia="pt-BR"/>
              </w:rPr>
              <w:t>Obrigatório</w:t>
            </w:r>
          </w:p>
        </w:tc>
      </w:tr>
      <w:tr w:rsidR="009755C1" w:rsidRPr="009755C1" w14:paraId="37696F54" w14:textId="77777777" w:rsidTr="00FA6132">
        <w:trPr>
          <w:trHeight w:val="315"/>
        </w:trPr>
        <w:tc>
          <w:tcPr>
            <w:tcW w:w="3272" w:type="dxa"/>
            <w:tcBorders>
              <w:top w:val="nil"/>
              <w:left w:val="single" w:sz="8" w:space="0" w:color="auto"/>
              <w:bottom w:val="single" w:sz="8" w:space="0" w:color="auto"/>
              <w:right w:val="single" w:sz="8" w:space="0" w:color="auto"/>
            </w:tcBorders>
            <w:shd w:val="clear" w:color="auto" w:fill="auto"/>
            <w:vAlign w:val="center"/>
            <w:hideMark/>
          </w:tcPr>
          <w:p w14:paraId="16E445E1" w14:textId="77777777" w:rsidR="009755C1" w:rsidRPr="009755C1" w:rsidRDefault="009755C1" w:rsidP="00FA6132">
            <w:pPr>
              <w:spacing w:after="160" w:line="240" w:lineRule="auto"/>
              <w:rPr>
                <w:rFonts w:ascii="Arial" w:eastAsia="Times New Roman" w:hAnsi="Arial" w:cs="Arial"/>
                <w:sz w:val="20"/>
                <w:szCs w:val="20"/>
                <w:lang w:eastAsia="pt-BR"/>
              </w:rPr>
            </w:pPr>
            <w:r w:rsidRPr="009755C1">
              <w:rPr>
                <w:rFonts w:ascii="Arial" w:eastAsia="Times New Roman" w:hAnsi="Arial" w:cs="Arial"/>
                <w:sz w:val="20"/>
                <w:szCs w:val="20"/>
                <w:lang w:eastAsia="pt-BR"/>
              </w:rPr>
              <w:t>Valor arrecadado pelo RPPS referente ao Mês Dezembro</w:t>
            </w:r>
          </w:p>
        </w:tc>
        <w:tc>
          <w:tcPr>
            <w:tcW w:w="1276" w:type="dxa"/>
            <w:tcBorders>
              <w:top w:val="nil"/>
              <w:left w:val="nil"/>
              <w:bottom w:val="single" w:sz="8" w:space="0" w:color="auto"/>
              <w:right w:val="single" w:sz="8" w:space="0" w:color="auto"/>
            </w:tcBorders>
            <w:shd w:val="clear" w:color="auto" w:fill="auto"/>
            <w:vAlign w:val="center"/>
            <w:hideMark/>
          </w:tcPr>
          <w:p w14:paraId="4E59935E"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Decimal</w:t>
            </w:r>
          </w:p>
        </w:tc>
        <w:tc>
          <w:tcPr>
            <w:tcW w:w="1276" w:type="dxa"/>
            <w:tcBorders>
              <w:top w:val="nil"/>
              <w:left w:val="nil"/>
              <w:bottom w:val="single" w:sz="8" w:space="0" w:color="auto"/>
              <w:right w:val="single" w:sz="8" w:space="0" w:color="auto"/>
            </w:tcBorders>
            <w:shd w:val="clear" w:color="auto" w:fill="auto"/>
            <w:vAlign w:val="center"/>
            <w:hideMark/>
          </w:tcPr>
          <w:p w14:paraId="5D7753B0"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14,2</w:t>
            </w:r>
          </w:p>
        </w:tc>
        <w:tc>
          <w:tcPr>
            <w:tcW w:w="3542" w:type="dxa"/>
            <w:tcBorders>
              <w:top w:val="nil"/>
              <w:left w:val="nil"/>
              <w:bottom w:val="single" w:sz="8" w:space="0" w:color="auto"/>
              <w:right w:val="single" w:sz="8" w:space="0" w:color="auto"/>
            </w:tcBorders>
            <w:shd w:val="clear" w:color="auto" w:fill="auto"/>
            <w:vAlign w:val="center"/>
            <w:hideMark/>
          </w:tcPr>
          <w:p w14:paraId="45D27F46" w14:textId="77777777" w:rsidR="009755C1" w:rsidRPr="009755C1" w:rsidRDefault="009755C1" w:rsidP="00FA6132">
            <w:pPr>
              <w:spacing w:after="160" w:line="240" w:lineRule="auto"/>
              <w:jc w:val="both"/>
              <w:rPr>
                <w:rFonts w:ascii="Arial" w:eastAsia="Times New Roman" w:hAnsi="Arial" w:cs="Arial"/>
                <w:sz w:val="20"/>
                <w:szCs w:val="20"/>
                <w:lang w:eastAsia="pt-BR"/>
              </w:rPr>
            </w:pPr>
            <w:r w:rsidRPr="009755C1">
              <w:rPr>
                <w:rFonts w:ascii="Arial" w:eastAsia="Times New Roman" w:hAnsi="Arial" w:cs="Arial"/>
                <w:sz w:val="20"/>
                <w:szCs w:val="20"/>
                <w:lang w:eastAsia="pt-BR"/>
              </w:rPr>
              <w:t>Obrigatório</w:t>
            </w:r>
          </w:p>
        </w:tc>
      </w:tr>
      <w:tr w:rsidR="009755C1" w:rsidRPr="009755C1" w14:paraId="7560AA9D" w14:textId="77777777" w:rsidTr="00FA6132">
        <w:trPr>
          <w:trHeight w:val="315"/>
        </w:trPr>
        <w:tc>
          <w:tcPr>
            <w:tcW w:w="3272" w:type="dxa"/>
            <w:tcBorders>
              <w:top w:val="nil"/>
              <w:left w:val="single" w:sz="8" w:space="0" w:color="auto"/>
              <w:bottom w:val="single" w:sz="8" w:space="0" w:color="auto"/>
              <w:right w:val="single" w:sz="8" w:space="0" w:color="auto"/>
            </w:tcBorders>
            <w:shd w:val="clear" w:color="auto" w:fill="auto"/>
            <w:vAlign w:val="center"/>
            <w:hideMark/>
          </w:tcPr>
          <w:p w14:paraId="62E0CD9E" w14:textId="77777777" w:rsidR="009755C1" w:rsidRPr="009755C1" w:rsidRDefault="009755C1" w:rsidP="00FA6132">
            <w:pPr>
              <w:spacing w:after="160" w:line="240" w:lineRule="auto"/>
              <w:rPr>
                <w:rFonts w:ascii="Arial" w:eastAsia="Times New Roman" w:hAnsi="Arial" w:cs="Arial"/>
                <w:sz w:val="20"/>
                <w:szCs w:val="20"/>
                <w:lang w:eastAsia="pt-BR"/>
              </w:rPr>
            </w:pPr>
            <w:r w:rsidRPr="009755C1">
              <w:rPr>
                <w:rFonts w:ascii="Arial" w:eastAsia="Times New Roman" w:hAnsi="Arial" w:cs="Arial"/>
                <w:sz w:val="20"/>
                <w:szCs w:val="20"/>
                <w:lang w:eastAsia="pt-BR"/>
              </w:rPr>
              <w:t>Valor total anual devido ao RPPS</w:t>
            </w:r>
          </w:p>
        </w:tc>
        <w:tc>
          <w:tcPr>
            <w:tcW w:w="1276" w:type="dxa"/>
            <w:tcBorders>
              <w:top w:val="nil"/>
              <w:left w:val="nil"/>
              <w:bottom w:val="single" w:sz="8" w:space="0" w:color="auto"/>
              <w:right w:val="single" w:sz="8" w:space="0" w:color="auto"/>
            </w:tcBorders>
            <w:shd w:val="clear" w:color="auto" w:fill="auto"/>
            <w:vAlign w:val="center"/>
            <w:hideMark/>
          </w:tcPr>
          <w:p w14:paraId="653D1A03"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Decimal</w:t>
            </w:r>
          </w:p>
        </w:tc>
        <w:tc>
          <w:tcPr>
            <w:tcW w:w="1276" w:type="dxa"/>
            <w:tcBorders>
              <w:top w:val="nil"/>
              <w:left w:val="nil"/>
              <w:bottom w:val="single" w:sz="8" w:space="0" w:color="auto"/>
              <w:right w:val="single" w:sz="8" w:space="0" w:color="auto"/>
            </w:tcBorders>
            <w:shd w:val="clear" w:color="auto" w:fill="auto"/>
            <w:vAlign w:val="center"/>
            <w:hideMark/>
          </w:tcPr>
          <w:p w14:paraId="741BC957"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14,2</w:t>
            </w:r>
          </w:p>
        </w:tc>
        <w:tc>
          <w:tcPr>
            <w:tcW w:w="3542" w:type="dxa"/>
            <w:tcBorders>
              <w:top w:val="nil"/>
              <w:left w:val="nil"/>
              <w:bottom w:val="single" w:sz="8" w:space="0" w:color="auto"/>
              <w:right w:val="single" w:sz="8" w:space="0" w:color="auto"/>
            </w:tcBorders>
            <w:shd w:val="clear" w:color="auto" w:fill="auto"/>
            <w:vAlign w:val="center"/>
            <w:hideMark/>
          </w:tcPr>
          <w:p w14:paraId="69081028" w14:textId="77777777" w:rsidR="009755C1" w:rsidRPr="009755C1" w:rsidRDefault="009755C1" w:rsidP="00FA6132">
            <w:pPr>
              <w:spacing w:after="160" w:line="240" w:lineRule="auto"/>
              <w:jc w:val="both"/>
              <w:rPr>
                <w:rFonts w:ascii="Arial" w:eastAsia="Times New Roman" w:hAnsi="Arial" w:cs="Arial"/>
                <w:sz w:val="20"/>
                <w:szCs w:val="20"/>
                <w:lang w:eastAsia="pt-BR"/>
              </w:rPr>
            </w:pPr>
            <w:r w:rsidRPr="009755C1">
              <w:rPr>
                <w:rFonts w:ascii="Arial" w:eastAsia="Times New Roman" w:hAnsi="Arial" w:cs="Arial"/>
                <w:sz w:val="20"/>
                <w:szCs w:val="20"/>
                <w:lang w:eastAsia="pt-BR"/>
              </w:rPr>
              <w:t>Obrigatório</w:t>
            </w:r>
          </w:p>
        </w:tc>
      </w:tr>
      <w:tr w:rsidR="009755C1" w:rsidRPr="009755C1" w14:paraId="0F0B7026" w14:textId="77777777" w:rsidTr="00FA6132">
        <w:trPr>
          <w:trHeight w:val="315"/>
        </w:trPr>
        <w:tc>
          <w:tcPr>
            <w:tcW w:w="3272" w:type="dxa"/>
            <w:tcBorders>
              <w:top w:val="nil"/>
              <w:left w:val="single" w:sz="8" w:space="0" w:color="auto"/>
              <w:bottom w:val="single" w:sz="8" w:space="0" w:color="auto"/>
              <w:right w:val="single" w:sz="8" w:space="0" w:color="auto"/>
            </w:tcBorders>
            <w:shd w:val="clear" w:color="auto" w:fill="auto"/>
            <w:vAlign w:val="center"/>
            <w:hideMark/>
          </w:tcPr>
          <w:p w14:paraId="187E524E" w14:textId="77777777" w:rsidR="009755C1" w:rsidRPr="009755C1" w:rsidRDefault="009755C1" w:rsidP="00FA6132">
            <w:pPr>
              <w:spacing w:after="160" w:line="240" w:lineRule="auto"/>
              <w:rPr>
                <w:rFonts w:ascii="Arial" w:eastAsia="Times New Roman" w:hAnsi="Arial" w:cs="Arial"/>
                <w:sz w:val="20"/>
                <w:szCs w:val="20"/>
                <w:lang w:eastAsia="pt-BR"/>
              </w:rPr>
            </w:pPr>
            <w:r w:rsidRPr="009755C1">
              <w:rPr>
                <w:rFonts w:ascii="Arial" w:eastAsia="Times New Roman" w:hAnsi="Arial" w:cs="Arial"/>
                <w:sz w:val="20"/>
                <w:szCs w:val="20"/>
                <w:lang w:eastAsia="pt-BR"/>
              </w:rPr>
              <w:t>Valor total anual arrecadado pelo RPPS</w:t>
            </w:r>
          </w:p>
        </w:tc>
        <w:tc>
          <w:tcPr>
            <w:tcW w:w="1276" w:type="dxa"/>
            <w:tcBorders>
              <w:top w:val="nil"/>
              <w:left w:val="nil"/>
              <w:bottom w:val="single" w:sz="8" w:space="0" w:color="auto"/>
              <w:right w:val="single" w:sz="8" w:space="0" w:color="auto"/>
            </w:tcBorders>
            <w:shd w:val="clear" w:color="auto" w:fill="auto"/>
            <w:vAlign w:val="center"/>
            <w:hideMark/>
          </w:tcPr>
          <w:p w14:paraId="41284B2F"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Decimal</w:t>
            </w:r>
          </w:p>
        </w:tc>
        <w:tc>
          <w:tcPr>
            <w:tcW w:w="1276" w:type="dxa"/>
            <w:tcBorders>
              <w:top w:val="nil"/>
              <w:left w:val="nil"/>
              <w:bottom w:val="single" w:sz="8" w:space="0" w:color="auto"/>
              <w:right w:val="single" w:sz="8" w:space="0" w:color="auto"/>
            </w:tcBorders>
            <w:shd w:val="clear" w:color="auto" w:fill="auto"/>
            <w:vAlign w:val="center"/>
            <w:hideMark/>
          </w:tcPr>
          <w:p w14:paraId="41D9238A"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14,2</w:t>
            </w:r>
          </w:p>
        </w:tc>
        <w:tc>
          <w:tcPr>
            <w:tcW w:w="3542" w:type="dxa"/>
            <w:tcBorders>
              <w:top w:val="nil"/>
              <w:left w:val="nil"/>
              <w:bottom w:val="single" w:sz="8" w:space="0" w:color="auto"/>
              <w:right w:val="single" w:sz="8" w:space="0" w:color="auto"/>
            </w:tcBorders>
            <w:shd w:val="clear" w:color="auto" w:fill="auto"/>
            <w:vAlign w:val="center"/>
            <w:hideMark/>
          </w:tcPr>
          <w:p w14:paraId="42353A54" w14:textId="77777777" w:rsidR="009755C1" w:rsidRPr="009755C1" w:rsidRDefault="009755C1" w:rsidP="00FA6132">
            <w:pPr>
              <w:spacing w:after="160" w:line="240" w:lineRule="auto"/>
              <w:jc w:val="both"/>
              <w:rPr>
                <w:rFonts w:ascii="Arial" w:eastAsia="Times New Roman" w:hAnsi="Arial" w:cs="Arial"/>
                <w:sz w:val="20"/>
                <w:szCs w:val="20"/>
                <w:lang w:eastAsia="pt-BR"/>
              </w:rPr>
            </w:pPr>
            <w:r w:rsidRPr="009755C1">
              <w:rPr>
                <w:rFonts w:ascii="Arial" w:eastAsia="Times New Roman" w:hAnsi="Arial" w:cs="Arial"/>
                <w:sz w:val="20"/>
                <w:szCs w:val="20"/>
                <w:lang w:eastAsia="pt-BR"/>
              </w:rPr>
              <w:t>Obrigatório</w:t>
            </w:r>
          </w:p>
        </w:tc>
      </w:tr>
    </w:tbl>
    <w:p w14:paraId="44DA2E28" w14:textId="77777777" w:rsidR="009755C1" w:rsidRPr="009755C1" w:rsidRDefault="009755C1" w:rsidP="009755C1">
      <w:pPr>
        <w:spacing w:after="160" w:line="240" w:lineRule="auto"/>
        <w:ind w:right="600"/>
        <w:rPr>
          <w:rFonts w:ascii="Arial" w:eastAsia="Calibri" w:hAnsi="Arial" w:cs="Arial"/>
          <w:sz w:val="20"/>
          <w:szCs w:val="20"/>
          <w:lang w:eastAsia="pt-BR"/>
        </w:rPr>
      </w:pPr>
    </w:p>
    <w:p w14:paraId="012991E5" w14:textId="77777777" w:rsidR="009755C1" w:rsidRPr="009755C1" w:rsidRDefault="009755C1" w:rsidP="009755C1">
      <w:pPr>
        <w:spacing w:after="160" w:line="240" w:lineRule="auto"/>
        <w:ind w:right="-285"/>
        <w:rPr>
          <w:rFonts w:ascii="Arial" w:eastAsia="Calibri" w:hAnsi="Arial" w:cs="Arial"/>
          <w:sz w:val="20"/>
          <w:szCs w:val="20"/>
          <w:lang w:eastAsia="pt-BR"/>
        </w:rPr>
      </w:pPr>
      <w:r w:rsidRPr="009755C1">
        <w:rPr>
          <w:rFonts w:ascii="Arial" w:eastAsia="Calibri" w:hAnsi="Arial" w:cs="Arial"/>
          <w:sz w:val="20"/>
          <w:szCs w:val="20"/>
          <w:lang w:eastAsia="pt-BR"/>
        </w:rPr>
        <w:t xml:space="preserve">Obs.: </w:t>
      </w:r>
    </w:p>
    <w:p w14:paraId="32CEBE1B" w14:textId="77777777" w:rsidR="009755C1" w:rsidRPr="009755C1" w:rsidRDefault="009755C1" w:rsidP="009755C1">
      <w:pPr>
        <w:spacing w:after="160" w:line="240" w:lineRule="auto"/>
        <w:ind w:right="-285"/>
        <w:rPr>
          <w:rFonts w:ascii="Arial" w:eastAsia="Calibri" w:hAnsi="Arial" w:cs="Arial"/>
          <w:sz w:val="20"/>
          <w:szCs w:val="20"/>
          <w:lang w:eastAsia="pt-BR"/>
        </w:rPr>
      </w:pPr>
      <w:r w:rsidRPr="009755C1">
        <w:rPr>
          <w:rFonts w:ascii="Arial" w:eastAsia="Calibri" w:hAnsi="Arial" w:cs="Arial"/>
          <w:sz w:val="20"/>
          <w:szCs w:val="20"/>
          <w:lang w:eastAsia="pt-BR"/>
        </w:rPr>
        <w:t>1 - Somente serão aceitos valores positivos.</w:t>
      </w:r>
    </w:p>
    <w:p w14:paraId="405FE954" w14:textId="77777777" w:rsidR="009755C1" w:rsidRPr="009755C1" w:rsidRDefault="009755C1" w:rsidP="009755C1">
      <w:pPr>
        <w:spacing w:after="160" w:line="240" w:lineRule="auto"/>
        <w:ind w:right="-285"/>
        <w:jc w:val="both"/>
        <w:rPr>
          <w:rFonts w:ascii="Arial" w:eastAsia="Times New Roman" w:hAnsi="Arial" w:cs="Arial"/>
          <w:sz w:val="20"/>
          <w:szCs w:val="20"/>
          <w:lang w:eastAsia="pt-BR"/>
        </w:rPr>
      </w:pPr>
      <w:r w:rsidRPr="009755C1">
        <w:rPr>
          <w:rFonts w:ascii="Arial" w:eastAsia="Calibri" w:hAnsi="Arial" w:cs="Arial"/>
          <w:sz w:val="20"/>
          <w:szCs w:val="20"/>
          <w:lang w:eastAsia="pt-BR"/>
        </w:rPr>
        <w:t>2 -</w:t>
      </w:r>
      <w:r w:rsidRPr="009755C1">
        <w:rPr>
          <w:rFonts w:ascii="Arial" w:eastAsia="Calibri" w:hAnsi="Arial" w:cs="Arial"/>
          <w:b/>
          <w:sz w:val="20"/>
          <w:szCs w:val="20"/>
          <w:u w:val="single"/>
          <w:lang w:eastAsia="pt-BR"/>
        </w:rPr>
        <w:t xml:space="preserve"> Os valores devidos ao RPPS e demonstrados mensalmente:</w:t>
      </w:r>
      <w:r w:rsidRPr="009755C1">
        <w:rPr>
          <w:rFonts w:ascii="Arial" w:eastAsia="Calibri" w:hAnsi="Arial" w:cs="Arial"/>
          <w:sz w:val="20"/>
          <w:szCs w:val="20"/>
          <w:lang w:eastAsia="pt-BR"/>
        </w:rPr>
        <w:t xml:space="preserve"> referem-se aos v</w:t>
      </w:r>
      <w:r w:rsidRPr="009755C1">
        <w:rPr>
          <w:rFonts w:ascii="Arial" w:eastAsia="Times New Roman" w:hAnsi="Arial" w:cs="Arial"/>
          <w:sz w:val="20"/>
          <w:szCs w:val="20"/>
          <w:lang w:eastAsia="pt-BR"/>
        </w:rPr>
        <w:t>alores efetivamente devidos ao RPPS, apurado por meio do regime contábil de competência no exercício de referência da PCA, tendo como documentação hábil (fonte de informação) para firmar a declaração, nos códigos:</w:t>
      </w:r>
    </w:p>
    <w:p w14:paraId="3A87007D" w14:textId="77777777" w:rsidR="009755C1" w:rsidRPr="009755C1" w:rsidRDefault="009755C1" w:rsidP="005C719B">
      <w:pPr>
        <w:numPr>
          <w:ilvl w:val="0"/>
          <w:numId w:val="37"/>
        </w:numPr>
        <w:spacing w:after="160" w:line="240" w:lineRule="auto"/>
        <w:ind w:right="-285"/>
        <w:contextualSpacing/>
        <w:rPr>
          <w:rFonts w:ascii="Arial" w:eastAsia="Calibri" w:hAnsi="Arial" w:cs="Arial"/>
          <w:sz w:val="20"/>
          <w:szCs w:val="20"/>
          <w:lang w:eastAsia="pt-BR"/>
        </w:rPr>
      </w:pPr>
      <w:r w:rsidRPr="009755C1">
        <w:rPr>
          <w:rFonts w:ascii="Arial" w:eastAsia="Calibri" w:hAnsi="Arial" w:cs="Arial"/>
          <w:sz w:val="20"/>
          <w:szCs w:val="20"/>
          <w:lang w:eastAsia="pt-BR"/>
        </w:rPr>
        <w:t>1, 5 e 9: folha de pagamento mensal dos servidores efetivos vinculados ao RPPS;</w:t>
      </w:r>
    </w:p>
    <w:p w14:paraId="682A89C8" w14:textId="77777777" w:rsidR="009755C1" w:rsidRPr="009755C1" w:rsidRDefault="009755C1" w:rsidP="005C719B">
      <w:pPr>
        <w:numPr>
          <w:ilvl w:val="0"/>
          <w:numId w:val="37"/>
        </w:numPr>
        <w:spacing w:after="160" w:line="240" w:lineRule="auto"/>
        <w:ind w:right="-285"/>
        <w:contextualSpacing/>
        <w:jc w:val="both"/>
        <w:rPr>
          <w:rFonts w:ascii="Arial" w:eastAsia="Calibri" w:hAnsi="Arial" w:cs="Arial"/>
          <w:sz w:val="20"/>
          <w:szCs w:val="20"/>
          <w:lang w:eastAsia="pt-BR"/>
        </w:rPr>
      </w:pPr>
      <w:r w:rsidRPr="009755C1">
        <w:rPr>
          <w:rFonts w:ascii="Arial" w:eastAsia="Calibri" w:hAnsi="Arial" w:cs="Arial"/>
          <w:sz w:val="20"/>
          <w:szCs w:val="20"/>
          <w:lang w:eastAsia="pt-BR"/>
        </w:rPr>
        <w:t>2 e 6: folha de pagamento mensal dos benefícios previdenciários de auxílio doença e salário maternidade;</w:t>
      </w:r>
    </w:p>
    <w:p w14:paraId="42F4BDB5" w14:textId="77777777" w:rsidR="009755C1" w:rsidRPr="009755C1" w:rsidRDefault="009755C1" w:rsidP="005C719B">
      <w:pPr>
        <w:numPr>
          <w:ilvl w:val="0"/>
          <w:numId w:val="37"/>
        </w:numPr>
        <w:spacing w:after="160" w:line="240" w:lineRule="auto"/>
        <w:ind w:right="-285"/>
        <w:contextualSpacing/>
        <w:jc w:val="both"/>
        <w:rPr>
          <w:rFonts w:ascii="Arial" w:eastAsia="Calibri" w:hAnsi="Arial" w:cs="Arial"/>
          <w:b/>
          <w:sz w:val="20"/>
          <w:szCs w:val="20"/>
        </w:rPr>
      </w:pPr>
      <w:r w:rsidRPr="009755C1">
        <w:rPr>
          <w:rFonts w:ascii="Arial" w:eastAsia="Calibri" w:hAnsi="Arial" w:cs="Arial"/>
          <w:sz w:val="20"/>
          <w:szCs w:val="20"/>
          <w:lang w:eastAsia="pt-BR"/>
        </w:rPr>
        <w:t>3, 4 e 7: folha de pagamento mensal dos aposentados e pensionistas vinculados ao RPPS;</w:t>
      </w:r>
    </w:p>
    <w:p w14:paraId="421EB2DA" w14:textId="77777777" w:rsidR="009755C1" w:rsidRPr="009755C1" w:rsidRDefault="009755C1" w:rsidP="005C719B">
      <w:pPr>
        <w:numPr>
          <w:ilvl w:val="0"/>
          <w:numId w:val="37"/>
        </w:numPr>
        <w:spacing w:after="160" w:line="240" w:lineRule="auto"/>
        <w:ind w:right="-285"/>
        <w:contextualSpacing/>
        <w:jc w:val="both"/>
        <w:rPr>
          <w:rFonts w:ascii="Arial" w:eastAsia="Calibri" w:hAnsi="Arial" w:cs="Arial"/>
          <w:b/>
          <w:sz w:val="20"/>
          <w:szCs w:val="20"/>
        </w:rPr>
      </w:pPr>
      <w:r w:rsidRPr="009755C1">
        <w:rPr>
          <w:rFonts w:ascii="Arial" w:eastAsia="Calibri" w:hAnsi="Arial" w:cs="Arial"/>
          <w:sz w:val="20"/>
          <w:szCs w:val="20"/>
          <w:lang w:eastAsia="pt-BR"/>
        </w:rPr>
        <w:t>8: valor mensal apurado pelo RPPS, nos termos da legislação local, para efetuar o pagamento dos benefícios previdenciários, cujos recursos vinculados do RPPS não foram suficientes e será necessário a complementação de recursos do tesouro para efetivar o pagamento mensal da referida folha;</w:t>
      </w:r>
    </w:p>
    <w:p w14:paraId="2EC036D4" w14:textId="77777777" w:rsidR="009755C1" w:rsidRPr="009755C1" w:rsidRDefault="009755C1" w:rsidP="005C719B">
      <w:pPr>
        <w:numPr>
          <w:ilvl w:val="0"/>
          <w:numId w:val="37"/>
        </w:numPr>
        <w:spacing w:after="160" w:line="240" w:lineRule="auto"/>
        <w:ind w:right="-285"/>
        <w:contextualSpacing/>
        <w:jc w:val="both"/>
        <w:rPr>
          <w:rFonts w:ascii="Arial" w:eastAsia="Calibri" w:hAnsi="Arial" w:cs="Arial"/>
          <w:sz w:val="20"/>
          <w:szCs w:val="20"/>
          <w:lang w:eastAsia="pt-BR"/>
        </w:rPr>
      </w:pPr>
      <w:r w:rsidRPr="009755C1">
        <w:rPr>
          <w:rFonts w:ascii="Arial" w:eastAsia="Calibri" w:hAnsi="Arial" w:cs="Arial"/>
          <w:sz w:val="20"/>
          <w:szCs w:val="20"/>
          <w:lang w:eastAsia="pt-BR"/>
        </w:rPr>
        <w:t>10: valor do aporte atuarial, definido na lei local do ente como plano de amortização;</w:t>
      </w:r>
    </w:p>
    <w:p w14:paraId="1F04307E" w14:textId="77777777" w:rsidR="009755C1" w:rsidRPr="009755C1" w:rsidRDefault="009755C1" w:rsidP="005C719B">
      <w:pPr>
        <w:numPr>
          <w:ilvl w:val="0"/>
          <w:numId w:val="37"/>
        </w:numPr>
        <w:spacing w:after="160" w:line="240" w:lineRule="auto"/>
        <w:ind w:right="-285"/>
        <w:contextualSpacing/>
        <w:jc w:val="both"/>
        <w:rPr>
          <w:rFonts w:ascii="Arial" w:eastAsia="Calibri" w:hAnsi="Arial" w:cs="Arial"/>
          <w:sz w:val="20"/>
          <w:szCs w:val="20"/>
          <w:lang w:eastAsia="pt-BR"/>
        </w:rPr>
      </w:pPr>
      <w:r w:rsidRPr="009755C1">
        <w:rPr>
          <w:rFonts w:ascii="Arial" w:eastAsia="Calibri" w:hAnsi="Arial" w:cs="Arial"/>
          <w:sz w:val="20"/>
          <w:szCs w:val="20"/>
          <w:lang w:eastAsia="pt-BR"/>
        </w:rPr>
        <w:t>11: valor da parcela mensal devida ao RPPS conforme diretrizes estabelecidas nos termos de parcelamentos firmados.</w:t>
      </w:r>
    </w:p>
    <w:p w14:paraId="7EC52491" w14:textId="77777777" w:rsidR="009755C1" w:rsidRPr="009755C1" w:rsidRDefault="009755C1" w:rsidP="009755C1">
      <w:pPr>
        <w:spacing w:after="160" w:line="240" w:lineRule="auto"/>
        <w:ind w:right="-285"/>
        <w:jc w:val="both"/>
        <w:rPr>
          <w:rFonts w:ascii="Arial" w:eastAsia="Calibri" w:hAnsi="Arial" w:cs="Arial"/>
          <w:sz w:val="20"/>
          <w:szCs w:val="20"/>
          <w:lang w:eastAsia="pt-BR"/>
        </w:rPr>
      </w:pPr>
      <w:r w:rsidRPr="009755C1">
        <w:rPr>
          <w:rFonts w:ascii="Arial" w:eastAsia="Calibri" w:hAnsi="Arial" w:cs="Arial"/>
          <w:sz w:val="20"/>
          <w:szCs w:val="20"/>
          <w:lang w:eastAsia="pt-BR"/>
        </w:rPr>
        <w:t>Esses valores deverão ser coincidentes com os valores registrados, em suas respectivas classificações, nas Variações Patrimoniais Aumentativas (VPA).</w:t>
      </w:r>
    </w:p>
    <w:p w14:paraId="6C18C3DC" w14:textId="77777777" w:rsidR="009755C1" w:rsidRPr="009755C1" w:rsidRDefault="009755C1" w:rsidP="009755C1">
      <w:pPr>
        <w:spacing w:after="160" w:line="240" w:lineRule="auto"/>
        <w:ind w:right="-285"/>
        <w:jc w:val="both"/>
        <w:rPr>
          <w:rFonts w:ascii="Arial" w:eastAsia="Times New Roman" w:hAnsi="Arial" w:cs="Arial"/>
          <w:sz w:val="20"/>
          <w:szCs w:val="20"/>
          <w:lang w:eastAsia="pt-BR"/>
        </w:rPr>
      </w:pPr>
      <w:r w:rsidRPr="009755C1">
        <w:rPr>
          <w:rFonts w:ascii="Arial" w:eastAsia="Times New Roman" w:hAnsi="Arial" w:cs="Arial"/>
          <w:sz w:val="20"/>
          <w:szCs w:val="20"/>
          <w:lang w:eastAsia="pt-BR"/>
        </w:rPr>
        <w:t xml:space="preserve">3 - </w:t>
      </w:r>
      <w:r w:rsidRPr="009755C1">
        <w:rPr>
          <w:rFonts w:ascii="Arial" w:eastAsia="Times New Roman" w:hAnsi="Arial" w:cs="Arial"/>
          <w:b/>
          <w:sz w:val="20"/>
          <w:szCs w:val="20"/>
          <w:u w:val="single"/>
          <w:lang w:eastAsia="pt-BR"/>
        </w:rPr>
        <w:t>Os valores arrecadados pelo RPPS e demonstrados mensalmente</w:t>
      </w:r>
      <w:r w:rsidRPr="009755C1">
        <w:rPr>
          <w:rFonts w:ascii="Arial" w:eastAsia="Times New Roman" w:hAnsi="Arial" w:cs="Arial"/>
          <w:sz w:val="20"/>
          <w:szCs w:val="20"/>
          <w:lang w:eastAsia="pt-BR"/>
        </w:rPr>
        <w:t>: referem-se aos valores efetivamente arrecadados durante todo o exercício de competência da PCA, referente a aquela competência mensal.  Da diferença entre os valores devidos e arrecadados, será apurado quanto não foi repassado ao RPPS, referente a cada competência.</w:t>
      </w:r>
    </w:p>
    <w:p w14:paraId="0D1ED26D" w14:textId="77777777" w:rsidR="009755C1" w:rsidRPr="009755C1" w:rsidRDefault="009755C1" w:rsidP="009755C1">
      <w:pPr>
        <w:spacing w:after="160" w:line="240" w:lineRule="auto"/>
        <w:ind w:right="-285"/>
        <w:jc w:val="both"/>
        <w:rPr>
          <w:rFonts w:ascii="Arial" w:eastAsia="Calibri" w:hAnsi="Arial" w:cs="Arial"/>
          <w:sz w:val="20"/>
          <w:szCs w:val="20"/>
          <w:lang w:eastAsia="pt-BR"/>
        </w:rPr>
      </w:pPr>
      <w:r w:rsidRPr="009755C1">
        <w:rPr>
          <w:rFonts w:ascii="Arial" w:eastAsia="Calibri" w:hAnsi="Arial" w:cs="Arial"/>
          <w:sz w:val="20"/>
          <w:szCs w:val="20"/>
          <w:lang w:eastAsia="pt-BR"/>
        </w:rPr>
        <w:t xml:space="preserve">A título exemplificativo: as contribuições devidas pelos servidores da Prefeitura, referente à competência de janeiro totalizaram R$ 5.000,00. Foram pagos pelo Poder Executivo e recebidas pelo RPPS os seguintes valores: R$ 2.500 em fevereiro, R$ 2.000 em março e R$ 500,00 em outubro. Desta forma, deve ser informado em janeiro o total de R$ 5.000,00, ou seja, dos valores devidos em janeiro, tudo foi quitado no exercício. </w:t>
      </w:r>
    </w:p>
    <w:p w14:paraId="727B4AAE" w14:textId="77777777" w:rsidR="009755C1" w:rsidRPr="009755C1" w:rsidRDefault="009755C1" w:rsidP="009755C1">
      <w:pPr>
        <w:spacing w:after="160" w:line="240" w:lineRule="auto"/>
        <w:ind w:right="-285"/>
        <w:jc w:val="both"/>
        <w:rPr>
          <w:rFonts w:ascii="Arial" w:eastAsia="Calibri" w:hAnsi="Arial" w:cs="Arial"/>
          <w:sz w:val="20"/>
          <w:szCs w:val="20"/>
          <w:lang w:eastAsia="pt-BR"/>
        </w:rPr>
      </w:pPr>
      <w:r w:rsidRPr="009755C1">
        <w:rPr>
          <w:rFonts w:ascii="Arial" w:eastAsia="Calibri" w:hAnsi="Arial" w:cs="Arial"/>
          <w:sz w:val="20"/>
          <w:szCs w:val="20"/>
          <w:lang w:eastAsia="pt-BR"/>
        </w:rPr>
        <w:t>A soma de todos esses valores efetivamente arrecadados no exercício da PCA, devem ser coincidentes com os valores evidenciados no balancete da execução orçamentária, referente a cada tipo de receita especifico. Para as receitas orçamentarias arrecadadas no exercício da PCA (regime de caixa), cuja competência seja decorrente de exercícios anteriores, esses valores devem ser evidenciados no campo “Valor arrecadado pelo RPPS referente a Exercícios Anteriores”.</w:t>
      </w:r>
    </w:p>
    <w:p w14:paraId="7EECE00E" w14:textId="77777777" w:rsidR="009755C1" w:rsidRPr="009755C1" w:rsidRDefault="009755C1" w:rsidP="009755C1">
      <w:pPr>
        <w:spacing w:after="160" w:line="240" w:lineRule="auto"/>
        <w:ind w:right="-285"/>
        <w:jc w:val="both"/>
        <w:rPr>
          <w:rFonts w:ascii="Arial" w:eastAsia="Calibri" w:hAnsi="Arial" w:cs="Arial"/>
          <w:sz w:val="20"/>
          <w:szCs w:val="20"/>
          <w:lang w:eastAsia="pt-BR"/>
        </w:rPr>
      </w:pPr>
      <w:r w:rsidRPr="009755C1">
        <w:rPr>
          <w:rFonts w:ascii="Arial" w:eastAsia="Calibri" w:hAnsi="Arial" w:cs="Arial"/>
          <w:sz w:val="20"/>
          <w:szCs w:val="20"/>
          <w:lang w:eastAsia="pt-BR"/>
        </w:rPr>
        <w:t xml:space="preserve">Esse  “valor arrecadado pelo RPPS referente a Exercícios Anteriores”, deveria ter sido objeto de registro contábil por competência (VPA), em exercício anteriores, tendo gerado a época um direito a receber no RPPS. Que neste exercício de arrecadação, seria objeto de baixa.  No caso de ausência desse registro, nos </w:t>
      </w:r>
      <w:r w:rsidRPr="009755C1">
        <w:rPr>
          <w:rFonts w:ascii="Arial" w:eastAsia="Calibri" w:hAnsi="Arial" w:cs="Arial"/>
          <w:sz w:val="20"/>
          <w:szCs w:val="20"/>
          <w:lang w:eastAsia="pt-BR"/>
        </w:rPr>
        <w:lastRenderedPageBreak/>
        <w:t>exercícios anteriores, esses valores não deverão ser registrados nas Variações Patrimoniais Aumentativas (VPA), mas sim, em lançamento direto no patrimônio líquido como “Ajustes de exercícios anteriores”.</w:t>
      </w:r>
    </w:p>
    <w:p w14:paraId="605C7A30" w14:textId="77777777" w:rsidR="009755C1" w:rsidRPr="009755C1" w:rsidRDefault="009755C1" w:rsidP="009755C1">
      <w:pPr>
        <w:spacing w:after="160" w:line="240" w:lineRule="auto"/>
        <w:ind w:right="-285"/>
        <w:jc w:val="both"/>
        <w:rPr>
          <w:rFonts w:ascii="Arial" w:eastAsia="Calibri" w:hAnsi="Arial" w:cs="Arial"/>
          <w:sz w:val="20"/>
          <w:szCs w:val="20"/>
          <w:lang w:eastAsia="pt-BR"/>
        </w:rPr>
      </w:pPr>
      <w:r w:rsidRPr="009755C1">
        <w:rPr>
          <w:rFonts w:ascii="Arial" w:eastAsia="Calibri" w:hAnsi="Arial" w:cs="Arial"/>
          <w:sz w:val="20"/>
          <w:szCs w:val="20"/>
          <w:lang w:eastAsia="pt-BR"/>
        </w:rPr>
        <w:t>4 - Os valores evidenciados neste demonstrativo tanto nos campos relativos aos valores devidos quanto os campos referentes aos valores arrecadados, exceto na receita de parcelamentos, deverão ser informados por seus valores principais, sem a incidência de atualizações, correções, multas e juros, em caso de pagamento em atraso.</w:t>
      </w:r>
    </w:p>
    <w:p w14:paraId="56C85C14" w14:textId="77777777" w:rsidR="009755C1" w:rsidRPr="009755C1" w:rsidRDefault="009755C1" w:rsidP="009755C1">
      <w:pPr>
        <w:spacing w:after="160" w:line="240" w:lineRule="auto"/>
        <w:ind w:right="-285"/>
        <w:jc w:val="both"/>
        <w:rPr>
          <w:rFonts w:ascii="Arial" w:eastAsia="Calibri" w:hAnsi="Arial" w:cs="Arial"/>
          <w:sz w:val="20"/>
          <w:szCs w:val="20"/>
          <w:lang w:eastAsia="pt-BR"/>
        </w:rPr>
      </w:pPr>
      <w:r w:rsidRPr="009755C1">
        <w:rPr>
          <w:rFonts w:ascii="Arial" w:eastAsia="Calibri" w:hAnsi="Arial" w:cs="Arial"/>
          <w:sz w:val="20"/>
          <w:szCs w:val="20"/>
          <w:lang w:eastAsia="pt-BR"/>
        </w:rPr>
        <w:t>5 - O código da unidade gestora ou CNPJ do Órgão Externo tem como objetivo identificar quem será o credor dessas receitas perante o RPPS, ou seja, em caso de inadimplência, quem será cobrado pelo RPPS acerca desse direito a receber.</w:t>
      </w:r>
    </w:p>
    <w:p w14:paraId="5F814088" w14:textId="77777777" w:rsidR="009755C1" w:rsidRPr="009755C1" w:rsidRDefault="009755C1" w:rsidP="009755C1">
      <w:pPr>
        <w:spacing w:after="160" w:line="240" w:lineRule="auto"/>
        <w:ind w:right="-285"/>
        <w:jc w:val="both"/>
        <w:rPr>
          <w:rFonts w:ascii="Arial" w:eastAsia="Calibri" w:hAnsi="Arial" w:cs="Arial"/>
          <w:sz w:val="20"/>
          <w:szCs w:val="20"/>
          <w:lang w:eastAsia="pt-BR"/>
        </w:rPr>
      </w:pPr>
      <w:r w:rsidRPr="009755C1">
        <w:rPr>
          <w:rFonts w:ascii="Arial" w:eastAsia="Calibri" w:hAnsi="Arial" w:cs="Arial"/>
          <w:sz w:val="20"/>
          <w:szCs w:val="20"/>
          <w:lang w:eastAsia="pt-BR"/>
        </w:rPr>
        <w:t>6 - A obrigação de recolhimento das contribuições previdenciárias (servidor e patronal) dos servidores cedidos, em regra geral, permanece para o órgão cedente, ou seja, para o órgão em que o servidor foi efetivado por meio de concurso público, tendo em visto que a maioria das legislações previdenciárias mantem a obrigação de recolhimento sobre os órgãos do ente. No entanto, caso a obrigação do recolhimento das contribuições previdenciárias, nos termos da legislação previdenciária local, tenha sido delegada/transferida ao órgão cessionário, as informações acerca dos “valores devidos e arrecadados” incidentes sobre a folha de pagamento desses servidores, devem ser declaradas por unidade gestora/órgão cessionário.</w:t>
      </w:r>
    </w:p>
    <w:p w14:paraId="7C95965E" w14:textId="77777777" w:rsidR="009755C1" w:rsidRPr="009755C1" w:rsidRDefault="009755C1" w:rsidP="009755C1">
      <w:pPr>
        <w:spacing w:after="160" w:line="240" w:lineRule="auto"/>
        <w:ind w:right="-285"/>
        <w:jc w:val="both"/>
        <w:rPr>
          <w:rFonts w:ascii="Arial" w:eastAsia="Calibri" w:hAnsi="Arial" w:cs="Arial"/>
          <w:sz w:val="20"/>
          <w:szCs w:val="20"/>
          <w:lang w:eastAsia="pt-BR"/>
        </w:rPr>
      </w:pPr>
      <w:r w:rsidRPr="009755C1">
        <w:rPr>
          <w:rFonts w:ascii="Arial" w:eastAsia="Calibri" w:hAnsi="Arial" w:cs="Arial"/>
          <w:sz w:val="20"/>
          <w:szCs w:val="20"/>
          <w:lang w:eastAsia="pt-BR"/>
        </w:rPr>
        <w:t>7 - Este demonstrativo decorre da obrigação legal do RPPS em manter controle individualizado de suas contribuições, além de demonstrá-lo aos seus segurados, com vistas a permitir a aferição do cumprimento do princípio constitucional do equilíbrio financeiro e atuarial previsto na Constituição Federal e na Lei de Responsabilidade Fiscal. (art. 40 da CF/88, art. 1º, § 1º, art. 11, § único e art. 69 da LRF, art. 1º, VII, art. 1º-A, art. 7º e incisos da Lei Federal nº. 9.717/98 e art. 18 da Portaria MPS nº. 402/2008).</w:t>
      </w:r>
    </w:p>
    <w:p w14:paraId="11B682BF" w14:textId="77777777" w:rsidR="009755C1" w:rsidRDefault="009755C1" w:rsidP="009755C1">
      <w:pPr>
        <w:spacing w:after="0" w:line="240" w:lineRule="auto"/>
        <w:jc w:val="both"/>
        <w:rPr>
          <w:rFonts w:ascii="Arial" w:hAnsi="Arial" w:cs="Arial"/>
          <w:b/>
          <w:color w:val="0070C0"/>
          <w:sz w:val="24"/>
          <w:szCs w:val="24"/>
        </w:rPr>
      </w:pPr>
    </w:p>
    <w:p w14:paraId="21C290C3" w14:textId="54E1F83C" w:rsidR="009755C1" w:rsidRPr="009755C1" w:rsidRDefault="009755C1" w:rsidP="00A60EA7">
      <w:pPr>
        <w:pStyle w:val="Ttulo3"/>
        <w:rPr>
          <w:rFonts w:eastAsia="Calibri"/>
        </w:rPr>
      </w:pPr>
      <w:bookmarkStart w:id="56" w:name="_Toc94806332"/>
      <w:r w:rsidRPr="009755C1">
        <w:rPr>
          <w:rFonts w:eastAsia="Calibri"/>
        </w:rPr>
        <w:t>PROATU.XML (ou ProjeçãoAtuarialRPPS.xml)</w:t>
      </w:r>
      <w:bookmarkEnd w:id="56"/>
    </w:p>
    <w:p w14:paraId="012FDB31" w14:textId="77777777" w:rsidR="00B27A96" w:rsidRPr="00B27A96" w:rsidRDefault="009755C1" w:rsidP="00B27A96">
      <w:pPr>
        <w:spacing w:after="0" w:line="360" w:lineRule="auto"/>
        <w:jc w:val="both"/>
        <w:rPr>
          <w:rFonts w:ascii="Arial" w:eastAsia="Calibri" w:hAnsi="Arial" w:cs="Arial"/>
        </w:rPr>
      </w:pPr>
      <w:r w:rsidRPr="009755C1">
        <w:rPr>
          <w:rFonts w:ascii="Arial" w:eastAsia="Calibri" w:hAnsi="Arial" w:cs="Arial"/>
          <w:b/>
          <w:bCs/>
        </w:rPr>
        <w:t>Descrição: </w:t>
      </w:r>
      <w:r w:rsidRPr="009755C1">
        <w:rPr>
          <w:rFonts w:ascii="Arial" w:eastAsia="Calibri" w:hAnsi="Arial" w:cs="Arial"/>
        </w:rPr>
        <w:t xml:space="preserve">Este arquivo conterá a Projeção Atuarial (Receitas, Despesas, Resultado Previdenciário e Saldo Financeiro) do RPPS (único ou dos Planos Previdenciário e Financeiro, no caso de segregação de massa), dos próximos 75 anos que compõe a avaliação atuarial do exercício de competência da prestação de contas com data de cálculo 31/12 e Data-Base com dados posicionados entre julho a dezembro, ambos do exercício de competência da </w:t>
      </w:r>
      <w:r w:rsidRPr="00B27A96">
        <w:rPr>
          <w:rFonts w:ascii="Arial" w:eastAsia="Calibri" w:hAnsi="Arial" w:cs="Arial"/>
        </w:rPr>
        <w:t>PCA.</w:t>
      </w:r>
      <w:r w:rsidR="00B27A96" w:rsidRPr="00B27A96">
        <w:rPr>
          <w:rFonts w:ascii="Arial" w:eastAsia="Calibri" w:hAnsi="Arial" w:cs="Arial"/>
        </w:rPr>
        <w:t xml:space="preserve"> Nas Contas de Governo (Contas de Prefeito) deverão ser encaminhadas as informações dos Planos Previdenciário e Financeiro, no caso de segregação de massa.</w:t>
      </w:r>
    </w:p>
    <w:p w14:paraId="49C4D1B5" w14:textId="77777777" w:rsidR="009755C1" w:rsidRDefault="009755C1" w:rsidP="009755C1">
      <w:pPr>
        <w:rPr>
          <w:rFonts w:ascii="Arial" w:eastAsia="Calibri" w:hAnsi="Arial" w:cs="Arial"/>
          <w:b/>
          <w:bCs/>
        </w:rPr>
      </w:pPr>
    </w:p>
    <w:p w14:paraId="1EADEE76" w14:textId="77777777" w:rsidR="009755C1" w:rsidRPr="009755C1" w:rsidRDefault="009755C1" w:rsidP="009755C1">
      <w:pPr>
        <w:rPr>
          <w:rFonts w:ascii="Arial" w:eastAsia="Calibri" w:hAnsi="Arial" w:cs="Arial"/>
          <w:b/>
          <w:sz w:val="28"/>
          <w:highlight w:val="red"/>
        </w:rPr>
      </w:pPr>
      <w:r w:rsidRPr="009755C1">
        <w:rPr>
          <w:rFonts w:ascii="Arial" w:eastAsia="Calibri" w:hAnsi="Arial" w:cs="Arial"/>
          <w:b/>
          <w:bCs/>
        </w:rPr>
        <w:t>Estrutura:</w:t>
      </w:r>
    </w:p>
    <w:p w14:paraId="11A1F951" w14:textId="77777777" w:rsidR="009755C1" w:rsidRPr="009755C1" w:rsidRDefault="009755C1" w:rsidP="009755C1">
      <w:pPr>
        <w:spacing w:after="0" w:line="240" w:lineRule="auto"/>
        <w:rPr>
          <w:rFonts w:ascii="Arial" w:eastAsia="Times New Roman" w:hAnsi="Arial" w:cs="Arial"/>
          <w:sz w:val="20"/>
          <w:szCs w:val="20"/>
          <w:lang w:eastAsia="pt-BR"/>
        </w:rPr>
      </w:pPr>
      <w:r w:rsidRPr="009755C1">
        <w:rPr>
          <w:rFonts w:ascii="Arial" w:eastAsia="Times New Roman" w:hAnsi="Arial" w:cs="Arial"/>
          <w:sz w:val="20"/>
          <w:szCs w:val="20"/>
          <w:lang w:eastAsia="pt-BR"/>
        </w:rPr>
        <w:t>&lt;?xml version="1.0" encoding=“UTF-8”?&gt;</w:t>
      </w:r>
    </w:p>
    <w:p w14:paraId="0DE640BE" w14:textId="77777777" w:rsidR="009755C1" w:rsidRPr="009755C1" w:rsidRDefault="009755C1" w:rsidP="009755C1">
      <w:pPr>
        <w:spacing w:after="0" w:line="240" w:lineRule="auto"/>
        <w:rPr>
          <w:rFonts w:ascii="Arial" w:eastAsia="Times New Roman" w:hAnsi="Arial" w:cs="Arial"/>
          <w:sz w:val="20"/>
          <w:szCs w:val="20"/>
          <w:lang w:eastAsia="pt-BR"/>
        </w:rPr>
      </w:pPr>
      <w:r w:rsidRPr="009755C1">
        <w:rPr>
          <w:rFonts w:ascii="Arial" w:eastAsia="Times New Roman" w:hAnsi="Arial" w:cs="Arial"/>
          <w:sz w:val="20"/>
          <w:szCs w:val="20"/>
          <w:lang w:eastAsia="pt-BR"/>
        </w:rPr>
        <w:t>&lt;PrestacaoContasAnual&gt;</w:t>
      </w:r>
    </w:p>
    <w:p w14:paraId="554E61DC" w14:textId="77777777" w:rsidR="009755C1" w:rsidRPr="009755C1" w:rsidRDefault="009755C1" w:rsidP="009755C1">
      <w:pPr>
        <w:spacing w:after="0" w:line="240" w:lineRule="auto"/>
        <w:ind w:left="284"/>
        <w:rPr>
          <w:rFonts w:ascii="Arial" w:eastAsia="Times New Roman" w:hAnsi="Arial" w:cs="Arial"/>
          <w:sz w:val="20"/>
          <w:szCs w:val="20"/>
          <w:lang w:eastAsia="pt-BR"/>
        </w:rPr>
      </w:pPr>
      <w:r w:rsidRPr="009755C1">
        <w:rPr>
          <w:rFonts w:ascii="Arial" w:eastAsia="Times New Roman" w:hAnsi="Arial" w:cs="Arial"/>
          <w:sz w:val="20"/>
          <w:szCs w:val="20"/>
          <w:lang w:eastAsia="pt-BR"/>
        </w:rPr>
        <w:t>&lt;ProjecaoAtuarialRPPS_Schema&gt;</w:t>
      </w:r>
    </w:p>
    <w:p w14:paraId="3B0D0E89" w14:textId="77777777" w:rsidR="009755C1" w:rsidRPr="009755C1" w:rsidRDefault="009755C1" w:rsidP="009755C1">
      <w:pPr>
        <w:spacing w:after="0" w:line="240" w:lineRule="auto"/>
        <w:ind w:left="284"/>
        <w:rPr>
          <w:rFonts w:ascii="Arial" w:eastAsia="Times New Roman" w:hAnsi="Arial" w:cs="Arial"/>
          <w:sz w:val="20"/>
          <w:szCs w:val="20"/>
          <w:lang w:eastAsia="pt-BR"/>
        </w:rPr>
      </w:pPr>
    </w:p>
    <w:p w14:paraId="7EF380E5" w14:textId="77777777" w:rsidR="009755C1" w:rsidRPr="00B27A96" w:rsidRDefault="009755C1" w:rsidP="009755C1">
      <w:pPr>
        <w:spacing w:after="0" w:line="240" w:lineRule="auto"/>
        <w:ind w:left="567"/>
        <w:rPr>
          <w:rFonts w:ascii="Arial" w:eastAsia="Times New Roman" w:hAnsi="Arial" w:cs="Arial"/>
          <w:sz w:val="20"/>
          <w:szCs w:val="20"/>
          <w:lang w:eastAsia="pt-BR"/>
        </w:rPr>
      </w:pPr>
      <w:r w:rsidRPr="00B27A96">
        <w:rPr>
          <w:rFonts w:ascii="Arial" w:eastAsia="Times New Roman" w:hAnsi="Arial" w:cs="Arial"/>
          <w:sz w:val="20"/>
          <w:szCs w:val="20"/>
          <w:lang w:eastAsia="pt-BR"/>
        </w:rPr>
        <w:t>&lt;ProjecaoAtuarialRPPS&gt;</w:t>
      </w:r>
    </w:p>
    <w:p w14:paraId="5EA4DD4E" w14:textId="77777777" w:rsidR="009755C1" w:rsidRPr="00B27A96" w:rsidRDefault="009755C1" w:rsidP="009755C1">
      <w:pPr>
        <w:spacing w:after="0" w:line="240" w:lineRule="auto"/>
        <w:ind w:left="851"/>
        <w:rPr>
          <w:rFonts w:ascii="Arial" w:eastAsia="Times New Roman" w:hAnsi="Arial" w:cs="Arial"/>
          <w:sz w:val="20"/>
          <w:szCs w:val="20"/>
          <w:lang w:eastAsia="pt-BR"/>
        </w:rPr>
      </w:pPr>
      <w:r w:rsidRPr="00B27A96">
        <w:rPr>
          <w:rFonts w:ascii="Arial" w:eastAsia="Times New Roman" w:hAnsi="Arial" w:cs="Arial"/>
          <w:sz w:val="20"/>
          <w:szCs w:val="20"/>
          <w:lang w:eastAsia="pt-BR"/>
        </w:rPr>
        <w:t>&lt;IdNumRegistro&gt;</w:t>
      </w:r>
      <w:r w:rsidRPr="00B27A96">
        <w:rPr>
          <w:rFonts w:ascii="Arial" w:eastAsia="Times New Roman" w:hAnsi="Arial" w:cs="Arial"/>
          <w:b/>
          <w:bCs/>
          <w:sz w:val="20"/>
          <w:szCs w:val="20"/>
          <w:lang w:eastAsia="pt-BR"/>
        </w:rPr>
        <w:t>99999</w:t>
      </w:r>
      <w:r w:rsidRPr="00B27A96">
        <w:rPr>
          <w:rFonts w:ascii="Arial" w:eastAsia="Times New Roman" w:hAnsi="Arial" w:cs="Arial"/>
          <w:sz w:val="20"/>
          <w:szCs w:val="20"/>
          <w:lang w:eastAsia="pt-BR"/>
        </w:rPr>
        <w:t>&lt;/IdNumRegistro&gt;</w:t>
      </w:r>
    </w:p>
    <w:p w14:paraId="75CAECF3" w14:textId="36E1515F" w:rsidR="009755C1" w:rsidRPr="00B27A96" w:rsidRDefault="009755C1" w:rsidP="009755C1">
      <w:pPr>
        <w:spacing w:after="0" w:line="240" w:lineRule="auto"/>
        <w:ind w:left="851"/>
        <w:rPr>
          <w:rFonts w:ascii="Arial" w:eastAsia="Times New Roman" w:hAnsi="Arial" w:cs="Arial"/>
          <w:sz w:val="20"/>
          <w:szCs w:val="20"/>
          <w:lang w:eastAsia="pt-BR"/>
        </w:rPr>
      </w:pPr>
      <w:r w:rsidRPr="00B27A96">
        <w:rPr>
          <w:rFonts w:ascii="Arial" w:eastAsia="Times New Roman" w:hAnsi="Arial" w:cs="Arial"/>
          <w:sz w:val="20"/>
          <w:szCs w:val="20"/>
          <w:lang w:eastAsia="pt-BR"/>
        </w:rPr>
        <w:t>&lt;Exercicio&gt;</w:t>
      </w:r>
      <w:r w:rsidRPr="00B27A96">
        <w:rPr>
          <w:rFonts w:ascii="Arial" w:eastAsia="Times New Roman" w:hAnsi="Arial" w:cs="Arial"/>
          <w:b/>
          <w:sz w:val="20"/>
          <w:szCs w:val="20"/>
          <w:lang w:eastAsia="pt-BR"/>
        </w:rPr>
        <w:t>9999</w:t>
      </w:r>
      <w:r w:rsidRPr="00B27A96">
        <w:rPr>
          <w:rFonts w:ascii="Arial" w:eastAsia="Times New Roman" w:hAnsi="Arial" w:cs="Arial"/>
          <w:sz w:val="20"/>
          <w:szCs w:val="20"/>
          <w:lang w:eastAsia="pt-BR"/>
        </w:rPr>
        <w:t>&lt;/Exercicio&gt;</w:t>
      </w:r>
    </w:p>
    <w:p w14:paraId="7CFB6D15" w14:textId="3F4501E8" w:rsidR="00B27A96" w:rsidRPr="00B27A96" w:rsidRDefault="00B27A96" w:rsidP="009755C1">
      <w:pPr>
        <w:spacing w:after="0" w:line="240" w:lineRule="auto"/>
        <w:ind w:left="851"/>
        <w:rPr>
          <w:rFonts w:ascii="Arial" w:eastAsia="Times New Roman" w:hAnsi="Arial" w:cs="Arial"/>
          <w:sz w:val="20"/>
          <w:szCs w:val="20"/>
          <w:lang w:eastAsia="pt-BR"/>
        </w:rPr>
      </w:pPr>
      <w:r w:rsidRPr="00B27A96">
        <w:rPr>
          <w:rFonts w:ascii="Arial" w:eastAsia="Times New Roman" w:hAnsi="Arial" w:cs="Arial"/>
          <w:sz w:val="20"/>
          <w:szCs w:val="20"/>
          <w:lang w:eastAsia="pt-BR"/>
        </w:rPr>
        <w:t>&lt;Plano&gt;9&lt;</w:t>
      </w:r>
      <w:r w:rsidR="007A117B">
        <w:rPr>
          <w:rFonts w:ascii="Arial" w:eastAsia="Times New Roman" w:hAnsi="Arial" w:cs="Arial"/>
          <w:sz w:val="20"/>
          <w:szCs w:val="20"/>
          <w:lang w:eastAsia="pt-BR"/>
        </w:rPr>
        <w:t>/</w:t>
      </w:r>
      <w:r w:rsidRPr="00B27A96">
        <w:rPr>
          <w:rFonts w:ascii="Arial" w:eastAsia="Times New Roman" w:hAnsi="Arial" w:cs="Arial"/>
          <w:sz w:val="20"/>
          <w:szCs w:val="20"/>
          <w:lang w:eastAsia="pt-BR"/>
        </w:rPr>
        <w:t>Plano&gt;</w:t>
      </w:r>
    </w:p>
    <w:p w14:paraId="04F10A89" w14:textId="77777777" w:rsidR="009755C1" w:rsidRPr="00B27A96" w:rsidRDefault="009755C1" w:rsidP="009755C1">
      <w:pPr>
        <w:spacing w:after="0" w:line="240" w:lineRule="auto"/>
        <w:ind w:leftChars="386" w:left="849" w:firstLine="1"/>
        <w:rPr>
          <w:rFonts w:ascii="Arial" w:eastAsia="Times New Roman" w:hAnsi="Arial" w:cs="Arial"/>
          <w:sz w:val="20"/>
          <w:szCs w:val="20"/>
          <w:lang w:eastAsia="pt-BR"/>
        </w:rPr>
      </w:pPr>
      <w:r w:rsidRPr="00B27A96">
        <w:rPr>
          <w:rFonts w:ascii="Arial" w:eastAsia="Times New Roman" w:hAnsi="Arial" w:cs="Arial"/>
          <w:sz w:val="20"/>
          <w:szCs w:val="20"/>
          <w:lang w:eastAsia="pt-BR"/>
        </w:rPr>
        <w:t>&lt;ReceitaPrevidenciaria&gt;</w:t>
      </w:r>
      <w:r w:rsidRPr="00B27A96">
        <w:rPr>
          <w:rFonts w:ascii="Arial" w:eastAsia="Times New Roman" w:hAnsi="Arial" w:cs="Arial"/>
          <w:b/>
          <w:sz w:val="20"/>
          <w:szCs w:val="20"/>
          <w:lang w:eastAsia="pt-BR"/>
        </w:rPr>
        <w:t>99999999999999.99</w:t>
      </w:r>
      <w:r w:rsidRPr="00B27A96">
        <w:rPr>
          <w:rFonts w:ascii="Arial" w:eastAsia="Times New Roman" w:hAnsi="Arial" w:cs="Arial"/>
          <w:sz w:val="20"/>
          <w:szCs w:val="20"/>
          <w:lang w:eastAsia="pt-BR"/>
        </w:rPr>
        <w:t xml:space="preserve">&lt;/ReceitaPrevidenciaria&gt; </w:t>
      </w:r>
    </w:p>
    <w:p w14:paraId="2E2DDEBF" w14:textId="77777777" w:rsidR="009755C1" w:rsidRPr="00B27A96" w:rsidRDefault="009755C1" w:rsidP="009755C1">
      <w:pPr>
        <w:spacing w:after="0" w:line="240" w:lineRule="auto"/>
        <w:ind w:leftChars="386" w:left="849" w:firstLine="1"/>
        <w:rPr>
          <w:rFonts w:ascii="Arial" w:eastAsia="Times New Roman" w:hAnsi="Arial" w:cs="Arial"/>
          <w:sz w:val="20"/>
          <w:szCs w:val="20"/>
          <w:lang w:eastAsia="pt-BR"/>
        </w:rPr>
      </w:pPr>
      <w:r w:rsidRPr="00B27A96">
        <w:rPr>
          <w:rFonts w:ascii="Arial" w:eastAsia="Times New Roman" w:hAnsi="Arial" w:cs="Arial"/>
          <w:sz w:val="20"/>
          <w:szCs w:val="20"/>
          <w:lang w:eastAsia="pt-BR"/>
        </w:rPr>
        <w:t>&lt;DespesaPrevidenciaria&gt;</w:t>
      </w:r>
      <w:r w:rsidRPr="00B27A96">
        <w:rPr>
          <w:rFonts w:ascii="Arial" w:eastAsia="Times New Roman" w:hAnsi="Arial" w:cs="Arial"/>
          <w:b/>
          <w:sz w:val="20"/>
          <w:szCs w:val="20"/>
          <w:lang w:eastAsia="pt-BR"/>
        </w:rPr>
        <w:t>99999999999999.99</w:t>
      </w:r>
      <w:r w:rsidRPr="00B27A96">
        <w:rPr>
          <w:rFonts w:ascii="Arial" w:eastAsia="Times New Roman" w:hAnsi="Arial" w:cs="Arial"/>
          <w:sz w:val="20"/>
          <w:szCs w:val="20"/>
          <w:lang w:eastAsia="pt-BR"/>
        </w:rPr>
        <w:t xml:space="preserve">&lt;/DespesaPrevidenciaria&gt; </w:t>
      </w:r>
    </w:p>
    <w:p w14:paraId="30C708F9" w14:textId="77777777" w:rsidR="009755C1" w:rsidRPr="00B27A96" w:rsidRDefault="009755C1" w:rsidP="009755C1">
      <w:pPr>
        <w:spacing w:after="0" w:line="240" w:lineRule="auto"/>
        <w:ind w:leftChars="386" w:left="849" w:firstLine="1"/>
        <w:rPr>
          <w:rFonts w:ascii="Arial" w:eastAsia="Times New Roman" w:hAnsi="Arial" w:cs="Arial"/>
          <w:sz w:val="20"/>
          <w:szCs w:val="20"/>
          <w:lang w:eastAsia="pt-BR"/>
        </w:rPr>
      </w:pPr>
      <w:r w:rsidRPr="00B27A96">
        <w:rPr>
          <w:rFonts w:ascii="Arial" w:eastAsia="Times New Roman" w:hAnsi="Arial" w:cs="Arial"/>
          <w:sz w:val="20"/>
          <w:szCs w:val="20"/>
          <w:lang w:eastAsia="pt-BR"/>
        </w:rPr>
        <w:t>&lt;ResultadoPrevidenciario&gt;</w:t>
      </w:r>
      <w:r w:rsidRPr="00B27A96">
        <w:rPr>
          <w:rFonts w:ascii="Arial" w:eastAsia="Times New Roman" w:hAnsi="Arial" w:cs="Arial"/>
          <w:b/>
          <w:sz w:val="20"/>
          <w:szCs w:val="20"/>
          <w:lang w:eastAsia="pt-BR"/>
        </w:rPr>
        <w:t>99999999999999.99</w:t>
      </w:r>
      <w:r w:rsidRPr="00B27A96">
        <w:rPr>
          <w:rFonts w:ascii="Arial" w:eastAsia="Times New Roman" w:hAnsi="Arial" w:cs="Arial"/>
          <w:sz w:val="20"/>
          <w:szCs w:val="20"/>
          <w:lang w:eastAsia="pt-BR"/>
        </w:rPr>
        <w:t xml:space="preserve">&lt;/ResultadoPrevidenciario&gt; </w:t>
      </w:r>
    </w:p>
    <w:p w14:paraId="5EB00C26" w14:textId="77777777" w:rsidR="009755C1" w:rsidRPr="00B27A96" w:rsidRDefault="009755C1" w:rsidP="009755C1">
      <w:pPr>
        <w:spacing w:after="0" w:line="240" w:lineRule="auto"/>
        <w:ind w:leftChars="386" w:left="849" w:firstLine="1"/>
        <w:rPr>
          <w:rFonts w:ascii="Arial" w:eastAsia="Times New Roman" w:hAnsi="Arial" w:cs="Arial"/>
          <w:sz w:val="20"/>
          <w:szCs w:val="20"/>
          <w:lang w:eastAsia="pt-BR"/>
        </w:rPr>
      </w:pPr>
      <w:r w:rsidRPr="00B27A96">
        <w:rPr>
          <w:rFonts w:ascii="Arial" w:eastAsia="Times New Roman" w:hAnsi="Arial" w:cs="Arial"/>
          <w:sz w:val="20"/>
          <w:szCs w:val="20"/>
          <w:lang w:eastAsia="pt-BR"/>
        </w:rPr>
        <w:t>&lt;SaldoFinanceiroExercicio&gt;</w:t>
      </w:r>
      <w:r w:rsidRPr="00B27A96">
        <w:rPr>
          <w:rFonts w:ascii="Arial" w:eastAsia="Times New Roman" w:hAnsi="Arial" w:cs="Arial"/>
          <w:b/>
          <w:sz w:val="20"/>
          <w:szCs w:val="20"/>
          <w:lang w:eastAsia="pt-BR"/>
        </w:rPr>
        <w:t>99999999999999.99</w:t>
      </w:r>
      <w:r w:rsidRPr="00B27A96">
        <w:rPr>
          <w:rFonts w:ascii="Arial" w:eastAsia="Times New Roman" w:hAnsi="Arial" w:cs="Arial"/>
          <w:sz w:val="20"/>
          <w:szCs w:val="20"/>
          <w:lang w:eastAsia="pt-BR"/>
        </w:rPr>
        <w:t xml:space="preserve">&lt;/SaldoFinanceiroExercicio&gt; </w:t>
      </w:r>
    </w:p>
    <w:p w14:paraId="22CF09E3" w14:textId="77777777" w:rsidR="009755C1" w:rsidRPr="00B27A96" w:rsidRDefault="009755C1" w:rsidP="009755C1">
      <w:pPr>
        <w:spacing w:after="0" w:line="240" w:lineRule="auto"/>
        <w:ind w:left="567"/>
        <w:rPr>
          <w:rFonts w:ascii="Arial" w:eastAsia="Times New Roman" w:hAnsi="Arial" w:cs="Arial"/>
          <w:sz w:val="20"/>
          <w:szCs w:val="20"/>
          <w:lang w:eastAsia="pt-BR"/>
        </w:rPr>
      </w:pPr>
      <w:r w:rsidRPr="00B27A96">
        <w:rPr>
          <w:rFonts w:ascii="Arial" w:eastAsia="Times New Roman" w:hAnsi="Arial" w:cs="Arial"/>
          <w:sz w:val="20"/>
          <w:szCs w:val="20"/>
          <w:lang w:eastAsia="pt-BR"/>
        </w:rPr>
        <w:t>&lt;/ProjecaoAtuarialRPPS&gt;</w:t>
      </w:r>
    </w:p>
    <w:p w14:paraId="7BBB1B82" w14:textId="77777777" w:rsidR="009755C1" w:rsidRPr="00B27A96" w:rsidRDefault="009755C1" w:rsidP="009755C1">
      <w:pPr>
        <w:spacing w:after="0" w:line="240" w:lineRule="auto"/>
        <w:ind w:left="567"/>
        <w:rPr>
          <w:rFonts w:ascii="Arial" w:eastAsia="Times New Roman" w:hAnsi="Arial" w:cs="Arial"/>
          <w:sz w:val="20"/>
          <w:szCs w:val="20"/>
          <w:lang w:eastAsia="pt-BR"/>
        </w:rPr>
      </w:pPr>
    </w:p>
    <w:p w14:paraId="541B4675" w14:textId="77777777" w:rsidR="009755C1" w:rsidRPr="00B27A96" w:rsidRDefault="009755C1" w:rsidP="009755C1">
      <w:pPr>
        <w:spacing w:after="0" w:line="240" w:lineRule="auto"/>
        <w:ind w:left="567"/>
        <w:rPr>
          <w:rFonts w:ascii="Arial" w:eastAsia="Times New Roman" w:hAnsi="Arial" w:cs="Arial"/>
          <w:sz w:val="20"/>
          <w:szCs w:val="20"/>
          <w:lang w:eastAsia="pt-BR"/>
        </w:rPr>
      </w:pPr>
      <w:r w:rsidRPr="00B27A96">
        <w:rPr>
          <w:rFonts w:ascii="Arial" w:eastAsia="Times New Roman" w:hAnsi="Arial" w:cs="Arial"/>
          <w:sz w:val="20"/>
          <w:szCs w:val="20"/>
          <w:lang w:eastAsia="pt-BR"/>
        </w:rPr>
        <w:t>&lt;ProjecaoAtuarialRPPSInformacao&gt;</w:t>
      </w:r>
    </w:p>
    <w:p w14:paraId="356AD6A3" w14:textId="414EE2AD" w:rsidR="009755C1" w:rsidRPr="00B27A96" w:rsidRDefault="009755C1" w:rsidP="009755C1">
      <w:pPr>
        <w:spacing w:after="0" w:line="240" w:lineRule="auto"/>
        <w:ind w:left="851"/>
        <w:rPr>
          <w:rFonts w:ascii="Arial" w:eastAsia="Times New Roman" w:hAnsi="Arial" w:cs="Arial"/>
          <w:sz w:val="20"/>
          <w:szCs w:val="20"/>
          <w:lang w:eastAsia="pt-BR"/>
        </w:rPr>
      </w:pPr>
      <w:r w:rsidRPr="00B27A96">
        <w:rPr>
          <w:rFonts w:ascii="Arial" w:eastAsia="Times New Roman" w:hAnsi="Arial" w:cs="Arial"/>
          <w:sz w:val="20"/>
          <w:szCs w:val="20"/>
          <w:lang w:eastAsia="pt-BR"/>
        </w:rPr>
        <w:lastRenderedPageBreak/>
        <w:t>&lt;IdNumRegistro&gt;</w:t>
      </w:r>
      <w:r w:rsidRPr="00B27A96">
        <w:rPr>
          <w:rFonts w:ascii="Arial" w:eastAsia="Times New Roman" w:hAnsi="Arial" w:cs="Arial"/>
          <w:b/>
          <w:bCs/>
          <w:sz w:val="20"/>
          <w:szCs w:val="20"/>
          <w:lang w:eastAsia="pt-BR"/>
        </w:rPr>
        <w:t>99999</w:t>
      </w:r>
      <w:r w:rsidRPr="00B27A96">
        <w:rPr>
          <w:rFonts w:ascii="Arial" w:eastAsia="Times New Roman" w:hAnsi="Arial" w:cs="Arial"/>
          <w:sz w:val="20"/>
          <w:szCs w:val="20"/>
          <w:lang w:eastAsia="pt-BR"/>
        </w:rPr>
        <w:t>&lt;/IdNumRegistro&gt;</w:t>
      </w:r>
    </w:p>
    <w:p w14:paraId="0A5ADB25" w14:textId="68BFC8EC" w:rsidR="00B27A96" w:rsidRPr="00B27A96" w:rsidRDefault="00B27A96" w:rsidP="00B27A96">
      <w:pPr>
        <w:spacing w:after="0" w:line="240" w:lineRule="auto"/>
        <w:ind w:left="851"/>
        <w:rPr>
          <w:rFonts w:ascii="Arial" w:eastAsia="Times New Roman" w:hAnsi="Arial" w:cs="Arial"/>
          <w:sz w:val="20"/>
          <w:szCs w:val="20"/>
          <w:lang w:eastAsia="pt-BR"/>
        </w:rPr>
      </w:pPr>
      <w:r w:rsidRPr="00B27A96">
        <w:rPr>
          <w:rFonts w:ascii="Arial" w:eastAsia="Times New Roman" w:hAnsi="Arial" w:cs="Arial"/>
          <w:sz w:val="20"/>
          <w:szCs w:val="20"/>
          <w:lang w:eastAsia="pt-BR"/>
        </w:rPr>
        <w:t>&lt;Plano&gt;9&lt;</w:t>
      </w:r>
      <w:r w:rsidR="007A117B">
        <w:rPr>
          <w:rFonts w:ascii="Arial" w:eastAsia="Times New Roman" w:hAnsi="Arial" w:cs="Arial"/>
          <w:sz w:val="20"/>
          <w:szCs w:val="20"/>
          <w:lang w:eastAsia="pt-BR"/>
        </w:rPr>
        <w:t>/</w:t>
      </w:r>
      <w:r w:rsidRPr="00B27A96">
        <w:rPr>
          <w:rFonts w:ascii="Arial" w:eastAsia="Times New Roman" w:hAnsi="Arial" w:cs="Arial"/>
          <w:sz w:val="20"/>
          <w:szCs w:val="20"/>
          <w:lang w:eastAsia="pt-BR"/>
        </w:rPr>
        <w:t>Plano&gt;</w:t>
      </w:r>
    </w:p>
    <w:p w14:paraId="5EB906C7" w14:textId="77777777" w:rsidR="009755C1" w:rsidRPr="00B27A96" w:rsidRDefault="009755C1" w:rsidP="009755C1">
      <w:pPr>
        <w:spacing w:after="0" w:line="240" w:lineRule="auto"/>
        <w:ind w:left="851"/>
        <w:rPr>
          <w:rFonts w:ascii="Arial" w:eastAsia="Times New Roman" w:hAnsi="Arial" w:cs="Arial"/>
          <w:sz w:val="20"/>
          <w:szCs w:val="20"/>
          <w:lang w:eastAsia="pt-BR"/>
        </w:rPr>
      </w:pPr>
      <w:r w:rsidRPr="00B27A96">
        <w:rPr>
          <w:rFonts w:ascii="Arial" w:eastAsia="Times New Roman" w:hAnsi="Arial" w:cs="Arial"/>
          <w:sz w:val="20"/>
          <w:szCs w:val="20"/>
          <w:lang w:eastAsia="pt-BR"/>
        </w:rPr>
        <w:t>&lt;DataBase&gt;</w:t>
      </w:r>
      <w:r w:rsidRPr="00B27A96">
        <w:rPr>
          <w:rFonts w:ascii="Arial" w:eastAsia="Times New Roman" w:hAnsi="Arial" w:cs="Arial"/>
          <w:b/>
          <w:sz w:val="20"/>
          <w:szCs w:val="20"/>
          <w:lang w:eastAsia="pt-BR"/>
        </w:rPr>
        <w:t>9999-99-99</w:t>
      </w:r>
      <w:r w:rsidRPr="00B27A96">
        <w:rPr>
          <w:rFonts w:ascii="Arial" w:eastAsia="Times New Roman" w:hAnsi="Arial" w:cs="Arial"/>
          <w:sz w:val="20"/>
          <w:szCs w:val="20"/>
          <w:lang w:eastAsia="pt-BR"/>
        </w:rPr>
        <w:t>&lt;/DataBase&gt;</w:t>
      </w:r>
    </w:p>
    <w:p w14:paraId="7B45D8C8" w14:textId="77777777" w:rsidR="009755C1" w:rsidRPr="00B27A96" w:rsidRDefault="009755C1" w:rsidP="009755C1">
      <w:pPr>
        <w:spacing w:after="0" w:line="240" w:lineRule="auto"/>
        <w:ind w:left="851"/>
        <w:rPr>
          <w:rFonts w:ascii="Arial" w:eastAsia="Times New Roman" w:hAnsi="Arial" w:cs="Arial"/>
          <w:sz w:val="20"/>
          <w:szCs w:val="20"/>
          <w:lang w:eastAsia="pt-BR"/>
        </w:rPr>
      </w:pPr>
      <w:r w:rsidRPr="00B27A96">
        <w:rPr>
          <w:rFonts w:ascii="Arial" w:eastAsia="Times New Roman" w:hAnsi="Arial" w:cs="Arial"/>
          <w:sz w:val="20"/>
          <w:szCs w:val="20"/>
          <w:lang w:eastAsia="pt-BR"/>
        </w:rPr>
        <w:t>&lt;DataCalculo&gt;</w:t>
      </w:r>
      <w:r w:rsidRPr="00B27A96">
        <w:rPr>
          <w:rFonts w:ascii="Arial" w:eastAsia="Times New Roman" w:hAnsi="Arial" w:cs="Arial"/>
          <w:b/>
          <w:sz w:val="20"/>
          <w:szCs w:val="20"/>
          <w:lang w:eastAsia="pt-BR"/>
        </w:rPr>
        <w:t>9999-99-99</w:t>
      </w:r>
      <w:r w:rsidRPr="00B27A96">
        <w:rPr>
          <w:rFonts w:ascii="Arial" w:eastAsia="Times New Roman" w:hAnsi="Arial" w:cs="Arial"/>
          <w:sz w:val="20"/>
          <w:szCs w:val="20"/>
          <w:lang w:eastAsia="pt-BR"/>
        </w:rPr>
        <w:t>&lt;/DataCalculo&gt;</w:t>
      </w:r>
    </w:p>
    <w:p w14:paraId="419A5E5A" w14:textId="77777777" w:rsidR="009755C1" w:rsidRPr="00B27A96" w:rsidRDefault="009755C1" w:rsidP="009755C1">
      <w:pPr>
        <w:spacing w:after="0" w:line="240" w:lineRule="auto"/>
        <w:ind w:leftChars="386" w:left="849" w:firstLine="1"/>
        <w:rPr>
          <w:rFonts w:ascii="Arial" w:eastAsia="Times New Roman" w:hAnsi="Arial" w:cs="Arial"/>
          <w:sz w:val="20"/>
          <w:szCs w:val="20"/>
          <w:lang w:eastAsia="pt-BR"/>
        </w:rPr>
      </w:pPr>
      <w:r w:rsidRPr="00B27A96">
        <w:rPr>
          <w:rFonts w:ascii="Arial" w:eastAsia="Times New Roman" w:hAnsi="Arial" w:cs="Arial"/>
          <w:sz w:val="20"/>
          <w:szCs w:val="20"/>
          <w:lang w:eastAsia="pt-BR"/>
        </w:rPr>
        <w:t>&lt;CPFAtuarioResponsavel&gt;</w:t>
      </w:r>
      <w:r w:rsidR="00024255" w:rsidRPr="00B27A96">
        <w:rPr>
          <w:rFonts w:ascii="Arial" w:eastAsia="Times New Roman" w:hAnsi="Arial" w:cs="Arial"/>
          <w:b/>
          <w:sz w:val="20"/>
          <w:szCs w:val="20"/>
          <w:lang w:eastAsia="pt-BR"/>
        </w:rPr>
        <w:t>XXXXXXXXXXX</w:t>
      </w:r>
      <w:r w:rsidRPr="00B27A96">
        <w:rPr>
          <w:rFonts w:ascii="Arial" w:eastAsia="Times New Roman" w:hAnsi="Arial" w:cs="Arial"/>
          <w:sz w:val="20"/>
          <w:szCs w:val="20"/>
          <w:lang w:eastAsia="pt-BR"/>
        </w:rPr>
        <w:t xml:space="preserve">&lt;/CPFAtuarioResponsavel&gt; </w:t>
      </w:r>
    </w:p>
    <w:p w14:paraId="5A227989" w14:textId="77777777" w:rsidR="009755C1" w:rsidRPr="00B27A96" w:rsidRDefault="009755C1" w:rsidP="009755C1">
      <w:pPr>
        <w:spacing w:after="0" w:line="240" w:lineRule="auto"/>
        <w:ind w:leftChars="386" w:left="849" w:firstLine="1"/>
        <w:rPr>
          <w:rFonts w:ascii="Arial" w:eastAsia="Times New Roman" w:hAnsi="Arial" w:cs="Arial"/>
          <w:sz w:val="20"/>
          <w:szCs w:val="20"/>
          <w:lang w:eastAsia="pt-BR"/>
        </w:rPr>
      </w:pPr>
      <w:r w:rsidRPr="00B27A96">
        <w:rPr>
          <w:rFonts w:ascii="Arial" w:eastAsia="Times New Roman" w:hAnsi="Arial" w:cs="Arial"/>
          <w:sz w:val="20"/>
          <w:szCs w:val="20"/>
          <w:lang w:eastAsia="pt-BR"/>
        </w:rPr>
        <w:t>&lt;NomeAtuarioResponsavel&gt;</w:t>
      </w:r>
      <w:r w:rsidR="00024255" w:rsidRPr="00B27A96">
        <w:rPr>
          <w:rFonts w:ascii="Arial" w:eastAsia="Times New Roman" w:hAnsi="Arial" w:cs="Arial"/>
          <w:b/>
          <w:sz w:val="20"/>
          <w:szCs w:val="20"/>
          <w:lang w:eastAsia="pt-BR"/>
        </w:rPr>
        <w:t>XXX...XXX</w:t>
      </w:r>
      <w:r w:rsidRPr="00B27A96">
        <w:rPr>
          <w:rFonts w:ascii="Arial" w:eastAsia="Times New Roman" w:hAnsi="Arial" w:cs="Arial"/>
          <w:sz w:val="20"/>
          <w:szCs w:val="20"/>
          <w:lang w:eastAsia="pt-BR"/>
        </w:rPr>
        <w:t xml:space="preserve">&lt;/NomeAtuarioResponsavel&gt; </w:t>
      </w:r>
    </w:p>
    <w:p w14:paraId="779D6A9D" w14:textId="77777777" w:rsidR="009755C1" w:rsidRPr="00B27A96" w:rsidRDefault="009755C1" w:rsidP="009755C1">
      <w:pPr>
        <w:spacing w:after="0" w:line="240" w:lineRule="auto"/>
        <w:ind w:left="567"/>
        <w:rPr>
          <w:rFonts w:ascii="Arial" w:eastAsia="Times New Roman" w:hAnsi="Arial" w:cs="Arial"/>
          <w:sz w:val="20"/>
          <w:szCs w:val="20"/>
          <w:lang w:eastAsia="pt-BR"/>
        </w:rPr>
      </w:pPr>
      <w:r w:rsidRPr="00B27A96">
        <w:rPr>
          <w:rFonts w:ascii="Arial" w:eastAsia="Times New Roman" w:hAnsi="Arial" w:cs="Arial"/>
          <w:sz w:val="20"/>
          <w:szCs w:val="20"/>
          <w:lang w:eastAsia="pt-BR"/>
        </w:rPr>
        <w:t>&lt;/ProjecaoAtuarialRPPSInformacao&gt;</w:t>
      </w:r>
    </w:p>
    <w:p w14:paraId="6D0FEDD0" w14:textId="77777777" w:rsidR="009755C1" w:rsidRPr="00B27A96" w:rsidRDefault="009755C1" w:rsidP="009755C1">
      <w:pPr>
        <w:spacing w:after="0" w:line="240" w:lineRule="auto"/>
        <w:ind w:left="567"/>
        <w:rPr>
          <w:rFonts w:ascii="Arial" w:eastAsia="Times New Roman" w:hAnsi="Arial" w:cs="Arial"/>
          <w:sz w:val="20"/>
          <w:szCs w:val="20"/>
          <w:lang w:eastAsia="pt-BR"/>
        </w:rPr>
      </w:pPr>
    </w:p>
    <w:p w14:paraId="17232A3E" w14:textId="7F04372D" w:rsidR="009755C1" w:rsidRPr="00B27A96" w:rsidRDefault="009755C1" w:rsidP="009755C1">
      <w:pPr>
        <w:spacing w:after="0" w:line="240" w:lineRule="auto"/>
        <w:ind w:left="284"/>
        <w:rPr>
          <w:rFonts w:ascii="Arial" w:eastAsia="Times New Roman" w:hAnsi="Arial" w:cs="Arial"/>
          <w:sz w:val="20"/>
          <w:szCs w:val="20"/>
          <w:lang w:eastAsia="pt-BR"/>
        </w:rPr>
      </w:pPr>
      <w:r w:rsidRPr="00B27A96">
        <w:rPr>
          <w:rFonts w:ascii="Arial" w:eastAsia="Times New Roman" w:hAnsi="Arial" w:cs="Arial"/>
          <w:sz w:val="20"/>
          <w:szCs w:val="20"/>
          <w:lang w:eastAsia="pt-BR"/>
        </w:rPr>
        <w:t>&lt;/ProjecaoAtuarialRPPS_Schema&gt;</w:t>
      </w:r>
    </w:p>
    <w:p w14:paraId="3B1852BB" w14:textId="77777777" w:rsidR="009755C1" w:rsidRPr="00B27A96" w:rsidRDefault="009755C1" w:rsidP="009755C1">
      <w:pPr>
        <w:spacing w:after="0" w:line="240" w:lineRule="auto"/>
        <w:rPr>
          <w:rFonts w:ascii="Arial" w:eastAsia="Times New Roman" w:hAnsi="Arial" w:cs="Arial"/>
          <w:sz w:val="20"/>
          <w:szCs w:val="20"/>
          <w:lang w:eastAsia="pt-BR"/>
        </w:rPr>
      </w:pPr>
      <w:r w:rsidRPr="00B27A96">
        <w:rPr>
          <w:rFonts w:ascii="Arial" w:eastAsia="Times New Roman" w:hAnsi="Arial" w:cs="Arial"/>
          <w:sz w:val="20"/>
          <w:szCs w:val="20"/>
          <w:lang w:eastAsia="pt-BR"/>
        </w:rPr>
        <w:t>&lt;/PrestacaoContasAnual&gt;</w:t>
      </w:r>
    </w:p>
    <w:p w14:paraId="2F2AB157" w14:textId="77777777" w:rsidR="009755C1" w:rsidRPr="00B27A96" w:rsidRDefault="009755C1" w:rsidP="009755C1">
      <w:pPr>
        <w:spacing w:after="0" w:line="240" w:lineRule="auto"/>
        <w:ind w:right="600"/>
        <w:rPr>
          <w:rFonts w:ascii="Arial" w:eastAsia="Calibri" w:hAnsi="Arial" w:cs="Arial"/>
          <w:sz w:val="20"/>
          <w:szCs w:val="20"/>
          <w:lang w:eastAsia="pt-BR"/>
        </w:rPr>
      </w:pPr>
    </w:p>
    <w:p w14:paraId="13E2358B" w14:textId="77777777" w:rsidR="009755C1" w:rsidRPr="009755C1" w:rsidRDefault="009755C1" w:rsidP="009755C1">
      <w:pPr>
        <w:spacing w:after="0" w:line="240" w:lineRule="auto"/>
        <w:ind w:right="600"/>
        <w:rPr>
          <w:rFonts w:ascii="Arial" w:eastAsia="Calibri" w:hAnsi="Arial" w:cs="Arial"/>
          <w:sz w:val="20"/>
          <w:szCs w:val="20"/>
          <w:lang w:eastAsia="pt-BR"/>
        </w:rPr>
      </w:pPr>
    </w:p>
    <w:tbl>
      <w:tblPr>
        <w:tblW w:w="8435" w:type="dxa"/>
        <w:tblInd w:w="60" w:type="dxa"/>
        <w:tblLayout w:type="fixed"/>
        <w:tblCellMar>
          <w:left w:w="70" w:type="dxa"/>
          <w:right w:w="70" w:type="dxa"/>
        </w:tblCellMar>
        <w:tblLook w:val="04A0" w:firstRow="1" w:lastRow="0" w:firstColumn="1" w:lastColumn="0" w:noHBand="0" w:noVBand="1"/>
      </w:tblPr>
      <w:tblGrid>
        <w:gridCol w:w="3272"/>
        <w:gridCol w:w="1276"/>
        <w:gridCol w:w="1276"/>
        <w:gridCol w:w="2611"/>
      </w:tblGrid>
      <w:tr w:rsidR="00B27A96" w:rsidRPr="00B27A96" w14:paraId="7BFC4C2E" w14:textId="77777777" w:rsidTr="00FA6132">
        <w:trPr>
          <w:trHeight w:val="315"/>
        </w:trPr>
        <w:tc>
          <w:tcPr>
            <w:tcW w:w="3272" w:type="dxa"/>
            <w:tcBorders>
              <w:top w:val="single" w:sz="8" w:space="0" w:color="auto"/>
              <w:left w:val="single" w:sz="8" w:space="0" w:color="auto"/>
              <w:bottom w:val="single" w:sz="8" w:space="0" w:color="auto"/>
              <w:right w:val="single" w:sz="8" w:space="0" w:color="auto"/>
            </w:tcBorders>
            <w:shd w:val="clear" w:color="000000" w:fill="C0C0C0"/>
            <w:vAlign w:val="center"/>
            <w:hideMark/>
          </w:tcPr>
          <w:p w14:paraId="682CCE4A" w14:textId="77777777" w:rsidR="009755C1" w:rsidRPr="00B27A96" w:rsidRDefault="009755C1" w:rsidP="00FA6132">
            <w:pPr>
              <w:spacing w:after="160" w:line="240" w:lineRule="auto"/>
              <w:jc w:val="center"/>
              <w:rPr>
                <w:rFonts w:ascii="Arial" w:eastAsia="Times New Roman" w:hAnsi="Arial" w:cs="Arial"/>
                <w:b/>
                <w:bCs/>
                <w:sz w:val="20"/>
                <w:szCs w:val="20"/>
                <w:lang w:eastAsia="pt-BR"/>
              </w:rPr>
            </w:pPr>
            <w:r w:rsidRPr="00B27A96">
              <w:rPr>
                <w:rFonts w:ascii="Arial" w:eastAsia="Times New Roman" w:hAnsi="Arial" w:cs="Arial"/>
                <w:b/>
                <w:bCs/>
                <w:sz w:val="20"/>
                <w:szCs w:val="20"/>
                <w:lang w:eastAsia="pt-BR"/>
              </w:rPr>
              <w:t>Campo</w:t>
            </w:r>
          </w:p>
        </w:tc>
        <w:tc>
          <w:tcPr>
            <w:tcW w:w="1276" w:type="dxa"/>
            <w:tcBorders>
              <w:top w:val="single" w:sz="8" w:space="0" w:color="auto"/>
              <w:left w:val="nil"/>
              <w:bottom w:val="single" w:sz="8" w:space="0" w:color="auto"/>
              <w:right w:val="single" w:sz="8" w:space="0" w:color="auto"/>
            </w:tcBorders>
            <w:shd w:val="clear" w:color="000000" w:fill="C0C0C0"/>
            <w:vAlign w:val="center"/>
            <w:hideMark/>
          </w:tcPr>
          <w:p w14:paraId="19F2E0F3" w14:textId="77777777" w:rsidR="009755C1" w:rsidRPr="00B27A96" w:rsidRDefault="009755C1" w:rsidP="00FA6132">
            <w:pPr>
              <w:spacing w:after="160" w:line="240" w:lineRule="auto"/>
              <w:jc w:val="center"/>
              <w:rPr>
                <w:rFonts w:ascii="Arial" w:eastAsia="Times New Roman" w:hAnsi="Arial" w:cs="Arial"/>
                <w:b/>
                <w:bCs/>
                <w:sz w:val="20"/>
                <w:szCs w:val="20"/>
                <w:lang w:eastAsia="pt-BR"/>
              </w:rPr>
            </w:pPr>
            <w:r w:rsidRPr="00B27A96">
              <w:rPr>
                <w:rFonts w:ascii="Arial" w:eastAsia="Times New Roman" w:hAnsi="Arial" w:cs="Arial"/>
                <w:b/>
                <w:bCs/>
                <w:sz w:val="20"/>
                <w:szCs w:val="20"/>
                <w:lang w:eastAsia="pt-BR"/>
              </w:rPr>
              <w:t>Tipo</w:t>
            </w:r>
          </w:p>
        </w:tc>
        <w:tc>
          <w:tcPr>
            <w:tcW w:w="1276" w:type="dxa"/>
            <w:tcBorders>
              <w:top w:val="single" w:sz="8" w:space="0" w:color="auto"/>
              <w:left w:val="nil"/>
              <w:bottom w:val="single" w:sz="8" w:space="0" w:color="auto"/>
              <w:right w:val="single" w:sz="8" w:space="0" w:color="auto"/>
            </w:tcBorders>
            <w:shd w:val="clear" w:color="000000" w:fill="C0C0C0"/>
            <w:vAlign w:val="center"/>
            <w:hideMark/>
          </w:tcPr>
          <w:p w14:paraId="15AC8B9E" w14:textId="77777777" w:rsidR="009755C1" w:rsidRPr="00B27A96" w:rsidRDefault="009755C1" w:rsidP="00FA6132">
            <w:pPr>
              <w:spacing w:after="160" w:line="240" w:lineRule="auto"/>
              <w:jc w:val="center"/>
              <w:rPr>
                <w:rFonts w:ascii="Arial" w:eastAsia="Times New Roman" w:hAnsi="Arial" w:cs="Arial"/>
                <w:b/>
                <w:bCs/>
                <w:sz w:val="20"/>
                <w:szCs w:val="20"/>
                <w:lang w:eastAsia="pt-BR"/>
              </w:rPr>
            </w:pPr>
            <w:r w:rsidRPr="00B27A96">
              <w:rPr>
                <w:rFonts w:ascii="Arial" w:eastAsia="Times New Roman" w:hAnsi="Arial" w:cs="Arial"/>
                <w:b/>
                <w:bCs/>
                <w:sz w:val="20"/>
                <w:szCs w:val="20"/>
                <w:lang w:eastAsia="pt-BR"/>
              </w:rPr>
              <w:t>Tamanho</w:t>
            </w:r>
          </w:p>
        </w:tc>
        <w:tc>
          <w:tcPr>
            <w:tcW w:w="2611" w:type="dxa"/>
            <w:tcBorders>
              <w:top w:val="single" w:sz="8" w:space="0" w:color="auto"/>
              <w:left w:val="nil"/>
              <w:bottom w:val="single" w:sz="8" w:space="0" w:color="auto"/>
              <w:right w:val="single" w:sz="8" w:space="0" w:color="auto"/>
            </w:tcBorders>
            <w:shd w:val="clear" w:color="000000" w:fill="C0C0C0"/>
            <w:vAlign w:val="center"/>
            <w:hideMark/>
          </w:tcPr>
          <w:p w14:paraId="1774EEDD" w14:textId="77777777" w:rsidR="009755C1" w:rsidRPr="00B27A96" w:rsidRDefault="009755C1" w:rsidP="00FA6132">
            <w:pPr>
              <w:spacing w:after="160" w:line="240" w:lineRule="auto"/>
              <w:jc w:val="center"/>
              <w:rPr>
                <w:rFonts w:ascii="Arial" w:eastAsia="Times New Roman" w:hAnsi="Arial" w:cs="Arial"/>
                <w:b/>
                <w:bCs/>
                <w:sz w:val="20"/>
                <w:szCs w:val="20"/>
                <w:lang w:eastAsia="pt-BR"/>
              </w:rPr>
            </w:pPr>
            <w:r w:rsidRPr="00B27A96">
              <w:rPr>
                <w:rFonts w:ascii="Arial" w:eastAsia="Times New Roman" w:hAnsi="Arial" w:cs="Arial"/>
                <w:b/>
                <w:bCs/>
                <w:sz w:val="20"/>
                <w:szCs w:val="20"/>
                <w:lang w:eastAsia="pt-BR"/>
              </w:rPr>
              <w:t>Obrigatoriedade</w:t>
            </w:r>
          </w:p>
        </w:tc>
      </w:tr>
      <w:tr w:rsidR="00B27A96" w:rsidRPr="00B27A96" w14:paraId="339B439B" w14:textId="77777777" w:rsidTr="00FA6132">
        <w:trPr>
          <w:trHeight w:val="315"/>
        </w:trPr>
        <w:tc>
          <w:tcPr>
            <w:tcW w:w="8435" w:type="dxa"/>
            <w:gridSpan w:val="4"/>
            <w:tcBorders>
              <w:top w:val="single" w:sz="8" w:space="0" w:color="auto"/>
              <w:left w:val="single" w:sz="8" w:space="0" w:color="auto"/>
              <w:bottom w:val="single" w:sz="8" w:space="0" w:color="auto"/>
              <w:right w:val="single" w:sz="8" w:space="0" w:color="000000"/>
            </w:tcBorders>
            <w:shd w:val="clear" w:color="000000" w:fill="BFBFBF"/>
            <w:vAlign w:val="center"/>
            <w:hideMark/>
          </w:tcPr>
          <w:p w14:paraId="19036DE2" w14:textId="77777777" w:rsidR="009755C1" w:rsidRPr="00B27A96" w:rsidRDefault="009755C1" w:rsidP="00FA6132">
            <w:pPr>
              <w:spacing w:after="160" w:line="240" w:lineRule="auto"/>
              <w:jc w:val="center"/>
              <w:rPr>
                <w:rFonts w:ascii="Arial" w:eastAsia="Times New Roman" w:hAnsi="Arial" w:cs="Arial"/>
                <w:b/>
                <w:bCs/>
                <w:sz w:val="20"/>
                <w:szCs w:val="20"/>
                <w:lang w:eastAsia="pt-BR"/>
              </w:rPr>
            </w:pPr>
            <w:r w:rsidRPr="00B27A96">
              <w:rPr>
                <w:rFonts w:ascii="Arial" w:eastAsia="Times New Roman" w:hAnsi="Arial" w:cs="Arial"/>
                <w:b/>
                <w:bCs/>
                <w:sz w:val="20"/>
                <w:szCs w:val="20"/>
                <w:lang w:eastAsia="pt-BR"/>
              </w:rPr>
              <w:t>Estrutura ‘ProjecaoAtuarialRPPS’</w:t>
            </w:r>
          </w:p>
        </w:tc>
      </w:tr>
      <w:tr w:rsidR="00B27A96" w:rsidRPr="00B27A96" w14:paraId="11501A84" w14:textId="77777777" w:rsidTr="00FA6132">
        <w:trPr>
          <w:trHeight w:val="315"/>
        </w:trPr>
        <w:tc>
          <w:tcPr>
            <w:tcW w:w="3272" w:type="dxa"/>
            <w:tcBorders>
              <w:top w:val="nil"/>
              <w:left w:val="single" w:sz="8" w:space="0" w:color="auto"/>
              <w:bottom w:val="single" w:sz="8" w:space="0" w:color="auto"/>
              <w:right w:val="single" w:sz="8" w:space="0" w:color="auto"/>
            </w:tcBorders>
            <w:shd w:val="clear" w:color="auto" w:fill="auto"/>
            <w:vAlign w:val="center"/>
            <w:hideMark/>
          </w:tcPr>
          <w:p w14:paraId="667D563E" w14:textId="77777777" w:rsidR="009755C1" w:rsidRPr="00B27A96" w:rsidRDefault="009755C1" w:rsidP="00FA6132">
            <w:pPr>
              <w:spacing w:after="160" w:line="240" w:lineRule="auto"/>
              <w:rPr>
                <w:rFonts w:ascii="Arial" w:eastAsia="Times New Roman" w:hAnsi="Arial" w:cs="Arial"/>
                <w:sz w:val="20"/>
                <w:szCs w:val="20"/>
                <w:lang w:eastAsia="pt-BR"/>
              </w:rPr>
            </w:pPr>
            <w:r w:rsidRPr="00B27A96">
              <w:rPr>
                <w:rFonts w:ascii="Arial" w:eastAsia="Times New Roman" w:hAnsi="Arial" w:cs="Arial"/>
                <w:sz w:val="20"/>
                <w:szCs w:val="20"/>
                <w:lang w:eastAsia="pt-BR"/>
              </w:rPr>
              <w:t>Identificação do Número do Registro</w:t>
            </w:r>
          </w:p>
        </w:tc>
        <w:tc>
          <w:tcPr>
            <w:tcW w:w="1276" w:type="dxa"/>
            <w:tcBorders>
              <w:top w:val="nil"/>
              <w:left w:val="nil"/>
              <w:bottom w:val="single" w:sz="8" w:space="0" w:color="auto"/>
              <w:right w:val="single" w:sz="8" w:space="0" w:color="auto"/>
            </w:tcBorders>
            <w:shd w:val="clear" w:color="auto" w:fill="auto"/>
            <w:vAlign w:val="center"/>
            <w:hideMark/>
          </w:tcPr>
          <w:p w14:paraId="7162668E" w14:textId="77777777" w:rsidR="009755C1" w:rsidRPr="00B27A96" w:rsidRDefault="009755C1" w:rsidP="00FA6132">
            <w:pPr>
              <w:spacing w:after="160" w:line="240" w:lineRule="auto"/>
              <w:jc w:val="center"/>
              <w:rPr>
                <w:rFonts w:ascii="Arial" w:eastAsia="Times New Roman" w:hAnsi="Arial" w:cs="Arial"/>
                <w:sz w:val="20"/>
                <w:szCs w:val="20"/>
                <w:lang w:eastAsia="pt-BR"/>
              </w:rPr>
            </w:pPr>
            <w:r w:rsidRPr="00B27A96">
              <w:rPr>
                <w:rFonts w:ascii="Arial" w:eastAsia="Times New Roman" w:hAnsi="Arial" w:cs="Arial"/>
                <w:sz w:val="20"/>
                <w:szCs w:val="20"/>
                <w:lang w:eastAsia="pt-BR"/>
              </w:rPr>
              <w:t>Inteiro</w:t>
            </w:r>
          </w:p>
        </w:tc>
        <w:tc>
          <w:tcPr>
            <w:tcW w:w="1276" w:type="dxa"/>
            <w:tcBorders>
              <w:top w:val="nil"/>
              <w:left w:val="nil"/>
              <w:bottom w:val="single" w:sz="8" w:space="0" w:color="auto"/>
              <w:right w:val="single" w:sz="8" w:space="0" w:color="auto"/>
            </w:tcBorders>
            <w:shd w:val="clear" w:color="auto" w:fill="auto"/>
            <w:vAlign w:val="center"/>
            <w:hideMark/>
          </w:tcPr>
          <w:p w14:paraId="67055436" w14:textId="77777777" w:rsidR="009755C1" w:rsidRPr="00B27A96" w:rsidRDefault="009755C1" w:rsidP="00FA6132">
            <w:pPr>
              <w:spacing w:after="160" w:line="240" w:lineRule="auto"/>
              <w:jc w:val="center"/>
              <w:rPr>
                <w:rFonts w:ascii="Arial" w:eastAsia="Times New Roman" w:hAnsi="Arial" w:cs="Arial"/>
                <w:sz w:val="20"/>
                <w:szCs w:val="20"/>
                <w:lang w:eastAsia="pt-BR"/>
              </w:rPr>
            </w:pPr>
            <w:r w:rsidRPr="00B27A96">
              <w:rPr>
                <w:rFonts w:ascii="Arial" w:eastAsia="Times New Roman" w:hAnsi="Arial" w:cs="Arial"/>
                <w:sz w:val="20"/>
                <w:szCs w:val="20"/>
                <w:lang w:eastAsia="pt-BR"/>
              </w:rPr>
              <w:t>5</w:t>
            </w:r>
          </w:p>
        </w:tc>
        <w:tc>
          <w:tcPr>
            <w:tcW w:w="2611" w:type="dxa"/>
            <w:tcBorders>
              <w:top w:val="nil"/>
              <w:left w:val="nil"/>
              <w:bottom w:val="single" w:sz="8" w:space="0" w:color="auto"/>
              <w:right w:val="single" w:sz="8" w:space="0" w:color="auto"/>
            </w:tcBorders>
            <w:shd w:val="clear" w:color="auto" w:fill="auto"/>
            <w:vAlign w:val="center"/>
            <w:hideMark/>
          </w:tcPr>
          <w:p w14:paraId="527C9AEB" w14:textId="77777777" w:rsidR="009755C1" w:rsidRPr="00B27A96" w:rsidRDefault="009755C1" w:rsidP="00FA6132">
            <w:pPr>
              <w:spacing w:after="160" w:line="240" w:lineRule="auto"/>
              <w:rPr>
                <w:rFonts w:ascii="Arial" w:eastAsia="Times New Roman" w:hAnsi="Arial" w:cs="Arial"/>
                <w:sz w:val="20"/>
                <w:szCs w:val="20"/>
                <w:lang w:eastAsia="pt-BR"/>
              </w:rPr>
            </w:pPr>
            <w:r w:rsidRPr="00B27A96">
              <w:rPr>
                <w:rFonts w:ascii="Arial" w:eastAsia="Times New Roman" w:hAnsi="Arial" w:cs="Arial"/>
                <w:sz w:val="20"/>
                <w:szCs w:val="20"/>
                <w:lang w:eastAsia="pt-BR"/>
              </w:rPr>
              <w:t>Obrigatório</w:t>
            </w:r>
          </w:p>
        </w:tc>
      </w:tr>
      <w:tr w:rsidR="00B27A96" w:rsidRPr="00B27A96" w14:paraId="7FBCBDC4" w14:textId="77777777" w:rsidTr="00FA6132">
        <w:trPr>
          <w:trHeight w:val="315"/>
        </w:trPr>
        <w:tc>
          <w:tcPr>
            <w:tcW w:w="3272" w:type="dxa"/>
            <w:tcBorders>
              <w:top w:val="nil"/>
              <w:left w:val="single" w:sz="8" w:space="0" w:color="auto"/>
              <w:bottom w:val="single" w:sz="8" w:space="0" w:color="auto"/>
              <w:right w:val="single" w:sz="8" w:space="0" w:color="auto"/>
            </w:tcBorders>
            <w:shd w:val="clear" w:color="auto" w:fill="auto"/>
            <w:vAlign w:val="center"/>
            <w:hideMark/>
          </w:tcPr>
          <w:p w14:paraId="4915F812" w14:textId="77777777" w:rsidR="009755C1" w:rsidRPr="00B27A96" w:rsidRDefault="009755C1" w:rsidP="00FA6132">
            <w:pPr>
              <w:spacing w:after="160" w:line="240" w:lineRule="auto"/>
              <w:rPr>
                <w:rFonts w:ascii="Arial" w:eastAsia="Times New Roman" w:hAnsi="Arial" w:cs="Arial"/>
                <w:sz w:val="20"/>
                <w:szCs w:val="20"/>
                <w:lang w:eastAsia="pt-BR"/>
              </w:rPr>
            </w:pPr>
            <w:r w:rsidRPr="00B27A96">
              <w:rPr>
                <w:rFonts w:ascii="Arial" w:eastAsia="Times New Roman" w:hAnsi="Arial" w:cs="Arial"/>
                <w:sz w:val="20"/>
                <w:szCs w:val="20"/>
                <w:lang w:eastAsia="pt-BR"/>
              </w:rPr>
              <w:t>Exercício</w:t>
            </w:r>
          </w:p>
        </w:tc>
        <w:tc>
          <w:tcPr>
            <w:tcW w:w="1276" w:type="dxa"/>
            <w:tcBorders>
              <w:top w:val="nil"/>
              <w:left w:val="nil"/>
              <w:bottom w:val="single" w:sz="8" w:space="0" w:color="auto"/>
              <w:right w:val="single" w:sz="8" w:space="0" w:color="auto"/>
            </w:tcBorders>
            <w:shd w:val="clear" w:color="auto" w:fill="auto"/>
            <w:vAlign w:val="center"/>
            <w:hideMark/>
          </w:tcPr>
          <w:p w14:paraId="6ADA9444" w14:textId="77777777" w:rsidR="009755C1" w:rsidRPr="00B27A96" w:rsidRDefault="009755C1" w:rsidP="00FA6132">
            <w:pPr>
              <w:spacing w:after="160" w:line="240" w:lineRule="auto"/>
              <w:jc w:val="center"/>
              <w:rPr>
                <w:rFonts w:ascii="Arial" w:eastAsia="Times New Roman" w:hAnsi="Arial" w:cs="Arial"/>
                <w:sz w:val="20"/>
                <w:szCs w:val="20"/>
                <w:lang w:eastAsia="pt-BR"/>
              </w:rPr>
            </w:pPr>
            <w:r w:rsidRPr="00B27A96">
              <w:rPr>
                <w:rFonts w:ascii="Arial" w:eastAsia="Times New Roman" w:hAnsi="Arial" w:cs="Arial"/>
                <w:sz w:val="20"/>
                <w:szCs w:val="20"/>
                <w:lang w:eastAsia="pt-BR"/>
              </w:rPr>
              <w:t>Inteiro</w:t>
            </w:r>
          </w:p>
        </w:tc>
        <w:tc>
          <w:tcPr>
            <w:tcW w:w="1276" w:type="dxa"/>
            <w:tcBorders>
              <w:top w:val="nil"/>
              <w:left w:val="nil"/>
              <w:bottom w:val="single" w:sz="8" w:space="0" w:color="auto"/>
              <w:right w:val="single" w:sz="8" w:space="0" w:color="auto"/>
            </w:tcBorders>
            <w:shd w:val="clear" w:color="auto" w:fill="auto"/>
            <w:vAlign w:val="center"/>
            <w:hideMark/>
          </w:tcPr>
          <w:p w14:paraId="5E76EAB7" w14:textId="77777777" w:rsidR="009755C1" w:rsidRPr="00B27A96" w:rsidRDefault="009755C1" w:rsidP="00FA6132">
            <w:pPr>
              <w:spacing w:after="160" w:line="240" w:lineRule="auto"/>
              <w:jc w:val="center"/>
              <w:rPr>
                <w:rFonts w:ascii="Arial" w:eastAsia="Times New Roman" w:hAnsi="Arial" w:cs="Arial"/>
                <w:sz w:val="20"/>
                <w:szCs w:val="20"/>
                <w:lang w:eastAsia="pt-BR"/>
              </w:rPr>
            </w:pPr>
            <w:r w:rsidRPr="00B27A96">
              <w:rPr>
                <w:rFonts w:ascii="Arial" w:eastAsia="Times New Roman" w:hAnsi="Arial" w:cs="Arial"/>
                <w:sz w:val="20"/>
                <w:szCs w:val="20"/>
                <w:lang w:eastAsia="pt-BR"/>
              </w:rPr>
              <w:t>4</w:t>
            </w:r>
          </w:p>
        </w:tc>
        <w:tc>
          <w:tcPr>
            <w:tcW w:w="2611" w:type="dxa"/>
            <w:tcBorders>
              <w:top w:val="nil"/>
              <w:left w:val="nil"/>
              <w:bottom w:val="single" w:sz="8" w:space="0" w:color="auto"/>
              <w:right w:val="single" w:sz="8" w:space="0" w:color="auto"/>
            </w:tcBorders>
            <w:shd w:val="clear" w:color="auto" w:fill="auto"/>
            <w:vAlign w:val="center"/>
            <w:hideMark/>
          </w:tcPr>
          <w:p w14:paraId="13174B9F" w14:textId="77777777" w:rsidR="009755C1" w:rsidRPr="00B27A96" w:rsidRDefault="009755C1" w:rsidP="00FA6132">
            <w:pPr>
              <w:spacing w:after="160" w:line="240" w:lineRule="auto"/>
              <w:rPr>
                <w:rFonts w:ascii="Arial" w:eastAsia="Times New Roman" w:hAnsi="Arial" w:cs="Arial"/>
                <w:sz w:val="20"/>
                <w:szCs w:val="20"/>
                <w:lang w:eastAsia="pt-BR"/>
              </w:rPr>
            </w:pPr>
            <w:r w:rsidRPr="00B27A96">
              <w:rPr>
                <w:rFonts w:ascii="Arial" w:eastAsia="Times New Roman" w:hAnsi="Arial" w:cs="Arial"/>
                <w:sz w:val="20"/>
                <w:szCs w:val="20"/>
                <w:lang w:eastAsia="pt-BR"/>
              </w:rPr>
              <w:t>Obrigatório</w:t>
            </w:r>
          </w:p>
        </w:tc>
      </w:tr>
      <w:tr w:rsidR="00B27A96" w:rsidRPr="00B27A96" w14:paraId="5B2197EC" w14:textId="77777777" w:rsidTr="00FA6132">
        <w:trPr>
          <w:trHeight w:val="315"/>
        </w:trPr>
        <w:tc>
          <w:tcPr>
            <w:tcW w:w="3272" w:type="dxa"/>
            <w:tcBorders>
              <w:top w:val="nil"/>
              <w:left w:val="single" w:sz="8" w:space="0" w:color="auto"/>
              <w:bottom w:val="single" w:sz="8" w:space="0" w:color="auto"/>
              <w:right w:val="single" w:sz="8" w:space="0" w:color="auto"/>
            </w:tcBorders>
            <w:shd w:val="clear" w:color="auto" w:fill="auto"/>
            <w:vAlign w:val="center"/>
          </w:tcPr>
          <w:p w14:paraId="0774408A" w14:textId="12260D0E" w:rsidR="00B27A96" w:rsidRPr="00B27A96" w:rsidRDefault="00B27A96" w:rsidP="00B27A96">
            <w:pPr>
              <w:spacing w:after="160" w:line="240" w:lineRule="auto"/>
              <w:rPr>
                <w:rFonts w:ascii="Arial" w:eastAsia="Times New Roman" w:hAnsi="Arial" w:cs="Arial"/>
                <w:sz w:val="20"/>
                <w:szCs w:val="20"/>
                <w:lang w:eastAsia="pt-BR"/>
              </w:rPr>
            </w:pPr>
            <w:r w:rsidRPr="00B27A96">
              <w:rPr>
                <w:rFonts w:ascii="Arial" w:eastAsia="Times New Roman" w:hAnsi="Arial" w:cs="Arial"/>
                <w:sz w:val="20"/>
                <w:szCs w:val="20"/>
                <w:lang w:eastAsia="pt-BR"/>
              </w:rPr>
              <w:t>Plano</w:t>
            </w:r>
          </w:p>
        </w:tc>
        <w:tc>
          <w:tcPr>
            <w:tcW w:w="1276" w:type="dxa"/>
            <w:tcBorders>
              <w:top w:val="nil"/>
              <w:left w:val="nil"/>
              <w:bottom w:val="single" w:sz="8" w:space="0" w:color="auto"/>
              <w:right w:val="single" w:sz="8" w:space="0" w:color="auto"/>
            </w:tcBorders>
            <w:shd w:val="clear" w:color="auto" w:fill="auto"/>
            <w:vAlign w:val="center"/>
          </w:tcPr>
          <w:p w14:paraId="11DCA91B" w14:textId="58CF9FB6" w:rsidR="00B27A96" w:rsidRPr="00B27A96" w:rsidRDefault="00B27A96" w:rsidP="00B27A96">
            <w:pPr>
              <w:spacing w:after="160" w:line="240" w:lineRule="auto"/>
              <w:jc w:val="center"/>
              <w:rPr>
                <w:rFonts w:ascii="Arial" w:eastAsia="Times New Roman" w:hAnsi="Arial" w:cs="Arial"/>
                <w:sz w:val="20"/>
                <w:szCs w:val="20"/>
                <w:lang w:eastAsia="pt-BR"/>
              </w:rPr>
            </w:pPr>
            <w:r w:rsidRPr="00B27A96">
              <w:rPr>
                <w:rFonts w:ascii="Arial" w:eastAsia="Times New Roman" w:hAnsi="Arial" w:cs="Arial"/>
                <w:sz w:val="20"/>
                <w:szCs w:val="20"/>
                <w:lang w:eastAsia="pt-BR"/>
              </w:rPr>
              <w:t>Inteiro</w:t>
            </w:r>
          </w:p>
        </w:tc>
        <w:tc>
          <w:tcPr>
            <w:tcW w:w="1276" w:type="dxa"/>
            <w:tcBorders>
              <w:top w:val="nil"/>
              <w:left w:val="nil"/>
              <w:bottom w:val="single" w:sz="8" w:space="0" w:color="auto"/>
              <w:right w:val="single" w:sz="8" w:space="0" w:color="auto"/>
            </w:tcBorders>
            <w:shd w:val="clear" w:color="auto" w:fill="auto"/>
            <w:vAlign w:val="center"/>
          </w:tcPr>
          <w:p w14:paraId="59502269" w14:textId="302EE9DA" w:rsidR="00B27A96" w:rsidRPr="00B27A96" w:rsidRDefault="00B27A96" w:rsidP="00B27A96">
            <w:pPr>
              <w:spacing w:after="160" w:line="240" w:lineRule="auto"/>
              <w:jc w:val="center"/>
              <w:rPr>
                <w:rFonts w:ascii="Arial" w:eastAsia="Times New Roman" w:hAnsi="Arial" w:cs="Arial"/>
                <w:sz w:val="20"/>
                <w:szCs w:val="20"/>
                <w:lang w:eastAsia="pt-BR"/>
              </w:rPr>
            </w:pPr>
            <w:r w:rsidRPr="00B27A96">
              <w:rPr>
                <w:rFonts w:ascii="Arial" w:eastAsia="Times New Roman" w:hAnsi="Arial" w:cs="Arial"/>
                <w:sz w:val="20"/>
                <w:szCs w:val="20"/>
                <w:lang w:eastAsia="pt-BR"/>
              </w:rPr>
              <w:t>1</w:t>
            </w:r>
          </w:p>
        </w:tc>
        <w:tc>
          <w:tcPr>
            <w:tcW w:w="2611" w:type="dxa"/>
            <w:tcBorders>
              <w:top w:val="nil"/>
              <w:left w:val="nil"/>
              <w:bottom w:val="single" w:sz="8" w:space="0" w:color="auto"/>
              <w:right w:val="single" w:sz="8" w:space="0" w:color="auto"/>
            </w:tcBorders>
            <w:shd w:val="clear" w:color="auto" w:fill="auto"/>
            <w:vAlign w:val="center"/>
          </w:tcPr>
          <w:p w14:paraId="12CE16C8" w14:textId="77777777" w:rsidR="00B27A96" w:rsidRPr="00B27A96" w:rsidRDefault="00B27A96" w:rsidP="00B27A96">
            <w:pPr>
              <w:spacing w:line="240" w:lineRule="auto"/>
              <w:rPr>
                <w:rFonts w:ascii="Arial" w:eastAsia="Times New Roman" w:hAnsi="Arial" w:cs="Arial"/>
                <w:sz w:val="20"/>
                <w:szCs w:val="20"/>
                <w:lang w:eastAsia="pt-BR"/>
              </w:rPr>
            </w:pPr>
            <w:r w:rsidRPr="00B27A96">
              <w:rPr>
                <w:rFonts w:ascii="Arial" w:eastAsia="Times New Roman" w:hAnsi="Arial" w:cs="Arial"/>
                <w:sz w:val="20"/>
                <w:szCs w:val="20"/>
                <w:lang w:eastAsia="pt-BR"/>
              </w:rPr>
              <w:t>Obrigatório</w:t>
            </w:r>
          </w:p>
          <w:p w14:paraId="074CAE2F" w14:textId="77777777" w:rsidR="00B27A96" w:rsidRPr="00B27A96" w:rsidRDefault="00B27A96" w:rsidP="00B27A96">
            <w:pPr>
              <w:spacing w:line="240" w:lineRule="auto"/>
              <w:rPr>
                <w:rFonts w:ascii="Arial" w:eastAsia="Times New Roman" w:hAnsi="Arial" w:cs="Arial"/>
                <w:sz w:val="20"/>
                <w:szCs w:val="20"/>
                <w:lang w:eastAsia="pt-BR"/>
              </w:rPr>
            </w:pPr>
            <w:r w:rsidRPr="00B27A96">
              <w:rPr>
                <w:rFonts w:ascii="Arial" w:eastAsia="Times New Roman" w:hAnsi="Arial" w:cs="Arial"/>
                <w:sz w:val="20"/>
                <w:szCs w:val="20"/>
                <w:lang w:eastAsia="pt-BR"/>
              </w:rPr>
              <w:t>1 – Previdenciário</w:t>
            </w:r>
          </w:p>
          <w:p w14:paraId="7244F96C" w14:textId="23C2E50B" w:rsidR="00B27A96" w:rsidRPr="00B27A96" w:rsidRDefault="00B27A96" w:rsidP="00B27A96">
            <w:pPr>
              <w:spacing w:after="160" w:line="240" w:lineRule="auto"/>
              <w:rPr>
                <w:rFonts w:ascii="Arial" w:eastAsia="Times New Roman" w:hAnsi="Arial" w:cs="Arial"/>
                <w:sz w:val="20"/>
                <w:szCs w:val="20"/>
                <w:lang w:eastAsia="pt-BR"/>
              </w:rPr>
            </w:pPr>
            <w:r w:rsidRPr="00B27A96">
              <w:rPr>
                <w:rFonts w:ascii="Arial" w:eastAsia="Times New Roman" w:hAnsi="Arial" w:cs="Arial"/>
                <w:sz w:val="20"/>
                <w:szCs w:val="20"/>
                <w:lang w:eastAsia="pt-BR"/>
              </w:rPr>
              <w:t>2 – Financeiro</w:t>
            </w:r>
          </w:p>
        </w:tc>
      </w:tr>
      <w:tr w:rsidR="00B27A96" w:rsidRPr="00B27A96" w14:paraId="09530F42" w14:textId="77777777" w:rsidTr="00FA6132">
        <w:trPr>
          <w:trHeight w:val="315"/>
        </w:trPr>
        <w:tc>
          <w:tcPr>
            <w:tcW w:w="3272" w:type="dxa"/>
            <w:tcBorders>
              <w:top w:val="nil"/>
              <w:left w:val="single" w:sz="8" w:space="0" w:color="auto"/>
              <w:bottom w:val="single" w:sz="8" w:space="0" w:color="auto"/>
              <w:right w:val="single" w:sz="8" w:space="0" w:color="auto"/>
            </w:tcBorders>
            <w:shd w:val="clear" w:color="auto" w:fill="auto"/>
            <w:vAlign w:val="center"/>
            <w:hideMark/>
          </w:tcPr>
          <w:p w14:paraId="06C91273" w14:textId="77777777" w:rsidR="009755C1" w:rsidRPr="00B27A96" w:rsidRDefault="009755C1" w:rsidP="00FA6132">
            <w:pPr>
              <w:spacing w:after="160" w:line="240" w:lineRule="auto"/>
              <w:rPr>
                <w:rFonts w:ascii="Arial" w:eastAsia="Times New Roman" w:hAnsi="Arial" w:cs="Arial"/>
                <w:sz w:val="20"/>
                <w:szCs w:val="20"/>
                <w:lang w:eastAsia="pt-BR"/>
              </w:rPr>
            </w:pPr>
            <w:r w:rsidRPr="00B27A96">
              <w:rPr>
                <w:rFonts w:ascii="Arial" w:eastAsia="Times New Roman" w:hAnsi="Arial" w:cs="Arial"/>
                <w:sz w:val="20"/>
                <w:szCs w:val="20"/>
                <w:lang w:eastAsia="pt-BR"/>
              </w:rPr>
              <w:t>Receita Previdenciária do Exercício</w:t>
            </w:r>
          </w:p>
        </w:tc>
        <w:tc>
          <w:tcPr>
            <w:tcW w:w="1276" w:type="dxa"/>
            <w:tcBorders>
              <w:top w:val="nil"/>
              <w:left w:val="nil"/>
              <w:bottom w:val="single" w:sz="8" w:space="0" w:color="auto"/>
              <w:right w:val="single" w:sz="8" w:space="0" w:color="auto"/>
            </w:tcBorders>
            <w:shd w:val="clear" w:color="auto" w:fill="auto"/>
            <w:vAlign w:val="center"/>
            <w:hideMark/>
          </w:tcPr>
          <w:p w14:paraId="6AD57E32" w14:textId="77777777" w:rsidR="009755C1" w:rsidRPr="00B27A96" w:rsidRDefault="009755C1" w:rsidP="00FA6132">
            <w:pPr>
              <w:spacing w:after="160" w:line="240" w:lineRule="auto"/>
              <w:jc w:val="center"/>
              <w:rPr>
                <w:rFonts w:ascii="Arial" w:eastAsia="Times New Roman" w:hAnsi="Arial" w:cs="Arial"/>
                <w:sz w:val="20"/>
                <w:szCs w:val="20"/>
                <w:lang w:eastAsia="pt-BR"/>
              </w:rPr>
            </w:pPr>
            <w:r w:rsidRPr="00B27A96">
              <w:rPr>
                <w:rFonts w:ascii="Arial" w:eastAsia="Times New Roman" w:hAnsi="Arial" w:cs="Arial"/>
                <w:sz w:val="20"/>
                <w:szCs w:val="20"/>
                <w:lang w:eastAsia="pt-BR"/>
              </w:rPr>
              <w:t>Decimal</w:t>
            </w:r>
          </w:p>
        </w:tc>
        <w:tc>
          <w:tcPr>
            <w:tcW w:w="1276" w:type="dxa"/>
            <w:tcBorders>
              <w:top w:val="nil"/>
              <w:left w:val="nil"/>
              <w:bottom w:val="single" w:sz="8" w:space="0" w:color="auto"/>
              <w:right w:val="single" w:sz="8" w:space="0" w:color="auto"/>
            </w:tcBorders>
            <w:shd w:val="clear" w:color="auto" w:fill="auto"/>
            <w:vAlign w:val="center"/>
            <w:hideMark/>
          </w:tcPr>
          <w:p w14:paraId="1B573BC1" w14:textId="77777777" w:rsidR="009755C1" w:rsidRPr="00B27A96" w:rsidRDefault="009755C1" w:rsidP="00FA6132">
            <w:pPr>
              <w:spacing w:after="160" w:line="240" w:lineRule="auto"/>
              <w:jc w:val="center"/>
              <w:rPr>
                <w:rFonts w:ascii="Arial" w:eastAsia="Times New Roman" w:hAnsi="Arial" w:cs="Arial"/>
                <w:sz w:val="20"/>
                <w:szCs w:val="20"/>
                <w:lang w:eastAsia="pt-BR"/>
              </w:rPr>
            </w:pPr>
            <w:r w:rsidRPr="00B27A96">
              <w:rPr>
                <w:rFonts w:ascii="Arial" w:eastAsia="Times New Roman" w:hAnsi="Arial" w:cs="Arial"/>
                <w:sz w:val="20"/>
                <w:szCs w:val="20"/>
                <w:lang w:eastAsia="pt-BR"/>
              </w:rPr>
              <w:t>14,2</w:t>
            </w:r>
          </w:p>
        </w:tc>
        <w:tc>
          <w:tcPr>
            <w:tcW w:w="2611" w:type="dxa"/>
            <w:tcBorders>
              <w:top w:val="nil"/>
              <w:left w:val="nil"/>
              <w:bottom w:val="single" w:sz="8" w:space="0" w:color="auto"/>
              <w:right w:val="single" w:sz="8" w:space="0" w:color="auto"/>
            </w:tcBorders>
            <w:shd w:val="clear" w:color="auto" w:fill="auto"/>
            <w:vAlign w:val="center"/>
            <w:hideMark/>
          </w:tcPr>
          <w:p w14:paraId="7C9C0AB0" w14:textId="77777777" w:rsidR="009755C1" w:rsidRPr="00B27A96" w:rsidRDefault="009755C1" w:rsidP="00FA6132">
            <w:pPr>
              <w:spacing w:after="160" w:line="240" w:lineRule="auto"/>
              <w:rPr>
                <w:rFonts w:ascii="Arial" w:eastAsia="Times New Roman" w:hAnsi="Arial" w:cs="Arial"/>
                <w:sz w:val="20"/>
                <w:szCs w:val="20"/>
                <w:lang w:eastAsia="pt-BR"/>
              </w:rPr>
            </w:pPr>
            <w:r w:rsidRPr="00B27A96">
              <w:rPr>
                <w:rFonts w:ascii="Arial" w:eastAsia="Times New Roman" w:hAnsi="Arial" w:cs="Arial"/>
                <w:sz w:val="20"/>
                <w:szCs w:val="20"/>
                <w:lang w:eastAsia="pt-BR"/>
              </w:rPr>
              <w:t>Obrigatório</w:t>
            </w:r>
          </w:p>
        </w:tc>
      </w:tr>
      <w:tr w:rsidR="00B27A96" w:rsidRPr="00B27A96" w14:paraId="1868CBB3" w14:textId="77777777" w:rsidTr="00FA6132">
        <w:trPr>
          <w:trHeight w:val="315"/>
        </w:trPr>
        <w:tc>
          <w:tcPr>
            <w:tcW w:w="3272" w:type="dxa"/>
            <w:tcBorders>
              <w:top w:val="nil"/>
              <w:left w:val="single" w:sz="8" w:space="0" w:color="auto"/>
              <w:bottom w:val="single" w:sz="8" w:space="0" w:color="auto"/>
              <w:right w:val="single" w:sz="8" w:space="0" w:color="auto"/>
            </w:tcBorders>
            <w:shd w:val="clear" w:color="auto" w:fill="auto"/>
            <w:vAlign w:val="center"/>
            <w:hideMark/>
          </w:tcPr>
          <w:p w14:paraId="527CFA44" w14:textId="77777777" w:rsidR="009755C1" w:rsidRPr="00B27A96" w:rsidRDefault="009755C1" w:rsidP="00FA6132">
            <w:pPr>
              <w:spacing w:after="160" w:line="240" w:lineRule="auto"/>
              <w:rPr>
                <w:rFonts w:ascii="Arial" w:eastAsia="Times New Roman" w:hAnsi="Arial" w:cs="Arial"/>
                <w:sz w:val="20"/>
                <w:szCs w:val="20"/>
                <w:lang w:eastAsia="pt-BR"/>
              </w:rPr>
            </w:pPr>
            <w:r w:rsidRPr="00B27A96">
              <w:rPr>
                <w:rFonts w:ascii="Arial" w:eastAsia="Times New Roman" w:hAnsi="Arial" w:cs="Arial"/>
                <w:sz w:val="20"/>
                <w:szCs w:val="20"/>
                <w:lang w:eastAsia="pt-BR"/>
              </w:rPr>
              <w:t>Despesa Previdenciária do Exercício</w:t>
            </w:r>
          </w:p>
        </w:tc>
        <w:tc>
          <w:tcPr>
            <w:tcW w:w="1276" w:type="dxa"/>
            <w:tcBorders>
              <w:top w:val="nil"/>
              <w:left w:val="nil"/>
              <w:bottom w:val="single" w:sz="8" w:space="0" w:color="auto"/>
              <w:right w:val="single" w:sz="8" w:space="0" w:color="auto"/>
            </w:tcBorders>
            <w:shd w:val="clear" w:color="auto" w:fill="auto"/>
            <w:vAlign w:val="center"/>
            <w:hideMark/>
          </w:tcPr>
          <w:p w14:paraId="1F99F1C0" w14:textId="77777777" w:rsidR="009755C1" w:rsidRPr="00B27A96" w:rsidRDefault="009755C1" w:rsidP="00FA6132">
            <w:pPr>
              <w:spacing w:after="160" w:line="240" w:lineRule="auto"/>
              <w:jc w:val="center"/>
              <w:rPr>
                <w:rFonts w:ascii="Arial" w:eastAsia="Times New Roman" w:hAnsi="Arial" w:cs="Arial"/>
                <w:sz w:val="20"/>
                <w:szCs w:val="20"/>
                <w:lang w:eastAsia="pt-BR"/>
              </w:rPr>
            </w:pPr>
            <w:r w:rsidRPr="00B27A96">
              <w:rPr>
                <w:rFonts w:ascii="Arial" w:eastAsia="Times New Roman" w:hAnsi="Arial" w:cs="Arial"/>
                <w:sz w:val="20"/>
                <w:szCs w:val="20"/>
                <w:lang w:eastAsia="pt-BR"/>
              </w:rPr>
              <w:t>Decimal</w:t>
            </w:r>
          </w:p>
        </w:tc>
        <w:tc>
          <w:tcPr>
            <w:tcW w:w="1276" w:type="dxa"/>
            <w:tcBorders>
              <w:top w:val="nil"/>
              <w:left w:val="nil"/>
              <w:bottom w:val="single" w:sz="8" w:space="0" w:color="auto"/>
              <w:right w:val="single" w:sz="8" w:space="0" w:color="auto"/>
            </w:tcBorders>
            <w:shd w:val="clear" w:color="auto" w:fill="auto"/>
            <w:vAlign w:val="center"/>
            <w:hideMark/>
          </w:tcPr>
          <w:p w14:paraId="6FDC0D91" w14:textId="77777777" w:rsidR="009755C1" w:rsidRPr="00B27A96" w:rsidRDefault="009755C1" w:rsidP="00FA6132">
            <w:pPr>
              <w:spacing w:after="160" w:line="240" w:lineRule="auto"/>
              <w:jc w:val="center"/>
              <w:rPr>
                <w:rFonts w:ascii="Arial" w:eastAsia="Times New Roman" w:hAnsi="Arial" w:cs="Arial"/>
                <w:sz w:val="20"/>
                <w:szCs w:val="20"/>
                <w:lang w:eastAsia="pt-BR"/>
              </w:rPr>
            </w:pPr>
            <w:r w:rsidRPr="00B27A96">
              <w:rPr>
                <w:rFonts w:ascii="Arial" w:eastAsia="Times New Roman" w:hAnsi="Arial" w:cs="Arial"/>
                <w:sz w:val="20"/>
                <w:szCs w:val="20"/>
                <w:lang w:eastAsia="pt-BR"/>
              </w:rPr>
              <w:t>14,2</w:t>
            </w:r>
          </w:p>
        </w:tc>
        <w:tc>
          <w:tcPr>
            <w:tcW w:w="2611" w:type="dxa"/>
            <w:tcBorders>
              <w:top w:val="nil"/>
              <w:left w:val="nil"/>
              <w:bottom w:val="single" w:sz="8" w:space="0" w:color="auto"/>
              <w:right w:val="single" w:sz="8" w:space="0" w:color="auto"/>
            </w:tcBorders>
            <w:shd w:val="clear" w:color="auto" w:fill="auto"/>
            <w:vAlign w:val="center"/>
            <w:hideMark/>
          </w:tcPr>
          <w:p w14:paraId="68016411" w14:textId="77777777" w:rsidR="009755C1" w:rsidRPr="00B27A96" w:rsidRDefault="009755C1" w:rsidP="00FA6132">
            <w:pPr>
              <w:spacing w:after="160" w:line="240" w:lineRule="auto"/>
              <w:rPr>
                <w:rFonts w:ascii="Arial" w:eastAsia="Times New Roman" w:hAnsi="Arial" w:cs="Arial"/>
                <w:sz w:val="20"/>
                <w:szCs w:val="20"/>
                <w:lang w:eastAsia="pt-BR"/>
              </w:rPr>
            </w:pPr>
            <w:r w:rsidRPr="00B27A96">
              <w:rPr>
                <w:rFonts w:ascii="Arial" w:eastAsia="Times New Roman" w:hAnsi="Arial" w:cs="Arial"/>
                <w:sz w:val="20"/>
                <w:szCs w:val="20"/>
                <w:lang w:eastAsia="pt-BR"/>
              </w:rPr>
              <w:t>Obrigatório</w:t>
            </w:r>
          </w:p>
        </w:tc>
      </w:tr>
      <w:tr w:rsidR="00B27A96" w:rsidRPr="00B27A96" w14:paraId="0FE8C8A2" w14:textId="77777777" w:rsidTr="00FA6132">
        <w:trPr>
          <w:trHeight w:val="315"/>
        </w:trPr>
        <w:tc>
          <w:tcPr>
            <w:tcW w:w="3272" w:type="dxa"/>
            <w:tcBorders>
              <w:top w:val="nil"/>
              <w:left w:val="single" w:sz="8" w:space="0" w:color="auto"/>
              <w:bottom w:val="single" w:sz="8" w:space="0" w:color="auto"/>
              <w:right w:val="single" w:sz="8" w:space="0" w:color="auto"/>
            </w:tcBorders>
            <w:shd w:val="clear" w:color="auto" w:fill="auto"/>
            <w:vAlign w:val="center"/>
            <w:hideMark/>
          </w:tcPr>
          <w:p w14:paraId="075B5E9C" w14:textId="77777777" w:rsidR="009755C1" w:rsidRPr="00B27A96" w:rsidRDefault="009755C1" w:rsidP="00FA6132">
            <w:pPr>
              <w:spacing w:after="160" w:line="240" w:lineRule="auto"/>
              <w:rPr>
                <w:rFonts w:ascii="Arial" w:eastAsia="Times New Roman" w:hAnsi="Arial" w:cs="Arial"/>
                <w:sz w:val="20"/>
                <w:szCs w:val="20"/>
                <w:lang w:eastAsia="pt-BR"/>
              </w:rPr>
            </w:pPr>
            <w:r w:rsidRPr="00B27A96">
              <w:rPr>
                <w:rFonts w:ascii="Arial" w:eastAsia="Times New Roman" w:hAnsi="Arial" w:cs="Arial"/>
                <w:sz w:val="20"/>
                <w:szCs w:val="20"/>
                <w:lang w:eastAsia="pt-BR"/>
              </w:rPr>
              <w:t>Resultado Previdenciário do Exercício</w:t>
            </w:r>
          </w:p>
        </w:tc>
        <w:tc>
          <w:tcPr>
            <w:tcW w:w="1276" w:type="dxa"/>
            <w:tcBorders>
              <w:top w:val="nil"/>
              <w:left w:val="nil"/>
              <w:bottom w:val="single" w:sz="8" w:space="0" w:color="auto"/>
              <w:right w:val="single" w:sz="8" w:space="0" w:color="auto"/>
            </w:tcBorders>
            <w:shd w:val="clear" w:color="auto" w:fill="auto"/>
            <w:vAlign w:val="center"/>
            <w:hideMark/>
          </w:tcPr>
          <w:p w14:paraId="57492C36" w14:textId="77777777" w:rsidR="009755C1" w:rsidRPr="00B27A96" w:rsidRDefault="009755C1" w:rsidP="00FA6132">
            <w:pPr>
              <w:spacing w:after="160" w:line="240" w:lineRule="auto"/>
              <w:jc w:val="center"/>
              <w:rPr>
                <w:rFonts w:ascii="Arial" w:eastAsia="Times New Roman" w:hAnsi="Arial" w:cs="Arial"/>
                <w:sz w:val="20"/>
                <w:szCs w:val="20"/>
                <w:lang w:eastAsia="pt-BR"/>
              </w:rPr>
            </w:pPr>
            <w:r w:rsidRPr="00B27A96">
              <w:rPr>
                <w:rFonts w:ascii="Arial" w:eastAsia="Times New Roman" w:hAnsi="Arial" w:cs="Arial"/>
                <w:sz w:val="20"/>
                <w:szCs w:val="20"/>
                <w:lang w:eastAsia="pt-BR"/>
              </w:rPr>
              <w:t>Decimal</w:t>
            </w:r>
          </w:p>
        </w:tc>
        <w:tc>
          <w:tcPr>
            <w:tcW w:w="1276" w:type="dxa"/>
            <w:tcBorders>
              <w:top w:val="nil"/>
              <w:left w:val="nil"/>
              <w:bottom w:val="single" w:sz="8" w:space="0" w:color="auto"/>
              <w:right w:val="single" w:sz="8" w:space="0" w:color="auto"/>
            </w:tcBorders>
            <w:shd w:val="clear" w:color="auto" w:fill="auto"/>
            <w:vAlign w:val="center"/>
            <w:hideMark/>
          </w:tcPr>
          <w:p w14:paraId="2D31ED88" w14:textId="77777777" w:rsidR="009755C1" w:rsidRPr="00B27A96" w:rsidRDefault="009755C1" w:rsidP="00FA6132">
            <w:pPr>
              <w:spacing w:after="160" w:line="240" w:lineRule="auto"/>
              <w:jc w:val="center"/>
              <w:rPr>
                <w:rFonts w:ascii="Arial" w:eastAsia="Times New Roman" w:hAnsi="Arial" w:cs="Arial"/>
                <w:sz w:val="20"/>
                <w:szCs w:val="20"/>
                <w:lang w:eastAsia="pt-BR"/>
              </w:rPr>
            </w:pPr>
            <w:r w:rsidRPr="00B27A96">
              <w:rPr>
                <w:rFonts w:ascii="Arial" w:eastAsia="Times New Roman" w:hAnsi="Arial" w:cs="Arial"/>
                <w:sz w:val="20"/>
                <w:szCs w:val="20"/>
                <w:lang w:eastAsia="pt-BR"/>
              </w:rPr>
              <w:t>14,2</w:t>
            </w:r>
          </w:p>
        </w:tc>
        <w:tc>
          <w:tcPr>
            <w:tcW w:w="2611" w:type="dxa"/>
            <w:tcBorders>
              <w:top w:val="nil"/>
              <w:left w:val="nil"/>
              <w:bottom w:val="single" w:sz="8" w:space="0" w:color="auto"/>
              <w:right w:val="single" w:sz="8" w:space="0" w:color="auto"/>
            </w:tcBorders>
            <w:shd w:val="clear" w:color="auto" w:fill="auto"/>
            <w:vAlign w:val="center"/>
            <w:hideMark/>
          </w:tcPr>
          <w:p w14:paraId="6F72530B" w14:textId="77777777" w:rsidR="009755C1" w:rsidRPr="00B27A96" w:rsidRDefault="009755C1" w:rsidP="00FA6132">
            <w:pPr>
              <w:spacing w:after="160" w:line="240" w:lineRule="auto"/>
              <w:rPr>
                <w:rFonts w:ascii="Arial" w:eastAsia="Times New Roman" w:hAnsi="Arial" w:cs="Arial"/>
                <w:sz w:val="20"/>
                <w:szCs w:val="20"/>
                <w:lang w:eastAsia="pt-BR"/>
              </w:rPr>
            </w:pPr>
            <w:r w:rsidRPr="00B27A96">
              <w:rPr>
                <w:rFonts w:ascii="Arial" w:eastAsia="Times New Roman" w:hAnsi="Arial" w:cs="Arial"/>
                <w:sz w:val="20"/>
                <w:szCs w:val="20"/>
                <w:lang w:eastAsia="pt-BR"/>
              </w:rPr>
              <w:t>Obrigatório</w:t>
            </w:r>
          </w:p>
        </w:tc>
      </w:tr>
      <w:tr w:rsidR="00B27A96" w:rsidRPr="00B27A96" w14:paraId="23ADF273" w14:textId="77777777" w:rsidTr="00FA6132">
        <w:trPr>
          <w:trHeight w:val="315"/>
        </w:trPr>
        <w:tc>
          <w:tcPr>
            <w:tcW w:w="3272" w:type="dxa"/>
            <w:tcBorders>
              <w:top w:val="nil"/>
              <w:left w:val="single" w:sz="8" w:space="0" w:color="auto"/>
              <w:bottom w:val="single" w:sz="8" w:space="0" w:color="auto"/>
              <w:right w:val="single" w:sz="8" w:space="0" w:color="auto"/>
            </w:tcBorders>
            <w:shd w:val="clear" w:color="auto" w:fill="auto"/>
            <w:vAlign w:val="center"/>
            <w:hideMark/>
          </w:tcPr>
          <w:p w14:paraId="7065973C" w14:textId="77777777" w:rsidR="009755C1" w:rsidRPr="00B27A96" w:rsidRDefault="009755C1" w:rsidP="00FA6132">
            <w:pPr>
              <w:spacing w:after="160" w:line="240" w:lineRule="auto"/>
              <w:rPr>
                <w:rFonts w:ascii="Arial" w:eastAsia="Times New Roman" w:hAnsi="Arial" w:cs="Arial"/>
                <w:sz w:val="20"/>
                <w:szCs w:val="20"/>
                <w:lang w:eastAsia="pt-BR"/>
              </w:rPr>
            </w:pPr>
            <w:r w:rsidRPr="00B27A96">
              <w:rPr>
                <w:rFonts w:ascii="Arial" w:eastAsia="Times New Roman" w:hAnsi="Arial" w:cs="Arial"/>
                <w:sz w:val="20"/>
                <w:szCs w:val="20"/>
                <w:lang w:eastAsia="pt-BR"/>
              </w:rPr>
              <w:t>Saldo Financeiro do Exercício</w:t>
            </w:r>
          </w:p>
        </w:tc>
        <w:tc>
          <w:tcPr>
            <w:tcW w:w="1276" w:type="dxa"/>
            <w:tcBorders>
              <w:top w:val="nil"/>
              <w:left w:val="nil"/>
              <w:bottom w:val="single" w:sz="8" w:space="0" w:color="auto"/>
              <w:right w:val="single" w:sz="8" w:space="0" w:color="auto"/>
            </w:tcBorders>
            <w:shd w:val="clear" w:color="auto" w:fill="auto"/>
            <w:vAlign w:val="center"/>
            <w:hideMark/>
          </w:tcPr>
          <w:p w14:paraId="0467D555" w14:textId="77777777" w:rsidR="009755C1" w:rsidRPr="00B27A96" w:rsidRDefault="009755C1" w:rsidP="00FA6132">
            <w:pPr>
              <w:spacing w:after="160" w:line="240" w:lineRule="auto"/>
              <w:jc w:val="center"/>
              <w:rPr>
                <w:rFonts w:ascii="Arial" w:eastAsia="Times New Roman" w:hAnsi="Arial" w:cs="Arial"/>
                <w:sz w:val="20"/>
                <w:szCs w:val="20"/>
                <w:lang w:eastAsia="pt-BR"/>
              </w:rPr>
            </w:pPr>
            <w:r w:rsidRPr="00B27A96">
              <w:rPr>
                <w:rFonts w:ascii="Arial" w:eastAsia="Times New Roman" w:hAnsi="Arial" w:cs="Arial"/>
                <w:sz w:val="20"/>
                <w:szCs w:val="20"/>
                <w:lang w:eastAsia="pt-BR"/>
              </w:rPr>
              <w:t>Decimal</w:t>
            </w:r>
          </w:p>
        </w:tc>
        <w:tc>
          <w:tcPr>
            <w:tcW w:w="1276" w:type="dxa"/>
            <w:tcBorders>
              <w:top w:val="nil"/>
              <w:left w:val="nil"/>
              <w:bottom w:val="single" w:sz="8" w:space="0" w:color="auto"/>
              <w:right w:val="single" w:sz="8" w:space="0" w:color="auto"/>
            </w:tcBorders>
            <w:shd w:val="clear" w:color="auto" w:fill="auto"/>
            <w:vAlign w:val="center"/>
            <w:hideMark/>
          </w:tcPr>
          <w:p w14:paraId="1E6FCD29" w14:textId="77777777" w:rsidR="009755C1" w:rsidRPr="00B27A96" w:rsidRDefault="009755C1" w:rsidP="00FA6132">
            <w:pPr>
              <w:spacing w:after="160" w:line="240" w:lineRule="auto"/>
              <w:jc w:val="center"/>
              <w:rPr>
                <w:rFonts w:ascii="Arial" w:eastAsia="Times New Roman" w:hAnsi="Arial" w:cs="Arial"/>
                <w:sz w:val="20"/>
                <w:szCs w:val="20"/>
                <w:lang w:eastAsia="pt-BR"/>
              </w:rPr>
            </w:pPr>
            <w:r w:rsidRPr="00B27A96">
              <w:rPr>
                <w:rFonts w:ascii="Arial" w:eastAsia="Times New Roman" w:hAnsi="Arial" w:cs="Arial"/>
                <w:sz w:val="20"/>
                <w:szCs w:val="20"/>
                <w:lang w:eastAsia="pt-BR"/>
              </w:rPr>
              <w:t>14,2</w:t>
            </w:r>
          </w:p>
        </w:tc>
        <w:tc>
          <w:tcPr>
            <w:tcW w:w="2611" w:type="dxa"/>
            <w:tcBorders>
              <w:top w:val="nil"/>
              <w:left w:val="nil"/>
              <w:bottom w:val="single" w:sz="8" w:space="0" w:color="auto"/>
              <w:right w:val="single" w:sz="8" w:space="0" w:color="auto"/>
            </w:tcBorders>
            <w:shd w:val="clear" w:color="auto" w:fill="auto"/>
            <w:vAlign w:val="center"/>
            <w:hideMark/>
          </w:tcPr>
          <w:p w14:paraId="421E68F9" w14:textId="77777777" w:rsidR="009755C1" w:rsidRPr="00B27A96" w:rsidRDefault="009755C1" w:rsidP="00FA6132">
            <w:pPr>
              <w:spacing w:after="160" w:line="240" w:lineRule="auto"/>
              <w:rPr>
                <w:rFonts w:ascii="Arial" w:eastAsia="Times New Roman" w:hAnsi="Arial" w:cs="Arial"/>
                <w:sz w:val="20"/>
                <w:szCs w:val="20"/>
                <w:lang w:eastAsia="pt-BR"/>
              </w:rPr>
            </w:pPr>
            <w:r w:rsidRPr="00B27A96">
              <w:rPr>
                <w:rFonts w:ascii="Arial" w:eastAsia="Times New Roman" w:hAnsi="Arial" w:cs="Arial"/>
                <w:sz w:val="20"/>
                <w:szCs w:val="20"/>
                <w:lang w:eastAsia="pt-BR"/>
              </w:rPr>
              <w:t>Obrigatório</w:t>
            </w:r>
          </w:p>
        </w:tc>
      </w:tr>
      <w:tr w:rsidR="00B27A96" w:rsidRPr="00B27A96" w14:paraId="648ABA53" w14:textId="77777777" w:rsidTr="00FA6132">
        <w:trPr>
          <w:trHeight w:val="315"/>
        </w:trPr>
        <w:tc>
          <w:tcPr>
            <w:tcW w:w="8435" w:type="dxa"/>
            <w:gridSpan w:val="4"/>
            <w:tcBorders>
              <w:top w:val="single" w:sz="8" w:space="0" w:color="auto"/>
              <w:left w:val="single" w:sz="8" w:space="0" w:color="auto"/>
              <w:bottom w:val="single" w:sz="8" w:space="0" w:color="auto"/>
              <w:right w:val="single" w:sz="8" w:space="0" w:color="000000"/>
            </w:tcBorders>
            <w:shd w:val="clear" w:color="000000" w:fill="BFBFBF"/>
            <w:vAlign w:val="center"/>
            <w:hideMark/>
          </w:tcPr>
          <w:p w14:paraId="633ADF05" w14:textId="77777777" w:rsidR="009755C1" w:rsidRPr="00B27A96" w:rsidRDefault="009755C1" w:rsidP="00FA6132">
            <w:pPr>
              <w:spacing w:after="160" w:line="240" w:lineRule="auto"/>
              <w:jc w:val="center"/>
              <w:rPr>
                <w:rFonts w:ascii="Arial" w:eastAsia="Times New Roman" w:hAnsi="Arial" w:cs="Arial"/>
                <w:b/>
                <w:bCs/>
                <w:sz w:val="20"/>
                <w:szCs w:val="20"/>
                <w:lang w:eastAsia="pt-BR"/>
              </w:rPr>
            </w:pPr>
            <w:r w:rsidRPr="00B27A96">
              <w:rPr>
                <w:rFonts w:ascii="Arial" w:eastAsia="Times New Roman" w:hAnsi="Arial" w:cs="Arial"/>
                <w:b/>
                <w:bCs/>
                <w:sz w:val="20"/>
                <w:szCs w:val="20"/>
                <w:lang w:eastAsia="pt-BR"/>
              </w:rPr>
              <w:t>Estrutura ‘ProjecaoAtuarialRPPSInformacao’</w:t>
            </w:r>
          </w:p>
        </w:tc>
      </w:tr>
      <w:tr w:rsidR="00B27A96" w:rsidRPr="00B27A96" w14:paraId="5D19DB7C" w14:textId="77777777" w:rsidTr="00FA6132">
        <w:trPr>
          <w:trHeight w:val="315"/>
        </w:trPr>
        <w:tc>
          <w:tcPr>
            <w:tcW w:w="3272" w:type="dxa"/>
            <w:tcBorders>
              <w:top w:val="nil"/>
              <w:left w:val="single" w:sz="8" w:space="0" w:color="auto"/>
              <w:bottom w:val="single" w:sz="8" w:space="0" w:color="auto"/>
              <w:right w:val="single" w:sz="8" w:space="0" w:color="auto"/>
            </w:tcBorders>
            <w:shd w:val="clear" w:color="auto" w:fill="auto"/>
            <w:vAlign w:val="center"/>
            <w:hideMark/>
          </w:tcPr>
          <w:p w14:paraId="391AF77E" w14:textId="77777777" w:rsidR="009755C1" w:rsidRPr="00B27A96" w:rsidRDefault="009755C1" w:rsidP="00FA6132">
            <w:pPr>
              <w:spacing w:after="160" w:line="240" w:lineRule="auto"/>
              <w:rPr>
                <w:rFonts w:ascii="Arial" w:eastAsia="Times New Roman" w:hAnsi="Arial" w:cs="Arial"/>
                <w:sz w:val="20"/>
                <w:szCs w:val="20"/>
                <w:lang w:eastAsia="pt-BR"/>
              </w:rPr>
            </w:pPr>
            <w:r w:rsidRPr="00B27A96">
              <w:rPr>
                <w:rFonts w:ascii="Arial" w:eastAsia="Times New Roman" w:hAnsi="Arial" w:cs="Arial"/>
                <w:sz w:val="20"/>
                <w:szCs w:val="20"/>
                <w:lang w:eastAsia="pt-BR"/>
              </w:rPr>
              <w:t>Identificação do Número do Registro</w:t>
            </w:r>
          </w:p>
        </w:tc>
        <w:tc>
          <w:tcPr>
            <w:tcW w:w="1276" w:type="dxa"/>
            <w:tcBorders>
              <w:top w:val="nil"/>
              <w:left w:val="nil"/>
              <w:bottom w:val="single" w:sz="8" w:space="0" w:color="auto"/>
              <w:right w:val="single" w:sz="8" w:space="0" w:color="auto"/>
            </w:tcBorders>
            <w:shd w:val="clear" w:color="auto" w:fill="auto"/>
            <w:vAlign w:val="center"/>
            <w:hideMark/>
          </w:tcPr>
          <w:p w14:paraId="5A95617B" w14:textId="77777777" w:rsidR="009755C1" w:rsidRPr="00B27A96" w:rsidRDefault="009755C1" w:rsidP="00FA6132">
            <w:pPr>
              <w:spacing w:after="160" w:line="240" w:lineRule="auto"/>
              <w:jc w:val="center"/>
              <w:rPr>
                <w:rFonts w:ascii="Arial" w:eastAsia="Times New Roman" w:hAnsi="Arial" w:cs="Arial"/>
                <w:sz w:val="20"/>
                <w:szCs w:val="20"/>
                <w:lang w:eastAsia="pt-BR"/>
              </w:rPr>
            </w:pPr>
            <w:r w:rsidRPr="00B27A96">
              <w:rPr>
                <w:rFonts w:ascii="Arial" w:eastAsia="Times New Roman" w:hAnsi="Arial" w:cs="Arial"/>
                <w:sz w:val="20"/>
                <w:szCs w:val="20"/>
                <w:lang w:eastAsia="pt-BR"/>
              </w:rPr>
              <w:t>Inteiro</w:t>
            </w:r>
          </w:p>
        </w:tc>
        <w:tc>
          <w:tcPr>
            <w:tcW w:w="1276" w:type="dxa"/>
            <w:tcBorders>
              <w:top w:val="nil"/>
              <w:left w:val="nil"/>
              <w:bottom w:val="single" w:sz="8" w:space="0" w:color="auto"/>
              <w:right w:val="single" w:sz="8" w:space="0" w:color="auto"/>
            </w:tcBorders>
            <w:shd w:val="clear" w:color="auto" w:fill="auto"/>
            <w:vAlign w:val="center"/>
            <w:hideMark/>
          </w:tcPr>
          <w:p w14:paraId="2FC99B2E" w14:textId="77777777" w:rsidR="009755C1" w:rsidRPr="00B27A96" w:rsidRDefault="009755C1" w:rsidP="00FA6132">
            <w:pPr>
              <w:spacing w:after="160" w:line="240" w:lineRule="auto"/>
              <w:jc w:val="center"/>
              <w:rPr>
                <w:rFonts w:ascii="Arial" w:eastAsia="Times New Roman" w:hAnsi="Arial" w:cs="Arial"/>
                <w:sz w:val="20"/>
                <w:szCs w:val="20"/>
                <w:lang w:eastAsia="pt-BR"/>
              </w:rPr>
            </w:pPr>
            <w:r w:rsidRPr="00B27A96">
              <w:rPr>
                <w:rFonts w:ascii="Arial" w:eastAsia="Times New Roman" w:hAnsi="Arial" w:cs="Arial"/>
                <w:sz w:val="20"/>
                <w:szCs w:val="20"/>
                <w:lang w:eastAsia="pt-BR"/>
              </w:rPr>
              <w:t>5</w:t>
            </w:r>
          </w:p>
        </w:tc>
        <w:tc>
          <w:tcPr>
            <w:tcW w:w="2611" w:type="dxa"/>
            <w:tcBorders>
              <w:top w:val="nil"/>
              <w:left w:val="nil"/>
              <w:bottom w:val="single" w:sz="8" w:space="0" w:color="auto"/>
              <w:right w:val="single" w:sz="8" w:space="0" w:color="auto"/>
            </w:tcBorders>
            <w:shd w:val="clear" w:color="auto" w:fill="auto"/>
            <w:vAlign w:val="center"/>
            <w:hideMark/>
          </w:tcPr>
          <w:p w14:paraId="6452F1F9" w14:textId="77777777" w:rsidR="009755C1" w:rsidRPr="00B27A96" w:rsidRDefault="009755C1" w:rsidP="00FA6132">
            <w:pPr>
              <w:spacing w:after="160" w:line="240" w:lineRule="auto"/>
              <w:rPr>
                <w:rFonts w:ascii="Arial" w:eastAsia="Times New Roman" w:hAnsi="Arial" w:cs="Arial"/>
                <w:sz w:val="20"/>
                <w:szCs w:val="20"/>
                <w:lang w:eastAsia="pt-BR"/>
              </w:rPr>
            </w:pPr>
            <w:r w:rsidRPr="00B27A96">
              <w:rPr>
                <w:rFonts w:ascii="Arial" w:eastAsia="Times New Roman" w:hAnsi="Arial" w:cs="Arial"/>
                <w:sz w:val="20"/>
                <w:szCs w:val="20"/>
                <w:lang w:eastAsia="pt-BR"/>
              </w:rPr>
              <w:t>Obrigatório</w:t>
            </w:r>
          </w:p>
        </w:tc>
      </w:tr>
      <w:tr w:rsidR="00B27A96" w:rsidRPr="00B27A96" w14:paraId="27979DA3" w14:textId="77777777" w:rsidTr="00FA6132">
        <w:trPr>
          <w:trHeight w:val="315"/>
        </w:trPr>
        <w:tc>
          <w:tcPr>
            <w:tcW w:w="3272" w:type="dxa"/>
            <w:tcBorders>
              <w:top w:val="nil"/>
              <w:left w:val="single" w:sz="8" w:space="0" w:color="auto"/>
              <w:bottom w:val="single" w:sz="8" w:space="0" w:color="auto"/>
              <w:right w:val="single" w:sz="8" w:space="0" w:color="auto"/>
            </w:tcBorders>
            <w:shd w:val="clear" w:color="auto" w:fill="auto"/>
            <w:vAlign w:val="center"/>
          </w:tcPr>
          <w:p w14:paraId="193F4C69" w14:textId="646D487F" w:rsidR="00B27A96" w:rsidRPr="00B27A96" w:rsidRDefault="00B27A96" w:rsidP="00B27A96">
            <w:pPr>
              <w:spacing w:after="160" w:line="240" w:lineRule="auto"/>
              <w:rPr>
                <w:rFonts w:ascii="Arial" w:eastAsia="Times New Roman" w:hAnsi="Arial" w:cs="Arial"/>
                <w:sz w:val="20"/>
                <w:szCs w:val="20"/>
                <w:lang w:eastAsia="pt-BR"/>
              </w:rPr>
            </w:pPr>
            <w:r w:rsidRPr="00B27A96">
              <w:rPr>
                <w:rFonts w:ascii="Arial" w:eastAsia="Times New Roman" w:hAnsi="Arial" w:cs="Arial"/>
                <w:sz w:val="20"/>
                <w:szCs w:val="20"/>
                <w:lang w:eastAsia="pt-BR"/>
              </w:rPr>
              <w:t>Plano</w:t>
            </w:r>
          </w:p>
        </w:tc>
        <w:tc>
          <w:tcPr>
            <w:tcW w:w="1276" w:type="dxa"/>
            <w:tcBorders>
              <w:top w:val="nil"/>
              <w:left w:val="nil"/>
              <w:bottom w:val="single" w:sz="8" w:space="0" w:color="auto"/>
              <w:right w:val="single" w:sz="8" w:space="0" w:color="auto"/>
            </w:tcBorders>
            <w:shd w:val="clear" w:color="auto" w:fill="auto"/>
            <w:vAlign w:val="center"/>
          </w:tcPr>
          <w:p w14:paraId="2C631D4E" w14:textId="4F832879" w:rsidR="00B27A96" w:rsidRPr="00B27A96" w:rsidRDefault="00B27A96" w:rsidP="00B27A96">
            <w:pPr>
              <w:spacing w:after="160" w:line="240" w:lineRule="auto"/>
              <w:jc w:val="center"/>
              <w:rPr>
                <w:rFonts w:ascii="Arial" w:eastAsia="Times New Roman" w:hAnsi="Arial" w:cs="Arial"/>
                <w:sz w:val="20"/>
                <w:szCs w:val="20"/>
                <w:lang w:eastAsia="pt-BR"/>
              </w:rPr>
            </w:pPr>
            <w:r w:rsidRPr="00B27A96">
              <w:rPr>
                <w:rFonts w:ascii="Arial" w:eastAsia="Times New Roman" w:hAnsi="Arial" w:cs="Arial"/>
                <w:sz w:val="20"/>
                <w:szCs w:val="20"/>
                <w:lang w:eastAsia="pt-BR"/>
              </w:rPr>
              <w:t>Inteiro</w:t>
            </w:r>
          </w:p>
        </w:tc>
        <w:tc>
          <w:tcPr>
            <w:tcW w:w="1276" w:type="dxa"/>
            <w:tcBorders>
              <w:top w:val="nil"/>
              <w:left w:val="nil"/>
              <w:bottom w:val="single" w:sz="8" w:space="0" w:color="auto"/>
              <w:right w:val="single" w:sz="8" w:space="0" w:color="auto"/>
            </w:tcBorders>
            <w:shd w:val="clear" w:color="auto" w:fill="auto"/>
            <w:vAlign w:val="center"/>
          </w:tcPr>
          <w:p w14:paraId="716805E9" w14:textId="75B478DB" w:rsidR="00B27A96" w:rsidRPr="00B27A96" w:rsidRDefault="00B27A96" w:rsidP="00B27A96">
            <w:pPr>
              <w:spacing w:after="160" w:line="240" w:lineRule="auto"/>
              <w:jc w:val="center"/>
              <w:rPr>
                <w:rFonts w:ascii="Arial" w:eastAsia="Times New Roman" w:hAnsi="Arial" w:cs="Arial"/>
                <w:sz w:val="20"/>
                <w:szCs w:val="20"/>
                <w:lang w:eastAsia="pt-BR"/>
              </w:rPr>
            </w:pPr>
            <w:r w:rsidRPr="00B27A96">
              <w:rPr>
                <w:rFonts w:ascii="Arial" w:eastAsia="Times New Roman" w:hAnsi="Arial" w:cs="Arial"/>
                <w:sz w:val="20"/>
                <w:szCs w:val="20"/>
                <w:lang w:eastAsia="pt-BR"/>
              </w:rPr>
              <w:t>1</w:t>
            </w:r>
          </w:p>
        </w:tc>
        <w:tc>
          <w:tcPr>
            <w:tcW w:w="2611" w:type="dxa"/>
            <w:tcBorders>
              <w:top w:val="nil"/>
              <w:left w:val="nil"/>
              <w:bottom w:val="single" w:sz="8" w:space="0" w:color="auto"/>
              <w:right w:val="single" w:sz="8" w:space="0" w:color="auto"/>
            </w:tcBorders>
            <w:shd w:val="clear" w:color="auto" w:fill="auto"/>
            <w:vAlign w:val="center"/>
          </w:tcPr>
          <w:p w14:paraId="278D4DAA" w14:textId="77777777" w:rsidR="00B27A96" w:rsidRPr="00B27A96" w:rsidRDefault="00B27A96" w:rsidP="00B27A96">
            <w:pPr>
              <w:spacing w:line="240" w:lineRule="auto"/>
              <w:rPr>
                <w:rFonts w:ascii="Arial" w:eastAsia="Times New Roman" w:hAnsi="Arial" w:cs="Arial"/>
                <w:sz w:val="20"/>
                <w:szCs w:val="20"/>
                <w:lang w:eastAsia="pt-BR"/>
              </w:rPr>
            </w:pPr>
            <w:r w:rsidRPr="00B27A96">
              <w:rPr>
                <w:rFonts w:ascii="Arial" w:eastAsia="Times New Roman" w:hAnsi="Arial" w:cs="Arial"/>
                <w:sz w:val="20"/>
                <w:szCs w:val="20"/>
                <w:lang w:eastAsia="pt-BR"/>
              </w:rPr>
              <w:t>Obrigatório</w:t>
            </w:r>
          </w:p>
          <w:p w14:paraId="72E94002" w14:textId="77777777" w:rsidR="00B27A96" w:rsidRPr="00B27A96" w:rsidRDefault="00B27A96" w:rsidP="00B27A96">
            <w:pPr>
              <w:spacing w:line="240" w:lineRule="auto"/>
              <w:rPr>
                <w:rFonts w:ascii="Arial" w:eastAsia="Times New Roman" w:hAnsi="Arial" w:cs="Arial"/>
                <w:sz w:val="20"/>
                <w:szCs w:val="20"/>
                <w:lang w:eastAsia="pt-BR"/>
              </w:rPr>
            </w:pPr>
            <w:r w:rsidRPr="00B27A96">
              <w:rPr>
                <w:rFonts w:ascii="Arial" w:eastAsia="Times New Roman" w:hAnsi="Arial" w:cs="Arial"/>
                <w:sz w:val="20"/>
                <w:szCs w:val="20"/>
                <w:lang w:eastAsia="pt-BR"/>
              </w:rPr>
              <w:t>1 – Previdenciário</w:t>
            </w:r>
          </w:p>
          <w:p w14:paraId="3EB7ADE9" w14:textId="794970FA" w:rsidR="00B27A96" w:rsidRPr="00B27A96" w:rsidRDefault="00B27A96" w:rsidP="00B27A96">
            <w:pPr>
              <w:spacing w:after="160" w:line="240" w:lineRule="auto"/>
              <w:rPr>
                <w:rFonts w:ascii="Arial" w:eastAsia="Times New Roman" w:hAnsi="Arial" w:cs="Arial"/>
                <w:sz w:val="20"/>
                <w:szCs w:val="20"/>
                <w:lang w:eastAsia="pt-BR"/>
              </w:rPr>
            </w:pPr>
            <w:r w:rsidRPr="00B27A96">
              <w:rPr>
                <w:rFonts w:ascii="Arial" w:eastAsia="Times New Roman" w:hAnsi="Arial" w:cs="Arial"/>
                <w:sz w:val="20"/>
                <w:szCs w:val="20"/>
                <w:lang w:eastAsia="pt-BR"/>
              </w:rPr>
              <w:t>2 – Financeiro</w:t>
            </w:r>
          </w:p>
        </w:tc>
      </w:tr>
      <w:tr w:rsidR="00B27A96" w:rsidRPr="00B27A96" w14:paraId="6B5EB22C" w14:textId="77777777" w:rsidTr="00FA6132">
        <w:trPr>
          <w:trHeight w:val="315"/>
        </w:trPr>
        <w:tc>
          <w:tcPr>
            <w:tcW w:w="3272" w:type="dxa"/>
            <w:tcBorders>
              <w:top w:val="nil"/>
              <w:left w:val="single" w:sz="8" w:space="0" w:color="auto"/>
              <w:bottom w:val="single" w:sz="8" w:space="0" w:color="auto"/>
              <w:right w:val="single" w:sz="8" w:space="0" w:color="auto"/>
            </w:tcBorders>
            <w:shd w:val="clear" w:color="auto" w:fill="auto"/>
            <w:vAlign w:val="center"/>
            <w:hideMark/>
          </w:tcPr>
          <w:p w14:paraId="440611D1" w14:textId="77777777" w:rsidR="009755C1" w:rsidRPr="00B27A96" w:rsidRDefault="009755C1" w:rsidP="00FA6132">
            <w:pPr>
              <w:spacing w:after="160" w:line="240" w:lineRule="auto"/>
              <w:rPr>
                <w:rFonts w:ascii="Arial" w:eastAsia="Times New Roman" w:hAnsi="Arial" w:cs="Arial"/>
                <w:sz w:val="20"/>
                <w:szCs w:val="20"/>
                <w:lang w:eastAsia="pt-BR"/>
              </w:rPr>
            </w:pPr>
            <w:r w:rsidRPr="00B27A96">
              <w:rPr>
                <w:rFonts w:ascii="Arial" w:eastAsia="Times New Roman" w:hAnsi="Arial" w:cs="Arial"/>
                <w:sz w:val="20"/>
                <w:szCs w:val="20"/>
                <w:lang w:eastAsia="pt-BR"/>
              </w:rPr>
              <w:t>Data Base dos Dados</w:t>
            </w:r>
          </w:p>
        </w:tc>
        <w:tc>
          <w:tcPr>
            <w:tcW w:w="1276" w:type="dxa"/>
            <w:tcBorders>
              <w:top w:val="nil"/>
              <w:left w:val="nil"/>
              <w:bottom w:val="single" w:sz="8" w:space="0" w:color="auto"/>
              <w:right w:val="single" w:sz="8" w:space="0" w:color="auto"/>
            </w:tcBorders>
            <w:shd w:val="clear" w:color="auto" w:fill="auto"/>
            <w:vAlign w:val="center"/>
            <w:hideMark/>
          </w:tcPr>
          <w:p w14:paraId="37E65CBD" w14:textId="77777777" w:rsidR="009755C1" w:rsidRPr="00B27A96" w:rsidRDefault="009755C1" w:rsidP="00FA6132">
            <w:pPr>
              <w:spacing w:after="160" w:line="240" w:lineRule="auto"/>
              <w:jc w:val="center"/>
              <w:rPr>
                <w:rFonts w:ascii="Arial" w:eastAsia="Times New Roman" w:hAnsi="Arial" w:cs="Arial"/>
                <w:sz w:val="20"/>
                <w:szCs w:val="20"/>
                <w:lang w:eastAsia="pt-BR"/>
              </w:rPr>
            </w:pPr>
            <w:r w:rsidRPr="00B27A96">
              <w:rPr>
                <w:rFonts w:ascii="Arial" w:eastAsia="Times New Roman" w:hAnsi="Arial" w:cs="Arial"/>
                <w:sz w:val="20"/>
                <w:szCs w:val="20"/>
                <w:lang w:eastAsia="pt-BR"/>
              </w:rPr>
              <w:t>Data</w:t>
            </w:r>
          </w:p>
        </w:tc>
        <w:tc>
          <w:tcPr>
            <w:tcW w:w="1276" w:type="dxa"/>
            <w:tcBorders>
              <w:top w:val="nil"/>
              <w:left w:val="nil"/>
              <w:bottom w:val="single" w:sz="8" w:space="0" w:color="auto"/>
              <w:right w:val="single" w:sz="8" w:space="0" w:color="auto"/>
            </w:tcBorders>
            <w:shd w:val="clear" w:color="auto" w:fill="auto"/>
            <w:vAlign w:val="center"/>
            <w:hideMark/>
          </w:tcPr>
          <w:p w14:paraId="1B808206" w14:textId="77777777" w:rsidR="009755C1" w:rsidRPr="00B27A96" w:rsidRDefault="009755C1" w:rsidP="00FA6132">
            <w:pPr>
              <w:spacing w:after="160" w:line="240" w:lineRule="auto"/>
              <w:jc w:val="center"/>
              <w:rPr>
                <w:rFonts w:ascii="Arial" w:eastAsia="Times New Roman" w:hAnsi="Arial" w:cs="Arial"/>
                <w:sz w:val="20"/>
                <w:szCs w:val="20"/>
                <w:lang w:eastAsia="pt-BR"/>
              </w:rPr>
            </w:pPr>
            <w:r w:rsidRPr="00B27A96">
              <w:rPr>
                <w:rFonts w:ascii="Arial" w:eastAsia="Times New Roman" w:hAnsi="Arial" w:cs="Arial"/>
                <w:sz w:val="20"/>
                <w:szCs w:val="20"/>
                <w:lang w:eastAsia="pt-BR"/>
              </w:rPr>
              <w:t>10</w:t>
            </w:r>
          </w:p>
        </w:tc>
        <w:tc>
          <w:tcPr>
            <w:tcW w:w="2611" w:type="dxa"/>
            <w:tcBorders>
              <w:top w:val="nil"/>
              <w:left w:val="nil"/>
              <w:bottom w:val="single" w:sz="8" w:space="0" w:color="auto"/>
              <w:right w:val="single" w:sz="8" w:space="0" w:color="auto"/>
            </w:tcBorders>
            <w:shd w:val="clear" w:color="auto" w:fill="auto"/>
            <w:vAlign w:val="center"/>
            <w:hideMark/>
          </w:tcPr>
          <w:p w14:paraId="2C08DEF9" w14:textId="77777777" w:rsidR="009755C1" w:rsidRPr="00B27A96" w:rsidRDefault="009755C1" w:rsidP="00FA6132">
            <w:pPr>
              <w:spacing w:after="160" w:line="240" w:lineRule="auto"/>
              <w:rPr>
                <w:rFonts w:ascii="Arial" w:eastAsia="Times New Roman" w:hAnsi="Arial" w:cs="Arial"/>
                <w:sz w:val="20"/>
                <w:szCs w:val="20"/>
                <w:lang w:eastAsia="pt-BR"/>
              </w:rPr>
            </w:pPr>
            <w:r w:rsidRPr="00B27A96">
              <w:rPr>
                <w:rFonts w:ascii="Arial" w:eastAsia="Times New Roman" w:hAnsi="Arial" w:cs="Arial"/>
                <w:sz w:val="20"/>
                <w:szCs w:val="20"/>
                <w:lang w:eastAsia="pt-BR"/>
              </w:rPr>
              <w:t>Obrigatório, AAAA-MM-DD</w:t>
            </w:r>
          </w:p>
        </w:tc>
      </w:tr>
      <w:tr w:rsidR="00B27A96" w:rsidRPr="00B27A96" w14:paraId="142D8AFA" w14:textId="77777777" w:rsidTr="00FA6132">
        <w:trPr>
          <w:trHeight w:val="315"/>
        </w:trPr>
        <w:tc>
          <w:tcPr>
            <w:tcW w:w="3272" w:type="dxa"/>
            <w:tcBorders>
              <w:top w:val="nil"/>
              <w:left w:val="single" w:sz="8" w:space="0" w:color="auto"/>
              <w:bottom w:val="single" w:sz="8" w:space="0" w:color="auto"/>
              <w:right w:val="single" w:sz="8" w:space="0" w:color="auto"/>
            </w:tcBorders>
            <w:shd w:val="clear" w:color="auto" w:fill="auto"/>
            <w:vAlign w:val="center"/>
            <w:hideMark/>
          </w:tcPr>
          <w:p w14:paraId="2AE63946" w14:textId="77777777" w:rsidR="009755C1" w:rsidRPr="00B27A96" w:rsidRDefault="009755C1" w:rsidP="00FA6132">
            <w:pPr>
              <w:spacing w:after="160" w:line="240" w:lineRule="auto"/>
              <w:rPr>
                <w:rFonts w:ascii="Arial" w:eastAsia="Times New Roman" w:hAnsi="Arial" w:cs="Arial"/>
                <w:sz w:val="20"/>
                <w:szCs w:val="20"/>
                <w:lang w:eastAsia="pt-BR"/>
              </w:rPr>
            </w:pPr>
            <w:r w:rsidRPr="00B27A96">
              <w:rPr>
                <w:rFonts w:ascii="Arial" w:eastAsia="Times New Roman" w:hAnsi="Arial" w:cs="Arial"/>
                <w:sz w:val="20"/>
                <w:szCs w:val="20"/>
                <w:lang w:eastAsia="pt-BR"/>
              </w:rPr>
              <w:t>Data do Cálculo</w:t>
            </w:r>
          </w:p>
        </w:tc>
        <w:tc>
          <w:tcPr>
            <w:tcW w:w="1276" w:type="dxa"/>
            <w:tcBorders>
              <w:top w:val="nil"/>
              <w:left w:val="nil"/>
              <w:bottom w:val="single" w:sz="8" w:space="0" w:color="auto"/>
              <w:right w:val="single" w:sz="8" w:space="0" w:color="auto"/>
            </w:tcBorders>
            <w:shd w:val="clear" w:color="auto" w:fill="auto"/>
            <w:vAlign w:val="center"/>
            <w:hideMark/>
          </w:tcPr>
          <w:p w14:paraId="5D2FEC7F" w14:textId="77777777" w:rsidR="009755C1" w:rsidRPr="00B27A96" w:rsidRDefault="009755C1" w:rsidP="00FA6132">
            <w:pPr>
              <w:spacing w:after="160" w:line="240" w:lineRule="auto"/>
              <w:jc w:val="center"/>
              <w:rPr>
                <w:rFonts w:ascii="Arial" w:eastAsia="Times New Roman" w:hAnsi="Arial" w:cs="Arial"/>
                <w:sz w:val="20"/>
                <w:szCs w:val="20"/>
                <w:lang w:eastAsia="pt-BR"/>
              </w:rPr>
            </w:pPr>
            <w:r w:rsidRPr="00B27A96">
              <w:rPr>
                <w:rFonts w:ascii="Arial" w:eastAsia="Times New Roman" w:hAnsi="Arial" w:cs="Arial"/>
                <w:sz w:val="20"/>
                <w:szCs w:val="20"/>
                <w:lang w:eastAsia="pt-BR"/>
              </w:rPr>
              <w:t>Data</w:t>
            </w:r>
          </w:p>
        </w:tc>
        <w:tc>
          <w:tcPr>
            <w:tcW w:w="1276" w:type="dxa"/>
            <w:tcBorders>
              <w:top w:val="nil"/>
              <w:left w:val="nil"/>
              <w:bottom w:val="single" w:sz="8" w:space="0" w:color="auto"/>
              <w:right w:val="single" w:sz="8" w:space="0" w:color="auto"/>
            </w:tcBorders>
            <w:shd w:val="clear" w:color="auto" w:fill="auto"/>
            <w:vAlign w:val="center"/>
            <w:hideMark/>
          </w:tcPr>
          <w:p w14:paraId="1290BB93" w14:textId="77777777" w:rsidR="009755C1" w:rsidRPr="00B27A96" w:rsidRDefault="009755C1" w:rsidP="00FA6132">
            <w:pPr>
              <w:spacing w:after="160" w:line="240" w:lineRule="auto"/>
              <w:jc w:val="center"/>
              <w:rPr>
                <w:rFonts w:ascii="Arial" w:eastAsia="Times New Roman" w:hAnsi="Arial" w:cs="Arial"/>
                <w:sz w:val="20"/>
                <w:szCs w:val="20"/>
                <w:lang w:eastAsia="pt-BR"/>
              </w:rPr>
            </w:pPr>
            <w:r w:rsidRPr="00B27A96">
              <w:rPr>
                <w:rFonts w:ascii="Arial" w:eastAsia="Times New Roman" w:hAnsi="Arial" w:cs="Arial"/>
                <w:sz w:val="20"/>
                <w:szCs w:val="20"/>
                <w:lang w:eastAsia="pt-BR"/>
              </w:rPr>
              <w:t>10</w:t>
            </w:r>
          </w:p>
        </w:tc>
        <w:tc>
          <w:tcPr>
            <w:tcW w:w="2611" w:type="dxa"/>
            <w:tcBorders>
              <w:top w:val="nil"/>
              <w:left w:val="nil"/>
              <w:bottom w:val="single" w:sz="8" w:space="0" w:color="auto"/>
              <w:right w:val="single" w:sz="8" w:space="0" w:color="auto"/>
            </w:tcBorders>
            <w:shd w:val="clear" w:color="auto" w:fill="auto"/>
            <w:vAlign w:val="center"/>
            <w:hideMark/>
          </w:tcPr>
          <w:p w14:paraId="5578BE68" w14:textId="77777777" w:rsidR="009755C1" w:rsidRPr="00B27A96" w:rsidRDefault="009755C1" w:rsidP="00FA6132">
            <w:pPr>
              <w:spacing w:after="160" w:line="240" w:lineRule="auto"/>
              <w:rPr>
                <w:rFonts w:ascii="Arial" w:eastAsia="Times New Roman" w:hAnsi="Arial" w:cs="Arial"/>
                <w:sz w:val="20"/>
                <w:szCs w:val="20"/>
                <w:lang w:eastAsia="pt-BR"/>
              </w:rPr>
            </w:pPr>
            <w:r w:rsidRPr="00B27A96">
              <w:rPr>
                <w:rFonts w:ascii="Arial" w:eastAsia="Times New Roman" w:hAnsi="Arial" w:cs="Arial"/>
                <w:sz w:val="20"/>
                <w:szCs w:val="20"/>
                <w:lang w:eastAsia="pt-BR"/>
              </w:rPr>
              <w:t>Obrigatório, AAAA-MM-DD</w:t>
            </w:r>
          </w:p>
        </w:tc>
      </w:tr>
      <w:tr w:rsidR="00B27A96" w:rsidRPr="00B27A96" w14:paraId="58BD198A" w14:textId="77777777" w:rsidTr="00FA6132">
        <w:trPr>
          <w:trHeight w:val="315"/>
        </w:trPr>
        <w:tc>
          <w:tcPr>
            <w:tcW w:w="3272" w:type="dxa"/>
            <w:tcBorders>
              <w:top w:val="nil"/>
              <w:left w:val="single" w:sz="8" w:space="0" w:color="auto"/>
              <w:bottom w:val="single" w:sz="8" w:space="0" w:color="auto"/>
              <w:right w:val="single" w:sz="8" w:space="0" w:color="auto"/>
            </w:tcBorders>
            <w:shd w:val="clear" w:color="auto" w:fill="auto"/>
            <w:vAlign w:val="center"/>
            <w:hideMark/>
          </w:tcPr>
          <w:p w14:paraId="32396194" w14:textId="77777777" w:rsidR="009755C1" w:rsidRPr="00B27A96" w:rsidRDefault="009755C1" w:rsidP="00FA6132">
            <w:pPr>
              <w:spacing w:after="160" w:line="240" w:lineRule="auto"/>
              <w:rPr>
                <w:rFonts w:ascii="Arial" w:eastAsia="Times New Roman" w:hAnsi="Arial" w:cs="Arial"/>
                <w:sz w:val="20"/>
                <w:szCs w:val="20"/>
                <w:lang w:eastAsia="pt-BR"/>
              </w:rPr>
            </w:pPr>
            <w:r w:rsidRPr="00B27A96">
              <w:rPr>
                <w:rFonts w:ascii="Arial" w:eastAsia="Times New Roman" w:hAnsi="Arial" w:cs="Arial"/>
                <w:sz w:val="20"/>
                <w:szCs w:val="20"/>
                <w:lang w:eastAsia="pt-BR"/>
              </w:rPr>
              <w:t>CPF do Atuário Responsável</w:t>
            </w:r>
          </w:p>
        </w:tc>
        <w:tc>
          <w:tcPr>
            <w:tcW w:w="1276" w:type="dxa"/>
            <w:tcBorders>
              <w:top w:val="nil"/>
              <w:left w:val="nil"/>
              <w:bottom w:val="single" w:sz="8" w:space="0" w:color="auto"/>
              <w:right w:val="single" w:sz="8" w:space="0" w:color="auto"/>
            </w:tcBorders>
            <w:shd w:val="clear" w:color="auto" w:fill="auto"/>
            <w:vAlign w:val="center"/>
            <w:hideMark/>
          </w:tcPr>
          <w:p w14:paraId="5E612C8D" w14:textId="77777777" w:rsidR="009755C1" w:rsidRPr="00B27A96" w:rsidRDefault="009755C1" w:rsidP="00FA6132">
            <w:pPr>
              <w:spacing w:after="160" w:line="240" w:lineRule="auto"/>
              <w:jc w:val="center"/>
              <w:rPr>
                <w:rFonts w:ascii="Arial" w:eastAsia="Times New Roman" w:hAnsi="Arial" w:cs="Arial"/>
                <w:sz w:val="20"/>
                <w:szCs w:val="20"/>
                <w:lang w:eastAsia="pt-BR"/>
              </w:rPr>
            </w:pPr>
            <w:r w:rsidRPr="00B27A96">
              <w:rPr>
                <w:rFonts w:ascii="Arial" w:eastAsia="Times New Roman" w:hAnsi="Arial" w:cs="Arial"/>
                <w:sz w:val="20"/>
                <w:szCs w:val="20"/>
                <w:lang w:eastAsia="pt-BR"/>
              </w:rPr>
              <w:t>Caracter</w:t>
            </w:r>
          </w:p>
        </w:tc>
        <w:tc>
          <w:tcPr>
            <w:tcW w:w="1276" w:type="dxa"/>
            <w:tcBorders>
              <w:top w:val="nil"/>
              <w:left w:val="nil"/>
              <w:bottom w:val="single" w:sz="8" w:space="0" w:color="auto"/>
              <w:right w:val="single" w:sz="8" w:space="0" w:color="auto"/>
            </w:tcBorders>
            <w:shd w:val="clear" w:color="auto" w:fill="auto"/>
            <w:vAlign w:val="center"/>
            <w:hideMark/>
          </w:tcPr>
          <w:p w14:paraId="50F7097E" w14:textId="77777777" w:rsidR="009755C1" w:rsidRPr="00B27A96" w:rsidRDefault="009755C1" w:rsidP="00024255">
            <w:pPr>
              <w:spacing w:after="160" w:line="240" w:lineRule="auto"/>
              <w:jc w:val="center"/>
              <w:rPr>
                <w:rFonts w:ascii="Arial" w:eastAsia="Times New Roman" w:hAnsi="Arial" w:cs="Arial"/>
                <w:sz w:val="20"/>
                <w:szCs w:val="20"/>
                <w:lang w:eastAsia="pt-BR"/>
              </w:rPr>
            </w:pPr>
            <w:r w:rsidRPr="00B27A96">
              <w:rPr>
                <w:rFonts w:ascii="Arial" w:eastAsia="Times New Roman" w:hAnsi="Arial" w:cs="Arial"/>
                <w:sz w:val="20"/>
                <w:szCs w:val="20"/>
                <w:lang w:eastAsia="pt-BR"/>
              </w:rPr>
              <w:t>1</w:t>
            </w:r>
            <w:r w:rsidR="00024255" w:rsidRPr="00B27A96">
              <w:rPr>
                <w:rFonts w:ascii="Arial" w:eastAsia="Times New Roman" w:hAnsi="Arial" w:cs="Arial"/>
                <w:sz w:val="20"/>
                <w:szCs w:val="20"/>
                <w:lang w:eastAsia="pt-BR"/>
              </w:rPr>
              <w:t>1</w:t>
            </w:r>
          </w:p>
        </w:tc>
        <w:tc>
          <w:tcPr>
            <w:tcW w:w="2611" w:type="dxa"/>
            <w:tcBorders>
              <w:top w:val="nil"/>
              <w:left w:val="nil"/>
              <w:bottom w:val="single" w:sz="8" w:space="0" w:color="auto"/>
              <w:right w:val="single" w:sz="8" w:space="0" w:color="auto"/>
            </w:tcBorders>
            <w:shd w:val="clear" w:color="auto" w:fill="auto"/>
            <w:vAlign w:val="center"/>
            <w:hideMark/>
          </w:tcPr>
          <w:p w14:paraId="303412AC" w14:textId="77777777" w:rsidR="009755C1" w:rsidRPr="00B27A96" w:rsidRDefault="009755C1" w:rsidP="00FA6132">
            <w:pPr>
              <w:spacing w:after="160" w:line="240" w:lineRule="auto"/>
              <w:rPr>
                <w:rFonts w:ascii="Arial" w:eastAsia="Times New Roman" w:hAnsi="Arial" w:cs="Arial"/>
                <w:sz w:val="20"/>
                <w:szCs w:val="20"/>
                <w:lang w:eastAsia="pt-BR"/>
              </w:rPr>
            </w:pPr>
            <w:r w:rsidRPr="00B27A96">
              <w:rPr>
                <w:rFonts w:ascii="Arial" w:eastAsia="Times New Roman" w:hAnsi="Arial" w:cs="Arial"/>
                <w:sz w:val="20"/>
                <w:szCs w:val="20"/>
                <w:lang w:eastAsia="pt-BR"/>
              </w:rPr>
              <w:t>Obrigatório</w:t>
            </w:r>
          </w:p>
        </w:tc>
      </w:tr>
      <w:tr w:rsidR="00B27A96" w:rsidRPr="00B27A96" w14:paraId="6D808CCD" w14:textId="77777777" w:rsidTr="00FA6132">
        <w:trPr>
          <w:trHeight w:val="315"/>
        </w:trPr>
        <w:tc>
          <w:tcPr>
            <w:tcW w:w="3272" w:type="dxa"/>
            <w:tcBorders>
              <w:top w:val="nil"/>
              <w:left w:val="single" w:sz="8" w:space="0" w:color="auto"/>
              <w:bottom w:val="single" w:sz="8" w:space="0" w:color="auto"/>
              <w:right w:val="single" w:sz="8" w:space="0" w:color="auto"/>
            </w:tcBorders>
            <w:shd w:val="clear" w:color="auto" w:fill="auto"/>
            <w:vAlign w:val="center"/>
            <w:hideMark/>
          </w:tcPr>
          <w:p w14:paraId="6989A0CA" w14:textId="77777777" w:rsidR="009755C1" w:rsidRPr="00B27A96" w:rsidRDefault="009755C1" w:rsidP="00FA6132">
            <w:pPr>
              <w:spacing w:after="160" w:line="240" w:lineRule="auto"/>
              <w:rPr>
                <w:rFonts w:ascii="Arial" w:eastAsia="Times New Roman" w:hAnsi="Arial" w:cs="Arial"/>
                <w:sz w:val="20"/>
                <w:szCs w:val="20"/>
                <w:lang w:eastAsia="pt-BR"/>
              </w:rPr>
            </w:pPr>
            <w:r w:rsidRPr="00B27A96">
              <w:rPr>
                <w:rFonts w:ascii="Arial" w:eastAsia="Times New Roman" w:hAnsi="Arial" w:cs="Arial"/>
                <w:sz w:val="20"/>
                <w:szCs w:val="20"/>
                <w:lang w:eastAsia="pt-BR"/>
              </w:rPr>
              <w:t>Nome do Atuário Responsável</w:t>
            </w:r>
          </w:p>
        </w:tc>
        <w:tc>
          <w:tcPr>
            <w:tcW w:w="1276" w:type="dxa"/>
            <w:tcBorders>
              <w:top w:val="nil"/>
              <w:left w:val="nil"/>
              <w:bottom w:val="single" w:sz="8" w:space="0" w:color="auto"/>
              <w:right w:val="single" w:sz="8" w:space="0" w:color="auto"/>
            </w:tcBorders>
            <w:shd w:val="clear" w:color="auto" w:fill="auto"/>
            <w:vAlign w:val="center"/>
            <w:hideMark/>
          </w:tcPr>
          <w:p w14:paraId="5FEA6788" w14:textId="77777777" w:rsidR="009755C1" w:rsidRPr="00B27A96" w:rsidRDefault="009755C1" w:rsidP="00FA6132">
            <w:pPr>
              <w:spacing w:after="160" w:line="240" w:lineRule="auto"/>
              <w:jc w:val="center"/>
              <w:rPr>
                <w:rFonts w:ascii="Arial" w:eastAsia="Times New Roman" w:hAnsi="Arial" w:cs="Arial"/>
                <w:sz w:val="20"/>
                <w:szCs w:val="20"/>
                <w:lang w:eastAsia="pt-BR"/>
              </w:rPr>
            </w:pPr>
            <w:r w:rsidRPr="00B27A96">
              <w:rPr>
                <w:rFonts w:ascii="Arial" w:eastAsia="Times New Roman" w:hAnsi="Arial" w:cs="Arial"/>
                <w:sz w:val="20"/>
                <w:szCs w:val="20"/>
                <w:lang w:eastAsia="pt-BR"/>
              </w:rPr>
              <w:t>Caracter</w:t>
            </w:r>
          </w:p>
        </w:tc>
        <w:tc>
          <w:tcPr>
            <w:tcW w:w="1276" w:type="dxa"/>
            <w:tcBorders>
              <w:top w:val="nil"/>
              <w:left w:val="nil"/>
              <w:bottom w:val="single" w:sz="8" w:space="0" w:color="auto"/>
              <w:right w:val="single" w:sz="8" w:space="0" w:color="auto"/>
            </w:tcBorders>
            <w:shd w:val="clear" w:color="auto" w:fill="auto"/>
            <w:vAlign w:val="center"/>
            <w:hideMark/>
          </w:tcPr>
          <w:p w14:paraId="3E92B9CD" w14:textId="77777777" w:rsidR="009755C1" w:rsidRPr="00B27A96" w:rsidRDefault="009755C1" w:rsidP="00FA6132">
            <w:pPr>
              <w:spacing w:after="160" w:line="240" w:lineRule="auto"/>
              <w:jc w:val="center"/>
              <w:rPr>
                <w:rFonts w:ascii="Arial" w:eastAsia="Times New Roman" w:hAnsi="Arial" w:cs="Arial"/>
                <w:sz w:val="20"/>
                <w:szCs w:val="20"/>
                <w:lang w:eastAsia="pt-BR"/>
              </w:rPr>
            </w:pPr>
            <w:r w:rsidRPr="00B27A96">
              <w:rPr>
                <w:rFonts w:ascii="Arial" w:eastAsia="Times New Roman" w:hAnsi="Arial" w:cs="Arial"/>
                <w:sz w:val="20"/>
                <w:szCs w:val="20"/>
                <w:lang w:eastAsia="pt-BR"/>
              </w:rPr>
              <w:t>200</w:t>
            </w:r>
          </w:p>
        </w:tc>
        <w:tc>
          <w:tcPr>
            <w:tcW w:w="2611" w:type="dxa"/>
            <w:tcBorders>
              <w:top w:val="nil"/>
              <w:left w:val="nil"/>
              <w:bottom w:val="single" w:sz="8" w:space="0" w:color="auto"/>
              <w:right w:val="single" w:sz="8" w:space="0" w:color="auto"/>
            </w:tcBorders>
            <w:shd w:val="clear" w:color="auto" w:fill="auto"/>
            <w:vAlign w:val="center"/>
            <w:hideMark/>
          </w:tcPr>
          <w:p w14:paraId="1DEECECF" w14:textId="77777777" w:rsidR="009755C1" w:rsidRPr="00B27A96" w:rsidRDefault="009755C1" w:rsidP="00FA6132">
            <w:pPr>
              <w:spacing w:after="160" w:line="240" w:lineRule="auto"/>
              <w:rPr>
                <w:rFonts w:ascii="Arial" w:eastAsia="Times New Roman" w:hAnsi="Arial" w:cs="Arial"/>
                <w:sz w:val="20"/>
                <w:szCs w:val="20"/>
                <w:lang w:eastAsia="pt-BR"/>
              </w:rPr>
            </w:pPr>
            <w:r w:rsidRPr="00B27A96">
              <w:rPr>
                <w:rFonts w:ascii="Arial" w:eastAsia="Times New Roman" w:hAnsi="Arial" w:cs="Arial"/>
                <w:sz w:val="20"/>
                <w:szCs w:val="20"/>
                <w:lang w:eastAsia="pt-BR"/>
              </w:rPr>
              <w:t>Obrigatório</w:t>
            </w:r>
          </w:p>
        </w:tc>
      </w:tr>
    </w:tbl>
    <w:p w14:paraId="77A677C0" w14:textId="77777777" w:rsidR="009755C1" w:rsidRPr="009755C1" w:rsidRDefault="009755C1" w:rsidP="009755C1">
      <w:pPr>
        <w:spacing w:after="160" w:line="259" w:lineRule="auto"/>
        <w:jc w:val="both"/>
        <w:rPr>
          <w:rFonts w:ascii="Arial" w:eastAsia="Calibri" w:hAnsi="Arial" w:cs="Arial"/>
          <w:sz w:val="20"/>
          <w:szCs w:val="20"/>
        </w:rPr>
      </w:pPr>
    </w:p>
    <w:p w14:paraId="484CF484" w14:textId="77777777" w:rsidR="009755C1" w:rsidRPr="00735CF9" w:rsidRDefault="009755C1" w:rsidP="009755C1">
      <w:pPr>
        <w:spacing w:after="160" w:line="259" w:lineRule="auto"/>
        <w:jc w:val="both"/>
        <w:rPr>
          <w:rFonts w:ascii="Arial" w:eastAsia="Calibri" w:hAnsi="Arial" w:cs="Arial"/>
          <w:sz w:val="18"/>
          <w:szCs w:val="18"/>
        </w:rPr>
      </w:pPr>
      <w:r w:rsidRPr="00735CF9">
        <w:rPr>
          <w:rFonts w:ascii="Arial" w:eastAsia="Calibri" w:hAnsi="Arial" w:cs="Arial"/>
          <w:sz w:val="18"/>
          <w:szCs w:val="18"/>
        </w:rPr>
        <w:t>Obs.: No caso de plano financeiro, o repasse para cobertura de insuficiência financeira não deverá ser somado à receita do fundo.</w:t>
      </w:r>
    </w:p>
    <w:p w14:paraId="4B4D37DB" w14:textId="77777777" w:rsidR="009755C1" w:rsidRDefault="009755C1" w:rsidP="009755C1">
      <w:pPr>
        <w:spacing w:after="0" w:line="240" w:lineRule="auto"/>
        <w:jc w:val="both"/>
        <w:rPr>
          <w:rFonts w:ascii="Arial" w:hAnsi="Arial" w:cs="Arial"/>
          <w:b/>
          <w:color w:val="0070C0"/>
          <w:sz w:val="24"/>
          <w:szCs w:val="24"/>
        </w:rPr>
      </w:pPr>
    </w:p>
    <w:p w14:paraId="6C64A678" w14:textId="3E1B63A1" w:rsidR="009755C1" w:rsidRPr="009755C1" w:rsidRDefault="009755C1" w:rsidP="00A60EA7">
      <w:pPr>
        <w:pStyle w:val="Ttulo3"/>
        <w:rPr>
          <w:rFonts w:eastAsia="Calibri"/>
        </w:rPr>
      </w:pPr>
      <w:bookmarkStart w:id="57" w:name="_Toc94806333"/>
      <w:r w:rsidRPr="009755C1">
        <w:rPr>
          <w:rFonts w:eastAsia="Calibri"/>
        </w:rPr>
        <w:lastRenderedPageBreak/>
        <w:t>DEMDAD.XML (ou DemonstrativoDespesaAdministrativaRPPS.xml)</w:t>
      </w:r>
      <w:bookmarkEnd w:id="57"/>
    </w:p>
    <w:p w14:paraId="6C534898" w14:textId="1A772ECA" w:rsidR="00793B85" w:rsidRPr="00735CF9" w:rsidRDefault="009755C1" w:rsidP="009755C1">
      <w:pPr>
        <w:spacing w:after="0" w:line="360" w:lineRule="auto"/>
        <w:jc w:val="both"/>
        <w:rPr>
          <w:rFonts w:ascii="Arial" w:eastAsia="Calibri" w:hAnsi="Arial" w:cs="Arial"/>
        </w:rPr>
      </w:pPr>
      <w:r w:rsidRPr="00735CF9">
        <w:rPr>
          <w:rFonts w:ascii="Arial" w:eastAsia="Calibri" w:hAnsi="Arial" w:cs="Arial"/>
          <w:b/>
          <w:bCs/>
        </w:rPr>
        <w:t>Descrição: </w:t>
      </w:r>
      <w:r w:rsidR="00793B85" w:rsidRPr="00735CF9">
        <w:rPr>
          <w:rFonts w:ascii="Arial" w:eastAsia="Calibri" w:hAnsi="Arial" w:cs="Arial"/>
        </w:rPr>
        <w:t>Este arquivo evidenciará o cálculo do limite de gastos administrativos do RPPS.</w:t>
      </w:r>
    </w:p>
    <w:p w14:paraId="5214EAED" w14:textId="77777777" w:rsidR="009755C1" w:rsidRPr="009755C1" w:rsidRDefault="009755C1" w:rsidP="009755C1">
      <w:pPr>
        <w:rPr>
          <w:rFonts w:ascii="Arial" w:eastAsia="Calibri" w:hAnsi="Arial" w:cs="Arial"/>
          <w:b/>
          <w:bCs/>
          <w:sz w:val="18"/>
          <w:szCs w:val="18"/>
        </w:rPr>
      </w:pPr>
    </w:p>
    <w:p w14:paraId="07855BBF" w14:textId="77777777" w:rsidR="009755C1" w:rsidRPr="009755C1" w:rsidRDefault="009755C1" w:rsidP="009755C1">
      <w:pPr>
        <w:rPr>
          <w:rFonts w:ascii="Arial" w:eastAsia="Calibri" w:hAnsi="Arial" w:cs="Arial"/>
          <w:b/>
          <w:sz w:val="28"/>
        </w:rPr>
      </w:pPr>
      <w:r w:rsidRPr="009755C1">
        <w:rPr>
          <w:rFonts w:ascii="Arial" w:eastAsia="Calibri" w:hAnsi="Arial" w:cs="Arial"/>
          <w:b/>
          <w:bCs/>
        </w:rPr>
        <w:t>Estrutura:</w:t>
      </w:r>
    </w:p>
    <w:p w14:paraId="221D531B" w14:textId="77777777" w:rsidR="009755C1" w:rsidRPr="009755C1" w:rsidRDefault="009755C1" w:rsidP="009755C1">
      <w:pPr>
        <w:spacing w:after="0" w:line="240" w:lineRule="auto"/>
        <w:rPr>
          <w:rFonts w:ascii="Arial" w:eastAsia="Times New Roman" w:hAnsi="Arial" w:cs="Arial"/>
          <w:sz w:val="20"/>
          <w:szCs w:val="20"/>
          <w:lang w:eastAsia="pt-BR"/>
        </w:rPr>
      </w:pPr>
      <w:r w:rsidRPr="009755C1">
        <w:rPr>
          <w:rFonts w:ascii="Arial" w:eastAsia="Times New Roman" w:hAnsi="Arial" w:cs="Arial"/>
          <w:sz w:val="20"/>
          <w:szCs w:val="20"/>
          <w:lang w:eastAsia="pt-BR"/>
        </w:rPr>
        <w:t>&lt;?xml version="1.0" encoding=“UTF-8”?&gt;</w:t>
      </w:r>
    </w:p>
    <w:p w14:paraId="5A09E66F" w14:textId="77777777" w:rsidR="009755C1" w:rsidRPr="009755C1" w:rsidRDefault="009755C1" w:rsidP="009755C1">
      <w:pPr>
        <w:spacing w:after="0" w:line="240" w:lineRule="auto"/>
        <w:rPr>
          <w:rFonts w:ascii="Arial" w:eastAsia="Times New Roman" w:hAnsi="Arial" w:cs="Arial"/>
          <w:sz w:val="20"/>
          <w:szCs w:val="20"/>
          <w:lang w:eastAsia="pt-BR"/>
        </w:rPr>
      </w:pPr>
      <w:r w:rsidRPr="009755C1">
        <w:rPr>
          <w:rFonts w:ascii="Arial" w:eastAsia="Times New Roman" w:hAnsi="Arial" w:cs="Arial"/>
          <w:sz w:val="20"/>
          <w:szCs w:val="20"/>
          <w:lang w:eastAsia="pt-BR"/>
        </w:rPr>
        <w:t>&lt;PrestacaoContasAnual&gt;</w:t>
      </w:r>
    </w:p>
    <w:p w14:paraId="48DA0FEF" w14:textId="77777777" w:rsidR="009755C1" w:rsidRPr="009755C1" w:rsidRDefault="009755C1" w:rsidP="009755C1">
      <w:pPr>
        <w:spacing w:after="0" w:line="240" w:lineRule="auto"/>
        <w:ind w:left="284"/>
        <w:rPr>
          <w:rFonts w:ascii="Arial" w:eastAsia="Times New Roman" w:hAnsi="Arial" w:cs="Arial"/>
          <w:sz w:val="20"/>
          <w:szCs w:val="20"/>
          <w:lang w:eastAsia="pt-BR"/>
        </w:rPr>
      </w:pPr>
      <w:r w:rsidRPr="009755C1">
        <w:rPr>
          <w:rFonts w:ascii="Arial" w:eastAsia="Times New Roman" w:hAnsi="Arial" w:cs="Arial"/>
          <w:sz w:val="20"/>
          <w:szCs w:val="20"/>
          <w:lang w:eastAsia="pt-BR"/>
        </w:rPr>
        <w:t>&lt;DemonstrativoDespesaAdministrativaRPPS_Schema&gt;</w:t>
      </w:r>
    </w:p>
    <w:p w14:paraId="70A214F8" w14:textId="77777777" w:rsidR="009755C1" w:rsidRPr="009755C1" w:rsidRDefault="009755C1" w:rsidP="009755C1">
      <w:pPr>
        <w:spacing w:after="0" w:line="240" w:lineRule="auto"/>
        <w:ind w:left="284"/>
        <w:rPr>
          <w:rFonts w:ascii="Arial" w:eastAsia="Times New Roman" w:hAnsi="Arial" w:cs="Arial"/>
          <w:sz w:val="20"/>
          <w:szCs w:val="20"/>
          <w:lang w:eastAsia="pt-BR"/>
        </w:rPr>
      </w:pPr>
    </w:p>
    <w:p w14:paraId="150B636F" w14:textId="77777777" w:rsidR="009755C1" w:rsidRPr="009755C1" w:rsidRDefault="009755C1" w:rsidP="009755C1">
      <w:pPr>
        <w:spacing w:after="0" w:line="240" w:lineRule="auto"/>
        <w:ind w:left="567"/>
        <w:rPr>
          <w:rFonts w:ascii="Arial" w:eastAsia="Times New Roman" w:hAnsi="Arial" w:cs="Arial"/>
          <w:sz w:val="20"/>
          <w:szCs w:val="20"/>
          <w:lang w:eastAsia="pt-BR"/>
        </w:rPr>
      </w:pPr>
      <w:r w:rsidRPr="009755C1">
        <w:rPr>
          <w:rFonts w:ascii="Arial" w:eastAsia="Times New Roman" w:hAnsi="Arial" w:cs="Arial"/>
          <w:sz w:val="20"/>
          <w:szCs w:val="20"/>
          <w:lang w:eastAsia="pt-BR"/>
        </w:rPr>
        <w:t>&lt;DemonstrativoDespesaAdministrativaRPPS&gt;</w:t>
      </w:r>
    </w:p>
    <w:p w14:paraId="70F25E2E" w14:textId="77777777" w:rsidR="009755C1" w:rsidRPr="009755C1" w:rsidRDefault="009755C1" w:rsidP="009755C1">
      <w:pPr>
        <w:spacing w:after="0" w:line="240" w:lineRule="auto"/>
        <w:ind w:left="851"/>
        <w:rPr>
          <w:rFonts w:ascii="Arial" w:eastAsia="Times New Roman" w:hAnsi="Arial" w:cs="Arial"/>
          <w:sz w:val="20"/>
          <w:szCs w:val="20"/>
          <w:lang w:eastAsia="pt-BR"/>
        </w:rPr>
      </w:pPr>
      <w:r w:rsidRPr="009755C1">
        <w:rPr>
          <w:rFonts w:ascii="Arial" w:eastAsia="Times New Roman" w:hAnsi="Arial" w:cs="Arial"/>
          <w:sz w:val="20"/>
          <w:szCs w:val="20"/>
          <w:lang w:eastAsia="pt-BR"/>
        </w:rPr>
        <w:t>&lt;IdNumRegistro&gt;</w:t>
      </w:r>
      <w:r w:rsidRPr="009755C1">
        <w:rPr>
          <w:rFonts w:ascii="Arial" w:eastAsia="Times New Roman" w:hAnsi="Arial" w:cs="Arial"/>
          <w:b/>
          <w:bCs/>
          <w:sz w:val="20"/>
          <w:szCs w:val="20"/>
          <w:lang w:eastAsia="pt-BR"/>
        </w:rPr>
        <w:t>99999</w:t>
      </w:r>
      <w:r w:rsidRPr="009755C1">
        <w:rPr>
          <w:rFonts w:ascii="Arial" w:eastAsia="Times New Roman" w:hAnsi="Arial" w:cs="Arial"/>
          <w:sz w:val="20"/>
          <w:szCs w:val="20"/>
          <w:lang w:eastAsia="pt-BR"/>
        </w:rPr>
        <w:t>&lt;/IdNumRegistro&gt;</w:t>
      </w:r>
    </w:p>
    <w:p w14:paraId="1D140825" w14:textId="77777777" w:rsidR="009755C1" w:rsidRPr="009755C1" w:rsidRDefault="009755C1" w:rsidP="009755C1">
      <w:pPr>
        <w:spacing w:after="0" w:line="240" w:lineRule="auto"/>
        <w:ind w:left="851"/>
        <w:rPr>
          <w:rFonts w:ascii="Arial" w:eastAsia="Times New Roman" w:hAnsi="Arial" w:cs="Arial"/>
          <w:sz w:val="20"/>
          <w:szCs w:val="20"/>
          <w:lang w:eastAsia="pt-BR"/>
        </w:rPr>
      </w:pPr>
      <w:r w:rsidRPr="009755C1">
        <w:rPr>
          <w:rFonts w:ascii="Arial" w:eastAsia="Times New Roman" w:hAnsi="Arial" w:cs="Arial"/>
          <w:sz w:val="20"/>
          <w:szCs w:val="20"/>
          <w:lang w:eastAsia="pt-BR"/>
        </w:rPr>
        <w:t>&lt;CodigoTabela&gt;</w:t>
      </w:r>
      <w:r w:rsidRPr="009755C1">
        <w:rPr>
          <w:rFonts w:ascii="Arial" w:eastAsia="Times New Roman" w:hAnsi="Arial" w:cs="Arial"/>
          <w:b/>
          <w:sz w:val="20"/>
          <w:szCs w:val="20"/>
          <w:lang w:eastAsia="pt-BR"/>
        </w:rPr>
        <w:t>9</w:t>
      </w:r>
      <w:r w:rsidRPr="009755C1">
        <w:rPr>
          <w:rFonts w:ascii="Arial" w:eastAsia="Times New Roman" w:hAnsi="Arial" w:cs="Arial"/>
          <w:sz w:val="20"/>
          <w:szCs w:val="20"/>
          <w:lang w:eastAsia="pt-BR"/>
        </w:rPr>
        <w:t>&lt;/CodigoTabela&gt;</w:t>
      </w:r>
    </w:p>
    <w:p w14:paraId="2489299E" w14:textId="77777777" w:rsidR="009755C1" w:rsidRPr="009755C1" w:rsidRDefault="009755C1" w:rsidP="009755C1">
      <w:pPr>
        <w:spacing w:after="0" w:line="240" w:lineRule="auto"/>
        <w:ind w:left="851"/>
        <w:rPr>
          <w:rFonts w:ascii="Arial" w:eastAsia="Times New Roman" w:hAnsi="Arial" w:cs="Arial"/>
          <w:sz w:val="20"/>
          <w:szCs w:val="20"/>
          <w:lang w:eastAsia="pt-BR"/>
        </w:rPr>
      </w:pPr>
      <w:r w:rsidRPr="009755C1">
        <w:rPr>
          <w:rFonts w:ascii="Arial" w:eastAsia="Times New Roman" w:hAnsi="Arial" w:cs="Arial"/>
          <w:sz w:val="20"/>
          <w:szCs w:val="20"/>
          <w:lang w:eastAsia="pt-BR"/>
        </w:rPr>
        <w:t>&lt;CodigoUnidadeGestora&gt;</w:t>
      </w:r>
      <w:r w:rsidRPr="009755C1">
        <w:rPr>
          <w:rFonts w:ascii="Arial" w:eastAsia="Times New Roman" w:hAnsi="Arial" w:cs="Arial"/>
          <w:b/>
          <w:sz w:val="20"/>
          <w:szCs w:val="20"/>
          <w:lang w:eastAsia="pt-BR"/>
        </w:rPr>
        <w:t>XXXXXXXXXXX</w:t>
      </w:r>
      <w:r w:rsidRPr="009755C1">
        <w:rPr>
          <w:rFonts w:ascii="Arial" w:eastAsia="Times New Roman" w:hAnsi="Arial" w:cs="Arial"/>
          <w:sz w:val="20"/>
          <w:szCs w:val="20"/>
          <w:lang w:eastAsia="pt-BR"/>
        </w:rPr>
        <w:t>&lt;/CodigoUnidadeGestora&gt;</w:t>
      </w:r>
    </w:p>
    <w:p w14:paraId="3D0E5263" w14:textId="77777777" w:rsidR="009755C1" w:rsidRPr="009755C1" w:rsidRDefault="009755C1" w:rsidP="009755C1">
      <w:pPr>
        <w:spacing w:after="0" w:line="240" w:lineRule="auto"/>
        <w:ind w:left="851"/>
        <w:rPr>
          <w:rFonts w:ascii="Arial" w:eastAsia="Times New Roman" w:hAnsi="Arial" w:cs="Arial"/>
          <w:sz w:val="20"/>
          <w:szCs w:val="20"/>
          <w:lang w:eastAsia="pt-BR"/>
        </w:rPr>
      </w:pPr>
      <w:r w:rsidRPr="009755C1">
        <w:rPr>
          <w:rFonts w:ascii="Arial" w:eastAsia="Times New Roman" w:hAnsi="Arial" w:cs="Arial"/>
          <w:sz w:val="20"/>
          <w:szCs w:val="20"/>
          <w:lang w:eastAsia="pt-BR"/>
        </w:rPr>
        <w:t>&lt;DescricaoOrgaoExterno&gt;</w:t>
      </w:r>
      <w:r w:rsidRPr="009755C1">
        <w:rPr>
          <w:rFonts w:ascii="Arial" w:eastAsia="Times New Roman" w:hAnsi="Arial" w:cs="Arial"/>
          <w:b/>
          <w:sz w:val="20"/>
          <w:szCs w:val="20"/>
          <w:lang w:eastAsia="pt-BR"/>
        </w:rPr>
        <w:t>XXX...XXX</w:t>
      </w:r>
      <w:r w:rsidRPr="009755C1">
        <w:rPr>
          <w:rFonts w:ascii="Arial" w:eastAsia="Times New Roman" w:hAnsi="Arial" w:cs="Arial"/>
          <w:sz w:val="20"/>
          <w:szCs w:val="20"/>
          <w:lang w:eastAsia="pt-BR"/>
        </w:rPr>
        <w:t xml:space="preserve">&lt;/DescricaoOrgaoExterno&gt; </w:t>
      </w:r>
    </w:p>
    <w:p w14:paraId="697B7E72" w14:textId="77777777" w:rsidR="009755C1" w:rsidRPr="009755C1" w:rsidRDefault="009755C1" w:rsidP="009755C1">
      <w:pPr>
        <w:spacing w:after="0" w:line="240" w:lineRule="auto"/>
        <w:ind w:leftChars="386" w:left="849" w:firstLine="1"/>
        <w:rPr>
          <w:rFonts w:ascii="Arial" w:eastAsia="Times New Roman" w:hAnsi="Arial" w:cs="Arial"/>
          <w:sz w:val="20"/>
          <w:szCs w:val="20"/>
          <w:lang w:eastAsia="pt-BR"/>
        </w:rPr>
      </w:pPr>
      <w:r w:rsidRPr="009755C1">
        <w:rPr>
          <w:rFonts w:ascii="Arial" w:eastAsia="Times New Roman" w:hAnsi="Arial" w:cs="Arial"/>
          <w:sz w:val="20"/>
          <w:szCs w:val="20"/>
          <w:lang w:eastAsia="pt-BR"/>
        </w:rPr>
        <w:t>&lt;ValorMes01&gt;</w:t>
      </w:r>
      <w:r w:rsidRPr="009755C1">
        <w:rPr>
          <w:rFonts w:ascii="Arial" w:eastAsia="Times New Roman" w:hAnsi="Arial" w:cs="Arial"/>
          <w:b/>
          <w:sz w:val="20"/>
          <w:szCs w:val="20"/>
          <w:lang w:eastAsia="pt-BR"/>
        </w:rPr>
        <w:t>99999999999999.99</w:t>
      </w:r>
      <w:r w:rsidRPr="009755C1">
        <w:rPr>
          <w:rFonts w:ascii="Arial" w:eastAsia="Times New Roman" w:hAnsi="Arial" w:cs="Arial"/>
          <w:sz w:val="20"/>
          <w:szCs w:val="20"/>
          <w:lang w:eastAsia="pt-BR"/>
        </w:rPr>
        <w:t>&lt;/ValorMes01&gt;</w:t>
      </w:r>
    </w:p>
    <w:p w14:paraId="41AEDD7D" w14:textId="77777777" w:rsidR="009755C1" w:rsidRPr="009755C1" w:rsidRDefault="009755C1" w:rsidP="009755C1">
      <w:pPr>
        <w:spacing w:after="0" w:line="240" w:lineRule="auto"/>
        <w:ind w:leftChars="386" w:left="849" w:firstLine="1"/>
        <w:rPr>
          <w:rFonts w:ascii="Arial" w:eastAsia="Times New Roman" w:hAnsi="Arial" w:cs="Arial"/>
          <w:sz w:val="20"/>
          <w:szCs w:val="20"/>
          <w:lang w:eastAsia="pt-BR"/>
        </w:rPr>
      </w:pPr>
      <w:r w:rsidRPr="009755C1">
        <w:rPr>
          <w:rFonts w:ascii="Arial" w:eastAsia="Times New Roman" w:hAnsi="Arial" w:cs="Arial"/>
          <w:sz w:val="20"/>
          <w:szCs w:val="20"/>
          <w:lang w:eastAsia="pt-BR"/>
        </w:rPr>
        <w:t>&lt;ValorMes02&gt;</w:t>
      </w:r>
      <w:r w:rsidRPr="009755C1">
        <w:rPr>
          <w:rFonts w:ascii="Arial" w:eastAsia="Times New Roman" w:hAnsi="Arial" w:cs="Arial"/>
          <w:b/>
          <w:sz w:val="20"/>
          <w:szCs w:val="20"/>
          <w:lang w:eastAsia="pt-BR"/>
        </w:rPr>
        <w:t>99999999999999.99</w:t>
      </w:r>
      <w:r w:rsidRPr="009755C1">
        <w:rPr>
          <w:rFonts w:ascii="Arial" w:eastAsia="Times New Roman" w:hAnsi="Arial" w:cs="Arial"/>
          <w:sz w:val="20"/>
          <w:szCs w:val="20"/>
          <w:lang w:eastAsia="pt-BR"/>
        </w:rPr>
        <w:t>&lt;/ValorMes02&gt;</w:t>
      </w:r>
    </w:p>
    <w:p w14:paraId="6C73EAD6" w14:textId="77777777" w:rsidR="009755C1" w:rsidRPr="009755C1" w:rsidRDefault="009755C1" w:rsidP="009755C1">
      <w:pPr>
        <w:spacing w:after="0" w:line="240" w:lineRule="auto"/>
        <w:ind w:leftChars="386" w:left="849" w:firstLine="1"/>
        <w:rPr>
          <w:rFonts w:ascii="Arial" w:eastAsia="Times New Roman" w:hAnsi="Arial" w:cs="Arial"/>
          <w:sz w:val="20"/>
          <w:szCs w:val="20"/>
          <w:lang w:eastAsia="pt-BR"/>
        </w:rPr>
      </w:pPr>
      <w:r w:rsidRPr="009755C1">
        <w:rPr>
          <w:rFonts w:ascii="Arial" w:eastAsia="Times New Roman" w:hAnsi="Arial" w:cs="Arial"/>
          <w:sz w:val="20"/>
          <w:szCs w:val="20"/>
          <w:lang w:eastAsia="pt-BR"/>
        </w:rPr>
        <w:t>&lt;ValorMes03&gt;</w:t>
      </w:r>
      <w:r w:rsidRPr="009755C1">
        <w:rPr>
          <w:rFonts w:ascii="Arial" w:eastAsia="Times New Roman" w:hAnsi="Arial" w:cs="Arial"/>
          <w:b/>
          <w:sz w:val="20"/>
          <w:szCs w:val="20"/>
          <w:lang w:eastAsia="pt-BR"/>
        </w:rPr>
        <w:t>99999999999999.99</w:t>
      </w:r>
      <w:r w:rsidRPr="009755C1">
        <w:rPr>
          <w:rFonts w:ascii="Arial" w:eastAsia="Times New Roman" w:hAnsi="Arial" w:cs="Arial"/>
          <w:sz w:val="20"/>
          <w:szCs w:val="20"/>
          <w:lang w:eastAsia="pt-BR"/>
        </w:rPr>
        <w:t>&lt;/ValorMes03&gt;</w:t>
      </w:r>
    </w:p>
    <w:p w14:paraId="3604F932" w14:textId="77777777" w:rsidR="009755C1" w:rsidRPr="009755C1" w:rsidRDefault="009755C1" w:rsidP="009755C1">
      <w:pPr>
        <w:spacing w:after="0" w:line="240" w:lineRule="auto"/>
        <w:ind w:leftChars="386" w:left="849" w:firstLine="1"/>
        <w:rPr>
          <w:rFonts w:ascii="Arial" w:eastAsia="Times New Roman" w:hAnsi="Arial" w:cs="Arial"/>
          <w:sz w:val="20"/>
          <w:szCs w:val="20"/>
          <w:lang w:eastAsia="pt-BR"/>
        </w:rPr>
      </w:pPr>
      <w:r w:rsidRPr="009755C1">
        <w:rPr>
          <w:rFonts w:ascii="Arial" w:eastAsia="Times New Roman" w:hAnsi="Arial" w:cs="Arial"/>
          <w:sz w:val="20"/>
          <w:szCs w:val="20"/>
          <w:lang w:eastAsia="pt-BR"/>
        </w:rPr>
        <w:t>&lt;ValorMes04&gt;</w:t>
      </w:r>
      <w:r w:rsidRPr="009755C1">
        <w:rPr>
          <w:rFonts w:ascii="Arial" w:eastAsia="Times New Roman" w:hAnsi="Arial" w:cs="Arial"/>
          <w:b/>
          <w:sz w:val="20"/>
          <w:szCs w:val="20"/>
          <w:lang w:eastAsia="pt-BR"/>
        </w:rPr>
        <w:t>99999999999999.99</w:t>
      </w:r>
      <w:r w:rsidRPr="009755C1">
        <w:rPr>
          <w:rFonts w:ascii="Arial" w:eastAsia="Times New Roman" w:hAnsi="Arial" w:cs="Arial"/>
          <w:sz w:val="20"/>
          <w:szCs w:val="20"/>
          <w:lang w:eastAsia="pt-BR"/>
        </w:rPr>
        <w:t>&lt;/ValorMes04&gt;</w:t>
      </w:r>
    </w:p>
    <w:p w14:paraId="77D8CAE7" w14:textId="77777777" w:rsidR="009755C1" w:rsidRPr="009755C1" w:rsidRDefault="009755C1" w:rsidP="009755C1">
      <w:pPr>
        <w:spacing w:after="0" w:line="240" w:lineRule="auto"/>
        <w:ind w:leftChars="386" w:left="849" w:firstLine="1"/>
        <w:rPr>
          <w:rFonts w:ascii="Arial" w:eastAsia="Times New Roman" w:hAnsi="Arial" w:cs="Arial"/>
          <w:sz w:val="20"/>
          <w:szCs w:val="20"/>
          <w:lang w:eastAsia="pt-BR"/>
        </w:rPr>
      </w:pPr>
      <w:r w:rsidRPr="009755C1">
        <w:rPr>
          <w:rFonts w:ascii="Arial" w:eastAsia="Times New Roman" w:hAnsi="Arial" w:cs="Arial"/>
          <w:sz w:val="20"/>
          <w:szCs w:val="20"/>
          <w:lang w:eastAsia="pt-BR"/>
        </w:rPr>
        <w:t>&lt;ValorMes05&gt;</w:t>
      </w:r>
      <w:r w:rsidRPr="009755C1">
        <w:rPr>
          <w:rFonts w:ascii="Arial" w:eastAsia="Times New Roman" w:hAnsi="Arial" w:cs="Arial"/>
          <w:b/>
          <w:sz w:val="20"/>
          <w:szCs w:val="20"/>
          <w:lang w:eastAsia="pt-BR"/>
        </w:rPr>
        <w:t>99999999999999.99</w:t>
      </w:r>
      <w:r w:rsidRPr="009755C1">
        <w:rPr>
          <w:rFonts w:ascii="Arial" w:eastAsia="Times New Roman" w:hAnsi="Arial" w:cs="Arial"/>
          <w:sz w:val="20"/>
          <w:szCs w:val="20"/>
          <w:lang w:eastAsia="pt-BR"/>
        </w:rPr>
        <w:t>&lt;/ValorMes05&gt;</w:t>
      </w:r>
    </w:p>
    <w:p w14:paraId="52ECF4A8" w14:textId="77777777" w:rsidR="009755C1" w:rsidRPr="009755C1" w:rsidRDefault="009755C1" w:rsidP="009755C1">
      <w:pPr>
        <w:spacing w:after="0" w:line="240" w:lineRule="auto"/>
        <w:ind w:leftChars="386" w:left="849" w:firstLine="1"/>
        <w:rPr>
          <w:rFonts w:ascii="Arial" w:eastAsia="Times New Roman" w:hAnsi="Arial" w:cs="Arial"/>
          <w:sz w:val="20"/>
          <w:szCs w:val="20"/>
          <w:lang w:eastAsia="pt-BR"/>
        </w:rPr>
      </w:pPr>
      <w:r w:rsidRPr="009755C1">
        <w:rPr>
          <w:rFonts w:ascii="Arial" w:eastAsia="Times New Roman" w:hAnsi="Arial" w:cs="Arial"/>
          <w:sz w:val="20"/>
          <w:szCs w:val="20"/>
          <w:lang w:eastAsia="pt-BR"/>
        </w:rPr>
        <w:t>&lt;ValorMes06&gt;</w:t>
      </w:r>
      <w:r w:rsidRPr="009755C1">
        <w:rPr>
          <w:rFonts w:ascii="Arial" w:eastAsia="Times New Roman" w:hAnsi="Arial" w:cs="Arial"/>
          <w:b/>
          <w:sz w:val="20"/>
          <w:szCs w:val="20"/>
          <w:lang w:eastAsia="pt-BR"/>
        </w:rPr>
        <w:t>99999999999999.99</w:t>
      </w:r>
      <w:r w:rsidRPr="009755C1">
        <w:rPr>
          <w:rFonts w:ascii="Arial" w:eastAsia="Times New Roman" w:hAnsi="Arial" w:cs="Arial"/>
          <w:sz w:val="20"/>
          <w:szCs w:val="20"/>
          <w:lang w:eastAsia="pt-BR"/>
        </w:rPr>
        <w:t>&lt;/ValorMes06&gt;</w:t>
      </w:r>
    </w:p>
    <w:p w14:paraId="6772AADE" w14:textId="77777777" w:rsidR="009755C1" w:rsidRPr="009755C1" w:rsidRDefault="009755C1" w:rsidP="009755C1">
      <w:pPr>
        <w:spacing w:after="0" w:line="240" w:lineRule="auto"/>
        <w:ind w:leftChars="386" w:left="849" w:firstLine="1"/>
        <w:rPr>
          <w:rFonts w:ascii="Arial" w:eastAsia="Times New Roman" w:hAnsi="Arial" w:cs="Arial"/>
          <w:sz w:val="20"/>
          <w:szCs w:val="20"/>
          <w:lang w:eastAsia="pt-BR"/>
        </w:rPr>
      </w:pPr>
      <w:r w:rsidRPr="009755C1">
        <w:rPr>
          <w:rFonts w:ascii="Arial" w:eastAsia="Times New Roman" w:hAnsi="Arial" w:cs="Arial"/>
          <w:sz w:val="20"/>
          <w:szCs w:val="20"/>
          <w:lang w:eastAsia="pt-BR"/>
        </w:rPr>
        <w:t>&lt;ValorMes07&gt;</w:t>
      </w:r>
      <w:r w:rsidRPr="009755C1">
        <w:rPr>
          <w:rFonts w:ascii="Arial" w:eastAsia="Times New Roman" w:hAnsi="Arial" w:cs="Arial"/>
          <w:b/>
          <w:sz w:val="20"/>
          <w:szCs w:val="20"/>
          <w:lang w:eastAsia="pt-BR"/>
        </w:rPr>
        <w:t>99999999999999.99</w:t>
      </w:r>
      <w:r w:rsidRPr="009755C1">
        <w:rPr>
          <w:rFonts w:ascii="Arial" w:eastAsia="Times New Roman" w:hAnsi="Arial" w:cs="Arial"/>
          <w:sz w:val="20"/>
          <w:szCs w:val="20"/>
          <w:lang w:eastAsia="pt-BR"/>
        </w:rPr>
        <w:t>&lt;/ValorMes07&gt;</w:t>
      </w:r>
    </w:p>
    <w:p w14:paraId="3511FEAF" w14:textId="77777777" w:rsidR="009755C1" w:rsidRPr="009755C1" w:rsidRDefault="009755C1" w:rsidP="009755C1">
      <w:pPr>
        <w:spacing w:after="0" w:line="240" w:lineRule="auto"/>
        <w:ind w:leftChars="386" w:left="849" w:firstLine="1"/>
        <w:rPr>
          <w:rFonts w:ascii="Arial" w:eastAsia="Times New Roman" w:hAnsi="Arial" w:cs="Arial"/>
          <w:sz w:val="20"/>
          <w:szCs w:val="20"/>
          <w:lang w:eastAsia="pt-BR"/>
        </w:rPr>
      </w:pPr>
      <w:r w:rsidRPr="009755C1">
        <w:rPr>
          <w:rFonts w:ascii="Arial" w:eastAsia="Times New Roman" w:hAnsi="Arial" w:cs="Arial"/>
          <w:sz w:val="20"/>
          <w:szCs w:val="20"/>
          <w:lang w:eastAsia="pt-BR"/>
        </w:rPr>
        <w:t>&lt;ValorMes08&gt;</w:t>
      </w:r>
      <w:r w:rsidRPr="009755C1">
        <w:rPr>
          <w:rFonts w:ascii="Arial" w:eastAsia="Times New Roman" w:hAnsi="Arial" w:cs="Arial"/>
          <w:b/>
          <w:sz w:val="20"/>
          <w:szCs w:val="20"/>
          <w:lang w:eastAsia="pt-BR"/>
        </w:rPr>
        <w:t>99999999999999.99</w:t>
      </w:r>
      <w:r w:rsidRPr="009755C1">
        <w:rPr>
          <w:rFonts w:ascii="Arial" w:eastAsia="Times New Roman" w:hAnsi="Arial" w:cs="Arial"/>
          <w:sz w:val="20"/>
          <w:szCs w:val="20"/>
          <w:lang w:eastAsia="pt-BR"/>
        </w:rPr>
        <w:t>&lt;/ValorMes08&gt;</w:t>
      </w:r>
    </w:p>
    <w:p w14:paraId="0E6458F8" w14:textId="77777777" w:rsidR="009755C1" w:rsidRPr="009755C1" w:rsidRDefault="009755C1" w:rsidP="009755C1">
      <w:pPr>
        <w:spacing w:after="0" w:line="240" w:lineRule="auto"/>
        <w:ind w:leftChars="386" w:left="849" w:firstLine="1"/>
        <w:rPr>
          <w:rFonts w:ascii="Arial" w:eastAsia="Times New Roman" w:hAnsi="Arial" w:cs="Arial"/>
          <w:sz w:val="20"/>
          <w:szCs w:val="20"/>
          <w:lang w:eastAsia="pt-BR"/>
        </w:rPr>
      </w:pPr>
      <w:r w:rsidRPr="009755C1">
        <w:rPr>
          <w:rFonts w:ascii="Arial" w:eastAsia="Times New Roman" w:hAnsi="Arial" w:cs="Arial"/>
          <w:sz w:val="20"/>
          <w:szCs w:val="20"/>
          <w:lang w:eastAsia="pt-BR"/>
        </w:rPr>
        <w:t>&lt;ValorMes09&gt;</w:t>
      </w:r>
      <w:r w:rsidRPr="009755C1">
        <w:rPr>
          <w:rFonts w:ascii="Arial" w:eastAsia="Times New Roman" w:hAnsi="Arial" w:cs="Arial"/>
          <w:b/>
          <w:sz w:val="20"/>
          <w:szCs w:val="20"/>
          <w:lang w:eastAsia="pt-BR"/>
        </w:rPr>
        <w:t>99999999999999.99</w:t>
      </w:r>
      <w:r w:rsidRPr="009755C1">
        <w:rPr>
          <w:rFonts w:ascii="Arial" w:eastAsia="Times New Roman" w:hAnsi="Arial" w:cs="Arial"/>
          <w:sz w:val="20"/>
          <w:szCs w:val="20"/>
          <w:lang w:eastAsia="pt-BR"/>
        </w:rPr>
        <w:t>&lt;/ValorMes09&gt;</w:t>
      </w:r>
    </w:p>
    <w:p w14:paraId="3AB5C9F5" w14:textId="77777777" w:rsidR="009755C1" w:rsidRPr="009755C1" w:rsidRDefault="009755C1" w:rsidP="009755C1">
      <w:pPr>
        <w:spacing w:after="0" w:line="240" w:lineRule="auto"/>
        <w:ind w:leftChars="386" w:left="849" w:firstLine="1"/>
        <w:rPr>
          <w:rFonts w:ascii="Arial" w:eastAsia="Times New Roman" w:hAnsi="Arial" w:cs="Arial"/>
          <w:sz w:val="20"/>
          <w:szCs w:val="20"/>
          <w:lang w:eastAsia="pt-BR"/>
        </w:rPr>
      </w:pPr>
      <w:r w:rsidRPr="009755C1">
        <w:rPr>
          <w:rFonts w:ascii="Arial" w:eastAsia="Times New Roman" w:hAnsi="Arial" w:cs="Arial"/>
          <w:sz w:val="20"/>
          <w:szCs w:val="20"/>
          <w:lang w:eastAsia="pt-BR"/>
        </w:rPr>
        <w:t>&lt;ValorMes10&gt;</w:t>
      </w:r>
      <w:r w:rsidRPr="009755C1">
        <w:rPr>
          <w:rFonts w:ascii="Arial" w:eastAsia="Times New Roman" w:hAnsi="Arial" w:cs="Arial"/>
          <w:b/>
          <w:sz w:val="20"/>
          <w:szCs w:val="20"/>
          <w:lang w:eastAsia="pt-BR"/>
        </w:rPr>
        <w:t>99999999999999.99</w:t>
      </w:r>
      <w:r w:rsidRPr="009755C1">
        <w:rPr>
          <w:rFonts w:ascii="Arial" w:eastAsia="Times New Roman" w:hAnsi="Arial" w:cs="Arial"/>
          <w:sz w:val="20"/>
          <w:szCs w:val="20"/>
          <w:lang w:eastAsia="pt-BR"/>
        </w:rPr>
        <w:t>&lt;/ValorMes10&gt;</w:t>
      </w:r>
    </w:p>
    <w:p w14:paraId="6B1187C1" w14:textId="77777777" w:rsidR="009755C1" w:rsidRPr="009755C1" w:rsidRDefault="009755C1" w:rsidP="009755C1">
      <w:pPr>
        <w:spacing w:after="0" w:line="240" w:lineRule="auto"/>
        <w:ind w:leftChars="386" w:left="849" w:firstLine="1"/>
        <w:rPr>
          <w:rFonts w:ascii="Arial" w:eastAsia="Times New Roman" w:hAnsi="Arial" w:cs="Arial"/>
          <w:sz w:val="20"/>
          <w:szCs w:val="20"/>
          <w:lang w:eastAsia="pt-BR"/>
        </w:rPr>
      </w:pPr>
      <w:r w:rsidRPr="009755C1">
        <w:rPr>
          <w:rFonts w:ascii="Arial" w:eastAsia="Times New Roman" w:hAnsi="Arial" w:cs="Arial"/>
          <w:sz w:val="20"/>
          <w:szCs w:val="20"/>
          <w:lang w:eastAsia="pt-BR"/>
        </w:rPr>
        <w:t>&lt;ValorMes11&gt;</w:t>
      </w:r>
      <w:r w:rsidRPr="009755C1">
        <w:rPr>
          <w:rFonts w:ascii="Arial" w:eastAsia="Times New Roman" w:hAnsi="Arial" w:cs="Arial"/>
          <w:b/>
          <w:sz w:val="20"/>
          <w:szCs w:val="20"/>
          <w:lang w:eastAsia="pt-BR"/>
        </w:rPr>
        <w:t>99999999999999.99</w:t>
      </w:r>
      <w:r w:rsidRPr="009755C1">
        <w:rPr>
          <w:rFonts w:ascii="Arial" w:eastAsia="Times New Roman" w:hAnsi="Arial" w:cs="Arial"/>
          <w:sz w:val="20"/>
          <w:szCs w:val="20"/>
          <w:lang w:eastAsia="pt-BR"/>
        </w:rPr>
        <w:t>&lt;/ValorMes11&gt;</w:t>
      </w:r>
    </w:p>
    <w:p w14:paraId="1A91E975" w14:textId="77777777" w:rsidR="009755C1" w:rsidRPr="009755C1" w:rsidRDefault="009755C1" w:rsidP="009755C1">
      <w:pPr>
        <w:spacing w:after="0" w:line="240" w:lineRule="auto"/>
        <w:ind w:leftChars="386" w:left="849" w:firstLine="1"/>
        <w:rPr>
          <w:rFonts w:ascii="Arial" w:eastAsia="Times New Roman" w:hAnsi="Arial" w:cs="Arial"/>
          <w:sz w:val="20"/>
          <w:szCs w:val="20"/>
          <w:lang w:eastAsia="pt-BR"/>
        </w:rPr>
      </w:pPr>
      <w:r w:rsidRPr="009755C1">
        <w:rPr>
          <w:rFonts w:ascii="Arial" w:eastAsia="Times New Roman" w:hAnsi="Arial" w:cs="Arial"/>
          <w:sz w:val="20"/>
          <w:szCs w:val="20"/>
          <w:lang w:eastAsia="pt-BR"/>
        </w:rPr>
        <w:t>&lt;ValorMes12&gt;</w:t>
      </w:r>
      <w:r w:rsidRPr="009755C1">
        <w:rPr>
          <w:rFonts w:ascii="Arial" w:eastAsia="Times New Roman" w:hAnsi="Arial" w:cs="Arial"/>
          <w:b/>
          <w:sz w:val="20"/>
          <w:szCs w:val="20"/>
          <w:lang w:eastAsia="pt-BR"/>
        </w:rPr>
        <w:t>99999999999999.99</w:t>
      </w:r>
      <w:r w:rsidRPr="009755C1">
        <w:rPr>
          <w:rFonts w:ascii="Arial" w:eastAsia="Times New Roman" w:hAnsi="Arial" w:cs="Arial"/>
          <w:sz w:val="20"/>
          <w:szCs w:val="20"/>
          <w:lang w:eastAsia="pt-BR"/>
        </w:rPr>
        <w:t>&lt;/ValorMes12&gt;</w:t>
      </w:r>
    </w:p>
    <w:p w14:paraId="6AB5E82C" w14:textId="77777777" w:rsidR="009755C1" w:rsidRPr="009755C1" w:rsidRDefault="009755C1" w:rsidP="009755C1">
      <w:pPr>
        <w:spacing w:after="0" w:line="240" w:lineRule="auto"/>
        <w:ind w:left="851"/>
        <w:rPr>
          <w:rFonts w:ascii="Arial" w:eastAsia="Times New Roman" w:hAnsi="Arial" w:cs="Arial"/>
          <w:sz w:val="20"/>
          <w:szCs w:val="20"/>
          <w:lang w:eastAsia="pt-BR"/>
        </w:rPr>
      </w:pPr>
      <w:r w:rsidRPr="009755C1">
        <w:rPr>
          <w:rFonts w:ascii="Arial" w:eastAsia="Times New Roman" w:hAnsi="Arial" w:cs="Arial"/>
          <w:sz w:val="20"/>
          <w:szCs w:val="20"/>
          <w:lang w:eastAsia="pt-BR"/>
        </w:rPr>
        <w:t>&lt;ValorAnual&gt;</w:t>
      </w:r>
      <w:r w:rsidRPr="009755C1">
        <w:rPr>
          <w:rFonts w:ascii="Arial" w:eastAsia="Times New Roman" w:hAnsi="Arial" w:cs="Arial"/>
          <w:b/>
          <w:sz w:val="20"/>
          <w:szCs w:val="20"/>
          <w:lang w:eastAsia="pt-BR"/>
        </w:rPr>
        <w:t>99999999999999.99</w:t>
      </w:r>
      <w:r w:rsidRPr="009755C1">
        <w:rPr>
          <w:rFonts w:ascii="Arial" w:eastAsia="Times New Roman" w:hAnsi="Arial" w:cs="Arial"/>
          <w:sz w:val="20"/>
          <w:szCs w:val="20"/>
          <w:lang w:eastAsia="pt-BR"/>
        </w:rPr>
        <w:t>&lt;/ValorAnual&gt;</w:t>
      </w:r>
    </w:p>
    <w:p w14:paraId="5F98C270" w14:textId="77777777" w:rsidR="009755C1" w:rsidRPr="009755C1" w:rsidRDefault="009755C1" w:rsidP="009755C1">
      <w:pPr>
        <w:spacing w:after="0" w:line="240" w:lineRule="auto"/>
        <w:ind w:left="567"/>
        <w:rPr>
          <w:rFonts w:ascii="Arial" w:eastAsia="Times New Roman" w:hAnsi="Arial" w:cs="Arial"/>
          <w:sz w:val="20"/>
          <w:szCs w:val="20"/>
          <w:lang w:eastAsia="pt-BR"/>
        </w:rPr>
      </w:pPr>
      <w:r w:rsidRPr="009755C1">
        <w:rPr>
          <w:rFonts w:ascii="Arial" w:eastAsia="Times New Roman" w:hAnsi="Arial" w:cs="Arial"/>
          <w:sz w:val="20"/>
          <w:szCs w:val="20"/>
          <w:lang w:eastAsia="pt-BR"/>
        </w:rPr>
        <w:t>&lt;/DemonstrativoDespesaAdministrativaRPPS&gt;</w:t>
      </w:r>
    </w:p>
    <w:p w14:paraId="02683675" w14:textId="77777777" w:rsidR="009755C1" w:rsidRPr="009755C1" w:rsidRDefault="009755C1" w:rsidP="009755C1">
      <w:pPr>
        <w:spacing w:after="0" w:line="240" w:lineRule="auto"/>
        <w:ind w:left="567"/>
        <w:rPr>
          <w:rFonts w:ascii="Arial" w:eastAsia="Times New Roman" w:hAnsi="Arial" w:cs="Arial"/>
          <w:sz w:val="20"/>
          <w:szCs w:val="20"/>
          <w:lang w:eastAsia="pt-BR"/>
        </w:rPr>
      </w:pPr>
    </w:p>
    <w:p w14:paraId="72FDCBF7" w14:textId="77777777" w:rsidR="009755C1" w:rsidRPr="009755C1" w:rsidRDefault="009755C1" w:rsidP="009755C1">
      <w:pPr>
        <w:spacing w:after="0" w:line="240" w:lineRule="auto"/>
        <w:ind w:left="567"/>
        <w:rPr>
          <w:rFonts w:ascii="Arial" w:eastAsia="Times New Roman" w:hAnsi="Arial" w:cs="Arial"/>
          <w:sz w:val="20"/>
          <w:szCs w:val="20"/>
          <w:lang w:eastAsia="pt-BR"/>
        </w:rPr>
      </w:pPr>
      <w:r w:rsidRPr="009755C1">
        <w:rPr>
          <w:rFonts w:ascii="Arial" w:eastAsia="Times New Roman" w:hAnsi="Arial" w:cs="Arial"/>
          <w:sz w:val="20"/>
          <w:szCs w:val="20"/>
          <w:lang w:eastAsia="pt-BR"/>
        </w:rPr>
        <w:t>&lt;DemonstrativoDespesaAdministrativaRPPSLimiteGasto&gt;</w:t>
      </w:r>
    </w:p>
    <w:p w14:paraId="0D86BC0C" w14:textId="77777777" w:rsidR="009755C1" w:rsidRPr="009755C1" w:rsidRDefault="009755C1" w:rsidP="009755C1">
      <w:pPr>
        <w:spacing w:after="0" w:line="240" w:lineRule="auto"/>
        <w:ind w:left="851"/>
        <w:rPr>
          <w:rFonts w:ascii="Arial" w:eastAsia="Times New Roman" w:hAnsi="Arial" w:cs="Arial"/>
          <w:sz w:val="20"/>
          <w:szCs w:val="20"/>
          <w:lang w:eastAsia="pt-BR"/>
        </w:rPr>
      </w:pPr>
      <w:r w:rsidRPr="009755C1">
        <w:rPr>
          <w:rFonts w:ascii="Arial" w:eastAsia="Times New Roman" w:hAnsi="Arial" w:cs="Arial"/>
          <w:sz w:val="20"/>
          <w:szCs w:val="20"/>
          <w:lang w:eastAsia="pt-BR"/>
        </w:rPr>
        <w:t>&lt;IdNumRegistro&gt;</w:t>
      </w:r>
      <w:r w:rsidRPr="009755C1">
        <w:rPr>
          <w:rFonts w:ascii="Arial" w:eastAsia="Times New Roman" w:hAnsi="Arial" w:cs="Arial"/>
          <w:b/>
          <w:bCs/>
          <w:sz w:val="20"/>
          <w:szCs w:val="20"/>
          <w:lang w:eastAsia="pt-BR"/>
        </w:rPr>
        <w:t>99999</w:t>
      </w:r>
      <w:r w:rsidRPr="009755C1">
        <w:rPr>
          <w:rFonts w:ascii="Arial" w:eastAsia="Times New Roman" w:hAnsi="Arial" w:cs="Arial"/>
          <w:sz w:val="20"/>
          <w:szCs w:val="20"/>
          <w:lang w:eastAsia="pt-BR"/>
        </w:rPr>
        <w:t>&lt;/IdNumRegistro&gt;</w:t>
      </w:r>
    </w:p>
    <w:p w14:paraId="04E8BF67" w14:textId="77777777" w:rsidR="009755C1" w:rsidRPr="009755C1" w:rsidRDefault="009755C1" w:rsidP="009755C1">
      <w:pPr>
        <w:spacing w:after="0" w:line="240" w:lineRule="auto"/>
        <w:ind w:leftChars="386" w:left="849" w:firstLine="1"/>
        <w:rPr>
          <w:rFonts w:ascii="Arial" w:eastAsia="Times New Roman" w:hAnsi="Arial" w:cs="Arial"/>
          <w:sz w:val="20"/>
          <w:szCs w:val="20"/>
          <w:lang w:eastAsia="pt-BR"/>
        </w:rPr>
      </w:pPr>
      <w:r w:rsidRPr="009755C1">
        <w:rPr>
          <w:rFonts w:ascii="Arial" w:eastAsia="Times New Roman" w:hAnsi="Arial" w:cs="Arial"/>
          <w:sz w:val="20"/>
          <w:szCs w:val="20"/>
          <w:lang w:eastAsia="pt-BR"/>
        </w:rPr>
        <w:t>&lt;TotalBaseCalculo&gt;</w:t>
      </w:r>
      <w:r w:rsidRPr="009755C1">
        <w:rPr>
          <w:rFonts w:ascii="Arial" w:eastAsia="Times New Roman" w:hAnsi="Arial" w:cs="Arial"/>
          <w:b/>
          <w:sz w:val="20"/>
          <w:szCs w:val="20"/>
          <w:lang w:eastAsia="pt-BR"/>
        </w:rPr>
        <w:t>99999999999999.99</w:t>
      </w:r>
      <w:r w:rsidRPr="009755C1">
        <w:rPr>
          <w:rFonts w:ascii="Arial" w:eastAsia="Times New Roman" w:hAnsi="Arial" w:cs="Arial"/>
          <w:sz w:val="20"/>
          <w:szCs w:val="20"/>
          <w:lang w:eastAsia="pt-BR"/>
        </w:rPr>
        <w:t>&lt;/TotalBaseCalculo&gt;</w:t>
      </w:r>
    </w:p>
    <w:p w14:paraId="700377E1" w14:textId="77777777" w:rsidR="009755C1" w:rsidRPr="009755C1" w:rsidRDefault="009755C1" w:rsidP="009755C1">
      <w:pPr>
        <w:spacing w:after="0" w:line="240" w:lineRule="auto"/>
        <w:ind w:leftChars="386" w:left="849" w:firstLine="1"/>
        <w:rPr>
          <w:rFonts w:ascii="Arial" w:eastAsia="Times New Roman" w:hAnsi="Arial" w:cs="Arial"/>
          <w:sz w:val="20"/>
          <w:szCs w:val="20"/>
          <w:lang w:eastAsia="pt-BR"/>
        </w:rPr>
      </w:pPr>
      <w:r w:rsidRPr="009755C1">
        <w:rPr>
          <w:rFonts w:ascii="Arial" w:eastAsia="Times New Roman" w:hAnsi="Arial" w:cs="Arial"/>
          <w:sz w:val="20"/>
          <w:szCs w:val="20"/>
          <w:lang w:eastAsia="pt-BR"/>
        </w:rPr>
        <w:t>&lt;PercentualLegislacao&gt;</w:t>
      </w:r>
      <w:r w:rsidRPr="009755C1">
        <w:rPr>
          <w:rFonts w:ascii="Arial" w:eastAsia="Times New Roman" w:hAnsi="Arial" w:cs="Arial"/>
          <w:b/>
          <w:sz w:val="20"/>
          <w:szCs w:val="20"/>
          <w:lang w:eastAsia="pt-BR"/>
        </w:rPr>
        <w:t>99.99</w:t>
      </w:r>
      <w:r w:rsidRPr="009755C1">
        <w:rPr>
          <w:rFonts w:ascii="Arial" w:eastAsia="Times New Roman" w:hAnsi="Arial" w:cs="Arial"/>
          <w:sz w:val="20"/>
          <w:szCs w:val="20"/>
          <w:lang w:eastAsia="pt-BR"/>
        </w:rPr>
        <w:t>&lt;/PercentualLegislacao&gt;</w:t>
      </w:r>
    </w:p>
    <w:p w14:paraId="501AEC0C" w14:textId="77777777" w:rsidR="009755C1" w:rsidRPr="009755C1" w:rsidRDefault="009755C1" w:rsidP="009755C1">
      <w:pPr>
        <w:spacing w:after="0" w:line="240" w:lineRule="auto"/>
        <w:ind w:leftChars="386" w:left="849" w:firstLine="1"/>
        <w:rPr>
          <w:rFonts w:ascii="Arial" w:eastAsia="Times New Roman" w:hAnsi="Arial" w:cs="Arial"/>
          <w:sz w:val="20"/>
          <w:szCs w:val="20"/>
          <w:lang w:eastAsia="pt-BR"/>
        </w:rPr>
      </w:pPr>
      <w:r w:rsidRPr="009755C1">
        <w:rPr>
          <w:rFonts w:ascii="Arial" w:eastAsia="Times New Roman" w:hAnsi="Arial" w:cs="Arial"/>
          <w:sz w:val="20"/>
          <w:szCs w:val="20"/>
          <w:lang w:eastAsia="pt-BR"/>
        </w:rPr>
        <w:t>&lt;LimiteGastos&gt;</w:t>
      </w:r>
      <w:r w:rsidRPr="009755C1">
        <w:rPr>
          <w:rFonts w:ascii="Arial" w:eastAsia="Times New Roman" w:hAnsi="Arial" w:cs="Arial"/>
          <w:b/>
          <w:sz w:val="20"/>
          <w:szCs w:val="20"/>
          <w:lang w:eastAsia="pt-BR"/>
        </w:rPr>
        <w:t>99999999999999.99</w:t>
      </w:r>
      <w:r w:rsidRPr="009755C1">
        <w:rPr>
          <w:rFonts w:ascii="Arial" w:eastAsia="Times New Roman" w:hAnsi="Arial" w:cs="Arial"/>
          <w:sz w:val="20"/>
          <w:szCs w:val="20"/>
          <w:lang w:eastAsia="pt-BR"/>
        </w:rPr>
        <w:t>&lt;/LimiteGastos&gt;</w:t>
      </w:r>
    </w:p>
    <w:p w14:paraId="33DE6532" w14:textId="77777777" w:rsidR="009755C1" w:rsidRPr="009755C1" w:rsidRDefault="009755C1" w:rsidP="009755C1">
      <w:pPr>
        <w:spacing w:after="0" w:line="240" w:lineRule="auto"/>
        <w:ind w:left="567"/>
        <w:rPr>
          <w:rFonts w:ascii="Arial" w:eastAsia="Times New Roman" w:hAnsi="Arial" w:cs="Arial"/>
          <w:sz w:val="20"/>
          <w:szCs w:val="20"/>
          <w:lang w:eastAsia="pt-BR"/>
        </w:rPr>
      </w:pPr>
      <w:r w:rsidRPr="009755C1">
        <w:rPr>
          <w:rFonts w:ascii="Arial" w:eastAsia="Times New Roman" w:hAnsi="Arial" w:cs="Arial"/>
          <w:sz w:val="20"/>
          <w:szCs w:val="20"/>
          <w:lang w:eastAsia="pt-BR"/>
        </w:rPr>
        <w:t>&lt;/DemonstrativoDespesaAdministrativaRPPSLimiteGasto&gt;</w:t>
      </w:r>
    </w:p>
    <w:p w14:paraId="75DD0B06" w14:textId="77777777" w:rsidR="009755C1" w:rsidRPr="009755C1" w:rsidRDefault="009755C1" w:rsidP="009755C1">
      <w:pPr>
        <w:spacing w:after="0" w:line="240" w:lineRule="auto"/>
        <w:ind w:left="567"/>
        <w:rPr>
          <w:rFonts w:ascii="Arial" w:eastAsia="Times New Roman" w:hAnsi="Arial" w:cs="Arial"/>
          <w:sz w:val="20"/>
          <w:szCs w:val="20"/>
          <w:lang w:eastAsia="pt-BR"/>
        </w:rPr>
      </w:pPr>
    </w:p>
    <w:p w14:paraId="3BFCD98B" w14:textId="77777777" w:rsidR="009755C1" w:rsidRPr="009755C1" w:rsidRDefault="009755C1" w:rsidP="009755C1">
      <w:pPr>
        <w:spacing w:after="0" w:line="240" w:lineRule="auto"/>
        <w:ind w:left="567"/>
        <w:rPr>
          <w:rFonts w:ascii="Arial" w:eastAsia="Times New Roman" w:hAnsi="Arial" w:cs="Arial"/>
          <w:sz w:val="20"/>
          <w:szCs w:val="20"/>
          <w:lang w:eastAsia="pt-BR"/>
        </w:rPr>
      </w:pPr>
      <w:r w:rsidRPr="009755C1">
        <w:rPr>
          <w:rFonts w:ascii="Arial" w:eastAsia="Times New Roman" w:hAnsi="Arial" w:cs="Arial"/>
          <w:sz w:val="20"/>
          <w:szCs w:val="20"/>
          <w:lang w:eastAsia="pt-BR"/>
        </w:rPr>
        <w:t>&lt; DemonstrativoDespesaAdministrativaRPPSInformacaoBancaria&gt;</w:t>
      </w:r>
    </w:p>
    <w:p w14:paraId="6E3286C8" w14:textId="77777777" w:rsidR="005A1BB8" w:rsidRDefault="005A1BB8" w:rsidP="009755C1">
      <w:pPr>
        <w:spacing w:after="0" w:line="240" w:lineRule="auto"/>
        <w:ind w:leftChars="386" w:left="849" w:firstLine="1"/>
        <w:rPr>
          <w:rFonts w:ascii="Arial" w:eastAsia="Times New Roman" w:hAnsi="Arial" w:cs="Arial"/>
          <w:sz w:val="20"/>
          <w:szCs w:val="20"/>
          <w:lang w:eastAsia="pt-BR"/>
        </w:rPr>
      </w:pPr>
      <w:r w:rsidRPr="009755C1">
        <w:rPr>
          <w:rFonts w:ascii="Arial" w:eastAsia="Times New Roman" w:hAnsi="Arial" w:cs="Arial"/>
          <w:sz w:val="20"/>
          <w:szCs w:val="20"/>
          <w:lang w:eastAsia="pt-BR"/>
        </w:rPr>
        <w:t>&lt;IdNumRegistro&gt;</w:t>
      </w:r>
      <w:r w:rsidRPr="009755C1">
        <w:rPr>
          <w:rFonts w:ascii="Arial" w:eastAsia="Times New Roman" w:hAnsi="Arial" w:cs="Arial"/>
          <w:b/>
          <w:bCs/>
          <w:sz w:val="20"/>
          <w:szCs w:val="20"/>
          <w:lang w:eastAsia="pt-BR"/>
        </w:rPr>
        <w:t>99999</w:t>
      </w:r>
      <w:r w:rsidRPr="009755C1">
        <w:rPr>
          <w:rFonts w:ascii="Arial" w:eastAsia="Times New Roman" w:hAnsi="Arial" w:cs="Arial"/>
          <w:sz w:val="20"/>
          <w:szCs w:val="20"/>
          <w:lang w:eastAsia="pt-BR"/>
        </w:rPr>
        <w:t>&lt;/IdNumRegistro&gt;</w:t>
      </w:r>
    </w:p>
    <w:p w14:paraId="236985F8" w14:textId="77777777" w:rsidR="009755C1" w:rsidRPr="009755C1" w:rsidRDefault="009755C1" w:rsidP="009755C1">
      <w:pPr>
        <w:spacing w:after="0" w:line="240" w:lineRule="auto"/>
        <w:ind w:leftChars="386" w:left="849" w:firstLine="1"/>
        <w:rPr>
          <w:rFonts w:ascii="Arial" w:eastAsia="Times New Roman" w:hAnsi="Arial" w:cs="Arial"/>
          <w:sz w:val="20"/>
          <w:szCs w:val="20"/>
          <w:lang w:eastAsia="pt-BR"/>
        </w:rPr>
      </w:pPr>
      <w:r w:rsidRPr="009755C1">
        <w:rPr>
          <w:rFonts w:ascii="Arial" w:eastAsia="Times New Roman" w:hAnsi="Arial" w:cs="Arial"/>
          <w:sz w:val="20"/>
          <w:szCs w:val="20"/>
          <w:lang w:eastAsia="pt-BR"/>
        </w:rPr>
        <w:t>&lt;CodigoBanco&gt;</w:t>
      </w:r>
      <w:r w:rsidRPr="00A1329F">
        <w:rPr>
          <w:rFonts w:ascii="Arial" w:eastAsia="Times New Roman" w:hAnsi="Arial" w:cs="Arial"/>
          <w:b/>
          <w:sz w:val="20"/>
          <w:szCs w:val="20"/>
          <w:lang w:eastAsia="pt-BR"/>
        </w:rPr>
        <w:t>XXX</w:t>
      </w:r>
      <w:r w:rsidRPr="009755C1">
        <w:rPr>
          <w:rFonts w:ascii="Arial" w:eastAsia="Times New Roman" w:hAnsi="Arial" w:cs="Arial"/>
          <w:sz w:val="20"/>
          <w:szCs w:val="20"/>
          <w:lang w:eastAsia="pt-BR"/>
        </w:rPr>
        <w:t>&lt;/CodigoBanco&gt;</w:t>
      </w:r>
    </w:p>
    <w:p w14:paraId="2245305F" w14:textId="77777777" w:rsidR="009755C1" w:rsidRDefault="009755C1" w:rsidP="009755C1">
      <w:pPr>
        <w:spacing w:after="0" w:line="240" w:lineRule="auto"/>
        <w:ind w:leftChars="386" w:left="849" w:firstLine="1"/>
        <w:rPr>
          <w:rFonts w:ascii="Arial" w:eastAsia="Times New Roman" w:hAnsi="Arial" w:cs="Arial"/>
          <w:sz w:val="20"/>
          <w:szCs w:val="20"/>
          <w:lang w:eastAsia="pt-BR"/>
        </w:rPr>
      </w:pPr>
      <w:r w:rsidRPr="009755C1">
        <w:rPr>
          <w:rFonts w:ascii="Arial" w:eastAsia="Times New Roman" w:hAnsi="Arial" w:cs="Arial"/>
          <w:sz w:val="20"/>
          <w:szCs w:val="20"/>
          <w:lang w:eastAsia="pt-BR"/>
        </w:rPr>
        <w:t>&lt;CodigoAgencia&gt;</w:t>
      </w:r>
      <w:r w:rsidRPr="00A1329F">
        <w:rPr>
          <w:rFonts w:ascii="Arial" w:eastAsia="Times New Roman" w:hAnsi="Arial" w:cs="Arial"/>
          <w:b/>
          <w:sz w:val="20"/>
          <w:szCs w:val="20"/>
          <w:lang w:eastAsia="pt-BR"/>
        </w:rPr>
        <w:t>XXX...XXX</w:t>
      </w:r>
      <w:r w:rsidRPr="009755C1">
        <w:rPr>
          <w:rFonts w:ascii="Arial" w:eastAsia="Times New Roman" w:hAnsi="Arial" w:cs="Arial"/>
          <w:sz w:val="20"/>
          <w:szCs w:val="20"/>
          <w:lang w:eastAsia="pt-BR"/>
        </w:rPr>
        <w:t>&lt;/CodigoAgencia&gt;</w:t>
      </w:r>
    </w:p>
    <w:p w14:paraId="535D659B" w14:textId="77777777" w:rsidR="00FA2EB2" w:rsidRPr="00735CF9" w:rsidRDefault="00FA2EB2" w:rsidP="009755C1">
      <w:pPr>
        <w:spacing w:after="0" w:line="240" w:lineRule="auto"/>
        <w:ind w:leftChars="386" w:left="849" w:firstLine="1"/>
        <w:rPr>
          <w:rFonts w:ascii="Arial" w:eastAsia="Times New Roman" w:hAnsi="Arial" w:cs="Arial"/>
          <w:sz w:val="20"/>
          <w:szCs w:val="20"/>
          <w:lang w:eastAsia="pt-BR"/>
        </w:rPr>
      </w:pPr>
      <w:r w:rsidRPr="00735CF9">
        <w:rPr>
          <w:rFonts w:ascii="Arial" w:eastAsia="Times New Roman" w:hAnsi="Arial" w:cs="Arial"/>
          <w:sz w:val="20"/>
          <w:szCs w:val="20"/>
          <w:lang w:eastAsia="pt-BR"/>
        </w:rPr>
        <w:t>&lt;DigitoVerificadorAgencia&gt;X&lt;/DigitoVerificadorAgencia&gt;</w:t>
      </w:r>
    </w:p>
    <w:p w14:paraId="410FD4E2" w14:textId="77777777" w:rsidR="009755C1" w:rsidRPr="009755C1" w:rsidRDefault="009755C1" w:rsidP="009755C1">
      <w:pPr>
        <w:spacing w:after="0" w:line="240" w:lineRule="auto"/>
        <w:ind w:leftChars="386" w:left="849" w:firstLine="1"/>
        <w:rPr>
          <w:rFonts w:ascii="Arial" w:eastAsia="Times New Roman" w:hAnsi="Arial" w:cs="Arial"/>
          <w:sz w:val="20"/>
          <w:szCs w:val="20"/>
          <w:lang w:eastAsia="pt-BR"/>
        </w:rPr>
      </w:pPr>
      <w:r w:rsidRPr="009755C1">
        <w:rPr>
          <w:rFonts w:ascii="Arial" w:eastAsia="Times New Roman" w:hAnsi="Arial" w:cs="Arial"/>
          <w:sz w:val="20"/>
          <w:szCs w:val="20"/>
          <w:lang w:eastAsia="pt-BR"/>
        </w:rPr>
        <w:t>&lt;NumeroContaBancaria&gt;</w:t>
      </w:r>
      <w:r w:rsidRPr="00A1329F">
        <w:rPr>
          <w:rFonts w:ascii="Arial" w:eastAsia="Times New Roman" w:hAnsi="Arial" w:cs="Arial"/>
          <w:b/>
          <w:sz w:val="20"/>
          <w:szCs w:val="20"/>
          <w:lang w:eastAsia="pt-BR"/>
        </w:rPr>
        <w:t>XXX...XXX</w:t>
      </w:r>
      <w:r w:rsidRPr="009755C1">
        <w:rPr>
          <w:rFonts w:ascii="Arial" w:eastAsia="Times New Roman" w:hAnsi="Arial" w:cs="Arial"/>
          <w:sz w:val="20"/>
          <w:szCs w:val="20"/>
          <w:lang w:eastAsia="pt-BR"/>
        </w:rPr>
        <w:t>&lt;/NumeroContaBancaria&gt;</w:t>
      </w:r>
    </w:p>
    <w:p w14:paraId="1766B952" w14:textId="77777777" w:rsidR="00FA2EB2" w:rsidRPr="00735CF9" w:rsidRDefault="00FA2EB2" w:rsidP="00FA2EB2">
      <w:pPr>
        <w:spacing w:after="0" w:line="240" w:lineRule="auto"/>
        <w:ind w:leftChars="386" w:left="849" w:firstLine="1"/>
        <w:rPr>
          <w:rFonts w:ascii="Arial" w:eastAsia="Times New Roman" w:hAnsi="Arial" w:cs="Arial"/>
          <w:sz w:val="20"/>
          <w:szCs w:val="20"/>
          <w:lang w:eastAsia="pt-BR"/>
        </w:rPr>
      </w:pPr>
      <w:r w:rsidRPr="00735CF9">
        <w:rPr>
          <w:rFonts w:ascii="Arial" w:eastAsia="Times New Roman" w:hAnsi="Arial" w:cs="Arial"/>
          <w:sz w:val="20"/>
          <w:szCs w:val="20"/>
          <w:lang w:eastAsia="pt-BR"/>
        </w:rPr>
        <w:t>&lt;DigitoVerificadorContaBancaria&gt;X&lt;/DigitoVerificadorContaBancaria&gt;</w:t>
      </w:r>
    </w:p>
    <w:p w14:paraId="5AE042BF" w14:textId="77777777" w:rsidR="009755C1" w:rsidRPr="009755C1" w:rsidRDefault="009755C1" w:rsidP="009755C1">
      <w:pPr>
        <w:spacing w:after="0" w:line="240" w:lineRule="auto"/>
        <w:ind w:leftChars="386" w:left="849" w:firstLine="1"/>
        <w:rPr>
          <w:rFonts w:ascii="Arial" w:eastAsia="Times New Roman" w:hAnsi="Arial" w:cs="Arial"/>
          <w:sz w:val="20"/>
          <w:szCs w:val="20"/>
          <w:lang w:eastAsia="pt-BR"/>
        </w:rPr>
      </w:pPr>
      <w:r w:rsidRPr="009755C1">
        <w:rPr>
          <w:rFonts w:ascii="Arial" w:eastAsia="Times New Roman" w:hAnsi="Arial" w:cs="Arial"/>
          <w:sz w:val="20"/>
          <w:szCs w:val="20"/>
          <w:lang w:eastAsia="pt-BR"/>
        </w:rPr>
        <w:t>&lt;TipoContaBancaria&gt;</w:t>
      </w:r>
      <w:r w:rsidRPr="00A1329F">
        <w:rPr>
          <w:rFonts w:ascii="Arial" w:eastAsia="Times New Roman" w:hAnsi="Arial" w:cs="Arial"/>
          <w:b/>
          <w:sz w:val="20"/>
          <w:szCs w:val="20"/>
          <w:lang w:eastAsia="pt-BR"/>
        </w:rPr>
        <w:t>9</w:t>
      </w:r>
      <w:r w:rsidRPr="009755C1">
        <w:rPr>
          <w:rFonts w:ascii="Arial" w:eastAsia="Times New Roman" w:hAnsi="Arial" w:cs="Arial"/>
          <w:sz w:val="20"/>
          <w:szCs w:val="20"/>
          <w:lang w:eastAsia="pt-BR"/>
        </w:rPr>
        <w:t>&lt;/TipoContaBancaria&gt;</w:t>
      </w:r>
    </w:p>
    <w:p w14:paraId="686D8FEC" w14:textId="77777777" w:rsidR="009755C1" w:rsidRPr="009755C1" w:rsidRDefault="009755C1" w:rsidP="009755C1">
      <w:pPr>
        <w:spacing w:after="0" w:line="240" w:lineRule="auto"/>
        <w:ind w:leftChars="386" w:left="849" w:firstLine="1"/>
        <w:rPr>
          <w:rFonts w:ascii="Arial" w:eastAsia="Times New Roman" w:hAnsi="Arial" w:cs="Arial"/>
          <w:sz w:val="20"/>
          <w:szCs w:val="20"/>
          <w:lang w:eastAsia="pt-BR"/>
        </w:rPr>
      </w:pPr>
      <w:r w:rsidRPr="009755C1">
        <w:rPr>
          <w:rFonts w:ascii="Arial" w:eastAsia="Times New Roman" w:hAnsi="Arial" w:cs="Arial"/>
          <w:sz w:val="20"/>
          <w:szCs w:val="20"/>
          <w:lang w:eastAsia="pt-BR"/>
        </w:rPr>
        <w:t>&lt;ComplementoContaBancaria&gt;</w:t>
      </w:r>
      <w:r w:rsidRPr="00A1329F">
        <w:rPr>
          <w:rFonts w:ascii="Arial" w:eastAsia="Times New Roman" w:hAnsi="Arial" w:cs="Arial"/>
          <w:b/>
          <w:sz w:val="20"/>
          <w:szCs w:val="20"/>
          <w:lang w:eastAsia="pt-BR"/>
        </w:rPr>
        <w:t>XXXXXXXXXX</w:t>
      </w:r>
      <w:r w:rsidRPr="009755C1">
        <w:rPr>
          <w:rFonts w:ascii="Arial" w:eastAsia="Times New Roman" w:hAnsi="Arial" w:cs="Arial"/>
          <w:sz w:val="20"/>
          <w:szCs w:val="20"/>
          <w:lang w:eastAsia="pt-BR"/>
        </w:rPr>
        <w:t>&lt;/ComplementoContaBancaria&gt;</w:t>
      </w:r>
    </w:p>
    <w:p w14:paraId="4E373836" w14:textId="77777777" w:rsidR="009755C1" w:rsidRPr="009755C1" w:rsidRDefault="009755C1" w:rsidP="009755C1">
      <w:pPr>
        <w:spacing w:after="0" w:line="240" w:lineRule="auto"/>
        <w:ind w:left="567"/>
        <w:rPr>
          <w:rFonts w:ascii="Arial" w:eastAsia="Times New Roman" w:hAnsi="Arial" w:cs="Arial"/>
          <w:sz w:val="20"/>
          <w:szCs w:val="20"/>
          <w:lang w:eastAsia="pt-BR"/>
        </w:rPr>
      </w:pPr>
      <w:r w:rsidRPr="009755C1">
        <w:rPr>
          <w:rFonts w:ascii="Arial" w:eastAsia="Times New Roman" w:hAnsi="Arial" w:cs="Arial"/>
          <w:sz w:val="20"/>
          <w:szCs w:val="20"/>
          <w:lang w:eastAsia="pt-BR"/>
        </w:rPr>
        <w:t>&lt;</w:t>
      </w:r>
      <w:r w:rsidRPr="009755C1">
        <w:rPr>
          <w:rFonts w:ascii="Arial" w:eastAsia="Calibri" w:hAnsi="Arial" w:cs="Arial"/>
          <w:sz w:val="20"/>
          <w:szCs w:val="20"/>
        </w:rPr>
        <w:t>/</w:t>
      </w:r>
      <w:r w:rsidRPr="009755C1">
        <w:rPr>
          <w:rFonts w:ascii="Arial" w:eastAsia="Times New Roman" w:hAnsi="Arial" w:cs="Arial"/>
          <w:sz w:val="20"/>
          <w:szCs w:val="20"/>
          <w:lang w:eastAsia="pt-BR"/>
        </w:rPr>
        <w:t>DemonstrativoDespesaAdministrativa</w:t>
      </w:r>
      <w:r w:rsidR="005A1BB8" w:rsidRPr="009755C1">
        <w:rPr>
          <w:rFonts w:ascii="Arial" w:eastAsia="Times New Roman" w:hAnsi="Arial" w:cs="Arial"/>
          <w:sz w:val="20"/>
          <w:szCs w:val="20"/>
          <w:lang w:eastAsia="pt-BR"/>
        </w:rPr>
        <w:t>RPPS</w:t>
      </w:r>
      <w:r w:rsidRPr="009755C1">
        <w:rPr>
          <w:rFonts w:ascii="Arial" w:eastAsia="Times New Roman" w:hAnsi="Arial" w:cs="Arial"/>
          <w:sz w:val="20"/>
          <w:szCs w:val="20"/>
          <w:lang w:eastAsia="pt-BR"/>
        </w:rPr>
        <w:t>InformacaoBancaria&gt;</w:t>
      </w:r>
    </w:p>
    <w:p w14:paraId="3774438A" w14:textId="77777777" w:rsidR="009755C1" w:rsidRPr="009755C1" w:rsidRDefault="009755C1" w:rsidP="009755C1">
      <w:pPr>
        <w:spacing w:after="0" w:line="240" w:lineRule="auto"/>
        <w:ind w:left="567"/>
        <w:rPr>
          <w:rFonts w:ascii="Arial" w:eastAsia="Times New Roman" w:hAnsi="Arial" w:cs="Arial"/>
          <w:sz w:val="20"/>
          <w:szCs w:val="20"/>
          <w:lang w:eastAsia="pt-BR"/>
        </w:rPr>
      </w:pPr>
    </w:p>
    <w:p w14:paraId="024FC966" w14:textId="77777777" w:rsidR="009755C1" w:rsidRPr="009755C1" w:rsidRDefault="009755C1" w:rsidP="009755C1">
      <w:pPr>
        <w:spacing w:after="0" w:line="240" w:lineRule="auto"/>
        <w:ind w:left="284"/>
        <w:rPr>
          <w:rFonts w:ascii="Arial" w:eastAsia="Times New Roman" w:hAnsi="Arial" w:cs="Arial"/>
          <w:sz w:val="20"/>
          <w:szCs w:val="20"/>
          <w:lang w:eastAsia="pt-BR"/>
        </w:rPr>
      </w:pPr>
      <w:r w:rsidRPr="009755C1">
        <w:rPr>
          <w:rFonts w:ascii="Arial" w:eastAsia="Times New Roman" w:hAnsi="Arial" w:cs="Arial"/>
          <w:sz w:val="20"/>
          <w:szCs w:val="20"/>
          <w:lang w:eastAsia="pt-BR"/>
        </w:rPr>
        <w:t>&lt;/DemonstrativoDespesaAdministrativaRPPS_Schema&gt;</w:t>
      </w:r>
    </w:p>
    <w:p w14:paraId="49EDED60" w14:textId="77777777" w:rsidR="009755C1" w:rsidRPr="009755C1" w:rsidRDefault="009755C1" w:rsidP="009755C1">
      <w:pPr>
        <w:spacing w:after="0" w:line="240" w:lineRule="auto"/>
        <w:rPr>
          <w:rFonts w:ascii="Arial" w:eastAsia="Times New Roman" w:hAnsi="Arial" w:cs="Arial"/>
          <w:sz w:val="20"/>
          <w:szCs w:val="20"/>
          <w:lang w:eastAsia="pt-BR"/>
        </w:rPr>
      </w:pPr>
      <w:r w:rsidRPr="009755C1">
        <w:rPr>
          <w:rFonts w:ascii="Arial" w:eastAsia="Times New Roman" w:hAnsi="Arial" w:cs="Arial"/>
          <w:sz w:val="20"/>
          <w:szCs w:val="20"/>
          <w:lang w:eastAsia="pt-BR"/>
        </w:rPr>
        <w:t>&lt;/PrestacaoContasAnual&gt;</w:t>
      </w:r>
    </w:p>
    <w:p w14:paraId="47B852DE" w14:textId="77777777" w:rsidR="009755C1" w:rsidRPr="009755C1" w:rsidRDefault="009755C1" w:rsidP="009755C1">
      <w:pPr>
        <w:spacing w:after="0" w:line="240" w:lineRule="auto"/>
        <w:ind w:right="600"/>
        <w:rPr>
          <w:rFonts w:ascii="Arial" w:eastAsia="Calibri" w:hAnsi="Arial" w:cs="Arial"/>
          <w:sz w:val="20"/>
          <w:szCs w:val="20"/>
          <w:lang w:eastAsia="pt-BR"/>
        </w:rPr>
      </w:pPr>
    </w:p>
    <w:p w14:paraId="054FFB13" w14:textId="77777777" w:rsidR="009755C1" w:rsidRPr="009755C1" w:rsidRDefault="009755C1" w:rsidP="009755C1">
      <w:pPr>
        <w:spacing w:after="0" w:line="240" w:lineRule="auto"/>
        <w:ind w:right="600"/>
        <w:rPr>
          <w:rFonts w:ascii="Arial" w:eastAsia="Calibri" w:hAnsi="Arial" w:cs="Arial"/>
          <w:sz w:val="20"/>
          <w:szCs w:val="20"/>
          <w:lang w:eastAsia="pt-BR"/>
        </w:rPr>
      </w:pPr>
    </w:p>
    <w:tbl>
      <w:tblPr>
        <w:tblW w:w="9366" w:type="dxa"/>
        <w:tblInd w:w="60" w:type="dxa"/>
        <w:tblLayout w:type="fixed"/>
        <w:tblCellMar>
          <w:left w:w="70" w:type="dxa"/>
          <w:right w:w="70" w:type="dxa"/>
        </w:tblCellMar>
        <w:tblLook w:val="04A0" w:firstRow="1" w:lastRow="0" w:firstColumn="1" w:lastColumn="0" w:noHBand="0" w:noVBand="1"/>
      </w:tblPr>
      <w:tblGrid>
        <w:gridCol w:w="3272"/>
        <w:gridCol w:w="1276"/>
        <w:gridCol w:w="1276"/>
        <w:gridCol w:w="3542"/>
      </w:tblGrid>
      <w:tr w:rsidR="009755C1" w:rsidRPr="009755C1" w14:paraId="5C18CD86" w14:textId="77777777" w:rsidTr="00FA6132">
        <w:trPr>
          <w:trHeight w:val="315"/>
        </w:trPr>
        <w:tc>
          <w:tcPr>
            <w:tcW w:w="3272" w:type="dxa"/>
            <w:tcBorders>
              <w:top w:val="single" w:sz="8" w:space="0" w:color="auto"/>
              <w:left w:val="single" w:sz="8" w:space="0" w:color="auto"/>
              <w:bottom w:val="single" w:sz="8" w:space="0" w:color="auto"/>
              <w:right w:val="single" w:sz="8" w:space="0" w:color="auto"/>
            </w:tcBorders>
            <w:shd w:val="clear" w:color="000000" w:fill="C0C0C0"/>
            <w:vAlign w:val="center"/>
            <w:hideMark/>
          </w:tcPr>
          <w:p w14:paraId="685FB502" w14:textId="77777777" w:rsidR="009755C1" w:rsidRPr="009755C1" w:rsidRDefault="009755C1" w:rsidP="00FA6132">
            <w:pPr>
              <w:spacing w:after="160" w:line="240" w:lineRule="auto"/>
              <w:jc w:val="center"/>
              <w:rPr>
                <w:rFonts w:ascii="Arial" w:eastAsia="Times New Roman" w:hAnsi="Arial" w:cs="Arial"/>
                <w:b/>
                <w:bCs/>
                <w:sz w:val="20"/>
                <w:szCs w:val="20"/>
                <w:lang w:eastAsia="pt-BR"/>
              </w:rPr>
            </w:pPr>
            <w:r w:rsidRPr="009755C1">
              <w:rPr>
                <w:rFonts w:ascii="Arial" w:eastAsia="Times New Roman" w:hAnsi="Arial" w:cs="Arial"/>
                <w:b/>
                <w:bCs/>
                <w:sz w:val="20"/>
                <w:szCs w:val="20"/>
                <w:lang w:eastAsia="pt-BR"/>
              </w:rPr>
              <w:t>Campo</w:t>
            </w:r>
          </w:p>
        </w:tc>
        <w:tc>
          <w:tcPr>
            <w:tcW w:w="1276" w:type="dxa"/>
            <w:tcBorders>
              <w:top w:val="single" w:sz="8" w:space="0" w:color="auto"/>
              <w:left w:val="nil"/>
              <w:bottom w:val="single" w:sz="8" w:space="0" w:color="auto"/>
              <w:right w:val="single" w:sz="8" w:space="0" w:color="auto"/>
            </w:tcBorders>
            <w:shd w:val="clear" w:color="000000" w:fill="C0C0C0"/>
            <w:vAlign w:val="center"/>
            <w:hideMark/>
          </w:tcPr>
          <w:p w14:paraId="3AAFF4E7" w14:textId="77777777" w:rsidR="009755C1" w:rsidRPr="009755C1" w:rsidRDefault="009755C1" w:rsidP="00FA6132">
            <w:pPr>
              <w:spacing w:after="160" w:line="240" w:lineRule="auto"/>
              <w:jc w:val="center"/>
              <w:rPr>
                <w:rFonts w:ascii="Arial" w:eastAsia="Times New Roman" w:hAnsi="Arial" w:cs="Arial"/>
                <w:b/>
                <w:bCs/>
                <w:sz w:val="20"/>
                <w:szCs w:val="20"/>
                <w:lang w:eastAsia="pt-BR"/>
              </w:rPr>
            </w:pPr>
            <w:r w:rsidRPr="009755C1">
              <w:rPr>
                <w:rFonts w:ascii="Arial" w:eastAsia="Times New Roman" w:hAnsi="Arial" w:cs="Arial"/>
                <w:b/>
                <w:bCs/>
                <w:sz w:val="20"/>
                <w:szCs w:val="20"/>
                <w:lang w:eastAsia="pt-BR"/>
              </w:rPr>
              <w:t>Tipo</w:t>
            </w:r>
          </w:p>
        </w:tc>
        <w:tc>
          <w:tcPr>
            <w:tcW w:w="1276" w:type="dxa"/>
            <w:tcBorders>
              <w:top w:val="single" w:sz="8" w:space="0" w:color="auto"/>
              <w:left w:val="nil"/>
              <w:bottom w:val="single" w:sz="8" w:space="0" w:color="auto"/>
              <w:right w:val="single" w:sz="8" w:space="0" w:color="auto"/>
            </w:tcBorders>
            <w:shd w:val="clear" w:color="000000" w:fill="C0C0C0"/>
            <w:vAlign w:val="center"/>
            <w:hideMark/>
          </w:tcPr>
          <w:p w14:paraId="0B532055" w14:textId="77777777" w:rsidR="009755C1" w:rsidRPr="009755C1" w:rsidRDefault="009755C1" w:rsidP="00FA6132">
            <w:pPr>
              <w:spacing w:after="160" w:line="240" w:lineRule="auto"/>
              <w:jc w:val="center"/>
              <w:rPr>
                <w:rFonts w:ascii="Arial" w:eastAsia="Times New Roman" w:hAnsi="Arial" w:cs="Arial"/>
                <w:b/>
                <w:bCs/>
                <w:sz w:val="20"/>
                <w:szCs w:val="20"/>
                <w:lang w:eastAsia="pt-BR"/>
              </w:rPr>
            </w:pPr>
            <w:r w:rsidRPr="009755C1">
              <w:rPr>
                <w:rFonts w:ascii="Arial" w:eastAsia="Times New Roman" w:hAnsi="Arial" w:cs="Arial"/>
                <w:b/>
                <w:bCs/>
                <w:sz w:val="20"/>
                <w:szCs w:val="20"/>
                <w:lang w:eastAsia="pt-BR"/>
              </w:rPr>
              <w:t>Tamanho</w:t>
            </w:r>
          </w:p>
        </w:tc>
        <w:tc>
          <w:tcPr>
            <w:tcW w:w="3542" w:type="dxa"/>
            <w:tcBorders>
              <w:top w:val="single" w:sz="8" w:space="0" w:color="auto"/>
              <w:left w:val="nil"/>
              <w:bottom w:val="single" w:sz="8" w:space="0" w:color="auto"/>
              <w:right w:val="single" w:sz="8" w:space="0" w:color="auto"/>
            </w:tcBorders>
            <w:shd w:val="clear" w:color="000000" w:fill="C0C0C0"/>
            <w:vAlign w:val="center"/>
            <w:hideMark/>
          </w:tcPr>
          <w:p w14:paraId="0F0C0B43" w14:textId="77777777" w:rsidR="009755C1" w:rsidRPr="009755C1" w:rsidRDefault="009755C1" w:rsidP="00FA6132">
            <w:pPr>
              <w:spacing w:after="160" w:line="240" w:lineRule="auto"/>
              <w:jc w:val="center"/>
              <w:rPr>
                <w:rFonts w:ascii="Arial" w:eastAsia="Times New Roman" w:hAnsi="Arial" w:cs="Arial"/>
                <w:b/>
                <w:bCs/>
                <w:sz w:val="20"/>
                <w:szCs w:val="20"/>
                <w:lang w:eastAsia="pt-BR"/>
              </w:rPr>
            </w:pPr>
            <w:r w:rsidRPr="009755C1">
              <w:rPr>
                <w:rFonts w:ascii="Arial" w:eastAsia="Times New Roman" w:hAnsi="Arial" w:cs="Arial"/>
                <w:b/>
                <w:bCs/>
                <w:sz w:val="20"/>
                <w:szCs w:val="20"/>
                <w:lang w:eastAsia="pt-BR"/>
              </w:rPr>
              <w:t>Obrigatoriedade</w:t>
            </w:r>
          </w:p>
        </w:tc>
      </w:tr>
      <w:tr w:rsidR="009755C1" w:rsidRPr="009755C1" w14:paraId="6CEC5796" w14:textId="77777777" w:rsidTr="00FA6132">
        <w:trPr>
          <w:trHeight w:val="315"/>
        </w:trPr>
        <w:tc>
          <w:tcPr>
            <w:tcW w:w="9366" w:type="dxa"/>
            <w:gridSpan w:val="4"/>
            <w:tcBorders>
              <w:top w:val="single" w:sz="8" w:space="0" w:color="auto"/>
              <w:left w:val="single" w:sz="8" w:space="0" w:color="auto"/>
              <w:bottom w:val="single" w:sz="8" w:space="0" w:color="auto"/>
              <w:right w:val="single" w:sz="8" w:space="0" w:color="000000"/>
            </w:tcBorders>
            <w:shd w:val="clear" w:color="000000" w:fill="BFBFBF"/>
            <w:vAlign w:val="center"/>
            <w:hideMark/>
          </w:tcPr>
          <w:p w14:paraId="3E9172C2" w14:textId="77777777" w:rsidR="009755C1" w:rsidRPr="009755C1" w:rsidRDefault="009755C1" w:rsidP="00FA6132">
            <w:pPr>
              <w:spacing w:after="160" w:line="240" w:lineRule="auto"/>
              <w:jc w:val="center"/>
              <w:rPr>
                <w:rFonts w:ascii="Arial" w:eastAsia="Times New Roman" w:hAnsi="Arial" w:cs="Arial"/>
                <w:b/>
                <w:bCs/>
                <w:sz w:val="20"/>
                <w:szCs w:val="20"/>
                <w:lang w:eastAsia="pt-BR"/>
              </w:rPr>
            </w:pPr>
            <w:r w:rsidRPr="009755C1">
              <w:rPr>
                <w:rFonts w:ascii="Arial" w:eastAsia="Times New Roman" w:hAnsi="Arial" w:cs="Arial"/>
                <w:b/>
                <w:bCs/>
                <w:sz w:val="20"/>
                <w:szCs w:val="20"/>
                <w:lang w:eastAsia="pt-BR"/>
              </w:rPr>
              <w:t>Estrutura ‘DemonstrativoDespesaAdministrativaRPPS’</w:t>
            </w:r>
          </w:p>
        </w:tc>
      </w:tr>
      <w:tr w:rsidR="009755C1" w:rsidRPr="009755C1" w14:paraId="51B01B9B" w14:textId="77777777" w:rsidTr="00FA6132">
        <w:trPr>
          <w:trHeight w:val="315"/>
        </w:trPr>
        <w:tc>
          <w:tcPr>
            <w:tcW w:w="3272" w:type="dxa"/>
            <w:tcBorders>
              <w:top w:val="nil"/>
              <w:left w:val="single" w:sz="8" w:space="0" w:color="auto"/>
              <w:bottom w:val="single" w:sz="8" w:space="0" w:color="auto"/>
              <w:right w:val="single" w:sz="8" w:space="0" w:color="auto"/>
            </w:tcBorders>
            <w:shd w:val="clear" w:color="auto" w:fill="auto"/>
            <w:vAlign w:val="center"/>
            <w:hideMark/>
          </w:tcPr>
          <w:p w14:paraId="41E910E6" w14:textId="77777777" w:rsidR="009755C1" w:rsidRPr="009755C1" w:rsidRDefault="009755C1" w:rsidP="00FA6132">
            <w:pPr>
              <w:spacing w:after="160" w:line="240" w:lineRule="auto"/>
              <w:rPr>
                <w:rFonts w:ascii="Arial" w:eastAsia="Times New Roman" w:hAnsi="Arial" w:cs="Arial"/>
                <w:sz w:val="20"/>
                <w:szCs w:val="20"/>
                <w:lang w:eastAsia="pt-BR"/>
              </w:rPr>
            </w:pPr>
            <w:r w:rsidRPr="009755C1">
              <w:rPr>
                <w:rFonts w:ascii="Arial" w:eastAsia="Times New Roman" w:hAnsi="Arial" w:cs="Arial"/>
                <w:sz w:val="20"/>
                <w:szCs w:val="20"/>
                <w:lang w:eastAsia="pt-BR"/>
              </w:rPr>
              <w:lastRenderedPageBreak/>
              <w:t>Identificação do Número do Registro</w:t>
            </w:r>
          </w:p>
        </w:tc>
        <w:tc>
          <w:tcPr>
            <w:tcW w:w="1276" w:type="dxa"/>
            <w:tcBorders>
              <w:top w:val="nil"/>
              <w:left w:val="nil"/>
              <w:bottom w:val="single" w:sz="8" w:space="0" w:color="auto"/>
              <w:right w:val="single" w:sz="8" w:space="0" w:color="auto"/>
            </w:tcBorders>
            <w:shd w:val="clear" w:color="auto" w:fill="auto"/>
            <w:vAlign w:val="center"/>
            <w:hideMark/>
          </w:tcPr>
          <w:p w14:paraId="253A27B1"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Inteiro</w:t>
            </w:r>
          </w:p>
        </w:tc>
        <w:tc>
          <w:tcPr>
            <w:tcW w:w="1276" w:type="dxa"/>
            <w:tcBorders>
              <w:top w:val="nil"/>
              <w:left w:val="nil"/>
              <w:bottom w:val="single" w:sz="8" w:space="0" w:color="auto"/>
              <w:right w:val="single" w:sz="8" w:space="0" w:color="auto"/>
            </w:tcBorders>
            <w:shd w:val="clear" w:color="auto" w:fill="auto"/>
            <w:vAlign w:val="center"/>
            <w:hideMark/>
          </w:tcPr>
          <w:p w14:paraId="43116680"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5</w:t>
            </w:r>
          </w:p>
        </w:tc>
        <w:tc>
          <w:tcPr>
            <w:tcW w:w="3542" w:type="dxa"/>
            <w:tcBorders>
              <w:top w:val="nil"/>
              <w:left w:val="nil"/>
              <w:bottom w:val="single" w:sz="8" w:space="0" w:color="auto"/>
              <w:right w:val="single" w:sz="8" w:space="0" w:color="auto"/>
            </w:tcBorders>
            <w:shd w:val="clear" w:color="auto" w:fill="auto"/>
            <w:vAlign w:val="center"/>
            <w:hideMark/>
          </w:tcPr>
          <w:p w14:paraId="0D9614FE" w14:textId="77777777" w:rsidR="009755C1" w:rsidRPr="009755C1" w:rsidRDefault="009755C1" w:rsidP="00FA6132">
            <w:pPr>
              <w:spacing w:after="160" w:line="240" w:lineRule="auto"/>
              <w:rPr>
                <w:rFonts w:ascii="Arial" w:eastAsia="Times New Roman" w:hAnsi="Arial" w:cs="Arial"/>
                <w:sz w:val="20"/>
                <w:szCs w:val="20"/>
                <w:lang w:eastAsia="pt-BR"/>
              </w:rPr>
            </w:pPr>
            <w:r w:rsidRPr="009755C1">
              <w:rPr>
                <w:rFonts w:ascii="Arial" w:eastAsia="Times New Roman" w:hAnsi="Arial" w:cs="Arial"/>
                <w:sz w:val="20"/>
                <w:szCs w:val="20"/>
                <w:lang w:eastAsia="pt-BR"/>
              </w:rPr>
              <w:t>Obrigatório</w:t>
            </w:r>
          </w:p>
        </w:tc>
      </w:tr>
      <w:tr w:rsidR="009755C1" w:rsidRPr="009755C1" w14:paraId="15EC37BF" w14:textId="77777777" w:rsidTr="00FA6132">
        <w:trPr>
          <w:trHeight w:val="300"/>
        </w:trPr>
        <w:tc>
          <w:tcPr>
            <w:tcW w:w="3272" w:type="dxa"/>
            <w:vMerge w:val="restart"/>
            <w:tcBorders>
              <w:top w:val="single" w:sz="8" w:space="0" w:color="auto"/>
              <w:left w:val="single" w:sz="8" w:space="0" w:color="auto"/>
              <w:right w:val="single" w:sz="8" w:space="0" w:color="auto"/>
            </w:tcBorders>
            <w:shd w:val="clear" w:color="auto" w:fill="auto"/>
            <w:vAlign w:val="center"/>
            <w:hideMark/>
          </w:tcPr>
          <w:p w14:paraId="6C1FE026" w14:textId="77777777" w:rsidR="009755C1" w:rsidRPr="009755C1" w:rsidRDefault="009755C1" w:rsidP="00FA6132">
            <w:pPr>
              <w:spacing w:after="160" w:line="240" w:lineRule="auto"/>
              <w:rPr>
                <w:rFonts w:ascii="Arial" w:eastAsia="Times New Roman" w:hAnsi="Arial" w:cs="Arial"/>
                <w:sz w:val="20"/>
                <w:szCs w:val="20"/>
                <w:lang w:eastAsia="pt-BR"/>
              </w:rPr>
            </w:pPr>
            <w:r w:rsidRPr="009755C1">
              <w:rPr>
                <w:rFonts w:ascii="Arial" w:eastAsia="Times New Roman" w:hAnsi="Arial" w:cs="Arial"/>
                <w:sz w:val="20"/>
                <w:szCs w:val="20"/>
                <w:lang w:eastAsia="pt-BR"/>
              </w:rPr>
              <w:t>Código da Tabela</w:t>
            </w:r>
          </w:p>
        </w:tc>
        <w:tc>
          <w:tcPr>
            <w:tcW w:w="1276" w:type="dxa"/>
            <w:vMerge w:val="restart"/>
            <w:tcBorders>
              <w:top w:val="single" w:sz="8" w:space="0" w:color="auto"/>
              <w:left w:val="single" w:sz="8" w:space="0" w:color="auto"/>
              <w:right w:val="single" w:sz="8" w:space="0" w:color="auto"/>
            </w:tcBorders>
            <w:shd w:val="clear" w:color="auto" w:fill="auto"/>
            <w:vAlign w:val="center"/>
            <w:hideMark/>
          </w:tcPr>
          <w:p w14:paraId="1DE6FFA7"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Inteiro</w:t>
            </w:r>
          </w:p>
        </w:tc>
        <w:tc>
          <w:tcPr>
            <w:tcW w:w="1276" w:type="dxa"/>
            <w:vMerge w:val="restart"/>
            <w:tcBorders>
              <w:top w:val="single" w:sz="8" w:space="0" w:color="auto"/>
              <w:left w:val="single" w:sz="8" w:space="0" w:color="auto"/>
              <w:right w:val="single" w:sz="8" w:space="0" w:color="auto"/>
            </w:tcBorders>
            <w:shd w:val="clear" w:color="auto" w:fill="auto"/>
            <w:vAlign w:val="center"/>
            <w:hideMark/>
          </w:tcPr>
          <w:p w14:paraId="41EA683C"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1</w:t>
            </w:r>
          </w:p>
        </w:tc>
        <w:tc>
          <w:tcPr>
            <w:tcW w:w="3542" w:type="dxa"/>
            <w:tcBorders>
              <w:top w:val="single" w:sz="8" w:space="0" w:color="auto"/>
              <w:left w:val="nil"/>
              <w:right w:val="single" w:sz="8" w:space="0" w:color="auto"/>
            </w:tcBorders>
            <w:shd w:val="clear" w:color="auto" w:fill="auto"/>
            <w:vAlign w:val="center"/>
            <w:hideMark/>
          </w:tcPr>
          <w:p w14:paraId="58AD92F9" w14:textId="77777777" w:rsidR="009755C1" w:rsidRPr="009755C1" w:rsidRDefault="009755C1" w:rsidP="00FA6132">
            <w:pPr>
              <w:spacing w:after="160" w:line="240" w:lineRule="auto"/>
              <w:rPr>
                <w:rFonts w:ascii="Arial" w:eastAsia="Times New Roman" w:hAnsi="Arial" w:cs="Arial"/>
                <w:sz w:val="20"/>
                <w:szCs w:val="20"/>
                <w:lang w:eastAsia="pt-BR"/>
              </w:rPr>
            </w:pPr>
            <w:r w:rsidRPr="009755C1">
              <w:rPr>
                <w:rFonts w:ascii="Arial" w:eastAsia="Times New Roman" w:hAnsi="Arial" w:cs="Arial"/>
                <w:sz w:val="20"/>
                <w:szCs w:val="20"/>
                <w:lang w:eastAsia="pt-BR"/>
              </w:rPr>
              <w:t>Obrigatório:</w:t>
            </w:r>
          </w:p>
        </w:tc>
      </w:tr>
      <w:tr w:rsidR="009755C1" w:rsidRPr="009755C1" w14:paraId="7978350F" w14:textId="77777777" w:rsidTr="00FA6132">
        <w:trPr>
          <w:trHeight w:val="300"/>
        </w:trPr>
        <w:tc>
          <w:tcPr>
            <w:tcW w:w="3272" w:type="dxa"/>
            <w:vMerge/>
            <w:tcBorders>
              <w:left w:val="single" w:sz="8" w:space="0" w:color="auto"/>
              <w:right w:val="single" w:sz="8" w:space="0" w:color="auto"/>
            </w:tcBorders>
            <w:vAlign w:val="center"/>
            <w:hideMark/>
          </w:tcPr>
          <w:p w14:paraId="22235356" w14:textId="77777777" w:rsidR="009755C1" w:rsidRPr="009755C1" w:rsidRDefault="009755C1" w:rsidP="00FA6132">
            <w:pPr>
              <w:spacing w:after="160" w:line="240" w:lineRule="auto"/>
              <w:rPr>
                <w:rFonts w:ascii="Arial" w:eastAsia="Times New Roman" w:hAnsi="Arial" w:cs="Arial"/>
                <w:sz w:val="20"/>
                <w:szCs w:val="20"/>
                <w:lang w:eastAsia="pt-BR"/>
              </w:rPr>
            </w:pPr>
          </w:p>
        </w:tc>
        <w:tc>
          <w:tcPr>
            <w:tcW w:w="1276" w:type="dxa"/>
            <w:vMerge/>
            <w:tcBorders>
              <w:left w:val="single" w:sz="8" w:space="0" w:color="auto"/>
              <w:right w:val="single" w:sz="8" w:space="0" w:color="auto"/>
            </w:tcBorders>
            <w:vAlign w:val="center"/>
            <w:hideMark/>
          </w:tcPr>
          <w:p w14:paraId="4040BF84" w14:textId="77777777" w:rsidR="009755C1" w:rsidRPr="009755C1" w:rsidRDefault="009755C1" w:rsidP="00FA6132">
            <w:pPr>
              <w:spacing w:after="160" w:line="240" w:lineRule="auto"/>
              <w:rPr>
                <w:rFonts w:ascii="Arial" w:eastAsia="Times New Roman" w:hAnsi="Arial" w:cs="Arial"/>
                <w:sz w:val="20"/>
                <w:szCs w:val="20"/>
                <w:lang w:eastAsia="pt-BR"/>
              </w:rPr>
            </w:pPr>
          </w:p>
        </w:tc>
        <w:tc>
          <w:tcPr>
            <w:tcW w:w="1276" w:type="dxa"/>
            <w:vMerge/>
            <w:tcBorders>
              <w:left w:val="single" w:sz="8" w:space="0" w:color="auto"/>
              <w:right w:val="single" w:sz="8" w:space="0" w:color="auto"/>
            </w:tcBorders>
            <w:vAlign w:val="center"/>
            <w:hideMark/>
          </w:tcPr>
          <w:p w14:paraId="0F000A6A" w14:textId="77777777" w:rsidR="009755C1" w:rsidRPr="009755C1" w:rsidRDefault="009755C1" w:rsidP="00FA6132">
            <w:pPr>
              <w:spacing w:after="160" w:line="240" w:lineRule="auto"/>
              <w:rPr>
                <w:rFonts w:ascii="Arial" w:eastAsia="Times New Roman" w:hAnsi="Arial" w:cs="Arial"/>
                <w:sz w:val="20"/>
                <w:szCs w:val="20"/>
                <w:lang w:eastAsia="pt-BR"/>
              </w:rPr>
            </w:pPr>
          </w:p>
        </w:tc>
        <w:tc>
          <w:tcPr>
            <w:tcW w:w="3542" w:type="dxa"/>
            <w:tcBorders>
              <w:top w:val="nil"/>
              <w:left w:val="nil"/>
              <w:bottom w:val="nil"/>
              <w:right w:val="single" w:sz="8" w:space="0" w:color="auto"/>
            </w:tcBorders>
            <w:shd w:val="clear" w:color="auto" w:fill="auto"/>
            <w:vAlign w:val="center"/>
            <w:hideMark/>
          </w:tcPr>
          <w:p w14:paraId="0F9C47B9" w14:textId="77777777" w:rsidR="009755C1" w:rsidRPr="009755C1" w:rsidRDefault="009755C1" w:rsidP="00FA6132">
            <w:pPr>
              <w:spacing w:after="160" w:line="240" w:lineRule="auto"/>
              <w:jc w:val="both"/>
              <w:rPr>
                <w:rFonts w:ascii="Arial" w:eastAsia="Times New Roman" w:hAnsi="Arial" w:cs="Arial"/>
                <w:sz w:val="20"/>
                <w:szCs w:val="20"/>
                <w:lang w:eastAsia="pt-BR"/>
              </w:rPr>
            </w:pPr>
            <w:r w:rsidRPr="009755C1">
              <w:rPr>
                <w:rFonts w:ascii="Arial" w:eastAsia="Times New Roman" w:hAnsi="Arial" w:cs="Arial"/>
                <w:sz w:val="20"/>
                <w:szCs w:val="20"/>
                <w:lang w:eastAsia="pt-BR"/>
              </w:rPr>
              <w:t>1 - TOTAL DA REMUNERAÇÃO DOS SERVIDORES EFETIVOS ATIVOS VINCULADOS AO RPPS – EXERCÍCIO ANTERIOR AO DA PCA</w:t>
            </w:r>
          </w:p>
        </w:tc>
      </w:tr>
      <w:tr w:rsidR="009755C1" w:rsidRPr="009755C1" w14:paraId="7FCF307D" w14:textId="77777777" w:rsidTr="00FA6132">
        <w:trPr>
          <w:trHeight w:val="300"/>
        </w:trPr>
        <w:tc>
          <w:tcPr>
            <w:tcW w:w="3272" w:type="dxa"/>
            <w:vMerge/>
            <w:tcBorders>
              <w:left w:val="single" w:sz="8" w:space="0" w:color="auto"/>
              <w:right w:val="single" w:sz="8" w:space="0" w:color="auto"/>
            </w:tcBorders>
            <w:vAlign w:val="center"/>
            <w:hideMark/>
          </w:tcPr>
          <w:p w14:paraId="13986AC7" w14:textId="77777777" w:rsidR="009755C1" w:rsidRPr="009755C1" w:rsidRDefault="009755C1" w:rsidP="00FA6132">
            <w:pPr>
              <w:spacing w:after="160" w:line="240" w:lineRule="auto"/>
              <w:rPr>
                <w:rFonts w:ascii="Arial" w:eastAsia="Times New Roman" w:hAnsi="Arial" w:cs="Arial"/>
                <w:sz w:val="20"/>
                <w:szCs w:val="20"/>
                <w:lang w:eastAsia="pt-BR"/>
              </w:rPr>
            </w:pPr>
          </w:p>
        </w:tc>
        <w:tc>
          <w:tcPr>
            <w:tcW w:w="1276" w:type="dxa"/>
            <w:vMerge/>
            <w:tcBorders>
              <w:left w:val="single" w:sz="8" w:space="0" w:color="auto"/>
              <w:right w:val="single" w:sz="8" w:space="0" w:color="auto"/>
            </w:tcBorders>
            <w:vAlign w:val="center"/>
            <w:hideMark/>
          </w:tcPr>
          <w:p w14:paraId="5944FE2D" w14:textId="77777777" w:rsidR="009755C1" w:rsidRPr="009755C1" w:rsidRDefault="009755C1" w:rsidP="00FA6132">
            <w:pPr>
              <w:spacing w:after="160" w:line="240" w:lineRule="auto"/>
              <w:rPr>
                <w:rFonts w:ascii="Arial" w:eastAsia="Times New Roman" w:hAnsi="Arial" w:cs="Arial"/>
                <w:sz w:val="20"/>
                <w:szCs w:val="20"/>
                <w:lang w:eastAsia="pt-BR"/>
              </w:rPr>
            </w:pPr>
          </w:p>
        </w:tc>
        <w:tc>
          <w:tcPr>
            <w:tcW w:w="1276" w:type="dxa"/>
            <w:vMerge/>
            <w:tcBorders>
              <w:left w:val="single" w:sz="8" w:space="0" w:color="auto"/>
              <w:right w:val="single" w:sz="8" w:space="0" w:color="auto"/>
            </w:tcBorders>
            <w:vAlign w:val="center"/>
            <w:hideMark/>
          </w:tcPr>
          <w:p w14:paraId="46D7F2CB" w14:textId="77777777" w:rsidR="009755C1" w:rsidRPr="009755C1" w:rsidRDefault="009755C1" w:rsidP="00FA6132">
            <w:pPr>
              <w:spacing w:after="160" w:line="240" w:lineRule="auto"/>
              <w:rPr>
                <w:rFonts w:ascii="Arial" w:eastAsia="Times New Roman" w:hAnsi="Arial" w:cs="Arial"/>
                <w:sz w:val="20"/>
                <w:szCs w:val="20"/>
                <w:lang w:eastAsia="pt-BR"/>
              </w:rPr>
            </w:pPr>
          </w:p>
        </w:tc>
        <w:tc>
          <w:tcPr>
            <w:tcW w:w="3542" w:type="dxa"/>
            <w:tcBorders>
              <w:top w:val="nil"/>
              <w:left w:val="nil"/>
              <w:bottom w:val="nil"/>
              <w:right w:val="single" w:sz="8" w:space="0" w:color="auto"/>
            </w:tcBorders>
            <w:shd w:val="clear" w:color="auto" w:fill="auto"/>
            <w:vAlign w:val="center"/>
            <w:hideMark/>
          </w:tcPr>
          <w:p w14:paraId="658A258B" w14:textId="77777777" w:rsidR="009755C1" w:rsidRPr="009755C1" w:rsidRDefault="009755C1" w:rsidP="00FA6132">
            <w:pPr>
              <w:spacing w:after="160" w:line="240" w:lineRule="auto"/>
              <w:jc w:val="both"/>
              <w:rPr>
                <w:rFonts w:ascii="Arial" w:eastAsia="Times New Roman" w:hAnsi="Arial" w:cs="Arial"/>
                <w:sz w:val="20"/>
                <w:szCs w:val="20"/>
                <w:lang w:eastAsia="pt-BR"/>
              </w:rPr>
            </w:pPr>
            <w:r w:rsidRPr="009755C1">
              <w:rPr>
                <w:rFonts w:ascii="Arial" w:eastAsia="Times New Roman" w:hAnsi="Arial" w:cs="Arial"/>
                <w:sz w:val="20"/>
                <w:szCs w:val="20"/>
                <w:lang w:eastAsia="pt-BR"/>
              </w:rPr>
              <w:t>2 - TOTAL DOS PROVENTOS DE APOSENTADORIAS VINCULADAS AO RPPS – EXERCÍCIO ANTERIOR AO DA PCA</w:t>
            </w:r>
          </w:p>
        </w:tc>
      </w:tr>
      <w:tr w:rsidR="009755C1" w:rsidRPr="009755C1" w14:paraId="3459497A" w14:textId="77777777" w:rsidTr="00FA6132">
        <w:trPr>
          <w:trHeight w:val="917"/>
        </w:trPr>
        <w:tc>
          <w:tcPr>
            <w:tcW w:w="3272" w:type="dxa"/>
            <w:vMerge/>
            <w:tcBorders>
              <w:left w:val="single" w:sz="8" w:space="0" w:color="auto"/>
              <w:right w:val="single" w:sz="8" w:space="0" w:color="auto"/>
            </w:tcBorders>
            <w:vAlign w:val="center"/>
            <w:hideMark/>
          </w:tcPr>
          <w:p w14:paraId="4A843A4C" w14:textId="77777777" w:rsidR="009755C1" w:rsidRPr="009755C1" w:rsidRDefault="009755C1" w:rsidP="00FA6132">
            <w:pPr>
              <w:spacing w:after="160" w:line="240" w:lineRule="auto"/>
              <w:rPr>
                <w:rFonts w:ascii="Arial" w:eastAsia="Times New Roman" w:hAnsi="Arial" w:cs="Arial"/>
                <w:sz w:val="20"/>
                <w:szCs w:val="20"/>
                <w:lang w:eastAsia="pt-BR"/>
              </w:rPr>
            </w:pPr>
          </w:p>
        </w:tc>
        <w:tc>
          <w:tcPr>
            <w:tcW w:w="1276" w:type="dxa"/>
            <w:vMerge/>
            <w:tcBorders>
              <w:left w:val="single" w:sz="8" w:space="0" w:color="auto"/>
              <w:right w:val="single" w:sz="8" w:space="0" w:color="auto"/>
            </w:tcBorders>
            <w:vAlign w:val="center"/>
            <w:hideMark/>
          </w:tcPr>
          <w:p w14:paraId="4DBD5E6F" w14:textId="77777777" w:rsidR="009755C1" w:rsidRPr="009755C1" w:rsidRDefault="009755C1" w:rsidP="00FA6132">
            <w:pPr>
              <w:spacing w:after="160" w:line="240" w:lineRule="auto"/>
              <w:rPr>
                <w:rFonts w:ascii="Arial" w:eastAsia="Times New Roman" w:hAnsi="Arial" w:cs="Arial"/>
                <w:sz w:val="20"/>
                <w:szCs w:val="20"/>
                <w:lang w:eastAsia="pt-BR"/>
              </w:rPr>
            </w:pPr>
          </w:p>
        </w:tc>
        <w:tc>
          <w:tcPr>
            <w:tcW w:w="1276" w:type="dxa"/>
            <w:vMerge/>
            <w:tcBorders>
              <w:left w:val="single" w:sz="8" w:space="0" w:color="auto"/>
              <w:right w:val="single" w:sz="8" w:space="0" w:color="auto"/>
            </w:tcBorders>
            <w:vAlign w:val="center"/>
            <w:hideMark/>
          </w:tcPr>
          <w:p w14:paraId="74DCA695" w14:textId="77777777" w:rsidR="009755C1" w:rsidRPr="009755C1" w:rsidRDefault="009755C1" w:rsidP="00FA6132">
            <w:pPr>
              <w:spacing w:after="160" w:line="240" w:lineRule="auto"/>
              <w:rPr>
                <w:rFonts w:ascii="Arial" w:eastAsia="Times New Roman" w:hAnsi="Arial" w:cs="Arial"/>
                <w:sz w:val="20"/>
                <w:szCs w:val="20"/>
                <w:lang w:eastAsia="pt-BR"/>
              </w:rPr>
            </w:pPr>
          </w:p>
        </w:tc>
        <w:tc>
          <w:tcPr>
            <w:tcW w:w="3542" w:type="dxa"/>
            <w:tcBorders>
              <w:top w:val="nil"/>
              <w:left w:val="nil"/>
              <w:right w:val="single" w:sz="8" w:space="0" w:color="auto"/>
            </w:tcBorders>
            <w:shd w:val="clear" w:color="auto" w:fill="auto"/>
            <w:vAlign w:val="center"/>
            <w:hideMark/>
          </w:tcPr>
          <w:p w14:paraId="4FEF8F4C" w14:textId="77777777" w:rsidR="009755C1" w:rsidRPr="009755C1" w:rsidRDefault="009755C1" w:rsidP="00FA6132">
            <w:pPr>
              <w:spacing w:after="160" w:line="240" w:lineRule="auto"/>
              <w:jc w:val="both"/>
              <w:rPr>
                <w:rFonts w:ascii="Arial" w:eastAsia="Times New Roman" w:hAnsi="Arial" w:cs="Arial"/>
                <w:sz w:val="20"/>
                <w:szCs w:val="20"/>
                <w:lang w:eastAsia="pt-BR"/>
              </w:rPr>
            </w:pPr>
            <w:r w:rsidRPr="009755C1">
              <w:rPr>
                <w:rFonts w:ascii="Arial" w:eastAsia="Times New Roman" w:hAnsi="Arial" w:cs="Arial"/>
                <w:sz w:val="20"/>
                <w:szCs w:val="20"/>
                <w:lang w:eastAsia="pt-BR"/>
              </w:rPr>
              <w:t>3 - TOTAL DOS PROVENTOS DE PENSÕES VINCULADAS AO RPPS – EXERCÍCIO ANTERIOR AO DA PCA</w:t>
            </w:r>
          </w:p>
        </w:tc>
      </w:tr>
      <w:tr w:rsidR="009755C1" w:rsidRPr="009755C1" w14:paraId="3E284028" w14:textId="77777777" w:rsidTr="00FA6132">
        <w:trPr>
          <w:trHeight w:val="600"/>
        </w:trPr>
        <w:tc>
          <w:tcPr>
            <w:tcW w:w="3272"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60649241" w14:textId="77777777" w:rsidR="009755C1" w:rsidRPr="009755C1" w:rsidRDefault="009755C1" w:rsidP="00FA6132">
            <w:pPr>
              <w:spacing w:after="160" w:line="240" w:lineRule="auto"/>
              <w:rPr>
                <w:rFonts w:ascii="Arial" w:eastAsia="Times New Roman" w:hAnsi="Arial" w:cs="Arial"/>
                <w:sz w:val="20"/>
                <w:szCs w:val="20"/>
                <w:lang w:eastAsia="pt-BR"/>
              </w:rPr>
            </w:pPr>
            <w:r w:rsidRPr="009755C1">
              <w:rPr>
                <w:rFonts w:ascii="Arial" w:eastAsia="Times New Roman" w:hAnsi="Arial" w:cs="Arial"/>
                <w:sz w:val="20"/>
                <w:szCs w:val="20"/>
                <w:lang w:eastAsia="pt-BR"/>
              </w:rPr>
              <w:t>Código da Unidade Gestora ou Órgão Externo</w:t>
            </w:r>
          </w:p>
        </w:tc>
        <w:tc>
          <w:tcPr>
            <w:tcW w:w="1276" w:type="dxa"/>
            <w:tcBorders>
              <w:top w:val="single" w:sz="4" w:space="0" w:color="auto"/>
              <w:left w:val="nil"/>
              <w:bottom w:val="single" w:sz="8" w:space="0" w:color="auto"/>
              <w:right w:val="single" w:sz="8" w:space="0" w:color="auto"/>
            </w:tcBorders>
            <w:shd w:val="clear" w:color="auto" w:fill="auto"/>
            <w:vAlign w:val="center"/>
            <w:hideMark/>
          </w:tcPr>
          <w:p w14:paraId="0D4BA5A7"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Caracter</w:t>
            </w:r>
          </w:p>
        </w:tc>
        <w:tc>
          <w:tcPr>
            <w:tcW w:w="1276" w:type="dxa"/>
            <w:tcBorders>
              <w:top w:val="single" w:sz="4" w:space="0" w:color="auto"/>
              <w:left w:val="nil"/>
              <w:bottom w:val="single" w:sz="8" w:space="0" w:color="auto"/>
              <w:right w:val="single" w:sz="8" w:space="0" w:color="auto"/>
            </w:tcBorders>
            <w:shd w:val="clear" w:color="auto" w:fill="auto"/>
            <w:vAlign w:val="center"/>
            <w:hideMark/>
          </w:tcPr>
          <w:p w14:paraId="2A1EA992"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14</w:t>
            </w:r>
          </w:p>
        </w:tc>
        <w:tc>
          <w:tcPr>
            <w:tcW w:w="3542" w:type="dxa"/>
            <w:tcBorders>
              <w:top w:val="single" w:sz="4" w:space="0" w:color="auto"/>
              <w:left w:val="nil"/>
              <w:bottom w:val="single" w:sz="8" w:space="0" w:color="auto"/>
              <w:right w:val="single" w:sz="8" w:space="0" w:color="auto"/>
            </w:tcBorders>
            <w:shd w:val="clear" w:color="auto" w:fill="auto"/>
            <w:vAlign w:val="center"/>
            <w:hideMark/>
          </w:tcPr>
          <w:p w14:paraId="755C1ED3" w14:textId="77777777" w:rsidR="009755C1" w:rsidRPr="009755C1" w:rsidRDefault="009755C1" w:rsidP="00FA6132">
            <w:pPr>
              <w:spacing w:after="160" w:line="240" w:lineRule="auto"/>
              <w:rPr>
                <w:rFonts w:ascii="Arial" w:eastAsia="Times New Roman" w:hAnsi="Arial" w:cs="Arial"/>
                <w:sz w:val="20"/>
                <w:szCs w:val="20"/>
                <w:lang w:eastAsia="pt-BR"/>
              </w:rPr>
            </w:pPr>
            <w:r w:rsidRPr="009755C1">
              <w:rPr>
                <w:rFonts w:ascii="Arial" w:eastAsia="Times New Roman" w:hAnsi="Arial" w:cs="Arial"/>
                <w:sz w:val="20"/>
                <w:szCs w:val="20"/>
                <w:lang w:eastAsia="pt-BR"/>
              </w:rPr>
              <w:t xml:space="preserve">Obrigatório </w:t>
            </w:r>
          </w:p>
          <w:p w14:paraId="6A178E38" w14:textId="77777777" w:rsidR="009755C1" w:rsidRPr="009755C1" w:rsidRDefault="009755C1" w:rsidP="00FA6132">
            <w:pPr>
              <w:spacing w:after="160" w:line="240" w:lineRule="auto"/>
              <w:jc w:val="both"/>
              <w:rPr>
                <w:rFonts w:ascii="Arial" w:eastAsia="Times New Roman" w:hAnsi="Arial" w:cs="Arial"/>
                <w:sz w:val="20"/>
                <w:szCs w:val="20"/>
                <w:lang w:eastAsia="pt-BR"/>
              </w:rPr>
            </w:pPr>
            <w:r w:rsidRPr="009755C1">
              <w:rPr>
                <w:rFonts w:ascii="Arial" w:eastAsia="Times New Roman" w:hAnsi="Arial" w:cs="Arial"/>
                <w:sz w:val="20"/>
                <w:szCs w:val="20"/>
                <w:lang w:eastAsia="pt-BR"/>
              </w:rPr>
              <w:t xml:space="preserve">Em caso de unidade gestora existente no CidadES, utilizar </w:t>
            </w:r>
            <w:r w:rsidR="00793B85">
              <w:rPr>
                <w:rFonts w:ascii="Arial" w:eastAsia="Times New Roman" w:hAnsi="Arial" w:cs="Arial"/>
                <w:sz w:val="20"/>
                <w:szCs w:val="20"/>
                <w:lang w:eastAsia="pt-BR"/>
              </w:rPr>
              <w:t>codificação do sistema CidadES.</w:t>
            </w:r>
          </w:p>
          <w:p w14:paraId="24B7E711" w14:textId="77777777" w:rsidR="009755C1" w:rsidRPr="009755C1" w:rsidRDefault="009755C1" w:rsidP="00FA6132">
            <w:pPr>
              <w:spacing w:after="160" w:line="240" w:lineRule="auto"/>
              <w:jc w:val="both"/>
              <w:rPr>
                <w:rFonts w:ascii="Arial" w:eastAsia="Times New Roman" w:hAnsi="Arial" w:cs="Arial"/>
                <w:sz w:val="20"/>
                <w:szCs w:val="20"/>
                <w:lang w:eastAsia="pt-BR"/>
              </w:rPr>
            </w:pPr>
            <w:r w:rsidRPr="009755C1">
              <w:rPr>
                <w:rFonts w:ascii="Arial" w:eastAsia="Times New Roman" w:hAnsi="Arial" w:cs="Arial"/>
                <w:sz w:val="20"/>
                <w:szCs w:val="20"/>
                <w:lang w:eastAsia="pt-BR"/>
              </w:rPr>
              <w:t>Para órgãos externos, utilizar o CNPJ do Órgão Externo</w:t>
            </w:r>
          </w:p>
        </w:tc>
      </w:tr>
      <w:tr w:rsidR="009755C1" w:rsidRPr="009755C1" w14:paraId="77052342" w14:textId="77777777" w:rsidTr="00FA6132">
        <w:trPr>
          <w:trHeight w:val="315"/>
        </w:trPr>
        <w:tc>
          <w:tcPr>
            <w:tcW w:w="3272" w:type="dxa"/>
            <w:tcBorders>
              <w:top w:val="nil"/>
              <w:left w:val="single" w:sz="8" w:space="0" w:color="auto"/>
              <w:bottom w:val="single" w:sz="8" w:space="0" w:color="auto"/>
              <w:right w:val="single" w:sz="8" w:space="0" w:color="auto"/>
            </w:tcBorders>
            <w:shd w:val="clear" w:color="auto" w:fill="auto"/>
            <w:vAlign w:val="center"/>
            <w:hideMark/>
          </w:tcPr>
          <w:p w14:paraId="2932153A" w14:textId="77777777" w:rsidR="009755C1" w:rsidRPr="009755C1" w:rsidRDefault="009755C1" w:rsidP="00FA6132">
            <w:pPr>
              <w:spacing w:after="160" w:line="240" w:lineRule="auto"/>
              <w:rPr>
                <w:rFonts w:ascii="Arial" w:eastAsia="Times New Roman" w:hAnsi="Arial" w:cs="Arial"/>
                <w:sz w:val="20"/>
                <w:szCs w:val="20"/>
                <w:lang w:eastAsia="pt-BR"/>
              </w:rPr>
            </w:pPr>
            <w:r w:rsidRPr="009755C1">
              <w:rPr>
                <w:rFonts w:ascii="Arial" w:eastAsia="Times New Roman" w:hAnsi="Arial" w:cs="Arial"/>
                <w:sz w:val="20"/>
                <w:szCs w:val="20"/>
                <w:lang w:eastAsia="pt-BR"/>
              </w:rPr>
              <w:t>Descrição do Órgão Externo</w:t>
            </w:r>
          </w:p>
        </w:tc>
        <w:tc>
          <w:tcPr>
            <w:tcW w:w="1276" w:type="dxa"/>
            <w:tcBorders>
              <w:top w:val="nil"/>
              <w:left w:val="nil"/>
              <w:bottom w:val="single" w:sz="8" w:space="0" w:color="auto"/>
              <w:right w:val="single" w:sz="8" w:space="0" w:color="auto"/>
            </w:tcBorders>
            <w:shd w:val="clear" w:color="auto" w:fill="auto"/>
            <w:vAlign w:val="center"/>
            <w:hideMark/>
          </w:tcPr>
          <w:p w14:paraId="01650B9F"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Caracter</w:t>
            </w:r>
          </w:p>
        </w:tc>
        <w:tc>
          <w:tcPr>
            <w:tcW w:w="1276" w:type="dxa"/>
            <w:tcBorders>
              <w:top w:val="nil"/>
              <w:left w:val="nil"/>
              <w:bottom w:val="single" w:sz="8" w:space="0" w:color="auto"/>
              <w:right w:val="single" w:sz="8" w:space="0" w:color="auto"/>
            </w:tcBorders>
            <w:shd w:val="clear" w:color="auto" w:fill="auto"/>
            <w:vAlign w:val="center"/>
            <w:hideMark/>
          </w:tcPr>
          <w:p w14:paraId="1C7B730F"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300</w:t>
            </w:r>
          </w:p>
        </w:tc>
        <w:tc>
          <w:tcPr>
            <w:tcW w:w="3542" w:type="dxa"/>
            <w:tcBorders>
              <w:top w:val="nil"/>
              <w:left w:val="nil"/>
              <w:bottom w:val="single" w:sz="8" w:space="0" w:color="auto"/>
              <w:right w:val="single" w:sz="8" w:space="0" w:color="auto"/>
            </w:tcBorders>
            <w:shd w:val="clear" w:color="auto" w:fill="auto"/>
            <w:vAlign w:val="center"/>
            <w:hideMark/>
          </w:tcPr>
          <w:p w14:paraId="46F9C4F1" w14:textId="77777777" w:rsidR="009755C1" w:rsidRPr="009755C1" w:rsidRDefault="009755C1" w:rsidP="00FA6132">
            <w:pPr>
              <w:spacing w:after="160" w:line="240" w:lineRule="auto"/>
              <w:rPr>
                <w:rFonts w:ascii="Arial" w:eastAsia="Times New Roman" w:hAnsi="Arial" w:cs="Arial"/>
                <w:sz w:val="20"/>
                <w:szCs w:val="20"/>
                <w:lang w:eastAsia="pt-BR"/>
              </w:rPr>
            </w:pPr>
            <w:r w:rsidRPr="009755C1">
              <w:rPr>
                <w:rFonts w:ascii="Arial" w:eastAsia="Times New Roman" w:hAnsi="Arial" w:cs="Arial"/>
                <w:sz w:val="20"/>
                <w:szCs w:val="20"/>
                <w:lang w:eastAsia="pt-BR"/>
              </w:rPr>
              <w:t>Obrigatório, apenas se o campo CodigoUnidadeGestora se tratar do CNPJ de órgão externo</w:t>
            </w:r>
          </w:p>
        </w:tc>
      </w:tr>
      <w:tr w:rsidR="009755C1" w:rsidRPr="009755C1" w14:paraId="0EF3A0EC" w14:textId="77777777" w:rsidTr="00FA6132">
        <w:trPr>
          <w:trHeight w:val="315"/>
        </w:trPr>
        <w:tc>
          <w:tcPr>
            <w:tcW w:w="3272" w:type="dxa"/>
            <w:tcBorders>
              <w:top w:val="nil"/>
              <w:left w:val="single" w:sz="8" w:space="0" w:color="auto"/>
              <w:bottom w:val="single" w:sz="8" w:space="0" w:color="auto"/>
              <w:right w:val="single" w:sz="8" w:space="0" w:color="auto"/>
            </w:tcBorders>
            <w:shd w:val="clear" w:color="auto" w:fill="auto"/>
            <w:vAlign w:val="center"/>
            <w:hideMark/>
          </w:tcPr>
          <w:p w14:paraId="1B268B12" w14:textId="77777777" w:rsidR="009755C1" w:rsidRPr="009755C1" w:rsidRDefault="009755C1" w:rsidP="00FA6132">
            <w:pPr>
              <w:spacing w:after="160" w:line="240" w:lineRule="auto"/>
              <w:rPr>
                <w:rFonts w:ascii="Arial" w:eastAsia="Times New Roman" w:hAnsi="Arial" w:cs="Arial"/>
                <w:sz w:val="20"/>
                <w:szCs w:val="20"/>
                <w:lang w:eastAsia="pt-BR"/>
              </w:rPr>
            </w:pPr>
            <w:r w:rsidRPr="009755C1">
              <w:rPr>
                <w:rFonts w:ascii="Arial" w:eastAsia="Times New Roman" w:hAnsi="Arial" w:cs="Arial"/>
                <w:sz w:val="20"/>
                <w:szCs w:val="20"/>
                <w:lang w:eastAsia="pt-BR"/>
              </w:rPr>
              <w:t>Valor referente ao Mês Janeiro</w:t>
            </w:r>
          </w:p>
        </w:tc>
        <w:tc>
          <w:tcPr>
            <w:tcW w:w="1276" w:type="dxa"/>
            <w:tcBorders>
              <w:top w:val="nil"/>
              <w:left w:val="nil"/>
              <w:bottom w:val="single" w:sz="8" w:space="0" w:color="auto"/>
              <w:right w:val="single" w:sz="8" w:space="0" w:color="auto"/>
            </w:tcBorders>
            <w:shd w:val="clear" w:color="auto" w:fill="auto"/>
            <w:vAlign w:val="center"/>
            <w:hideMark/>
          </w:tcPr>
          <w:p w14:paraId="30B20130"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Decimal</w:t>
            </w:r>
          </w:p>
        </w:tc>
        <w:tc>
          <w:tcPr>
            <w:tcW w:w="1276" w:type="dxa"/>
            <w:tcBorders>
              <w:top w:val="nil"/>
              <w:left w:val="nil"/>
              <w:bottom w:val="single" w:sz="8" w:space="0" w:color="auto"/>
              <w:right w:val="single" w:sz="8" w:space="0" w:color="auto"/>
            </w:tcBorders>
            <w:shd w:val="clear" w:color="auto" w:fill="auto"/>
            <w:vAlign w:val="center"/>
            <w:hideMark/>
          </w:tcPr>
          <w:p w14:paraId="37E46B80"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14,2</w:t>
            </w:r>
          </w:p>
        </w:tc>
        <w:tc>
          <w:tcPr>
            <w:tcW w:w="3542" w:type="dxa"/>
            <w:tcBorders>
              <w:top w:val="nil"/>
              <w:left w:val="nil"/>
              <w:bottom w:val="single" w:sz="8" w:space="0" w:color="auto"/>
              <w:right w:val="single" w:sz="8" w:space="0" w:color="auto"/>
            </w:tcBorders>
            <w:shd w:val="clear" w:color="auto" w:fill="auto"/>
            <w:vAlign w:val="center"/>
            <w:hideMark/>
          </w:tcPr>
          <w:p w14:paraId="50FCD7E7" w14:textId="77777777" w:rsidR="009755C1" w:rsidRPr="009755C1" w:rsidRDefault="009755C1" w:rsidP="00FA6132">
            <w:pPr>
              <w:spacing w:after="160" w:line="240" w:lineRule="auto"/>
              <w:rPr>
                <w:rFonts w:ascii="Arial" w:eastAsia="Times New Roman" w:hAnsi="Arial" w:cs="Arial"/>
                <w:sz w:val="20"/>
                <w:szCs w:val="20"/>
                <w:lang w:eastAsia="pt-BR"/>
              </w:rPr>
            </w:pPr>
            <w:r w:rsidRPr="009755C1">
              <w:rPr>
                <w:rFonts w:ascii="Arial" w:eastAsia="Times New Roman" w:hAnsi="Arial" w:cs="Arial"/>
                <w:sz w:val="20"/>
                <w:szCs w:val="20"/>
                <w:lang w:eastAsia="pt-BR"/>
              </w:rPr>
              <w:t>Obrigatório</w:t>
            </w:r>
          </w:p>
        </w:tc>
      </w:tr>
      <w:tr w:rsidR="009755C1" w:rsidRPr="009755C1" w14:paraId="09FCAFED" w14:textId="77777777" w:rsidTr="00FA6132">
        <w:trPr>
          <w:trHeight w:val="315"/>
        </w:trPr>
        <w:tc>
          <w:tcPr>
            <w:tcW w:w="3272" w:type="dxa"/>
            <w:tcBorders>
              <w:top w:val="nil"/>
              <w:left w:val="single" w:sz="8" w:space="0" w:color="auto"/>
              <w:bottom w:val="single" w:sz="8" w:space="0" w:color="auto"/>
              <w:right w:val="single" w:sz="8" w:space="0" w:color="auto"/>
            </w:tcBorders>
            <w:shd w:val="clear" w:color="auto" w:fill="auto"/>
            <w:vAlign w:val="center"/>
            <w:hideMark/>
          </w:tcPr>
          <w:p w14:paraId="337135B5" w14:textId="77777777" w:rsidR="009755C1" w:rsidRPr="009755C1" w:rsidRDefault="009755C1" w:rsidP="00FA6132">
            <w:pPr>
              <w:spacing w:after="160" w:line="240" w:lineRule="auto"/>
              <w:rPr>
                <w:rFonts w:ascii="Arial" w:eastAsia="Times New Roman" w:hAnsi="Arial" w:cs="Arial"/>
                <w:sz w:val="20"/>
                <w:szCs w:val="20"/>
                <w:lang w:eastAsia="pt-BR"/>
              </w:rPr>
            </w:pPr>
            <w:r w:rsidRPr="009755C1">
              <w:rPr>
                <w:rFonts w:ascii="Arial" w:eastAsia="Times New Roman" w:hAnsi="Arial" w:cs="Arial"/>
                <w:sz w:val="20"/>
                <w:szCs w:val="20"/>
                <w:lang w:eastAsia="pt-BR"/>
              </w:rPr>
              <w:t>Valor referente ao Mês Fevereiro</w:t>
            </w:r>
          </w:p>
        </w:tc>
        <w:tc>
          <w:tcPr>
            <w:tcW w:w="1276" w:type="dxa"/>
            <w:tcBorders>
              <w:top w:val="nil"/>
              <w:left w:val="nil"/>
              <w:bottom w:val="single" w:sz="8" w:space="0" w:color="auto"/>
              <w:right w:val="single" w:sz="8" w:space="0" w:color="auto"/>
            </w:tcBorders>
            <w:shd w:val="clear" w:color="auto" w:fill="auto"/>
            <w:vAlign w:val="center"/>
            <w:hideMark/>
          </w:tcPr>
          <w:p w14:paraId="19262E88"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Decimal</w:t>
            </w:r>
          </w:p>
        </w:tc>
        <w:tc>
          <w:tcPr>
            <w:tcW w:w="1276" w:type="dxa"/>
            <w:tcBorders>
              <w:top w:val="nil"/>
              <w:left w:val="nil"/>
              <w:bottom w:val="single" w:sz="8" w:space="0" w:color="auto"/>
              <w:right w:val="single" w:sz="8" w:space="0" w:color="auto"/>
            </w:tcBorders>
            <w:shd w:val="clear" w:color="auto" w:fill="auto"/>
            <w:vAlign w:val="center"/>
            <w:hideMark/>
          </w:tcPr>
          <w:p w14:paraId="68D3DFB6"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14,2</w:t>
            </w:r>
          </w:p>
        </w:tc>
        <w:tc>
          <w:tcPr>
            <w:tcW w:w="3542" w:type="dxa"/>
            <w:tcBorders>
              <w:top w:val="nil"/>
              <w:left w:val="nil"/>
              <w:bottom w:val="single" w:sz="8" w:space="0" w:color="auto"/>
              <w:right w:val="single" w:sz="8" w:space="0" w:color="auto"/>
            </w:tcBorders>
            <w:shd w:val="clear" w:color="auto" w:fill="auto"/>
            <w:vAlign w:val="center"/>
            <w:hideMark/>
          </w:tcPr>
          <w:p w14:paraId="233A2DD3" w14:textId="77777777" w:rsidR="009755C1" w:rsidRPr="009755C1" w:rsidRDefault="009755C1" w:rsidP="00FA6132">
            <w:pPr>
              <w:spacing w:after="160" w:line="240" w:lineRule="auto"/>
              <w:rPr>
                <w:rFonts w:ascii="Arial" w:eastAsia="Times New Roman" w:hAnsi="Arial" w:cs="Arial"/>
                <w:sz w:val="20"/>
                <w:szCs w:val="20"/>
                <w:lang w:eastAsia="pt-BR"/>
              </w:rPr>
            </w:pPr>
            <w:r w:rsidRPr="009755C1">
              <w:rPr>
                <w:rFonts w:ascii="Arial" w:eastAsia="Times New Roman" w:hAnsi="Arial" w:cs="Arial"/>
                <w:sz w:val="20"/>
                <w:szCs w:val="20"/>
                <w:lang w:eastAsia="pt-BR"/>
              </w:rPr>
              <w:t>Obrigatório</w:t>
            </w:r>
          </w:p>
        </w:tc>
      </w:tr>
      <w:tr w:rsidR="009755C1" w:rsidRPr="009755C1" w14:paraId="74F15891" w14:textId="77777777" w:rsidTr="00FA6132">
        <w:trPr>
          <w:trHeight w:val="315"/>
        </w:trPr>
        <w:tc>
          <w:tcPr>
            <w:tcW w:w="3272" w:type="dxa"/>
            <w:tcBorders>
              <w:top w:val="nil"/>
              <w:left w:val="single" w:sz="8" w:space="0" w:color="auto"/>
              <w:bottom w:val="single" w:sz="8" w:space="0" w:color="auto"/>
              <w:right w:val="single" w:sz="8" w:space="0" w:color="auto"/>
            </w:tcBorders>
            <w:shd w:val="clear" w:color="auto" w:fill="auto"/>
            <w:vAlign w:val="center"/>
            <w:hideMark/>
          </w:tcPr>
          <w:p w14:paraId="3DF5DA62" w14:textId="77777777" w:rsidR="009755C1" w:rsidRPr="009755C1" w:rsidRDefault="009755C1" w:rsidP="00FA6132">
            <w:pPr>
              <w:spacing w:after="160" w:line="240" w:lineRule="auto"/>
              <w:rPr>
                <w:rFonts w:ascii="Arial" w:eastAsia="Times New Roman" w:hAnsi="Arial" w:cs="Arial"/>
                <w:sz w:val="20"/>
                <w:szCs w:val="20"/>
                <w:lang w:eastAsia="pt-BR"/>
              </w:rPr>
            </w:pPr>
            <w:r w:rsidRPr="009755C1">
              <w:rPr>
                <w:rFonts w:ascii="Arial" w:eastAsia="Times New Roman" w:hAnsi="Arial" w:cs="Arial"/>
                <w:sz w:val="20"/>
                <w:szCs w:val="20"/>
                <w:lang w:eastAsia="pt-BR"/>
              </w:rPr>
              <w:t>Valor referente ao Mês Março</w:t>
            </w:r>
          </w:p>
        </w:tc>
        <w:tc>
          <w:tcPr>
            <w:tcW w:w="1276" w:type="dxa"/>
            <w:tcBorders>
              <w:top w:val="nil"/>
              <w:left w:val="nil"/>
              <w:bottom w:val="single" w:sz="8" w:space="0" w:color="auto"/>
              <w:right w:val="single" w:sz="8" w:space="0" w:color="auto"/>
            </w:tcBorders>
            <w:shd w:val="clear" w:color="auto" w:fill="auto"/>
            <w:vAlign w:val="center"/>
            <w:hideMark/>
          </w:tcPr>
          <w:p w14:paraId="1BC7BFCA"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Decimal</w:t>
            </w:r>
          </w:p>
        </w:tc>
        <w:tc>
          <w:tcPr>
            <w:tcW w:w="1276" w:type="dxa"/>
            <w:tcBorders>
              <w:top w:val="nil"/>
              <w:left w:val="nil"/>
              <w:bottom w:val="single" w:sz="8" w:space="0" w:color="auto"/>
              <w:right w:val="single" w:sz="8" w:space="0" w:color="auto"/>
            </w:tcBorders>
            <w:shd w:val="clear" w:color="auto" w:fill="auto"/>
            <w:vAlign w:val="center"/>
            <w:hideMark/>
          </w:tcPr>
          <w:p w14:paraId="59156838"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14,2</w:t>
            </w:r>
          </w:p>
        </w:tc>
        <w:tc>
          <w:tcPr>
            <w:tcW w:w="3542" w:type="dxa"/>
            <w:tcBorders>
              <w:top w:val="nil"/>
              <w:left w:val="nil"/>
              <w:bottom w:val="single" w:sz="8" w:space="0" w:color="auto"/>
              <w:right w:val="single" w:sz="8" w:space="0" w:color="auto"/>
            </w:tcBorders>
            <w:shd w:val="clear" w:color="auto" w:fill="auto"/>
            <w:vAlign w:val="center"/>
            <w:hideMark/>
          </w:tcPr>
          <w:p w14:paraId="254C2342" w14:textId="77777777" w:rsidR="009755C1" w:rsidRPr="009755C1" w:rsidRDefault="009755C1" w:rsidP="00FA6132">
            <w:pPr>
              <w:spacing w:after="160" w:line="240" w:lineRule="auto"/>
              <w:rPr>
                <w:rFonts w:ascii="Arial" w:eastAsia="Times New Roman" w:hAnsi="Arial" w:cs="Arial"/>
                <w:sz w:val="20"/>
                <w:szCs w:val="20"/>
                <w:lang w:eastAsia="pt-BR"/>
              </w:rPr>
            </w:pPr>
            <w:r w:rsidRPr="009755C1">
              <w:rPr>
                <w:rFonts w:ascii="Arial" w:eastAsia="Times New Roman" w:hAnsi="Arial" w:cs="Arial"/>
                <w:sz w:val="20"/>
                <w:szCs w:val="20"/>
                <w:lang w:eastAsia="pt-BR"/>
              </w:rPr>
              <w:t>Obrigatório</w:t>
            </w:r>
          </w:p>
        </w:tc>
      </w:tr>
      <w:tr w:rsidR="009755C1" w:rsidRPr="009755C1" w14:paraId="4E705F0B" w14:textId="77777777" w:rsidTr="00FA6132">
        <w:trPr>
          <w:trHeight w:val="315"/>
        </w:trPr>
        <w:tc>
          <w:tcPr>
            <w:tcW w:w="3272" w:type="dxa"/>
            <w:tcBorders>
              <w:top w:val="nil"/>
              <w:left w:val="single" w:sz="8" w:space="0" w:color="auto"/>
              <w:bottom w:val="single" w:sz="8" w:space="0" w:color="auto"/>
              <w:right w:val="single" w:sz="8" w:space="0" w:color="auto"/>
            </w:tcBorders>
            <w:shd w:val="clear" w:color="auto" w:fill="auto"/>
            <w:vAlign w:val="center"/>
            <w:hideMark/>
          </w:tcPr>
          <w:p w14:paraId="69DF985A" w14:textId="77777777" w:rsidR="009755C1" w:rsidRPr="009755C1" w:rsidRDefault="009755C1" w:rsidP="00FA6132">
            <w:pPr>
              <w:spacing w:after="160" w:line="240" w:lineRule="auto"/>
              <w:rPr>
                <w:rFonts w:ascii="Arial" w:eastAsia="Times New Roman" w:hAnsi="Arial" w:cs="Arial"/>
                <w:sz w:val="20"/>
                <w:szCs w:val="20"/>
                <w:lang w:eastAsia="pt-BR"/>
              </w:rPr>
            </w:pPr>
            <w:r w:rsidRPr="009755C1">
              <w:rPr>
                <w:rFonts w:ascii="Arial" w:eastAsia="Times New Roman" w:hAnsi="Arial" w:cs="Arial"/>
                <w:sz w:val="20"/>
                <w:szCs w:val="20"/>
                <w:lang w:eastAsia="pt-BR"/>
              </w:rPr>
              <w:t>Valor referente ao Mês Abril</w:t>
            </w:r>
          </w:p>
        </w:tc>
        <w:tc>
          <w:tcPr>
            <w:tcW w:w="1276" w:type="dxa"/>
            <w:tcBorders>
              <w:top w:val="nil"/>
              <w:left w:val="nil"/>
              <w:bottom w:val="single" w:sz="8" w:space="0" w:color="auto"/>
              <w:right w:val="single" w:sz="8" w:space="0" w:color="auto"/>
            </w:tcBorders>
            <w:shd w:val="clear" w:color="auto" w:fill="auto"/>
            <w:vAlign w:val="center"/>
            <w:hideMark/>
          </w:tcPr>
          <w:p w14:paraId="41E4A144"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Decimal</w:t>
            </w:r>
          </w:p>
        </w:tc>
        <w:tc>
          <w:tcPr>
            <w:tcW w:w="1276" w:type="dxa"/>
            <w:tcBorders>
              <w:top w:val="nil"/>
              <w:left w:val="nil"/>
              <w:bottom w:val="single" w:sz="8" w:space="0" w:color="auto"/>
              <w:right w:val="single" w:sz="8" w:space="0" w:color="auto"/>
            </w:tcBorders>
            <w:shd w:val="clear" w:color="auto" w:fill="auto"/>
            <w:vAlign w:val="center"/>
            <w:hideMark/>
          </w:tcPr>
          <w:p w14:paraId="7B0B8F1B"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14,2</w:t>
            </w:r>
          </w:p>
        </w:tc>
        <w:tc>
          <w:tcPr>
            <w:tcW w:w="3542" w:type="dxa"/>
            <w:tcBorders>
              <w:top w:val="nil"/>
              <w:left w:val="nil"/>
              <w:bottom w:val="single" w:sz="8" w:space="0" w:color="auto"/>
              <w:right w:val="single" w:sz="8" w:space="0" w:color="auto"/>
            </w:tcBorders>
            <w:shd w:val="clear" w:color="auto" w:fill="auto"/>
            <w:vAlign w:val="center"/>
            <w:hideMark/>
          </w:tcPr>
          <w:p w14:paraId="057E041C" w14:textId="77777777" w:rsidR="009755C1" w:rsidRPr="009755C1" w:rsidRDefault="009755C1" w:rsidP="00FA6132">
            <w:pPr>
              <w:spacing w:after="160" w:line="240" w:lineRule="auto"/>
              <w:rPr>
                <w:rFonts w:ascii="Arial" w:eastAsia="Times New Roman" w:hAnsi="Arial" w:cs="Arial"/>
                <w:sz w:val="20"/>
                <w:szCs w:val="20"/>
                <w:lang w:eastAsia="pt-BR"/>
              </w:rPr>
            </w:pPr>
            <w:r w:rsidRPr="009755C1">
              <w:rPr>
                <w:rFonts w:ascii="Arial" w:eastAsia="Times New Roman" w:hAnsi="Arial" w:cs="Arial"/>
                <w:sz w:val="20"/>
                <w:szCs w:val="20"/>
                <w:lang w:eastAsia="pt-BR"/>
              </w:rPr>
              <w:t>Obrigatório</w:t>
            </w:r>
          </w:p>
        </w:tc>
      </w:tr>
      <w:tr w:rsidR="009755C1" w:rsidRPr="009755C1" w14:paraId="6ECBC3F3" w14:textId="77777777" w:rsidTr="00FA6132">
        <w:trPr>
          <w:trHeight w:val="315"/>
        </w:trPr>
        <w:tc>
          <w:tcPr>
            <w:tcW w:w="3272" w:type="dxa"/>
            <w:tcBorders>
              <w:top w:val="nil"/>
              <w:left w:val="single" w:sz="8" w:space="0" w:color="auto"/>
              <w:bottom w:val="single" w:sz="8" w:space="0" w:color="auto"/>
              <w:right w:val="single" w:sz="8" w:space="0" w:color="auto"/>
            </w:tcBorders>
            <w:shd w:val="clear" w:color="auto" w:fill="auto"/>
            <w:vAlign w:val="center"/>
            <w:hideMark/>
          </w:tcPr>
          <w:p w14:paraId="47FAFDAA" w14:textId="77777777" w:rsidR="009755C1" w:rsidRPr="009755C1" w:rsidRDefault="009755C1" w:rsidP="00FA6132">
            <w:pPr>
              <w:spacing w:after="160" w:line="240" w:lineRule="auto"/>
              <w:rPr>
                <w:rFonts w:ascii="Arial" w:eastAsia="Times New Roman" w:hAnsi="Arial" w:cs="Arial"/>
                <w:sz w:val="20"/>
                <w:szCs w:val="20"/>
                <w:lang w:eastAsia="pt-BR"/>
              </w:rPr>
            </w:pPr>
            <w:r w:rsidRPr="009755C1">
              <w:rPr>
                <w:rFonts w:ascii="Arial" w:eastAsia="Times New Roman" w:hAnsi="Arial" w:cs="Arial"/>
                <w:sz w:val="20"/>
                <w:szCs w:val="20"/>
                <w:lang w:eastAsia="pt-BR"/>
              </w:rPr>
              <w:t>Valor referente ao Mês Maio</w:t>
            </w:r>
          </w:p>
        </w:tc>
        <w:tc>
          <w:tcPr>
            <w:tcW w:w="1276" w:type="dxa"/>
            <w:tcBorders>
              <w:top w:val="nil"/>
              <w:left w:val="nil"/>
              <w:bottom w:val="single" w:sz="8" w:space="0" w:color="auto"/>
              <w:right w:val="single" w:sz="8" w:space="0" w:color="auto"/>
            </w:tcBorders>
            <w:shd w:val="clear" w:color="auto" w:fill="auto"/>
            <w:vAlign w:val="center"/>
            <w:hideMark/>
          </w:tcPr>
          <w:p w14:paraId="02E24657"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Decimal</w:t>
            </w:r>
          </w:p>
        </w:tc>
        <w:tc>
          <w:tcPr>
            <w:tcW w:w="1276" w:type="dxa"/>
            <w:tcBorders>
              <w:top w:val="nil"/>
              <w:left w:val="nil"/>
              <w:bottom w:val="single" w:sz="8" w:space="0" w:color="auto"/>
              <w:right w:val="single" w:sz="8" w:space="0" w:color="auto"/>
            </w:tcBorders>
            <w:shd w:val="clear" w:color="auto" w:fill="auto"/>
            <w:vAlign w:val="center"/>
            <w:hideMark/>
          </w:tcPr>
          <w:p w14:paraId="3DB13A71"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14,2</w:t>
            </w:r>
          </w:p>
        </w:tc>
        <w:tc>
          <w:tcPr>
            <w:tcW w:w="3542" w:type="dxa"/>
            <w:tcBorders>
              <w:top w:val="nil"/>
              <w:left w:val="nil"/>
              <w:bottom w:val="single" w:sz="8" w:space="0" w:color="auto"/>
              <w:right w:val="single" w:sz="8" w:space="0" w:color="auto"/>
            </w:tcBorders>
            <w:shd w:val="clear" w:color="auto" w:fill="auto"/>
            <w:vAlign w:val="center"/>
            <w:hideMark/>
          </w:tcPr>
          <w:p w14:paraId="531BDBCA" w14:textId="77777777" w:rsidR="009755C1" w:rsidRPr="009755C1" w:rsidRDefault="009755C1" w:rsidP="00FA6132">
            <w:pPr>
              <w:spacing w:after="160" w:line="240" w:lineRule="auto"/>
              <w:rPr>
                <w:rFonts w:ascii="Arial" w:eastAsia="Times New Roman" w:hAnsi="Arial" w:cs="Arial"/>
                <w:sz w:val="20"/>
                <w:szCs w:val="20"/>
                <w:lang w:eastAsia="pt-BR"/>
              </w:rPr>
            </w:pPr>
            <w:r w:rsidRPr="009755C1">
              <w:rPr>
                <w:rFonts w:ascii="Arial" w:eastAsia="Times New Roman" w:hAnsi="Arial" w:cs="Arial"/>
                <w:sz w:val="20"/>
                <w:szCs w:val="20"/>
                <w:lang w:eastAsia="pt-BR"/>
              </w:rPr>
              <w:t>Obrigatório</w:t>
            </w:r>
          </w:p>
        </w:tc>
      </w:tr>
      <w:tr w:rsidR="009755C1" w:rsidRPr="009755C1" w14:paraId="6B73E6A4" w14:textId="77777777" w:rsidTr="00FA6132">
        <w:trPr>
          <w:trHeight w:val="315"/>
        </w:trPr>
        <w:tc>
          <w:tcPr>
            <w:tcW w:w="3272" w:type="dxa"/>
            <w:tcBorders>
              <w:top w:val="nil"/>
              <w:left w:val="single" w:sz="8" w:space="0" w:color="auto"/>
              <w:bottom w:val="single" w:sz="8" w:space="0" w:color="auto"/>
              <w:right w:val="single" w:sz="8" w:space="0" w:color="auto"/>
            </w:tcBorders>
            <w:shd w:val="clear" w:color="auto" w:fill="auto"/>
            <w:vAlign w:val="center"/>
            <w:hideMark/>
          </w:tcPr>
          <w:p w14:paraId="1A292CE1" w14:textId="77777777" w:rsidR="009755C1" w:rsidRPr="009755C1" w:rsidRDefault="009755C1" w:rsidP="00FA6132">
            <w:pPr>
              <w:spacing w:after="160" w:line="240" w:lineRule="auto"/>
              <w:rPr>
                <w:rFonts w:ascii="Arial" w:eastAsia="Times New Roman" w:hAnsi="Arial" w:cs="Arial"/>
                <w:sz w:val="20"/>
                <w:szCs w:val="20"/>
                <w:lang w:eastAsia="pt-BR"/>
              </w:rPr>
            </w:pPr>
            <w:r w:rsidRPr="009755C1">
              <w:rPr>
                <w:rFonts w:ascii="Arial" w:eastAsia="Times New Roman" w:hAnsi="Arial" w:cs="Arial"/>
                <w:sz w:val="20"/>
                <w:szCs w:val="20"/>
                <w:lang w:eastAsia="pt-BR"/>
              </w:rPr>
              <w:t>Valor referente ao Mês Junho</w:t>
            </w:r>
          </w:p>
        </w:tc>
        <w:tc>
          <w:tcPr>
            <w:tcW w:w="1276" w:type="dxa"/>
            <w:tcBorders>
              <w:top w:val="nil"/>
              <w:left w:val="nil"/>
              <w:bottom w:val="single" w:sz="8" w:space="0" w:color="auto"/>
              <w:right w:val="single" w:sz="8" w:space="0" w:color="auto"/>
            </w:tcBorders>
            <w:shd w:val="clear" w:color="auto" w:fill="auto"/>
            <w:vAlign w:val="center"/>
            <w:hideMark/>
          </w:tcPr>
          <w:p w14:paraId="38AB60EC"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Decimal</w:t>
            </w:r>
          </w:p>
        </w:tc>
        <w:tc>
          <w:tcPr>
            <w:tcW w:w="1276" w:type="dxa"/>
            <w:tcBorders>
              <w:top w:val="nil"/>
              <w:left w:val="nil"/>
              <w:bottom w:val="single" w:sz="8" w:space="0" w:color="auto"/>
              <w:right w:val="single" w:sz="8" w:space="0" w:color="auto"/>
            </w:tcBorders>
            <w:shd w:val="clear" w:color="auto" w:fill="auto"/>
            <w:vAlign w:val="center"/>
            <w:hideMark/>
          </w:tcPr>
          <w:p w14:paraId="21B20585"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14,2</w:t>
            </w:r>
          </w:p>
        </w:tc>
        <w:tc>
          <w:tcPr>
            <w:tcW w:w="3542" w:type="dxa"/>
            <w:tcBorders>
              <w:top w:val="nil"/>
              <w:left w:val="nil"/>
              <w:bottom w:val="single" w:sz="8" w:space="0" w:color="auto"/>
              <w:right w:val="single" w:sz="8" w:space="0" w:color="auto"/>
            </w:tcBorders>
            <w:shd w:val="clear" w:color="auto" w:fill="auto"/>
            <w:vAlign w:val="center"/>
            <w:hideMark/>
          </w:tcPr>
          <w:p w14:paraId="458A733E" w14:textId="77777777" w:rsidR="009755C1" w:rsidRPr="009755C1" w:rsidRDefault="009755C1" w:rsidP="00FA6132">
            <w:pPr>
              <w:spacing w:after="160" w:line="240" w:lineRule="auto"/>
              <w:rPr>
                <w:rFonts w:ascii="Arial" w:eastAsia="Times New Roman" w:hAnsi="Arial" w:cs="Arial"/>
                <w:sz w:val="20"/>
                <w:szCs w:val="20"/>
                <w:lang w:eastAsia="pt-BR"/>
              </w:rPr>
            </w:pPr>
            <w:r w:rsidRPr="009755C1">
              <w:rPr>
                <w:rFonts w:ascii="Arial" w:eastAsia="Times New Roman" w:hAnsi="Arial" w:cs="Arial"/>
                <w:sz w:val="20"/>
                <w:szCs w:val="20"/>
                <w:lang w:eastAsia="pt-BR"/>
              </w:rPr>
              <w:t>Obrigatório</w:t>
            </w:r>
          </w:p>
        </w:tc>
      </w:tr>
      <w:tr w:rsidR="009755C1" w:rsidRPr="009755C1" w14:paraId="40DCFF33" w14:textId="77777777" w:rsidTr="00FA6132">
        <w:trPr>
          <w:trHeight w:val="315"/>
        </w:trPr>
        <w:tc>
          <w:tcPr>
            <w:tcW w:w="3272" w:type="dxa"/>
            <w:tcBorders>
              <w:top w:val="nil"/>
              <w:left w:val="single" w:sz="8" w:space="0" w:color="auto"/>
              <w:bottom w:val="single" w:sz="8" w:space="0" w:color="auto"/>
              <w:right w:val="single" w:sz="8" w:space="0" w:color="auto"/>
            </w:tcBorders>
            <w:shd w:val="clear" w:color="auto" w:fill="auto"/>
            <w:vAlign w:val="center"/>
            <w:hideMark/>
          </w:tcPr>
          <w:p w14:paraId="5864089A" w14:textId="77777777" w:rsidR="009755C1" w:rsidRPr="009755C1" w:rsidRDefault="009755C1" w:rsidP="00FA6132">
            <w:pPr>
              <w:spacing w:after="160" w:line="240" w:lineRule="auto"/>
              <w:rPr>
                <w:rFonts w:ascii="Arial" w:eastAsia="Times New Roman" w:hAnsi="Arial" w:cs="Arial"/>
                <w:sz w:val="20"/>
                <w:szCs w:val="20"/>
                <w:lang w:eastAsia="pt-BR"/>
              </w:rPr>
            </w:pPr>
            <w:r w:rsidRPr="009755C1">
              <w:rPr>
                <w:rFonts w:ascii="Arial" w:eastAsia="Times New Roman" w:hAnsi="Arial" w:cs="Arial"/>
                <w:sz w:val="20"/>
                <w:szCs w:val="20"/>
                <w:lang w:eastAsia="pt-BR"/>
              </w:rPr>
              <w:t>Valor referente ao Mês Julho</w:t>
            </w:r>
          </w:p>
        </w:tc>
        <w:tc>
          <w:tcPr>
            <w:tcW w:w="1276" w:type="dxa"/>
            <w:tcBorders>
              <w:top w:val="nil"/>
              <w:left w:val="nil"/>
              <w:bottom w:val="single" w:sz="8" w:space="0" w:color="auto"/>
              <w:right w:val="single" w:sz="8" w:space="0" w:color="auto"/>
            </w:tcBorders>
            <w:shd w:val="clear" w:color="auto" w:fill="auto"/>
            <w:vAlign w:val="center"/>
            <w:hideMark/>
          </w:tcPr>
          <w:p w14:paraId="10AAF2DC"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Decimal</w:t>
            </w:r>
          </w:p>
        </w:tc>
        <w:tc>
          <w:tcPr>
            <w:tcW w:w="1276" w:type="dxa"/>
            <w:tcBorders>
              <w:top w:val="nil"/>
              <w:left w:val="nil"/>
              <w:bottom w:val="single" w:sz="8" w:space="0" w:color="auto"/>
              <w:right w:val="single" w:sz="8" w:space="0" w:color="auto"/>
            </w:tcBorders>
            <w:shd w:val="clear" w:color="auto" w:fill="auto"/>
            <w:vAlign w:val="center"/>
            <w:hideMark/>
          </w:tcPr>
          <w:p w14:paraId="09339F84"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14,2</w:t>
            </w:r>
          </w:p>
        </w:tc>
        <w:tc>
          <w:tcPr>
            <w:tcW w:w="3542" w:type="dxa"/>
            <w:tcBorders>
              <w:top w:val="nil"/>
              <w:left w:val="nil"/>
              <w:bottom w:val="single" w:sz="8" w:space="0" w:color="auto"/>
              <w:right w:val="single" w:sz="8" w:space="0" w:color="auto"/>
            </w:tcBorders>
            <w:shd w:val="clear" w:color="auto" w:fill="auto"/>
            <w:vAlign w:val="center"/>
            <w:hideMark/>
          </w:tcPr>
          <w:p w14:paraId="1C7B4A45" w14:textId="77777777" w:rsidR="009755C1" w:rsidRPr="009755C1" w:rsidRDefault="009755C1" w:rsidP="00FA6132">
            <w:pPr>
              <w:spacing w:after="160" w:line="240" w:lineRule="auto"/>
              <w:rPr>
                <w:rFonts w:ascii="Arial" w:eastAsia="Times New Roman" w:hAnsi="Arial" w:cs="Arial"/>
                <w:sz w:val="20"/>
                <w:szCs w:val="20"/>
                <w:lang w:eastAsia="pt-BR"/>
              </w:rPr>
            </w:pPr>
            <w:r w:rsidRPr="009755C1">
              <w:rPr>
                <w:rFonts w:ascii="Arial" w:eastAsia="Times New Roman" w:hAnsi="Arial" w:cs="Arial"/>
                <w:sz w:val="20"/>
                <w:szCs w:val="20"/>
                <w:lang w:eastAsia="pt-BR"/>
              </w:rPr>
              <w:t>Obrigatório</w:t>
            </w:r>
          </w:p>
        </w:tc>
      </w:tr>
      <w:tr w:rsidR="009755C1" w:rsidRPr="009755C1" w14:paraId="0116ED2D" w14:textId="77777777" w:rsidTr="00FA6132">
        <w:trPr>
          <w:trHeight w:val="315"/>
        </w:trPr>
        <w:tc>
          <w:tcPr>
            <w:tcW w:w="3272" w:type="dxa"/>
            <w:tcBorders>
              <w:top w:val="nil"/>
              <w:left w:val="single" w:sz="8" w:space="0" w:color="auto"/>
              <w:bottom w:val="single" w:sz="8" w:space="0" w:color="auto"/>
              <w:right w:val="single" w:sz="8" w:space="0" w:color="auto"/>
            </w:tcBorders>
            <w:shd w:val="clear" w:color="auto" w:fill="auto"/>
            <w:vAlign w:val="center"/>
            <w:hideMark/>
          </w:tcPr>
          <w:p w14:paraId="793721F6" w14:textId="77777777" w:rsidR="009755C1" w:rsidRPr="009755C1" w:rsidRDefault="009755C1" w:rsidP="00FA6132">
            <w:pPr>
              <w:spacing w:after="160" w:line="240" w:lineRule="auto"/>
              <w:rPr>
                <w:rFonts w:ascii="Arial" w:eastAsia="Times New Roman" w:hAnsi="Arial" w:cs="Arial"/>
                <w:sz w:val="20"/>
                <w:szCs w:val="20"/>
                <w:lang w:eastAsia="pt-BR"/>
              </w:rPr>
            </w:pPr>
            <w:r w:rsidRPr="009755C1">
              <w:rPr>
                <w:rFonts w:ascii="Arial" w:eastAsia="Times New Roman" w:hAnsi="Arial" w:cs="Arial"/>
                <w:sz w:val="20"/>
                <w:szCs w:val="20"/>
                <w:lang w:eastAsia="pt-BR"/>
              </w:rPr>
              <w:t>Valor referente ao Mês Agosto</w:t>
            </w:r>
          </w:p>
        </w:tc>
        <w:tc>
          <w:tcPr>
            <w:tcW w:w="1276" w:type="dxa"/>
            <w:tcBorders>
              <w:top w:val="nil"/>
              <w:left w:val="nil"/>
              <w:bottom w:val="single" w:sz="8" w:space="0" w:color="auto"/>
              <w:right w:val="single" w:sz="8" w:space="0" w:color="auto"/>
            </w:tcBorders>
            <w:shd w:val="clear" w:color="auto" w:fill="auto"/>
            <w:vAlign w:val="center"/>
            <w:hideMark/>
          </w:tcPr>
          <w:p w14:paraId="531EE3C9"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Decimal</w:t>
            </w:r>
          </w:p>
        </w:tc>
        <w:tc>
          <w:tcPr>
            <w:tcW w:w="1276" w:type="dxa"/>
            <w:tcBorders>
              <w:top w:val="nil"/>
              <w:left w:val="nil"/>
              <w:bottom w:val="single" w:sz="8" w:space="0" w:color="auto"/>
              <w:right w:val="single" w:sz="8" w:space="0" w:color="auto"/>
            </w:tcBorders>
            <w:shd w:val="clear" w:color="auto" w:fill="auto"/>
            <w:vAlign w:val="center"/>
            <w:hideMark/>
          </w:tcPr>
          <w:p w14:paraId="631574F4"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14,2</w:t>
            </w:r>
          </w:p>
        </w:tc>
        <w:tc>
          <w:tcPr>
            <w:tcW w:w="3542" w:type="dxa"/>
            <w:tcBorders>
              <w:top w:val="nil"/>
              <w:left w:val="nil"/>
              <w:bottom w:val="single" w:sz="8" w:space="0" w:color="auto"/>
              <w:right w:val="single" w:sz="8" w:space="0" w:color="auto"/>
            </w:tcBorders>
            <w:shd w:val="clear" w:color="auto" w:fill="auto"/>
            <w:vAlign w:val="center"/>
            <w:hideMark/>
          </w:tcPr>
          <w:p w14:paraId="493493CD" w14:textId="77777777" w:rsidR="009755C1" w:rsidRPr="009755C1" w:rsidRDefault="009755C1" w:rsidP="00FA6132">
            <w:pPr>
              <w:spacing w:after="160" w:line="240" w:lineRule="auto"/>
              <w:rPr>
                <w:rFonts w:ascii="Arial" w:eastAsia="Times New Roman" w:hAnsi="Arial" w:cs="Arial"/>
                <w:sz w:val="20"/>
                <w:szCs w:val="20"/>
                <w:lang w:eastAsia="pt-BR"/>
              </w:rPr>
            </w:pPr>
            <w:r w:rsidRPr="009755C1">
              <w:rPr>
                <w:rFonts w:ascii="Arial" w:eastAsia="Times New Roman" w:hAnsi="Arial" w:cs="Arial"/>
                <w:sz w:val="20"/>
                <w:szCs w:val="20"/>
                <w:lang w:eastAsia="pt-BR"/>
              </w:rPr>
              <w:t>Obrigatório</w:t>
            </w:r>
          </w:p>
        </w:tc>
      </w:tr>
      <w:tr w:rsidR="009755C1" w:rsidRPr="009755C1" w14:paraId="1A795672" w14:textId="77777777" w:rsidTr="00FA6132">
        <w:trPr>
          <w:trHeight w:val="315"/>
        </w:trPr>
        <w:tc>
          <w:tcPr>
            <w:tcW w:w="3272" w:type="dxa"/>
            <w:tcBorders>
              <w:top w:val="nil"/>
              <w:left w:val="single" w:sz="8" w:space="0" w:color="auto"/>
              <w:bottom w:val="single" w:sz="8" w:space="0" w:color="auto"/>
              <w:right w:val="single" w:sz="8" w:space="0" w:color="auto"/>
            </w:tcBorders>
            <w:shd w:val="clear" w:color="auto" w:fill="auto"/>
            <w:vAlign w:val="center"/>
            <w:hideMark/>
          </w:tcPr>
          <w:p w14:paraId="679598AF" w14:textId="77777777" w:rsidR="009755C1" w:rsidRPr="009755C1" w:rsidRDefault="009755C1" w:rsidP="00FA6132">
            <w:pPr>
              <w:spacing w:after="160" w:line="240" w:lineRule="auto"/>
              <w:rPr>
                <w:rFonts w:ascii="Arial" w:eastAsia="Times New Roman" w:hAnsi="Arial" w:cs="Arial"/>
                <w:sz w:val="20"/>
                <w:szCs w:val="20"/>
                <w:lang w:eastAsia="pt-BR"/>
              </w:rPr>
            </w:pPr>
            <w:r w:rsidRPr="009755C1">
              <w:rPr>
                <w:rFonts w:ascii="Arial" w:eastAsia="Times New Roman" w:hAnsi="Arial" w:cs="Arial"/>
                <w:sz w:val="20"/>
                <w:szCs w:val="20"/>
                <w:lang w:eastAsia="pt-BR"/>
              </w:rPr>
              <w:t>Valor referente ao Mês Setembro</w:t>
            </w:r>
          </w:p>
        </w:tc>
        <w:tc>
          <w:tcPr>
            <w:tcW w:w="1276" w:type="dxa"/>
            <w:tcBorders>
              <w:top w:val="nil"/>
              <w:left w:val="nil"/>
              <w:bottom w:val="single" w:sz="8" w:space="0" w:color="auto"/>
              <w:right w:val="single" w:sz="8" w:space="0" w:color="auto"/>
            </w:tcBorders>
            <w:shd w:val="clear" w:color="auto" w:fill="auto"/>
            <w:vAlign w:val="center"/>
            <w:hideMark/>
          </w:tcPr>
          <w:p w14:paraId="710F5A66"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Decimal</w:t>
            </w:r>
          </w:p>
        </w:tc>
        <w:tc>
          <w:tcPr>
            <w:tcW w:w="1276" w:type="dxa"/>
            <w:tcBorders>
              <w:top w:val="nil"/>
              <w:left w:val="nil"/>
              <w:bottom w:val="single" w:sz="8" w:space="0" w:color="auto"/>
              <w:right w:val="single" w:sz="8" w:space="0" w:color="auto"/>
            </w:tcBorders>
            <w:shd w:val="clear" w:color="auto" w:fill="auto"/>
            <w:vAlign w:val="center"/>
            <w:hideMark/>
          </w:tcPr>
          <w:p w14:paraId="750BE4C7"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14,2</w:t>
            </w:r>
          </w:p>
        </w:tc>
        <w:tc>
          <w:tcPr>
            <w:tcW w:w="3542" w:type="dxa"/>
            <w:tcBorders>
              <w:top w:val="nil"/>
              <w:left w:val="nil"/>
              <w:bottom w:val="single" w:sz="8" w:space="0" w:color="auto"/>
              <w:right w:val="single" w:sz="8" w:space="0" w:color="auto"/>
            </w:tcBorders>
            <w:shd w:val="clear" w:color="auto" w:fill="auto"/>
            <w:vAlign w:val="center"/>
            <w:hideMark/>
          </w:tcPr>
          <w:p w14:paraId="64548B85" w14:textId="77777777" w:rsidR="009755C1" w:rsidRPr="009755C1" w:rsidRDefault="009755C1" w:rsidP="00FA6132">
            <w:pPr>
              <w:spacing w:after="160" w:line="240" w:lineRule="auto"/>
              <w:rPr>
                <w:rFonts w:ascii="Arial" w:eastAsia="Times New Roman" w:hAnsi="Arial" w:cs="Arial"/>
                <w:sz w:val="20"/>
                <w:szCs w:val="20"/>
                <w:lang w:eastAsia="pt-BR"/>
              </w:rPr>
            </w:pPr>
            <w:r w:rsidRPr="009755C1">
              <w:rPr>
                <w:rFonts w:ascii="Arial" w:eastAsia="Times New Roman" w:hAnsi="Arial" w:cs="Arial"/>
                <w:sz w:val="20"/>
                <w:szCs w:val="20"/>
                <w:lang w:eastAsia="pt-BR"/>
              </w:rPr>
              <w:t>Obrigatório</w:t>
            </w:r>
          </w:p>
        </w:tc>
      </w:tr>
      <w:tr w:rsidR="009755C1" w:rsidRPr="009755C1" w14:paraId="269185F4" w14:textId="77777777" w:rsidTr="00FA6132">
        <w:trPr>
          <w:trHeight w:val="315"/>
        </w:trPr>
        <w:tc>
          <w:tcPr>
            <w:tcW w:w="3272" w:type="dxa"/>
            <w:tcBorders>
              <w:top w:val="nil"/>
              <w:left w:val="single" w:sz="8" w:space="0" w:color="auto"/>
              <w:bottom w:val="single" w:sz="8" w:space="0" w:color="auto"/>
              <w:right w:val="single" w:sz="8" w:space="0" w:color="auto"/>
            </w:tcBorders>
            <w:shd w:val="clear" w:color="auto" w:fill="auto"/>
            <w:vAlign w:val="center"/>
            <w:hideMark/>
          </w:tcPr>
          <w:p w14:paraId="3BF600D2" w14:textId="77777777" w:rsidR="009755C1" w:rsidRPr="009755C1" w:rsidRDefault="009755C1" w:rsidP="00FA6132">
            <w:pPr>
              <w:spacing w:after="160" w:line="240" w:lineRule="auto"/>
              <w:rPr>
                <w:rFonts w:ascii="Arial" w:eastAsia="Times New Roman" w:hAnsi="Arial" w:cs="Arial"/>
                <w:sz w:val="20"/>
                <w:szCs w:val="20"/>
                <w:lang w:eastAsia="pt-BR"/>
              </w:rPr>
            </w:pPr>
            <w:r w:rsidRPr="009755C1">
              <w:rPr>
                <w:rFonts w:ascii="Arial" w:eastAsia="Times New Roman" w:hAnsi="Arial" w:cs="Arial"/>
                <w:sz w:val="20"/>
                <w:szCs w:val="20"/>
                <w:lang w:eastAsia="pt-BR"/>
              </w:rPr>
              <w:t>Valor referente ao Mês Outubro</w:t>
            </w:r>
          </w:p>
        </w:tc>
        <w:tc>
          <w:tcPr>
            <w:tcW w:w="1276" w:type="dxa"/>
            <w:tcBorders>
              <w:top w:val="nil"/>
              <w:left w:val="nil"/>
              <w:bottom w:val="single" w:sz="8" w:space="0" w:color="auto"/>
              <w:right w:val="single" w:sz="8" w:space="0" w:color="auto"/>
            </w:tcBorders>
            <w:shd w:val="clear" w:color="auto" w:fill="auto"/>
            <w:vAlign w:val="center"/>
            <w:hideMark/>
          </w:tcPr>
          <w:p w14:paraId="678A54F9"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Decimal</w:t>
            </w:r>
          </w:p>
        </w:tc>
        <w:tc>
          <w:tcPr>
            <w:tcW w:w="1276" w:type="dxa"/>
            <w:tcBorders>
              <w:top w:val="nil"/>
              <w:left w:val="nil"/>
              <w:bottom w:val="single" w:sz="8" w:space="0" w:color="auto"/>
              <w:right w:val="single" w:sz="8" w:space="0" w:color="auto"/>
            </w:tcBorders>
            <w:shd w:val="clear" w:color="auto" w:fill="auto"/>
            <w:vAlign w:val="center"/>
            <w:hideMark/>
          </w:tcPr>
          <w:p w14:paraId="40EAC8BF"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14,2</w:t>
            </w:r>
          </w:p>
        </w:tc>
        <w:tc>
          <w:tcPr>
            <w:tcW w:w="3542" w:type="dxa"/>
            <w:tcBorders>
              <w:top w:val="nil"/>
              <w:left w:val="nil"/>
              <w:bottom w:val="single" w:sz="8" w:space="0" w:color="auto"/>
              <w:right w:val="single" w:sz="8" w:space="0" w:color="auto"/>
            </w:tcBorders>
            <w:shd w:val="clear" w:color="auto" w:fill="auto"/>
            <w:vAlign w:val="center"/>
            <w:hideMark/>
          </w:tcPr>
          <w:p w14:paraId="0A241DA2" w14:textId="77777777" w:rsidR="009755C1" w:rsidRPr="009755C1" w:rsidRDefault="009755C1" w:rsidP="00FA6132">
            <w:pPr>
              <w:spacing w:after="160" w:line="240" w:lineRule="auto"/>
              <w:rPr>
                <w:rFonts w:ascii="Arial" w:eastAsia="Times New Roman" w:hAnsi="Arial" w:cs="Arial"/>
                <w:sz w:val="20"/>
                <w:szCs w:val="20"/>
                <w:lang w:eastAsia="pt-BR"/>
              </w:rPr>
            </w:pPr>
            <w:r w:rsidRPr="009755C1">
              <w:rPr>
                <w:rFonts w:ascii="Arial" w:eastAsia="Times New Roman" w:hAnsi="Arial" w:cs="Arial"/>
                <w:sz w:val="20"/>
                <w:szCs w:val="20"/>
                <w:lang w:eastAsia="pt-BR"/>
              </w:rPr>
              <w:t>Obrigatório</w:t>
            </w:r>
          </w:p>
        </w:tc>
      </w:tr>
      <w:tr w:rsidR="009755C1" w:rsidRPr="009755C1" w14:paraId="6B975F7E" w14:textId="77777777" w:rsidTr="00FA6132">
        <w:trPr>
          <w:trHeight w:val="315"/>
        </w:trPr>
        <w:tc>
          <w:tcPr>
            <w:tcW w:w="3272" w:type="dxa"/>
            <w:tcBorders>
              <w:top w:val="nil"/>
              <w:left w:val="single" w:sz="8" w:space="0" w:color="auto"/>
              <w:bottom w:val="single" w:sz="8" w:space="0" w:color="auto"/>
              <w:right w:val="single" w:sz="8" w:space="0" w:color="auto"/>
            </w:tcBorders>
            <w:shd w:val="clear" w:color="auto" w:fill="auto"/>
            <w:vAlign w:val="center"/>
            <w:hideMark/>
          </w:tcPr>
          <w:p w14:paraId="37CC9AA9" w14:textId="77777777" w:rsidR="009755C1" w:rsidRPr="009755C1" w:rsidRDefault="009755C1" w:rsidP="00FA6132">
            <w:pPr>
              <w:spacing w:after="160" w:line="240" w:lineRule="auto"/>
              <w:rPr>
                <w:rFonts w:ascii="Arial" w:eastAsia="Times New Roman" w:hAnsi="Arial" w:cs="Arial"/>
                <w:sz w:val="20"/>
                <w:szCs w:val="20"/>
                <w:lang w:eastAsia="pt-BR"/>
              </w:rPr>
            </w:pPr>
            <w:r w:rsidRPr="009755C1">
              <w:rPr>
                <w:rFonts w:ascii="Arial" w:eastAsia="Times New Roman" w:hAnsi="Arial" w:cs="Arial"/>
                <w:sz w:val="20"/>
                <w:szCs w:val="20"/>
                <w:lang w:eastAsia="pt-BR"/>
              </w:rPr>
              <w:t>Valor referente ao Mês Novembro</w:t>
            </w:r>
          </w:p>
        </w:tc>
        <w:tc>
          <w:tcPr>
            <w:tcW w:w="1276" w:type="dxa"/>
            <w:tcBorders>
              <w:top w:val="nil"/>
              <w:left w:val="nil"/>
              <w:bottom w:val="single" w:sz="8" w:space="0" w:color="auto"/>
              <w:right w:val="single" w:sz="8" w:space="0" w:color="auto"/>
            </w:tcBorders>
            <w:shd w:val="clear" w:color="auto" w:fill="auto"/>
            <w:vAlign w:val="center"/>
            <w:hideMark/>
          </w:tcPr>
          <w:p w14:paraId="3F562800"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Decimal</w:t>
            </w:r>
          </w:p>
        </w:tc>
        <w:tc>
          <w:tcPr>
            <w:tcW w:w="1276" w:type="dxa"/>
            <w:tcBorders>
              <w:top w:val="nil"/>
              <w:left w:val="nil"/>
              <w:bottom w:val="single" w:sz="8" w:space="0" w:color="auto"/>
              <w:right w:val="single" w:sz="8" w:space="0" w:color="auto"/>
            </w:tcBorders>
            <w:shd w:val="clear" w:color="auto" w:fill="auto"/>
            <w:vAlign w:val="center"/>
            <w:hideMark/>
          </w:tcPr>
          <w:p w14:paraId="67496356"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14,2</w:t>
            </w:r>
          </w:p>
        </w:tc>
        <w:tc>
          <w:tcPr>
            <w:tcW w:w="3542" w:type="dxa"/>
            <w:tcBorders>
              <w:top w:val="nil"/>
              <w:left w:val="nil"/>
              <w:bottom w:val="single" w:sz="8" w:space="0" w:color="auto"/>
              <w:right w:val="single" w:sz="8" w:space="0" w:color="auto"/>
            </w:tcBorders>
            <w:shd w:val="clear" w:color="auto" w:fill="auto"/>
            <w:vAlign w:val="center"/>
            <w:hideMark/>
          </w:tcPr>
          <w:p w14:paraId="0574C432" w14:textId="77777777" w:rsidR="009755C1" w:rsidRPr="009755C1" w:rsidRDefault="009755C1" w:rsidP="00FA6132">
            <w:pPr>
              <w:spacing w:after="160" w:line="240" w:lineRule="auto"/>
              <w:rPr>
                <w:rFonts w:ascii="Arial" w:eastAsia="Times New Roman" w:hAnsi="Arial" w:cs="Arial"/>
                <w:sz w:val="20"/>
                <w:szCs w:val="20"/>
                <w:lang w:eastAsia="pt-BR"/>
              </w:rPr>
            </w:pPr>
            <w:r w:rsidRPr="009755C1">
              <w:rPr>
                <w:rFonts w:ascii="Arial" w:eastAsia="Times New Roman" w:hAnsi="Arial" w:cs="Arial"/>
                <w:sz w:val="20"/>
                <w:szCs w:val="20"/>
                <w:lang w:eastAsia="pt-BR"/>
              </w:rPr>
              <w:t>Obrigatório</w:t>
            </w:r>
          </w:p>
        </w:tc>
      </w:tr>
      <w:tr w:rsidR="009755C1" w:rsidRPr="009755C1" w14:paraId="2FE00F82" w14:textId="77777777" w:rsidTr="00FA6132">
        <w:trPr>
          <w:trHeight w:val="315"/>
        </w:trPr>
        <w:tc>
          <w:tcPr>
            <w:tcW w:w="3272" w:type="dxa"/>
            <w:tcBorders>
              <w:top w:val="nil"/>
              <w:left w:val="single" w:sz="8" w:space="0" w:color="auto"/>
              <w:bottom w:val="single" w:sz="8" w:space="0" w:color="auto"/>
              <w:right w:val="single" w:sz="8" w:space="0" w:color="auto"/>
            </w:tcBorders>
            <w:shd w:val="clear" w:color="auto" w:fill="auto"/>
            <w:vAlign w:val="center"/>
            <w:hideMark/>
          </w:tcPr>
          <w:p w14:paraId="293760DB" w14:textId="77777777" w:rsidR="009755C1" w:rsidRPr="009755C1" w:rsidRDefault="009755C1" w:rsidP="00FA6132">
            <w:pPr>
              <w:spacing w:after="160" w:line="240" w:lineRule="auto"/>
              <w:rPr>
                <w:rFonts w:ascii="Arial" w:eastAsia="Times New Roman" w:hAnsi="Arial" w:cs="Arial"/>
                <w:sz w:val="20"/>
                <w:szCs w:val="20"/>
                <w:lang w:eastAsia="pt-BR"/>
              </w:rPr>
            </w:pPr>
            <w:r w:rsidRPr="009755C1">
              <w:rPr>
                <w:rFonts w:ascii="Arial" w:eastAsia="Times New Roman" w:hAnsi="Arial" w:cs="Arial"/>
                <w:sz w:val="20"/>
                <w:szCs w:val="20"/>
                <w:lang w:eastAsia="pt-BR"/>
              </w:rPr>
              <w:t>Valor referente ao Mês Dezembro</w:t>
            </w:r>
          </w:p>
        </w:tc>
        <w:tc>
          <w:tcPr>
            <w:tcW w:w="1276" w:type="dxa"/>
            <w:tcBorders>
              <w:top w:val="nil"/>
              <w:left w:val="nil"/>
              <w:bottom w:val="single" w:sz="8" w:space="0" w:color="auto"/>
              <w:right w:val="single" w:sz="8" w:space="0" w:color="auto"/>
            </w:tcBorders>
            <w:shd w:val="clear" w:color="auto" w:fill="auto"/>
            <w:vAlign w:val="center"/>
            <w:hideMark/>
          </w:tcPr>
          <w:p w14:paraId="4C8B839B"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Decimal</w:t>
            </w:r>
          </w:p>
        </w:tc>
        <w:tc>
          <w:tcPr>
            <w:tcW w:w="1276" w:type="dxa"/>
            <w:tcBorders>
              <w:top w:val="nil"/>
              <w:left w:val="nil"/>
              <w:bottom w:val="single" w:sz="8" w:space="0" w:color="auto"/>
              <w:right w:val="single" w:sz="8" w:space="0" w:color="auto"/>
            </w:tcBorders>
            <w:shd w:val="clear" w:color="auto" w:fill="auto"/>
            <w:vAlign w:val="center"/>
            <w:hideMark/>
          </w:tcPr>
          <w:p w14:paraId="1F44A72E"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14,2</w:t>
            </w:r>
          </w:p>
        </w:tc>
        <w:tc>
          <w:tcPr>
            <w:tcW w:w="3542" w:type="dxa"/>
            <w:tcBorders>
              <w:top w:val="nil"/>
              <w:left w:val="nil"/>
              <w:bottom w:val="single" w:sz="8" w:space="0" w:color="auto"/>
              <w:right w:val="single" w:sz="8" w:space="0" w:color="auto"/>
            </w:tcBorders>
            <w:shd w:val="clear" w:color="auto" w:fill="auto"/>
            <w:vAlign w:val="center"/>
            <w:hideMark/>
          </w:tcPr>
          <w:p w14:paraId="27CE4955" w14:textId="77777777" w:rsidR="009755C1" w:rsidRPr="009755C1" w:rsidRDefault="009755C1" w:rsidP="00FA6132">
            <w:pPr>
              <w:spacing w:after="160" w:line="240" w:lineRule="auto"/>
              <w:rPr>
                <w:rFonts w:ascii="Arial" w:eastAsia="Times New Roman" w:hAnsi="Arial" w:cs="Arial"/>
                <w:sz w:val="20"/>
                <w:szCs w:val="20"/>
                <w:lang w:eastAsia="pt-BR"/>
              </w:rPr>
            </w:pPr>
            <w:r w:rsidRPr="009755C1">
              <w:rPr>
                <w:rFonts w:ascii="Arial" w:eastAsia="Times New Roman" w:hAnsi="Arial" w:cs="Arial"/>
                <w:sz w:val="20"/>
                <w:szCs w:val="20"/>
                <w:lang w:eastAsia="pt-BR"/>
              </w:rPr>
              <w:t>Obrigatório</w:t>
            </w:r>
          </w:p>
        </w:tc>
      </w:tr>
      <w:tr w:rsidR="009755C1" w:rsidRPr="009755C1" w14:paraId="3A270478" w14:textId="77777777" w:rsidTr="00FA6132">
        <w:trPr>
          <w:trHeight w:val="315"/>
        </w:trPr>
        <w:tc>
          <w:tcPr>
            <w:tcW w:w="3272" w:type="dxa"/>
            <w:tcBorders>
              <w:top w:val="nil"/>
              <w:left w:val="single" w:sz="8" w:space="0" w:color="auto"/>
              <w:bottom w:val="single" w:sz="8" w:space="0" w:color="auto"/>
              <w:right w:val="single" w:sz="8" w:space="0" w:color="auto"/>
            </w:tcBorders>
            <w:shd w:val="clear" w:color="auto" w:fill="auto"/>
            <w:vAlign w:val="center"/>
            <w:hideMark/>
          </w:tcPr>
          <w:p w14:paraId="41BFA899" w14:textId="77777777" w:rsidR="009755C1" w:rsidRPr="009755C1" w:rsidRDefault="009755C1" w:rsidP="00FA6132">
            <w:pPr>
              <w:spacing w:after="160" w:line="240" w:lineRule="auto"/>
              <w:rPr>
                <w:rFonts w:ascii="Arial" w:eastAsia="Times New Roman" w:hAnsi="Arial" w:cs="Arial"/>
                <w:sz w:val="20"/>
                <w:szCs w:val="20"/>
                <w:lang w:eastAsia="pt-BR"/>
              </w:rPr>
            </w:pPr>
            <w:r w:rsidRPr="009755C1">
              <w:rPr>
                <w:rFonts w:ascii="Arial" w:eastAsia="Times New Roman" w:hAnsi="Arial" w:cs="Arial"/>
                <w:sz w:val="20"/>
                <w:szCs w:val="20"/>
                <w:lang w:eastAsia="pt-BR"/>
              </w:rPr>
              <w:t>Valor Total Anual</w:t>
            </w:r>
          </w:p>
        </w:tc>
        <w:tc>
          <w:tcPr>
            <w:tcW w:w="1276" w:type="dxa"/>
            <w:tcBorders>
              <w:top w:val="nil"/>
              <w:left w:val="nil"/>
              <w:bottom w:val="single" w:sz="8" w:space="0" w:color="auto"/>
              <w:right w:val="single" w:sz="8" w:space="0" w:color="auto"/>
            </w:tcBorders>
            <w:shd w:val="clear" w:color="auto" w:fill="auto"/>
            <w:vAlign w:val="center"/>
            <w:hideMark/>
          </w:tcPr>
          <w:p w14:paraId="70B3BC29"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Decimal</w:t>
            </w:r>
          </w:p>
        </w:tc>
        <w:tc>
          <w:tcPr>
            <w:tcW w:w="1276" w:type="dxa"/>
            <w:tcBorders>
              <w:top w:val="nil"/>
              <w:left w:val="nil"/>
              <w:bottom w:val="single" w:sz="8" w:space="0" w:color="auto"/>
              <w:right w:val="single" w:sz="8" w:space="0" w:color="auto"/>
            </w:tcBorders>
            <w:shd w:val="clear" w:color="auto" w:fill="auto"/>
            <w:vAlign w:val="center"/>
            <w:hideMark/>
          </w:tcPr>
          <w:p w14:paraId="3A467525"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14,2</w:t>
            </w:r>
          </w:p>
        </w:tc>
        <w:tc>
          <w:tcPr>
            <w:tcW w:w="3542" w:type="dxa"/>
            <w:tcBorders>
              <w:top w:val="nil"/>
              <w:left w:val="nil"/>
              <w:bottom w:val="single" w:sz="8" w:space="0" w:color="auto"/>
              <w:right w:val="single" w:sz="8" w:space="0" w:color="auto"/>
            </w:tcBorders>
            <w:shd w:val="clear" w:color="auto" w:fill="auto"/>
            <w:vAlign w:val="center"/>
            <w:hideMark/>
          </w:tcPr>
          <w:p w14:paraId="3C08D6D9" w14:textId="77777777" w:rsidR="009755C1" w:rsidRPr="009755C1" w:rsidRDefault="009755C1" w:rsidP="00FA6132">
            <w:pPr>
              <w:spacing w:after="160" w:line="240" w:lineRule="auto"/>
              <w:rPr>
                <w:rFonts w:ascii="Arial" w:eastAsia="Times New Roman" w:hAnsi="Arial" w:cs="Arial"/>
                <w:sz w:val="20"/>
                <w:szCs w:val="20"/>
                <w:lang w:eastAsia="pt-BR"/>
              </w:rPr>
            </w:pPr>
            <w:r w:rsidRPr="009755C1">
              <w:rPr>
                <w:rFonts w:ascii="Arial" w:eastAsia="Times New Roman" w:hAnsi="Arial" w:cs="Arial"/>
                <w:sz w:val="20"/>
                <w:szCs w:val="20"/>
                <w:lang w:eastAsia="pt-BR"/>
              </w:rPr>
              <w:t>Obrigatório</w:t>
            </w:r>
          </w:p>
        </w:tc>
      </w:tr>
      <w:tr w:rsidR="009755C1" w:rsidRPr="009755C1" w14:paraId="7C31713C" w14:textId="77777777" w:rsidTr="00FA6132">
        <w:trPr>
          <w:trHeight w:val="315"/>
        </w:trPr>
        <w:tc>
          <w:tcPr>
            <w:tcW w:w="9366" w:type="dxa"/>
            <w:gridSpan w:val="4"/>
            <w:tcBorders>
              <w:top w:val="single" w:sz="8" w:space="0" w:color="auto"/>
              <w:left w:val="single" w:sz="8" w:space="0" w:color="auto"/>
              <w:bottom w:val="single" w:sz="8" w:space="0" w:color="auto"/>
              <w:right w:val="single" w:sz="8" w:space="0" w:color="000000"/>
            </w:tcBorders>
            <w:shd w:val="clear" w:color="000000" w:fill="BFBFBF"/>
            <w:vAlign w:val="center"/>
            <w:hideMark/>
          </w:tcPr>
          <w:p w14:paraId="05E34DEF" w14:textId="77777777" w:rsidR="009755C1" w:rsidRPr="009755C1" w:rsidRDefault="009755C1" w:rsidP="00FA6132">
            <w:pPr>
              <w:spacing w:after="160" w:line="240" w:lineRule="auto"/>
              <w:jc w:val="center"/>
              <w:rPr>
                <w:rFonts w:ascii="Arial" w:eastAsia="Times New Roman" w:hAnsi="Arial" w:cs="Arial"/>
                <w:b/>
                <w:bCs/>
                <w:sz w:val="20"/>
                <w:szCs w:val="20"/>
                <w:lang w:eastAsia="pt-BR"/>
              </w:rPr>
            </w:pPr>
            <w:r w:rsidRPr="009755C1">
              <w:rPr>
                <w:rFonts w:ascii="Arial" w:eastAsia="Times New Roman" w:hAnsi="Arial" w:cs="Arial"/>
                <w:b/>
                <w:bCs/>
                <w:sz w:val="20"/>
                <w:szCs w:val="20"/>
                <w:lang w:eastAsia="pt-BR"/>
              </w:rPr>
              <w:t>Estrutura ‘DemonstrativoDespesaAdministrativaRPPSLimiteGasto’</w:t>
            </w:r>
          </w:p>
        </w:tc>
      </w:tr>
      <w:tr w:rsidR="009755C1" w:rsidRPr="009755C1" w14:paraId="6183BD8E" w14:textId="77777777" w:rsidTr="00FA6132">
        <w:trPr>
          <w:trHeight w:val="315"/>
        </w:trPr>
        <w:tc>
          <w:tcPr>
            <w:tcW w:w="3272" w:type="dxa"/>
            <w:tcBorders>
              <w:top w:val="nil"/>
              <w:left w:val="single" w:sz="8" w:space="0" w:color="auto"/>
              <w:bottom w:val="single" w:sz="8" w:space="0" w:color="auto"/>
              <w:right w:val="single" w:sz="8" w:space="0" w:color="auto"/>
            </w:tcBorders>
            <w:shd w:val="clear" w:color="auto" w:fill="auto"/>
            <w:vAlign w:val="center"/>
            <w:hideMark/>
          </w:tcPr>
          <w:p w14:paraId="0FD1F978" w14:textId="77777777" w:rsidR="009755C1" w:rsidRPr="009755C1" w:rsidRDefault="009755C1" w:rsidP="00FA6132">
            <w:pPr>
              <w:spacing w:after="160" w:line="240" w:lineRule="auto"/>
              <w:rPr>
                <w:rFonts w:ascii="Arial" w:eastAsia="Times New Roman" w:hAnsi="Arial" w:cs="Arial"/>
                <w:sz w:val="20"/>
                <w:szCs w:val="20"/>
                <w:lang w:eastAsia="pt-BR"/>
              </w:rPr>
            </w:pPr>
            <w:r w:rsidRPr="009755C1">
              <w:rPr>
                <w:rFonts w:ascii="Arial" w:eastAsia="Times New Roman" w:hAnsi="Arial" w:cs="Arial"/>
                <w:sz w:val="20"/>
                <w:szCs w:val="20"/>
                <w:lang w:eastAsia="pt-BR"/>
              </w:rPr>
              <w:t>Identificação do Número do Registro</w:t>
            </w:r>
          </w:p>
        </w:tc>
        <w:tc>
          <w:tcPr>
            <w:tcW w:w="1276" w:type="dxa"/>
            <w:tcBorders>
              <w:top w:val="nil"/>
              <w:left w:val="nil"/>
              <w:bottom w:val="single" w:sz="8" w:space="0" w:color="auto"/>
              <w:right w:val="single" w:sz="8" w:space="0" w:color="auto"/>
            </w:tcBorders>
            <w:shd w:val="clear" w:color="auto" w:fill="auto"/>
            <w:vAlign w:val="center"/>
            <w:hideMark/>
          </w:tcPr>
          <w:p w14:paraId="055C2F03"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Inteiro</w:t>
            </w:r>
          </w:p>
        </w:tc>
        <w:tc>
          <w:tcPr>
            <w:tcW w:w="1276" w:type="dxa"/>
            <w:tcBorders>
              <w:top w:val="nil"/>
              <w:left w:val="nil"/>
              <w:bottom w:val="single" w:sz="8" w:space="0" w:color="auto"/>
              <w:right w:val="single" w:sz="8" w:space="0" w:color="auto"/>
            </w:tcBorders>
            <w:shd w:val="clear" w:color="auto" w:fill="auto"/>
            <w:vAlign w:val="center"/>
            <w:hideMark/>
          </w:tcPr>
          <w:p w14:paraId="3C844554"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5</w:t>
            </w:r>
          </w:p>
        </w:tc>
        <w:tc>
          <w:tcPr>
            <w:tcW w:w="3542" w:type="dxa"/>
            <w:tcBorders>
              <w:top w:val="nil"/>
              <w:left w:val="nil"/>
              <w:bottom w:val="single" w:sz="8" w:space="0" w:color="auto"/>
              <w:right w:val="single" w:sz="8" w:space="0" w:color="auto"/>
            </w:tcBorders>
            <w:shd w:val="clear" w:color="auto" w:fill="auto"/>
            <w:vAlign w:val="center"/>
            <w:hideMark/>
          </w:tcPr>
          <w:p w14:paraId="39648D0B" w14:textId="77777777" w:rsidR="009755C1" w:rsidRPr="009755C1" w:rsidRDefault="009755C1" w:rsidP="00FA6132">
            <w:pPr>
              <w:spacing w:after="160" w:line="240" w:lineRule="auto"/>
              <w:rPr>
                <w:rFonts w:ascii="Arial" w:eastAsia="Times New Roman" w:hAnsi="Arial" w:cs="Arial"/>
                <w:sz w:val="20"/>
                <w:szCs w:val="20"/>
                <w:lang w:eastAsia="pt-BR"/>
              </w:rPr>
            </w:pPr>
            <w:r w:rsidRPr="009755C1">
              <w:rPr>
                <w:rFonts w:ascii="Arial" w:eastAsia="Times New Roman" w:hAnsi="Arial" w:cs="Arial"/>
                <w:sz w:val="20"/>
                <w:szCs w:val="20"/>
                <w:lang w:eastAsia="pt-BR"/>
              </w:rPr>
              <w:t>Obrigatório</w:t>
            </w:r>
          </w:p>
        </w:tc>
      </w:tr>
      <w:tr w:rsidR="009755C1" w:rsidRPr="009755C1" w14:paraId="28A9B23B" w14:textId="77777777" w:rsidTr="00FA6132">
        <w:trPr>
          <w:trHeight w:val="315"/>
        </w:trPr>
        <w:tc>
          <w:tcPr>
            <w:tcW w:w="3272" w:type="dxa"/>
            <w:tcBorders>
              <w:top w:val="nil"/>
              <w:left w:val="single" w:sz="8" w:space="0" w:color="auto"/>
              <w:bottom w:val="single" w:sz="8" w:space="0" w:color="auto"/>
              <w:right w:val="single" w:sz="8" w:space="0" w:color="auto"/>
            </w:tcBorders>
            <w:shd w:val="clear" w:color="auto" w:fill="auto"/>
            <w:vAlign w:val="center"/>
            <w:hideMark/>
          </w:tcPr>
          <w:p w14:paraId="160BD345" w14:textId="77777777" w:rsidR="009755C1" w:rsidRPr="009755C1" w:rsidRDefault="009755C1" w:rsidP="00FA6132">
            <w:pPr>
              <w:spacing w:after="160" w:line="240" w:lineRule="auto"/>
              <w:rPr>
                <w:rFonts w:ascii="Arial" w:eastAsia="Times New Roman" w:hAnsi="Arial" w:cs="Arial"/>
                <w:sz w:val="20"/>
                <w:szCs w:val="20"/>
                <w:lang w:eastAsia="pt-BR"/>
              </w:rPr>
            </w:pPr>
            <w:r w:rsidRPr="009755C1">
              <w:rPr>
                <w:rFonts w:ascii="Arial" w:eastAsia="Times New Roman" w:hAnsi="Arial" w:cs="Arial"/>
                <w:sz w:val="20"/>
                <w:szCs w:val="20"/>
                <w:lang w:eastAsia="pt-BR"/>
              </w:rPr>
              <w:t>Total da base de cálculo</w:t>
            </w:r>
          </w:p>
        </w:tc>
        <w:tc>
          <w:tcPr>
            <w:tcW w:w="1276" w:type="dxa"/>
            <w:tcBorders>
              <w:top w:val="nil"/>
              <w:left w:val="nil"/>
              <w:bottom w:val="single" w:sz="8" w:space="0" w:color="auto"/>
              <w:right w:val="single" w:sz="8" w:space="0" w:color="auto"/>
            </w:tcBorders>
            <w:shd w:val="clear" w:color="auto" w:fill="auto"/>
            <w:vAlign w:val="center"/>
            <w:hideMark/>
          </w:tcPr>
          <w:p w14:paraId="5EB4BA02"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Decimal</w:t>
            </w:r>
          </w:p>
        </w:tc>
        <w:tc>
          <w:tcPr>
            <w:tcW w:w="1276" w:type="dxa"/>
            <w:tcBorders>
              <w:top w:val="nil"/>
              <w:left w:val="nil"/>
              <w:bottom w:val="single" w:sz="8" w:space="0" w:color="auto"/>
              <w:right w:val="single" w:sz="8" w:space="0" w:color="auto"/>
            </w:tcBorders>
            <w:shd w:val="clear" w:color="auto" w:fill="auto"/>
            <w:vAlign w:val="center"/>
            <w:hideMark/>
          </w:tcPr>
          <w:p w14:paraId="5650C48E"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14,2</w:t>
            </w:r>
          </w:p>
        </w:tc>
        <w:tc>
          <w:tcPr>
            <w:tcW w:w="3542" w:type="dxa"/>
            <w:tcBorders>
              <w:top w:val="nil"/>
              <w:left w:val="nil"/>
              <w:bottom w:val="single" w:sz="8" w:space="0" w:color="auto"/>
              <w:right w:val="single" w:sz="8" w:space="0" w:color="auto"/>
            </w:tcBorders>
            <w:shd w:val="clear" w:color="auto" w:fill="auto"/>
            <w:vAlign w:val="center"/>
            <w:hideMark/>
          </w:tcPr>
          <w:p w14:paraId="73914FA7" w14:textId="77777777" w:rsidR="009755C1" w:rsidRPr="009755C1" w:rsidRDefault="009755C1" w:rsidP="00FA6132">
            <w:pPr>
              <w:spacing w:after="160" w:line="240" w:lineRule="auto"/>
              <w:rPr>
                <w:rFonts w:ascii="Arial" w:eastAsia="Times New Roman" w:hAnsi="Arial" w:cs="Arial"/>
                <w:sz w:val="20"/>
                <w:szCs w:val="20"/>
                <w:lang w:eastAsia="pt-BR"/>
              </w:rPr>
            </w:pPr>
            <w:r w:rsidRPr="009755C1">
              <w:rPr>
                <w:rFonts w:ascii="Arial" w:eastAsia="Times New Roman" w:hAnsi="Arial" w:cs="Arial"/>
                <w:sz w:val="20"/>
                <w:szCs w:val="20"/>
                <w:lang w:eastAsia="pt-BR"/>
              </w:rPr>
              <w:t>Obrigatório</w:t>
            </w:r>
          </w:p>
        </w:tc>
      </w:tr>
      <w:tr w:rsidR="009755C1" w:rsidRPr="009755C1" w14:paraId="4970FB84" w14:textId="77777777" w:rsidTr="00FA6132">
        <w:trPr>
          <w:trHeight w:val="315"/>
        </w:trPr>
        <w:tc>
          <w:tcPr>
            <w:tcW w:w="3272" w:type="dxa"/>
            <w:tcBorders>
              <w:top w:val="nil"/>
              <w:left w:val="single" w:sz="8" w:space="0" w:color="auto"/>
              <w:bottom w:val="single" w:sz="8" w:space="0" w:color="auto"/>
              <w:right w:val="single" w:sz="8" w:space="0" w:color="auto"/>
            </w:tcBorders>
            <w:shd w:val="clear" w:color="auto" w:fill="auto"/>
            <w:vAlign w:val="center"/>
            <w:hideMark/>
          </w:tcPr>
          <w:p w14:paraId="11273EF4" w14:textId="77777777" w:rsidR="009755C1" w:rsidRPr="009755C1" w:rsidRDefault="009755C1" w:rsidP="00FA6132">
            <w:pPr>
              <w:spacing w:after="160" w:line="240" w:lineRule="auto"/>
              <w:rPr>
                <w:rFonts w:ascii="Arial" w:eastAsia="Times New Roman" w:hAnsi="Arial" w:cs="Arial"/>
                <w:sz w:val="20"/>
                <w:szCs w:val="20"/>
                <w:lang w:eastAsia="pt-BR"/>
              </w:rPr>
            </w:pPr>
            <w:r w:rsidRPr="009755C1">
              <w:rPr>
                <w:rFonts w:ascii="Arial" w:eastAsia="Times New Roman" w:hAnsi="Arial" w:cs="Arial"/>
                <w:sz w:val="20"/>
                <w:szCs w:val="20"/>
                <w:lang w:eastAsia="pt-BR"/>
              </w:rPr>
              <w:lastRenderedPageBreak/>
              <w:t>Percentual fixado na Legislação do RPPS</w:t>
            </w:r>
          </w:p>
        </w:tc>
        <w:tc>
          <w:tcPr>
            <w:tcW w:w="1276" w:type="dxa"/>
            <w:tcBorders>
              <w:top w:val="nil"/>
              <w:left w:val="nil"/>
              <w:bottom w:val="single" w:sz="8" w:space="0" w:color="auto"/>
              <w:right w:val="single" w:sz="8" w:space="0" w:color="auto"/>
            </w:tcBorders>
            <w:shd w:val="clear" w:color="auto" w:fill="auto"/>
            <w:vAlign w:val="center"/>
            <w:hideMark/>
          </w:tcPr>
          <w:p w14:paraId="29A6CEFD"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Decimal</w:t>
            </w:r>
          </w:p>
        </w:tc>
        <w:tc>
          <w:tcPr>
            <w:tcW w:w="1276" w:type="dxa"/>
            <w:tcBorders>
              <w:top w:val="nil"/>
              <w:left w:val="nil"/>
              <w:bottom w:val="single" w:sz="8" w:space="0" w:color="auto"/>
              <w:right w:val="single" w:sz="8" w:space="0" w:color="auto"/>
            </w:tcBorders>
            <w:shd w:val="clear" w:color="auto" w:fill="auto"/>
            <w:vAlign w:val="center"/>
            <w:hideMark/>
          </w:tcPr>
          <w:p w14:paraId="7F5F8A29"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4,2</w:t>
            </w:r>
          </w:p>
        </w:tc>
        <w:tc>
          <w:tcPr>
            <w:tcW w:w="3542" w:type="dxa"/>
            <w:tcBorders>
              <w:top w:val="nil"/>
              <w:left w:val="nil"/>
              <w:bottom w:val="single" w:sz="8" w:space="0" w:color="auto"/>
              <w:right w:val="single" w:sz="8" w:space="0" w:color="auto"/>
            </w:tcBorders>
            <w:shd w:val="clear" w:color="auto" w:fill="auto"/>
            <w:vAlign w:val="center"/>
            <w:hideMark/>
          </w:tcPr>
          <w:p w14:paraId="0F444753" w14:textId="77777777" w:rsidR="009755C1" w:rsidRPr="009755C1" w:rsidRDefault="009755C1" w:rsidP="00FA6132">
            <w:pPr>
              <w:spacing w:after="160" w:line="240" w:lineRule="auto"/>
              <w:rPr>
                <w:rFonts w:ascii="Arial" w:eastAsia="Times New Roman" w:hAnsi="Arial" w:cs="Arial"/>
                <w:sz w:val="20"/>
                <w:szCs w:val="20"/>
                <w:lang w:eastAsia="pt-BR"/>
              </w:rPr>
            </w:pPr>
            <w:r w:rsidRPr="009755C1">
              <w:rPr>
                <w:rFonts w:ascii="Arial" w:eastAsia="Times New Roman" w:hAnsi="Arial" w:cs="Arial"/>
                <w:sz w:val="20"/>
                <w:szCs w:val="20"/>
                <w:lang w:eastAsia="pt-BR"/>
              </w:rPr>
              <w:t>Obrigatório</w:t>
            </w:r>
          </w:p>
        </w:tc>
      </w:tr>
      <w:tr w:rsidR="009755C1" w:rsidRPr="009755C1" w14:paraId="014A100B" w14:textId="77777777" w:rsidTr="00FA6132">
        <w:trPr>
          <w:trHeight w:val="315"/>
        </w:trPr>
        <w:tc>
          <w:tcPr>
            <w:tcW w:w="3272" w:type="dxa"/>
            <w:tcBorders>
              <w:top w:val="nil"/>
              <w:left w:val="single" w:sz="8" w:space="0" w:color="auto"/>
              <w:bottom w:val="single" w:sz="8" w:space="0" w:color="auto"/>
              <w:right w:val="single" w:sz="8" w:space="0" w:color="auto"/>
            </w:tcBorders>
            <w:shd w:val="clear" w:color="auto" w:fill="auto"/>
            <w:vAlign w:val="center"/>
            <w:hideMark/>
          </w:tcPr>
          <w:p w14:paraId="0E6DD1EB" w14:textId="77777777" w:rsidR="009755C1" w:rsidRPr="009755C1" w:rsidRDefault="009755C1" w:rsidP="00FA6132">
            <w:pPr>
              <w:spacing w:after="160" w:line="240" w:lineRule="auto"/>
              <w:rPr>
                <w:rFonts w:ascii="Arial" w:eastAsia="Times New Roman" w:hAnsi="Arial" w:cs="Arial"/>
                <w:sz w:val="20"/>
                <w:szCs w:val="20"/>
                <w:lang w:eastAsia="pt-BR"/>
              </w:rPr>
            </w:pPr>
            <w:r w:rsidRPr="009755C1">
              <w:rPr>
                <w:rFonts w:ascii="Arial" w:eastAsia="Times New Roman" w:hAnsi="Arial" w:cs="Arial"/>
                <w:sz w:val="20"/>
                <w:szCs w:val="20"/>
                <w:lang w:eastAsia="pt-BR"/>
              </w:rPr>
              <w:t>Limite de Gastos Administrativos no Exercício da PCA</w:t>
            </w:r>
          </w:p>
        </w:tc>
        <w:tc>
          <w:tcPr>
            <w:tcW w:w="1276" w:type="dxa"/>
            <w:tcBorders>
              <w:top w:val="nil"/>
              <w:left w:val="nil"/>
              <w:bottom w:val="single" w:sz="8" w:space="0" w:color="auto"/>
              <w:right w:val="single" w:sz="8" w:space="0" w:color="auto"/>
            </w:tcBorders>
            <w:shd w:val="clear" w:color="auto" w:fill="auto"/>
            <w:vAlign w:val="center"/>
            <w:hideMark/>
          </w:tcPr>
          <w:p w14:paraId="261AEB7B"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Decimal</w:t>
            </w:r>
          </w:p>
        </w:tc>
        <w:tc>
          <w:tcPr>
            <w:tcW w:w="1276" w:type="dxa"/>
            <w:tcBorders>
              <w:top w:val="nil"/>
              <w:left w:val="nil"/>
              <w:bottom w:val="single" w:sz="8" w:space="0" w:color="auto"/>
              <w:right w:val="single" w:sz="8" w:space="0" w:color="auto"/>
            </w:tcBorders>
            <w:shd w:val="clear" w:color="auto" w:fill="auto"/>
            <w:vAlign w:val="center"/>
            <w:hideMark/>
          </w:tcPr>
          <w:p w14:paraId="71C88F9E"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14,2</w:t>
            </w:r>
          </w:p>
        </w:tc>
        <w:tc>
          <w:tcPr>
            <w:tcW w:w="3542" w:type="dxa"/>
            <w:tcBorders>
              <w:top w:val="nil"/>
              <w:left w:val="nil"/>
              <w:bottom w:val="single" w:sz="8" w:space="0" w:color="auto"/>
              <w:right w:val="single" w:sz="8" w:space="0" w:color="auto"/>
            </w:tcBorders>
            <w:shd w:val="clear" w:color="auto" w:fill="auto"/>
            <w:vAlign w:val="center"/>
            <w:hideMark/>
          </w:tcPr>
          <w:p w14:paraId="363A9A9B" w14:textId="77777777" w:rsidR="009755C1" w:rsidRPr="009755C1" w:rsidRDefault="009755C1" w:rsidP="00FA6132">
            <w:pPr>
              <w:spacing w:after="160" w:line="240" w:lineRule="auto"/>
              <w:rPr>
                <w:rFonts w:ascii="Arial" w:eastAsia="Times New Roman" w:hAnsi="Arial" w:cs="Arial"/>
                <w:sz w:val="20"/>
                <w:szCs w:val="20"/>
                <w:lang w:eastAsia="pt-BR"/>
              </w:rPr>
            </w:pPr>
            <w:r w:rsidRPr="009755C1">
              <w:rPr>
                <w:rFonts w:ascii="Arial" w:eastAsia="Times New Roman" w:hAnsi="Arial" w:cs="Arial"/>
                <w:sz w:val="20"/>
                <w:szCs w:val="20"/>
                <w:lang w:eastAsia="pt-BR"/>
              </w:rPr>
              <w:t>Obrigatório</w:t>
            </w:r>
          </w:p>
        </w:tc>
      </w:tr>
      <w:tr w:rsidR="009755C1" w:rsidRPr="009755C1" w14:paraId="30260848" w14:textId="77777777" w:rsidTr="00FA6132">
        <w:trPr>
          <w:trHeight w:val="315"/>
        </w:trPr>
        <w:tc>
          <w:tcPr>
            <w:tcW w:w="9366" w:type="dxa"/>
            <w:gridSpan w:val="4"/>
            <w:tcBorders>
              <w:top w:val="single" w:sz="8" w:space="0" w:color="auto"/>
              <w:left w:val="single" w:sz="8" w:space="0" w:color="auto"/>
              <w:bottom w:val="single" w:sz="8" w:space="0" w:color="auto"/>
              <w:right w:val="single" w:sz="8" w:space="0" w:color="000000"/>
            </w:tcBorders>
            <w:shd w:val="clear" w:color="000000" w:fill="BFBFBF"/>
            <w:vAlign w:val="center"/>
            <w:hideMark/>
          </w:tcPr>
          <w:p w14:paraId="11562069" w14:textId="77777777" w:rsidR="009755C1" w:rsidRPr="009755C1" w:rsidRDefault="009755C1" w:rsidP="00FA6132">
            <w:pPr>
              <w:spacing w:after="160" w:line="240" w:lineRule="auto"/>
              <w:jc w:val="center"/>
              <w:rPr>
                <w:rFonts w:ascii="Arial" w:eastAsia="Times New Roman" w:hAnsi="Arial" w:cs="Arial"/>
                <w:b/>
                <w:bCs/>
                <w:sz w:val="20"/>
                <w:szCs w:val="20"/>
                <w:lang w:eastAsia="pt-BR"/>
              </w:rPr>
            </w:pPr>
            <w:r w:rsidRPr="009755C1">
              <w:rPr>
                <w:rFonts w:ascii="Arial" w:eastAsia="Times New Roman" w:hAnsi="Arial" w:cs="Arial"/>
                <w:b/>
                <w:bCs/>
                <w:sz w:val="20"/>
                <w:szCs w:val="20"/>
                <w:lang w:eastAsia="pt-BR"/>
              </w:rPr>
              <w:t xml:space="preserve">Estrutura ‘DemonstrativoDespesaAdministrativaRPPSInformacaoBancaria’  </w:t>
            </w:r>
            <w:r w:rsidRPr="00735CF9">
              <w:rPr>
                <w:rFonts w:ascii="Arial" w:eastAsia="Times New Roman" w:hAnsi="Arial" w:cs="Arial"/>
                <w:b/>
                <w:bCs/>
                <w:sz w:val="20"/>
                <w:szCs w:val="20"/>
                <w:vertAlign w:val="superscript"/>
                <w:lang w:eastAsia="pt-BR"/>
              </w:rPr>
              <w:t>[1]</w:t>
            </w:r>
          </w:p>
        </w:tc>
      </w:tr>
      <w:tr w:rsidR="009755C1" w:rsidRPr="009755C1" w14:paraId="5A91EA75" w14:textId="77777777" w:rsidTr="00FA6132">
        <w:trPr>
          <w:trHeight w:val="315"/>
        </w:trPr>
        <w:tc>
          <w:tcPr>
            <w:tcW w:w="3272" w:type="dxa"/>
            <w:tcBorders>
              <w:top w:val="nil"/>
              <w:left w:val="single" w:sz="8" w:space="0" w:color="auto"/>
              <w:bottom w:val="single" w:sz="8" w:space="0" w:color="auto"/>
              <w:right w:val="single" w:sz="8" w:space="0" w:color="auto"/>
            </w:tcBorders>
            <w:shd w:val="clear" w:color="auto" w:fill="auto"/>
            <w:vAlign w:val="center"/>
            <w:hideMark/>
          </w:tcPr>
          <w:p w14:paraId="3E18709C" w14:textId="77777777" w:rsidR="009755C1" w:rsidRPr="009755C1" w:rsidRDefault="009755C1" w:rsidP="00FA6132">
            <w:pPr>
              <w:spacing w:after="160" w:line="240" w:lineRule="auto"/>
              <w:rPr>
                <w:rFonts w:ascii="Arial" w:eastAsia="Times New Roman" w:hAnsi="Arial" w:cs="Arial"/>
                <w:sz w:val="20"/>
                <w:szCs w:val="20"/>
                <w:lang w:eastAsia="pt-BR"/>
              </w:rPr>
            </w:pPr>
            <w:r w:rsidRPr="009755C1">
              <w:rPr>
                <w:rFonts w:ascii="Arial" w:eastAsia="Times New Roman" w:hAnsi="Arial" w:cs="Arial"/>
                <w:sz w:val="20"/>
                <w:szCs w:val="20"/>
                <w:lang w:eastAsia="pt-BR"/>
              </w:rPr>
              <w:t>Identificação do Número do Registro</w:t>
            </w:r>
          </w:p>
        </w:tc>
        <w:tc>
          <w:tcPr>
            <w:tcW w:w="1276" w:type="dxa"/>
            <w:tcBorders>
              <w:top w:val="nil"/>
              <w:left w:val="nil"/>
              <w:bottom w:val="single" w:sz="8" w:space="0" w:color="auto"/>
              <w:right w:val="single" w:sz="8" w:space="0" w:color="auto"/>
            </w:tcBorders>
            <w:shd w:val="clear" w:color="auto" w:fill="auto"/>
            <w:vAlign w:val="center"/>
            <w:hideMark/>
          </w:tcPr>
          <w:p w14:paraId="4AA4E694"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Inteiro</w:t>
            </w:r>
          </w:p>
        </w:tc>
        <w:tc>
          <w:tcPr>
            <w:tcW w:w="1276" w:type="dxa"/>
            <w:tcBorders>
              <w:top w:val="nil"/>
              <w:left w:val="nil"/>
              <w:bottom w:val="single" w:sz="8" w:space="0" w:color="auto"/>
              <w:right w:val="single" w:sz="8" w:space="0" w:color="auto"/>
            </w:tcBorders>
            <w:shd w:val="clear" w:color="auto" w:fill="auto"/>
            <w:vAlign w:val="center"/>
            <w:hideMark/>
          </w:tcPr>
          <w:p w14:paraId="332E8C17"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Times New Roman" w:hAnsi="Arial" w:cs="Arial"/>
                <w:sz w:val="20"/>
                <w:szCs w:val="20"/>
                <w:lang w:eastAsia="pt-BR"/>
              </w:rPr>
              <w:t>5</w:t>
            </w:r>
          </w:p>
        </w:tc>
        <w:tc>
          <w:tcPr>
            <w:tcW w:w="3542" w:type="dxa"/>
            <w:tcBorders>
              <w:top w:val="nil"/>
              <w:left w:val="nil"/>
              <w:bottom w:val="single" w:sz="8" w:space="0" w:color="auto"/>
              <w:right w:val="single" w:sz="8" w:space="0" w:color="auto"/>
            </w:tcBorders>
            <w:shd w:val="clear" w:color="auto" w:fill="auto"/>
            <w:vAlign w:val="center"/>
            <w:hideMark/>
          </w:tcPr>
          <w:p w14:paraId="1BC11D68" w14:textId="77777777" w:rsidR="009755C1" w:rsidRPr="009755C1" w:rsidRDefault="009755C1" w:rsidP="00FA6132">
            <w:pPr>
              <w:spacing w:after="160" w:line="240" w:lineRule="auto"/>
              <w:rPr>
                <w:rFonts w:ascii="Arial" w:eastAsia="Times New Roman" w:hAnsi="Arial" w:cs="Arial"/>
                <w:sz w:val="20"/>
                <w:szCs w:val="20"/>
                <w:lang w:eastAsia="pt-BR"/>
              </w:rPr>
            </w:pPr>
            <w:r w:rsidRPr="009755C1">
              <w:rPr>
                <w:rFonts w:ascii="Arial" w:eastAsia="Times New Roman" w:hAnsi="Arial" w:cs="Arial"/>
                <w:sz w:val="20"/>
                <w:szCs w:val="20"/>
                <w:lang w:eastAsia="pt-BR"/>
              </w:rPr>
              <w:t>Obrigatório</w:t>
            </w:r>
          </w:p>
        </w:tc>
      </w:tr>
      <w:tr w:rsidR="009755C1" w:rsidRPr="009755C1" w14:paraId="50A67EE3" w14:textId="77777777" w:rsidTr="00FA6132">
        <w:trPr>
          <w:trHeight w:val="315"/>
        </w:trPr>
        <w:tc>
          <w:tcPr>
            <w:tcW w:w="3272" w:type="dxa"/>
            <w:tcBorders>
              <w:top w:val="nil"/>
              <w:left w:val="single" w:sz="8" w:space="0" w:color="auto"/>
              <w:bottom w:val="single" w:sz="8" w:space="0" w:color="auto"/>
              <w:right w:val="single" w:sz="8" w:space="0" w:color="auto"/>
            </w:tcBorders>
            <w:shd w:val="clear" w:color="auto" w:fill="auto"/>
          </w:tcPr>
          <w:p w14:paraId="2ADC75E1" w14:textId="77777777" w:rsidR="009755C1" w:rsidRPr="009755C1" w:rsidRDefault="009755C1" w:rsidP="00FA6132">
            <w:pPr>
              <w:autoSpaceDE w:val="0"/>
              <w:autoSpaceDN w:val="0"/>
              <w:adjustRightInd w:val="0"/>
              <w:spacing w:after="0" w:line="240" w:lineRule="auto"/>
              <w:rPr>
                <w:rFonts w:ascii="Arial" w:eastAsia="Times New Roman" w:hAnsi="Arial" w:cs="Arial"/>
                <w:sz w:val="20"/>
                <w:szCs w:val="20"/>
                <w:lang w:eastAsia="pt-BR"/>
              </w:rPr>
            </w:pPr>
            <w:r w:rsidRPr="009755C1">
              <w:rPr>
                <w:rFonts w:ascii="Arial" w:eastAsia="Calibri" w:hAnsi="Arial" w:cs="Arial"/>
                <w:sz w:val="20"/>
                <w:szCs w:val="20"/>
              </w:rPr>
              <w:t xml:space="preserve">Código do Banco </w:t>
            </w:r>
          </w:p>
        </w:tc>
        <w:tc>
          <w:tcPr>
            <w:tcW w:w="1276" w:type="dxa"/>
            <w:tcBorders>
              <w:top w:val="nil"/>
              <w:left w:val="nil"/>
              <w:bottom w:val="single" w:sz="8" w:space="0" w:color="auto"/>
              <w:right w:val="single" w:sz="8" w:space="0" w:color="auto"/>
            </w:tcBorders>
            <w:shd w:val="clear" w:color="auto" w:fill="auto"/>
          </w:tcPr>
          <w:p w14:paraId="66A2F760"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Calibri" w:hAnsi="Arial" w:cs="Arial"/>
                <w:sz w:val="20"/>
                <w:szCs w:val="20"/>
              </w:rPr>
              <w:t>Caracter</w:t>
            </w:r>
          </w:p>
        </w:tc>
        <w:tc>
          <w:tcPr>
            <w:tcW w:w="1276" w:type="dxa"/>
            <w:tcBorders>
              <w:top w:val="nil"/>
              <w:left w:val="nil"/>
              <w:bottom w:val="single" w:sz="8" w:space="0" w:color="auto"/>
              <w:right w:val="single" w:sz="8" w:space="0" w:color="auto"/>
            </w:tcBorders>
            <w:shd w:val="clear" w:color="auto" w:fill="auto"/>
          </w:tcPr>
          <w:p w14:paraId="14F91863"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Calibri" w:hAnsi="Arial" w:cs="Arial"/>
                <w:sz w:val="20"/>
                <w:szCs w:val="20"/>
              </w:rPr>
              <w:t>3</w:t>
            </w:r>
          </w:p>
        </w:tc>
        <w:tc>
          <w:tcPr>
            <w:tcW w:w="3542" w:type="dxa"/>
            <w:tcBorders>
              <w:top w:val="nil"/>
              <w:left w:val="nil"/>
              <w:bottom w:val="single" w:sz="8" w:space="0" w:color="auto"/>
              <w:right w:val="single" w:sz="8" w:space="0" w:color="auto"/>
            </w:tcBorders>
            <w:shd w:val="clear" w:color="auto" w:fill="auto"/>
          </w:tcPr>
          <w:p w14:paraId="332940C4" w14:textId="77777777" w:rsidR="009755C1" w:rsidRPr="009755C1" w:rsidRDefault="009755C1" w:rsidP="00FA6132">
            <w:pPr>
              <w:spacing w:after="160" w:line="240" w:lineRule="auto"/>
              <w:rPr>
                <w:rFonts w:ascii="Arial" w:eastAsia="Times New Roman" w:hAnsi="Arial" w:cs="Arial"/>
                <w:sz w:val="20"/>
                <w:szCs w:val="20"/>
                <w:lang w:eastAsia="pt-BR"/>
              </w:rPr>
            </w:pPr>
            <w:r w:rsidRPr="009755C1">
              <w:rPr>
                <w:rFonts w:ascii="Arial" w:eastAsia="Calibri" w:hAnsi="Arial" w:cs="Arial"/>
                <w:sz w:val="20"/>
                <w:szCs w:val="20"/>
              </w:rPr>
              <w:t>Obrigatório conforme Tabela da FEBRABAN</w:t>
            </w:r>
          </w:p>
        </w:tc>
      </w:tr>
      <w:tr w:rsidR="009755C1" w:rsidRPr="009755C1" w14:paraId="68007AE3" w14:textId="77777777" w:rsidTr="00FA6132">
        <w:trPr>
          <w:trHeight w:val="315"/>
        </w:trPr>
        <w:tc>
          <w:tcPr>
            <w:tcW w:w="3272" w:type="dxa"/>
            <w:tcBorders>
              <w:top w:val="nil"/>
              <w:left w:val="single" w:sz="8" w:space="0" w:color="auto"/>
              <w:bottom w:val="single" w:sz="8" w:space="0" w:color="auto"/>
              <w:right w:val="single" w:sz="8" w:space="0" w:color="auto"/>
            </w:tcBorders>
            <w:shd w:val="clear" w:color="auto" w:fill="auto"/>
          </w:tcPr>
          <w:p w14:paraId="1E5EA295" w14:textId="77777777" w:rsidR="009755C1" w:rsidRPr="009755C1" w:rsidRDefault="009755C1" w:rsidP="00FA6132">
            <w:pPr>
              <w:autoSpaceDE w:val="0"/>
              <w:autoSpaceDN w:val="0"/>
              <w:adjustRightInd w:val="0"/>
              <w:spacing w:after="0" w:line="240" w:lineRule="auto"/>
              <w:rPr>
                <w:rFonts w:ascii="Arial" w:eastAsia="Times New Roman" w:hAnsi="Arial" w:cs="Arial"/>
                <w:sz w:val="20"/>
                <w:szCs w:val="20"/>
                <w:lang w:eastAsia="pt-BR"/>
              </w:rPr>
            </w:pPr>
            <w:r w:rsidRPr="009755C1">
              <w:rPr>
                <w:rFonts w:ascii="Arial" w:eastAsia="Calibri" w:hAnsi="Arial" w:cs="Arial"/>
                <w:sz w:val="20"/>
                <w:szCs w:val="20"/>
              </w:rPr>
              <w:t xml:space="preserve">Código da Agência </w:t>
            </w:r>
          </w:p>
        </w:tc>
        <w:tc>
          <w:tcPr>
            <w:tcW w:w="1276" w:type="dxa"/>
            <w:tcBorders>
              <w:top w:val="nil"/>
              <w:left w:val="nil"/>
              <w:bottom w:val="single" w:sz="8" w:space="0" w:color="auto"/>
              <w:right w:val="single" w:sz="8" w:space="0" w:color="auto"/>
            </w:tcBorders>
            <w:shd w:val="clear" w:color="auto" w:fill="auto"/>
          </w:tcPr>
          <w:p w14:paraId="2F8FF8FC"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Calibri" w:hAnsi="Arial" w:cs="Arial"/>
                <w:sz w:val="20"/>
                <w:szCs w:val="20"/>
              </w:rPr>
              <w:t>Caracter</w:t>
            </w:r>
          </w:p>
        </w:tc>
        <w:tc>
          <w:tcPr>
            <w:tcW w:w="1276" w:type="dxa"/>
            <w:tcBorders>
              <w:top w:val="nil"/>
              <w:left w:val="nil"/>
              <w:bottom w:val="single" w:sz="8" w:space="0" w:color="auto"/>
              <w:right w:val="single" w:sz="8" w:space="0" w:color="auto"/>
            </w:tcBorders>
            <w:shd w:val="clear" w:color="auto" w:fill="auto"/>
          </w:tcPr>
          <w:p w14:paraId="414FA0A2"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Calibri" w:hAnsi="Arial" w:cs="Arial"/>
                <w:sz w:val="20"/>
                <w:szCs w:val="20"/>
              </w:rPr>
              <w:t>15</w:t>
            </w:r>
          </w:p>
        </w:tc>
        <w:tc>
          <w:tcPr>
            <w:tcW w:w="3542" w:type="dxa"/>
            <w:tcBorders>
              <w:top w:val="nil"/>
              <w:left w:val="nil"/>
              <w:bottom w:val="single" w:sz="8" w:space="0" w:color="auto"/>
              <w:right w:val="single" w:sz="8" w:space="0" w:color="auto"/>
            </w:tcBorders>
            <w:shd w:val="clear" w:color="auto" w:fill="auto"/>
          </w:tcPr>
          <w:p w14:paraId="26D22C76" w14:textId="77777777" w:rsidR="009755C1" w:rsidRPr="009755C1" w:rsidRDefault="009755C1" w:rsidP="00FA6132">
            <w:pPr>
              <w:spacing w:after="160" w:line="240" w:lineRule="auto"/>
              <w:rPr>
                <w:rFonts w:ascii="Arial" w:eastAsia="Times New Roman" w:hAnsi="Arial" w:cs="Arial"/>
                <w:sz w:val="20"/>
                <w:szCs w:val="20"/>
                <w:lang w:eastAsia="pt-BR"/>
              </w:rPr>
            </w:pPr>
            <w:r w:rsidRPr="009755C1">
              <w:rPr>
                <w:rFonts w:ascii="Arial" w:eastAsia="Calibri" w:hAnsi="Arial" w:cs="Arial"/>
                <w:sz w:val="20"/>
                <w:szCs w:val="20"/>
              </w:rPr>
              <w:t>Obrigatório</w:t>
            </w:r>
          </w:p>
        </w:tc>
      </w:tr>
      <w:tr w:rsidR="00FA2EB2" w:rsidRPr="00FA2EB2" w14:paraId="7F8D338D" w14:textId="77777777" w:rsidTr="00FA6132">
        <w:trPr>
          <w:trHeight w:val="315"/>
        </w:trPr>
        <w:tc>
          <w:tcPr>
            <w:tcW w:w="3272" w:type="dxa"/>
            <w:tcBorders>
              <w:top w:val="nil"/>
              <w:left w:val="single" w:sz="8" w:space="0" w:color="auto"/>
              <w:bottom w:val="single" w:sz="8" w:space="0" w:color="auto"/>
              <w:right w:val="single" w:sz="8" w:space="0" w:color="auto"/>
            </w:tcBorders>
            <w:shd w:val="clear" w:color="auto" w:fill="auto"/>
          </w:tcPr>
          <w:p w14:paraId="7577565D" w14:textId="77777777" w:rsidR="00FA2EB2" w:rsidRPr="00735CF9" w:rsidRDefault="00FA2EB2" w:rsidP="00FA6132">
            <w:pPr>
              <w:autoSpaceDE w:val="0"/>
              <w:autoSpaceDN w:val="0"/>
              <w:adjustRightInd w:val="0"/>
              <w:spacing w:after="0" w:line="240" w:lineRule="auto"/>
              <w:rPr>
                <w:rFonts w:ascii="Arial" w:eastAsia="Calibri" w:hAnsi="Arial" w:cs="Arial"/>
                <w:sz w:val="20"/>
                <w:szCs w:val="20"/>
              </w:rPr>
            </w:pPr>
            <w:r w:rsidRPr="00735CF9">
              <w:rPr>
                <w:rFonts w:ascii="Arial" w:eastAsia="Calibri" w:hAnsi="Arial" w:cs="Arial"/>
                <w:sz w:val="20"/>
                <w:szCs w:val="20"/>
              </w:rPr>
              <w:t>Dígito Verificador da Agência</w:t>
            </w:r>
          </w:p>
        </w:tc>
        <w:tc>
          <w:tcPr>
            <w:tcW w:w="1276" w:type="dxa"/>
            <w:tcBorders>
              <w:top w:val="nil"/>
              <w:left w:val="nil"/>
              <w:bottom w:val="single" w:sz="8" w:space="0" w:color="auto"/>
              <w:right w:val="single" w:sz="8" w:space="0" w:color="auto"/>
            </w:tcBorders>
            <w:shd w:val="clear" w:color="auto" w:fill="auto"/>
          </w:tcPr>
          <w:p w14:paraId="7E39304F" w14:textId="77777777" w:rsidR="00FA2EB2" w:rsidRPr="00735CF9" w:rsidRDefault="00FA2EB2" w:rsidP="00FA6132">
            <w:pPr>
              <w:spacing w:after="160" w:line="240" w:lineRule="auto"/>
              <w:jc w:val="center"/>
              <w:rPr>
                <w:rFonts w:ascii="Arial" w:eastAsia="Calibri" w:hAnsi="Arial" w:cs="Arial"/>
                <w:sz w:val="20"/>
                <w:szCs w:val="20"/>
              </w:rPr>
            </w:pPr>
            <w:r w:rsidRPr="00735CF9">
              <w:rPr>
                <w:rFonts w:ascii="Arial" w:eastAsia="Calibri" w:hAnsi="Arial" w:cs="Arial"/>
                <w:sz w:val="20"/>
                <w:szCs w:val="20"/>
              </w:rPr>
              <w:t>Caracter</w:t>
            </w:r>
          </w:p>
        </w:tc>
        <w:tc>
          <w:tcPr>
            <w:tcW w:w="1276" w:type="dxa"/>
            <w:tcBorders>
              <w:top w:val="nil"/>
              <w:left w:val="nil"/>
              <w:bottom w:val="single" w:sz="8" w:space="0" w:color="auto"/>
              <w:right w:val="single" w:sz="8" w:space="0" w:color="auto"/>
            </w:tcBorders>
            <w:shd w:val="clear" w:color="auto" w:fill="auto"/>
          </w:tcPr>
          <w:p w14:paraId="72FF30B8" w14:textId="77777777" w:rsidR="00FA2EB2" w:rsidRPr="00735CF9" w:rsidRDefault="00FA2EB2" w:rsidP="00FA6132">
            <w:pPr>
              <w:spacing w:after="160" w:line="240" w:lineRule="auto"/>
              <w:jc w:val="center"/>
              <w:rPr>
                <w:rFonts w:ascii="Arial" w:eastAsia="Calibri" w:hAnsi="Arial" w:cs="Arial"/>
                <w:sz w:val="20"/>
                <w:szCs w:val="20"/>
              </w:rPr>
            </w:pPr>
            <w:r w:rsidRPr="00735CF9">
              <w:rPr>
                <w:rFonts w:ascii="Arial" w:eastAsia="Calibri" w:hAnsi="Arial" w:cs="Arial"/>
                <w:sz w:val="20"/>
                <w:szCs w:val="20"/>
              </w:rPr>
              <w:t>1</w:t>
            </w:r>
          </w:p>
        </w:tc>
        <w:tc>
          <w:tcPr>
            <w:tcW w:w="3542" w:type="dxa"/>
            <w:tcBorders>
              <w:top w:val="nil"/>
              <w:left w:val="nil"/>
              <w:bottom w:val="single" w:sz="8" w:space="0" w:color="auto"/>
              <w:right w:val="single" w:sz="8" w:space="0" w:color="auto"/>
            </w:tcBorders>
            <w:shd w:val="clear" w:color="auto" w:fill="auto"/>
          </w:tcPr>
          <w:p w14:paraId="42FD03F2" w14:textId="77777777" w:rsidR="00FA2EB2" w:rsidRPr="00735CF9" w:rsidRDefault="00FA2EB2" w:rsidP="00FA6132">
            <w:pPr>
              <w:spacing w:after="160" w:line="240" w:lineRule="auto"/>
              <w:rPr>
                <w:rFonts w:ascii="Arial" w:eastAsia="Calibri" w:hAnsi="Arial" w:cs="Arial"/>
                <w:sz w:val="20"/>
                <w:szCs w:val="20"/>
              </w:rPr>
            </w:pPr>
            <w:r w:rsidRPr="00735CF9">
              <w:rPr>
                <w:rFonts w:ascii="Arial" w:eastAsia="Calibri" w:hAnsi="Arial" w:cs="Arial"/>
                <w:sz w:val="20"/>
                <w:szCs w:val="20"/>
              </w:rPr>
              <w:t>Opcional</w:t>
            </w:r>
          </w:p>
        </w:tc>
      </w:tr>
      <w:tr w:rsidR="009755C1" w:rsidRPr="009755C1" w14:paraId="023BB967" w14:textId="77777777" w:rsidTr="00FA6132">
        <w:trPr>
          <w:trHeight w:val="315"/>
        </w:trPr>
        <w:tc>
          <w:tcPr>
            <w:tcW w:w="3272" w:type="dxa"/>
            <w:tcBorders>
              <w:top w:val="nil"/>
              <w:left w:val="single" w:sz="8" w:space="0" w:color="auto"/>
              <w:bottom w:val="single" w:sz="8" w:space="0" w:color="auto"/>
              <w:right w:val="single" w:sz="8" w:space="0" w:color="auto"/>
            </w:tcBorders>
            <w:shd w:val="clear" w:color="auto" w:fill="auto"/>
          </w:tcPr>
          <w:p w14:paraId="66FFA3DA" w14:textId="77777777" w:rsidR="009755C1" w:rsidRPr="009755C1" w:rsidRDefault="009755C1" w:rsidP="00FA6132">
            <w:pPr>
              <w:autoSpaceDE w:val="0"/>
              <w:autoSpaceDN w:val="0"/>
              <w:adjustRightInd w:val="0"/>
              <w:spacing w:after="0" w:line="240" w:lineRule="auto"/>
              <w:rPr>
                <w:rFonts w:ascii="Arial" w:eastAsia="Times New Roman" w:hAnsi="Arial" w:cs="Arial"/>
                <w:sz w:val="20"/>
                <w:szCs w:val="20"/>
                <w:lang w:eastAsia="pt-BR"/>
              </w:rPr>
            </w:pPr>
            <w:r w:rsidRPr="009755C1">
              <w:rPr>
                <w:rFonts w:ascii="Arial" w:eastAsia="Calibri" w:hAnsi="Arial" w:cs="Arial"/>
                <w:sz w:val="20"/>
                <w:szCs w:val="20"/>
              </w:rPr>
              <w:t xml:space="preserve">Número da Conta Bancária </w:t>
            </w:r>
          </w:p>
        </w:tc>
        <w:tc>
          <w:tcPr>
            <w:tcW w:w="1276" w:type="dxa"/>
            <w:tcBorders>
              <w:top w:val="nil"/>
              <w:left w:val="nil"/>
              <w:bottom w:val="single" w:sz="8" w:space="0" w:color="auto"/>
              <w:right w:val="single" w:sz="8" w:space="0" w:color="auto"/>
            </w:tcBorders>
            <w:shd w:val="clear" w:color="auto" w:fill="auto"/>
          </w:tcPr>
          <w:p w14:paraId="783DD74E"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Calibri" w:hAnsi="Arial" w:cs="Arial"/>
                <w:sz w:val="20"/>
                <w:szCs w:val="20"/>
              </w:rPr>
              <w:t>Caracter</w:t>
            </w:r>
          </w:p>
        </w:tc>
        <w:tc>
          <w:tcPr>
            <w:tcW w:w="1276" w:type="dxa"/>
            <w:tcBorders>
              <w:top w:val="nil"/>
              <w:left w:val="nil"/>
              <w:bottom w:val="single" w:sz="8" w:space="0" w:color="auto"/>
              <w:right w:val="single" w:sz="8" w:space="0" w:color="auto"/>
            </w:tcBorders>
            <w:shd w:val="clear" w:color="auto" w:fill="auto"/>
          </w:tcPr>
          <w:p w14:paraId="7779C7DD" w14:textId="77777777" w:rsidR="009755C1" w:rsidRPr="009755C1" w:rsidRDefault="009755C1" w:rsidP="00FA6132">
            <w:pPr>
              <w:spacing w:after="160" w:line="240" w:lineRule="auto"/>
              <w:jc w:val="center"/>
              <w:rPr>
                <w:rFonts w:ascii="Arial" w:eastAsia="Times New Roman" w:hAnsi="Arial" w:cs="Arial"/>
                <w:sz w:val="20"/>
                <w:szCs w:val="20"/>
                <w:lang w:eastAsia="pt-BR"/>
              </w:rPr>
            </w:pPr>
            <w:r w:rsidRPr="009755C1">
              <w:rPr>
                <w:rFonts w:ascii="Arial" w:eastAsia="Calibri" w:hAnsi="Arial" w:cs="Arial"/>
                <w:sz w:val="20"/>
                <w:szCs w:val="20"/>
              </w:rPr>
              <w:t>15</w:t>
            </w:r>
          </w:p>
        </w:tc>
        <w:tc>
          <w:tcPr>
            <w:tcW w:w="3542" w:type="dxa"/>
            <w:tcBorders>
              <w:top w:val="nil"/>
              <w:left w:val="nil"/>
              <w:bottom w:val="single" w:sz="8" w:space="0" w:color="auto"/>
              <w:right w:val="single" w:sz="8" w:space="0" w:color="auto"/>
            </w:tcBorders>
            <w:shd w:val="clear" w:color="auto" w:fill="auto"/>
          </w:tcPr>
          <w:p w14:paraId="15F5654B" w14:textId="77777777" w:rsidR="009755C1" w:rsidRPr="009755C1" w:rsidRDefault="009755C1" w:rsidP="00FA6132">
            <w:pPr>
              <w:spacing w:after="160" w:line="240" w:lineRule="auto"/>
              <w:rPr>
                <w:rFonts w:ascii="Arial" w:eastAsia="Times New Roman" w:hAnsi="Arial" w:cs="Arial"/>
                <w:sz w:val="20"/>
                <w:szCs w:val="20"/>
                <w:lang w:eastAsia="pt-BR"/>
              </w:rPr>
            </w:pPr>
            <w:r w:rsidRPr="009755C1">
              <w:rPr>
                <w:rFonts w:ascii="Arial" w:eastAsia="Calibri" w:hAnsi="Arial" w:cs="Arial"/>
                <w:sz w:val="20"/>
                <w:szCs w:val="20"/>
              </w:rPr>
              <w:t>Obrigatório</w:t>
            </w:r>
          </w:p>
        </w:tc>
      </w:tr>
      <w:tr w:rsidR="00FA2EB2" w:rsidRPr="00FA2EB2" w14:paraId="3ABE3324" w14:textId="77777777" w:rsidTr="00FA6132">
        <w:trPr>
          <w:trHeight w:val="315"/>
        </w:trPr>
        <w:tc>
          <w:tcPr>
            <w:tcW w:w="3272" w:type="dxa"/>
            <w:tcBorders>
              <w:top w:val="nil"/>
              <w:left w:val="single" w:sz="8" w:space="0" w:color="auto"/>
              <w:bottom w:val="single" w:sz="8" w:space="0" w:color="auto"/>
              <w:right w:val="single" w:sz="8" w:space="0" w:color="auto"/>
            </w:tcBorders>
            <w:shd w:val="clear" w:color="auto" w:fill="auto"/>
          </w:tcPr>
          <w:p w14:paraId="48445F03" w14:textId="77777777" w:rsidR="00FA2EB2" w:rsidRPr="00735CF9" w:rsidRDefault="00FA2EB2" w:rsidP="00FA2EB2">
            <w:pPr>
              <w:autoSpaceDE w:val="0"/>
              <w:autoSpaceDN w:val="0"/>
              <w:adjustRightInd w:val="0"/>
              <w:spacing w:after="0" w:line="240" w:lineRule="auto"/>
              <w:rPr>
                <w:rFonts w:ascii="Arial" w:eastAsia="Calibri" w:hAnsi="Arial" w:cs="Arial"/>
                <w:sz w:val="20"/>
                <w:szCs w:val="20"/>
              </w:rPr>
            </w:pPr>
            <w:r w:rsidRPr="00735CF9">
              <w:rPr>
                <w:rFonts w:ascii="Arial" w:eastAsia="Calibri" w:hAnsi="Arial" w:cs="Arial"/>
                <w:sz w:val="20"/>
                <w:szCs w:val="20"/>
              </w:rPr>
              <w:t>Dígito Verificador da Conta Bancária</w:t>
            </w:r>
          </w:p>
        </w:tc>
        <w:tc>
          <w:tcPr>
            <w:tcW w:w="1276" w:type="dxa"/>
            <w:tcBorders>
              <w:top w:val="nil"/>
              <w:left w:val="nil"/>
              <w:bottom w:val="single" w:sz="8" w:space="0" w:color="auto"/>
              <w:right w:val="single" w:sz="8" w:space="0" w:color="auto"/>
            </w:tcBorders>
            <w:shd w:val="clear" w:color="auto" w:fill="auto"/>
          </w:tcPr>
          <w:p w14:paraId="01FDD195" w14:textId="77777777" w:rsidR="00FA2EB2" w:rsidRPr="00735CF9" w:rsidRDefault="00FA2EB2" w:rsidP="00FA2EB2">
            <w:pPr>
              <w:spacing w:after="160" w:line="240" w:lineRule="auto"/>
              <w:jc w:val="center"/>
              <w:rPr>
                <w:rFonts w:ascii="Arial" w:eastAsia="Calibri" w:hAnsi="Arial" w:cs="Arial"/>
                <w:sz w:val="20"/>
                <w:szCs w:val="20"/>
              </w:rPr>
            </w:pPr>
            <w:r w:rsidRPr="00735CF9">
              <w:rPr>
                <w:rFonts w:ascii="Arial" w:eastAsia="Calibri" w:hAnsi="Arial" w:cs="Arial"/>
                <w:sz w:val="20"/>
                <w:szCs w:val="20"/>
              </w:rPr>
              <w:t>Caracter</w:t>
            </w:r>
          </w:p>
        </w:tc>
        <w:tc>
          <w:tcPr>
            <w:tcW w:w="1276" w:type="dxa"/>
            <w:tcBorders>
              <w:top w:val="nil"/>
              <w:left w:val="nil"/>
              <w:bottom w:val="single" w:sz="8" w:space="0" w:color="auto"/>
              <w:right w:val="single" w:sz="8" w:space="0" w:color="auto"/>
            </w:tcBorders>
            <w:shd w:val="clear" w:color="auto" w:fill="auto"/>
          </w:tcPr>
          <w:p w14:paraId="015E034B" w14:textId="77777777" w:rsidR="00FA2EB2" w:rsidRPr="00735CF9" w:rsidRDefault="00FA2EB2" w:rsidP="00FA2EB2">
            <w:pPr>
              <w:spacing w:after="160" w:line="240" w:lineRule="auto"/>
              <w:jc w:val="center"/>
              <w:rPr>
                <w:rFonts w:ascii="Arial" w:eastAsia="Calibri" w:hAnsi="Arial" w:cs="Arial"/>
                <w:sz w:val="20"/>
                <w:szCs w:val="20"/>
              </w:rPr>
            </w:pPr>
            <w:r w:rsidRPr="00735CF9">
              <w:rPr>
                <w:rFonts w:ascii="Arial" w:eastAsia="Calibri" w:hAnsi="Arial" w:cs="Arial"/>
                <w:sz w:val="20"/>
                <w:szCs w:val="20"/>
              </w:rPr>
              <w:t>1</w:t>
            </w:r>
          </w:p>
        </w:tc>
        <w:tc>
          <w:tcPr>
            <w:tcW w:w="3542" w:type="dxa"/>
            <w:tcBorders>
              <w:top w:val="nil"/>
              <w:left w:val="nil"/>
              <w:bottom w:val="single" w:sz="8" w:space="0" w:color="auto"/>
              <w:right w:val="single" w:sz="8" w:space="0" w:color="auto"/>
            </w:tcBorders>
            <w:shd w:val="clear" w:color="auto" w:fill="auto"/>
          </w:tcPr>
          <w:p w14:paraId="0EB116A3" w14:textId="77777777" w:rsidR="00FA2EB2" w:rsidRPr="00735CF9" w:rsidRDefault="00FA2EB2" w:rsidP="00FA2EB2">
            <w:pPr>
              <w:spacing w:after="160" w:line="240" w:lineRule="auto"/>
              <w:rPr>
                <w:rFonts w:ascii="Arial" w:eastAsia="Calibri" w:hAnsi="Arial" w:cs="Arial"/>
                <w:sz w:val="20"/>
                <w:szCs w:val="20"/>
              </w:rPr>
            </w:pPr>
            <w:r w:rsidRPr="00735CF9">
              <w:rPr>
                <w:rFonts w:ascii="Arial" w:eastAsia="Calibri" w:hAnsi="Arial" w:cs="Arial"/>
                <w:sz w:val="20"/>
                <w:szCs w:val="20"/>
              </w:rPr>
              <w:t>Obrigatório</w:t>
            </w:r>
          </w:p>
        </w:tc>
      </w:tr>
      <w:tr w:rsidR="00FA2EB2" w:rsidRPr="009755C1" w14:paraId="2725A556" w14:textId="77777777" w:rsidTr="00FA6132">
        <w:trPr>
          <w:trHeight w:val="315"/>
        </w:trPr>
        <w:tc>
          <w:tcPr>
            <w:tcW w:w="3272" w:type="dxa"/>
            <w:tcBorders>
              <w:top w:val="nil"/>
              <w:left w:val="single" w:sz="8" w:space="0" w:color="auto"/>
              <w:bottom w:val="single" w:sz="8" w:space="0" w:color="auto"/>
              <w:right w:val="single" w:sz="8" w:space="0" w:color="auto"/>
            </w:tcBorders>
            <w:shd w:val="clear" w:color="auto" w:fill="auto"/>
          </w:tcPr>
          <w:p w14:paraId="2DBCC12E" w14:textId="77777777" w:rsidR="00FA2EB2" w:rsidRPr="00735CF9" w:rsidRDefault="00FA2EB2" w:rsidP="00FA2EB2">
            <w:pPr>
              <w:autoSpaceDE w:val="0"/>
              <w:autoSpaceDN w:val="0"/>
              <w:adjustRightInd w:val="0"/>
              <w:spacing w:after="0" w:line="240" w:lineRule="auto"/>
              <w:rPr>
                <w:rFonts w:ascii="Arial" w:eastAsia="Times New Roman" w:hAnsi="Arial" w:cs="Arial"/>
                <w:sz w:val="20"/>
                <w:szCs w:val="20"/>
                <w:lang w:eastAsia="pt-BR"/>
              </w:rPr>
            </w:pPr>
            <w:r w:rsidRPr="00735CF9">
              <w:rPr>
                <w:rFonts w:ascii="Arial" w:eastAsia="Calibri" w:hAnsi="Arial" w:cs="Arial"/>
                <w:sz w:val="20"/>
                <w:szCs w:val="20"/>
              </w:rPr>
              <w:t xml:space="preserve">Tipo de Conta Bancária </w:t>
            </w:r>
          </w:p>
        </w:tc>
        <w:tc>
          <w:tcPr>
            <w:tcW w:w="1276" w:type="dxa"/>
            <w:tcBorders>
              <w:top w:val="nil"/>
              <w:left w:val="nil"/>
              <w:bottom w:val="single" w:sz="8" w:space="0" w:color="auto"/>
              <w:right w:val="single" w:sz="8" w:space="0" w:color="auto"/>
            </w:tcBorders>
            <w:shd w:val="clear" w:color="auto" w:fill="auto"/>
          </w:tcPr>
          <w:p w14:paraId="3D4BCA3E" w14:textId="77777777" w:rsidR="00FA2EB2" w:rsidRPr="00735CF9" w:rsidRDefault="00FA2EB2" w:rsidP="00FA2EB2">
            <w:pPr>
              <w:spacing w:after="160" w:line="240" w:lineRule="auto"/>
              <w:jc w:val="center"/>
              <w:rPr>
                <w:rFonts w:ascii="Arial" w:eastAsia="Times New Roman" w:hAnsi="Arial" w:cs="Arial"/>
                <w:sz w:val="20"/>
                <w:szCs w:val="20"/>
                <w:lang w:eastAsia="pt-BR"/>
              </w:rPr>
            </w:pPr>
            <w:r w:rsidRPr="00735CF9">
              <w:rPr>
                <w:rFonts w:ascii="Arial" w:eastAsia="Calibri" w:hAnsi="Arial" w:cs="Arial"/>
                <w:sz w:val="20"/>
                <w:szCs w:val="20"/>
              </w:rPr>
              <w:t>Inteiro</w:t>
            </w:r>
          </w:p>
        </w:tc>
        <w:tc>
          <w:tcPr>
            <w:tcW w:w="1276" w:type="dxa"/>
            <w:tcBorders>
              <w:top w:val="nil"/>
              <w:left w:val="nil"/>
              <w:bottom w:val="single" w:sz="8" w:space="0" w:color="auto"/>
              <w:right w:val="single" w:sz="8" w:space="0" w:color="auto"/>
            </w:tcBorders>
            <w:shd w:val="clear" w:color="auto" w:fill="auto"/>
          </w:tcPr>
          <w:p w14:paraId="1F9A7FC5" w14:textId="77777777" w:rsidR="00FA2EB2" w:rsidRPr="00735CF9" w:rsidRDefault="00FA2EB2" w:rsidP="00FA2EB2">
            <w:pPr>
              <w:spacing w:after="160" w:line="240" w:lineRule="auto"/>
              <w:jc w:val="center"/>
              <w:rPr>
                <w:rFonts w:ascii="Arial" w:eastAsia="Times New Roman" w:hAnsi="Arial" w:cs="Arial"/>
                <w:sz w:val="20"/>
                <w:szCs w:val="20"/>
                <w:lang w:eastAsia="pt-BR"/>
              </w:rPr>
            </w:pPr>
            <w:r w:rsidRPr="00735CF9">
              <w:rPr>
                <w:rFonts w:ascii="Arial" w:eastAsia="Calibri" w:hAnsi="Arial" w:cs="Arial"/>
                <w:sz w:val="20"/>
                <w:szCs w:val="20"/>
              </w:rPr>
              <w:t>1</w:t>
            </w:r>
          </w:p>
        </w:tc>
        <w:tc>
          <w:tcPr>
            <w:tcW w:w="3542" w:type="dxa"/>
            <w:tcBorders>
              <w:top w:val="nil"/>
              <w:left w:val="nil"/>
              <w:bottom w:val="single" w:sz="8" w:space="0" w:color="auto"/>
              <w:right w:val="single" w:sz="8" w:space="0" w:color="auto"/>
            </w:tcBorders>
            <w:shd w:val="clear" w:color="auto" w:fill="auto"/>
          </w:tcPr>
          <w:p w14:paraId="05247AD7" w14:textId="77777777" w:rsidR="00FA2EB2" w:rsidRPr="00735CF9" w:rsidRDefault="00FA2EB2" w:rsidP="00FA2EB2">
            <w:pPr>
              <w:spacing w:after="160" w:line="240" w:lineRule="auto"/>
              <w:rPr>
                <w:rFonts w:ascii="Arial" w:eastAsia="Calibri" w:hAnsi="Arial" w:cs="Arial"/>
                <w:sz w:val="20"/>
                <w:szCs w:val="20"/>
              </w:rPr>
            </w:pPr>
            <w:r w:rsidRPr="00735CF9">
              <w:rPr>
                <w:rFonts w:ascii="Arial" w:eastAsia="Calibri" w:hAnsi="Arial" w:cs="Arial"/>
                <w:sz w:val="20"/>
                <w:szCs w:val="20"/>
              </w:rPr>
              <w:t>Obrigatório</w:t>
            </w:r>
          </w:p>
          <w:p w14:paraId="63894E83" w14:textId="77777777" w:rsidR="00FA2EB2" w:rsidRPr="00735CF9" w:rsidRDefault="00FA2EB2" w:rsidP="00FA2EB2">
            <w:pPr>
              <w:spacing w:after="160" w:line="240" w:lineRule="auto"/>
              <w:rPr>
                <w:rFonts w:ascii="Arial" w:eastAsia="Times New Roman" w:hAnsi="Arial" w:cs="Arial"/>
                <w:sz w:val="20"/>
                <w:szCs w:val="20"/>
                <w:lang w:eastAsia="pt-BR"/>
              </w:rPr>
            </w:pPr>
            <w:r w:rsidRPr="00735CF9">
              <w:rPr>
                <w:rFonts w:ascii="Arial" w:eastAsia="Times New Roman" w:hAnsi="Arial" w:cs="Arial"/>
                <w:sz w:val="20"/>
                <w:szCs w:val="20"/>
                <w:lang w:eastAsia="pt-BR"/>
              </w:rPr>
              <w:t>1 - Conta Movimento</w:t>
            </w:r>
          </w:p>
          <w:p w14:paraId="2595F193" w14:textId="77777777" w:rsidR="00FA2EB2" w:rsidRPr="00735CF9" w:rsidRDefault="00FA2EB2" w:rsidP="00FA2EB2">
            <w:pPr>
              <w:spacing w:after="160" w:line="240" w:lineRule="auto"/>
              <w:rPr>
                <w:rFonts w:ascii="Arial" w:eastAsia="Times New Roman" w:hAnsi="Arial" w:cs="Arial"/>
                <w:sz w:val="20"/>
                <w:szCs w:val="20"/>
                <w:lang w:eastAsia="pt-BR"/>
              </w:rPr>
            </w:pPr>
            <w:r w:rsidRPr="00735CF9">
              <w:rPr>
                <w:rFonts w:ascii="Arial" w:eastAsia="Times New Roman" w:hAnsi="Arial" w:cs="Arial"/>
                <w:sz w:val="20"/>
                <w:szCs w:val="20"/>
                <w:lang w:eastAsia="pt-BR"/>
              </w:rPr>
              <w:t>2 - Conta Aplicação</w:t>
            </w:r>
          </w:p>
          <w:p w14:paraId="04616328" w14:textId="77777777" w:rsidR="00FA2EB2" w:rsidRPr="00735CF9" w:rsidRDefault="00FA2EB2" w:rsidP="00FA2EB2">
            <w:pPr>
              <w:spacing w:after="160" w:line="240" w:lineRule="auto"/>
              <w:rPr>
                <w:rFonts w:ascii="Arial" w:eastAsia="Times New Roman" w:hAnsi="Arial" w:cs="Arial"/>
                <w:sz w:val="20"/>
                <w:szCs w:val="20"/>
                <w:lang w:eastAsia="pt-BR"/>
              </w:rPr>
            </w:pPr>
            <w:r w:rsidRPr="00735CF9">
              <w:rPr>
                <w:rFonts w:ascii="Arial" w:eastAsia="Times New Roman" w:hAnsi="Arial" w:cs="Arial"/>
                <w:sz w:val="20"/>
                <w:szCs w:val="20"/>
                <w:lang w:eastAsia="pt-BR"/>
              </w:rPr>
              <w:t>3 - Conta Poupança</w:t>
            </w:r>
          </w:p>
        </w:tc>
      </w:tr>
      <w:tr w:rsidR="00FA2EB2" w:rsidRPr="009755C1" w14:paraId="6EE361DF" w14:textId="77777777" w:rsidTr="00FA6132">
        <w:trPr>
          <w:trHeight w:val="315"/>
        </w:trPr>
        <w:tc>
          <w:tcPr>
            <w:tcW w:w="3272" w:type="dxa"/>
            <w:tcBorders>
              <w:top w:val="nil"/>
              <w:left w:val="single" w:sz="8" w:space="0" w:color="auto"/>
              <w:bottom w:val="single" w:sz="8" w:space="0" w:color="auto"/>
              <w:right w:val="single" w:sz="8" w:space="0" w:color="auto"/>
            </w:tcBorders>
            <w:shd w:val="clear" w:color="auto" w:fill="auto"/>
          </w:tcPr>
          <w:p w14:paraId="6A44A9BC" w14:textId="77777777" w:rsidR="00FA2EB2" w:rsidRPr="00735CF9" w:rsidRDefault="00FA2EB2" w:rsidP="00FA2EB2">
            <w:pPr>
              <w:autoSpaceDE w:val="0"/>
              <w:autoSpaceDN w:val="0"/>
              <w:adjustRightInd w:val="0"/>
              <w:spacing w:after="0" w:line="240" w:lineRule="auto"/>
              <w:rPr>
                <w:rFonts w:ascii="Arial" w:eastAsia="Calibri" w:hAnsi="Arial" w:cs="Arial"/>
                <w:sz w:val="20"/>
                <w:szCs w:val="20"/>
              </w:rPr>
            </w:pPr>
            <w:r w:rsidRPr="00735CF9">
              <w:rPr>
                <w:rFonts w:ascii="Arial" w:eastAsia="Calibri" w:hAnsi="Arial" w:cs="Arial"/>
                <w:sz w:val="20"/>
                <w:szCs w:val="20"/>
              </w:rPr>
              <w:t xml:space="preserve">Complemento da Conta Bancária </w:t>
            </w:r>
            <w:r w:rsidRPr="00735CF9">
              <w:rPr>
                <w:rFonts w:ascii="Arial" w:eastAsia="Calibri" w:hAnsi="Arial" w:cs="Arial"/>
                <w:sz w:val="20"/>
                <w:szCs w:val="20"/>
                <w:vertAlign w:val="superscript"/>
              </w:rPr>
              <w:t>[2]</w:t>
            </w:r>
          </w:p>
        </w:tc>
        <w:tc>
          <w:tcPr>
            <w:tcW w:w="1276" w:type="dxa"/>
            <w:tcBorders>
              <w:top w:val="nil"/>
              <w:left w:val="nil"/>
              <w:bottom w:val="single" w:sz="8" w:space="0" w:color="auto"/>
              <w:right w:val="single" w:sz="8" w:space="0" w:color="auto"/>
            </w:tcBorders>
            <w:shd w:val="clear" w:color="auto" w:fill="auto"/>
          </w:tcPr>
          <w:p w14:paraId="673074CD" w14:textId="77777777" w:rsidR="00FA2EB2" w:rsidRPr="00735CF9" w:rsidRDefault="00FA2EB2" w:rsidP="00FA2EB2">
            <w:pPr>
              <w:autoSpaceDE w:val="0"/>
              <w:autoSpaceDN w:val="0"/>
              <w:adjustRightInd w:val="0"/>
              <w:spacing w:after="0" w:line="240" w:lineRule="auto"/>
              <w:jc w:val="center"/>
              <w:rPr>
                <w:rFonts w:ascii="Arial" w:eastAsia="Calibri" w:hAnsi="Arial" w:cs="Arial"/>
                <w:sz w:val="20"/>
                <w:szCs w:val="20"/>
              </w:rPr>
            </w:pPr>
            <w:r w:rsidRPr="00735CF9">
              <w:rPr>
                <w:rFonts w:ascii="Arial" w:eastAsia="Calibri" w:hAnsi="Arial" w:cs="Arial"/>
                <w:sz w:val="20"/>
                <w:szCs w:val="20"/>
              </w:rPr>
              <w:t>Caracter</w:t>
            </w:r>
          </w:p>
        </w:tc>
        <w:tc>
          <w:tcPr>
            <w:tcW w:w="1276" w:type="dxa"/>
            <w:tcBorders>
              <w:top w:val="nil"/>
              <w:left w:val="nil"/>
              <w:bottom w:val="single" w:sz="8" w:space="0" w:color="auto"/>
              <w:right w:val="single" w:sz="8" w:space="0" w:color="auto"/>
            </w:tcBorders>
            <w:shd w:val="clear" w:color="auto" w:fill="auto"/>
          </w:tcPr>
          <w:p w14:paraId="48FDBEB4" w14:textId="77777777" w:rsidR="00FA2EB2" w:rsidRPr="00735CF9" w:rsidRDefault="00FA2EB2" w:rsidP="00FA2EB2">
            <w:pPr>
              <w:autoSpaceDE w:val="0"/>
              <w:autoSpaceDN w:val="0"/>
              <w:adjustRightInd w:val="0"/>
              <w:spacing w:after="0" w:line="240" w:lineRule="auto"/>
              <w:jc w:val="center"/>
              <w:rPr>
                <w:rFonts w:ascii="Arial" w:eastAsia="Calibri" w:hAnsi="Arial" w:cs="Arial"/>
                <w:sz w:val="20"/>
                <w:szCs w:val="20"/>
              </w:rPr>
            </w:pPr>
            <w:r w:rsidRPr="00735CF9">
              <w:rPr>
                <w:rFonts w:ascii="Arial" w:eastAsia="Calibri" w:hAnsi="Arial" w:cs="Arial"/>
                <w:sz w:val="20"/>
                <w:szCs w:val="20"/>
              </w:rPr>
              <w:t>10</w:t>
            </w:r>
          </w:p>
        </w:tc>
        <w:tc>
          <w:tcPr>
            <w:tcW w:w="3542" w:type="dxa"/>
            <w:tcBorders>
              <w:top w:val="nil"/>
              <w:left w:val="nil"/>
              <w:bottom w:val="single" w:sz="8" w:space="0" w:color="auto"/>
              <w:right w:val="single" w:sz="8" w:space="0" w:color="auto"/>
            </w:tcBorders>
            <w:shd w:val="clear" w:color="auto" w:fill="auto"/>
          </w:tcPr>
          <w:p w14:paraId="4989DE40" w14:textId="77777777" w:rsidR="00FA2EB2" w:rsidRPr="00735CF9" w:rsidRDefault="00FA2EB2" w:rsidP="00FA2EB2">
            <w:pPr>
              <w:autoSpaceDE w:val="0"/>
              <w:autoSpaceDN w:val="0"/>
              <w:adjustRightInd w:val="0"/>
              <w:spacing w:after="0" w:line="240" w:lineRule="auto"/>
              <w:rPr>
                <w:rFonts w:ascii="Arial" w:eastAsia="Calibri" w:hAnsi="Arial" w:cs="Arial"/>
                <w:sz w:val="20"/>
                <w:szCs w:val="20"/>
              </w:rPr>
            </w:pPr>
            <w:r w:rsidRPr="00735CF9">
              <w:rPr>
                <w:rFonts w:ascii="Arial" w:eastAsia="Calibri" w:hAnsi="Arial" w:cs="Arial"/>
                <w:sz w:val="20"/>
                <w:szCs w:val="20"/>
              </w:rPr>
              <w:t>Obrigatório</w:t>
            </w:r>
          </w:p>
          <w:p w14:paraId="49201571" w14:textId="77777777" w:rsidR="00FA2EB2" w:rsidRPr="00735CF9" w:rsidRDefault="00FA2EB2" w:rsidP="00FA2EB2">
            <w:pPr>
              <w:autoSpaceDE w:val="0"/>
              <w:autoSpaceDN w:val="0"/>
              <w:adjustRightInd w:val="0"/>
              <w:spacing w:after="0" w:line="240" w:lineRule="auto"/>
              <w:rPr>
                <w:rFonts w:ascii="Arial" w:eastAsia="Calibri" w:hAnsi="Arial" w:cs="Arial"/>
                <w:sz w:val="20"/>
                <w:szCs w:val="20"/>
              </w:rPr>
            </w:pPr>
            <w:r w:rsidRPr="00735CF9">
              <w:rPr>
                <w:rFonts w:ascii="Arial" w:eastAsia="Calibri" w:hAnsi="Arial" w:cs="Arial"/>
                <w:sz w:val="20"/>
                <w:szCs w:val="20"/>
              </w:rPr>
              <w:t xml:space="preserve">Especificamente para o banco </w:t>
            </w:r>
            <w:r w:rsidR="00735CF9" w:rsidRPr="00735CF9">
              <w:rPr>
                <w:rFonts w:ascii="Arial" w:eastAsia="Calibri" w:hAnsi="Arial" w:cs="Arial"/>
                <w:sz w:val="20"/>
                <w:szCs w:val="20"/>
              </w:rPr>
              <w:t xml:space="preserve">021 </w:t>
            </w:r>
            <w:r w:rsidRPr="00735CF9">
              <w:rPr>
                <w:rFonts w:ascii="Arial" w:eastAsia="Calibri" w:hAnsi="Arial" w:cs="Arial"/>
                <w:sz w:val="20"/>
                <w:szCs w:val="20"/>
              </w:rPr>
              <w:t>Banestes, utilizar códigos definidos na Tabela de Complemento Banestes.</w:t>
            </w:r>
          </w:p>
        </w:tc>
      </w:tr>
    </w:tbl>
    <w:p w14:paraId="242E8F57" w14:textId="77777777" w:rsidR="009755C1" w:rsidRPr="00735CF9" w:rsidRDefault="009755C1" w:rsidP="009755C1">
      <w:pPr>
        <w:spacing w:after="160" w:line="240" w:lineRule="auto"/>
        <w:ind w:right="-285"/>
        <w:rPr>
          <w:rFonts w:ascii="Arial" w:eastAsia="Calibri" w:hAnsi="Arial" w:cs="Arial"/>
          <w:sz w:val="18"/>
          <w:szCs w:val="18"/>
          <w:lang w:eastAsia="pt-BR"/>
        </w:rPr>
      </w:pPr>
      <w:r w:rsidRPr="00735CF9">
        <w:rPr>
          <w:rFonts w:ascii="Arial" w:eastAsia="Calibri" w:hAnsi="Arial" w:cs="Arial"/>
          <w:sz w:val="18"/>
          <w:szCs w:val="18"/>
          <w:lang w:eastAsia="pt-BR"/>
        </w:rPr>
        <w:t>Obs.: Somente serão aceitos valores positivos.</w:t>
      </w:r>
    </w:p>
    <w:p w14:paraId="293DC2AA" w14:textId="77777777" w:rsidR="009755C1" w:rsidRPr="00735CF9" w:rsidRDefault="009755C1" w:rsidP="009755C1">
      <w:pPr>
        <w:spacing w:after="160" w:line="240" w:lineRule="auto"/>
        <w:ind w:right="-285"/>
        <w:rPr>
          <w:rFonts w:ascii="Arial" w:eastAsia="Calibri" w:hAnsi="Arial" w:cs="Arial"/>
          <w:sz w:val="18"/>
          <w:szCs w:val="18"/>
          <w:lang w:eastAsia="pt-BR"/>
        </w:rPr>
      </w:pPr>
      <w:r w:rsidRPr="00735CF9">
        <w:rPr>
          <w:rFonts w:ascii="Arial" w:eastAsia="Calibri" w:hAnsi="Arial" w:cs="Arial"/>
          <w:sz w:val="18"/>
          <w:szCs w:val="18"/>
          <w:lang w:eastAsia="pt-BR"/>
        </w:rPr>
        <w:t>[1] Informar as contas bancárias do RPPS que movimentam exclusivamente os recursos destinados à manutenção das atividades do órgão (gestão da taxa de administração).</w:t>
      </w:r>
    </w:p>
    <w:p w14:paraId="4161C73A" w14:textId="77777777" w:rsidR="009755C1" w:rsidRPr="00735CF9" w:rsidRDefault="009755C1" w:rsidP="009755C1">
      <w:pPr>
        <w:spacing w:after="160" w:line="240" w:lineRule="auto"/>
        <w:ind w:right="-285"/>
        <w:rPr>
          <w:rFonts w:ascii="Arial" w:eastAsia="Calibri" w:hAnsi="Arial" w:cs="Arial"/>
          <w:sz w:val="18"/>
          <w:szCs w:val="18"/>
          <w:lang w:eastAsia="pt-BR"/>
        </w:rPr>
      </w:pPr>
      <w:r w:rsidRPr="00735CF9">
        <w:rPr>
          <w:rFonts w:ascii="Arial" w:eastAsia="Calibri" w:hAnsi="Arial" w:cs="Arial"/>
          <w:sz w:val="18"/>
          <w:szCs w:val="18"/>
          <w:lang w:eastAsia="pt-BR"/>
        </w:rPr>
        <w:t xml:space="preserve">[2] </w:t>
      </w:r>
      <w:r w:rsidR="00FA2EB2" w:rsidRPr="00735CF9">
        <w:rPr>
          <w:rFonts w:ascii="Arial" w:eastAsia="Calibri" w:hAnsi="Arial" w:cs="Arial"/>
          <w:sz w:val="18"/>
          <w:szCs w:val="18"/>
          <w:lang w:eastAsia="pt-BR"/>
        </w:rPr>
        <w:t>Cada Conta Bancária identificada pela chave &lt;CodigoBanco&gt;, &lt;CodigoAgencia&gt;, &lt;DigitoVerificadorAgencia&gt;, &lt;NumeroContaBancaria&gt;, &lt;DigitoVerificadorContaBancaria&gt;, &lt;TipoContaBancaria&gt; e &lt;ComplementoContaBancaria&gt; deverá ter sido enviada no arquivo TVDISP.XML</w:t>
      </w:r>
    </w:p>
    <w:p w14:paraId="5F24E33F" w14:textId="77777777" w:rsidR="009909C9" w:rsidRDefault="009909C9" w:rsidP="00707637">
      <w:pPr>
        <w:spacing w:before="120" w:after="0" w:line="240" w:lineRule="auto"/>
        <w:jc w:val="both"/>
        <w:rPr>
          <w:rFonts w:ascii="Arial" w:hAnsi="Arial" w:cs="Arial"/>
          <w:b/>
          <w:sz w:val="36"/>
          <w:u w:val="single"/>
        </w:rPr>
      </w:pPr>
    </w:p>
    <w:p w14:paraId="252EC64C" w14:textId="69797BCE" w:rsidR="009909C9" w:rsidRPr="00B27A96" w:rsidRDefault="009909C9" w:rsidP="00A60EA7">
      <w:pPr>
        <w:pStyle w:val="Ttulo3"/>
        <w:rPr>
          <w:rFonts w:eastAsia="Calibri"/>
        </w:rPr>
      </w:pPr>
      <w:bookmarkStart w:id="58" w:name="_Toc94806334"/>
      <w:r w:rsidRPr="00B27A96">
        <w:rPr>
          <w:rFonts w:eastAsia="Calibri"/>
        </w:rPr>
        <w:t>APROPAT.XML (ou ParticipacaoPatrimonioLiquido.xml)</w:t>
      </w:r>
      <w:bookmarkEnd w:id="58"/>
    </w:p>
    <w:p w14:paraId="0E7A265B" w14:textId="5A7E6359" w:rsidR="009909C9" w:rsidRPr="00020539" w:rsidRDefault="009909C9" w:rsidP="009909C9">
      <w:pPr>
        <w:spacing w:after="0" w:line="360" w:lineRule="auto"/>
        <w:jc w:val="both"/>
        <w:rPr>
          <w:rFonts w:ascii="Arial" w:eastAsia="Calibri" w:hAnsi="Arial" w:cs="Arial"/>
        </w:rPr>
      </w:pPr>
      <w:r w:rsidRPr="00020539">
        <w:rPr>
          <w:rFonts w:ascii="Arial" w:eastAsia="Calibri" w:hAnsi="Arial" w:cs="Arial"/>
          <w:b/>
          <w:bCs/>
        </w:rPr>
        <w:t>Descrição: </w:t>
      </w:r>
      <w:r w:rsidRPr="00020539">
        <w:rPr>
          <w:rFonts w:ascii="Arial" w:eastAsia="Calibri" w:hAnsi="Arial" w:cs="Arial"/>
        </w:rPr>
        <w:t>Este arquivo evidenciará a participação de cada ente consorciadono patrimônio líquido do consórcio.</w:t>
      </w:r>
    </w:p>
    <w:p w14:paraId="7F1E353D" w14:textId="77777777" w:rsidR="009313F4" w:rsidRDefault="009313F4" w:rsidP="009909C9">
      <w:pPr>
        <w:rPr>
          <w:rFonts w:ascii="Arial" w:eastAsia="Calibri" w:hAnsi="Arial" w:cs="Arial"/>
          <w:b/>
          <w:bCs/>
        </w:rPr>
      </w:pPr>
    </w:p>
    <w:p w14:paraId="44ED709A" w14:textId="77777777" w:rsidR="009909C9" w:rsidRPr="00020539" w:rsidRDefault="009909C9" w:rsidP="009909C9">
      <w:pPr>
        <w:rPr>
          <w:rFonts w:ascii="Arial" w:eastAsia="Calibri" w:hAnsi="Arial" w:cs="Arial"/>
          <w:b/>
          <w:sz w:val="28"/>
        </w:rPr>
      </w:pPr>
      <w:r w:rsidRPr="00020539">
        <w:rPr>
          <w:rFonts w:ascii="Arial" w:eastAsia="Calibri" w:hAnsi="Arial" w:cs="Arial"/>
          <w:b/>
          <w:bCs/>
        </w:rPr>
        <w:t>Estrutura:</w:t>
      </w:r>
    </w:p>
    <w:p w14:paraId="64059F22" w14:textId="77777777" w:rsidR="009909C9" w:rsidRPr="00020539" w:rsidRDefault="009909C9" w:rsidP="009909C9">
      <w:pPr>
        <w:spacing w:after="0" w:line="240" w:lineRule="auto"/>
        <w:rPr>
          <w:rFonts w:ascii="Arial" w:eastAsia="Times New Roman" w:hAnsi="Arial" w:cs="Arial"/>
          <w:sz w:val="20"/>
          <w:szCs w:val="20"/>
          <w:lang w:eastAsia="pt-BR"/>
        </w:rPr>
      </w:pPr>
      <w:r w:rsidRPr="00020539">
        <w:rPr>
          <w:rFonts w:ascii="Arial" w:eastAsia="Times New Roman" w:hAnsi="Arial" w:cs="Arial"/>
          <w:sz w:val="20"/>
          <w:szCs w:val="20"/>
          <w:lang w:eastAsia="pt-BR"/>
        </w:rPr>
        <w:t>&lt;?xml version="1.0" encoding=“UTF-8”?&gt;</w:t>
      </w:r>
    </w:p>
    <w:p w14:paraId="46B6B75D" w14:textId="77777777" w:rsidR="009909C9" w:rsidRPr="00020539" w:rsidRDefault="009909C9" w:rsidP="009909C9">
      <w:pPr>
        <w:spacing w:after="0" w:line="240" w:lineRule="auto"/>
        <w:rPr>
          <w:rFonts w:ascii="Arial" w:eastAsia="Times New Roman" w:hAnsi="Arial" w:cs="Arial"/>
          <w:sz w:val="20"/>
          <w:szCs w:val="20"/>
          <w:lang w:eastAsia="pt-BR"/>
        </w:rPr>
      </w:pPr>
      <w:r w:rsidRPr="00020539">
        <w:rPr>
          <w:rFonts w:ascii="Arial" w:eastAsia="Times New Roman" w:hAnsi="Arial" w:cs="Arial"/>
          <w:sz w:val="20"/>
          <w:szCs w:val="20"/>
          <w:lang w:eastAsia="pt-BR"/>
        </w:rPr>
        <w:t>&lt;PrestacaoContasAnual&gt;</w:t>
      </w:r>
    </w:p>
    <w:p w14:paraId="6AA546B8" w14:textId="77777777" w:rsidR="009909C9" w:rsidRPr="00020539" w:rsidRDefault="009909C9" w:rsidP="009909C9">
      <w:pPr>
        <w:spacing w:after="0" w:line="240" w:lineRule="auto"/>
        <w:ind w:left="284"/>
        <w:rPr>
          <w:rFonts w:ascii="Arial" w:eastAsia="Times New Roman" w:hAnsi="Arial" w:cs="Arial"/>
          <w:sz w:val="20"/>
          <w:szCs w:val="20"/>
          <w:lang w:eastAsia="pt-BR"/>
        </w:rPr>
      </w:pPr>
      <w:r w:rsidRPr="00020539">
        <w:rPr>
          <w:rFonts w:ascii="Arial" w:eastAsia="Times New Roman" w:hAnsi="Arial" w:cs="Arial"/>
          <w:sz w:val="20"/>
          <w:szCs w:val="20"/>
          <w:lang w:eastAsia="pt-BR"/>
        </w:rPr>
        <w:t>&lt;ParticipacaoPatrimonioLiquido_Schema&gt;</w:t>
      </w:r>
    </w:p>
    <w:p w14:paraId="6196FC2D" w14:textId="77777777" w:rsidR="009909C9" w:rsidRPr="00020539" w:rsidRDefault="009909C9" w:rsidP="009909C9">
      <w:pPr>
        <w:spacing w:after="0" w:line="240" w:lineRule="auto"/>
        <w:ind w:left="284"/>
        <w:rPr>
          <w:rFonts w:ascii="Arial" w:eastAsia="Times New Roman" w:hAnsi="Arial" w:cs="Arial"/>
          <w:sz w:val="20"/>
          <w:szCs w:val="20"/>
          <w:lang w:eastAsia="pt-BR"/>
        </w:rPr>
      </w:pPr>
    </w:p>
    <w:p w14:paraId="7855236F" w14:textId="77777777" w:rsidR="009909C9" w:rsidRPr="00020539" w:rsidRDefault="009909C9" w:rsidP="009909C9">
      <w:pPr>
        <w:spacing w:after="0" w:line="240" w:lineRule="auto"/>
        <w:ind w:left="567"/>
        <w:rPr>
          <w:rFonts w:ascii="Arial" w:eastAsia="Times New Roman" w:hAnsi="Arial" w:cs="Arial"/>
          <w:sz w:val="20"/>
          <w:szCs w:val="20"/>
          <w:lang w:eastAsia="pt-BR"/>
        </w:rPr>
      </w:pPr>
      <w:r w:rsidRPr="00020539">
        <w:rPr>
          <w:rFonts w:ascii="Arial" w:eastAsia="Times New Roman" w:hAnsi="Arial" w:cs="Arial"/>
          <w:sz w:val="20"/>
          <w:szCs w:val="20"/>
          <w:lang w:eastAsia="pt-BR"/>
        </w:rPr>
        <w:t>&lt;ParticipacaoPatrimonioLiquido&gt;</w:t>
      </w:r>
    </w:p>
    <w:p w14:paraId="753D5866" w14:textId="77777777" w:rsidR="009909C9" w:rsidRPr="00020539" w:rsidRDefault="009909C9" w:rsidP="009909C9">
      <w:pPr>
        <w:spacing w:after="0" w:line="240" w:lineRule="auto"/>
        <w:ind w:left="851"/>
        <w:rPr>
          <w:rFonts w:ascii="Arial" w:eastAsia="Times New Roman" w:hAnsi="Arial" w:cs="Arial"/>
          <w:sz w:val="20"/>
          <w:szCs w:val="20"/>
          <w:lang w:eastAsia="pt-BR"/>
        </w:rPr>
      </w:pPr>
      <w:r w:rsidRPr="00020539">
        <w:rPr>
          <w:rFonts w:ascii="Arial" w:eastAsia="Times New Roman" w:hAnsi="Arial" w:cs="Arial"/>
          <w:sz w:val="20"/>
          <w:szCs w:val="20"/>
          <w:lang w:eastAsia="pt-BR"/>
        </w:rPr>
        <w:t>&lt;IdNumRegistro&gt;</w:t>
      </w:r>
      <w:r w:rsidRPr="00020539">
        <w:rPr>
          <w:rFonts w:ascii="Arial" w:eastAsia="Times New Roman" w:hAnsi="Arial" w:cs="Arial"/>
          <w:b/>
          <w:bCs/>
          <w:sz w:val="20"/>
          <w:szCs w:val="20"/>
          <w:lang w:eastAsia="pt-BR"/>
        </w:rPr>
        <w:t>99999</w:t>
      </w:r>
      <w:r w:rsidRPr="00020539">
        <w:rPr>
          <w:rFonts w:ascii="Arial" w:eastAsia="Times New Roman" w:hAnsi="Arial" w:cs="Arial"/>
          <w:sz w:val="20"/>
          <w:szCs w:val="20"/>
          <w:lang w:eastAsia="pt-BR"/>
        </w:rPr>
        <w:t>&lt;/IdNumRegistro&gt;</w:t>
      </w:r>
    </w:p>
    <w:p w14:paraId="4D7543A7" w14:textId="77777777" w:rsidR="009909C9" w:rsidRPr="00020539" w:rsidRDefault="009909C9" w:rsidP="009909C9">
      <w:pPr>
        <w:spacing w:after="0" w:line="240" w:lineRule="auto"/>
        <w:ind w:left="851"/>
        <w:rPr>
          <w:rFonts w:ascii="Arial" w:eastAsia="Times New Roman" w:hAnsi="Arial" w:cs="Arial"/>
          <w:sz w:val="20"/>
          <w:szCs w:val="20"/>
          <w:lang w:eastAsia="pt-BR"/>
        </w:rPr>
      </w:pPr>
      <w:r w:rsidRPr="00020539">
        <w:rPr>
          <w:rFonts w:ascii="Arial" w:eastAsia="Times New Roman" w:hAnsi="Arial" w:cs="Arial"/>
          <w:sz w:val="20"/>
          <w:szCs w:val="20"/>
          <w:lang w:eastAsia="pt-BR"/>
        </w:rPr>
        <w:t>&lt;CodigoEnteConsorciado&gt;</w:t>
      </w:r>
      <w:r w:rsidRPr="00020539">
        <w:rPr>
          <w:rFonts w:ascii="Arial" w:eastAsia="Times New Roman" w:hAnsi="Arial" w:cs="Arial"/>
          <w:b/>
          <w:sz w:val="20"/>
          <w:szCs w:val="20"/>
          <w:lang w:eastAsia="pt-BR"/>
        </w:rPr>
        <w:t>XXXXXXXXXXX</w:t>
      </w:r>
      <w:r w:rsidRPr="00020539">
        <w:rPr>
          <w:rFonts w:ascii="Arial" w:eastAsia="Times New Roman" w:hAnsi="Arial" w:cs="Arial"/>
          <w:sz w:val="20"/>
          <w:szCs w:val="20"/>
          <w:lang w:eastAsia="pt-BR"/>
        </w:rPr>
        <w:t>&lt;/CodigoEnteConsorciado&gt;</w:t>
      </w:r>
    </w:p>
    <w:p w14:paraId="26B14E96" w14:textId="77777777" w:rsidR="009909C9" w:rsidRPr="00020539" w:rsidRDefault="009909C9" w:rsidP="009909C9">
      <w:pPr>
        <w:spacing w:after="0" w:line="240" w:lineRule="auto"/>
        <w:ind w:left="851"/>
        <w:rPr>
          <w:rFonts w:ascii="Arial" w:eastAsia="Times New Roman" w:hAnsi="Arial" w:cs="Arial"/>
          <w:b/>
          <w:bCs/>
          <w:sz w:val="20"/>
          <w:szCs w:val="20"/>
          <w:lang w:eastAsia="pt-BR"/>
        </w:rPr>
      </w:pPr>
      <w:r w:rsidRPr="00020539">
        <w:rPr>
          <w:rFonts w:ascii="Arial" w:eastAsia="Times New Roman" w:hAnsi="Arial" w:cs="Arial"/>
          <w:sz w:val="20"/>
          <w:szCs w:val="20"/>
          <w:lang w:eastAsia="pt-BR"/>
        </w:rPr>
        <w:lastRenderedPageBreak/>
        <w:t>&lt;QuantidadeCotasAcumuladas&gt;</w:t>
      </w:r>
      <w:r w:rsidRPr="00020539">
        <w:rPr>
          <w:rFonts w:ascii="Arial" w:eastAsia="Times New Roman" w:hAnsi="Arial" w:cs="Arial"/>
          <w:b/>
          <w:bCs/>
          <w:sz w:val="20"/>
          <w:szCs w:val="20"/>
          <w:lang w:eastAsia="pt-BR"/>
        </w:rPr>
        <w:t>99999999999999.99</w:t>
      </w:r>
      <w:r w:rsidRPr="00020539">
        <w:rPr>
          <w:rFonts w:ascii="Arial" w:eastAsia="Times New Roman" w:hAnsi="Arial" w:cs="Arial"/>
          <w:sz w:val="20"/>
          <w:szCs w:val="20"/>
          <w:lang w:eastAsia="pt-BR"/>
        </w:rPr>
        <w:t>&lt;/QuantidadeCotasAcumuladas&gt;       &lt;ParticipacaoPatrimonioLiquidoPercentual&gt;</w:t>
      </w:r>
      <w:r w:rsidRPr="00020539">
        <w:rPr>
          <w:rFonts w:ascii="Arial" w:eastAsia="Times New Roman" w:hAnsi="Arial" w:cs="Arial"/>
          <w:b/>
          <w:bCs/>
          <w:sz w:val="20"/>
          <w:szCs w:val="20"/>
          <w:lang w:eastAsia="pt-BR"/>
        </w:rPr>
        <w:t>99999999999999.99</w:t>
      </w:r>
    </w:p>
    <w:p w14:paraId="7B20A010" w14:textId="77777777" w:rsidR="009909C9" w:rsidRPr="00020539" w:rsidRDefault="009909C9" w:rsidP="009909C9">
      <w:pPr>
        <w:spacing w:after="0" w:line="240" w:lineRule="auto"/>
        <w:ind w:left="851" w:firstLine="565"/>
        <w:rPr>
          <w:rFonts w:ascii="Arial" w:eastAsia="Times New Roman" w:hAnsi="Arial" w:cs="Arial"/>
          <w:b/>
          <w:bCs/>
          <w:sz w:val="20"/>
          <w:szCs w:val="20"/>
          <w:lang w:eastAsia="pt-BR"/>
        </w:rPr>
      </w:pPr>
      <w:r w:rsidRPr="00020539">
        <w:rPr>
          <w:rFonts w:ascii="Arial" w:eastAsia="Times New Roman" w:hAnsi="Arial" w:cs="Arial"/>
          <w:sz w:val="20"/>
          <w:szCs w:val="20"/>
          <w:lang w:eastAsia="pt-BR"/>
        </w:rPr>
        <w:t>&lt;/ParticipacaoPatrimonioLiquidoPercentual&gt;  &lt;ParticipacaoPatrimonioLiquidoValor&gt;</w:t>
      </w:r>
      <w:r w:rsidRPr="00020539">
        <w:rPr>
          <w:rFonts w:ascii="Arial" w:eastAsia="Times New Roman" w:hAnsi="Arial" w:cs="Arial"/>
          <w:b/>
          <w:bCs/>
          <w:sz w:val="20"/>
          <w:szCs w:val="20"/>
          <w:lang w:eastAsia="pt-BR"/>
        </w:rPr>
        <w:t>99999999999999.99</w:t>
      </w:r>
    </w:p>
    <w:p w14:paraId="2DA98245" w14:textId="77777777" w:rsidR="009909C9" w:rsidRPr="00020539" w:rsidRDefault="009909C9" w:rsidP="009909C9">
      <w:pPr>
        <w:spacing w:after="0" w:line="240" w:lineRule="auto"/>
        <w:ind w:left="1559"/>
        <w:rPr>
          <w:rFonts w:ascii="Arial" w:eastAsia="Times New Roman" w:hAnsi="Arial" w:cs="Arial"/>
          <w:sz w:val="20"/>
          <w:szCs w:val="20"/>
          <w:lang w:eastAsia="pt-BR"/>
        </w:rPr>
      </w:pPr>
      <w:r w:rsidRPr="00020539">
        <w:rPr>
          <w:rFonts w:ascii="Arial" w:eastAsia="Times New Roman" w:hAnsi="Arial" w:cs="Arial"/>
          <w:sz w:val="20"/>
          <w:szCs w:val="20"/>
          <w:lang w:eastAsia="pt-BR"/>
        </w:rPr>
        <w:t>&lt;/ParticipacaoPatrimonioLiquidoValor&gt;</w:t>
      </w:r>
    </w:p>
    <w:p w14:paraId="5AF75FAA" w14:textId="77777777" w:rsidR="009909C9" w:rsidRPr="00020539" w:rsidRDefault="009909C9" w:rsidP="009909C9">
      <w:pPr>
        <w:spacing w:after="0" w:line="240" w:lineRule="auto"/>
        <w:ind w:left="567"/>
        <w:rPr>
          <w:rFonts w:ascii="Arial" w:eastAsia="Times New Roman" w:hAnsi="Arial" w:cs="Arial"/>
          <w:sz w:val="20"/>
          <w:szCs w:val="20"/>
          <w:lang w:eastAsia="pt-BR"/>
        </w:rPr>
      </w:pPr>
      <w:r w:rsidRPr="00020539">
        <w:rPr>
          <w:rFonts w:ascii="Arial" w:eastAsia="Times New Roman" w:hAnsi="Arial" w:cs="Arial"/>
          <w:sz w:val="20"/>
          <w:szCs w:val="20"/>
          <w:lang w:eastAsia="pt-BR"/>
        </w:rPr>
        <w:t>&lt;/</w:t>
      </w:r>
      <w:r w:rsidR="00DC0862" w:rsidRPr="00020539">
        <w:rPr>
          <w:rFonts w:ascii="Arial" w:eastAsia="Times New Roman" w:hAnsi="Arial" w:cs="Arial"/>
          <w:sz w:val="20"/>
          <w:szCs w:val="20"/>
          <w:lang w:eastAsia="pt-BR"/>
        </w:rPr>
        <w:t>ParticipacaoPatrimonioLiquido</w:t>
      </w:r>
      <w:r w:rsidRPr="00020539">
        <w:rPr>
          <w:rFonts w:ascii="Arial" w:eastAsia="Times New Roman" w:hAnsi="Arial" w:cs="Arial"/>
          <w:sz w:val="20"/>
          <w:szCs w:val="20"/>
          <w:lang w:eastAsia="pt-BR"/>
        </w:rPr>
        <w:t>&gt;</w:t>
      </w:r>
    </w:p>
    <w:p w14:paraId="5F1DEB5A" w14:textId="77777777" w:rsidR="00DC0862" w:rsidRPr="00020539" w:rsidRDefault="00DC0862" w:rsidP="009909C9">
      <w:pPr>
        <w:spacing w:after="0" w:line="240" w:lineRule="auto"/>
        <w:ind w:left="284"/>
        <w:rPr>
          <w:rFonts w:ascii="Arial" w:eastAsia="Times New Roman" w:hAnsi="Arial" w:cs="Arial"/>
          <w:sz w:val="20"/>
          <w:szCs w:val="20"/>
          <w:lang w:eastAsia="pt-BR"/>
        </w:rPr>
      </w:pPr>
    </w:p>
    <w:p w14:paraId="19DAB96F" w14:textId="77777777" w:rsidR="009909C9" w:rsidRPr="00020539" w:rsidRDefault="009909C9" w:rsidP="009909C9">
      <w:pPr>
        <w:spacing w:after="0" w:line="240" w:lineRule="auto"/>
        <w:ind w:left="284"/>
        <w:rPr>
          <w:rFonts w:ascii="Arial" w:eastAsia="Times New Roman" w:hAnsi="Arial" w:cs="Arial"/>
          <w:sz w:val="20"/>
          <w:szCs w:val="20"/>
          <w:lang w:eastAsia="pt-BR"/>
        </w:rPr>
      </w:pPr>
      <w:r w:rsidRPr="00020539">
        <w:rPr>
          <w:rFonts w:ascii="Arial" w:eastAsia="Times New Roman" w:hAnsi="Arial" w:cs="Arial"/>
          <w:sz w:val="20"/>
          <w:szCs w:val="20"/>
          <w:lang w:eastAsia="pt-BR"/>
        </w:rPr>
        <w:t>&lt;/</w:t>
      </w:r>
      <w:r w:rsidR="00DC0862" w:rsidRPr="00020539">
        <w:rPr>
          <w:rFonts w:ascii="Arial" w:eastAsia="Times New Roman" w:hAnsi="Arial" w:cs="Arial"/>
          <w:sz w:val="20"/>
          <w:szCs w:val="20"/>
          <w:lang w:eastAsia="pt-BR"/>
        </w:rPr>
        <w:t>ParticipacaoPatrimonioLiquido</w:t>
      </w:r>
      <w:r w:rsidRPr="00020539">
        <w:rPr>
          <w:rFonts w:ascii="Arial" w:eastAsia="Times New Roman" w:hAnsi="Arial" w:cs="Arial"/>
          <w:sz w:val="20"/>
          <w:szCs w:val="20"/>
          <w:lang w:eastAsia="pt-BR"/>
        </w:rPr>
        <w:t>_Schema&gt;</w:t>
      </w:r>
    </w:p>
    <w:p w14:paraId="770893B7" w14:textId="77777777" w:rsidR="009909C9" w:rsidRPr="00020539" w:rsidRDefault="009909C9" w:rsidP="009909C9">
      <w:pPr>
        <w:spacing w:after="0" w:line="240" w:lineRule="auto"/>
        <w:rPr>
          <w:rFonts w:ascii="Arial" w:eastAsia="Times New Roman" w:hAnsi="Arial" w:cs="Arial"/>
          <w:sz w:val="20"/>
          <w:szCs w:val="20"/>
          <w:lang w:eastAsia="pt-BR"/>
        </w:rPr>
      </w:pPr>
      <w:r w:rsidRPr="00020539">
        <w:rPr>
          <w:rFonts w:ascii="Arial" w:eastAsia="Times New Roman" w:hAnsi="Arial" w:cs="Arial"/>
          <w:sz w:val="20"/>
          <w:szCs w:val="20"/>
          <w:lang w:eastAsia="pt-BR"/>
        </w:rPr>
        <w:t>&lt;/PrestacaoContasAnual&gt;</w:t>
      </w:r>
    </w:p>
    <w:p w14:paraId="1F17BCC2" w14:textId="77777777" w:rsidR="009909C9" w:rsidRPr="00020539" w:rsidRDefault="009909C9" w:rsidP="009909C9">
      <w:pPr>
        <w:spacing w:after="0" w:line="240" w:lineRule="auto"/>
        <w:ind w:right="600"/>
        <w:rPr>
          <w:rFonts w:ascii="Arial" w:eastAsia="Calibri" w:hAnsi="Arial" w:cs="Arial"/>
          <w:sz w:val="20"/>
          <w:szCs w:val="20"/>
          <w:lang w:eastAsia="pt-BR"/>
        </w:rPr>
      </w:pPr>
    </w:p>
    <w:p w14:paraId="6CB119E4" w14:textId="77777777" w:rsidR="009909C9" w:rsidRPr="00020539" w:rsidRDefault="009909C9" w:rsidP="009909C9">
      <w:pPr>
        <w:spacing w:after="0" w:line="240" w:lineRule="auto"/>
        <w:ind w:right="600"/>
        <w:rPr>
          <w:rFonts w:ascii="Arial" w:eastAsia="Calibri" w:hAnsi="Arial" w:cs="Arial"/>
          <w:sz w:val="20"/>
          <w:szCs w:val="20"/>
          <w:lang w:eastAsia="pt-BR"/>
        </w:rPr>
      </w:pPr>
    </w:p>
    <w:tbl>
      <w:tblPr>
        <w:tblW w:w="9366" w:type="dxa"/>
        <w:tblInd w:w="60" w:type="dxa"/>
        <w:tblLayout w:type="fixed"/>
        <w:tblCellMar>
          <w:left w:w="70" w:type="dxa"/>
          <w:right w:w="70" w:type="dxa"/>
        </w:tblCellMar>
        <w:tblLook w:val="04A0" w:firstRow="1" w:lastRow="0" w:firstColumn="1" w:lastColumn="0" w:noHBand="0" w:noVBand="1"/>
      </w:tblPr>
      <w:tblGrid>
        <w:gridCol w:w="3272"/>
        <w:gridCol w:w="1276"/>
        <w:gridCol w:w="1276"/>
        <w:gridCol w:w="3542"/>
      </w:tblGrid>
      <w:tr w:rsidR="00DC0862" w:rsidRPr="00020539" w14:paraId="28A877FB" w14:textId="77777777" w:rsidTr="008B12A6">
        <w:trPr>
          <w:trHeight w:val="315"/>
        </w:trPr>
        <w:tc>
          <w:tcPr>
            <w:tcW w:w="3272" w:type="dxa"/>
            <w:tcBorders>
              <w:top w:val="single" w:sz="8" w:space="0" w:color="auto"/>
              <w:left w:val="single" w:sz="8" w:space="0" w:color="auto"/>
              <w:bottom w:val="single" w:sz="8" w:space="0" w:color="auto"/>
              <w:right w:val="single" w:sz="8" w:space="0" w:color="auto"/>
            </w:tcBorders>
            <w:shd w:val="clear" w:color="000000" w:fill="C0C0C0"/>
            <w:vAlign w:val="center"/>
            <w:hideMark/>
          </w:tcPr>
          <w:p w14:paraId="613B419A" w14:textId="77777777" w:rsidR="009909C9" w:rsidRPr="00020539" w:rsidRDefault="009909C9" w:rsidP="008B12A6">
            <w:pPr>
              <w:spacing w:after="160" w:line="240" w:lineRule="auto"/>
              <w:jc w:val="center"/>
              <w:rPr>
                <w:rFonts w:ascii="Arial" w:eastAsia="Times New Roman" w:hAnsi="Arial" w:cs="Arial"/>
                <w:b/>
                <w:bCs/>
                <w:sz w:val="20"/>
                <w:szCs w:val="20"/>
                <w:lang w:eastAsia="pt-BR"/>
              </w:rPr>
            </w:pPr>
            <w:r w:rsidRPr="00020539">
              <w:rPr>
                <w:rFonts w:ascii="Arial" w:eastAsia="Times New Roman" w:hAnsi="Arial" w:cs="Arial"/>
                <w:b/>
                <w:bCs/>
                <w:sz w:val="20"/>
                <w:szCs w:val="20"/>
                <w:lang w:eastAsia="pt-BR"/>
              </w:rPr>
              <w:t>Campo</w:t>
            </w:r>
          </w:p>
        </w:tc>
        <w:tc>
          <w:tcPr>
            <w:tcW w:w="1276" w:type="dxa"/>
            <w:tcBorders>
              <w:top w:val="single" w:sz="8" w:space="0" w:color="auto"/>
              <w:left w:val="nil"/>
              <w:bottom w:val="single" w:sz="8" w:space="0" w:color="auto"/>
              <w:right w:val="single" w:sz="8" w:space="0" w:color="auto"/>
            </w:tcBorders>
            <w:shd w:val="clear" w:color="000000" w:fill="C0C0C0"/>
            <w:vAlign w:val="center"/>
            <w:hideMark/>
          </w:tcPr>
          <w:p w14:paraId="3950A1DD" w14:textId="77777777" w:rsidR="009909C9" w:rsidRPr="00020539" w:rsidRDefault="009909C9" w:rsidP="008B12A6">
            <w:pPr>
              <w:spacing w:after="160" w:line="240" w:lineRule="auto"/>
              <w:jc w:val="center"/>
              <w:rPr>
                <w:rFonts w:ascii="Arial" w:eastAsia="Times New Roman" w:hAnsi="Arial" w:cs="Arial"/>
                <w:b/>
                <w:bCs/>
                <w:sz w:val="20"/>
                <w:szCs w:val="20"/>
                <w:lang w:eastAsia="pt-BR"/>
              </w:rPr>
            </w:pPr>
            <w:r w:rsidRPr="00020539">
              <w:rPr>
                <w:rFonts w:ascii="Arial" w:eastAsia="Times New Roman" w:hAnsi="Arial" w:cs="Arial"/>
                <w:b/>
                <w:bCs/>
                <w:sz w:val="20"/>
                <w:szCs w:val="20"/>
                <w:lang w:eastAsia="pt-BR"/>
              </w:rPr>
              <w:t>Tipo</w:t>
            </w:r>
          </w:p>
        </w:tc>
        <w:tc>
          <w:tcPr>
            <w:tcW w:w="1276" w:type="dxa"/>
            <w:tcBorders>
              <w:top w:val="single" w:sz="8" w:space="0" w:color="auto"/>
              <w:left w:val="nil"/>
              <w:bottom w:val="single" w:sz="8" w:space="0" w:color="auto"/>
              <w:right w:val="single" w:sz="8" w:space="0" w:color="auto"/>
            </w:tcBorders>
            <w:shd w:val="clear" w:color="000000" w:fill="C0C0C0"/>
            <w:vAlign w:val="center"/>
            <w:hideMark/>
          </w:tcPr>
          <w:p w14:paraId="655E6ADB" w14:textId="77777777" w:rsidR="009909C9" w:rsidRPr="00020539" w:rsidRDefault="009909C9" w:rsidP="008B12A6">
            <w:pPr>
              <w:spacing w:after="160" w:line="240" w:lineRule="auto"/>
              <w:jc w:val="center"/>
              <w:rPr>
                <w:rFonts w:ascii="Arial" w:eastAsia="Times New Roman" w:hAnsi="Arial" w:cs="Arial"/>
                <w:b/>
                <w:bCs/>
                <w:sz w:val="20"/>
                <w:szCs w:val="20"/>
                <w:lang w:eastAsia="pt-BR"/>
              </w:rPr>
            </w:pPr>
            <w:r w:rsidRPr="00020539">
              <w:rPr>
                <w:rFonts w:ascii="Arial" w:eastAsia="Times New Roman" w:hAnsi="Arial" w:cs="Arial"/>
                <w:b/>
                <w:bCs/>
                <w:sz w:val="20"/>
                <w:szCs w:val="20"/>
                <w:lang w:eastAsia="pt-BR"/>
              </w:rPr>
              <w:t>Tamanho</w:t>
            </w:r>
          </w:p>
        </w:tc>
        <w:tc>
          <w:tcPr>
            <w:tcW w:w="3542" w:type="dxa"/>
            <w:tcBorders>
              <w:top w:val="single" w:sz="8" w:space="0" w:color="auto"/>
              <w:left w:val="nil"/>
              <w:bottom w:val="single" w:sz="8" w:space="0" w:color="auto"/>
              <w:right w:val="single" w:sz="8" w:space="0" w:color="auto"/>
            </w:tcBorders>
            <w:shd w:val="clear" w:color="000000" w:fill="C0C0C0"/>
            <w:vAlign w:val="center"/>
            <w:hideMark/>
          </w:tcPr>
          <w:p w14:paraId="72365003" w14:textId="77777777" w:rsidR="009909C9" w:rsidRPr="00020539" w:rsidRDefault="009909C9" w:rsidP="008B12A6">
            <w:pPr>
              <w:spacing w:after="160" w:line="240" w:lineRule="auto"/>
              <w:jc w:val="center"/>
              <w:rPr>
                <w:rFonts w:ascii="Arial" w:eastAsia="Times New Roman" w:hAnsi="Arial" w:cs="Arial"/>
                <w:b/>
                <w:bCs/>
                <w:sz w:val="20"/>
                <w:szCs w:val="20"/>
                <w:lang w:eastAsia="pt-BR"/>
              </w:rPr>
            </w:pPr>
            <w:r w:rsidRPr="00020539">
              <w:rPr>
                <w:rFonts w:ascii="Arial" w:eastAsia="Times New Roman" w:hAnsi="Arial" w:cs="Arial"/>
                <w:b/>
                <w:bCs/>
                <w:sz w:val="20"/>
                <w:szCs w:val="20"/>
                <w:lang w:eastAsia="pt-BR"/>
              </w:rPr>
              <w:t>Obrigatoriedade</w:t>
            </w:r>
          </w:p>
        </w:tc>
      </w:tr>
      <w:tr w:rsidR="00DC0862" w:rsidRPr="00020539" w14:paraId="0B7E8C46" w14:textId="77777777" w:rsidTr="008B12A6">
        <w:trPr>
          <w:trHeight w:val="315"/>
        </w:trPr>
        <w:tc>
          <w:tcPr>
            <w:tcW w:w="9366" w:type="dxa"/>
            <w:gridSpan w:val="4"/>
            <w:tcBorders>
              <w:top w:val="single" w:sz="8" w:space="0" w:color="auto"/>
              <w:left w:val="single" w:sz="8" w:space="0" w:color="auto"/>
              <w:bottom w:val="single" w:sz="8" w:space="0" w:color="auto"/>
              <w:right w:val="single" w:sz="8" w:space="0" w:color="000000"/>
            </w:tcBorders>
            <w:shd w:val="clear" w:color="000000" w:fill="BFBFBF"/>
            <w:vAlign w:val="center"/>
            <w:hideMark/>
          </w:tcPr>
          <w:p w14:paraId="620F9972" w14:textId="77777777" w:rsidR="009909C9" w:rsidRPr="00020539" w:rsidRDefault="009909C9" w:rsidP="008B12A6">
            <w:pPr>
              <w:spacing w:after="160" w:line="240" w:lineRule="auto"/>
              <w:jc w:val="center"/>
              <w:rPr>
                <w:rFonts w:ascii="Arial" w:eastAsia="Times New Roman" w:hAnsi="Arial" w:cs="Arial"/>
                <w:b/>
                <w:bCs/>
                <w:sz w:val="20"/>
                <w:szCs w:val="20"/>
                <w:lang w:eastAsia="pt-BR"/>
              </w:rPr>
            </w:pPr>
            <w:r w:rsidRPr="00020539">
              <w:rPr>
                <w:rFonts w:ascii="Arial" w:eastAsia="Times New Roman" w:hAnsi="Arial" w:cs="Arial"/>
                <w:b/>
                <w:bCs/>
                <w:sz w:val="20"/>
                <w:szCs w:val="20"/>
                <w:lang w:eastAsia="pt-BR"/>
              </w:rPr>
              <w:t>Estrutura ‘</w:t>
            </w:r>
            <w:r w:rsidR="00DC0862" w:rsidRPr="00020539">
              <w:rPr>
                <w:rFonts w:ascii="Arial" w:eastAsia="Times New Roman" w:hAnsi="Arial" w:cs="Arial"/>
                <w:b/>
                <w:sz w:val="20"/>
                <w:szCs w:val="20"/>
                <w:lang w:eastAsia="pt-BR"/>
              </w:rPr>
              <w:t>ParticipacaoPatrimonioLiquido’</w:t>
            </w:r>
          </w:p>
        </w:tc>
      </w:tr>
      <w:tr w:rsidR="00DC0862" w:rsidRPr="00020539" w14:paraId="1288182C" w14:textId="77777777" w:rsidTr="008B12A6">
        <w:trPr>
          <w:trHeight w:val="315"/>
        </w:trPr>
        <w:tc>
          <w:tcPr>
            <w:tcW w:w="3272" w:type="dxa"/>
            <w:tcBorders>
              <w:top w:val="nil"/>
              <w:left w:val="single" w:sz="8" w:space="0" w:color="auto"/>
              <w:bottom w:val="single" w:sz="8" w:space="0" w:color="auto"/>
              <w:right w:val="single" w:sz="8" w:space="0" w:color="auto"/>
            </w:tcBorders>
            <w:shd w:val="clear" w:color="auto" w:fill="auto"/>
            <w:vAlign w:val="center"/>
            <w:hideMark/>
          </w:tcPr>
          <w:p w14:paraId="10D81573" w14:textId="77777777" w:rsidR="009909C9" w:rsidRPr="00020539" w:rsidRDefault="009909C9" w:rsidP="008B12A6">
            <w:pPr>
              <w:spacing w:after="160" w:line="240" w:lineRule="auto"/>
              <w:rPr>
                <w:rFonts w:ascii="Arial" w:eastAsia="Times New Roman" w:hAnsi="Arial" w:cs="Arial"/>
                <w:sz w:val="20"/>
                <w:szCs w:val="20"/>
                <w:lang w:eastAsia="pt-BR"/>
              </w:rPr>
            </w:pPr>
            <w:r w:rsidRPr="00020539">
              <w:rPr>
                <w:rFonts w:ascii="Arial" w:eastAsia="Times New Roman" w:hAnsi="Arial" w:cs="Arial"/>
                <w:sz w:val="20"/>
                <w:szCs w:val="20"/>
                <w:lang w:eastAsia="pt-BR"/>
              </w:rPr>
              <w:t>Identificação do Número do Registro</w:t>
            </w:r>
          </w:p>
        </w:tc>
        <w:tc>
          <w:tcPr>
            <w:tcW w:w="1276" w:type="dxa"/>
            <w:tcBorders>
              <w:top w:val="nil"/>
              <w:left w:val="nil"/>
              <w:bottom w:val="single" w:sz="8" w:space="0" w:color="auto"/>
              <w:right w:val="single" w:sz="8" w:space="0" w:color="auto"/>
            </w:tcBorders>
            <w:shd w:val="clear" w:color="auto" w:fill="auto"/>
            <w:vAlign w:val="center"/>
            <w:hideMark/>
          </w:tcPr>
          <w:p w14:paraId="4CBBA336" w14:textId="77777777" w:rsidR="009909C9" w:rsidRPr="00020539" w:rsidRDefault="009909C9" w:rsidP="008B12A6">
            <w:pPr>
              <w:spacing w:after="160" w:line="240" w:lineRule="auto"/>
              <w:jc w:val="center"/>
              <w:rPr>
                <w:rFonts w:ascii="Arial" w:eastAsia="Times New Roman" w:hAnsi="Arial" w:cs="Arial"/>
                <w:sz w:val="20"/>
                <w:szCs w:val="20"/>
                <w:lang w:eastAsia="pt-BR"/>
              </w:rPr>
            </w:pPr>
            <w:r w:rsidRPr="00020539">
              <w:rPr>
                <w:rFonts w:ascii="Arial" w:eastAsia="Times New Roman" w:hAnsi="Arial" w:cs="Arial"/>
                <w:sz w:val="20"/>
                <w:szCs w:val="20"/>
                <w:lang w:eastAsia="pt-BR"/>
              </w:rPr>
              <w:t>Inteiro</w:t>
            </w:r>
          </w:p>
        </w:tc>
        <w:tc>
          <w:tcPr>
            <w:tcW w:w="1276" w:type="dxa"/>
            <w:tcBorders>
              <w:top w:val="nil"/>
              <w:left w:val="nil"/>
              <w:bottom w:val="single" w:sz="8" w:space="0" w:color="auto"/>
              <w:right w:val="single" w:sz="8" w:space="0" w:color="auto"/>
            </w:tcBorders>
            <w:shd w:val="clear" w:color="auto" w:fill="auto"/>
            <w:vAlign w:val="center"/>
            <w:hideMark/>
          </w:tcPr>
          <w:p w14:paraId="55711E91" w14:textId="77777777" w:rsidR="009909C9" w:rsidRPr="00020539" w:rsidRDefault="009909C9" w:rsidP="008B12A6">
            <w:pPr>
              <w:spacing w:after="160" w:line="240" w:lineRule="auto"/>
              <w:jc w:val="center"/>
              <w:rPr>
                <w:rFonts w:ascii="Arial" w:eastAsia="Times New Roman" w:hAnsi="Arial" w:cs="Arial"/>
                <w:sz w:val="20"/>
                <w:szCs w:val="20"/>
                <w:lang w:eastAsia="pt-BR"/>
              </w:rPr>
            </w:pPr>
            <w:r w:rsidRPr="00020539">
              <w:rPr>
                <w:rFonts w:ascii="Arial" w:eastAsia="Times New Roman" w:hAnsi="Arial" w:cs="Arial"/>
                <w:sz w:val="20"/>
                <w:szCs w:val="20"/>
                <w:lang w:eastAsia="pt-BR"/>
              </w:rPr>
              <w:t>5</w:t>
            </w:r>
          </w:p>
        </w:tc>
        <w:tc>
          <w:tcPr>
            <w:tcW w:w="3542" w:type="dxa"/>
            <w:tcBorders>
              <w:top w:val="nil"/>
              <w:left w:val="nil"/>
              <w:bottom w:val="single" w:sz="8" w:space="0" w:color="auto"/>
              <w:right w:val="single" w:sz="8" w:space="0" w:color="auto"/>
            </w:tcBorders>
            <w:shd w:val="clear" w:color="auto" w:fill="auto"/>
            <w:vAlign w:val="center"/>
            <w:hideMark/>
          </w:tcPr>
          <w:p w14:paraId="6FAE733F" w14:textId="77777777" w:rsidR="009909C9" w:rsidRPr="00020539" w:rsidRDefault="009909C9" w:rsidP="008B12A6">
            <w:pPr>
              <w:spacing w:after="160" w:line="240" w:lineRule="auto"/>
              <w:rPr>
                <w:rFonts w:ascii="Arial" w:eastAsia="Times New Roman" w:hAnsi="Arial" w:cs="Arial"/>
                <w:sz w:val="20"/>
                <w:szCs w:val="20"/>
                <w:lang w:eastAsia="pt-BR"/>
              </w:rPr>
            </w:pPr>
            <w:r w:rsidRPr="00020539">
              <w:rPr>
                <w:rFonts w:ascii="Arial" w:eastAsia="Times New Roman" w:hAnsi="Arial" w:cs="Arial"/>
                <w:sz w:val="20"/>
                <w:szCs w:val="20"/>
                <w:lang w:eastAsia="pt-BR"/>
              </w:rPr>
              <w:t>Obrigatório</w:t>
            </w:r>
          </w:p>
        </w:tc>
      </w:tr>
      <w:tr w:rsidR="00DC0862" w:rsidRPr="00020539" w14:paraId="35EADF35" w14:textId="77777777" w:rsidTr="008B12A6">
        <w:trPr>
          <w:trHeight w:val="315"/>
        </w:trPr>
        <w:tc>
          <w:tcPr>
            <w:tcW w:w="3272" w:type="dxa"/>
            <w:tcBorders>
              <w:top w:val="nil"/>
              <w:left w:val="single" w:sz="8" w:space="0" w:color="auto"/>
              <w:bottom w:val="single" w:sz="8" w:space="0" w:color="auto"/>
              <w:right w:val="single" w:sz="8" w:space="0" w:color="auto"/>
            </w:tcBorders>
            <w:shd w:val="clear" w:color="auto" w:fill="auto"/>
            <w:vAlign w:val="center"/>
            <w:hideMark/>
          </w:tcPr>
          <w:p w14:paraId="0A141333" w14:textId="77777777" w:rsidR="009909C9" w:rsidRPr="00020539" w:rsidRDefault="00DC0862" w:rsidP="00DC0862">
            <w:pPr>
              <w:spacing w:after="160" w:line="240" w:lineRule="auto"/>
              <w:rPr>
                <w:rFonts w:ascii="Arial" w:eastAsia="Times New Roman" w:hAnsi="Arial" w:cs="Arial"/>
                <w:sz w:val="20"/>
                <w:szCs w:val="20"/>
                <w:lang w:eastAsia="pt-BR"/>
              </w:rPr>
            </w:pPr>
            <w:r w:rsidRPr="00020539">
              <w:rPr>
                <w:rFonts w:ascii="Arial" w:eastAsia="Times New Roman" w:hAnsi="Arial" w:cs="Arial"/>
                <w:sz w:val="20"/>
                <w:szCs w:val="20"/>
                <w:lang w:eastAsia="pt-BR"/>
              </w:rPr>
              <w:t>Código Ente Consorciado</w:t>
            </w:r>
          </w:p>
        </w:tc>
        <w:tc>
          <w:tcPr>
            <w:tcW w:w="1276" w:type="dxa"/>
            <w:tcBorders>
              <w:top w:val="nil"/>
              <w:left w:val="nil"/>
              <w:bottom w:val="single" w:sz="8" w:space="0" w:color="auto"/>
              <w:right w:val="single" w:sz="8" w:space="0" w:color="auto"/>
            </w:tcBorders>
            <w:shd w:val="clear" w:color="auto" w:fill="auto"/>
            <w:vAlign w:val="center"/>
            <w:hideMark/>
          </w:tcPr>
          <w:p w14:paraId="3F313C62" w14:textId="77777777" w:rsidR="009909C9" w:rsidRPr="00020539" w:rsidRDefault="009909C9" w:rsidP="008B12A6">
            <w:pPr>
              <w:spacing w:after="160" w:line="240" w:lineRule="auto"/>
              <w:jc w:val="center"/>
              <w:rPr>
                <w:rFonts w:ascii="Arial" w:eastAsia="Times New Roman" w:hAnsi="Arial" w:cs="Arial"/>
                <w:sz w:val="20"/>
                <w:szCs w:val="20"/>
                <w:lang w:eastAsia="pt-BR"/>
              </w:rPr>
            </w:pPr>
            <w:r w:rsidRPr="00020539">
              <w:rPr>
                <w:rFonts w:ascii="Arial" w:eastAsia="Times New Roman" w:hAnsi="Arial" w:cs="Arial"/>
                <w:sz w:val="20"/>
                <w:szCs w:val="20"/>
                <w:lang w:eastAsia="pt-BR"/>
              </w:rPr>
              <w:t>Caracter</w:t>
            </w:r>
          </w:p>
        </w:tc>
        <w:tc>
          <w:tcPr>
            <w:tcW w:w="1276" w:type="dxa"/>
            <w:tcBorders>
              <w:top w:val="nil"/>
              <w:left w:val="nil"/>
              <w:bottom w:val="single" w:sz="8" w:space="0" w:color="auto"/>
              <w:right w:val="single" w:sz="8" w:space="0" w:color="auto"/>
            </w:tcBorders>
            <w:shd w:val="clear" w:color="auto" w:fill="auto"/>
            <w:vAlign w:val="center"/>
            <w:hideMark/>
          </w:tcPr>
          <w:p w14:paraId="5EE63F8F" w14:textId="77777777" w:rsidR="009909C9" w:rsidRPr="00020539" w:rsidRDefault="00DC0862" w:rsidP="008B12A6">
            <w:pPr>
              <w:spacing w:after="160" w:line="240" w:lineRule="auto"/>
              <w:jc w:val="center"/>
              <w:rPr>
                <w:rFonts w:ascii="Arial" w:eastAsia="Times New Roman" w:hAnsi="Arial" w:cs="Arial"/>
                <w:sz w:val="20"/>
                <w:szCs w:val="20"/>
                <w:lang w:eastAsia="pt-BR"/>
              </w:rPr>
            </w:pPr>
            <w:r w:rsidRPr="00020539">
              <w:rPr>
                <w:rFonts w:ascii="Arial" w:eastAsia="Times New Roman" w:hAnsi="Arial" w:cs="Arial"/>
                <w:sz w:val="20"/>
                <w:szCs w:val="20"/>
                <w:lang w:eastAsia="pt-BR"/>
              </w:rPr>
              <w:t>14</w:t>
            </w:r>
          </w:p>
        </w:tc>
        <w:tc>
          <w:tcPr>
            <w:tcW w:w="3542" w:type="dxa"/>
            <w:tcBorders>
              <w:top w:val="nil"/>
              <w:left w:val="nil"/>
              <w:bottom w:val="single" w:sz="8" w:space="0" w:color="auto"/>
              <w:right w:val="single" w:sz="8" w:space="0" w:color="auto"/>
            </w:tcBorders>
            <w:shd w:val="clear" w:color="auto" w:fill="auto"/>
            <w:vAlign w:val="center"/>
            <w:hideMark/>
          </w:tcPr>
          <w:p w14:paraId="4221477C" w14:textId="77777777" w:rsidR="00DC0862" w:rsidRPr="00020539" w:rsidRDefault="00DC0862" w:rsidP="00DC0862">
            <w:pPr>
              <w:spacing w:after="160" w:line="240" w:lineRule="auto"/>
              <w:rPr>
                <w:rFonts w:ascii="Arial" w:eastAsia="Times New Roman" w:hAnsi="Arial" w:cs="Arial"/>
                <w:sz w:val="20"/>
                <w:szCs w:val="20"/>
                <w:lang w:eastAsia="pt-BR"/>
              </w:rPr>
            </w:pPr>
            <w:r w:rsidRPr="00020539">
              <w:rPr>
                <w:rFonts w:ascii="Arial" w:eastAsia="Times New Roman" w:hAnsi="Arial" w:cs="Arial"/>
                <w:sz w:val="20"/>
                <w:szCs w:val="20"/>
                <w:lang w:eastAsia="pt-BR"/>
              </w:rPr>
              <w:t>Obrigatório</w:t>
            </w:r>
          </w:p>
          <w:p w14:paraId="11C04787" w14:textId="77777777" w:rsidR="00DC0862" w:rsidRPr="00020539" w:rsidRDefault="00DC0862" w:rsidP="00DC0862">
            <w:pPr>
              <w:spacing w:after="160" w:line="240" w:lineRule="auto"/>
              <w:rPr>
                <w:rFonts w:ascii="Arial" w:eastAsia="Times New Roman" w:hAnsi="Arial" w:cs="Arial"/>
                <w:sz w:val="20"/>
                <w:szCs w:val="20"/>
                <w:lang w:eastAsia="pt-BR"/>
              </w:rPr>
            </w:pPr>
            <w:r w:rsidRPr="00020539">
              <w:rPr>
                <w:rFonts w:ascii="Arial" w:eastAsia="Times New Roman" w:hAnsi="Arial" w:cs="Arial"/>
                <w:sz w:val="20"/>
                <w:szCs w:val="20"/>
                <w:lang w:eastAsia="pt-BR"/>
              </w:rPr>
              <w:t xml:space="preserve">  - Se Ente é Município Capixaba ou o do Espírito Santo: Informar Esfera Administrativa (3 dígitos)</w:t>
            </w:r>
          </w:p>
          <w:p w14:paraId="1884B39A" w14:textId="77777777" w:rsidR="009909C9" w:rsidRPr="00020539" w:rsidRDefault="00DC0862" w:rsidP="008B12A6">
            <w:pPr>
              <w:spacing w:after="160" w:line="240" w:lineRule="auto"/>
              <w:rPr>
                <w:rFonts w:ascii="Arial" w:eastAsia="Times New Roman" w:hAnsi="Arial" w:cs="Arial"/>
                <w:sz w:val="20"/>
                <w:szCs w:val="20"/>
                <w:lang w:eastAsia="pt-BR"/>
              </w:rPr>
            </w:pPr>
            <w:r w:rsidRPr="00020539">
              <w:rPr>
                <w:rFonts w:ascii="Arial" w:eastAsia="Times New Roman" w:hAnsi="Arial" w:cs="Arial"/>
                <w:sz w:val="20"/>
                <w:szCs w:val="20"/>
                <w:lang w:eastAsia="pt-BR"/>
              </w:rPr>
              <w:t xml:space="preserve">  - Se Município ou Estado fora do Espírito Santo: Informar CNPJ da Pessoa Jurídica de Direito Público Interno (14 dígitos)</w:t>
            </w:r>
          </w:p>
        </w:tc>
      </w:tr>
      <w:tr w:rsidR="00DC0862" w:rsidRPr="00020539" w14:paraId="4A36EA1B" w14:textId="77777777" w:rsidTr="008B12A6">
        <w:trPr>
          <w:trHeight w:val="315"/>
        </w:trPr>
        <w:tc>
          <w:tcPr>
            <w:tcW w:w="3272" w:type="dxa"/>
            <w:tcBorders>
              <w:top w:val="nil"/>
              <w:left w:val="single" w:sz="8" w:space="0" w:color="auto"/>
              <w:bottom w:val="single" w:sz="8" w:space="0" w:color="auto"/>
              <w:right w:val="single" w:sz="8" w:space="0" w:color="auto"/>
            </w:tcBorders>
            <w:shd w:val="clear" w:color="auto" w:fill="auto"/>
            <w:vAlign w:val="center"/>
            <w:hideMark/>
          </w:tcPr>
          <w:p w14:paraId="0E81B9F1" w14:textId="77777777" w:rsidR="009909C9" w:rsidRPr="00020539" w:rsidRDefault="00DC0862" w:rsidP="008B12A6">
            <w:pPr>
              <w:spacing w:after="160" w:line="240" w:lineRule="auto"/>
              <w:rPr>
                <w:rFonts w:ascii="Arial" w:eastAsia="Times New Roman" w:hAnsi="Arial" w:cs="Arial"/>
                <w:sz w:val="20"/>
                <w:szCs w:val="20"/>
                <w:lang w:eastAsia="pt-BR"/>
              </w:rPr>
            </w:pPr>
            <w:r w:rsidRPr="00020539">
              <w:rPr>
                <w:rFonts w:ascii="Arial" w:eastAsia="Times New Roman" w:hAnsi="Arial" w:cs="Arial"/>
                <w:sz w:val="20"/>
                <w:szCs w:val="20"/>
                <w:lang w:eastAsia="pt-BR"/>
              </w:rPr>
              <w:t>Quantidade de Cotas Acumuladas</w:t>
            </w:r>
          </w:p>
        </w:tc>
        <w:tc>
          <w:tcPr>
            <w:tcW w:w="1276" w:type="dxa"/>
            <w:tcBorders>
              <w:top w:val="nil"/>
              <w:left w:val="nil"/>
              <w:bottom w:val="single" w:sz="8" w:space="0" w:color="auto"/>
              <w:right w:val="single" w:sz="8" w:space="0" w:color="auto"/>
            </w:tcBorders>
            <w:shd w:val="clear" w:color="auto" w:fill="auto"/>
            <w:vAlign w:val="center"/>
            <w:hideMark/>
          </w:tcPr>
          <w:p w14:paraId="21C7032E" w14:textId="77777777" w:rsidR="009909C9" w:rsidRPr="00020539" w:rsidRDefault="009909C9" w:rsidP="008B12A6">
            <w:pPr>
              <w:spacing w:after="160" w:line="240" w:lineRule="auto"/>
              <w:jc w:val="center"/>
              <w:rPr>
                <w:rFonts w:ascii="Arial" w:eastAsia="Times New Roman" w:hAnsi="Arial" w:cs="Arial"/>
                <w:sz w:val="20"/>
                <w:szCs w:val="20"/>
                <w:lang w:eastAsia="pt-BR"/>
              </w:rPr>
            </w:pPr>
            <w:r w:rsidRPr="00020539">
              <w:rPr>
                <w:rFonts w:ascii="Arial" w:eastAsia="Times New Roman" w:hAnsi="Arial" w:cs="Arial"/>
                <w:sz w:val="20"/>
                <w:szCs w:val="20"/>
                <w:lang w:eastAsia="pt-BR"/>
              </w:rPr>
              <w:t>Decimal</w:t>
            </w:r>
          </w:p>
        </w:tc>
        <w:tc>
          <w:tcPr>
            <w:tcW w:w="1276" w:type="dxa"/>
            <w:tcBorders>
              <w:top w:val="nil"/>
              <w:left w:val="nil"/>
              <w:bottom w:val="single" w:sz="8" w:space="0" w:color="auto"/>
              <w:right w:val="single" w:sz="8" w:space="0" w:color="auto"/>
            </w:tcBorders>
            <w:shd w:val="clear" w:color="auto" w:fill="auto"/>
            <w:vAlign w:val="center"/>
            <w:hideMark/>
          </w:tcPr>
          <w:p w14:paraId="6AD1D120" w14:textId="77777777" w:rsidR="009909C9" w:rsidRPr="00020539" w:rsidRDefault="009909C9" w:rsidP="008B12A6">
            <w:pPr>
              <w:spacing w:after="160" w:line="240" w:lineRule="auto"/>
              <w:jc w:val="center"/>
              <w:rPr>
                <w:rFonts w:ascii="Arial" w:eastAsia="Times New Roman" w:hAnsi="Arial" w:cs="Arial"/>
                <w:sz w:val="20"/>
                <w:szCs w:val="20"/>
                <w:lang w:eastAsia="pt-BR"/>
              </w:rPr>
            </w:pPr>
            <w:r w:rsidRPr="00020539">
              <w:rPr>
                <w:rFonts w:ascii="Arial" w:eastAsia="Times New Roman" w:hAnsi="Arial" w:cs="Arial"/>
                <w:sz w:val="20"/>
                <w:szCs w:val="20"/>
                <w:lang w:eastAsia="pt-BR"/>
              </w:rPr>
              <w:t>14,2</w:t>
            </w:r>
          </w:p>
        </w:tc>
        <w:tc>
          <w:tcPr>
            <w:tcW w:w="3542" w:type="dxa"/>
            <w:tcBorders>
              <w:top w:val="nil"/>
              <w:left w:val="nil"/>
              <w:bottom w:val="single" w:sz="8" w:space="0" w:color="auto"/>
              <w:right w:val="single" w:sz="8" w:space="0" w:color="auto"/>
            </w:tcBorders>
            <w:shd w:val="clear" w:color="auto" w:fill="auto"/>
            <w:vAlign w:val="center"/>
            <w:hideMark/>
          </w:tcPr>
          <w:p w14:paraId="0E50BB87" w14:textId="77777777" w:rsidR="009909C9" w:rsidRPr="00020539" w:rsidRDefault="009909C9" w:rsidP="008B12A6">
            <w:pPr>
              <w:spacing w:after="160" w:line="240" w:lineRule="auto"/>
              <w:rPr>
                <w:rFonts w:ascii="Arial" w:eastAsia="Times New Roman" w:hAnsi="Arial" w:cs="Arial"/>
                <w:sz w:val="20"/>
                <w:szCs w:val="20"/>
                <w:lang w:eastAsia="pt-BR"/>
              </w:rPr>
            </w:pPr>
            <w:r w:rsidRPr="00020539">
              <w:rPr>
                <w:rFonts w:ascii="Arial" w:eastAsia="Times New Roman" w:hAnsi="Arial" w:cs="Arial"/>
                <w:sz w:val="20"/>
                <w:szCs w:val="20"/>
                <w:lang w:eastAsia="pt-BR"/>
              </w:rPr>
              <w:t>Obrigatório</w:t>
            </w:r>
          </w:p>
        </w:tc>
      </w:tr>
      <w:tr w:rsidR="00DC0862" w:rsidRPr="00020539" w14:paraId="35569D6B" w14:textId="77777777" w:rsidTr="008B12A6">
        <w:trPr>
          <w:trHeight w:val="315"/>
        </w:trPr>
        <w:tc>
          <w:tcPr>
            <w:tcW w:w="3272" w:type="dxa"/>
            <w:tcBorders>
              <w:top w:val="nil"/>
              <w:left w:val="single" w:sz="8" w:space="0" w:color="auto"/>
              <w:bottom w:val="single" w:sz="8" w:space="0" w:color="auto"/>
              <w:right w:val="single" w:sz="8" w:space="0" w:color="auto"/>
            </w:tcBorders>
            <w:shd w:val="clear" w:color="auto" w:fill="auto"/>
            <w:vAlign w:val="center"/>
            <w:hideMark/>
          </w:tcPr>
          <w:p w14:paraId="37BFF343" w14:textId="77777777" w:rsidR="009909C9" w:rsidRPr="00020539" w:rsidRDefault="00DC0862" w:rsidP="008B12A6">
            <w:pPr>
              <w:spacing w:after="160" w:line="240" w:lineRule="auto"/>
              <w:rPr>
                <w:rFonts w:ascii="Arial" w:eastAsia="Times New Roman" w:hAnsi="Arial" w:cs="Arial"/>
                <w:sz w:val="20"/>
                <w:szCs w:val="20"/>
                <w:lang w:eastAsia="pt-BR"/>
              </w:rPr>
            </w:pPr>
            <w:r w:rsidRPr="00020539">
              <w:rPr>
                <w:rFonts w:ascii="Arial" w:eastAsia="Times New Roman" w:hAnsi="Arial" w:cs="Arial"/>
                <w:sz w:val="20"/>
                <w:szCs w:val="20"/>
                <w:lang w:eastAsia="pt-BR"/>
              </w:rPr>
              <w:t>Participação no Patrimônio Líquido – Percentual</w:t>
            </w:r>
          </w:p>
        </w:tc>
        <w:tc>
          <w:tcPr>
            <w:tcW w:w="1276" w:type="dxa"/>
            <w:tcBorders>
              <w:top w:val="nil"/>
              <w:left w:val="nil"/>
              <w:bottom w:val="single" w:sz="8" w:space="0" w:color="auto"/>
              <w:right w:val="single" w:sz="8" w:space="0" w:color="auto"/>
            </w:tcBorders>
            <w:shd w:val="clear" w:color="auto" w:fill="auto"/>
            <w:vAlign w:val="center"/>
            <w:hideMark/>
          </w:tcPr>
          <w:p w14:paraId="59E428EE" w14:textId="77777777" w:rsidR="009909C9" w:rsidRPr="00020539" w:rsidRDefault="009909C9" w:rsidP="008B12A6">
            <w:pPr>
              <w:spacing w:after="160" w:line="240" w:lineRule="auto"/>
              <w:jc w:val="center"/>
              <w:rPr>
                <w:rFonts w:ascii="Arial" w:eastAsia="Times New Roman" w:hAnsi="Arial" w:cs="Arial"/>
                <w:sz w:val="20"/>
                <w:szCs w:val="20"/>
                <w:lang w:eastAsia="pt-BR"/>
              </w:rPr>
            </w:pPr>
            <w:r w:rsidRPr="00020539">
              <w:rPr>
                <w:rFonts w:ascii="Arial" w:eastAsia="Times New Roman" w:hAnsi="Arial" w:cs="Arial"/>
                <w:sz w:val="20"/>
                <w:szCs w:val="20"/>
                <w:lang w:eastAsia="pt-BR"/>
              </w:rPr>
              <w:t>Decimal</w:t>
            </w:r>
          </w:p>
        </w:tc>
        <w:tc>
          <w:tcPr>
            <w:tcW w:w="1276" w:type="dxa"/>
            <w:tcBorders>
              <w:top w:val="nil"/>
              <w:left w:val="nil"/>
              <w:bottom w:val="single" w:sz="8" w:space="0" w:color="auto"/>
              <w:right w:val="single" w:sz="8" w:space="0" w:color="auto"/>
            </w:tcBorders>
            <w:shd w:val="clear" w:color="auto" w:fill="auto"/>
            <w:vAlign w:val="center"/>
            <w:hideMark/>
          </w:tcPr>
          <w:p w14:paraId="21031944" w14:textId="77777777" w:rsidR="009909C9" w:rsidRPr="00020539" w:rsidRDefault="009909C9" w:rsidP="008B12A6">
            <w:pPr>
              <w:spacing w:after="160" w:line="240" w:lineRule="auto"/>
              <w:jc w:val="center"/>
              <w:rPr>
                <w:rFonts w:ascii="Arial" w:eastAsia="Times New Roman" w:hAnsi="Arial" w:cs="Arial"/>
                <w:sz w:val="20"/>
                <w:szCs w:val="20"/>
                <w:lang w:eastAsia="pt-BR"/>
              </w:rPr>
            </w:pPr>
            <w:r w:rsidRPr="00020539">
              <w:rPr>
                <w:rFonts w:ascii="Arial" w:eastAsia="Times New Roman" w:hAnsi="Arial" w:cs="Arial"/>
                <w:sz w:val="20"/>
                <w:szCs w:val="20"/>
                <w:lang w:eastAsia="pt-BR"/>
              </w:rPr>
              <w:t>14,2</w:t>
            </w:r>
          </w:p>
        </w:tc>
        <w:tc>
          <w:tcPr>
            <w:tcW w:w="3542" w:type="dxa"/>
            <w:tcBorders>
              <w:top w:val="nil"/>
              <w:left w:val="nil"/>
              <w:bottom w:val="single" w:sz="8" w:space="0" w:color="auto"/>
              <w:right w:val="single" w:sz="8" w:space="0" w:color="auto"/>
            </w:tcBorders>
            <w:shd w:val="clear" w:color="auto" w:fill="auto"/>
            <w:vAlign w:val="center"/>
            <w:hideMark/>
          </w:tcPr>
          <w:p w14:paraId="0EED0146" w14:textId="77777777" w:rsidR="009909C9" w:rsidRPr="00020539" w:rsidRDefault="009909C9" w:rsidP="008B12A6">
            <w:pPr>
              <w:spacing w:after="160" w:line="240" w:lineRule="auto"/>
              <w:rPr>
                <w:rFonts w:ascii="Arial" w:eastAsia="Times New Roman" w:hAnsi="Arial" w:cs="Arial"/>
                <w:sz w:val="20"/>
                <w:szCs w:val="20"/>
                <w:lang w:eastAsia="pt-BR"/>
              </w:rPr>
            </w:pPr>
            <w:r w:rsidRPr="00020539">
              <w:rPr>
                <w:rFonts w:ascii="Arial" w:eastAsia="Times New Roman" w:hAnsi="Arial" w:cs="Arial"/>
                <w:sz w:val="20"/>
                <w:szCs w:val="20"/>
                <w:lang w:eastAsia="pt-BR"/>
              </w:rPr>
              <w:t>Obrigatório</w:t>
            </w:r>
          </w:p>
        </w:tc>
      </w:tr>
      <w:tr w:rsidR="00DC0862" w:rsidRPr="00020539" w14:paraId="3513CE6C" w14:textId="77777777" w:rsidTr="008B12A6">
        <w:trPr>
          <w:trHeight w:val="315"/>
        </w:trPr>
        <w:tc>
          <w:tcPr>
            <w:tcW w:w="3272" w:type="dxa"/>
            <w:tcBorders>
              <w:top w:val="nil"/>
              <w:left w:val="single" w:sz="8" w:space="0" w:color="auto"/>
              <w:bottom w:val="single" w:sz="8" w:space="0" w:color="auto"/>
              <w:right w:val="single" w:sz="8" w:space="0" w:color="auto"/>
            </w:tcBorders>
            <w:shd w:val="clear" w:color="auto" w:fill="auto"/>
            <w:vAlign w:val="center"/>
            <w:hideMark/>
          </w:tcPr>
          <w:p w14:paraId="56E1D42E" w14:textId="77777777" w:rsidR="009909C9" w:rsidRPr="00020539" w:rsidRDefault="00DC0862" w:rsidP="008B12A6">
            <w:pPr>
              <w:spacing w:after="160" w:line="240" w:lineRule="auto"/>
              <w:rPr>
                <w:rFonts w:ascii="Arial" w:eastAsia="Times New Roman" w:hAnsi="Arial" w:cs="Arial"/>
                <w:sz w:val="20"/>
                <w:szCs w:val="20"/>
                <w:lang w:eastAsia="pt-BR"/>
              </w:rPr>
            </w:pPr>
            <w:r w:rsidRPr="00020539">
              <w:rPr>
                <w:rFonts w:ascii="Arial" w:eastAsia="Times New Roman" w:hAnsi="Arial" w:cs="Arial"/>
                <w:sz w:val="20"/>
                <w:szCs w:val="20"/>
                <w:lang w:eastAsia="pt-BR"/>
              </w:rPr>
              <w:t>Participação no Patrimônio Líquido – Valor em R$</w:t>
            </w:r>
          </w:p>
        </w:tc>
        <w:tc>
          <w:tcPr>
            <w:tcW w:w="1276" w:type="dxa"/>
            <w:tcBorders>
              <w:top w:val="nil"/>
              <w:left w:val="nil"/>
              <w:bottom w:val="single" w:sz="8" w:space="0" w:color="auto"/>
              <w:right w:val="single" w:sz="8" w:space="0" w:color="auto"/>
            </w:tcBorders>
            <w:shd w:val="clear" w:color="auto" w:fill="auto"/>
            <w:vAlign w:val="center"/>
            <w:hideMark/>
          </w:tcPr>
          <w:p w14:paraId="3095DF66" w14:textId="77777777" w:rsidR="009909C9" w:rsidRPr="00020539" w:rsidRDefault="009909C9" w:rsidP="008B12A6">
            <w:pPr>
              <w:spacing w:after="160" w:line="240" w:lineRule="auto"/>
              <w:jc w:val="center"/>
              <w:rPr>
                <w:rFonts w:ascii="Arial" w:eastAsia="Times New Roman" w:hAnsi="Arial" w:cs="Arial"/>
                <w:sz w:val="20"/>
                <w:szCs w:val="20"/>
                <w:lang w:eastAsia="pt-BR"/>
              </w:rPr>
            </w:pPr>
            <w:r w:rsidRPr="00020539">
              <w:rPr>
                <w:rFonts w:ascii="Arial" w:eastAsia="Times New Roman" w:hAnsi="Arial" w:cs="Arial"/>
                <w:sz w:val="20"/>
                <w:szCs w:val="20"/>
                <w:lang w:eastAsia="pt-BR"/>
              </w:rPr>
              <w:t>Decimal</w:t>
            </w:r>
          </w:p>
        </w:tc>
        <w:tc>
          <w:tcPr>
            <w:tcW w:w="1276" w:type="dxa"/>
            <w:tcBorders>
              <w:top w:val="nil"/>
              <w:left w:val="nil"/>
              <w:bottom w:val="single" w:sz="8" w:space="0" w:color="auto"/>
              <w:right w:val="single" w:sz="8" w:space="0" w:color="auto"/>
            </w:tcBorders>
            <w:shd w:val="clear" w:color="auto" w:fill="auto"/>
            <w:vAlign w:val="center"/>
            <w:hideMark/>
          </w:tcPr>
          <w:p w14:paraId="00A81B1C" w14:textId="77777777" w:rsidR="009909C9" w:rsidRPr="00020539" w:rsidRDefault="009909C9" w:rsidP="008B12A6">
            <w:pPr>
              <w:spacing w:after="160" w:line="240" w:lineRule="auto"/>
              <w:jc w:val="center"/>
              <w:rPr>
                <w:rFonts w:ascii="Arial" w:eastAsia="Times New Roman" w:hAnsi="Arial" w:cs="Arial"/>
                <w:sz w:val="20"/>
                <w:szCs w:val="20"/>
                <w:lang w:eastAsia="pt-BR"/>
              </w:rPr>
            </w:pPr>
            <w:r w:rsidRPr="00020539">
              <w:rPr>
                <w:rFonts w:ascii="Arial" w:eastAsia="Times New Roman" w:hAnsi="Arial" w:cs="Arial"/>
                <w:sz w:val="20"/>
                <w:szCs w:val="20"/>
                <w:lang w:eastAsia="pt-BR"/>
              </w:rPr>
              <w:t>14,2</w:t>
            </w:r>
          </w:p>
        </w:tc>
        <w:tc>
          <w:tcPr>
            <w:tcW w:w="3542" w:type="dxa"/>
            <w:tcBorders>
              <w:top w:val="nil"/>
              <w:left w:val="nil"/>
              <w:bottom w:val="single" w:sz="8" w:space="0" w:color="auto"/>
              <w:right w:val="single" w:sz="8" w:space="0" w:color="auto"/>
            </w:tcBorders>
            <w:shd w:val="clear" w:color="auto" w:fill="auto"/>
            <w:vAlign w:val="center"/>
            <w:hideMark/>
          </w:tcPr>
          <w:p w14:paraId="4C24A67C" w14:textId="77777777" w:rsidR="009909C9" w:rsidRPr="00020539" w:rsidRDefault="009909C9" w:rsidP="008B12A6">
            <w:pPr>
              <w:spacing w:after="160" w:line="240" w:lineRule="auto"/>
              <w:rPr>
                <w:rFonts w:ascii="Arial" w:eastAsia="Times New Roman" w:hAnsi="Arial" w:cs="Arial"/>
                <w:sz w:val="20"/>
                <w:szCs w:val="20"/>
                <w:lang w:eastAsia="pt-BR"/>
              </w:rPr>
            </w:pPr>
            <w:r w:rsidRPr="00020539">
              <w:rPr>
                <w:rFonts w:ascii="Arial" w:eastAsia="Times New Roman" w:hAnsi="Arial" w:cs="Arial"/>
                <w:sz w:val="20"/>
                <w:szCs w:val="20"/>
                <w:lang w:eastAsia="pt-BR"/>
              </w:rPr>
              <w:t>Obrigatório</w:t>
            </w:r>
          </w:p>
        </w:tc>
      </w:tr>
    </w:tbl>
    <w:p w14:paraId="7825A4BF" w14:textId="57741490" w:rsidR="00B27A96" w:rsidRDefault="00FD1551" w:rsidP="00B27A96">
      <w:pPr>
        <w:pStyle w:val="Ttulo3"/>
        <w:rPr>
          <w:rFonts w:eastAsia="Calibri"/>
          <w:bCs/>
          <w:lang w:val="pt-BR"/>
        </w:rPr>
      </w:pPr>
      <w:r w:rsidRPr="00FD1551">
        <w:rPr>
          <w:rFonts w:cs="Arial"/>
          <w:b/>
          <w:sz w:val="36"/>
          <w:u w:val="single"/>
        </w:rPr>
        <w:br w:type="page"/>
      </w:r>
      <w:bookmarkStart w:id="59" w:name="_Toc94806335"/>
      <w:r w:rsidR="00B27A96" w:rsidRPr="00B27A96">
        <w:rPr>
          <w:rFonts w:eastAsia="Calibri"/>
          <w:bCs/>
          <w:lang w:val="pt-BR"/>
        </w:rPr>
        <w:lastRenderedPageBreak/>
        <w:t>NOTAEXP.XML (ou NotaExplicativa.xml)</w:t>
      </w:r>
      <w:bookmarkEnd w:id="59"/>
    </w:p>
    <w:p w14:paraId="5053629F" w14:textId="77777777" w:rsidR="00B27A96" w:rsidRPr="00B27A96" w:rsidRDefault="00B27A96" w:rsidP="00B27A96">
      <w:pPr>
        <w:spacing w:line="360" w:lineRule="auto"/>
        <w:jc w:val="both"/>
        <w:rPr>
          <w:rFonts w:ascii="Arial" w:hAnsi="Arial" w:cs="Arial"/>
        </w:rPr>
      </w:pPr>
      <w:r w:rsidRPr="00B27A96">
        <w:rPr>
          <w:rFonts w:ascii="Arial" w:hAnsi="Arial" w:cs="Arial"/>
          <w:b/>
          <w:bCs/>
        </w:rPr>
        <w:t>Descrição: </w:t>
      </w:r>
      <w:r w:rsidRPr="00B27A96">
        <w:rPr>
          <w:rFonts w:ascii="Arial" w:hAnsi="Arial" w:cs="Arial"/>
        </w:rPr>
        <w:t>Este arquivo conterá os dados referentes às notas explicativas dos arquivos que compõem a Prestação de Contas Anual, sejam encaminhados na remessa de PCA ou gerados a partir das remessas de PCM.</w:t>
      </w:r>
    </w:p>
    <w:p w14:paraId="29C57BCC" w14:textId="77777777" w:rsidR="00B27A96" w:rsidRPr="00134142" w:rsidRDefault="00B27A96" w:rsidP="00B27A96">
      <w:pPr>
        <w:autoSpaceDE w:val="0"/>
        <w:autoSpaceDN w:val="0"/>
        <w:spacing w:after="0" w:line="240" w:lineRule="auto"/>
        <w:rPr>
          <w:rFonts w:ascii="Arial" w:hAnsi="Arial" w:cs="Arial"/>
          <w:sz w:val="20"/>
          <w:szCs w:val="20"/>
        </w:rPr>
      </w:pPr>
      <w:r w:rsidRPr="00134142">
        <w:rPr>
          <w:rFonts w:ascii="Arial" w:hAnsi="Arial" w:cs="Arial"/>
          <w:sz w:val="20"/>
          <w:szCs w:val="20"/>
          <w:lang w:eastAsia="pt-BR"/>
        </w:rPr>
        <w:t xml:space="preserve">&lt;?xml version="1.0" </w:t>
      </w:r>
      <w:r w:rsidRPr="00134142">
        <w:rPr>
          <w:rFonts w:ascii="Arial" w:hAnsi="Arial" w:cs="Arial"/>
          <w:sz w:val="20"/>
          <w:szCs w:val="20"/>
        </w:rPr>
        <w:t>encoding=“UTF-8”?&gt;</w:t>
      </w:r>
    </w:p>
    <w:p w14:paraId="182B0F30" w14:textId="3B4F67D5" w:rsidR="00B27A96" w:rsidRPr="00134142" w:rsidRDefault="00B27A96" w:rsidP="00B27A96">
      <w:pPr>
        <w:spacing w:after="0" w:line="240" w:lineRule="auto"/>
        <w:ind w:right="600"/>
        <w:rPr>
          <w:rFonts w:ascii="Arial" w:hAnsi="Arial" w:cs="Arial"/>
          <w:sz w:val="20"/>
          <w:szCs w:val="20"/>
          <w:lang w:eastAsia="pt-BR"/>
        </w:rPr>
      </w:pPr>
      <w:r w:rsidRPr="00134142">
        <w:rPr>
          <w:rFonts w:ascii="Arial" w:hAnsi="Arial" w:cs="Arial"/>
          <w:sz w:val="20"/>
          <w:szCs w:val="20"/>
          <w:lang w:eastAsia="pt-BR"/>
        </w:rPr>
        <w:t>&lt;</w:t>
      </w:r>
      <w:r w:rsidR="00F24C55" w:rsidRPr="00134142">
        <w:rPr>
          <w:rFonts w:ascii="Arial" w:hAnsi="Arial" w:cs="Arial"/>
          <w:sz w:val="20"/>
          <w:szCs w:val="20"/>
          <w:lang w:eastAsia="pt-BR"/>
        </w:rPr>
        <w:t>PrestacaoContasAnual</w:t>
      </w:r>
      <w:r w:rsidRPr="00134142">
        <w:rPr>
          <w:rFonts w:ascii="Arial" w:hAnsi="Arial" w:cs="Arial"/>
          <w:sz w:val="20"/>
          <w:szCs w:val="20"/>
          <w:lang w:eastAsia="pt-BR"/>
        </w:rPr>
        <w:t>&gt;</w:t>
      </w:r>
    </w:p>
    <w:p w14:paraId="46F26241" w14:textId="52164D72" w:rsidR="00B27A96" w:rsidRPr="00B27A96" w:rsidRDefault="00B27A96" w:rsidP="00B27A96">
      <w:pPr>
        <w:spacing w:after="0" w:line="240" w:lineRule="auto"/>
        <w:ind w:right="600" w:firstLine="708"/>
        <w:rPr>
          <w:rFonts w:ascii="Arial" w:hAnsi="Arial" w:cs="Arial"/>
          <w:sz w:val="20"/>
          <w:szCs w:val="20"/>
          <w:lang w:eastAsia="pt-BR"/>
        </w:rPr>
      </w:pPr>
      <w:r w:rsidRPr="00B27A96">
        <w:rPr>
          <w:rFonts w:ascii="Arial" w:hAnsi="Arial" w:cs="Arial"/>
          <w:sz w:val="20"/>
          <w:szCs w:val="20"/>
          <w:lang w:eastAsia="pt-BR"/>
        </w:rPr>
        <w:t>&lt;NotaExplicativa_Schema&gt;</w:t>
      </w:r>
    </w:p>
    <w:p w14:paraId="5BB02BD5" w14:textId="77777777" w:rsidR="00B27A96" w:rsidRPr="00B27A96" w:rsidRDefault="00B27A96" w:rsidP="00B27A96">
      <w:pPr>
        <w:spacing w:after="0" w:line="240" w:lineRule="auto"/>
        <w:ind w:right="600"/>
        <w:rPr>
          <w:rFonts w:ascii="Arial" w:hAnsi="Arial" w:cs="Arial"/>
          <w:sz w:val="20"/>
          <w:szCs w:val="20"/>
          <w:lang w:eastAsia="pt-BR"/>
        </w:rPr>
      </w:pPr>
      <w:r w:rsidRPr="00B27A96">
        <w:rPr>
          <w:rFonts w:ascii="Arial" w:hAnsi="Arial" w:cs="Arial"/>
          <w:sz w:val="20"/>
          <w:szCs w:val="20"/>
          <w:lang w:eastAsia="pt-BR"/>
        </w:rPr>
        <w:t xml:space="preserve">                        </w:t>
      </w:r>
    </w:p>
    <w:p w14:paraId="108E6A84" w14:textId="77777777" w:rsidR="00B27A96" w:rsidRPr="00B27A96" w:rsidRDefault="00B27A96" w:rsidP="00B27A96">
      <w:pPr>
        <w:spacing w:after="0" w:line="240" w:lineRule="auto"/>
        <w:ind w:left="708" w:right="600" w:firstLine="708"/>
        <w:rPr>
          <w:rFonts w:ascii="Arial" w:hAnsi="Arial" w:cs="Arial"/>
          <w:sz w:val="20"/>
          <w:szCs w:val="20"/>
          <w:lang w:eastAsia="pt-BR"/>
        </w:rPr>
      </w:pPr>
      <w:r w:rsidRPr="00B27A96">
        <w:rPr>
          <w:rFonts w:ascii="Arial" w:hAnsi="Arial" w:cs="Arial"/>
          <w:sz w:val="20"/>
          <w:szCs w:val="20"/>
          <w:lang w:eastAsia="pt-BR"/>
        </w:rPr>
        <w:t>&lt;NotaExplicativa&gt;</w:t>
      </w:r>
    </w:p>
    <w:p w14:paraId="4298FF27" w14:textId="77777777" w:rsidR="00B27A96" w:rsidRPr="00B27A96" w:rsidRDefault="00B27A96" w:rsidP="00B27A96">
      <w:pPr>
        <w:spacing w:after="0" w:line="240" w:lineRule="auto"/>
        <w:ind w:right="600"/>
        <w:rPr>
          <w:rFonts w:ascii="Arial" w:hAnsi="Arial" w:cs="Arial"/>
          <w:sz w:val="20"/>
          <w:szCs w:val="20"/>
          <w:lang w:eastAsia="pt-BR"/>
        </w:rPr>
      </w:pPr>
      <w:r w:rsidRPr="00B27A96">
        <w:rPr>
          <w:rFonts w:ascii="Arial" w:hAnsi="Arial" w:cs="Arial"/>
          <w:sz w:val="20"/>
          <w:szCs w:val="20"/>
          <w:lang w:eastAsia="pt-BR"/>
        </w:rPr>
        <w:t>                                    &lt;IdNumRegistro&gt;</w:t>
      </w:r>
      <w:r w:rsidRPr="00B27A96">
        <w:rPr>
          <w:rFonts w:ascii="Arial" w:hAnsi="Arial" w:cs="Arial"/>
          <w:b/>
          <w:bCs/>
          <w:sz w:val="20"/>
          <w:szCs w:val="20"/>
          <w:lang w:eastAsia="pt-BR"/>
        </w:rPr>
        <w:t>99999</w:t>
      </w:r>
      <w:r w:rsidRPr="00B27A96">
        <w:rPr>
          <w:rFonts w:ascii="Arial" w:hAnsi="Arial" w:cs="Arial"/>
          <w:sz w:val="20"/>
          <w:szCs w:val="20"/>
          <w:lang w:eastAsia="pt-BR"/>
        </w:rPr>
        <w:t>&lt;/IdNumRegistro&gt;</w:t>
      </w:r>
    </w:p>
    <w:p w14:paraId="028153AA" w14:textId="77777777" w:rsidR="00B27A96" w:rsidRPr="00B27A96" w:rsidRDefault="00B27A96" w:rsidP="00B27A96">
      <w:pPr>
        <w:spacing w:after="0" w:line="240" w:lineRule="auto"/>
        <w:ind w:right="600"/>
        <w:rPr>
          <w:rFonts w:ascii="Arial" w:hAnsi="Arial" w:cs="Arial"/>
          <w:sz w:val="20"/>
          <w:szCs w:val="20"/>
          <w:lang w:eastAsia="pt-BR"/>
        </w:rPr>
      </w:pPr>
      <w:r w:rsidRPr="00B27A96">
        <w:rPr>
          <w:rFonts w:ascii="Arial" w:hAnsi="Arial" w:cs="Arial"/>
          <w:sz w:val="20"/>
          <w:szCs w:val="20"/>
          <w:lang w:eastAsia="pt-BR"/>
        </w:rPr>
        <w:t>                                    &lt;CodigoArquivo&gt;</w:t>
      </w:r>
      <w:r w:rsidRPr="00B27A96">
        <w:rPr>
          <w:rFonts w:ascii="Arial" w:hAnsi="Arial" w:cs="Arial"/>
          <w:b/>
          <w:bCs/>
          <w:sz w:val="20"/>
          <w:szCs w:val="20"/>
          <w:lang w:eastAsia="pt-BR"/>
        </w:rPr>
        <w:t>XXXXXXXX</w:t>
      </w:r>
      <w:r w:rsidRPr="00B27A96">
        <w:rPr>
          <w:rFonts w:ascii="Arial" w:hAnsi="Arial" w:cs="Arial"/>
          <w:sz w:val="20"/>
          <w:szCs w:val="20"/>
          <w:lang w:eastAsia="pt-BR"/>
        </w:rPr>
        <w:t>&lt;/CodigoArquivo&gt;            </w:t>
      </w:r>
    </w:p>
    <w:p w14:paraId="367341BA" w14:textId="77777777" w:rsidR="00B27A96" w:rsidRPr="00B27A96" w:rsidRDefault="00B27A96" w:rsidP="00B27A96">
      <w:pPr>
        <w:spacing w:after="0" w:line="240" w:lineRule="auto"/>
        <w:ind w:left="1416" w:right="600" w:firstLine="708"/>
        <w:rPr>
          <w:rFonts w:ascii="Arial" w:hAnsi="Arial" w:cs="Arial"/>
          <w:sz w:val="20"/>
          <w:szCs w:val="20"/>
          <w:lang w:eastAsia="pt-BR"/>
        </w:rPr>
      </w:pPr>
      <w:r w:rsidRPr="00B27A96">
        <w:rPr>
          <w:rFonts w:ascii="Arial" w:hAnsi="Arial" w:cs="Arial"/>
          <w:sz w:val="20"/>
          <w:szCs w:val="20"/>
          <w:lang w:eastAsia="pt-BR"/>
        </w:rPr>
        <w:t>&lt;Identificacao&gt;</w:t>
      </w:r>
      <w:r w:rsidRPr="00B27A96">
        <w:rPr>
          <w:rFonts w:ascii="Arial" w:hAnsi="Arial" w:cs="Arial"/>
          <w:b/>
          <w:bCs/>
          <w:sz w:val="20"/>
          <w:szCs w:val="20"/>
          <w:lang w:eastAsia="pt-BR"/>
        </w:rPr>
        <w:t>99999</w:t>
      </w:r>
      <w:r w:rsidRPr="00B27A96">
        <w:rPr>
          <w:rFonts w:ascii="Arial" w:hAnsi="Arial" w:cs="Arial"/>
          <w:sz w:val="20"/>
          <w:szCs w:val="20"/>
          <w:lang w:eastAsia="pt-BR"/>
        </w:rPr>
        <w:t>&lt;/Identificacao&gt;</w:t>
      </w:r>
    </w:p>
    <w:p w14:paraId="7EAD5369" w14:textId="77777777" w:rsidR="00B27A96" w:rsidRPr="00B27A96" w:rsidRDefault="00B27A96" w:rsidP="00B27A96">
      <w:pPr>
        <w:spacing w:after="0" w:line="240" w:lineRule="auto"/>
        <w:ind w:left="1416" w:right="600" w:firstLine="708"/>
        <w:rPr>
          <w:rFonts w:ascii="Arial" w:hAnsi="Arial" w:cs="Arial"/>
          <w:sz w:val="20"/>
          <w:szCs w:val="20"/>
          <w:lang w:eastAsia="pt-BR"/>
        </w:rPr>
      </w:pPr>
      <w:r w:rsidRPr="00B27A96">
        <w:rPr>
          <w:rFonts w:ascii="Arial" w:hAnsi="Arial" w:cs="Arial"/>
          <w:sz w:val="20"/>
          <w:szCs w:val="20"/>
          <w:lang w:eastAsia="pt-BR"/>
        </w:rPr>
        <w:t>&lt;TextoExplicativo&gt;</w:t>
      </w:r>
      <w:r w:rsidRPr="00B27A96">
        <w:rPr>
          <w:rFonts w:ascii="Arial" w:hAnsi="Arial" w:cs="Arial"/>
          <w:b/>
          <w:bCs/>
          <w:sz w:val="20"/>
          <w:szCs w:val="20"/>
          <w:lang w:eastAsia="pt-BR"/>
        </w:rPr>
        <w:t>XXX...XXX</w:t>
      </w:r>
      <w:r w:rsidRPr="00B27A96">
        <w:rPr>
          <w:rFonts w:ascii="Arial" w:hAnsi="Arial" w:cs="Arial"/>
          <w:sz w:val="20"/>
          <w:szCs w:val="20"/>
          <w:lang w:eastAsia="pt-BR"/>
        </w:rPr>
        <w:t>&lt;/TextoExplicativo&gt;</w:t>
      </w:r>
    </w:p>
    <w:p w14:paraId="5A65E7FE" w14:textId="77777777" w:rsidR="00B27A96" w:rsidRPr="00B27A96" w:rsidRDefault="00B27A96" w:rsidP="00B27A96">
      <w:pPr>
        <w:spacing w:after="0" w:line="240" w:lineRule="auto"/>
        <w:ind w:right="600"/>
        <w:rPr>
          <w:rFonts w:ascii="Arial" w:hAnsi="Arial" w:cs="Arial"/>
          <w:sz w:val="20"/>
          <w:szCs w:val="20"/>
          <w:lang w:eastAsia="pt-BR"/>
        </w:rPr>
      </w:pPr>
      <w:r w:rsidRPr="00B27A96">
        <w:rPr>
          <w:rFonts w:ascii="Arial" w:hAnsi="Arial" w:cs="Arial"/>
          <w:sz w:val="20"/>
          <w:szCs w:val="20"/>
          <w:lang w:eastAsia="pt-BR"/>
        </w:rPr>
        <w:t>                        &lt;/NotaExplicativa&gt;</w:t>
      </w:r>
    </w:p>
    <w:p w14:paraId="1281D710" w14:textId="77777777" w:rsidR="00B27A96" w:rsidRPr="00B27A96" w:rsidRDefault="00B27A96" w:rsidP="00B27A96">
      <w:pPr>
        <w:spacing w:after="0" w:line="240" w:lineRule="auto"/>
        <w:ind w:right="600"/>
        <w:rPr>
          <w:rFonts w:ascii="Arial" w:hAnsi="Arial" w:cs="Arial"/>
          <w:sz w:val="20"/>
          <w:szCs w:val="20"/>
          <w:lang w:eastAsia="pt-BR"/>
        </w:rPr>
      </w:pPr>
    </w:p>
    <w:p w14:paraId="1A2447D9" w14:textId="77777777" w:rsidR="00B27A96" w:rsidRPr="00B27A96" w:rsidRDefault="00B27A96" w:rsidP="00B27A96">
      <w:pPr>
        <w:spacing w:after="0" w:line="240" w:lineRule="auto"/>
        <w:ind w:left="708" w:right="600" w:firstLine="708"/>
        <w:rPr>
          <w:rFonts w:ascii="Arial" w:hAnsi="Arial" w:cs="Arial"/>
          <w:sz w:val="20"/>
          <w:szCs w:val="20"/>
          <w:lang w:eastAsia="pt-BR"/>
        </w:rPr>
      </w:pPr>
      <w:r w:rsidRPr="00B27A96">
        <w:rPr>
          <w:rFonts w:ascii="Arial" w:hAnsi="Arial" w:cs="Arial"/>
          <w:sz w:val="20"/>
          <w:szCs w:val="20"/>
          <w:lang w:eastAsia="pt-BR"/>
        </w:rPr>
        <w:t>&lt;ArquivoNotaExplicativa&gt;</w:t>
      </w:r>
    </w:p>
    <w:p w14:paraId="7CE50ACC" w14:textId="77777777" w:rsidR="00B27A96" w:rsidRPr="00B27A96" w:rsidRDefault="00B27A96" w:rsidP="00B27A96">
      <w:pPr>
        <w:spacing w:after="0" w:line="240" w:lineRule="auto"/>
        <w:ind w:left="1416" w:right="600" w:firstLine="708"/>
        <w:rPr>
          <w:rFonts w:ascii="Arial" w:hAnsi="Arial" w:cs="Arial"/>
          <w:sz w:val="20"/>
          <w:szCs w:val="20"/>
          <w:lang w:eastAsia="pt-BR"/>
        </w:rPr>
      </w:pPr>
      <w:r w:rsidRPr="00B27A96">
        <w:rPr>
          <w:rFonts w:ascii="Arial" w:hAnsi="Arial" w:cs="Arial"/>
          <w:sz w:val="20"/>
          <w:szCs w:val="20"/>
          <w:lang w:eastAsia="pt-BR"/>
        </w:rPr>
        <w:t>&lt;IdNumRegistro&gt;</w:t>
      </w:r>
      <w:r w:rsidRPr="00B27A96">
        <w:rPr>
          <w:rFonts w:ascii="Arial" w:hAnsi="Arial" w:cs="Arial"/>
          <w:b/>
          <w:bCs/>
          <w:sz w:val="20"/>
          <w:szCs w:val="20"/>
          <w:lang w:eastAsia="pt-BR"/>
        </w:rPr>
        <w:t>99999</w:t>
      </w:r>
      <w:r w:rsidRPr="00B27A96">
        <w:rPr>
          <w:rFonts w:ascii="Arial" w:hAnsi="Arial" w:cs="Arial"/>
          <w:sz w:val="20"/>
          <w:szCs w:val="20"/>
          <w:lang w:eastAsia="pt-BR"/>
        </w:rPr>
        <w:t>&lt;/IdNumRegistro&gt;</w:t>
      </w:r>
    </w:p>
    <w:p w14:paraId="79DC326F" w14:textId="77777777" w:rsidR="00B27A96" w:rsidRPr="00B27A96" w:rsidRDefault="00B27A96" w:rsidP="00B27A96">
      <w:pPr>
        <w:spacing w:after="0" w:line="240" w:lineRule="auto"/>
        <w:ind w:left="1416" w:right="600" w:firstLine="708"/>
        <w:rPr>
          <w:rFonts w:ascii="Arial" w:hAnsi="Arial" w:cs="Arial"/>
          <w:sz w:val="20"/>
          <w:szCs w:val="20"/>
          <w:lang w:eastAsia="pt-BR"/>
        </w:rPr>
      </w:pPr>
      <w:r w:rsidRPr="00B27A96">
        <w:rPr>
          <w:rFonts w:ascii="Arial" w:hAnsi="Arial" w:cs="Arial"/>
          <w:sz w:val="20"/>
          <w:szCs w:val="20"/>
          <w:lang w:eastAsia="pt-BR"/>
        </w:rPr>
        <w:t>&lt;IdentificacaoNotaExplicativa&gt;</w:t>
      </w:r>
      <w:r w:rsidRPr="00B27A96">
        <w:rPr>
          <w:rFonts w:ascii="Arial" w:hAnsi="Arial" w:cs="Arial"/>
          <w:b/>
          <w:bCs/>
          <w:sz w:val="20"/>
          <w:szCs w:val="20"/>
          <w:lang w:eastAsia="pt-BR"/>
        </w:rPr>
        <w:t>99999</w:t>
      </w:r>
      <w:r w:rsidRPr="00B27A96">
        <w:rPr>
          <w:rFonts w:ascii="Arial" w:hAnsi="Arial" w:cs="Arial"/>
          <w:sz w:val="20"/>
          <w:szCs w:val="20"/>
          <w:lang w:eastAsia="pt-BR"/>
        </w:rPr>
        <w:t>&lt;/IdentificacaoNotaExplicativa&gt;</w:t>
      </w:r>
    </w:p>
    <w:p w14:paraId="0F87D61F" w14:textId="77777777" w:rsidR="00B27A96" w:rsidRPr="00B27A96" w:rsidRDefault="00B27A96" w:rsidP="00B27A96">
      <w:pPr>
        <w:spacing w:after="0" w:line="240" w:lineRule="auto"/>
        <w:ind w:left="1416" w:right="600" w:firstLine="708"/>
        <w:rPr>
          <w:rFonts w:ascii="Arial" w:hAnsi="Arial" w:cs="Arial"/>
          <w:sz w:val="20"/>
          <w:szCs w:val="20"/>
          <w:lang w:eastAsia="pt-BR"/>
        </w:rPr>
      </w:pPr>
      <w:r w:rsidRPr="00B27A96">
        <w:rPr>
          <w:rFonts w:ascii="Arial" w:hAnsi="Arial" w:cs="Arial"/>
          <w:sz w:val="20"/>
          <w:szCs w:val="20"/>
          <w:lang w:eastAsia="pt-BR"/>
        </w:rPr>
        <w:t>&lt;NomeArquivo&gt;</w:t>
      </w:r>
      <w:r w:rsidRPr="00B27A96">
        <w:rPr>
          <w:rFonts w:ascii="Arial" w:hAnsi="Arial" w:cs="Arial"/>
          <w:b/>
          <w:bCs/>
          <w:sz w:val="20"/>
          <w:szCs w:val="20"/>
          <w:lang w:eastAsia="pt-BR"/>
        </w:rPr>
        <w:t>XXX...XXX</w:t>
      </w:r>
      <w:r w:rsidRPr="00B27A96">
        <w:rPr>
          <w:rFonts w:ascii="Arial" w:hAnsi="Arial" w:cs="Arial"/>
          <w:sz w:val="20"/>
          <w:szCs w:val="20"/>
          <w:lang w:eastAsia="pt-BR"/>
        </w:rPr>
        <w:t>&lt;/NomeArquivo&gt;</w:t>
      </w:r>
    </w:p>
    <w:p w14:paraId="692E183C" w14:textId="77777777" w:rsidR="00B27A96" w:rsidRPr="00B27A96" w:rsidRDefault="00B27A96" w:rsidP="00B27A96">
      <w:pPr>
        <w:spacing w:after="0" w:line="240" w:lineRule="auto"/>
        <w:ind w:right="600"/>
        <w:rPr>
          <w:rFonts w:ascii="Arial" w:hAnsi="Arial" w:cs="Arial"/>
          <w:sz w:val="20"/>
          <w:szCs w:val="20"/>
          <w:lang w:eastAsia="pt-BR"/>
        </w:rPr>
      </w:pPr>
      <w:r w:rsidRPr="00B27A96">
        <w:rPr>
          <w:rFonts w:ascii="Arial" w:hAnsi="Arial" w:cs="Arial"/>
          <w:sz w:val="20"/>
          <w:szCs w:val="20"/>
          <w:lang w:eastAsia="pt-BR"/>
        </w:rPr>
        <w:t>                      &lt;/ArquivoNotaExplicativa&gt;</w:t>
      </w:r>
    </w:p>
    <w:p w14:paraId="28649FBF" w14:textId="77777777" w:rsidR="00B27A96" w:rsidRPr="00B27A96" w:rsidRDefault="00B27A96" w:rsidP="00B27A96">
      <w:pPr>
        <w:spacing w:after="0" w:line="240" w:lineRule="auto"/>
        <w:ind w:right="600"/>
        <w:rPr>
          <w:rFonts w:ascii="Arial" w:hAnsi="Arial" w:cs="Arial"/>
          <w:sz w:val="20"/>
          <w:szCs w:val="20"/>
          <w:lang w:eastAsia="pt-BR"/>
        </w:rPr>
      </w:pPr>
    </w:p>
    <w:p w14:paraId="37513615" w14:textId="77777777" w:rsidR="00B27A96" w:rsidRPr="00B27A96" w:rsidRDefault="00B27A96" w:rsidP="00B27A96">
      <w:pPr>
        <w:spacing w:after="0" w:line="240" w:lineRule="auto"/>
        <w:ind w:right="600" w:firstLine="708"/>
        <w:rPr>
          <w:rFonts w:ascii="Arial" w:hAnsi="Arial" w:cs="Arial"/>
          <w:sz w:val="20"/>
          <w:szCs w:val="20"/>
          <w:lang w:eastAsia="pt-BR"/>
        </w:rPr>
      </w:pPr>
      <w:r w:rsidRPr="00B27A96">
        <w:rPr>
          <w:rFonts w:ascii="Arial" w:hAnsi="Arial" w:cs="Arial"/>
          <w:sz w:val="20"/>
          <w:szCs w:val="20"/>
          <w:lang w:eastAsia="pt-BR"/>
        </w:rPr>
        <w:t>&lt;/NotaExplicativa_Schema&gt;</w:t>
      </w:r>
    </w:p>
    <w:p w14:paraId="41949959" w14:textId="77777777" w:rsidR="00B27A96" w:rsidRPr="00B27A96" w:rsidRDefault="00B27A96" w:rsidP="00B27A96">
      <w:pPr>
        <w:spacing w:after="0" w:line="240" w:lineRule="auto"/>
        <w:rPr>
          <w:rFonts w:ascii="Arial" w:hAnsi="Arial" w:cs="Arial"/>
          <w:sz w:val="20"/>
          <w:szCs w:val="20"/>
          <w:lang w:eastAsia="pt-BR"/>
        </w:rPr>
      </w:pPr>
      <w:r w:rsidRPr="00B27A96">
        <w:rPr>
          <w:rFonts w:ascii="Arial" w:hAnsi="Arial" w:cs="Arial"/>
          <w:sz w:val="20"/>
          <w:szCs w:val="20"/>
          <w:lang w:eastAsia="pt-BR"/>
        </w:rPr>
        <w:t>&lt;/PrestacaoContasAnual&gt;</w:t>
      </w:r>
    </w:p>
    <w:p w14:paraId="7CCBBD60" w14:textId="77777777" w:rsidR="00B27A96" w:rsidRPr="00B27A96" w:rsidRDefault="00B27A96" w:rsidP="00B27A96">
      <w:pPr>
        <w:rPr>
          <w:rFonts w:ascii="Calibri" w:hAnsi="Calibri" w:cs="Calibri"/>
        </w:rPr>
      </w:pPr>
    </w:p>
    <w:tbl>
      <w:tblPr>
        <w:tblW w:w="9046" w:type="dxa"/>
        <w:jc w:val="center"/>
        <w:tblCellMar>
          <w:left w:w="0" w:type="dxa"/>
          <w:right w:w="0" w:type="dxa"/>
        </w:tblCellMar>
        <w:tblLook w:val="04A0" w:firstRow="1" w:lastRow="0" w:firstColumn="1" w:lastColumn="0" w:noHBand="0" w:noVBand="1"/>
      </w:tblPr>
      <w:tblGrid>
        <w:gridCol w:w="3390"/>
        <w:gridCol w:w="1133"/>
        <w:gridCol w:w="1507"/>
        <w:gridCol w:w="3016"/>
      </w:tblGrid>
      <w:tr w:rsidR="00B27A96" w:rsidRPr="00B27A96" w14:paraId="57C9009D" w14:textId="77777777" w:rsidTr="005C00E1">
        <w:trPr>
          <w:tblHeader/>
          <w:jc w:val="center"/>
        </w:trPr>
        <w:tc>
          <w:tcPr>
            <w:tcW w:w="3390" w:type="dxa"/>
            <w:tcBorders>
              <w:top w:val="single" w:sz="8" w:space="0" w:color="auto"/>
              <w:left w:val="single" w:sz="8" w:space="0" w:color="auto"/>
              <w:bottom w:val="single" w:sz="8" w:space="0" w:color="auto"/>
              <w:right w:val="single" w:sz="8" w:space="0" w:color="auto"/>
            </w:tcBorders>
            <w:shd w:val="clear" w:color="auto" w:fill="C0C0C0"/>
            <w:tcMar>
              <w:top w:w="0" w:type="dxa"/>
              <w:left w:w="70" w:type="dxa"/>
              <w:bottom w:w="0" w:type="dxa"/>
              <w:right w:w="70" w:type="dxa"/>
            </w:tcMar>
            <w:vAlign w:val="center"/>
            <w:hideMark/>
          </w:tcPr>
          <w:p w14:paraId="2F2D081C" w14:textId="77777777" w:rsidR="00B27A96" w:rsidRPr="00B27A96" w:rsidRDefault="00B27A96" w:rsidP="005C00E1">
            <w:pPr>
              <w:spacing w:after="120" w:line="240" w:lineRule="auto"/>
              <w:jc w:val="center"/>
              <w:rPr>
                <w:rFonts w:ascii="Arial" w:hAnsi="Arial" w:cs="Arial"/>
                <w:b/>
                <w:bCs/>
                <w:sz w:val="20"/>
                <w:szCs w:val="20"/>
              </w:rPr>
            </w:pPr>
            <w:r w:rsidRPr="00B27A96">
              <w:rPr>
                <w:rFonts w:ascii="Arial" w:eastAsia="Times New Roman" w:hAnsi="Arial" w:cs="Arial"/>
                <w:b/>
                <w:bCs/>
              </w:rPr>
              <w:br w:type="page"/>
            </w:r>
            <w:r w:rsidRPr="00B27A96">
              <w:rPr>
                <w:rFonts w:ascii="Arial" w:hAnsi="Arial" w:cs="Arial"/>
                <w:b/>
                <w:bCs/>
                <w:sz w:val="20"/>
                <w:szCs w:val="20"/>
              </w:rPr>
              <w:t>Campo</w:t>
            </w:r>
          </w:p>
        </w:tc>
        <w:tc>
          <w:tcPr>
            <w:tcW w:w="1133" w:type="dxa"/>
            <w:tcBorders>
              <w:top w:val="single" w:sz="8" w:space="0" w:color="auto"/>
              <w:left w:val="nil"/>
              <w:bottom w:val="single" w:sz="8" w:space="0" w:color="auto"/>
              <w:right w:val="single" w:sz="8" w:space="0" w:color="auto"/>
            </w:tcBorders>
            <w:shd w:val="clear" w:color="auto" w:fill="C0C0C0"/>
            <w:tcMar>
              <w:top w:w="0" w:type="dxa"/>
              <w:left w:w="70" w:type="dxa"/>
              <w:bottom w:w="0" w:type="dxa"/>
              <w:right w:w="70" w:type="dxa"/>
            </w:tcMar>
            <w:vAlign w:val="center"/>
            <w:hideMark/>
          </w:tcPr>
          <w:p w14:paraId="6D9CD3F0" w14:textId="77777777" w:rsidR="00B27A96" w:rsidRPr="00B27A96" w:rsidRDefault="00B27A96" w:rsidP="005C00E1">
            <w:pPr>
              <w:spacing w:after="120" w:line="240" w:lineRule="auto"/>
              <w:jc w:val="center"/>
              <w:rPr>
                <w:rFonts w:ascii="Arial" w:hAnsi="Arial" w:cs="Arial"/>
                <w:b/>
                <w:bCs/>
                <w:sz w:val="20"/>
                <w:szCs w:val="20"/>
              </w:rPr>
            </w:pPr>
            <w:r w:rsidRPr="00B27A96">
              <w:rPr>
                <w:rFonts w:ascii="Arial" w:hAnsi="Arial" w:cs="Arial"/>
                <w:b/>
                <w:bCs/>
                <w:sz w:val="20"/>
                <w:szCs w:val="20"/>
              </w:rPr>
              <w:t>Tipo</w:t>
            </w:r>
          </w:p>
        </w:tc>
        <w:tc>
          <w:tcPr>
            <w:tcW w:w="1507" w:type="dxa"/>
            <w:tcBorders>
              <w:top w:val="single" w:sz="8" w:space="0" w:color="auto"/>
              <w:left w:val="nil"/>
              <w:bottom w:val="single" w:sz="8" w:space="0" w:color="auto"/>
              <w:right w:val="single" w:sz="8" w:space="0" w:color="auto"/>
            </w:tcBorders>
            <w:shd w:val="clear" w:color="auto" w:fill="C0C0C0"/>
            <w:tcMar>
              <w:top w:w="0" w:type="dxa"/>
              <w:left w:w="70" w:type="dxa"/>
              <w:bottom w:w="0" w:type="dxa"/>
              <w:right w:w="70" w:type="dxa"/>
            </w:tcMar>
            <w:vAlign w:val="center"/>
            <w:hideMark/>
          </w:tcPr>
          <w:p w14:paraId="347BA01D" w14:textId="77777777" w:rsidR="00B27A96" w:rsidRPr="00B27A96" w:rsidRDefault="00B27A96" w:rsidP="005C00E1">
            <w:pPr>
              <w:spacing w:after="120" w:line="240" w:lineRule="auto"/>
              <w:jc w:val="center"/>
              <w:rPr>
                <w:rFonts w:ascii="Arial" w:hAnsi="Arial" w:cs="Arial"/>
                <w:b/>
                <w:bCs/>
                <w:sz w:val="20"/>
                <w:szCs w:val="20"/>
              </w:rPr>
            </w:pPr>
            <w:r w:rsidRPr="00B27A96">
              <w:rPr>
                <w:rFonts w:ascii="Arial" w:hAnsi="Arial" w:cs="Arial"/>
                <w:b/>
                <w:bCs/>
                <w:sz w:val="20"/>
                <w:szCs w:val="20"/>
              </w:rPr>
              <w:t>Tamanho</w:t>
            </w:r>
          </w:p>
        </w:tc>
        <w:tc>
          <w:tcPr>
            <w:tcW w:w="3016" w:type="dxa"/>
            <w:tcBorders>
              <w:top w:val="single" w:sz="8" w:space="0" w:color="auto"/>
              <w:left w:val="nil"/>
              <w:bottom w:val="single" w:sz="8" w:space="0" w:color="auto"/>
              <w:right w:val="single" w:sz="8" w:space="0" w:color="auto"/>
            </w:tcBorders>
            <w:shd w:val="clear" w:color="auto" w:fill="C0C0C0"/>
            <w:tcMar>
              <w:top w:w="0" w:type="dxa"/>
              <w:left w:w="70" w:type="dxa"/>
              <w:bottom w:w="0" w:type="dxa"/>
              <w:right w:w="70" w:type="dxa"/>
            </w:tcMar>
            <w:vAlign w:val="center"/>
            <w:hideMark/>
          </w:tcPr>
          <w:p w14:paraId="05BA512E" w14:textId="77777777" w:rsidR="00B27A96" w:rsidRPr="00B27A96" w:rsidRDefault="00B27A96" w:rsidP="005C00E1">
            <w:pPr>
              <w:spacing w:after="120" w:line="240" w:lineRule="auto"/>
              <w:jc w:val="center"/>
              <w:rPr>
                <w:rFonts w:ascii="Arial" w:hAnsi="Arial" w:cs="Arial"/>
                <w:b/>
                <w:bCs/>
                <w:sz w:val="20"/>
                <w:szCs w:val="20"/>
              </w:rPr>
            </w:pPr>
            <w:r w:rsidRPr="00B27A96">
              <w:rPr>
                <w:rFonts w:ascii="Arial" w:hAnsi="Arial" w:cs="Arial"/>
                <w:b/>
                <w:bCs/>
                <w:sz w:val="20"/>
                <w:szCs w:val="20"/>
              </w:rPr>
              <w:t>Obrigatoriedade</w:t>
            </w:r>
          </w:p>
        </w:tc>
      </w:tr>
      <w:tr w:rsidR="00B27A96" w:rsidRPr="00B27A96" w14:paraId="3386D43B" w14:textId="77777777" w:rsidTr="005C00E1">
        <w:trPr>
          <w:tblHeader/>
          <w:jc w:val="center"/>
        </w:trPr>
        <w:tc>
          <w:tcPr>
            <w:tcW w:w="9046" w:type="dxa"/>
            <w:gridSpan w:val="4"/>
            <w:tcBorders>
              <w:top w:val="nil"/>
              <w:left w:val="single" w:sz="8" w:space="0" w:color="auto"/>
              <w:bottom w:val="single" w:sz="8" w:space="0" w:color="auto"/>
              <w:right w:val="single" w:sz="8" w:space="0" w:color="auto"/>
            </w:tcBorders>
            <w:shd w:val="clear" w:color="auto" w:fill="C0C0C0"/>
            <w:tcMar>
              <w:top w:w="0" w:type="dxa"/>
              <w:left w:w="70" w:type="dxa"/>
              <w:bottom w:w="0" w:type="dxa"/>
              <w:right w:w="70" w:type="dxa"/>
            </w:tcMar>
            <w:vAlign w:val="center"/>
            <w:hideMark/>
          </w:tcPr>
          <w:p w14:paraId="55297BFF" w14:textId="77777777" w:rsidR="00B27A96" w:rsidRPr="00B27A96" w:rsidRDefault="00B27A96" w:rsidP="005C00E1">
            <w:pPr>
              <w:spacing w:after="120" w:line="240" w:lineRule="auto"/>
              <w:jc w:val="center"/>
              <w:rPr>
                <w:rFonts w:ascii="Arial" w:hAnsi="Arial" w:cs="Arial"/>
                <w:b/>
                <w:bCs/>
                <w:sz w:val="20"/>
                <w:szCs w:val="20"/>
              </w:rPr>
            </w:pPr>
            <w:r w:rsidRPr="00B27A96">
              <w:rPr>
                <w:rFonts w:ascii="Arial" w:hAnsi="Arial" w:cs="Arial"/>
                <w:b/>
                <w:bCs/>
                <w:sz w:val="20"/>
                <w:szCs w:val="20"/>
              </w:rPr>
              <w:t>Estrutura ‘NotaExplicativa’</w:t>
            </w:r>
          </w:p>
        </w:tc>
      </w:tr>
      <w:tr w:rsidR="00B27A96" w:rsidRPr="00B27A96" w14:paraId="7B4B3608" w14:textId="77777777" w:rsidTr="005C00E1">
        <w:trPr>
          <w:jc w:val="center"/>
        </w:trPr>
        <w:tc>
          <w:tcPr>
            <w:tcW w:w="339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688B92B" w14:textId="77777777" w:rsidR="00B27A96" w:rsidRPr="00B27A96" w:rsidRDefault="00B27A96" w:rsidP="005C00E1">
            <w:pPr>
              <w:spacing w:after="120" w:line="240" w:lineRule="auto"/>
              <w:jc w:val="center"/>
              <w:rPr>
                <w:rFonts w:ascii="Arial" w:hAnsi="Arial" w:cs="Arial"/>
                <w:sz w:val="20"/>
                <w:szCs w:val="20"/>
              </w:rPr>
            </w:pPr>
            <w:r w:rsidRPr="00B27A96">
              <w:rPr>
                <w:rFonts w:ascii="Arial" w:hAnsi="Arial" w:cs="Arial"/>
                <w:sz w:val="20"/>
                <w:szCs w:val="20"/>
              </w:rPr>
              <w:t>IdNumRegistro</w:t>
            </w:r>
          </w:p>
        </w:tc>
        <w:tc>
          <w:tcPr>
            <w:tcW w:w="1133"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6348960" w14:textId="77777777" w:rsidR="00B27A96" w:rsidRPr="00B27A96" w:rsidRDefault="00B27A96" w:rsidP="005C00E1">
            <w:pPr>
              <w:spacing w:after="120" w:line="240" w:lineRule="auto"/>
              <w:jc w:val="center"/>
              <w:rPr>
                <w:rFonts w:ascii="Arial" w:hAnsi="Arial" w:cs="Arial"/>
                <w:sz w:val="20"/>
                <w:szCs w:val="20"/>
              </w:rPr>
            </w:pPr>
            <w:r w:rsidRPr="00B27A96">
              <w:rPr>
                <w:rFonts w:ascii="Arial" w:hAnsi="Arial" w:cs="Arial"/>
                <w:sz w:val="20"/>
                <w:szCs w:val="20"/>
              </w:rPr>
              <w:t>Inteiro</w:t>
            </w:r>
          </w:p>
        </w:tc>
        <w:tc>
          <w:tcPr>
            <w:tcW w:w="1507"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8871126" w14:textId="77777777" w:rsidR="00B27A96" w:rsidRPr="00B27A96" w:rsidRDefault="00B27A96" w:rsidP="005C00E1">
            <w:pPr>
              <w:spacing w:after="120" w:line="240" w:lineRule="auto"/>
              <w:jc w:val="center"/>
              <w:rPr>
                <w:rFonts w:ascii="Arial" w:hAnsi="Arial" w:cs="Arial"/>
                <w:sz w:val="20"/>
                <w:szCs w:val="20"/>
              </w:rPr>
            </w:pPr>
            <w:r w:rsidRPr="00B27A96">
              <w:rPr>
                <w:rFonts w:ascii="Arial" w:hAnsi="Arial" w:cs="Arial"/>
                <w:sz w:val="20"/>
                <w:szCs w:val="20"/>
              </w:rPr>
              <w:t>05</w:t>
            </w:r>
          </w:p>
        </w:tc>
        <w:tc>
          <w:tcPr>
            <w:tcW w:w="301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0A9C083" w14:textId="77777777" w:rsidR="00B27A96" w:rsidRPr="00B27A96" w:rsidRDefault="00B27A96" w:rsidP="005C00E1">
            <w:pPr>
              <w:spacing w:after="120" w:line="240" w:lineRule="auto"/>
              <w:jc w:val="center"/>
              <w:rPr>
                <w:rFonts w:ascii="Arial" w:hAnsi="Arial" w:cs="Arial"/>
                <w:sz w:val="20"/>
                <w:szCs w:val="20"/>
              </w:rPr>
            </w:pPr>
            <w:r w:rsidRPr="00B27A96">
              <w:rPr>
                <w:rFonts w:ascii="Arial" w:hAnsi="Arial" w:cs="Arial"/>
                <w:sz w:val="20"/>
                <w:szCs w:val="20"/>
              </w:rPr>
              <w:t>Obrigatório</w:t>
            </w:r>
          </w:p>
        </w:tc>
      </w:tr>
      <w:tr w:rsidR="00B27A96" w:rsidRPr="00B27A96" w14:paraId="3E4090FC" w14:textId="77777777" w:rsidTr="005C00E1">
        <w:trPr>
          <w:jc w:val="center"/>
        </w:trPr>
        <w:tc>
          <w:tcPr>
            <w:tcW w:w="339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0F64C5F3" w14:textId="77777777" w:rsidR="00B27A96" w:rsidRPr="00B27A96" w:rsidRDefault="00B27A96" w:rsidP="005C00E1">
            <w:pPr>
              <w:spacing w:after="120" w:line="240" w:lineRule="auto"/>
              <w:jc w:val="center"/>
              <w:rPr>
                <w:rFonts w:ascii="Arial" w:hAnsi="Arial" w:cs="Arial"/>
                <w:sz w:val="20"/>
                <w:szCs w:val="20"/>
                <w:lang w:eastAsia="pt-BR"/>
              </w:rPr>
            </w:pPr>
            <w:r w:rsidRPr="00B27A96">
              <w:rPr>
                <w:rFonts w:ascii="Arial" w:hAnsi="Arial" w:cs="Arial"/>
                <w:sz w:val="20"/>
                <w:szCs w:val="20"/>
                <w:lang w:eastAsia="pt-BR"/>
              </w:rPr>
              <w:t>CodigoArquivo</w:t>
            </w:r>
          </w:p>
        </w:tc>
        <w:tc>
          <w:tcPr>
            <w:tcW w:w="1133"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80AA444" w14:textId="77777777" w:rsidR="00B27A96" w:rsidRPr="00B27A96" w:rsidRDefault="00B27A96" w:rsidP="005C00E1">
            <w:pPr>
              <w:spacing w:after="120" w:line="240" w:lineRule="auto"/>
              <w:jc w:val="center"/>
              <w:rPr>
                <w:rFonts w:ascii="Arial" w:hAnsi="Arial" w:cs="Arial"/>
                <w:sz w:val="20"/>
                <w:szCs w:val="20"/>
              </w:rPr>
            </w:pPr>
            <w:r w:rsidRPr="00B27A96">
              <w:rPr>
                <w:rFonts w:ascii="Arial" w:hAnsi="Arial" w:cs="Arial"/>
                <w:sz w:val="20"/>
                <w:szCs w:val="20"/>
              </w:rPr>
              <w:t>Caracter</w:t>
            </w:r>
          </w:p>
        </w:tc>
        <w:tc>
          <w:tcPr>
            <w:tcW w:w="1507"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B4C85E4" w14:textId="6BAD4B98" w:rsidR="00B27A96" w:rsidRPr="00B27A96" w:rsidRDefault="00134142" w:rsidP="005C00E1">
            <w:pPr>
              <w:spacing w:after="120" w:line="240" w:lineRule="auto"/>
              <w:jc w:val="center"/>
              <w:rPr>
                <w:rFonts w:ascii="Arial" w:hAnsi="Arial" w:cs="Arial"/>
                <w:sz w:val="20"/>
                <w:szCs w:val="20"/>
              </w:rPr>
            </w:pPr>
            <w:r>
              <w:rPr>
                <w:rFonts w:ascii="Arial" w:hAnsi="Arial" w:cs="Arial"/>
                <w:sz w:val="20"/>
                <w:szCs w:val="20"/>
              </w:rPr>
              <w:t>20</w:t>
            </w:r>
          </w:p>
        </w:tc>
        <w:tc>
          <w:tcPr>
            <w:tcW w:w="301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1B956B8" w14:textId="5D05C754" w:rsidR="00B27A96" w:rsidRPr="00B27A96" w:rsidRDefault="00B27A96" w:rsidP="005C00E1">
            <w:pPr>
              <w:spacing w:after="120" w:line="240" w:lineRule="auto"/>
              <w:jc w:val="center"/>
              <w:rPr>
                <w:rFonts w:ascii="Arial" w:hAnsi="Arial" w:cs="Arial"/>
                <w:sz w:val="20"/>
                <w:szCs w:val="20"/>
              </w:rPr>
            </w:pPr>
            <w:r w:rsidRPr="00B27A96">
              <w:rPr>
                <w:rFonts w:ascii="Arial" w:hAnsi="Arial" w:cs="Arial"/>
                <w:sz w:val="20"/>
                <w:szCs w:val="20"/>
              </w:rPr>
              <w:t>Obrigatório, o código deve pertencer ao rol de arquivos que compõem a PCA</w:t>
            </w:r>
            <w:r w:rsidR="00134142">
              <w:rPr>
                <w:rFonts w:ascii="Arial" w:hAnsi="Arial" w:cs="Arial"/>
                <w:sz w:val="20"/>
                <w:szCs w:val="20"/>
              </w:rPr>
              <w:t xml:space="preserve"> </w:t>
            </w:r>
            <w:r w:rsidR="00134142" w:rsidRPr="00134142">
              <w:rPr>
                <w:rFonts w:ascii="Arial" w:hAnsi="Arial" w:cs="Arial"/>
                <w:sz w:val="20"/>
                <w:szCs w:val="20"/>
                <w:vertAlign w:val="superscript"/>
              </w:rPr>
              <w:t>[4]</w:t>
            </w:r>
          </w:p>
        </w:tc>
      </w:tr>
      <w:tr w:rsidR="00B27A96" w:rsidRPr="00B27A96" w14:paraId="6205065B" w14:textId="77777777" w:rsidTr="005C00E1">
        <w:trPr>
          <w:jc w:val="center"/>
        </w:trPr>
        <w:tc>
          <w:tcPr>
            <w:tcW w:w="339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E06D99B" w14:textId="77777777" w:rsidR="00B27A96" w:rsidRPr="00B27A96" w:rsidRDefault="00B27A96" w:rsidP="005C00E1">
            <w:pPr>
              <w:spacing w:after="120" w:line="240" w:lineRule="auto"/>
              <w:jc w:val="center"/>
              <w:rPr>
                <w:rFonts w:ascii="Arial" w:hAnsi="Arial" w:cs="Arial"/>
                <w:sz w:val="20"/>
                <w:szCs w:val="20"/>
              </w:rPr>
            </w:pPr>
            <w:r w:rsidRPr="00B27A96">
              <w:rPr>
                <w:rFonts w:ascii="Arial" w:hAnsi="Arial" w:cs="Arial"/>
                <w:sz w:val="20"/>
                <w:szCs w:val="20"/>
                <w:lang w:eastAsia="pt-BR"/>
              </w:rPr>
              <w:t xml:space="preserve">Identificacao </w:t>
            </w:r>
            <w:r w:rsidRPr="00B27A96">
              <w:rPr>
                <w:rFonts w:ascii="Arial" w:hAnsi="Arial" w:cs="Arial"/>
                <w:b/>
                <w:bCs/>
                <w:sz w:val="20"/>
                <w:szCs w:val="20"/>
                <w:vertAlign w:val="superscript"/>
                <w:lang w:eastAsia="pt-BR"/>
              </w:rPr>
              <w:t>[1]</w:t>
            </w:r>
          </w:p>
        </w:tc>
        <w:tc>
          <w:tcPr>
            <w:tcW w:w="1133"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7D6F9C7" w14:textId="77777777" w:rsidR="00B27A96" w:rsidRPr="00B27A96" w:rsidRDefault="00B27A96" w:rsidP="005C00E1">
            <w:pPr>
              <w:spacing w:after="120" w:line="240" w:lineRule="auto"/>
              <w:jc w:val="center"/>
              <w:rPr>
                <w:rFonts w:ascii="Arial" w:hAnsi="Arial" w:cs="Arial"/>
                <w:sz w:val="20"/>
                <w:szCs w:val="20"/>
              </w:rPr>
            </w:pPr>
            <w:r w:rsidRPr="00B27A96">
              <w:rPr>
                <w:rFonts w:ascii="Arial" w:hAnsi="Arial" w:cs="Arial"/>
                <w:sz w:val="20"/>
                <w:szCs w:val="20"/>
              </w:rPr>
              <w:t>Inteiro</w:t>
            </w:r>
          </w:p>
        </w:tc>
        <w:tc>
          <w:tcPr>
            <w:tcW w:w="1507"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D394BC5" w14:textId="77777777" w:rsidR="00B27A96" w:rsidRPr="00B27A96" w:rsidRDefault="00B27A96" w:rsidP="005C00E1">
            <w:pPr>
              <w:spacing w:after="120" w:line="240" w:lineRule="auto"/>
              <w:jc w:val="center"/>
              <w:rPr>
                <w:rFonts w:ascii="Arial" w:hAnsi="Arial" w:cs="Arial"/>
                <w:sz w:val="20"/>
                <w:szCs w:val="20"/>
              </w:rPr>
            </w:pPr>
            <w:r w:rsidRPr="00B27A96">
              <w:rPr>
                <w:rFonts w:ascii="Arial" w:hAnsi="Arial" w:cs="Arial"/>
                <w:sz w:val="20"/>
                <w:szCs w:val="20"/>
              </w:rPr>
              <w:t>05</w:t>
            </w:r>
          </w:p>
        </w:tc>
        <w:tc>
          <w:tcPr>
            <w:tcW w:w="301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A1C7D6F" w14:textId="77777777" w:rsidR="00B27A96" w:rsidRPr="00B27A96" w:rsidRDefault="00B27A96" w:rsidP="005C00E1">
            <w:pPr>
              <w:spacing w:after="120" w:line="240" w:lineRule="auto"/>
              <w:jc w:val="center"/>
              <w:rPr>
                <w:rFonts w:ascii="Arial" w:hAnsi="Arial" w:cs="Arial"/>
                <w:sz w:val="20"/>
                <w:szCs w:val="20"/>
              </w:rPr>
            </w:pPr>
            <w:r w:rsidRPr="00B27A96">
              <w:rPr>
                <w:rFonts w:ascii="Arial" w:hAnsi="Arial" w:cs="Arial"/>
                <w:sz w:val="20"/>
                <w:szCs w:val="20"/>
              </w:rPr>
              <w:t>Obrigatório</w:t>
            </w:r>
          </w:p>
        </w:tc>
      </w:tr>
      <w:tr w:rsidR="00B27A96" w:rsidRPr="00B27A96" w14:paraId="69B0BC70" w14:textId="77777777" w:rsidTr="005C00E1">
        <w:trPr>
          <w:jc w:val="center"/>
        </w:trPr>
        <w:tc>
          <w:tcPr>
            <w:tcW w:w="339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5D1B4A3" w14:textId="77777777" w:rsidR="00B27A96" w:rsidRPr="00B27A96" w:rsidRDefault="00B27A96" w:rsidP="005C00E1">
            <w:pPr>
              <w:spacing w:after="120" w:line="240" w:lineRule="auto"/>
              <w:jc w:val="center"/>
              <w:rPr>
                <w:rFonts w:ascii="Arial" w:hAnsi="Arial" w:cs="Arial"/>
                <w:sz w:val="20"/>
                <w:szCs w:val="20"/>
              </w:rPr>
            </w:pPr>
            <w:r w:rsidRPr="00B27A96">
              <w:rPr>
                <w:rFonts w:ascii="Arial" w:hAnsi="Arial" w:cs="Arial"/>
                <w:sz w:val="20"/>
                <w:szCs w:val="20"/>
              </w:rPr>
              <w:t>TextoExplicativo</w:t>
            </w:r>
          </w:p>
        </w:tc>
        <w:tc>
          <w:tcPr>
            <w:tcW w:w="1133"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90BBA6B" w14:textId="77777777" w:rsidR="00B27A96" w:rsidRPr="00B27A96" w:rsidRDefault="00B27A96" w:rsidP="005C00E1">
            <w:pPr>
              <w:spacing w:after="120" w:line="240" w:lineRule="auto"/>
              <w:jc w:val="center"/>
              <w:rPr>
                <w:rFonts w:ascii="Arial" w:hAnsi="Arial" w:cs="Arial"/>
                <w:sz w:val="20"/>
                <w:szCs w:val="20"/>
              </w:rPr>
            </w:pPr>
            <w:r w:rsidRPr="00B27A96">
              <w:rPr>
                <w:rFonts w:ascii="Arial" w:hAnsi="Arial" w:cs="Arial"/>
                <w:sz w:val="20"/>
                <w:szCs w:val="20"/>
              </w:rPr>
              <w:t>Caracter</w:t>
            </w:r>
          </w:p>
        </w:tc>
        <w:tc>
          <w:tcPr>
            <w:tcW w:w="1507"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1FB4F40" w14:textId="77777777" w:rsidR="00B27A96" w:rsidRPr="00B27A96" w:rsidRDefault="00B27A96" w:rsidP="005C00E1">
            <w:pPr>
              <w:spacing w:after="120" w:line="240" w:lineRule="auto"/>
              <w:jc w:val="center"/>
              <w:rPr>
                <w:rFonts w:ascii="Arial" w:hAnsi="Arial" w:cs="Arial"/>
                <w:sz w:val="20"/>
                <w:szCs w:val="20"/>
              </w:rPr>
            </w:pPr>
            <w:r w:rsidRPr="00B27A96">
              <w:rPr>
                <w:rFonts w:ascii="Arial" w:hAnsi="Arial" w:cs="Arial"/>
                <w:sz w:val="20"/>
                <w:szCs w:val="20"/>
              </w:rPr>
              <w:t>5000</w:t>
            </w:r>
          </w:p>
        </w:tc>
        <w:tc>
          <w:tcPr>
            <w:tcW w:w="301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11BFC74" w14:textId="77777777" w:rsidR="00B27A96" w:rsidRPr="00B27A96" w:rsidRDefault="00B27A96" w:rsidP="005C00E1">
            <w:pPr>
              <w:spacing w:after="120" w:line="240" w:lineRule="auto"/>
              <w:jc w:val="center"/>
              <w:rPr>
                <w:rFonts w:ascii="Arial" w:hAnsi="Arial" w:cs="Arial"/>
                <w:sz w:val="20"/>
                <w:szCs w:val="20"/>
              </w:rPr>
            </w:pPr>
            <w:r w:rsidRPr="00B27A96">
              <w:rPr>
                <w:rFonts w:ascii="Arial" w:hAnsi="Arial" w:cs="Arial"/>
                <w:sz w:val="20"/>
                <w:szCs w:val="20"/>
              </w:rPr>
              <w:t>Obrigatório</w:t>
            </w:r>
          </w:p>
        </w:tc>
      </w:tr>
      <w:tr w:rsidR="00B27A96" w:rsidRPr="00B27A96" w14:paraId="1A2F2CCA" w14:textId="77777777" w:rsidTr="005C00E1">
        <w:trPr>
          <w:tblHeader/>
          <w:jc w:val="center"/>
        </w:trPr>
        <w:tc>
          <w:tcPr>
            <w:tcW w:w="9046" w:type="dxa"/>
            <w:gridSpan w:val="4"/>
            <w:tcBorders>
              <w:top w:val="nil"/>
              <w:left w:val="single" w:sz="8" w:space="0" w:color="auto"/>
              <w:bottom w:val="single" w:sz="8" w:space="0" w:color="auto"/>
              <w:right w:val="single" w:sz="8" w:space="0" w:color="auto"/>
            </w:tcBorders>
            <w:shd w:val="clear" w:color="auto" w:fill="C0C0C0"/>
            <w:tcMar>
              <w:top w:w="0" w:type="dxa"/>
              <w:left w:w="70" w:type="dxa"/>
              <w:bottom w:w="0" w:type="dxa"/>
              <w:right w:w="70" w:type="dxa"/>
            </w:tcMar>
            <w:vAlign w:val="center"/>
            <w:hideMark/>
          </w:tcPr>
          <w:p w14:paraId="3C3A0DC6" w14:textId="77777777" w:rsidR="00B27A96" w:rsidRPr="00B27A96" w:rsidRDefault="00B27A96" w:rsidP="005C00E1">
            <w:pPr>
              <w:spacing w:after="120" w:line="240" w:lineRule="auto"/>
              <w:jc w:val="center"/>
              <w:rPr>
                <w:rFonts w:ascii="Arial" w:hAnsi="Arial" w:cs="Arial"/>
                <w:b/>
                <w:bCs/>
                <w:sz w:val="20"/>
                <w:szCs w:val="20"/>
              </w:rPr>
            </w:pPr>
            <w:r w:rsidRPr="00B27A96">
              <w:rPr>
                <w:rFonts w:ascii="Arial" w:hAnsi="Arial" w:cs="Arial"/>
                <w:b/>
                <w:bCs/>
                <w:sz w:val="20"/>
                <w:szCs w:val="20"/>
              </w:rPr>
              <w:t xml:space="preserve">Estrutura ‘ArquivoNotaExplicativa’ </w:t>
            </w:r>
            <w:r w:rsidRPr="00B27A96">
              <w:rPr>
                <w:rFonts w:ascii="Arial" w:hAnsi="Arial" w:cs="Arial"/>
                <w:b/>
                <w:bCs/>
                <w:sz w:val="20"/>
                <w:szCs w:val="20"/>
                <w:vertAlign w:val="superscript"/>
                <w:lang w:eastAsia="pt-BR"/>
              </w:rPr>
              <w:t>[2]</w:t>
            </w:r>
          </w:p>
        </w:tc>
      </w:tr>
      <w:tr w:rsidR="00B27A96" w:rsidRPr="00B27A96" w14:paraId="1C3903D7" w14:textId="77777777" w:rsidTr="005C00E1">
        <w:trPr>
          <w:jc w:val="center"/>
        </w:trPr>
        <w:tc>
          <w:tcPr>
            <w:tcW w:w="339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ED5FC47" w14:textId="77777777" w:rsidR="00B27A96" w:rsidRPr="00B27A96" w:rsidRDefault="00B27A96" w:rsidP="005C00E1">
            <w:pPr>
              <w:spacing w:after="120" w:line="240" w:lineRule="auto"/>
              <w:jc w:val="center"/>
              <w:rPr>
                <w:rFonts w:ascii="Arial" w:hAnsi="Arial" w:cs="Arial"/>
                <w:sz w:val="20"/>
                <w:szCs w:val="20"/>
              </w:rPr>
            </w:pPr>
            <w:r w:rsidRPr="00B27A96">
              <w:rPr>
                <w:rFonts w:ascii="Arial" w:hAnsi="Arial" w:cs="Arial"/>
                <w:sz w:val="20"/>
                <w:szCs w:val="20"/>
              </w:rPr>
              <w:t>IdNumRegistro</w:t>
            </w:r>
          </w:p>
        </w:tc>
        <w:tc>
          <w:tcPr>
            <w:tcW w:w="1133"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23C00CB" w14:textId="77777777" w:rsidR="00B27A96" w:rsidRPr="00B27A96" w:rsidRDefault="00B27A96" w:rsidP="005C00E1">
            <w:pPr>
              <w:spacing w:after="120" w:line="240" w:lineRule="auto"/>
              <w:jc w:val="center"/>
              <w:rPr>
                <w:rFonts w:ascii="Arial" w:hAnsi="Arial" w:cs="Arial"/>
                <w:sz w:val="20"/>
                <w:szCs w:val="20"/>
              </w:rPr>
            </w:pPr>
            <w:r w:rsidRPr="00B27A96">
              <w:rPr>
                <w:rFonts w:ascii="Arial" w:hAnsi="Arial" w:cs="Arial"/>
                <w:sz w:val="20"/>
                <w:szCs w:val="20"/>
              </w:rPr>
              <w:t>Inteiro</w:t>
            </w:r>
          </w:p>
        </w:tc>
        <w:tc>
          <w:tcPr>
            <w:tcW w:w="1507"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2F72CC9" w14:textId="77777777" w:rsidR="00B27A96" w:rsidRPr="00B27A96" w:rsidRDefault="00B27A96" w:rsidP="005C00E1">
            <w:pPr>
              <w:spacing w:after="120" w:line="240" w:lineRule="auto"/>
              <w:jc w:val="center"/>
              <w:rPr>
                <w:rFonts w:ascii="Arial" w:hAnsi="Arial" w:cs="Arial"/>
                <w:sz w:val="20"/>
                <w:szCs w:val="20"/>
              </w:rPr>
            </w:pPr>
            <w:r w:rsidRPr="00B27A96">
              <w:rPr>
                <w:rFonts w:ascii="Arial" w:hAnsi="Arial" w:cs="Arial"/>
                <w:sz w:val="20"/>
                <w:szCs w:val="20"/>
              </w:rPr>
              <w:t>05</w:t>
            </w:r>
          </w:p>
        </w:tc>
        <w:tc>
          <w:tcPr>
            <w:tcW w:w="301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F7DE7F8" w14:textId="77777777" w:rsidR="00B27A96" w:rsidRPr="00B27A96" w:rsidRDefault="00B27A96" w:rsidP="005C00E1">
            <w:pPr>
              <w:spacing w:after="120" w:line="240" w:lineRule="auto"/>
              <w:jc w:val="center"/>
              <w:rPr>
                <w:rFonts w:ascii="Arial" w:hAnsi="Arial" w:cs="Arial"/>
                <w:sz w:val="20"/>
                <w:szCs w:val="20"/>
              </w:rPr>
            </w:pPr>
            <w:r w:rsidRPr="00B27A96">
              <w:rPr>
                <w:rFonts w:ascii="Arial" w:hAnsi="Arial" w:cs="Arial"/>
                <w:sz w:val="20"/>
                <w:szCs w:val="20"/>
              </w:rPr>
              <w:t>Não Obrigatório</w:t>
            </w:r>
          </w:p>
        </w:tc>
      </w:tr>
      <w:tr w:rsidR="00B27A96" w:rsidRPr="00B27A96" w14:paraId="57AF45E6" w14:textId="77777777" w:rsidTr="005C00E1">
        <w:trPr>
          <w:jc w:val="center"/>
        </w:trPr>
        <w:tc>
          <w:tcPr>
            <w:tcW w:w="339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2551490" w14:textId="77777777" w:rsidR="00B27A96" w:rsidRPr="00B27A96" w:rsidRDefault="00B27A96" w:rsidP="005C00E1">
            <w:pPr>
              <w:spacing w:after="120" w:line="240" w:lineRule="auto"/>
              <w:jc w:val="center"/>
              <w:rPr>
                <w:rFonts w:ascii="Arial" w:hAnsi="Arial" w:cs="Arial"/>
                <w:sz w:val="20"/>
                <w:szCs w:val="20"/>
              </w:rPr>
            </w:pPr>
            <w:r w:rsidRPr="00B27A96">
              <w:rPr>
                <w:rFonts w:ascii="Arial" w:hAnsi="Arial" w:cs="Arial"/>
                <w:sz w:val="20"/>
                <w:szCs w:val="20"/>
                <w:lang w:eastAsia="pt-BR"/>
              </w:rPr>
              <w:t xml:space="preserve">IdentificacaoNotaExplicativa </w:t>
            </w:r>
            <w:r w:rsidRPr="00B27A96">
              <w:rPr>
                <w:rFonts w:ascii="Arial" w:hAnsi="Arial" w:cs="Arial"/>
                <w:b/>
                <w:bCs/>
                <w:sz w:val="20"/>
                <w:szCs w:val="20"/>
                <w:vertAlign w:val="superscript"/>
                <w:lang w:eastAsia="pt-BR"/>
              </w:rPr>
              <w:t>[3]</w:t>
            </w:r>
          </w:p>
        </w:tc>
        <w:tc>
          <w:tcPr>
            <w:tcW w:w="1133"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502C0C4" w14:textId="77777777" w:rsidR="00B27A96" w:rsidRPr="00B27A96" w:rsidRDefault="00B27A96" w:rsidP="005C00E1">
            <w:pPr>
              <w:spacing w:after="120" w:line="240" w:lineRule="auto"/>
              <w:jc w:val="center"/>
              <w:rPr>
                <w:rFonts w:ascii="Arial" w:hAnsi="Arial" w:cs="Arial"/>
                <w:sz w:val="20"/>
                <w:szCs w:val="20"/>
              </w:rPr>
            </w:pPr>
            <w:r w:rsidRPr="00B27A96">
              <w:rPr>
                <w:rFonts w:ascii="Arial" w:hAnsi="Arial" w:cs="Arial"/>
                <w:sz w:val="20"/>
                <w:szCs w:val="20"/>
              </w:rPr>
              <w:t>Inteiro</w:t>
            </w:r>
          </w:p>
        </w:tc>
        <w:tc>
          <w:tcPr>
            <w:tcW w:w="1507"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5A9DA9E" w14:textId="77777777" w:rsidR="00B27A96" w:rsidRPr="00B27A96" w:rsidRDefault="00B27A96" w:rsidP="005C00E1">
            <w:pPr>
              <w:spacing w:after="120" w:line="240" w:lineRule="auto"/>
              <w:jc w:val="center"/>
              <w:rPr>
                <w:rFonts w:ascii="Arial" w:hAnsi="Arial" w:cs="Arial"/>
                <w:sz w:val="20"/>
                <w:szCs w:val="20"/>
              </w:rPr>
            </w:pPr>
            <w:r w:rsidRPr="00B27A96">
              <w:rPr>
                <w:rFonts w:ascii="Arial" w:hAnsi="Arial" w:cs="Arial"/>
                <w:sz w:val="20"/>
                <w:szCs w:val="20"/>
              </w:rPr>
              <w:t>05</w:t>
            </w:r>
          </w:p>
        </w:tc>
        <w:tc>
          <w:tcPr>
            <w:tcW w:w="301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034E12D" w14:textId="77777777" w:rsidR="00B27A96" w:rsidRPr="00B27A96" w:rsidRDefault="00B27A96" w:rsidP="005C00E1">
            <w:pPr>
              <w:spacing w:after="120" w:line="240" w:lineRule="auto"/>
              <w:jc w:val="center"/>
              <w:rPr>
                <w:rFonts w:ascii="Arial" w:hAnsi="Arial" w:cs="Arial"/>
                <w:sz w:val="20"/>
                <w:szCs w:val="20"/>
              </w:rPr>
            </w:pPr>
            <w:r w:rsidRPr="00B27A96">
              <w:rPr>
                <w:rFonts w:ascii="Arial" w:hAnsi="Arial" w:cs="Arial"/>
                <w:sz w:val="20"/>
                <w:szCs w:val="20"/>
              </w:rPr>
              <w:t>Não Obrigatório</w:t>
            </w:r>
          </w:p>
        </w:tc>
      </w:tr>
      <w:tr w:rsidR="00B27A96" w:rsidRPr="00B27A96" w14:paraId="20A62B6C" w14:textId="77777777" w:rsidTr="005C00E1">
        <w:trPr>
          <w:jc w:val="center"/>
        </w:trPr>
        <w:tc>
          <w:tcPr>
            <w:tcW w:w="339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A197E7D" w14:textId="77777777" w:rsidR="00B27A96" w:rsidRPr="00B27A96" w:rsidRDefault="00B27A96" w:rsidP="005C00E1">
            <w:pPr>
              <w:spacing w:after="120" w:line="240" w:lineRule="auto"/>
              <w:jc w:val="center"/>
              <w:rPr>
                <w:rFonts w:ascii="Arial" w:hAnsi="Arial" w:cs="Arial"/>
                <w:sz w:val="20"/>
                <w:szCs w:val="20"/>
              </w:rPr>
            </w:pPr>
            <w:r w:rsidRPr="00B27A96">
              <w:rPr>
                <w:rFonts w:ascii="Arial" w:hAnsi="Arial" w:cs="Arial"/>
                <w:sz w:val="20"/>
                <w:szCs w:val="20"/>
              </w:rPr>
              <w:t>NomeArquivo</w:t>
            </w:r>
          </w:p>
        </w:tc>
        <w:tc>
          <w:tcPr>
            <w:tcW w:w="1133"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F167DDE" w14:textId="77777777" w:rsidR="00B27A96" w:rsidRPr="00B27A96" w:rsidRDefault="00B27A96" w:rsidP="005C00E1">
            <w:pPr>
              <w:spacing w:after="120" w:line="240" w:lineRule="auto"/>
              <w:jc w:val="center"/>
              <w:rPr>
                <w:rFonts w:ascii="Arial" w:hAnsi="Arial" w:cs="Arial"/>
                <w:sz w:val="20"/>
                <w:szCs w:val="20"/>
              </w:rPr>
            </w:pPr>
            <w:r w:rsidRPr="00B27A96">
              <w:rPr>
                <w:rFonts w:ascii="Arial" w:hAnsi="Arial" w:cs="Arial"/>
                <w:sz w:val="20"/>
                <w:szCs w:val="20"/>
              </w:rPr>
              <w:t>Caracter</w:t>
            </w:r>
          </w:p>
        </w:tc>
        <w:tc>
          <w:tcPr>
            <w:tcW w:w="1507"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CE77C3F" w14:textId="77777777" w:rsidR="00B27A96" w:rsidRPr="00B27A96" w:rsidRDefault="00B27A96" w:rsidP="005C00E1">
            <w:pPr>
              <w:spacing w:after="120" w:line="240" w:lineRule="auto"/>
              <w:jc w:val="center"/>
              <w:rPr>
                <w:rFonts w:ascii="Arial" w:hAnsi="Arial" w:cs="Arial"/>
                <w:sz w:val="20"/>
                <w:szCs w:val="20"/>
              </w:rPr>
            </w:pPr>
            <w:r w:rsidRPr="00B27A96">
              <w:rPr>
                <w:rFonts w:ascii="Arial" w:hAnsi="Arial" w:cs="Arial"/>
                <w:sz w:val="20"/>
                <w:szCs w:val="20"/>
              </w:rPr>
              <w:t>30</w:t>
            </w:r>
          </w:p>
        </w:tc>
        <w:tc>
          <w:tcPr>
            <w:tcW w:w="301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7966B7B" w14:textId="77777777" w:rsidR="00B27A96" w:rsidRPr="00B27A96" w:rsidRDefault="00B27A96" w:rsidP="005C00E1">
            <w:pPr>
              <w:spacing w:after="120" w:line="240" w:lineRule="auto"/>
              <w:jc w:val="center"/>
              <w:rPr>
                <w:rFonts w:ascii="Arial" w:hAnsi="Arial" w:cs="Arial"/>
                <w:sz w:val="20"/>
                <w:szCs w:val="20"/>
              </w:rPr>
            </w:pPr>
            <w:r w:rsidRPr="00B27A96">
              <w:rPr>
                <w:rFonts w:ascii="Arial" w:hAnsi="Arial" w:cs="Arial"/>
                <w:sz w:val="20"/>
                <w:szCs w:val="20"/>
              </w:rPr>
              <w:t>Não Obrigatório</w:t>
            </w:r>
          </w:p>
        </w:tc>
      </w:tr>
    </w:tbl>
    <w:p w14:paraId="21DC8AA1" w14:textId="77777777" w:rsidR="00B27A96" w:rsidRPr="00B27A96" w:rsidRDefault="00B27A96" w:rsidP="00B27A96">
      <w:pPr>
        <w:ind w:left="2552"/>
        <w:rPr>
          <w:rFonts w:ascii="Arial" w:hAnsi="Arial" w:cs="Arial"/>
          <w:sz w:val="18"/>
          <w:szCs w:val="18"/>
          <w:lang w:eastAsia="pt-BR"/>
        </w:rPr>
      </w:pPr>
    </w:p>
    <w:p w14:paraId="24BF0567" w14:textId="77777777" w:rsidR="00B27A96" w:rsidRPr="00B27A96" w:rsidRDefault="00B27A96" w:rsidP="00B27A96">
      <w:pPr>
        <w:rPr>
          <w:rFonts w:ascii="Arial" w:hAnsi="Arial" w:cs="Arial"/>
          <w:sz w:val="18"/>
          <w:szCs w:val="18"/>
          <w:lang w:eastAsia="pt-BR"/>
        </w:rPr>
      </w:pPr>
      <w:r w:rsidRPr="00B27A96">
        <w:rPr>
          <w:rFonts w:ascii="Arial" w:hAnsi="Arial" w:cs="Arial"/>
          <w:sz w:val="18"/>
          <w:szCs w:val="18"/>
          <w:lang w:eastAsia="pt-BR"/>
        </w:rPr>
        <w:t>[1] A identificação da nota explicativa deve ser sequencial (Ex: 1, 2, 3, etc)</w:t>
      </w:r>
    </w:p>
    <w:p w14:paraId="4F3EFBC3" w14:textId="77777777" w:rsidR="00B27A96" w:rsidRPr="00B27A96" w:rsidRDefault="00B27A96" w:rsidP="00B27A96">
      <w:pPr>
        <w:rPr>
          <w:rFonts w:ascii="Arial" w:hAnsi="Arial" w:cs="Arial"/>
          <w:sz w:val="18"/>
          <w:szCs w:val="18"/>
          <w:lang w:eastAsia="pt-BR"/>
        </w:rPr>
      </w:pPr>
      <w:r w:rsidRPr="00B27A96">
        <w:rPr>
          <w:rFonts w:ascii="Arial" w:hAnsi="Arial" w:cs="Arial"/>
          <w:sz w:val="18"/>
          <w:szCs w:val="18"/>
          <w:lang w:eastAsia="pt-BR"/>
        </w:rPr>
        <w:t xml:space="preserve">[2] A estrutura </w:t>
      </w:r>
      <w:r w:rsidRPr="00B27A96">
        <w:rPr>
          <w:rFonts w:ascii="Arial" w:hAnsi="Arial" w:cs="Arial"/>
          <w:i/>
          <w:iCs/>
          <w:sz w:val="18"/>
          <w:szCs w:val="18"/>
          <w:lang w:eastAsia="pt-BR"/>
        </w:rPr>
        <w:t>‘ArquivoNotaExplicativa’</w:t>
      </w:r>
      <w:r w:rsidRPr="00B27A96">
        <w:rPr>
          <w:rFonts w:ascii="Arial" w:hAnsi="Arial" w:cs="Arial"/>
          <w:sz w:val="18"/>
          <w:szCs w:val="18"/>
          <w:lang w:eastAsia="pt-BR"/>
        </w:rPr>
        <w:t xml:space="preserve"> somente é enviada se há arquivos anexos para detalhar determinada nota explicativa. Neste caso, todos os campos da estrutura deverão ser preenchidos. Somente arquivos no formato PDF (com os requisitos estabelecidos neste Anexo) serão aceitos.</w:t>
      </w:r>
    </w:p>
    <w:p w14:paraId="3E4D3C49" w14:textId="77777777" w:rsidR="00B27A96" w:rsidRPr="00B27A96" w:rsidRDefault="00B27A96" w:rsidP="00B27A96">
      <w:pPr>
        <w:rPr>
          <w:rFonts w:ascii="Arial" w:hAnsi="Arial" w:cs="Arial"/>
          <w:sz w:val="18"/>
          <w:szCs w:val="18"/>
          <w:lang w:eastAsia="pt-BR"/>
        </w:rPr>
      </w:pPr>
      <w:r w:rsidRPr="00B27A96">
        <w:rPr>
          <w:rFonts w:ascii="Arial" w:hAnsi="Arial" w:cs="Arial"/>
          <w:sz w:val="18"/>
          <w:szCs w:val="18"/>
          <w:lang w:eastAsia="pt-BR"/>
        </w:rPr>
        <w:t xml:space="preserve">[3] O campo </w:t>
      </w:r>
      <w:r w:rsidRPr="00B27A96">
        <w:rPr>
          <w:rFonts w:ascii="Arial" w:hAnsi="Arial" w:cs="Arial"/>
          <w:i/>
          <w:iCs/>
          <w:sz w:val="18"/>
          <w:szCs w:val="18"/>
          <w:lang w:eastAsia="pt-BR"/>
        </w:rPr>
        <w:t>‘IdentificacaoNotaExplicativa’</w:t>
      </w:r>
      <w:r w:rsidRPr="00B27A96">
        <w:rPr>
          <w:rFonts w:ascii="Arial" w:hAnsi="Arial" w:cs="Arial"/>
          <w:sz w:val="18"/>
          <w:szCs w:val="18"/>
          <w:lang w:eastAsia="pt-BR"/>
        </w:rPr>
        <w:t xml:space="preserve"> deve conter o mesmo valor do campo </w:t>
      </w:r>
      <w:r w:rsidRPr="00B27A96">
        <w:rPr>
          <w:rFonts w:ascii="Arial" w:hAnsi="Arial" w:cs="Arial"/>
          <w:i/>
          <w:iCs/>
          <w:sz w:val="18"/>
          <w:szCs w:val="18"/>
          <w:lang w:eastAsia="pt-BR"/>
        </w:rPr>
        <w:t>‘Identificacao’</w:t>
      </w:r>
      <w:r w:rsidRPr="00B27A96">
        <w:rPr>
          <w:rFonts w:ascii="Arial" w:hAnsi="Arial" w:cs="Arial"/>
          <w:sz w:val="18"/>
          <w:szCs w:val="18"/>
          <w:lang w:eastAsia="pt-BR"/>
        </w:rPr>
        <w:t xml:space="preserve"> na estrutura </w:t>
      </w:r>
      <w:r w:rsidRPr="00B27A96">
        <w:rPr>
          <w:rFonts w:ascii="Arial" w:hAnsi="Arial" w:cs="Arial"/>
          <w:i/>
          <w:iCs/>
          <w:sz w:val="18"/>
          <w:szCs w:val="18"/>
          <w:lang w:eastAsia="pt-BR"/>
        </w:rPr>
        <w:t>‘NotaExplicativa’’.</w:t>
      </w:r>
    </w:p>
    <w:p w14:paraId="6211B475" w14:textId="77777777" w:rsidR="00134142" w:rsidRPr="00D42BFE" w:rsidRDefault="00134142" w:rsidP="00134142">
      <w:pPr>
        <w:rPr>
          <w:rFonts w:ascii="Arial" w:hAnsi="Arial" w:cs="Arial"/>
          <w:bCs/>
          <w:sz w:val="18"/>
          <w:szCs w:val="18"/>
        </w:rPr>
      </w:pPr>
      <w:r w:rsidRPr="00D42BFE">
        <w:rPr>
          <w:rFonts w:ascii="Arial" w:hAnsi="Arial" w:cs="Arial"/>
          <w:bCs/>
          <w:sz w:val="18"/>
          <w:szCs w:val="18"/>
        </w:rPr>
        <w:t xml:space="preserve">[4] Códigos </w:t>
      </w:r>
      <w:r>
        <w:rPr>
          <w:rFonts w:ascii="Arial" w:hAnsi="Arial" w:cs="Arial"/>
          <w:bCs/>
          <w:sz w:val="18"/>
          <w:szCs w:val="18"/>
        </w:rPr>
        <w:t>de arquivos gerados a partir da PCM</w:t>
      </w:r>
      <w:r w:rsidRPr="00D42BFE">
        <w:rPr>
          <w:rFonts w:ascii="Arial" w:hAnsi="Arial" w:cs="Arial"/>
          <w:bCs/>
          <w:sz w:val="18"/>
          <w:szCs w:val="18"/>
        </w:rPr>
        <w:t>:</w:t>
      </w:r>
    </w:p>
    <w:p w14:paraId="5C44D58D" w14:textId="77777777" w:rsidR="00134142" w:rsidRPr="00D42BFE" w:rsidRDefault="00134142" w:rsidP="00ED6D8E">
      <w:pPr>
        <w:pStyle w:val="PargrafodaLista"/>
        <w:numPr>
          <w:ilvl w:val="0"/>
          <w:numId w:val="44"/>
        </w:numPr>
        <w:rPr>
          <w:rFonts w:ascii="Arial" w:hAnsi="Arial" w:cs="Arial"/>
          <w:sz w:val="18"/>
          <w:szCs w:val="18"/>
        </w:rPr>
      </w:pPr>
      <w:r w:rsidRPr="00D42BFE">
        <w:rPr>
          <w:rFonts w:ascii="Arial" w:hAnsi="Arial" w:cs="Arial"/>
          <w:bCs/>
          <w:sz w:val="18"/>
          <w:szCs w:val="18"/>
        </w:rPr>
        <w:lastRenderedPageBreak/>
        <w:t xml:space="preserve">Para UG </w:t>
      </w:r>
      <w:r w:rsidRPr="00D42BFE">
        <w:rPr>
          <w:rFonts w:ascii="Arial" w:hAnsi="Arial" w:cs="Arial"/>
          <w:sz w:val="18"/>
          <w:szCs w:val="18"/>
        </w:rPr>
        <w:t xml:space="preserve">Prefeitura Municipal: </w:t>
      </w:r>
      <w:r>
        <w:rPr>
          <w:rFonts w:ascii="Arial" w:hAnsi="Arial" w:cs="Arial"/>
          <w:sz w:val="18"/>
          <w:szCs w:val="18"/>
        </w:rPr>
        <w:t xml:space="preserve">BALORC, BALFIN, BALPAT, DEMVAP, </w:t>
      </w:r>
      <w:r w:rsidRPr="00D42BFE">
        <w:rPr>
          <w:rFonts w:ascii="Arial" w:hAnsi="Arial" w:cs="Arial"/>
          <w:sz w:val="18"/>
          <w:szCs w:val="18"/>
        </w:rPr>
        <w:t>BALORC-CONS, BALFIN-CONS, BALPAT-CONS, DEMVAP-CONS, BALVER-ANUAL-CONS, BALVER-ANUAL, BALEXOR-CONS, BALEXOR, BALEXOD-CONS, BALEXOD, RREO</w:t>
      </w:r>
      <w:r>
        <w:rPr>
          <w:rFonts w:ascii="Arial" w:hAnsi="Arial" w:cs="Arial"/>
          <w:sz w:val="18"/>
          <w:szCs w:val="18"/>
        </w:rPr>
        <w:t xml:space="preserve"> e</w:t>
      </w:r>
      <w:r w:rsidRPr="00D42BFE">
        <w:rPr>
          <w:rFonts w:ascii="Arial" w:hAnsi="Arial" w:cs="Arial"/>
          <w:sz w:val="18"/>
          <w:szCs w:val="18"/>
        </w:rPr>
        <w:t xml:space="preserve"> RGF</w:t>
      </w:r>
      <w:r>
        <w:rPr>
          <w:rFonts w:ascii="Arial" w:hAnsi="Arial" w:cs="Arial"/>
          <w:sz w:val="18"/>
          <w:szCs w:val="18"/>
        </w:rPr>
        <w:t>;</w:t>
      </w:r>
    </w:p>
    <w:p w14:paraId="57C17563" w14:textId="77777777" w:rsidR="00134142" w:rsidRPr="00D42BFE" w:rsidRDefault="00134142" w:rsidP="00ED6D8E">
      <w:pPr>
        <w:pStyle w:val="PargrafodaLista"/>
        <w:numPr>
          <w:ilvl w:val="0"/>
          <w:numId w:val="44"/>
        </w:numPr>
        <w:rPr>
          <w:rFonts w:ascii="Arial" w:hAnsi="Arial" w:cs="Arial"/>
          <w:sz w:val="18"/>
          <w:szCs w:val="18"/>
        </w:rPr>
      </w:pPr>
      <w:r w:rsidRPr="00D42BFE">
        <w:rPr>
          <w:rFonts w:ascii="Arial" w:hAnsi="Arial" w:cs="Arial"/>
          <w:sz w:val="18"/>
          <w:szCs w:val="18"/>
        </w:rPr>
        <w:t xml:space="preserve">Para UG Câmara Municipal: </w:t>
      </w:r>
      <w:r>
        <w:rPr>
          <w:rFonts w:ascii="Arial" w:hAnsi="Arial" w:cs="Arial"/>
          <w:sz w:val="18"/>
          <w:szCs w:val="18"/>
        </w:rPr>
        <w:t xml:space="preserve">BALFIN, BALPAT, DEMVAP, </w:t>
      </w:r>
      <w:r w:rsidRPr="00D42BFE">
        <w:rPr>
          <w:rFonts w:ascii="Arial" w:hAnsi="Arial" w:cs="Arial"/>
          <w:sz w:val="18"/>
          <w:szCs w:val="18"/>
        </w:rPr>
        <w:t>BALVER-ANUAL</w:t>
      </w:r>
      <w:r>
        <w:rPr>
          <w:rFonts w:ascii="Arial" w:hAnsi="Arial" w:cs="Arial"/>
          <w:sz w:val="18"/>
          <w:szCs w:val="18"/>
        </w:rPr>
        <w:t>,</w:t>
      </w:r>
      <w:r w:rsidRPr="00D42BFE">
        <w:rPr>
          <w:rFonts w:ascii="Arial" w:hAnsi="Arial" w:cs="Arial"/>
          <w:sz w:val="18"/>
          <w:szCs w:val="18"/>
        </w:rPr>
        <w:t xml:space="preserve"> BALEXOD</w:t>
      </w:r>
      <w:r>
        <w:rPr>
          <w:rFonts w:ascii="Arial" w:hAnsi="Arial" w:cs="Arial"/>
          <w:sz w:val="18"/>
          <w:szCs w:val="18"/>
        </w:rPr>
        <w:t xml:space="preserve"> e</w:t>
      </w:r>
      <w:r w:rsidRPr="00D42BFE">
        <w:rPr>
          <w:rFonts w:ascii="Arial" w:hAnsi="Arial" w:cs="Arial"/>
          <w:sz w:val="18"/>
          <w:szCs w:val="18"/>
        </w:rPr>
        <w:t xml:space="preserve"> RGF</w:t>
      </w:r>
      <w:r>
        <w:rPr>
          <w:rFonts w:ascii="Arial" w:hAnsi="Arial" w:cs="Arial"/>
          <w:sz w:val="18"/>
          <w:szCs w:val="18"/>
        </w:rPr>
        <w:t>;</w:t>
      </w:r>
    </w:p>
    <w:p w14:paraId="33C137C6" w14:textId="77777777" w:rsidR="00134142" w:rsidRPr="00D42BFE" w:rsidRDefault="00134142" w:rsidP="00ED6D8E">
      <w:pPr>
        <w:pStyle w:val="PargrafodaLista"/>
        <w:numPr>
          <w:ilvl w:val="0"/>
          <w:numId w:val="44"/>
        </w:numPr>
        <w:rPr>
          <w:rFonts w:ascii="Arial" w:hAnsi="Arial" w:cs="Arial"/>
          <w:sz w:val="18"/>
          <w:szCs w:val="18"/>
        </w:rPr>
      </w:pPr>
      <w:r w:rsidRPr="00D42BFE">
        <w:rPr>
          <w:rFonts w:ascii="Arial" w:hAnsi="Arial" w:cs="Arial"/>
          <w:sz w:val="18"/>
          <w:szCs w:val="18"/>
        </w:rPr>
        <w:t xml:space="preserve">Para demais UGs Municipais: </w:t>
      </w:r>
      <w:r>
        <w:rPr>
          <w:rFonts w:ascii="Arial" w:hAnsi="Arial" w:cs="Arial"/>
          <w:sz w:val="18"/>
          <w:szCs w:val="18"/>
        </w:rPr>
        <w:t xml:space="preserve">BALORC, BALFIN, BALPAT, DEMVAP, </w:t>
      </w:r>
      <w:r w:rsidRPr="00D42BFE">
        <w:rPr>
          <w:rFonts w:ascii="Arial" w:hAnsi="Arial" w:cs="Arial"/>
          <w:sz w:val="18"/>
          <w:szCs w:val="18"/>
        </w:rPr>
        <w:t>BALVER-ANUAL</w:t>
      </w:r>
      <w:r>
        <w:rPr>
          <w:rFonts w:ascii="Arial" w:hAnsi="Arial" w:cs="Arial"/>
          <w:sz w:val="18"/>
          <w:szCs w:val="18"/>
        </w:rPr>
        <w:t>,</w:t>
      </w:r>
      <w:r w:rsidRPr="00D42BFE">
        <w:rPr>
          <w:rFonts w:ascii="Arial" w:hAnsi="Arial" w:cs="Arial"/>
          <w:sz w:val="18"/>
          <w:szCs w:val="18"/>
        </w:rPr>
        <w:t xml:space="preserve"> BALEXOR</w:t>
      </w:r>
      <w:r>
        <w:rPr>
          <w:rFonts w:ascii="Arial" w:hAnsi="Arial" w:cs="Arial"/>
          <w:sz w:val="18"/>
          <w:szCs w:val="18"/>
        </w:rPr>
        <w:t xml:space="preserve"> e</w:t>
      </w:r>
      <w:r w:rsidRPr="00D42BFE">
        <w:rPr>
          <w:rFonts w:ascii="Arial" w:hAnsi="Arial" w:cs="Arial"/>
          <w:sz w:val="18"/>
          <w:szCs w:val="18"/>
        </w:rPr>
        <w:t xml:space="preserve"> BALEXOD</w:t>
      </w:r>
      <w:r>
        <w:rPr>
          <w:rFonts w:ascii="Arial" w:hAnsi="Arial" w:cs="Arial"/>
          <w:sz w:val="18"/>
          <w:szCs w:val="18"/>
        </w:rPr>
        <w:t>.</w:t>
      </w:r>
    </w:p>
    <w:p w14:paraId="53E2CF56" w14:textId="77777777" w:rsidR="00FD1551" w:rsidRPr="00FD1551" w:rsidRDefault="00FD1551" w:rsidP="009909C9">
      <w:pPr>
        <w:spacing w:before="120" w:after="0" w:line="240" w:lineRule="auto"/>
        <w:jc w:val="both"/>
        <w:rPr>
          <w:rFonts w:ascii="Arial" w:hAnsi="Arial" w:cs="Arial"/>
          <w:b/>
          <w:sz w:val="36"/>
          <w:u w:val="single"/>
        </w:rPr>
      </w:pPr>
    </w:p>
    <w:p w14:paraId="609BF278" w14:textId="4BBE32E5" w:rsidR="00DB42FC" w:rsidRDefault="00DB42FC" w:rsidP="00DB42FC">
      <w:pPr>
        <w:pStyle w:val="Ttulo3"/>
      </w:pPr>
      <w:bookmarkStart w:id="60" w:name="_Toc94806336"/>
      <w:r w:rsidRPr="00DB42FC">
        <w:t>ESTPREC.XML (ou EstoquePrecatorios.xml)</w:t>
      </w:r>
      <w:bookmarkEnd w:id="60"/>
    </w:p>
    <w:p w14:paraId="2EE21B75" w14:textId="31513D54" w:rsidR="00DB42FC" w:rsidRPr="00DB42FC" w:rsidRDefault="00DB42FC" w:rsidP="00DB42FC">
      <w:pPr>
        <w:spacing w:after="0" w:line="240" w:lineRule="auto"/>
        <w:rPr>
          <w:rFonts w:ascii="Arial" w:eastAsia="Times New Roman" w:hAnsi="Arial" w:cs="Arial"/>
          <w:sz w:val="20"/>
          <w:szCs w:val="20"/>
          <w:lang w:eastAsia="pt-BR"/>
        </w:rPr>
      </w:pPr>
      <w:r w:rsidRPr="00DB42FC">
        <w:rPr>
          <w:rFonts w:ascii="Arial" w:eastAsia="Times New Roman" w:hAnsi="Arial" w:cs="Arial"/>
          <w:b/>
          <w:bCs/>
          <w:sz w:val="20"/>
          <w:szCs w:val="20"/>
          <w:lang w:eastAsia="pt-BR"/>
        </w:rPr>
        <w:t>Descrição: </w:t>
      </w:r>
      <w:r w:rsidRPr="00DB42FC">
        <w:rPr>
          <w:rFonts w:ascii="Arial" w:eastAsia="Times New Roman" w:hAnsi="Arial" w:cs="Arial"/>
          <w:sz w:val="20"/>
          <w:szCs w:val="20"/>
          <w:lang w:eastAsia="pt-BR"/>
        </w:rPr>
        <w:t>Este arquivo conterá o Estoque de Precatórios existente no final do exercício de referência da P</w:t>
      </w:r>
      <w:r w:rsidR="00A402DE">
        <w:rPr>
          <w:rFonts w:ascii="Arial" w:eastAsia="Times New Roman" w:hAnsi="Arial" w:cs="Arial"/>
          <w:sz w:val="20"/>
          <w:szCs w:val="20"/>
          <w:lang w:eastAsia="pt-BR"/>
        </w:rPr>
        <w:t>r</w:t>
      </w:r>
      <w:r w:rsidRPr="00DB42FC">
        <w:rPr>
          <w:rFonts w:ascii="Arial" w:eastAsia="Times New Roman" w:hAnsi="Arial" w:cs="Arial"/>
          <w:sz w:val="20"/>
          <w:szCs w:val="20"/>
          <w:lang w:eastAsia="pt-BR"/>
        </w:rPr>
        <w:t>estação de Contas, a ser informado conforme a estrutura abaixo:</w:t>
      </w:r>
    </w:p>
    <w:p w14:paraId="33441505" w14:textId="77777777" w:rsidR="00DB42FC" w:rsidRPr="00DB42FC" w:rsidRDefault="00DB42FC" w:rsidP="00DB42FC">
      <w:pPr>
        <w:spacing w:after="0" w:line="240" w:lineRule="auto"/>
        <w:rPr>
          <w:rFonts w:ascii="Arial" w:eastAsia="Times New Roman" w:hAnsi="Arial" w:cs="Arial"/>
          <w:sz w:val="20"/>
          <w:szCs w:val="20"/>
          <w:lang w:eastAsia="pt-BR"/>
        </w:rPr>
      </w:pPr>
    </w:p>
    <w:p w14:paraId="55E73F86" w14:textId="77777777" w:rsidR="00DB42FC" w:rsidRPr="00DB42FC" w:rsidRDefault="00DB42FC" w:rsidP="00DB42FC">
      <w:pPr>
        <w:spacing w:after="0" w:line="240" w:lineRule="auto"/>
        <w:rPr>
          <w:rFonts w:ascii="Arial" w:eastAsia="Times New Roman" w:hAnsi="Arial" w:cs="Arial"/>
          <w:b/>
          <w:bCs/>
          <w:sz w:val="20"/>
          <w:szCs w:val="20"/>
          <w:lang w:eastAsia="pt-BR"/>
        </w:rPr>
      </w:pPr>
      <w:r w:rsidRPr="00DB42FC">
        <w:rPr>
          <w:rFonts w:ascii="Arial" w:eastAsia="Times New Roman" w:hAnsi="Arial" w:cs="Arial"/>
          <w:b/>
          <w:bCs/>
          <w:sz w:val="20"/>
          <w:szCs w:val="20"/>
          <w:lang w:eastAsia="pt-BR"/>
        </w:rPr>
        <w:t xml:space="preserve"> </w:t>
      </w:r>
    </w:p>
    <w:p w14:paraId="237CE84D" w14:textId="77777777" w:rsidR="00DB42FC" w:rsidRPr="00DB42FC" w:rsidRDefault="00DB42FC" w:rsidP="00DB42FC">
      <w:pPr>
        <w:spacing w:after="0" w:line="240" w:lineRule="auto"/>
        <w:rPr>
          <w:rFonts w:ascii="Arial" w:eastAsia="Times New Roman" w:hAnsi="Arial" w:cs="Arial"/>
          <w:b/>
          <w:sz w:val="20"/>
          <w:szCs w:val="20"/>
          <w:lang w:eastAsia="pt-BR"/>
        </w:rPr>
      </w:pPr>
      <w:r w:rsidRPr="00DB42FC">
        <w:rPr>
          <w:rFonts w:ascii="Arial" w:eastAsia="Times New Roman" w:hAnsi="Arial" w:cs="Arial"/>
          <w:b/>
          <w:bCs/>
          <w:sz w:val="20"/>
          <w:szCs w:val="20"/>
          <w:lang w:eastAsia="pt-BR"/>
        </w:rPr>
        <w:t>Estrutura:</w:t>
      </w:r>
    </w:p>
    <w:p w14:paraId="09E885AD" w14:textId="77777777" w:rsidR="00DB42FC" w:rsidRPr="00DB42FC" w:rsidRDefault="00DB42FC" w:rsidP="00DB42FC">
      <w:pPr>
        <w:spacing w:after="0" w:line="240" w:lineRule="auto"/>
        <w:rPr>
          <w:rFonts w:ascii="Arial" w:eastAsia="Times New Roman" w:hAnsi="Arial" w:cs="Arial"/>
          <w:sz w:val="20"/>
          <w:szCs w:val="20"/>
          <w:lang w:eastAsia="pt-BR"/>
        </w:rPr>
      </w:pPr>
    </w:p>
    <w:p w14:paraId="385CFE10" w14:textId="77777777" w:rsidR="00DB42FC" w:rsidRPr="00DB42FC" w:rsidRDefault="00DB42FC" w:rsidP="00DB42FC">
      <w:pPr>
        <w:spacing w:after="0" w:line="240" w:lineRule="auto"/>
        <w:rPr>
          <w:rFonts w:ascii="Arial" w:eastAsia="Times New Roman" w:hAnsi="Arial" w:cs="Arial"/>
          <w:sz w:val="20"/>
          <w:szCs w:val="20"/>
          <w:lang w:eastAsia="pt-BR"/>
        </w:rPr>
      </w:pPr>
      <w:r w:rsidRPr="00DB42FC">
        <w:rPr>
          <w:rFonts w:ascii="Arial" w:eastAsia="Times New Roman" w:hAnsi="Arial" w:cs="Arial"/>
          <w:sz w:val="20"/>
          <w:szCs w:val="20"/>
          <w:lang w:eastAsia="pt-BR"/>
        </w:rPr>
        <w:t>&lt;?xml version="1.0" encoding=“UTF-8”?&gt;</w:t>
      </w:r>
    </w:p>
    <w:p w14:paraId="628B78D6" w14:textId="77777777" w:rsidR="00DB42FC" w:rsidRPr="00DB42FC" w:rsidRDefault="00DB42FC" w:rsidP="00DB42FC">
      <w:pPr>
        <w:spacing w:after="0" w:line="240" w:lineRule="auto"/>
        <w:rPr>
          <w:rFonts w:ascii="Arial" w:eastAsia="Times New Roman" w:hAnsi="Arial" w:cs="Arial"/>
          <w:sz w:val="20"/>
          <w:szCs w:val="20"/>
          <w:lang w:eastAsia="pt-BR"/>
        </w:rPr>
      </w:pPr>
      <w:r w:rsidRPr="00DB42FC">
        <w:rPr>
          <w:rFonts w:ascii="Arial" w:eastAsia="Times New Roman" w:hAnsi="Arial" w:cs="Arial"/>
          <w:sz w:val="20"/>
          <w:szCs w:val="20"/>
          <w:lang w:eastAsia="pt-BR"/>
        </w:rPr>
        <w:t>&lt;PrestacaoContasAnual&gt;</w:t>
      </w:r>
    </w:p>
    <w:p w14:paraId="1BA79F75" w14:textId="77777777" w:rsidR="00DB42FC" w:rsidRPr="00DB42FC" w:rsidRDefault="00DB42FC" w:rsidP="00DB42FC">
      <w:pPr>
        <w:spacing w:after="0" w:line="240" w:lineRule="auto"/>
        <w:ind w:left="284"/>
        <w:rPr>
          <w:rFonts w:ascii="Arial" w:eastAsia="Times New Roman" w:hAnsi="Arial" w:cs="Arial"/>
          <w:sz w:val="20"/>
          <w:szCs w:val="20"/>
          <w:lang w:eastAsia="pt-BR"/>
        </w:rPr>
      </w:pPr>
      <w:r w:rsidRPr="00DB42FC">
        <w:rPr>
          <w:rFonts w:ascii="Arial" w:eastAsia="Times New Roman" w:hAnsi="Arial" w:cs="Arial"/>
          <w:sz w:val="20"/>
          <w:szCs w:val="20"/>
          <w:lang w:eastAsia="pt-BR"/>
        </w:rPr>
        <w:t>&lt;</w:t>
      </w:r>
      <w:r w:rsidRPr="00DB42FC">
        <w:rPr>
          <w:rFonts w:ascii="Arial" w:hAnsi="Arial" w:cs="Arial"/>
          <w:sz w:val="20"/>
          <w:szCs w:val="20"/>
        </w:rPr>
        <w:t>EstoquePrecatorios</w:t>
      </w:r>
      <w:r w:rsidRPr="00DB42FC">
        <w:rPr>
          <w:rFonts w:ascii="Arial" w:eastAsia="Times New Roman" w:hAnsi="Arial" w:cs="Arial"/>
          <w:sz w:val="20"/>
          <w:szCs w:val="20"/>
          <w:lang w:eastAsia="pt-BR"/>
        </w:rPr>
        <w:t>_Schema&gt;</w:t>
      </w:r>
    </w:p>
    <w:p w14:paraId="089D0CB2" w14:textId="77777777" w:rsidR="00DB42FC" w:rsidRPr="00DB42FC" w:rsidRDefault="00DB42FC" w:rsidP="00DB42FC">
      <w:pPr>
        <w:spacing w:after="0" w:line="240" w:lineRule="auto"/>
        <w:ind w:left="284"/>
        <w:rPr>
          <w:rFonts w:ascii="Arial" w:eastAsia="Times New Roman" w:hAnsi="Arial" w:cs="Arial"/>
          <w:sz w:val="20"/>
          <w:szCs w:val="20"/>
          <w:lang w:eastAsia="pt-BR"/>
        </w:rPr>
      </w:pPr>
    </w:p>
    <w:p w14:paraId="0BFCBD31" w14:textId="77777777" w:rsidR="00DB42FC" w:rsidRPr="00DB42FC" w:rsidRDefault="00DB42FC" w:rsidP="00DB42FC">
      <w:pPr>
        <w:spacing w:after="0" w:line="240" w:lineRule="auto"/>
        <w:ind w:left="567"/>
        <w:rPr>
          <w:rFonts w:ascii="Arial" w:eastAsia="Times New Roman" w:hAnsi="Arial" w:cs="Arial"/>
          <w:sz w:val="20"/>
          <w:szCs w:val="20"/>
          <w:lang w:eastAsia="pt-BR"/>
        </w:rPr>
      </w:pPr>
      <w:r w:rsidRPr="00DB42FC">
        <w:rPr>
          <w:rFonts w:ascii="Arial" w:eastAsia="Times New Roman" w:hAnsi="Arial" w:cs="Arial"/>
          <w:sz w:val="20"/>
          <w:szCs w:val="20"/>
          <w:lang w:eastAsia="pt-BR"/>
        </w:rPr>
        <w:t>&lt;</w:t>
      </w:r>
      <w:r w:rsidRPr="00DB42FC">
        <w:rPr>
          <w:rFonts w:ascii="Arial" w:hAnsi="Arial" w:cs="Arial"/>
          <w:sz w:val="20"/>
          <w:szCs w:val="20"/>
        </w:rPr>
        <w:t>EstoquePrecatorios</w:t>
      </w:r>
      <w:r w:rsidRPr="00DB42FC">
        <w:rPr>
          <w:rFonts w:ascii="Arial" w:eastAsia="Times New Roman" w:hAnsi="Arial" w:cs="Arial"/>
          <w:sz w:val="20"/>
          <w:szCs w:val="20"/>
          <w:lang w:eastAsia="pt-BR"/>
        </w:rPr>
        <w:t>&gt;</w:t>
      </w:r>
    </w:p>
    <w:p w14:paraId="79F2C0F0" w14:textId="77777777" w:rsidR="00DB42FC" w:rsidRPr="00DB42FC" w:rsidRDefault="00DB42FC" w:rsidP="00DB42FC">
      <w:pPr>
        <w:spacing w:after="0" w:line="240" w:lineRule="auto"/>
        <w:ind w:left="851"/>
        <w:rPr>
          <w:rFonts w:ascii="Arial" w:eastAsia="Times New Roman" w:hAnsi="Arial" w:cs="Arial"/>
          <w:sz w:val="20"/>
          <w:szCs w:val="20"/>
          <w:lang w:eastAsia="pt-BR"/>
        </w:rPr>
      </w:pPr>
      <w:r w:rsidRPr="00DB42FC">
        <w:rPr>
          <w:rFonts w:ascii="Arial" w:eastAsia="Times New Roman" w:hAnsi="Arial" w:cs="Arial"/>
          <w:sz w:val="20"/>
          <w:szCs w:val="20"/>
          <w:lang w:eastAsia="pt-BR"/>
        </w:rPr>
        <w:t>&lt;IdNumRegistro&gt;</w:t>
      </w:r>
      <w:r w:rsidRPr="00DB42FC">
        <w:rPr>
          <w:rFonts w:ascii="Arial" w:eastAsia="Times New Roman" w:hAnsi="Arial" w:cs="Arial"/>
          <w:b/>
          <w:bCs/>
          <w:sz w:val="20"/>
          <w:szCs w:val="20"/>
          <w:lang w:eastAsia="pt-BR"/>
        </w:rPr>
        <w:t>99999</w:t>
      </w:r>
      <w:r w:rsidRPr="00DB42FC">
        <w:rPr>
          <w:rFonts w:ascii="Arial" w:eastAsia="Times New Roman" w:hAnsi="Arial" w:cs="Arial"/>
          <w:sz w:val="20"/>
          <w:szCs w:val="20"/>
          <w:lang w:eastAsia="pt-BR"/>
        </w:rPr>
        <w:t>&lt;/IdNumRegistro&gt;</w:t>
      </w:r>
    </w:p>
    <w:p w14:paraId="70E0A39B" w14:textId="24FD8BD2" w:rsidR="00DB42FC" w:rsidRDefault="00DB42FC" w:rsidP="00DB42FC">
      <w:pPr>
        <w:spacing w:after="0" w:line="240" w:lineRule="auto"/>
        <w:ind w:left="851"/>
        <w:rPr>
          <w:rFonts w:ascii="Arial" w:eastAsia="Times New Roman" w:hAnsi="Arial" w:cs="Arial"/>
          <w:sz w:val="20"/>
          <w:szCs w:val="20"/>
          <w:lang w:eastAsia="pt-BR"/>
        </w:rPr>
      </w:pPr>
      <w:r w:rsidRPr="00DB42FC">
        <w:rPr>
          <w:rFonts w:ascii="Arial" w:eastAsia="Times New Roman" w:hAnsi="Arial" w:cs="Arial"/>
          <w:sz w:val="20"/>
          <w:szCs w:val="20"/>
          <w:lang w:eastAsia="pt-BR"/>
        </w:rPr>
        <w:t>&lt;CodigoUnidadeGestora&gt;</w:t>
      </w:r>
      <w:r w:rsidRPr="00DB42FC">
        <w:rPr>
          <w:rFonts w:ascii="Arial" w:eastAsia="Times New Roman" w:hAnsi="Arial" w:cs="Arial"/>
          <w:b/>
          <w:sz w:val="20"/>
          <w:szCs w:val="20"/>
          <w:lang w:eastAsia="pt-BR"/>
        </w:rPr>
        <w:t>XXXXXXXXXXXXXX</w:t>
      </w:r>
      <w:r w:rsidRPr="00DB42FC">
        <w:rPr>
          <w:rFonts w:ascii="Arial" w:eastAsia="Times New Roman" w:hAnsi="Arial" w:cs="Arial"/>
          <w:sz w:val="20"/>
          <w:szCs w:val="20"/>
          <w:lang w:eastAsia="pt-BR"/>
        </w:rPr>
        <w:t>&lt;/CodigoUnidadeGestora&gt;</w:t>
      </w:r>
    </w:p>
    <w:p w14:paraId="2DE9C331" w14:textId="6BE0D39A" w:rsidR="00987631" w:rsidRPr="00987631" w:rsidRDefault="00987631" w:rsidP="00DB42FC">
      <w:pPr>
        <w:spacing w:after="0" w:line="240" w:lineRule="auto"/>
        <w:ind w:left="851"/>
        <w:rPr>
          <w:rFonts w:ascii="Arial" w:eastAsia="Times New Roman" w:hAnsi="Arial" w:cs="Arial"/>
          <w:sz w:val="20"/>
          <w:szCs w:val="20"/>
          <w:lang w:eastAsia="pt-BR"/>
        </w:rPr>
      </w:pPr>
      <w:r w:rsidRPr="00987631">
        <w:rPr>
          <w:rFonts w:ascii="Arial" w:eastAsia="Times New Roman" w:hAnsi="Arial" w:cs="Arial"/>
          <w:sz w:val="20"/>
          <w:szCs w:val="20"/>
          <w:lang w:eastAsia="pt-BR"/>
        </w:rPr>
        <w:t>&lt;DescricaoOrgaoExterno&gt;XXX...XXX&lt;/DescricaoOrgaoExterno&gt;</w:t>
      </w:r>
    </w:p>
    <w:p w14:paraId="74F16B37" w14:textId="77777777" w:rsidR="00DB42FC" w:rsidRPr="00DB42FC" w:rsidRDefault="00DB42FC" w:rsidP="00DB42FC">
      <w:pPr>
        <w:spacing w:after="0" w:line="240" w:lineRule="auto"/>
        <w:ind w:left="851"/>
        <w:rPr>
          <w:rFonts w:ascii="Arial" w:eastAsia="Times New Roman" w:hAnsi="Arial" w:cs="Arial"/>
          <w:sz w:val="20"/>
          <w:szCs w:val="20"/>
          <w:lang w:eastAsia="pt-BR"/>
        </w:rPr>
      </w:pPr>
      <w:r w:rsidRPr="00DB42FC">
        <w:rPr>
          <w:rFonts w:ascii="Arial" w:eastAsia="Times New Roman" w:hAnsi="Arial" w:cs="Arial"/>
          <w:sz w:val="20"/>
          <w:szCs w:val="20"/>
          <w:lang w:eastAsia="pt-BR"/>
        </w:rPr>
        <w:t>&lt;OrdemCronologicaPagamento&gt;</w:t>
      </w:r>
      <w:r w:rsidRPr="00DB42FC">
        <w:rPr>
          <w:rFonts w:ascii="Arial" w:eastAsia="Times New Roman" w:hAnsi="Arial" w:cs="Arial"/>
          <w:b/>
          <w:sz w:val="20"/>
          <w:szCs w:val="20"/>
          <w:lang w:eastAsia="pt-BR"/>
        </w:rPr>
        <w:t>XXXXXXXX</w:t>
      </w:r>
      <w:r w:rsidRPr="00DB42FC">
        <w:rPr>
          <w:rFonts w:ascii="Arial" w:eastAsia="Times New Roman" w:hAnsi="Arial" w:cs="Arial"/>
          <w:sz w:val="20"/>
          <w:szCs w:val="20"/>
          <w:lang w:eastAsia="pt-BR"/>
        </w:rPr>
        <w:t>&lt;/OrdemCronologicaPagamento&gt; &lt;NumeroPrecatorio&gt;</w:t>
      </w:r>
      <w:r w:rsidRPr="00DB42FC">
        <w:rPr>
          <w:rFonts w:ascii="Arial" w:eastAsia="Times New Roman" w:hAnsi="Arial" w:cs="Arial"/>
          <w:b/>
          <w:sz w:val="20"/>
          <w:szCs w:val="20"/>
          <w:lang w:eastAsia="pt-BR"/>
        </w:rPr>
        <w:t>XXX...XXX</w:t>
      </w:r>
      <w:r w:rsidRPr="00DB42FC">
        <w:rPr>
          <w:rFonts w:ascii="Arial" w:eastAsia="Times New Roman" w:hAnsi="Arial" w:cs="Arial"/>
          <w:sz w:val="20"/>
          <w:szCs w:val="20"/>
          <w:lang w:eastAsia="pt-BR"/>
        </w:rPr>
        <w:t>&lt;/NumeroPrecatorio&gt;</w:t>
      </w:r>
    </w:p>
    <w:p w14:paraId="6CAB0B33" w14:textId="77777777" w:rsidR="00DB42FC" w:rsidRPr="00DB42FC" w:rsidRDefault="00DB42FC" w:rsidP="00DB42FC">
      <w:pPr>
        <w:spacing w:after="0" w:line="240" w:lineRule="auto"/>
        <w:ind w:left="851"/>
        <w:rPr>
          <w:rFonts w:ascii="Arial" w:eastAsia="Times New Roman" w:hAnsi="Arial" w:cs="Arial"/>
          <w:sz w:val="20"/>
          <w:szCs w:val="20"/>
          <w:lang w:eastAsia="pt-BR"/>
        </w:rPr>
      </w:pPr>
      <w:r w:rsidRPr="00DB42FC">
        <w:rPr>
          <w:rFonts w:ascii="Arial" w:eastAsia="Times New Roman" w:hAnsi="Arial" w:cs="Arial"/>
          <w:sz w:val="20"/>
          <w:szCs w:val="20"/>
          <w:lang w:eastAsia="pt-BR"/>
        </w:rPr>
        <w:t>&lt;NaturezaPrecatorio&gt;</w:t>
      </w:r>
      <w:r w:rsidRPr="00DB42FC">
        <w:rPr>
          <w:rFonts w:ascii="Arial" w:eastAsia="Times New Roman" w:hAnsi="Arial" w:cs="Arial"/>
          <w:b/>
          <w:sz w:val="20"/>
          <w:szCs w:val="20"/>
          <w:lang w:eastAsia="pt-BR"/>
        </w:rPr>
        <w:t>9</w:t>
      </w:r>
      <w:r w:rsidRPr="00DB42FC">
        <w:rPr>
          <w:rFonts w:ascii="Arial" w:eastAsia="Times New Roman" w:hAnsi="Arial" w:cs="Arial"/>
          <w:sz w:val="20"/>
          <w:szCs w:val="20"/>
          <w:lang w:eastAsia="pt-BR"/>
        </w:rPr>
        <w:t>&lt;/NaturezaPrecatorio&gt;</w:t>
      </w:r>
    </w:p>
    <w:p w14:paraId="78D984DB" w14:textId="77777777" w:rsidR="00DB42FC" w:rsidRPr="00DB42FC" w:rsidRDefault="00DB42FC" w:rsidP="00DB42FC">
      <w:pPr>
        <w:spacing w:after="0" w:line="240" w:lineRule="auto"/>
        <w:ind w:left="851"/>
        <w:rPr>
          <w:rFonts w:ascii="Arial" w:eastAsia="Times New Roman" w:hAnsi="Arial" w:cs="Arial"/>
          <w:sz w:val="20"/>
          <w:szCs w:val="20"/>
          <w:lang w:eastAsia="pt-BR"/>
        </w:rPr>
      </w:pPr>
      <w:r w:rsidRPr="00DB42FC">
        <w:rPr>
          <w:rFonts w:ascii="Arial" w:eastAsia="Times New Roman" w:hAnsi="Arial" w:cs="Arial"/>
          <w:sz w:val="20"/>
          <w:szCs w:val="20"/>
          <w:lang w:eastAsia="pt-BR"/>
        </w:rPr>
        <w:t>&lt;CPFCNPJBeneficiario&gt;</w:t>
      </w:r>
      <w:r w:rsidRPr="00DB42FC">
        <w:rPr>
          <w:rFonts w:ascii="Arial" w:eastAsia="Times New Roman" w:hAnsi="Arial" w:cs="Arial"/>
          <w:b/>
          <w:sz w:val="20"/>
          <w:szCs w:val="20"/>
          <w:lang w:eastAsia="pt-BR"/>
        </w:rPr>
        <w:t>XXX...XXX</w:t>
      </w:r>
      <w:r w:rsidRPr="00DB42FC">
        <w:rPr>
          <w:rFonts w:ascii="Arial" w:eastAsia="Times New Roman" w:hAnsi="Arial" w:cs="Arial"/>
          <w:sz w:val="20"/>
          <w:szCs w:val="20"/>
          <w:lang w:eastAsia="pt-BR"/>
        </w:rPr>
        <w:t xml:space="preserve">&lt;/CPFCNPJBeneficiario&gt; </w:t>
      </w:r>
    </w:p>
    <w:p w14:paraId="4BCAC3F6" w14:textId="77777777" w:rsidR="00DB42FC" w:rsidRPr="00DB42FC" w:rsidRDefault="00DB42FC" w:rsidP="00DB42FC">
      <w:pPr>
        <w:spacing w:after="0" w:line="240" w:lineRule="auto"/>
        <w:ind w:left="851"/>
        <w:rPr>
          <w:rFonts w:ascii="Arial" w:eastAsia="Times New Roman" w:hAnsi="Arial" w:cs="Arial"/>
          <w:sz w:val="20"/>
          <w:szCs w:val="20"/>
          <w:lang w:eastAsia="pt-BR"/>
        </w:rPr>
      </w:pPr>
      <w:r w:rsidRPr="00DB42FC">
        <w:rPr>
          <w:rFonts w:ascii="Arial" w:eastAsia="Times New Roman" w:hAnsi="Arial" w:cs="Arial"/>
          <w:sz w:val="20"/>
          <w:szCs w:val="20"/>
          <w:lang w:eastAsia="pt-BR"/>
        </w:rPr>
        <w:t>&lt;NomeBeneficiario&gt;</w:t>
      </w:r>
      <w:r w:rsidRPr="00DB42FC">
        <w:rPr>
          <w:rFonts w:ascii="Arial" w:eastAsia="Times New Roman" w:hAnsi="Arial" w:cs="Arial"/>
          <w:b/>
          <w:sz w:val="20"/>
          <w:szCs w:val="20"/>
          <w:lang w:eastAsia="pt-BR"/>
        </w:rPr>
        <w:t>XXX...XXX</w:t>
      </w:r>
      <w:r w:rsidRPr="00DB42FC">
        <w:rPr>
          <w:rFonts w:ascii="Arial" w:eastAsia="Times New Roman" w:hAnsi="Arial" w:cs="Arial"/>
          <w:sz w:val="20"/>
          <w:szCs w:val="20"/>
          <w:lang w:eastAsia="pt-BR"/>
        </w:rPr>
        <w:t>&lt;/NomeBeneficiario&gt;</w:t>
      </w:r>
    </w:p>
    <w:p w14:paraId="3CCC9EB1" w14:textId="77777777" w:rsidR="00DB42FC" w:rsidRPr="00DB42FC" w:rsidRDefault="00DB42FC" w:rsidP="00DB42FC">
      <w:pPr>
        <w:spacing w:after="0" w:line="240" w:lineRule="auto"/>
        <w:ind w:left="851"/>
        <w:rPr>
          <w:rFonts w:ascii="Arial" w:eastAsia="Times New Roman" w:hAnsi="Arial" w:cs="Arial"/>
          <w:sz w:val="20"/>
          <w:szCs w:val="20"/>
          <w:lang w:eastAsia="pt-BR"/>
        </w:rPr>
      </w:pPr>
      <w:r w:rsidRPr="00DB42FC">
        <w:rPr>
          <w:rFonts w:ascii="Arial" w:eastAsia="Times New Roman" w:hAnsi="Arial" w:cs="Arial"/>
          <w:sz w:val="20"/>
          <w:szCs w:val="20"/>
          <w:lang w:eastAsia="pt-BR"/>
        </w:rPr>
        <w:t>&lt;AnoInclusaoOrcamento&gt;</w:t>
      </w:r>
      <w:r w:rsidRPr="00DB42FC">
        <w:rPr>
          <w:rFonts w:ascii="Arial" w:eastAsia="Times New Roman" w:hAnsi="Arial" w:cs="Arial"/>
          <w:b/>
          <w:sz w:val="20"/>
          <w:szCs w:val="20"/>
          <w:lang w:eastAsia="pt-BR"/>
        </w:rPr>
        <w:t>XXXX</w:t>
      </w:r>
      <w:r w:rsidRPr="00DB42FC">
        <w:rPr>
          <w:rFonts w:ascii="Arial" w:eastAsia="Times New Roman" w:hAnsi="Arial" w:cs="Arial"/>
          <w:sz w:val="20"/>
          <w:szCs w:val="20"/>
          <w:lang w:eastAsia="pt-BR"/>
        </w:rPr>
        <w:t>&lt;/AnoInclusaoOrcamento&gt;</w:t>
      </w:r>
    </w:p>
    <w:p w14:paraId="10F0BC7A" w14:textId="77777777" w:rsidR="00DB42FC" w:rsidRPr="00DB42FC" w:rsidRDefault="00DB42FC" w:rsidP="00DB42FC">
      <w:pPr>
        <w:spacing w:after="0" w:line="240" w:lineRule="auto"/>
        <w:ind w:left="851"/>
        <w:rPr>
          <w:rFonts w:ascii="Arial" w:eastAsia="Times New Roman" w:hAnsi="Arial" w:cs="Arial"/>
          <w:sz w:val="20"/>
          <w:szCs w:val="20"/>
          <w:lang w:eastAsia="pt-BR"/>
        </w:rPr>
      </w:pPr>
      <w:r w:rsidRPr="00DB42FC">
        <w:rPr>
          <w:rFonts w:ascii="Arial" w:eastAsia="Times New Roman" w:hAnsi="Arial" w:cs="Arial"/>
          <w:sz w:val="20"/>
          <w:szCs w:val="20"/>
          <w:lang w:eastAsia="pt-BR"/>
        </w:rPr>
        <w:t>&lt;DataRecebimento&gt;</w:t>
      </w:r>
      <w:r w:rsidRPr="00DB42FC">
        <w:rPr>
          <w:rFonts w:ascii="Arial" w:eastAsia="Times New Roman" w:hAnsi="Arial" w:cs="Arial"/>
          <w:b/>
          <w:sz w:val="20"/>
          <w:szCs w:val="20"/>
          <w:lang w:eastAsia="pt-BR"/>
        </w:rPr>
        <w:t>9999-99-99</w:t>
      </w:r>
      <w:r w:rsidRPr="00DB42FC">
        <w:rPr>
          <w:rFonts w:ascii="Arial" w:eastAsia="Times New Roman" w:hAnsi="Arial" w:cs="Arial"/>
          <w:sz w:val="20"/>
          <w:szCs w:val="20"/>
          <w:lang w:eastAsia="pt-BR"/>
        </w:rPr>
        <w:t>&lt;/DataRecebimento&gt;</w:t>
      </w:r>
    </w:p>
    <w:p w14:paraId="7E7B556E" w14:textId="77777777" w:rsidR="00DB42FC" w:rsidRPr="00DB42FC" w:rsidRDefault="00DB42FC" w:rsidP="00DB42FC">
      <w:pPr>
        <w:spacing w:after="0" w:line="240" w:lineRule="auto"/>
        <w:ind w:left="851"/>
        <w:rPr>
          <w:rFonts w:ascii="Arial" w:eastAsia="Times New Roman" w:hAnsi="Arial" w:cs="Arial"/>
          <w:sz w:val="20"/>
          <w:szCs w:val="20"/>
          <w:lang w:eastAsia="pt-BR"/>
        </w:rPr>
      </w:pPr>
      <w:r w:rsidRPr="00DB42FC">
        <w:rPr>
          <w:rFonts w:ascii="Arial" w:eastAsia="Times New Roman" w:hAnsi="Arial" w:cs="Arial"/>
          <w:sz w:val="20"/>
          <w:szCs w:val="20"/>
          <w:lang w:eastAsia="pt-BR"/>
        </w:rPr>
        <w:t>&lt;Prioridade&gt;</w:t>
      </w:r>
      <w:r w:rsidRPr="00DB42FC">
        <w:rPr>
          <w:rFonts w:ascii="Arial" w:eastAsia="Times New Roman" w:hAnsi="Arial" w:cs="Arial"/>
          <w:b/>
          <w:sz w:val="20"/>
          <w:szCs w:val="20"/>
          <w:lang w:eastAsia="pt-BR"/>
        </w:rPr>
        <w:t>9</w:t>
      </w:r>
      <w:r w:rsidRPr="00DB42FC">
        <w:rPr>
          <w:rFonts w:ascii="Arial" w:eastAsia="Times New Roman" w:hAnsi="Arial" w:cs="Arial"/>
          <w:sz w:val="20"/>
          <w:szCs w:val="20"/>
          <w:lang w:eastAsia="pt-BR"/>
        </w:rPr>
        <w:t>&lt;/Prioridade&gt;</w:t>
      </w:r>
    </w:p>
    <w:p w14:paraId="5C89573E" w14:textId="77777777" w:rsidR="00DB42FC" w:rsidRPr="00DB42FC" w:rsidRDefault="00DB42FC" w:rsidP="00DB42FC">
      <w:pPr>
        <w:spacing w:after="0" w:line="240" w:lineRule="auto"/>
        <w:ind w:left="851"/>
        <w:rPr>
          <w:rFonts w:ascii="Arial" w:eastAsia="Times New Roman" w:hAnsi="Arial" w:cs="Arial"/>
          <w:sz w:val="20"/>
          <w:szCs w:val="20"/>
          <w:lang w:eastAsia="pt-BR"/>
        </w:rPr>
      </w:pPr>
      <w:r w:rsidRPr="00DB42FC">
        <w:rPr>
          <w:rFonts w:ascii="Arial" w:eastAsia="Times New Roman" w:hAnsi="Arial" w:cs="Arial"/>
          <w:sz w:val="20"/>
          <w:szCs w:val="20"/>
          <w:lang w:eastAsia="pt-BR"/>
        </w:rPr>
        <w:t>&lt;TipoPrioridade&gt;</w:t>
      </w:r>
      <w:r w:rsidRPr="00DB42FC">
        <w:rPr>
          <w:rFonts w:ascii="Arial" w:eastAsia="Times New Roman" w:hAnsi="Arial" w:cs="Arial"/>
          <w:b/>
          <w:sz w:val="20"/>
          <w:szCs w:val="20"/>
          <w:lang w:eastAsia="pt-BR"/>
        </w:rPr>
        <w:t>9</w:t>
      </w:r>
      <w:r w:rsidRPr="00DB42FC">
        <w:rPr>
          <w:rFonts w:ascii="Arial" w:eastAsia="Times New Roman" w:hAnsi="Arial" w:cs="Arial"/>
          <w:sz w:val="20"/>
          <w:szCs w:val="20"/>
          <w:lang w:eastAsia="pt-BR"/>
        </w:rPr>
        <w:t>&lt;/TipoPrioridade&gt;</w:t>
      </w:r>
    </w:p>
    <w:p w14:paraId="1BE4D026" w14:textId="77777777" w:rsidR="00DB42FC" w:rsidRPr="00DB42FC" w:rsidRDefault="00DB42FC" w:rsidP="00DB42FC">
      <w:pPr>
        <w:spacing w:after="0" w:line="240" w:lineRule="auto"/>
        <w:ind w:left="851"/>
        <w:rPr>
          <w:rFonts w:ascii="Arial" w:eastAsia="Times New Roman" w:hAnsi="Arial" w:cs="Arial"/>
          <w:sz w:val="20"/>
          <w:szCs w:val="20"/>
          <w:lang w:eastAsia="pt-BR"/>
        </w:rPr>
      </w:pPr>
      <w:r w:rsidRPr="00DB42FC">
        <w:rPr>
          <w:rFonts w:ascii="Arial" w:eastAsia="Times New Roman" w:hAnsi="Arial" w:cs="Arial"/>
          <w:sz w:val="20"/>
          <w:szCs w:val="20"/>
          <w:lang w:eastAsia="pt-BR"/>
        </w:rPr>
        <w:t>&lt;ValorOriginalPrecatorio&gt;</w:t>
      </w:r>
      <w:r w:rsidRPr="00DB42FC">
        <w:rPr>
          <w:rFonts w:ascii="Arial" w:eastAsia="Times New Roman" w:hAnsi="Arial" w:cs="Arial"/>
          <w:b/>
          <w:sz w:val="20"/>
          <w:szCs w:val="20"/>
          <w:lang w:eastAsia="pt-BR"/>
        </w:rPr>
        <w:t>99999999999999.99</w:t>
      </w:r>
      <w:r w:rsidRPr="00DB42FC">
        <w:rPr>
          <w:rFonts w:ascii="Arial" w:eastAsia="Times New Roman" w:hAnsi="Arial" w:cs="Arial"/>
          <w:sz w:val="20"/>
          <w:szCs w:val="20"/>
          <w:lang w:eastAsia="pt-BR"/>
        </w:rPr>
        <w:t>&lt;/ValorOriginalPrecatorio&gt;</w:t>
      </w:r>
    </w:p>
    <w:p w14:paraId="3412077D" w14:textId="77777777" w:rsidR="00DB42FC" w:rsidRPr="00DB42FC" w:rsidRDefault="00DB42FC" w:rsidP="00DB42FC">
      <w:pPr>
        <w:spacing w:after="0" w:line="240" w:lineRule="auto"/>
        <w:ind w:left="851"/>
        <w:rPr>
          <w:rFonts w:ascii="Arial" w:eastAsia="Times New Roman" w:hAnsi="Arial" w:cs="Arial"/>
          <w:sz w:val="20"/>
          <w:szCs w:val="20"/>
          <w:lang w:eastAsia="pt-BR"/>
        </w:rPr>
      </w:pPr>
      <w:r w:rsidRPr="00DB42FC">
        <w:rPr>
          <w:rFonts w:ascii="Arial" w:eastAsia="Times New Roman" w:hAnsi="Arial" w:cs="Arial"/>
          <w:sz w:val="20"/>
          <w:szCs w:val="20"/>
          <w:lang w:eastAsia="pt-BR"/>
        </w:rPr>
        <w:t>&lt;ValorAtualizado&gt;</w:t>
      </w:r>
      <w:r w:rsidRPr="00DB42FC">
        <w:rPr>
          <w:rFonts w:ascii="Arial" w:eastAsia="Times New Roman" w:hAnsi="Arial" w:cs="Arial"/>
          <w:b/>
          <w:sz w:val="20"/>
          <w:szCs w:val="20"/>
          <w:lang w:eastAsia="pt-BR"/>
        </w:rPr>
        <w:t>99999999999999.99</w:t>
      </w:r>
      <w:r w:rsidRPr="00DB42FC">
        <w:rPr>
          <w:rFonts w:ascii="Arial" w:eastAsia="Times New Roman" w:hAnsi="Arial" w:cs="Arial"/>
          <w:sz w:val="20"/>
          <w:szCs w:val="20"/>
          <w:lang w:eastAsia="pt-BR"/>
        </w:rPr>
        <w:t>&lt;/ValorAtualizado&gt;</w:t>
      </w:r>
    </w:p>
    <w:p w14:paraId="32B61D67" w14:textId="242CBE84" w:rsidR="00DB42FC" w:rsidRPr="00DB42FC" w:rsidRDefault="00DB42FC" w:rsidP="00DB42FC">
      <w:pPr>
        <w:spacing w:after="0" w:line="240" w:lineRule="auto"/>
        <w:ind w:left="567"/>
        <w:rPr>
          <w:rFonts w:ascii="Arial" w:eastAsia="Times New Roman" w:hAnsi="Arial" w:cs="Arial"/>
          <w:sz w:val="20"/>
          <w:szCs w:val="20"/>
          <w:lang w:eastAsia="pt-BR"/>
        </w:rPr>
      </w:pPr>
      <w:r w:rsidRPr="00DB42FC">
        <w:rPr>
          <w:rFonts w:ascii="Arial" w:eastAsia="Times New Roman" w:hAnsi="Arial" w:cs="Arial"/>
          <w:sz w:val="20"/>
          <w:szCs w:val="20"/>
          <w:lang w:eastAsia="pt-BR"/>
        </w:rPr>
        <w:t>&lt;</w:t>
      </w:r>
      <w:r w:rsidR="00365EBF">
        <w:rPr>
          <w:rFonts w:ascii="Arial" w:eastAsia="Times New Roman" w:hAnsi="Arial" w:cs="Arial"/>
          <w:sz w:val="20"/>
          <w:szCs w:val="20"/>
          <w:lang w:eastAsia="pt-BR"/>
        </w:rPr>
        <w:t>/</w:t>
      </w:r>
      <w:r w:rsidRPr="00DB42FC">
        <w:rPr>
          <w:rFonts w:ascii="Arial" w:hAnsi="Arial" w:cs="Arial"/>
          <w:sz w:val="20"/>
          <w:szCs w:val="20"/>
        </w:rPr>
        <w:t>EstoquePrecatorios</w:t>
      </w:r>
      <w:r w:rsidRPr="00DB42FC">
        <w:rPr>
          <w:rFonts w:ascii="Arial" w:eastAsia="Times New Roman" w:hAnsi="Arial" w:cs="Arial"/>
          <w:sz w:val="20"/>
          <w:szCs w:val="20"/>
          <w:lang w:eastAsia="pt-BR"/>
        </w:rPr>
        <w:t>&gt;</w:t>
      </w:r>
    </w:p>
    <w:p w14:paraId="0F92CDD7" w14:textId="57256076" w:rsidR="00DB42FC" w:rsidRPr="00DB42FC" w:rsidRDefault="00DB42FC" w:rsidP="00DB42FC">
      <w:pPr>
        <w:spacing w:after="0" w:line="240" w:lineRule="auto"/>
        <w:ind w:left="284"/>
        <w:rPr>
          <w:rFonts w:ascii="Arial" w:eastAsia="Times New Roman" w:hAnsi="Arial" w:cs="Arial"/>
          <w:sz w:val="20"/>
          <w:szCs w:val="20"/>
          <w:lang w:eastAsia="pt-BR"/>
        </w:rPr>
      </w:pPr>
      <w:r w:rsidRPr="00DB42FC">
        <w:rPr>
          <w:rFonts w:ascii="Arial" w:eastAsia="Times New Roman" w:hAnsi="Arial" w:cs="Arial"/>
          <w:sz w:val="20"/>
          <w:szCs w:val="20"/>
          <w:lang w:eastAsia="pt-BR"/>
        </w:rPr>
        <w:t>&lt;</w:t>
      </w:r>
      <w:r w:rsidR="00365EBF">
        <w:rPr>
          <w:rFonts w:ascii="Arial" w:eastAsia="Times New Roman" w:hAnsi="Arial" w:cs="Arial"/>
          <w:sz w:val="20"/>
          <w:szCs w:val="20"/>
          <w:lang w:eastAsia="pt-BR"/>
        </w:rPr>
        <w:t>/</w:t>
      </w:r>
      <w:r w:rsidRPr="00DB42FC">
        <w:rPr>
          <w:rFonts w:ascii="Arial" w:hAnsi="Arial" w:cs="Arial"/>
          <w:sz w:val="20"/>
          <w:szCs w:val="20"/>
        </w:rPr>
        <w:t>EstoquePrecatorios</w:t>
      </w:r>
      <w:r w:rsidRPr="00DB42FC">
        <w:rPr>
          <w:rFonts w:ascii="Arial" w:eastAsia="Times New Roman" w:hAnsi="Arial" w:cs="Arial"/>
          <w:sz w:val="20"/>
          <w:szCs w:val="20"/>
          <w:lang w:eastAsia="pt-BR"/>
        </w:rPr>
        <w:t>_Schema&gt;</w:t>
      </w:r>
    </w:p>
    <w:p w14:paraId="0DEF6748" w14:textId="77777777" w:rsidR="00DB42FC" w:rsidRPr="00DB42FC" w:rsidRDefault="00DB42FC" w:rsidP="00DB42FC">
      <w:pPr>
        <w:spacing w:after="0" w:line="240" w:lineRule="auto"/>
        <w:rPr>
          <w:rFonts w:ascii="Arial" w:eastAsia="Times New Roman" w:hAnsi="Arial" w:cs="Arial"/>
          <w:sz w:val="20"/>
          <w:szCs w:val="20"/>
          <w:lang w:eastAsia="pt-BR"/>
        </w:rPr>
      </w:pPr>
      <w:r w:rsidRPr="00DB42FC">
        <w:rPr>
          <w:rFonts w:ascii="Arial" w:eastAsia="Times New Roman" w:hAnsi="Arial" w:cs="Arial"/>
          <w:sz w:val="20"/>
          <w:szCs w:val="20"/>
          <w:lang w:eastAsia="pt-BR"/>
        </w:rPr>
        <w:t>&lt;/PrestacaoContasAnual&gt;</w:t>
      </w:r>
    </w:p>
    <w:p w14:paraId="7A1E6AEC" w14:textId="77777777" w:rsidR="00DB42FC" w:rsidRPr="00DB42FC" w:rsidRDefault="00DB42FC" w:rsidP="00DB42FC">
      <w:pPr>
        <w:rPr>
          <w:rFonts w:ascii="Arial" w:hAnsi="Arial" w:cs="Arial"/>
          <w:sz w:val="20"/>
          <w:szCs w:val="20"/>
        </w:rPr>
      </w:pPr>
    </w:p>
    <w:tbl>
      <w:tblPr>
        <w:tblW w:w="9366" w:type="dxa"/>
        <w:tblInd w:w="60" w:type="dxa"/>
        <w:tblLayout w:type="fixed"/>
        <w:tblCellMar>
          <w:left w:w="70" w:type="dxa"/>
          <w:right w:w="70" w:type="dxa"/>
        </w:tblCellMar>
        <w:tblLook w:val="04A0" w:firstRow="1" w:lastRow="0" w:firstColumn="1" w:lastColumn="0" w:noHBand="0" w:noVBand="1"/>
      </w:tblPr>
      <w:tblGrid>
        <w:gridCol w:w="3272"/>
        <w:gridCol w:w="1276"/>
        <w:gridCol w:w="1276"/>
        <w:gridCol w:w="3542"/>
      </w:tblGrid>
      <w:tr w:rsidR="00DB42FC" w:rsidRPr="00DB42FC" w14:paraId="029823E8" w14:textId="77777777" w:rsidTr="005C00E1">
        <w:trPr>
          <w:trHeight w:val="315"/>
        </w:trPr>
        <w:tc>
          <w:tcPr>
            <w:tcW w:w="3272" w:type="dxa"/>
            <w:tcBorders>
              <w:top w:val="single" w:sz="8" w:space="0" w:color="auto"/>
              <w:left w:val="single" w:sz="8" w:space="0" w:color="auto"/>
              <w:bottom w:val="single" w:sz="8" w:space="0" w:color="auto"/>
              <w:right w:val="single" w:sz="8" w:space="0" w:color="auto"/>
            </w:tcBorders>
            <w:shd w:val="clear" w:color="000000" w:fill="C0C0C0"/>
            <w:vAlign w:val="center"/>
            <w:hideMark/>
          </w:tcPr>
          <w:p w14:paraId="7BF8E1CE" w14:textId="77777777" w:rsidR="00DB42FC" w:rsidRPr="00DB42FC" w:rsidRDefault="00DB42FC" w:rsidP="005C00E1">
            <w:pPr>
              <w:rPr>
                <w:rFonts w:ascii="Arial" w:hAnsi="Arial" w:cs="Arial"/>
                <w:b/>
                <w:bCs/>
                <w:sz w:val="20"/>
                <w:szCs w:val="20"/>
              </w:rPr>
            </w:pPr>
            <w:r w:rsidRPr="00DB42FC">
              <w:rPr>
                <w:rFonts w:ascii="Arial" w:hAnsi="Arial" w:cs="Arial"/>
                <w:b/>
                <w:bCs/>
                <w:sz w:val="20"/>
                <w:szCs w:val="20"/>
              </w:rPr>
              <w:t>Campo</w:t>
            </w:r>
          </w:p>
        </w:tc>
        <w:tc>
          <w:tcPr>
            <w:tcW w:w="1276" w:type="dxa"/>
            <w:tcBorders>
              <w:top w:val="single" w:sz="8" w:space="0" w:color="auto"/>
              <w:left w:val="nil"/>
              <w:bottom w:val="single" w:sz="8" w:space="0" w:color="auto"/>
              <w:right w:val="single" w:sz="8" w:space="0" w:color="auto"/>
            </w:tcBorders>
            <w:shd w:val="clear" w:color="000000" w:fill="C0C0C0"/>
            <w:vAlign w:val="center"/>
            <w:hideMark/>
          </w:tcPr>
          <w:p w14:paraId="15FBA8A1" w14:textId="77777777" w:rsidR="00DB42FC" w:rsidRPr="00DB42FC" w:rsidRDefault="00DB42FC" w:rsidP="005C00E1">
            <w:pPr>
              <w:jc w:val="center"/>
              <w:rPr>
                <w:rFonts w:ascii="Arial" w:hAnsi="Arial" w:cs="Arial"/>
                <w:b/>
                <w:bCs/>
                <w:sz w:val="20"/>
                <w:szCs w:val="20"/>
              </w:rPr>
            </w:pPr>
            <w:r w:rsidRPr="00DB42FC">
              <w:rPr>
                <w:rFonts w:ascii="Arial" w:hAnsi="Arial" w:cs="Arial"/>
                <w:b/>
                <w:bCs/>
                <w:sz w:val="20"/>
                <w:szCs w:val="20"/>
              </w:rPr>
              <w:t>Tipo</w:t>
            </w:r>
          </w:p>
        </w:tc>
        <w:tc>
          <w:tcPr>
            <w:tcW w:w="1276" w:type="dxa"/>
            <w:tcBorders>
              <w:top w:val="single" w:sz="8" w:space="0" w:color="auto"/>
              <w:left w:val="nil"/>
              <w:bottom w:val="single" w:sz="8" w:space="0" w:color="auto"/>
              <w:right w:val="single" w:sz="8" w:space="0" w:color="auto"/>
            </w:tcBorders>
            <w:shd w:val="clear" w:color="000000" w:fill="C0C0C0"/>
            <w:vAlign w:val="center"/>
            <w:hideMark/>
          </w:tcPr>
          <w:p w14:paraId="7280E7A6" w14:textId="77777777" w:rsidR="00DB42FC" w:rsidRPr="00DB42FC" w:rsidRDefault="00DB42FC" w:rsidP="005C00E1">
            <w:pPr>
              <w:jc w:val="center"/>
              <w:rPr>
                <w:rFonts w:ascii="Arial" w:hAnsi="Arial" w:cs="Arial"/>
                <w:b/>
                <w:bCs/>
                <w:sz w:val="20"/>
                <w:szCs w:val="20"/>
              </w:rPr>
            </w:pPr>
            <w:r w:rsidRPr="00DB42FC">
              <w:rPr>
                <w:rFonts w:ascii="Arial" w:hAnsi="Arial" w:cs="Arial"/>
                <w:b/>
                <w:bCs/>
                <w:sz w:val="20"/>
                <w:szCs w:val="20"/>
              </w:rPr>
              <w:t>Tamanho</w:t>
            </w:r>
          </w:p>
        </w:tc>
        <w:tc>
          <w:tcPr>
            <w:tcW w:w="3542" w:type="dxa"/>
            <w:tcBorders>
              <w:top w:val="single" w:sz="8" w:space="0" w:color="auto"/>
              <w:left w:val="nil"/>
              <w:bottom w:val="single" w:sz="8" w:space="0" w:color="auto"/>
              <w:right w:val="single" w:sz="8" w:space="0" w:color="auto"/>
            </w:tcBorders>
            <w:shd w:val="clear" w:color="000000" w:fill="C0C0C0"/>
            <w:vAlign w:val="center"/>
            <w:hideMark/>
          </w:tcPr>
          <w:p w14:paraId="5643D03A" w14:textId="77777777" w:rsidR="00DB42FC" w:rsidRPr="00DB42FC" w:rsidRDefault="00DB42FC" w:rsidP="005C00E1">
            <w:pPr>
              <w:rPr>
                <w:rFonts w:ascii="Arial" w:hAnsi="Arial" w:cs="Arial"/>
                <w:b/>
                <w:bCs/>
                <w:sz w:val="20"/>
                <w:szCs w:val="20"/>
              </w:rPr>
            </w:pPr>
            <w:r w:rsidRPr="00DB42FC">
              <w:rPr>
                <w:rFonts w:ascii="Arial" w:hAnsi="Arial" w:cs="Arial"/>
                <w:b/>
                <w:bCs/>
                <w:sz w:val="20"/>
                <w:szCs w:val="20"/>
              </w:rPr>
              <w:t>Obrigatoriedade</w:t>
            </w:r>
          </w:p>
        </w:tc>
      </w:tr>
      <w:tr w:rsidR="00DB42FC" w:rsidRPr="00DB42FC" w14:paraId="7CF855B2" w14:textId="77777777" w:rsidTr="005C00E1">
        <w:trPr>
          <w:trHeight w:val="315"/>
        </w:trPr>
        <w:tc>
          <w:tcPr>
            <w:tcW w:w="9366" w:type="dxa"/>
            <w:gridSpan w:val="4"/>
            <w:tcBorders>
              <w:top w:val="single" w:sz="8" w:space="0" w:color="auto"/>
              <w:left w:val="single" w:sz="8" w:space="0" w:color="auto"/>
              <w:bottom w:val="single" w:sz="8" w:space="0" w:color="auto"/>
              <w:right w:val="single" w:sz="8" w:space="0" w:color="000000"/>
            </w:tcBorders>
            <w:shd w:val="clear" w:color="000000" w:fill="BFBFBF"/>
            <w:vAlign w:val="center"/>
            <w:hideMark/>
          </w:tcPr>
          <w:p w14:paraId="21A61ECD" w14:textId="77777777" w:rsidR="00DB42FC" w:rsidRPr="00DB42FC" w:rsidRDefault="00DB42FC" w:rsidP="005C00E1">
            <w:pPr>
              <w:jc w:val="center"/>
              <w:rPr>
                <w:rFonts w:ascii="Arial" w:hAnsi="Arial" w:cs="Arial"/>
                <w:b/>
                <w:bCs/>
                <w:sz w:val="20"/>
                <w:szCs w:val="20"/>
              </w:rPr>
            </w:pPr>
            <w:r w:rsidRPr="00DB42FC">
              <w:rPr>
                <w:rFonts w:ascii="Arial" w:hAnsi="Arial" w:cs="Arial"/>
                <w:b/>
                <w:bCs/>
                <w:sz w:val="20"/>
                <w:szCs w:val="20"/>
              </w:rPr>
              <w:t>Estrutura ‘</w:t>
            </w:r>
            <w:r w:rsidRPr="00DB42FC">
              <w:rPr>
                <w:rFonts w:ascii="Arial" w:hAnsi="Arial" w:cs="Arial"/>
                <w:b/>
                <w:sz w:val="20"/>
                <w:szCs w:val="20"/>
              </w:rPr>
              <w:t>EstoquePrecatorios’</w:t>
            </w:r>
          </w:p>
        </w:tc>
      </w:tr>
      <w:tr w:rsidR="00DB42FC" w:rsidRPr="00DB42FC" w14:paraId="6BBFEEC6" w14:textId="77777777" w:rsidTr="005C00E1">
        <w:trPr>
          <w:trHeight w:val="315"/>
        </w:trPr>
        <w:tc>
          <w:tcPr>
            <w:tcW w:w="3272" w:type="dxa"/>
            <w:tcBorders>
              <w:top w:val="nil"/>
              <w:left w:val="single" w:sz="8" w:space="0" w:color="auto"/>
              <w:bottom w:val="single" w:sz="8" w:space="0" w:color="auto"/>
              <w:right w:val="single" w:sz="8" w:space="0" w:color="auto"/>
            </w:tcBorders>
            <w:shd w:val="clear" w:color="auto" w:fill="auto"/>
            <w:vAlign w:val="center"/>
            <w:hideMark/>
          </w:tcPr>
          <w:p w14:paraId="5DFC797C" w14:textId="77777777" w:rsidR="00DB42FC" w:rsidRPr="00DB42FC" w:rsidRDefault="00DB42FC" w:rsidP="005C00E1">
            <w:pPr>
              <w:rPr>
                <w:rFonts w:ascii="Arial" w:hAnsi="Arial" w:cs="Arial"/>
                <w:sz w:val="20"/>
                <w:szCs w:val="20"/>
              </w:rPr>
            </w:pPr>
            <w:r w:rsidRPr="00DB42FC">
              <w:rPr>
                <w:rFonts w:ascii="Arial" w:hAnsi="Arial" w:cs="Arial"/>
                <w:sz w:val="20"/>
                <w:szCs w:val="20"/>
              </w:rPr>
              <w:t>Identificação do Número do Registro</w:t>
            </w:r>
          </w:p>
        </w:tc>
        <w:tc>
          <w:tcPr>
            <w:tcW w:w="1276" w:type="dxa"/>
            <w:tcBorders>
              <w:top w:val="nil"/>
              <w:left w:val="nil"/>
              <w:bottom w:val="single" w:sz="8" w:space="0" w:color="auto"/>
              <w:right w:val="single" w:sz="8" w:space="0" w:color="auto"/>
            </w:tcBorders>
            <w:shd w:val="clear" w:color="auto" w:fill="auto"/>
            <w:vAlign w:val="center"/>
            <w:hideMark/>
          </w:tcPr>
          <w:p w14:paraId="39CD7293" w14:textId="77777777" w:rsidR="00DB42FC" w:rsidRPr="00DB42FC" w:rsidRDefault="00DB42FC" w:rsidP="005C00E1">
            <w:pPr>
              <w:jc w:val="center"/>
              <w:rPr>
                <w:rFonts w:ascii="Arial" w:hAnsi="Arial" w:cs="Arial"/>
                <w:sz w:val="20"/>
                <w:szCs w:val="20"/>
              </w:rPr>
            </w:pPr>
            <w:r w:rsidRPr="00DB42FC">
              <w:rPr>
                <w:rFonts w:ascii="Arial" w:hAnsi="Arial" w:cs="Arial"/>
                <w:sz w:val="20"/>
                <w:szCs w:val="20"/>
              </w:rPr>
              <w:t>Inteiro</w:t>
            </w:r>
          </w:p>
        </w:tc>
        <w:tc>
          <w:tcPr>
            <w:tcW w:w="1276" w:type="dxa"/>
            <w:tcBorders>
              <w:top w:val="nil"/>
              <w:left w:val="nil"/>
              <w:bottom w:val="single" w:sz="8" w:space="0" w:color="auto"/>
              <w:right w:val="single" w:sz="8" w:space="0" w:color="auto"/>
            </w:tcBorders>
            <w:shd w:val="clear" w:color="auto" w:fill="auto"/>
            <w:vAlign w:val="center"/>
            <w:hideMark/>
          </w:tcPr>
          <w:p w14:paraId="19B133CB" w14:textId="77777777" w:rsidR="00DB42FC" w:rsidRPr="00DB42FC" w:rsidRDefault="00DB42FC" w:rsidP="005C00E1">
            <w:pPr>
              <w:jc w:val="center"/>
              <w:rPr>
                <w:rFonts w:ascii="Arial" w:hAnsi="Arial" w:cs="Arial"/>
                <w:sz w:val="20"/>
                <w:szCs w:val="20"/>
              </w:rPr>
            </w:pPr>
            <w:r w:rsidRPr="00DB42FC">
              <w:rPr>
                <w:rFonts w:ascii="Arial" w:hAnsi="Arial" w:cs="Arial"/>
                <w:sz w:val="20"/>
                <w:szCs w:val="20"/>
              </w:rPr>
              <w:t>5</w:t>
            </w:r>
          </w:p>
        </w:tc>
        <w:tc>
          <w:tcPr>
            <w:tcW w:w="3542" w:type="dxa"/>
            <w:tcBorders>
              <w:top w:val="nil"/>
              <w:left w:val="nil"/>
              <w:bottom w:val="single" w:sz="8" w:space="0" w:color="auto"/>
              <w:right w:val="single" w:sz="8" w:space="0" w:color="auto"/>
            </w:tcBorders>
            <w:shd w:val="clear" w:color="auto" w:fill="auto"/>
            <w:vAlign w:val="center"/>
            <w:hideMark/>
          </w:tcPr>
          <w:p w14:paraId="3E1CA3AD" w14:textId="77777777" w:rsidR="00DB42FC" w:rsidRPr="00DB42FC" w:rsidRDefault="00DB42FC" w:rsidP="005C00E1">
            <w:pPr>
              <w:rPr>
                <w:rFonts w:ascii="Arial" w:hAnsi="Arial" w:cs="Arial"/>
                <w:sz w:val="20"/>
                <w:szCs w:val="20"/>
              </w:rPr>
            </w:pPr>
            <w:r w:rsidRPr="00DB42FC">
              <w:rPr>
                <w:rFonts w:ascii="Arial" w:hAnsi="Arial" w:cs="Arial"/>
                <w:sz w:val="20"/>
                <w:szCs w:val="20"/>
              </w:rPr>
              <w:t>Obrigatório</w:t>
            </w:r>
          </w:p>
        </w:tc>
      </w:tr>
      <w:tr w:rsidR="00DB42FC" w:rsidRPr="00DB42FC" w14:paraId="67302420" w14:textId="77777777" w:rsidTr="005C00E1">
        <w:trPr>
          <w:trHeight w:val="315"/>
        </w:trPr>
        <w:tc>
          <w:tcPr>
            <w:tcW w:w="3272" w:type="dxa"/>
            <w:tcBorders>
              <w:top w:val="nil"/>
              <w:left w:val="single" w:sz="8" w:space="0" w:color="auto"/>
              <w:bottom w:val="single" w:sz="8" w:space="0" w:color="auto"/>
              <w:right w:val="single" w:sz="8" w:space="0" w:color="auto"/>
            </w:tcBorders>
            <w:shd w:val="clear" w:color="auto" w:fill="auto"/>
            <w:vAlign w:val="center"/>
            <w:hideMark/>
          </w:tcPr>
          <w:p w14:paraId="3D381458" w14:textId="77777777" w:rsidR="00DB42FC" w:rsidRPr="00DB42FC" w:rsidRDefault="00DB42FC" w:rsidP="005C00E1">
            <w:pPr>
              <w:rPr>
                <w:rFonts w:ascii="Arial" w:hAnsi="Arial" w:cs="Arial"/>
                <w:sz w:val="20"/>
                <w:szCs w:val="20"/>
              </w:rPr>
            </w:pPr>
            <w:r w:rsidRPr="00DB42FC">
              <w:rPr>
                <w:rFonts w:ascii="Arial" w:eastAsia="Times New Roman" w:hAnsi="Arial" w:cs="Arial"/>
                <w:sz w:val="20"/>
                <w:szCs w:val="20"/>
                <w:lang w:eastAsia="pt-BR"/>
              </w:rPr>
              <w:t>Código da Unidade Gestora ou CNPJ do Órgão Externo</w:t>
            </w:r>
          </w:p>
        </w:tc>
        <w:tc>
          <w:tcPr>
            <w:tcW w:w="1276" w:type="dxa"/>
            <w:tcBorders>
              <w:top w:val="nil"/>
              <w:left w:val="nil"/>
              <w:bottom w:val="single" w:sz="8" w:space="0" w:color="auto"/>
              <w:right w:val="single" w:sz="8" w:space="0" w:color="auto"/>
            </w:tcBorders>
            <w:shd w:val="clear" w:color="auto" w:fill="auto"/>
            <w:vAlign w:val="center"/>
            <w:hideMark/>
          </w:tcPr>
          <w:p w14:paraId="2B715BE5" w14:textId="77777777" w:rsidR="00DB42FC" w:rsidRPr="00DB42FC" w:rsidRDefault="00DB42FC" w:rsidP="005C00E1">
            <w:pPr>
              <w:jc w:val="center"/>
              <w:rPr>
                <w:rFonts w:ascii="Arial" w:hAnsi="Arial" w:cs="Arial"/>
                <w:sz w:val="20"/>
                <w:szCs w:val="20"/>
              </w:rPr>
            </w:pPr>
            <w:r w:rsidRPr="00DB42FC">
              <w:rPr>
                <w:rFonts w:ascii="Arial" w:hAnsi="Arial" w:cs="Arial"/>
                <w:sz w:val="20"/>
                <w:szCs w:val="20"/>
              </w:rPr>
              <w:t>Caracter</w:t>
            </w:r>
          </w:p>
        </w:tc>
        <w:tc>
          <w:tcPr>
            <w:tcW w:w="1276" w:type="dxa"/>
            <w:tcBorders>
              <w:top w:val="nil"/>
              <w:left w:val="nil"/>
              <w:bottom w:val="single" w:sz="8" w:space="0" w:color="auto"/>
              <w:right w:val="single" w:sz="8" w:space="0" w:color="auto"/>
            </w:tcBorders>
            <w:shd w:val="clear" w:color="auto" w:fill="auto"/>
            <w:vAlign w:val="center"/>
            <w:hideMark/>
          </w:tcPr>
          <w:p w14:paraId="36DF378F" w14:textId="77777777" w:rsidR="00DB42FC" w:rsidRPr="00DB42FC" w:rsidRDefault="00DB42FC" w:rsidP="005C00E1">
            <w:pPr>
              <w:jc w:val="center"/>
              <w:rPr>
                <w:rFonts w:ascii="Arial" w:hAnsi="Arial" w:cs="Arial"/>
                <w:sz w:val="20"/>
                <w:szCs w:val="20"/>
              </w:rPr>
            </w:pPr>
            <w:r w:rsidRPr="00DB42FC">
              <w:rPr>
                <w:rFonts w:ascii="Arial" w:hAnsi="Arial" w:cs="Arial"/>
                <w:sz w:val="20"/>
                <w:szCs w:val="20"/>
              </w:rPr>
              <w:t>14</w:t>
            </w:r>
          </w:p>
        </w:tc>
        <w:tc>
          <w:tcPr>
            <w:tcW w:w="3542" w:type="dxa"/>
            <w:tcBorders>
              <w:top w:val="nil"/>
              <w:left w:val="nil"/>
              <w:bottom w:val="single" w:sz="8" w:space="0" w:color="auto"/>
              <w:right w:val="single" w:sz="8" w:space="0" w:color="auto"/>
            </w:tcBorders>
            <w:shd w:val="clear" w:color="auto" w:fill="auto"/>
            <w:vAlign w:val="center"/>
            <w:hideMark/>
          </w:tcPr>
          <w:p w14:paraId="2C633AD9" w14:textId="77777777" w:rsidR="00DB42FC" w:rsidRPr="00DB42FC" w:rsidRDefault="00DB42FC" w:rsidP="005C00E1">
            <w:pPr>
              <w:rPr>
                <w:rFonts w:ascii="Arial" w:hAnsi="Arial" w:cs="Arial"/>
                <w:sz w:val="20"/>
                <w:szCs w:val="20"/>
              </w:rPr>
            </w:pPr>
            <w:r w:rsidRPr="00DB42FC">
              <w:rPr>
                <w:rFonts w:ascii="Arial" w:hAnsi="Arial" w:cs="Arial"/>
                <w:sz w:val="20"/>
                <w:szCs w:val="20"/>
              </w:rPr>
              <w:t>Obrigatório</w:t>
            </w:r>
          </w:p>
          <w:p w14:paraId="75D55EC3" w14:textId="77777777" w:rsidR="00DB42FC" w:rsidRPr="00DB42FC" w:rsidRDefault="00DB42FC" w:rsidP="005C00E1">
            <w:pPr>
              <w:spacing w:line="240" w:lineRule="auto"/>
              <w:jc w:val="both"/>
              <w:rPr>
                <w:rFonts w:ascii="Arial" w:eastAsia="Times New Roman" w:hAnsi="Arial" w:cs="Arial"/>
                <w:sz w:val="20"/>
                <w:szCs w:val="20"/>
                <w:lang w:eastAsia="pt-BR"/>
              </w:rPr>
            </w:pPr>
            <w:r w:rsidRPr="00DB42FC">
              <w:rPr>
                <w:rFonts w:ascii="Arial" w:eastAsia="Times New Roman" w:hAnsi="Arial" w:cs="Arial"/>
                <w:sz w:val="20"/>
                <w:szCs w:val="20"/>
                <w:lang w:eastAsia="pt-BR"/>
              </w:rPr>
              <w:t xml:space="preserve">     -- Ente sob gestão do TCEES: Código da UG</w:t>
            </w:r>
          </w:p>
          <w:p w14:paraId="15A14711" w14:textId="77777777" w:rsidR="00DB42FC" w:rsidRPr="00DB42FC" w:rsidRDefault="00DB42FC" w:rsidP="005C00E1">
            <w:pPr>
              <w:spacing w:line="240" w:lineRule="auto"/>
              <w:jc w:val="both"/>
              <w:rPr>
                <w:rFonts w:ascii="Arial" w:eastAsia="Times New Roman" w:hAnsi="Arial" w:cs="Arial"/>
                <w:sz w:val="20"/>
                <w:szCs w:val="20"/>
                <w:lang w:eastAsia="pt-BR"/>
              </w:rPr>
            </w:pPr>
            <w:r w:rsidRPr="00DB42FC">
              <w:rPr>
                <w:rFonts w:ascii="Arial" w:eastAsia="Times New Roman" w:hAnsi="Arial" w:cs="Arial"/>
                <w:sz w:val="20"/>
                <w:szCs w:val="20"/>
                <w:lang w:eastAsia="pt-BR"/>
              </w:rPr>
              <w:t xml:space="preserve">    -- Ente externo: CNPJ (não estar no cadastro de UGs)</w:t>
            </w:r>
          </w:p>
        </w:tc>
      </w:tr>
      <w:tr w:rsidR="00987631" w:rsidRPr="00987631" w14:paraId="624472A1" w14:textId="77777777" w:rsidTr="00EC5349">
        <w:trPr>
          <w:trHeight w:val="315"/>
        </w:trPr>
        <w:tc>
          <w:tcPr>
            <w:tcW w:w="3272" w:type="dxa"/>
            <w:tcBorders>
              <w:top w:val="nil"/>
              <w:left w:val="single" w:sz="8" w:space="0" w:color="auto"/>
              <w:bottom w:val="single" w:sz="8" w:space="0" w:color="auto"/>
              <w:right w:val="single" w:sz="8" w:space="0" w:color="auto"/>
            </w:tcBorders>
            <w:shd w:val="clear" w:color="auto" w:fill="auto"/>
            <w:vAlign w:val="center"/>
          </w:tcPr>
          <w:p w14:paraId="61A30167" w14:textId="77777777" w:rsidR="00987631" w:rsidRPr="00987631" w:rsidRDefault="00987631" w:rsidP="00EC5349">
            <w:pPr>
              <w:rPr>
                <w:rFonts w:ascii="Arial" w:hAnsi="Arial" w:cs="Arial"/>
                <w:sz w:val="20"/>
                <w:szCs w:val="20"/>
              </w:rPr>
            </w:pPr>
            <w:r w:rsidRPr="00987631">
              <w:rPr>
                <w:rFonts w:ascii="Arial" w:hAnsi="Arial" w:cs="Arial"/>
                <w:sz w:val="20"/>
                <w:szCs w:val="20"/>
              </w:rPr>
              <w:lastRenderedPageBreak/>
              <w:t>Descrição do Órgão Externo ou da Pessoa Física</w:t>
            </w:r>
          </w:p>
        </w:tc>
        <w:tc>
          <w:tcPr>
            <w:tcW w:w="1276" w:type="dxa"/>
            <w:tcBorders>
              <w:top w:val="nil"/>
              <w:left w:val="nil"/>
              <w:bottom w:val="single" w:sz="8" w:space="0" w:color="auto"/>
              <w:right w:val="single" w:sz="8" w:space="0" w:color="auto"/>
            </w:tcBorders>
            <w:shd w:val="clear" w:color="auto" w:fill="auto"/>
            <w:vAlign w:val="center"/>
          </w:tcPr>
          <w:p w14:paraId="4579B4F1" w14:textId="77777777" w:rsidR="00987631" w:rsidRPr="00987631" w:rsidRDefault="00987631" w:rsidP="00EC5349">
            <w:pPr>
              <w:jc w:val="center"/>
              <w:rPr>
                <w:rFonts w:ascii="Arial" w:hAnsi="Arial" w:cs="Arial"/>
                <w:sz w:val="20"/>
                <w:szCs w:val="20"/>
              </w:rPr>
            </w:pPr>
            <w:r w:rsidRPr="00987631">
              <w:rPr>
                <w:rFonts w:ascii="Arial" w:hAnsi="Arial" w:cs="Arial"/>
                <w:sz w:val="20"/>
                <w:szCs w:val="20"/>
              </w:rPr>
              <w:t>Caracter</w:t>
            </w:r>
          </w:p>
        </w:tc>
        <w:tc>
          <w:tcPr>
            <w:tcW w:w="1276" w:type="dxa"/>
            <w:tcBorders>
              <w:top w:val="nil"/>
              <w:left w:val="nil"/>
              <w:bottom w:val="single" w:sz="8" w:space="0" w:color="auto"/>
              <w:right w:val="single" w:sz="8" w:space="0" w:color="auto"/>
            </w:tcBorders>
            <w:shd w:val="clear" w:color="auto" w:fill="auto"/>
            <w:vAlign w:val="center"/>
          </w:tcPr>
          <w:p w14:paraId="691F6A4C" w14:textId="77777777" w:rsidR="00987631" w:rsidRPr="00987631" w:rsidRDefault="00987631" w:rsidP="00EC5349">
            <w:pPr>
              <w:jc w:val="center"/>
              <w:rPr>
                <w:rFonts w:ascii="Arial" w:hAnsi="Arial" w:cs="Arial"/>
                <w:sz w:val="20"/>
                <w:szCs w:val="20"/>
              </w:rPr>
            </w:pPr>
            <w:r w:rsidRPr="00987631">
              <w:rPr>
                <w:rFonts w:ascii="Arial" w:hAnsi="Arial" w:cs="Arial"/>
                <w:sz w:val="20"/>
                <w:szCs w:val="20"/>
              </w:rPr>
              <w:t>300</w:t>
            </w:r>
          </w:p>
        </w:tc>
        <w:tc>
          <w:tcPr>
            <w:tcW w:w="3542" w:type="dxa"/>
            <w:tcBorders>
              <w:top w:val="nil"/>
              <w:left w:val="nil"/>
              <w:bottom w:val="single" w:sz="8" w:space="0" w:color="auto"/>
              <w:right w:val="single" w:sz="8" w:space="0" w:color="auto"/>
            </w:tcBorders>
            <w:shd w:val="clear" w:color="auto" w:fill="auto"/>
            <w:vAlign w:val="center"/>
          </w:tcPr>
          <w:p w14:paraId="753DE343" w14:textId="77777777" w:rsidR="00987631" w:rsidRPr="00987631" w:rsidRDefault="00987631" w:rsidP="00EC5349">
            <w:pPr>
              <w:rPr>
                <w:rFonts w:ascii="Arial" w:hAnsi="Arial" w:cs="Arial"/>
                <w:sz w:val="20"/>
                <w:szCs w:val="20"/>
              </w:rPr>
            </w:pPr>
            <w:r w:rsidRPr="00987631">
              <w:rPr>
                <w:rFonts w:ascii="Arial" w:hAnsi="Arial" w:cs="Arial"/>
                <w:sz w:val="20"/>
                <w:szCs w:val="20"/>
              </w:rPr>
              <w:t>Obrigatório, apenas se o campo CodigoUnidadeGestora se tratar do CNPJ de órgão externo ou de CPF.</w:t>
            </w:r>
          </w:p>
        </w:tc>
      </w:tr>
      <w:tr w:rsidR="00DB42FC" w:rsidRPr="00DB42FC" w14:paraId="78FB51CC" w14:textId="77777777" w:rsidTr="005C00E1">
        <w:trPr>
          <w:trHeight w:val="315"/>
        </w:trPr>
        <w:tc>
          <w:tcPr>
            <w:tcW w:w="3272" w:type="dxa"/>
            <w:tcBorders>
              <w:top w:val="nil"/>
              <w:left w:val="single" w:sz="8" w:space="0" w:color="auto"/>
              <w:bottom w:val="single" w:sz="8" w:space="0" w:color="auto"/>
              <w:right w:val="single" w:sz="8" w:space="0" w:color="auto"/>
            </w:tcBorders>
            <w:shd w:val="clear" w:color="auto" w:fill="auto"/>
            <w:vAlign w:val="center"/>
            <w:hideMark/>
          </w:tcPr>
          <w:p w14:paraId="3CE6CE5F" w14:textId="77777777" w:rsidR="00DB42FC" w:rsidRPr="00DB42FC" w:rsidRDefault="00DB42FC" w:rsidP="005C00E1">
            <w:pPr>
              <w:rPr>
                <w:rFonts w:ascii="Arial" w:hAnsi="Arial" w:cs="Arial"/>
                <w:sz w:val="20"/>
                <w:szCs w:val="20"/>
              </w:rPr>
            </w:pPr>
            <w:r w:rsidRPr="00DB42FC">
              <w:rPr>
                <w:rFonts w:ascii="Arial" w:hAnsi="Arial" w:cs="Arial"/>
                <w:sz w:val="20"/>
                <w:szCs w:val="20"/>
              </w:rPr>
              <w:t>Ordem Cronológica de Pagamento</w:t>
            </w:r>
          </w:p>
        </w:tc>
        <w:tc>
          <w:tcPr>
            <w:tcW w:w="1276" w:type="dxa"/>
            <w:tcBorders>
              <w:top w:val="nil"/>
              <w:left w:val="nil"/>
              <w:bottom w:val="single" w:sz="8" w:space="0" w:color="auto"/>
              <w:right w:val="single" w:sz="8" w:space="0" w:color="auto"/>
            </w:tcBorders>
            <w:shd w:val="clear" w:color="auto" w:fill="auto"/>
            <w:vAlign w:val="center"/>
            <w:hideMark/>
          </w:tcPr>
          <w:p w14:paraId="7D87D7D1" w14:textId="77777777" w:rsidR="00DB42FC" w:rsidRPr="00DB42FC" w:rsidRDefault="00DB42FC" w:rsidP="005C00E1">
            <w:pPr>
              <w:jc w:val="center"/>
              <w:rPr>
                <w:rFonts w:ascii="Arial" w:hAnsi="Arial" w:cs="Arial"/>
                <w:sz w:val="20"/>
                <w:szCs w:val="20"/>
              </w:rPr>
            </w:pPr>
            <w:r w:rsidRPr="00DB42FC">
              <w:rPr>
                <w:rFonts w:ascii="Arial" w:hAnsi="Arial" w:cs="Arial"/>
                <w:sz w:val="20"/>
                <w:szCs w:val="20"/>
              </w:rPr>
              <w:t>Caracter</w:t>
            </w:r>
          </w:p>
        </w:tc>
        <w:tc>
          <w:tcPr>
            <w:tcW w:w="1276" w:type="dxa"/>
            <w:tcBorders>
              <w:top w:val="nil"/>
              <w:left w:val="nil"/>
              <w:bottom w:val="single" w:sz="8" w:space="0" w:color="auto"/>
              <w:right w:val="single" w:sz="8" w:space="0" w:color="auto"/>
            </w:tcBorders>
            <w:shd w:val="clear" w:color="auto" w:fill="auto"/>
            <w:vAlign w:val="center"/>
            <w:hideMark/>
          </w:tcPr>
          <w:p w14:paraId="5F6F6DCD" w14:textId="77777777" w:rsidR="00DB42FC" w:rsidRPr="00DB42FC" w:rsidRDefault="00DB42FC" w:rsidP="005C00E1">
            <w:pPr>
              <w:jc w:val="center"/>
              <w:rPr>
                <w:rFonts w:ascii="Arial" w:hAnsi="Arial" w:cs="Arial"/>
                <w:sz w:val="20"/>
                <w:szCs w:val="20"/>
              </w:rPr>
            </w:pPr>
            <w:r w:rsidRPr="00DB42FC">
              <w:rPr>
                <w:rFonts w:ascii="Arial" w:hAnsi="Arial" w:cs="Arial"/>
                <w:sz w:val="20"/>
                <w:szCs w:val="20"/>
              </w:rPr>
              <w:t>8</w:t>
            </w:r>
          </w:p>
        </w:tc>
        <w:tc>
          <w:tcPr>
            <w:tcW w:w="3542" w:type="dxa"/>
            <w:tcBorders>
              <w:top w:val="nil"/>
              <w:left w:val="nil"/>
              <w:bottom w:val="single" w:sz="8" w:space="0" w:color="auto"/>
              <w:right w:val="single" w:sz="8" w:space="0" w:color="auto"/>
            </w:tcBorders>
            <w:shd w:val="clear" w:color="auto" w:fill="auto"/>
            <w:vAlign w:val="center"/>
            <w:hideMark/>
          </w:tcPr>
          <w:p w14:paraId="50D43B7F" w14:textId="77777777" w:rsidR="00DB42FC" w:rsidRPr="00DB42FC" w:rsidRDefault="00DB42FC" w:rsidP="005C00E1">
            <w:pPr>
              <w:rPr>
                <w:rFonts w:ascii="Arial" w:hAnsi="Arial" w:cs="Arial"/>
                <w:sz w:val="20"/>
                <w:szCs w:val="20"/>
              </w:rPr>
            </w:pPr>
            <w:r w:rsidRPr="00DB42FC">
              <w:rPr>
                <w:rFonts w:ascii="Arial" w:hAnsi="Arial" w:cs="Arial"/>
                <w:sz w:val="20"/>
                <w:szCs w:val="20"/>
              </w:rPr>
              <w:t>Obrigatório</w:t>
            </w:r>
          </w:p>
        </w:tc>
      </w:tr>
      <w:tr w:rsidR="00DB42FC" w:rsidRPr="00DB42FC" w14:paraId="111AB4A0" w14:textId="77777777" w:rsidTr="005C00E1">
        <w:trPr>
          <w:trHeight w:val="315"/>
        </w:trPr>
        <w:tc>
          <w:tcPr>
            <w:tcW w:w="3272" w:type="dxa"/>
            <w:tcBorders>
              <w:top w:val="nil"/>
              <w:left w:val="single" w:sz="8" w:space="0" w:color="auto"/>
              <w:bottom w:val="single" w:sz="8" w:space="0" w:color="auto"/>
              <w:right w:val="single" w:sz="8" w:space="0" w:color="auto"/>
            </w:tcBorders>
            <w:shd w:val="clear" w:color="auto" w:fill="auto"/>
            <w:vAlign w:val="center"/>
            <w:hideMark/>
          </w:tcPr>
          <w:p w14:paraId="5C7DF711" w14:textId="77777777" w:rsidR="00DB42FC" w:rsidRPr="00DB42FC" w:rsidRDefault="00DB42FC" w:rsidP="005C00E1">
            <w:pPr>
              <w:rPr>
                <w:rFonts w:ascii="Arial" w:hAnsi="Arial" w:cs="Arial"/>
                <w:sz w:val="20"/>
                <w:szCs w:val="20"/>
              </w:rPr>
            </w:pPr>
            <w:r w:rsidRPr="00DB42FC">
              <w:rPr>
                <w:rFonts w:ascii="Arial" w:hAnsi="Arial" w:cs="Arial"/>
                <w:sz w:val="20"/>
                <w:szCs w:val="20"/>
              </w:rPr>
              <w:t>Número do Precatório</w:t>
            </w:r>
          </w:p>
        </w:tc>
        <w:tc>
          <w:tcPr>
            <w:tcW w:w="1276" w:type="dxa"/>
            <w:tcBorders>
              <w:top w:val="nil"/>
              <w:left w:val="nil"/>
              <w:bottom w:val="single" w:sz="8" w:space="0" w:color="auto"/>
              <w:right w:val="single" w:sz="8" w:space="0" w:color="auto"/>
            </w:tcBorders>
            <w:shd w:val="clear" w:color="auto" w:fill="auto"/>
            <w:vAlign w:val="center"/>
            <w:hideMark/>
          </w:tcPr>
          <w:p w14:paraId="677C4008" w14:textId="77777777" w:rsidR="00DB42FC" w:rsidRPr="00DB42FC" w:rsidRDefault="00DB42FC" w:rsidP="005C00E1">
            <w:pPr>
              <w:jc w:val="center"/>
              <w:rPr>
                <w:rFonts w:ascii="Arial" w:hAnsi="Arial" w:cs="Arial"/>
                <w:sz w:val="20"/>
                <w:szCs w:val="20"/>
              </w:rPr>
            </w:pPr>
            <w:r w:rsidRPr="00DB42FC">
              <w:rPr>
                <w:rFonts w:ascii="Arial" w:hAnsi="Arial" w:cs="Arial"/>
                <w:sz w:val="20"/>
                <w:szCs w:val="20"/>
              </w:rPr>
              <w:t>Caracter</w:t>
            </w:r>
          </w:p>
        </w:tc>
        <w:tc>
          <w:tcPr>
            <w:tcW w:w="1276" w:type="dxa"/>
            <w:tcBorders>
              <w:top w:val="nil"/>
              <w:left w:val="nil"/>
              <w:bottom w:val="single" w:sz="8" w:space="0" w:color="auto"/>
              <w:right w:val="single" w:sz="8" w:space="0" w:color="auto"/>
            </w:tcBorders>
            <w:shd w:val="clear" w:color="auto" w:fill="auto"/>
            <w:vAlign w:val="center"/>
            <w:hideMark/>
          </w:tcPr>
          <w:p w14:paraId="24B17296" w14:textId="77777777" w:rsidR="00DB42FC" w:rsidRPr="00DB42FC" w:rsidRDefault="00DB42FC" w:rsidP="005C00E1">
            <w:pPr>
              <w:jc w:val="center"/>
              <w:rPr>
                <w:rFonts w:ascii="Arial" w:hAnsi="Arial" w:cs="Arial"/>
                <w:sz w:val="20"/>
                <w:szCs w:val="20"/>
              </w:rPr>
            </w:pPr>
            <w:r w:rsidRPr="00DB42FC">
              <w:rPr>
                <w:rFonts w:ascii="Arial" w:hAnsi="Arial" w:cs="Arial"/>
                <w:sz w:val="20"/>
                <w:szCs w:val="20"/>
              </w:rPr>
              <w:t>30</w:t>
            </w:r>
          </w:p>
        </w:tc>
        <w:tc>
          <w:tcPr>
            <w:tcW w:w="3542" w:type="dxa"/>
            <w:tcBorders>
              <w:top w:val="nil"/>
              <w:left w:val="nil"/>
              <w:bottom w:val="single" w:sz="8" w:space="0" w:color="auto"/>
              <w:right w:val="single" w:sz="8" w:space="0" w:color="auto"/>
            </w:tcBorders>
            <w:shd w:val="clear" w:color="auto" w:fill="auto"/>
            <w:vAlign w:val="center"/>
            <w:hideMark/>
          </w:tcPr>
          <w:p w14:paraId="4685ABC0" w14:textId="77777777" w:rsidR="00DB42FC" w:rsidRPr="00DB42FC" w:rsidRDefault="00DB42FC" w:rsidP="005C00E1">
            <w:pPr>
              <w:rPr>
                <w:rFonts w:ascii="Arial" w:hAnsi="Arial" w:cs="Arial"/>
                <w:sz w:val="20"/>
                <w:szCs w:val="20"/>
              </w:rPr>
            </w:pPr>
            <w:r w:rsidRPr="00DB42FC">
              <w:rPr>
                <w:rFonts w:ascii="Arial" w:hAnsi="Arial" w:cs="Arial"/>
                <w:sz w:val="20"/>
                <w:szCs w:val="20"/>
              </w:rPr>
              <w:t>Obrigatório</w:t>
            </w:r>
          </w:p>
        </w:tc>
      </w:tr>
      <w:tr w:rsidR="00DB42FC" w:rsidRPr="00DB42FC" w14:paraId="1B96883E" w14:textId="77777777" w:rsidTr="005C00E1">
        <w:trPr>
          <w:trHeight w:val="315"/>
        </w:trPr>
        <w:tc>
          <w:tcPr>
            <w:tcW w:w="3272" w:type="dxa"/>
            <w:tcBorders>
              <w:top w:val="nil"/>
              <w:left w:val="single" w:sz="8" w:space="0" w:color="auto"/>
              <w:bottom w:val="single" w:sz="8" w:space="0" w:color="auto"/>
              <w:right w:val="single" w:sz="8" w:space="0" w:color="auto"/>
            </w:tcBorders>
            <w:shd w:val="clear" w:color="auto" w:fill="auto"/>
            <w:vAlign w:val="center"/>
          </w:tcPr>
          <w:p w14:paraId="489029BA" w14:textId="77777777" w:rsidR="00DB42FC" w:rsidRPr="00DB42FC" w:rsidRDefault="00DB42FC" w:rsidP="005C00E1">
            <w:pPr>
              <w:rPr>
                <w:rFonts w:ascii="Arial" w:hAnsi="Arial" w:cs="Arial"/>
                <w:sz w:val="20"/>
                <w:szCs w:val="20"/>
              </w:rPr>
            </w:pPr>
            <w:r w:rsidRPr="00DB42FC">
              <w:rPr>
                <w:rFonts w:ascii="Arial" w:hAnsi="Arial" w:cs="Arial"/>
                <w:sz w:val="20"/>
                <w:szCs w:val="20"/>
              </w:rPr>
              <w:t>Natureza do Precatório</w:t>
            </w:r>
          </w:p>
        </w:tc>
        <w:tc>
          <w:tcPr>
            <w:tcW w:w="1276" w:type="dxa"/>
            <w:tcBorders>
              <w:top w:val="nil"/>
              <w:left w:val="nil"/>
              <w:bottom w:val="single" w:sz="8" w:space="0" w:color="auto"/>
              <w:right w:val="single" w:sz="8" w:space="0" w:color="auto"/>
            </w:tcBorders>
            <w:shd w:val="clear" w:color="auto" w:fill="auto"/>
            <w:vAlign w:val="center"/>
          </w:tcPr>
          <w:p w14:paraId="5D9DA8F9" w14:textId="77777777" w:rsidR="00DB42FC" w:rsidRPr="00DB42FC" w:rsidRDefault="00DB42FC" w:rsidP="005C00E1">
            <w:pPr>
              <w:jc w:val="center"/>
              <w:rPr>
                <w:rFonts w:ascii="Arial" w:eastAsia="Times New Roman" w:hAnsi="Arial" w:cs="Arial"/>
                <w:sz w:val="20"/>
                <w:szCs w:val="20"/>
                <w:lang w:eastAsia="pt-BR"/>
              </w:rPr>
            </w:pPr>
            <w:r w:rsidRPr="00DB42FC">
              <w:rPr>
                <w:rFonts w:ascii="Arial" w:eastAsia="Times New Roman" w:hAnsi="Arial" w:cs="Arial"/>
                <w:sz w:val="20"/>
                <w:szCs w:val="20"/>
                <w:lang w:eastAsia="pt-BR"/>
              </w:rPr>
              <w:t>Inteiro</w:t>
            </w:r>
          </w:p>
        </w:tc>
        <w:tc>
          <w:tcPr>
            <w:tcW w:w="1276" w:type="dxa"/>
            <w:tcBorders>
              <w:top w:val="nil"/>
              <w:left w:val="nil"/>
              <w:bottom w:val="single" w:sz="8" w:space="0" w:color="auto"/>
              <w:right w:val="single" w:sz="8" w:space="0" w:color="auto"/>
            </w:tcBorders>
            <w:shd w:val="clear" w:color="auto" w:fill="auto"/>
            <w:vAlign w:val="center"/>
          </w:tcPr>
          <w:p w14:paraId="04684196" w14:textId="77777777" w:rsidR="00DB42FC" w:rsidRPr="00DB42FC" w:rsidRDefault="00DB42FC" w:rsidP="005C00E1">
            <w:pPr>
              <w:jc w:val="center"/>
              <w:rPr>
                <w:rFonts w:ascii="Arial" w:hAnsi="Arial" w:cs="Arial"/>
                <w:sz w:val="20"/>
                <w:szCs w:val="20"/>
              </w:rPr>
            </w:pPr>
            <w:r w:rsidRPr="00DB42FC">
              <w:rPr>
                <w:rFonts w:ascii="Arial" w:hAnsi="Arial" w:cs="Arial"/>
                <w:sz w:val="20"/>
                <w:szCs w:val="20"/>
              </w:rPr>
              <w:t>1</w:t>
            </w:r>
          </w:p>
        </w:tc>
        <w:tc>
          <w:tcPr>
            <w:tcW w:w="3542" w:type="dxa"/>
            <w:tcBorders>
              <w:top w:val="nil"/>
              <w:left w:val="nil"/>
              <w:bottom w:val="single" w:sz="8" w:space="0" w:color="auto"/>
              <w:right w:val="single" w:sz="8" w:space="0" w:color="auto"/>
            </w:tcBorders>
            <w:shd w:val="clear" w:color="auto" w:fill="auto"/>
            <w:vAlign w:val="center"/>
          </w:tcPr>
          <w:p w14:paraId="2EA8C4E6" w14:textId="77777777" w:rsidR="00DB42FC" w:rsidRPr="00DB42FC" w:rsidRDefault="00DB42FC" w:rsidP="005C00E1">
            <w:pPr>
              <w:spacing w:after="0" w:line="360" w:lineRule="auto"/>
              <w:rPr>
                <w:rFonts w:ascii="Arial" w:hAnsi="Arial" w:cs="Arial"/>
                <w:sz w:val="20"/>
                <w:szCs w:val="20"/>
              </w:rPr>
            </w:pPr>
            <w:r w:rsidRPr="00DB42FC">
              <w:rPr>
                <w:rFonts w:ascii="Arial" w:hAnsi="Arial" w:cs="Arial"/>
                <w:sz w:val="20"/>
                <w:szCs w:val="20"/>
              </w:rPr>
              <w:t>Obrigatório:</w:t>
            </w:r>
            <w:r w:rsidRPr="00DB42FC">
              <w:rPr>
                <w:rFonts w:ascii="Arial" w:hAnsi="Arial" w:cs="Arial"/>
                <w:sz w:val="20"/>
                <w:szCs w:val="20"/>
              </w:rPr>
              <w:br/>
              <w:t>1 - Alimentícia (&gt; 60 anos e portadores de doença grave)</w:t>
            </w:r>
            <w:r w:rsidRPr="00DB42FC">
              <w:rPr>
                <w:rFonts w:ascii="Arial" w:hAnsi="Arial" w:cs="Arial"/>
                <w:sz w:val="20"/>
                <w:szCs w:val="20"/>
              </w:rPr>
              <w:br/>
              <w:t>2 - Alimentícia (outros)</w:t>
            </w:r>
            <w:r w:rsidRPr="00DB42FC">
              <w:rPr>
                <w:rFonts w:ascii="Arial" w:hAnsi="Arial" w:cs="Arial"/>
                <w:sz w:val="20"/>
                <w:szCs w:val="20"/>
              </w:rPr>
              <w:br/>
              <w:t>3 - Natureza Comum</w:t>
            </w:r>
            <w:r w:rsidRPr="00DB42FC">
              <w:rPr>
                <w:rFonts w:ascii="Arial" w:hAnsi="Arial" w:cs="Arial"/>
                <w:sz w:val="20"/>
                <w:szCs w:val="20"/>
              </w:rPr>
              <w:br/>
              <w:t>4 - Outras Espécies</w:t>
            </w:r>
          </w:p>
        </w:tc>
      </w:tr>
      <w:tr w:rsidR="00DB42FC" w:rsidRPr="00DB42FC" w14:paraId="6EC8D7B6" w14:textId="77777777" w:rsidTr="005C00E1">
        <w:trPr>
          <w:trHeight w:val="315"/>
        </w:trPr>
        <w:tc>
          <w:tcPr>
            <w:tcW w:w="3272" w:type="dxa"/>
            <w:tcBorders>
              <w:top w:val="nil"/>
              <w:left w:val="single" w:sz="8" w:space="0" w:color="auto"/>
              <w:bottom w:val="single" w:sz="8" w:space="0" w:color="auto"/>
              <w:right w:val="single" w:sz="8" w:space="0" w:color="auto"/>
            </w:tcBorders>
            <w:shd w:val="clear" w:color="auto" w:fill="auto"/>
            <w:vAlign w:val="center"/>
          </w:tcPr>
          <w:p w14:paraId="78F58072" w14:textId="77777777" w:rsidR="00DB42FC" w:rsidRPr="00DB42FC" w:rsidRDefault="00DB42FC" w:rsidP="005C00E1">
            <w:pPr>
              <w:spacing w:after="0" w:line="360" w:lineRule="auto"/>
              <w:jc w:val="both"/>
              <w:rPr>
                <w:rFonts w:ascii="Arial" w:hAnsi="Arial" w:cs="Arial"/>
                <w:sz w:val="20"/>
                <w:szCs w:val="20"/>
              </w:rPr>
            </w:pPr>
            <w:r w:rsidRPr="00DB42FC">
              <w:rPr>
                <w:rFonts w:ascii="Arial" w:hAnsi="Arial" w:cs="Arial"/>
                <w:sz w:val="20"/>
                <w:szCs w:val="20"/>
              </w:rPr>
              <w:t>CPF/CNPJ do Beneficiário</w:t>
            </w:r>
          </w:p>
        </w:tc>
        <w:tc>
          <w:tcPr>
            <w:tcW w:w="1276" w:type="dxa"/>
            <w:tcBorders>
              <w:top w:val="nil"/>
              <w:left w:val="nil"/>
              <w:bottom w:val="single" w:sz="8" w:space="0" w:color="auto"/>
              <w:right w:val="single" w:sz="8" w:space="0" w:color="auto"/>
            </w:tcBorders>
            <w:shd w:val="clear" w:color="auto" w:fill="auto"/>
            <w:vAlign w:val="center"/>
          </w:tcPr>
          <w:p w14:paraId="7D4D9204" w14:textId="77777777" w:rsidR="00DB42FC" w:rsidRPr="00DB42FC" w:rsidRDefault="00DB42FC" w:rsidP="005C00E1">
            <w:pPr>
              <w:spacing w:after="0" w:line="360" w:lineRule="auto"/>
              <w:jc w:val="center"/>
              <w:rPr>
                <w:rFonts w:ascii="Arial" w:hAnsi="Arial" w:cs="Arial"/>
                <w:sz w:val="20"/>
                <w:szCs w:val="20"/>
              </w:rPr>
            </w:pPr>
            <w:r w:rsidRPr="00DB42FC">
              <w:rPr>
                <w:rFonts w:ascii="Arial" w:hAnsi="Arial" w:cs="Arial"/>
                <w:sz w:val="20"/>
                <w:szCs w:val="20"/>
              </w:rPr>
              <w:t>Caracter</w:t>
            </w:r>
          </w:p>
        </w:tc>
        <w:tc>
          <w:tcPr>
            <w:tcW w:w="1276" w:type="dxa"/>
            <w:tcBorders>
              <w:top w:val="nil"/>
              <w:left w:val="nil"/>
              <w:bottom w:val="single" w:sz="8" w:space="0" w:color="auto"/>
              <w:right w:val="single" w:sz="8" w:space="0" w:color="auto"/>
            </w:tcBorders>
            <w:shd w:val="clear" w:color="auto" w:fill="auto"/>
            <w:vAlign w:val="center"/>
          </w:tcPr>
          <w:p w14:paraId="23E7A65B" w14:textId="77777777" w:rsidR="00DB42FC" w:rsidRPr="00DB42FC" w:rsidRDefault="00DB42FC" w:rsidP="005C00E1">
            <w:pPr>
              <w:spacing w:after="0" w:line="360" w:lineRule="auto"/>
              <w:jc w:val="center"/>
              <w:rPr>
                <w:rFonts w:ascii="Arial" w:hAnsi="Arial" w:cs="Arial"/>
                <w:sz w:val="20"/>
                <w:szCs w:val="20"/>
              </w:rPr>
            </w:pPr>
            <w:r w:rsidRPr="00DB42FC">
              <w:rPr>
                <w:rFonts w:ascii="Arial" w:hAnsi="Arial" w:cs="Arial"/>
                <w:sz w:val="20"/>
                <w:szCs w:val="20"/>
              </w:rPr>
              <w:t>14</w:t>
            </w:r>
          </w:p>
        </w:tc>
        <w:tc>
          <w:tcPr>
            <w:tcW w:w="3542" w:type="dxa"/>
            <w:tcBorders>
              <w:top w:val="nil"/>
              <w:left w:val="nil"/>
              <w:bottom w:val="single" w:sz="8" w:space="0" w:color="auto"/>
              <w:right w:val="single" w:sz="8" w:space="0" w:color="auto"/>
            </w:tcBorders>
            <w:shd w:val="clear" w:color="auto" w:fill="auto"/>
            <w:vAlign w:val="center"/>
          </w:tcPr>
          <w:p w14:paraId="08E5B120" w14:textId="77777777" w:rsidR="00DB42FC" w:rsidRPr="00DB42FC" w:rsidRDefault="00DB42FC" w:rsidP="005C00E1">
            <w:pPr>
              <w:spacing w:after="0" w:line="360" w:lineRule="auto"/>
              <w:jc w:val="both"/>
              <w:rPr>
                <w:rFonts w:ascii="Arial" w:hAnsi="Arial" w:cs="Arial"/>
                <w:sz w:val="20"/>
                <w:szCs w:val="20"/>
              </w:rPr>
            </w:pPr>
            <w:r w:rsidRPr="00DB42FC">
              <w:rPr>
                <w:rFonts w:ascii="Arial" w:hAnsi="Arial" w:cs="Arial"/>
                <w:sz w:val="20"/>
                <w:szCs w:val="20"/>
              </w:rPr>
              <w:t>Obrigatório</w:t>
            </w:r>
          </w:p>
        </w:tc>
      </w:tr>
      <w:tr w:rsidR="00DB42FC" w:rsidRPr="00DB42FC" w14:paraId="1006D3C7" w14:textId="77777777" w:rsidTr="005C00E1">
        <w:trPr>
          <w:trHeight w:val="315"/>
        </w:trPr>
        <w:tc>
          <w:tcPr>
            <w:tcW w:w="3272" w:type="dxa"/>
            <w:tcBorders>
              <w:top w:val="nil"/>
              <w:left w:val="single" w:sz="8" w:space="0" w:color="auto"/>
              <w:bottom w:val="single" w:sz="8" w:space="0" w:color="auto"/>
              <w:right w:val="single" w:sz="8" w:space="0" w:color="auto"/>
            </w:tcBorders>
            <w:shd w:val="clear" w:color="auto" w:fill="auto"/>
            <w:vAlign w:val="center"/>
          </w:tcPr>
          <w:p w14:paraId="2A085F13" w14:textId="77777777" w:rsidR="00DB42FC" w:rsidRPr="00DB42FC" w:rsidRDefault="00DB42FC" w:rsidP="005C00E1">
            <w:pPr>
              <w:rPr>
                <w:rFonts w:ascii="Arial" w:hAnsi="Arial" w:cs="Arial"/>
                <w:sz w:val="20"/>
                <w:szCs w:val="20"/>
              </w:rPr>
            </w:pPr>
            <w:r w:rsidRPr="00DB42FC">
              <w:rPr>
                <w:rFonts w:ascii="Arial" w:hAnsi="Arial" w:cs="Arial"/>
                <w:sz w:val="20"/>
                <w:szCs w:val="20"/>
              </w:rPr>
              <w:t>Nome do Beneficiário</w:t>
            </w:r>
          </w:p>
        </w:tc>
        <w:tc>
          <w:tcPr>
            <w:tcW w:w="1276" w:type="dxa"/>
            <w:tcBorders>
              <w:top w:val="nil"/>
              <w:left w:val="nil"/>
              <w:bottom w:val="single" w:sz="8" w:space="0" w:color="auto"/>
              <w:right w:val="single" w:sz="8" w:space="0" w:color="auto"/>
            </w:tcBorders>
            <w:shd w:val="clear" w:color="auto" w:fill="auto"/>
            <w:vAlign w:val="center"/>
          </w:tcPr>
          <w:p w14:paraId="1E341C6B" w14:textId="77777777" w:rsidR="00DB42FC" w:rsidRPr="00DB42FC" w:rsidRDefault="00DB42FC" w:rsidP="005C00E1">
            <w:pPr>
              <w:jc w:val="center"/>
              <w:rPr>
                <w:rFonts w:ascii="Arial" w:hAnsi="Arial" w:cs="Arial"/>
                <w:sz w:val="20"/>
                <w:szCs w:val="20"/>
              </w:rPr>
            </w:pPr>
            <w:r w:rsidRPr="00DB42FC">
              <w:rPr>
                <w:rFonts w:ascii="Arial" w:eastAsia="Times New Roman" w:hAnsi="Arial" w:cs="Arial"/>
                <w:sz w:val="20"/>
                <w:szCs w:val="20"/>
                <w:lang w:eastAsia="pt-BR"/>
              </w:rPr>
              <w:t>Caracter</w:t>
            </w:r>
          </w:p>
        </w:tc>
        <w:tc>
          <w:tcPr>
            <w:tcW w:w="1276" w:type="dxa"/>
            <w:tcBorders>
              <w:top w:val="nil"/>
              <w:left w:val="nil"/>
              <w:bottom w:val="single" w:sz="8" w:space="0" w:color="auto"/>
              <w:right w:val="single" w:sz="8" w:space="0" w:color="auto"/>
            </w:tcBorders>
            <w:shd w:val="clear" w:color="auto" w:fill="auto"/>
            <w:vAlign w:val="center"/>
          </w:tcPr>
          <w:p w14:paraId="5032F768" w14:textId="77777777" w:rsidR="00DB42FC" w:rsidRPr="00DB42FC" w:rsidRDefault="00DB42FC" w:rsidP="005C00E1">
            <w:pPr>
              <w:spacing w:after="0" w:line="360" w:lineRule="auto"/>
              <w:jc w:val="center"/>
              <w:rPr>
                <w:rFonts w:ascii="Arial" w:hAnsi="Arial" w:cs="Arial"/>
                <w:sz w:val="20"/>
                <w:szCs w:val="20"/>
              </w:rPr>
            </w:pPr>
            <w:r w:rsidRPr="00DB42FC">
              <w:rPr>
                <w:rFonts w:ascii="Arial" w:hAnsi="Arial" w:cs="Arial"/>
                <w:sz w:val="20"/>
                <w:szCs w:val="20"/>
              </w:rPr>
              <w:t>200</w:t>
            </w:r>
          </w:p>
        </w:tc>
        <w:tc>
          <w:tcPr>
            <w:tcW w:w="3542" w:type="dxa"/>
            <w:tcBorders>
              <w:top w:val="nil"/>
              <w:left w:val="nil"/>
              <w:bottom w:val="single" w:sz="8" w:space="0" w:color="auto"/>
              <w:right w:val="single" w:sz="8" w:space="0" w:color="auto"/>
            </w:tcBorders>
            <w:shd w:val="clear" w:color="auto" w:fill="auto"/>
            <w:vAlign w:val="center"/>
          </w:tcPr>
          <w:p w14:paraId="4E4A3602" w14:textId="77777777" w:rsidR="00DB42FC" w:rsidRPr="00DB42FC" w:rsidRDefault="00DB42FC" w:rsidP="005C00E1">
            <w:pPr>
              <w:spacing w:after="0" w:line="360" w:lineRule="auto"/>
              <w:jc w:val="both"/>
              <w:rPr>
                <w:rFonts w:ascii="Arial" w:hAnsi="Arial" w:cs="Arial"/>
                <w:sz w:val="20"/>
                <w:szCs w:val="20"/>
              </w:rPr>
            </w:pPr>
            <w:r w:rsidRPr="00DB42FC">
              <w:rPr>
                <w:rFonts w:ascii="Arial" w:hAnsi="Arial" w:cs="Arial"/>
                <w:sz w:val="20"/>
                <w:szCs w:val="20"/>
              </w:rPr>
              <w:t>Obrigatório</w:t>
            </w:r>
          </w:p>
        </w:tc>
      </w:tr>
      <w:tr w:rsidR="00DB42FC" w:rsidRPr="00DB42FC" w14:paraId="009F7941" w14:textId="77777777" w:rsidTr="005C00E1">
        <w:trPr>
          <w:trHeight w:val="315"/>
        </w:trPr>
        <w:tc>
          <w:tcPr>
            <w:tcW w:w="3272" w:type="dxa"/>
            <w:tcBorders>
              <w:top w:val="nil"/>
              <w:left w:val="single" w:sz="8" w:space="0" w:color="auto"/>
              <w:bottom w:val="single" w:sz="8" w:space="0" w:color="auto"/>
              <w:right w:val="single" w:sz="8" w:space="0" w:color="auto"/>
            </w:tcBorders>
            <w:shd w:val="clear" w:color="auto" w:fill="auto"/>
            <w:vAlign w:val="center"/>
          </w:tcPr>
          <w:p w14:paraId="70F74618" w14:textId="77777777" w:rsidR="00DB42FC" w:rsidRPr="00DB42FC" w:rsidRDefault="00DB42FC" w:rsidP="005C00E1">
            <w:pPr>
              <w:rPr>
                <w:rFonts w:ascii="Arial" w:hAnsi="Arial" w:cs="Arial"/>
                <w:sz w:val="20"/>
                <w:szCs w:val="20"/>
              </w:rPr>
            </w:pPr>
            <w:r w:rsidRPr="00DB42FC">
              <w:rPr>
                <w:rFonts w:ascii="Arial" w:hAnsi="Arial" w:cs="Arial"/>
                <w:sz w:val="20"/>
                <w:szCs w:val="20"/>
              </w:rPr>
              <w:t>Ano de inclusão no orçamento (AAAA)</w:t>
            </w:r>
          </w:p>
        </w:tc>
        <w:tc>
          <w:tcPr>
            <w:tcW w:w="1276" w:type="dxa"/>
            <w:tcBorders>
              <w:top w:val="nil"/>
              <w:left w:val="nil"/>
              <w:bottom w:val="single" w:sz="8" w:space="0" w:color="auto"/>
              <w:right w:val="single" w:sz="8" w:space="0" w:color="auto"/>
            </w:tcBorders>
            <w:shd w:val="clear" w:color="auto" w:fill="auto"/>
          </w:tcPr>
          <w:p w14:paraId="5948E786" w14:textId="77777777" w:rsidR="00DB42FC" w:rsidRPr="00DB42FC" w:rsidRDefault="00DB42FC" w:rsidP="005C00E1">
            <w:pPr>
              <w:jc w:val="center"/>
            </w:pPr>
            <w:r w:rsidRPr="00DB42FC">
              <w:t>Inteiro</w:t>
            </w:r>
          </w:p>
        </w:tc>
        <w:tc>
          <w:tcPr>
            <w:tcW w:w="1276" w:type="dxa"/>
            <w:tcBorders>
              <w:top w:val="nil"/>
              <w:left w:val="nil"/>
              <w:bottom w:val="single" w:sz="8" w:space="0" w:color="auto"/>
              <w:right w:val="single" w:sz="8" w:space="0" w:color="auto"/>
            </w:tcBorders>
            <w:shd w:val="clear" w:color="auto" w:fill="auto"/>
          </w:tcPr>
          <w:p w14:paraId="5CE6F398" w14:textId="77777777" w:rsidR="00DB42FC" w:rsidRPr="00DB42FC" w:rsidRDefault="00DB42FC" w:rsidP="005C00E1">
            <w:pPr>
              <w:jc w:val="center"/>
            </w:pPr>
            <w:r w:rsidRPr="00DB42FC">
              <w:t>4</w:t>
            </w:r>
          </w:p>
        </w:tc>
        <w:tc>
          <w:tcPr>
            <w:tcW w:w="3542" w:type="dxa"/>
            <w:tcBorders>
              <w:top w:val="nil"/>
              <w:left w:val="nil"/>
              <w:bottom w:val="single" w:sz="8" w:space="0" w:color="auto"/>
              <w:right w:val="single" w:sz="8" w:space="0" w:color="auto"/>
            </w:tcBorders>
            <w:shd w:val="clear" w:color="auto" w:fill="auto"/>
          </w:tcPr>
          <w:p w14:paraId="231BE7FC" w14:textId="77777777" w:rsidR="00DB42FC" w:rsidRPr="00DB42FC" w:rsidRDefault="00DB42FC" w:rsidP="005C00E1">
            <w:r w:rsidRPr="00DB42FC">
              <w:t>Obrigatório</w:t>
            </w:r>
          </w:p>
        </w:tc>
      </w:tr>
      <w:tr w:rsidR="00DB42FC" w:rsidRPr="00DB42FC" w14:paraId="6A96978F" w14:textId="77777777" w:rsidTr="005C00E1">
        <w:trPr>
          <w:trHeight w:val="315"/>
        </w:trPr>
        <w:tc>
          <w:tcPr>
            <w:tcW w:w="3272" w:type="dxa"/>
            <w:tcBorders>
              <w:top w:val="nil"/>
              <w:left w:val="single" w:sz="8" w:space="0" w:color="auto"/>
              <w:bottom w:val="single" w:sz="8" w:space="0" w:color="auto"/>
              <w:right w:val="single" w:sz="8" w:space="0" w:color="auto"/>
            </w:tcBorders>
            <w:shd w:val="clear" w:color="auto" w:fill="auto"/>
            <w:vAlign w:val="center"/>
          </w:tcPr>
          <w:p w14:paraId="00FB69C4" w14:textId="77777777" w:rsidR="00DB42FC" w:rsidRPr="00DB42FC" w:rsidRDefault="00DB42FC" w:rsidP="005C00E1">
            <w:pPr>
              <w:rPr>
                <w:rFonts w:ascii="Arial" w:hAnsi="Arial" w:cs="Arial"/>
                <w:sz w:val="20"/>
                <w:szCs w:val="20"/>
              </w:rPr>
            </w:pPr>
            <w:r w:rsidRPr="00DB42FC">
              <w:rPr>
                <w:rFonts w:ascii="Arial" w:hAnsi="Arial" w:cs="Arial"/>
                <w:sz w:val="20"/>
                <w:szCs w:val="20"/>
              </w:rPr>
              <w:t>Data de Recebimento</w:t>
            </w:r>
          </w:p>
        </w:tc>
        <w:tc>
          <w:tcPr>
            <w:tcW w:w="1276" w:type="dxa"/>
            <w:tcBorders>
              <w:top w:val="nil"/>
              <w:left w:val="nil"/>
              <w:bottom w:val="single" w:sz="8" w:space="0" w:color="auto"/>
              <w:right w:val="single" w:sz="8" w:space="0" w:color="auto"/>
            </w:tcBorders>
            <w:shd w:val="clear" w:color="auto" w:fill="auto"/>
          </w:tcPr>
          <w:p w14:paraId="48152BB1" w14:textId="77777777" w:rsidR="00DB42FC" w:rsidRPr="00DB42FC" w:rsidRDefault="00DB42FC" w:rsidP="005C00E1">
            <w:pPr>
              <w:jc w:val="center"/>
            </w:pPr>
            <w:r w:rsidRPr="00DB42FC">
              <w:rPr>
                <w:rFonts w:ascii="Arial" w:eastAsia="Times New Roman" w:hAnsi="Arial" w:cs="Arial"/>
                <w:sz w:val="20"/>
                <w:szCs w:val="20"/>
                <w:lang w:eastAsia="pt-BR"/>
              </w:rPr>
              <w:t>Data</w:t>
            </w:r>
          </w:p>
        </w:tc>
        <w:tc>
          <w:tcPr>
            <w:tcW w:w="1276" w:type="dxa"/>
            <w:tcBorders>
              <w:top w:val="nil"/>
              <w:left w:val="nil"/>
              <w:bottom w:val="single" w:sz="8" w:space="0" w:color="auto"/>
              <w:right w:val="single" w:sz="8" w:space="0" w:color="auto"/>
            </w:tcBorders>
            <w:shd w:val="clear" w:color="auto" w:fill="auto"/>
          </w:tcPr>
          <w:p w14:paraId="6F3A0012" w14:textId="77777777" w:rsidR="00DB42FC" w:rsidRPr="00DB42FC" w:rsidRDefault="00DB42FC" w:rsidP="005C00E1">
            <w:pPr>
              <w:jc w:val="center"/>
            </w:pPr>
            <w:r w:rsidRPr="00DB42FC">
              <w:t>10</w:t>
            </w:r>
          </w:p>
        </w:tc>
        <w:tc>
          <w:tcPr>
            <w:tcW w:w="3542" w:type="dxa"/>
            <w:tcBorders>
              <w:top w:val="nil"/>
              <w:left w:val="nil"/>
              <w:bottom w:val="single" w:sz="8" w:space="0" w:color="auto"/>
              <w:right w:val="single" w:sz="8" w:space="0" w:color="auto"/>
            </w:tcBorders>
            <w:shd w:val="clear" w:color="auto" w:fill="auto"/>
          </w:tcPr>
          <w:p w14:paraId="1F21B12C" w14:textId="77777777" w:rsidR="00DB42FC" w:rsidRPr="00DB42FC" w:rsidRDefault="00DB42FC" w:rsidP="005C00E1">
            <w:r w:rsidRPr="00DB42FC">
              <w:rPr>
                <w:rFonts w:ascii="Arial" w:eastAsia="Times New Roman" w:hAnsi="Arial" w:cs="Arial"/>
                <w:sz w:val="20"/>
                <w:szCs w:val="20"/>
                <w:lang w:eastAsia="pt-BR"/>
              </w:rPr>
              <w:t>Obrigatório, AAAA-MM-DD</w:t>
            </w:r>
          </w:p>
        </w:tc>
      </w:tr>
      <w:tr w:rsidR="00DB42FC" w:rsidRPr="00DB42FC" w14:paraId="54269F5E" w14:textId="77777777" w:rsidTr="005C00E1">
        <w:trPr>
          <w:trHeight w:val="315"/>
        </w:trPr>
        <w:tc>
          <w:tcPr>
            <w:tcW w:w="3272" w:type="dxa"/>
            <w:tcBorders>
              <w:top w:val="nil"/>
              <w:left w:val="single" w:sz="8" w:space="0" w:color="auto"/>
              <w:bottom w:val="single" w:sz="8" w:space="0" w:color="auto"/>
              <w:right w:val="single" w:sz="8" w:space="0" w:color="auto"/>
            </w:tcBorders>
            <w:shd w:val="clear" w:color="auto" w:fill="auto"/>
            <w:vAlign w:val="center"/>
          </w:tcPr>
          <w:p w14:paraId="2E413A18" w14:textId="77777777" w:rsidR="00DB42FC" w:rsidRPr="00DB42FC" w:rsidRDefault="00DB42FC" w:rsidP="005C00E1">
            <w:pPr>
              <w:rPr>
                <w:rFonts w:ascii="Arial" w:hAnsi="Arial" w:cs="Arial"/>
                <w:sz w:val="20"/>
                <w:szCs w:val="20"/>
              </w:rPr>
            </w:pPr>
            <w:r w:rsidRPr="00DB42FC">
              <w:rPr>
                <w:rFonts w:ascii="Arial" w:hAnsi="Arial" w:cs="Arial"/>
                <w:sz w:val="20"/>
                <w:szCs w:val="20"/>
              </w:rPr>
              <w:t>Prioridade</w:t>
            </w:r>
          </w:p>
        </w:tc>
        <w:tc>
          <w:tcPr>
            <w:tcW w:w="1276" w:type="dxa"/>
            <w:tcBorders>
              <w:top w:val="nil"/>
              <w:left w:val="nil"/>
              <w:bottom w:val="single" w:sz="8" w:space="0" w:color="auto"/>
              <w:right w:val="single" w:sz="8" w:space="0" w:color="auto"/>
            </w:tcBorders>
            <w:shd w:val="clear" w:color="auto" w:fill="auto"/>
          </w:tcPr>
          <w:p w14:paraId="175E68D6" w14:textId="77777777" w:rsidR="00DB42FC" w:rsidRPr="00DB42FC" w:rsidRDefault="00DB42FC" w:rsidP="005C00E1">
            <w:pPr>
              <w:jc w:val="center"/>
            </w:pPr>
            <w:r w:rsidRPr="00DB42FC">
              <w:t>Inteiro</w:t>
            </w:r>
          </w:p>
        </w:tc>
        <w:tc>
          <w:tcPr>
            <w:tcW w:w="1276" w:type="dxa"/>
            <w:tcBorders>
              <w:top w:val="nil"/>
              <w:left w:val="nil"/>
              <w:bottom w:val="single" w:sz="8" w:space="0" w:color="auto"/>
              <w:right w:val="single" w:sz="8" w:space="0" w:color="auto"/>
            </w:tcBorders>
            <w:shd w:val="clear" w:color="auto" w:fill="auto"/>
          </w:tcPr>
          <w:p w14:paraId="1BE8A379" w14:textId="77777777" w:rsidR="00DB42FC" w:rsidRPr="00DB42FC" w:rsidRDefault="00DB42FC" w:rsidP="005C00E1">
            <w:pPr>
              <w:jc w:val="center"/>
            </w:pPr>
            <w:r w:rsidRPr="00DB42FC">
              <w:t>1</w:t>
            </w:r>
          </w:p>
        </w:tc>
        <w:tc>
          <w:tcPr>
            <w:tcW w:w="3542" w:type="dxa"/>
            <w:tcBorders>
              <w:top w:val="nil"/>
              <w:left w:val="nil"/>
              <w:bottom w:val="single" w:sz="8" w:space="0" w:color="auto"/>
              <w:right w:val="single" w:sz="8" w:space="0" w:color="auto"/>
            </w:tcBorders>
            <w:shd w:val="clear" w:color="auto" w:fill="auto"/>
          </w:tcPr>
          <w:p w14:paraId="492510FB" w14:textId="77777777" w:rsidR="00BE5C02" w:rsidRDefault="00BE5C02" w:rsidP="00BE5C02">
            <w:pPr>
              <w:spacing w:after="0" w:line="360" w:lineRule="auto"/>
            </w:pPr>
            <w:r>
              <w:t>Obrigatório:</w:t>
            </w:r>
          </w:p>
          <w:p w14:paraId="14911EEF" w14:textId="77777777" w:rsidR="00BE5C02" w:rsidRDefault="00DB42FC" w:rsidP="00BE5C02">
            <w:pPr>
              <w:spacing w:after="0" w:line="360" w:lineRule="auto"/>
            </w:pPr>
            <w:r w:rsidRPr="00DB42FC">
              <w:t>1 – Sim</w:t>
            </w:r>
          </w:p>
          <w:p w14:paraId="46D4289B" w14:textId="29296F7D" w:rsidR="00DB42FC" w:rsidRPr="00DB42FC" w:rsidRDefault="00BE5C02" w:rsidP="00BE5C02">
            <w:pPr>
              <w:spacing w:after="0" w:line="360" w:lineRule="auto"/>
            </w:pPr>
            <w:r>
              <w:t>2</w:t>
            </w:r>
            <w:r w:rsidR="00DB42FC" w:rsidRPr="00DB42FC">
              <w:t xml:space="preserve"> – Não </w:t>
            </w:r>
          </w:p>
        </w:tc>
      </w:tr>
      <w:tr w:rsidR="00DB42FC" w:rsidRPr="00DB42FC" w14:paraId="10C7A92A" w14:textId="77777777" w:rsidTr="005C00E1">
        <w:trPr>
          <w:trHeight w:val="315"/>
        </w:trPr>
        <w:tc>
          <w:tcPr>
            <w:tcW w:w="3272" w:type="dxa"/>
            <w:tcBorders>
              <w:top w:val="nil"/>
              <w:left w:val="single" w:sz="8" w:space="0" w:color="auto"/>
              <w:bottom w:val="single" w:sz="8" w:space="0" w:color="auto"/>
              <w:right w:val="single" w:sz="8" w:space="0" w:color="auto"/>
            </w:tcBorders>
            <w:shd w:val="clear" w:color="auto" w:fill="auto"/>
            <w:vAlign w:val="center"/>
          </w:tcPr>
          <w:p w14:paraId="68BCC9EA" w14:textId="77777777" w:rsidR="00DB42FC" w:rsidRPr="00DB42FC" w:rsidRDefault="00DB42FC" w:rsidP="005C00E1">
            <w:pPr>
              <w:rPr>
                <w:rFonts w:ascii="Arial" w:hAnsi="Arial" w:cs="Arial"/>
                <w:sz w:val="20"/>
                <w:szCs w:val="20"/>
              </w:rPr>
            </w:pPr>
            <w:r w:rsidRPr="00DB42FC">
              <w:rPr>
                <w:rFonts w:ascii="Arial" w:hAnsi="Arial" w:cs="Arial"/>
                <w:sz w:val="20"/>
                <w:szCs w:val="20"/>
              </w:rPr>
              <w:t>Tipo da Prioridade</w:t>
            </w:r>
          </w:p>
        </w:tc>
        <w:tc>
          <w:tcPr>
            <w:tcW w:w="1276" w:type="dxa"/>
            <w:tcBorders>
              <w:top w:val="nil"/>
              <w:left w:val="nil"/>
              <w:bottom w:val="single" w:sz="8" w:space="0" w:color="auto"/>
              <w:right w:val="single" w:sz="8" w:space="0" w:color="auto"/>
            </w:tcBorders>
            <w:shd w:val="clear" w:color="auto" w:fill="auto"/>
          </w:tcPr>
          <w:p w14:paraId="2D9AFE02" w14:textId="77777777" w:rsidR="00DB42FC" w:rsidRPr="00DB42FC" w:rsidRDefault="00DB42FC" w:rsidP="005C00E1">
            <w:pPr>
              <w:jc w:val="center"/>
            </w:pPr>
            <w:r w:rsidRPr="00DB42FC">
              <w:t>Inteiro</w:t>
            </w:r>
          </w:p>
        </w:tc>
        <w:tc>
          <w:tcPr>
            <w:tcW w:w="1276" w:type="dxa"/>
            <w:tcBorders>
              <w:top w:val="nil"/>
              <w:left w:val="nil"/>
              <w:bottom w:val="single" w:sz="8" w:space="0" w:color="auto"/>
              <w:right w:val="single" w:sz="8" w:space="0" w:color="auto"/>
            </w:tcBorders>
            <w:shd w:val="clear" w:color="auto" w:fill="auto"/>
          </w:tcPr>
          <w:p w14:paraId="2E0F7110" w14:textId="77777777" w:rsidR="00DB42FC" w:rsidRPr="00DB42FC" w:rsidRDefault="00DB42FC" w:rsidP="005C00E1">
            <w:pPr>
              <w:jc w:val="center"/>
            </w:pPr>
            <w:r w:rsidRPr="00DB42FC">
              <w:t>1</w:t>
            </w:r>
          </w:p>
        </w:tc>
        <w:tc>
          <w:tcPr>
            <w:tcW w:w="3542" w:type="dxa"/>
            <w:tcBorders>
              <w:top w:val="nil"/>
              <w:left w:val="nil"/>
              <w:bottom w:val="single" w:sz="8" w:space="0" w:color="auto"/>
              <w:right w:val="single" w:sz="8" w:space="0" w:color="auto"/>
            </w:tcBorders>
            <w:shd w:val="clear" w:color="auto" w:fill="auto"/>
          </w:tcPr>
          <w:p w14:paraId="234AF35D" w14:textId="77777777" w:rsidR="00BE5C02" w:rsidRDefault="00BE5C02" w:rsidP="00BE5C02">
            <w:pPr>
              <w:spacing w:after="0" w:line="360" w:lineRule="auto"/>
            </w:pPr>
            <w:r>
              <w:t>Obrigatório, se Prioridade = 1:</w:t>
            </w:r>
          </w:p>
          <w:p w14:paraId="1C5F2D47" w14:textId="77777777" w:rsidR="00BE5C02" w:rsidRDefault="00DB42FC" w:rsidP="00BE5C02">
            <w:pPr>
              <w:spacing w:after="0" w:line="360" w:lineRule="auto"/>
            </w:pPr>
            <w:r w:rsidRPr="00DB42FC">
              <w:t>1 – Doença</w:t>
            </w:r>
          </w:p>
          <w:p w14:paraId="347FC711" w14:textId="2AE7B8F4" w:rsidR="00BE5C02" w:rsidRDefault="00DB42FC" w:rsidP="00BE5C02">
            <w:pPr>
              <w:spacing w:after="0" w:line="360" w:lineRule="auto"/>
            </w:pPr>
            <w:r w:rsidRPr="00DB42FC">
              <w:t>2 – Idade</w:t>
            </w:r>
          </w:p>
          <w:p w14:paraId="21714097" w14:textId="1A5260D3" w:rsidR="00DB42FC" w:rsidRPr="00DB42FC" w:rsidRDefault="00DB42FC" w:rsidP="00BE5C02">
            <w:pPr>
              <w:spacing w:after="0" w:line="360" w:lineRule="auto"/>
            </w:pPr>
            <w:r w:rsidRPr="00DB42FC">
              <w:t xml:space="preserve">3 – Outro </w:t>
            </w:r>
          </w:p>
        </w:tc>
      </w:tr>
      <w:tr w:rsidR="00DB42FC" w:rsidRPr="00DB42FC" w14:paraId="7CE71B6D" w14:textId="77777777" w:rsidTr="005C00E1">
        <w:trPr>
          <w:trHeight w:val="315"/>
        </w:trPr>
        <w:tc>
          <w:tcPr>
            <w:tcW w:w="3272" w:type="dxa"/>
            <w:tcBorders>
              <w:top w:val="nil"/>
              <w:left w:val="single" w:sz="8" w:space="0" w:color="auto"/>
              <w:bottom w:val="single" w:sz="8" w:space="0" w:color="auto"/>
              <w:right w:val="single" w:sz="8" w:space="0" w:color="auto"/>
            </w:tcBorders>
            <w:shd w:val="clear" w:color="auto" w:fill="auto"/>
            <w:vAlign w:val="center"/>
          </w:tcPr>
          <w:p w14:paraId="56B16E99" w14:textId="77777777" w:rsidR="00DB42FC" w:rsidRPr="00DB42FC" w:rsidRDefault="00DB42FC" w:rsidP="005C00E1">
            <w:pPr>
              <w:rPr>
                <w:rFonts w:ascii="Arial" w:hAnsi="Arial" w:cs="Arial"/>
                <w:sz w:val="20"/>
                <w:szCs w:val="20"/>
              </w:rPr>
            </w:pPr>
            <w:r w:rsidRPr="00DB42FC">
              <w:rPr>
                <w:rFonts w:ascii="Arial" w:hAnsi="Arial" w:cs="Arial"/>
                <w:sz w:val="20"/>
                <w:szCs w:val="20"/>
              </w:rPr>
              <w:t>Valor original do precatório</w:t>
            </w:r>
          </w:p>
        </w:tc>
        <w:tc>
          <w:tcPr>
            <w:tcW w:w="1276" w:type="dxa"/>
            <w:tcBorders>
              <w:top w:val="nil"/>
              <w:left w:val="nil"/>
              <w:bottom w:val="single" w:sz="8" w:space="0" w:color="auto"/>
              <w:right w:val="single" w:sz="8" w:space="0" w:color="auto"/>
            </w:tcBorders>
            <w:shd w:val="clear" w:color="auto" w:fill="auto"/>
            <w:vAlign w:val="center"/>
          </w:tcPr>
          <w:p w14:paraId="6FECC237" w14:textId="77777777" w:rsidR="00DB42FC" w:rsidRPr="00DB42FC" w:rsidRDefault="00DB42FC" w:rsidP="005C00E1">
            <w:pPr>
              <w:spacing w:line="240" w:lineRule="auto"/>
              <w:jc w:val="center"/>
              <w:rPr>
                <w:rFonts w:ascii="Arial" w:eastAsia="Times New Roman" w:hAnsi="Arial" w:cs="Arial"/>
                <w:sz w:val="20"/>
                <w:szCs w:val="20"/>
                <w:lang w:eastAsia="pt-BR"/>
              </w:rPr>
            </w:pPr>
            <w:r w:rsidRPr="00DB42FC">
              <w:rPr>
                <w:rFonts w:ascii="Arial" w:eastAsia="Times New Roman" w:hAnsi="Arial" w:cs="Arial"/>
                <w:sz w:val="20"/>
                <w:szCs w:val="20"/>
                <w:lang w:eastAsia="pt-BR"/>
              </w:rPr>
              <w:t>Decimal</w:t>
            </w:r>
          </w:p>
        </w:tc>
        <w:tc>
          <w:tcPr>
            <w:tcW w:w="1276" w:type="dxa"/>
            <w:tcBorders>
              <w:top w:val="nil"/>
              <w:left w:val="nil"/>
              <w:bottom w:val="single" w:sz="8" w:space="0" w:color="auto"/>
              <w:right w:val="single" w:sz="8" w:space="0" w:color="auto"/>
            </w:tcBorders>
            <w:shd w:val="clear" w:color="auto" w:fill="auto"/>
            <w:vAlign w:val="center"/>
          </w:tcPr>
          <w:p w14:paraId="68E3A1A1" w14:textId="77777777" w:rsidR="00DB42FC" w:rsidRPr="00DB42FC" w:rsidRDefault="00DB42FC" w:rsidP="005C00E1">
            <w:pPr>
              <w:spacing w:line="240" w:lineRule="auto"/>
              <w:jc w:val="center"/>
              <w:rPr>
                <w:rFonts w:ascii="Arial" w:eastAsia="Times New Roman" w:hAnsi="Arial" w:cs="Arial"/>
                <w:sz w:val="20"/>
                <w:szCs w:val="20"/>
                <w:lang w:eastAsia="pt-BR"/>
              </w:rPr>
            </w:pPr>
            <w:r w:rsidRPr="00DB42FC">
              <w:rPr>
                <w:rFonts w:ascii="Arial" w:eastAsia="Times New Roman" w:hAnsi="Arial" w:cs="Arial"/>
                <w:sz w:val="20"/>
                <w:szCs w:val="20"/>
                <w:lang w:eastAsia="pt-BR"/>
              </w:rPr>
              <w:t>14,2</w:t>
            </w:r>
          </w:p>
        </w:tc>
        <w:tc>
          <w:tcPr>
            <w:tcW w:w="3542" w:type="dxa"/>
            <w:tcBorders>
              <w:top w:val="nil"/>
              <w:left w:val="nil"/>
              <w:bottom w:val="single" w:sz="8" w:space="0" w:color="auto"/>
              <w:right w:val="single" w:sz="8" w:space="0" w:color="auto"/>
            </w:tcBorders>
            <w:shd w:val="clear" w:color="auto" w:fill="auto"/>
            <w:vAlign w:val="center"/>
          </w:tcPr>
          <w:p w14:paraId="7FBC7BD2" w14:textId="77777777" w:rsidR="00DB42FC" w:rsidRPr="00DB42FC" w:rsidRDefault="00DB42FC" w:rsidP="005C00E1">
            <w:pPr>
              <w:spacing w:line="240" w:lineRule="auto"/>
              <w:rPr>
                <w:rFonts w:ascii="Arial" w:eastAsia="Times New Roman" w:hAnsi="Arial" w:cs="Arial"/>
                <w:sz w:val="20"/>
                <w:szCs w:val="20"/>
                <w:lang w:eastAsia="pt-BR"/>
              </w:rPr>
            </w:pPr>
            <w:r w:rsidRPr="00DB42FC">
              <w:rPr>
                <w:rFonts w:ascii="Arial" w:eastAsia="Times New Roman" w:hAnsi="Arial" w:cs="Arial"/>
                <w:sz w:val="20"/>
                <w:szCs w:val="20"/>
                <w:lang w:eastAsia="pt-BR"/>
              </w:rPr>
              <w:t>Obrigatório</w:t>
            </w:r>
          </w:p>
        </w:tc>
      </w:tr>
      <w:tr w:rsidR="00DB42FC" w:rsidRPr="00DB42FC" w14:paraId="1E3DF7A9" w14:textId="77777777" w:rsidTr="005C00E1">
        <w:trPr>
          <w:trHeight w:val="315"/>
        </w:trPr>
        <w:tc>
          <w:tcPr>
            <w:tcW w:w="3272" w:type="dxa"/>
            <w:tcBorders>
              <w:top w:val="nil"/>
              <w:left w:val="single" w:sz="8" w:space="0" w:color="auto"/>
              <w:bottom w:val="single" w:sz="8" w:space="0" w:color="auto"/>
              <w:right w:val="single" w:sz="8" w:space="0" w:color="auto"/>
            </w:tcBorders>
            <w:shd w:val="clear" w:color="auto" w:fill="auto"/>
            <w:vAlign w:val="center"/>
          </w:tcPr>
          <w:p w14:paraId="4914136B" w14:textId="77777777" w:rsidR="00DB42FC" w:rsidRPr="00DB42FC" w:rsidRDefault="00DB42FC" w:rsidP="005C00E1">
            <w:pPr>
              <w:rPr>
                <w:rFonts w:ascii="Arial" w:hAnsi="Arial" w:cs="Arial"/>
                <w:sz w:val="20"/>
                <w:szCs w:val="20"/>
              </w:rPr>
            </w:pPr>
            <w:r w:rsidRPr="00DB42FC">
              <w:rPr>
                <w:rFonts w:ascii="Arial" w:hAnsi="Arial" w:cs="Arial"/>
                <w:sz w:val="20"/>
                <w:szCs w:val="20"/>
              </w:rPr>
              <w:t>Valor atualizado</w:t>
            </w:r>
          </w:p>
        </w:tc>
        <w:tc>
          <w:tcPr>
            <w:tcW w:w="1276" w:type="dxa"/>
            <w:tcBorders>
              <w:top w:val="nil"/>
              <w:left w:val="nil"/>
              <w:bottom w:val="single" w:sz="8" w:space="0" w:color="auto"/>
              <w:right w:val="single" w:sz="8" w:space="0" w:color="auto"/>
            </w:tcBorders>
            <w:shd w:val="clear" w:color="auto" w:fill="auto"/>
            <w:vAlign w:val="center"/>
          </w:tcPr>
          <w:p w14:paraId="2239BC3A" w14:textId="77777777" w:rsidR="00DB42FC" w:rsidRPr="00DB42FC" w:rsidRDefault="00DB42FC" w:rsidP="005C00E1">
            <w:pPr>
              <w:spacing w:line="240" w:lineRule="auto"/>
              <w:jc w:val="center"/>
              <w:rPr>
                <w:rFonts w:ascii="Arial" w:eastAsia="Times New Roman" w:hAnsi="Arial" w:cs="Arial"/>
                <w:sz w:val="20"/>
                <w:szCs w:val="20"/>
                <w:lang w:eastAsia="pt-BR"/>
              </w:rPr>
            </w:pPr>
            <w:r w:rsidRPr="00DB42FC">
              <w:rPr>
                <w:rFonts w:ascii="Arial" w:eastAsia="Times New Roman" w:hAnsi="Arial" w:cs="Arial"/>
                <w:sz w:val="20"/>
                <w:szCs w:val="20"/>
                <w:lang w:eastAsia="pt-BR"/>
              </w:rPr>
              <w:t>Decimal</w:t>
            </w:r>
          </w:p>
        </w:tc>
        <w:tc>
          <w:tcPr>
            <w:tcW w:w="1276" w:type="dxa"/>
            <w:tcBorders>
              <w:top w:val="nil"/>
              <w:left w:val="nil"/>
              <w:bottom w:val="single" w:sz="8" w:space="0" w:color="auto"/>
              <w:right w:val="single" w:sz="8" w:space="0" w:color="auto"/>
            </w:tcBorders>
            <w:shd w:val="clear" w:color="auto" w:fill="auto"/>
            <w:vAlign w:val="center"/>
          </w:tcPr>
          <w:p w14:paraId="1BF6B412" w14:textId="77777777" w:rsidR="00DB42FC" w:rsidRPr="00DB42FC" w:rsidRDefault="00DB42FC" w:rsidP="005C00E1">
            <w:pPr>
              <w:spacing w:line="240" w:lineRule="auto"/>
              <w:jc w:val="center"/>
              <w:rPr>
                <w:rFonts w:ascii="Arial" w:eastAsia="Times New Roman" w:hAnsi="Arial" w:cs="Arial"/>
                <w:sz w:val="20"/>
                <w:szCs w:val="20"/>
                <w:lang w:eastAsia="pt-BR"/>
              </w:rPr>
            </w:pPr>
            <w:r w:rsidRPr="00DB42FC">
              <w:rPr>
                <w:rFonts w:ascii="Arial" w:eastAsia="Times New Roman" w:hAnsi="Arial" w:cs="Arial"/>
                <w:sz w:val="20"/>
                <w:szCs w:val="20"/>
                <w:lang w:eastAsia="pt-BR"/>
              </w:rPr>
              <w:t>14,2</w:t>
            </w:r>
          </w:p>
        </w:tc>
        <w:tc>
          <w:tcPr>
            <w:tcW w:w="3542" w:type="dxa"/>
            <w:tcBorders>
              <w:top w:val="nil"/>
              <w:left w:val="nil"/>
              <w:bottom w:val="single" w:sz="8" w:space="0" w:color="auto"/>
              <w:right w:val="single" w:sz="8" w:space="0" w:color="auto"/>
            </w:tcBorders>
            <w:shd w:val="clear" w:color="auto" w:fill="auto"/>
            <w:vAlign w:val="center"/>
          </w:tcPr>
          <w:p w14:paraId="6266D673" w14:textId="77777777" w:rsidR="00DB42FC" w:rsidRPr="00DB42FC" w:rsidRDefault="00DB42FC" w:rsidP="005C00E1">
            <w:pPr>
              <w:spacing w:line="240" w:lineRule="auto"/>
              <w:rPr>
                <w:rFonts w:ascii="Arial" w:eastAsia="Times New Roman" w:hAnsi="Arial" w:cs="Arial"/>
                <w:sz w:val="20"/>
                <w:szCs w:val="20"/>
                <w:lang w:eastAsia="pt-BR"/>
              </w:rPr>
            </w:pPr>
            <w:r w:rsidRPr="00DB42FC">
              <w:rPr>
                <w:rFonts w:ascii="Arial" w:eastAsia="Times New Roman" w:hAnsi="Arial" w:cs="Arial"/>
                <w:sz w:val="20"/>
                <w:szCs w:val="20"/>
                <w:lang w:eastAsia="pt-BR"/>
              </w:rPr>
              <w:t>Obrigatório</w:t>
            </w:r>
          </w:p>
        </w:tc>
      </w:tr>
    </w:tbl>
    <w:p w14:paraId="1A4B37D5" w14:textId="77777777" w:rsidR="00DB42FC" w:rsidRPr="00DB42FC" w:rsidRDefault="00DB42FC" w:rsidP="00DB42FC">
      <w:pPr>
        <w:rPr>
          <w:lang w:val="x-none" w:eastAsia="x-none"/>
        </w:rPr>
      </w:pPr>
    </w:p>
    <w:p w14:paraId="0928FBCF" w14:textId="7B3B69A8" w:rsidR="00DB42FC" w:rsidRPr="00987631" w:rsidRDefault="00DB42FC" w:rsidP="00987631">
      <w:pPr>
        <w:pStyle w:val="Ttulo3"/>
      </w:pPr>
      <w:bookmarkStart w:id="61" w:name="_Toc94806337"/>
      <w:r w:rsidRPr="00987631">
        <w:t>RELPCP.XML</w:t>
      </w:r>
      <w:r w:rsidR="00987631" w:rsidRPr="00987631">
        <w:t xml:space="preserve"> (ou RelatorioPrecatoriosPagos.XML)</w:t>
      </w:r>
      <w:bookmarkEnd w:id="61"/>
    </w:p>
    <w:p w14:paraId="04BC3AC2" w14:textId="77777777" w:rsidR="00DB42FC" w:rsidRPr="00DB42FC" w:rsidRDefault="00DB42FC" w:rsidP="00DB42FC">
      <w:pPr>
        <w:spacing w:after="0" w:line="240" w:lineRule="auto"/>
        <w:rPr>
          <w:rFonts w:ascii="Arial" w:eastAsia="Times New Roman" w:hAnsi="Arial" w:cs="Arial"/>
          <w:sz w:val="20"/>
          <w:szCs w:val="20"/>
          <w:lang w:eastAsia="pt-BR"/>
        </w:rPr>
      </w:pPr>
      <w:r w:rsidRPr="00DB42FC">
        <w:rPr>
          <w:rFonts w:ascii="Arial" w:eastAsia="Times New Roman" w:hAnsi="Arial" w:cs="Arial"/>
          <w:b/>
          <w:bCs/>
          <w:sz w:val="20"/>
          <w:szCs w:val="20"/>
          <w:lang w:eastAsia="pt-BR"/>
        </w:rPr>
        <w:t>Descrição: </w:t>
      </w:r>
      <w:r w:rsidRPr="00DB42FC">
        <w:rPr>
          <w:rFonts w:ascii="Arial" w:eastAsia="Times New Roman" w:hAnsi="Arial" w:cs="Arial"/>
          <w:sz w:val="20"/>
          <w:szCs w:val="20"/>
          <w:lang w:eastAsia="pt-BR"/>
        </w:rPr>
        <w:t>Este arquivo conterá a Relação de Precatórios Pagos no decorrer do exercício de referência da Prestação de Contas, a ser informada conforme a estrutura abaixo:</w:t>
      </w:r>
    </w:p>
    <w:p w14:paraId="4426D016" w14:textId="77777777" w:rsidR="00DB42FC" w:rsidRPr="00DB42FC" w:rsidRDefault="00DB42FC" w:rsidP="00DB42FC">
      <w:pPr>
        <w:spacing w:after="0" w:line="240" w:lineRule="auto"/>
        <w:rPr>
          <w:rFonts w:ascii="Arial" w:eastAsia="Times New Roman" w:hAnsi="Arial" w:cs="Arial"/>
          <w:sz w:val="20"/>
          <w:szCs w:val="20"/>
          <w:lang w:eastAsia="pt-BR"/>
        </w:rPr>
      </w:pPr>
    </w:p>
    <w:p w14:paraId="2009AAE5" w14:textId="77777777" w:rsidR="00DB42FC" w:rsidRPr="00DB42FC" w:rsidRDefault="00DB42FC" w:rsidP="00DB42FC">
      <w:pPr>
        <w:spacing w:after="0" w:line="240" w:lineRule="auto"/>
        <w:rPr>
          <w:rFonts w:ascii="Arial" w:eastAsia="Times New Roman" w:hAnsi="Arial" w:cs="Arial"/>
          <w:b/>
          <w:bCs/>
          <w:sz w:val="20"/>
          <w:szCs w:val="20"/>
          <w:lang w:eastAsia="pt-BR"/>
        </w:rPr>
      </w:pPr>
      <w:r w:rsidRPr="00DB42FC">
        <w:rPr>
          <w:rFonts w:ascii="Arial" w:eastAsia="Times New Roman" w:hAnsi="Arial" w:cs="Arial"/>
          <w:b/>
          <w:bCs/>
          <w:sz w:val="20"/>
          <w:szCs w:val="20"/>
          <w:lang w:eastAsia="pt-BR"/>
        </w:rPr>
        <w:t xml:space="preserve"> </w:t>
      </w:r>
    </w:p>
    <w:p w14:paraId="2DEDD0EF" w14:textId="77777777" w:rsidR="00DB42FC" w:rsidRPr="00DB42FC" w:rsidRDefault="00DB42FC" w:rsidP="00DB42FC">
      <w:pPr>
        <w:spacing w:after="0" w:line="240" w:lineRule="auto"/>
        <w:rPr>
          <w:rFonts w:ascii="Arial" w:eastAsia="Times New Roman" w:hAnsi="Arial" w:cs="Arial"/>
          <w:b/>
          <w:sz w:val="20"/>
          <w:szCs w:val="20"/>
          <w:lang w:eastAsia="pt-BR"/>
        </w:rPr>
      </w:pPr>
      <w:r w:rsidRPr="00DB42FC">
        <w:rPr>
          <w:rFonts w:ascii="Arial" w:eastAsia="Times New Roman" w:hAnsi="Arial" w:cs="Arial"/>
          <w:b/>
          <w:bCs/>
          <w:sz w:val="20"/>
          <w:szCs w:val="20"/>
          <w:lang w:eastAsia="pt-BR"/>
        </w:rPr>
        <w:t>Estrutura:</w:t>
      </w:r>
    </w:p>
    <w:p w14:paraId="17752E14" w14:textId="77777777" w:rsidR="00DB42FC" w:rsidRPr="00DB42FC" w:rsidRDefault="00DB42FC" w:rsidP="00DB42FC">
      <w:pPr>
        <w:spacing w:after="0" w:line="240" w:lineRule="auto"/>
        <w:rPr>
          <w:rFonts w:ascii="Arial" w:eastAsia="Times New Roman" w:hAnsi="Arial" w:cs="Arial"/>
          <w:sz w:val="20"/>
          <w:szCs w:val="20"/>
          <w:lang w:eastAsia="pt-BR"/>
        </w:rPr>
      </w:pPr>
    </w:p>
    <w:p w14:paraId="05757329" w14:textId="77777777" w:rsidR="00DB42FC" w:rsidRPr="00DB42FC" w:rsidRDefault="00DB42FC" w:rsidP="00DB42FC">
      <w:pPr>
        <w:spacing w:after="0" w:line="240" w:lineRule="auto"/>
        <w:rPr>
          <w:rFonts w:ascii="Arial" w:eastAsia="Times New Roman" w:hAnsi="Arial" w:cs="Arial"/>
          <w:sz w:val="20"/>
          <w:szCs w:val="20"/>
          <w:lang w:eastAsia="pt-BR"/>
        </w:rPr>
      </w:pPr>
      <w:r w:rsidRPr="00DB42FC">
        <w:rPr>
          <w:rFonts w:ascii="Arial" w:eastAsia="Times New Roman" w:hAnsi="Arial" w:cs="Arial"/>
          <w:sz w:val="20"/>
          <w:szCs w:val="20"/>
          <w:lang w:eastAsia="pt-BR"/>
        </w:rPr>
        <w:t>&lt;?xml version="1.0" encoding=“UTF-8”?&gt;</w:t>
      </w:r>
    </w:p>
    <w:p w14:paraId="05CFA0B9" w14:textId="77777777" w:rsidR="00DB42FC" w:rsidRPr="00DB42FC" w:rsidRDefault="00DB42FC" w:rsidP="00DB42FC">
      <w:pPr>
        <w:spacing w:after="0" w:line="240" w:lineRule="auto"/>
        <w:rPr>
          <w:rFonts w:ascii="Arial" w:eastAsia="Times New Roman" w:hAnsi="Arial" w:cs="Arial"/>
          <w:sz w:val="20"/>
          <w:szCs w:val="20"/>
          <w:lang w:eastAsia="pt-BR"/>
        </w:rPr>
      </w:pPr>
      <w:r w:rsidRPr="00DB42FC">
        <w:rPr>
          <w:rFonts w:ascii="Arial" w:eastAsia="Times New Roman" w:hAnsi="Arial" w:cs="Arial"/>
          <w:sz w:val="20"/>
          <w:szCs w:val="20"/>
          <w:lang w:eastAsia="pt-BR"/>
        </w:rPr>
        <w:t>&lt;PrestacaoContasAnual&gt;</w:t>
      </w:r>
    </w:p>
    <w:p w14:paraId="09558EDC" w14:textId="77777777" w:rsidR="00DB42FC" w:rsidRPr="00DB42FC" w:rsidRDefault="00DB42FC" w:rsidP="00DB42FC">
      <w:pPr>
        <w:spacing w:after="0" w:line="240" w:lineRule="auto"/>
        <w:ind w:left="284"/>
        <w:rPr>
          <w:rFonts w:ascii="Arial" w:eastAsia="Times New Roman" w:hAnsi="Arial" w:cs="Arial"/>
          <w:sz w:val="20"/>
          <w:szCs w:val="20"/>
          <w:lang w:eastAsia="pt-BR"/>
        </w:rPr>
      </w:pPr>
      <w:r w:rsidRPr="00DB42FC">
        <w:rPr>
          <w:rFonts w:ascii="Arial" w:eastAsia="Times New Roman" w:hAnsi="Arial" w:cs="Arial"/>
          <w:sz w:val="20"/>
          <w:szCs w:val="20"/>
          <w:lang w:eastAsia="pt-BR"/>
        </w:rPr>
        <w:t>&lt;</w:t>
      </w:r>
      <w:r w:rsidRPr="00DB42FC">
        <w:rPr>
          <w:rFonts w:ascii="Arial" w:hAnsi="Arial" w:cs="Arial"/>
          <w:sz w:val="20"/>
          <w:szCs w:val="20"/>
        </w:rPr>
        <w:t>RelacaoPrecatoriosPagos</w:t>
      </w:r>
      <w:r w:rsidRPr="00DB42FC">
        <w:rPr>
          <w:rFonts w:ascii="Arial" w:eastAsia="Times New Roman" w:hAnsi="Arial" w:cs="Arial"/>
          <w:sz w:val="20"/>
          <w:szCs w:val="20"/>
          <w:lang w:eastAsia="pt-BR"/>
        </w:rPr>
        <w:t>_Schema&gt;</w:t>
      </w:r>
    </w:p>
    <w:p w14:paraId="3256437F" w14:textId="77777777" w:rsidR="00DB42FC" w:rsidRPr="00DB42FC" w:rsidRDefault="00DB42FC" w:rsidP="00DB42FC">
      <w:pPr>
        <w:spacing w:after="0" w:line="240" w:lineRule="auto"/>
        <w:ind w:left="284"/>
        <w:rPr>
          <w:rFonts w:ascii="Arial" w:eastAsia="Times New Roman" w:hAnsi="Arial" w:cs="Arial"/>
          <w:sz w:val="20"/>
          <w:szCs w:val="20"/>
          <w:lang w:eastAsia="pt-BR"/>
        </w:rPr>
      </w:pPr>
    </w:p>
    <w:p w14:paraId="3268341B" w14:textId="77777777" w:rsidR="00DB42FC" w:rsidRPr="00DB42FC" w:rsidRDefault="00DB42FC" w:rsidP="00DB42FC">
      <w:pPr>
        <w:spacing w:after="0" w:line="240" w:lineRule="auto"/>
        <w:ind w:left="567"/>
        <w:rPr>
          <w:rFonts w:ascii="Arial" w:eastAsia="Times New Roman" w:hAnsi="Arial" w:cs="Arial"/>
          <w:sz w:val="20"/>
          <w:szCs w:val="20"/>
          <w:lang w:eastAsia="pt-BR"/>
        </w:rPr>
      </w:pPr>
      <w:r w:rsidRPr="00DB42FC">
        <w:rPr>
          <w:rFonts w:ascii="Arial" w:eastAsia="Times New Roman" w:hAnsi="Arial" w:cs="Arial"/>
          <w:sz w:val="20"/>
          <w:szCs w:val="20"/>
          <w:lang w:eastAsia="pt-BR"/>
        </w:rPr>
        <w:t>&lt;</w:t>
      </w:r>
      <w:r w:rsidRPr="00DB42FC">
        <w:rPr>
          <w:rFonts w:ascii="Arial" w:hAnsi="Arial" w:cs="Arial"/>
          <w:sz w:val="20"/>
          <w:szCs w:val="20"/>
        </w:rPr>
        <w:t>RelacaoPrecatoriosPagos</w:t>
      </w:r>
      <w:r w:rsidRPr="00DB42FC">
        <w:rPr>
          <w:rFonts w:ascii="Arial" w:eastAsia="Times New Roman" w:hAnsi="Arial" w:cs="Arial"/>
          <w:sz w:val="20"/>
          <w:szCs w:val="20"/>
          <w:lang w:eastAsia="pt-BR"/>
        </w:rPr>
        <w:t>&gt;</w:t>
      </w:r>
    </w:p>
    <w:p w14:paraId="62A3C8E6" w14:textId="77777777" w:rsidR="00DB42FC" w:rsidRPr="00DB42FC" w:rsidRDefault="00DB42FC" w:rsidP="00DB42FC">
      <w:pPr>
        <w:spacing w:after="0" w:line="240" w:lineRule="auto"/>
        <w:ind w:left="851"/>
        <w:rPr>
          <w:rFonts w:ascii="Arial" w:eastAsia="Times New Roman" w:hAnsi="Arial" w:cs="Arial"/>
          <w:sz w:val="20"/>
          <w:szCs w:val="20"/>
          <w:lang w:eastAsia="pt-BR"/>
        </w:rPr>
      </w:pPr>
      <w:r w:rsidRPr="00DB42FC">
        <w:rPr>
          <w:rFonts w:ascii="Arial" w:eastAsia="Times New Roman" w:hAnsi="Arial" w:cs="Arial"/>
          <w:sz w:val="20"/>
          <w:szCs w:val="20"/>
          <w:lang w:eastAsia="pt-BR"/>
        </w:rPr>
        <w:lastRenderedPageBreak/>
        <w:t>&lt;IdNumRegistro&gt;</w:t>
      </w:r>
      <w:r w:rsidRPr="00DB42FC">
        <w:rPr>
          <w:rFonts w:ascii="Arial" w:eastAsia="Times New Roman" w:hAnsi="Arial" w:cs="Arial"/>
          <w:b/>
          <w:bCs/>
          <w:sz w:val="20"/>
          <w:szCs w:val="20"/>
          <w:lang w:eastAsia="pt-BR"/>
        </w:rPr>
        <w:t>99999</w:t>
      </w:r>
      <w:r w:rsidRPr="00DB42FC">
        <w:rPr>
          <w:rFonts w:ascii="Arial" w:eastAsia="Times New Roman" w:hAnsi="Arial" w:cs="Arial"/>
          <w:sz w:val="20"/>
          <w:szCs w:val="20"/>
          <w:lang w:eastAsia="pt-BR"/>
        </w:rPr>
        <w:t>&lt;/IdNumRegistro&gt;</w:t>
      </w:r>
    </w:p>
    <w:p w14:paraId="405EF845" w14:textId="29AFB2D1" w:rsidR="00DB42FC" w:rsidRDefault="00DB42FC" w:rsidP="00DB42FC">
      <w:pPr>
        <w:spacing w:after="0" w:line="240" w:lineRule="auto"/>
        <w:ind w:left="851"/>
        <w:rPr>
          <w:rFonts w:ascii="Arial" w:eastAsia="Times New Roman" w:hAnsi="Arial" w:cs="Arial"/>
          <w:sz w:val="20"/>
          <w:szCs w:val="20"/>
          <w:lang w:eastAsia="pt-BR"/>
        </w:rPr>
      </w:pPr>
      <w:r w:rsidRPr="00DB42FC">
        <w:rPr>
          <w:rFonts w:ascii="Arial" w:eastAsia="Times New Roman" w:hAnsi="Arial" w:cs="Arial"/>
          <w:sz w:val="20"/>
          <w:szCs w:val="20"/>
          <w:lang w:eastAsia="pt-BR"/>
        </w:rPr>
        <w:t>&lt;CodigoUnidadeGestora&gt;</w:t>
      </w:r>
      <w:r w:rsidRPr="00DB42FC">
        <w:rPr>
          <w:rFonts w:ascii="Arial" w:eastAsia="Times New Roman" w:hAnsi="Arial" w:cs="Arial"/>
          <w:b/>
          <w:sz w:val="20"/>
          <w:szCs w:val="20"/>
          <w:lang w:eastAsia="pt-BR"/>
        </w:rPr>
        <w:t>XXXXXXXXXXXXXX</w:t>
      </w:r>
      <w:r w:rsidRPr="00DB42FC">
        <w:rPr>
          <w:rFonts w:ascii="Arial" w:eastAsia="Times New Roman" w:hAnsi="Arial" w:cs="Arial"/>
          <w:sz w:val="20"/>
          <w:szCs w:val="20"/>
          <w:lang w:eastAsia="pt-BR"/>
        </w:rPr>
        <w:t>&lt;/CodigoUnidadeGestora&gt;</w:t>
      </w:r>
    </w:p>
    <w:p w14:paraId="546BC8F3" w14:textId="2398D04A" w:rsidR="00987631" w:rsidRPr="00987631" w:rsidRDefault="00987631" w:rsidP="00DB42FC">
      <w:pPr>
        <w:spacing w:after="0" w:line="240" w:lineRule="auto"/>
        <w:ind w:left="851"/>
        <w:rPr>
          <w:rFonts w:ascii="Arial" w:eastAsia="Times New Roman" w:hAnsi="Arial" w:cs="Arial"/>
          <w:sz w:val="20"/>
          <w:szCs w:val="20"/>
          <w:lang w:eastAsia="pt-BR"/>
        </w:rPr>
      </w:pPr>
      <w:r w:rsidRPr="00987631">
        <w:rPr>
          <w:rFonts w:ascii="Arial" w:eastAsia="Times New Roman" w:hAnsi="Arial" w:cs="Arial"/>
          <w:sz w:val="20"/>
          <w:szCs w:val="20"/>
          <w:lang w:eastAsia="pt-BR"/>
        </w:rPr>
        <w:t>&lt;DescricaoOrgaoExterno&gt;XXX...XXX&lt;/DescricaoOrgaoExterno&gt;</w:t>
      </w:r>
    </w:p>
    <w:p w14:paraId="16674B4E" w14:textId="77777777" w:rsidR="00DB42FC" w:rsidRPr="00DB42FC" w:rsidRDefault="00DB42FC" w:rsidP="00DB42FC">
      <w:pPr>
        <w:spacing w:after="0" w:line="240" w:lineRule="auto"/>
        <w:ind w:left="851"/>
        <w:rPr>
          <w:rFonts w:ascii="Arial" w:eastAsia="Times New Roman" w:hAnsi="Arial" w:cs="Arial"/>
          <w:sz w:val="20"/>
          <w:szCs w:val="20"/>
          <w:lang w:eastAsia="pt-BR"/>
        </w:rPr>
      </w:pPr>
      <w:r w:rsidRPr="00DB42FC">
        <w:rPr>
          <w:rFonts w:ascii="Arial" w:eastAsia="Times New Roman" w:hAnsi="Arial" w:cs="Arial"/>
          <w:sz w:val="20"/>
          <w:szCs w:val="20"/>
          <w:lang w:eastAsia="pt-BR"/>
        </w:rPr>
        <w:t>&lt;NumeroPrecatorio&gt;</w:t>
      </w:r>
      <w:r w:rsidRPr="00DB42FC">
        <w:rPr>
          <w:rFonts w:ascii="Arial" w:eastAsia="Times New Roman" w:hAnsi="Arial" w:cs="Arial"/>
          <w:b/>
          <w:sz w:val="20"/>
          <w:szCs w:val="20"/>
          <w:lang w:eastAsia="pt-BR"/>
        </w:rPr>
        <w:t>XXX...XXX</w:t>
      </w:r>
      <w:r w:rsidRPr="00DB42FC">
        <w:rPr>
          <w:rFonts w:ascii="Arial" w:eastAsia="Times New Roman" w:hAnsi="Arial" w:cs="Arial"/>
          <w:sz w:val="20"/>
          <w:szCs w:val="20"/>
          <w:lang w:eastAsia="pt-BR"/>
        </w:rPr>
        <w:t>&lt;/NumeroPrecatorio&gt;</w:t>
      </w:r>
    </w:p>
    <w:p w14:paraId="13C0B9D1" w14:textId="77777777" w:rsidR="00DB42FC" w:rsidRPr="00DB42FC" w:rsidRDefault="00DB42FC" w:rsidP="00DB42FC">
      <w:pPr>
        <w:spacing w:after="0" w:line="240" w:lineRule="auto"/>
        <w:ind w:left="851"/>
        <w:rPr>
          <w:rFonts w:ascii="Arial" w:eastAsia="Times New Roman" w:hAnsi="Arial" w:cs="Arial"/>
          <w:sz w:val="20"/>
          <w:szCs w:val="20"/>
          <w:lang w:eastAsia="pt-BR"/>
        </w:rPr>
      </w:pPr>
      <w:r w:rsidRPr="00DB42FC">
        <w:rPr>
          <w:rFonts w:ascii="Arial" w:eastAsia="Times New Roman" w:hAnsi="Arial" w:cs="Arial"/>
          <w:sz w:val="20"/>
          <w:szCs w:val="20"/>
          <w:lang w:eastAsia="pt-BR"/>
        </w:rPr>
        <w:t>&lt;NumeroAlvara&gt;</w:t>
      </w:r>
      <w:r w:rsidRPr="00DB42FC">
        <w:rPr>
          <w:rFonts w:ascii="Arial" w:eastAsia="Times New Roman" w:hAnsi="Arial" w:cs="Arial"/>
          <w:b/>
          <w:sz w:val="20"/>
          <w:szCs w:val="20"/>
          <w:lang w:eastAsia="pt-BR"/>
        </w:rPr>
        <w:t xml:space="preserve"> XXX...XXX</w:t>
      </w:r>
      <w:r w:rsidRPr="00DB42FC">
        <w:rPr>
          <w:rFonts w:ascii="Arial" w:eastAsia="Times New Roman" w:hAnsi="Arial" w:cs="Arial"/>
          <w:sz w:val="20"/>
          <w:szCs w:val="20"/>
          <w:lang w:eastAsia="pt-BR"/>
        </w:rPr>
        <w:t>&lt;/NumeroAlvara&gt;</w:t>
      </w:r>
    </w:p>
    <w:p w14:paraId="63A54F88" w14:textId="77777777" w:rsidR="00DB42FC" w:rsidRPr="00DB42FC" w:rsidRDefault="00DB42FC" w:rsidP="00DB42FC">
      <w:pPr>
        <w:spacing w:after="0" w:line="240" w:lineRule="auto"/>
        <w:ind w:left="851"/>
        <w:rPr>
          <w:rFonts w:ascii="Arial" w:eastAsia="Times New Roman" w:hAnsi="Arial" w:cs="Arial"/>
          <w:sz w:val="20"/>
          <w:szCs w:val="20"/>
          <w:lang w:eastAsia="pt-BR"/>
        </w:rPr>
      </w:pPr>
      <w:r w:rsidRPr="00DB42FC">
        <w:rPr>
          <w:rFonts w:ascii="Arial" w:eastAsia="Times New Roman" w:hAnsi="Arial" w:cs="Arial"/>
          <w:sz w:val="20"/>
          <w:szCs w:val="20"/>
          <w:lang w:eastAsia="pt-BR"/>
        </w:rPr>
        <w:t>&lt;CPFCNPJBeneficiario&gt;</w:t>
      </w:r>
      <w:r w:rsidRPr="00DB42FC">
        <w:rPr>
          <w:rFonts w:ascii="Arial" w:eastAsia="Times New Roman" w:hAnsi="Arial" w:cs="Arial"/>
          <w:b/>
          <w:sz w:val="20"/>
          <w:szCs w:val="20"/>
          <w:lang w:eastAsia="pt-BR"/>
        </w:rPr>
        <w:t>XXX...XXX</w:t>
      </w:r>
      <w:r w:rsidRPr="00DB42FC">
        <w:rPr>
          <w:rFonts w:ascii="Arial" w:eastAsia="Times New Roman" w:hAnsi="Arial" w:cs="Arial"/>
          <w:sz w:val="20"/>
          <w:szCs w:val="20"/>
          <w:lang w:eastAsia="pt-BR"/>
        </w:rPr>
        <w:t xml:space="preserve">&lt;/CPFCNPJBeneficiario&gt; </w:t>
      </w:r>
    </w:p>
    <w:p w14:paraId="57E8EE9E" w14:textId="77777777" w:rsidR="00DB42FC" w:rsidRPr="00DB42FC" w:rsidRDefault="00DB42FC" w:rsidP="00DB42FC">
      <w:pPr>
        <w:spacing w:after="0" w:line="240" w:lineRule="auto"/>
        <w:ind w:left="851"/>
        <w:rPr>
          <w:rFonts w:ascii="Arial" w:eastAsia="Times New Roman" w:hAnsi="Arial" w:cs="Arial"/>
          <w:sz w:val="20"/>
          <w:szCs w:val="20"/>
          <w:lang w:eastAsia="pt-BR"/>
        </w:rPr>
      </w:pPr>
      <w:r w:rsidRPr="00DB42FC">
        <w:rPr>
          <w:rFonts w:ascii="Arial" w:eastAsia="Times New Roman" w:hAnsi="Arial" w:cs="Arial"/>
          <w:sz w:val="20"/>
          <w:szCs w:val="20"/>
          <w:lang w:eastAsia="pt-BR"/>
        </w:rPr>
        <w:t>&lt;NomeBeneficiario&gt;</w:t>
      </w:r>
      <w:r w:rsidRPr="00DB42FC">
        <w:rPr>
          <w:rFonts w:ascii="Arial" w:eastAsia="Times New Roman" w:hAnsi="Arial" w:cs="Arial"/>
          <w:b/>
          <w:sz w:val="20"/>
          <w:szCs w:val="20"/>
          <w:lang w:eastAsia="pt-BR"/>
        </w:rPr>
        <w:t>XXX...XXX</w:t>
      </w:r>
      <w:r w:rsidRPr="00DB42FC">
        <w:rPr>
          <w:rFonts w:ascii="Arial" w:eastAsia="Times New Roman" w:hAnsi="Arial" w:cs="Arial"/>
          <w:sz w:val="20"/>
          <w:szCs w:val="20"/>
          <w:lang w:eastAsia="pt-BR"/>
        </w:rPr>
        <w:t>&lt;/NomeBeneficiario&gt;</w:t>
      </w:r>
    </w:p>
    <w:p w14:paraId="1E1717EA" w14:textId="77777777" w:rsidR="00DB42FC" w:rsidRPr="00DB42FC" w:rsidRDefault="00DB42FC" w:rsidP="00DB42FC">
      <w:pPr>
        <w:spacing w:after="0" w:line="240" w:lineRule="auto"/>
        <w:ind w:left="851"/>
        <w:rPr>
          <w:rFonts w:ascii="Arial" w:eastAsia="Times New Roman" w:hAnsi="Arial" w:cs="Arial"/>
          <w:sz w:val="20"/>
          <w:szCs w:val="20"/>
          <w:lang w:eastAsia="pt-BR"/>
        </w:rPr>
      </w:pPr>
      <w:r w:rsidRPr="00DB42FC">
        <w:rPr>
          <w:rFonts w:ascii="Arial" w:eastAsia="Times New Roman" w:hAnsi="Arial" w:cs="Arial"/>
          <w:sz w:val="20"/>
          <w:szCs w:val="20"/>
          <w:lang w:eastAsia="pt-BR"/>
        </w:rPr>
        <w:t>&lt;CodigoBanco&gt;</w:t>
      </w:r>
      <w:r w:rsidRPr="00DB42FC">
        <w:rPr>
          <w:rFonts w:ascii="Arial" w:eastAsia="Times New Roman" w:hAnsi="Arial" w:cs="Arial"/>
          <w:b/>
          <w:sz w:val="20"/>
          <w:szCs w:val="20"/>
          <w:lang w:eastAsia="pt-BR"/>
        </w:rPr>
        <w:t>XXX</w:t>
      </w:r>
      <w:r w:rsidRPr="00DB42FC">
        <w:rPr>
          <w:rFonts w:ascii="Arial" w:eastAsia="Times New Roman" w:hAnsi="Arial" w:cs="Arial"/>
          <w:sz w:val="20"/>
          <w:szCs w:val="20"/>
          <w:lang w:eastAsia="pt-BR"/>
        </w:rPr>
        <w:t>&lt;/CodigoBanco&gt;</w:t>
      </w:r>
    </w:p>
    <w:p w14:paraId="76FD30CA" w14:textId="77777777" w:rsidR="00DB42FC" w:rsidRPr="00DB42FC" w:rsidRDefault="00DB42FC" w:rsidP="00DB42FC">
      <w:pPr>
        <w:spacing w:after="0" w:line="240" w:lineRule="auto"/>
        <w:ind w:left="851"/>
        <w:rPr>
          <w:rFonts w:ascii="Arial" w:eastAsia="Times New Roman" w:hAnsi="Arial" w:cs="Arial"/>
          <w:sz w:val="20"/>
          <w:szCs w:val="20"/>
          <w:lang w:eastAsia="pt-BR"/>
        </w:rPr>
      </w:pPr>
      <w:r w:rsidRPr="00DB42FC">
        <w:rPr>
          <w:rFonts w:ascii="Arial" w:eastAsia="Times New Roman" w:hAnsi="Arial" w:cs="Arial"/>
          <w:sz w:val="20"/>
          <w:szCs w:val="20"/>
          <w:lang w:eastAsia="pt-BR"/>
        </w:rPr>
        <w:t>&lt;CodigoAgencia&gt;</w:t>
      </w:r>
      <w:r w:rsidRPr="00DB42FC">
        <w:rPr>
          <w:rFonts w:ascii="Arial" w:eastAsia="Times New Roman" w:hAnsi="Arial" w:cs="Arial"/>
          <w:b/>
          <w:sz w:val="20"/>
          <w:szCs w:val="20"/>
          <w:lang w:eastAsia="pt-BR"/>
        </w:rPr>
        <w:t>XXX...XXX</w:t>
      </w:r>
      <w:r w:rsidRPr="00DB42FC">
        <w:rPr>
          <w:rFonts w:ascii="Arial" w:eastAsia="Times New Roman" w:hAnsi="Arial" w:cs="Arial"/>
          <w:sz w:val="20"/>
          <w:szCs w:val="20"/>
          <w:lang w:eastAsia="pt-BR"/>
        </w:rPr>
        <w:t>&lt;/CodigoAgencia&gt;</w:t>
      </w:r>
    </w:p>
    <w:p w14:paraId="6A45ABD8" w14:textId="77777777" w:rsidR="00DB42FC" w:rsidRPr="00DB42FC" w:rsidRDefault="00DB42FC" w:rsidP="00DB42FC">
      <w:pPr>
        <w:spacing w:after="0" w:line="240" w:lineRule="auto"/>
        <w:ind w:left="851"/>
        <w:rPr>
          <w:rFonts w:ascii="Arial" w:eastAsia="Times New Roman" w:hAnsi="Arial" w:cs="Arial"/>
          <w:sz w:val="20"/>
          <w:szCs w:val="20"/>
          <w:lang w:eastAsia="pt-BR"/>
        </w:rPr>
      </w:pPr>
      <w:r w:rsidRPr="00DB42FC">
        <w:rPr>
          <w:rFonts w:ascii="Arial" w:eastAsia="Times New Roman" w:hAnsi="Arial" w:cs="Arial"/>
          <w:sz w:val="20"/>
          <w:szCs w:val="20"/>
          <w:lang w:eastAsia="pt-BR"/>
        </w:rPr>
        <w:t>&lt;NumeroContaBancaria&gt;</w:t>
      </w:r>
      <w:r w:rsidRPr="00DB42FC">
        <w:rPr>
          <w:rFonts w:ascii="Arial" w:eastAsia="Times New Roman" w:hAnsi="Arial" w:cs="Arial"/>
          <w:b/>
          <w:sz w:val="20"/>
          <w:szCs w:val="20"/>
          <w:lang w:eastAsia="pt-BR"/>
        </w:rPr>
        <w:t>XXX...XXX</w:t>
      </w:r>
      <w:r w:rsidRPr="00DB42FC">
        <w:rPr>
          <w:rFonts w:ascii="Arial" w:eastAsia="Times New Roman" w:hAnsi="Arial" w:cs="Arial"/>
          <w:sz w:val="20"/>
          <w:szCs w:val="20"/>
          <w:lang w:eastAsia="pt-BR"/>
        </w:rPr>
        <w:t>&lt;/NumeroContaBancaria&gt;</w:t>
      </w:r>
    </w:p>
    <w:p w14:paraId="0DDE5E0E" w14:textId="77777777" w:rsidR="00DB42FC" w:rsidRPr="00DB42FC" w:rsidRDefault="00DB42FC" w:rsidP="00DB42FC">
      <w:pPr>
        <w:spacing w:after="0" w:line="240" w:lineRule="auto"/>
        <w:ind w:left="851"/>
        <w:rPr>
          <w:rFonts w:ascii="Arial" w:eastAsia="Times New Roman" w:hAnsi="Arial" w:cs="Arial"/>
          <w:sz w:val="20"/>
          <w:szCs w:val="20"/>
          <w:lang w:eastAsia="pt-BR"/>
        </w:rPr>
      </w:pPr>
      <w:r w:rsidRPr="00DB42FC">
        <w:rPr>
          <w:rFonts w:ascii="Arial" w:eastAsia="Times New Roman" w:hAnsi="Arial" w:cs="Arial"/>
          <w:sz w:val="20"/>
          <w:szCs w:val="20"/>
          <w:lang w:eastAsia="pt-BR"/>
        </w:rPr>
        <w:t>&lt;ValorBrutoPrecatorio&gt;</w:t>
      </w:r>
      <w:r w:rsidRPr="00DB42FC">
        <w:rPr>
          <w:rFonts w:ascii="Arial" w:eastAsia="Times New Roman" w:hAnsi="Arial" w:cs="Arial"/>
          <w:b/>
          <w:sz w:val="20"/>
          <w:szCs w:val="20"/>
          <w:lang w:eastAsia="pt-BR"/>
        </w:rPr>
        <w:t>99999999999999.99</w:t>
      </w:r>
      <w:r w:rsidRPr="00DB42FC">
        <w:rPr>
          <w:rFonts w:ascii="Arial" w:eastAsia="Times New Roman" w:hAnsi="Arial" w:cs="Arial"/>
          <w:sz w:val="20"/>
          <w:szCs w:val="20"/>
          <w:lang w:eastAsia="pt-BR"/>
        </w:rPr>
        <w:t>&lt;/ValorBrutoPrecatorio&gt;</w:t>
      </w:r>
    </w:p>
    <w:p w14:paraId="26CAF7BC" w14:textId="77777777" w:rsidR="00DB42FC" w:rsidRPr="00DB42FC" w:rsidRDefault="00DB42FC" w:rsidP="00DB42FC">
      <w:pPr>
        <w:spacing w:after="0" w:line="240" w:lineRule="auto"/>
        <w:ind w:left="851"/>
        <w:rPr>
          <w:rFonts w:ascii="Arial" w:eastAsia="Times New Roman" w:hAnsi="Arial" w:cs="Arial"/>
          <w:sz w:val="20"/>
          <w:szCs w:val="20"/>
          <w:lang w:eastAsia="pt-BR"/>
        </w:rPr>
      </w:pPr>
      <w:r w:rsidRPr="00DB42FC">
        <w:rPr>
          <w:rFonts w:ascii="Arial" w:eastAsia="Times New Roman" w:hAnsi="Arial" w:cs="Arial"/>
          <w:sz w:val="20"/>
          <w:szCs w:val="20"/>
          <w:lang w:eastAsia="pt-BR"/>
        </w:rPr>
        <w:t>&lt;INSSRetido&gt;</w:t>
      </w:r>
      <w:r w:rsidRPr="00DB42FC">
        <w:rPr>
          <w:rFonts w:ascii="Arial" w:eastAsia="Times New Roman" w:hAnsi="Arial" w:cs="Arial"/>
          <w:b/>
          <w:sz w:val="20"/>
          <w:szCs w:val="20"/>
          <w:lang w:eastAsia="pt-BR"/>
        </w:rPr>
        <w:t>99999999999999.99</w:t>
      </w:r>
      <w:r w:rsidRPr="00DB42FC">
        <w:rPr>
          <w:rFonts w:ascii="Arial" w:eastAsia="Times New Roman" w:hAnsi="Arial" w:cs="Arial"/>
          <w:sz w:val="20"/>
          <w:szCs w:val="20"/>
          <w:lang w:eastAsia="pt-BR"/>
        </w:rPr>
        <w:t>&lt;/INSSRetido&gt;</w:t>
      </w:r>
    </w:p>
    <w:p w14:paraId="538EA70F" w14:textId="77777777" w:rsidR="00DB42FC" w:rsidRPr="00DB42FC" w:rsidRDefault="00DB42FC" w:rsidP="00DB42FC">
      <w:pPr>
        <w:spacing w:after="0" w:line="240" w:lineRule="auto"/>
        <w:ind w:left="851"/>
        <w:rPr>
          <w:rFonts w:ascii="Arial" w:eastAsia="Times New Roman" w:hAnsi="Arial" w:cs="Arial"/>
          <w:sz w:val="20"/>
          <w:szCs w:val="20"/>
          <w:lang w:eastAsia="pt-BR"/>
        </w:rPr>
      </w:pPr>
      <w:r w:rsidRPr="00DB42FC">
        <w:rPr>
          <w:rFonts w:ascii="Arial" w:eastAsia="Times New Roman" w:hAnsi="Arial" w:cs="Arial"/>
          <w:sz w:val="20"/>
          <w:szCs w:val="20"/>
          <w:lang w:eastAsia="pt-BR"/>
        </w:rPr>
        <w:t>&lt;RPPSRetido&gt;</w:t>
      </w:r>
      <w:r w:rsidRPr="00DB42FC">
        <w:rPr>
          <w:rFonts w:ascii="Arial" w:eastAsia="Times New Roman" w:hAnsi="Arial" w:cs="Arial"/>
          <w:b/>
          <w:sz w:val="20"/>
          <w:szCs w:val="20"/>
          <w:lang w:eastAsia="pt-BR"/>
        </w:rPr>
        <w:t>99999999999999.99</w:t>
      </w:r>
      <w:r w:rsidRPr="00DB42FC">
        <w:rPr>
          <w:rFonts w:ascii="Arial" w:eastAsia="Times New Roman" w:hAnsi="Arial" w:cs="Arial"/>
          <w:sz w:val="20"/>
          <w:szCs w:val="20"/>
          <w:lang w:eastAsia="pt-BR"/>
        </w:rPr>
        <w:t>&lt;/RPPSRetido&gt;</w:t>
      </w:r>
    </w:p>
    <w:p w14:paraId="22ABDA65" w14:textId="77777777" w:rsidR="00DB42FC" w:rsidRPr="00DB42FC" w:rsidRDefault="00DB42FC" w:rsidP="00DB42FC">
      <w:pPr>
        <w:spacing w:after="0" w:line="240" w:lineRule="auto"/>
        <w:ind w:left="851"/>
        <w:rPr>
          <w:rFonts w:ascii="Arial" w:eastAsia="Times New Roman" w:hAnsi="Arial" w:cs="Arial"/>
          <w:sz w:val="20"/>
          <w:szCs w:val="20"/>
          <w:lang w:eastAsia="pt-BR"/>
        </w:rPr>
      </w:pPr>
      <w:r w:rsidRPr="00DB42FC">
        <w:rPr>
          <w:rFonts w:ascii="Arial" w:eastAsia="Times New Roman" w:hAnsi="Arial" w:cs="Arial"/>
          <w:sz w:val="20"/>
          <w:szCs w:val="20"/>
          <w:lang w:eastAsia="pt-BR"/>
        </w:rPr>
        <w:t>&lt;ISSRetido&gt;</w:t>
      </w:r>
      <w:r w:rsidRPr="00DB42FC">
        <w:rPr>
          <w:rFonts w:ascii="Arial" w:eastAsia="Times New Roman" w:hAnsi="Arial" w:cs="Arial"/>
          <w:b/>
          <w:sz w:val="20"/>
          <w:szCs w:val="20"/>
          <w:lang w:eastAsia="pt-BR"/>
        </w:rPr>
        <w:t>99999999999999.99</w:t>
      </w:r>
      <w:r w:rsidRPr="00DB42FC">
        <w:rPr>
          <w:rFonts w:ascii="Arial" w:eastAsia="Times New Roman" w:hAnsi="Arial" w:cs="Arial"/>
          <w:sz w:val="20"/>
          <w:szCs w:val="20"/>
          <w:lang w:eastAsia="pt-BR"/>
        </w:rPr>
        <w:t>&lt;/ISSRetido&gt;</w:t>
      </w:r>
    </w:p>
    <w:p w14:paraId="35E61668" w14:textId="77777777" w:rsidR="00DB42FC" w:rsidRPr="00DB42FC" w:rsidRDefault="00DB42FC" w:rsidP="00DB42FC">
      <w:pPr>
        <w:spacing w:after="0" w:line="240" w:lineRule="auto"/>
        <w:ind w:left="851"/>
        <w:rPr>
          <w:rFonts w:ascii="Arial" w:eastAsia="Times New Roman" w:hAnsi="Arial" w:cs="Arial"/>
          <w:sz w:val="20"/>
          <w:szCs w:val="20"/>
          <w:lang w:eastAsia="pt-BR"/>
        </w:rPr>
      </w:pPr>
      <w:r w:rsidRPr="00DB42FC">
        <w:rPr>
          <w:rFonts w:ascii="Arial" w:eastAsia="Times New Roman" w:hAnsi="Arial" w:cs="Arial"/>
          <w:sz w:val="20"/>
          <w:szCs w:val="20"/>
          <w:lang w:eastAsia="pt-BR"/>
        </w:rPr>
        <w:t>&lt;IRRFRetido&gt;</w:t>
      </w:r>
      <w:r w:rsidRPr="00DB42FC">
        <w:rPr>
          <w:rFonts w:ascii="Arial" w:eastAsia="Times New Roman" w:hAnsi="Arial" w:cs="Arial"/>
          <w:b/>
          <w:sz w:val="20"/>
          <w:szCs w:val="20"/>
          <w:lang w:eastAsia="pt-BR"/>
        </w:rPr>
        <w:t>99999999999999.99</w:t>
      </w:r>
      <w:r w:rsidRPr="00DB42FC">
        <w:rPr>
          <w:rFonts w:ascii="Arial" w:eastAsia="Times New Roman" w:hAnsi="Arial" w:cs="Arial"/>
          <w:sz w:val="20"/>
          <w:szCs w:val="20"/>
          <w:lang w:eastAsia="pt-BR"/>
        </w:rPr>
        <w:t>&lt;/IRRFRetido&gt;</w:t>
      </w:r>
    </w:p>
    <w:p w14:paraId="56F652B8" w14:textId="77777777" w:rsidR="00DB42FC" w:rsidRPr="00DB42FC" w:rsidRDefault="00DB42FC" w:rsidP="00DB42FC">
      <w:pPr>
        <w:spacing w:after="0" w:line="240" w:lineRule="auto"/>
        <w:ind w:left="851"/>
        <w:rPr>
          <w:rFonts w:ascii="Arial" w:eastAsia="Times New Roman" w:hAnsi="Arial" w:cs="Arial"/>
          <w:sz w:val="20"/>
          <w:szCs w:val="20"/>
          <w:lang w:eastAsia="pt-BR"/>
        </w:rPr>
      </w:pPr>
      <w:r w:rsidRPr="00DB42FC">
        <w:rPr>
          <w:rFonts w:ascii="Arial" w:eastAsia="Times New Roman" w:hAnsi="Arial" w:cs="Arial"/>
          <w:sz w:val="20"/>
          <w:szCs w:val="20"/>
          <w:lang w:eastAsia="pt-BR"/>
        </w:rPr>
        <w:t>&lt;ValorLiquidoSaque&gt;</w:t>
      </w:r>
      <w:r w:rsidRPr="00DB42FC">
        <w:rPr>
          <w:rFonts w:ascii="Arial" w:eastAsia="Times New Roman" w:hAnsi="Arial" w:cs="Arial"/>
          <w:b/>
          <w:sz w:val="20"/>
          <w:szCs w:val="20"/>
          <w:lang w:eastAsia="pt-BR"/>
        </w:rPr>
        <w:t>99999999999999.99</w:t>
      </w:r>
      <w:r w:rsidRPr="00DB42FC">
        <w:rPr>
          <w:rFonts w:ascii="Arial" w:eastAsia="Times New Roman" w:hAnsi="Arial" w:cs="Arial"/>
          <w:sz w:val="20"/>
          <w:szCs w:val="20"/>
          <w:lang w:eastAsia="pt-BR"/>
        </w:rPr>
        <w:t>&lt;/ValorLiquidoSaque&gt;</w:t>
      </w:r>
    </w:p>
    <w:p w14:paraId="42D04CDD" w14:textId="77777777" w:rsidR="00DB42FC" w:rsidRPr="00DB42FC" w:rsidRDefault="00DB42FC" w:rsidP="00DB42FC">
      <w:pPr>
        <w:spacing w:after="0" w:line="240" w:lineRule="auto"/>
        <w:ind w:left="851"/>
        <w:rPr>
          <w:rFonts w:ascii="Arial" w:eastAsia="Times New Roman" w:hAnsi="Arial" w:cs="Arial"/>
          <w:sz w:val="20"/>
          <w:szCs w:val="20"/>
          <w:lang w:eastAsia="pt-BR"/>
        </w:rPr>
      </w:pPr>
      <w:r w:rsidRPr="00DB42FC">
        <w:rPr>
          <w:rFonts w:ascii="Arial" w:eastAsia="Times New Roman" w:hAnsi="Arial" w:cs="Arial"/>
          <w:sz w:val="20"/>
          <w:szCs w:val="20"/>
          <w:lang w:eastAsia="pt-BR"/>
        </w:rPr>
        <w:t>&lt;DataRecebimento&gt;</w:t>
      </w:r>
      <w:r w:rsidRPr="00DB42FC">
        <w:rPr>
          <w:rFonts w:ascii="Arial" w:eastAsia="Times New Roman" w:hAnsi="Arial" w:cs="Arial"/>
          <w:b/>
          <w:sz w:val="20"/>
          <w:szCs w:val="20"/>
          <w:lang w:eastAsia="pt-BR"/>
        </w:rPr>
        <w:t>9999-99-99</w:t>
      </w:r>
      <w:r w:rsidRPr="00DB42FC">
        <w:rPr>
          <w:rFonts w:ascii="Arial" w:eastAsia="Times New Roman" w:hAnsi="Arial" w:cs="Arial"/>
          <w:sz w:val="20"/>
          <w:szCs w:val="20"/>
          <w:lang w:eastAsia="pt-BR"/>
        </w:rPr>
        <w:t>&lt;/DataRecebimento&gt;</w:t>
      </w:r>
    </w:p>
    <w:p w14:paraId="4C2182F7" w14:textId="032A6F68" w:rsidR="00DB42FC" w:rsidRPr="00DB42FC" w:rsidRDefault="00DB42FC" w:rsidP="00DB42FC">
      <w:pPr>
        <w:spacing w:after="0" w:line="240" w:lineRule="auto"/>
        <w:ind w:left="567"/>
        <w:rPr>
          <w:rFonts w:ascii="Arial" w:eastAsia="Times New Roman" w:hAnsi="Arial" w:cs="Arial"/>
          <w:sz w:val="20"/>
          <w:szCs w:val="20"/>
          <w:lang w:eastAsia="pt-BR"/>
        </w:rPr>
      </w:pPr>
      <w:r w:rsidRPr="00DB42FC">
        <w:rPr>
          <w:rFonts w:ascii="Arial" w:eastAsia="Times New Roman" w:hAnsi="Arial" w:cs="Arial"/>
          <w:sz w:val="20"/>
          <w:szCs w:val="20"/>
          <w:lang w:eastAsia="pt-BR"/>
        </w:rPr>
        <w:t>&lt;</w:t>
      </w:r>
      <w:r w:rsidR="00486C47">
        <w:rPr>
          <w:rFonts w:ascii="Arial" w:eastAsia="Times New Roman" w:hAnsi="Arial" w:cs="Arial"/>
          <w:sz w:val="20"/>
          <w:szCs w:val="20"/>
          <w:lang w:eastAsia="pt-BR"/>
        </w:rPr>
        <w:t>/</w:t>
      </w:r>
      <w:r w:rsidRPr="00DB42FC">
        <w:rPr>
          <w:rFonts w:ascii="Arial" w:hAnsi="Arial" w:cs="Arial"/>
          <w:sz w:val="20"/>
          <w:szCs w:val="20"/>
        </w:rPr>
        <w:t>RelacaoPrecatoriosPagos</w:t>
      </w:r>
      <w:r w:rsidRPr="00DB42FC">
        <w:rPr>
          <w:rFonts w:ascii="Arial" w:eastAsia="Times New Roman" w:hAnsi="Arial" w:cs="Arial"/>
          <w:sz w:val="20"/>
          <w:szCs w:val="20"/>
          <w:lang w:eastAsia="pt-BR"/>
        </w:rPr>
        <w:t>&gt;</w:t>
      </w:r>
    </w:p>
    <w:p w14:paraId="3CAA1EEA" w14:textId="0475A6B4" w:rsidR="00DB42FC" w:rsidRPr="00DB42FC" w:rsidRDefault="00DB42FC" w:rsidP="00DB42FC">
      <w:pPr>
        <w:spacing w:after="0" w:line="240" w:lineRule="auto"/>
        <w:ind w:left="284"/>
        <w:rPr>
          <w:rFonts w:ascii="Arial" w:eastAsia="Times New Roman" w:hAnsi="Arial" w:cs="Arial"/>
          <w:sz w:val="20"/>
          <w:szCs w:val="20"/>
          <w:lang w:eastAsia="pt-BR"/>
        </w:rPr>
      </w:pPr>
      <w:r w:rsidRPr="00DB42FC">
        <w:rPr>
          <w:rFonts w:ascii="Arial" w:eastAsia="Times New Roman" w:hAnsi="Arial" w:cs="Arial"/>
          <w:sz w:val="20"/>
          <w:szCs w:val="20"/>
          <w:lang w:eastAsia="pt-BR"/>
        </w:rPr>
        <w:t>&lt;</w:t>
      </w:r>
      <w:r w:rsidR="00486C47">
        <w:rPr>
          <w:rFonts w:ascii="Arial" w:eastAsia="Times New Roman" w:hAnsi="Arial" w:cs="Arial"/>
          <w:sz w:val="20"/>
          <w:szCs w:val="20"/>
          <w:lang w:eastAsia="pt-BR"/>
        </w:rPr>
        <w:t>/</w:t>
      </w:r>
      <w:r w:rsidR="00486C47" w:rsidRPr="00DB42FC">
        <w:rPr>
          <w:rFonts w:ascii="Arial" w:hAnsi="Arial" w:cs="Arial"/>
          <w:sz w:val="20"/>
          <w:szCs w:val="20"/>
        </w:rPr>
        <w:t>RelacaoPrecatoriosPagos</w:t>
      </w:r>
      <w:r w:rsidR="00486C47" w:rsidRPr="00DB42FC">
        <w:rPr>
          <w:rFonts w:ascii="Arial" w:eastAsia="Times New Roman" w:hAnsi="Arial" w:cs="Arial"/>
          <w:sz w:val="20"/>
          <w:szCs w:val="20"/>
          <w:lang w:eastAsia="pt-BR"/>
        </w:rPr>
        <w:t>_Schema</w:t>
      </w:r>
      <w:r w:rsidRPr="00DB42FC">
        <w:rPr>
          <w:rFonts w:ascii="Arial" w:eastAsia="Times New Roman" w:hAnsi="Arial" w:cs="Arial"/>
          <w:sz w:val="20"/>
          <w:szCs w:val="20"/>
          <w:lang w:eastAsia="pt-BR"/>
        </w:rPr>
        <w:t>&gt;</w:t>
      </w:r>
    </w:p>
    <w:p w14:paraId="6570C109" w14:textId="77777777" w:rsidR="00DB42FC" w:rsidRPr="00DB42FC" w:rsidRDefault="00DB42FC" w:rsidP="00DB42FC">
      <w:pPr>
        <w:spacing w:after="0" w:line="240" w:lineRule="auto"/>
        <w:rPr>
          <w:rFonts w:ascii="Arial" w:eastAsia="Times New Roman" w:hAnsi="Arial" w:cs="Arial"/>
          <w:sz w:val="20"/>
          <w:szCs w:val="20"/>
          <w:lang w:eastAsia="pt-BR"/>
        </w:rPr>
      </w:pPr>
      <w:r w:rsidRPr="00DB42FC">
        <w:rPr>
          <w:rFonts w:ascii="Arial" w:eastAsia="Times New Roman" w:hAnsi="Arial" w:cs="Arial"/>
          <w:sz w:val="20"/>
          <w:szCs w:val="20"/>
          <w:lang w:eastAsia="pt-BR"/>
        </w:rPr>
        <w:t>&lt;/PrestacaoContasAnual&gt;</w:t>
      </w:r>
    </w:p>
    <w:p w14:paraId="70767552" w14:textId="77777777" w:rsidR="00DB42FC" w:rsidRPr="00DB42FC" w:rsidRDefault="00DB42FC" w:rsidP="00DB42FC">
      <w:pPr>
        <w:rPr>
          <w:rFonts w:ascii="Arial" w:hAnsi="Arial" w:cs="Arial"/>
          <w:sz w:val="20"/>
          <w:szCs w:val="20"/>
        </w:rPr>
      </w:pPr>
    </w:p>
    <w:tbl>
      <w:tblPr>
        <w:tblW w:w="9366" w:type="dxa"/>
        <w:tblInd w:w="60" w:type="dxa"/>
        <w:tblLayout w:type="fixed"/>
        <w:tblCellMar>
          <w:left w:w="70" w:type="dxa"/>
          <w:right w:w="70" w:type="dxa"/>
        </w:tblCellMar>
        <w:tblLook w:val="04A0" w:firstRow="1" w:lastRow="0" w:firstColumn="1" w:lastColumn="0" w:noHBand="0" w:noVBand="1"/>
      </w:tblPr>
      <w:tblGrid>
        <w:gridCol w:w="3272"/>
        <w:gridCol w:w="1276"/>
        <w:gridCol w:w="1276"/>
        <w:gridCol w:w="3542"/>
      </w:tblGrid>
      <w:tr w:rsidR="00DB42FC" w:rsidRPr="00DB42FC" w14:paraId="4F850FA3" w14:textId="77777777" w:rsidTr="005C00E1">
        <w:trPr>
          <w:trHeight w:val="315"/>
        </w:trPr>
        <w:tc>
          <w:tcPr>
            <w:tcW w:w="3272" w:type="dxa"/>
            <w:tcBorders>
              <w:top w:val="single" w:sz="8" w:space="0" w:color="auto"/>
              <w:left w:val="single" w:sz="8" w:space="0" w:color="auto"/>
              <w:bottom w:val="single" w:sz="8" w:space="0" w:color="auto"/>
              <w:right w:val="single" w:sz="8" w:space="0" w:color="auto"/>
            </w:tcBorders>
            <w:shd w:val="clear" w:color="000000" w:fill="C0C0C0"/>
            <w:vAlign w:val="center"/>
            <w:hideMark/>
          </w:tcPr>
          <w:p w14:paraId="0B7FBD0F" w14:textId="77777777" w:rsidR="00DB42FC" w:rsidRPr="00DB42FC" w:rsidRDefault="00DB42FC" w:rsidP="005C00E1">
            <w:pPr>
              <w:rPr>
                <w:rFonts w:ascii="Arial" w:hAnsi="Arial" w:cs="Arial"/>
                <w:b/>
                <w:bCs/>
                <w:sz w:val="20"/>
                <w:szCs w:val="20"/>
              </w:rPr>
            </w:pPr>
            <w:r w:rsidRPr="00DB42FC">
              <w:rPr>
                <w:rFonts w:ascii="Arial" w:hAnsi="Arial" w:cs="Arial"/>
                <w:b/>
                <w:bCs/>
                <w:sz w:val="20"/>
                <w:szCs w:val="20"/>
              </w:rPr>
              <w:t>Campo</w:t>
            </w:r>
          </w:p>
        </w:tc>
        <w:tc>
          <w:tcPr>
            <w:tcW w:w="1276" w:type="dxa"/>
            <w:tcBorders>
              <w:top w:val="single" w:sz="8" w:space="0" w:color="auto"/>
              <w:left w:val="nil"/>
              <w:bottom w:val="single" w:sz="8" w:space="0" w:color="auto"/>
              <w:right w:val="single" w:sz="8" w:space="0" w:color="auto"/>
            </w:tcBorders>
            <w:shd w:val="clear" w:color="000000" w:fill="C0C0C0"/>
            <w:vAlign w:val="center"/>
            <w:hideMark/>
          </w:tcPr>
          <w:p w14:paraId="3E849C13" w14:textId="77777777" w:rsidR="00DB42FC" w:rsidRPr="00DB42FC" w:rsidRDefault="00DB42FC" w:rsidP="005C00E1">
            <w:pPr>
              <w:jc w:val="center"/>
              <w:rPr>
                <w:rFonts w:ascii="Arial" w:hAnsi="Arial" w:cs="Arial"/>
                <w:b/>
                <w:bCs/>
                <w:sz w:val="20"/>
                <w:szCs w:val="20"/>
              </w:rPr>
            </w:pPr>
            <w:r w:rsidRPr="00DB42FC">
              <w:rPr>
                <w:rFonts w:ascii="Arial" w:hAnsi="Arial" w:cs="Arial"/>
                <w:b/>
                <w:bCs/>
                <w:sz w:val="20"/>
                <w:szCs w:val="20"/>
              </w:rPr>
              <w:t>Tipo</w:t>
            </w:r>
          </w:p>
        </w:tc>
        <w:tc>
          <w:tcPr>
            <w:tcW w:w="1276" w:type="dxa"/>
            <w:tcBorders>
              <w:top w:val="single" w:sz="8" w:space="0" w:color="auto"/>
              <w:left w:val="nil"/>
              <w:bottom w:val="single" w:sz="8" w:space="0" w:color="auto"/>
              <w:right w:val="single" w:sz="8" w:space="0" w:color="auto"/>
            </w:tcBorders>
            <w:shd w:val="clear" w:color="000000" w:fill="C0C0C0"/>
            <w:vAlign w:val="center"/>
            <w:hideMark/>
          </w:tcPr>
          <w:p w14:paraId="00646484" w14:textId="77777777" w:rsidR="00DB42FC" w:rsidRPr="00DB42FC" w:rsidRDefault="00DB42FC" w:rsidP="005C00E1">
            <w:pPr>
              <w:jc w:val="center"/>
              <w:rPr>
                <w:rFonts w:ascii="Arial" w:hAnsi="Arial" w:cs="Arial"/>
                <w:b/>
                <w:bCs/>
                <w:sz w:val="20"/>
                <w:szCs w:val="20"/>
              </w:rPr>
            </w:pPr>
            <w:r w:rsidRPr="00DB42FC">
              <w:rPr>
                <w:rFonts w:ascii="Arial" w:hAnsi="Arial" w:cs="Arial"/>
                <w:b/>
                <w:bCs/>
                <w:sz w:val="20"/>
                <w:szCs w:val="20"/>
              </w:rPr>
              <w:t>Tamanho</w:t>
            </w:r>
          </w:p>
        </w:tc>
        <w:tc>
          <w:tcPr>
            <w:tcW w:w="3542" w:type="dxa"/>
            <w:tcBorders>
              <w:top w:val="single" w:sz="8" w:space="0" w:color="auto"/>
              <w:left w:val="nil"/>
              <w:bottom w:val="single" w:sz="8" w:space="0" w:color="auto"/>
              <w:right w:val="single" w:sz="8" w:space="0" w:color="auto"/>
            </w:tcBorders>
            <w:shd w:val="clear" w:color="000000" w:fill="C0C0C0"/>
            <w:vAlign w:val="center"/>
            <w:hideMark/>
          </w:tcPr>
          <w:p w14:paraId="2670C6BD" w14:textId="77777777" w:rsidR="00DB42FC" w:rsidRPr="00DB42FC" w:rsidRDefault="00DB42FC" w:rsidP="005C00E1">
            <w:pPr>
              <w:rPr>
                <w:rFonts w:ascii="Arial" w:hAnsi="Arial" w:cs="Arial"/>
                <w:b/>
                <w:bCs/>
                <w:sz w:val="20"/>
                <w:szCs w:val="20"/>
              </w:rPr>
            </w:pPr>
            <w:r w:rsidRPr="00DB42FC">
              <w:rPr>
                <w:rFonts w:ascii="Arial" w:hAnsi="Arial" w:cs="Arial"/>
                <w:b/>
                <w:bCs/>
                <w:sz w:val="20"/>
                <w:szCs w:val="20"/>
              </w:rPr>
              <w:t>Obrigatoriedade</w:t>
            </w:r>
          </w:p>
        </w:tc>
      </w:tr>
      <w:tr w:rsidR="00DB42FC" w:rsidRPr="00DB42FC" w14:paraId="5BACC865" w14:textId="77777777" w:rsidTr="005C00E1">
        <w:trPr>
          <w:trHeight w:val="315"/>
        </w:trPr>
        <w:tc>
          <w:tcPr>
            <w:tcW w:w="9366" w:type="dxa"/>
            <w:gridSpan w:val="4"/>
            <w:tcBorders>
              <w:top w:val="single" w:sz="8" w:space="0" w:color="auto"/>
              <w:left w:val="single" w:sz="8" w:space="0" w:color="auto"/>
              <w:bottom w:val="single" w:sz="8" w:space="0" w:color="auto"/>
              <w:right w:val="single" w:sz="8" w:space="0" w:color="000000"/>
            </w:tcBorders>
            <w:shd w:val="clear" w:color="000000" w:fill="BFBFBF"/>
            <w:vAlign w:val="center"/>
            <w:hideMark/>
          </w:tcPr>
          <w:p w14:paraId="3EB5B350" w14:textId="77777777" w:rsidR="00DB42FC" w:rsidRPr="00DB42FC" w:rsidRDefault="00DB42FC" w:rsidP="005C00E1">
            <w:pPr>
              <w:jc w:val="center"/>
              <w:rPr>
                <w:rFonts w:ascii="Arial" w:hAnsi="Arial" w:cs="Arial"/>
                <w:b/>
                <w:bCs/>
                <w:sz w:val="20"/>
                <w:szCs w:val="20"/>
              </w:rPr>
            </w:pPr>
            <w:r w:rsidRPr="00DB42FC">
              <w:rPr>
                <w:rFonts w:ascii="Arial" w:hAnsi="Arial" w:cs="Arial"/>
                <w:b/>
                <w:bCs/>
                <w:sz w:val="20"/>
                <w:szCs w:val="20"/>
              </w:rPr>
              <w:t>Estrutura ‘</w:t>
            </w:r>
            <w:r w:rsidRPr="00DB42FC">
              <w:rPr>
                <w:rFonts w:ascii="Arial" w:hAnsi="Arial" w:cs="Arial"/>
                <w:b/>
                <w:sz w:val="20"/>
                <w:szCs w:val="20"/>
              </w:rPr>
              <w:t>RelacaoPrecatoriosPagos’</w:t>
            </w:r>
          </w:p>
        </w:tc>
      </w:tr>
      <w:tr w:rsidR="00DB42FC" w:rsidRPr="00DB42FC" w14:paraId="7EB805B5" w14:textId="77777777" w:rsidTr="005C00E1">
        <w:trPr>
          <w:trHeight w:val="315"/>
        </w:trPr>
        <w:tc>
          <w:tcPr>
            <w:tcW w:w="3272" w:type="dxa"/>
            <w:tcBorders>
              <w:top w:val="nil"/>
              <w:left w:val="single" w:sz="8" w:space="0" w:color="auto"/>
              <w:bottom w:val="single" w:sz="8" w:space="0" w:color="auto"/>
              <w:right w:val="single" w:sz="8" w:space="0" w:color="auto"/>
            </w:tcBorders>
            <w:shd w:val="clear" w:color="auto" w:fill="auto"/>
            <w:vAlign w:val="center"/>
            <w:hideMark/>
          </w:tcPr>
          <w:p w14:paraId="0E90BDB6" w14:textId="77777777" w:rsidR="00DB42FC" w:rsidRPr="00DB42FC" w:rsidRDefault="00DB42FC" w:rsidP="005C00E1">
            <w:pPr>
              <w:rPr>
                <w:rFonts w:ascii="Arial" w:hAnsi="Arial" w:cs="Arial"/>
                <w:sz w:val="20"/>
                <w:szCs w:val="20"/>
              </w:rPr>
            </w:pPr>
            <w:r w:rsidRPr="00DB42FC">
              <w:rPr>
                <w:rFonts w:ascii="Arial" w:hAnsi="Arial" w:cs="Arial"/>
                <w:sz w:val="20"/>
                <w:szCs w:val="20"/>
              </w:rPr>
              <w:t>Identificação do Número do Registro</w:t>
            </w:r>
          </w:p>
        </w:tc>
        <w:tc>
          <w:tcPr>
            <w:tcW w:w="1276" w:type="dxa"/>
            <w:tcBorders>
              <w:top w:val="nil"/>
              <w:left w:val="nil"/>
              <w:bottom w:val="single" w:sz="8" w:space="0" w:color="auto"/>
              <w:right w:val="single" w:sz="8" w:space="0" w:color="auto"/>
            </w:tcBorders>
            <w:shd w:val="clear" w:color="auto" w:fill="auto"/>
            <w:vAlign w:val="center"/>
            <w:hideMark/>
          </w:tcPr>
          <w:p w14:paraId="61CA9B9F" w14:textId="77777777" w:rsidR="00DB42FC" w:rsidRPr="00DB42FC" w:rsidRDefault="00DB42FC" w:rsidP="005C00E1">
            <w:pPr>
              <w:jc w:val="center"/>
              <w:rPr>
                <w:rFonts w:ascii="Arial" w:hAnsi="Arial" w:cs="Arial"/>
                <w:sz w:val="20"/>
                <w:szCs w:val="20"/>
              </w:rPr>
            </w:pPr>
            <w:r w:rsidRPr="00DB42FC">
              <w:rPr>
                <w:rFonts w:ascii="Arial" w:hAnsi="Arial" w:cs="Arial"/>
                <w:sz w:val="20"/>
                <w:szCs w:val="20"/>
              </w:rPr>
              <w:t>Inteiro</w:t>
            </w:r>
          </w:p>
        </w:tc>
        <w:tc>
          <w:tcPr>
            <w:tcW w:w="1276" w:type="dxa"/>
            <w:tcBorders>
              <w:top w:val="nil"/>
              <w:left w:val="nil"/>
              <w:bottom w:val="single" w:sz="8" w:space="0" w:color="auto"/>
              <w:right w:val="single" w:sz="8" w:space="0" w:color="auto"/>
            </w:tcBorders>
            <w:shd w:val="clear" w:color="auto" w:fill="auto"/>
            <w:vAlign w:val="center"/>
            <w:hideMark/>
          </w:tcPr>
          <w:p w14:paraId="34C11EEB" w14:textId="77777777" w:rsidR="00DB42FC" w:rsidRPr="00DB42FC" w:rsidRDefault="00DB42FC" w:rsidP="005C00E1">
            <w:pPr>
              <w:jc w:val="center"/>
              <w:rPr>
                <w:rFonts w:ascii="Arial" w:hAnsi="Arial" w:cs="Arial"/>
                <w:sz w:val="20"/>
                <w:szCs w:val="20"/>
              </w:rPr>
            </w:pPr>
            <w:r w:rsidRPr="00DB42FC">
              <w:rPr>
                <w:rFonts w:ascii="Arial" w:hAnsi="Arial" w:cs="Arial"/>
                <w:sz w:val="20"/>
                <w:szCs w:val="20"/>
              </w:rPr>
              <w:t>5</w:t>
            </w:r>
          </w:p>
        </w:tc>
        <w:tc>
          <w:tcPr>
            <w:tcW w:w="3542" w:type="dxa"/>
            <w:tcBorders>
              <w:top w:val="nil"/>
              <w:left w:val="nil"/>
              <w:bottom w:val="single" w:sz="8" w:space="0" w:color="auto"/>
              <w:right w:val="single" w:sz="8" w:space="0" w:color="auto"/>
            </w:tcBorders>
            <w:shd w:val="clear" w:color="auto" w:fill="auto"/>
            <w:vAlign w:val="center"/>
            <w:hideMark/>
          </w:tcPr>
          <w:p w14:paraId="6FCBF662" w14:textId="77777777" w:rsidR="00DB42FC" w:rsidRPr="00DB42FC" w:rsidRDefault="00DB42FC" w:rsidP="005C00E1">
            <w:pPr>
              <w:rPr>
                <w:rFonts w:ascii="Arial" w:hAnsi="Arial" w:cs="Arial"/>
                <w:sz w:val="20"/>
                <w:szCs w:val="20"/>
              </w:rPr>
            </w:pPr>
            <w:r w:rsidRPr="00DB42FC">
              <w:rPr>
                <w:rFonts w:ascii="Arial" w:hAnsi="Arial" w:cs="Arial"/>
                <w:sz w:val="20"/>
                <w:szCs w:val="20"/>
              </w:rPr>
              <w:t>Obrigatório</w:t>
            </w:r>
          </w:p>
        </w:tc>
      </w:tr>
      <w:tr w:rsidR="00DB42FC" w:rsidRPr="00DB42FC" w14:paraId="0FCAC80B" w14:textId="77777777" w:rsidTr="005C00E1">
        <w:trPr>
          <w:trHeight w:val="315"/>
        </w:trPr>
        <w:tc>
          <w:tcPr>
            <w:tcW w:w="3272" w:type="dxa"/>
            <w:tcBorders>
              <w:top w:val="nil"/>
              <w:left w:val="single" w:sz="8" w:space="0" w:color="auto"/>
              <w:bottom w:val="single" w:sz="8" w:space="0" w:color="auto"/>
              <w:right w:val="single" w:sz="8" w:space="0" w:color="auto"/>
            </w:tcBorders>
            <w:shd w:val="clear" w:color="auto" w:fill="auto"/>
            <w:vAlign w:val="center"/>
            <w:hideMark/>
          </w:tcPr>
          <w:p w14:paraId="74BFF78C" w14:textId="77777777" w:rsidR="00DB42FC" w:rsidRPr="00DB42FC" w:rsidRDefault="00DB42FC" w:rsidP="005C00E1">
            <w:pPr>
              <w:rPr>
                <w:rFonts w:ascii="Arial" w:hAnsi="Arial" w:cs="Arial"/>
                <w:sz w:val="20"/>
                <w:szCs w:val="20"/>
              </w:rPr>
            </w:pPr>
            <w:r w:rsidRPr="00DB42FC">
              <w:rPr>
                <w:rFonts w:ascii="Arial" w:eastAsia="Times New Roman" w:hAnsi="Arial" w:cs="Arial"/>
                <w:sz w:val="20"/>
                <w:szCs w:val="20"/>
                <w:lang w:eastAsia="pt-BR"/>
              </w:rPr>
              <w:t>Código da Unidade Gestora ou CNPJ do Órgão Externo</w:t>
            </w:r>
          </w:p>
        </w:tc>
        <w:tc>
          <w:tcPr>
            <w:tcW w:w="1276" w:type="dxa"/>
            <w:tcBorders>
              <w:top w:val="nil"/>
              <w:left w:val="nil"/>
              <w:bottom w:val="single" w:sz="8" w:space="0" w:color="auto"/>
              <w:right w:val="single" w:sz="8" w:space="0" w:color="auto"/>
            </w:tcBorders>
            <w:shd w:val="clear" w:color="auto" w:fill="auto"/>
            <w:vAlign w:val="center"/>
            <w:hideMark/>
          </w:tcPr>
          <w:p w14:paraId="0388AD60" w14:textId="77777777" w:rsidR="00DB42FC" w:rsidRPr="00DB42FC" w:rsidRDefault="00DB42FC" w:rsidP="005C00E1">
            <w:pPr>
              <w:jc w:val="center"/>
              <w:rPr>
                <w:rFonts w:ascii="Arial" w:hAnsi="Arial" w:cs="Arial"/>
                <w:sz w:val="20"/>
                <w:szCs w:val="20"/>
              </w:rPr>
            </w:pPr>
            <w:r w:rsidRPr="00DB42FC">
              <w:rPr>
                <w:rFonts w:ascii="Arial" w:hAnsi="Arial" w:cs="Arial"/>
                <w:sz w:val="20"/>
                <w:szCs w:val="20"/>
              </w:rPr>
              <w:t>Caracter</w:t>
            </w:r>
          </w:p>
        </w:tc>
        <w:tc>
          <w:tcPr>
            <w:tcW w:w="1276" w:type="dxa"/>
            <w:tcBorders>
              <w:top w:val="nil"/>
              <w:left w:val="nil"/>
              <w:bottom w:val="single" w:sz="8" w:space="0" w:color="auto"/>
              <w:right w:val="single" w:sz="8" w:space="0" w:color="auto"/>
            </w:tcBorders>
            <w:shd w:val="clear" w:color="auto" w:fill="auto"/>
            <w:vAlign w:val="center"/>
            <w:hideMark/>
          </w:tcPr>
          <w:p w14:paraId="2D6FE490" w14:textId="77777777" w:rsidR="00DB42FC" w:rsidRPr="00DB42FC" w:rsidRDefault="00DB42FC" w:rsidP="005C00E1">
            <w:pPr>
              <w:jc w:val="center"/>
              <w:rPr>
                <w:rFonts w:ascii="Arial" w:hAnsi="Arial" w:cs="Arial"/>
                <w:sz w:val="20"/>
                <w:szCs w:val="20"/>
              </w:rPr>
            </w:pPr>
            <w:r w:rsidRPr="00DB42FC">
              <w:rPr>
                <w:rFonts w:ascii="Arial" w:hAnsi="Arial" w:cs="Arial"/>
                <w:sz w:val="20"/>
                <w:szCs w:val="20"/>
              </w:rPr>
              <w:t>14</w:t>
            </w:r>
          </w:p>
        </w:tc>
        <w:tc>
          <w:tcPr>
            <w:tcW w:w="3542" w:type="dxa"/>
            <w:tcBorders>
              <w:top w:val="nil"/>
              <w:left w:val="nil"/>
              <w:bottom w:val="single" w:sz="8" w:space="0" w:color="auto"/>
              <w:right w:val="single" w:sz="8" w:space="0" w:color="auto"/>
            </w:tcBorders>
            <w:shd w:val="clear" w:color="auto" w:fill="auto"/>
            <w:vAlign w:val="center"/>
            <w:hideMark/>
          </w:tcPr>
          <w:p w14:paraId="38A033FE" w14:textId="77777777" w:rsidR="00DB42FC" w:rsidRPr="00DB42FC" w:rsidRDefault="00DB42FC" w:rsidP="005C00E1">
            <w:pPr>
              <w:rPr>
                <w:rFonts w:ascii="Arial" w:hAnsi="Arial" w:cs="Arial"/>
                <w:sz w:val="20"/>
                <w:szCs w:val="20"/>
              </w:rPr>
            </w:pPr>
            <w:r w:rsidRPr="00DB42FC">
              <w:rPr>
                <w:rFonts w:ascii="Arial" w:hAnsi="Arial" w:cs="Arial"/>
                <w:sz w:val="20"/>
                <w:szCs w:val="20"/>
              </w:rPr>
              <w:t>Obrigatório</w:t>
            </w:r>
          </w:p>
          <w:p w14:paraId="74F75C48" w14:textId="77777777" w:rsidR="00DB42FC" w:rsidRPr="00DB42FC" w:rsidRDefault="00DB42FC" w:rsidP="005C00E1">
            <w:pPr>
              <w:spacing w:line="240" w:lineRule="auto"/>
              <w:jc w:val="both"/>
              <w:rPr>
                <w:rFonts w:ascii="Arial" w:eastAsia="Times New Roman" w:hAnsi="Arial" w:cs="Arial"/>
                <w:sz w:val="20"/>
                <w:szCs w:val="20"/>
                <w:lang w:eastAsia="pt-BR"/>
              </w:rPr>
            </w:pPr>
            <w:r w:rsidRPr="00DB42FC">
              <w:rPr>
                <w:rFonts w:ascii="Arial" w:eastAsia="Times New Roman" w:hAnsi="Arial" w:cs="Arial"/>
                <w:sz w:val="20"/>
                <w:szCs w:val="20"/>
                <w:lang w:eastAsia="pt-BR"/>
              </w:rPr>
              <w:t xml:space="preserve">     -- Ente sob gestão do TCEES: Código da UG</w:t>
            </w:r>
          </w:p>
          <w:p w14:paraId="509C1B29" w14:textId="77777777" w:rsidR="00DB42FC" w:rsidRPr="00DB42FC" w:rsidRDefault="00DB42FC" w:rsidP="005C00E1">
            <w:pPr>
              <w:spacing w:line="240" w:lineRule="auto"/>
              <w:jc w:val="both"/>
              <w:rPr>
                <w:rFonts w:ascii="Arial" w:eastAsia="Times New Roman" w:hAnsi="Arial" w:cs="Arial"/>
                <w:sz w:val="20"/>
                <w:szCs w:val="20"/>
                <w:lang w:eastAsia="pt-BR"/>
              </w:rPr>
            </w:pPr>
            <w:r w:rsidRPr="00DB42FC">
              <w:rPr>
                <w:rFonts w:ascii="Arial" w:eastAsia="Times New Roman" w:hAnsi="Arial" w:cs="Arial"/>
                <w:sz w:val="20"/>
                <w:szCs w:val="20"/>
                <w:lang w:eastAsia="pt-BR"/>
              </w:rPr>
              <w:t xml:space="preserve">    -- Ente externo: CNPJ (não estar no cadastro de UGs)</w:t>
            </w:r>
          </w:p>
        </w:tc>
      </w:tr>
      <w:tr w:rsidR="00987631" w:rsidRPr="00987631" w14:paraId="6E096094" w14:textId="77777777" w:rsidTr="00EC5349">
        <w:trPr>
          <w:trHeight w:val="315"/>
        </w:trPr>
        <w:tc>
          <w:tcPr>
            <w:tcW w:w="3272" w:type="dxa"/>
            <w:tcBorders>
              <w:top w:val="nil"/>
              <w:left w:val="single" w:sz="8" w:space="0" w:color="auto"/>
              <w:bottom w:val="single" w:sz="8" w:space="0" w:color="auto"/>
              <w:right w:val="single" w:sz="8" w:space="0" w:color="auto"/>
            </w:tcBorders>
            <w:shd w:val="clear" w:color="auto" w:fill="auto"/>
            <w:vAlign w:val="center"/>
          </w:tcPr>
          <w:p w14:paraId="175522C1" w14:textId="77777777" w:rsidR="00987631" w:rsidRPr="00987631" w:rsidRDefault="00987631" w:rsidP="00EC5349">
            <w:pPr>
              <w:rPr>
                <w:rFonts w:ascii="Arial" w:hAnsi="Arial" w:cs="Arial"/>
                <w:sz w:val="20"/>
                <w:szCs w:val="20"/>
              </w:rPr>
            </w:pPr>
            <w:r w:rsidRPr="00987631">
              <w:rPr>
                <w:rFonts w:ascii="Arial" w:hAnsi="Arial" w:cs="Arial"/>
                <w:sz w:val="20"/>
                <w:szCs w:val="20"/>
              </w:rPr>
              <w:t>Descrição do Órgão Externo ou da Pessoa Física</w:t>
            </w:r>
          </w:p>
        </w:tc>
        <w:tc>
          <w:tcPr>
            <w:tcW w:w="1276" w:type="dxa"/>
            <w:tcBorders>
              <w:top w:val="nil"/>
              <w:left w:val="nil"/>
              <w:bottom w:val="single" w:sz="8" w:space="0" w:color="auto"/>
              <w:right w:val="single" w:sz="8" w:space="0" w:color="auto"/>
            </w:tcBorders>
            <w:shd w:val="clear" w:color="auto" w:fill="auto"/>
            <w:vAlign w:val="center"/>
          </w:tcPr>
          <w:p w14:paraId="38231025" w14:textId="77777777" w:rsidR="00987631" w:rsidRPr="00987631" w:rsidRDefault="00987631" w:rsidP="00EC5349">
            <w:pPr>
              <w:jc w:val="center"/>
              <w:rPr>
                <w:rFonts w:ascii="Arial" w:hAnsi="Arial" w:cs="Arial"/>
                <w:sz w:val="20"/>
                <w:szCs w:val="20"/>
              </w:rPr>
            </w:pPr>
            <w:r w:rsidRPr="00987631">
              <w:rPr>
                <w:rFonts w:ascii="Arial" w:hAnsi="Arial" w:cs="Arial"/>
                <w:sz w:val="20"/>
                <w:szCs w:val="20"/>
              </w:rPr>
              <w:t>Caracter</w:t>
            </w:r>
          </w:p>
        </w:tc>
        <w:tc>
          <w:tcPr>
            <w:tcW w:w="1276" w:type="dxa"/>
            <w:tcBorders>
              <w:top w:val="nil"/>
              <w:left w:val="nil"/>
              <w:bottom w:val="single" w:sz="8" w:space="0" w:color="auto"/>
              <w:right w:val="single" w:sz="8" w:space="0" w:color="auto"/>
            </w:tcBorders>
            <w:shd w:val="clear" w:color="auto" w:fill="auto"/>
            <w:vAlign w:val="center"/>
          </w:tcPr>
          <w:p w14:paraId="342F209A" w14:textId="77777777" w:rsidR="00987631" w:rsidRPr="00987631" w:rsidRDefault="00987631" w:rsidP="00EC5349">
            <w:pPr>
              <w:jc w:val="center"/>
              <w:rPr>
                <w:rFonts w:ascii="Arial" w:hAnsi="Arial" w:cs="Arial"/>
                <w:sz w:val="20"/>
                <w:szCs w:val="20"/>
              </w:rPr>
            </w:pPr>
            <w:r w:rsidRPr="00987631">
              <w:rPr>
                <w:rFonts w:ascii="Arial" w:hAnsi="Arial" w:cs="Arial"/>
                <w:sz w:val="20"/>
                <w:szCs w:val="20"/>
              </w:rPr>
              <w:t>300</w:t>
            </w:r>
          </w:p>
        </w:tc>
        <w:tc>
          <w:tcPr>
            <w:tcW w:w="3542" w:type="dxa"/>
            <w:tcBorders>
              <w:top w:val="nil"/>
              <w:left w:val="nil"/>
              <w:bottom w:val="single" w:sz="8" w:space="0" w:color="auto"/>
              <w:right w:val="single" w:sz="8" w:space="0" w:color="auto"/>
            </w:tcBorders>
            <w:shd w:val="clear" w:color="auto" w:fill="auto"/>
            <w:vAlign w:val="center"/>
          </w:tcPr>
          <w:p w14:paraId="0F028086" w14:textId="77777777" w:rsidR="00987631" w:rsidRPr="00987631" w:rsidRDefault="00987631" w:rsidP="00EC5349">
            <w:pPr>
              <w:rPr>
                <w:rFonts w:ascii="Arial" w:hAnsi="Arial" w:cs="Arial"/>
                <w:sz w:val="20"/>
                <w:szCs w:val="20"/>
              </w:rPr>
            </w:pPr>
            <w:r w:rsidRPr="00987631">
              <w:rPr>
                <w:rFonts w:ascii="Arial" w:hAnsi="Arial" w:cs="Arial"/>
                <w:sz w:val="20"/>
                <w:szCs w:val="20"/>
              </w:rPr>
              <w:t>Obrigatório, apenas se o campo CodigoUnidadeGestora se tratar do CNPJ de órgão externo ou de CPF.</w:t>
            </w:r>
          </w:p>
        </w:tc>
      </w:tr>
      <w:tr w:rsidR="00DB42FC" w:rsidRPr="00DB42FC" w14:paraId="6CE5090D" w14:textId="77777777" w:rsidTr="005C00E1">
        <w:trPr>
          <w:trHeight w:val="315"/>
        </w:trPr>
        <w:tc>
          <w:tcPr>
            <w:tcW w:w="3272" w:type="dxa"/>
            <w:tcBorders>
              <w:top w:val="nil"/>
              <w:left w:val="single" w:sz="8" w:space="0" w:color="auto"/>
              <w:bottom w:val="single" w:sz="8" w:space="0" w:color="auto"/>
              <w:right w:val="single" w:sz="8" w:space="0" w:color="auto"/>
            </w:tcBorders>
            <w:shd w:val="clear" w:color="auto" w:fill="auto"/>
            <w:vAlign w:val="center"/>
            <w:hideMark/>
          </w:tcPr>
          <w:p w14:paraId="716900CB" w14:textId="77777777" w:rsidR="00DB42FC" w:rsidRPr="00DB42FC" w:rsidRDefault="00DB42FC" w:rsidP="005C00E1">
            <w:pPr>
              <w:rPr>
                <w:rFonts w:ascii="Arial" w:hAnsi="Arial" w:cs="Arial"/>
                <w:sz w:val="20"/>
                <w:szCs w:val="20"/>
              </w:rPr>
            </w:pPr>
            <w:r w:rsidRPr="00DB42FC">
              <w:rPr>
                <w:rFonts w:ascii="Arial" w:hAnsi="Arial" w:cs="Arial"/>
                <w:sz w:val="20"/>
                <w:szCs w:val="20"/>
              </w:rPr>
              <w:t>Número do Precatório</w:t>
            </w:r>
          </w:p>
        </w:tc>
        <w:tc>
          <w:tcPr>
            <w:tcW w:w="1276" w:type="dxa"/>
            <w:tcBorders>
              <w:top w:val="nil"/>
              <w:left w:val="nil"/>
              <w:bottom w:val="single" w:sz="8" w:space="0" w:color="auto"/>
              <w:right w:val="single" w:sz="8" w:space="0" w:color="auto"/>
            </w:tcBorders>
            <w:shd w:val="clear" w:color="auto" w:fill="auto"/>
            <w:vAlign w:val="center"/>
            <w:hideMark/>
          </w:tcPr>
          <w:p w14:paraId="645071CA" w14:textId="77777777" w:rsidR="00DB42FC" w:rsidRPr="00DB42FC" w:rsidRDefault="00DB42FC" w:rsidP="005C00E1">
            <w:pPr>
              <w:jc w:val="center"/>
              <w:rPr>
                <w:rFonts w:ascii="Arial" w:hAnsi="Arial" w:cs="Arial"/>
                <w:sz w:val="20"/>
                <w:szCs w:val="20"/>
              </w:rPr>
            </w:pPr>
            <w:r w:rsidRPr="00DB42FC">
              <w:rPr>
                <w:rFonts w:ascii="Arial" w:hAnsi="Arial" w:cs="Arial"/>
                <w:sz w:val="20"/>
                <w:szCs w:val="20"/>
              </w:rPr>
              <w:t>Caracter</w:t>
            </w:r>
          </w:p>
        </w:tc>
        <w:tc>
          <w:tcPr>
            <w:tcW w:w="1276" w:type="dxa"/>
            <w:tcBorders>
              <w:top w:val="nil"/>
              <w:left w:val="nil"/>
              <w:bottom w:val="single" w:sz="8" w:space="0" w:color="auto"/>
              <w:right w:val="single" w:sz="8" w:space="0" w:color="auto"/>
            </w:tcBorders>
            <w:shd w:val="clear" w:color="auto" w:fill="auto"/>
            <w:vAlign w:val="center"/>
            <w:hideMark/>
          </w:tcPr>
          <w:p w14:paraId="7D2A50EF" w14:textId="77777777" w:rsidR="00DB42FC" w:rsidRPr="00DB42FC" w:rsidRDefault="00DB42FC" w:rsidP="005C00E1">
            <w:pPr>
              <w:jc w:val="center"/>
              <w:rPr>
                <w:rFonts w:ascii="Arial" w:hAnsi="Arial" w:cs="Arial"/>
                <w:sz w:val="20"/>
                <w:szCs w:val="20"/>
              </w:rPr>
            </w:pPr>
            <w:r w:rsidRPr="00DB42FC">
              <w:rPr>
                <w:rFonts w:ascii="Arial" w:hAnsi="Arial" w:cs="Arial"/>
                <w:sz w:val="20"/>
                <w:szCs w:val="20"/>
              </w:rPr>
              <w:t>30</w:t>
            </w:r>
          </w:p>
        </w:tc>
        <w:tc>
          <w:tcPr>
            <w:tcW w:w="3542" w:type="dxa"/>
            <w:tcBorders>
              <w:top w:val="nil"/>
              <w:left w:val="nil"/>
              <w:bottom w:val="single" w:sz="8" w:space="0" w:color="auto"/>
              <w:right w:val="single" w:sz="8" w:space="0" w:color="auto"/>
            </w:tcBorders>
            <w:shd w:val="clear" w:color="auto" w:fill="auto"/>
            <w:vAlign w:val="center"/>
            <w:hideMark/>
          </w:tcPr>
          <w:p w14:paraId="5B6FD902" w14:textId="77777777" w:rsidR="00DB42FC" w:rsidRPr="00DB42FC" w:rsidRDefault="00DB42FC" w:rsidP="005C00E1">
            <w:pPr>
              <w:rPr>
                <w:rFonts w:ascii="Arial" w:hAnsi="Arial" w:cs="Arial"/>
                <w:sz w:val="20"/>
                <w:szCs w:val="20"/>
              </w:rPr>
            </w:pPr>
            <w:r w:rsidRPr="00DB42FC">
              <w:rPr>
                <w:rFonts w:ascii="Arial" w:hAnsi="Arial" w:cs="Arial"/>
                <w:sz w:val="20"/>
                <w:szCs w:val="20"/>
              </w:rPr>
              <w:t>Obrigatório</w:t>
            </w:r>
          </w:p>
        </w:tc>
      </w:tr>
      <w:tr w:rsidR="00DB42FC" w:rsidRPr="00DB42FC" w14:paraId="122AC18D" w14:textId="77777777" w:rsidTr="005C00E1">
        <w:trPr>
          <w:trHeight w:val="315"/>
        </w:trPr>
        <w:tc>
          <w:tcPr>
            <w:tcW w:w="3272" w:type="dxa"/>
            <w:tcBorders>
              <w:top w:val="nil"/>
              <w:left w:val="single" w:sz="8" w:space="0" w:color="auto"/>
              <w:bottom w:val="single" w:sz="8" w:space="0" w:color="auto"/>
              <w:right w:val="single" w:sz="8" w:space="0" w:color="auto"/>
            </w:tcBorders>
            <w:shd w:val="clear" w:color="auto" w:fill="auto"/>
            <w:vAlign w:val="center"/>
          </w:tcPr>
          <w:p w14:paraId="29992412" w14:textId="77777777" w:rsidR="00DB42FC" w:rsidRPr="00DB42FC" w:rsidRDefault="00DB42FC" w:rsidP="005C00E1">
            <w:pPr>
              <w:rPr>
                <w:rFonts w:ascii="Arial" w:hAnsi="Arial" w:cs="Arial"/>
                <w:sz w:val="20"/>
                <w:szCs w:val="20"/>
              </w:rPr>
            </w:pPr>
            <w:r w:rsidRPr="00DB42FC">
              <w:rPr>
                <w:rFonts w:ascii="Arial" w:hAnsi="Arial" w:cs="Arial"/>
                <w:sz w:val="20"/>
                <w:szCs w:val="20"/>
              </w:rPr>
              <w:t>Número do Alvará</w:t>
            </w:r>
          </w:p>
        </w:tc>
        <w:tc>
          <w:tcPr>
            <w:tcW w:w="1276" w:type="dxa"/>
            <w:tcBorders>
              <w:top w:val="nil"/>
              <w:left w:val="nil"/>
              <w:bottom w:val="single" w:sz="8" w:space="0" w:color="auto"/>
              <w:right w:val="single" w:sz="8" w:space="0" w:color="auto"/>
            </w:tcBorders>
            <w:shd w:val="clear" w:color="auto" w:fill="auto"/>
            <w:vAlign w:val="center"/>
          </w:tcPr>
          <w:p w14:paraId="73099330" w14:textId="77777777" w:rsidR="00DB42FC" w:rsidRPr="00DB42FC" w:rsidRDefault="00DB42FC" w:rsidP="005C00E1">
            <w:pPr>
              <w:spacing w:after="0" w:line="360" w:lineRule="auto"/>
              <w:jc w:val="center"/>
              <w:rPr>
                <w:rFonts w:ascii="Arial" w:hAnsi="Arial" w:cs="Arial"/>
                <w:sz w:val="20"/>
                <w:szCs w:val="20"/>
              </w:rPr>
            </w:pPr>
            <w:r w:rsidRPr="00DB42FC">
              <w:rPr>
                <w:rFonts w:ascii="Arial" w:hAnsi="Arial" w:cs="Arial"/>
                <w:sz w:val="20"/>
                <w:szCs w:val="20"/>
              </w:rPr>
              <w:t>Caracter</w:t>
            </w:r>
          </w:p>
        </w:tc>
        <w:tc>
          <w:tcPr>
            <w:tcW w:w="1276" w:type="dxa"/>
            <w:tcBorders>
              <w:top w:val="nil"/>
              <w:left w:val="nil"/>
              <w:bottom w:val="single" w:sz="8" w:space="0" w:color="auto"/>
              <w:right w:val="single" w:sz="8" w:space="0" w:color="auto"/>
            </w:tcBorders>
            <w:shd w:val="clear" w:color="auto" w:fill="auto"/>
            <w:vAlign w:val="center"/>
          </w:tcPr>
          <w:p w14:paraId="516091AC" w14:textId="77777777" w:rsidR="00DB42FC" w:rsidRPr="00DB42FC" w:rsidRDefault="00DB42FC" w:rsidP="005C00E1">
            <w:pPr>
              <w:spacing w:after="0" w:line="360" w:lineRule="auto"/>
              <w:jc w:val="center"/>
              <w:rPr>
                <w:rFonts w:ascii="Arial" w:hAnsi="Arial" w:cs="Arial"/>
                <w:sz w:val="20"/>
                <w:szCs w:val="20"/>
              </w:rPr>
            </w:pPr>
            <w:r w:rsidRPr="00DB42FC">
              <w:rPr>
                <w:rFonts w:ascii="Arial" w:hAnsi="Arial" w:cs="Arial"/>
                <w:sz w:val="20"/>
                <w:szCs w:val="20"/>
              </w:rPr>
              <w:t>14</w:t>
            </w:r>
          </w:p>
        </w:tc>
        <w:tc>
          <w:tcPr>
            <w:tcW w:w="3542" w:type="dxa"/>
            <w:tcBorders>
              <w:top w:val="nil"/>
              <w:left w:val="nil"/>
              <w:bottom w:val="single" w:sz="8" w:space="0" w:color="auto"/>
              <w:right w:val="single" w:sz="8" w:space="0" w:color="auto"/>
            </w:tcBorders>
            <w:shd w:val="clear" w:color="auto" w:fill="auto"/>
            <w:vAlign w:val="center"/>
          </w:tcPr>
          <w:p w14:paraId="00C1496E" w14:textId="77777777" w:rsidR="00DB42FC" w:rsidRPr="00DB42FC" w:rsidRDefault="00DB42FC" w:rsidP="005C00E1">
            <w:pPr>
              <w:spacing w:after="0" w:line="360" w:lineRule="auto"/>
              <w:jc w:val="both"/>
              <w:rPr>
                <w:rFonts w:ascii="Arial" w:hAnsi="Arial" w:cs="Arial"/>
                <w:sz w:val="20"/>
                <w:szCs w:val="20"/>
              </w:rPr>
            </w:pPr>
            <w:r w:rsidRPr="00DB42FC">
              <w:rPr>
                <w:rFonts w:ascii="Arial" w:hAnsi="Arial" w:cs="Arial"/>
                <w:sz w:val="20"/>
                <w:szCs w:val="20"/>
              </w:rPr>
              <w:t>Obrigatório</w:t>
            </w:r>
          </w:p>
        </w:tc>
      </w:tr>
      <w:tr w:rsidR="00DB42FC" w:rsidRPr="00DB42FC" w14:paraId="57B28461" w14:textId="77777777" w:rsidTr="005C00E1">
        <w:trPr>
          <w:trHeight w:val="315"/>
        </w:trPr>
        <w:tc>
          <w:tcPr>
            <w:tcW w:w="3272" w:type="dxa"/>
            <w:tcBorders>
              <w:top w:val="nil"/>
              <w:left w:val="single" w:sz="8" w:space="0" w:color="auto"/>
              <w:bottom w:val="single" w:sz="8" w:space="0" w:color="auto"/>
              <w:right w:val="single" w:sz="8" w:space="0" w:color="auto"/>
            </w:tcBorders>
            <w:shd w:val="clear" w:color="auto" w:fill="auto"/>
            <w:vAlign w:val="center"/>
          </w:tcPr>
          <w:p w14:paraId="0D5007BB" w14:textId="77777777" w:rsidR="00DB42FC" w:rsidRPr="00DB42FC" w:rsidRDefault="00DB42FC" w:rsidP="005C00E1">
            <w:pPr>
              <w:spacing w:after="0" w:line="360" w:lineRule="auto"/>
              <w:jc w:val="both"/>
              <w:rPr>
                <w:rFonts w:ascii="Arial" w:hAnsi="Arial" w:cs="Arial"/>
                <w:sz w:val="20"/>
                <w:szCs w:val="20"/>
              </w:rPr>
            </w:pPr>
            <w:r w:rsidRPr="00DB42FC">
              <w:rPr>
                <w:rFonts w:ascii="Arial" w:hAnsi="Arial" w:cs="Arial"/>
                <w:sz w:val="20"/>
                <w:szCs w:val="20"/>
              </w:rPr>
              <w:t>CPF/CNPJ do Beneficiário</w:t>
            </w:r>
          </w:p>
        </w:tc>
        <w:tc>
          <w:tcPr>
            <w:tcW w:w="1276" w:type="dxa"/>
            <w:tcBorders>
              <w:top w:val="nil"/>
              <w:left w:val="nil"/>
              <w:bottom w:val="single" w:sz="8" w:space="0" w:color="auto"/>
              <w:right w:val="single" w:sz="8" w:space="0" w:color="auto"/>
            </w:tcBorders>
            <w:shd w:val="clear" w:color="auto" w:fill="auto"/>
            <w:vAlign w:val="center"/>
          </w:tcPr>
          <w:p w14:paraId="5245572E" w14:textId="77777777" w:rsidR="00DB42FC" w:rsidRPr="00DB42FC" w:rsidRDefault="00DB42FC" w:rsidP="005C00E1">
            <w:pPr>
              <w:spacing w:after="0" w:line="360" w:lineRule="auto"/>
              <w:jc w:val="center"/>
              <w:rPr>
                <w:rFonts w:ascii="Arial" w:hAnsi="Arial" w:cs="Arial"/>
                <w:sz w:val="20"/>
                <w:szCs w:val="20"/>
              </w:rPr>
            </w:pPr>
            <w:r w:rsidRPr="00DB42FC">
              <w:rPr>
                <w:rFonts w:ascii="Arial" w:hAnsi="Arial" w:cs="Arial"/>
                <w:sz w:val="20"/>
                <w:szCs w:val="20"/>
              </w:rPr>
              <w:t>Caracter</w:t>
            </w:r>
          </w:p>
        </w:tc>
        <w:tc>
          <w:tcPr>
            <w:tcW w:w="1276" w:type="dxa"/>
            <w:tcBorders>
              <w:top w:val="nil"/>
              <w:left w:val="nil"/>
              <w:bottom w:val="single" w:sz="8" w:space="0" w:color="auto"/>
              <w:right w:val="single" w:sz="8" w:space="0" w:color="auto"/>
            </w:tcBorders>
            <w:shd w:val="clear" w:color="auto" w:fill="auto"/>
            <w:vAlign w:val="center"/>
          </w:tcPr>
          <w:p w14:paraId="492E516C" w14:textId="77777777" w:rsidR="00DB42FC" w:rsidRPr="00DB42FC" w:rsidRDefault="00DB42FC" w:rsidP="005C00E1">
            <w:pPr>
              <w:spacing w:after="0" w:line="360" w:lineRule="auto"/>
              <w:jc w:val="center"/>
              <w:rPr>
                <w:rFonts w:ascii="Arial" w:hAnsi="Arial" w:cs="Arial"/>
                <w:sz w:val="20"/>
                <w:szCs w:val="20"/>
              </w:rPr>
            </w:pPr>
            <w:r w:rsidRPr="00DB42FC">
              <w:rPr>
                <w:rFonts w:ascii="Arial" w:hAnsi="Arial" w:cs="Arial"/>
                <w:sz w:val="20"/>
                <w:szCs w:val="20"/>
              </w:rPr>
              <w:t>14</w:t>
            </w:r>
          </w:p>
        </w:tc>
        <w:tc>
          <w:tcPr>
            <w:tcW w:w="3542" w:type="dxa"/>
            <w:tcBorders>
              <w:top w:val="nil"/>
              <w:left w:val="nil"/>
              <w:bottom w:val="single" w:sz="8" w:space="0" w:color="auto"/>
              <w:right w:val="single" w:sz="8" w:space="0" w:color="auto"/>
            </w:tcBorders>
            <w:shd w:val="clear" w:color="auto" w:fill="auto"/>
            <w:vAlign w:val="center"/>
          </w:tcPr>
          <w:p w14:paraId="10F665F8" w14:textId="77777777" w:rsidR="00DB42FC" w:rsidRPr="00DB42FC" w:rsidRDefault="00DB42FC" w:rsidP="005C00E1">
            <w:pPr>
              <w:spacing w:after="0" w:line="360" w:lineRule="auto"/>
              <w:jc w:val="both"/>
              <w:rPr>
                <w:rFonts w:ascii="Arial" w:hAnsi="Arial" w:cs="Arial"/>
                <w:sz w:val="20"/>
                <w:szCs w:val="20"/>
              </w:rPr>
            </w:pPr>
            <w:r w:rsidRPr="00DB42FC">
              <w:rPr>
                <w:rFonts w:ascii="Arial" w:hAnsi="Arial" w:cs="Arial"/>
                <w:sz w:val="20"/>
                <w:szCs w:val="20"/>
              </w:rPr>
              <w:t>Obrigatório</w:t>
            </w:r>
          </w:p>
        </w:tc>
      </w:tr>
      <w:tr w:rsidR="00DB42FC" w:rsidRPr="00DB42FC" w14:paraId="1F8C08C9" w14:textId="77777777" w:rsidTr="005C00E1">
        <w:trPr>
          <w:trHeight w:val="315"/>
        </w:trPr>
        <w:tc>
          <w:tcPr>
            <w:tcW w:w="3272" w:type="dxa"/>
            <w:tcBorders>
              <w:top w:val="nil"/>
              <w:left w:val="single" w:sz="8" w:space="0" w:color="auto"/>
              <w:bottom w:val="single" w:sz="8" w:space="0" w:color="auto"/>
              <w:right w:val="single" w:sz="8" w:space="0" w:color="auto"/>
            </w:tcBorders>
            <w:shd w:val="clear" w:color="auto" w:fill="auto"/>
            <w:vAlign w:val="center"/>
          </w:tcPr>
          <w:p w14:paraId="768D5A4C" w14:textId="77777777" w:rsidR="00DB42FC" w:rsidRPr="00DB42FC" w:rsidRDefault="00DB42FC" w:rsidP="005C00E1">
            <w:pPr>
              <w:rPr>
                <w:rFonts w:ascii="Arial" w:hAnsi="Arial" w:cs="Arial"/>
                <w:sz w:val="20"/>
                <w:szCs w:val="20"/>
              </w:rPr>
            </w:pPr>
            <w:r w:rsidRPr="00DB42FC">
              <w:rPr>
                <w:rFonts w:ascii="Arial" w:hAnsi="Arial" w:cs="Arial"/>
                <w:sz w:val="20"/>
                <w:szCs w:val="20"/>
              </w:rPr>
              <w:t>Nome do Beneficiário</w:t>
            </w:r>
          </w:p>
        </w:tc>
        <w:tc>
          <w:tcPr>
            <w:tcW w:w="1276" w:type="dxa"/>
            <w:tcBorders>
              <w:top w:val="nil"/>
              <w:left w:val="nil"/>
              <w:bottom w:val="single" w:sz="8" w:space="0" w:color="auto"/>
              <w:right w:val="single" w:sz="8" w:space="0" w:color="auto"/>
            </w:tcBorders>
            <w:shd w:val="clear" w:color="auto" w:fill="auto"/>
            <w:vAlign w:val="center"/>
          </w:tcPr>
          <w:p w14:paraId="27CE0661" w14:textId="77777777" w:rsidR="00DB42FC" w:rsidRPr="00DB42FC" w:rsidRDefault="00DB42FC" w:rsidP="005C00E1">
            <w:pPr>
              <w:jc w:val="center"/>
              <w:rPr>
                <w:rFonts w:ascii="Arial" w:hAnsi="Arial" w:cs="Arial"/>
                <w:sz w:val="20"/>
                <w:szCs w:val="20"/>
              </w:rPr>
            </w:pPr>
            <w:r w:rsidRPr="00DB42FC">
              <w:rPr>
                <w:rFonts w:ascii="Arial" w:eastAsia="Times New Roman" w:hAnsi="Arial" w:cs="Arial"/>
                <w:sz w:val="20"/>
                <w:szCs w:val="20"/>
                <w:lang w:eastAsia="pt-BR"/>
              </w:rPr>
              <w:t>Caracter</w:t>
            </w:r>
          </w:p>
        </w:tc>
        <w:tc>
          <w:tcPr>
            <w:tcW w:w="1276" w:type="dxa"/>
            <w:tcBorders>
              <w:top w:val="nil"/>
              <w:left w:val="nil"/>
              <w:bottom w:val="single" w:sz="8" w:space="0" w:color="auto"/>
              <w:right w:val="single" w:sz="8" w:space="0" w:color="auto"/>
            </w:tcBorders>
            <w:shd w:val="clear" w:color="auto" w:fill="auto"/>
            <w:vAlign w:val="center"/>
          </w:tcPr>
          <w:p w14:paraId="25D778F4" w14:textId="77777777" w:rsidR="00DB42FC" w:rsidRPr="00DB42FC" w:rsidRDefault="00DB42FC" w:rsidP="005C00E1">
            <w:pPr>
              <w:spacing w:after="0" w:line="360" w:lineRule="auto"/>
              <w:jc w:val="center"/>
              <w:rPr>
                <w:rFonts w:ascii="Arial" w:hAnsi="Arial" w:cs="Arial"/>
                <w:sz w:val="20"/>
                <w:szCs w:val="20"/>
              </w:rPr>
            </w:pPr>
            <w:r w:rsidRPr="00DB42FC">
              <w:rPr>
                <w:rFonts w:ascii="Arial" w:hAnsi="Arial" w:cs="Arial"/>
                <w:sz w:val="20"/>
                <w:szCs w:val="20"/>
              </w:rPr>
              <w:t>200</w:t>
            </w:r>
          </w:p>
        </w:tc>
        <w:tc>
          <w:tcPr>
            <w:tcW w:w="3542" w:type="dxa"/>
            <w:tcBorders>
              <w:top w:val="nil"/>
              <w:left w:val="nil"/>
              <w:bottom w:val="single" w:sz="8" w:space="0" w:color="auto"/>
              <w:right w:val="single" w:sz="8" w:space="0" w:color="auto"/>
            </w:tcBorders>
            <w:shd w:val="clear" w:color="auto" w:fill="auto"/>
            <w:vAlign w:val="center"/>
          </w:tcPr>
          <w:p w14:paraId="5647E794" w14:textId="77777777" w:rsidR="00DB42FC" w:rsidRPr="00DB42FC" w:rsidRDefault="00DB42FC" w:rsidP="005C00E1">
            <w:pPr>
              <w:spacing w:after="0" w:line="360" w:lineRule="auto"/>
              <w:jc w:val="both"/>
              <w:rPr>
                <w:rFonts w:ascii="Arial" w:hAnsi="Arial" w:cs="Arial"/>
                <w:sz w:val="20"/>
                <w:szCs w:val="20"/>
              </w:rPr>
            </w:pPr>
            <w:r w:rsidRPr="00DB42FC">
              <w:rPr>
                <w:rFonts w:ascii="Arial" w:hAnsi="Arial" w:cs="Arial"/>
                <w:sz w:val="20"/>
                <w:szCs w:val="20"/>
              </w:rPr>
              <w:t>Obrigatório</w:t>
            </w:r>
          </w:p>
        </w:tc>
      </w:tr>
      <w:tr w:rsidR="00DB42FC" w:rsidRPr="00DB42FC" w14:paraId="4EACBECE" w14:textId="77777777" w:rsidTr="005C00E1">
        <w:trPr>
          <w:trHeight w:val="315"/>
        </w:trPr>
        <w:tc>
          <w:tcPr>
            <w:tcW w:w="3272" w:type="dxa"/>
            <w:tcBorders>
              <w:top w:val="nil"/>
              <w:left w:val="single" w:sz="8" w:space="0" w:color="auto"/>
              <w:bottom w:val="single" w:sz="8" w:space="0" w:color="auto"/>
              <w:right w:val="single" w:sz="8" w:space="0" w:color="auto"/>
            </w:tcBorders>
            <w:shd w:val="clear" w:color="auto" w:fill="auto"/>
            <w:vAlign w:val="center"/>
          </w:tcPr>
          <w:p w14:paraId="5A39CFB3" w14:textId="77777777" w:rsidR="00DB42FC" w:rsidRPr="00DB42FC" w:rsidRDefault="00DB42FC" w:rsidP="005C00E1">
            <w:pPr>
              <w:rPr>
                <w:rFonts w:ascii="Arial" w:hAnsi="Arial" w:cs="Arial"/>
                <w:sz w:val="20"/>
                <w:szCs w:val="20"/>
              </w:rPr>
            </w:pPr>
            <w:r w:rsidRPr="00DB42FC">
              <w:rPr>
                <w:rFonts w:ascii="Arial" w:hAnsi="Arial" w:cs="Arial"/>
                <w:sz w:val="20"/>
                <w:szCs w:val="20"/>
              </w:rPr>
              <w:t>Código do Banco</w:t>
            </w:r>
          </w:p>
        </w:tc>
        <w:tc>
          <w:tcPr>
            <w:tcW w:w="1276" w:type="dxa"/>
            <w:tcBorders>
              <w:top w:val="nil"/>
              <w:left w:val="nil"/>
              <w:bottom w:val="single" w:sz="8" w:space="0" w:color="auto"/>
              <w:right w:val="single" w:sz="8" w:space="0" w:color="auto"/>
            </w:tcBorders>
            <w:shd w:val="clear" w:color="auto" w:fill="auto"/>
            <w:vAlign w:val="center"/>
          </w:tcPr>
          <w:p w14:paraId="76E1E735" w14:textId="77777777" w:rsidR="00DB42FC" w:rsidRPr="00DB42FC" w:rsidRDefault="00DB42FC" w:rsidP="005C00E1">
            <w:pPr>
              <w:spacing w:after="0" w:line="360" w:lineRule="auto"/>
              <w:jc w:val="center"/>
              <w:rPr>
                <w:rFonts w:ascii="Arial" w:hAnsi="Arial" w:cs="Arial"/>
                <w:sz w:val="20"/>
                <w:szCs w:val="20"/>
              </w:rPr>
            </w:pPr>
            <w:r w:rsidRPr="00DB42FC">
              <w:rPr>
                <w:rFonts w:ascii="Arial" w:hAnsi="Arial" w:cs="Arial"/>
                <w:sz w:val="20"/>
                <w:szCs w:val="20"/>
              </w:rPr>
              <w:t>Inteiro</w:t>
            </w:r>
          </w:p>
        </w:tc>
        <w:tc>
          <w:tcPr>
            <w:tcW w:w="1276" w:type="dxa"/>
            <w:tcBorders>
              <w:top w:val="nil"/>
              <w:left w:val="nil"/>
              <w:bottom w:val="single" w:sz="8" w:space="0" w:color="auto"/>
              <w:right w:val="single" w:sz="8" w:space="0" w:color="auto"/>
            </w:tcBorders>
            <w:shd w:val="clear" w:color="auto" w:fill="auto"/>
            <w:vAlign w:val="center"/>
          </w:tcPr>
          <w:p w14:paraId="536FCCA5" w14:textId="77777777" w:rsidR="00DB42FC" w:rsidRPr="00DB42FC" w:rsidRDefault="00DB42FC" w:rsidP="005C00E1">
            <w:pPr>
              <w:spacing w:after="0" w:line="360" w:lineRule="auto"/>
              <w:jc w:val="center"/>
              <w:rPr>
                <w:rFonts w:ascii="Arial" w:hAnsi="Arial" w:cs="Arial"/>
                <w:sz w:val="20"/>
                <w:szCs w:val="20"/>
              </w:rPr>
            </w:pPr>
            <w:r w:rsidRPr="00DB42FC">
              <w:rPr>
                <w:rFonts w:ascii="Arial" w:hAnsi="Arial" w:cs="Arial"/>
                <w:sz w:val="20"/>
                <w:szCs w:val="20"/>
              </w:rPr>
              <w:t>3</w:t>
            </w:r>
          </w:p>
        </w:tc>
        <w:tc>
          <w:tcPr>
            <w:tcW w:w="3542" w:type="dxa"/>
            <w:tcBorders>
              <w:top w:val="nil"/>
              <w:left w:val="nil"/>
              <w:bottom w:val="single" w:sz="8" w:space="0" w:color="auto"/>
              <w:right w:val="single" w:sz="8" w:space="0" w:color="auto"/>
            </w:tcBorders>
            <w:shd w:val="clear" w:color="auto" w:fill="auto"/>
            <w:vAlign w:val="center"/>
          </w:tcPr>
          <w:p w14:paraId="030AC178" w14:textId="77777777" w:rsidR="00DB42FC" w:rsidRPr="00DB42FC" w:rsidRDefault="00DB42FC" w:rsidP="005C00E1">
            <w:pPr>
              <w:spacing w:after="0" w:line="360" w:lineRule="auto"/>
              <w:jc w:val="both"/>
              <w:rPr>
                <w:rFonts w:ascii="Arial" w:hAnsi="Arial" w:cs="Arial"/>
                <w:sz w:val="20"/>
                <w:szCs w:val="20"/>
              </w:rPr>
            </w:pPr>
            <w:r w:rsidRPr="00DB42FC">
              <w:rPr>
                <w:rFonts w:ascii="Arial" w:hAnsi="Arial" w:cs="Arial"/>
                <w:sz w:val="20"/>
                <w:szCs w:val="20"/>
              </w:rPr>
              <w:t>Obrigatório</w:t>
            </w:r>
          </w:p>
        </w:tc>
      </w:tr>
      <w:tr w:rsidR="00DB42FC" w:rsidRPr="00DB42FC" w14:paraId="453E057A" w14:textId="77777777" w:rsidTr="005C00E1">
        <w:trPr>
          <w:trHeight w:val="315"/>
        </w:trPr>
        <w:tc>
          <w:tcPr>
            <w:tcW w:w="3272" w:type="dxa"/>
            <w:tcBorders>
              <w:top w:val="nil"/>
              <w:left w:val="single" w:sz="8" w:space="0" w:color="auto"/>
              <w:bottom w:val="single" w:sz="8" w:space="0" w:color="auto"/>
              <w:right w:val="single" w:sz="8" w:space="0" w:color="auto"/>
            </w:tcBorders>
            <w:shd w:val="clear" w:color="auto" w:fill="auto"/>
            <w:vAlign w:val="center"/>
          </w:tcPr>
          <w:p w14:paraId="5420D71A" w14:textId="77777777" w:rsidR="00DB42FC" w:rsidRPr="00DB42FC" w:rsidRDefault="00DB42FC" w:rsidP="005C00E1">
            <w:pPr>
              <w:rPr>
                <w:rFonts w:ascii="Arial" w:hAnsi="Arial" w:cs="Arial"/>
                <w:sz w:val="20"/>
                <w:szCs w:val="20"/>
              </w:rPr>
            </w:pPr>
            <w:r w:rsidRPr="00DB42FC">
              <w:rPr>
                <w:rFonts w:ascii="Arial" w:hAnsi="Arial" w:cs="Arial"/>
                <w:sz w:val="20"/>
                <w:szCs w:val="20"/>
              </w:rPr>
              <w:t>CÓDIGO DA AGÊNCIA - sem dígito verificador</w:t>
            </w:r>
          </w:p>
        </w:tc>
        <w:tc>
          <w:tcPr>
            <w:tcW w:w="1276" w:type="dxa"/>
            <w:tcBorders>
              <w:top w:val="nil"/>
              <w:left w:val="nil"/>
              <w:bottom w:val="single" w:sz="8" w:space="0" w:color="auto"/>
              <w:right w:val="single" w:sz="8" w:space="0" w:color="auto"/>
            </w:tcBorders>
            <w:shd w:val="clear" w:color="auto" w:fill="auto"/>
            <w:vAlign w:val="center"/>
          </w:tcPr>
          <w:p w14:paraId="0AE8F15E" w14:textId="77777777" w:rsidR="00DB42FC" w:rsidRPr="00DB42FC" w:rsidRDefault="00DB42FC" w:rsidP="005C00E1">
            <w:pPr>
              <w:spacing w:after="0" w:line="360" w:lineRule="auto"/>
              <w:jc w:val="center"/>
              <w:rPr>
                <w:rFonts w:ascii="Arial" w:hAnsi="Arial" w:cs="Arial"/>
                <w:sz w:val="20"/>
                <w:szCs w:val="20"/>
              </w:rPr>
            </w:pPr>
            <w:r w:rsidRPr="00DB42FC">
              <w:rPr>
                <w:rFonts w:ascii="Arial" w:hAnsi="Arial" w:cs="Arial"/>
                <w:sz w:val="20"/>
                <w:szCs w:val="20"/>
              </w:rPr>
              <w:t>Caracter</w:t>
            </w:r>
          </w:p>
        </w:tc>
        <w:tc>
          <w:tcPr>
            <w:tcW w:w="1276" w:type="dxa"/>
            <w:tcBorders>
              <w:top w:val="nil"/>
              <w:left w:val="nil"/>
              <w:bottom w:val="single" w:sz="8" w:space="0" w:color="auto"/>
              <w:right w:val="single" w:sz="8" w:space="0" w:color="auto"/>
            </w:tcBorders>
            <w:shd w:val="clear" w:color="auto" w:fill="auto"/>
            <w:vAlign w:val="center"/>
          </w:tcPr>
          <w:p w14:paraId="25804C5C" w14:textId="77777777" w:rsidR="00DB42FC" w:rsidRPr="00DB42FC" w:rsidRDefault="00DB42FC" w:rsidP="005C00E1">
            <w:pPr>
              <w:spacing w:after="0" w:line="360" w:lineRule="auto"/>
              <w:jc w:val="center"/>
              <w:rPr>
                <w:rFonts w:ascii="Arial" w:hAnsi="Arial" w:cs="Arial"/>
                <w:sz w:val="20"/>
                <w:szCs w:val="20"/>
              </w:rPr>
            </w:pPr>
            <w:r w:rsidRPr="00DB42FC">
              <w:rPr>
                <w:rFonts w:ascii="Arial" w:hAnsi="Arial" w:cs="Arial"/>
                <w:sz w:val="20"/>
                <w:szCs w:val="20"/>
              </w:rPr>
              <w:t>15</w:t>
            </w:r>
          </w:p>
        </w:tc>
        <w:tc>
          <w:tcPr>
            <w:tcW w:w="3542" w:type="dxa"/>
            <w:tcBorders>
              <w:top w:val="nil"/>
              <w:left w:val="nil"/>
              <w:bottom w:val="single" w:sz="8" w:space="0" w:color="auto"/>
              <w:right w:val="single" w:sz="8" w:space="0" w:color="auto"/>
            </w:tcBorders>
            <w:shd w:val="clear" w:color="auto" w:fill="auto"/>
            <w:vAlign w:val="center"/>
          </w:tcPr>
          <w:p w14:paraId="45FE3B84" w14:textId="77777777" w:rsidR="00DB42FC" w:rsidRPr="00DB42FC" w:rsidRDefault="00DB42FC" w:rsidP="005C00E1">
            <w:pPr>
              <w:spacing w:after="0" w:line="360" w:lineRule="auto"/>
              <w:jc w:val="both"/>
              <w:rPr>
                <w:rFonts w:ascii="Arial" w:hAnsi="Arial" w:cs="Arial"/>
                <w:sz w:val="20"/>
                <w:szCs w:val="20"/>
              </w:rPr>
            </w:pPr>
            <w:r w:rsidRPr="00DB42FC">
              <w:rPr>
                <w:rFonts w:ascii="Arial" w:hAnsi="Arial" w:cs="Arial"/>
                <w:sz w:val="20"/>
                <w:szCs w:val="20"/>
              </w:rPr>
              <w:t>Obrigatório</w:t>
            </w:r>
          </w:p>
        </w:tc>
      </w:tr>
      <w:tr w:rsidR="00DB42FC" w:rsidRPr="00DB42FC" w14:paraId="295ED1B8" w14:textId="77777777" w:rsidTr="005C00E1">
        <w:trPr>
          <w:trHeight w:val="315"/>
        </w:trPr>
        <w:tc>
          <w:tcPr>
            <w:tcW w:w="3272" w:type="dxa"/>
            <w:tcBorders>
              <w:top w:val="nil"/>
              <w:left w:val="single" w:sz="8" w:space="0" w:color="auto"/>
              <w:bottom w:val="single" w:sz="8" w:space="0" w:color="auto"/>
              <w:right w:val="single" w:sz="8" w:space="0" w:color="auto"/>
            </w:tcBorders>
            <w:shd w:val="clear" w:color="auto" w:fill="auto"/>
            <w:vAlign w:val="center"/>
          </w:tcPr>
          <w:p w14:paraId="776500F1" w14:textId="77777777" w:rsidR="00DB42FC" w:rsidRPr="00DB42FC" w:rsidRDefault="00DB42FC" w:rsidP="005C00E1">
            <w:pPr>
              <w:rPr>
                <w:rFonts w:ascii="Arial" w:hAnsi="Arial" w:cs="Arial"/>
                <w:sz w:val="20"/>
                <w:szCs w:val="20"/>
              </w:rPr>
            </w:pPr>
            <w:r w:rsidRPr="00DB42FC">
              <w:rPr>
                <w:rFonts w:ascii="Arial" w:hAnsi="Arial" w:cs="Arial"/>
                <w:sz w:val="20"/>
                <w:szCs w:val="20"/>
              </w:rPr>
              <w:t>Número da Conta Bancária para Saque- sem dígito verificador</w:t>
            </w:r>
          </w:p>
        </w:tc>
        <w:tc>
          <w:tcPr>
            <w:tcW w:w="1276" w:type="dxa"/>
            <w:tcBorders>
              <w:top w:val="nil"/>
              <w:left w:val="nil"/>
              <w:bottom w:val="single" w:sz="8" w:space="0" w:color="auto"/>
              <w:right w:val="single" w:sz="8" w:space="0" w:color="auto"/>
            </w:tcBorders>
            <w:shd w:val="clear" w:color="auto" w:fill="auto"/>
          </w:tcPr>
          <w:p w14:paraId="78E225C4" w14:textId="77777777" w:rsidR="00DB42FC" w:rsidRPr="00DB42FC" w:rsidRDefault="00DB42FC" w:rsidP="005C00E1">
            <w:pPr>
              <w:jc w:val="center"/>
            </w:pPr>
            <w:r w:rsidRPr="00DB42FC">
              <w:t>Caracter</w:t>
            </w:r>
          </w:p>
        </w:tc>
        <w:tc>
          <w:tcPr>
            <w:tcW w:w="1276" w:type="dxa"/>
            <w:tcBorders>
              <w:top w:val="nil"/>
              <w:left w:val="nil"/>
              <w:bottom w:val="single" w:sz="8" w:space="0" w:color="auto"/>
              <w:right w:val="single" w:sz="8" w:space="0" w:color="auto"/>
            </w:tcBorders>
            <w:shd w:val="clear" w:color="auto" w:fill="auto"/>
          </w:tcPr>
          <w:p w14:paraId="16CFD91A" w14:textId="77777777" w:rsidR="00DB42FC" w:rsidRPr="00DB42FC" w:rsidRDefault="00DB42FC" w:rsidP="005C00E1">
            <w:pPr>
              <w:jc w:val="center"/>
            </w:pPr>
            <w:r w:rsidRPr="00DB42FC">
              <w:t>15</w:t>
            </w:r>
          </w:p>
        </w:tc>
        <w:tc>
          <w:tcPr>
            <w:tcW w:w="3542" w:type="dxa"/>
            <w:tcBorders>
              <w:top w:val="nil"/>
              <w:left w:val="nil"/>
              <w:bottom w:val="single" w:sz="8" w:space="0" w:color="auto"/>
              <w:right w:val="single" w:sz="8" w:space="0" w:color="auto"/>
            </w:tcBorders>
            <w:shd w:val="clear" w:color="auto" w:fill="auto"/>
          </w:tcPr>
          <w:p w14:paraId="3EC86887" w14:textId="77777777" w:rsidR="00DB42FC" w:rsidRPr="00DB42FC" w:rsidRDefault="00DB42FC" w:rsidP="005C00E1">
            <w:r w:rsidRPr="00DB42FC">
              <w:t>Obrigatório</w:t>
            </w:r>
          </w:p>
        </w:tc>
      </w:tr>
      <w:tr w:rsidR="00DB42FC" w:rsidRPr="00DB42FC" w14:paraId="347B7953" w14:textId="77777777" w:rsidTr="005C00E1">
        <w:trPr>
          <w:trHeight w:val="315"/>
        </w:trPr>
        <w:tc>
          <w:tcPr>
            <w:tcW w:w="3272" w:type="dxa"/>
            <w:tcBorders>
              <w:top w:val="nil"/>
              <w:left w:val="single" w:sz="8" w:space="0" w:color="auto"/>
              <w:bottom w:val="single" w:sz="8" w:space="0" w:color="auto"/>
              <w:right w:val="single" w:sz="8" w:space="0" w:color="auto"/>
            </w:tcBorders>
            <w:shd w:val="clear" w:color="auto" w:fill="auto"/>
            <w:vAlign w:val="center"/>
          </w:tcPr>
          <w:p w14:paraId="35A04F0B" w14:textId="77777777" w:rsidR="00DB42FC" w:rsidRPr="00DB42FC" w:rsidRDefault="00DB42FC" w:rsidP="005C00E1">
            <w:pPr>
              <w:rPr>
                <w:rFonts w:ascii="Arial" w:hAnsi="Arial" w:cs="Arial"/>
                <w:sz w:val="20"/>
                <w:szCs w:val="20"/>
              </w:rPr>
            </w:pPr>
            <w:r w:rsidRPr="00DB42FC">
              <w:rPr>
                <w:rFonts w:ascii="Arial" w:hAnsi="Arial" w:cs="Arial"/>
                <w:sz w:val="20"/>
                <w:szCs w:val="20"/>
              </w:rPr>
              <w:t>Valor bruto do precatório</w:t>
            </w:r>
          </w:p>
        </w:tc>
        <w:tc>
          <w:tcPr>
            <w:tcW w:w="1276" w:type="dxa"/>
            <w:tcBorders>
              <w:top w:val="nil"/>
              <w:left w:val="nil"/>
              <w:bottom w:val="single" w:sz="8" w:space="0" w:color="auto"/>
              <w:right w:val="single" w:sz="8" w:space="0" w:color="auto"/>
            </w:tcBorders>
            <w:shd w:val="clear" w:color="auto" w:fill="auto"/>
            <w:vAlign w:val="center"/>
          </w:tcPr>
          <w:p w14:paraId="6205329C" w14:textId="77777777" w:rsidR="00DB42FC" w:rsidRPr="00DB42FC" w:rsidRDefault="00DB42FC" w:rsidP="005C00E1">
            <w:pPr>
              <w:spacing w:line="240" w:lineRule="auto"/>
              <w:jc w:val="center"/>
              <w:rPr>
                <w:rFonts w:ascii="Arial" w:eastAsia="Times New Roman" w:hAnsi="Arial" w:cs="Arial"/>
                <w:sz w:val="20"/>
                <w:szCs w:val="20"/>
                <w:lang w:eastAsia="pt-BR"/>
              </w:rPr>
            </w:pPr>
            <w:r w:rsidRPr="00DB42FC">
              <w:rPr>
                <w:rFonts w:ascii="Arial" w:eastAsia="Times New Roman" w:hAnsi="Arial" w:cs="Arial"/>
                <w:sz w:val="20"/>
                <w:szCs w:val="20"/>
                <w:lang w:eastAsia="pt-BR"/>
              </w:rPr>
              <w:t>Decimal</w:t>
            </w:r>
          </w:p>
        </w:tc>
        <w:tc>
          <w:tcPr>
            <w:tcW w:w="1276" w:type="dxa"/>
            <w:tcBorders>
              <w:top w:val="nil"/>
              <w:left w:val="nil"/>
              <w:bottom w:val="single" w:sz="8" w:space="0" w:color="auto"/>
              <w:right w:val="single" w:sz="8" w:space="0" w:color="auto"/>
            </w:tcBorders>
            <w:shd w:val="clear" w:color="auto" w:fill="auto"/>
            <w:vAlign w:val="center"/>
          </w:tcPr>
          <w:p w14:paraId="7C736DCC" w14:textId="77777777" w:rsidR="00DB42FC" w:rsidRPr="00DB42FC" w:rsidRDefault="00DB42FC" w:rsidP="005C00E1">
            <w:pPr>
              <w:spacing w:line="240" w:lineRule="auto"/>
              <w:jc w:val="center"/>
              <w:rPr>
                <w:rFonts w:ascii="Arial" w:eastAsia="Times New Roman" w:hAnsi="Arial" w:cs="Arial"/>
                <w:sz w:val="20"/>
                <w:szCs w:val="20"/>
                <w:lang w:eastAsia="pt-BR"/>
              </w:rPr>
            </w:pPr>
            <w:r w:rsidRPr="00DB42FC">
              <w:rPr>
                <w:rFonts w:ascii="Arial" w:eastAsia="Times New Roman" w:hAnsi="Arial" w:cs="Arial"/>
                <w:sz w:val="20"/>
                <w:szCs w:val="20"/>
                <w:lang w:eastAsia="pt-BR"/>
              </w:rPr>
              <w:t>14,2</w:t>
            </w:r>
          </w:p>
        </w:tc>
        <w:tc>
          <w:tcPr>
            <w:tcW w:w="3542" w:type="dxa"/>
            <w:tcBorders>
              <w:top w:val="nil"/>
              <w:left w:val="nil"/>
              <w:bottom w:val="single" w:sz="8" w:space="0" w:color="auto"/>
              <w:right w:val="single" w:sz="8" w:space="0" w:color="auto"/>
            </w:tcBorders>
            <w:shd w:val="clear" w:color="auto" w:fill="auto"/>
            <w:vAlign w:val="center"/>
          </w:tcPr>
          <w:p w14:paraId="73483739" w14:textId="77777777" w:rsidR="00DB42FC" w:rsidRPr="00DB42FC" w:rsidRDefault="00DB42FC" w:rsidP="005C00E1">
            <w:pPr>
              <w:spacing w:line="240" w:lineRule="auto"/>
              <w:rPr>
                <w:rFonts w:ascii="Arial" w:eastAsia="Times New Roman" w:hAnsi="Arial" w:cs="Arial"/>
                <w:sz w:val="20"/>
                <w:szCs w:val="20"/>
                <w:lang w:eastAsia="pt-BR"/>
              </w:rPr>
            </w:pPr>
            <w:r w:rsidRPr="00DB42FC">
              <w:rPr>
                <w:rFonts w:ascii="Arial" w:eastAsia="Times New Roman" w:hAnsi="Arial" w:cs="Arial"/>
                <w:sz w:val="20"/>
                <w:szCs w:val="20"/>
                <w:lang w:eastAsia="pt-BR"/>
              </w:rPr>
              <w:t>Obrigatório</w:t>
            </w:r>
          </w:p>
        </w:tc>
      </w:tr>
      <w:tr w:rsidR="00DB42FC" w:rsidRPr="00DB42FC" w14:paraId="377DCCBB" w14:textId="77777777" w:rsidTr="005C00E1">
        <w:trPr>
          <w:trHeight w:val="315"/>
        </w:trPr>
        <w:tc>
          <w:tcPr>
            <w:tcW w:w="3272" w:type="dxa"/>
            <w:tcBorders>
              <w:top w:val="nil"/>
              <w:left w:val="single" w:sz="8" w:space="0" w:color="auto"/>
              <w:bottom w:val="single" w:sz="8" w:space="0" w:color="auto"/>
              <w:right w:val="single" w:sz="8" w:space="0" w:color="auto"/>
            </w:tcBorders>
            <w:shd w:val="clear" w:color="auto" w:fill="auto"/>
            <w:vAlign w:val="center"/>
          </w:tcPr>
          <w:p w14:paraId="7FEA231D" w14:textId="77777777" w:rsidR="00DB42FC" w:rsidRPr="00DB42FC" w:rsidRDefault="00DB42FC" w:rsidP="005C00E1">
            <w:pPr>
              <w:rPr>
                <w:rFonts w:ascii="Arial" w:hAnsi="Arial" w:cs="Arial"/>
                <w:sz w:val="20"/>
                <w:szCs w:val="20"/>
              </w:rPr>
            </w:pPr>
            <w:r w:rsidRPr="00DB42FC">
              <w:rPr>
                <w:rFonts w:ascii="Arial" w:hAnsi="Arial" w:cs="Arial"/>
                <w:sz w:val="20"/>
                <w:szCs w:val="20"/>
              </w:rPr>
              <w:lastRenderedPageBreak/>
              <w:t>Contribuição Previdenciária ao INSS</w:t>
            </w:r>
          </w:p>
        </w:tc>
        <w:tc>
          <w:tcPr>
            <w:tcW w:w="1276" w:type="dxa"/>
            <w:tcBorders>
              <w:top w:val="nil"/>
              <w:left w:val="nil"/>
              <w:bottom w:val="single" w:sz="8" w:space="0" w:color="auto"/>
              <w:right w:val="single" w:sz="8" w:space="0" w:color="auto"/>
            </w:tcBorders>
            <w:shd w:val="clear" w:color="auto" w:fill="auto"/>
            <w:vAlign w:val="center"/>
          </w:tcPr>
          <w:p w14:paraId="5452180E" w14:textId="77777777" w:rsidR="00DB42FC" w:rsidRPr="00DB42FC" w:rsidRDefault="00DB42FC" w:rsidP="005C00E1">
            <w:pPr>
              <w:spacing w:line="240" w:lineRule="auto"/>
              <w:jc w:val="center"/>
              <w:rPr>
                <w:rFonts w:ascii="Arial" w:eastAsia="Times New Roman" w:hAnsi="Arial" w:cs="Arial"/>
                <w:sz w:val="20"/>
                <w:szCs w:val="20"/>
                <w:lang w:eastAsia="pt-BR"/>
              </w:rPr>
            </w:pPr>
            <w:r w:rsidRPr="00DB42FC">
              <w:rPr>
                <w:rFonts w:ascii="Arial" w:eastAsia="Times New Roman" w:hAnsi="Arial" w:cs="Arial"/>
                <w:sz w:val="20"/>
                <w:szCs w:val="20"/>
                <w:lang w:eastAsia="pt-BR"/>
              </w:rPr>
              <w:t>Decimal</w:t>
            </w:r>
          </w:p>
        </w:tc>
        <w:tc>
          <w:tcPr>
            <w:tcW w:w="1276" w:type="dxa"/>
            <w:tcBorders>
              <w:top w:val="nil"/>
              <w:left w:val="nil"/>
              <w:bottom w:val="single" w:sz="8" w:space="0" w:color="auto"/>
              <w:right w:val="single" w:sz="8" w:space="0" w:color="auto"/>
            </w:tcBorders>
            <w:shd w:val="clear" w:color="auto" w:fill="auto"/>
            <w:vAlign w:val="center"/>
          </w:tcPr>
          <w:p w14:paraId="6C71A920" w14:textId="77777777" w:rsidR="00DB42FC" w:rsidRPr="00DB42FC" w:rsidRDefault="00DB42FC" w:rsidP="005C00E1">
            <w:pPr>
              <w:spacing w:line="240" w:lineRule="auto"/>
              <w:jc w:val="center"/>
              <w:rPr>
                <w:rFonts w:ascii="Arial" w:eastAsia="Times New Roman" w:hAnsi="Arial" w:cs="Arial"/>
                <w:sz w:val="20"/>
                <w:szCs w:val="20"/>
                <w:lang w:eastAsia="pt-BR"/>
              </w:rPr>
            </w:pPr>
            <w:r w:rsidRPr="00DB42FC">
              <w:rPr>
                <w:rFonts w:ascii="Arial" w:eastAsia="Times New Roman" w:hAnsi="Arial" w:cs="Arial"/>
                <w:sz w:val="20"/>
                <w:szCs w:val="20"/>
                <w:lang w:eastAsia="pt-BR"/>
              </w:rPr>
              <w:t>14,2</w:t>
            </w:r>
          </w:p>
        </w:tc>
        <w:tc>
          <w:tcPr>
            <w:tcW w:w="3542" w:type="dxa"/>
            <w:tcBorders>
              <w:top w:val="nil"/>
              <w:left w:val="nil"/>
              <w:bottom w:val="single" w:sz="8" w:space="0" w:color="auto"/>
              <w:right w:val="single" w:sz="8" w:space="0" w:color="auto"/>
            </w:tcBorders>
            <w:shd w:val="clear" w:color="auto" w:fill="auto"/>
            <w:vAlign w:val="center"/>
          </w:tcPr>
          <w:p w14:paraId="5F721ADF" w14:textId="77777777" w:rsidR="00DB42FC" w:rsidRPr="00DB42FC" w:rsidRDefault="00DB42FC" w:rsidP="005C00E1">
            <w:pPr>
              <w:spacing w:line="240" w:lineRule="auto"/>
              <w:rPr>
                <w:rFonts w:ascii="Arial" w:eastAsia="Times New Roman" w:hAnsi="Arial" w:cs="Arial"/>
                <w:sz w:val="20"/>
                <w:szCs w:val="20"/>
                <w:lang w:eastAsia="pt-BR"/>
              </w:rPr>
            </w:pPr>
            <w:r w:rsidRPr="00DB42FC">
              <w:rPr>
                <w:rFonts w:ascii="Arial" w:eastAsia="Times New Roman" w:hAnsi="Arial" w:cs="Arial"/>
                <w:sz w:val="20"/>
                <w:szCs w:val="20"/>
                <w:lang w:eastAsia="pt-BR"/>
              </w:rPr>
              <w:t>Obrigatório</w:t>
            </w:r>
          </w:p>
        </w:tc>
      </w:tr>
      <w:tr w:rsidR="00DB42FC" w:rsidRPr="00DB42FC" w14:paraId="341D0F66" w14:textId="77777777" w:rsidTr="005C00E1">
        <w:trPr>
          <w:trHeight w:val="315"/>
        </w:trPr>
        <w:tc>
          <w:tcPr>
            <w:tcW w:w="3272" w:type="dxa"/>
            <w:tcBorders>
              <w:top w:val="nil"/>
              <w:left w:val="single" w:sz="8" w:space="0" w:color="auto"/>
              <w:bottom w:val="single" w:sz="8" w:space="0" w:color="auto"/>
              <w:right w:val="single" w:sz="8" w:space="0" w:color="auto"/>
            </w:tcBorders>
            <w:shd w:val="clear" w:color="auto" w:fill="auto"/>
            <w:vAlign w:val="center"/>
          </w:tcPr>
          <w:p w14:paraId="7023F51A" w14:textId="77777777" w:rsidR="00DB42FC" w:rsidRPr="00DB42FC" w:rsidRDefault="00DB42FC" w:rsidP="005C00E1">
            <w:pPr>
              <w:rPr>
                <w:rFonts w:ascii="Arial" w:hAnsi="Arial" w:cs="Arial"/>
                <w:sz w:val="20"/>
                <w:szCs w:val="20"/>
              </w:rPr>
            </w:pPr>
            <w:r w:rsidRPr="00DB42FC">
              <w:rPr>
                <w:rFonts w:ascii="Arial" w:hAnsi="Arial" w:cs="Arial"/>
                <w:sz w:val="20"/>
                <w:szCs w:val="20"/>
              </w:rPr>
              <w:t>Contribuição Previdenciária ao RPPS</w:t>
            </w:r>
          </w:p>
        </w:tc>
        <w:tc>
          <w:tcPr>
            <w:tcW w:w="1276" w:type="dxa"/>
            <w:tcBorders>
              <w:top w:val="nil"/>
              <w:left w:val="nil"/>
              <w:bottom w:val="single" w:sz="8" w:space="0" w:color="auto"/>
              <w:right w:val="single" w:sz="8" w:space="0" w:color="auto"/>
            </w:tcBorders>
            <w:shd w:val="clear" w:color="auto" w:fill="auto"/>
            <w:vAlign w:val="center"/>
          </w:tcPr>
          <w:p w14:paraId="2E7ED81D" w14:textId="77777777" w:rsidR="00DB42FC" w:rsidRPr="00DB42FC" w:rsidRDefault="00DB42FC" w:rsidP="005C00E1">
            <w:pPr>
              <w:spacing w:line="240" w:lineRule="auto"/>
              <w:jc w:val="center"/>
              <w:rPr>
                <w:rFonts w:ascii="Arial" w:eastAsia="Times New Roman" w:hAnsi="Arial" w:cs="Arial"/>
                <w:sz w:val="20"/>
                <w:szCs w:val="20"/>
                <w:lang w:eastAsia="pt-BR"/>
              </w:rPr>
            </w:pPr>
            <w:r w:rsidRPr="00DB42FC">
              <w:rPr>
                <w:rFonts w:ascii="Arial" w:eastAsia="Times New Roman" w:hAnsi="Arial" w:cs="Arial"/>
                <w:sz w:val="20"/>
                <w:szCs w:val="20"/>
                <w:lang w:eastAsia="pt-BR"/>
              </w:rPr>
              <w:t>Decimal</w:t>
            </w:r>
          </w:p>
        </w:tc>
        <w:tc>
          <w:tcPr>
            <w:tcW w:w="1276" w:type="dxa"/>
            <w:tcBorders>
              <w:top w:val="nil"/>
              <w:left w:val="nil"/>
              <w:bottom w:val="single" w:sz="8" w:space="0" w:color="auto"/>
              <w:right w:val="single" w:sz="8" w:space="0" w:color="auto"/>
            </w:tcBorders>
            <w:shd w:val="clear" w:color="auto" w:fill="auto"/>
            <w:vAlign w:val="center"/>
          </w:tcPr>
          <w:p w14:paraId="53359924" w14:textId="77777777" w:rsidR="00DB42FC" w:rsidRPr="00DB42FC" w:rsidRDefault="00DB42FC" w:rsidP="005C00E1">
            <w:pPr>
              <w:spacing w:line="240" w:lineRule="auto"/>
              <w:jc w:val="center"/>
              <w:rPr>
                <w:rFonts w:ascii="Arial" w:eastAsia="Times New Roman" w:hAnsi="Arial" w:cs="Arial"/>
                <w:sz w:val="20"/>
                <w:szCs w:val="20"/>
                <w:lang w:eastAsia="pt-BR"/>
              </w:rPr>
            </w:pPr>
            <w:r w:rsidRPr="00DB42FC">
              <w:rPr>
                <w:rFonts w:ascii="Arial" w:eastAsia="Times New Roman" w:hAnsi="Arial" w:cs="Arial"/>
                <w:sz w:val="20"/>
                <w:szCs w:val="20"/>
                <w:lang w:eastAsia="pt-BR"/>
              </w:rPr>
              <w:t>14,2</w:t>
            </w:r>
          </w:p>
        </w:tc>
        <w:tc>
          <w:tcPr>
            <w:tcW w:w="3542" w:type="dxa"/>
            <w:tcBorders>
              <w:top w:val="nil"/>
              <w:left w:val="nil"/>
              <w:bottom w:val="single" w:sz="8" w:space="0" w:color="auto"/>
              <w:right w:val="single" w:sz="8" w:space="0" w:color="auto"/>
            </w:tcBorders>
            <w:shd w:val="clear" w:color="auto" w:fill="auto"/>
            <w:vAlign w:val="center"/>
          </w:tcPr>
          <w:p w14:paraId="4A40D44B" w14:textId="77777777" w:rsidR="00DB42FC" w:rsidRPr="00DB42FC" w:rsidRDefault="00DB42FC" w:rsidP="005C00E1">
            <w:pPr>
              <w:spacing w:line="240" w:lineRule="auto"/>
              <w:rPr>
                <w:rFonts w:ascii="Arial" w:eastAsia="Times New Roman" w:hAnsi="Arial" w:cs="Arial"/>
                <w:sz w:val="20"/>
                <w:szCs w:val="20"/>
                <w:lang w:eastAsia="pt-BR"/>
              </w:rPr>
            </w:pPr>
            <w:r w:rsidRPr="00DB42FC">
              <w:rPr>
                <w:rFonts w:ascii="Arial" w:eastAsia="Times New Roman" w:hAnsi="Arial" w:cs="Arial"/>
                <w:sz w:val="20"/>
                <w:szCs w:val="20"/>
                <w:lang w:eastAsia="pt-BR"/>
              </w:rPr>
              <w:t>Obrigatório</w:t>
            </w:r>
          </w:p>
        </w:tc>
      </w:tr>
      <w:tr w:rsidR="00DB42FC" w:rsidRPr="00DB42FC" w14:paraId="5CD56B0A" w14:textId="77777777" w:rsidTr="005C00E1">
        <w:trPr>
          <w:trHeight w:val="315"/>
        </w:trPr>
        <w:tc>
          <w:tcPr>
            <w:tcW w:w="3272" w:type="dxa"/>
            <w:tcBorders>
              <w:top w:val="nil"/>
              <w:left w:val="single" w:sz="8" w:space="0" w:color="auto"/>
              <w:bottom w:val="single" w:sz="8" w:space="0" w:color="auto"/>
              <w:right w:val="single" w:sz="8" w:space="0" w:color="auto"/>
            </w:tcBorders>
            <w:shd w:val="clear" w:color="auto" w:fill="auto"/>
            <w:vAlign w:val="center"/>
          </w:tcPr>
          <w:p w14:paraId="59E480D6" w14:textId="77777777" w:rsidR="00DB42FC" w:rsidRPr="00DB42FC" w:rsidRDefault="00DB42FC" w:rsidP="005C00E1">
            <w:pPr>
              <w:rPr>
                <w:rFonts w:ascii="Arial" w:hAnsi="Arial" w:cs="Arial"/>
                <w:sz w:val="20"/>
                <w:szCs w:val="20"/>
              </w:rPr>
            </w:pPr>
            <w:r w:rsidRPr="00DB42FC">
              <w:rPr>
                <w:rFonts w:ascii="Arial" w:hAnsi="Arial" w:cs="Arial"/>
                <w:sz w:val="20"/>
                <w:szCs w:val="20"/>
              </w:rPr>
              <w:t>Valor do ISS retido</w:t>
            </w:r>
          </w:p>
        </w:tc>
        <w:tc>
          <w:tcPr>
            <w:tcW w:w="1276" w:type="dxa"/>
            <w:tcBorders>
              <w:top w:val="nil"/>
              <w:left w:val="nil"/>
              <w:bottom w:val="single" w:sz="8" w:space="0" w:color="auto"/>
              <w:right w:val="single" w:sz="8" w:space="0" w:color="auto"/>
            </w:tcBorders>
            <w:shd w:val="clear" w:color="auto" w:fill="auto"/>
            <w:vAlign w:val="center"/>
          </w:tcPr>
          <w:p w14:paraId="2E2F8835" w14:textId="77777777" w:rsidR="00DB42FC" w:rsidRPr="00DB42FC" w:rsidRDefault="00DB42FC" w:rsidP="005C00E1">
            <w:pPr>
              <w:spacing w:line="240" w:lineRule="auto"/>
              <w:jc w:val="center"/>
              <w:rPr>
                <w:rFonts w:ascii="Arial" w:eastAsia="Times New Roman" w:hAnsi="Arial" w:cs="Arial"/>
                <w:sz w:val="20"/>
                <w:szCs w:val="20"/>
                <w:lang w:eastAsia="pt-BR"/>
              </w:rPr>
            </w:pPr>
            <w:r w:rsidRPr="00DB42FC">
              <w:rPr>
                <w:rFonts w:ascii="Arial" w:eastAsia="Times New Roman" w:hAnsi="Arial" w:cs="Arial"/>
                <w:sz w:val="20"/>
                <w:szCs w:val="20"/>
                <w:lang w:eastAsia="pt-BR"/>
              </w:rPr>
              <w:t>Decimal</w:t>
            </w:r>
          </w:p>
        </w:tc>
        <w:tc>
          <w:tcPr>
            <w:tcW w:w="1276" w:type="dxa"/>
            <w:tcBorders>
              <w:top w:val="nil"/>
              <w:left w:val="nil"/>
              <w:bottom w:val="single" w:sz="8" w:space="0" w:color="auto"/>
              <w:right w:val="single" w:sz="8" w:space="0" w:color="auto"/>
            </w:tcBorders>
            <w:shd w:val="clear" w:color="auto" w:fill="auto"/>
            <w:vAlign w:val="center"/>
          </w:tcPr>
          <w:p w14:paraId="70891365" w14:textId="77777777" w:rsidR="00DB42FC" w:rsidRPr="00DB42FC" w:rsidRDefault="00DB42FC" w:rsidP="005C00E1">
            <w:pPr>
              <w:spacing w:line="240" w:lineRule="auto"/>
              <w:jc w:val="center"/>
              <w:rPr>
                <w:rFonts w:ascii="Arial" w:eastAsia="Times New Roman" w:hAnsi="Arial" w:cs="Arial"/>
                <w:sz w:val="20"/>
                <w:szCs w:val="20"/>
                <w:lang w:eastAsia="pt-BR"/>
              </w:rPr>
            </w:pPr>
            <w:r w:rsidRPr="00DB42FC">
              <w:rPr>
                <w:rFonts w:ascii="Arial" w:eastAsia="Times New Roman" w:hAnsi="Arial" w:cs="Arial"/>
                <w:sz w:val="20"/>
                <w:szCs w:val="20"/>
                <w:lang w:eastAsia="pt-BR"/>
              </w:rPr>
              <w:t>14,2</w:t>
            </w:r>
          </w:p>
        </w:tc>
        <w:tc>
          <w:tcPr>
            <w:tcW w:w="3542" w:type="dxa"/>
            <w:tcBorders>
              <w:top w:val="nil"/>
              <w:left w:val="nil"/>
              <w:bottom w:val="single" w:sz="8" w:space="0" w:color="auto"/>
              <w:right w:val="single" w:sz="8" w:space="0" w:color="auto"/>
            </w:tcBorders>
            <w:shd w:val="clear" w:color="auto" w:fill="auto"/>
            <w:vAlign w:val="center"/>
          </w:tcPr>
          <w:p w14:paraId="55BA0818" w14:textId="77777777" w:rsidR="00DB42FC" w:rsidRPr="00DB42FC" w:rsidRDefault="00DB42FC" w:rsidP="005C00E1">
            <w:pPr>
              <w:spacing w:line="240" w:lineRule="auto"/>
              <w:rPr>
                <w:rFonts w:ascii="Arial" w:eastAsia="Times New Roman" w:hAnsi="Arial" w:cs="Arial"/>
                <w:sz w:val="20"/>
                <w:szCs w:val="20"/>
                <w:lang w:eastAsia="pt-BR"/>
              </w:rPr>
            </w:pPr>
            <w:r w:rsidRPr="00DB42FC">
              <w:rPr>
                <w:rFonts w:ascii="Arial" w:eastAsia="Times New Roman" w:hAnsi="Arial" w:cs="Arial"/>
                <w:sz w:val="20"/>
                <w:szCs w:val="20"/>
                <w:lang w:eastAsia="pt-BR"/>
              </w:rPr>
              <w:t>Obrigatório</w:t>
            </w:r>
          </w:p>
        </w:tc>
      </w:tr>
      <w:tr w:rsidR="00DB42FC" w:rsidRPr="00DB42FC" w14:paraId="14E7C71C" w14:textId="77777777" w:rsidTr="005C00E1">
        <w:trPr>
          <w:trHeight w:val="315"/>
        </w:trPr>
        <w:tc>
          <w:tcPr>
            <w:tcW w:w="3272" w:type="dxa"/>
            <w:tcBorders>
              <w:top w:val="nil"/>
              <w:left w:val="single" w:sz="8" w:space="0" w:color="auto"/>
              <w:bottom w:val="single" w:sz="8" w:space="0" w:color="auto"/>
              <w:right w:val="single" w:sz="8" w:space="0" w:color="auto"/>
            </w:tcBorders>
            <w:shd w:val="clear" w:color="auto" w:fill="auto"/>
            <w:vAlign w:val="center"/>
          </w:tcPr>
          <w:p w14:paraId="0278552C" w14:textId="77777777" w:rsidR="00DB42FC" w:rsidRPr="00DB42FC" w:rsidRDefault="00DB42FC" w:rsidP="005C00E1">
            <w:pPr>
              <w:rPr>
                <w:rFonts w:ascii="Arial" w:hAnsi="Arial" w:cs="Arial"/>
                <w:sz w:val="20"/>
                <w:szCs w:val="20"/>
              </w:rPr>
            </w:pPr>
            <w:r w:rsidRPr="00DB42FC">
              <w:rPr>
                <w:rFonts w:ascii="Arial" w:hAnsi="Arial" w:cs="Arial"/>
                <w:sz w:val="20"/>
                <w:szCs w:val="20"/>
              </w:rPr>
              <w:t>Valor do IRRF</w:t>
            </w:r>
          </w:p>
        </w:tc>
        <w:tc>
          <w:tcPr>
            <w:tcW w:w="1276" w:type="dxa"/>
            <w:tcBorders>
              <w:top w:val="nil"/>
              <w:left w:val="nil"/>
              <w:bottom w:val="single" w:sz="8" w:space="0" w:color="auto"/>
              <w:right w:val="single" w:sz="8" w:space="0" w:color="auto"/>
            </w:tcBorders>
            <w:shd w:val="clear" w:color="auto" w:fill="auto"/>
            <w:vAlign w:val="center"/>
          </w:tcPr>
          <w:p w14:paraId="5D683A18" w14:textId="77777777" w:rsidR="00DB42FC" w:rsidRPr="00DB42FC" w:rsidRDefault="00DB42FC" w:rsidP="005C00E1">
            <w:pPr>
              <w:spacing w:line="240" w:lineRule="auto"/>
              <w:jc w:val="center"/>
              <w:rPr>
                <w:rFonts w:ascii="Arial" w:eastAsia="Times New Roman" w:hAnsi="Arial" w:cs="Arial"/>
                <w:sz w:val="20"/>
                <w:szCs w:val="20"/>
                <w:lang w:eastAsia="pt-BR"/>
              </w:rPr>
            </w:pPr>
            <w:r w:rsidRPr="00DB42FC">
              <w:rPr>
                <w:rFonts w:ascii="Arial" w:eastAsia="Times New Roman" w:hAnsi="Arial" w:cs="Arial"/>
                <w:sz w:val="20"/>
                <w:szCs w:val="20"/>
                <w:lang w:eastAsia="pt-BR"/>
              </w:rPr>
              <w:t>Decimal</w:t>
            </w:r>
          </w:p>
        </w:tc>
        <w:tc>
          <w:tcPr>
            <w:tcW w:w="1276" w:type="dxa"/>
            <w:tcBorders>
              <w:top w:val="nil"/>
              <w:left w:val="nil"/>
              <w:bottom w:val="single" w:sz="8" w:space="0" w:color="auto"/>
              <w:right w:val="single" w:sz="8" w:space="0" w:color="auto"/>
            </w:tcBorders>
            <w:shd w:val="clear" w:color="auto" w:fill="auto"/>
            <w:vAlign w:val="center"/>
          </w:tcPr>
          <w:p w14:paraId="0289A502" w14:textId="77777777" w:rsidR="00DB42FC" w:rsidRPr="00DB42FC" w:rsidRDefault="00DB42FC" w:rsidP="005C00E1">
            <w:pPr>
              <w:spacing w:line="240" w:lineRule="auto"/>
              <w:jc w:val="center"/>
              <w:rPr>
                <w:rFonts w:ascii="Arial" w:eastAsia="Times New Roman" w:hAnsi="Arial" w:cs="Arial"/>
                <w:sz w:val="20"/>
                <w:szCs w:val="20"/>
                <w:lang w:eastAsia="pt-BR"/>
              </w:rPr>
            </w:pPr>
            <w:r w:rsidRPr="00DB42FC">
              <w:rPr>
                <w:rFonts w:ascii="Arial" w:eastAsia="Times New Roman" w:hAnsi="Arial" w:cs="Arial"/>
                <w:sz w:val="20"/>
                <w:szCs w:val="20"/>
                <w:lang w:eastAsia="pt-BR"/>
              </w:rPr>
              <w:t>14,2</w:t>
            </w:r>
          </w:p>
        </w:tc>
        <w:tc>
          <w:tcPr>
            <w:tcW w:w="3542" w:type="dxa"/>
            <w:tcBorders>
              <w:top w:val="nil"/>
              <w:left w:val="nil"/>
              <w:bottom w:val="single" w:sz="8" w:space="0" w:color="auto"/>
              <w:right w:val="single" w:sz="8" w:space="0" w:color="auto"/>
            </w:tcBorders>
            <w:shd w:val="clear" w:color="auto" w:fill="auto"/>
            <w:vAlign w:val="center"/>
          </w:tcPr>
          <w:p w14:paraId="758BF29F" w14:textId="77777777" w:rsidR="00DB42FC" w:rsidRPr="00DB42FC" w:rsidRDefault="00DB42FC" w:rsidP="005C00E1">
            <w:pPr>
              <w:spacing w:line="240" w:lineRule="auto"/>
              <w:rPr>
                <w:rFonts w:ascii="Arial" w:eastAsia="Times New Roman" w:hAnsi="Arial" w:cs="Arial"/>
                <w:sz w:val="20"/>
                <w:szCs w:val="20"/>
                <w:lang w:eastAsia="pt-BR"/>
              </w:rPr>
            </w:pPr>
            <w:r w:rsidRPr="00DB42FC">
              <w:rPr>
                <w:rFonts w:ascii="Arial" w:eastAsia="Times New Roman" w:hAnsi="Arial" w:cs="Arial"/>
                <w:sz w:val="20"/>
                <w:szCs w:val="20"/>
                <w:lang w:eastAsia="pt-BR"/>
              </w:rPr>
              <w:t>Obrigatório</w:t>
            </w:r>
          </w:p>
        </w:tc>
      </w:tr>
      <w:tr w:rsidR="00DB42FC" w:rsidRPr="00DB42FC" w14:paraId="2FEB3F69" w14:textId="77777777" w:rsidTr="005C00E1">
        <w:trPr>
          <w:trHeight w:val="315"/>
        </w:trPr>
        <w:tc>
          <w:tcPr>
            <w:tcW w:w="3272" w:type="dxa"/>
            <w:tcBorders>
              <w:top w:val="nil"/>
              <w:left w:val="single" w:sz="8" w:space="0" w:color="auto"/>
              <w:bottom w:val="single" w:sz="8" w:space="0" w:color="auto"/>
              <w:right w:val="single" w:sz="8" w:space="0" w:color="auto"/>
            </w:tcBorders>
            <w:shd w:val="clear" w:color="auto" w:fill="auto"/>
            <w:vAlign w:val="center"/>
          </w:tcPr>
          <w:p w14:paraId="1ACE45A1" w14:textId="77777777" w:rsidR="00DB42FC" w:rsidRPr="00DB42FC" w:rsidRDefault="00DB42FC" w:rsidP="005C00E1">
            <w:pPr>
              <w:rPr>
                <w:rFonts w:ascii="Arial" w:hAnsi="Arial" w:cs="Arial"/>
                <w:sz w:val="20"/>
                <w:szCs w:val="20"/>
              </w:rPr>
            </w:pPr>
            <w:r w:rsidRPr="00DB42FC">
              <w:rPr>
                <w:rFonts w:ascii="Arial" w:hAnsi="Arial" w:cs="Arial"/>
                <w:sz w:val="20"/>
                <w:szCs w:val="20"/>
              </w:rPr>
              <w:t>Valor líquido do saque</w:t>
            </w:r>
          </w:p>
        </w:tc>
        <w:tc>
          <w:tcPr>
            <w:tcW w:w="1276" w:type="dxa"/>
            <w:tcBorders>
              <w:top w:val="nil"/>
              <w:left w:val="nil"/>
              <w:bottom w:val="single" w:sz="8" w:space="0" w:color="auto"/>
              <w:right w:val="single" w:sz="8" w:space="0" w:color="auto"/>
            </w:tcBorders>
            <w:shd w:val="clear" w:color="auto" w:fill="auto"/>
            <w:vAlign w:val="center"/>
          </w:tcPr>
          <w:p w14:paraId="7651FDC3" w14:textId="77777777" w:rsidR="00DB42FC" w:rsidRPr="00DB42FC" w:rsidRDefault="00DB42FC" w:rsidP="005C00E1">
            <w:pPr>
              <w:spacing w:line="240" w:lineRule="auto"/>
              <w:jc w:val="center"/>
              <w:rPr>
                <w:rFonts w:ascii="Arial" w:eastAsia="Times New Roman" w:hAnsi="Arial" w:cs="Arial"/>
                <w:sz w:val="20"/>
                <w:szCs w:val="20"/>
                <w:lang w:eastAsia="pt-BR"/>
              </w:rPr>
            </w:pPr>
            <w:r w:rsidRPr="00DB42FC">
              <w:rPr>
                <w:rFonts w:ascii="Arial" w:eastAsia="Times New Roman" w:hAnsi="Arial" w:cs="Arial"/>
                <w:sz w:val="20"/>
                <w:szCs w:val="20"/>
                <w:lang w:eastAsia="pt-BR"/>
              </w:rPr>
              <w:t>Decimal</w:t>
            </w:r>
          </w:p>
        </w:tc>
        <w:tc>
          <w:tcPr>
            <w:tcW w:w="1276" w:type="dxa"/>
            <w:tcBorders>
              <w:top w:val="nil"/>
              <w:left w:val="nil"/>
              <w:bottom w:val="single" w:sz="8" w:space="0" w:color="auto"/>
              <w:right w:val="single" w:sz="8" w:space="0" w:color="auto"/>
            </w:tcBorders>
            <w:shd w:val="clear" w:color="auto" w:fill="auto"/>
            <w:vAlign w:val="center"/>
          </w:tcPr>
          <w:p w14:paraId="42811E98" w14:textId="77777777" w:rsidR="00DB42FC" w:rsidRPr="00DB42FC" w:rsidRDefault="00DB42FC" w:rsidP="005C00E1">
            <w:pPr>
              <w:spacing w:line="240" w:lineRule="auto"/>
              <w:jc w:val="center"/>
              <w:rPr>
                <w:rFonts w:ascii="Arial" w:eastAsia="Times New Roman" w:hAnsi="Arial" w:cs="Arial"/>
                <w:sz w:val="20"/>
                <w:szCs w:val="20"/>
                <w:lang w:eastAsia="pt-BR"/>
              </w:rPr>
            </w:pPr>
            <w:r w:rsidRPr="00DB42FC">
              <w:rPr>
                <w:rFonts w:ascii="Arial" w:eastAsia="Times New Roman" w:hAnsi="Arial" w:cs="Arial"/>
                <w:sz w:val="20"/>
                <w:szCs w:val="20"/>
                <w:lang w:eastAsia="pt-BR"/>
              </w:rPr>
              <w:t>14,2</w:t>
            </w:r>
          </w:p>
        </w:tc>
        <w:tc>
          <w:tcPr>
            <w:tcW w:w="3542" w:type="dxa"/>
            <w:tcBorders>
              <w:top w:val="nil"/>
              <w:left w:val="nil"/>
              <w:bottom w:val="single" w:sz="8" w:space="0" w:color="auto"/>
              <w:right w:val="single" w:sz="8" w:space="0" w:color="auto"/>
            </w:tcBorders>
            <w:shd w:val="clear" w:color="auto" w:fill="auto"/>
            <w:vAlign w:val="center"/>
          </w:tcPr>
          <w:p w14:paraId="6E7F97B0" w14:textId="77777777" w:rsidR="00DB42FC" w:rsidRPr="00DB42FC" w:rsidRDefault="00DB42FC" w:rsidP="005C00E1">
            <w:pPr>
              <w:spacing w:line="240" w:lineRule="auto"/>
              <w:rPr>
                <w:rFonts w:ascii="Arial" w:eastAsia="Times New Roman" w:hAnsi="Arial" w:cs="Arial"/>
                <w:sz w:val="20"/>
                <w:szCs w:val="20"/>
                <w:lang w:eastAsia="pt-BR"/>
              </w:rPr>
            </w:pPr>
            <w:r w:rsidRPr="00DB42FC">
              <w:rPr>
                <w:rFonts w:ascii="Arial" w:eastAsia="Times New Roman" w:hAnsi="Arial" w:cs="Arial"/>
                <w:sz w:val="20"/>
                <w:szCs w:val="20"/>
                <w:lang w:eastAsia="pt-BR"/>
              </w:rPr>
              <w:t>Obrigatório</w:t>
            </w:r>
          </w:p>
        </w:tc>
      </w:tr>
      <w:tr w:rsidR="00DB42FC" w:rsidRPr="00DB42FC" w14:paraId="4B59F5C9" w14:textId="77777777" w:rsidTr="005C00E1">
        <w:trPr>
          <w:trHeight w:val="315"/>
        </w:trPr>
        <w:tc>
          <w:tcPr>
            <w:tcW w:w="3272" w:type="dxa"/>
            <w:tcBorders>
              <w:top w:val="nil"/>
              <w:left w:val="single" w:sz="8" w:space="0" w:color="auto"/>
              <w:bottom w:val="single" w:sz="8" w:space="0" w:color="auto"/>
              <w:right w:val="single" w:sz="8" w:space="0" w:color="auto"/>
            </w:tcBorders>
            <w:shd w:val="clear" w:color="auto" w:fill="auto"/>
            <w:vAlign w:val="center"/>
          </w:tcPr>
          <w:p w14:paraId="6EEC7E60" w14:textId="77777777" w:rsidR="00DB42FC" w:rsidRPr="00DB42FC" w:rsidRDefault="00DB42FC" w:rsidP="005C00E1">
            <w:pPr>
              <w:rPr>
                <w:rFonts w:ascii="Arial" w:hAnsi="Arial" w:cs="Arial"/>
                <w:sz w:val="20"/>
                <w:szCs w:val="20"/>
              </w:rPr>
            </w:pPr>
            <w:r w:rsidRPr="00DB42FC">
              <w:rPr>
                <w:rFonts w:ascii="Arial" w:hAnsi="Arial" w:cs="Arial"/>
                <w:sz w:val="20"/>
                <w:szCs w:val="20"/>
              </w:rPr>
              <w:t>Data do saque</w:t>
            </w:r>
          </w:p>
        </w:tc>
        <w:tc>
          <w:tcPr>
            <w:tcW w:w="1276" w:type="dxa"/>
            <w:tcBorders>
              <w:top w:val="nil"/>
              <w:left w:val="nil"/>
              <w:bottom w:val="single" w:sz="8" w:space="0" w:color="auto"/>
              <w:right w:val="single" w:sz="8" w:space="0" w:color="auto"/>
            </w:tcBorders>
            <w:shd w:val="clear" w:color="auto" w:fill="auto"/>
          </w:tcPr>
          <w:p w14:paraId="01B923E9" w14:textId="77777777" w:rsidR="00DB42FC" w:rsidRPr="00DB42FC" w:rsidRDefault="00DB42FC" w:rsidP="005C00E1">
            <w:pPr>
              <w:jc w:val="center"/>
            </w:pPr>
            <w:r w:rsidRPr="00DB42FC">
              <w:rPr>
                <w:rFonts w:ascii="Arial" w:eastAsia="Times New Roman" w:hAnsi="Arial" w:cs="Arial"/>
                <w:sz w:val="20"/>
                <w:szCs w:val="20"/>
                <w:lang w:eastAsia="pt-BR"/>
              </w:rPr>
              <w:t>Data</w:t>
            </w:r>
          </w:p>
        </w:tc>
        <w:tc>
          <w:tcPr>
            <w:tcW w:w="1276" w:type="dxa"/>
            <w:tcBorders>
              <w:top w:val="nil"/>
              <w:left w:val="nil"/>
              <w:bottom w:val="single" w:sz="8" w:space="0" w:color="auto"/>
              <w:right w:val="single" w:sz="8" w:space="0" w:color="auto"/>
            </w:tcBorders>
            <w:shd w:val="clear" w:color="auto" w:fill="auto"/>
          </w:tcPr>
          <w:p w14:paraId="36A35F03" w14:textId="77777777" w:rsidR="00DB42FC" w:rsidRPr="00DB42FC" w:rsidRDefault="00DB42FC" w:rsidP="005C00E1">
            <w:pPr>
              <w:jc w:val="center"/>
            </w:pPr>
            <w:r w:rsidRPr="00DB42FC">
              <w:t>10</w:t>
            </w:r>
          </w:p>
        </w:tc>
        <w:tc>
          <w:tcPr>
            <w:tcW w:w="3542" w:type="dxa"/>
            <w:tcBorders>
              <w:top w:val="nil"/>
              <w:left w:val="nil"/>
              <w:bottom w:val="single" w:sz="8" w:space="0" w:color="auto"/>
              <w:right w:val="single" w:sz="8" w:space="0" w:color="auto"/>
            </w:tcBorders>
            <w:shd w:val="clear" w:color="auto" w:fill="auto"/>
          </w:tcPr>
          <w:p w14:paraId="3480C6DE" w14:textId="77777777" w:rsidR="00DB42FC" w:rsidRPr="00DB42FC" w:rsidRDefault="00DB42FC" w:rsidP="005C00E1">
            <w:r w:rsidRPr="00DB42FC">
              <w:rPr>
                <w:rFonts w:ascii="Arial" w:eastAsia="Times New Roman" w:hAnsi="Arial" w:cs="Arial"/>
                <w:sz w:val="20"/>
                <w:szCs w:val="20"/>
                <w:lang w:eastAsia="pt-BR"/>
              </w:rPr>
              <w:t>Obrigatório, AAAA-MM-DD</w:t>
            </w:r>
          </w:p>
        </w:tc>
      </w:tr>
    </w:tbl>
    <w:p w14:paraId="6CDD19F1" w14:textId="77777777" w:rsidR="00DB42FC" w:rsidRPr="00DB42FC" w:rsidRDefault="00DB42FC" w:rsidP="00DB42FC">
      <w:pPr>
        <w:rPr>
          <w:lang w:eastAsia="x-none"/>
        </w:rPr>
      </w:pPr>
    </w:p>
    <w:p w14:paraId="38086E9A" w14:textId="1D92A948" w:rsidR="005653DB" w:rsidRDefault="005653DB">
      <w:pPr>
        <w:pStyle w:val="Ttulo3"/>
        <w:rPr>
          <w:b/>
          <w:bCs/>
          <w:sz w:val="28"/>
          <w:szCs w:val="28"/>
          <w:lang w:val="pt-BR"/>
        </w:rPr>
      </w:pPr>
      <w:bookmarkStart w:id="62" w:name="_Toc94806338"/>
      <w:r w:rsidRPr="005653DB">
        <w:rPr>
          <w:b/>
          <w:bCs/>
          <w:sz w:val="28"/>
          <w:szCs w:val="28"/>
          <w:lang w:val="pt-BR"/>
        </w:rPr>
        <w:t>INFOC</w:t>
      </w:r>
      <w:r>
        <w:rPr>
          <w:b/>
          <w:bCs/>
          <w:sz w:val="28"/>
          <w:szCs w:val="28"/>
          <w:lang w:val="pt-BR"/>
        </w:rPr>
        <w:t>I</w:t>
      </w:r>
      <w:r w:rsidRPr="005653DB">
        <w:rPr>
          <w:b/>
          <w:bCs/>
          <w:sz w:val="28"/>
          <w:szCs w:val="28"/>
          <w:lang w:val="pt-BR"/>
        </w:rPr>
        <w:t>.XML ((ou InformacoesControleInterno.xml)</w:t>
      </w:r>
      <w:bookmarkEnd w:id="62"/>
    </w:p>
    <w:p w14:paraId="3338896D" w14:textId="7601BD38" w:rsidR="005653DB" w:rsidRDefault="005653DB" w:rsidP="005653DB">
      <w:pPr>
        <w:rPr>
          <w:lang w:eastAsia="x-none"/>
        </w:rPr>
      </w:pPr>
    </w:p>
    <w:p w14:paraId="0F584032" w14:textId="2867F993" w:rsidR="005653DB" w:rsidRDefault="005653DB" w:rsidP="005653DB">
      <w:pPr>
        <w:spacing w:after="0" w:line="360" w:lineRule="auto"/>
        <w:jc w:val="both"/>
        <w:rPr>
          <w:rFonts w:ascii="Arial" w:eastAsia="Calibri" w:hAnsi="Arial" w:cs="Times New Roman"/>
        </w:rPr>
      </w:pPr>
      <w:r w:rsidRPr="003B3B62">
        <w:rPr>
          <w:rFonts w:ascii="Arial" w:eastAsia="Calibri" w:hAnsi="Arial" w:cs="Times New Roman"/>
          <w:b/>
          <w:bCs/>
        </w:rPr>
        <w:t xml:space="preserve">Descrição: </w:t>
      </w:r>
      <w:r w:rsidRPr="003B3B62">
        <w:rPr>
          <w:rFonts w:ascii="Arial" w:eastAsia="Calibri" w:hAnsi="Arial" w:cs="Times New Roman"/>
        </w:rPr>
        <w:t>Este arquivo conterá as informações da unidade de Controle Interno, bem como as informações sobre a atuação do Controle Interno na verificação dos pontos de controle destinados à emissão do parecer sobre as Prestações de Contas Anuais – Gestão e Governo, contemplando apenas os Pontos de Controle objeto da Tabela Referencial 1, constante do item 3.2 deste Anexo.</w:t>
      </w:r>
    </w:p>
    <w:p w14:paraId="37DE44B5" w14:textId="77777777" w:rsidR="00581F5B" w:rsidRPr="003B3B62" w:rsidRDefault="00581F5B" w:rsidP="005653DB">
      <w:pPr>
        <w:spacing w:after="0" w:line="360" w:lineRule="auto"/>
        <w:jc w:val="both"/>
        <w:rPr>
          <w:rFonts w:ascii="Arial" w:eastAsia="Calibri" w:hAnsi="Arial" w:cs="Times New Roman"/>
        </w:rPr>
      </w:pPr>
    </w:p>
    <w:p w14:paraId="47A37FF3" w14:textId="7931BB76" w:rsidR="005653DB" w:rsidRPr="003B3B62" w:rsidRDefault="005653DB" w:rsidP="005653DB">
      <w:pPr>
        <w:spacing w:after="0" w:line="360" w:lineRule="auto"/>
        <w:jc w:val="both"/>
        <w:rPr>
          <w:rFonts w:ascii="Arial" w:eastAsia="Calibri" w:hAnsi="Arial" w:cs="Times New Roman"/>
        </w:rPr>
      </w:pPr>
      <w:r w:rsidRPr="003B3B62">
        <w:rPr>
          <w:rFonts w:ascii="Arial" w:eastAsia="Calibri" w:hAnsi="Arial" w:cs="Times New Roman"/>
        </w:rPr>
        <w:t xml:space="preserve">No que se refere ao conjunto de informações que integram a Estrutura </w:t>
      </w:r>
      <w:r w:rsidR="002049F4" w:rsidRPr="002049F4">
        <w:rPr>
          <w:rFonts w:ascii="Arial" w:eastAsia="Calibri" w:hAnsi="Arial" w:cs="Times New Roman"/>
        </w:rPr>
        <w:t>‘</w:t>
      </w:r>
      <w:r w:rsidR="002049F4" w:rsidRPr="002049F4">
        <w:rPr>
          <w:rFonts w:ascii="Arial" w:eastAsia="Times New Roman" w:hAnsi="Arial" w:cs="Arial"/>
          <w:b/>
          <w:bCs/>
          <w:lang w:eastAsia="pt-BR"/>
        </w:rPr>
        <w:t>InformacoesControleInternoTomadaContasEspecial</w:t>
      </w:r>
      <w:r w:rsidR="002049F4" w:rsidRPr="002049F4">
        <w:rPr>
          <w:rFonts w:ascii="Arial" w:eastAsia="Calibri" w:hAnsi="Arial" w:cs="Times New Roman"/>
        </w:rPr>
        <w:t>’</w:t>
      </w:r>
      <w:r w:rsidRPr="003B3B62">
        <w:rPr>
          <w:rFonts w:ascii="Arial" w:eastAsia="Calibri" w:hAnsi="Arial" w:cs="Times New Roman"/>
        </w:rPr>
        <w:t>, devem ser informadas todas as Tomadas de Contas Especiais que foram instauradas no exercício e aquelas que foram instauradas e não finalizadas em exercícios anteriores.</w:t>
      </w:r>
    </w:p>
    <w:p w14:paraId="03F3DBC3" w14:textId="77777777" w:rsidR="005653DB" w:rsidRPr="003B3B62" w:rsidRDefault="005653DB" w:rsidP="005653DB">
      <w:pPr>
        <w:spacing w:after="0" w:line="360" w:lineRule="auto"/>
        <w:jc w:val="both"/>
      </w:pPr>
    </w:p>
    <w:p w14:paraId="3D426A88" w14:textId="77777777" w:rsidR="005653DB" w:rsidRPr="00F032EF" w:rsidRDefault="005653DB" w:rsidP="005653DB">
      <w:pPr>
        <w:rPr>
          <w:rFonts w:ascii="Arial" w:hAnsi="Arial" w:cs="Arial"/>
          <w:b/>
          <w:sz w:val="28"/>
        </w:rPr>
      </w:pPr>
      <w:r w:rsidRPr="00F032EF">
        <w:rPr>
          <w:rFonts w:ascii="Arial" w:hAnsi="Arial"/>
          <w:b/>
          <w:bCs/>
        </w:rPr>
        <w:t>Estrutura:</w:t>
      </w:r>
    </w:p>
    <w:p w14:paraId="37FDC111" w14:textId="7C61DEF6" w:rsidR="005653DB" w:rsidRPr="00F032EF" w:rsidRDefault="005653DB" w:rsidP="005653DB">
      <w:pPr>
        <w:autoSpaceDE w:val="0"/>
        <w:autoSpaceDN w:val="0"/>
        <w:adjustRightInd w:val="0"/>
        <w:spacing w:after="0" w:line="240" w:lineRule="auto"/>
        <w:jc w:val="both"/>
      </w:pPr>
    </w:p>
    <w:p w14:paraId="5B560503" w14:textId="77777777" w:rsidR="00356B43" w:rsidRPr="00F032EF" w:rsidRDefault="00356B43" w:rsidP="00356B43">
      <w:pPr>
        <w:spacing w:after="0" w:line="240" w:lineRule="auto"/>
        <w:jc w:val="both"/>
        <w:rPr>
          <w:rFonts w:ascii="Arial" w:eastAsia="Calibri" w:hAnsi="Arial" w:cs="Arial"/>
          <w:sz w:val="20"/>
          <w:szCs w:val="20"/>
          <w:lang w:eastAsia="pt-BR"/>
        </w:rPr>
      </w:pPr>
      <w:r w:rsidRPr="00F032EF">
        <w:rPr>
          <w:rFonts w:ascii="Arial" w:eastAsia="Calibri" w:hAnsi="Arial" w:cs="Arial"/>
          <w:sz w:val="20"/>
          <w:szCs w:val="20"/>
          <w:lang w:eastAsia="pt-BR"/>
        </w:rPr>
        <w:t>&lt;?xml version="1.0" encoding=“UTF-8”?&gt;</w:t>
      </w:r>
    </w:p>
    <w:p w14:paraId="0E0B3097" w14:textId="77777777" w:rsidR="00356B43" w:rsidRPr="00F032EF" w:rsidRDefault="00356B43" w:rsidP="00356B43">
      <w:pPr>
        <w:spacing w:after="0" w:line="240" w:lineRule="auto"/>
        <w:jc w:val="both"/>
        <w:rPr>
          <w:rFonts w:ascii="Arial" w:eastAsia="Calibri" w:hAnsi="Arial" w:cs="Arial"/>
          <w:sz w:val="20"/>
          <w:szCs w:val="20"/>
          <w:lang w:eastAsia="pt-BR"/>
        </w:rPr>
      </w:pPr>
      <w:r w:rsidRPr="00F032EF">
        <w:rPr>
          <w:rFonts w:ascii="Arial" w:eastAsia="Calibri" w:hAnsi="Arial" w:cs="Arial"/>
          <w:sz w:val="20"/>
          <w:szCs w:val="20"/>
          <w:lang w:eastAsia="pt-BR"/>
        </w:rPr>
        <w:t>&lt;PrestacaoContasAnual&gt;</w:t>
      </w:r>
    </w:p>
    <w:p w14:paraId="5E53C4EE" w14:textId="77777777" w:rsidR="00356B43" w:rsidRPr="00F032EF" w:rsidRDefault="00356B43" w:rsidP="00356B43">
      <w:pPr>
        <w:spacing w:after="0" w:line="240" w:lineRule="auto"/>
        <w:jc w:val="both"/>
        <w:rPr>
          <w:rFonts w:ascii="Arial" w:eastAsia="Calibri" w:hAnsi="Arial" w:cs="Arial"/>
          <w:sz w:val="20"/>
          <w:szCs w:val="20"/>
          <w:lang w:eastAsia="pt-BR"/>
        </w:rPr>
      </w:pPr>
      <w:r w:rsidRPr="00F032EF">
        <w:rPr>
          <w:rFonts w:ascii="Arial" w:eastAsia="Calibri" w:hAnsi="Arial" w:cs="Arial"/>
          <w:sz w:val="20"/>
          <w:szCs w:val="20"/>
          <w:lang w:eastAsia="pt-BR"/>
        </w:rPr>
        <w:t>     &lt;InformacoesControleInterno_Schema&gt;</w:t>
      </w:r>
    </w:p>
    <w:p w14:paraId="4EB6C184" w14:textId="77777777" w:rsidR="00356B43" w:rsidRPr="00F032EF" w:rsidRDefault="00356B43" w:rsidP="00356B43">
      <w:pPr>
        <w:spacing w:after="0" w:line="240" w:lineRule="auto"/>
        <w:jc w:val="both"/>
        <w:rPr>
          <w:rFonts w:ascii="Arial" w:eastAsia="Calibri" w:hAnsi="Arial" w:cs="Arial"/>
          <w:sz w:val="20"/>
          <w:szCs w:val="20"/>
          <w:lang w:eastAsia="pt-BR"/>
        </w:rPr>
      </w:pPr>
    </w:p>
    <w:p w14:paraId="542AC3BD" w14:textId="77777777" w:rsidR="00356B43" w:rsidRPr="00F032EF" w:rsidRDefault="00356B43" w:rsidP="00356B43">
      <w:pPr>
        <w:spacing w:after="0" w:line="240" w:lineRule="auto"/>
        <w:jc w:val="both"/>
        <w:rPr>
          <w:rFonts w:ascii="Arial" w:eastAsia="Calibri" w:hAnsi="Arial" w:cs="Arial"/>
          <w:sz w:val="20"/>
          <w:szCs w:val="20"/>
          <w:lang w:eastAsia="pt-BR"/>
        </w:rPr>
      </w:pPr>
      <w:r w:rsidRPr="00F032EF">
        <w:rPr>
          <w:rFonts w:ascii="Arial" w:eastAsia="Calibri" w:hAnsi="Arial" w:cs="Arial"/>
          <w:sz w:val="20"/>
          <w:szCs w:val="20"/>
          <w:lang w:eastAsia="pt-BR"/>
        </w:rPr>
        <w:t>     &lt;InformacoesControleInternoEstruturaInicial&gt;</w:t>
      </w:r>
    </w:p>
    <w:p w14:paraId="07A3FAE3" w14:textId="77777777" w:rsidR="00356B43" w:rsidRPr="00F032EF" w:rsidRDefault="00356B43" w:rsidP="00356B43">
      <w:pPr>
        <w:spacing w:after="0" w:line="240" w:lineRule="auto"/>
        <w:jc w:val="both"/>
        <w:rPr>
          <w:rFonts w:ascii="Arial" w:eastAsia="Calibri" w:hAnsi="Arial" w:cs="Arial"/>
          <w:sz w:val="20"/>
          <w:szCs w:val="20"/>
          <w:lang w:eastAsia="pt-BR"/>
        </w:rPr>
      </w:pPr>
      <w:r w:rsidRPr="00F032EF">
        <w:rPr>
          <w:rFonts w:ascii="Arial" w:eastAsia="Calibri" w:hAnsi="Arial" w:cs="Arial"/>
          <w:sz w:val="20"/>
          <w:szCs w:val="20"/>
          <w:lang w:eastAsia="pt-BR"/>
        </w:rPr>
        <w:t>        &lt;IdNumRegistro&gt;99999&lt;/IdNumRegistro&gt;</w:t>
      </w:r>
    </w:p>
    <w:p w14:paraId="38DC860C" w14:textId="77777777" w:rsidR="00356B43" w:rsidRPr="00F032EF" w:rsidRDefault="00356B43" w:rsidP="00356B43">
      <w:pPr>
        <w:spacing w:after="0" w:line="240" w:lineRule="auto"/>
        <w:ind w:left="426"/>
        <w:jc w:val="both"/>
        <w:rPr>
          <w:rFonts w:ascii="Arial" w:eastAsia="Calibri" w:hAnsi="Arial" w:cs="Arial"/>
          <w:sz w:val="20"/>
          <w:szCs w:val="20"/>
          <w:lang w:eastAsia="pt-BR"/>
        </w:rPr>
      </w:pPr>
      <w:r w:rsidRPr="00F032EF">
        <w:rPr>
          <w:rFonts w:ascii="Arial" w:eastAsia="Calibri" w:hAnsi="Arial" w:cs="Arial"/>
          <w:sz w:val="20"/>
          <w:szCs w:val="20"/>
          <w:lang w:eastAsia="pt-BR"/>
        </w:rPr>
        <w:t>&lt;NivelControleInterno&gt;9&lt;/NivelControleInterno&gt;</w:t>
      </w:r>
    </w:p>
    <w:p w14:paraId="7F0F3AF2" w14:textId="77777777" w:rsidR="00356B43" w:rsidRPr="00F032EF" w:rsidRDefault="00356B43" w:rsidP="00356B43">
      <w:pPr>
        <w:spacing w:after="0" w:line="240" w:lineRule="auto"/>
        <w:ind w:left="426"/>
        <w:jc w:val="both"/>
        <w:rPr>
          <w:rFonts w:ascii="Arial" w:eastAsia="Calibri" w:hAnsi="Arial" w:cs="Arial"/>
          <w:sz w:val="20"/>
          <w:szCs w:val="20"/>
          <w:lang w:eastAsia="pt-BR"/>
        </w:rPr>
      </w:pPr>
      <w:r w:rsidRPr="00F032EF">
        <w:rPr>
          <w:rFonts w:ascii="Arial" w:eastAsia="Calibri" w:hAnsi="Arial" w:cs="Arial"/>
          <w:sz w:val="20"/>
          <w:szCs w:val="20"/>
          <w:lang w:eastAsia="pt-BR"/>
        </w:rPr>
        <w:t>&lt;QuantidadeTotalServidores&gt;99999&lt;/QuantidadeTotalServidores&gt;</w:t>
      </w:r>
    </w:p>
    <w:p w14:paraId="065545C9" w14:textId="77777777" w:rsidR="00356B43" w:rsidRPr="00F032EF" w:rsidRDefault="00356B43" w:rsidP="00356B43">
      <w:pPr>
        <w:spacing w:after="0" w:line="240" w:lineRule="auto"/>
        <w:jc w:val="both"/>
        <w:rPr>
          <w:rFonts w:ascii="Arial" w:eastAsia="Calibri" w:hAnsi="Arial" w:cs="Arial"/>
          <w:sz w:val="20"/>
          <w:szCs w:val="20"/>
          <w:lang w:eastAsia="pt-BR"/>
        </w:rPr>
      </w:pPr>
      <w:r w:rsidRPr="00F032EF">
        <w:rPr>
          <w:rFonts w:ascii="Arial" w:eastAsia="Calibri" w:hAnsi="Arial" w:cs="Arial"/>
          <w:sz w:val="20"/>
          <w:szCs w:val="20"/>
          <w:lang w:eastAsia="pt-BR"/>
        </w:rPr>
        <w:t>        &lt;QuantidadeServidoresEfetivos&gt;99999&lt;/QuantidadeServidoresEfetivos&gt;</w:t>
      </w:r>
    </w:p>
    <w:p w14:paraId="1062EAD7" w14:textId="77777777" w:rsidR="00356B43" w:rsidRPr="00F032EF" w:rsidRDefault="00356B43" w:rsidP="00356B43">
      <w:pPr>
        <w:spacing w:after="0" w:line="240" w:lineRule="auto"/>
        <w:jc w:val="both"/>
        <w:rPr>
          <w:rFonts w:ascii="Arial" w:eastAsia="Calibri" w:hAnsi="Arial" w:cs="Arial"/>
          <w:sz w:val="20"/>
          <w:szCs w:val="20"/>
          <w:lang w:eastAsia="pt-BR"/>
        </w:rPr>
      </w:pPr>
      <w:r w:rsidRPr="00F032EF">
        <w:rPr>
          <w:rFonts w:ascii="Arial" w:eastAsia="Calibri" w:hAnsi="Arial" w:cs="Arial"/>
          <w:sz w:val="20"/>
          <w:szCs w:val="20"/>
          <w:lang w:eastAsia="pt-BR"/>
        </w:rPr>
        <w:t>        &lt;QuantidadeContadores&gt;99999&lt;/QuantidadeContadores&gt;</w:t>
      </w:r>
    </w:p>
    <w:p w14:paraId="3DD80423" w14:textId="77777777" w:rsidR="00356B43" w:rsidRPr="00F032EF" w:rsidRDefault="00356B43" w:rsidP="00356B43">
      <w:pPr>
        <w:spacing w:after="0" w:line="240" w:lineRule="auto"/>
        <w:jc w:val="both"/>
        <w:rPr>
          <w:rFonts w:ascii="Arial" w:eastAsia="Calibri" w:hAnsi="Arial" w:cs="Arial"/>
          <w:sz w:val="20"/>
          <w:szCs w:val="20"/>
          <w:lang w:eastAsia="pt-BR"/>
        </w:rPr>
      </w:pPr>
      <w:r w:rsidRPr="00F032EF">
        <w:rPr>
          <w:rFonts w:ascii="Arial" w:eastAsia="Calibri" w:hAnsi="Arial" w:cs="Arial"/>
          <w:sz w:val="20"/>
          <w:szCs w:val="20"/>
          <w:lang w:eastAsia="pt-BR"/>
        </w:rPr>
        <w:t>        &lt;NormaInternaGestaoOrcamentaria&gt;9&lt;/NormaInternaGestaoOrcamentaria&gt;</w:t>
      </w:r>
    </w:p>
    <w:p w14:paraId="232377E0" w14:textId="77777777" w:rsidR="00356B43" w:rsidRPr="00F032EF" w:rsidRDefault="00356B43" w:rsidP="00356B43">
      <w:pPr>
        <w:spacing w:after="0" w:line="240" w:lineRule="auto"/>
        <w:jc w:val="both"/>
        <w:rPr>
          <w:rFonts w:ascii="Arial" w:eastAsia="Calibri" w:hAnsi="Arial" w:cs="Arial"/>
          <w:sz w:val="20"/>
          <w:szCs w:val="20"/>
          <w:lang w:eastAsia="pt-BR"/>
        </w:rPr>
      </w:pPr>
      <w:r w:rsidRPr="00F032EF">
        <w:rPr>
          <w:rFonts w:ascii="Arial" w:eastAsia="Calibri" w:hAnsi="Arial" w:cs="Arial"/>
          <w:sz w:val="20"/>
          <w:szCs w:val="20"/>
          <w:lang w:eastAsia="pt-BR"/>
        </w:rPr>
        <w:t>        &lt;NormaInternaGestaoFinanceira&gt;9&lt;/NormaInternaGestaoFinanceira&gt;</w:t>
      </w:r>
    </w:p>
    <w:p w14:paraId="22BA98F4" w14:textId="77777777" w:rsidR="00356B43" w:rsidRPr="00F032EF" w:rsidRDefault="00356B43" w:rsidP="00356B43">
      <w:pPr>
        <w:spacing w:after="0" w:line="240" w:lineRule="auto"/>
        <w:jc w:val="both"/>
        <w:rPr>
          <w:rFonts w:ascii="Arial" w:eastAsia="Calibri" w:hAnsi="Arial" w:cs="Arial"/>
          <w:sz w:val="20"/>
          <w:szCs w:val="20"/>
          <w:lang w:eastAsia="pt-BR"/>
        </w:rPr>
      </w:pPr>
      <w:r w:rsidRPr="00F032EF">
        <w:rPr>
          <w:rFonts w:ascii="Arial" w:eastAsia="Calibri" w:hAnsi="Arial" w:cs="Arial"/>
          <w:sz w:val="20"/>
          <w:szCs w:val="20"/>
          <w:lang w:eastAsia="pt-BR"/>
        </w:rPr>
        <w:t>        &lt;NormaInternaGestaoPatrimonial&gt;9&lt;/NormaInternaGestaoPatrimonial&gt;</w:t>
      </w:r>
    </w:p>
    <w:p w14:paraId="6B8A948A" w14:textId="77777777" w:rsidR="00356B43" w:rsidRPr="00F032EF" w:rsidRDefault="00356B43" w:rsidP="00356B43">
      <w:pPr>
        <w:spacing w:after="0" w:line="240" w:lineRule="auto"/>
        <w:jc w:val="both"/>
        <w:rPr>
          <w:rFonts w:ascii="Arial" w:eastAsia="Calibri" w:hAnsi="Arial" w:cs="Arial"/>
          <w:sz w:val="20"/>
          <w:szCs w:val="20"/>
          <w:lang w:eastAsia="pt-BR"/>
        </w:rPr>
      </w:pPr>
      <w:r w:rsidRPr="00F032EF">
        <w:rPr>
          <w:rFonts w:ascii="Arial" w:eastAsia="Calibri" w:hAnsi="Arial" w:cs="Arial"/>
          <w:sz w:val="20"/>
          <w:szCs w:val="20"/>
          <w:lang w:eastAsia="pt-BR"/>
        </w:rPr>
        <w:t>        &lt;NormaInternaGestaoFiscal&gt;9&lt;/NormaInternaGestaoFiscal&gt;</w:t>
      </w:r>
    </w:p>
    <w:p w14:paraId="3E717269" w14:textId="77777777" w:rsidR="00356B43" w:rsidRPr="00F032EF" w:rsidRDefault="00356B43" w:rsidP="00356B43">
      <w:pPr>
        <w:spacing w:after="0" w:line="240" w:lineRule="auto"/>
        <w:jc w:val="both"/>
        <w:rPr>
          <w:rFonts w:ascii="Arial" w:eastAsia="Calibri" w:hAnsi="Arial" w:cs="Arial"/>
          <w:sz w:val="20"/>
          <w:szCs w:val="20"/>
          <w:lang w:eastAsia="pt-BR"/>
        </w:rPr>
      </w:pPr>
      <w:r w:rsidRPr="00F032EF">
        <w:rPr>
          <w:rFonts w:ascii="Arial" w:eastAsia="Calibri" w:hAnsi="Arial" w:cs="Arial"/>
          <w:sz w:val="20"/>
          <w:szCs w:val="20"/>
          <w:lang w:eastAsia="pt-BR"/>
        </w:rPr>
        <w:t>        &lt;NormaInternaDemContabeis&gt;9&lt;/NormaInternaDemContabeis&gt;</w:t>
      </w:r>
    </w:p>
    <w:p w14:paraId="213EFEC9" w14:textId="77777777" w:rsidR="00356B43" w:rsidRPr="00F032EF" w:rsidRDefault="00356B43" w:rsidP="00356B43">
      <w:pPr>
        <w:spacing w:after="0" w:line="240" w:lineRule="auto"/>
        <w:jc w:val="both"/>
        <w:rPr>
          <w:rFonts w:ascii="Arial" w:eastAsia="Calibri" w:hAnsi="Arial" w:cs="Arial"/>
          <w:sz w:val="20"/>
          <w:szCs w:val="20"/>
          <w:lang w:eastAsia="pt-BR"/>
        </w:rPr>
      </w:pPr>
      <w:r w:rsidRPr="00F032EF">
        <w:rPr>
          <w:rFonts w:ascii="Arial" w:eastAsia="Calibri" w:hAnsi="Arial" w:cs="Arial"/>
          <w:sz w:val="20"/>
          <w:szCs w:val="20"/>
          <w:lang w:eastAsia="pt-BR"/>
        </w:rPr>
        <w:t>     &lt;/InformacoesControleInternoEstruturaInicial &gt;</w:t>
      </w:r>
    </w:p>
    <w:p w14:paraId="08C13A4B" w14:textId="77777777" w:rsidR="00356B43" w:rsidRPr="00F032EF" w:rsidRDefault="00356B43" w:rsidP="00356B43">
      <w:pPr>
        <w:spacing w:after="0" w:line="240" w:lineRule="auto"/>
        <w:jc w:val="both"/>
        <w:rPr>
          <w:rFonts w:ascii="Arial" w:eastAsia="Calibri" w:hAnsi="Arial" w:cs="Arial"/>
          <w:sz w:val="20"/>
          <w:szCs w:val="20"/>
          <w:lang w:eastAsia="pt-BR"/>
        </w:rPr>
      </w:pPr>
    </w:p>
    <w:p w14:paraId="77E5F77B" w14:textId="77777777" w:rsidR="00356B43" w:rsidRPr="00F032EF" w:rsidRDefault="00356B43" w:rsidP="00356B43">
      <w:pPr>
        <w:spacing w:after="0" w:line="240" w:lineRule="auto"/>
        <w:jc w:val="both"/>
        <w:rPr>
          <w:rFonts w:ascii="Arial" w:eastAsia="Calibri" w:hAnsi="Arial" w:cs="Arial"/>
          <w:sz w:val="20"/>
          <w:szCs w:val="20"/>
          <w:lang w:eastAsia="pt-BR"/>
        </w:rPr>
      </w:pPr>
      <w:r w:rsidRPr="00F032EF">
        <w:rPr>
          <w:rFonts w:ascii="Arial" w:eastAsia="Calibri" w:hAnsi="Arial" w:cs="Arial"/>
          <w:sz w:val="20"/>
          <w:szCs w:val="20"/>
          <w:lang w:eastAsia="pt-BR"/>
        </w:rPr>
        <w:t>     &lt;InformacoesControleInternoEstruturaInicialUnidadeGestora&gt;</w:t>
      </w:r>
    </w:p>
    <w:p w14:paraId="4C541847" w14:textId="77777777" w:rsidR="00356B43" w:rsidRPr="00F032EF" w:rsidRDefault="00356B43" w:rsidP="00356B43">
      <w:pPr>
        <w:spacing w:after="0" w:line="240" w:lineRule="auto"/>
        <w:jc w:val="both"/>
        <w:rPr>
          <w:rFonts w:ascii="Arial" w:eastAsia="Calibri" w:hAnsi="Arial" w:cs="Arial"/>
          <w:sz w:val="20"/>
          <w:szCs w:val="20"/>
          <w:lang w:eastAsia="pt-BR"/>
        </w:rPr>
      </w:pPr>
      <w:r w:rsidRPr="00F032EF">
        <w:rPr>
          <w:rFonts w:ascii="Arial" w:eastAsia="Calibri" w:hAnsi="Arial" w:cs="Arial"/>
          <w:sz w:val="20"/>
          <w:szCs w:val="20"/>
          <w:lang w:eastAsia="pt-BR"/>
        </w:rPr>
        <w:t>        &lt;IdNumRegistro&gt;99999&lt;/IdNumRegistro&gt;</w:t>
      </w:r>
    </w:p>
    <w:p w14:paraId="51343987" w14:textId="77777777" w:rsidR="00356B43" w:rsidRPr="00F032EF" w:rsidRDefault="00356B43" w:rsidP="00356B43">
      <w:pPr>
        <w:spacing w:after="0" w:line="240" w:lineRule="auto"/>
        <w:ind w:left="426"/>
        <w:jc w:val="both"/>
        <w:rPr>
          <w:rFonts w:ascii="Arial" w:eastAsia="Calibri" w:hAnsi="Arial" w:cs="Arial"/>
          <w:sz w:val="20"/>
          <w:szCs w:val="20"/>
          <w:lang w:eastAsia="pt-BR"/>
        </w:rPr>
      </w:pPr>
      <w:r w:rsidRPr="00F032EF">
        <w:rPr>
          <w:rFonts w:ascii="Arial" w:eastAsia="Calibri" w:hAnsi="Arial" w:cs="Arial"/>
          <w:sz w:val="20"/>
          <w:szCs w:val="20"/>
          <w:lang w:eastAsia="pt-BR"/>
        </w:rPr>
        <w:t>&lt;NivelControleInterno&gt;9&lt;/NivelControleInterno&gt;</w:t>
      </w:r>
    </w:p>
    <w:p w14:paraId="5B8FD2CC" w14:textId="77777777" w:rsidR="00356B43" w:rsidRPr="00F032EF" w:rsidRDefault="00356B43" w:rsidP="00356B43">
      <w:pPr>
        <w:spacing w:after="0" w:line="240" w:lineRule="auto"/>
        <w:jc w:val="both"/>
        <w:rPr>
          <w:rFonts w:ascii="Arial" w:eastAsia="Calibri" w:hAnsi="Arial" w:cs="Arial"/>
          <w:sz w:val="20"/>
          <w:szCs w:val="20"/>
          <w:lang w:eastAsia="pt-BR"/>
        </w:rPr>
      </w:pPr>
      <w:r w:rsidRPr="00F032EF">
        <w:rPr>
          <w:rFonts w:ascii="Arial" w:eastAsia="Calibri" w:hAnsi="Arial" w:cs="Arial"/>
          <w:sz w:val="20"/>
          <w:szCs w:val="20"/>
          <w:lang w:eastAsia="pt-BR"/>
        </w:rPr>
        <w:t>        &lt;CodigoUnidadeGestora&gt;XXXXXXXXXXX&lt;/CodigoUnidadeGestora&gt;</w:t>
      </w:r>
    </w:p>
    <w:p w14:paraId="3796C562" w14:textId="77777777" w:rsidR="00356B43" w:rsidRPr="00F032EF" w:rsidRDefault="00356B43" w:rsidP="00356B43">
      <w:pPr>
        <w:spacing w:after="0" w:line="240" w:lineRule="auto"/>
        <w:jc w:val="both"/>
        <w:rPr>
          <w:rFonts w:ascii="Arial" w:eastAsia="Calibri" w:hAnsi="Arial" w:cs="Arial"/>
          <w:sz w:val="20"/>
          <w:szCs w:val="20"/>
          <w:lang w:eastAsia="pt-BR"/>
        </w:rPr>
      </w:pPr>
      <w:r w:rsidRPr="00F032EF">
        <w:rPr>
          <w:rFonts w:ascii="Arial" w:eastAsia="Calibri" w:hAnsi="Arial" w:cs="Arial"/>
          <w:sz w:val="20"/>
          <w:szCs w:val="20"/>
          <w:lang w:eastAsia="pt-BR"/>
        </w:rPr>
        <w:t>        &lt;ResponsavelUnidadeGestora&gt;XXX...XXX&lt;/ResponsavelUnidadeGestora&gt;</w:t>
      </w:r>
    </w:p>
    <w:p w14:paraId="2E1F224F" w14:textId="77777777" w:rsidR="00356B43" w:rsidRPr="00F032EF" w:rsidRDefault="00356B43" w:rsidP="00356B43">
      <w:pPr>
        <w:spacing w:after="0" w:line="240" w:lineRule="auto"/>
        <w:ind w:right="-285"/>
        <w:jc w:val="both"/>
        <w:rPr>
          <w:rFonts w:ascii="Arial" w:eastAsia="Calibri" w:hAnsi="Arial" w:cs="Arial"/>
          <w:sz w:val="20"/>
          <w:szCs w:val="20"/>
          <w:lang w:eastAsia="pt-BR"/>
        </w:rPr>
      </w:pPr>
      <w:r w:rsidRPr="00F032EF">
        <w:rPr>
          <w:rFonts w:ascii="Arial" w:eastAsia="Calibri" w:hAnsi="Arial" w:cs="Arial"/>
          <w:sz w:val="20"/>
          <w:szCs w:val="20"/>
          <w:lang w:eastAsia="pt-BR"/>
        </w:rPr>
        <w:t>        &lt;ExercicioUltimaManifestacaoControleInterno&gt;9999&lt;/ExercicioUltimaManifestacaoControleInterno&gt;</w:t>
      </w:r>
    </w:p>
    <w:p w14:paraId="7B740524" w14:textId="77777777" w:rsidR="00356B43" w:rsidRPr="00F032EF" w:rsidRDefault="00356B43" w:rsidP="00356B43">
      <w:pPr>
        <w:spacing w:after="0" w:line="240" w:lineRule="auto"/>
        <w:jc w:val="both"/>
        <w:rPr>
          <w:rFonts w:ascii="Arial" w:eastAsia="Calibri" w:hAnsi="Arial" w:cs="Arial"/>
          <w:sz w:val="20"/>
          <w:szCs w:val="20"/>
          <w:lang w:eastAsia="pt-BR"/>
        </w:rPr>
      </w:pPr>
      <w:r w:rsidRPr="00F032EF">
        <w:rPr>
          <w:rFonts w:ascii="Arial" w:eastAsia="Calibri" w:hAnsi="Arial" w:cs="Arial"/>
          <w:sz w:val="20"/>
          <w:szCs w:val="20"/>
          <w:lang w:eastAsia="pt-BR"/>
        </w:rPr>
        <w:t>        &lt;OpiniaoPrestacaoContasControleInterno&gt;9&lt;/OpiniaoPrestacaoContasControleInterno&gt;</w:t>
      </w:r>
    </w:p>
    <w:p w14:paraId="2CF62B1E" w14:textId="77777777" w:rsidR="00356B43" w:rsidRPr="00F032EF" w:rsidRDefault="00356B43" w:rsidP="00356B43">
      <w:pPr>
        <w:spacing w:after="0" w:line="240" w:lineRule="auto"/>
        <w:jc w:val="both"/>
        <w:rPr>
          <w:rFonts w:ascii="Arial" w:eastAsia="Calibri" w:hAnsi="Arial" w:cs="Arial"/>
          <w:sz w:val="20"/>
          <w:szCs w:val="20"/>
          <w:lang w:eastAsia="pt-BR"/>
        </w:rPr>
      </w:pPr>
      <w:r w:rsidRPr="00F032EF">
        <w:rPr>
          <w:rFonts w:ascii="Arial" w:eastAsia="Calibri" w:hAnsi="Arial" w:cs="Arial"/>
          <w:sz w:val="20"/>
          <w:szCs w:val="20"/>
          <w:lang w:eastAsia="pt-BR"/>
        </w:rPr>
        <w:t>     &lt;/InformacoesControleInternoEstruturaInicialUnidadeGestora&gt;</w:t>
      </w:r>
    </w:p>
    <w:p w14:paraId="7AE0ED3F" w14:textId="77777777" w:rsidR="00356B43" w:rsidRPr="00F032EF" w:rsidRDefault="00356B43" w:rsidP="00356B43">
      <w:pPr>
        <w:spacing w:after="0" w:line="240" w:lineRule="auto"/>
        <w:jc w:val="both"/>
        <w:rPr>
          <w:rFonts w:ascii="Arial" w:eastAsia="Calibri" w:hAnsi="Arial" w:cs="Arial"/>
          <w:sz w:val="20"/>
          <w:szCs w:val="20"/>
          <w:lang w:eastAsia="pt-BR"/>
        </w:rPr>
      </w:pPr>
    </w:p>
    <w:p w14:paraId="21FA7171" w14:textId="77777777" w:rsidR="00356B43" w:rsidRPr="00F032EF" w:rsidRDefault="00356B43" w:rsidP="00356B43">
      <w:pPr>
        <w:spacing w:after="0" w:line="240" w:lineRule="auto"/>
        <w:jc w:val="both"/>
        <w:rPr>
          <w:rFonts w:ascii="Arial" w:eastAsia="Calibri" w:hAnsi="Arial" w:cs="Arial"/>
          <w:sz w:val="20"/>
          <w:szCs w:val="20"/>
          <w:lang w:eastAsia="pt-BR"/>
        </w:rPr>
      </w:pPr>
      <w:r w:rsidRPr="00F032EF">
        <w:rPr>
          <w:rFonts w:ascii="Arial" w:eastAsia="Calibri" w:hAnsi="Arial" w:cs="Arial"/>
          <w:sz w:val="20"/>
          <w:szCs w:val="20"/>
          <w:lang w:eastAsia="pt-BR"/>
        </w:rPr>
        <w:t>     &lt;InformacoesControleInternoProcedimentos&gt;</w:t>
      </w:r>
    </w:p>
    <w:p w14:paraId="1FDEB0BA" w14:textId="77777777" w:rsidR="00356B43" w:rsidRPr="00F032EF" w:rsidRDefault="00356B43" w:rsidP="00356B43">
      <w:pPr>
        <w:spacing w:after="0" w:line="240" w:lineRule="auto"/>
        <w:jc w:val="both"/>
        <w:rPr>
          <w:rFonts w:ascii="Arial" w:eastAsia="Calibri" w:hAnsi="Arial" w:cs="Arial"/>
          <w:sz w:val="20"/>
          <w:szCs w:val="20"/>
          <w:lang w:eastAsia="pt-BR"/>
        </w:rPr>
      </w:pPr>
      <w:r w:rsidRPr="00F032EF">
        <w:rPr>
          <w:rFonts w:ascii="Arial" w:eastAsia="Calibri" w:hAnsi="Arial" w:cs="Arial"/>
          <w:sz w:val="20"/>
          <w:szCs w:val="20"/>
          <w:lang w:eastAsia="pt-BR"/>
        </w:rPr>
        <w:t>        &lt;IdNumRegistro&gt;99999&lt;/IdNumRegistro&gt;</w:t>
      </w:r>
    </w:p>
    <w:p w14:paraId="3D2E9DA5" w14:textId="77777777" w:rsidR="00356B43" w:rsidRPr="00F032EF" w:rsidRDefault="00356B43" w:rsidP="00356B43">
      <w:pPr>
        <w:spacing w:after="0" w:line="240" w:lineRule="auto"/>
        <w:ind w:left="426"/>
        <w:jc w:val="both"/>
        <w:rPr>
          <w:rFonts w:ascii="Arial" w:eastAsia="Calibri" w:hAnsi="Arial" w:cs="Arial"/>
          <w:sz w:val="20"/>
          <w:szCs w:val="20"/>
          <w:lang w:eastAsia="pt-BR"/>
        </w:rPr>
      </w:pPr>
      <w:r w:rsidRPr="00F032EF">
        <w:rPr>
          <w:rFonts w:ascii="Arial" w:eastAsia="Calibri" w:hAnsi="Arial" w:cs="Arial"/>
          <w:sz w:val="20"/>
          <w:szCs w:val="20"/>
          <w:lang w:eastAsia="pt-BR"/>
        </w:rPr>
        <w:t>&lt;NivelControleInterno&gt;9&lt;/NivelControleInterno&gt;</w:t>
      </w:r>
    </w:p>
    <w:p w14:paraId="4062A71F" w14:textId="77777777" w:rsidR="00356B43" w:rsidRPr="00F032EF" w:rsidRDefault="00356B43" w:rsidP="00356B43">
      <w:pPr>
        <w:spacing w:after="0" w:line="240" w:lineRule="auto"/>
        <w:ind w:left="426"/>
        <w:jc w:val="both"/>
        <w:rPr>
          <w:rFonts w:ascii="Arial" w:eastAsia="Calibri" w:hAnsi="Arial" w:cs="Arial"/>
          <w:sz w:val="20"/>
          <w:szCs w:val="20"/>
          <w:lang w:eastAsia="pt-BR"/>
        </w:rPr>
      </w:pPr>
      <w:r w:rsidRPr="00F032EF">
        <w:rPr>
          <w:rFonts w:ascii="Arial" w:eastAsia="Calibri" w:hAnsi="Arial" w:cs="Arial"/>
          <w:sz w:val="20"/>
          <w:szCs w:val="20"/>
          <w:lang w:eastAsia="pt-BR"/>
        </w:rPr>
        <w:t>&lt;CodigoUnidadeGestora&gt;XXXXXXXXXXX&lt;/CodigoUnidadeGestora&gt;</w:t>
      </w:r>
    </w:p>
    <w:p w14:paraId="23B2247C" w14:textId="77777777" w:rsidR="00356B43" w:rsidRPr="00F032EF" w:rsidRDefault="00356B43" w:rsidP="00356B43">
      <w:pPr>
        <w:spacing w:after="0" w:line="240" w:lineRule="auto"/>
        <w:jc w:val="both"/>
        <w:rPr>
          <w:rFonts w:ascii="Arial" w:eastAsia="Calibri" w:hAnsi="Arial" w:cs="Arial"/>
          <w:sz w:val="20"/>
          <w:szCs w:val="20"/>
          <w:lang w:eastAsia="pt-BR"/>
        </w:rPr>
      </w:pPr>
      <w:r w:rsidRPr="00F032EF">
        <w:rPr>
          <w:rFonts w:ascii="Arial" w:eastAsia="Calibri" w:hAnsi="Arial" w:cs="Arial"/>
          <w:sz w:val="20"/>
          <w:szCs w:val="20"/>
          <w:lang w:eastAsia="pt-BR"/>
        </w:rPr>
        <w:t>        &lt;CodigoProcedimento&gt;XXXXXX&lt;/CodigoProcedimento&gt;</w:t>
      </w:r>
    </w:p>
    <w:p w14:paraId="042E62D2" w14:textId="77777777" w:rsidR="00356B43" w:rsidRPr="00F032EF" w:rsidRDefault="00356B43" w:rsidP="00356B43">
      <w:pPr>
        <w:spacing w:after="0" w:line="240" w:lineRule="auto"/>
        <w:jc w:val="both"/>
        <w:rPr>
          <w:rFonts w:ascii="Arial" w:eastAsia="Calibri" w:hAnsi="Arial" w:cs="Arial"/>
          <w:sz w:val="20"/>
          <w:szCs w:val="20"/>
          <w:lang w:eastAsia="pt-BR"/>
        </w:rPr>
      </w:pPr>
      <w:r w:rsidRPr="00F032EF">
        <w:rPr>
          <w:rFonts w:ascii="Arial" w:eastAsia="Calibri" w:hAnsi="Arial" w:cs="Arial"/>
          <w:sz w:val="20"/>
          <w:szCs w:val="20"/>
          <w:lang w:eastAsia="pt-BR"/>
        </w:rPr>
        <w:t>        &lt;TipoPontoControle&gt;9&lt;/TipoPontoControle&gt;</w:t>
      </w:r>
    </w:p>
    <w:p w14:paraId="0291C77E" w14:textId="77777777" w:rsidR="00356B43" w:rsidRPr="00F032EF" w:rsidRDefault="00356B43" w:rsidP="00356B43">
      <w:pPr>
        <w:spacing w:after="0" w:line="240" w:lineRule="auto"/>
        <w:jc w:val="both"/>
        <w:rPr>
          <w:rFonts w:ascii="Arial" w:eastAsia="Calibri" w:hAnsi="Arial" w:cs="Arial"/>
          <w:sz w:val="20"/>
          <w:szCs w:val="20"/>
          <w:lang w:eastAsia="pt-BR"/>
        </w:rPr>
      </w:pPr>
      <w:r w:rsidRPr="00F032EF">
        <w:rPr>
          <w:rFonts w:ascii="Arial" w:eastAsia="Calibri" w:hAnsi="Arial" w:cs="Arial"/>
          <w:sz w:val="20"/>
          <w:szCs w:val="20"/>
          <w:lang w:eastAsia="pt-BR"/>
        </w:rPr>
        <w:t>        &lt;UniversoAnalisado&gt;99999&lt;/UniversoAnalisado&gt;</w:t>
      </w:r>
    </w:p>
    <w:p w14:paraId="2D9EDEE7" w14:textId="77777777" w:rsidR="00356B43" w:rsidRPr="00F032EF" w:rsidRDefault="00356B43" w:rsidP="00356B43">
      <w:pPr>
        <w:spacing w:after="0" w:line="240" w:lineRule="auto"/>
        <w:jc w:val="both"/>
        <w:rPr>
          <w:rFonts w:ascii="Arial" w:eastAsia="Calibri" w:hAnsi="Arial" w:cs="Arial"/>
          <w:sz w:val="20"/>
          <w:szCs w:val="20"/>
          <w:lang w:eastAsia="pt-BR"/>
        </w:rPr>
      </w:pPr>
      <w:r w:rsidRPr="00F032EF">
        <w:rPr>
          <w:rFonts w:ascii="Arial" w:eastAsia="Calibri" w:hAnsi="Arial" w:cs="Arial"/>
          <w:sz w:val="20"/>
          <w:szCs w:val="20"/>
          <w:lang w:eastAsia="pt-BR"/>
        </w:rPr>
        <w:t>        &lt;AmostraSelecionada&gt;99999&lt;/AmostraSelecionada&gt;</w:t>
      </w:r>
    </w:p>
    <w:p w14:paraId="42DA0B41" w14:textId="77777777" w:rsidR="00356B43" w:rsidRPr="00F032EF" w:rsidRDefault="00356B43" w:rsidP="00356B43">
      <w:pPr>
        <w:spacing w:after="0" w:line="240" w:lineRule="auto"/>
        <w:jc w:val="both"/>
        <w:rPr>
          <w:rFonts w:ascii="Arial" w:eastAsia="Calibri" w:hAnsi="Arial" w:cs="Arial"/>
          <w:sz w:val="20"/>
          <w:szCs w:val="20"/>
          <w:lang w:eastAsia="pt-BR"/>
        </w:rPr>
      </w:pPr>
      <w:r w:rsidRPr="00F032EF">
        <w:rPr>
          <w:rFonts w:ascii="Arial" w:eastAsia="Calibri" w:hAnsi="Arial" w:cs="Arial"/>
          <w:sz w:val="20"/>
          <w:szCs w:val="20"/>
          <w:lang w:eastAsia="pt-BR"/>
        </w:rPr>
        <w:t>        &lt;DescricaoAnalise&gt;XXX...XXX&lt;/DescricaoAnalise&gt;</w:t>
      </w:r>
    </w:p>
    <w:p w14:paraId="41EE8418" w14:textId="77777777" w:rsidR="00356B43" w:rsidRPr="00F032EF" w:rsidRDefault="00356B43" w:rsidP="00356B43">
      <w:pPr>
        <w:spacing w:after="0" w:line="240" w:lineRule="auto"/>
        <w:jc w:val="both"/>
        <w:rPr>
          <w:rFonts w:ascii="Arial" w:eastAsia="Calibri" w:hAnsi="Arial" w:cs="Arial"/>
          <w:sz w:val="20"/>
          <w:szCs w:val="20"/>
          <w:lang w:eastAsia="pt-BR"/>
        </w:rPr>
      </w:pPr>
      <w:r w:rsidRPr="00F032EF">
        <w:rPr>
          <w:rFonts w:ascii="Arial" w:eastAsia="Calibri" w:hAnsi="Arial" w:cs="Arial"/>
          <w:sz w:val="20"/>
          <w:szCs w:val="20"/>
          <w:lang w:eastAsia="pt-BR"/>
        </w:rPr>
        <w:t>        &lt;TipoProcedimentoAnalisado&gt;9&lt;/TipoProcedimentoAnalisado&gt;</w:t>
      </w:r>
    </w:p>
    <w:p w14:paraId="764E717F" w14:textId="77777777" w:rsidR="00356B43" w:rsidRPr="00F032EF" w:rsidRDefault="00356B43" w:rsidP="00356B43">
      <w:pPr>
        <w:spacing w:after="0" w:line="240" w:lineRule="auto"/>
        <w:jc w:val="both"/>
        <w:rPr>
          <w:rFonts w:ascii="Arial" w:eastAsia="Calibri" w:hAnsi="Arial" w:cs="Arial"/>
          <w:sz w:val="20"/>
          <w:szCs w:val="20"/>
          <w:lang w:eastAsia="pt-BR"/>
        </w:rPr>
      </w:pPr>
      <w:r w:rsidRPr="00F032EF">
        <w:rPr>
          <w:rFonts w:ascii="Arial" w:eastAsia="Calibri" w:hAnsi="Arial" w:cs="Arial"/>
          <w:sz w:val="20"/>
          <w:szCs w:val="20"/>
          <w:lang w:eastAsia="pt-BR"/>
        </w:rPr>
        <w:t>        &lt;SituacaoAnalise&gt;9&lt;/SituacaoAnalise&gt;</w:t>
      </w:r>
    </w:p>
    <w:p w14:paraId="3A64FABD" w14:textId="77777777" w:rsidR="00356B43" w:rsidRPr="00F032EF" w:rsidRDefault="00356B43" w:rsidP="00356B43">
      <w:pPr>
        <w:spacing w:after="0" w:line="240" w:lineRule="auto"/>
        <w:jc w:val="both"/>
        <w:rPr>
          <w:rFonts w:ascii="Arial" w:eastAsia="Calibri" w:hAnsi="Arial" w:cs="Arial"/>
          <w:sz w:val="20"/>
          <w:szCs w:val="20"/>
          <w:lang w:eastAsia="pt-BR"/>
        </w:rPr>
      </w:pPr>
      <w:r w:rsidRPr="00F032EF">
        <w:rPr>
          <w:rFonts w:ascii="Arial" w:eastAsia="Calibri" w:hAnsi="Arial" w:cs="Arial"/>
          <w:sz w:val="20"/>
          <w:szCs w:val="20"/>
          <w:lang w:eastAsia="pt-BR"/>
        </w:rPr>
        <w:t>     &lt;/InformacoesControleInternoProcedimentosUnidadeGestora&gt;</w:t>
      </w:r>
    </w:p>
    <w:p w14:paraId="4EF40A30" w14:textId="77777777" w:rsidR="00356B43" w:rsidRPr="00F032EF" w:rsidRDefault="00356B43" w:rsidP="00356B43">
      <w:pPr>
        <w:spacing w:after="0" w:line="240" w:lineRule="auto"/>
        <w:jc w:val="both"/>
        <w:rPr>
          <w:rFonts w:ascii="Arial" w:eastAsia="Calibri" w:hAnsi="Arial" w:cs="Arial"/>
          <w:sz w:val="20"/>
          <w:szCs w:val="20"/>
          <w:lang w:eastAsia="pt-BR"/>
        </w:rPr>
      </w:pPr>
    </w:p>
    <w:p w14:paraId="0337B200" w14:textId="77777777" w:rsidR="00356B43" w:rsidRPr="00F032EF" w:rsidRDefault="00356B43" w:rsidP="00356B43">
      <w:pPr>
        <w:spacing w:after="0" w:line="240" w:lineRule="auto"/>
        <w:jc w:val="both"/>
        <w:rPr>
          <w:rFonts w:ascii="Arial" w:eastAsia="Calibri" w:hAnsi="Arial" w:cs="Arial"/>
          <w:sz w:val="20"/>
          <w:szCs w:val="20"/>
          <w:lang w:eastAsia="pt-BR"/>
        </w:rPr>
      </w:pPr>
      <w:r w:rsidRPr="00F032EF">
        <w:rPr>
          <w:rFonts w:ascii="Arial" w:eastAsia="Calibri" w:hAnsi="Arial" w:cs="Arial"/>
          <w:sz w:val="20"/>
          <w:szCs w:val="20"/>
          <w:lang w:eastAsia="pt-BR"/>
        </w:rPr>
        <w:t>     &lt;InformacoesControleInternoTomadaContasEspecial&gt;</w:t>
      </w:r>
    </w:p>
    <w:p w14:paraId="0AB46652" w14:textId="77777777" w:rsidR="00356B43" w:rsidRPr="00F032EF" w:rsidRDefault="00356B43" w:rsidP="00356B43">
      <w:pPr>
        <w:spacing w:after="0" w:line="240" w:lineRule="auto"/>
        <w:jc w:val="both"/>
        <w:rPr>
          <w:rFonts w:ascii="Arial" w:eastAsia="Calibri" w:hAnsi="Arial" w:cs="Arial"/>
          <w:sz w:val="20"/>
          <w:szCs w:val="20"/>
          <w:lang w:eastAsia="pt-BR"/>
        </w:rPr>
      </w:pPr>
      <w:r w:rsidRPr="00F032EF">
        <w:rPr>
          <w:rFonts w:ascii="Arial" w:eastAsia="Calibri" w:hAnsi="Arial" w:cs="Arial"/>
          <w:sz w:val="20"/>
          <w:szCs w:val="20"/>
          <w:lang w:eastAsia="pt-BR"/>
        </w:rPr>
        <w:t>        &lt;IdNumRegistro&gt;99999&lt;/IdNumRegistro&gt;</w:t>
      </w:r>
    </w:p>
    <w:p w14:paraId="45C613BC" w14:textId="77777777" w:rsidR="00356B43" w:rsidRPr="00F032EF" w:rsidRDefault="00356B43" w:rsidP="00356B43">
      <w:pPr>
        <w:spacing w:after="0" w:line="240" w:lineRule="auto"/>
        <w:ind w:left="426"/>
        <w:jc w:val="both"/>
        <w:rPr>
          <w:rFonts w:ascii="Arial" w:eastAsia="Calibri" w:hAnsi="Arial" w:cs="Arial"/>
          <w:sz w:val="20"/>
          <w:szCs w:val="20"/>
          <w:lang w:eastAsia="pt-BR"/>
        </w:rPr>
      </w:pPr>
      <w:r w:rsidRPr="00F032EF">
        <w:rPr>
          <w:rFonts w:ascii="Arial" w:eastAsia="Calibri" w:hAnsi="Arial" w:cs="Arial"/>
          <w:sz w:val="20"/>
          <w:szCs w:val="20"/>
          <w:lang w:eastAsia="pt-BR"/>
        </w:rPr>
        <w:t>&lt;CodigoUnidadeGestora&gt;XXXXXXXXXXX&lt;/CodigoUnidadeGestora&gt;</w:t>
      </w:r>
    </w:p>
    <w:p w14:paraId="5AEFE9C1" w14:textId="77777777" w:rsidR="00356B43" w:rsidRPr="00F032EF" w:rsidRDefault="00356B43" w:rsidP="00356B43">
      <w:pPr>
        <w:spacing w:after="0" w:line="240" w:lineRule="auto"/>
        <w:jc w:val="both"/>
        <w:rPr>
          <w:rFonts w:ascii="Arial" w:eastAsia="Calibri" w:hAnsi="Arial" w:cs="Arial"/>
          <w:sz w:val="20"/>
          <w:szCs w:val="20"/>
          <w:lang w:eastAsia="pt-BR"/>
        </w:rPr>
      </w:pPr>
      <w:r w:rsidRPr="00F032EF">
        <w:rPr>
          <w:rFonts w:ascii="Arial" w:eastAsia="Calibri" w:hAnsi="Arial" w:cs="Arial"/>
          <w:sz w:val="20"/>
          <w:szCs w:val="20"/>
          <w:lang w:eastAsia="pt-BR"/>
        </w:rPr>
        <w:t>        &lt;Processo&gt;XXXXXX&lt;/Processo&gt;</w:t>
      </w:r>
    </w:p>
    <w:p w14:paraId="40E77332" w14:textId="77777777" w:rsidR="00356B43" w:rsidRPr="00F032EF" w:rsidRDefault="00356B43" w:rsidP="00356B43">
      <w:pPr>
        <w:spacing w:after="0" w:line="240" w:lineRule="auto"/>
        <w:jc w:val="both"/>
        <w:rPr>
          <w:rFonts w:ascii="Arial" w:eastAsia="Calibri" w:hAnsi="Arial" w:cs="Arial"/>
          <w:sz w:val="20"/>
          <w:szCs w:val="20"/>
          <w:lang w:eastAsia="pt-BR"/>
        </w:rPr>
      </w:pPr>
      <w:r w:rsidRPr="00F032EF">
        <w:rPr>
          <w:rFonts w:ascii="Arial" w:eastAsia="Calibri" w:hAnsi="Arial" w:cs="Arial"/>
          <w:sz w:val="20"/>
          <w:szCs w:val="20"/>
          <w:lang w:eastAsia="pt-BR"/>
        </w:rPr>
        <w:t>        &lt;AnoProcesso&gt;9999&lt;/AnoProcesso&gt;</w:t>
      </w:r>
    </w:p>
    <w:p w14:paraId="0A3B1617" w14:textId="77777777" w:rsidR="00356B43" w:rsidRPr="00F032EF" w:rsidRDefault="00356B43" w:rsidP="00356B43">
      <w:pPr>
        <w:spacing w:after="0" w:line="240" w:lineRule="auto"/>
        <w:jc w:val="both"/>
        <w:rPr>
          <w:rFonts w:ascii="Arial" w:eastAsia="Calibri" w:hAnsi="Arial" w:cs="Arial"/>
          <w:sz w:val="20"/>
          <w:szCs w:val="20"/>
          <w:lang w:eastAsia="pt-BR"/>
        </w:rPr>
      </w:pPr>
      <w:r w:rsidRPr="00F032EF">
        <w:rPr>
          <w:rFonts w:ascii="Arial" w:eastAsia="Calibri" w:hAnsi="Arial" w:cs="Arial"/>
          <w:sz w:val="20"/>
          <w:szCs w:val="20"/>
          <w:lang w:eastAsia="pt-BR"/>
        </w:rPr>
        <w:t>        &lt;FatoMotivo&gt;9&lt;/FatoMotivo&gt;</w:t>
      </w:r>
    </w:p>
    <w:p w14:paraId="17CB2A6D" w14:textId="77777777" w:rsidR="00356B43" w:rsidRPr="00F032EF" w:rsidRDefault="00356B43" w:rsidP="00356B43">
      <w:pPr>
        <w:spacing w:after="0" w:line="240" w:lineRule="auto"/>
        <w:jc w:val="both"/>
        <w:rPr>
          <w:rFonts w:ascii="Arial" w:eastAsia="Calibri" w:hAnsi="Arial" w:cs="Arial"/>
          <w:sz w:val="20"/>
          <w:szCs w:val="20"/>
          <w:lang w:eastAsia="pt-BR"/>
        </w:rPr>
      </w:pPr>
      <w:r w:rsidRPr="00F032EF">
        <w:rPr>
          <w:rFonts w:ascii="Arial" w:eastAsia="Calibri" w:hAnsi="Arial" w:cs="Arial"/>
          <w:sz w:val="20"/>
          <w:szCs w:val="20"/>
          <w:lang w:eastAsia="pt-BR"/>
        </w:rPr>
        <w:t>        &lt;DataCiencia&gt;9999-99-99&lt;/DataCiencia&gt;</w:t>
      </w:r>
    </w:p>
    <w:p w14:paraId="682768AB" w14:textId="77777777" w:rsidR="00356B43" w:rsidRPr="00F032EF" w:rsidRDefault="00356B43" w:rsidP="00356B43">
      <w:pPr>
        <w:spacing w:after="0" w:line="240" w:lineRule="auto"/>
        <w:jc w:val="both"/>
        <w:rPr>
          <w:rFonts w:ascii="Arial" w:eastAsia="Calibri" w:hAnsi="Arial" w:cs="Arial"/>
          <w:sz w:val="20"/>
          <w:szCs w:val="20"/>
          <w:lang w:eastAsia="pt-BR"/>
        </w:rPr>
      </w:pPr>
      <w:r w:rsidRPr="00F032EF">
        <w:rPr>
          <w:rFonts w:ascii="Arial" w:eastAsia="Calibri" w:hAnsi="Arial" w:cs="Arial"/>
          <w:sz w:val="20"/>
          <w:szCs w:val="20"/>
          <w:lang w:eastAsia="pt-BR"/>
        </w:rPr>
        <w:t>        &lt;DataInstauracao&gt;9999-99-99&lt;/DataInstauracao&gt;</w:t>
      </w:r>
    </w:p>
    <w:p w14:paraId="4AE7567D" w14:textId="77777777" w:rsidR="00356B43" w:rsidRPr="00F032EF" w:rsidRDefault="00356B43" w:rsidP="00356B43">
      <w:pPr>
        <w:spacing w:after="0" w:line="240" w:lineRule="auto"/>
        <w:jc w:val="both"/>
        <w:rPr>
          <w:rFonts w:ascii="Arial" w:eastAsia="Calibri" w:hAnsi="Arial" w:cs="Arial"/>
          <w:sz w:val="20"/>
          <w:szCs w:val="20"/>
          <w:lang w:eastAsia="pt-BR"/>
        </w:rPr>
      </w:pPr>
      <w:r w:rsidRPr="00F032EF">
        <w:rPr>
          <w:rFonts w:ascii="Arial" w:eastAsia="Calibri" w:hAnsi="Arial" w:cs="Arial"/>
          <w:sz w:val="20"/>
          <w:szCs w:val="20"/>
          <w:lang w:eastAsia="pt-BR"/>
        </w:rPr>
        <w:t>        &lt;DataEnvioTribunalContas&gt;9999-99-99&lt;/DataEnvioTribunalContas&gt;</w:t>
      </w:r>
    </w:p>
    <w:p w14:paraId="27EDE89B" w14:textId="77777777" w:rsidR="00356B43" w:rsidRPr="00F032EF" w:rsidRDefault="00356B43" w:rsidP="00356B43">
      <w:pPr>
        <w:spacing w:after="0" w:line="240" w:lineRule="auto"/>
        <w:jc w:val="both"/>
        <w:rPr>
          <w:rFonts w:ascii="Arial" w:eastAsia="Calibri" w:hAnsi="Arial" w:cs="Arial"/>
          <w:sz w:val="20"/>
          <w:szCs w:val="20"/>
          <w:lang w:eastAsia="pt-BR"/>
        </w:rPr>
      </w:pPr>
      <w:r w:rsidRPr="00F032EF">
        <w:rPr>
          <w:rFonts w:ascii="Arial" w:eastAsia="Calibri" w:hAnsi="Arial" w:cs="Arial"/>
          <w:sz w:val="20"/>
          <w:szCs w:val="20"/>
          <w:lang w:eastAsia="pt-BR"/>
        </w:rPr>
        <w:t>        &lt;ValorDebito&gt;99999999999999.99&lt;/ValorDebito&gt;</w:t>
      </w:r>
    </w:p>
    <w:p w14:paraId="6D014B10" w14:textId="77777777" w:rsidR="00356B43" w:rsidRPr="00F032EF" w:rsidRDefault="00356B43" w:rsidP="00356B43">
      <w:pPr>
        <w:spacing w:after="0" w:line="240" w:lineRule="auto"/>
        <w:jc w:val="both"/>
        <w:rPr>
          <w:rFonts w:ascii="Arial" w:eastAsia="Calibri" w:hAnsi="Arial" w:cs="Arial"/>
          <w:sz w:val="20"/>
          <w:szCs w:val="20"/>
          <w:lang w:eastAsia="pt-BR"/>
        </w:rPr>
      </w:pPr>
      <w:r w:rsidRPr="00F032EF">
        <w:rPr>
          <w:rFonts w:ascii="Arial" w:eastAsia="Calibri" w:hAnsi="Arial" w:cs="Arial"/>
          <w:sz w:val="20"/>
          <w:szCs w:val="20"/>
          <w:lang w:eastAsia="pt-BR"/>
        </w:rPr>
        <w:t>        &lt;SituacaoEm31do12&gt;9&lt;/ SituacaoEm31do12&gt;</w:t>
      </w:r>
    </w:p>
    <w:p w14:paraId="65A98CF6" w14:textId="77777777" w:rsidR="00356B43" w:rsidRPr="00F032EF" w:rsidRDefault="00356B43" w:rsidP="00356B43">
      <w:pPr>
        <w:spacing w:after="0" w:line="240" w:lineRule="auto"/>
        <w:jc w:val="both"/>
        <w:rPr>
          <w:rFonts w:ascii="Arial" w:eastAsia="Calibri" w:hAnsi="Arial" w:cs="Arial"/>
          <w:sz w:val="20"/>
          <w:szCs w:val="20"/>
          <w:lang w:eastAsia="pt-BR"/>
        </w:rPr>
      </w:pPr>
      <w:r w:rsidRPr="00F032EF">
        <w:rPr>
          <w:rFonts w:ascii="Arial" w:eastAsia="Calibri" w:hAnsi="Arial" w:cs="Arial"/>
          <w:sz w:val="20"/>
          <w:szCs w:val="20"/>
          <w:lang w:eastAsia="pt-BR"/>
        </w:rPr>
        <w:t>        &lt;MotivoBaixaDebito&gt;9&lt;/MotivoBaixaDebito&gt;</w:t>
      </w:r>
    </w:p>
    <w:p w14:paraId="3491A5CA" w14:textId="77777777" w:rsidR="00356B43" w:rsidRPr="00F032EF" w:rsidRDefault="00356B43" w:rsidP="00356B43">
      <w:pPr>
        <w:spacing w:after="0" w:line="240" w:lineRule="auto"/>
        <w:jc w:val="both"/>
        <w:rPr>
          <w:rFonts w:ascii="Arial" w:eastAsia="Calibri" w:hAnsi="Arial" w:cs="Arial"/>
          <w:sz w:val="20"/>
          <w:szCs w:val="20"/>
          <w:lang w:eastAsia="pt-BR"/>
        </w:rPr>
      </w:pPr>
      <w:r w:rsidRPr="00F032EF">
        <w:rPr>
          <w:rFonts w:ascii="Arial" w:eastAsia="Calibri" w:hAnsi="Arial" w:cs="Arial"/>
          <w:sz w:val="20"/>
          <w:szCs w:val="20"/>
          <w:lang w:eastAsia="pt-BR"/>
        </w:rPr>
        <w:t>     &lt;/InformacoesControleInternoTomadaContasEspecial &gt;</w:t>
      </w:r>
    </w:p>
    <w:p w14:paraId="529209DA" w14:textId="77777777" w:rsidR="00356B43" w:rsidRPr="00F032EF" w:rsidRDefault="00356B43" w:rsidP="00356B43">
      <w:pPr>
        <w:spacing w:after="0" w:line="240" w:lineRule="auto"/>
        <w:jc w:val="both"/>
        <w:rPr>
          <w:rFonts w:ascii="Arial" w:eastAsia="Calibri" w:hAnsi="Arial" w:cs="Arial"/>
          <w:sz w:val="20"/>
          <w:szCs w:val="20"/>
          <w:lang w:eastAsia="pt-BR"/>
        </w:rPr>
      </w:pPr>
    </w:p>
    <w:p w14:paraId="4790D75F" w14:textId="77777777" w:rsidR="00356B43" w:rsidRPr="00F032EF" w:rsidRDefault="00356B43" w:rsidP="00356B43">
      <w:pPr>
        <w:spacing w:after="0" w:line="240" w:lineRule="auto"/>
        <w:jc w:val="both"/>
        <w:rPr>
          <w:rFonts w:ascii="Arial" w:eastAsia="Calibri" w:hAnsi="Arial" w:cs="Arial"/>
          <w:sz w:val="20"/>
          <w:szCs w:val="20"/>
          <w:lang w:eastAsia="pt-BR"/>
        </w:rPr>
      </w:pPr>
      <w:r w:rsidRPr="00F032EF">
        <w:rPr>
          <w:rFonts w:ascii="Arial" w:eastAsia="Calibri" w:hAnsi="Arial" w:cs="Arial"/>
          <w:sz w:val="20"/>
          <w:szCs w:val="20"/>
          <w:lang w:eastAsia="pt-BR"/>
        </w:rPr>
        <w:t>&lt;/InformacoesControleInterno_Schema&gt;</w:t>
      </w:r>
    </w:p>
    <w:p w14:paraId="5A808012" w14:textId="1652F9DF" w:rsidR="00B6205E" w:rsidRPr="00F032EF" w:rsidRDefault="00356B43" w:rsidP="005653DB">
      <w:pPr>
        <w:autoSpaceDE w:val="0"/>
        <w:autoSpaceDN w:val="0"/>
        <w:adjustRightInd w:val="0"/>
        <w:spacing w:after="0" w:line="240" w:lineRule="auto"/>
        <w:jc w:val="both"/>
        <w:rPr>
          <w:rFonts w:ascii="Arial" w:hAnsi="Arial" w:cs="Arial"/>
          <w:sz w:val="20"/>
          <w:szCs w:val="20"/>
        </w:rPr>
      </w:pPr>
      <w:r w:rsidRPr="00F032EF">
        <w:rPr>
          <w:rFonts w:ascii="Arial" w:eastAsia="Calibri" w:hAnsi="Arial" w:cs="Arial"/>
          <w:sz w:val="20"/>
          <w:szCs w:val="20"/>
          <w:lang w:eastAsia="pt-BR"/>
        </w:rPr>
        <w:t>&lt;/PrestacaoContasAnual&gt;</w:t>
      </w:r>
    </w:p>
    <w:p w14:paraId="2EE494C5" w14:textId="122C152C" w:rsidR="00B6205E" w:rsidRDefault="00B6205E" w:rsidP="005653DB">
      <w:pPr>
        <w:autoSpaceDE w:val="0"/>
        <w:autoSpaceDN w:val="0"/>
        <w:adjustRightInd w:val="0"/>
        <w:spacing w:after="0" w:line="240" w:lineRule="auto"/>
        <w:jc w:val="both"/>
        <w:rPr>
          <w:rFonts w:ascii="Arial" w:hAnsi="Arial" w:cs="Arial"/>
          <w:sz w:val="20"/>
          <w:szCs w:val="20"/>
        </w:rPr>
      </w:pPr>
    </w:p>
    <w:p w14:paraId="4034F706" w14:textId="08489EBC" w:rsidR="00B6205E" w:rsidRDefault="00B6205E" w:rsidP="005653DB">
      <w:pPr>
        <w:autoSpaceDE w:val="0"/>
        <w:autoSpaceDN w:val="0"/>
        <w:adjustRightInd w:val="0"/>
        <w:spacing w:after="0" w:line="240" w:lineRule="auto"/>
        <w:jc w:val="both"/>
        <w:rPr>
          <w:rFonts w:ascii="Arial" w:hAnsi="Arial" w:cs="Arial"/>
          <w:sz w:val="20"/>
          <w:szCs w:val="20"/>
        </w:rPr>
      </w:pPr>
    </w:p>
    <w:tbl>
      <w:tblPr>
        <w:tblW w:w="9493" w:type="dxa"/>
        <w:tblCellMar>
          <w:left w:w="70" w:type="dxa"/>
          <w:right w:w="70" w:type="dxa"/>
        </w:tblCellMar>
        <w:tblLook w:val="04A0" w:firstRow="1" w:lastRow="0" w:firstColumn="1" w:lastColumn="0" w:noHBand="0" w:noVBand="1"/>
      </w:tblPr>
      <w:tblGrid>
        <w:gridCol w:w="4248"/>
        <w:gridCol w:w="1112"/>
        <w:gridCol w:w="1298"/>
        <w:gridCol w:w="2835"/>
      </w:tblGrid>
      <w:tr w:rsidR="00F032EF" w:rsidRPr="00F032EF" w14:paraId="444C9472" w14:textId="77777777" w:rsidTr="002049F4">
        <w:trPr>
          <w:trHeight w:val="255"/>
        </w:trPr>
        <w:tc>
          <w:tcPr>
            <w:tcW w:w="4248" w:type="dxa"/>
            <w:tcBorders>
              <w:top w:val="single" w:sz="4" w:space="0" w:color="auto"/>
              <w:left w:val="single" w:sz="4" w:space="0" w:color="auto"/>
              <w:bottom w:val="single" w:sz="4" w:space="0" w:color="auto"/>
              <w:right w:val="single" w:sz="4" w:space="0" w:color="auto"/>
            </w:tcBorders>
            <w:shd w:val="clear" w:color="000000" w:fill="C0C0C0"/>
            <w:vAlign w:val="center"/>
            <w:hideMark/>
          </w:tcPr>
          <w:p w14:paraId="703F59A1" w14:textId="77777777" w:rsidR="002F3813" w:rsidRPr="00F032EF" w:rsidRDefault="002F3813" w:rsidP="002049F4">
            <w:pPr>
              <w:spacing w:after="0" w:line="240" w:lineRule="auto"/>
              <w:jc w:val="center"/>
              <w:rPr>
                <w:rFonts w:ascii="Arial" w:eastAsia="Times New Roman" w:hAnsi="Arial" w:cs="Arial"/>
                <w:b/>
                <w:bCs/>
                <w:sz w:val="20"/>
                <w:szCs w:val="20"/>
                <w:lang w:eastAsia="pt-BR"/>
              </w:rPr>
            </w:pPr>
            <w:r w:rsidRPr="00F032EF">
              <w:rPr>
                <w:rFonts w:ascii="Arial" w:eastAsia="Times New Roman" w:hAnsi="Arial" w:cs="Arial"/>
                <w:b/>
                <w:bCs/>
                <w:sz w:val="20"/>
                <w:szCs w:val="20"/>
                <w:lang w:eastAsia="pt-BR"/>
              </w:rPr>
              <w:t>Campo</w:t>
            </w:r>
          </w:p>
        </w:tc>
        <w:tc>
          <w:tcPr>
            <w:tcW w:w="1112" w:type="dxa"/>
            <w:tcBorders>
              <w:top w:val="single" w:sz="4" w:space="0" w:color="auto"/>
              <w:left w:val="nil"/>
              <w:bottom w:val="single" w:sz="4" w:space="0" w:color="auto"/>
              <w:right w:val="single" w:sz="4" w:space="0" w:color="auto"/>
            </w:tcBorders>
            <w:shd w:val="clear" w:color="000000" w:fill="C0C0C0"/>
            <w:vAlign w:val="center"/>
            <w:hideMark/>
          </w:tcPr>
          <w:p w14:paraId="495E75EA" w14:textId="77777777" w:rsidR="002F3813" w:rsidRPr="00F032EF" w:rsidRDefault="002F3813" w:rsidP="002049F4">
            <w:pPr>
              <w:spacing w:after="0" w:line="240" w:lineRule="auto"/>
              <w:jc w:val="center"/>
              <w:rPr>
                <w:rFonts w:ascii="Arial" w:eastAsia="Times New Roman" w:hAnsi="Arial" w:cs="Arial"/>
                <w:b/>
                <w:bCs/>
                <w:sz w:val="20"/>
                <w:szCs w:val="20"/>
                <w:lang w:eastAsia="pt-BR"/>
              </w:rPr>
            </w:pPr>
            <w:r w:rsidRPr="00F032EF">
              <w:rPr>
                <w:rFonts w:ascii="Arial" w:eastAsia="Times New Roman" w:hAnsi="Arial" w:cs="Arial"/>
                <w:b/>
                <w:bCs/>
                <w:sz w:val="20"/>
                <w:szCs w:val="20"/>
                <w:lang w:eastAsia="pt-BR"/>
              </w:rPr>
              <w:t>Tipo</w:t>
            </w:r>
          </w:p>
        </w:tc>
        <w:tc>
          <w:tcPr>
            <w:tcW w:w="1298" w:type="dxa"/>
            <w:tcBorders>
              <w:top w:val="single" w:sz="4" w:space="0" w:color="auto"/>
              <w:left w:val="nil"/>
              <w:bottom w:val="single" w:sz="4" w:space="0" w:color="auto"/>
              <w:right w:val="single" w:sz="4" w:space="0" w:color="auto"/>
            </w:tcBorders>
            <w:shd w:val="clear" w:color="000000" w:fill="C0C0C0"/>
            <w:vAlign w:val="center"/>
            <w:hideMark/>
          </w:tcPr>
          <w:p w14:paraId="47DE78BC" w14:textId="77777777" w:rsidR="002F3813" w:rsidRPr="00F032EF" w:rsidRDefault="002F3813" w:rsidP="002049F4">
            <w:pPr>
              <w:spacing w:after="0" w:line="240" w:lineRule="auto"/>
              <w:jc w:val="center"/>
              <w:rPr>
                <w:rFonts w:ascii="Arial" w:eastAsia="Times New Roman" w:hAnsi="Arial" w:cs="Arial"/>
                <w:b/>
                <w:bCs/>
                <w:sz w:val="20"/>
                <w:szCs w:val="20"/>
                <w:lang w:eastAsia="pt-BR"/>
              </w:rPr>
            </w:pPr>
            <w:r w:rsidRPr="00F032EF">
              <w:rPr>
                <w:rFonts w:ascii="Arial" w:eastAsia="Times New Roman" w:hAnsi="Arial" w:cs="Arial"/>
                <w:b/>
                <w:bCs/>
                <w:sz w:val="20"/>
                <w:szCs w:val="20"/>
                <w:lang w:eastAsia="pt-BR"/>
              </w:rPr>
              <w:t>Tamanho</w:t>
            </w:r>
          </w:p>
        </w:tc>
        <w:tc>
          <w:tcPr>
            <w:tcW w:w="2835" w:type="dxa"/>
            <w:tcBorders>
              <w:top w:val="single" w:sz="4" w:space="0" w:color="auto"/>
              <w:left w:val="nil"/>
              <w:bottom w:val="single" w:sz="4" w:space="0" w:color="auto"/>
              <w:right w:val="single" w:sz="4" w:space="0" w:color="auto"/>
            </w:tcBorders>
            <w:shd w:val="clear" w:color="000000" w:fill="C0C0C0"/>
            <w:vAlign w:val="center"/>
            <w:hideMark/>
          </w:tcPr>
          <w:p w14:paraId="3CCA9F43" w14:textId="77777777" w:rsidR="002F3813" w:rsidRPr="00F032EF" w:rsidRDefault="002F3813" w:rsidP="002049F4">
            <w:pPr>
              <w:spacing w:after="0" w:line="240" w:lineRule="auto"/>
              <w:jc w:val="center"/>
              <w:rPr>
                <w:rFonts w:ascii="Arial" w:eastAsia="Times New Roman" w:hAnsi="Arial" w:cs="Arial"/>
                <w:b/>
                <w:bCs/>
                <w:sz w:val="20"/>
                <w:szCs w:val="20"/>
                <w:lang w:eastAsia="pt-BR"/>
              </w:rPr>
            </w:pPr>
            <w:r w:rsidRPr="00F032EF">
              <w:rPr>
                <w:rFonts w:ascii="Arial" w:eastAsia="Times New Roman" w:hAnsi="Arial" w:cs="Arial"/>
                <w:b/>
                <w:bCs/>
                <w:sz w:val="20"/>
                <w:szCs w:val="20"/>
                <w:lang w:eastAsia="pt-BR"/>
              </w:rPr>
              <w:t>Obrigatoriedade</w:t>
            </w:r>
          </w:p>
        </w:tc>
      </w:tr>
      <w:tr w:rsidR="00F032EF" w:rsidRPr="00F032EF" w14:paraId="7DFF5D52" w14:textId="77777777" w:rsidTr="002049F4">
        <w:trPr>
          <w:trHeight w:val="600"/>
        </w:trPr>
        <w:tc>
          <w:tcPr>
            <w:tcW w:w="9493" w:type="dxa"/>
            <w:gridSpan w:val="4"/>
            <w:tcBorders>
              <w:top w:val="single" w:sz="4" w:space="0" w:color="auto"/>
              <w:left w:val="single" w:sz="4" w:space="0" w:color="auto"/>
              <w:bottom w:val="single" w:sz="4" w:space="0" w:color="auto"/>
              <w:right w:val="single" w:sz="4" w:space="0" w:color="auto"/>
            </w:tcBorders>
            <w:shd w:val="clear" w:color="000000" w:fill="BFBFBF"/>
            <w:vAlign w:val="center"/>
            <w:hideMark/>
          </w:tcPr>
          <w:p w14:paraId="48E7C1B7" w14:textId="77777777" w:rsidR="002F3813" w:rsidRPr="00F032EF" w:rsidRDefault="002F3813" w:rsidP="002049F4">
            <w:pPr>
              <w:spacing w:after="0" w:line="240" w:lineRule="auto"/>
              <w:jc w:val="center"/>
              <w:rPr>
                <w:rFonts w:ascii="Arial" w:eastAsia="Times New Roman" w:hAnsi="Arial" w:cs="Arial"/>
                <w:b/>
                <w:bCs/>
                <w:sz w:val="20"/>
                <w:szCs w:val="20"/>
                <w:lang w:eastAsia="pt-BR"/>
              </w:rPr>
            </w:pPr>
            <w:r w:rsidRPr="00F032EF">
              <w:rPr>
                <w:rFonts w:ascii="Arial" w:eastAsia="Times New Roman" w:hAnsi="Arial" w:cs="Arial"/>
                <w:b/>
                <w:bCs/>
                <w:sz w:val="20"/>
                <w:szCs w:val="20"/>
                <w:lang w:eastAsia="pt-BR"/>
              </w:rPr>
              <w:t>Estrutura ‘InformacoesControleInternoEstruturaInicial’</w:t>
            </w:r>
          </w:p>
        </w:tc>
      </w:tr>
      <w:tr w:rsidR="00F032EF" w:rsidRPr="00F032EF" w14:paraId="4A1AD7E2" w14:textId="77777777" w:rsidTr="002049F4">
        <w:trPr>
          <w:trHeight w:val="402"/>
        </w:trPr>
        <w:tc>
          <w:tcPr>
            <w:tcW w:w="4248" w:type="dxa"/>
            <w:tcBorders>
              <w:top w:val="nil"/>
              <w:left w:val="single" w:sz="4" w:space="0" w:color="auto"/>
              <w:bottom w:val="single" w:sz="4" w:space="0" w:color="auto"/>
              <w:right w:val="single" w:sz="4" w:space="0" w:color="auto"/>
            </w:tcBorders>
            <w:shd w:val="clear" w:color="auto" w:fill="auto"/>
            <w:vAlign w:val="center"/>
            <w:hideMark/>
          </w:tcPr>
          <w:p w14:paraId="48AC1CCF" w14:textId="77777777" w:rsidR="002F3813" w:rsidRPr="00F032EF" w:rsidRDefault="002F3813" w:rsidP="002049F4">
            <w:pPr>
              <w:spacing w:after="0" w:line="240" w:lineRule="auto"/>
              <w:rPr>
                <w:rFonts w:ascii="Arial" w:eastAsia="Times New Roman" w:hAnsi="Arial" w:cs="Arial"/>
                <w:sz w:val="20"/>
                <w:szCs w:val="20"/>
                <w:lang w:eastAsia="pt-BR"/>
              </w:rPr>
            </w:pPr>
            <w:r w:rsidRPr="00F032EF">
              <w:rPr>
                <w:rFonts w:ascii="Arial" w:eastAsia="Times New Roman" w:hAnsi="Arial" w:cs="Arial"/>
                <w:sz w:val="20"/>
                <w:szCs w:val="20"/>
                <w:lang w:eastAsia="pt-BR"/>
              </w:rPr>
              <w:t>Identificação do Número do Registro</w:t>
            </w:r>
          </w:p>
        </w:tc>
        <w:tc>
          <w:tcPr>
            <w:tcW w:w="1112" w:type="dxa"/>
            <w:tcBorders>
              <w:top w:val="nil"/>
              <w:left w:val="nil"/>
              <w:bottom w:val="single" w:sz="4" w:space="0" w:color="auto"/>
              <w:right w:val="single" w:sz="4" w:space="0" w:color="auto"/>
            </w:tcBorders>
            <w:shd w:val="clear" w:color="auto" w:fill="auto"/>
            <w:vAlign w:val="center"/>
            <w:hideMark/>
          </w:tcPr>
          <w:p w14:paraId="0DD9FB28" w14:textId="77777777" w:rsidR="002F3813" w:rsidRPr="00F032EF" w:rsidRDefault="002F3813" w:rsidP="002049F4">
            <w:pPr>
              <w:spacing w:after="0" w:line="240" w:lineRule="auto"/>
              <w:jc w:val="center"/>
              <w:rPr>
                <w:rFonts w:ascii="Arial" w:eastAsia="Times New Roman" w:hAnsi="Arial" w:cs="Arial"/>
                <w:sz w:val="20"/>
                <w:szCs w:val="20"/>
                <w:lang w:eastAsia="pt-BR"/>
              </w:rPr>
            </w:pPr>
            <w:r w:rsidRPr="00F032EF">
              <w:rPr>
                <w:rFonts w:ascii="Arial" w:eastAsia="Times New Roman" w:hAnsi="Arial" w:cs="Arial"/>
                <w:sz w:val="20"/>
                <w:szCs w:val="20"/>
                <w:lang w:eastAsia="pt-BR"/>
              </w:rPr>
              <w:t>Inteiro</w:t>
            </w:r>
          </w:p>
        </w:tc>
        <w:tc>
          <w:tcPr>
            <w:tcW w:w="1298" w:type="dxa"/>
            <w:tcBorders>
              <w:top w:val="nil"/>
              <w:left w:val="nil"/>
              <w:bottom w:val="single" w:sz="4" w:space="0" w:color="auto"/>
              <w:right w:val="single" w:sz="4" w:space="0" w:color="auto"/>
            </w:tcBorders>
            <w:shd w:val="clear" w:color="auto" w:fill="auto"/>
            <w:vAlign w:val="center"/>
            <w:hideMark/>
          </w:tcPr>
          <w:p w14:paraId="7E84EBB8" w14:textId="77777777" w:rsidR="002F3813" w:rsidRPr="00F032EF" w:rsidRDefault="002F3813" w:rsidP="002049F4">
            <w:pPr>
              <w:spacing w:after="0" w:line="240" w:lineRule="auto"/>
              <w:jc w:val="center"/>
              <w:rPr>
                <w:rFonts w:ascii="Arial" w:eastAsia="Times New Roman" w:hAnsi="Arial" w:cs="Arial"/>
                <w:sz w:val="20"/>
                <w:szCs w:val="20"/>
                <w:lang w:eastAsia="pt-BR"/>
              </w:rPr>
            </w:pPr>
            <w:r w:rsidRPr="00F032EF">
              <w:rPr>
                <w:rFonts w:ascii="Arial" w:eastAsia="Times New Roman" w:hAnsi="Arial" w:cs="Arial"/>
                <w:sz w:val="20"/>
                <w:szCs w:val="20"/>
                <w:lang w:eastAsia="pt-BR"/>
              </w:rPr>
              <w:t>5</w:t>
            </w:r>
          </w:p>
        </w:tc>
        <w:tc>
          <w:tcPr>
            <w:tcW w:w="2835" w:type="dxa"/>
            <w:tcBorders>
              <w:top w:val="nil"/>
              <w:left w:val="nil"/>
              <w:bottom w:val="single" w:sz="4" w:space="0" w:color="auto"/>
              <w:right w:val="single" w:sz="4" w:space="0" w:color="auto"/>
            </w:tcBorders>
            <w:shd w:val="clear" w:color="auto" w:fill="auto"/>
            <w:vAlign w:val="center"/>
            <w:hideMark/>
          </w:tcPr>
          <w:p w14:paraId="4C53E8E8" w14:textId="77777777" w:rsidR="002F3813" w:rsidRPr="00F032EF" w:rsidRDefault="002F3813" w:rsidP="002049F4">
            <w:pPr>
              <w:spacing w:after="0" w:line="240" w:lineRule="auto"/>
              <w:rPr>
                <w:rFonts w:ascii="Arial" w:eastAsia="Times New Roman" w:hAnsi="Arial" w:cs="Arial"/>
                <w:sz w:val="20"/>
                <w:szCs w:val="20"/>
                <w:lang w:eastAsia="pt-BR"/>
              </w:rPr>
            </w:pPr>
            <w:r w:rsidRPr="00F032EF">
              <w:rPr>
                <w:rFonts w:ascii="Arial" w:eastAsia="Times New Roman" w:hAnsi="Arial" w:cs="Arial"/>
                <w:sz w:val="20"/>
                <w:szCs w:val="20"/>
                <w:lang w:eastAsia="pt-BR"/>
              </w:rPr>
              <w:t>Obrigatório</w:t>
            </w:r>
          </w:p>
        </w:tc>
      </w:tr>
      <w:tr w:rsidR="00F032EF" w:rsidRPr="00F032EF" w14:paraId="008A75D0" w14:textId="77777777" w:rsidTr="002049F4">
        <w:trPr>
          <w:trHeight w:val="402"/>
        </w:trPr>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02D8DD82" w14:textId="77777777" w:rsidR="002F3813" w:rsidRPr="00F032EF" w:rsidRDefault="002F3813" w:rsidP="002049F4">
            <w:pPr>
              <w:spacing w:after="0" w:line="240" w:lineRule="auto"/>
              <w:rPr>
                <w:rFonts w:ascii="Arial" w:eastAsia="Times New Roman" w:hAnsi="Arial" w:cs="Arial"/>
                <w:sz w:val="20"/>
                <w:szCs w:val="20"/>
                <w:lang w:eastAsia="pt-BR"/>
              </w:rPr>
            </w:pPr>
            <w:r w:rsidRPr="00F032EF">
              <w:rPr>
                <w:rFonts w:ascii="Arial" w:eastAsia="Times New Roman" w:hAnsi="Arial" w:cs="Arial"/>
                <w:sz w:val="20"/>
                <w:szCs w:val="20"/>
                <w:lang w:eastAsia="pt-BR"/>
              </w:rPr>
              <w:t>Nível de Controle Interno</w:t>
            </w:r>
          </w:p>
        </w:tc>
        <w:tc>
          <w:tcPr>
            <w:tcW w:w="1112" w:type="dxa"/>
            <w:tcBorders>
              <w:top w:val="single" w:sz="4" w:space="0" w:color="auto"/>
              <w:left w:val="nil"/>
              <w:bottom w:val="single" w:sz="4" w:space="0" w:color="auto"/>
              <w:right w:val="single" w:sz="4" w:space="0" w:color="auto"/>
            </w:tcBorders>
            <w:shd w:val="clear" w:color="auto" w:fill="auto"/>
            <w:vAlign w:val="center"/>
          </w:tcPr>
          <w:p w14:paraId="54B686FD" w14:textId="77777777" w:rsidR="002F3813" w:rsidRPr="00F032EF" w:rsidRDefault="002F3813" w:rsidP="002049F4">
            <w:pPr>
              <w:spacing w:after="0" w:line="240" w:lineRule="auto"/>
              <w:jc w:val="center"/>
              <w:rPr>
                <w:rFonts w:ascii="Arial" w:eastAsia="Times New Roman" w:hAnsi="Arial" w:cs="Arial"/>
                <w:sz w:val="20"/>
                <w:szCs w:val="20"/>
                <w:lang w:eastAsia="pt-BR"/>
              </w:rPr>
            </w:pPr>
            <w:r w:rsidRPr="00F032EF">
              <w:rPr>
                <w:rFonts w:ascii="Arial" w:eastAsia="Times New Roman" w:hAnsi="Arial" w:cs="Arial"/>
                <w:sz w:val="20"/>
                <w:szCs w:val="20"/>
                <w:lang w:eastAsia="pt-BR"/>
              </w:rPr>
              <w:t>Inteiro</w:t>
            </w:r>
          </w:p>
        </w:tc>
        <w:tc>
          <w:tcPr>
            <w:tcW w:w="1298" w:type="dxa"/>
            <w:tcBorders>
              <w:top w:val="single" w:sz="4" w:space="0" w:color="auto"/>
              <w:left w:val="nil"/>
              <w:bottom w:val="single" w:sz="4" w:space="0" w:color="auto"/>
              <w:right w:val="single" w:sz="4" w:space="0" w:color="auto"/>
            </w:tcBorders>
            <w:shd w:val="clear" w:color="auto" w:fill="auto"/>
            <w:vAlign w:val="center"/>
          </w:tcPr>
          <w:p w14:paraId="79656BAE" w14:textId="77777777" w:rsidR="002F3813" w:rsidRPr="00F032EF" w:rsidRDefault="002F3813" w:rsidP="002049F4">
            <w:pPr>
              <w:spacing w:after="0" w:line="240" w:lineRule="auto"/>
              <w:jc w:val="center"/>
              <w:rPr>
                <w:rFonts w:ascii="Arial" w:eastAsia="Times New Roman" w:hAnsi="Arial" w:cs="Arial"/>
                <w:sz w:val="20"/>
                <w:szCs w:val="20"/>
                <w:lang w:eastAsia="pt-BR"/>
              </w:rPr>
            </w:pPr>
            <w:r w:rsidRPr="00F032EF">
              <w:rPr>
                <w:rFonts w:ascii="Arial" w:eastAsia="Times New Roman" w:hAnsi="Arial" w:cs="Arial"/>
                <w:sz w:val="20"/>
                <w:szCs w:val="20"/>
                <w:lang w:eastAsia="pt-BR"/>
              </w:rPr>
              <w:t>1</w:t>
            </w:r>
          </w:p>
        </w:tc>
        <w:tc>
          <w:tcPr>
            <w:tcW w:w="2835" w:type="dxa"/>
            <w:tcBorders>
              <w:top w:val="single" w:sz="4" w:space="0" w:color="auto"/>
              <w:left w:val="nil"/>
              <w:bottom w:val="single" w:sz="4" w:space="0" w:color="auto"/>
              <w:right w:val="single" w:sz="4" w:space="0" w:color="auto"/>
            </w:tcBorders>
            <w:shd w:val="clear" w:color="auto" w:fill="auto"/>
            <w:vAlign w:val="center"/>
          </w:tcPr>
          <w:p w14:paraId="42E0E5E6" w14:textId="77777777" w:rsidR="002F3813" w:rsidRPr="00F032EF" w:rsidRDefault="002F3813" w:rsidP="002049F4">
            <w:pPr>
              <w:spacing w:after="0" w:line="240" w:lineRule="auto"/>
              <w:rPr>
                <w:rFonts w:ascii="Arial" w:eastAsia="Times New Roman" w:hAnsi="Arial" w:cs="Arial"/>
                <w:sz w:val="20"/>
                <w:szCs w:val="20"/>
                <w:lang w:eastAsia="pt-BR"/>
              </w:rPr>
            </w:pPr>
            <w:r w:rsidRPr="00F032EF">
              <w:rPr>
                <w:rFonts w:ascii="Arial" w:eastAsia="Times New Roman" w:hAnsi="Arial" w:cs="Arial"/>
                <w:sz w:val="20"/>
                <w:szCs w:val="20"/>
                <w:lang w:eastAsia="pt-BR"/>
              </w:rPr>
              <w:t>Obrigatório;</w:t>
            </w:r>
          </w:p>
          <w:p w14:paraId="48E093C7" w14:textId="77777777" w:rsidR="002F3813" w:rsidRPr="00F032EF" w:rsidRDefault="002F3813" w:rsidP="002049F4">
            <w:pPr>
              <w:spacing w:after="0" w:line="240" w:lineRule="auto"/>
              <w:rPr>
                <w:rFonts w:ascii="Arial" w:eastAsia="Times New Roman" w:hAnsi="Arial" w:cs="Arial"/>
                <w:sz w:val="20"/>
                <w:szCs w:val="20"/>
                <w:lang w:eastAsia="pt-BR"/>
              </w:rPr>
            </w:pPr>
            <w:r w:rsidRPr="00F032EF">
              <w:rPr>
                <w:rFonts w:ascii="Arial" w:eastAsia="Times New Roman" w:hAnsi="Arial" w:cs="Arial"/>
                <w:sz w:val="20"/>
                <w:szCs w:val="20"/>
                <w:lang w:eastAsia="pt-BR"/>
              </w:rPr>
              <w:t>1 – Unidade Central</w:t>
            </w:r>
          </w:p>
          <w:p w14:paraId="6A92105B" w14:textId="77777777" w:rsidR="002F3813" w:rsidRPr="00F032EF" w:rsidRDefault="002F3813" w:rsidP="002049F4">
            <w:pPr>
              <w:spacing w:after="0" w:line="240" w:lineRule="auto"/>
              <w:rPr>
                <w:rFonts w:ascii="Arial" w:eastAsia="Times New Roman" w:hAnsi="Arial" w:cs="Arial"/>
                <w:sz w:val="20"/>
                <w:szCs w:val="20"/>
                <w:lang w:eastAsia="pt-BR"/>
              </w:rPr>
            </w:pPr>
            <w:r w:rsidRPr="00F032EF">
              <w:rPr>
                <w:rFonts w:ascii="Arial" w:eastAsia="Times New Roman" w:hAnsi="Arial" w:cs="Arial"/>
                <w:sz w:val="20"/>
                <w:szCs w:val="20"/>
                <w:lang w:eastAsia="pt-BR"/>
              </w:rPr>
              <w:t>2 – Unidade Setorial</w:t>
            </w:r>
          </w:p>
        </w:tc>
      </w:tr>
      <w:tr w:rsidR="00F032EF" w:rsidRPr="00F032EF" w14:paraId="6A64E9FE" w14:textId="77777777" w:rsidTr="002049F4">
        <w:trPr>
          <w:trHeight w:val="402"/>
        </w:trPr>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5AD65E9D" w14:textId="77777777" w:rsidR="002F3813" w:rsidRPr="00F032EF" w:rsidRDefault="002F3813" w:rsidP="002049F4">
            <w:pPr>
              <w:spacing w:after="0" w:line="240" w:lineRule="auto"/>
              <w:rPr>
                <w:rFonts w:ascii="Arial" w:eastAsia="Times New Roman" w:hAnsi="Arial" w:cs="Arial"/>
                <w:sz w:val="20"/>
                <w:szCs w:val="20"/>
                <w:lang w:eastAsia="pt-BR"/>
              </w:rPr>
            </w:pPr>
            <w:r w:rsidRPr="00F032EF">
              <w:rPr>
                <w:rFonts w:ascii="Arial" w:eastAsia="Times New Roman" w:hAnsi="Arial" w:cs="Arial"/>
                <w:sz w:val="20"/>
                <w:szCs w:val="20"/>
                <w:lang w:eastAsia="pt-BR"/>
              </w:rPr>
              <w:t>Quantidade Total de Servidores na Estrutura da Unidade de Controle Interno [1]</w:t>
            </w:r>
          </w:p>
        </w:tc>
        <w:tc>
          <w:tcPr>
            <w:tcW w:w="1112" w:type="dxa"/>
            <w:tcBorders>
              <w:top w:val="single" w:sz="4" w:space="0" w:color="auto"/>
              <w:left w:val="nil"/>
              <w:bottom w:val="single" w:sz="4" w:space="0" w:color="auto"/>
              <w:right w:val="single" w:sz="4" w:space="0" w:color="auto"/>
            </w:tcBorders>
            <w:shd w:val="clear" w:color="auto" w:fill="auto"/>
            <w:vAlign w:val="center"/>
          </w:tcPr>
          <w:p w14:paraId="6CF893C3" w14:textId="77777777" w:rsidR="002F3813" w:rsidRPr="00F032EF" w:rsidRDefault="002F3813" w:rsidP="002049F4">
            <w:pPr>
              <w:spacing w:after="0" w:line="240" w:lineRule="auto"/>
              <w:jc w:val="center"/>
              <w:rPr>
                <w:rFonts w:ascii="Arial" w:eastAsia="Times New Roman" w:hAnsi="Arial" w:cs="Arial"/>
                <w:sz w:val="20"/>
                <w:szCs w:val="20"/>
                <w:lang w:eastAsia="pt-BR"/>
              </w:rPr>
            </w:pPr>
            <w:r w:rsidRPr="00F032EF">
              <w:rPr>
                <w:rFonts w:ascii="Arial" w:eastAsia="Times New Roman" w:hAnsi="Arial" w:cs="Arial"/>
                <w:sz w:val="20"/>
                <w:szCs w:val="20"/>
                <w:lang w:eastAsia="pt-BR"/>
              </w:rPr>
              <w:t>Inteiro</w:t>
            </w:r>
          </w:p>
        </w:tc>
        <w:tc>
          <w:tcPr>
            <w:tcW w:w="1298" w:type="dxa"/>
            <w:tcBorders>
              <w:top w:val="single" w:sz="4" w:space="0" w:color="auto"/>
              <w:left w:val="nil"/>
              <w:bottom w:val="single" w:sz="4" w:space="0" w:color="auto"/>
              <w:right w:val="single" w:sz="4" w:space="0" w:color="auto"/>
            </w:tcBorders>
            <w:shd w:val="clear" w:color="auto" w:fill="auto"/>
            <w:vAlign w:val="center"/>
          </w:tcPr>
          <w:p w14:paraId="17498645" w14:textId="77777777" w:rsidR="002F3813" w:rsidRPr="00F032EF" w:rsidRDefault="002F3813" w:rsidP="002049F4">
            <w:pPr>
              <w:spacing w:after="0" w:line="240" w:lineRule="auto"/>
              <w:jc w:val="center"/>
              <w:rPr>
                <w:rFonts w:ascii="Arial" w:eastAsia="Times New Roman" w:hAnsi="Arial" w:cs="Arial"/>
                <w:sz w:val="20"/>
                <w:szCs w:val="20"/>
                <w:lang w:eastAsia="pt-BR"/>
              </w:rPr>
            </w:pPr>
            <w:r w:rsidRPr="00F032EF">
              <w:rPr>
                <w:rFonts w:ascii="Arial" w:eastAsia="Times New Roman" w:hAnsi="Arial" w:cs="Arial"/>
                <w:sz w:val="20"/>
                <w:szCs w:val="20"/>
                <w:lang w:eastAsia="pt-BR"/>
              </w:rPr>
              <w:t>5</w:t>
            </w:r>
          </w:p>
        </w:tc>
        <w:tc>
          <w:tcPr>
            <w:tcW w:w="2835" w:type="dxa"/>
            <w:tcBorders>
              <w:top w:val="single" w:sz="4" w:space="0" w:color="auto"/>
              <w:left w:val="nil"/>
              <w:bottom w:val="single" w:sz="4" w:space="0" w:color="auto"/>
              <w:right w:val="single" w:sz="4" w:space="0" w:color="auto"/>
            </w:tcBorders>
            <w:shd w:val="clear" w:color="auto" w:fill="auto"/>
            <w:vAlign w:val="center"/>
          </w:tcPr>
          <w:p w14:paraId="7AB0C43A" w14:textId="77777777" w:rsidR="002F3813" w:rsidRPr="00F032EF" w:rsidRDefault="002F3813" w:rsidP="002049F4">
            <w:pPr>
              <w:spacing w:after="0" w:line="240" w:lineRule="auto"/>
              <w:rPr>
                <w:rFonts w:ascii="Arial" w:eastAsia="Times New Roman" w:hAnsi="Arial" w:cs="Arial"/>
                <w:sz w:val="20"/>
                <w:szCs w:val="20"/>
                <w:lang w:eastAsia="pt-BR"/>
              </w:rPr>
            </w:pPr>
            <w:r w:rsidRPr="00F032EF">
              <w:rPr>
                <w:rFonts w:ascii="Arial" w:eastAsia="Times New Roman" w:hAnsi="Arial" w:cs="Arial"/>
                <w:sz w:val="20"/>
                <w:szCs w:val="20"/>
                <w:lang w:eastAsia="pt-BR"/>
              </w:rPr>
              <w:t>Obrigatório, conforme nota [1]</w:t>
            </w:r>
          </w:p>
        </w:tc>
      </w:tr>
      <w:tr w:rsidR="00F032EF" w:rsidRPr="00F032EF" w14:paraId="6F26A485" w14:textId="77777777" w:rsidTr="002049F4">
        <w:trPr>
          <w:trHeight w:val="510"/>
        </w:trPr>
        <w:tc>
          <w:tcPr>
            <w:tcW w:w="42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71981B" w14:textId="77777777" w:rsidR="002F3813" w:rsidRPr="00F032EF" w:rsidRDefault="002F3813" w:rsidP="002049F4">
            <w:pPr>
              <w:spacing w:after="0" w:line="240" w:lineRule="auto"/>
              <w:jc w:val="both"/>
              <w:rPr>
                <w:rFonts w:ascii="Arial" w:eastAsia="Times New Roman" w:hAnsi="Arial" w:cs="Arial"/>
                <w:sz w:val="20"/>
                <w:szCs w:val="20"/>
                <w:lang w:eastAsia="pt-BR"/>
              </w:rPr>
            </w:pPr>
            <w:r w:rsidRPr="00F032EF">
              <w:rPr>
                <w:rFonts w:ascii="Arial" w:eastAsia="Times New Roman" w:hAnsi="Arial" w:cs="Arial"/>
                <w:sz w:val="20"/>
                <w:szCs w:val="20"/>
                <w:lang w:eastAsia="pt-BR"/>
              </w:rPr>
              <w:t>Quantidade de Servidores Efetivos (do Ente) na Estrutura da Unidade de Controle Interno [1]</w:t>
            </w:r>
          </w:p>
        </w:tc>
        <w:tc>
          <w:tcPr>
            <w:tcW w:w="1112" w:type="dxa"/>
            <w:tcBorders>
              <w:top w:val="single" w:sz="4" w:space="0" w:color="auto"/>
              <w:left w:val="nil"/>
              <w:bottom w:val="single" w:sz="4" w:space="0" w:color="auto"/>
              <w:right w:val="single" w:sz="4" w:space="0" w:color="auto"/>
            </w:tcBorders>
            <w:shd w:val="clear" w:color="auto" w:fill="auto"/>
            <w:vAlign w:val="center"/>
            <w:hideMark/>
          </w:tcPr>
          <w:p w14:paraId="6CE50DAF" w14:textId="77777777" w:rsidR="002F3813" w:rsidRPr="00F032EF" w:rsidRDefault="002F3813" w:rsidP="002049F4">
            <w:pPr>
              <w:spacing w:after="0" w:line="240" w:lineRule="auto"/>
              <w:jc w:val="center"/>
              <w:rPr>
                <w:rFonts w:ascii="Arial" w:eastAsia="Times New Roman" w:hAnsi="Arial" w:cs="Arial"/>
                <w:sz w:val="20"/>
                <w:szCs w:val="20"/>
                <w:lang w:eastAsia="pt-BR"/>
              </w:rPr>
            </w:pPr>
            <w:r w:rsidRPr="00F032EF">
              <w:rPr>
                <w:rFonts w:ascii="Arial" w:eastAsia="Times New Roman" w:hAnsi="Arial" w:cs="Arial"/>
                <w:sz w:val="20"/>
                <w:szCs w:val="20"/>
                <w:lang w:eastAsia="pt-BR"/>
              </w:rPr>
              <w:t>Inteiro</w:t>
            </w:r>
          </w:p>
        </w:tc>
        <w:tc>
          <w:tcPr>
            <w:tcW w:w="1298" w:type="dxa"/>
            <w:tcBorders>
              <w:top w:val="single" w:sz="4" w:space="0" w:color="auto"/>
              <w:left w:val="nil"/>
              <w:bottom w:val="single" w:sz="4" w:space="0" w:color="auto"/>
              <w:right w:val="single" w:sz="4" w:space="0" w:color="auto"/>
            </w:tcBorders>
            <w:shd w:val="clear" w:color="auto" w:fill="auto"/>
            <w:vAlign w:val="center"/>
            <w:hideMark/>
          </w:tcPr>
          <w:p w14:paraId="2A4AF686" w14:textId="77777777" w:rsidR="002F3813" w:rsidRPr="00F032EF" w:rsidRDefault="002F3813" w:rsidP="002049F4">
            <w:pPr>
              <w:spacing w:after="0" w:line="240" w:lineRule="auto"/>
              <w:jc w:val="center"/>
              <w:rPr>
                <w:rFonts w:ascii="Arial" w:eastAsia="Times New Roman" w:hAnsi="Arial" w:cs="Arial"/>
                <w:sz w:val="20"/>
                <w:szCs w:val="20"/>
                <w:lang w:eastAsia="pt-BR"/>
              </w:rPr>
            </w:pPr>
            <w:r w:rsidRPr="00F032EF">
              <w:rPr>
                <w:rFonts w:ascii="Arial" w:eastAsia="Times New Roman" w:hAnsi="Arial" w:cs="Arial"/>
                <w:sz w:val="20"/>
                <w:szCs w:val="20"/>
                <w:lang w:eastAsia="pt-BR"/>
              </w:rPr>
              <w:t>5</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18E04793" w14:textId="77777777" w:rsidR="002F3813" w:rsidRPr="00F032EF" w:rsidRDefault="002F3813" w:rsidP="002049F4">
            <w:pPr>
              <w:spacing w:after="0" w:line="240" w:lineRule="auto"/>
              <w:rPr>
                <w:rFonts w:ascii="Arial" w:eastAsia="Times New Roman" w:hAnsi="Arial" w:cs="Arial"/>
                <w:sz w:val="20"/>
                <w:szCs w:val="20"/>
                <w:lang w:eastAsia="pt-BR"/>
              </w:rPr>
            </w:pPr>
            <w:r w:rsidRPr="00F032EF">
              <w:rPr>
                <w:rFonts w:ascii="Arial" w:eastAsia="Times New Roman" w:hAnsi="Arial" w:cs="Arial"/>
                <w:sz w:val="20"/>
                <w:szCs w:val="20"/>
                <w:lang w:eastAsia="pt-BR"/>
              </w:rPr>
              <w:t>Obrigatório, conforme nota [1]</w:t>
            </w:r>
          </w:p>
        </w:tc>
      </w:tr>
      <w:tr w:rsidR="00F032EF" w:rsidRPr="00F032EF" w14:paraId="5CF26E3E" w14:textId="77777777" w:rsidTr="002049F4">
        <w:trPr>
          <w:trHeight w:val="765"/>
        </w:trPr>
        <w:tc>
          <w:tcPr>
            <w:tcW w:w="4248" w:type="dxa"/>
            <w:tcBorders>
              <w:top w:val="nil"/>
              <w:left w:val="single" w:sz="4" w:space="0" w:color="auto"/>
              <w:bottom w:val="single" w:sz="4" w:space="0" w:color="auto"/>
              <w:right w:val="single" w:sz="4" w:space="0" w:color="auto"/>
            </w:tcBorders>
            <w:shd w:val="clear" w:color="auto" w:fill="auto"/>
            <w:vAlign w:val="center"/>
            <w:hideMark/>
          </w:tcPr>
          <w:p w14:paraId="38828584" w14:textId="77777777" w:rsidR="002F3813" w:rsidRPr="00F032EF" w:rsidRDefault="002F3813" w:rsidP="002049F4">
            <w:pPr>
              <w:spacing w:after="0" w:line="240" w:lineRule="auto"/>
              <w:jc w:val="both"/>
              <w:rPr>
                <w:rFonts w:ascii="Arial" w:eastAsia="Times New Roman" w:hAnsi="Arial" w:cs="Arial"/>
                <w:sz w:val="20"/>
                <w:szCs w:val="20"/>
                <w:lang w:eastAsia="pt-BR"/>
              </w:rPr>
            </w:pPr>
            <w:r w:rsidRPr="00F032EF">
              <w:rPr>
                <w:rFonts w:ascii="Arial" w:eastAsia="Times New Roman" w:hAnsi="Arial" w:cs="Arial"/>
                <w:sz w:val="20"/>
                <w:szCs w:val="20"/>
                <w:lang w:eastAsia="pt-BR"/>
              </w:rPr>
              <w:t>Quantidade de Servidores com formação em Ciências Contábeis na Estrutura da Unidade de Controle Interno [1]</w:t>
            </w:r>
          </w:p>
        </w:tc>
        <w:tc>
          <w:tcPr>
            <w:tcW w:w="1112" w:type="dxa"/>
            <w:tcBorders>
              <w:top w:val="nil"/>
              <w:left w:val="nil"/>
              <w:bottom w:val="single" w:sz="4" w:space="0" w:color="auto"/>
              <w:right w:val="single" w:sz="4" w:space="0" w:color="auto"/>
            </w:tcBorders>
            <w:shd w:val="clear" w:color="auto" w:fill="auto"/>
            <w:vAlign w:val="center"/>
            <w:hideMark/>
          </w:tcPr>
          <w:p w14:paraId="0248F4E5" w14:textId="77777777" w:rsidR="002F3813" w:rsidRPr="00F032EF" w:rsidRDefault="002F3813" w:rsidP="002049F4">
            <w:pPr>
              <w:spacing w:after="0" w:line="240" w:lineRule="auto"/>
              <w:jc w:val="center"/>
              <w:rPr>
                <w:rFonts w:ascii="Arial" w:eastAsia="Times New Roman" w:hAnsi="Arial" w:cs="Arial"/>
                <w:sz w:val="20"/>
                <w:szCs w:val="20"/>
                <w:lang w:eastAsia="pt-BR"/>
              </w:rPr>
            </w:pPr>
            <w:r w:rsidRPr="00F032EF">
              <w:rPr>
                <w:rFonts w:ascii="Arial" w:eastAsia="Times New Roman" w:hAnsi="Arial" w:cs="Arial"/>
                <w:sz w:val="20"/>
                <w:szCs w:val="20"/>
                <w:lang w:eastAsia="pt-BR"/>
              </w:rPr>
              <w:t>Inteiro</w:t>
            </w:r>
          </w:p>
        </w:tc>
        <w:tc>
          <w:tcPr>
            <w:tcW w:w="1298" w:type="dxa"/>
            <w:tcBorders>
              <w:top w:val="nil"/>
              <w:left w:val="nil"/>
              <w:bottom w:val="single" w:sz="4" w:space="0" w:color="auto"/>
              <w:right w:val="single" w:sz="4" w:space="0" w:color="auto"/>
            </w:tcBorders>
            <w:shd w:val="clear" w:color="auto" w:fill="auto"/>
            <w:vAlign w:val="center"/>
            <w:hideMark/>
          </w:tcPr>
          <w:p w14:paraId="43E7A3CC" w14:textId="77777777" w:rsidR="002F3813" w:rsidRPr="00F032EF" w:rsidRDefault="002F3813" w:rsidP="002049F4">
            <w:pPr>
              <w:spacing w:after="0" w:line="240" w:lineRule="auto"/>
              <w:jc w:val="center"/>
              <w:rPr>
                <w:rFonts w:ascii="Arial" w:eastAsia="Times New Roman" w:hAnsi="Arial" w:cs="Arial"/>
                <w:sz w:val="20"/>
                <w:szCs w:val="20"/>
                <w:lang w:eastAsia="pt-BR"/>
              </w:rPr>
            </w:pPr>
            <w:r w:rsidRPr="00F032EF">
              <w:rPr>
                <w:rFonts w:ascii="Arial" w:eastAsia="Times New Roman" w:hAnsi="Arial" w:cs="Arial"/>
                <w:sz w:val="20"/>
                <w:szCs w:val="20"/>
                <w:lang w:eastAsia="pt-BR"/>
              </w:rPr>
              <w:t>5</w:t>
            </w:r>
          </w:p>
        </w:tc>
        <w:tc>
          <w:tcPr>
            <w:tcW w:w="2835" w:type="dxa"/>
            <w:tcBorders>
              <w:top w:val="nil"/>
              <w:left w:val="nil"/>
              <w:bottom w:val="nil"/>
              <w:right w:val="single" w:sz="4" w:space="0" w:color="auto"/>
            </w:tcBorders>
            <w:shd w:val="clear" w:color="auto" w:fill="auto"/>
            <w:vAlign w:val="center"/>
            <w:hideMark/>
          </w:tcPr>
          <w:p w14:paraId="2883A234" w14:textId="77777777" w:rsidR="002F3813" w:rsidRPr="00F032EF" w:rsidRDefault="002F3813" w:rsidP="002049F4">
            <w:pPr>
              <w:spacing w:after="0" w:line="240" w:lineRule="auto"/>
              <w:rPr>
                <w:rFonts w:ascii="Arial" w:eastAsia="Times New Roman" w:hAnsi="Arial" w:cs="Arial"/>
                <w:sz w:val="20"/>
                <w:szCs w:val="20"/>
                <w:lang w:eastAsia="pt-BR"/>
              </w:rPr>
            </w:pPr>
            <w:r w:rsidRPr="00F032EF">
              <w:rPr>
                <w:rFonts w:ascii="Arial" w:eastAsia="Times New Roman" w:hAnsi="Arial" w:cs="Arial"/>
                <w:sz w:val="20"/>
                <w:szCs w:val="20"/>
                <w:lang w:eastAsia="pt-BR"/>
              </w:rPr>
              <w:t>Obrigatório, conforme nota [1]</w:t>
            </w:r>
          </w:p>
        </w:tc>
      </w:tr>
      <w:tr w:rsidR="00F032EF" w:rsidRPr="00F032EF" w14:paraId="65251CC8" w14:textId="77777777" w:rsidTr="002049F4">
        <w:trPr>
          <w:trHeight w:val="255"/>
        </w:trPr>
        <w:tc>
          <w:tcPr>
            <w:tcW w:w="4248" w:type="dxa"/>
            <w:vMerge w:val="restart"/>
            <w:tcBorders>
              <w:top w:val="nil"/>
              <w:left w:val="single" w:sz="4" w:space="0" w:color="auto"/>
              <w:bottom w:val="single" w:sz="4" w:space="0" w:color="auto"/>
              <w:right w:val="single" w:sz="4" w:space="0" w:color="auto"/>
            </w:tcBorders>
            <w:shd w:val="clear" w:color="auto" w:fill="auto"/>
            <w:vAlign w:val="center"/>
            <w:hideMark/>
          </w:tcPr>
          <w:p w14:paraId="5B7C3A0E" w14:textId="77777777" w:rsidR="002F3813" w:rsidRPr="00F032EF" w:rsidRDefault="002F3813" w:rsidP="002049F4">
            <w:pPr>
              <w:spacing w:after="0" w:line="240" w:lineRule="auto"/>
              <w:jc w:val="both"/>
              <w:rPr>
                <w:rFonts w:ascii="Arial" w:eastAsia="Times New Roman" w:hAnsi="Arial" w:cs="Arial"/>
                <w:sz w:val="20"/>
                <w:szCs w:val="20"/>
                <w:lang w:eastAsia="pt-BR"/>
              </w:rPr>
            </w:pPr>
            <w:r w:rsidRPr="00F032EF">
              <w:rPr>
                <w:rFonts w:ascii="Arial" w:eastAsia="Times New Roman" w:hAnsi="Arial" w:cs="Arial"/>
                <w:sz w:val="20"/>
                <w:szCs w:val="20"/>
                <w:lang w:eastAsia="pt-BR"/>
              </w:rPr>
              <w:t>Normas internas estabelecendo procedimentos para avaliação da Gestão Orçamentária</w:t>
            </w:r>
          </w:p>
        </w:tc>
        <w:tc>
          <w:tcPr>
            <w:tcW w:w="1112" w:type="dxa"/>
            <w:vMerge w:val="restart"/>
            <w:tcBorders>
              <w:top w:val="nil"/>
              <w:left w:val="single" w:sz="4" w:space="0" w:color="auto"/>
              <w:bottom w:val="single" w:sz="4" w:space="0" w:color="auto"/>
              <w:right w:val="single" w:sz="4" w:space="0" w:color="auto"/>
            </w:tcBorders>
            <w:shd w:val="clear" w:color="auto" w:fill="auto"/>
            <w:vAlign w:val="center"/>
            <w:hideMark/>
          </w:tcPr>
          <w:p w14:paraId="47CC1CC1" w14:textId="77777777" w:rsidR="002F3813" w:rsidRPr="00F032EF" w:rsidRDefault="002F3813" w:rsidP="002049F4">
            <w:pPr>
              <w:spacing w:after="0" w:line="240" w:lineRule="auto"/>
              <w:jc w:val="center"/>
              <w:rPr>
                <w:rFonts w:ascii="Arial" w:eastAsia="Times New Roman" w:hAnsi="Arial" w:cs="Arial"/>
                <w:sz w:val="20"/>
                <w:szCs w:val="20"/>
                <w:lang w:eastAsia="pt-BR"/>
              </w:rPr>
            </w:pPr>
            <w:r w:rsidRPr="00F032EF">
              <w:rPr>
                <w:rFonts w:ascii="Arial" w:eastAsia="Times New Roman" w:hAnsi="Arial" w:cs="Arial"/>
                <w:sz w:val="20"/>
                <w:szCs w:val="20"/>
                <w:lang w:eastAsia="pt-BR"/>
              </w:rPr>
              <w:t>Inteiro</w:t>
            </w:r>
          </w:p>
        </w:tc>
        <w:tc>
          <w:tcPr>
            <w:tcW w:w="1298" w:type="dxa"/>
            <w:vMerge w:val="restart"/>
            <w:tcBorders>
              <w:top w:val="nil"/>
              <w:left w:val="single" w:sz="4" w:space="0" w:color="auto"/>
              <w:bottom w:val="single" w:sz="4" w:space="0" w:color="auto"/>
              <w:right w:val="nil"/>
            </w:tcBorders>
            <w:shd w:val="clear" w:color="auto" w:fill="auto"/>
            <w:vAlign w:val="center"/>
            <w:hideMark/>
          </w:tcPr>
          <w:p w14:paraId="7C77E0A4" w14:textId="77777777" w:rsidR="002F3813" w:rsidRPr="00F032EF" w:rsidRDefault="002F3813" w:rsidP="002049F4">
            <w:pPr>
              <w:spacing w:after="0" w:line="240" w:lineRule="auto"/>
              <w:jc w:val="center"/>
              <w:rPr>
                <w:rFonts w:ascii="Arial" w:eastAsia="Times New Roman" w:hAnsi="Arial" w:cs="Arial"/>
                <w:sz w:val="20"/>
                <w:szCs w:val="20"/>
                <w:lang w:eastAsia="pt-BR"/>
              </w:rPr>
            </w:pPr>
            <w:r w:rsidRPr="00F032EF">
              <w:rPr>
                <w:rFonts w:ascii="Arial" w:eastAsia="Times New Roman" w:hAnsi="Arial" w:cs="Arial"/>
                <w:sz w:val="20"/>
                <w:szCs w:val="20"/>
                <w:lang w:eastAsia="pt-BR"/>
              </w:rPr>
              <w:t>1</w:t>
            </w:r>
          </w:p>
        </w:tc>
        <w:tc>
          <w:tcPr>
            <w:tcW w:w="2835" w:type="dxa"/>
            <w:tcBorders>
              <w:top w:val="single" w:sz="4" w:space="0" w:color="auto"/>
              <w:left w:val="single" w:sz="4" w:space="0" w:color="auto"/>
              <w:bottom w:val="nil"/>
              <w:right w:val="single" w:sz="4" w:space="0" w:color="auto"/>
            </w:tcBorders>
            <w:shd w:val="clear" w:color="000000" w:fill="FFFFFF"/>
            <w:vAlign w:val="center"/>
            <w:hideMark/>
          </w:tcPr>
          <w:p w14:paraId="1DF1ED30" w14:textId="77777777" w:rsidR="002F3813" w:rsidRPr="00F032EF" w:rsidRDefault="002F3813" w:rsidP="002049F4">
            <w:pPr>
              <w:spacing w:after="0" w:line="240" w:lineRule="auto"/>
              <w:rPr>
                <w:rFonts w:ascii="Arial" w:eastAsia="Times New Roman" w:hAnsi="Arial" w:cs="Arial"/>
                <w:sz w:val="20"/>
                <w:szCs w:val="20"/>
                <w:lang w:eastAsia="pt-BR"/>
              </w:rPr>
            </w:pPr>
            <w:r w:rsidRPr="00F032EF">
              <w:rPr>
                <w:rFonts w:ascii="Arial" w:eastAsia="Times New Roman" w:hAnsi="Arial" w:cs="Arial"/>
                <w:sz w:val="20"/>
                <w:szCs w:val="20"/>
                <w:lang w:eastAsia="pt-BR"/>
              </w:rPr>
              <w:t>Obrigatório</w:t>
            </w:r>
          </w:p>
        </w:tc>
      </w:tr>
      <w:tr w:rsidR="00F032EF" w:rsidRPr="00F032EF" w14:paraId="2EB28C18" w14:textId="77777777" w:rsidTr="002049F4">
        <w:trPr>
          <w:trHeight w:val="570"/>
        </w:trPr>
        <w:tc>
          <w:tcPr>
            <w:tcW w:w="4248" w:type="dxa"/>
            <w:vMerge/>
            <w:tcBorders>
              <w:top w:val="nil"/>
              <w:left w:val="single" w:sz="4" w:space="0" w:color="auto"/>
              <w:bottom w:val="single" w:sz="4" w:space="0" w:color="auto"/>
              <w:right w:val="single" w:sz="4" w:space="0" w:color="auto"/>
            </w:tcBorders>
            <w:vAlign w:val="center"/>
            <w:hideMark/>
          </w:tcPr>
          <w:p w14:paraId="5BCE1665" w14:textId="77777777" w:rsidR="002F3813" w:rsidRPr="00F032EF" w:rsidRDefault="002F3813" w:rsidP="002049F4">
            <w:pPr>
              <w:spacing w:after="0" w:line="240" w:lineRule="auto"/>
              <w:rPr>
                <w:rFonts w:ascii="Arial" w:eastAsia="Times New Roman" w:hAnsi="Arial" w:cs="Arial"/>
                <w:sz w:val="20"/>
                <w:szCs w:val="20"/>
                <w:lang w:eastAsia="pt-BR"/>
              </w:rPr>
            </w:pPr>
          </w:p>
        </w:tc>
        <w:tc>
          <w:tcPr>
            <w:tcW w:w="1112" w:type="dxa"/>
            <w:vMerge/>
            <w:tcBorders>
              <w:top w:val="nil"/>
              <w:left w:val="single" w:sz="4" w:space="0" w:color="auto"/>
              <w:bottom w:val="single" w:sz="4" w:space="0" w:color="auto"/>
              <w:right w:val="single" w:sz="4" w:space="0" w:color="auto"/>
            </w:tcBorders>
            <w:vAlign w:val="center"/>
            <w:hideMark/>
          </w:tcPr>
          <w:p w14:paraId="0C3E168F" w14:textId="77777777" w:rsidR="002F3813" w:rsidRPr="00F032EF" w:rsidRDefault="002F3813" w:rsidP="002049F4">
            <w:pPr>
              <w:spacing w:after="0" w:line="240" w:lineRule="auto"/>
              <w:rPr>
                <w:rFonts w:ascii="Arial" w:eastAsia="Times New Roman" w:hAnsi="Arial" w:cs="Arial"/>
                <w:sz w:val="20"/>
                <w:szCs w:val="20"/>
                <w:lang w:eastAsia="pt-BR"/>
              </w:rPr>
            </w:pPr>
          </w:p>
        </w:tc>
        <w:tc>
          <w:tcPr>
            <w:tcW w:w="1298" w:type="dxa"/>
            <w:vMerge/>
            <w:tcBorders>
              <w:top w:val="nil"/>
              <w:left w:val="single" w:sz="4" w:space="0" w:color="auto"/>
              <w:bottom w:val="single" w:sz="4" w:space="0" w:color="auto"/>
              <w:right w:val="nil"/>
            </w:tcBorders>
            <w:vAlign w:val="center"/>
            <w:hideMark/>
          </w:tcPr>
          <w:p w14:paraId="44F414B6" w14:textId="77777777" w:rsidR="002F3813" w:rsidRPr="00F032EF" w:rsidRDefault="002F3813" w:rsidP="002049F4">
            <w:pPr>
              <w:spacing w:after="0" w:line="240" w:lineRule="auto"/>
              <w:rPr>
                <w:rFonts w:ascii="Arial" w:eastAsia="Times New Roman" w:hAnsi="Arial" w:cs="Arial"/>
                <w:sz w:val="20"/>
                <w:szCs w:val="20"/>
                <w:lang w:eastAsia="pt-BR"/>
              </w:rPr>
            </w:pPr>
          </w:p>
        </w:tc>
        <w:tc>
          <w:tcPr>
            <w:tcW w:w="2835" w:type="dxa"/>
            <w:tcBorders>
              <w:top w:val="nil"/>
              <w:left w:val="single" w:sz="4" w:space="0" w:color="auto"/>
              <w:bottom w:val="nil"/>
              <w:right w:val="single" w:sz="4" w:space="0" w:color="auto"/>
            </w:tcBorders>
            <w:shd w:val="clear" w:color="000000" w:fill="FFFFFF"/>
            <w:vAlign w:val="center"/>
            <w:hideMark/>
          </w:tcPr>
          <w:p w14:paraId="62CB5CC3" w14:textId="77777777" w:rsidR="002F3813" w:rsidRPr="00F032EF" w:rsidRDefault="002F3813" w:rsidP="002049F4">
            <w:pPr>
              <w:spacing w:after="0" w:line="240" w:lineRule="auto"/>
              <w:rPr>
                <w:rFonts w:ascii="Arial" w:eastAsia="Times New Roman" w:hAnsi="Arial" w:cs="Arial"/>
                <w:sz w:val="20"/>
                <w:szCs w:val="20"/>
                <w:lang w:eastAsia="pt-BR"/>
              </w:rPr>
            </w:pPr>
            <w:r w:rsidRPr="00F032EF">
              <w:rPr>
                <w:rFonts w:ascii="Arial" w:eastAsia="Times New Roman" w:hAnsi="Arial" w:cs="Arial"/>
                <w:sz w:val="20"/>
                <w:szCs w:val="20"/>
                <w:lang w:eastAsia="pt-BR"/>
              </w:rPr>
              <w:t>1 - Existem somente os normativos</w:t>
            </w:r>
          </w:p>
        </w:tc>
      </w:tr>
      <w:tr w:rsidR="00F032EF" w:rsidRPr="00F032EF" w14:paraId="1567CC59" w14:textId="77777777" w:rsidTr="002049F4">
        <w:trPr>
          <w:trHeight w:val="615"/>
        </w:trPr>
        <w:tc>
          <w:tcPr>
            <w:tcW w:w="4248" w:type="dxa"/>
            <w:vMerge/>
            <w:tcBorders>
              <w:top w:val="nil"/>
              <w:left w:val="single" w:sz="4" w:space="0" w:color="auto"/>
              <w:bottom w:val="single" w:sz="4" w:space="0" w:color="auto"/>
              <w:right w:val="single" w:sz="4" w:space="0" w:color="auto"/>
            </w:tcBorders>
            <w:vAlign w:val="center"/>
            <w:hideMark/>
          </w:tcPr>
          <w:p w14:paraId="12B533BD" w14:textId="77777777" w:rsidR="002F3813" w:rsidRPr="00F032EF" w:rsidRDefault="002F3813" w:rsidP="002049F4">
            <w:pPr>
              <w:spacing w:after="0" w:line="240" w:lineRule="auto"/>
              <w:rPr>
                <w:rFonts w:ascii="Arial" w:eastAsia="Times New Roman" w:hAnsi="Arial" w:cs="Arial"/>
                <w:sz w:val="20"/>
                <w:szCs w:val="20"/>
                <w:lang w:eastAsia="pt-BR"/>
              </w:rPr>
            </w:pPr>
          </w:p>
        </w:tc>
        <w:tc>
          <w:tcPr>
            <w:tcW w:w="1112" w:type="dxa"/>
            <w:vMerge/>
            <w:tcBorders>
              <w:top w:val="nil"/>
              <w:left w:val="single" w:sz="4" w:space="0" w:color="auto"/>
              <w:bottom w:val="single" w:sz="4" w:space="0" w:color="auto"/>
              <w:right w:val="single" w:sz="4" w:space="0" w:color="auto"/>
            </w:tcBorders>
            <w:vAlign w:val="center"/>
            <w:hideMark/>
          </w:tcPr>
          <w:p w14:paraId="4C8E83EB" w14:textId="77777777" w:rsidR="002F3813" w:rsidRPr="00F032EF" w:rsidRDefault="002F3813" w:rsidP="002049F4">
            <w:pPr>
              <w:spacing w:after="0" w:line="240" w:lineRule="auto"/>
              <w:rPr>
                <w:rFonts w:ascii="Arial" w:eastAsia="Times New Roman" w:hAnsi="Arial" w:cs="Arial"/>
                <w:sz w:val="20"/>
                <w:szCs w:val="20"/>
                <w:lang w:eastAsia="pt-BR"/>
              </w:rPr>
            </w:pPr>
          </w:p>
        </w:tc>
        <w:tc>
          <w:tcPr>
            <w:tcW w:w="1298" w:type="dxa"/>
            <w:vMerge/>
            <w:tcBorders>
              <w:top w:val="nil"/>
              <w:left w:val="single" w:sz="4" w:space="0" w:color="auto"/>
              <w:bottom w:val="single" w:sz="4" w:space="0" w:color="auto"/>
              <w:right w:val="nil"/>
            </w:tcBorders>
            <w:vAlign w:val="center"/>
            <w:hideMark/>
          </w:tcPr>
          <w:p w14:paraId="1267B94C" w14:textId="77777777" w:rsidR="002F3813" w:rsidRPr="00F032EF" w:rsidRDefault="002F3813" w:rsidP="002049F4">
            <w:pPr>
              <w:spacing w:after="0" w:line="240" w:lineRule="auto"/>
              <w:rPr>
                <w:rFonts w:ascii="Arial" w:eastAsia="Times New Roman" w:hAnsi="Arial" w:cs="Arial"/>
                <w:sz w:val="20"/>
                <w:szCs w:val="20"/>
                <w:lang w:eastAsia="pt-BR"/>
              </w:rPr>
            </w:pPr>
          </w:p>
        </w:tc>
        <w:tc>
          <w:tcPr>
            <w:tcW w:w="2835" w:type="dxa"/>
            <w:tcBorders>
              <w:top w:val="nil"/>
              <w:left w:val="single" w:sz="4" w:space="0" w:color="auto"/>
              <w:bottom w:val="nil"/>
              <w:right w:val="single" w:sz="4" w:space="0" w:color="auto"/>
            </w:tcBorders>
            <w:shd w:val="clear" w:color="000000" w:fill="FFFFFF"/>
            <w:vAlign w:val="center"/>
            <w:hideMark/>
          </w:tcPr>
          <w:p w14:paraId="303C53CE" w14:textId="77777777" w:rsidR="002F3813" w:rsidRPr="00F032EF" w:rsidRDefault="002F3813" w:rsidP="002049F4">
            <w:pPr>
              <w:spacing w:after="0" w:line="240" w:lineRule="auto"/>
              <w:rPr>
                <w:rFonts w:ascii="Arial" w:eastAsia="Times New Roman" w:hAnsi="Arial" w:cs="Arial"/>
                <w:sz w:val="20"/>
                <w:szCs w:val="20"/>
                <w:lang w:eastAsia="pt-BR"/>
              </w:rPr>
            </w:pPr>
            <w:r w:rsidRPr="00F032EF">
              <w:rPr>
                <w:rFonts w:ascii="Arial" w:eastAsia="Times New Roman" w:hAnsi="Arial" w:cs="Arial"/>
                <w:sz w:val="20"/>
                <w:szCs w:val="20"/>
                <w:lang w:eastAsia="pt-BR"/>
              </w:rPr>
              <w:t>2 - Existem normativos e fluxos desenhados</w:t>
            </w:r>
          </w:p>
        </w:tc>
      </w:tr>
      <w:tr w:rsidR="00F032EF" w:rsidRPr="00F032EF" w14:paraId="7455660B" w14:textId="77777777" w:rsidTr="002049F4">
        <w:trPr>
          <w:trHeight w:val="1095"/>
        </w:trPr>
        <w:tc>
          <w:tcPr>
            <w:tcW w:w="4248" w:type="dxa"/>
            <w:vMerge/>
            <w:tcBorders>
              <w:top w:val="nil"/>
              <w:left w:val="single" w:sz="4" w:space="0" w:color="auto"/>
              <w:bottom w:val="single" w:sz="4" w:space="0" w:color="auto"/>
              <w:right w:val="single" w:sz="4" w:space="0" w:color="auto"/>
            </w:tcBorders>
            <w:vAlign w:val="center"/>
            <w:hideMark/>
          </w:tcPr>
          <w:p w14:paraId="4A1722E3" w14:textId="77777777" w:rsidR="002F3813" w:rsidRPr="00F032EF" w:rsidRDefault="002F3813" w:rsidP="002049F4">
            <w:pPr>
              <w:spacing w:after="0" w:line="240" w:lineRule="auto"/>
              <w:rPr>
                <w:rFonts w:ascii="Arial" w:eastAsia="Times New Roman" w:hAnsi="Arial" w:cs="Arial"/>
                <w:sz w:val="20"/>
                <w:szCs w:val="20"/>
                <w:lang w:eastAsia="pt-BR"/>
              </w:rPr>
            </w:pPr>
          </w:p>
        </w:tc>
        <w:tc>
          <w:tcPr>
            <w:tcW w:w="1112" w:type="dxa"/>
            <w:vMerge/>
            <w:tcBorders>
              <w:top w:val="nil"/>
              <w:left w:val="single" w:sz="4" w:space="0" w:color="auto"/>
              <w:bottom w:val="single" w:sz="4" w:space="0" w:color="auto"/>
              <w:right w:val="single" w:sz="4" w:space="0" w:color="auto"/>
            </w:tcBorders>
            <w:vAlign w:val="center"/>
            <w:hideMark/>
          </w:tcPr>
          <w:p w14:paraId="74A22CE9" w14:textId="77777777" w:rsidR="002F3813" w:rsidRPr="00F032EF" w:rsidRDefault="002F3813" w:rsidP="002049F4">
            <w:pPr>
              <w:spacing w:after="0" w:line="240" w:lineRule="auto"/>
              <w:rPr>
                <w:rFonts w:ascii="Arial" w:eastAsia="Times New Roman" w:hAnsi="Arial" w:cs="Arial"/>
                <w:sz w:val="20"/>
                <w:szCs w:val="20"/>
                <w:lang w:eastAsia="pt-BR"/>
              </w:rPr>
            </w:pPr>
          </w:p>
        </w:tc>
        <w:tc>
          <w:tcPr>
            <w:tcW w:w="1298" w:type="dxa"/>
            <w:vMerge/>
            <w:tcBorders>
              <w:top w:val="nil"/>
              <w:left w:val="single" w:sz="4" w:space="0" w:color="auto"/>
              <w:bottom w:val="single" w:sz="4" w:space="0" w:color="auto"/>
              <w:right w:val="nil"/>
            </w:tcBorders>
            <w:vAlign w:val="center"/>
            <w:hideMark/>
          </w:tcPr>
          <w:p w14:paraId="0CA1EDAB" w14:textId="77777777" w:rsidR="002F3813" w:rsidRPr="00F032EF" w:rsidRDefault="002F3813" w:rsidP="002049F4">
            <w:pPr>
              <w:spacing w:after="0" w:line="240" w:lineRule="auto"/>
              <w:rPr>
                <w:rFonts w:ascii="Arial" w:eastAsia="Times New Roman" w:hAnsi="Arial" w:cs="Arial"/>
                <w:sz w:val="20"/>
                <w:szCs w:val="20"/>
                <w:lang w:eastAsia="pt-BR"/>
              </w:rPr>
            </w:pPr>
          </w:p>
        </w:tc>
        <w:tc>
          <w:tcPr>
            <w:tcW w:w="2835" w:type="dxa"/>
            <w:tcBorders>
              <w:top w:val="nil"/>
              <w:left w:val="single" w:sz="4" w:space="0" w:color="auto"/>
              <w:bottom w:val="nil"/>
              <w:right w:val="single" w:sz="4" w:space="0" w:color="auto"/>
            </w:tcBorders>
            <w:shd w:val="clear" w:color="000000" w:fill="FFFFFF"/>
            <w:vAlign w:val="center"/>
            <w:hideMark/>
          </w:tcPr>
          <w:p w14:paraId="3B2778E3" w14:textId="77777777" w:rsidR="002F3813" w:rsidRPr="00F032EF" w:rsidRDefault="002F3813" w:rsidP="002049F4">
            <w:pPr>
              <w:spacing w:after="0" w:line="240" w:lineRule="auto"/>
              <w:rPr>
                <w:rFonts w:ascii="Arial" w:eastAsia="Times New Roman" w:hAnsi="Arial" w:cs="Arial"/>
                <w:sz w:val="20"/>
                <w:szCs w:val="20"/>
                <w:lang w:eastAsia="pt-BR"/>
              </w:rPr>
            </w:pPr>
            <w:r w:rsidRPr="00F032EF">
              <w:rPr>
                <w:rFonts w:ascii="Arial" w:eastAsia="Times New Roman" w:hAnsi="Arial" w:cs="Arial"/>
                <w:sz w:val="20"/>
                <w:szCs w:val="20"/>
                <w:lang w:eastAsia="pt-BR"/>
              </w:rPr>
              <w:t>3 - Existem normativos, fluxos e são de amplo conhecimento de toda a administração</w:t>
            </w:r>
          </w:p>
        </w:tc>
      </w:tr>
      <w:tr w:rsidR="00F032EF" w:rsidRPr="00F032EF" w14:paraId="2EFD5CB9" w14:textId="77777777" w:rsidTr="002049F4">
        <w:trPr>
          <w:trHeight w:val="810"/>
        </w:trPr>
        <w:tc>
          <w:tcPr>
            <w:tcW w:w="4248" w:type="dxa"/>
            <w:vMerge/>
            <w:tcBorders>
              <w:top w:val="nil"/>
              <w:left w:val="single" w:sz="4" w:space="0" w:color="auto"/>
              <w:bottom w:val="single" w:sz="4" w:space="0" w:color="auto"/>
              <w:right w:val="single" w:sz="4" w:space="0" w:color="auto"/>
            </w:tcBorders>
            <w:vAlign w:val="center"/>
            <w:hideMark/>
          </w:tcPr>
          <w:p w14:paraId="0B389C13" w14:textId="77777777" w:rsidR="002F3813" w:rsidRPr="00F032EF" w:rsidRDefault="002F3813" w:rsidP="002049F4">
            <w:pPr>
              <w:spacing w:after="0" w:line="240" w:lineRule="auto"/>
              <w:rPr>
                <w:rFonts w:ascii="Arial" w:eastAsia="Times New Roman" w:hAnsi="Arial" w:cs="Arial"/>
                <w:sz w:val="20"/>
                <w:szCs w:val="20"/>
                <w:lang w:eastAsia="pt-BR"/>
              </w:rPr>
            </w:pPr>
          </w:p>
        </w:tc>
        <w:tc>
          <w:tcPr>
            <w:tcW w:w="1112" w:type="dxa"/>
            <w:vMerge/>
            <w:tcBorders>
              <w:top w:val="nil"/>
              <w:left w:val="single" w:sz="4" w:space="0" w:color="auto"/>
              <w:bottom w:val="single" w:sz="4" w:space="0" w:color="auto"/>
              <w:right w:val="single" w:sz="4" w:space="0" w:color="auto"/>
            </w:tcBorders>
            <w:vAlign w:val="center"/>
            <w:hideMark/>
          </w:tcPr>
          <w:p w14:paraId="15C843EC" w14:textId="77777777" w:rsidR="002F3813" w:rsidRPr="00F032EF" w:rsidRDefault="002F3813" w:rsidP="002049F4">
            <w:pPr>
              <w:spacing w:after="0" w:line="240" w:lineRule="auto"/>
              <w:rPr>
                <w:rFonts w:ascii="Arial" w:eastAsia="Times New Roman" w:hAnsi="Arial" w:cs="Arial"/>
                <w:sz w:val="20"/>
                <w:szCs w:val="20"/>
                <w:lang w:eastAsia="pt-BR"/>
              </w:rPr>
            </w:pPr>
          </w:p>
        </w:tc>
        <w:tc>
          <w:tcPr>
            <w:tcW w:w="1298" w:type="dxa"/>
            <w:vMerge/>
            <w:tcBorders>
              <w:top w:val="nil"/>
              <w:left w:val="single" w:sz="4" w:space="0" w:color="auto"/>
              <w:bottom w:val="single" w:sz="4" w:space="0" w:color="auto"/>
              <w:right w:val="nil"/>
            </w:tcBorders>
            <w:vAlign w:val="center"/>
            <w:hideMark/>
          </w:tcPr>
          <w:p w14:paraId="3EE25EFF" w14:textId="77777777" w:rsidR="002F3813" w:rsidRPr="00F032EF" w:rsidRDefault="002F3813" w:rsidP="002049F4">
            <w:pPr>
              <w:spacing w:after="0" w:line="240" w:lineRule="auto"/>
              <w:rPr>
                <w:rFonts w:ascii="Arial" w:eastAsia="Times New Roman" w:hAnsi="Arial" w:cs="Arial"/>
                <w:sz w:val="20"/>
                <w:szCs w:val="20"/>
                <w:lang w:eastAsia="pt-BR"/>
              </w:rPr>
            </w:pPr>
          </w:p>
        </w:tc>
        <w:tc>
          <w:tcPr>
            <w:tcW w:w="2835" w:type="dxa"/>
            <w:tcBorders>
              <w:top w:val="nil"/>
              <w:left w:val="single" w:sz="4" w:space="0" w:color="auto"/>
              <w:bottom w:val="single" w:sz="4" w:space="0" w:color="auto"/>
              <w:right w:val="single" w:sz="4" w:space="0" w:color="auto"/>
            </w:tcBorders>
            <w:shd w:val="clear" w:color="000000" w:fill="FFFFFF"/>
            <w:vAlign w:val="center"/>
            <w:hideMark/>
          </w:tcPr>
          <w:p w14:paraId="0D632133" w14:textId="77777777" w:rsidR="002F3813" w:rsidRPr="00F032EF" w:rsidRDefault="002F3813" w:rsidP="002049F4">
            <w:pPr>
              <w:spacing w:after="0" w:line="240" w:lineRule="auto"/>
              <w:rPr>
                <w:rFonts w:ascii="Arial" w:eastAsia="Times New Roman" w:hAnsi="Arial" w:cs="Arial"/>
                <w:sz w:val="20"/>
                <w:szCs w:val="20"/>
                <w:lang w:eastAsia="pt-BR"/>
              </w:rPr>
            </w:pPr>
            <w:r w:rsidRPr="00F032EF">
              <w:rPr>
                <w:rFonts w:ascii="Arial" w:eastAsia="Times New Roman" w:hAnsi="Arial" w:cs="Arial"/>
                <w:sz w:val="20"/>
                <w:szCs w:val="20"/>
                <w:lang w:eastAsia="pt-BR"/>
              </w:rPr>
              <w:t>4 - Não existem normas internas definidas no âmbito desta temática</w:t>
            </w:r>
          </w:p>
        </w:tc>
      </w:tr>
      <w:tr w:rsidR="00F032EF" w:rsidRPr="00F032EF" w14:paraId="1F2A603B" w14:textId="77777777" w:rsidTr="002049F4">
        <w:trPr>
          <w:trHeight w:val="3460"/>
        </w:trPr>
        <w:tc>
          <w:tcPr>
            <w:tcW w:w="42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DAEBB7" w14:textId="77777777" w:rsidR="002F3813" w:rsidRPr="00F032EF" w:rsidRDefault="002F3813" w:rsidP="002049F4">
            <w:pPr>
              <w:spacing w:after="0" w:line="240" w:lineRule="auto"/>
              <w:jc w:val="both"/>
              <w:rPr>
                <w:rFonts w:ascii="Arial" w:eastAsia="Times New Roman" w:hAnsi="Arial" w:cs="Arial"/>
                <w:sz w:val="20"/>
                <w:szCs w:val="20"/>
                <w:lang w:eastAsia="pt-BR"/>
              </w:rPr>
            </w:pPr>
            <w:r w:rsidRPr="00F032EF">
              <w:rPr>
                <w:rFonts w:ascii="Arial" w:eastAsia="Times New Roman" w:hAnsi="Arial" w:cs="Arial"/>
                <w:sz w:val="20"/>
                <w:szCs w:val="20"/>
                <w:lang w:eastAsia="pt-BR"/>
              </w:rPr>
              <w:t>Normas internas estabelecendo procedimentos para avaliação da Gestão Financeira</w:t>
            </w:r>
          </w:p>
        </w:tc>
        <w:tc>
          <w:tcPr>
            <w:tcW w:w="11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91A267" w14:textId="77777777" w:rsidR="002F3813" w:rsidRPr="00F032EF" w:rsidRDefault="002F3813" w:rsidP="002049F4">
            <w:pPr>
              <w:spacing w:after="0" w:line="240" w:lineRule="auto"/>
              <w:jc w:val="center"/>
              <w:rPr>
                <w:rFonts w:ascii="Arial" w:eastAsia="Times New Roman" w:hAnsi="Arial" w:cs="Arial"/>
                <w:sz w:val="20"/>
                <w:szCs w:val="20"/>
                <w:lang w:eastAsia="pt-BR"/>
              </w:rPr>
            </w:pPr>
            <w:r w:rsidRPr="00F032EF">
              <w:rPr>
                <w:rFonts w:ascii="Arial" w:eastAsia="Times New Roman" w:hAnsi="Arial" w:cs="Arial"/>
                <w:sz w:val="20"/>
                <w:szCs w:val="20"/>
                <w:lang w:eastAsia="pt-BR"/>
              </w:rPr>
              <w:t>Inteiro</w:t>
            </w:r>
          </w:p>
        </w:tc>
        <w:tc>
          <w:tcPr>
            <w:tcW w:w="1298" w:type="dxa"/>
            <w:tcBorders>
              <w:top w:val="single" w:sz="4" w:space="0" w:color="auto"/>
              <w:left w:val="single" w:sz="4" w:space="0" w:color="auto"/>
              <w:bottom w:val="single" w:sz="4" w:space="0" w:color="auto"/>
              <w:right w:val="nil"/>
            </w:tcBorders>
            <w:shd w:val="clear" w:color="auto" w:fill="auto"/>
            <w:vAlign w:val="center"/>
            <w:hideMark/>
          </w:tcPr>
          <w:p w14:paraId="1B0FF182" w14:textId="77777777" w:rsidR="002F3813" w:rsidRPr="00F032EF" w:rsidRDefault="002F3813" w:rsidP="002049F4">
            <w:pPr>
              <w:spacing w:after="0" w:line="240" w:lineRule="auto"/>
              <w:jc w:val="center"/>
              <w:rPr>
                <w:rFonts w:ascii="Arial" w:eastAsia="Times New Roman" w:hAnsi="Arial" w:cs="Arial"/>
                <w:sz w:val="20"/>
                <w:szCs w:val="20"/>
                <w:lang w:eastAsia="pt-BR"/>
              </w:rPr>
            </w:pPr>
            <w:r w:rsidRPr="00F032EF">
              <w:rPr>
                <w:rFonts w:ascii="Arial" w:eastAsia="Times New Roman" w:hAnsi="Arial" w:cs="Arial"/>
                <w:sz w:val="20"/>
                <w:szCs w:val="20"/>
                <w:lang w:eastAsia="pt-BR"/>
              </w:rPr>
              <w:t>1</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DB0C285" w14:textId="77777777" w:rsidR="002F3813" w:rsidRPr="00F032EF" w:rsidRDefault="002F3813" w:rsidP="002049F4">
            <w:pPr>
              <w:spacing w:after="0" w:line="240" w:lineRule="auto"/>
              <w:rPr>
                <w:rFonts w:ascii="Arial" w:eastAsia="Times New Roman" w:hAnsi="Arial" w:cs="Arial"/>
                <w:sz w:val="20"/>
                <w:szCs w:val="20"/>
                <w:lang w:eastAsia="pt-BR"/>
              </w:rPr>
            </w:pPr>
            <w:r w:rsidRPr="00F032EF">
              <w:rPr>
                <w:rFonts w:ascii="Arial" w:eastAsia="Times New Roman" w:hAnsi="Arial" w:cs="Arial"/>
                <w:sz w:val="20"/>
                <w:szCs w:val="20"/>
                <w:lang w:eastAsia="pt-BR"/>
              </w:rPr>
              <w:t>Obrigatório</w:t>
            </w:r>
          </w:p>
          <w:p w14:paraId="11234E4C" w14:textId="77777777" w:rsidR="002F3813" w:rsidRPr="00F032EF" w:rsidRDefault="002F3813" w:rsidP="002049F4">
            <w:pPr>
              <w:spacing w:after="0" w:line="240" w:lineRule="auto"/>
              <w:rPr>
                <w:rFonts w:ascii="Arial" w:eastAsia="Times New Roman" w:hAnsi="Arial" w:cs="Arial"/>
                <w:sz w:val="20"/>
                <w:szCs w:val="20"/>
                <w:lang w:eastAsia="pt-BR"/>
              </w:rPr>
            </w:pPr>
            <w:r w:rsidRPr="00F032EF">
              <w:rPr>
                <w:rFonts w:ascii="Arial" w:eastAsia="Times New Roman" w:hAnsi="Arial" w:cs="Arial"/>
                <w:sz w:val="20"/>
                <w:szCs w:val="20"/>
                <w:lang w:eastAsia="pt-BR"/>
              </w:rPr>
              <w:t>1 - Existem somente os normativos</w:t>
            </w:r>
          </w:p>
          <w:p w14:paraId="127F7541" w14:textId="77777777" w:rsidR="002F3813" w:rsidRPr="00F032EF" w:rsidRDefault="002F3813" w:rsidP="002049F4">
            <w:pPr>
              <w:spacing w:after="0" w:line="240" w:lineRule="auto"/>
              <w:rPr>
                <w:rFonts w:ascii="Arial" w:eastAsia="Times New Roman" w:hAnsi="Arial" w:cs="Arial"/>
                <w:sz w:val="20"/>
                <w:szCs w:val="20"/>
                <w:lang w:eastAsia="pt-BR"/>
              </w:rPr>
            </w:pPr>
          </w:p>
          <w:p w14:paraId="3EC20891" w14:textId="77777777" w:rsidR="002F3813" w:rsidRPr="00F032EF" w:rsidRDefault="002F3813" w:rsidP="002049F4">
            <w:pPr>
              <w:spacing w:after="0" w:line="240" w:lineRule="auto"/>
              <w:rPr>
                <w:rFonts w:ascii="Arial" w:eastAsia="Times New Roman" w:hAnsi="Arial" w:cs="Arial"/>
                <w:sz w:val="20"/>
                <w:szCs w:val="20"/>
                <w:lang w:eastAsia="pt-BR"/>
              </w:rPr>
            </w:pPr>
            <w:r w:rsidRPr="00F032EF">
              <w:rPr>
                <w:rFonts w:ascii="Arial" w:eastAsia="Times New Roman" w:hAnsi="Arial" w:cs="Arial"/>
                <w:sz w:val="20"/>
                <w:szCs w:val="20"/>
                <w:lang w:eastAsia="pt-BR"/>
              </w:rPr>
              <w:t>2 - Existem normativos e fluxos desenhados</w:t>
            </w:r>
          </w:p>
          <w:p w14:paraId="34CF873B" w14:textId="77777777" w:rsidR="002F3813" w:rsidRPr="00F032EF" w:rsidRDefault="002F3813" w:rsidP="002049F4">
            <w:pPr>
              <w:spacing w:after="0" w:line="240" w:lineRule="auto"/>
              <w:rPr>
                <w:rFonts w:ascii="Arial" w:eastAsia="Times New Roman" w:hAnsi="Arial" w:cs="Arial"/>
                <w:sz w:val="20"/>
                <w:szCs w:val="20"/>
                <w:lang w:eastAsia="pt-BR"/>
              </w:rPr>
            </w:pPr>
          </w:p>
          <w:p w14:paraId="1883B322" w14:textId="77777777" w:rsidR="002F3813" w:rsidRPr="00F032EF" w:rsidRDefault="002F3813" w:rsidP="002049F4">
            <w:pPr>
              <w:spacing w:after="0" w:line="240" w:lineRule="auto"/>
              <w:rPr>
                <w:rFonts w:ascii="Arial" w:eastAsia="Times New Roman" w:hAnsi="Arial" w:cs="Arial"/>
                <w:sz w:val="20"/>
                <w:szCs w:val="20"/>
                <w:lang w:eastAsia="pt-BR"/>
              </w:rPr>
            </w:pPr>
            <w:r w:rsidRPr="00F032EF">
              <w:rPr>
                <w:rFonts w:ascii="Arial" w:eastAsia="Times New Roman" w:hAnsi="Arial" w:cs="Arial"/>
                <w:sz w:val="20"/>
                <w:szCs w:val="20"/>
                <w:lang w:eastAsia="pt-BR"/>
              </w:rPr>
              <w:t>3 - Existem normativos, fluxos e são de amplo conhecimento de toda a administração</w:t>
            </w:r>
          </w:p>
          <w:p w14:paraId="0F7BEAE2" w14:textId="77777777" w:rsidR="002F3813" w:rsidRPr="00F032EF" w:rsidRDefault="002F3813" w:rsidP="002049F4">
            <w:pPr>
              <w:spacing w:after="0" w:line="240" w:lineRule="auto"/>
              <w:rPr>
                <w:rFonts w:ascii="Arial" w:eastAsia="Times New Roman" w:hAnsi="Arial" w:cs="Arial"/>
                <w:sz w:val="20"/>
                <w:szCs w:val="20"/>
                <w:lang w:eastAsia="pt-BR"/>
              </w:rPr>
            </w:pPr>
          </w:p>
          <w:p w14:paraId="1FEE972D" w14:textId="77777777" w:rsidR="002F3813" w:rsidRPr="00F032EF" w:rsidRDefault="002F3813" w:rsidP="002049F4">
            <w:pPr>
              <w:spacing w:after="0" w:line="240" w:lineRule="auto"/>
              <w:rPr>
                <w:rFonts w:ascii="Arial" w:eastAsia="Times New Roman" w:hAnsi="Arial" w:cs="Arial"/>
                <w:sz w:val="20"/>
                <w:szCs w:val="20"/>
                <w:lang w:eastAsia="pt-BR"/>
              </w:rPr>
            </w:pPr>
            <w:r w:rsidRPr="00F032EF">
              <w:rPr>
                <w:rFonts w:ascii="Arial" w:eastAsia="Times New Roman" w:hAnsi="Arial" w:cs="Arial"/>
                <w:sz w:val="20"/>
                <w:szCs w:val="20"/>
                <w:lang w:eastAsia="pt-BR"/>
              </w:rPr>
              <w:t>4 - Não existem normas internas definidas no âmbito desta temática</w:t>
            </w:r>
          </w:p>
        </w:tc>
      </w:tr>
      <w:tr w:rsidR="00F032EF" w:rsidRPr="00F032EF" w14:paraId="51CFB91D" w14:textId="77777777" w:rsidTr="002049F4">
        <w:trPr>
          <w:trHeight w:val="255"/>
        </w:trPr>
        <w:tc>
          <w:tcPr>
            <w:tcW w:w="42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BA8AD4" w14:textId="77777777" w:rsidR="002F3813" w:rsidRPr="00F032EF" w:rsidRDefault="002F3813" w:rsidP="002049F4">
            <w:pPr>
              <w:spacing w:after="0" w:line="240" w:lineRule="auto"/>
              <w:jc w:val="both"/>
              <w:rPr>
                <w:rFonts w:ascii="Arial" w:eastAsia="Times New Roman" w:hAnsi="Arial" w:cs="Arial"/>
                <w:sz w:val="20"/>
                <w:szCs w:val="20"/>
                <w:lang w:eastAsia="pt-BR"/>
              </w:rPr>
            </w:pPr>
            <w:r w:rsidRPr="00F032EF">
              <w:rPr>
                <w:rFonts w:ascii="Arial" w:eastAsia="Times New Roman" w:hAnsi="Arial" w:cs="Arial"/>
                <w:sz w:val="20"/>
                <w:szCs w:val="20"/>
                <w:lang w:eastAsia="pt-BR"/>
              </w:rPr>
              <w:t>Normas internas estabelecendo procedimentos para avaliação da Gestão Patrimonial</w:t>
            </w:r>
          </w:p>
        </w:tc>
        <w:tc>
          <w:tcPr>
            <w:tcW w:w="111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6CC73A" w14:textId="77777777" w:rsidR="002F3813" w:rsidRPr="00F032EF" w:rsidRDefault="002F3813" w:rsidP="002049F4">
            <w:pPr>
              <w:spacing w:after="0" w:line="240" w:lineRule="auto"/>
              <w:jc w:val="center"/>
              <w:rPr>
                <w:rFonts w:ascii="Arial" w:eastAsia="Times New Roman" w:hAnsi="Arial" w:cs="Arial"/>
                <w:sz w:val="20"/>
                <w:szCs w:val="20"/>
                <w:lang w:eastAsia="pt-BR"/>
              </w:rPr>
            </w:pPr>
            <w:r w:rsidRPr="00F032EF">
              <w:rPr>
                <w:rFonts w:ascii="Arial" w:eastAsia="Times New Roman" w:hAnsi="Arial" w:cs="Arial"/>
                <w:sz w:val="20"/>
                <w:szCs w:val="20"/>
                <w:lang w:eastAsia="pt-BR"/>
              </w:rPr>
              <w:t>Inteiro</w:t>
            </w:r>
          </w:p>
        </w:tc>
        <w:tc>
          <w:tcPr>
            <w:tcW w:w="1298" w:type="dxa"/>
            <w:vMerge w:val="restart"/>
            <w:tcBorders>
              <w:top w:val="single" w:sz="4" w:space="0" w:color="auto"/>
              <w:left w:val="single" w:sz="4" w:space="0" w:color="auto"/>
              <w:bottom w:val="single" w:sz="4" w:space="0" w:color="auto"/>
              <w:right w:val="nil"/>
            </w:tcBorders>
            <w:shd w:val="clear" w:color="auto" w:fill="auto"/>
            <w:vAlign w:val="center"/>
            <w:hideMark/>
          </w:tcPr>
          <w:p w14:paraId="0A23B83E" w14:textId="77777777" w:rsidR="002F3813" w:rsidRPr="00F032EF" w:rsidRDefault="002F3813" w:rsidP="002049F4">
            <w:pPr>
              <w:spacing w:after="0" w:line="240" w:lineRule="auto"/>
              <w:jc w:val="center"/>
              <w:rPr>
                <w:rFonts w:ascii="Arial" w:eastAsia="Times New Roman" w:hAnsi="Arial" w:cs="Arial"/>
                <w:sz w:val="20"/>
                <w:szCs w:val="20"/>
                <w:lang w:eastAsia="pt-BR"/>
              </w:rPr>
            </w:pPr>
            <w:r w:rsidRPr="00F032EF">
              <w:rPr>
                <w:rFonts w:ascii="Arial" w:eastAsia="Times New Roman" w:hAnsi="Arial" w:cs="Arial"/>
                <w:sz w:val="20"/>
                <w:szCs w:val="20"/>
                <w:lang w:eastAsia="pt-BR"/>
              </w:rPr>
              <w:t>1</w:t>
            </w:r>
          </w:p>
        </w:tc>
        <w:tc>
          <w:tcPr>
            <w:tcW w:w="2835" w:type="dxa"/>
            <w:tcBorders>
              <w:top w:val="single" w:sz="4" w:space="0" w:color="auto"/>
              <w:left w:val="single" w:sz="4" w:space="0" w:color="auto"/>
              <w:bottom w:val="nil"/>
              <w:right w:val="single" w:sz="4" w:space="0" w:color="auto"/>
            </w:tcBorders>
            <w:shd w:val="clear" w:color="000000" w:fill="FFFFFF"/>
            <w:vAlign w:val="center"/>
            <w:hideMark/>
          </w:tcPr>
          <w:p w14:paraId="175FD088" w14:textId="77777777" w:rsidR="002F3813" w:rsidRPr="00F032EF" w:rsidRDefault="002F3813" w:rsidP="002049F4">
            <w:pPr>
              <w:spacing w:after="0" w:line="240" w:lineRule="auto"/>
              <w:rPr>
                <w:rFonts w:ascii="Arial" w:eastAsia="Times New Roman" w:hAnsi="Arial" w:cs="Arial"/>
                <w:sz w:val="20"/>
                <w:szCs w:val="20"/>
                <w:lang w:eastAsia="pt-BR"/>
              </w:rPr>
            </w:pPr>
            <w:r w:rsidRPr="00F032EF">
              <w:rPr>
                <w:rFonts w:ascii="Arial" w:eastAsia="Times New Roman" w:hAnsi="Arial" w:cs="Arial"/>
                <w:sz w:val="20"/>
                <w:szCs w:val="20"/>
                <w:lang w:eastAsia="pt-BR"/>
              </w:rPr>
              <w:t>Obrigatório</w:t>
            </w:r>
          </w:p>
        </w:tc>
      </w:tr>
      <w:tr w:rsidR="00F032EF" w:rsidRPr="00F032EF" w14:paraId="672422F8" w14:textId="77777777" w:rsidTr="002049F4">
        <w:trPr>
          <w:trHeight w:val="555"/>
        </w:trPr>
        <w:tc>
          <w:tcPr>
            <w:tcW w:w="4248" w:type="dxa"/>
            <w:vMerge/>
            <w:tcBorders>
              <w:top w:val="nil"/>
              <w:left w:val="single" w:sz="4" w:space="0" w:color="auto"/>
              <w:bottom w:val="single" w:sz="4" w:space="0" w:color="auto"/>
              <w:right w:val="single" w:sz="4" w:space="0" w:color="auto"/>
            </w:tcBorders>
            <w:vAlign w:val="center"/>
            <w:hideMark/>
          </w:tcPr>
          <w:p w14:paraId="28FD60DB" w14:textId="77777777" w:rsidR="002F3813" w:rsidRPr="00F032EF" w:rsidRDefault="002F3813" w:rsidP="002049F4">
            <w:pPr>
              <w:spacing w:after="0" w:line="240" w:lineRule="auto"/>
              <w:rPr>
                <w:rFonts w:ascii="Arial" w:eastAsia="Times New Roman" w:hAnsi="Arial" w:cs="Arial"/>
                <w:sz w:val="20"/>
                <w:szCs w:val="20"/>
                <w:lang w:eastAsia="pt-BR"/>
              </w:rPr>
            </w:pPr>
          </w:p>
        </w:tc>
        <w:tc>
          <w:tcPr>
            <w:tcW w:w="1112" w:type="dxa"/>
            <w:vMerge/>
            <w:tcBorders>
              <w:top w:val="nil"/>
              <w:left w:val="single" w:sz="4" w:space="0" w:color="auto"/>
              <w:bottom w:val="single" w:sz="4" w:space="0" w:color="auto"/>
              <w:right w:val="single" w:sz="4" w:space="0" w:color="auto"/>
            </w:tcBorders>
            <w:vAlign w:val="center"/>
            <w:hideMark/>
          </w:tcPr>
          <w:p w14:paraId="1B798ACD" w14:textId="77777777" w:rsidR="002F3813" w:rsidRPr="00F032EF" w:rsidRDefault="002F3813" w:rsidP="002049F4">
            <w:pPr>
              <w:spacing w:after="0" w:line="240" w:lineRule="auto"/>
              <w:rPr>
                <w:rFonts w:ascii="Arial" w:eastAsia="Times New Roman" w:hAnsi="Arial" w:cs="Arial"/>
                <w:sz w:val="20"/>
                <w:szCs w:val="20"/>
                <w:lang w:eastAsia="pt-BR"/>
              </w:rPr>
            </w:pPr>
          </w:p>
        </w:tc>
        <w:tc>
          <w:tcPr>
            <w:tcW w:w="1298" w:type="dxa"/>
            <w:vMerge/>
            <w:tcBorders>
              <w:top w:val="nil"/>
              <w:left w:val="single" w:sz="4" w:space="0" w:color="auto"/>
              <w:bottom w:val="single" w:sz="4" w:space="0" w:color="auto"/>
              <w:right w:val="nil"/>
            </w:tcBorders>
            <w:vAlign w:val="center"/>
            <w:hideMark/>
          </w:tcPr>
          <w:p w14:paraId="20CE9AC3" w14:textId="77777777" w:rsidR="002F3813" w:rsidRPr="00F032EF" w:rsidRDefault="002F3813" w:rsidP="002049F4">
            <w:pPr>
              <w:spacing w:after="0" w:line="240" w:lineRule="auto"/>
              <w:rPr>
                <w:rFonts w:ascii="Arial" w:eastAsia="Times New Roman" w:hAnsi="Arial" w:cs="Arial"/>
                <w:sz w:val="20"/>
                <w:szCs w:val="20"/>
                <w:lang w:eastAsia="pt-BR"/>
              </w:rPr>
            </w:pPr>
          </w:p>
        </w:tc>
        <w:tc>
          <w:tcPr>
            <w:tcW w:w="2835" w:type="dxa"/>
            <w:tcBorders>
              <w:top w:val="nil"/>
              <w:left w:val="single" w:sz="4" w:space="0" w:color="auto"/>
              <w:bottom w:val="nil"/>
              <w:right w:val="single" w:sz="4" w:space="0" w:color="auto"/>
            </w:tcBorders>
            <w:shd w:val="clear" w:color="000000" w:fill="FFFFFF"/>
            <w:vAlign w:val="center"/>
            <w:hideMark/>
          </w:tcPr>
          <w:p w14:paraId="3113FED6" w14:textId="77777777" w:rsidR="002F3813" w:rsidRPr="00F032EF" w:rsidRDefault="002F3813" w:rsidP="002049F4">
            <w:pPr>
              <w:spacing w:after="0" w:line="240" w:lineRule="auto"/>
              <w:rPr>
                <w:rFonts w:ascii="Arial" w:eastAsia="Times New Roman" w:hAnsi="Arial" w:cs="Arial"/>
                <w:sz w:val="20"/>
                <w:szCs w:val="20"/>
                <w:lang w:eastAsia="pt-BR"/>
              </w:rPr>
            </w:pPr>
            <w:r w:rsidRPr="00F032EF">
              <w:rPr>
                <w:rFonts w:ascii="Arial" w:eastAsia="Times New Roman" w:hAnsi="Arial" w:cs="Arial"/>
                <w:sz w:val="20"/>
                <w:szCs w:val="20"/>
                <w:lang w:eastAsia="pt-BR"/>
              </w:rPr>
              <w:t>1 - Existem somente os normativos</w:t>
            </w:r>
          </w:p>
        </w:tc>
      </w:tr>
      <w:tr w:rsidR="00F032EF" w:rsidRPr="00F032EF" w14:paraId="2D3804EB" w14:textId="77777777" w:rsidTr="002049F4">
        <w:trPr>
          <w:trHeight w:val="615"/>
        </w:trPr>
        <w:tc>
          <w:tcPr>
            <w:tcW w:w="4248" w:type="dxa"/>
            <w:vMerge/>
            <w:tcBorders>
              <w:top w:val="nil"/>
              <w:left w:val="single" w:sz="4" w:space="0" w:color="auto"/>
              <w:bottom w:val="single" w:sz="4" w:space="0" w:color="auto"/>
              <w:right w:val="single" w:sz="4" w:space="0" w:color="auto"/>
            </w:tcBorders>
            <w:vAlign w:val="center"/>
            <w:hideMark/>
          </w:tcPr>
          <w:p w14:paraId="705E6C04" w14:textId="77777777" w:rsidR="002F3813" w:rsidRPr="00F032EF" w:rsidRDefault="002F3813" w:rsidP="002049F4">
            <w:pPr>
              <w:spacing w:after="0" w:line="240" w:lineRule="auto"/>
              <w:rPr>
                <w:rFonts w:ascii="Arial" w:eastAsia="Times New Roman" w:hAnsi="Arial" w:cs="Arial"/>
                <w:sz w:val="20"/>
                <w:szCs w:val="20"/>
                <w:lang w:eastAsia="pt-BR"/>
              </w:rPr>
            </w:pPr>
          </w:p>
        </w:tc>
        <w:tc>
          <w:tcPr>
            <w:tcW w:w="1112" w:type="dxa"/>
            <w:vMerge/>
            <w:tcBorders>
              <w:top w:val="nil"/>
              <w:left w:val="single" w:sz="4" w:space="0" w:color="auto"/>
              <w:bottom w:val="single" w:sz="4" w:space="0" w:color="auto"/>
              <w:right w:val="single" w:sz="4" w:space="0" w:color="auto"/>
            </w:tcBorders>
            <w:vAlign w:val="center"/>
            <w:hideMark/>
          </w:tcPr>
          <w:p w14:paraId="7162D32E" w14:textId="77777777" w:rsidR="002F3813" w:rsidRPr="00F032EF" w:rsidRDefault="002F3813" w:rsidP="002049F4">
            <w:pPr>
              <w:spacing w:after="0" w:line="240" w:lineRule="auto"/>
              <w:rPr>
                <w:rFonts w:ascii="Arial" w:eastAsia="Times New Roman" w:hAnsi="Arial" w:cs="Arial"/>
                <w:sz w:val="20"/>
                <w:szCs w:val="20"/>
                <w:lang w:eastAsia="pt-BR"/>
              </w:rPr>
            </w:pPr>
          </w:p>
        </w:tc>
        <w:tc>
          <w:tcPr>
            <w:tcW w:w="1298" w:type="dxa"/>
            <w:vMerge/>
            <w:tcBorders>
              <w:top w:val="nil"/>
              <w:left w:val="single" w:sz="4" w:space="0" w:color="auto"/>
              <w:bottom w:val="single" w:sz="4" w:space="0" w:color="auto"/>
              <w:right w:val="nil"/>
            </w:tcBorders>
            <w:vAlign w:val="center"/>
            <w:hideMark/>
          </w:tcPr>
          <w:p w14:paraId="774C841E" w14:textId="77777777" w:rsidR="002F3813" w:rsidRPr="00F032EF" w:rsidRDefault="002F3813" w:rsidP="002049F4">
            <w:pPr>
              <w:spacing w:after="0" w:line="240" w:lineRule="auto"/>
              <w:rPr>
                <w:rFonts w:ascii="Arial" w:eastAsia="Times New Roman" w:hAnsi="Arial" w:cs="Arial"/>
                <w:sz w:val="20"/>
                <w:szCs w:val="20"/>
                <w:lang w:eastAsia="pt-BR"/>
              </w:rPr>
            </w:pPr>
          </w:p>
        </w:tc>
        <w:tc>
          <w:tcPr>
            <w:tcW w:w="2835" w:type="dxa"/>
            <w:tcBorders>
              <w:top w:val="nil"/>
              <w:left w:val="single" w:sz="4" w:space="0" w:color="auto"/>
              <w:bottom w:val="nil"/>
              <w:right w:val="single" w:sz="4" w:space="0" w:color="auto"/>
            </w:tcBorders>
            <w:shd w:val="clear" w:color="000000" w:fill="FFFFFF"/>
            <w:vAlign w:val="center"/>
            <w:hideMark/>
          </w:tcPr>
          <w:p w14:paraId="4D756F34" w14:textId="77777777" w:rsidR="002F3813" w:rsidRPr="00F032EF" w:rsidRDefault="002F3813" w:rsidP="002049F4">
            <w:pPr>
              <w:spacing w:after="0" w:line="240" w:lineRule="auto"/>
              <w:rPr>
                <w:rFonts w:ascii="Arial" w:eastAsia="Times New Roman" w:hAnsi="Arial" w:cs="Arial"/>
                <w:sz w:val="20"/>
                <w:szCs w:val="20"/>
                <w:lang w:eastAsia="pt-BR"/>
              </w:rPr>
            </w:pPr>
            <w:r w:rsidRPr="00F032EF">
              <w:rPr>
                <w:rFonts w:ascii="Arial" w:eastAsia="Times New Roman" w:hAnsi="Arial" w:cs="Arial"/>
                <w:sz w:val="20"/>
                <w:szCs w:val="20"/>
                <w:lang w:eastAsia="pt-BR"/>
              </w:rPr>
              <w:t>2 - Existem normativos e fluxos desenhados</w:t>
            </w:r>
          </w:p>
        </w:tc>
      </w:tr>
      <w:tr w:rsidR="00F032EF" w:rsidRPr="00F032EF" w14:paraId="7681A0A8" w14:textId="77777777" w:rsidTr="002049F4">
        <w:trPr>
          <w:trHeight w:val="1140"/>
        </w:trPr>
        <w:tc>
          <w:tcPr>
            <w:tcW w:w="4248" w:type="dxa"/>
            <w:vMerge/>
            <w:tcBorders>
              <w:top w:val="nil"/>
              <w:left w:val="single" w:sz="4" w:space="0" w:color="auto"/>
              <w:bottom w:val="single" w:sz="4" w:space="0" w:color="auto"/>
              <w:right w:val="single" w:sz="4" w:space="0" w:color="auto"/>
            </w:tcBorders>
            <w:vAlign w:val="center"/>
            <w:hideMark/>
          </w:tcPr>
          <w:p w14:paraId="59217BD8" w14:textId="77777777" w:rsidR="002F3813" w:rsidRPr="00F032EF" w:rsidRDefault="002F3813" w:rsidP="002049F4">
            <w:pPr>
              <w:spacing w:after="0" w:line="240" w:lineRule="auto"/>
              <w:rPr>
                <w:rFonts w:ascii="Arial" w:eastAsia="Times New Roman" w:hAnsi="Arial" w:cs="Arial"/>
                <w:sz w:val="20"/>
                <w:szCs w:val="20"/>
                <w:lang w:eastAsia="pt-BR"/>
              </w:rPr>
            </w:pPr>
          </w:p>
        </w:tc>
        <w:tc>
          <w:tcPr>
            <w:tcW w:w="1112" w:type="dxa"/>
            <w:vMerge/>
            <w:tcBorders>
              <w:top w:val="nil"/>
              <w:left w:val="single" w:sz="4" w:space="0" w:color="auto"/>
              <w:bottom w:val="single" w:sz="4" w:space="0" w:color="auto"/>
              <w:right w:val="single" w:sz="4" w:space="0" w:color="auto"/>
            </w:tcBorders>
            <w:vAlign w:val="center"/>
            <w:hideMark/>
          </w:tcPr>
          <w:p w14:paraId="7498EA74" w14:textId="77777777" w:rsidR="002F3813" w:rsidRPr="00F032EF" w:rsidRDefault="002F3813" w:rsidP="002049F4">
            <w:pPr>
              <w:spacing w:after="0" w:line="240" w:lineRule="auto"/>
              <w:rPr>
                <w:rFonts w:ascii="Arial" w:eastAsia="Times New Roman" w:hAnsi="Arial" w:cs="Arial"/>
                <w:sz w:val="20"/>
                <w:szCs w:val="20"/>
                <w:lang w:eastAsia="pt-BR"/>
              </w:rPr>
            </w:pPr>
          </w:p>
        </w:tc>
        <w:tc>
          <w:tcPr>
            <w:tcW w:w="1298" w:type="dxa"/>
            <w:vMerge/>
            <w:tcBorders>
              <w:top w:val="nil"/>
              <w:left w:val="single" w:sz="4" w:space="0" w:color="auto"/>
              <w:bottom w:val="single" w:sz="4" w:space="0" w:color="auto"/>
              <w:right w:val="nil"/>
            </w:tcBorders>
            <w:vAlign w:val="center"/>
            <w:hideMark/>
          </w:tcPr>
          <w:p w14:paraId="29674DF1" w14:textId="77777777" w:rsidR="002F3813" w:rsidRPr="00F032EF" w:rsidRDefault="002F3813" w:rsidP="002049F4">
            <w:pPr>
              <w:spacing w:after="0" w:line="240" w:lineRule="auto"/>
              <w:rPr>
                <w:rFonts w:ascii="Arial" w:eastAsia="Times New Roman" w:hAnsi="Arial" w:cs="Arial"/>
                <w:sz w:val="20"/>
                <w:szCs w:val="20"/>
                <w:lang w:eastAsia="pt-BR"/>
              </w:rPr>
            </w:pPr>
          </w:p>
        </w:tc>
        <w:tc>
          <w:tcPr>
            <w:tcW w:w="2835" w:type="dxa"/>
            <w:tcBorders>
              <w:top w:val="nil"/>
              <w:left w:val="single" w:sz="4" w:space="0" w:color="auto"/>
              <w:bottom w:val="nil"/>
              <w:right w:val="single" w:sz="4" w:space="0" w:color="auto"/>
            </w:tcBorders>
            <w:shd w:val="clear" w:color="000000" w:fill="FFFFFF"/>
            <w:vAlign w:val="center"/>
            <w:hideMark/>
          </w:tcPr>
          <w:p w14:paraId="7B25DC4E" w14:textId="77777777" w:rsidR="002F3813" w:rsidRPr="00F032EF" w:rsidRDefault="002F3813" w:rsidP="002049F4">
            <w:pPr>
              <w:spacing w:after="0" w:line="240" w:lineRule="auto"/>
              <w:rPr>
                <w:rFonts w:ascii="Arial" w:eastAsia="Times New Roman" w:hAnsi="Arial" w:cs="Arial"/>
                <w:sz w:val="20"/>
                <w:szCs w:val="20"/>
                <w:lang w:eastAsia="pt-BR"/>
              </w:rPr>
            </w:pPr>
            <w:r w:rsidRPr="00F032EF">
              <w:rPr>
                <w:rFonts w:ascii="Arial" w:eastAsia="Times New Roman" w:hAnsi="Arial" w:cs="Arial"/>
                <w:sz w:val="20"/>
                <w:szCs w:val="20"/>
                <w:lang w:eastAsia="pt-BR"/>
              </w:rPr>
              <w:t>3 - Existem normativos, fluxos e são de amplo conhecimento de toda a administração</w:t>
            </w:r>
          </w:p>
        </w:tc>
      </w:tr>
      <w:tr w:rsidR="00F032EF" w:rsidRPr="00F032EF" w14:paraId="50A197A2" w14:textId="77777777" w:rsidTr="002049F4">
        <w:trPr>
          <w:trHeight w:val="780"/>
        </w:trPr>
        <w:tc>
          <w:tcPr>
            <w:tcW w:w="4248" w:type="dxa"/>
            <w:vMerge/>
            <w:tcBorders>
              <w:top w:val="nil"/>
              <w:left w:val="single" w:sz="4" w:space="0" w:color="auto"/>
              <w:bottom w:val="single" w:sz="4" w:space="0" w:color="auto"/>
              <w:right w:val="single" w:sz="4" w:space="0" w:color="auto"/>
            </w:tcBorders>
            <w:vAlign w:val="center"/>
            <w:hideMark/>
          </w:tcPr>
          <w:p w14:paraId="65FD44D7" w14:textId="77777777" w:rsidR="002F3813" w:rsidRPr="00F032EF" w:rsidRDefault="002F3813" w:rsidP="002049F4">
            <w:pPr>
              <w:spacing w:after="0" w:line="240" w:lineRule="auto"/>
              <w:rPr>
                <w:rFonts w:ascii="Arial" w:eastAsia="Times New Roman" w:hAnsi="Arial" w:cs="Arial"/>
                <w:sz w:val="20"/>
                <w:szCs w:val="20"/>
                <w:lang w:eastAsia="pt-BR"/>
              </w:rPr>
            </w:pPr>
          </w:p>
        </w:tc>
        <w:tc>
          <w:tcPr>
            <w:tcW w:w="1112" w:type="dxa"/>
            <w:vMerge/>
            <w:tcBorders>
              <w:top w:val="nil"/>
              <w:left w:val="single" w:sz="4" w:space="0" w:color="auto"/>
              <w:bottom w:val="single" w:sz="4" w:space="0" w:color="auto"/>
              <w:right w:val="single" w:sz="4" w:space="0" w:color="auto"/>
            </w:tcBorders>
            <w:vAlign w:val="center"/>
            <w:hideMark/>
          </w:tcPr>
          <w:p w14:paraId="4046D707" w14:textId="77777777" w:rsidR="002F3813" w:rsidRPr="00F032EF" w:rsidRDefault="002F3813" w:rsidP="002049F4">
            <w:pPr>
              <w:spacing w:after="0" w:line="240" w:lineRule="auto"/>
              <w:rPr>
                <w:rFonts w:ascii="Arial" w:eastAsia="Times New Roman" w:hAnsi="Arial" w:cs="Arial"/>
                <w:sz w:val="20"/>
                <w:szCs w:val="20"/>
                <w:lang w:eastAsia="pt-BR"/>
              </w:rPr>
            </w:pPr>
          </w:p>
        </w:tc>
        <w:tc>
          <w:tcPr>
            <w:tcW w:w="1298" w:type="dxa"/>
            <w:vMerge/>
            <w:tcBorders>
              <w:top w:val="nil"/>
              <w:left w:val="single" w:sz="4" w:space="0" w:color="auto"/>
              <w:bottom w:val="single" w:sz="4" w:space="0" w:color="auto"/>
              <w:right w:val="nil"/>
            </w:tcBorders>
            <w:vAlign w:val="center"/>
            <w:hideMark/>
          </w:tcPr>
          <w:p w14:paraId="78B40919" w14:textId="77777777" w:rsidR="002F3813" w:rsidRPr="00F032EF" w:rsidRDefault="002F3813" w:rsidP="002049F4">
            <w:pPr>
              <w:spacing w:after="0" w:line="240" w:lineRule="auto"/>
              <w:rPr>
                <w:rFonts w:ascii="Arial" w:eastAsia="Times New Roman" w:hAnsi="Arial" w:cs="Arial"/>
                <w:sz w:val="20"/>
                <w:szCs w:val="20"/>
                <w:lang w:eastAsia="pt-BR"/>
              </w:rPr>
            </w:pPr>
          </w:p>
        </w:tc>
        <w:tc>
          <w:tcPr>
            <w:tcW w:w="2835" w:type="dxa"/>
            <w:tcBorders>
              <w:top w:val="nil"/>
              <w:left w:val="single" w:sz="4" w:space="0" w:color="auto"/>
              <w:bottom w:val="nil"/>
              <w:right w:val="single" w:sz="4" w:space="0" w:color="auto"/>
            </w:tcBorders>
            <w:shd w:val="clear" w:color="000000" w:fill="FFFFFF"/>
            <w:vAlign w:val="center"/>
            <w:hideMark/>
          </w:tcPr>
          <w:p w14:paraId="2DCDF0F4" w14:textId="77777777" w:rsidR="002F3813" w:rsidRPr="00F032EF" w:rsidRDefault="002F3813" w:rsidP="002049F4">
            <w:pPr>
              <w:spacing w:after="0" w:line="240" w:lineRule="auto"/>
              <w:rPr>
                <w:rFonts w:ascii="Arial" w:eastAsia="Times New Roman" w:hAnsi="Arial" w:cs="Arial"/>
                <w:sz w:val="20"/>
                <w:szCs w:val="20"/>
                <w:lang w:eastAsia="pt-BR"/>
              </w:rPr>
            </w:pPr>
            <w:r w:rsidRPr="00F032EF">
              <w:rPr>
                <w:rFonts w:ascii="Arial" w:eastAsia="Times New Roman" w:hAnsi="Arial" w:cs="Arial"/>
                <w:sz w:val="20"/>
                <w:szCs w:val="20"/>
                <w:lang w:eastAsia="pt-BR"/>
              </w:rPr>
              <w:t>4 - Não existem normas internas definidas no âmbito desta temática</w:t>
            </w:r>
          </w:p>
        </w:tc>
      </w:tr>
      <w:tr w:rsidR="00F032EF" w:rsidRPr="00F032EF" w14:paraId="2BD65E6F" w14:textId="77777777" w:rsidTr="002049F4">
        <w:trPr>
          <w:trHeight w:val="405"/>
        </w:trPr>
        <w:tc>
          <w:tcPr>
            <w:tcW w:w="4248" w:type="dxa"/>
            <w:vMerge w:val="restart"/>
            <w:tcBorders>
              <w:top w:val="nil"/>
              <w:left w:val="single" w:sz="4" w:space="0" w:color="auto"/>
              <w:bottom w:val="single" w:sz="4" w:space="0" w:color="auto"/>
              <w:right w:val="single" w:sz="4" w:space="0" w:color="auto"/>
            </w:tcBorders>
            <w:shd w:val="clear" w:color="auto" w:fill="auto"/>
            <w:vAlign w:val="center"/>
            <w:hideMark/>
          </w:tcPr>
          <w:p w14:paraId="6242F745" w14:textId="77777777" w:rsidR="002F3813" w:rsidRPr="00F032EF" w:rsidRDefault="002F3813" w:rsidP="002049F4">
            <w:pPr>
              <w:spacing w:after="0" w:line="240" w:lineRule="auto"/>
              <w:jc w:val="both"/>
              <w:rPr>
                <w:rFonts w:ascii="Arial" w:eastAsia="Times New Roman" w:hAnsi="Arial" w:cs="Arial"/>
                <w:sz w:val="20"/>
                <w:szCs w:val="20"/>
                <w:lang w:eastAsia="pt-BR"/>
              </w:rPr>
            </w:pPr>
            <w:r w:rsidRPr="00F032EF">
              <w:rPr>
                <w:rFonts w:ascii="Arial" w:eastAsia="Times New Roman" w:hAnsi="Arial" w:cs="Arial"/>
                <w:sz w:val="20"/>
                <w:szCs w:val="20"/>
                <w:lang w:eastAsia="pt-BR"/>
              </w:rPr>
              <w:t>Normas internas estabelecendo procedimentos para avaliação da Gestão Fiscal</w:t>
            </w:r>
          </w:p>
        </w:tc>
        <w:tc>
          <w:tcPr>
            <w:tcW w:w="1112" w:type="dxa"/>
            <w:vMerge w:val="restart"/>
            <w:tcBorders>
              <w:top w:val="nil"/>
              <w:left w:val="single" w:sz="4" w:space="0" w:color="auto"/>
              <w:bottom w:val="single" w:sz="4" w:space="0" w:color="auto"/>
              <w:right w:val="single" w:sz="4" w:space="0" w:color="auto"/>
            </w:tcBorders>
            <w:shd w:val="clear" w:color="auto" w:fill="auto"/>
            <w:vAlign w:val="center"/>
            <w:hideMark/>
          </w:tcPr>
          <w:p w14:paraId="3E14EE9A" w14:textId="77777777" w:rsidR="002F3813" w:rsidRPr="00F032EF" w:rsidRDefault="002F3813" w:rsidP="002049F4">
            <w:pPr>
              <w:spacing w:after="0" w:line="240" w:lineRule="auto"/>
              <w:jc w:val="center"/>
              <w:rPr>
                <w:rFonts w:ascii="Arial" w:eastAsia="Times New Roman" w:hAnsi="Arial" w:cs="Arial"/>
                <w:sz w:val="20"/>
                <w:szCs w:val="20"/>
                <w:lang w:eastAsia="pt-BR"/>
              </w:rPr>
            </w:pPr>
            <w:r w:rsidRPr="00F032EF">
              <w:rPr>
                <w:rFonts w:ascii="Arial" w:eastAsia="Times New Roman" w:hAnsi="Arial" w:cs="Arial"/>
                <w:sz w:val="20"/>
                <w:szCs w:val="20"/>
                <w:lang w:eastAsia="pt-BR"/>
              </w:rPr>
              <w:t>Inteiro</w:t>
            </w:r>
          </w:p>
        </w:tc>
        <w:tc>
          <w:tcPr>
            <w:tcW w:w="1298" w:type="dxa"/>
            <w:vMerge w:val="restart"/>
            <w:tcBorders>
              <w:top w:val="nil"/>
              <w:left w:val="single" w:sz="4" w:space="0" w:color="auto"/>
              <w:bottom w:val="single" w:sz="4" w:space="0" w:color="auto"/>
              <w:right w:val="nil"/>
            </w:tcBorders>
            <w:shd w:val="clear" w:color="auto" w:fill="auto"/>
            <w:vAlign w:val="center"/>
            <w:hideMark/>
          </w:tcPr>
          <w:p w14:paraId="4412704C" w14:textId="77777777" w:rsidR="002F3813" w:rsidRPr="00F032EF" w:rsidRDefault="002F3813" w:rsidP="002049F4">
            <w:pPr>
              <w:spacing w:after="0" w:line="240" w:lineRule="auto"/>
              <w:jc w:val="center"/>
              <w:rPr>
                <w:rFonts w:ascii="Arial" w:eastAsia="Times New Roman" w:hAnsi="Arial" w:cs="Arial"/>
                <w:sz w:val="20"/>
                <w:szCs w:val="20"/>
                <w:lang w:eastAsia="pt-BR"/>
              </w:rPr>
            </w:pPr>
            <w:r w:rsidRPr="00F032EF">
              <w:rPr>
                <w:rFonts w:ascii="Arial" w:eastAsia="Times New Roman" w:hAnsi="Arial" w:cs="Arial"/>
                <w:sz w:val="20"/>
                <w:szCs w:val="20"/>
                <w:lang w:eastAsia="pt-BR"/>
              </w:rPr>
              <w:t>1</w:t>
            </w:r>
          </w:p>
        </w:tc>
        <w:tc>
          <w:tcPr>
            <w:tcW w:w="2835" w:type="dxa"/>
            <w:tcBorders>
              <w:top w:val="single" w:sz="4" w:space="0" w:color="auto"/>
              <w:left w:val="single" w:sz="4" w:space="0" w:color="auto"/>
              <w:bottom w:val="nil"/>
              <w:right w:val="single" w:sz="4" w:space="0" w:color="auto"/>
            </w:tcBorders>
            <w:shd w:val="clear" w:color="000000" w:fill="FFFFFF"/>
            <w:vAlign w:val="center"/>
            <w:hideMark/>
          </w:tcPr>
          <w:p w14:paraId="126AF219" w14:textId="77777777" w:rsidR="002F3813" w:rsidRPr="00F032EF" w:rsidRDefault="002F3813" w:rsidP="002049F4">
            <w:pPr>
              <w:spacing w:after="0" w:line="240" w:lineRule="auto"/>
              <w:rPr>
                <w:rFonts w:ascii="Arial" w:eastAsia="Times New Roman" w:hAnsi="Arial" w:cs="Arial"/>
                <w:sz w:val="20"/>
                <w:szCs w:val="20"/>
                <w:lang w:eastAsia="pt-BR"/>
              </w:rPr>
            </w:pPr>
            <w:r w:rsidRPr="00F032EF">
              <w:rPr>
                <w:rFonts w:ascii="Arial" w:eastAsia="Times New Roman" w:hAnsi="Arial" w:cs="Arial"/>
                <w:sz w:val="20"/>
                <w:szCs w:val="20"/>
                <w:lang w:eastAsia="pt-BR"/>
              </w:rPr>
              <w:t>Obrigatório</w:t>
            </w:r>
          </w:p>
        </w:tc>
      </w:tr>
      <w:tr w:rsidR="00F032EF" w:rsidRPr="00F032EF" w14:paraId="28F7320E" w14:textId="77777777" w:rsidTr="002049F4">
        <w:trPr>
          <w:trHeight w:val="630"/>
        </w:trPr>
        <w:tc>
          <w:tcPr>
            <w:tcW w:w="4248" w:type="dxa"/>
            <w:vMerge/>
            <w:tcBorders>
              <w:top w:val="nil"/>
              <w:left w:val="single" w:sz="4" w:space="0" w:color="auto"/>
              <w:bottom w:val="single" w:sz="4" w:space="0" w:color="auto"/>
              <w:right w:val="single" w:sz="4" w:space="0" w:color="auto"/>
            </w:tcBorders>
            <w:vAlign w:val="center"/>
            <w:hideMark/>
          </w:tcPr>
          <w:p w14:paraId="59F18863" w14:textId="77777777" w:rsidR="002F3813" w:rsidRPr="00F032EF" w:rsidRDefault="002F3813" w:rsidP="002049F4">
            <w:pPr>
              <w:spacing w:after="0" w:line="240" w:lineRule="auto"/>
              <w:rPr>
                <w:rFonts w:ascii="Arial" w:eastAsia="Times New Roman" w:hAnsi="Arial" w:cs="Arial"/>
                <w:sz w:val="20"/>
                <w:szCs w:val="20"/>
                <w:lang w:eastAsia="pt-BR"/>
              </w:rPr>
            </w:pPr>
          </w:p>
        </w:tc>
        <w:tc>
          <w:tcPr>
            <w:tcW w:w="1112" w:type="dxa"/>
            <w:vMerge/>
            <w:tcBorders>
              <w:top w:val="nil"/>
              <w:left w:val="single" w:sz="4" w:space="0" w:color="auto"/>
              <w:bottom w:val="single" w:sz="4" w:space="0" w:color="auto"/>
              <w:right w:val="single" w:sz="4" w:space="0" w:color="auto"/>
            </w:tcBorders>
            <w:vAlign w:val="center"/>
            <w:hideMark/>
          </w:tcPr>
          <w:p w14:paraId="220A236B" w14:textId="77777777" w:rsidR="002F3813" w:rsidRPr="00F032EF" w:rsidRDefault="002F3813" w:rsidP="002049F4">
            <w:pPr>
              <w:spacing w:after="0" w:line="240" w:lineRule="auto"/>
              <w:rPr>
                <w:rFonts w:ascii="Arial" w:eastAsia="Times New Roman" w:hAnsi="Arial" w:cs="Arial"/>
                <w:sz w:val="20"/>
                <w:szCs w:val="20"/>
                <w:lang w:eastAsia="pt-BR"/>
              </w:rPr>
            </w:pPr>
          </w:p>
        </w:tc>
        <w:tc>
          <w:tcPr>
            <w:tcW w:w="1298" w:type="dxa"/>
            <w:vMerge/>
            <w:tcBorders>
              <w:top w:val="nil"/>
              <w:left w:val="single" w:sz="4" w:space="0" w:color="auto"/>
              <w:bottom w:val="single" w:sz="4" w:space="0" w:color="auto"/>
              <w:right w:val="nil"/>
            </w:tcBorders>
            <w:vAlign w:val="center"/>
            <w:hideMark/>
          </w:tcPr>
          <w:p w14:paraId="79FD9776" w14:textId="77777777" w:rsidR="002F3813" w:rsidRPr="00F032EF" w:rsidRDefault="002F3813" w:rsidP="002049F4">
            <w:pPr>
              <w:spacing w:after="0" w:line="240" w:lineRule="auto"/>
              <w:rPr>
                <w:rFonts w:ascii="Arial" w:eastAsia="Times New Roman" w:hAnsi="Arial" w:cs="Arial"/>
                <w:sz w:val="20"/>
                <w:szCs w:val="20"/>
                <w:lang w:eastAsia="pt-BR"/>
              </w:rPr>
            </w:pPr>
          </w:p>
        </w:tc>
        <w:tc>
          <w:tcPr>
            <w:tcW w:w="2835" w:type="dxa"/>
            <w:tcBorders>
              <w:top w:val="nil"/>
              <w:left w:val="single" w:sz="4" w:space="0" w:color="auto"/>
              <w:bottom w:val="nil"/>
              <w:right w:val="single" w:sz="4" w:space="0" w:color="auto"/>
            </w:tcBorders>
            <w:shd w:val="clear" w:color="000000" w:fill="FFFFFF"/>
            <w:vAlign w:val="center"/>
            <w:hideMark/>
          </w:tcPr>
          <w:p w14:paraId="10A870AC" w14:textId="77777777" w:rsidR="002F3813" w:rsidRPr="00F032EF" w:rsidRDefault="002F3813" w:rsidP="002049F4">
            <w:pPr>
              <w:spacing w:after="0" w:line="240" w:lineRule="auto"/>
              <w:rPr>
                <w:rFonts w:ascii="Arial" w:eastAsia="Times New Roman" w:hAnsi="Arial" w:cs="Arial"/>
                <w:sz w:val="20"/>
                <w:szCs w:val="20"/>
                <w:lang w:eastAsia="pt-BR"/>
              </w:rPr>
            </w:pPr>
            <w:r w:rsidRPr="00F032EF">
              <w:rPr>
                <w:rFonts w:ascii="Arial" w:eastAsia="Times New Roman" w:hAnsi="Arial" w:cs="Arial"/>
                <w:sz w:val="20"/>
                <w:szCs w:val="20"/>
                <w:lang w:eastAsia="pt-BR"/>
              </w:rPr>
              <w:t>1 - Existem somente os normativos</w:t>
            </w:r>
          </w:p>
        </w:tc>
      </w:tr>
      <w:tr w:rsidR="00F032EF" w:rsidRPr="00F032EF" w14:paraId="5356AFA4" w14:textId="77777777" w:rsidTr="002049F4">
        <w:trPr>
          <w:trHeight w:val="660"/>
        </w:trPr>
        <w:tc>
          <w:tcPr>
            <w:tcW w:w="4248" w:type="dxa"/>
            <w:vMerge/>
            <w:tcBorders>
              <w:top w:val="nil"/>
              <w:left w:val="single" w:sz="4" w:space="0" w:color="auto"/>
              <w:bottom w:val="single" w:sz="4" w:space="0" w:color="auto"/>
              <w:right w:val="single" w:sz="4" w:space="0" w:color="auto"/>
            </w:tcBorders>
            <w:vAlign w:val="center"/>
            <w:hideMark/>
          </w:tcPr>
          <w:p w14:paraId="2E480613" w14:textId="77777777" w:rsidR="002F3813" w:rsidRPr="00F032EF" w:rsidRDefault="002F3813" w:rsidP="002049F4">
            <w:pPr>
              <w:spacing w:after="0" w:line="240" w:lineRule="auto"/>
              <w:rPr>
                <w:rFonts w:ascii="Arial" w:eastAsia="Times New Roman" w:hAnsi="Arial" w:cs="Arial"/>
                <w:sz w:val="20"/>
                <w:szCs w:val="20"/>
                <w:lang w:eastAsia="pt-BR"/>
              </w:rPr>
            </w:pPr>
          </w:p>
        </w:tc>
        <w:tc>
          <w:tcPr>
            <w:tcW w:w="1112" w:type="dxa"/>
            <w:vMerge/>
            <w:tcBorders>
              <w:top w:val="nil"/>
              <w:left w:val="single" w:sz="4" w:space="0" w:color="auto"/>
              <w:bottom w:val="single" w:sz="4" w:space="0" w:color="auto"/>
              <w:right w:val="single" w:sz="4" w:space="0" w:color="auto"/>
            </w:tcBorders>
            <w:vAlign w:val="center"/>
            <w:hideMark/>
          </w:tcPr>
          <w:p w14:paraId="1C1DC937" w14:textId="77777777" w:rsidR="002F3813" w:rsidRPr="00F032EF" w:rsidRDefault="002F3813" w:rsidP="002049F4">
            <w:pPr>
              <w:spacing w:after="0" w:line="240" w:lineRule="auto"/>
              <w:rPr>
                <w:rFonts w:ascii="Arial" w:eastAsia="Times New Roman" w:hAnsi="Arial" w:cs="Arial"/>
                <w:sz w:val="20"/>
                <w:szCs w:val="20"/>
                <w:lang w:eastAsia="pt-BR"/>
              </w:rPr>
            </w:pPr>
          </w:p>
        </w:tc>
        <w:tc>
          <w:tcPr>
            <w:tcW w:w="1298" w:type="dxa"/>
            <w:vMerge/>
            <w:tcBorders>
              <w:top w:val="nil"/>
              <w:left w:val="single" w:sz="4" w:space="0" w:color="auto"/>
              <w:bottom w:val="single" w:sz="4" w:space="0" w:color="auto"/>
              <w:right w:val="nil"/>
            </w:tcBorders>
            <w:vAlign w:val="center"/>
            <w:hideMark/>
          </w:tcPr>
          <w:p w14:paraId="3DBD134E" w14:textId="77777777" w:rsidR="002F3813" w:rsidRPr="00F032EF" w:rsidRDefault="002F3813" w:rsidP="002049F4">
            <w:pPr>
              <w:spacing w:after="0" w:line="240" w:lineRule="auto"/>
              <w:rPr>
                <w:rFonts w:ascii="Arial" w:eastAsia="Times New Roman" w:hAnsi="Arial" w:cs="Arial"/>
                <w:sz w:val="20"/>
                <w:szCs w:val="20"/>
                <w:lang w:eastAsia="pt-BR"/>
              </w:rPr>
            </w:pPr>
          </w:p>
        </w:tc>
        <w:tc>
          <w:tcPr>
            <w:tcW w:w="2835" w:type="dxa"/>
            <w:tcBorders>
              <w:top w:val="nil"/>
              <w:left w:val="single" w:sz="4" w:space="0" w:color="auto"/>
              <w:bottom w:val="nil"/>
              <w:right w:val="single" w:sz="4" w:space="0" w:color="auto"/>
            </w:tcBorders>
            <w:shd w:val="clear" w:color="000000" w:fill="FFFFFF"/>
            <w:vAlign w:val="center"/>
            <w:hideMark/>
          </w:tcPr>
          <w:p w14:paraId="199A6663" w14:textId="77777777" w:rsidR="002F3813" w:rsidRPr="00F032EF" w:rsidRDefault="002F3813" w:rsidP="002049F4">
            <w:pPr>
              <w:spacing w:after="0" w:line="240" w:lineRule="auto"/>
              <w:rPr>
                <w:rFonts w:ascii="Arial" w:eastAsia="Times New Roman" w:hAnsi="Arial" w:cs="Arial"/>
                <w:sz w:val="20"/>
                <w:szCs w:val="20"/>
                <w:lang w:eastAsia="pt-BR"/>
              </w:rPr>
            </w:pPr>
            <w:r w:rsidRPr="00F032EF">
              <w:rPr>
                <w:rFonts w:ascii="Arial" w:eastAsia="Times New Roman" w:hAnsi="Arial" w:cs="Arial"/>
                <w:sz w:val="20"/>
                <w:szCs w:val="20"/>
                <w:lang w:eastAsia="pt-BR"/>
              </w:rPr>
              <w:t>2 - Existem normativos e fluxos desenhados</w:t>
            </w:r>
          </w:p>
        </w:tc>
      </w:tr>
      <w:tr w:rsidR="00F032EF" w:rsidRPr="00F032EF" w14:paraId="14918F67" w14:textId="77777777" w:rsidTr="002049F4">
        <w:trPr>
          <w:trHeight w:val="1095"/>
        </w:trPr>
        <w:tc>
          <w:tcPr>
            <w:tcW w:w="4248" w:type="dxa"/>
            <w:vMerge/>
            <w:tcBorders>
              <w:top w:val="nil"/>
              <w:left w:val="single" w:sz="4" w:space="0" w:color="auto"/>
              <w:bottom w:val="single" w:sz="4" w:space="0" w:color="auto"/>
              <w:right w:val="single" w:sz="4" w:space="0" w:color="auto"/>
            </w:tcBorders>
            <w:vAlign w:val="center"/>
            <w:hideMark/>
          </w:tcPr>
          <w:p w14:paraId="3F9D11F3" w14:textId="77777777" w:rsidR="002F3813" w:rsidRPr="00F032EF" w:rsidRDefault="002F3813" w:rsidP="002049F4">
            <w:pPr>
              <w:spacing w:after="0" w:line="240" w:lineRule="auto"/>
              <w:rPr>
                <w:rFonts w:ascii="Arial" w:eastAsia="Times New Roman" w:hAnsi="Arial" w:cs="Arial"/>
                <w:sz w:val="20"/>
                <w:szCs w:val="20"/>
                <w:lang w:eastAsia="pt-BR"/>
              </w:rPr>
            </w:pPr>
          </w:p>
        </w:tc>
        <w:tc>
          <w:tcPr>
            <w:tcW w:w="1112" w:type="dxa"/>
            <w:vMerge/>
            <w:tcBorders>
              <w:top w:val="nil"/>
              <w:left w:val="single" w:sz="4" w:space="0" w:color="auto"/>
              <w:bottom w:val="single" w:sz="4" w:space="0" w:color="auto"/>
              <w:right w:val="single" w:sz="4" w:space="0" w:color="auto"/>
            </w:tcBorders>
            <w:vAlign w:val="center"/>
            <w:hideMark/>
          </w:tcPr>
          <w:p w14:paraId="07C67C49" w14:textId="77777777" w:rsidR="002F3813" w:rsidRPr="00F032EF" w:rsidRDefault="002F3813" w:rsidP="002049F4">
            <w:pPr>
              <w:spacing w:after="0" w:line="240" w:lineRule="auto"/>
              <w:rPr>
                <w:rFonts w:ascii="Arial" w:eastAsia="Times New Roman" w:hAnsi="Arial" w:cs="Arial"/>
                <w:sz w:val="20"/>
                <w:szCs w:val="20"/>
                <w:lang w:eastAsia="pt-BR"/>
              </w:rPr>
            </w:pPr>
          </w:p>
        </w:tc>
        <w:tc>
          <w:tcPr>
            <w:tcW w:w="1298" w:type="dxa"/>
            <w:vMerge/>
            <w:tcBorders>
              <w:top w:val="nil"/>
              <w:left w:val="single" w:sz="4" w:space="0" w:color="auto"/>
              <w:bottom w:val="single" w:sz="4" w:space="0" w:color="auto"/>
              <w:right w:val="nil"/>
            </w:tcBorders>
            <w:vAlign w:val="center"/>
            <w:hideMark/>
          </w:tcPr>
          <w:p w14:paraId="649AAA4C" w14:textId="77777777" w:rsidR="002F3813" w:rsidRPr="00F032EF" w:rsidRDefault="002F3813" w:rsidP="002049F4">
            <w:pPr>
              <w:spacing w:after="0" w:line="240" w:lineRule="auto"/>
              <w:rPr>
                <w:rFonts w:ascii="Arial" w:eastAsia="Times New Roman" w:hAnsi="Arial" w:cs="Arial"/>
                <w:sz w:val="20"/>
                <w:szCs w:val="20"/>
                <w:lang w:eastAsia="pt-BR"/>
              </w:rPr>
            </w:pPr>
          </w:p>
        </w:tc>
        <w:tc>
          <w:tcPr>
            <w:tcW w:w="2835" w:type="dxa"/>
            <w:tcBorders>
              <w:top w:val="nil"/>
              <w:left w:val="single" w:sz="4" w:space="0" w:color="auto"/>
              <w:bottom w:val="nil"/>
              <w:right w:val="single" w:sz="4" w:space="0" w:color="auto"/>
            </w:tcBorders>
            <w:shd w:val="clear" w:color="000000" w:fill="FFFFFF"/>
            <w:vAlign w:val="center"/>
            <w:hideMark/>
          </w:tcPr>
          <w:p w14:paraId="1C842524" w14:textId="77777777" w:rsidR="002F3813" w:rsidRPr="00F032EF" w:rsidRDefault="002F3813" w:rsidP="002049F4">
            <w:pPr>
              <w:spacing w:after="0" w:line="240" w:lineRule="auto"/>
              <w:rPr>
                <w:rFonts w:ascii="Arial" w:eastAsia="Times New Roman" w:hAnsi="Arial" w:cs="Arial"/>
                <w:sz w:val="20"/>
                <w:szCs w:val="20"/>
                <w:lang w:eastAsia="pt-BR"/>
              </w:rPr>
            </w:pPr>
            <w:r w:rsidRPr="00F032EF">
              <w:rPr>
                <w:rFonts w:ascii="Arial" w:eastAsia="Times New Roman" w:hAnsi="Arial" w:cs="Arial"/>
                <w:sz w:val="20"/>
                <w:szCs w:val="20"/>
                <w:lang w:eastAsia="pt-BR"/>
              </w:rPr>
              <w:t>3 - Existem normativos, fluxos e são de amplo conhecimento de toda a administração</w:t>
            </w:r>
          </w:p>
        </w:tc>
      </w:tr>
      <w:tr w:rsidR="00F032EF" w:rsidRPr="00F032EF" w14:paraId="64CEB7FB" w14:textId="77777777" w:rsidTr="002049F4">
        <w:trPr>
          <w:trHeight w:val="945"/>
        </w:trPr>
        <w:tc>
          <w:tcPr>
            <w:tcW w:w="4248" w:type="dxa"/>
            <w:vMerge/>
            <w:tcBorders>
              <w:top w:val="nil"/>
              <w:left w:val="single" w:sz="4" w:space="0" w:color="auto"/>
              <w:bottom w:val="single" w:sz="4" w:space="0" w:color="auto"/>
              <w:right w:val="single" w:sz="4" w:space="0" w:color="auto"/>
            </w:tcBorders>
            <w:vAlign w:val="center"/>
            <w:hideMark/>
          </w:tcPr>
          <w:p w14:paraId="2F37142C" w14:textId="77777777" w:rsidR="002F3813" w:rsidRPr="00F032EF" w:rsidRDefault="002F3813" w:rsidP="002049F4">
            <w:pPr>
              <w:spacing w:after="0" w:line="240" w:lineRule="auto"/>
              <w:rPr>
                <w:rFonts w:ascii="Arial" w:eastAsia="Times New Roman" w:hAnsi="Arial" w:cs="Arial"/>
                <w:sz w:val="20"/>
                <w:szCs w:val="20"/>
                <w:lang w:eastAsia="pt-BR"/>
              </w:rPr>
            </w:pPr>
          </w:p>
        </w:tc>
        <w:tc>
          <w:tcPr>
            <w:tcW w:w="1112" w:type="dxa"/>
            <w:vMerge/>
            <w:tcBorders>
              <w:top w:val="nil"/>
              <w:left w:val="single" w:sz="4" w:space="0" w:color="auto"/>
              <w:bottom w:val="single" w:sz="4" w:space="0" w:color="auto"/>
              <w:right w:val="single" w:sz="4" w:space="0" w:color="auto"/>
            </w:tcBorders>
            <w:vAlign w:val="center"/>
            <w:hideMark/>
          </w:tcPr>
          <w:p w14:paraId="6F0DA6D6" w14:textId="77777777" w:rsidR="002F3813" w:rsidRPr="00F032EF" w:rsidRDefault="002F3813" w:rsidP="002049F4">
            <w:pPr>
              <w:spacing w:after="0" w:line="240" w:lineRule="auto"/>
              <w:rPr>
                <w:rFonts w:ascii="Arial" w:eastAsia="Times New Roman" w:hAnsi="Arial" w:cs="Arial"/>
                <w:sz w:val="20"/>
                <w:szCs w:val="20"/>
                <w:lang w:eastAsia="pt-BR"/>
              </w:rPr>
            </w:pPr>
          </w:p>
        </w:tc>
        <w:tc>
          <w:tcPr>
            <w:tcW w:w="1298" w:type="dxa"/>
            <w:vMerge/>
            <w:tcBorders>
              <w:top w:val="nil"/>
              <w:left w:val="single" w:sz="4" w:space="0" w:color="auto"/>
              <w:bottom w:val="single" w:sz="4" w:space="0" w:color="auto"/>
              <w:right w:val="nil"/>
            </w:tcBorders>
            <w:vAlign w:val="center"/>
            <w:hideMark/>
          </w:tcPr>
          <w:p w14:paraId="79C64B30" w14:textId="77777777" w:rsidR="002F3813" w:rsidRPr="00F032EF" w:rsidRDefault="002F3813" w:rsidP="002049F4">
            <w:pPr>
              <w:spacing w:after="0" w:line="240" w:lineRule="auto"/>
              <w:rPr>
                <w:rFonts w:ascii="Arial" w:eastAsia="Times New Roman" w:hAnsi="Arial" w:cs="Arial"/>
                <w:sz w:val="20"/>
                <w:szCs w:val="20"/>
                <w:lang w:eastAsia="pt-BR"/>
              </w:rPr>
            </w:pPr>
          </w:p>
        </w:tc>
        <w:tc>
          <w:tcPr>
            <w:tcW w:w="2835" w:type="dxa"/>
            <w:tcBorders>
              <w:top w:val="nil"/>
              <w:left w:val="single" w:sz="4" w:space="0" w:color="auto"/>
              <w:bottom w:val="single" w:sz="4" w:space="0" w:color="auto"/>
              <w:right w:val="single" w:sz="4" w:space="0" w:color="auto"/>
            </w:tcBorders>
            <w:shd w:val="clear" w:color="000000" w:fill="FFFFFF"/>
            <w:vAlign w:val="center"/>
            <w:hideMark/>
          </w:tcPr>
          <w:p w14:paraId="473F5C8F" w14:textId="77777777" w:rsidR="002F3813" w:rsidRPr="00F032EF" w:rsidRDefault="002F3813" w:rsidP="002049F4">
            <w:pPr>
              <w:spacing w:after="0" w:line="240" w:lineRule="auto"/>
              <w:rPr>
                <w:rFonts w:ascii="Arial" w:eastAsia="Times New Roman" w:hAnsi="Arial" w:cs="Arial"/>
                <w:sz w:val="20"/>
                <w:szCs w:val="20"/>
                <w:lang w:eastAsia="pt-BR"/>
              </w:rPr>
            </w:pPr>
            <w:r w:rsidRPr="00F032EF">
              <w:rPr>
                <w:rFonts w:ascii="Arial" w:eastAsia="Times New Roman" w:hAnsi="Arial" w:cs="Arial"/>
                <w:sz w:val="20"/>
                <w:szCs w:val="20"/>
                <w:lang w:eastAsia="pt-BR"/>
              </w:rPr>
              <w:t>4 - Não existem normas internas definidas no âmbito desta temática</w:t>
            </w:r>
          </w:p>
        </w:tc>
      </w:tr>
      <w:tr w:rsidR="00F032EF" w:rsidRPr="00F032EF" w14:paraId="390293CC" w14:textId="77777777" w:rsidTr="002049F4">
        <w:trPr>
          <w:trHeight w:val="3682"/>
        </w:trPr>
        <w:tc>
          <w:tcPr>
            <w:tcW w:w="42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7516CF" w14:textId="77777777" w:rsidR="002F3813" w:rsidRPr="00F032EF" w:rsidRDefault="002F3813" w:rsidP="002049F4">
            <w:pPr>
              <w:spacing w:after="0" w:line="240" w:lineRule="auto"/>
              <w:jc w:val="both"/>
              <w:rPr>
                <w:rFonts w:ascii="Arial" w:eastAsia="Times New Roman" w:hAnsi="Arial" w:cs="Arial"/>
                <w:sz w:val="20"/>
                <w:szCs w:val="20"/>
                <w:lang w:eastAsia="pt-BR"/>
              </w:rPr>
            </w:pPr>
            <w:r w:rsidRPr="00F032EF">
              <w:rPr>
                <w:rFonts w:ascii="Arial" w:eastAsia="Times New Roman" w:hAnsi="Arial" w:cs="Arial"/>
                <w:sz w:val="20"/>
                <w:szCs w:val="20"/>
                <w:lang w:eastAsia="pt-BR"/>
              </w:rPr>
              <w:lastRenderedPageBreak/>
              <w:t>Normas internas estabelecendo procedimentos para avaliação da conformidade da política e escrituração contábil, e elaboração das Demonstrações Contábeis</w:t>
            </w:r>
          </w:p>
        </w:tc>
        <w:tc>
          <w:tcPr>
            <w:tcW w:w="11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F9025A" w14:textId="77777777" w:rsidR="002F3813" w:rsidRPr="00F032EF" w:rsidRDefault="002F3813" w:rsidP="002049F4">
            <w:pPr>
              <w:spacing w:after="0" w:line="240" w:lineRule="auto"/>
              <w:jc w:val="center"/>
              <w:rPr>
                <w:rFonts w:ascii="Arial" w:eastAsia="Times New Roman" w:hAnsi="Arial" w:cs="Arial"/>
                <w:sz w:val="20"/>
                <w:szCs w:val="20"/>
                <w:lang w:eastAsia="pt-BR"/>
              </w:rPr>
            </w:pPr>
            <w:r w:rsidRPr="00F032EF">
              <w:rPr>
                <w:rFonts w:ascii="Arial" w:eastAsia="Times New Roman" w:hAnsi="Arial" w:cs="Arial"/>
                <w:sz w:val="20"/>
                <w:szCs w:val="20"/>
                <w:lang w:eastAsia="pt-BR"/>
              </w:rPr>
              <w:t>Inteiro</w:t>
            </w:r>
          </w:p>
        </w:tc>
        <w:tc>
          <w:tcPr>
            <w:tcW w:w="1298" w:type="dxa"/>
            <w:tcBorders>
              <w:top w:val="single" w:sz="4" w:space="0" w:color="auto"/>
              <w:left w:val="single" w:sz="4" w:space="0" w:color="auto"/>
              <w:bottom w:val="single" w:sz="4" w:space="0" w:color="auto"/>
              <w:right w:val="nil"/>
            </w:tcBorders>
            <w:shd w:val="clear" w:color="auto" w:fill="auto"/>
            <w:vAlign w:val="center"/>
            <w:hideMark/>
          </w:tcPr>
          <w:p w14:paraId="2ADC19E7" w14:textId="77777777" w:rsidR="002F3813" w:rsidRPr="00F032EF" w:rsidRDefault="002F3813" w:rsidP="002049F4">
            <w:pPr>
              <w:spacing w:after="0" w:line="240" w:lineRule="auto"/>
              <w:jc w:val="center"/>
              <w:rPr>
                <w:rFonts w:ascii="Arial" w:eastAsia="Times New Roman" w:hAnsi="Arial" w:cs="Arial"/>
                <w:sz w:val="20"/>
                <w:szCs w:val="20"/>
                <w:lang w:eastAsia="pt-BR"/>
              </w:rPr>
            </w:pPr>
            <w:r w:rsidRPr="00F032EF">
              <w:rPr>
                <w:rFonts w:ascii="Arial" w:eastAsia="Times New Roman" w:hAnsi="Arial" w:cs="Arial"/>
                <w:sz w:val="20"/>
                <w:szCs w:val="20"/>
                <w:lang w:eastAsia="pt-BR"/>
              </w:rPr>
              <w:t>1</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8DA7946" w14:textId="77777777" w:rsidR="002F3813" w:rsidRPr="00F032EF" w:rsidRDefault="002F3813" w:rsidP="002049F4">
            <w:pPr>
              <w:spacing w:after="0" w:line="240" w:lineRule="auto"/>
              <w:rPr>
                <w:rFonts w:ascii="Arial" w:eastAsia="Times New Roman" w:hAnsi="Arial" w:cs="Arial"/>
                <w:sz w:val="20"/>
                <w:szCs w:val="20"/>
                <w:lang w:eastAsia="pt-BR"/>
              </w:rPr>
            </w:pPr>
            <w:r w:rsidRPr="00F032EF">
              <w:rPr>
                <w:rFonts w:ascii="Arial" w:eastAsia="Times New Roman" w:hAnsi="Arial" w:cs="Arial"/>
                <w:sz w:val="20"/>
                <w:szCs w:val="20"/>
                <w:lang w:eastAsia="pt-BR"/>
              </w:rPr>
              <w:t>Obrigatório</w:t>
            </w:r>
          </w:p>
          <w:p w14:paraId="506B61C6" w14:textId="77777777" w:rsidR="002F3813" w:rsidRPr="00F032EF" w:rsidRDefault="002F3813" w:rsidP="002049F4">
            <w:pPr>
              <w:spacing w:after="0" w:line="240" w:lineRule="auto"/>
              <w:rPr>
                <w:rFonts w:ascii="Arial" w:eastAsia="Times New Roman" w:hAnsi="Arial" w:cs="Arial"/>
                <w:sz w:val="20"/>
                <w:szCs w:val="20"/>
                <w:lang w:eastAsia="pt-BR"/>
              </w:rPr>
            </w:pPr>
          </w:p>
          <w:p w14:paraId="4292BF9F" w14:textId="77777777" w:rsidR="002F3813" w:rsidRPr="00F032EF" w:rsidRDefault="002F3813" w:rsidP="002049F4">
            <w:pPr>
              <w:spacing w:after="0" w:line="240" w:lineRule="auto"/>
              <w:rPr>
                <w:rFonts w:ascii="Arial" w:eastAsia="Times New Roman" w:hAnsi="Arial" w:cs="Arial"/>
                <w:sz w:val="20"/>
                <w:szCs w:val="20"/>
                <w:lang w:eastAsia="pt-BR"/>
              </w:rPr>
            </w:pPr>
            <w:r w:rsidRPr="00F032EF">
              <w:rPr>
                <w:rFonts w:ascii="Arial" w:eastAsia="Times New Roman" w:hAnsi="Arial" w:cs="Arial"/>
                <w:sz w:val="20"/>
                <w:szCs w:val="20"/>
                <w:lang w:eastAsia="pt-BR"/>
              </w:rPr>
              <w:t>1 - Existem somente os normativos</w:t>
            </w:r>
          </w:p>
          <w:p w14:paraId="12CE16AC" w14:textId="77777777" w:rsidR="002F3813" w:rsidRPr="00F032EF" w:rsidRDefault="002F3813" w:rsidP="002049F4">
            <w:pPr>
              <w:spacing w:after="0" w:line="240" w:lineRule="auto"/>
              <w:rPr>
                <w:rFonts w:ascii="Arial" w:eastAsia="Times New Roman" w:hAnsi="Arial" w:cs="Arial"/>
                <w:sz w:val="20"/>
                <w:szCs w:val="20"/>
                <w:lang w:eastAsia="pt-BR"/>
              </w:rPr>
            </w:pPr>
          </w:p>
          <w:p w14:paraId="07488B25" w14:textId="77777777" w:rsidR="002F3813" w:rsidRPr="00F032EF" w:rsidRDefault="002F3813" w:rsidP="002049F4">
            <w:pPr>
              <w:spacing w:after="0" w:line="240" w:lineRule="auto"/>
              <w:rPr>
                <w:rFonts w:ascii="Arial" w:eastAsia="Times New Roman" w:hAnsi="Arial" w:cs="Arial"/>
                <w:sz w:val="20"/>
                <w:szCs w:val="20"/>
                <w:lang w:eastAsia="pt-BR"/>
              </w:rPr>
            </w:pPr>
            <w:r w:rsidRPr="00F032EF">
              <w:rPr>
                <w:rFonts w:ascii="Arial" w:eastAsia="Times New Roman" w:hAnsi="Arial" w:cs="Arial"/>
                <w:sz w:val="20"/>
                <w:szCs w:val="20"/>
                <w:lang w:eastAsia="pt-BR"/>
              </w:rPr>
              <w:t>2 - Existem normativos e fluxos desenhados</w:t>
            </w:r>
          </w:p>
          <w:p w14:paraId="050EC8EF" w14:textId="77777777" w:rsidR="002F3813" w:rsidRPr="00F032EF" w:rsidRDefault="002F3813" w:rsidP="002049F4">
            <w:pPr>
              <w:spacing w:after="0" w:line="240" w:lineRule="auto"/>
              <w:rPr>
                <w:rFonts w:ascii="Arial" w:eastAsia="Times New Roman" w:hAnsi="Arial" w:cs="Arial"/>
                <w:sz w:val="20"/>
                <w:szCs w:val="20"/>
                <w:lang w:eastAsia="pt-BR"/>
              </w:rPr>
            </w:pPr>
          </w:p>
          <w:p w14:paraId="233F3F09" w14:textId="77777777" w:rsidR="002F3813" w:rsidRPr="00F032EF" w:rsidRDefault="002F3813" w:rsidP="002049F4">
            <w:pPr>
              <w:spacing w:after="0" w:line="240" w:lineRule="auto"/>
              <w:rPr>
                <w:rFonts w:ascii="Arial" w:eastAsia="Times New Roman" w:hAnsi="Arial" w:cs="Arial"/>
                <w:sz w:val="20"/>
                <w:szCs w:val="20"/>
                <w:lang w:eastAsia="pt-BR"/>
              </w:rPr>
            </w:pPr>
            <w:r w:rsidRPr="00F032EF">
              <w:rPr>
                <w:rFonts w:ascii="Arial" w:eastAsia="Times New Roman" w:hAnsi="Arial" w:cs="Arial"/>
                <w:sz w:val="20"/>
                <w:szCs w:val="20"/>
                <w:lang w:eastAsia="pt-BR"/>
              </w:rPr>
              <w:t>3 - Existem normativos, fluxos e são de amplo conhecimento de toda a administração</w:t>
            </w:r>
          </w:p>
          <w:p w14:paraId="4C61F750" w14:textId="77777777" w:rsidR="002F3813" w:rsidRPr="00F032EF" w:rsidRDefault="002F3813" w:rsidP="002049F4">
            <w:pPr>
              <w:spacing w:after="0" w:line="240" w:lineRule="auto"/>
              <w:rPr>
                <w:rFonts w:ascii="Arial" w:eastAsia="Times New Roman" w:hAnsi="Arial" w:cs="Arial"/>
                <w:sz w:val="20"/>
                <w:szCs w:val="20"/>
                <w:lang w:eastAsia="pt-BR"/>
              </w:rPr>
            </w:pPr>
          </w:p>
          <w:p w14:paraId="655996FF" w14:textId="77777777" w:rsidR="002F3813" w:rsidRPr="00F032EF" w:rsidRDefault="002F3813" w:rsidP="002049F4">
            <w:pPr>
              <w:spacing w:after="0" w:line="240" w:lineRule="auto"/>
              <w:rPr>
                <w:rFonts w:ascii="Arial" w:eastAsia="Times New Roman" w:hAnsi="Arial" w:cs="Arial"/>
                <w:sz w:val="20"/>
                <w:szCs w:val="20"/>
                <w:lang w:eastAsia="pt-BR"/>
              </w:rPr>
            </w:pPr>
            <w:r w:rsidRPr="00F032EF">
              <w:rPr>
                <w:rFonts w:ascii="Arial" w:eastAsia="Times New Roman" w:hAnsi="Arial" w:cs="Arial"/>
                <w:sz w:val="20"/>
                <w:szCs w:val="20"/>
                <w:lang w:eastAsia="pt-BR"/>
              </w:rPr>
              <w:t>4 - Não existem normas internas definidas no âmbito desta temática</w:t>
            </w:r>
          </w:p>
        </w:tc>
      </w:tr>
      <w:tr w:rsidR="00F032EF" w:rsidRPr="00F032EF" w14:paraId="4093DAE6" w14:textId="77777777" w:rsidTr="002049F4">
        <w:trPr>
          <w:trHeight w:val="600"/>
        </w:trPr>
        <w:tc>
          <w:tcPr>
            <w:tcW w:w="9493"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32ECC6D0" w14:textId="77777777" w:rsidR="002F3813" w:rsidRPr="00F032EF" w:rsidRDefault="002F3813" w:rsidP="002049F4">
            <w:pPr>
              <w:spacing w:after="0" w:line="240" w:lineRule="auto"/>
              <w:jc w:val="center"/>
              <w:rPr>
                <w:rFonts w:ascii="Arial" w:eastAsia="Times New Roman" w:hAnsi="Arial" w:cs="Arial"/>
                <w:b/>
                <w:bCs/>
                <w:sz w:val="20"/>
                <w:szCs w:val="20"/>
                <w:lang w:eastAsia="pt-BR"/>
              </w:rPr>
            </w:pPr>
            <w:r w:rsidRPr="00F032EF">
              <w:rPr>
                <w:rFonts w:ascii="Arial" w:eastAsia="Times New Roman" w:hAnsi="Arial" w:cs="Arial"/>
                <w:b/>
                <w:bCs/>
                <w:sz w:val="20"/>
                <w:szCs w:val="20"/>
                <w:lang w:eastAsia="pt-BR"/>
              </w:rPr>
              <w:t>Estrutura ‘InformacoesControleInternoUnidadeGestora’</w:t>
            </w:r>
          </w:p>
        </w:tc>
      </w:tr>
      <w:tr w:rsidR="00F032EF" w:rsidRPr="00F032EF" w14:paraId="6CE8953D" w14:textId="77777777" w:rsidTr="002049F4">
        <w:trPr>
          <w:trHeight w:val="402"/>
        </w:trPr>
        <w:tc>
          <w:tcPr>
            <w:tcW w:w="42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419262" w14:textId="77777777" w:rsidR="002F3813" w:rsidRPr="00F032EF" w:rsidRDefault="002F3813" w:rsidP="002049F4">
            <w:pPr>
              <w:spacing w:after="0" w:line="240" w:lineRule="auto"/>
              <w:rPr>
                <w:rFonts w:ascii="Arial" w:eastAsia="Times New Roman" w:hAnsi="Arial" w:cs="Arial"/>
                <w:sz w:val="20"/>
                <w:szCs w:val="20"/>
                <w:lang w:eastAsia="pt-BR"/>
              </w:rPr>
            </w:pPr>
            <w:r w:rsidRPr="00F032EF">
              <w:rPr>
                <w:rFonts w:ascii="Arial" w:eastAsia="Times New Roman" w:hAnsi="Arial" w:cs="Arial"/>
                <w:sz w:val="20"/>
                <w:szCs w:val="20"/>
                <w:lang w:eastAsia="pt-BR"/>
              </w:rPr>
              <w:t>Identificação do Número do Registro</w:t>
            </w:r>
          </w:p>
        </w:tc>
        <w:tc>
          <w:tcPr>
            <w:tcW w:w="1112" w:type="dxa"/>
            <w:tcBorders>
              <w:top w:val="single" w:sz="4" w:space="0" w:color="auto"/>
              <w:left w:val="nil"/>
              <w:bottom w:val="single" w:sz="4" w:space="0" w:color="auto"/>
              <w:right w:val="single" w:sz="4" w:space="0" w:color="auto"/>
            </w:tcBorders>
            <w:shd w:val="clear" w:color="auto" w:fill="auto"/>
            <w:vAlign w:val="center"/>
            <w:hideMark/>
          </w:tcPr>
          <w:p w14:paraId="05997181" w14:textId="77777777" w:rsidR="002F3813" w:rsidRPr="00F032EF" w:rsidRDefault="002F3813" w:rsidP="002049F4">
            <w:pPr>
              <w:spacing w:after="0" w:line="240" w:lineRule="auto"/>
              <w:jc w:val="center"/>
              <w:rPr>
                <w:rFonts w:ascii="Arial" w:eastAsia="Times New Roman" w:hAnsi="Arial" w:cs="Arial"/>
                <w:sz w:val="20"/>
                <w:szCs w:val="20"/>
                <w:lang w:eastAsia="pt-BR"/>
              </w:rPr>
            </w:pPr>
            <w:r w:rsidRPr="00F032EF">
              <w:rPr>
                <w:rFonts w:ascii="Arial" w:eastAsia="Times New Roman" w:hAnsi="Arial" w:cs="Arial"/>
                <w:sz w:val="20"/>
                <w:szCs w:val="20"/>
                <w:lang w:eastAsia="pt-BR"/>
              </w:rPr>
              <w:t>Inteiro</w:t>
            </w:r>
          </w:p>
        </w:tc>
        <w:tc>
          <w:tcPr>
            <w:tcW w:w="1298" w:type="dxa"/>
            <w:tcBorders>
              <w:top w:val="single" w:sz="4" w:space="0" w:color="auto"/>
              <w:left w:val="nil"/>
              <w:bottom w:val="single" w:sz="4" w:space="0" w:color="auto"/>
              <w:right w:val="single" w:sz="4" w:space="0" w:color="auto"/>
            </w:tcBorders>
            <w:shd w:val="clear" w:color="auto" w:fill="auto"/>
            <w:vAlign w:val="center"/>
            <w:hideMark/>
          </w:tcPr>
          <w:p w14:paraId="6AA4024F" w14:textId="77777777" w:rsidR="002F3813" w:rsidRPr="00F032EF" w:rsidRDefault="002F3813" w:rsidP="002049F4">
            <w:pPr>
              <w:spacing w:after="0" w:line="240" w:lineRule="auto"/>
              <w:jc w:val="center"/>
              <w:rPr>
                <w:rFonts w:ascii="Arial" w:eastAsia="Times New Roman" w:hAnsi="Arial" w:cs="Arial"/>
                <w:sz w:val="20"/>
                <w:szCs w:val="20"/>
                <w:lang w:eastAsia="pt-BR"/>
              </w:rPr>
            </w:pPr>
            <w:r w:rsidRPr="00F032EF">
              <w:rPr>
                <w:rFonts w:ascii="Arial" w:eastAsia="Times New Roman" w:hAnsi="Arial" w:cs="Arial"/>
                <w:sz w:val="20"/>
                <w:szCs w:val="20"/>
                <w:lang w:eastAsia="pt-BR"/>
              </w:rPr>
              <w:t>5</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30F9741F" w14:textId="77777777" w:rsidR="002F3813" w:rsidRPr="00F032EF" w:rsidRDefault="002F3813" w:rsidP="002049F4">
            <w:pPr>
              <w:spacing w:after="0" w:line="240" w:lineRule="auto"/>
              <w:rPr>
                <w:rFonts w:ascii="Arial" w:eastAsia="Times New Roman" w:hAnsi="Arial" w:cs="Arial"/>
                <w:sz w:val="20"/>
                <w:szCs w:val="20"/>
                <w:lang w:eastAsia="pt-BR"/>
              </w:rPr>
            </w:pPr>
            <w:r w:rsidRPr="00F032EF">
              <w:rPr>
                <w:rFonts w:ascii="Arial" w:eastAsia="Times New Roman" w:hAnsi="Arial" w:cs="Arial"/>
                <w:sz w:val="20"/>
                <w:szCs w:val="20"/>
                <w:lang w:eastAsia="pt-BR"/>
              </w:rPr>
              <w:t>Obrigatório</w:t>
            </w:r>
          </w:p>
        </w:tc>
      </w:tr>
      <w:tr w:rsidR="00F032EF" w:rsidRPr="00F032EF" w14:paraId="42B34A90" w14:textId="77777777" w:rsidTr="002049F4">
        <w:trPr>
          <w:trHeight w:val="402"/>
        </w:trPr>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31B2260B" w14:textId="77777777" w:rsidR="002F3813" w:rsidRPr="00F032EF" w:rsidRDefault="002F3813" w:rsidP="002049F4">
            <w:pPr>
              <w:spacing w:after="0" w:line="240" w:lineRule="auto"/>
              <w:rPr>
                <w:rFonts w:ascii="Arial" w:eastAsia="Times New Roman" w:hAnsi="Arial" w:cs="Arial"/>
                <w:sz w:val="20"/>
                <w:szCs w:val="20"/>
                <w:lang w:eastAsia="pt-BR"/>
              </w:rPr>
            </w:pPr>
            <w:r w:rsidRPr="00F032EF">
              <w:rPr>
                <w:rFonts w:ascii="Arial" w:eastAsia="Times New Roman" w:hAnsi="Arial" w:cs="Arial"/>
                <w:sz w:val="20"/>
                <w:szCs w:val="20"/>
                <w:lang w:eastAsia="pt-BR"/>
              </w:rPr>
              <w:t>Nível de Controle Interno</w:t>
            </w:r>
          </w:p>
        </w:tc>
        <w:tc>
          <w:tcPr>
            <w:tcW w:w="1112" w:type="dxa"/>
            <w:tcBorders>
              <w:top w:val="single" w:sz="4" w:space="0" w:color="auto"/>
              <w:left w:val="nil"/>
              <w:bottom w:val="single" w:sz="4" w:space="0" w:color="auto"/>
              <w:right w:val="single" w:sz="4" w:space="0" w:color="auto"/>
            </w:tcBorders>
            <w:shd w:val="clear" w:color="auto" w:fill="auto"/>
            <w:vAlign w:val="center"/>
          </w:tcPr>
          <w:p w14:paraId="1A6A4898" w14:textId="77777777" w:rsidR="002F3813" w:rsidRPr="00F032EF" w:rsidRDefault="002F3813" w:rsidP="002049F4">
            <w:pPr>
              <w:spacing w:after="0" w:line="240" w:lineRule="auto"/>
              <w:jc w:val="center"/>
              <w:rPr>
                <w:rFonts w:ascii="Arial" w:eastAsia="Times New Roman" w:hAnsi="Arial" w:cs="Arial"/>
                <w:sz w:val="20"/>
                <w:szCs w:val="20"/>
                <w:lang w:eastAsia="pt-BR"/>
              </w:rPr>
            </w:pPr>
            <w:r w:rsidRPr="00F032EF">
              <w:rPr>
                <w:rFonts w:ascii="Arial" w:eastAsia="Times New Roman" w:hAnsi="Arial" w:cs="Arial"/>
                <w:sz w:val="20"/>
                <w:szCs w:val="20"/>
                <w:lang w:eastAsia="pt-BR"/>
              </w:rPr>
              <w:t>Inteiro</w:t>
            </w:r>
          </w:p>
        </w:tc>
        <w:tc>
          <w:tcPr>
            <w:tcW w:w="1298" w:type="dxa"/>
            <w:tcBorders>
              <w:top w:val="single" w:sz="4" w:space="0" w:color="auto"/>
              <w:left w:val="nil"/>
              <w:bottom w:val="single" w:sz="4" w:space="0" w:color="auto"/>
              <w:right w:val="single" w:sz="4" w:space="0" w:color="auto"/>
            </w:tcBorders>
            <w:shd w:val="clear" w:color="auto" w:fill="auto"/>
            <w:vAlign w:val="center"/>
          </w:tcPr>
          <w:p w14:paraId="7A6FA577" w14:textId="77777777" w:rsidR="002F3813" w:rsidRPr="00F032EF" w:rsidRDefault="002F3813" w:rsidP="002049F4">
            <w:pPr>
              <w:spacing w:after="0" w:line="240" w:lineRule="auto"/>
              <w:jc w:val="center"/>
              <w:rPr>
                <w:rFonts w:ascii="Arial" w:eastAsia="Times New Roman" w:hAnsi="Arial" w:cs="Arial"/>
                <w:sz w:val="20"/>
                <w:szCs w:val="20"/>
                <w:lang w:eastAsia="pt-BR"/>
              </w:rPr>
            </w:pPr>
            <w:r w:rsidRPr="00F032EF">
              <w:rPr>
                <w:rFonts w:ascii="Arial" w:eastAsia="Times New Roman" w:hAnsi="Arial" w:cs="Arial"/>
                <w:sz w:val="20"/>
                <w:szCs w:val="20"/>
                <w:lang w:eastAsia="pt-BR"/>
              </w:rPr>
              <w:t>1</w:t>
            </w:r>
          </w:p>
        </w:tc>
        <w:tc>
          <w:tcPr>
            <w:tcW w:w="2835" w:type="dxa"/>
            <w:tcBorders>
              <w:top w:val="single" w:sz="4" w:space="0" w:color="auto"/>
              <w:left w:val="nil"/>
              <w:bottom w:val="single" w:sz="4" w:space="0" w:color="auto"/>
              <w:right w:val="single" w:sz="4" w:space="0" w:color="auto"/>
            </w:tcBorders>
            <w:shd w:val="clear" w:color="auto" w:fill="auto"/>
            <w:vAlign w:val="center"/>
          </w:tcPr>
          <w:p w14:paraId="282BB38D" w14:textId="77777777" w:rsidR="002F3813" w:rsidRPr="00F032EF" w:rsidRDefault="002F3813" w:rsidP="002049F4">
            <w:pPr>
              <w:spacing w:after="0" w:line="240" w:lineRule="auto"/>
              <w:rPr>
                <w:rFonts w:ascii="Arial" w:eastAsia="Times New Roman" w:hAnsi="Arial" w:cs="Arial"/>
                <w:sz w:val="20"/>
                <w:szCs w:val="20"/>
                <w:lang w:eastAsia="pt-BR"/>
              </w:rPr>
            </w:pPr>
            <w:r w:rsidRPr="00F032EF">
              <w:rPr>
                <w:rFonts w:ascii="Arial" w:eastAsia="Times New Roman" w:hAnsi="Arial" w:cs="Arial"/>
                <w:sz w:val="20"/>
                <w:szCs w:val="20"/>
                <w:lang w:eastAsia="pt-BR"/>
              </w:rPr>
              <w:t>Obrigatório;</w:t>
            </w:r>
          </w:p>
          <w:p w14:paraId="2F9402AA" w14:textId="77777777" w:rsidR="002F3813" w:rsidRPr="00F032EF" w:rsidRDefault="002F3813" w:rsidP="002049F4">
            <w:pPr>
              <w:spacing w:after="0" w:line="240" w:lineRule="auto"/>
              <w:rPr>
                <w:rFonts w:ascii="Arial" w:eastAsia="Times New Roman" w:hAnsi="Arial" w:cs="Arial"/>
                <w:sz w:val="20"/>
                <w:szCs w:val="20"/>
                <w:lang w:eastAsia="pt-BR"/>
              </w:rPr>
            </w:pPr>
            <w:r w:rsidRPr="00F032EF">
              <w:rPr>
                <w:rFonts w:ascii="Arial" w:eastAsia="Times New Roman" w:hAnsi="Arial" w:cs="Arial"/>
                <w:sz w:val="20"/>
                <w:szCs w:val="20"/>
                <w:lang w:eastAsia="pt-BR"/>
              </w:rPr>
              <w:t>1 – Unidade Central</w:t>
            </w:r>
          </w:p>
          <w:p w14:paraId="5C36F073" w14:textId="77777777" w:rsidR="002F3813" w:rsidRPr="00F032EF" w:rsidRDefault="002F3813" w:rsidP="002049F4">
            <w:pPr>
              <w:spacing w:after="0" w:line="240" w:lineRule="auto"/>
              <w:rPr>
                <w:rFonts w:ascii="Arial" w:eastAsia="Times New Roman" w:hAnsi="Arial" w:cs="Arial"/>
                <w:sz w:val="20"/>
                <w:szCs w:val="20"/>
                <w:lang w:eastAsia="pt-BR"/>
              </w:rPr>
            </w:pPr>
            <w:r w:rsidRPr="00F032EF">
              <w:rPr>
                <w:rFonts w:ascii="Arial" w:eastAsia="Times New Roman" w:hAnsi="Arial" w:cs="Arial"/>
                <w:sz w:val="20"/>
                <w:szCs w:val="20"/>
                <w:lang w:eastAsia="pt-BR"/>
              </w:rPr>
              <w:t>2 – Unidade Setorial</w:t>
            </w:r>
          </w:p>
        </w:tc>
      </w:tr>
      <w:tr w:rsidR="00F032EF" w:rsidRPr="00F032EF" w14:paraId="4C7B19FE" w14:textId="77777777" w:rsidTr="002049F4">
        <w:trPr>
          <w:trHeight w:val="402"/>
        </w:trPr>
        <w:tc>
          <w:tcPr>
            <w:tcW w:w="42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404788" w14:textId="77777777" w:rsidR="002F3813" w:rsidRPr="00F032EF" w:rsidRDefault="002F3813" w:rsidP="002049F4">
            <w:pPr>
              <w:spacing w:after="0" w:line="240" w:lineRule="auto"/>
              <w:rPr>
                <w:rFonts w:ascii="Arial" w:eastAsia="Times New Roman" w:hAnsi="Arial" w:cs="Arial"/>
                <w:sz w:val="20"/>
                <w:szCs w:val="20"/>
                <w:lang w:eastAsia="pt-BR"/>
              </w:rPr>
            </w:pPr>
            <w:r w:rsidRPr="00F032EF">
              <w:rPr>
                <w:rFonts w:ascii="Arial" w:eastAsia="Times New Roman" w:hAnsi="Arial" w:cs="Arial"/>
                <w:sz w:val="20"/>
                <w:szCs w:val="20"/>
                <w:lang w:eastAsia="pt-BR"/>
              </w:rPr>
              <w:t>Código da Unidade Gestora em que os procedimentos foram aplicados</w:t>
            </w:r>
          </w:p>
        </w:tc>
        <w:tc>
          <w:tcPr>
            <w:tcW w:w="1112" w:type="dxa"/>
            <w:tcBorders>
              <w:top w:val="single" w:sz="4" w:space="0" w:color="auto"/>
              <w:left w:val="nil"/>
              <w:bottom w:val="single" w:sz="4" w:space="0" w:color="auto"/>
              <w:right w:val="single" w:sz="4" w:space="0" w:color="auto"/>
            </w:tcBorders>
            <w:shd w:val="clear" w:color="auto" w:fill="auto"/>
            <w:vAlign w:val="center"/>
            <w:hideMark/>
          </w:tcPr>
          <w:p w14:paraId="040528B7" w14:textId="77777777" w:rsidR="002F3813" w:rsidRPr="00F032EF" w:rsidRDefault="002F3813" w:rsidP="002049F4">
            <w:pPr>
              <w:spacing w:after="0" w:line="240" w:lineRule="auto"/>
              <w:jc w:val="center"/>
              <w:rPr>
                <w:rFonts w:ascii="Arial" w:eastAsia="Times New Roman" w:hAnsi="Arial" w:cs="Arial"/>
                <w:sz w:val="20"/>
                <w:szCs w:val="20"/>
                <w:lang w:eastAsia="pt-BR"/>
              </w:rPr>
            </w:pPr>
            <w:r w:rsidRPr="00F032EF">
              <w:rPr>
                <w:rFonts w:ascii="Arial" w:eastAsia="Times New Roman" w:hAnsi="Arial" w:cs="Arial"/>
                <w:sz w:val="20"/>
                <w:szCs w:val="20"/>
                <w:lang w:eastAsia="pt-BR"/>
              </w:rPr>
              <w:t>Caracter</w:t>
            </w:r>
          </w:p>
        </w:tc>
        <w:tc>
          <w:tcPr>
            <w:tcW w:w="1298" w:type="dxa"/>
            <w:tcBorders>
              <w:top w:val="single" w:sz="4" w:space="0" w:color="auto"/>
              <w:left w:val="nil"/>
              <w:bottom w:val="single" w:sz="4" w:space="0" w:color="auto"/>
              <w:right w:val="single" w:sz="4" w:space="0" w:color="auto"/>
            </w:tcBorders>
            <w:shd w:val="clear" w:color="auto" w:fill="auto"/>
            <w:vAlign w:val="center"/>
            <w:hideMark/>
          </w:tcPr>
          <w:p w14:paraId="54F7B525" w14:textId="77777777" w:rsidR="002F3813" w:rsidRPr="00F032EF" w:rsidRDefault="002F3813" w:rsidP="002049F4">
            <w:pPr>
              <w:spacing w:after="0" w:line="240" w:lineRule="auto"/>
              <w:jc w:val="center"/>
              <w:rPr>
                <w:rFonts w:ascii="Arial" w:eastAsia="Times New Roman" w:hAnsi="Arial" w:cs="Arial"/>
                <w:sz w:val="20"/>
                <w:szCs w:val="20"/>
                <w:lang w:eastAsia="pt-BR"/>
              </w:rPr>
            </w:pPr>
            <w:r w:rsidRPr="00F032EF">
              <w:rPr>
                <w:rFonts w:ascii="Arial" w:eastAsia="Times New Roman" w:hAnsi="Arial" w:cs="Arial"/>
                <w:sz w:val="20"/>
                <w:szCs w:val="20"/>
                <w:lang w:eastAsia="pt-BR"/>
              </w:rPr>
              <w:t>11</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3DED1CEA" w14:textId="77777777" w:rsidR="002F3813" w:rsidRPr="00F032EF" w:rsidRDefault="002F3813" w:rsidP="002049F4">
            <w:pPr>
              <w:spacing w:after="0" w:line="240" w:lineRule="auto"/>
              <w:rPr>
                <w:rFonts w:ascii="Arial" w:eastAsia="Times New Roman" w:hAnsi="Arial" w:cs="Arial"/>
                <w:sz w:val="20"/>
                <w:szCs w:val="20"/>
                <w:lang w:eastAsia="pt-BR"/>
              </w:rPr>
            </w:pPr>
            <w:r w:rsidRPr="00F032EF">
              <w:rPr>
                <w:rFonts w:ascii="Arial" w:eastAsia="Times New Roman" w:hAnsi="Arial" w:cs="Arial"/>
                <w:sz w:val="20"/>
                <w:szCs w:val="20"/>
                <w:lang w:eastAsia="pt-BR"/>
              </w:rPr>
              <w:t>Obrigatório</w:t>
            </w:r>
          </w:p>
        </w:tc>
      </w:tr>
      <w:tr w:rsidR="00F032EF" w:rsidRPr="00F032EF" w14:paraId="115C71F9" w14:textId="77777777" w:rsidTr="002049F4">
        <w:trPr>
          <w:trHeight w:val="402"/>
        </w:trPr>
        <w:tc>
          <w:tcPr>
            <w:tcW w:w="4248" w:type="dxa"/>
            <w:tcBorders>
              <w:top w:val="nil"/>
              <w:left w:val="single" w:sz="4" w:space="0" w:color="auto"/>
              <w:bottom w:val="single" w:sz="4" w:space="0" w:color="auto"/>
              <w:right w:val="single" w:sz="4" w:space="0" w:color="auto"/>
            </w:tcBorders>
            <w:shd w:val="clear" w:color="auto" w:fill="auto"/>
            <w:vAlign w:val="center"/>
            <w:hideMark/>
          </w:tcPr>
          <w:p w14:paraId="29A10F13" w14:textId="77777777" w:rsidR="002F3813" w:rsidRPr="00F032EF" w:rsidRDefault="002F3813" w:rsidP="002049F4">
            <w:pPr>
              <w:spacing w:after="0" w:line="240" w:lineRule="auto"/>
              <w:jc w:val="both"/>
              <w:rPr>
                <w:rFonts w:ascii="Arial" w:eastAsia="Times New Roman" w:hAnsi="Arial" w:cs="Arial"/>
                <w:sz w:val="20"/>
                <w:szCs w:val="20"/>
                <w:lang w:eastAsia="pt-BR"/>
              </w:rPr>
            </w:pPr>
            <w:r w:rsidRPr="00F032EF">
              <w:rPr>
                <w:rFonts w:ascii="Arial" w:eastAsia="Times New Roman" w:hAnsi="Arial" w:cs="Arial"/>
                <w:sz w:val="20"/>
                <w:szCs w:val="20"/>
                <w:lang w:eastAsia="pt-BR"/>
              </w:rPr>
              <w:t>Responsável pela Unidade Gestora</w:t>
            </w:r>
          </w:p>
        </w:tc>
        <w:tc>
          <w:tcPr>
            <w:tcW w:w="1112" w:type="dxa"/>
            <w:tcBorders>
              <w:top w:val="nil"/>
              <w:left w:val="nil"/>
              <w:bottom w:val="single" w:sz="4" w:space="0" w:color="auto"/>
              <w:right w:val="single" w:sz="4" w:space="0" w:color="auto"/>
            </w:tcBorders>
            <w:shd w:val="clear" w:color="auto" w:fill="auto"/>
            <w:vAlign w:val="center"/>
            <w:hideMark/>
          </w:tcPr>
          <w:p w14:paraId="22CC11AA" w14:textId="77777777" w:rsidR="002F3813" w:rsidRPr="00F032EF" w:rsidRDefault="002F3813" w:rsidP="002049F4">
            <w:pPr>
              <w:spacing w:after="0" w:line="240" w:lineRule="auto"/>
              <w:jc w:val="center"/>
              <w:rPr>
                <w:rFonts w:ascii="Arial" w:eastAsia="Times New Roman" w:hAnsi="Arial" w:cs="Arial"/>
                <w:sz w:val="20"/>
                <w:szCs w:val="20"/>
                <w:lang w:eastAsia="pt-BR"/>
              </w:rPr>
            </w:pPr>
            <w:r w:rsidRPr="00F032EF">
              <w:rPr>
                <w:rFonts w:ascii="Arial" w:eastAsia="Times New Roman" w:hAnsi="Arial" w:cs="Arial"/>
                <w:sz w:val="20"/>
                <w:szCs w:val="20"/>
                <w:lang w:eastAsia="pt-BR"/>
              </w:rPr>
              <w:t>Caracter</w:t>
            </w:r>
          </w:p>
        </w:tc>
        <w:tc>
          <w:tcPr>
            <w:tcW w:w="1298" w:type="dxa"/>
            <w:tcBorders>
              <w:top w:val="nil"/>
              <w:left w:val="nil"/>
              <w:bottom w:val="single" w:sz="4" w:space="0" w:color="auto"/>
              <w:right w:val="single" w:sz="4" w:space="0" w:color="auto"/>
            </w:tcBorders>
            <w:shd w:val="clear" w:color="auto" w:fill="auto"/>
            <w:vAlign w:val="center"/>
            <w:hideMark/>
          </w:tcPr>
          <w:p w14:paraId="09CE5E5C" w14:textId="77777777" w:rsidR="002F3813" w:rsidRPr="00F032EF" w:rsidRDefault="002F3813" w:rsidP="002049F4">
            <w:pPr>
              <w:spacing w:after="0" w:line="240" w:lineRule="auto"/>
              <w:jc w:val="center"/>
              <w:rPr>
                <w:rFonts w:ascii="Arial" w:eastAsia="Times New Roman" w:hAnsi="Arial" w:cs="Arial"/>
                <w:sz w:val="20"/>
                <w:szCs w:val="20"/>
                <w:lang w:eastAsia="pt-BR"/>
              </w:rPr>
            </w:pPr>
            <w:r w:rsidRPr="00F032EF">
              <w:rPr>
                <w:rFonts w:ascii="Arial" w:eastAsia="Times New Roman" w:hAnsi="Arial" w:cs="Arial"/>
                <w:sz w:val="20"/>
                <w:szCs w:val="20"/>
                <w:lang w:eastAsia="pt-BR"/>
              </w:rPr>
              <w:t>1000</w:t>
            </w:r>
          </w:p>
        </w:tc>
        <w:tc>
          <w:tcPr>
            <w:tcW w:w="2835" w:type="dxa"/>
            <w:tcBorders>
              <w:top w:val="nil"/>
              <w:left w:val="nil"/>
              <w:bottom w:val="single" w:sz="4" w:space="0" w:color="auto"/>
              <w:right w:val="single" w:sz="4" w:space="0" w:color="auto"/>
            </w:tcBorders>
            <w:shd w:val="clear" w:color="auto" w:fill="auto"/>
            <w:vAlign w:val="center"/>
            <w:hideMark/>
          </w:tcPr>
          <w:p w14:paraId="4D069A5B" w14:textId="77777777" w:rsidR="002F3813" w:rsidRPr="00F032EF" w:rsidRDefault="002F3813" w:rsidP="002049F4">
            <w:pPr>
              <w:spacing w:after="0" w:line="240" w:lineRule="auto"/>
              <w:rPr>
                <w:rFonts w:ascii="Arial" w:eastAsia="Times New Roman" w:hAnsi="Arial" w:cs="Arial"/>
                <w:sz w:val="20"/>
                <w:szCs w:val="20"/>
                <w:lang w:eastAsia="pt-BR"/>
              </w:rPr>
            </w:pPr>
            <w:r w:rsidRPr="00F032EF">
              <w:rPr>
                <w:rFonts w:ascii="Arial" w:eastAsia="Times New Roman" w:hAnsi="Arial" w:cs="Arial"/>
                <w:sz w:val="20"/>
                <w:szCs w:val="20"/>
                <w:lang w:eastAsia="pt-BR"/>
              </w:rPr>
              <w:t>Obrigatório</w:t>
            </w:r>
          </w:p>
        </w:tc>
      </w:tr>
      <w:tr w:rsidR="00F032EF" w:rsidRPr="00F032EF" w14:paraId="30143F1A" w14:textId="77777777" w:rsidTr="002049F4">
        <w:trPr>
          <w:trHeight w:val="510"/>
        </w:trPr>
        <w:tc>
          <w:tcPr>
            <w:tcW w:w="4248" w:type="dxa"/>
            <w:tcBorders>
              <w:top w:val="nil"/>
              <w:left w:val="single" w:sz="4" w:space="0" w:color="auto"/>
              <w:bottom w:val="single" w:sz="4" w:space="0" w:color="auto"/>
              <w:right w:val="single" w:sz="4" w:space="0" w:color="auto"/>
            </w:tcBorders>
            <w:shd w:val="clear" w:color="auto" w:fill="auto"/>
            <w:vAlign w:val="center"/>
            <w:hideMark/>
          </w:tcPr>
          <w:p w14:paraId="228D19ED" w14:textId="77777777" w:rsidR="002F3813" w:rsidRPr="00F032EF" w:rsidRDefault="002F3813" w:rsidP="002049F4">
            <w:pPr>
              <w:spacing w:after="0" w:line="240" w:lineRule="auto"/>
              <w:jc w:val="both"/>
              <w:rPr>
                <w:rFonts w:ascii="Arial" w:eastAsia="Times New Roman" w:hAnsi="Arial" w:cs="Arial"/>
                <w:sz w:val="20"/>
                <w:szCs w:val="20"/>
                <w:lang w:eastAsia="pt-BR"/>
              </w:rPr>
            </w:pPr>
            <w:r w:rsidRPr="00F032EF">
              <w:rPr>
                <w:rFonts w:ascii="Arial" w:eastAsia="Times New Roman" w:hAnsi="Arial" w:cs="Arial"/>
                <w:sz w:val="20"/>
                <w:szCs w:val="20"/>
                <w:lang w:eastAsia="pt-BR"/>
              </w:rPr>
              <w:t>Exercício da Última Manifestação do Controle Interno</w:t>
            </w:r>
          </w:p>
        </w:tc>
        <w:tc>
          <w:tcPr>
            <w:tcW w:w="1112" w:type="dxa"/>
            <w:tcBorders>
              <w:top w:val="nil"/>
              <w:left w:val="nil"/>
              <w:bottom w:val="single" w:sz="4" w:space="0" w:color="auto"/>
              <w:right w:val="single" w:sz="4" w:space="0" w:color="auto"/>
            </w:tcBorders>
            <w:shd w:val="clear" w:color="auto" w:fill="auto"/>
            <w:vAlign w:val="center"/>
            <w:hideMark/>
          </w:tcPr>
          <w:p w14:paraId="1A2862FB" w14:textId="77777777" w:rsidR="002F3813" w:rsidRPr="00F032EF" w:rsidRDefault="002F3813" w:rsidP="002049F4">
            <w:pPr>
              <w:spacing w:after="0" w:line="240" w:lineRule="auto"/>
              <w:jc w:val="center"/>
              <w:rPr>
                <w:rFonts w:ascii="Arial" w:eastAsia="Times New Roman" w:hAnsi="Arial" w:cs="Arial"/>
                <w:sz w:val="20"/>
                <w:szCs w:val="20"/>
                <w:lang w:eastAsia="pt-BR"/>
              </w:rPr>
            </w:pPr>
            <w:r w:rsidRPr="00F032EF">
              <w:rPr>
                <w:rFonts w:ascii="Arial" w:eastAsia="Times New Roman" w:hAnsi="Arial" w:cs="Arial"/>
                <w:sz w:val="20"/>
                <w:szCs w:val="20"/>
                <w:lang w:eastAsia="pt-BR"/>
              </w:rPr>
              <w:t>Inteiro</w:t>
            </w:r>
          </w:p>
        </w:tc>
        <w:tc>
          <w:tcPr>
            <w:tcW w:w="1298" w:type="dxa"/>
            <w:tcBorders>
              <w:top w:val="nil"/>
              <w:left w:val="nil"/>
              <w:bottom w:val="single" w:sz="4" w:space="0" w:color="auto"/>
              <w:right w:val="single" w:sz="4" w:space="0" w:color="auto"/>
            </w:tcBorders>
            <w:shd w:val="clear" w:color="auto" w:fill="auto"/>
            <w:vAlign w:val="center"/>
            <w:hideMark/>
          </w:tcPr>
          <w:p w14:paraId="1A69EE69" w14:textId="77777777" w:rsidR="002F3813" w:rsidRPr="00F032EF" w:rsidRDefault="002F3813" w:rsidP="002049F4">
            <w:pPr>
              <w:spacing w:after="0" w:line="240" w:lineRule="auto"/>
              <w:jc w:val="center"/>
              <w:rPr>
                <w:rFonts w:ascii="Arial" w:eastAsia="Times New Roman" w:hAnsi="Arial" w:cs="Arial"/>
                <w:sz w:val="20"/>
                <w:szCs w:val="20"/>
                <w:lang w:eastAsia="pt-BR"/>
              </w:rPr>
            </w:pPr>
            <w:r w:rsidRPr="00F032EF">
              <w:rPr>
                <w:rFonts w:ascii="Arial" w:eastAsia="Times New Roman" w:hAnsi="Arial" w:cs="Arial"/>
                <w:sz w:val="20"/>
                <w:szCs w:val="20"/>
                <w:lang w:eastAsia="pt-BR"/>
              </w:rPr>
              <w:t>4</w:t>
            </w:r>
          </w:p>
        </w:tc>
        <w:tc>
          <w:tcPr>
            <w:tcW w:w="2835" w:type="dxa"/>
            <w:tcBorders>
              <w:top w:val="nil"/>
              <w:left w:val="nil"/>
              <w:bottom w:val="single" w:sz="4" w:space="0" w:color="auto"/>
              <w:right w:val="single" w:sz="4" w:space="0" w:color="auto"/>
            </w:tcBorders>
            <w:shd w:val="clear" w:color="auto" w:fill="auto"/>
            <w:vAlign w:val="center"/>
            <w:hideMark/>
          </w:tcPr>
          <w:p w14:paraId="6CEBE099" w14:textId="77777777" w:rsidR="002F3813" w:rsidRPr="00F032EF" w:rsidRDefault="002F3813" w:rsidP="002049F4">
            <w:pPr>
              <w:spacing w:after="0" w:line="240" w:lineRule="auto"/>
              <w:rPr>
                <w:rFonts w:ascii="Arial" w:eastAsia="Times New Roman" w:hAnsi="Arial" w:cs="Arial"/>
                <w:sz w:val="20"/>
                <w:szCs w:val="20"/>
                <w:lang w:eastAsia="pt-BR"/>
              </w:rPr>
            </w:pPr>
            <w:r w:rsidRPr="00F032EF">
              <w:rPr>
                <w:rFonts w:ascii="Arial" w:eastAsia="Times New Roman" w:hAnsi="Arial" w:cs="Arial"/>
                <w:sz w:val="20"/>
                <w:szCs w:val="20"/>
                <w:lang w:eastAsia="pt-BR"/>
              </w:rPr>
              <w:t>Obrigatório, AAAA</w:t>
            </w:r>
          </w:p>
        </w:tc>
      </w:tr>
      <w:tr w:rsidR="00F032EF" w:rsidRPr="00F032EF" w14:paraId="493B31CB" w14:textId="77777777" w:rsidTr="002049F4">
        <w:trPr>
          <w:trHeight w:val="1530"/>
        </w:trPr>
        <w:tc>
          <w:tcPr>
            <w:tcW w:w="4248" w:type="dxa"/>
            <w:tcBorders>
              <w:top w:val="nil"/>
              <w:left w:val="single" w:sz="4" w:space="0" w:color="auto"/>
              <w:bottom w:val="nil"/>
              <w:right w:val="single" w:sz="4" w:space="0" w:color="auto"/>
            </w:tcBorders>
            <w:shd w:val="clear" w:color="auto" w:fill="auto"/>
            <w:vAlign w:val="center"/>
            <w:hideMark/>
          </w:tcPr>
          <w:p w14:paraId="13C5831E" w14:textId="77777777" w:rsidR="002F3813" w:rsidRPr="00F032EF" w:rsidRDefault="002F3813" w:rsidP="002049F4">
            <w:pPr>
              <w:spacing w:after="0" w:line="240" w:lineRule="auto"/>
              <w:jc w:val="both"/>
              <w:rPr>
                <w:rFonts w:ascii="Arial" w:eastAsia="Times New Roman" w:hAnsi="Arial" w:cs="Arial"/>
                <w:sz w:val="20"/>
                <w:szCs w:val="20"/>
                <w:lang w:eastAsia="pt-BR"/>
              </w:rPr>
            </w:pPr>
            <w:r w:rsidRPr="00F032EF">
              <w:rPr>
                <w:rFonts w:ascii="Arial" w:eastAsia="Times New Roman" w:hAnsi="Arial" w:cs="Arial"/>
                <w:sz w:val="20"/>
                <w:szCs w:val="20"/>
                <w:lang w:eastAsia="pt-BR"/>
              </w:rPr>
              <w:t>Opinião do Controle Interno sobre os Procedimentos Aplicados.</w:t>
            </w:r>
          </w:p>
        </w:tc>
        <w:tc>
          <w:tcPr>
            <w:tcW w:w="1112" w:type="dxa"/>
            <w:tcBorders>
              <w:top w:val="nil"/>
              <w:left w:val="nil"/>
              <w:bottom w:val="nil"/>
              <w:right w:val="single" w:sz="4" w:space="0" w:color="auto"/>
            </w:tcBorders>
            <w:shd w:val="clear" w:color="auto" w:fill="auto"/>
            <w:vAlign w:val="center"/>
            <w:hideMark/>
          </w:tcPr>
          <w:p w14:paraId="1B43D1FE" w14:textId="77777777" w:rsidR="002F3813" w:rsidRPr="00F032EF" w:rsidRDefault="002F3813" w:rsidP="002049F4">
            <w:pPr>
              <w:spacing w:after="0" w:line="240" w:lineRule="auto"/>
              <w:jc w:val="center"/>
              <w:rPr>
                <w:rFonts w:ascii="Arial" w:eastAsia="Times New Roman" w:hAnsi="Arial" w:cs="Arial"/>
                <w:sz w:val="20"/>
                <w:szCs w:val="20"/>
                <w:lang w:eastAsia="pt-BR"/>
              </w:rPr>
            </w:pPr>
            <w:r w:rsidRPr="00F032EF">
              <w:rPr>
                <w:rFonts w:ascii="Arial" w:eastAsia="Times New Roman" w:hAnsi="Arial" w:cs="Arial"/>
                <w:sz w:val="20"/>
                <w:szCs w:val="20"/>
                <w:lang w:eastAsia="pt-BR"/>
              </w:rPr>
              <w:t>Inteiro</w:t>
            </w:r>
          </w:p>
        </w:tc>
        <w:tc>
          <w:tcPr>
            <w:tcW w:w="1298" w:type="dxa"/>
            <w:tcBorders>
              <w:top w:val="nil"/>
              <w:left w:val="nil"/>
              <w:bottom w:val="nil"/>
              <w:right w:val="nil"/>
            </w:tcBorders>
            <w:shd w:val="clear" w:color="auto" w:fill="auto"/>
            <w:vAlign w:val="center"/>
            <w:hideMark/>
          </w:tcPr>
          <w:p w14:paraId="13DBCAAD" w14:textId="77777777" w:rsidR="002F3813" w:rsidRPr="00F032EF" w:rsidRDefault="002F3813" w:rsidP="002049F4">
            <w:pPr>
              <w:spacing w:after="0" w:line="240" w:lineRule="auto"/>
              <w:jc w:val="center"/>
              <w:rPr>
                <w:rFonts w:ascii="Arial" w:eastAsia="Times New Roman" w:hAnsi="Arial" w:cs="Arial"/>
                <w:sz w:val="20"/>
                <w:szCs w:val="20"/>
                <w:lang w:eastAsia="pt-BR"/>
              </w:rPr>
            </w:pPr>
            <w:r w:rsidRPr="00F032EF">
              <w:rPr>
                <w:rFonts w:ascii="Arial" w:eastAsia="Times New Roman" w:hAnsi="Arial" w:cs="Arial"/>
                <w:sz w:val="20"/>
                <w:szCs w:val="20"/>
                <w:lang w:eastAsia="pt-BR"/>
              </w:rPr>
              <w:t>1</w:t>
            </w:r>
          </w:p>
        </w:tc>
        <w:tc>
          <w:tcPr>
            <w:tcW w:w="2835" w:type="dxa"/>
            <w:tcBorders>
              <w:top w:val="nil"/>
              <w:left w:val="single" w:sz="4" w:space="0" w:color="auto"/>
              <w:bottom w:val="nil"/>
              <w:right w:val="single" w:sz="4" w:space="0" w:color="auto"/>
            </w:tcBorders>
            <w:shd w:val="clear" w:color="000000" w:fill="FFFFFF"/>
            <w:vAlign w:val="center"/>
            <w:hideMark/>
          </w:tcPr>
          <w:p w14:paraId="71FB1AAC" w14:textId="77777777" w:rsidR="002F3813" w:rsidRPr="00F032EF" w:rsidRDefault="002F3813" w:rsidP="002049F4">
            <w:pPr>
              <w:spacing w:after="0" w:line="240" w:lineRule="auto"/>
              <w:rPr>
                <w:rFonts w:ascii="Arial" w:eastAsia="Times New Roman" w:hAnsi="Arial" w:cs="Arial"/>
                <w:sz w:val="20"/>
                <w:szCs w:val="20"/>
                <w:lang w:eastAsia="pt-BR"/>
              </w:rPr>
            </w:pPr>
            <w:r w:rsidRPr="00F032EF">
              <w:rPr>
                <w:rFonts w:ascii="Arial" w:eastAsia="Times New Roman" w:hAnsi="Arial" w:cs="Arial"/>
                <w:sz w:val="20"/>
                <w:szCs w:val="20"/>
                <w:lang w:eastAsia="pt-BR"/>
              </w:rPr>
              <w:t>Obrigatório</w:t>
            </w:r>
            <w:r w:rsidRPr="00F032EF">
              <w:rPr>
                <w:rFonts w:ascii="Arial" w:eastAsia="Times New Roman" w:hAnsi="Arial" w:cs="Arial"/>
                <w:sz w:val="20"/>
                <w:szCs w:val="20"/>
                <w:lang w:eastAsia="pt-BR"/>
              </w:rPr>
              <w:br/>
              <w:t>1 – Regular</w:t>
            </w:r>
            <w:r w:rsidRPr="00F032EF">
              <w:rPr>
                <w:rFonts w:ascii="Arial" w:eastAsia="Times New Roman" w:hAnsi="Arial" w:cs="Arial"/>
                <w:sz w:val="20"/>
                <w:szCs w:val="20"/>
                <w:lang w:eastAsia="pt-BR"/>
              </w:rPr>
              <w:br/>
              <w:t>2 – Regular com ressalva</w:t>
            </w:r>
            <w:r w:rsidRPr="00F032EF">
              <w:rPr>
                <w:rFonts w:ascii="Arial" w:eastAsia="Times New Roman" w:hAnsi="Arial" w:cs="Arial"/>
                <w:sz w:val="20"/>
                <w:szCs w:val="20"/>
                <w:lang w:eastAsia="pt-BR"/>
              </w:rPr>
              <w:br/>
              <w:t>3 – Irregular</w:t>
            </w:r>
            <w:r w:rsidRPr="00F032EF">
              <w:rPr>
                <w:rFonts w:ascii="Arial" w:eastAsia="Times New Roman" w:hAnsi="Arial" w:cs="Arial"/>
                <w:sz w:val="20"/>
                <w:szCs w:val="20"/>
                <w:lang w:eastAsia="pt-BR"/>
              </w:rPr>
              <w:br/>
              <w:t>4 – Não foi emitida opinião</w:t>
            </w:r>
          </w:p>
        </w:tc>
      </w:tr>
      <w:tr w:rsidR="00F032EF" w:rsidRPr="00F032EF" w14:paraId="2832D0FE" w14:textId="77777777" w:rsidTr="002049F4">
        <w:trPr>
          <w:trHeight w:val="600"/>
        </w:trPr>
        <w:tc>
          <w:tcPr>
            <w:tcW w:w="9493"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7EF21594" w14:textId="77777777" w:rsidR="002F3813" w:rsidRPr="00F032EF" w:rsidRDefault="002F3813" w:rsidP="002049F4">
            <w:pPr>
              <w:spacing w:after="0" w:line="240" w:lineRule="auto"/>
              <w:jc w:val="center"/>
              <w:rPr>
                <w:rFonts w:ascii="Arial" w:eastAsia="Times New Roman" w:hAnsi="Arial" w:cs="Arial"/>
                <w:b/>
                <w:bCs/>
                <w:sz w:val="20"/>
                <w:szCs w:val="20"/>
                <w:lang w:eastAsia="pt-BR"/>
              </w:rPr>
            </w:pPr>
            <w:r w:rsidRPr="00F032EF">
              <w:rPr>
                <w:rFonts w:ascii="Arial" w:eastAsia="Times New Roman" w:hAnsi="Arial" w:cs="Arial"/>
                <w:b/>
                <w:bCs/>
                <w:sz w:val="20"/>
                <w:szCs w:val="20"/>
                <w:lang w:eastAsia="pt-BR"/>
              </w:rPr>
              <w:t>Estrutura ‘InformacoesControleInternoProcedimentos’</w:t>
            </w:r>
          </w:p>
        </w:tc>
      </w:tr>
      <w:tr w:rsidR="00F032EF" w:rsidRPr="00F032EF" w14:paraId="38FE6DD0" w14:textId="77777777" w:rsidTr="002049F4">
        <w:trPr>
          <w:trHeight w:val="402"/>
        </w:trPr>
        <w:tc>
          <w:tcPr>
            <w:tcW w:w="4248" w:type="dxa"/>
            <w:tcBorders>
              <w:top w:val="nil"/>
              <w:left w:val="single" w:sz="4" w:space="0" w:color="auto"/>
              <w:bottom w:val="single" w:sz="4" w:space="0" w:color="auto"/>
              <w:right w:val="single" w:sz="4" w:space="0" w:color="auto"/>
            </w:tcBorders>
            <w:shd w:val="clear" w:color="auto" w:fill="auto"/>
            <w:vAlign w:val="center"/>
            <w:hideMark/>
          </w:tcPr>
          <w:p w14:paraId="40886E6D" w14:textId="77777777" w:rsidR="002F3813" w:rsidRPr="00F032EF" w:rsidRDefault="002F3813" w:rsidP="002049F4">
            <w:pPr>
              <w:spacing w:after="0" w:line="240" w:lineRule="auto"/>
              <w:rPr>
                <w:rFonts w:ascii="Arial" w:eastAsia="Times New Roman" w:hAnsi="Arial" w:cs="Arial"/>
                <w:sz w:val="20"/>
                <w:szCs w:val="20"/>
                <w:lang w:eastAsia="pt-BR"/>
              </w:rPr>
            </w:pPr>
            <w:r w:rsidRPr="00F032EF">
              <w:rPr>
                <w:rFonts w:ascii="Arial" w:eastAsia="Times New Roman" w:hAnsi="Arial" w:cs="Arial"/>
                <w:sz w:val="20"/>
                <w:szCs w:val="20"/>
                <w:lang w:eastAsia="pt-BR"/>
              </w:rPr>
              <w:t>Identificação do Número do Registro</w:t>
            </w:r>
          </w:p>
        </w:tc>
        <w:tc>
          <w:tcPr>
            <w:tcW w:w="1112" w:type="dxa"/>
            <w:tcBorders>
              <w:top w:val="nil"/>
              <w:left w:val="nil"/>
              <w:bottom w:val="single" w:sz="4" w:space="0" w:color="auto"/>
              <w:right w:val="single" w:sz="4" w:space="0" w:color="auto"/>
            </w:tcBorders>
            <w:shd w:val="clear" w:color="auto" w:fill="auto"/>
            <w:vAlign w:val="center"/>
            <w:hideMark/>
          </w:tcPr>
          <w:p w14:paraId="4D011062" w14:textId="77777777" w:rsidR="002F3813" w:rsidRPr="00F032EF" w:rsidRDefault="002F3813" w:rsidP="002049F4">
            <w:pPr>
              <w:spacing w:after="0" w:line="240" w:lineRule="auto"/>
              <w:jc w:val="center"/>
              <w:rPr>
                <w:rFonts w:ascii="Arial" w:eastAsia="Times New Roman" w:hAnsi="Arial" w:cs="Arial"/>
                <w:sz w:val="20"/>
                <w:szCs w:val="20"/>
                <w:lang w:eastAsia="pt-BR"/>
              </w:rPr>
            </w:pPr>
            <w:r w:rsidRPr="00F032EF">
              <w:rPr>
                <w:rFonts w:ascii="Arial" w:eastAsia="Times New Roman" w:hAnsi="Arial" w:cs="Arial"/>
                <w:sz w:val="20"/>
                <w:szCs w:val="20"/>
                <w:lang w:eastAsia="pt-BR"/>
              </w:rPr>
              <w:t>Inteiro</w:t>
            </w:r>
          </w:p>
        </w:tc>
        <w:tc>
          <w:tcPr>
            <w:tcW w:w="1298" w:type="dxa"/>
            <w:tcBorders>
              <w:top w:val="nil"/>
              <w:left w:val="nil"/>
              <w:bottom w:val="single" w:sz="4" w:space="0" w:color="auto"/>
              <w:right w:val="single" w:sz="4" w:space="0" w:color="auto"/>
            </w:tcBorders>
            <w:shd w:val="clear" w:color="auto" w:fill="auto"/>
            <w:vAlign w:val="center"/>
            <w:hideMark/>
          </w:tcPr>
          <w:p w14:paraId="3CDE4FB3" w14:textId="77777777" w:rsidR="002F3813" w:rsidRPr="00F032EF" w:rsidRDefault="002F3813" w:rsidP="002049F4">
            <w:pPr>
              <w:spacing w:after="0" w:line="240" w:lineRule="auto"/>
              <w:jc w:val="center"/>
              <w:rPr>
                <w:rFonts w:ascii="Arial" w:eastAsia="Times New Roman" w:hAnsi="Arial" w:cs="Arial"/>
                <w:sz w:val="20"/>
                <w:szCs w:val="20"/>
                <w:lang w:eastAsia="pt-BR"/>
              </w:rPr>
            </w:pPr>
            <w:r w:rsidRPr="00F032EF">
              <w:rPr>
                <w:rFonts w:ascii="Arial" w:eastAsia="Times New Roman" w:hAnsi="Arial" w:cs="Arial"/>
                <w:sz w:val="20"/>
                <w:szCs w:val="20"/>
                <w:lang w:eastAsia="pt-BR"/>
              </w:rPr>
              <w:t>5</w:t>
            </w:r>
          </w:p>
        </w:tc>
        <w:tc>
          <w:tcPr>
            <w:tcW w:w="2835" w:type="dxa"/>
            <w:tcBorders>
              <w:top w:val="nil"/>
              <w:left w:val="nil"/>
              <w:bottom w:val="single" w:sz="4" w:space="0" w:color="auto"/>
              <w:right w:val="single" w:sz="4" w:space="0" w:color="auto"/>
            </w:tcBorders>
            <w:shd w:val="clear" w:color="auto" w:fill="auto"/>
            <w:vAlign w:val="center"/>
            <w:hideMark/>
          </w:tcPr>
          <w:p w14:paraId="37A46689" w14:textId="77777777" w:rsidR="002F3813" w:rsidRPr="00F032EF" w:rsidRDefault="002F3813" w:rsidP="002049F4">
            <w:pPr>
              <w:spacing w:after="0" w:line="240" w:lineRule="auto"/>
              <w:rPr>
                <w:rFonts w:ascii="Arial" w:eastAsia="Times New Roman" w:hAnsi="Arial" w:cs="Arial"/>
                <w:sz w:val="20"/>
                <w:szCs w:val="20"/>
                <w:lang w:eastAsia="pt-BR"/>
              </w:rPr>
            </w:pPr>
            <w:r w:rsidRPr="00F032EF">
              <w:rPr>
                <w:rFonts w:ascii="Arial" w:eastAsia="Times New Roman" w:hAnsi="Arial" w:cs="Arial"/>
                <w:sz w:val="20"/>
                <w:szCs w:val="20"/>
                <w:lang w:eastAsia="pt-BR"/>
              </w:rPr>
              <w:t>Obrigatório</w:t>
            </w:r>
          </w:p>
        </w:tc>
      </w:tr>
      <w:tr w:rsidR="00F032EF" w:rsidRPr="00F032EF" w14:paraId="4BC8430C" w14:textId="77777777" w:rsidTr="002049F4">
        <w:trPr>
          <w:trHeight w:val="402"/>
        </w:trPr>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13C78873" w14:textId="77777777" w:rsidR="002F3813" w:rsidRPr="00F032EF" w:rsidRDefault="002F3813" w:rsidP="002049F4">
            <w:pPr>
              <w:spacing w:after="0" w:line="240" w:lineRule="auto"/>
              <w:rPr>
                <w:rFonts w:ascii="Arial" w:eastAsia="Times New Roman" w:hAnsi="Arial" w:cs="Arial"/>
                <w:sz w:val="20"/>
                <w:szCs w:val="20"/>
                <w:lang w:eastAsia="pt-BR"/>
              </w:rPr>
            </w:pPr>
            <w:r w:rsidRPr="00F032EF">
              <w:rPr>
                <w:rFonts w:ascii="Arial" w:eastAsia="Times New Roman" w:hAnsi="Arial" w:cs="Arial"/>
                <w:sz w:val="20"/>
                <w:szCs w:val="20"/>
                <w:lang w:eastAsia="pt-BR"/>
              </w:rPr>
              <w:t>Nível de Controle Interno</w:t>
            </w:r>
          </w:p>
        </w:tc>
        <w:tc>
          <w:tcPr>
            <w:tcW w:w="1112" w:type="dxa"/>
            <w:tcBorders>
              <w:top w:val="single" w:sz="4" w:space="0" w:color="auto"/>
              <w:left w:val="nil"/>
              <w:bottom w:val="single" w:sz="4" w:space="0" w:color="auto"/>
              <w:right w:val="single" w:sz="4" w:space="0" w:color="auto"/>
            </w:tcBorders>
            <w:shd w:val="clear" w:color="auto" w:fill="auto"/>
            <w:vAlign w:val="center"/>
          </w:tcPr>
          <w:p w14:paraId="68CA6CFB" w14:textId="77777777" w:rsidR="002F3813" w:rsidRPr="00F032EF" w:rsidRDefault="002F3813" w:rsidP="002049F4">
            <w:pPr>
              <w:spacing w:after="0" w:line="240" w:lineRule="auto"/>
              <w:jc w:val="center"/>
              <w:rPr>
                <w:rFonts w:ascii="Arial" w:eastAsia="Times New Roman" w:hAnsi="Arial" w:cs="Arial"/>
                <w:sz w:val="20"/>
                <w:szCs w:val="20"/>
                <w:lang w:eastAsia="pt-BR"/>
              </w:rPr>
            </w:pPr>
            <w:r w:rsidRPr="00F032EF">
              <w:rPr>
                <w:rFonts w:ascii="Arial" w:eastAsia="Times New Roman" w:hAnsi="Arial" w:cs="Arial"/>
                <w:sz w:val="20"/>
                <w:szCs w:val="20"/>
                <w:lang w:eastAsia="pt-BR"/>
              </w:rPr>
              <w:t>Inteiro</w:t>
            </w:r>
          </w:p>
        </w:tc>
        <w:tc>
          <w:tcPr>
            <w:tcW w:w="1298" w:type="dxa"/>
            <w:tcBorders>
              <w:top w:val="single" w:sz="4" w:space="0" w:color="auto"/>
              <w:left w:val="nil"/>
              <w:bottom w:val="single" w:sz="4" w:space="0" w:color="auto"/>
              <w:right w:val="single" w:sz="4" w:space="0" w:color="auto"/>
            </w:tcBorders>
            <w:shd w:val="clear" w:color="auto" w:fill="auto"/>
            <w:vAlign w:val="center"/>
          </w:tcPr>
          <w:p w14:paraId="38C3C4C8" w14:textId="77777777" w:rsidR="002F3813" w:rsidRPr="00F032EF" w:rsidRDefault="002F3813" w:rsidP="002049F4">
            <w:pPr>
              <w:spacing w:after="0" w:line="240" w:lineRule="auto"/>
              <w:jc w:val="center"/>
              <w:rPr>
                <w:rFonts w:ascii="Arial" w:eastAsia="Times New Roman" w:hAnsi="Arial" w:cs="Arial"/>
                <w:sz w:val="20"/>
                <w:szCs w:val="20"/>
                <w:lang w:eastAsia="pt-BR"/>
              </w:rPr>
            </w:pPr>
            <w:r w:rsidRPr="00F032EF">
              <w:rPr>
                <w:rFonts w:ascii="Arial" w:eastAsia="Times New Roman" w:hAnsi="Arial" w:cs="Arial"/>
                <w:sz w:val="20"/>
                <w:szCs w:val="20"/>
                <w:lang w:eastAsia="pt-BR"/>
              </w:rPr>
              <w:t>1</w:t>
            </w:r>
          </w:p>
        </w:tc>
        <w:tc>
          <w:tcPr>
            <w:tcW w:w="2835" w:type="dxa"/>
            <w:tcBorders>
              <w:top w:val="single" w:sz="4" w:space="0" w:color="auto"/>
              <w:left w:val="nil"/>
              <w:bottom w:val="single" w:sz="4" w:space="0" w:color="auto"/>
              <w:right w:val="single" w:sz="4" w:space="0" w:color="auto"/>
            </w:tcBorders>
            <w:shd w:val="clear" w:color="auto" w:fill="auto"/>
            <w:vAlign w:val="center"/>
          </w:tcPr>
          <w:p w14:paraId="49610033" w14:textId="77777777" w:rsidR="002F3813" w:rsidRPr="00F032EF" w:rsidRDefault="002F3813" w:rsidP="002049F4">
            <w:pPr>
              <w:spacing w:after="0" w:line="240" w:lineRule="auto"/>
              <w:rPr>
                <w:rFonts w:ascii="Arial" w:eastAsia="Times New Roman" w:hAnsi="Arial" w:cs="Arial"/>
                <w:sz w:val="20"/>
                <w:szCs w:val="20"/>
                <w:lang w:eastAsia="pt-BR"/>
              </w:rPr>
            </w:pPr>
            <w:r w:rsidRPr="00F032EF">
              <w:rPr>
                <w:rFonts w:ascii="Arial" w:eastAsia="Times New Roman" w:hAnsi="Arial" w:cs="Arial"/>
                <w:sz w:val="20"/>
                <w:szCs w:val="20"/>
                <w:lang w:eastAsia="pt-BR"/>
              </w:rPr>
              <w:t>Obrigatório;</w:t>
            </w:r>
          </w:p>
          <w:p w14:paraId="295192AC" w14:textId="77777777" w:rsidR="002F3813" w:rsidRPr="00F032EF" w:rsidRDefault="002F3813" w:rsidP="002049F4">
            <w:pPr>
              <w:spacing w:after="0" w:line="240" w:lineRule="auto"/>
              <w:rPr>
                <w:rFonts w:ascii="Arial" w:eastAsia="Times New Roman" w:hAnsi="Arial" w:cs="Arial"/>
                <w:sz w:val="20"/>
                <w:szCs w:val="20"/>
                <w:lang w:eastAsia="pt-BR"/>
              </w:rPr>
            </w:pPr>
            <w:r w:rsidRPr="00F032EF">
              <w:rPr>
                <w:rFonts w:ascii="Arial" w:eastAsia="Times New Roman" w:hAnsi="Arial" w:cs="Arial"/>
                <w:sz w:val="20"/>
                <w:szCs w:val="20"/>
                <w:lang w:eastAsia="pt-BR"/>
              </w:rPr>
              <w:t>1 – Unidade Central</w:t>
            </w:r>
          </w:p>
          <w:p w14:paraId="3974AAC6" w14:textId="77777777" w:rsidR="002F3813" w:rsidRPr="00F032EF" w:rsidRDefault="002F3813" w:rsidP="002049F4">
            <w:pPr>
              <w:spacing w:after="0" w:line="240" w:lineRule="auto"/>
              <w:rPr>
                <w:rFonts w:ascii="Arial" w:eastAsia="Times New Roman" w:hAnsi="Arial" w:cs="Arial"/>
                <w:sz w:val="20"/>
                <w:szCs w:val="20"/>
                <w:lang w:eastAsia="pt-BR"/>
              </w:rPr>
            </w:pPr>
            <w:r w:rsidRPr="00F032EF">
              <w:rPr>
                <w:rFonts w:ascii="Arial" w:eastAsia="Times New Roman" w:hAnsi="Arial" w:cs="Arial"/>
                <w:sz w:val="20"/>
                <w:szCs w:val="20"/>
                <w:lang w:eastAsia="pt-BR"/>
              </w:rPr>
              <w:t>2 – Unidade Setorial</w:t>
            </w:r>
          </w:p>
        </w:tc>
      </w:tr>
      <w:tr w:rsidR="00F032EF" w:rsidRPr="00F032EF" w14:paraId="16397B27" w14:textId="77777777" w:rsidTr="002049F4">
        <w:trPr>
          <w:trHeight w:val="402"/>
        </w:trPr>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5CC10A62" w14:textId="77777777" w:rsidR="002F3813" w:rsidRPr="00F032EF" w:rsidRDefault="002F3813" w:rsidP="002049F4">
            <w:pPr>
              <w:spacing w:after="0" w:line="240" w:lineRule="auto"/>
              <w:rPr>
                <w:rFonts w:ascii="Arial" w:eastAsia="Times New Roman" w:hAnsi="Arial" w:cs="Arial"/>
                <w:sz w:val="20"/>
                <w:szCs w:val="20"/>
                <w:lang w:eastAsia="pt-BR"/>
              </w:rPr>
            </w:pPr>
            <w:r w:rsidRPr="00F032EF">
              <w:rPr>
                <w:rFonts w:ascii="Arial" w:eastAsia="Times New Roman" w:hAnsi="Arial" w:cs="Arial"/>
                <w:sz w:val="20"/>
                <w:szCs w:val="20"/>
                <w:lang w:eastAsia="pt-BR"/>
              </w:rPr>
              <w:t>Código da Unidade Gestora em que os procedimentos foram aplicados</w:t>
            </w:r>
          </w:p>
        </w:tc>
        <w:tc>
          <w:tcPr>
            <w:tcW w:w="1112" w:type="dxa"/>
            <w:tcBorders>
              <w:top w:val="single" w:sz="4" w:space="0" w:color="auto"/>
              <w:left w:val="nil"/>
              <w:bottom w:val="single" w:sz="4" w:space="0" w:color="auto"/>
              <w:right w:val="single" w:sz="4" w:space="0" w:color="auto"/>
            </w:tcBorders>
            <w:shd w:val="clear" w:color="auto" w:fill="auto"/>
            <w:vAlign w:val="center"/>
          </w:tcPr>
          <w:p w14:paraId="74B8486F" w14:textId="77777777" w:rsidR="002F3813" w:rsidRPr="00F032EF" w:rsidRDefault="002F3813" w:rsidP="002049F4">
            <w:pPr>
              <w:spacing w:after="0" w:line="240" w:lineRule="auto"/>
              <w:jc w:val="center"/>
              <w:rPr>
                <w:rFonts w:ascii="Arial" w:eastAsia="Times New Roman" w:hAnsi="Arial" w:cs="Arial"/>
                <w:sz w:val="20"/>
                <w:szCs w:val="20"/>
                <w:lang w:eastAsia="pt-BR"/>
              </w:rPr>
            </w:pPr>
            <w:r w:rsidRPr="00F032EF">
              <w:rPr>
                <w:rFonts w:ascii="Arial" w:eastAsia="Times New Roman" w:hAnsi="Arial" w:cs="Arial"/>
                <w:sz w:val="20"/>
                <w:szCs w:val="20"/>
                <w:lang w:eastAsia="pt-BR"/>
              </w:rPr>
              <w:t>Caracter</w:t>
            </w:r>
          </w:p>
        </w:tc>
        <w:tc>
          <w:tcPr>
            <w:tcW w:w="1298" w:type="dxa"/>
            <w:tcBorders>
              <w:top w:val="single" w:sz="4" w:space="0" w:color="auto"/>
              <w:left w:val="nil"/>
              <w:bottom w:val="single" w:sz="4" w:space="0" w:color="auto"/>
              <w:right w:val="single" w:sz="4" w:space="0" w:color="auto"/>
            </w:tcBorders>
            <w:shd w:val="clear" w:color="auto" w:fill="auto"/>
            <w:vAlign w:val="center"/>
          </w:tcPr>
          <w:p w14:paraId="5CBFCDAC" w14:textId="77777777" w:rsidR="002F3813" w:rsidRPr="00F032EF" w:rsidRDefault="002F3813" w:rsidP="002049F4">
            <w:pPr>
              <w:spacing w:after="0" w:line="240" w:lineRule="auto"/>
              <w:jc w:val="center"/>
              <w:rPr>
                <w:rFonts w:ascii="Arial" w:eastAsia="Times New Roman" w:hAnsi="Arial" w:cs="Arial"/>
                <w:sz w:val="20"/>
                <w:szCs w:val="20"/>
                <w:lang w:eastAsia="pt-BR"/>
              </w:rPr>
            </w:pPr>
            <w:r w:rsidRPr="00F032EF">
              <w:rPr>
                <w:rFonts w:ascii="Arial" w:eastAsia="Times New Roman" w:hAnsi="Arial" w:cs="Arial"/>
                <w:sz w:val="20"/>
                <w:szCs w:val="20"/>
                <w:lang w:eastAsia="pt-BR"/>
              </w:rPr>
              <w:t>11</w:t>
            </w:r>
          </w:p>
        </w:tc>
        <w:tc>
          <w:tcPr>
            <w:tcW w:w="2835" w:type="dxa"/>
            <w:tcBorders>
              <w:top w:val="single" w:sz="4" w:space="0" w:color="auto"/>
              <w:left w:val="nil"/>
              <w:bottom w:val="single" w:sz="4" w:space="0" w:color="auto"/>
              <w:right w:val="single" w:sz="4" w:space="0" w:color="auto"/>
            </w:tcBorders>
            <w:shd w:val="clear" w:color="auto" w:fill="auto"/>
            <w:vAlign w:val="center"/>
          </w:tcPr>
          <w:p w14:paraId="4542295C" w14:textId="77777777" w:rsidR="002F3813" w:rsidRPr="00F032EF" w:rsidRDefault="002F3813" w:rsidP="002049F4">
            <w:pPr>
              <w:spacing w:after="0" w:line="240" w:lineRule="auto"/>
              <w:rPr>
                <w:rFonts w:ascii="Arial" w:eastAsia="Times New Roman" w:hAnsi="Arial" w:cs="Arial"/>
                <w:sz w:val="20"/>
                <w:szCs w:val="20"/>
                <w:lang w:eastAsia="pt-BR"/>
              </w:rPr>
            </w:pPr>
            <w:r w:rsidRPr="00F032EF">
              <w:rPr>
                <w:rFonts w:ascii="Arial" w:eastAsia="Times New Roman" w:hAnsi="Arial" w:cs="Arial"/>
                <w:sz w:val="20"/>
                <w:szCs w:val="20"/>
                <w:lang w:eastAsia="pt-BR"/>
              </w:rPr>
              <w:t>Obrigatório</w:t>
            </w:r>
          </w:p>
        </w:tc>
      </w:tr>
      <w:tr w:rsidR="00F032EF" w:rsidRPr="00F032EF" w14:paraId="53529267" w14:textId="77777777" w:rsidTr="002049F4">
        <w:trPr>
          <w:trHeight w:val="510"/>
        </w:trPr>
        <w:tc>
          <w:tcPr>
            <w:tcW w:w="42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363AA5" w14:textId="77777777" w:rsidR="002F3813" w:rsidRPr="00F032EF" w:rsidRDefault="002F3813" w:rsidP="002049F4">
            <w:pPr>
              <w:spacing w:after="0" w:line="240" w:lineRule="auto"/>
              <w:jc w:val="both"/>
              <w:rPr>
                <w:rFonts w:ascii="Arial" w:eastAsia="Times New Roman" w:hAnsi="Arial" w:cs="Arial"/>
                <w:sz w:val="20"/>
                <w:szCs w:val="20"/>
                <w:lang w:eastAsia="pt-BR"/>
              </w:rPr>
            </w:pPr>
            <w:r w:rsidRPr="00F032EF">
              <w:rPr>
                <w:rFonts w:ascii="Arial" w:eastAsia="Times New Roman" w:hAnsi="Arial" w:cs="Arial"/>
                <w:sz w:val="20"/>
                <w:szCs w:val="20"/>
                <w:lang w:eastAsia="pt-BR"/>
              </w:rPr>
              <w:t>Código do Procedimento (Tabela Referencial 1 / IN 68 de 2020)</w:t>
            </w:r>
          </w:p>
        </w:tc>
        <w:tc>
          <w:tcPr>
            <w:tcW w:w="1112" w:type="dxa"/>
            <w:tcBorders>
              <w:top w:val="single" w:sz="4" w:space="0" w:color="auto"/>
              <w:left w:val="nil"/>
              <w:bottom w:val="single" w:sz="4" w:space="0" w:color="auto"/>
              <w:right w:val="single" w:sz="4" w:space="0" w:color="auto"/>
            </w:tcBorders>
            <w:shd w:val="clear" w:color="auto" w:fill="auto"/>
            <w:vAlign w:val="center"/>
            <w:hideMark/>
          </w:tcPr>
          <w:p w14:paraId="59749D9D" w14:textId="77777777" w:rsidR="002F3813" w:rsidRPr="00F032EF" w:rsidRDefault="002F3813" w:rsidP="002049F4">
            <w:pPr>
              <w:spacing w:after="0" w:line="240" w:lineRule="auto"/>
              <w:jc w:val="center"/>
              <w:rPr>
                <w:rFonts w:ascii="Arial" w:eastAsia="Times New Roman" w:hAnsi="Arial" w:cs="Arial"/>
                <w:sz w:val="20"/>
                <w:szCs w:val="20"/>
                <w:lang w:eastAsia="pt-BR"/>
              </w:rPr>
            </w:pPr>
            <w:r w:rsidRPr="00F032EF">
              <w:rPr>
                <w:rFonts w:ascii="Arial" w:eastAsia="Times New Roman" w:hAnsi="Arial" w:cs="Arial"/>
                <w:sz w:val="20"/>
                <w:szCs w:val="20"/>
                <w:lang w:eastAsia="pt-BR"/>
              </w:rPr>
              <w:t>Caracter</w:t>
            </w:r>
          </w:p>
        </w:tc>
        <w:tc>
          <w:tcPr>
            <w:tcW w:w="1298" w:type="dxa"/>
            <w:tcBorders>
              <w:top w:val="single" w:sz="4" w:space="0" w:color="auto"/>
              <w:left w:val="nil"/>
              <w:bottom w:val="single" w:sz="4" w:space="0" w:color="auto"/>
              <w:right w:val="single" w:sz="4" w:space="0" w:color="auto"/>
            </w:tcBorders>
            <w:shd w:val="clear" w:color="auto" w:fill="auto"/>
            <w:vAlign w:val="center"/>
            <w:hideMark/>
          </w:tcPr>
          <w:p w14:paraId="69CF696C" w14:textId="77777777" w:rsidR="002F3813" w:rsidRPr="00F032EF" w:rsidRDefault="002F3813" w:rsidP="002049F4">
            <w:pPr>
              <w:spacing w:after="0" w:line="240" w:lineRule="auto"/>
              <w:jc w:val="center"/>
              <w:rPr>
                <w:rFonts w:ascii="Arial" w:eastAsia="Times New Roman" w:hAnsi="Arial" w:cs="Arial"/>
                <w:sz w:val="20"/>
                <w:szCs w:val="20"/>
                <w:lang w:eastAsia="pt-BR"/>
              </w:rPr>
            </w:pPr>
            <w:r w:rsidRPr="00F032EF">
              <w:rPr>
                <w:rFonts w:ascii="Arial" w:eastAsia="Times New Roman" w:hAnsi="Arial" w:cs="Arial"/>
                <w:sz w:val="20"/>
                <w:szCs w:val="20"/>
                <w:lang w:eastAsia="pt-BR"/>
              </w:rPr>
              <w:t>6</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550C48D2" w14:textId="77777777" w:rsidR="002F3813" w:rsidRPr="00F032EF" w:rsidRDefault="002F3813" w:rsidP="002049F4">
            <w:pPr>
              <w:spacing w:after="0" w:line="240" w:lineRule="auto"/>
              <w:rPr>
                <w:rFonts w:ascii="Arial" w:eastAsia="Times New Roman" w:hAnsi="Arial" w:cs="Arial"/>
                <w:sz w:val="20"/>
                <w:szCs w:val="20"/>
                <w:lang w:eastAsia="pt-BR"/>
              </w:rPr>
            </w:pPr>
            <w:r w:rsidRPr="00F032EF">
              <w:rPr>
                <w:rFonts w:ascii="Arial" w:eastAsia="Times New Roman" w:hAnsi="Arial" w:cs="Arial"/>
                <w:sz w:val="20"/>
                <w:szCs w:val="20"/>
                <w:lang w:eastAsia="pt-BR"/>
              </w:rPr>
              <w:t>Obrigatório</w:t>
            </w:r>
          </w:p>
        </w:tc>
      </w:tr>
      <w:tr w:rsidR="00F032EF" w:rsidRPr="00F032EF" w14:paraId="5783F783" w14:textId="77777777" w:rsidTr="002049F4">
        <w:trPr>
          <w:trHeight w:val="2070"/>
        </w:trPr>
        <w:tc>
          <w:tcPr>
            <w:tcW w:w="4248" w:type="dxa"/>
            <w:tcBorders>
              <w:top w:val="nil"/>
              <w:left w:val="single" w:sz="4" w:space="0" w:color="auto"/>
              <w:bottom w:val="nil"/>
              <w:right w:val="single" w:sz="4" w:space="0" w:color="auto"/>
            </w:tcBorders>
            <w:shd w:val="clear" w:color="auto" w:fill="auto"/>
            <w:vAlign w:val="center"/>
            <w:hideMark/>
          </w:tcPr>
          <w:p w14:paraId="21C76BC3" w14:textId="77777777" w:rsidR="002F3813" w:rsidRPr="00F032EF" w:rsidRDefault="002F3813" w:rsidP="002049F4">
            <w:pPr>
              <w:spacing w:after="0" w:line="240" w:lineRule="auto"/>
              <w:jc w:val="both"/>
              <w:rPr>
                <w:rFonts w:ascii="Arial" w:eastAsia="Times New Roman" w:hAnsi="Arial" w:cs="Arial"/>
                <w:sz w:val="20"/>
                <w:szCs w:val="20"/>
                <w:lang w:eastAsia="pt-BR"/>
              </w:rPr>
            </w:pPr>
            <w:r w:rsidRPr="00F032EF">
              <w:rPr>
                <w:rFonts w:ascii="Arial" w:eastAsia="Times New Roman" w:hAnsi="Arial" w:cs="Arial"/>
                <w:sz w:val="20"/>
                <w:szCs w:val="20"/>
                <w:lang w:eastAsia="pt-BR"/>
              </w:rPr>
              <w:t>Tipo do Ponto de Controle</w:t>
            </w:r>
          </w:p>
        </w:tc>
        <w:tc>
          <w:tcPr>
            <w:tcW w:w="1112" w:type="dxa"/>
            <w:tcBorders>
              <w:top w:val="nil"/>
              <w:left w:val="nil"/>
              <w:bottom w:val="nil"/>
              <w:right w:val="single" w:sz="4" w:space="0" w:color="auto"/>
            </w:tcBorders>
            <w:shd w:val="clear" w:color="auto" w:fill="auto"/>
            <w:vAlign w:val="center"/>
            <w:hideMark/>
          </w:tcPr>
          <w:p w14:paraId="7A7DD25B" w14:textId="77777777" w:rsidR="002F3813" w:rsidRPr="00F032EF" w:rsidRDefault="002F3813" w:rsidP="002049F4">
            <w:pPr>
              <w:spacing w:after="0" w:line="240" w:lineRule="auto"/>
              <w:jc w:val="center"/>
              <w:rPr>
                <w:rFonts w:ascii="Arial" w:eastAsia="Times New Roman" w:hAnsi="Arial" w:cs="Arial"/>
                <w:sz w:val="20"/>
                <w:szCs w:val="20"/>
                <w:lang w:eastAsia="pt-BR"/>
              </w:rPr>
            </w:pPr>
            <w:r w:rsidRPr="00F032EF">
              <w:rPr>
                <w:rFonts w:ascii="Arial" w:eastAsia="Times New Roman" w:hAnsi="Arial" w:cs="Arial"/>
                <w:sz w:val="20"/>
                <w:szCs w:val="20"/>
                <w:lang w:eastAsia="pt-BR"/>
              </w:rPr>
              <w:t>Inteiro</w:t>
            </w:r>
          </w:p>
        </w:tc>
        <w:tc>
          <w:tcPr>
            <w:tcW w:w="1298" w:type="dxa"/>
            <w:tcBorders>
              <w:top w:val="nil"/>
              <w:left w:val="nil"/>
              <w:bottom w:val="nil"/>
              <w:right w:val="nil"/>
            </w:tcBorders>
            <w:shd w:val="clear" w:color="auto" w:fill="auto"/>
            <w:vAlign w:val="center"/>
            <w:hideMark/>
          </w:tcPr>
          <w:p w14:paraId="47FBE7F1" w14:textId="77777777" w:rsidR="002F3813" w:rsidRPr="00F032EF" w:rsidRDefault="002F3813" w:rsidP="002049F4">
            <w:pPr>
              <w:spacing w:after="0" w:line="240" w:lineRule="auto"/>
              <w:jc w:val="center"/>
              <w:rPr>
                <w:rFonts w:ascii="Arial" w:eastAsia="Times New Roman" w:hAnsi="Arial" w:cs="Arial"/>
                <w:sz w:val="20"/>
                <w:szCs w:val="20"/>
                <w:lang w:eastAsia="pt-BR"/>
              </w:rPr>
            </w:pPr>
            <w:r w:rsidRPr="00F032EF">
              <w:rPr>
                <w:rFonts w:ascii="Arial" w:eastAsia="Times New Roman" w:hAnsi="Arial" w:cs="Arial"/>
                <w:sz w:val="20"/>
                <w:szCs w:val="20"/>
                <w:lang w:eastAsia="pt-BR"/>
              </w:rPr>
              <w:t>1</w:t>
            </w:r>
          </w:p>
        </w:tc>
        <w:tc>
          <w:tcPr>
            <w:tcW w:w="2835" w:type="dxa"/>
            <w:tcBorders>
              <w:top w:val="nil"/>
              <w:left w:val="single" w:sz="4" w:space="0" w:color="auto"/>
              <w:bottom w:val="single" w:sz="4" w:space="0" w:color="auto"/>
              <w:right w:val="single" w:sz="4" w:space="0" w:color="auto"/>
            </w:tcBorders>
            <w:shd w:val="clear" w:color="000000" w:fill="FFFFFF"/>
            <w:vAlign w:val="center"/>
            <w:hideMark/>
          </w:tcPr>
          <w:p w14:paraId="25FDDE32" w14:textId="77777777" w:rsidR="002F3813" w:rsidRPr="00F032EF" w:rsidRDefault="002F3813" w:rsidP="002049F4">
            <w:pPr>
              <w:spacing w:after="0" w:line="240" w:lineRule="auto"/>
              <w:rPr>
                <w:rFonts w:ascii="Arial" w:eastAsia="Times New Roman" w:hAnsi="Arial" w:cs="Arial"/>
                <w:sz w:val="20"/>
                <w:szCs w:val="20"/>
                <w:lang w:eastAsia="pt-BR"/>
              </w:rPr>
            </w:pPr>
            <w:r w:rsidRPr="00F032EF">
              <w:rPr>
                <w:rFonts w:ascii="Arial" w:eastAsia="Times New Roman" w:hAnsi="Arial" w:cs="Arial"/>
                <w:sz w:val="20"/>
                <w:szCs w:val="20"/>
                <w:lang w:eastAsia="pt-BR"/>
              </w:rPr>
              <w:t>Obrigatório</w:t>
            </w:r>
            <w:r w:rsidRPr="00F032EF">
              <w:rPr>
                <w:rFonts w:ascii="Arial" w:eastAsia="Times New Roman" w:hAnsi="Arial" w:cs="Arial"/>
                <w:sz w:val="20"/>
                <w:szCs w:val="20"/>
                <w:lang w:eastAsia="pt-BR"/>
              </w:rPr>
              <w:br/>
              <w:t>1 - Quantitativo (se mensurável quantitativamente)</w:t>
            </w:r>
          </w:p>
          <w:p w14:paraId="1741EF3F" w14:textId="77777777" w:rsidR="002F3813" w:rsidRPr="00F032EF" w:rsidRDefault="002F3813" w:rsidP="002049F4">
            <w:pPr>
              <w:spacing w:after="0" w:line="240" w:lineRule="auto"/>
              <w:rPr>
                <w:rFonts w:ascii="Arial" w:eastAsia="Times New Roman" w:hAnsi="Arial" w:cs="Arial"/>
                <w:sz w:val="20"/>
                <w:szCs w:val="20"/>
                <w:lang w:eastAsia="pt-BR"/>
              </w:rPr>
            </w:pPr>
            <w:r w:rsidRPr="00F032EF">
              <w:rPr>
                <w:rFonts w:ascii="Arial" w:eastAsia="Times New Roman" w:hAnsi="Arial" w:cs="Arial"/>
                <w:sz w:val="20"/>
                <w:szCs w:val="20"/>
                <w:lang w:eastAsia="pt-BR"/>
              </w:rPr>
              <w:br/>
              <w:t>2 - Qualitativo (se não mensurável quantitativamente)</w:t>
            </w:r>
          </w:p>
        </w:tc>
      </w:tr>
      <w:tr w:rsidR="00F032EF" w:rsidRPr="00F032EF" w14:paraId="097931CF" w14:textId="77777777" w:rsidTr="002049F4">
        <w:trPr>
          <w:trHeight w:val="499"/>
        </w:trPr>
        <w:tc>
          <w:tcPr>
            <w:tcW w:w="42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BB3C32" w14:textId="77777777" w:rsidR="002F3813" w:rsidRPr="00F032EF" w:rsidRDefault="002F3813" w:rsidP="002049F4">
            <w:pPr>
              <w:spacing w:after="0" w:line="240" w:lineRule="auto"/>
              <w:jc w:val="both"/>
              <w:rPr>
                <w:rFonts w:ascii="Arial" w:eastAsia="Times New Roman" w:hAnsi="Arial" w:cs="Arial"/>
                <w:sz w:val="20"/>
                <w:szCs w:val="20"/>
                <w:lang w:eastAsia="pt-BR"/>
              </w:rPr>
            </w:pPr>
            <w:r w:rsidRPr="00F032EF">
              <w:rPr>
                <w:rFonts w:ascii="Arial" w:eastAsia="Times New Roman" w:hAnsi="Arial" w:cs="Arial"/>
                <w:sz w:val="20"/>
                <w:szCs w:val="20"/>
                <w:lang w:eastAsia="pt-BR"/>
              </w:rPr>
              <w:t>Universo do Ponto de Controle Analisado</w:t>
            </w:r>
          </w:p>
        </w:tc>
        <w:tc>
          <w:tcPr>
            <w:tcW w:w="1112" w:type="dxa"/>
            <w:tcBorders>
              <w:top w:val="single" w:sz="4" w:space="0" w:color="auto"/>
              <w:left w:val="nil"/>
              <w:bottom w:val="single" w:sz="4" w:space="0" w:color="auto"/>
              <w:right w:val="single" w:sz="4" w:space="0" w:color="auto"/>
            </w:tcBorders>
            <w:shd w:val="clear" w:color="auto" w:fill="auto"/>
            <w:vAlign w:val="center"/>
            <w:hideMark/>
          </w:tcPr>
          <w:p w14:paraId="360141AD" w14:textId="77777777" w:rsidR="002F3813" w:rsidRPr="00F032EF" w:rsidRDefault="002F3813" w:rsidP="002049F4">
            <w:pPr>
              <w:spacing w:after="0" w:line="240" w:lineRule="auto"/>
              <w:jc w:val="center"/>
              <w:rPr>
                <w:rFonts w:ascii="Arial" w:eastAsia="Times New Roman" w:hAnsi="Arial" w:cs="Arial"/>
                <w:sz w:val="20"/>
                <w:szCs w:val="20"/>
                <w:lang w:eastAsia="pt-BR"/>
              </w:rPr>
            </w:pPr>
            <w:r w:rsidRPr="00F032EF">
              <w:rPr>
                <w:rFonts w:ascii="Arial" w:eastAsia="Times New Roman" w:hAnsi="Arial" w:cs="Arial"/>
                <w:sz w:val="20"/>
                <w:szCs w:val="20"/>
                <w:lang w:eastAsia="pt-BR"/>
              </w:rPr>
              <w:t>Inteiro</w:t>
            </w:r>
          </w:p>
        </w:tc>
        <w:tc>
          <w:tcPr>
            <w:tcW w:w="1298" w:type="dxa"/>
            <w:tcBorders>
              <w:top w:val="single" w:sz="4" w:space="0" w:color="auto"/>
              <w:left w:val="nil"/>
              <w:bottom w:val="single" w:sz="4" w:space="0" w:color="auto"/>
              <w:right w:val="single" w:sz="4" w:space="0" w:color="auto"/>
            </w:tcBorders>
            <w:shd w:val="clear" w:color="auto" w:fill="auto"/>
            <w:vAlign w:val="center"/>
            <w:hideMark/>
          </w:tcPr>
          <w:p w14:paraId="694158E5" w14:textId="77777777" w:rsidR="002F3813" w:rsidRPr="00F032EF" w:rsidRDefault="002F3813" w:rsidP="002049F4">
            <w:pPr>
              <w:spacing w:after="0" w:line="240" w:lineRule="auto"/>
              <w:jc w:val="center"/>
              <w:rPr>
                <w:rFonts w:ascii="Arial" w:eastAsia="Times New Roman" w:hAnsi="Arial" w:cs="Arial"/>
                <w:sz w:val="20"/>
                <w:szCs w:val="20"/>
                <w:lang w:eastAsia="pt-BR"/>
              </w:rPr>
            </w:pPr>
            <w:r w:rsidRPr="00F032EF">
              <w:rPr>
                <w:rFonts w:ascii="Arial" w:eastAsia="Times New Roman" w:hAnsi="Arial" w:cs="Arial"/>
                <w:sz w:val="20"/>
                <w:szCs w:val="20"/>
                <w:lang w:eastAsia="pt-BR"/>
              </w:rPr>
              <w:t>5</w:t>
            </w:r>
          </w:p>
        </w:tc>
        <w:tc>
          <w:tcPr>
            <w:tcW w:w="2835" w:type="dxa"/>
            <w:tcBorders>
              <w:top w:val="nil"/>
              <w:left w:val="nil"/>
              <w:bottom w:val="single" w:sz="4" w:space="0" w:color="auto"/>
              <w:right w:val="single" w:sz="4" w:space="0" w:color="auto"/>
            </w:tcBorders>
            <w:shd w:val="clear" w:color="auto" w:fill="auto"/>
            <w:vAlign w:val="center"/>
            <w:hideMark/>
          </w:tcPr>
          <w:p w14:paraId="0AFC3B3C" w14:textId="77777777" w:rsidR="002F3813" w:rsidRPr="00F032EF" w:rsidRDefault="002F3813" w:rsidP="002049F4">
            <w:pPr>
              <w:spacing w:after="0" w:line="240" w:lineRule="auto"/>
              <w:rPr>
                <w:rFonts w:ascii="Arial" w:eastAsia="Times New Roman" w:hAnsi="Arial" w:cs="Arial"/>
                <w:sz w:val="20"/>
                <w:szCs w:val="20"/>
                <w:lang w:eastAsia="pt-BR"/>
              </w:rPr>
            </w:pPr>
            <w:r w:rsidRPr="00F032EF">
              <w:rPr>
                <w:rFonts w:ascii="Arial" w:eastAsia="Times New Roman" w:hAnsi="Arial" w:cs="Arial"/>
                <w:sz w:val="20"/>
                <w:szCs w:val="20"/>
                <w:lang w:eastAsia="pt-BR"/>
              </w:rPr>
              <w:t xml:space="preserve">Obrigatório </w:t>
            </w:r>
            <w:r w:rsidRPr="00F032EF">
              <w:rPr>
                <w:rFonts w:ascii="Arial" w:eastAsia="Times New Roman" w:hAnsi="Arial" w:cs="Arial"/>
                <w:b/>
                <w:bCs/>
                <w:sz w:val="20"/>
                <w:szCs w:val="20"/>
                <w:vertAlign w:val="superscript"/>
                <w:lang w:eastAsia="pt-BR"/>
              </w:rPr>
              <w:t>[2]</w:t>
            </w:r>
          </w:p>
        </w:tc>
      </w:tr>
      <w:tr w:rsidR="00F032EF" w:rsidRPr="00F032EF" w14:paraId="794525A8" w14:textId="77777777" w:rsidTr="002049F4">
        <w:trPr>
          <w:trHeight w:val="660"/>
        </w:trPr>
        <w:tc>
          <w:tcPr>
            <w:tcW w:w="4248" w:type="dxa"/>
            <w:tcBorders>
              <w:top w:val="nil"/>
              <w:left w:val="single" w:sz="4" w:space="0" w:color="auto"/>
              <w:bottom w:val="single" w:sz="4" w:space="0" w:color="auto"/>
              <w:right w:val="single" w:sz="4" w:space="0" w:color="auto"/>
            </w:tcBorders>
            <w:shd w:val="clear" w:color="auto" w:fill="auto"/>
            <w:vAlign w:val="center"/>
            <w:hideMark/>
          </w:tcPr>
          <w:p w14:paraId="097890D8" w14:textId="77777777" w:rsidR="002F3813" w:rsidRPr="00F032EF" w:rsidRDefault="002F3813" w:rsidP="002049F4">
            <w:pPr>
              <w:spacing w:after="0" w:line="240" w:lineRule="auto"/>
              <w:jc w:val="both"/>
              <w:rPr>
                <w:rFonts w:ascii="Arial" w:eastAsia="Times New Roman" w:hAnsi="Arial" w:cs="Arial"/>
                <w:sz w:val="20"/>
                <w:szCs w:val="20"/>
                <w:lang w:eastAsia="pt-BR"/>
              </w:rPr>
            </w:pPr>
            <w:r w:rsidRPr="00F032EF">
              <w:rPr>
                <w:rFonts w:ascii="Arial" w:eastAsia="Times New Roman" w:hAnsi="Arial" w:cs="Arial"/>
                <w:sz w:val="20"/>
                <w:szCs w:val="20"/>
                <w:lang w:eastAsia="pt-BR"/>
              </w:rPr>
              <w:lastRenderedPageBreak/>
              <w:t>Amostra Selecionada do Ponto de Controle Analisado</w:t>
            </w:r>
          </w:p>
        </w:tc>
        <w:tc>
          <w:tcPr>
            <w:tcW w:w="1112" w:type="dxa"/>
            <w:tcBorders>
              <w:top w:val="nil"/>
              <w:left w:val="nil"/>
              <w:bottom w:val="single" w:sz="4" w:space="0" w:color="auto"/>
              <w:right w:val="single" w:sz="4" w:space="0" w:color="auto"/>
            </w:tcBorders>
            <w:shd w:val="clear" w:color="auto" w:fill="auto"/>
            <w:vAlign w:val="center"/>
            <w:hideMark/>
          </w:tcPr>
          <w:p w14:paraId="71595C3F" w14:textId="77777777" w:rsidR="002F3813" w:rsidRPr="00F032EF" w:rsidRDefault="002F3813" w:rsidP="002049F4">
            <w:pPr>
              <w:spacing w:after="0" w:line="240" w:lineRule="auto"/>
              <w:jc w:val="center"/>
              <w:rPr>
                <w:rFonts w:ascii="Arial" w:eastAsia="Times New Roman" w:hAnsi="Arial" w:cs="Arial"/>
                <w:sz w:val="20"/>
                <w:szCs w:val="20"/>
                <w:lang w:eastAsia="pt-BR"/>
              </w:rPr>
            </w:pPr>
            <w:r w:rsidRPr="00F032EF">
              <w:rPr>
                <w:rFonts w:ascii="Arial" w:eastAsia="Times New Roman" w:hAnsi="Arial" w:cs="Arial"/>
                <w:sz w:val="20"/>
                <w:szCs w:val="20"/>
                <w:lang w:eastAsia="pt-BR"/>
              </w:rPr>
              <w:t>Inteiro</w:t>
            </w:r>
          </w:p>
        </w:tc>
        <w:tc>
          <w:tcPr>
            <w:tcW w:w="1298" w:type="dxa"/>
            <w:tcBorders>
              <w:top w:val="nil"/>
              <w:left w:val="nil"/>
              <w:bottom w:val="single" w:sz="4" w:space="0" w:color="auto"/>
              <w:right w:val="single" w:sz="4" w:space="0" w:color="auto"/>
            </w:tcBorders>
            <w:shd w:val="clear" w:color="auto" w:fill="auto"/>
            <w:vAlign w:val="center"/>
            <w:hideMark/>
          </w:tcPr>
          <w:p w14:paraId="0C34DC6B" w14:textId="77777777" w:rsidR="002F3813" w:rsidRPr="00F032EF" w:rsidRDefault="002F3813" w:rsidP="002049F4">
            <w:pPr>
              <w:spacing w:after="0" w:line="240" w:lineRule="auto"/>
              <w:jc w:val="center"/>
              <w:rPr>
                <w:rFonts w:ascii="Arial" w:eastAsia="Times New Roman" w:hAnsi="Arial" w:cs="Arial"/>
                <w:sz w:val="20"/>
                <w:szCs w:val="20"/>
                <w:lang w:eastAsia="pt-BR"/>
              </w:rPr>
            </w:pPr>
            <w:r w:rsidRPr="00F032EF">
              <w:rPr>
                <w:rFonts w:ascii="Arial" w:eastAsia="Times New Roman" w:hAnsi="Arial" w:cs="Arial"/>
                <w:sz w:val="20"/>
                <w:szCs w:val="20"/>
                <w:lang w:eastAsia="pt-BR"/>
              </w:rPr>
              <w:t>5</w:t>
            </w:r>
          </w:p>
        </w:tc>
        <w:tc>
          <w:tcPr>
            <w:tcW w:w="2835" w:type="dxa"/>
            <w:tcBorders>
              <w:top w:val="nil"/>
              <w:left w:val="nil"/>
              <w:bottom w:val="single" w:sz="4" w:space="0" w:color="auto"/>
              <w:right w:val="single" w:sz="4" w:space="0" w:color="auto"/>
            </w:tcBorders>
            <w:shd w:val="clear" w:color="auto" w:fill="auto"/>
            <w:vAlign w:val="center"/>
            <w:hideMark/>
          </w:tcPr>
          <w:p w14:paraId="62F8AE57" w14:textId="77777777" w:rsidR="002F3813" w:rsidRPr="00F032EF" w:rsidRDefault="002F3813" w:rsidP="002049F4">
            <w:pPr>
              <w:spacing w:after="0" w:line="240" w:lineRule="auto"/>
              <w:rPr>
                <w:rFonts w:ascii="Arial" w:eastAsia="Times New Roman" w:hAnsi="Arial" w:cs="Arial"/>
                <w:sz w:val="20"/>
                <w:szCs w:val="20"/>
                <w:lang w:eastAsia="pt-BR"/>
              </w:rPr>
            </w:pPr>
            <w:r w:rsidRPr="00F032EF">
              <w:rPr>
                <w:rFonts w:ascii="Arial" w:eastAsia="Times New Roman" w:hAnsi="Arial" w:cs="Arial"/>
                <w:sz w:val="20"/>
                <w:szCs w:val="20"/>
                <w:lang w:eastAsia="pt-BR"/>
              </w:rPr>
              <w:t xml:space="preserve">Obrigatório </w:t>
            </w:r>
            <w:r w:rsidRPr="00F032EF">
              <w:rPr>
                <w:rFonts w:ascii="Arial" w:eastAsia="Times New Roman" w:hAnsi="Arial" w:cs="Arial"/>
                <w:b/>
                <w:bCs/>
                <w:sz w:val="20"/>
                <w:szCs w:val="20"/>
                <w:vertAlign w:val="superscript"/>
                <w:lang w:eastAsia="pt-BR"/>
              </w:rPr>
              <w:t>[2]</w:t>
            </w:r>
          </w:p>
        </w:tc>
      </w:tr>
      <w:tr w:rsidR="00F032EF" w:rsidRPr="00F032EF" w14:paraId="29326F42" w14:textId="77777777" w:rsidTr="002049F4">
        <w:trPr>
          <w:trHeight w:val="402"/>
        </w:trPr>
        <w:tc>
          <w:tcPr>
            <w:tcW w:w="4248" w:type="dxa"/>
            <w:tcBorders>
              <w:top w:val="nil"/>
              <w:left w:val="single" w:sz="4" w:space="0" w:color="auto"/>
              <w:bottom w:val="single" w:sz="4" w:space="0" w:color="auto"/>
              <w:right w:val="single" w:sz="4" w:space="0" w:color="auto"/>
            </w:tcBorders>
            <w:shd w:val="clear" w:color="auto" w:fill="auto"/>
            <w:vAlign w:val="center"/>
            <w:hideMark/>
          </w:tcPr>
          <w:p w14:paraId="6CC28701" w14:textId="77777777" w:rsidR="002F3813" w:rsidRPr="00F032EF" w:rsidRDefault="002F3813" w:rsidP="002049F4">
            <w:pPr>
              <w:spacing w:after="0" w:line="240" w:lineRule="auto"/>
              <w:jc w:val="both"/>
              <w:rPr>
                <w:rFonts w:ascii="Arial" w:eastAsia="Times New Roman" w:hAnsi="Arial" w:cs="Arial"/>
                <w:sz w:val="20"/>
                <w:szCs w:val="20"/>
                <w:lang w:eastAsia="pt-BR"/>
              </w:rPr>
            </w:pPr>
            <w:r w:rsidRPr="00F032EF">
              <w:rPr>
                <w:rFonts w:ascii="Arial" w:eastAsia="Times New Roman" w:hAnsi="Arial" w:cs="Arial"/>
                <w:sz w:val="20"/>
                <w:szCs w:val="20"/>
                <w:lang w:eastAsia="pt-BR"/>
              </w:rPr>
              <w:t>Descrição da Análise</w:t>
            </w:r>
          </w:p>
        </w:tc>
        <w:tc>
          <w:tcPr>
            <w:tcW w:w="1112" w:type="dxa"/>
            <w:tcBorders>
              <w:top w:val="nil"/>
              <w:left w:val="nil"/>
              <w:bottom w:val="single" w:sz="4" w:space="0" w:color="auto"/>
              <w:right w:val="single" w:sz="4" w:space="0" w:color="auto"/>
            </w:tcBorders>
            <w:shd w:val="clear" w:color="auto" w:fill="auto"/>
            <w:vAlign w:val="center"/>
            <w:hideMark/>
          </w:tcPr>
          <w:p w14:paraId="7DC21DA2" w14:textId="77777777" w:rsidR="002F3813" w:rsidRPr="00F032EF" w:rsidRDefault="002F3813" w:rsidP="002049F4">
            <w:pPr>
              <w:spacing w:after="0" w:line="240" w:lineRule="auto"/>
              <w:jc w:val="center"/>
              <w:rPr>
                <w:rFonts w:ascii="Arial" w:eastAsia="Times New Roman" w:hAnsi="Arial" w:cs="Arial"/>
                <w:sz w:val="20"/>
                <w:szCs w:val="20"/>
                <w:lang w:eastAsia="pt-BR"/>
              </w:rPr>
            </w:pPr>
            <w:r w:rsidRPr="00F032EF">
              <w:rPr>
                <w:rFonts w:ascii="Arial" w:eastAsia="Times New Roman" w:hAnsi="Arial" w:cs="Arial"/>
                <w:sz w:val="20"/>
                <w:szCs w:val="20"/>
                <w:lang w:eastAsia="pt-BR"/>
              </w:rPr>
              <w:t>Caracter</w:t>
            </w:r>
          </w:p>
        </w:tc>
        <w:tc>
          <w:tcPr>
            <w:tcW w:w="1298" w:type="dxa"/>
            <w:tcBorders>
              <w:top w:val="nil"/>
              <w:left w:val="nil"/>
              <w:bottom w:val="single" w:sz="4" w:space="0" w:color="auto"/>
              <w:right w:val="single" w:sz="4" w:space="0" w:color="auto"/>
            </w:tcBorders>
            <w:shd w:val="clear" w:color="auto" w:fill="auto"/>
            <w:vAlign w:val="center"/>
            <w:hideMark/>
          </w:tcPr>
          <w:p w14:paraId="1AF7BBD3" w14:textId="77777777" w:rsidR="002F3813" w:rsidRPr="00F032EF" w:rsidRDefault="002F3813" w:rsidP="002049F4">
            <w:pPr>
              <w:spacing w:after="0" w:line="240" w:lineRule="auto"/>
              <w:jc w:val="center"/>
              <w:rPr>
                <w:rFonts w:ascii="Arial" w:eastAsia="Times New Roman" w:hAnsi="Arial" w:cs="Arial"/>
                <w:sz w:val="20"/>
                <w:szCs w:val="20"/>
                <w:lang w:eastAsia="pt-BR"/>
              </w:rPr>
            </w:pPr>
            <w:r w:rsidRPr="00F032EF">
              <w:rPr>
                <w:rFonts w:ascii="Arial" w:eastAsia="Times New Roman" w:hAnsi="Arial" w:cs="Arial"/>
                <w:sz w:val="20"/>
                <w:szCs w:val="20"/>
                <w:lang w:eastAsia="pt-BR"/>
              </w:rPr>
              <w:t>1000</w:t>
            </w:r>
          </w:p>
        </w:tc>
        <w:tc>
          <w:tcPr>
            <w:tcW w:w="2835" w:type="dxa"/>
            <w:tcBorders>
              <w:top w:val="nil"/>
              <w:left w:val="nil"/>
              <w:bottom w:val="single" w:sz="4" w:space="0" w:color="auto"/>
              <w:right w:val="single" w:sz="4" w:space="0" w:color="auto"/>
            </w:tcBorders>
            <w:shd w:val="clear" w:color="auto" w:fill="auto"/>
            <w:vAlign w:val="center"/>
            <w:hideMark/>
          </w:tcPr>
          <w:p w14:paraId="2CED5DC1" w14:textId="77777777" w:rsidR="002F3813" w:rsidRPr="00F032EF" w:rsidRDefault="002F3813" w:rsidP="002049F4">
            <w:pPr>
              <w:spacing w:after="0" w:line="240" w:lineRule="auto"/>
              <w:rPr>
                <w:rFonts w:ascii="Arial" w:eastAsia="Times New Roman" w:hAnsi="Arial" w:cs="Arial"/>
                <w:sz w:val="20"/>
                <w:szCs w:val="20"/>
                <w:lang w:eastAsia="pt-BR"/>
              </w:rPr>
            </w:pPr>
            <w:r w:rsidRPr="00F032EF">
              <w:rPr>
                <w:rFonts w:ascii="Arial" w:eastAsia="Times New Roman" w:hAnsi="Arial" w:cs="Arial"/>
                <w:sz w:val="20"/>
                <w:szCs w:val="20"/>
                <w:lang w:eastAsia="pt-BR"/>
              </w:rPr>
              <w:t>Opcional</w:t>
            </w:r>
          </w:p>
        </w:tc>
      </w:tr>
      <w:tr w:rsidR="00F032EF" w:rsidRPr="00F032EF" w14:paraId="00517ED7" w14:textId="77777777" w:rsidTr="002049F4">
        <w:trPr>
          <w:trHeight w:val="3570"/>
        </w:trPr>
        <w:tc>
          <w:tcPr>
            <w:tcW w:w="42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E30F05" w14:textId="77777777" w:rsidR="002F3813" w:rsidRPr="00F032EF" w:rsidRDefault="002F3813" w:rsidP="002049F4">
            <w:pPr>
              <w:spacing w:after="0" w:line="240" w:lineRule="auto"/>
              <w:jc w:val="both"/>
              <w:rPr>
                <w:rFonts w:ascii="Arial" w:eastAsia="Times New Roman" w:hAnsi="Arial" w:cs="Arial"/>
                <w:sz w:val="20"/>
                <w:szCs w:val="20"/>
                <w:lang w:eastAsia="pt-BR"/>
              </w:rPr>
            </w:pPr>
            <w:r w:rsidRPr="00F032EF">
              <w:rPr>
                <w:rFonts w:ascii="Arial" w:eastAsia="Times New Roman" w:hAnsi="Arial" w:cs="Arial"/>
                <w:sz w:val="20"/>
                <w:szCs w:val="20"/>
                <w:lang w:eastAsia="pt-BR"/>
              </w:rPr>
              <w:t>Tipo de Procedimento Aplicado</w:t>
            </w:r>
          </w:p>
        </w:tc>
        <w:tc>
          <w:tcPr>
            <w:tcW w:w="1112" w:type="dxa"/>
            <w:tcBorders>
              <w:top w:val="single" w:sz="4" w:space="0" w:color="auto"/>
              <w:left w:val="nil"/>
              <w:bottom w:val="single" w:sz="4" w:space="0" w:color="auto"/>
              <w:right w:val="single" w:sz="4" w:space="0" w:color="auto"/>
            </w:tcBorders>
            <w:shd w:val="clear" w:color="auto" w:fill="auto"/>
            <w:vAlign w:val="center"/>
            <w:hideMark/>
          </w:tcPr>
          <w:p w14:paraId="37C3F6B4" w14:textId="77777777" w:rsidR="002F3813" w:rsidRPr="00F032EF" w:rsidRDefault="002F3813" w:rsidP="002049F4">
            <w:pPr>
              <w:spacing w:after="0" w:line="240" w:lineRule="auto"/>
              <w:jc w:val="center"/>
              <w:rPr>
                <w:rFonts w:ascii="Arial" w:eastAsia="Times New Roman" w:hAnsi="Arial" w:cs="Arial"/>
                <w:sz w:val="20"/>
                <w:szCs w:val="20"/>
                <w:lang w:eastAsia="pt-BR"/>
              </w:rPr>
            </w:pPr>
            <w:r w:rsidRPr="00F032EF">
              <w:rPr>
                <w:rFonts w:ascii="Arial" w:eastAsia="Times New Roman" w:hAnsi="Arial" w:cs="Arial"/>
                <w:sz w:val="20"/>
                <w:szCs w:val="20"/>
                <w:lang w:eastAsia="pt-BR"/>
              </w:rPr>
              <w:t>Inteiro</w:t>
            </w:r>
          </w:p>
        </w:tc>
        <w:tc>
          <w:tcPr>
            <w:tcW w:w="1298" w:type="dxa"/>
            <w:tcBorders>
              <w:top w:val="single" w:sz="4" w:space="0" w:color="auto"/>
              <w:left w:val="nil"/>
              <w:bottom w:val="single" w:sz="4" w:space="0" w:color="auto"/>
              <w:right w:val="nil"/>
            </w:tcBorders>
            <w:shd w:val="clear" w:color="auto" w:fill="auto"/>
            <w:vAlign w:val="center"/>
            <w:hideMark/>
          </w:tcPr>
          <w:p w14:paraId="73DC2098" w14:textId="77777777" w:rsidR="002F3813" w:rsidRPr="00F032EF" w:rsidRDefault="002F3813" w:rsidP="002049F4">
            <w:pPr>
              <w:spacing w:after="0" w:line="240" w:lineRule="auto"/>
              <w:jc w:val="center"/>
              <w:rPr>
                <w:rFonts w:ascii="Arial" w:eastAsia="Times New Roman" w:hAnsi="Arial" w:cs="Arial"/>
                <w:sz w:val="20"/>
                <w:szCs w:val="20"/>
                <w:lang w:eastAsia="pt-BR"/>
              </w:rPr>
            </w:pPr>
            <w:r w:rsidRPr="00F032EF">
              <w:rPr>
                <w:rFonts w:ascii="Arial" w:eastAsia="Times New Roman" w:hAnsi="Arial" w:cs="Arial"/>
                <w:sz w:val="20"/>
                <w:szCs w:val="20"/>
                <w:lang w:eastAsia="pt-BR"/>
              </w:rPr>
              <w:t>1</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EDB52D0" w14:textId="77777777" w:rsidR="002F3813" w:rsidRPr="00F032EF" w:rsidRDefault="002F3813" w:rsidP="002049F4">
            <w:pPr>
              <w:spacing w:after="0" w:line="240" w:lineRule="auto"/>
              <w:rPr>
                <w:rFonts w:ascii="Arial" w:eastAsia="Times New Roman" w:hAnsi="Arial" w:cs="Arial"/>
                <w:sz w:val="20"/>
                <w:szCs w:val="20"/>
                <w:lang w:eastAsia="pt-BR"/>
              </w:rPr>
            </w:pPr>
            <w:r w:rsidRPr="00F032EF">
              <w:rPr>
                <w:rFonts w:ascii="Arial" w:eastAsia="Times New Roman" w:hAnsi="Arial" w:cs="Arial"/>
                <w:sz w:val="20"/>
                <w:szCs w:val="20"/>
                <w:lang w:eastAsia="pt-BR"/>
              </w:rPr>
              <w:t>Obrigatório:</w:t>
            </w:r>
          </w:p>
          <w:p w14:paraId="1F04EF79" w14:textId="77777777" w:rsidR="002F3813" w:rsidRPr="00F032EF" w:rsidRDefault="002F3813" w:rsidP="002049F4">
            <w:pPr>
              <w:spacing w:after="0" w:line="240" w:lineRule="auto"/>
              <w:rPr>
                <w:rFonts w:ascii="Arial" w:eastAsia="Times New Roman" w:hAnsi="Arial" w:cs="Arial"/>
                <w:sz w:val="20"/>
                <w:szCs w:val="20"/>
                <w:lang w:eastAsia="pt-BR"/>
              </w:rPr>
            </w:pPr>
            <w:r w:rsidRPr="00F032EF">
              <w:rPr>
                <w:rFonts w:ascii="Calibri" w:hAnsi="Calibri" w:cs="Calibri"/>
              </w:rPr>
              <w:t>1 - Auditoria de conformidade</w:t>
            </w:r>
            <w:r w:rsidRPr="00F032EF">
              <w:rPr>
                <w:rFonts w:ascii="Arial" w:hAnsi="Arial" w:cs="Arial"/>
                <w:sz w:val="20"/>
                <w:szCs w:val="20"/>
              </w:rPr>
              <w:t> </w:t>
            </w:r>
          </w:p>
          <w:p w14:paraId="1B63BCBE" w14:textId="77777777" w:rsidR="002F3813" w:rsidRPr="00F032EF" w:rsidRDefault="002F3813" w:rsidP="002049F4">
            <w:pPr>
              <w:spacing w:after="0" w:line="240" w:lineRule="auto"/>
              <w:rPr>
                <w:rFonts w:ascii="Arial" w:eastAsia="Times New Roman" w:hAnsi="Arial" w:cs="Arial"/>
                <w:sz w:val="20"/>
                <w:szCs w:val="20"/>
                <w:lang w:eastAsia="pt-BR"/>
              </w:rPr>
            </w:pPr>
            <w:r w:rsidRPr="00F032EF">
              <w:rPr>
                <w:rFonts w:ascii="Arial" w:eastAsia="Times New Roman" w:hAnsi="Arial" w:cs="Arial"/>
                <w:sz w:val="20"/>
                <w:szCs w:val="20"/>
                <w:lang w:eastAsia="pt-BR"/>
              </w:rPr>
              <w:t>2 - Auditoria financeira;</w:t>
            </w:r>
          </w:p>
          <w:p w14:paraId="5C4C78F3" w14:textId="77777777" w:rsidR="002F3813" w:rsidRPr="00F032EF" w:rsidRDefault="002F3813" w:rsidP="002049F4">
            <w:pPr>
              <w:spacing w:after="0" w:line="240" w:lineRule="auto"/>
              <w:rPr>
                <w:rFonts w:ascii="Arial" w:eastAsia="Times New Roman" w:hAnsi="Arial" w:cs="Arial"/>
                <w:sz w:val="20"/>
                <w:szCs w:val="20"/>
                <w:lang w:eastAsia="pt-BR"/>
              </w:rPr>
            </w:pPr>
            <w:r w:rsidRPr="00F032EF">
              <w:rPr>
                <w:rFonts w:ascii="Arial" w:eastAsia="Times New Roman" w:hAnsi="Arial" w:cs="Arial"/>
                <w:sz w:val="20"/>
                <w:szCs w:val="20"/>
                <w:lang w:eastAsia="pt-BR"/>
              </w:rPr>
              <w:t>3 - Auditoria operacional;</w:t>
            </w:r>
          </w:p>
          <w:p w14:paraId="7CC8D764" w14:textId="77777777" w:rsidR="002F3813" w:rsidRPr="00F032EF" w:rsidRDefault="002F3813" w:rsidP="002049F4">
            <w:pPr>
              <w:spacing w:after="0" w:line="240" w:lineRule="auto"/>
              <w:rPr>
                <w:rFonts w:ascii="Arial" w:eastAsia="Times New Roman" w:hAnsi="Arial" w:cs="Arial"/>
                <w:sz w:val="20"/>
                <w:szCs w:val="20"/>
                <w:lang w:eastAsia="pt-BR"/>
              </w:rPr>
            </w:pPr>
            <w:r w:rsidRPr="00F032EF">
              <w:rPr>
                <w:rFonts w:ascii="Arial" w:eastAsia="Times New Roman" w:hAnsi="Arial" w:cs="Arial"/>
                <w:sz w:val="20"/>
                <w:szCs w:val="20"/>
                <w:lang w:eastAsia="pt-BR"/>
              </w:rPr>
              <w:t xml:space="preserve">4 - Análise documental; </w:t>
            </w:r>
          </w:p>
          <w:p w14:paraId="3FFC24B8" w14:textId="77777777" w:rsidR="002F3813" w:rsidRPr="00F032EF" w:rsidRDefault="002F3813" w:rsidP="002049F4">
            <w:pPr>
              <w:spacing w:after="0" w:line="240" w:lineRule="auto"/>
              <w:rPr>
                <w:rFonts w:ascii="Arial" w:eastAsia="Times New Roman" w:hAnsi="Arial" w:cs="Arial"/>
                <w:sz w:val="20"/>
                <w:szCs w:val="20"/>
                <w:lang w:eastAsia="pt-BR"/>
              </w:rPr>
            </w:pPr>
            <w:r w:rsidRPr="00F032EF">
              <w:rPr>
                <w:rFonts w:ascii="Arial" w:eastAsia="Times New Roman" w:hAnsi="Arial" w:cs="Arial"/>
                <w:sz w:val="20"/>
                <w:szCs w:val="20"/>
                <w:lang w:eastAsia="pt-BR"/>
              </w:rPr>
              <w:t>5 - Conciliações de demonstrativos</w:t>
            </w:r>
          </w:p>
          <w:p w14:paraId="47197764" w14:textId="77777777" w:rsidR="002F3813" w:rsidRPr="00F032EF" w:rsidRDefault="002F3813" w:rsidP="002049F4">
            <w:pPr>
              <w:spacing w:after="0" w:line="240" w:lineRule="auto"/>
              <w:rPr>
                <w:rFonts w:ascii="Arial" w:eastAsia="Times New Roman" w:hAnsi="Arial" w:cs="Arial"/>
                <w:sz w:val="20"/>
                <w:szCs w:val="20"/>
                <w:lang w:eastAsia="pt-BR"/>
              </w:rPr>
            </w:pPr>
            <w:r w:rsidRPr="00F032EF">
              <w:rPr>
                <w:rFonts w:ascii="Arial" w:eastAsia="Times New Roman" w:hAnsi="Arial" w:cs="Arial"/>
                <w:sz w:val="20"/>
                <w:szCs w:val="20"/>
                <w:lang w:eastAsia="pt-BR"/>
              </w:rPr>
              <w:t>6 - Circularização</w:t>
            </w:r>
            <w:r w:rsidRPr="00F032EF">
              <w:rPr>
                <w:rFonts w:ascii="Arial" w:eastAsia="Times New Roman" w:hAnsi="Arial" w:cs="Arial"/>
                <w:sz w:val="20"/>
                <w:szCs w:val="20"/>
                <w:lang w:eastAsia="pt-BR"/>
              </w:rPr>
              <w:br/>
              <w:t>7 - Revisão Analítica</w:t>
            </w:r>
            <w:r w:rsidRPr="00F032EF">
              <w:rPr>
                <w:rFonts w:ascii="Arial" w:eastAsia="Times New Roman" w:hAnsi="Arial" w:cs="Arial"/>
                <w:sz w:val="20"/>
                <w:szCs w:val="20"/>
                <w:lang w:eastAsia="pt-BR"/>
              </w:rPr>
              <w:br/>
              <w:t>8 - Testes Substantivos</w:t>
            </w:r>
            <w:r w:rsidRPr="00F032EF">
              <w:rPr>
                <w:rFonts w:ascii="Arial" w:eastAsia="Times New Roman" w:hAnsi="Arial" w:cs="Arial"/>
                <w:sz w:val="20"/>
                <w:szCs w:val="20"/>
                <w:lang w:eastAsia="pt-BR"/>
              </w:rPr>
              <w:br/>
              <w:t>9 - Testes de Controle</w:t>
            </w:r>
          </w:p>
          <w:p w14:paraId="37061B49" w14:textId="77777777" w:rsidR="002F3813" w:rsidRPr="00F032EF" w:rsidRDefault="002F3813" w:rsidP="002049F4">
            <w:pPr>
              <w:spacing w:after="0" w:line="240" w:lineRule="auto"/>
              <w:rPr>
                <w:rFonts w:ascii="Arial" w:eastAsia="Times New Roman" w:hAnsi="Arial" w:cs="Arial"/>
                <w:sz w:val="20"/>
                <w:szCs w:val="20"/>
                <w:lang w:eastAsia="pt-BR"/>
              </w:rPr>
            </w:pPr>
            <w:r w:rsidRPr="00F032EF">
              <w:rPr>
                <w:rFonts w:ascii="Arial" w:eastAsia="Times New Roman" w:hAnsi="Arial" w:cs="Arial"/>
                <w:sz w:val="20"/>
                <w:szCs w:val="20"/>
                <w:lang w:eastAsia="pt-BR"/>
              </w:rPr>
              <w:t>10 - Inspeção Física</w:t>
            </w:r>
            <w:r w:rsidRPr="00F032EF">
              <w:rPr>
                <w:rFonts w:ascii="Arial" w:eastAsia="Times New Roman" w:hAnsi="Arial" w:cs="Arial"/>
                <w:sz w:val="20"/>
                <w:szCs w:val="20"/>
                <w:lang w:eastAsia="pt-BR"/>
              </w:rPr>
              <w:br/>
              <w:t>11 - Observação Direta</w:t>
            </w:r>
            <w:r w:rsidRPr="00F032EF">
              <w:rPr>
                <w:rFonts w:ascii="Arial" w:eastAsia="Times New Roman" w:hAnsi="Arial" w:cs="Arial"/>
                <w:sz w:val="20"/>
                <w:szCs w:val="20"/>
                <w:lang w:eastAsia="pt-BR"/>
              </w:rPr>
              <w:br/>
              <w:t>12 - Indagação</w:t>
            </w:r>
            <w:r w:rsidRPr="00F032EF">
              <w:rPr>
                <w:rFonts w:ascii="Arial" w:eastAsia="Times New Roman" w:hAnsi="Arial" w:cs="Arial"/>
                <w:sz w:val="20"/>
                <w:szCs w:val="20"/>
                <w:lang w:eastAsia="pt-BR"/>
              </w:rPr>
              <w:br/>
              <w:t>13 – Confirmação Externa</w:t>
            </w:r>
            <w:r w:rsidRPr="00F032EF">
              <w:rPr>
                <w:rFonts w:ascii="Arial" w:eastAsia="Times New Roman" w:hAnsi="Arial" w:cs="Arial"/>
                <w:sz w:val="20"/>
                <w:szCs w:val="20"/>
                <w:lang w:eastAsia="pt-BR"/>
              </w:rPr>
              <w:br/>
              <w:t>14 – Recálculo</w:t>
            </w:r>
            <w:r w:rsidRPr="00F032EF">
              <w:rPr>
                <w:rFonts w:ascii="Arial" w:eastAsia="Times New Roman" w:hAnsi="Arial" w:cs="Arial"/>
                <w:sz w:val="20"/>
                <w:szCs w:val="20"/>
                <w:lang w:eastAsia="pt-BR"/>
              </w:rPr>
              <w:br/>
              <w:t>15 – Reexecução</w:t>
            </w:r>
            <w:r w:rsidRPr="00F032EF">
              <w:rPr>
                <w:rFonts w:ascii="Arial" w:eastAsia="Times New Roman" w:hAnsi="Arial" w:cs="Arial"/>
                <w:sz w:val="20"/>
                <w:szCs w:val="20"/>
                <w:lang w:eastAsia="pt-BR"/>
              </w:rPr>
              <w:br/>
              <w:t>16 – Outros</w:t>
            </w:r>
          </w:p>
        </w:tc>
      </w:tr>
      <w:tr w:rsidR="00F032EF" w:rsidRPr="00F032EF" w14:paraId="25E98E06" w14:textId="77777777" w:rsidTr="002049F4">
        <w:trPr>
          <w:trHeight w:val="3825"/>
        </w:trPr>
        <w:tc>
          <w:tcPr>
            <w:tcW w:w="42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7B9DE0" w14:textId="77777777" w:rsidR="002F3813" w:rsidRPr="00F032EF" w:rsidRDefault="002F3813" w:rsidP="002049F4">
            <w:pPr>
              <w:spacing w:after="0" w:line="240" w:lineRule="auto"/>
              <w:jc w:val="both"/>
              <w:rPr>
                <w:rFonts w:ascii="Arial" w:eastAsia="Times New Roman" w:hAnsi="Arial" w:cs="Arial"/>
                <w:sz w:val="20"/>
                <w:szCs w:val="20"/>
                <w:lang w:eastAsia="pt-BR"/>
              </w:rPr>
            </w:pPr>
            <w:r w:rsidRPr="00F032EF">
              <w:rPr>
                <w:rFonts w:ascii="Arial" w:eastAsia="Times New Roman" w:hAnsi="Arial" w:cs="Arial"/>
                <w:sz w:val="20"/>
                <w:szCs w:val="20"/>
                <w:lang w:eastAsia="pt-BR"/>
              </w:rPr>
              <w:t>Situação da Análise</w:t>
            </w:r>
          </w:p>
        </w:tc>
        <w:tc>
          <w:tcPr>
            <w:tcW w:w="1112" w:type="dxa"/>
            <w:tcBorders>
              <w:top w:val="single" w:sz="4" w:space="0" w:color="auto"/>
              <w:left w:val="nil"/>
              <w:bottom w:val="single" w:sz="4" w:space="0" w:color="auto"/>
              <w:right w:val="single" w:sz="4" w:space="0" w:color="auto"/>
            </w:tcBorders>
            <w:shd w:val="clear" w:color="auto" w:fill="auto"/>
            <w:vAlign w:val="center"/>
            <w:hideMark/>
          </w:tcPr>
          <w:p w14:paraId="0E6474D1" w14:textId="77777777" w:rsidR="002F3813" w:rsidRPr="00F032EF" w:rsidRDefault="002F3813" w:rsidP="002049F4">
            <w:pPr>
              <w:spacing w:after="0" w:line="240" w:lineRule="auto"/>
              <w:jc w:val="center"/>
              <w:rPr>
                <w:rFonts w:ascii="Arial" w:eastAsia="Times New Roman" w:hAnsi="Arial" w:cs="Arial"/>
                <w:sz w:val="20"/>
                <w:szCs w:val="20"/>
                <w:lang w:eastAsia="pt-BR"/>
              </w:rPr>
            </w:pPr>
            <w:r w:rsidRPr="00F032EF">
              <w:rPr>
                <w:rFonts w:ascii="Arial" w:eastAsia="Times New Roman" w:hAnsi="Arial" w:cs="Arial"/>
                <w:sz w:val="20"/>
                <w:szCs w:val="20"/>
                <w:lang w:eastAsia="pt-BR"/>
              </w:rPr>
              <w:t>Inteiro</w:t>
            </w:r>
          </w:p>
        </w:tc>
        <w:tc>
          <w:tcPr>
            <w:tcW w:w="1298" w:type="dxa"/>
            <w:tcBorders>
              <w:top w:val="single" w:sz="4" w:space="0" w:color="auto"/>
              <w:left w:val="nil"/>
              <w:bottom w:val="single" w:sz="4" w:space="0" w:color="auto"/>
              <w:right w:val="nil"/>
            </w:tcBorders>
            <w:shd w:val="clear" w:color="auto" w:fill="auto"/>
            <w:vAlign w:val="center"/>
            <w:hideMark/>
          </w:tcPr>
          <w:p w14:paraId="3EE24101" w14:textId="77777777" w:rsidR="002F3813" w:rsidRPr="00F032EF" w:rsidRDefault="002F3813" w:rsidP="002049F4">
            <w:pPr>
              <w:spacing w:after="0" w:line="240" w:lineRule="auto"/>
              <w:jc w:val="center"/>
              <w:rPr>
                <w:rFonts w:ascii="Arial" w:eastAsia="Times New Roman" w:hAnsi="Arial" w:cs="Arial"/>
                <w:sz w:val="20"/>
                <w:szCs w:val="20"/>
                <w:lang w:eastAsia="pt-BR"/>
              </w:rPr>
            </w:pPr>
            <w:r w:rsidRPr="00F032EF">
              <w:rPr>
                <w:rFonts w:ascii="Arial" w:eastAsia="Times New Roman" w:hAnsi="Arial" w:cs="Arial"/>
                <w:sz w:val="20"/>
                <w:szCs w:val="20"/>
                <w:lang w:eastAsia="pt-BR"/>
              </w:rPr>
              <w:t>1</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8E49D5B" w14:textId="77777777" w:rsidR="002F3813" w:rsidRPr="00F032EF" w:rsidRDefault="002F3813" w:rsidP="002049F4">
            <w:pPr>
              <w:spacing w:after="0" w:line="240" w:lineRule="auto"/>
              <w:rPr>
                <w:rFonts w:ascii="Arial" w:eastAsia="Times New Roman" w:hAnsi="Arial" w:cs="Arial"/>
                <w:sz w:val="20"/>
                <w:szCs w:val="20"/>
                <w:lang w:eastAsia="pt-BR"/>
              </w:rPr>
            </w:pPr>
            <w:r w:rsidRPr="00F032EF">
              <w:rPr>
                <w:rFonts w:ascii="Arial" w:eastAsia="Times New Roman" w:hAnsi="Arial" w:cs="Arial"/>
                <w:sz w:val="20"/>
                <w:szCs w:val="20"/>
                <w:lang w:eastAsia="pt-BR"/>
              </w:rPr>
              <w:t>Obrigatório</w:t>
            </w:r>
            <w:r w:rsidRPr="00F032EF">
              <w:rPr>
                <w:rFonts w:ascii="Arial" w:eastAsia="Times New Roman" w:hAnsi="Arial" w:cs="Arial"/>
                <w:sz w:val="20"/>
                <w:szCs w:val="20"/>
                <w:lang w:eastAsia="pt-BR"/>
              </w:rPr>
              <w:br/>
              <w:t>1 - Procedimento aplicado sem detecção de distorções</w:t>
            </w:r>
          </w:p>
          <w:p w14:paraId="4575654E" w14:textId="77777777" w:rsidR="002F3813" w:rsidRPr="00F032EF" w:rsidRDefault="002F3813" w:rsidP="002049F4">
            <w:pPr>
              <w:spacing w:after="0" w:line="240" w:lineRule="auto"/>
              <w:rPr>
                <w:rFonts w:ascii="Arial" w:eastAsia="Times New Roman" w:hAnsi="Arial" w:cs="Arial"/>
                <w:sz w:val="20"/>
                <w:szCs w:val="20"/>
                <w:lang w:eastAsia="pt-BR"/>
              </w:rPr>
            </w:pPr>
            <w:r w:rsidRPr="00F032EF">
              <w:rPr>
                <w:rFonts w:ascii="Arial" w:eastAsia="Times New Roman" w:hAnsi="Arial" w:cs="Arial"/>
                <w:sz w:val="20"/>
                <w:szCs w:val="20"/>
                <w:lang w:eastAsia="pt-BR"/>
              </w:rPr>
              <w:br/>
              <w:t>2 - Procedimento aplicado sem detecção de distorções relevantes, constatando oportunidades de melhorias do controle</w:t>
            </w:r>
          </w:p>
          <w:p w14:paraId="43BC327C" w14:textId="77777777" w:rsidR="002F3813" w:rsidRPr="00F032EF" w:rsidRDefault="002F3813" w:rsidP="002049F4">
            <w:pPr>
              <w:spacing w:after="0" w:line="240" w:lineRule="auto"/>
              <w:rPr>
                <w:rFonts w:ascii="Arial" w:eastAsia="Times New Roman" w:hAnsi="Arial" w:cs="Arial"/>
                <w:sz w:val="20"/>
                <w:szCs w:val="20"/>
                <w:lang w:eastAsia="pt-BR"/>
              </w:rPr>
            </w:pPr>
            <w:r w:rsidRPr="00F032EF">
              <w:rPr>
                <w:rFonts w:ascii="Arial" w:eastAsia="Times New Roman" w:hAnsi="Arial" w:cs="Arial"/>
                <w:sz w:val="20"/>
                <w:szCs w:val="20"/>
                <w:lang w:eastAsia="pt-BR"/>
              </w:rPr>
              <w:br/>
              <w:t>3 - Procedimento aplicado com constatação de distorções que ensejam risco grave e necessidade de correções.</w:t>
            </w:r>
          </w:p>
        </w:tc>
      </w:tr>
      <w:tr w:rsidR="00F032EF" w:rsidRPr="00F032EF" w14:paraId="1A9833F6" w14:textId="77777777" w:rsidTr="002049F4">
        <w:trPr>
          <w:trHeight w:val="600"/>
        </w:trPr>
        <w:tc>
          <w:tcPr>
            <w:tcW w:w="9493" w:type="dxa"/>
            <w:gridSpan w:val="4"/>
            <w:tcBorders>
              <w:top w:val="nil"/>
              <w:left w:val="single" w:sz="4" w:space="0" w:color="auto"/>
              <w:bottom w:val="single" w:sz="4" w:space="0" w:color="auto"/>
              <w:right w:val="single" w:sz="4" w:space="0" w:color="000000"/>
            </w:tcBorders>
            <w:shd w:val="clear" w:color="000000" w:fill="BFBFBF"/>
            <w:vAlign w:val="center"/>
            <w:hideMark/>
          </w:tcPr>
          <w:p w14:paraId="0BFA40E4" w14:textId="77777777" w:rsidR="002F3813" w:rsidRPr="00F032EF" w:rsidRDefault="002F3813" w:rsidP="002049F4">
            <w:pPr>
              <w:spacing w:after="0" w:line="240" w:lineRule="auto"/>
              <w:jc w:val="center"/>
              <w:rPr>
                <w:rFonts w:ascii="Arial" w:eastAsia="Times New Roman" w:hAnsi="Arial" w:cs="Arial"/>
                <w:b/>
                <w:bCs/>
                <w:sz w:val="20"/>
                <w:szCs w:val="20"/>
                <w:lang w:eastAsia="pt-BR"/>
              </w:rPr>
            </w:pPr>
            <w:r w:rsidRPr="00F032EF">
              <w:rPr>
                <w:rFonts w:ascii="Arial" w:eastAsia="Times New Roman" w:hAnsi="Arial" w:cs="Arial"/>
                <w:b/>
                <w:bCs/>
                <w:sz w:val="20"/>
                <w:szCs w:val="20"/>
                <w:lang w:eastAsia="pt-BR"/>
              </w:rPr>
              <w:t>Estrutura ‘InformacoesControleInternoTomadaContasEspecial’</w:t>
            </w:r>
          </w:p>
        </w:tc>
      </w:tr>
      <w:tr w:rsidR="00F032EF" w:rsidRPr="00F032EF" w14:paraId="54E6D32D" w14:textId="77777777" w:rsidTr="002049F4">
        <w:trPr>
          <w:trHeight w:val="402"/>
        </w:trPr>
        <w:tc>
          <w:tcPr>
            <w:tcW w:w="4248" w:type="dxa"/>
            <w:tcBorders>
              <w:top w:val="nil"/>
              <w:left w:val="single" w:sz="4" w:space="0" w:color="auto"/>
              <w:bottom w:val="single" w:sz="4" w:space="0" w:color="auto"/>
              <w:right w:val="single" w:sz="4" w:space="0" w:color="auto"/>
            </w:tcBorders>
            <w:shd w:val="clear" w:color="auto" w:fill="auto"/>
            <w:vAlign w:val="center"/>
            <w:hideMark/>
          </w:tcPr>
          <w:p w14:paraId="5C0E22A2" w14:textId="77777777" w:rsidR="002F3813" w:rsidRPr="00F032EF" w:rsidRDefault="002F3813" w:rsidP="002049F4">
            <w:pPr>
              <w:spacing w:after="0" w:line="240" w:lineRule="auto"/>
              <w:jc w:val="both"/>
              <w:rPr>
                <w:rFonts w:ascii="Arial" w:eastAsia="Times New Roman" w:hAnsi="Arial" w:cs="Arial"/>
                <w:sz w:val="20"/>
                <w:szCs w:val="20"/>
                <w:lang w:eastAsia="pt-BR"/>
              </w:rPr>
            </w:pPr>
            <w:r w:rsidRPr="00F032EF">
              <w:rPr>
                <w:rFonts w:ascii="Arial" w:eastAsia="Times New Roman" w:hAnsi="Arial" w:cs="Arial"/>
                <w:sz w:val="20"/>
                <w:szCs w:val="20"/>
                <w:lang w:eastAsia="pt-BR"/>
              </w:rPr>
              <w:t>Identificação do Numero do Registro</w:t>
            </w:r>
          </w:p>
        </w:tc>
        <w:tc>
          <w:tcPr>
            <w:tcW w:w="1112" w:type="dxa"/>
            <w:tcBorders>
              <w:top w:val="nil"/>
              <w:left w:val="nil"/>
              <w:bottom w:val="single" w:sz="4" w:space="0" w:color="auto"/>
              <w:right w:val="single" w:sz="4" w:space="0" w:color="auto"/>
            </w:tcBorders>
            <w:shd w:val="clear" w:color="auto" w:fill="auto"/>
            <w:vAlign w:val="center"/>
            <w:hideMark/>
          </w:tcPr>
          <w:p w14:paraId="25537885" w14:textId="77777777" w:rsidR="002F3813" w:rsidRPr="00F032EF" w:rsidRDefault="002F3813" w:rsidP="002049F4">
            <w:pPr>
              <w:spacing w:after="0" w:line="240" w:lineRule="auto"/>
              <w:jc w:val="center"/>
              <w:rPr>
                <w:rFonts w:ascii="Arial" w:eastAsia="Times New Roman" w:hAnsi="Arial" w:cs="Arial"/>
                <w:sz w:val="20"/>
                <w:szCs w:val="20"/>
                <w:lang w:eastAsia="pt-BR"/>
              </w:rPr>
            </w:pPr>
            <w:r w:rsidRPr="00F032EF">
              <w:rPr>
                <w:rFonts w:ascii="Arial" w:eastAsia="Times New Roman" w:hAnsi="Arial" w:cs="Arial"/>
                <w:sz w:val="20"/>
                <w:szCs w:val="20"/>
                <w:lang w:eastAsia="pt-BR"/>
              </w:rPr>
              <w:t>Inteiro</w:t>
            </w:r>
          </w:p>
        </w:tc>
        <w:tc>
          <w:tcPr>
            <w:tcW w:w="1298" w:type="dxa"/>
            <w:tcBorders>
              <w:top w:val="nil"/>
              <w:left w:val="nil"/>
              <w:bottom w:val="single" w:sz="4" w:space="0" w:color="auto"/>
              <w:right w:val="single" w:sz="4" w:space="0" w:color="auto"/>
            </w:tcBorders>
            <w:shd w:val="clear" w:color="auto" w:fill="auto"/>
            <w:vAlign w:val="center"/>
            <w:hideMark/>
          </w:tcPr>
          <w:p w14:paraId="0E434DBA" w14:textId="77777777" w:rsidR="002F3813" w:rsidRPr="00F032EF" w:rsidRDefault="002F3813" w:rsidP="002049F4">
            <w:pPr>
              <w:spacing w:after="0" w:line="240" w:lineRule="auto"/>
              <w:jc w:val="center"/>
              <w:rPr>
                <w:rFonts w:ascii="Arial" w:eastAsia="Times New Roman" w:hAnsi="Arial" w:cs="Arial"/>
                <w:sz w:val="20"/>
                <w:szCs w:val="20"/>
                <w:lang w:eastAsia="pt-BR"/>
              </w:rPr>
            </w:pPr>
            <w:r w:rsidRPr="00F032EF">
              <w:rPr>
                <w:rFonts w:ascii="Arial" w:eastAsia="Times New Roman" w:hAnsi="Arial" w:cs="Arial"/>
                <w:sz w:val="20"/>
                <w:szCs w:val="20"/>
                <w:lang w:eastAsia="pt-BR"/>
              </w:rPr>
              <w:t>5</w:t>
            </w:r>
          </w:p>
        </w:tc>
        <w:tc>
          <w:tcPr>
            <w:tcW w:w="2835" w:type="dxa"/>
            <w:tcBorders>
              <w:top w:val="nil"/>
              <w:left w:val="nil"/>
              <w:bottom w:val="single" w:sz="4" w:space="0" w:color="auto"/>
              <w:right w:val="single" w:sz="4" w:space="0" w:color="auto"/>
            </w:tcBorders>
            <w:shd w:val="clear" w:color="auto" w:fill="auto"/>
            <w:vAlign w:val="center"/>
            <w:hideMark/>
          </w:tcPr>
          <w:p w14:paraId="47099004" w14:textId="77777777" w:rsidR="002F3813" w:rsidRPr="00F032EF" w:rsidRDefault="002F3813" w:rsidP="002049F4">
            <w:pPr>
              <w:spacing w:after="0" w:line="240" w:lineRule="auto"/>
              <w:rPr>
                <w:rFonts w:ascii="Arial" w:eastAsia="Times New Roman" w:hAnsi="Arial" w:cs="Arial"/>
                <w:sz w:val="20"/>
                <w:szCs w:val="20"/>
                <w:lang w:eastAsia="pt-BR"/>
              </w:rPr>
            </w:pPr>
            <w:r w:rsidRPr="00F032EF">
              <w:rPr>
                <w:rFonts w:ascii="Arial" w:eastAsia="Times New Roman" w:hAnsi="Arial" w:cs="Arial"/>
                <w:sz w:val="20"/>
                <w:szCs w:val="20"/>
                <w:lang w:eastAsia="pt-BR"/>
              </w:rPr>
              <w:t>Obrigatório</w:t>
            </w:r>
          </w:p>
        </w:tc>
      </w:tr>
      <w:tr w:rsidR="00F032EF" w:rsidRPr="00F032EF" w14:paraId="2B133DAE" w14:textId="77777777" w:rsidTr="002049F4">
        <w:trPr>
          <w:trHeight w:val="402"/>
        </w:trPr>
        <w:tc>
          <w:tcPr>
            <w:tcW w:w="4248" w:type="dxa"/>
            <w:tcBorders>
              <w:top w:val="nil"/>
              <w:left w:val="single" w:sz="4" w:space="0" w:color="auto"/>
              <w:bottom w:val="single" w:sz="4" w:space="0" w:color="auto"/>
              <w:right w:val="single" w:sz="4" w:space="0" w:color="auto"/>
            </w:tcBorders>
            <w:shd w:val="clear" w:color="auto" w:fill="auto"/>
            <w:vAlign w:val="center"/>
          </w:tcPr>
          <w:p w14:paraId="36404A80" w14:textId="77777777" w:rsidR="002F3813" w:rsidRPr="00F032EF" w:rsidRDefault="002F3813" w:rsidP="002049F4">
            <w:pPr>
              <w:spacing w:after="0" w:line="240" w:lineRule="auto"/>
              <w:jc w:val="both"/>
              <w:rPr>
                <w:rFonts w:ascii="Arial" w:eastAsia="Times New Roman" w:hAnsi="Arial" w:cs="Arial"/>
                <w:sz w:val="20"/>
                <w:szCs w:val="20"/>
                <w:lang w:eastAsia="pt-BR"/>
              </w:rPr>
            </w:pPr>
            <w:r w:rsidRPr="00F032EF">
              <w:rPr>
                <w:rFonts w:ascii="Arial" w:eastAsia="Times New Roman" w:hAnsi="Arial" w:cs="Arial"/>
                <w:sz w:val="20"/>
                <w:szCs w:val="20"/>
                <w:lang w:eastAsia="pt-BR"/>
              </w:rPr>
              <w:t>Código da Unidade Gestora em que as Tomadas de Contas Especiais foram realizadas</w:t>
            </w:r>
          </w:p>
        </w:tc>
        <w:tc>
          <w:tcPr>
            <w:tcW w:w="1112" w:type="dxa"/>
            <w:tcBorders>
              <w:top w:val="nil"/>
              <w:left w:val="nil"/>
              <w:bottom w:val="single" w:sz="4" w:space="0" w:color="auto"/>
              <w:right w:val="single" w:sz="4" w:space="0" w:color="auto"/>
            </w:tcBorders>
            <w:shd w:val="clear" w:color="auto" w:fill="auto"/>
            <w:vAlign w:val="center"/>
          </w:tcPr>
          <w:p w14:paraId="5B76F294" w14:textId="77777777" w:rsidR="002F3813" w:rsidRPr="00F032EF" w:rsidRDefault="002F3813" w:rsidP="002049F4">
            <w:pPr>
              <w:spacing w:after="0" w:line="240" w:lineRule="auto"/>
              <w:jc w:val="center"/>
              <w:rPr>
                <w:rFonts w:ascii="Arial" w:eastAsia="Times New Roman" w:hAnsi="Arial" w:cs="Arial"/>
                <w:sz w:val="20"/>
                <w:szCs w:val="20"/>
                <w:lang w:eastAsia="pt-BR"/>
              </w:rPr>
            </w:pPr>
            <w:r w:rsidRPr="00F032EF">
              <w:rPr>
                <w:rFonts w:ascii="Arial" w:eastAsia="Times New Roman" w:hAnsi="Arial" w:cs="Arial"/>
                <w:sz w:val="20"/>
                <w:szCs w:val="20"/>
                <w:lang w:eastAsia="pt-BR"/>
              </w:rPr>
              <w:t>Caracter</w:t>
            </w:r>
          </w:p>
        </w:tc>
        <w:tc>
          <w:tcPr>
            <w:tcW w:w="1298" w:type="dxa"/>
            <w:tcBorders>
              <w:top w:val="nil"/>
              <w:left w:val="nil"/>
              <w:bottom w:val="single" w:sz="4" w:space="0" w:color="auto"/>
              <w:right w:val="single" w:sz="4" w:space="0" w:color="auto"/>
            </w:tcBorders>
            <w:shd w:val="clear" w:color="auto" w:fill="auto"/>
            <w:vAlign w:val="center"/>
          </w:tcPr>
          <w:p w14:paraId="7D450F0C" w14:textId="77777777" w:rsidR="002F3813" w:rsidRPr="00F032EF" w:rsidRDefault="002F3813" w:rsidP="002049F4">
            <w:pPr>
              <w:spacing w:after="0" w:line="240" w:lineRule="auto"/>
              <w:jc w:val="center"/>
              <w:rPr>
                <w:rFonts w:ascii="Arial" w:eastAsia="Times New Roman" w:hAnsi="Arial" w:cs="Arial"/>
                <w:sz w:val="20"/>
                <w:szCs w:val="20"/>
                <w:lang w:eastAsia="pt-BR"/>
              </w:rPr>
            </w:pPr>
            <w:r w:rsidRPr="00F032EF">
              <w:rPr>
                <w:rFonts w:ascii="Arial" w:eastAsia="Times New Roman" w:hAnsi="Arial" w:cs="Arial"/>
                <w:sz w:val="20"/>
                <w:szCs w:val="20"/>
                <w:lang w:eastAsia="pt-BR"/>
              </w:rPr>
              <w:t>11</w:t>
            </w:r>
          </w:p>
        </w:tc>
        <w:tc>
          <w:tcPr>
            <w:tcW w:w="2835" w:type="dxa"/>
            <w:tcBorders>
              <w:top w:val="nil"/>
              <w:left w:val="nil"/>
              <w:bottom w:val="single" w:sz="4" w:space="0" w:color="auto"/>
              <w:right w:val="single" w:sz="4" w:space="0" w:color="auto"/>
            </w:tcBorders>
            <w:shd w:val="clear" w:color="auto" w:fill="auto"/>
            <w:vAlign w:val="center"/>
          </w:tcPr>
          <w:p w14:paraId="5D5F4627" w14:textId="77777777" w:rsidR="002F3813" w:rsidRPr="00F032EF" w:rsidRDefault="002F3813" w:rsidP="002049F4">
            <w:pPr>
              <w:spacing w:after="0" w:line="240" w:lineRule="auto"/>
              <w:rPr>
                <w:rFonts w:ascii="Arial" w:eastAsia="Times New Roman" w:hAnsi="Arial" w:cs="Arial"/>
                <w:sz w:val="20"/>
                <w:szCs w:val="20"/>
                <w:lang w:eastAsia="pt-BR"/>
              </w:rPr>
            </w:pPr>
            <w:r w:rsidRPr="00F032EF">
              <w:rPr>
                <w:rFonts w:ascii="Arial" w:eastAsia="Times New Roman" w:hAnsi="Arial" w:cs="Arial"/>
                <w:sz w:val="20"/>
                <w:szCs w:val="20"/>
                <w:lang w:eastAsia="pt-BR"/>
              </w:rPr>
              <w:t>Obrigatório</w:t>
            </w:r>
          </w:p>
        </w:tc>
      </w:tr>
      <w:tr w:rsidR="00F032EF" w:rsidRPr="00F032EF" w14:paraId="0B1D8DCF" w14:textId="77777777" w:rsidTr="002049F4">
        <w:trPr>
          <w:trHeight w:val="510"/>
        </w:trPr>
        <w:tc>
          <w:tcPr>
            <w:tcW w:w="4248" w:type="dxa"/>
            <w:tcBorders>
              <w:top w:val="nil"/>
              <w:left w:val="single" w:sz="4" w:space="0" w:color="auto"/>
              <w:bottom w:val="single" w:sz="4" w:space="0" w:color="auto"/>
              <w:right w:val="single" w:sz="4" w:space="0" w:color="auto"/>
            </w:tcBorders>
            <w:shd w:val="clear" w:color="auto" w:fill="auto"/>
            <w:vAlign w:val="center"/>
            <w:hideMark/>
          </w:tcPr>
          <w:p w14:paraId="1C320B30" w14:textId="77777777" w:rsidR="002F3813" w:rsidRPr="00F032EF" w:rsidRDefault="002F3813" w:rsidP="002049F4">
            <w:pPr>
              <w:spacing w:after="0" w:line="240" w:lineRule="auto"/>
              <w:jc w:val="both"/>
              <w:rPr>
                <w:rFonts w:ascii="Arial" w:eastAsia="Times New Roman" w:hAnsi="Arial" w:cs="Arial"/>
                <w:sz w:val="20"/>
                <w:szCs w:val="20"/>
                <w:lang w:eastAsia="pt-BR"/>
              </w:rPr>
            </w:pPr>
            <w:r w:rsidRPr="00F032EF">
              <w:rPr>
                <w:rFonts w:ascii="Arial" w:eastAsia="Times New Roman" w:hAnsi="Arial" w:cs="Arial"/>
                <w:sz w:val="20"/>
                <w:szCs w:val="20"/>
                <w:lang w:eastAsia="pt-BR"/>
              </w:rPr>
              <w:t>Número do Processo Administrativo da Tomada de Contas Especial</w:t>
            </w:r>
          </w:p>
        </w:tc>
        <w:tc>
          <w:tcPr>
            <w:tcW w:w="1112" w:type="dxa"/>
            <w:tcBorders>
              <w:top w:val="nil"/>
              <w:left w:val="nil"/>
              <w:bottom w:val="single" w:sz="4" w:space="0" w:color="auto"/>
              <w:right w:val="single" w:sz="4" w:space="0" w:color="auto"/>
            </w:tcBorders>
            <w:shd w:val="clear" w:color="auto" w:fill="auto"/>
            <w:vAlign w:val="center"/>
            <w:hideMark/>
          </w:tcPr>
          <w:p w14:paraId="46E3F526" w14:textId="77777777" w:rsidR="002F3813" w:rsidRPr="00F032EF" w:rsidRDefault="002F3813" w:rsidP="002049F4">
            <w:pPr>
              <w:spacing w:after="0" w:line="240" w:lineRule="auto"/>
              <w:jc w:val="center"/>
              <w:rPr>
                <w:rFonts w:ascii="Arial" w:eastAsia="Times New Roman" w:hAnsi="Arial" w:cs="Arial"/>
                <w:sz w:val="20"/>
                <w:szCs w:val="20"/>
                <w:lang w:eastAsia="pt-BR"/>
              </w:rPr>
            </w:pPr>
            <w:r w:rsidRPr="00F032EF">
              <w:rPr>
                <w:rFonts w:ascii="Arial" w:eastAsia="Times New Roman" w:hAnsi="Arial" w:cs="Arial"/>
                <w:sz w:val="20"/>
                <w:szCs w:val="20"/>
                <w:lang w:eastAsia="pt-BR"/>
              </w:rPr>
              <w:t>Caracter</w:t>
            </w:r>
          </w:p>
        </w:tc>
        <w:tc>
          <w:tcPr>
            <w:tcW w:w="1298" w:type="dxa"/>
            <w:tcBorders>
              <w:top w:val="nil"/>
              <w:left w:val="nil"/>
              <w:bottom w:val="single" w:sz="4" w:space="0" w:color="auto"/>
              <w:right w:val="single" w:sz="4" w:space="0" w:color="auto"/>
            </w:tcBorders>
            <w:shd w:val="clear" w:color="auto" w:fill="auto"/>
            <w:vAlign w:val="center"/>
            <w:hideMark/>
          </w:tcPr>
          <w:p w14:paraId="32407BF0" w14:textId="77777777" w:rsidR="002F3813" w:rsidRPr="00F032EF" w:rsidRDefault="002F3813" w:rsidP="002049F4">
            <w:pPr>
              <w:spacing w:after="0" w:line="240" w:lineRule="auto"/>
              <w:jc w:val="center"/>
              <w:rPr>
                <w:rFonts w:ascii="Arial" w:eastAsia="Times New Roman" w:hAnsi="Arial" w:cs="Arial"/>
                <w:sz w:val="20"/>
                <w:szCs w:val="20"/>
                <w:lang w:eastAsia="pt-BR"/>
              </w:rPr>
            </w:pPr>
            <w:r w:rsidRPr="00F032EF">
              <w:rPr>
                <w:rFonts w:ascii="Arial" w:eastAsia="Times New Roman" w:hAnsi="Arial" w:cs="Arial"/>
                <w:sz w:val="20"/>
                <w:szCs w:val="20"/>
                <w:lang w:eastAsia="pt-BR"/>
              </w:rPr>
              <w:t>16</w:t>
            </w:r>
          </w:p>
        </w:tc>
        <w:tc>
          <w:tcPr>
            <w:tcW w:w="2835" w:type="dxa"/>
            <w:tcBorders>
              <w:top w:val="nil"/>
              <w:left w:val="nil"/>
              <w:bottom w:val="single" w:sz="4" w:space="0" w:color="auto"/>
              <w:right w:val="single" w:sz="4" w:space="0" w:color="auto"/>
            </w:tcBorders>
            <w:shd w:val="clear" w:color="auto" w:fill="auto"/>
            <w:vAlign w:val="center"/>
            <w:hideMark/>
          </w:tcPr>
          <w:p w14:paraId="6EDF6473" w14:textId="77777777" w:rsidR="002F3813" w:rsidRPr="00F032EF" w:rsidRDefault="002F3813" w:rsidP="002049F4">
            <w:pPr>
              <w:spacing w:after="0" w:line="240" w:lineRule="auto"/>
              <w:rPr>
                <w:rFonts w:ascii="Arial" w:eastAsia="Times New Roman" w:hAnsi="Arial" w:cs="Arial"/>
                <w:sz w:val="20"/>
                <w:szCs w:val="20"/>
                <w:lang w:eastAsia="pt-BR"/>
              </w:rPr>
            </w:pPr>
            <w:r w:rsidRPr="00F032EF">
              <w:rPr>
                <w:rFonts w:ascii="Arial" w:eastAsia="Times New Roman" w:hAnsi="Arial" w:cs="Arial"/>
                <w:sz w:val="20"/>
                <w:szCs w:val="20"/>
                <w:lang w:eastAsia="pt-BR"/>
              </w:rPr>
              <w:t>Obrigatório</w:t>
            </w:r>
          </w:p>
        </w:tc>
      </w:tr>
      <w:tr w:rsidR="00F032EF" w:rsidRPr="00F032EF" w14:paraId="4EBCAED4" w14:textId="77777777" w:rsidTr="002049F4">
        <w:trPr>
          <w:trHeight w:val="510"/>
        </w:trPr>
        <w:tc>
          <w:tcPr>
            <w:tcW w:w="4248" w:type="dxa"/>
            <w:tcBorders>
              <w:top w:val="nil"/>
              <w:left w:val="single" w:sz="4" w:space="0" w:color="auto"/>
              <w:bottom w:val="single" w:sz="4" w:space="0" w:color="auto"/>
              <w:right w:val="single" w:sz="4" w:space="0" w:color="auto"/>
            </w:tcBorders>
            <w:shd w:val="clear" w:color="auto" w:fill="auto"/>
            <w:vAlign w:val="center"/>
            <w:hideMark/>
          </w:tcPr>
          <w:p w14:paraId="07D605C2" w14:textId="77777777" w:rsidR="002F3813" w:rsidRPr="00F032EF" w:rsidRDefault="002F3813" w:rsidP="002049F4">
            <w:pPr>
              <w:spacing w:after="0" w:line="240" w:lineRule="auto"/>
              <w:jc w:val="both"/>
              <w:rPr>
                <w:rFonts w:ascii="Arial" w:eastAsia="Times New Roman" w:hAnsi="Arial" w:cs="Arial"/>
                <w:sz w:val="20"/>
                <w:szCs w:val="20"/>
                <w:lang w:eastAsia="pt-BR"/>
              </w:rPr>
            </w:pPr>
            <w:r w:rsidRPr="00F032EF">
              <w:rPr>
                <w:rFonts w:ascii="Arial" w:eastAsia="Times New Roman" w:hAnsi="Arial" w:cs="Arial"/>
                <w:sz w:val="20"/>
                <w:szCs w:val="20"/>
                <w:lang w:eastAsia="pt-BR"/>
              </w:rPr>
              <w:t>Ano do Processo Administrativo da Tomada de Contas Especial</w:t>
            </w:r>
          </w:p>
        </w:tc>
        <w:tc>
          <w:tcPr>
            <w:tcW w:w="1112" w:type="dxa"/>
            <w:tcBorders>
              <w:top w:val="nil"/>
              <w:left w:val="nil"/>
              <w:bottom w:val="single" w:sz="4" w:space="0" w:color="auto"/>
              <w:right w:val="single" w:sz="4" w:space="0" w:color="auto"/>
            </w:tcBorders>
            <w:shd w:val="clear" w:color="auto" w:fill="auto"/>
            <w:vAlign w:val="center"/>
            <w:hideMark/>
          </w:tcPr>
          <w:p w14:paraId="38A7A8DC" w14:textId="77777777" w:rsidR="002F3813" w:rsidRPr="00F032EF" w:rsidRDefault="002F3813" w:rsidP="002049F4">
            <w:pPr>
              <w:spacing w:after="0" w:line="240" w:lineRule="auto"/>
              <w:jc w:val="center"/>
              <w:rPr>
                <w:rFonts w:ascii="Arial" w:eastAsia="Times New Roman" w:hAnsi="Arial" w:cs="Arial"/>
                <w:sz w:val="20"/>
                <w:szCs w:val="20"/>
                <w:lang w:eastAsia="pt-BR"/>
              </w:rPr>
            </w:pPr>
            <w:r w:rsidRPr="00F032EF">
              <w:rPr>
                <w:rFonts w:ascii="Arial" w:eastAsia="Times New Roman" w:hAnsi="Arial" w:cs="Arial"/>
                <w:sz w:val="20"/>
                <w:szCs w:val="20"/>
                <w:lang w:eastAsia="pt-BR"/>
              </w:rPr>
              <w:t>Inteiro</w:t>
            </w:r>
          </w:p>
        </w:tc>
        <w:tc>
          <w:tcPr>
            <w:tcW w:w="1298" w:type="dxa"/>
            <w:tcBorders>
              <w:top w:val="nil"/>
              <w:left w:val="nil"/>
              <w:bottom w:val="single" w:sz="4" w:space="0" w:color="auto"/>
              <w:right w:val="single" w:sz="4" w:space="0" w:color="auto"/>
            </w:tcBorders>
            <w:shd w:val="clear" w:color="auto" w:fill="auto"/>
            <w:vAlign w:val="center"/>
            <w:hideMark/>
          </w:tcPr>
          <w:p w14:paraId="1305E168" w14:textId="77777777" w:rsidR="002F3813" w:rsidRPr="00F032EF" w:rsidRDefault="002F3813" w:rsidP="002049F4">
            <w:pPr>
              <w:spacing w:after="0" w:line="240" w:lineRule="auto"/>
              <w:jc w:val="center"/>
              <w:rPr>
                <w:rFonts w:ascii="Arial" w:eastAsia="Times New Roman" w:hAnsi="Arial" w:cs="Arial"/>
                <w:sz w:val="20"/>
                <w:szCs w:val="20"/>
                <w:lang w:eastAsia="pt-BR"/>
              </w:rPr>
            </w:pPr>
            <w:r w:rsidRPr="00F032EF">
              <w:rPr>
                <w:rFonts w:ascii="Arial" w:eastAsia="Times New Roman" w:hAnsi="Arial" w:cs="Arial"/>
                <w:sz w:val="20"/>
                <w:szCs w:val="20"/>
                <w:lang w:eastAsia="pt-BR"/>
              </w:rPr>
              <w:t>4</w:t>
            </w:r>
          </w:p>
        </w:tc>
        <w:tc>
          <w:tcPr>
            <w:tcW w:w="2835" w:type="dxa"/>
            <w:tcBorders>
              <w:top w:val="nil"/>
              <w:left w:val="nil"/>
              <w:bottom w:val="single" w:sz="4" w:space="0" w:color="auto"/>
              <w:right w:val="single" w:sz="4" w:space="0" w:color="auto"/>
            </w:tcBorders>
            <w:shd w:val="clear" w:color="auto" w:fill="auto"/>
            <w:vAlign w:val="center"/>
            <w:hideMark/>
          </w:tcPr>
          <w:p w14:paraId="63A51252" w14:textId="77777777" w:rsidR="002F3813" w:rsidRPr="00F032EF" w:rsidRDefault="002F3813" w:rsidP="002049F4">
            <w:pPr>
              <w:spacing w:after="0" w:line="240" w:lineRule="auto"/>
              <w:rPr>
                <w:rFonts w:ascii="Arial" w:eastAsia="Times New Roman" w:hAnsi="Arial" w:cs="Arial"/>
                <w:sz w:val="20"/>
                <w:szCs w:val="20"/>
                <w:lang w:eastAsia="pt-BR"/>
              </w:rPr>
            </w:pPr>
            <w:r w:rsidRPr="00F032EF">
              <w:rPr>
                <w:rFonts w:ascii="Arial" w:eastAsia="Times New Roman" w:hAnsi="Arial" w:cs="Arial"/>
                <w:sz w:val="20"/>
                <w:szCs w:val="20"/>
                <w:lang w:eastAsia="pt-BR"/>
              </w:rPr>
              <w:t>Obrigatório, AAAA</w:t>
            </w:r>
          </w:p>
        </w:tc>
      </w:tr>
      <w:tr w:rsidR="00F032EF" w:rsidRPr="00F032EF" w14:paraId="62A3E4F8" w14:textId="77777777" w:rsidTr="002049F4">
        <w:trPr>
          <w:trHeight w:val="6885"/>
        </w:trPr>
        <w:tc>
          <w:tcPr>
            <w:tcW w:w="42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8BC917" w14:textId="77777777" w:rsidR="002F3813" w:rsidRPr="00F032EF" w:rsidRDefault="002F3813" w:rsidP="002049F4">
            <w:pPr>
              <w:spacing w:after="0" w:line="240" w:lineRule="auto"/>
              <w:jc w:val="both"/>
              <w:rPr>
                <w:rFonts w:ascii="Arial" w:eastAsia="Times New Roman" w:hAnsi="Arial" w:cs="Arial"/>
                <w:sz w:val="20"/>
                <w:szCs w:val="20"/>
                <w:lang w:eastAsia="pt-BR"/>
              </w:rPr>
            </w:pPr>
            <w:r w:rsidRPr="00F032EF">
              <w:rPr>
                <w:rFonts w:ascii="Arial" w:eastAsia="Times New Roman" w:hAnsi="Arial" w:cs="Arial"/>
                <w:sz w:val="20"/>
                <w:szCs w:val="20"/>
                <w:lang w:eastAsia="pt-BR"/>
              </w:rPr>
              <w:lastRenderedPageBreak/>
              <w:t>Fatos motivadores para a Instauração da Tomada de Contas Especial</w:t>
            </w:r>
          </w:p>
        </w:tc>
        <w:tc>
          <w:tcPr>
            <w:tcW w:w="1112" w:type="dxa"/>
            <w:tcBorders>
              <w:top w:val="single" w:sz="4" w:space="0" w:color="auto"/>
              <w:left w:val="nil"/>
              <w:bottom w:val="single" w:sz="4" w:space="0" w:color="auto"/>
              <w:right w:val="single" w:sz="4" w:space="0" w:color="auto"/>
            </w:tcBorders>
            <w:shd w:val="clear" w:color="auto" w:fill="auto"/>
            <w:vAlign w:val="center"/>
            <w:hideMark/>
          </w:tcPr>
          <w:p w14:paraId="08AE5B8A" w14:textId="77777777" w:rsidR="002F3813" w:rsidRPr="00F032EF" w:rsidRDefault="002F3813" w:rsidP="002049F4">
            <w:pPr>
              <w:spacing w:after="0" w:line="240" w:lineRule="auto"/>
              <w:jc w:val="center"/>
              <w:rPr>
                <w:rFonts w:ascii="Arial" w:eastAsia="Times New Roman" w:hAnsi="Arial" w:cs="Arial"/>
                <w:sz w:val="20"/>
                <w:szCs w:val="20"/>
                <w:lang w:eastAsia="pt-BR"/>
              </w:rPr>
            </w:pPr>
            <w:r w:rsidRPr="00F032EF">
              <w:rPr>
                <w:rFonts w:ascii="Arial" w:eastAsia="Times New Roman" w:hAnsi="Arial" w:cs="Arial"/>
                <w:sz w:val="20"/>
                <w:szCs w:val="20"/>
                <w:lang w:eastAsia="pt-BR"/>
              </w:rPr>
              <w:t>Inteiro</w:t>
            </w:r>
          </w:p>
        </w:tc>
        <w:tc>
          <w:tcPr>
            <w:tcW w:w="1298" w:type="dxa"/>
            <w:tcBorders>
              <w:top w:val="single" w:sz="4" w:space="0" w:color="auto"/>
              <w:left w:val="nil"/>
              <w:bottom w:val="single" w:sz="4" w:space="0" w:color="auto"/>
              <w:right w:val="nil"/>
            </w:tcBorders>
            <w:shd w:val="clear" w:color="auto" w:fill="auto"/>
            <w:vAlign w:val="center"/>
            <w:hideMark/>
          </w:tcPr>
          <w:p w14:paraId="23FA6AFE" w14:textId="77777777" w:rsidR="002F3813" w:rsidRPr="00F032EF" w:rsidRDefault="002F3813" w:rsidP="002049F4">
            <w:pPr>
              <w:spacing w:after="0" w:line="240" w:lineRule="auto"/>
              <w:jc w:val="center"/>
              <w:rPr>
                <w:rFonts w:ascii="Arial" w:eastAsia="Times New Roman" w:hAnsi="Arial" w:cs="Arial"/>
                <w:sz w:val="20"/>
                <w:szCs w:val="20"/>
                <w:lang w:eastAsia="pt-BR"/>
              </w:rPr>
            </w:pPr>
            <w:r w:rsidRPr="00F032EF">
              <w:rPr>
                <w:rFonts w:ascii="Arial" w:eastAsia="Times New Roman" w:hAnsi="Arial" w:cs="Arial"/>
                <w:sz w:val="20"/>
                <w:szCs w:val="20"/>
                <w:lang w:eastAsia="pt-BR"/>
              </w:rPr>
              <w:t>1</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8E74C0B" w14:textId="690EE66E" w:rsidR="002F3813" w:rsidRPr="00F032EF" w:rsidRDefault="002F3813" w:rsidP="002049F4">
            <w:pPr>
              <w:spacing w:after="0" w:line="240" w:lineRule="auto"/>
              <w:rPr>
                <w:rFonts w:ascii="Arial" w:eastAsia="Times New Roman" w:hAnsi="Arial" w:cs="Arial"/>
                <w:sz w:val="20"/>
                <w:szCs w:val="20"/>
                <w:lang w:eastAsia="pt-BR"/>
              </w:rPr>
            </w:pPr>
            <w:r w:rsidRPr="00F032EF">
              <w:rPr>
                <w:rFonts w:ascii="Arial" w:eastAsia="Times New Roman" w:hAnsi="Arial" w:cs="Arial"/>
                <w:sz w:val="20"/>
                <w:szCs w:val="20"/>
                <w:lang w:eastAsia="pt-BR"/>
              </w:rPr>
              <w:t>Obrigatório</w:t>
            </w:r>
          </w:p>
          <w:p w14:paraId="3C5D1D8F" w14:textId="77777777" w:rsidR="002F3813" w:rsidRPr="00F032EF" w:rsidRDefault="002F3813" w:rsidP="002049F4">
            <w:pPr>
              <w:spacing w:after="0" w:line="240" w:lineRule="auto"/>
              <w:rPr>
                <w:rFonts w:ascii="Arial" w:eastAsia="Times New Roman" w:hAnsi="Arial" w:cs="Arial"/>
                <w:sz w:val="20"/>
                <w:szCs w:val="20"/>
                <w:lang w:eastAsia="pt-BR"/>
              </w:rPr>
            </w:pPr>
            <w:r w:rsidRPr="00F032EF">
              <w:rPr>
                <w:rFonts w:ascii="Arial" w:eastAsia="Times New Roman" w:hAnsi="Arial" w:cs="Arial"/>
                <w:sz w:val="20"/>
                <w:szCs w:val="20"/>
                <w:lang w:eastAsia="pt-BR"/>
              </w:rPr>
              <w:br/>
              <w:t>1 - Omissão no dever de prestar contas ou a não comprovação da correta aplicação de recursos repassados mediante convênio, contrato de repasse, ou instrumento congênere;</w:t>
            </w:r>
          </w:p>
          <w:p w14:paraId="5B43CF70" w14:textId="77777777" w:rsidR="002F3813" w:rsidRPr="00F032EF" w:rsidRDefault="002F3813" w:rsidP="002049F4">
            <w:pPr>
              <w:spacing w:after="0" w:line="240" w:lineRule="auto"/>
              <w:rPr>
                <w:rFonts w:ascii="Arial" w:eastAsia="Times New Roman" w:hAnsi="Arial" w:cs="Arial"/>
                <w:sz w:val="20"/>
                <w:szCs w:val="20"/>
                <w:lang w:eastAsia="pt-BR"/>
              </w:rPr>
            </w:pPr>
            <w:r w:rsidRPr="00F032EF">
              <w:rPr>
                <w:rFonts w:ascii="Arial" w:eastAsia="Times New Roman" w:hAnsi="Arial" w:cs="Arial"/>
                <w:sz w:val="20"/>
                <w:szCs w:val="20"/>
                <w:lang w:eastAsia="pt-BR"/>
              </w:rPr>
              <w:br/>
              <w:t>2 - Ocorrência de desfalque, alcance, desvio, desaparecimento de dinheiro, bens ou valores públicos;</w:t>
            </w:r>
          </w:p>
          <w:p w14:paraId="5379E962" w14:textId="77777777" w:rsidR="002F3813" w:rsidRPr="00F032EF" w:rsidRDefault="002F3813" w:rsidP="002049F4">
            <w:pPr>
              <w:spacing w:after="0" w:line="240" w:lineRule="auto"/>
              <w:rPr>
                <w:rFonts w:ascii="Arial" w:eastAsia="Times New Roman" w:hAnsi="Arial" w:cs="Arial"/>
                <w:sz w:val="20"/>
                <w:szCs w:val="20"/>
                <w:lang w:eastAsia="pt-BR"/>
              </w:rPr>
            </w:pPr>
            <w:r w:rsidRPr="00F032EF">
              <w:rPr>
                <w:rFonts w:ascii="Arial" w:eastAsia="Times New Roman" w:hAnsi="Arial" w:cs="Arial"/>
                <w:sz w:val="20"/>
                <w:szCs w:val="20"/>
                <w:lang w:eastAsia="pt-BR"/>
              </w:rPr>
              <w:br/>
              <w:t>3 - Ocorrência de extravio, perda, subtração ou deterioração culposa ou dolosa de valores e bens;</w:t>
            </w:r>
          </w:p>
          <w:p w14:paraId="06FB2B72" w14:textId="77777777" w:rsidR="002F3813" w:rsidRPr="00F032EF" w:rsidRDefault="002F3813" w:rsidP="002049F4">
            <w:pPr>
              <w:spacing w:after="0" w:line="240" w:lineRule="auto"/>
              <w:rPr>
                <w:rFonts w:ascii="Arial" w:eastAsia="Times New Roman" w:hAnsi="Arial" w:cs="Arial"/>
                <w:sz w:val="20"/>
                <w:szCs w:val="20"/>
                <w:lang w:eastAsia="pt-BR"/>
              </w:rPr>
            </w:pPr>
            <w:r w:rsidRPr="00F032EF">
              <w:rPr>
                <w:rFonts w:ascii="Arial" w:eastAsia="Times New Roman" w:hAnsi="Arial" w:cs="Arial"/>
                <w:sz w:val="20"/>
                <w:szCs w:val="20"/>
                <w:lang w:eastAsia="pt-BR"/>
              </w:rPr>
              <w:br/>
              <w:t>4 - Prática de ato ilegal, ilegítimo ou antieconômico de que resulte dano ao erário;</w:t>
            </w:r>
          </w:p>
          <w:p w14:paraId="6CBE7BE5" w14:textId="77777777" w:rsidR="002F3813" w:rsidRPr="00F032EF" w:rsidRDefault="002F3813" w:rsidP="002049F4">
            <w:pPr>
              <w:spacing w:after="0" w:line="240" w:lineRule="auto"/>
              <w:rPr>
                <w:rFonts w:ascii="Arial" w:eastAsia="Times New Roman" w:hAnsi="Arial" w:cs="Arial"/>
                <w:sz w:val="20"/>
                <w:szCs w:val="20"/>
                <w:lang w:eastAsia="pt-BR"/>
              </w:rPr>
            </w:pPr>
            <w:r w:rsidRPr="00F032EF">
              <w:rPr>
                <w:rFonts w:ascii="Arial" w:eastAsia="Times New Roman" w:hAnsi="Arial" w:cs="Arial"/>
                <w:sz w:val="20"/>
                <w:szCs w:val="20"/>
                <w:lang w:eastAsia="pt-BR"/>
              </w:rPr>
              <w:br/>
              <w:t>5 - Concessão irregular de quaisquer benefícios fiscais ou de renúncia de receitas de que resulte dano ao erário.</w:t>
            </w:r>
          </w:p>
        </w:tc>
      </w:tr>
      <w:tr w:rsidR="00F032EF" w:rsidRPr="00F032EF" w14:paraId="0D908DFF" w14:textId="77777777" w:rsidTr="002049F4">
        <w:trPr>
          <w:trHeight w:val="765"/>
        </w:trPr>
        <w:tc>
          <w:tcPr>
            <w:tcW w:w="42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93E3C6" w14:textId="77777777" w:rsidR="002F3813" w:rsidRPr="00F032EF" w:rsidRDefault="002F3813" w:rsidP="002049F4">
            <w:pPr>
              <w:spacing w:after="0" w:line="240" w:lineRule="auto"/>
              <w:jc w:val="both"/>
              <w:rPr>
                <w:rFonts w:ascii="Arial" w:eastAsia="Times New Roman" w:hAnsi="Arial" w:cs="Arial"/>
                <w:sz w:val="20"/>
                <w:szCs w:val="20"/>
                <w:lang w:eastAsia="pt-BR"/>
              </w:rPr>
            </w:pPr>
            <w:r w:rsidRPr="00F032EF">
              <w:rPr>
                <w:rFonts w:ascii="Arial" w:eastAsia="Times New Roman" w:hAnsi="Arial" w:cs="Arial"/>
                <w:sz w:val="20"/>
                <w:szCs w:val="20"/>
                <w:lang w:eastAsia="pt-BR"/>
              </w:rPr>
              <w:t>Data do evento ou, quando desconhecida, da data da ciência do fato pela autoridade competente (Inciso I, do art. 2º da IN 32/2014).</w:t>
            </w:r>
          </w:p>
        </w:tc>
        <w:tc>
          <w:tcPr>
            <w:tcW w:w="1112" w:type="dxa"/>
            <w:tcBorders>
              <w:top w:val="single" w:sz="4" w:space="0" w:color="auto"/>
              <w:left w:val="nil"/>
              <w:bottom w:val="single" w:sz="4" w:space="0" w:color="auto"/>
              <w:right w:val="single" w:sz="4" w:space="0" w:color="auto"/>
            </w:tcBorders>
            <w:shd w:val="clear" w:color="auto" w:fill="auto"/>
            <w:vAlign w:val="center"/>
            <w:hideMark/>
          </w:tcPr>
          <w:p w14:paraId="7895E90F" w14:textId="77777777" w:rsidR="002F3813" w:rsidRPr="00F032EF" w:rsidRDefault="002F3813" w:rsidP="002049F4">
            <w:pPr>
              <w:spacing w:after="0" w:line="240" w:lineRule="auto"/>
              <w:jc w:val="center"/>
              <w:rPr>
                <w:rFonts w:ascii="Arial" w:eastAsia="Times New Roman" w:hAnsi="Arial" w:cs="Arial"/>
                <w:sz w:val="20"/>
                <w:szCs w:val="20"/>
                <w:lang w:eastAsia="pt-BR"/>
              </w:rPr>
            </w:pPr>
            <w:r w:rsidRPr="00F032EF">
              <w:rPr>
                <w:rFonts w:ascii="Arial" w:eastAsia="Times New Roman" w:hAnsi="Arial" w:cs="Arial"/>
                <w:sz w:val="20"/>
                <w:szCs w:val="20"/>
                <w:lang w:eastAsia="pt-BR"/>
              </w:rPr>
              <w:t>Data</w:t>
            </w:r>
          </w:p>
        </w:tc>
        <w:tc>
          <w:tcPr>
            <w:tcW w:w="1298" w:type="dxa"/>
            <w:tcBorders>
              <w:top w:val="single" w:sz="4" w:space="0" w:color="auto"/>
              <w:left w:val="nil"/>
              <w:bottom w:val="single" w:sz="4" w:space="0" w:color="auto"/>
              <w:right w:val="single" w:sz="4" w:space="0" w:color="auto"/>
            </w:tcBorders>
            <w:shd w:val="clear" w:color="auto" w:fill="auto"/>
            <w:vAlign w:val="center"/>
            <w:hideMark/>
          </w:tcPr>
          <w:p w14:paraId="2A1AE541" w14:textId="77777777" w:rsidR="002F3813" w:rsidRPr="00F032EF" w:rsidRDefault="002F3813" w:rsidP="002049F4">
            <w:pPr>
              <w:spacing w:after="0" w:line="240" w:lineRule="auto"/>
              <w:jc w:val="center"/>
              <w:rPr>
                <w:rFonts w:ascii="Arial" w:eastAsia="Times New Roman" w:hAnsi="Arial" w:cs="Arial"/>
                <w:sz w:val="20"/>
                <w:szCs w:val="20"/>
                <w:lang w:eastAsia="pt-BR"/>
              </w:rPr>
            </w:pPr>
            <w:r w:rsidRPr="00F032EF">
              <w:rPr>
                <w:rFonts w:ascii="Arial" w:eastAsia="Times New Roman" w:hAnsi="Arial" w:cs="Arial"/>
                <w:sz w:val="20"/>
                <w:szCs w:val="20"/>
                <w:lang w:eastAsia="pt-BR"/>
              </w:rPr>
              <w:t>10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64D9AB61" w14:textId="77777777" w:rsidR="002F3813" w:rsidRPr="00F032EF" w:rsidRDefault="002F3813" w:rsidP="002049F4">
            <w:pPr>
              <w:spacing w:after="0" w:line="240" w:lineRule="auto"/>
              <w:rPr>
                <w:rFonts w:ascii="Arial" w:eastAsia="Times New Roman" w:hAnsi="Arial" w:cs="Arial"/>
                <w:sz w:val="20"/>
                <w:szCs w:val="20"/>
                <w:lang w:eastAsia="pt-BR"/>
              </w:rPr>
            </w:pPr>
            <w:r w:rsidRPr="00F032EF">
              <w:rPr>
                <w:rFonts w:ascii="Arial" w:eastAsia="Times New Roman" w:hAnsi="Arial" w:cs="Arial"/>
                <w:sz w:val="20"/>
                <w:szCs w:val="20"/>
                <w:lang w:eastAsia="pt-BR"/>
              </w:rPr>
              <w:t>Obrigatório, AAAA-MM-DD</w:t>
            </w:r>
          </w:p>
        </w:tc>
      </w:tr>
      <w:tr w:rsidR="00F032EF" w:rsidRPr="00F032EF" w14:paraId="00C69FA6" w14:textId="77777777" w:rsidTr="002049F4">
        <w:trPr>
          <w:trHeight w:val="510"/>
        </w:trPr>
        <w:tc>
          <w:tcPr>
            <w:tcW w:w="4248" w:type="dxa"/>
            <w:tcBorders>
              <w:top w:val="nil"/>
              <w:left w:val="single" w:sz="4" w:space="0" w:color="auto"/>
              <w:bottom w:val="single" w:sz="4" w:space="0" w:color="auto"/>
              <w:right w:val="single" w:sz="4" w:space="0" w:color="auto"/>
            </w:tcBorders>
            <w:shd w:val="clear" w:color="auto" w:fill="auto"/>
            <w:vAlign w:val="center"/>
            <w:hideMark/>
          </w:tcPr>
          <w:p w14:paraId="7DA4165F" w14:textId="77777777" w:rsidR="002F3813" w:rsidRPr="00F032EF" w:rsidRDefault="002F3813" w:rsidP="002049F4">
            <w:pPr>
              <w:spacing w:after="0" w:line="240" w:lineRule="auto"/>
              <w:jc w:val="both"/>
              <w:rPr>
                <w:rFonts w:ascii="Arial" w:eastAsia="Times New Roman" w:hAnsi="Arial" w:cs="Arial"/>
                <w:sz w:val="20"/>
                <w:szCs w:val="20"/>
                <w:lang w:eastAsia="pt-BR"/>
              </w:rPr>
            </w:pPr>
            <w:r w:rsidRPr="00F032EF">
              <w:rPr>
                <w:rFonts w:ascii="Arial" w:eastAsia="Times New Roman" w:hAnsi="Arial" w:cs="Arial"/>
                <w:sz w:val="20"/>
                <w:szCs w:val="20"/>
                <w:lang w:eastAsia="pt-BR"/>
              </w:rPr>
              <w:t>Data de Instauração da Tomada de Contas Especial</w:t>
            </w:r>
          </w:p>
        </w:tc>
        <w:tc>
          <w:tcPr>
            <w:tcW w:w="1112" w:type="dxa"/>
            <w:tcBorders>
              <w:top w:val="nil"/>
              <w:left w:val="nil"/>
              <w:bottom w:val="single" w:sz="4" w:space="0" w:color="auto"/>
              <w:right w:val="single" w:sz="4" w:space="0" w:color="auto"/>
            </w:tcBorders>
            <w:shd w:val="clear" w:color="auto" w:fill="auto"/>
            <w:vAlign w:val="center"/>
            <w:hideMark/>
          </w:tcPr>
          <w:p w14:paraId="1AFB3732" w14:textId="77777777" w:rsidR="002F3813" w:rsidRPr="00F032EF" w:rsidRDefault="002F3813" w:rsidP="002049F4">
            <w:pPr>
              <w:spacing w:after="0" w:line="240" w:lineRule="auto"/>
              <w:jc w:val="center"/>
              <w:rPr>
                <w:rFonts w:ascii="Arial" w:eastAsia="Times New Roman" w:hAnsi="Arial" w:cs="Arial"/>
                <w:sz w:val="20"/>
                <w:szCs w:val="20"/>
                <w:lang w:eastAsia="pt-BR"/>
              </w:rPr>
            </w:pPr>
            <w:r w:rsidRPr="00F032EF">
              <w:rPr>
                <w:rFonts w:ascii="Arial" w:eastAsia="Times New Roman" w:hAnsi="Arial" w:cs="Arial"/>
                <w:sz w:val="20"/>
                <w:szCs w:val="20"/>
                <w:lang w:eastAsia="pt-BR"/>
              </w:rPr>
              <w:t>Data</w:t>
            </w:r>
          </w:p>
        </w:tc>
        <w:tc>
          <w:tcPr>
            <w:tcW w:w="1298" w:type="dxa"/>
            <w:tcBorders>
              <w:top w:val="nil"/>
              <w:left w:val="nil"/>
              <w:bottom w:val="single" w:sz="4" w:space="0" w:color="auto"/>
              <w:right w:val="single" w:sz="4" w:space="0" w:color="auto"/>
            </w:tcBorders>
            <w:shd w:val="clear" w:color="auto" w:fill="auto"/>
            <w:vAlign w:val="center"/>
            <w:hideMark/>
          </w:tcPr>
          <w:p w14:paraId="3281363B" w14:textId="77777777" w:rsidR="002F3813" w:rsidRPr="00F032EF" w:rsidRDefault="002F3813" w:rsidP="002049F4">
            <w:pPr>
              <w:spacing w:after="0" w:line="240" w:lineRule="auto"/>
              <w:jc w:val="center"/>
              <w:rPr>
                <w:rFonts w:ascii="Arial" w:eastAsia="Times New Roman" w:hAnsi="Arial" w:cs="Arial"/>
                <w:sz w:val="20"/>
                <w:szCs w:val="20"/>
                <w:lang w:eastAsia="pt-BR"/>
              </w:rPr>
            </w:pPr>
            <w:r w:rsidRPr="00F032EF">
              <w:rPr>
                <w:rFonts w:ascii="Arial" w:eastAsia="Times New Roman" w:hAnsi="Arial" w:cs="Arial"/>
                <w:sz w:val="20"/>
                <w:szCs w:val="20"/>
                <w:lang w:eastAsia="pt-BR"/>
              </w:rPr>
              <w:t>10</w:t>
            </w:r>
          </w:p>
        </w:tc>
        <w:tc>
          <w:tcPr>
            <w:tcW w:w="2835" w:type="dxa"/>
            <w:tcBorders>
              <w:top w:val="nil"/>
              <w:left w:val="nil"/>
              <w:bottom w:val="single" w:sz="4" w:space="0" w:color="auto"/>
              <w:right w:val="single" w:sz="4" w:space="0" w:color="auto"/>
            </w:tcBorders>
            <w:shd w:val="clear" w:color="auto" w:fill="auto"/>
            <w:vAlign w:val="center"/>
            <w:hideMark/>
          </w:tcPr>
          <w:p w14:paraId="220A50B3" w14:textId="77777777" w:rsidR="002F3813" w:rsidRPr="00F032EF" w:rsidRDefault="002F3813" w:rsidP="002049F4">
            <w:pPr>
              <w:spacing w:after="0" w:line="240" w:lineRule="auto"/>
              <w:rPr>
                <w:rFonts w:ascii="Arial" w:eastAsia="Times New Roman" w:hAnsi="Arial" w:cs="Arial"/>
                <w:sz w:val="20"/>
                <w:szCs w:val="20"/>
                <w:lang w:eastAsia="pt-BR"/>
              </w:rPr>
            </w:pPr>
            <w:r w:rsidRPr="00F032EF">
              <w:rPr>
                <w:rFonts w:ascii="Arial" w:eastAsia="Times New Roman" w:hAnsi="Arial" w:cs="Arial"/>
                <w:sz w:val="20"/>
                <w:szCs w:val="20"/>
                <w:lang w:eastAsia="pt-BR"/>
              </w:rPr>
              <w:t>Obrigatório, AAAA-MM-DD</w:t>
            </w:r>
          </w:p>
        </w:tc>
      </w:tr>
      <w:tr w:rsidR="00F032EF" w:rsidRPr="00F032EF" w14:paraId="613E1228" w14:textId="77777777" w:rsidTr="002049F4">
        <w:trPr>
          <w:trHeight w:val="510"/>
        </w:trPr>
        <w:tc>
          <w:tcPr>
            <w:tcW w:w="4248" w:type="dxa"/>
            <w:tcBorders>
              <w:top w:val="nil"/>
              <w:left w:val="single" w:sz="4" w:space="0" w:color="auto"/>
              <w:bottom w:val="single" w:sz="4" w:space="0" w:color="auto"/>
              <w:right w:val="single" w:sz="4" w:space="0" w:color="auto"/>
            </w:tcBorders>
            <w:shd w:val="clear" w:color="auto" w:fill="auto"/>
            <w:vAlign w:val="center"/>
            <w:hideMark/>
          </w:tcPr>
          <w:p w14:paraId="5EE754C1" w14:textId="77777777" w:rsidR="002F3813" w:rsidRPr="00F032EF" w:rsidRDefault="002F3813" w:rsidP="002049F4">
            <w:pPr>
              <w:spacing w:after="0" w:line="240" w:lineRule="auto"/>
              <w:jc w:val="both"/>
              <w:rPr>
                <w:rFonts w:ascii="Arial" w:eastAsia="Times New Roman" w:hAnsi="Arial" w:cs="Arial"/>
                <w:sz w:val="20"/>
                <w:szCs w:val="20"/>
                <w:lang w:eastAsia="pt-BR"/>
              </w:rPr>
            </w:pPr>
            <w:r w:rsidRPr="00F032EF">
              <w:rPr>
                <w:rFonts w:ascii="Arial" w:eastAsia="Times New Roman" w:hAnsi="Arial" w:cs="Arial"/>
                <w:sz w:val="20"/>
                <w:szCs w:val="20"/>
                <w:lang w:eastAsia="pt-BR"/>
              </w:rPr>
              <w:t>Data de Envio ao TCEES da Tomada de Contas Especial</w:t>
            </w:r>
          </w:p>
        </w:tc>
        <w:tc>
          <w:tcPr>
            <w:tcW w:w="1112" w:type="dxa"/>
            <w:tcBorders>
              <w:top w:val="nil"/>
              <w:left w:val="nil"/>
              <w:bottom w:val="single" w:sz="4" w:space="0" w:color="auto"/>
              <w:right w:val="single" w:sz="4" w:space="0" w:color="auto"/>
            </w:tcBorders>
            <w:shd w:val="clear" w:color="auto" w:fill="auto"/>
            <w:vAlign w:val="center"/>
            <w:hideMark/>
          </w:tcPr>
          <w:p w14:paraId="6BAB6BD2" w14:textId="77777777" w:rsidR="002F3813" w:rsidRPr="00F032EF" w:rsidRDefault="002F3813" w:rsidP="002049F4">
            <w:pPr>
              <w:spacing w:after="0" w:line="240" w:lineRule="auto"/>
              <w:jc w:val="center"/>
              <w:rPr>
                <w:rFonts w:ascii="Arial" w:eastAsia="Times New Roman" w:hAnsi="Arial" w:cs="Arial"/>
                <w:sz w:val="20"/>
                <w:szCs w:val="20"/>
                <w:lang w:eastAsia="pt-BR"/>
              </w:rPr>
            </w:pPr>
            <w:r w:rsidRPr="00F032EF">
              <w:rPr>
                <w:rFonts w:ascii="Arial" w:eastAsia="Times New Roman" w:hAnsi="Arial" w:cs="Arial"/>
                <w:sz w:val="20"/>
                <w:szCs w:val="20"/>
                <w:lang w:eastAsia="pt-BR"/>
              </w:rPr>
              <w:t>Data</w:t>
            </w:r>
          </w:p>
        </w:tc>
        <w:tc>
          <w:tcPr>
            <w:tcW w:w="1298" w:type="dxa"/>
            <w:tcBorders>
              <w:top w:val="nil"/>
              <w:left w:val="nil"/>
              <w:bottom w:val="single" w:sz="4" w:space="0" w:color="auto"/>
              <w:right w:val="single" w:sz="4" w:space="0" w:color="auto"/>
            </w:tcBorders>
            <w:shd w:val="clear" w:color="auto" w:fill="auto"/>
            <w:vAlign w:val="center"/>
            <w:hideMark/>
          </w:tcPr>
          <w:p w14:paraId="2A543853" w14:textId="77777777" w:rsidR="002F3813" w:rsidRPr="00F032EF" w:rsidRDefault="002F3813" w:rsidP="002049F4">
            <w:pPr>
              <w:spacing w:after="0" w:line="240" w:lineRule="auto"/>
              <w:jc w:val="center"/>
              <w:rPr>
                <w:rFonts w:ascii="Arial" w:eastAsia="Times New Roman" w:hAnsi="Arial" w:cs="Arial"/>
                <w:sz w:val="20"/>
                <w:szCs w:val="20"/>
                <w:lang w:eastAsia="pt-BR"/>
              </w:rPr>
            </w:pPr>
            <w:r w:rsidRPr="00F032EF">
              <w:rPr>
                <w:rFonts w:ascii="Arial" w:eastAsia="Times New Roman" w:hAnsi="Arial" w:cs="Arial"/>
                <w:sz w:val="20"/>
                <w:szCs w:val="20"/>
                <w:lang w:eastAsia="pt-BR"/>
              </w:rPr>
              <w:t>10</w:t>
            </w:r>
          </w:p>
        </w:tc>
        <w:tc>
          <w:tcPr>
            <w:tcW w:w="2835" w:type="dxa"/>
            <w:tcBorders>
              <w:top w:val="nil"/>
              <w:left w:val="nil"/>
              <w:bottom w:val="single" w:sz="4" w:space="0" w:color="auto"/>
              <w:right w:val="single" w:sz="4" w:space="0" w:color="auto"/>
            </w:tcBorders>
            <w:shd w:val="clear" w:color="auto" w:fill="auto"/>
            <w:vAlign w:val="center"/>
            <w:hideMark/>
          </w:tcPr>
          <w:p w14:paraId="7C018451" w14:textId="77777777" w:rsidR="002F3813" w:rsidRPr="00F032EF" w:rsidRDefault="002F3813" w:rsidP="002049F4">
            <w:pPr>
              <w:spacing w:after="0" w:line="240" w:lineRule="auto"/>
              <w:rPr>
                <w:rFonts w:ascii="Arial" w:eastAsia="Times New Roman" w:hAnsi="Arial" w:cs="Arial"/>
                <w:sz w:val="20"/>
                <w:szCs w:val="20"/>
                <w:lang w:eastAsia="pt-BR"/>
              </w:rPr>
            </w:pPr>
            <w:r w:rsidRPr="00F032EF">
              <w:rPr>
                <w:rFonts w:ascii="Arial" w:eastAsia="Times New Roman" w:hAnsi="Arial" w:cs="Arial"/>
                <w:sz w:val="20"/>
                <w:szCs w:val="20"/>
                <w:lang w:eastAsia="pt-BR"/>
              </w:rPr>
              <w:t>Opcional, AAAA-MM-DD</w:t>
            </w:r>
          </w:p>
        </w:tc>
      </w:tr>
      <w:tr w:rsidR="00F032EF" w:rsidRPr="00F032EF" w14:paraId="55B8AB9F" w14:textId="77777777" w:rsidTr="002049F4">
        <w:trPr>
          <w:trHeight w:val="402"/>
        </w:trPr>
        <w:tc>
          <w:tcPr>
            <w:tcW w:w="4248" w:type="dxa"/>
            <w:tcBorders>
              <w:top w:val="nil"/>
              <w:left w:val="single" w:sz="4" w:space="0" w:color="auto"/>
              <w:bottom w:val="single" w:sz="4" w:space="0" w:color="auto"/>
              <w:right w:val="single" w:sz="4" w:space="0" w:color="auto"/>
            </w:tcBorders>
            <w:shd w:val="clear" w:color="auto" w:fill="auto"/>
            <w:vAlign w:val="center"/>
            <w:hideMark/>
          </w:tcPr>
          <w:p w14:paraId="254B76C1" w14:textId="77777777" w:rsidR="002F3813" w:rsidRPr="00F032EF" w:rsidRDefault="002F3813" w:rsidP="002049F4">
            <w:pPr>
              <w:spacing w:after="0" w:line="240" w:lineRule="auto"/>
              <w:jc w:val="both"/>
              <w:rPr>
                <w:rFonts w:ascii="Arial" w:eastAsia="Times New Roman" w:hAnsi="Arial" w:cs="Arial"/>
                <w:sz w:val="20"/>
                <w:szCs w:val="20"/>
                <w:lang w:eastAsia="pt-BR"/>
              </w:rPr>
            </w:pPr>
            <w:r w:rsidRPr="00F032EF">
              <w:rPr>
                <w:rFonts w:ascii="Arial" w:eastAsia="Times New Roman" w:hAnsi="Arial" w:cs="Arial"/>
                <w:sz w:val="20"/>
                <w:szCs w:val="20"/>
                <w:lang w:eastAsia="pt-BR"/>
              </w:rPr>
              <w:t>Valor Original do Débito</w:t>
            </w:r>
          </w:p>
        </w:tc>
        <w:tc>
          <w:tcPr>
            <w:tcW w:w="1112" w:type="dxa"/>
            <w:tcBorders>
              <w:top w:val="nil"/>
              <w:left w:val="nil"/>
              <w:bottom w:val="single" w:sz="4" w:space="0" w:color="auto"/>
              <w:right w:val="single" w:sz="4" w:space="0" w:color="auto"/>
            </w:tcBorders>
            <w:shd w:val="clear" w:color="auto" w:fill="auto"/>
            <w:vAlign w:val="center"/>
            <w:hideMark/>
          </w:tcPr>
          <w:p w14:paraId="5B178501" w14:textId="77777777" w:rsidR="002F3813" w:rsidRPr="00F032EF" w:rsidRDefault="002F3813" w:rsidP="002049F4">
            <w:pPr>
              <w:spacing w:after="0" w:line="240" w:lineRule="auto"/>
              <w:jc w:val="center"/>
              <w:rPr>
                <w:rFonts w:ascii="Arial" w:eastAsia="Times New Roman" w:hAnsi="Arial" w:cs="Arial"/>
                <w:sz w:val="20"/>
                <w:szCs w:val="20"/>
                <w:lang w:eastAsia="pt-BR"/>
              </w:rPr>
            </w:pPr>
            <w:r w:rsidRPr="00F032EF">
              <w:rPr>
                <w:rFonts w:ascii="Arial" w:eastAsia="Times New Roman" w:hAnsi="Arial" w:cs="Arial"/>
                <w:sz w:val="20"/>
                <w:szCs w:val="20"/>
                <w:lang w:eastAsia="pt-BR"/>
              </w:rPr>
              <w:t>Decimal</w:t>
            </w:r>
          </w:p>
        </w:tc>
        <w:tc>
          <w:tcPr>
            <w:tcW w:w="1298" w:type="dxa"/>
            <w:tcBorders>
              <w:top w:val="nil"/>
              <w:left w:val="nil"/>
              <w:bottom w:val="single" w:sz="4" w:space="0" w:color="auto"/>
              <w:right w:val="single" w:sz="4" w:space="0" w:color="auto"/>
            </w:tcBorders>
            <w:shd w:val="clear" w:color="auto" w:fill="auto"/>
            <w:vAlign w:val="center"/>
            <w:hideMark/>
          </w:tcPr>
          <w:p w14:paraId="30566EBA" w14:textId="77777777" w:rsidR="002F3813" w:rsidRPr="00F032EF" w:rsidRDefault="002F3813" w:rsidP="002049F4">
            <w:pPr>
              <w:spacing w:after="0" w:line="240" w:lineRule="auto"/>
              <w:jc w:val="center"/>
              <w:rPr>
                <w:rFonts w:ascii="Arial" w:eastAsia="Times New Roman" w:hAnsi="Arial" w:cs="Arial"/>
                <w:sz w:val="20"/>
                <w:szCs w:val="20"/>
                <w:lang w:eastAsia="pt-BR"/>
              </w:rPr>
            </w:pPr>
            <w:r w:rsidRPr="00F032EF">
              <w:rPr>
                <w:rFonts w:ascii="Arial" w:eastAsia="Times New Roman" w:hAnsi="Arial" w:cs="Arial"/>
                <w:sz w:val="20"/>
                <w:szCs w:val="20"/>
                <w:lang w:eastAsia="pt-BR"/>
              </w:rPr>
              <w:t>14,2</w:t>
            </w:r>
          </w:p>
        </w:tc>
        <w:tc>
          <w:tcPr>
            <w:tcW w:w="2835" w:type="dxa"/>
            <w:tcBorders>
              <w:top w:val="nil"/>
              <w:left w:val="nil"/>
              <w:bottom w:val="nil"/>
              <w:right w:val="single" w:sz="4" w:space="0" w:color="auto"/>
            </w:tcBorders>
            <w:shd w:val="clear" w:color="auto" w:fill="auto"/>
            <w:vAlign w:val="center"/>
            <w:hideMark/>
          </w:tcPr>
          <w:p w14:paraId="7EE2969B" w14:textId="77777777" w:rsidR="002F3813" w:rsidRPr="00F032EF" w:rsidRDefault="002F3813" w:rsidP="002049F4">
            <w:pPr>
              <w:spacing w:after="0" w:line="240" w:lineRule="auto"/>
              <w:rPr>
                <w:rFonts w:ascii="Arial" w:eastAsia="Times New Roman" w:hAnsi="Arial" w:cs="Arial"/>
                <w:sz w:val="20"/>
                <w:szCs w:val="20"/>
                <w:lang w:eastAsia="pt-BR"/>
              </w:rPr>
            </w:pPr>
            <w:r w:rsidRPr="00F032EF">
              <w:rPr>
                <w:rFonts w:ascii="Arial" w:eastAsia="Times New Roman" w:hAnsi="Arial" w:cs="Arial"/>
                <w:sz w:val="20"/>
                <w:szCs w:val="20"/>
                <w:lang w:eastAsia="pt-BR"/>
              </w:rPr>
              <w:t>Obrigatório</w:t>
            </w:r>
          </w:p>
        </w:tc>
      </w:tr>
      <w:tr w:rsidR="00F032EF" w:rsidRPr="00F032EF" w14:paraId="221B5E53" w14:textId="77777777" w:rsidTr="002049F4">
        <w:trPr>
          <w:trHeight w:val="2550"/>
        </w:trPr>
        <w:tc>
          <w:tcPr>
            <w:tcW w:w="4248" w:type="dxa"/>
            <w:tcBorders>
              <w:top w:val="nil"/>
              <w:left w:val="single" w:sz="4" w:space="0" w:color="auto"/>
              <w:bottom w:val="single" w:sz="4" w:space="0" w:color="auto"/>
              <w:right w:val="single" w:sz="4" w:space="0" w:color="auto"/>
            </w:tcBorders>
            <w:shd w:val="clear" w:color="auto" w:fill="auto"/>
            <w:vAlign w:val="center"/>
            <w:hideMark/>
          </w:tcPr>
          <w:p w14:paraId="289CE195" w14:textId="77777777" w:rsidR="002F3813" w:rsidRPr="00F032EF" w:rsidRDefault="002F3813" w:rsidP="002049F4">
            <w:pPr>
              <w:spacing w:after="0" w:line="240" w:lineRule="auto"/>
              <w:jc w:val="both"/>
              <w:rPr>
                <w:rFonts w:ascii="Arial" w:eastAsia="Times New Roman" w:hAnsi="Arial" w:cs="Arial"/>
                <w:sz w:val="20"/>
                <w:szCs w:val="20"/>
                <w:lang w:eastAsia="pt-BR"/>
              </w:rPr>
            </w:pPr>
            <w:r w:rsidRPr="00F032EF">
              <w:rPr>
                <w:rFonts w:ascii="Arial" w:eastAsia="Times New Roman" w:hAnsi="Arial" w:cs="Arial"/>
                <w:sz w:val="20"/>
                <w:szCs w:val="20"/>
                <w:lang w:eastAsia="pt-BR"/>
              </w:rPr>
              <w:t>Situação da Tomada de Contas Especial em 31 de dezembro do Exercício referência da Prestação de Contas Anual</w:t>
            </w:r>
          </w:p>
        </w:tc>
        <w:tc>
          <w:tcPr>
            <w:tcW w:w="1112" w:type="dxa"/>
            <w:tcBorders>
              <w:top w:val="nil"/>
              <w:left w:val="nil"/>
              <w:bottom w:val="single" w:sz="4" w:space="0" w:color="auto"/>
              <w:right w:val="single" w:sz="4" w:space="0" w:color="auto"/>
            </w:tcBorders>
            <w:shd w:val="clear" w:color="auto" w:fill="auto"/>
            <w:vAlign w:val="center"/>
            <w:hideMark/>
          </w:tcPr>
          <w:p w14:paraId="2586DD68" w14:textId="77777777" w:rsidR="002F3813" w:rsidRPr="00F032EF" w:rsidRDefault="002F3813" w:rsidP="002049F4">
            <w:pPr>
              <w:spacing w:after="0" w:line="240" w:lineRule="auto"/>
              <w:jc w:val="center"/>
              <w:rPr>
                <w:rFonts w:ascii="Arial" w:eastAsia="Times New Roman" w:hAnsi="Arial" w:cs="Arial"/>
                <w:sz w:val="20"/>
                <w:szCs w:val="20"/>
                <w:lang w:eastAsia="pt-BR"/>
              </w:rPr>
            </w:pPr>
            <w:r w:rsidRPr="00F032EF">
              <w:rPr>
                <w:rFonts w:ascii="Arial" w:eastAsia="Times New Roman" w:hAnsi="Arial" w:cs="Arial"/>
                <w:sz w:val="20"/>
                <w:szCs w:val="20"/>
                <w:lang w:eastAsia="pt-BR"/>
              </w:rPr>
              <w:t>Inteiro</w:t>
            </w:r>
          </w:p>
        </w:tc>
        <w:tc>
          <w:tcPr>
            <w:tcW w:w="1298" w:type="dxa"/>
            <w:tcBorders>
              <w:top w:val="nil"/>
              <w:left w:val="nil"/>
              <w:bottom w:val="single" w:sz="4" w:space="0" w:color="auto"/>
              <w:right w:val="nil"/>
            </w:tcBorders>
            <w:shd w:val="clear" w:color="auto" w:fill="auto"/>
            <w:vAlign w:val="center"/>
            <w:hideMark/>
          </w:tcPr>
          <w:p w14:paraId="41E8B52C" w14:textId="77777777" w:rsidR="002F3813" w:rsidRPr="00F032EF" w:rsidRDefault="002F3813" w:rsidP="002049F4">
            <w:pPr>
              <w:spacing w:after="0" w:line="240" w:lineRule="auto"/>
              <w:jc w:val="center"/>
              <w:rPr>
                <w:rFonts w:ascii="Arial" w:eastAsia="Times New Roman" w:hAnsi="Arial" w:cs="Arial"/>
                <w:sz w:val="20"/>
                <w:szCs w:val="20"/>
                <w:lang w:eastAsia="pt-BR"/>
              </w:rPr>
            </w:pPr>
            <w:r w:rsidRPr="00F032EF">
              <w:rPr>
                <w:rFonts w:ascii="Arial" w:eastAsia="Times New Roman" w:hAnsi="Arial" w:cs="Arial"/>
                <w:sz w:val="20"/>
                <w:szCs w:val="20"/>
                <w:lang w:eastAsia="pt-BR"/>
              </w:rPr>
              <w:t>1</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77B4363" w14:textId="77777777" w:rsidR="002F3813" w:rsidRPr="00F032EF" w:rsidRDefault="002F3813" w:rsidP="002049F4">
            <w:pPr>
              <w:spacing w:after="0" w:line="240" w:lineRule="auto"/>
              <w:rPr>
                <w:rFonts w:ascii="Arial" w:eastAsia="Times New Roman" w:hAnsi="Arial" w:cs="Arial"/>
                <w:sz w:val="20"/>
                <w:szCs w:val="20"/>
                <w:lang w:eastAsia="pt-BR"/>
              </w:rPr>
            </w:pPr>
            <w:r w:rsidRPr="00F032EF">
              <w:rPr>
                <w:rFonts w:ascii="Arial" w:eastAsia="Times New Roman" w:hAnsi="Arial" w:cs="Arial"/>
                <w:sz w:val="20"/>
                <w:szCs w:val="20"/>
                <w:lang w:eastAsia="pt-BR"/>
              </w:rPr>
              <w:t>Obrigatório</w:t>
            </w:r>
            <w:r w:rsidRPr="00F032EF">
              <w:rPr>
                <w:rFonts w:ascii="Arial" w:eastAsia="Times New Roman" w:hAnsi="Arial" w:cs="Arial"/>
                <w:sz w:val="20"/>
                <w:szCs w:val="20"/>
                <w:lang w:eastAsia="pt-BR"/>
              </w:rPr>
              <w:br/>
              <w:t>1 - Em instrução dentro do prazo;</w:t>
            </w:r>
          </w:p>
          <w:p w14:paraId="6ED4DDBE" w14:textId="77777777" w:rsidR="002F3813" w:rsidRPr="00F032EF" w:rsidRDefault="002F3813" w:rsidP="002049F4">
            <w:pPr>
              <w:spacing w:after="0" w:line="240" w:lineRule="auto"/>
              <w:rPr>
                <w:rFonts w:ascii="Arial" w:eastAsia="Times New Roman" w:hAnsi="Arial" w:cs="Arial"/>
                <w:sz w:val="20"/>
                <w:szCs w:val="20"/>
                <w:lang w:eastAsia="pt-BR"/>
              </w:rPr>
            </w:pPr>
            <w:r w:rsidRPr="00F032EF">
              <w:rPr>
                <w:rFonts w:ascii="Arial" w:eastAsia="Times New Roman" w:hAnsi="Arial" w:cs="Arial"/>
                <w:sz w:val="20"/>
                <w:szCs w:val="20"/>
                <w:lang w:eastAsia="pt-BR"/>
              </w:rPr>
              <w:br/>
              <w:t>2 - Em instrução fora do prazo;</w:t>
            </w:r>
          </w:p>
          <w:p w14:paraId="774BA560" w14:textId="77777777" w:rsidR="002F3813" w:rsidRPr="00F032EF" w:rsidRDefault="002F3813" w:rsidP="002049F4">
            <w:pPr>
              <w:spacing w:after="0" w:line="240" w:lineRule="auto"/>
              <w:rPr>
                <w:rFonts w:ascii="Arial" w:eastAsia="Times New Roman" w:hAnsi="Arial" w:cs="Arial"/>
                <w:sz w:val="20"/>
                <w:szCs w:val="20"/>
                <w:lang w:eastAsia="pt-BR"/>
              </w:rPr>
            </w:pPr>
            <w:r w:rsidRPr="00F032EF">
              <w:rPr>
                <w:rFonts w:ascii="Arial" w:eastAsia="Times New Roman" w:hAnsi="Arial" w:cs="Arial"/>
                <w:sz w:val="20"/>
                <w:szCs w:val="20"/>
                <w:lang w:eastAsia="pt-BR"/>
              </w:rPr>
              <w:br/>
              <w:t>3 - Em complementação de informações determinada pelo Tribunal de Contas;</w:t>
            </w:r>
          </w:p>
          <w:p w14:paraId="2C144EAF" w14:textId="77777777" w:rsidR="002F3813" w:rsidRPr="00F032EF" w:rsidRDefault="002F3813" w:rsidP="002049F4">
            <w:pPr>
              <w:spacing w:after="0" w:line="240" w:lineRule="auto"/>
              <w:rPr>
                <w:rFonts w:ascii="Arial" w:eastAsia="Times New Roman" w:hAnsi="Arial" w:cs="Arial"/>
                <w:sz w:val="20"/>
                <w:szCs w:val="20"/>
                <w:lang w:eastAsia="pt-BR"/>
              </w:rPr>
            </w:pPr>
            <w:r w:rsidRPr="00F032EF">
              <w:rPr>
                <w:rFonts w:ascii="Arial" w:eastAsia="Times New Roman" w:hAnsi="Arial" w:cs="Arial"/>
                <w:sz w:val="20"/>
                <w:szCs w:val="20"/>
                <w:lang w:eastAsia="pt-BR"/>
              </w:rPr>
              <w:br/>
              <w:t>4 - Finalizada;</w:t>
            </w:r>
          </w:p>
        </w:tc>
      </w:tr>
      <w:tr w:rsidR="00F032EF" w:rsidRPr="00F032EF" w14:paraId="1F735F25" w14:textId="77777777" w:rsidTr="002049F4">
        <w:trPr>
          <w:trHeight w:val="5100"/>
        </w:trPr>
        <w:tc>
          <w:tcPr>
            <w:tcW w:w="42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FE6C53" w14:textId="77777777" w:rsidR="002F3813" w:rsidRPr="00F032EF" w:rsidRDefault="002F3813" w:rsidP="002049F4">
            <w:pPr>
              <w:spacing w:after="0" w:line="240" w:lineRule="auto"/>
              <w:jc w:val="both"/>
              <w:rPr>
                <w:rFonts w:ascii="Arial" w:eastAsia="Times New Roman" w:hAnsi="Arial" w:cs="Arial"/>
                <w:sz w:val="20"/>
                <w:szCs w:val="20"/>
                <w:lang w:eastAsia="pt-BR"/>
              </w:rPr>
            </w:pPr>
            <w:r w:rsidRPr="00F032EF">
              <w:rPr>
                <w:rFonts w:ascii="Arial" w:eastAsia="Times New Roman" w:hAnsi="Arial" w:cs="Arial"/>
                <w:sz w:val="20"/>
                <w:szCs w:val="20"/>
                <w:lang w:eastAsia="pt-BR"/>
              </w:rPr>
              <w:lastRenderedPageBreak/>
              <w:t>Motivo da Baixa da Responsabilidade pelo Débito</w:t>
            </w:r>
          </w:p>
        </w:tc>
        <w:tc>
          <w:tcPr>
            <w:tcW w:w="1112" w:type="dxa"/>
            <w:tcBorders>
              <w:top w:val="single" w:sz="4" w:space="0" w:color="auto"/>
              <w:left w:val="nil"/>
              <w:bottom w:val="single" w:sz="4" w:space="0" w:color="auto"/>
              <w:right w:val="single" w:sz="4" w:space="0" w:color="auto"/>
            </w:tcBorders>
            <w:shd w:val="clear" w:color="auto" w:fill="auto"/>
            <w:vAlign w:val="center"/>
            <w:hideMark/>
          </w:tcPr>
          <w:p w14:paraId="518E5B48" w14:textId="77777777" w:rsidR="002F3813" w:rsidRPr="00F032EF" w:rsidRDefault="002F3813" w:rsidP="002049F4">
            <w:pPr>
              <w:spacing w:after="0" w:line="240" w:lineRule="auto"/>
              <w:jc w:val="center"/>
              <w:rPr>
                <w:rFonts w:ascii="Arial" w:eastAsia="Times New Roman" w:hAnsi="Arial" w:cs="Arial"/>
                <w:sz w:val="20"/>
                <w:szCs w:val="20"/>
                <w:lang w:eastAsia="pt-BR"/>
              </w:rPr>
            </w:pPr>
            <w:r w:rsidRPr="00F032EF">
              <w:rPr>
                <w:rFonts w:ascii="Arial" w:eastAsia="Times New Roman" w:hAnsi="Arial" w:cs="Arial"/>
                <w:sz w:val="20"/>
                <w:szCs w:val="20"/>
                <w:lang w:eastAsia="pt-BR"/>
              </w:rPr>
              <w:t>Inteiro</w:t>
            </w:r>
          </w:p>
        </w:tc>
        <w:tc>
          <w:tcPr>
            <w:tcW w:w="1298" w:type="dxa"/>
            <w:tcBorders>
              <w:top w:val="single" w:sz="4" w:space="0" w:color="auto"/>
              <w:left w:val="nil"/>
              <w:bottom w:val="single" w:sz="4" w:space="0" w:color="auto"/>
              <w:right w:val="nil"/>
            </w:tcBorders>
            <w:shd w:val="clear" w:color="auto" w:fill="auto"/>
            <w:vAlign w:val="center"/>
            <w:hideMark/>
          </w:tcPr>
          <w:p w14:paraId="5D50BCA9" w14:textId="77777777" w:rsidR="002F3813" w:rsidRPr="00F032EF" w:rsidRDefault="002F3813" w:rsidP="002049F4">
            <w:pPr>
              <w:spacing w:after="0" w:line="240" w:lineRule="auto"/>
              <w:jc w:val="center"/>
              <w:rPr>
                <w:rFonts w:ascii="Arial" w:eastAsia="Times New Roman" w:hAnsi="Arial" w:cs="Arial"/>
                <w:sz w:val="20"/>
                <w:szCs w:val="20"/>
                <w:lang w:eastAsia="pt-BR"/>
              </w:rPr>
            </w:pPr>
            <w:r w:rsidRPr="00F032EF">
              <w:rPr>
                <w:rFonts w:ascii="Arial" w:eastAsia="Times New Roman" w:hAnsi="Arial" w:cs="Arial"/>
                <w:sz w:val="20"/>
                <w:szCs w:val="20"/>
                <w:lang w:eastAsia="pt-BR"/>
              </w:rPr>
              <w:t>1</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D62819F" w14:textId="66CD81E2" w:rsidR="002F3813" w:rsidRPr="00F032EF" w:rsidRDefault="00083710" w:rsidP="002049F4">
            <w:pPr>
              <w:spacing w:after="0" w:line="240" w:lineRule="auto"/>
              <w:rPr>
                <w:rFonts w:ascii="Arial" w:eastAsia="Times New Roman" w:hAnsi="Arial" w:cs="Arial"/>
                <w:sz w:val="20"/>
                <w:szCs w:val="20"/>
                <w:lang w:eastAsia="pt-BR"/>
              </w:rPr>
            </w:pPr>
            <w:r>
              <w:rPr>
                <w:rFonts w:ascii="Arial" w:eastAsia="Times New Roman" w:hAnsi="Arial" w:cs="Arial"/>
                <w:sz w:val="20"/>
                <w:szCs w:val="20"/>
                <w:lang w:eastAsia="pt-BR"/>
              </w:rPr>
              <w:t xml:space="preserve">Não </w:t>
            </w:r>
            <w:r w:rsidR="002F3813" w:rsidRPr="00F032EF">
              <w:rPr>
                <w:rFonts w:ascii="Arial" w:eastAsia="Times New Roman" w:hAnsi="Arial" w:cs="Arial"/>
                <w:sz w:val="20"/>
                <w:szCs w:val="20"/>
                <w:lang w:eastAsia="pt-BR"/>
              </w:rPr>
              <w:t>Obrigatório</w:t>
            </w:r>
          </w:p>
          <w:p w14:paraId="4713B5FC" w14:textId="77777777" w:rsidR="002F3813" w:rsidRPr="00F032EF" w:rsidRDefault="002F3813" w:rsidP="002049F4">
            <w:pPr>
              <w:spacing w:after="0" w:line="240" w:lineRule="auto"/>
              <w:rPr>
                <w:rFonts w:ascii="Arial" w:eastAsia="Times New Roman" w:hAnsi="Arial" w:cs="Arial"/>
                <w:sz w:val="20"/>
                <w:szCs w:val="20"/>
                <w:lang w:eastAsia="pt-BR"/>
              </w:rPr>
            </w:pPr>
            <w:r w:rsidRPr="00F032EF">
              <w:rPr>
                <w:rFonts w:ascii="Arial" w:eastAsia="Times New Roman" w:hAnsi="Arial" w:cs="Arial"/>
                <w:sz w:val="20"/>
                <w:szCs w:val="20"/>
                <w:lang w:eastAsia="pt-BR"/>
              </w:rPr>
              <w:br/>
              <w:t>1 - Elisão da responsabilidade pelo dano inicialmente imputada ao responsável;</w:t>
            </w:r>
          </w:p>
          <w:p w14:paraId="5A395CE3" w14:textId="77777777" w:rsidR="002F3813" w:rsidRPr="00F032EF" w:rsidRDefault="002F3813" w:rsidP="002049F4">
            <w:pPr>
              <w:spacing w:after="0" w:line="240" w:lineRule="auto"/>
              <w:rPr>
                <w:rFonts w:ascii="Arial" w:eastAsia="Times New Roman" w:hAnsi="Arial" w:cs="Arial"/>
                <w:sz w:val="20"/>
                <w:szCs w:val="20"/>
                <w:lang w:eastAsia="pt-BR"/>
              </w:rPr>
            </w:pPr>
            <w:r w:rsidRPr="00F032EF">
              <w:rPr>
                <w:rFonts w:ascii="Arial" w:eastAsia="Times New Roman" w:hAnsi="Arial" w:cs="Arial"/>
                <w:sz w:val="20"/>
                <w:szCs w:val="20"/>
                <w:lang w:eastAsia="pt-BR"/>
              </w:rPr>
              <w:br/>
              <w:t>2 - Ausência de comprovação do dano;</w:t>
            </w:r>
          </w:p>
          <w:p w14:paraId="65AD5039" w14:textId="77777777" w:rsidR="002F3813" w:rsidRPr="00F032EF" w:rsidRDefault="002F3813" w:rsidP="002049F4">
            <w:pPr>
              <w:spacing w:after="0" w:line="240" w:lineRule="auto"/>
              <w:rPr>
                <w:rFonts w:ascii="Arial" w:eastAsia="Times New Roman" w:hAnsi="Arial" w:cs="Arial"/>
                <w:sz w:val="20"/>
                <w:szCs w:val="20"/>
                <w:lang w:eastAsia="pt-BR"/>
              </w:rPr>
            </w:pPr>
            <w:r w:rsidRPr="00F032EF">
              <w:rPr>
                <w:rFonts w:ascii="Arial" w:eastAsia="Times New Roman" w:hAnsi="Arial" w:cs="Arial"/>
                <w:sz w:val="20"/>
                <w:szCs w:val="20"/>
                <w:lang w:eastAsia="pt-BR"/>
              </w:rPr>
              <w:br/>
              <w:t>3 - Arquivamento do processo por falta de pressupostos de instauração ou do seu desenvolvimento regular;</w:t>
            </w:r>
          </w:p>
          <w:p w14:paraId="44EB79CB" w14:textId="77777777" w:rsidR="002F3813" w:rsidRPr="00F032EF" w:rsidRDefault="002F3813" w:rsidP="002049F4">
            <w:pPr>
              <w:spacing w:after="0" w:line="240" w:lineRule="auto"/>
              <w:rPr>
                <w:rFonts w:ascii="Arial" w:eastAsia="Times New Roman" w:hAnsi="Arial" w:cs="Arial"/>
                <w:sz w:val="20"/>
                <w:szCs w:val="20"/>
                <w:lang w:eastAsia="pt-BR"/>
              </w:rPr>
            </w:pPr>
            <w:r w:rsidRPr="00F032EF">
              <w:rPr>
                <w:rFonts w:ascii="Arial" w:eastAsia="Times New Roman" w:hAnsi="Arial" w:cs="Arial"/>
                <w:sz w:val="20"/>
                <w:szCs w:val="20"/>
                <w:lang w:eastAsia="pt-BR"/>
              </w:rPr>
              <w:br/>
              <w:t>4 - Contas consideradas iliquidáveis, nos termos do art. 90 da Lei Complementar Estadual n° 621/2012;</w:t>
            </w:r>
          </w:p>
          <w:p w14:paraId="18AC277B" w14:textId="77777777" w:rsidR="002F3813" w:rsidRPr="00F032EF" w:rsidRDefault="002F3813" w:rsidP="002049F4">
            <w:pPr>
              <w:spacing w:after="0" w:line="240" w:lineRule="auto"/>
              <w:rPr>
                <w:rFonts w:ascii="Arial" w:eastAsia="Times New Roman" w:hAnsi="Arial" w:cs="Arial"/>
                <w:sz w:val="20"/>
                <w:szCs w:val="20"/>
                <w:lang w:eastAsia="pt-BR"/>
              </w:rPr>
            </w:pPr>
            <w:r w:rsidRPr="00F032EF">
              <w:rPr>
                <w:rFonts w:ascii="Arial" w:eastAsia="Times New Roman" w:hAnsi="Arial" w:cs="Arial"/>
                <w:sz w:val="20"/>
                <w:szCs w:val="20"/>
                <w:lang w:eastAsia="pt-BR"/>
              </w:rPr>
              <w:br/>
              <w:t>5 - Quitação ao responsável pelo recolhimento do débito.</w:t>
            </w:r>
          </w:p>
        </w:tc>
      </w:tr>
    </w:tbl>
    <w:p w14:paraId="2D52B439" w14:textId="77777777" w:rsidR="002438E3" w:rsidRDefault="002438E3" w:rsidP="005653DB">
      <w:pPr>
        <w:autoSpaceDE w:val="0"/>
        <w:autoSpaceDN w:val="0"/>
        <w:adjustRightInd w:val="0"/>
        <w:spacing w:after="0" w:line="240" w:lineRule="auto"/>
        <w:jc w:val="both"/>
      </w:pPr>
    </w:p>
    <w:p w14:paraId="7991A5B0" w14:textId="77777777" w:rsidR="003261DE" w:rsidRPr="00F032EF" w:rsidRDefault="003261DE" w:rsidP="003261DE">
      <w:pPr>
        <w:spacing w:after="0" w:line="360" w:lineRule="auto"/>
        <w:jc w:val="both"/>
        <w:rPr>
          <w:rFonts w:ascii="Arial" w:hAnsi="Arial" w:cs="Arial"/>
          <w:b/>
          <w:bCs/>
          <w:sz w:val="20"/>
          <w:szCs w:val="20"/>
        </w:rPr>
      </w:pPr>
      <w:r w:rsidRPr="00F032EF">
        <w:rPr>
          <w:rFonts w:ascii="Arial" w:hAnsi="Arial" w:cs="Arial"/>
          <w:b/>
          <w:bCs/>
          <w:sz w:val="20"/>
          <w:szCs w:val="20"/>
        </w:rPr>
        <w:t>Notas:</w:t>
      </w:r>
    </w:p>
    <w:p w14:paraId="638E4320" w14:textId="77777777" w:rsidR="003261DE" w:rsidRPr="00F032EF" w:rsidRDefault="003261DE" w:rsidP="003261DE">
      <w:pPr>
        <w:rPr>
          <w:b/>
          <w:bCs/>
        </w:rPr>
      </w:pPr>
      <w:r w:rsidRPr="00F032EF">
        <w:rPr>
          <w:b/>
          <w:bCs/>
        </w:rPr>
        <w:t>[1] – Obrigatório</w:t>
      </w:r>
      <w:r w:rsidRPr="00F032EF">
        <w:t xml:space="preserve">, quando </w:t>
      </w:r>
      <w:r w:rsidRPr="00F032EF">
        <w:rPr>
          <w:b/>
          <w:bCs/>
        </w:rPr>
        <w:t>Nível de Controle Interno for igual a 1</w:t>
      </w:r>
      <w:r w:rsidRPr="00F032EF">
        <w:t xml:space="preserve"> e prestação de contas for de </w:t>
      </w:r>
      <w:r w:rsidRPr="00F032EF">
        <w:rPr>
          <w:b/>
          <w:bCs/>
        </w:rPr>
        <w:t>Chefe de Poder ou Órgão</w:t>
      </w:r>
      <w:r w:rsidRPr="00F032EF">
        <w:t xml:space="preserve">; ou </w:t>
      </w:r>
      <w:r w:rsidRPr="00F032EF">
        <w:rPr>
          <w:b/>
          <w:bCs/>
        </w:rPr>
        <w:t>Nível de Controle Interno for igual a 2</w:t>
      </w:r>
      <w:r w:rsidRPr="00F032EF">
        <w:t>.</w:t>
      </w:r>
    </w:p>
    <w:p w14:paraId="63B21BEF" w14:textId="77777777" w:rsidR="003261DE" w:rsidRPr="00F032EF" w:rsidRDefault="003261DE" w:rsidP="003261DE">
      <w:pPr>
        <w:spacing w:after="0" w:line="360" w:lineRule="auto"/>
        <w:jc w:val="both"/>
        <w:rPr>
          <w:rFonts w:ascii="Arial" w:hAnsi="Arial" w:cs="Arial"/>
          <w:b/>
          <w:bCs/>
          <w:sz w:val="20"/>
          <w:szCs w:val="20"/>
        </w:rPr>
      </w:pPr>
      <w:r w:rsidRPr="00F032EF">
        <w:rPr>
          <w:rFonts w:ascii="Arial" w:hAnsi="Arial" w:cs="Arial"/>
          <w:b/>
          <w:bCs/>
          <w:sz w:val="20"/>
          <w:szCs w:val="20"/>
        </w:rPr>
        <w:t>[2] – Opcional,</w:t>
      </w:r>
      <w:r w:rsidRPr="00F032EF">
        <w:rPr>
          <w:rFonts w:ascii="Arial" w:hAnsi="Arial" w:cs="Arial"/>
          <w:sz w:val="20"/>
          <w:szCs w:val="20"/>
        </w:rPr>
        <w:t xml:space="preserve"> se o campo </w:t>
      </w:r>
      <w:r w:rsidRPr="00F032EF">
        <w:rPr>
          <w:rFonts w:ascii="Arial" w:hAnsi="Arial" w:cs="Arial"/>
          <w:b/>
          <w:bCs/>
          <w:sz w:val="20"/>
          <w:szCs w:val="20"/>
        </w:rPr>
        <w:t>Tipo do Ponto de Controle for 2 - Qualitativo</w:t>
      </w:r>
      <w:r w:rsidRPr="00F032EF">
        <w:rPr>
          <w:rFonts w:ascii="Arial" w:hAnsi="Arial" w:cs="Arial"/>
          <w:sz w:val="20"/>
          <w:szCs w:val="20"/>
        </w:rPr>
        <w:t>.</w:t>
      </w:r>
    </w:p>
    <w:p w14:paraId="42E67C96" w14:textId="77777777" w:rsidR="003261DE" w:rsidRPr="00F032EF" w:rsidRDefault="003261DE" w:rsidP="003261DE">
      <w:pPr>
        <w:spacing w:after="0" w:line="360" w:lineRule="auto"/>
        <w:jc w:val="both"/>
        <w:rPr>
          <w:rFonts w:ascii="Arial" w:hAnsi="Arial" w:cs="Arial"/>
          <w:b/>
          <w:bCs/>
          <w:sz w:val="20"/>
          <w:szCs w:val="20"/>
        </w:rPr>
      </w:pPr>
    </w:p>
    <w:p w14:paraId="1F465B63" w14:textId="77777777" w:rsidR="003261DE" w:rsidRPr="00F032EF" w:rsidRDefault="003261DE" w:rsidP="003261DE">
      <w:pPr>
        <w:spacing w:after="0" w:line="360" w:lineRule="auto"/>
        <w:jc w:val="both"/>
        <w:rPr>
          <w:rFonts w:ascii="Arial" w:hAnsi="Arial" w:cs="Arial"/>
          <w:b/>
          <w:bCs/>
          <w:sz w:val="24"/>
          <w:szCs w:val="24"/>
        </w:rPr>
      </w:pPr>
      <w:r w:rsidRPr="00F032EF">
        <w:rPr>
          <w:rFonts w:ascii="Arial" w:hAnsi="Arial" w:cs="Arial"/>
          <w:b/>
          <w:bCs/>
          <w:sz w:val="24"/>
          <w:szCs w:val="24"/>
        </w:rPr>
        <w:t>Observações:</w:t>
      </w:r>
    </w:p>
    <w:p w14:paraId="692CB716" w14:textId="77777777" w:rsidR="003261DE" w:rsidRPr="00F032EF" w:rsidRDefault="003261DE" w:rsidP="003261DE">
      <w:pPr>
        <w:spacing w:after="0" w:line="360" w:lineRule="auto"/>
        <w:jc w:val="both"/>
        <w:rPr>
          <w:rFonts w:ascii="Arial" w:eastAsia="Calibri" w:hAnsi="Arial" w:cs="Times New Roman"/>
          <w:b/>
          <w:bCs/>
          <w:sz w:val="20"/>
          <w:szCs w:val="20"/>
        </w:rPr>
      </w:pPr>
      <w:r w:rsidRPr="00F032EF">
        <w:rPr>
          <w:rFonts w:ascii="Arial" w:eastAsia="Calibri" w:hAnsi="Arial" w:cs="Times New Roman"/>
          <w:b/>
          <w:bCs/>
          <w:sz w:val="20"/>
          <w:szCs w:val="20"/>
        </w:rPr>
        <w:t xml:space="preserve">1 – </w:t>
      </w:r>
      <w:r w:rsidRPr="00F032EF">
        <w:rPr>
          <w:rFonts w:ascii="Arial" w:eastAsia="Calibri" w:hAnsi="Arial" w:cs="Times New Roman"/>
          <w:sz w:val="20"/>
          <w:szCs w:val="20"/>
        </w:rPr>
        <w:t xml:space="preserve">Se o </w:t>
      </w:r>
      <w:r w:rsidRPr="00F032EF">
        <w:rPr>
          <w:rFonts w:ascii="Arial" w:eastAsia="Calibri" w:hAnsi="Arial" w:cs="Times New Roman"/>
          <w:b/>
          <w:bCs/>
          <w:sz w:val="20"/>
          <w:szCs w:val="20"/>
        </w:rPr>
        <w:t>Nível De Controle Interno</w:t>
      </w:r>
      <w:r w:rsidRPr="00F032EF">
        <w:rPr>
          <w:rFonts w:ascii="Arial" w:eastAsia="Calibri" w:hAnsi="Arial" w:cs="Times New Roman"/>
          <w:sz w:val="20"/>
          <w:szCs w:val="20"/>
        </w:rPr>
        <w:t xml:space="preserve"> for estabelecido como </w:t>
      </w:r>
      <w:r w:rsidRPr="00F032EF">
        <w:rPr>
          <w:rFonts w:ascii="Arial" w:eastAsia="Calibri" w:hAnsi="Arial" w:cs="Times New Roman"/>
          <w:b/>
          <w:bCs/>
          <w:sz w:val="20"/>
          <w:szCs w:val="20"/>
        </w:rPr>
        <w:t>Unidade Central</w:t>
      </w:r>
      <w:r w:rsidRPr="00F032EF">
        <w:rPr>
          <w:rFonts w:ascii="Arial" w:eastAsia="Calibri" w:hAnsi="Arial" w:cs="Times New Roman"/>
          <w:sz w:val="20"/>
          <w:szCs w:val="20"/>
        </w:rPr>
        <w:t xml:space="preserve">, o arquivo será encaminhado nas </w:t>
      </w:r>
      <w:r w:rsidRPr="00F032EF">
        <w:rPr>
          <w:rFonts w:ascii="Arial" w:eastAsia="Calibri" w:hAnsi="Arial" w:cs="Times New Roman"/>
          <w:b/>
          <w:bCs/>
          <w:sz w:val="20"/>
          <w:szCs w:val="20"/>
        </w:rPr>
        <w:t>Contas de Governo</w:t>
      </w:r>
      <w:r w:rsidRPr="00F032EF">
        <w:rPr>
          <w:rFonts w:ascii="Arial" w:eastAsia="Calibri" w:hAnsi="Arial" w:cs="Times New Roman"/>
          <w:sz w:val="20"/>
          <w:szCs w:val="20"/>
        </w:rPr>
        <w:t xml:space="preserve">, nos </w:t>
      </w:r>
      <w:r w:rsidRPr="00F032EF">
        <w:rPr>
          <w:rFonts w:ascii="Arial" w:eastAsia="Calibri" w:hAnsi="Arial" w:cs="Times New Roman"/>
          <w:b/>
          <w:bCs/>
          <w:sz w:val="20"/>
          <w:szCs w:val="20"/>
        </w:rPr>
        <w:t>Municípios</w:t>
      </w:r>
      <w:r w:rsidRPr="00F032EF">
        <w:rPr>
          <w:rFonts w:ascii="Arial" w:eastAsia="Calibri" w:hAnsi="Arial" w:cs="Times New Roman"/>
          <w:sz w:val="20"/>
          <w:szCs w:val="20"/>
        </w:rPr>
        <w:t xml:space="preserve">; e pelo </w:t>
      </w:r>
      <w:r w:rsidRPr="00F032EF">
        <w:rPr>
          <w:rFonts w:ascii="Arial" w:eastAsia="Calibri" w:hAnsi="Arial" w:cs="Times New Roman"/>
          <w:b/>
          <w:bCs/>
          <w:sz w:val="20"/>
          <w:szCs w:val="20"/>
        </w:rPr>
        <w:t>Poder Executivo Estadual</w:t>
      </w:r>
      <w:r w:rsidRPr="00F032EF">
        <w:rPr>
          <w:rFonts w:ascii="Arial" w:eastAsia="Calibri" w:hAnsi="Arial" w:cs="Times New Roman"/>
          <w:sz w:val="20"/>
          <w:szCs w:val="20"/>
        </w:rPr>
        <w:t xml:space="preserve">, a responsabilidade de envio será da </w:t>
      </w:r>
      <w:r w:rsidRPr="00F032EF">
        <w:rPr>
          <w:rFonts w:ascii="Arial" w:eastAsia="Calibri" w:hAnsi="Arial" w:cs="Times New Roman"/>
          <w:b/>
          <w:bCs/>
          <w:sz w:val="20"/>
          <w:szCs w:val="20"/>
        </w:rPr>
        <w:t>Secretaria de Estado de Controle e Transparência - SECONT</w:t>
      </w:r>
      <w:r w:rsidRPr="00F032EF">
        <w:rPr>
          <w:rFonts w:ascii="Arial" w:eastAsia="Calibri" w:hAnsi="Arial" w:cs="Times New Roman"/>
          <w:sz w:val="20"/>
          <w:szCs w:val="20"/>
        </w:rPr>
        <w:t xml:space="preserve">. Os </w:t>
      </w:r>
      <w:r w:rsidRPr="00F032EF">
        <w:rPr>
          <w:rFonts w:ascii="Arial" w:eastAsia="Calibri" w:hAnsi="Arial" w:cs="Times New Roman"/>
          <w:b/>
          <w:bCs/>
          <w:sz w:val="20"/>
          <w:szCs w:val="20"/>
        </w:rPr>
        <w:t>demais Poderes e Órgãos do Estado</w:t>
      </w:r>
      <w:r w:rsidRPr="00F032EF">
        <w:rPr>
          <w:rFonts w:ascii="Arial" w:eastAsia="Calibri" w:hAnsi="Arial" w:cs="Times New Roman"/>
          <w:sz w:val="20"/>
          <w:szCs w:val="20"/>
        </w:rPr>
        <w:t xml:space="preserve"> encaminharão o arquivo nas </w:t>
      </w:r>
      <w:r w:rsidRPr="00F032EF">
        <w:rPr>
          <w:rFonts w:ascii="Arial" w:eastAsia="Calibri" w:hAnsi="Arial" w:cs="Times New Roman"/>
          <w:b/>
          <w:bCs/>
          <w:sz w:val="20"/>
          <w:szCs w:val="20"/>
        </w:rPr>
        <w:t>respectivas Prestações de Contas Anuais.</w:t>
      </w:r>
    </w:p>
    <w:p w14:paraId="7378A3D3" w14:textId="77777777" w:rsidR="003261DE" w:rsidRPr="00F032EF" w:rsidRDefault="003261DE" w:rsidP="003261DE">
      <w:pPr>
        <w:spacing w:after="0" w:line="360" w:lineRule="auto"/>
        <w:jc w:val="both"/>
        <w:rPr>
          <w:rFonts w:ascii="Arial" w:eastAsia="Calibri" w:hAnsi="Arial" w:cs="Times New Roman"/>
          <w:b/>
          <w:bCs/>
          <w:sz w:val="20"/>
          <w:szCs w:val="20"/>
        </w:rPr>
      </w:pPr>
      <w:r w:rsidRPr="00F032EF">
        <w:rPr>
          <w:rFonts w:ascii="Arial" w:eastAsia="Calibri" w:hAnsi="Arial" w:cs="Times New Roman"/>
          <w:b/>
          <w:bCs/>
          <w:sz w:val="20"/>
          <w:szCs w:val="20"/>
        </w:rPr>
        <w:t xml:space="preserve">2 – </w:t>
      </w:r>
      <w:r w:rsidRPr="00F032EF">
        <w:rPr>
          <w:rFonts w:ascii="Arial" w:eastAsia="Calibri" w:hAnsi="Arial" w:cs="Times New Roman"/>
          <w:sz w:val="20"/>
          <w:szCs w:val="20"/>
        </w:rPr>
        <w:t xml:space="preserve">Se o </w:t>
      </w:r>
      <w:r w:rsidRPr="00F032EF">
        <w:rPr>
          <w:rFonts w:ascii="Arial" w:eastAsia="Calibri" w:hAnsi="Arial" w:cs="Times New Roman"/>
          <w:b/>
          <w:bCs/>
          <w:sz w:val="20"/>
          <w:szCs w:val="20"/>
        </w:rPr>
        <w:t>Nível de Controle Interno</w:t>
      </w:r>
      <w:r w:rsidRPr="00F032EF">
        <w:rPr>
          <w:rFonts w:ascii="Arial" w:eastAsia="Calibri" w:hAnsi="Arial" w:cs="Times New Roman"/>
          <w:sz w:val="20"/>
          <w:szCs w:val="20"/>
        </w:rPr>
        <w:t xml:space="preserve"> for estabelecido como </w:t>
      </w:r>
      <w:r w:rsidRPr="00F032EF">
        <w:rPr>
          <w:rFonts w:ascii="Arial" w:eastAsia="Calibri" w:hAnsi="Arial" w:cs="Times New Roman"/>
          <w:b/>
          <w:bCs/>
          <w:sz w:val="20"/>
          <w:szCs w:val="20"/>
        </w:rPr>
        <w:t>Unidade Setorial</w:t>
      </w:r>
      <w:r w:rsidRPr="00F032EF">
        <w:rPr>
          <w:rFonts w:ascii="Arial" w:eastAsia="Calibri" w:hAnsi="Arial" w:cs="Times New Roman"/>
          <w:sz w:val="20"/>
          <w:szCs w:val="20"/>
        </w:rPr>
        <w:t>, o arquivo contendo as informações relativas à Unidade de Controle Interno e os procedimentos realizados nas Unidades Gestoras serão encaminhados através deste arquivo nas</w:t>
      </w:r>
      <w:r w:rsidRPr="00F032EF">
        <w:rPr>
          <w:rFonts w:ascii="Arial" w:eastAsia="Calibri" w:hAnsi="Arial" w:cs="Times New Roman"/>
          <w:b/>
          <w:bCs/>
          <w:sz w:val="20"/>
          <w:szCs w:val="20"/>
        </w:rPr>
        <w:t xml:space="preserve"> respectivas Prestações de Contas Anuais</w:t>
      </w:r>
      <w:r w:rsidRPr="00F032EF">
        <w:rPr>
          <w:rFonts w:ascii="Arial" w:eastAsia="Calibri" w:hAnsi="Arial" w:cs="Times New Roman"/>
          <w:sz w:val="20"/>
          <w:szCs w:val="20"/>
        </w:rPr>
        <w:t>.</w:t>
      </w:r>
    </w:p>
    <w:p w14:paraId="7154CB3C" w14:textId="62813981" w:rsidR="005653DB" w:rsidRDefault="005653DB" w:rsidP="005653DB">
      <w:pPr>
        <w:rPr>
          <w:lang w:eastAsia="x-none"/>
        </w:rPr>
      </w:pPr>
    </w:p>
    <w:p w14:paraId="12880679" w14:textId="77777777" w:rsidR="000B79EA" w:rsidRDefault="000B79EA" w:rsidP="005653DB">
      <w:pPr>
        <w:rPr>
          <w:lang w:eastAsia="x-none"/>
        </w:rPr>
      </w:pPr>
    </w:p>
    <w:p w14:paraId="7133A0E3" w14:textId="64B00FAF" w:rsidR="003261DE" w:rsidRDefault="003261DE" w:rsidP="005653DB">
      <w:pPr>
        <w:rPr>
          <w:lang w:eastAsia="x-none"/>
        </w:rPr>
      </w:pPr>
    </w:p>
    <w:p w14:paraId="5156AA14" w14:textId="04C7A4A0" w:rsidR="003261DE" w:rsidRDefault="003261DE" w:rsidP="005653DB">
      <w:pPr>
        <w:rPr>
          <w:lang w:eastAsia="x-none"/>
        </w:rPr>
      </w:pPr>
    </w:p>
    <w:p w14:paraId="7A033C0E" w14:textId="6923CC2F" w:rsidR="003261DE" w:rsidRDefault="003261DE" w:rsidP="005653DB">
      <w:pPr>
        <w:rPr>
          <w:lang w:eastAsia="x-none"/>
        </w:rPr>
      </w:pPr>
    </w:p>
    <w:p w14:paraId="1D5D24E2" w14:textId="77777777" w:rsidR="003261DE" w:rsidRDefault="003261DE" w:rsidP="005653DB">
      <w:pPr>
        <w:rPr>
          <w:lang w:eastAsia="x-none"/>
        </w:rPr>
      </w:pPr>
    </w:p>
    <w:p w14:paraId="3BF4CB94" w14:textId="77777777" w:rsidR="005653DB" w:rsidRPr="005653DB" w:rsidRDefault="005653DB" w:rsidP="005653DB">
      <w:pPr>
        <w:rPr>
          <w:lang w:eastAsia="x-none"/>
        </w:rPr>
      </w:pPr>
    </w:p>
    <w:p w14:paraId="33469B51" w14:textId="6C17DAF5" w:rsidR="006D3010" w:rsidRDefault="006D3010" w:rsidP="006D3010">
      <w:pPr>
        <w:pStyle w:val="Ttulo2"/>
      </w:pPr>
      <w:bookmarkStart w:id="63" w:name="_Toc94806339"/>
      <w:r>
        <w:lastRenderedPageBreak/>
        <w:t>Modelo de Arquivos Não Estruturados</w:t>
      </w:r>
      <w:bookmarkEnd w:id="63"/>
    </w:p>
    <w:p w14:paraId="141C979C" w14:textId="779684E2" w:rsidR="006D3010" w:rsidRDefault="006D3010" w:rsidP="00FD1551">
      <w:pPr>
        <w:spacing w:after="0" w:line="360" w:lineRule="auto"/>
        <w:jc w:val="center"/>
        <w:rPr>
          <w:rFonts w:ascii="Arial" w:hAnsi="Arial" w:cs="Arial"/>
          <w:b/>
          <w:sz w:val="36"/>
          <w:u w:val="single"/>
        </w:rPr>
      </w:pPr>
    </w:p>
    <w:p w14:paraId="6474B741" w14:textId="242B91AE" w:rsidR="00BB5697" w:rsidRDefault="00BB5697" w:rsidP="00BB5697">
      <w:pPr>
        <w:pStyle w:val="Ttulo3"/>
      </w:pPr>
      <w:bookmarkStart w:id="64" w:name="_Toc94806340"/>
      <w:r>
        <w:rPr>
          <w:lang w:val="pt-BR"/>
        </w:rPr>
        <w:t>RELOCI</w:t>
      </w:r>
      <w:bookmarkEnd w:id="64"/>
    </w:p>
    <w:p w14:paraId="283C66B9" w14:textId="07C3714D" w:rsidR="00EB5878" w:rsidRPr="00EB5878" w:rsidRDefault="00BB5697" w:rsidP="00EB5878">
      <w:pPr>
        <w:widowControl w:val="0"/>
        <w:spacing w:after="0" w:line="240" w:lineRule="auto"/>
        <w:ind w:right="-142"/>
        <w:jc w:val="center"/>
        <w:rPr>
          <w:rFonts w:ascii="Arial" w:eastAsia="Calibri" w:hAnsi="Arial" w:cs="Arial"/>
          <w:b/>
        </w:rPr>
      </w:pPr>
      <w:r w:rsidRPr="00EB5878">
        <w:rPr>
          <w:rFonts w:ascii="Arial" w:eastAsia="Calibri" w:hAnsi="Arial" w:cs="Arial"/>
          <w:b/>
        </w:rPr>
        <w:t xml:space="preserve"> </w:t>
      </w:r>
      <w:r w:rsidR="00EB5878" w:rsidRPr="00EB5878">
        <w:rPr>
          <w:rFonts w:ascii="Arial" w:eastAsia="Calibri" w:hAnsi="Arial" w:cs="Arial"/>
          <w:b/>
        </w:rPr>
        <w:t>(MODELO SUGERIDO PARA A MANIFESTAÇÃO DO ÓRGÃO CENTRAL DE CONTROLE INTERNO SOBRE A PRESTAÇÃO DE CONTAS ANUAL DE GOVERNO - MUNICÍPIO)</w:t>
      </w:r>
    </w:p>
    <w:p w14:paraId="303D8B3E" w14:textId="77777777" w:rsidR="00EB5878" w:rsidRPr="00EB5878" w:rsidRDefault="00EB5878" w:rsidP="00EB5878">
      <w:pPr>
        <w:widowControl w:val="0"/>
        <w:spacing w:after="0" w:line="360" w:lineRule="auto"/>
        <w:jc w:val="center"/>
        <w:rPr>
          <w:rFonts w:ascii="Arial" w:eastAsia="Calibri" w:hAnsi="Arial" w:cs="Arial"/>
          <w:b/>
          <w:color w:val="FF0000"/>
        </w:rPr>
      </w:pPr>
    </w:p>
    <w:p w14:paraId="4413A0AA" w14:textId="77777777" w:rsidR="00EB5878" w:rsidRPr="00EB5878" w:rsidRDefault="00EB5878" w:rsidP="00EB5878">
      <w:pPr>
        <w:widowControl w:val="0"/>
        <w:spacing w:after="0" w:line="240" w:lineRule="auto"/>
        <w:jc w:val="center"/>
        <w:rPr>
          <w:rFonts w:ascii="Arial" w:eastAsia="Calibri" w:hAnsi="Arial" w:cs="Arial"/>
          <w:b/>
        </w:rPr>
      </w:pPr>
      <w:r w:rsidRPr="00EB5878">
        <w:rPr>
          <w:rFonts w:ascii="Arial" w:eastAsia="Calibri" w:hAnsi="Arial" w:cs="Arial"/>
          <w:b/>
        </w:rPr>
        <w:t>MANIFESTAÇÃO DO ÓRGÃO CENTRAL DE CONTROLE INTERNO SOBRE A PRESTAÇÃO DE CONTAS ANUAL DE GOVERNO - MUNICÍPIO</w:t>
      </w:r>
      <w:r w:rsidRPr="00EB5878">
        <w:rPr>
          <w:rFonts w:ascii="Arial" w:eastAsia="Calibri" w:hAnsi="Arial" w:cs="Arial"/>
          <w:vertAlign w:val="superscript"/>
          <w:lang w:val="en-US"/>
        </w:rPr>
        <w:footnoteReference w:id="1"/>
      </w:r>
    </w:p>
    <w:p w14:paraId="40077D1D" w14:textId="77777777" w:rsidR="00EB5878" w:rsidRPr="00EB5878" w:rsidRDefault="00EB5878" w:rsidP="00EB5878">
      <w:pPr>
        <w:widowControl w:val="0"/>
        <w:spacing w:after="0" w:line="240" w:lineRule="auto"/>
        <w:ind w:right="-142"/>
        <w:jc w:val="center"/>
        <w:rPr>
          <w:rFonts w:ascii="Arial" w:eastAsia="Calibri" w:hAnsi="Arial" w:cs="Arial"/>
          <w:i/>
        </w:rPr>
      </w:pPr>
    </w:p>
    <w:p w14:paraId="7A5795D4" w14:textId="77777777" w:rsidR="00EB5878" w:rsidRPr="00EB5878" w:rsidRDefault="00EB5878" w:rsidP="00EB5878">
      <w:pPr>
        <w:widowControl w:val="0"/>
        <w:spacing w:after="0" w:line="240" w:lineRule="auto"/>
        <w:ind w:right="-142"/>
        <w:jc w:val="center"/>
        <w:rPr>
          <w:rFonts w:ascii="Arial" w:eastAsia="Calibri" w:hAnsi="Arial" w:cs="Arial"/>
          <w:i/>
        </w:rPr>
      </w:pPr>
      <w:r w:rsidRPr="00EB5878">
        <w:rPr>
          <w:rFonts w:ascii="Arial" w:eastAsia="Calibri" w:hAnsi="Arial" w:cs="Arial"/>
          <w:i/>
        </w:rPr>
        <w:t>[o texto apresentado entre colchetes “[ ]” deve ser removido do documento a ser encaminhado na prestação de contas]</w:t>
      </w:r>
    </w:p>
    <w:p w14:paraId="0D1BCD1F" w14:textId="77777777" w:rsidR="00EB5878" w:rsidRPr="00EB5878" w:rsidRDefault="00EB5878" w:rsidP="00EB5878">
      <w:pPr>
        <w:widowControl w:val="0"/>
        <w:spacing w:after="0" w:line="360" w:lineRule="auto"/>
        <w:jc w:val="both"/>
        <w:rPr>
          <w:rFonts w:ascii="Arial" w:eastAsia="Calibri" w:hAnsi="Arial" w:cs="Arial"/>
          <w:color w:val="00B050"/>
        </w:rPr>
      </w:pPr>
    </w:p>
    <w:p w14:paraId="7E98CF56" w14:textId="77777777" w:rsidR="00EB5878" w:rsidRPr="00EB5878" w:rsidRDefault="00EB5878" w:rsidP="00EB5878">
      <w:pPr>
        <w:widowControl w:val="0"/>
        <w:spacing w:after="0" w:line="360" w:lineRule="auto"/>
        <w:jc w:val="both"/>
        <w:rPr>
          <w:rFonts w:ascii="Arial" w:eastAsia="Calibri" w:hAnsi="Arial" w:cs="Arial"/>
          <w:i/>
        </w:rPr>
      </w:pPr>
      <w:r w:rsidRPr="00EB5878">
        <w:rPr>
          <w:rFonts w:ascii="Arial" w:eastAsia="Calibri" w:hAnsi="Arial" w:cs="Arial"/>
          <w:b/>
        </w:rPr>
        <w:t>Emitente:</w:t>
      </w:r>
      <w:r w:rsidRPr="00EB5878">
        <w:rPr>
          <w:rFonts w:ascii="Arial" w:eastAsia="Calibri" w:hAnsi="Arial" w:cs="Arial"/>
        </w:rPr>
        <w:t xml:space="preserve"> </w:t>
      </w:r>
      <w:r w:rsidRPr="00EB5878">
        <w:rPr>
          <w:rFonts w:ascii="Arial" w:eastAsia="Calibri" w:hAnsi="Arial" w:cs="Arial"/>
          <w:i/>
        </w:rPr>
        <w:t>identificar a unidade de controle interno</w:t>
      </w:r>
    </w:p>
    <w:p w14:paraId="47571578" w14:textId="77777777" w:rsidR="00EB5878" w:rsidRPr="00EB5878" w:rsidRDefault="00EB5878" w:rsidP="00EB5878">
      <w:pPr>
        <w:widowControl w:val="0"/>
        <w:spacing w:after="0" w:line="360" w:lineRule="auto"/>
        <w:jc w:val="both"/>
        <w:rPr>
          <w:rFonts w:ascii="Arial" w:eastAsia="Calibri" w:hAnsi="Arial" w:cs="Arial"/>
          <w:i/>
        </w:rPr>
      </w:pPr>
      <w:r w:rsidRPr="00EB5878">
        <w:rPr>
          <w:rFonts w:ascii="Arial" w:eastAsia="Calibri" w:hAnsi="Arial" w:cs="Arial"/>
          <w:b/>
        </w:rPr>
        <w:t>Entidade:</w:t>
      </w:r>
      <w:r w:rsidRPr="00EB5878">
        <w:rPr>
          <w:rFonts w:ascii="Arial" w:eastAsia="Calibri" w:hAnsi="Arial" w:cs="Arial"/>
          <w:i/>
        </w:rPr>
        <w:t xml:space="preserve"> Município xxxxxxxxxxxxxxx</w:t>
      </w:r>
    </w:p>
    <w:p w14:paraId="72DF86EA" w14:textId="77777777" w:rsidR="00EB5878" w:rsidRPr="00EB5878" w:rsidRDefault="00EB5878" w:rsidP="00EB5878">
      <w:pPr>
        <w:widowControl w:val="0"/>
        <w:spacing w:after="0" w:line="360" w:lineRule="auto"/>
        <w:jc w:val="both"/>
        <w:rPr>
          <w:rFonts w:ascii="Arial" w:eastAsia="Calibri" w:hAnsi="Arial" w:cs="Arial"/>
          <w:i/>
        </w:rPr>
      </w:pPr>
      <w:r w:rsidRPr="00EB5878">
        <w:rPr>
          <w:rFonts w:ascii="Arial" w:eastAsia="Calibri" w:hAnsi="Arial" w:cs="Arial"/>
          <w:b/>
        </w:rPr>
        <w:t>Gestor responsável:</w:t>
      </w:r>
      <w:r w:rsidRPr="00EB5878">
        <w:rPr>
          <w:rFonts w:ascii="Arial" w:eastAsia="Calibri" w:hAnsi="Arial" w:cs="Arial"/>
        </w:rPr>
        <w:t xml:space="preserve"> </w:t>
      </w:r>
      <w:r w:rsidRPr="00EB5878">
        <w:rPr>
          <w:rFonts w:ascii="Arial" w:eastAsia="Calibri" w:hAnsi="Arial" w:cs="Arial"/>
          <w:i/>
        </w:rPr>
        <w:t>identificação dos gestores responsáveis pela execução orçamentária no exercício que se refere a prestação de contas</w:t>
      </w:r>
    </w:p>
    <w:p w14:paraId="0447B58C" w14:textId="77777777" w:rsidR="00EB5878" w:rsidRPr="00EB5878" w:rsidRDefault="00EB5878" w:rsidP="00EB5878">
      <w:pPr>
        <w:widowControl w:val="0"/>
        <w:spacing w:after="0" w:line="360" w:lineRule="auto"/>
        <w:jc w:val="both"/>
        <w:rPr>
          <w:rFonts w:ascii="Arial" w:eastAsia="Calibri" w:hAnsi="Arial" w:cs="Arial"/>
          <w:i/>
        </w:rPr>
      </w:pPr>
      <w:r w:rsidRPr="00EB5878">
        <w:rPr>
          <w:rFonts w:ascii="Arial" w:eastAsia="Calibri" w:hAnsi="Arial" w:cs="Arial"/>
          <w:b/>
        </w:rPr>
        <w:t>Exercício:</w:t>
      </w:r>
      <w:r w:rsidRPr="00EB5878">
        <w:rPr>
          <w:rFonts w:ascii="Arial" w:eastAsia="Calibri" w:hAnsi="Arial" w:cs="Arial"/>
        </w:rPr>
        <w:t xml:space="preserve"> </w:t>
      </w:r>
      <w:r w:rsidRPr="00EB5878">
        <w:rPr>
          <w:rFonts w:ascii="Arial" w:eastAsia="Calibri" w:hAnsi="Arial" w:cs="Arial"/>
          <w:i/>
        </w:rPr>
        <w:t>exercício a que se refere a prestação de contas</w:t>
      </w:r>
    </w:p>
    <w:p w14:paraId="4E0C7D1F" w14:textId="77777777" w:rsidR="00EB5878" w:rsidRPr="00EB5878" w:rsidRDefault="00EB5878" w:rsidP="00EB5878">
      <w:pPr>
        <w:widowControl w:val="0"/>
        <w:spacing w:after="0" w:line="360" w:lineRule="auto"/>
        <w:rPr>
          <w:rFonts w:ascii="Arial" w:eastAsia="Calibri" w:hAnsi="Arial" w:cs="Arial"/>
          <w:b/>
          <w:color w:val="FF0000"/>
        </w:rPr>
      </w:pPr>
    </w:p>
    <w:p w14:paraId="5028F01E" w14:textId="77777777" w:rsidR="00EB5878" w:rsidRPr="00EB5878" w:rsidRDefault="00EB5878" w:rsidP="00EB5878">
      <w:pPr>
        <w:widowControl w:val="0"/>
        <w:spacing w:after="0" w:line="360" w:lineRule="auto"/>
        <w:rPr>
          <w:rFonts w:ascii="Arial" w:eastAsia="Calibri" w:hAnsi="Arial" w:cs="Arial"/>
          <w:b/>
        </w:rPr>
      </w:pPr>
      <w:r w:rsidRPr="00EB5878">
        <w:rPr>
          <w:rFonts w:ascii="Arial" w:eastAsia="Calibri" w:hAnsi="Arial" w:cs="Arial"/>
          <w:b/>
        </w:rPr>
        <w:t>1. RELATÓRIO</w:t>
      </w:r>
    </w:p>
    <w:p w14:paraId="4D909147" w14:textId="77777777" w:rsidR="00EB5878" w:rsidRPr="00EB5878" w:rsidRDefault="00EB5878" w:rsidP="00EB5878">
      <w:pPr>
        <w:widowControl w:val="0"/>
        <w:spacing w:after="0" w:line="360" w:lineRule="auto"/>
        <w:jc w:val="both"/>
        <w:rPr>
          <w:rFonts w:ascii="Arial" w:eastAsia="Calibri" w:hAnsi="Arial" w:cs="Arial"/>
          <w:color w:val="00B050"/>
        </w:rPr>
      </w:pPr>
    </w:p>
    <w:p w14:paraId="3E223D97" w14:textId="77777777" w:rsidR="00EB5878" w:rsidRPr="00EB5878" w:rsidRDefault="00EB5878" w:rsidP="00EB5878">
      <w:pPr>
        <w:widowControl w:val="0"/>
        <w:spacing w:after="0" w:line="360" w:lineRule="auto"/>
        <w:jc w:val="both"/>
        <w:rPr>
          <w:rFonts w:ascii="Arial" w:eastAsia="Calibri" w:hAnsi="Arial" w:cs="Arial"/>
          <w:b/>
        </w:rPr>
      </w:pPr>
      <w:r w:rsidRPr="00EB5878">
        <w:rPr>
          <w:rFonts w:ascii="Arial" w:eastAsia="Calibri" w:hAnsi="Arial" w:cs="Arial"/>
          <w:b/>
        </w:rPr>
        <w:t>1.1. Introdução</w:t>
      </w:r>
    </w:p>
    <w:p w14:paraId="42A199CE" w14:textId="77777777" w:rsidR="00EB5878" w:rsidRPr="00EB5878" w:rsidRDefault="00EB5878" w:rsidP="00EB5878">
      <w:pPr>
        <w:widowControl w:val="0"/>
        <w:spacing w:after="0" w:line="360" w:lineRule="auto"/>
        <w:jc w:val="both"/>
        <w:rPr>
          <w:rFonts w:ascii="Arial" w:eastAsia="Calibri" w:hAnsi="Arial" w:cs="Arial"/>
        </w:rPr>
      </w:pPr>
    </w:p>
    <w:p w14:paraId="4C964668" w14:textId="77777777" w:rsidR="00EB5878" w:rsidRPr="00EB5878" w:rsidRDefault="00EB5878" w:rsidP="00EB5878">
      <w:pPr>
        <w:widowControl w:val="0"/>
        <w:spacing w:after="0" w:line="360" w:lineRule="auto"/>
        <w:jc w:val="both"/>
        <w:rPr>
          <w:rFonts w:ascii="Arial" w:eastAsia="Calibri" w:hAnsi="Arial" w:cs="Arial"/>
        </w:rPr>
      </w:pPr>
      <w:r w:rsidRPr="00EB5878">
        <w:rPr>
          <w:rFonts w:ascii="Arial" w:eastAsia="Calibri" w:hAnsi="Arial" w:cs="Arial"/>
        </w:rPr>
        <w:t>Observando o que dispõe o artigo 74 da Constituição Federal de 1988, bem como o que dispõe o artigo 59 da Lei Complementar nº 101/2000 – LRF essa unidade de controle interno realizou, no exercício supramencionado, procedimentos de controle, objetivando</w:t>
      </w:r>
      <w:bookmarkStart w:id="65" w:name="art74iv"/>
      <w:bookmarkEnd w:id="65"/>
      <w:r w:rsidRPr="00EB5878">
        <w:rPr>
          <w:rFonts w:ascii="Arial" w:eastAsia="Calibri" w:hAnsi="Arial" w:cs="Arial"/>
        </w:rPr>
        <w:t xml:space="preserve"> apoiar o controle externo no exercício de sua missão institucional.</w:t>
      </w:r>
    </w:p>
    <w:p w14:paraId="3C17E411" w14:textId="77777777" w:rsidR="00EB5878" w:rsidRPr="00EB5878" w:rsidRDefault="00EB5878" w:rsidP="00EB5878">
      <w:pPr>
        <w:widowControl w:val="0"/>
        <w:spacing w:after="0" w:line="360" w:lineRule="auto"/>
        <w:jc w:val="both"/>
        <w:rPr>
          <w:rFonts w:ascii="Arial" w:eastAsia="Calibri" w:hAnsi="Arial" w:cs="Arial"/>
        </w:rPr>
      </w:pPr>
    </w:p>
    <w:p w14:paraId="7B95234F" w14:textId="77777777" w:rsidR="00EB5878" w:rsidRPr="00EB5878" w:rsidRDefault="00EB5878" w:rsidP="00EB5878">
      <w:pPr>
        <w:widowControl w:val="0"/>
        <w:spacing w:after="0" w:line="360" w:lineRule="auto"/>
        <w:jc w:val="both"/>
        <w:rPr>
          <w:rFonts w:ascii="Arial" w:eastAsia="Calibri" w:hAnsi="Arial" w:cs="Arial"/>
        </w:rPr>
      </w:pPr>
      <w:r w:rsidRPr="00EB5878">
        <w:rPr>
          <w:rFonts w:ascii="Arial" w:eastAsia="Calibri" w:hAnsi="Arial" w:cs="Arial"/>
        </w:rPr>
        <w:t>A seguir apresentamos os pontos de controle selecionados para análise, os procedimentos adotados, seguidos das constatações e proposições sugeridas, emitindo, ao final, nosso parecer conclusivo.</w:t>
      </w:r>
    </w:p>
    <w:p w14:paraId="23788450" w14:textId="77777777" w:rsidR="00EB5878" w:rsidRPr="00EB5878" w:rsidRDefault="00EB5878" w:rsidP="00EB5878">
      <w:pPr>
        <w:widowControl w:val="0"/>
        <w:spacing w:after="0" w:line="360" w:lineRule="auto"/>
        <w:jc w:val="both"/>
        <w:rPr>
          <w:rFonts w:ascii="Arial" w:eastAsia="Calibri" w:hAnsi="Arial" w:cs="Arial"/>
        </w:rPr>
      </w:pPr>
    </w:p>
    <w:p w14:paraId="6178B937" w14:textId="77777777" w:rsidR="00EB5878" w:rsidRPr="00EB5878" w:rsidRDefault="00EB5878" w:rsidP="00EB5878">
      <w:pPr>
        <w:widowControl w:val="0"/>
        <w:spacing w:after="0" w:line="360" w:lineRule="auto"/>
        <w:jc w:val="both"/>
        <w:rPr>
          <w:rFonts w:ascii="Arial" w:eastAsia="Calibri" w:hAnsi="Arial" w:cs="Arial"/>
          <w:i/>
        </w:rPr>
      </w:pPr>
      <w:r w:rsidRPr="00EB5878">
        <w:rPr>
          <w:rFonts w:ascii="Arial" w:eastAsia="Calibri" w:hAnsi="Arial" w:cs="Arial"/>
          <w:i/>
        </w:rPr>
        <w:t xml:space="preserve">[Transportar para a tabela que segue os pontos de controle e objetos constantes </w:t>
      </w:r>
      <w:r>
        <w:rPr>
          <w:rFonts w:ascii="Arial" w:eastAsia="Calibri" w:hAnsi="Arial" w:cs="Arial"/>
          <w:i/>
        </w:rPr>
        <w:t>da Tabela Referencial 1,</w:t>
      </w:r>
      <w:r w:rsidRPr="00EB5878">
        <w:rPr>
          <w:rFonts w:ascii="Arial" w:eastAsia="Calibri" w:hAnsi="Arial" w:cs="Arial"/>
          <w:i/>
          <w:color w:val="FF0000"/>
        </w:rPr>
        <w:t xml:space="preserve"> </w:t>
      </w:r>
      <w:r w:rsidRPr="00EB5878">
        <w:rPr>
          <w:rFonts w:ascii="Arial" w:eastAsia="Calibri" w:hAnsi="Arial" w:cs="Arial"/>
          <w:i/>
        </w:rPr>
        <w:t>selecionados para avaliação das contas de governo, bem como os demais itens auditados ou avaliados pelo Controle Interno]</w:t>
      </w:r>
    </w:p>
    <w:p w14:paraId="6F66701C" w14:textId="77777777" w:rsidR="00EB5878" w:rsidRDefault="00EB5878" w:rsidP="00EB5878">
      <w:pPr>
        <w:widowControl w:val="0"/>
        <w:spacing w:after="0" w:line="360" w:lineRule="auto"/>
        <w:jc w:val="both"/>
        <w:rPr>
          <w:rFonts w:ascii="Arial" w:eastAsia="Calibri" w:hAnsi="Arial" w:cs="Arial"/>
        </w:rPr>
      </w:pPr>
    </w:p>
    <w:p w14:paraId="47E7C90C" w14:textId="77777777" w:rsidR="00EB5878" w:rsidRPr="00EB5878" w:rsidRDefault="00EB5878" w:rsidP="00EB5878">
      <w:pPr>
        <w:widowControl w:val="0"/>
        <w:spacing w:after="0" w:line="360" w:lineRule="auto"/>
        <w:jc w:val="both"/>
        <w:rPr>
          <w:rFonts w:ascii="Arial" w:eastAsia="Calibri" w:hAnsi="Arial" w:cs="Arial"/>
        </w:rPr>
      </w:pP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7"/>
        <w:gridCol w:w="1221"/>
        <w:gridCol w:w="1426"/>
        <w:gridCol w:w="599"/>
        <w:gridCol w:w="2190"/>
        <w:gridCol w:w="1393"/>
        <w:gridCol w:w="1393"/>
      </w:tblGrid>
      <w:tr w:rsidR="00EB5878" w:rsidRPr="00EB5878" w14:paraId="41A96822" w14:textId="77777777" w:rsidTr="00EB5878">
        <w:tc>
          <w:tcPr>
            <w:tcW w:w="422" w:type="pct"/>
            <w:vAlign w:val="center"/>
          </w:tcPr>
          <w:p w14:paraId="2218BA56" w14:textId="77777777" w:rsidR="00EB5878" w:rsidRPr="00EB5878" w:rsidRDefault="00EB5878" w:rsidP="00EB5878">
            <w:pPr>
              <w:widowControl w:val="0"/>
              <w:autoSpaceDE w:val="0"/>
              <w:autoSpaceDN w:val="0"/>
              <w:adjustRightInd w:val="0"/>
              <w:spacing w:after="0" w:line="240" w:lineRule="auto"/>
              <w:jc w:val="center"/>
              <w:rPr>
                <w:rFonts w:ascii="Arial" w:eastAsia="Calibri" w:hAnsi="Arial" w:cs="Arial"/>
                <w:b/>
                <w:bCs/>
                <w:sz w:val="16"/>
                <w:szCs w:val="16"/>
                <w:lang w:val="en-US"/>
              </w:rPr>
            </w:pPr>
            <w:r w:rsidRPr="00EB5878">
              <w:rPr>
                <w:rFonts w:ascii="Arial" w:eastAsia="Calibri" w:hAnsi="Arial" w:cs="Arial"/>
                <w:b/>
                <w:bCs/>
                <w:sz w:val="16"/>
                <w:szCs w:val="16"/>
                <w:lang w:val="en-US"/>
              </w:rPr>
              <w:t>Código</w:t>
            </w:r>
          </w:p>
        </w:tc>
        <w:tc>
          <w:tcPr>
            <w:tcW w:w="674" w:type="pct"/>
            <w:shd w:val="clear" w:color="auto" w:fill="auto"/>
            <w:vAlign w:val="center"/>
          </w:tcPr>
          <w:p w14:paraId="29B13B14" w14:textId="77777777" w:rsidR="00EB5878" w:rsidRPr="00EB5878" w:rsidRDefault="00EB5878" w:rsidP="00EB5878">
            <w:pPr>
              <w:widowControl w:val="0"/>
              <w:autoSpaceDE w:val="0"/>
              <w:autoSpaceDN w:val="0"/>
              <w:adjustRightInd w:val="0"/>
              <w:spacing w:after="0" w:line="240" w:lineRule="auto"/>
              <w:jc w:val="center"/>
              <w:rPr>
                <w:rFonts w:ascii="Arial" w:eastAsia="Calibri" w:hAnsi="Arial" w:cs="Arial"/>
                <w:b/>
                <w:bCs/>
                <w:sz w:val="16"/>
                <w:szCs w:val="16"/>
                <w:lang w:val="en-US"/>
              </w:rPr>
            </w:pPr>
            <w:r w:rsidRPr="00EB5878">
              <w:rPr>
                <w:rFonts w:ascii="Arial" w:eastAsia="Calibri" w:hAnsi="Arial" w:cs="Arial"/>
                <w:b/>
                <w:bCs/>
                <w:sz w:val="16"/>
                <w:szCs w:val="16"/>
                <w:lang w:val="en-US"/>
              </w:rPr>
              <w:t>Objeto/Ponto de controle</w:t>
            </w:r>
          </w:p>
        </w:tc>
        <w:tc>
          <w:tcPr>
            <w:tcW w:w="786" w:type="pct"/>
            <w:vAlign w:val="center"/>
          </w:tcPr>
          <w:p w14:paraId="0F342CD6" w14:textId="77777777" w:rsidR="00EB5878" w:rsidRPr="00EB5878" w:rsidRDefault="00EB5878" w:rsidP="00EB5878">
            <w:pPr>
              <w:widowControl w:val="0"/>
              <w:autoSpaceDE w:val="0"/>
              <w:autoSpaceDN w:val="0"/>
              <w:adjustRightInd w:val="0"/>
              <w:spacing w:after="0" w:line="240" w:lineRule="auto"/>
              <w:jc w:val="center"/>
              <w:rPr>
                <w:rFonts w:ascii="Arial" w:eastAsia="Calibri" w:hAnsi="Arial" w:cs="Arial"/>
                <w:b/>
                <w:bCs/>
                <w:sz w:val="16"/>
                <w:szCs w:val="16"/>
                <w:lang w:val="en-US"/>
              </w:rPr>
            </w:pPr>
            <w:r w:rsidRPr="00EB5878">
              <w:rPr>
                <w:rFonts w:ascii="Arial" w:eastAsia="Calibri" w:hAnsi="Arial" w:cs="Arial"/>
                <w:b/>
                <w:bCs/>
                <w:sz w:val="16"/>
                <w:szCs w:val="16"/>
                <w:lang w:val="en-US"/>
              </w:rPr>
              <w:t>Processos Administrativos analisados</w:t>
            </w:r>
            <w:r w:rsidRPr="00EB5878">
              <w:rPr>
                <w:rFonts w:ascii="Arial" w:eastAsia="Calibri" w:hAnsi="Arial" w:cs="Arial"/>
                <w:b/>
                <w:bCs/>
                <w:sz w:val="16"/>
                <w:szCs w:val="16"/>
                <w:vertAlign w:val="superscript"/>
                <w:lang w:val="en-US"/>
              </w:rPr>
              <w:footnoteReference w:id="2"/>
            </w:r>
          </w:p>
        </w:tc>
        <w:tc>
          <w:tcPr>
            <w:tcW w:w="330" w:type="pct"/>
            <w:shd w:val="clear" w:color="auto" w:fill="auto"/>
            <w:vAlign w:val="center"/>
          </w:tcPr>
          <w:p w14:paraId="5FA8B48E" w14:textId="77777777" w:rsidR="00EB5878" w:rsidRPr="00EB5878" w:rsidRDefault="00EB5878" w:rsidP="00EB5878">
            <w:pPr>
              <w:widowControl w:val="0"/>
              <w:autoSpaceDE w:val="0"/>
              <w:autoSpaceDN w:val="0"/>
              <w:adjustRightInd w:val="0"/>
              <w:spacing w:after="0" w:line="240" w:lineRule="auto"/>
              <w:jc w:val="center"/>
              <w:rPr>
                <w:rFonts w:ascii="Arial" w:eastAsia="Calibri" w:hAnsi="Arial" w:cs="Arial"/>
                <w:b/>
                <w:bCs/>
                <w:sz w:val="16"/>
                <w:szCs w:val="16"/>
                <w:lang w:val="en-US"/>
              </w:rPr>
            </w:pPr>
            <w:r w:rsidRPr="00EB5878">
              <w:rPr>
                <w:rFonts w:ascii="Arial" w:eastAsia="Calibri" w:hAnsi="Arial" w:cs="Arial"/>
                <w:b/>
                <w:bCs/>
                <w:sz w:val="16"/>
                <w:szCs w:val="16"/>
                <w:lang w:val="en-US"/>
              </w:rPr>
              <w:t>Base legal</w:t>
            </w:r>
          </w:p>
        </w:tc>
        <w:tc>
          <w:tcPr>
            <w:tcW w:w="1225" w:type="pct"/>
            <w:shd w:val="clear" w:color="auto" w:fill="auto"/>
            <w:vAlign w:val="center"/>
          </w:tcPr>
          <w:p w14:paraId="662388DF" w14:textId="77777777" w:rsidR="00EB5878" w:rsidRPr="00EB5878" w:rsidRDefault="00EB5878" w:rsidP="00EB5878">
            <w:pPr>
              <w:widowControl w:val="0"/>
              <w:autoSpaceDE w:val="0"/>
              <w:autoSpaceDN w:val="0"/>
              <w:adjustRightInd w:val="0"/>
              <w:spacing w:after="0" w:line="240" w:lineRule="auto"/>
              <w:jc w:val="center"/>
              <w:rPr>
                <w:rFonts w:ascii="Arial" w:eastAsia="Calibri" w:hAnsi="Arial" w:cs="Arial"/>
                <w:b/>
                <w:bCs/>
                <w:sz w:val="16"/>
                <w:szCs w:val="16"/>
                <w:lang w:val="en-US"/>
              </w:rPr>
            </w:pPr>
            <w:r w:rsidRPr="00EB5878">
              <w:rPr>
                <w:rFonts w:ascii="Arial" w:eastAsia="Calibri" w:hAnsi="Arial" w:cs="Arial"/>
                <w:b/>
                <w:bCs/>
                <w:sz w:val="16"/>
                <w:szCs w:val="16"/>
                <w:lang w:val="en-US"/>
              </w:rPr>
              <w:t>Procedimento</w:t>
            </w:r>
          </w:p>
        </w:tc>
        <w:tc>
          <w:tcPr>
            <w:tcW w:w="781" w:type="pct"/>
            <w:vAlign w:val="center"/>
          </w:tcPr>
          <w:p w14:paraId="7C46B251" w14:textId="77777777" w:rsidR="00EB5878" w:rsidRPr="00EB5878" w:rsidRDefault="00EB5878" w:rsidP="00EB5878">
            <w:pPr>
              <w:widowControl w:val="0"/>
              <w:autoSpaceDE w:val="0"/>
              <w:autoSpaceDN w:val="0"/>
              <w:adjustRightInd w:val="0"/>
              <w:spacing w:after="0" w:line="240" w:lineRule="auto"/>
              <w:jc w:val="center"/>
              <w:rPr>
                <w:rFonts w:ascii="Arial" w:eastAsia="Calibri" w:hAnsi="Arial" w:cs="Arial"/>
                <w:b/>
                <w:bCs/>
                <w:sz w:val="16"/>
                <w:szCs w:val="16"/>
              </w:rPr>
            </w:pPr>
            <w:r w:rsidRPr="00EB5878">
              <w:rPr>
                <w:rFonts w:ascii="Arial" w:eastAsia="Calibri" w:hAnsi="Arial" w:cs="Arial"/>
                <w:b/>
                <w:bCs/>
                <w:sz w:val="16"/>
                <w:szCs w:val="16"/>
              </w:rPr>
              <w:t>Universo do Ponto de Controle</w:t>
            </w:r>
            <w:r w:rsidRPr="00EB5878">
              <w:rPr>
                <w:rFonts w:ascii="Arial" w:eastAsia="Calibri" w:hAnsi="Arial" w:cs="Arial"/>
                <w:b/>
                <w:bCs/>
                <w:sz w:val="16"/>
                <w:szCs w:val="16"/>
                <w:vertAlign w:val="superscript"/>
              </w:rPr>
              <w:footnoteReference w:id="3"/>
            </w:r>
          </w:p>
        </w:tc>
        <w:tc>
          <w:tcPr>
            <w:tcW w:w="781" w:type="pct"/>
            <w:vAlign w:val="center"/>
          </w:tcPr>
          <w:p w14:paraId="3F33CF6D" w14:textId="77777777" w:rsidR="00EB5878" w:rsidRPr="00EB5878" w:rsidRDefault="00EB5878" w:rsidP="00EB5878">
            <w:pPr>
              <w:widowControl w:val="0"/>
              <w:autoSpaceDE w:val="0"/>
              <w:autoSpaceDN w:val="0"/>
              <w:adjustRightInd w:val="0"/>
              <w:spacing w:after="0" w:line="240" w:lineRule="auto"/>
              <w:jc w:val="center"/>
              <w:rPr>
                <w:rFonts w:ascii="Arial" w:eastAsia="Calibri" w:hAnsi="Arial" w:cs="Arial"/>
                <w:b/>
                <w:bCs/>
                <w:sz w:val="16"/>
                <w:szCs w:val="16"/>
              </w:rPr>
            </w:pPr>
            <w:r w:rsidRPr="00EB5878">
              <w:rPr>
                <w:rFonts w:ascii="Arial" w:eastAsia="Calibri" w:hAnsi="Arial" w:cs="Arial"/>
                <w:b/>
                <w:bCs/>
                <w:sz w:val="16"/>
                <w:szCs w:val="16"/>
              </w:rPr>
              <w:t>Amostra Selecionada</w:t>
            </w:r>
            <w:r w:rsidRPr="00EB5878">
              <w:rPr>
                <w:rFonts w:ascii="Arial" w:eastAsia="Calibri" w:hAnsi="Arial" w:cs="Arial"/>
                <w:b/>
                <w:bCs/>
                <w:sz w:val="16"/>
                <w:szCs w:val="16"/>
                <w:vertAlign w:val="superscript"/>
              </w:rPr>
              <w:footnoteReference w:id="4"/>
            </w:r>
          </w:p>
        </w:tc>
      </w:tr>
      <w:tr w:rsidR="00EB5878" w:rsidRPr="00EB5878" w14:paraId="29246580" w14:textId="77777777" w:rsidTr="00EB5878">
        <w:tc>
          <w:tcPr>
            <w:tcW w:w="422" w:type="pct"/>
            <w:vAlign w:val="center"/>
          </w:tcPr>
          <w:p w14:paraId="1B0CAA88" w14:textId="77777777" w:rsidR="00EB5878" w:rsidRPr="00EB5878" w:rsidRDefault="00EB5878" w:rsidP="00EB5878">
            <w:pPr>
              <w:widowControl w:val="0"/>
              <w:spacing w:after="0" w:line="240" w:lineRule="auto"/>
              <w:jc w:val="both"/>
              <w:rPr>
                <w:rFonts w:ascii="Arial" w:eastAsia="Calibri" w:hAnsi="Arial" w:cs="Arial"/>
                <w:bCs/>
                <w:sz w:val="16"/>
                <w:szCs w:val="16"/>
              </w:rPr>
            </w:pPr>
          </w:p>
        </w:tc>
        <w:tc>
          <w:tcPr>
            <w:tcW w:w="674" w:type="pct"/>
            <w:shd w:val="clear" w:color="auto" w:fill="auto"/>
            <w:vAlign w:val="center"/>
          </w:tcPr>
          <w:p w14:paraId="4FF6F680" w14:textId="77777777" w:rsidR="00EB5878" w:rsidRPr="00EB5878" w:rsidRDefault="00EB5878" w:rsidP="00EB5878">
            <w:pPr>
              <w:widowControl w:val="0"/>
              <w:spacing w:after="0" w:line="240" w:lineRule="auto"/>
              <w:jc w:val="both"/>
              <w:rPr>
                <w:rFonts w:ascii="Arial" w:eastAsia="Calibri" w:hAnsi="Arial" w:cs="Arial"/>
                <w:bCs/>
                <w:sz w:val="16"/>
                <w:szCs w:val="16"/>
              </w:rPr>
            </w:pPr>
          </w:p>
        </w:tc>
        <w:tc>
          <w:tcPr>
            <w:tcW w:w="786" w:type="pct"/>
            <w:vAlign w:val="center"/>
          </w:tcPr>
          <w:p w14:paraId="505B7732" w14:textId="77777777" w:rsidR="00EB5878" w:rsidRPr="00EB5878" w:rsidRDefault="00EB5878" w:rsidP="00EB5878">
            <w:pPr>
              <w:widowControl w:val="0"/>
              <w:autoSpaceDE w:val="0"/>
              <w:autoSpaceDN w:val="0"/>
              <w:adjustRightInd w:val="0"/>
              <w:spacing w:after="0" w:line="240" w:lineRule="auto"/>
              <w:jc w:val="both"/>
              <w:rPr>
                <w:rFonts w:ascii="Arial" w:eastAsia="Calibri" w:hAnsi="Arial" w:cs="Arial"/>
                <w:bCs/>
                <w:sz w:val="16"/>
                <w:szCs w:val="16"/>
              </w:rPr>
            </w:pPr>
          </w:p>
        </w:tc>
        <w:tc>
          <w:tcPr>
            <w:tcW w:w="330" w:type="pct"/>
            <w:shd w:val="clear" w:color="auto" w:fill="auto"/>
            <w:vAlign w:val="center"/>
          </w:tcPr>
          <w:p w14:paraId="5FF8AC2D" w14:textId="77777777" w:rsidR="00EB5878" w:rsidRPr="00EB5878" w:rsidRDefault="00EB5878" w:rsidP="00EB5878">
            <w:pPr>
              <w:widowControl w:val="0"/>
              <w:autoSpaceDE w:val="0"/>
              <w:autoSpaceDN w:val="0"/>
              <w:adjustRightInd w:val="0"/>
              <w:spacing w:after="0" w:line="240" w:lineRule="auto"/>
              <w:jc w:val="both"/>
              <w:rPr>
                <w:rFonts w:ascii="Arial" w:eastAsia="Calibri" w:hAnsi="Arial" w:cs="Arial"/>
                <w:bCs/>
                <w:sz w:val="16"/>
                <w:szCs w:val="16"/>
              </w:rPr>
            </w:pPr>
          </w:p>
        </w:tc>
        <w:tc>
          <w:tcPr>
            <w:tcW w:w="1225" w:type="pct"/>
            <w:shd w:val="clear" w:color="auto" w:fill="auto"/>
            <w:vAlign w:val="center"/>
          </w:tcPr>
          <w:p w14:paraId="61F23394" w14:textId="77777777" w:rsidR="00EB5878" w:rsidRPr="00EB5878" w:rsidRDefault="00EB5878" w:rsidP="00EB5878">
            <w:pPr>
              <w:widowControl w:val="0"/>
              <w:autoSpaceDE w:val="0"/>
              <w:autoSpaceDN w:val="0"/>
              <w:adjustRightInd w:val="0"/>
              <w:spacing w:after="0" w:line="240" w:lineRule="auto"/>
              <w:jc w:val="both"/>
              <w:rPr>
                <w:rFonts w:ascii="Arial" w:eastAsia="Calibri" w:hAnsi="Arial" w:cs="Arial"/>
                <w:bCs/>
                <w:sz w:val="16"/>
                <w:szCs w:val="16"/>
              </w:rPr>
            </w:pPr>
          </w:p>
        </w:tc>
        <w:tc>
          <w:tcPr>
            <w:tcW w:w="781" w:type="pct"/>
            <w:vAlign w:val="center"/>
          </w:tcPr>
          <w:p w14:paraId="23B1B0ED" w14:textId="77777777" w:rsidR="00EB5878" w:rsidRPr="00EB5878" w:rsidRDefault="00EB5878" w:rsidP="00EB5878">
            <w:pPr>
              <w:widowControl w:val="0"/>
              <w:autoSpaceDE w:val="0"/>
              <w:autoSpaceDN w:val="0"/>
              <w:adjustRightInd w:val="0"/>
              <w:spacing w:after="0" w:line="240" w:lineRule="auto"/>
              <w:jc w:val="both"/>
              <w:rPr>
                <w:rFonts w:ascii="Arial" w:eastAsia="Calibri" w:hAnsi="Arial" w:cs="Arial"/>
                <w:bCs/>
                <w:sz w:val="16"/>
                <w:szCs w:val="16"/>
              </w:rPr>
            </w:pPr>
          </w:p>
        </w:tc>
        <w:tc>
          <w:tcPr>
            <w:tcW w:w="781" w:type="pct"/>
            <w:vAlign w:val="center"/>
          </w:tcPr>
          <w:p w14:paraId="72DD26BF" w14:textId="77777777" w:rsidR="00EB5878" w:rsidRPr="00EB5878" w:rsidRDefault="00EB5878" w:rsidP="00EB5878">
            <w:pPr>
              <w:widowControl w:val="0"/>
              <w:autoSpaceDE w:val="0"/>
              <w:autoSpaceDN w:val="0"/>
              <w:adjustRightInd w:val="0"/>
              <w:spacing w:after="0" w:line="240" w:lineRule="auto"/>
              <w:jc w:val="both"/>
              <w:rPr>
                <w:rFonts w:ascii="Arial" w:eastAsia="Calibri" w:hAnsi="Arial" w:cs="Arial"/>
                <w:bCs/>
                <w:sz w:val="16"/>
                <w:szCs w:val="16"/>
              </w:rPr>
            </w:pPr>
          </w:p>
        </w:tc>
      </w:tr>
      <w:tr w:rsidR="00EB5878" w:rsidRPr="00EB5878" w14:paraId="0195590A" w14:textId="77777777" w:rsidTr="00EB5878">
        <w:tc>
          <w:tcPr>
            <w:tcW w:w="422" w:type="pct"/>
            <w:vAlign w:val="center"/>
          </w:tcPr>
          <w:p w14:paraId="74569991" w14:textId="77777777" w:rsidR="00EB5878" w:rsidRPr="00EB5878" w:rsidRDefault="00EB5878" w:rsidP="00EB5878">
            <w:pPr>
              <w:widowControl w:val="0"/>
              <w:spacing w:after="0" w:line="240" w:lineRule="auto"/>
              <w:jc w:val="both"/>
              <w:rPr>
                <w:rFonts w:ascii="Arial" w:eastAsia="Calibri" w:hAnsi="Arial" w:cs="Arial"/>
                <w:bCs/>
                <w:sz w:val="16"/>
                <w:szCs w:val="16"/>
              </w:rPr>
            </w:pPr>
          </w:p>
        </w:tc>
        <w:tc>
          <w:tcPr>
            <w:tcW w:w="674" w:type="pct"/>
            <w:shd w:val="clear" w:color="auto" w:fill="auto"/>
            <w:vAlign w:val="center"/>
          </w:tcPr>
          <w:p w14:paraId="394E471D" w14:textId="77777777" w:rsidR="00EB5878" w:rsidRPr="00EB5878" w:rsidRDefault="00EB5878" w:rsidP="00EB5878">
            <w:pPr>
              <w:widowControl w:val="0"/>
              <w:spacing w:after="0" w:line="240" w:lineRule="auto"/>
              <w:jc w:val="both"/>
              <w:rPr>
                <w:rFonts w:ascii="Arial" w:eastAsia="Calibri" w:hAnsi="Arial" w:cs="Arial"/>
                <w:bCs/>
                <w:sz w:val="16"/>
                <w:szCs w:val="16"/>
              </w:rPr>
            </w:pPr>
          </w:p>
        </w:tc>
        <w:tc>
          <w:tcPr>
            <w:tcW w:w="786" w:type="pct"/>
            <w:vAlign w:val="center"/>
          </w:tcPr>
          <w:p w14:paraId="0B0AEBB2" w14:textId="77777777" w:rsidR="00EB5878" w:rsidRPr="00EB5878" w:rsidRDefault="00EB5878" w:rsidP="00EB5878">
            <w:pPr>
              <w:widowControl w:val="0"/>
              <w:autoSpaceDE w:val="0"/>
              <w:autoSpaceDN w:val="0"/>
              <w:adjustRightInd w:val="0"/>
              <w:spacing w:after="0" w:line="240" w:lineRule="auto"/>
              <w:jc w:val="both"/>
              <w:rPr>
                <w:rFonts w:ascii="Arial" w:eastAsia="Calibri" w:hAnsi="Arial" w:cs="Arial"/>
                <w:bCs/>
                <w:sz w:val="16"/>
                <w:szCs w:val="16"/>
              </w:rPr>
            </w:pPr>
          </w:p>
        </w:tc>
        <w:tc>
          <w:tcPr>
            <w:tcW w:w="330" w:type="pct"/>
            <w:shd w:val="clear" w:color="auto" w:fill="auto"/>
            <w:vAlign w:val="center"/>
          </w:tcPr>
          <w:p w14:paraId="3D00BC11" w14:textId="77777777" w:rsidR="00EB5878" w:rsidRPr="00EB5878" w:rsidRDefault="00EB5878" w:rsidP="00EB5878">
            <w:pPr>
              <w:widowControl w:val="0"/>
              <w:autoSpaceDE w:val="0"/>
              <w:autoSpaceDN w:val="0"/>
              <w:adjustRightInd w:val="0"/>
              <w:spacing w:after="0" w:line="240" w:lineRule="auto"/>
              <w:jc w:val="both"/>
              <w:rPr>
                <w:rFonts w:ascii="Arial" w:eastAsia="Calibri" w:hAnsi="Arial" w:cs="Arial"/>
                <w:bCs/>
                <w:sz w:val="16"/>
                <w:szCs w:val="16"/>
              </w:rPr>
            </w:pPr>
          </w:p>
        </w:tc>
        <w:tc>
          <w:tcPr>
            <w:tcW w:w="1225" w:type="pct"/>
            <w:shd w:val="clear" w:color="auto" w:fill="auto"/>
            <w:vAlign w:val="center"/>
          </w:tcPr>
          <w:p w14:paraId="603BBF0D" w14:textId="77777777" w:rsidR="00EB5878" w:rsidRPr="00EB5878" w:rsidRDefault="00EB5878" w:rsidP="00EB5878">
            <w:pPr>
              <w:widowControl w:val="0"/>
              <w:autoSpaceDE w:val="0"/>
              <w:autoSpaceDN w:val="0"/>
              <w:adjustRightInd w:val="0"/>
              <w:spacing w:after="0" w:line="240" w:lineRule="auto"/>
              <w:jc w:val="both"/>
              <w:rPr>
                <w:rFonts w:ascii="Arial" w:eastAsia="Calibri" w:hAnsi="Arial" w:cs="Arial"/>
                <w:bCs/>
                <w:sz w:val="16"/>
                <w:szCs w:val="16"/>
              </w:rPr>
            </w:pPr>
          </w:p>
        </w:tc>
        <w:tc>
          <w:tcPr>
            <w:tcW w:w="781" w:type="pct"/>
            <w:vAlign w:val="center"/>
          </w:tcPr>
          <w:p w14:paraId="6F1D3E9F" w14:textId="77777777" w:rsidR="00EB5878" w:rsidRPr="00EB5878" w:rsidRDefault="00EB5878" w:rsidP="00EB5878">
            <w:pPr>
              <w:widowControl w:val="0"/>
              <w:autoSpaceDE w:val="0"/>
              <w:autoSpaceDN w:val="0"/>
              <w:adjustRightInd w:val="0"/>
              <w:spacing w:after="0" w:line="240" w:lineRule="auto"/>
              <w:jc w:val="both"/>
              <w:rPr>
                <w:rFonts w:ascii="Arial" w:eastAsia="Calibri" w:hAnsi="Arial" w:cs="Arial"/>
                <w:bCs/>
                <w:sz w:val="16"/>
                <w:szCs w:val="16"/>
              </w:rPr>
            </w:pPr>
          </w:p>
        </w:tc>
        <w:tc>
          <w:tcPr>
            <w:tcW w:w="781" w:type="pct"/>
            <w:vAlign w:val="center"/>
          </w:tcPr>
          <w:p w14:paraId="4FF83EFD" w14:textId="77777777" w:rsidR="00EB5878" w:rsidRPr="00EB5878" w:rsidRDefault="00EB5878" w:rsidP="00EB5878">
            <w:pPr>
              <w:widowControl w:val="0"/>
              <w:autoSpaceDE w:val="0"/>
              <w:autoSpaceDN w:val="0"/>
              <w:adjustRightInd w:val="0"/>
              <w:spacing w:after="0" w:line="240" w:lineRule="auto"/>
              <w:jc w:val="both"/>
              <w:rPr>
                <w:rFonts w:ascii="Arial" w:eastAsia="Calibri" w:hAnsi="Arial" w:cs="Arial"/>
                <w:bCs/>
                <w:sz w:val="16"/>
                <w:szCs w:val="16"/>
              </w:rPr>
            </w:pPr>
          </w:p>
        </w:tc>
      </w:tr>
    </w:tbl>
    <w:p w14:paraId="5985820A" w14:textId="77777777" w:rsidR="00EB5878" w:rsidRPr="00EB5878" w:rsidRDefault="00EB5878" w:rsidP="00EB5878">
      <w:pPr>
        <w:widowControl w:val="0"/>
        <w:spacing w:after="0" w:line="360" w:lineRule="auto"/>
        <w:jc w:val="both"/>
        <w:rPr>
          <w:rFonts w:ascii="Arial" w:eastAsia="Calibri" w:hAnsi="Arial" w:cs="Arial"/>
          <w:color w:val="00B050"/>
        </w:rPr>
      </w:pPr>
    </w:p>
    <w:p w14:paraId="71DA9651" w14:textId="77777777" w:rsidR="00EB5878" w:rsidRPr="00EB5878" w:rsidRDefault="00EB5878" w:rsidP="00EB5878">
      <w:pPr>
        <w:widowControl w:val="0"/>
        <w:spacing w:after="0" w:line="360" w:lineRule="auto"/>
        <w:jc w:val="both"/>
        <w:rPr>
          <w:rFonts w:ascii="Arial" w:eastAsia="Calibri" w:hAnsi="Arial" w:cs="Arial"/>
          <w:b/>
        </w:rPr>
      </w:pPr>
      <w:r w:rsidRPr="00EB5878">
        <w:rPr>
          <w:rFonts w:ascii="Arial" w:eastAsia="Calibri" w:hAnsi="Arial" w:cs="Arial"/>
          <w:b/>
        </w:rPr>
        <w:t>1.2. Constatações e proposições</w:t>
      </w:r>
    </w:p>
    <w:p w14:paraId="69C5A12D" w14:textId="77777777" w:rsidR="00EB5878" w:rsidRPr="00EB5878" w:rsidRDefault="00EB5878" w:rsidP="00EB5878">
      <w:pPr>
        <w:widowControl w:val="0"/>
        <w:autoSpaceDE w:val="0"/>
        <w:autoSpaceDN w:val="0"/>
        <w:adjustRightInd w:val="0"/>
        <w:spacing w:after="0" w:line="240" w:lineRule="auto"/>
        <w:jc w:val="both"/>
        <w:rPr>
          <w:rFonts w:ascii="Arial" w:eastAsia="Calibri" w:hAnsi="Arial" w:cs="Arial"/>
          <w:bCs/>
        </w:rPr>
      </w:pPr>
    </w:p>
    <w:p w14:paraId="5DC53002" w14:textId="77777777" w:rsidR="00EB5878" w:rsidRPr="00EB5878" w:rsidRDefault="00EB5878" w:rsidP="00EB5878">
      <w:pPr>
        <w:widowControl w:val="0"/>
        <w:spacing w:after="0" w:line="360" w:lineRule="auto"/>
        <w:jc w:val="both"/>
        <w:rPr>
          <w:rFonts w:ascii="Arial" w:eastAsia="Calibri" w:hAnsi="Arial" w:cs="Arial"/>
          <w:i/>
        </w:rPr>
      </w:pPr>
      <w:r w:rsidRPr="00EB5878">
        <w:rPr>
          <w:rFonts w:ascii="Arial" w:eastAsia="Calibri" w:hAnsi="Arial" w:cs="Arial"/>
          <w:i/>
        </w:rPr>
        <w:t xml:space="preserve">[Relatar neste tópico as constatações acerca dos itens selecionados para análise, conforme tabela do tópico 1.1, indicando os achados e as proposições. O relato poderá ser realizado no formato da tabela abaixo, utilizando como referência o código indicado </w:t>
      </w:r>
      <w:r>
        <w:rPr>
          <w:rFonts w:ascii="Arial" w:eastAsia="Calibri" w:hAnsi="Arial" w:cs="Arial"/>
          <w:i/>
        </w:rPr>
        <w:t>na Tabela Referencial 1</w:t>
      </w:r>
      <w:r w:rsidRPr="00EB5878">
        <w:rPr>
          <w:rFonts w:ascii="Arial" w:eastAsia="Calibri" w:hAnsi="Arial" w:cs="Arial"/>
          <w:i/>
        </w:rPr>
        <w:t>]</w:t>
      </w:r>
    </w:p>
    <w:p w14:paraId="70CFB5CF" w14:textId="77777777" w:rsidR="00EB5878" w:rsidRPr="00EB5878" w:rsidRDefault="00EB5878" w:rsidP="00EB5878">
      <w:pPr>
        <w:widowControl w:val="0"/>
        <w:spacing w:after="0" w:line="360" w:lineRule="auto"/>
        <w:jc w:val="both"/>
        <w:rPr>
          <w:rFonts w:ascii="Arial" w:eastAsia="Calibri" w:hAnsi="Arial" w:cs="Arial"/>
          <w:i/>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6"/>
        <w:gridCol w:w="2972"/>
        <w:gridCol w:w="2835"/>
        <w:gridCol w:w="2409"/>
      </w:tblGrid>
      <w:tr w:rsidR="00EB5878" w:rsidRPr="00EB5878" w14:paraId="47D36B45" w14:textId="77777777" w:rsidTr="00EB5878">
        <w:tc>
          <w:tcPr>
            <w:tcW w:w="856" w:type="dxa"/>
            <w:vAlign w:val="center"/>
          </w:tcPr>
          <w:p w14:paraId="6B7EB46B" w14:textId="77777777" w:rsidR="00EB5878" w:rsidRPr="00EB5878" w:rsidRDefault="00EB5878" w:rsidP="00EB5878">
            <w:pPr>
              <w:widowControl w:val="0"/>
              <w:autoSpaceDE w:val="0"/>
              <w:autoSpaceDN w:val="0"/>
              <w:adjustRightInd w:val="0"/>
              <w:spacing w:after="0" w:line="240" w:lineRule="auto"/>
              <w:jc w:val="center"/>
              <w:rPr>
                <w:rFonts w:ascii="Arial" w:eastAsia="Calibri" w:hAnsi="Arial" w:cs="Arial"/>
                <w:b/>
                <w:bCs/>
                <w:sz w:val="16"/>
                <w:szCs w:val="16"/>
                <w:lang w:val="en-US"/>
              </w:rPr>
            </w:pPr>
            <w:r w:rsidRPr="00EB5878">
              <w:rPr>
                <w:rFonts w:ascii="Arial" w:eastAsia="Calibri" w:hAnsi="Arial" w:cs="Arial"/>
                <w:b/>
                <w:bCs/>
                <w:sz w:val="16"/>
                <w:szCs w:val="16"/>
                <w:lang w:val="en-US"/>
              </w:rPr>
              <w:t>Código</w:t>
            </w:r>
          </w:p>
        </w:tc>
        <w:tc>
          <w:tcPr>
            <w:tcW w:w="2972" w:type="dxa"/>
            <w:shd w:val="clear" w:color="auto" w:fill="auto"/>
            <w:vAlign w:val="center"/>
          </w:tcPr>
          <w:p w14:paraId="76DC4E33" w14:textId="77777777" w:rsidR="00EB5878" w:rsidRPr="00EB5878" w:rsidRDefault="00EB5878" w:rsidP="00EB5878">
            <w:pPr>
              <w:widowControl w:val="0"/>
              <w:autoSpaceDE w:val="0"/>
              <w:autoSpaceDN w:val="0"/>
              <w:adjustRightInd w:val="0"/>
              <w:spacing w:after="0" w:line="240" w:lineRule="auto"/>
              <w:jc w:val="center"/>
              <w:rPr>
                <w:rFonts w:ascii="Arial" w:eastAsia="Calibri" w:hAnsi="Arial" w:cs="Arial"/>
                <w:b/>
                <w:bCs/>
                <w:sz w:val="16"/>
                <w:szCs w:val="16"/>
                <w:lang w:val="en-US"/>
              </w:rPr>
            </w:pPr>
            <w:r w:rsidRPr="00EB5878">
              <w:rPr>
                <w:rFonts w:ascii="Arial" w:eastAsia="Calibri" w:hAnsi="Arial" w:cs="Arial"/>
                <w:b/>
                <w:bCs/>
                <w:sz w:val="16"/>
                <w:szCs w:val="16"/>
                <w:lang w:val="en-US"/>
              </w:rPr>
              <w:t>Achados</w:t>
            </w:r>
          </w:p>
        </w:tc>
        <w:tc>
          <w:tcPr>
            <w:tcW w:w="2835" w:type="dxa"/>
            <w:vAlign w:val="center"/>
          </w:tcPr>
          <w:p w14:paraId="7CB0F8EE" w14:textId="77777777" w:rsidR="00EB5878" w:rsidRPr="00EB5878" w:rsidRDefault="00EB5878" w:rsidP="00EB5878">
            <w:pPr>
              <w:widowControl w:val="0"/>
              <w:autoSpaceDE w:val="0"/>
              <w:autoSpaceDN w:val="0"/>
              <w:adjustRightInd w:val="0"/>
              <w:spacing w:after="0" w:line="240" w:lineRule="auto"/>
              <w:jc w:val="center"/>
              <w:rPr>
                <w:rFonts w:ascii="Arial" w:eastAsia="Calibri" w:hAnsi="Arial" w:cs="Arial"/>
                <w:b/>
                <w:bCs/>
                <w:sz w:val="16"/>
                <w:szCs w:val="16"/>
                <w:lang w:val="en-US"/>
              </w:rPr>
            </w:pPr>
            <w:r w:rsidRPr="00EB5878">
              <w:rPr>
                <w:rFonts w:ascii="Arial" w:eastAsia="Calibri" w:hAnsi="Arial" w:cs="Arial"/>
                <w:b/>
                <w:bCs/>
                <w:sz w:val="16"/>
                <w:szCs w:val="16"/>
                <w:lang w:val="en-US"/>
              </w:rPr>
              <w:t>Proposições/Alertas</w:t>
            </w:r>
          </w:p>
        </w:tc>
        <w:tc>
          <w:tcPr>
            <w:tcW w:w="2409" w:type="dxa"/>
          </w:tcPr>
          <w:p w14:paraId="2C4AACC9" w14:textId="77777777" w:rsidR="00EB5878" w:rsidRPr="00EB5878" w:rsidRDefault="00EB5878" w:rsidP="00EB5878">
            <w:pPr>
              <w:widowControl w:val="0"/>
              <w:autoSpaceDE w:val="0"/>
              <w:autoSpaceDN w:val="0"/>
              <w:adjustRightInd w:val="0"/>
              <w:spacing w:after="0" w:line="240" w:lineRule="auto"/>
              <w:jc w:val="center"/>
              <w:rPr>
                <w:rFonts w:ascii="Arial" w:eastAsia="Calibri" w:hAnsi="Arial" w:cs="Arial"/>
                <w:b/>
                <w:bCs/>
                <w:sz w:val="16"/>
                <w:szCs w:val="16"/>
                <w:lang w:val="en-US"/>
              </w:rPr>
            </w:pPr>
            <w:r w:rsidRPr="00EB5878">
              <w:rPr>
                <w:rFonts w:ascii="Arial" w:eastAsia="Calibri" w:hAnsi="Arial" w:cs="Arial"/>
                <w:b/>
                <w:bCs/>
                <w:sz w:val="16"/>
                <w:szCs w:val="16"/>
                <w:lang w:val="en-US"/>
              </w:rPr>
              <w:t>Situação</w:t>
            </w:r>
          </w:p>
        </w:tc>
      </w:tr>
      <w:tr w:rsidR="00EB5878" w:rsidRPr="00EB5878" w14:paraId="3C5740BA" w14:textId="77777777" w:rsidTr="00EB5878">
        <w:trPr>
          <w:trHeight w:val="227"/>
        </w:trPr>
        <w:tc>
          <w:tcPr>
            <w:tcW w:w="856" w:type="dxa"/>
            <w:tcBorders>
              <w:top w:val="single" w:sz="4" w:space="0" w:color="auto"/>
              <w:left w:val="single" w:sz="4" w:space="0" w:color="auto"/>
              <w:bottom w:val="single" w:sz="4" w:space="0" w:color="auto"/>
              <w:right w:val="single" w:sz="4" w:space="0" w:color="auto"/>
            </w:tcBorders>
            <w:vAlign w:val="center"/>
          </w:tcPr>
          <w:p w14:paraId="14C6FE26" w14:textId="77777777" w:rsidR="00EB5878" w:rsidRPr="00EB5878" w:rsidRDefault="00EB5878" w:rsidP="00EB5878">
            <w:pPr>
              <w:widowControl w:val="0"/>
              <w:autoSpaceDE w:val="0"/>
              <w:autoSpaceDN w:val="0"/>
              <w:adjustRightInd w:val="0"/>
              <w:spacing w:after="0" w:line="240" w:lineRule="auto"/>
              <w:jc w:val="both"/>
              <w:rPr>
                <w:rFonts w:ascii="Arial" w:eastAsia="Calibri" w:hAnsi="Arial" w:cs="Arial"/>
                <w:bCs/>
                <w:sz w:val="16"/>
                <w:szCs w:val="16"/>
              </w:rPr>
            </w:pPr>
          </w:p>
        </w:tc>
        <w:tc>
          <w:tcPr>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3110C79B" w14:textId="77777777" w:rsidR="00EB5878" w:rsidRPr="00EB5878" w:rsidRDefault="00EB5878" w:rsidP="00EB5878">
            <w:pPr>
              <w:widowControl w:val="0"/>
              <w:autoSpaceDE w:val="0"/>
              <w:autoSpaceDN w:val="0"/>
              <w:adjustRightInd w:val="0"/>
              <w:spacing w:after="0" w:line="240" w:lineRule="auto"/>
              <w:jc w:val="both"/>
              <w:rPr>
                <w:rFonts w:ascii="Arial" w:eastAsia="Calibri" w:hAnsi="Arial" w:cs="Arial"/>
                <w:bCs/>
                <w:sz w:val="16"/>
                <w:szCs w:val="16"/>
              </w:rPr>
            </w:pPr>
          </w:p>
        </w:tc>
        <w:tc>
          <w:tcPr>
            <w:tcW w:w="2835" w:type="dxa"/>
            <w:tcBorders>
              <w:top w:val="single" w:sz="4" w:space="0" w:color="auto"/>
              <w:left w:val="single" w:sz="4" w:space="0" w:color="auto"/>
              <w:bottom w:val="single" w:sz="4" w:space="0" w:color="auto"/>
              <w:right w:val="single" w:sz="4" w:space="0" w:color="auto"/>
            </w:tcBorders>
            <w:vAlign w:val="center"/>
          </w:tcPr>
          <w:p w14:paraId="6BC649F1" w14:textId="77777777" w:rsidR="00EB5878" w:rsidRPr="00EB5878" w:rsidRDefault="00EB5878" w:rsidP="00EB5878">
            <w:pPr>
              <w:widowControl w:val="0"/>
              <w:autoSpaceDE w:val="0"/>
              <w:autoSpaceDN w:val="0"/>
              <w:adjustRightInd w:val="0"/>
              <w:spacing w:after="0" w:line="240" w:lineRule="auto"/>
              <w:jc w:val="both"/>
              <w:rPr>
                <w:rFonts w:ascii="Arial" w:eastAsia="Calibri" w:hAnsi="Arial" w:cs="Arial"/>
                <w:bCs/>
                <w:sz w:val="16"/>
                <w:szCs w:val="16"/>
              </w:rPr>
            </w:pPr>
          </w:p>
        </w:tc>
        <w:tc>
          <w:tcPr>
            <w:tcW w:w="2409" w:type="dxa"/>
            <w:tcBorders>
              <w:top w:val="single" w:sz="4" w:space="0" w:color="auto"/>
              <w:left w:val="single" w:sz="4" w:space="0" w:color="auto"/>
              <w:bottom w:val="single" w:sz="4" w:space="0" w:color="auto"/>
              <w:right w:val="single" w:sz="4" w:space="0" w:color="auto"/>
            </w:tcBorders>
          </w:tcPr>
          <w:p w14:paraId="310F8B14" w14:textId="77777777" w:rsidR="00EB5878" w:rsidRPr="00EB5878" w:rsidRDefault="00EB5878" w:rsidP="00EB5878">
            <w:pPr>
              <w:widowControl w:val="0"/>
              <w:autoSpaceDE w:val="0"/>
              <w:autoSpaceDN w:val="0"/>
              <w:adjustRightInd w:val="0"/>
              <w:spacing w:after="0" w:line="240" w:lineRule="auto"/>
              <w:jc w:val="both"/>
              <w:rPr>
                <w:rFonts w:ascii="Arial" w:eastAsia="Calibri" w:hAnsi="Arial" w:cs="Arial"/>
                <w:bCs/>
                <w:sz w:val="16"/>
                <w:szCs w:val="16"/>
              </w:rPr>
            </w:pPr>
          </w:p>
        </w:tc>
      </w:tr>
      <w:tr w:rsidR="00EB5878" w:rsidRPr="00EB5878" w14:paraId="4DEB3915" w14:textId="77777777" w:rsidTr="00EB5878">
        <w:trPr>
          <w:trHeight w:val="227"/>
        </w:trPr>
        <w:tc>
          <w:tcPr>
            <w:tcW w:w="856" w:type="dxa"/>
            <w:tcBorders>
              <w:top w:val="single" w:sz="4" w:space="0" w:color="auto"/>
              <w:left w:val="single" w:sz="4" w:space="0" w:color="auto"/>
              <w:bottom w:val="single" w:sz="4" w:space="0" w:color="auto"/>
              <w:right w:val="single" w:sz="4" w:space="0" w:color="auto"/>
            </w:tcBorders>
            <w:vAlign w:val="center"/>
          </w:tcPr>
          <w:p w14:paraId="7A5AFDD4" w14:textId="77777777" w:rsidR="00EB5878" w:rsidRPr="00EB5878" w:rsidRDefault="00EB5878" w:rsidP="00EB5878">
            <w:pPr>
              <w:widowControl w:val="0"/>
              <w:autoSpaceDE w:val="0"/>
              <w:autoSpaceDN w:val="0"/>
              <w:adjustRightInd w:val="0"/>
              <w:spacing w:after="0" w:line="240" w:lineRule="auto"/>
              <w:jc w:val="both"/>
              <w:rPr>
                <w:rFonts w:ascii="Arial" w:eastAsia="Calibri" w:hAnsi="Arial" w:cs="Arial"/>
                <w:bCs/>
                <w:sz w:val="16"/>
                <w:szCs w:val="16"/>
              </w:rPr>
            </w:pPr>
          </w:p>
        </w:tc>
        <w:tc>
          <w:tcPr>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0FC89B30" w14:textId="77777777" w:rsidR="00EB5878" w:rsidRPr="00EB5878" w:rsidRDefault="00EB5878" w:rsidP="00EB5878">
            <w:pPr>
              <w:widowControl w:val="0"/>
              <w:autoSpaceDE w:val="0"/>
              <w:autoSpaceDN w:val="0"/>
              <w:adjustRightInd w:val="0"/>
              <w:spacing w:after="0" w:line="240" w:lineRule="auto"/>
              <w:jc w:val="both"/>
              <w:rPr>
                <w:rFonts w:ascii="Arial" w:eastAsia="Calibri" w:hAnsi="Arial" w:cs="Arial"/>
                <w:bCs/>
                <w:sz w:val="16"/>
                <w:szCs w:val="16"/>
              </w:rPr>
            </w:pPr>
          </w:p>
        </w:tc>
        <w:tc>
          <w:tcPr>
            <w:tcW w:w="2835" w:type="dxa"/>
            <w:tcBorders>
              <w:top w:val="single" w:sz="4" w:space="0" w:color="auto"/>
              <w:left w:val="single" w:sz="4" w:space="0" w:color="auto"/>
              <w:bottom w:val="single" w:sz="4" w:space="0" w:color="auto"/>
              <w:right w:val="single" w:sz="4" w:space="0" w:color="auto"/>
            </w:tcBorders>
            <w:vAlign w:val="center"/>
          </w:tcPr>
          <w:p w14:paraId="1DF64CF1" w14:textId="77777777" w:rsidR="00EB5878" w:rsidRPr="00EB5878" w:rsidRDefault="00EB5878" w:rsidP="00EB5878">
            <w:pPr>
              <w:widowControl w:val="0"/>
              <w:autoSpaceDE w:val="0"/>
              <w:autoSpaceDN w:val="0"/>
              <w:adjustRightInd w:val="0"/>
              <w:spacing w:after="0" w:line="240" w:lineRule="auto"/>
              <w:jc w:val="both"/>
              <w:rPr>
                <w:rFonts w:ascii="Arial" w:eastAsia="Calibri" w:hAnsi="Arial" w:cs="Arial"/>
                <w:bCs/>
                <w:sz w:val="16"/>
                <w:szCs w:val="16"/>
              </w:rPr>
            </w:pPr>
          </w:p>
        </w:tc>
        <w:tc>
          <w:tcPr>
            <w:tcW w:w="2409" w:type="dxa"/>
            <w:tcBorders>
              <w:top w:val="single" w:sz="4" w:space="0" w:color="auto"/>
              <w:left w:val="single" w:sz="4" w:space="0" w:color="auto"/>
              <w:bottom w:val="single" w:sz="4" w:space="0" w:color="auto"/>
              <w:right w:val="single" w:sz="4" w:space="0" w:color="auto"/>
            </w:tcBorders>
          </w:tcPr>
          <w:p w14:paraId="0CF27E7D" w14:textId="77777777" w:rsidR="00EB5878" w:rsidRPr="00EB5878" w:rsidRDefault="00EB5878" w:rsidP="00EB5878">
            <w:pPr>
              <w:widowControl w:val="0"/>
              <w:autoSpaceDE w:val="0"/>
              <w:autoSpaceDN w:val="0"/>
              <w:adjustRightInd w:val="0"/>
              <w:spacing w:after="0" w:line="240" w:lineRule="auto"/>
              <w:jc w:val="both"/>
              <w:rPr>
                <w:rFonts w:ascii="Arial" w:eastAsia="Calibri" w:hAnsi="Arial" w:cs="Arial"/>
                <w:bCs/>
                <w:sz w:val="16"/>
                <w:szCs w:val="16"/>
              </w:rPr>
            </w:pPr>
          </w:p>
        </w:tc>
      </w:tr>
    </w:tbl>
    <w:p w14:paraId="53F9B2E5" w14:textId="77777777" w:rsidR="00EB5878" w:rsidRPr="00EB5878" w:rsidRDefault="00EB5878" w:rsidP="00EB5878">
      <w:pPr>
        <w:widowControl w:val="0"/>
        <w:spacing w:after="0" w:line="360" w:lineRule="auto"/>
        <w:jc w:val="both"/>
        <w:rPr>
          <w:rFonts w:ascii="Arial" w:eastAsia="Calibri" w:hAnsi="Arial" w:cs="Arial"/>
          <w:i/>
        </w:rPr>
      </w:pPr>
    </w:p>
    <w:p w14:paraId="2D50D3FC" w14:textId="77777777" w:rsidR="00EB5878" w:rsidRPr="00EB5878" w:rsidRDefault="00EB5878" w:rsidP="00EB5878">
      <w:pPr>
        <w:widowControl w:val="0"/>
        <w:spacing w:after="0" w:line="240" w:lineRule="auto"/>
        <w:rPr>
          <w:rFonts w:ascii="Arial" w:eastAsia="Calibri" w:hAnsi="Arial" w:cs="Arial"/>
          <w:b/>
        </w:rPr>
      </w:pPr>
      <w:r w:rsidRPr="00EB5878">
        <w:rPr>
          <w:rFonts w:ascii="Arial" w:eastAsia="Calibri" w:hAnsi="Arial" w:cs="Arial"/>
          <w:b/>
        </w:rPr>
        <w:t>1.3. Da Gestão orçamentária, financeira, patrimonial e fiscal</w:t>
      </w:r>
    </w:p>
    <w:p w14:paraId="10E12764" w14:textId="77777777" w:rsidR="00EB5878" w:rsidRPr="00EB5878" w:rsidRDefault="00EB5878" w:rsidP="00EB5878">
      <w:pPr>
        <w:widowControl w:val="0"/>
        <w:spacing w:after="0" w:line="360" w:lineRule="auto"/>
        <w:rPr>
          <w:rFonts w:ascii="Arial" w:eastAsia="Calibri" w:hAnsi="Arial" w:cs="Arial"/>
          <w:b/>
        </w:rPr>
      </w:pPr>
    </w:p>
    <w:p w14:paraId="28B0EDB0" w14:textId="77777777" w:rsidR="00EB5878" w:rsidRPr="00EB5878" w:rsidRDefault="00EB5878" w:rsidP="00EB5878">
      <w:pPr>
        <w:widowControl w:val="0"/>
        <w:spacing w:after="0" w:line="360" w:lineRule="auto"/>
        <w:jc w:val="both"/>
        <w:rPr>
          <w:rFonts w:ascii="Arial" w:eastAsia="Calibri" w:hAnsi="Arial" w:cs="Arial"/>
          <w:i/>
        </w:rPr>
      </w:pPr>
      <w:r w:rsidRPr="00EB5878">
        <w:rPr>
          <w:rFonts w:ascii="Arial" w:eastAsia="Calibri" w:hAnsi="Arial" w:cs="Arial"/>
          <w:i/>
        </w:rPr>
        <w:t>[Relatar/comentar sobre a gestão orçamentária e fiscal do ente, abordando, por exemplo, as avaliações sobre o cumprimento dos limites constitucionais e da gestão fiscal; avaliações sobre a inscrição, baixa e cobrança da dívida ativa tributária e não tributária;</w:t>
      </w:r>
      <w:r w:rsidRPr="00EB5878">
        <w:rPr>
          <w:rFonts w:ascii="Arial" w:eastAsia="Calibri" w:hAnsi="Arial" w:cs="Arial"/>
          <w:color w:val="FF0000"/>
        </w:rPr>
        <w:t xml:space="preserve"> </w:t>
      </w:r>
      <w:r w:rsidRPr="00EB5878">
        <w:rPr>
          <w:rFonts w:ascii="Arial" w:eastAsia="Calibri" w:hAnsi="Arial" w:cs="Arial"/>
        </w:rPr>
        <w:t>a</w:t>
      </w:r>
      <w:r w:rsidRPr="00EB5878">
        <w:rPr>
          <w:rFonts w:ascii="Arial" w:eastAsia="Calibri" w:hAnsi="Arial" w:cs="Arial"/>
          <w:i/>
        </w:rPr>
        <w:t>valiações sobre a gestão dos precatórios e da dívida flutuante e fundada; avaliações sobre o desempenho dos principais programas governamentais no exercício; e outros assuntos relevantes]</w:t>
      </w:r>
    </w:p>
    <w:p w14:paraId="269B41EB" w14:textId="77777777" w:rsidR="00EB5878" w:rsidRPr="00EB5878" w:rsidRDefault="00EB5878" w:rsidP="00EB5878">
      <w:pPr>
        <w:widowControl w:val="0"/>
        <w:spacing w:after="0" w:line="360" w:lineRule="auto"/>
        <w:jc w:val="both"/>
        <w:rPr>
          <w:rFonts w:ascii="Arial" w:eastAsia="Calibri" w:hAnsi="Arial" w:cs="Arial"/>
          <w:i/>
        </w:rPr>
      </w:pPr>
    </w:p>
    <w:p w14:paraId="2D3CAB11" w14:textId="77777777" w:rsidR="00EB5878" w:rsidRPr="00EB5878" w:rsidRDefault="00EB5878" w:rsidP="00EB5878">
      <w:pPr>
        <w:widowControl w:val="0"/>
        <w:spacing w:after="0" w:line="240" w:lineRule="auto"/>
        <w:rPr>
          <w:rFonts w:ascii="Arial" w:eastAsia="Calibri" w:hAnsi="Arial" w:cs="Arial"/>
          <w:b/>
        </w:rPr>
      </w:pPr>
      <w:r w:rsidRPr="00EB5878">
        <w:rPr>
          <w:rFonts w:ascii="Arial" w:eastAsia="Calibri" w:hAnsi="Arial" w:cs="Arial"/>
          <w:b/>
        </w:rPr>
        <w:t>1.4. Da Gestão Previdenciária</w:t>
      </w:r>
    </w:p>
    <w:p w14:paraId="0B7B64B9" w14:textId="77777777" w:rsidR="00EB5878" w:rsidRPr="00EB5878" w:rsidRDefault="00EB5878" w:rsidP="00EB5878">
      <w:pPr>
        <w:widowControl w:val="0"/>
        <w:spacing w:after="0" w:line="360" w:lineRule="auto"/>
        <w:jc w:val="both"/>
        <w:rPr>
          <w:rFonts w:ascii="Arial" w:eastAsia="Calibri" w:hAnsi="Arial" w:cs="Arial"/>
          <w:i/>
        </w:rPr>
      </w:pPr>
    </w:p>
    <w:p w14:paraId="17D3D3DE" w14:textId="77777777" w:rsidR="00EB5878" w:rsidRPr="00EB5878" w:rsidRDefault="00EB5878" w:rsidP="00EB5878">
      <w:pPr>
        <w:widowControl w:val="0"/>
        <w:spacing w:after="0" w:line="360" w:lineRule="auto"/>
        <w:jc w:val="both"/>
        <w:rPr>
          <w:rFonts w:ascii="Arial" w:eastAsia="Calibri" w:hAnsi="Arial" w:cs="Arial"/>
          <w:i/>
        </w:rPr>
      </w:pPr>
      <w:r w:rsidRPr="00EB5878">
        <w:rPr>
          <w:rFonts w:ascii="Arial" w:eastAsia="Calibri" w:hAnsi="Arial" w:cs="Arial"/>
          <w:i/>
        </w:rPr>
        <w:t xml:space="preserve">[relatar/descrever a situação do </w:t>
      </w:r>
      <w:r w:rsidRPr="00EB5878">
        <w:rPr>
          <w:rFonts w:ascii="Arial" w:eastAsia="Calibri" w:hAnsi="Arial" w:cs="Arial"/>
          <w:b/>
          <w:i/>
        </w:rPr>
        <w:t>equilíbrio financeiro e atuarial</w:t>
      </w:r>
      <w:r w:rsidRPr="00EB5878">
        <w:rPr>
          <w:rFonts w:ascii="Arial" w:eastAsia="Calibri" w:hAnsi="Arial" w:cs="Arial"/>
          <w:i/>
        </w:rPr>
        <w:t xml:space="preserve"> dos entes que possuem regime próprio de previdência, inclusive acerca da sustentabilidade de seu plano de amortização do déficit atuarial]</w:t>
      </w:r>
    </w:p>
    <w:p w14:paraId="3473AA24" w14:textId="77777777" w:rsidR="00EB5878" w:rsidRPr="00EB5878" w:rsidRDefault="00EB5878" w:rsidP="00EB5878">
      <w:pPr>
        <w:widowControl w:val="0"/>
        <w:spacing w:after="0" w:line="360" w:lineRule="auto"/>
        <w:rPr>
          <w:rFonts w:ascii="Arial" w:eastAsia="Calibri" w:hAnsi="Arial" w:cs="Arial"/>
          <w:color w:val="FF0000"/>
        </w:rPr>
      </w:pPr>
    </w:p>
    <w:p w14:paraId="5452ED49" w14:textId="77777777" w:rsidR="00EB5878" w:rsidRPr="00EB5878" w:rsidRDefault="00EB5878" w:rsidP="00EB5878">
      <w:pPr>
        <w:widowControl w:val="0"/>
        <w:spacing w:after="0" w:line="240" w:lineRule="auto"/>
        <w:rPr>
          <w:rFonts w:ascii="Arial" w:eastAsia="Calibri" w:hAnsi="Arial" w:cs="Arial"/>
          <w:b/>
        </w:rPr>
      </w:pPr>
      <w:r w:rsidRPr="00EB5878">
        <w:rPr>
          <w:rFonts w:ascii="Arial" w:eastAsia="Calibri" w:hAnsi="Arial" w:cs="Arial"/>
          <w:b/>
        </w:rPr>
        <w:t>2. PARECER DO CONTROLE INTERNO</w:t>
      </w:r>
    </w:p>
    <w:p w14:paraId="0C65EAEE" w14:textId="77777777" w:rsidR="00EB5878" w:rsidRPr="00EB5878" w:rsidRDefault="00EB5878" w:rsidP="00EB5878">
      <w:pPr>
        <w:widowControl w:val="0"/>
        <w:autoSpaceDE w:val="0"/>
        <w:autoSpaceDN w:val="0"/>
        <w:adjustRightInd w:val="0"/>
        <w:spacing w:after="0" w:line="360" w:lineRule="auto"/>
        <w:jc w:val="center"/>
        <w:rPr>
          <w:rFonts w:ascii="Arial" w:eastAsia="Calibri" w:hAnsi="Arial" w:cs="Arial"/>
          <w:bCs/>
        </w:rPr>
      </w:pPr>
    </w:p>
    <w:p w14:paraId="3CF26508" w14:textId="77777777" w:rsidR="00EB5878" w:rsidRPr="00EB5878" w:rsidRDefault="00EB5878" w:rsidP="00EB5878">
      <w:pPr>
        <w:widowControl w:val="0"/>
        <w:spacing w:after="0" w:line="360" w:lineRule="auto"/>
        <w:jc w:val="both"/>
        <w:rPr>
          <w:rFonts w:ascii="Arial" w:eastAsia="Calibri" w:hAnsi="Arial" w:cs="Arial"/>
        </w:rPr>
      </w:pPr>
      <w:r w:rsidRPr="00EB5878">
        <w:rPr>
          <w:rFonts w:ascii="Arial" w:eastAsia="Calibri" w:hAnsi="Arial" w:cs="Arial"/>
        </w:rPr>
        <w:t xml:space="preserve">Examinamos a prestação de contas anual elaborada sob a responsabilidade do Sr. </w:t>
      </w:r>
      <w:r w:rsidRPr="00EB5878">
        <w:rPr>
          <w:rFonts w:ascii="Arial" w:eastAsia="Calibri" w:hAnsi="Arial" w:cs="Arial"/>
          <w:i/>
        </w:rPr>
        <w:t>[indicar o gestor responsável]</w:t>
      </w:r>
      <w:r w:rsidRPr="00EB5878">
        <w:rPr>
          <w:rFonts w:ascii="Arial" w:eastAsia="Calibri" w:hAnsi="Arial" w:cs="Arial"/>
        </w:rPr>
        <w:t xml:space="preserve">, Prefeito do Município de </w:t>
      </w:r>
      <w:r w:rsidRPr="00EB5878">
        <w:rPr>
          <w:rFonts w:ascii="Arial" w:eastAsia="Calibri" w:hAnsi="Arial" w:cs="Arial"/>
          <w:i/>
        </w:rPr>
        <w:t>[xxxxxxxxx ]</w:t>
      </w:r>
      <w:r w:rsidRPr="00EB5878">
        <w:rPr>
          <w:rFonts w:ascii="Arial" w:eastAsia="Calibri" w:hAnsi="Arial" w:cs="Arial"/>
        </w:rPr>
        <w:t xml:space="preserve">, relativa ao exercício de </w:t>
      </w:r>
      <w:r w:rsidRPr="00EB5878">
        <w:rPr>
          <w:rFonts w:ascii="Arial" w:eastAsia="Calibri" w:hAnsi="Arial" w:cs="Arial"/>
          <w:i/>
        </w:rPr>
        <w:t>[indicar o exercício a que se refere a prestação de contas]</w:t>
      </w:r>
      <w:r w:rsidRPr="00EB5878">
        <w:rPr>
          <w:rFonts w:ascii="Arial" w:eastAsia="Calibri" w:hAnsi="Arial" w:cs="Arial"/>
        </w:rPr>
        <w:t>.</w:t>
      </w:r>
    </w:p>
    <w:p w14:paraId="3A1AC311" w14:textId="77777777" w:rsidR="00EB5878" w:rsidRPr="00EB5878" w:rsidRDefault="00EB5878" w:rsidP="00EB5878">
      <w:pPr>
        <w:widowControl w:val="0"/>
        <w:spacing w:after="0" w:line="360" w:lineRule="auto"/>
        <w:jc w:val="both"/>
        <w:rPr>
          <w:rFonts w:ascii="Arial" w:eastAsia="Calibri" w:hAnsi="Arial" w:cs="Arial"/>
        </w:rPr>
      </w:pPr>
    </w:p>
    <w:p w14:paraId="2FBA30E1" w14:textId="77777777" w:rsidR="00EB5878" w:rsidRPr="00EB5878" w:rsidRDefault="00EB5878" w:rsidP="00EB5878">
      <w:pPr>
        <w:widowControl w:val="0"/>
        <w:spacing w:after="0" w:line="360" w:lineRule="auto"/>
        <w:jc w:val="both"/>
        <w:rPr>
          <w:rFonts w:ascii="Arial" w:eastAsia="Calibri" w:hAnsi="Arial" w:cs="Arial"/>
        </w:rPr>
      </w:pPr>
      <w:r w:rsidRPr="00EB5878">
        <w:rPr>
          <w:rFonts w:ascii="Arial" w:eastAsia="Calibri" w:hAnsi="Arial" w:cs="Arial"/>
        </w:rPr>
        <w:t xml:space="preserve">Em nossa opinião, tendo como base os objetos e pontos de controle avaliados, elencados no </w:t>
      </w:r>
      <w:r w:rsidRPr="00EB5878">
        <w:rPr>
          <w:rFonts w:ascii="Arial" w:eastAsia="Calibri" w:hAnsi="Arial" w:cs="Arial"/>
        </w:rPr>
        <w:lastRenderedPageBreak/>
        <w:t xml:space="preserve">item 1 desta manifestação, a referida prestação de contas se </w:t>
      </w:r>
      <w:r w:rsidRPr="00EB5878">
        <w:rPr>
          <w:rFonts w:ascii="Arial" w:eastAsia="Calibri" w:hAnsi="Arial" w:cs="Arial"/>
          <w:i/>
        </w:rPr>
        <w:t>encontra [regular / regular com ressalva / irregular]</w:t>
      </w:r>
      <w:r w:rsidRPr="00EB5878">
        <w:rPr>
          <w:rFonts w:ascii="Arial" w:eastAsia="Calibri" w:hAnsi="Arial" w:cs="Arial"/>
        </w:rPr>
        <w:t>.</w:t>
      </w:r>
    </w:p>
    <w:p w14:paraId="14F1E914" w14:textId="77777777" w:rsidR="00EB5878" w:rsidRPr="00EB5878" w:rsidRDefault="00EB5878" w:rsidP="00EB5878">
      <w:pPr>
        <w:widowControl w:val="0"/>
        <w:spacing w:after="0" w:line="360" w:lineRule="auto"/>
        <w:jc w:val="both"/>
        <w:rPr>
          <w:rFonts w:ascii="Arial" w:eastAsia="Calibri" w:hAnsi="Arial" w:cs="Arial"/>
        </w:rPr>
      </w:pPr>
    </w:p>
    <w:p w14:paraId="1F8766BB" w14:textId="77777777" w:rsidR="00EB5878" w:rsidRPr="00EB5878" w:rsidRDefault="00EB5878" w:rsidP="00EB5878">
      <w:pPr>
        <w:widowControl w:val="0"/>
        <w:spacing w:after="0" w:line="360" w:lineRule="auto"/>
        <w:jc w:val="both"/>
        <w:rPr>
          <w:rFonts w:ascii="Arial" w:eastAsia="Calibri" w:hAnsi="Arial" w:cs="Arial"/>
          <w:i/>
        </w:rPr>
      </w:pPr>
      <w:r w:rsidRPr="00EB5878">
        <w:rPr>
          <w:rFonts w:ascii="Arial" w:eastAsia="Calibri" w:hAnsi="Arial" w:cs="Arial"/>
          <w:i/>
        </w:rPr>
        <w:t>[Fazer referência às inconformidades constatadas que fundamentaram a opinião, se for o caso]</w:t>
      </w:r>
    </w:p>
    <w:p w14:paraId="287CCBD5" w14:textId="77777777" w:rsidR="00EB5878" w:rsidRPr="00EB5878" w:rsidRDefault="00EB5878" w:rsidP="00EB5878">
      <w:pPr>
        <w:widowControl w:val="0"/>
        <w:spacing w:after="0" w:line="360" w:lineRule="auto"/>
        <w:jc w:val="both"/>
        <w:rPr>
          <w:rFonts w:ascii="Arial" w:eastAsia="Calibri" w:hAnsi="Arial" w:cs="Arial"/>
          <w:i/>
        </w:rPr>
      </w:pPr>
    </w:p>
    <w:p w14:paraId="56A4712F" w14:textId="77777777" w:rsidR="00EB5878" w:rsidRPr="00EB5878" w:rsidRDefault="00EB5878" w:rsidP="00EB5878">
      <w:pPr>
        <w:widowControl w:val="0"/>
        <w:spacing w:after="0" w:line="360" w:lineRule="auto"/>
        <w:jc w:val="both"/>
        <w:rPr>
          <w:rFonts w:ascii="Arial" w:eastAsia="Calibri" w:hAnsi="Arial" w:cs="Arial"/>
        </w:rPr>
      </w:pPr>
    </w:p>
    <w:p w14:paraId="7D970ADC" w14:textId="77777777" w:rsidR="00EB5878" w:rsidRPr="00EB5878" w:rsidRDefault="00EB5878" w:rsidP="00EB5878">
      <w:pPr>
        <w:widowControl w:val="0"/>
        <w:spacing w:after="0" w:line="360" w:lineRule="auto"/>
        <w:jc w:val="both"/>
        <w:rPr>
          <w:rFonts w:ascii="Arial" w:eastAsia="Calibri" w:hAnsi="Arial" w:cs="Arial"/>
        </w:rPr>
      </w:pPr>
      <w:r w:rsidRPr="00EB5878">
        <w:rPr>
          <w:rFonts w:ascii="Arial" w:eastAsia="Calibri" w:hAnsi="Arial" w:cs="Arial"/>
        </w:rPr>
        <w:t>[</w:t>
      </w:r>
      <w:r w:rsidRPr="00EB5878">
        <w:rPr>
          <w:rFonts w:ascii="Arial" w:eastAsia="Calibri" w:hAnsi="Arial" w:cs="Arial"/>
          <w:i/>
        </w:rPr>
        <w:t>Local e data</w:t>
      </w:r>
      <w:r w:rsidRPr="00EB5878">
        <w:rPr>
          <w:rFonts w:ascii="Arial" w:eastAsia="Calibri" w:hAnsi="Arial" w:cs="Arial"/>
        </w:rPr>
        <w:t>]</w:t>
      </w:r>
    </w:p>
    <w:p w14:paraId="2688A49E" w14:textId="77777777" w:rsidR="00EB5878" w:rsidRPr="00EB5878" w:rsidRDefault="00EB5878" w:rsidP="00EB5878">
      <w:pPr>
        <w:widowControl w:val="0"/>
        <w:spacing w:after="0" w:line="360" w:lineRule="auto"/>
        <w:jc w:val="both"/>
        <w:rPr>
          <w:rFonts w:ascii="Arial" w:eastAsia="Calibri" w:hAnsi="Arial" w:cs="Arial"/>
        </w:rPr>
      </w:pPr>
    </w:p>
    <w:p w14:paraId="631FFD44" w14:textId="77777777" w:rsidR="00EB5878" w:rsidRPr="00EB5878" w:rsidRDefault="00EB5878" w:rsidP="00EB5878">
      <w:pPr>
        <w:widowControl w:val="0"/>
        <w:spacing w:after="0" w:line="360" w:lineRule="auto"/>
        <w:jc w:val="both"/>
        <w:rPr>
          <w:rFonts w:ascii="Arial" w:eastAsia="Calibri" w:hAnsi="Arial" w:cs="Arial"/>
        </w:rPr>
      </w:pPr>
      <w:r w:rsidRPr="00EB5878">
        <w:rPr>
          <w:rFonts w:ascii="Arial" w:eastAsia="Calibri" w:hAnsi="Arial" w:cs="Arial"/>
          <w:b/>
        </w:rPr>
        <w:t>Assinaturas:</w:t>
      </w:r>
      <w:r w:rsidRPr="00EB5878">
        <w:rPr>
          <w:rFonts w:ascii="Arial" w:eastAsia="Calibri" w:hAnsi="Arial" w:cs="Arial"/>
        </w:rPr>
        <w:t xml:space="preserve"> [</w:t>
      </w:r>
      <w:r w:rsidRPr="00EB5878">
        <w:rPr>
          <w:rFonts w:ascii="Arial" w:eastAsia="Calibri" w:hAnsi="Arial" w:cs="Arial"/>
          <w:i/>
        </w:rPr>
        <w:t>Assinatura dos responsáveis pela unidade de controle interno</w:t>
      </w:r>
      <w:r w:rsidRPr="00EB5878">
        <w:rPr>
          <w:rFonts w:ascii="Arial" w:eastAsia="Calibri" w:hAnsi="Arial" w:cs="Arial"/>
        </w:rPr>
        <w:t>]</w:t>
      </w:r>
    </w:p>
    <w:p w14:paraId="5D43F890" w14:textId="77777777" w:rsidR="00FD1551" w:rsidRPr="00FD1551" w:rsidRDefault="00C34553" w:rsidP="00C34553">
      <w:pPr>
        <w:spacing w:after="0" w:line="360" w:lineRule="auto"/>
        <w:jc w:val="center"/>
        <w:rPr>
          <w:rFonts w:ascii="Arial" w:hAnsi="Arial" w:cs="Arial"/>
          <w:b/>
        </w:rPr>
      </w:pPr>
      <w:r w:rsidRPr="00C34553">
        <w:rPr>
          <w:rFonts w:ascii="Arial" w:eastAsia="Calibri" w:hAnsi="Arial" w:cs="Arial"/>
          <w:b/>
          <w:sz w:val="28"/>
          <w:szCs w:val="28"/>
        </w:rPr>
        <w:br w:type="page"/>
      </w:r>
    </w:p>
    <w:p w14:paraId="13A38482" w14:textId="2C96928C" w:rsidR="00FD1551" w:rsidRPr="00FD1551" w:rsidRDefault="00E13A77" w:rsidP="00E13A77">
      <w:pPr>
        <w:pStyle w:val="Ttulo3"/>
      </w:pPr>
      <w:bookmarkStart w:id="66" w:name="_Toc94806341"/>
      <w:r>
        <w:rPr>
          <w:lang w:val="pt-BR"/>
        </w:rPr>
        <w:lastRenderedPageBreak/>
        <w:t>RELUCI</w:t>
      </w:r>
      <w:bookmarkEnd w:id="66"/>
    </w:p>
    <w:p w14:paraId="5B4F92E6" w14:textId="023C8580" w:rsidR="00EB5878" w:rsidRPr="00EB5878" w:rsidRDefault="00E13A77" w:rsidP="00EB5878">
      <w:pPr>
        <w:widowControl w:val="0"/>
        <w:spacing w:after="0" w:line="240" w:lineRule="auto"/>
        <w:ind w:right="-142"/>
        <w:jc w:val="center"/>
        <w:rPr>
          <w:rFonts w:ascii="Arial" w:eastAsia="Calibri" w:hAnsi="Arial" w:cs="Arial"/>
          <w:b/>
        </w:rPr>
      </w:pPr>
      <w:r w:rsidRPr="00EB5878">
        <w:rPr>
          <w:rFonts w:ascii="Arial" w:eastAsia="Calibri" w:hAnsi="Arial" w:cs="Arial"/>
          <w:b/>
        </w:rPr>
        <w:t xml:space="preserve"> </w:t>
      </w:r>
      <w:r w:rsidR="00EB5878" w:rsidRPr="00EB5878">
        <w:rPr>
          <w:rFonts w:ascii="Arial" w:eastAsia="Calibri" w:hAnsi="Arial" w:cs="Arial"/>
          <w:b/>
        </w:rPr>
        <w:t>(MODELO SUGERIDO PARA A MANIFESTAÇÃO DA UNIDADE EXECUTORA DE CONTROLE INTERNO SOBRE A PRESTAÇÂO DE CONTAS ANUAL - GESTÃO)</w:t>
      </w:r>
    </w:p>
    <w:p w14:paraId="16C36DE8" w14:textId="77777777" w:rsidR="00EB5878" w:rsidRPr="00EB5878" w:rsidRDefault="00EB5878" w:rsidP="00EB5878">
      <w:pPr>
        <w:widowControl w:val="0"/>
        <w:spacing w:after="0" w:line="360" w:lineRule="auto"/>
        <w:jc w:val="center"/>
        <w:rPr>
          <w:rFonts w:ascii="Arial" w:eastAsia="Calibri" w:hAnsi="Arial" w:cs="Arial"/>
          <w:b/>
          <w:color w:val="FF0000"/>
        </w:rPr>
      </w:pPr>
    </w:p>
    <w:p w14:paraId="625C1A6C" w14:textId="77777777" w:rsidR="00EB5878" w:rsidRPr="00EB5878" w:rsidRDefault="00EB5878" w:rsidP="00EB5878">
      <w:pPr>
        <w:widowControl w:val="0"/>
        <w:spacing w:after="0" w:line="240" w:lineRule="auto"/>
        <w:jc w:val="center"/>
        <w:rPr>
          <w:rFonts w:ascii="Arial" w:eastAsia="Calibri" w:hAnsi="Arial" w:cs="Arial"/>
          <w:b/>
        </w:rPr>
      </w:pPr>
      <w:r w:rsidRPr="00EB5878">
        <w:rPr>
          <w:rFonts w:ascii="Arial" w:eastAsia="Calibri" w:hAnsi="Arial" w:cs="Arial"/>
          <w:b/>
        </w:rPr>
        <w:t>MANIFESTAÇÃO DA UNIDADE EXECUTORADE CONTROLE INTERNO</w:t>
      </w:r>
      <w:r w:rsidRPr="00EB5878">
        <w:rPr>
          <w:rFonts w:ascii="Arial" w:eastAsia="Calibri" w:hAnsi="Arial" w:cs="Arial"/>
          <w:b/>
          <w:vertAlign w:val="superscript"/>
        </w:rPr>
        <w:footnoteReference w:id="5"/>
      </w:r>
      <w:r w:rsidRPr="00EB5878">
        <w:rPr>
          <w:rFonts w:ascii="Arial" w:eastAsia="Calibri" w:hAnsi="Arial" w:cs="Arial"/>
          <w:b/>
        </w:rPr>
        <w:t xml:space="preserve"> SOBRE A PRESTAÇÃO DE CONTAS ANUAL – GESTÃO</w:t>
      </w:r>
      <w:r w:rsidRPr="00EB5878">
        <w:rPr>
          <w:rFonts w:ascii="Arial" w:eastAsia="Calibri" w:hAnsi="Arial" w:cs="Arial"/>
          <w:i/>
          <w:vertAlign w:val="superscript"/>
          <w:lang w:val="en-US"/>
        </w:rPr>
        <w:footnoteReference w:id="6"/>
      </w:r>
    </w:p>
    <w:p w14:paraId="026E8378" w14:textId="77777777" w:rsidR="00EB5878" w:rsidRPr="00EB5878" w:rsidRDefault="00EB5878" w:rsidP="00EB5878">
      <w:pPr>
        <w:widowControl w:val="0"/>
        <w:spacing w:after="0" w:line="240" w:lineRule="auto"/>
        <w:ind w:right="-142"/>
        <w:jc w:val="center"/>
        <w:rPr>
          <w:rFonts w:ascii="Arial" w:eastAsia="Calibri" w:hAnsi="Arial" w:cs="Arial"/>
          <w:i/>
        </w:rPr>
      </w:pPr>
    </w:p>
    <w:p w14:paraId="64B64B16" w14:textId="77777777" w:rsidR="00EB5878" w:rsidRPr="00EB5878" w:rsidRDefault="00EB5878" w:rsidP="00EB5878">
      <w:pPr>
        <w:widowControl w:val="0"/>
        <w:spacing w:after="0" w:line="240" w:lineRule="auto"/>
        <w:ind w:right="-142"/>
        <w:jc w:val="center"/>
        <w:rPr>
          <w:rFonts w:ascii="Arial" w:eastAsia="Calibri" w:hAnsi="Arial" w:cs="Arial"/>
          <w:i/>
        </w:rPr>
      </w:pPr>
      <w:r w:rsidRPr="00EB5878">
        <w:rPr>
          <w:rFonts w:ascii="Arial" w:eastAsia="Calibri" w:hAnsi="Arial" w:cs="Arial"/>
          <w:i/>
        </w:rPr>
        <w:t>[o texto apresentado entre colchetes “[ ]” deve ser removido do documento a ser encaminhado na prestação de contas]</w:t>
      </w:r>
    </w:p>
    <w:p w14:paraId="406B898C" w14:textId="77777777" w:rsidR="00EB5878" w:rsidRPr="00EB5878" w:rsidRDefault="00EB5878" w:rsidP="00EB5878">
      <w:pPr>
        <w:widowControl w:val="0"/>
        <w:spacing w:after="0" w:line="360" w:lineRule="auto"/>
        <w:jc w:val="both"/>
        <w:rPr>
          <w:rFonts w:ascii="Arial" w:eastAsia="Calibri" w:hAnsi="Arial" w:cs="Arial"/>
          <w:color w:val="00B050"/>
        </w:rPr>
      </w:pPr>
    </w:p>
    <w:p w14:paraId="7888A8AE" w14:textId="77777777" w:rsidR="00EB5878" w:rsidRPr="00EB5878" w:rsidRDefault="00EB5878" w:rsidP="00EB5878">
      <w:pPr>
        <w:widowControl w:val="0"/>
        <w:spacing w:after="0" w:line="360" w:lineRule="auto"/>
        <w:jc w:val="both"/>
        <w:rPr>
          <w:rFonts w:ascii="Arial" w:eastAsia="Calibri" w:hAnsi="Arial" w:cs="Arial"/>
          <w:i/>
        </w:rPr>
      </w:pPr>
      <w:r w:rsidRPr="00EB5878">
        <w:rPr>
          <w:rFonts w:ascii="Arial" w:eastAsia="Calibri" w:hAnsi="Arial" w:cs="Arial"/>
          <w:b/>
        </w:rPr>
        <w:t>Emitente:</w:t>
      </w:r>
      <w:r w:rsidRPr="00EB5878">
        <w:rPr>
          <w:rFonts w:ascii="Arial" w:eastAsia="Calibri" w:hAnsi="Arial" w:cs="Arial"/>
        </w:rPr>
        <w:t xml:space="preserve"> </w:t>
      </w:r>
      <w:r w:rsidRPr="00EB5878">
        <w:rPr>
          <w:rFonts w:ascii="Arial" w:eastAsia="Calibri" w:hAnsi="Arial" w:cs="Arial"/>
          <w:i/>
        </w:rPr>
        <w:t>identificar a unidade de controle interno</w:t>
      </w:r>
    </w:p>
    <w:p w14:paraId="2DBC1FD6" w14:textId="77777777" w:rsidR="00EB5878" w:rsidRPr="00EB5878" w:rsidRDefault="00EB5878" w:rsidP="00EB5878">
      <w:pPr>
        <w:widowControl w:val="0"/>
        <w:spacing w:after="0" w:line="360" w:lineRule="auto"/>
        <w:jc w:val="both"/>
        <w:rPr>
          <w:rFonts w:ascii="Arial" w:eastAsia="Calibri" w:hAnsi="Arial" w:cs="Arial"/>
          <w:i/>
        </w:rPr>
      </w:pPr>
      <w:r w:rsidRPr="00EB5878">
        <w:rPr>
          <w:rFonts w:ascii="Arial" w:eastAsia="Calibri" w:hAnsi="Arial" w:cs="Arial"/>
          <w:b/>
        </w:rPr>
        <w:t>Unidade Gestora</w:t>
      </w:r>
      <w:r w:rsidRPr="00EB5878">
        <w:rPr>
          <w:rFonts w:ascii="Arial" w:eastAsia="Calibri" w:hAnsi="Arial" w:cs="Arial"/>
          <w:b/>
          <w:i/>
        </w:rPr>
        <w:t>:</w:t>
      </w:r>
      <w:r w:rsidRPr="00EB5878">
        <w:rPr>
          <w:rFonts w:ascii="Arial" w:eastAsia="Calibri" w:hAnsi="Arial" w:cs="Arial"/>
          <w:i/>
        </w:rPr>
        <w:t xml:space="preserve"> Identificar a unidade gestora</w:t>
      </w:r>
    </w:p>
    <w:p w14:paraId="251E1BB4" w14:textId="77777777" w:rsidR="00EB5878" w:rsidRPr="00EB5878" w:rsidRDefault="00EB5878" w:rsidP="00EB5878">
      <w:pPr>
        <w:widowControl w:val="0"/>
        <w:spacing w:after="0" w:line="360" w:lineRule="auto"/>
        <w:jc w:val="both"/>
        <w:rPr>
          <w:rFonts w:ascii="Arial" w:eastAsia="Calibri" w:hAnsi="Arial" w:cs="Arial"/>
          <w:i/>
        </w:rPr>
      </w:pPr>
      <w:r w:rsidRPr="00EB5878">
        <w:rPr>
          <w:rFonts w:ascii="Arial" w:eastAsia="Calibri" w:hAnsi="Arial" w:cs="Arial"/>
          <w:b/>
        </w:rPr>
        <w:t>Gestor responsável:</w:t>
      </w:r>
      <w:r w:rsidRPr="00EB5878">
        <w:rPr>
          <w:rFonts w:ascii="Arial" w:eastAsia="Calibri" w:hAnsi="Arial" w:cs="Arial"/>
        </w:rPr>
        <w:t xml:space="preserve"> </w:t>
      </w:r>
      <w:r w:rsidRPr="00EB5878">
        <w:rPr>
          <w:rFonts w:ascii="Arial" w:eastAsia="Calibri" w:hAnsi="Arial" w:cs="Arial"/>
          <w:i/>
        </w:rPr>
        <w:t>identificação dos gestores responsáveis pela execução orçamentária no exercício que se refere a prestação de contas</w:t>
      </w:r>
    </w:p>
    <w:p w14:paraId="0F197C65" w14:textId="77777777" w:rsidR="00EB5878" w:rsidRPr="00EB5878" w:rsidRDefault="00EB5878" w:rsidP="00EB5878">
      <w:pPr>
        <w:widowControl w:val="0"/>
        <w:spacing w:after="0" w:line="360" w:lineRule="auto"/>
        <w:jc w:val="both"/>
        <w:rPr>
          <w:rFonts w:ascii="Arial" w:eastAsia="Calibri" w:hAnsi="Arial" w:cs="Arial"/>
          <w:i/>
        </w:rPr>
      </w:pPr>
      <w:r w:rsidRPr="00EB5878">
        <w:rPr>
          <w:rFonts w:ascii="Arial" w:eastAsia="Calibri" w:hAnsi="Arial" w:cs="Arial"/>
          <w:b/>
        </w:rPr>
        <w:t>Exercício:</w:t>
      </w:r>
      <w:r w:rsidRPr="00EB5878">
        <w:rPr>
          <w:rFonts w:ascii="Arial" w:eastAsia="Calibri" w:hAnsi="Arial" w:cs="Arial"/>
        </w:rPr>
        <w:t xml:space="preserve"> </w:t>
      </w:r>
      <w:r w:rsidRPr="00EB5878">
        <w:rPr>
          <w:rFonts w:ascii="Arial" w:eastAsia="Calibri" w:hAnsi="Arial" w:cs="Arial"/>
          <w:i/>
        </w:rPr>
        <w:t>exercício a que se refere a prestação de contas</w:t>
      </w:r>
    </w:p>
    <w:p w14:paraId="5FC5E46A" w14:textId="77777777" w:rsidR="00EB5878" w:rsidRPr="00EB5878" w:rsidRDefault="00EB5878" w:rsidP="00EB5878">
      <w:pPr>
        <w:widowControl w:val="0"/>
        <w:spacing w:after="0" w:line="360" w:lineRule="auto"/>
        <w:jc w:val="center"/>
        <w:rPr>
          <w:rFonts w:ascii="Arial" w:eastAsia="Calibri" w:hAnsi="Arial" w:cs="Arial"/>
          <w:b/>
          <w:color w:val="FF0000"/>
        </w:rPr>
      </w:pPr>
    </w:p>
    <w:p w14:paraId="45D8996A" w14:textId="77777777" w:rsidR="00EB5878" w:rsidRPr="00EB5878" w:rsidRDefault="00EB5878" w:rsidP="00EB5878">
      <w:pPr>
        <w:widowControl w:val="0"/>
        <w:spacing w:after="0" w:line="360" w:lineRule="auto"/>
        <w:rPr>
          <w:rFonts w:ascii="Arial" w:eastAsia="Calibri" w:hAnsi="Arial" w:cs="Arial"/>
          <w:b/>
        </w:rPr>
      </w:pPr>
      <w:r w:rsidRPr="00EB5878">
        <w:rPr>
          <w:rFonts w:ascii="Arial" w:eastAsia="Calibri" w:hAnsi="Arial" w:cs="Arial"/>
          <w:b/>
        </w:rPr>
        <w:t>1. RELATÓRIO</w:t>
      </w:r>
    </w:p>
    <w:p w14:paraId="2182485C" w14:textId="77777777" w:rsidR="00EB5878" w:rsidRPr="00EB5878" w:rsidRDefault="00EB5878" w:rsidP="00EB5878">
      <w:pPr>
        <w:widowControl w:val="0"/>
        <w:spacing w:after="0" w:line="360" w:lineRule="auto"/>
        <w:jc w:val="both"/>
        <w:rPr>
          <w:rFonts w:ascii="Arial" w:eastAsia="Calibri" w:hAnsi="Arial" w:cs="Arial"/>
          <w:color w:val="00B050"/>
        </w:rPr>
      </w:pPr>
    </w:p>
    <w:p w14:paraId="1E1EA486" w14:textId="77777777" w:rsidR="00EB5878" w:rsidRPr="00EB5878" w:rsidRDefault="00EB5878" w:rsidP="00EB5878">
      <w:pPr>
        <w:widowControl w:val="0"/>
        <w:spacing w:after="0" w:line="360" w:lineRule="auto"/>
        <w:jc w:val="both"/>
        <w:rPr>
          <w:rFonts w:ascii="Arial" w:eastAsia="Calibri" w:hAnsi="Arial" w:cs="Arial"/>
          <w:b/>
        </w:rPr>
      </w:pPr>
      <w:r w:rsidRPr="00EB5878">
        <w:rPr>
          <w:rFonts w:ascii="Arial" w:eastAsia="Calibri" w:hAnsi="Arial" w:cs="Arial"/>
          <w:b/>
        </w:rPr>
        <w:t>1.1. Introdução</w:t>
      </w:r>
    </w:p>
    <w:p w14:paraId="189A7DE0" w14:textId="77777777" w:rsidR="00EB5878" w:rsidRPr="00EB5878" w:rsidRDefault="00EB5878" w:rsidP="00EB5878">
      <w:pPr>
        <w:widowControl w:val="0"/>
        <w:spacing w:after="0" w:line="360" w:lineRule="auto"/>
        <w:jc w:val="both"/>
        <w:rPr>
          <w:rFonts w:ascii="Arial" w:eastAsia="Calibri" w:hAnsi="Arial" w:cs="Arial"/>
        </w:rPr>
      </w:pPr>
    </w:p>
    <w:p w14:paraId="79DBC201" w14:textId="77777777" w:rsidR="00EB5878" w:rsidRPr="00EB5878" w:rsidRDefault="00EB5878" w:rsidP="00EB5878">
      <w:pPr>
        <w:widowControl w:val="0"/>
        <w:spacing w:after="0" w:line="360" w:lineRule="auto"/>
        <w:jc w:val="both"/>
        <w:rPr>
          <w:rFonts w:ascii="Arial" w:eastAsia="Calibri" w:hAnsi="Arial" w:cs="Arial"/>
        </w:rPr>
      </w:pPr>
      <w:r w:rsidRPr="00EB5878">
        <w:rPr>
          <w:rFonts w:ascii="Arial" w:eastAsia="Calibri" w:hAnsi="Arial" w:cs="Arial"/>
        </w:rPr>
        <w:t>Observando o que dispõe o artigo 74 da Constituição Federal de 1988, essa unidade de controle interno realizou, no exercício supramencionado, procedimentos de controle, objetivando apoiar o controle externo no exercício de sua missão institucional.</w:t>
      </w:r>
    </w:p>
    <w:p w14:paraId="7EAE9313" w14:textId="77777777" w:rsidR="00EB5878" w:rsidRPr="00EB5878" w:rsidRDefault="00EB5878" w:rsidP="00EB5878">
      <w:pPr>
        <w:widowControl w:val="0"/>
        <w:spacing w:after="0" w:line="360" w:lineRule="auto"/>
        <w:jc w:val="both"/>
        <w:rPr>
          <w:rFonts w:ascii="Arial" w:eastAsia="Calibri" w:hAnsi="Arial" w:cs="Arial"/>
        </w:rPr>
      </w:pPr>
    </w:p>
    <w:p w14:paraId="0A4D43B4" w14:textId="77777777" w:rsidR="00EB5878" w:rsidRPr="00EB5878" w:rsidRDefault="00EB5878" w:rsidP="00EB5878">
      <w:pPr>
        <w:widowControl w:val="0"/>
        <w:spacing w:after="0" w:line="360" w:lineRule="auto"/>
        <w:jc w:val="both"/>
        <w:rPr>
          <w:rFonts w:ascii="Arial" w:eastAsia="Calibri" w:hAnsi="Arial" w:cs="Arial"/>
        </w:rPr>
      </w:pPr>
      <w:r w:rsidRPr="00EB5878">
        <w:rPr>
          <w:rFonts w:ascii="Arial" w:eastAsia="Calibri" w:hAnsi="Arial" w:cs="Arial"/>
        </w:rPr>
        <w:t>A seguir apresentamos os pontos de controle selecionados para análise, os procedimentos adotados, seguidos das constatações e proposições sugeridas, emitindo, ao final, nosso parecer conclusivo.</w:t>
      </w:r>
    </w:p>
    <w:p w14:paraId="512B1759" w14:textId="77777777" w:rsidR="00EB5878" w:rsidRPr="00EB5878" w:rsidRDefault="00EB5878" w:rsidP="00EB5878">
      <w:pPr>
        <w:widowControl w:val="0"/>
        <w:spacing w:after="0" w:line="360" w:lineRule="auto"/>
        <w:jc w:val="both"/>
        <w:rPr>
          <w:rFonts w:ascii="Arial" w:eastAsia="Calibri" w:hAnsi="Arial" w:cs="Arial"/>
          <w:i/>
        </w:rPr>
      </w:pPr>
    </w:p>
    <w:p w14:paraId="7D2B8BB1" w14:textId="77777777" w:rsidR="00EB5878" w:rsidRDefault="00EB5878" w:rsidP="00EB5878">
      <w:pPr>
        <w:widowControl w:val="0"/>
        <w:spacing w:after="0" w:line="360" w:lineRule="auto"/>
        <w:jc w:val="both"/>
        <w:rPr>
          <w:rFonts w:ascii="Arial" w:eastAsia="Calibri" w:hAnsi="Arial" w:cs="Arial"/>
          <w:i/>
        </w:rPr>
      </w:pPr>
      <w:r w:rsidRPr="00EB5878">
        <w:rPr>
          <w:rFonts w:ascii="Arial" w:eastAsia="Calibri" w:hAnsi="Arial" w:cs="Arial"/>
          <w:i/>
        </w:rPr>
        <w:t xml:space="preserve">[Transportar para a tabela que segue os objetos constantes </w:t>
      </w:r>
      <w:r>
        <w:rPr>
          <w:rFonts w:ascii="Arial" w:eastAsia="Calibri" w:hAnsi="Arial" w:cs="Arial"/>
          <w:i/>
        </w:rPr>
        <w:t>da Tabela Referencial 1,</w:t>
      </w:r>
      <w:r w:rsidRPr="00EB5878">
        <w:rPr>
          <w:rFonts w:ascii="Arial" w:eastAsia="Calibri" w:hAnsi="Arial" w:cs="Arial"/>
          <w:i/>
        </w:rPr>
        <w:t xml:space="preserve"> selecionados para avaliação na UG, bem como os demais itens auditados pelo Controle Interno]</w:t>
      </w:r>
    </w:p>
    <w:p w14:paraId="0A9B07C1" w14:textId="77777777" w:rsidR="00EB5878" w:rsidRDefault="00EB5878" w:rsidP="00EB5878">
      <w:pPr>
        <w:widowControl w:val="0"/>
        <w:spacing w:after="0" w:line="360" w:lineRule="auto"/>
        <w:jc w:val="both"/>
        <w:rPr>
          <w:rFonts w:ascii="Arial" w:eastAsia="Calibri" w:hAnsi="Arial" w:cs="Arial"/>
          <w:i/>
        </w:rPr>
      </w:pPr>
    </w:p>
    <w:p w14:paraId="788533BA" w14:textId="77777777" w:rsidR="00EB5878" w:rsidRDefault="00EB5878" w:rsidP="00EB5878">
      <w:pPr>
        <w:widowControl w:val="0"/>
        <w:spacing w:after="0" w:line="360" w:lineRule="auto"/>
        <w:jc w:val="both"/>
        <w:rPr>
          <w:rFonts w:ascii="Arial" w:eastAsia="Calibri" w:hAnsi="Arial" w:cs="Arial"/>
          <w:i/>
        </w:rPr>
      </w:pPr>
    </w:p>
    <w:p w14:paraId="291E64C0" w14:textId="77777777" w:rsidR="00EB5878" w:rsidRDefault="00EB5878" w:rsidP="00EB5878">
      <w:pPr>
        <w:widowControl w:val="0"/>
        <w:spacing w:after="0" w:line="360" w:lineRule="auto"/>
        <w:jc w:val="both"/>
        <w:rPr>
          <w:rFonts w:ascii="Arial" w:eastAsia="Calibri" w:hAnsi="Arial" w:cs="Arial"/>
          <w:i/>
        </w:rPr>
      </w:pPr>
    </w:p>
    <w:p w14:paraId="0E0BEF19" w14:textId="77777777" w:rsidR="00EB5878" w:rsidRDefault="00EB5878" w:rsidP="00EB5878">
      <w:pPr>
        <w:widowControl w:val="0"/>
        <w:spacing w:after="0" w:line="360" w:lineRule="auto"/>
        <w:jc w:val="both"/>
        <w:rPr>
          <w:rFonts w:ascii="Arial" w:eastAsia="Calibri" w:hAnsi="Arial" w:cs="Arial"/>
          <w:i/>
        </w:rPr>
      </w:pP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7"/>
        <w:gridCol w:w="1221"/>
        <w:gridCol w:w="1426"/>
        <w:gridCol w:w="599"/>
        <w:gridCol w:w="1674"/>
        <w:gridCol w:w="1705"/>
        <w:gridCol w:w="1597"/>
      </w:tblGrid>
      <w:tr w:rsidR="00EB5878" w:rsidRPr="00EB5878" w14:paraId="6435DC6D" w14:textId="77777777" w:rsidTr="00EB5878">
        <w:tc>
          <w:tcPr>
            <w:tcW w:w="422" w:type="pct"/>
            <w:vAlign w:val="center"/>
          </w:tcPr>
          <w:p w14:paraId="7AE04149" w14:textId="77777777" w:rsidR="00EB5878" w:rsidRPr="00EB5878" w:rsidRDefault="00EB5878" w:rsidP="00EB5878">
            <w:pPr>
              <w:widowControl w:val="0"/>
              <w:autoSpaceDE w:val="0"/>
              <w:autoSpaceDN w:val="0"/>
              <w:adjustRightInd w:val="0"/>
              <w:spacing w:after="0" w:line="240" w:lineRule="auto"/>
              <w:jc w:val="center"/>
              <w:rPr>
                <w:rFonts w:ascii="Arial" w:eastAsia="Calibri" w:hAnsi="Arial" w:cs="Arial"/>
                <w:b/>
                <w:bCs/>
                <w:sz w:val="16"/>
                <w:szCs w:val="16"/>
                <w:lang w:val="en-US"/>
              </w:rPr>
            </w:pPr>
            <w:r w:rsidRPr="00EB5878">
              <w:rPr>
                <w:rFonts w:ascii="Arial" w:eastAsia="Calibri" w:hAnsi="Arial" w:cs="Arial"/>
                <w:b/>
                <w:bCs/>
                <w:sz w:val="16"/>
                <w:szCs w:val="16"/>
                <w:lang w:val="en-US"/>
              </w:rPr>
              <w:t>Código</w:t>
            </w:r>
          </w:p>
        </w:tc>
        <w:tc>
          <w:tcPr>
            <w:tcW w:w="673" w:type="pct"/>
            <w:shd w:val="clear" w:color="auto" w:fill="auto"/>
            <w:vAlign w:val="center"/>
          </w:tcPr>
          <w:p w14:paraId="083577FF" w14:textId="77777777" w:rsidR="00EB5878" w:rsidRPr="00EB5878" w:rsidRDefault="00EB5878" w:rsidP="00EB5878">
            <w:pPr>
              <w:widowControl w:val="0"/>
              <w:autoSpaceDE w:val="0"/>
              <w:autoSpaceDN w:val="0"/>
              <w:adjustRightInd w:val="0"/>
              <w:spacing w:after="0" w:line="240" w:lineRule="auto"/>
              <w:jc w:val="center"/>
              <w:rPr>
                <w:rFonts w:ascii="Arial" w:eastAsia="Calibri" w:hAnsi="Arial" w:cs="Arial"/>
                <w:b/>
                <w:bCs/>
                <w:sz w:val="16"/>
                <w:szCs w:val="16"/>
                <w:lang w:val="en-US"/>
              </w:rPr>
            </w:pPr>
            <w:r w:rsidRPr="00EB5878">
              <w:rPr>
                <w:rFonts w:ascii="Arial" w:eastAsia="Calibri" w:hAnsi="Arial" w:cs="Arial"/>
                <w:b/>
                <w:bCs/>
                <w:sz w:val="16"/>
                <w:szCs w:val="16"/>
                <w:lang w:val="en-US"/>
              </w:rPr>
              <w:t>Objeto/Ponto de controle</w:t>
            </w:r>
          </w:p>
        </w:tc>
        <w:tc>
          <w:tcPr>
            <w:tcW w:w="786" w:type="pct"/>
            <w:vAlign w:val="center"/>
          </w:tcPr>
          <w:p w14:paraId="06492976" w14:textId="77777777" w:rsidR="00EB5878" w:rsidRPr="00EB5878" w:rsidRDefault="00EB5878" w:rsidP="00EB5878">
            <w:pPr>
              <w:widowControl w:val="0"/>
              <w:autoSpaceDE w:val="0"/>
              <w:autoSpaceDN w:val="0"/>
              <w:adjustRightInd w:val="0"/>
              <w:spacing w:after="0" w:line="240" w:lineRule="auto"/>
              <w:jc w:val="center"/>
              <w:rPr>
                <w:rFonts w:ascii="Arial" w:eastAsia="Calibri" w:hAnsi="Arial" w:cs="Arial"/>
                <w:b/>
                <w:bCs/>
                <w:sz w:val="16"/>
                <w:szCs w:val="16"/>
                <w:lang w:val="en-US"/>
              </w:rPr>
            </w:pPr>
            <w:r w:rsidRPr="00EB5878">
              <w:rPr>
                <w:rFonts w:ascii="Arial" w:eastAsia="Calibri" w:hAnsi="Arial" w:cs="Arial"/>
                <w:b/>
                <w:bCs/>
                <w:sz w:val="16"/>
                <w:szCs w:val="16"/>
                <w:lang w:val="en-US"/>
              </w:rPr>
              <w:t xml:space="preserve">Processos Administrativos </w:t>
            </w:r>
            <w:r w:rsidRPr="00EB5878">
              <w:rPr>
                <w:rFonts w:ascii="Arial" w:eastAsia="Calibri" w:hAnsi="Arial" w:cs="Arial"/>
                <w:b/>
                <w:bCs/>
                <w:sz w:val="16"/>
                <w:szCs w:val="16"/>
                <w:lang w:val="en-US"/>
              </w:rPr>
              <w:lastRenderedPageBreak/>
              <w:t>analisados</w:t>
            </w:r>
            <w:r w:rsidRPr="00EB5878">
              <w:rPr>
                <w:rFonts w:ascii="Arial" w:eastAsia="Calibri" w:hAnsi="Arial" w:cs="Arial"/>
                <w:b/>
                <w:bCs/>
                <w:sz w:val="16"/>
                <w:szCs w:val="16"/>
                <w:vertAlign w:val="superscript"/>
                <w:lang w:val="en-US"/>
              </w:rPr>
              <w:footnoteReference w:id="7"/>
            </w:r>
          </w:p>
        </w:tc>
        <w:tc>
          <w:tcPr>
            <w:tcW w:w="330" w:type="pct"/>
            <w:shd w:val="clear" w:color="auto" w:fill="auto"/>
            <w:vAlign w:val="center"/>
          </w:tcPr>
          <w:p w14:paraId="3FC853B5" w14:textId="77777777" w:rsidR="00EB5878" w:rsidRPr="00EB5878" w:rsidRDefault="00EB5878" w:rsidP="00EB5878">
            <w:pPr>
              <w:widowControl w:val="0"/>
              <w:autoSpaceDE w:val="0"/>
              <w:autoSpaceDN w:val="0"/>
              <w:adjustRightInd w:val="0"/>
              <w:spacing w:after="0" w:line="240" w:lineRule="auto"/>
              <w:jc w:val="center"/>
              <w:rPr>
                <w:rFonts w:ascii="Arial" w:eastAsia="Calibri" w:hAnsi="Arial" w:cs="Arial"/>
                <w:b/>
                <w:bCs/>
                <w:sz w:val="16"/>
                <w:szCs w:val="16"/>
                <w:lang w:val="en-US"/>
              </w:rPr>
            </w:pPr>
            <w:r w:rsidRPr="00EB5878">
              <w:rPr>
                <w:rFonts w:ascii="Arial" w:eastAsia="Calibri" w:hAnsi="Arial" w:cs="Arial"/>
                <w:b/>
                <w:bCs/>
                <w:sz w:val="16"/>
                <w:szCs w:val="16"/>
                <w:lang w:val="en-US"/>
              </w:rPr>
              <w:lastRenderedPageBreak/>
              <w:t>Base legal</w:t>
            </w:r>
          </w:p>
        </w:tc>
        <w:tc>
          <w:tcPr>
            <w:tcW w:w="938" w:type="pct"/>
            <w:shd w:val="clear" w:color="auto" w:fill="auto"/>
            <w:vAlign w:val="center"/>
          </w:tcPr>
          <w:p w14:paraId="0340174E" w14:textId="77777777" w:rsidR="00EB5878" w:rsidRPr="00EB5878" w:rsidRDefault="00EB5878" w:rsidP="00EB5878">
            <w:pPr>
              <w:widowControl w:val="0"/>
              <w:autoSpaceDE w:val="0"/>
              <w:autoSpaceDN w:val="0"/>
              <w:adjustRightInd w:val="0"/>
              <w:spacing w:after="0" w:line="240" w:lineRule="auto"/>
              <w:jc w:val="center"/>
              <w:rPr>
                <w:rFonts w:ascii="Arial" w:eastAsia="Calibri" w:hAnsi="Arial" w:cs="Arial"/>
                <w:b/>
                <w:bCs/>
                <w:sz w:val="16"/>
                <w:szCs w:val="16"/>
                <w:lang w:val="en-US"/>
              </w:rPr>
            </w:pPr>
            <w:r w:rsidRPr="00EB5878">
              <w:rPr>
                <w:rFonts w:ascii="Arial" w:eastAsia="Calibri" w:hAnsi="Arial" w:cs="Arial"/>
                <w:b/>
                <w:bCs/>
                <w:sz w:val="16"/>
                <w:szCs w:val="16"/>
                <w:lang w:val="en-US"/>
              </w:rPr>
              <w:t>Procedimento</w:t>
            </w:r>
          </w:p>
        </w:tc>
        <w:tc>
          <w:tcPr>
            <w:tcW w:w="955" w:type="pct"/>
            <w:vAlign w:val="center"/>
          </w:tcPr>
          <w:p w14:paraId="4CCAC8ED" w14:textId="77777777" w:rsidR="00EB5878" w:rsidRPr="00EB5878" w:rsidRDefault="00EB5878" w:rsidP="00EB5878">
            <w:pPr>
              <w:widowControl w:val="0"/>
              <w:autoSpaceDE w:val="0"/>
              <w:autoSpaceDN w:val="0"/>
              <w:adjustRightInd w:val="0"/>
              <w:spacing w:after="0" w:line="240" w:lineRule="auto"/>
              <w:jc w:val="center"/>
              <w:rPr>
                <w:rFonts w:ascii="Arial" w:eastAsia="Calibri" w:hAnsi="Arial" w:cs="Arial"/>
                <w:b/>
                <w:bCs/>
                <w:sz w:val="16"/>
                <w:szCs w:val="16"/>
              </w:rPr>
            </w:pPr>
            <w:r w:rsidRPr="00EB5878">
              <w:rPr>
                <w:rFonts w:ascii="Arial" w:eastAsia="Calibri" w:hAnsi="Arial" w:cs="Arial"/>
                <w:b/>
                <w:bCs/>
                <w:sz w:val="16"/>
                <w:szCs w:val="16"/>
              </w:rPr>
              <w:t xml:space="preserve">Universo do Ponto </w:t>
            </w:r>
            <w:r w:rsidRPr="00EB5878">
              <w:rPr>
                <w:rFonts w:ascii="Arial" w:eastAsia="Calibri" w:hAnsi="Arial" w:cs="Arial"/>
                <w:b/>
                <w:bCs/>
                <w:sz w:val="16"/>
                <w:szCs w:val="16"/>
              </w:rPr>
              <w:lastRenderedPageBreak/>
              <w:t>de Controle</w:t>
            </w:r>
            <w:r w:rsidRPr="00EB5878">
              <w:rPr>
                <w:rFonts w:ascii="Arial" w:eastAsia="Calibri" w:hAnsi="Arial" w:cs="Arial"/>
                <w:b/>
                <w:bCs/>
                <w:sz w:val="16"/>
                <w:szCs w:val="16"/>
                <w:vertAlign w:val="superscript"/>
              </w:rPr>
              <w:footnoteReference w:id="8"/>
            </w:r>
          </w:p>
        </w:tc>
        <w:tc>
          <w:tcPr>
            <w:tcW w:w="895" w:type="pct"/>
            <w:vAlign w:val="center"/>
          </w:tcPr>
          <w:p w14:paraId="1A8B11C8" w14:textId="77777777" w:rsidR="00EB5878" w:rsidRPr="00EB5878" w:rsidRDefault="00EB5878" w:rsidP="00EB5878">
            <w:pPr>
              <w:widowControl w:val="0"/>
              <w:autoSpaceDE w:val="0"/>
              <w:autoSpaceDN w:val="0"/>
              <w:adjustRightInd w:val="0"/>
              <w:spacing w:after="0" w:line="240" w:lineRule="auto"/>
              <w:jc w:val="center"/>
              <w:rPr>
                <w:rFonts w:ascii="Arial" w:eastAsia="Calibri" w:hAnsi="Arial" w:cs="Arial"/>
                <w:b/>
                <w:bCs/>
                <w:sz w:val="16"/>
                <w:szCs w:val="16"/>
              </w:rPr>
            </w:pPr>
            <w:r w:rsidRPr="00EB5878">
              <w:rPr>
                <w:rFonts w:ascii="Arial" w:eastAsia="Calibri" w:hAnsi="Arial" w:cs="Arial"/>
                <w:b/>
                <w:bCs/>
                <w:sz w:val="16"/>
                <w:szCs w:val="16"/>
              </w:rPr>
              <w:lastRenderedPageBreak/>
              <w:t xml:space="preserve">Amostra </w:t>
            </w:r>
            <w:r w:rsidRPr="00EB5878">
              <w:rPr>
                <w:rFonts w:ascii="Arial" w:eastAsia="Calibri" w:hAnsi="Arial" w:cs="Arial"/>
                <w:b/>
                <w:bCs/>
                <w:sz w:val="16"/>
                <w:szCs w:val="16"/>
              </w:rPr>
              <w:lastRenderedPageBreak/>
              <w:t>Selecionada</w:t>
            </w:r>
            <w:r w:rsidRPr="00EB5878">
              <w:rPr>
                <w:rFonts w:ascii="Arial" w:eastAsia="Calibri" w:hAnsi="Arial" w:cs="Arial"/>
                <w:b/>
                <w:bCs/>
                <w:sz w:val="16"/>
                <w:szCs w:val="16"/>
                <w:vertAlign w:val="superscript"/>
              </w:rPr>
              <w:footnoteReference w:id="9"/>
            </w:r>
          </w:p>
        </w:tc>
      </w:tr>
      <w:tr w:rsidR="00EB5878" w:rsidRPr="00EB5878" w14:paraId="2407395F" w14:textId="77777777" w:rsidTr="00EB5878">
        <w:tc>
          <w:tcPr>
            <w:tcW w:w="422" w:type="pct"/>
            <w:vAlign w:val="center"/>
          </w:tcPr>
          <w:p w14:paraId="01563956" w14:textId="77777777" w:rsidR="00EB5878" w:rsidRPr="00EB5878" w:rsidRDefault="00EB5878" w:rsidP="00EB5878">
            <w:pPr>
              <w:widowControl w:val="0"/>
              <w:spacing w:after="0" w:line="240" w:lineRule="auto"/>
              <w:jc w:val="both"/>
              <w:rPr>
                <w:rFonts w:ascii="Arial" w:eastAsia="Calibri" w:hAnsi="Arial" w:cs="Arial"/>
                <w:bCs/>
                <w:sz w:val="16"/>
                <w:szCs w:val="16"/>
              </w:rPr>
            </w:pPr>
          </w:p>
        </w:tc>
        <w:tc>
          <w:tcPr>
            <w:tcW w:w="673" w:type="pct"/>
            <w:shd w:val="clear" w:color="auto" w:fill="auto"/>
            <w:vAlign w:val="center"/>
          </w:tcPr>
          <w:p w14:paraId="63E255C2" w14:textId="77777777" w:rsidR="00EB5878" w:rsidRPr="00EB5878" w:rsidRDefault="00EB5878" w:rsidP="00EB5878">
            <w:pPr>
              <w:widowControl w:val="0"/>
              <w:spacing w:after="0" w:line="240" w:lineRule="auto"/>
              <w:jc w:val="both"/>
              <w:rPr>
                <w:rFonts w:ascii="Arial" w:eastAsia="Calibri" w:hAnsi="Arial" w:cs="Arial"/>
                <w:bCs/>
                <w:sz w:val="16"/>
                <w:szCs w:val="16"/>
              </w:rPr>
            </w:pPr>
          </w:p>
        </w:tc>
        <w:tc>
          <w:tcPr>
            <w:tcW w:w="786" w:type="pct"/>
            <w:vAlign w:val="center"/>
          </w:tcPr>
          <w:p w14:paraId="7D00D22F" w14:textId="77777777" w:rsidR="00EB5878" w:rsidRPr="00EB5878" w:rsidRDefault="00EB5878" w:rsidP="00EB5878">
            <w:pPr>
              <w:widowControl w:val="0"/>
              <w:autoSpaceDE w:val="0"/>
              <w:autoSpaceDN w:val="0"/>
              <w:adjustRightInd w:val="0"/>
              <w:spacing w:after="0" w:line="240" w:lineRule="auto"/>
              <w:jc w:val="both"/>
              <w:rPr>
                <w:rFonts w:ascii="Arial" w:eastAsia="Calibri" w:hAnsi="Arial" w:cs="Arial"/>
                <w:bCs/>
                <w:sz w:val="16"/>
                <w:szCs w:val="16"/>
              </w:rPr>
            </w:pPr>
          </w:p>
        </w:tc>
        <w:tc>
          <w:tcPr>
            <w:tcW w:w="330" w:type="pct"/>
            <w:shd w:val="clear" w:color="auto" w:fill="auto"/>
            <w:vAlign w:val="center"/>
          </w:tcPr>
          <w:p w14:paraId="238C5128" w14:textId="77777777" w:rsidR="00EB5878" w:rsidRPr="00EB5878" w:rsidRDefault="00EB5878" w:rsidP="00EB5878">
            <w:pPr>
              <w:widowControl w:val="0"/>
              <w:autoSpaceDE w:val="0"/>
              <w:autoSpaceDN w:val="0"/>
              <w:adjustRightInd w:val="0"/>
              <w:spacing w:after="0" w:line="240" w:lineRule="auto"/>
              <w:jc w:val="both"/>
              <w:rPr>
                <w:rFonts w:ascii="Arial" w:eastAsia="Calibri" w:hAnsi="Arial" w:cs="Arial"/>
                <w:bCs/>
                <w:sz w:val="16"/>
                <w:szCs w:val="16"/>
              </w:rPr>
            </w:pPr>
          </w:p>
        </w:tc>
        <w:tc>
          <w:tcPr>
            <w:tcW w:w="938" w:type="pct"/>
            <w:shd w:val="clear" w:color="auto" w:fill="auto"/>
            <w:vAlign w:val="center"/>
          </w:tcPr>
          <w:p w14:paraId="59123D94" w14:textId="77777777" w:rsidR="00EB5878" w:rsidRPr="00EB5878" w:rsidRDefault="00EB5878" w:rsidP="00EB5878">
            <w:pPr>
              <w:widowControl w:val="0"/>
              <w:autoSpaceDE w:val="0"/>
              <w:autoSpaceDN w:val="0"/>
              <w:adjustRightInd w:val="0"/>
              <w:spacing w:after="0" w:line="240" w:lineRule="auto"/>
              <w:jc w:val="both"/>
              <w:rPr>
                <w:rFonts w:ascii="Arial" w:eastAsia="Calibri" w:hAnsi="Arial" w:cs="Arial"/>
                <w:bCs/>
                <w:sz w:val="16"/>
                <w:szCs w:val="16"/>
              </w:rPr>
            </w:pPr>
          </w:p>
        </w:tc>
        <w:tc>
          <w:tcPr>
            <w:tcW w:w="955" w:type="pct"/>
            <w:vAlign w:val="center"/>
          </w:tcPr>
          <w:p w14:paraId="2BD12CA3" w14:textId="77777777" w:rsidR="00EB5878" w:rsidRPr="00EB5878" w:rsidRDefault="00EB5878" w:rsidP="00EB5878">
            <w:pPr>
              <w:widowControl w:val="0"/>
              <w:autoSpaceDE w:val="0"/>
              <w:autoSpaceDN w:val="0"/>
              <w:adjustRightInd w:val="0"/>
              <w:spacing w:after="0" w:line="240" w:lineRule="auto"/>
              <w:jc w:val="both"/>
              <w:rPr>
                <w:rFonts w:ascii="Arial" w:eastAsia="Calibri" w:hAnsi="Arial" w:cs="Arial"/>
                <w:bCs/>
                <w:sz w:val="16"/>
                <w:szCs w:val="16"/>
              </w:rPr>
            </w:pPr>
          </w:p>
        </w:tc>
        <w:tc>
          <w:tcPr>
            <w:tcW w:w="895" w:type="pct"/>
            <w:vAlign w:val="center"/>
          </w:tcPr>
          <w:p w14:paraId="12AA22D6" w14:textId="77777777" w:rsidR="00EB5878" w:rsidRPr="00EB5878" w:rsidRDefault="00EB5878" w:rsidP="00EB5878">
            <w:pPr>
              <w:widowControl w:val="0"/>
              <w:autoSpaceDE w:val="0"/>
              <w:autoSpaceDN w:val="0"/>
              <w:adjustRightInd w:val="0"/>
              <w:spacing w:after="0" w:line="240" w:lineRule="auto"/>
              <w:jc w:val="both"/>
              <w:rPr>
                <w:rFonts w:ascii="Arial" w:eastAsia="Calibri" w:hAnsi="Arial" w:cs="Arial"/>
                <w:bCs/>
                <w:sz w:val="16"/>
                <w:szCs w:val="16"/>
              </w:rPr>
            </w:pPr>
          </w:p>
        </w:tc>
      </w:tr>
      <w:tr w:rsidR="00EB5878" w:rsidRPr="00EB5878" w14:paraId="71F9EE15" w14:textId="77777777" w:rsidTr="00EB5878">
        <w:tc>
          <w:tcPr>
            <w:tcW w:w="422" w:type="pct"/>
            <w:vAlign w:val="center"/>
          </w:tcPr>
          <w:p w14:paraId="4430ABE2" w14:textId="77777777" w:rsidR="00EB5878" w:rsidRPr="00EB5878" w:rsidRDefault="00EB5878" w:rsidP="00EB5878">
            <w:pPr>
              <w:widowControl w:val="0"/>
              <w:spacing w:after="0" w:line="240" w:lineRule="auto"/>
              <w:jc w:val="both"/>
              <w:rPr>
                <w:rFonts w:ascii="Arial" w:eastAsia="Calibri" w:hAnsi="Arial" w:cs="Arial"/>
                <w:bCs/>
                <w:sz w:val="16"/>
                <w:szCs w:val="16"/>
              </w:rPr>
            </w:pPr>
          </w:p>
        </w:tc>
        <w:tc>
          <w:tcPr>
            <w:tcW w:w="673" w:type="pct"/>
            <w:shd w:val="clear" w:color="auto" w:fill="auto"/>
            <w:vAlign w:val="center"/>
          </w:tcPr>
          <w:p w14:paraId="1A3EC3B0" w14:textId="77777777" w:rsidR="00EB5878" w:rsidRPr="00EB5878" w:rsidRDefault="00EB5878" w:rsidP="00EB5878">
            <w:pPr>
              <w:widowControl w:val="0"/>
              <w:spacing w:after="0" w:line="240" w:lineRule="auto"/>
              <w:jc w:val="both"/>
              <w:rPr>
                <w:rFonts w:ascii="Arial" w:eastAsia="Calibri" w:hAnsi="Arial" w:cs="Arial"/>
                <w:bCs/>
                <w:sz w:val="16"/>
                <w:szCs w:val="16"/>
              </w:rPr>
            </w:pPr>
          </w:p>
        </w:tc>
        <w:tc>
          <w:tcPr>
            <w:tcW w:w="786" w:type="pct"/>
            <w:vAlign w:val="center"/>
          </w:tcPr>
          <w:p w14:paraId="74E5EE75" w14:textId="77777777" w:rsidR="00EB5878" w:rsidRPr="00EB5878" w:rsidRDefault="00EB5878" w:rsidP="00EB5878">
            <w:pPr>
              <w:widowControl w:val="0"/>
              <w:autoSpaceDE w:val="0"/>
              <w:autoSpaceDN w:val="0"/>
              <w:adjustRightInd w:val="0"/>
              <w:spacing w:after="0" w:line="240" w:lineRule="auto"/>
              <w:jc w:val="both"/>
              <w:rPr>
                <w:rFonts w:ascii="Arial" w:eastAsia="Calibri" w:hAnsi="Arial" w:cs="Arial"/>
                <w:bCs/>
                <w:sz w:val="16"/>
                <w:szCs w:val="16"/>
              </w:rPr>
            </w:pPr>
          </w:p>
        </w:tc>
        <w:tc>
          <w:tcPr>
            <w:tcW w:w="330" w:type="pct"/>
            <w:shd w:val="clear" w:color="auto" w:fill="auto"/>
            <w:vAlign w:val="center"/>
          </w:tcPr>
          <w:p w14:paraId="33F9EF32" w14:textId="77777777" w:rsidR="00EB5878" w:rsidRPr="00EB5878" w:rsidRDefault="00EB5878" w:rsidP="00EB5878">
            <w:pPr>
              <w:widowControl w:val="0"/>
              <w:autoSpaceDE w:val="0"/>
              <w:autoSpaceDN w:val="0"/>
              <w:adjustRightInd w:val="0"/>
              <w:spacing w:after="0" w:line="240" w:lineRule="auto"/>
              <w:jc w:val="both"/>
              <w:rPr>
                <w:rFonts w:ascii="Arial" w:eastAsia="Calibri" w:hAnsi="Arial" w:cs="Arial"/>
                <w:bCs/>
                <w:sz w:val="16"/>
                <w:szCs w:val="16"/>
              </w:rPr>
            </w:pPr>
          </w:p>
        </w:tc>
        <w:tc>
          <w:tcPr>
            <w:tcW w:w="938" w:type="pct"/>
            <w:shd w:val="clear" w:color="auto" w:fill="auto"/>
            <w:vAlign w:val="center"/>
          </w:tcPr>
          <w:p w14:paraId="165A3233" w14:textId="77777777" w:rsidR="00EB5878" w:rsidRPr="00EB5878" w:rsidRDefault="00EB5878" w:rsidP="00EB5878">
            <w:pPr>
              <w:widowControl w:val="0"/>
              <w:autoSpaceDE w:val="0"/>
              <w:autoSpaceDN w:val="0"/>
              <w:adjustRightInd w:val="0"/>
              <w:spacing w:after="0" w:line="240" w:lineRule="auto"/>
              <w:jc w:val="both"/>
              <w:rPr>
                <w:rFonts w:ascii="Arial" w:eastAsia="Calibri" w:hAnsi="Arial" w:cs="Arial"/>
                <w:bCs/>
                <w:sz w:val="16"/>
                <w:szCs w:val="16"/>
              </w:rPr>
            </w:pPr>
          </w:p>
        </w:tc>
        <w:tc>
          <w:tcPr>
            <w:tcW w:w="955" w:type="pct"/>
            <w:vAlign w:val="center"/>
          </w:tcPr>
          <w:p w14:paraId="1D448A9F" w14:textId="77777777" w:rsidR="00EB5878" w:rsidRPr="00EB5878" w:rsidRDefault="00EB5878" w:rsidP="00EB5878">
            <w:pPr>
              <w:widowControl w:val="0"/>
              <w:autoSpaceDE w:val="0"/>
              <w:autoSpaceDN w:val="0"/>
              <w:adjustRightInd w:val="0"/>
              <w:spacing w:after="0" w:line="240" w:lineRule="auto"/>
              <w:jc w:val="both"/>
              <w:rPr>
                <w:rFonts w:ascii="Arial" w:eastAsia="Calibri" w:hAnsi="Arial" w:cs="Arial"/>
                <w:bCs/>
                <w:sz w:val="16"/>
                <w:szCs w:val="16"/>
              </w:rPr>
            </w:pPr>
          </w:p>
        </w:tc>
        <w:tc>
          <w:tcPr>
            <w:tcW w:w="895" w:type="pct"/>
            <w:vAlign w:val="center"/>
          </w:tcPr>
          <w:p w14:paraId="6986C329" w14:textId="77777777" w:rsidR="00EB5878" w:rsidRPr="00EB5878" w:rsidRDefault="00EB5878" w:rsidP="00EB5878">
            <w:pPr>
              <w:widowControl w:val="0"/>
              <w:autoSpaceDE w:val="0"/>
              <w:autoSpaceDN w:val="0"/>
              <w:adjustRightInd w:val="0"/>
              <w:spacing w:after="0" w:line="240" w:lineRule="auto"/>
              <w:jc w:val="both"/>
              <w:rPr>
                <w:rFonts w:ascii="Arial" w:eastAsia="Calibri" w:hAnsi="Arial" w:cs="Arial"/>
                <w:bCs/>
                <w:sz w:val="16"/>
                <w:szCs w:val="16"/>
              </w:rPr>
            </w:pPr>
          </w:p>
        </w:tc>
      </w:tr>
    </w:tbl>
    <w:p w14:paraId="1C2F94F1" w14:textId="77777777" w:rsidR="00EB5878" w:rsidRPr="00EB5878" w:rsidRDefault="00EB5878" w:rsidP="00EB5878">
      <w:pPr>
        <w:widowControl w:val="0"/>
        <w:spacing w:after="0" w:line="360" w:lineRule="auto"/>
        <w:jc w:val="both"/>
        <w:rPr>
          <w:rFonts w:ascii="Arial" w:eastAsia="Calibri" w:hAnsi="Arial" w:cs="Arial"/>
        </w:rPr>
      </w:pPr>
    </w:p>
    <w:p w14:paraId="68719806" w14:textId="77777777" w:rsidR="00EB5878" w:rsidRPr="00EB5878" w:rsidRDefault="00EB5878" w:rsidP="00EB5878">
      <w:pPr>
        <w:widowControl w:val="0"/>
        <w:spacing w:after="0" w:line="360" w:lineRule="auto"/>
        <w:jc w:val="both"/>
        <w:rPr>
          <w:rFonts w:ascii="Arial" w:eastAsia="Calibri" w:hAnsi="Arial" w:cs="Arial"/>
          <w:b/>
        </w:rPr>
      </w:pPr>
      <w:r w:rsidRPr="00EB5878">
        <w:rPr>
          <w:rFonts w:ascii="Arial" w:eastAsia="Calibri" w:hAnsi="Arial" w:cs="Arial"/>
          <w:b/>
        </w:rPr>
        <w:t>1.2. Constatações e proposições</w:t>
      </w:r>
    </w:p>
    <w:p w14:paraId="68E1FA0A" w14:textId="77777777" w:rsidR="00EB5878" w:rsidRPr="00EB5878" w:rsidRDefault="00EB5878" w:rsidP="00EB5878">
      <w:pPr>
        <w:widowControl w:val="0"/>
        <w:autoSpaceDE w:val="0"/>
        <w:autoSpaceDN w:val="0"/>
        <w:adjustRightInd w:val="0"/>
        <w:spacing w:after="0" w:line="240" w:lineRule="auto"/>
        <w:jc w:val="both"/>
        <w:rPr>
          <w:rFonts w:ascii="Arial" w:eastAsia="Calibri" w:hAnsi="Arial" w:cs="Arial"/>
          <w:bCs/>
        </w:rPr>
      </w:pPr>
    </w:p>
    <w:p w14:paraId="404245FF" w14:textId="77777777" w:rsidR="00EB5878" w:rsidRPr="00EB5878" w:rsidRDefault="00EB5878" w:rsidP="00EB5878">
      <w:pPr>
        <w:widowControl w:val="0"/>
        <w:spacing w:after="0" w:line="360" w:lineRule="auto"/>
        <w:jc w:val="both"/>
        <w:rPr>
          <w:rFonts w:ascii="Arial" w:eastAsia="Calibri" w:hAnsi="Arial" w:cs="Arial"/>
          <w:i/>
        </w:rPr>
      </w:pPr>
      <w:r w:rsidRPr="00EB5878">
        <w:rPr>
          <w:rFonts w:ascii="Arial" w:eastAsia="Calibri" w:hAnsi="Arial" w:cs="Arial"/>
          <w:i/>
        </w:rPr>
        <w:t>[Relatar neste tópico as constatações acerca dos itens selecionados para análise, conforme tabela do tópico 1.1, indicando os achados e as proposições. O relato poderá ser realizado no formato da tabela abaixo, utilizando como referência o código indicado na tabela do tópico 1.1]</w:t>
      </w:r>
    </w:p>
    <w:p w14:paraId="498424D9" w14:textId="77777777" w:rsidR="00EB5878" w:rsidRPr="00EB5878" w:rsidRDefault="00EB5878" w:rsidP="00EB5878">
      <w:pPr>
        <w:widowControl w:val="0"/>
        <w:spacing w:after="0" w:line="360" w:lineRule="auto"/>
        <w:jc w:val="both"/>
        <w:rPr>
          <w:rFonts w:ascii="Arial" w:eastAsia="Calibri" w:hAnsi="Arial" w:cs="Arial"/>
          <w:i/>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118"/>
        <w:gridCol w:w="3261"/>
        <w:gridCol w:w="1842"/>
      </w:tblGrid>
      <w:tr w:rsidR="00EB5878" w:rsidRPr="00EB5878" w14:paraId="46B72185" w14:textId="77777777" w:rsidTr="00EB5878">
        <w:tc>
          <w:tcPr>
            <w:tcW w:w="851" w:type="dxa"/>
            <w:shd w:val="clear" w:color="auto" w:fill="auto"/>
            <w:vAlign w:val="center"/>
          </w:tcPr>
          <w:p w14:paraId="6D86712C" w14:textId="77777777" w:rsidR="00EB5878" w:rsidRPr="00EB5878" w:rsidRDefault="00EB5878" w:rsidP="00EB5878">
            <w:pPr>
              <w:widowControl w:val="0"/>
              <w:autoSpaceDE w:val="0"/>
              <w:autoSpaceDN w:val="0"/>
              <w:adjustRightInd w:val="0"/>
              <w:spacing w:after="0" w:line="240" w:lineRule="auto"/>
              <w:jc w:val="center"/>
              <w:rPr>
                <w:rFonts w:ascii="Arial" w:eastAsia="Calibri" w:hAnsi="Arial" w:cs="Arial"/>
                <w:b/>
                <w:bCs/>
                <w:sz w:val="16"/>
                <w:szCs w:val="16"/>
                <w:lang w:val="en-US"/>
              </w:rPr>
            </w:pPr>
            <w:r w:rsidRPr="00EB5878">
              <w:rPr>
                <w:rFonts w:ascii="Arial" w:eastAsia="Calibri" w:hAnsi="Arial" w:cs="Arial"/>
                <w:b/>
                <w:bCs/>
                <w:sz w:val="16"/>
                <w:szCs w:val="16"/>
                <w:lang w:val="en-US"/>
              </w:rPr>
              <w:t>Código</w:t>
            </w:r>
          </w:p>
        </w:tc>
        <w:tc>
          <w:tcPr>
            <w:tcW w:w="3118" w:type="dxa"/>
            <w:shd w:val="clear" w:color="auto" w:fill="auto"/>
            <w:vAlign w:val="center"/>
          </w:tcPr>
          <w:p w14:paraId="59B084BE" w14:textId="77777777" w:rsidR="00EB5878" w:rsidRPr="00EB5878" w:rsidRDefault="00EB5878" w:rsidP="00EB5878">
            <w:pPr>
              <w:widowControl w:val="0"/>
              <w:autoSpaceDE w:val="0"/>
              <w:autoSpaceDN w:val="0"/>
              <w:adjustRightInd w:val="0"/>
              <w:spacing w:after="0" w:line="240" w:lineRule="auto"/>
              <w:jc w:val="center"/>
              <w:rPr>
                <w:rFonts w:ascii="Arial" w:eastAsia="Calibri" w:hAnsi="Arial" w:cs="Arial"/>
                <w:b/>
                <w:bCs/>
                <w:sz w:val="16"/>
                <w:szCs w:val="16"/>
                <w:lang w:val="en-US"/>
              </w:rPr>
            </w:pPr>
            <w:r w:rsidRPr="00EB5878">
              <w:rPr>
                <w:rFonts w:ascii="Arial" w:eastAsia="Calibri" w:hAnsi="Arial" w:cs="Arial"/>
                <w:b/>
                <w:bCs/>
                <w:sz w:val="16"/>
                <w:szCs w:val="16"/>
                <w:lang w:val="en-US"/>
              </w:rPr>
              <w:t>Achados</w:t>
            </w:r>
          </w:p>
        </w:tc>
        <w:tc>
          <w:tcPr>
            <w:tcW w:w="3261" w:type="dxa"/>
            <w:vAlign w:val="center"/>
          </w:tcPr>
          <w:p w14:paraId="63E14C41" w14:textId="77777777" w:rsidR="00EB5878" w:rsidRPr="00EB5878" w:rsidRDefault="00EB5878" w:rsidP="00EB5878">
            <w:pPr>
              <w:widowControl w:val="0"/>
              <w:autoSpaceDE w:val="0"/>
              <w:autoSpaceDN w:val="0"/>
              <w:adjustRightInd w:val="0"/>
              <w:spacing w:after="0" w:line="240" w:lineRule="auto"/>
              <w:jc w:val="center"/>
              <w:rPr>
                <w:rFonts w:ascii="Arial" w:eastAsia="Calibri" w:hAnsi="Arial" w:cs="Arial"/>
                <w:b/>
                <w:bCs/>
                <w:sz w:val="16"/>
                <w:szCs w:val="16"/>
                <w:lang w:val="en-US"/>
              </w:rPr>
            </w:pPr>
            <w:r w:rsidRPr="00EB5878">
              <w:rPr>
                <w:rFonts w:ascii="Arial" w:eastAsia="Calibri" w:hAnsi="Arial" w:cs="Arial"/>
                <w:b/>
                <w:bCs/>
                <w:sz w:val="16"/>
                <w:szCs w:val="16"/>
                <w:lang w:val="en-US"/>
              </w:rPr>
              <w:t>Proposições/Alertas</w:t>
            </w:r>
          </w:p>
        </w:tc>
        <w:tc>
          <w:tcPr>
            <w:tcW w:w="1842" w:type="dxa"/>
          </w:tcPr>
          <w:p w14:paraId="553754A5" w14:textId="77777777" w:rsidR="00EB5878" w:rsidRPr="00EB5878" w:rsidRDefault="00EB5878" w:rsidP="00EB5878">
            <w:pPr>
              <w:widowControl w:val="0"/>
              <w:autoSpaceDE w:val="0"/>
              <w:autoSpaceDN w:val="0"/>
              <w:adjustRightInd w:val="0"/>
              <w:spacing w:after="0" w:line="240" w:lineRule="auto"/>
              <w:jc w:val="center"/>
              <w:rPr>
                <w:rFonts w:ascii="Arial" w:eastAsia="Calibri" w:hAnsi="Arial" w:cs="Arial"/>
                <w:b/>
                <w:bCs/>
                <w:sz w:val="16"/>
                <w:szCs w:val="16"/>
                <w:lang w:val="en-US"/>
              </w:rPr>
            </w:pPr>
            <w:r w:rsidRPr="00EB5878">
              <w:rPr>
                <w:rFonts w:ascii="Arial" w:eastAsia="Calibri" w:hAnsi="Arial" w:cs="Arial"/>
                <w:b/>
                <w:bCs/>
                <w:sz w:val="16"/>
                <w:szCs w:val="16"/>
                <w:lang w:val="en-US"/>
              </w:rPr>
              <w:t>Situação</w:t>
            </w:r>
          </w:p>
        </w:tc>
      </w:tr>
      <w:tr w:rsidR="00EB5878" w:rsidRPr="00EB5878" w14:paraId="6E783CE3" w14:textId="77777777" w:rsidTr="00EB5878">
        <w:trPr>
          <w:trHeight w:val="22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A8DD483" w14:textId="77777777" w:rsidR="00EB5878" w:rsidRPr="00EB5878" w:rsidRDefault="00EB5878" w:rsidP="00EB5878">
            <w:pPr>
              <w:widowControl w:val="0"/>
              <w:autoSpaceDE w:val="0"/>
              <w:autoSpaceDN w:val="0"/>
              <w:adjustRightInd w:val="0"/>
              <w:spacing w:after="0" w:line="240" w:lineRule="auto"/>
              <w:jc w:val="both"/>
              <w:rPr>
                <w:rFonts w:ascii="Arial" w:eastAsia="Calibri" w:hAnsi="Arial" w:cs="Arial"/>
                <w:bCs/>
                <w:sz w:val="16"/>
                <w:szCs w:val="16"/>
                <w:lang w:val="en-US"/>
              </w:rPr>
            </w:pP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2E1EA6B1" w14:textId="77777777" w:rsidR="00EB5878" w:rsidRPr="00EB5878" w:rsidRDefault="00EB5878" w:rsidP="00EB5878">
            <w:pPr>
              <w:widowControl w:val="0"/>
              <w:autoSpaceDE w:val="0"/>
              <w:autoSpaceDN w:val="0"/>
              <w:adjustRightInd w:val="0"/>
              <w:spacing w:after="0" w:line="240" w:lineRule="auto"/>
              <w:jc w:val="both"/>
              <w:rPr>
                <w:rFonts w:ascii="Arial" w:eastAsia="Calibri" w:hAnsi="Arial" w:cs="Arial"/>
                <w:bCs/>
                <w:sz w:val="16"/>
                <w:szCs w:val="16"/>
                <w:lang w:val="en-US"/>
              </w:rPr>
            </w:pPr>
          </w:p>
        </w:tc>
        <w:tc>
          <w:tcPr>
            <w:tcW w:w="3261" w:type="dxa"/>
            <w:tcBorders>
              <w:top w:val="single" w:sz="4" w:space="0" w:color="auto"/>
              <w:left w:val="single" w:sz="4" w:space="0" w:color="auto"/>
              <w:bottom w:val="single" w:sz="4" w:space="0" w:color="auto"/>
              <w:right w:val="single" w:sz="4" w:space="0" w:color="auto"/>
            </w:tcBorders>
            <w:vAlign w:val="center"/>
          </w:tcPr>
          <w:p w14:paraId="68EDACF0" w14:textId="77777777" w:rsidR="00EB5878" w:rsidRPr="00EB5878" w:rsidRDefault="00EB5878" w:rsidP="00EB5878">
            <w:pPr>
              <w:widowControl w:val="0"/>
              <w:autoSpaceDE w:val="0"/>
              <w:autoSpaceDN w:val="0"/>
              <w:adjustRightInd w:val="0"/>
              <w:spacing w:after="0" w:line="240" w:lineRule="auto"/>
              <w:jc w:val="both"/>
              <w:rPr>
                <w:rFonts w:ascii="Arial" w:eastAsia="Calibri" w:hAnsi="Arial" w:cs="Arial"/>
                <w:bCs/>
                <w:sz w:val="16"/>
                <w:szCs w:val="16"/>
                <w:lang w:val="en-US"/>
              </w:rPr>
            </w:pPr>
          </w:p>
        </w:tc>
        <w:tc>
          <w:tcPr>
            <w:tcW w:w="1842" w:type="dxa"/>
            <w:tcBorders>
              <w:top w:val="single" w:sz="4" w:space="0" w:color="auto"/>
              <w:left w:val="single" w:sz="4" w:space="0" w:color="auto"/>
              <w:bottom w:val="single" w:sz="4" w:space="0" w:color="auto"/>
              <w:right w:val="single" w:sz="4" w:space="0" w:color="auto"/>
            </w:tcBorders>
          </w:tcPr>
          <w:p w14:paraId="01106ED3" w14:textId="77777777" w:rsidR="00EB5878" w:rsidRPr="00EB5878" w:rsidRDefault="00EB5878" w:rsidP="00EB5878">
            <w:pPr>
              <w:widowControl w:val="0"/>
              <w:autoSpaceDE w:val="0"/>
              <w:autoSpaceDN w:val="0"/>
              <w:adjustRightInd w:val="0"/>
              <w:spacing w:after="0" w:line="240" w:lineRule="auto"/>
              <w:jc w:val="both"/>
              <w:rPr>
                <w:rFonts w:ascii="Arial" w:eastAsia="Calibri" w:hAnsi="Arial" w:cs="Arial"/>
                <w:bCs/>
                <w:sz w:val="16"/>
                <w:szCs w:val="16"/>
                <w:lang w:val="en-US"/>
              </w:rPr>
            </w:pPr>
          </w:p>
        </w:tc>
      </w:tr>
      <w:tr w:rsidR="00EB5878" w:rsidRPr="00EB5878" w14:paraId="6F1A02D0" w14:textId="77777777" w:rsidTr="00EB5878">
        <w:trPr>
          <w:trHeight w:val="22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5C4BF10" w14:textId="77777777" w:rsidR="00EB5878" w:rsidRPr="00EB5878" w:rsidRDefault="00EB5878" w:rsidP="00EB5878">
            <w:pPr>
              <w:widowControl w:val="0"/>
              <w:autoSpaceDE w:val="0"/>
              <w:autoSpaceDN w:val="0"/>
              <w:adjustRightInd w:val="0"/>
              <w:spacing w:after="0" w:line="240" w:lineRule="auto"/>
              <w:jc w:val="both"/>
              <w:rPr>
                <w:rFonts w:ascii="Arial" w:eastAsia="Calibri" w:hAnsi="Arial" w:cs="Arial"/>
                <w:bCs/>
                <w:sz w:val="16"/>
                <w:szCs w:val="16"/>
                <w:lang w:val="en-US"/>
              </w:rPr>
            </w:pP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37E28BB9" w14:textId="77777777" w:rsidR="00EB5878" w:rsidRPr="00EB5878" w:rsidRDefault="00EB5878" w:rsidP="00EB5878">
            <w:pPr>
              <w:widowControl w:val="0"/>
              <w:autoSpaceDE w:val="0"/>
              <w:autoSpaceDN w:val="0"/>
              <w:adjustRightInd w:val="0"/>
              <w:spacing w:after="0" w:line="240" w:lineRule="auto"/>
              <w:jc w:val="both"/>
              <w:rPr>
                <w:rFonts w:ascii="Arial" w:eastAsia="Calibri" w:hAnsi="Arial" w:cs="Arial"/>
                <w:bCs/>
                <w:sz w:val="16"/>
                <w:szCs w:val="16"/>
                <w:lang w:val="en-US"/>
              </w:rPr>
            </w:pPr>
          </w:p>
        </w:tc>
        <w:tc>
          <w:tcPr>
            <w:tcW w:w="3261" w:type="dxa"/>
            <w:tcBorders>
              <w:top w:val="single" w:sz="4" w:space="0" w:color="auto"/>
              <w:left w:val="single" w:sz="4" w:space="0" w:color="auto"/>
              <w:bottom w:val="single" w:sz="4" w:space="0" w:color="auto"/>
              <w:right w:val="single" w:sz="4" w:space="0" w:color="auto"/>
            </w:tcBorders>
            <w:vAlign w:val="center"/>
          </w:tcPr>
          <w:p w14:paraId="091719EB" w14:textId="77777777" w:rsidR="00EB5878" w:rsidRPr="00EB5878" w:rsidRDefault="00EB5878" w:rsidP="00EB5878">
            <w:pPr>
              <w:widowControl w:val="0"/>
              <w:autoSpaceDE w:val="0"/>
              <w:autoSpaceDN w:val="0"/>
              <w:adjustRightInd w:val="0"/>
              <w:spacing w:after="0" w:line="240" w:lineRule="auto"/>
              <w:jc w:val="both"/>
              <w:rPr>
                <w:rFonts w:ascii="Arial" w:eastAsia="Calibri" w:hAnsi="Arial" w:cs="Arial"/>
                <w:bCs/>
                <w:sz w:val="16"/>
                <w:szCs w:val="16"/>
                <w:lang w:val="en-US"/>
              </w:rPr>
            </w:pPr>
          </w:p>
        </w:tc>
        <w:tc>
          <w:tcPr>
            <w:tcW w:w="1842" w:type="dxa"/>
            <w:tcBorders>
              <w:top w:val="single" w:sz="4" w:space="0" w:color="auto"/>
              <w:left w:val="single" w:sz="4" w:space="0" w:color="auto"/>
              <w:bottom w:val="single" w:sz="4" w:space="0" w:color="auto"/>
              <w:right w:val="single" w:sz="4" w:space="0" w:color="auto"/>
            </w:tcBorders>
          </w:tcPr>
          <w:p w14:paraId="5649FA73" w14:textId="77777777" w:rsidR="00EB5878" w:rsidRPr="00EB5878" w:rsidRDefault="00EB5878" w:rsidP="00EB5878">
            <w:pPr>
              <w:widowControl w:val="0"/>
              <w:autoSpaceDE w:val="0"/>
              <w:autoSpaceDN w:val="0"/>
              <w:adjustRightInd w:val="0"/>
              <w:spacing w:after="0" w:line="240" w:lineRule="auto"/>
              <w:jc w:val="both"/>
              <w:rPr>
                <w:rFonts w:ascii="Arial" w:eastAsia="Calibri" w:hAnsi="Arial" w:cs="Arial"/>
                <w:bCs/>
                <w:sz w:val="16"/>
                <w:szCs w:val="16"/>
                <w:lang w:val="en-US"/>
              </w:rPr>
            </w:pPr>
          </w:p>
        </w:tc>
      </w:tr>
    </w:tbl>
    <w:p w14:paraId="53EADB20" w14:textId="77777777" w:rsidR="00EB5878" w:rsidRPr="00EB5878" w:rsidRDefault="00EB5878" w:rsidP="00EB5878">
      <w:pPr>
        <w:widowControl w:val="0"/>
        <w:spacing w:after="0" w:line="240" w:lineRule="auto"/>
        <w:rPr>
          <w:rFonts w:ascii="Arial" w:eastAsia="Calibri" w:hAnsi="Arial" w:cs="Arial"/>
          <w:b/>
          <w:lang w:val="en-US"/>
        </w:rPr>
      </w:pPr>
    </w:p>
    <w:p w14:paraId="73E53450" w14:textId="77777777" w:rsidR="00EB5878" w:rsidRPr="00EB5878" w:rsidRDefault="00EB5878" w:rsidP="00EB5878">
      <w:pPr>
        <w:widowControl w:val="0"/>
        <w:spacing w:after="0" w:line="240" w:lineRule="auto"/>
        <w:rPr>
          <w:rFonts w:ascii="Arial" w:eastAsia="Calibri" w:hAnsi="Arial" w:cs="Arial"/>
          <w:b/>
          <w:lang w:val="en-US"/>
        </w:rPr>
      </w:pPr>
    </w:p>
    <w:p w14:paraId="3B14CB29" w14:textId="77777777" w:rsidR="00EB5878" w:rsidRPr="00EB5878" w:rsidRDefault="00EB5878" w:rsidP="00EB5878">
      <w:pPr>
        <w:widowControl w:val="0"/>
        <w:spacing w:after="0" w:line="240" w:lineRule="auto"/>
        <w:rPr>
          <w:rFonts w:ascii="Arial" w:eastAsia="Calibri" w:hAnsi="Arial" w:cs="Arial"/>
          <w:b/>
          <w:lang w:val="en-US"/>
        </w:rPr>
      </w:pPr>
      <w:r w:rsidRPr="00EB5878">
        <w:rPr>
          <w:rFonts w:ascii="Arial" w:eastAsia="Calibri" w:hAnsi="Arial" w:cs="Arial"/>
          <w:b/>
          <w:lang w:val="en-US"/>
        </w:rPr>
        <w:t>2. PARECER DO CONTROLE INTERNO</w:t>
      </w:r>
    </w:p>
    <w:p w14:paraId="27C2C587" w14:textId="77777777" w:rsidR="00EB5878" w:rsidRPr="00EB5878" w:rsidRDefault="00EB5878" w:rsidP="00EB5878">
      <w:pPr>
        <w:widowControl w:val="0"/>
        <w:autoSpaceDE w:val="0"/>
        <w:autoSpaceDN w:val="0"/>
        <w:adjustRightInd w:val="0"/>
        <w:spacing w:after="0" w:line="240" w:lineRule="auto"/>
        <w:jc w:val="both"/>
        <w:rPr>
          <w:rFonts w:ascii="Arial" w:eastAsia="Calibri" w:hAnsi="Arial" w:cs="Arial"/>
          <w:bCs/>
          <w:lang w:val="en-US"/>
        </w:rPr>
      </w:pPr>
    </w:p>
    <w:p w14:paraId="76209984" w14:textId="77777777" w:rsidR="00EB5878" w:rsidRPr="00EB5878" w:rsidRDefault="00EB5878" w:rsidP="00EB5878">
      <w:pPr>
        <w:widowControl w:val="0"/>
        <w:spacing w:after="0" w:line="360" w:lineRule="auto"/>
        <w:jc w:val="both"/>
        <w:rPr>
          <w:rFonts w:ascii="Arial" w:eastAsia="Calibri" w:hAnsi="Arial" w:cs="Arial"/>
        </w:rPr>
      </w:pPr>
    </w:p>
    <w:p w14:paraId="5BAE561C" w14:textId="77777777" w:rsidR="00EB5878" w:rsidRPr="00EB5878" w:rsidRDefault="00EB5878" w:rsidP="00EB5878">
      <w:pPr>
        <w:widowControl w:val="0"/>
        <w:spacing w:after="0" w:line="360" w:lineRule="auto"/>
        <w:jc w:val="both"/>
        <w:rPr>
          <w:rFonts w:ascii="Arial" w:eastAsia="Calibri" w:hAnsi="Arial" w:cs="Arial"/>
        </w:rPr>
      </w:pPr>
      <w:r w:rsidRPr="00EB5878">
        <w:rPr>
          <w:rFonts w:ascii="Arial" w:eastAsia="Calibri" w:hAnsi="Arial" w:cs="Arial"/>
        </w:rPr>
        <w:t xml:space="preserve">Examinamos a prestação de contas anual elaborada sob a responsabilidade do Sr(s). </w:t>
      </w:r>
      <w:r w:rsidRPr="00EB5878">
        <w:rPr>
          <w:rFonts w:ascii="Arial" w:eastAsia="Calibri" w:hAnsi="Arial" w:cs="Arial"/>
          <w:i/>
        </w:rPr>
        <w:t>[indicar os gestores responsáveis]</w:t>
      </w:r>
      <w:r w:rsidRPr="00EB5878">
        <w:rPr>
          <w:rFonts w:ascii="Arial" w:eastAsia="Calibri" w:hAnsi="Arial" w:cs="Arial"/>
        </w:rPr>
        <w:t xml:space="preserve">, gestor(s) do(a) </w:t>
      </w:r>
      <w:r w:rsidRPr="00EB5878">
        <w:rPr>
          <w:rFonts w:ascii="Arial" w:eastAsia="Calibri" w:hAnsi="Arial" w:cs="Arial"/>
          <w:i/>
        </w:rPr>
        <w:t>[Identificar a unidade gestora],</w:t>
      </w:r>
      <w:r w:rsidRPr="00EB5878">
        <w:rPr>
          <w:rFonts w:ascii="Arial" w:eastAsia="Calibri" w:hAnsi="Arial" w:cs="Arial"/>
        </w:rPr>
        <w:t xml:space="preserve"> relativa ao exercício de </w:t>
      </w:r>
      <w:r w:rsidRPr="00EB5878">
        <w:rPr>
          <w:rFonts w:ascii="Arial" w:eastAsia="Calibri" w:hAnsi="Arial" w:cs="Arial"/>
          <w:i/>
        </w:rPr>
        <w:t>[indicar o exercício a que se refere a prestação de contas]</w:t>
      </w:r>
      <w:r w:rsidRPr="00EB5878">
        <w:rPr>
          <w:rFonts w:ascii="Arial" w:eastAsia="Calibri" w:hAnsi="Arial" w:cs="Arial"/>
        </w:rPr>
        <w:t>.</w:t>
      </w:r>
    </w:p>
    <w:p w14:paraId="4A2A656F" w14:textId="77777777" w:rsidR="00EB5878" w:rsidRPr="00EB5878" w:rsidRDefault="00EB5878" w:rsidP="00EB5878">
      <w:pPr>
        <w:widowControl w:val="0"/>
        <w:spacing w:after="0" w:line="360" w:lineRule="auto"/>
        <w:jc w:val="both"/>
        <w:rPr>
          <w:rFonts w:ascii="Arial" w:eastAsia="Calibri" w:hAnsi="Arial" w:cs="Arial"/>
        </w:rPr>
      </w:pPr>
    </w:p>
    <w:p w14:paraId="5782376D" w14:textId="77777777" w:rsidR="00EB5878" w:rsidRPr="00EB5878" w:rsidRDefault="00EB5878" w:rsidP="00EB5878">
      <w:pPr>
        <w:widowControl w:val="0"/>
        <w:spacing w:after="0" w:line="360" w:lineRule="auto"/>
        <w:jc w:val="both"/>
        <w:rPr>
          <w:rFonts w:ascii="Arial" w:eastAsia="Calibri" w:hAnsi="Arial" w:cs="Arial"/>
        </w:rPr>
      </w:pPr>
      <w:r w:rsidRPr="00EB5878">
        <w:rPr>
          <w:rFonts w:ascii="Arial" w:eastAsia="Calibri" w:hAnsi="Arial" w:cs="Arial"/>
        </w:rPr>
        <w:t xml:space="preserve">Em nossa opinião, tendo como base os objetos e pontos de controle avaliados, elencados no item 1 desta manifestação, a referida prestação de contas se </w:t>
      </w:r>
      <w:r w:rsidRPr="00EB5878">
        <w:rPr>
          <w:rFonts w:ascii="Arial" w:eastAsia="Calibri" w:hAnsi="Arial" w:cs="Arial"/>
          <w:i/>
        </w:rPr>
        <w:t>encontra [regular / regular com ressalva / irregular]</w:t>
      </w:r>
      <w:r w:rsidRPr="00EB5878">
        <w:rPr>
          <w:rFonts w:ascii="Arial" w:eastAsia="Calibri" w:hAnsi="Arial" w:cs="Arial"/>
        </w:rPr>
        <w:t>.</w:t>
      </w:r>
    </w:p>
    <w:p w14:paraId="39954436" w14:textId="77777777" w:rsidR="00EB5878" w:rsidRPr="00EB5878" w:rsidRDefault="00EB5878" w:rsidP="00EB5878">
      <w:pPr>
        <w:widowControl w:val="0"/>
        <w:spacing w:after="0" w:line="360" w:lineRule="auto"/>
        <w:jc w:val="both"/>
        <w:rPr>
          <w:rFonts w:ascii="Arial" w:eastAsia="Calibri" w:hAnsi="Arial" w:cs="Arial"/>
        </w:rPr>
      </w:pPr>
    </w:p>
    <w:p w14:paraId="2E66AFDF" w14:textId="77777777" w:rsidR="00EB5878" w:rsidRPr="00EB5878" w:rsidRDefault="00EB5878" w:rsidP="00EB5878">
      <w:pPr>
        <w:widowControl w:val="0"/>
        <w:spacing w:after="0" w:line="360" w:lineRule="auto"/>
        <w:jc w:val="both"/>
        <w:rPr>
          <w:rFonts w:ascii="Arial" w:eastAsia="Calibri" w:hAnsi="Arial" w:cs="Arial"/>
          <w:i/>
        </w:rPr>
      </w:pPr>
      <w:r w:rsidRPr="00EB5878">
        <w:rPr>
          <w:rFonts w:ascii="Arial" w:eastAsia="Calibri" w:hAnsi="Arial" w:cs="Arial"/>
          <w:i/>
        </w:rPr>
        <w:t>[Fazer referência às inconformidades constatadas que fundamentaram a opinião se for o caso]</w:t>
      </w:r>
    </w:p>
    <w:p w14:paraId="3475D933" w14:textId="77777777" w:rsidR="00EB5878" w:rsidRPr="00EB5878" w:rsidRDefault="00EB5878" w:rsidP="00EB5878">
      <w:pPr>
        <w:widowControl w:val="0"/>
        <w:spacing w:after="0" w:line="360" w:lineRule="auto"/>
        <w:jc w:val="both"/>
        <w:rPr>
          <w:rFonts w:ascii="Arial" w:eastAsia="Calibri" w:hAnsi="Arial" w:cs="Arial"/>
          <w:i/>
        </w:rPr>
      </w:pPr>
    </w:p>
    <w:p w14:paraId="281A558B" w14:textId="77777777" w:rsidR="00EB5878" w:rsidRPr="00EB5878" w:rsidRDefault="00EB5878" w:rsidP="00EB5878">
      <w:pPr>
        <w:widowControl w:val="0"/>
        <w:spacing w:after="0" w:line="360" w:lineRule="auto"/>
        <w:jc w:val="both"/>
        <w:rPr>
          <w:rFonts w:ascii="Arial" w:eastAsia="Calibri" w:hAnsi="Arial" w:cs="Arial"/>
          <w:i/>
        </w:rPr>
      </w:pPr>
      <w:r w:rsidRPr="00EB5878">
        <w:rPr>
          <w:rFonts w:ascii="Arial" w:eastAsia="Calibri" w:hAnsi="Arial" w:cs="Arial"/>
          <w:i/>
        </w:rPr>
        <w:t xml:space="preserve">[Descrever as razões que levaram à abstenção de opinião acerca prestação de contas] </w:t>
      </w:r>
    </w:p>
    <w:p w14:paraId="15506B13" w14:textId="77777777" w:rsidR="00EB5878" w:rsidRPr="00EB5878" w:rsidRDefault="00EB5878" w:rsidP="00EB5878">
      <w:pPr>
        <w:widowControl w:val="0"/>
        <w:spacing w:after="0" w:line="360" w:lineRule="auto"/>
        <w:jc w:val="both"/>
        <w:rPr>
          <w:rFonts w:ascii="Arial" w:eastAsia="Calibri" w:hAnsi="Arial" w:cs="Arial"/>
        </w:rPr>
      </w:pPr>
    </w:p>
    <w:p w14:paraId="49286682" w14:textId="77777777" w:rsidR="00EB5878" w:rsidRPr="00EB5878" w:rsidRDefault="00EB5878" w:rsidP="00EB5878">
      <w:pPr>
        <w:widowControl w:val="0"/>
        <w:spacing w:after="0" w:line="360" w:lineRule="auto"/>
        <w:jc w:val="both"/>
        <w:rPr>
          <w:rFonts w:ascii="Arial" w:eastAsia="Calibri" w:hAnsi="Arial" w:cs="Arial"/>
        </w:rPr>
      </w:pPr>
      <w:r w:rsidRPr="00EB5878">
        <w:rPr>
          <w:rFonts w:ascii="Arial" w:eastAsia="Calibri" w:hAnsi="Arial" w:cs="Arial"/>
        </w:rPr>
        <w:t>[</w:t>
      </w:r>
      <w:r w:rsidRPr="00EB5878">
        <w:rPr>
          <w:rFonts w:ascii="Arial" w:eastAsia="Calibri" w:hAnsi="Arial" w:cs="Arial"/>
          <w:i/>
        </w:rPr>
        <w:t>Local e data</w:t>
      </w:r>
      <w:r w:rsidRPr="00EB5878">
        <w:rPr>
          <w:rFonts w:ascii="Arial" w:eastAsia="Calibri" w:hAnsi="Arial" w:cs="Arial"/>
        </w:rPr>
        <w:t>]</w:t>
      </w:r>
    </w:p>
    <w:p w14:paraId="2DF16251" w14:textId="77777777" w:rsidR="00EB5878" w:rsidRPr="00EB5878" w:rsidRDefault="00EB5878" w:rsidP="00EB5878">
      <w:pPr>
        <w:widowControl w:val="0"/>
        <w:spacing w:after="0" w:line="360" w:lineRule="auto"/>
        <w:jc w:val="both"/>
        <w:rPr>
          <w:rFonts w:ascii="Arial" w:eastAsia="Calibri" w:hAnsi="Arial" w:cs="Arial"/>
        </w:rPr>
      </w:pPr>
    </w:p>
    <w:p w14:paraId="20559625" w14:textId="77777777" w:rsidR="00AF24CF" w:rsidRDefault="00EB5878" w:rsidP="00EB5878">
      <w:pPr>
        <w:spacing w:after="0" w:line="360" w:lineRule="auto"/>
        <w:rPr>
          <w:rFonts w:ascii="Arial" w:hAnsi="Arial" w:cs="Arial"/>
          <w:b/>
        </w:rPr>
      </w:pPr>
      <w:r w:rsidRPr="00EB5878">
        <w:rPr>
          <w:rFonts w:ascii="Arial" w:eastAsia="Calibri" w:hAnsi="Arial" w:cs="Arial"/>
          <w:b/>
        </w:rPr>
        <w:t>Assinaturas:</w:t>
      </w:r>
      <w:r w:rsidRPr="00EB5878">
        <w:rPr>
          <w:rFonts w:ascii="Arial" w:eastAsia="Calibri" w:hAnsi="Arial" w:cs="Arial"/>
        </w:rPr>
        <w:t xml:space="preserve"> [</w:t>
      </w:r>
      <w:r w:rsidRPr="00EB5878">
        <w:rPr>
          <w:rFonts w:ascii="Arial" w:eastAsia="Calibri" w:hAnsi="Arial" w:cs="Arial"/>
          <w:i/>
        </w:rPr>
        <w:t>Assinatura dos responsáveis pela unidade de controle interno</w:t>
      </w:r>
      <w:r w:rsidRPr="00EB5878">
        <w:rPr>
          <w:rFonts w:ascii="Arial" w:eastAsia="Calibri" w:hAnsi="Arial" w:cs="Arial"/>
        </w:rPr>
        <w:t>]</w:t>
      </w:r>
      <w:r w:rsidR="00AF24CF">
        <w:rPr>
          <w:rFonts w:ascii="Arial" w:hAnsi="Arial" w:cs="Arial"/>
          <w:b/>
        </w:rPr>
        <w:br w:type="page"/>
      </w:r>
    </w:p>
    <w:p w14:paraId="0E6DBF51" w14:textId="14E52B3D" w:rsidR="00FD1551" w:rsidRDefault="00FD1551" w:rsidP="00FD1551">
      <w:pPr>
        <w:spacing w:after="0" w:line="360" w:lineRule="auto"/>
        <w:jc w:val="center"/>
        <w:rPr>
          <w:rFonts w:ascii="Arial" w:hAnsi="Arial" w:cs="Arial"/>
          <w:b/>
        </w:rPr>
      </w:pPr>
    </w:p>
    <w:p w14:paraId="36B86F39" w14:textId="7AA02C69" w:rsidR="006A559A" w:rsidRPr="00FD1551" w:rsidRDefault="006A559A" w:rsidP="006A559A">
      <w:pPr>
        <w:pStyle w:val="Ttulo3"/>
      </w:pPr>
      <w:bookmarkStart w:id="67" w:name="_Toc94806342"/>
      <w:r>
        <w:rPr>
          <w:lang w:val="pt-BR"/>
        </w:rPr>
        <w:t>RELUCI - Poderes</w:t>
      </w:r>
      <w:bookmarkEnd w:id="67"/>
    </w:p>
    <w:p w14:paraId="01999CE4" w14:textId="77777777" w:rsidR="00CE34D2" w:rsidRPr="00CE34D2" w:rsidRDefault="00CE34D2" w:rsidP="00CE34D2">
      <w:pPr>
        <w:widowControl w:val="0"/>
        <w:spacing w:after="0" w:line="240" w:lineRule="auto"/>
        <w:ind w:right="-142"/>
        <w:jc w:val="center"/>
        <w:rPr>
          <w:rFonts w:ascii="Arial" w:eastAsia="Calibri" w:hAnsi="Arial" w:cs="Arial"/>
          <w:b/>
        </w:rPr>
      </w:pPr>
      <w:r w:rsidRPr="00CE34D2">
        <w:rPr>
          <w:rFonts w:ascii="Arial" w:eastAsia="Calibri" w:hAnsi="Arial" w:cs="Arial"/>
          <w:b/>
        </w:rPr>
        <w:t>(MODELO SUGERIDO PARA A MANIFESTAÇÃO DO ÓRGÃO CENTRAL DE CONTROLE INTERNO SOBRE A PRESTAÇÃO DE CONTAS ANUAL – PODERES)</w:t>
      </w:r>
    </w:p>
    <w:p w14:paraId="7D248AAD" w14:textId="77777777" w:rsidR="00CE34D2" w:rsidRPr="00CE34D2" w:rsidRDefault="00CE34D2" w:rsidP="00CE34D2">
      <w:pPr>
        <w:widowControl w:val="0"/>
        <w:spacing w:after="0" w:line="360" w:lineRule="auto"/>
        <w:jc w:val="center"/>
        <w:rPr>
          <w:rFonts w:ascii="Arial" w:eastAsia="Calibri" w:hAnsi="Arial" w:cs="Arial"/>
          <w:b/>
          <w:color w:val="FF0000"/>
        </w:rPr>
      </w:pPr>
    </w:p>
    <w:p w14:paraId="7DE9035C" w14:textId="77777777" w:rsidR="00CE34D2" w:rsidRPr="00CE34D2" w:rsidRDefault="00CE34D2" w:rsidP="00CE34D2">
      <w:pPr>
        <w:widowControl w:val="0"/>
        <w:spacing w:after="0" w:line="240" w:lineRule="auto"/>
        <w:jc w:val="center"/>
        <w:rPr>
          <w:rFonts w:ascii="Arial" w:eastAsia="Calibri" w:hAnsi="Arial" w:cs="Arial"/>
          <w:b/>
        </w:rPr>
      </w:pPr>
      <w:r w:rsidRPr="00CE34D2">
        <w:rPr>
          <w:rFonts w:ascii="Arial" w:eastAsia="Calibri" w:hAnsi="Arial" w:cs="Arial"/>
          <w:b/>
        </w:rPr>
        <w:t>MANIFESTAÇÃO DO ÓRGÃO CENTRAL DE CONTROLE INTERNO SOBRE A PRESTAÇÃO DE CONTAS ANUAL - PODERES</w:t>
      </w:r>
      <w:r w:rsidRPr="00CE34D2">
        <w:rPr>
          <w:rFonts w:ascii="Arial" w:eastAsia="Calibri" w:hAnsi="Arial" w:cs="Arial"/>
          <w:i/>
          <w:vertAlign w:val="superscript"/>
          <w:lang w:val="en-US"/>
        </w:rPr>
        <w:footnoteReference w:id="10"/>
      </w:r>
    </w:p>
    <w:p w14:paraId="6F32D72E" w14:textId="77777777" w:rsidR="00CE34D2" w:rsidRPr="00CE34D2" w:rsidRDefault="00CE34D2" w:rsidP="00CE34D2">
      <w:pPr>
        <w:widowControl w:val="0"/>
        <w:spacing w:after="0" w:line="240" w:lineRule="auto"/>
        <w:ind w:right="-142"/>
        <w:jc w:val="center"/>
        <w:rPr>
          <w:rFonts w:ascii="Arial" w:eastAsia="Calibri" w:hAnsi="Arial" w:cs="Arial"/>
          <w:i/>
        </w:rPr>
      </w:pPr>
    </w:p>
    <w:p w14:paraId="0C75FC2C" w14:textId="77777777" w:rsidR="00CE34D2" w:rsidRPr="00CE34D2" w:rsidRDefault="00CE34D2" w:rsidP="00CE34D2">
      <w:pPr>
        <w:widowControl w:val="0"/>
        <w:spacing w:after="0" w:line="240" w:lineRule="auto"/>
        <w:ind w:right="-142"/>
        <w:jc w:val="center"/>
        <w:rPr>
          <w:rFonts w:ascii="Arial" w:eastAsia="Calibri" w:hAnsi="Arial" w:cs="Arial"/>
          <w:i/>
        </w:rPr>
      </w:pPr>
      <w:r w:rsidRPr="00CE34D2">
        <w:rPr>
          <w:rFonts w:ascii="Arial" w:eastAsia="Calibri" w:hAnsi="Arial" w:cs="Arial"/>
          <w:i/>
        </w:rPr>
        <w:t>[o texto apresentado entre colchetes “[ ]” deve ser removido do documento a ser encaminhado na prestação de contas]</w:t>
      </w:r>
    </w:p>
    <w:p w14:paraId="2557CC39" w14:textId="77777777" w:rsidR="00CE34D2" w:rsidRPr="00CE34D2" w:rsidRDefault="00CE34D2" w:rsidP="00CE34D2">
      <w:pPr>
        <w:widowControl w:val="0"/>
        <w:spacing w:after="0" w:line="360" w:lineRule="auto"/>
        <w:jc w:val="both"/>
        <w:rPr>
          <w:rFonts w:ascii="Arial" w:eastAsia="Calibri" w:hAnsi="Arial" w:cs="Arial"/>
          <w:color w:val="00B050"/>
        </w:rPr>
      </w:pPr>
    </w:p>
    <w:p w14:paraId="34426EF0" w14:textId="77777777" w:rsidR="00CE34D2" w:rsidRPr="00CE34D2" w:rsidRDefault="00CE34D2" w:rsidP="00CE34D2">
      <w:pPr>
        <w:widowControl w:val="0"/>
        <w:spacing w:after="0" w:line="360" w:lineRule="auto"/>
        <w:jc w:val="both"/>
        <w:rPr>
          <w:rFonts w:ascii="Arial" w:eastAsia="Calibri" w:hAnsi="Arial" w:cs="Arial"/>
          <w:i/>
        </w:rPr>
      </w:pPr>
      <w:r w:rsidRPr="00CE34D2">
        <w:rPr>
          <w:rFonts w:ascii="Arial" w:eastAsia="Calibri" w:hAnsi="Arial" w:cs="Arial"/>
          <w:b/>
        </w:rPr>
        <w:t>Emitente:</w:t>
      </w:r>
      <w:r w:rsidRPr="00CE34D2">
        <w:rPr>
          <w:rFonts w:ascii="Arial" w:eastAsia="Calibri" w:hAnsi="Arial" w:cs="Arial"/>
        </w:rPr>
        <w:t xml:space="preserve"> </w:t>
      </w:r>
      <w:r w:rsidRPr="00CE34D2">
        <w:rPr>
          <w:rFonts w:ascii="Arial" w:eastAsia="Calibri" w:hAnsi="Arial" w:cs="Arial"/>
          <w:i/>
        </w:rPr>
        <w:t>identificar a unidade de controle interno</w:t>
      </w:r>
    </w:p>
    <w:p w14:paraId="73A6CAEC" w14:textId="77777777" w:rsidR="00CE34D2" w:rsidRPr="00CE34D2" w:rsidRDefault="00CE34D2" w:rsidP="00CE34D2">
      <w:pPr>
        <w:widowControl w:val="0"/>
        <w:spacing w:after="0" w:line="360" w:lineRule="auto"/>
        <w:jc w:val="both"/>
        <w:rPr>
          <w:rFonts w:ascii="Arial" w:eastAsia="Calibri" w:hAnsi="Arial" w:cs="Arial"/>
          <w:i/>
        </w:rPr>
      </w:pPr>
      <w:r w:rsidRPr="00CE34D2">
        <w:rPr>
          <w:rFonts w:ascii="Arial" w:eastAsia="Calibri" w:hAnsi="Arial" w:cs="Arial"/>
          <w:b/>
        </w:rPr>
        <w:t>Entidade:</w:t>
      </w:r>
      <w:r w:rsidRPr="00CE34D2">
        <w:rPr>
          <w:rFonts w:ascii="Arial" w:eastAsia="Calibri" w:hAnsi="Arial" w:cs="Arial"/>
          <w:i/>
        </w:rPr>
        <w:t xml:space="preserve"> Poder xxxxxxxxxx do Município/Estado xxxxxxxxxxxxxxx</w:t>
      </w:r>
    </w:p>
    <w:p w14:paraId="60C3A27D" w14:textId="77777777" w:rsidR="00CE34D2" w:rsidRPr="00CE34D2" w:rsidRDefault="00CE34D2" w:rsidP="00CE34D2">
      <w:pPr>
        <w:widowControl w:val="0"/>
        <w:spacing w:after="0" w:line="360" w:lineRule="auto"/>
        <w:jc w:val="both"/>
        <w:rPr>
          <w:rFonts w:ascii="Arial" w:eastAsia="Calibri" w:hAnsi="Arial" w:cs="Arial"/>
          <w:i/>
        </w:rPr>
      </w:pPr>
      <w:r w:rsidRPr="00CE34D2">
        <w:rPr>
          <w:rFonts w:ascii="Arial" w:eastAsia="Calibri" w:hAnsi="Arial" w:cs="Arial"/>
          <w:b/>
        </w:rPr>
        <w:t>Gestor responsável:</w:t>
      </w:r>
      <w:r w:rsidRPr="00CE34D2">
        <w:rPr>
          <w:rFonts w:ascii="Arial" w:eastAsia="Calibri" w:hAnsi="Arial" w:cs="Arial"/>
        </w:rPr>
        <w:t xml:space="preserve"> </w:t>
      </w:r>
      <w:r w:rsidRPr="00CE34D2">
        <w:rPr>
          <w:rFonts w:ascii="Arial" w:eastAsia="Calibri" w:hAnsi="Arial" w:cs="Arial"/>
          <w:i/>
        </w:rPr>
        <w:t>identificação dos gestores responsáveis pela execução orçamentária no exercício que se refere a prestação de contas</w:t>
      </w:r>
    </w:p>
    <w:p w14:paraId="4C3D7ED5" w14:textId="77777777" w:rsidR="00CE34D2" w:rsidRPr="00CE34D2" w:rsidRDefault="00CE34D2" w:rsidP="00CE34D2">
      <w:pPr>
        <w:widowControl w:val="0"/>
        <w:spacing w:after="0" w:line="360" w:lineRule="auto"/>
        <w:jc w:val="both"/>
        <w:rPr>
          <w:rFonts w:ascii="Arial" w:eastAsia="Calibri" w:hAnsi="Arial" w:cs="Arial"/>
          <w:i/>
        </w:rPr>
      </w:pPr>
      <w:r w:rsidRPr="00CE34D2">
        <w:rPr>
          <w:rFonts w:ascii="Arial" w:eastAsia="Calibri" w:hAnsi="Arial" w:cs="Arial"/>
          <w:b/>
        </w:rPr>
        <w:t>Exercício:</w:t>
      </w:r>
      <w:r w:rsidRPr="00CE34D2">
        <w:rPr>
          <w:rFonts w:ascii="Arial" w:eastAsia="Calibri" w:hAnsi="Arial" w:cs="Arial"/>
        </w:rPr>
        <w:t xml:space="preserve"> </w:t>
      </w:r>
      <w:r w:rsidRPr="00CE34D2">
        <w:rPr>
          <w:rFonts w:ascii="Arial" w:eastAsia="Calibri" w:hAnsi="Arial" w:cs="Arial"/>
          <w:i/>
        </w:rPr>
        <w:t>exercício a que se refere a prestação de contas</w:t>
      </w:r>
    </w:p>
    <w:p w14:paraId="6E37A105" w14:textId="77777777" w:rsidR="00CE34D2" w:rsidRPr="00CE34D2" w:rsidRDefault="00CE34D2" w:rsidP="00CE34D2">
      <w:pPr>
        <w:widowControl w:val="0"/>
        <w:spacing w:after="0" w:line="360" w:lineRule="auto"/>
        <w:rPr>
          <w:rFonts w:ascii="Arial" w:eastAsia="Calibri" w:hAnsi="Arial" w:cs="Arial"/>
          <w:b/>
          <w:color w:val="FF0000"/>
        </w:rPr>
      </w:pPr>
    </w:p>
    <w:p w14:paraId="67292F61" w14:textId="77777777" w:rsidR="00CE34D2" w:rsidRPr="00CE34D2" w:rsidRDefault="00CE34D2" w:rsidP="00CE34D2">
      <w:pPr>
        <w:widowControl w:val="0"/>
        <w:spacing w:after="0" w:line="360" w:lineRule="auto"/>
        <w:rPr>
          <w:rFonts w:ascii="Arial" w:eastAsia="Calibri" w:hAnsi="Arial" w:cs="Arial"/>
          <w:b/>
        </w:rPr>
      </w:pPr>
      <w:r w:rsidRPr="00CE34D2">
        <w:rPr>
          <w:rFonts w:ascii="Arial" w:eastAsia="Calibri" w:hAnsi="Arial" w:cs="Arial"/>
          <w:b/>
        </w:rPr>
        <w:t>1. RELATÓRIO</w:t>
      </w:r>
    </w:p>
    <w:p w14:paraId="320B921A" w14:textId="77777777" w:rsidR="00CE34D2" w:rsidRPr="00CE34D2" w:rsidRDefault="00CE34D2" w:rsidP="00CE34D2">
      <w:pPr>
        <w:widowControl w:val="0"/>
        <w:spacing w:after="0" w:line="360" w:lineRule="auto"/>
        <w:jc w:val="both"/>
        <w:rPr>
          <w:rFonts w:ascii="Arial" w:eastAsia="Calibri" w:hAnsi="Arial" w:cs="Arial"/>
          <w:color w:val="00B050"/>
        </w:rPr>
      </w:pPr>
    </w:p>
    <w:p w14:paraId="00F0BE93" w14:textId="77777777" w:rsidR="00CE34D2" w:rsidRPr="00CE34D2" w:rsidRDefault="00CE34D2" w:rsidP="00CE34D2">
      <w:pPr>
        <w:widowControl w:val="0"/>
        <w:spacing w:after="0" w:line="360" w:lineRule="auto"/>
        <w:jc w:val="both"/>
        <w:rPr>
          <w:rFonts w:ascii="Arial" w:eastAsia="Calibri" w:hAnsi="Arial" w:cs="Arial"/>
          <w:b/>
        </w:rPr>
      </w:pPr>
      <w:r w:rsidRPr="00CE34D2">
        <w:rPr>
          <w:rFonts w:ascii="Arial" w:eastAsia="Calibri" w:hAnsi="Arial" w:cs="Arial"/>
          <w:b/>
        </w:rPr>
        <w:t>1.1. Introdução</w:t>
      </w:r>
    </w:p>
    <w:p w14:paraId="2ECBB9B0" w14:textId="77777777" w:rsidR="00CE34D2" w:rsidRPr="00CE34D2" w:rsidRDefault="00CE34D2" w:rsidP="00CE34D2">
      <w:pPr>
        <w:widowControl w:val="0"/>
        <w:spacing w:after="0" w:line="360" w:lineRule="auto"/>
        <w:jc w:val="both"/>
        <w:rPr>
          <w:rFonts w:ascii="Arial" w:eastAsia="Calibri" w:hAnsi="Arial" w:cs="Arial"/>
        </w:rPr>
      </w:pPr>
    </w:p>
    <w:p w14:paraId="589F55D3" w14:textId="77777777" w:rsidR="00CE34D2" w:rsidRPr="00CE34D2" w:rsidRDefault="00CE34D2" w:rsidP="00CE34D2">
      <w:pPr>
        <w:widowControl w:val="0"/>
        <w:spacing w:after="0" w:line="360" w:lineRule="auto"/>
        <w:jc w:val="both"/>
        <w:rPr>
          <w:rFonts w:ascii="Arial" w:eastAsia="Calibri" w:hAnsi="Arial" w:cs="Arial"/>
        </w:rPr>
      </w:pPr>
      <w:r w:rsidRPr="00CE34D2">
        <w:rPr>
          <w:rFonts w:ascii="Arial" w:eastAsia="Calibri" w:hAnsi="Arial" w:cs="Arial"/>
        </w:rPr>
        <w:t>Observando o que dispõe o artigo 74 da Constituição Federal de 1988, bem como o que dispõe o artigo 59 da Lei Complementar nº 101/2000 – LRF essa unidade de controle interno realizou, no exercício supramencionado, procedimentos de controle, objetivando apoiar o controle externo no exercício de sua missão institucional.</w:t>
      </w:r>
    </w:p>
    <w:p w14:paraId="73AC7087" w14:textId="77777777" w:rsidR="00CE34D2" w:rsidRPr="00CE34D2" w:rsidRDefault="00CE34D2" w:rsidP="00CE34D2">
      <w:pPr>
        <w:widowControl w:val="0"/>
        <w:spacing w:after="0" w:line="360" w:lineRule="auto"/>
        <w:jc w:val="both"/>
        <w:rPr>
          <w:rFonts w:ascii="Arial" w:eastAsia="Calibri" w:hAnsi="Arial" w:cs="Arial"/>
        </w:rPr>
      </w:pPr>
    </w:p>
    <w:p w14:paraId="3965F0B7" w14:textId="77777777" w:rsidR="00CE34D2" w:rsidRPr="00CE34D2" w:rsidRDefault="00CE34D2" w:rsidP="00CE34D2">
      <w:pPr>
        <w:widowControl w:val="0"/>
        <w:spacing w:after="0" w:line="360" w:lineRule="auto"/>
        <w:jc w:val="both"/>
        <w:rPr>
          <w:rFonts w:ascii="Arial" w:eastAsia="Calibri" w:hAnsi="Arial" w:cs="Arial"/>
        </w:rPr>
      </w:pPr>
      <w:r w:rsidRPr="00CE34D2">
        <w:rPr>
          <w:rFonts w:ascii="Arial" w:eastAsia="Calibri" w:hAnsi="Arial" w:cs="Arial"/>
        </w:rPr>
        <w:t>A seguir apresentamos os pontos de controle selecionados para análise, os procedimentos adotados, seguidos das constatações e proposições sugeridas, emitindo, ao final, nosso parecer conclusivo.</w:t>
      </w:r>
    </w:p>
    <w:p w14:paraId="16D0781F" w14:textId="77777777" w:rsidR="00CE34D2" w:rsidRPr="00CE34D2" w:rsidRDefault="00CE34D2" w:rsidP="00CE34D2">
      <w:pPr>
        <w:widowControl w:val="0"/>
        <w:spacing w:after="0" w:line="360" w:lineRule="auto"/>
        <w:jc w:val="both"/>
        <w:rPr>
          <w:rFonts w:ascii="Arial" w:eastAsia="Calibri" w:hAnsi="Arial" w:cs="Arial"/>
        </w:rPr>
      </w:pPr>
    </w:p>
    <w:p w14:paraId="569CF65B" w14:textId="77777777" w:rsidR="00CE34D2" w:rsidRDefault="00CE34D2" w:rsidP="00CE34D2">
      <w:pPr>
        <w:widowControl w:val="0"/>
        <w:spacing w:after="0" w:line="360" w:lineRule="auto"/>
        <w:jc w:val="both"/>
        <w:rPr>
          <w:rFonts w:ascii="Arial" w:eastAsia="Calibri" w:hAnsi="Arial" w:cs="Arial"/>
          <w:i/>
        </w:rPr>
      </w:pPr>
      <w:r w:rsidRPr="00CE34D2">
        <w:rPr>
          <w:rFonts w:ascii="Arial" w:eastAsia="Calibri" w:hAnsi="Arial" w:cs="Arial"/>
          <w:i/>
        </w:rPr>
        <w:t>[Transportar para a tabela que segue os objetos constantes da Tabela Referencial 1, selecionados para avaliação na UG, bem como os demais itens auditados pelo Controle Interno]</w:t>
      </w:r>
    </w:p>
    <w:p w14:paraId="5EA3EAA2" w14:textId="77777777" w:rsidR="00CE34D2" w:rsidRDefault="00CE34D2" w:rsidP="00CE34D2">
      <w:pPr>
        <w:widowControl w:val="0"/>
        <w:spacing w:after="0" w:line="360" w:lineRule="auto"/>
        <w:jc w:val="both"/>
        <w:rPr>
          <w:rFonts w:ascii="Arial" w:eastAsia="Calibri" w:hAnsi="Arial" w:cs="Arial"/>
          <w:i/>
        </w:rPr>
      </w:pPr>
    </w:p>
    <w:p w14:paraId="516D2011" w14:textId="77777777" w:rsidR="00CE34D2" w:rsidRDefault="00CE34D2" w:rsidP="00CE34D2">
      <w:pPr>
        <w:widowControl w:val="0"/>
        <w:spacing w:after="0" w:line="360" w:lineRule="auto"/>
        <w:jc w:val="both"/>
        <w:rPr>
          <w:rFonts w:ascii="Arial" w:eastAsia="Calibri" w:hAnsi="Arial" w:cs="Arial"/>
          <w:i/>
        </w:rPr>
      </w:pPr>
    </w:p>
    <w:p w14:paraId="6274167F" w14:textId="77777777" w:rsidR="00CE34D2" w:rsidRDefault="00CE34D2" w:rsidP="00CE34D2">
      <w:pPr>
        <w:widowControl w:val="0"/>
        <w:spacing w:after="0" w:line="360" w:lineRule="auto"/>
        <w:jc w:val="both"/>
        <w:rPr>
          <w:rFonts w:ascii="Arial" w:eastAsia="Calibri" w:hAnsi="Arial" w:cs="Arial"/>
          <w:i/>
        </w:rPr>
      </w:pPr>
    </w:p>
    <w:p w14:paraId="1A8FFCAD" w14:textId="77777777" w:rsidR="00CE34D2" w:rsidRPr="00CE34D2" w:rsidRDefault="00CE34D2" w:rsidP="00CE34D2">
      <w:pPr>
        <w:widowControl w:val="0"/>
        <w:spacing w:after="0" w:line="360" w:lineRule="auto"/>
        <w:jc w:val="both"/>
        <w:rPr>
          <w:rFonts w:ascii="Arial" w:eastAsia="Calibri" w:hAnsi="Arial" w:cs="Arial"/>
          <w:i/>
        </w:rPr>
      </w:pP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7"/>
        <w:gridCol w:w="1221"/>
        <w:gridCol w:w="1426"/>
        <w:gridCol w:w="599"/>
        <w:gridCol w:w="1674"/>
        <w:gridCol w:w="1705"/>
        <w:gridCol w:w="1597"/>
      </w:tblGrid>
      <w:tr w:rsidR="00CE34D2" w:rsidRPr="00CE34D2" w14:paraId="1E675D39" w14:textId="77777777" w:rsidTr="00CE34D2">
        <w:tc>
          <w:tcPr>
            <w:tcW w:w="422" w:type="pct"/>
            <w:vAlign w:val="center"/>
          </w:tcPr>
          <w:p w14:paraId="20DD39F6" w14:textId="77777777" w:rsidR="00CE34D2" w:rsidRPr="00CE34D2" w:rsidRDefault="00CE34D2" w:rsidP="00CE34D2">
            <w:pPr>
              <w:widowControl w:val="0"/>
              <w:autoSpaceDE w:val="0"/>
              <w:autoSpaceDN w:val="0"/>
              <w:adjustRightInd w:val="0"/>
              <w:spacing w:after="0" w:line="240" w:lineRule="auto"/>
              <w:jc w:val="center"/>
              <w:rPr>
                <w:rFonts w:ascii="Arial" w:eastAsia="Calibri" w:hAnsi="Arial" w:cs="Arial"/>
                <w:b/>
                <w:bCs/>
                <w:sz w:val="16"/>
                <w:szCs w:val="16"/>
                <w:lang w:val="en-US"/>
              </w:rPr>
            </w:pPr>
            <w:r w:rsidRPr="00CE34D2">
              <w:rPr>
                <w:rFonts w:ascii="Arial" w:eastAsia="Calibri" w:hAnsi="Arial" w:cs="Arial"/>
                <w:b/>
                <w:bCs/>
                <w:sz w:val="16"/>
                <w:szCs w:val="16"/>
                <w:lang w:val="en-US"/>
              </w:rPr>
              <w:t>Código</w:t>
            </w:r>
          </w:p>
        </w:tc>
        <w:tc>
          <w:tcPr>
            <w:tcW w:w="673" w:type="pct"/>
            <w:shd w:val="clear" w:color="auto" w:fill="auto"/>
            <w:vAlign w:val="center"/>
          </w:tcPr>
          <w:p w14:paraId="62056649" w14:textId="77777777" w:rsidR="00CE34D2" w:rsidRPr="00CE34D2" w:rsidRDefault="00CE34D2" w:rsidP="00CE34D2">
            <w:pPr>
              <w:widowControl w:val="0"/>
              <w:autoSpaceDE w:val="0"/>
              <w:autoSpaceDN w:val="0"/>
              <w:adjustRightInd w:val="0"/>
              <w:spacing w:after="0" w:line="240" w:lineRule="auto"/>
              <w:jc w:val="center"/>
              <w:rPr>
                <w:rFonts w:ascii="Arial" w:eastAsia="Calibri" w:hAnsi="Arial" w:cs="Arial"/>
                <w:b/>
                <w:bCs/>
                <w:sz w:val="16"/>
                <w:szCs w:val="16"/>
                <w:lang w:val="en-US"/>
              </w:rPr>
            </w:pPr>
            <w:r w:rsidRPr="00CE34D2">
              <w:rPr>
                <w:rFonts w:ascii="Arial" w:eastAsia="Calibri" w:hAnsi="Arial" w:cs="Arial"/>
                <w:b/>
                <w:bCs/>
                <w:sz w:val="16"/>
                <w:szCs w:val="16"/>
                <w:lang w:val="en-US"/>
              </w:rPr>
              <w:t xml:space="preserve">Objeto/Ponto </w:t>
            </w:r>
            <w:r w:rsidRPr="00CE34D2">
              <w:rPr>
                <w:rFonts w:ascii="Arial" w:eastAsia="Calibri" w:hAnsi="Arial" w:cs="Arial"/>
                <w:b/>
                <w:bCs/>
                <w:sz w:val="16"/>
                <w:szCs w:val="16"/>
                <w:lang w:val="en-US"/>
              </w:rPr>
              <w:lastRenderedPageBreak/>
              <w:t>de controle</w:t>
            </w:r>
          </w:p>
        </w:tc>
        <w:tc>
          <w:tcPr>
            <w:tcW w:w="786" w:type="pct"/>
            <w:vAlign w:val="center"/>
          </w:tcPr>
          <w:p w14:paraId="0431E925" w14:textId="77777777" w:rsidR="00CE34D2" w:rsidRPr="00CE34D2" w:rsidRDefault="00CE34D2" w:rsidP="00CE34D2">
            <w:pPr>
              <w:widowControl w:val="0"/>
              <w:autoSpaceDE w:val="0"/>
              <w:autoSpaceDN w:val="0"/>
              <w:adjustRightInd w:val="0"/>
              <w:spacing w:after="0" w:line="240" w:lineRule="auto"/>
              <w:jc w:val="center"/>
              <w:rPr>
                <w:rFonts w:ascii="Arial" w:eastAsia="Calibri" w:hAnsi="Arial" w:cs="Arial"/>
                <w:b/>
                <w:bCs/>
                <w:sz w:val="16"/>
                <w:szCs w:val="16"/>
                <w:lang w:val="en-US"/>
              </w:rPr>
            </w:pPr>
            <w:r w:rsidRPr="00CE34D2">
              <w:rPr>
                <w:rFonts w:ascii="Arial" w:eastAsia="Calibri" w:hAnsi="Arial" w:cs="Arial"/>
                <w:b/>
                <w:bCs/>
                <w:sz w:val="16"/>
                <w:szCs w:val="16"/>
                <w:lang w:val="en-US"/>
              </w:rPr>
              <w:lastRenderedPageBreak/>
              <w:t xml:space="preserve">Processos </w:t>
            </w:r>
            <w:r w:rsidRPr="00CE34D2">
              <w:rPr>
                <w:rFonts w:ascii="Arial" w:eastAsia="Calibri" w:hAnsi="Arial" w:cs="Arial"/>
                <w:b/>
                <w:bCs/>
                <w:sz w:val="16"/>
                <w:szCs w:val="16"/>
                <w:lang w:val="en-US"/>
              </w:rPr>
              <w:lastRenderedPageBreak/>
              <w:t>Administrativos analisados</w:t>
            </w:r>
            <w:r w:rsidRPr="00CE34D2">
              <w:rPr>
                <w:rFonts w:ascii="Arial" w:eastAsia="Calibri" w:hAnsi="Arial" w:cs="Arial"/>
                <w:b/>
                <w:bCs/>
                <w:sz w:val="16"/>
                <w:szCs w:val="16"/>
                <w:vertAlign w:val="superscript"/>
                <w:lang w:val="en-US"/>
              </w:rPr>
              <w:footnoteReference w:id="11"/>
            </w:r>
          </w:p>
        </w:tc>
        <w:tc>
          <w:tcPr>
            <w:tcW w:w="330" w:type="pct"/>
            <w:shd w:val="clear" w:color="auto" w:fill="auto"/>
            <w:vAlign w:val="center"/>
          </w:tcPr>
          <w:p w14:paraId="09C9F621" w14:textId="77777777" w:rsidR="00CE34D2" w:rsidRPr="00CE34D2" w:rsidRDefault="00CE34D2" w:rsidP="00CE34D2">
            <w:pPr>
              <w:widowControl w:val="0"/>
              <w:autoSpaceDE w:val="0"/>
              <w:autoSpaceDN w:val="0"/>
              <w:adjustRightInd w:val="0"/>
              <w:spacing w:after="0" w:line="240" w:lineRule="auto"/>
              <w:jc w:val="center"/>
              <w:rPr>
                <w:rFonts w:ascii="Arial" w:eastAsia="Calibri" w:hAnsi="Arial" w:cs="Arial"/>
                <w:b/>
                <w:bCs/>
                <w:sz w:val="16"/>
                <w:szCs w:val="16"/>
                <w:lang w:val="en-US"/>
              </w:rPr>
            </w:pPr>
            <w:r w:rsidRPr="00CE34D2">
              <w:rPr>
                <w:rFonts w:ascii="Arial" w:eastAsia="Calibri" w:hAnsi="Arial" w:cs="Arial"/>
                <w:b/>
                <w:bCs/>
                <w:sz w:val="16"/>
                <w:szCs w:val="16"/>
                <w:lang w:val="en-US"/>
              </w:rPr>
              <w:lastRenderedPageBreak/>
              <w:t xml:space="preserve">Base </w:t>
            </w:r>
            <w:r w:rsidRPr="00CE34D2">
              <w:rPr>
                <w:rFonts w:ascii="Arial" w:eastAsia="Calibri" w:hAnsi="Arial" w:cs="Arial"/>
                <w:b/>
                <w:bCs/>
                <w:sz w:val="16"/>
                <w:szCs w:val="16"/>
                <w:lang w:val="en-US"/>
              </w:rPr>
              <w:lastRenderedPageBreak/>
              <w:t>legal</w:t>
            </w:r>
          </w:p>
        </w:tc>
        <w:tc>
          <w:tcPr>
            <w:tcW w:w="938" w:type="pct"/>
            <w:shd w:val="clear" w:color="auto" w:fill="auto"/>
            <w:vAlign w:val="center"/>
          </w:tcPr>
          <w:p w14:paraId="23F4009E" w14:textId="77777777" w:rsidR="00CE34D2" w:rsidRPr="00CE34D2" w:rsidRDefault="00CE34D2" w:rsidP="00CE34D2">
            <w:pPr>
              <w:widowControl w:val="0"/>
              <w:autoSpaceDE w:val="0"/>
              <w:autoSpaceDN w:val="0"/>
              <w:adjustRightInd w:val="0"/>
              <w:spacing w:after="0" w:line="240" w:lineRule="auto"/>
              <w:jc w:val="center"/>
              <w:rPr>
                <w:rFonts w:ascii="Arial" w:eastAsia="Calibri" w:hAnsi="Arial" w:cs="Arial"/>
                <w:b/>
                <w:bCs/>
                <w:sz w:val="16"/>
                <w:szCs w:val="16"/>
                <w:lang w:val="en-US"/>
              </w:rPr>
            </w:pPr>
            <w:r w:rsidRPr="00CE34D2">
              <w:rPr>
                <w:rFonts w:ascii="Arial" w:eastAsia="Calibri" w:hAnsi="Arial" w:cs="Arial"/>
                <w:b/>
                <w:bCs/>
                <w:sz w:val="16"/>
                <w:szCs w:val="16"/>
                <w:lang w:val="en-US"/>
              </w:rPr>
              <w:lastRenderedPageBreak/>
              <w:t>Procedimento</w:t>
            </w:r>
          </w:p>
        </w:tc>
        <w:tc>
          <w:tcPr>
            <w:tcW w:w="955" w:type="pct"/>
            <w:vAlign w:val="center"/>
          </w:tcPr>
          <w:p w14:paraId="62C882D1" w14:textId="77777777" w:rsidR="00CE34D2" w:rsidRPr="00CE34D2" w:rsidRDefault="00CE34D2" w:rsidP="00CE34D2">
            <w:pPr>
              <w:widowControl w:val="0"/>
              <w:autoSpaceDE w:val="0"/>
              <w:autoSpaceDN w:val="0"/>
              <w:adjustRightInd w:val="0"/>
              <w:spacing w:after="0" w:line="240" w:lineRule="auto"/>
              <w:jc w:val="center"/>
              <w:rPr>
                <w:rFonts w:ascii="Arial" w:eastAsia="Calibri" w:hAnsi="Arial" w:cs="Arial"/>
                <w:b/>
                <w:bCs/>
                <w:sz w:val="16"/>
                <w:szCs w:val="16"/>
              </w:rPr>
            </w:pPr>
            <w:r w:rsidRPr="00CE34D2">
              <w:rPr>
                <w:rFonts w:ascii="Arial" w:eastAsia="Calibri" w:hAnsi="Arial" w:cs="Arial"/>
                <w:b/>
                <w:bCs/>
                <w:sz w:val="16"/>
                <w:szCs w:val="16"/>
              </w:rPr>
              <w:t xml:space="preserve">Universo do Ponto </w:t>
            </w:r>
            <w:r w:rsidRPr="00CE34D2">
              <w:rPr>
                <w:rFonts w:ascii="Arial" w:eastAsia="Calibri" w:hAnsi="Arial" w:cs="Arial"/>
                <w:b/>
                <w:bCs/>
                <w:sz w:val="16"/>
                <w:szCs w:val="16"/>
              </w:rPr>
              <w:lastRenderedPageBreak/>
              <w:t>de Controle</w:t>
            </w:r>
            <w:r w:rsidRPr="00CE34D2">
              <w:rPr>
                <w:rFonts w:ascii="Arial" w:eastAsia="Calibri" w:hAnsi="Arial" w:cs="Arial"/>
                <w:b/>
                <w:bCs/>
                <w:sz w:val="16"/>
                <w:szCs w:val="16"/>
                <w:vertAlign w:val="superscript"/>
              </w:rPr>
              <w:footnoteReference w:id="12"/>
            </w:r>
          </w:p>
        </w:tc>
        <w:tc>
          <w:tcPr>
            <w:tcW w:w="895" w:type="pct"/>
            <w:vAlign w:val="center"/>
          </w:tcPr>
          <w:p w14:paraId="414F6876" w14:textId="77777777" w:rsidR="00CE34D2" w:rsidRPr="00CE34D2" w:rsidRDefault="00CE34D2" w:rsidP="00CE34D2">
            <w:pPr>
              <w:widowControl w:val="0"/>
              <w:autoSpaceDE w:val="0"/>
              <w:autoSpaceDN w:val="0"/>
              <w:adjustRightInd w:val="0"/>
              <w:spacing w:after="0" w:line="240" w:lineRule="auto"/>
              <w:jc w:val="center"/>
              <w:rPr>
                <w:rFonts w:ascii="Arial" w:eastAsia="Calibri" w:hAnsi="Arial" w:cs="Arial"/>
                <w:b/>
                <w:bCs/>
                <w:sz w:val="16"/>
                <w:szCs w:val="16"/>
              </w:rPr>
            </w:pPr>
            <w:r w:rsidRPr="00CE34D2">
              <w:rPr>
                <w:rFonts w:ascii="Arial" w:eastAsia="Calibri" w:hAnsi="Arial" w:cs="Arial"/>
                <w:b/>
                <w:bCs/>
                <w:sz w:val="16"/>
                <w:szCs w:val="16"/>
              </w:rPr>
              <w:lastRenderedPageBreak/>
              <w:t xml:space="preserve">Amostra </w:t>
            </w:r>
            <w:r w:rsidRPr="00CE34D2">
              <w:rPr>
                <w:rFonts w:ascii="Arial" w:eastAsia="Calibri" w:hAnsi="Arial" w:cs="Arial"/>
                <w:b/>
                <w:bCs/>
                <w:sz w:val="16"/>
                <w:szCs w:val="16"/>
              </w:rPr>
              <w:lastRenderedPageBreak/>
              <w:t>Selecionada</w:t>
            </w:r>
            <w:r w:rsidRPr="00CE34D2">
              <w:rPr>
                <w:rFonts w:ascii="Arial" w:eastAsia="Calibri" w:hAnsi="Arial" w:cs="Arial"/>
                <w:b/>
                <w:bCs/>
                <w:sz w:val="16"/>
                <w:szCs w:val="16"/>
                <w:vertAlign w:val="superscript"/>
              </w:rPr>
              <w:footnoteReference w:id="13"/>
            </w:r>
          </w:p>
        </w:tc>
      </w:tr>
      <w:tr w:rsidR="00CE34D2" w:rsidRPr="00CE34D2" w14:paraId="17A4267F" w14:textId="77777777" w:rsidTr="00CE34D2">
        <w:tc>
          <w:tcPr>
            <w:tcW w:w="422" w:type="pct"/>
            <w:vAlign w:val="center"/>
          </w:tcPr>
          <w:p w14:paraId="7E700BD3" w14:textId="77777777" w:rsidR="00CE34D2" w:rsidRPr="00CE34D2" w:rsidRDefault="00CE34D2" w:rsidP="00CE34D2">
            <w:pPr>
              <w:widowControl w:val="0"/>
              <w:spacing w:after="0" w:line="240" w:lineRule="auto"/>
              <w:jc w:val="both"/>
              <w:rPr>
                <w:rFonts w:ascii="Arial" w:eastAsia="Calibri" w:hAnsi="Arial" w:cs="Arial"/>
                <w:bCs/>
                <w:sz w:val="16"/>
                <w:szCs w:val="16"/>
              </w:rPr>
            </w:pPr>
          </w:p>
        </w:tc>
        <w:tc>
          <w:tcPr>
            <w:tcW w:w="673" w:type="pct"/>
            <w:shd w:val="clear" w:color="auto" w:fill="auto"/>
            <w:vAlign w:val="center"/>
          </w:tcPr>
          <w:p w14:paraId="2B829FBB" w14:textId="77777777" w:rsidR="00CE34D2" w:rsidRPr="00CE34D2" w:rsidRDefault="00CE34D2" w:rsidP="00CE34D2">
            <w:pPr>
              <w:widowControl w:val="0"/>
              <w:spacing w:after="0" w:line="240" w:lineRule="auto"/>
              <w:jc w:val="both"/>
              <w:rPr>
                <w:rFonts w:ascii="Arial" w:eastAsia="Calibri" w:hAnsi="Arial" w:cs="Arial"/>
                <w:bCs/>
                <w:sz w:val="16"/>
                <w:szCs w:val="16"/>
              </w:rPr>
            </w:pPr>
          </w:p>
        </w:tc>
        <w:tc>
          <w:tcPr>
            <w:tcW w:w="786" w:type="pct"/>
            <w:vAlign w:val="center"/>
          </w:tcPr>
          <w:p w14:paraId="4D3688FF" w14:textId="77777777" w:rsidR="00CE34D2" w:rsidRPr="00CE34D2" w:rsidRDefault="00CE34D2" w:rsidP="00CE34D2">
            <w:pPr>
              <w:widowControl w:val="0"/>
              <w:autoSpaceDE w:val="0"/>
              <w:autoSpaceDN w:val="0"/>
              <w:adjustRightInd w:val="0"/>
              <w:spacing w:after="0" w:line="240" w:lineRule="auto"/>
              <w:jc w:val="both"/>
              <w:rPr>
                <w:rFonts w:ascii="Arial" w:eastAsia="Calibri" w:hAnsi="Arial" w:cs="Arial"/>
                <w:bCs/>
                <w:sz w:val="16"/>
                <w:szCs w:val="16"/>
              </w:rPr>
            </w:pPr>
          </w:p>
        </w:tc>
        <w:tc>
          <w:tcPr>
            <w:tcW w:w="330" w:type="pct"/>
            <w:shd w:val="clear" w:color="auto" w:fill="auto"/>
            <w:vAlign w:val="center"/>
          </w:tcPr>
          <w:p w14:paraId="40328417" w14:textId="77777777" w:rsidR="00CE34D2" w:rsidRPr="00CE34D2" w:rsidRDefault="00CE34D2" w:rsidP="00CE34D2">
            <w:pPr>
              <w:widowControl w:val="0"/>
              <w:autoSpaceDE w:val="0"/>
              <w:autoSpaceDN w:val="0"/>
              <w:adjustRightInd w:val="0"/>
              <w:spacing w:after="0" w:line="240" w:lineRule="auto"/>
              <w:jc w:val="both"/>
              <w:rPr>
                <w:rFonts w:ascii="Arial" w:eastAsia="Calibri" w:hAnsi="Arial" w:cs="Arial"/>
                <w:bCs/>
                <w:sz w:val="16"/>
                <w:szCs w:val="16"/>
              </w:rPr>
            </w:pPr>
          </w:p>
        </w:tc>
        <w:tc>
          <w:tcPr>
            <w:tcW w:w="938" w:type="pct"/>
            <w:shd w:val="clear" w:color="auto" w:fill="auto"/>
            <w:vAlign w:val="center"/>
          </w:tcPr>
          <w:p w14:paraId="6D023DF2" w14:textId="77777777" w:rsidR="00CE34D2" w:rsidRPr="00CE34D2" w:rsidRDefault="00CE34D2" w:rsidP="00CE34D2">
            <w:pPr>
              <w:widowControl w:val="0"/>
              <w:autoSpaceDE w:val="0"/>
              <w:autoSpaceDN w:val="0"/>
              <w:adjustRightInd w:val="0"/>
              <w:spacing w:after="0" w:line="240" w:lineRule="auto"/>
              <w:jc w:val="both"/>
              <w:rPr>
                <w:rFonts w:ascii="Arial" w:eastAsia="Calibri" w:hAnsi="Arial" w:cs="Arial"/>
                <w:bCs/>
                <w:sz w:val="16"/>
                <w:szCs w:val="16"/>
              </w:rPr>
            </w:pPr>
          </w:p>
        </w:tc>
        <w:tc>
          <w:tcPr>
            <w:tcW w:w="955" w:type="pct"/>
            <w:vAlign w:val="center"/>
          </w:tcPr>
          <w:p w14:paraId="0A0F53B8" w14:textId="77777777" w:rsidR="00CE34D2" w:rsidRPr="00CE34D2" w:rsidRDefault="00CE34D2" w:rsidP="00CE34D2">
            <w:pPr>
              <w:widowControl w:val="0"/>
              <w:autoSpaceDE w:val="0"/>
              <w:autoSpaceDN w:val="0"/>
              <w:adjustRightInd w:val="0"/>
              <w:spacing w:after="0" w:line="240" w:lineRule="auto"/>
              <w:jc w:val="both"/>
              <w:rPr>
                <w:rFonts w:ascii="Arial" w:eastAsia="Calibri" w:hAnsi="Arial" w:cs="Arial"/>
                <w:bCs/>
                <w:sz w:val="16"/>
                <w:szCs w:val="16"/>
              </w:rPr>
            </w:pPr>
          </w:p>
        </w:tc>
        <w:tc>
          <w:tcPr>
            <w:tcW w:w="895" w:type="pct"/>
            <w:vAlign w:val="center"/>
          </w:tcPr>
          <w:p w14:paraId="090B756A" w14:textId="77777777" w:rsidR="00CE34D2" w:rsidRPr="00CE34D2" w:rsidRDefault="00CE34D2" w:rsidP="00CE34D2">
            <w:pPr>
              <w:widowControl w:val="0"/>
              <w:autoSpaceDE w:val="0"/>
              <w:autoSpaceDN w:val="0"/>
              <w:adjustRightInd w:val="0"/>
              <w:spacing w:after="0" w:line="240" w:lineRule="auto"/>
              <w:jc w:val="both"/>
              <w:rPr>
                <w:rFonts w:ascii="Arial" w:eastAsia="Calibri" w:hAnsi="Arial" w:cs="Arial"/>
                <w:bCs/>
                <w:sz w:val="16"/>
                <w:szCs w:val="16"/>
              </w:rPr>
            </w:pPr>
          </w:p>
        </w:tc>
      </w:tr>
      <w:tr w:rsidR="00CE34D2" w:rsidRPr="00CE34D2" w14:paraId="745BA90E" w14:textId="77777777" w:rsidTr="00CE34D2">
        <w:tc>
          <w:tcPr>
            <w:tcW w:w="422" w:type="pct"/>
            <w:vAlign w:val="center"/>
          </w:tcPr>
          <w:p w14:paraId="0F659874" w14:textId="77777777" w:rsidR="00CE34D2" w:rsidRPr="00CE34D2" w:rsidRDefault="00CE34D2" w:rsidP="00CE34D2">
            <w:pPr>
              <w:widowControl w:val="0"/>
              <w:spacing w:after="0" w:line="240" w:lineRule="auto"/>
              <w:jc w:val="both"/>
              <w:rPr>
                <w:rFonts w:ascii="Arial" w:eastAsia="Calibri" w:hAnsi="Arial" w:cs="Arial"/>
                <w:bCs/>
                <w:sz w:val="16"/>
                <w:szCs w:val="16"/>
              </w:rPr>
            </w:pPr>
          </w:p>
        </w:tc>
        <w:tc>
          <w:tcPr>
            <w:tcW w:w="673" w:type="pct"/>
            <w:shd w:val="clear" w:color="auto" w:fill="auto"/>
            <w:vAlign w:val="center"/>
          </w:tcPr>
          <w:p w14:paraId="4796441A" w14:textId="77777777" w:rsidR="00CE34D2" w:rsidRPr="00CE34D2" w:rsidRDefault="00CE34D2" w:rsidP="00CE34D2">
            <w:pPr>
              <w:widowControl w:val="0"/>
              <w:spacing w:after="0" w:line="240" w:lineRule="auto"/>
              <w:jc w:val="both"/>
              <w:rPr>
                <w:rFonts w:ascii="Arial" w:eastAsia="Calibri" w:hAnsi="Arial" w:cs="Arial"/>
                <w:bCs/>
                <w:sz w:val="16"/>
                <w:szCs w:val="16"/>
              </w:rPr>
            </w:pPr>
          </w:p>
        </w:tc>
        <w:tc>
          <w:tcPr>
            <w:tcW w:w="786" w:type="pct"/>
            <w:vAlign w:val="center"/>
          </w:tcPr>
          <w:p w14:paraId="6ABF687E" w14:textId="77777777" w:rsidR="00CE34D2" w:rsidRPr="00CE34D2" w:rsidRDefault="00CE34D2" w:rsidP="00CE34D2">
            <w:pPr>
              <w:widowControl w:val="0"/>
              <w:autoSpaceDE w:val="0"/>
              <w:autoSpaceDN w:val="0"/>
              <w:adjustRightInd w:val="0"/>
              <w:spacing w:after="0" w:line="240" w:lineRule="auto"/>
              <w:jc w:val="both"/>
              <w:rPr>
                <w:rFonts w:ascii="Arial" w:eastAsia="Calibri" w:hAnsi="Arial" w:cs="Arial"/>
                <w:bCs/>
                <w:sz w:val="16"/>
                <w:szCs w:val="16"/>
              </w:rPr>
            </w:pPr>
          </w:p>
        </w:tc>
        <w:tc>
          <w:tcPr>
            <w:tcW w:w="330" w:type="pct"/>
            <w:shd w:val="clear" w:color="auto" w:fill="auto"/>
            <w:vAlign w:val="center"/>
          </w:tcPr>
          <w:p w14:paraId="4C189BD0" w14:textId="77777777" w:rsidR="00CE34D2" w:rsidRPr="00CE34D2" w:rsidRDefault="00CE34D2" w:rsidP="00CE34D2">
            <w:pPr>
              <w:widowControl w:val="0"/>
              <w:autoSpaceDE w:val="0"/>
              <w:autoSpaceDN w:val="0"/>
              <w:adjustRightInd w:val="0"/>
              <w:spacing w:after="0" w:line="240" w:lineRule="auto"/>
              <w:jc w:val="both"/>
              <w:rPr>
                <w:rFonts w:ascii="Arial" w:eastAsia="Calibri" w:hAnsi="Arial" w:cs="Arial"/>
                <w:bCs/>
                <w:sz w:val="16"/>
                <w:szCs w:val="16"/>
              </w:rPr>
            </w:pPr>
          </w:p>
        </w:tc>
        <w:tc>
          <w:tcPr>
            <w:tcW w:w="938" w:type="pct"/>
            <w:shd w:val="clear" w:color="auto" w:fill="auto"/>
            <w:vAlign w:val="center"/>
          </w:tcPr>
          <w:p w14:paraId="671E65EF" w14:textId="77777777" w:rsidR="00CE34D2" w:rsidRPr="00CE34D2" w:rsidRDefault="00CE34D2" w:rsidP="00CE34D2">
            <w:pPr>
              <w:widowControl w:val="0"/>
              <w:autoSpaceDE w:val="0"/>
              <w:autoSpaceDN w:val="0"/>
              <w:adjustRightInd w:val="0"/>
              <w:spacing w:after="0" w:line="240" w:lineRule="auto"/>
              <w:jc w:val="both"/>
              <w:rPr>
                <w:rFonts w:ascii="Arial" w:eastAsia="Calibri" w:hAnsi="Arial" w:cs="Arial"/>
                <w:bCs/>
                <w:sz w:val="16"/>
                <w:szCs w:val="16"/>
              </w:rPr>
            </w:pPr>
          </w:p>
        </w:tc>
        <w:tc>
          <w:tcPr>
            <w:tcW w:w="955" w:type="pct"/>
            <w:vAlign w:val="center"/>
          </w:tcPr>
          <w:p w14:paraId="143966D5" w14:textId="77777777" w:rsidR="00CE34D2" w:rsidRPr="00CE34D2" w:rsidRDefault="00CE34D2" w:rsidP="00CE34D2">
            <w:pPr>
              <w:widowControl w:val="0"/>
              <w:autoSpaceDE w:val="0"/>
              <w:autoSpaceDN w:val="0"/>
              <w:adjustRightInd w:val="0"/>
              <w:spacing w:after="0" w:line="240" w:lineRule="auto"/>
              <w:jc w:val="both"/>
              <w:rPr>
                <w:rFonts w:ascii="Arial" w:eastAsia="Calibri" w:hAnsi="Arial" w:cs="Arial"/>
                <w:bCs/>
                <w:sz w:val="16"/>
                <w:szCs w:val="16"/>
              </w:rPr>
            </w:pPr>
          </w:p>
        </w:tc>
        <w:tc>
          <w:tcPr>
            <w:tcW w:w="895" w:type="pct"/>
            <w:vAlign w:val="center"/>
          </w:tcPr>
          <w:p w14:paraId="792AA728" w14:textId="77777777" w:rsidR="00CE34D2" w:rsidRPr="00CE34D2" w:rsidRDefault="00CE34D2" w:rsidP="00CE34D2">
            <w:pPr>
              <w:widowControl w:val="0"/>
              <w:autoSpaceDE w:val="0"/>
              <w:autoSpaceDN w:val="0"/>
              <w:adjustRightInd w:val="0"/>
              <w:spacing w:after="0" w:line="240" w:lineRule="auto"/>
              <w:jc w:val="both"/>
              <w:rPr>
                <w:rFonts w:ascii="Arial" w:eastAsia="Calibri" w:hAnsi="Arial" w:cs="Arial"/>
                <w:bCs/>
                <w:sz w:val="16"/>
                <w:szCs w:val="16"/>
              </w:rPr>
            </w:pPr>
          </w:p>
        </w:tc>
      </w:tr>
    </w:tbl>
    <w:p w14:paraId="7B718447" w14:textId="77777777" w:rsidR="00CE34D2" w:rsidRPr="00CE34D2" w:rsidRDefault="00CE34D2" w:rsidP="00CE34D2">
      <w:pPr>
        <w:widowControl w:val="0"/>
        <w:spacing w:after="0" w:line="360" w:lineRule="auto"/>
        <w:jc w:val="both"/>
        <w:rPr>
          <w:rFonts w:ascii="Arial" w:eastAsia="Calibri" w:hAnsi="Arial" w:cs="Arial"/>
        </w:rPr>
      </w:pPr>
    </w:p>
    <w:p w14:paraId="4CECA448" w14:textId="77777777" w:rsidR="00CE34D2" w:rsidRPr="00CE34D2" w:rsidRDefault="00CE34D2" w:rsidP="00CE34D2">
      <w:pPr>
        <w:widowControl w:val="0"/>
        <w:spacing w:after="0" w:line="360" w:lineRule="auto"/>
        <w:jc w:val="both"/>
        <w:rPr>
          <w:rFonts w:ascii="Arial" w:eastAsia="Calibri" w:hAnsi="Arial" w:cs="Arial"/>
          <w:b/>
        </w:rPr>
      </w:pPr>
      <w:r w:rsidRPr="00CE34D2">
        <w:rPr>
          <w:rFonts w:ascii="Arial" w:eastAsia="Calibri" w:hAnsi="Arial" w:cs="Arial"/>
          <w:b/>
        </w:rPr>
        <w:t>1.2. Constatações e proposições</w:t>
      </w:r>
    </w:p>
    <w:p w14:paraId="2D674E2D" w14:textId="77777777" w:rsidR="00CE34D2" w:rsidRPr="00CE34D2" w:rsidRDefault="00CE34D2" w:rsidP="00CE34D2">
      <w:pPr>
        <w:widowControl w:val="0"/>
        <w:autoSpaceDE w:val="0"/>
        <w:autoSpaceDN w:val="0"/>
        <w:adjustRightInd w:val="0"/>
        <w:spacing w:after="0" w:line="240" w:lineRule="auto"/>
        <w:jc w:val="both"/>
        <w:rPr>
          <w:rFonts w:ascii="Arial" w:eastAsia="Calibri" w:hAnsi="Arial" w:cs="Arial"/>
          <w:bCs/>
        </w:rPr>
      </w:pPr>
    </w:p>
    <w:p w14:paraId="6F2EDD07" w14:textId="77777777" w:rsidR="00CE34D2" w:rsidRPr="00CE34D2" w:rsidRDefault="00CE34D2" w:rsidP="00CE34D2">
      <w:pPr>
        <w:widowControl w:val="0"/>
        <w:spacing w:after="0" w:line="360" w:lineRule="auto"/>
        <w:jc w:val="both"/>
        <w:rPr>
          <w:rFonts w:ascii="Arial" w:eastAsia="Calibri" w:hAnsi="Arial" w:cs="Arial"/>
          <w:i/>
        </w:rPr>
      </w:pPr>
      <w:r w:rsidRPr="00CE34D2">
        <w:rPr>
          <w:rFonts w:ascii="Arial" w:eastAsia="Calibri" w:hAnsi="Arial" w:cs="Arial"/>
          <w:i/>
        </w:rPr>
        <w:t>[Relatar neste tópico as constatações acerca dos itens selecionados para análise, conforme tabela do tópico 1.1, indicando os achados e as proposições. O relato poderá ser realizado no formato da tabela abaixo, utilizando como referência o código indicado na tabela do tópico 1.1]</w:t>
      </w:r>
    </w:p>
    <w:p w14:paraId="73E236B9" w14:textId="77777777" w:rsidR="00CE34D2" w:rsidRPr="00CE34D2" w:rsidRDefault="00CE34D2" w:rsidP="00CE34D2">
      <w:pPr>
        <w:widowControl w:val="0"/>
        <w:spacing w:after="0" w:line="360" w:lineRule="auto"/>
        <w:jc w:val="both"/>
        <w:rPr>
          <w:rFonts w:ascii="Arial" w:eastAsia="Calibri" w:hAnsi="Arial" w:cs="Arial"/>
          <w:i/>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118"/>
        <w:gridCol w:w="3261"/>
        <w:gridCol w:w="1842"/>
      </w:tblGrid>
      <w:tr w:rsidR="00CE34D2" w:rsidRPr="00CE34D2" w14:paraId="183C8F23" w14:textId="77777777" w:rsidTr="007B690E">
        <w:tc>
          <w:tcPr>
            <w:tcW w:w="851" w:type="dxa"/>
            <w:shd w:val="clear" w:color="auto" w:fill="auto"/>
            <w:vAlign w:val="center"/>
          </w:tcPr>
          <w:p w14:paraId="485A47AD" w14:textId="77777777" w:rsidR="00CE34D2" w:rsidRPr="00CE34D2" w:rsidRDefault="00CE34D2" w:rsidP="00CE34D2">
            <w:pPr>
              <w:widowControl w:val="0"/>
              <w:autoSpaceDE w:val="0"/>
              <w:autoSpaceDN w:val="0"/>
              <w:adjustRightInd w:val="0"/>
              <w:spacing w:after="0" w:line="240" w:lineRule="auto"/>
              <w:jc w:val="center"/>
              <w:rPr>
                <w:rFonts w:ascii="Arial" w:eastAsia="Calibri" w:hAnsi="Arial" w:cs="Arial"/>
                <w:b/>
                <w:bCs/>
                <w:sz w:val="16"/>
                <w:szCs w:val="16"/>
                <w:lang w:val="en-US"/>
              </w:rPr>
            </w:pPr>
            <w:r w:rsidRPr="00CE34D2">
              <w:rPr>
                <w:rFonts w:ascii="Arial" w:eastAsia="Calibri" w:hAnsi="Arial" w:cs="Arial"/>
                <w:b/>
                <w:bCs/>
                <w:sz w:val="16"/>
                <w:szCs w:val="16"/>
                <w:lang w:val="en-US"/>
              </w:rPr>
              <w:t>Código</w:t>
            </w:r>
          </w:p>
        </w:tc>
        <w:tc>
          <w:tcPr>
            <w:tcW w:w="3118" w:type="dxa"/>
            <w:shd w:val="clear" w:color="auto" w:fill="auto"/>
            <w:vAlign w:val="center"/>
          </w:tcPr>
          <w:p w14:paraId="4A7C840D" w14:textId="77777777" w:rsidR="00CE34D2" w:rsidRPr="00CE34D2" w:rsidRDefault="00CE34D2" w:rsidP="00CE34D2">
            <w:pPr>
              <w:widowControl w:val="0"/>
              <w:autoSpaceDE w:val="0"/>
              <w:autoSpaceDN w:val="0"/>
              <w:adjustRightInd w:val="0"/>
              <w:spacing w:after="0" w:line="240" w:lineRule="auto"/>
              <w:jc w:val="center"/>
              <w:rPr>
                <w:rFonts w:ascii="Arial" w:eastAsia="Calibri" w:hAnsi="Arial" w:cs="Arial"/>
                <w:b/>
                <w:bCs/>
                <w:sz w:val="16"/>
                <w:szCs w:val="16"/>
                <w:lang w:val="en-US"/>
              </w:rPr>
            </w:pPr>
            <w:r w:rsidRPr="00CE34D2">
              <w:rPr>
                <w:rFonts w:ascii="Arial" w:eastAsia="Calibri" w:hAnsi="Arial" w:cs="Arial"/>
                <w:b/>
                <w:bCs/>
                <w:sz w:val="16"/>
                <w:szCs w:val="16"/>
                <w:lang w:val="en-US"/>
              </w:rPr>
              <w:t>Achados</w:t>
            </w:r>
          </w:p>
        </w:tc>
        <w:tc>
          <w:tcPr>
            <w:tcW w:w="3261" w:type="dxa"/>
            <w:vAlign w:val="center"/>
          </w:tcPr>
          <w:p w14:paraId="25E2B626" w14:textId="77777777" w:rsidR="00CE34D2" w:rsidRPr="00CE34D2" w:rsidRDefault="00CE34D2" w:rsidP="00CE34D2">
            <w:pPr>
              <w:widowControl w:val="0"/>
              <w:autoSpaceDE w:val="0"/>
              <w:autoSpaceDN w:val="0"/>
              <w:adjustRightInd w:val="0"/>
              <w:spacing w:after="0" w:line="240" w:lineRule="auto"/>
              <w:jc w:val="center"/>
              <w:rPr>
                <w:rFonts w:ascii="Arial" w:eastAsia="Calibri" w:hAnsi="Arial" w:cs="Arial"/>
                <w:b/>
                <w:bCs/>
                <w:sz w:val="16"/>
                <w:szCs w:val="16"/>
                <w:lang w:val="en-US"/>
              </w:rPr>
            </w:pPr>
            <w:r w:rsidRPr="00CE34D2">
              <w:rPr>
                <w:rFonts w:ascii="Arial" w:eastAsia="Calibri" w:hAnsi="Arial" w:cs="Arial"/>
                <w:b/>
                <w:bCs/>
                <w:sz w:val="16"/>
                <w:szCs w:val="16"/>
                <w:lang w:val="en-US"/>
              </w:rPr>
              <w:t>Proposições/Alertas</w:t>
            </w:r>
          </w:p>
        </w:tc>
        <w:tc>
          <w:tcPr>
            <w:tcW w:w="1842" w:type="dxa"/>
          </w:tcPr>
          <w:p w14:paraId="057297F7" w14:textId="77777777" w:rsidR="00CE34D2" w:rsidRPr="00CE34D2" w:rsidRDefault="00CE34D2" w:rsidP="00CE34D2">
            <w:pPr>
              <w:widowControl w:val="0"/>
              <w:autoSpaceDE w:val="0"/>
              <w:autoSpaceDN w:val="0"/>
              <w:adjustRightInd w:val="0"/>
              <w:spacing w:after="0" w:line="240" w:lineRule="auto"/>
              <w:jc w:val="center"/>
              <w:rPr>
                <w:rFonts w:ascii="Arial" w:eastAsia="Calibri" w:hAnsi="Arial" w:cs="Arial"/>
                <w:b/>
                <w:bCs/>
                <w:sz w:val="16"/>
                <w:szCs w:val="16"/>
                <w:lang w:val="en-US"/>
              </w:rPr>
            </w:pPr>
            <w:r w:rsidRPr="00CE34D2">
              <w:rPr>
                <w:rFonts w:ascii="Arial" w:eastAsia="Calibri" w:hAnsi="Arial" w:cs="Arial"/>
                <w:b/>
                <w:bCs/>
                <w:sz w:val="16"/>
                <w:szCs w:val="16"/>
                <w:lang w:val="en-US"/>
              </w:rPr>
              <w:t>Situação</w:t>
            </w:r>
          </w:p>
        </w:tc>
      </w:tr>
      <w:tr w:rsidR="00CE34D2" w:rsidRPr="00CE34D2" w14:paraId="057384E9" w14:textId="77777777" w:rsidTr="007B690E">
        <w:trPr>
          <w:trHeight w:val="22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64BF23A" w14:textId="77777777" w:rsidR="00CE34D2" w:rsidRPr="00CE34D2" w:rsidRDefault="00CE34D2" w:rsidP="00CE34D2">
            <w:pPr>
              <w:widowControl w:val="0"/>
              <w:autoSpaceDE w:val="0"/>
              <w:autoSpaceDN w:val="0"/>
              <w:adjustRightInd w:val="0"/>
              <w:spacing w:after="0" w:line="240" w:lineRule="auto"/>
              <w:jc w:val="both"/>
              <w:rPr>
                <w:rFonts w:ascii="Arial" w:eastAsia="Calibri" w:hAnsi="Arial" w:cs="Arial"/>
                <w:bCs/>
                <w:sz w:val="16"/>
                <w:szCs w:val="16"/>
                <w:lang w:val="en-US"/>
              </w:rPr>
            </w:pP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0A9883F9" w14:textId="77777777" w:rsidR="00CE34D2" w:rsidRPr="00CE34D2" w:rsidRDefault="00CE34D2" w:rsidP="00CE34D2">
            <w:pPr>
              <w:widowControl w:val="0"/>
              <w:autoSpaceDE w:val="0"/>
              <w:autoSpaceDN w:val="0"/>
              <w:adjustRightInd w:val="0"/>
              <w:spacing w:after="0" w:line="240" w:lineRule="auto"/>
              <w:jc w:val="both"/>
              <w:rPr>
                <w:rFonts w:ascii="Arial" w:eastAsia="Calibri" w:hAnsi="Arial" w:cs="Arial"/>
                <w:bCs/>
                <w:sz w:val="16"/>
                <w:szCs w:val="16"/>
                <w:lang w:val="en-US"/>
              </w:rPr>
            </w:pPr>
          </w:p>
        </w:tc>
        <w:tc>
          <w:tcPr>
            <w:tcW w:w="3261" w:type="dxa"/>
            <w:tcBorders>
              <w:top w:val="single" w:sz="4" w:space="0" w:color="auto"/>
              <w:left w:val="single" w:sz="4" w:space="0" w:color="auto"/>
              <w:bottom w:val="single" w:sz="4" w:space="0" w:color="auto"/>
              <w:right w:val="single" w:sz="4" w:space="0" w:color="auto"/>
            </w:tcBorders>
            <w:vAlign w:val="center"/>
          </w:tcPr>
          <w:p w14:paraId="180BA653" w14:textId="77777777" w:rsidR="00CE34D2" w:rsidRPr="00CE34D2" w:rsidRDefault="00CE34D2" w:rsidP="00CE34D2">
            <w:pPr>
              <w:widowControl w:val="0"/>
              <w:autoSpaceDE w:val="0"/>
              <w:autoSpaceDN w:val="0"/>
              <w:adjustRightInd w:val="0"/>
              <w:spacing w:after="0" w:line="240" w:lineRule="auto"/>
              <w:jc w:val="both"/>
              <w:rPr>
                <w:rFonts w:ascii="Arial" w:eastAsia="Calibri" w:hAnsi="Arial" w:cs="Arial"/>
                <w:bCs/>
                <w:sz w:val="16"/>
                <w:szCs w:val="16"/>
                <w:lang w:val="en-US"/>
              </w:rPr>
            </w:pPr>
          </w:p>
        </w:tc>
        <w:tc>
          <w:tcPr>
            <w:tcW w:w="1842" w:type="dxa"/>
            <w:tcBorders>
              <w:top w:val="single" w:sz="4" w:space="0" w:color="auto"/>
              <w:left w:val="single" w:sz="4" w:space="0" w:color="auto"/>
              <w:bottom w:val="single" w:sz="4" w:space="0" w:color="auto"/>
              <w:right w:val="single" w:sz="4" w:space="0" w:color="auto"/>
            </w:tcBorders>
          </w:tcPr>
          <w:p w14:paraId="11F880D7" w14:textId="77777777" w:rsidR="00CE34D2" w:rsidRPr="00CE34D2" w:rsidRDefault="00CE34D2" w:rsidP="00CE34D2">
            <w:pPr>
              <w:widowControl w:val="0"/>
              <w:autoSpaceDE w:val="0"/>
              <w:autoSpaceDN w:val="0"/>
              <w:adjustRightInd w:val="0"/>
              <w:spacing w:after="0" w:line="240" w:lineRule="auto"/>
              <w:jc w:val="both"/>
              <w:rPr>
                <w:rFonts w:ascii="Arial" w:eastAsia="Calibri" w:hAnsi="Arial" w:cs="Arial"/>
                <w:bCs/>
                <w:sz w:val="16"/>
                <w:szCs w:val="16"/>
                <w:lang w:val="en-US"/>
              </w:rPr>
            </w:pPr>
          </w:p>
        </w:tc>
      </w:tr>
      <w:tr w:rsidR="00CE34D2" w:rsidRPr="00CE34D2" w14:paraId="37825053" w14:textId="77777777" w:rsidTr="007B690E">
        <w:trPr>
          <w:trHeight w:val="22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BBE9917" w14:textId="77777777" w:rsidR="00CE34D2" w:rsidRPr="00CE34D2" w:rsidRDefault="00CE34D2" w:rsidP="00CE34D2">
            <w:pPr>
              <w:widowControl w:val="0"/>
              <w:autoSpaceDE w:val="0"/>
              <w:autoSpaceDN w:val="0"/>
              <w:adjustRightInd w:val="0"/>
              <w:spacing w:after="0" w:line="240" w:lineRule="auto"/>
              <w:jc w:val="both"/>
              <w:rPr>
                <w:rFonts w:ascii="Arial" w:eastAsia="Calibri" w:hAnsi="Arial" w:cs="Arial"/>
                <w:bCs/>
                <w:sz w:val="16"/>
                <w:szCs w:val="16"/>
                <w:lang w:val="en-US"/>
              </w:rPr>
            </w:pP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1A03D4E9" w14:textId="77777777" w:rsidR="00CE34D2" w:rsidRPr="00CE34D2" w:rsidRDefault="00CE34D2" w:rsidP="00CE34D2">
            <w:pPr>
              <w:widowControl w:val="0"/>
              <w:autoSpaceDE w:val="0"/>
              <w:autoSpaceDN w:val="0"/>
              <w:adjustRightInd w:val="0"/>
              <w:spacing w:after="0" w:line="240" w:lineRule="auto"/>
              <w:jc w:val="both"/>
              <w:rPr>
                <w:rFonts w:ascii="Arial" w:eastAsia="Calibri" w:hAnsi="Arial" w:cs="Arial"/>
                <w:bCs/>
                <w:sz w:val="16"/>
                <w:szCs w:val="16"/>
                <w:lang w:val="en-US"/>
              </w:rPr>
            </w:pPr>
          </w:p>
        </w:tc>
        <w:tc>
          <w:tcPr>
            <w:tcW w:w="3261" w:type="dxa"/>
            <w:tcBorders>
              <w:top w:val="single" w:sz="4" w:space="0" w:color="auto"/>
              <w:left w:val="single" w:sz="4" w:space="0" w:color="auto"/>
              <w:bottom w:val="single" w:sz="4" w:space="0" w:color="auto"/>
              <w:right w:val="single" w:sz="4" w:space="0" w:color="auto"/>
            </w:tcBorders>
            <w:vAlign w:val="center"/>
          </w:tcPr>
          <w:p w14:paraId="200BA20C" w14:textId="77777777" w:rsidR="00CE34D2" w:rsidRPr="00CE34D2" w:rsidRDefault="00CE34D2" w:rsidP="00CE34D2">
            <w:pPr>
              <w:widowControl w:val="0"/>
              <w:autoSpaceDE w:val="0"/>
              <w:autoSpaceDN w:val="0"/>
              <w:adjustRightInd w:val="0"/>
              <w:spacing w:after="0" w:line="240" w:lineRule="auto"/>
              <w:jc w:val="both"/>
              <w:rPr>
                <w:rFonts w:ascii="Arial" w:eastAsia="Calibri" w:hAnsi="Arial" w:cs="Arial"/>
                <w:bCs/>
                <w:sz w:val="16"/>
                <w:szCs w:val="16"/>
                <w:lang w:val="en-US"/>
              </w:rPr>
            </w:pPr>
          </w:p>
        </w:tc>
        <w:tc>
          <w:tcPr>
            <w:tcW w:w="1842" w:type="dxa"/>
            <w:tcBorders>
              <w:top w:val="single" w:sz="4" w:space="0" w:color="auto"/>
              <w:left w:val="single" w:sz="4" w:space="0" w:color="auto"/>
              <w:bottom w:val="single" w:sz="4" w:space="0" w:color="auto"/>
              <w:right w:val="single" w:sz="4" w:space="0" w:color="auto"/>
            </w:tcBorders>
          </w:tcPr>
          <w:p w14:paraId="7954710F" w14:textId="77777777" w:rsidR="00CE34D2" w:rsidRPr="00CE34D2" w:rsidRDefault="00CE34D2" w:rsidP="00CE34D2">
            <w:pPr>
              <w:widowControl w:val="0"/>
              <w:autoSpaceDE w:val="0"/>
              <w:autoSpaceDN w:val="0"/>
              <w:adjustRightInd w:val="0"/>
              <w:spacing w:after="0" w:line="240" w:lineRule="auto"/>
              <w:jc w:val="both"/>
              <w:rPr>
                <w:rFonts w:ascii="Arial" w:eastAsia="Calibri" w:hAnsi="Arial" w:cs="Arial"/>
                <w:bCs/>
                <w:sz w:val="16"/>
                <w:szCs w:val="16"/>
                <w:lang w:val="en-US"/>
              </w:rPr>
            </w:pPr>
          </w:p>
        </w:tc>
      </w:tr>
    </w:tbl>
    <w:p w14:paraId="1D504E01" w14:textId="77777777" w:rsidR="00CE34D2" w:rsidRPr="00CE34D2" w:rsidRDefault="00CE34D2" w:rsidP="00CE34D2">
      <w:pPr>
        <w:widowControl w:val="0"/>
        <w:spacing w:after="0" w:line="360" w:lineRule="auto"/>
        <w:jc w:val="both"/>
        <w:rPr>
          <w:rFonts w:ascii="Arial" w:eastAsia="Calibri" w:hAnsi="Arial" w:cs="Arial"/>
          <w:i/>
        </w:rPr>
      </w:pPr>
    </w:p>
    <w:p w14:paraId="2CCD4BA4" w14:textId="77777777" w:rsidR="00CE34D2" w:rsidRPr="00CE34D2" w:rsidRDefault="00CE34D2" w:rsidP="00CE34D2">
      <w:pPr>
        <w:widowControl w:val="0"/>
        <w:spacing w:after="0" w:line="240" w:lineRule="auto"/>
        <w:rPr>
          <w:rFonts w:ascii="Arial" w:eastAsia="Calibri" w:hAnsi="Arial" w:cs="Arial"/>
          <w:b/>
        </w:rPr>
      </w:pPr>
      <w:r w:rsidRPr="00CE34D2">
        <w:rPr>
          <w:rFonts w:ascii="Arial" w:eastAsia="Calibri" w:hAnsi="Arial" w:cs="Arial"/>
          <w:b/>
        </w:rPr>
        <w:t>1.3. Da gestão orçamentária, financeira, patrimonial e fiscal</w:t>
      </w:r>
    </w:p>
    <w:p w14:paraId="5ADB8CCC" w14:textId="77777777" w:rsidR="00CE34D2" w:rsidRPr="00CE34D2" w:rsidRDefault="00CE34D2" w:rsidP="00CE34D2">
      <w:pPr>
        <w:widowControl w:val="0"/>
        <w:spacing w:after="0" w:line="240" w:lineRule="auto"/>
        <w:rPr>
          <w:rFonts w:ascii="Arial" w:eastAsia="Calibri" w:hAnsi="Arial" w:cs="Arial"/>
          <w:b/>
        </w:rPr>
      </w:pPr>
    </w:p>
    <w:p w14:paraId="33B54D1F" w14:textId="77777777" w:rsidR="00CE34D2" w:rsidRPr="00CE34D2" w:rsidRDefault="00CE34D2" w:rsidP="00CE34D2">
      <w:pPr>
        <w:widowControl w:val="0"/>
        <w:spacing w:after="0" w:line="360" w:lineRule="auto"/>
        <w:jc w:val="both"/>
        <w:rPr>
          <w:rFonts w:ascii="Arial" w:eastAsia="Calibri" w:hAnsi="Arial" w:cs="Arial"/>
          <w:i/>
        </w:rPr>
      </w:pPr>
      <w:r w:rsidRPr="00CE34D2">
        <w:rPr>
          <w:rFonts w:ascii="Arial" w:eastAsia="Calibri" w:hAnsi="Arial" w:cs="Arial"/>
          <w:i/>
        </w:rPr>
        <w:t xml:space="preserve">[Relatar/comentar sobre a gestão orçamentária e fiscal do ente, abordando, por exemplo, as avaliações sobre: execução orçamentária; cumprimento dos limites constitucionais e da gestão fiscal; remuneração dos agentes políticos e chefes de poderes; </w:t>
      </w:r>
      <w:r>
        <w:rPr>
          <w:rFonts w:ascii="Arial" w:eastAsia="Calibri" w:hAnsi="Arial" w:cs="Arial"/>
          <w:i/>
        </w:rPr>
        <w:t>o</w:t>
      </w:r>
      <w:r w:rsidRPr="00CE34D2">
        <w:rPr>
          <w:rFonts w:ascii="Arial" w:eastAsia="Calibri" w:hAnsi="Arial" w:cs="Arial"/>
          <w:i/>
        </w:rPr>
        <w:t>utros assuntos relevantes]</w:t>
      </w:r>
    </w:p>
    <w:p w14:paraId="4D5C5E06" w14:textId="77777777" w:rsidR="00CE34D2" w:rsidRPr="00CE34D2" w:rsidRDefault="00CE34D2" w:rsidP="00CE34D2">
      <w:pPr>
        <w:widowControl w:val="0"/>
        <w:spacing w:after="0" w:line="240" w:lineRule="auto"/>
        <w:rPr>
          <w:rFonts w:ascii="Arial" w:eastAsia="Calibri" w:hAnsi="Arial" w:cs="Arial"/>
          <w:b/>
          <w:color w:val="FF0000"/>
        </w:rPr>
      </w:pPr>
    </w:p>
    <w:p w14:paraId="6B8FFC1F" w14:textId="77777777" w:rsidR="00CE34D2" w:rsidRPr="00CE34D2" w:rsidRDefault="00CE34D2" w:rsidP="00CE34D2">
      <w:pPr>
        <w:widowControl w:val="0"/>
        <w:spacing w:after="0" w:line="240" w:lineRule="auto"/>
        <w:rPr>
          <w:rFonts w:ascii="Arial" w:eastAsia="Calibri" w:hAnsi="Arial" w:cs="Arial"/>
          <w:b/>
        </w:rPr>
      </w:pPr>
      <w:r w:rsidRPr="00CE34D2">
        <w:rPr>
          <w:rFonts w:ascii="Arial" w:eastAsia="Calibri" w:hAnsi="Arial" w:cs="Arial"/>
          <w:b/>
        </w:rPr>
        <w:t>2. PARECER DO CONTROLE INTERNO</w:t>
      </w:r>
    </w:p>
    <w:p w14:paraId="0DC81957" w14:textId="77777777" w:rsidR="00CE34D2" w:rsidRPr="00CE34D2" w:rsidRDefault="00CE34D2" w:rsidP="00CE34D2">
      <w:pPr>
        <w:widowControl w:val="0"/>
        <w:spacing w:after="0" w:line="240" w:lineRule="auto"/>
        <w:rPr>
          <w:rFonts w:ascii="Arial" w:eastAsia="Calibri" w:hAnsi="Arial" w:cs="Arial"/>
          <w:b/>
        </w:rPr>
      </w:pPr>
    </w:p>
    <w:p w14:paraId="5080DD9F" w14:textId="77777777" w:rsidR="00CE34D2" w:rsidRPr="00CE34D2" w:rsidRDefault="00CE34D2" w:rsidP="00CE34D2">
      <w:pPr>
        <w:widowControl w:val="0"/>
        <w:spacing w:after="0" w:line="360" w:lineRule="auto"/>
        <w:jc w:val="both"/>
        <w:rPr>
          <w:rFonts w:ascii="Arial" w:eastAsia="Calibri" w:hAnsi="Arial" w:cs="Arial"/>
        </w:rPr>
      </w:pPr>
      <w:r w:rsidRPr="00CE34D2">
        <w:rPr>
          <w:rFonts w:ascii="Arial" w:eastAsia="Calibri" w:hAnsi="Arial" w:cs="Arial"/>
        </w:rPr>
        <w:t xml:space="preserve">Examinamos a prestação de contas anual elaborada sob a responsabilidade do Sr(s). </w:t>
      </w:r>
      <w:r w:rsidRPr="00CE34D2">
        <w:rPr>
          <w:rFonts w:ascii="Arial" w:eastAsia="Calibri" w:hAnsi="Arial" w:cs="Arial"/>
          <w:i/>
        </w:rPr>
        <w:t>[indicar os gestores responsáveis], [Chefe do Poder xxxxxxxx do Município/Estado de xxxxxxxxx]</w:t>
      </w:r>
      <w:r w:rsidRPr="00CE34D2">
        <w:rPr>
          <w:rFonts w:ascii="Arial" w:eastAsia="Calibri" w:hAnsi="Arial" w:cs="Arial"/>
        </w:rPr>
        <w:t xml:space="preserve">, relativa ao exercício de </w:t>
      </w:r>
      <w:r w:rsidRPr="00CE34D2">
        <w:rPr>
          <w:rFonts w:ascii="Arial" w:eastAsia="Calibri" w:hAnsi="Arial" w:cs="Arial"/>
          <w:i/>
        </w:rPr>
        <w:t>[exercício a que se refere a prestação de contas]</w:t>
      </w:r>
    </w:p>
    <w:p w14:paraId="7AC2ED62" w14:textId="77777777" w:rsidR="00CE34D2" w:rsidRPr="00CE34D2" w:rsidRDefault="00CE34D2" w:rsidP="00CE34D2">
      <w:pPr>
        <w:widowControl w:val="0"/>
        <w:spacing w:after="0" w:line="360" w:lineRule="auto"/>
        <w:jc w:val="both"/>
        <w:rPr>
          <w:rFonts w:ascii="Arial" w:eastAsia="Calibri" w:hAnsi="Arial" w:cs="Arial"/>
        </w:rPr>
      </w:pPr>
    </w:p>
    <w:p w14:paraId="2319B387" w14:textId="77777777" w:rsidR="00CE34D2" w:rsidRPr="00CE34D2" w:rsidRDefault="00CE34D2" w:rsidP="00CE34D2">
      <w:pPr>
        <w:widowControl w:val="0"/>
        <w:spacing w:after="0" w:line="360" w:lineRule="auto"/>
        <w:jc w:val="both"/>
        <w:rPr>
          <w:rFonts w:ascii="Arial" w:eastAsia="Calibri" w:hAnsi="Arial" w:cs="Arial"/>
        </w:rPr>
      </w:pPr>
      <w:r w:rsidRPr="00CE34D2">
        <w:rPr>
          <w:rFonts w:ascii="Arial" w:eastAsia="Calibri" w:hAnsi="Arial" w:cs="Arial"/>
        </w:rPr>
        <w:t xml:space="preserve">Em nossa opinião, tendo como base os objetos e pontos de controle avaliados, elencados no item 1 desta manifestação, a referida prestação de contas se </w:t>
      </w:r>
      <w:r w:rsidRPr="00CE34D2">
        <w:rPr>
          <w:rFonts w:ascii="Arial" w:eastAsia="Calibri" w:hAnsi="Arial" w:cs="Arial"/>
          <w:i/>
        </w:rPr>
        <w:t>encontra [regular / regular com ressalva / irregular]</w:t>
      </w:r>
      <w:r w:rsidRPr="00CE34D2">
        <w:rPr>
          <w:rFonts w:ascii="Arial" w:eastAsia="Calibri" w:hAnsi="Arial" w:cs="Arial"/>
        </w:rPr>
        <w:t>.</w:t>
      </w:r>
    </w:p>
    <w:p w14:paraId="2C08FD50" w14:textId="77777777" w:rsidR="00CE34D2" w:rsidRPr="00CE34D2" w:rsidRDefault="00CE34D2" w:rsidP="00CE34D2">
      <w:pPr>
        <w:widowControl w:val="0"/>
        <w:spacing w:after="0" w:line="360" w:lineRule="auto"/>
        <w:jc w:val="both"/>
        <w:rPr>
          <w:rFonts w:ascii="Arial" w:eastAsia="Calibri" w:hAnsi="Arial" w:cs="Arial"/>
        </w:rPr>
      </w:pPr>
    </w:p>
    <w:p w14:paraId="6FEAB389" w14:textId="77777777" w:rsidR="00CE34D2" w:rsidRPr="00CE34D2" w:rsidRDefault="00CE34D2" w:rsidP="00CE34D2">
      <w:pPr>
        <w:widowControl w:val="0"/>
        <w:spacing w:after="0" w:line="360" w:lineRule="auto"/>
        <w:jc w:val="both"/>
        <w:rPr>
          <w:rFonts w:ascii="Arial" w:eastAsia="Calibri" w:hAnsi="Arial" w:cs="Arial"/>
          <w:i/>
        </w:rPr>
      </w:pPr>
      <w:r w:rsidRPr="00CE34D2">
        <w:rPr>
          <w:rFonts w:ascii="Arial" w:eastAsia="Calibri" w:hAnsi="Arial" w:cs="Arial"/>
          <w:i/>
        </w:rPr>
        <w:t>[Fazer referência às inconformidades constatadas que fundamentaram a opinião se for o caso]</w:t>
      </w:r>
    </w:p>
    <w:p w14:paraId="19F687EE" w14:textId="77777777" w:rsidR="00CE34D2" w:rsidRPr="00CE34D2" w:rsidRDefault="00CE34D2" w:rsidP="00CE34D2">
      <w:pPr>
        <w:widowControl w:val="0"/>
        <w:spacing w:after="0" w:line="360" w:lineRule="auto"/>
        <w:jc w:val="both"/>
        <w:rPr>
          <w:rFonts w:ascii="Arial" w:eastAsia="Calibri" w:hAnsi="Arial" w:cs="Arial"/>
        </w:rPr>
      </w:pPr>
      <w:r w:rsidRPr="00CE34D2">
        <w:rPr>
          <w:rFonts w:ascii="Arial" w:eastAsia="Calibri" w:hAnsi="Arial" w:cs="Arial"/>
        </w:rPr>
        <w:t>[</w:t>
      </w:r>
      <w:r w:rsidRPr="00CE34D2">
        <w:rPr>
          <w:rFonts w:ascii="Arial" w:eastAsia="Calibri" w:hAnsi="Arial" w:cs="Arial"/>
          <w:i/>
        </w:rPr>
        <w:t>Local e data</w:t>
      </w:r>
      <w:r w:rsidRPr="00CE34D2">
        <w:rPr>
          <w:rFonts w:ascii="Arial" w:eastAsia="Calibri" w:hAnsi="Arial" w:cs="Arial"/>
        </w:rPr>
        <w:t>]</w:t>
      </w:r>
    </w:p>
    <w:p w14:paraId="21C9845D" w14:textId="77777777" w:rsidR="00CE34D2" w:rsidRPr="00CE34D2" w:rsidRDefault="00CE34D2" w:rsidP="00CE34D2">
      <w:pPr>
        <w:widowControl w:val="0"/>
        <w:spacing w:after="0" w:line="360" w:lineRule="auto"/>
        <w:jc w:val="both"/>
        <w:rPr>
          <w:rFonts w:ascii="Arial" w:eastAsia="Calibri" w:hAnsi="Arial" w:cs="Arial"/>
        </w:rPr>
      </w:pPr>
    </w:p>
    <w:p w14:paraId="4AE7A187" w14:textId="77777777" w:rsidR="00AF24CF" w:rsidRDefault="00CE34D2" w:rsidP="00CE34D2">
      <w:pPr>
        <w:widowControl w:val="0"/>
        <w:spacing w:after="0" w:line="360" w:lineRule="auto"/>
        <w:jc w:val="both"/>
        <w:rPr>
          <w:rFonts w:ascii="Arial" w:hAnsi="Arial" w:cs="Arial"/>
          <w:b/>
          <w:sz w:val="28"/>
          <w:szCs w:val="28"/>
        </w:rPr>
      </w:pPr>
      <w:r w:rsidRPr="00CE34D2">
        <w:rPr>
          <w:rFonts w:ascii="Arial" w:eastAsia="Calibri" w:hAnsi="Arial" w:cs="Arial"/>
          <w:b/>
        </w:rPr>
        <w:t>Assinaturas:</w:t>
      </w:r>
      <w:r w:rsidRPr="00CE34D2">
        <w:rPr>
          <w:rFonts w:ascii="Arial" w:eastAsia="Calibri" w:hAnsi="Arial" w:cs="Arial"/>
        </w:rPr>
        <w:t xml:space="preserve"> [</w:t>
      </w:r>
      <w:r w:rsidRPr="00CE34D2">
        <w:rPr>
          <w:rFonts w:ascii="Arial" w:eastAsia="Calibri" w:hAnsi="Arial" w:cs="Arial"/>
          <w:i/>
        </w:rPr>
        <w:t>Assinatura dos responsáveis pela unidade de controle interno</w:t>
      </w:r>
      <w:r w:rsidRPr="00CE34D2">
        <w:rPr>
          <w:rFonts w:ascii="Arial" w:eastAsia="Calibri" w:hAnsi="Arial" w:cs="Arial"/>
        </w:rPr>
        <w:t>]</w:t>
      </w:r>
      <w:r w:rsidR="00AF24CF">
        <w:rPr>
          <w:rFonts w:ascii="Arial" w:hAnsi="Arial" w:cs="Arial"/>
          <w:b/>
          <w:sz w:val="28"/>
          <w:szCs w:val="28"/>
        </w:rPr>
        <w:br w:type="page"/>
      </w:r>
    </w:p>
    <w:p w14:paraId="332C854C" w14:textId="77777777" w:rsidR="0066504F" w:rsidRDefault="0066504F" w:rsidP="00FD1551">
      <w:pPr>
        <w:spacing w:after="0" w:line="360" w:lineRule="auto"/>
        <w:jc w:val="center"/>
        <w:rPr>
          <w:rFonts w:ascii="Arial" w:hAnsi="Arial" w:cs="Arial"/>
          <w:b/>
          <w:sz w:val="28"/>
          <w:szCs w:val="28"/>
        </w:rPr>
      </w:pPr>
      <w:r>
        <w:rPr>
          <w:rFonts w:ascii="Arial" w:hAnsi="Arial" w:cs="Arial"/>
          <w:b/>
          <w:sz w:val="28"/>
          <w:szCs w:val="28"/>
        </w:rPr>
        <w:lastRenderedPageBreak/>
        <w:t>TABELA REFERENCIAL 1</w:t>
      </w:r>
    </w:p>
    <w:p w14:paraId="4E027280" w14:textId="77777777" w:rsidR="0066504F" w:rsidRDefault="0066504F" w:rsidP="00FD1551">
      <w:pPr>
        <w:spacing w:after="0" w:line="360" w:lineRule="auto"/>
        <w:jc w:val="center"/>
        <w:rPr>
          <w:rFonts w:ascii="Arial" w:hAnsi="Arial" w:cs="Arial"/>
          <w:b/>
          <w:bCs/>
          <w:color w:val="000000"/>
        </w:rPr>
      </w:pPr>
    </w:p>
    <w:p w14:paraId="4EEF73B0" w14:textId="77777777" w:rsidR="0066504F" w:rsidRDefault="0066504F" w:rsidP="00FD1551">
      <w:pPr>
        <w:spacing w:after="0" w:line="360" w:lineRule="auto"/>
        <w:jc w:val="center"/>
        <w:rPr>
          <w:rFonts w:ascii="Arial" w:hAnsi="Arial" w:cs="Arial"/>
          <w:b/>
          <w:bCs/>
          <w:color w:val="000000"/>
        </w:rPr>
      </w:pPr>
      <w:r w:rsidRPr="00780B95">
        <w:rPr>
          <w:rFonts w:ascii="Arial" w:hAnsi="Arial" w:cs="Arial"/>
          <w:b/>
          <w:bCs/>
          <w:color w:val="000000"/>
        </w:rPr>
        <w:t>PONTOS DE CONTROLE E OBJETOS PASSÍVEIS DE INTEGRAREM AS ANÁLISES E AUDITORIAS A SEREM REALIZADAS ANUALMENTE PELA UNIDADE DE CONTROLE INTERNO PARA FINS DE ELABORAÇÃO DA MANIFESTAÇÃO DO CONTROLE INTERNO SOBRE AS CONTAS DE GOVERNO E DE GESTÃO</w:t>
      </w:r>
    </w:p>
    <w:p w14:paraId="533602F3" w14:textId="77777777" w:rsidR="0066504F" w:rsidRDefault="0066504F" w:rsidP="00FD1551">
      <w:pPr>
        <w:spacing w:after="0" w:line="360" w:lineRule="auto"/>
        <w:jc w:val="center"/>
        <w:rPr>
          <w:rFonts w:ascii="Arial" w:hAnsi="Arial" w:cs="Arial"/>
          <w:b/>
          <w:bCs/>
          <w:color w:val="000000"/>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51"/>
        <w:gridCol w:w="1417"/>
        <w:gridCol w:w="1418"/>
        <w:gridCol w:w="1417"/>
        <w:gridCol w:w="2694"/>
        <w:gridCol w:w="1275"/>
      </w:tblGrid>
      <w:tr w:rsidR="007B690E" w:rsidRPr="007B690E" w14:paraId="7F4112F2" w14:textId="77777777" w:rsidTr="00F71BB8">
        <w:trPr>
          <w:trHeight w:val="420"/>
        </w:trPr>
        <w:tc>
          <w:tcPr>
            <w:tcW w:w="9072" w:type="dxa"/>
            <w:gridSpan w:val="6"/>
            <w:vAlign w:val="center"/>
          </w:tcPr>
          <w:p w14:paraId="5A1C0037" w14:textId="77777777" w:rsidR="007B690E" w:rsidRPr="007B690E" w:rsidRDefault="007B690E" w:rsidP="007B690E">
            <w:pPr>
              <w:widowControl w:val="0"/>
              <w:spacing w:after="0" w:line="240" w:lineRule="auto"/>
              <w:jc w:val="both"/>
              <w:rPr>
                <w:rFonts w:ascii="Arial" w:eastAsia="Calibri" w:hAnsi="Arial" w:cs="Arial"/>
                <w:b/>
                <w:bCs/>
                <w:color w:val="000000"/>
                <w:sz w:val="16"/>
                <w:szCs w:val="16"/>
              </w:rPr>
            </w:pPr>
            <w:r w:rsidRPr="007B690E">
              <w:rPr>
                <w:rFonts w:ascii="Arial" w:eastAsia="Calibri" w:hAnsi="Arial" w:cs="Arial"/>
                <w:b/>
                <w:bCs/>
                <w:color w:val="000000"/>
              </w:rPr>
              <w:t>1. Itens de abordagem prioritária</w:t>
            </w:r>
          </w:p>
        </w:tc>
      </w:tr>
      <w:tr w:rsidR="007B690E" w:rsidRPr="007B690E" w14:paraId="2E5367F1" w14:textId="77777777" w:rsidTr="007B690E">
        <w:trPr>
          <w:trHeight w:val="420"/>
        </w:trPr>
        <w:tc>
          <w:tcPr>
            <w:tcW w:w="9072" w:type="dxa"/>
            <w:gridSpan w:val="6"/>
            <w:vAlign w:val="center"/>
          </w:tcPr>
          <w:p w14:paraId="7E80CD5D"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b/>
                <w:bCs/>
                <w:color w:val="000000"/>
              </w:rPr>
              <w:t>1.1. Gestão fiscal, financeira e orçamentária.</w:t>
            </w:r>
          </w:p>
        </w:tc>
      </w:tr>
      <w:tr w:rsidR="007B690E" w:rsidRPr="007B690E" w14:paraId="47EA0843" w14:textId="77777777" w:rsidTr="007B690E">
        <w:trPr>
          <w:trHeight w:val="255"/>
        </w:trPr>
        <w:tc>
          <w:tcPr>
            <w:tcW w:w="851" w:type="dxa"/>
            <w:vAlign w:val="center"/>
          </w:tcPr>
          <w:p w14:paraId="50C74577" w14:textId="77777777" w:rsidR="007B690E" w:rsidRPr="007B690E" w:rsidRDefault="007B690E" w:rsidP="007B690E">
            <w:pPr>
              <w:widowControl w:val="0"/>
              <w:spacing w:after="0" w:line="240" w:lineRule="auto"/>
              <w:jc w:val="center"/>
              <w:rPr>
                <w:rFonts w:ascii="Arial" w:eastAsia="Calibri" w:hAnsi="Arial" w:cs="Arial"/>
                <w:b/>
                <w:bCs/>
                <w:color w:val="000000"/>
                <w:sz w:val="16"/>
                <w:szCs w:val="16"/>
              </w:rPr>
            </w:pPr>
            <w:r w:rsidRPr="007B690E">
              <w:rPr>
                <w:rFonts w:ascii="Arial" w:eastAsia="Calibri" w:hAnsi="Arial" w:cs="Arial"/>
                <w:b/>
                <w:bCs/>
                <w:color w:val="000000"/>
                <w:sz w:val="16"/>
                <w:szCs w:val="16"/>
              </w:rPr>
              <w:t>Código</w:t>
            </w:r>
          </w:p>
        </w:tc>
        <w:tc>
          <w:tcPr>
            <w:tcW w:w="1417" w:type="dxa"/>
            <w:shd w:val="clear" w:color="auto" w:fill="auto"/>
            <w:vAlign w:val="center"/>
            <w:hideMark/>
          </w:tcPr>
          <w:p w14:paraId="07C0D9EC" w14:textId="77777777" w:rsidR="007B690E" w:rsidRPr="007B690E" w:rsidRDefault="007B690E" w:rsidP="007B690E">
            <w:pPr>
              <w:widowControl w:val="0"/>
              <w:spacing w:after="0" w:line="240" w:lineRule="auto"/>
              <w:jc w:val="center"/>
              <w:rPr>
                <w:rFonts w:ascii="Arial" w:eastAsia="Calibri" w:hAnsi="Arial" w:cs="Arial"/>
                <w:b/>
                <w:bCs/>
                <w:color w:val="000000"/>
                <w:sz w:val="16"/>
                <w:szCs w:val="16"/>
              </w:rPr>
            </w:pPr>
            <w:r w:rsidRPr="007B690E">
              <w:rPr>
                <w:rFonts w:ascii="Arial" w:eastAsia="Calibri" w:hAnsi="Arial" w:cs="Arial"/>
                <w:b/>
                <w:bCs/>
                <w:color w:val="000000"/>
                <w:sz w:val="16"/>
                <w:szCs w:val="16"/>
              </w:rPr>
              <w:t>Ponto de controle</w:t>
            </w:r>
          </w:p>
        </w:tc>
        <w:tc>
          <w:tcPr>
            <w:tcW w:w="1418" w:type="dxa"/>
            <w:shd w:val="clear" w:color="auto" w:fill="auto"/>
            <w:vAlign w:val="center"/>
            <w:hideMark/>
          </w:tcPr>
          <w:p w14:paraId="0C74F799" w14:textId="77777777" w:rsidR="007B690E" w:rsidRPr="007B690E" w:rsidRDefault="007B690E" w:rsidP="007B690E">
            <w:pPr>
              <w:widowControl w:val="0"/>
              <w:spacing w:after="0" w:line="240" w:lineRule="auto"/>
              <w:jc w:val="center"/>
              <w:rPr>
                <w:rFonts w:ascii="Arial" w:eastAsia="Calibri" w:hAnsi="Arial" w:cs="Arial"/>
                <w:b/>
                <w:bCs/>
                <w:color w:val="000000"/>
                <w:sz w:val="16"/>
                <w:szCs w:val="16"/>
              </w:rPr>
            </w:pPr>
            <w:r w:rsidRPr="007B690E">
              <w:rPr>
                <w:rFonts w:ascii="Arial" w:eastAsia="Calibri" w:hAnsi="Arial" w:cs="Arial"/>
                <w:b/>
                <w:bCs/>
                <w:color w:val="000000"/>
                <w:sz w:val="16"/>
                <w:szCs w:val="16"/>
              </w:rPr>
              <w:t>Base legal</w:t>
            </w:r>
          </w:p>
        </w:tc>
        <w:tc>
          <w:tcPr>
            <w:tcW w:w="1417" w:type="dxa"/>
            <w:vAlign w:val="center"/>
          </w:tcPr>
          <w:p w14:paraId="7E4B5948" w14:textId="77777777" w:rsidR="007B690E" w:rsidRPr="007B690E" w:rsidRDefault="007B690E" w:rsidP="007B690E">
            <w:pPr>
              <w:widowControl w:val="0"/>
              <w:spacing w:after="0" w:line="240" w:lineRule="auto"/>
              <w:jc w:val="center"/>
              <w:rPr>
                <w:rFonts w:ascii="Arial" w:eastAsia="Calibri" w:hAnsi="Arial" w:cs="Arial"/>
                <w:b/>
                <w:bCs/>
                <w:color w:val="000000"/>
                <w:sz w:val="16"/>
                <w:szCs w:val="16"/>
              </w:rPr>
            </w:pPr>
            <w:r w:rsidRPr="007B690E">
              <w:rPr>
                <w:rFonts w:ascii="Arial" w:eastAsia="Calibri" w:hAnsi="Arial" w:cs="Arial"/>
                <w:b/>
                <w:bCs/>
                <w:color w:val="000000"/>
                <w:sz w:val="16"/>
                <w:szCs w:val="16"/>
              </w:rPr>
              <w:t>Tipo de procedimento sugerido</w:t>
            </w:r>
          </w:p>
        </w:tc>
        <w:tc>
          <w:tcPr>
            <w:tcW w:w="2694" w:type="dxa"/>
            <w:shd w:val="clear" w:color="auto" w:fill="auto"/>
            <w:vAlign w:val="center"/>
            <w:hideMark/>
          </w:tcPr>
          <w:p w14:paraId="2BAD21E8" w14:textId="77777777" w:rsidR="007B690E" w:rsidRPr="007B690E" w:rsidRDefault="007B690E" w:rsidP="007B690E">
            <w:pPr>
              <w:widowControl w:val="0"/>
              <w:spacing w:after="0" w:line="240" w:lineRule="auto"/>
              <w:jc w:val="center"/>
              <w:rPr>
                <w:rFonts w:ascii="Arial" w:eastAsia="Calibri" w:hAnsi="Arial" w:cs="Arial"/>
                <w:b/>
                <w:bCs/>
                <w:color w:val="000000"/>
                <w:sz w:val="16"/>
                <w:szCs w:val="16"/>
              </w:rPr>
            </w:pPr>
            <w:r w:rsidRPr="007B690E">
              <w:rPr>
                <w:rFonts w:ascii="Arial" w:eastAsia="Calibri" w:hAnsi="Arial" w:cs="Arial"/>
                <w:b/>
                <w:bCs/>
                <w:color w:val="000000"/>
                <w:sz w:val="16"/>
                <w:szCs w:val="16"/>
              </w:rPr>
              <w:t>Procedimento</w:t>
            </w:r>
          </w:p>
        </w:tc>
        <w:tc>
          <w:tcPr>
            <w:tcW w:w="1275" w:type="dxa"/>
            <w:shd w:val="clear" w:color="auto" w:fill="auto"/>
            <w:vAlign w:val="center"/>
            <w:hideMark/>
          </w:tcPr>
          <w:p w14:paraId="2BFA99C6" w14:textId="77777777" w:rsidR="007B690E" w:rsidRPr="007B690E" w:rsidRDefault="007B690E" w:rsidP="007B690E">
            <w:pPr>
              <w:widowControl w:val="0"/>
              <w:spacing w:after="0" w:line="240" w:lineRule="auto"/>
              <w:jc w:val="center"/>
              <w:rPr>
                <w:rFonts w:ascii="Arial" w:eastAsia="Calibri" w:hAnsi="Arial" w:cs="Arial"/>
                <w:b/>
                <w:bCs/>
                <w:color w:val="000000"/>
                <w:sz w:val="16"/>
                <w:szCs w:val="16"/>
              </w:rPr>
            </w:pPr>
            <w:r w:rsidRPr="007B690E">
              <w:rPr>
                <w:rFonts w:ascii="Arial" w:eastAsia="Calibri" w:hAnsi="Arial" w:cs="Arial"/>
                <w:b/>
                <w:bCs/>
                <w:color w:val="000000"/>
                <w:sz w:val="16"/>
                <w:szCs w:val="16"/>
              </w:rPr>
              <w:t>Aplicável à</w:t>
            </w:r>
          </w:p>
        </w:tc>
      </w:tr>
      <w:tr w:rsidR="007B690E" w:rsidRPr="007B690E" w14:paraId="0F09014D" w14:textId="77777777" w:rsidTr="007B690E">
        <w:trPr>
          <w:trHeight w:val="1696"/>
        </w:trPr>
        <w:tc>
          <w:tcPr>
            <w:tcW w:w="851" w:type="dxa"/>
            <w:vAlign w:val="center"/>
          </w:tcPr>
          <w:p w14:paraId="784BC92E"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1.1.1</w:t>
            </w:r>
          </w:p>
        </w:tc>
        <w:tc>
          <w:tcPr>
            <w:tcW w:w="1417" w:type="dxa"/>
            <w:shd w:val="clear" w:color="auto" w:fill="auto"/>
            <w:vAlign w:val="center"/>
            <w:hideMark/>
          </w:tcPr>
          <w:p w14:paraId="0E71D78F"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Prestação de contas anual – execução orçamentária</w:t>
            </w:r>
          </w:p>
        </w:tc>
        <w:tc>
          <w:tcPr>
            <w:tcW w:w="1418" w:type="dxa"/>
            <w:shd w:val="clear" w:color="auto" w:fill="auto"/>
            <w:vAlign w:val="center"/>
            <w:hideMark/>
          </w:tcPr>
          <w:p w14:paraId="40674784"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LC 101/2000, art. 58.</w:t>
            </w:r>
          </w:p>
        </w:tc>
        <w:tc>
          <w:tcPr>
            <w:tcW w:w="1417" w:type="dxa"/>
            <w:vAlign w:val="center"/>
          </w:tcPr>
          <w:p w14:paraId="552F6021"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rPr>
              <w:t xml:space="preserve">Auditoria </w:t>
            </w:r>
            <w:r w:rsidRPr="007B690E">
              <w:rPr>
                <w:rFonts w:ascii="Arial" w:eastAsia="Calibri" w:hAnsi="Arial" w:cs="Arial"/>
                <w:color w:val="000000"/>
                <w:sz w:val="16"/>
                <w:szCs w:val="16"/>
                <w:lang w:val="en-US"/>
              </w:rPr>
              <w:t>Governamental operacional</w:t>
            </w:r>
          </w:p>
        </w:tc>
        <w:tc>
          <w:tcPr>
            <w:tcW w:w="2694" w:type="dxa"/>
            <w:shd w:val="clear" w:color="auto" w:fill="auto"/>
            <w:vAlign w:val="center"/>
            <w:hideMark/>
          </w:tcPr>
          <w:p w14:paraId="1587AF47"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Avaliar se a prestação de contas anual do chefe do Poder Executivo evidencia o desempenho da arrecadação em relação à previsão, destacando as providências adotadas no âmbito da fiscalização das receitas e combate à sonegação, as ações de recuperação de créditos nas instâncias administrativa e judicial, bem como as demais medidas para incremento das receitas tributárias e de contribuições.</w:t>
            </w:r>
          </w:p>
        </w:tc>
        <w:tc>
          <w:tcPr>
            <w:tcW w:w="1275" w:type="dxa"/>
            <w:shd w:val="clear" w:color="auto" w:fill="auto"/>
            <w:vAlign w:val="center"/>
            <w:hideMark/>
          </w:tcPr>
          <w:p w14:paraId="115BEFBE"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Governo</w:t>
            </w:r>
          </w:p>
        </w:tc>
      </w:tr>
      <w:tr w:rsidR="007B690E" w:rsidRPr="007B690E" w14:paraId="25FDD910" w14:textId="77777777" w:rsidTr="007B690E">
        <w:trPr>
          <w:trHeight w:val="281"/>
        </w:trPr>
        <w:tc>
          <w:tcPr>
            <w:tcW w:w="851" w:type="dxa"/>
            <w:vAlign w:val="center"/>
          </w:tcPr>
          <w:p w14:paraId="6783A011"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1.1.2</w:t>
            </w:r>
          </w:p>
        </w:tc>
        <w:tc>
          <w:tcPr>
            <w:tcW w:w="1417" w:type="dxa"/>
            <w:shd w:val="clear" w:color="auto" w:fill="auto"/>
            <w:vAlign w:val="center"/>
            <w:hideMark/>
          </w:tcPr>
          <w:p w14:paraId="3FA095C0"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Despesa – realização sem prévio empenho</w:t>
            </w:r>
          </w:p>
        </w:tc>
        <w:tc>
          <w:tcPr>
            <w:tcW w:w="1418" w:type="dxa"/>
            <w:shd w:val="clear" w:color="auto" w:fill="auto"/>
            <w:vAlign w:val="center"/>
            <w:hideMark/>
          </w:tcPr>
          <w:p w14:paraId="0E9DBDF8" w14:textId="77777777" w:rsidR="007B690E" w:rsidRPr="007B690E" w:rsidRDefault="007B690E" w:rsidP="007B690E">
            <w:pPr>
              <w:widowControl w:val="0"/>
              <w:spacing w:after="0" w:line="240" w:lineRule="auto"/>
              <w:jc w:val="both"/>
              <w:rPr>
                <w:rFonts w:ascii="Arial" w:eastAsia="Calibri" w:hAnsi="Arial" w:cs="Arial"/>
                <w:color w:val="000000"/>
                <w:sz w:val="16"/>
                <w:szCs w:val="16"/>
                <w:lang w:val="en-US"/>
              </w:rPr>
            </w:pPr>
            <w:r w:rsidRPr="007B690E">
              <w:rPr>
                <w:rFonts w:ascii="Arial" w:eastAsia="Calibri" w:hAnsi="Arial" w:cs="Arial"/>
                <w:color w:val="000000"/>
                <w:sz w:val="16"/>
                <w:szCs w:val="16"/>
                <w:lang w:val="en-US"/>
              </w:rPr>
              <w:t>Lei 4.320/1964, art. 60.</w:t>
            </w:r>
          </w:p>
        </w:tc>
        <w:tc>
          <w:tcPr>
            <w:tcW w:w="1417" w:type="dxa"/>
            <w:vAlign w:val="center"/>
          </w:tcPr>
          <w:p w14:paraId="548D970E"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Auditoria Governamental de conformidade</w:t>
            </w:r>
          </w:p>
        </w:tc>
        <w:tc>
          <w:tcPr>
            <w:tcW w:w="2694" w:type="dxa"/>
            <w:shd w:val="clear" w:color="auto" w:fill="auto"/>
            <w:vAlign w:val="center"/>
            <w:hideMark/>
          </w:tcPr>
          <w:p w14:paraId="56E8C442"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Avaliar se foram realizadas despesas sem emissão de prévio empenho.</w:t>
            </w:r>
          </w:p>
        </w:tc>
        <w:tc>
          <w:tcPr>
            <w:tcW w:w="1275" w:type="dxa"/>
            <w:shd w:val="clear" w:color="auto" w:fill="auto"/>
            <w:vAlign w:val="center"/>
            <w:hideMark/>
          </w:tcPr>
          <w:p w14:paraId="3ABDFF74"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Gestão (Todas as UG´s)</w:t>
            </w:r>
          </w:p>
        </w:tc>
      </w:tr>
      <w:tr w:rsidR="007B690E" w:rsidRPr="007B690E" w14:paraId="563C9038" w14:textId="77777777" w:rsidTr="007B690E">
        <w:trPr>
          <w:trHeight w:val="1064"/>
        </w:trPr>
        <w:tc>
          <w:tcPr>
            <w:tcW w:w="851" w:type="dxa"/>
            <w:vAlign w:val="center"/>
          </w:tcPr>
          <w:p w14:paraId="167CFF13"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1.1.3</w:t>
            </w:r>
          </w:p>
        </w:tc>
        <w:tc>
          <w:tcPr>
            <w:tcW w:w="1417" w:type="dxa"/>
            <w:shd w:val="clear" w:color="auto" w:fill="auto"/>
            <w:vAlign w:val="center"/>
            <w:hideMark/>
          </w:tcPr>
          <w:p w14:paraId="54524196"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Transferência de recursos orçamentários ao Poder Legislativo.</w:t>
            </w:r>
          </w:p>
        </w:tc>
        <w:tc>
          <w:tcPr>
            <w:tcW w:w="1418" w:type="dxa"/>
            <w:shd w:val="clear" w:color="auto" w:fill="auto"/>
            <w:vAlign w:val="center"/>
            <w:hideMark/>
          </w:tcPr>
          <w:p w14:paraId="72AAEE7B" w14:textId="77777777" w:rsidR="007B690E" w:rsidRPr="007B690E" w:rsidRDefault="007B690E" w:rsidP="007B690E">
            <w:pPr>
              <w:widowControl w:val="0"/>
              <w:spacing w:after="0" w:line="240" w:lineRule="auto"/>
              <w:jc w:val="both"/>
              <w:rPr>
                <w:rFonts w:ascii="Arial" w:eastAsia="Calibri" w:hAnsi="Arial" w:cs="Arial"/>
                <w:color w:val="000000"/>
                <w:sz w:val="16"/>
                <w:szCs w:val="16"/>
                <w:lang w:val="en-US"/>
              </w:rPr>
            </w:pPr>
            <w:r w:rsidRPr="007B690E">
              <w:rPr>
                <w:rFonts w:ascii="Arial" w:eastAsia="Calibri" w:hAnsi="Arial" w:cs="Arial"/>
                <w:color w:val="000000"/>
                <w:sz w:val="16"/>
                <w:szCs w:val="16"/>
                <w:lang w:val="en-US"/>
              </w:rPr>
              <w:t>CRFB/88, art. 168.</w:t>
            </w:r>
          </w:p>
        </w:tc>
        <w:tc>
          <w:tcPr>
            <w:tcW w:w="1417" w:type="dxa"/>
            <w:vAlign w:val="center"/>
          </w:tcPr>
          <w:p w14:paraId="228BE078"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Conformidade (Verificação documental)</w:t>
            </w:r>
          </w:p>
        </w:tc>
        <w:tc>
          <w:tcPr>
            <w:tcW w:w="2694" w:type="dxa"/>
            <w:shd w:val="clear" w:color="auto" w:fill="auto"/>
            <w:vAlign w:val="center"/>
            <w:hideMark/>
          </w:tcPr>
          <w:p w14:paraId="6B2F11C4"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Avaliar se os recursos correspondentes às dotações orçamentárias, compreendidos os créditos suplementares e especiais, destinados aos órgãos do Poder Legislativo, foram transferidos pelo Poder Executivo até o dia 20 de cada mês, em duodécimos.</w:t>
            </w:r>
          </w:p>
        </w:tc>
        <w:tc>
          <w:tcPr>
            <w:tcW w:w="1275" w:type="dxa"/>
            <w:shd w:val="clear" w:color="auto" w:fill="auto"/>
            <w:vAlign w:val="center"/>
            <w:hideMark/>
          </w:tcPr>
          <w:p w14:paraId="07C9728F"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Governo</w:t>
            </w:r>
          </w:p>
        </w:tc>
      </w:tr>
      <w:tr w:rsidR="007B690E" w:rsidRPr="007B690E" w14:paraId="773AF775" w14:textId="77777777" w:rsidTr="007B690E">
        <w:trPr>
          <w:trHeight w:val="420"/>
        </w:trPr>
        <w:tc>
          <w:tcPr>
            <w:tcW w:w="9072" w:type="dxa"/>
            <w:gridSpan w:val="6"/>
            <w:vAlign w:val="center"/>
          </w:tcPr>
          <w:p w14:paraId="6C759DFE"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b/>
                <w:bCs/>
                <w:color w:val="000000"/>
              </w:rPr>
              <w:t>1.2. Gestão Previdenciária</w:t>
            </w:r>
          </w:p>
        </w:tc>
      </w:tr>
      <w:tr w:rsidR="007B690E" w:rsidRPr="007B690E" w14:paraId="4B544263" w14:textId="77777777" w:rsidTr="007B690E">
        <w:trPr>
          <w:trHeight w:val="255"/>
        </w:trPr>
        <w:tc>
          <w:tcPr>
            <w:tcW w:w="851" w:type="dxa"/>
            <w:vAlign w:val="center"/>
          </w:tcPr>
          <w:p w14:paraId="2C3429C8" w14:textId="77777777" w:rsidR="007B690E" w:rsidRPr="007B690E" w:rsidRDefault="007B690E" w:rsidP="007B690E">
            <w:pPr>
              <w:widowControl w:val="0"/>
              <w:spacing w:after="0" w:line="240" w:lineRule="auto"/>
              <w:jc w:val="center"/>
              <w:rPr>
                <w:rFonts w:ascii="Arial" w:eastAsia="Calibri" w:hAnsi="Arial" w:cs="Arial"/>
                <w:b/>
                <w:bCs/>
                <w:color w:val="000000"/>
                <w:sz w:val="16"/>
                <w:szCs w:val="16"/>
              </w:rPr>
            </w:pPr>
            <w:r w:rsidRPr="007B690E">
              <w:rPr>
                <w:rFonts w:ascii="Arial" w:eastAsia="Calibri" w:hAnsi="Arial" w:cs="Arial"/>
                <w:b/>
                <w:bCs/>
                <w:color w:val="000000"/>
                <w:sz w:val="16"/>
                <w:szCs w:val="16"/>
              </w:rPr>
              <w:t>Código</w:t>
            </w:r>
          </w:p>
        </w:tc>
        <w:tc>
          <w:tcPr>
            <w:tcW w:w="1417" w:type="dxa"/>
            <w:shd w:val="clear" w:color="auto" w:fill="auto"/>
            <w:vAlign w:val="center"/>
            <w:hideMark/>
          </w:tcPr>
          <w:p w14:paraId="6833B53F" w14:textId="77777777" w:rsidR="007B690E" w:rsidRPr="007B690E" w:rsidRDefault="007B690E" w:rsidP="007B690E">
            <w:pPr>
              <w:widowControl w:val="0"/>
              <w:spacing w:after="0" w:line="240" w:lineRule="auto"/>
              <w:jc w:val="center"/>
              <w:rPr>
                <w:rFonts w:ascii="Arial" w:eastAsia="Calibri" w:hAnsi="Arial" w:cs="Arial"/>
                <w:b/>
                <w:bCs/>
                <w:color w:val="000000"/>
                <w:sz w:val="16"/>
                <w:szCs w:val="16"/>
              </w:rPr>
            </w:pPr>
            <w:r w:rsidRPr="007B690E">
              <w:rPr>
                <w:rFonts w:ascii="Arial" w:eastAsia="Calibri" w:hAnsi="Arial" w:cs="Arial"/>
                <w:b/>
                <w:bCs/>
                <w:color w:val="000000"/>
                <w:sz w:val="16"/>
                <w:szCs w:val="16"/>
              </w:rPr>
              <w:t>Ponto de controle</w:t>
            </w:r>
          </w:p>
        </w:tc>
        <w:tc>
          <w:tcPr>
            <w:tcW w:w="1418" w:type="dxa"/>
            <w:shd w:val="clear" w:color="auto" w:fill="auto"/>
            <w:vAlign w:val="center"/>
            <w:hideMark/>
          </w:tcPr>
          <w:p w14:paraId="22BD18B1" w14:textId="77777777" w:rsidR="007B690E" w:rsidRPr="007B690E" w:rsidRDefault="007B690E" w:rsidP="007B690E">
            <w:pPr>
              <w:widowControl w:val="0"/>
              <w:spacing w:after="0" w:line="240" w:lineRule="auto"/>
              <w:jc w:val="center"/>
              <w:rPr>
                <w:rFonts w:ascii="Arial" w:eastAsia="Calibri" w:hAnsi="Arial" w:cs="Arial"/>
                <w:b/>
                <w:bCs/>
                <w:color w:val="000000"/>
                <w:sz w:val="16"/>
                <w:szCs w:val="16"/>
              </w:rPr>
            </w:pPr>
            <w:r w:rsidRPr="007B690E">
              <w:rPr>
                <w:rFonts w:ascii="Arial" w:eastAsia="Calibri" w:hAnsi="Arial" w:cs="Arial"/>
                <w:b/>
                <w:bCs/>
                <w:color w:val="000000"/>
                <w:sz w:val="16"/>
                <w:szCs w:val="16"/>
              </w:rPr>
              <w:t>Base legal</w:t>
            </w:r>
          </w:p>
        </w:tc>
        <w:tc>
          <w:tcPr>
            <w:tcW w:w="1417" w:type="dxa"/>
            <w:vAlign w:val="center"/>
          </w:tcPr>
          <w:p w14:paraId="4B68F9DE" w14:textId="77777777" w:rsidR="007B690E" w:rsidRPr="007B690E" w:rsidRDefault="007B690E" w:rsidP="007B690E">
            <w:pPr>
              <w:widowControl w:val="0"/>
              <w:spacing w:after="0" w:line="240" w:lineRule="auto"/>
              <w:jc w:val="center"/>
              <w:rPr>
                <w:rFonts w:ascii="Arial" w:eastAsia="Calibri" w:hAnsi="Arial" w:cs="Arial"/>
                <w:b/>
                <w:bCs/>
                <w:color w:val="000000"/>
                <w:sz w:val="16"/>
                <w:szCs w:val="16"/>
              </w:rPr>
            </w:pPr>
            <w:r w:rsidRPr="007B690E">
              <w:rPr>
                <w:rFonts w:ascii="Arial" w:eastAsia="Calibri" w:hAnsi="Arial" w:cs="Arial"/>
                <w:b/>
                <w:bCs/>
                <w:color w:val="000000"/>
                <w:sz w:val="16"/>
                <w:szCs w:val="16"/>
              </w:rPr>
              <w:t>Tipo de procedimento sugerido</w:t>
            </w:r>
          </w:p>
        </w:tc>
        <w:tc>
          <w:tcPr>
            <w:tcW w:w="2694" w:type="dxa"/>
            <w:shd w:val="clear" w:color="auto" w:fill="auto"/>
            <w:vAlign w:val="center"/>
            <w:hideMark/>
          </w:tcPr>
          <w:p w14:paraId="1546A300" w14:textId="77777777" w:rsidR="007B690E" w:rsidRPr="007B690E" w:rsidRDefault="007B690E" w:rsidP="007B690E">
            <w:pPr>
              <w:widowControl w:val="0"/>
              <w:spacing w:after="0" w:line="240" w:lineRule="auto"/>
              <w:jc w:val="center"/>
              <w:rPr>
                <w:rFonts w:ascii="Arial" w:eastAsia="Calibri" w:hAnsi="Arial" w:cs="Arial"/>
                <w:b/>
                <w:bCs/>
                <w:color w:val="000000"/>
                <w:sz w:val="16"/>
                <w:szCs w:val="16"/>
              </w:rPr>
            </w:pPr>
            <w:r w:rsidRPr="007B690E">
              <w:rPr>
                <w:rFonts w:ascii="Arial" w:eastAsia="Calibri" w:hAnsi="Arial" w:cs="Arial"/>
                <w:b/>
                <w:bCs/>
                <w:color w:val="000000"/>
                <w:sz w:val="16"/>
                <w:szCs w:val="16"/>
              </w:rPr>
              <w:t>Procedimento</w:t>
            </w:r>
          </w:p>
        </w:tc>
        <w:tc>
          <w:tcPr>
            <w:tcW w:w="1275" w:type="dxa"/>
            <w:shd w:val="clear" w:color="auto" w:fill="auto"/>
            <w:vAlign w:val="center"/>
            <w:hideMark/>
          </w:tcPr>
          <w:p w14:paraId="51E7F950" w14:textId="77777777" w:rsidR="007B690E" w:rsidRPr="007B690E" w:rsidRDefault="007B690E" w:rsidP="007B690E">
            <w:pPr>
              <w:widowControl w:val="0"/>
              <w:spacing w:after="0" w:line="240" w:lineRule="auto"/>
              <w:jc w:val="center"/>
              <w:rPr>
                <w:rFonts w:ascii="Arial" w:eastAsia="Calibri" w:hAnsi="Arial" w:cs="Arial"/>
                <w:b/>
                <w:bCs/>
                <w:color w:val="000000"/>
                <w:sz w:val="16"/>
                <w:szCs w:val="16"/>
              </w:rPr>
            </w:pPr>
            <w:r w:rsidRPr="007B690E">
              <w:rPr>
                <w:rFonts w:ascii="Arial" w:eastAsia="Calibri" w:hAnsi="Arial" w:cs="Arial"/>
                <w:b/>
                <w:bCs/>
                <w:color w:val="000000"/>
                <w:sz w:val="16"/>
                <w:szCs w:val="16"/>
              </w:rPr>
              <w:t>Aplicável à</w:t>
            </w:r>
          </w:p>
        </w:tc>
      </w:tr>
      <w:tr w:rsidR="007B690E" w:rsidRPr="007B690E" w14:paraId="76727AC1" w14:textId="77777777" w:rsidTr="007B690E">
        <w:trPr>
          <w:trHeight w:val="1696"/>
        </w:trPr>
        <w:tc>
          <w:tcPr>
            <w:tcW w:w="851" w:type="dxa"/>
            <w:vAlign w:val="center"/>
          </w:tcPr>
          <w:p w14:paraId="7A839F03" w14:textId="77777777" w:rsidR="007B690E" w:rsidRPr="007B690E" w:rsidRDefault="007B690E" w:rsidP="007B690E">
            <w:pPr>
              <w:widowControl w:val="0"/>
              <w:spacing w:after="0" w:line="240" w:lineRule="auto"/>
              <w:jc w:val="center"/>
              <w:rPr>
                <w:rFonts w:ascii="Arial" w:eastAsia="Calibri" w:hAnsi="Arial" w:cs="Arial"/>
                <w:bCs/>
                <w:sz w:val="16"/>
                <w:szCs w:val="16"/>
              </w:rPr>
            </w:pPr>
            <w:r w:rsidRPr="007B690E">
              <w:rPr>
                <w:rFonts w:ascii="Arial" w:eastAsia="Calibri" w:hAnsi="Arial" w:cs="Arial"/>
                <w:bCs/>
                <w:sz w:val="16"/>
                <w:szCs w:val="16"/>
              </w:rPr>
              <w:t>1.2.1</w:t>
            </w:r>
          </w:p>
        </w:tc>
        <w:tc>
          <w:tcPr>
            <w:tcW w:w="1417" w:type="dxa"/>
            <w:shd w:val="clear" w:color="auto" w:fill="auto"/>
            <w:vAlign w:val="center"/>
          </w:tcPr>
          <w:p w14:paraId="26782822" w14:textId="77777777" w:rsidR="007B690E" w:rsidRPr="007B690E" w:rsidRDefault="007B690E" w:rsidP="007B690E">
            <w:pPr>
              <w:widowControl w:val="0"/>
              <w:spacing w:after="0" w:line="240" w:lineRule="auto"/>
              <w:jc w:val="center"/>
              <w:rPr>
                <w:rFonts w:ascii="Arial" w:eastAsia="Calibri" w:hAnsi="Arial" w:cs="Arial"/>
                <w:bCs/>
                <w:sz w:val="16"/>
                <w:szCs w:val="16"/>
              </w:rPr>
            </w:pPr>
            <w:r w:rsidRPr="007B690E">
              <w:rPr>
                <w:rFonts w:ascii="Arial" w:eastAsia="Calibri" w:hAnsi="Arial" w:cs="Arial"/>
                <w:bCs/>
                <w:sz w:val="16"/>
                <w:szCs w:val="16"/>
              </w:rPr>
              <w:t xml:space="preserve">Registro por competência - despesas previdenciárias patronais </w:t>
            </w:r>
          </w:p>
        </w:tc>
        <w:tc>
          <w:tcPr>
            <w:tcW w:w="1418" w:type="dxa"/>
            <w:shd w:val="clear" w:color="auto" w:fill="auto"/>
            <w:vAlign w:val="center"/>
          </w:tcPr>
          <w:p w14:paraId="6AA86582" w14:textId="77777777" w:rsidR="007B690E" w:rsidRPr="007B690E" w:rsidRDefault="007B690E" w:rsidP="005C719B">
            <w:pPr>
              <w:widowControl w:val="0"/>
              <w:numPr>
                <w:ilvl w:val="0"/>
                <w:numId w:val="36"/>
              </w:numPr>
              <w:tabs>
                <w:tab w:val="left" w:pos="213"/>
              </w:tabs>
              <w:spacing w:after="0" w:line="240" w:lineRule="auto"/>
              <w:ind w:left="72" w:hanging="61"/>
              <w:contextualSpacing/>
              <w:rPr>
                <w:rFonts w:ascii="Arial" w:eastAsia="Calibri" w:hAnsi="Arial" w:cs="Arial"/>
                <w:bCs/>
                <w:sz w:val="16"/>
                <w:szCs w:val="16"/>
                <w:lang w:val="en-US"/>
              </w:rPr>
            </w:pPr>
            <w:r w:rsidRPr="007B690E">
              <w:rPr>
                <w:rFonts w:ascii="Arial" w:eastAsia="Calibri" w:hAnsi="Arial" w:cs="Arial"/>
                <w:bCs/>
                <w:sz w:val="16"/>
                <w:szCs w:val="16"/>
                <w:lang w:val="en-US"/>
              </w:rPr>
              <w:t>CF/88, art. 40.</w:t>
            </w:r>
          </w:p>
          <w:p w14:paraId="594B1F2A" w14:textId="77777777" w:rsidR="007B690E" w:rsidRPr="007B690E" w:rsidRDefault="007B690E" w:rsidP="005C719B">
            <w:pPr>
              <w:widowControl w:val="0"/>
              <w:numPr>
                <w:ilvl w:val="0"/>
                <w:numId w:val="36"/>
              </w:numPr>
              <w:tabs>
                <w:tab w:val="left" w:pos="213"/>
              </w:tabs>
              <w:spacing w:after="0" w:line="240" w:lineRule="auto"/>
              <w:ind w:left="72" w:hanging="61"/>
              <w:contextualSpacing/>
              <w:rPr>
                <w:rFonts w:ascii="Arial" w:eastAsia="Calibri" w:hAnsi="Arial" w:cs="Arial"/>
                <w:bCs/>
                <w:sz w:val="16"/>
                <w:szCs w:val="16"/>
                <w:lang w:val="en-US"/>
              </w:rPr>
            </w:pPr>
            <w:r w:rsidRPr="007B690E">
              <w:rPr>
                <w:rFonts w:ascii="Arial" w:eastAsia="Calibri" w:hAnsi="Arial" w:cs="Arial"/>
                <w:bCs/>
                <w:sz w:val="16"/>
                <w:szCs w:val="16"/>
                <w:lang w:val="en-US"/>
              </w:rPr>
              <w:t>LRF, art. 69.</w:t>
            </w:r>
          </w:p>
          <w:p w14:paraId="31F78086" w14:textId="77777777" w:rsidR="007B690E" w:rsidRPr="007B690E" w:rsidRDefault="007B690E" w:rsidP="005C719B">
            <w:pPr>
              <w:widowControl w:val="0"/>
              <w:numPr>
                <w:ilvl w:val="0"/>
                <w:numId w:val="36"/>
              </w:numPr>
              <w:tabs>
                <w:tab w:val="left" w:pos="213"/>
              </w:tabs>
              <w:spacing w:after="0" w:line="240" w:lineRule="auto"/>
              <w:ind w:left="72" w:hanging="61"/>
              <w:contextualSpacing/>
              <w:rPr>
                <w:rFonts w:ascii="Arial" w:eastAsia="Calibri" w:hAnsi="Arial" w:cs="Arial"/>
                <w:bCs/>
                <w:sz w:val="16"/>
                <w:szCs w:val="16"/>
              </w:rPr>
            </w:pPr>
            <w:r w:rsidRPr="007B690E">
              <w:rPr>
                <w:rFonts w:ascii="Arial" w:eastAsia="Calibri" w:hAnsi="Arial" w:cs="Arial"/>
                <w:bCs/>
                <w:sz w:val="16"/>
                <w:szCs w:val="16"/>
                <w:lang w:val="en-US"/>
              </w:rPr>
              <w:t>Lei 9.717/1998, art. 1º.</w:t>
            </w:r>
          </w:p>
          <w:p w14:paraId="7F0A6E97" w14:textId="77777777" w:rsidR="007B690E" w:rsidRPr="007B690E" w:rsidRDefault="007B690E" w:rsidP="005C719B">
            <w:pPr>
              <w:widowControl w:val="0"/>
              <w:numPr>
                <w:ilvl w:val="0"/>
                <w:numId w:val="36"/>
              </w:numPr>
              <w:tabs>
                <w:tab w:val="left" w:pos="213"/>
              </w:tabs>
              <w:spacing w:after="0" w:line="240" w:lineRule="auto"/>
              <w:ind w:left="72" w:hanging="61"/>
              <w:contextualSpacing/>
              <w:rPr>
                <w:rFonts w:ascii="Arial" w:eastAsia="Calibri" w:hAnsi="Arial" w:cs="Arial"/>
                <w:bCs/>
                <w:sz w:val="16"/>
                <w:szCs w:val="16"/>
              </w:rPr>
            </w:pPr>
            <w:r w:rsidRPr="007B690E">
              <w:rPr>
                <w:rFonts w:ascii="Arial" w:eastAsia="Calibri" w:hAnsi="Arial" w:cs="Arial"/>
                <w:color w:val="000000"/>
                <w:sz w:val="16"/>
                <w:szCs w:val="16"/>
              </w:rPr>
              <w:t>Lei 8.212/1991</w:t>
            </w:r>
          </w:p>
          <w:p w14:paraId="4E4195DC" w14:textId="77777777" w:rsidR="007B690E" w:rsidRPr="007B690E" w:rsidRDefault="007B690E" w:rsidP="005C719B">
            <w:pPr>
              <w:widowControl w:val="0"/>
              <w:numPr>
                <w:ilvl w:val="0"/>
                <w:numId w:val="36"/>
              </w:numPr>
              <w:tabs>
                <w:tab w:val="left" w:pos="213"/>
              </w:tabs>
              <w:spacing w:after="0" w:line="240" w:lineRule="auto"/>
              <w:ind w:left="72" w:hanging="61"/>
              <w:contextualSpacing/>
              <w:rPr>
                <w:rFonts w:ascii="Arial" w:eastAsia="Calibri" w:hAnsi="Arial" w:cs="Arial"/>
                <w:bCs/>
                <w:sz w:val="16"/>
                <w:szCs w:val="16"/>
              </w:rPr>
            </w:pPr>
            <w:r w:rsidRPr="007B690E">
              <w:rPr>
                <w:rFonts w:ascii="Arial" w:eastAsia="Calibri" w:hAnsi="Arial" w:cs="Arial"/>
                <w:color w:val="000000"/>
                <w:sz w:val="16"/>
                <w:szCs w:val="16"/>
              </w:rPr>
              <w:t>Lei Local</w:t>
            </w:r>
          </w:p>
          <w:p w14:paraId="451EEE44" w14:textId="77777777" w:rsidR="007B690E" w:rsidRPr="007B690E" w:rsidRDefault="007B690E" w:rsidP="005C719B">
            <w:pPr>
              <w:widowControl w:val="0"/>
              <w:numPr>
                <w:ilvl w:val="0"/>
                <w:numId w:val="36"/>
              </w:numPr>
              <w:tabs>
                <w:tab w:val="left" w:pos="213"/>
              </w:tabs>
              <w:spacing w:after="0" w:line="240" w:lineRule="auto"/>
              <w:ind w:left="72" w:hanging="61"/>
              <w:contextualSpacing/>
              <w:rPr>
                <w:rFonts w:ascii="Arial" w:eastAsia="Calibri" w:hAnsi="Arial" w:cs="Arial"/>
                <w:bCs/>
                <w:sz w:val="16"/>
                <w:szCs w:val="16"/>
              </w:rPr>
            </w:pPr>
            <w:r w:rsidRPr="007B690E">
              <w:rPr>
                <w:rFonts w:ascii="Arial" w:eastAsia="Calibri" w:hAnsi="Arial" w:cs="Arial"/>
                <w:color w:val="000000"/>
                <w:sz w:val="16"/>
                <w:szCs w:val="16"/>
              </w:rPr>
              <w:t>Regime de competência</w:t>
            </w:r>
          </w:p>
        </w:tc>
        <w:tc>
          <w:tcPr>
            <w:tcW w:w="1417" w:type="dxa"/>
            <w:vAlign w:val="center"/>
          </w:tcPr>
          <w:p w14:paraId="4EA77C45"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 xml:space="preserve">Auditoria Governamental de conformidade </w:t>
            </w:r>
          </w:p>
        </w:tc>
        <w:tc>
          <w:tcPr>
            <w:tcW w:w="2694" w:type="dxa"/>
            <w:shd w:val="clear" w:color="auto" w:fill="auto"/>
            <w:vAlign w:val="center"/>
          </w:tcPr>
          <w:p w14:paraId="0A574D8B" w14:textId="77777777" w:rsidR="007B690E" w:rsidRPr="007B690E" w:rsidRDefault="007B690E" w:rsidP="007B690E">
            <w:pPr>
              <w:widowControl w:val="0"/>
              <w:spacing w:after="0" w:line="240" w:lineRule="auto"/>
              <w:jc w:val="both"/>
              <w:rPr>
                <w:rFonts w:ascii="Arial" w:eastAsia="Calibri" w:hAnsi="Arial" w:cs="Arial"/>
                <w:bCs/>
                <w:sz w:val="16"/>
                <w:szCs w:val="16"/>
              </w:rPr>
            </w:pPr>
            <w:r w:rsidRPr="007B690E">
              <w:rPr>
                <w:rFonts w:ascii="Arial" w:eastAsia="Calibri" w:hAnsi="Arial" w:cs="Arial"/>
                <w:bCs/>
                <w:sz w:val="16"/>
                <w:szCs w:val="16"/>
              </w:rPr>
              <w:t>Verificar se foram realizados os registros contábeis orçamentários e patrimoniais, das despesas com obrigações previdenciárias, decorrente dos encargos patronais da entidade referentes às alíquotas normais e suplementares, observando o regime de competência.</w:t>
            </w:r>
          </w:p>
        </w:tc>
        <w:tc>
          <w:tcPr>
            <w:tcW w:w="1275" w:type="dxa"/>
            <w:shd w:val="clear" w:color="auto" w:fill="auto"/>
            <w:vAlign w:val="center"/>
          </w:tcPr>
          <w:p w14:paraId="5246853E" w14:textId="77777777" w:rsidR="007B690E" w:rsidRPr="007B690E" w:rsidRDefault="007B690E" w:rsidP="007B690E">
            <w:pPr>
              <w:widowControl w:val="0"/>
              <w:spacing w:after="0" w:line="240" w:lineRule="auto"/>
              <w:jc w:val="center"/>
              <w:rPr>
                <w:rFonts w:ascii="Arial" w:eastAsia="Calibri" w:hAnsi="Arial" w:cs="Arial"/>
                <w:bCs/>
                <w:sz w:val="16"/>
                <w:szCs w:val="16"/>
              </w:rPr>
            </w:pPr>
            <w:r w:rsidRPr="007B690E">
              <w:rPr>
                <w:rFonts w:ascii="Arial" w:eastAsia="Calibri" w:hAnsi="Arial" w:cs="Arial"/>
                <w:bCs/>
                <w:sz w:val="16"/>
                <w:szCs w:val="16"/>
              </w:rPr>
              <w:t xml:space="preserve">Contas de Gestão </w:t>
            </w:r>
            <w:r w:rsidRPr="007B690E">
              <w:rPr>
                <w:rFonts w:ascii="Arial" w:eastAsia="Calibri" w:hAnsi="Arial" w:cs="Arial"/>
                <w:color w:val="000000"/>
                <w:sz w:val="16"/>
                <w:szCs w:val="16"/>
              </w:rPr>
              <w:t>(Todas as UG's)</w:t>
            </w:r>
          </w:p>
        </w:tc>
      </w:tr>
      <w:tr w:rsidR="007B690E" w:rsidRPr="007B690E" w14:paraId="424FDDCA" w14:textId="77777777" w:rsidTr="007B690E">
        <w:trPr>
          <w:trHeight w:val="1696"/>
        </w:trPr>
        <w:tc>
          <w:tcPr>
            <w:tcW w:w="851" w:type="dxa"/>
            <w:vAlign w:val="center"/>
          </w:tcPr>
          <w:p w14:paraId="20DC3926" w14:textId="77777777" w:rsidR="007B690E" w:rsidRPr="007B690E" w:rsidRDefault="007B690E" w:rsidP="007B690E">
            <w:pPr>
              <w:widowControl w:val="0"/>
              <w:spacing w:after="0" w:line="240" w:lineRule="auto"/>
              <w:jc w:val="center"/>
              <w:rPr>
                <w:rFonts w:ascii="Arial" w:eastAsia="Calibri" w:hAnsi="Arial" w:cs="Arial"/>
                <w:bCs/>
                <w:sz w:val="16"/>
                <w:szCs w:val="16"/>
              </w:rPr>
            </w:pPr>
            <w:r w:rsidRPr="007B690E">
              <w:rPr>
                <w:rFonts w:ascii="Arial" w:eastAsia="Calibri" w:hAnsi="Arial" w:cs="Arial"/>
                <w:bCs/>
                <w:sz w:val="16"/>
                <w:szCs w:val="16"/>
              </w:rPr>
              <w:t>1.2.2</w:t>
            </w:r>
          </w:p>
        </w:tc>
        <w:tc>
          <w:tcPr>
            <w:tcW w:w="1417" w:type="dxa"/>
            <w:shd w:val="clear" w:color="auto" w:fill="auto"/>
            <w:vAlign w:val="center"/>
          </w:tcPr>
          <w:p w14:paraId="3B89242C" w14:textId="77777777" w:rsidR="007B690E" w:rsidRPr="007B690E" w:rsidRDefault="007B690E" w:rsidP="007B690E">
            <w:pPr>
              <w:widowControl w:val="0"/>
              <w:spacing w:after="0" w:line="240" w:lineRule="auto"/>
              <w:jc w:val="center"/>
              <w:rPr>
                <w:rFonts w:ascii="Arial" w:eastAsia="Calibri" w:hAnsi="Arial" w:cs="Arial"/>
                <w:bCs/>
                <w:sz w:val="16"/>
                <w:szCs w:val="16"/>
              </w:rPr>
            </w:pPr>
            <w:r w:rsidRPr="007B690E">
              <w:rPr>
                <w:rFonts w:ascii="Arial" w:eastAsia="Calibri" w:hAnsi="Arial" w:cs="Arial"/>
                <w:bCs/>
                <w:sz w:val="16"/>
                <w:szCs w:val="16"/>
              </w:rPr>
              <w:t>Pagamento das obrigações previdenciárias - parte patronal</w:t>
            </w:r>
          </w:p>
        </w:tc>
        <w:tc>
          <w:tcPr>
            <w:tcW w:w="1418" w:type="dxa"/>
            <w:shd w:val="clear" w:color="auto" w:fill="auto"/>
            <w:vAlign w:val="center"/>
          </w:tcPr>
          <w:p w14:paraId="173D7CC3" w14:textId="77777777" w:rsidR="007B690E" w:rsidRPr="007B690E" w:rsidRDefault="007B690E" w:rsidP="005C719B">
            <w:pPr>
              <w:widowControl w:val="0"/>
              <w:numPr>
                <w:ilvl w:val="0"/>
                <w:numId w:val="36"/>
              </w:numPr>
              <w:tabs>
                <w:tab w:val="left" w:pos="213"/>
              </w:tabs>
              <w:spacing w:after="0" w:line="240" w:lineRule="auto"/>
              <w:ind w:left="72" w:hanging="61"/>
              <w:contextualSpacing/>
              <w:rPr>
                <w:rFonts w:ascii="Arial" w:eastAsia="Calibri" w:hAnsi="Arial" w:cs="Arial"/>
                <w:bCs/>
                <w:sz w:val="16"/>
                <w:szCs w:val="16"/>
                <w:lang w:val="en-US"/>
              </w:rPr>
            </w:pPr>
            <w:r w:rsidRPr="007B690E">
              <w:rPr>
                <w:rFonts w:ascii="Arial" w:eastAsia="Calibri" w:hAnsi="Arial" w:cs="Arial"/>
                <w:bCs/>
                <w:sz w:val="16"/>
                <w:szCs w:val="16"/>
                <w:lang w:val="en-US"/>
              </w:rPr>
              <w:t>CF/88, art. 40.</w:t>
            </w:r>
          </w:p>
          <w:p w14:paraId="2CE7F0F9" w14:textId="77777777" w:rsidR="007B690E" w:rsidRPr="007B690E" w:rsidRDefault="007B690E" w:rsidP="005C719B">
            <w:pPr>
              <w:widowControl w:val="0"/>
              <w:numPr>
                <w:ilvl w:val="0"/>
                <w:numId w:val="36"/>
              </w:numPr>
              <w:tabs>
                <w:tab w:val="left" w:pos="213"/>
              </w:tabs>
              <w:spacing w:after="0" w:line="240" w:lineRule="auto"/>
              <w:ind w:left="72" w:hanging="61"/>
              <w:contextualSpacing/>
              <w:rPr>
                <w:rFonts w:ascii="Arial" w:eastAsia="Calibri" w:hAnsi="Arial" w:cs="Arial"/>
                <w:bCs/>
                <w:sz w:val="16"/>
                <w:szCs w:val="16"/>
                <w:lang w:val="en-US"/>
              </w:rPr>
            </w:pPr>
            <w:r w:rsidRPr="007B690E">
              <w:rPr>
                <w:rFonts w:ascii="Arial" w:eastAsia="Calibri" w:hAnsi="Arial" w:cs="Arial"/>
                <w:bCs/>
                <w:sz w:val="16"/>
                <w:szCs w:val="16"/>
                <w:lang w:val="en-US"/>
              </w:rPr>
              <w:t>LRF, art. 69.</w:t>
            </w:r>
          </w:p>
          <w:p w14:paraId="591459C5" w14:textId="77777777" w:rsidR="007B690E" w:rsidRPr="007B690E" w:rsidRDefault="007B690E" w:rsidP="005C719B">
            <w:pPr>
              <w:widowControl w:val="0"/>
              <w:numPr>
                <w:ilvl w:val="0"/>
                <w:numId w:val="36"/>
              </w:numPr>
              <w:tabs>
                <w:tab w:val="left" w:pos="213"/>
              </w:tabs>
              <w:spacing w:after="0" w:line="240" w:lineRule="auto"/>
              <w:ind w:left="72" w:hanging="61"/>
              <w:contextualSpacing/>
              <w:rPr>
                <w:rFonts w:ascii="Arial" w:eastAsia="Calibri" w:hAnsi="Arial" w:cs="Arial"/>
                <w:bCs/>
                <w:sz w:val="16"/>
                <w:szCs w:val="16"/>
                <w:lang w:val="en-US"/>
              </w:rPr>
            </w:pPr>
            <w:r w:rsidRPr="007B690E">
              <w:rPr>
                <w:rFonts w:ascii="Arial" w:eastAsia="Calibri" w:hAnsi="Arial" w:cs="Arial"/>
                <w:bCs/>
                <w:sz w:val="16"/>
                <w:szCs w:val="16"/>
                <w:lang w:val="en-US"/>
              </w:rPr>
              <w:t>Lei 9.717/1998, art. 1º.</w:t>
            </w:r>
          </w:p>
          <w:p w14:paraId="7CC4C82F" w14:textId="77777777" w:rsidR="007B690E" w:rsidRPr="007B690E" w:rsidRDefault="007B690E" w:rsidP="005C719B">
            <w:pPr>
              <w:widowControl w:val="0"/>
              <w:numPr>
                <w:ilvl w:val="0"/>
                <w:numId w:val="36"/>
              </w:numPr>
              <w:tabs>
                <w:tab w:val="left" w:pos="213"/>
              </w:tabs>
              <w:spacing w:after="0" w:line="240" w:lineRule="auto"/>
              <w:ind w:left="72" w:hanging="61"/>
              <w:contextualSpacing/>
              <w:rPr>
                <w:rFonts w:ascii="Arial" w:eastAsia="Calibri" w:hAnsi="Arial" w:cs="Arial"/>
                <w:bCs/>
                <w:sz w:val="16"/>
                <w:szCs w:val="16"/>
                <w:lang w:val="en-US"/>
              </w:rPr>
            </w:pPr>
            <w:r w:rsidRPr="007B690E">
              <w:rPr>
                <w:rFonts w:ascii="Arial" w:eastAsia="Calibri" w:hAnsi="Arial" w:cs="Arial"/>
                <w:bCs/>
                <w:sz w:val="16"/>
                <w:szCs w:val="16"/>
                <w:lang w:val="en-US"/>
              </w:rPr>
              <w:t>Lei 8.212/1991</w:t>
            </w:r>
          </w:p>
          <w:p w14:paraId="2440A950" w14:textId="77777777" w:rsidR="007B690E" w:rsidRPr="007B690E" w:rsidRDefault="007B690E" w:rsidP="005C719B">
            <w:pPr>
              <w:widowControl w:val="0"/>
              <w:numPr>
                <w:ilvl w:val="0"/>
                <w:numId w:val="36"/>
              </w:numPr>
              <w:tabs>
                <w:tab w:val="left" w:pos="213"/>
              </w:tabs>
              <w:spacing w:after="0" w:line="240" w:lineRule="auto"/>
              <w:ind w:left="72" w:hanging="61"/>
              <w:contextualSpacing/>
              <w:rPr>
                <w:rFonts w:ascii="Arial" w:eastAsia="Calibri" w:hAnsi="Arial" w:cs="Arial"/>
                <w:bCs/>
                <w:sz w:val="16"/>
                <w:szCs w:val="16"/>
                <w:lang w:val="en-US"/>
              </w:rPr>
            </w:pPr>
            <w:r w:rsidRPr="007B690E">
              <w:rPr>
                <w:rFonts w:ascii="Arial" w:eastAsia="Calibri" w:hAnsi="Arial" w:cs="Arial"/>
                <w:color w:val="000000"/>
                <w:sz w:val="16"/>
                <w:szCs w:val="16"/>
              </w:rPr>
              <w:t>Lei Local</w:t>
            </w:r>
          </w:p>
          <w:p w14:paraId="5FAC2DD0" w14:textId="77777777" w:rsidR="007B690E" w:rsidRPr="007B690E" w:rsidRDefault="007B690E" w:rsidP="005C719B">
            <w:pPr>
              <w:widowControl w:val="0"/>
              <w:numPr>
                <w:ilvl w:val="0"/>
                <w:numId w:val="36"/>
              </w:numPr>
              <w:tabs>
                <w:tab w:val="left" w:pos="213"/>
              </w:tabs>
              <w:spacing w:after="0" w:line="240" w:lineRule="auto"/>
              <w:ind w:left="72" w:hanging="61"/>
              <w:contextualSpacing/>
              <w:rPr>
                <w:rFonts w:ascii="Arial" w:eastAsia="Calibri" w:hAnsi="Arial" w:cs="Arial"/>
                <w:bCs/>
                <w:sz w:val="16"/>
                <w:szCs w:val="16"/>
                <w:lang w:val="en-US"/>
              </w:rPr>
            </w:pPr>
            <w:r w:rsidRPr="007B690E">
              <w:rPr>
                <w:rFonts w:ascii="Arial" w:eastAsia="Calibri" w:hAnsi="Arial" w:cs="Arial"/>
                <w:color w:val="000000"/>
                <w:sz w:val="16"/>
                <w:szCs w:val="16"/>
              </w:rPr>
              <w:t>Regime de competência</w:t>
            </w:r>
          </w:p>
        </w:tc>
        <w:tc>
          <w:tcPr>
            <w:tcW w:w="1417" w:type="dxa"/>
            <w:vAlign w:val="center"/>
          </w:tcPr>
          <w:p w14:paraId="6B6676E7"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 xml:space="preserve">Auditoria Governamental de conformidade </w:t>
            </w:r>
          </w:p>
        </w:tc>
        <w:tc>
          <w:tcPr>
            <w:tcW w:w="2694" w:type="dxa"/>
            <w:shd w:val="clear" w:color="auto" w:fill="auto"/>
            <w:vAlign w:val="center"/>
          </w:tcPr>
          <w:p w14:paraId="54EC5CCD" w14:textId="77777777" w:rsidR="007B690E" w:rsidRPr="007B690E" w:rsidRDefault="007B690E" w:rsidP="007B690E">
            <w:pPr>
              <w:widowControl w:val="0"/>
              <w:spacing w:after="0" w:line="240" w:lineRule="auto"/>
              <w:jc w:val="both"/>
              <w:rPr>
                <w:rFonts w:ascii="Arial" w:eastAsia="Calibri" w:hAnsi="Arial" w:cs="Arial"/>
                <w:bCs/>
                <w:sz w:val="16"/>
                <w:szCs w:val="16"/>
              </w:rPr>
            </w:pPr>
            <w:r w:rsidRPr="007B690E">
              <w:rPr>
                <w:rFonts w:ascii="Arial" w:eastAsia="Calibri" w:hAnsi="Arial" w:cs="Arial"/>
                <w:bCs/>
                <w:sz w:val="16"/>
                <w:szCs w:val="16"/>
              </w:rPr>
              <w:t>Verificar se houve o pagamento tempestivo das contribuições previdenciárias decorrentes dos encargos patronais da entidade, referentes às alíquotas normais e suplementares.</w:t>
            </w:r>
          </w:p>
        </w:tc>
        <w:tc>
          <w:tcPr>
            <w:tcW w:w="1275" w:type="dxa"/>
            <w:shd w:val="clear" w:color="auto" w:fill="auto"/>
            <w:vAlign w:val="center"/>
          </w:tcPr>
          <w:p w14:paraId="0AB0F912" w14:textId="77777777" w:rsidR="007B690E" w:rsidRPr="007B690E" w:rsidRDefault="007B690E" w:rsidP="007B690E">
            <w:pPr>
              <w:widowControl w:val="0"/>
              <w:spacing w:after="0" w:line="240" w:lineRule="auto"/>
              <w:jc w:val="center"/>
              <w:rPr>
                <w:rFonts w:ascii="Arial" w:eastAsia="Calibri" w:hAnsi="Arial" w:cs="Arial"/>
                <w:bCs/>
                <w:sz w:val="16"/>
                <w:szCs w:val="16"/>
              </w:rPr>
            </w:pPr>
            <w:r w:rsidRPr="007B690E">
              <w:rPr>
                <w:rFonts w:ascii="Arial" w:eastAsia="Calibri" w:hAnsi="Arial" w:cs="Arial"/>
                <w:bCs/>
                <w:sz w:val="16"/>
                <w:szCs w:val="16"/>
              </w:rPr>
              <w:t xml:space="preserve">Contas de Gestão </w:t>
            </w:r>
            <w:r w:rsidRPr="007B690E">
              <w:rPr>
                <w:rFonts w:ascii="Arial" w:eastAsia="Calibri" w:hAnsi="Arial" w:cs="Arial"/>
                <w:color w:val="000000"/>
                <w:sz w:val="16"/>
                <w:szCs w:val="16"/>
              </w:rPr>
              <w:t>(Todas as UG's)</w:t>
            </w:r>
          </w:p>
        </w:tc>
      </w:tr>
      <w:tr w:rsidR="007B690E" w:rsidRPr="007B690E" w14:paraId="18B582B7" w14:textId="77777777" w:rsidTr="007B690E">
        <w:trPr>
          <w:trHeight w:val="1696"/>
        </w:trPr>
        <w:tc>
          <w:tcPr>
            <w:tcW w:w="851" w:type="dxa"/>
            <w:vAlign w:val="center"/>
          </w:tcPr>
          <w:p w14:paraId="0CFC5558" w14:textId="77777777" w:rsidR="007B690E" w:rsidRPr="007B690E" w:rsidRDefault="007B690E" w:rsidP="007B690E">
            <w:pPr>
              <w:widowControl w:val="0"/>
              <w:spacing w:after="0" w:line="240" w:lineRule="auto"/>
              <w:jc w:val="center"/>
              <w:rPr>
                <w:rFonts w:ascii="Arial" w:eastAsia="Calibri" w:hAnsi="Arial" w:cs="Arial"/>
                <w:bCs/>
                <w:sz w:val="16"/>
                <w:szCs w:val="16"/>
              </w:rPr>
            </w:pPr>
            <w:r w:rsidRPr="007B690E">
              <w:rPr>
                <w:rFonts w:ascii="Arial" w:eastAsia="Calibri" w:hAnsi="Arial" w:cs="Arial"/>
                <w:bCs/>
                <w:sz w:val="16"/>
                <w:szCs w:val="16"/>
              </w:rPr>
              <w:lastRenderedPageBreak/>
              <w:t>1.2.3</w:t>
            </w:r>
          </w:p>
        </w:tc>
        <w:tc>
          <w:tcPr>
            <w:tcW w:w="1417" w:type="dxa"/>
            <w:shd w:val="clear" w:color="auto" w:fill="auto"/>
            <w:vAlign w:val="center"/>
          </w:tcPr>
          <w:p w14:paraId="4762C4F8" w14:textId="77777777" w:rsidR="007B690E" w:rsidRPr="007B690E" w:rsidRDefault="007B690E" w:rsidP="007B690E">
            <w:pPr>
              <w:widowControl w:val="0"/>
              <w:spacing w:after="0" w:line="240" w:lineRule="auto"/>
              <w:jc w:val="center"/>
              <w:rPr>
                <w:rFonts w:ascii="Arial" w:eastAsia="Calibri" w:hAnsi="Arial" w:cs="Arial"/>
                <w:bCs/>
                <w:sz w:val="16"/>
                <w:szCs w:val="16"/>
              </w:rPr>
            </w:pPr>
            <w:r w:rsidRPr="007B690E">
              <w:rPr>
                <w:rFonts w:ascii="Arial" w:eastAsia="Calibri" w:hAnsi="Arial" w:cs="Arial"/>
                <w:bCs/>
                <w:sz w:val="16"/>
                <w:szCs w:val="16"/>
              </w:rPr>
              <w:t>Registro por competência – multas e juros por atraso de pagamento</w:t>
            </w:r>
          </w:p>
        </w:tc>
        <w:tc>
          <w:tcPr>
            <w:tcW w:w="1418" w:type="dxa"/>
            <w:shd w:val="clear" w:color="auto" w:fill="auto"/>
            <w:vAlign w:val="center"/>
          </w:tcPr>
          <w:p w14:paraId="332B3A2F" w14:textId="77777777" w:rsidR="007B690E" w:rsidRPr="007B690E" w:rsidRDefault="007B690E" w:rsidP="005C719B">
            <w:pPr>
              <w:widowControl w:val="0"/>
              <w:numPr>
                <w:ilvl w:val="0"/>
                <w:numId w:val="36"/>
              </w:numPr>
              <w:tabs>
                <w:tab w:val="left" w:pos="213"/>
              </w:tabs>
              <w:spacing w:after="0" w:line="240" w:lineRule="auto"/>
              <w:ind w:left="72" w:hanging="61"/>
              <w:contextualSpacing/>
              <w:rPr>
                <w:rFonts w:ascii="Arial" w:eastAsia="Calibri" w:hAnsi="Arial" w:cs="Arial"/>
                <w:bCs/>
                <w:sz w:val="16"/>
                <w:szCs w:val="16"/>
                <w:lang w:val="en-US"/>
              </w:rPr>
            </w:pPr>
            <w:r w:rsidRPr="007B690E">
              <w:rPr>
                <w:rFonts w:ascii="Arial" w:eastAsia="Calibri" w:hAnsi="Arial" w:cs="Arial"/>
                <w:bCs/>
                <w:sz w:val="16"/>
                <w:szCs w:val="16"/>
                <w:lang w:val="en-US"/>
              </w:rPr>
              <w:t>CF/88, art. 40.</w:t>
            </w:r>
          </w:p>
          <w:p w14:paraId="1C63D99E" w14:textId="77777777" w:rsidR="007B690E" w:rsidRPr="007B690E" w:rsidRDefault="007B690E" w:rsidP="005C719B">
            <w:pPr>
              <w:widowControl w:val="0"/>
              <w:numPr>
                <w:ilvl w:val="0"/>
                <w:numId w:val="36"/>
              </w:numPr>
              <w:tabs>
                <w:tab w:val="left" w:pos="213"/>
              </w:tabs>
              <w:spacing w:after="0" w:line="240" w:lineRule="auto"/>
              <w:ind w:left="72" w:hanging="61"/>
              <w:contextualSpacing/>
              <w:rPr>
                <w:rFonts w:ascii="Arial" w:eastAsia="Calibri" w:hAnsi="Arial" w:cs="Arial"/>
                <w:bCs/>
                <w:sz w:val="16"/>
                <w:szCs w:val="16"/>
                <w:lang w:val="en-US"/>
              </w:rPr>
            </w:pPr>
            <w:r w:rsidRPr="007B690E">
              <w:rPr>
                <w:rFonts w:ascii="Arial" w:eastAsia="Calibri" w:hAnsi="Arial" w:cs="Arial"/>
                <w:bCs/>
                <w:sz w:val="16"/>
                <w:szCs w:val="16"/>
                <w:lang w:val="en-US"/>
              </w:rPr>
              <w:t>LRF, art. 69.</w:t>
            </w:r>
          </w:p>
          <w:p w14:paraId="3DA0533F" w14:textId="77777777" w:rsidR="007B690E" w:rsidRPr="007B690E" w:rsidRDefault="007B690E" w:rsidP="005C719B">
            <w:pPr>
              <w:widowControl w:val="0"/>
              <w:numPr>
                <w:ilvl w:val="0"/>
                <w:numId w:val="36"/>
              </w:numPr>
              <w:tabs>
                <w:tab w:val="left" w:pos="213"/>
              </w:tabs>
              <w:spacing w:after="0" w:line="240" w:lineRule="auto"/>
              <w:ind w:left="72" w:hanging="61"/>
              <w:contextualSpacing/>
              <w:rPr>
                <w:rFonts w:ascii="Arial" w:eastAsia="Calibri" w:hAnsi="Arial" w:cs="Arial"/>
                <w:bCs/>
                <w:sz w:val="16"/>
                <w:szCs w:val="16"/>
                <w:lang w:val="en-US"/>
              </w:rPr>
            </w:pPr>
            <w:r w:rsidRPr="007B690E">
              <w:rPr>
                <w:rFonts w:ascii="Arial" w:eastAsia="Calibri" w:hAnsi="Arial" w:cs="Arial"/>
                <w:bCs/>
                <w:sz w:val="16"/>
                <w:szCs w:val="16"/>
                <w:lang w:val="en-US"/>
              </w:rPr>
              <w:t>Lei 9.717/1998, art. 1º.</w:t>
            </w:r>
          </w:p>
          <w:p w14:paraId="4AA6715A" w14:textId="77777777" w:rsidR="007B690E" w:rsidRPr="007B690E" w:rsidRDefault="007B690E" w:rsidP="005C719B">
            <w:pPr>
              <w:widowControl w:val="0"/>
              <w:numPr>
                <w:ilvl w:val="0"/>
                <w:numId w:val="36"/>
              </w:numPr>
              <w:tabs>
                <w:tab w:val="left" w:pos="213"/>
              </w:tabs>
              <w:spacing w:after="0" w:line="240" w:lineRule="auto"/>
              <w:ind w:left="72" w:hanging="61"/>
              <w:contextualSpacing/>
              <w:rPr>
                <w:rFonts w:ascii="Arial" w:eastAsia="Calibri" w:hAnsi="Arial" w:cs="Arial"/>
                <w:bCs/>
                <w:sz w:val="16"/>
                <w:szCs w:val="16"/>
                <w:lang w:val="en-US"/>
              </w:rPr>
            </w:pPr>
            <w:r w:rsidRPr="007B690E">
              <w:rPr>
                <w:rFonts w:ascii="Arial" w:eastAsia="Calibri" w:hAnsi="Arial" w:cs="Arial"/>
                <w:bCs/>
                <w:sz w:val="16"/>
                <w:szCs w:val="16"/>
                <w:lang w:val="en-US"/>
              </w:rPr>
              <w:t>Lei 8.212/1991</w:t>
            </w:r>
          </w:p>
          <w:p w14:paraId="6E575EE3" w14:textId="77777777" w:rsidR="007B690E" w:rsidRPr="007B690E" w:rsidRDefault="007B690E" w:rsidP="005C719B">
            <w:pPr>
              <w:widowControl w:val="0"/>
              <w:numPr>
                <w:ilvl w:val="0"/>
                <w:numId w:val="36"/>
              </w:numPr>
              <w:tabs>
                <w:tab w:val="left" w:pos="213"/>
              </w:tabs>
              <w:spacing w:after="0" w:line="240" w:lineRule="auto"/>
              <w:ind w:left="72" w:hanging="61"/>
              <w:contextualSpacing/>
              <w:rPr>
                <w:rFonts w:ascii="Arial" w:eastAsia="Calibri" w:hAnsi="Arial" w:cs="Arial"/>
                <w:bCs/>
                <w:sz w:val="16"/>
                <w:szCs w:val="16"/>
                <w:lang w:val="en-US"/>
              </w:rPr>
            </w:pPr>
            <w:r w:rsidRPr="007B690E">
              <w:rPr>
                <w:rFonts w:ascii="Arial" w:eastAsia="Calibri" w:hAnsi="Arial" w:cs="Arial"/>
                <w:color w:val="000000"/>
                <w:sz w:val="16"/>
                <w:szCs w:val="16"/>
              </w:rPr>
              <w:t>Lei Local</w:t>
            </w:r>
          </w:p>
          <w:p w14:paraId="28E01876" w14:textId="77777777" w:rsidR="007B690E" w:rsidRPr="007B690E" w:rsidRDefault="007B690E" w:rsidP="005C719B">
            <w:pPr>
              <w:widowControl w:val="0"/>
              <w:numPr>
                <w:ilvl w:val="0"/>
                <w:numId w:val="36"/>
              </w:numPr>
              <w:tabs>
                <w:tab w:val="left" w:pos="213"/>
              </w:tabs>
              <w:spacing w:after="0" w:line="240" w:lineRule="auto"/>
              <w:ind w:left="72" w:hanging="61"/>
              <w:contextualSpacing/>
              <w:rPr>
                <w:rFonts w:ascii="Arial" w:eastAsia="Calibri" w:hAnsi="Arial" w:cs="Arial"/>
                <w:bCs/>
                <w:sz w:val="16"/>
                <w:szCs w:val="16"/>
                <w:lang w:val="en-US"/>
              </w:rPr>
            </w:pPr>
            <w:r w:rsidRPr="007B690E">
              <w:rPr>
                <w:rFonts w:ascii="Arial" w:eastAsia="Calibri" w:hAnsi="Arial" w:cs="Arial"/>
                <w:color w:val="000000"/>
                <w:sz w:val="16"/>
                <w:szCs w:val="16"/>
              </w:rPr>
              <w:t>Regime de competência</w:t>
            </w:r>
          </w:p>
        </w:tc>
        <w:tc>
          <w:tcPr>
            <w:tcW w:w="1417" w:type="dxa"/>
            <w:vAlign w:val="center"/>
          </w:tcPr>
          <w:p w14:paraId="38173338" w14:textId="77777777" w:rsidR="007B690E" w:rsidRPr="007B690E" w:rsidRDefault="007B690E" w:rsidP="007B690E">
            <w:pPr>
              <w:widowControl w:val="0"/>
              <w:spacing w:after="0" w:line="240" w:lineRule="auto"/>
              <w:jc w:val="center"/>
              <w:rPr>
                <w:rFonts w:ascii="Arial" w:eastAsia="Calibri" w:hAnsi="Arial" w:cs="Arial"/>
                <w:bCs/>
                <w:sz w:val="16"/>
                <w:szCs w:val="16"/>
                <w:lang w:val="en-US"/>
              </w:rPr>
            </w:pPr>
            <w:r w:rsidRPr="007B690E">
              <w:rPr>
                <w:rFonts w:ascii="Arial" w:eastAsia="Calibri" w:hAnsi="Arial" w:cs="Arial"/>
                <w:color w:val="000000"/>
                <w:sz w:val="16"/>
                <w:szCs w:val="16"/>
              </w:rPr>
              <w:t>Auditoria Governamental de conformidade</w:t>
            </w:r>
          </w:p>
        </w:tc>
        <w:tc>
          <w:tcPr>
            <w:tcW w:w="2694" w:type="dxa"/>
            <w:shd w:val="clear" w:color="auto" w:fill="auto"/>
            <w:vAlign w:val="center"/>
          </w:tcPr>
          <w:p w14:paraId="6D14C8B4" w14:textId="77777777" w:rsidR="007B690E" w:rsidRPr="007B690E" w:rsidRDefault="007B690E" w:rsidP="007B690E">
            <w:pPr>
              <w:tabs>
                <w:tab w:val="left" w:pos="213"/>
              </w:tabs>
              <w:spacing w:after="0" w:line="240" w:lineRule="auto"/>
              <w:ind w:left="11"/>
              <w:contextualSpacing/>
              <w:jc w:val="both"/>
              <w:rPr>
                <w:rFonts w:ascii="Arial" w:eastAsia="Calibri" w:hAnsi="Arial" w:cs="Arial"/>
                <w:bCs/>
                <w:sz w:val="16"/>
                <w:szCs w:val="16"/>
              </w:rPr>
            </w:pPr>
            <w:r w:rsidRPr="007B690E">
              <w:rPr>
                <w:rFonts w:ascii="Arial" w:eastAsia="Calibri" w:hAnsi="Arial" w:cs="Arial"/>
                <w:bCs/>
                <w:sz w:val="16"/>
                <w:szCs w:val="16"/>
              </w:rPr>
              <w:t>Verificar se houve o registro por competência das despesas orçamentárias e das Variações Patrimoniais Diminutivas (VPD) com multa e juros decorrentes do atraso no pagamento das obrigações previdenciárias.</w:t>
            </w:r>
          </w:p>
        </w:tc>
        <w:tc>
          <w:tcPr>
            <w:tcW w:w="1275" w:type="dxa"/>
            <w:shd w:val="clear" w:color="auto" w:fill="auto"/>
            <w:vAlign w:val="center"/>
          </w:tcPr>
          <w:p w14:paraId="516487AB" w14:textId="77777777" w:rsidR="007B690E" w:rsidRPr="007B690E" w:rsidRDefault="007B690E" w:rsidP="007B690E">
            <w:pPr>
              <w:widowControl w:val="0"/>
              <w:spacing w:after="0" w:line="240" w:lineRule="auto"/>
              <w:jc w:val="center"/>
              <w:rPr>
                <w:rFonts w:ascii="Arial" w:eastAsia="Calibri" w:hAnsi="Arial" w:cs="Arial"/>
                <w:bCs/>
                <w:sz w:val="16"/>
                <w:szCs w:val="16"/>
              </w:rPr>
            </w:pPr>
            <w:r w:rsidRPr="007B690E">
              <w:rPr>
                <w:rFonts w:ascii="Arial" w:eastAsia="Calibri" w:hAnsi="Arial" w:cs="Arial"/>
                <w:bCs/>
                <w:sz w:val="16"/>
                <w:szCs w:val="16"/>
              </w:rPr>
              <w:t xml:space="preserve">Contas de Gestão </w:t>
            </w:r>
            <w:r w:rsidRPr="007B690E">
              <w:rPr>
                <w:rFonts w:ascii="Arial" w:eastAsia="Calibri" w:hAnsi="Arial" w:cs="Arial"/>
                <w:color w:val="000000"/>
                <w:sz w:val="16"/>
                <w:szCs w:val="16"/>
              </w:rPr>
              <w:t>(Todas as UG's)</w:t>
            </w:r>
          </w:p>
        </w:tc>
      </w:tr>
      <w:tr w:rsidR="007B690E" w:rsidRPr="007B690E" w14:paraId="35A14F47" w14:textId="77777777" w:rsidTr="007B690E">
        <w:trPr>
          <w:trHeight w:val="1696"/>
        </w:trPr>
        <w:tc>
          <w:tcPr>
            <w:tcW w:w="851" w:type="dxa"/>
            <w:vAlign w:val="center"/>
          </w:tcPr>
          <w:p w14:paraId="066466EC" w14:textId="77777777" w:rsidR="007B690E" w:rsidRPr="007B690E" w:rsidRDefault="007B690E" w:rsidP="007B690E">
            <w:pPr>
              <w:widowControl w:val="0"/>
              <w:spacing w:after="0" w:line="240" w:lineRule="auto"/>
              <w:jc w:val="center"/>
              <w:rPr>
                <w:rFonts w:ascii="Arial" w:eastAsia="Calibri" w:hAnsi="Arial" w:cs="Arial"/>
                <w:bCs/>
                <w:sz w:val="16"/>
                <w:szCs w:val="16"/>
              </w:rPr>
            </w:pPr>
            <w:r w:rsidRPr="007B690E">
              <w:rPr>
                <w:rFonts w:ascii="Arial" w:eastAsia="Calibri" w:hAnsi="Arial" w:cs="Arial"/>
                <w:bCs/>
                <w:sz w:val="16"/>
                <w:szCs w:val="16"/>
              </w:rPr>
              <w:t>1.2.4</w:t>
            </w:r>
          </w:p>
        </w:tc>
        <w:tc>
          <w:tcPr>
            <w:tcW w:w="1417" w:type="dxa"/>
            <w:shd w:val="clear" w:color="auto" w:fill="auto"/>
            <w:vAlign w:val="center"/>
          </w:tcPr>
          <w:p w14:paraId="54CD274D" w14:textId="77777777" w:rsidR="007B690E" w:rsidRPr="007B690E" w:rsidRDefault="007B690E" w:rsidP="007B690E">
            <w:pPr>
              <w:widowControl w:val="0"/>
              <w:spacing w:after="0" w:line="240" w:lineRule="auto"/>
              <w:jc w:val="center"/>
              <w:rPr>
                <w:rFonts w:ascii="Arial" w:eastAsia="Calibri" w:hAnsi="Arial" w:cs="Arial"/>
                <w:bCs/>
                <w:sz w:val="16"/>
                <w:szCs w:val="16"/>
              </w:rPr>
            </w:pPr>
            <w:r w:rsidRPr="007B690E">
              <w:rPr>
                <w:rFonts w:ascii="Arial" w:eastAsia="Calibri" w:hAnsi="Arial" w:cs="Arial"/>
                <w:bCs/>
                <w:sz w:val="16"/>
                <w:szCs w:val="16"/>
              </w:rPr>
              <w:t>Retenção/Repasse das contribuições previdenciárias- parte servidor</w:t>
            </w:r>
          </w:p>
        </w:tc>
        <w:tc>
          <w:tcPr>
            <w:tcW w:w="1418" w:type="dxa"/>
            <w:shd w:val="clear" w:color="auto" w:fill="auto"/>
            <w:vAlign w:val="center"/>
          </w:tcPr>
          <w:p w14:paraId="5D699E52" w14:textId="77777777" w:rsidR="007B690E" w:rsidRPr="007B690E" w:rsidRDefault="007B690E" w:rsidP="005C719B">
            <w:pPr>
              <w:widowControl w:val="0"/>
              <w:numPr>
                <w:ilvl w:val="0"/>
                <w:numId w:val="36"/>
              </w:numPr>
              <w:tabs>
                <w:tab w:val="left" w:pos="213"/>
              </w:tabs>
              <w:spacing w:after="0" w:line="240" w:lineRule="auto"/>
              <w:ind w:left="72" w:hanging="61"/>
              <w:contextualSpacing/>
              <w:rPr>
                <w:rFonts w:ascii="Arial" w:eastAsia="Calibri" w:hAnsi="Arial" w:cs="Arial"/>
                <w:bCs/>
                <w:sz w:val="16"/>
                <w:szCs w:val="16"/>
                <w:lang w:val="en-US"/>
              </w:rPr>
            </w:pPr>
            <w:r w:rsidRPr="007B690E">
              <w:rPr>
                <w:rFonts w:ascii="Arial" w:eastAsia="Calibri" w:hAnsi="Arial" w:cs="Arial"/>
                <w:bCs/>
                <w:sz w:val="16"/>
                <w:szCs w:val="16"/>
                <w:lang w:val="en-US"/>
              </w:rPr>
              <w:t>CF/88, art. 40.</w:t>
            </w:r>
          </w:p>
          <w:p w14:paraId="37EB9877" w14:textId="77777777" w:rsidR="007B690E" w:rsidRPr="007B690E" w:rsidRDefault="007B690E" w:rsidP="005C719B">
            <w:pPr>
              <w:widowControl w:val="0"/>
              <w:numPr>
                <w:ilvl w:val="0"/>
                <w:numId w:val="36"/>
              </w:numPr>
              <w:tabs>
                <w:tab w:val="left" w:pos="213"/>
              </w:tabs>
              <w:spacing w:after="0" w:line="240" w:lineRule="auto"/>
              <w:ind w:left="72" w:hanging="61"/>
              <w:contextualSpacing/>
              <w:rPr>
                <w:rFonts w:ascii="Arial" w:eastAsia="Calibri" w:hAnsi="Arial" w:cs="Arial"/>
                <w:bCs/>
                <w:sz w:val="16"/>
                <w:szCs w:val="16"/>
                <w:lang w:val="en-US"/>
              </w:rPr>
            </w:pPr>
            <w:r w:rsidRPr="007B690E">
              <w:rPr>
                <w:rFonts w:ascii="Arial" w:eastAsia="Calibri" w:hAnsi="Arial" w:cs="Arial"/>
                <w:bCs/>
                <w:sz w:val="16"/>
                <w:szCs w:val="16"/>
                <w:lang w:val="en-US"/>
              </w:rPr>
              <w:t>LRF, art. 69.</w:t>
            </w:r>
          </w:p>
          <w:p w14:paraId="6444DD8D" w14:textId="77777777" w:rsidR="007B690E" w:rsidRPr="007B690E" w:rsidRDefault="007B690E" w:rsidP="005C719B">
            <w:pPr>
              <w:widowControl w:val="0"/>
              <w:numPr>
                <w:ilvl w:val="0"/>
                <w:numId w:val="36"/>
              </w:numPr>
              <w:tabs>
                <w:tab w:val="left" w:pos="213"/>
              </w:tabs>
              <w:spacing w:after="0" w:line="240" w:lineRule="auto"/>
              <w:ind w:left="72" w:hanging="61"/>
              <w:contextualSpacing/>
              <w:rPr>
                <w:rFonts w:ascii="Arial" w:eastAsia="Calibri" w:hAnsi="Arial" w:cs="Arial"/>
                <w:bCs/>
                <w:sz w:val="16"/>
                <w:szCs w:val="16"/>
                <w:lang w:val="en-US"/>
              </w:rPr>
            </w:pPr>
            <w:r w:rsidRPr="007B690E">
              <w:rPr>
                <w:rFonts w:ascii="Arial" w:eastAsia="Calibri" w:hAnsi="Arial" w:cs="Arial"/>
                <w:bCs/>
                <w:sz w:val="16"/>
                <w:szCs w:val="16"/>
                <w:lang w:val="en-US"/>
              </w:rPr>
              <w:t>Lei 9717/1998 art. 1º.</w:t>
            </w:r>
          </w:p>
          <w:p w14:paraId="40F45FA3" w14:textId="77777777" w:rsidR="007B690E" w:rsidRPr="007B690E" w:rsidRDefault="007B690E" w:rsidP="005C719B">
            <w:pPr>
              <w:widowControl w:val="0"/>
              <w:numPr>
                <w:ilvl w:val="0"/>
                <w:numId w:val="36"/>
              </w:numPr>
              <w:tabs>
                <w:tab w:val="left" w:pos="213"/>
              </w:tabs>
              <w:spacing w:after="0" w:line="240" w:lineRule="auto"/>
              <w:ind w:left="72" w:hanging="61"/>
              <w:contextualSpacing/>
              <w:rPr>
                <w:rFonts w:ascii="Arial" w:eastAsia="Calibri" w:hAnsi="Arial" w:cs="Arial"/>
                <w:bCs/>
                <w:sz w:val="16"/>
                <w:szCs w:val="16"/>
                <w:lang w:val="en-US"/>
              </w:rPr>
            </w:pPr>
            <w:r w:rsidRPr="007B690E">
              <w:rPr>
                <w:rFonts w:ascii="Arial" w:eastAsia="Calibri" w:hAnsi="Arial" w:cs="Arial"/>
                <w:bCs/>
                <w:sz w:val="16"/>
                <w:szCs w:val="16"/>
                <w:lang w:val="en-US"/>
              </w:rPr>
              <w:t>Lei 8.212/1991</w:t>
            </w:r>
          </w:p>
          <w:p w14:paraId="7A05BBE4" w14:textId="77777777" w:rsidR="007B690E" w:rsidRPr="007B690E" w:rsidRDefault="007B690E" w:rsidP="005C719B">
            <w:pPr>
              <w:widowControl w:val="0"/>
              <w:numPr>
                <w:ilvl w:val="0"/>
                <w:numId w:val="36"/>
              </w:numPr>
              <w:tabs>
                <w:tab w:val="left" w:pos="213"/>
              </w:tabs>
              <w:spacing w:after="0" w:line="240" w:lineRule="auto"/>
              <w:ind w:left="72" w:hanging="61"/>
              <w:contextualSpacing/>
              <w:rPr>
                <w:rFonts w:ascii="Arial" w:eastAsia="Calibri" w:hAnsi="Arial" w:cs="Arial"/>
                <w:bCs/>
                <w:sz w:val="16"/>
                <w:szCs w:val="16"/>
                <w:lang w:val="en-US"/>
              </w:rPr>
            </w:pPr>
            <w:r w:rsidRPr="007B690E">
              <w:rPr>
                <w:rFonts w:ascii="Arial" w:eastAsia="Calibri" w:hAnsi="Arial" w:cs="Arial"/>
                <w:bCs/>
                <w:sz w:val="16"/>
                <w:szCs w:val="16"/>
                <w:lang w:val="en-US"/>
              </w:rPr>
              <w:t>Lei Local</w:t>
            </w:r>
          </w:p>
        </w:tc>
        <w:tc>
          <w:tcPr>
            <w:tcW w:w="1417" w:type="dxa"/>
            <w:vAlign w:val="center"/>
          </w:tcPr>
          <w:p w14:paraId="49060533"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Auditoria Governamental de conformidade</w:t>
            </w:r>
          </w:p>
        </w:tc>
        <w:tc>
          <w:tcPr>
            <w:tcW w:w="2694" w:type="dxa"/>
            <w:shd w:val="clear" w:color="auto" w:fill="auto"/>
            <w:vAlign w:val="center"/>
          </w:tcPr>
          <w:p w14:paraId="07025A9C" w14:textId="77777777" w:rsidR="007B690E" w:rsidRPr="007B690E" w:rsidRDefault="007B690E" w:rsidP="007B690E">
            <w:pPr>
              <w:widowControl w:val="0"/>
              <w:spacing w:after="0" w:line="240" w:lineRule="auto"/>
              <w:jc w:val="both"/>
              <w:rPr>
                <w:rFonts w:ascii="Arial" w:eastAsia="Calibri" w:hAnsi="Arial" w:cs="Arial"/>
                <w:bCs/>
                <w:sz w:val="16"/>
                <w:szCs w:val="16"/>
              </w:rPr>
            </w:pPr>
            <w:r w:rsidRPr="007B690E">
              <w:rPr>
                <w:rFonts w:ascii="Arial" w:eastAsia="Calibri" w:hAnsi="Arial" w:cs="Arial"/>
                <w:bCs/>
                <w:sz w:val="16"/>
                <w:szCs w:val="16"/>
              </w:rPr>
              <w:t>Verificar se houve a retenção das contribuições previdenciárias dos servidores e o seu respectivo repasse tempestivo ao regime de previdência.</w:t>
            </w:r>
          </w:p>
        </w:tc>
        <w:tc>
          <w:tcPr>
            <w:tcW w:w="1275" w:type="dxa"/>
            <w:shd w:val="clear" w:color="auto" w:fill="auto"/>
            <w:vAlign w:val="center"/>
          </w:tcPr>
          <w:p w14:paraId="005AC76D" w14:textId="77777777" w:rsidR="007B690E" w:rsidRPr="007B690E" w:rsidRDefault="007B690E" w:rsidP="007B690E">
            <w:pPr>
              <w:widowControl w:val="0"/>
              <w:spacing w:after="0" w:line="240" w:lineRule="auto"/>
              <w:jc w:val="center"/>
              <w:rPr>
                <w:rFonts w:ascii="Arial" w:eastAsia="Calibri" w:hAnsi="Arial" w:cs="Arial"/>
                <w:bCs/>
                <w:sz w:val="16"/>
                <w:szCs w:val="16"/>
              </w:rPr>
            </w:pPr>
            <w:r w:rsidRPr="007B690E">
              <w:rPr>
                <w:rFonts w:ascii="Arial" w:eastAsia="Calibri" w:hAnsi="Arial" w:cs="Arial"/>
                <w:bCs/>
                <w:sz w:val="16"/>
                <w:szCs w:val="16"/>
              </w:rPr>
              <w:t xml:space="preserve">Contas de Gestão </w:t>
            </w:r>
            <w:r w:rsidRPr="007B690E">
              <w:rPr>
                <w:rFonts w:ascii="Arial" w:eastAsia="Calibri" w:hAnsi="Arial" w:cs="Arial"/>
                <w:color w:val="000000"/>
                <w:sz w:val="16"/>
                <w:szCs w:val="16"/>
              </w:rPr>
              <w:t>(Todas as UG's)</w:t>
            </w:r>
          </w:p>
        </w:tc>
      </w:tr>
      <w:tr w:rsidR="007B690E" w:rsidRPr="007B690E" w14:paraId="1806346A" w14:textId="77777777" w:rsidTr="007B690E">
        <w:trPr>
          <w:trHeight w:val="1696"/>
        </w:trPr>
        <w:tc>
          <w:tcPr>
            <w:tcW w:w="851" w:type="dxa"/>
            <w:vAlign w:val="center"/>
          </w:tcPr>
          <w:p w14:paraId="086B36DB"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1.2.5</w:t>
            </w:r>
          </w:p>
        </w:tc>
        <w:tc>
          <w:tcPr>
            <w:tcW w:w="1417" w:type="dxa"/>
            <w:shd w:val="clear" w:color="auto" w:fill="auto"/>
            <w:vAlign w:val="center"/>
          </w:tcPr>
          <w:p w14:paraId="14242C2E"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Parcelamento de débitos previdenciários</w:t>
            </w:r>
          </w:p>
        </w:tc>
        <w:tc>
          <w:tcPr>
            <w:tcW w:w="1418" w:type="dxa"/>
            <w:shd w:val="clear" w:color="auto" w:fill="auto"/>
            <w:vAlign w:val="center"/>
          </w:tcPr>
          <w:p w14:paraId="4ABF922A" w14:textId="77777777" w:rsidR="007B690E" w:rsidRPr="007B690E" w:rsidRDefault="007B690E" w:rsidP="005C719B">
            <w:pPr>
              <w:widowControl w:val="0"/>
              <w:numPr>
                <w:ilvl w:val="0"/>
                <w:numId w:val="36"/>
              </w:numPr>
              <w:tabs>
                <w:tab w:val="left" w:pos="213"/>
              </w:tabs>
              <w:spacing w:after="0" w:line="240" w:lineRule="auto"/>
              <w:ind w:left="72" w:hanging="61"/>
              <w:contextualSpacing/>
              <w:rPr>
                <w:rFonts w:ascii="Arial" w:eastAsia="Calibri" w:hAnsi="Arial" w:cs="Arial"/>
                <w:bCs/>
                <w:sz w:val="16"/>
                <w:szCs w:val="16"/>
                <w:lang w:val="en-US"/>
              </w:rPr>
            </w:pPr>
            <w:r w:rsidRPr="007B690E">
              <w:rPr>
                <w:rFonts w:ascii="Arial" w:eastAsia="Calibri" w:hAnsi="Arial" w:cs="Arial"/>
                <w:bCs/>
                <w:sz w:val="16"/>
                <w:szCs w:val="16"/>
                <w:lang w:val="en-US"/>
              </w:rPr>
              <w:t>CF/88, art. 40.</w:t>
            </w:r>
          </w:p>
          <w:p w14:paraId="32572A9A" w14:textId="77777777" w:rsidR="007B690E" w:rsidRPr="007B690E" w:rsidRDefault="007B690E" w:rsidP="005C719B">
            <w:pPr>
              <w:widowControl w:val="0"/>
              <w:numPr>
                <w:ilvl w:val="0"/>
                <w:numId w:val="36"/>
              </w:numPr>
              <w:tabs>
                <w:tab w:val="left" w:pos="213"/>
              </w:tabs>
              <w:spacing w:after="0" w:line="240" w:lineRule="auto"/>
              <w:ind w:left="72" w:hanging="61"/>
              <w:contextualSpacing/>
              <w:rPr>
                <w:rFonts w:ascii="Arial" w:eastAsia="Calibri" w:hAnsi="Arial" w:cs="Arial"/>
                <w:bCs/>
                <w:sz w:val="16"/>
                <w:szCs w:val="16"/>
                <w:lang w:val="en-US"/>
              </w:rPr>
            </w:pPr>
            <w:r w:rsidRPr="007B690E">
              <w:rPr>
                <w:rFonts w:ascii="Arial" w:eastAsia="Calibri" w:hAnsi="Arial" w:cs="Arial"/>
                <w:bCs/>
                <w:sz w:val="16"/>
                <w:szCs w:val="16"/>
                <w:lang w:val="en-US"/>
              </w:rPr>
              <w:t>LRF, art. 69.</w:t>
            </w:r>
          </w:p>
          <w:p w14:paraId="550A2B83" w14:textId="77777777" w:rsidR="007B690E" w:rsidRPr="007B690E" w:rsidRDefault="007B690E" w:rsidP="005C719B">
            <w:pPr>
              <w:widowControl w:val="0"/>
              <w:numPr>
                <w:ilvl w:val="0"/>
                <w:numId w:val="36"/>
              </w:numPr>
              <w:tabs>
                <w:tab w:val="left" w:pos="213"/>
              </w:tabs>
              <w:spacing w:after="0" w:line="240" w:lineRule="auto"/>
              <w:ind w:left="72" w:hanging="61"/>
              <w:contextualSpacing/>
              <w:jc w:val="both"/>
              <w:rPr>
                <w:rFonts w:ascii="Arial" w:eastAsia="Calibri" w:hAnsi="Arial" w:cs="Arial"/>
                <w:bCs/>
                <w:sz w:val="16"/>
                <w:szCs w:val="16"/>
                <w:lang w:val="en-US"/>
              </w:rPr>
            </w:pPr>
            <w:r w:rsidRPr="007B690E">
              <w:rPr>
                <w:rFonts w:ascii="Arial" w:eastAsia="Calibri" w:hAnsi="Arial" w:cs="Arial"/>
                <w:bCs/>
                <w:sz w:val="16"/>
                <w:szCs w:val="16"/>
                <w:lang w:val="en-US"/>
              </w:rPr>
              <w:t>Lei 9717/1998 art. 1º.</w:t>
            </w:r>
          </w:p>
          <w:p w14:paraId="02342B11" w14:textId="77777777" w:rsidR="007B690E" w:rsidRPr="007B690E" w:rsidRDefault="007B690E" w:rsidP="005C719B">
            <w:pPr>
              <w:widowControl w:val="0"/>
              <w:numPr>
                <w:ilvl w:val="0"/>
                <w:numId w:val="36"/>
              </w:numPr>
              <w:tabs>
                <w:tab w:val="left" w:pos="213"/>
              </w:tabs>
              <w:spacing w:after="0" w:line="240" w:lineRule="auto"/>
              <w:ind w:left="72" w:hanging="61"/>
              <w:contextualSpacing/>
              <w:jc w:val="both"/>
              <w:rPr>
                <w:rFonts w:ascii="Arial" w:eastAsia="Calibri" w:hAnsi="Arial" w:cs="Arial"/>
                <w:color w:val="000000"/>
                <w:sz w:val="16"/>
                <w:szCs w:val="16"/>
              </w:rPr>
            </w:pPr>
            <w:r w:rsidRPr="007B690E">
              <w:rPr>
                <w:rFonts w:ascii="Arial" w:eastAsia="Calibri" w:hAnsi="Arial" w:cs="Arial"/>
                <w:bCs/>
                <w:sz w:val="16"/>
                <w:szCs w:val="16"/>
                <w:lang w:val="en-US"/>
              </w:rPr>
              <w:t>Lei 8.212/1991</w:t>
            </w:r>
          </w:p>
          <w:p w14:paraId="2664E2ED" w14:textId="77777777" w:rsidR="007B690E" w:rsidRPr="007B690E" w:rsidRDefault="007B690E" w:rsidP="005C719B">
            <w:pPr>
              <w:widowControl w:val="0"/>
              <w:numPr>
                <w:ilvl w:val="0"/>
                <w:numId w:val="36"/>
              </w:numPr>
              <w:tabs>
                <w:tab w:val="left" w:pos="213"/>
              </w:tabs>
              <w:spacing w:after="0" w:line="240" w:lineRule="auto"/>
              <w:ind w:left="72" w:hanging="61"/>
              <w:contextualSpacing/>
              <w:jc w:val="both"/>
              <w:rPr>
                <w:rFonts w:ascii="Arial" w:eastAsia="Calibri" w:hAnsi="Arial" w:cs="Arial"/>
                <w:color w:val="000000"/>
                <w:sz w:val="16"/>
                <w:szCs w:val="16"/>
              </w:rPr>
            </w:pPr>
            <w:r w:rsidRPr="007B690E">
              <w:rPr>
                <w:rFonts w:ascii="Arial" w:eastAsia="Calibri" w:hAnsi="Arial" w:cs="Arial"/>
                <w:bCs/>
                <w:sz w:val="16"/>
                <w:szCs w:val="16"/>
                <w:lang w:val="en-US"/>
              </w:rPr>
              <w:t>Lei Local</w:t>
            </w:r>
          </w:p>
          <w:p w14:paraId="076256F9" w14:textId="77777777" w:rsidR="007B690E" w:rsidRPr="007B690E" w:rsidRDefault="007B690E" w:rsidP="005C719B">
            <w:pPr>
              <w:widowControl w:val="0"/>
              <w:numPr>
                <w:ilvl w:val="0"/>
                <w:numId w:val="36"/>
              </w:numPr>
              <w:tabs>
                <w:tab w:val="left" w:pos="213"/>
              </w:tabs>
              <w:spacing w:after="0" w:line="240" w:lineRule="auto"/>
              <w:ind w:left="72" w:hanging="61"/>
              <w:contextualSpacing/>
              <w:jc w:val="both"/>
              <w:rPr>
                <w:rFonts w:ascii="Arial" w:eastAsia="Calibri" w:hAnsi="Arial" w:cs="Arial"/>
                <w:color w:val="000000"/>
                <w:sz w:val="16"/>
                <w:szCs w:val="16"/>
              </w:rPr>
            </w:pPr>
            <w:r w:rsidRPr="007B690E">
              <w:rPr>
                <w:rFonts w:ascii="Arial" w:eastAsia="Calibri" w:hAnsi="Arial" w:cs="Arial"/>
                <w:bCs/>
                <w:sz w:val="16"/>
                <w:szCs w:val="16"/>
                <w:lang w:val="en-US"/>
              </w:rPr>
              <w:t>Regime de competência</w:t>
            </w:r>
          </w:p>
        </w:tc>
        <w:tc>
          <w:tcPr>
            <w:tcW w:w="1417" w:type="dxa"/>
            <w:vAlign w:val="center"/>
          </w:tcPr>
          <w:p w14:paraId="62AF53C4"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Auditoria Governamental de conformidade</w:t>
            </w:r>
          </w:p>
        </w:tc>
        <w:tc>
          <w:tcPr>
            <w:tcW w:w="2694" w:type="dxa"/>
            <w:shd w:val="clear" w:color="auto" w:fill="auto"/>
            <w:vAlign w:val="center"/>
          </w:tcPr>
          <w:p w14:paraId="7B2D60B7"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Verificar se os parcelamentos de débitos previdenciários:</w:t>
            </w:r>
          </w:p>
          <w:p w14:paraId="16E43682"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a) estão sendo registrados como passivo da entidade;</w:t>
            </w:r>
          </w:p>
          <w:p w14:paraId="4C0BCD9A"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b) estão sendo registrados como ativo a receber no RPPS;</w:t>
            </w:r>
          </w:p>
          <w:p w14:paraId="7BDB6582"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c) se seu saldo total está sendo corrigido mensalmente, por índice oficial e registrado como passivo no ente devedor e como ativo no RPPS;</w:t>
            </w:r>
          </w:p>
          <w:p w14:paraId="2AD220E4"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d) se estão sendo registrados mensalmente os juros incidentes sobre o saldo devedor no ente devedor e como ativo no RPPS;</w:t>
            </w:r>
          </w:p>
          <w:p w14:paraId="5A449D9F"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e) se as parcelas estão sendo pagas tempestivamente.</w:t>
            </w:r>
          </w:p>
        </w:tc>
        <w:tc>
          <w:tcPr>
            <w:tcW w:w="1275" w:type="dxa"/>
            <w:shd w:val="clear" w:color="auto" w:fill="auto"/>
            <w:vAlign w:val="center"/>
          </w:tcPr>
          <w:p w14:paraId="155FD1F4"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bCs/>
                <w:sz w:val="16"/>
                <w:szCs w:val="16"/>
              </w:rPr>
              <w:t xml:space="preserve">Contas de Gestão </w:t>
            </w:r>
            <w:r w:rsidRPr="007B690E">
              <w:rPr>
                <w:rFonts w:ascii="Arial" w:eastAsia="Calibri" w:hAnsi="Arial" w:cs="Arial"/>
                <w:color w:val="000000"/>
                <w:sz w:val="16"/>
                <w:szCs w:val="16"/>
              </w:rPr>
              <w:t>(Todas as UG's)</w:t>
            </w:r>
          </w:p>
        </w:tc>
      </w:tr>
      <w:tr w:rsidR="007B690E" w:rsidRPr="007B690E" w14:paraId="70731648" w14:textId="77777777" w:rsidTr="007B690E">
        <w:trPr>
          <w:trHeight w:val="1696"/>
        </w:trPr>
        <w:tc>
          <w:tcPr>
            <w:tcW w:w="851" w:type="dxa"/>
            <w:vAlign w:val="center"/>
          </w:tcPr>
          <w:p w14:paraId="411597E1"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1.2.6</w:t>
            </w:r>
          </w:p>
        </w:tc>
        <w:tc>
          <w:tcPr>
            <w:tcW w:w="1417" w:type="dxa"/>
            <w:shd w:val="clear" w:color="auto" w:fill="auto"/>
            <w:vAlign w:val="center"/>
          </w:tcPr>
          <w:p w14:paraId="7470769D"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 xml:space="preserve">Registro por competência -  Receitas de Contribuições </w:t>
            </w:r>
          </w:p>
        </w:tc>
        <w:tc>
          <w:tcPr>
            <w:tcW w:w="1418" w:type="dxa"/>
            <w:shd w:val="clear" w:color="auto" w:fill="auto"/>
            <w:vAlign w:val="center"/>
          </w:tcPr>
          <w:p w14:paraId="19836A1C" w14:textId="77777777" w:rsidR="007B690E" w:rsidRPr="007B690E" w:rsidRDefault="007B690E" w:rsidP="005C719B">
            <w:pPr>
              <w:widowControl w:val="0"/>
              <w:numPr>
                <w:ilvl w:val="0"/>
                <w:numId w:val="36"/>
              </w:numPr>
              <w:tabs>
                <w:tab w:val="left" w:pos="213"/>
              </w:tabs>
              <w:spacing w:after="0" w:line="240" w:lineRule="auto"/>
              <w:ind w:left="72" w:hanging="61"/>
              <w:contextualSpacing/>
              <w:rPr>
                <w:rFonts w:ascii="Arial" w:eastAsia="Calibri" w:hAnsi="Arial" w:cs="Arial"/>
                <w:bCs/>
                <w:sz w:val="16"/>
                <w:szCs w:val="16"/>
                <w:lang w:val="en-US"/>
              </w:rPr>
            </w:pPr>
            <w:r w:rsidRPr="007B690E">
              <w:rPr>
                <w:rFonts w:ascii="Arial" w:eastAsia="Calibri" w:hAnsi="Arial" w:cs="Arial"/>
                <w:bCs/>
                <w:sz w:val="16"/>
                <w:szCs w:val="16"/>
                <w:lang w:val="en-US"/>
              </w:rPr>
              <w:t>CF/88, art. 40.</w:t>
            </w:r>
          </w:p>
          <w:p w14:paraId="618A7E6D" w14:textId="77777777" w:rsidR="007B690E" w:rsidRPr="007B690E" w:rsidRDefault="007B690E" w:rsidP="005C719B">
            <w:pPr>
              <w:widowControl w:val="0"/>
              <w:numPr>
                <w:ilvl w:val="0"/>
                <w:numId w:val="36"/>
              </w:numPr>
              <w:tabs>
                <w:tab w:val="left" w:pos="213"/>
              </w:tabs>
              <w:spacing w:after="0" w:line="240" w:lineRule="auto"/>
              <w:ind w:left="72" w:hanging="61"/>
              <w:contextualSpacing/>
              <w:rPr>
                <w:rFonts w:ascii="Arial" w:eastAsia="Calibri" w:hAnsi="Arial" w:cs="Arial"/>
                <w:bCs/>
                <w:sz w:val="16"/>
                <w:szCs w:val="16"/>
                <w:lang w:val="en-US"/>
              </w:rPr>
            </w:pPr>
            <w:r w:rsidRPr="007B690E">
              <w:rPr>
                <w:rFonts w:ascii="Arial" w:eastAsia="Calibri" w:hAnsi="Arial" w:cs="Arial"/>
                <w:bCs/>
                <w:sz w:val="16"/>
                <w:szCs w:val="16"/>
                <w:lang w:val="en-US"/>
              </w:rPr>
              <w:t>LRF, art. 69.</w:t>
            </w:r>
          </w:p>
          <w:p w14:paraId="1920F5AA" w14:textId="77777777" w:rsidR="007B690E" w:rsidRPr="007B690E" w:rsidRDefault="007B690E" w:rsidP="005C719B">
            <w:pPr>
              <w:widowControl w:val="0"/>
              <w:numPr>
                <w:ilvl w:val="0"/>
                <w:numId w:val="36"/>
              </w:numPr>
              <w:tabs>
                <w:tab w:val="left" w:pos="213"/>
              </w:tabs>
              <w:spacing w:after="0" w:line="240" w:lineRule="auto"/>
              <w:ind w:left="72" w:hanging="61"/>
              <w:contextualSpacing/>
              <w:rPr>
                <w:rFonts w:ascii="Arial" w:eastAsia="Calibri" w:hAnsi="Arial" w:cs="Arial"/>
                <w:bCs/>
                <w:sz w:val="16"/>
                <w:szCs w:val="16"/>
                <w:lang w:val="en-US"/>
              </w:rPr>
            </w:pPr>
            <w:r w:rsidRPr="007B690E">
              <w:rPr>
                <w:rFonts w:ascii="Arial" w:eastAsia="Calibri" w:hAnsi="Arial" w:cs="Arial"/>
                <w:bCs/>
                <w:sz w:val="16"/>
                <w:szCs w:val="16"/>
                <w:lang w:val="en-US"/>
              </w:rPr>
              <w:t>Lei 9717/1998 art. 1º.</w:t>
            </w:r>
          </w:p>
          <w:p w14:paraId="207D3AF9" w14:textId="77777777" w:rsidR="007B690E" w:rsidRPr="007B690E" w:rsidRDefault="007B690E" w:rsidP="005C719B">
            <w:pPr>
              <w:widowControl w:val="0"/>
              <w:numPr>
                <w:ilvl w:val="0"/>
                <w:numId w:val="36"/>
              </w:numPr>
              <w:tabs>
                <w:tab w:val="left" w:pos="213"/>
              </w:tabs>
              <w:spacing w:after="0" w:line="240" w:lineRule="auto"/>
              <w:ind w:left="72" w:hanging="61"/>
              <w:contextualSpacing/>
              <w:rPr>
                <w:rFonts w:ascii="Arial" w:eastAsia="Calibri" w:hAnsi="Arial" w:cs="Arial"/>
                <w:bCs/>
                <w:sz w:val="16"/>
                <w:szCs w:val="16"/>
                <w:lang w:val="en-US"/>
              </w:rPr>
            </w:pPr>
            <w:r w:rsidRPr="007B690E">
              <w:rPr>
                <w:rFonts w:ascii="Arial" w:eastAsia="Calibri" w:hAnsi="Arial" w:cs="Arial"/>
                <w:bCs/>
                <w:sz w:val="16"/>
                <w:szCs w:val="16"/>
                <w:lang w:val="en-US"/>
              </w:rPr>
              <w:t>Regime de Competência</w:t>
            </w:r>
          </w:p>
        </w:tc>
        <w:tc>
          <w:tcPr>
            <w:tcW w:w="1417" w:type="dxa"/>
            <w:vAlign w:val="center"/>
          </w:tcPr>
          <w:p w14:paraId="7F4C2F7B"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Auditoria Governamental de conformidade</w:t>
            </w:r>
          </w:p>
        </w:tc>
        <w:tc>
          <w:tcPr>
            <w:tcW w:w="2694" w:type="dxa"/>
            <w:shd w:val="clear" w:color="auto" w:fill="auto"/>
            <w:vAlign w:val="center"/>
          </w:tcPr>
          <w:p w14:paraId="28C67766"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Verificar se o RPPS está registrando por competência (Variação Patrimonial Aumentativa) as receitas de contribuições previdenciárias, parte patronal, parte do servidor, dos inativos e pensionistas e as decorrentes do plano de amortização.</w:t>
            </w:r>
          </w:p>
        </w:tc>
        <w:tc>
          <w:tcPr>
            <w:tcW w:w="1275" w:type="dxa"/>
            <w:shd w:val="clear" w:color="auto" w:fill="auto"/>
            <w:vAlign w:val="center"/>
          </w:tcPr>
          <w:p w14:paraId="60DF4551"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Gestão do RPPS</w:t>
            </w:r>
          </w:p>
        </w:tc>
      </w:tr>
      <w:tr w:rsidR="007B690E" w:rsidRPr="007B690E" w14:paraId="4191CA2F" w14:textId="77777777" w:rsidTr="007B690E">
        <w:trPr>
          <w:trHeight w:val="1696"/>
        </w:trPr>
        <w:tc>
          <w:tcPr>
            <w:tcW w:w="851" w:type="dxa"/>
            <w:vAlign w:val="center"/>
          </w:tcPr>
          <w:p w14:paraId="0A2AAA8A" w14:textId="77777777" w:rsidR="007B690E" w:rsidRPr="007B690E" w:rsidRDefault="007B690E" w:rsidP="007B690E">
            <w:pPr>
              <w:widowControl w:val="0"/>
              <w:spacing w:after="0" w:line="240" w:lineRule="auto"/>
              <w:jc w:val="center"/>
              <w:rPr>
                <w:rFonts w:ascii="Arial" w:eastAsia="Calibri" w:hAnsi="Arial" w:cs="Arial"/>
                <w:bCs/>
                <w:sz w:val="16"/>
                <w:szCs w:val="16"/>
              </w:rPr>
            </w:pPr>
            <w:r w:rsidRPr="007B690E">
              <w:rPr>
                <w:rFonts w:ascii="Arial" w:eastAsia="Calibri" w:hAnsi="Arial" w:cs="Arial"/>
                <w:bCs/>
                <w:sz w:val="16"/>
                <w:szCs w:val="16"/>
              </w:rPr>
              <w:t>1.2.7</w:t>
            </w:r>
          </w:p>
        </w:tc>
        <w:tc>
          <w:tcPr>
            <w:tcW w:w="1417" w:type="dxa"/>
            <w:shd w:val="clear" w:color="auto" w:fill="auto"/>
            <w:vAlign w:val="center"/>
          </w:tcPr>
          <w:p w14:paraId="21DD36A4" w14:textId="77777777" w:rsidR="007B690E" w:rsidRPr="007B690E" w:rsidRDefault="007B690E" w:rsidP="007B690E">
            <w:pPr>
              <w:widowControl w:val="0"/>
              <w:spacing w:after="0" w:line="240" w:lineRule="auto"/>
              <w:jc w:val="center"/>
              <w:rPr>
                <w:rFonts w:ascii="Arial" w:eastAsia="Calibri" w:hAnsi="Arial" w:cs="Arial"/>
                <w:bCs/>
                <w:sz w:val="16"/>
                <w:szCs w:val="16"/>
              </w:rPr>
            </w:pPr>
            <w:r w:rsidRPr="007B690E">
              <w:rPr>
                <w:rFonts w:ascii="Arial" w:eastAsia="Calibri" w:hAnsi="Arial" w:cs="Arial"/>
                <w:bCs/>
                <w:sz w:val="16"/>
                <w:szCs w:val="16"/>
              </w:rPr>
              <w:t>Registro por competência – multas e juros por atraso no pagamento</w:t>
            </w:r>
          </w:p>
        </w:tc>
        <w:tc>
          <w:tcPr>
            <w:tcW w:w="1418" w:type="dxa"/>
            <w:shd w:val="clear" w:color="auto" w:fill="auto"/>
            <w:vAlign w:val="center"/>
          </w:tcPr>
          <w:p w14:paraId="3E86087F" w14:textId="77777777" w:rsidR="007B690E" w:rsidRPr="007B690E" w:rsidRDefault="007B690E" w:rsidP="005C719B">
            <w:pPr>
              <w:widowControl w:val="0"/>
              <w:numPr>
                <w:ilvl w:val="0"/>
                <w:numId w:val="36"/>
              </w:numPr>
              <w:tabs>
                <w:tab w:val="left" w:pos="213"/>
              </w:tabs>
              <w:spacing w:after="0" w:line="240" w:lineRule="auto"/>
              <w:ind w:left="72" w:hanging="61"/>
              <w:contextualSpacing/>
              <w:rPr>
                <w:rFonts w:ascii="Arial" w:eastAsia="Calibri" w:hAnsi="Arial" w:cs="Arial"/>
                <w:bCs/>
                <w:sz w:val="16"/>
                <w:szCs w:val="16"/>
                <w:lang w:val="en-US"/>
              </w:rPr>
            </w:pPr>
            <w:r w:rsidRPr="007B690E">
              <w:rPr>
                <w:rFonts w:ascii="Arial" w:eastAsia="Calibri" w:hAnsi="Arial" w:cs="Arial"/>
                <w:bCs/>
                <w:sz w:val="16"/>
                <w:szCs w:val="16"/>
                <w:lang w:val="en-US"/>
              </w:rPr>
              <w:t>CF/88, art. 40.</w:t>
            </w:r>
          </w:p>
          <w:p w14:paraId="3700BE96" w14:textId="77777777" w:rsidR="007B690E" w:rsidRPr="007B690E" w:rsidRDefault="007B690E" w:rsidP="005C719B">
            <w:pPr>
              <w:widowControl w:val="0"/>
              <w:numPr>
                <w:ilvl w:val="0"/>
                <w:numId w:val="36"/>
              </w:numPr>
              <w:tabs>
                <w:tab w:val="left" w:pos="213"/>
              </w:tabs>
              <w:spacing w:after="0" w:line="240" w:lineRule="auto"/>
              <w:ind w:left="72" w:hanging="61"/>
              <w:contextualSpacing/>
              <w:rPr>
                <w:rFonts w:ascii="Arial" w:eastAsia="Calibri" w:hAnsi="Arial" w:cs="Arial"/>
                <w:bCs/>
                <w:sz w:val="16"/>
                <w:szCs w:val="16"/>
                <w:lang w:val="en-US"/>
              </w:rPr>
            </w:pPr>
            <w:r w:rsidRPr="007B690E">
              <w:rPr>
                <w:rFonts w:ascii="Arial" w:eastAsia="Calibri" w:hAnsi="Arial" w:cs="Arial"/>
                <w:bCs/>
                <w:sz w:val="16"/>
                <w:szCs w:val="16"/>
                <w:lang w:val="en-US"/>
              </w:rPr>
              <w:t>LRF, art. 69.</w:t>
            </w:r>
          </w:p>
          <w:p w14:paraId="329C6127" w14:textId="77777777" w:rsidR="007B690E" w:rsidRPr="007B690E" w:rsidRDefault="007B690E" w:rsidP="005C719B">
            <w:pPr>
              <w:widowControl w:val="0"/>
              <w:numPr>
                <w:ilvl w:val="0"/>
                <w:numId w:val="36"/>
              </w:numPr>
              <w:tabs>
                <w:tab w:val="left" w:pos="213"/>
              </w:tabs>
              <w:spacing w:after="0" w:line="240" w:lineRule="auto"/>
              <w:ind w:left="72" w:hanging="61"/>
              <w:contextualSpacing/>
              <w:rPr>
                <w:rFonts w:ascii="Arial" w:eastAsia="Calibri" w:hAnsi="Arial" w:cs="Arial"/>
                <w:bCs/>
                <w:sz w:val="16"/>
                <w:szCs w:val="16"/>
                <w:lang w:val="en-US"/>
              </w:rPr>
            </w:pPr>
            <w:r w:rsidRPr="007B690E">
              <w:rPr>
                <w:rFonts w:ascii="Arial" w:eastAsia="Calibri" w:hAnsi="Arial" w:cs="Arial"/>
                <w:bCs/>
                <w:sz w:val="16"/>
                <w:szCs w:val="16"/>
                <w:lang w:val="en-US"/>
              </w:rPr>
              <w:t>Lei 9717/1998 art. 1º.</w:t>
            </w:r>
          </w:p>
          <w:p w14:paraId="3447D4C8" w14:textId="77777777" w:rsidR="007B690E" w:rsidRPr="007B690E" w:rsidRDefault="007B690E" w:rsidP="005C719B">
            <w:pPr>
              <w:widowControl w:val="0"/>
              <w:numPr>
                <w:ilvl w:val="0"/>
                <w:numId w:val="36"/>
              </w:numPr>
              <w:tabs>
                <w:tab w:val="left" w:pos="213"/>
              </w:tabs>
              <w:spacing w:after="0" w:line="240" w:lineRule="auto"/>
              <w:ind w:left="72" w:hanging="61"/>
              <w:contextualSpacing/>
              <w:rPr>
                <w:rFonts w:ascii="Arial" w:eastAsia="Calibri" w:hAnsi="Arial" w:cs="Arial"/>
                <w:bCs/>
                <w:sz w:val="16"/>
                <w:szCs w:val="16"/>
                <w:lang w:val="en-US"/>
              </w:rPr>
            </w:pPr>
            <w:r w:rsidRPr="007B690E">
              <w:rPr>
                <w:rFonts w:ascii="Arial" w:eastAsia="Calibri" w:hAnsi="Arial" w:cs="Arial"/>
                <w:bCs/>
                <w:sz w:val="16"/>
                <w:szCs w:val="16"/>
                <w:lang w:val="en-US"/>
              </w:rPr>
              <w:t>Regime de Competência</w:t>
            </w:r>
          </w:p>
        </w:tc>
        <w:tc>
          <w:tcPr>
            <w:tcW w:w="1417" w:type="dxa"/>
            <w:vAlign w:val="center"/>
          </w:tcPr>
          <w:p w14:paraId="42BADEAA"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Auditoria Governamental de conformidade</w:t>
            </w:r>
          </w:p>
        </w:tc>
        <w:tc>
          <w:tcPr>
            <w:tcW w:w="2694" w:type="dxa"/>
            <w:shd w:val="clear" w:color="auto" w:fill="auto"/>
            <w:vAlign w:val="center"/>
          </w:tcPr>
          <w:p w14:paraId="15FCE9B7" w14:textId="77777777" w:rsidR="007B690E" w:rsidRPr="007B690E" w:rsidRDefault="007B690E" w:rsidP="007B690E">
            <w:pPr>
              <w:widowControl w:val="0"/>
              <w:spacing w:after="0" w:line="240" w:lineRule="auto"/>
              <w:jc w:val="both"/>
              <w:rPr>
                <w:rFonts w:ascii="Arial" w:eastAsia="Calibri" w:hAnsi="Arial" w:cs="Arial"/>
                <w:bCs/>
                <w:sz w:val="16"/>
                <w:szCs w:val="16"/>
              </w:rPr>
            </w:pPr>
            <w:r w:rsidRPr="007B690E">
              <w:rPr>
                <w:rFonts w:ascii="Arial" w:eastAsia="Calibri" w:hAnsi="Arial" w:cs="Arial"/>
                <w:bCs/>
                <w:sz w:val="16"/>
                <w:szCs w:val="16"/>
              </w:rPr>
              <w:t xml:space="preserve">Verificar no RPPS se houve o registro por competência decorrente da receitas/VPA </w:t>
            </w:r>
            <w:r w:rsidRPr="007B690E">
              <w:rPr>
                <w:rFonts w:ascii="Arial" w:eastAsia="Calibri" w:hAnsi="Arial" w:cs="Arial"/>
                <w:color w:val="000000"/>
                <w:sz w:val="16"/>
                <w:szCs w:val="16"/>
              </w:rPr>
              <w:t>(Variação Patrimonial Aumentativa)</w:t>
            </w:r>
            <w:r w:rsidRPr="007B690E">
              <w:rPr>
                <w:rFonts w:ascii="Arial" w:eastAsia="Calibri" w:hAnsi="Arial" w:cs="Arial"/>
                <w:bCs/>
                <w:sz w:val="16"/>
                <w:szCs w:val="16"/>
              </w:rPr>
              <w:t xml:space="preserve"> com multas e juros decorrentes do atraso no pagamento das obrigações previdenciárias.</w:t>
            </w:r>
          </w:p>
        </w:tc>
        <w:tc>
          <w:tcPr>
            <w:tcW w:w="1275" w:type="dxa"/>
            <w:shd w:val="clear" w:color="auto" w:fill="auto"/>
            <w:vAlign w:val="center"/>
          </w:tcPr>
          <w:p w14:paraId="229ECFAC" w14:textId="77777777" w:rsidR="007B690E" w:rsidRPr="007B690E" w:rsidRDefault="007B690E" w:rsidP="007B690E">
            <w:pPr>
              <w:widowControl w:val="0"/>
              <w:spacing w:after="0" w:line="240" w:lineRule="auto"/>
              <w:jc w:val="center"/>
              <w:rPr>
                <w:rFonts w:ascii="Arial" w:eastAsia="Calibri" w:hAnsi="Arial" w:cs="Arial"/>
                <w:bCs/>
                <w:sz w:val="16"/>
                <w:szCs w:val="16"/>
              </w:rPr>
            </w:pPr>
            <w:r w:rsidRPr="007B690E">
              <w:rPr>
                <w:rFonts w:ascii="Arial" w:eastAsia="Calibri" w:hAnsi="Arial" w:cs="Arial"/>
                <w:color w:val="000000"/>
                <w:sz w:val="16"/>
                <w:szCs w:val="16"/>
              </w:rPr>
              <w:t>Contas de Gestão do RPPS</w:t>
            </w:r>
          </w:p>
        </w:tc>
      </w:tr>
      <w:tr w:rsidR="007B690E" w:rsidRPr="007B690E" w14:paraId="6A24B798" w14:textId="77777777" w:rsidTr="007B690E">
        <w:trPr>
          <w:trHeight w:val="1696"/>
        </w:trPr>
        <w:tc>
          <w:tcPr>
            <w:tcW w:w="851" w:type="dxa"/>
            <w:vAlign w:val="center"/>
          </w:tcPr>
          <w:p w14:paraId="1106389B" w14:textId="77777777" w:rsidR="007B690E" w:rsidRPr="007B690E" w:rsidRDefault="007B690E" w:rsidP="007B690E">
            <w:pPr>
              <w:widowControl w:val="0"/>
              <w:spacing w:after="0" w:line="240" w:lineRule="auto"/>
              <w:jc w:val="center"/>
              <w:rPr>
                <w:rFonts w:ascii="Arial" w:eastAsia="Calibri" w:hAnsi="Arial" w:cs="Arial"/>
                <w:sz w:val="16"/>
                <w:szCs w:val="16"/>
              </w:rPr>
            </w:pPr>
            <w:r w:rsidRPr="007B690E">
              <w:rPr>
                <w:rFonts w:ascii="Arial" w:eastAsia="Calibri" w:hAnsi="Arial" w:cs="Arial"/>
                <w:sz w:val="16"/>
                <w:szCs w:val="16"/>
              </w:rPr>
              <w:t>1.2.8</w:t>
            </w:r>
          </w:p>
        </w:tc>
        <w:tc>
          <w:tcPr>
            <w:tcW w:w="1417" w:type="dxa"/>
            <w:shd w:val="clear" w:color="auto" w:fill="auto"/>
            <w:vAlign w:val="center"/>
          </w:tcPr>
          <w:p w14:paraId="36B64962" w14:textId="77777777" w:rsidR="007B690E" w:rsidRPr="007B690E" w:rsidRDefault="007B690E" w:rsidP="007B690E">
            <w:pPr>
              <w:widowControl w:val="0"/>
              <w:spacing w:after="0" w:line="240" w:lineRule="auto"/>
              <w:jc w:val="center"/>
              <w:rPr>
                <w:rFonts w:ascii="Arial" w:eastAsia="Calibri" w:hAnsi="Arial" w:cs="Arial"/>
                <w:sz w:val="16"/>
                <w:szCs w:val="16"/>
              </w:rPr>
            </w:pPr>
            <w:r w:rsidRPr="007B690E">
              <w:rPr>
                <w:rFonts w:ascii="Arial" w:eastAsia="Calibri" w:hAnsi="Arial" w:cs="Arial"/>
                <w:sz w:val="16"/>
                <w:szCs w:val="16"/>
              </w:rPr>
              <w:t>Medidas de Cobrança- Créditos Previdenciários a Receber e Parcelamentos a Receber</w:t>
            </w:r>
          </w:p>
        </w:tc>
        <w:tc>
          <w:tcPr>
            <w:tcW w:w="1418" w:type="dxa"/>
            <w:shd w:val="clear" w:color="auto" w:fill="auto"/>
            <w:vAlign w:val="center"/>
          </w:tcPr>
          <w:p w14:paraId="0A29FB7D" w14:textId="77777777" w:rsidR="007B690E" w:rsidRPr="007B690E" w:rsidRDefault="007B690E" w:rsidP="007B690E">
            <w:pPr>
              <w:tabs>
                <w:tab w:val="left" w:pos="213"/>
              </w:tabs>
              <w:spacing w:after="0" w:line="240" w:lineRule="auto"/>
              <w:ind w:left="11"/>
              <w:jc w:val="center"/>
              <w:rPr>
                <w:rFonts w:ascii="Arial" w:eastAsia="Calibri" w:hAnsi="Arial" w:cs="Arial"/>
                <w:bCs/>
                <w:sz w:val="16"/>
                <w:szCs w:val="16"/>
              </w:rPr>
            </w:pPr>
            <w:r w:rsidRPr="007B690E">
              <w:rPr>
                <w:rFonts w:ascii="Arial" w:eastAsia="Calibri" w:hAnsi="Arial" w:cs="Arial"/>
                <w:bCs/>
                <w:sz w:val="16"/>
                <w:szCs w:val="16"/>
              </w:rPr>
              <w:t>LRF</w:t>
            </w:r>
          </w:p>
        </w:tc>
        <w:tc>
          <w:tcPr>
            <w:tcW w:w="1417" w:type="dxa"/>
            <w:vAlign w:val="center"/>
          </w:tcPr>
          <w:p w14:paraId="07A19772"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Conformidade (Verificação documental)</w:t>
            </w:r>
          </w:p>
        </w:tc>
        <w:tc>
          <w:tcPr>
            <w:tcW w:w="2694" w:type="dxa"/>
            <w:shd w:val="clear" w:color="auto" w:fill="auto"/>
            <w:vAlign w:val="center"/>
          </w:tcPr>
          <w:p w14:paraId="5D3BAA42" w14:textId="77777777" w:rsidR="007B690E" w:rsidRPr="007B690E" w:rsidRDefault="007B690E" w:rsidP="007B690E">
            <w:pPr>
              <w:widowControl w:val="0"/>
              <w:spacing w:after="0" w:line="240" w:lineRule="auto"/>
              <w:jc w:val="both"/>
              <w:rPr>
                <w:rFonts w:ascii="Arial" w:eastAsia="Calibri" w:hAnsi="Arial" w:cs="Arial"/>
                <w:sz w:val="16"/>
                <w:szCs w:val="16"/>
              </w:rPr>
            </w:pPr>
            <w:r w:rsidRPr="007B690E">
              <w:rPr>
                <w:rFonts w:ascii="Arial" w:eastAsia="Calibri" w:hAnsi="Arial" w:cs="Arial"/>
                <w:bCs/>
                <w:sz w:val="16"/>
                <w:szCs w:val="16"/>
              </w:rPr>
              <w:t>Avaliar se as obrigações previdenciárias não recolhidas pelas unidades gestoras, foram objeto de  medidas de cobrança para a exigência das obrigações não adimplidas pelo gestor do RPPS e pelo Controle Interno.</w:t>
            </w:r>
          </w:p>
        </w:tc>
        <w:tc>
          <w:tcPr>
            <w:tcW w:w="1275" w:type="dxa"/>
            <w:shd w:val="clear" w:color="auto" w:fill="auto"/>
            <w:vAlign w:val="center"/>
          </w:tcPr>
          <w:p w14:paraId="54FF8882"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 xml:space="preserve">Contas de Gestão (Todas as UG´s) </w:t>
            </w:r>
          </w:p>
        </w:tc>
      </w:tr>
      <w:tr w:rsidR="007B690E" w:rsidRPr="007B690E" w14:paraId="516ABF79" w14:textId="77777777" w:rsidTr="007B690E">
        <w:trPr>
          <w:trHeight w:val="1696"/>
        </w:trPr>
        <w:tc>
          <w:tcPr>
            <w:tcW w:w="851" w:type="dxa"/>
            <w:vAlign w:val="center"/>
          </w:tcPr>
          <w:p w14:paraId="1DA4304A" w14:textId="77777777" w:rsidR="007B690E" w:rsidRPr="007B690E" w:rsidRDefault="007B690E" w:rsidP="007B690E">
            <w:pPr>
              <w:widowControl w:val="0"/>
              <w:spacing w:after="0" w:line="240" w:lineRule="auto"/>
              <w:jc w:val="center"/>
              <w:rPr>
                <w:rFonts w:ascii="Arial" w:eastAsia="Calibri" w:hAnsi="Arial" w:cs="Arial"/>
                <w:sz w:val="16"/>
                <w:szCs w:val="16"/>
              </w:rPr>
            </w:pPr>
            <w:r w:rsidRPr="007B690E">
              <w:rPr>
                <w:rFonts w:ascii="Arial" w:eastAsia="Calibri" w:hAnsi="Arial" w:cs="Arial"/>
                <w:sz w:val="16"/>
                <w:szCs w:val="16"/>
              </w:rPr>
              <w:t>1.2.9</w:t>
            </w:r>
          </w:p>
        </w:tc>
        <w:tc>
          <w:tcPr>
            <w:tcW w:w="1417" w:type="dxa"/>
            <w:shd w:val="clear" w:color="auto" w:fill="auto"/>
            <w:vAlign w:val="center"/>
          </w:tcPr>
          <w:p w14:paraId="3EDD5A34" w14:textId="77777777" w:rsidR="007B690E" w:rsidRPr="007B690E" w:rsidRDefault="007B690E" w:rsidP="007B690E">
            <w:pPr>
              <w:widowControl w:val="0"/>
              <w:spacing w:after="0" w:line="240" w:lineRule="auto"/>
              <w:jc w:val="center"/>
              <w:rPr>
                <w:rFonts w:ascii="Arial" w:eastAsia="Calibri" w:hAnsi="Arial" w:cs="Arial"/>
                <w:sz w:val="16"/>
                <w:szCs w:val="16"/>
                <w:lang w:val="en-US"/>
              </w:rPr>
            </w:pPr>
            <w:r w:rsidRPr="007B690E">
              <w:rPr>
                <w:rFonts w:ascii="Arial" w:eastAsia="Calibri" w:hAnsi="Arial" w:cs="Arial"/>
                <w:sz w:val="16"/>
                <w:szCs w:val="16"/>
                <w:lang w:val="en-US"/>
              </w:rPr>
              <w:t>Despesa Administrativa</w:t>
            </w:r>
          </w:p>
        </w:tc>
        <w:tc>
          <w:tcPr>
            <w:tcW w:w="1418" w:type="dxa"/>
            <w:shd w:val="clear" w:color="auto" w:fill="auto"/>
            <w:vAlign w:val="center"/>
          </w:tcPr>
          <w:p w14:paraId="4CDA5621" w14:textId="77777777" w:rsidR="007B690E" w:rsidRPr="007B690E" w:rsidRDefault="007B690E" w:rsidP="005C719B">
            <w:pPr>
              <w:widowControl w:val="0"/>
              <w:numPr>
                <w:ilvl w:val="0"/>
                <w:numId w:val="36"/>
              </w:numPr>
              <w:tabs>
                <w:tab w:val="left" w:pos="213"/>
              </w:tabs>
              <w:spacing w:after="0" w:line="240" w:lineRule="auto"/>
              <w:ind w:left="72" w:hanging="61"/>
              <w:rPr>
                <w:rFonts w:ascii="Arial" w:eastAsia="Calibri" w:hAnsi="Arial" w:cs="Arial"/>
                <w:bCs/>
                <w:sz w:val="16"/>
                <w:szCs w:val="16"/>
              </w:rPr>
            </w:pPr>
            <w:r w:rsidRPr="007B690E">
              <w:rPr>
                <w:rFonts w:ascii="Arial" w:eastAsia="Calibri" w:hAnsi="Arial" w:cs="Arial"/>
                <w:bCs/>
                <w:sz w:val="16"/>
                <w:szCs w:val="16"/>
              </w:rPr>
              <w:t>Lei 9717/98, art. 6, VIII;</w:t>
            </w:r>
          </w:p>
          <w:p w14:paraId="6F2716A3" w14:textId="77777777" w:rsidR="007B690E" w:rsidRPr="007B690E" w:rsidRDefault="007B690E" w:rsidP="005C719B">
            <w:pPr>
              <w:widowControl w:val="0"/>
              <w:numPr>
                <w:ilvl w:val="0"/>
                <w:numId w:val="36"/>
              </w:numPr>
              <w:tabs>
                <w:tab w:val="left" w:pos="213"/>
              </w:tabs>
              <w:spacing w:after="0" w:line="240" w:lineRule="auto"/>
              <w:ind w:left="72" w:hanging="61"/>
              <w:rPr>
                <w:rFonts w:ascii="Arial" w:eastAsia="Calibri" w:hAnsi="Arial" w:cs="Arial"/>
                <w:bCs/>
                <w:sz w:val="16"/>
                <w:szCs w:val="16"/>
              </w:rPr>
            </w:pPr>
            <w:r w:rsidRPr="007B690E">
              <w:rPr>
                <w:rFonts w:ascii="Arial" w:eastAsia="Calibri" w:hAnsi="Arial" w:cs="Arial"/>
                <w:bCs/>
                <w:sz w:val="16"/>
                <w:szCs w:val="16"/>
              </w:rPr>
              <w:t>Portaria 403/2008, art. 15.</w:t>
            </w:r>
          </w:p>
          <w:p w14:paraId="499C6593" w14:textId="77777777" w:rsidR="007B690E" w:rsidRPr="007B690E" w:rsidRDefault="007B690E" w:rsidP="005C719B">
            <w:pPr>
              <w:widowControl w:val="0"/>
              <w:numPr>
                <w:ilvl w:val="0"/>
                <w:numId w:val="36"/>
              </w:numPr>
              <w:tabs>
                <w:tab w:val="left" w:pos="213"/>
              </w:tabs>
              <w:spacing w:after="0" w:line="240" w:lineRule="auto"/>
              <w:ind w:left="72" w:hanging="61"/>
              <w:rPr>
                <w:rFonts w:ascii="Arial" w:eastAsia="Calibri" w:hAnsi="Arial" w:cs="Arial"/>
                <w:bCs/>
                <w:sz w:val="16"/>
                <w:szCs w:val="16"/>
              </w:rPr>
            </w:pPr>
            <w:r w:rsidRPr="007B690E">
              <w:rPr>
                <w:rFonts w:ascii="Arial" w:eastAsia="Calibri" w:hAnsi="Arial" w:cs="Arial"/>
                <w:bCs/>
                <w:sz w:val="16"/>
                <w:szCs w:val="16"/>
              </w:rPr>
              <w:t>Lei Local.</w:t>
            </w:r>
          </w:p>
        </w:tc>
        <w:tc>
          <w:tcPr>
            <w:tcW w:w="1417" w:type="dxa"/>
            <w:vAlign w:val="center"/>
          </w:tcPr>
          <w:p w14:paraId="0FF183B5" w14:textId="77777777" w:rsidR="007B690E" w:rsidRPr="007B690E" w:rsidRDefault="007B690E" w:rsidP="007B690E">
            <w:pPr>
              <w:widowControl w:val="0"/>
              <w:spacing w:after="0" w:line="240" w:lineRule="auto"/>
              <w:jc w:val="center"/>
              <w:rPr>
                <w:rFonts w:ascii="Arial" w:eastAsia="Calibri" w:hAnsi="Arial" w:cs="Arial"/>
                <w:sz w:val="16"/>
                <w:szCs w:val="16"/>
              </w:rPr>
            </w:pPr>
            <w:r w:rsidRPr="007B690E">
              <w:rPr>
                <w:rFonts w:ascii="Arial" w:eastAsia="Calibri" w:hAnsi="Arial" w:cs="Arial"/>
                <w:color w:val="000000"/>
                <w:sz w:val="16"/>
                <w:szCs w:val="16"/>
              </w:rPr>
              <w:t>Auditoria Governamental de conformidade</w:t>
            </w:r>
          </w:p>
        </w:tc>
        <w:tc>
          <w:tcPr>
            <w:tcW w:w="2694" w:type="dxa"/>
            <w:shd w:val="clear" w:color="auto" w:fill="auto"/>
            <w:vAlign w:val="center"/>
          </w:tcPr>
          <w:p w14:paraId="3F567F49" w14:textId="77777777" w:rsidR="007B690E" w:rsidRPr="007B690E" w:rsidRDefault="007B690E" w:rsidP="007B690E">
            <w:pPr>
              <w:widowControl w:val="0"/>
              <w:spacing w:after="0" w:line="240" w:lineRule="auto"/>
              <w:jc w:val="both"/>
              <w:rPr>
                <w:rFonts w:ascii="Arial" w:eastAsia="Calibri" w:hAnsi="Arial" w:cs="Arial"/>
                <w:sz w:val="16"/>
                <w:szCs w:val="16"/>
              </w:rPr>
            </w:pPr>
            <w:r w:rsidRPr="007B690E">
              <w:rPr>
                <w:rFonts w:ascii="Arial" w:eastAsia="Calibri" w:hAnsi="Arial" w:cs="Arial"/>
                <w:sz w:val="16"/>
                <w:szCs w:val="16"/>
              </w:rPr>
              <w:t xml:space="preserve">Verificar se o valor empenhado no exercício com despesa administrativa do RPPS está dentro do limite fixado em lei. </w:t>
            </w:r>
          </w:p>
        </w:tc>
        <w:tc>
          <w:tcPr>
            <w:tcW w:w="1275" w:type="dxa"/>
            <w:shd w:val="clear" w:color="auto" w:fill="auto"/>
            <w:vAlign w:val="center"/>
          </w:tcPr>
          <w:p w14:paraId="745DE6C3" w14:textId="77777777" w:rsidR="007B690E" w:rsidRPr="007B690E" w:rsidRDefault="007B690E" w:rsidP="007B690E">
            <w:pPr>
              <w:widowControl w:val="0"/>
              <w:spacing w:after="0" w:line="240" w:lineRule="auto"/>
              <w:jc w:val="center"/>
              <w:rPr>
                <w:rFonts w:ascii="Arial" w:eastAsia="Calibri" w:hAnsi="Arial" w:cs="Arial"/>
                <w:sz w:val="16"/>
                <w:szCs w:val="16"/>
              </w:rPr>
            </w:pPr>
            <w:r w:rsidRPr="007B690E">
              <w:rPr>
                <w:rFonts w:ascii="Arial" w:eastAsia="Calibri" w:hAnsi="Arial" w:cs="Arial"/>
                <w:color w:val="000000"/>
                <w:sz w:val="16"/>
                <w:szCs w:val="16"/>
              </w:rPr>
              <w:t>Contas de Gestão do RPPS</w:t>
            </w:r>
          </w:p>
        </w:tc>
      </w:tr>
      <w:tr w:rsidR="007B690E" w:rsidRPr="007B690E" w14:paraId="1C992D63" w14:textId="77777777" w:rsidTr="007B690E">
        <w:trPr>
          <w:trHeight w:val="1696"/>
        </w:trPr>
        <w:tc>
          <w:tcPr>
            <w:tcW w:w="851" w:type="dxa"/>
            <w:vAlign w:val="center"/>
          </w:tcPr>
          <w:p w14:paraId="07406FE2"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lastRenderedPageBreak/>
              <w:t>1.2.10</w:t>
            </w:r>
          </w:p>
        </w:tc>
        <w:tc>
          <w:tcPr>
            <w:tcW w:w="1417" w:type="dxa"/>
            <w:shd w:val="clear" w:color="auto" w:fill="auto"/>
            <w:vAlign w:val="center"/>
          </w:tcPr>
          <w:p w14:paraId="4E10EC4B"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Disponibilidades financeiras - contas específicas</w:t>
            </w:r>
          </w:p>
        </w:tc>
        <w:tc>
          <w:tcPr>
            <w:tcW w:w="1418" w:type="dxa"/>
            <w:shd w:val="clear" w:color="auto" w:fill="auto"/>
            <w:vAlign w:val="center"/>
          </w:tcPr>
          <w:p w14:paraId="7A45E61D" w14:textId="77777777" w:rsidR="007B690E" w:rsidRPr="007B690E" w:rsidRDefault="007B690E" w:rsidP="007B690E">
            <w:pPr>
              <w:widowControl w:val="0"/>
              <w:spacing w:after="0" w:line="240" w:lineRule="auto"/>
              <w:jc w:val="both"/>
              <w:rPr>
                <w:rFonts w:ascii="Arial" w:eastAsia="Calibri" w:hAnsi="Arial" w:cs="Arial"/>
                <w:color w:val="000000"/>
                <w:sz w:val="16"/>
                <w:szCs w:val="16"/>
                <w:lang w:val="en-US"/>
              </w:rPr>
            </w:pPr>
            <w:r w:rsidRPr="007B690E">
              <w:rPr>
                <w:rFonts w:ascii="Arial" w:eastAsia="Calibri" w:hAnsi="Arial" w:cs="Arial"/>
                <w:color w:val="000000"/>
                <w:sz w:val="16"/>
                <w:szCs w:val="16"/>
                <w:lang w:val="en-US"/>
              </w:rPr>
              <w:t>LC 101/2000, art. 43, § 1º.</w:t>
            </w:r>
          </w:p>
        </w:tc>
        <w:tc>
          <w:tcPr>
            <w:tcW w:w="1417" w:type="dxa"/>
            <w:vAlign w:val="center"/>
          </w:tcPr>
          <w:p w14:paraId="6699E3D0"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Conformidade (Verificação documental)</w:t>
            </w:r>
          </w:p>
        </w:tc>
        <w:tc>
          <w:tcPr>
            <w:tcW w:w="2694" w:type="dxa"/>
            <w:shd w:val="clear" w:color="auto" w:fill="auto"/>
            <w:vAlign w:val="center"/>
          </w:tcPr>
          <w:p w14:paraId="38C59760"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Avaliar se as disponibilidades financeiras do regime próprio de previdência social foram depositadas em contas específicas e distintas do ente público mantenedor. Havendo criação de fundos específicos, avaliar se os recursos estão sendo mantidos e aplicados em seus respectivos fundos.</w:t>
            </w:r>
          </w:p>
        </w:tc>
        <w:tc>
          <w:tcPr>
            <w:tcW w:w="1275" w:type="dxa"/>
            <w:shd w:val="clear" w:color="auto" w:fill="auto"/>
            <w:vAlign w:val="center"/>
          </w:tcPr>
          <w:p w14:paraId="0F4D1E89"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Gestão do RPPS</w:t>
            </w:r>
          </w:p>
        </w:tc>
      </w:tr>
      <w:tr w:rsidR="007B690E" w:rsidRPr="007B690E" w14:paraId="18770FE1" w14:textId="77777777" w:rsidTr="007B690E">
        <w:trPr>
          <w:trHeight w:val="1413"/>
        </w:trPr>
        <w:tc>
          <w:tcPr>
            <w:tcW w:w="851" w:type="dxa"/>
            <w:vAlign w:val="center"/>
          </w:tcPr>
          <w:p w14:paraId="3B6EEA9C"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1.2.11</w:t>
            </w:r>
          </w:p>
        </w:tc>
        <w:tc>
          <w:tcPr>
            <w:tcW w:w="1417" w:type="dxa"/>
            <w:shd w:val="clear" w:color="auto" w:fill="auto"/>
            <w:vAlign w:val="center"/>
            <w:hideMark/>
          </w:tcPr>
          <w:p w14:paraId="292B2CA1"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Disponibilidades financeiras – Llimites e condições de proteção e prudência nas aplicações</w:t>
            </w:r>
          </w:p>
        </w:tc>
        <w:tc>
          <w:tcPr>
            <w:tcW w:w="1418" w:type="dxa"/>
            <w:shd w:val="clear" w:color="auto" w:fill="auto"/>
            <w:vAlign w:val="center"/>
            <w:hideMark/>
          </w:tcPr>
          <w:p w14:paraId="785BDAAD"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LC 101/2000, art. 43, § 1º. c/c Lei nº 9.717/1998, art. 6, inciso IV.c/c Resolução CMN nº 3.922/2010.</w:t>
            </w:r>
          </w:p>
        </w:tc>
        <w:tc>
          <w:tcPr>
            <w:tcW w:w="1417" w:type="dxa"/>
            <w:vAlign w:val="center"/>
          </w:tcPr>
          <w:p w14:paraId="76E115E8"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Auditoria Governamental de conformidade</w:t>
            </w:r>
          </w:p>
        </w:tc>
        <w:tc>
          <w:tcPr>
            <w:tcW w:w="2694" w:type="dxa"/>
            <w:shd w:val="clear" w:color="auto" w:fill="auto"/>
            <w:vAlign w:val="center"/>
            <w:hideMark/>
          </w:tcPr>
          <w:p w14:paraId="34125740"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Avaliar se as aplicações financeiras dos recursos depositados nas contas específicas dos fundos de previdência observaram os limites e condições de proteção e prudência financeira de mercado e, em especial, seguindo as determinações do Conselho Monetário Nacional.</w:t>
            </w:r>
          </w:p>
        </w:tc>
        <w:tc>
          <w:tcPr>
            <w:tcW w:w="1275" w:type="dxa"/>
            <w:shd w:val="clear" w:color="auto" w:fill="auto"/>
            <w:vAlign w:val="center"/>
            <w:hideMark/>
          </w:tcPr>
          <w:p w14:paraId="3EA9F05E"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Gestão do RPPS</w:t>
            </w:r>
          </w:p>
        </w:tc>
      </w:tr>
      <w:tr w:rsidR="007B690E" w:rsidRPr="007B690E" w14:paraId="17EAA5B2" w14:textId="77777777" w:rsidTr="007B690E">
        <w:trPr>
          <w:trHeight w:val="714"/>
        </w:trPr>
        <w:tc>
          <w:tcPr>
            <w:tcW w:w="851" w:type="dxa"/>
            <w:vAlign w:val="center"/>
          </w:tcPr>
          <w:p w14:paraId="2AA8FA64" w14:textId="77777777" w:rsidR="007B690E" w:rsidRPr="007B690E" w:rsidRDefault="007B690E" w:rsidP="007B690E">
            <w:pPr>
              <w:widowControl w:val="0"/>
              <w:spacing w:after="0" w:line="240" w:lineRule="auto"/>
              <w:jc w:val="center"/>
              <w:rPr>
                <w:rFonts w:ascii="Arial" w:eastAsia="Calibri" w:hAnsi="Arial" w:cs="Arial"/>
                <w:color w:val="000000"/>
                <w:sz w:val="16"/>
                <w:szCs w:val="16"/>
                <w:highlight w:val="yellow"/>
              </w:rPr>
            </w:pPr>
            <w:r w:rsidRPr="007B690E">
              <w:rPr>
                <w:rFonts w:ascii="Arial" w:eastAsia="Calibri" w:hAnsi="Arial" w:cs="Arial"/>
                <w:color w:val="000000"/>
                <w:sz w:val="16"/>
                <w:szCs w:val="16"/>
              </w:rPr>
              <w:t>1.2.12</w:t>
            </w:r>
          </w:p>
        </w:tc>
        <w:tc>
          <w:tcPr>
            <w:tcW w:w="1417" w:type="dxa"/>
            <w:shd w:val="clear" w:color="auto" w:fill="auto"/>
            <w:vAlign w:val="center"/>
            <w:hideMark/>
          </w:tcPr>
          <w:p w14:paraId="2F9A8507" w14:textId="77777777" w:rsidR="007B690E" w:rsidRPr="007B690E" w:rsidRDefault="007B690E" w:rsidP="007B690E">
            <w:pPr>
              <w:widowControl w:val="0"/>
              <w:spacing w:after="0" w:line="240" w:lineRule="auto"/>
              <w:jc w:val="both"/>
              <w:rPr>
                <w:rFonts w:ascii="Arial" w:eastAsia="Calibri" w:hAnsi="Arial" w:cs="Arial"/>
                <w:color w:val="000000"/>
                <w:sz w:val="16"/>
                <w:szCs w:val="16"/>
                <w:lang w:val="en-US"/>
              </w:rPr>
            </w:pPr>
            <w:r w:rsidRPr="007B690E">
              <w:rPr>
                <w:rFonts w:ascii="Arial" w:eastAsia="Calibri" w:hAnsi="Arial" w:cs="Arial"/>
                <w:color w:val="000000"/>
                <w:sz w:val="16"/>
                <w:szCs w:val="16"/>
                <w:lang w:val="en-US"/>
              </w:rPr>
              <w:t>Disponibilidades financeiras – vedações</w:t>
            </w:r>
          </w:p>
        </w:tc>
        <w:tc>
          <w:tcPr>
            <w:tcW w:w="1418" w:type="dxa"/>
            <w:shd w:val="clear" w:color="auto" w:fill="auto"/>
            <w:vAlign w:val="center"/>
            <w:hideMark/>
          </w:tcPr>
          <w:p w14:paraId="55EE27F2" w14:textId="77777777" w:rsidR="007B690E" w:rsidRPr="007B690E" w:rsidRDefault="007B690E" w:rsidP="007B690E">
            <w:pPr>
              <w:widowControl w:val="0"/>
              <w:spacing w:after="0" w:line="240" w:lineRule="auto"/>
              <w:jc w:val="both"/>
              <w:rPr>
                <w:rFonts w:ascii="Arial" w:eastAsia="Calibri" w:hAnsi="Arial" w:cs="Arial"/>
                <w:color w:val="000000"/>
                <w:sz w:val="16"/>
                <w:szCs w:val="16"/>
                <w:lang w:val="en-US"/>
              </w:rPr>
            </w:pPr>
            <w:r w:rsidRPr="007B690E">
              <w:rPr>
                <w:rFonts w:ascii="Arial" w:eastAsia="Calibri" w:hAnsi="Arial" w:cs="Arial"/>
                <w:color w:val="000000"/>
                <w:sz w:val="16"/>
                <w:szCs w:val="16"/>
                <w:lang w:val="en-US"/>
              </w:rPr>
              <w:t>LC 101/2000, art. 43, § 2º.</w:t>
            </w:r>
          </w:p>
        </w:tc>
        <w:tc>
          <w:tcPr>
            <w:tcW w:w="1417" w:type="dxa"/>
            <w:vAlign w:val="center"/>
          </w:tcPr>
          <w:p w14:paraId="2C7F56EB"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Auditoria Governamental de conformidade</w:t>
            </w:r>
          </w:p>
        </w:tc>
        <w:tc>
          <w:tcPr>
            <w:tcW w:w="2694" w:type="dxa"/>
            <w:shd w:val="clear" w:color="auto" w:fill="auto"/>
            <w:vAlign w:val="center"/>
            <w:hideMark/>
          </w:tcPr>
          <w:p w14:paraId="2C362D58"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Avaliar se as vedações especificadas no § 2º, do artigo 43, da LRF, foram observadas, quando da aplicação das disponibilidades financeiras do regime próprio de previdência.</w:t>
            </w:r>
          </w:p>
        </w:tc>
        <w:tc>
          <w:tcPr>
            <w:tcW w:w="1275" w:type="dxa"/>
            <w:shd w:val="clear" w:color="auto" w:fill="auto"/>
            <w:vAlign w:val="center"/>
            <w:hideMark/>
          </w:tcPr>
          <w:p w14:paraId="357656BF"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Gestão do RPPS</w:t>
            </w:r>
          </w:p>
        </w:tc>
      </w:tr>
      <w:tr w:rsidR="007B690E" w:rsidRPr="007B690E" w14:paraId="2C47C4BB" w14:textId="77777777" w:rsidTr="007B690E">
        <w:trPr>
          <w:trHeight w:val="1267"/>
        </w:trPr>
        <w:tc>
          <w:tcPr>
            <w:tcW w:w="851" w:type="dxa"/>
            <w:vAlign w:val="center"/>
          </w:tcPr>
          <w:p w14:paraId="1FE35C02" w14:textId="77777777" w:rsidR="007B690E" w:rsidRPr="007B690E" w:rsidRDefault="007B690E" w:rsidP="007B690E">
            <w:pPr>
              <w:widowControl w:val="0"/>
              <w:spacing w:after="0" w:line="240" w:lineRule="auto"/>
              <w:jc w:val="center"/>
              <w:rPr>
                <w:rFonts w:ascii="Arial" w:eastAsia="Calibri" w:hAnsi="Arial" w:cs="Arial"/>
                <w:bCs/>
                <w:sz w:val="16"/>
                <w:szCs w:val="16"/>
                <w:highlight w:val="yellow"/>
              </w:rPr>
            </w:pPr>
            <w:r w:rsidRPr="007B690E">
              <w:rPr>
                <w:rFonts w:ascii="Arial" w:eastAsia="Calibri" w:hAnsi="Arial" w:cs="Arial"/>
                <w:bCs/>
                <w:sz w:val="16"/>
                <w:szCs w:val="16"/>
              </w:rPr>
              <w:t>1.2.13</w:t>
            </w:r>
          </w:p>
        </w:tc>
        <w:tc>
          <w:tcPr>
            <w:tcW w:w="1417" w:type="dxa"/>
            <w:shd w:val="clear" w:color="auto" w:fill="auto"/>
            <w:vAlign w:val="center"/>
          </w:tcPr>
          <w:p w14:paraId="704D70FF" w14:textId="77777777" w:rsidR="007B690E" w:rsidRPr="007B690E" w:rsidRDefault="007B690E" w:rsidP="007B690E">
            <w:pPr>
              <w:widowControl w:val="0"/>
              <w:spacing w:after="0" w:line="240" w:lineRule="auto"/>
              <w:jc w:val="center"/>
              <w:rPr>
                <w:rFonts w:ascii="Arial" w:eastAsia="Calibri" w:hAnsi="Arial" w:cs="Arial"/>
                <w:bCs/>
                <w:sz w:val="16"/>
                <w:szCs w:val="16"/>
                <w:lang w:val="en-US"/>
              </w:rPr>
            </w:pPr>
            <w:r w:rsidRPr="007B690E">
              <w:rPr>
                <w:rFonts w:ascii="Arial" w:eastAsia="Calibri" w:hAnsi="Arial" w:cs="Arial"/>
                <w:bCs/>
                <w:sz w:val="16"/>
                <w:szCs w:val="16"/>
                <w:lang w:val="en-US"/>
              </w:rPr>
              <w:t>Equilíbrio Financeiro e Atuarial</w:t>
            </w:r>
          </w:p>
        </w:tc>
        <w:tc>
          <w:tcPr>
            <w:tcW w:w="1418" w:type="dxa"/>
            <w:shd w:val="clear" w:color="auto" w:fill="auto"/>
            <w:vAlign w:val="center"/>
          </w:tcPr>
          <w:p w14:paraId="65F4D049" w14:textId="77777777" w:rsidR="007B690E" w:rsidRPr="007B690E" w:rsidRDefault="007B690E" w:rsidP="005C719B">
            <w:pPr>
              <w:widowControl w:val="0"/>
              <w:numPr>
                <w:ilvl w:val="0"/>
                <w:numId w:val="36"/>
              </w:numPr>
              <w:tabs>
                <w:tab w:val="left" w:pos="213"/>
              </w:tabs>
              <w:spacing w:after="0" w:line="240" w:lineRule="auto"/>
              <w:ind w:left="72" w:hanging="61"/>
              <w:contextualSpacing/>
              <w:rPr>
                <w:rFonts w:ascii="Arial" w:eastAsia="Calibri" w:hAnsi="Arial" w:cs="Arial"/>
                <w:bCs/>
                <w:sz w:val="16"/>
                <w:szCs w:val="16"/>
                <w:lang w:val="en-US"/>
              </w:rPr>
            </w:pPr>
            <w:r w:rsidRPr="007B690E">
              <w:rPr>
                <w:rFonts w:ascii="Arial" w:eastAsia="Calibri" w:hAnsi="Arial" w:cs="Arial"/>
                <w:bCs/>
                <w:sz w:val="16"/>
                <w:szCs w:val="16"/>
                <w:lang w:val="en-US"/>
              </w:rPr>
              <w:t>CF/88, art. 40.</w:t>
            </w:r>
          </w:p>
          <w:p w14:paraId="7BE75EDA" w14:textId="77777777" w:rsidR="007B690E" w:rsidRPr="007B690E" w:rsidRDefault="007B690E" w:rsidP="005C719B">
            <w:pPr>
              <w:widowControl w:val="0"/>
              <w:numPr>
                <w:ilvl w:val="0"/>
                <w:numId w:val="36"/>
              </w:numPr>
              <w:tabs>
                <w:tab w:val="left" w:pos="213"/>
              </w:tabs>
              <w:spacing w:after="0" w:line="240" w:lineRule="auto"/>
              <w:ind w:left="72" w:hanging="61"/>
              <w:contextualSpacing/>
              <w:rPr>
                <w:rFonts w:ascii="Arial" w:eastAsia="Calibri" w:hAnsi="Arial" w:cs="Arial"/>
                <w:bCs/>
                <w:sz w:val="16"/>
                <w:szCs w:val="16"/>
                <w:lang w:val="en-US"/>
              </w:rPr>
            </w:pPr>
            <w:r w:rsidRPr="007B690E">
              <w:rPr>
                <w:rFonts w:ascii="Arial" w:eastAsia="Calibri" w:hAnsi="Arial" w:cs="Arial"/>
                <w:bCs/>
                <w:sz w:val="16"/>
                <w:szCs w:val="16"/>
                <w:lang w:val="en-US"/>
              </w:rPr>
              <w:t>LRF, art. 69.</w:t>
            </w:r>
          </w:p>
          <w:p w14:paraId="762EC555" w14:textId="77777777" w:rsidR="007B690E" w:rsidRPr="007B690E" w:rsidRDefault="007B690E" w:rsidP="005C719B">
            <w:pPr>
              <w:widowControl w:val="0"/>
              <w:numPr>
                <w:ilvl w:val="0"/>
                <w:numId w:val="36"/>
              </w:numPr>
              <w:tabs>
                <w:tab w:val="left" w:pos="213"/>
              </w:tabs>
              <w:spacing w:after="0" w:line="240" w:lineRule="auto"/>
              <w:ind w:left="72" w:hanging="61"/>
              <w:contextualSpacing/>
              <w:rPr>
                <w:rFonts w:ascii="Arial" w:eastAsia="Calibri" w:hAnsi="Arial" w:cs="Arial"/>
                <w:bCs/>
                <w:sz w:val="16"/>
                <w:szCs w:val="16"/>
                <w:lang w:val="en-US"/>
              </w:rPr>
            </w:pPr>
            <w:r w:rsidRPr="007B690E">
              <w:rPr>
                <w:rFonts w:ascii="Arial" w:eastAsia="Calibri" w:hAnsi="Arial" w:cs="Arial"/>
                <w:bCs/>
                <w:sz w:val="16"/>
                <w:szCs w:val="16"/>
                <w:lang w:val="en-US"/>
              </w:rPr>
              <w:t>Lei 9717/1998 art. 1º.</w:t>
            </w:r>
          </w:p>
        </w:tc>
        <w:tc>
          <w:tcPr>
            <w:tcW w:w="1417" w:type="dxa"/>
            <w:vAlign w:val="center"/>
          </w:tcPr>
          <w:p w14:paraId="7B553CB2" w14:textId="77777777" w:rsidR="007B690E" w:rsidRPr="007B690E" w:rsidRDefault="007B690E" w:rsidP="007B690E">
            <w:pPr>
              <w:widowControl w:val="0"/>
              <w:spacing w:after="0" w:line="240" w:lineRule="auto"/>
              <w:jc w:val="center"/>
              <w:rPr>
                <w:rFonts w:ascii="Arial" w:eastAsia="Calibri" w:hAnsi="Arial" w:cs="Arial"/>
                <w:bCs/>
                <w:sz w:val="16"/>
                <w:szCs w:val="16"/>
              </w:rPr>
            </w:pPr>
            <w:r w:rsidRPr="007B690E">
              <w:rPr>
                <w:rFonts w:ascii="Arial" w:eastAsia="Calibri" w:hAnsi="Arial" w:cs="Arial"/>
                <w:color w:val="000000"/>
                <w:sz w:val="16"/>
                <w:szCs w:val="16"/>
                <w:lang w:val="en-US"/>
              </w:rPr>
              <w:t>Auditoria Governamental de conformidade</w:t>
            </w:r>
          </w:p>
        </w:tc>
        <w:tc>
          <w:tcPr>
            <w:tcW w:w="2694" w:type="dxa"/>
            <w:shd w:val="clear" w:color="auto" w:fill="auto"/>
            <w:vAlign w:val="center"/>
          </w:tcPr>
          <w:p w14:paraId="10066B62" w14:textId="77777777" w:rsidR="007B690E" w:rsidRPr="007B690E" w:rsidRDefault="007B690E" w:rsidP="007B690E">
            <w:pPr>
              <w:widowControl w:val="0"/>
              <w:spacing w:after="0" w:line="240" w:lineRule="auto"/>
              <w:jc w:val="both"/>
              <w:rPr>
                <w:rFonts w:ascii="Arial" w:eastAsia="Calibri" w:hAnsi="Arial" w:cs="Arial"/>
                <w:bCs/>
                <w:sz w:val="16"/>
                <w:szCs w:val="16"/>
              </w:rPr>
            </w:pPr>
            <w:r w:rsidRPr="007B690E">
              <w:rPr>
                <w:rFonts w:ascii="Arial" w:eastAsia="Calibri" w:hAnsi="Arial" w:cs="Arial"/>
                <w:bCs/>
                <w:sz w:val="16"/>
                <w:szCs w:val="16"/>
              </w:rPr>
              <w:t>Verificar a manutenção do equilíbrio financeiro e atuarial no ente que instituir ou mantiver RPPS.</w:t>
            </w:r>
          </w:p>
        </w:tc>
        <w:tc>
          <w:tcPr>
            <w:tcW w:w="1275" w:type="dxa"/>
            <w:shd w:val="clear" w:color="auto" w:fill="auto"/>
            <w:vAlign w:val="center"/>
          </w:tcPr>
          <w:p w14:paraId="615245AC"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Governo e Contas de Gestão do RPPS</w:t>
            </w:r>
          </w:p>
        </w:tc>
      </w:tr>
      <w:tr w:rsidR="007B690E" w:rsidRPr="007B690E" w14:paraId="40E6618A" w14:textId="77777777" w:rsidTr="007B690E">
        <w:trPr>
          <w:trHeight w:val="1105"/>
        </w:trPr>
        <w:tc>
          <w:tcPr>
            <w:tcW w:w="851" w:type="dxa"/>
            <w:vAlign w:val="center"/>
          </w:tcPr>
          <w:p w14:paraId="58530D54" w14:textId="77777777" w:rsidR="007B690E" w:rsidRPr="007B690E" w:rsidRDefault="007B690E" w:rsidP="007B690E">
            <w:pPr>
              <w:widowControl w:val="0"/>
              <w:spacing w:after="0" w:line="240" w:lineRule="auto"/>
              <w:jc w:val="center"/>
              <w:rPr>
                <w:rFonts w:ascii="Arial" w:eastAsia="Calibri" w:hAnsi="Arial" w:cs="Arial"/>
                <w:color w:val="000000"/>
                <w:sz w:val="16"/>
                <w:szCs w:val="16"/>
                <w:highlight w:val="yellow"/>
              </w:rPr>
            </w:pPr>
            <w:r w:rsidRPr="007B690E">
              <w:rPr>
                <w:rFonts w:ascii="Arial" w:eastAsia="Calibri" w:hAnsi="Arial" w:cs="Arial"/>
                <w:color w:val="000000"/>
                <w:sz w:val="16"/>
                <w:szCs w:val="16"/>
              </w:rPr>
              <w:t>1.2.14</w:t>
            </w:r>
          </w:p>
        </w:tc>
        <w:tc>
          <w:tcPr>
            <w:tcW w:w="1417" w:type="dxa"/>
            <w:shd w:val="clear" w:color="auto" w:fill="auto"/>
            <w:vAlign w:val="center"/>
            <w:hideMark/>
          </w:tcPr>
          <w:p w14:paraId="05332FBA"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Equilíbrio financeiro e atuarial – Plano de Equacionamento</w:t>
            </w:r>
          </w:p>
        </w:tc>
        <w:tc>
          <w:tcPr>
            <w:tcW w:w="1418" w:type="dxa"/>
            <w:shd w:val="clear" w:color="auto" w:fill="auto"/>
            <w:vAlign w:val="center"/>
            <w:hideMark/>
          </w:tcPr>
          <w:p w14:paraId="17BAAEBE" w14:textId="77777777" w:rsidR="007B690E" w:rsidRPr="007B690E" w:rsidRDefault="007B690E" w:rsidP="005C719B">
            <w:pPr>
              <w:widowControl w:val="0"/>
              <w:numPr>
                <w:ilvl w:val="0"/>
                <w:numId w:val="36"/>
              </w:numPr>
              <w:tabs>
                <w:tab w:val="left" w:pos="213"/>
              </w:tabs>
              <w:spacing w:after="0" w:line="240" w:lineRule="auto"/>
              <w:ind w:left="72" w:hanging="61"/>
              <w:contextualSpacing/>
              <w:rPr>
                <w:rFonts w:ascii="Arial" w:eastAsia="Calibri" w:hAnsi="Arial" w:cs="Arial"/>
                <w:bCs/>
                <w:sz w:val="16"/>
                <w:szCs w:val="16"/>
                <w:lang w:val="en-US"/>
              </w:rPr>
            </w:pPr>
            <w:r w:rsidRPr="007B690E">
              <w:rPr>
                <w:rFonts w:ascii="Arial" w:eastAsia="Calibri" w:hAnsi="Arial" w:cs="Arial"/>
                <w:bCs/>
                <w:sz w:val="16"/>
                <w:szCs w:val="16"/>
                <w:lang w:val="en-US"/>
              </w:rPr>
              <w:t>CF/88, art. 40.</w:t>
            </w:r>
          </w:p>
          <w:p w14:paraId="6FCE5D07" w14:textId="77777777" w:rsidR="007B690E" w:rsidRPr="007B690E" w:rsidRDefault="007B690E" w:rsidP="005C719B">
            <w:pPr>
              <w:widowControl w:val="0"/>
              <w:numPr>
                <w:ilvl w:val="0"/>
                <w:numId w:val="36"/>
              </w:numPr>
              <w:tabs>
                <w:tab w:val="left" w:pos="213"/>
              </w:tabs>
              <w:spacing w:after="0" w:line="240" w:lineRule="auto"/>
              <w:ind w:left="72" w:hanging="61"/>
              <w:contextualSpacing/>
              <w:rPr>
                <w:rFonts w:ascii="Arial" w:eastAsia="Calibri" w:hAnsi="Arial" w:cs="Arial"/>
                <w:bCs/>
                <w:sz w:val="16"/>
                <w:szCs w:val="16"/>
                <w:lang w:val="en-US"/>
              </w:rPr>
            </w:pPr>
            <w:r w:rsidRPr="007B690E">
              <w:rPr>
                <w:rFonts w:ascii="Arial" w:eastAsia="Calibri" w:hAnsi="Arial" w:cs="Arial"/>
                <w:bCs/>
                <w:sz w:val="16"/>
                <w:szCs w:val="16"/>
                <w:lang w:val="en-US"/>
              </w:rPr>
              <w:t>LRF, art. 69.</w:t>
            </w:r>
          </w:p>
          <w:p w14:paraId="5AD3C39C" w14:textId="77777777" w:rsidR="007B690E" w:rsidRPr="007B690E" w:rsidRDefault="007B690E" w:rsidP="005C719B">
            <w:pPr>
              <w:widowControl w:val="0"/>
              <w:numPr>
                <w:ilvl w:val="0"/>
                <w:numId w:val="36"/>
              </w:numPr>
              <w:tabs>
                <w:tab w:val="left" w:pos="213"/>
              </w:tabs>
              <w:spacing w:after="0" w:line="240" w:lineRule="auto"/>
              <w:ind w:left="72" w:hanging="61"/>
              <w:contextualSpacing/>
              <w:rPr>
                <w:rFonts w:ascii="Arial" w:eastAsia="Calibri" w:hAnsi="Arial" w:cs="Arial"/>
                <w:bCs/>
                <w:sz w:val="16"/>
                <w:szCs w:val="16"/>
                <w:lang w:val="en-US"/>
              </w:rPr>
            </w:pPr>
            <w:r w:rsidRPr="007B690E">
              <w:rPr>
                <w:rFonts w:ascii="Arial" w:eastAsia="Calibri" w:hAnsi="Arial" w:cs="Arial"/>
                <w:bCs/>
                <w:sz w:val="16"/>
                <w:szCs w:val="16"/>
                <w:lang w:val="en-US"/>
              </w:rPr>
              <w:t>Lei 9717/1998 art. 1º.</w:t>
            </w:r>
          </w:p>
        </w:tc>
        <w:tc>
          <w:tcPr>
            <w:tcW w:w="1417" w:type="dxa"/>
            <w:vAlign w:val="center"/>
          </w:tcPr>
          <w:p w14:paraId="0904316F"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Conformidade (Verificação documental)</w:t>
            </w:r>
          </w:p>
        </w:tc>
        <w:tc>
          <w:tcPr>
            <w:tcW w:w="2694" w:type="dxa"/>
            <w:shd w:val="clear" w:color="auto" w:fill="auto"/>
            <w:vAlign w:val="center"/>
            <w:hideMark/>
          </w:tcPr>
          <w:p w14:paraId="00E9292C"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Avaliar, nos institutos próprios de previdência social onde for verificado desequilíbrio financeiro e atuarial, se estão sendo instituídas medidas com vistas ao reequilíbrio do regime próprio de previdência.</w:t>
            </w:r>
          </w:p>
        </w:tc>
        <w:tc>
          <w:tcPr>
            <w:tcW w:w="1275" w:type="dxa"/>
            <w:shd w:val="clear" w:color="auto" w:fill="auto"/>
            <w:vAlign w:val="center"/>
            <w:hideMark/>
          </w:tcPr>
          <w:p w14:paraId="0BDD3928"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Governo e Contas de Gestão do RPPS</w:t>
            </w:r>
          </w:p>
        </w:tc>
      </w:tr>
      <w:tr w:rsidR="007B690E" w:rsidRPr="007B690E" w14:paraId="234F2838" w14:textId="77777777" w:rsidTr="007B690E">
        <w:trPr>
          <w:trHeight w:val="1110"/>
        </w:trPr>
        <w:tc>
          <w:tcPr>
            <w:tcW w:w="851" w:type="dxa"/>
            <w:vAlign w:val="center"/>
          </w:tcPr>
          <w:p w14:paraId="6138BE57"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1.2.15</w:t>
            </w:r>
          </w:p>
        </w:tc>
        <w:tc>
          <w:tcPr>
            <w:tcW w:w="1417" w:type="dxa"/>
            <w:shd w:val="clear" w:color="auto" w:fill="auto"/>
            <w:vAlign w:val="center"/>
            <w:hideMark/>
          </w:tcPr>
          <w:p w14:paraId="58EAF19C"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Escrituração Contábil - Registro das provisões matemáticas previdenciárias</w:t>
            </w:r>
          </w:p>
        </w:tc>
        <w:tc>
          <w:tcPr>
            <w:tcW w:w="1418" w:type="dxa"/>
            <w:shd w:val="clear" w:color="auto" w:fill="auto"/>
            <w:vAlign w:val="center"/>
            <w:hideMark/>
          </w:tcPr>
          <w:p w14:paraId="4843DDFD"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lang w:val="en-US"/>
              </w:rPr>
              <w:t xml:space="preserve">LC 101/2000, art. 69; Lei 4.320/1964, art. 100. Lei 9.717/98, art. 1º. </w:t>
            </w:r>
            <w:r w:rsidRPr="007B690E">
              <w:rPr>
                <w:rFonts w:ascii="Arial" w:eastAsia="Calibri" w:hAnsi="Arial" w:cs="Arial"/>
                <w:color w:val="000000"/>
                <w:sz w:val="16"/>
                <w:szCs w:val="16"/>
              </w:rPr>
              <w:t>Norma Brasileira de Contabilidade NBC TSP-EC, MCASP, Portaria MPS 403/2008, art. 17 e demais correlatas.</w:t>
            </w:r>
          </w:p>
        </w:tc>
        <w:tc>
          <w:tcPr>
            <w:tcW w:w="1417" w:type="dxa"/>
            <w:vAlign w:val="center"/>
          </w:tcPr>
          <w:p w14:paraId="6EA81776"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Conformidade (Verificação documental)</w:t>
            </w:r>
          </w:p>
        </w:tc>
        <w:tc>
          <w:tcPr>
            <w:tcW w:w="2694" w:type="dxa"/>
            <w:shd w:val="clear" w:color="auto" w:fill="auto"/>
            <w:vAlign w:val="center"/>
            <w:hideMark/>
          </w:tcPr>
          <w:p w14:paraId="419900EE"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Avaliar se o RPPS realiza escrituração contábil obedecendo as normas de contabilidade e atuária que preservem seu equilíbrio financeiro e atuarial, em especial ao registro das provisões matemáticas previdenciárias.</w:t>
            </w:r>
          </w:p>
        </w:tc>
        <w:tc>
          <w:tcPr>
            <w:tcW w:w="1275" w:type="dxa"/>
            <w:shd w:val="clear" w:color="auto" w:fill="auto"/>
            <w:vAlign w:val="center"/>
            <w:hideMark/>
          </w:tcPr>
          <w:p w14:paraId="25C57611"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Gestão do RPPS</w:t>
            </w:r>
          </w:p>
        </w:tc>
      </w:tr>
      <w:tr w:rsidR="007B690E" w:rsidRPr="007B690E" w14:paraId="13B66344" w14:textId="77777777" w:rsidTr="007B690E">
        <w:trPr>
          <w:trHeight w:val="613"/>
        </w:trPr>
        <w:tc>
          <w:tcPr>
            <w:tcW w:w="851" w:type="dxa"/>
            <w:vAlign w:val="center"/>
          </w:tcPr>
          <w:p w14:paraId="2EC6AF1B" w14:textId="77777777" w:rsidR="007B690E" w:rsidRPr="007B690E" w:rsidRDefault="007B690E" w:rsidP="007B690E">
            <w:pPr>
              <w:widowControl w:val="0"/>
              <w:spacing w:after="0" w:line="240" w:lineRule="auto"/>
              <w:jc w:val="center"/>
              <w:rPr>
                <w:rFonts w:ascii="Arial" w:eastAsia="Calibri" w:hAnsi="Arial" w:cs="Arial"/>
                <w:sz w:val="16"/>
                <w:szCs w:val="16"/>
              </w:rPr>
            </w:pPr>
            <w:r w:rsidRPr="007B690E">
              <w:rPr>
                <w:rFonts w:ascii="Arial" w:eastAsia="Calibri" w:hAnsi="Arial" w:cs="Arial"/>
                <w:color w:val="000000"/>
                <w:sz w:val="16"/>
                <w:szCs w:val="16"/>
              </w:rPr>
              <w:t>1.2.16</w:t>
            </w:r>
          </w:p>
        </w:tc>
        <w:tc>
          <w:tcPr>
            <w:tcW w:w="1417" w:type="dxa"/>
            <w:shd w:val="clear" w:color="auto" w:fill="auto"/>
            <w:vAlign w:val="center"/>
          </w:tcPr>
          <w:p w14:paraId="17387295" w14:textId="77777777" w:rsidR="007B690E" w:rsidRPr="007B690E" w:rsidRDefault="007B690E" w:rsidP="007B690E">
            <w:pPr>
              <w:widowControl w:val="0"/>
              <w:spacing w:after="0" w:line="240" w:lineRule="auto"/>
              <w:jc w:val="center"/>
              <w:rPr>
                <w:rFonts w:ascii="Arial" w:eastAsia="Calibri" w:hAnsi="Arial" w:cs="Arial"/>
                <w:sz w:val="16"/>
                <w:szCs w:val="16"/>
                <w:lang w:val="en-US"/>
              </w:rPr>
            </w:pPr>
            <w:r w:rsidRPr="007B690E">
              <w:rPr>
                <w:rFonts w:ascii="Arial" w:eastAsia="Calibri" w:hAnsi="Arial" w:cs="Arial"/>
                <w:sz w:val="16"/>
                <w:szCs w:val="16"/>
                <w:lang w:val="en-US"/>
              </w:rPr>
              <w:t>Escrituração Contábil</w:t>
            </w:r>
          </w:p>
        </w:tc>
        <w:tc>
          <w:tcPr>
            <w:tcW w:w="1418" w:type="dxa"/>
            <w:shd w:val="clear" w:color="auto" w:fill="auto"/>
            <w:vAlign w:val="center"/>
          </w:tcPr>
          <w:p w14:paraId="6B907473" w14:textId="77777777" w:rsidR="007B690E" w:rsidRPr="007B690E" w:rsidRDefault="007B690E" w:rsidP="007B690E">
            <w:pPr>
              <w:tabs>
                <w:tab w:val="left" w:pos="213"/>
              </w:tabs>
              <w:spacing w:after="0" w:line="240" w:lineRule="auto"/>
              <w:ind w:left="72"/>
              <w:contextualSpacing/>
              <w:rPr>
                <w:rFonts w:ascii="Arial" w:eastAsia="Calibri" w:hAnsi="Arial" w:cs="Arial"/>
                <w:bCs/>
                <w:color w:val="000000"/>
                <w:sz w:val="16"/>
                <w:szCs w:val="16"/>
              </w:rPr>
            </w:pPr>
            <w:r w:rsidRPr="007B690E">
              <w:rPr>
                <w:rFonts w:ascii="Arial" w:eastAsia="Calibri" w:hAnsi="Arial" w:cs="Arial"/>
                <w:bCs/>
                <w:color w:val="000000"/>
                <w:sz w:val="16"/>
                <w:szCs w:val="16"/>
              </w:rPr>
              <w:t>Normas Brasileiras de Contabilidade e MCASP</w:t>
            </w:r>
          </w:p>
        </w:tc>
        <w:tc>
          <w:tcPr>
            <w:tcW w:w="1417" w:type="dxa"/>
            <w:vAlign w:val="center"/>
          </w:tcPr>
          <w:p w14:paraId="1FD05411" w14:textId="77777777" w:rsidR="007B690E" w:rsidRPr="007B690E" w:rsidRDefault="007B690E" w:rsidP="007B690E">
            <w:pPr>
              <w:widowControl w:val="0"/>
              <w:autoSpaceDE w:val="0"/>
              <w:autoSpaceDN w:val="0"/>
              <w:adjustRightInd w:val="0"/>
              <w:spacing w:after="0" w:line="240" w:lineRule="auto"/>
              <w:jc w:val="center"/>
              <w:rPr>
                <w:rFonts w:ascii="Arial" w:eastAsia="Calibri" w:hAnsi="Arial" w:cs="Arial"/>
                <w:bCs/>
                <w:color w:val="000000"/>
                <w:sz w:val="16"/>
                <w:szCs w:val="16"/>
              </w:rPr>
            </w:pPr>
            <w:r w:rsidRPr="007B690E">
              <w:rPr>
                <w:rFonts w:ascii="Arial" w:eastAsia="Calibri" w:hAnsi="Arial" w:cs="Arial"/>
                <w:color w:val="000000"/>
                <w:sz w:val="16"/>
                <w:szCs w:val="16"/>
              </w:rPr>
              <w:t>Conformidade (Verificação documental)</w:t>
            </w:r>
          </w:p>
        </w:tc>
        <w:tc>
          <w:tcPr>
            <w:tcW w:w="2694" w:type="dxa"/>
            <w:shd w:val="clear" w:color="auto" w:fill="auto"/>
            <w:vAlign w:val="center"/>
          </w:tcPr>
          <w:p w14:paraId="1635E66C" w14:textId="77777777" w:rsidR="007B690E" w:rsidRPr="007B690E" w:rsidRDefault="007B690E" w:rsidP="007B690E">
            <w:pPr>
              <w:widowControl w:val="0"/>
              <w:autoSpaceDE w:val="0"/>
              <w:autoSpaceDN w:val="0"/>
              <w:adjustRightInd w:val="0"/>
              <w:spacing w:after="0" w:line="240" w:lineRule="auto"/>
              <w:jc w:val="both"/>
              <w:rPr>
                <w:rFonts w:ascii="Arial" w:eastAsia="Calibri" w:hAnsi="Arial" w:cs="Arial"/>
                <w:sz w:val="16"/>
                <w:szCs w:val="16"/>
              </w:rPr>
            </w:pPr>
            <w:r w:rsidRPr="007B690E">
              <w:rPr>
                <w:rFonts w:ascii="Arial" w:eastAsia="Calibri" w:hAnsi="Arial" w:cs="Arial"/>
                <w:sz w:val="16"/>
                <w:szCs w:val="16"/>
              </w:rPr>
              <w:t>Avaliar se os registros e as demonstrações contábeis foram realizados de acordo as normas brasileiras de contabilidade aplicadas ao setor público e o Manual de Contabilidade Aplicada ao Setor Público.</w:t>
            </w:r>
          </w:p>
        </w:tc>
        <w:tc>
          <w:tcPr>
            <w:tcW w:w="1275" w:type="dxa"/>
            <w:shd w:val="clear" w:color="auto" w:fill="auto"/>
            <w:vAlign w:val="center"/>
          </w:tcPr>
          <w:p w14:paraId="2CD57356" w14:textId="77777777" w:rsidR="007B690E" w:rsidRPr="007B690E" w:rsidRDefault="007B690E" w:rsidP="007B690E">
            <w:pPr>
              <w:widowControl w:val="0"/>
              <w:spacing w:after="0" w:line="240" w:lineRule="auto"/>
              <w:rPr>
                <w:rFonts w:ascii="Arial" w:eastAsia="Calibri" w:hAnsi="Arial" w:cs="Arial"/>
                <w:color w:val="000000"/>
                <w:sz w:val="16"/>
                <w:szCs w:val="16"/>
              </w:rPr>
            </w:pPr>
            <w:r w:rsidRPr="007B690E">
              <w:rPr>
                <w:rFonts w:ascii="Arial" w:eastAsia="Calibri" w:hAnsi="Arial" w:cs="Arial"/>
                <w:color w:val="000000"/>
                <w:sz w:val="16"/>
                <w:szCs w:val="16"/>
              </w:rPr>
              <w:t>Contas de Gestão do RPPS</w:t>
            </w:r>
          </w:p>
        </w:tc>
      </w:tr>
      <w:tr w:rsidR="007B690E" w:rsidRPr="007B690E" w14:paraId="4559A1CF" w14:textId="77777777" w:rsidTr="007B690E">
        <w:trPr>
          <w:trHeight w:val="613"/>
        </w:trPr>
        <w:tc>
          <w:tcPr>
            <w:tcW w:w="851" w:type="dxa"/>
            <w:vAlign w:val="center"/>
          </w:tcPr>
          <w:p w14:paraId="570AE3F2" w14:textId="77777777" w:rsidR="007B690E" w:rsidRPr="007B690E" w:rsidRDefault="007B690E" w:rsidP="007B690E">
            <w:pPr>
              <w:widowControl w:val="0"/>
              <w:spacing w:after="0" w:line="240" w:lineRule="auto"/>
              <w:jc w:val="center"/>
              <w:rPr>
                <w:rFonts w:ascii="Arial" w:eastAsia="Calibri" w:hAnsi="Arial" w:cs="Arial"/>
                <w:sz w:val="16"/>
                <w:szCs w:val="16"/>
              </w:rPr>
            </w:pPr>
            <w:r w:rsidRPr="007B690E">
              <w:rPr>
                <w:rFonts w:ascii="Arial" w:eastAsia="Calibri" w:hAnsi="Arial" w:cs="Arial"/>
                <w:color w:val="000000"/>
                <w:sz w:val="16"/>
                <w:szCs w:val="16"/>
              </w:rPr>
              <w:t>1.2.17</w:t>
            </w:r>
          </w:p>
        </w:tc>
        <w:tc>
          <w:tcPr>
            <w:tcW w:w="1417" w:type="dxa"/>
            <w:shd w:val="clear" w:color="auto" w:fill="auto"/>
            <w:vAlign w:val="center"/>
          </w:tcPr>
          <w:p w14:paraId="57D79640" w14:textId="77777777" w:rsidR="007B690E" w:rsidRPr="007B690E" w:rsidRDefault="007B690E" w:rsidP="007B690E">
            <w:pPr>
              <w:widowControl w:val="0"/>
              <w:spacing w:after="0" w:line="240" w:lineRule="auto"/>
              <w:jc w:val="center"/>
              <w:rPr>
                <w:rFonts w:ascii="Arial" w:eastAsia="Calibri" w:hAnsi="Arial" w:cs="Arial"/>
                <w:sz w:val="16"/>
                <w:szCs w:val="16"/>
                <w:lang w:val="en-US"/>
              </w:rPr>
            </w:pPr>
            <w:r w:rsidRPr="007B690E">
              <w:rPr>
                <w:rFonts w:ascii="Arial" w:eastAsia="Calibri" w:hAnsi="Arial" w:cs="Arial"/>
                <w:sz w:val="16"/>
                <w:szCs w:val="16"/>
                <w:lang w:val="en-US"/>
              </w:rPr>
              <w:t>Conciliação de contas</w:t>
            </w:r>
          </w:p>
        </w:tc>
        <w:tc>
          <w:tcPr>
            <w:tcW w:w="1418" w:type="dxa"/>
            <w:shd w:val="clear" w:color="auto" w:fill="auto"/>
            <w:vAlign w:val="center"/>
          </w:tcPr>
          <w:p w14:paraId="04ABFF34" w14:textId="77777777" w:rsidR="007B690E" w:rsidRPr="00532985" w:rsidRDefault="00532985" w:rsidP="007B690E">
            <w:pPr>
              <w:tabs>
                <w:tab w:val="left" w:pos="213"/>
              </w:tabs>
              <w:spacing w:after="0" w:line="240" w:lineRule="auto"/>
              <w:ind w:left="72"/>
              <w:contextualSpacing/>
              <w:rPr>
                <w:rFonts w:ascii="Arial" w:eastAsia="Calibri" w:hAnsi="Arial" w:cs="Arial"/>
                <w:bCs/>
                <w:sz w:val="16"/>
                <w:szCs w:val="16"/>
              </w:rPr>
            </w:pPr>
            <w:r>
              <w:rPr>
                <w:rFonts w:ascii="Arial" w:eastAsia="Calibri" w:hAnsi="Arial" w:cs="Arial"/>
                <w:bCs/>
                <w:color w:val="000000"/>
                <w:sz w:val="16"/>
                <w:szCs w:val="16"/>
              </w:rPr>
              <w:t>IN regulamentadora da remessa de prestação de contas</w:t>
            </w:r>
          </w:p>
        </w:tc>
        <w:tc>
          <w:tcPr>
            <w:tcW w:w="1417" w:type="dxa"/>
            <w:vAlign w:val="center"/>
          </w:tcPr>
          <w:p w14:paraId="556A1B39" w14:textId="77777777" w:rsidR="007B690E" w:rsidRPr="007B690E" w:rsidRDefault="007B690E" w:rsidP="007B690E">
            <w:pPr>
              <w:widowControl w:val="0"/>
              <w:autoSpaceDE w:val="0"/>
              <w:autoSpaceDN w:val="0"/>
              <w:adjustRightInd w:val="0"/>
              <w:spacing w:after="0" w:line="240" w:lineRule="auto"/>
              <w:jc w:val="center"/>
              <w:rPr>
                <w:rFonts w:ascii="Arial" w:eastAsia="Calibri" w:hAnsi="Arial" w:cs="Arial"/>
                <w:color w:val="000000"/>
                <w:sz w:val="16"/>
                <w:szCs w:val="16"/>
                <w:lang w:val="en-US"/>
              </w:rPr>
            </w:pPr>
            <w:r w:rsidRPr="007B690E">
              <w:rPr>
                <w:rFonts w:ascii="Arial" w:eastAsia="Calibri" w:hAnsi="Arial" w:cs="Arial"/>
                <w:bCs/>
                <w:color w:val="000000"/>
                <w:sz w:val="16"/>
                <w:szCs w:val="16"/>
              </w:rPr>
              <w:t xml:space="preserve">Conformidade </w:t>
            </w:r>
            <w:r w:rsidRPr="007B690E">
              <w:rPr>
                <w:rFonts w:ascii="Arial" w:eastAsia="Calibri" w:hAnsi="Arial" w:cs="Arial"/>
                <w:color w:val="000000"/>
                <w:sz w:val="16"/>
                <w:szCs w:val="16"/>
              </w:rPr>
              <w:t>(Verificação docu</w:t>
            </w:r>
            <w:r w:rsidRPr="007B690E">
              <w:rPr>
                <w:rFonts w:ascii="Arial" w:eastAsia="Calibri" w:hAnsi="Arial" w:cs="Arial"/>
                <w:color w:val="000000"/>
                <w:sz w:val="16"/>
                <w:szCs w:val="16"/>
                <w:lang w:val="en-US"/>
              </w:rPr>
              <w:t>mental)</w:t>
            </w:r>
          </w:p>
        </w:tc>
        <w:tc>
          <w:tcPr>
            <w:tcW w:w="2694" w:type="dxa"/>
            <w:shd w:val="clear" w:color="auto" w:fill="auto"/>
            <w:vAlign w:val="center"/>
          </w:tcPr>
          <w:p w14:paraId="62A32F6C" w14:textId="77777777" w:rsidR="007B690E" w:rsidRPr="007B690E" w:rsidRDefault="007B690E" w:rsidP="007B690E">
            <w:pPr>
              <w:widowControl w:val="0"/>
              <w:autoSpaceDE w:val="0"/>
              <w:autoSpaceDN w:val="0"/>
              <w:adjustRightInd w:val="0"/>
              <w:spacing w:after="0" w:line="240" w:lineRule="auto"/>
              <w:jc w:val="both"/>
              <w:rPr>
                <w:rFonts w:ascii="Arial" w:eastAsia="Calibri" w:hAnsi="Arial" w:cs="Arial"/>
                <w:bCs/>
                <w:sz w:val="16"/>
                <w:szCs w:val="16"/>
              </w:rPr>
            </w:pPr>
            <w:r w:rsidRPr="007B690E">
              <w:rPr>
                <w:rFonts w:ascii="Arial" w:eastAsia="Calibri" w:hAnsi="Arial" w:cs="Arial"/>
                <w:sz w:val="16"/>
                <w:szCs w:val="16"/>
              </w:rPr>
              <w:t>Consistência do saldo devedor da declaração de quitação (DELQUIT) com o registro de créditos previdenciário a receber (BALPAT)</w:t>
            </w:r>
          </w:p>
        </w:tc>
        <w:tc>
          <w:tcPr>
            <w:tcW w:w="1275" w:type="dxa"/>
            <w:shd w:val="clear" w:color="auto" w:fill="auto"/>
            <w:vAlign w:val="center"/>
          </w:tcPr>
          <w:p w14:paraId="295F3AA5" w14:textId="77777777" w:rsidR="007B690E" w:rsidRPr="007B690E" w:rsidRDefault="007B690E" w:rsidP="007B690E">
            <w:pPr>
              <w:widowControl w:val="0"/>
              <w:spacing w:after="0" w:line="240" w:lineRule="auto"/>
              <w:rPr>
                <w:rFonts w:ascii="Arial" w:eastAsia="Calibri" w:hAnsi="Arial" w:cs="Arial"/>
                <w:color w:val="000000"/>
                <w:sz w:val="16"/>
                <w:szCs w:val="16"/>
              </w:rPr>
            </w:pPr>
            <w:r w:rsidRPr="007B690E">
              <w:rPr>
                <w:rFonts w:ascii="Arial" w:eastAsia="Calibri" w:hAnsi="Arial" w:cs="Arial"/>
                <w:color w:val="000000"/>
                <w:sz w:val="16"/>
                <w:szCs w:val="16"/>
              </w:rPr>
              <w:t>Contas de Gestão do RPPS</w:t>
            </w:r>
          </w:p>
        </w:tc>
      </w:tr>
      <w:tr w:rsidR="007B690E" w:rsidRPr="007B690E" w14:paraId="1634B1E4" w14:textId="77777777" w:rsidTr="007B690E">
        <w:trPr>
          <w:trHeight w:val="613"/>
        </w:trPr>
        <w:tc>
          <w:tcPr>
            <w:tcW w:w="851" w:type="dxa"/>
            <w:vAlign w:val="center"/>
          </w:tcPr>
          <w:p w14:paraId="1AA1622F" w14:textId="77777777" w:rsidR="007B690E" w:rsidRPr="007B690E" w:rsidRDefault="007B690E" w:rsidP="007B690E">
            <w:pPr>
              <w:widowControl w:val="0"/>
              <w:spacing w:after="0" w:line="240" w:lineRule="auto"/>
              <w:jc w:val="center"/>
              <w:rPr>
                <w:rFonts w:ascii="Arial" w:eastAsia="Calibri" w:hAnsi="Arial" w:cs="Arial"/>
                <w:sz w:val="16"/>
                <w:szCs w:val="16"/>
              </w:rPr>
            </w:pPr>
            <w:r w:rsidRPr="007B690E">
              <w:rPr>
                <w:rFonts w:ascii="Arial" w:eastAsia="Calibri" w:hAnsi="Arial" w:cs="Arial"/>
                <w:color w:val="000000"/>
                <w:sz w:val="16"/>
                <w:szCs w:val="16"/>
              </w:rPr>
              <w:t>1.2.18</w:t>
            </w:r>
          </w:p>
        </w:tc>
        <w:tc>
          <w:tcPr>
            <w:tcW w:w="1417" w:type="dxa"/>
            <w:shd w:val="clear" w:color="auto" w:fill="auto"/>
            <w:vAlign w:val="center"/>
          </w:tcPr>
          <w:p w14:paraId="3C4072B3" w14:textId="77777777" w:rsidR="007B690E" w:rsidRPr="007B690E" w:rsidRDefault="007B690E" w:rsidP="007B690E">
            <w:pPr>
              <w:widowControl w:val="0"/>
              <w:spacing w:after="0" w:line="240" w:lineRule="auto"/>
              <w:jc w:val="center"/>
              <w:rPr>
                <w:rFonts w:ascii="Arial" w:eastAsia="Calibri" w:hAnsi="Arial" w:cs="Arial"/>
                <w:sz w:val="16"/>
                <w:szCs w:val="16"/>
                <w:lang w:val="en-US"/>
              </w:rPr>
            </w:pPr>
            <w:r w:rsidRPr="007B690E">
              <w:rPr>
                <w:rFonts w:ascii="Arial" w:eastAsia="Calibri" w:hAnsi="Arial" w:cs="Arial"/>
                <w:sz w:val="16"/>
                <w:szCs w:val="16"/>
                <w:lang w:val="en-US"/>
              </w:rPr>
              <w:t>Conciliação de contas</w:t>
            </w:r>
          </w:p>
        </w:tc>
        <w:tc>
          <w:tcPr>
            <w:tcW w:w="1418" w:type="dxa"/>
            <w:shd w:val="clear" w:color="auto" w:fill="auto"/>
            <w:vAlign w:val="center"/>
          </w:tcPr>
          <w:p w14:paraId="0F7D1DC3" w14:textId="77777777" w:rsidR="007B690E" w:rsidRPr="00532985" w:rsidRDefault="00532985" w:rsidP="007B690E">
            <w:pPr>
              <w:tabs>
                <w:tab w:val="left" w:pos="213"/>
              </w:tabs>
              <w:spacing w:after="0" w:line="240" w:lineRule="auto"/>
              <w:ind w:left="72"/>
              <w:contextualSpacing/>
              <w:rPr>
                <w:rFonts w:ascii="Arial" w:eastAsia="Calibri" w:hAnsi="Arial" w:cs="Arial"/>
                <w:bCs/>
                <w:sz w:val="16"/>
                <w:szCs w:val="16"/>
              </w:rPr>
            </w:pPr>
            <w:r>
              <w:rPr>
                <w:rFonts w:ascii="Arial" w:eastAsia="Calibri" w:hAnsi="Arial" w:cs="Arial"/>
                <w:bCs/>
                <w:color w:val="000000"/>
                <w:sz w:val="16"/>
                <w:szCs w:val="16"/>
              </w:rPr>
              <w:t>IN regulamentadora da remessa de prestação de contas</w:t>
            </w:r>
          </w:p>
        </w:tc>
        <w:tc>
          <w:tcPr>
            <w:tcW w:w="1417" w:type="dxa"/>
            <w:vAlign w:val="center"/>
          </w:tcPr>
          <w:p w14:paraId="4DEB886C" w14:textId="77777777" w:rsidR="007B690E" w:rsidRPr="007B690E" w:rsidRDefault="007B690E" w:rsidP="007B690E">
            <w:pPr>
              <w:widowControl w:val="0"/>
              <w:spacing w:after="0" w:line="240" w:lineRule="auto"/>
              <w:jc w:val="center"/>
              <w:rPr>
                <w:rFonts w:ascii="Calibri" w:eastAsia="Calibri" w:hAnsi="Calibri" w:cs="Times New Roman"/>
                <w:lang w:val="en-US"/>
              </w:rPr>
            </w:pPr>
            <w:r w:rsidRPr="007B690E">
              <w:rPr>
                <w:rFonts w:ascii="Arial" w:eastAsia="Calibri" w:hAnsi="Arial" w:cs="Arial"/>
                <w:bCs/>
                <w:color w:val="000000"/>
                <w:sz w:val="16"/>
                <w:szCs w:val="16"/>
              </w:rPr>
              <w:t xml:space="preserve">Conformidade </w:t>
            </w:r>
            <w:r w:rsidRPr="007B690E">
              <w:rPr>
                <w:rFonts w:ascii="Arial" w:eastAsia="Calibri" w:hAnsi="Arial" w:cs="Arial"/>
                <w:color w:val="000000"/>
                <w:sz w:val="16"/>
                <w:szCs w:val="16"/>
              </w:rPr>
              <w:t>(Verificação docu</w:t>
            </w:r>
            <w:r w:rsidRPr="007B690E">
              <w:rPr>
                <w:rFonts w:ascii="Arial" w:eastAsia="Calibri" w:hAnsi="Arial" w:cs="Arial"/>
                <w:color w:val="000000"/>
                <w:sz w:val="16"/>
                <w:szCs w:val="16"/>
                <w:lang w:val="en-US"/>
              </w:rPr>
              <w:t>mental)</w:t>
            </w:r>
          </w:p>
        </w:tc>
        <w:tc>
          <w:tcPr>
            <w:tcW w:w="2694" w:type="dxa"/>
            <w:shd w:val="clear" w:color="auto" w:fill="auto"/>
            <w:vAlign w:val="center"/>
          </w:tcPr>
          <w:p w14:paraId="5FDD751E" w14:textId="77777777" w:rsidR="007B690E" w:rsidRPr="007B690E" w:rsidRDefault="007B690E" w:rsidP="007B690E">
            <w:pPr>
              <w:widowControl w:val="0"/>
              <w:spacing w:after="0" w:line="240" w:lineRule="auto"/>
              <w:jc w:val="both"/>
              <w:rPr>
                <w:rFonts w:ascii="Arial" w:eastAsia="Calibri" w:hAnsi="Arial" w:cs="Arial"/>
                <w:bCs/>
                <w:sz w:val="16"/>
                <w:szCs w:val="16"/>
              </w:rPr>
            </w:pPr>
            <w:r w:rsidRPr="007B690E">
              <w:rPr>
                <w:rFonts w:ascii="Arial" w:eastAsia="Calibri" w:hAnsi="Arial" w:cs="Arial"/>
                <w:sz w:val="16"/>
                <w:szCs w:val="16"/>
              </w:rPr>
              <w:t>Consistência do saldo devedor da declaração de quitação (DELQUIT) com a diferença das contribuições devidas e recebidas pelo RPPS (DEMREC)</w:t>
            </w:r>
          </w:p>
        </w:tc>
        <w:tc>
          <w:tcPr>
            <w:tcW w:w="1275" w:type="dxa"/>
            <w:shd w:val="clear" w:color="auto" w:fill="auto"/>
            <w:vAlign w:val="center"/>
          </w:tcPr>
          <w:p w14:paraId="4DE2F097" w14:textId="77777777" w:rsidR="007B690E" w:rsidRPr="007B690E" w:rsidRDefault="007B690E" w:rsidP="007B690E">
            <w:pPr>
              <w:widowControl w:val="0"/>
              <w:spacing w:after="0" w:line="240" w:lineRule="auto"/>
              <w:rPr>
                <w:rFonts w:ascii="Arial" w:eastAsia="Calibri" w:hAnsi="Arial" w:cs="Arial"/>
                <w:color w:val="000000"/>
                <w:sz w:val="16"/>
                <w:szCs w:val="16"/>
              </w:rPr>
            </w:pPr>
            <w:r w:rsidRPr="007B690E">
              <w:rPr>
                <w:rFonts w:ascii="Arial" w:eastAsia="Calibri" w:hAnsi="Arial" w:cs="Arial"/>
                <w:color w:val="000000"/>
                <w:sz w:val="16"/>
                <w:szCs w:val="16"/>
              </w:rPr>
              <w:t>Contas de Gestão do RPPS</w:t>
            </w:r>
          </w:p>
        </w:tc>
      </w:tr>
      <w:tr w:rsidR="007B690E" w:rsidRPr="007B690E" w14:paraId="0C45515C" w14:textId="77777777" w:rsidTr="007B690E">
        <w:trPr>
          <w:trHeight w:val="613"/>
        </w:trPr>
        <w:tc>
          <w:tcPr>
            <w:tcW w:w="851" w:type="dxa"/>
            <w:vAlign w:val="center"/>
          </w:tcPr>
          <w:p w14:paraId="7E9933EB" w14:textId="77777777" w:rsidR="007B690E" w:rsidRPr="007B690E" w:rsidRDefault="007B690E" w:rsidP="007B690E">
            <w:pPr>
              <w:widowControl w:val="0"/>
              <w:spacing w:after="0" w:line="240" w:lineRule="auto"/>
              <w:jc w:val="center"/>
              <w:rPr>
                <w:rFonts w:ascii="Arial" w:eastAsia="Calibri" w:hAnsi="Arial" w:cs="Arial"/>
                <w:sz w:val="16"/>
                <w:szCs w:val="16"/>
              </w:rPr>
            </w:pPr>
            <w:r w:rsidRPr="007B690E">
              <w:rPr>
                <w:rFonts w:ascii="Arial" w:eastAsia="Calibri" w:hAnsi="Arial" w:cs="Arial"/>
                <w:color w:val="000000"/>
                <w:sz w:val="16"/>
                <w:szCs w:val="16"/>
              </w:rPr>
              <w:t>1.2.19</w:t>
            </w:r>
          </w:p>
        </w:tc>
        <w:tc>
          <w:tcPr>
            <w:tcW w:w="1417" w:type="dxa"/>
            <w:shd w:val="clear" w:color="auto" w:fill="auto"/>
            <w:vAlign w:val="center"/>
          </w:tcPr>
          <w:p w14:paraId="5669B222" w14:textId="77777777" w:rsidR="007B690E" w:rsidRPr="007B690E" w:rsidRDefault="007B690E" w:rsidP="007B690E">
            <w:pPr>
              <w:widowControl w:val="0"/>
              <w:spacing w:after="0" w:line="240" w:lineRule="auto"/>
              <w:jc w:val="center"/>
              <w:rPr>
                <w:rFonts w:ascii="Arial" w:eastAsia="Calibri" w:hAnsi="Arial" w:cs="Arial"/>
                <w:sz w:val="16"/>
                <w:szCs w:val="16"/>
                <w:lang w:val="en-US"/>
              </w:rPr>
            </w:pPr>
            <w:r w:rsidRPr="007B690E">
              <w:rPr>
                <w:rFonts w:ascii="Arial" w:eastAsia="Calibri" w:hAnsi="Arial" w:cs="Arial"/>
                <w:sz w:val="16"/>
                <w:szCs w:val="16"/>
                <w:lang w:val="en-US"/>
              </w:rPr>
              <w:t>Conciliação de contas</w:t>
            </w:r>
          </w:p>
        </w:tc>
        <w:tc>
          <w:tcPr>
            <w:tcW w:w="1418" w:type="dxa"/>
            <w:shd w:val="clear" w:color="auto" w:fill="auto"/>
            <w:vAlign w:val="center"/>
          </w:tcPr>
          <w:p w14:paraId="2FE3B49E" w14:textId="77777777" w:rsidR="007B690E" w:rsidRPr="00532985" w:rsidRDefault="00532985" w:rsidP="007B690E">
            <w:pPr>
              <w:tabs>
                <w:tab w:val="left" w:pos="213"/>
              </w:tabs>
              <w:spacing w:after="0" w:line="240" w:lineRule="auto"/>
              <w:ind w:left="72"/>
              <w:contextualSpacing/>
              <w:rPr>
                <w:rFonts w:ascii="Arial" w:eastAsia="Calibri" w:hAnsi="Arial" w:cs="Arial"/>
                <w:bCs/>
                <w:sz w:val="16"/>
                <w:szCs w:val="16"/>
              </w:rPr>
            </w:pPr>
            <w:r>
              <w:rPr>
                <w:rFonts w:ascii="Arial" w:eastAsia="Calibri" w:hAnsi="Arial" w:cs="Arial"/>
                <w:bCs/>
                <w:color w:val="000000"/>
                <w:sz w:val="16"/>
                <w:szCs w:val="16"/>
              </w:rPr>
              <w:t>IN regulamentadora da remessa de prestação de contas</w:t>
            </w:r>
          </w:p>
        </w:tc>
        <w:tc>
          <w:tcPr>
            <w:tcW w:w="1417" w:type="dxa"/>
            <w:vAlign w:val="center"/>
          </w:tcPr>
          <w:p w14:paraId="4D94EB50" w14:textId="77777777" w:rsidR="007B690E" w:rsidRPr="007B690E" w:rsidRDefault="007B690E" w:rsidP="007B690E">
            <w:pPr>
              <w:widowControl w:val="0"/>
              <w:spacing w:after="0" w:line="240" w:lineRule="auto"/>
              <w:jc w:val="center"/>
              <w:rPr>
                <w:rFonts w:ascii="Calibri" w:eastAsia="Calibri" w:hAnsi="Calibri" w:cs="Times New Roman"/>
                <w:lang w:val="en-US"/>
              </w:rPr>
            </w:pPr>
            <w:r w:rsidRPr="007B690E">
              <w:rPr>
                <w:rFonts w:ascii="Arial" w:eastAsia="Calibri" w:hAnsi="Arial" w:cs="Arial"/>
                <w:bCs/>
                <w:color w:val="000000"/>
                <w:sz w:val="16"/>
                <w:szCs w:val="16"/>
              </w:rPr>
              <w:t xml:space="preserve">Conformidade </w:t>
            </w:r>
            <w:r w:rsidRPr="007B690E">
              <w:rPr>
                <w:rFonts w:ascii="Arial" w:eastAsia="Calibri" w:hAnsi="Arial" w:cs="Arial"/>
                <w:color w:val="000000"/>
                <w:sz w:val="16"/>
                <w:szCs w:val="16"/>
              </w:rPr>
              <w:t>(Verificação docu</w:t>
            </w:r>
            <w:r w:rsidRPr="007B690E">
              <w:rPr>
                <w:rFonts w:ascii="Arial" w:eastAsia="Calibri" w:hAnsi="Arial" w:cs="Arial"/>
                <w:color w:val="000000"/>
                <w:sz w:val="16"/>
                <w:szCs w:val="16"/>
                <w:lang w:val="en-US"/>
              </w:rPr>
              <w:t>mental)</w:t>
            </w:r>
          </w:p>
        </w:tc>
        <w:tc>
          <w:tcPr>
            <w:tcW w:w="2694" w:type="dxa"/>
            <w:shd w:val="clear" w:color="auto" w:fill="auto"/>
            <w:vAlign w:val="center"/>
          </w:tcPr>
          <w:p w14:paraId="651434B3" w14:textId="77777777" w:rsidR="007B690E" w:rsidRPr="007B690E" w:rsidRDefault="007B690E" w:rsidP="007B690E">
            <w:pPr>
              <w:widowControl w:val="0"/>
              <w:autoSpaceDE w:val="0"/>
              <w:autoSpaceDN w:val="0"/>
              <w:adjustRightInd w:val="0"/>
              <w:spacing w:after="0" w:line="240" w:lineRule="auto"/>
              <w:jc w:val="both"/>
              <w:rPr>
                <w:rFonts w:ascii="Arial" w:eastAsia="Calibri" w:hAnsi="Arial" w:cs="Arial"/>
                <w:sz w:val="16"/>
                <w:szCs w:val="16"/>
              </w:rPr>
            </w:pPr>
            <w:r w:rsidRPr="007B690E">
              <w:rPr>
                <w:rFonts w:ascii="Arial" w:eastAsia="Calibri" w:hAnsi="Arial" w:cs="Arial"/>
                <w:sz w:val="16"/>
                <w:szCs w:val="16"/>
              </w:rPr>
              <w:t>Consistência do balanço atuarial (BALATU) com o registro de provisões matemáticas previdenciárias (BALVER)</w:t>
            </w:r>
          </w:p>
          <w:p w14:paraId="5336B2A8" w14:textId="77777777" w:rsidR="007B690E" w:rsidRPr="007B690E" w:rsidRDefault="007B690E" w:rsidP="007B690E">
            <w:pPr>
              <w:widowControl w:val="0"/>
              <w:autoSpaceDE w:val="0"/>
              <w:autoSpaceDN w:val="0"/>
              <w:adjustRightInd w:val="0"/>
              <w:spacing w:after="0" w:line="240" w:lineRule="auto"/>
              <w:jc w:val="both"/>
              <w:rPr>
                <w:rFonts w:ascii="Arial" w:eastAsia="Calibri" w:hAnsi="Arial" w:cs="Arial"/>
                <w:sz w:val="16"/>
                <w:szCs w:val="16"/>
              </w:rPr>
            </w:pPr>
          </w:p>
          <w:p w14:paraId="7470CBFE" w14:textId="77777777" w:rsidR="007B690E" w:rsidRPr="007B690E" w:rsidRDefault="007B690E" w:rsidP="007B690E">
            <w:pPr>
              <w:widowControl w:val="0"/>
              <w:autoSpaceDE w:val="0"/>
              <w:autoSpaceDN w:val="0"/>
              <w:adjustRightInd w:val="0"/>
              <w:spacing w:after="0" w:line="240" w:lineRule="auto"/>
              <w:jc w:val="both"/>
              <w:rPr>
                <w:rFonts w:ascii="Arial" w:eastAsia="Calibri" w:hAnsi="Arial" w:cs="Arial"/>
                <w:sz w:val="16"/>
                <w:szCs w:val="16"/>
              </w:rPr>
            </w:pPr>
          </w:p>
          <w:p w14:paraId="264EBDDF" w14:textId="77777777" w:rsidR="007B690E" w:rsidRPr="007B690E" w:rsidRDefault="007B690E" w:rsidP="007B690E">
            <w:pPr>
              <w:widowControl w:val="0"/>
              <w:autoSpaceDE w:val="0"/>
              <w:autoSpaceDN w:val="0"/>
              <w:adjustRightInd w:val="0"/>
              <w:spacing w:after="0" w:line="240" w:lineRule="auto"/>
              <w:jc w:val="both"/>
              <w:rPr>
                <w:rFonts w:ascii="Arial" w:eastAsia="Calibri" w:hAnsi="Arial" w:cs="Arial"/>
                <w:bCs/>
                <w:sz w:val="16"/>
                <w:szCs w:val="16"/>
              </w:rPr>
            </w:pPr>
          </w:p>
        </w:tc>
        <w:tc>
          <w:tcPr>
            <w:tcW w:w="1275" w:type="dxa"/>
            <w:shd w:val="clear" w:color="auto" w:fill="auto"/>
            <w:vAlign w:val="center"/>
          </w:tcPr>
          <w:p w14:paraId="35D6CB62" w14:textId="77777777" w:rsidR="007B690E" w:rsidRPr="007B690E" w:rsidRDefault="007B690E" w:rsidP="007B690E">
            <w:pPr>
              <w:widowControl w:val="0"/>
              <w:spacing w:after="0" w:line="240" w:lineRule="auto"/>
              <w:rPr>
                <w:rFonts w:ascii="Arial" w:eastAsia="Calibri" w:hAnsi="Arial" w:cs="Arial"/>
                <w:color w:val="000000"/>
                <w:sz w:val="16"/>
                <w:szCs w:val="16"/>
              </w:rPr>
            </w:pPr>
            <w:r w:rsidRPr="007B690E">
              <w:rPr>
                <w:rFonts w:ascii="Arial" w:eastAsia="Calibri" w:hAnsi="Arial" w:cs="Arial"/>
                <w:color w:val="000000"/>
                <w:sz w:val="16"/>
                <w:szCs w:val="16"/>
              </w:rPr>
              <w:t>Contas de Gestão do RPPS</w:t>
            </w:r>
          </w:p>
        </w:tc>
      </w:tr>
      <w:tr w:rsidR="007B690E" w:rsidRPr="007B690E" w14:paraId="22C01396" w14:textId="77777777" w:rsidTr="007B690E">
        <w:trPr>
          <w:trHeight w:val="420"/>
        </w:trPr>
        <w:tc>
          <w:tcPr>
            <w:tcW w:w="9072" w:type="dxa"/>
            <w:gridSpan w:val="6"/>
            <w:vAlign w:val="center"/>
          </w:tcPr>
          <w:p w14:paraId="5A4EF955"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b/>
                <w:bCs/>
                <w:color w:val="000000"/>
              </w:rPr>
              <w:lastRenderedPageBreak/>
              <w:t>1.3.Gestão patrimonial</w:t>
            </w:r>
          </w:p>
        </w:tc>
      </w:tr>
      <w:tr w:rsidR="007B690E" w:rsidRPr="007B690E" w14:paraId="180928B5" w14:textId="77777777" w:rsidTr="007B690E">
        <w:trPr>
          <w:trHeight w:val="255"/>
        </w:trPr>
        <w:tc>
          <w:tcPr>
            <w:tcW w:w="851" w:type="dxa"/>
            <w:vAlign w:val="center"/>
          </w:tcPr>
          <w:p w14:paraId="3DBC35F0" w14:textId="77777777" w:rsidR="007B690E" w:rsidRPr="007B690E" w:rsidRDefault="007B690E" w:rsidP="007B690E">
            <w:pPr>
              <w:widowControl w:val="0"/>
              <w:spacing w:after="0" w:line="240" w:lineRule="auto"/>
              <w:jc w:val="center"/>
              <w:rPr>
                <w:rFonts w:ascii="Arial" w:eastAsia="Calibri" w:hAnsi="Arial" w:cs="Arial"/>
                <w:b/>
                <w:bCs/>
                <w:color w:val="000000"/>
                <w:sz w:val="16"/>
                <w:szCs w:val="16"/>
              </w:rPr>
            </w:pPr>
            <w:r w:rsidRPr="007B690E">
              <w:rPr>
                <w:rFonts w:ascii="Arial" w:eastAsia="Calibri" w:hAnsi="Arial" w:cs="Arial"/>
                <w:b/>
                <w:bCs/>
                <w:color w:val="000000"/>
                <w:sz w:val="16"/>
                <w:szCs w:val="16"/>
              </w:rPr>
              <w:t>Código</w:t>
            </w:r>
          </w:p>
        </w:tc>
        <w:tc>
          <w:tcPr>
            <w:tcW w:w="1417" w:type="dxa"/>
            <w:shd w:val="clear" w:color="auto" w:fill="auto"/>
            <w:vAlign w:val="center"/>
            <w:hideMark/>
          </w:tcPr>
          <w:p w14:paraId="786E06DC" w14:textId="77777777" w:rsidR="007B690E" w:rsidRPr="007B690E" w:rsidRDefault="007B690E" w:rsidP="007B690E">
            <w:pPr>
              <w:widowControl w:val="0"/>
              <w:spacing w:after="0" w:line="240" w:lineRule="auto"/>
              <w:jc w:val="center"/>
              <w:rPr>
                <w:rFonts w:ascii="Arial" w:eastAsia="Calibri" w:hAnsi="Arial" w:cs="Arial"/>
                <w:b/>
                <w:bCs/>
                <w:color w:val="000000"/>
                <w:sz w:val="16"/>
                <w:szCs w:val="16"/>
                <w:lang w:val="en-US"/>
              </w:rPr>
            </w:pPr>
            <w:r w:rsidRPr="007B690E">
              <w:rPr>
                <w:rFonts w:ascii="Arial" w:eastAsia="Calibri" w:hAnsi="Arial" w:cs="Arial"/>
                <w:b/>
                <w:bCs/>
                <w:color w:val="000000"/>
                <w:sz w:val="16"/>
                <w:szCs w:val="16"/>
                <w:lang w:val="en-US"/>
              </w:rPr>
              <w:t>Ponto de controle</w:t>
            </w:r>
          </w:p>
        </w:tc>
        <w:tc>
          <w:tcPr>
            <w:tcW w:w="1418" w:type="dxa"/>
            <w:shd w:val="clear" w:color="auto" w:fill="auto"/>
            <w:vAlign w:val="center"/>
            <w:hideMark/>
          </w:tcPr>
          <w:p w14:paraId="300A1B7C" w14:textId="77777777" w:rsidR="007B690E" w:rsidRPr="007B690E" w:rsidRDefault="007B690E" w:rsidP="007B690E">
            <w:pPr>
              <w:widowControl w:val="0"/>
              <w:spacing w:after="0" w:line="240" w:lineRule="auto"/>
              <w:jc w:val="center"/>
              <w:rPr>
                <w:rFonts w:ascii="Arial" w:eastAsia="Calibri" w:hAnsi="Arial" w:cs="Arial"/>
                <w:b/>
                <w:bCs/>
                <w:color w:val="000000"/>
                <w:sz w:val="16"/>
                <w:szCs w:val="16"/>
                <w:lang w:val="en-US"/>
              </w:rPr>
            </w:pPr>
            <w:r w:rsidRPr="007B690E">
              <w:rPr>
                <w:rFonts w:ascii="Arial" w:eastAsia="Calibri" w:hAnsi="Arial" w:cs="Arial"/>
                <w:b/>
                <w:bCs/>
                <w:color w:val="000000"/>
                <w:sz w:val="16"/>
                <w:szCs w:val="16"/>
                <w:lang w:val="en-US"/>
              </w:rPr>
              <w:t>Base legal</w:t>
            </w:r>
          </w:p>
        </w:tc>
        <w:tc>
          <w:tcPr>
            <w:tcW w:w="1417" w:type="dxa"/>
            <w:vAlign w:val="center"/>
          </w:tcPr>
          <w:p w14:paraId="0ECD3DBD" w14:textId="77777777" w:rsidR="007B690E" w:rsidRPr="007B690E" w:rsidRDefault="007B690E" w:rsidP="007B690E">
            <w:pPr>
              <w:widowControl w:val="0"/>
              <w:spacing w:after="0" w:line="240" w:lineRule="auto"/>
              <w:jc w:val="center"/>
              <w:rPr>
                <w:rFonts w:ascii="Arial" w:eastAsia="Calibri" w:hAnsi="Arial" w:cs="Arial"/>
                <w:b/>
                <w:bCs/>
                <w:color w:val="000000"/>
                <w:sz w:val="16"/>
                <w:szCs w:val="16"/>
                <w:lang w:val="en-US"/>
              </w:rPr>
            </w:pPr>
            <w:r w:rsidRPr="007B690E">
              <w:rPr>
                <w:rFonts w:ascii="Arial" w:eastAsia="Calibri" w:hAnsi="Arial" w:cs="Arial"/>
                <w:b/>
                <w:bCs/>
                <w:color w:val="000000"/>
                <w:sz w:val="16"/>
                <w:szCs w:val="16"/>
                <w:lang w:val="en-US"/>
              </w:rPr>
              <w:t>Tipo de procedimento sugerido</w:t>
            </w:r>
          </w:p>
        </w:tc>
        <w:tc>
          <w:tcPr>
            <w:tcW w:w="2694" w:type="dxa"/>
            <w:shd w:val="clear" w:color="auto" w:fill="auto"/>
            <w:vAlign w:val="center"/>
            <w:hideMark/>
          </w:tcPr>
          <w:p w14:paraId="72C63F64" w14:textId="77777777" w:rsidR="007B690E" w:rsidRPr="007B690E" w:rsidRDefault="007B690E" w:rsidP="007B690E">
            <w:pPr>
              <w:widowControl w:val="0"/>
              <w:spacing w:after="0" w:line="240" w:lineRule="auto"/>
              <w:jc w:val="center"/>
              <w:rPr>
                <w:rFonts w:ascii="Arial" w:eastAsia="Calibri" w:hAnsi="Arial" w:cs="Arial"/>
                <w:b/>
                <w:bCs/>
                <w:color w:val="000000"/>
                <w:sz w:val="16"/>
                <w:szCs w:val="16"/>
                <w:lang w:val="en-US"/>
              </w:rPr>
            </w:pPr>
            <w:r w:rsidRPr="007B690E">
              <w:rPr>
                <w:rFonts w:ascii="Arial" w:eastAsia="Calibri" w:hAnsi="Arial" w:cs="Arial"/>
                <w:b/>
                <w:bCs/>
                <w:color w:val="000000"/>
                <w:sz w:val="16"/>
                <w:szCs w:val="16"/>
                <w:lang w:val="en-US"/>
              </w:rPr>
              <w:t>Procedimento</w:t>
            </w:r>
          </w:p>
        </w:tc>
        <w:tc>
          <w:tcPr>
            <w:tcW w:w="1275" w:type="dxa"/>
            <w:shd w:val="clear" w:color="auto" w:fill="auto"/>
            <w:vAlign w:val="center"/>
            <w:hideMark/>
          </w:tcPr>
          <w:p w14:paraId="3A7AE753" w14:textId="77777777" w:rsidR="007B690E" w:rsidRPr="007B690E" w:rsidRDefault="007B690E" w:rsidP="007B690E">
            <w:pPr>
              <w:widowControl w:val="0"/>
              <w:spacing w:after="0" w:line="240" w:lineRule="auto"/>
              <w:jc w:val="center"/>
              <w:rPr>
                <w:rFonts w:ascii="Arial" w:eastAsia="Calibri" w:hAnsi="Arial" w:cs="Arial"/>
                <w:b/>
                <w:bCs/>
                <w:color w:val="000000"/>
                <w:sz w:val="16"/>
                <w:szCs w:val="16"/>
                <w:lang w:val="en-US"/>
              </w:rPr>
            </w:pPr>
            <w:r w:rsidRPr="007B690E">
              <w:rPr>
                <w:rFonts w:ascii="Arial" w:eastAsia="Calibri" w:hAnsi="Arial" w:cs="Arial"/>
                <w:b/>
                <w:bCs/>
                <w:color w:val="000000"/>
                <w:sz w:val="16"/>
                <w:szCs w:val="16"/>
                <w:lang w:val="en-US"/>
              </w:rPr>
              <w:t>Aplicável à</w:t>
            </w:r>
          </w:p>
        </w:tc>
      </w:tr>
      <w:tr w:rsidR="007B690E" w:rsidRPr="007B690E" w14:paraId="2F478ABF" w14:textId="77777777" w:rsidTr="007B690E">
        <w:trPr>
          <w:trHeight w:val="1126"/>
        </w:trPr>
        <w:tc>
          <w:tcPr>
            <w:tcW w:w="851" w:type="dxa"/>
            <w:vAlign w:val="center"/>
          </w:tcPr>
          <w:p w14:paraId="326B5B28"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1.3.1</w:t>
            </w:r>
          </w:p>
        </w:tc>
        <w:tc>
          <w:tcPr>
            <w:tcW w:w="1417" w:type="dxa"/>
            <w:shd w:val="clear" w:color="auto" w:fill="auto"/>
            <w:vAlign w:val="center"/>
            <w:hideMark/>
          </w:tcPr>
          <w:p w14:paraId="5B94D83C"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Bens em estoque, móveis, imóveis e intangíveis – registro contábil compatibilidade com inventário.</w:t>
            </w:r>
          </w:p>
        </w:tc>
        <w:tc>
          <w:tcPr>
            <w:tcW w:w="1418" w:type="dxa"/>
            <w:shd w:val="clear" w:color="auto" w:fill="auto"/>
            <w:vAlign w:val="center"/>
            <w:hideMark/>
          </w:tcPr>
          <w:p w14:paraId="7838534E" w14:textId="77777777" w:rsidR="007B690E" w:rsidRPr="007B690E" w:rsidRDefault="007B690E" w:rsidP="007B690E">
            <w:pPr>
              <w:widowControl w:val="0"/>
              <w:spacing w:after="0" w:line="240" w:lineRule="auto"/>
              <w:jc w:val="both"/>
              <w:rPr>
                <w:rFonts w:ascii="Arial" w:eastAsia="Calibri" w:hAnsi="Arial" w:cs="Arial"/>
                <w:color w:val="000000"/>
                <w:sz w:val="16"/>
                <w:szCs w:val="16"/>
                <w:lang w:val="en-US"/>
              </w:rPr>
            </w:pPr>
            <w:r w:rsidRPr="007B690E">
              <w:rPr>
                <w:rFonts w:ascii="Arial" w:eastAsia="Calibri" w:hAnsi="Arial" w:cs="Arial"/>
                <w:color w:val="000000"/>
                <w:sz w:val="16"/>
                <w:szCs w:val="16"/>
                <w:lang w:val="en-US"/>
              </w:rPr>
              <w:t>CRFB/88, art. 37, caput c/c Lei 4.320/1964, arts. 94 a 96.</w:t>
            </w:r>
          </w:p>
        </w:tc>
        <w:tc>
          <w:tcPr>
            <w:tcW w:w="1417" w:type="dxa"/>
            <w:vAlign w:val="center"/>
          </w:tcPr>
          <w:p w14:paraId="23E0CB8D"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Conformidade (conciliação de demonstrativos)</w:t>
            </w:r>
          </w:p>
        </w:tc>
        <w:tc>
          <w:tcPr>
            <w:tcW w:w="2694" w:type="dxa"/>
            <w:shd w:val="clear" w:color="auto" w:fill="auto"/>
            <w:vAlign w:val="center"/>
            <w:hideMark/>
          </w:tcPr>
          <w:p w14:paraId="01EDAF93"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Avaliar se as demonstrações contábeis evidenciam a integralidade dos bens em estoque, móveis, imóveis e intangíveis em compatibilidade com os inventários anuais, bem como, as variações decorrentes de depreciação, amortização ou exaustão, e as devidas reavaliações.</w:t>
            </w:r>
          </w:p>
        </w:tc>
        <w:tc>
          <w:tcPr>
            <w:tcW w:w="1275" w:type="dxa"/>
            <w:shd w:val="clear" w:color="auto" w:fill="auto"/>
            <w:vAlign w:val="center"/>
            <w:hideMark/>
          </w:tcPr>
          <w:p w14:paraId="16755B98"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Gestão (Todas as UG´s)</w:t>
            </w:r>
          </w:p>
        </w:tc>
      </w:tr>
      <w:tr w:rsidR="007B690E" w:rsidRPr="007B690E" w14:paraId="5E0A4B59" w14:textId="77777777" w:rsidTr="007B690E">
        <w:trPr>
          <w:trHeight w:val="1132"/>
        </w:trPr>
        <w:tc>
          <w:tcPr>
            <w:tcW w:w="851" w:type="dxa"/>
            <w:vAlign w:val="center"/>
          </w:tcPr>
          <w:p w14:paraId="66A29887"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1.3.2</w:t>
            </w:r>
          </w:p>
        </w:tc>
        <w:tc>
          <w:tcPr>
            <w:tcW w:w="1417" w:type="dxa"/>
            <w:shd w:val="clear" w:color="auto" w:fill="auto"/>
            <w:vAlign w:val="center"/>
            <w:hideMark/>
          </w:tcPr>
          <w:p w14:paraId="06C25667"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Bens móveis, imóveis e intangíveis – Registro e controle</w:t>
            </w:r>
          </w:p>
        </w:tc>
        <w:tc>
          <w:tcPr>
            <w:tcW w:w="1418" w:type="dxa"/>
            <w:shd w:val="clear" w:color="auto" w:fill="auto"/>
            <w:vAlign w:val="center"/>
            <w:hideMark/>
          </w:tcPr>
          <w:p w14:paraId="68795B59" w14:textId="77777777" w:rsidR="007B690E" w:rsidRPr="007B690E" w:rsidRDefault="007B690E" w:rsidP="007B690E">
            <w:pPr>
              <w:widowControl w:val="0"/>
              <w:spacing w:after="0" w:line="240" w:lineRule="auto"/>
              <w:jc w:val="both"/>
              <w:rPr>
                <w:rFonts w:ascii="Arial" w:eastAsia="Calibri" w:hAnsi="Arial" w:cs="Arial"/>
                <w:color w:val="000000"/>
                <w:sz w:val="16"/>
                <w:szCs w:val="16"/>
                <w:lang w:val="en-US"/>
              </w:rPr>
            </w:pPr>
            <w:r w:rsidRPr="007B690E">
              <w:rPr>
                <w:rFonts w:ascii="Arial" w:eastAsia="Calibri" w:hAnsi="Arial" w:cs="Arial"/>
                <w:color w:val="000000"/>
                <w:sz w:val="16"/>
                <w:szCs w:val="16"/>
                <w:lang w:val="en-US"/>
              </w:rPr>
              <w:t>Lei 4.320/1964, art. 94.</w:t>
            </w:r>
          </w:p>
        </w:tc>
        <w:tc>
          <w:tcPr>
            <w:tcW w:w="1417" w:type="dxa"/>
            <w:vAlign w:val="center"/>
          </w:tcPr>
          <w:p w14:paraId="12B24C70"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Auditoria Governamental de conformidade</w:t>
            </w:r>
          </w:p>
        </w:tc>
        <w:tc>
          <w:tcPr>
            <w:tcW w:w="2694" w:type="dxa"/>
            <w:shd w:val="clear" w:color="auto" w:fill="auto"/>
            <w:vAlign w:val="center"/>
            <w:hideMark/>
          </w:tcPr>
          <w:p w14:paraId="5D2B15C4"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Avaliar se os registros analíticos de bens de caráter permanente estão sendo realizados contendo informações necessárias e suficientes para sua caracterização e se existe a indicação, na estrutura administrativa do órgão, de agente(s) responsável(is) por sua guarda e administração.</w:t>
            </w:r>
          </w:p>
        </w:tc>
        <w:tc>
          <w:tcPr>
            <w:tcW w:w="1275" w:type="dxa"/>
            <w:shd w:val="clear" w:color="auto" w:fill="auto"/>
            <w:vAlign w:val="center"/>
            <w:hideMark/>
          </w:tcPr>
          <w:p w14:paraId="58EED911"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Gestão (Todas as UG´s)</w:t>
            </w:r>
          </w:p>
        </w:tc>
      </w:tr>
      <w:tr w:rsidR="007B690E" w:rsidRPr="007B690E" w14:paraId="4A5681F8" w14:textId="77777777" w:rsidTr="007B690E">
        <w:trPr>
          <w:trHeight w:val="875"/>
        </w:trPr>
        <w:tc>
          <w:tcPr>
            <w:tcW w:w="851" w:type="dxa"/>
            <w:vAlign w:val="center"/>
          </w:tcPr>
          <w:p w14:paraId="4BF97DEE"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1.3.3</w:t>
            </w:r>
          </w:p>
        </w:tc>
        <w:tc>
          <w:tcPr>
            <w:tcW w:w="1417" w:type="dxa"/>
            <w:shd w:val="clear" w:color="auto" w:fill="auto"/>
            <w:vAlign w:val="center"/>
          </w:tcPr>
          <w:p w14:paraId="3D61032E"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 xml:space="preserve">Disponibilidades financeiras – depósito e aplicação </w:t>
            </w:r>
          </w:p>
        </w:tc>
        <w:tc>
          <w:tcPr>
            <w:tcW w:w="1418" w:type="dxa"/>
            <w:shd w:val="clear" w:color="auto" w:fill="auto"/>
            <w:vAlign w:val="center"/>
          </w:tcPr>
          <w:p w14:paraId="4DC3CEE1"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LC 101/2000, art. 43 c/c § 3º, do artigo 164 da CRFB/88.</w:t>
            </w:r>
          </w:p>
        </w:tc>
        <w:tc>
          <w:tcPr>
            <w:tcW w:w="1417" w:type="dxa"/>
            <w:vAlign w:val="center"/>
          </w:tcPr>
          <w:p w14:paraId="6BE47F67"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Conformidade (Verificação documental)</w:t>
            </w:r>
          </w:p>
        </w:tc>
        <w:tc>
          <w:tcPr>
            <w:tcW w:w="2694" w:type="dxa"/>
            <w:shd w:val="clear" w:color="auto" w:fill="auto"/>
            <w:vAlign w:val="center"/>
          </w:tcPr>
          <w:p w14:paraId="37F88150"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Avaliar se as disponibilidades financeiras foram depositadas em instituições financeiras oficiais.</w:t>
            </w:r>
          </w:p>
        </w:tc>
        <w:tc>
          <w:tcPr>
            <w:tcW w:w="1275" w:type="dxa"/>
            <w:shd w:val="clear" w:color="auto" w:fill="auto"/>
            <w:vAlign w:val="center"/>
          </w:tcPr>
          <w:p w14:paraId="5385AD4F"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Gestão (Todas as UG´s)</w:t>
            </w:r>
          </w:p>
        </w:tc>
      </w:tr>
      <w:tr w:rsidR="007B690E" w:rsidRPr="007B690E" w14:paraId="45DB8625" w14:textId="77777777" w:rsidTr="007B690E">
        <w:trPr>
          <w:trHeight w:val="623"/>
        </w:trPr>
        <w:tc>
          <w:tcPr>
            <w:tcW w:w="851" w:type="dxa"/>
            <w:vAlign w:val="center"/>
          </w:tcPr>
          <w:p w14:paraId="73C4F1DD"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1.3.4</w:t>
            </w:r>
          </w:p>
        </w:tc>
        <w:tc>
          <w:tcPr>
            <w:tcW w:w="1417" w:type="dxa"/>
            <w:shd w:val="clear" w:color="auto" w:fill="auto"/>
            <w:vAlign w:val="center"/>
            <w:hideMark/>
          </w:tcPr>
          <w:p w14:paraId="657FA544"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 xml:space="preserve">Disponibilidades financeiras – depósito e aplicação </w:t>
            </w:r>
          </w:p>
        </w:tc>
        <w:tc>
          <w:tcPr>
            <w:tcW w:w="1418" w:type="dxa"/>
            <w:shd w:val="clear" w:color="auto" w:fill="auto"/>
            <w:vAlign w:val="center"/>
            <w:hideMark/>
          </w:tcPr>
          <w:p w14:paraId="6CF416D0" w14:textId="77777777" w:rsidR="007B690E" w:rsidRPr="007B690E" w:rsidRDefault="007B690E" w:rsidP="007B690E">
            <w:pPr>
              <w:widowControl w:val="0"/>
              <w:spacing w:after="0" w:line="240" w:lineRule="auto"/>
              <w:jc w:val="both"/>
              <w:rPr>
                <w:rFonts w:ascii="Arial" w:eastAsia="Calibri" w:hAnsi="Arial" w:cs="Arial"/>
                <w:color w:val="000000"/>
                <w:sz w:val="16"/>
                <w:szCs w:val="16"/>
                <w:lang w:val="en-US"/>
              </w:rPr>
            </w:pPr>
            <w:r w:rsidRPr="007B690E">
              <w:rPr>
                <w:rFonts w:ascii="Arial" w:eastAsia="Calibri" w:hAnsi="Arial" w:cs="Arial"/>
                <w:color w:val="000000"/>
                <w:sz w:val="16"/>
                <w:szCs w:val="16"/>
                <w:lang w:val="en-US"/>
              </w:rPr>
              <w:t>Lei 4.320/1964, arts. 94 a 96.</w:t>
            </w:r>
          </w:p>
        </w:tc>
        <w:tc>
          <w:tcPr>
            <w:tcW w:w="1417" w:type="dxa"/>
            <w:vAlign w:val="center"/>
          </w:tcPr>
          <w:p w14:paraId="6B1C2617"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Conformidade (conciliação de demonstrativos)</w:t>
            </w:r>
          </w:p>
        </w:tc>
        <w:tc>
          <w:tcPr>
            <w:tcW w:w="2694" w:type="dxa"/>
            <w:shd w:val="clear" w:color="auto" w:fill="auto"/>
            <w:vAlign w:val="center"/>
            <w:hideMark/>
          </w:tcPr>
          <w:p w14:paraId="31EE3C5D"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Avaliar se as demonstrações contábeis evidenciam a integralidade dos valores depositados em contas correntes e aplicações financeiras confrontando os valores registrados com os extratos bancários no final do exercício.</w:t>
            </w:r>
          </w:p>
        </w:tc>
        <w:tc>
          <w:tcPr>
            <w:tcW w:w="1275" w:type="dxa"/>
            <w:shd w:val="clear" w:color="auto" w:fill="auto"/>
            <w:vAlign w:val="center"/>
            <w:hideMark/>
          </w:tcPr>
          <w:p w14:paraId="1B8E86F1"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Gestão (Todas as UG´s)</w:t>
            </w:r>
          </w:p>
        </w:tc>
      </w:tr>
      <w:tr w:rsidR="007B690E" w:rsidRPr="007B690E" w14:paraId="2B05A154" w14:textId="77777777" w:rsidTr="007B690E">
        <w:trPr>
          <w:trHeight w:val="605"/>
        </w:trPr>
        <w:tc>
          <w:tcPr>
            <w:tcW w:w="851" w:type="dxa"/>
            <w:vAlign w:val="center"/>
          </w:tcPr>
          <w:p w14:paraId="11B614EF"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1.3.5</w:t>
            </w:r>
          </w:p>
        </w:tc>
        <w:tc>
          <w:tcPr>
            <w:tcW w:w="1417" w:type="dxa"/>
            <w:shd w:val="clear" w:color="auto" w:fill="auto"/>
            <w:vAlign w:val="center"/>
            <w:hideMark/>
          </w:tcPr>
          <w:p w14:paraId="114DBFFC"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Dívida ativa e demais créditos tributários – conciliação do demonstrativo com as demonstrações contábeis</w:t>
            </w:r>
          </w:p>
        </w:tc>
        <w:tc>
          <w:tcPr>
            <w:tcW w:w="1418" w:type="dxa"/>
            <w:shd w:val="clear" w:color="auto" w:fill="auto"/>
            <w:vAlign w:val="center"/>
            <w:hideMark/>
          </w:tcPr>
          <w:p w14:paraId="6ECAF1FF" w14:textId="77777777" w:rsidR="007B690E" w:rsidRPr="007B690E" w:rsidRDefault="007B690E" w:rsidP="007B690E">
            <w:pPr>
              <w:widowControl w:val="0"/>
              <w:spacing w:after="0" w:line="240" w:lineRule="auto"/>
              <w:jc w:val="both"/>
              <w:rPr>
                <w:rFonts w:ascii="Arial" w:eastAsia="Calibri" w:hAnsi="Arial" w:cs="Arial"/>
                <w:color w:val="000000"/>
                <w:sz w:val="16"/>
                <w:szCs w:val="16"/>
                <w:lang w:val="en-US"/>
              </w:rPr>
            </w:pPr>
            <w:r w:rsidRPr="007B690E">
              <w:rPr>
                <w:rFonts w:ascii="Arial" w:eastAsia="Calibri" w:hAnsi="Arial" w:cs="Arial"/>
                <w:color w:val="000000"/>
                <w:sz w:val="16"/>
                <w:szCs w:val="16"/>
                <w:lang w:val="en-US"/>
              </w:rPr>
              <w:t>Lei 4.320/1964, arts. 94 a 96.</w:t>
            </w:r>
          </w:p>
        </w:tc>
        <w:tc>
          <w:tcPr>
            <w:tcW w:w="1417" w:type="dxa"/>
            <w:vAlign w:val="center"/>
          </w:tcPr>
          <w:p w14:paraId="7AB2C077"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Conformidade (conciliação de demonstrativos)</w:t>
            </w:r>
          </w:p>
        </w:tc>
        <w:tc>
          <w:tcPr>
            <w:tcW w:w="2694" w:type="dxa"/>
            <w:shd w:val="clear" w:color="auto" w:fill="auto"/>
            <w:vAlign w:val="center"/>
            <w:hideMark/>
          </w:tcPr>
          <w:p w14:paraId="368E86BF"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Avaliar se as demonstrações contábeis evidenciam a integralidade dos valores inscritos em dívida ativa tributária e não tributária.</w:t>
            </w:r>
          </w:p>
        </w:tc>
        <w:tc>
          <w:tcPr>
            <w:tcW w:w="1275" w:type="dxa"/>
            <w:shd w:val="clear" w:color="auto" w:fill="auto"/>
            <w:vAlign w:val="center"/>
            <w:hideMark/>
          </w:tcPr>
          <w:p w14:paraId="14D42E6C"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Gestão (UG responsável pela Divida Ativa)</w:t>
            </w:r>
          </w:p>
        </w:tc>
      </w:tr>
      <w:tr w:rsidR="007B690E" w:rsidRPr="007B690E" w14:paraId="4B72085F" w14:textId="77777777" w:rsidTr="007B690E">
        <w:trPr>
          <w:trHeight w:val="575"/>
        </w:trPr>
        <w:tc>
          <w:tcPr>
            <w:tcW w:w="851" w:type="dxa"/>
            <w:vAlign w:val="center"/>
          </w:tcPr>
          <w:p w14:paraId="120AE0EB"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1.3.6</w:t>
            </w:r>
          </w:p>
        </w:tc>
        <w:tc>
          <w:tcPr>
            <w:tcW w:w="1417" w:type="dxa"/>
            <w:shd w:val="clear" w:color="auto" w:fill="auto"/>
            <w:vAlign w:val="center"/>
            <w:hideMark/>
          </w:tcPr>
          <w:p w14:paraId="46636333"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Dívida ativa e demais créditos tributários – cobrança regular</w:t>
            </w:r>
          </w:p>
        </w:tc>
        <w:tc>
          <w:tcPr>
            <w:tcW w:w="1418" w:type="dxa"/>
            <w:shd w:val="clear" w:color="auto" w:fill="auto"/>
            <w:vAlign w:val="center"/>
            <w:hideMark/>
          </w:tcPr>
          <w:p w14:paraId="6DE16E78" w14:textId="77777777" w:rsidR="007B690E" w:rsidRPr="007B690E" w:rsidRDefault="007B690E" w:rsidP="007B690E">
            <w:pPr>
              <w:widowControl w:val="0"/>
              <w:spacing w:after="0" w:line="240" w:lineRule="auto"/>
              <w:jc w:val="both"/>
              <w:rPr>
                <w:rFonts w:ascii="Arial" w:eastAsia="Calibri" w:hAnsi="Arial" w:cs="Arial"/>
                <w:color w:val="000000"/>
                <w:sz w:val="16"/>
                <w:szCs w:val="16"/>
                <w:lang w:val="en-US"/>
              </w:rPr>
            </w:pPr>
            <w:r w:rsidRPr="007B690E">
              <w:rPr>
                <w:rFonts w:ascii="Arial" w:eastAsia="Calibri" w:hAnsi="Arial" w:cs="Arial"/>
                <w:color w:val="000000"/>
                <w:sz w:val="16"/>
                <w:szCs w:val="16"/>
                <w:lang w:val="en-US"/>
              </w:rPr>
              <w:t>LC 101/2000, art. 11.</w:t>
            </w:r>
          </w:p>
        </w:tc>
        <w:tc>
          <w:tcPr>
            <w:tcW w:w="1417" w:type="dxa"/>
            <w:vAlign w:val="center"/>
          </w:tcPr>
          <w:p w14:paraId="7C57F4B7"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Auditoria Governamental de conformidade</w:t>
            </w:r>
          </w:p>
        </w:tc>
        <w:tc>
          <w:tcPr>
            <w:tcW w:w="2694" w:type="dxa"/>
            <w:shd w:val="clear" w:color="auto" w:fill="auto"/>
            <w:vAlign w:val="center"/>
            <w:hideMark/>
          </w:tcPr>
          <w:p w14:paraId="55540BE3"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Avaliar se foram adotadas medidas com vistas à cobrança da dívida ativa e dos demais créditos tributários de competência do ente da federação.</w:t>
            </w:r>
          </w:p>
          <w:p w14:paraId="1458E39A"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p>
        </w:tc>
        <w:tc>
          <w:tcPr>
            <w:tcW w:w="1275" w:type="dxa"/>
            <w:shd w:val="clear" w:color="auto" w:fill="auto"/>
            <w:vAlign w:val="center"/>
            <w:hideMark/>
          </w:tcPr>
          <w:p w14:paraId="31204025"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Governo</w:t>
            </w:r>
          </w:p>
          <w:p w14:paraId="3D49A3EF"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p>
          <w:p w14:paraId="4D22CF28"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Gestão (UG responsável pela Dívida Ativa)</w:t>
            </w:r>
          </w:p>
        </w:tc>
      </w:tr>
      <w:tr w:rsidR="007B690E" w:rsidRPr="007B690E" w14:paraId="6AD6078E" w14:textId="77777777" w:rsidTr="007B690E">
        <w:trPr>
          <w:trHeight w:val="1352"/>
        </w:trPr>
        <w:tc>
          <w:tcPr>
            <w:tcW w:w="851" w:type="dxa"/>
            <w:vAlign w:val="center"/>
          </w:tcPr>
          <w:p w14:paraId="70B8125B"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1.3.7</w:t>
            </w:r>
          </w:p>
        </w:tc>
        <w:tc>
          <w:tcPr>
            <w:tcW w:w="1417" w:type="dxa"/>
            <w:shd w:val="clear" w:color="auto" w:fill="auto"/>
            <w:vAlign w:val="center"/>
            <w:hideMark/>
          </w:tcPr>
          <w:p w14:paraId="60A511D6"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Obrigações contraídas no último ano de mandato</w:t>
            </w:r>
          </w:p>
        </w:tc>
        <w:tc>
          <w:tcPr>
            <w:tcW w:w="1418" w:type="dxa"/>
            <w:shd w:val="clear" w:color="auto" w:fill="auto"/>
            <w:vAlign w:val="center"/>
            <w:hideMark/>
          </w:tcPr>
          <w:p w14:paraId="37AA246C" w14:textId="77777777" w:rsidR="007B690E" w:rsidRPr="007B690E" w:rsidRDefault="007B690E" w:rsidP="007B690E">
            <w:pPr>
              <w:widowControl w:val="0"/>
              <w:spacing w:after="0" w:line="240" w:lineRule="auto"/>
              <w:jc w:val="both"/>
              <w:rPr>
                <w:rFonts w:ascii="Arial" w:eastAsia="Calibri" w:hAnsi="Arial" w:cs="Arial"/>
                <w:color w:val="000000"/>
                <w:sz w:val="16"/>
                <w:szCs w:val="16"/>
                <w:lang w:val="en-US"/>
              </w:rPr>
            </w:pPr>
            <w:r w:rsidRPr="007B690E">
              <w:rPr>
                <w:rFonts w:ascii="Arial" w:eastAsia="Calibri" w:hAnsi="Arial" w:cs="Arial"/>
                <w:color w:val="000000"/>
                <w:sz w:val="16"/>
                <w:szCs w:val="16"/>
                <w:lang w:val="en-US"/>
              </w:rPr>
              <w:t>LC 101/2000, art. 42.</w:t>
            </w:r>
          </w:p>
        </w:tc>
        <w:tc>
          <w:tcPr>
            <w:tcW w:w="1417" w:type="dxa"/>
            <w:vAlign w:val="center"/>
          </w:tcPr>
          <w:p w14:paraId="1544095F"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Auditoria Governamental de conformidade</w:t>
            </w:r>
          </w:p>
        </w:tc>
        <w:tc>
          <w:tcPr>
            <w:tcW w:w="2694" w:type="dxa"/>
            <w:shd w:val="clear" w:color="auto" w:fill="auto"/>
            <w:vAlign w:val="center"/>
            <w:hideMark/>
          </w:tcPr>
          <w:p w14:paraId="6E283596"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p>
          <w:p w14:paraId="179C9E8D"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p>
          <w:p w14:paraId="6E7B3FCA"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p>
          <w:p w14:paraId="094B2DE9"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p>
          <w:p w14:paraId="242CEB22"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p>
          <w:p w14:paraId="6A4546A0"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p>
          <w:p w14:paraId="7EB348B4"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p>
          <w:p w14:paraId="3EF926C3"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p>
          <w:p w14:paraId="7750ECF7"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Avaliar se o titular do Poder contraiu, nos dois últimos quadrimestres do seu mandato, obrigações que não puderam ser cumpridas integralmente dentro dele, ou que tiveram parcelas a serem pagas no exercício seguinte sem suficiente disponibilidade de caixa.</w:t>
            </w:r>
          </w:p>
          <w:p w14:paraId="769FAFAC"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p>
          <w:p w14:paraId="672341B5"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p>
          <w:p w14:paraId="4E9CB011"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p>
          <w:p w14:paraId="6C1B6AEB"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p>
          <w:p w14:paraId="72E1A50A"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p>
          <w:p w14:paraId="55857195"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p>
          <w:p w14:paraId="7B635231"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p>
        </w:tc>
        <w:tc>
          <w:tcPr>
            <w:tcW w:w="1275" w:type="dxa"/>
            <w:shd w:val="clear" w:color="auto" w:fill="auto"/>
            <w:vAlign w:val="center"/>
            <w:hideMark/>
          </w:tcPr>
          <w:p w14:paraId="2C5525AD"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lastRenderedPageBreak/>
              <w:t>Contas de Governo</w:t>
            </w:r>
          </w:p>
          <w:p w14:paraId="59932BB2"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p>
          <w:p w14:paraId="7E00414C"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Poderes</w:t>
            </w:r>
          </w:p>
        </w:tc>
      </w:tr>
      <w:tr w:rsidR="007B690E" w:rsidRPr="007B690E" w14:paraId="2668DA4B" w14:textId="77777777" w:rsidTr="007B690E">
        <w:trPr>
          <w:trHeight w:val="420"/>
        </w:trPr>
        <w:tc>
          <w:tcPr>
            <w:tcW w:w="9072" w:type="dxa"/>
            <w:gridSpan w:val="6"/>
            <w:vAlign w:val="center"/>
          </w:tcPr>
          <w:p w14:paraId="2FECB1AC"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b/>
                <w:bCs/>
                <w:color w:val="000000"/>
              </w:rPr>
              <w:lastRenderedPageBreak/>
              <w:t>1.4. Limites constitucionais e legais</w:t>
            </w:r>
          </w:p>
        </w:tc>
      </w:tr>
      <w:tr w:rsidR="007B690E" w:rsidRPr="007B690E" w14:paraId="5CBAAFBF" w14:textId="77777777" w:rsidTr="007B690E">
        <w:trPr>
          <w:trHeight w:val="255"/>
        </w:trPr>
        <w:tc>
          <w:tcPr>
            <w:tcW w:w="851" w:type="dxa"/>
            <w:vAlign w:val="center"/>
          </w:tcPr>
          <w:p w14:paraId="1F8B3BAD" w14:textId="77777777" w:rsidR="007B690E" w:rsidRPr="007B690E" w:rsidRDefault="007B690E" w:rsidP="007B690E">
            <w:pPr>
              <w:widowControl w:val="0"/>
              <w:spacing w:after="0" w:line="240" w:lineRule="auto"/>
              <w:jc w:val="center"/>
              <w:rPr>
                <w:rFonts w:ascii="Arial" w:eastAsia="Calibri" w:hAnsi="Arial" w:cs="Arial"/>
                <w:b/>
                <w:bCs/>
                <w:color w:val="000000"/>
                <w:sz w:val="16"/>
                <w:szCs w:val="16"/>
              </w:rPr>
            </w:pPr>
            <w:r w:rsidRPr="007B690E">
              <w:rPr>
                <w:rFonts w:ascii="Arial" w:eastAsia="Calibri" w:hAnsi="Arial" w:cs="Arial"/>
                <w:b/>
                <w:bCs/>
                <w:color w:val="000000"/>
                <w:sz w:val="16"/>
                <w:szCs w:val="16"/>
              </w:rPr>
              <w:t>Código</w:t>
            </w:r>
          </w:p>
        </w:tc>
        <w:tc>
          <w:tcPr>
            <w:tcW w:w="1417" w:type="dxa"/>
            <w:shd w:val="clear" w:color="auto" w:fill="auto"/>
            <w:vAlign w:val="center"/>
            <w:hideMark/>
          </w:tcPr>
          <w:p w14:paraId="3B7D19D0" w14:textId="77777777" w:rsidR="007B690E" w:rsidRPr="007B690E" w:rsidRDefault="007B690E" w:rsidP="007B690E">
            <w:pPr>
              <w:widowControl w:val="0"/>
              <w:spacing w:after="0" w:line="240" w:lineRule="auto"/>
              <w:jc w:val="center"/>
              <w:rPr>
                <w:rFonts w:ascii="Arial" w:eastAsia="Calibri" w:hAnsi="Arial" w:cs="Arial"/>
                <w:b/>
                <w:bCs/>
                <w:color w:val="000000"/>
                <w:sz w:val="16"/>
                <w:szCs w:val="16"/>
              </w:rPr>
            </w:pPr>
            <w:r w:rsidRPr="007B690E">
              <w:rPr>
                <w:rFonts w:ascii="Arial" w:eastAsia="Calibri" w:hAnsi="Arial" w:cs="Arial"/>
                <w:b/>
                <w:bCs/>
                <w:color w:val="000000"/>
                <w:sz w:val="16"/>
                <w:szCs w:val="16"/>
              </w:rPr>
              <w:t>Ponto de controle</w:t>
            </w:r>
          </w:p>
        </w:tc>
        <w:tc>
          <w:tcPr>
            <w:tcW w:w="1418" w:type="dxa"/>
            <w:shd w:val="clear" w:color="auto" w:fill="auto"/>
            <w:vAlign w:val="center"/>
            <w:hideMark/>
          </w:tcPr>
          <w:p w14:paraId="495422B8" w14:textId="77777777" w:rsidR="007B690E" w:rsidRPr="007B690E" w:rsidRDefault="007B690E" w:rsidP="007B690E">
            <w:pPr>
              <w:widowControl w:val="0"/>
              <w:spacing w:after="0" w:line="240" w:lineRule="auto"/>
              <w:jc w:val="center"/>
              <w:rPr>
                <w:rFonts w:ascii="Arial" w:eastAsia="Calibri" w:hAnsi="Arial" w:cs="Arial"/>
                <w:b/>
                <w:bCs/>
                <w:color w:val="000000"/>
                <w:sz w:val="16"/>
                <w:szCs w:val="16"/>
              </w:rPr>
            </w:pPr>
            <w:r w:rsidRPr="007B690E">
              <w:rPr>
                <w:rFonts w:ascii="Arial" w:eastAsia="Calibri" w:hAnsi="Arial" w:cs="Arial"/>
                <w:b/>
                <w:bCs/>
                <w:color w:val="000000"/>
                <w:sz w:val="16"/>
                <w:szCs w:val="16"/>
              </w:rPr>
              <w:t>Base legal</w:t>
            </w:r>
          </w:p>
        </w:tc>
        <w:tc>
          <w:tcPr>
            <w:tcW w:w="1417" w:type="dxa"/>
            <w:vAlign w:val="center"/>
          </w:tcPr>
          <w:p w14:paraId="3BC4C4BC" w14:textId="77777777" w:rsidR="007B690E" w:rsidRPr="007B690E" w:rsidRDefault="007B690E" w:rsidP="007B690E">
            <w:pPr>
              <w:widowControl w:val="0"/>
              <w:spacing w:after="0" w:line="240" w:lineRule="auto"/>
              <w:jc w:val="center"/>
              <w:rPr>
                <w:rFonts w:ascii="Arial" w:eastAsia="Calibri" w:hAnsi="Arial" w:cs="Arial"/>
                <w:b/>
                <w:bCs/>
                <w:color w:val="000000"/>
                <w:sz w:val="16"/>
                <w:szCs w:val="16"/>
              </w:rPr>
            </w:pPr>
            <w:r w:rsidRPr="007B690E">
              <w:rPr>
                <w:rFonts w:ascii="Arial" w:eastAsia="Calibri" w:hAnsi="Arial" w:cs="Arial"/>
                <w:b/>
                <w:bCs/>
                <w:color w:val="000000"/>
                <w:sz w:val="16"/>
                <w:szCs w:val="16"/>
              </w:rPr>
              <w:t>Tipo de procedimento sugerido</w:t>
            </w:r>
          </w:p>
        </w:tc>
        <w:tc>
          <w:tcPr>
            <w:tcW w:w="2694" w:type="dxa"/>
            <w:shd w:val="clear" w:color="auto" w:fill="auto"/>
            <w:vAlign w:val="center"/>
            <w:hideMark/>
          </w:tcPr>
          <w:p w14:paraId="06BC3C9D" w14:textId="77777777" w:rsidR="007B690E" w:rsidRPr="007B690E" w:rsidRDefault="007B690E" w:rsidP="007B690E">
            <w:pPr>
              <w:widowControl w:val="0"/>
              <w:spacing w:after="0" w:line="240" w:lineRule="auto"/>
              <w:jc w:val="center"/>
              <w:rPr>
                <w:rFonts w:ascii="Arial" w:eastAsia="Calibri" w:hAnsi="Arial" w:cs="Arial"/>
                <w:b/>
                <w:bCs/>
                <w:color w:val="000000"/>
                <w:sz w:val="16"/>
                <w:szCs w:val="16"/>
              </w:rPr>
            </w:pPr>
            <w:r w:rsidRPr="007B690E">
              <w:rPr>
                <w:rFonts w:ascii="Arial" w:eastAsia="Calibri" w:hAnsi="Arial" w:cs="Arial"/>
                <w:b/>
                <w:bCs/>
                <w:color w:val="000000"/>
                <w:sz w:val="16"/>
                <w:szCs w:val="16"/>
              </w:rPr>
              <w:t>Procedimento</w:t>
            </w:r>
          </w:p>
        </w:tc>
        <w:tc>
          <w:tcPr>
            <w:tcW w:w="1275" w:type="dxa"/>
            <w:shd w:val="clear" w:color="auto" w:fill="auto"/>
            <w:vAlign w:val="center"/>
            <w:hideMark/>
          </w:tcPr>
          <w:p w14:paraId="7E6DFE1E" w14:textId="77777777" w:rsidR="007B690E" w:rsidRPr="007B690E" w:rsidRDefault="007B690E" w:rsidP="007B690E">
            <w:pPr>
              <w:widowControl w:val="0"/>
              <w:spacing w:after="0" w:line="240" w:lineRule="auto"/>
              <w:jc w:val="center"/>
              <w:rPr>
                <w:rFonts w:ascii="Arial" w:eastAsia="Calibri" w:hAnsi="Arial" w:cs="Arial"/>
                <w:b/>
                <w:bCs/>
                <w:color w:val="000000"/>
                <w:sz w:val="16"/>
                <w:szCs w:val="16"/>
              </w:rPr>
            </w:pPr>
            <w:r w:rsidRPr="007B690E">
              <w:rPr>
                <w:rFonts w:ascii="Arial" w:eastAsia="Calibri" w:hAnsi="Arial" w:cs="Arial"/>
                <w:b/>
                <w:bCs/>
                <w:color w:val="000000"/>
                <w:sz w:val="16"/>
                <w:szCs w:val="16"/>
              </w:rPr>
              <w:t>Aplicável à</w:t>
            </w:r>
          </w:p>
        </w:tc>
      </w:tr>
      <w:tr w:rsidR="007B690E" w:rsidRPr="007B690E" w14:paraId="1BADB4AE" w14:textId="77777777" w:rsidTr="007B690E">
        <w:trPr>
          <w:trHeight w:val="1898"/>
        </w:trPr>
        <w:tc>
          <w:tcPr>
            <w:tcW w:w="851" w:type="dxa"/>
            <w:vAlign w:val="center"/>
          </w:tcPr>
          <w:p w14:paraId="00F50D21"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1.4.1</w:t>
            </w:r>
          </w:p>
        </w:tc>
        <w:tc>
          <w:tcPr>
            <w:tcW w:w="1417" w:type="dxa"/>
            <w:shd w:val="clear" w:color="auto" w:fill="auto"/>
            <w:vAlign w:val="center"/>
            <w:hideMark/>
          </w:tcPr>
          <w:p w14:paraId="54055D30"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Educação – aplicação mínima</w:t>
            </w:r>
          </w:p>
        </w:tc>
        <w:tc>
          <w:tcPr>
            <w:tcW w:w="1418" w:type="dxa"/>
            <w:shd w:val="clear" w:color="auto" w:fill="auto"/>
            <w:vAlign w:val="center"/>
            <w:hideMark/>
          </w:tcPr>
          <w:p w14:paraId="6CD4EF19" w14:textId="77777777" w:rsidR="007B690E" w:rsidRPr="007B690E" w:rsidRDefault="007B690E" w:rsidP="007B690E">
            <w:pPr>
              <w:widowControl w:val="0"/>
              <w:spacing w:after="0" w:line="240" w:lineRule="auto"/>
              <w:jc w:val="both"/>
              <w:rPr>
                <w:rFonts w:ascii="Arial" w:eastAsia="Calibri" w:hAnsi="Arial" w:cs="Arial"/>
                <w:color w:val="000000"/>
                <w:sz w:val="16"/>
                <w:szCs w:val="16"/>
                <w:lang w:val="en-US"/>
              </w:rPr>
            </w:pPr>
            <w:r w:rsidRPr="007B690E">
              <w:rPr>
                <w:rFonts w:ascii="Arial" w:eastAsia="Calibri" w:hAnsi="Arial" w:cs="Arial"/>
                <w:color w:val="000000"/>
                <w:sz w:val="16"/>
                <w:szCs w:val="16"/>
                <w:lang w:val="en-US"/>
              </w:rPr>
              <w:t>CRFB/88, art. 212, Lei nº 9.394/1996 (LDB), art. 69.</w:t>
            </w:r>
          </w:p>
        </w:tc>
        <w:tc>
          <w:tcPr>
            <w:tcW w:w="1417" w:type="dxa"/>
            <w:vAlign w:val="center"/>
          </w:tcPr>
          <w:p w14:paraId="3FE596A1"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Conformidade (Revisão analítica)</w:t>
            </w:r>
          </w:p>
        </w:tc>
        <w:tc>
          <w:tcPr>
            <w:tcW w:w="2694" w:type="dxa"/>
            <w:shd w:val="clear" w:color="auto" w:fill="auto"/>
            <w:vAlign w:val="center"/>
            <w:hideMark/>
          </w:tcPr>
          <w:p w14:paraId="65D084C3"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Avaliar se a aplicação de recursos na manutenção e no desenvolvimento do ensino atingiu o limite de vinte e cinco por cento, no mínimo, da receita resultante de impostos, compreendida a proveniente de transferências, na manutenção e desenvolvimento do ensino, considerando recursos aplicados a totalidade de despesas liquidadas compatíveis à função de governo, conforme Lei de Diretrizes e Bases da Educação – LDB.</w:t>
            </w:r>
          </w:p>
        </w:tc>
        <w:tc>
          <w:tcPr>
            <w:tcW w:w="1275" w:type="dxa"/>
            <w:vAlign w:val="center"/>
          </w:tcPr>
          <w:p w14:paraId="0B822AB9" w14:textId="77777777" w:rsidR="007B690E" w:rsidRPr="007B690E" w:rsidRDefault="007B690E" w:rsidP="007B690E">
            <w:pPr>
              <w:widowControl w:val="0"/>
              <w:spacing w:before="240"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Governo</w:t>
            </w:r>
          </w:p>
        </w:tc>
      </w:tr>
      <w:tr w:rsidR="007B690E" w:rsidRPr="007B690E" w14:paraId="7A33AD3F" w14:textId="77777777" w:rsidTr="007B690E">
        <w:trPr>
          <w:trHeight w:val="860"/>
        </w:trPr>
        <w:tc>
          <w:tcPr>
            <w:tcW w:w="851" w:type="dxa"/>
            <w:vAlign w:val="center"/>
          </w:tcPr>
          <w:p w14:paraId="71F936E6"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1.4.2</w:t>
            </w:r>
          </w:p>
        </w:tc>
        <w:tc>
          <w:tcPr>
            <w:tcW w:w="1417" w:type="dxa"/>
            <w:shd w:val="clear" w:color="auto" w:fill="auto"/>
            <w:vAlign w:val="center"/>
            <w:hideMark/>
          </w:tcPr>
          <w:p w14:paraId="00BBFE89"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Educação – remuneração dos profissionais do magistério</w:t>
            </w:r>
          </w:p>
        </w:tc>
        <w:tc>
          <w:tcPr>
            <w:tcW w:w="1418" w:type="dxa"/>
            <w:shd w:val="clear" w:color="auto" w:fill="auto"/>
            <w:vAlign w:val="center"/>
            <w:hideMark/>
          </w:tcPr>
          <w:p w14:paraId="47206D50" w14:textId="77777777" w:rsidR="007B690E" w:rsidRPr="007B690E" w:rsidRDefault="007B690E" w:rsidP="007B690E">
            <w:pPr>
              <w:widowControl w:val="0"/>
              <w:spacing w:after="0" w:line="240" w:lineRule="auto"/>
              <w:jc w:val="both"/>
              <w:rPr>
                <w:rFonts w:ascii="Arial" w:eastAsia="Calibri" w:hAnsi="Arial" w:cs="Arial"/>
                <w:color w:val="000000"/>
                <w:sz w:val="16"/>
                <w:szCs w:val="16"/>
                <w:lang w:val="en-US"/>
              </w:rPr>
            </w:pPr>
            <w:r w:rsidRPr="007B690E">
              <w:rPr>
                <w:rFonts w:ascii="Arial" w:eastAsia="Calibri" w:hAnsi="Arial" w:cs="Arial"/>
                <w:color w:val="000000"/>
                <w:sz w:val="16"/>
                <w:szCs w:val="16"/>
                <w:lang w:val="en-US"/>
              </w:rPr>
              <w:t>CRFB/88, art. 60, inciso XII do ADCT.</w:t>
            </w:r>
          </w:p>
        </w:tc>
        <w:tc>
          <w:tcPr>
            <w:tcW w:w="1417" w:type="dxa"/>
            <w:vAlign w:val="center"/>
          </w:tcPr>
          <w:p w14:paraId="420E81F6"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Auditoria Governamental de conformidade</w:t>
            </w:r>
          </w:p>
        </w:tc>
        <w:tc>
          <w:tcPr>
            <w:tcW w:w="2694" w:type="dxa"/>
            <w:shd w:val="clear" w:color="auto" w:fill="auto"/>
            <w:vAlign w:val="center"/>
            <w:hideMark/>
          </w:tcPr>
          <w:p w14:paraId="419C8EE3"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 xml:space="preserve">Avaliar se foram destinados, no mínimo, 60% dos recursos do FUNDEB ao pagamento dos profissionais do magistério da educação básica em efetivo exercício. </w:t>
            </w:r>
          </w:p>
        </w:tc>
        <w:tc>
          <w:tcPr>
            <w:tcW w:w="1275" w:type="dxa"/>
            <w:vAlign w:val="center"/>
          </w:tcPr>
          <w:p w14:paraId="2E22701C"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Governo</w:t>
            </w:r>
          </w:p>
        </w:tc>
      </w:tr>
      <w:tr w:rsidR="007B690E" w:rsidRPr="007B690E" w14:paraId="5909B7B5" w14:textId="77777777" w:rsidTr="007B690E">
        <w:trPr>
          <w:trHeight w:val="1979"/>
        </w:trPr>
        <w:tc>
          <w:tcPr>
            <w:tcW w:w="851" w:type="dxa"/>
            <w:vAlign w:val="center"/>
          </w:tcPr>
          <w:p w14:paraId="2B8A4A3E"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1.4.3</w:t>
            </w:r>
          </w:p>
        </w:tc>
        <w:tc>
          <w:tcPr>
            <w:tcW w:w="1417" w:type="dxa"/>
            <w:shd w:val="clear" w:color="auto" w:fill="auto"/>
            <w:vAlign w:val="center"/>
            <w:hideMark/>
          </w:tcPr>
          <w:p w14:paraId="734EE5D7" w14:textId="77777777" w:rsidR="007B690E" w:rsidRPr="007B690E" w:rsidRDefault="007B690E" w:rsidP="007B690E">
            <w:pPr>
              <w:widowControl w:val="0"/>
              <w:spacing w:after="0" w:line="240" w:lineRule="auto"/>
              <w:jc w:val="both"/>
              <w:rPr>
                <w:rFonts w:ascii="Arial" w:eastAsia="Calibri" w:hAnsi="Arial" w:cs="Arial"/>
                <w:color w:val="000000"/>
                <w:sz w:val="16"/>
                <w:szCs w:val="16"/>
                <w:lang w:val="en-US"/>
              </w:rPr>
            </w:pPr>
            <w:r w:rsidRPr="007B690E">
              <w:rPr>
                <w:rFonts w:ascii="Arial" w:eastAsia="Calibri" w:hAnsi="Arial" w:cs="Arial"/>
                <w:color w:val="000000"/>
                <w:sz w:val="16"/>
                <w:szCs w:val="16"/>
                <w:lang w:val="en-US"/>
              </w:rPr>
              <w:t>Educação - Pertinência</w:t>
            </w:r>
          </w:p>
        </w:tc>
        <w:tc>
          <w:tcPr>
            <w:tcW w:w="1418" w:type="dxa"/>
            <w:shd w:val="clear" w:color="auto" w:fill="auto"/>
            <w:vAlign w:val="center"/>
            <w:hideMark/>
          </w:tcPr>
          <w:p w14:paraId="34D46796"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Lei nº 9.394/1996 (LDB), arts. 70 e 71.</w:t>
            </w:r>
          </w:p>
        </w:tc>
        <w:tc>
          <w:tcPr>
            <w:tcW w:w="1417" w:type="dxa"/>
            <w:vAlign w:val="center"/>
          </w:tcPr>
          <w:p w14:paraId="5396B058"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Auditoria Governamental de conformidade</w:t>
            </w:r>
          </w:p>
        </w:tc>
        <w:tc>
          <w:tcPr>
            <w:tcW w:w="2694" w:type="dxa"/>
            <w:shd w:val="clear" w:color="auto" w:fill="auto"/>
            <w:vAlign w:val="center"/>
            <w:hideMark/>
          </w:tcPr>
          <w:p w14:paraId="56F80B6A"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Avaliar se as despesas consideradas como aplicação na manutenção e no desenvolvimento do ensino atenderam as disposições contidas nos artigos 70 e 71 da LDB, observando, inclusive, o tratamento dispensado às transferências de recursos para os fundos financeiros dos regimes próprios de previdência (repasse financeiro para cobertura de déficit previdenciário), os quais não devem ser considerados para fins de aplicação.</w:t>
            </w:r>
          </w:p>
        </w:tc>
        <w:tc>
          <w:tcPr>
            <w:tcW w:w="1275" w:type="dxa"/>
            <w:shd w:val="clear" w:color="auto" w:fill="auto"/>
            <w:vAlign w:val="center"/>
            <w:hideMark/>
          </w:tcPr>
          <w:p w14:paraId="04DACD7C"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Governo</w:t>
            </w:r>
          </w:p>
        </w:tc>
      </w:tr>
      <w:tr w:rsidR="007B690E" w:rsidRPr="007B690E" w14:paraId="7A6FEA9E" w14:textId="77777777" w:rsidTr="007B690E">
        <w:trPr>
          <w:trHeight w:val="860"/>
        </w:trPr>
        <w:tc>
          <w:tcPr>
            <w:tcW w:w="851" w:type="dxa"/>
            <w:vAlign w:val="center"/>
          </w:tcPr>
          <w:p w14:paraId="64D9744B"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1.4.4</w:t>
            </w:r>
          </w:p>
        </w:tc>
        <w:tc>
          <w:tcPr>
            <w:tcW w:w="1417" w:type="dxa"/>
            <w:shd w:val="clear" w:color="auto" w:fill="auto"/>
            <w:vAlign w:val="center"/>
          </w:tcPr>
          <w:p w14:paraId="054F3D69" w14:textId="77777777" w:rsidR="007B690E" w:rsidRPr="007B690E" w:rsidRDefault="007B690E" w:rsidP="007B690E">
            <w:pPr>
              <w:widowControl w:val="0"/>
              <w:spacing w:after="0" w:line="240" w:lineRule="auto"/>
              <w:jc w:val="both"/>
              <w:rPr>
                <w:rFonts w:ascii="Arial" w:eastAsia="Calibri" w:hAnsi="Arial" w:cs="Arial"/>
                <w:color w:val="000000"/>
                <w:sz w:val="16"/>
                <w:szCs w:val="16"/>
                <w:lang w:val="en-US"/>
              </w:rPr>
            </w:pPr>
            <w:r w:rsidRPr="007B690E">
              <w:rPr>
                <w:rFonts w:ascii="Arial" w:eastAsia="Calibri" w:hAnsi="Arial" w:cs="Arial"/>
                <w:color w:val="000000"/>
                <w:sz w:val="16"/>
                <w:szCs w:val="16"/>
                <w:lang w:val="en-US"/>
              </w:rPr>
              <w:t>Saúde – aplicação mínima</w:t>
            </w:r>
          </w:p>
        </w:tc>
        <w:tc>
          <w:tcPr>
            <w:tcW w:w="1418" w:type="dxa"/>
            <w:shd w:val="clear" w:color="auto" w:fill="auto"/>
            <w:vAlign w:val="center"/>
          </w:tcPr>
          <w:p w14:paraId="4BF3A8A8" w14:textId="77777777" w:rsidR="007B690E" w:rsidRPr="007B690E" w:rsidRDefault="007B690E" w:rsidP="007B690E">
            <w:pPr>
              <w:widowControl w:val="0"/>
              <w:spacing w:after="0" w:line="240" w:lineRule="auto"/>
              <w:jc w:val="both"/>
              <w:rPr>
                <w:rFonts w:ascii="Arial" w:eastAsia="Calibri" w:hAnsi="Arial" w:cs="Arial"/>
                <w:color w:val="000000"/>
                <w:sz w:val="16"/>
                <w:szCs w:val="16"/>
                <w:lang w:val="en-US"/>
              </w:rPr>
            </w:pPr>
            <w:r w:rsidRPr="007B690E">
              <w:rPr>
                <w:rFonts w:ascii="Arial" w:eastAsia="Calibri" w:hAnsi="Arial" w:cs="Arial"/>
                <w:color w:val="000000"/>
                <w:sz w:val="16"/>
                <w:szCs w:val="16"/>
                <w:lang w:val="en-US"/>
              </w:rPr>
              <w:t>CRFB/88, art. 77, inciso III, do ADCT c/c LC 141/2012, arts. 6º e 7º.</w:t>
            </w:r>
          </w:p>
        </w:tc>
        <w:tc>
          <w:tcPr>
            <w:tcW w:w="1417" w:type="dxa"/>
            <w:vAlign w:val="center"/>
          </w:tcPr>
          <w:p w14:paraId="5D9A01C2"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Conformidade (Revisão analítica)</w:t>
            </w:r>
          </w:p>
        </w:tc>
        <w:tc>
          <w:tcPr>
            <w:tcW w:w="2694" w:type="dxa"/>
            <w:shd w:val="clear" w:color="auto" w:fill="auto"/>
            <w:vAlign w:val="center"/>
          </w:tcPr>
          <w:p w14:paraId="78424950"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 xml:space="preserve">Avaliar se foram aplicados, em ações e serviços públicos de saúde, recursos mínimos equivalentes a 12% e 15%, respectivamente, pelo estado e pelos municípios, da totalidade da arrecadação de impostos e das transferências que compõem a base de cálculo conforme previsto na CRFB/88 e na LC 141/2012. </w:t>
            </w:r>
          </w:p>
        </w:tc>
        <w:tc>
          <w:tcPr>
            <w:tcW w:w="1275" w:type="dxa"/>
            <w:vAlign w:val="center"/>
          </w:tcPr>
          <w:p w14:paraId="22037A1A"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Governo</w:t>
            </w:r>
          </w:p>
        </w:tc>
      </w:tr>
      <w:tr w:rsidR="007B690E" w:rsidRPr="007B690E" w14:paraId="152B18E3" w14:textId="77777777" w:rsidTr="007B690E">
        <w:trPr>
          <w:trHeight w:val="860"/>
        </w:trPr>
        <w:tc>
          <w:tcPr>
            <w:tcW w:w="851" w:type="dxa"/>
            <w:vAlign w:val="center"/>
          </w:tcPr>
          <w:p w14:paraId="3288B1ED"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1.4.5</w:t>
            </w:r>
          </w:p>
        </w:tc>
        <w:tc>
          <w:tcPr>
            <w:tcW w:w="1417" w:type="dxa"/>
            <w:shd w:val="clear" w:color="auto" w:fill="auto"/>
            <w:vAlign w:val="center"/>
          </w:tcPr>
          <w:p w14:paraId="411E94C2" w14:textId="77777777" w:rsidR="007B690E" w:rsidRPr="007B690E" w:rsidRDefault="007B690E" w:rsidP="007B690E">
            <w:pPr>
              <w:widowControl w:val="0"/>
              <w:spacing w:after="0" w:line="240" w:lineRule="auto"/>
              <w:jc w:val="both"/>
              <w:rPr>
                <w:rFonts w:ascii="Arial" w:eastAsia="Calibri" w:hAnsi="Arial" w:cs="Arial"/>
                <w:color w:val="000000"/>
                <w:sz w:val="16"/>
                <w:szCs w:val="16"/>
                <w:lang w:val="en-US"/>
              </w:rPr>
            </w:pPr>
            <w:r w:rsidRPr="007B690E">
              <w:rPr>
                <w:rFonts w:ascii="Arial" w:eastAsia="Calibri" w:hAnsi="Arial" w:cs="Arial"/>
                <w:color w:val="000000"/>
                <w:sz w:val="16"/>
                <w:szCs w:val="16"/>
                <w:lang w:val="en-US"/>
              </w:rPr>
              <w:t>Saúde – pertinência</w:t>
            </w:r>
          </w:p>
        </w:tc>
        <w:tc>
          <w:tcPr>
            <w:tcW w:w="1418" w:type="dxa"/>
            <w:shd w:val="clear" w:color="auto" w:fill="auto"/>
            <w:vAlign w:val="center"/>
          </w:tcPr>
          <w:p w14:paraId="4D3DB124" w14:textId="77777777" w:rsidR="007B690E" w:rsidRPr="007B690E" w:rsidRDefault="007B690E" w:rsidP="007B690E">
            <w:pPr>
              <w:widowControl w:val="0"/>
              <w:spacing w:after="0" w:line="240" w:lineRule="auto"/>
              <w:jc w:val="both"/>
              <w:rPr>
                <w:rFonts w:ascii="Arial" w:eastAsia="Calibri" w:hAnsi="Arial" w:cs="Arial"/>
                <w:color w:val="000000"/>
                <w:sz w:val="16"/>
                <w:szCs w:val="16"/>
                <w:lang w:val="en-US"/>
              </w:rPr>
            </w:pPr>
            <w:r w:rsidRPr="007B690E">
              <w:rPr>
                <w:rFonts w:ascii="Arial" w:eastAsia="Calibri" w:hAnsi="Arial" w:cs="Arial"/>
                <w:color w:val="000000"/>
                <w:sz w:val="16"/>
                <w:szCs w:val="16"/>
                <w:lang w:val="en-US"/>
              </w:rPr>
              <w:t>LC 141/2012, arts. 3º e 4º.</w:t>
            </w:r>
          </w:p>
        </w:tc>
        <w:tc>
          <w:tcPr>
            <w:tcW w:w="1417" w:type="dxa"/>
            <w:vAlign w:val="center"/>
          </w:tcPr>
          <w:p w14:paraId="52C183AD"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Auditoria Governamental de conformidade</w:t>
            </w:r>
          </w:p>
        </w:tc>
        <w:tc>
          <w:tcPr>
            <w:tcW w:w="2694" w:type="dxa"/>
            <w:shd w:val="clear" w:color="auto" w:fill="auto"/>
            <w:vAlign w:val="center"/>
          </w:tcPr>
          <w:p w14:paraId="64E55644"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Avaliar se as despesas consideradas como aplicação em ações e serviços públicos de saúde atenderam as disposições contidas nos artigos 3º e 4º da LC 141/2012, observando, inclusive, o tratamento dispensado às transferências de recursos para os fundos financeiros dos regimes próprios de previdência (repasse financeiro para cobertura de déficit previdenciário), os quais não devem ser considerados para fins de aplicação.</w:t>
            </w:r>
          </w:p>
        </w:tc>
        <w:tc>
          <w:tcPr>
            <w:tcW w:w="1275" w:type="dxa"/>
            <w:vAlign w:val="center"/>
          </w:tcPr>
          <w:p w14:paraId="4D2B676A"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Governo</w:t>
            </w:r>
          </w:p>
        </w:tc>
      </w:tr>
      <w:tr w:rsidR="007B690E" w:rsidRPr="007B690E" w14:paraId="1F6B3B62" w14:textId="77777777" w:rsidTr="007B690E">
        <w:trPr>
          <w:trHeight w:val="1066"/>
        </w:trPr>
        <w:tc>
          <w:tcPr>
            <w:tcW w:w="851" w:type="dxa"/>
            <w:vAlign w:val="center"/>
          </w:tcPr>
          <w:p w14:paraId="31668BF7"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1.4.6</w:t>
            </w:r>
          </w:p>
        </w:tc>
        <w:tc>
          <w:tcPr>
            <w:tcW w:w="1417" w:type="dxa"/>
            <w:shd w:val="clear" w:color="auto" w:fill="auto"/>
            <w:vAlign w:val="center"/>
            <w:hideMark/>
          </w:tcPr>
          <w:p w14:paraId="461451DB" w14:textId="77777777" w:rsidR="007B690E" w:rsidRPr="007B690E" w:rsidRDefault="007B690E" w:rsidP="007B690E">
            <w:pPr>
              <w:widowControl w:val="0"/>
              <w:spacing w:after="0" w:line="240" w:lineRule="auto"/>
              <w:jc w:val="both"/>
              <w:rPr>
                <w:rFonts w:ascii="Arial" w:eastAsia="Calibri" w:hAnsi="Arial" w:cs="Arial"/>
                <w:color w:val="000000"/>
                <w:sz w:val="16"/>
                <w:szCs w:val="16"/>
                <w:lang w:val="en-US"/>
              </w:rPr>
            </w:pPr>
            <w:r w:rsidRPr="007B690E">
              <w:rPr>
                <w:rFonts w:ascii="Arial" w:eastAsia="Calibri" w:hAnsi="Arial" w:cs="Arial"/>
                <w:color w:val="000000"/>
                <w:sz w:val="16"/>
                <w:szCs w:val="16"/>
                <w:lang w:val="en-US"/>
              </w:rPr>
              <w:t>Despesas com pessoal – abrangência.</w:t>
            </w:r>
          </w:p>
        </w:tc>
        <w:tc>
          <w:tcPr>
            <w:tcW w:w="1418" w:type="dxa"/>
            <w:shd w:val="clear" w:color="auto" w:fill="auto"/>
            <w:vAlign w:val="center"/>
            <w:hideMark/>
          </w:tcPr>
          <w:p w14:paraId="14951135" w14:textId="77777777" w:rsidR="007B690E" w:rsidRPr="007B690E" w:rsidRDefault="007B690E" w:rsidP="007B690E">
            <w:pPr>
              <w:widowControl w:val="0"/>
              <w:spacing w:after="0" w:line="240" w:lineRule="auto"/>
              <w:jc w:val="both"/>
              <w:rPr>
                <w:rFonts w:ascii="Arial" w:eastAsia="Calibri" w:hAnsi="Arial" w:cs="Arial"/>
                <w:color w:val="000000"/>
                <w:sz w:val="16"/>
                <w:szCs w:val="16"/>
                <w:lang w:val="en-US"/>
              </w:rPr>
            </w:pPr>
            <w:r w:rsidRPr="007B690E">
              <w:rPr>
                <w:rFonts w:ascii="Arial" w:eastAsia="Calibri" w:hAnsi="Arial" w:cs="Arial"/>
                <w:color w:val="000000"/>
                <w:sz w:val="16"/>
                <w:szCs w:val="16"/>
                <w:lang w:val="en-US"/>
              </w:rPr>
              <w:t>LC 101/2000, art. 18.</w:t>
            </w:r>
          </w:p>
        </w:tc>
        <w:tc>
          <w:tcPr>
            <w:tcW w:w="1417" w:type="dxa"/>
            <w:vAlign w:val="center"/>
          </w:tcPr>
          <w:p w14:paraId="35C1DF25"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Auditoria Governamental de conformidade</w:t>
            </w:r>
          </w:p>
        </w:tc>
        <w:tc>
          <w:tcPr>
            <w:tcW w:w="2694" w:type="dxa"/>
            <w:shd w:val="clear" w:color="auto" w:fill="auto"/>
            <w:vAlign w:val="center"/>
            <w:hideMark/>
          </w:tcPr>
          <w:p w14:paraId="699A4D74"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Avaliar se todas as despesas com pessoal, inclusive mão de obra terceirizada que se referem à substituição de servidores, foram consideradas no cálculo do limite de gastos com pessoal previstos na LRF.</w:t>
            </w:r>
          </w:p>
        </w:tc>
        <w:tc>
          <w:tcPr>
            <w:tcW w:w="1275" w:type="dxa"/>
            <w:shd w:val="clear" w:color="auto" w:fill="auto"/>
            <w:vAlign w:val="center"/>
            <w:hideMark/>
          </w:tcPr>
          <w:p w14:paraId="5F9A5220"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Governo</w:t>
            </w:r>
          </w:p>
          <w:p w14:paraId="3E4D808C"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p>
          <w:p w14:paraId="3E495C6B"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Poderes</w:t>
            </w:r>
          </w:p>
        </w:tc>
      </w:tr>
      <w:tr w:rsidR="007B690E" w:rsidRPr="007B690E" w14:paraId="04228132" w14:textId="77777777" w:rsidTr="007B690E">
        <w:trPr>
          <w:trHeight w:val="137"/>
        </w:trPr>
        <w:tc>
          <w:tcPr>
            <w:tcW w:w="851" w:type="dxa"/>
            <w:vAlign w:val="center"/>
          </w:tcPr>
          <w:p w14:paraId="6FD1CF27"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rPr>
              <w:lastRenderedPageBreak/>
              <w:t>1.4.7</w:t>
            </w:r>
          </w:p>
        </w:tc>
        <w:tc>
          <w:tcPr>
            <w:tcW w:w="1417" w:type="dxa"/>
            <w:shd w:val="clear" w:color="auto" w:fill="auto"/>
            <w:vAlign w:val="center"/>
            <w:hideMark/>
          </w:tcPr>
          <w:p w14:paraId="5F04FFFB" w14:textId="77777777" w:rsidR="007B690E" w:rsidRPr="007B690E" w:rsidRDefault="007B690E" w:rsidP="007B690E">
            <w:pPr>
              <w:widowControl w:val="0"/>
              <w:spacing w:after="0" w:line="240" w:lineRule="auto"/>
              <w:jc w:val="both"/>
              <w:rPr>
                <w:rFonts w:ascii="Arial" w:eastAsia="Calibri" w:hAnsi="Arial" w:cs="Arial"/>
                <w:color w:val="000000"/>
                <w:sz w:val="16"/>
                <w:szCs w:val="16"/>
                <w:lang w:val="en-US"/>
              </w:rPr>
            </w:pPr>
            <w:r w:rsidRPr="007B690E">
              <w:rPr>
                <w:rFonts w:ascii="Arial" w:eastAsia="Calibri" w:hAnsi="Arial" w:cs="Arial"/>
                <w:color w:val="000000"/>
                <w:sz w:val="16"/>
                <w:szCs w:val="16"/>
                <w:lang w:val="en-US"/>
              </w:rPr>
              <w:t>Despesas com pessoal – limite</w:t>
            </w:r>
          </w:p>
        </w:tc>
        <w:tc>
          <w:tcPr>
            <w:tcW w:w="1418" w:type="dxa"/>
            <w:shd w:val="clear" w:color="auto" w:fill="auto"/>
            <w:vAlign w:val="center"/>
            <w:hideMark/>
          </w:tcPr>
          <w:p w14:paraId="5DDD20EA" w14:textId="77777777" w:rsidR="007B690E" w:rsidRPr="007B690E" w:rsidRDefault="007B690E" w:rsidP="007B690E">
            <w:pPr>
              <w:widowControl w:val="0"/>
              <w:spacing w:after="0" w:line="240" w:lineRule="auto"/>
              <w:jc w:val="both"/>
              <w:rPr>
                <w:rFonts w:ascii="Arial" w:eastAsia="Calibri" w:hAnsi="Arial" w:cs="Arial"/>
                <w:color w:val="000000"/>
                <w:sz w:val="16"/>
                <w:szCs w:val="16"/>
                <w:lang w:val="en-US"/>
              </w:rPr>
            </w:pPr>
            <w:r w:rsidRPr="007B690E">
              <w:rPr>
                <w:rFonts w:ascii="Arial" w:eastAsia="Calibri" w:hAnsi="Arial" w:cs="Arial"/>
                <w:color w:val="000000"/>
                <w:sz w:val="16"/>
                <w:szCs w:val="16"/>
                <w:lang w:val="en-US"/>
              </w:rPr>
              <w:t>LC 101/2000, arts. 19 e 20.</w:t>
            </w:r>
          </w:p>
        </w:tc>
        <w:tc>
          <w:tcPr>
            <w:tcW w:w="1417" w:type="dxa"/>
            <w:vAlign w:val="center"/>
          </w:tcPr>
          <w:p w14:paraId="07449DF5"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 xml:space="preserve">Conformidade (Revisão analítica) </w:t>
            </w:r>
          </w:p>
        </w:tc>
        <w:tc>
          <w:tcPr>
            <w:tcW w:w="2694" w:type="dxa"/>
            <w:shd w:val="clear" w:color="auto" w:fill="auto"/>
            <w:vAlign w:val="center"/>
            <w:hideMark/>
          </w:tcPr>
          <w:p w14:paraId="6E6C7786"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Avaliar se os limites de despesas com pessoal estabelecidos nos artigos 19 e 20 LRF foram observados.</w:t>
            </w:r>
          </w:p>
        </w:tc>
        <w:tc>
          <w:tcPr>
            <w:tcW w:w="1275" w:type="dxa"/>
            <w:shd w:val="clear" w:color="auto" w:fill="auto"/>
            <w:vAlign w:val="center"/>
            <w:hideMark/>
          </w:tcPr>
          <w:p w14:paraId="5232405F"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Governo</w:t>
            </w:r>
          </w:p>
          <w:p w14:paraId="6CDC5D8B" w14:textId="77777777" w:rsidR="007B690E" w:rsidRPr="007B690E" w:rsidRDefault="007B690E" w:rsidP="007B690E">
            <w:pPr>
              <w:widowControl w:val="0"/>
              <w:spacing w:after="0" w:line="240" w:lineRule="auto"/>
              <w:jc w:val="center"/>
              <w:rPr>
                <w:rFonts w:ascii="Arial" w:eastAsia="Calibri" w:hAnsi="Arial" w:cs="Arial"/>
                <w:color w:val="000000"/>
                <w:sz w:val="10"/>
                <w:szCs w:val="10"/>
              </w:rPr>
            </w:pPr>
          </w:p>
          <w:p w14:paraId="5CFD7FF3"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Poderes</w:t>
            </w:r>
          </w:p>
        </w:tc>
      </w:tr>
      <w:tr w:rsidR="007B690E" w:rsidRPr="007B690E" w14:paraId="51B873C4" w14:textId="77777777" w:rsidTr="007B690E">
        <w:trPr>
          <w:trHeight w:val="561"/>
        </w:trPr>
        <w:tc>
          <w:tcPr>
            <w:tcW w:w="851" w:type="dxa"/>
            <w:vAlign w:val="center"/>
          </w:tcPr>
          <w:p w14:paraId="3AC30E91"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1.4.8</w:t>
            </w:r>
          </w:p>
        </w:tc>
        <w:tc>
          <w:tcPr>
            <w:tcW w:w="1417" w:type="dxa"/>
            <w:shd w:val="clear" w:color="auto" w:fill="auto"/>
            <w:vAlign w:val="center"/>
            <w:hideMark/>
          </w:tcPr>
          <w:p w14:paraId="68129B61"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Despesas com pessoal – descumprimento de limites – nulidade do ato</w:t>
            </w:r>
          </w:p>
        </w:tc>
        <w:tc>
          <w:tcPr>
            <w:tcW w:w="1418" w:type="dxa"/>
            <w:shd w:val="clear" w:color="auto" w:fill="auto"/>
            <w:vAlign w:val="center"/>
            <w:hideMark/>
          </w:tcPr>
          <w:p w14:paraId="2CDFB5C0" w14:textId="77777777" w:rsidR="007B690E" w:rsidRPr="007B690E" w:rsidRDefault="007B690E" w:rsidP="007B690E">
            <w:pPr>
              <w:widowControl w:val="0"/>
              <w:spacing w:after="0" w:line="240" w:lineRule="auto"/>
              <w:jc w:val="both"/>
              <w:rPr>
                <w:rFonts w:ascii="Arial" w:eastAsia="Calibri" w:hAnsi="Arial" w:cs="Arial"/>
                <w:color w:val="000000"/>
                <w:sz w:val="16"/>
                <w:szCs w:val="16"/>
                <w:lang w:val="en-US"/>
              </w:rPr>
            </w:pPr>
            <w:r w:rsidRPr="007B690E">
              <w:rPr>
                <w:rFonts w:ascii="Arial" w:eastAsia="Calibri" w:hAnsi="Arial" w:cs="Arial"/>
                <w:color w:val="000000"/>
                <w:sz w:val="16"/>
                <w:szCs w:val="16"/>
                <w:lang w:val="en-US"/>
              </w:rPr>
              <w:t>LC 101/2000, art. 21.</w:t>
            </w:r>
          </w:p>
        </w:tc>
        <w:tc>
          <w:tcPr>
            <w:tcW w:w="1417" w:type="dxa"/>
            <w:vAlign w:val="center"/>
          </w:tcPr>
          <w:p w14:paraId="1D4C549A"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Auditoria Governamental de conformidade</w:t>
            </w:r>
          </w:p>
        </w:tc>
        <w:tc>
          <w:tcPr>
            <w:tcW w:w="2694" w:type="dxa"/>
            <w:shd w:val="clear" w:color="auto" w:fill="auto"/>
            <w:vAlign w:val="center"/>
            <w:hideMark/>
          </w:tcPr>
          <w:p w14:paraId="14566739"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Avaliar se foram praticados atos que provocaram aumento das despesas com pessoal sem observar as disposições contidas nos incisos I e II, do artigo 21, da LRF.</w:t>
            </w:r>
          </w:p>
        </w:tc>
        <w:tc>
          <w:tcPr>
            <w:tcW w:w="1275" w:type="dxa"/>
            <w:shd w:val="clear" w:color="auto" w:fill="auto"/>
            <w:vAlign w:val="center"/>
            <w:hideMark/>
          </w:tcPr>
          <w:p w14:paraId="51C2AFED"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Governo</w:t>
            </w:r>
          </w:p>
          <w:p w14:paraId="34E3F61C" w14:textId="77777777" w:rsidR="007B690E" w:rsidRPr="007B690E" w:rsidRDefault="007B690E" w:rsidP="007B690E">
            <w:pPr>
              <w:widowControl w:val="0"/>
              <w:spacing w:after="0" w:line="240" w:lineRule="auto"/>
              <w:jc w:val="center"/>
              <w:rPr>
                <w:rFonts w:ascii="Arial" w:eastAsia="Calibri" w:hAnsi="Arial" w:cs="Arial"/>
                <w:color w:val="000000"/>
                <w:sz w:val="10"/>
                <w:szCs w:val="10"/>
              </w:rPr>
            </w:pPr>
          </w:p>
          <w:p w14:paraId="28654FF0"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Poderes</w:t>
            </w:r>
          </w:p>
        </w:tc>
      </w:tr>
      <w:tr w:rsidR="007B690E" w:rsidRPr="007B690E" w14:paraId="0C194FAC" w14:textId="77777777" w:rsidTr="007B690E">
        <w:trPr>
          <w:trHeight w:val="136"/>
        </w:trPr>
        <w:tc>
          <w:tcPr>
            <w:tcW w:w="851" w:type="dxa"/>
            <w:vAlign w:val="center"/>
          </w:tcPr>
          <w:p w14:paraId="2C3E0E48"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1.4.9</w:t>
            </w:r>
          </w:p>
        </w:tc>
        <w:tc>
          <w:tcPr>
            <w:tcW w:w="1417" w:type="dxa"/>
            <w:shd w:val="clear" w:color="auto" w:fill="auto"/>
            <w:vAlign w:val="center"/>
            <w:hideMark/>
          </w:tcPr>
          <w:p w14:paraId="63B69F18"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Despesas com pessoal – aumento despesas nos últimos 180 dias do fim de mandato – nulidade do ato</w:t>
            </w:r>
          </w:p>
        </w:tc>
        <w:tc>
          <w:tcPr>
            <w:tcW w:w="1418" w:type="dxa"/>
            <w:shd w:val="clear" w:color="auto" w:fill="auto"/>
            <w:vAlign w:val="center"/>
            <w:hideMark/>
          </w:tcPr>
          <w:p w14:paraId="70024BBC" w14:textId="77777777" w:rsidR="007B690E" w:rsidRPr="007B690E" w:rsidRDefault="007B690E" w:rsidP="007B690E">
            <w:pPr>
              <w:widowControl w:val="0"/>
              <w:spacing w:after="0" w:line="240" w:lineRule="auto"/>
              <w:jc w:val="both"/>
              <w:rPr>
                <w:rFonts w:ascii="Arial" w:eastAsia="Calibri" w:hAnsi="Arial" w:cs="Arial"/>
                <w:color w:val="000000"/>
                <w:sz w:val="16"/>
                <w:szCs w:val="16"/>
                <w:lang w:val="en-US"/>
              </w:rPr>
            </w:pPr>
            <w:r w:rsidRPr="007B690E">
              <w:rPr>
                <w:rFonts w:ascii="Arial" w:eastAsia="Calibri" w:hAnsi="Arial" w:cs="Arial"/>
                <w:color w:val="000000"/>
                <w:sz w:val="16"/>
                <w:szCs w:val="16"/>
                <w:lang w:val="en-US"/>
              </w:rPr>
              <w:t>LC 101/2000, art. 21, parágrafo único.</w:t>
            </w:r>
          </w:p>
        </w:tc>
        <w:tc>
          <w:tcPr>
            <w:tcW w:w="1417" w:type="dxa"/>
            <w:vAlign w:val="center"/>
          </w:tcPr>
          <w:p w14:paraId="23205A58"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Auditoria Governamental de conformidade</w:t>
            </w:r>
          </w:p>
        </w:tc>
        <w:tc>
          <w:tcPr>
            <w:tcW w:w="2694" w:type="dxa"/>
            <w:shd w:val="clear" w:color="auto" w:fill="auto"/>
            <w:vAlign w:val="center"/>
            <w:hideMark/>
          </w:tcPr>
          <w:p w14:paraId="2B369CF0"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Avaliar se foram praticados atos que provocaram aumento das despesas com pessoal, expedidos nos cento e oitenta dias anteriores ao final do mandato do titular do Poder.</w:t>
            </w:r>
          </w:p>
        </w:tc>
        <w:tc>
          <w:tcPr>
            <w:tcW w:w="1275" w:type="dxa"/>
            <w:shd w:val="clear" w:color="auto" w:fill="auto"/>
            <w:vAlign w:val="center"/>
            <w:hideMark/>
          </w:tcPr>
          <w:p w14:paraId="692F7B27"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Governo</w:t>
            </w:r>
          </w:p>
          <w:p w14:paraId="5D946A72" w14:textId="77777777" w:rsidR="007B690E" w:rsidRPr="007B690E" w:rsidRDefault="007B690E" w:rsidP="007B690E">
            <w:pPr>
              <w:widowControl w:val="0"/>
              <w:spacing w:after="0" w:line="240" w:lineRule="auto"/>
              <w:jc w:val="center"/>
              <w:rPr>
                <w:rFonts w:ascii="Arial" w:eastAsia="Calibri" w:hAnsi="Arial" w:cs="Arial"/>
                <w:color w:val="000000"/>
                <w:sz w:val="10"/>
                <w:szCs w:val="10"/>
              </w:rPr>
            </w:pPr>
          </w:p>
          <w:p w14:paraId="21C48B1B"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Poderes</w:t>
            </w:r>
          </w:p>
        </w:tc>
      </w:tr>
      <w:tr w:rsidR="007B690E" w:rsidRPr="007B690E" w14:paraId="3E1FC4D6" w14:textId="77777777" w:rsidTr="007B690E">
        <w:trPr>
          <w:trHeight w:val="1288"/>
        </w:trPr>
        <w:tc>
          <w:tcPr>
            <w:tcW w:w="851" w:type="dxa"/>
            <w:vAlign w:val="center"/>
          </w:tcPr>
          <w:p w14:paraId="42122A30"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1.4.10</w:t>
            </w:r>
          </w:p>
        </w:tc>
        <w:tc>
          <w:tcPr>
            <w:tcW w:w="1417" w:type="dxa"/>
            <w:shd w:val="clear" w:color="auto" w:fill="auto"/>
            <w:vAlign w:val="center"/>
            <w:hideMark/>
          </w:tcPr>
          <w:p w14:paraId="4DE94FD3"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Despesas com pessoal – limite prudencial – vedações</w:t>
            </w:r>
          </w:p>
        </w:tc>
        <w:tc>
          <w:tcPr>
            <w:tcW w:w="1418" w:type="dxa"/>
            <w:shd w:val="clear" w:color="auto" w:fill="auto"/>
            <w:vAlign w:val="center"/>
            <w:hideMark/>
          </w:tcPr>
          <w:p w14:paraId="0AA82A12" w14:textId="77777777" w:rsidR="007B690E" w:rsidRPr="007B690E" w:rsidRDefault="007B690E" w:rsidP="007B690E">
            <w:pPr>
              <w:widowControl w:val="0"/>
              <w:spacing w:after="0" w:line="240" w:lineRule="auto"/>
              <w:jc w:val="both"/>
              <w:rPr>
                <w:rFonts w:ascii="Arial" w:eastAsia="Calibri" w:hAnsi="Arial" w:cs="Arial"/>
                <w:color w:val="000000"/>
                <w:sz w:val="16"/>
                <w:szCs w:val="16"/>
                <w:lang w:val="en-US"/>
              </w:rPr>
            </w:pPr>
            <w:r w:rsidRPr="007B690E">
              <w:rPr>
                <w:rFonts w:ascii="Arial" w:eastAsia="Calibri" w:hAnsi="Arial" w:cs="Arial"/>
                <w:color w:val="000000"/>
                <w:sz w:val="16"/>
                <w:szCs w:val="16"/>
                <w:lang w:val="en-US"/>
              </w:rPr>
              <w:t>LC 101/2000, art. 22, parágrafo único.</w:t>
            </w:r>
          </w:p>
        </w:tc>
        <w:tc>
          <w:tcPr>
            <w:tcW w:w="1417" w:type="dxa"/>
            <w:vAlign w:val="center"/>
          </w:tcPr>
          <w:p w14:paraId="7062B4E6"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Conformidade (Verificação documental)</w:t>
            </w:r>
          </w:p>
        </w:tc>
        <w:tc>
          <w:tcPr>
            <w:tcW w:w="2694" w:type="dxa"/>
            <w:shd w:val="clear" w:color="auto" w:fill="auto"/>
            <w:vAlign w:val="center"/>
            <w:hideMark/>
          </w:tcPr>
          <w:p w14:paraId="15C2DCE2"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 xml:space="preserve">Avaliar se as despesas totais com pessoal excederam 95% do limite máximo permitido para o Poder e, no caso de ocorrência, se as vedações previstas no artigo 22, parágrafo único, incisos I a V, da LRF foram observadas.  </w:t>
            </w:r>
          </w:p>
        </w:tc>
        <w:tc>
          <w:tcPr>
            <w:tcW w:w="1275" w:type="dxa"/>
            <w:shd w:val="clear" w:color="auto" w:fill="auto"/>
            <w:vAlign w:val="center"/>
            <w:hideMark/>
          </w:tcPr>
          <w:p w14:paraId="6FA0915B"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Governo</w:t>
            </w:r>
          </w:p>
          <w:p w14:paraId="7DF5464B"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p>
          <w:p w14:paraId="45969D5D"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Poderes</w:t>
            </w:r>
          </w:p>
        </w:tc>
      </w:tr>
      <w:tr w:rsidR="007B690E" w:rsidRPr="007B690E" w14:paraId="35E29F38" w14:textId="77777777" w:rsidTr="007B690E">
        <w:trPr>
          <w:trHeight w:val="1158"/>
        </w:trPr>
        <w:tc>
          <w:tcPr>
            <w:tcW w:w="851" w:type="dxa"/>
            <w:vAlign w:val="center"/>
          </w:tcPr>
          <w:p w14:paraId="63CF2D97"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1.4.11</w:t>
            </w:r>
          </w:p>
        </w:tc>
        <w:tc>
          <w:tcPr>
            <w:tcW w:w="1417" w:type="dxa"/>
            <w:shd w:val="clear" w:color="auto" w:fill="auto"/>
            <w:vAlign w:val="center"/>
            <w:hideMark/>
          </w:tcPr>
          <w:p w14:paraId="1E14F09F"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Despesas com pessoal – extrapolação do limite – providências / medidas de contenção</w:t>
            </w:r>
          </w:p>
        </w:tc>
        <w:tc>
          <w:tcPr>
            <w:tcW w:w="1418" w:type="dxa"/>
            <w:shd w:val="clear" w:color="auto" w:fill="auto"/>
            <w:vAlign w:val="center"/>
            <w:hideMark/>
          </w:tcPr>
          <w:p w14:paraId="245FB36B" w14:textId="77777777" w:rsidR="007B690E" w:rsidRPr="007B690E" w:rsidRDefault="007B690E" w:rsidP="007B690E">
            <w:pPr>
              <w:widowControl w:val="0"/>
              <w:spacing w:after="0" w:line="240" w:lineRule="auto"/>
              <w:jc w:val="both"/>
              <w:rPr>
                <w:rFonts w:ascii="Arial" w:eastAsia="Calibri" w:hAnsi="Arial" w:cs="Arial"/>
                <w:color w:val="000000"/>
                <w:sz w:val="16"/>
                <w:szCs w:val="16"/>
                <w:lang w:val="en-US"/>
              </w:rPr>
            </w:pPr>
            <w:r w:rsidRPr="007B690E">
              <w:rPr>
                <w:rFonts w:ascii="Arial" w:eastAsia="Calibri" w:hAnsi="Arial" w:cs="Arial"/>
                <w:color w:val="000000"/>
                <w:sz w:val="16"/>
                <w:szCs w:val="16"/>
                <w:lang w:val="en-US"/>
              </w:rPr>
              <w:t>LC 101/2000, art. 23 c/c CRFB/88, art. 169, §§ 3º e 4º.</w:t>
            </w:r>
          </w:p>
        </w:tc>
        <w:tc>
          <w:tcPr>
            <w:tcW w:w="1417" w:type="dxa"/>
            <w:vAlign w:val="center"/>
          </w:tcPr>
          <w:p w14:paraId="0672D76E"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Conformidade (Verificação documental)</w:t>
            </w:r>
          </w:p>
        </w:tc>
        <w:tc>
          <w:tcPr>
            <w:tcW w:w="2694" w:type="dxa"/>
            <w:shd w:val="clear" w:color="auto" w:fill="auto"/>
            <w:vAlign w:val="center"/>
            <w:hideMark/>
          </w:tcPr>
          <w:p w14:paraId="7EBF5C57"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 xml:space="preserve">Avaliar se as despesas totais com pessoal ultrapassaram o limite estabelecido no artigo 20 da LRF e, no caso de ocorrência, se as medidas saneadoras previstas no artigo 23 (e 169, §§ 3º e 4º da CF 88) foram adotadas. </w:t>
            </w:r>
          </w:p>
        </w:tc>
        <w:tc>
          <w:tcPr>
            <w:tcW w:w="1275" w:type="dxa"/>
            <w:shd w:val="clear" w:color="auto" w:fill="auto"/>
            <w:vAlign w:val="center"/>
            <w:hideMark/>
          </w:tcPr>
          <w:p w14:paraId="0E467D74"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Governo</w:t>
            </w:r>
          </w:p>
          <w:p w14:paraId="41478AC1" w14:textId="77777777" w:rsidR="007B690E" w:rsidRPr="007B690E" w:rsidRDefault="007B690E" w:rsidP="007B690E">
            <w:pPr>
              <w:widowControl w:val="0"/>
              <w:spacing w:after="0" w:line="240" w:lineRule="auto"/>
              <w:jc w:val="center"/>
              <w:rPr>
                <w:rFonts w:ascii="Arial" w:eastAsia="Calibri" w:hAnsi="Arial" w:cs="Arial"/>
                <w:color w:val="000000"/>
                <w:sz w:val="10"/>
                <w:szCs w:val="10"/>
              </w:rPr>
            </w:pPr>
          </w:p>
          <w:p w14:paraId="70A2F01E"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Poderes</w:t>
            </w:r>
          </w:p>
        </w:tc>
      </w:tr>
      <w:tr w:rsidR="007B690E" w:rsidRPr="007B690E" w14:paraId="1FBAD562" w14:textId="77777777" w:rsidTr="007B690E">
        <w:trPr>
          <w:trHeight w:val="1979"/>
        </w:trPr>
        <w:tc>
          <w:tcPr>
            <w:tcW w:w="851" w:type="dxa"/>
            <w:vMerge w:val="restart"/>
            <w:vAlign w:val="center"/>
          </w:tcPr>
          <w:p w14:paraId="5202E59C"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1.4.12</w:t>
            </w:r>
          </w:p>
        </w:tc>
        <w:tc>
          <w:tcPr>
            <w:tcW w:w="1417" w:type="dxa"/>
            <w:vMerge w:val="restart"/>
            <w:shd w:val="clear" w:color="auto" w:fill="auto"/>
            <w:vAlign w:val="center"/>
            <w:hideMark/>
          </w:tcPr>
          <w:p w14:paraId="542F6956"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Despesas com pessoal – expansão de despesas – existência de dotação orçamentária – autorização na LDO</w:t>
            </w:r>
          </w:p>
        </w:tc>
        <w:tc>
          <w:tcPr>
            <w:tcW w:w="1418" w:type="dxa"/>
            <w:vMerge w:val="restart"/>
            <w:shd w:val="clear" w:color="auto" w:fill="auto"/>
            <w:vAlign w:val="center"/>
            <w:hideMark/>
          </w:tcPr>
          <w:p w14:paraId="39E8F603" w14:textId="77777777" w:rsidR="007B690E" w:rsidRPr="007B690E" w:rsidRDefault="007B690E" w:rsidP="007B690E">
            <w:pPr>
              <w:widowControl w:val="0"/>
              <w:spacing w:after="0" w:line="240" w:lineRule="auto"/>
              <w:jc w:val="both"/>
              <w:rPr>
                <w:rFonts w:ascii="Arial" w:eastAsia="Calibri" w:hAnsi="Arial" w:cs="Arial"/>
                <w:color w:val="000000"/>
                <w:sz w:val="16"/>
                <w:szCs w:val="16"/>
                <w:lang w:val="en-US"/>
              </w:rPr>
            </w:pPr>
            <w:r w:rsidRPr="007B690E">
              <w:rPr>
                <w:rFonts w:ascii="Arial" w:eastAsia="Calibri" w:hAnsi="Arial" w:cs="Arial"/>
                <w:color w:val="000000"/>
                <w:sz w:val="16"/>
                <w:szCs w:val="16"/>
                <w:lang w:val="en-US"/>
              </w:rPr>
              <w:t>CRFB/88, art. 169, § 1º.</w:t>
            </w:r>
          </w:p>
        </w:tc>
        <w:tc>
          <w:tcPr>
            <w:tcW w:w="1417" w:type="dxa"/>
            <w:vMerge w:val="restart"/>
            <w:vAlign w:val="center"/>
          </w:tcPr>
          <w:p w14:paraId="3932AEE7"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Auditoria governamental de conformidade</w:t>
            </w:r>
          </w:p>
        </w:tc>
        <w:tc>
          <w:tcPr>
            <w:tcW w:w="2694" w:type="dxa"/>
            <w:shd w:val="clear" w:color="auto" w:fill="auto"/>
            <w:vAlign w:val="center"/>
            <w:hideMark/>
          </w:tcPr>
          <w:p w14:paraId="686C9747"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Avaliar se houve concessão de qualquer vantagem ou aumento de remuneração, criação de cargos, empregos e funções ou alteração de estrutura de carreiras, bem como admissão ou contratação de pessoal, a qualquer título, pelos órgãos e entidades da administração direta ou indireta, inclusive fundações instituídas e mantidas pelo poder público, inobservando a inexistência:</w:t>
            </w:r>
          </w:p>
        </w:tc>
        <w:tc>
          <w:tcPr>
            <w:tcW w:w="1275" w:type="dxa"/>
            <w:shd w:val="clear" w:color="auto" w:fill="auto"/>
            <w:vAlign w:val="center"/>
            <w:hideMark/>
          </w:tcPr>
          <w:p w14:paraId="28F463F3"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Governo</w:t>
            </w:r>
          </w:p>
          <w:p w14:paraId="42AB1CFF"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p>
          <w:p w14:paraId="3984338F"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Poderes</w:t>
            </w:r>
          </w:p>
        </w:tc>
      </w:tr>
      <w:tr w:rsidR="007B690E" w:rsidRPr="007B690E" w14:paraId="657A5E83" w14:textId="77777777" w:rsidTr="007B690E">
        <w:trPr>
          <w:trHeight w:val="677"/>
        </w:trPr>
        <w:tc>
          <w:tcPr>
            <w:tcW w:w="851" w:type="dxa"/>
            <w:vMerge/>
            <w:vAlign w:val="center"/>
          </w:tcPr>
          <w:p w14:paraId="5D98E1AC"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p>
        </w:tc>
        <w:tc>
          <w:tcPr>
            <w:tcW w:w="1417" w:type="dxa"/>
            <w:vMerge/>
            <w:vAlign w:val="center"/>
            <w:hideMark/>
          </w:tcPr>
          <w:p w14:paraId="4D1671DA" w14:textId="77777777" w:rsidR="007B690E" w:rsidRPr="007B690E" w:rsidRDefault="007B690E" w:rsidP="007B690E">
            <w:pPr>
              <w:widowControl w:val="0"/>
              <w:spacing w:after="0" w:line="240" w:lineRule="auto"/>
              <w:rPr>
                <w:rFonts w:ascii="Arial" w:eastAsia="Calibri" w:hAnsi="Arial" w:cs="Arial"/>
                <w:color w:val="000000"/>
                <w:sz w:val="16"/>
                <w:szCs w:val="16"/>
              </w:rPr>
            </w:pPr>
          </w:p>
        </w:tc>
        <w:tc>
          <w:tcPr>
            <w:tcW w:w="1418" w:type="dxa"/>
            <w:vMerge/>
            <w:vAlign w:val="center"/>
            <w:hideMark/>
          </w:tcPr>
          <w:p w14:paraId="711AA763" w14:textId="77777777" w:rsidR="007B690E" w:rsidRPr="007B690E" w:rsidRDefault="007B690E" w:rsidP="007B690E">
            <w:pPr>
              <w:widowControl w:val="0"/>
              <w:spacing w:after="0" w:line="240" w:lineRule="auto"/>
              <w:rPr>
                <w:rFonts w:ascii="Arial" w:eastAsia="Calibri" w:hAnsi="Arial" w:cs="Arial"/>
                <w:color w:val="000000"/>
                <w:sz w:val="16"/>
                <w:szCs w:val="16"/>
              </w:rPr>
            </w:pPr>
          </w:p>
        </w:tc>
        <w:tc>
          <w:tcPr>
            <w:tcW w:w="1417" w:type="dxa"/>
            <w:vMerge/>
            <w:vAlign w:val="center"/>
          </w:tcPr>
          <w:p w14:paraId="26947016"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p>
        </w:tc>
        <w:tc>
          <w:tcPr>
            <w:tcW w:w="2694" w:type="dxa"/>
            <w:shd w:val="clear" w:color="auto" w:fill="auto"/>
            <w:vAlign w:val="center"/>
            <w:hideMark/>
          </w:tcPr>
          <w:p w14:paraId="279CBDDB"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bookmarkStart w:id="68" w:name="RANGE!D109"/>
            <w:r w:rsidRPr="007B690E">
              <w:rPr>
                <w:rFonts w:ascii="Arial" w:eastAsia="Calibri" w:hAnsi="Arial" w:cs="Arial"/>
                <w:color w:val="000000"/>
                <w:sz w:val="16"/>
                <w:szCs w:val="16"/>
              </w:rPr>
              <w:t>I – de prévia dotação orçamentária suficiente para atender às projeções de despesa de pessoal e aos acréscimos dela decorrentes;</w:t>
            </w:r>
            <w:bookmarkEnd w:id="68"/>
          </w:p>
        </w:tc>
        <w:tc>
          <w:tcPr>
            <w:tcW w:w="1275" w:type="dxa"/>
            <w:shd w:val="clear" w:color="auto" w:fill="auto"/>
            <w:vAlign w:val="center"/>
            <w:hideMark/>
          </w:tcPr>
          <w:p w14:paraId="432C476F"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Governo</w:t>
            </w:r>
          </w:p>
          <w:p w14:paraId="14BD551A"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p>
          <w:p w14:paraId="3E768FE0"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Poderes</w:t>
            </w:r>
          </w:p>
        </w:tc>
      </w:tr>
      <w:tr w:rsidR="007B690E" w:rsidRPr="007B690E" w14:paraId="66DB2F6E" w14:textId="77777777" w:rsidTr="007B690E">
        <w:trPr>
          <w:trHeight w:val="693"/>
        </w:trPr>
        <w:tc>
          <w:tcPr>
            <w:tcW w:w="851" w:type="dxa"/>
            <w:vMerge/>
            <w:vAlign w:val="center"/>
          </w:tcPr>
          <w:p w14:paraId="2288B523"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p>
        </w:tc>
        <w:tc>
          <w:tcPr>
            <w:tcW w:w="1417" w:type="dxa"/>
            <w:vMerge/>
            <w:vAlign w:val="center"/>
            <w:hideMark/>
          </w:tcPr>
          <w:p w14:paraId="7199C89E" w14:textId="77777777" w:rsidR="007B690E" w:rsidRPr="007B690E" w:rsidRDefault="007B690E" w:rsidP="007B690E">
            <w:pPr>
              <w:widowControl w:val="0"/>
              <w:spacing w:after="0" w:line="240" w:lineRule="auto"/>
              <w:rPr>
                <w:rFonts w:ascii="Arial" w:eastAsia="Calibri" w:hAnsi="Arial" w:cs="Arial"/>
                <w:color w:val="000000"/>
                <w:sz w:val="16"/>
                <w:szCs w:val="16"/>
              </w:rPr>
            </w:pPr>
          </w:p>
        </w:tc>
        <w:tc>
          <w:tcPr>
            <w:tcW w:w="1418" w:type="dxa"/>
            <w:vMerge/>
            <w:vAlign w:val="center"/>
            <w:hideMark/>
          </w:tcPr>
          <w:p w14:paraId="33B24B7D" w14:textId="77777777" w:rsidR="007B690E" w:rsidRPr="007B690E" w:rsidRDefault="007B690E" w:rsidP="007B690E">
            <w:pPr>
              <w:widowControl w:val="0"/>
              <w:spacing w:after="0" w:line="240" w:lineRule="auto"/>
              <w:rPr>
                <w:rFonts w:ascii="Arial" w:eastAsia="Calibri" w:hAnsi="Arial" w:cs="Arial"/>
                <w:color w:val="000000"/>
                <w:sz w:val="16"/>
                <w:szCs w:val="16"/>
              </w:rPr>
            </w:pPr>
          </w:p>
        </w:tc>
        <w:tc>
          <w:tcPr>
            <w:tcW w:w="1417" w:type="dxa"/>
            <w:vMerge/>
            <w:vAlign w:val="center"/>
          </w:tcPr>
          <w:p w14:paraId="5A06B813"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p>
        </w:tc>
        <w:tc>
          <w:tcPr>
            <w:tcW w:w="2694" w:type="dxa"/>
            <w:shd w:val="clear" w:color="auto" w:fill="auto"/>
            <w:vAlign w:val="center"/>
            <w:hideMark/>
          </w:tcPr>
          <w:p w14:paraId="4ED09D8C"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II – de autorização específica na lei de diretrizes orçamentárias, ressalvadas as empresas públicas e as sociedades de economia mista.</w:t>
            </w:r>
          </w:p>
        </w:tc>
        <w:tc>
          <w:tcPr>
            <w:tcW w:w="1275" w:type="dxa"/>
            <w:shd w:val="clear" w:color="auto" w:fill="auto"/>
            <w:vAlign w:val="center"/>
            <w:hideMark/>
          </w:tcPr>
          <w:p w14:paraId="3438EC3C"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Governo</w:t>
            </w:r>
          </w:p>
          <w:p w14:paraId="06CB949D" w14:textId="77777777" w:rsidR="007B690E" w:rsidRPr="007B690E" w:rsidRDefault="007B690E" w:rsidP="007B690E">
            <w:pPr>
              <w:widowControl w:val="0"/>
              <w:spacing w:after="0" w:line="240" w:lineRule="auto"/>
              <w:jc w:val="center"/>
              <w:rPr>
                <w:rFonts w:ascii="Arial" w:eastAsia="Calibri" w:hAnsi="Arial" w:cs="Arial"/>
                <w:color w:val="000000"/>
                <w:sz w:val="10"/>
                <w:szCs w:val="10"/>
              </w:rPr>
            </w:pPr>
          </w:p>
          <w:p w14:paraId="4B110435"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Poderes</w:t>
            </w:r>
          </w:p>
        </w:tc>
      </w:tr>
      <w:tr w:rsidR="007B690E" w:rsidRPr="007B690E" w14:paraId="031CC3C6" w14:textId="77777777" w:rsidTr="007B690E">
        <w:trPr>
          <w:trHeight w:val="613"/>
        </w:trPr>
        <w:tc>
          <w:tcPr>
            <w:tcW w:w="851" w:type="dxa"/>
            <w:vAlign w:val="center"/>
          </w:tcPr>
          <w:p w14:paraId="01B7886C" w14:textId="77777777" w:rsidR="007B690E" w:rsidRPr="007B690E" w:rsidRDefault="007B690E" w:rsidP="007B690E">
            <w:pPr>
              <w:widowControl w:val="0"/>
              <w:autoSpaceDE w:val="0"/>
              <w:autoSpaceDN w:val="0"/>
              <w:adjustRightInd w:val="0"/>
              <w:spacing w:after="0" w:line="240" w:lineRule="auto"/>
              <w:jc w:val="center"/>
              <w:rPr>
                <w:rFonts w:ascii="Arial" w:eastAsia="Calibri" w:hAnsi="Arial" w:cs="Arial"/>
                <w:bCs/>
                <w:sz w:val="16"/>
                <w:szCs w:val="16"/>
              </w:rPr>
            </w:pPr>
            <w:r w:rsidRPr="007B690E">
              <w:rPr>
                <w:rFonts w:ascii="Arial" w:eastAsia="Calibri" w:hAnsi="Arial" w:cs="Arial"/>
                <w:color w:val="000000"/>
                <w:sz w:val="16"/>
                <w:szCs w:val="16"/>
              </w:rPr>
              <w:t>1.4.13</w:t>
            </w:r>
          </w:p>
        </w:tc>
        <w:tc>
          <w:tcPr>
            <w:tcW w:w="1417" w:type="dxa"/>
            <w:shd w:val="clear" w:color="auto" w:fill="auto"/>
            <w:vAlign w:val="center"/>
          </w:tcPr>
          <w:p w14:paraId="78F95B91" w14:textId="77777777" w:rsidR="007B690E" w:rsidRPr="007B690E" w:rsidRDefault="007B690E" w:rsidP="007B690E">
            <w:pPr>
              <w:widowControl w:val="0"/>
              <w:autoSpaceDE w:val="0"/>
              <w:autoSpaceDN w:val="0"/>
              <w:adjustRightInd w:val="0"/>
              <w:spacing w:after="0" w:line="240" w:lineRule="auto"/>
              <w:jc w:val="both"/>
              <w:rPr>
                <w:rFonts w:ascii="Arial" w:eastAsia="Calibri" w:hAnsi="Arial" w:cs="Arial"/>
                <w:bCs/>
                <w:sz w:val="16"/>
                <w:szCs w:val="16"/>
              </w:rPr>
            </w:pPr>
            <w:r w:rsidRPr="007B690E">
              <w:rPr>
                <w:rFonts w:ascii="Arial" w:eastAsia="Calibri" w:hAnsi="Arial" w:cs="Arial"/>
                <w:bCs/>
                <w:sz w:val="16"/>
                <w:szCs w:val="16"/>
              </w:rPr>
              <w:t>Poder Legislativo Municipal – despesa com folha de pagamento</w:t>
            </w:r>
          </w:p>
        </w:tc>
        <w:tc>
          <w:tcPr>
            <w:tcW w:w="1418" w:type="dxa"/>
            <w:shd w:val="clear" w:color="auto" w:fill="auto"/>
            <w:vAlign w:val="center"/>
          </w:tcPr>
          <w:p w14:paraId="113ABCB2" w14:textId="77777777" w:rsidR="007B690E" w:rsidRPr="007B690E" w:rsidRDefault="007B690E" w:rsidP="007B690E">
            <w:pPr>
              <w:widowControl w:val="0"/>
              <w:autoSpaceDE w:val="0"/>
              <w:autoSpaceDN w:val="0"/>
              <w:adjustRightInd w:val="0"/>
              <w:spacing w:after="0" w:line="240" w:lineRule="auto"/>
              <w:jc w:val="both"/>
              <w:rPr>
                <w:rFonts w:ascii="Arial" w:eastAsia="Calibri" w:hAnsi="Arial" w:cs="Arial"/>
                <w:bCs/>
                <w:sz w:val="16"/>
                <w:szCs w:val="16"/>
                <w:lang w:val="en-US"/>
              </w:rPr>
            </w:pPr>
            <w:r w:rsidRPr="007B690E">
              <w:rPr>
                <w:rFonts w:ascii="Arial" w:eastAsia="Calibri" w:hAnsi="Arial" w:cs="Arial"/>
                <w:bCs/>
                <w:sz w:val="16"/>
                <w:szCs w:val="16"/>
                <w:lang w:val="en-US"/>
              </w:rPr>
              <w:t>CRFB/88, art. 29-A, § 1º.</w:t>
            </w:r>
          </w:p>
        </w:tc>
        <w:tc>
          <w:tcPr>
            <w:tcW w:w="1417" w:type="dxa"/>
            <w:vAlign w:val="center"/>
          </w:tcPr>
          <w:p w14:paraId="1565BC2D" w14:textId="77777777" w:rsidR="007B690E" w:rsidRPr="007B690E" w:rsidRDefault="007B690E" w:rsidP="007B690E">
            <w:pPr>
              <w:widowControl w:val="0"/>
              <w:spacing w:after="0" w:line="240" w:lineRule="auto"/>
              <w:jc w:val="center"/>
              <w:rPr>
                <w:rFonts w:ascii="Arial" w:eastAsia="Calibri" w:hAnsi="Arial" w:cs="Arial"/>
                <w:sz w:val="16"/>
                <w:szCs w:val="16"/>
                <w:lang w:val="en-US"/>
              </w:rPr>
            </w:pPr>
            <w:r w:rsidRPr="007B690E">
              <w:rPr>
                <w:rFonts w:ascii="Arial" w:eastAsia="Calibri" w:hAnsi="Arial" w:cs="Arial"/>
                <w:sz w:val="16"/>
                <w:szCs w:val="16"/>
                <w:lang w:val="en-US"/>
              </w:rPr>
              <w:t>Conformidade (Revisão analítica</w:t>
            </w:r>
          </w:p>
        </w:tc>
        <w:tc>
          <w:tcPr>
            <w:tcW w:w="2694" w:type="dxa"/>
            <w:shd w:val="clear" w:color="auto" w:fill="auto"/>
            <w:vAlign w:val="center"/>
          </w:tcPr>
          <w:p w14:paraId="7AF0D712" w14:textId="77777777" w:rsidR="007B690E" w:rsidRPr="007B690E" w:rsidRDefault="007B690E" w:rsidP="007B690E">
            <w:pPr>
              <w:widowControl w:val="0"/>
              <w:spacing w:after="0" w:line="240" w:lineRule="auto"/>
              <w:jc w:val="both"/>
              <w:rPr>
                <w:rFonts w:ascii="Arial" w:eastAsia="Calibri" w:hAnsi="Arial" w:cs="Arial"/>
                <w:sz w:val="16"/>
                <w:szCs w:val="16"/>
              </w:rPr>
            </w:pPr>
            <w:r w:rsidRPr="007B690E">
              <w:rPr>
                <w:rFonts w:ascii="Arial" w:eastAsia="Calibri" w:hAnsi="Arial" w:cs="Arial"/>
                <w:sz w:val="16"/>
                <w:szCs w:val="16"/>
              </w:rPr>
              <w:t>Avaliar se o gasto total com a folha de pagamento da Câmara Municipal não ultrapassou setenta por cento dos recursos financeiros recebidos a título de transferência de duodécimos no exercício.</w:t>
            </w:r>
          </w:p>
        </w:tc>
        <w:tc>
          <w:tcPr>
            <w:tcW w:w="1275" w:type="dxa"/>
            <w:shd w:val="clear" w:color="auto" w:fill="auto"/>
            <w:vAlign w:val="center"/>
          </w:tcPr>
          <w:p w14:paraId="0477CDBF" w14:textId="77777777" w:rsidR="007B690E" w:rsidRPr="007B690E" w:rsidRDefault="007B690E" w:rsidP="007B690E">
            <w:pPr>
              <w:widowControl w:val="0"/>
              <w:autoSpaceDE w:val="0"/>
              <w:autoSpaceDN w:val="0"/>
              <w:adjustRightInd w:val="0"/>
              <w:spacing w:after="0" w:line="240" w:lineRule="auto"/>
              <w:jc w:val="center"/>
              <w:rPr>
                <w:rFonts w:ascii="Arial" w:eastAsia="Calibri" w:hAnsi="Arial" w:cs="Arial"/>
                <w:bCs/>
                <w:sz w:val="16"/>
                <w:szCs w:val="16"/>
              </w:rPr>
            </w:pPr>
            <w:r w:rsidRPr="007B690E">
              <w:rPr>
                <w:rFonts w:ascii="Arial" w:eastAsia="Calibri" w:hAnsi="Arial" w:cs="Arial"/>
                <w:color w:val="000000"/>
                <w:sz w:val="16"/>
                <w:szCs w:val="16"/>
              </w:rPr>
              <w:t>Conta da UG  Câmara Municipal</w:t>
            </w:r>
          </w:p>
        </w:tc>
      </w:tr>
      <w:tr w:rsidR="007B690E" w:rsidRPr="007B690E" w14:paraId="3857209A" w14:textId="77777777" w:rsidTr="007B690E">
        <w:trPr>
          <w:trHeight w:val="581"/>
        </w:trPr>
        <w:tc>
          <w:tcPr>
            <w:tcW w:w="851" w:type="dxa"/>
            <w:vAlign w:val="center"/>
          </w:tcPr>
          <w:p w14:paraId="018F3CEE"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1.4.14</w:t>
            </w:r>
          </w:p>
        </w:tc>
        <w:tc>
          <w:tcPr>
            <w:tcW w:w="1417" w:type="dxa"/>
            <w:shd w:val="clear" w:color="auto" w:fill="auto"/>
            <w:vAlign w:val="center"/>
            <w:hideMark/>
          </w:tcPr>
          <w:p w14:paraId="6F211A34"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Transferências para o Poder Legislativo Municipal</w:t>
            </w:r>
          </w:p>
        </w:tc>
        <w:tc>
          <w:tcPr>
            <w:tcW w:w="1418" w:type="dxa"/>
            <w:shd w:val="clear" w:color="auto" w:fill="auto"/>
            <w:vAlign w:val="center"/>
            <w:hideMark/>
          </w:tcPr>
          <w:p w14:paraId="63F72003" w14:textId="77777777" w:rsidR="007B690E" w:rsidRPr="007B690E" w:rsidRDefault="007B690E" w:rsidP="007B690E">
            <w:pPr>
              <w:widowControl w:val="0"/>
              <w:spacing w:after="0" w:line="240" w:lineRule="auto"/>
              <w:jc w:val="both"/>
              <w:rPr>
                <w:rFonts w:ascii="Arial" w:eastAsia="Calibri" w:hAnsi="Arial" w:cs="Arial"/>
                <w:color w:val="000000"/>
                <w:sz w:val="16"/>
                <w:szCs w:val="16"/>
                <w:lang w:val="en-US"/>
              </w:rPr>
            </w:pPr>
            <w:r w:rsidRPr="007B690E">
              <w:rPr>
                <w:rFonts w:ascii="Arial" w:eastAsia="Calibri" w:hAnsi="Arial" w:cs="Arial"/>
                <w:color w:val="000000"/>
                <w:sz w:val="16"/>
                <w:szCs w:val="16"/>
                <w:lang w:val="en-US"/>
              </w:rPr>
              <w:t>CRFB/88, art. 29-A, § 2º.</w:t>
            </w:r>
          </w:p>
        </w:tc>
        <w:tc>
          <w:tcPr>
            <w:tcW w:w="1417" w:type="dxa"/>
            <w:vAlign w:val="center"/>
          </w:tcPr>
          <w:p w14:paraId="1A940C1A"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Conformidade (Revisão analítica)</w:t>
            </w:r>
          </w:p>
        </w:tc>
        <w:tc>
          <w:tcPr>
            <w:tcW w:w="2694" w:type="dxa"/>
            <w:shd w:val="clear" w:color="auto" w:fill="auto"/>
            <w:vAlign w:val="center"/>
            <w:hideMark/>
          </w:tcPr>
          <w:p w14:paraId="3CA10255"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bookmarkStart w:id="69" w:name="RANGE!D113"/>
            <w:r w:rsidRPr="007B690E">
              <w:rPr>
                <w:rFonts w:ascii="Arial" w:eastAsia="Calibri" w:hAnsi="Arial" w:cs="Arial"/>
                <w:color w:val="000000"/>
                <w:sz w:val="16"/>
                <w:szCs w:val="16"/>
              </w:rPr>
              <w:t>Avaliar se os repasses ao Poder Legislativo Municipal obedeceram os dispositivos contidos no § 2</w:t>
            </w:r>
            <w:r w:rsidRPr="007B690E">
              <w:rPr>
                <w:rFonts w:ascii="Arial" w:eastAsia="Calibri" w:hAnsi="Arial" w:cs="Arial"/>
                <w:color w:val="000000"/>
                <w:sz w:val="16"/>
                <w:szCs w:val="16"/>
                <w:u w:val="single"/>
                <w:vertAlign w:val="superscript"/>
              </w:rPr>
              <w:t>o</w:t>
            </w:r>
            <w:r w:rsidRPr="007B690E">
              <w:rPr>
                <w:rFonts w:ascii="Arial" w:eastAsia="Calibri" w:hAnsi="Arial" w:cs="Arial"/>
                <w:color w:val="000000"/>
                <w:sz w:val="16"/>
                <w:szCs w:val="16"/>
              </w:rPr>
              <w:t xml:space="preserve"> do artigo 29-A da CRFB/88.</w:t>
            </w:r>
            <w:bookmarkEnd w:id="69"/>
          </w:p>
        </w:tc>
        <w:tc>
          <w:tcPr>
            <w:tcW w:w="1275" w:type="dxa"/>
            <w:shd w:val="clear" w:color="auto" w:fill="auto"/>
            <w:vAlign w:val="center"/>
            <w:hideMark/>
          </w:tcPr>
          <w:p w14:paraId="07E35C43"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Contas de Governo (Prefeitura)</w:t>
            </w:r>
          </w:p>
        </w:tc>
      </w:tr>
      <w:tr w:rsidR="007B690E" w:rsidRPr="007B690E" w14:paraId="2DBF95F0" w14:textId="77777777" w:rsidTr="007B690E">
        <w:trPr>
          <w:trHeight w:val="137"/>
        </w:trPr>
        <w:tc>
          <w:tcPr>
            <w:tcW w:w="851" w:type="dxa"/>
            <w:vAlign w:val="center"/>
          </w:tcPr>
          <w:p w14:paraId="018A7882"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1.4.15</w:t>
            </w:r>
          </w:p>
        </w:tc>
        <w:tc>
          <w:tcPr>
            <w:tcW w:w="1417" w:type="dxa"/>
            <w:shd w:val="clear" w:color="auto" w:fill="auto"/>
            <w:vAlign w:val="center"/>
            <w:hideMark/>
          </w:tcPr>
          <w:p w14:paraId="383DCE6C"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Dívida pública – extrapolação de limite no decorrer da execução orçamentária – redução do valor excedente</w:t>
            </w:r>
          </w:p>
        </w:tc>
        <w:tc>
          <w:tcPr>
            <w:tcW w:w="1418" w:type="dxa"/>
            <w:shd w:val="clear" w:color="auto" w:fill="auto"/>
            <w:vAlign w:val="center"/>
            <w:hideMark/>
          </w:tcPr>
          <w:p w14:paraId="3624CBBE"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LC 101/2000, art. 31 e</w:t>
            </w:r>
          </w:p>
          <w:p w14:paraId="3CA91A68"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Resolução nº 40/2001 do Senado Federal.</w:t>
            </w:r>
          </w:p>
        </w:tc>
        <w:tc>
          <w:tcPr>
            <w:tcW w:w="1417" w:type="dxa"/>
            <w:vAlign w:val="center"/>
          </w:tcPr>
          <w:p w14:paraId="3E66CE37"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Conformidade (revisão analítica)</w:t>
            </w:r>
          </w:p>
        </w:tc>
        <w:tc>
          <w:tcPr>
            <w:tcW w:w="2694" w:type="dxa"/>
            <w:shd w:val="clear" w:color="auto" w:fill="auto"/>
            <w:vAlign w:val="center"/>
            <w:hideMark/>
          </w:tcPr>
          <w:p w14:paraId="0901E3EF"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Avaliar se a dívida consolidada do Estado/Município ultrapassou o respectivo limite ao final de um quadrimestre. Em caso positivo, verificar se a mesma foi reconduzida ao seu limite até o término dos três quadrimestres subsequentes, reduzindo o excedente em pelo menos 25% (vinte e cinco por cento) no primeiro.</w:t>
            </w:r>
          </w:p>
        </w:tc>
        <w:tc>
          <w:tcPr>
            <w:tcW w:w="1275" w:type="dxa"/>
            <w:shd w:val="clear" w:color="auto" w:fill="auto"/>
            <w:vAlign w:val="center"/>
            <w:hideMark/>
          </w:tcPr>
          <w:p w14:paraId="2891F409"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Governo</w:t>
            </w:r>
          </w:p>
          <w:p w14:paraId="024BB731"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p>
        </w:tc>
      </w:tr>
      <w:tr w:rsidR="007B690E" w:rsidRPr="007B690E" w14:paraId="5204836F" w14:textId="77777777" w:rsidTr="007B690E">
        <w:trPr>
          <w:trHeight w:val="1589"/>
        </w:trPr>
        <w:tc>
          <w:tcPr>
            <w:tcW w:w="851" w:type="dxa"/>
            <w:vAlign w:val="center"/>
          </w:tcPr>
          <w:p w14:paraId="29E7E871"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lastRenderedPageBreak/>
              <w:t>1.4.16</w:t>
            </w:r>
          </w:p>
        </w:tc>
        <w:tc>
          <w:tcPr>
            <w:tcW w:w="1417" w:type="dxa"/>
            <w:shd w:val="clear" w:color="auto" w:fill="auto"/>
            <w:vAlign w:val="center"/>
            <w:hideMark/>
          </w:tcPr>
          <w:p w14:paraId="40CCEFC6"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Operação de crédito por antecipação de receita orçamentária – limite</w:t>
            </w:r>
          </w:p>
        </w:tc>
        <w:tc>
          <w:tcPr>
            <w:tcW w:w="1418" w:type="dxa"/>
            <w:shd w:val="clear" w:color="auto" w:fill="auto"/>
            <w:vAlign w:val="center"/>
            <w:hideMark/>
          </w:tcPr>
          <w:p w14:paraId="111745AA"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Resolução nº 43/2001 do Senado Federal, art. 10.</w:t>
            </w:r>
          </w:p>
        </w:tc>
        <w:tc>
          <w:tcPr>
            <w:tcW w:w="1417" w:type="dxa"/>
            <w:vAlign w:val="center"/>
          </w:tcPr>
          <w:p w14:paraId="44D85037"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Conformidade (revisão analítica)</w:t>
            </w:r>
          </w:p>
        </w:tc>
        <w:tc>
          <w:tcPr>
            <w:tcW w:w="2694" w:type="dxa"/>
            <w:shd w:val="clear" w:color="auto" w:fill="auto"/>
            <w:vAlign w:val="center"/>
            <w:hideMark/>
          </w:tcPr>
          <w:p w14:paraId="398A366E"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Avaliar se houve contratação de operações de crédito por antecipação de receita orçamentária no exercício. Existindo, verificar se o saldo devedor das operações de crédito por antecipação de receita orçamentária não excedeu o limite de 7% (sete por cento) da receita corrente líquida.</w:t>
            </w:r>
          </w:p>
        </w:tc>
        <w:tc>
          <w:tcPr>
            <w:tcW w:w="1275" w:type="dxa"/>
            <w:shd w:val="clear" w:color="auto" w:fill="auto"/>
            <w:vAlign w:val="center"/>
            <w:hideMark/>
          </w:tcPr>
          <w:p w14:paraId="0656FBBF"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Governo</w:t>
            </w:r>
          </w:p>
        </w:tc>
      </w:tr>
      <w:tr w:rsidR="007B690E" w:rsidRPr="007B690E" w14:paraId="742B3711" w14:textId="77777777" w:rsidTr="007B690E">
        <w:trPr>
          <w:trHeight w:val="745"/>
        </w:trPr>
        <w:tc>
          <w:tcPr>
            <w:tcW w:w="851" w:type="dxa"/>
            <w:vAlign w:val="center"/>
          </w:tcPr>
          <w:p w14:paraId="12332A3F"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1.4.17</w:t>
            </w:r>
          </w:p>
        </w:tc>
        <w:tc>
          <w:tcPr>
            <w:tcW w:w="1417" w:type="dxa"/>
            <w:shd w:val="clear" w:color="auto" w:fill="auto"/>
            <w:vAlign w:val="center"/>
            <w:hideMark/>
          </w:tcPr>
          <w:p w14:paraId="4FE85C19"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 xml:space="preserve">Despesas com pessoal – subsídio dos vereadores – fixação </w:t>
            </w:r>
          </w:p>
        </w:tc>
        <w:tc>
          <w:tcPr>
            <w:tcW w:w="1418" w:type="dxa"/>
            <w:shd w:val="clear" w:color="auto" w:fill="auto"/>
            <w:vAlign w:val="center"/>
            <w:hideMark/>
          </w:tcPr>
          <w:p w14:paraId="2022012D" w14:textId="77777777" w:rsidR="007B690E" w:rsidRPr="007B690E" w:rsidRDefault="007B690E" w:rsidP="007B690E">
            <w:pPr>
              <w:widowControl w:val="0"/>
              <w:spacing w:after="0" w:line="240" w:lineRule="auto"/>
              <w:jc w:val="both"/>
              <w:rPr>
                <w:rFonts w:ascii="Arial" w:eastAsia="Calibri" w:hAnsi="Arial" w:cs="Arial"/>
                <w:color w:val="000000"/>
                <w:sz w:val="16"/>
                <w:szCs w:val="16"/>
                <w:lang w:val="en-US"/>
              </w:rPr>
            </w:pPr>
            <w:r w:rsidRPr="007B690E">
              <w:rPr>
                <w:rFonts w:ascii="Arial" w:eastAsia="Calibri" w:hAnsi="Arial" w:cs="Arial"/>
                <w:color w:val="000000"/>
                <w:sz w:val="16"/>
                <w:szCs w:val="16"/>
                <w:lang w:val="en-US"/>
              </w:rPr>
              <w:t>CRFB/88, art. 29, inciso VI.</w:t>
            </w:r>
          </w:p>
        </w:tc>
        <w:tc>
          <w:tcPr>
            <w:tcW w:w="1417" w:type="dxa"/>
            <w:vAlign w:val="center"/>
          </w:tcPr>
          <w:p w14:paraId="5393E9DF"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Conformidade (Análise documental)</w:t>
            </w:r>
          </w:p>
        </w:tc>
        <w:tc>
          <w:tcPr>
            <w:tcW w:w="2694" w:type="dxa"/>
            <w:shd w:val="clear" w:color="auto" w:fill="auto"/>
            <w:vAlign w:val="center"/>
            <w:hideMark/>
          </w:tcPr>
          <w:p w14:paraId="6C7FF7A3"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Avaliar se a fixação do subsídio dos Vereadores atendeu o disposto no artigo 29, inciso VI, da CRFB/88, especialmente os limites máximos nele fixados e a fixação de uma legislatura para outra.</w:t>
            </w:r>
          </w:p>
        </w:tc>
        <w:tc>
          <w:tcPr>
            <w:tcW w:w="1275" w:type="dxa"/>
            <w:shd w:val="clear" w:color="auto" w:fill="auto"/>
            <w:vAlign w:val="center"/>
            <w:hideMark/>
          </w:tcPr>
          <w:p w14:paraId="044C0A13"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Gestão Câmaras Municipais</w:t>
            </w:r>
          </w:p>
        </w:tc>
      </w:tr>
      <w:tr w:rsidR="007B690E" w:rsidRPr="007B690E" w14:paraId="0231CB43" w14:textId="77777777" w:rsidTr="007B690E">
        <w:trPr>
          <w:trHeight w:val="767"/>
        </w:trPr>
        <w:tc>
          <w:tcPr>
            <w:tcW w:w="851" w:type="dxa"/>
            <w:vAlign w:val="center"/>
          </w:tcPr>
          <w:p w14:paraId="38EC81E9"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1.4.18</w:t>
            </w:r>
          </w:p>
        </w:tc>
        <w:tc>
          <w:tcPr>
            <w:tcW w:w="1417" w:type="dxa"/>
            <w:shd w:val="clear" w:color="auto" w:fill="auto"/>
            <w:vAlign w:val="center"/>
            <w:hideMark/>
          </w:tcPr>
          <w:p w14:paraId="64408F80"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Despesas com pessoal – subsídio dos vereadores – pagamento</w:t>
            </w:r>
          </w:p>
        </w:tc>
        <w:tc>
          <w:tcPr>
            <w:tcW w:w="1418" w:type="dxa"/>
            <w:shd w:val="clear" w:color="auto" w:fill="auto"/>
            <w:vAlign w:val="center"/>
            <w:hideMark/>
          </w:tcPr>
          <w:p w14:paraId="1BCE02C2" w14:textId="77777777" w:rsidR="007B690E" w:rsidRPr="007B690E" w:rsidRDefault="007B690E" w:rsidP="007B690E">
            <w:pPr>
              <w:widowControl w:val="0"/>
              <w:spacing w:after="0" w:line="240" w:lineRule="auto"/>
              <w:jc w:val="both"/>
              <w:rPr>
                <w:rFonts w:ascii="Arial" w:eastAsia="Calibri" w:hAnsi="Arial" w:cs="Arial"/>
                <w:color w:val="000000"/>
                <w:sz w:val="16"/>
                <w:szCs w:val="16"/>
                <w:lang w:val="en-US"/>
              </w:rPr>
            </w:pPr>
            <w:r w:rsidRPr="007B690E">
              <w:rPr>
                <w:rFonts w:ascii="Arial" w:eastAsia="Calibri" w:hAnsi="Arial" w:cs="Arial"/>
                <w:color w:val="000000"/>
                <w:sz w:val="16"/>
                <w:szCs w:val="16"/>
                <w:lang w:val="en-US"/>
              </w:rPr>
              <w:t>CRFB/88, art. 29, inciso VI.</w:t>
            </w:r>
          </w:p>
        </w:tc>
        <w:tc>
          <w:tcPr>
            <w:tcW w:w="1417" w:type="dxa"/>
            <w:vAlign w:val="center"/>
          </w:tcPr>
          <w:p w14:paraId="494C9D79"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Conformidade (Análise documental e Revisão analítica)</w:t>
            </w:r>
          </w:p>
        </w:tc>
        <w:tc>
          <w:tcPr>
            <w:tcW w:w="2694" w:type="dxa"/>
            <w:shd w:val="clear" w:color="auto" w:fill="auto"/>
            <w:vAlign w:val="center"/>
            <w:hideMark/>
          </w:tcPr>
          <w:p w14:paraId="1B42125C"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Avaliar se o pagamento dos subsídios aos vereadores obedeceu aos limites fixados no artigo 29, inciso VI, da CRFB/88.</w:t>
            </w:r>
          </w:p>
        </w:tc>
        <w:tc>
          <w:tcPr>
            <w:tcW w:w="1275" w:type="dxa"/>
            <w:shd w:val="clear" w:color="auto" w:fill="auto"/>
            <w:vAlign w:val="center"/>
            <w:hideMark/>
          </w:tcPr>
          <w:p w14:paraId="50C7205F" w14:textId="77777777" w:rsidR="007B690E" w:rsidRPr="007B690E" w:rsidRDefault="007B690E" w:rsidP="007B690E">
            <w:pPr>
              <w:widowControl w:val="0"/>
              <w:spacing w:after="0" w:line="240" w:lineRule="auto"/>
              <w:jc w:val="center"/>
              <w:rPr>
                <w:rFonts w:ascii="Calibri" w:eastAsia="Calibri" w:hAnsi="Calibri" w:cs="Times New Roman"/>
              </w:rPr>
            </w:pPr>
            <w:r w:rsidRPr="007B690E">
              <w:rPr>
                <w:rFonts w:ascii="Arial" w:eastAsia="Calibri" w:hAnsi="Arial" w:cs="Arial"/>
                <w:color w:val="000000"/>
                <w:sz w:val="16"/>
                <w:szCs w:val="16"/>
              </w:rPr>
              <w:t>Contas de Gestão Câmaras Municipais</w:t>
            </w:r>
          </w:p>
        </w:tc>
      </w:tr>
      <w:tr w:rsidR="007B690E" w:rsidRPr="007B690E" w14:paraId="3741A49E" w14:textId="77777777" w:rsidTr="007B690E">
        <w:trPr>
          <w:trHeight w:val="613"/>
        </w:trPr>
        <w:tc>
          <w:tcPr>
            <w:tcW w:w="851" w:type="dxa"/>
            <w:vAlign w:val="center"/>
          </w:tcPr>
          <w:p w14:paraId="4B4F6849"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1.4.19</w:t>
            </w:r>
          </w:p>
        </w:tc>
        <w:tc>
          <w:tcPr>
            <w:tcW w:w="1417" w:type="dxa"/>
            <w:shd w:val="clear" w:color="auto" w:fill="auto"/>
            <w:vAlign w:val="center"/>
            <w:hideMark/>
          </w:tcPr>
          <w:p w14:paraId="40609309"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Despesas com pessoal – remuneração vereadores</w:t>
            </w:r>
          </w:p>
        </w:tc>
        <w:tc>
          <w:tcPr>
            <w:tcW w:w="1418" w:type="dxa"/>
            <w:shd w:val="clear" w:color="auto" w:fill="auto"/>
            <w:vAlign w:val="center"/>
            <w:hideMark/>
          </w:tcPr>
          <w:p w14:paraId="53F59AEF" w14:textId="77777777" w:rsidR="007B690E" w:rsidRPr="007B690E" w:rsidRDefault="007B690E" w:rsidP="007B690E">
            <w:pPr>
              <w:widowControl w:val="0"/>
              <w:spacing w:after="0" w:line="240" w:lineRule="auto"/>
              <w:jc w:val="both"/>
              <w:rPr>
                <w:rFonts w:ascii="Arial" w:eastAsia="Calibri" w:hAnsi="Arial" w:cs="Arial"/>
                <w:color w:val="000000"/>
                <w:sz w:val="16"/>
                <w:szCs w:val="16"/>
                <w:lang w:val="en-US"/>
              </w:rPr>
            </w:pPr>
            <w:r w:rsidRPr="007B690E">
              <w:rPr>
                <w:rFonts w:ascii="Arial" w:eastAsia="Calibri" w:hAnsi="Arial" w:cs="Arial"/>
                <w:color w:val="000000"/>
                <w:sz w:val="16"/>
                <w:szCs w:val="16"/>
                <w:lang w:val="en-US"/>
              </w:rPr>
              <w:t>CRFB/88, art. 29, inciso VII.</w:t>
            </w:r>
          </w:p>
        </w:tc>
        <w:tc>
          <w:tcPr>
            <w:tcW w:w="1417" w:type="dxa"/>
            <w:vAlign w:val="center"/>
          </w:tcPr>
          <w:p w14:paraId="1045946D"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Conformidade (Análise documental e Revisão analítica)</w:t>
            </w:r>
          </w:p>
        </w:tc>
        <w:tc>
          <w:tcPr>
            <w:tcW w:w="2694" w:type="dxa"/>
            <w:shd w:val="clear" w:color="auto" w:fill="auto"/>
            <w:vAlign w:val="center"/>
            <w:hideMark/>
          </w:tcPr>
          <w:p w14:paraId="585BC5A8"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Avaliar se o total da despesa com a remuneração dos Vereadores ultrapassou o montante de cinco por cento da receita do Município.</w:t>
            </w:r>
          </w:p>
        </w:tc>
        <w:tc>
          <w:tcPr>
            <w:tcW w:w="1275" w:type="dxa"/>
            <w:shd w:val="clear" w:color="auto" w:fill="auto"/>
            <w:vAlign w:val="center"/>
            <w:hideMark/>
          </w:tcPr>
          <w:p w14:paraId="53BA9060" w14:textId="77777777" w:rsidR="007B690E" w:rsidRPr="007B690E" w:rsidRDefault="007B690E" w:rsidP="007B690E">
            <w:pPr>
              <w:widowControl w:val="0"/>
              <w:spacing w:after="0" w:line="240" w:lineRule="auto"/>
              <w:jc w:val="center"/>
              <w:rPr>
                <w:rFonts w:ascii="Calibri" w:eastAsia="Calibri" w:hAnsi="Calibri" w:cs="Times New Roman"/>
              </w:rPr>
            </w:pPr>
            <w:r w:rsidRPr="007B690E">
              <w:rPr>
                <w:rFonts w:ascii="Arial" w:eastAsia="Calibri" w:hAnsi="Arial" w:cs="Arial"/>
                <w:color w:val="000000"/>
                <w:sz w:val="16"/>
                <w:szCs w:val="16"/>
              </w:rPr>
              <w:t>Contas de Gestão Câmaras Municipais</w:t>
            </w:r>
          </w:p>
        </w:tc>
      </w:tr>
      <w:tr w:rsidR="007B690E" w:rsidRPr="007B690E" w14:paraId="4FC88BD5" w14:textId="77777777" w:rsidTr="007B690E">
        <w:trPr>
          <w:trHeight w:val="613"/>
        </w:trPr>
        <w:tc>
          <w:tcPr>
            <w:tcW w:w="851" w:type="dxa"/>
            <w:vAlign w:val="center"/>
          </w:tcPr>
          <w:p w14:paraId="6C5510E5" w14:textId="77777777" w:rsidR="007B690E" w:rsidRPr="007B690E" w:rsidRDefault="007B690E" w:rsidP="007B690E">
            <w:pPr>
              <w:widowControl w:val="0"/>
              <w:autoSpaceDE w:val="0"/>
              <w:autoSpaceDN w:val="0"/>
              <w:adjustRightInd w:val="0"/>
              <w:spacing w:after="0" w:line="240" w:lineRule="auto"/>
              <w:jc w:val="center"/>
              <w:rPr>
                <w:rFonts w:ascii="Arial" w:eastAsia="Calibri" w:hAnsi="Arial" w:cs="Arial"/>
                <w:bCs/>
                <w:sz w:val="16"/>
                <w:szCs w:val="16"/>
              </w:rPr>
            </w:pPr>
            <w:r w:rsidRPr="007B690E">
              <w:rPr>
                <w:rFonts w:ascii="Arial" w:eastAsia="Calibri" w:hAnsi="Arial" w:cs="Arial"/>
                <w:color w:val="000000"/>
                <w:sz w:val="16"/>
                <w:szCs w:val="16"/>
              </w:rPr>
              <w:t>1.4.20</w:t>
            </w:r>
          </w:p>
        </w:tc>
        <w:tc>
          <w:tcPr>
            <w:tcW w:w="1417" w:type="dxa"/>
            <w:shd w:val="clear" w:color="auto" w:fill="auto"/>
            <w:vAlign w:val="center"/>
          </w:tcPr>
          <w:p w14:paraId="167616AF" w14:textId="77777777" w:rsidR="007B690E" w:rsidRPr="007B690E" w:rsidRDefault="007B690E" w:rsidP="007B690E">
            <w:pPr>
              <w:widowControl w:val="0"/>
              <w:autoSpaceDE w:val="0"/>
              <w:autoSpaceDN w:val="0"/>
              <w:adjustRightInd w:val="0"/>
              <w:spacing w:after="0" w:line="240" w:lineRule="auto"/>
              <w:jc w:val="both"/>
              <w:rPr>
                <w:rFonts w:ascii="Arial" w:eastAsia="Calibri" w:hAnsi="Arial" w:cs="Arial"/>
                <w:bCs/>
                <w:sz w:val="16"/>
                <w:szCs w:val="16"/>
              </w:rPr>
            </w:pPr>
            <w:r w:rsidRPr="007B690E">
              <w:rPr>
                <w:rFonts w:ascii="Arial" w:eastAsia="Calibri" w:hAnsi="Arial" w:cs="Arial"/>
                <w:bCs/>
                <w:sz w:val="16"/>
                <w:szCs w:val="16"/>
              </w:rPr>
              <w:t>Poder Legislativo Municipal – despesa total</w:t>
            </w:r>
          </w:p>
        </w:tc>
        <w:tc>
          <w:tcPr>
            <w:tcW w:w="1418" w:type="dxa"/>
            <w:shd w:val="clear" w:color="auto" w:fill="auto"/>
            <w:vAlign w:val="center"/>
          </w:tcPr>
          <w:p w14:paraId="4B50E3DB" w14:textId="77777777" w:rsidR="007B690E" w:rsidRPr="007B690E" w:rsidRDefault="007B690E" w:rsidP="007B690E">
            <w:pPr>
              <w:widowControl w:val="0"/>
              <w:autoSpaceDE w:val="0"/>
              <w:autoSpaceDN w:val="0"/>
              <w:adjustRightInd w:val="0"/>
              <w:spacing w:after="0" w:line="240" w:lineRule="auto"/>
              <w:jc w:val="both"/>
              <w:rPr>
                <w:rFonts w:ascii="Arial" w:eastAsia="Calibri" w:hAnsi="Arial" w:cs="Arial"/>
                <w:bCs/>
                <w:sz w:val="16"/>
                <w:szCs w:val="16"/>
                <w:lang w:val="en-US"/>
              </w:rPr>
            </w:pPr>
            <w:r w:rsidRPr="007B690E">
              <w:rPr>
                <w:rFonts w:ascii="Arial" w:eastAsia="Calibri" w:hAnsi="Arial" w:cs="Arial"/>
                <w:bCs/>
                <w:sz w:val="16"/>
                <w:szCs w:val="16"/>
                <w:lang w:val="en-US"/>
              </w:rPr>
              <w:t>CRFB/88, art. 29-A.</w:t>
            </w:r>
          </w:p>
        </w:tc>
        <w:tc>
          <w:tcPr>
            <w:tcW w:w="1417" w:type="dxa"/>
            <w:vAlign w:val="center"/>
          </w:tcPr>
          <w:p w14:paraId="79422FCE" w14:textId="77777777" w:rsidR="007B690E" w:rsidRPr="007B690E" w:rsidRDefault="007B690E" w:rsidP="007B690E">
            <w:pPr>
              <w:widowControl w:val="0"/>
              <w:spacing w:after="0" w:line="240" w:lineRule="auto"/>
              <w:jc w:val="center"/>
              <w:rPr>
                <w:rFonts w:ascii="Arial" w:eastAsia="Calibri" w:hAnsi="Arial" w:cs="Arial"/>
                <w:sz w:val="16"/>
                <w:szCs w:val="16"/>
              </w:rPr>
            </w:pPr>
            <w:r w:rsidRPr="007B690E">
              <w:rPr>
                <w:rFonts w:ascii="Arial" w:eastAsia="Calibri" w:hAnsi="Arial" w:cs="Arial"/>
                <w:color w:val="000000"/>
                <w:sz w:val="16"/>
                <w:szCs w:val="16"/>
              </w:rPr>
              <w:t>Conformidade (Análise documental e Revisão analítica)</w:t>
            </w:r>
          </w:p>
        </w:tc>
        <w:tc>
          <w:tcPr>
            <w:tcW w:w="2694" w:type="dxa"/>
            <w:shd w:val="clear" w:color="auto" w:fill="auto"/>
            <w:vAlign w:val="center"/>
          </w:tcPr>
          <w:p w14:paraId="7B30FD93" w14:textId="77777777" w:rsidR="007B690E" w:rsidRPr="007B690E" w:rsidRDefault="007B690E" w:rsidP="007B690E">
            <w:pPr>
              <w:widowControl w:val="0"/>
              <w:spacing w:after="0" w:line="240" w:lineRule="auto"/>
              <w:jc w:val="both"/>
              <w:rPr>
                <w:rFonts w:ascii="Arial" w:eastAsia="Calibri" w:hAnsi="Arial" w:cs="Arial"/>
                <w:sz w:val="16"/>
                <w:szCs w:val="16"/>
                <w:lang w:val="en-US"/>
              </w:rPr>
            </w:pPr>
            <w:r w:rsidRPr="007B690E">
              <w:rPr>
                <w:rFonts w:ascii="Arial" w:eastAsia="Calibri" w:hAnsi="Arial" w:cs="Arial"/>
                <w:sz w:val="16"/>
                <w:szCs w:val="16"/>
              </w:rPr>
              <w:t>Avaliar se o total da despesa do Poder Legislativo Municipal, incluídos os subsídios dos Vereadores e excluídos os gastos com inativos, ultrapassou os percentuais definidos pelo artigo 29-A da CRFB/88, relativos ao somatório da receita tributária e das transferências previstas no § 5</w:t>
            </w:r>
            <w:r w:rsidRPr="007B690E">
              <w:rPr>
                <w:rFonts w:ascii="Arial" w:eastAsia="Calibri" w:hAnsi="Arial" w:cs="Arial"/>
                <w:sz w:val="16"/>
                <w:szCs w:val="16"/>
                <w:u w:val="single"/>
                <w:vertAlign w:val="superscript"/>
              </w:rPr>
              <w:t>o</w:t>
            </w:r>
            <w:r w:rsidRPr="007B690E">
              <w:rPr>
                <w:rFonts w:ascii="Arial" w:eastAsia="Calibri" w:hAnsi="Arial" w:cs="Arial"/>
                <w:sz w:val="16"/>
                <w:szCs w:val="16"/>
              </w:rPr>
              <w:t xml:space="preserve"> do art. 153 e nos arts. </w:t>
            </w:r>
            <w:r w:rsidRPr="007B690E">
              <w:rPr>
                <w:rFonts w:ascii="Arial" w:eastAsia="Calibri" w:hAnsi="Arial" w:cs="Arial"/>
                <w:sz w:val="16"/>
                <w:szCs w:val="16"/>
                <w:lang w:val="en-US"/>
              </w:rPr>
              <w:t>158 e 159, efetivamente realizadas no exercício anterior.</w:t>
            </w:r>
          </w:p>
        </w:tc>
        <w:tc>
          <w:tcPr>
            <w:tcW w:w="1275" w:type="dxa"/>
            <w:shd w:val="clear" w:color="auto" w:fill="auto"/>
            <w:vAlign w:val="center"/>
          </w:tcPr>
          <w:p w14:paraId="217CE777" w14:textId="77777777" w:rsidR="007B690E" w:rsidRPr="007B690E" w:rsidRDefault="007B690E" w:rsidP="007B690E">
            <w:pPr>
              <w:widowControl w:val="0"/>
              <w:spacing w:after="0" w:line="240" w:lineRule="auto"/>
              <w:jc w:val="center"/>
              <w:rPr>
                <w:rFonts w:ascii="Calibri" w:eastAsia="Calibri" w:hAnsi="Calibri" w:cs="Times New Roman"/>
              </w:rPr>
            </w:pPr>
            <w:r w:rsidRPr="007B690E">
              <w:rPr>
                <w:rFonts w:ascii="Arial" w:eastAsia="Calibri" w:hAnsi="Arial" w:cs="Arial"/>
                <w:color w:val="000000"/>
                <w:sz w:val="16"/>
                <w:szCs w:val="16"/>
              </w:rPr>
              <w:t>Contas de Gestão Câmaras Municipais</w:t>
            </w:r>
          </w:p>
        </w:tc>
      </w:tr>
      <w:tr w:rsidR="007B690E" w:rsidRPr="007B690E" w14:paraId="094037C9" w14:textId="77777777" w:rsidTr="007B690E">
        <w:trPr>
          <w:trHeight w:val="420"/>
        </w:trPr>
        <w:tc>
          <w:tcPr>
            <w:tcW w:w="9072" w:type="dxa"/>
            <w:gridSpan w:val="6"/>
            <w:vAlign w:val="center"/>
          </w:tcPr>
          <w:p w14:paraId="5BA94EC8" w14:textId="77777777" w:rsidR="007B690E" w:rsidRPr="007B690E" w:rsidRDefault="007B690E" w:rsidP="007B690E">
            <w:pPr>
              <w:widowControl w:val="0"/>
              <w:spacing w:after="0" w:line="240" w:lineRule="auto"/>
              <w:rPr>
                <w:rFonts w:ascii="Arial" w:eastAsia="Calibri" w:hAnsi="Arial" w:cs="Arial"/>
                <w:color w:val="000000"/>
              </w:rPr>
            </w:pPr>
            <w:r w:rsidRPr="007B690E">
              <w:rPr>
                <w:rFonts w:ascii="Arial" w:eastAsia="Calibri" w:hAnsi="Arial" w:cs="Arial"/>
                <w:b/>
                <w:bCs/>
              </w:rPr>
              <w:t>1.5. Demais atos de gestão</w:t>
            </w:r>
          </w:p>
        </w:tc>
      </w:tr>
      <w:tr w:rsidR="007B690E" w:rsidRPr="007B690E" w14:paraId="56543473" w14:textId="77777777" w:rsidTr="007B690E">
        <w:trPr>
          <w:trHeight w:val="255"/>
        </w:trPr>
        <w:tc>
          <w:tcPr>
            <w:tcW w:w="851" w:type="dxa"/>
            <w:vAlign w:val="center"/>
          </w:tcPr>
          <w:p w14:paraId="7FA8C76C" w14:textId="77777777" w:rsidR="007B690E" w:rsidRPr="007B690E" w:rsidRDefault="007B690E" w:rsidP="007B690E">
            <w:pPr>
              <w:widowControl w:val="0"/>
              <w:spacing w:after="0" w:line="240" w:lineRule="auto"/>
              <w:jc w:val="center"/>
              <w:rPr>
                <w:rFonts w:ascii="Arial" w:eastAsia="Calibri" w:hAnsi="Arial" w:cs="Arial"/>
                <w:b/>
                <w:bCs/>
                <w:color w:val="000000"/>
                <w:sz w:val="16"/>
                <w:szCs w:val="16"/>
              </w:rPr>
            </w:pPr>
            <w:r w:rsidRPr="007B690E">
              <w:rPr>
                <w:rFonts w:ascii="Arial" w:eastAsia="Calibri" w:hAnsi="Arial" w:cs="Arial"/>
                <w:b/>
                <w:bCs/>
                <w:color w:val="000000"/>
                <w:sz w:val="16"/>
                <w:szCs w:val="16"/>
              </w:rPr>
              <w:t>Código</w:t>
            </w:r>
          </w:p>
        </w:tc>
        <w:tc>
          <w:tcPr>
            <w:tcW w:w="1417" w:type="dxa"/>
            <w:shd w:val="clear" w:color="auto" w:fill="auto"/>
            <w:vAlign w:val="center"/>
          </w:tcPr>
          <w:p w14:paraId="08F77D4A" w14:textId="77777777" w:rsidR="007B690E" w:rsidRPr="007B690E" w:rsidRDefault="007B690E" w:rsidP="007B690E">
            <w:pPr>
              <w:widowControl w:val="0"/>
              <w:spacing w:after="0" w:line="240" w:lineRule="auto"/>
              <w:jc w:val="center"/>
              <w:rPr>
                <w:rFonts w:ascii="Arial" w:eastAsia="Calibri" w:hAnsi="Arial" w:cs="Arial"/>
                <w:b/>
                <w:bCs/>
                <w:color w:val="000000"/>
                <w:sz w:val="16"/>
                <w:szCs w:val="16"/>
              </w:rPr>
            </w:pPr>
            <w:r w:rsidRPr="007B690E">
              <w:rPr>
                <w:rFonts w:ascii="Arial" w:eastAsia="Calibri" w:hAnsi="Arial" w:cs="Arial"/>
                <w:b/>
                <w:bCs/>
                <w:color w:val="000000"/>
                <w:sz w:val="16"/>
                <w:szCs w:val="16"/>
              </w:rPr>
              <w:t>Ponto de controle</w:t>
            </w:r>
          </w:p>
        </w:tc>
        <w:tc>
          <w:tcPr>
            <w:tcW w:w="1418" w:type="dxa"/>
            <w:shd w:val="clear" w:color="auto" w:fill="auto"/>
            <w:vAlign w:val="center"/>
          </w:tcPr>
          <w:p w14:paraId="198E2786" w14:textId="77777777" w:rsidR="007B690E" w:rsidRPr="007B690E" w:rsidRDefault="007B690E" w:rsidP="007B690E">
            <w:pPr>
              <w:widowControl w:val="0"/>
              <w:spacing w:after="0" w:line="240" w:lineRule="auto"/>
              <w:jc w:val="center"/>
              <w:rPr>
                <w:rFonts w:ascii="Arial" w:eastAsia="Calibri" w:hAnsi="Arial" w:cs="Arial"/>
                <w:b/>
                <w:bCs/>
                <w:color w:val="000000"/>
                <w:sz w:val="16"/>
                <w:szCs w:val="16"/>
              </w:rPr>
            </w:pPr>
            <w:r w:rsidRPr="007B690E">
              <w:rPr>
                <w:rFonts w:ascii="Arial" w:eastAsia="Calibri" w:hAnsi="Arial" w:cs="Arial"/>
                <w:b/>
                <w:bCs/>
                <w:color w:val="000000"/>
                <w:sz w:val="16"/>
                <w:szCs w:val="16"/>
              </w:rPr>
              <w:t>Base legal</w:t>
            </w:r>
          </w:p>
        </w:tc>
        <w:tc>
          <w:tcPr>
            <w:tcW w:w="1417" w:type="dxa"/>
            <w:vAlign w:val="center"/>
          </w:tcPr>
          <w:p w14:paraId="7D8EF686" w14:textId="77777777" w:rsidR="007B690E" w:rsidRPr="007B690E" w:rsidRDefault="007B690E" w:rsidP="007B690E">
            <w:pPr>
              <w:widowControl w:val="0"/>
              <w:spacing w:after="0" w:line="240" w:lineRule="auto"/>
              <w:jc w:val="center"/>
              <w:rPr>
                <w:rFonts w:ascii="Arial" w:eastAsia="Calibri" w:hAnsi="Arial" w:cs="Arial"/>
                <w:b/>
                <w:bCs/>
                <w:color w:val="000000"/>
                <w:sz w:val="16"/>
                <w:szCs w:val="16"/>
              </w:rPr>
            </w:pPr>
            <w:r w:rsidRPr="007B690E">
              <w:rPr>
                <w:rFonts w:ascii="Arial" w:eastAsia="Calibri" w:hAnsi="Arial" w:cs="Arial"/>
                <w:b/>
                <w:bCs/>
                <w:color w:val="000000"/>
                <w:sz w:val="16"/>
                <w:szCs w:val="16"/>
              </w:rPr>
              <w:t>Tipo de procedimento sugerido</w:t>
            </w:r>
          </w:p>
        </w:tc>
        <w:tc>
          <w:tcPr>
            <w:tcW w:w="2694" w:type="dxa"/>
            <w:shd w:val="clear" w:color="auto" w:fill="auto"/>
            <w:vAlign w:val="center"/>
          </w:tcPr>
          <w:p w14:paraId="70947161" w14:textId="77777777" w:rsidR="007B690E" w:rsidRPr="007B690E" w:rsidRDefault="007B690E" w:rsidP="007B690E">
            <w:pPr>
              <w:widowControl w:val="0"/>
              <w:spacing w:after="0" w:line="240" w:lineRule="auto"/>
              <w:jc w:val="center"/>
              <w:rPr>
                <w:rFonts w:ascii="Arial" w:eastAsia="Calibri" w:hAnsi="Arial" w:cs="Arial"/>
                <w:b/>
                <w:bCs/>
                <w:color w:val="000000"/>
                <w:sz w:val="16"/>
                <w:szCs w:val="16"/>
              </w:rPr>
            </w:pPr>
            <w:r w:rsidRPr="007B690E">
              <w:rPr>
                <w:rFonts w:ascii="Arial" w:eastAsia="Calibri" w:hAnsi="Arial" w:cs="Arial"/>
                <w:b/>
                <w:bCs/>
                <w:color w:val="000000"/>
                <w:sz w:val="16"/>
                <w:szCs w:val="16"/>
              </w:rPr>
              <w:t>Procedimento</w:t>
            </w:r>
          </w:p>
        </w:tc>
        <w:tc>
          <w:tcPr>
            <w:tcW w:w="1275" w:type="dxa"/>
            <w:shd w:val="clear" w:color="auto" w:fill="auto"/>
            <w:vAlign w:val="center"/>
          </w:tcPr>
          <w:p w14:paraId="09CE9C70" w14:textId="77777777" w:rsidR="007B690E" w:rsidRPr="007B690E" w:rsidRDefault="007B690E" w:rsidP="007B690E">
            <w:pPr>
              <w:widowControl w:val="0"/>
              <w:spacing w:after="0" w:line="240" w:lineRule="auto"/>
              <w:jc w:val="center"/>
              <w:rPr>
                <w:rFonts w:ascii="Arial" w:eastAsia="Calibri" w:hAnsi="Arial" w:cs="Arial"/>
                <w:b/>
                <w:bCs/>
                <w:color w:val="000000"/>
                <w:sz w:val="16"/>
                <w:szCs w:val="16"/>
              </w:rPr>
            </w:pPr>
            <w:r w:rsidRPr="007B690E">
              <w:rPr>
                <w:rFonts w:ascii="Arial" w:eastAsia="Calibri" w:hAnsi="Arial" w:cs="Arial"/>
                <w:b/>
                <w:bCs/>
                <w:color w:val="000000"/>
                <w:sz w:val="16"/>
                <w:szCs w:val="16"/>
              </w:rPr>
              <w:t>Aplicável à</w:t>
            </w:r>
          </w:p>
        </w:tc>
      </w:tr>
      <w:tr w:rsidR="007B690E" w:rsidRPr="007B690E" w14:paraId="52E80D9C" w14:textId="77777777" w:rsidTr="007B690E">
        <w:trPr>
          <w:trHeight w:val="255"/>
        </w:trPr>
        <w:tc>
          <w:tcPr>
            <w:tcW w:w="851" w:type="dxa"/>
            <w:vAlign w:val="center"/>
          </w:tcPr>
          <w:p w14:paraId="776D0FB8"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1.5.1</w:t>
            </w:r>
          </w:p>
        </w:tc>
        <w:tc>
          <w:tcPr>
            <w:tcW w:w="1417" w:type="dxa"/>
            <w:shd w:val="clear" w:color="auto" w:fill="auto"/>
            <w:vAlign w:val="center"/>
          </w:tcPr>
          <w:p w14:paraId="2E00EDEC" w14:textId="77777777" w:rsidR="007B690E" w:rsidRPr="007B690E" w:rsidRDefault="007B690E" w:rsidP="007B690E">
            <w:pPr>
              <w:widowControl w:val="0"/>
              <w:spacing w:after="0" w:line="240" w:lineRule="auto"/>
              <w:rPr>
                <w:rFonts w:ascii="Arial" w:eastAsia="Calibri" w:hAnsi="Arial" w:cs="Arial"/>
                <w:b/>
                <w:bCs/>
                <w:color w:val="000000"/>
                <w:sz w:val="16"/>
                <w:szCs w:val="16"/>
              </w:rPr>
            </w:pPr>
            <w:r w:rsidRPr="007B690E">
              <w:rPr>
                <w:rFonts w:ascii="Arial" w:eastAsia="Calibri" w:hAnsi="Arial" w:cs="Arial"/>
                <w:color w:val="000000"/>
                <w:sz w:val="16"/>
                <w:szCs w:val="16"/>
              </w:rPr>
              <w:t>Documentos integrantes da PCA – compatibilidade com o normativo do TCE</w:t>
            </w:r>
          </w:p>
        </w:tc>
        <w:tc>
          <w:tcPr>
            <w:tcW w:w="1418" w:type="dxa"/>
            <w:shd w:val="clear" w:color="auto" w:fill="auto"/>
            <w:vAlign w:val="center"/>
          </w:tcPr>
          <w:p w14:paraId="74B435BF" w14:textId="77777777" w:rsidR="007B690E" w:rsidRPr="007B690E" w:rsidRDefault="00532985" w:rsidP="007B690E">
            <w:pPr>
              <w:widowControl w:val="0"/>
              <w:spacing w:after="0" w:line="240" w:lineRule="auto"/>
              <w:jc w:val="center"/>
              <w:rPr>
                <w:rFonts w:ascii="Arial" w:eastAsia="Calibri" w:hAnsi="Arial" w:cs="Arial"/>
                <w:bCs/>
                <w:color w:val="000000"/>
                <w:sz w:val="16"/>
                <w:szCs w:val="16"/>
              </w:rPr>
            </w:pPr>
            <w:r>
              <w:rPr>
                <w:rFonts w:ascii="Arial" w:eastAsia="Calibri" w:hAnsi="Arial" w:cs="Arial"/>
                <w:bCs/>
                <w:color w:val="000000"/>
                <w:sz w:val="16"/>
                <w:szCs w:val="16"/>
              </w:rPr>
              <w:t>IN regulamentadora da remessa de prestação de contas</w:t>
            </w:r>
          </w:p>
        </w:tc>
        <w:tc>
          <w:tcPr>
            <w:tcW w:w="1417" w:type="dxa"/>
            <w:vAlign w:val="center"/>
          </w:tcPr>
          <w:p w14:paraId="407ED760" w14:textId="77777777" w:rsidR="007B690E" w:rsidRPr="007B690E" w:rsidRDefault="007B690E" w:rsidP="007B690E">
            <w:pPr>
              <w:widowControl w:val="0"/>
              <w:spacing w:after="0" w:line="240" w:lineRule="auto"/>
              <w:jc w:val="center"/>
              <w:rPr>
                <w:rFonts w:ascii="Arial" w:eastAsia="Calibri" w:hAnsi="Arial" w:cs="Arial"/>
                <w:bCs/>
                <w:color w:val="000000"/>
                <w:sz w:val="16"/>
                <w:szCs w:val="16"/>
                <w:lang w:val="en-US"/>
              </w:rPr>
            </w:pPr>
            <w:r w:rsidRPr="007B690E">
              <w:rPr>
                <w:rFonts w:ascii="Arial" w:eastAsia="Calibri" w:hAnsi="Arial" w:cs="Arial"/>
                <w:bCs/>
                <w:color w:val="000000"/>
                <w:sz w:val="16"/>
                <w:szCs w:val="16"/>
              </w:rPr>
              <w:t xml:space="preserve">Conformidade </w:t>
            </w:r>
            <w:r w:rsidRPr="007B690E">
              <w:rPr>
                <w:rFonts w:ascii="Arial" w:eastAsia="Calibri" w:hAnsi="Arial" w:cs="Arial"/>
                <w:color w:val="000000"/>
                <w:sz w:val="16"/>
                <w:szCs w:val="16"/>
              </w:rPr>
              <w:t>(Verificação docu</w:t>
            </w:r>
            <w:r w:rsidRPr="007B690E">
              <w:rPr>
                <w:rFonts w:ascii="Arial" w:eastAsia="Calibri" w:hAnsi="Arial" w:cs="Arial"/>
                <w:color w:val="000000"/>
                <w:sz w:val="16"/>
                <w:szCs w:val="16"/>
                <w:lang w:val="en-US"/>
              </w:rPr>
              <w:t>mental)</w:t>
            </w:r>
          </w:p>
        </w:tc>
        <w:tc>
          <w:tcPr>
            <w:tcW w:w="2694" w:type="dxa"/>
            <w:shd w:val="clear" w:color="auto" w:fill="auto"/>
            <w:vAlign w:val="center"/>
          </w:tcPr>
          <w:p w14:paraId="5D19426F" w14:textId="77777777" w:rsidR="007B690E" w:rsidRPr="007B690E" w:rsidRDefault="007B690E" w:rsidP="007B690E">
            <w:pPr>
              <w:widowControl w:val="0"/>
              <w:spacing w:after="0" w:line="240" w:lineRule="auto"/>
              <w:jc w:val="both"/>
              <w:rPr>
                <w:rFonts w:ascii="Arial" w:eastAsia="Calibri" w:hAnsi="Arial" w:cs="Arial"/>
                <w:bCs/>
                <w:color w:val="000000"/>
                <w:sz w:val="16"/>
                <w:szCs w:val="16"/>
              </w:rPr>
            </w:pPr>
            <w:r w:rsidRPr="007B690E">
              <w:rPr>
                <w:rFonts w:ascii="Arial" w:eastAsia="Calibri" w:hAnsi="Arial" w:cs="Arial"/>
                <w:bCs/>
                <w:color w:val="000000"/>
                <w:sz w:val="16"/>
                <w:szCs w:val="16"/>
              </w:rPr>
              <w:t xml:space="preserve">Avaliar de os documentos integrantes da PCA estão em conformidade com o requerido no anexo correspondente da </w:t>
            </w:r>
            <w:r w:rsidR="0035643B">
              <w:rPr>
                <w:rFonts w:ascii="Arial" w:eastAsia="Calibri" w:hAnsi="Arial" w:cs="Arial"/>
                <w:bCs/>
                <w:color w:val="000000"/>
                <w:sz w:val="16"/>
                <w:szCs w:val="16"/>
              </w:rPr>
              <w:t>IN regulamentadora da remessa de prestação de contas.</w:t>
            </w:r>
          </w:p>
        </w:tc>
        <w:tc>
          <w:tcPr>
            <w:tcW w:w="1275" w:type="dxa"/>
            <w:shd w:val="clear" w:color="auto" w:fill="auto"/>
            <w:vAlign w:val="center"/>
          </w:tcPr>
          <w:p w14:paraId="2D167DE2" w14:textId="77777777" w:rsidR="007B690E" w:rsidRPr="007B690E" w:rsidRDefault="007B690E" w:rsidP="007B690E">
            <w:pPr>
              <w:widowControl w:val="0"/>
              <w:spacing w:after="0" w:line="240" w:lineRule="auto"/>
              <w:jc w:val="center"/>
              <w:rPr>
                <w:rFonts w:ascii="Arial" w:eastAsia="Calibri" w:hAnsi="Arial" w:cs="Arial"/>
                <w:bCs/>
                <w:color w:val="000000"/>
                <w:sz w:val="16"/>
                <w:szCs w:val="16"/>
              </w:rPr>
            </w:pPr>
            <w:r w:rsidRPr="007B690E">
              <w:rPr>
                <w:rFonts w:ascii="Arial" w:eastAsia="Calibri" w:hAnsi="Arial" w:cs="Arial"/>
                <w:color w:val="000000"/>
                <w:sz w:val="16"/>
                <w:szCs w:val="16"/>
              </w:rPr>
              <w:t>Contas de Gestão (Todas as UG´s)</w:t>
            </w:r>
          </w:p>
        </w:tc>
      </w:tr>
      <w:tr w:rsidR="007B690E" w:rsidRPr="007B690E" w14:paraId="29B80450" w14:textId="77777777" w:rsidTr="007B690E">
        <w:trPr>
          <w:trHeight w:val="613"/>
        </w:trPr>
        <w:tc>
          <w:tcPr>
            <w:tcW w:w="851" w:type="dxa"/>
            <w:vAlign w:val="center"/>
          </w:tcPr>
          <w:p w14:paraId="2B5EF097" w14:textId="77777777" w:rsidR="007B690E" w:rsidRPr="007B690E" w:rsidRDefault="007B690E" w:rsidP="007B690E">
            <w:pPr>
              <w:widowControl w:val="0"/>
              <w:autoSpaceDE w:val="0"/>
              <w:autoSpaceDN w:val="0"/>
              <w:adjustRightInd w:val="0"/>
              <w:spacing w:after="0" w:line="240" w:lineRule="auto"/>
              <w:jc w:val="center"/>
              <w:rPr>
                <w:rFonts w:ascii="Arial" w:eastAsia="Calibri" w:hAnsi="Arial" w:cs="Arial"/>
                <w:bCs/>
                <w:sz w:val="16"/>
                <w:szCs w:val="16"/>
              </w:rPr>
            </w:pPr>
            <w:r w:rsidRPr="007B690E">
              <w:rPr>
                <w:rFonts w:ascii="Arial" w:eastAsia="Calibri" w:hAnsi="Arial" w:cs="Arial"/>
                <w:color w:val="000000"/>
                <w:sz w:val="16"/>
                <w:szCs w:val="16"/>
              </w:rPr>
              <w:t>1.5.2</w:t>
            </w:r>
          </w:p>
        </w:tc>
        <w:tc>
          <w:tcPr>
            <w:tcW w:w="1417" w:type="dxa"/>
            <w:shd w:val="clear" w:color="auto" w:fill="auto"/>
            <w:vAlign w:val="center"/>
          </w:tcPr>
          <w:p w14:paraId="74409F4D" w14:textId="77777777" w:rsidR="007B690E" w:rsidRPr="007B690E" w:rsidRDefault="007B690E" w:rsidP="007B690E">
            <w:pPr>
              <w:widowControl w:val="0"/>
              <w:autoSpaceDE w:val="0"/>
              <w:autoSpaceDN w:val="0"/>
              <w:adjustRightInd w:val="0"/>
              <w:spacing w:after="0" w:line="240" w:lineRule="auto"/>
              <w:jc w:val="both"/>
              <w:rPr>
                <w:rFonts w:ascii="Arial" w:eastAsia="Calibri" w:hAnsi="Arial" w:cs="Arial"/>
                <w:bCs/>
                <w:sz w:val="16"/>
                <w:szCs w:val="16"/>
                <w:lang w:val="en-US"/>
              </w:rPr>
            </w:pPr>
            <w:r w:rsidRPr="007B690E">
              <w:rPr>
                <w:rFonts w:ascii="Arial" w:eastAsia="Calibri" w:hAnsi="Arial" w:cs="Arial"/>
                <w:bCs/>
                <w:sz w:val="16"/>
                <w:szCs w:val="16"/>
                <w:lang w:val="en-US"/>
              </w:rPr>
              <w:t>Segregação de funções.</w:t>
            </w:r>
          </w:p>
        </w:tc>
        <w:tc>
          <w:tcPr>
            <w:tcW w:w="1418" w:type="dxa"/>
            <w:shd w:val="clear" w:color="auto" w:fill="auto"/>
            <w:vAlign w:val="center"/>
          </w:tcPr>
          <w:p w14:paraId="6E2C53FE" w14:textId="77777777" w:rsidR="007B690E" w:rsidRPr="007B690E" w:rsidRDefault="007B690E" w:rsidP="007B690E">
            <w:pPr>
              <w:widowControl w:val="0"/>
              <w:autoSpaceDE w:val="0"/>
              <w:autoSpaceDN w:val="0"/>
              <w:adjustRightInd w:val="0"/>
              <w:spacing w:after="0" w:line="240" w:lineRule="auto"/>
              <w:jc w:val="both"/>
              <w:rPr>
                <w:rFonts w:ascii="Arial" w:eastAsia="Calibri" w:hAnsi="Arial" w:cs="Arial"/>
                <w:bCs/>
                <w:sz w:val="16"/>
                <w:szCs w:val="16"/>
                <w:lang w:val="en-US"/>
              </w:rPr>
            </w:pPr>
            <w:r w:rsidRPr="007B690E">
              <w:rPr>
                <w:rFonts w:ascii="Arial" w:eastAsia="Calibri" w:hAnsi="Arial" w:cs="Arial"/>
                <w:bCs/>
                <w:sz w:val="16"/>
                <w:szCs w:val="16"/>
                <w:lang w:val="en-US"/>
              </w:rPr>
              <w:t>CRFB/88, art. 37.</w:t>
            </w:r>
          </w:p>
        </w:tc>
        <w:tc>
          <w:tcPr>
            <w:tcW w:w="1417" w:type="dxa"/>
            <w:vAlign w:val="center"/>
          </w:tcPr>
          <w:p w14:paraId="359F1D67" w14:textId="77777777" w:rsidR="007B690E" w:rsidRPr="007B690E" w:rsidRDefault="007B690E" w:rsidP="007B690E">
            <w:pPr>
              <w:widowControl w:val="0"/>
              <w:autoSpaceDE w:val="0"/>
              <w:autoSpaceDN w:val="0"/>
              <w:adjustRightInd w:val="0"/>
              <w:spacing w:after="0" w:line="240" w:lineRule="auto"/>
              <w:jc w:val="center"/>
              <w:rPr>
                <w:rFonts w:ascii="Arial" w:eastAsia="Calibri" w:hAnsi="Arial" w:cs="Arial"/>
                <w:bCs/>
                <w:sz w:val="16"/>
                <w:szCs w:val="16"/>
                <w:lang w:val="en-US"/>
              </w:rPr>
            </w:pPr>
            <w:r w:rsidRPr="007B690E">
              <w:rPr>
                <w:rFonts w:ascii="Arial" w:eastAsia="Calibri" w:hAnsi="Arial" w:cs="Arial"/>
                <w:color w:val="000000"/>
                <w:sz w:val="16"/>
                <w:szCs w:val="16"/>
                <w:lang w:val="en-US"/>
              </w:rPr>
              <w:t>Auditoria governamental de conformidade</w:t>
            </w:r>
          </w:p>
        </w:tc>
        <w:tc>
          <w:tcPr>
            <w:tcW w:w="2694" w:type="dxa"/>
            <w:shd w:val="clear" w:color="auto" w:fill="auto"/>
            <w:vAlign w:val="center"/>
          </w:tcPr>
          <w:p w14:paraId="3437C213" w14:textId="77777777" w:rsidR="007B690E" w:rsidRPr="007B690E" w:rsidRDefault="007B690E" w:rsidP="007B690E">
            <w:pPr>
              <w:widowControl w:val="0"/>
              <w:autoSpaceDE w:val="0"/>
              <w:autoSpaceDN w:val="0"/>
              <w:adjustRightInd w:val="0"/>
              <w:spacing w:after="0" w:line="240" w:lineRule="auto"/>
              <w:jc w:val="both"/>
              <w:rPr>
                <w:rFonts w:ascii="Arial" w:eastAsia="Calibri" w:hAnsi="Arial" w:cs="Arial"/>
                <w:bCs/>
                <w:sz w:val="16"/>
                <w:szCs w:val="16"/>
              </w:rPr>
            </w:pPr>
            <w:r w:rsidRPr="007B690E">
              <w:rPr>
                <w:rFonts w:ascii="Arial" w:eastAsia="Calibri" w:hAnsi="Arial" w:cs="Arial"/>
                <w:bCs/>
                <w:sz w:val="16"/>
                <w:szCs w:val="16"/>
              </w:rPr>
              <w:t>Avaliar se foi observado o princípio da segregação de funções nas atividades de autorização, aprovação, execução, controle e contabilização das operações.</w:t>
            </w:r>
          </w:p>
        </w:tc>
        <w:tc>
          <w:tcPr>
            <w:tcW w:w="1275" w:type="dxa"/>
            <w:shd w:val="clear" w:color="auto" w:fill="auto"/>
            <w:vAlign w:val="center"/>
          </w:tcPr>
          <w:p w14:paraId="5A1D1B95" w14:textId="77777777" w:rsidR="007B690E" w:rsidRPr="007B690E" w:rsidRDefault="007B690E" w:rsidP="007B690E">
            <w:pPr>
              <w:widowControl w:val="0"/>
              <w:spacing w:after="0" w:line="240" w:lineRule="auto"/>
              <w:jc w:val="center"/>
              <w:rPr>
                <w:rFonts w:ascii="Calibri" w:eastAsia="Calibri" w:hAnsi="Calibri" w:cs="Times New Roman"/>
              </w:rPr>
            </w:pPr>
            <w:r w:rsidRPr="007B690E">
              <w:rPr>
                <w:rFonts w:ascii="Arial" w:eastAsia="Calibri" w:hAnsi="Arial" w:cs="Arial"/>
                <w:color w:val="000000"/>
                <w:sz w:val="16"/>
                <w:szCs w:val="16"/>
              </w:rPr>
              <w:t>Contas de Gestão (Todas as UG's)</w:t>
            </w:r>
          </w:p>
        </w:tc>
      </w:tr>
      <w:tr w:rsidR="007B690E" w:rsidRPr="007B690E" w14:paraId="3909CCE1" w14:textId="77777777" w:rsidTr="007B690E">
        <w:trPr>
          <w:trHeight w:val="420"/>
        </w:trPr>
        <w:tc>
          <w:tcPr>
            <w:tcW w:w="9072" w:type="dxa"/>
            <w:gridSpan w:val="6"/>
            <w:vAlign w:val="center"/>
          </w:tcPr>
          <w:p w14:paraId="138A3B18" w14:textId="77777777" w:rsidR="007B690E" w:rsidRPr="007B690E" w:rsidRDefault="007B690E" w:rsidP="007B690E">
            <w:pPr>
              <w:widowControl w:val="0"/>
              <w:spacing w:after="0" w:line="240" w:lineRule="auto"/>
              <w:rPr>
                <w:rFonts w:ascii="Arial" w:eastAsia="Calibri" w:hAnsi="Arial" w:cs="Arial"/>
                <w:color w:val="000000"/>
              </w:rPr>
            </w:pPr>
            <w:r w:rsidRPr="007B690E">
              <w:rPr>
                <w:rFonts w:ascii="Arial" w:eastAsia="Calibri" w:hAnsi="Arial" w:cs="Arial"/>
                <w:b/>
                <w:bCs/>
                <w:color w:val="000000"/>
              </w:rPr>
              <w:t>2. Itens de abordagem complementar</w:t>
            </w:r>
          </w:p>
        </w:tc>
      </w:tr>
      <w:tr w:rsidR="007B690E" w:rsidRPr="007B690E" w14:paraId="1AE40F55" w14:textId="77777777" w:rsidTr="007B690E">
        <w:trPr>
          <w:trHeight w:val="420"/>
        </w:trPr>
        <w:tc>
          <w:tcPr>
            <w:tcW w:w="9072" w:type="dxa"/>
            <w:gridSpan w:val="6"/>
            <w:vAlign w:val="center"/>
          </w:tcPr>
          <w:p w14:paraId="4805A051" w14:textId="77777777" w:rsidR="007B690E" w:rsidRPr="007B690E" w:rsidRDefault="007B690E" w:rsidP="007B690E">
            <w:pPr>
              <w:widowControl w:val="0"/>
              <w:spacing w:after="0" w:line="240" w:lineRule="auto"/>
              <w:rPr>
                <w:rFonts w:ascii="Arial" w:eastAsia="Calibri" w:hAnsi="Arial" w:cs="Arial"/>
                <w:b/>
                <w:bCs/>
                <w:color w:val="000000"/>
              </w:rPr>
            </w:pPr>
            <w:r w:rsidRPr="007B690E">
              <w:rPr>
                <w:rFonts w:ascii="Arial" w:eastAsia="Calibri" w:hAnsi="Arial" w:cs="Arial"/>
                <w:b/>
                <w:bCs/>
                <w:color w:val="000000"/>
              </w:rPr>
              <w:t>2.1. Instrumentos de planejamento: Plano Plurianual - PPA, Lei de Diretrizes Orçamentárias – LDO e Lei Orçamentária Anual – LOA</w:t>
            </w:r>
          </w:p>
        </w:tc>
      </w:tr>
      <w:tr w:rsidR="007B690E" w:rsidRPr="007B690E" w14:paraId="5E91562D" w14:textId="77777777" w:rsidTr="007B690E">
        <w:trPr>
          <w:trHeight w:val="255"/>
        </w:trPr>
        <w:tc>
          <w:tcPr>
            <w:tcW w:w="851" w:type="dxa"/>
            <w:vAlign w:val="center"/>
          </w:tcPr>
          <w:p w14:paraId="3A2CE36E" w14:textId="77777777" w:rsidR="007B690E" w:rsidRPr="007B690E" w:rsidRDefault="007B690E" w:rsidP="007B690E">
            <w:pPr>
              <w:widowControl w:val="0"/>
              <w:spacing w:after="0" w:line="240" w:lineRule="auto"/>
              <w:jc w:val="center"/>
              <w:rPr>
                <w:rFonts w:ascii="Arial" w:eastAsia="Calibri" w:hAnsi="Arial" w:cs="Arial"/>
                <w:b/>
                <w:bCs/>
                <w:color w:val="000000"/>
                <w:sz w:val="16"/>
                <w:szCs w:val="16"/>
              </w:rPr>
            </w:pPr>
            <w:r w:rsidRPr="007B690E">
              <w:rPr>
                <w:rFonts w:ascii="Arial" w:eastAsia="Calibri" w:hAnsi="Arial" w:cs="Arial"/>
                <w:b/>
                <w:bCs/>
                <w:color w:val="000000"/>
                <w:sz w:val="16"/>
                <w:szCs w:val="16"/>
              </w:rPr>
              <w:t>Código</w:t>
            </w:r>
          </w:p>
        </w:tc>
        <w:tc>
          <w:tcPr>
            <w:tcW w:w="1417" w:type="dxa"/>
            <w:shd w:val="clear" w:color="auto" w:fill="auto"/>
            <w:vAlign w:val="center"/>
            <w:hideMark/>
          </w:tcPr>
          <w:p w14:paraId="671DCB99" w14:textId="77777777" w:rsidR="007B690E" w:rsidRPr="007B690E" w:rsidRDefault="007B690E" w:rsidP="007B690E">
            <w:pPr>
              <w:widowControl w:val="0"/>
              <w:spacing w:after="0" w:line="240" w:lineRule="auto"/>
              <w:jc w:val="center"/>
              <w:rPr>
                <w:rFonts w:ascii="Arial" w:eastAsia="Calibri" w:hAnsi="Arial" w:cs="Arial"/>
                <w:b/>
                <w:bCs/>
                <w:color w:val="000000"/>
                <w:sz w:val="16"/>
                <w:szCs w:val="16"/>
              </w:rPr>
            </w:pPr>
            <w:r w:rsidRPr="007B690E">
              <w:rPr>
                <w:rFonts w:ascii="Arial" w:eastAsia="Calibri" w:hAnsi="Arial" w:cs="Arial"/>
                <w:b/>
                <w:bCs/>
                <w:color w:val="000000"/>
                <w:sz w:val="16"/>
                <w:szCs w:val="16"/>
              </w:rPr>
              <w:t>Ponto de controle</w:t>
            </w:r>
          </w:p>
        </w:tc>
        <w:tc>
          <w:tcPr>
            <w:tcW w:w="1418" w:type="dxa"/>
            <w:shd w:val="clear" w:color="auto" w:fill="auto"/>
            <w:vAlign w:val="center"/>
            <w:hideMark/>
          </w:tcPr>
          <w:p w14:paraId="7D18A836" w14:textId="77777777" w:rsidR="007B690E" w:rsidRPr="007B690E" w:rsidRDefault="007B690E" w:rsidP="007B690E">
            <w:pPr>
              <w:widowControl w:val="0"/>
              <w:spacing w:after="0" w:line="240" w:lineRule="auto"/>
              <w:jc w:val="center"/>
              <w:rPr>
                <w:rFonts w:ascii="Arial" w:eastAsia="Calibri" w:hAnsi="Arial" w:cs="Arial"/>
                <w:b/>
                <w:bCs/>
                <w:color w:val="000000"/>
                <w:sz w:val="16"/>
                <w:szCs w:val="16"/>
              </w:rPr>
            </w:pPr>
            <w:r w:rsidRPr="007B690E">
              <w:rPr>
                <w:rFonts w:ascii="Arial" w:eastAsia="Calibri" w:hAnsi="Arial" w:cs="Arial"/>
                <w:b/>
                <w:bCs/>
                <w:color w:val="000000"/>
                <w:sz w:val="16"/>
                <w:szCs w:val="16"/>
              </w:rPr>
              <w:t>Base legal</w:t>
            </w:r>
          </w:p>
        </w:tc>
        <w:tc>
          <w:tcPr>
            <w:tcW w:w="1417" w:type="dxa"/>
            <w:vAlign w:val="center"/>
          </w:tcPr>
          <w:p w14:paraId="35FA1495" w14:textId="77777777" w:rsidR="007B690E" w:rsidRPr="007B690E" w:rsidRDefault="007B690E" w:rsidP="007B690E">
            <w:pPr>
              <w:widowControl w:val="0"/>
              <w:spacing w:after="0" w:line="240" w:lineRule="auto"/>
              <w:jc w:val="center"/>
              <w:rPr>
                <w:rFonts w:ascii="Arial" w:eastAsia="Calibri" w:hAnsi="Arial" w:cs="Arial"/>
                <w:b/>
                <w:bCs/>
                <w:color w:val="000000"/>
                <w:sz w:val="16"/>
                <w:szCs w:val="16"/>
              </w:rPr>
            </w:pPr>
            <w:r w:rsidRPr="007B690E">
              <w:rPr>
                <w:rFonts w:ascii="Arial" w:eastAsia="Calibri" w:hAnsi="Arial" w:cs="Arial"/>
                <w:b/>
                <w:bCs/>
                <w:color w:val="000000"/>
                <w:sz w:val="16"/>
                <w:szCs w:val="16"/>
              </w:rPr>
              <w:t>Tipo de procedimento sugerido</w:t>
            </w:r>
          </w:p>
        </w:tc>
        <w:tc>
          <w:tcPr>
            <w:tcW w:w="2694" w:type="dxa"/>
            <w:shd w:val="clear" w:color="auto" w:fill="auto"/>
            <w:vAlign w:val="center"/>
            <w:hideMark/>
          </w:tcPr>
          <w:p w14:paraId="55F4606F" w14:textId="77777777" w:rsidR="007B690E" w:rsidRPr="007B690E" w:rsidRDefault="007B690E" w:rsidP="007B690E">
            <w:pPr>
              <w:widowControl w:val="0"/>
              <w:spacing w:after="0" w:line="240" w:lineRule="auto"/>
              <w:jc w:val="center"/>
              <w:rPr>
                <w:rFonts w:ascii="Arial" w:eastAsia="Calibri" w:hAnsi="Arial" w:cs="Arial"/>
                <w:b/>
                <w:bCs/>
                <w:color w:val="000000"/>
                <w:sz w:val="16"/>
                <w:szCs w:val="16"/>
              </w:rPr>
            </w:pPr>
            <w:r w:rsidRPr="007B690E">
              <w:rPr>
                <w:rFonts w:ascii="Arial" w:eastAsia="Calibri" w:hAnsi="Arial" w:cs="Arial"/>
                <w:b/>
                <w:bCs/>
                <w:color w:val="000000"/>
                <w:sz w:val="16"/>
                <w:szCs w:val="16"/>
              </w:rPr>
              <w:t>Procedimento</w:t>
            </w:r>
          </w:p>
        </w:tc>
        <w:tc>
          <w:tcPr>
            <w:tcW w:w="1275" w:type="dxa"/>
            <w:shd w:val="clear" w:color="auto" w:fill="auto"/>
            <w:vAlign w:val="center"/>
            <w:hideMark/>
          </w:tcPr>
          <w:p w14:paraId="1B246708" w14:textId="77777777" w:rsidR="007B690E" w:rsidRPr="007B690E" w:rsidRDefault="007B690E" w:rsidP="007B690E">
            <w:pPr>
              <w:widowControl w:val="0"/>
              <w:spacing w:after="0" w:line="240" w:lineRule="auto"/>
              <w:jc w:val="center"/>
              <w:rPr>
                <w:rFonts w:ascii="Arial" w:eastAsia="Calibri" w:hAnsi="Arial" w:cs="Arial"/>
                <w:b/>
                <w:bCs/>
                <w:color w:val="000000"/>
                <w:sz w:val="16"/>
                <w:szCs w:val="16"/>
              </w:rPr>
            </w:pPr>
            <w:r w:rsidRPr="007B690E">
              <w:rPr>
                <w:rFonts w:ascii="Arial" w:eastAsia="Calibri" w:hAnsi="Arial" w:cs="Arial"/>
                <w:b/>
                <w:bCs/>
                <w:color w:val="000000"/>
                <w:sz w:val="16"/>
                <w:szCs w:val="16"/>
              </w:rPr>
              <w:t>Aplicável à</w:t>
            </w:r>
          </w:p>
        </w:tc>
      </w:tr>
      <w:tr w:rsidR="007B690E" w:rsidRPr="007B690E" w14:paraId="1AE46A87" w14:textId="77777777" w:rsidTr="007B690E">
        <w:trPr>
          <w:trHeight w:val="707"/>
        </w:trPr>
        <w:tc>
          <w:tcPr>
            <w:tcW w:w="851" w:type="dxa"/>
            <w:vAlign w:val="center"/>
          </w:tcPr>
          <w:p w14:paraId="08A3E600"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bookmarkStart w:id="70" w:name="_Hlk497122491"/>
            <w:r w:rsidRPr="007B690E">
              <w:rPr>
                <w:rFonts w:ascii="Arial" w:eastAsia="Calibri" w:hAnsi="Arial" w:cs="Arial"/>
                <w:color w:val="000000"/>
                <w:sz w:val="16"/>
                <w:szCs w:val="16"/>
              </w:rPr>
              <w:t>2.1.1</w:t>
            </w:r>
          </w:p>
        </w:tc>
        <w:bookmarkEnd w:id="70"/>
        <w:tc>
          <w:tcPr>
            <w:tcW w:w="1417" w:type="dxa"/>
            <w:shd w:val="clear" w:color="auto" w:fill="auto"/>
            <w:vAlign w:val="center"/>
            <w:hideMark/>
          </w:tcPr>
          <w:p w14:paraId="12BB45D3"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LDO – compatibilidade com Plano Plurianual.</w:t>
            </w:r>
          </w:p>
        </w:tc>
        <w:tc>
          <w:tcPr>
            <w:tcW w:w="1418" w:type="dxa"/>
            <w:shd w:val="clear" w:color="auto" w:fill="auto"/>
            <w:vAlign w:val="center"/>
            <w:hideMark/>
          </w:tcPr>
          <w:p w14:paraId="35726F7E" w14:textId="77777777" w:rsidR="007B690E" w:rsidRPr="007B690E" w:rsidRDefault="007B690E" w:rsidP="007B690E">
            <w:pPr>
              <w:widowControl w:val="0"/>
              <w:spacing w:after="0" w:line="240" w:lineRule="auto"/>
              <w:jc w:val="both"/>
              <w:rPr>
                <w:rFonts w:ascii="Arial" w:eastAsia="Calibri" w:hAnsi="Arial" w:cs="Arial"/>
                <w:color w:val="000000"/>
                <w:sz w:val="16"/>
                <w:szCs w:val="16"/>
                <w:lang w:val="en-US"/>
              </w:rPr>
            </w:pPr>
            <w:r w:rsidRPr="007B690E">
              <w:rPr>
                <w:rFonts w:ascii="Arial" w:eastAsia="Calibri" w:hAnsi="Arial" w:cs="Arial"/>
                <w:color w:val="000000"/>
                <w:sz w:val="16"/>
                <w:szCs w:val="16"/>
                <w:lang w:val="en-US"/>
              </w:rPr>
              <w:t>CRFB/88, art. 165, § 1º.</w:t>
            </w:r>
          </w:p>
        </w:tc>
        <w:tc>
          <w:tcPr>
            <w:tcW w:w="1417" w:type="dxa"/>
            <w:vAlign w:val="center"/>
          </w:tcPr>
          <w:p w14:paraId="022C0553"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Conformidade (Verificação documental)</w:t>
            </w:r>
          </w:p>
        </w:tc>
        <w:tc>
          <w:tcPr>
            <w:tcW w:w="2694" w:type="dxa"/>
            <w:shd w:val="clear" w:color="auto" w:fill="auto"/>
            <w:vAlign w:val="center"/>
            <w:hideMark/>
          </w:tcPr>
          <w:p w14:paraId="6DD4FEBE"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Avaliar se as diretrizes, objetivos e metas estabelecidas na LDO estiveram compatíveis com o PPA aprovado para o exercício.</w:t>
            </w:r>
          </w:p>
        </w:tc>
        <w:tc>
          <w:tcPr>
            <w:tcW w:w="1275" w:type="dxa"/>
            <w:shd w:val="clear" w:color="auto" w:fill="auto"/>
            <w:vAlign w:val="center"/>
            <w:hideMark/>
          </w:tcPr>
          <w:p w14:paraId="1F3DA4B5"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Governo</w:t>
            </w:r>
          </w:p>
        </w:tc>
      </w:tr>
      <w:tr w:rsidR="007B690E" w:rsidRPr="007B690E" w14:paraId="01B992DE" w14:textId="77777777" w:rsidTr="007B690E">
        <w:trPr>
          <w:trHeight w:val="1265"/>
        </w:trPr>
        <w:tc>
          <w:tcPr>
            <w:tcW w:w="851" w:type="dxa"/>
            <w:vAlign w:val="center"/>
          </w:tcPr>
          <w:p w14:paraId="47D78E6A"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2.1.2</w:t>
            </w:r>
          </w:p>
        </w:tc>
        <w:tc>
          <w:tcPr>
            <w:tcW w:w="1417" w:type="dxa"/>
            <w:shd w:val="clear" w:color="auto" w:fill="auto"/>
            <w:vAlign w:val="center"/>
            <w:hideMark/>
          </w:tcPr>
          <w:p w14:paraId="337F5C63" w14:textId="77777777" w:rsidR="007B690E" w:rsidRPr="007B690E" w:rsidRDefault="007B690E" w:rsidP="007B690E">
            <w:pPr>
              <w:widowControl w:val="0"/>
              <w:spacing w:after="0" w:line="240" w:lineRule="auto"/>
              <w:jc w:val="both"/>
              <w:rPr>
                <w:rFonts w:ascii="Arial" w:eastAsia="Calibri" w:hAnsi="Arial" w:cs="Arial"/>
                <w:color w:val="000000"/>
                <w:sz w:val="16"/>
                <w:szCs w:val="16"/>
                <w:lang w:val="en-US"/>
              </w:rPr>
            </w:pPr>
            <w:r w:rsidRPr="007B690E">
              <w:rPr>
                <w:rFonts w:ascii="Arial" w:eastAsia="Calibri" w:hAnsi="Arial" w:cs="Arial"/>
                <w:color w:val="000000"/>
                <w:sz w:val="16"/>
                <w:szCs w:val="16"/>
                <w:lang w:val="en-US"/>
              </w:rPr>
              <w:t>LDO – limitação de empenho.</w:t>
            </w:r>
          </w:p>
        </w:tc>
        <w:tc>
          <w:tcPr>
            <w:tcW w:w="1418" w:type="dxa"/>
            <w:shd w:val="clear" w:color="auto" w:fill="auto"/>
            <w:vAlign w:val="center"/>
            <w:hideMark/>
          </w:tcPr>
          <w:p w14:paraId="380820AD" w14:textId="77777777" w:rsidR="007B690E" w:rsidRPr="007B690E" w:rsidRDefault="007B690E" w:rsidP="007B690E">
            <w:pPr>
              <w:widowControl w:val="0"/>
              <w:spacing w:after="0" w:line="240" w:lineRule="auto"/>
              <w:jc w:val="both"/>
              <w:rPr>
                <w:rFonts w:ascii="Arial" w:eastAsia="Calibri" w:hAnsi="Arial" w:cs="Arial"/>
                <w:color w:val="000000"/>
                <w:sz w:val="16"/>
                <w:szCs w:val="16"/>
                <w:lang w:val="en-US"/>
              </w:rPr>
            </w:pPr>
            <w:r w:rsidRPr="007B690E">
              <w:rPr>
                <w:rFonts w:ascii="Arial" w:eastAsia="Calibri" w:hAnsi="Arial" w:cs="Arial"/>
                <w:color w:val="000000"/>
                <w:sz w:val="16"/>
                <w:szCs w:val="16"/>
                <w:lang w:val="en-US"/>
              </w:rPr>
              <w:t>LC 101/2000, art. 4º, inciso I, alínea “b”.</w:t>
            </w:r>
          </w:p>
        </w:tc>
        <w:tc>
          <w:tcPr>
            <w:tcW w:w="1417" w:type="dxa"/>
            <w:vAlign w:val="center"/>
          </w:tcPr>
          <w:p w14:paraId="2ADA571A"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Conformidade (Verificação documental)</w:t>
            </w:r>
          </w:p>
        </w:tc>
        <w:tc>
          <w:tcPr>
            <w:tcW w:w="2694" w:type="dxa"/>
            <w:shd w:val="clear" w:color="auto" w:fill="auto"/>
            <w:vAlign w:val="center"/>
            <w:hideMark/>
          </w:tcPr>
          <w:p w14:paraId="154C5A83"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 xml:space="preserve">Avaliar se a LDO aprovada para o exercício continha dispositivo estabelecendo critérios e forma de limitação de empenho, a ser efetivada nas hipóteses previstas na alínea </w:t>
            </w:r>
            <w:r w:rsidRPr="007B690E">
              <w:rPr>
                <w:rFonts w:ascii="Arial" w:eastAsia="Calibri" w:hAnsi="Arial" w:cs="Arial"/>
                <w:i/>
                <w:iCs/>
                <w:color w:val="000000"/>
                <w:sz w:val="16"/>
                <w:szCs w:val="16"/>
              </w:rPr>
              <w:t>b</w:t>
            </w:r>
            <w:r w:rsidRPr="007B690E">
              <w:rPr>
                <w:rFonts w:ascii="Arial" w:eastAsia="Calibri" w:hAnsi="Arial" w:cs="Arial"/>
                <w:color w:val="000000"/>
                <w:sz w:val="16"/>
                <w:szCs w:val="16"/>
              </w:rPr>
              <w:t xml:space="preserve"> do inciso II do artigo 4º, no art. 9</w:t>
            </w:r>
            <w:r w:rsidRPr="007B690E">
              <w:rPr>
                <w:rFonts w:ascii="Arial" w:eastAsia="Calibri" w:hAnsi="Arial" w:cs="Arial"/>
                <w:color w:val="000000"/>
                <w:sz w:val="16"/>
                <w:szCs w:val="16"/>
                <w:u w:val="single"/>
                <w:vertAlign w:val="superscript"/>
              </w:rPr>
              <w:t>o</w:t>
            </w:r>
            <w:r w:rsidRPr="007B690E">
              <w:rPr>
                <w:rFonts w:ascii="Arial" w:eastAsia="Calibri" w:hAnsi="Arial" w:cs="Arial"/>
                <w:color w:val="000000"/>
                <w:sz w:val="16"/>
                <w:szCs w:val="16"/>
              </w:rPr>
              <w:t xml:space="preserve"> e no inciso II do § 1</w:t>
            </w:r>
            <w:r w:rsidRPr="007B690E">
              <w:rPr>
                <w:rFonts w:ascii="Arial" w:eastAsia="Calibri" w:hAnsi="Arial" w:cs="Arial"/>
                <w:color w:val="000000"/>
                <w:sz w:val="16"/>
                <w:szCs w:val="16"/>
                <w:u w:val="single"/>
                <w:vertAlign w:val="superscript"/>
              </w:rPr>
              <w:t>o</w:t>
            </w:r>
            <w:r w:rsidRPr="007B690E">
              <w:rPr>
                <w:rFonts w:ascii="Arial" w:eastAsia="Calibri" w:hAnsi="Arial" w:cs="Arial"/>
                <w:color w:val="000000"/>
                <w:sz w:val="16"/>
                <w:szCs w:val="16"/>
              </w:rPr>
              <w:t xml:space="preserve"> do art. 31, todos da LRF.</w:t>
            </w:r>
          </w:p>
        </w:tc>
        <w:tc>
          <w:tcPr>
            <w:tcW w:w="1275" w:type="dxa"/>
            <w:shd w:val="clear" w:color="auto" w:fill="auto"/>
            <w:vAlign w:val="center"/>
            <w:hideMark/>
          </w:tcPr>
          <w:p w14:paraId="2D3913CE"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Governo</w:t>
            </w:r>
          </w:p>
        </w:tc>
      </w:tr>
      <w:tr w:rsidR="007B690E" w:rsidRPr="007B690E" w14:paraId="215A6E08" w14:textId="77777777" w:rsidTr="007B690E">
        <w:trPr>
          <w:trHeight w:val="988"/>
        </w:trPr>
        <w:tc>
          <w:tcPr>
            <w:tcW w:w="851" w:type="dxa"/>
            <w:vAlign w:val="center"/>
          </w:tcPr>
          <w:p w14:paraId="4743F7A2"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lastRenderedPageBreak/>
              <w:t>2.1.3</w:t>
            </w:r>
          </w:p>
        </w:tc>
        <w:tc>
          <w:tcPr>
            <w:tcW w:w="1417" w:type="dxa"/>
            <w:shd w:val="clear" w:color="auto" w:fill="auto"/>
            <w:vAlign w:val="center"/>
            <w:hideMark/>
          </w:tcPr>
          <w:p w14:paraId="157FE968"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LDO – controle de custos e avaliação de resultados de programas.</w:t>
            </w:r>
          </w:p>
        </w:tc>
        <w:tc>
          <w:tcPr>
            <w:tcW w:w="1418" w:type="dxa"/>
            <w:shd w:val="clear" w:color="auto" w:fill="auto"/>
            <w:vAlign w:val="center"/>
            <w:hideMark/>
          </w:tcPr>
          <w:p w14:paraId="672A064F"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LC 101/2000, art. 4º, inciso I, alínea “e”.</w:t>
            </w:r>
          </w:p>
        </w:tc>
        <w:tc>
          <w:tcPr>
            <w:tcW w:w="1417" w:type="dxa"/>
            <w:vAlign w:val="center"/>
          </w:tcPr>
          <w:p w14:paraId="5240E222"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Conformidade (Verificação documental)</w:t>
            </w:r>
          </w:p>
        </w:tc>
        <w:tc>
          <w:tcPr>
            <w:tcW w:w="2694" w:type="dxa"/>
            <w:shd w:val="clear" w:color="auto" w:fill="auto"/>
            <w:vAlign w:val="center"/>
            <w:hideMark/>
          </w:tcPr>
          <w:p w14:paraId="1E301F99"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Avaliar se a LDO aprovada para o exercício continha dispositivo estabelecendo normas relativas ao controle de custos e à avaliação dos resultados dos programas financiados com recursos dos orçamentos.</w:t>
            </w:r>
          </w:p>
        </w:tc>
        <w:tc>
          <w:tcPr>
            <w:tcW w:w="1275" w:type="dxa"/>
            <w:shd w:val="clear" w:color="auto" w:fill="auto"/>
            <w:vAlign w:val="center"/>
            <w:hideMark/>
          </w:tcPr>
          <w:p w14:paraId="373903FA"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Governo</w:t>
            </w:r>
          </w:p>
        </w:tc>
      </w:tr>
      <w:tr w:rsidR="007B690E" w:rsidRPr="007B690E" w14:paraId="4E0C3FBB" w14:textId="77777777" w:rsidTr="007B690E">
        <w:trPr>
          <w:trHeight w:val="579"/>
        </w:trPr>
        <w:tc>
          <w:tcPr>
            <w:tcW w:w="851" w:type="dxa"/>
            <w:vAlign w:val="center"/>
          </w:tcPr>
          <w:p w14:paraId="253BE513"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2.1.4</w:t>
            </w:r>
          </w:p>
        </w:tc>
        <w:tc>
          <w:tcPr>
            <w:tcW w:w="1417" w:type="dxa"/>
            <w:shd w:val="clear" w:color="auto" w:fill="auto"/>
            <w:vAlign w:val="center"/>
            <w:hideMark/>
          </w:tcPr>
          <w:p w14:paraId="05CFDE47"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LDO – condições para transferências de recursos a entidades privadas.</w:t>
            </w:r>
          </w:p>
        </w:tc>
        <w:tc>
          <w:tcPr>
            <w:tcW w:w="1418" w:type="dxa"/>
            <w:shd w:val="clear" w:color="auto" w:fill="auto"/>
            <w:vAlign w:val="center"/>
            <w:hideMark/>
          </w:tcPr>
          <w:p w14:paraId="128EEB24" w14:textId="77777777" w:rsidR="007B690E" w:rsidRPr="007B690E" w:rsidRDefault="007B690E" w:rsidP="007B690E">
            <w:pPr>
              <w:widowControl w:val="0"/>
              <w:spacing w:after="0" w:line="240" w:lineRule="auto"/>
              <w:jc w:val="both"/>
              <w:rPr>
                <w:rFonts w:ascii="Arial" w:eastAsia="Calibri" w:hAnsi="Arial" w:cs="Arial"/>
                <w:color w:val="000000"/>
                <w:sz w:val="16"/>
                <w:szCs w:val="16"/>
                <w:lang w:val="en-US"/>
              </w:rPr>
            </w:pPr>
            <w:r w:rsidRPr="007B690E">
              <w:rPr>
                <w:rFonts w:ascii="Arial" w:eastAsia="Calibri" w:hAnsi="Arial" w:cs="Arial"/>
                <w:color w:val="000000"/>
                <w:sz w:val="16"/>
                <w:szCs w:val="16"/>
                <w:lang w:val="en-US"/>
              </w:rPr>
              <w:t>LC 101/2000, art. 4º, inciso I, alínea “f”.</w:t>
            </w:r>
          </w:p>
        </w:tc>
        <w:tc>
          <w:tcPr>
            <w:tcW w:w="1417" w:type="dxa"/>
            <w:vAlign w:val="center"/>
          </w:tcPr>
          <w:p w14:paraId="0FDF710A"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Conformidade (Verificação documental)</w:t>
            </w:r>
          </w:p>
        </w:tc>
        <w:tc>
          <w:tcPr>
            <w:tcW w:w="2694" w:type="dxa"/>
            <w:shd w:val="clear" w:color="auto" w:fill="auto"/>
            <w:vAlign w:val="center"/>
            <w:hideMark/>
          </w:tcPr>
          <w:p w14:paraId="0A003F83"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Avaliar se a LDO aprovada para o exercício continha dispositivo estabelecendo condições e exigências para transferências de recursos a entidades públicas e privadas.</w:t>
            </w:r>
          </w:p>
        </w:tc>
        <w:tc>
          <w:tcPr>
            <w:tcW w:w="1275" w:type="dxa"/>
            <w:shd w:val="clear" w:color="auto" w:fill="auto"/>
            <w:vAlign w:val="center"/>
            <w:hideMark/>
          </w:tcPr>
          <w:p w14:paraId="469144E1"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Governo</w:t>
            </w:r>
          </w:p>
        </w:tc>
      </w:tr>
      <w:tr w:rsidR="007B690E" w:rsidRPr="007B690E" w14:paraId="29A3DE9F" w14:textId="77777777" w:rsidTr="007B690E">
        <w:trPr>
          <w:trHeight w:val="711"/>
        </w:trPr>
        <w:tc>
          <w:tcPr>
            <w:tcW w:w="851" w:type="dxa"/>
            <w:vAlign w:val="center"/>
          </w:tcPr>
          <w:p w14:paraId="46F5DA86"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2.1.5</w:t>
            </w:r>
          </w:p>
        </w:tc>
        <w:tc>
          <w:tcPr>
            <w:tcW w:w="1417" w:type="dxa"/>
            <w:shd w:val="clear" w:color="auto" w:fill="auto"/>
            <w:vAlign w:val="center"/>
            <w:hideMark/>
          </w:tcPr>
          <w:p w14:paraId="60CD2E9B"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LDO – Anexo de Metas Fiscais – abrangência</w:t>
            </w:r>
          </w:p>
        </w:tc>
        <w:tc>
          <w:tcPr>
            <w:tcW w:w="1418" w:type="dxa"/>
            <w:shd w:val="clear" w:color="auto" w:fill="auto"/>
            <w:vAlign w:val="center"/>
            <w:hideMark/>
          </w:tcPr>
          <w:p w14:paraId="3A81C7AD" w14:textId="77777777" w:rsidR="007B690E" w:rsidRPr="007B690E" w:rsidRDefault="007B690E" w:rsidP="007B690E">
            <w:pPr>
              <w:widowControl w:val="0"/>
              <w:spacing w:after="0" w:line="240" w:lineRule="auto"/>
              <w:jc w:val="both"/>
              <w:rPr>
                <w:rFonts w:ascii="Arial" w:eastAsia="Calibri" w:hAnsi="Arial" w:cs="Arial"/>
                <w:color w:val="000000"/>
                <w:sz w:val="16"/>
                <w:szCs w:val="16"/>
                <w:lang w:val="en-US"/>
              </w:rPr>
            </w:pPr>
            <w:r w:rsidRPr="007B690E">
              <w:rPr>
                <w:rFonts w:ascii="Arial" w:eastAsia="Calibri" w:hAnsi="Arial" w:cs="Arial"/>
                <w:color w:val="000000"/>
                <w:sz w:val="16"/>
                <w:szCs w:val="16"/>
                <w:lang w:val="en-US"/>
              </w:rPr>
              <w:t>LC 101/2000, art. 4º, §§ 1º e 2º.</w:t>
            </w:r>
          </w:p>
        </w:tc>
        <w:tc>
          <w:tcPr>
            <w:tcW w:w="1417" w:type="dxa"/>
            <w:vAlign w:val="center"/>
          </w:tcPr>
          <w:p w14:paraId="1FD609BF"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Conformidade (Verificação documental)</w:t>
            </w:r>
          </w:p>
        </w:tc>
        <w:tc>
          <w:tcPr>
            <w:tcW w:w="2694" w:type="dxa"/>
            <w:shd w:val="clear" w:color="auto" w:fill="auto"/>
            <w:vAlign w:val="center"/>
            <w:hideMark/>
          </w:tcPr>
          <w:p w14:paraId="7140AC51"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Avaliar se a LDO aprovada para o exercício continha Anexo de Metas Fiscais estabelecendo metas anuais relativas a receitas e despesas, resultados nominal e primário, montante da dívida pública, dentre outras informações, na forma estabelecida pela LRF.</w:t>
            </w:r>
          </w:p>
        </w:tc>
        <w:tc>
          <w:tcPr>
            <w:tcW w:w="1275" w:type="dxa"/>
            <w:shd w:val="clear" w:color="auto" w:fill="auto"/>
            <w:vAlign w:val="center"/>
            <w:hideMark/>
          </w:tcPr>
          <w:p w14:paraId="591F87A6"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Governo</w:t>
            </w:r>
          </w:p>
        </w:tc>
      </w:tr>
      <w:tr w:rsidR="007B690E" w:rsidRPr="007B690E" w14:paraId="7E877BEE" w14:textId="77777777" w:rsidTr="007B690E">
        <w:trPr>
          <w:trHeight w:val="70"/>
        </w:trPr>
        <w:tc>
          <w:tcPr>
            <w:tcW w:w="851" w:type="dxa"/>
            <w:vAlign w:val="center"/>
          </w:tcPr>
          <w:p w14:paraId="0EA04225"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2.1.6</w:t>
            </w:r>
          </w:p>
        </w:tc>
        <w:tc>
          <w:tcPr>
            <w:tcW w:w="1417" w:type="dxa"/>
            <w:shd w:val="clear" w:color="auto" w:fill="auto"/>
            <w:vAlign w:val="center"/>
            <w:hideMark/>
          </w:tcPr>
          <w:p w14:paraId="35164AC0"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LDO – Anexo de Metas Fiscais – conteúdo</w:t>
            </w:r>
          </w:p>
        </w:tc>
        <w:tc>
          <w:tcPr>
            <w:tcW w:w="1418" w:type="dxa"/>
            <w:shd w:val="clear" w:color="auto" w:fill="auto"/>
            <w:vAlign w:val="center"/>
            <w:hideMark/>
          </w:tcPr>
          <w:p w14:paraId="333E8244" w14:textId="77777777" w:rsidR="007B690E" w:rsidRPr="007B690E" w:rsidRDefault="007B690E" w:rsidP="007B690E">
            <w:pPr>
              <w:widowControl w:val="0"/>
              <w:spacing w:after="0" w:line="240" w:lineRule="auto"/>
              <w:jc w:val="both"/>
              <w:rPr>
                <w:rFonts w:ascii="Arial" w:eastAsia="Calibri" w:hAnsi="Arial" w:cs="Arial"/>
                <w:color w:val="000000"/>
                <w:sz w:val="16"/>
                <w:szCs w:val="16"/>
                <w:lang w:val="en-US"/>
              </w:rPr>
            </w:pPr>
            <w:r w:rsidRPr="007B690E">
              <w:rPr>
                <w:rFonts w:ascii="Arial" w:eastAsia="Calibri" w:hAnsi="Arial" w:cs="Arial"/>
                <w:color w:val="000000"/>
                <w:sz w:val="16"/>
                <w:szCs w:val="16"/>
                <w:lang w:val="en-US"/>
              </w:rPr>
              <w:t>Portaria STN nº 637/2012.</w:t>
            </w:r>
          </w:p>
        </w:tc>
        <w:tc>
          <w:tcPr>
            <w:tcW w:w="1417" w:type="dxa"/>
            <w:vAlign w:val="center"/>
          </w:tcPr>
          <w:p w14:paraId="00182E5E"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Conformidade (Verificação documental)</w:t>
            </w:r>
          </w:p>
        </w:tc>
        <w:tc>
          <w:tcPr>
            <w:tcW w:w="2694" w:type="dxa"/>
            <w:shd w:val="clear" w:color="auto" w:fill="auto"/>
            <w:vAlign w:val="center"/>
            <w:hideMark/>
          </w:tcPr>
          <w:p w14:paraId="3AB78073"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Avaliar se os demonstrativos que integraram o Anexo de Metas Fiscais da LDO aprovada para o exercício foram elaborados em observância ao Manual de Demonstrativos Fiscais editado pela STN.</w:t>
            </w:r>
          </w:p>
        </w:tc>
        <w:tc>
          <w:tcPr>
            <w:tcW w:w="1275" w:type="dxa"/>
            <w:shd w:val="clear" w:color="auto" w:fill="auto"/>
            <w:vAlign w:val="center"/>
            <w:hideMark/>
          </w:tcPr>
          <w:p w14:paraId="2CC78D61"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Governo</w:t>
            </w:r>
          </w:p>
        </w:tc>
      </w:tr>
      <w:tr w:rsidR="007B690E" w:rsidRPr="007B690E" w14:paraId="515BA204" w14:textId="77777777" w:rsidTr="007B690E">
        <w:trPr>
          <w:trHeight w:val="1580"/>
        </w:trPr>
        <w:tc>
          <w:tcPr>
            <w:tcW w:w="851" w:type="dxa"/>
            <w:vAlign w:val="center"/>
          </w:tcPr>
          <w:p w14:paraId="2EAA546B"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2.1.7</w:t>
            </w:r>
          </w:p>
        </w:tc>
        <w:tc>
          <w:tcPr>
            <w:tcW w:w="1417" w:type="dxa"/>
            <w:shd w:val="clear" w:color="auto" w:fill="auto"/>
            <w:vAlign w:val="center"/>
            <w:hideMark/>
          </w:tcPr>
          <w:p w14:paraId="5775698E"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LDO – Anexo de Riscos Fiscais – abrangência</w:t>
            </w:r>
          </w:p>
        </w:tc>
        <w:tc>
          <w:tcPr>
            <w:tcW w:w="1418" w:type="dxa"/>
            <w:shd w:val="clear" w:color="auto" w:fill="auto"/>
            <w:vAlign w:val="center"/>
            <w:hideMark/>
          </w:tcPr>
          <w:p w14:paraId="4E5F60E0" w14:textId="77777777" w:rsidR="007B690E" w:rsidRPr="007B690E" w:rsidRDefault="007B690E" w:rsidP="007B690E">
            <w:pPr>
              <w:widowControl w:val="0"/>
              <w:spacing w:after="0" w:line="240" w:lineRule="auto"/>
              <w:jc w:val="both"/>
              <w:rPr>
                <w:rFonts w:ascii="Arial" w:eastAsia="Calibri" w:hAnsi="Arial" w:cs="Arial"/>
                <w:color w:val="000000"/>
                <w:sz w:val="16"/>
                <w:szCs w:val="16"/>
                <w:lang w:val="en-US"/>
              </w:rPr>
            </w:pPr>
            <w:r w:rsidRPr="007B690E">
              <w:rPr>
                <w:rFonts w:ascii="Arial" w:eastAsia="Calibri" w:hAnsi="Arial" w:cs="Arial"/>
                <w:color w:val="000000"/>
                <w:sz w:val="16"/>
                <w:szCs w:val="16"/>
                <w:lang w:val="en-US"/>
              </w:rPr>
              <w:t>LC 101/2000, art. 4º, § 3º.</w:t>
            </w:r>
          </w:p>
        </w:tc>
        <w:tc>
          <w:tcPr>
            <w:tcW w:w="1417" w:type="dxa"/>
            <w:vAlign w:val="center"/>
          </w:tcPr>
          <w:p w14:paraId="3C14479E"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Conformidade (Verificação documental)</w:t>
            </w:r>
          </w:p>
        </w:tc>
        <w:tc>
          <w:tcPr>
            <w:tcW w:w="2694" w:type="dxa"/>
            <w:shd w:val="clear" w:color="auto" w:fill="auto"/>
            <w:vAlign w:val="center"/>
            <w:hideMark/>
          </w:tcPr>
          <w:p w14:paraId="710C54DB"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Avaliar se a LDO aprovada para o exercício continha Anexo de Riscos Fiscais avaliando os passivos contingentes e outros riscos capazes de afetar as contas públicas, informando as providências a serem tomadas, caso esses passivos e riscos se concretizassem.</w:t>
            </w:r>
          </w:p>
        </w:tc>
        <w:tc>
          <w:tcPr>
            <w:tcW w:w="1275" w:type="dxa"/>
            <w:shd w:val="clear" w:color="auto" w:fill="auto"/>
            <w:vAlign w:val="center"/>
            <w:hideMark/>
          </w:tcPr>
          <w:p w14:paraId="01205B4F"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Governo</w:t>
            </w:r>
          </w:p>
        </w:tc>
      </w:tr>
      <w:tr w:rsidR="007B690E" w:rsidRPr="007B690E" w14:paraId="749052B5" w14:textId="77777777" w:rsidTr="007B690E">
        <w:trPr>
          <w:trHeight w:val="1239"/>
        </w:trPr>
        <w:tc>
          <w:tcPr>
            <w:tcW w:w="851" w:type="dxa"/>
            <w:vAlign w:val="center"/>
          </w:tcPr>
          <w:p w14:paraId="436355C3"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2.1.8</w:t>
            </w:r>
          </w:p>
        </w:tc>
        <w:tc>
          <w:tcPr>
            <w:tcW w:w="1417" w:type="dxa"/>
            <w:shd w:val="clear" w:color="auto" w:fill="auto"/>
            <w:vAlign w:val="center"/>
            <w:hideMark/>
          </w:tcPr>
          <w:p w14:paraId="54DDE4C4"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LDO – Anexo de Riscos Fiscais – conteúdo</w:t>
            </w:r>
          </w:p>
        </w:tc>
        <w:tc>
          <w:tcPr>
            <w:tcW w:w="1418" w:type="dxa"/>
            <w:shd w:val="clear" w:color="auto" w:fill="auto"/>
            <w:vAlign w:val="center"/>
            <w:hideMark/>
          </w:tcPr>
          <w:p w14:paraId="5F9E259E" w14:textId="77777777" w:rsidR="007B690E" w:rsidRPr="007B690E" w:rsidRDefault="007B690E" w:rsidP="007B690E">
            <w:pPr>
              <w:widowControl w:val="0"/>
              <w:spacing w:after="0" w:line="240" w:lineRule="auto"/>
              <w:jc w:val="both"/>
              <w:rPr>
                <w:rFonts w:ascii="Arial" w:eastAsia="Calibri" w:hAnsi="Arial" w:cs="Arial"/>
                <w:color w:val="000000"/>
                <w:sz w:val="16"/>
                <w:szCs w:val="16"/>
                <w:lang w:val="en-US"/>
              </w:rPr>
            </w:pPr>
            <w:r w:rsidRPr="007B690E">
              <w:rPr>
                <w:rFonts w:ascii="Arial" w:eastAsia="Calibri" w:hAnsi="Arial" w:cs="Arial"/>
                <w:color w:val="000000"/>
                <w:sz w:val="16"/>
                <w:szCs w:val="16"/>
                <w:lang w:val="en-US"/>
              </w:rPr>
              <w:t>Portaria STN nº 637/2012.</w:t>
            </w:r>
          </w:p>
        </w:tc>
        <w:tc>
          <w:tcPr>
            <w:tcW w:w="1417" w:type="dxa"/>
            <w:vAlign w:val="center"/>
          </w:tcPr>
          <w:p w14:paraId="51160640"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Conformidade (Verificação documental)</w:t>
            </w:r>
          </w:p>
        </w:tc>
        <w:tc>
          <w:tcPr>
            <w:tcW w:w="2694" w:type="dxa"/>
            <w:shd w:val="clear" w:color="auto" w:fill="auto"/>
            <w:vAlign w:val="center"/>
            <w:hideMark/>
          </w:tcPr>
          <w:p w14:paraId="54FA95A6"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Avaliar se o Demonstrativo de Riscos Fiscais e Providências que integrou a LDO aprovada para o exercício foi elaborado em observância ao Manual de Demonstrativos Fiscais editado pela STN.</w:t>
            </w:r>
          </w:p>
        </w:tc>
        <w:tc>
          <w:tcPr>
            <w:tcW w:w="1275" w:type="dxa"/>
            <w:shd w:val="clear" w:color="auto" w:fill="auto"/>
            <w:vAlign w:val="center"/>
            <w:hideMark/>
          </w:tcPr>
          <w:p w14:paraId="2C4BD753"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Governo</w:t>
            </w:r>
          </w:p>
        </w:tc>
      </w:tr>
      <w:tr w:rsidR="007B690E" w:rsidRPr="007B690E" w14:paraId="1A14F6B6" w14:textId="77777777" w:rsidTr="007B690E">
        <w:trPr>
          <w:trHeight w:val="2015"/>
        </w:trPr>
        <w:tc>
          <w:tcPr>
            <w:tcW w:w="851" w:type="dxa"/>
            <w:vAlign w:val="center"/>
          </w:tcPr>
          <w:p w14:paraId="5FC1D580"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2.1.9</w:t>
            </w:r>
          </w:p>
        </w:tc>
        <w:tc>
          <w:tcPr>
            <w:tcW w:w="1417" w:type="dxa"/>
            <w:shd w:val="clear" w:color="auto" w:fill="auto"/>
            <w:vAlign w:val="center"/>
            <w:hideMark/>
          </w:tcPr>
          <w:p w14:paraId="2A287122"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Programação orçamentária – disponibilização de estudos e estimativas de receitas.</w:t>
            </w:r>
          </w:p>
        </w:tc>
        <w:tc>
          <w:tcPr>
            <w:tcW w:w="1418" w:type="dxa"/>
            <w:shd w:val="clear" w:color="auto" w:fill="auto"/>
            <w:vAlign w:val="center"/>
            <w:hideMark/>
          </w:tcPr>
          <w:p w14:paraId="6C88F2D3" w14:textId="77777777" w:rsidR="007B690E" w:rsidRPr="007B690E" w:rsidRDefault="007B690E" w:rsidP="007B690E">
            <w:pPr>
              <w:widowControl w:val="0"/>
              <w:spacing w:after="0" w:line="240" w:lineRule="auto"/>
              <w:jc w:val="both"/>
              <w:rPr>
                <w:rFonts w:ascii="Arial" w:eastAsia="Calibri" w:hAnsi="Arial" w:cs="Arial"/>
                <w:color w:val="000000"/>
                <w:sz w:val="16"/>
                <w:szCs w:val="16"/>
                <w:lang w:val="en-US"/>
              </w:rPr>
            </w:pPr>
            <w:r w:rsidRPr="007B690E">
              <w:rPr>
                <w:rFonts w:ascii="Arial" w:eastAsia="Calibri" w:hAnsi="Arial" w:cs="Arial"/>
                <w:color w:val="000000"/>
                <w:sz w:val="16"/>
                <w:szCs w:val="16"/>
                <w:lang w:val="en-US"/>
              </w:rPr>
              <w:t>LC 101/2000, art. 12, § 3º.</w:t>
            </w:r>
          </w:p>
        </w:tc>
        <w:tc>
          <w:tcPr>
            <w:tcW w:w="1417" w:type="dxa"/>
            <w:vAlign w:val="center"/>
          </w:tcPr>
          <w:p w14:paraId="5CD881CF"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Conformidade (Verificação documental)</w:t>
            </w:r>
          </w:p>
        </w:tc>
        <w:tc>
          <w:tcPr>
            <w:tcW w:w="2694" w:type="dxa"/>
            <w:shd w:val="clear" w:color="auto" w:fill="auto"/>
            <w:vAlign w:val="center"/>
            <w:hideMark/>
          </w:tcPr>
          <w:p w14:paraId="78F8D775"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Avaliar se o Poder Executivo colocou à disposição dos demais Poderes e do Ministério Público, no mínimo trinta dias antes do prazo final para encaminhamento de suas propostas orçamentárias, os estudos e as estimativas das receitas para o exercício subsequente, inclusive da corrente líquida, e as respectivas memórias de cálculo.</w:t>
            </w:r>
          </w:p>
        </w:tc>
        <w:tc>
          <w:tcPr>
            <w:tcW w:w="1275" w:type="dxa"/>
            <w:shd w:val="clear" w:color="auto" w:fill="auto"/>
            <w:vAlign w:val="center"/>
            <w:hideMark/>
          </w:tcPr>
          <w:p w14:paraId="7D6EADF8"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Governo</w:t>
            </w:r>
          </w:p>
        </w:tc>
      </w:tr>
      <w:tr w:rsidR="007B690E" w:rsidRPr="007B690E" w14:paraId="04792BDE" w14:textId="77777777" w:rsidTr="007B690E">
        <w:trPr>
          <w:trHeight w:val="677"/>
        </w:trPr>
        <w:tc>
          <w:tcPr>
            <w:tcW w:w="851" w:type="dxa"/>
            <w:vAlign w:val="center"/>
          </w:tcPr>
          <w:p w14:paraId="31496216"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2.1.10</w:t>
            </w:r>
          </w:p>
        </w:tc>
        <w:tc>
          <w:tcPr>
            <w:tcW w:w="1417" w:type="dxa"/>
            <w:shd w:val="clear" w:color="auto" w:fill="auto"/>
            <w:vAlign w:val="center"/>
            <w:hideMark/>
          </w:tcPr>
          <w:p w14:paraId="6744A1C8"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LOA – compatibilidade com a LDO e com o Plano Plurianual.</w:t>
            </w:r>
          </w:p>
        </w:tc>
        <w:tc>
          <w:tcPr>
            <w:tcW w:w="1418" w:type="dxa"/>
            <w:shd w:val="clear" w:color="auto" w:fill="auto"/>
            <w:vAlign w:val="center"/>
            <w:hideMark/>
          </w:tcPr>
          <w:p w14:paraId="4EFF73E9" w14:textId="77777777" w:rsidR="007B690E" w:rsidRPr="007B690E" w:rsidRDefault="007B690E" w:rsidP="007B690E">
            <w:pPr>
              <w:widowControl w:val="0"/>
              <w:spacing w:after="0" w:line="240" w:lineRule="auto"/>
              <w:jc w:val="both"/>
              <w:rPr>
                <w:rFonts w:ascii="Arial" w:eastAsia="Calibri" w:hAnsi="Arial" w:cs="Arial"/>
                <w:color w:val="000000"/>
                <w:sz w:val="16"/>
                <w:szCs w:val="16"/>
                <w:lang w:val="en-US"/>
              </w:rPr>
            </w:pPr>
            <w:r w:rsidRPr="007B690E">
              <w:rPr>
                <w:rFonts w:ascii="Arial" w:eastAsia="Calibri" w:hAnsi="Arial" w:cs="Arial"/>
                <w:color w:val="000000"/>
                <w:sz w:val="16"/>
                <w:szCs w:val="16"/>
                <w:lang w:val="en-US"/>
              </w:rPr>
              <w:t>CRFB/88, art. 165, § 7º.</w:t>
            </w:r>
          </w:p>
        </w:tc>
        <w:tc>
          <w:tcPr>
            <w:tcW w:w="1417" w:type="dxa"/>
            <w:vAlign w:val="center"/>
          </w:tcPr>
          <w:p w14:paraId="390E8DF5"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Conformidade (Verificação documental)</w:t>
            </w:r>
          </w:p>
        </w:tc>
        <w:tc>
          <w:tcPr>
            <w:tcW w:w="2694" w:type="dxa"/>
            <w:shd w:val="clear" w:color="auto" w:fill="auto"/>
            <w:vAlign w:val="center"/>
            <w:hideMark/>
          </w:tcPr>
          <w:p w14:paraId="7E68C173"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Avaliar se os programas de governo, projetos e atividades previstos na LOA estiveram compatíveis com a LDO e PPA.</w:t>
            </w:r>
          </w:p>
        </w:tc>
        <w:tc>
          <w:tcPr>
            <w:tcW w:w="1275" w:type="dxa"/>
            <w:shd w:val="clear" w:color="auto" w:fill="auto"/>
            <w:vAlign w:val="center"/>
            <w:hideMark/>
          </w:tcPr>
          <w:p w14:paraId="13D243A1"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Governo</w:t>
            </w:r>
          </w:p>
        </w:tc>
      </w:tr>
      <w:tr w:rsidR="007B690E" w:rsidRPr="007B690E" w14:paraId="2B5F07BF" w14:textId="77777777" w:rsidTr="007B690E">
        <w:trPr>
          <w:trHeight w:val="1130"/>
        </w:trPr>
        <w:tc>
          <w:tcPr>
            <w:tcW w:w="851" w:type="dxa"/>
            <w:vAlign w:val="center"/>
          </w:tcPr>
          <w:p w14:paraId="379495DA"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2.1.11</w:t>
            </w:r>
          </w:p>
        </w:tc>
        <w:tc>
          <w:tcPr>
            <w:tcW w:w="1417" w:type="dxa"/>
            <w:shd w:val="clear" w:color="auto" w:fill="auto"/>
            <w:vAlign w:val="center"/>
            <w:hideMark/>
          </w:tcPr>
          <w:p w14:paraId="5A459A7E"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LOA – demonstrativo da compatibilidade dos orçamentos com objetivos e metas da LRF</w:t>
            </w:r>
          </w:p>
        </w:tc>
        <w:tc>
          <w:tcPr>
            <w:tcW w:w="1418" w:type="dxa"/>
            <w:shd w:val="clear" w:color="auto" w:fill="auto"/>
            <w:vAlign w:val="center"/>
            <w:hideMark/>
          </w:tcPr>
          <w:p w14:paraId="3B44CCDC" w14:textId="77777777" w:rsidR="007B690E" w:rsidRPr="007B690E" w:rsidRDefault="007B690E" w:rsidP="007B690E">
            <w:pPr>
              <w:widowControl w:val="0"/>
              <w:spacing w:after="0" w:line="240" w:lineRule="auto"/>
              <w:jc w:val="both"/>
              <w:rPr>
                <w:rFonts w:ascii="Arial" w:eastAsia="Calibri" w:hAnsi="Arial" w:cs="Arial"/>
                <w:color w:val="000000"/>
                <w:sz w:val="16"/>
                <w:szCs w:val="16"/>
                <w:lang w:val="en-US"/>
              </w:rPr>
            </w:pPr>
            <w:r w:rsidRPr="007B690E">
              <w:rPr>
                <w:rFonts w:ascii="Arial" w:eastAsia="Calibri" w:hAnsi="Arial" w:cs="Arial"/>
                <w:color w:val="000000"/>
                <w:sz w:val="16"/>
                <w:szCs w:val="16"/>
                <w:lang w:val="en-US"/>
              </w:rPr>
              <w:t>LC 101/2000, art. 5º, inciso I.</w:t>
            </w:r>
          </w:p>
        </w:tc>
        <w:tc>
          <w:tcPr>
            <w:tcW w:w="1417" w:type="dxa"/>
            <w:vAlign w:val="center"/>
          </w:tcPr>
          <w:p w14:paraId="5973DBC7"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Conformidade (Verificação documental)</w:t>
            </w:r>
          </w:p>
        </w:tc>
        <w:tc>
          <w:tcPr>
            <w:tcW w:w="2694" w:type="dxa"/>
            <w:shd w:val="clear" w:color="auto" w:fill="auto"/>
            <w:vAlign w:val="center"/>
            <w:hideMark/>
          </w:tcPr>
          <w:p w14:paraId="4CC3428D"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 xml:space="preserve">Avaliar se o demonstrativo de compatibilidade da programação orçamentária com os objetivos e metas estabelecidos no Anexo de Metas Fiscais, parte integrante da LDO, integrou a LOA aprovada para o exercício. </w:t>
            </w:r>
          </w:p>
        </w:tc>
        <w:tc>
          <w:tcPr>
            <w:tcW w:w="1275" w:type="dxa"/>
            <w:shd w:val="clear" w:color="auto" w:fill="auto"/>
            <w:vAlign w:val="center"/>
            <w:hideMark/>
          </w:tcPr>
          <w:p w14:paraId="79DCEC38"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Governo</w:t>
            </w:r>
          </w:p>
        </w:tc>
      </w:tr>
      <w:tr w:rsidR="007B690E" w:rsidRPr="007B690E" w14:paraId="75C62614" w14:textId="77777777" w:rsidTr="007B690E">
        <w:trPr>
          <w:trHeight w:val="1833"/>
        </w:trPr>
        <w:tc>
          <w:tcPr>
            <w:tcW w:w="851" w:type="dxa"/>
            <w:vAlign w:val="center"/>
          </w:tcPr>
          <w:p w14:paraId="77B8F756"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lastRenderedPageBreak/>
              <w:t>2.1.12</w:t>
            </w:r>
          </w:p>
        </w:tc>
        <w:tc>
          <w:tcPr>
            <w:tcW w:w="1417" w:type="dxa"/>
            <w:shd w:val="clear" w:color="auto" w:fill="auto"/>
            <w:vAlign w:val="center"/>
            <w:hideMark/>
          </w:tcPr>
          <w:p w14:paraId="0DF58CFD"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LOA – demonstrativo dos efeitos da renúncia de receita</w:t>
            </w:r>
          </w:p>
        </w:tc>
        <w:tc>
          <w:tcPr>
            <w:tcW w:w="1418" w:type="dxa"/>
            <w:shd w:val="clear" w:color="auto" w:fill="auto"/>
            <w:vAlign w:val="center"/>
            <w:hideMark/>
          </w:tcPr>
          <w:p w14:paraId="202E8B5F" w14:textId="77777777" w:rsidR="007B690E" w:rsidRPr="007B690E" w:rsidRDefault="007B690E" w:rsidP="007B690E">
            <w:pPr>
              <w:widowControl w:val="0"/>
              <w:spacing w:after="0" w:line="240" w:lineRule="auto"/>
              <w:jc w:val="both"/>
              <w:rPr>
                <w:rFonts w:ascii="Arial" w:eastAsia="Calibri" w:hAnsi="Arial" w:cs="Arial"/>
                <w:color w:val="000000"/>
                <w:sz w:val="16"/>
                <w:szCs w:val="16"/>
                <w:lang w:val="en-US"/>
              </w:rPr>
            </w:pPr>
            <w:r w:rsidRPr="007B690E">
              <w:rPr>
                <w:rFonts w:ascii="Arial" w:eastAsia="Calibri" w:hAnsi="Arial" w:cs="Arial"/>
                <w:color w:val="000000"/>
                <w:sz w:val="16"/>
                <w:szCs w:val="16"/>
                <w:lang w:val="en-US"/>
              </w:rPr>
              <w:t>CRFB/88, art. 165, § 6º, c/c LC 101/2000, art. 5º, inciso II.</w:t>
            </w:r>
          </w:p>
        </w:tc>
        <w:tc>
          <w:tcPr>
            <w:tcW w:w="1417" w:type="dxa"/>
            <w:vAlign w:val="center"/>
          </w:tcPr>
          <w:p w14:paraId="34A57D99"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Conformidade (Verificação documental)</w:t>
            </w:r>
          </w:p>
        </w:tc>
        <w:tc>
          <w:tcPr>
            <w:tcW w:w="2694" w:type="dxa"/>
            <w:shd w:val="clear" w:color="auto" w:fill="auto"/>
            <w:vAlign w:val="center"/>
            <w:hideMark/>
          </w:tcPr>
          <w:p w14:paraId="4BD0385D"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Avaliar se o demonstrativo regionalizado do efeito, sobre as receitas e despesas, decorrente de isenções, anistias, remissões, subsídios e benefícios de natureza financeira, tributária e creditícia, bem como, das medidas de compensação a renúncias de receita e ao aumento de despesas obrigatórias de caráter continuado integrou a LOA aprovada para o exercício.</w:t>
            </w:r>
          </w:p>
        </w:tc>
        <w:tc>
          <w:tcPr>
            <w:tcW w:w="1275" w:type="dxa"/>
            <w:shd w:val="clear" w:color="auto" w:fill="auto"/>
            <w:vAlign w:val="center"/>
            <w:hideMark/>
          </w:tcPr>
          <w:p w14:paraId="0E0F2333"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Governo</w:t>
            </w:r>
          </w:p>
        </w:tc>
      </w:tr>
      <w:tr w:rsidR="007B690E" w:rsidRPr="007B690E" w14:paraId="3191EA19" w14:textId="77777777" w:rsidTr="007B690E">
        <w:trPr>
          <w:trHeight w:val="1072"/>
        </w:trPr>
        <w:tc>
          <w:tcPr>
            <w:tcW w:w="851" w:type="dxa"/>
            <w:vAlign w:val="center"/>
          </w:tcPr>
          <w:p w14:paraId="4DAFC334"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2.1.13</w:t>
            </w:r>
          </w:p>
        </w:tc>
        <w:tc>
          <w:tcPr>
            <w:tcW w:w="1417" w:type="dxa"/>
            <w:shd w:val="clear" w:color="auto" w:fill="auto"/>
            <w:vAlign w:val="center"/>
            <w:hideMark/>
          </w:tcPr>
          <w:p w14:paraId="6AE07821" w14:textId="77777777" w:rsidR="007B690E" w:rsidRPr="007B690E" w:rsidRDefault="007B690E" w:rsidP="007B690E">
            <w:pPr>
              <w:widowControl w:val="0"/>
              <w:spacing w:after="0" w:line="240" w:lineRule="auto"/>
              <w:jc w:val="both"/>
              <w:rPr>
                <w:rFonts w:ascii="Arial" w:eastAsia="Calibri" w:hAnsi="Arial" w:cs="Arial"/>
                <w:color w:val="000000"/>
                <w:sz w:val="16"/>
                <w:szCs w:val="16"/>
                <w:lang w:val="en-US"/>
              </w:rPr>
            </w:pPr>
            <w:r w:rsidRPr="007B690E">
              <w:rPr>
                <w:rFonts w:ascii="Arial" w:eastAsia="Calibri" w:hAnsi="Arial" w:cs="Arial"/>
                <w:color w:val="000000"/>
                <w:sz w:val="16"/>
                <w:szCs w:val="16"/>
                <w:lang w:val="en-US"/>
              </w:rPr>
              <w:t>LOA – reserva de contingência</w:t>
            </w:r>
          </w:p>
        </w:tc>
        <w:tc>
          <w:tcPr>
            <w:tcW w:w="1418" w:type="dxa"/>
            <w:shd w:val="clear" w:color="auto" w:fill="auto"/>
            <w:vAlign w:val="center"/>
            <w:hideMark/>
          </w:tcPr>
          <w:p w14:paraId="406D8CD0" w14:textId="77777777" w:rsidR="007B690E" w:rsidRPr="007B690E" w:rsidRDefault="007B690E" w:rsidP="007B690E">
            <w:pPr>
              <w:widowControl w:val="0"/>
              <w:spacing w:after="0" w:line="240" w:lineRule="auto"/>
              <w:jc w:val="both"/>
              <w:rPr>
                <w:rFonts w:ascii="Arial" w:eastAsia="Calibri" w:hAnsi="Arial" w:cs="Arial"/>
                <w:color w:val="000000"/>
                <w:sz w:val="16"/>
                <w:szCs w:val="16"/>
                <w:lang w:val="en-US"/>
              </w:rPr>
            </w:pPr>
            <w:r w:rsidRPr="007B690E">
              <w:rPr>
                <w:rFonts w:ascii="Arial" w:eastAsia="Calibri" w:hAnsi="Arial" w:cs="Arial"/>
                <w:color w:val="000000"/>
                <w:sz w:val="16"/>
                <w:szCs w:val="16"/>
                <w:lang w:val="en-US"/>
              </w:rPr>
              <w:t>LC 101/2000, art. 5º, inciso III.</w:t>
            </w:r>
          </w:p>
        </w:tc>
        <w:tc>
          <w:tcPr>
            <w:tcW w:w="1417" w:type="dxa"/>
            <w:vAlign w:val="center"/>
          </w:tcPr>
          <w:p w14:paraId="45BFE719"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Conformidade (Verificação documental)</w:t>
            </w:r>
          </w:p>
        </w:tc>
        <w:tc>
          <w:tcPr>
            <w:tcW w:w="2694" w:type="dxa"/>
            <w:shd w:val="clear" w:color="auto" w:fill="auto"/>
            <w:vAlign w:val="center"/>
            <w:hideMark/>
          </w:tcPr>
          <w:p w14:paraId="6E117442"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Avaliar se a LOA aprovada para o exercício contemplou dotação orçamentária para reserva de contingência, com forma de utilização e montante definidos e compatíveis com a LDO.</w:t>
            </w:r>
          </w:p>
        </w:tc>
        <w:tc>
          <w:tcPr>
            <w:tcW w:w="1275" w:type="dxa"/>
            <w:shd w:val="clear" w:color="auto" w:fill="auto"/>
            <w:vAlign w:val="center"/>
            <w:hideMark/>
          </w:tcPr>
          <w:p w14:paraId="2EA60170"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Governo</w:t>
            </w:r>
          </w:p>
        </w:tc>
      </w:tr>
      <w:tr w:rsidR="007B690E" w:rsidRPr="007B690E" w14:paraId="7FC19C78" w14:textId="77777777" w:rsidTr="007B690E">
        <w:trPr>
          <w:trHeight w:val="1244"/>
        </w:trPr>
        <w:tc>
          <w:tcPr>
            <w:tcW w:w="851" w:type="dxa"/>
            <w:vAlign w:val="center"/>
          </w:tcPr>
          <w:p w14:paraId="45CE94B4"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2.1.14</w:t>
            </w:r>
          </w:p>
        </w:tc>
        <w:tc>
          <w:tcPr>
            <w:tcW w:w="1417" w:type="dxa"/>
            <w:shd w:val="clear" w:color="auto" w:fill="auto"/>
            <w:vAlign w:val="center"/>
            <w:hideMark/>
          </w:tcPr>
          <w:p w14:paraId="212B8C24"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LOA – previsão de recursos para pagamento de precatórios</w:t>
            </w:r>
          </w:p>
        </w:tc>
        <w:tc>
          <w:tcPr>
            <w:tcW w:w="1418" w:type="dxa"/>
            <w:shd w:val="clear" w:color="auto" w:fill="auto"/>
            <w:vAlign w:val="center"/>
            <w:hideMark/>
          </w:tcPr>
          <w:p w14:paraId="1EAC173F" w14:textId="77777777" w:rsidR="007B690E" w:rsidRPr="007B690E" w:rsidRDefault="007B690E" w:rsidP="007B690E">
            <w:pPr>
              <w:widowControl w:val="0"/>
              <w:spacing w:after="0" w:line="240" w:lineRule="auto"/>
              <w:jc w:val="both"/>
              <w:rPr>
                <w:rFonts w:ascii="Arial" w:eastAsia="Calibri" w:hAnsi="Arial" w:cs="Arial"/>
                <w:color w:val="000000"/>
                <w:sz w:val="16"/>
                <w:szCs w:val="16"/>
                <w:lang w:val="en-US"/>
              </w:rPr>
            </w:pPr>
            <w:r w:rsidRPr="007B690E">
              <w:rPr>
                <w:rFonts w:ascii="Arial" w:eastAsia="Calibri" w:hAnsi="Arial" w:cs="Arial"/>
                <w:color w:val="000000"/>
                <w:sz w:val="16"/>
                <w:szCs w:val="16"/>
                <w:lang w:val="en-US"/>
              </w:rPr>
              <w:t>CRFB/88, art. 100, § 5º.</w:t>
            </w:r>
          </w:p>
        </w:tc>
        <w:tc>
          <w:tcPr>
            <w:tcW w:w="1417" w:type="dxa"/>
            <w:vAlign w:val="center"/>
          </w:tcPr>
          <w:p w14:paraId="4B04A161"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Conformidade (Verificação documental)</w:t>
            </w:r>
          </w:p>
        </w:tc>
        <w:tc>
          <w:tcPr>
            <w:tcW w:w="2694" w:type="dxa"/>
            <w:shd w:val="clear" w:color="auto" w:fill="auto"/>
            <w:vAlign w:val="center"/>
            <w:hideMark/>
          </w:tcPr>
          <w:p w14:paraId="0BAFE9BF"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Avaliar se houve previsão na LDO e inclusão na LOA, de dotação necessária ao pagamento de débitos oriundos de sentenças transitadas em julgado, constantes de precatórios judiciários apresentados até 1º de julho, na forma do artigo 100 da CRFB/88.</w:t>
            </w:r>
          </w:p>
        </w:tc>
        <w:tc>
          <w:tcPr>
            <w:tcW w:w="1275" w:type="dxa"/>
            <w:shd w:val="clear" w:color="auto" w:fill="auto"/>
            <w:vAlign w:val="center"/>
            <w:hideMark/>
          </w:tcPr>
          <w:p w14:paraId="76A70040"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Governo</w:t>
            </w:r>
          </w:p>
        </w:tc>
      </w:tr>
      <w:tr w:rsidR="007B690E" w:rsidRPr="007B690E" w14:paraId="44386AFC" w14:textId="77777777" w:rsidTr="007B690E">
        <w:trPr>
          <w:trHeight w:val="729"/>
        </w:trPr>
        <w:tc>
          <w:tcPr>
            <w:tcW w:w="851" w:type="dxa"/>
            <w:vAlign w:val="center"/>
          </w:tcPr>
          <w:p w14:paraId="419CA64C"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2.1.15</w:t>
            </w:r>
          </w:p>
        </w:tc>
        <w:tc>
          <w:tcPr>
            <w:tcW w:w="1417" w:type="dxa"/>
            <w:shd w:val="clear" w:color="auto" w:fill="auto"/>
            <w:vAlign w:val="center"/>
            <w:hideMark/>
          </w:tcPr>
          <w:p w14:paraId="31A49172" w14:textId="77777777" w:rsidR="007B690E" w:rsidRPr="007B690E" w:rsidRDefault="007B690E" w:rsidP="007B690E">
            <w:pPr>
              <w:widowControl w:val="0"/>
              <w:spacing w:after="0" w:line="240" w:lineRule="auto"/>
              <w:rPr>
                <w:rFonts w:ascii="Arial" w:eastAsia="Calibri" w:hAnsi="Arial" w:cs="Arial"/>
                <w:color w:val="000000"/>
                <w:sz w:val="16"/>
                <w:szCs w:val="16"/>
                <w:lang w:val="en-US"/>
              </w:rPr>
            </w:pPr>
            <w:r w:rsidRPr="007B690E">
              <w:rPr>
                <w:rFonts w:ascii="Arial" w:eastAsia="Calibri" w:hAnsi="Arial" w:cs="Arial"/>
                <w:color w:val="000000"/>
                <w:sz w:val="16"/>
                <w:szCs w:val="16"/>
                <w:lang w:val="en-US"/>
              </w:rPr>
              <w:t>LOA – vinculação de recursos.</w:t>
            </w:r>
          </w:p>
        </w:tc>
        <w:tc>
          <w:tcPr>
            <w:tcW w:w="1418" w:type="dxa"/>
            <w:shd w:val="clear" w:color="auto" w:fill="auto"/>
            <w:vAlign w:val="center"/>
            <w:hideMark/>
          </w:tcPr>
          <w:p w14:paraId="116C821B"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LC 101/2000, art. 8º, parágrafo único.</w:t>
            </w:r>
          </w:p>
        </w:tc>
        <w:tc>
          <w:tcPr>
            <w:tcW w:w="1417" w:type="dxa"/>
            <w:vAlign w:val="center"/>
          </w:tcPr>
          <w:p w14:paraId="0AC8086C"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Auditoria Governamental de conformidade</w:t>
            </w:r>
          </w:p>
        </w:tc>
        <w:tc>
          <w:tcPr>
            <w:tcW w:w="2694" w:type="dxa"/>
            <w:shd w:val="clear" w:color="auto" w:fill="auto"/>
            <w:vAlign w:val="center"/>
            <w:hideMark/>
          </w:tcPr>
          <w:p w14:paraId="36F7DD12"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Avaliar se a LOA foi aprovada e executada com as dotações de despesas vinculadas às respectivas fontes de recursos.</w:t>
            </w:r>
          </w:p>
        </w:tc>
        <w:tc>
          <w:tcPr>
            <w:tcW w:w="1275" w:type="dxa"/>
            <w:shd w:val="clear" w:color="auto" w:fill="auto"/>
            <w:vAlign w:val="center"/>
            <w:hideMark/>
          </w:tcPr>
          <w:p w14:paraId="5DE8BA1A"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Governo</w:t>
            </w:r>
          </w:p>
        </w:tc>
      </w:tr>
      <w:tr w:rsidR="007B690E" w:rsidRPr="007B690E" w14:paraId="3CDE352A" w14:textId="77777777" w:rsidTr="007B690E">
        <w:trPr>
          <w:trHeight w:val="756"/>
        </w:trPr>
        <w:tc>
          <w:tcPr>
            <w:tcW w:w="851" w:type="dxa"/>
            <w:vAlign w:val="center"/>
          </w:tcPr>
          <w:p w14:paraId="436D22D5"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2.1.16</w:t>
            </w:r>
          </w:p>
        </w:tc>
        <w:tc>
          <w:tcPr>
            <w:tcW w:w="1417" w:type="dxa"/>
            <w:shd w:val="clear" w:color="auto" w:fill="auto"/>
            <w:vAlign w:val="center"/>
            <w:hideMark/>
          </w:tcPr>
          <w:p w14:paraId="4CDE24B0" w14:textId="77777777" w:rsidR="007B690E" w:rsidRPr="007B690E" w:rsidRDefault="007B690E" w:rsidP="007B690E">
            <w:pPr>
              <w:widowControl w:val="0"/>
              <w:spacing w:after="0" w:line="240" w:lineRule="auto"/>
              <w:rPr>
                <w:rFonts w:ascii="Arial" w:eastAsia="Calibri" w:hAnsi="Arial" w:cs="Arial"/>
                <w:color w:val="000000"/>
                <w:sz w:val="16"/>
                <w:szCs w:val="16"/>
              </w:rPr>
            </w:pPr>
            <w:r w:rsidRPr="007B690E">
              <w:rPr>
                <w:rFonts w:ascii="Arial" w:eastAsia="Calibri" w:hAnsi="Arial" w:cs="Arial"/>
                <w:color w:val="000000"/>
                <w:sz w:val="16"/>
                <w:szCs w:val="16"/>
              </w:rPr>
              <w:t>LOA – programação financeira e cronograma de desembolso.</w:t>
            </w:r>
          </w:p>
        </w:tc>
        <w:tc>
          <w:tcPr>
            <w:tcW w:w="1418" w:type="dxa"/>
            <w:shd w:val="clear" w:color="auto" w:fill="auto"/>
            <w:vAlign w:val="center"/>
            <w:hideMark/>
          </w:tcPr>
          <w:p w14:paraId="01324F94" w14:textId="77777777" w:rsidR="007B690E" w:rsidRPr="007B690E" w:rsidRDefault="007B690E" w:rsidP="007B690E">
            <w:pPr>
              <w:widowControl w:val="0"/>
              <w:spacing w:after="0" w:line="240" w:lineRule="auto"/>
              <w:jc w:val="both"/>
              <w:rPr>
                <w:rFonts w:ascii="Arial" w:eastAsia="Calibri" w:hAnsi="Arial" w:cs="Arial"/>
                <w:color w:val="000000"/>
                <w:sz w:val="16"/>
                <w:szCs w:val="16"/>
                <w:lang w:val="en-US"/>
              </w:rPr>
            </w:pPr>
            <w:r w:rsidRPr="007B690E">
              <w:rPr>
                <w:rFonts w:ascii="Arial" w:eastAsia="Calibri" w:hAnsi="Arial" w:cs="Arial"/>
                <w:color w:val="000000"/>
                <w:sz w:val="16"/>
                <w:szCs w:val="16"/>
                <w:lang w:val="en-US"/>
              </w:rPr>
              <w:t>LC 101/2000, art. 8º.</w:t>
            </w:r>
          </w:p>
        </w:tc>
        <w:tc>
          <w:tcPr>
            <w:tcW w:w="1417" w:type="dxa"/>
            <w:vAlign w:val="center"/>
          </w:tcPr>
          <w:p w14:paraId="022399DD"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Conformidade (Verificação documental)</w:t>
            </w:r>
          </w:p>
        </w:tc>
        <w:tc>
          <w:tcPr>
            <w:tcW w:w="2694" w:type="dxa"/>
            <w:shd w:val="clear" w:color="auto" w:fill="auto"/>
            <w:vAlign w:val="center"/>
            <w:hideMark/>
          </w:tcPr>
          <w:p w14:paraId="2AD27680"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Avaliar se, após a publicação da LOA, foi estabelecida a programação financeira e o cronograma de execução mensal de desembolso.</w:t>
            </w:r>
          </w:p>
        </w:tc>
        <w:tc>
          <w:tcPr>
            <w:tcW w:w="1275" w:type="dxa"/>
            <w:shd w:val="clear" w:color="auto" w:fill="auto"/>
            <w:vAlign w:val="center"/>
            <w:hideMark/>
          </w:tcPr>
          <w:p w14:paraId="6718C8DA"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Governo</w:t>
            </w:r>
          </w:p>
        </w:tc>
      </w:tr>
      <w:tr w:rsidR="007B690E" w:rsidRPr="007B690E" w14:paraId="302A104D" w14:textId="77777777" w:rsidTr="007B690E">
        <w:trPr>
          <w:trHeight w:val="505"/>
        </w:trPr>
        <w:tc>
          <w:tcPr>
            <w:tcW w:w="851" w:type="dxa"/>
            <w:vAlign w:val="center"/>
          </w:tcPr>
          <w:p w14:paraId="33AA65E0"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2.1.17</w:t>
            </w:r>
          </w:p>
        </w:tc>
        <w:tc>
          <w:tcPr>
            <w:tcW w:w="1417" w:type="dxa"/>
            <w:shd w:val="clear" w:color="auto" w:fill="auto"/>
            <w:vAlign w:val="center"/>
            <w:hideMark/>
          </w:tcPr>
          <w:p w14:paraId="2B12FF25" w14:textId="77777777" w:rsidR="007B690E" w:rsidRPr="007B690E" w:rsidRDefault="007B690E" w:rsidP="007B690E">
            <w:pPr>
              <w:widowControl w:val="0"/>
              <w:spacing w:after="0" w:line="240" w:lineRule="auto"/>
              <w:rPr>
                <w:rFonts w:ascii="Arial" w:eastAsia="Calibri" w:hAnsi="Arial" w:cs="Arial"/>
                <w:color w:val="000000"/>
                <w:sz w:val="16"/>
                <w:szCs w:val="16"/>
                <w:lang w:val="en-US"/>
              </w:rPr>
            </w:pPr>
            <w:r w:rsidRPr="007B690E">
              <w:rPr>
                <w:rFonts w:ascii="Arial" w:eastAsia="Calibri" w:hAnsi="Arial" w:cs="Arial"/>
                <w:color w:val="000000"/>
                <w:sz w:val="16"/>
                <w:szCs w:val="16"/>
                <w:lang w:val="en-US"/>
              </w:rPr>
              <w:t>Transparência na gestão</w:t>
            </w:r>
          </w:p>
        </w:tc>
        <w:tc>
          <w:tcPr>
            <w:tcW w:w="1418" w:type="dxa"/>
            <w:shd w:val="clear" w:color="auto" w:fill="auto"/>
            <w:vAlign w:val="center"/>
            <w:hideMark/>
          </w:tcPr>
          <w:p w14:paraId="12D2EDD5" w14:textId="77777777" w:rsidR="007B690E" w:rsidRPr="007B690E" w:rsidRDefault="007B690E" w:rsidP="007B690E">
            <w:pPr>
              <w:widowControl w:val="0"/>
              <w:spacing w:after="0" w:line="240" w:lineRule="auto"/>
              <w:jc w:val="both"/>
              <w:rPr>
                <w:rFonts w:ascii="Arial" w:eastAsia="Calibri" w:hAnsi="Arial" w:cs="Arial"/>
                <w:color w:val="000000"/>
                <w:sz w:val="16"/>
                <w:szCs w:val="16"/>
                <w:lang w:val="en-US"/>
              </w:rPr>
            </w:pPr>
            <w:r w:rsidRPr="007B690E">
              <w:rPr>
                <w:rFonts w:ascii="Arial" w:eastAsia="Calibri" w:hAnsi="Arial" w:cs="Arial"/>
                <w:color w:val="000000"/>
                <w:sz w:val="16"/>
                <w:szCs w:val="16"/>
                <w:lang w:val="en-US"/>
              </w:rPr>
              <w:t>LC 101/2000, art. 48, parágrafo único.</w:t>
            </w:r>
          </w:p>
        </w:tc>
        <w:tc>
          <w:tcPr>
            <w:tcW w:w="1417" w:type="dxa"/>
            <w:vAlign w:val="center"/>
          </w:tcPr>
          <w:p w14:paraId="40FAD17B"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Conformidade (Verificação documental)</w:t>
            </w:r>
          </w:p>
        </w:tc>
        <w:tc>
          <w:tcPr>
            <w:tcW w:w="2694" w:type="dxa"/>
            <w:shd w:val="clear" w:color="auto" w:fill="auto"/>
            <w:vAlign w:val="center"/>
            <w:hideMark/>
          </w:tcPr>
          <w:p w14:paraId="71433200"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Avaliar se foram realizadas audiências públicas durante o processo de elaboração e discussão dos projetos de lei do PPA, da LDO e da LOA.</w:t>
            </w:r>
          </w:p>
        </w:tc>
        <w:tc>
          <w:tcPr>
            <w:tcW w:w="1275" w:type="dxa"/>
            <w:shd w:val="clear" w:color="auto" w:fill="auto"/>
            <w:vAlign w:val="center"/>
            <w:hideMark/>
          </w:tcPr>
          <w:p w14:paraId="39E20D6E"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Governo</w:t>
            </w:r>
          </w:p>
        </w:tc>
      </w:tr>
      <w:tr w:rsidR="007B690E" w:rsidRPr="007B690E" w14:paraId="5D3ACAA5" w14:textId="77777777" w:rsidTr="007B690E">
        <w:trPr>
          <w:trHeight w:val="420"/>
        </w:trPr>
        <w:tc>
          <w:tcPr>
            <w:tcW w:w="9072" w:type="dxa"/>
            <w:gridSpan w:val="6"/>
            <w:vAlign w:val="center"/>
          </w:tcPr>
          <w:p w14:paraId="58C01D8F" w14:textId="77777777" w:rsidR="007B690E" w:rsidRPr="007B690E" w:rsidRDefault="007B690E" w:rsidP="007B690E">
            <w:pPr>
              <w:widowControl w:val="0"/>
              <w:spacing w:after="0" w:line="240" w:lineRule="auto"/>
              <w:rPr>
                <w:rFonts w:ascii="Arial" w:eastAsia="Calibri" w:hAnsi="Arial" w:cs="Arial"/>
                <w:color w:val="000000"/>
                <w:sz w:val="16"/>
                <w:szCs w:val="16"/>
              </w:rPr>
            </w:pPr>
            <w:r w:rsidRPr="007B690E">
              <w:rPr>
                <w:rFonts w:ascii="Arial" w:eastAsia="Calibri" w:hAnsi="Arial" w:cs="Arial"/>
                <w:b/>
                <w:bCs/>
                <w:color w:val="000000"/>
              </w:rPr>
              <w:t>2.2. Gestão fiscal, financeira e orçamentária</w:t>
            </w:r>
          </w:p>
        </w:tc>
      </w:tr>
      <w:tr w:rsidR="007B690E" w:rsidRPr="007B690E" w14:paraId="5A2C4048" w14:textId="77777777" w:rsidTr="007B690E">
        <w:trPr>
          <w:trHeight w:val="255"/>
        </w:trPr>
        <w:tc>
          <w:tcPr>
            <w:tcW w:w="851" w:type="dxa"/>
            <w:vAlign w:val="center"/>
          </w:tcPr>
          <w:p w14:paraId="337CF1A9" w14:textId="77777777" w:rsidR="007B690E" w:rsidRPr="007B690E" w:rsidRDefault="007B690E" w:rsidP="007B690E">
            <w:pPr>
              <w:widowControl w:val="0"/>
              <w:spacing w:after="0" w:line="240" w:lineRule="auto"/>
              <w:jc w:val="center"/>
              <w:rPr>
                <w:rFonts w:ascii="Arial" w:eastAsia="Calibri" w:hAnsi="Arial" w:cs="Arial"/>
                <w:b/>
                <w:bCs/>
                <w:color w:val="000000"/>
                <w:sz w:val="16"/>
                <w:szCs w:val="16"/>
              </w:rPr>
            </w:pPr>
            <w:r w:rsidRPr="007B690E">
              <w:rPr>
                <w:rFonts w:ascii="Arial" w:eastAsia="Calibri" w:hAnsi="Arial" w:cs="Arial"/>
                <w:b/>
                <w:bCs/>
                <w:color w:val="000000"/>
                <w:sz w:val="16"/>
                <w:szCs w:val="16"/>
              </w:rPr>
              <w:t>Código</w:t>
            </w:r>
          </w:p>
        </w:tc>
        <w:tc>
          <w:tcPr>
            <w:tcW w:w="1417" w:type="dxa"/>
            <w:shd w:val="clear" w:color="auto" w:fill="auto"/>
            <w:vAlign w:val="center"/>
            <w:hideMark/>
          </w:tcPr>
          <w:p w14:paraId="5B4FB271" w14:textId="77777777" w:rsidR="007B690E" w:rsidRPr="007B690E" w:rsidRDefault="007B690E" w:rsidP="007B690E">
            <w:pPr>
              <w:widowControl w:val="0"/>
              <w:spacing w:after="0" w:line="240" w:lineRule="auto"/>
              <w:jc w:val="center"/>
              <w:rPr>
                <w:rFonts w:ascii="Arial" w:eastAsia="Calibri" w:hAnsi="Arial" w:cs="Arial"/>
                <w:b/>
                <w:bCs/>
                <w:color w:val="000000"/>
                <w:sz w:val="16"/>
                <w:szCs w:val="16"/>
              </w:rPr>
            </w:pPr>
            <w:r w:rsidRPr="007B690E">
              <w:rPr>
                <w:rFonts w:ascii="Arial" w:eastAsia="Calibri" w:hAnsi="Arial" w:cs="Arial"/>
                <w:b/>
                <w:bCs/>
                <w:color w:val="000000"/>
                <w:sz w:val="16"/>
                <w:szCs w:val="16"/>
              </w:rPr>
              <w:t>Ponto de controle</w:t>
            </w:r>
          </w:p>
        </w:tc>
        <w:tc>
          <w:tcPr>
            <w:tcW w:w="1418" w:type="dxa"/>
            <w:shd w:val="clear" w:color="auto" w:fill="auto"/>
            <w:vAlign w:val="center"/>
            <w:hideMark/>
          </w:tcPr>
          <w:p w14:paraId="1B7D6EEC" w14:textId="77777777" w:rsidR="007B690E" w:rsidRPr="007B690E" w:rsidRDefault="007B690E" w:rsidP="007B690E">
            <w:pPr>
              <w:widowControl w:val="0"/>
              <w:spacing w:after="0" w:line="240" w:lineRule="auto"/>
              <w:jc w:val="center"/>
              <w:rPr>
                <w:rFonts w:ascii="Arial" w:eastAsia="Calibri" w:hAnsi="Arial" w:cs="Arial"/>
                <w:b/>
                <w:bCs/>
                <w:color w:val="000000"/>
                <w:sz w:val="16"/>
                <w:szCs w:val="16"/>
              </w:rPr>
            </w:pPr>
            <w:r w:rsidRPr="007B690E">
              <w:rPr>
                <w:rFonts w:ascii="Arial" w:eastAsia="Calibri" w:hAnsi="Arial" w:cs="Arial"/>
                <w:b/>
                <w:bCs/>
                <w:color w:val="000000"/>
                <w:sz w:val="16"/>
                <w:szCs w:val="16"/>
              </w:rPr>
              <w:t>Base legal</w:t>
            </w:r>
          </w:p>
        </w:tc>
        <w:tc>
          <w:tcPr>
            <w:tcW w:w="1417" w:type="dxa"/>
            <w:vAlign w:val="center"/>
          </w:tcPr>
          <w:p w14:paraId="36150D5B" w14:textId="77777777" w:rsidR="007B690E" w:rsidRPr="007B690E" w:rsidRDefault="007B690E" w:rsidP="007B690E">
            <w:pPr>
              <w:widowControl w:val="0"/>
              <w:spacing w:after="0" w:line="240" w:lineRule="auto"/>
              <w:jc w:val="center"/>
              <w:rPr>
                <w:rFonts w:ascii="Arial" w:eastAsia="Calibri" w:hAnsi="Arial" w:cs="Arial"/>
                <w:b/>
                <w:bCs/>
                <w:color w:val="000000"/>
                <w:sz w:val="16"/>
                <w:szCs w:val="16"/>
              </w:rPr>
            </w:pPr>
            <w:r w:rsidRPr="007B690E">
              <w:rPr>
                <w:rFonts w:ascii="Arial" w:eastAsia="Calibri" w:hAnsi="Arial" w:cs="Arial"/>
                <w:b/>
                <w:bCs/>
                <w:color w:val="000000"/>
                <w:sz w:val="16"/>
                <w:szCs w:val="16"/>
              </w:rPr>
              <w:t>Tipo de procedimento sugerido</w:t>
            </w:r>
          </w:p>
        </w:tc>
        <w:tc>
          <w:tcPr>
            <w:tcW w:w="2694" w:type="dxa"/>
            <w:shd w:val="clear" w:color="auto" w:fill="auto"/>
            <w:vAlign w:val="center"/>
            <w:hideMark/>
          </w:tcPr>
          <w:p w14:paraId="60AE29AF" w14:textId="77777777" w:rsidR="007B690E" w:rsidRPr="007B690E" w:rsidRDefault="007B690E" w:rsidP="007B690E">
            <w:pPr>
              <w:widowControl w:val="0"/>
              <w:spacing w:after="0" w:line="240" w:lineRule="auto"/>
              <w:jc w:val="center"/>
              <w:rPr>
                <w:rFonts w:ascii="Arial" w:eastAsia="Calibri" w:hAnsi="Arial" w:cs="Arial"/>
                <w:b/>
                <w:bCs/>
                <w:color w:val="000000"/>
                <w:sz w:val="16"/>
                <w:szCs w:val="16"/>
              </w:rPr>
            </w:pPr>
            <w:r w:rsidRPr="007B690E">
              <w:rPr>
                <w:rFonts w:ascii="Arial" w:eastAsia="Calibri" w:hAnsi="Arial" w:cs="Arial"/>
                <w:b/>
                <w:bCs/>
                <w:color w:val="000000"/>
                <w:sz w:val="16"/>
                <w:szCs w:val="16"/>
              </w:rPr>
              <w:t>Procedimento</w:t>
            </w:r>
          </w:p>
        </w:tc>
        <w:tc>
          <w:tcPr>
            <w:tcW w:w="1275" w:type="dxa"/>
            <w:shd w:val="clear" w:color="auto" w:fill="auto"/>
            <w:vAlign w:val="center"/>
            <w:hideMark/>
          </w:tcPr>
          <w:p w14:paraId="1481FF4F" w14:textId="77777777" w:rsidR="007B690E" w:rsidRPr="007B690E" w:rsidRDefault="007B690E" w:rsidP="007B690E">
            <w:pPr>
              <w:widowControl w:val="0"/>
              <w:spacing w:after="0" w:line="240" w:lineRule="auto"/>
              <w:jc w:val="center"/>
              <w:rPr>
                <w:rFonts w:ascii="Arial" w:eastAsia="Calibri" w:hAnsi="Arial" w:cs="Arial"/>
                <w:b/>
                <w:bCs/>
                <w:color w:val="000000"/>
                <w:sz w:val="16"/>
                <w:szCs w:val="16"/>
              </w:rPr>
            </w:pPr>
            <w:r w:rsidRPr="007B690E">
              <w:rPr>
                <w:rFonts w:ascii="Arial" w:eastAsia="Calibri" w:hAnsi="Arial" w:cs="Arial"/>
                <w:b/>
                <w:bCs/>
                <w:color w:val="000000"/>
                <w:sz w:val="16"/>
                <w:szCs w:val="16"/>
              </w:rPr>
              <w:t>Aplicável à</w:t>
            </w:r>
          </w:p>
        </w:tc>
      </w:tr>
      <w:tr w:rsidR="007B690E" w:rsidRPr="007B690E" w14:paraId="719E047C" w14:textId="77777777" w:rsidTr="007B690E">
        <w:trPr>
          <w:trHeight w:val="1272"/>
        </w:trPr>
        <w:tc>
          <w:tcPr>
            <w:tcW w:w="851" w:type="dxa"/>
            <w:vAlign w:val="center"/>
          </w:tcPr>
          <w:p w14:paraId="6EAAE80A" w14:textId="77777777" w:rsidR="007B690E" w:rsidRPr="007B690E" w:rsidRDefault="007B690E" w:rsidP="007B690E">
            <w:pPr>
              <w:widowControl w:val="0"/>
              <w:spacing w:after="0" w:line="240" w:lineRule="auto"/>
              <w:jc w:val="center"/>
              <w:rPr>
                <w:rFonts w:ascii="Arial" w:eastAsia="Calibri" w:hAnsi="Arial" w:cs="Arial"/>
                <w:sz w:val="16"/>
                <w:szCs w:val="16"/>
              </w:rPr>
            </w:pPr>
            <w:r w:rsidRPr="007B690E">
              <w:rPr>
                <w:rFonts w:ascii="Arial" w:eastAsia="Calibri" w:hAnsi="Arial" w:cs="Arial"/>
                <w:sz w:val="16"/>
                <w:szCs w:val="16"/>
              </w:rPr>
              <w:t>2.2.1</w:t>
            </w:r>
          </w:p>
        </w:tc>
        <w:tc>
          <w:tcPr>
            <w:tcW w:w="1417" w:type="dxa"/>
            <w:shd w:val="clear" w:color="auto" w:fill="auto"/>
            <w:vAlign w:val="center"/>
            <w:hideMark/>
          </w:tcPr>
          <w:p w14:paraId="2D94B854" w14:textId="77777777" w:rsidR="007B690E" w:rsidRPr="007B690E" w:rsidRDefault="007B690E" w:rsidP="007B690E">
            <w:pPr>
              <w:widowControl w:val="0"/>
              <w:spacing w:after="0" w:line="240" w:lineRule="auto"/>
              <w:jc w:val="both"/>
              <w:rPr>
                <w:rFonts w:ascii="Arial" w:eastAsia="Calibri" w:hAnsi="Arial" w:cs="Arial"/>
                <w:sz w:val="16"/>
                <w:szCs w:val="16"/>
              </w:rPr>
            </w:pPr>
            <w:r w:rsidRPr="007B690E">
              <w:rPr>
                <w:rFonts w:ascii="Arial" w:eastAsia="Calibri" w:hAnsi="Arial" w:cs="Arial"/>
                <w:sz w:val="16"/>
                <w:szCs w:val="16"/>
              </w:rPr>
              <w:t>Anexo de Metas Fiscais – cumprimento de metas fiscais.</w:t>
            </w:r>
          </w:p>
        </w:tc>
        <w:tc>
          <w:tcPr>
            <w:tcW w:w="1418" w:type="dxa"/>
            <w:shd w:val="clear" w:color="auto" w:fill="auto"/>
            <w:vAlign w:val="center"/>
            <w:hideMark/>
          </w:tcPr>
          <w:p w14:paraId="3D70292F" w14:textId="77777777" w:rsidR="007B690E" w:rsidRPr="007B690E" w:rsidRDefault="007B690E" w:rsidP="007B690E">
            <w:pPr>
              <w:widowControl w:val="0"/>
              <w:spacing w:after="0" w:line="240" w:lineRule="auto"/>
              <w:jc w:val="both"/>
              <w:rPr>
                <w:rFonts w:ascii="Arial" w:eastAsia="Calibri" w:hAnsi="Arial" w:cs="Arial"/>
                <w:sz w:val="16"/>
                <w:szCs w:val="16"/>
                <w:lang w:val="en-US"/>
              </w:rPr>
            </w:pPr>
            <w:r w:rsidRPr="007B690E">
              <w:rPr>
                <w:rFonts w:ascii="Arial" w:eastAsia="Calibri" w:hAnsi="Arial" w:cs="Arial"/>
                <w:sz w:val="16"/>
                <w:szCs w:val="16"/>
                <w:lang w:val="en-US"/>
              </w:rPr>
              <w:t>LC 101/2000, art. 9º.</w:t>
            </w:r>
          </w:p>
        </w:tc>
        <w:tc>
          <w:tcPr>
            <w:tcW w:w="1417" w:type="dxa"/>
            <w:vAlign w:val="center"/>
          </w:tcPr>
          <w:p w14:paraId="12E8D288" w14:textId="77777777" w:rsidR="007B690E" w:rsidRPr="007B690E" w:rsidRDefault="007B690E" w:rsidP="007B690E">
            <w:pPr>
              <w:widowControl w:val="0"/>
              <w:spacing w:after="0" w:line="240" w:lineRule="auto"/>
              <w:jc w:val="center"/>
              <w:rPr>
                <w:rFonts w:ascii="Arial" w:eastAsia="Calibri" w:hAnsi="Arial" w:cs="Arial"/>
                <w:sz w:val="16"/>
                <w:szCs w:val="16"/>
                <w:lang w:val="en-US"/>
              </w:rPr>
            </w:pPr>
            <w:r w:rsidRPr="007B690E">
              <w:rPr>
                <w:rFonts w:ascii="Arial" w:eastAsia="Calibri" w:hAnsi="Arial" w:cs="Arial"/>
                <w:color w:val="000000"/>
                <w:sz w:val="16"/>
                <w:szCs w:val="16"/>
                <w:lang w:val="en-US"/>
              </w:rPr>
              <w:t>Conformidade (Verificação documental)</w:t>
            </w:r>
          </w:p>
        </w:tc>
        <w:tc>
          <w:tcPr>
            <w:tcW w:w="2694" w:type="dxa"/>
            <w:shd w:val="clear" w:color="auto" w:fill="auto"/>
            <w:vAlign w:val="center"/>
            <w:hideMark/>
          </w:tcPr>
          <w:p w14:paraId="08E178D0" w14:textId="77777777" w:rsidR="007B690E" w:rsidRPr="007B690E" w:rsidRDefault="007B690E" w:rsidP="007B690E">
            <w:pPr>
              <w:widowControl w:val="0"/>
              <w:spacing w:after="0" w:line="240" w:lineRule="auto"/>
              <w:jc w:val="both"/>
              <w:rPr>
                <w:rFonts w:ascii="Arial" w:eastAsia="Calibri" w:hAnsi="Arial" w:cs="Arial"/>
                <w:sz w:val="16"/>
                <w:szCs w:val="16"/>
              </w:rPr>
            </w:pPr>
            <w:r w:rsidRPr="007B690E">
              <w:rPr>
                <w:rFonts w:ascii="Arial" w:eastAsia="Calibri" w:hAnsi="Arial" w:cs="Arial"/>
                <w:sz w:val="16"/>
                <w:szCs w:val="16"/>
              </w:rPr>
              <w:t>Avaliar se, após a identificação do descumprimento de meta fiscal ao final de determinado bimestre, em decorrência da não realização de receitas, foram adotadas as medidas de limitação de empenho e movimentação financeira, nos trinta dias subsequentes.</w:t>
            </w:r>
          </w:p>
        </w:tc>
        <w:tc>
          <w:tcPr>
            <w:tcW w:w="1275" w:type="dxa"/>
            <w:shd w:val="clear" w:color="auto" w:fill="auto"/>
            <w:vAlign w:val="center"/>
            <w:hideMark/>
          </w:tcPr>
          <w:p w14:paraId="4CE46907" w14:textId="77777777" w:rsidR="007B690E" w:rsidRPr="007B690E" w:rsidRDefault="007B690E" w:rsidP="007B690E">
            <w:pPr>
              <w:widowControl w:val="0"/>
              <w:spacing w:after="0" w:line="240" w:lineRule="auto"/>
              <w:jc w:val="center"/>
              <w:rPr>
                <w:rFonts w:ascii="Arial" w:eastAsia="Calibri" w:hAnsi="Arial" w:cs="Arial"/>
                <w:sz w:val="16"/>
                <w:szCs w:val="16"/>
              </w:rPr>
            </w:pPr>
            <w:r w:rsidRPr="007B690E">
              <w:rPr>
                <w:rFonts w:ascii="Arial" w:eastAsia="Calibri" w:hAnsi="Arial" w:cs="Arial"/>
                <w:sz w:val="16"/>
                <w:szCs w:val="16"/>
              </w:rPr>
              <w:t>Contas de Governo</w:t>
            </w:r>
          </w:p>
        </w:tc>
      </w:tr>
      <w:tr w:rsidR="007B690E" w:rsidRPr="007B690E" w14:paraId="20642658" w14:textId="77777777" w:rsidTr="007B690E">
        <w:trPr>
          <w:trHeight w:val="701"/>
        </w:trPr>
        <w:tc>
          <w:tcPr>
            <w:tcW w:w="851" w:type="dxa"/>
            <w:vAlign w:val="center"/>
          </w:tcPr>
          <w:p w14:paraId="561F0C2C" w14:textId="77777777" w:rsidR="007B690E" w:rsidRPr="007B690E" w:rsidRDefault="007B690E" w:rsidP="007B690E">
            <w:pPr>
              <w:widowControl w:val="0"/>
              <w:spacing w:after="0" w:line="240" w:lineRule="auto"/>
              <w:jc w:val="center"/>
              <w:rPr>
                <w:rFonts w:ascii="Arial" w:eastAsia="Calibri" w:hAnsi="Arial" w:cs="Arial"/>
                <w:sz w:val="16"/>
                <w:szCs w:val="16"/>
              </w:rPr>
            </w:pPr>
            <w:r w:rsidRPr="007B690E">
              <w:rPr>
                <w:rFonts w:ascii="Arial" w:eastAsia="Calibri" w:hAnsi="Arial" w:cs="Arial"/>
                <w:sz w:val="16"/>
                <w:szCs w:val="16"/>
              </w:rPr>
              <w:t>2.2.2</w:t>
            </w:r>
          </w:p>
        </w:tc>
        <w:tc>
          <w:tcPr>
            <w:tcW w:w="1417" w:type="dxa"/>
            <w:shd w:val="clear" w:color="auto" w:fill="auto"/>
            <w:vAlign w:val="center"/>
            <w:hideMark/>
          </w:tcPr>
          <w:p w14:paraId="0022C908" w14:textId="77777777" w:rsidR="007B690E" w:rsidRPr="007B690E" w:rsidRDefault="007B690E" w:rsidP="007B690E">
            <w:pPr>
              <w:widowControl w:val="0"/>
              <w:spacing w:after="0" w:line="240" w:lineRule="auto"/>
              <w:jc w:val="both"/>
              <w:rPr>
                <w:rFonts w:ascii="Arial" w:eastAsia="Calibri" w:hAnsi="Arial" w:cs="Arial"/>
                <w:sz w:val="16"/>
                <w:szCs w:val="16"/>
              </w:rPr>
            </w:pPr>
            <w:r w:rsidRPr="007B690E">
              <w:rPr>
                <w:rFonts w:ascii="Arial" w:eastAsia="Calibri" w:hAnsi="Arial" w:cs="Arial"/>
                <w:sz w:val="16"/>
                <w:szCs w:val="16"/>
              </w:rPr>
              <w:t xml:space="preserve">Instituição, previsão e execução de receitas. </w:t>
            </w:r>
          </w:p>
        </w:tc>
        <w:tc>
          <w:tcPr>
            <w:tcW w:w="1418" w:type="dxa"/>
            <w:shd w:val="clear" w:color="auto" w:fill="auto"/>
            <w:vAlign w:val="center"/>
            <w:hideMark/>
          </w:tcPr>
          <w:p w14:paraId="5186F19A" w14:textId="77777777" w:rsidR="007B690E" w:rsidRPr="007B690E" w:rsidRDefault="007B690E" w:rsidP="007B690E">
            <w:pPr>
              <w:widowControl w:val="0"/>
              <w:spacing w:after="0" w:line="240" w:lineRule="auto"/>
              <w:jc w:val="both"/>
              <w:rPr>
                <w:rFonts w:ascii="Arial" w:eastAsia="Calibri" w:hAnsi="Arial" w:cs="Arial"/>
                <w:sz w:val="16"/>
                <w:szCs w:val="16"/>
                <w:lang w:val="en-US"/>
              </w:rPr>
            </w:pPr>
            <w:r w:rsidRPr="007B690E">
              <w:rPr>
                <w:rFonts w:ascii="Arial" w:eastAsia="Calibri" w:hAnsi="Arial" w:cs="Arial"/>
                <w:sz w:val="16"/>
                <w:szCs w:val="16"/>
                <w:lang w:val="en-US"/>
              </w:rPr>
              <w:t>LC 101/2000, art. 11.</w:t>
            </w:r>
          </w:p>
        </w:tc>
        <w:tc>
          <w:tcPr>
            <w:tcW w:w="1417" w:type="dxa"/>
            <w:vAlign w:val="center"/>
          </w:tcPr>
          <w:p w14:paraId="40EF758B" w14:textId="77777777" w:rsidR="007B690E" w:rsidRPr="007B690E" w:rsidRDefault="007B690E" w:rsidP="007B690E">
            <w:pPr>
              <w:widowControl w:val="0"/>
              <w:spacing w:after="0" w:line="240" w:lineRule="auto"/>
              <w:jc w:val="center"/>
              <w:rPr>
                <w:rFonts w:ascii="Arial" w:eastAsia="Calibri" w:hAnsi="Arial" w:cs="Arial"/>
                <w:sz w:val="16"/>
                <w:szCs w:val="16"/>
                <w:lang w:val="en-US"/>
              </w:rPr>
            </w:pPr>
            <w:r w:rsidRPr="007B690E">
              <w:rPr>
                <w:rFonts w:ascii="Arial" w:eastAsia="Calibri" w:hAnsi="Arial" w:cs="Arial"/>
                <w:color w:val="000000"/>
                <w:sz w:val="16"/>
                <w:szCs w:val="16"/>
                <w:lang w:val="en-US"/>
              </w:rPr>
              <w:t>Auditoria Governamental operacional</w:t>
            </w:r>
          </w:p>
        </w:tc>
        <w:tc>
          <w:tcPr>
            <w:tcW w:w="2694" w:type="dxa"/>
            <w:shd w:val="clear" w:color="auto" w:fill="auto"/>
            <w:vAlign w:val="center"/>
            <w:hideMark/>
          </w:tcPr>
          <w:p w14:paraId="3D7D1A22" w14:textId="77777777" w:rsidR="007B690E" w:rsidRPr="007B690E" w:rsidRDefault="007B690E" w:rsidP="007B690E">
            <w:pPr>
              <w:widowControl w:val="0"/>
              <w:spacing w:after="0" w:line="240" w:lineRule="auto"/>
              <w:jc w:val="both"/>
              <w:rPr>
                <w:rFonts w:ascii="Arial" w:eastAsia="Calibri" w:hAnsi="Arial" w:cs="Arial"/>
                <w:sz w:val="16"/>
                <w:szCs w:val="16"/>
              </w:rPr>
            </w:pPr>
            <w:r w:rsidRPr="007B690E">
              <w:rPr>
                <w:rFonts w:ascii="Arial" w:eastAsia="Calibri" w:hAnsi="Arial" w:cs="Arial"/>
                <w:sz w:val="16"/>
                <w:szCs w:val="16"/>
              </w:rPr>
              <w:t>Avaliar se foram instituídos, previstos e efetivamente arrecadados todos os tributos de competência do ente da Federação. As providências adotadas no âmbito da fiscalização das receitas e combate à sonegação, as ações de recuperação de créditos em instâncias administrativas e judiciais, e os resultados alcançados.</w:t>
            </w:r>
          </w:p>
        </w:tc>
        <w:tc>
          <w:tcPr>
            <w:tcW w:w="1275" w:type="dxa"/>
            <w:shd w:val="clear" w:color="auto" w:fill="auto"/>
            <w:vAlign w:val="center"/>
            <w:hideMark/>
          </w:tcPr>
          <w:p w14:paraId="03604C84" w14:textId="77777777" w:rsidR="007B690E" w:rsidRPr="007B690E" w:rsidRDefault="007B690E" w:rsidP="007B690E">
            <w:pPr>
              <w:widowControl w:val="0"/>
              <w:spacing w:after="0" w:line="240" w:lineRule="auto"/>
              <w:jc w:val="center"/>
              <w:rPr>
                <w:rFonts w:ascii="Arial" w:eastAsia="Calibri" w:hAnsi="Arial" w:cs="Arial"/>
                <w:sz w:val="16"/>
                <w:szCs w:val="16"/>
              </w:rPr>
            </w:pPr>
            <w:r w:rsidRPr="007B690E">
              <w:rPr>
                <w:rFonts w:ascii="Arial" w:eastAsia="Calibri" w:hAnsi="Arial" w:cs="Arial"/>
                <w:sz w:val="16"/>
                <w:szCs w:val="16"/>
              </w:rPr>
              <w:t>Contas de Governo</w:t>
            </w:r>
          </w:p>
        </w:tc>
      </w:tr>
      <w:tr w:rsidR="007B690E" w:rsidRPr="007B690E" w14:paraId="13935713" w14:textId="77777777" w:rsidTr="007B690E">
        <w:trPr>
          <w:trHeight w:val="70"/>
        </w:trPr>
        <w:tc>
          <w:tcPr>
            <w:tcW w:w="851" w:type="dxa"/>
            <w:vAlign w:val="center"/>
          </w:tcPr>
          <w:p w14:paraId="3D1FAEE6" w14:textId="77777777" w:rsidR="007B690E" w:rsidRPr="007B690E" w:rsidRDefault="007B690E" w:rsidP="007B690E">
            <w:pPr>
              <w:widowControl w:val="0"/>
              <w:spacing w:after="0" w:line="240" w:lineRule="auto"/>
              <w:jc w:val="center"/>
              <w:rPr>
                <w:rFonts w:ascii="Arial" w:eastAsia="Calibri" w:hAnsi="Arial" w:cs="Arial"/>
                <w:sz w:val="16"/>
                <w:szCs w:val="16"/>
              </w:rPr>
            </w:pPr>
            <w:r w:rsidRPr="007B690E">
              <w:rPr>
                <w:rFonts w:ascii="Arial" w:eastAsia="Calibri" w:hAnsi="Arial" w:cs="Arial"/>
                <w:sz w:val="16"/>
                <w:szCs w:val="16"/>
              </w:rPr>
              <w:t>2.2.3</w:t>
            </w:r>
          </w:p>
        </w:tc>
        <w:tc>
          <w:tcPr>
            <w:tcW w:w="1417" w:type="dxa"/>
            <w:shd w:val="clear" w:color="auto" w:fill="auto"/>
            <w:vAlign w:val="center"/>
            <w:hideMark/>
          </w:tcPr>
          <w:p w14:paraId="0385787D" w14:textId="77777777" w:rsidR="007B690E" w:rsidRPr="007B690E" w:rsidRDefault="007B690E" w:rsidP="007B690E">
            <w:pPr>
              <w:widowControl w:val="0"/>
              <w:spacing w:after="0" w:line="240" w:lineRule="auto"/>
              <w:jc w:val="both"/>
              <w:rPr>
                <w:rFonts w:ascii="Arial" w:eastAsia="Calibri" w:hAnsi="Arial" w:cs="Arial"/>
                <w:sz w:val="16"/>
                <w:szCs w:val="16"/>
              </w:rPr>
            </w:pPr>
            <w:r w:rsidRPr="007B690E">
              <w:rPr>
                <w:rFonts w:ascii="Arial" w:eastAsia="Calibri" w:hAnsi="Arial" w:cs="Arial"/>
                <w:sz w:val="16"/>
                <w:szCs w:val="16"/>
              </w:rPr>
              <w:t>Renúncia de receitas – estimativa de impacto orçamentário-financeiro.</w:t>
            </w:r>
          </w:p>
        </w:tc>
        <w:tc>
          <w:tcPr>
            <w:tcW w:w="1418" w:type="dxa"/>
            <w:shd w:val="clear" w:color="auto" w:fill="auto"/>
            <w:vAlign w:val="center"/>
            <w:hideMark/>
          </w:tcPr>
          <w:p w14:paraId="326BF91A" w14:textId="77777777" w:rsidR="007B690E" w:rsidRPr="007B690E" w:rsidRDefault="007B690E" w:rsidP="007B690E">
            <w:pPr>
              <w:widowControl w:val="0"/>
              <w:spacing w:after="0" w:line="240" w:lineRule="auto"/>
              <w:jc w:val="both"/>
              <w:rPr>
                <w:rFonts w:ascii="Arial" w:eastAsia="Calibri" w:hAnsi="Arial" w:cs="Arial"/>
                <w:sz w:val="16"/>
                <w:szCs w:val="16"/>
                <w:lang w:val="en-US"/>
              </w:rPr>
            </w:pPr>
            <w:r w:rsidRPr="007B690E">
              <w:rPr>
                <w:rFonts w:ascii="Arial" w:eastAsia="Calibri" w:hAnsi="Arial" w:cs="Arial"/>
                <w:sz w:val="16"/>
                <w:szCs w:val="16"/>
                <w:lang w:val="en-US"/>
              </w:rPr>
              <w:t>LC 101/2000, art. 14.</w:t>
            </w:r>
          </w:p>
        </w:tc>
        <w:tc>
          <w:tcPr>
            <w:tcW w:w="1417" w:type="dxa"/>
            <w:vAlign w:val="center"/>
          </w:tcPr>
          <w:p w14:paraId="73401BEE" w14:textId="77777777" w:rsidR="007B690E" w:rsidRPr="007B690E" w:rsidRDefault="007B690E" w:rsidP="007B690E">
            <w:pPr>
              <w:widowControl w:val="0"/>
              <w:spacing w:after="0" w:line="240" w:lineRule="auto"/>
              <w:jc w:val="center"/>
              <w:rPr>
                <w:rFonts w:ascii="Arial" w:eastAsia="Calibri" w:hAnsi="Arial" w:cs="Arial"/>
                <w:sz w:val="16"/>
                <w:szCs w:val="16"/>
                <w:lang w:val="en-US"/>
              </w:rPr>
            </w:pPr>
            <w:r w:rsidRPr="007B690E">
              <w:rPr>
                <w:rFonts w:ascii="Arial" w:eastAsia="Calibri" w:hAnsi="Arial" w:cs="Arial"/>
                <w:color w:val="000000"/>
                <w:sz w:val="16"/>
                <w:szCs w:val="16"/>
                <w:lang w:val="en-US"/>
              </w:rPr>
              <w:t>Conformidade (Verificação documental)</w:t>
            </w:r>
          </w:p>
        </w:tc>
        <w:tc>
          <w:tcPr>
            <w:tcW w:w="2694" w:type="dxa"/>
            <w:shd w:val="clear" w:color="auto" w:fill="auto"/>
            <w:vAlign w:val="center"/>
            <w:hideMark/>
          </w:tcPr>
          <w:p w14:paraId="7D7C7038" w14:textId="77777777" w:rsidR="007B690E" w:rsidRPr="007B690E" w:rsidRDefault="007B690E" w:rsidP="007B690E">
            <w:pPr>
              <w:widowControl w:val="0"/>
              <w:spacing w:after="0" w:line="240" w:lineRule="auto"/>
              <w:jc w:val="both"/>
              <w:rPr>
                <w:rFonts w:ascii="Arial" w:eastAsia="Calibri" w:hAnsi="Arial" w:cs="Arial"/>
                <w:sz w:val="16"/>
                <w:szCs w:val="16"/>
              </w:rPr>
            </w:pPr>
            <w:r w:rsidRPr="007B690E">
              <w:rPr>
                <w:rFonts w:ascii="Arial" w:eastAsia="Calibri" w:hAnsi="Arial" w:cs="Arial"/>
                <w:sz w:val="16"/>
                <w:szCs w:val="16"/>
              </w:rPr>
              <w:t xml:space="preserve">Avaliar se a concessão ou ampliação de incentivo ou benefício de natureza tributária da qual decorra renúncia de receita foi acompanhada de estimativa do impacto orçamentário-financeiro no exercício em que deva iniciar sua vigência e nos dois seguintes, se atende ao disposto na lei de diretrizes orçamentárias e se observou as disposições contidas </w:t>
            </w:r>
            <w:r w:rsidRPr="007B690E">
              <w:rPr>
                <w:rFonts w:ascii="Arial" w:eastAsia="Calibri" w:hAnsi="Arial" w:cs="Arial"/>
                <w:sz w:val="16"/>
                <w:szCs w:val="16"/>
              </w:rPr>
              <w:lastRenderedPageBreak/>
              <w:t>nos incisos I e II, do artigo 14, da LRF.</w:t>
            </w:r>
          </w:p>
        </w:tc>
        <w:tc>
          <w:tcPr>
            <w:tcW w:w="1275" w:type="dxa"/>
            <w:shd w:val="clear" w:color="auto" w:fill="auto"/>
            <w:vAlign w:val="center"/>
            <w:hideMark/>
          </w:tcPr>
          <w:p w14:paraId="29EA10CD" w14:textId="77777777" w:rsidR="007B690E" w:rsidRPr="007B690E" w:rsidRDefault="007B690E" w:rsidP="007B690E">
            <w:pPr>
              <w:widowControl w:val="0"/>
              <w:spacing w:after="0" w:line="240" w:lineRule="auto"/>
              <w:jc w:val="center"/>
              <w:rPr>
                <w:rFonts w:ascii="Arial" w:eastAsia="Calibri" w:hAnsi="Arial" w:cs="Arial"/>
                <w:sz w:val="16"/>
                <w:szCs w:val="16"/>
              </w:rPr>
            </w:pPr>
            <w:r w:rsidRPr="007B690E">
              <w:rPr>
                <w:rFonts w:ascii="Arial" w:eastAsia="Calibri" w:hAnsi="Arial" w:cs="Arial"/>
                <w:sz w:val="16"/>
                <w:szCs w:val="16"/>
              </w:rPr>
              <w:lastRenderedPageBreak/>
              <w:t>Contas de Governo</w:t>
            </w:r>
          </w:p>
        </w:tc>
      </w:tr>
      <w:tr w:rsidR="007B690E" w:rsidRPr="007B690E" w14:paraId="6D2E9B93" w14:textId="77777777" w:rsidTr="007B690E">
        <w:trPr>
          <w:trHeight w:val="1412"/>
        </w:trPr>
        <w:tc>
          <w:tcPr>
            <w:tcW w:w="851" w:type="dxa"/>
            <w:vAlign w:val="center"/>
          </w:tcPr>
          <w:p w14:paraId="16803C23" w14:textId="77777777" w:rsidR="007B690E" w:rsidRPr="007B690E" w:rsidRDefault="007B690E" w:rsidP="007B690E">
            <w:pPr>
              <w:widowControl w:val="0"/>
              <w:spacing w:after="0" w:line="240" w:lineRule="auto"/>
              <w:jc w:val="center"/>
              <w:rPr>
                <w:rFonts w:ascii="Arial" w:eastAsia="Calibri" w:hAnsi="Arial" w:cs="Arial"/>
                <w:sz w:val="16"/>
                <w:szCs w:val="16"/>
              </w:rPr>
            </w:pPr>
            <w:r w:rsidRPr="007B690E">
              <w:rPr>
                <w:rFonts w:ascii="Arial" w:eastAsia="Calibri" w:hAnsi="Arial" w:cs="Arial"/>
                <w:sz w:val="16"/>
                <w:szCs w:val="16"/>
              </w:rPr>
              <w:lastRenderedPageBreak/>
              <w:t>2.2.4</w:t>
            </w:r>
          </w:p>
        </w:tc>
        <w:tc>
          <w:tcPr>
            <w:tcW w:w="1417" w:type="dxa"/>
            <w:shd w:val="clear" w:color="auto" w:fill="auto"/>
            <w:vAlign w:val="center"/>
            <w:hideMark/>
          </w:tcPr>
          <w:p w14:paraId="508FC216" w14:textId="77777777" w:rsidR="007B690E" w:rsidRPr="007B690E" w:rsidRDefault="007B690E" w:rsidP="007B690E">
            <w:pPr>
              <w:widowControl w:val="0"/>
              <w:spacing w:after="0" w:line="240" w:lineRule="auto"/>
              <w:jc w:val="both"/>
              <w:rPr>
                <w:rFonts w:ascii="Arial" w:eastAsia="Calibri" w:hAnsi="Arial" w:cs="Arial"/>
                <w:sz w:val="16"/>
                <w:szCs w:val="16"/>
              </w:rPr>
            </w:pPr>
            <w:r w:rsidRPr="007B690E">
              <w:rPr>
                <w:rFonts w:ascii="Arial" w:eastAsia="Calibri" w:hAnsi="Arial" w:cs="Arial"/>
                <w:sz w:val="16"/>
                <w:szCs w:val="16"/>
              </w:rPr>
              <w:t>Renúncia de receitas – eficácia da concessão ou ampliação do incentivo.</w:t>
            </w:r>
          </w:p>
        </w:tc>
        <w:tc>
          <w:tcPr>
            <w:tcW w:w="1418" w:type="dxa"/>
            <w:shd w:val="clear" w:color="auto" w:fill="auto"/>
            <w:vAlign w:val="center"/>
            <w:hideMark/>
          </w:tcPr>
          <w:p w14:paraId="3615A8C0" w14:textId="77777777" w:rsidR="007B690E" w:rsidRPr="007B690E" w:rsidRDefault="007B690E" w:rsidP="007B690E">
            <w:pPr>
              <w:widowControl w:val="0"/>
              <w:spacing w:after="0" w:line="240" w:lineRule="auto"/>
              <w:jc w:val="both"/>
              <w:rPr>
                <w:rFonts w:ascii="Arial" w:eastAsia="Calibri" w:hAnsi="Arial" w:cs="Arial"/>
                <w:sz w:val="16"/>
                <w:szCs w:val="16"/>
                <w:lang w:val="en-US"/>
              </w:rPr>
            </w:pPr>
            <w:r w:rsidRPr="007B690E">
              <w:rPr>
                <w:rFonts w:ascii="Arial" w:eastAsia="Calibri" w:hAnsi="Arial" w:cs="Arial"/>
                <w:sz w:val="16"/>
                <w:szCs w:val="16"/>
                <w:lang w:val="en-US"/>
              </w:rPr>
              <w:t>LC 101/2000, art. 14, § 2º.</w:t>
            </w:r>
          </w:p>
        </w:tc>
        <w:tc>
          <w:tcPr>
            <w:tcW w:w="1417" w:type="dxa"/>
            <w:vAlign w:val="center"/>
          </w:tcPr>
          <w:p w14:paraId="77F790A8" w14:textId="77777777" w:rsidR="007B690E" w:rsidRPr="007B690E" w:rsidRDefault="007B690E" w:rsidP="007B690E">
            <w:pPr>
              <w:widowControl w:val="0"/>
              <w:spacing w:after="0" w:line="240" w:lineRule="auto"/>
              <w:jc w:val="center"/>
              <w:rPr>
                <w:rFonts w:ascii="Arial" w:eastAsia="Calibri" w:hAnsi="Arial" w:cs="Arial"/>
                <w:sz w:val="16"/>
                <w:szCs w:val="16"/>
                <w:lang w:val="en-US"/>
              </w:rPr>
            </w:pPr>
            <w:r w:rsidRPr="007B690E">
              <w:rPr>
                <w:rFonts w:ascii="Arial" w:eastAsia="Calibri" w:hAnsi="Arial" w:cs="Arial"/>
                <w:color w:val="000000"/>
                <w:sz w:val="16"/>
                <w:szCs w:val="16"/>
                <w:lang w:val="en-US"/>
              </w:rPr>
              <w:t>Conformidade (Verificação documental)</w:t>
            </w:r>
          </w:p>
        </w:tc>
        <w:tc>
          <w:tcPr>
            <w:tcW w:w="2694" w:type="dxa"/>
            <w:shd w:val="clear" w:color="auto" w:fill="auto"/>
            <w:vAlign w:val="center"/>
            <w:hideMark/>
          </w:tcPr>
          <w:p w14:paraId="6F758519" w14:textId="77777777" w:rsidR="007B690E" w:rsidRPr="007B690E" w:rsidRDefault="007B690E" w:rsidP="007B690E">
            <w:pPr>
              <w:widowControl w:val="0"/>
              <w:spacing w:after="0" w:line="240" w:lineRule="auto"/>
              <w:jc w:val="both"/>
              <w:rPr>
                <w:rFonts w:ascii="Arial" w:eastAsia="Calibri" w:hAnsi="Arial" w:cs="Arial"/>
                <w:sz w:val="16"/>
                <w:szCs w:val="16"/>
              </w:rPr>
            </w:pPr>
            <w:r w:rsidRPr="007B690E">
              <w:rPr>
                <w:rFonts w:ascii="Arial" w:eastAsia="Calibri" w:hAnsi="Arial" w:cs="Arial"/>
                <w:sz w:val="16"/>
                <w:szCs w:val="16"/>
              </w:rPr>
              <w:t>Existindo renúncia de receita cuja condição de equilíbrio tenha sido a adoção de medida de compensação, hipótese do inciso II, do artigo 14 da LRF, avaliar se o ato de concessão ou ampliação do incentivo ou benefício de que trata o caput do artigo 14, só entrou em vigor quando efetivamente foram implementadas as medidas de compensação.</w:t>
            </w:r>
          </w:p>
        </w:tc>
        <w:tc>
          <w:tcPr>
            <w:tcW w:w="1275" w:type="dxa"/>
            <w:shd w:val="clear" w:color="auto" w:fill="auto"/>
            <w:vAlign w:val="center"/>
            <w:hideMark/>
          </w:tcPr>
          <w:p w14:paraId="0A800AE5" w14:textId="77777777" w:rsidR="007B690E" w:rsidRPr="007B690E" w:rsidRDefault="007B690E" w:rsidP="007B690E">
            <w:pPr>
              <w:widowControl w:val="0"/>
              <w:spacing w:after="0" w:line="240" w:lineRule="auto"/>
              <w:jc w:val="center"/>
              <w:rPr>
                <w:rFonts w:ascii="Arial" w:eastAsia="Calibri" w:hAnsi="Arial" w:cs="Arial"/>
                <w:sz w:val="16"/>
                <w:szCs w:val="16"/>
              </w:rPr>
            </w:pPr>
            <w:r w:rsidRPr="007B690E">
              <w:rPr>
                <w:rFonts w:ascii="Arial" w:eastAsia="Calibri" w:hAnsi="Arial" w:cs="Arial"/>
                <w:sz w:val="16"/>
                <w:szCs w:val="16"/>
              </w:rPr>
              <w:t>Contas de Governo</w:t>
            </w:r>
          </w:p>
        </w:tc>
      </w:tr>
      <w:tr w:rsidR="007B690E" w:rsidRPr="007B690E" w14:paraId="1F07CC09" w14:textId="77777777" w:rsidTr="007B690E">
        <w:trPr>
          <w:trHeight w:val="1679"/>
        </w:trPr>
        <w:tc>
          <w:tcPr>
            <w:tcW w:w="851" w:type="dxa"/>
            <w:vAlign w:val="center"/>
          </w:tcPr>
          <w:p w14:paraId="301352EF" w14:textId="77777777" w:rsidR="007B690E" w:rsidRPr="007B690E" w:rsidRDefault="007B690E" w:rsidP="007B690E">
            <w:pPr>
              <w:widowControl w:val="0"/>
              <w:spacing w:after="0" w:line="240" w:lineRule="auto"/>
              <w:jc w:val="center"/>
              <w:rPr>
                <w:rFonts w:ascii="Arial" w:eastAsia="Calibri" w:hAnsi="Arial" w:cs="Arial"/>
                <w:sz w:val="16"/>
                <w:szCs w:val="16"/>
              </w:rPr>
            </w:pPr>
            <w:r w:rsidRPr="007B690E">
              <w:rPr>
                <w:rFonts w:ascii="Arial" w:eastAsia="Calibri" w:hAnsi="Arial" w:cs="Arial"/>
                <w:sz w:val="16"/>
                <w:szCs w:val="16"/>
              </w:rPr>
              <w:t>2.2.5</w:t>
            </w:r>
          </w:p>
        </w:tc>
        <w:tc>
          <w:tcPr>
            <w:tcW w:w="1417" w:type="dxa"/>
            <w:shd w:val="clear" w:color="auto" w:fill="auto"/>
            <w:vAlign w:val="center"/>
            <w:hideMark/>
          </w:tcPr>
          <w:p w14:paraId="70617077" w14:textId="77777777" w:rsidR="007B690E" w:rsidRPr="007B690E" w:rsidRDefault="007B690E" w:rsidP="007B690E">
            <w:pPr>
              <w:widowControl w:val="0"/>
              <w:spacing w:after="0" w:line="240" w:lineRule="auto"/>
              <w:jc w:val="both"/>
              <w:rPr>
                <w:rFonts w:ascii="Arial" w:eastAsia="Calibri" w:hAnsi="Arial" w:cs="Arial"/>
                <w:sz w:val="16"/>
                <w:szCs w:val="16"/>
              </w:rPr>
            </w:pPr>
            <w:r w:rsidRPr="007B690E">
              <w:rPr>
                <w:rFonts w:ascii="Arial" w:eastAsia="Calibri" w:hAnsi="Arial" w:cs="Arial"/>
                <w:sz w:val="16"/>
                <w:szCs w:val="16"/>
              </w:rPr>
              <w:t>Renúncia de receitas – legislação específica</w:t>
            </w:r>
          </w:p>
        </w:tc>
        <w:tc>
          <w:tcPr>
            <w:tcW w:w="1418" w:type="dxa"/>
            <w:shd w:val="clear" w:color="auto" w:fill="auto"/>
            <w:vAlign w:val="center"/>
            <w:hideMark/>
          </w:tcPr>
          <w:p w14:paraId="652476AC" w14:textId="77777777" w:rsidR="007B690E" w:rsidRPr="007B690E" w:rsidRDefault="007B690E" w:rsidP="007B690E">
            <w:pPr>
              <w:widowControl w:val="0"/>
              <w:spacing w:after="0" w:line="240" w:lineRule="auto"/>
              <w:jc w:val="both"/>
              <w:rPr>
                <w:rFonts w:ascii="Arial" w:eastAsia="Calibri" w:hAnsi="Arial" w:cs="Arial"/>
                <w:sz w:val="16"/>
                <w:szCs w:val="16"/>
                <w:lang w:val="en-US"/>
              </w:rPr>
            </w:pPr>
            <w:r w:rsidRPr="007B690E">
              <w:rPr>
                <w:rFonts w:ascii="Arial" w:eastAsia="Calibri" w:hAnsi="Arial" w:cs="Arial"/>
                <w:sz w:val="16"/>
                <w:szCs w:val="16"/>
                <w:lang w:val="en-US"/>
              </w:rPr>
              <w:t>CRFB/88, art. 150, § 6º.</w:t>
            </w:r>
          </w:p>
        </w:tc>
        <w:tc>
          <w:tcPr>
            <w:tcW w:w="1417" w:type="dxa"/>
            <w:vAlign w:val="center"/>
          </w:tcPr>
          <w:p w14:paraId="42E97EA0" w14:textId="77777777" w:rsidR="007B690E" w:rsidRPr="007B690E" w:rsidRDefault="007B690E" w:rsidP="007B690E">
            <w:pPr>
              <w:widowControl w:val="0"/>
              <w:spacing w:after="0" w:line="240" w:lineRule="auto"/>
              <w:jc w:val="center"/>
              <w:rPr>
                <w:rFonts w:ascii="Arial" w:eastAsia="Calibri" w:hAnsi="Arial" w:cs="Arial"/>
                <w:sz w:val="16"/>
                <w:szCs w:val="16"/>
                <w:lang w:val="en-US"/>
              </w:rPr>
            </w:pPr>
            <w:r w:rsidRPr="007B690E">
              <w:rPr>
                <w:rFonts w:ascii="Arial" w:eastAsia="Calibri" w:hAnsi="Arial" w:cs="Arial"/>
                <w:color w:val="000000"/>
                <w:sz w:val="16"/>
                <w:szCs w:val="16"/>
                <w:lang w:val="en-US"/>
              </w:rPr>
              <w:t>Conformidade (Verificação documental)</w:t>
            </w:r>
          </w:p>
        </w:tc>
        <w:tc>
          <w:tcPr>
            <w:tcW w:w="2694" w:type="dxa"/>
            <w:shd w:val="clear" w:color="auto" w:fill="auto"/>
            <w:vAlign w:val="center"/>
            <w:hideMark/>
          </w:tcPr>
          <w:p w14:paraId="12AB874F" w14:textId="77777777" w:rsidR="007B690E" w:rsidRPr="007B690E" w:rsidRDefault="007B690E" w:rsidP="007B690E">
            <w:pPr>
              <w:widowControl w:val="0"/>
              <w:spacing w:after="0" w:line="240" w:lineRule="auto"/>
              <w:jc w:val="both"/>
              <w:rPr>
                <w:rFonts w:ascii="Arial" w:eastAsia="Calibri" w:hAnsi="Arial" w:cs="Arial"/>
                <w:sz w:val="16"/>
                <w:szCs w:val="16"/>
              </w:rPr>
            </w:pPr>
            <w:r w:rsidRPr="007B690E">
              <w:rPr>
                <w:rFonts w:ascii="Arial" w:eastAsia="Calibri" w:hAnsi="Arial" w:cs="Arial"/>
                <w:sz w:val="16"/>
                <w:szCs w:val="16"/>
              </w:rPr>
              <w:t>Avaliar se a concessão de subsídio ou isenção, redução de base de cálculo, concessão de crédito presumido, anistia ou remissão, relativos a impostos, taxas ou contribuições, foram concedidos mediante lei específica, estadual ou municipal, regulando exclusivamente as matérias acima enumeradas ou o correspondente tributo ou contribuição.</w:t>
            </w:r>
          </w:p>
        </w:tc>
        <w:tc>
          <w:tcPr>
            <w:tcW w:w="1275" w:type="dxa"/>
            <w:shd w:val="clear" w:color="auto" w:fill="auto"/>
            <w:vAlign w:val="center"/>
            <w:hideMark/>
          </w:tcPr>
          <w:p w14:paraId="5972AA9A" w14:textId="77777777" w:rsidR="007B690E" w:rsidRPr="007B690E" w:rsidRDefault="007B690E" w:rsidP="007B690E">
            <w:pPr>
              <w:widowControl w:val="0"/>
              <w:spacing w:after="0" w:line="240" w:lineRule="auto"/>
              <w:jc w:val="center"/>
              <w:rPr>
                <w:rFonts w:ascii="Arial" w:eastAsia="Calibri" w:hAnsi="Arial" w:cs="Arial"/>
                <w:sz w:val="16"/>
                <w:szCs w:val="16"/>
              </w:rPr>
            </w:pPr>
            <w:r w:rsidRPr="007B690E">
              <w:rPr>
                <w:rFonts w:ascii="Arial" w:eastAsia="Calibri" w:hAnsi="Arial" w:cs="Arial"/>
                <w:sz w:val="16"/>
                <w:szCs w:val="16"/>
              </w:rPr>
              <w:t>Contas de Governo</w:t>
            </w:r>
          </w:p>
        </w:tc>
      </w:tr>
      <w:tr w:rsidR="007B690E" w:rsidRPr="007B690E" w14:paraId="646647E7" w14:textId="77777777" w:rsidTr="007B690E">
        <w:trPr>
          <w:trHeight w:val="1621"/>
        </w:trPr>
        <w:tc>
          <w:tcPr>
            <w:tcW w:w="851" w:type="dxa"/>
            <w:vAlign w:val="center"/>
          </w:tcPr>
          <w:p w14:paraId="092B32F0" w14:textId="77777777" w:rsidR="007B690E" w:rsidRPr="007B690E" w:rsidRDefault="007B690E" w:rsidP="007B690E">
            <w:pPr>
              <w:widowControl w:val="0"/>
              <w:spacing w:after="0" w:line="240" w:lineRule="auto"/>
              <w:jc w:val="center"/>
              <w:rPr>
                <w:rFonts w:ascii="Arial" w:eastAsia="Calibri" w:hAnsi="Arial" w:cs="Arial"/>
                <w:sz w:val="16"/>
                <w:szCs w:val="16"/>
              </w:rPr>
            </w:pPr>
            <w:r w:rsidRPr="007B690E">
              <w:rPr>
                <w:rFonts w:ascii="Arial" w:eastAsia="Calibri" w:hAnsi="Arial" w:cs="Arial"/>
                <w:sz w:val="16"/>
                <w:szCs w:val="16"/>
              </w:rPr>
              <w:t>2.2.6</w:t>
            </w:r>
          </w:p>
        </w:tc>
        <w:tc>
          <w:tcPr>
            <w:tcW w:w="1417" w:type="dxa"/>
            <w:shd w:val="clear" w:color="auto" w:fill="auto"/>
            <w:vAlign w:val="center"/>
            <w:hideMark/>
          </w:tcPr>
          <w:p w14:paraId="594DE778" w14:textId="77777777" w:rsidR="007B690E" w:rsidRPr="007B690E" w:rsidRDefault="007B690E" w:rsidP="007B690E">
            <w:pPr>
              <w:widowControl w:val="0"/>
              <w:spacing w:after="0" w:line="240" w:lineRule="auto"/>
              <w:jc w:val="both"/>
              <w:rPr>
                <w:rFonts w:ascii="Arial" w:eastAsia="Calibri" w:hAnsi="Arial" w:cs="Arial"/>
                <w:sz w:val="16"/>
                <w:szCs w:val="16"/>
                <w:lang w:val="en-US"/>
              </w:rPr>
            </w:pPr>
            <w:r w:rsidRPr="007B690E">
              <w:rPr>
                <w:rFonts w:ascii="Arial" w:eastAsia="Calibri" w:hAnsi="Arial" w:cs="Arial"/>
                <w:sz w:val="16"/>
                <w:szCs w:val="16"/>
                <w:lang w:val="en-US"/>
              </w:rPr>
              <w:t>Renúncia de receitas – resultados</w:t>
            </w:r>
          </w:p>
        </w:tc>
        <w:tc>
          <w:tcPr>
            <w:tcW w:w="1418" w:type="dxa"/>
            <w:shd w:val="clear" w:color="auto" w:fill="auto"/>
            <w:vAlign w:val="center"/>
            <w:hideMark/>
          </w:tcPr>
          <w:p w14:paraId="1CB5CEF9" w14:textId="77777777" w:rsidR="007B690E" w:rsidRPr="007B690E" w:rsidRDefault="007B690E" w:rsidP="007B690E">
            <w:pPr>
              <w:widowControl w:val="0"/>
              <w:spacing w:after="0" w:line="240" w:lineRule="auto"/>
              <w:jc w:val="both"/>
              <w:rPr>
                <w:rFonts w:ascii="Arial" w:eastAsia="Calibri" w:hAnsi="Arial" w:cs="Arial"/>
                <w:sz w:val="16"/>
                <w:szCs w:val="16"/>
                <w:lang w:val="en-US"/>
              </w:rPr>
            </w:pPr>
            <w:r w:rsidRPr="007B690E">
              <w:rPr>
                <w:rFonts w:ascii="Arial" w:eastAsia="Calibri" w:hAnsi="Arial" w:cs="Arial"/>
                <w:sz w:val="16"/>
                <w:szCs w:val="16"/>
                <w:lang w:val="en-US"/>
              </w:rPr>
              <w:t>CRFB/88, art. 37. /Legislação específica.</w:t>
            </w:r>
          </w:p>
        </w:tc>
        <w:tc>
          <w:tcPr>
            <w:tcW w:w="1417" w:type="dxa"/>
            <w:vAlign w:val="center"/>
          </w:tcPr>
          <w:p w14:paraId="05D1DAE9" w14:textId="77777777" w:rsidR="007B690E" w:rsidRPr="007B690E" w:rsidRDefault="007B690E" w:rsidP="007B690E">
            <w:pPr>
              <w:widowControl w:val="0"/>
              <w:spacing w:after="0" w:line="240" w:lineRule="auto"/>
              <w:jc w:val="center"/>
              <w:rPr>
                <w:rFonts w:ascii="Arial" w:eastAsia="Calibri" w:hAnsi="Arial" w:cs="Arial"/>
                <w:sz w:val="16"/>
                <w:szCs w:val="16"/>
                <w:lang w:val="en-US"/>
              </w:rPr>
            </w:pPr>
            <w:r w:rsidRPr="007B690E">
              <w:rPr>
                <w:rFonts w:ascii="Arial" w:eastAsia="Calibri" w:hAnsi="Arial" w:cs="Arial"/>
                <w:color w:val="000000"/>
                <w:sz w:val="16"/>
                <w:szCs w:val="16"/>
                <w:lang w:val="en-US"/>
              </w:rPr>
              <w:t>Auditoria Governamental operacional</w:t>
            </w:r>
          </w:p>
        </w:tc>
        <w:tc>
          <w:tcPr>
            <w:tcW w:w="2694" w:type="dxa"/>
            <w:shd w:val="clear" w:color="auto" w:fill="auto"/>
            <w:vAlign w:val="center"/>
            <w:hideMark/>
          </w:tcPr>
          <w:p w14:paraId="5EC7D5D0" w14:textId="77777777" w:rsidR="007B690E" w:rsidRPr="007B690E" w:rsidRDefault="007B690E" w:rsidP="007B690E">
            <w:pPr>
              <w:widowControl w:val="0"/>
              <w:spacing w:after="0" w:line="240" w:lineRule="auto"/>
              <w:jc w:val="both"/>
              <w:rPr>
                <w:rFonts w:ascii="Arial" w:eastAsia="Calibri" w:hAnsi="Arial" w:cs="Arial"/>
                <w:sz w:val="16"/>
                <w:szCs w:val="16"/>
              </w:rPr>
            </w:pPr>
            <w:r w:rsidRPr="007B690E">
              <w:rPr>
                <w:rFonts w:ascii="Arial" w:eastAsia="Calibri" w:hAnsi="Arial" w:cs="Arial"/>
                <w:sz w:val="16"/>
                <w:szCs w:val="16"/>
              </w:rPr>
              <w:t>Avaliar se os resultados obtidos em decorrência da renúncia de receitas, sob o aspecto sócio-econômico, atenderem às justificativas apresentadas para sua concessão, as metas resultados esperados consignados nas leis que autorizaram os incentivos, bem como, se atenderam os princípios aplicáveis à administração pública consagrados no artigo 37 da CRFB/88.</w:t>
            </w:r>
          </w:p>
        </w:tc>
        <w:tc>
          <w:tcPr>
            <w:tcW w:w="1275" w:type="dxa"/>
            <w:shd w:val="clear" w:color="auto" w:fill="auto"/>
            <w:vAlign w:val="center"/>
            <w:hideMark/>
          </w:tcPr>
          <w:p w14:paraId="33627D1B" w14:textId="77777777" w:rsidR="007B690E" w:rsidRPr="007B690E" w:rsidRDefault="007B690E" w:rsidP="007B690E">
            <w:pPr>
              <w:widowControl w:val="0"/>
              <w:spacing w:after="0" w:line="240" w:lineRule="auto"/>
              <w:jc w:val="center"/>
              <w:rPr>
                <w:rFonts w:ascii="Arial" w:eastAsia="Calibri" w:hAnsi="Arial" w:cs="Arial"/>
                <w:sz w:val="16"/>
                <w:szCs w:val="16"/>
              </w:rPr>
            </w:pPr>
            <w:r w:rsidRPr="007B690E">
              <w:rPr>
                <w:rFonts w:ascii="Arial" w:eastAsia="Calibri" w:hAnsi="Arial" w:cs="Arial"/>
                <w:sz w:val="16"/>
                <w:szCs w:val="16"/>
              </w:rPr>
              <w:t>Contas de Governo</w:t>
            </w:r>
          </w:p>
        </w:tc>
      </w:tr>
      <w:tr w:rsidR="007B690E" w:rsidRPr="007B690E" w14:paraId="2E170FF2" w14:textId="77777777" w:rsidTr="007B690E">
        <w:trPr>
          <w:trHeight w:val="824"/>
        </w:trPr>
        <w:tc>
          <w:tcPr>
            <w:tcW w:w="851" w:type="dxa"/>
            <w:vAlign w:val="center"/>
          </w:tcPr>
          <w:p w14:paraId="42E1539E" w14:textId="77777777" w:rsidR="007B690E" w:rsidRPr="007B690E" w:rsidRDefault="007B690E" w:rsidP="007B690E">
            <w:pPr>
              <w:widowControl w:val="0"/>
              <w:spacing w:after="0" w:line="240" w:lineRule="auto"/>
              <w:jc w:val="center"/>
              <w:rPr>
                <w:rFonts w:ascii="Arial" w:eastAsia="Calibri" w:hAnsi="Arial" w:cs="Arial"/>
                <w:sz w:val="16"/>
                <w:szCs w:val="16"/>
              </w:rPr>
            </w:pPr>
            <w:r w:rsidRPr="007B690E">
              <w:rPr>
                <w:rFonts w:ascii="Arial" w:eastAsia="Calibri" w:hAnsi="Arial" w:cs="Arial"/>
                <w:sz w:val="16"/>
                <w:szCs w:val="16"/>
              </w:rPr>
              <w:t>2.2.7</w:t>
            </w:r>
          </w:p>
        </w:tc>
        <w:tc>
          <w:tcPr>
            <w:tcW w:w="1417" w:type="dxa"/>
            <w:shd w:val="clear" w:color="auto" w:fill="auto"/>
            <w:vAlign w:val="center"/>
            <w:hideMark/>
          </w:tcPr>
          <w:p w14:paraId="5951A10D" w14:textId="77777777" w:rsidR="007B690E" w:rsidRPr="007B690E" w:rsidRDefault="007B690E" w:rsidP="007B690E">
            <w:pPr>
              <w:widowControl w:val="0"/>
              <w:spacing w:after="0" w:line="240" w:lineRule="auto"/>
              <w:jc w:val="both"/>
              <w:rPr>
                <w:rFonts w:ascii="Arial" w:eastAsia="Calibri" w:hAnsi="Arial" w:cs="Arial"/>
                <w:sz w:val="16"/>
                <w:szCs w:val="16"/>
              </w:rPr>
            </w:pPr>
            <w:r w:rsidRPr="007B690E">
              <w:rPr>
                <w:rFonts w:ascii="Arial" w:eastAsia="Calibri" w:hAnsi="Arial" w:cs="Arial"/>
                <w:sz w:val="16"/>
                <w:szCs w:val="16"/>
              </w:rPr>
              <w:t>Renúncia de receitas – avaliação dos projetos</w:t>
            </w:r>
          </w:p>
        </w:tc>
        <w:tc>
          <w:tcPr>
            <w:tcW w:w="1418" w:type="dxa"/>
            <w:shd w:val="clear" w:color="auto" w:fill="auto"/>
            <w:vAlign w:val="center"/>
            <w:hideMark/>
          </w:tcPr>
          <w:p w14:paraId="2B9C4298" w14:textId="77777777" w:rsidR="007B690E" w:rsidRPr="007B690E" w:rsidRDefault="007B690E" w:rsidP="007B690E">
            <w:pPr>
              <w:widowControl w:val="0"/>
              <w:spacing w:after="0" w:line="240" w:lineRule="auto"/>
              <w:jc w:val="both"/>
              <w:rPr>
                <w:rFonts w:ascii="Arial" w:eastAsia="Calibri" w:hAnsi="Arial" w:cs="Arial"/>
                <w:sz w:val="16"/>
                <w:szCs w:val="16"/>
              </w:rPr>
            </w:pPr>
            <w:r w:rsidRPr="007B690E">
              <w:rPr>
                <w:rFonts w:ascii="Arial" w:eastAsia="Calibri" w:hAnsi="Arial" w:cs="Arial"/>
                <w:sz w:val="16"/>
                <w:szCs w:val="16"/>
              </w:rPr>
              <w:t>LC 101/2000, art. 1º, § 1º. / Legislação específica.</w:t>
            </w:r>
          </w:p>
        </w:tc>
        <w:tc>
          <w:tcPr>
            <w:tcW w:w="1417" w:type="dxa"/>
            <w:vAlign w:val="center"/>
          </w:tcPr>
          <w:p w14:paraId="24B39703" w14:textId="77777777" w:rsidR="007B690E" w:rsidRPr="007B690E" w:rsidRDefault="007B690E" w:rsidP="007B690E">
            <w:pPr>
              <w:widowControl w:val="0"/>
              <w:spacing w:after="0" w:line="240" w:lineRule="auto"/>
              <w:jc w:val="center"/>
              <w:rPr>
                <w:rFonts w:ascii="Arial" w:eastAsia="Calibri" w:hAnsi="Arial" w:cs="Arial"/>
                <w:sz w:val="16"/>
                <w:szCs w:val="16"/>
                <w:lang w:val="en-US"/>
              </w:rPr>
            </w:pPr>
            <w:r w:rsidRPr="007B690E">
              <w:rPr>
                <w:rFonts w:ascii="Arial" w:eastAsia="Calibri" w:hAnsi="Arial" w:cs="Arial"/>
                <w:color w:val="000000"/>
                <w:sz w:val="16"/>
                <w:szCs w:val="16"/>
                <w:lang w:val="en-US"/>
              </w:rPr>
              <w:t>Auditoria Governamental de conformidade</w:t>
            </w:r>
          </w:p>
        </w:tc>
        <w:tc>
          <w:tcPr>
            <w:tcW w:w="2694" w:type="dxa"/>
            <w:shd w:val="clear" w:color="auto" w:fill="auto"/>
            <w:vAlign w:val="center"/>
            <w:hideMark/>
          </w:tcPr>
          <w:p w14:paraId="18B5271B" w14:textId="77777777" w:rsidR="007B690E" w:rsidRPr="007B690E" w:rsidRDefault="007B690E" w:rsidP="007B690E">
            <w:pPr>
              <w:widowControl w:val="0"/>
              <w:spacing w:after="0" w:line="240" w:lineRule="auto"/>
              <w:jc w:val="both"/>
              <w:rPr>
                <w:rFonts w:ascii="Arial" w:eastAsia="Calibri" w:hAnsi="Arial" w:cs="Arial"/>
                <w:sz w:val="16"/>
                <w:szCs w:val="16"/>
              </w:rPr>
            </w:pPr>
            <w:r w:rsidRPr="007B690E">
              <w:rPr>
                <w:rFonts w:ascii="Arial" w:eastAsia="Calibri" w:hAnsi="Arial" w:cs="Arial"/>
                <w:sz w:val="16"/>
                <w:szCs w:val="16"/>
              </w:rPr>
              <w:t>Avaliar se os projetos ou atividades beneficiadas com incentivos fiscais estão sendo objeto de acompanhamento, avaliação de resultados e benefícios esperados em face das justificativas apresentadas para sua concessão.</w:t>
            </w:r>
          </w:p>
        </w:tc>
        <w:tc>
          <w:tcPr>
            <w:tcW w:w="1275" w:type="dxa"/>
            <w:shd w:val="clear" w:color="auto" w:fill="auto"/>
            <w:vAlign w:val="center"/>
            <w:hideMark/>
          </w:tcPr>
          <w:p w14:paraId="78AA088D" w14:textId="77777777" w:rsidR="007B690E" w:rsidRPr="007B690E" w:rsidRDefault="007B690E" w:rsidP="007B690E">
            <w:pPr>
              <w:widowControl w:val="0"/>
              <w:spacing w:after="0" w:line="240" w:lineRule="auto"/>
              <w:jc w:val="center"/>
              <w:rPr>
                <w:rFonts w:ascii="Arial" w:eastAsia="Calibri" w:hAnsi="Arial" w:cs="Arial"/>
                <w:sz w:val="16"/>
                <w:szCs w:val="16"/>
              </w:rPr>
            </w:pPr>
            <w:r w:rsidRPr="007B690E">
              <w:rPr>
                <w:rFonts w:ascii="Arial" w:eastAsia="Calibri" w:hAnsi="Arial" w:cs="Arial"/>
                <w:sz w:val="16"/>
                <w:szCs w:val="16"/>
              </w:rPr>
              <w:t>Contas de Governo</w:t>
            </w:r>
          </w:p>
        </w:tc>
      </w:tr>
      <w:tr w:rsidR="007B690E" w:rsidRPr="007B690E" w14:paraId="7BD1EFDA" w14:textId="77777777" w:rsidTr="007B690E">
        <w:trPr>
          <w:trHeight w:val="2036"/>
        </w:trPr>
        <w:tc>
          <w:tcPr>
            <w:tcW w:w="851" w:type="dxa"/>
            <w:vAlign w:val="center"/>
          </w:tcPr>
          <w:p w14:paraId="45CB812B"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sz w:val="16"/>
                <w:szCs w:val="16"/>
              </w:rPr>
              <w:t>2.2.8</w:t>
            </w:r>
          </w:p>
        </w:tc>
        <w:tc>
          <w:tcPr>
            <w:tcW w:w="1417" w:type="dxa"/>
            <w:shd w:val="clear" w:color="auto" w:fill="auto"/>
            <w:vAlign w:val="center"/>
            <w:hideMark/>
          </w:tcPr>
          <w:p w14:paraId="2B2728B0"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Despesa pública – criação, expansão ou aperfeiçoamento de ação governamental que acarrete aumento da despesa – estimativa de impacto orçamentário-financeiro.</w:t>
            </w:r>
          </w:p>
        </w:tc>
        <w:tc>
          <w:tcPr>
            <w:tcW w:w="1418" w:type="dxa"/>
            <w:shd w:val="clear" w:color="auto" w:fill="auto"/>
            <w:vAlign w:val="center"/>
            <w:hideMark/>
          </w:tcPr>
          <w:p w14:paraId="1850A827" w14:textId="77777777" w:rsidR="007B690E" w:rsidRPr="007B690E" w:rsidRDefault="007B690E" w:rsidP="007B690E">
            <w:pPr>
              <w:widowControl w:val="0"/>
              <w:spacing w:after="0" w:line="240" w:lineRule="auto"/>
              <w:jc w:val="both"/>
              <w:rPr>
                <w:rFonts w:ascii="Arial" w:eastAsia="Calibri" w:hAnsi="Arial" w:cs="Arial"/>
                <w:color w:val="000000"/>
                <w:sz w:val="16"/>
                <w:szCs w:val="16"/>
                <w:lang w:val="en-US"/>
              </w:rPr>
            </w:pPr>
            <w:r w:rsidRPr="007B690E">
              <w:rPr>
                <w:rFonts w:ascii="Arial" w:eastAsia="Calibri" w:hAnsi="Arial" w:cs="Arial"/>
                <w:color w:val="000000"/>
                <w:sz w:val="16"/>
                <w:szCs w:val="16"/>
                <w:lang w:val="en-US"/>
              </w:rPr>
              <w:t>LC 101/2000, art. 16.</w:t>
            </w:r>
          </w:p>
        </w:tc>
        <w:tc>
          <w:tcPr>
            <w:tcW w:w="1417" w:type="dxa"/>
            <w:vAlign w:val="center"/>
          </w:tcPr>
          <w:p w14:paraId="694FAD31"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Auditoria Governamental de conformidade</w:t>
            </w:r>
          </w:p>
        </w:tc>
        <w:tc>
          <w:tcPr>
            <w:tcW w:w="2694" w:type="dxa"/>
            <w:shd w:val="clear" w:color="auto" w:fill="auto"/>
            <w:vAlign w:val="center"/>
            <w:hideMark/>
          </w:tcPr>
          <w:p w14:paraId="30B42684"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 xml:space="preserve">Havendo criação, expansão ou aperfeiçoamento de ação governamental com consequente aumento da despesa, avaliar se os atos foram acompanhados de estimativa do impacto orçamentário-financeiro no exercício e nos dois subsequentes e se foram acompanhados por declaração do ordenador de despesas de que o aumento acarretado teve adequação e compatibilidade orçamentária e financeira com a LOA, com o PPA e com a LDO. </w:t>
            </w:r>
          </w:p>
        </w:tc>
        <w:tc>
          <w:tcPr>
            <w:tcW w:w="1275" w:type="dxa"/>
            <w:shd w:val="clear" w:color="auto" w:fill="auto"/>
            <w:vAlign w:val="center"/>
            <w:hideMark/>
          </w:tcPr>
          <w:p w14:paraId="0A365725"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Governo</w:t>
            </w:r>
          </w:p>
          <w:p w14:paraId="61B9DAF7"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p>
          <w:p w14:paraId="32121C3C"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Constas de Poderes</w:t>
            </w:r>
          </w:p>
        </w:tc>
      </w:tr>
      <w:tr w:rsidR="007B690E" w:rsidRPr="007B690E" w14:paraId="0CCEC97F" w14:textId="77777777" w:rsidTr="007B690E">
        <w:trPr>
          <w:trHeight w:val="1759"/>
        </w:trPr>
        <w:tc>
          <w:tcPr>
            <w:tcW w:w="851" w:type="dxa"/>
            <w:vAlign w:val="center"/>
          </w:tcPr>
          <w:p w14:paraId="3FEB7807"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sz w:val="16"/>
                <w:szCs w:val="16"/>
              </w:rPr>
              <w:t>2.2.9</w:t>
            </w:r>
          </w:p>
        </w:tc>
        <w:tc>
          <w:tcPr>
            <w:tcW w:w="1417" w:type="dxa"/>
            <w:shd w:val="clear" w:color="auto" w:fill="auto"/>
            <w:vAlign w:val="center"/>
            <w:hideMark/>
          </w:tcPr>
          <w:p w14:paraId="47688BDE"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Despesa pública – criação, expansão ou aperfeiçoamento de ação governamental que acarrete aumento da despesa – afetação das metas fiscais.</w:t>
            </w:r>
          </w:p>
        </w:tc>
        <w:tc>
          <w:tcPr>
            <w:tcW w:w="1418" w:type="dxa"/>
            <w:shd w:val="clear" w:color="auto" w:fill="auto"/>
            <w:vAlign w:val="center"/>
            <w:hideMark/>
          </w:tcPr>
          <w:p w14:paraId="10CAAFFF" w14:textId="77777777" w:rsidR="007B690E" w:rsidRPr="007B690E" w:rsidRDefault="007B690E" w:rsidP="007B690E">
            <w:pPr>
              <w:widowControl w:val="0"/>
              <w:spacing w:after="0" w:line="240" w:lineRule="auto"/>
              <w:jc w:val="both"/>
              <w:rPr>
                <w:rFonts w:ascii="Arial" w:eastAsia="Calibri" w:hAnsi="Arial" w:cs="Arial"/>
                <w:color w:val="000000"/>
                <w:sz w:val="16"/>
                <w:szCs w:val="16"/>
                <w:lang w:val="en-US"/>
              </w:rPr>
            </w:pPr>
            <w:r w:rsidRPr="007B690E">
              <w:rPr>
                <w:rFonts w:ascii="Arial" w:eastAsia="Calibri" w:hAnsi="Arial" w:cs="Arial"/>
                <w:color w:val="000000"/>
                <w:sz w:val="16"/>
                <w:szCs w:val="16"/>
                <w:lang w:val="en-US"/>
              </w:rPr>
              <w:t>LC 101/2000, art. 17, § 3º.</w:t>
            </w:r>
          </w:p>
        </w:tc>
        <w:tc>
          <w:tcPr>
            <w:tcW w:w="1417" w:type="dxa"/>
            <w:vAlign w:val="center"/>
          </w:tcPr>
          <w:p w14:paraId="4ACE9623"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Auditoria Governamental de conformidade</w:t>
            </w:r>
          </w:p>
        </w:tc>
        <w:tc>
          <w:tcPr>
            <w:tcW w:w="2694" w:type="dxa"/>
            <w:shd w:val="clear" w:color="auto" w:fill="auto"/>
            <w:vAlign w:val="center"/>
            <w:hideMark/>
          </w:tcPr>
          <w:p w14:paraId="7262A802"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Havendo criação, expansão ou aperfeiçoamento de despesas de caráter continuado, avaliar se foram observadas as condições previstas no artigo 17, § 1º da LRF e se os efeitos financeiros decorrentes do ato praticado não afetarão as metas fiscais dos exercícios seguintes e serão compensados por aumento permanente de receitas ou pela redução permanente de despesas.</w:t>
            </w:r>
          </w:p>
        </w:tc>
        <w:tc>
          <w:tcPr>
            <w:tcW w:w="1275" w:type="dxa"/>
            <w:shd w:val="clear" w:color="auto" w:fill="auto"/>
            <w:vAlign w:val="center"/>
            <w:hideMark/>
          </w:tcPr>
          <w:p w14:paraId="4DD45920"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Governo</w:t>
            </w:r>
          </w:p>
          <w:p w14:paraId="666BF8F7"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 xml:space="preserve"> </w:t>
            </w:r>
          </w:p>
          <w:p w14:paraId="573AFB7D"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Constas de Poderes</w:t>
            </w:r>
          </w:p>
        </w:tc>
      </w:tr>
      <w:tr w:rsidR="007B690E" w:rsidRPr="007B690E" w14:paraId="5B88D15C" w14:textId="77777777" w:rsidTr="007B690E">
        <w:trPr>
          <w:trHeight w:val="428"/>
        </w:trPr>
        <w:tc>
          <w:tcPr>
            <w:tcW w:w="851" w:type="dxa"/>
            <w:vAlign w:val="center"/>
          </w:tcPr>
          <w:p w14:paraId="7414D3DE"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sz w:val="16"/>
                <w:szCs w:val="16"/>
              </w:rPr>
              <w:t>2.2.10</w:t>
            </w:r>
          </w:p>
        </w:tc>
        <w:tc>
          <w:tcPr>
            <w:tcW w:w="1417" w:type="dxa"/>
            <w:shd w:val="clear" w:color="auto" w:fill="auto"/>
            <w:vAlign w:val="center"/>
            <w:hideMark/>
          </w:tcPr>
          <w:p w14:paraId="5E10D778"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Execução de programas e projetos</w:t>
            </w:r>
          </w:p>
        </w:tc>
        <w:tc>
          <w:tcPr>
            <w:tcW w:w="1418" w:type="dxa"/>
            <w:shd w:val="clear" w:color="auto" w:fill="auto"/>
            <w:vAlign w:val="center"/>
            <w:hideMark/>
          </w:tcPr>
          <w:p w14:paraId="4726FF1E" w14:textId="77777777" w:rsidR="007B690E" w:rsidRPr="007B690E" w:rsidRDefault="007B690E" w:rsidP="007B690E">
            <w:pPr>
              <w:widowControl w:val="0"/>
              <w:spacing w:after="0" w:line="240" w:lineRule="auto"/>
              <w:jc w:val="both"/>
              <w:rPr>
                <w:rFonts w:ascii="Arial" w:eastAsia="Calibri" w:hAnsi="Arial" w:cs="Arial"/>
                <w:color w:val="000000"/>
                <w:sz w:val="16"/>
                <w:szCs w:val="16"/>
                <w:lang w:val="en-US"/>
              </w:rPr>
            </w:pPr>
            <w:r w:rsidRPr="007B690E">
              <w:rPr>
                <w:rFonts w:ascii="Arial" w:eastAsia="Calibri" w:hAnsi="Arial" w:cs="Arial"/>
                <w:color w:val="000000"/>
                <w:sz w:val="16"/>
                <w:szCs w:val="16"/>
                <w:lang w:val="en-US"/>
              </w:rPr>
              <w:t>CRFB/88, art. 167, I.</w:t>
            </w:r>
          </w:p>
        </w:tc>
        <w:tc>
          <w:tcPr>
            <w:tcW w:w="1417" w:type="dxa"/>
            <w:vAlign w:val="center"/>
          </w:tcPr>
          <w:p w14:paraId="3E160AA6"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Auditoria Governamental de conformidade</w:t>
            </w:r>
          </w:p>
        </w:tc>
        <w:tc>
          <w:tcPr>
            <w:tcW w:w="2694" w:type="dxa"/>
            <w:shd w:val="clear" w:color="auto" w:fill="auto"/>
            <w:vAlign w:val="center"/>
            <w:hideMark/>
          </w:tcPr>
          <w:p w14:paraId="6EA35998"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Avaliar se houve execução de programas ou projetos de governo não incluídos na lei orçamentária anual.</w:t>
            </w:r>
          </w:p>
        </w:tc>
        <w:tc>
          <w:tcPr>
            <w:tcW w:w="1275" w:type="dxa"/>
            <w:shd w:val="clear" w:color="auto" w:fill="auto"/>
            <w:vAlign w:val="center"/>
            <w:hideMark/>
          </w:tcPr>
          <w:p w14:paraId="0BB10D84" w14:textId="77777777" w:rsidR="007B690E" w:rsidRDefault="00464965"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Gestão (Todas as UG´s)</w:t>
            </w:r>
          </w:p>
          <w:p w14:paraId="226026A5" w14:textId="77777777" w:rsidR="00464965" w:rsidRPr="007B690E" w:rsidRDefault="00464965" w:rsidP="007B690E">
            <w:pPr>
              <w:widowControl w:val="0"/>
              <w:spacing w:after="0" w:line="240" w:lineRule="auto"/>
              <w:jc w:val="center"/>
              <w:rPr>
                <w:rFonts w:ascii="Arial" w:eastAsia="Calibri" w:hAnsi="Arial" w:cs="Arial"/>
                <w:color w:val="000000"/>
                <w:sz w:val="16"/>
                <w:szCs w:val="16"/>
              </w:rPr>
            </w:pPr>
          </w:p>
          <w:p w14:paraId="5DB7496D"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Constas de Poderes</w:t>
            </w:r>
          </w:p>
        </w:tc>
      </w:tr>
      <w:tr w:rsidR="007B690E" w:rsidRPr="007B690E" w14:paraId="213B3EE0" w14:textId="77777777" w:rsidTr="007B690E">
        <w:trPr>
          <w:trHeight w:val="827"/>
        </w:trPr>
        <w:tc>
          <w:tcPr>
            <w:tcW w:w="851" w:type="dxa"/>
            <w:vAlign w:val="center"/>
          </w:tcPr>
          <w:p w14:paraId="2AD48C71"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sz w:val="16"/>
                <w:szCs w:val="16"/>
              </w:rPr>
              <w:lastRenderedPageBreak/>
              <w:t>2.2.11</w:t>
            </w:r>
          </w:p>
        </w:tc>
        <w:tc>
          <w:tcPr>
            <w:tcW w:w="1417" w:type="dxa"/>
            <w:shd w:val="clear" w:color="auto" w:fill="auto"/>
            <w:vAlign w:val="center"/>
            <w:hideMark/>
          </w:tcPr>
          <w:p w14:paraId="371C929C"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Execução de despesas – créditos orçamentários</w:t>
            </w:r>
          </w:p>
        </w:tc>
        <w:tc>
          <w:tcPr>
            <w:tcW w:w="1418" w:type="dxa"/>
            <w:shd w:val="clear" w:color="auto" w:fill="auto"/>
            <w:vAlign w:val="center"/>
            <w:hideMark/>
          </w:tcPr>
          <w:p w14:paraId="5E31300E" w14:textId="77777777" w:rsidR="007B690E" w:rsidRPr="007B690E" w:rsidRDefault="007B690E" w:rsidP="007B690E">
            <w:pPr>
              <w:widowControl w:val="0"/>
              <w:spacing w:after="0" w:line="240" w:lineRule="auto"/>
              <w:jc w:val="both"/>
              <w:rPr>
                <w:rFonts w:ascii="Arial" w:eastAsia="Calibri" w:hAnsi="Arial" w:cs="Arial"/>
                <w:color w:val="000000"/>
                <w:sz w:val="16"/>
                <w:szCs w:val="16"/>
                <w:lang w:val="en-US"/>
              </w:rPr>
            </w:pPr>
            <w:r w:rsidRPr="007B690E">
              <w:rPr>
                <w:rFonts w:ascii="Arial" w:eastAsia="Calibri" w:hAnsi="Arial" w:cs="Arial"/>
                <w:color w:val="000000"/>
                <w:sz w:val="16"/>
                <w:szCs w:val="16"/>
                <w:lang w:val="en-US"/>
              </w:rPr>
              <w:t>CRFB/88, art. 167, II.</w:t>
            </w:r>
          </w:p>
        </w:tc>
        <w:tc>
          <w:tcPr>
            <w:tcW w:w="1417" w:type="dxa"/>
            <w:vAlign w:val="center"/>
          </w:tcPr>
          <w:p w14:paraId="200D6A92"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Auditoria Governamental de conformidade</w:t>
            </w:r>
          </w:p>
        </w:tc>
        <w:tc>
          <w:tcPr>
            <w:tcW w:w="2694" w:type="dxa"/>
            <w:shd w:val="clear" w:color="auto" w:fill="auto"/>
            <w:vAlign w:val="center"/>
            <w:hideMark/>
          </w:tcPr>
          <w:p w14:paraId="3DBE2294"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Avaliar se houve realização de despesas ou a assunção de obrigações diretas que excederam os créditos orçamentários ou adicionais.</w:t>
            </w:r>
          </w:p>
        </w:tc>
        <w:tc>
          <w:tcPr>
            <w:tcW w:w="1275" w:type="dxa"/>
            <w:shd w:val="clear" w:color="auto" w:fill="auto"/>
            <w:vAlign w:val="center"/>
            <w:hideMark/>
          </w:tcPr>
          <w:p w14:paraId="424162CE"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 xml:space="preserve">Contas de Governo </w:t>
            </w:r>
          </w:p>
          <w:p w14:paraId="617846E9"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p>
          <w:p w14:paraId="5E453CD2"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Constas de Poderes</w:t>
            </w:r>
          </w:p>
        </w:tc>
      </w:tr>
      <w:tr w:rsidR="007B690E" w:rsidRPr="007B690E" w14:paraId="5DE60373" w14:textId="77777777" w:rsidTr="007B690E">
        <w:trPr>
          <w:trHeight w:val="802"/>
        </w:trPr>
        <w:tc>
          <w:tcPr>
            <w:tcW w:w="851" w:type="dxa"/>
            <w:vAlign w:val="center"/>
          </w:tcPr>
          <w:p w14:paraId="78E7D124"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sz w:val="16"/>
                <w:szCs w:val="16"/>
              </w:rPr>
              <w:t>2.2.12</w:t>
            </w:r>
          </w:p>
        </w:tc>
        <w:tc>
          <w:tcPr>
            <w:tcW w:w="1417" w:type="dxa"/>
            <w:shd w:val="clear" w:color="auto" w:fill="auto"/>
            <w:vAlign w:val="center"/>
            <w:hideMark/>
          </w:tcPr>
          <w:p w14:paraId="704F5400" w14:textId="77777777" w:rsidR="007B690E" w:rsidRPr="007B690E" w:rsidRDefault="007B690E" w:rsidP="007B690E">
            <w:pPr>
              <w:widowControl w:val="0"/>
              <w:spacing w:after="0" w:line="240" w:lineRule="auto"/>
              <w:jc w:val="both"/>
              <w:rPr>
                <w:rFonts w:ascii="Arial" w:eastAsia="Calibri" w:hAnsi="Arial" w:cs="Arial"/>
                <w:color w:val="000000"/>
                <w:sz w:val="16"/>
                <w:szCs w:val="16"/>
                <w:lang w:val="en-US"/>
              </w:rPr>
            </w:pPr>
            <w:r w:rsidRPr="007B690E">
              <w:rPr>
                <w:rFonts w:ascii="Arial" w:eastAsia="Calibri" w:hAnsi="Arial" w:cs="Arial"/>
                <w:color w:val="000000"/>
                <w:sz w:val="16"/>
                <w:szCs w:val="16"/>
                <w:lang w:val="en-US"/>
              </w:rPr>
              <w:t>Execução de despesas – vinculação</w:t>
            </w:r>
          </w:p>
        </w:tc>
        <w:tc>
          <w:tcPr>
            <w:tcW w:w="1418" w:type="dxa"/>
            <w:shd w:val="clear" w:color="auto" w:fill="auto"/>
            <w:vAlign w:val="center"/>
            <w:hideMark/>
          </w:tcPr>
          <w:p w14:paraId="2E568301" w14:textId="77777777" w:rsidR="007B690E" w:rsidRPr="007B690E" w:rsidRDefault="007B690E" w:rsidP="007B690E">
            <w:pPr>
              <w:widowControl w:val="0"/>
              <w:spacing w:after="0" w:line="240" w:lineRule="auto"/>
              <w:jc w:val="both"/>
              <w:rPr>
                <w:rFonts w:ascii="Arial" w:eastAsia="Calibri" w:hAnsi="Arial" w:cs="Arial"/>
                <w:color w:val="000000"/>
                <w:sz w:val="16"/>
                <w:szCs w:val="16"/>
                <w:lang w:val="en-US"/>
              </w:rPr>
            </w:pPr>
            <w:r w:rsidRPr="007B690E">
              <w:rPr>
                <w:rFonts w:ascii="Arial" w:eastAsia="Calibri" w:hAnsi="Arial" w:cs="Arial"/>
                <w:color w:val="000000"/>
                <w:sz w:val="16"/>
                <w:szCs w:val="16"/>
                <w:lang w:val="en-US"/>
              </w:rPr>
              <w:t>CRFB/88, art. 167, inciso IV.</w:t>
            </w:r>
          </w:p>
        </w:tc>
        <w:tc>
          <w:tcPr>
            <w:tcW w:w="1417" w:type="dxa"/>
            <w:vAlign w:val="center"/>
          </w:tcPr>
          <w:p w14:paraId="47EC92B5"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Auditoria Governamental de conformidade</w:t>
            </w:r>
          </w:p>
        </w:tc>
        <w:tc>
          <w:tcPr>
            <w:tcW w:w="2694" w:type="dxa"/>
            <w:shd w:val="clear" w:color="auto" w:fill="auto"/>
            <w:vAlign w:val="center"/>
            <w:hideMark/>
          </w:tcPr>
          <w:p w14:paraId="59C4FF52"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Avaliar se houve vinculação de receita de impostos a órgão, fundo ou despesa em desacordo com o inciso IV, do artigo 167, da CRFB/88.</w:t>
            </w:r>
          </w:p>
        </w:tc>
        <w:tc>
          <w:tcPr>
            <w:tcW w:w="1275" w:type="dxa"/>
            <w:shd w:val="clear" w:color="auto" w:fill="auto"/>
            <w:vAlign w:val="center"/>
            <w:hideMark/>
          </w:tcPr>
          <w:p w14:paraId="7583D742"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Governo</w:t>
            </w:r>
          </w:p>
        </w:tc>
      </w:tr>
      <w:tr w:rsidR="007B690E" w:rsidRPr="007B690E" w14:paraId="06E69905" w14:textId="77777777" w:rsidTr="007B690E">
        <w:trPr>
          <w:trHeight w:val="1102"/>
        </w:trPr>
        <w:tc>
          <w:tcPr>
            <w:tcW w:w="851" w:type="dxa"/>
            <w:vAlign w:val="center"/>
          </w:tcPr>
          <w:p w14:paraId="5C1F3203"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sz w:val="16"/>
                <w:szCs w:val="16"/>
              </w:rPr>
              <w:t>2.2.13</w:t>
            </w:r>
          </w:p>
        </w:tc>
        <w:tc>
          <w:tcPr>
            <w:tcW w:w="1417" w:type="dxa"/>
            <w:shd w:val="clear" w:color="auto" w:fill="auto"/>
            <w:vAlign w:val="center"/>
            <w:hideMark/>
          </w:tcPr>
          <w:p w14:paraId="33CE71C3"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Créditos adicionais – autorização legislativa para abertura</w:t>
            </w:r>
          </w:p>
        </w:tc>
        <w:tc>
          <w:tcPr>
            <w:tcW w:w="1418" w:type="dxa"/>
            <w:shd w:val="clear" w:color="auto" w:fill="auto"/>
            <w:vAlign w:val="center"/>
            <w:hideMark/>
          </w:tcPr>
          <w:p w14:paraId="11EF030F"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CRFB/88, art. 167, inciso V, c/c art. 43 da Lei nº 4.320/64.</w:t>
            </w:r>
          </w:p>
        </w:tc>
        <w:tc>
          <w:tcPr>
            <w:tcW w:w="1417" w:type="dxa"/>
            <w:vAlign w:val="center"/>
          </w:tcPr>
          <w:p w14:paraId="1955194A"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Auditoria Governamental de conformidade</w:t>
            </w:r>
          </w:p>
        </w:tc>
        <w:tc>
          <w:tcPr>
            <w:tcW w:w="2694" w:type="dxa"/>
            <w:shd w:val="clear" w:color="auto" w:fill="auto"/>
            <w:vAlign w:val="center"/>
            <w:hideMark/>
          </w:tcPr>
          <w:p w14:paraId="70B7E041"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Avaliar se houve abertura de crédito adicional suplementar ou especial sem prévia autorização legislativa e sem indicação dos recursos correspondentes.</w:t>
            </w:r>
          </w:p>
        </w:tc>
        <w:tc>
          <w:tcPr>
            <w:tcW w:w="1275" w:type="dxa"/>
            <w:shd w:val="clear" w:color="auto" w:fill="auto"/>
            <w:vAlign w:val="center"/>
            <w:hideMark/>
          </w:tcPr>
          <w:p w14:paraId="59231C8A"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Governo</w:t>
            </w:r>
          </w:p>
          <w:p w14:paraId="330ACEF2"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p>
          <w:p w14:paraId="40B1FA92"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Poderes</w:t>
            </w:r>
          </w:p>
        </w:tc>
      </w:tr>
      <w:tr w:rsidR="007B690E" w:rsidRPr="007B690E" w14:paraId="09BE9869" w14:textId="77777777" w:rsidTr="007B690E">
        <w:trPr>
          <w:trHeight w:val="475"/>
        </w:trPr>
        <w:tc>
          <w:tcPr>
            <w:tcW w:w="851" w:type="dxa"/>
            <w:vAlign w:val="center"/>
          </w:tcPr>
          <w:p w14:paraId="57891075"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sz w:val="16"/>
                <w:szCs w:val="16"/>
              </w:rPr>
              <w:t>2.2.14</w:t>
            </w:r>
          </w:p>
        </w:tc>
        <w:tc>
          <w:tcPr>
            <w:tcW w:w="1417" w:type="dxa"/>
            <w:shd w:val="clear" w:color="auto" w:fill="auto"/>
            <w:vAlign w:val="center"/>
            <w:hideMark/>
          </w:tcPr>
          <w:p w14:paraId="404948D2" w14:textId="77777777" w:rsidR="007B690E" w:rsidRPr="007B690E" w:rsidRDefault="007B690E" w:rsidP="007B690E">
            <w:pPr>
              <w:widowControl w:val="0"/>
              <w:spacing w:after="0" w:line="240" w:lineRule="auto"/>
              <w:jc w:val="both"/>
              <w:rPr>
                <w:rFonts w:ascii="Arial" w:eastAsia="Calibri" w:hAnsi="Arial" w:cs="Arial"/>
                <w:color w:val="000000"/>
                <w:sz w:val="16"/>
                <w:szCs w:val="16"/>
                <w:lang w:val="en-US"/>
              </w:rPr>
            </w:pPr>
            <w:r w:rsidRPr="007B690E">
              <w:rPr>
                <w:rFonts w:ascii="Arial" w:eastAsia="Calibri" w:hAnsi="Arial" w:cs="Arial"/>
                <w:color w:val="000000"/>
                <w:sz w:val="16"/>
                <w:szCs w:val="16"/>
                <w:lang w:val="en-US"/>
              </w:rPr>
              <w:t>Créditos adicionais – decreto executivo</w:t>
            </w:r>
          </w:p>
        </w:tc>
        <w:tc>
          <w:tcPr>
            <w:tcW w:w="1418" w:type="dxa"/>
            <w:shd w:val="clear" w:color="auto" w:fill="auto"/>
            <w:vAlign w:val="center"/>
            <w:hideMark/>
          </w:tcPr>
          <w:p w14:paraId="567B84D7" w14:textId="77777777" w:rsidR="007B690E" w:rsidRPr="007B690E" w:rsidRDefault="007B690E" w:rsidP="007B690E">
            <w:pPr>
              <w:widowControl w:val="0"/>
              <w:spacing w:after="0" w:line="240" w:lineRule="auto"/>
              <w:jc w:val="both"/>
              <w:rPr>
                <w:rFonts w:ascii="Arial" w:eastAsia="Calibri" w:hAnsi="Arial" w:cs="Arial"/>
                <w:color w:val="000000"/>
                <w:sz w:val="16"/>
                <w:szCs w:val="16"/>
                <w:lang w:val="en-US"/>
              </w:rPr>
            </w:pPr>
            <w:r w:rsidRPr="007B690E">
              <w:rPr>
                <w:rFonts w:ascii="Arial" w:eastAsia="Calibri" w:hAnsi="Arial" w:cs="Arial"/>
                <w:color w:val="000000"/>
                <w:sz w:val="16"/>
                <w:szCs w:val="16"/>
                <w:lang w:val="en-US"/>
              </w:rPr>
              <w:t>Lei nº 4.320/1964, art. 42.</w:t>
            </w:r>
          </w:p>
        </w:tc>
        <w:tc>
          <w:tcPr>
            <w:tcW w:w="1417" w:type="dxa"/>
            <w:vAlign w:val="center"/>
          </w:tcPr>
          <w:p w14:paraId="5BA4232A"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Auditoria Governamental de conformidade</w:t>
            </w:r>
          </w:p>
        </w:tc>
        <w:tc>
          <w:tcPr>
            <w:tcW w:w="2694" w:type="dxa"/>
            <w:shd w:val="clear" w:color="auto" w:fill="auto"/>
            <w:vAlign w:val="center"/>
            <w:hideMark/>
          </w:tcPr>
          <w:p w14:paraId="42E5F426"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Avaliar se os créditos adicionais (suplementares ou especiais) autorizados por lei foram abertos mediante edição de decreto executivo.</w:t>
            </w:r>
          </w:p>
        </w:tc>
        <w:tc>
          <w:tcPr>
            <w:tcW w:w="1275" w:type="dxa"/>
            <w:shd w:val="clear" w:color="auto" w:fill="auto"/>
            <w:vAlign w:val="center"/>
            <w:hideMark/>
          </w:tcPr>
          <w:p w14:paraId="0AD4333E"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Governo</w:t>
            </w:r>
          </w:p>
        </w:tc>
      </w:tr>
      <w:tr w:rsidR="007B690E" w:rsidRPr="007B690E" w14:paraId="65C459C4" w14:textId="77777777" w:rsidTr="007B690E">
        <w:trPr>
          <w:trHeight w:val="868"/>
        </w:trPr>
        <w:tc>
          <w:tcPr>
            <w:tcW w:w="851" w:type="dxa"/>
            <w:vAlign w:val="center"/>
          </w:tcPr>
          <w:p w14:paraId="6FE9A12D"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sz w:val="16"/>
                <w:szCs w:val="16"/>
              </w:rPr>
              <w:t>2.2.15</w:t>
            </w:r>
          </w:p>
        </w:tc>
        <w:tc>
          <w:tcPr>
            <w:tcW w:w="1417" w:type="dxa"/>
            <w:shd w:val="clear" w:color="auto" w:fill="auto"/>
            <w:vAlign w:val="center"/>
            <w:hideMark/>
          </w:tcPr>
          <w:p w14:paraId="70D91B8E"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Créditos orçamentários – transposição, remanejamento e transferências</w:t>
            </w:r>
          </w:p>
        </w:tc>
        <w:tc>
          <w:tcPr>
            <w:tcW w:w="1418" w:type="dxa"/>
            <w:shd w:val="clear" w:color="auto" w:fill="auto"/>
            <w:vAlign w:val="center"/>
            <w:hideMark/>
          </w:tcPr>
          <w:p w14:paraId="5402F91E" w14:textId="77777777" w:rsidR="007B690E" w:rsidRPr="007B690E" w:rsidRDefault="007B690E" w:rsidP="007B690E">
            <w:pPr>
              <w:widowControl w:val="0"/>
              <w:spacing w:after="0" w:line="240" w:lineRule="auto"/>
              <w:jc w:val="both"/>
              <w:rPr>
                <w:rFonts w:ascii="Arial" w:eastAsia="Calibri" w:hAnsi="Arial" w:cs="Arial"/>
                <w:color w:val="000000"/>
                <w:sz w:val="16"/>
                <w:szCs w:val="16"/>
                <w:lang w:val="en-US"/>
              </w:rPr>
            </w:pPr>
            <w:r w:rsidRPr="007B690E">
              <w:rPr>
                <w:rFonts w:ascii="Arial" w:eastAsia="Calibri" w:hAnsi="Arial" w:cs="Arial"/>
                <w:color w:val="000000"/>
                <w:sz w:val="16"/>
                <w:szCs w:val="16"/>
                <w:lang w:val="en-US"/>
              </w:rPr>
              <w:t>CRFB/88, art. 167, inciso VI.</w:t>
            </w:r>
          </w:p>
        </w:tc>
        <w:tc>
          <w:tcPr>
            <w:tcW w:w="1417" w:type="dxa"/>
            <w:vAlign w:val="center"/>
          </w:tcPr>
          <w:p w14:paraId="111BC859"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Auditoria Governamental de conformidade</w:t>
            </w:r>
          </w:p>
        </w:tc>
        <w:tc>
          <w:tcPr>
            <w:tcW w:w="2694" w:type="dxa"/>
            <w:shd w:val="clear" w:color="auto" w:fill="auto"/>
            <w:vAlign w:val="center"/>
            <w:hideMark/>
          </w:tcPr>
          <w:p w14:paraId="71E1A6A4"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Avaliar se houve a transposição, remanejamento ou a transferência de recursos de uma categoria de programação para outra ou de um órgão para outro, sem prévia autorização legislativa.</w:t>
            </w:r>
          </w:p>
        </w:tc>
        <w:tc>
          <w:tcPr>
            <w:tcW w:w="1275" w:type="dxa"/>
            <w:shd w:val="clear" w:color="auto" w:fill="auto"/>
            <w:vAlign w:val="center"/>
            <w:hideMark/>
          </w:tcPr>
          <w:p w14:paraId="78C2D723"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Governo</w:t>
            </w:r>
          </w:p>
        </w:tc>
      </w:tr>
      <w:tr w:rsidR="007B690E" w:rsidRPr="007B690E" w14:paraId="484078FE" w14:textId="77777777" w:rsidTr="007B690E">
        <w:trPr>
          <w:trHeight w:val="1310"/>
        </w:trPr>
        <w:tc>
          <w:tcPr>
            <w:tcW w:w="851" w:type="dxa"/>
            <w:vAlign w:val="center"/>
          </w:tcPr>
          <w:p w14:paraId="38B49E61"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sz w:val="16"/>
                <w:szCs w:val="16"/>
              </w:rPr>
              <w:t>2.2.16</w:t>
            </w:r>
          </w:p>
        </w:tc>
        <w:tc>
          <w:tcPr>
            <w:tcW w:w="1417" w:type="dxa"/>
            <w:shd w:val="clear" w:color="auto" w:fill="auto"/>
            <w:vAlign w:val="center"/>
            <w:hideMark/>
          </w:tcPr>
          <w:p w14:paraId="042CB17B"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Autorização orçamentária para cobertura de déficit</w:t>
            </w:r>
          </w:p>
        </w:tc>
        <w:tc>
          <w:tcPr>
            <w:tcW w:w="1418" w:type="dxa"/>
            <w:shd w:val="clear" w:color="auto" w:fill="auto"/>
            <w:vAlign w:val="center"/>
            <w:hideMark/>
          </w:tcPr>
          <w:p w14:paraId="41A15EAD" w14:textId="77777777" w:rsidR="007B690E" w:rsidRPr="007B690E" w:rsidRDefault="007B690E" w:rsidP="007B690E">
            <w:pPr>
              <w:widowControl w:val="0"/>
              <w:spacing w:after="0" w:line="240" w:lineRule="auto"/>
              <w:jc w:val="both"/>
              <w:rPr>
                <w:rFonts w:ascii="Arial" w:eastAsia="Calibri" w:hAnsi="Arial" w:cs="Arial"/>
                <w:color w:val="000000"/>
                <w:sz w:val="16"/>
                <w:szCs w:val="16"/>
                <w:lang w:val="en-US"/>
              </w:rPr>
            </w:pPr>
            <w:r w:rsidRPr="007B690E">
              <w:rPr>
                <w:rFonts w:ascii="Arial" w:eastAsia="Calibri" w:hAnsi="Arial" w:cs="Arial"/>
                <w:color w:val="000000"/>
                <w:sz w:val="16"/>
                <w:szCs w:val="16"/>
                <w:lang w:val="en-US"/>
              </w:rPr>
              <w:t>CRFB/88, art. 167, inciso VIII.</w:t>
            </w:r>
          </w:p>
        </w:tc>
        <w:tc>
          <w:tcPr>
            <w:tcW w:w="1417" w:type="dxa"/>
            <w:vAlign w:val="center"/>
          </w:tcPr>
          <w:p w14:paraId="66B9E604"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Auditoria Governamental de conformidade</w:t>
            </w:r>
          </w:p>
        </w:tc>
        <w:tc>
          <w:tcPr>
            <w:tcW w:w="2694" w:type="dxa"/>
            <w:shd w:val="clear" w:color="auto" w:fill="auto"/>
            <w:vAlign w:val="center"/>
            <w:hideMark/>
          </w:tcPr>
          <w:p w14:paraId="04BA1920"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Avaliar se houve utilização, sem autorização legislativa específica, de recursos dos orçamentos fiscal e da seguridade social para suprir necessidade ou cobrir déficit de empresas, fundações e fundos, inclusive dos mencionados no art. 165, § 5º da CRFB/88.</w:t>
            </w:r>
          </w:p>
        </w:tc>
        <w:tc>
          <w:tcPr>
            <w:tcW w:w="1275" w:type="dxa"/>
            <w:shd w:val="clear" w:color="auto" w:fill="auto"/>
            <w:vAlign w:val="center"/>
            <w:hideMark/>
          </w:tcPr>
          <w:p w14:paraId="726282CA"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Governo</w:t>
            </w:r>
          </w:p>
        </w:tc>
      </w:tr>
      <w:tr w:rsidR="007B690E" w:rsidRPr="007B690E" w14:paraId="3A8CEC5F" w14:textId="77777777" w:rsidTr="007B690E">
        <w:trPr>
          <w:trHeight w:val="139"/>
        </w:trPr>
        <w:tc>
          <w:tcPr>
            <w:tcW w:w="851" w:type="dxa"/>
            <w:vAlign w:val="center"/>
          </w:tcPr>
          <w:p w14:paraId="6C6E7A9E"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sz w:val="16"/>
                <w:szCs w:val="16"/>
              </w:rPr>
              <w:t>2.2.17</w:t>
            </w:r>
          </w:p>
        </w:tc>
        <w:tc>
          <w:tcPr>
            <w:tcW w:w="1417" w:type="dxa"/>
            <w:shd w:val="clear" w:color="auto" w:fill="auto"/>
            <w:vAlign w:val="center"/>
            <w:hideMark/>
          </w:tcPr>
          <w:p w14:paraId="6562F123"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Autorização legislativa para instituição de fundos de qualquer natureza</w:t>
            </w:r>
          </w:p>
        </w:tc>
        <w:tc>
          <w:tcPr>
            <w:tcW w:w="1418" w:type="dxa"/>
            <w:shd w:val="clear" w:color="auto" w:fill="auto"/>
            <w:vAlign w:val="center"/>
            <w:hideMark/>
          </w:tcPr>
          <w:p w14:paraId="1FC9C1BB" w14:textId="77777777" w:rsidR="007B690E" w:rsidRPr="007B690E" w:rsidRDefault="007B690E" w:rsidP="007B690E">
            <w:pPr>
              <w:widowControl w:val="0"/>
              <w:spacing w:after="0" w:line="240" w:lineRule="auto"/>
              <w:jc w:val="both"/>
              <w:rPr>
                <w:rFonts w:ascii="Arial" w:eastAsia="Calibri" w:hAnsi="Arial" w:cs="Arial"/>
                <w:color w:val="000000"/>
                <w:sz w:val="16"/>
                <w:szCs w:val="16"/>
                <w:lang w:val="en-US"/>
              </w:rPr>
            </w:pPr>
            <w:r w:rsidRPr="007B690E">
              <w:rPr>
                <w:rFonts w:ascii="Arial" w:eastAsia="Calibri" w:hAnsi="Arial" w:cs="Arial"/>
                <w:color w:val="000000"/>
                <w:sz w:val="16"/>
                <w:szCs w:val="16"/>
                <w:lang w:val="en-US"/>
              </w:rPr>
              <w:t>CRFB/88, art. 167, inciso IX.</w:t>
            </w:r>
          </w:p>
        </w:tc>
        <w:tc>
          <w:tcPr>
            <w:tcW w:w="1417" w:type="dxa"/>
            <w:vAlign w:val="center"/>
          </w:tcPr>
          <w:p w14:paraId="1A19D9A2"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Conformidade (Verificação documental)</w:t>
            </w:r>
          </w:p>
        </w:tc>
        <w:tc>
          <w:tcPr>
            <w:tcW w:w="2694" w:type="dxa"/>
            <w:shd w:val="clear" w:color="auto" w:fill="auto"/>
            <w:vAlign w:val="center"/>
            <w:hideMark/>
          </w:tcPr>
          <w:p w14:paraId="6CBEE641"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Avaliar se houve instituição de fundos de qualquer natureza, sem prévia autorização legislativa.</w:t>
            </w:r>
          </w:p>
        </w:tc>
        <w:tc>
          <w:tcPr>
            <w:tcW w:w="1275" w:type="dxa"/>
            <w:shd w:val="clear" w:color="auto" w:fill="auto"/>
            <w:vAlign w:val="center"/>
            <w:hideMark/>
          </w:tcPr>
          <w:p w14:paraId="7294339C"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Governo</w:t>
            </w:r>
          </w:p>
        </w:tc>
      </w:tr>
      <w:tr w:rsidR="007B690E" w:rsidRPr="007B690E" w14:paraId="05CE9A53" w14:textId="77777777" w:rsidTr="007B690E">
        <w:trPr>
          <w:trHeight w:val="675"/>
        </w:trPr>
        <w:tc>
          <w:tcPr>
            <w:tcW w:w="851" w:type="dxa"/>
            <w:vAlign w:val="center"/>
          </w:tcPr>
          <w:p w14:paraId="4B54C65D"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sz w:val="16"/>
                <w:szCs w:val="16"/>
              </w:rPr>
              <w:t>2.2.18</w:t>
            </w:r>
          </w:p>
        </w:tc>
        <w:tc>
          <w:tcPr>
            <w:tcW w:w="1417" w:type="dxa"/>
            <w:shd w:val="clear" w:color="auto" w:fill="auto"/>
            <w:vAlign w:val="center"/>
            <w:hideMark/>
          </w:tcPr>
          <w:p w14:paraId="0E4AAD10" w14:textId="77777777" w:rsidR="007B690E" w:rsidRPr="007B690E" w:rsidRDefault="007B690E" w:rsidP="007B690E">
            <w:pPr>
              <w:widowControl w:val="0"/>
              <w:spacing w:after="0" w:line="240" w:lineRule="auto"/>
              <w:jc w:val="both"/>
              <w:rPr>
                <w:rFonts w:ascii="Arial" w:eastAsia="Calibri" w:hAnsi="Arial" w:cs="Arial"/>
                <w:color w:val="000000"/>
                <w:sz w:val="16"/>
                <w:szCs w:val="16"/>
                <w:lang w:val="en-US"/>
              </w:rPr>
            </w:pPr>
            <w:r w:rsidRPr="007B690E">
              <w:rPr>
                <w:rFonts w:ascii="Arial" w:eastAsia="Calibri" w:hAnsi="Arial" w:cs="Arial"/>
                <w:color w:val="000000"/>
                <w:sz w:val="16"/>
                <w:szCs w:val="16"/>
                <w:lang w:val="en-US"/>
              </w:rPr>
              <w:t>Realização de investimentos plurianuais</w:t>
            </w:r>
          </w:p>
        </w:tc>
        <w:tc>
          <w:tcPr>
            <w:tcW w:w="1418" w:type="dxa"/>
            <w:shd w:val="clear" w:color="auto" w:fill="auto"/>
            <w:vAlign w:val="center"/>
            <w:hideMark/>
          </w:tcPr>
          <w:p w14:paraId="61DDF908" w14:textId="77777777" w:rsidR="007B690E" w:rsidRPr="007B690E" w:rsidRDefault="007B690E" w:rsidP="007B690E">
            <w:pPr>
              <w:widowControl w:val="0"/>
              <w:spacing w:after="0" w:line="240" w:lineRule="auto"/>
              <w:jc w:val="both"/>
              <w:rPr>
                <w:rFonts w:ascii="Arial" w:eastAsia="Calibri" w:hAnsi="Arial" w:cs="Arial"/>
                <w:color w:val="000000"/>
                <w:sz w:val="16"/>
                <w:szCs w:val="16"/>
                <w:lang w:val="en-US"/>
              </w:rPr>
            </w:pPr>
            <w:r w:rsidRPr="007B690E">
              <w:rPr>
                <w:rFonts w:ascii="Arial" w:eastAsia="Calibri" w:hAnsi="Arial" w:cs="Arial"/>
                <w:color w:val="000000"/>
                <w:sz w:val="16"/>
                <w:szCs w:val="16"/>
                <w:lang w:val="en-US"/>
              </w:rPr>
              <w:t>CRFB/88, art. 167, § 1º.</w:t>
            </w:r>
          </w:p>
        </w:tc>
        <w:tc>
          <w:tcPr>
            <w:tcW w:w="1417" w:type="dxa"/>
            <w:vAlign w:val="center"/>
          </w:tcPr>
          <w:p w14:paraId="1BA786EB"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Auditoria Governamental de conformidade</w:t>
            </w:r>
          </w:p>
        </w:tc>
        <w:tc>
          <w:tcPr>
            <w:tcW w:w="2694" w:type="dxa"/>
            <w:shd w:val="clear" w:color="auto" w:fill="auto"/>
            <w:vAlign w:val="center"/>
            <w:hideMark/>
          </w:tcPr>
          <w:p w14:paraId="04EFA524"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Avaliar se foram iniciados investimentos cuja execução ultrapasse um exercício financeiro sem prévia inclusão no plano plurianual, ou sem lei que autorize a inclusão.</w:t>
            </w:r>
          </w:p>
        </w:tc>
        <w:tc>
          <w:tcPr>
            <w:tcW w:w="1275" w:type="dxa"/>
            <w:shd w:val="clear" w:color="auto" w:fill="auto"/>
            <w:vAlign w:val="center"/>
            <w:hideMark/>
          </w:tcPr>
          <w:p w14:paraId="789EF94B" w14:textId="77777777" w:rsidR="007B690E" w:rsidRPr="007B690E" w:rsidRDefault="00464965"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Gestão (Todas as UG´s)</w:t>
            </w:r>
          </w:p>
        </w:tc>
      </w:tr>
      <w:tr w:rsidR="007B690E" w:rsidRPr="007B690E" w14:paraId="52D38CC1" w14:textId="77777777" w:rsidTr="007B690E">
        <w:trPr>
          <w:trHeight w:val="136"/>
        </w:trPr>
        <w:tc>
          <w:tcPr>
            <w:tcW w:w="851" w:type="dxa"/>
            <w:vAlign w:val="center"/>
          </w:tcPr>
          <w:p w14:paraId="6203212A"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sz w:val="16"/>
                <w:szCs w:val="16"/>
              </w:rPr>
              <w:t>2.2.19</w:t>
            </w:r>
          </w:p>
        </w:tc>
        <w:tc>
          <w:tcPr>
            <w:tcW w:w="1417" w:type="dxa"/>
            <w:shd w:val="clear" w:color="auto" w:fill="auto"/>
            <w:vAlign w:val="center"/>
            <w:hideMark/>
          </w:tcPr>
          <w:p w14:paraId="2D1C3F3F" w14:textId="77777777" w:rsidR="007B690E" w:rsidRPr="007B690E" w:rsidRDefault="007B690E" w:rsidP="007B690E">
            <w:pPr>
              <w:widowControl w:val="0"/>
              <w:spacing w:after="0" w:line="240" w:lineRule="auto"/>
              <w:jc w:val="both"/>
              <w:rPr>
                <w:rFonts w:ascii="Arial" w:eastAsia="Calibri" w:hAnsi="Arial" w:cs="Arial"/>
                <w:color w:val="000000"/>
                <w:sz w:val="16"/>
                <w:szCs w:val="16"/>
                <w:lang w:val="en-US"/>
              </w:rPr>
            </w:pPr>
            <w:r w:rsidRPr="007B690E">
              <w:rPr>
                <w:rFonts w:ascii="Arial" w:eastAsia="Calibri" w:hAnsi="Arial" w:cs="Arial"/>
                <w:color w:val="000000"/>
                <w:sz w:val="16"/>
                <w:szCs w:val="16"/>
                <w:lang w:val="en-US"/>
              </w:rPr>
              <w:t>Créditos extraordinários – abertura</w:t>
            </w:r>
          </w:p>
        </w:tc>
        <w:tc>
          <w:tcPr>
            <w:tcW w:w="1418" w:type="dxa"/>
            <w:shd w:val="clear" w:color="auto" w:fill="auto"/>
            <w:vAlign w:val="center"/>
            <w:hideMark/>
          </w:tcPr>
          <w:p w14:paraId="2FB31873" w14:textId="77777777" w:rsidR="007B690E" w:rsidRPr="007B690E" w:rsidRDefault="007B690E" w:rsidP="007B690E">
            <w:pPr>
              <w:widowControl w:val="0"/>
              <w:spacing w:after="0" w:line="240" w:lineRule="auto"/>
              <w:jc w:val="both"/>
              <w:rPr>
                <w:rFonts w:ascii="Arial" w:eastAsia="Calibri" w:hAnsi="Arial" w:cs="Arial"/>
                <w:color w:val="000000"/>
                <w:sz w:val="16"/>
                <w:szCs w:val="16"/>
                <w:lang w:val="en-US"/>
              </w:rPr>
            </w:pPr>
            <w:r w:rsidRPr="007B690E">
              <w:rPr>
                <w:rFonts w:ascii="Arial" w:eastAsia="Calibri" w:hAnsi="Arial" w:cs="Arial"/>
                <w:color w:val="000000"/>
                <w:sz w:val="16"/>
                <w:szCs w:val="16"/>
                <w:lang w:val="en-US"/>
              </w:rPr>
              <w:t>CRFB/88, art. 167, § 3º.</w:t>
            </w:r>
          </w:p>
        </w:tc>
        <w:tc>
          <w:tcPr>
            <w:tcW w:w="1417" w:type="dxa"/>
            <w:vAlign w:val="center"/>
          </w:tcPr>
          <w:p w14:paraId="04BDAEFA"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Auditoria Governamental de conformidade</w:t>
            </w:r>
          </w:p>
        </w:tc>
        <w:tc>
          <w:tcPr>
            <w:tcW w:w="2694" w:type="dxa"/>
            <w:shd w:val="clear" w:color="auto" w:fill="auto"/>
            <w:vAlign w:val="center"/>
            <w:hideMark/>
          </w:tcPr>
          <w:p w14:paraId="7BEE4CF6"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Avaliar se houve abertura de crédito extraordinário para realização de despesas que não atenderam situações imprevisíveis e urgentes, como as decorrentes de guerra, comoção interna ou calamidade pública, observado o disposto no art. 62 da CRFB/88.</w:t>
            </w:r>
          </w:p>
        </w:tc>
        <w:tc>
          <w:tcPr>
            <w:tcW w:w="1275" w:type="dxa"/>
            <w:shd w:val="clear" w:color="auto" w:fill="auto"/>
            <w:vAlign w:val="center"/>
            <w:hideMark/>
          </w:tcPr>
          <w:p w14:paraId="000B76A7"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Governo</w:t>
            </w:r>
          </w:p>
        </w:tc>
      </w:tr>
      <w:tr w:rsidR="007B690E" w:rsidRPr="007B690E" w14:paraId="466A61FE" w14:textId="77777777" w:rsidTr="007B690E">
        <w:trPr>
          <w:trHeight w:val="1018"/>
        </w:trPr>
        <w:tc>
          <w:tcPr>
            <w:tcW w:w="851" w:type="dxa"/>
            <w:vAlign w:val="center"/>
          </w:tcPr>
          <w:p w14:paraId="18CBA8C6"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sz w:val="16"/>
                <w:szCs w:val="16"/>
              </w:rPr>
              <w:t>2.2.20</w:t>
            </w:r>
          </w:p>
        </w:tc>
        <w:tc>
          <w:tcPr>
            <w:tcW w:w="1417" w:type="dxa"/>
            <w:shd w:val="clear" w:color="auto" w:fill="auto"/>
            <w:vAlign w:val="center"/>
            <w:hideMark/>
          </w:tcPr>
          <w:p w14:paraId="5816812E"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Execução da programação financeira de desembolso.</w:t>
            </w:r>
          </w:p>
        </w:tc>
        <w:tc>
          <w:tcPr>
            <w:tcW w:w="1418" w:type="dxa"/>
            <w:shd w:val="clear" w:color="auto" w:fill="auto"/>
            <w:vAlign w:val="center"/>
            <w:hideMark/>
          </w:tcPr>
          <w:p w14:paraId="7266A5F6"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 xml:space="preserve">LC 101/2000, art. 8º. / Legislação específica – LOA. </w:t>
            </w:r>
          </w:p>
        </w:tc>
        <w:tc>
          <w:tcPr>
            <w:tcW w:w="1417" w:type="dxa"/>
            <w:vAlign w:val="center"/>
          </w:tcPr>
          <w:p w14:paraId="66F9CFEB"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Auditoria Governamental de conformidade</w:t>
            </w:r>
          </w:p>
        </w:tc>
        <w:tc>
          <w:tcPr>
            <w:tcW w:w="2694" w:type="dxa"/>
            <w:shd w:val="clear" w:color="auto" w:fill="auto"/>
            <w:vAlign w:val="center"/>
            <w:hideMark/>
          </w:tcPr>
          <w:p w14:paraId="18AA4676"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Avaliar a execução da programação financeira de desembolso e o se comportamento em relação à previsão, bem como, se for o caso, as razões determinantes do déficit financeiro.</w:t>
            </w:r>
          </w:p>
        </w:tc>
        <w:tc>
          <w:tcPr>
            <w:tcW w:w="1275" w:type="dxa"/>
            <w:shd w:val="clear" w:color="auto" w:fill="auto"/>
            <w:vAlign w:val="center"/>
            <w:hideMark/>
          </w:tcPr>
          <w:p w14:paraId="575DD968"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Governo</w:t>
            </w:r>
          </w:p>
        </w:tc>
      </w:tr>
      <w:tr w:rsidR="007B690E" w:rsidRPr="007B690E" w14:paraId="28F680AD" w14:textId="77777777" w:rsidTr="007B690E">
        <w:trPr>
          <w:trHeight w:val="2230"/>
        </w:trPr>
        <w:tc>
          <w:tcPr>
            <w:tcW w:w="851" w:type="dxa"/>
            <w:vAlign w:val="center"/>
          </w:tcPr>
          <w:p w14:paraId="7A3E26BC"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sz w:val="16"/>
                <w:szCs w:val="16"/>
              </w:rPr>
              <w:t>2.2.21</w:t>
            </w:r>
          </w:p>
        </w:tc>
        <w:tc>
          <w:tcPr>
            <w:tcW w:w="1417" w:type="dxa"/>
            <w:shd w:val="clear" w:color="auto" w:fill="auto"/>
            <w:vAlign w:val="center"/>
            <w:hideMark/>
          </w:tcPr>
          <w:p w14:paraId="3D60F5DB"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Transparência na gestão – instrumentos de planejamento e demonstrativos fiscais</w:t>
            </w:r>
          </w:p>
        </w:tc>
        <w:tc>
          <w:tcPr>
            <w:tcW w:w="1418" w:type="dxa"/>
            <w:shd w:val="clear" w:color="auto" w:fill="auto"/>
            <w:vAlign w:val="center"/>
            <w:hideMark/>
          </w:tcPr>
          <w:p w14:paraId="4BC49A44" w14:textId="77777777" w:rsidR="007B690E" w:rsidRPr="007B690E" w:rsidRDefault="007B690E" w:rsidP="007B690E">
            <w:pPr>
              <w:widowControl w:val="0"/>
              <w:spacing w:after="0" w:line="240" w:lineRule="auto"/>
              <w:jc w:val="both"/>
              <w:rPr>
                <w:rFonts w:ascii="Arial" w:eastAsia="Calibri" w:hAnsi="Arial" w:cs="Arial"/>
                <w:color w:val="000000"/>
                <w:sz w:val="16"/>
                <w:szCs w:val="16"/>
                <w:lang w:val="en-US"/>
              </w:rPr>
            </w:pPr>
            <w:r w:rsidRPr="007B690E">
              <w:rPr>
                <w:rFonts w:ascii="Arial" w:eastAsia="Calibri" w:hAnsi="Arial" w:cs="Arial"/>
                <w:color w:val="000000"/>
                <w:sz w:val="16"/>
                <w:szCs w:val="16"/>
                <w:lang w:val="en-US"/>
              </w:rPr>
              <w:t>LC 101/2000, art. 48 e arts. 52 a 58 da LRF.</w:t>
            </w:r>
          </w:p>
        </w:tc>
        <w:tc>
          <w:tcPr>
            <w:tcW w:w="1417" w:type="dxa"/>
            <w:vAlign w:val="center"/>
          </w:tcPr>
          <w:p w14:paraId="505EF606"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Conformidade (Verificação documental)</w:t>
            </w:r>
          </w:p>
        </w:tc>
        <w:tc>
          <w:tcPr>
            <w:tcW w:w="2694" w:type="dxa"/>
            <w:shd w:val="clear" w:color="auto" w:fill="auto"/>
            <w:vAlign w:val="center"/>
            <w:hideMark/>
          </w:tcPr>
          <w:p w14:paraId="66111D6B"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Avaliar se foi dada ampla divulgação, inclusive em meios eletrônicos de acesso público, aos seguintes instrumentos: PPA, LDO, LOA, Prestações de Contas Mensais e Anual, RREO e RGF, Pareceres Prévios emitidos por Órgão de Controle Interno e Externo, dentre outros. Avaliar, inclusive, se foram observadas as disposições contidas nos artigos 52 a 58 da LRF.</w:t>
            </w:r>
          </w:p>
        </w:tc>
        <w:tc>
          <w:tcPr>
            <w:tcW w:w="1275" w:type="dxa"/>
            <w:shd w:val="clear" w:color="auto" w:fill="auto"/>
            <w:vAlign w:val="center"/>
            <w:hideMark/>
          </w:tcPr>
          <w:p w14:paraId="39A27886"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Governo</w:t>
            </w:r>
          </w:p>
        </w:tc>
      </w:tr>
      <w:tr w:rsidR="007B690E" w:rsidRPr="007B690E" w14:paraId="7A659163" w14:textId="77777777" w:rsidTr="007B690E">
        <w:trPr>
          <w:trHeight w:val="982"/>
        </w:trPr>
        <w:tc>
          <w:tcPr>
            <w:tcW w:w="851" w:type="dxa"/>
            <w:vAlign w:val="center"/>
          </w:tcPr>
          <w:p w14:paraId="13B33814"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sz w:val="16"/>
                <w:szCs w:val="16"/>
              </w:rPr>
              <w:lastRenderedPageBreak/>
              <w:t>2.2.22</w:t>
            </w:r>
          </w:p>
        </w:tc>
        <w:tc>
          <w:tcPr>
            <w:tcW w:w="1417" w:type="dxa"/>
            <w:shd w:val="clear" w:color="auto" w:fill="auto"/>
            <w:vAlign w:val="center"/>
            <w:hideMark/>
          </w:tcPr>
          <w:p w14:paraId="5D7B18D4"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Transparência na gestão – execução orçamentária</w:t>
            </w:r>
          </w:p>
        </w:tc>
        <w:tc>
          <w:tcPr>
            <w:tcW w:w="1418" w:type="dxa"/>
            <w:shd w:val="clear" w:color="auto" w:fill="auto"/>
            <w:vAlign w:val="center"/>
            <w:hideMark/>
          </w:tcPr>
          <w:p w14:paraId="56745462" w14:textId="77777777" w:rsidR="007B690E" w:rsidRPr="007B690E" w:rsidRDefault="007B690E" w:rsidP="007B690E">
            <w:pPr>
              <w:widowControl w:val="0"/>
              <w:spacing w:after="0" w:line="240" w:lineRule="auto"/>
              <w:jc w:val="both"/>
              <w:rPr>
                <w:rFonts w:ascii="Arial" w:eastAsia="Calibri" w:hAnsi="Arial" w:cs="Arial"/>
                <w:color w:val="000000"/>
                <w:sz w:val="16"/>
                <w:szCs w:val="16"/>
                <w:lang w:val="en-US"/>
              </w:rPr>
            </w:pPr>
            <w:r w:rsidRPr="007B690E">
              <w:rPr>
                <w:rFonts w:ascii="Arial" w:eastAsia="Calibri" w:hAnsi="Arial" w:cs="Arial"/>
                <w:color w:val="000000"/>
                <w:sz w:val="16"/>
                <w:szCs w:val="16"/>
                <w:lang w:val="en-US"/>
              </w:rPr>
              <w:t>LC 101/2000, art. 48 e arts. 52 a 58 da LRF.</w:t>
            </w:r>
          </w:p>
        </w:tc>
        <w:tc>
          <w:tcPr>
            <w:tcW w:w="1417" w:type="dxa"/>
            <w:vAlign w:val="center"/>
          </w:tcPr>
          <w:p w14:paraId="47D6057F"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Conformidade (Verificação documental)</w:t>
            </w:r>
          </w:p>
        </w:tc>
        <w:tc>
          <w:tcPr>
            <w:tcW w:w="2694" w:type="dxa"/>
            <w:shd w:val="clear" w:color="auto" w:fill="auto"/>
            <w:vAlign w:val="center"/>
            <w:hideMark/>
          </w:tcPr>
          <w:p w14:paraId="789DC76E"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Avaliar se foi objeto de divulgação, em tempo real, de informações pormenorizadas da execução orçamentária e financeira, observadas as disposições contidas no artigo 48-A da LRF.</w:t>
            </w:r>
          </w:p>
        </w:tc>
        <w:tc>
          <w:tcPr>
            <w:tcW w:w="1275" w:type="dxa"/>
            <w:shd w:val="clear" w:color="auto" w:fill="auto"/>
            <w:vAlign w:val="center"/>
            <w:hideMark/>
          </w:tcPr>
          <w:p w14:paraId="57F8AF2F"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Governo</w:t>
            </w:r>
          </w:p>
        </w:tc>
      </w:tr>
      <w:tr w:rsidR="007B690E" w:rsidRPr="007B690E" w14:paraId="64E26944" w14:textId="77777777" w:rsidTr="007B690E">
        <w:trPr>
          <w:trHeight w:val="1060"/>
        </w:trPr>
        <w:tc>
          <w:tcPr>
            <w:tcW w:w="851" w:type="dxa"/>
            <w:vAlign w:val="center"/>
          </w:tcPr>
          <w:p w14:paraId="258771B6"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sz w:val="16"/>
                <w:szCs w:val="16"/>
              </w:rPr>
              <w:t>2.2.23</w:t>
            </w:r>
          </w:p>
        </w:tc>
        <w:tc>
          <w:tcPr>
            <w:tcW w:w="1417" w:type="dxa"/>
            <w:shd w:val="clear" w:color="auto" w:fill="auto"/>
            <w:vAlign w:val="center"/>
            <w:hideMark/>
          </w:tcPr>
          <w:p w14:paraId="58221893"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Transparência na gestão – prestação de contas</w:t>
            </w:r>
          </w:p>
        </w:tc>
        <w:tc>
          <w:tcPr>
            <w:tcW w:w="1418" w:type="dxa"/>
            <w:shd w:val="clear" w:color="auto" w:fill="auto"/>
            <w:vAlign w:val="center"/>
            <w:hideMark/>
          </w:tcPr>
          <w:p w14:paraId="2F15A7DB" w14:textId="77777777" w:rsidR="007B690E" w:rsidRPr="007B690E" w:rsidRDefault="007B690E" w:rsidP="007B690E">
            <w:pPr>
              <w:widowControl w:val="0"/>
              <w:spacing w:after="0" w:line="240" w:lineRule="auto"/>
              <w:jc w:val="both"/>
              <w:rPr>
                <w:rFonts w:ascii="Arial" w:eastAsia="Calibri" w:hAnsi="Arial" w:cs="Arial"/>
                <w:color w:val="000000"/>
                <w:sz w:val="16"/>
                <w:szCs w:val="16"/>
                <w:lang w:val="en-US"/>
              </w:rPr>
            </w:pPr>
            <w:r w:rsidRPr="007B690E">
              <w:rPr>
                <w:rFonts w:ascii="Arial" w:eastAsia="Calibri" w:hAnsi="Arial" w:cs="Arial"/>
                <w:color w:val="000000"/>
                <w:sz w:val="16"/>
                <w:szCs w:val="16"/>
                <w:lang w:val="en-US"/>
              </w:rPr>
              <w:t>LC 101/2000, art. 49.</w:t>
            </w:r>
          </w:p>
        </w:tc>
        <w:tc>
          <w:tcPr>
            <w:tcW w:w="1417" w:type="dxa"/>
            <w:vAlign w:val="center"/>
          </w:tcPr>
          <w:p w14:paraId="6CD537F9"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Conformidade (Verificação documental)</w:t>
            </w:r>
          </w:p>
        </w:tc>
        <w:tc>
          <w:tcPr>
            <w:tcW w:w="2694" w:type="dxa"/>
            <w:shd w:val="clear" w:color="auto" w:fill="auto"/>
            <w:vAlign w:val="center"/>
            <w:hideMark/>
          </w:tcPr>
          <w:p w14:paraId="4AD14D3C"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Avaliar se as contas do chefe do Poder Executivo ficaram disponíveis, durante todo o exercício, no respectivo Poder Legislativo e no órgão técnico responsável pela sua elaboração, para consulta e apreciação pelos cidadãos e instituições da sociedade.</w:t>
            </w:r>
          </w:p>
        </w:tc>
        <w:tc>
          <w:tcPr>
            <w:tcW w:w="1275" w:type="dxa"/>
            <w:shd w:val="clear" w:color="auto" w:fill="auto"/>
            <w:vAlign w:val="center"/>
            <w:hideMark/>
          </w:tcPr>
          <w:p w14:paraId="5A8CC159"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Governo</w:t>
            </w:r>
          </w:p>
        </w:tc>
      </w:tr>
      <w:tr w:rsidR="007B690E" w:rsidRPr="007B690E" w14:paraId="0C47642F" w14:textId="77777777" w:rsidTr="007B690E">
        <w:trPr>
          <w:trHeight w:val="1287"/>
        </w:trPr>
        <w:tc>
          <w:tcPr>
            <w:tcW w:w="851" w:type="dxa"/>
            <w:vAlign w:val="center"/>
          </w:tcPr>
          <w:p w14:paraId="5CED5228"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sz w:val="16"/>
                <w:szCs w:val="16"/>
              </w:rPr>
              <w:t>2.2.24</w:t>
            </w:r>
          </w:p>
        </w:tc>
        <w:tc>
          <w:tcPr>
            <w:tcW w:w="1417" w:type="dxa"/>
            <w:shd w:val="clear" w:color="auto" w:fill="auto"/>
            <w:vAlign w:val="center"/>
            <w:hideMark/>
          </w:tcPr>
          <w:p w14:paraId="1775BD6C"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Escrituração e consolidação das contas públicas</w:t>
            </w:r>
          </w:p>
        </w:tc>
        <w:tc>
          <w:tcPr>
            <w:tcW w:w="1418" w:type="dxa"/>
            <w:shd w:val="clear" w:color="auto" w:fill="auto"/>
            <w:vAlign w:val="center"/>
            <w:hideMark/>
          </w:tcPr>
          <w:p w14:paraId="1AF09980"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LC 101/2000, art. 50 / Norma Brasileira de Contabilidade NBC TSP-EC c/c / NBC-T 16</w:t>
            </w:r>
          </w:p>
        </w:tc>
        <w:tc>
          <w:tcPr>
            <w:tcW w:w="1417" w:type="dxa"/>
            <w:vAlign w:val="center"/>
          </w:tcPr>
          <w:p w14:paraId="1B3D7EFF"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Auditoria Governamental de conformidade</w:t>
            </w:r>
          </w:p>
        </w:tc>
        <w:tc>
          <w:tcPr>
            <w:tcW w:w="2694" w:type="dxa"/>
            <w:shd w:val="clear" w:color="auto" w:fill="auto"/>
            <w:vAlign w:val="center"/>
            <w:hideMark/>
          </w:tcPr>
          <w:p w14:paraId="213DB8A8"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Avaliar se a escrituração e consolidação contábil das contas públicas obedeceu ao que dispõe o artigo 50 da LRF e as normas brasileiras de contabilidade aplicadas ao setor público.</w:t>
            </w:r>
          </w:p>
        </w:tc>
        <w:tc>
          <w:tcPr>
            <w:tcW w:w="1275" w:type="dxa"/>
            <w:shd w:val="clear" w:color="auto" w:fill="auto"/>
            <w:vAlign w:val="center"/>
            <w:hideMark/>
          </w:tcPr>
          <w:p w14:paraId="57E1CB76" w14:textId="77777777" w:rsidR="007B690E" w:rsidRPr="007B690E" w:rsidRDefault="00464965"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Gestão (Todas as UG´s)</w:t>
            </w:r>
          </w:p>
        </w:tc>
      </w:tr>
      <w:tr w:rsidR="007B690E" w:rsidRPr="007B690E" w14:paraId="1DB458C7" w14:textId="77777777" w:rsidTr="007B690E">
        <w:trPr>
          <w:trHeight w:val="420"/>
        </w:trPr>
        <w:tc>
          <w:tcPr>
            <w:tcW w:w="851" w:type="dxa"/>
            <w:vAlign w:val="center"/>
          </w:tcPr>
          <w:p w14:paraId="29DB0B49"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sz w:val="16"/>
                <w:szCs w:val="16"/>
              </w:rPr>
              <w:t>2.2.25</w:t>
            </w:r>
          </w:p>
        </w:tc>
        <w:tc>
          <w:tcPr>
            <w:tcW w:w="1417" w:type="dxa"/>
            <w:shd w:val="clear" w:color="auto" w:fill="auto"/>
            <w:vAlign w:val="center"/>
            <w:hideMark/>
          </w:tcPr>
          <w:p w14:paraId="534CA970"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Relatório Resumido da Execução Orçamentária e Relatório de Gestão Fiscal – elaboração</w:t>
            </w:r>
          </w:p>
        </w:tc>
        <w:tc>
          <w:tcPr>
            <w:tcW w:w="1418" w:type="dxa"/>
            <w:shd w:val="clear" w:color="auto" w:fill="auto"/>
            <w:vAlign w:val="center"/>
            <w:hideMark/>
          </w:tcPr>
          <w:p w14:paraId="3F0D1730" w14:textId="77777777" w:rsidR="007B690E" w:rsidRPr="007B690E" w:rsidRDefault="007B690E" w:rsidP="007B690E">
            <w:pPr>
              <w:widowControl w:val="0"/>
              <w:spacing w:after="0" w:line="240" w:lineRule="auto"/>
              <w:jc w:val="both"/>
              <w:rPr>
                <w:rFonts w:ascii="Arial" w:eastAsia="Calibri" w:hAnsi="Arial" w:cs="Arial"/>
                <w:color w:val="000000"/>
                <w:sz w:val="16"/>
                <w:szCs w:val="16"/>
                <w:highlight w:val="yellow"/>
              </w:rPr>
            </w:pPr>
            <w:r w:rsidRPr="007B690E">
              <w:rPr>
                <w:rFonts w:ascii="Arial" w:eastAsia="Calibri" w:hAnsi="Arial" w:cs="Arial"/>
                <w:color w:val="000000"/>
                <w:sz w:val="16"/>
                <w:szCs w:val="16"/>
              </w:rPr>
              <w:t>LC 101/2000, arts. 52 a 55. Manual de Demonstrativos Fiscais (MDF)</w:t>
            </w:r>
          </w:p>
        </w:tc>
        <w:tc>
          <w:tcPr>
            <w:tcW w:w="1417" w:type="dxa"/>
            <w:vAlign w:val="center"/>
          </w:tcPr>
          <w:p w14:paraId="743F5CAF"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Auditoria Governamental de conformidade</w:t>
            </w:r>
          </w:p>
        </w:tc>
        <w:tc>
          <w:tcPr>
            <w:tcW w:w="2694" w:type="dxa"/>
            <w:shd w:val="clear" w:color="auto" w:fill="auto"/>
            <w:vAlign w:val="center"/>
            <w:hideMark/>
          </w:tcPr>
          <w:p w14:paraId="3DD39405"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Avaliar se os demonstrativos fiscais que integram o RREO e o RGF foram elaborados em observância às normas editadas pela Secretaria do Tesouro Nacional.</w:t>
            </w:r>
          </w:p>
        </w:tc>
        <w:tc>
          <w:tcPr>
            <w:tcW w:w="1275" w:type="dxa"/>
            <w:shd w:val="clear" w:color="auto" w:fill="auto"/>
            <w:vAlign w:val="center"/>
            <w:hideMark/>
          </w:tcPr>
          <w:p w14:paraId="78E253C3"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Governo</w:t>
            </w:r>
          </w:p>
        </w:tc>
      </w:tr>
      <w:tr w:rsidR="007B690E" w:rsidRPr="007B690E" w14:paraId="41186E14" w14:textId="77777777" w:rsidTr="007B690E">
        <w:trPr>
          <w:trHeight w:val="393"/>
        </w:trPr>
        <w:tc>
          <w:tcPr>
            <w:tcW w:w="851" w:type="dxa"/>
            <w:vAlign w:val="center"/>
          </w:tcPr>
          <w:p w14:paraId="2ABE845D"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sz w:val="16"/>
                <w:szCs w:val="16"/>
              </w:rPr>
              <w:t>2.2.26</w:t>
            </w:r>
          </w:p>
        </w:tc>
        <w:tc>
          <w:tcPr>
            <w:tcW w:w="1417" w:type="dxa"/>
            <w:shd w:val="clear" w:color="auto" w:fill="auto"/>
            <w:vAlign w:val="center"/>
            <w:hideMark/>
          </w:tcPr>
          <w:p w14:paraId="69E8B4DB"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Limitação para custeio de despesas</w:t>
            </w:r>
          </w:p>
        </w:tc>
        <w:tc>
          <w:tcPr>
            <w:tcW w:w="1418" w:type="dxa"/>
            <w:shd w:val="clear" w:color="auto" w:fill="auto"/>
            <w:vAlign w:val="center"/>
            <w:hideMark/>
          </w:tcPr>
          <w:p w14:paraId="1F6F23EE" w14:textId="77777777" w:rsidR="007B690E" w:rsidRPr="007B690E" w:rsidRDefault="007B690E" w:rsidP="007B690E">
            <w:pPr>
              <w:widowControl w:val="0"/>
              <w:spacing w:after="0" w:line="240" w:lineRule="auto"/>
              <w:jc w:val="both"/>
              <w:rPr>
                <w:rFonts w:ascii="Arial" w:eastAsia="Calibri" w:hAnsi="Arial" w:cs="Arial"/>
                <w:color w:val="000000"/>
                <w:sz w:val="16"/>
                <w:szCs w:val="16"/>
                <w:lang w:val="en-US"/>
              </w:rPr>
            </w:pPr>
            <w:r w:rsidRPr="007B690E">
              <w:rPr>
                <w:rFonts w:ascii="Arial" w:eastAsia="Calibri" w:hAnsi="Arial" w:cs="Arial"/>
                <w:color w:val="000000"/>
                <w:sz w:val="16"/>
                <w:szCs w:val="16"/>
                <w:lang w:val="en-US"/>
              </w:rPr>
              <w:t>LC 101/2000, art. 62.</w:t>
            </w:r>
          </w:p>
        </w:tc>
        <w:tc>
          <w:tcPr>
            <w:tcW w:w="1417" w:type="dxa"/>
            <w:vAlign w:val="center"/>
          </w:tcPr>
          <w:p w14:paraId="05C22A4C"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Conformidade (Verificação documental)</w:t>
            </w:r>
          </w:p>
        </w:tc>
        <w:tc>
          <w:tcPr>
            <w:tcW w:w="2694" w:type="dxa"/>
            <w:shd w:val="clear" w:color="auto" w:fill="auto"/>
            <w:vAlign w:val="center"/>
            <w:hideMark/>
          </w:tcPr>
          <w:p w14:paraId="04DD4801"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Avaliar se o Município contribuiu para o custeio de despesas de competência de outros entes da Federação sem observar o que dispõe o artigo 62 da LRF.</w:t>
            </w:r>
          </w:p>
        </w:tc>
        <w:tc>
          <w:tcPr>
            <w:tcW w:w="1275" w:type="dxa"/>
            <w:shd w:val="clear" w:color="auto" w:fill="auto"/>
            <w:vAlign w:val="center"/>
            <w:hideMark/>
          </w:tcPr>
          <w:p w14:paraId="38201027"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Governo</w:t>
            </w:r>
          </w:p>
        </w:tc>
      </w:tr>
      <w:tr w:rsidR="007B690E" w:rsidRPr="007B690E" w14:paraId="1C60686F" w14:textId="77777777" w:rsidTr="007B690E">
        <w:trPr>
          <w:trHeight w:val="70"/>
        </w:trPr>
        <w:tc>
          <w:tcPr>
            <w:tcW w:w="851" w:type="dxa"/>
            <w:vAlign w:val="center"/>
          </w:tcPr>
          <w:p w14:paraId="6143BACC" w14:textId="77777777" w:rsidR="007B690E" w:rsidRPr="007B690E" w:rsidRDefault="007B690E" w:rsidP="007B690E">
            <w:pPr>
              <w:widowControl w:val="0"/>
              <w:spacing w:after="0" w:line="240" w:lineRule="auto"/>
              <w:jc w:val="center"/>
              <w:rPr>
                <w:rFonts w:ascii="Arial" w:eastAsia="Calibri" w:hAnsi="Arial" w:cs="Arial"/>
                <w:sz w:val="16"/>
                <w:szCs w:val="16"/>
              </w:rPr>
            </w:pPr>
            <w:r w:rsidRPr="007B690E">
              <w:rPr>
                <w:rFonts w:ascii="Arial" w:eastAsia="Calibri" w:hAnsi="Arial" w:cs="Arial"/>
                <w:sz w:val="16"/>
                <w:szCs w:val="16"/>
              </w:rPr>
              <w:t>2.2.27</w:t>
            </w:r>
          </w:p>
        </w:tc>
        <w:tc>
          <w:tcPr>
            <w:tcW w:w="1417" w:type="dxa"/>
            <w:shd w:val="clear" w:color="auto" w:fill="auto"/>
            <w:vAlign w:val="center"/>
            <w:hideMark/>
          </w:tcPr>
          <w:p w14:paraId="7E621386" w14:textId="77777777" w:rsidR="007B690E" w:rsidRPr="007B690E" w:rsidRDefault="007B690E" w:rsidP="007B690E">
            <w:pPr>
              <w:widowControl w:val="0"/>
              <w:spacing w:after="0" w:line="240" w:lineRule="auto"/>
              <w:jc w:val="both"/>
              <w:rPr>
                <w:rFonts w:ascii="Arial" w:eastAsia="Calibri" w:hAnsi="Arial" w:cs="Arial"/>
                <w:sz w:val="16"/>
                <w:szCs w:val="16"/>
              </w:rPr>
            </w:pPr>
            <w:r w:rsidRPr="007B690E">
              <w:rPr>
                <w:rFonts w:ascii="Arial" w:eastAsia="Calibri" w:hAnsi="Arial" w:cs="Arial"/>
                <w:sz w:val="16"/>
                <w:szCs w:val="16"/>
              </w:rPr>
              <w:t>Concessão de privilégios fiscais para empresas públicas ou sociedades de economia mista.</w:t>
            </w:r>
          </w:p>
        </w:tc>
        <w:tc>
          <w:tcPr>
            <w:tcW w:w="1418" w:type="dxa"/>
            <w:shd w:val="clear" w:color="auto" w:fill="auto"/>
            <w:vAlign w:val="center"/>
            <w:hideMark/>
          </w:tcPr>
          <w:p w14:paraId="1393FFB5" w14:textId="77777777" w:rsidR="007B690E" w:rsidRPr="007B690E" w:rsidRDefault="007B690E" w:rsidP="007B690E">
            <w:pPr>
              <w:widowControl w:val="0"/>
              <w:spacing w:after="0" w:line="240" w:lineRule="auto"/>
              <w:jc w:val="both"/>
              <w:rPr>
                <w:rFonts w:ascii="Arial" w:eastAsia="Calibri" w:hAnsi="Arial" w:cs="Arial"/>
                <w:sz w:val="16"/>
                <w:szCs w:val="16"/>
                <w:lang w:val="en-US"/>
              </w:rPr>
            </w:pPr>
            <w:r w:rsidRPr="007B690E">
              <w:rPr>
                <w:rFonts w:ascii="Arial" w:eastAsia="Calibri" w:hAnsi="Arial" w:cs="Arial"/>
                <w:sz w:val="16"/>
                <w:szCs w:val="16"/>
                <w:lang w:val="en-US"/>
              </w:rPr>
              <w:t>CRFB/88, art. 173, § 2º.</w:t>
            </w:r>
          </w:p>
        </w:tc>
        <w:tc>
          <w:tcPr>
            <w:tcW w:w="1417" w:type="dxa"/>
            <w:vAlign w:val="center"/>
          </w:tcPr>
          <w:p w14:paraId="2FC57854" w14:textId="77777777" w:rsidR="007B690E" w:rsidRPr="007B690E" w:rsidRDefault="007B690E" w:rsidP="007B690E">
            <w:pPr>
              <w:widowControl w:val="0"/>
              <w:spacing w:after="0" w:line="240" w:lineRule="auto"/>
              <w:jc w:val="center"/>
              <w:rPr>
                <w:rFonts w:ascii="Arial" w:eastAsia="Calibri" w:hAnsi="Arial" w:cs="Arial"/>
                <w:sz w:val="16"/>
                <w:szCs w:val="16"/>
                <w:lang w:val="en-US"/>
              </w:rPr>
            </w:pPr>
            <w:r w:rsidRPr="007B690E">
              <w:rPr>
                <w:rFonts w:ascii="Arial" w:eastAsia="Calibri" w:hAnsi="Arial" w:cs="Arial"/>
                <w:color w:val="000000"/>
                <w:sz w:val="16"/>
                <w:szCs w:val="16"/>
                <w:lang w:val="en-US"/>
              </w:rPr>
              <w:t>Conformidade (Verificação documental)</w:t>
            </w:r>
          </w:p>
        </w:tc>
        <w:tc>
          <w:tcPr>
            <w:tcW w:w="2694" w:type="dxa"/>
            <w:shd w:val="clear" w:color="auto" w:fill="auto"/>
            <w:vAlign w:val="center"/>
            <w:hideMark/>
          </w:tcPr>
          <w:p w14:paraId="45A6037C" w14:textId="77777777" w:rsidR="007B690E" w:rsidRPr="007B690E" w:rsidRDefault="007B690E" w:rsidP="007B690E">
            <w:pPr>
              <w:widowControl w:val="0"/>
              <w:spacing w:after="0" w:line="240" w:lineRule="auto"/>
              <w:jc w:val="both"/>
              <w:rPr>
                <w:rFonts w:ascii="Arial" w:eastAsia="Calibri" w:hAnsi="Arial" w:cs="Arial"/>
                <w:sz w:val="16"/>
                <w:szCs w:val="16"/>
              </w:rPr>
            </w:pPr>
            <w:r w:rsidRPr="007B690E">
              <w:rPr>
                <w:rFonts w:ascii="Arial" w:eastAsia="Calibri" w:hAnsi="Arial" w:cs="Arial"/>
                <w:sz w:val="16"/>
                <w:szCs w:val="16"/>
              </w:rPr>
              <w:t>Avaliar se houve concessão de privilégios fiscais para empresas públicas ou sociedades de economia mista não extensivos ao setor privado.</w:t>
            </w:r>
          </w:p>
        </w:tc>
        <w:tc>
          <w:tcPr>
            <w:tcW w:w="1275" w:type="dxa"/>
            <w:shd w:val="clear" w:color="auto" w:fill="auto"/>
            <w:vAlign w:val="center"/>
            <w:hideMark/>
          </w:tcPr>
          <w:p w14:paraId="0CE08524" w14:textId="77777777" w:rsidR="007B690E" w:rsidRPr="007B690E" w:rsidRDefault="007B690E" w:rsidP="007B690E">
            <w:pPr>
              <w:widowControl w:val="0"/>
              <w:spacing w:after="0" w:line="240" w:lineRule="auto"/>
              <w:jc w:val="center"/>
              <w:rPr>
                <w:rFonts w:ascii="Arial" w:eastAsia="Calibri" w:hAnsi="Arial" w:cs="Arial"/>
                <w:sz w:val="16"/>
                <w:szCs w:val="16"/>
              </w:rPr>
            </w:pPr>
            <w:r w:rsidRPr="007B690E">
              <w:rPr>
                <w:rFonts w:ascii="Arial" w:eastAsia="Calibri" w:hAnsi="Arial" w:cs="Arial"/>
                <w:sz w:val="16"/>
                <w:szCs w:val="16"/>
              </w:rPr>
              <w:t>Contas de Governo</w:t>
            </w:r>
          </w:p>
        </w:tc>
      </w:tr>
      <w:tr w:rsidR="007B690E" w:rsidRPr="007B690E" w14:paraId="0D836628" w14:textId="77777777" w:rsidTr="007B690E">
        <w:trPr>
          <w:trHeight w:val="665"/>
        </w:trPr>
        <w:tc>
          <w:tcPr>
            <w:tcW w:w="851" w:type="dxa"/>
            <w:vAlign w:val="center"/>
          </w:tcPr>
          <w:p w14:paraId="39932033"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sz w:val="16"/>
                <w:szCs w:val="16"/>
              </w:rPr>
              <w:t>2.2.28</w:t>
            </w:r>
          </w:p>
        </w:tc>
        <w:tc>
          <w:tcPr>
            <w:tcW w:w="1417" w:type="dxa"/>
            <w:shd w:val="clear" w:color="auto" w:fill="auto"/>
            <w:vAlign w:val="center"/>
            <w:hideMark/>
          </w:tcPr>
          <w:p w14:paraId="5C470F01" w14:textId="77777777" w:rsidR="007B690E" w:rsidRPr="007B690E" w:rsidRDefault="007B690E" w:rsidP="007B690E">
            <w:pPr>
              <w:widowControl w:val="0"/>
              <w:spacing w:after="0" w:line="240" w:lineRule="auto"/>
              <w:rPr>
                <w:rFonts w:ascii="Arial" w:eastAsia="Calibri" w:hAnsi="Arial" w:cs="Arial"/>
                <w:color w:val="000000"/>
                <w:sz w:val="16"/>
                <w:szCs w:val="16"/>
              </w:rPr>
            </w:pPr>
            <w:r w:rsidRPr="007B690E">
              <w:rPr>
                <w:rFonts w:ascii="Arial" w:eastAsia="Calibri" w:hAnsi="Arial" w:cs="Arial"/>
                <w:color w:val="000000"/>
                <w:sz w:val="16"/>
                <w:szCs w:val="16"/>
              </w:rPr>
              <w:t>Pagamento de passivos – ordem cronológica das exigibilidades</w:t>
            </w:r>
          </w:p>
        </w:tc>
        <w:tc>
          <w:tcPr>
            <w:tcW w:w="1418" w:type="dxa"/>
            <w:shd w:val="clear" w:color="auto" w:fill="auto"/>
            <w:vAlign w:val="center"/>
            <w:hideMark/>
          </w:tcPr>
          <w:p w14:paraId="2D178855"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Lei 8.666/1993, arts. 5º e 92, c/c CRFB/88, art. 37.</w:t>
            </w:r>
          </w:p>
        </w:tc>
        <w:tc>
          <w:tcPr>
            <w:tcW w:w="1417" w:type="dxa"/>
            <w:vAlign w:val="center"/>
          </w:tcPr>
          <w:p w14:paraId="7AD5FF17"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Auditoria Governamental de conformidade</w:t>
            </w:r>
          </w:p>
        </w:tc>
        <w:tc>
          <w:tcPr>
            <w:tcW w:w="2694" w:type="dxa"/>
            <w:shd w:val="clear" w:color="auto" w:fill="auto"/>
            <w:vAlign w:val="center"/>
            <w:hideMark/>
          </w:tcPr>
          <w:p w14:paraId="7EA809DE"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Avaliar se os passivos estão sendo pagos em ordem cronológica de suas exigibilidades.</w:t>
            </w:r>
          </w:p>
        </w:tc>
        <w:tc>
          <w:tcPr>
            <w:tcW w:w="1275" w:type="dxa"/>
            <w:shd w:val="clear" w:color="auto" w:fill="auto"/>
            <w:vAlign w:val="center"/>
            <w:hideMark/>
          </w:tcPr>
          <w:p w14:paraId="0F8F74E0"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Gestão (Todas as  UG's</w:t>
            </w:r>
          </w:p>
        </w:tc>
      </w:tr>
      <w:tr w:rsidR="007B690E" w:rsidRPr="007B690E" w14:paraId="78200D5F" w14:textId="77777777" w:rsidTr="007B690E">
        <w:trPr>
          <w:trHeight w:val="1328"/>
        </w:trPr>
        <w:tc>
          <w:tcPr>
            <w:tcW w:w="851" w:type="dxa"/>
            <w:vAlign w:val="center"/>
          </w:tcPr>
          <w:p w14:paraId="04F2C987"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sz w:val="16"/>
                <w:szCs w:val="16"/>
              </w:rPr>
              <w:t>2.2.29</w:t>
            </w:r>
          </w:p>
        </w:tc>
        <w:tc>
          <w:tcPr>
            <w:tcW w:w="1417" w:type="dxa"/>
            <w:shd w:val="clear" w:color="auto" w:fill="auto"/>
            <w:vAlign w:val="center"/>
            <w:hideMark/>
          </w:tcPr>
          <w:p w14:paraId="7129EDF9" w14:textId="77777777" w:rsidR="007B690E" w:rsidRPr="007B690E" w:rsidRDefault="007B690E" w:rsidP="007B690E">
            <w:pPr>
              <w:widowControl w:val="0"/>
              <w:spacing w:after="0" w:line="240" w:lineRule="auto"/>
              <w:rPr>
                <w:rFonts w:ascii="Arial" w:eastAsia="Calibri" w:hAnsi="Arial" w:cs="Arial"/>
                <w:color w:val="000000"/>
                <w:sz w:val="16"/>
                <w:szCs w:val="16"/>
              </w:rPr>
            </w:pPr>
            <w:r w:rsidRPr="007B690E">
              <w:rPr>
                <w:rFonts w:ascii="Arial" w:eastAsia="Calibri" w:hAnsi="Arial" w:cs="Arial"/>
                <w:color w:val="000000"/>
                <w:sz w:val="16"/>
                <w:szCs w:val="16"/>
              </w:rPr>
              <w:t>Déficit orçamentário – medidas de contenção</w:t>
            </w:r>
          </w:p>
        </w:tc>
        <w:tc>
          <w:tcPr>
            <w:tcW w:w="1418" w:type="dxa"/>
            <w:shd w:val="clear" w:color="auto" w:fill="auto"/>
            <w:vAlign w:val="center"/>
            <w:hideMark/>
          </w:tcPr>
          <w:p w14:paraId="709B508E" w14:textId="77777777" w:rsidR="007B690E" w:rsidRPr="007B690E" w:rsidRDefault="007B690E" w:rsidP="007B690E">
            <w:pPr>
              <w:widowControl w:val="0"/>
              <w:spacing w:after="0" w:line="240" w:lineRule="auto"/>
              <w:jc w:val="both"/>
              <w:rPr>
                <w:rFonts w:ascii="Arial" w:eastAsia="Calibri" w:hAnsi="Arial" w:cs="Arial"/>
                <w:color w:val="000000"/>
                <w:sz w:val="16"/>
                <w:szCs w:val="16"/>
                <w:lang w:val="en-US"/>
              </w:rPr>
            </w:pPr>
            <w:r w:rsidRPr="007B690E">
              <w:rPr>
                <w:rFonts w:ascii="Arial" w:eastAsia="Calibri" w:hAnsi="Arial" w:cs="Arial"/>
                <w:color w:val="000000"/>
                <w:sz w:val="16"/>
                <w:szCs w:val="16"/>
                <w:lang w:val="en-US"/>
              </w:rPr>
              <w:t>LC 101/2000, art. 9º.</w:t>
            </w:r>
          </w:p>
        </w:tc>
        <w:tc>
          <w:tcPr>
            <w:tcW w:w="1417" w:type="dxa"/>
            <w:vAlign w:val="center"/>
          </w:tcPr>
          <w:p w14:paraId="116E5565"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Conformidade (Verificação documental)</w:t>
            </w:r>
          </w:p>
        </w:tc>
        <w:tc>
          <w:tcPr>
            <w:tcW w:w="2694" w:type="dxa"/>
            <w:shd w:val="clear" w:color="auto" w:fill="auto"/>
            <w:vAlign w:val="center"/>
            <w:hideMark/>
          </w:tcPr>
          <w:p w14:paraId="50CEB644"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Avaliar se foram expedidos atos de limitação de empenho e movimentação financeira, nos casos e condições estabelecidas em lei, com vistas à contenção de déficit orçamentário e financeiro.</w:t>
            </w:r>
          </w:p>
        </w:tc>
        <w:tc>
          <w:tcPr>
            <w:tcW w:w="1275" w:type="dxa"/>
            <w:shd w:val="clear" w:color="auto" w:fill="auto"/>
            <w:vAlign w:val="center"/>
            <w:hideMark/>
          </w:tcPr>
          <w:p w14:paraId="25333FD9"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Governo</w:t>
            </w:r>
          </w:p>
          <w:p w14:paraId="3A2525F3"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p>
          <w:p w14:paraId="3E2DA502"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Gestão dos Poderes</w:t>
            </w:r>
          </w:p>
        </w:tc>
      </w:tr>
      <w:tr w:rsidR="007B690E" w:rsidRPr="007B690E" w14:paraId="3F35CFA4" w14:textId="77777777" w:rsidTr="007B690E">
        <w:trPr>
          <w:trHeight w:val="508"/>
        </w:trPr>
        <w:tc>
          <w:tcPr>
            <w:tcW w:w="851" w:type="dxa"/>
            <w:vAlign w:val="center"/>
          </w:tcPr>
          <w:p w14:paraId="00ADF8F1" w14:textId="77777777" w:rsidR="007B690E" w:rsidRPr="007B690E" w:rsidRDefault="00464965" w:rsidP="007B690E">
            <w:pPr>
              <w:widowControl w:val="0"/>
              <w:spacing w:after="0" w:line="240" w:lineRule="auto"/>
              <w:jc w:val="center"/>
              <w:rPr>
                <w:rFonts w:ascii="Arial" w:eastAsia="Calibri" w:hAnsi="Arial" w:cs="Arial"/>
                <w:color w:val="000000"/>
                <w:sz w:val="16"/>
                <w:szCs w:val="16"/>
              </w:rPr>
            </w:pPr>
            <w:r>
              <w:rPr>
                <w:rFonts w:ascii="Arial" w:eastAsia="Calibri" w:hAnsi="Arial" w:cs="Arial"/>
                <w:sz w:val="16"/>
                <w:szCs w:val="16"/>
              </w:rPr>
              <w:t>2.2.30</w:t>
            </w:r>
          </w:p>
        </w:tc>
        <w:tc>
          <w:tcPr>
            <w:tcW w:w="1417" w:type="dxa"/>
            <w:shd w:val="clear" w:color="auto" w:fill="auto"/>
            <w:vAlign w:val="center"/>
            <w:hideMark/>
          </w:tcPr>
          <w:p w14:paraId="2D33D9BE"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Despesa – realização de despesas – irregularidades</w:t>
            </w:r>
          </w:p>
        </w:tc>
        <w:tc>
          <w:tcPr>
            <w:tcW w:w="1418" w:type="dxa"/>
            <w:shd w:val="clear" w:color="auto" w:fill="auto"/>
            <w:vAlign w:val="center"/>
            <w:hideMark/>
          </w:tcPr>
          <w:p w14:paraId="39351D99" w14:textId="77777777" w:rsidR="007B690E" w:rsidRPr="007B690E" w:rsidRDefault="007B690E" w:rsidP="007B690E">
            <w:pPr>
              <w:widowControl w:val="0"/>
              <w:spacing w:after="0" w:line="240" w:lineRule="auto"/>
              <w:jc w:val="both"/>
              <w:rPr>
                <w:rFonts w:ascii="Arial" w:eastAsia="Calibri" w:hAnsi="Arial" w:cs="Arial"/>
                <w:color w:val="000000"/>
                <w:sz w:val="16"/>
                <w:szCs w:val="16"/>
                <w:lang w:val="en-US"/>
              </w:rPr>
            </w:pPr>
            <w:r w:rsidRPr="007B690E">
              <w:rPr>
                <w:rFonts w:ascii="Arial" w:eastAsia="Calibri" w:hAnsi="Arial" w:cs="Arial"/>
                <w:color w:val="000000"/>
                <w:sz w:val="16"/>
                <w:szCs w:val="16"/>
                <w:lang w:val="en-US"/>
              </w:rPr>
              <w:t>LC 101/2000, art. 15 c/c Lei 4.320/1964, art. 4º.</w:t>
            </w:r>
          </w:p>
        </w:tc>
        <w:tc>
          <w:tcPr>
            <w:tcW w:w="1417" w:type="dxa"/>
            <w:vAlign w:val="center"/>
          </w:tcPr>
          <w:p w14:paraId="45BD582D"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Auditoria Governamental de conformidade</w:t>
            </w:r>
          </w:p>
        </w:tc>
        <w:tc>
          <w:tcPr>
            <w:tcW w:w="2694" w:type="dxa"/>
            <w:shd w:val="clear" w:color="auto" w:fill="auto"/>
            <w:vAlign w:val="center"/>
            <w:hideMark/>
          </w:tcPr>
          <w:p w14:paraId="0BEC9390"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Avaliar se foram realizadas despesas consideradas não autorizadas, irregulares e lesivas ao patrimônio público, ilegais e/ou ilegítimas.</w:t>
            </w:r>
          </w:p>
        </w:tc>
        <w:tc>
          <w:tcPr>
            <w:tcW w:w="1275" w:type="dxa"/>
            <w:shd w:val="clear" w:color="auto" w:fill="auto"/>
            <w:vAlign w:val="center"/>
            <w:hideMark/>
          </w:tcPr>
          <w:p w14:paraId="0DE5AD4B"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Gestão (Todas as  UG's)</w:t>
            </w:r>
          </w:p>
        </w:tc>
      </w:tr>
      <w:tr w:rsidR="007B690E" w:rsidRPr="007B690E" w14:paraId="49F02D82" w14:textId="77777777" w:rsidTr="007B690E">
        <w:trPr>
          <w:trHeight w:val="964"/>
        </w:trPr>
        <w:tc>
          <w:tcPr>
            <w:tcW w:w="851" w:type="dxa"/>
            <w:vAlign w:val="center"/>
          </w:tcPr>
          <w:p w14:paraId="0E6BA5AA" w14:textId="77777777" w:rsidR="007B690E" w:rsidRPr="007B690E" w:rsidRDefault="00464965" w:rsidP="007B690E">
            <w:pPr>
              <w:widowControl w:val="0"/>
              <w:spacing w:after="0" w:line="240" w:lineRule="auto"/>
              <w:jc w:val="center"/>
              <w:rPr>
                <w:rFonts w:ascii="Arial" w:eastAsia="Calibri" w:hAnsi="Arial" w:cs="Arial"/>
                <w:color w:val="000000"/>
                <w:sz w:val="16"/>
                <w:szCs w:val="16"/>
              </w:rPr>
            </w:pPr>
            <w:r>
              <w:rPr>
                <w:rFonts w:ascii="Arial" w:eastAsia="Calibri" w:hAnsi="Arial" w:cs="Arial"/>
                <w:sz w:val="16"/>
                <w:szCs w:val="16"/>
              </w:rPr>
              <w:t>2.2.31</w:t>
            </w:r>
          </w:p>
        </w:tc>
        <w:tc>
          <w:tcPr>
            <w:tcW w:w="1417" w:type="dxa"/>
            <w:shd w:val="clear" w:color="auto" w:fill="auto"/>
            <w:vAlign w:val="center"/>
            <w:hideMark/>
          </w:tcPr>
          <w:p w14:paraId="52BF317D" w14:textId="77777777" w:rsidR="007B690E" w:rsidRPr="007B690E" w:rsidRDefault="007B690E" w:rsidP="007B690E">
            <w:pPr>
              <w:widowControl w:val="0"/>
              <w:spacing w:after="0" w:line="240" w:lineRule="auto"/>
              <w:jc w:val="both"/>
              <w:rPr>
                <w:rFonts w:ascii="Arial" w:eastAsia="Calibri" w:hAnsi="Arial" w:cs="Arial"/>
                <w:color w:val="000000"/>
                <w:sz w:val="16"/>
                <w:szCs w:val="16"/>
                <w:lang w:val="en-US"/>
              </w:rPr>
            </w:pPr>
            <w:r w:rsidRPr="007B690E">
              <w:rPr>
                <w:rFonts w:ascii="Arial" w:eastAsia="Calibri" w:hAnsi="Arial" w:cs="Arial"/>
                <w:color w:val="000000"/>
                <w:sz w:val="16"/>
                <w:szCs w:val="16"/>
                <w:lang w:val="en-US"/>
              </w:rPr>
              <w:t>Despesa – liquidação</w:t>
            </w:r>
          </w:p>
        </w:tc>
        <w:tc>
          <w:tcPr>
            <w:tcW w:w="1418" w:type="dxa"/>
            <w:shd w:val="clear" w:color="auto" w:fill="auto"/>
            <w:vAlign w:val="center"/>
            <w:hideMark/>
          </w:tcPr>
          <w:p w14:paraId="0BDA743C" w14:textId="77777777" w:rsidR="007B690E" w:rsidRPr="007B690E" w:rsidRDefault="007B690E" w:rsidP="007B690E">
            <w:pPr>
              <w:widowControl w:val="0"/>
              <w:spacing w:after="0" w:line="240" w:lineRule="auto"/>
              <w:jc w:val="both"/>
              <w:rPr>
                <w:rFonts w:ascii="Arial" w:eastAsia="Calibri" w:hAnsi="Arial" w:cs="Arial"/>
                <w:color w:val="000000"/>
                <w:sz w:val="16"/>
                <w:szCs w:val="16"/>
                <w:lang w:val="en-US"/>
              </w:rPr>
            </w:pPr>
            <w:r w:rsidRPr="007B690E">
              <w:rPr>
                <w:rFonts w:ascii="Arial" w:eastAsia="Calibri" w:hAnsi="Arial" w:cs="Arial"/>
                <w:color w:val="000000"/>
                <w:sz w:val="16"/>
                <w:szCs w:val="16"/>
                <w:lang w:val="en-US"/>
              </w:rPr>
              <w:t>Lei 4.320/1964, art. 63.</w:t>
            </w:r>
          </w:p>
        </w:tc>
        <w:tc>
          <w:tcPr>
            <w:tcW w:w="1417" w:type="dxa"/>
            <w:vAlign w:val="center"/>
          </w:tcPr>
          <w:p w14:paraId="56A9E3E2"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Auditoria Governamental de conformidade</w:t>
            </w:r>
          </w:p>
        </w:tc>
        <w:tc>
          <w:tcPr>
            <w:tcW w:w="2694" w:type="dxa"/>
            <w:shd w:val="clear" w:color="auto" w:fill="auto"/>
            <w:vAlign w:val="center"/>
            <w:hideMark/>
          </w:tcPr>
          <w:p w14:paraId="4E9836E2"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 xml:space="preserve">Avaliar se foram observados os pré-requisitos estabelecidos no artigo 63 da Lei Federal nº 4.320/64 para a liquidação das despesas. </w:t>
            </w:r>
          </w:p>
        </w:tc>
        <w:tc>
          <w:tcPr>
            <w:tcW w:w="1275" w:type="dxa"/>
            <w:shd w:val="clear" w:color="auto" w:fill="auto"/>
            <w:vAlign w:val="center"/>
            <w:hideMark/>
          </w:tcPr>
          <w:p w14:paraId="407E5784"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Gestão (Todas as  UG's</w:t>
            </w:r>
          </w:p>
        </w:tc>
      </w:tr>
      <w:tr w:rsidR="007B690E" w:rsidRPr="007B690E" w14:paraId="13B06CA4" w14:textId="77777777" w:rsidTr="007B690E">
        <w:trPr>
          <w:trHeight w:val="270"/>
        </w:trPr>
        <w:tc>
          <w:tcPr>
            <w:tcW w:w="851" w:type="dxa"/>
            <w:vAlign w:val="center"/>
          </w:tcPr>
          <w:p w14:paraId="1E0EA3CE" w14:textId="77777777" w:rsidR="007B690E" w:rsidRPr="007B690E" w:rsidRDefault="00464965" w:rsidP="007B690E">
            <w:pPr>
              <w:widowControl w:val="0"/>
              <w:spacing w:after="0" w:line="240" w:lineRule="auto"/>
              <w:jc w:val="center"/>
              <w:rPr>
                <w:rFonts w:ascii="Arial" w:eastAsia="Calibri" w:hAnsi="Arial" w:cs="Arial"/>
                <w:color w:val="000000"/>
                <w:sz w:val="16"/>
                <w:szCs w:val="16"/>
              </w:rPr>
            </w:pPr>
            <w:r>
              <w:rPr>
                <w:rFonts w:ascii="Arial" w:eastAsia="Calibri" w:hAnsi="Arial" w:cs="Arial"/>
                <w:sz w:val="16"/>
                <w:szCs w:val="16"/>
              </w:rPr>
              <w:t>2.2.32</w:t>
            </w:r>
          </w:p>
        </w:tc>
        <w:tc>
          <w:tcPr>
            <w:tcW w:w="1417" w:type="dxa"/>
            <w:shd w:val="clear" w:color="auto" w:fill="auto"/>
            <w:vAlign w:val="center"/>
            <w:hideMark/>
          </w:tcPr>
          <w:p w14:paraId="32AEC591"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Pagamento de despesas sem regular liquidação</w:t>
            </w:r>
          </w:p>
        </w:tc>
        <w:tc>
          <w:tcPr>
            <w:tcW w:w="1418" w:type="dxa"/>
            <w:shd w:val="clear" w:color="auto" w:fill="auto"/>
            <w:vAlign w:val="center"/>
            <w:hideMark/>
          </w:tcPr>
          <w:p w14:paraId="75DE1A33" w14:textId="77777777" w:rsidR="007B690E" w:rsidRPr="007B690E" w:rsidRDefault="007B690E" w:rsidP="007B690E">
            <w:pPr>
              <w:widowControl w:val="0"/>
              <w:spacing w:after="0" w:line="240" w:lineRule="auto"/>
              <w:jc w:val="both"/>
              <w:rPr>
                <w:rFonts w:ascii="Arial" w:eastAsia="Calibri" w:hAnsi="Arial" w:cs="Arial"/>
                <w:color w:val="000000"/>
                <w:sz w:val="16"/>
                <w:szCs w:val="16"/>
                <w:lang w:val="en-US"/>
              </w:rPr>
            </w:pPr>
            <w:r w:rsidRPr="007B690E">
              <w:rPr>
                <w:rFonts w:ascii="Arial" w:eastAsia="Calibri" w:hAnsi="Arial" w:cs="Arial"/>
                <w:color w:val="000000"/>
                <w:sz w:val="16"/>
                <w:szCs w:val="16"/>
                <w:lang w:val="en-US"/>
              </w:rPr>
              <w:t>Lei 4.320/1964, art. 62.</w:t>
            </w:r>
          </w:p>
        </w:tc>
        <w:tc>
          <w:tcPr>
            <w:tcW w:w="1417" w:type="dxa"/>
            <w:vAlign w:val="center"/>
          </w:tcPr>
          <w:p w14:paraId="649FFE27"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Auditoria Governamental de conformidade</w:t>
            </w:r>
          </w:p>
        </w:tc>
        <w:tc>
          <w:tcPr>
            <w:tcW w:w="2694" w:type="dxa"/>
            <w:shd w:val="clear" w:color="auto" w:fill="auto"/>
            <w:vAlign w:val="center"/>
            <w:hideMark/>
          </w:tcPr>
          <w:p w14:paraId="68E60019"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Avaliar se houve pagamento de despesa sem sua regular liquidação.</w:t>
            </w:r>
          </w:p>
        </w:tc>
        <w:tc>
          <w:tcPr>
            <w:tcW w:w="1275" w:type="dxa"/>
            <w:shd w:val="clear" w:color="auto" w:fill="auto"/>
            <w:vAlign w:val="center"/>
            <w:hideMark/>
          </w:tcPr>
          <w:p w14:paraId="5A9EA86E"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Gestão (Todas as  UG's</w:t>
            </w:r>
          </w:p>
        </w:tc>
      </w:tr>
      <w:tr w:rsidR="007B690E" w:rsidRPr="007B690E" w14:paraId="11278C26" w14:textId="77777777" w:rsidTr="007B690E">
        <w:trPr>
          <w:trHeight w:val="561"/>
        </w:trPr>
        <w:tc>
          <w:tcPr>
            <w:tcW w:w="851" w:type="dxa"/>
            <w:vAlign w:val="center"/>
          </w:tcPr>
          <w:p w14:paraId="72447989" w14:textId="77777777" w:rsidR="007B690E" w:rsidRPr="007B690E" w:rsidRDefault="00464965" w:rsidP="007B690E">
            <w:pPr>
              <w:widowControl w:val="0"/>
              <w:spacing w:after="0" w:line="240" w:lineRule="auto"/>
              <w:jc w:val="center"/>
              <w:rPr>
                <w:rFonts w:ascii="Arial" w:eastAsia="Calibri" w:hAnsi="Arial" w:cs="Arial"/>
                <w:color w:val="000000"/>
                <w:sz w:val="16"/>
                <w:szCs w:val="16"/>
              </w:rPr>
            </w:pPr>
            <w:r>
              <w:rPr>
                <w:rFonts w:ascii="Arial" w:eastAsia="Calibri" w:hAnsi="Arial" w:cs="Arial"/>
                <w:sz w:val="16"/>
                <w:szCs w:val="16"/>
              </w:rPr>
              <w:t>2.2.33</w:t>
            </w:r>
          </w:p>
        </w:tc>
        <w:tc>
          <w:tcPr>
            <w:tcW w:w="1417" w:type="dxa"/>
            <w:shd w:val="clear" w:color="auto" w:fill="auto"/>
            <w:vAlign w:val="center"/>
            <w:hideMark/>
          </w:tcPr>
          <w:p w14:paraId="47F7722F" w14:textId="77777777" w:rsidR="007B690E" w:rsidRPr="007B690E" w:rsidRDefault="007B690E" w:rsidP="007B690E">
            <w:pPr>
              <w:widowControl w:val="0"/>
              <w:spacing w:after="0" w:line="240" w:lineRule="auto"/>
              <w:jc w:val="both"/>
              <w:rPr>
                <w:rFonts w:ascii="Arial" w:eastAsia="Calibri" w:hAnsi="Arial" w:cs="Arial"/>
                <w:color w:val="000000"/>
                <w:sz w:val="16"/>
                <w:szCs w:val="16"/>
                <w:lang w:val="en-US"/>
              </w:rPr>
            </w:pPr>
            <w:r w:rsidRPr="007B690E">
              <w:rPr>
                <w:rFonts w:ascii="Arial" w:eastAsia="Calibri" w:hAnsi="Arial" w:cs="Arial"/>
                <w:color w:val="000000"/>
                <w:sz w:val="16"/>
                <w:szCs w:val="16"/>
                <w:lang w:val="en-US"/>
              </w:rPr>
              <w:t>Despesa – desvio de finalidade</w:t>
            </w:r>
          </w:p>
        </w:tc>
        <w:tc>
          <w:tcPr>
            <w:tcW w:w="1418" w:type="dxa"/>
            <w:shd w:val="clear" w:color="auto" w:fill="auto"/>
            <w:vAlign w:val="center"/>
            <w:hideMark/>
          </w:tcPr>
          <w:p w14:paraId="7AE440D3"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LC 101/2000, art. 8º, parágrafo único.</w:t>
            </w:r>
          </w:p>
        </w:tc>
        <w:tc>
          <w:tcPr>
            <w:tcW w:w="1417" w:type="dxa"/>
            <w:vAlign w:val="center"/>
          </w:tcPr>
          <w:p w14:paraId="2197D0FF"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Auditoria Governamental de conformidade</w:t>
            </w:r>
          </w:p>
        </w:tc>
        <w:tc>
          <w:tcPr>
            <w:tcW w:w="2694" w:type="dxa"/>
            <w:shd w:val="clear" w:color="auto" w:fill="auto"/>
            <w:vAlign w:val="center"/>
            <w:hideMark/>
          </w:tcPr>
          <w:p w14:paraId="5839814E"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Avaliar se houve desvio de finalidade na execução das despesas decorrentes de recursos vinculados.</w:t>
            </w:r>
          </w:p>
        </w:tc>
        <w:tc>
          <w:tcPr>
            <w:tcW w:w="1275" w:type="dxa"/>
            <w:shd w:val="clear" w:color="auto" w:fill="auto"/>
            <w:vAlign w:val="center"/>
            <w:hideMark/>
          </w:tcPr>
          <w:p w14:paraId="31226FCB"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Gestão (Todas as UG´s)</w:t>
            </w:r>
          </w:p>
        </w:tc>
      </w:tr>
      <w:tr w:rsidR="007B690E" w:rsidRPr="007B690E" w14:paraId="1F1BDA7A" w14:textId="77777777" w:rsidTr="007B690E">
        <w:trPr>
          <w:trHeight w:val="954"/>
        </w:trPr>
        <w:tc>
          <w:tcPr>
            <w:tcW w:w="851" w:type="dxa"/>
            <w:vAlign w:val="center"/>
          </w:tcPr>
          <w:p w14:paraId="353859A2" w14:textId="77777777" w:rsidR="007B690E" w:rsidRPr="007B690E" w:rsidRDefault="00464965" w:rsidP="007B690E">
            <w:pPr>
              <w:widowControl w:val="0"/>
              <w:spacing w:after="0" w:line="240" w:lineRule="auto"/>
              <w:jc w:val="center"/>
              <w:rPr>
                <w:rFonts w:ascii="Arial" w:eastAsia="Calibri" w:hAnsi="Arial" w:cs="Arial"/>
                <w:color w:val="000000"/>
                <w:sz w:val="16"/>
                <w:szCs w:val="16"/>
              </w:rPr>
            </w:pPr>
            <w:r>
              <w:rPr>
                <w:rFonts w:ascii="Arial" w:eastAsia="Calibri" w:hAnsi="Arial" w:cs="Arial"/>
                <w:sz w:val="16"/>
                <w:szCs w:val="16"/>
              </w:rPr>
              <w:t>2.2.34</w:t>
            </w:r>
          </w:p>
        </w:tc>
        <w:tc>
          <w:tcPr>
            <w:tcW w:w="1417" w:type="dxa"/>
            <w:shd w:val="clear" w:color="auto" w:fill="auto"/>
            <w:vAlign w:val="center"/>
            <w:hideMark/>
          </w:tcPr>
          <w:p w14:paraId="4DD36ECC"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Despesa – auxílios, contribuições e subvenções.</w:t>
            </w:r>
          </w:p>
        </w:tc>
        <w:tc>
          <w:tcPr>
            <w:tcW w:w="1418" w:type="dxa"/>
            <w:shd w:val="clear" w:color="auto" w:fill="auto"/>
            <w:vAlign w:val="center"/>
            <w:hideMark/>
          </w:tcPr>
          <w:p w14:paraId="434E64DF" w14:textId="77777777" w:rsidR="007B690E" w:rsidRPr="007B690E" w:rsidRDefault="007B690E" w:rsidP="007B690E">
            <w:pPr>
              <w:widowControl w:val="0"/>
              <w:spacing w:after="0" w:line="240" w:lineRule="auto"/>
              <w:jc w:val="both"/>
              <w:rPr>
                <w:rFonts w:ascii="Arial" w:eastAsia="Calibri" w:hAnsi="Arial" w:cs="Arial"/>
                <w:color w:val="000000"/>
                <w:sz w:val="16"/>
                <w:szCs w:val="16"/>
                <w:lang w:val="en-US"/>
              </w:rPr>
            </w:pPr>
            <w:r w:rsidRPr="007B690E">
              <w:rPr>
                <w:rFonts w:ascii="Arial" w:eastAsia="Calibri" w:hAnsi="Arial" w:cs="Arial"/>
                <w:color w:val="000000"/>
                <w:sz w:val="16"/>
                <w:szCs w:val="16"/>
                <w:lang w:val="en-US"/>
              </w:rPr>
              <w:t>Legislação específica.</w:t>
            </w:r>
          </w:p>
        </w:tc>
        <w:tc>
          <w:tcPr>
            <w:tcW w:w="1417" w:type="dxa"/>
            <w:vAlign w:val="center"/>
          </w:tcPr>
          <w:p w14:paraId="318093E8"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Auditoria Governamental de conformidade</w:t>
            </w:r>
          </w:p>
        </w:tc>
        <w:tc>
          <w:tcPr>
            <w:tcW w:w="2694" w:type="dxa"/>
            <w:shd w:val="clear" w:color="auto" w:fill="auto"/>
            <w:vAlign w:val="center"/>
            <w:hideMark/>
          </w:tcPr>
          <w:p w14:paraId="2CB6FD67"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Avaliar se houve concessão de auxílios, contribuições ou subvenções a entidades privadas sem previsão na LDO, na LOA e em lei específica.</w:t>
            </w:r>
          </w:p>
        </w:tc>
        <w:tc>
          <w:tcPr>
            <w:tcW w:w="1275" w:type="dxa"/>
            <w:shd w:val="clear" w:color="auto" w:fill="auto"/>
            <w:vAlign w:val="center"/>
            <w:hideMark/>
          </w:tcPr>
          <w:p w14:paraId="03243542"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Gestão (Todas as UG´s)</w:t>
            </w:r>
          </w:p>
        </w:tc>
      </w:tr>
      <w:tr w:rsidR="007B690E" w:rsidRPr="007B690E" w14:paraId="0A4E3420" w14:textId="77777777" w:rsidTr="007B690E">
        <w:trPr>
          <w:trHeight w:val="930"/>
        </w:trPr>
        <w:tc>
          <w:tcPr>
            <w:tcW w:w="851" w:type="dxa"/>
            <w:vAlign w:val="center"/>
          </w:tcPr>
          <w:p w14:paraId="0A994854" w14:textId="77777777" w:rsidR="007B690E" w:rsidRPr="007B690E" w:rsidRDefault="00464965" w:rsidP="007B690E">
            <w:pPr>
              <w:widowControl w:val="0"/>
              <w:spacing w:after="0" w:line="240" w:lineRule="auto"/>
              <w:jc w:val="center"/>
              <w:rPr>
                <w:rFonts w:ascii="Arial" w:eastAsia="Calibri" w:hAnsi="Arial" w:cs="Arial"/>
                <w:color w:val="000000"/>
                <w:sz w:val="16"/>
                <w:szCs w:val="16"/>
              </w:rPr>
            </w:pPr>
            <w:r>
              <w:rPr>
                <w:rFonts w:ascii="Arial" w:eastAsia="Calibri" w:hAnsi="Arial" w:cs="Arial"/>
                <w:sz w:val="16"/>
                <w:szCs w:val="16"/>
              </w:rPr>
              <w:lastRenderedPageBreak/>
              <w:t>2.2.35</w:t>
            </w:r>
          </w:p>
        </w:tc>
        <w:tc>
          <w:tcPr>
            <w:tcW w:w="1417" w:type="dxa"/>
            <w:shd w:val="clear" w:color="auto" w:fill="auto"/>
            <w:vAlign w:val="center"/>
            <w:hideMark/>
          </w:tcPr>
          <w:p w14:paraId="35786601" w14:textId="77777777" w:rsidR="007B690E" w:rsidRPr="007B690E" w:rsidRDefault="007B690E" w:rsidP="007B690E">
            <w:pPr>
              <w:widowControl w:val="0"/>
              <w:spacing w:after="0" w:line="240" w:lineRule="auto"/>
              <w:jc w:val="both"/>
              <w:rPr>
                <w:rFonts w:ascii="Arial" w:eastAsia="Calibri" w:hAnsi="Arial" w:cs="Arial"/>
                <w:color w:val="000000"/>
                <w:sz w:val="16"/>
                <w:szCs w:val="16"/>
                <w:lang w:val="en-US"/>
              </w:rPr>
            </w:pPr>
            <w:r w:rsidRPr="007B690E">
              <w:rPr>
                <w:rFonts w:ascii="Arial" w:eastAsia="Calibri" w:hAnsi="Arial" w:cs="Arial"/>
                <w:color w:val="000000"/>
                <w:sz w:val="16"/>
                <w:szCs w:val="16"/>
                <w:lang w:val="en-US"/>
              </w:rPr>
              <w:t>Despesa – subvenção social.</w:t>
            </w:r>
          </w:p>
        </w:tc>
        <w:tc>
          <w:tcPr>
            <w:tcW w:w="1418" w:type="dxa"/>
            <w:shd w:val="clear" w:color="auto" w:fill="auto"/>
            <w:vAlign w:val="center"/>
            <w:hideMark/>
          </w:tcPr>
          <w:p w14:paraId="66EE03A3" w14:textId="77777777" w:rsidR="007B690E" w:rsidRPr="007B690E" w:rsidRDefault="007B690E" w:rsidP="007B690E">
            <w:pPr>
              <w:widowControl w:val="0"/>
              <w:spacing w:after="0" w:line="240" w:lineRule="auto"/>
              <w:jc w:val="both"/>
              <w:rPr>
                <w:rFonts w:ascii="Arial" w:eastAsia="Calibri" w:hAnsi="Arial" w:cs="Arial"/>
                <w:color w:val="000000"/>
                <w:sz w:val="16"/>
                <w:szCs w:val="16"/>
                <w:lang w:val="en-US"/>
              </w:rPr>
            </w:pPr>
            <w:r w:rsidRPr="007B690E">
              <w:rPr>
                <w:rFonts w:ascii="Arial" w:eastAsia="Calibri" w:hAnsi="Arial" w:cs="Arial"/>
                <w:color w:val="000000"/>
                <w:sz w:val="16"/>
                <w:szCs w:val="16"/>
                <w:lang w:val="en-US"/>
              </w:rPr>
              <w:t>Lei 4.320/1964, art. 16.</w:t>
            </w:r>
          </w:p>
        </w:tc>
        <w:tc>
          <w:tcPr>
            <w:tcW w:w="1417" w:type="dxa"/>
            <w:vAlign w:val="center"/>
          </w:tcPr>
          <w:p w14:paraId="540E64CC"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Auditoria Governamental de conformidade</w:t>
            </w:r>
          </w:p>
        </w:tc>
        <w:tc>
          <w:tcPr>
            <w:tcW w:w="2694" w:type="dxa"/>
            <w:shd w:val="clear" w:color="auto" w:fill="auto"/>
            <w:vAlign w:val="center"/>
            <w:hideMark/>
          </w:tcPr>
          <w:p w14:paraId="473DC51E"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Avaliar se a concessão de subvenção social obedeceu o disposto no art. 16, da Lei Federal nº 4.320/1964, especialmente no que se refere o seu parágrafo único.</w:t>
            </w:r>
          </w:p>
        </w:tc>
        <w:tc>
          <w:tcPr>
            <w:tcW w:w="1275" w:type="dxa"/>
            <w:shd w:val="clear" w:color="auto" w:fill="auto"/>
            <w:vAlign w:val="center"/>
            <w:hideMark/>
          </w:tcPr>
          <w:p w14:paraId="27BFF607"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Gestão (Todas as UG´s</w:t>
            </w:r>
          </w:p>
        </w:tc>
      </w:tr>
      <w:tr w:rsidR="007B690E" w:rsidRPr="007B690E" w14:paraId="2B32D58C" w14:textId="77777777" w:rsidTr="007B690E">
        <w:trPr>
          <w:trHeight w:val="420"/>
        </w:trPr>
        <w:tc>
          <w:tcPr>
            <w:tcW w:w="9072" w:type="dxa"/>
            <w:gridSpan w:val="6"/>
            <w:vAlign w:val="center"/>
          </w:tcPr>
          <w:p w14:paraId="75327156" w14:textId="77777777" w:rsidR="007B690E" w:rsidRPr="007B690E" w:rsidRDefault="007B690E" w:rsidP="007B690E">
            <w:pPr>
              <w:widowControl w:val="0"/>
              <w:spacing w:after="0" w:line="240" w:lineRule="auto"/>
              <w:rPr>
                <w:rFonts w:ascii="Arial" w:eastAsia="Calibri" w:hAnsi="Arial" w:cs="Arial"/>
                <w:color w:val="000000"/>
                <w:sz w:val="16"/>
                <w:szCs w:val="16"/>
              </w:rPr>
            </w:pPr>
            <w:r w:rsidRPr="007B690E">
              <w:rPr>
                <w:rFonts w:ascii="Arial" w:eastAsia="Calibri" w:hAnsi="Arial" w:cs="Arial"/>
                <w:b/>
                <w:bCs/>
                <w:color w:val="000000"/>
              </w:rPr>
              <w:t>2.3. Gestão patrimonial</w:t>
            </w:r>
          </w:p>
        </w:tc>
      </w:tr>
      <w:tr w:rsidR="007B690E" w:rsidRPr="007B690E" w14:paraId="5555955D" w14:textId="77777777" w:rsidTr="007B690E">
        <w:trPr>
          <w:trHeight w:val="255"/>
        </w:trPr>
        <w:tc>
          <w:tcPr>
            <w:tcW w:w="851" w:type="dxa"/>
            <w:vAlign w:val="center"/>
          </w:tcPr>
          <w:p w14:paraId="58372583" w14:textId="77777777" w:rsidR="007B690E" w:rsidRPr="007B690E" w:rsidRDefault="007B690E" w:rsidP="007B690E">
            <w:pPr>
              <w:widowControl w:val="0"/>
              <w:spacing w:after="0" w:line="240" w:lineRule="auto"/>
              <w:jc w:val="center"/>
              <w:rPr>
                <w:rFonts w:ascii="Arial" w:eastAsia="Calibri" w:hAnsi="Arial" w:cs="Arial"/>
                <w:b/>
                <w:bCs/>
                <w:color w:val="000000"/>
                <w:sz w:val="16"/>
                <w:szCs w:val="16"/>
              </w:rPr>
            </w:pPr>
            <w:r w:rsidRPr="007B690E">
              <w:rPr>
                <w:rFonts w:ascii="Arial" w:eastAsia="Calibri" w:hAnsi="Arial" w:cs="Arial"/>
                <w:b/>
                <w:bCs/>
                <w:color w:val="000000"/>
                <w:sz w:val="16"/>
                <w:szCs w:val="16"/>
              </w:rPr>
              <w:t>Código</w:t>
            </w:r>
          </w:p>
        </w:tc>
        <w:tc>
          <w:tcPr>
            <w:tcW w:w="1417" w:type="dxa"/>
            <w:shd w:val="clear" w:color="auto" w:fill="auto"/>
            <w:vAlign w:val="center"/>
            <w:hideMark/>
          </w:tcPr>
          <w:p w14:paraId="56A701A2" w14:textId="77777777" w:rsidR="007B690E" w:rsidRPr="007B690E" w:rsidRDefault="007B690E" w:rsidP="007B690E">
            <w:pPr>
              <w:widowControl w:val="0"/>
              <w:spacing w:after="0" w:line="240" w:lineRule="auto"/>
              <w:jc w:val="center"/>
              <w:rPr>
                <w:rFonts w:ascii="Arial" w:eastAsia="Calibri" w:hAnsi="Arial" w:cs="Arial"/>
                <w:b/>
                <w:bCs/>
                <w:color w:val="000000"/>
                <w:sz w:val="16"/>
                <w:szCs w:val="16"/>
              </w:rPr>
            </w:pPr>
            <w:r w:rsidRPr="007B690E">
              <w:rPr>
                <w:rFonts w:ascii="Arial" w:eastAsia="Calibri" w:hAnsi="Arial" w:cs="Arial"/>
                <w:b/>
                <w:bCs/>
                <w:color w:val="000000"/>
                <w:sz w:val="16"/>
                <w:szCs w:val="16"/>
              </w:rPr>
              <w:t>Ponto de controle</w:t>
            </w:r>
          </w:p>
        </w:tc>
        <w:tc>
          <w:tcPr>
            <w:tcW w:w="1418" w:type="dxa"/>
            <w:shd w:val="clear" w:color="auto" w:fill="auto"/>
            <w:vAlign w:val="center"/>
            <w:hideMark/>
          </w:tcPr>
          <w:p w14:paraId="5FF68508" w14:textId="77777777" w:rsidR="007B690E" w:rsidRPr="007B690E" w:rsidRDefault="007B690E" w:rsidP="007B690E">
            <w:pPr>
              <w:widowControl w:val="0"/>
              <w:spacing w:after="0" w:line="240" w:lineRule="auto"/>
              <w:jc w:val="center"/>
              <w:rPr>
                <w:rFonts w:ascii="Arial" w:eastAsia="Calibri" w:hAnsi="Arial" w:cs="Arial"/>
                <w:b/>
                <w:bCs/>
                <w:color w:val="000000"/>
                <w:sz w:val="16"/>
                <w:szCs w:val="16"/>
              </w:rPr>
            </w:pPr>
            <w:r w:rsidRPr="007B690E">
              <w:rPr>
                <w:rFonts w:ascii="Arial" w:eastAsia="Calibri" w:hAnsi="Arial" w:cs="Arial"/>
                <w:b/>
                <w:bCs/>
                <w:color w:val="000000"/>
                <w:sz w:val="16"/>
                <w:szCs w:val="16"/>
              </w:rPr>
              <w:t>Base legal</w:t>
            </w:r>
          </w:p>
        </w:tc>
        <w:tc>
          <w:tcPr>
            <w:tcW w:w="1417" w:type="dxa"/>
            <w:vAlign w:val="center"/>
          </w:tcPr>
          <w:p w14:paraId="0F5A744D" w14:textId="77777777" w:rsidR="007B690E" w:rsidRPr="007B690E" w:rsidRDefault="007B690E" w:rsidP="007B690E">
            <w:pPr>
              <w:widowControl w:val="0"/>
              <w:spacing w:after="0" w:line="240" w:lineRule="auto"/>
              <w:jc w:val="center"/>
              <w:rPr>
                <w:rFonts w:ascii="Arial" w:eastAsia="Calibri" w:hAnsi="Arial" w:cs="Arial"/>
                <w:b/>
                <w:bCs/>
                <w:color w:val="000000"/>
                <w:sz w:val="16"/>
                <w:szCs w:val="16"/>
              </w:rPr>
            </w:pPr>
            <w:r w:rsidRPr="007B690E">
              <w:rPr>
                <w:rFonts w:ascii="Arial" w:eastAsia="Calibri" w:hAnsi="Arial" w:cs="Arial"/>
                <w:b/>
                <w:bCs/>
                <w:color w:val="000000"/>
                <w:sz w:val="16"/>
                <w:szCs w:val="16"/>
              </w:rPr>
              <w:t>Tipo de procedimento sugerido</w:t>
            </w:r>
          </w:p>
        </w:tc>
        <w:tc>
          <w:tcPr>
            <w:tcW w:w="2694" w:type="dxa"/>
            <w:shd w:val="clear" w:color="auto" w:fill="auto"/>
            <w:vAlign w:val="center"/>
            <w:hideMark/>
          </w:tcPr>
          <w:p w14:paraId="1C2C7322" w14:textId="77777777" w:rsidR="007B690E" w:rsidRPr="007B690E" w:rsidRDefault="007B690E" w:rsidP="007B690E">
            <w:pPr>
              <w:widowControl w:val="0"/>
              <w:spacing w:after="0" w:line="240" w:lineRule="auto"/>
              <w:jc w:val="center"/>
              <w:rPr>
                <w:rFonts w:ascii="Arial" w:eastAsia="Calibri" w:hAnsi="Arial" w:cs="Arial"/>
                <w:b/>
                <w:bCs/>
                <w:color w:val="000000"/>
                <w:sz w:val="16"/>
                <w:szCs w:val="16"/>
              </w:rPr>
            </w:pPr>
            <w:r w:rsidRPr="007B690E">
              <w:rPr>
                <w:rFonts w:ascii="Arial" w:eastAsia="Calibri" w:hAnsi="Arial" w:cs="Arial"/>
                <w:b/>
                <w:bCs/>
                <w:color w:val="000000"/>
                <w:sz w:val="16"/>
                <w:szCs w:val="16"/>
              </w:rPr>
              <w:t>Procedimento</w:t>
            </w:r>
          </w:p>
        </w:tc>
        <w:tc>
          <w:tcPr>
            <w:tcW w:w="1275" w:type="dxa"/>
            <w:shd w:val="clear" w:color="auto" w:fill="auto"/>
            <w:vAlign w:val="center"/>
            <w:hideMark/>
          </w:tcPr>
          <w:p w14:paraId="7049ABED" w14:textId="77777777" w:rsidR="007B690E" w:rsidRPr="007B690E" w:rsidRDefault="007B690E" w:rsidP="007B690E">
            <w:pPr>
              <w:widowControl w:val="0"/>
              <w:spacing w:after="0" w:line="240" w:lineRule="auto"/>
              <w:jc w:val="center"/>
              <w:rPr>
                <w:rFonts w:ascii="Arial" w:eastAsia="Calibri" w:hAnsi="Arial" w:cs="Arial"/>
                <w:b/>
                <w:bCs/>
                <w:color w:val="000000"/>
                <w:sz w:val="16"/>
                <w:szCs w:val="16"/>
              </w:rPr>
            </w:pPr>
            <w:r w:rsidRPr="007B690E">
              <w:rPr>
                <w:rFonts w:ascii="Arial" w:eastAsia="Calibri" w:hAnsi="Arial" w:cs="Arial"/>
                <w:b/>
                <w:bCs/>
                <w:color w:val="000000"/>
                <w:sz w:val="16"/>
                <w:szCs w:val="16"/>
              </w:rPr>
              <w:t>Aplicável à</w:t>
            </w:r>
          </w:p>
        </w:tc>
      </w:tr>
      <w:tr w:rsidR="007B690E" w:rsidRPr="007B690E" w14:paraId="348C722E" w14:textId="77777777" w:rsidTr="007B690E">
        <w:trPr>
          <w:trHeight w:val="875"/>
        </w:trPr>
        <w:tc>
          <w:tcPr>
            <w:tcW w:w="851" w:type="dxa"/>
            <w:vAlign w:val="center"/>
          </w:tcPr>
          <w:p w14:paraId="4F4FEAC6"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2.3.1</w:t>
            </w:r>
          </w:p>
        </w:tc>
        <w:tc>
          <w:tcPr>
            <w:tcW w:w="1417" w:type="dxa"/>
            <w:shd w:val="clear" w:color="auto" w:fill="auto"/>
            <w:vAlign w:val="center"/>
            <w:hideMark/>
          </w:tcPr>
          <w:p w14:paraId="47EE8D8A"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Passivos contingentes – reconhecimento de precatórios judiciais</w:t>
            </w:r>
          </w:p>
        </w:tc>
        <w:tc>
          <w:tcPr>
            <w:tcW w:w="1418" w:type="dxa"/>
            <w:shd w:val="clear" w:color="auto" w:fill="auto"/>
            <w:vAlign w:val="center"/>
            <w:hideMark/>
          </w:tcPr>
          <w:p w14:paraId="25B8B848"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lang w:val="en-US"/>
              </w:rPr>
              <w:t xml:space="preserve">CRFB/88, art. 100. / ei nº 4.320/64, arts. </w:t>
            </w:r>
            <w:r w:rsidRPr="007B690E">
              <w:rPr>
                <w:rFonts w:ascii="Arial" w:eastAsia="Calibri" w:hAnsi="Arial" w:cs="Arial"/>
                <w:color w:val="000000"/>
                <w:sz w:val="16"/>
                <w:szCs w:val="16"/>
              </w:rPr>
              <w:t>67 e 105 c/c Norma Brasileira de Contabilidade NBC-TSP 03.</w:t>
            </w:r>
          </w:p>
        </w:tc>
        <w:tc>
          <w:tcPr>
            <w:tcW w:w="1417" w:type="dxa"/>
            <w:vAlign w:val="center"/>
          </w:tcPr>
          <w:p w14:paraId="3A827122"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Auditoria Governamental financeira</w:t>
            </w:r>
          </w:p>
        </w:tc>
        <w:tc>
          <w:tcPr>
            <w:tcW w:w="2694" w:type="dxa"/>
            <w:shd w:val="clear" w:color="auto" w:fill="auto"/>
            <w:vAlign w:val="center"/>
            <w:hideMark/>
          </w:tcPr>
          <w:p w14:paraId="393AEA10"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 xml:space="preserve">Avaliar se os precatórios judiciais e demais passivos contingentes estão sendo devidamente reconhecidos e evidenciados no balanço patrimonial. </w:t>
            </w:r>
          </w:p>
        </w:tc>
        <w:tc>
          <w:tcPr>
            <w:tcW w:w="1275" w:type="dxa"/>
            <w:shd w:val="clear" w:color="auto" w:fill="auto"/>
            <w:vAlign w:val="center"/>
            <w:hideMark/>
          </w:tcPr>
          <w:p w14:paraId="243230F2"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Gestão (Todas as  UG's)</w:t>
            </w:r>
          </w:p>
        </w:tc>
      </w:tr>
      <w:tr w:rsidR="007B690E" w:rsidRPr="007B690E" w14:paraId="6C2DC989" w14:textId="77777777" w:rsidTr="007B690E">
        <w:trPr>
          <w:trHeight w:val="749"/>
        </w:trPr>
        <w:tc>
          <w:tcPr>
            <w:tcW w:w="851" w:type="dxa"/>
            <w:vAlign w:val="center"/>
          </w:tcPr>
          <w:p w14:paraId="0B052661"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2.3.2</w:t>
            </w:r>
          </w:p>
        </w:tc>
        <w:tc>
          <w:tcPr>
            <w:tcW w:w="1417" w:type="dxa"/>
            <w:shd w:val="clear" w:color="auto" w:fill="auto"/>
            <w:vAlign w:val="center"/>
            <w:hideMark/>
          </w:tcPr>
          <w:p w14:paraId="5F9E1EA5" w14:textId="77777777" w:rsidR="007B690E" w:rsidRPr="007B690E" w:rsidRDefault="007B690E" w:rsidP="007B690E">
            <w:pPr>
              <w:widowControl w:val="0"/>
              <w:spacing w:after="0" w:line="240" w:lineRule="auto"/>
              <w:jc w:val="both"/>
              <w:rPr>
                <w:rFonts w:ascii="Arial" w:eastAsia="Calibri" w:hAnsi="Arial" w:cs="Arial"/>
                <w:color w:val="000000"/>
                <w:sz w:val="16"/>
                <w:szCs w:val="16"/>
                <w:lang w:val="en-US"/>
              </w:rPr>
            </w:pPr>
            <w:r w:rsidRPr="007B690E">
              <w:rPr>
                <w:rFonts w:ascii="Arial" w:eastAsia="Calibri" w:hAnsi="Arial" w:cs="Arial"/>
                <w:color w:val="000000"/>
                <w:sz w:val="16"/>
                <w:szCs w:val="16"/>
                <w:lang w:val="en-US"/>
              </w:rPr>
              <w:t>Dívida pública – precatórios – pagamento</w:t>
            </w:r>
          </w:p>
        </w:tc>
        <w:tc>
          <w:tcPr>
            <w:tcW w:w="1418" w:type="dxa"/>
            <w:shd w:val="clear" w:color="auto" w:fill="auto"/>
            <w:vAlign w:val="center"/>
            <w:hideMark/>
          </w:tcPr>
          <w:p w14:paraId="500A7DC0" w14:textId="77777777" w:rsidR="007B690E" w:rsidRPr="007B690E" w:rsidRDefault="007B690E" w:rsidP="007B690E">
            <w:pPr>
              <w:widowControl w:val="0"/>
              <w:spacing w:after="0" w:line="240" w:lineRule="auto"/>
              <w:jc w:val="both"/>
              <w:rPr>
                <w:rFonts w:ascii="Arial" w:eastAsia="Calibri" w:hAnsi="Arial" w:cs="Arial"/>
                <w:color w:val="000000"/>
                <w:sz w:val="16"/>
                <w:szCs w:val="16"/>
                <w:lang w:val="en-US"/>
              </w:rPr>
            </w:pPr>
            <w:r w:rsidRPr="007B690E">
              <w:rPr>
                <w:rFonts w:ascii="Arial" w:eastAsia="Calibri" w:hAnsi="Arial" w:cs="Arial"/>
                <w:color w:val="000000"/>
                <w:sz w:val="16"/>
                <w:szCs w:val="16"/>
                <w:lang w:val="en-US"/>
              </w:rPr>
              <w:t>CRFB/88, art. 100 c/c Lei 4.320/64, art. 67.</w:t>
            </w:r>
          </w:p>
        </w:tc>
        <w:tc>
          <w:tcPr>
            <w:tcW w:w="1417" w:type="dxa"/>
            <w:vAlign w:val="center"/>
          </w:tcPr>
          <w:p w14:paraId="3D871879" w14:textId="77777777" w:rsidR="007B690E" w:rsidRPr="007B690E" w:rsidRDefault="007B690E" w:rsidP="007B690E">
            <w:pPr>
              <w:widowControl w:val="0"/>
              <w:spacing w:after="0" w:line="240" w:lineRule="auto"/>
              <w:jc w:val="center"/>
              <w:rPr>
                <w:rFonts w:ascii="Arial" w:eastAsia="Calibri" w:hAnsi="Arial" w:cs="Arial"/>
                <w:bCs/>
                <w:color w:val="000000"/>
                <w:sz w:val="16"/>
                <w:szCs w:val="16"/>
                <w:lang w:val="en-US"/>
              </w:rPr>
            </w:pPr>
            <w:r w:rsidRPr="007B690E">
              <w:rPr>
                <w:rFonts w:ascii="Arial" w:eastAsia="Calibri" w:hAnsi="Arial" w:cs="Arial"/>
                <w:color w:val="000000"/>
                <w:sz w:val="16"/>
                <w:szCs w:val="16"/>
                <w:lang w:val="en-US"/>
              </w:rPr>
              <w:t>Auditoria Governamental de conformidade</w:t>
            </w:r>
          </w:p>
        </w:tc>
        <w:tc>
          <w:tcPr>
            <w:tcW w:w="2694" w:type="dxa"/>
            <w:shd w:val="clear" w:color="auto" w:fill="auto"/>
            <w:vAlign w:val="center"/>
            <w:hideMark/>
          </w:tcPr>
          <w:p w14:paraId="02C2BF1D"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bCs/>
                <w:color w:val="000000"/>
                <w:sz w:val="16"/>
                <w:szCs w:val="16"/>
              </w:rPr>
              <w:t>Avaliar se os precatórios judiciais estão sendo objeto de pagamento, obedecidas as regras de liquidez estabelecidas na CRFB/88.</w:t>
            </w:r>
          </w:p>
        </w:tc>
        <w:tc>
          <w:tcPr>
            <w:tcW w:w="1275" w:type="dxa"/>
            <w:shd w:val="clear" w:color="auto" w:fill="auto"/>
            <w:vAlign w:val="center"/>
            <w:hideMark/>
          </w:tcPr>
          <w:p w14:paraId="042A7742"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Gestão (Todas as  UG's)</w:t>
            </w:r>
          </w:p>
        </w:tc>
      </w:tr>
      <w:tr w:rsidR="007B690E" w:rsidRPr="007B690E" w14:paraId="2780DF32" w14:textId="77777777" w:rsidTr="007B690E">
        <w:trPr>
          <w:trHeight w:val="1527"/>
        </w:trPr>
        <w:tc>
          <w:tcPr>
            <w:tcW w:w="851" w:type="dxa"/>
            <w:vAlign w:val="center"/>
          </w:tcPr>
          <w:p w14:paraId="33998432"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2.3.3</w:t>
            </w:r>
          </w:p>
        </w:tc>
        <w:tc>
          <w:tcPr>
            <w:tcW w:w="1417" w:type="dxa"/>
            <w:shd w:val="clear" w:color="auto" w:fill="auto"/>
            <w:vAlign w:val="center"/>
            <w:hideMark/>
          </w:tcPr>
          <w:p w14:paraId="23715166" w14:textId="77777777" w:rsidR="007B690E" w:rsidRPr="007B690E" w:rsidRDefault="007B690E" w:rsidP="007B690E">
            <w:pPr>
              <w:widowControl w:val="0"/>
              <w:spacing w:after="0" w:line="240" w:lineRule="auto"/>
              <w:jc w:val="both"/>
              <w:rPr>
                <w:rFonts w:ascii="Arial" w:eastAsia="Calibri" w:hAnsi="Arial" w:cs="Arial"/>
                <w:color w:val="000000"/>
                <w:sz w:val="16"/>
                <w:szCs w:val="16"/>
                <w:lang w:val="en-US"/>
              </w:rPr>
            </w:pPr>
            <w:r w:rsidRPr="007B690E">
              <w:rPr>
                <w:rFonts w:ascii="Arial" w:eastAsia="Calibri" w:hAnsi="Arial" w:cs="Arial"/>
                <w:color w:val="000000"/>
                <w:sz w:val="16"/>
                <w:szCs w:val="16"/>
                <w:lang w:val="en-US"/>
              </w:rPr>
              <w:t>Evidenciação de resultados – consolidação</w:t>
            </w:r>
          </w:p>
        </w:tc>
        <w:tc>
          <w:tcPr>
            <w:tcW w:w="1418" w:type="dxa"/>
            <w:shd w:val="clear" w:color="auto" w:fill="auto"/>
            <w:vAlign w:val="center"/>
            <w:hideMark/>
          </w:tcPr>
          <w:p w14:paraId="4D4C8AB9"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Lei 4.320/1964, art. 85 / LC 101/2000, arts. 50 e 51 /Portarias STN nº 72 e 437/2012.</w:t>
            </w:r>
          </w:p>
        </w:tc>
        <w:tc>
          <w:tcPr>
            <w:tcW w:w="1417" w:type="dxa"/>
            <w:vAlign w:val="center"/>
          </w:tcPr>
          <w:p w14:paraId="0C72BECA"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Auditoria Governamental de conformidade</w:t>
            </w:r>
          </w:p>
        </w:tc>
        <w:tc>
          <w:tcPr>
            <w:tcW w:w="2694" w:type="dxa"/>
            <w:shd w:val="clear" w:color="auto" w:fill="auto"/>
            <w:vAlign w:val="center"/>
            <w:hideMark/>
          </w:tcPr>
          <w:p w14:paraId="290E0E38"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Verificar se os demonstrativos contábeis consolidam a execução orçamentária, financeira e patrimonial das unidades gestoras que integram o ente da federação, inclusive estatais dependentes e consórcios públicos.</w:t>
            </w:r>
          </w:p>
        </w:tc>
        <w:tc>
          <w:tcPr>
            <w:tcW w:w="1275" w:type="dxa"/>
            <w:shd w:val="clear" w:color="auto" w:fill="auto"/>
            <w:vAlign w:val="center"/>
            <w:hideMark/>
          </w:tcPr>
          <w:p w14:paraId="1B445516"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Governo</w:t>
            </w:r>
          </w:p>
        </w:tc>
      </w:tr>
      <w:tr w:rsidR="007B690E" w:rsidRPr="007B690E" w14:paraId="1B48DE19" w14:textId="77777777" w:rsidTr="007B690E">
        <w:trPr>
          <w:trHeight w:val="1283"/>
        </w:trPr>
        <w:tc>
          <w:tcPr>
            <w:tcW w:w="851" w:type="dxa"/>
            <w:vAlign w:val="center"/>
          </w:tcPr>
          <w:p w14:paraId="15FF4F78"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2.3.4</w:t>
            </w:r>
          </w:p>
        </w:tc>
        <w:tc>
          <w:tcPr>
            <w:tcW w:w="1417" w:type="dxa"/>
            <w:shd w:val="clear" w:color="auto" w:fill="auto"/>
            <w:vAlign w:val="center"/>
            <w:hideMark/>
          </w:tcPr>
          <w:p w14:paraId="7E985AF3"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Dívida ativa e demais créditos tributários – cancelamento</w:t>
            </w:r>
          </w:p>
        </w:tc>
        <w:tc>
          <w:tcPr>
            <w:tcW w:w="1418" w:type="dxa"/>
            <w:shd w:val="clear" w:color="auto" w:fill="auto"/>
            <w:vAlign w:val="center"/>
            <w:hideMark/>
          </w:tcPr>
          <w:p w14:paraId="35E60A7F" w14:textId="77777777" w:rsidR="007B690E" w:rsidRPr="007B690E" w:rsidRDefault="007B690E" w:rsidP="007B690E">
            <w:pPr>
              <w:widowControl w:val="0"/>
              <w:spacing w:after="0" w:line="240" w:lineRule="auto"/>
              <w:jc w:val="both"/>
              <w:rPr>
                <w:rFonts w:ascii="Arial" w:eastAsia="Calibri" w:hAnsi="Arial" w:cs="Arial"/>
                <w:color w:val="000000"/>
                <w:sz w:val="16"/>
                <w:szCs w:val="16"/>
                <w:lang w:val="en-US"/>
              </w:rPr>
            </w:pPr>
            <w:r w:rsidRPr="007B690E">
              <w:rPr>
                <w:rFonts w:ascii="Arial" w:eastAsia="Calibri" w:hAnsi="Arial" w:cs="Arial"/>
                <w:color w:val="000000"/>
                <w:sz w:val="16"/>
                <w:szCs w:val="16"/>
                <w:lang w:val="en-US"/>
              </w:rPr>
              <w:t>CRFB/88, art. 37 c/c LC 101/2000, art. 11.</w:t>
            </w:r>
          </w:p>
        </w:tc>
        <w:tc>
          <w:tcPr>
            <w:tcW w:w="1417" w:type="dxa"/>
            <w:vAlign w:val="center"/>
          </w:tcPr>
          <w:p w14:paraId="552D8B78"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Auditoria Governamental de conformidade</w:t>
            </w:r>
          </w:p>
        </w:tc>
        <w:tc>
          <w:tcPr>
            <w:tcW w:w="2694" w:type="dxa"/>
            <w:shd w:val="clear" w:color="auto" w:fill="auto"/>
            <w:vAlign w:val="center"/>
            <w:hideMark/>
          </w:tcPr>
          <w:p w14:paraId="4F4C528F"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Avaliar se houve comprovação do fato motivador para o cancelamento de dívida ativa e/ou demais créditos tributários, se houve previsão legal para a prática desses atos e se o impacto econômico-financeiro não comprometeu metas de resultados previstas na LDO.</w:t>
            </w:r>
          </w:p>
        </w:tc>
        <w:tc>
          <w:tcPr>
            <w:tcW w:w="1275" w:type="dxa"/>
            <w:shd w:val="clear" w:color="auto" w:fill="auto"/>
            <w:vAlign w:val="center"/>
            <w:hideMark/>
          </w:tcPr>
          <w:p w14:paraId="3E081B3B"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Governo (consolidação)</w:t>
            </w:r>
          </w:p>
          <w:p w14:paraId="580973C2"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p>
          <w:p w14:paraId="7DAAC4B2"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Gestão (UG responsável pela dívida Ativa)</w:t>
            </w:r>
          </w:p>
        </w:tc>
      </w:tr>
      <w:tr w:rsidR="007B690E" w:rsidRPr="007B690E" w14:paraId="3C2F4A69" w14:textId="77777777" w:rsidTr="007B690E">
        <w:trPr>
          <w:trHeight w:val="241"/>
        </w:trPr>
        <w:tc>
          <w:tcPr>
            <w:tcW w:w="851" w:type="dxa"/>
            <w:vAlign w:val="center"/>
          </w:tcPr>
          <w:p w14:paraId="557D1B41"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2.3.5</w:t>
            </w:r>
          </w:p>
        </w:tc>
        <w:tc>
          <w:tcPr>
            <w:tcW w:w="1417" w:type="dxa"/>
            <w:shd w:val="clear" w:color="auto" w:fill="auto"/>
            <w:vAlign w:val="center"/>
            <w:hideMark/>
          </w:tcPr>
          <w:p w14:paraId="3B8B72F7" w14:textId="77777777" w:rsidR="007B690E" w:rsidRPr="007B690E" w:rsidRDefault="007B690E" w:rsidP="007B690E">
            <w:pPr>
              <w:widowControl w:val="0"/>
              <w:spacing w:after="0" w:line="240" w:lineRule="auto"/>
              <w:jc w:val="both"/>
              <w:rPr>
                <w:rFonts w:ascii="Arial" w:eastAsia="Calibri" w:hAnsi="Arial" w:cs="Arial"/>
                <w:color w:val="000000"/>
                <w:sz w:val="16"/>
                <w:szCs w:val="16"/>
                <w:lang w:val="en-US"/>
              </w:rPr>
            </w:pPr>
            <w:r w:rsidRPr="007B690E">
              <w:rPr>
                <w:rFonts w:ascii="Arial" w:eastAsia="Calibri" w:hAnsi="Arial" w:cs="Arial"/>
                <w:color w:val="000000"/>
                <w:sz w:val="16"/>
                <w:szCs w:val="16"/>
                <w:lang w:val="en-US"/>
              </w:rPr>
              <w:t>Cancelamento de passivos</w:t>
            </w:r>
          </w:p>
        </w:tc>
        <w:tc>
          <w:tcPr>
            <w:tcW w:w="1418" w:type="dxa"/>
            <w:shd w:val="clear" w:color="auto" w:fill="auto"/>
            <w:vAlign w:val="center"/>
            <w:hideMark/>
          </w:tcPr>
          <w:p w14:paraId="6FC64C36"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 xml:space="preserve">CRFB/88, art. 37, caput. c/c Norma Brasileira de Contabilidade NBC-TSP e NBC T 16. </w:t>
            </w:r>
          </w:p>
          <w:p w14:paraId="2566B5B2"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p>
          <w:p w14:paraId="70552DBA"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p>
          <w:p w14:paraId="0EC81E07"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p>
          <w:p w14:paraId="2E34A3EC"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p>
          <w:p w14:paraId="3481631C"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p>
          <w:p w14:paraId="62C402DC"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p>
        </w:tc>
        <w:tc>
          <w:tcPr>
            <w:tcW w:w="1417" w:type="dxa"/>
            <w:vAlign w:val="center"/>
          </w:tcPr>
          <w:p w14:paraId="14AE9C06"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Auditoria Governamental de conformidade</w:t>
            </w:r>
          </w:p>
        </w:tc>
        <w:tc>
          <w:tcPr>
            <w:tcW w:w="2694" w:type="dxa"/>
            <w:shd w:val="clear" w:color="auto" w:fill="auto"/>
            <w:vAlign w:val="center"/>
            <w:hideMark/>
          </w:tcPr>
          <w:p w14:paraId="09A44D74"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 xml:space="preserve">Avaliar se houve cancelamento de passivos sem comprovação do fato motivador. </w:t>
            </w:r>
          </w:p>
        </w:tc>
        <w:tc>
          <w:tcPr>
            <w:tcW w:w="1275" w:type="dxa"/>
            <w:shd w:val="clear" w:color="auto" w:fill="auto"/>
            <w:vAlign w:val="center"/>
            <w:hideMark/>
          </w:tcPr>
          <w:p w14:paraId="7F3C0240"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Gestão (Todas as UG's)</w:t>
            </w:r>
          </w:p>
        </w:tc>
      </w:tr>
      <w:tr w:rsidR="007B690E" w:rsidRPr="007B690E" w14:paraId="11D2231A" w14:textId="77777777" w:rsidTr="007B690E">
        <w:trPr>
          <w:trHeight w:val="421"/>
        </w:trPr>
        <w:tc>
          <w:tcPr>
            <w:tcW w:w="9072" w:type="dxa"/>
            <w:gridSpan w:val="6"/>
            <w:vAlign w:val="center"/>
          </w:tcPr>
          <w:p w14:paraId="7D466D0A" w14:textId="77777777" w:rsidR="007B690E" w:rsidRPr="007B690E" w:rsidRDefault="007B690E" w:rsidP="007B690E">
            <w:pPr>
              <w:widowControl w:val="0"/>
              <w:spacing w:after="0" w:line="240" w:lineRule="auto"/>
              <w:rPr>
                <w:rFonts w:ascii="Arial" w:eastAsia="Calibri" w:hAnsi="Arial" w:cs="Arial"/>
                <w:color w:val="000000"/>
                <w:sz w:val="16"/>
                <w:szCs w:val="16"/>
              </w:rPr>
            </w:pPr>
            <w:r w:rsidRPr="007B690E">
              <w:rPr>
                <w:rFonts w:ascii="Arial" w:eastAsia="Calibri" w:hAnsi="Arial" w:cs="Arial"/>
                <w:b/>
                <w:bCs/>
                <w:color w:val="000000"/>
              </w:rPr>
              <w:t>2.4. Limites constitucionais e legais</w:t>
            </w:r>
          </w:p>
        </w:tc>
      </w:tr>
      <w:tr w:rsidR="007B690E" w:rsidRPr="007B690E" w14:paraId="0239CB6E" w14:textId="77777777" w:rsidTr="007B690E">
        <w:trPr>
          <w:trHeight w:val="255"/>
        </w:trPr>
        <w:tc>
          <w:tcPr>
            <w:tcW w:w="851" w:type="dxa"/>
            <w:vAlign w:val="center"/>
          </w:tcPr>
          <w:p w14:paraId="459969B2" w14:textId="77777777" w:rsidR="007B690E" w:rsidRPr="007B690E" w:rsidRDefault="007B690E" w:rsidP="007B690E">
            <w:pPr>
              <w:widowControl w:val="0"/>
              <w:spacing w:after="0" w:line="240" w:lineRule="auto"/>
              <w:jc w:val="center"/>
              <w:rPr>
                <w:rFonts w:ascii="Arial" w:eastAsia="Calibri" w:hAnsi="Arial" w:cs="Arial"/>
                <w:b/>
                <w:bCs/>
                <w:color w:val="000000"/>
                <w:sz w:val="16"/>
                <w:szCs w:val="16"/>
              </w:rPr>
            </w:pPr>
            <w:r w:rsidRPr="007B690E">
              <w:rPr>
                <w:rFonts w:ascii="Arial" w:eastAsia="Calibri" w:hAnsi="Arial" w:cs="Arial"/>
                <w:b/>
                <w:bCs/>
                <w:color w:val="000000"/>
                <w:sz w:val="16"/>
                <w:szCs w:val="16"/>
              </w:rPr>
              <w:t>Código</w:t>
            </w:r>
          </w:p>
        </w:tc>
        <w:tc>
          <w:tcPr>
            <w:tcW w:w="1417" w:type="dxa"/>
            <w:shd w:val="clear" w:color="auto" w:fill="auto"/>
            <w:vAlign w:val="center"/>
            <w:hideMark/>
          </w:tcPr>
          <w:p w14:paraId="2978B5EB" w14:textId="77777777" w:rsidR="007B690E" w:rsidRPr="007B690E" w:rsidRDefault="007B690E" w:rsidP="007B690E">
            <w:pPr>
              <w:widowControl w:val="0"/>
              <w:spacing w:after="0" w:line="240" w:lineRule="auto"/>
              <w:jc w:val="center"/>
              <w:rPr>
                <w:rFonts w:ascii="Arial" w:eastAsia="Calibri" w:hAnsi="Arial" w:cs="Arial"/>
                <w:b/>
                <w:bCs/>
                <w:color w:val="000000"/>
                <w:sz w:val="16"/>
                <w:szCs w:val="16"/>
              </w:rPr>
            </w:pPr>
            <w:r w:rsidRPr="007B690E">
              <w:rPr>
                <w:rFonts w:ascii="Arial" w:eastAsia="Calibri" w:hAnsi="Arial" w:cs="Arial"/>
                <w:b/>
                <w:bCs/>
                <w:color w:val="000000"/>
                <w:sz w:val="16"/>
                <w:szCs w:val="16"/>
              </w:rPr>
              <w:t>Ponto de controle</w:t>
            </w:r>
          </w:p>
        </w:tc>
        <w:tc>
          <w:tcPr>
            <w:tcW w:w="1418" w:type="dxa"/>
            <w:shd w:val="clear" w:color="auto" w:fill="auto"/>
            <w:vAlign w:val="center"/>
            <w:hideMark/>
          </w:tcPr>
          <w:p w14:paraId="16E7D390" w14:textId="77777777" w:rsidR="007B690E" w:rsidRPr="007B690E" w:rsidRDefault="007B690E" w:rsidP="007B690E">
            <w:pPr>
              <w:widowControl w:val="0"/>
              <w:spacing w:after="0" w:line="240" w:lineRule="auto"/>
              <w:jc w:val="center"/>
              <w:rPr>
                <w:rFonts w:ascii="Arial" w:eastAsia="Calibri" w:hAnsi="Arial" w:cs="Arial"/>
                <w:b/>
                <w:bCs/>
                <w:color w:val="000000"/>
                <w:sz w:val="16"/>
                <w:szCs w:val="16"/>
              </w:rPr>
            </w:pPr>
            <w:r w:rsidRPr="007B690E">
              <w:rPr>
                <w:rFonts w:ascii="Arial" w:eastAsia="Calibri" w:hAnsi="Arial" w:cs="Arial"/>
                <w:b/>
                <w:bCs/>
                <w:color w:val="000000"/>
                <w:sz w:val="16"/>
                <w:szCs w:val="16"/>
              </w:rPr>
              <w:t>Base legal</w:t>
            </w:r>
          </w:p>
        </w:tc>
        <w:tc>
          <w:tcPr>
            <w:tcW w:w="1417" w:type="dxa"/>
            <w:vAlign w:val="center"/>
          </w:tcPr>
          <w:p w14:paraId="56ABF0F6" w14:textId="77777777" w:rsidR="007B690E" w:rsidRPr="007B690E" w:rsidRDefault="007B690E" w:rsidP="007B690E">
            <w:pPr>
              <w:widowControl w:val="0"/>
              <w:spacing w:after="0" w:line="240" w:lineRule="auto"/>
              <w:jc w:val="center"/>
              <w:rPr>
                <w:rFonts w:ascii="Arial" w:eastAsia="Calibri" w:hAnsi="Arial" w:cs="Arial"/>
                <w:b/>
                <w:bCs/>
                <w:color w:val="000000"/>
                <w:sz w:val="16"/>
                <w:szCs w:val="16"/>
              </w:rPr>
            </w:pPr>
            <w:r w:rsidRPr="007B690E">
              <w:rPr>
                <w:rFonts w:ascii="Arial" w:eastAsia="Calibri" w:hAnsi="Arial" w:cs="Arial"/>
                <w:b/>
                <w:bCs/>
                <w:color w:val="000000"/>
                <w:sz w:val="16"/>
                <w:szCs w:val="16"/>
              </w:rPr>
              <w:t>Tipo de procedimento sugerido</w:t>
            </w:r>
          </w:p>
        </w:tc>
        <w:tc>
          <w:tcPr>
            <w:tcW w:w="2694" w:type="dxa"/>
            <w:shd w:val="clear" w:color="auto" w:fill="auto"/>
            <w:vAlign w:val="center"/>
            <w:hideMark/>
          </w:tcPr>
          <w:p w14:paraId="1D47E94F" w14:textId="77777777" w:rsidR="007B690E" w:rsidRPr="007B690E" w:rsidRDefault="007B690E" w:rsidP="007B690E">
            <w:pPr>
              <w:widowControl w:val="0"/>
              <w:spacing w:after="0" w:line="240" w:lineRule="auto"/>
              <w:jc w:val="center"/>
              <w:rPr>
                <w:rFonts w:ascii="Arial" w:eastAsia="Calibri" w:hAnsi="Arial" w:cs="Arial"/>
                <w:b/>
                <w:bCs/>
                <w:color w:val="000000"/>
                <w:sz w:val="16"/>
                <w:szCs w:val="16"/>
              </w:rPr>
            </w:pPr>
            <w:r w:rsidRPr="007B690E">
              <w:rPr>
                <w:rFonts w:ascii="Arial" w:eastAsia="Calibri" w:hAnsi="Arial" w:cs="Arial"/>
                <w:b/>
                <w:bCs/>
                <w:color w:val="000000"/>
                <w:sz w:val="16"/>
                <w:szCs w:val="16"/>
              </w:rPr>
              <w:t>Procedimento</w:t>
            </w:r>
          </w:p>
        </w:tc>
        <w:tc>
          <w:tcPr>
            <w:tcW w:w="1275" w:type="dxa"/>
            <w:shd w:val="clear" w:color="auto" w:fill="auto"/>
            <w:vAlign w:val="center"/>
            <w:hideMark/>
          </w:tcPr>
          <w:p w14:paraId="6ACE2A4D" w14:textId="77777777" w:rsidR="007B690E" w:rsidRPr="007B690E" w:rsidRDefault="007B690E" w:rsidP="007B690E">
            <w:pPr>
              <w:widowControl w:val="0"/>
              <w:spacing w:after="0" w:line="240" w:lineRule="auto"/>
              <w:jc w:val="center"/>
              <w:rPr>
                <w:rFonts w:ascii="Arial" w:eastAsia="Calibri" w:hAnsi="Arial" w:cs="Arial"/>
                <w:b/>
                <w:bCs/>
                <w:color w:val="000000"/>
                <w:sz w:val="16"/>
                <w:szCs w:val="16"/>
              </w:rPr>
            </w:pPr>
            <w:r w:rsidRPr="007B690E">
              <w:rPr>
                <w:rFonts w:ascii="Arial" w:eastAsia="Calibri" w:hAnsi="Arial" w:cs="Arial"/>
                <w:b/>
                <w:bCs/>
                <w:color w:val="000000"/>
                <w:sz w:val="16"/>
                <w:szCs w:val="16"/>
              </w:rPr>
              <w:t>Aplicável à</w:t>
            </w:r>
          </w:p>
        </w:tc>
      </w:tr>
      <w:tr w:rsidR="007B690E" w:rsidRPr="007B690E" w14:paraId="302AECAC" w14:textId="77777777" w:rsidTr="007B690E">
        <w:trPr>
          <w:trHeight w:val="639"/>
        </w:trPr>
        <w:tc>
          <w:tcPr>
            <w:tcW w:w="851" w:type="dxa"/>
            <w:vAlign w:val="center"/>
          </w:tcPr>
          <w:p w14:paraId="7E3DED62"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2.4.1</w:t>
            </w:r>
          </w:p>
        </w:tc>
        <w:tc>
          <w:tcPr>
            <w:tcW w:w="1417" w:type="dxa"/>
            <w:shd w:val="clear" w:color="auto" w:fill="auto"/>
            <w:vAlign w:val="center"/>
            <w:hideMark/>
          </w:tcPr>
          <w:p w14:paraId="28C8D22D" w14:textId="77777777" w:rsidR="007B690E" w:rsidRPr="007B690E" w:rsidRDefault="007B690E" w:rsidP="007B690E">
            <w:pPr>
              <w:widowControl w:val="0"/>
              <w:spacing w:after="0" w:line="240" w:lineRule="auto"/>
              <w:jc w:val="both"/>
              <w:rPr>
                <w:rFonts w:ascii="Arial" w:eastAsia="Calibri" w:hAnsi="Arial" w:cs="Arial"/>
                <w:color w:val="000000"/>
                <w:sz w:val="16"/>
                <w:szCs w:val="16"/>
                <w:lang w:val="en-US"/>
              </w:rPr>
            </w:pPr>
            <w:r w:rsidRPr="007B690E">
              <w:rPr>
                <w:rFonts w:ascii="Arial" w:eastAsia="Calibri" w:hAnsi="Arial" w:cs="Arial"/>
                <w:color w:val="000000"/>
                <w:sz w:val="16"/>
                <w:szCs w:val="16"/>
              </w:rPr>
              <w:t xml:space="preserve">Transferências voluntárias </w:t>
            </w:r>
            <w:r w:rsidRPr="007B690E">
              <w:rPr>
                <w:rFonts w:ascii="Arial" w:eastAsia="Calibri" w:hAnsi="Arial" w:cs="Arial"/>
                <w:color w:val="000000"/>
                <w:sz w:val="16"/>
                <w:szCs w:val="16"/>
                <w:lang w:val="en-US"/>
              </w:rPr>
              <w:t>– exigências</w:t>
            </w:r>
          </w:p>
        </w:tc>
        <w:tc>
          <w:tcPr>
            <w:tcW w:w="1418" w:type="dxa"/>
            <w:shd w:val="clear" w:color="auto" w:fill="auto"/>
            <w:vAlign w:val="center"/>
            <w:hideMark/>
          </w:tcPr>
          <w:p w14:paraId="3B33BF6C" w14:textId="77777777" w:rsidR="007B690E" w:rsidRPr="007B690E" w:rsidRDefault="007B690E" w:rsidP="007B690E">
            <w:pPr>
              <w:widowControl w:val="0"/>
              <w:spacing w:after="0" w:line="240" w:lineRule="auto"/>
              <w:jc w:val="both"/>
              <w:rPr>
                <w:rFonts w:ascii="Arial" w:eastAsia="Calibri" w:hAnsi="Arial" w:cs="Arial"/>
                <w:color w:val="000000"/>
                <w:sz w:val="16"/>
                <w:szCs w:val="16"/>
                <w:lang w:val="en-US"/>
              </w:rPr>
            </w:pPr>
            <w:r w:rsidRPr="007B690E">
              <w:rPr>
                <w:rFonts w:ascii="Arial" w:eastAsia="Calibri" w:hAnsi="Arial" w:cs="Arial"/>
                <w:color w:val="000000"/>
                <w:sz w:val="16"/>
                <w:szCs w:val="16"/>
                <w:lang w:val="en-US"/>
              </w:rPr>
              <w:t>LC 101/2000, art. 25, § 1º.</w:t>
            </w:r>
          </w:p>
        </w:tc>
        <w:tc>
          <w:tcPr>
            <w:tcW w:w="1417" w:type="dxa"/>
            <w:vAlign w:val="center"/>
          </w:tcPr>
          <w:p w14:paraId="4B43591E"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Auditoria governamental de conformidade</w:t>
            </w:r>
          </w:p>
        </w:tc>
        <w:tc>
          <w:tcPr>
            <w:tcW w:w="2694" w:type="dxa"/>
            <w:shd w:val="clear" w:color="auto" w:fill="auto"/>
            <w:vAlign w:val="center"/>
            <w:hideMark/>
          </w:tcPr>
          <w:p w14:paraId="71BEA74A"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 xml:space="preserve">Avaliar se houve realização de transferências voluntárias para outro Ente da Federação e, no caso de ocorrência, se as disposições contidas no § 1º, do artigo 25, da LRF foram observadas. </w:t>
            </w:r>
          </w:p>
        </w:tc>
        <w:tc>
          <w:tcPr>
            <w:tcW w:w="1275" w:type="dxa"/>
            <w:shd w:val="clear" w:color="auto" w:fill="auto"/>
            <w:vAlign w:val="center"/>
            <w:hideMark/>
          </w:tcPr>
          <w:p w14:paraId="3A24C874" w14:textId="77777777" w:rsidR="007B690E" w:rsidRPr="007B690E" w:rsidRDefault="00C463FF"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Gestão (Todas as UG´s)</w:t>
            </w:r>
          </w:p>
        </w:tc>
      </w:tr>
      <w:tr w:rsidR="007B690E" w:rsidRPr="007B690E" w14:paraId="440A8872" w14:textId="77777777" w:rsidTr="007B690E">
        <w:trPr>
          <w:trHeight w:val="1190"/>
        </w:trPr>
        <w:tc>
          <w:tcPr>
            <w:tcW w:w="851" w:type="dxa"/>
            <w:vAlign w:val="center"/>
          </w:tcPr>
          <w:p w14:paraId="79C656DA"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2.4.2</w:t>
            </w:r>
          </w:p>
        </w:tc>
        <w:tc>
          <w:tcPr>
            <w:tcW w:w="1417" w:type="dxa"/>
            <w:shd w:val="clear" w:color="auto" w:fill="auto"/>
            <w:vAlign w:val="center"/>
            <w:hideMark/>
          </w:tcPr>
          <w:p w14:paraId="48FED744"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Dívida pública – precatórios – integração na dívida consolidada</w:t>
            </w:r>
          </w:p>
        </w:tc>
        <w:tc>
          <w:tcPr>
            <w:tcW w:w="1418" w:type="dxa"/>
            <w:shd w:val="clear" w:color="auto" w:fill="auto"/>
            <w:vAlign w:val="center"/>
            <w:hideMark/>
          </w:tcPr>
          <w:p w14:paraId="73951F18" w14:textId="77777777" w:rsidR="007B690E" w:rsidRPr="007B690E" w:rsidRDefault="007B690E" w:rsidP="007B690E">
            <w:pPr>
              <w:widowControl w:val="0"/>
              <w:spacing w:after="0" w:line="240" w:lineRule="auto"/>
              <w:jc w:val="both"/>
              <w:rPr>
                <w:rFonts w:ascii="Arial" w:eastAsia="Calibri" w:hAnsi="Arial" w:cs="Arial"/>
                <w:color w:val="000000"/>
                <w:sz w:val="16"/>
                <w:szCs w:val="16"/>
                <w:lang w:val="en-US"/>
              </w:rPr>
            </w:pPr>
            <w:r w:rsidRPr="007B690E">
              <w:rPr>
                <w:rFonts w:ascii="Arial" w:eastAsia="Calibri" w:hAnsi="Arial" w:cs="Arial"/>
                <w:color w:val="000000"/>
                <w:sz w:val="16"/>
                <w:szCs w:val="16"/>
                <w:lang w:val="en-US"/>
              </w:rPr>
              <w:t>LC 101/2000, art. 30, § 7º.</w:t>
            </w:r>
          </w:p>
        </w:tc>
        <w:tc>
          <w:tcPr>
            <w:tcW w:w="1417" w:type="dxa"/>
            <w:vAlign w:val="center"/>
          </w:tcPr>
          <w:p w14:paraId="3AD6E24A"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Auditoria governamental de conformidade</w:t>
            </w:r>
          </w:p>
        </w:tc>
        <w:tc>
          <w:tcPr>
            <w:tcW w:w="2694" w:type="dxa"/>
            <w:shd w:val="clear" w:color="auto" w:fill="auto"/>
            <w:vAlign w:val="center"/>
            <w:hideMark/>
          </w:tcPr>
          <w:p w14:paraId="60B41369"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Avaliar se os precatórios judiciais não pagos durante a execução do orçamento que nele foram incluídos integram a dívida consolidada, para fins de aplicação dos limites estabelecidos pela Resolução nº 40/2001 do Senado Federal.</w:t>
            </w:r>
          </w:p>
        </w:tc>
        <w:tc>
          <w:tcPr>
            <w:tcW w:w="1275" w:type="dxa"/>
            <w:shd w:val="clear" w:color="auto" w:fill="auto"/>
            <w:vAlign w:val="center"/>
            <w:hideMark/>
          </w:tcPr>
          <w:p w14:paraId="77599DE0"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Governo</w:t>
            </w:r>
          </w:p>
        </w:tc>
      </w:tr>
      <w:tr w:rsidR="007B690E" w:rsidRPr="007B690E" w14:paraId="38C5D050" w14:textId="77777777" w:rsidTr="007B690E">
        <w:trPr>
          <w:trHeight w:val="1604"/>
        </w:trPr>
        <w:tc>
          <w:tcPr>
            <w:tcW w:w="851" w:type="dxa"/>
            <w:vAlign w:val="center"/>
          </w:tcPr>
          <w:p w14:paraId="632150CF"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lastRenderedPageBreak/>
              <w:t>2.4.3</w:t>
            </w:r>
          </w:p>
        </w:tc>
        <w:tc>
          <w:tcPr>
            <w:tcW w:w="1417" w:type="dxa"/>
            <w:shd w:val="clear" w:color="auto" w:fill="auto"/>
            <w:vAlign w:val="center"/>
            <w:hideMark/>
          </w:tcPr>
          <w:p w14:paraId="1025F569"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 xml:space="preserve">Dívida pública – originalmente superior ao limite – redução do valor excedente </w:t>
            </w:r>
          </w:p>
        </w:tc>
        <w:tc>
          <w:tcPr>
            <w:tcW w:w="1418" w:type="dxa"/>
            <w:shd w:val="clear" w:color="auto" w:fill="auto"/>
            <w:vAlign w:val="center"/>
            <w:hideMark/>
          </w:tcPr>
          <w:p w14:paraId="1B447951"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Resolução nº 40/2001 do Senado Federal, art. 4º, inciso I.</w:t>
            </w:r>
          </w:p>
        </w:tc>
        <w:tc>
          <w:tcPr>
            <w:tcW w:w="1417" w:type="dxa"/>
            <w:vAlign w:val="center"/>
          </w:tcPr>
          <w:p w14:paraId="2CEEC66F"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Conformidade (revisão analítica)</w:t>
            </w:r>
          </w:p>
        </w:tc>
        <w:tc>
          <w:tcPr>
            <w:tcW w:w="2694" w:type="dxa"/>
            <w:shd w:val="clear" w:color="auto" w:fill="auto"/>
            <w:vAlign w:val="center"/>
            <w:hideMark/>
          </w:tcPr>
          <w:p w14:paraId="5F3F5807"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Avaliar se a dívida consolidada líquida do Estado/Município, no final do exercício de 2001, excedia os limites estabelecidos nos incisos I e II, do artigo 3º, da Resolução nº 40/2001 do Senado Federal, respectivamente e, em caso positivo, verificar se o valor excedente está sendo reduzido à razão de 1/15 (um quinze avos) por exercício.</w:t>
            </w:r>
          </w:p>
        </w:tc>
        <w:tc>
          <w:tcPr>
            <w:tcW w:w="1275" w:type="dxa"/>
            <w:shd w:val="clear" w:color="auto" w:fill="auto"/>
            <w:vAlign w:val="center"/>
            <w:hideMark/>
          </w:tcPr>
          <w:p w14:paraId="1C20FE3B" w14:textId="77777777" w:rsidR="007B690E" w:rsidRPr="007B690E" w:rsidRDefault="00C463FF"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Gestão (Todas as UG´s)</w:t>
            </w:r>
          </w:p>
        </w:tc>
      </w:tr>
      <w:tr w:rsidR="007B690E" w:rsidRPr="007B690E" w14:paraId="231DE0C8" w14:textId="77777777" w:rsidTr="007B690E">
        <w:trPr>
          <w:trHeight w:val="1295"/>
        </w:trPr>
        <w:tc>
          <w:tcPr>
            <w:tcW w:w="851" w:type="dxa"/>
            <w:vAlign w:val="center"/>
          </w:tcPr>
          <w:p w14:paraId="17D54D5B"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2.4.4</w:t>
            </w:r>
          </w:p>
        </w:tc>
        <w:tc>
          <w:tcPr>
            <w:tcW w:w="1417" w:type="dxa"/>
            <w:shd w:val="clear" w:color="auto" w:fill="auto"/>
            <w:vAlign w:val="center"/>
            <w:hideMark/>
          </w:tcPr>
          <w:p w14:paraId="6D0549B0"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Dívida pública – evidenciação no RGF</w:t>
            </w:r>
          </w:p>
        </w:tc>
        <w:tc>
          <w:tcPr>
            <w:tcW w:w="1418" w:type="dxa"/>
            <w:shd w:val="clear" w:color="auto" w:fill="auto"/>
            <w:vAlign w:val="center"/>
            <w:hideMark/>
          </w:tcPr>
          <w:p w14:paraId="7EE8D686"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Resolução nº 40/2001 do Senado Federal, art. 4º, inciso III.</w:t>
            </w:r>
          </w:p>
        </w:tc>
        <w:tc>
          <w:tcPr>
            <w:tcW w:w="1417" w:type="dxa"/>
            <w:vAlign w:val="center"/>
          </w:tcPr>
          <w:p w14:paraId="457AE0F8"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Conformidade (revisão analítica)</w:t>
            </w:r>
          </w:p>
          <w:p w14:paraId="1615618A" w14:textId="77777777" w:rsidR="007B690E" w:rsidRPr="007B690E" w:rsidRDefault="007B690E" w:rsidP="007B690E">
            <w:pPr>
              <w:widowControl w:val="0"/>
              <w:spacing w:after="0" w:line="240" w:lineRule="auto"/>
              <w:rPr>
                <w:rFonts w:ascii="Arial" w:eastAsia="Calibri" w:hAnsi="Arial" w:cs="Arial"/>
                <w:color w:val="000000"/>
                <w:sz w:val="16"/>
                <w:szCs w:val="16"/>
                <w:lang w:val="en-US"/>
              </w:rPr>
            </w:pPr>
          </w:p>
        </w:tc>
        <w:tc>
          <w:tcPr>
            <w:tcW w:w="2694" w:type="dxa"/>
            <w:shd w:val="clear" w:color="auto" w:fill="auto"/>
            <w:vAlign w:val="center"/>
            <w:hideMark/>
          </w:tcPr>
          <w:p w14:paraId="4D4B9DA2"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Nos casos em que a dívida consolidada líquida do Estado/Município ultrapassou o limite e o valor excedente está sendo reduzido na forma do inciso I, do artigo 4º, avaliar se o limite apurado anualmente, após a aplicação da redução de 1/15 (um quinze avo) está sendo registrado no Relatório de Gestão Fiscal a que se refere o art. 54 da Lei Complementar nº 101, de 2000;</w:t>
            </w:r>
          </w:p>
        </w:tc>
        <w:tc>
          <w:tcPr>
            <w:tcW w:w="1275" w:type="dxa"/>
            <w:shd w:val="clear" w:color="auto" w:fill="auto"/>
            <w:vAlign w:val="center"/>
            <w:hideMark/>
          </w:tcPr>
          <w:p w14:paraId="68EB3A06"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Governo</w:t>
            </w:r>
          </w:p>
        </w:tc>
      </w:tr>
      <w:tr w:rsidR="007B690E" w:rsidRPr="007B690E" w14:paraId="0B39F33F" w14:textId="77777777" w:rsidTr="007B690E">
        <w:trPr>
          <w:trHeight w:val="2223"/>
        </w:trPr>
        <w:tc>
          <w:tcPr>
            <w:tcW w:w="851" w:type="dxa"/>
            <w:vAlign w:val="center"/>
          </w:tcPr>
          <w:p w14:paraId="4C452203"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2.4.5</w:t>
            </w:r>
          </w:p>
        </w:tc>
        <w:tc>
          <w:tcPr>
            <w:tcW w:w="1417" w:type="dxa"/>
            <w:shd w:val="clear" w:color="auto" w:fill="auto"/>
            <w:vAlign w:val="center"/>
            <w:hideMark/>
          </w:tcPr>
          <w:p w14:paraId="1336A043"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Dívida pública – extrapolação de limite no decorrer da execução orçamentária – redução do valor excedente</w:t>
            </w:r>
          </w:p>
        </w:tc>
        <w:tc>
          <w:tcPr>
            <w:tcW w:w="1418" w:type="dxa"/>
            <w:shd w:val="clear" w:color="auto" w:fill="auto"/>
            <w:vAlign w:val="center"/>
            <w:hideMark/>
          </w:tcPr>
          <w:p w14:paraId="31AEF5A5"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Resolução nº 40/2001 do Senado Federal, art. 4º, inciso IV, alínea b.</w:t>
            </w:r>
          </w:p>
        </w:tc>
        <w:tc>
          <w:tcPr>
            <w:tcW w:w="1417" w:type="dxa"/>
            <w:vAlign w:val="center"/>
          </w:tcPr>
          <w:p w14:paraId="20128379"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Conformidade (Verificação documental e Revisão analítica)</w:t>
            </w:r>
          </w:p>
          <w:p w14:paraId="014A8C35" w14:textId="77777777" w:rsidR="007B690E" w:rsidRPr="007B690E" w:rsidRDefault="007B690E" w:rsidP="007B690E">
            <w:pPr>
              <w:widowControl w:val="0"/>
              <w:spacing w:after="0" w:line="240" w:lineRule="auto"/>
              <w:rPr>
                <w:rFonts w:ascii="Arial" w:eastAsia="Calibri" w:hAnsi="Arial" w:cs="Arial"/>
                <w:color w:val="000000"/>
                <w:sz w:val="16"/>
                <w:szCs w:val="16"/>
              </w:rPr>
            </w:pPr>
          </w:p>
        </w:tc>
        <w:tc>
          <w:tcPr>
            <w:tcW w:w="2694" w:type="dxa"/>
            <w:shd w:val="clear" w:color="auto" w:fill="auto"/>
            <w:vAlign w:val="center"/>
            <w:hideMark/>
          </w:tcPr>
          <w:p w14:paraId="23F1792A"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Avaliar se o Estado/Município, mesmo não apresentando, no exercício de 2001, dívida consolidada líquida superior aos limites estabelecidos nos incisos I e II, do artigo 3º, nos exercícios subsequentes a 2001 incorreram no descumprimento desses limites. Em caso positivo, avaliar se a regra do inciso I, do artigo 4º, está sendo aplicada a partir do exercício que ocorreu o descumprimento.</w:t>
            </w:r>
          </w:p>
        </w:tc>
        <w:tc>
          <w:tcPr>
            <w:tcW w:w="1275" w:type="dxa"/>
            <w:shd w:val="clear" w:color="auto" w:fill="auto"/>
            <w:vAlign w:val="center"/>
            <w:hideMark/>
          </w:tcPr>
          <w:p w14:paraId="01C204AC"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Governo</w:t>
            </w:r>
          </w:p>
        </w:tc>
      </w:tr>
      <w:tr w:rsidR="007B690E" w:rsidRPr="007B690E" w14:paraId="0BE8E4A6" w14:textId="77777777" w:rsidTr="007B690E">
        <w:trPr>
          <w:trHeight w:val="631"/>
        </w:trPr>
        <w:tc>
          <w:tcPr>
            <w:tcW w:w="851" w:type="dxa"/>
            <w:vAlign w:val="center"/>
          </w:tcPr>
          <w:p w14:paraId="49356EEC"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2.4.6</w:t>
            </w:r>
          </w:p>
        </w:tc>
        <w:tc>
          <w:tcPr>
            <w:tcW w:w="1417" w:type="dxa"/>
            <w:shd w:val="clear" w:color="auto" w:fill="auto"/>
            <w:vAlign w:val="center"/>
            <w:hideMark/>
          </w:tcPr>
          <w:p w14:paraId="21ED414F"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Operação de crédito – instituição financeira controlada</w:t>
            </w:r>
          </w:p>
        </w:tc>
        <w:tc>
          <w:tcPr>
            <w:tcW w:w="1418" w:type="dxa"/>
            <w:shd w:val="clear" w:color="auto" w:fill="auto"/>
            <w:vAlign w:val="center"/>
            <w:hideMark/>
          </w:tcPr>
          <w:p w14:paraId="25EF4406" w14:textId="77777777" w:rsidR="007B690E" w:rsidRPr="007B690E" w:rsidRDefault="007B690E" w:rsidP="007B690E">
            <w:pPr>
              <w:widowControl w:val="0"/>
              <w:spacing w:after="0" w:line="240" w:lineRule="auto"/>
              <w:jc w:val="both"/>
              <w:rPr>
                <w:rFonts w:ascii="Arial" w:eastAsia="Calibri" w:hAnsi="Arial" w:cs="Arial"/>
                <w:color w:val="000000"/>
                <w:sz w:val="16"/>
                <w:szCs w:val="16"/>
                <w:lang w:val="en-US"/>
              </w:rPr>
            </w:pPr>
            <w:r w:rsidRPr="007B690E">
              <w:rPr>
                <w:rFonts w:ascii="Arial" w:eastAsia="Calibri" w:hAnsi="Arial" w:cs="Arial"/>
                <w:color w:val="000000"/>
                <w:sz w:val="16"/>
                <w:szCs w:val="16"/>
                <w:lang w:val="en-US"/>
              </w:rPr>
              <w:t>LC 101/2000, art. 36.</w:t>
            </w:r>
          </w:p>
        </w:tc>
        <w:tc>
          <w:tcPr>
            <w:tcW w:w="1417" w:type="dxa"/>
            <w:vAlign w:val="center"/>
          </w:tcPr>
          <w:p w14:paraId="6711693A"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Conformidade (Verificação documental)</w:t>
            </w:r>
          </w:p>
          <w:p w14:paraId="21FEC81D" w14:textId="77777777" w:rsidR="007B690E" w:rsidRPr="007B690E" w:rsidRDefault="007B690E" w:rsidP="007B690E">
            <w:pPr>
              <w:widowControl w:val="0"/>
              <w:spacing w:after="0" w:line="240" w:lineRule="auto"/>
              <w:rPr>
                <w:rFonts w:ascii="Arial" w:eastAsia="Calibri" w:hAnsi="Arial" w:cs="Arial"/>
                <w:color w:val="000000"/>
                <w:sz w:val="16"/>
                <w:szCs w:val="16"/>
                <w:lang w:val="en-US"/>
              </w:rPr>
            </w:pPr>
          </w:p>
        </w:tc>
        <w:tc>
          <w:tcPr>
            <w:tcW w:w="2694" w:type="dxa"/>
            <w:shd w:val="clear" w:color="auto" w:fill="auto"/>
            <w:vAlign w:val="center"/>
            <w:hideMark/>
          </w:tcPr>
          <w:p w14:paraId="464FC58B"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Avaliar se o Estado/Município realizou operação de crédito com instituição financeira estatal sob seu controle, na qualidade de beneficiário do empréstimo.</w:t>
            </w:r>
          </w:p>
        </w:tc>
        <w:tc>
          <w:tcPr>
            <w:tcW w:w="1275" w:type="dxa"/>
            <w:shd w:val="clear" w:color="auto" w:fill="auto"/>
            <w:vAlign w:val="center"/>
            <w:hideMark/>
          </w:tcPr>
          <w:p w14:paraId="7D5A4A7F"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Governo</w:t>
            </w:r>
          </w:p>
        </w:tc>
      </w:tr>
      <w:tr w:rsidR="007B690E" w:rsidRPr="007B690E" w14:paraId="007E38F9" w14:textId="77777777" w:rsidTr="007B690E">
        <w:trPr>
          <w:trHeight w:val="451"/>
        </w:trPr>
        <w:tc>
          <w:tcPr>
            <w:tcW w:w="851" w:type="dxa"/>
            <w:vAlign w:val="center"/>
          </w:tcPr>
          <w:p w14:paraId="0098672F"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2.4.7</w:t>
            </w:r>
          </w:p>
        </w:tc>
        <w:tc>
          <w:tcPr>
            <w:tcW w:w="1417" w:type="dxa"/>
            <w:shd w:val="clear" w:color="auto" w:fill="auto"/>
            <w:vAlign w:val="center"/>
            <w:hideMark/>
          </w:tcPr>
          <w:p w14:paraId="71BB365C"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Operação de crédito – instituição financeira controlada</w:t>
            </w:r>
          </w:p>
        </w:tc>
        <w:tc>
          <w:tcPr>
            <w:tcW w:w="1418" w:type="dxa"/>
            <w:shd w:val="clear" w:color="auto" w:fill="auto"/>
            <w:vAlign w:val="center"/>
            <w:hideMark/>
          </w:tcPr>
          <w:p w14:paraId="362161C8"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Resolução nº 43/2001 do Senado Federal, art. 17.</w:t>
            </w:r>
          </w:p>
        </w:tc>
        <w:tc>
          <w:tcPr>
            <w:tcW w:w="1417" w:type="dxa"/>
            <w:vAlign w:val="center"/>
          </w:tcPr>
          <w:p w14:paraId="39B10C80"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Conformidade (Verificação documental)</w:t>
            </w:r>
          </w:p>
        </w:tc>
        <w:tc>
          <w:tcPr>
            <w:tcW w:w="2694" w:type="dxa"/>
            <w:shd w:val="clear" w:color="auto" w:fill="auto"/>
            <w:vAlign w:val="center"/>
            <w:hideMark/>
          </w:tcPr>
          <w:p w14:paraId="583951FB"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Avaliar se foi realizada contratação de operação de crédito em que seja prestada garantia ao Estado/Município por instituição financeira por ele controlada.</w:t>
            </w:r>
          </w:p>
        </w:tc>
        <w:tc>
          <w:tcPr>
            <w:tcW w:w="1275" w:type="dxa"/>
            <w:shd w:val="clear" w:color="auto" w:fill="auto"/>
            <w:vAlign w:val="center"/>
            <w:hideMark/>
          </w:tcPr>
          <w:p w14:paraId="2A0AEEF7"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Governo</w:t>
            </w:r>
          </w:p>
        </w:tc>
      </w:tr>
      <w:tr w:rsidR="007B690E" w:rsidRPr="007B690E" w14:paraId="4669396D" w14:textId="77777777" w:rsidTr="007B690E">
        <w:trPr>
          <w:trHeight w:val="1270"/>
        </w:trPr>
        <w:tc>
          <w:tcPr>
            <w:tcW w:w="851" w:type="dxa"/>
            <w:vAlign w:val="center"/>
          </w:tcPr>
          <w:p w14:paraId="055C67A0"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2.4.8</w:t>
            </w:r>
          </w:p>
        </w:tc>
        <w:tc>
          <w:tcPr>
            <w:tcW w:w="1417" w:type="dxa"/>
            <w:shd w:val="clear" w:color="auto" w:fill="auto"/>
            <w:vAlign w:val="center"/>
            <w:hideMark/>
          </w:tcPr>
          <w:p w14:paraId="45001D53" w14:textId="77777777" w:rsidR="007B690E" w:rsidRPr="007B690E" w:rsidRDefault="007B690E" w:rsidP="007B690E">
            <w:pPr>
              <w:widowControl w:val="0"/>
              <w:spacing w:after="0" w:line="240" w:lineRule="auto"/>
              <w:jc w:val="both"/>
              <w:rPr>
                <w:rFonts w:ascii="Arial" w:eastAsia="Calibri" w:hAnsi="Arial" w:cs="Arial"/>
                <w:color w:val="000000"/>
                <w:sz w:val="16"/>
                <w:szCs w:val="16"/>
                <w:lang w:val="en-US"/>
              </w:rPr>
            </w:pPr>
            <w:r w:rsidRPr="007B690E">
              <w:rPr>
                <w:rFonts w:ascii="Arial" w:eastAsia="Calibri" w:hAnsi="Arial" w:cs="Arial"/>
                <w:color w:val="000000"/>
                <w:sz w:val="16"/>
                <w:szCs w:val="16"/>
                <w:lang w:val="en-US"/>
              </w:rPr>
              <w:t>Operação de crédito – vedações</w:t>
            </w:r>
          </w:p>
        </w:tc>
        <w:tc>
          <w:tcPr>
            <w:tcW w:w="1418" w:type="dxa"/>
            <w:shd w:val="clear" w:color="auto" w:fill="auto"/>
            <w:vAlign w:val="center"/>
            <w:hideMark/>
          </w:tcPr>
          <w:p w14:paraId="3071C0F8"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Resolução nº 40/2001 do Senado Federal, art. 5º.</w:t>
            </w:r>
          </w:p>
        </w:tc>
        <w:tc>
          <w:tcPr>
            <w:tcW w:w="1417" w:type="dxa"/>
            <w:vAlign w:val="center"/>
          </w:tcPr>
          <w:p w14:paraId="1704AD15"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Conformidade (Verificação documental)</w:t>
            </w:r>
          </w:p>
        </w:tc>
        <w:tc>
          <w:tcPr>
            <w:tcW w:w="2694" w:type="dxa"/>
            <w:shd w:val="clear" w:color="auto" w:fill="auto"/>
            <w:vAlign w:val="center"/>
            <w:hideMark/>
          </w:tcPr>
          <w:p w14:paraId="2970C0F1"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Avaliar se o Estado/Município contratou operação de crédito no exercício, estando impossibilitado de realizar tal operação em decorrência do descumprimento da regra estabelecida pelo artigo 4º da Resolução nº 40/2001 do Senado Federal.</w:t>
            </w:r>
          </w:p>
        </w:tc>
        <w:tc>
          <w:tcPr>
            <w:tcW w:w="1275" w:type="dxa"/>
            <w:shd w:val="clear" w:color="auto" w:fill="auto"/>
            <w:vAlign w:val="center"/>
            <w:hideMark/>
          </w:tcPr>
          <w:p w14:paraId="65A6ADDF"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Governo</w:t>
            </w:r>
          </w:p>
        </w:tc>
      </w:tr>
      <w:tr w:rsidR="007B690E" w:rsidRPr="007B690E" w14:paraId="4E4E7A11" w14:textId="77777777" w:rsidTr="007B690E">
        <w:trPr>
          <w:trHeight w:val="845"/>
        </w:trPr>
        <w:tc>
          <w:tcPr>
            <w:tcW w:w="851" w:type="dxa"/>
            <w:vAlign w:val="center"/>
          </w:tcPr>
          <w:p w14:paraId="4DCCD646"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2.4.9</w:t>
            </w:r>
          </w:p>
        </w:tc>
        <w:tc>
          <w:tcPr>
            <w:tcW w:w="1417" w:type="dxa"/>
            <w:shd w:val="clear" w:color="auto" w:fill="auto"/>
            <w:vAlign w:val="center"/>
            <w:hideMark/>
          </w:tcPr>
          <w:p w14:paraId="464526CD" w14:textId="77777777" w:rsidR="007B690E" w:rsidRPr="007B690E" w:rsidRDefault="007B690E" w:rsidP="007B690E">
            <w:pPr>
              <w:widowControl w:val="0"/>
              <w:spacing w:after="0" w:line="240" w:lineRule="auto"/>
              <w:jc w:val="both"/>
              <w:rPr>
                <w:rFonts w:ascii="Arial" w:eastAsia="Calibri" w:hAnsi="Arial" w:cs="Arial"/>
                <w:color w:val="000000"/>
                <w:sz w:val="16"/>
                <w:szCs w:val="16"/>
                <w:lang w:val="en-US"/>
              </w:rPr>
            </w:pPr>
            <w:r w:rsidRPr="007B690E">
              <w:rPr>
                <w:rFonts w:ascii="Arial" w:eastAsia="Calibri" w:hAnsi="Arial" w:cs="Arial"/>
                <w:color w:val="000000"/>
                <w:sz w:val="16"/>
                <w:szCs w:val="16"/>
                <w:lang w:val="en-US"/>
              </w:rPr>
              <w:t>Operação de crédito – vedações</w:t>
            </w:r>
          </w:p>
        </w:tc>
        <w:tc>
          <w:tcPr>
            <w:tcW w:w="1418" w:type="dxa"/>
            <w:shd w:val="clear" w:color="auto" w:fill="auto"/>
            <w:vAlign w:val="center"/>
            <w:hideMark/>
          </w:tcPr>
          <w:p w14:paraId="65EE6B79"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Resolução nº 43/2001 do Senado Federal, art. 5º.</w:t>
            </w:r>
          </w:p>
        </w:tc>
        <w:tc>
          <w:tcPr>
            <w:tcW w:w="1417" w:type="dxa"/>
            <w:vAlign w:val="center"/>
          </w:tcPr>
          <w:p w14:paraId="069DFB78"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Auditoria governamental de conformidade</w:t>
            </w:r>
          </w:p>
        </w:tc>
        <w:tc>
          <w:tcPr>
            <w:tcW w:w="2694" w:type="dxa"/>
            <w:shd w:val="clear" w:color="auto" w:fill="auto"/>
            <w:vAlign w:val="center"/>
            <w:hideMark/>
          </w:tcPr>
          <w:p w14:paraId="75C4DD64"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Avaliar se o Estado/Município incorreu em qualquer das vedações previstas no artigo 5º, da Resolução nº 43/2001, do Senado Federal.</w:t>
            </w:r>
          </w:p>
        </w:tc>
        <w:tc>
          <w:tcPr>
            <w:tcW w:w="1275" w:type="dxa"/>
            <w:shd w:val="clear" w:color="auto" w:fill="auto"/>
            <w:vAlign w:val="center"/>
            <w:hideMark/>
          </w:tcPr>
          <w:p w14:paraId="1C6E4B61"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Governo</w:t>
            </w:r>
          </w:p>
        </w:tc>
      </w:tr>
      <w:tr w:rsidR="007B690E" w:rsidRPr="007B690E" w14:paraId="23FB5A01" w14:textId="77777777" w:rsidTr="007B690E">
        <w:trPr>
          <w:trHeight w:val="1003"/>
        </w:trPr>
        <w:tc>
          <w:tcPr>
            <w:tcW w:w="851" w:type="dxa"/>
            <w:vAlign w:val="center"/>
          </w:tcPr>
          <w:p w14:paraId="33ADB000"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2.4.10</w:t>
            </w:r>
          </w:p>
        </w:tc>
        <w:tc>
          <w:tcPr>
            <w:tcW w:w="1417" w:type="dxa"/>
            <w:shd w:val="clear" w:color="auto" w:fill="auto"/>
            <w:vAlign w:val="center"/>
            <w:hideMark/>
          </w:tcPr>
          <w:p w14:paraId="2945B0F7"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Operação de crédito – despesas de capital</w:t>
            </w:r>
          </w:p>
        </w:tc>
        <w:tc>
          <w:tcPr>
            <w:tcW w:w="1418" w:type="dxa"/>
            <w:shd w:val="clear" w:color="auto" w:fill="auto"/>
            <w:vAlign w:val="center"/>
            <w:hideMark/>
          </w:tcPr>
          <w:p w14:paraId="71A2B9B6" w14:textId="77777777" w:rsidR="007B690E" w:rsidRPr="007B690E" w:rsidRDefault="007B690E" w:rsidP="007B690E">
            <w:pPr>
              <w:widowControl w:val="0"/>
              <w:spacing w:after="0" w:line="240" w:lineRule="auto"/>
              <w:jc w:val="both"/>
              <w:rPr>
                <w:rFonts w:ascii="Arial" w:eastAsia="Calibri" w:hAnsi="Arial" w:cs="Arial"/>
                <w:color w:val="000000"/>
                <w:sz w:val="16"/>
                <w:szCs w:val="16"/>
                <w:lang w:val="en-US"/>
              </w:rPr>
            </w:pPr>
            <w:r w:rsidRPr="007B690E">
              <w:rPr>
                <w:rFonts w:ascii="Arial" w:eastAsia="Calibri" w:hAnsi="Arial" w:cs="Arial"/>
                <w:color w:val="000000"/>
                <w:sz w:val="16"/>
                <w:szCs w:val="16"/>
                <w:lang w:val="en-US"/>
              </w:rPr>
              <w:t>CRFB/88, art. 167, inciso III.</w:t>
            </w:r>
          </w:p>
        </w:tc>
        <w:tc>
          <w:tcPr>
            <w:tcW w:w="1417" w:type="dxa"/>
            <w:vAlign w:val="center"/>
          </w:tcPr>
          <w:p w14:paraId="0ABB6DFC"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Auditoria governamental de conformidade</w:t>
            </w:r>
          </w:p>
        </w:tc>
        <w:tc>
          <w:tcPr>
            <w:tcW w:w="2694" w:type="dxa"/>
            <w:shd w:val="clear" w:color="auto" w:fill="auto"/>
            <w:vAlign w:val="center"/>
            <w:hideMark/>
          </w:tcPr>
          <w:p w14:paraId="5377218E"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Avaliar se houve realização de operações de crédito em valor superior ao montante das despesas de capital, apurado na forma estabelecida pelo artigo 6º, da Resolução nº 43/2001 do Senado Federal.</w:t>
            </w:r>
          </w:p>
        </w:tc>
        <w:tc>
          <w:tcPr>
            <w:tcW w:w="1275" w:type="dxa"/>
            <w:shd w:val="clear" w:color="auto" w:fill="auto"/>
            <w:vAlign w:val="center"/>
            <w:hideMark/>
          </w:tcPr>
          <w:p w14:paraId="1C4F2997"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Governo</w:t>
            </w:r>
          </w:p>
        </w:tc>
      </w:tr>
      <w:tr w:rsidR="007B690E" w:rsidRPr="007B690E" w14:paraId="7910765E" w14:textId="77777777" w:rsidTr="007B690E">
        <w:trPr>
          <w:trHeight w:val="371"/>
        </w:trPr>
        <w:tc>
          <w:tcPr>
            <w:tcW w:w="851" w:type="dxa"/>
            <w:vAlign w:val="center"/>
          </w:tcPr>
          <w:p w14:paraId="7CB88B29"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2.4.11</w:t>
            </w:r>
          </w:p>
        </w:tc>
        <w:tc>
          <w:tcPr>
            <w:tcW w:w="1417" w:type="dxa"/>
            <w:shd w:val="clear" w:color="auto" w:fill="auto"/>
            <w:vAlign w:val="center"/>
            <w:hideMark/>
          </w:tcPr>
          <w:p w14:paraId="4EBFA9F1"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Operação de crédito – limite global</w:t>
            </w:r>
          </w:p>
        </w:tc>
        <w:tc>
          <w:tcPr>
            <w:tcW w:w="1418" w:type="dxa"/>
            <w:shd w:val="clear" w:color="auto" w:fill="auto"/>
            <w:vAlign w:val="center"/>
            <w:hideMark/>
          </w:tcPr>
          <w:p w14:paraId="29E75ABE"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Resolução nº 43/2001 do Senado Federal, art. 7º, inciso I.</w:t>
            </w:r>
          </w:p>
        </w:tc>
        <w:tc>
          <w:tcPr>
            <w:tcW w:w="1417" w:type="dxa"/>
            <w:vAlign w:val="center"/>
          </w:tcPr>
          <w:p w14:paraId="2B90FCD9"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Conformidade (Análise documental e revisão analítica)</w:t>
            </w:r>
          </w:p>
        </w:tc>
        <w:tc>
          <w:tcPr>
            <w:tcW w:w="2694" w:type="dxa"/>
            <w:shd w:val="clear" w:color="auto" w:fill="auto"/>
            <w:vAlign w:val="center"/>
            <w:hideMark/>
          </w:tcPr>
          <w:p w14:paraId="7440D1CB"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Avaliar se o montante global das operações de crédito realizadas pelo Estado/Município no exercício financeiro ultrapassou o limite de 16% (dezesseis por cento) da receita corrente líquida.</w:t>
            </w:r>
          </w:p>
        </w:tc>
        <w:tc>
          <w:tcPr>
            <w:tcW w:w="1275" w:type="dxa"/>
            <w:shd w:val="clear" w:color="auto" w:fill="auto"/>
            <w:vAlign w:val="center"/>
            <w:hideMark/>
          </w:tcPr>
          <w:p w14:paraId="75BD4517"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Governo</w:t>
            </w:r>
          </w:p>
        </w:tc>
      </w:tr>
      <w:tr w:rsidR="007B690E" w:rsidRPr="007B690E" w14:paraId="381839BB" w14:textId="77777777" w:rsidTr="007B690E">
        <w:trPr>
          <w:trHeight w:val="1554"/>
        </w:trPr>
        <w:tc>
          <w:tcPr>
            <w:tcW w:w="851" w:type="dxa"/>
            <w:vAlign w:val="center"/>
          </w:tcPr>
          <w:p w14:paraId="0799ED76"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lastRenderedPageBreak/>
              <w:t>2.4.12</w:t>
            </w:r>
          </w:p>
        </w:tc>
        <w:tc>
          <w:tcPr>
            <w:tcW w:w="1417" w:type="dxa"/>
            <w:shd w:val="clear" w:color="auto" w:fill="auto"/>
            <w:vAlign w:val="center"/>
            <w:hideMark/>
          </w:tcPr>
          <w:p w14:paraId="37377E57"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Operação de crédito – limite para amortizações, juros e mais encargos</w:t>
            </w:r>
          </w:p>
        </w:tc>
        <w:tc>
          <w:tcPr>
            <w:tcW w:w="1418" w:type="dxa"/>
            <w:shd w:val="clear" w:color="auto" w:fill="auto"/>
            <w:vAlign w:val="center"/>
            <w:hideMark/>
          </w:tcPr>
          <w:p w14:paraId="66F6AB77"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Resolução nº 43/2001 do Senado Federal, art. 7º, inciso II.</w:t>
            </w:r>
          </w:p>
        </w:tc>
        <w:tc>
          <w:tcPr>
            <w:tcW w:w="1417" w:type="dxa"/>
            <w:vAlign w:val="center"/>
          </w:tcPr>
          <w:p w14:paraId="201CE899"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Conformidade (Análise documental e revisão analítica)</w:t>
            </w:r>
          </w:p>
        </w:tc>
        <w:tc>
          <w:tcPr>
            <w:tcW w:w="2694" w:type="dxa"/>
            <w:shd w:val="clear" w:color="auto" w:fill="auto"/>
            <w:vAlign w:val="center"/>
            <w:hideMark/>
          </w:tcPr>
          <w:p w14:paraId="1013EC6F"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Avaliar se o comprometimento anual com amortizações, juros e demais encargos da dívida consolidada, inclusive relativos a valores a desembolsar de operações de crédito já contratadas e a contratar, não excedeu a 11,5% (onze inteiros e cinco décimos por cento) da receita corrente líquida.</w:t>
            </w:r>
          </w:p>
        </w:tc>
        <w:tc>
          <w:tcPr>
            <w:tcW w:w="1275" w:type="dxa"/>
            <w:shd w:val="clear" w:color="auto" w:fill="auto"/>
            <w:vAlign w:val="center"/>
            <w:hideMark/>
          </w:tcPr>
          <w:p w14:paraId="6762104D"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Governo</w:t>
            </w:r>
          </w:p>
        </w:tc>
      </w:tr>
      <w:tr w:rsidR="007B690E" w:rsidRPr="007B690E" w14:paraId="510C4AAC" w14:textId="77777777" w:rsidTr="007B690E">
        <w:trPr>
          <w:trHeight w:val="802"/>
        </w:trPr>
        <w:tc>
          <w:tcPr>
            <w:tcW w:w="851" w:type="dxa"/>
            <w:vAlign w:val="center"/>
          </w:tcPr>
          <w:p w14:paraId="146B9A05"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2.4.13</w:t>
            </w:r>
          </w:p>
        </w:tc>
        <w:tc>
          <w:tcPr>
            <w:tcW w:w="1417" w:type="dxa"/>
            <w:shd w:val="clear" w:color="auto" w:fill="auto"/>
            <w:vAlign w:val="center"/>
            <w:hideMark/>
          </w:tcPr>
          <w:p w14:paraId="7F00788C"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Operação de crédito – concessão de garantias e contragarantias</w:t>
            </w:r>
          </w:p>
        </w:tc>
        <w:tc>
          <w:tcPr>
            <w:tcW w:w="1418" w:type="dxa"/>
            <w:shd w:val="clear" w:color="auto" w:fill="auto"/>
            <w:vAlign w:val="center"/>
            <w:hideMark/>
          </w:tcPr>
          <w:p w14:paraId="501D7EAE" w14:textId="77777777" w:rsidR="007B690E" w:rsidRPr="007B690E" w:rsidRDefault="007B690E" w:rsidP="007B690E">
            <w:pPr>
              <w:widowControl w:val="0"/>
              <w:spacing w:after="0" w:line="240" w:lineRule="auto"/>
              <w:jc w:val="both"/>
              <w:rPr>
                <w:rFonts w:ascii="Arial" w:eastAsia="Calibri" w:hAnsi="Arial" w:cs="Arial"/>
                <w:color w:val="000000"/>
                <w:sz w:val="16"/>
                <w:szCs w:val="16"/>
                <w:lang w:val="en-US"/>
              </w:rPr>
            </w:pPr>
            <w:r w:rsidRPr="007B690E">
              <w:rPr>
                <w:rFonts w:ascii="Arial" w:eastAsia="Calibri" w:hAnsi="Arial" w:cs="Arial"/>
                <w:color w:val="000000"/>
                <w:sz w:val="16"/>
                <w:szCs w:val="16"/>
                <w:lang w:val="en-US"/>
              </w:rPr>
              <w:t>LC 101/2000, art. 40.</w:t>
            </w:r>
          </w:p>
        </w:tc>
        <w:tc>
          <w:tcPr>
            <w:tcW w:w="1417" w:type="dxa"/>
            <w:vAlign w:val="center"/>
          </w:tcPr>
          <w:p w14:paraId="1691C1BD"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Auditoria Governamental de Conformidade</w:t>
            </w:r>
          </w:p>
        </w:tc>
        <w:tc>
          <w:tcPr>
            <w:tcW w:w="2694" w:type="dxa"/>
            <w:shd w:val="clear" w:color="auto" w:fill="auto"/>
            <w:vAlign w:val="center"/>
            <w:hideMark/>
          </w:tcPr>
          <w:p w14:paraId="70C2320B"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Avaliar se houve concessão de garantias pelo Estado/Município a operações de crédito interno e externo. Existindo, verificar se foram observadas as condições estabelecidas no artigo 40 da LRF.</w:t>
            </w:r>
          </w:p>
        </w:tc>
        <w:tc>
          <w:tcPr>
            <w:tcW w:w="1275" w:type="dxa"/>
            <w:shd w:val="clear" w:color="auto" w:fill="auto"/>
            <w:vAlign w:val="center"/>
            <w:hideMark/>
          </w:tcPr>
          <w:p w14:paraId="6506CDA6"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Governo</w:t>
            </w:r>
          </w:p>
        </w:tc>
      </w:tr>
      <w:tr w:rsidR="007B690E" w:rsidRPr="007B690E" w14:paraId="5472E44B" w14:textId="77777777" w:rsidTr="007B690E">
        <w:trPr>
          <w:trHeight w:val="152"/>
        </w:trPr>
        <w:tc>
          <w:tcPr>
            <w:tcW w:w="851" w:type="dxa"/>
            <w:vAlign w:val="center"/>
          </w:tcPr>
          <w:p w14:paraId="5F997B81"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2.4.14</w:t>
            </w:r>
          </w:p>
        </w:tc>
        <w:tc>
          <w:tcPr>
            <w:tcW w:w="1417" w:type="dxa"/>
            <w:shd w:val="clear" w:color="auto" w:fill="auto"/>
            <w:vAlign w:val="center"/>
            <w:hideMark/>
          </w:tcPr>
          <w:p w14:paraId="1E23E798"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Operação de crédito – concessão de garantias e contragarantias</w:t>
            </w:r>
          </w:p>
        </w:tc>
        <w:tc>
          <w:tcPr>
            <w:tcW w:w="1418" w:type="dxa"/>
            <w:shd w:val="clear" w:color="auto" w:fill="auto"/>
            <w:vAlign w:val="center"/>
            <w:hideMark/>
          </w:tcPr>
          <w:p w14:paraId="627882FD"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Resolução nº 43/2001 do Senado Federal, art. 18.</w:t>
            </w:r>
          </w:p>
        </w:tc>
        <w:tc>
          <w:tcPr>
            <w:tcW w:w="1417" w:type="dxa"/>
            <w:vAlign w:val="center"/>
          </w:tcPr>
          <w:p w14:paraId="44461CC5"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Auditoria Governamental de Conformidade</w:t>
            </w:r>
          </w:p>
        </w:tc>
        <w:tc>
          <w:tcPr>
            <w:tcW w:w="2694" w:type="dxa"/>
            <w:shd w:val="clear" w:color="auto" w:fill="auto"/>
            <w:vAlign w:val="center"/>
            <w:hideMark/>
          </w:tcPr>
          <w:p w14:paraId="50CA8AE1"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Avaliar se as exigências contidas no artigo 18, da Resolução nº 43/2001 do Senado Federal foram observadas.</w:t>
            </w:r>
          </w:p>
        </w:tc>
        <w:tc>
          <w:tcPr>
            <w:tcW w:w="1275" w:type="dxa"/>
            <w:shd w:val="clear" w:color="auto" w:fill="auto"/>
            <w:vAlign w:val="center"/>
            <w:hideMark/>
          </w:tcPr>
          <w:p w14:paraId="053EC75D"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Governo</w:t>
            </w:r>
          </w:p>
        </w:tc>
      </w:tr>
      <w:tr w:rsidR="007B690E" w:rsidRPr="007B690E" w14:paraId="1C3F8F22" w14:textId="77777777" w:rsidTr="007B690E">
        <w:trPr>
          <w:trHeight w:val="70"/>
        </w:trPr>
        <w:tc>
          <w:tcPr>
            <w:tcW w:w="851" w:type="dxa"/>
            <w:vAlign w:val="center"/>
          </w:tcPr>
          <w:p w14:paraId="56AD0336"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2.4.15</w:t>
            </w:r>
          </w:p>
        </w:tc>
        <w:tc>
          <w:tcPr>
            <w:tcW w:w="1417" w:type="dxa"/>
            <w:shd w:val="clear" w:color="auto" w:fill="auto"/>
            <w:vAlign w:val="center"/>
            <w:hideMark/>
          </w:tcPr>
          <w:p w14:paraId="46611305"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Operação de crédito – concessão de garantias e contragarantias – limite</w:t>
            </w:r>
          </w:p>
        </w:tc>
        <w:tc>
          <w:tcPr>
            <w:tcW w:w="1418" w:type="dxa"/>
            <w:shd w:val="clear" w:color="auto" w:fill="auto"/>
            <w:vAlign w:val="center"/>
            <w:hideMark/>
          </w:tcPr>
          <w:p w14:paraId="15238FF2"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Resolução nº 43/2001 do Senado Federal, art. 9º.</w:t>
            </w:r>
          </w:p>
        </w:tc>
        <w:tc>
          <w:tcPr>
            <w:tcW w:w="1417" w:type="dxa"/>
            <w:vAlign w:val="center"/>
          </w:tcPr>
          <w:p w14:paraId="1055E453"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Conformidade (Análise documental e revisão analítica)</w:t>
            </w:r>
          </w:p>
        </w:tc>
        <w:tc>
          <w:tcPr>
            <w:tcW w:w="2694" w:type="dxa"/>
            <w:shd w:val="clear" w:color="auto" w:fill="auto"/>
            <w:vAlign w:val="center"/>
            <w:hideMark/>
          </w:tcPr>
          <w:p w14:paraId="4A24FA7A"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Avaliar se o saldo global das garantias concedidas pelo Estado/Município não excedeu a 22% (vinte e dois por cento) da receita corrente líquida.</w:t>
            </w:r>
          </w:p>
        </w:tc>
        <w:tc>
          <w:tcPr>
            <w:tcW w:w="1275" w:type="dxa"/>
            <w:shd w:val="clear" w:color="auto" w:fill="auto"/>
            <w:vAlign w:val="center"/>
            <w:hideMark/>
          </w:tcPr>
          <w:p w14:paraId="07A9E840"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Governo</w:t>
            </w:r>
          </w:p>
        </w:tc>
      </w:tr>
      <w:tr w:rsidR="007B690E" w:rsidRPr="007B690E" w14:paraId="5D7E305A" w14:textId="77777777" w:rsidTr="007B690E">
        <w:trPr>
          <w:trHeight w:val="649"/>
        </w:trPr>
        <w:tc>
          <w:tcPr>
            <w:tcW w:w="851" w:type="dxa"/>
            <w:vAlign w:val="center"/>
          </w:tcPr>
          <w:p w14:paraId="4D62C173"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2.4.16</w:t>
            </w:r>
          </w:p>
        </w:tc>
        <w:tc>
          <w:tcPr>
            <w:tcW w:w="1417" w:type="dxa"/>
            <w:shd w:val="clear" w:color="auto" w:fill="auto"/>
            <w:vAlign w:val="center"/>
            <w:hideMark/>
          </w:tcPr>
          <w:p w14:paraId="60A43829"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 xml:space="preserve">Operação de crédito – cláusulas contratuais vedadas </w:t>
            </w:r>
          </w:p>
        </w:tc>
        <w:tc>
          <w:tcPr>
            <w:tcW w:w="1418" w:type="dxa"/>
            <w:shd w:val="clear" w:color="auto" w:fill="auto"/>
            <w:vAlign w:val="center"/>
            <w:hideMark/>
          </w:tcPr>
          <w:p w14:paraId="170B5F81"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Resolução nº 43/2001 do Senado Federal, art. 20.</w:t>
            </w:r>
          </w:p>
        </w:tc>
        <w:tc>
          <w:tcPr>
            <w:tcW w:w="1417" w:type="dxa"/>
            <w:vAlign w:val="center"/>
          </w:tcPr>
          <w:p w14:paraId="2A5B8CD7"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Auditoria Governamental de Conformidade</w:t>
            </w:r>
          </w:p>
        </w:tc>
        <w:tc>
          <w:tcPr>
            <w:tcW w:w="2694" w:type="dxa"/>
            <w:shd w:val="clear" w:color="auto" w:fill="auto"/>
            <w:vAlign w:val="center"/>
            <w:hideMark/>
          </w:tcPr>
          <w:p w14:paraId="1536D7B2"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Avaliar se foram incluídas cláusulas vedadas pelo artigo 20, da Resolução nº 43/2001 do Senado Federal nos contratos relativos a operações de crédito firmados pelo Estado/Município.</w:t>
            </w:r>
          </w:p>
        </w:tc>
        <w:tc>
          <w:tcPr>
            <w:tcW w:w="1275" w:type="dxa"/>
            <w:shd w:val="clear" w:color="auto" w:fill="auto"/>
            <w:vAlign w:val="center"/>
            <w:hideMark/>
          </w:tcPr>
          <w:p w14:paraId="73FD74FE"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Governo</w:t>
            </w:r>
          </w:p>
        </w:tc>
      </w:tr>
      <w:tr w:rsidR="007B690E" w:rsidRPr="007B690E" w14:paraId="1E1DFAA5" w14:textId="77777777" w:rsidTr="007B690E">
        <w:trPr>
          <w:trHeight w:val="845"/>
        </w:trPr>
        <w:tc>
          <w:tcPr>
            <w:tcW w:w="851" w:type="dxa"/>
            <w:vAlign w:val="center"/>
          </w:tcPr>
          <w:p w14:paraId="4D11E51B"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2.4.17</w:t>
            </w:r>
          </w:p>
        </w:tc>
        <w:tc>
          <w:tcPr>
            <w:tcW w:w="1417" w:type="dxa"/>
            <w:shd w:val="clear" w:color="auto" w:fill="auto"/>
            <w:vAlign w:val="center"/>
            <w:hideMark/>
          </w:tcPr>
          <w:p w14:paraId="428F12AD"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Operação de crédito por antecipação de receita orçamentária – exigências para contratação</w:t>
            </w:r>
          </w:p>
        </w:tc>
        <w:tc>
          <w:tcPr>
            <w:tcW w:w="1418" w:type="dxa"/>
            <w:shd w:val="clear" w:color="auto" w:fill="auto"/>
            <w:vAlign w:val="center"/>
            <w:hideMark/>
          </w:tcPr>
          <w:p w14:paraId="05CC56D6"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LC 101/2000, art. 38, incisos I, II e III.</w:t>
            </w:r>
          </w:p>
        </w:tc>
        <w:tc>
          <w:tcPr>
            <w:tcW w:w="1417" w:type="dxa"/>
            <w:vAlign w:val="center"/>
          </w:tcPr>
          <w:p w14:paraId="0B2BF702"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Auditoria Governamental de Conformidade</w:t>
            </w:r>
          </w:p>
        </w:tc>
        <w:tc>
          <w:tcPr>
            <w:tcW w:w="2694" w:type="dxa"/>
            <w:shd w:val="clear" w:color="auto" w:fill="auto"/>
            <w:vAlign w:val="center"/>
            <w:hideMark/>
          </w:tcPr>
          <w:p w14:paraId="30AFC219"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 xml:space="preserve">Avaliar se houve contratação de operação de crédito por antecipação de receita orçamentária no exercício. Existindo, avaliar se foram observadas as exigências contidas nos incisos I, II e III, do artigo 38 da LRF. </w:t>
            </w:r>
          </w:p>
        </w:tc>
        <w:tc>
          <w:tcPr>
            <w:tcW w:w="1275" w:type="dxa"/>
            <w:shd w:val="clear" w:color="auto" w:fill="auto"/>
            <w:vAlign w:val="center"/>
            <w:hideMark/>
          </w:tcPr>
          <w:p w14:paraId="61B5FFAA"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Governo</w:t>
            </w:r>
          </w:p>
        </w:tc>
      </w:tr>
      <w:tr w:rsidR="007B690E" w:rsidRPr="007B690E" w14:paraId="0724BBEC" w14:textId="77777777" w:rsidTr="007B690E">
        <w:trPr>
          <w:trHeight w:val="987"/>
        </w:trPr>
        <w:tc>
          <w:tcPr>
            <w:tcW w:w="851" w:type="dxa"/>
            <w:vAlign w:val="center"/>
          </w:tcPr>
          <w:p w14:paraId="7F255644"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2.4.18</w:t>
            </w:r>
          </w:p>
        </w:tc>
        <w:tc>
          <w:tcPr>
            <w:tcW w:w="1417" w:type="dxa"/>
            <w:shd w:val="clear" w:color="auto" w:fill="auto"/>
            <w:vAlign w:val="center"/>
            <w:hideMark/>
          </w:tcPr>
          <w:p w14:paraId="566B7619"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Operação de crédito por antecipação de receita orçamentária – vedações</w:t>
            </w:r>
          </w:p>
          <w:p w14:paraId="739E7F9C"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p>
          <w:p w14:paraId="22927E68"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p>
          <w:p w14:paraId="690823A3"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p>
          <w:p w14:paraId="784C0578"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p>
          <w:p w14:paraId="177AC3F5"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p>
          <w:p w14:paraId="5BBC4F1D"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p>
          <w:p w14:paraId="623405D1"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p>
          <w:p w14:paraId="00D00D8E"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p>
          <w:p w14:paraId="48A49FE8"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p>
        </w:tc>
        <w:tc>
          <w:tcPr>
            <w:tcW w:w="1418" w:type="dxa"/>
            <w:shd w:val="clear" w:color="auto" w:fill="auto"/>
            <w:vAlign w:val="center"/>
            <w:hideMark/>
          </w:tcPr>
          <w:p w14:paraId="6E975E46" w14:textId="77777777" w:rsidR="007B690E" w:rsidRPr="007B690E" w:rsidRDefault="007B690E" w:rsidP="007B690E">
            <w:pPr>
              <w:widowControl w:val="0"/>
              <w:spacing w:after="0" w:line="240" w:lineRule="auto"/>
              <w:jc w:val="both"/>
              <w:rPr>
                <w:rFonts w:ascii="Arial" w:eastAsia="Calibri" w:hAnsi="Arial" w:cs="Arial"/>
                <w:color w:val="000000"/>
                <w:sz w:val="16"/>
                <w:szCs w:val="16"/>
                <w:lang w:val="en-US"/>
              </w:rPr>
            </w:pPr>
            <w:r w:rsidRPr="007B690E">
              <w:rPr>
                <w:rFonts w:ascii="Arial" w:eastAsia="Calibri" w:hAnsi="Arial" w:cs="Arial"/>
                <w:color w:val="000000"/>
                <w:sz w:val="16"/>
                <w:szCs w:val="16"/>
                <w:lang w:val="en-US"/>
              </w:rPr>
              <w:t>LC 101/2000, art. 38, inciso IV.</w:t>
            </w:r>
          </w:p>
        </w:tc>
        <w:tc>
          <w:tcPr>
            <w:tcW w:w="1417" w:type="dxa"/>
            <w:vAlign w:val="center"/>
          </w:tcPr>
          <w:p w14:paraId="40088450"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Auditoria Governamental de Conformidade</w:t>
            </w:r>
          </w:p>
        </w:tc>
        <w:tc>
          <w:tcPr>
            <w:tcW w:w="2694" w:type="dxa"/>
            <w:shd w:val="clear" w:color="auto" w:fill="auto"/>
            <w:vAlign w:val="center"/>
            <w:hideMark/>
          </w:tcPr>
          <w:p w14:paraId="21C8C5A9"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Avaliar se houve contratação de operação de crédito por antecipação de receita orçamentária no exercício nas situações vedadas pelo inciso IV, do art. 38, da LRF.</w:t>
            </w:r>
          </w:p>
          <w:p w14:paraId="2E539AA5"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p>
        </w:tc>
        <w:tc>
          <w:tcPr>
            <w:tcW w:w="1275" w:type="dxa"/>
            <w:shd w:val="clear" w:color="auto" w:fill="auto"/>
            <w:vAlign w:val="center"/>
            <w:hideMark/>
          </w:tcPr>
          <w:p w14:paraId="586072E6"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Governo</w:t>
            </w:r>
          </w:p>
        </w:tc>
      </w:tr>
      <w:tr w:rsidR="007B690E" w:rsidRPr="007B690E" w14:paraId="5D4D2568" w14:textId="77777777" w:rsidTr="007B690E">
        <w:trPr>
          <w:trHeight w:val="420"/>
        </w:trPr>
        <w:tc>
          <w:tcPr>
            <w:tcW w:w="9072" w:type="dxa"/>
            <w:gridSpan w:val="6"/>
            <w:vAlign w:val="center"/>
          </w:tcPr>
          <w:p w14:paraId="274A0276" w14:textId="77777777" w:rsidR="007B690E" w:rsidRPr="007B690E" w:rsidRDefault="007B690E" w:rsidP="007B690E">
            <w:pPr>
              <w:widowControl w:val="0"/>
              <w:spacing w:after="0" w:line="240" w:lineRule="auto"/>
              <w:rPr>
                <w:rFonts w:ascii="Arial" w:eastAsia="Calibri" w:hAnsi="Arial" w:cs="Arial"/>
                <w:color w:val="000000"/>
                <w:sz w:val="16"/>
                <w:szCs w:val="16"/>
              </w:rPr>
            </w:pPr>
            <w:r w:rsidRPr="007B690E">
              <w:rPr>
                <w:rFonts w:ascii="Arial" w:eastAsia="Calibri" w:hAnsi="Arial" w:cs="Arial"/>
                <w:b/>
                <w:bCs/>
              </w:rPr>
              <w:t>2.5. Gestão Previdenciária</w:t>
            </w:r>
          </w:p>
        </w:tc>
      </w:tr>
      <w:tr w:rsidR="007B690E" w:rsidRPr="007B690E" w14:paraId="45675941" w14:textId="77777777" w:rsidTr="007B690E">
        <w:trPr>
          <w:trHeight w:val="130"/>
        </w:trPr>
        <w:tc>
          <w:tcPr>
            <w:tcW w:w="851" w:type="dxa"/>
            <w:vAlign w:val="center"/>
          </w:tcPr>
          <w:p w14:paraId="73A0FDFD" w14:textId="77777777" w:rsidR="007B690E" w:rsidRPr="007B690E" w:rsidRDefault="007B690E" w:rsidP="007B690E">
            <w:pPr>
              <w:widowControl w:val="0"/>
              <w:spacing w:after="0" w:line="240" w:lineRule="auto"/>
              <w:jc w:val="center"/>
              <w:rPr>
                <w:rFonts w:ascii="Arial" w:eastAsia="Calibri" w:hAnsi="Arial" w:cs="Arial"/>
                <w:b/>
                <w:bCs/>
                <w:color w:val="000000"/>
                <w:sz w:val="16"/>
                <w:szCs w:val="16"/>
              </w:rPr>
            </w:pPr>
            <w:r w:rsidRPr="007B690E">
              <w:rPr>
                <w:rFonts w:ascii="Arial" w:eastAsia="Calibri" w:hAnsi="Arial" w:cs="Arial"/>
                <w:b/>
                <w:bCs/>
                <w:color w:val="000000"/>
                <w:sz w:val="16"/>
                <w:szCs w:val="16"/>
              </w:rPr>
              <w:t>Código</w:t>
            </w:r>
          </w:p>
        </w:tc>
        <w:tc>
          <w:tcPr>
            <w:tcW w:w="1417" w:type="dxa"/>
            <w:shd w:val="clear" w:color="auto" w:fill="auto"/>
            <w:vAlign w:val="center"/>
          </w:tcPr>
          <w:p w14:paraId="023CD2BE" w14:textId="77777777" w:rsidR="007B690E" w:rsidRPr="007B690E" w:rsidRDefault="007B690E" w:rsidP="007B690E">
            <w:pPr>
              <w:widowControl w:val="0"/>
              <w:spacing w:after="0" w:line="240" w:lineRule="auto"/>
              <w:jc w:val="center"/>
              <w:rPr>
                <w:rFonts w:ascii="Arial" w:eastAsia="Calibri" w:hAnsi="Arial" w:cs="Arial"/>
                <w:b/>
                <w:bCs/>
                <w:color w:val="000000"/>
                <w:sz w:val="16"/>
                <w:szCs w:val="16"/>
              </w:rPr>
            </w:pPr>
            <w:r w:rsidRPr="007B690E">
              <w:rPr>
                <w:rFonts w:ascii="Arial" w:eastAsia="Calibri" w:hAnsi="Arial" w:cs="Arial"/>
                <w:b/>
                <w:bCs/>
                <w:color w:val="000000"/>
                <w:sz w:val="16"/>
                <w:szCs w:val="16"/>
              </w:rPr>
              <w:t>Ponto de controle</w:t>
            </w:r>
          </w:p>
        </w:tc>
        <w:tc>
          <w:tcPr>
            <w:tcW w:w="1418" w:type="dxa"/>
            <w:shd w:val="clear" w:color="auto" w:fill="auto"/>
            <w:vAlign w:val="center"/>
          </w:tcPr>
          <w:p w14:paraId="726D7200" w14:textId="77777777" w:rsidR="007B690E" w:rsidRPr="007B690E" w:rsidRDefault="007B690E" w:rsidP="007B690E">
            <w:pPr>
              <w:widowControl w:val="0"/>
              <w:spacing w:after="0" w:line="240" w:lineRule="auto"/>
              <w:jc w:val="center"/>
              <w:rPr>
                <w:rFonts w:ascii="Arial" w:eastAsia="Calibri" w:hAnsi="Arial" w:cs="Arial"/>
                <w:b/>
                <w:bCs/>
                <w:color w:val="000000"/>
                <w:sz w:val="16"/>
                <w:szCs w:val="16"/>
              </w:rPr>
            </w:pPr>
            <w:r w:rsidRPr="007B690E">
              <w:rPr>
                <w:rFonts w:ascii="Arial" w:eastAsia="Calibri" w:hAnsi="Arial" w:cs="Arial"/>
                <w:b/>
                <w:bCs/>
                <w:color w:val="000000"/>
                <w:sz w:val="16"/>
                <w:szCs w:val="16"/>
              </w:rPr>
              <w:t>Base legal</w:t>
            </w:r>
          </w:p>
        </w:tc>
        <w:tc>
          <w:tcPr>
            <w:tcW w:w="1417" w:type="dxa"/>
            <w:vAlign w:val="center"/>
          </w:tcPr>
          <w:p w14:paraId="6BBB65EE" w14:textId="77777777" w:rsidR="007B690E" w:rsidRPr="007B690E" w:rsidRDefault="007B690E" w:rsidP="007B690E">
            <w:pPr>
              <w:widowControl w:val="0"/>
              <w:spacing w:after="0" w:line="240" w:lineRule="auto"/>
              <w:jc w:val="center"/>
              <w:rPr>
                <w:rFonts w:ascii="Arial" w:eastAsia="Calibri" w:hAnsi="Arial" w:cs="Arial"/>
                <w:b/>
                <w:bCs/>
                <w:color w:val="000000"/>
                <w:sz w:val="16"/>
                <w:szCs w:val="16"/>
              </w:rPr>
            </w:pPr>
            <w:r w:rsidRPr="007B690E">
              <w:rPr>
                <w:rFonts w:ascii="Arial" w:eastAsia="Calibri" w:hAnsi="Arial" w:cs="Arial"/>
                <w:b/>
                <w:bCs/>
                <w:color w:val="000000"/>
                <w:sz w:val="16"/>
                <w:szCs w:val="16"/>
              </w:rPr>
              <w:t>Tipo de procedimento sugerido</w:t>
            </w:r>
          </w:p>
        </w:tc>
        <w:tc>
          <w:tcPr>
            <w:tcW w:w="2694" w:type="dxa"/>
            <w:shd w:val="clear" w:color="auto" w:fill="auto"/>
            <w:vAlign w:val="center"/>
          </w:tcPr>
          <w:p w14:paraId="0F425D04" w14:textId="77777777" w:rsidR="007B690E" w:rsidRPr="007B690E" w:rsidRDefault="007B690E" w:rsidP="007B690E">
            <w:pPr>
              <w:widowControl w:val="0"/>
              <w:spacing w:after="0" w:line="240" w:lineRule="auto"/>
              <w:jc w:val="center"/>
              <w:rPr>
                <w:rFonts w:ascii="Arial" w:eastAsia="Calibri" w:hAnsi="Arial" w:cs="Arial"/>
                <w:b/>
                <w:bCs/>
                <w:color w:val="000000"/>
                <w:sz w:val="16"/>
                <w:szCs w:val="16"/>
              </w:rPr>
            </w:pPr>
            <w:r w:rsidRPr="007B690E">
              <w:rPr>
                <w:rFonts w:ascii="Arial" w:eastAsia="Calibri" w:hAnsi="Arial" w:cs="Arial"/>
                <w:b/>
                <w:bCs/>
                <w:color w:val="000000"/>
                <w:sz w:val="16"/>
                <w:szCs w:val="16"/>
              </w:rPr>
              <w:t>Procedimento</w:t>
            </w:r>
          </w:p>
        </w:tc>
        <w:tc>
          <w:tcPr>
            <w:tcW w:w="1275" w:type="dxa"/>
            <w:shd w:val="clear" w:color="auto" w:fill="auto"/>
            <w:vAlign w:val="center"/>
          </w:tcPr>
          <w:p w14:paraId="7FF7182C" w14:textId="77777777" w:rsidR="007B690E" w:rsidRPr="007B690E" w:rsidRDefault="007B690E" w:rsidP="007B690E">
            <w:pPr>
              <w:widowControl w:val="0"/>
              <w:spacing w:after="0" w:line="240" w:lineRule="auto"/>
              <w:jc w:val="center"/>
              <w:rPr>
                <w:rFonts w:ascii="Arial" w:eastAsia="Calibri" w:hAnsi="Arial" w:cs="Arial"/>
                <w:b/>
                <w:bCs/>
                <w:color w:val="000000"/>
                <w:sz w:val="16"/>
                <w:szCs w:val="16"/>
              </w:rPr>
            </w:pPr>
            <w:r w:rsidRPr="007B690E">
              <w:rPr>
                <w:rFonts w:ascii="Arial" w:eastAsia="Calibri" w:hAnsi="Arial" w:cs="Arial"/>
                <w:b/>
                <w:bCs/>
                <w:color w:val="000000"/>
                <w:sz w:val="16"/>
                <w:szCs w:val="16"/>
              </w:rPr>
              <w:t>Aplicável à</w:t>
            </w:r>
          </w:p>
        </w:tc>
      </w:tr>
      <w:tr w:rsidR="007B690E" w:rsidRPr="007B690E" w14:paraId="32DD9D3E" w14:textId="77777777" w:rsidTr="007B690E">
        <w:trPr>
          <w:trHeight w:val="1087"/>
        </w:trPr>
        <w:tc>
          <w:tcPr>
            <w:tcW w:w="851" w:type="dxa"/>
            <w:vAlign w:val="center"/>
          </w:tcPr>
          <w:p w14:paraId="28D7E376"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2.5.1</w:t>
            </w:r>
          </w:p>
        </w:tc>
        <w:tc>
          <w:tcPr>
            <w:tcW w:w="1417" w:type="dxa"/>
            <w:shd w:val="clear" w:color="auto" w:fill="auto"/>
            <w:vAlign w:val="center"/>
            <w:hideMark/>
          </w:tcPr>
          <w:p w14:paraId="7D3DFF54"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Retenção de impostos, contribuições sociais e previdenciárias.</w:t>
            </w:r>
          </w:p>
        </w:tc>
        <w:tc>
          <w:tcPr>
            <w:tcW w:w="1418" w:type="dxa"/>
            <w:shd w:val="clear" w:color="auto" w:fill="auto"/>
            <w:vAlign w:val="center"/>
            <w:hideMark/>
          </w:tcPr>
          <w:p w14:paraId="4E793512"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LC 116/2003, art. 6º/ Decreto Federal nº 3.000/1999. Lei 8.212/1991. Lei Local.</w:t>
            </w:r>
          </w:p>
        </w:tc>
        <w:tc>
          <w:tcPr>
            <w:tcW w:w="1417" w:type="dxa"/>
            <w:vAlign w:val="center"/>
          </w:tcPr>
          <w:p w14:paraId="1AF5E19C"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Auditoria Governamental de conformidade</w:t>
            </w:r>
          </w:p>
        </w:tc>
        <w:tc>
          <w:tcPr>
            <w:tcW w:w="2694" w:type="dxa"/>
            <w:shd w:val="clear" w:color="auto" w:fill="auto"/>
            <w:vAlign w:val="center"/>
            <w:hideMark/>
          </w:tcPr>
          <w:p w14:paraId="65DCF0FD"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Avaliar se foram realizadas as retenções na fonte e o devido recolhimento, de impostos, contribuições sociais e contribuições previdenciárias, devidas pelas pessoas jurídicas contratadas pela administração pública.</w:t>
            </w:r>
          </w:p>
        </w:tc>
        <w:tc>
          <w:tcPr>
            <w:tcW w:w="1275" w:type="dxa"/>
            <w:shd w:val="clear" w:color="auto" w:fill="auto"/>
            <w:vAlign w:val="center"/>
            <w:hideMark/>
          </w:tcPr>
          <w:p w14:paraId="68161983"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Contas de Gestão (Todas as UG's)</w:t>
            </w:r>
          </w:p>
        </w:tc>
      </w:tr>
      <w:tr w:rsidR="007B690E" w:rsidRPr="007B690E" w14:paraId="5E277A47" w14:textId="77777777" w:rsidTr="007B690E">
        <w:trPr>
          <w:trHeight w:val="613"/>
        </w:trPr>
        <w:tc>
          <w:tcPr>
            <w:tcW w:w="851" w:type="dxa"/>
            <w:vAlign w:val="center"/>
          </w:tcPr>
          <w:p w14:paraId="7AE62784" w14:textId="77777777" w:rsidR="007B690E" w:rsidRPr="007B690E" w:rsidRDefault="007B690E" w:rsidP="007B690E">
            <w:pPr>
              <w:widowControl w:val="0"/>
              <w:spacing w:after="0" w:line="240" w:lineRule="auto"/>
              <w:jc w:val="center"/>
              <w:rPr>
                <w:rFonts w:ascii="Arial" w:eastAsia="Calibri" w:hAnsi="Arial" w:cs="Arial"/>
                <w:bCs/>
                <w:sz w:val="16"/>
                <w:szCs w:val="16"/>
              </w:rPr>
            </w:pPr>
            <w:r w:rsidRPr="007B690E">
              <w:rPr>
                <w:rFonts w:ascii="Arial" w:eastAsia="Calibri" w:hAnsi="Arial" w:cs="Arial"/>
                <w:color w:val="000000"/>
                <w:sz w:val="16"/>
                <w:szCs w:val="16"/>
              </w:rPr>
              <w:t>2.5.2</w:t>
            </w:r>
          </w:p>
        </w:tc>
        <w:tc>
          <w:tcPr>
            <w:tcW w:w="1417" w:type="dxa"/>
            <w:shd w:val="clear" w:color="auto" w:fill="auto"/>
            <w:vAlign w:val="center"/>
          </w:tcPr>
          <w:p w14:paraId="6A86E48B" w14:textId="77777777" w:rsidR="007B690E" w:rsidRPr="007B690E" w:rsidRDefault="007B690E" w:rsidP="007B690E">
            <w:pPr>
              <w:widowControl w:val="0"/>
              <w:spacing w:after="0" w:line="240" w:lineRule="auto"/>
              <w:jc w:val="center"/>
              <w:rPr>
                <w:rFonts w:ascii="Arial" w:eastAsia="Calibri" w:hAnsi="Arial" w:cs="Arial"/>
                <w:bCs/>
                <w:sz w:val="16"/>
                <w:szCs w:val="16"/>
              </w:rPr>
            </w:pPr>
            <w:r w:rsidRPr="007B690E">
              <w:rPr>
                <w:rFonts w:ascii="Arial" w:eastAsia="Calibri" w:hAnsi="Arial" w:cs="Arial"/>
                <w:bCs/>
                <w:sz w:val="16"/>
                <w:szCs w:val="16"/>
              </w:rPr>
              <w:t>Base de cálculo de contribuições - RPPS</w:t>
            </w:r>
          </w:p>
        </w:tc>
        <w:tc>
          <w:tcPr>
            <w:tcW w:w="1418" w:type="dxa"/>
            <w:shd w:val="clear" w:color="auto" w:fill="auto"/>
            <w:vAlign w:val="center"/>
          </w:tcPr>
          <w:p w14:paraId="53FA906C" w14:textId="77777777" w:rsidR="007B690E" w:rsidRPr="007B690E" w:rsidRDefault="007B690E" w:rsidP="007B690E">
            <w:pPr>
              <w:tabs>
                <w:tab w:val="left" w:pos="213"/>
              </w:tabs>
              <w:spacing w:after="0" w:line="240" w:lineRule="auto"/>
              <w:ind w:left="72"/>
              <w:contextualSpacing/>
              <w:rPr>
                <w:rFonts w:ascii="Arial" w:eastAsia="Calibri" w:hAnsi="Arial" w:cs="Arial"/>
                <w:bCs/>
                <w:sz w:val="16"/>
                <w:szCs w:val="16"/>
                <w:lang w:val="en-US"/>
              </w:rPr>
            </w:pPr>
            <w:r w:rsidRPr="007B690E">
              <w:rPr>
                <w:rFonts w:ascii="Arial" w:eastAsia="Calibri" w:hAnsi="Arial" w:cs="Arial"/>
                <w:bCs/>
                <w:sz w:val="16"/>
                <w:szCs w:val="16"/>
                <w:lang w:val="en-US"/>
              </w:rPr>
              <w:t>CF/88, art. 40. LRF, art. 69. Lei 9717/1998 art. 1º.</w:t>
            </w:r>
          </w:p>
        </w:tc>
        <w:tc>
          <w:tcPr>
            <w:tcW w:w="1417" w:type="dxa"/>
            <w:vAlign w:val="center"/>
          </w:tcPr>
          <w:p w14:paraId="4E83569A" w14:textId="77777777" w:rsidR="007B690E" w:rsidRPr="007B690E" w:rsidRDefault="007B690E" w:rsidP="007B690E">
            <w:pPr>
              <w:widowControl w:val="0"/>
              <w:autoSpaceDE w:val="0"/>
              <w:autoSpaceDN w:val="0"/>
              <w:adjustRightInd w:val="0"/>
              <w:spacing w:after="0" w:line="240" w:lineRule="auto"/>
              <w:jc w:val="center"/>
              <w:rPr>
                <w:rFonts w:ascii="Arial" w:eastAsia="Calibri" w:hAnsi="Arial" w:cs="Arial"/>
                <w:bCs/>
                <w:sz w:val="16"/>
                <w:szCs w:val="16"/>
              </w:rPr>
            </w:pPr>
            <w:r w:rsidRPr="007B690E">
              <w:rPr>
                <w:rFonts w:ascii="Arial" w:eastAsia="Calibri" w:hAnsi="Arial" w:cs="Arial"/>
                <w:color w:val="000000"/>
                <w:sz w:val="16"/>
                <w:szCs w:val="16"/>
                <w:lang w:val="en-US"/>
              </w:rPr>
              <w:t>Auditoria Governamental de conformidade</w:t>
            </w:r>
          </w:p>
        </w:tc>
        <w:tc>
          <w:tcPr>
            <w:tcW w:w="2694" w:type="dxa"/>
            <w:shd w:val="clear" w:color="auto" w:fill="auto"/>
            <w:vAlign w:val="center"/>
          </w:tcPr>
          <w:p w14:paraId="1F9E23D8" w14:textId="77777777" w:rsidR="007B690E" w:rsidRPr="007B690E" w:rsidRDefault="007B690E" w:rsidP="007B690E">
            <w:pPr>
              <w:widowControl w:val="0"/>
              <w:spacing w:after="0" w:line="240" w:lineRule="auto"/>
              <w:jc w:val="both"/>
              <w:rPr>
                <w:rFonts w:ascii="Arial" w:eastAsia="Calibri" w:hAnsi="Arial" w:cs="Arial"/>
                <w:bCs/>
                <w:sz w:val="16"/>
                <w:szCs w:val="16"/>
              </w:rPr>
            </w:pPr>
            <w:r w:rsidRPr="007B690E">
              <w:rPr>
                <w:rFonts w:ascii="Arial" w:eastAsia="Calibri" w:hAnsi="Arial" w:cs="Arial"/>
                <w:bCs/>
                <w:sz w:val="16"/>
                <w:szCs w:val="16"/>
              </w:rPr>
              <w:t>Verificar a existência de uma base de contribuição regulamentada no ente e se contribuições previdenciárias estão sendo calculadas e retidas respeitando essa base de cálculo.</w:t>
            </w:r>
          </w:p>
        </w:tc>
        <w:tc>
          <w:tcPr>
            <w:tcW w:w="1275" w:type="dxa"/>
            <w:shd w:val="clear" w:color="auto" w:fill="auto"/>
            <w:vAlign w:val="center"/>
          </w:tcPr>
          <w:p w14:paraId="10D1DD67" w14:textId="77777777" w:rsidR="007B690E" w:rsidRPr="007B690E" w:rsidRDefault="007B690E" w:rsidP="007B690E">
            <w:pPr>
              <w:widowControl w:val="0"/>
              <w:spacing w:after="0" w:line="240" w:lineRule="auto"/>
              <w:jc w:val="center"/>
              <w:rPr>
                <w:rFonts w:ascii="Arial" w:eastAsia="Calibri" w:hAnsi="Arial" w:cs="Arial"/>
                <w:bCs/>
                <w:sz w:val="16"/>
                <w:szCs w:val="16"/>
              </w:rPr>
            </w:pPr>
            <w:r w:rsidRPr="007B690E">
              <w:rPr>
                <w:rFonts w:ascii="Arial" w:eastAsia="Calibri" w:hAnsi="Arial" w:cs="Arial"/>
                <w:color w:val="000000"/>
                <w:sz w:val="16"/>
                <w:szCs w:val="16"/>
              </w:rPr>
              <w:t>Contas de Governo e Contas de Gestão (Todas as UG's)</w:t>
            </w:r>
          </w:p>
        </w:tc>
      </w:tr>
      <w:tr w:rsidR="007B690E" w:rsidRPr="007B690E" w14:paraId="28B9636E" w14:textId="77777777" w:rsidTr="007B690E">
        <w:trPr>
          <w:trHeight w:val="613"/>
        </w:trPr>
        <w:tc>
          <w:tcPr>
            <w:tcW w:w="851" w:type="dxa"/>
            <w:vAlign w:val="center"/>
          </w:tcPr>
          <w:p w14:paraId="2B8AE909" w14:textId="77777777" w:rsidR="007B690E" w:rsidRPr="007B690E" w:rsidRDefault="007B690E" w:rsidP="007B690E">
            <w:pPr>
              <w:widowControl w:val="0"/>
              <w:spacing w:after="0" w:line="240" w:lineRule="auto"/>
              <w:jc w:val="center"/>
              <w:rPr>
                <w:rFonts w:ascii="Arial" w:eastAsia="Calibri" w:hAnsi="Arial" w:cs="Arial"/>
                <w:bCs/>
                <w:sz w:val="16"/>
                <w:szCs w:val="16"/>
              </w:rPr>
            </w:pPr>
            <w:r w:rsidRPr="007B690E">
              <w:rPr>
                <w:rFonts w:ascii="Arial" w:eastAsia="Calibri" w:hAnsi="Arial" w:cs="Arial"/>
                <w:color w:val="000000"/>
                <w:sz w:val="16"/>
                <w:szCs w:val="16"/>
              </w:rPr>
              <w:lastRenderedPageBreak/>
              <w:t>2.5.3</w:t>
            </w:r>
          </w:p>
        </w:tc>
        <w:tc>
          <w:tcPr>
            <w:tcW w:w="1417" w:type="dxa"/>
            <w:shd w:val="clear" w:color="auto" w:fill="auto"/>
            <w:vAlign w:val="center"/>
          </w:tcPr>
          <w:p w14:paraId="0B1ABFAF" w14:textId="77777777" w:rsidR="007B690E" w:rsidRPr="007B690E" w:rsidRDefault="007B690E" w:rsidP="007B690E">
            <w:pPr>
              <w:widowControl w:val="0"/>
              <w:spacing w:after="0" w:line="240" w:lineRule="auto"/>
              <w:jc w:val="center"/>
              <w:rPr>
                <w:rFonts w:ascii="Arial" w:eastAsia="Calibri" w:hAnsi="Arial" w:cs="Arial"/>
                <w:bCs/>
                <w:sz w:val="16"/>
                <w:szCs w:val="16"/>
                <w:lang w:val="en-US"/>
              </w:rPr>
            </w:pPr>
            <w:r w:rsidRPr="007B690E">
              <w:rPr>
                <w:rFonts w:ascii="Arial" w:eastAsia="Calibri" w:hAnsi="Arial" w:cs="Arial"/>
                <w:bCs/>
                <w:sz w:val="16"/>
                <w:szCs w:val="16"/>
              </w:rPr>
              <w:t>A</w:t>
            </w:r>
            <w:r w:rsidRPr="007B690E">
              <w:rPr>
                <w:rFonts w:ascii="Arial" w:eastAsia="Calibri" w:hAnsi="Arial" w:cs="Arial"/>
                <w:bCs/>
                <w:sz w:val="16"/>
                <w:szCs w:val="16"/>
                <w:lang w:val="en-US"/>
              </w:rPr>
              <w:t>líquota de contribuição – Fixação</w:t>
            </w:r>
          </w:p>
        </w:tc>
        <w:tc>
          <w:tcPr>
            <w:tcW w:w="1418" w:type="dxa"/>
            <w:shd w:val="clear" w:color="auto" w:fill="auto"/>
            <w:vAlign w:val="center"/>
          </w:tcPr>
          <w:p w14:paraId="1C386602" w14:textId="77777777" w:rsidR="007B690E" w:rsidRPr="007B690E" w:rsidRDefault="007B690E" w:rsidP="007B690E">
            <w:pPr>
              <w:tabs>
                <w:tab w:val="left" w:pos="213"/>
              </w:tabs>
              <w:spacing w:after="0" w:line="240" w:lineRule="auto"/>
              <w:ind w:left="72"/>
              <w:contextualSpacing/>
              <w:rPr>
                <w:rFonts w:ascii="Arial" w:eastAsia="Calibri" w:hAnsi="Arial" w:cs="Arial"/>
                <w:bCs/>
                <w:sz w:val="16"/>
                <w:szCs w:val="16"/>
              </w:rPr>
            </w:pPr>
            <w:r w:rsidRPr="007B690E">
              <w:rPr>
                <w:rFonts w:ascii="Arial" w:eastAsia="Calibri" w:hAnsi="Arial" w:cs="Arial"/>
                <w:bCs/>
                <w:sz w:val="16"/>
                <w:szCs w:val="16"/>
                <w:lang w:val="en-US"/>
              </w:rPr>
              <w:t xml:space="preserve">CF/88, art. 40. LRF, art. 69. Lei 9717/1998, arts. </w:t>
            </w:r>
            <w:r w:rsidRPr="007B690E">
              <w:rPr>
                <w:rFonts w:ascii="Arial" w:eastAsia="Calibri" w:hAnsi="Arial" w:cs="Arial"/>
                <w:bCs/>
                <w:sz w:val="16"/>
                <w:szCs w:val="16"/>
              </w:rPr>
              <w:t>1º e 3º.</w:t>
            </w:r>
          </w:p>
        </w:tc>
        <w:tc>
          <w:tcPr>
            <w:tcW w:w="1417" w:type="dxa"/>
            <w:vAlign w:val="center"/>
          </w:tcPr>
          <w:p w14:paraId="3AAE0E81" w14:textId="77777777" w:rsidR="007B690E" w:rsidRPr="007B690E" w:rsidRDefault="007B690E" w:rsidP="007B690E">
            <w:pPr>
              <w:widowControl w:val="0"/>
              <w:autoSpaceDE w:val="0"/>
              <w:autoSpaceDN w:val="0"/>
              <w:adjustRightInd w:val="0"/>
              <w:spacing w:after="0" w:line="240" w:lineRule="auto"/>
              <w:jc w:val="center"/>
              <w:rPr>
                <w:rFonts w:ascii="Arial" w:eastAsia="Calibri" w:hAnsi="Arial" w:cs="Arial"/>
                <w:bCs/>
                <w:sz w:val="16"/>
                <w:szCs w:val="16"/>
              </w:rPr>
            </w:pPr>
            <w:r w:rsidRPr="007B690E">
              <w:rPr>
                <w:rFonts w:ascii="Arial" w:eastAsia="Calibri" w:hAnsi="Arial" w:cs="Arial"/>
                <w:color w:val="000000"/>
                <w:sz w:val="16"/>
                <w:szCs w:val="16"/>
                <w:lang w:val="en-US"/>
              </w:rPr>
              <w:t>Auditoria Governamental de conformidade</w:t>
            </w:r>
          </w:p>
        </w:tc>
        <w:tc>
          <w:tcPr>
            <w:tcW w:w="2694" w:type="dxa"/>
            <w:shd w:val="clear" w:color="auto" w:fill="auto"/>
            <w:vAlign w:val="center"/>
          </w:tcPr>
          <w:p w14:paraId="426F320C" w14:textId="77777777" w:rsidR="007B690E" w:rsidRPr="007B690E" w:rsidRDefault="007B690E" w:rsidP="007B690E">
            <w:pPr>
              <w:widowControl w:val="0"/>
              <w:spacing w:after="0" w:line="240" w:lineRule="auto"/>
              <w:jc w:val="both"/>
              <w:rPr>
                <w:rFonts w:ascii="Arial" w:eastAsia="Calibri" w:hAnsi="Arial" w:cs="Arial"/>
                <w:bCs/>
                <w:sz w:val="16"/>
                <w:szCs w:val="16"/>
              </w:rPr>
            </w:pPr>
            <w:r w:rsidRPr="007B690E">
              <w:rPr>
                <w:rFonts w:ascii="Arial" w:eastAsia="Calibri" w:hAnsi="Arial" w:cs="Arial"/>
                <w:bCs/>
                <w:sz w:val="16"/>
                <w:szCs w:val="16"/>
              </w:rPr>
              <w:t>Verificar se as alíquotas de contribuição vigentes na legislação local estão compatíveis com a legislação previdenciária.</w:t>
            </w:r>
          </w:p>
        </w:tc>
        <w:tc>
          <w:tcPr>
            <w:tcW w:w="1275" w:type="dxa"/>
            <w:shd w:val="clear" w:color="auto" w:fill="auto"/>
            <w:vAlign w:val="center"/>
          </w:tcPr>
          <w:p w14:paraId="3EDFBF44" w14:textId="77777777" w:rsidR="007B690E" w:rsidRPr="007B690E" w:rsidRDefault="007B690E" w:rsidP="007B690E">
            <w:pPr>
              <w:widowControl w:val="0"/>
              <w:spacing w:after="0" w:line="240" w:lineRule="auto"/>
              <w:jc w:val="center"/>
              <w:rPr>
                <w:rFonts w:ascii="Arial" w:eastAsia="Calibri" w:hAnsi="Arial" w:cs="Arial"/>
                <w:bCs/>
                <w:sz w:val="16"/>
                <w:szCs w:val="16"/>
              </w:rPr>
            </w:pPr>
            <w:r w:rsidRPr="007B690E">
              <w:rPr>
                <w:rFonts w:ascii="Arial" w:eastAsia="Calibri" w:hAnsi="Arial" w:cs="Arial"/>
                <w:color w:val="000000"/>
                <w:sz w:val="16"/>
                <w:szCs w:val="16"/>
              </w:rPr>
              <w:t>Contas de Governo e Contas de Gestão do RPPS</w:t>
            </w:r>
          </w:p>
        </w:tc>
      </w:tr>
      <w:tr w:rsidR="007B690E" w:rsidRPr="007B690E" w14:paraId="6DC39CDE" w14:textId="77777777" w:rsidTr="007B69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blHeader/>
        </w:trPr>
        <w:tc>
          <w:tcPr>
            <w:tcW w:w="851" w:type="dxa"/>
            <w:tcBorders>
              <w:top w:val="single" w:sz="4" w:space="0" w:color="auto"/>
              <w:left w:val="single" w:sz="4" w:space="0" w:color="auto"/>
              <w:bottom w:val="single" w:sz="4" w:space="0" w:color="auto"/>
              <w:right w:val="single" w:sz="4" w:space="0" w:color="auto"/>
            </w:tcBorders>
            <w:vAlign w:val="center"/>
          </w:tcPr>
          <w:p w14:paraId="6B2830A0" w14:textId="77777777" w:rsidR="007B690E" w:rsidRPr="007B690E" w:rsidRDefault="007B690E" w:rsidP="007B690E">
            <w:pPr>
              <w:widowControl w:val="0"/>
              <w:spacing w:after="0" w:line="240" w:lineRule="auto"/>
              <w:jc w:val="center"/>
              <w:rPr>
                <w:rFonts w:ascii="Arial" w:eastAsia="Calibri" w:hAnsi="Arial" w:cs="Arial"/>
                <w:bCs/>
                <w:sz w:val="16"/>
                <w:szCs w:val="16"/>
              </w:rPr>
            </w:pPr>
            <w:r w:rsidRPr="007B690E">
              <w:rPr>
                <w:rFonts w:ascii="Arial" w:eastAsia="Calibri" w:hAnsi="Arial" w:cs="Arial"/>
                <w:color w:val="000000"/>
                <w:sz w:val="16"/>
                <w:szCs w:val="16"/>
              </w:rPr>
              <w:t>2.5.4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FDE56C4" w14:textId="77777777" w:rsidR="007B690E" w:rsidRPr="007B690E" w:rsidRDefault="007B690E" w:rsidP="007B690E">
            <w:pPr>
              <w:widowControl w:val="0"/>
              <w:spacing w:after="0" w:line="240" w:lineRule="auto"/>
              <w:jc w:val="center"/>
              <w:rPr>
                <w:rFonts w:ascii="Arial" w:eastAsia="Calibri" w:hAnsi="Arial" w:cs="Arial"/>
                <w:bCs/>
                <w:sz w:val="16"/>
                <w:szCs w:val="16"/>
                <w:lang w:val="en-US"/>
              </w:rPr>
            </w:pPr>
            <w:r w:rsidRPr="007B690E">
              <w:rPr>
                <w:rFonts w:ascii="Arial" w:eastAsia="Calibri" w:hAnsi="Arial" w:cs="Arial"/>
                <w:bCs/>
                <w:sz w:val="16"/>
                <w:szCs w:val="16"/>
              </w:rPr>
              <w:t>A</w:t>
            </w:r>
            <w:r w:rsidRPr="007B690E">
              <w:rPr>
                <w:rFonts w:ascii="Arial" w:eastAsia="Calibri" w:hAnsi="Arial" w:cs="Arial"/>
                <w:bCs/>
                <w:sz w:val="16"/>
                <w:szCs w:val="16"/>
                <w:lang w:val="en-US"/>
              </w:rPr>
              <w:t>líquota de contribuição – Recolhimento</w:t>
            </w:r>
          </w:p>
        </w:tc>
        <w:tc>
          <w:tcPr>
            <w:tcW w:w="1418" w:type="dxa"/>
            <w:tcBorders>
              <w:top w:val="single" w:sz="4" w:space="0" w:color="auto"/>
              <w:left w:val="nil"/>
              <w:bottom w:val="single" w:sz="4" w:space="0" w:color="auto"/>
              <w:right w:val="single" w:sz="4" w:space="0" w:color="auto"/>
            </w:tcBorders>
            <w:shd w:val="clear" w:color="auto" w:fill="auto"/>
            <w:vAlign w:val="center"/>
          </w:tcPr>
          <w:p w14:paraId="0FB3AC18" w14:textId="77777777" w:rsidR="007B690E" w:rsidRPr="007B690E" w:rsidRDefault="007B690E" w:rsidP="007B690E">
            <w:pPr>
              <w:tabs>
                <w:tab w:val="left" w:pos="213"/>
              </w:tabs>
              <w:spacing w:after="0" w:line="240" w:lineRule="auto"/>
              <w:ind w:left="72"/>
              <w:contextualSpacing/>
              <w:rPr>
                <w:rFonts w:ascii="Arial" w:eastAsia="Calibri" w:hAnsi="Arial" w:cs="Arial"/>
                <w:bCs/>
                <w:sz w:val="16"/>
                <w:szCs w:val="16"/>
              </w:rPr>
            </w:pPr>
            <w:r w:rsidRPr="007B690E">
              <w:rPr>
                <w:rFonts w:ascii="Arial" w:eastAsia="Calibri" w:hAnsi="Arial" w:cs="Arial"/>
                <w:bCs/>
                <w:sz w:val="16"/>
                <w:szCs w:val="16"/>
                <w:lang w:val="en-US"/>
              </w:rPr>
              <w:t xml:space="preserve">CF/88, art. 40. LRF, art. 69. Lei 9717/1998, arts. </w:t>
            </w:r>
            <w:r w:rsidRPr="007B690E">
              <w:rPr>
                <w:rFonts w:ascii="Arial" w:eastAsia="Calibri" w:hAnsi="Arial" w:cs="Arial"/>
                <w:bCs/>
                <w:sz w:val="16"/>
                <w:szCs w:val="16"/>
              </w:rPr>
              <w:t>1º e 3º.</w:t>
            </w:r>
          </w:p>
        </w:tc>
        <w:tc>
          <w:tcPr>
            <w:tcW w:w="1417" w:type="dxa"/>
            <w:tcBorders>
              <w:top w:val="single" w:sz="4" w:space="0" w:color="auto"/>
              <w:left w:val="nil"/>
              <w:bottom w:val="single" w:sz="4" w:space="0" w:color="auto"/>
              <w:right w:val="single" w:sz="4" w:space="0" w:color="auto"/>
            </w:tcBorders>
            <w:vAlign w:val="center"/>
          </w:tcPr>
          <w:p w14:paraId="7ADDD72D" w14:textId="77777777" w:rsidR="007B690E" w:rsidRPr="007B690E" w:rsidRDefault="007B690E" w:rsidP="007B690E">
            <w:pPr>
              <w:widowControl w:val="0"/>
              <w:autoSpaceDE w:val="0"/>
              <w:autoSpaceDN w:val="0"/>
              <w:adjustRightInd w:val="0"/>
              <w:spacing w:after="0" w:line="240" w:lineRule="auto"/>
              <w:jc w:val="center"/>
              <w:rPr>
                <w:rFonts w:ascii="Arial" w:eastAsia="Calibri" w:hAnsi="Arial" w:cs="Arial"/>
                <w:bCs/>
                <w:sz w:val="16"/>
                <w:szCs w:val="16"/>
              </w:rPr>
            </w:pPr>
            <w:r w:rsidRPr="007B690E">
              <w:rPr>
                <w:rFonts w:ascii="Arial" w:eastAsia="Calibri" w:hAnsi="Arial" w:cs="Arial"/>
                <w:color w:val="000000"/>
                <w:sz w:val="16"/>
                <w:szCs w:val="16"/>
                <w:lang w:val="en-US"/>
              </w:rPr>
              <w:t>Auditoria Governamental de conformidade</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2B94DDF9" w14:textId="77777777" w:rsidR="007B690E" w:rsidRPr="007B690E" w:rsidRDefault="007B690E" w:rsidP="007B690E">
            <w:pPr>
              <w:widowControl w:val="0"/>
              <w:spacing w:after="0" w:line="240" w:lineRule="auto"/>
              <w:jc w:val="both"/>
              <w:rPr>
                <w:rFonts w:ascii="Arial" w:eastAsia="Calibri" w:hAnsi="Arial" w:cs="Arial"/>
                <w:bCs/>
                <w:sz w:val="16"/>
                <w:szCs w:val="16"/>
              </w:rPr>
            </w:pPr>
            <w:r w:rsidRPr="007B690E">
              <w:rPr>
                <w:rFonts w:ascii="Arial" w:eastAsia="Calibri" w:hAnsi="Arial" w:cs="Arial"/>
                <w:bCs/>
                <w:sz w:val="16"/>
                <w:szCs w:val="16"/>
              </w:rPr>
              <w:t>Verificar se os descontos previdenciários e as contribuições patronais estão obedecendo as alíquotas de contribuição estabelecidas conforme a legislação.</w:t>
            </w:r>
          </w:p>
        </w:tc>
        <w:tc>
          <w:tcPr>
            <w:tcW w:w="1275" w:type="dxa"/>
            <w:tcBorders>
              <w:top w:val="single" w:sz="4" w:space="0" w:color="auto"/>
              <w:left w:val="nil"/>
              <w:bottom w:val="single" w:sz="4" w:space="0" w:color="auto"/>
              <w:right w:val="single" w:sz="4" w:space="0" w:color="auto"/>
            </w:tcBorders>
            <w:shd w:val="clear" w:color="auto" w:fill="auto"/>
            <w:vAlign w:val="center"/>
          </w:tcPr>
          <w:p w14:paraId="0914606B" w14:textId="77777777" w:rsidR="007B690E" w:rsidRPr="007B690E" w:rsidRDefault="007B690E" w:rsidP="007B690E">
            <w:pPr>
              <w:widowControl w:val="0"/>
              <w:spacing w:after="0" w:line="240" w:lineRule="auto"/>
              <w:jc w:val="center"/>
              <w:rPr>
                <w:rFonts w:ascii="Arial" w:eastAsia="Calibri" w:hAnsi="Arial" w:cs="Arial"/>
                <w:bCs/>
                <w:sz w:val="16"/>
                <w:szCs w:val="16"/>
              </w:rPr>
            </w:pPr>
            <w:r w:rsidRPr="007B690E">
              <w:rPr>
                <w:rFonts w:ascii="Arial" w:eastAsia="Calibri" w:hAnsi="Arial" w:cs="Arial"/>
                <w:color w:val="000000"/>
                <w:sz w:val="16"/>
                <w:szCs w:val="16"/>
              </w:rPr>
              <w:t>Contas de Gestão (Todas as UG's)</w:t>
            </w:r>
          </w:p>
        </w:tc>
      </w:tr>
      <w:tr w:rsidR="007B690E" w:rsidRPr="007B690E" w14:paraId="60497388" w14:textId="77777777" w:rsidTr="007B69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blHeader/>
        </w:trPr>
        <w:tc>
          <w:tcPr>
            <w:tcW w:w="851" w:type="dxa"/>
            <w:tcBorders>
              <w:top w:val="single" w:sz="4" w:space="0" w:color="auto"/>
              <w:left w:val="single" w:sz="4" w:space="0" w:color="auto"/>
              <w:bottom w:val="single" w:sz="4" w:space="0" w:color="auto"/>
              <w:right w:val="single" w:sz="4" w:space="0" w:color="auto"/>
            </w:tcBorders>
            <w:vAlign w:val="center"/>
          </w:tcPr>
          <w:p w14:paraId="0465F31A" w14:textId="77777777" w:rsidR="007B690E" w:rsidRPr="007B690E" w:rsidRDefault="007B690E" w:rsidP="007B690E">
            <w:pPr>
              <w:widowControl w:val="0"/>
              <w:spacing w:after="0" w:line="240" w:lineRule="auto"/>
              <w:jc w:val="center"/>
              <w:rPr>
                <w:rFonts w:ascii="Arial" w:eastAsia="Calibri" w:hAnsi="Arial" w:cs="Arial"/>
                <w:bCs/>
                <w:sz w:val="16"/>
                <w:szCs w:val="16"/>
              </w:rPr>
            </w:pPr>
            <w:r w:rsidRPr="007B690E">
              <w:rPr>
                <w:rFonts w:ascii="Arial" w:eastAsia="Calibri" w:hAnsi="Arial" w:cs="Arial"/>
                <w:color w:val="000000"/>
                <w:sz w:val="16"/>
                <w:szCs w:val="16"/>
              </w:rPr>
              <w:t>2.5.5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62BE910" w14:textId="77777777" w:rsidR="007B690E" w:rsidRPr="007B690E" w:rsidRDefault="007B690E" w:rsidP="007B690E">
            <w:pPr>
              <w:widowControl w:val="0"/>
              <w:spacing w:after="0" w:line="240" w:lineRule="auto"/>
              <w:jc w:val="center"/>
              <w:rPr>
                <w:rFonts w:ascii="Arial" w:eastAsia="Calibri" w:hAnsi="Arial" w:cs="Arial"/>
                <w:bCs/>
                <w:sz w:val="16"/>
                <w:szCs w:val="16"/>
              </w:rPr>
            </w:pPr>
            <w:r w:rsidRPr="007B690E">
              <w:rPr>
                <w:rFonts w:ascii="Arial" w:eastAsia="Calibri" w:hAnsi="Arial" w:cs="Arial"/>
                <w:bCs/>
                <w:sz w:val="16"/>
                <w:szCs w:val="16"/>
              </w:rPr>
              <w:t>Guia de recolhimento de contribuições previdenciárias</w:t>
            </w:r>
          </w:p>
        </w:tc>
        <w:tc>
          <w:tcPr>
            <w:tcW w:w="1418" w:type="dxa"/>
            <w:tcBorders>
              <w:top w:val="single" w:sz="4" w:space="0" w:color="auto"/>
              <w:left w:val="nil"/>
              <w:bottom w:val="single" w:sz="4" w:space="0" w:color="auto"/>
              <w:right w:val="single" w:sz="4" w:space="0" w:color="auto"/>
            </w:tcBorders>
            <w:shd w:val="clear" w:color="auto" w:fill="auto"/>
            <w:vAlign w:val="center"/>
          </w:tcPr>
          <w:p w14:paraId="6D98E2A0" w14:textId="77777777" w:rsidR="007B690E" w:rsidRPr="007B690E" w:rsidRDefault="007B690E" w:rsidP="007B690E">
            <w:pPr>
              <w:tabs>
                <w:tab w:val="left" w:pos="213"/>
              </w:tabs>
              <w:spacing w:after="0" w:line="240" w:lineRule="auto"/>
              <w:ind w:left="11"/>
              <w:contextualSpacing/>
              <w:rPr>
                <w:rFonts w:ascii="Arial" w:eastAsia="Calibri" w:hAnsi="Arial" w:cs="Arial"/>
                <w:bCs/>
                <w:sz w:val="16"/>
                <w:szCs w:val="16"/>
                <w:lang w:val="en-US"/>
              </w:rPr>
            </w:pPr>
            <w:r w:rsidRPr="007B690E">
              <w:rPr>
                <w:rFonts w:ascii="Arial" w:eastAsia="Calibri" w:hAnsi="Arial" w:cs="Arial"/>
                <w:bCs/>
                <w:sz w:val="16"/>
                <w:szCs w:val="16"/>
                <w:lang w:val="en-US"/>
              </w:rPr>
              <w:t>CF/88, art. 40.</w:t>
            </w:r>
          </w:p>
          <w:p w14:paraId="1D3B0FD6" w14:textId="77777777" w:rsidR="007B690E" w:rsidRPr="007B690E" w:rsidRDefault="007B690E" w:rsidP="007B690E">
            <w:pPr>
              <w:tabs>
                <w:tab w:val="left" w:pos="213"/>
              </w:tabs>
              <w:spacing w:after="0" w:line="240" w:lineRule="auto"/>
              <w:ind w:left="11"/>
              <w:contextualSpacing/>
              <w:rPr>
                <w:rFonts w:ascii="Arial" w:eastAsia="Calibri" w:hAnsi="Arial" w:cs="Arial"/>
                <w:bCs/>
                <w:sz w:val="16"/>
                <w:szCs w:val="16"/>
                <w:lang w:val="en-US"/>
              </w:rPr>
            </w:pPr>
            <w:r w:rsidRPr="007B690E">
              <w:rPr>
                <w:rFonts w:ascii="Arial" w:eastAsia="Calibri" w:hAnsi="Arial" w:cs="Arial"/>
                <w:bCs/>
                <w:sz w:val="16"/>
                <w:szCs w:val="16"/>
                <w:lang w:val="en-US"/>
              </w:rPr>
              <w:t>LRF, art. 69.</w:t>
            </w:r>
          </w:p>
          <w:p w14:paraId="7DDB3405" w14:textId="77777777" w:rsidR="007B690E" w:rsidRPr="007B690E" w:rsidRDefault="007B690E" w:rsidP="007B690E">
            <w:pPr>
              <w:tabs>
                <w:tab w:val="left" w:pos="213"/>
              </w:tabs>
              <w:spacing w:after="0" w:line="240" w:lineRule="auto"/>
              <w:ind w:left="11"/>
              <w:contextualSpacing/>
              <w:rPr>
                <w:rFonts w:ascii="Arial" w:eastAsia="Calibri" w:hAnsi="Arial" w:cs="Arial"/>
                <w:bCs/>
                <w:sz w:val="16"/>
                <w:szCs w:val="16"/>
                <w:lang w:val="en-US"/>
              </w:rPr>
            </w:pPr>
            <w:r w:rsidRPr="007B690E">
              <w:rPr>
                <w:rFonts w:ascii="Arial" w:eastAsia="Calibri" w:hAnsi="Arial" w:cs="Arial"/>
                <w:bCs/>
                <w:sz w:val="16"/>
                <w:szCs w:val="16"/>
                <w:lang w:val="en-US"/>
              </w:rPr>
              <w:t>Lei 9717/1998 art. 1º.</w:t>
            </w:r>
          </w:p>
        </w:tc>
        <w:tc>
          <w:tcPr>
            <w:tcW w:w="1417" w:type="dxa"/>
            <w:tcBorders>
              <w:top w:val="single" w:sz="4" w:space="0" w:color="auto"/>
              <w:left w:val="nil"/>
              <w:bottom w:val="single" w:sz="4" w:space="0" w:color="auto"/>
              <w:right w:val="single" w:sz="4" w:space="0" w:color="auto"/>
            </w:tcBorders>
            <w:vAlign w:val="center"/>
          </w:tcPr>
          <w:p w14:paraId="5D679542" w14:textId="77777777" w:rsidR="007B690E" w:rsidRPr="007B690E" w:rsidRDefault="007B690E" w:rsidP="007B690E">
            <w:pPr>
              <w:widowControl w:val="0"/>
              <w:spacing w:after="0" w:line="240" w:lineRule="auto"/>
              <w:jc w:val="center"/>
              <w:rPr>
                <w:rFonts w:ascii="Arial" w:eastAsia="Calibri" w:hAnsi="Arial" w:cs="Arial"/>
                <w:bCs/>
                <w:sz w:val="16"/>
                <w:szCs w:val="16"/>
                <w:lang w:val="en-US"/>
              </w:rPr>
            </w:pPr>
            <w:r w:rsidRPr="007B690E">
              <w:rPr>
                <w:rFonts w:ascii="Arial" w:eastAsia="Calibri" w:hAnsi="Arial" w:cs="Arial"/>
                <w:color w:val="000000"/>
                <w:sz w:val="16"/>
                <w:szCs w:val="16"/>
                <w:lang w:val="en-US"/>
              </w:rPr>
              <w:t>Auditoria Governamental de conformidade</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69D5DF1D" w14:textId="77777777" w:rsidR="007B690E" w:rsidRPr="007B690E" w:rsidRDefault="007B690E" w:rsidP="007B690E">
            <w:pPr>
              <w:widowControl w:val="0"/>
              <w:spacing w:after="0" w:line="240" w:lineRule="auto"/>
              <w:jc w:val="both"/>
              <w:rPr>
                <w:rFonts w:ascii="Arial" w:eastAsia="Calibri" w:hAnsi="Arial" w:cs="Arial"/>
                <w:bCs/>
                <w:sz w:val="16"/>
                <w:szCs w:val="16"/>
              </w:rPr>
            </w:pPr>
            <w:r w:rsidRPr="007B690E">
              <w:rPr>
                <w:rFonts w:ascii="Arial" w:eastAsia="Calibri" w:hAnsi="Arial" w:cs="Arial"/>
                <w:bCs/>
                <w:sz w:val="16"/>
                <w:szCs w:val="16"/>
              </w:rPr>
              <w:t>Verificar a existência de emissão de guia de recolhimento das contribuições previdenciárias devidas ao RPPS, nas unidades gestoras.</w:t>
            </w:r>
          </w:p>
        </w:tc>
        <w:tc>
          <w:tcPr>
            <w:tcW w:w="1275" w:type="dxa"/>
            <w:tcBorders>
              <w:top w:val="single" w:sz="4" w:space="0" w:color="auto"/>
              <w:left w:val="nil"/>
              <w:bottom w:val="single" w:sz="4" w:space="0" w:color="auto"/>
              <w:right w:val="single" w:sz="4" w:space="0" w:color="auto"/>
            </w:tcBorders>
            <w:shd w:val="clear" w:color="auto" w:fill="auto"/>
            <w:vAlign w:val="center"/>
          </w:tcPr>
          <w:p w14:paraId="4CDD4914" w14:textId="77777777" w:rsidR="007B690E" w:rsidRPr="007B690E" w:rsidRDefault="007B690E" w:rsidP="007B690E">
            <w:pPr>
              <w:widowControl w:val="0"/>
              <w:spacing w:after="0" w:line="240" w:lineRule="auto"/>
              <w:jc w:val="center"/>
              <w:rPr>
                <w:rFonts w:ascii="Arial" w:eastAsia="Calibri" w:hAnsi="Arial" w:cs="Arial"/>
                <w:bCs/>
                <w:sz w:val="16"/>
                <w:szCs w:val="16"/>
              </w:rPr>
            </w:pPr>
            <w:r w:rsidRPr="007B690E">
              <w:rPr>
                <w:rFonts w:ascii="Arial" w:eastAsia="Calibri" w:hAnsi="Arial" w:cs="Arial"/>
                <w:color w:val="000000"/>
                <w:sz w:val="16"/>
                <w:szCs w:val="16"/>
              </w:rPr>
              <w:t>Contas de Gestão (Todas as UG's)</w:t>
            </w:r>
          </w:p>
        </w:tc>
      </w:tr>
      <w:tr w:rsidR="007B690E" w:rsidRPr="007B690E" w14:paraId="74671316" w14:textId="77777777" w:rsidTr="007B69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blHeader/>
        </w:trPr>
        <w:tc>
          <w:tcPr>
            <w:tcW w:w="851" w:type="dxa"/>
            <w:tcBorders>
              <w:top w:val="single" w:sz="4" w:space="0" w:color="auto"/>
              <w:left w:val="single" w:sz="4" w:space="0" w:color="auto"/>
              <w:bottom w:val="single" w:sz="4" w:space="0" w:color="auto"/>
              <w:right w:val="single" w:sz="4" w:space="0" w:color="auto"/>
            </w:tcBorders>
            <w:vAlign w:val="center"/>
          </w:tcPr>
          <w:p w14:paraId="7CE21E7D" w14:textId="77777777" w:rsidR="007B690E" w:rsidRPr="007B690E" w:rsidRDefault="007B690E" w:rsidP="007B690E">
            <w:pPr>
              <w:widowControl w:val="0"/>
              <w:spacing w:after="0" w:line="240" w:lineRule="auto"/>
              <w:jc w:val="center"/>
              <w:rPr>
                <w:rFonts w:ascii="Arial" w:eastAsia="Calibri" w:hAnsi="Arial" w:cs="Arial"/>
                <w:bCs/>
                <w:sz w:val="16"/>
                <w:szCs w:val="16"/>
              </w:rPr>
            </w:pPr>
            <w:r w:rsidRPr="007B690E">
              <w:rPr>
                <w:rFonts w:ascii="Arial" w:eastAsia="Calibri" w:hAnsi="Arial" w:cs="Arial"/>
                <w:color w:val="000000"/>
                <w:sz w:val="16"/>
                <w:szCs w:val="16"/>
              </w:rPr>
              <w:t>2.5.6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9B8ABCE" w14:textId="77777777" w:rsidR="007B690E" w:rsidRPr="007B690E" w:rsidRDefault="007B690E" w:rsidP="007B690E">
            <w:pPr>
              <w:widowControl w:val="0"/>
              <w:spacing w:after="0" w:line="240" w:lineRule="auto"/>
              <w:jc w:val="center"/>
              <w:rPr>
                <w:rFonts w:ascii="Arial" w:eastAsia="Calibri" w:hAnsi="Arial" w:cs="Arial"/>
                <w:bCs/>
                <w:sz w:val="16"/>
                <w:szCs w:val="16"/>
              </w:rPr>
            </w:pPr>
            <w:r w:rsidRPr="007B690E">
              <w:rPr>
                <w:rFonts w:ascii="Arial" w:eastAsia="Calibri" w:hAnsi="Arial" w:cs="Arial"/>
                <w:bCs/>
                <w:sz w:val="16"/>
                <w:szCs w:val="16"/>
              </w:rPr>
              <w:t>Contribuições previdenciárias dos servidores cedidos</w:t>
            </w:r>
          </w:p>
        </w:tc>
        <w:tc>
          <w:tcPr>
            <w:tcW w:w="1418" w:type="dxa"/>
            <w:tcBorders>
              <w:top w:val="single" w:sz="4" w:space="0" w:color="auto"/>
              <w:left w:val="nil"/>
              <w:bottom w:val="single" w:sz="4" w:space="0" w:color="auto"/>
              <w:right w:val="single" w:sz="4" w:space="0" w:color="auto"/>
            </w:tcBorders>
            <w:shd w:val="clear" w:color="auto" w:fill="auto"/>
            <w:vAlign w:val="center"/>
          </w:tcPr>
          <w:p w14:paraId="0CA3C432" w14:textId="77777777" w:rsidR="007B690E" w:rsidRPr="007B690E" w:rsidRDefault="007B690E" w:rsidP="007B690E">
            <w:pPr>
              <w:tabs>
                <w:tab w:val="left" w:pos="213"/>
              </w:tabs>
              <w:spacing w:after="0" w:line="240" w:lineRule="auto"/>
              <w:ind w:left="11"/>
              <w:contextualSpacing/>
              <w:rPr>
                <w:rFonts w:ascii="Arial" w:eastAsia="Calibri" w:hAnsi="Arial" w:cs="Arial"/>
                <w:bCs/>
                <w:sz w:val="16"/>
                <w:szCs w:val="16"/>
                <w:lang w:val="en-US"/>
              </w:rPr>
            </w:pPr>
            <w:r w:rsidRPr="007B690E">
              <w:rPr>
                <w:rFonts w:ascii="Arial" w:eastAsia="Calibri" w:hAnsi="Arial" w:cs="Arial"/>
                <w:bCs/>
                <w:sz w:val="16"/>
                <w:szCs w:val="16"/>
                <w:lang w:val="en-US"/>
              </w:rPr>
              <w:t>CF/88, art. 40.</w:t>
            </w:r>
          </w:p>
          <w:p w14:paraId="01AA7B26" w14:textId="77777777" w:rsidR="007B690E" w:rsidRPr="007B690E" w:rsidRDefault="007B690E" w:rsidP="007B690E">
            <w:pPr>
              <w:tabs>
                <w:tab w:val="left" w:pos="213"/>
              </w:tabs>
              <w:spacing w:after="0" w:line="240" w:lineRule="auto"/>
              <w:ind w:left="11"/>
              <w:contextualSpacing/>
              <w:rPr>
                <w:rFonts w:ascii="Arial" w:eastAsia="Calibri" w:hAnsi="Arial" w:cs="Arial"/>
                <w:bCs/>
                <w:sz w:val="16"/>
                <w:szCs w:val="16"/>
                <w:lang w:val="en-US"/>
              </w:rPr>
            </w:pPr>
            <w:r w:rsidRPr="007B690E">
              <w:rPr>
                <w:rFonts w:ascii="Arial" w:eastAsia="Calibri" w:hAnsi="Arial" w:cs="Arial"/>
                <w:bCs/>
                <w:sz w:val="16"/>
                <w:szCs w:val="16"/>
                <w:lang w:val="en-US"/>
              </w:rPr>
              <w:t>LRF, art. 69.</w:t>
            </w:r>
          </w:p>
          <w:p w14:paraId="04431123" w14:textId="77777777" w:rsidR="007B690E" w:rsidRPr="007B690E" w:rsidRDefault="007B690E" w:rsidP="007B690E">
            <w:pPr>
              <w:tabs>
                <w:tab w:val="left" w:pos="213"/>
              </w:tabs>
              <w:spacing w:after="0" w:line="240" w:lineRule="auto"/>
              <w:ind w:left="11"/>
              <w:contextualSpacing/>
              <w:rPr>
                <w:rFonts w:ascii="Arial" w:eastAsia="Calibri" w:hAnsi="Arial" w:cs="Arial"/>
                <w:bCs/>
                <w:sz w:val="16"/>
                <w:szCs w:val="16"/>
                <w:lang w:val="en-US"/>
              </w:rPr>
            </w:pPr>
            <w:r w:rsidRPr="007B690E">
              <w:rPr>
                <w:rFonts w:ascii="Arial" w:eastAsia="Calibri" w:hAnsi="Arial" w:cs="Arial"/>
                <w:bCs/>
                <w:sz w:val="16"/>
                <w:szCs w:val="16"/>
                <w:lang w:val="en-US"/>
              </w:rPr>
              <w:t>Lei 9717/1998 art. 1º.</w:t>
            </w:r>
          </w:p>
          <w:p w14:paraId="1BF52544" w14:textId="77777777" w:rsidR="007B690E" w:rsidRPr="007B690E" w:rsidRDefault="007B690E" w:rsidP="007B690E">
            <w:pPr>
              <w:tabs>
                <w:tab w:val="left" w:pos="213"/>
              </w:tabs>
              <w:spacing w:after="0" w:line="240" w:lineRule="auto"/>
              <w:ind w:left="11"/>
              <w:contextualSpacing/>
              <w:rPr>
                <w:rFonts w:ascii="Arial" w:eastAsia="Calibri" w:hAnsi="Arial" w:cs="Arial"/>
                <w:bCs/>
                <w:sz w:val="16"/>
                <w:szCs w:val="16"/>
                <w:lang w:val="en-US"/>
              </w:rPr>
            </w:pPr>
            <w:r w:rsidRPr="007B690E">
              <w:rPr>
                <w:rFonts w:ascii="Arial" w:eastAsia="Calibri" w:hAnsi="Arial" w:cs="Arial"/>
                <w:bCs/>
                <w:sz w:val="16"/>
                <w:szCs w:val="16"/>
                <w:lang w:val="en-US"/>
              </w:rPr>
              <w:t>ON MPS-SPS 02/2009, art. 32, I, II e III.</w:t>
            </w:r>
          </w:p>
        </w:tc>
        <w:tc>
          <w:tcPr>
            <w:tcW w:w="1417" w:type="dxa"/>
            <w:tcBorders>
              <w:top w:val="single" w:sz="4" w:space="0" w:color="auto"/>
              <w:left w:val="nil"/>
              <w:bottom w:val="single" w:sz="4" w:space="0" w:color="auto"/>
              <w:right w:val="single" w:sz="4" w:space="0" w:color="auto"/>
            </w:tcBorders>
            <w:vAlign w:val="center"/>
          </w:tcPr>
          <w:p w14:paraId="26A358FE" w14:textId="77777777" w:rsidR="007B690E" w:rsidRPr="007B690E" w:rsidRDefault="007B690E" w:rsidP="007B690E">
            <w:pPr>
              <w:widowControl w:val="0"/>
              <w:spacing w:after="0" w:line="240" w:lineRule="auto"/>
              <w:jc w:val="center"/>
              <w:rPr>
                <w:rFonts w:ascii="Arial" w:eastAsia="Calibri" w:hAnsi="Arial" w:cs="Arial"/>
                <w:bCs/>
                <w:sz w:val="16"/>
                <w:szCs w:val="16"/>
                <w:lang w:val="en-US"/>
              </w:rPr>
            </w:pPr>
            <w:r w:rsidRPr="007B690E">
              <w:rPr>
                <w:rFonts w:ascii="Arial" w:eastAsia="Calibri" w:hAnsi="Arial" w:cs="Arial"/>
                <w:color w:val="000000"/>
                <w:sz w:val="16"/>
                <w:szCs w:val="16"/>
                <w:lang w:val="en-US"/>
              </w:rPr>
              <w:t>Auditoria Governamental de conformidade</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6399D4D0" w14:textId="77777777" w:rsidR="007B690E" w:rsidRPr="007B690E" w:rsidRDefault="007B690E" w:rsidP="007B690E">
            <w:pPr>
              <w:widowControl w:val="0"/>
              <w:spacing w:after="0" w:line="240" w:lineRule="auto"/>
              <w:jc w:val="both"/>
              <w:rPr>
                <w:rFonts w:ascii="Arial" w:eastAsia="Calibri" w:hAnsi="Arial" w:cs="Arial"/>
                <w:bCs/>
                <w:sz w:val="16"/>
                <w:szCs w:val="16"/>
              </w:rPr>
            </w:pPr>
            <w:r w:rsidRPr="007B690E">
              <w:rPr>
                <w:rFonts w:ascii="Arial" w:eastAsia="Calibri" w:hAnsi="Arial" w:cs="Arial"/>
                <w:bCs/>
                <w:sz w:val="16"/>
                <w:szCs w:val="16"/>
              </w:rPr>
              <w:t>Verificar se a Unidade Gestora do RPPS exerce controle sobre a arrecadação dos servidores cedidos a outros entes, independente da modalidade de cessão.</w:t>
            </w:r>
          </w:p>
        </w:tc>
        <w:tc>
          <w:tcPr>
            <w:tcW w:w="1275" w:type="dxa"/>
            <w:tcBorders>
              <w:top w:val="single" w:sz="4" w:space="0" w:color="auto"/>
              <w:left w:val="nil"/>
              <w:bottom w:val="single" w:sz="4" w:space="0" w:color="auto"/>
              <w:right w:val="single" w:sz="4" w:space="0" w:color="auto"/>
            </w:tcBorders>
            <w:shd w:val="clear" w:color="auto" w:fill="auto"/>
            <w:vAlign w:val="center"/>
          </w:tcPr>
          <w:p w14:paraId="1F860B2A" w14:textId="77777777" w:rsidR="007B690E" w:rsidRPr="007B690E" w:rsidRDefault="007B690E" w:rsidP="007B690E">
            <w:pPr>
              <w:widowControl w:val="0"/>
              <w:spacing w:after="0" w:line="240" w:lineRule="auto"/>
              <w:jc w:val="center"/>
              <w:rPr>
                <w:rFonts w:ascii="Arial" w:eastAsia="Calibri" w:hAnsi="Arial" w:cs="Arial"/>
                <w:bCs/>
                <w:sz w:val="16"/>
                <w:szCs w:val="16"/>
              </w:rPr>
            </w:pPr>
            <w:r w:rsidRPr="007B690E">
              <w:rPr>
                <w:rFonts w:ascii="Arial" w:eastAsia="Calibri" w:hAnsi="Arial" w:cs="Arial"/>
                <w:bCs/>
                <w:sz w:val="16"/>
                <w:szCs w:val="16"/>
              </w:rPr>
              <w:t>Contas de Gestão do RPPS</w:t>
            </w:r>
          </w:p>
        </w:tc>
      </w:tr>
      <w:tr w:rsidR="007B690E" w:rsidRPr="007B690E" w14:paraId="25E1D8FF" w14:textId="77777777" w:rsidTr="007B690E">
        <w:trPr>
          <w:trHeight w:val="613"/>
        </w:trPr>
        <w:tc>
          <w:tcPr>
            <w:tcW w:w="851" w:type="dxa"/>
            <w:vAlign w:val="center"/>
          </w:tcPr>
          <w:p w14:paraId="3154221D" w14:textId="77777777" w:rsidR="007B690E" w:rsidRPr="007B690E" w:rsidRDefault="007B690E" w:rsidP="007B690E">
            <w:pPr>
              <w:widowControl w:val="0"/>
              <w:spacing w:after="0" w:line="240" w:lineRule="auto"/>
              <w:jc w:val="center"/>
              <w:rPr>
                <w:rFonts w:ascii="Arial" w:eastAsia="Calibri" w:hAnsi="Arial" w:cs="Arial"/>
                <w:bCs/>
                <w:sz w:val="16"/>
                <w:szCs w:val="16"/>
              </w:rPr>
            </w:pPr>
            <w:r w:rsidRPr="007B690E">
              <w:rPr>
                <w:rFonts w:ascii="Arial" w:eastAsia="Calibri" w:hAnsi="Arial" w:cs="Arial"/>
                <w:color w:val="000000"/>
                <w:sz w:val="16"/>
                <w:szCs w:val="16"/>
              </w:rPr>
              <w:t>2.5.7</w:t>
            </w:r>
          </w:p>
        </w:tc>
        <w:tc>
          <w:tcPr>
            <w:tcW w:w="1417" w:type="dxa"/>
            <w:shd w:val="clear" w:color="auto" w:fill="auto"/>
            <w:vAlign w:val="center"/>
          </w:tcPr>
          <w:p w14:paraId="03AD7467" w14:textId="77777777" w:rsidR="007B690E" w:rsidRPr="007B690E" w:rsidRDefault="007B690E" w:rsidP="007B690E">
            <w:pPr>
              <w:widowControl w:val="0"/>
              <w:spacing w:after="0" w:line="240" w:lineRule="auto"/>
              <w:jc w:val="center"/>
              <w:rPr>
                <w:rFonts w:ascii="Arial" w:eastAsia="Calibri" w:hAnsi="Arial" w:cs="Arial"/>
                <w:bCs/>
                <w:sz w:val="16"/>
                <w:szCs w:val="16"/>
                <w:lang w:val="en-US"/>
              </w:rPr>
            </w:pPr>
            <w:r w:rsidRPr="007B690E">
              <w:rPr>
                <w:rFonts w:ascii="Arial" w:eastAsia="Calibri" w:hAnsi="Arial" w:cs="Arial"/>
                <w:bCs/>
                <w:sz w:val="16"/>
                <w:szCs w:val="16"/>
                <w:lang w:val="en-US"/>
              </w:rPr>
              <w:t>Servidores cedidos</w:t>
            </w:r>
          </w:p>
        </w:tc>
        <w:tc>
          <w:tcPr>
            <w:tcW w:w="1418" w:type="dxa"/>
            <w:shd w:val="clear" w:color="auto" w:fill="auto"/>
            <w:vAlign w:val="center"/>
          </w:tcPr>
          <w:p w14:paraId="305739EF" w14:textId="77777777" w:rsidR="007B690E" w:rsidRPr="007B690E" w:rsidRDefault="007B690E" w:rsidP="007B690E">
            <w:pPr>
              <w:widowControl w:val="0"/>
              <w:tabs>
                <w:tab w:val="left" w:pos="213"/>
              </w:tabs>
              <w:spacing w:after="0" w:line="240" w:lineRule="auto"/>
              <w:rPr>
                <w:rFonts w:ascii="Arial" w:eastAsia="Calibri" w:hAnsi="Arial" w:cs="Arial"/>
                <w:bCs/>
                <w:sz w:val="16"/>
                <w:szCs w:val="16"/>
                <w:lang w:val="en-US"/>
              </w:rPr>
            </w:pPr>
            <w:r w:rsidRPr="007B690E">
              <w:rPr>
                <w:rFonts w:ascii="Arial" w:eastAsia="Calibri" w:hAnsi="Arial" w:cs="Arial"/>
                <w:bCs/>
                <w:sz w:val="16"/>
                <w:szCs w:val="16"/>
                <w:lang w:val="en-US"/>
              </w:rPr>
              <w:t>CF/88, art. 40.</w:t>
            </w:r>
          </w:p>
          <w:p w14:paraId="1D56473D" w14:textId="77777777" w:rsidR="007B690E" w:rsidRPr="007B690E" w:rsidRDefault="007B690E" w:rsidP="007B690E">
            <w:pPr>
              <w:widowControl w:val="0"/>
              <w:tabs>
                <w:tab w:val="left" w:pos="213"/>
              </w:tabs>
              <w:spacing w:after="0" w:line="240" w:lineRule="auto"/>
              <w:rPr>
                <w:rFonts w:ascii="Arial" w:eastAsia="Calibri" w:hAnsi="Arial" w:cs="Arial"/>
                <w:bCs/>
                <w:sz w:val="16"/>
                <w:szCs w:val="16"/>
                <w:lang w:val="en-US"/>
              </w:rPr>
            </w:pPr>
            <w:r w:rsidRPr="007B690E">
              <w:rPr>
                <w:rFonts w:ascii="Arial" w:eastAsia="Calibri" w:hAnsi="Arial" w:cs="Arial"/>
                <w:bCs/>
                <w:sz w:val="16"/>
                <w:szCs w:val="16"/>
                <w:lang w:val="en-US"/>
              </w:rPr>
              <w:t>LRF, art. 69.</w:t>
            </w:r>
          </w:p>
          <w:p w14:paraId="11F7B898" w14:textId="77777777" w:rsidR="007B690E" w:rsidRPr="007B690E" w:rsidRDefault="007B690E" w:rsidP="007B690E">
            <w:pPr>
              <w:widowControl w:val="0"/>
              <w:tabs>
                <w:tab w:val="left" w:pos="213"/>
              </w:tabs>
              <w:spacing w:after="0" w:line="240" w:lineRule="auto"/>
              <w:rPr>
                <w:rFonts w:ascii="Arial" w:eastAsia="Calibri" w:hAnsi="Arial" w:cs="Arial"/>
                <w:bCs/>
                <w:sz w:val="16"/>
                <w:szCs w:val="16"/>
                <w:lang w:val="en-US"/>
              </w:rPr>
            </w:pPr>
            <w:r w:rsidRPr="007B690E">
              <w:rPr>
                <w:rFonts w:ascii="Arial" w:eastAsia="Calibri" w:hAnsi="Arial" w:cs="Arial"/>
                <w:bCs/>
                <w:sz w:val="16"/>
                <w:szCs w:val="16"/>
                <w:lang w:val="en-US"/>
              </w:rPr>
              <w:t>Lei 9717/1998 art. 1º.</w:t>
            </w:r>
          </w:p>
          <w:p w14:paraId="677152FE" w14:textId="77777777" w:rsidR="007B690E" w:rsidRPr="007B690E" w:rsidRDefault="007B690E" w:rsidP="007B690E">
            <w:pPr>
              <w:widowControl w:val="0"/>
              <w:tabs>
                <w:tab w:val="left" w:pos="213"/>
              </w:tabs>
              <w:spacing w:after="0" w:line="240" w:lineRule="auto"/>
              <w:rPr>
                <w:rFonts w:ascii="Arial" w:eastAsia="Calibri" w:hAnsi="Arial" w:cs="Arial"/>
                <w:bCs/>
                <w:sz w:val="16"/>
                <w:szCs w:val="16"/>
                <w:lang w:val="en-US"/>
              </w:rPr>
            </w:pPr>
            <w:r w:rsidRPr="007B690E">
              <w:rPr>
                <w:rFonts w:ascii="Arial" w:eastAsia="Calibri" w:hAnsi="Arial" w:cs="Arial"/>
                <w:bCs/>
                <w:sz w:val="16"/>
                <w:szCs w:val="16"/>
                <w:lang w:val="en-US"/>
              </w:rPr>
              <w:t>ON MPS-SPS 02/2009, art. 32, I, II e III.</w:t>
            </w:r>
          </w:p>
        </w:tc>
        <w:tc>
          <w:tcPr>
            <w:tcW w:w="1417" w:type="dxa"/>
            <w:vAlign w:val="center"/>
          </w:tcPr>
          <w:p w14:paraId="0189C7D3" w14:textId="77777777" w:rsidR="007B690E" w:rsidRPr="007B690E" w:rsidRDefault="007B690E" w:rsidP="007B690E">
            <w:pPr>
              <w:widowControl w:val="0"/>
              <w:autoSpaceDE w:val="0"/>
              <w:autoSpaceDN w:val="0"/>
              <w:adjustRightInd w:val="0"/>
              <w:spacing w:after="0" w:line="240" w:lineRule="auto"/>
              <w:jc w:val="center"/>
              <w:rPr>
                <w:rFonts w:ascii="Arial" w:eastAsia="Calibri" w:hAnsi="Arial" w:cs="Arial"/>
                <w:bCs/>
                <w:sz w:val="16"/>
                <w:szCs w:val="16"/>
                <w:lang w:val="en-US"/>
              </w:rPr>
            </w:pPr>
            <w:r w:rsidRPr="007B690E">
              <w:rPr>
                <w:rFonts w:ascii="Arial" w:eastAsia="Calibri" w:hAnsi="Arial" w:cs="Arial"/>
                <w:bCs/>
                <w:sz w:val="16"/>
                <w:szCs w:val="16"/>
                <w:lang w:val="en-US"/>
              </w:rPr>
              <w:t>Conformidade (Verificação documental)</w:t>
            </w:r>
          </w:p>
        </w:tc>
        <w:tc>
          <w:tcPr>
            <w:tcW w:w="2694" w:type="dxa"/>
            <w:shd w:val="clear" w:color="auto" w:fill="auto"/>
            <w:vAlign w:val="center"/>
          </w:tcPr>
          <w:p w14:paraId="1DC38C32" w14:textId="77777777" w:rsidR="007B690E" w:rsidRPr="007B690E" w:rsidRDefault="007B690E" w:rsidP="007B690E">
            <w:pPr>
              <w:widowControl w:val="0"/>
              <w:spacing w:after="0" w:line="240" w:lineRule="auto"/>
              <w:jc w:val="both"/>
              <w:rPr>
                <w:rFonts w:ascii="Arial" w:eastAsia="Calibri" w:hAnsi="Arial" w:cs="Arial"/>
                <w:bCs/>
                <w:sz w:val="16"/>
                <w:szCs w:val="16"/>
              </w:rPr>
            </w:pPr>
            <w:r w:rsidRPr="007B690E">
              <w:rPr>
                <w:rFonts w:ascii="Arial" w:eastAsia="Calibri" w:hAnsi="Arial" w:cs="Arial"/>
                <w:bCs/>
                <w:sz w:val="16"/>
                <w:szCs w:val="16"/>
              </w:rPr>
              <w:t>Verificar se o RPPS é cientificado formalmente ou é parte do contrato/termo de cessão de servidores.</w:t>
            </w:r>
          </w:p>
        </w:tc>
        <w:tc>
          <w:tcPr>
            <w:tcW w:w="1275" w:type="dxa"/>
            <w:shd w:val="clear" w:color="auto" w:fill="auto"/>
            <w:vAlign w:val="center"/>
          </w:tcPr>
          <w:p w14:paraId="71E629E3" w14:textId="77777777" w:rsidR="007B690E" w:rsidRPr="007B690E" w:rsidRDefault="007B690E" w:rsidP="007B690E">
            <w:pPr>
              <w:widowControl w:val="0"/>
              <w:spacing w:after="0" w:line="240" w:lineRule="auto"/>
              <w:jc w:val="center"/>
              <w:rPr>
                <w:rFonts w:ascii="Arial" w:eastAsia="Calibri" w:hAnsi="Arial" w:cs="Arial"/>
                <w:bCs/>
                <w:sz w:val="16"/>
                <w:szCs w:val="16"/>
              </w:rPr>
            </w:pPr>
            <w:r w:rsidRPr="007B690E">
              <w:rPr>
                <w:rFonts w:ascii="Arial" w:eastAsia="Calibri" w:hAnsi="Arial" w:cs="Arial"/>
                <w:color w:val="000000"/>
                <w:sz w:val="16"/>
                <w:szCs w:val="16"/>
              </w:rPr>
              <w:t xml:space="preserve">Contas de Gestão (Todas as UG's) e </w:t>
            </w:r>
            <w:r w:rsidRPr="007B690E">
              <w:rPr>
                <w:rFonts w:ascii="Arial" w:eastAsia="Calibri" w:hAnsi="Arial" w:cs="Arial"/>
                <w:bCs/>
                <w:sz w:val="16"/>
                <w:szCs w:val="16"/>
              </w:rPr>
              <w:t>Contas de Gestão do RPPS</w:t>
            </w:r>
          </w:p>
        </w:tc>
      </w:tr>
      <w:tr w:rsidR="007B690E" w:rsidRPr="007B690E" w14:paraId="20937247" w14:textId="77777777" w:rsidTr="007B690E">
        <w:trPr>
          <w:trHeight w:val="613"/>
        </w:trPr>
        <w:tc>
          <w:tcPr>
            <w:tcW w:w="851" w:type="dxa"/>
            <w:vAlign w:val="center"/>
          </w:tcPr>
          <w:p w14:paraId="644E83AE" w14:textId="77777777" w:rsidR="007B690E" w:rsidRPr="007B690E" w:rsidRDefault="007B690E" w:rsidP="007B690E">
            <w:pPr>
              <w:widowControl w:val="0"/>
              <w:spacing w:after="0" w:line="240" w:lineRule="auto"/>
              <w:jc w:val="center"/>
              <w:rPr>
                <w:rFonts w:ascii="Arial" w:eastAsia="Calibri" w:hAnsi="Arial" w:cs="Arial"/>
                <w:bCs/>
                <w:sz w:val="16"/>
                <w:szCs w:val="16"/>
              </w:rPr>
            </w:pPr>
            <w:r w:rsidRPr="007B690E">
              <w:rPr>
                <w:rFonts w:ascii="Arial" w:eastAsia="Calibri" w:hAnsi="Arial" w:cs="Arial"/>
                <w:color w:val="000000"/>
                <w:sz w:val="16"/>
                <w:szCs w:val="16"/>
              </w:rPr>
              <w:t>2.5.8</w:t>
            </w:r>
          </w:p>
        </w:tc>
        <w:tc>
          <w:tcPr>
            <w:tcW w:w="1417" w:type="dxa"/>
            <w:shd w:val="clear" w:color="auto" w:fill="auto"/>
            <w:vAlign w:val="center"/>
          </w:tcPr>
          <w:p w14:paraId="331E8A45" w14:textId="77777777" w:rsidR="007B690E" w:rsidRPr="007B690E" w:rsidRDefault="007B690E" w:rsidP="007B690E">
            <w:pPr>
              <w:widowControl w:val="0"/>
              <w:spacing w:after="0" w:line="240" w:lineRule="auto"/>
              <w:jc w:val="center"/>
              <w:rPr>
                <w:rFonts w:ascii="Arial" w:eastAsia="Calibri" w:hAnsi="Arial" w:cs="Arial"/>
                <w:bCs/>
                <w:sz w:val="16"/>
                <w:szCs w:val="16"/>
              </w:rPr>
            </w:pPr>
            <w:r w:rsidRPr="007B690E">
              <w:rPr>
                <w:rFonts w:ascii="Arial" w:eastAsia="Calibri" w:hAnsi="Arial" w:cs="Arial"/>
                <w:bCs/>
                <w:sz w:val="16"/>
                <w:szCs w:val="16"/>
              </w:rPr>
              <w:t>Controle informatizado e individualizado das contribuições dos servidores do ente</w:t>
            </w:r>
          </w:p>
        </w:tc>
        <w:tc>
          <w:tcPr>
            <w:tcW w:w="1418" w:type="dxa"/>
            <w:shd w:val="clear" w:color="auto" w:fill="auto"/>
            <w:vAlign w:val="center"/>
          </w:tcPr>
          <w:p w14:paraId="35AB4DA9" w14:textId="77777777" w:rsidR="007B690E" w:rsidRPr="007B690E" w:rsidRDefault="007B690E" w:rsidP="007B690E">
            <w:pPr>
              <w:widowControl w:val="0"/>
              <w:tabs>
                <w:tab w:val="left" w:pos="213"/>
              </w:tabs>
              <w:spacing w:after="0" w:line="240" w:lineRule="auto"/>
              <w:rPr>
                <w:rFonts w:ascii="Arial" w:eastAsia="Calibri" w:hAnsi="Arial" w:cs="Arial"/>
                <w:bCs/>
                <w:sz w:val="16"/>
                <w:szCs w:val="16"/>
              </w:rPr>
            </w:pPr>
            <w:r w:rsidRPr="007B690E">
              <w:rPr>
                <w:rFonts w:ascii="Arial" w:eastAsia="Calibri" w:hAnsi="Arial" w:cs="Arial"/>
                <w:bCs/>
                <w:sz w:val="16"/>
                <w:szCs w:val="16"/>
              </w:rPr>
              <w:t>Lei 9717/1998, art. 1º, VII. Portaria MPS 402/2008, 18</w:t>
            </w:r>
          </w:p>
        </w:tc>
        <w:tc>
          <w:tcPr>
            <w:tcW w:w="1417" w:type="dxa"/>
            <w:vAlign w:val="center"/>
          </w:tcPr>
          <w:p w14:paraId="07CF2902" w14:textId="77777777" w:rsidR="007B690E" w:rsidRPr="007B690E" w:rsidRDefault="007B690E" w:rsidP="007B690E">
            <w:pPr>
              <w:widowControl w:val="0"/>
              <w:spacing w:after="0" w:line="240" w:lineRule="auto"/>
              <w:jc w:val="center"/>
              <w:rPr>
                <w:rFonts w:ascii="Arial" w:eastAsia="Calibri" w:hAnsi="Arial" w:cs="Arial"/>
                <w:bCs/>
                <w:sz w:val="16"/>
                <w:szCs w:val="16"/>
                <w:lang w:val="en-US"/>
              </w:rPr>
            </w:pPr>
            <w:r w:rsidRPr="007B690E">
              <w:rPr>
                <w:rFonts w:ascii="Arial" w:eastAsia="Calibri" w:hAnsi="Arial" w:cs="Arial"/>
                <w:color w:val="000000"/>
                <w:sz w:val="16"/>
                <w:szCs w:val="16"/>
                <w:lang w:val="en-US"/>
              </w:rPr>
              <w:t>Auditoria Governamental de conformidade</w:t>
            </w:r>
          </w:p>
        </w:tc>
        <w:tc>
          <w:tcPr>
            <w:tcW w:w="2694" w:type="dxa"/>
            <w:shd w:val="clear" w:color="auto" w:fill="auto"/>
            <w:vAlign w:val="center"/>
          </w:tcPr>
          <w:p w14:paraId="3164F8AF" w14:textId="77777777" w:rsidR="007B690E" w:rsidRPr="007B690E" w:rsidRDefault="007B690E" w:rsidP="007B690E">
            <w:pPr>
              <w:widowControl w:val="0"/>
              <w:spacing w:after="0" w:line="240" w:lineRule="auto"/>
              <w:jc w:val="both"/>
              <w:rPr>
                <w:rFonts w:ascii="Arial" w:eastAsia="Calibri" w:hAnsi="Arial" w:cs="Arial"/>
                <w:bCs/>
                <w:sz w:val="16"/>
                <w:szCs w:val="16"/>
              </w:rPr>
            </w:pPr>
            <w:r w:rsidRPr="007B690E">
              <w:rPr>
                <w:rFonts w:ascii="Arial" w:eastAsia="Calibri" w:hAnsi="Arial" w:cs="Arial"/>
                <w:bCs/>
                <w:sz w:val="16"/>
                <w:szCs w:val="16"/>
              </w:rPr>
              <w:t>Verificar se o ente federativo mantem registro individualizado dos segurados do RPPS, contendo as informações mínimas exigidas pelo Ministério da Previdencia Social.</w:t>
            </w:r>
          </w:p>
        </w:tc>
        <w:tc>
          <w:tcPr>
            <w:tcW w:w="1275" w:type="dxa"/>
            <w:shd w:val="clear" w:color="auto" w:fill="auto"/>
            <w:vAlign w:val="center"/>
          </w:tcPr>
          <w:p w14:paraId="09A52BF1" w14:textId="77777777" w:rsidR="007B690E" w:rsidRPr="007B690E" w:rsidRDefault="007B690E" w:rsidP="007B690E">
            <w:pPr>
              <w:widowControl w:val="0"/>
              <w:spacing w:after="0" w:line="240" w:lineRule="auto"/>
              <w:jc w:val="center"/>
              <w:rPr>
                <w:rFonts w:ascii="Arial" w:eastAsia="Calibri" w:hAnsi="Arial" w:cs="Arial"/>
                <w:bCs/>
                <w:sz w:val="16"/>
                <w:szCs w:val="16"/>
              </w:rPr>
            </w:pPr>
            <w:r w:rsidRPr="007B690E">
              <w:rPr>
                <w:rFonts w:ascii="Arial" w:eastAsia="Calibri" w:hAnsi="Arial" w:cs="Arial"/>
                <w:bCs/>
                <w:sz w:val="16"/>
                <w:szCs w:val="16"/>
              </w:rPr>
              <w:t>Contas de Governo e Contas de Gestão do RPPS</w:t>
            </w:r>
          </w:p>
        </w:tc>
      </w:tr>
      <w:tr w:rsidR="007B690E" w:rsidRPr="007B690E" w14:paraId="73F0CAAC" w14:textId="77777777" w:rsidTr="007B690E">
        <w:trPr>
          <w:trHeight w:val="613"/>
        </w:trPr>
        <w:tc>
          <w:tcPr>
            <w:tcW w:w="851" w:type="dxa"/>
            <w:vAlign w:val="center"/>
          </w:tcPr>
          <w:p w14:paraId="5393CA56" w14:textId="77777777" w:rsidR="007B690E" w:rsidRPr="007B690E" w:rsidRDefault="007B690E" w:rsidP="007B690E">
            <w:pPr>
              <w:widowControl w:val="0"/>
              <w:spacing w:after="0" w:line="240" w:lineRule="auto"/>
              <w:jc w:val="center"/>
              <w:rPr>
                <w:rFonts w:ascii="Arial" w:eastAsia="Calibri" w:hAnsi="Arial" w:cs="Arial"/>
                <w:bCs/>
                <w:sz w:val="16"/>
                <w:szCs w:val="16"/>
              </w:rPr>
            </w:pPr>
            <w:r w:rsidRPr="007B690E">
              <w:rPr>
                <w:rFonts w:ascii="Arial" w:eastAsia="Calibri" w:hAnsi="Arial" w:cs="Arial"/>
                <w:color w:val="000000"/>
                <w:sz w:val="16"/>
                <w:szCs w:val="16"/>
              </w:rPr>
              <w:t>2.5.9</w:t>
            </w:r>
          </w:p>
        </w:tc>
        <w:tc>
          <w:tcPr>
            <w:tcW w:w="1417" w:type="dxa"/>
            <w:shd w:val="clear" w:color="auto" w:fill="auto"/>
            <w:vAlign w:val="center"/>
          </w:tcPr>
          <w:p w14:paraId="67C61616" w14:textId="77777777" w:rsidR="007B690E" w:rsidRPr="007B690E" w:rsidRDefault="007B690E" w:rsidP="007B690E">
            <w:pPr>
              <w:widowControl w:val="0"/>
              <w:spacing w:after="0" w:line="240" w:lineRule="auto"/>
              <w:jc w:val="center"/>
              <w:rPr>
                <w:rFonts w:ascii="Arial" w:eastAsia="Calibri" w:hAnsi="Arial" w:cs="Arial"/>
                <w:bCs/>
                <w:sz w:val="16"/>
                <w:szCs w:val="16"/>
              </w:rPr>
            </w:pPr>
            <w:r w:rsidRPr="007B690E">
              <w:rPr>
                <w:rFonts w:ascii="Arial" w:eastAsia="Calibri" w:hAnsi="Arial" w:cs="Arial"/>
                <w:bCs/>
                <w:sz w:val="16"/>
                <w:szCs w:val="16"/>
              </w:rPr>
              <w:t>Disponibilização do registro individualizado ao segurado</w:t>
            </w:r>
          </w:p>
        </w:tc>
        <w:tc>
          <w:tcPr>
            <w:tcW w:w="1418" w:type="dxa"/>
            <w:shd w:val="clear" w:color="auto" w:fill="auto"/>
            <w:vAlign w:val="center"/>
          </w:tcPr>
          <w:p w14:paraId="354A49D2" w14:textId="77777777" w:rsidR="007B690E" w:rsidRPr="007B690E" w:rsidRDefault="007B690E" w:rsidP="007B690E">
            <w:pPr>
              <w:widowControl w:val="0"/>
              <w:tabs>
                <w:tab w:val="left" w:pos="213"/>
              </w:tabs>
              <w:spacing w:after="0" w:line="240" w:lineRule="auto"/>
              <w:rPr>
                <w:rFonts w:ascii="Arial" w:eastAsia="Calibri" w:hAnsi="Arial" w:cs="Arial"/>
                <w:bCs/>
                <w:sz w:val="16"/>
                <w:szCs w:val="16"/>
              </w:rPr>
            </w:pPr>
            <w:r w:rsidRPr="007B690E">
              <w:rPr>
                <w:rFonts w:ascii="Arial" w:eastAsia="Calibri" w:hAnsi="Arial" w:cs="Arial"/>
                <w:bCs/>
                <w:sz w:val="16"/>
                <w:szCs w:val="16"/>
              </w:rPr>
              <w:t>Lei 9717/1998, art. 1º, VII. Portaria MPS 402/2008, 18</w:t>
            </w:r>
          </w:p>
        </w:tc>
        <w:tc>
          <w:tcPr>
            <w:tcW w:w="1417" w:type="dxa"/>
            <w:vAlign w:val="center"/>
          </w:tcPr>
          <w:p w14:paraId="7DFED27B" w14:textId="77777777" w:rsidR="007B690E" w:rsidRPr="007B690E" w:rsidRDefault="007B690E" w:rsidP="007B690E">
            <w:pPr>
              <w:widowControl w:val="0"/>
              <w:autoSpaceDE w:val="0"/>
              <w:autoSpaceDN w:val="0"/>
              <w:adjustRightInd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lang w:val="en-US"/>
              </w:rPr>
              <w:t>Auditoria Governamental de conformidade</w:t>
            </w:r>
          </w:p>
        </w:tc>
        <w:tc>
          <w:tcPr>
            <w:tcW w:w="2694" w:type="dxa"/>
            <w:shd w:val="clear" w:color="auto" w:fill="auto"/>
            <w:vAlign w:val="center"/>
          </w:tcPr>
          <w:p w14:paraId="33DDA6AE" w14:textId="77777777" w:rsidR="007B690E" w:rsidRPr="007B690E" w:rsidRDefault="007B690E" w:rsidP="007B690E">
            <w:pPr>
              <w:widowControl w:val="0"/>
              <w:spacing w:after="0" w:line="240" w:lineRule="auto"/>
              <w:jc w:val="both"/>
              <w:rPr>
                <w:rFonts w:ascii="Arial" w:eastAsia="Calibri" w:hAnsi="Arial" w:cs="Arial"/>
                <w:bCs/>
                <w:sz w:val="16"/>
                <w:szCs w:val="16"/>
              </w:rPr>
            </w:pPr>
            <w:r w:rsidRPr="007B690E">
              <w:rPr>
                <w:rFonts w:ascii="Arial" w:eastAsia="Calibri" w:hAnsi="Arial" w:cs="Arial"/>
                <w:bCs/>
                <w:sz w:val="16"/>
                <w:szCs w:val="16"/>
              </w:rPr>
              <w:t>Verificar se o ente federativo disponibiliza aos seus segurados as informações constantes de seu registro individualizado.</w:t>
            </w:r>
          </w:p>
        </w:tc>
        <w:tc>
          <w:tcPr>
            <w:tcW w:w="1275" w:type="dxa"/>
            <w:shd w:val="clear" w:color="auto" w:fill="auto"/>
            <w:vAlign w:val="center"/>
          </w:tcPr>
          <w:p w14:paraId="59502D90"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bCs/>
                <w:sz w:val="16"/>
                <w:szCs w:val="16"/>
              </w:rPr>
              <w:t>Contas de Governo e Contas de Gestão do RPPS</w:t>
            </w:r>
          </w:p>
        </w:tc>
      </w:tr>
      <w:tr w:rsidR="007B690E" w:rsidRPr="007B690E" w14:paraId="3411C036" w14:textId="77777777" w:rsidTr="007B690E">
        <w:trPr>
          <w:trHeight w:val="613"/>
        </w:trPr>
        <w:tc>
          <w:tcPr>
            <w:tcW w:w="851" w:type="dxa"/>
            <w:vAlign w:val="center"/>
          </w:tcPr>
          <w:p w14:paraId="779C0EC2" w14:textId="77777777" w:rsidR="007B690E" w:rsidRPr="007B690E" w:rsidRDefault="007B690E" w:rsidP="007B690E">
            <w:pPr>
              <w:widowControl w:val="0"/>
              <w:spacing w:after="0" w:line="240" w:lineRule="auto"/>
              <w:jc w:val="center"/>
              <w:rPr>
                <w:rFonts w:ascii="Arial" w:eastAsia="Calibri" w:hAnsi="Arial" w:cs="Arial"/>
                <w:bCs/>
                <w:sz w:val="16"/>
                <w:szCs w:val="16"/>
              </w:rPr>
            </w:pPr>
            <w:r w:rsidRPr="007B690E">
              <w:rPr>
                <w:rFonts w:ascii="Arial" w:eastAsia="Calibri" w:hAnsi="Arial" w:cs="Arial"/>
                <w:color w:val="000000"/>
                <w:sz w:val="16"/>
                <w:szCs w:val="16"/>
              </w:rPr>
              <w:t>2.5.10</w:t>
            </w:r>
          </w:p>
        </w:tc>
        <w:tc>
          <w:tcPr>
            <w:tcW w:w="1417" w:type="dxa"/>
            <w:shd w:val="clear" w:color="auto" w:fill="auto"/>
            <w:vAlign w:val="center"/>
          </w:tcPr>
          <w:p w14:paraId="38EF266F" w14:textId="77777777" w:rsidR="007B690E" w:rsidRPr="007B690E" w:rsidRDefault="007B690E" w:rsidP="007B690E">
            <w:pPr>
              <w:widowControl w:val="0"/>
              <w:spacing w:after="0" w:line="240" w:lineRule="auto"/>
              <w:jc w:val="center"/>
              <w:rPr>
                <w:rFonts w:ascii="Arial" w:eastAsia="Calibri" w:hAnsi="Arial" w:cs="Arial"/>
                <w:bCs/>
                <w:sz w:val="16"/>
                <w:szCs w:val="16"/>
              </w:rPr>
            </w:pPr>
            <w:r w:rsidRPr="007B690E">
              <w:rPr>
                <w:rFonts w:ascii="Arial" w:eastAsia="Calibri" w:hAnsi="Arial" w:cs="Arial"/>
                <w:bCs/>
                <w:sz w:val="16"/>
                <w:szCs w:val="16"/>
              </w:rPr>
              <w:t>Parcelamento de débitos previdenciários – Autorização Legal</w:t>
            </w:r>
          </w:p>
        </w:tc>
        <w:tc>
          <w:tcPr>
            <w:tcW w:w="1418" w:type="dxa"/>
            <w:shd w:val="clear" w:color="auto" w:fill="auto"/>
            <w:vAlign w:val="center"/>
          </w:tcPr>
          <w:p w14:paraId="49A230D6" w14:textId="77777777" w:rsidR="007B690E" w:rsidRPr="007B690E" w:rsidRDefault="007B690E" w:rsidP="007B690E">
            <w:pPr>
              <w:widowControl w:val="0"/>
              <w:tabs>
                <w:tab w:val="left" w:pos="213"/>
              </w:tabs>
              <w:spacing w:after="0" w:line="240" w:lineRule="auto"/>
              <w:rPr>
                <w:rFonts w:ascii="Arial" w:eastAsia="Calibri" w:hAnsi="Arial" w:cs="Arial"/>
                <w:bCs/>
                <w:sz w:val="16"/>
                <w:szCs w:val="16"/>
                <w:lang w:val="en-US"/>
              </w:rPr>
            </w:pPr>
            <w:r w:rsidRPr="007B690E">
              <w:rPr>
                <w:rFonts w:ascii="Arial" w:eastAsia="Calibri" w:hAnsi="Arial" w:cs="Arial"/>
                <w:bCs/>
                <w:sz w:val="16"/>
                <w:szCs w:val="16"/>
                <w:lang w:val="en-US"/>
              </w:rPr>
              <w:t>CF/88, art. 40.</w:t>
            </w:r>
          </w:p>
          <w:p w14:paraId="6E386AA4" w14:textId="77777777" w:rsidR="007B690E" w:rsidRPr="007B690E" w:rsidRDefault="007B690E" w:rsidP="007B690E">
            <w:pPr>
              <w:widowControl w:val="0"/>
              <w:tabs>
                <w:tab w:val="left" w:pos="213"/>
              </w:tabs>
              <w:spacing w:after="0" w:line="240" w:lineRule="auto"/>
              <w:rPr>
                <w:rFonts w:ascii="Arial" w:eastAsia="Calibri" w:hAnsi="Arial" w:cs="Arial"/>
                <w:bCs/>
                <w:sz w:val="16"/>
                <w:szCs w:val="16"/>
                <w:lang w:val="en-US"/>
              </w:rPr>
            </w:pPr>
            <w:r w:rsidRPr="007B690E">
              <w:rPr>
                <w:rFonts w:ascii="Arial" w:eastAsia="Calibri" w:hAnsi="Arial" w:cs="Arial"/>
                <w:bCs/>
                <w:sz w:val="16"/>
                <w:szCs w:val="16"/>
                <w:lang w:val="en-US"/>
              </w:rPr>
              <w:t>LRF, art. 69.</w:t>
            </w:r>
          </w:p>
          <w:p w14:paraId="055FFACF" w14:textId="77777777" w:rsidR="007B690E" w:rsidRPr="007B690E" w:rsidRDefault="007B690E" w:rsidP="007B690E">
            <w:pPr>
              <w:widowControl w:val="0"/>
              <w:tabs>
                <w:tab w:val="left" w:pos="213"/>
              </w:tabs>
              <w:spacing w:after="0" w:line="240" w:lineRule="auto"/>
              <w:rPr>
                <w:rFonts w:ascii="Arial" w:eastAsia="Calibri" w:hAnsi="Arial" w:cs="Arial"/>
                <w:bCs/>
                <w:sz w:val="16"/>
                <w:szCs w:val="16"/>
                <w:lang w:val="en-US"/>
              </w:rPr>
            </w:pPr>
            <w:r w:rsidRPr="007B690E">
              <w:rPr>
                <w:rFonts w:ascii="Arial" w:eastAsia="Calibri" w:hAnsi="Arial" w:cs="Arial"/>
                <w:bCs/>
                <w:sz w:val="16"/>
                <w:szCs w:val="16"/>
                <w:lang w:val="en-US"/>
              </w:rPr>
              <w:t>Lei 9717/1998 art. 1º.</w:t>
            </w:r>
          </w:p>
          <w:p w14:paraId="4E2599F6" w14:textId="77777777" w:rsidR="007B690E" w:rsidRPr="007B690E" w:rsidRDefault="007B690E" w:rsidP="007B690E">
            <w:pPr>
              <w:widowControl w:val="0"/>
              <w:tabs>
                <w:tab w:val="left" w:pos="213"/>
              </w:tabs>
              <w:spacing w:after="0" w:line="240" w:lineRule="auto"/>
              <w:rPr>
                <w:rFonts w:ascii="Arial" w:eastAsia="Calibri" w:hAnsi="Arial" w:cs="Arial"/>
                <w:bCs/>
                <w:sz w:val="16"/>
                <w:szCs w:val="16"/>
                <w:lang w:val="en-US"/>
              </w:rPr>
            </w:pPr>
            <w:r w:rsidRPr="007B690E">
              <w:rPr>
                <w:rFonts w:ascii="Arial" w:eastAsia="Calibri" w:hAnsi="Arial" w:cs="Arial"/>
                <w:bCs/>
                <w:sz w:val="16"/>
                <w:szCs w:val="16"/>
                <w:lang w:val="en-US"/>
              </w:rPr>
              <w:t>ON MPS-SPS 02/2009, art. 36, § 1º.</w:t>
            </w:r>
          </w:p>
        </w:tc>
        <w:tc>
          <w:tcPr>
            <w:tcW w:w="1417" w:type="dxa"/>
            <w:vAlign w:val="center"/>
          </w:tcPr>
          <w:p w14:paraId="13904624" w14:textId="77777777" w:rsidR="007B690E" w:rsidRPr="007B690E" w:rsidRDefault="007B690E" w:rsidP="007B690E">
            <w:pPr>
              <w:widowControl w:val="0"/>
              <w:autoSpaceDE w:val="0"/>
              <w:autoSpaceDN w:val="0"/>
              <w:adjustRightInd w:val="0"/>
              <w:spacing w:after="0" w:line="240" w:lineRule="auto"/>
              <w:jc w:val="center"/>
              <w:rPr>
                <w:rFonts w:ascii="Arial" w:eastAsia="Calibri" w:hAnsi="Arial" w:cs="Arial"/>
                <w:bCs/>
                <w:sz w:val="16"/>
                <w:szCs w:val="16"/>
                <w:lang w:val="en-US"/>
              </w:rPr>
            </w:pPr>
            <w:r w:rsidRPr="007B690E">
              <w:rPr>
                <w:rFonts w:ascii="Arial" w:eastAsia="Calibri" w:hAnsi="Arial" w:cs="Arial"/>
                <w:color w:val="000000"/>
                <w:sz w:val="16"/>
                <w:szCs w:val="16"/>
                <w:lang w:val="en-US"/>
              </w:rPr>
              <w:t>Auditoria Governamental de conformidade</w:t>
            </w:r>
          </w:p>
        </w:tc>
        <w:tc>
          <w:tcPr>
            <w:tcW w:w="2694" w:type="dxa"/>
            <w:shd w:val="clear" w:color="auto" w:fill="auto"/>
            <w:vAlign w:val="center"/>
          </w:tcPr>
          <w:p w14:paraId="20DF8967" w14:textId="77777777" w:rsidR="007B690E" w:rsidRPr="007B690E" w:rsidRDefault="007B690E" w:rsidP="007B690E">
            <w:pPr>
              <w:widowControl w:val="0"/>
              <w:spacing w:after="0" w:line="240" w:lineRule="auto"/>
              <w:jc w:val="both"/>
              <w:rPr>
                <w:rFonts w:ascii="Arial" w:eastAsia="Calibri" w:hAnsi="Arial" w:cs="Arial"/>
                <w:bCs/>
                <w:sz w:val="16"/>
                <w:szCs w:val="16"/>
              </w:rPr>
            </w:pPr>
            <w:r w:rsidRPr="007B690E">
              <w:rPr>
                <w:rFonts w:ascii="Arial" w:eastAsia="Calibri" w:hAnsi="Arial" w:cs="Arial"/>
                <w:bCs/>
                <w:sz w:val="16"/>
                <w:szCs w:val="16"/>
              </w:rPr>
              <w:t>Verificar se os acordos de parcelamentos tiveram autorização legislativa por se tratar de dívida fundada.</w:t>
            </w:r>
          </w:p>
        </w:tc>
        <w:tc>
          <w:tcPr>
            <w:tcW w:w="1275" w:type="dxa"/>
            <w:shd w:val="clear" w:color="auto" w:fill="auto"/>
            <w:vAlign w:val="center"/>
          </w:tcPr>
          <w:p w14:paraId="3AA70258" w14:textId="77777777" w:rsidR="007B690E" w:rsidRPr="007B690E" w:rsidRDefault="007B690E" w:rsidP="007B690E">
            <w:pPr>
              <w:widowControl w:val="0"/>
              <w:spacing w:after="0" w:line="240" w:lineRule="auto"/>
              <w:jc w:val="center"/>
              <w:rPr>
                <w:rFonts w:ascii="Arial" w:eastAsia="Calibri" w:hAnsi="Arial" w:cs="Arial"/>
                <w:bCs/>
                <w:sz w:val="16"/>
                <w:szCs w:val="16"/>
              </w:rPr>
            </w:pPr>
            <w:r w:rsidRPr="007B690E">
              <w:rPr>
                <w:rFonts w:ascii="Arial" w:eastAsia="Calibri" w:hAnsi="Arial" w:cs="Arial"/>
                <w:color w:val="000000"/>
                <w:sz w:val="16"/>
                <w:szCs w:val="16"/>
              </w:rPr>
              <w:t>Contas de Gestão (Todas as UG's)</w:t>
            </w:r>
          </w:p>
        </w:tc>
      </w:tr>
      <w:tr w:rsidR="007B690E" w:rsidRPr="007B690E" w14:paraId="3CF97B50" w14:textId="77777777" w:rsidTr="007B69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blHeader/>
        </w:trPr>
        <w:tc>
          <w:tcPr>
            <w:tcW w:w="851" w:type="dxa"/>
            <w:tcBorders>
              <w:top w:val="single" w:sz="4" w:space="0" w:color="auto"/>
              <w:left w:val="single" w:sz="4" w:space="0" w:color="auto"/>
              <w:bottom w:val="single" w:sz="4" w:space="0" w:color="auto"/>
              <w:right w:val="single" w:sz="4" w:space="0" w:color="auto"/>
            </w:tcBorders>
            <w:vAlign w:val="center"/>
          </w:tcPr>
          <w:p w14:paraId="2807B415" w14:textId="77777777" w:rsidR="007B690E" w:rsidRPr="007B690E" w:rsidRDefault="007B690E" w:rsidP="007B690E">
            <w:pPr>
              <w:widowControl w:val="0"/>
              <w:spacing w:after="0" w:line="240" w:lineRule="auto"/>
              <w:jc w:val="center"/>
              <w:rPr>
                <w:rFonts w:ascii="Arial" w:eastAsia="Calibri" w:hAnsi="Arial" w:cs="Arial"/>
                <w:bCs/>
                <w:sz w:val="16"/>
                <w:szCs w:val="16"/>
              </w:rPr>
            </w:pPr>
            <w:r w:rsidRPr="007B690E">
              <w:rPr>
                <w:rFonts w:ascii="Arial" w:eastAsia="Calibri" w:hAnsi="Arial" w:cs="Arial"/>
                <w:color w:val="000000"/>
                <w:sz w:val="16"/>
                <w:szCs w:val="16"/>
              </w:rPr>
              <w:t>2.5.11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A9442A6" w14:textId="77777777" w:rsidR="007B690E" w:rsidRPr="007B690E" w:rsidRDefault="007B690E" w:rsidP="007B690E">
            <w:pPr>
              <w:widowControl w:val="0"/>
              <w:spacing w:after="0" w:line="240" w:lineRule="auto"/>
              <w:jc w:val="center"/>
              <w:rPr>
                <w:rFonts w:ascii="Arial" w:eastAsia="Calibri" w:hAnsi="Arial" w:cs="Arial"/>
                <w:bCs/>
                <w:sz w:val="16"/>
                <w:szCs w:val="16"/>
                <w:lang w:val="en-US"/>
              </w:rPr>
            </w:pPr>
            <w:r w:rsidRPr="007B690E">
              <w:rPr>
                <w:rFonts w:ascii="Arial" w:eastAsia="Calibri" w:hAnsi="Arial" w:cs="Arial"/>
                <w:bCs/>
                <w:sz w:val="16"/>
                <w:szCs w:val="16"/>
                <w:lang w:val="en-US"/>
              </w:rPr>
              <w:t>Compensação Previdenciária</w:t>
            </w:r>
          </w:p>
        </w:tc>
        <w:tc>
          <w:tcPr>
            <w:tcW w:w="1418" w:type="dxa"/>
            <w:tcBorders>
              <w:top w:val="single" w:sz="4" w:space="0" w:color="auto"/>
              <w:left w:val="nil"/>
              <w:bottom w:val="single" w:sz="4" w:space="0" w:color="auto"/>
              <w:right w:val="single" w:sz="4" w:space="0" w:color="auto"/>
            </w:tcBorders>
            <w:shd w:val="clear" w:color="auto" w:fill="auto"/>
            <w:vAlign w:val="center"/>
          </w:tcPr>
          <w:p w14:paraId="34CDBCE9" w14:textId="77777777" w:rsidR="007B690E" w:rsidRPr="007B690E" w:rsidRDefault="007B690E" w:rsidP="007B690E">
            <w:pPr>
              <w:tabs>
                <w:tab w:val="left" w:pos="213"/>
              </w:tabs>
              <w:spacing w:after="0" w:line="240" w:lineRule="auto"/>
              <w:ind w:left="11"/>
              <w:contextualSpacing/>
              <w:rPr>
                <w:rFonts w:ascii="Arial" w:eastAsia="Calibri" w:hAnsi="Arial" w:cs="Arial"/>
                <w:bCs/>
                <w:sz w:val="16"/>
                <w:szCs w:val="16"/>
                <w:lang w:val="en-US"/>
              </w:rPr>
            </w:pPr>
            <w:r w:rsidRPr="007B690E">
              <w:rPr>
                <w:rFonts w:ascii="Arial" w:eastAsia="Calibri" w:hAnsi="Arial" w:cs="Arial"/>
                <w:bCs/>
                <w:sz w:val="16"/>
                <w:szCs w:val="16"/>
                <w:lang w:val="en-US"/>
              </w:rPr>
              <w:t xml:space="preserve">Lei 9796/1999, art. 4º. </w:t>
            </w:r>
          </w:p>
          <w:p w14:paraId="53D511FB" w14:textId="77777777" w:rsidR="007B690E" w:rsidRPr="007B690E" w:rsidRDefault="007B690E" w:rsidP="007B690E">
            <w:pPr>
              <w:tabs>
                <w:tab w:val="left" w:pos="213"/>
              </w:tabs>
              <w:spacing w:after="0" w:line="240" w:lineRule="auto"/>
              <w:ind w:left="11"/>
              <w:contextualSpacing/>
              <w:rPr>
                <w:rFonts w:ascii="Arial" w:eastAsia="Calibri" w:hAnsi="Arial" w:cs="Arial"/>
                <w:bCs/>
                <w:sz w:val="16"/>
                <w:szCs w:val="16"/>
                <w:lang w:val="en-US"/>
              </w:rPr>
            </w:pPr>
            <w:r w:rsidRPr="007B690E">
              <w:rPr>
                <w:rFonts w:ascii="Arial" w:eastAsia="Calibri" w:hAnsi="Arial" w:cs="Arial"/>
                <w:bCs/>
                <w:sz w:val="16"/>
                <w:szCs w:val="16"/>
                <w:lang w:val="en-US"/>
              </w:rPr>
              <w:t>ON MPS-SPS 02/2009, art. 23, III.</w:t>
            </w:r>
          </w:p>
        </w:tc>
        <w:tc>
          <w:tcPr>
            <w:tcW w:w="1417" w:type="dxa"/>
            <w:tcBorders>
              <w:top w:val="single" w:sz="4" w:space="0" w:color="auto"/>
              <w:left w:val="nil"/>
              <w:bottom w:val="single" w:sz="4" w:space="0" w:color="auto"/>
              <w:right w:val="single" w:sz="4" w:space="0" w:color="auto"/>
            </w:tcBorders>
            <w:vAlign w:val="center"/>
          </w:tcPr>
          <w:p w14:paraId="301FB422" w14:textId="77777777" w:rsidR="007B690E" w:rsidRPr="007B690E" w:rsidRDefault="007B690E" w:rsidP="007B690E">
            <w:pPr>
              <w:widowControl w:val="0"/>
              <w:spacing w:after="0" w:line="240" w:lineRule="auto"/>
              <w:jc w:val="center"/>
              <w:rPr>
                <w:rFonts w:ascii="Arial" w:eastAsia="Calibri" w:hAnsi="Arial" w:cs="Arial"/>
                <w:bCs/>
                <w:sz w:val="16"/>
                <w:szCs w:val="16"/>
                <w:lang w:val="en-US"/>
              </w:rPr>
            </w:pPr>
            <w:r w:rsidRPr="007B690E">
              <w:rPr>
                <w:rFonts w:ascii="Arial" w:eastAsia="Calibri" w:hAnsi="Arial" w:cs="Arial"/>
                <w:color w:val="000000"/>
                <w:sz w:val="16"/>
                <w:szCs w:val="16"/>
                <w:lang w:val="en-US"/>
              </w:rPr>
              <w:t>Auditoria Governamental de conformidade</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4B4E500C" w14:textId="77777777" w:rsidR="007B690E" w:rsidRPr="007B690E" w:rsidRDefault="007B690E" w:rsidP="007B690E">
            <w:pPr>
              <w:widowControl w:val="0"/>
              <w:spacing w:after="0" w:line="240" w:lineRule="auto"/>
              <w:jc w:val="both"/>
              <w:rPr>
                <w:rFonts w:ascii="Arial" w:eastAsia="Calibri" w:hAnsi="Arial" w:cs="Arial"/>
                <w:bCs/>
                <w:sz w:val="16"/>
                <w:szCs w:val="16"/>
              </w:rPr>
            </w:pPr>
            <w:r w:rsidRPr="007B690E">
              <w:rPr>
                <w:rFonts w:ascii="Arial" w:eastAsia="Calibri" w:hAnsi="Arial" w:cs="Arial"/>
                <w:bCs/>
                <w:sz w:val="16"/>
                <w:szCs w:val="16"/>
              </w:rPr>
              <w:t>Verificar se a Unidade Gestora do RPPS adota rotina de envio dos processos ao Regime Geral de Previdência Social (RGPS) a fim de gerar o direito a receber a receita de compensação previdenciária.</w:t>
            </w:r>
          </w:p>
        </w:tc>
        <w:tc>
          <w:tcPr>
            <w:tcW w:w="1275" w:type="dxa"/>
            <w:tcBorders>
              <w:top w:val="single" w:sz="4" w:space="0" w:color="auto"/>
              <w:left w:val="nil"/>
              <w:bottom w:val="single" w:sz="4" w:space="0" w:color="auto"/>
              <w:right w:val="single" w:sz="4" w:space="0" w:color="auto"/>
            </w:tcBorders>
            <w:shd w:val="clear" w:color="auto" w:fill="auto"/>
            <w:vAlign w:val="center"/>
          </w:tcPr>
          <w:p w14:paraId="1661B215" w14:textId="77777777" w:rsidR="007B690E" w:rsidRPr="007B690E" w:rsidRDefault="007B690E" w:rsidP="007B690E">
            <w:pPr>
              <w:widowControl w:val="0"/>
              <w:spacing w:after="0" w:line="240" w:lineRule="auto"/>
              <w:jc w:val="center"/>
              <w:rPr>
                <w:rFonts w:ascii="Arial" w:eastAsia="Calibri" w:hAnsi="Arial" w:cs="Arial"/>
                <w:bCs/>
                <w:sz w:val="16"/>
                <w:szCs w:val="16"/>
              </w:rPr>
            </w:pPr>
            <w:r w:rsidRPr="007B690E">
              <w:rPr>
                <w:rFonts w:ascii="Arial" w:eastAsia="Calibri" w:hAnsi="Arial" w:cs="Arial"/>
                <w:bCs/>
                <w:sz w:val="16"/>
                <w:szCs w:val="16"/>
              </w:rPr>
              <w:t>Contas de Gestão do RPPS</w:t>
            </w:r>
          </w:p>
        </w:tc>
      </w:tr>
      <w:tr w:rsidR="007B690E" w:rsidRPr="007B690E" w14:paraId="2A456D83" w14:textId="77777777" w:rsidTr="007B690E">
        <w:trPr>
          <w:trHeight w:val="613"/>
        </w:trPr>
        <w:tc>
          <w:tcPr>
            <w:tcW w:w="851" w:type="dxa"/>
            <w:vAlign w:val="center"/>
          </w:tcPr>
          <w:p w14:paraId="49FC81EE" w14:textId="77777777" w:rsidR="007B690E" w:rsidRPr="007B690E" w:rsidRDefault="007B690E" w:rsidP="007B690E">
            <w:pPr>
              <w:widowControl w:val="0"/>
              <w:spacing w:after="0" w:line="240" w:lineRule="auto"/>
              <w:jc w:val="center"/>
              <w:rPr>
                <w:rFonts w:ascii="Arial" w:eastAsia="Calibri" w:hAnsi="Arial" w:cs="Arial"/>
                <w:bCs/>
                <w:sz w:val="16"/>
                <w:szCs w:val="16"/>
              </w:rPr>
            </w:pPr>
            <w:r w:rsidRPr="007B690E">
              <w:rPr>
                <w:rFonts w:ascii="Arial" w:eastAsia="Calibri" w:hAnsi="Arial" w:cs="Arial"/>
                <w:color w:val="000000"/>
                <w:sz w:val="16"/>
                <w:szCs w:val="16"/>
              </w:rPr>
              <w:t>2.5.12</w:t>
            </w:r>
          </w:p>
        </w:tc>
        <w:tc>
          <w:tcPr>
            <w:tcW w:w="1417" w:type="dxa"/>
            <w:shd w:val="clear" w:color="auto" w:fill="auto"/>
            <w:vAlign w:val="center"/>
          </w:tcPr>
          <w:p w14:paraId="77116771" w14:textId="77777777" w:rsidR="007B690E" w:rsidRPr="007B690E" w:rsidRDefault="007B690E" w:rsidP="007B690E">
            <w:pPr>
              <w:widowControl w:val="0"/>
              <w:spacing w:after="0" w:line="240" w:lineRule="auto"/>
              <w:jc w:val="center"/>
              <w:rPr>
                <w:rFonts w:ascii="Arial" w:eastAsia="Calibri" w:hAnsi="Arial" w:cs="Arial"/>
                <w:bCs/>
                <w:sz w:val="16"/>
                <w:szCs w:val="16"/>
                <w:lang w:val="en-US"/>
              </w:rPr>
            </w:pPr>
            <w:r w:rsidRPr="007B690E">
              <w:rPr>
                <w:rFonts w:ascii="Arial" w:eastAsia="Calibri" w:hAnsi="Arial" w:cs="Arial"/>
                <w:bCs/>
                <w:sz w:val="16"/>
                <w:szCs w:val="16"/>
                <w:lang w:val="en-US"/>
              </w:rPr>
              <w:t>Orçamento</w:t>
            </w:r>
          </w:p>
        </w:tc>
        <w:tc>
          <w:tcPr>
            <w:tcW w:w="1418" w:type="dxa"/>
            <w:shd w:val="clear" w:color="auto" w:fill="auto"/>
            <w:vAlign w:val="center"/>
          </w:tcPr>
          <w:p w14:paraId="71BA4E09" w14:textId="77777777" w:rsidR="007B690E" w:rsidRPr="007B690E" w:rsidRDefault="007B690E" w:rsidP="007B690E">
            <w:pPr>
              <w:widowControl w:val="0"/>
              <w:tabs>
                <w:tab w:val="left" w:pos="213"/>
              </w:tabs>
              <w:spacing w:after="0" w:line="240" w:lineRule="auto"/>
              <w:rPr>
                <w:rFonts w:ascii="Arial" w:eastAsia="Calibri" w:hAnsi="Arial" w:cs="Arial"/>
                <w:bCs/>
                <w:sz w:val="16"/>
                <w:szCs w:val="16"/>
                <w:lang w:val="en-US"/>
              </w:rPr>
            </w:pPr>
            <w:r w:rsidRPr="007B690E">
              <w:rPr>
                <w:rFonts w:ascii="Arial" w:eastAsia="Calibri" w:hAnsi="Arial" w:cs="Arial"/>
                <w:bCs/>
                <w:sz w:val="16"/>
                <w:szCs w:val="16"/>
                <w:lang w:val="en-US"/>
              </w:rPr>
              <w:t>Lei 4.320/64 e MCASP</w:t>
            </w:r>
          </w:p>
        </w:tc>
        <w:tc>
          <w:tcPr>
            <w:tcW w:w="1417" w:type="dxa"/>
            <w:vAlign w:val="center"/>
          </w:tcPr>
          <w:p w14:paraId="1350B65E" w14:textId="77777777" w:rsidR="007B690E" w:rsidRPr="007B690E" w:rsidRDefault="007B690E" w:rsidP="007B690E">
            <w:pPr>
              <w:widowControl w:val="0"/>
              <w:autoSpaceDE w:val="0"/>
              <w:autoSpaceDN w:val="0"/>
              <w:adjustRightInd w:val="0"/>
              <w:spacing w:after="0" w:line="240" w:lineRule="auto"/>
              <w:jc w:val="center"/>
              <w:rPr>
                <w:rFonts w:ascii="Arial" w:eastAsia="Calibri" w:hAnsi="Arial" w:cs="Arial"/>
                <w:bCs/>
                <w:sz w:val="16"/>
                <w:szCs w:val="16"/>
              </w:rPr>
            </w:pPr>
            <w:r w:rsidRPr="007B690E">
              <w:rPr>
                <w:rFonts w:ascii="Arial" w:eastAsia="Calibri" w:hAnsi="Arial" w:cs="Arial"/>
                <w:bCs/>
                <w:sz w:val="16"/>
                <w:szCs w:val="16"/>
                <w:lang w:val="en-US"/>
              </w:rPr>
              <w:t>Conformidade (Verificação documental)</w:t>
            </w:r>
          </w:p>
        </w:tc>
        <w:tc>
          <w:tcPr>
            <w:tcW w:w="2694" w:type="dxa"/>
            <w:shd w:val="clear" w:color="auto" w:fill="auto"/>
            <w:vAlign w:val="center"/>
          </w:tcPr>
          <w:p w14:paraId="1A70FACF" w14:textId="77777777" w:rsidR="007B690E" w:rsidRPr="007B690E" w:rsidRDefault="007B690E" w:rsidP="007B690E">
            <w:pPr>
              <w:widowControl w:val="0"/>
              <w:spacing w:after="0" w:line="240" w:lineRule="auto"/>
              <w:jc w:val="both"/>
              <w:rPr>
                <w:rFonts w:ascii="Arial" w:eastAsia="Calibri" w:hAnsi="Arial" w:cs="Arial"/>
                <w:bCs/>
                <w:sz w:val="16"/>
                <w:szCs w:val="16"/>
              </w:rPr>
            </w:pPr>
            <w:r w:rsidRPr="007B690E">
              <w:rPr>
                <w:rFonts w:ascii="Arial" w:eastAsia="Calibri" w:hAnsi="Arial" w:cs="Arial"/>
                <w:bCs/>
                <w:sz w:val="16"/>
                <w:szCs w:val="16"/>
              </w:rPr>
              <w:t>Verificar se o orçamento está utilizando a correta fonte de recursos definida por Resolução deste Tribunal, aplicáveis a gestão previdenciária.</w:t>
            </w:r>
          </w:p>
        </w:tc>
        <w:tc>
          <w:tcPr>
            <w:tcW w:w="1275" w:type="dxa"/>
            <w:shd w:val="clear" w:color="auto" w:fill="auto"/>
            <w:vAlign w:val="center"/>
          </w:tcPr>
          <w:p w14:paraId="7B5295B0" w14:textId="77777777" w:rsidR="007B690E" w:rsidRPr="007B690E" w:rsidRDefault="007B690E" w:rsidP="007B690E">
            <w:pPr>
              <w:widowControl w:val="0"/>
              <w:spacing w:after="0" w:line="240" w:lineRule="auto"/>
              <w:jc w:val="center"/>
              <w:rPr>
                <w:rFonts w:ascii="Arial" w:eastAsia="Calibri" w:hAnsi="Arial" w:cs="Arial"/>
                <w:bCs/>
                <w:sz w:val="16"/>
                <w:szCs w:val="16"/>
              </w:rPr>
            </w:pPr>
            <w:r w:rsidRPr="007B690E">
              <w:rPr>
                <w:rFonts w:ascii="Arial" w:eastAsia="Calibri" w:hAnsi="Arial" w:cs="Arial"/>
                <w:bCs/>
                <w:sz w:val="16"/>
                <w:szCs w:val="16"/>
              </w:rPr>
              <w:t>Contas de Gestão do RPPS</w:t>
            </w:r>
          </w:p>
        </w:tc>
      </w:tr>
      <w:tr w:rsidR="007B690E" w:rsidRPr="007B690E" w14:paraId="438A8788" w14:textId="77777777" w:rsidTr="007B690E">
        <w:trPr>
          <w:trHeight w:val="613"/>
        </w:trPr>
        <w:tc>
          <w:tcPr>
            <w:tcW w:w="851" w:type="dxa"/>
            <w:vAlign w:val="center"/>
          </w:tcPr>
          <w:p w14:paraId="4486F5B5" w14:textId="77777777" w:rsidR="007B690E" w:rsidRPr="007B690E" w:rsidRDefault="007B690E" w:rsidP="007B690E">
            <w:pPr>
              <w:widowControl w:val="0"/>
              <w:spacing w:after="0" w:line="240" w:lineRule="auto"/>
              <w:jc w:val="center"/>
              <w:rPr>
                <w:rFonts w:ascii="Arial" w:eastAsia="Calibri" w:hAnsi="Arial" w:cs="Arial"/>
                <w:bCs/>
                <w:sz w:val="16"/>
                <w:szCs w:val="16"/>
              </w:rPr>
            </w:pPr>
            <w:r w:rsidRPr="007B690E">
              <w:rPr>
                <w:rFonts w:ascii="Arial" w:eastAsia="Calibri" w:hAnsi="Arial" w:cs="Arial"/>
                <w:color w:val="000000"/>
                <w:sz w:val="16"/>
                <w:szCs w:val="16"/>
              </w:rPr>
              <w:t>2.5.13</w:t>
            </w:r>
          </w:p>
        </w:tc>
        <w:tc>
          <w:tcPr>
            <w:tcW w:w="1417" w:type="dxa"/>
            <w:shd w:val="clear" w:color="auto" w:fill="auto"/>
            <w:vAlign w:val="center"/>
          </w:tcPr>
          <w:p w14:paraId="088D06A9" w14:textId="77777777" w:rsidR="007B690E" w:rsidRPr="007B690E" w:rsidRDefault="007B690E" w:rsidP="007B690E">
            <w:pPr>
              <w:widowControl w:val="0"/>
              <w:spacing w:after="0" w:line="240" w:lineRule="auto"/>
              <w:jc w:val="center"/>
              <w:rPr>
                <w:rFonts w:ascii="Arial" w:eastAsia="Calibri" w:hAnsi="Arial" w:cs="Arial"/>
                <w:bCs/>
                <w:sz w:val="16"/>
                <w:szCs w:val="16"/>
                <w:lang w:val="en-US"/>
              </w:rPr>
            </w:pPr>
            <w:r w:rsidRPr="007B690E">
              <w:rPr>
                <w:rFonts w:ascii="Arial" w:eastAsia="Calibri" w:hAnsi="Arial" w:cs="Arial"/>
                <w:bCs/>
                <w:sz w:val="16"/>
                <w:szCs w:val="16"/>
                <w:lang w:val="en-US"/>
              </w:rPr>
              <w:t>Orçamento</w:t>
            </w:r>
          </w:p>
        </w:tc>
        <w:tc>
          <w:tcPr>
            <w:tcW w:w="1418" w:type="dxa"/>
            <w:shd w:val="clear" w:color="auto" w:fill="auto"/>
            <w:vAlign w:val="center"/>
          </w:tcPr>
          <w:p w14:paraId="25453612" w14:textId="77777777" w:rsidR="007B690E" w:rsidRPr="007B690E" w:rsidRDefault="007B690E" w:rsidP="007B690E">
            <w:pPr>
              <w:widowControl w:val="0"/>
              <w:tabs>
                <w:tab w:val="left" w:pos="213"/>
              </w:tabs>
              <w:spacing w:after="0" w:line="240" w:lineRule="auto"/>
              <w:rPr>
                <w:rFonts w:ascii="Arial" w:eastAsia="Calibri" w:hAnsi="Arial" w:cs="Arial"/>
                <w:bCs/>
                <w:sz w:val="16"/>
                <w:szCs w:val="16"/>
                <w:lang w:val="en-US"/>
              </w:rPr>
            </w:pPr>
            <w:r w:rsidRPr="007B690E">
              <w:rPr>
                <w:rFonts w:ascii="Arial" w:eastAsia="Calibri" w:hAnsi="Arial" w:cs="Arial"/>
                <w:bCs/>
                <w:sz w:val="16"/>
                <w:szCs w:val="16"/>
                <w:lang w:val="en-US"/>
              </w:rPr>
              <w:t>Lei 4.320/64 e MCASP</w:t>
            </w:r>
          </w:p>
        </w:tc>
        <w:tc>
          <w:tcPr>
            <w:tcW w:w="1417" w:type="dxa"/>
            <w:vAlign w:val="center"/>
          </w:tcPr>
          <w:p w14:paraId="6B381E9D" w14:textId="77777777" w:rsidR="007B690E" w:rsidRPr="007B690E" w:rsidRDefault="007B690E" w:rsidP="007B690E">
            <w:pPr>
              <w:widowControl w:val="0"/>
              <w:autoSpaceDE w:val="0"/>
              <w:autoSpaceDN w:val="0"/>
              <w:adjustRightInd w:val="0"/>
              <w:spacing w:after="0" w:line="240" w:lineRule="auto"/>
              <w:jc w:val="center"/>
              <w:rPr>
                <w:rFonts w:ascii="Arial" w:eastAsia="Calibri" w:hAnsi="Arial" w:cs="Arial"/>
                <w:color w:val="000000"/>
                <w:sz w:val="16"/>
                <w:szCs w:val="16"/>
                <w:lang w:val="en-US"/>
              </w:rPr>
            </w:pPr>
            <w:r w:rsidRPr="007B690E">
              <w:rPr>
                <w:rFonts w:ascii="Arial" w:eastAsia="Calibri" w:hAnsi="Arial" w:cs="Arial"/>
                <w:bCs/>
                <w:sz w:val="16"/>
                <w:szCs w:val="16"/>
                <w:lang w:val="en-US"/>
              </w:rPr>
              <w:t>Conformidade (Verificação documental)</w:t>
            </w:r>
          </w:p>
        </w:tc>
        <w:tc>
          <w:tcPr>
            <w:tcW w:w="2694" w:type="dxa"/>
            <w:shd w:val="clear" w:color="auto" w:fill="auto"/>
            <w:vAlign w:val="center"/>
          </w:tcPr>
          <w:p w14:paraId="62FB5136" w14:textId="77777777" w:rsidR="007B690E" w:rsidRPr="007B690E" w:rsidRDefault="007B690E" w:rsidP="007B690E">
            <w:pPr>
              <w:widowControl w:val="0"/>
              <w:spacing w:after="0" w:line="240" w:lineRule="auto"/>
              <w:jc w:val="both"/>
              <w:rPr>
                <w:rFonts w:ascii="Arial" w:eastAsia="Calibri" w:hAnsi="Arial" w:cs="Arial"/>
                <w:bCs/>
                <w:sz w:val="16"/>
                <w:szCs w:val="16"/>
              </w:rPr>
            </w:pPr>
            <w:r w:rsidRPr="007B690E">
              <w:rPr>
                <w:rFonts w:ascii="Arial" w:eastAsia="Calibri" w:hAnsi="Arial" w:cs="Arial"/>
                <w:bCs/>
                <w:sz w:val="16"/>
                <w:szCs w:val="16"/>
              </w:rPr>
              <w:t>Verificar se no orçamento do RPPS que recebe cobertura de insuficiência financeira para complementação da folha de benefícios possui despesa fixada no mesmo montante correspondente na fonte de recursos do tesouro</w:t>
            </w:r>
          </w:p>
        </w:tc>
        <w:tc>
          <w:tcPr>
            <w:tcW w:w="1275" w:type="dxa"/>
            <w:shd w:val="clear" w:color="auto" w:fill="auto"/>
            <w:vAlign w:val="center"/>
          </w:tcPr>
          <w:p w14:paraId="5E677F46" w14:textId="77777777" w:rsidR="007B690E" w:rsidRPr="007B690E" w:rsidRDefault="007B690E" w:rsidP="007B690E">
            <w:pPr>
              <w:widowControl w:val="0"/>
              <w:spacing w:after="0" w:line="240" w:lineRule="auto"/>
              <w:jc w:val="center"/>
              <w:rPr>
                <w:rFonts w:ascii="Arial" w:eastAsia="Calibri" w:hAnsi="Arial" w:cs="Arial"/>
                <w:bCs/>
                <w:sz w:val="16"/>
                <w:szCs w:val="16"/>
              </w:rPr>
            </w:pPr>
            <w:r w:rsidRPr="007B690E">
              <w:rPr>
                <w:rFonts w:ascii="Arial" w:eastAsia="Calibri" w:hAnsi="Arial" w:cs="Arial"/>
                <w:bCs/>
                <w:sz w:val="16"/>
                <w:szCs w:val="16"/>
              </w:rPr>
              <w:t>Contas de Gestão do RPPS</w:t>
            </w:r>
          </w:p>
        </w:tc>
      </w:tr>
      <w:tr w:rsidR="007B690E" w:rsidRPr="007B690E" w14:paraId="466AA36C" w14:textId="77777777" w:rsidTr="007B690E">
        <w:trPr>
          <w:trHeight w:val="613"/>
        </w:trPr>
        <w:tc>
          <w:tcPr>
            <w:tcW w:w="851" w:type="dxa"/>
            <w:vAlign w:val="center"/>
          </w:tcPr>
          <w:p w14:paraId="347E43D9" w14:textId="77777777" w:rsidR="007B690E" w:rsidRPr="007B690E" w:rsidRDefault="007B690E" w:rsidP="007B690E">
            <w:pPr>
              <w:widowControl w:val="0"/>
              <w:spacing w:after="0" w:line="240" w:lineRule="auto"/>
              <w:jc w:val="center"/>
              <w:rPr>
                <w:rFonts w:ascii="Arial" w:eastAsia="Calibri" w:hAnsi="Arial" w:cs="Arial"/>
                <w:bCs/>
                <w:sz w:val="16"/>
                <w:szCs w:val="16"/>
              </w:rPr>
            </w:pPr>
            <w:r w:rsidRPr="007B690E">
              <w:rPr>
                <w:rFonts w:ascii="Arial" w:eastAsia="Calibri" w:hAnsi="Arial" w:cs="Arial"/>
                <w:color w:val="000000"/>
                <w:sz w:val="16"/>
                <w:szCs w:val="16"/>
              </w:rPr>
              <w:t>2.5.14</w:t>
            </w:r>
          </w:p>
        </w:tc>
        <w:tc>
          <w:tcPr>
            <w:tcW w:w="1417" w:type="dxa"/>
            <w:shd w:val="clear" w:color="auto" w:fill="auto"/>
            <w:vAlign w:val="center"/>
          </w:tcPr>
          <w:p w14:paraId="6AFDB4B2" w14:textId="77777777" w:rsidR="007B690E" w:rsidRPr="007B690E" w:rsidRDefault="007B690E" w:rsidP="007B690E">
            <w:pPr>
              <w:widowControl w:val="0"/>
              <w:spacing w:after="0" w:line="240" w:lineRule="auto"/>
              <w:jc w:val="center"/>
              <w:rPr>
                <w:rFonts w:ascii="Arial" w:eastAsia="Calibri" w:hAnsi="Arial" w:cs="Arial"/>
                <w:bCs/>
                <w:sz w:val="16"/>
                <w:szCs w:val="16"/>
                <w:lang w:val="en-US"/>
              </w:rPr>
            </w:pPr>
            <w:r w:rsidRPr="007B690E">
              <w:rPr>
                <w:rFonts w:ascii="Arial" w:eastAsia="Calibri" w:hAnsi="Arial" w:cs="Arial"/>
                <w:bCs/>
                <w:sz w:val="16"/>
                <w:szCs w:val="16"/>
                <w:lang w:val="en-US"/>
              </w:rPr>
              <w:t>Transparência</w:t>
            </w:r>
          </w:p>
        </w:tc>
        <w:tc>
          <w:tcPr>
            <w:tcW w:w="1418" w:type="dxa"/>
            <w:shd w:val="clear" w:color="auto" w:fill="auto"/>
            <w:vAlign w:val="center"/>
          </w:tcPr>
          <w:p w14:paraId="2209FAD7" w14:textId="77777777" w:rsidR="007B690E" w:rsidRPr="007B690E" w:rsidRDefault="007B690E" w:rsidP="007B690E">
            <w:pPr>
              <w:widowControl w:val="0"/>
              <w:tabs>
                <w:tab w:val="left" w:pos="213"/>
              </w:tabs>
              <w:spacing w:after="0" w:line="240" w:lineRule="auto"/>
              <w:rPr>
                <w:rFonts w:ascii="Arial" w:eastAsia="Calibri" w:hAnsi="Arial" w:cs="Arial"/>
                <w:bCs/>
                <w:sz w:val="16"/>
                <w:szCs w:val="16"/>
                <w:lang w:val="en-US"/>
              </w:rPr>
            </w:pPr>
            <w:r w:rsidRPr="007B690E">
              <w:rPr>
                <w:rFonts w:ascii="Arial" w:eastAsia="Calibri" w:hAnsi="Arial" w:cs="Arial"/>
                <w:bCs/>
                <w:sz w:val="16"/>
                <w:szCs w:val="16"/>
                <w:lang w:val="en-US"/>
              </w:rPr>
              <w:t xml:space="preserve">Lei 10887/2004, art. 9º, III. </w:t>
            </w:r>
          </w:p>
          <w:p w14:paraId="73E8CC6A" w14:textId="77777777" w:rsidR="007B690E" w:rsidRPr="007B690E" w:rsidRDefault="007B690E" w:rsidP="007B690E">
            <w:pPr>
              <w:widowControl w:val="0"/>
              <w:tabs>
                <w:tab w:val="left" w:pos="213"/>
              </w:tabs>
              <w:spacing w:after="0" w:line="240" w:lineRule="auto"/>
              <w:rPr>
                <w:rFonts w:ascii="Arial" w:eastAsia="Calibri" w:hAnsi="Arial" w:cs="Arial"/>
                <w:bCs/>
                <w:sz w:val="16"/>
                <w:szCs w:val="16"/>
                <w:lang w:val="en-US"/>
              </w:rPr>
            </w:pPr>
            <w:r w:rsidRPr="007B690E">
              <w:rPr>
                <w:rFonts w:ascii="Arial" w:eastAsia="Calibri" w:hAnsi="Arial" w:cs="Arial"/>
                <w:bCs/>
                <w:sz w:val="16"/>
                <w:szCs w:val="16"/>
                <w:lang w:val="en-US"/>
              </w:rPr>
              <w:t xml:space="preserve"> ON MPS SPS 02/2009, art. 15, III. </w:t>
            </w:r>
          </w:p>
          <w:p w14:paraId="44F6F532" w14:textId="77777777" w:rsidR="007B690E" w:rsidRPr="007B690E" w:rsidRDefault="007B690E" w:rsidP="007B690E">
            <w:pPr>
              <w:widowControl w:val="0"/>
              <w:tabs>
                <w:tab w:val="left" w:pos="213"/>
              </w:tabs>
              <w:spacing w:after="0" w:line="240" w:lineRule="auto"/>
              <w:rPr>
                <w:rFonts w:ascii="Arial" w:eastAsia="Calibri" w:hAnsi="Arial" w:cs="Arial"/>
                <w:bCs/>
                <w:sz w:val="16"/>
                <w:szCs w:val="16"/>
                <w:lang w:val="en-US"/>
              </w:rPr>
            </w:pPr>
            <w:r w:rsidRPr="007B690E">
              <w:rPr>
                <w:rFonts w:ascii="Arial" w:eastAsia="Calibri" w:hAnsi="Arial" w:cs="Arial"/>
                <w:bCs/>
                <w:sz w:val="16"/>
                <w:szCs w:val="16"/>
                <w:lang w:val="en-US"/>
              </w:rPr>
              <w:t>ON MPS-SPS 02/2009, art. 21, parágrafo único.</w:t>
            </w:r>
          </w:p>
        </w:tc>
        <w:tc>
          <w:tcPr>
            <w:tcW w:w="1417" w:type="dxa"/>
            <w:vAlign w:val="center"/>
          </w:tcPr>
          <w:p w14:paraId="51294E36" w14:textId="77777777" w:rsidR="007B690E" w:rsidRPr="007B690E" w:rsidRDefault="007B690E" w:rsidP="007B690E">
            <w:pPr>
              <w:widowControl w:val="0"/>
              <w:autoSpaceDE w:val="0"/>
              <w:autoSpaceDN w:val="0"/>
              <w:adjustRightInd w:val="0"/>
              <w:spacing w:after="0" w:line="240" w:lineRule="auto"/>
              <w:jc w:val="center"/>
              <w:rPr>
                <w:rFonts w:ascii="Arial" w:eastAsia="Calibri" w:hAnsi="Arial" w:cs="Arial"/>
                <w:bCs/>
                <w:sz w:val="16"/>
                <w:szCs w:val="16"/>
                <w:lang w:val="en-US"/>
              </w:rPr>
            </w:pPr>
            <w:r w:rsidRPr="007B690E">
              <w:rPr>
                <w:rFonts w:ascii="Arial" w:eastAsia="Calibri" w:hAnsi="Arial" w:cs="Arial"/>
                <w:color w:val="000000"/>
                <w:sz w:val="16"/>
                <w:szCs w:val="16"/>
                <w:lang w:val="en-US"/>
              </w:rPr>
              <w:t>Auditoria Governamental de conformidade</w:t>
            </w:r>
          </w:p>
        </w:tc>
        <w:tc>
          <w:tcPr>
            <w:tcW w:w="2694" w:type="dxa"/>
            <w:shd w:val="clear" w:color="auto" w:fill="auto"/>
            <w:vAlign w:val="center"/>
          </w:tcPr>
          <w:p w14:paraId="38AA5FA9" w14:textId="77777777" w:rsidR="007B690E" w:rsidRPr="007B690E" w:rsidRDefault="007B690E" w:rsidP="007B690E">
            <w:pPr>
              <w:widowControl w:val="0"/>
              <w:spacing w:after="0" w:line="240" w:lineRule="auto"/>
              <w:jc w:val="both"/>
              <w:rPr>
                <w:rFonts w:ascii="Arial" w:eastAsia="Calibri" w:hAnsi="Arial" w:cs="Arial"/>
                <w:bCs/>
                <w:sz w:val="16"/>
                <w:szCs w:val="16"/>
              </w:rPr>
            </w:pPr>
            <w:r w:rsidRPr="007B690E">
              <w:rPr>
                <w:rFonts w:ascii="Arial" w:eastAsia="Calibri" w:hAnsi="Arial" w:cs="Arial"/>
                <w:bCs/>
                <w:sz w:val="16"/>
                <w:szCs w:val="16"/>
              </w:rPr>
              <w:t xml:space="preserve">Verificar se a unidade gestora do RPPS disponibiliza ao público, inclusive por meio eletrônico, informações atualizadas e relatórios contábeis, financeiros, previdenciários acerca do respectivo regime, bem como os critérios e parâmetros adotados para garantir o seu equilíbrio </w:t>
            </w:r>
            <w:r w:rsidRPr="007B690E">
              <w:rPr>
                <w:rFonts w:ascii="Arial" w:eastAsia="Calibri" w:hAnsi="Arial" w:cs="Arial"/>
                <w:bCs/>
                <w:sz w:val="16"/>
                <w:szCs w:val="16"/>
              </w:rPr>
              <w:lastRenderedPageBreak/>
              <w:t>financeiro e atuarial.</w:t>
            </w:r>
          </w:p>
        </w:tc>
        <w:tc>
          <w:tcPr>
            <w:tcW w:w="1275" w:type="dxa"/>
            <w:shd w:val="clear" w:color="auto" w:fill="auto"/>
            <w:vAlign w:val="center"/>
          </w:tcPr>
          <w:p w14:paraId="7B249B66" w14:textId="77777777" w:rsidR="007B690E" w:rsidRPr="007B690E" w:rsidRDefault="007B690E" w:rsidP="007B690E">
            <w:pPr>
              <w:widowControl w:val="0"/>
              <w:spacing w:after="0" w:line="240" w:lineRule="auto"/>
              <w:jc w:val="center"/>
              <w:rPr>
                <w:rFonts w:ascii="Arial" w:eastAsia="Calibri" w:hAnsi="Arial" w:cs="Arial"/>
                <w:bCs/>
                <w:sz w:val="16"/>
                <w:szCs w:val="16"/>
              </w:rPr>
            </w:pPr>
            <w:r w:rsidRPr="007B690E">
              <w:rPr>
                <w:rFonts w:ascii="Arial" w:eastAsia="Calibri" w:hAnsi="Arial" w:cs="Arial"/>
                <w:bCs/>
                <w:sz w:val="16"/>
                <w:szCs w:val="16"/>
              </w:rPr>
              <w:lastRenderedPageBreak/>
              <w:t>Contas de Gestão do RPPS</w:t>
            </w:r>
          </w:p>
        </w:tc>
      </w:tr>
      <w:tr w:rsidR="007B690E" w:rsidRPr="007B690E" w14:paraId="68CAAE5C" w14:textId="77777777" w:rsidTr="007B690E">
        <w:trPr>
          <w:trHeight w:val="613"/>
        </w:trPr>
        <w:tc>
          <w:tcPr>
            <w:tcW w:w="851" w:type="dxa"/>
            <w:vAlign w:val="center"/>
          </w:tcPr>
          <w:p w14:paraId="040C3A62" w14:textId="77777777" w:rsidR="007B690E" w:rsidRPr="007B690E" w:rsidRDefault="007B690E" w:rsidP="007B690E">
            <w:pPr>
              <w:widowControl w:val="0"/>
              <w:spacing w:after="0" w:line="240" w:lineRule="auto"/>
              <w:jc w:val="center"/>
              <w:rPr>
                <w:rFonts w:ascii="Arial" w:eastAsia="Calibri" w:hAnsi="Arial" w:cs="Arial"/>
                <w:sz w:val="16"/>
                <w:szCs w:val="16"/>
              </w:rPr>
            </w:pPr>
            <w:r w:rsidRPr="007B690E">
              <w:rPr>
                <w:rFonts w:ascii="Arial" w:eastAsia="Calibri" w:hAnsi="Arial" w:cs="Arial"/>
                <w:color w:val="000000"/>
                <w:sz w:val="16"/>
                <w:szCs w:val="16"/>
              </w:rPr>
              <w:lastRenderedPageBreak/>
              <w:t>2.5.15</w:t>
            </w:r>
          </w:p>
        </w:tc>
        <w:tc>
          <w:tcPr>
            <w:tcW w:w="1417" w:type="dxa"/>
            <w:shd w:val="clear" w:color="auto" w:fill="auto"/>
            <w:vAlign w:val="center"/>
          </w:tcPr>
          <w:p w14:paraId="64287467" w14:textId="77777777" w:rsidR="007B690E" w:rsidRPr="007B690E" w:rsidRDefault="007B690E" w:rsidP="007B690E">
            <w:pPr>
              <w:widowControl w:val="0"/>
              <w:spacing w:after="0" w:line="240" w:lineRule="auto"/>
              <w:jc w:val="center"/>
              <w:rPr>
                <w:rFonts w:ascii="Arial" w:eastAsia="Calibri" w:hAnsi="Arial" w:cs="Arial"/>
                <w:sz w:val="16"/>
                <w:szCs w:val="16"/>
              </w:rPr>
            </w:pPr>
            <w:r w:rsidRPr="007B690E">
              <w:rPr>
                <w:rFonts w:ascii="Arial" w:eastAsia="Calibri" w:hAnsi="Arial" w:cs="Arial"/>
                <w:sz w:val="16"/>
                <w:szCs w:val="16"/>
              </w:rPr>
              <w:t>Atuação dos conselhos de previdência</w:t>
            </w:r>
          </w:p>
        </w:tc>
        <w:tc>
          <w:tcPr>
            <w:tcW w:w="1418" w:type="dxa"/>
            <w:shd w:val="clear" w:color="auto" w:fill="auto"/>
            <w:vAlign w:val="center"/>
          </w:tcPr>
          <w:p w14:paraId="7F067319" w14:textId="77777777" w:rsidR="007B690E" w:rsidRPr="007B690E" w:rsidRDefault="007B690E" w:rsidP="007B690E">
            <w:pPr>
              <w:widowControl w:val="0"/>
              <w:tabs>
                <w:tab w:val="left" w:pos="213"/>
              </w:tabs>
              <w:spacing w:after="0" w:line="240" w:lineRule="auto"/>
              <w:rPr>
                <w:rFonts w:ascii="Arial" w:eastAsia="Calibri" w:hAnsi="Arial" w:cs="Arial"/>
                <w:bCs/>
                <w:sz w:val="16"/>
                <w:szCs w:val="16"/>
              </w:rPr>
            </w:pPr>
            <w:r w:rsidRPr="007B690E">
              <w:rPr>
                <w:rFonts w:ascii="Arial" w:eastAsia="Calibri" w:hAnsi="Arial" w:cs="Arial"/>
                <w:bCs/>
                <w:sz w:val="16"/>
                <w:szCs w:val="16"/>
              </w:rPr>
              <w:t>Lei 9.717 de 1998, art.1, VI; Portaria MPS 402/2008, art. 10, §3º e art. 12; Orientação Normativa MPS 02/2009, art. 15, I.</w:t>
            </w:r>
          </w:p>
        </w:tc>
        <w:tc>
          <w:tcPr>
            <w:tcW w:w="1417" w:type="dxa"/>
            <w:vAlign w:val="center"/>
          </w:tcPr>
          <w:p w14:paraId="357A8490" w14:textId="77777777" w:rsidR="007B690E" w:rsidRPr="007B690E" w:rsidRDefault="007B690E" w:rsidP="007B690E">
            <w:pPr>
              <w:widowControl w:val="0"/>
              <w:spacing w:after="0" w:line="240" w:lineRule="auto"/>
              <w:jc w:val="center"/>
              <w:rPr>
                <w:rFonts w:ascii="Arial" w:eastAsia="Calibri" w:hAnsi="Arial" w:cs="Arial"/>
                <w:sz w:val="16"/>
                <w:szCs w:val="16"/>
              </w:rPr>
            </w:pPr>
            <w:r w:rsidRPr="007B690E">
              <w:rPr>
                <w:rFonts w:ascii="Arial" w:eastAsia="Calibri" w:hAnsi="Arial" w:cs="Arial"/>
                <w:color w:val="000000"/>
                <w:sz w:val="16"/>
                <w:szCs w:val="16"/>
                <w:lang w:val="en-US"/>
              </w:rPr>
              <w:t>Auditoria Governamental de conformidade</w:t>
            </w:r>
          </w:p>
        </w:tc>
        <w:tc>
          <w:tcPr>
            <w:tcW w:w="2694" w:type="dxa"/>
            <w:shd w:val="clear" w:color="auto" w:fill="auto"/>
            <w:vAlign w:val="center"/>
          </w:tcPr>
          <w:p w14:paraId="383C532B" w14:textId="77777777" w:rsidR="007B690E" w:rsidRPr="007B690E" w:rsidRDefault="007B690E" w:rsidP="007B690E">
            <w:pPr>
              <w:widowControl w:val="0"/>
              <w:spacing w:after="0" w:line="240" w:lineRule="auto"/>
              <w:jc w:val="both"/>
              <w:rPr>
                <w:rFonts w:ascii="Arial" w:eastAsia="Calibri" w:hAnsi="Arial" w:cs="Arial"/>
                <w:sz w:val="16"/>
                <w:szCs w:val="16"/>
              </w:rPr>
            </w:pPr>
            <w:r w:rsidRPr="007B690E">
              <w:rPr>
                <w:rFonts w:ascii="Arial" w:eastAsia="Calibri" w:hAnsi="Arial" w:cs="Arial"/>
                <w:sz w:val="16"/>
                <w:szCs w:val="16"/>
              </w:rPr>
              <w:t>Avaliar se os membros do Conselho ou órgão deliberativo do RPPS possuem os seguintes critérios: efetividade, paridade, legitimidade e grau de instrução compatível com as atividades do RPPS.</w:t>
            </w:r>
          </w:p>
        </w:tc>
        <w:tc>
          <w:tcPr>
            <w:tcW w:w="1275" w:type="dxa"/>
            <w:shd w:val="clear" w:color="auto" w:fill="auto"/>
            <w:vAlign w:val="center"/>
          </w:tcPr>
          <w:p w14:paraId="7D4F5DB4" w14:textId="77777777" w:rsidR="007B690E" w:rsidRPr="007B690E" w:rsidRDefault="007B690E" w:rsidP="007B690E">
            <w:pPr>
              <w:widowControl w:val="0"/>
              <w:spacing w:after="0" w:line="240" w:lineRule="auto"/>
              <w:jc w:val="center"/>
              <w:rPr>
                <w:rFonts w:ascii="Calibri" w:eastAsia="Calibri" w:hAnsi="Calibri" w:cs="Times New Roman"/>
              </w:rPr>
            </w:pPr>
            <w:r w:rsidRPr="007B690E">
              <w:rPr>
                <w:rFonts w:ascii="Arial" w:eastAsia="Calibri" w:hAnsi="Arial" w:cs="Arial"/>
                <w:bCs/>
                <w:sz w:val="16"/>
                <w:szCs w:val="16"/>
              </w:rPr>
              <w:t>Contas de Gestão do RPPS</w:t>
            </w:r>
          </w:p>
        </w:tc>
      </w:tr>
      <w:tr w:rsidR="007B690E" w:rsidRPr="007B690E" w14:paraId="792B6ACA" w14:textId="77777777" w:rsidTr="007B690E">
        <w:trPr>
          <w:trHeight w:val="613"/>
        </w:trPr>
        <w:tc>
          <w:tcPr>
            <w:tcW w:w="851" w:type="dxa"/>
            <w:vAlign w:val="center"/>
          </w:tcPr>
          <w:p w14:paraId="428FF5E2" w14:textId="77777777" w:rsidR="007B690E" w:rsidRPr="007B690E" w:rsidRDefault="007B690E" w:rsidP="007B690E">
            <w:pPr>
              <w:widowControl w:val="0"/>
              <w:spacing w:after="0" w:line="240" w:lineRule="auto"/>
              <w:jc w:val="center"/>
              <w:rPr>
                <w:rFonts w:ascii="Arial" w:eastAsia="Calibri" w:hAnsi="Arial" w:cs="Arial"/>
                <w:bCs/>
                <w:sz w:val="16"/>
                <w:szCs w:val="16"/>
              </w:rPr>
            </w:pPr>
            <w:r w:rsidRPr="007B690E">
              <w:rPr>
                <w:rFonts w:ascii="Arial" w:eastAsia="Calibri" w:hAnsi="Arial" w:cs="Arial"/>
                <w:color w:val="000000"/>
                <w:sz w:val="16"/>
                <w:szCs w:val="16"/>
              </w:rPr>
              <w:t>2.5.16</w:t>
            </w:r>
          </w:p>
        </w:tc>
        <w:tc>
          <w:tcPr>
            <w:tcW w:w="1417" w:type="dxa"/>
            <w:shd w:val="clear" w:color="auto" w:fill="auto"/>
            <w:vAlign w:val="center"/>
          </w:tcPr>
          <w:p w14:paraId="27D8BF9C" w14:textId="77777777" w:rsidR="007B690E" w:rsidRPr="007B690E" w:rsidRDefault="007B690E" w:rsidP="007B690E">
            <w:pPr>
              <w:widowControl w:val="0"/>
              <w:spacing w:after="0" w:line="240" w:lineRule="auto"/>
              <w:jc w:val="center"/>
              <w:rPr>
                <w:rFonts w:ascii="Arial" w:eastAsia="Calibri" w:hAnsi="Arial" w:cs="Arial"/>
                <w:bCs/>
                <w:sz w:val="16"/>
                <w:szCs w:val="16"/>
                <w:lang w:val="en-US"/>
              </w:rPr>
            </w:pPr>
            <w:r w:rsidRPr="007B690E">
              <w:rPr>
                <w:rFonts w:ascii="Arial" w:eastAsia="Calibri" w:hAnsi="Arial" w:cs="Arial"/>
                <w:bCs/>
                <w:sz w:val="16"/>
                <w:szCs w:val="16"/>
                <w:lang w:val="en-US"/>
              </w:rPr>
              <w:t>Obrigações do MPS</w:t>
            </w:r>
          </w:p>
        </w:tc>
        <w:tc>
          <w:tcPr>
            <w:tcW w:w="1418" w:type="dxa"/>
            <w:shd w:val="clear" w:color="auto" w:fill="auto"/>
            <w:vAlign w:val="center"/>
          </w:tcPr>
          <w:p w14:paraId="413B9BB6" w14:textId="77777777" w:rsidR="007B690E" w:rsidRPr="007B690E" w:rsidRDefault="007B690E" w:rsidP="007B690E">
            <w:pPr>
              <w:widowControl w:val="0"/>
              <w:tabs>
                <w:tab w:val="left" w:pos="213"/>
              </w:tabs>
              <w:spacing w:after="0" w:line="240" w:lineRule="auto"/>
              <w:rPr>
                <w:rFonts w:ascii="Arial" w:eastAsia="Calibri" w:hAnsi="Arial" w:cs="Arial"/>
                <w:bCs/>
                <w:sz w:val="16"/>
                <w:szCs w:val="16"/>
              </w:rPr>
            </w:pPr>
            <w:r w:rsidRPr="007B690E">
              <w:rPr>
                <w:rFonts w:ascii="Arial" w:eastAsia="Calibri" w:hAnsi="Arial" w:cs="Arial"/>
                <w:bCs/>
                <w:sz w:val="16"/>
                <w:szCs w:val="16"/>
              </w:rPr>
              <w:t>Portaria MPS 204/2008, art. 5, XVI.</w:t>
            </w:r>
          </w:p>
        </w:tc>
        <w:tc>
          <w:tcPr>
            <w:tcW w:w="1417" w:type="dxa"/>
            <w:vAlign w:val="center"/>
          </w:tcPr>
          <w:p w14:paraId="26D17F5E" w14:textId="77777777" w:rsidR="007B690E" w:rsidRPr="007B690E" w:rsidRDefault="007B690E" w:rsidP="007B690E">
            <w:pPr>
              <w:widowControl w:val="0"/>
              <w:autoSpaceDE w:val="0"/>
              <w:autoSpaceDN w:val="0"/>
              <w:adjustRightInd w:val="0"/>
              <w:spacing w:after="0" w:line="240" w:lineRule="auto"/>
              <w:jc w:val="center"/>
              <w:rPr>
                <w:rFonts w:ascii="Arial" w:eastAsia="Calibri" w:hAnsi="Arial" w:cs="Arial"/>
                <w:bCs/>
                <w:sz w:val="16"/>
                <w:szCs w:val="16"/>
              </w:rPr>
            </w:pPr>
            <w:r w:rsidRPr="007B690E">
              <w:rPr>
                <w:rFonts w:ascii="Arial" w:eastAsia="Calibri" w:hAnsi="Arial" w:cs="Arial"/>
                <w:color w:val="000000"/>
                <w:sz w:val="16"/>
                <w:szCs w:val="16"/>
              </w:rPr>
              <w:t>Auditoria Governamental de conformidade</w:t>
            </w:r>
          </w:p>
        </w:tc>
        <w:tc>
          <w:tcPr>
            <w:tcW w:w="2694" w:type="dxa"/>
            <w:shd w:val="clear" w:color="auto" w:fill="auto"/>
            <w:vAlign w:val="center"/>
          </w:tcPr>
          <w:p w14:paraId="4E10025A" w14:textId="77777777" w:rsidR="007B690E" w:rsidRPr="007B690E" w:rsidRDefault="007B690E" w:rsidP="007B690E">
            <w:pPr>
              <w:widowControl w:val="0"/>
              <w:spacing w:after="0" w:line="240" w:lineRule="auto"/>
              <w:jc w:val="both"/>
              <w:rPr>
                <w:rFonts w:ascii="Arial" w:eastAsia="Calibri" w:hAnsi="Arial" w:cs="Arial"/>
                <w:bCs/>
                <w:sz w:val="16"/>
                <w:szCs w:val="16"/>
              </w:rPr>
            </w:pPr>
            <w:r w:rsidRPr="007B690E">
              <w:rPr>
                <w:rFonts w:ascii="Arial" w:eastAsia="Calibri" w:hAnsi="Arial" w:cs="Arial"/>
                <w:bCs/>
                <w:sz w:val="16"/>
                <w:szCs w:val="16"/>
              </w:rPr>
              <w:t>Verificar o cumprimento das obrigações exigidas pelo MPS com o envio do DRAA, DAIR, DIPR e DPIN e demais informações necessárias para emissão do CRP.</w:t>
            </w:r>
          </w:p>
        </w:tc>
        <w:tc>
          <w:tcPr>
            <w:tcW w:w="1275" w:type="dxa"/>
            <w:shd w:val="clear" w:color="auto" w:fill="auto"/>
            <w:vAlign w:val="center"/>
          </w:tcPr>
          <w:p w14:paraId="5737224B" w14:textId="77777777" w:rsidR="007B690E" w:rsidRPr="007B690E" w:rsidRDefault="007B690E" w:rsidP="007B690E">
            <w:pPr>
              <w:widowControl w:val="0"/>
              <w:spacing w:after="0" w:line="240" w:lineRule="auto"/>
              <w:jc w:val="center"/>
              <w:rPr>
                <w:rFonts w:ascii="Arial" w:eastAsia="Calibri" w:hAnsi="Arial" w:cs="Arial"/>
                <w:bCs/>
                <w:sz w:val="16"/>
                <w:szCs w:val="16"/>
              </w:rPr>
            </w:pPr>
            <w:r w:rsidRPr="007B690E">
              <w:rPr>
                <w:rFonts w:ascii="Arial" w:eastAsia="Calibri" w:hAnsi="Arial" w:cs="Arial"/>
                <w:bCs/>
                <w:sz w:val="16"/>
                <w:szCs w:val="16"/>
              </w:rPr>
              <w:t>Contas de Gestão do RPPS</w:t>
            </w:r>
          </w:p>
        </w:tc>
      </w:tr>
      <w:tr w:rsidR="007B690E" w:rsidRPr="007B690E" w14:paraId="330E067C" w14:textId="77777777" w:rsidTr="007B690E">
        <w:trPr>
          <w:trHeight w:val="771"/>
        </w:trPr>
        <w:tc>
          <w:tcPr>
            <w:tcW w:w="851" w:type="dxa"/>
            <w:vAlign w:val="center"/>
          </w:tcPr>
          <w:p w14:paraId="11ACB588"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2.5.17</w:t>
            </w:r>
          </w:p>
        </w:tc>
        <w:tc>
          <w:tcPr>
            <w:tcW w:w="1417" w:type="dxa"/>
            <w:shd w:val="clear" w:color="auto" w:fill="auto"/>
            <w:vAlign w:val="center"/>
            <w:hideMark/>
          </w:tcPr>
          <w:p w14:paraId="29BCD67C"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Avaliação atuarial - Inicial</w:t>
            </w:r>
          </w:p>
        </w:tc>
        <w:tc>
          <w:tcPr>
            <w:tcW w:w="1418" w:type="dxa"/>
            <w:shd w:val="clear" w:color="auto" w:fill="auto"/>
            <w:vAlign w:val="center"/>
            <w:hideMark/>
          </w:tcPr>
          <w:p w14:paraId="4C7D0FBD"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Art. 40 da CF/88, Lei 9.717/1998, art. 1º, inciso I e art. 69 da LRF</w:t>
            </w:r>
          </w:p>
        </w:tc>
        <w:tc>
          <w:tcPr>
            <w:tcW w:w="1417" w:type="dxa"/>
            <w:vAlign w:val="center"/>
          </w:tcPr>
          <w:p w14:paraId="74D1A471"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Conformidade (Verificação documental)</w:t>
            </w:r>
          </w:p>
        </w:tc>
        <w:tc>
          <w:tcPr>
            <w:tcW w:w="2694" w:type="dxa"/>
            <w:shd w:val="clear" w:color="auto" w:fill="auto"/>
            <w:vAlign w:val="center"/>
            <w:hideMark/>
          </w:tcPr>
          <w:p w14:paraId="299E7AA3"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Avaliar se o ente realizou avaliação atuarial inicial e estudo de viabilidade orçamentária, financeira e de cumprimento dos limites da LRF, com a finalidade de instituir um RPPS.</w:t>
            </w:r>
          </w:p>
        </w:tc>
        <w:tc>
          <w:tcPr>
            <w:tcW w:w="1275" w:type="dxa"/>
            <w:shd w:val="clear" w:color="auto" w:fill="auto"/>
            <w:vAlign w:val="center"/>
            <w:hideMark/>
          </w:tcPr>
          <w:p w14:paraId="3FD39528"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bCs/>
                <w:sz w:val="16"/>
                <w:szCs w:val="16"/>
              </w:rPr>
              <w:t>Contas de Governo</w:t>
            </w:r>
          </w:p>
        </w:tc>
      </w:tr>
      <w:tr w:rsidR="007B690E" w:rsidRPr="007B690E" w14:paraId="6CCDFCAC" w14:textId="77777777" w:rsidTr="007B690E">
        <w:trPr>
          <w:trHeight w:val="771"/>
        </w:trPr>
        <w:tc>
          <w:tcPr>
            <w:tcW w:w="851" w:type="dxa"/>
            <w:vAlign w:val="center"/>
          </w:tcPr>
          <w:p w14:paraId="3C1B8C8D"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rPr>
              <w:t>2.5.18</w:t>
            </w:r>
          </w:p>
        </w:tc>
        <w:tc>
          <w:tcPr>
            <w:tcW w:w="1417" w:type="dxa"/>
            <w:shd w:val="clear" w:color="auto" w:fill="auto"/>
            <w:vAlign w:val="center"/>
            <w:hideMark/>
          </w:tcPr>
          <w:p w14:paraId="07EBDE55" w14:textId="77777777" w:rsidR="007B690E" w:rsidRPr="007B690E" w:rsidRDefault="007B690E" w:rsidP="007B690E">
            <w:pPr>
              <w:widowControl w:val="0"/>
              <w:spacing w:after="0" w:line="240" w:lineRule="auto"/>
              <w:jc w:val="center"/>
              <w:rPr>
                <w:rFonts w:ascii="Arial" w:eastAsia="Calibri" w:hAnsi="Arial" w:cs="Arial"/>
                <w:color w:val="000000"/>
                <w:sz w:val="16"/>
                <w:szCs w:val="16"/>
                <w:lang w:val="en-US"/>
              </w:rPr>
            </w:pPr>
            <w:r w:rsidRPr="007B690E">
              <w:rPr>
                <w:rFonts w:ascii="Arial" w:eastAsia="Calibri" w:hAnsi="Arial" w:cs="Arial"/>
                <w:color w:val="000000"/>
                <w:sz w:val="16"/>
                <w:szCs w:val="16"/>
                <w:lang w:val="en-US"/>
              </w:rPr>
              <w:t>Avaliação atuarial – reavaliação anual</w:t>
            </w:r>
          </w:p>
        </w:tc>
        <w:tc>
          <w:tcPr>
            <w:tcW w:w="1418" w:type="dxa"/>
            <w:shd w:val="clear" w:color="auto" w:fill="auto"/>
            <w:vAlign w:val="center"/>
            <w:hideMark/>
          </w:tcPr>
          <w:p w14:paraId="7EBD25F0"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Art. 40 da CF/88, Lei 9.717/1998, art. 1º, inciso I e art. 69 da LRF</w:t>
            </w:r>
          </w:p>
        </w:tc>
        <w:tc>
          <w:tcPr>
            <w:tcW w:w="1417" w:type="dxa"/>
            <w:vAlign w:val="center"/>
          </w:tcPr>
          <w:p w14:paraId="396557D5"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color w:val="000000"/>
                <w:sz w:val="16"/>
                <w:szCs w:val="16"/>
              </w:rPr>
              <w:t>Conformidade (Verificação documental)</w:t>
            </w:r>
          </w:p>
        </w:tc>
        <w:tc>
          <w:tcPr>
            <w:tcW w:w="2694" w:type="dxa"/>
            <w:shd w:val="clear" w:color="auto" w:fill="auto"/>
            <w:vAlign w:val="center"/>
            <w:hideMark/>
          </w:tcPr>
          <w:p w14:paraId="7FE752BA" w14:textId="77777777" w:rsidR="007B690E" w:rsidRPr="007B690E" w:rsidRDefault="007B690E" w:rsidP="007B690E">
            <w:pPr>
              <w:widowControl w:val="0"/>
              <w:spacing w:after="0" w:line="240" w:lineRule="auto"/>
              <w:jc w:val="both"/>
              <w:rPr>
                <w:rFonts w:ascii="Arial" w:eastAsia="Calibri" w:hAnsi="Arial" w:cs="Arial"/>
                <w:color w:val="000000"/>
                <w:sz w:val="16"/>
                <w:szCs w:val="16"/>
              </w:rPr>
            </w:pPr>
            <w:r w:rsidRPr="007B690E">
              <w:rPr>
                <w:rFonts w:ascii="Arial" w:eastAsia="Calibri" w:hAnsi="Arial" w:cs="Arial"/>
                <w:color w:val="000000"/>
                <w:sz w:val="16"/>
                <w:szCs w:val="16"/>
              </w:rPr>
              <w:t>Avaliar se o Regime Próprio de Previdência Social realizou em cada balanço a reavaliação do seu plano de custeio/benefícios e a verificação da manutenção do equilíbrio financeiro e atuarial do RPPS.</w:t>
            </w:r>
          </w:p>
        </w:tc>
        <w:tc>
          <w:tcPr>
            <w:tcW w:w="1275" w:type="dxa"/>
            <w:shd w:val="clear" w:color="auto" w:fill="auto"/>
            <w:vAlign w:val="center"/>
            <w:hideMark/>
          </w:tcPr>
          <w:p w14:paraId="685DAD4B" w14:textId="77777777" w:rsidR="007B690E" w:rsidRPr="007B690E" w:rsidRDefault="007B690E" w:rsidP="007B690E">
            <w:pPr>
              <w:widowControl w:val="0"/>
              <w:spacing w:after="0" w:line="240" w:lineRule="auto"/>
              <w:jc w:val="center"/>
              <w:rPr>
                <w:rFonts w:ascii="Arial" w:eastAsia="Calibri" w:hAnsi="Arial" w:cs="Arial"/>
                <w:color w:val="000000"/>
                <w:sz w:val="16"/>
                <w:szCs w:val="16"/>
              </w:rPr>
            </w:pPr>
            <w:r w:rsidRPr="007B690E">
              <w:rPr>
                <w:rFonts w:ascii="Arial" w:eastAsia="Calibri" w:hAnsi="Arial" w:cs="Arial"/>
                <w:bCs/>
                <w:sz w:val="16"/>
                <w:szCs w:val="16"/>
              </w:rPr>
              <w:t>Contas de Gestão do RPPS</w:t>
            </w:r>
          </w:p>
        </w:tc>
      </w:tr>
      <w:tr w:rsidR="007B690E" w:rsidRPr="007B690E" w14:paraId="264813FF" w14:textId="77777777" w:rsidTr="007B690E">
        <w:trPr>
          <w:trHeight w:val="613"/>
        </w:trPr>
        <w:tc>
          <w:tcPr>
            <w:tcW w:w="851" w:type="dxa"/>
            <w:vAlign w:val="center"/>
          </w:tcPr>
          <w:p w14:paraId="356337F0" w14:textId="77777777" w:rsidR="007B690E" w:rsidRPr="007B690E" w:rsidRDefault="007B690E" w:rsidP="007B690E">
            <w:pPr>
              <w:widowControl w:val="0"/>
              <w:spacing w:after="0" w:line="240" w:lineRule="auto"/>
              <w:jc w:val="center"/>
              <w:rPr>
                <w:rFonts w:ascii="Arial" w:eastAsia="Calibri" w:hAnsi="Arial" w:cs="Arial"/>
                <w:bCs/>
                <w:sz w:val="16"/>
                <w:szCs w:val="16"/>
              </w:rPr>
            </w:pPr>
            <w:r w:rsidRPr="007B690E">
              <w:rPr>
                <w:rFonts w:ascii="Arial" w:eastAsia="Calibri" w:hAnsi="Arial" w:cs="Arial"/>
                <w:color w:val="000000"/>
                <w:sz w:val="16"/>
                <w:szCs w:val="16"/>
              </w:rPr>
              <w:t>2.5.19</w:t>
            </w:r>
          </w:p>
        </w:tc>
        <w:tc>
          <w:tcPr>
            <w:tcW w:w="1417" w:type="dxa"/>
            <w:shd w:val="clear" w:color="auto" w:fill="auto"/>
            <w:vAlign w:val="center"/>
          </w:tcPr>
          <w:p w14:paraId="3A65C9EE" w14:textId="77777777" w:rsidR="007B690E" w:rsidRPr="007B690E" w:rsidRDefault="007B690E" w:rsidP="007B690E">
            <w:pPr>
              <w:widowControl w:val="0"/>
              <w:spacing w:after="0" w:line="240" w:lineRule="auto"/>
              <w:jc w:val="center"/>
              <w:rPr>
                <w:rFonts w:ascii="Arial" w:eastAsia="Calibri" w:hAnsi="Arial" w:cs="Arial"/>
                <w:bCs/>
                <w:sz w:val="16"/>
                <w:szCs w:val="16"/>
                <w:lang w:val="en-US"/>
              </w:rPr>
            </w:pPr>
            <w:r w:rsidRPr="007B690E">
              <w:rPr>
                <w:rFonts w:ascii="Arial" w:eastAsia="Calibri" w:hAnsi="Arial" w:cs="Arial"/>
                <w:bCs/>
                <w:sz w:val="16"/>
                <w:szCs w:val="16"/>
                <w:lang w:val="en-US"/>
              </w:rPr>
              <w:t>Cálculo atuarial – data base</w:t>
            </w:r>
          </w:p>
        </w:tc>
        <w:tc>
          <w:tcPr>
            <w:tcW w:w="1418" w:type="dxa"/>
            <w:shd w:val="clear" w:color="auto" w:fill="auto"/>
            <w:vAlign w:val="center"/>
          </w:tcPr>
          <w:p w14:paraId="6E007DD5" w14:textId="77777777" w:rsidR="007B690E" w:rsidRPr="007B690E" w:rsidRDefault="007B690E" w:rsidP="007B690E">
            <w:pPr>
              <w:widowControl w:val="0"/>
              <w:spacing w:after="0" w:line="240" w:lineRule="auto"/>
              <w:jc w:val="center"/>
              <w:rPr>
                <w:rFonts w:ascii="Arial" w:eastAsia="Calibri" w:hAnsi="Arial" w:cs="Arial"/>
                <w:bCs/>
                <w:sz w:val="16"/>
                <w:szCs w:val="16"/>
                <w:highlight w:val="yellow"/>
              </w:rPr>
            </w:pPr>
            <w:r w:rsidRPr="007B690E">
              <w:rPr>
                <w:rFonts w:ascii="Arial" w:eastAsia="Calibri" w:hAnsi="Arial" w:cs="Arial"/>
                <w:color w:val="000000"/>
                <w:sz w:val="16"/>
                <w:szCs w:val="16"/>
              </w:rPr>
              <w:t>Art. 40 da CF/88, Lei 9.717/1998, art. 1º, inciso I e art. 69 da LRF, normas brasileiras de contabilidade e regime de competência</w:t>
            </w:r>
          </w:p>
        </w:tc>
        <w:tc>
          <w:tcPr>
            <w:tcW w:w="1417" w:type="dxa"/>
            <w:vAlign w:val="center"/>
          </w:tcPr>
          <w:p w14:paraId="23E8546F" w14:textId="77777777" w:rsidR="007B690E" w:rsidRPr="007B690E" w:rsidRDefault="007B690E" w:rsidP="007B690E">
            <w:pPr>
              <w:widowControl w:val="0"/>
              <w:spacing w:after="0" w:line="240" w:lineRule="auto"/>
              <w:jc w:val="center"/>
              <w:rPr>
                <w:rFonts w:ascii="Arial" w:eastAsia="Calibri" w:hAnsi="Arial" w:cs="Arial"/>
                <w:bCs/>
                <w:sz w:val="16"/>
                <w:szCs w:val="16"/>
                <w:lang w:val="en-US"/>
              </w:rPr>
            </w:pPr>
            <w:r w:rsidRPr="007B690E">
              <w:rPr>
                <w:rFonts w:ascii="Arial" w:eastAsia="Calibri" w:hAnsi="Arial" w:cs="Arial"/>
                <w:color w:val="000000"/>
                <w:sz w:val="16"/>
                <w:szCs w:val="16"/>
              </w:rPr>
              <w:t>Conformidade (Verificação documental)</w:t>
            </w:r>
          </w:p>
        </w:tc>
        <w:tc>
          <w:tcPr>
            <w:tcW w:w="2694" w:type="dxa"/>
            <w:shd w:val="clear" w:color="auto" w:fill="auto"/>
            <w:vAlign w:val="center"/>
          </w:tcPr>
          <w:p w14:paraId="22FBEA23" w14:textId="77777777" w:rsidR="007B690E" w:rsidRPr="007B690E" w:rsidRDefault="007B690E" w:rsidP="007B690E">
            <w:pPr>
              <w:widowControl w:val="0"/>
              <w:spacing w:after="0" w:line="240" w:lineRule="auto"/>
              <w:jc w:val="both"/>
              <w:rPr>
                <w:rFonts w:ascii="Arial" w:eastAsia="Calibri" w:hAnsi="Arial" w:cs="Arial"/>
                <w:bCs/>
                <w:sz w:val="16"/>
                <w:szCs w:val="16"/>
              </w:rPr>
            </w:pPr>
            <w:r w:rsidRPr="007B690E">
              <w:rPr>
                <w:rFonts w:ascii="Arial" w:eastAsia="Calibri" w:hAnsi="Arial" w:cs="Arial"/>
                <w:bCs/>
                <w:sz w:val="16"/>
                <w:szCs w:val="16"/>
              </w:rPr>
              <w:t>Verificar se o RPPS realiza calculo atuarial com data base coincidente com a data base das demonstrações contábeis do exercício</w:t>
            </w:r>
          </w:p>
        </w:tc>
        <w:tc>
          <w:tcPr>
            <w:tcW w:w="1275" w:type="dxa"/>
            <w:shd w:val="clear" w:color="auto" w:fill="auto"/>
            <w:vAlign w:val="center"/>
          </w:tcPr>
          <w:p w14:paraId="355202F4" w14:textId="77777777" w:rsidR="007B690E" w:rsidRPr="007B690E" w:rsidRDefault="007B690E" w:rsidP="007B690E">
            <w:pPr>
              <w:widowControl w:val="0"/>
              <w:spacing w:after="0" w:line="240" w:lineRule="auto"/>
              <w:jc w:val="center"/>
              <w:rPr>
                <w:rFonts w:ascii="Arial" w:eastAsia="Calibri" w:hAnsi="Arial" w:cs="Arial"/>
                <w:bCs/>
                <w:sz w:val="16"/>
                <w:szCs w:val="16"/>
              </w:rPr>
            </w:pPr>
            <w:r w:rsidRPr="007B690E">
              <w:rPr>
                <w:rFonts w:ascii="Arial" w:eastAsia="Calibri" w:hAnsi="Arial" w:cs="Arial"/>
                <w:bCs/>
                <w:sz w:val="16"/>
                <w:szCs w:val="16"/>
              </w:rPr>
              <w:t>Contas de Gestão do RPPS</w:t>
            </w:r>
          </w:p>
        </w:tc>
      </w:tr>
      <w:tr w:rsidR="007B690E" w:rsidRPr="007B690E" w14:paraId="74C6A276" w14:textId="77777777" w:rsidTr="007B690E">
        <w:trPr>
          <w:trHeight w:val="613"/>
        </w:trPr>
        <w:tc>
          <w:tcPr>
            <w:tcW w:w="851" w:type="dxa"/>
            <w:vAlign w:val="center"/>
          </w:tcPr>
          <w:p w14:paraId="3633F0CF" w14:textId="77777777" w:rsidR="007B690E" w:rsidRPr="007B690E" w:rsidRDefault="007B690E" w:rsidP="007B690E">
            <w:pPr>
              <w:widowControl w:val="0"/>
              <w:spacing w:after="0" w:line="240" w:lineRule="auto"/>
              <w:jc w:val="center"/>
              <w:rPr>
                <w:rFonts w:ascii="Arial" w:eastAsia="Calibri" w:hAnsi="Arial" w:cs="Arial"/>
                <w:sz w:val="16"/>
                <w:szCs w:val="16"/>
              </w:rPr>
            </w:pPr>
            <w:r w:rsidRPr="007B690E">
              <w:rPr>
                <w:rFonts w:ascii="Arial" w:eastAsia="Calibri" w:hAnsi="Arial" w:cs="Arial"/>
                <w:color w:val="000000"/>
                <w:sz w:val="16"/>
                <w:szCs w:val="16"/>
              </w:rPr>
              <w:t>2.5.20</w:t>
            </w:r>
          </w:p>
        </w:tc>
        <w:tc>
          <w:tcPr>
            <w:tcW w:w="1417" w:type="dxa"/>
            <w:shd w:val="clear" w:color="auto" w:fill="auto"/>
            <w:vAlign w:val="center"/>
          </w:tcPr>
          <w:p w14:paraId="01AA0082" w14:textId="77777777" w:rsidR="007B690E" w:rsidRPr="007B690E" w:rsidRDefault="007B690E" w:rsidP="007B690E">
            <w:pPr>
              <w:widowControl w:val="0"/>
              <w:spacing w:after="0" w:line="240" w:lineRule="auto"/>
              <w:rPr>
                <w:rFonts w:ascii="Arial" w:eastAsia="Calibri" w:hAnsi="Arial" w:cs="Arial"/>
                <w:sz w:val="16"/>
                <w:szCs w:val="16"/>
              </w:rPr>
            </w:pPr>
            <w:r w:rsidRPr="007B690E">
              <w:rPr>
                <w:rFonts w:ascii="Arial" w:eastAsia="Calibri" w:hAnsi="Arial" w:cs="Arial"/>
                <w:sz w:val="16"/>
                <w:szCs w:val="16"/>
              </w:rPr>
              <w:t>Plano de Amortização – instituição por lei</w:t>
            </w:r>
          </w:p>
        </w:tc>
        <w:tc>
          <w:tcPr>
            <w:tcW w:w="1418" w:type="dxa"/>
            <w:shd w:val="clear" w:color="auto" w:fill="auto"/>
            <w:vAlign w:val="center"/>
          </w:tcPr>
          <w:p w14:paraId="71E21D64" w14:textId="77777777" w:rsidR="007B690E" w:rsidRPr="007B690E" w:rsidRDefault="007B690E" w:rsidP="007B690E">
            <w:pPr>
              <w:widowControl w:val="0"/>
              <w:tabs>
                <w:tab w:val="left" w:pos="213"/>
              </w:tabs>
              <w:spacing w:after="0" w:line="240" w:lineRule="auto"/>
              <w:rPr>
                <w:rFonts w:ascii="Arial" w:eastAsia="Calibri" w:hAnsi="Arial" w:cs="Arial"/>
                <w:bCs/>
                <w:sz w:val="16"/>
                <w:szCs w:val="16"/>
              </w:rPr>
            </w:pPr>
            <w:r w:rsidRPr="007B690E">
              <w:rPr>
                <w:rFonts w:ascii="Arial" w:eastAsia="Calibri" w:hAnsi="Arial" w:cs="Arial"/>
                <w:color w:val="000000"/>
                <w:sz w:val="16"/>
                <w:szCs w:val="16"/>
              </w:rPr>
              <w:t>Art. 40 da CF/88, Lei 9.717/1998, art. 1º, inciso I e art. 69 da LRF</w:t>
            </w:r>
            <w:r w:rsidRPr="007B690E">
              <w:rPr>
                <w:rFonts w:ascii="Arial" w:eastAsia="Calibri" w:hAnsi="Arial" w:cs="Arial"/>
                <w:bCs/>
                <w:sz w:val="16"/>
                <w:szCs w:val="16"/>
              </w:rPr>
              <w:t>. Portaria MPS 403/2008, art. 18, §1º.</w:t>
            </w:r>
          </w:p>
        </w:tc>
        <w:tc>
          <w:tcPr>
            <w:tcW w:w="1417" w:type="dxa"/>
            <w:vAlign w:val="center"/>
          </w:tcPr>
          <w:p w14:paraId="0A8E7EF1" w14:textId="77777777" w:rsidR="007B690E" w:rsidRPr="007B690E" w:rsidRDefault="007B690E" w:rsidP="007B690E">
            <w:pPr>
              <w:widowControl w:val="0"/>
              <w:spacing w:after="0" w:line="240" w:lineRule="auto"/>
              <w:jc w:val="center"/>
              <w:rPr>
                <w:rFonts w:ascii="Arial" w:eastAsia="Calibri" w:hAnsi="Arial" w:cs="Arial"/>
                <w:sz w:val="16"/>
                <w:szCs w:val="16"/>
              </w:rPr>
            </w:pPr>
            <w:r w:rsidRPr="007B690E">
              <w:rPr>
                <w:rFonts w:ascii="Arial" w:eastAsia="Calibri" w:hAnsi="Arial" w:cs="Arial"/>
                <w:color w:val="000000"/>
                <w:sz w:val="16"/>
                <w:szCs w:val="16"/>
              </w:rPr>
              <w:t>Conformidade (Verificação documental)</w:t>
            </w:r>
          </w:p>
        </w:tc>
        <w:tc>
          <w:tcPr>
            <w:tcW w:w="2694" w:type="dxa"/>
            <w:shd w:val="clear" w:color="auto" w:fill="auto"/>
            <w:vAlign w:val="center"/>
          </w:tcPr>
          <w:p w14:paraId="17A89B13" w14:textId="77777777" w:rsidR="007B690E" w:rsidRPr="007B690E" w:rsidRDefault="007B690E" w:rsidP="007B690E">
            <w:pPr>
              <w:widowControl w:val="0"/>
              <w:spacing w:after="0" w:line="240" w:lineRule="auto"/>
              <w:jc w:val="both"/>
              <w:rPr>
                <w:rFonts w:ascii="Arial" w:eastAsia="Calibri" w:hAnsi="Arial" w:cs="Arial"/>
                <w:sz w:val="16"/>
                <w:szCs w:val="16"/>
              </w:rPr>
            </w:pPr>
            <w:r w:rsidRPr="007B690E">
              <w:rPr>
                <w:rFonts w:ascii="Arial" w:eastAsia="Calibri" w:hAnsi="Arial" w:cs="Arial"/>
                <w:sz w:val="16"/>
                <w:szCs w:val="16"/>
              </w:rPr>
              <w:t>Verificar se foi instituído por lei plano de amortização para equacionamento do déficit atuarial com prazo máximo de 35 anos.</w:t>
            </w:r>
          </w:p>
        </w:tc>
        <w:tc>
          <w:tcPr>
            <w:tcW w:w="1275" w:type="dxa"/>
            <w:shd w:val="clear" w:color="auto" w:fill="auto"/>
            <w:vAlign w:val="center"/>
          </w:tcPr>
          <w:p w14:paraId="3A51F23B" w14:textId="77777777" w:rsidR="007B690E" w:rsidRPr="007B690E" w:rsidRDefault="007B690E" w:rsidP="007B690E">
            <w:pPr>
              <w:widowControl w:val="0"/>
              <w:spacing w:after="0" w:line="240" w:lineRule="auto"/>
              <w:jc w:val="center"/>
              <w:rPr>
                <w:rFonts w:ascii="Calibri" w:eastAsia="Calibri" w:hAnsi="Calibri" w:cs="Times New Roman"/>
              </w:rPr>
            </w:pPr>
            <w:r w:rsidRPr="007B690E">
              <w:rPr>
                <w:rFonts w:ascii="Arial" w:eastAsia="Calibri" w:hAnsi="Arial" w:cs="Arial"/>
                <w:bCs/>
                <w:sz w:val="16"/>
                <w:szCs w:val="16"/>
              </w:rPr>
              <w:t>Contas de Gestão do RPPS</w:t>
            </w:r>
          </w:p>
        </w:tc>
      </w:tr>
      <w:tr w:rsidR="007B690E" w:rsidRPr="007B690E" w14:paraId="30F9F99F" w14:textId="77777777" w:rsidTr="007B690E">
        <w:trPr>
          <w:trHeight w:val="613"/>
        </w:trPr>
        <w:tc>
          <w:tcPr>
            <w:tcW w:w="851" w:type="dxa"/>
            <w:vAlign w:val="center"/>
          </w:tcPr>
          <w:p w14:paraId="035391B1" w14:textId="77777777" w:rsidR="007B690E" w:rsidRPr="007B690E" w:rsidRDefault="007B690E" w:rsidP="007B690E">
            <w:pPr>
              <w:widowControl w:val="0"/>
              <w:spacing w:after="0" w:line="240" w:lineRule="auto"/>
              <w:jc w:val="center"/>
              <w:rPr>
                <w:rFonts w:ascii="Arial" w:eastAsia="Calibri" w:hAnsi="Arial" w:cs="Arial"/>
                <w:sz w:val="16"/>
                <w:szCs w:val="16"/>
              </w:rPr>
            </w:pPr>
            <w:r w:rsidRPr="007B690E">
              <w:rPr>
                <w:rFonts w:ascii="Arial" w:eastAsia="Calibri" w:hAnsi="Arial" w:cs="Arial"/>
                <w:color w:val="000000"/>
                <w:sz w:val="16"/>
                <w:szCs w:val="16"/>
              </w:rPr>
              <w:t>2.5.21</w:t>
            </w:r>
          </w:p>
        </w:tc>
        <w:tc>
          <w:tcPr>
            <w:tcW w:w="1417" w:type="dxa"/>
            <w:shd w:val="clear" w:color="auto" w:fill="auto"/>
            <w:vAlign w:val="center"/>
          </w:tcPr>
          <w:p w14:paraId="3808DA7D" w14:textId="77777777" w:rsidR="007B690E" w:rsidRPr="007B690E" w:rsidRDefault="007B690E" w:rsidP="007B690E">
            <w:pPr>
              <w:widowControl w:val="0"/>
              <w:spacing w:after="0" w:line="240" w:lineRule="auto"/>
              <w:rPr>
                <w:rFonts w:ascii="Arial" w:eastAsia="Calibri" w:hAnsi="Arial" w:cs="Arial"/>
                <w:sz w:val="16"/>
                <w:szCs w:val="16"/>
              </w:rPr>
            </w:pPr>
            <w:r w:rsidRPr="007B690E">
              <w:rPr>
                <w:rFonts w:ascii="Arial" w:eastAsia="Calibri" w:hAnsi="Arial" w:cs="Arial"/>
                <w:sz w:val="16"/>
                <w:szCs w:val="16"/>
              </w:rPr>
              <w:t>Plano de Amortização – estudo de viabilidade</w:t>
            </w:r>
          </w:p>
        </w:tc>
        <w:tc>
          <w:tcPr>
            <w:tcW w:w="1418" w:type="dxa"/>
            <w:shd w:val="clear" w:color="auto" w:fill="auto"/>
            <w:vAlign w:val="center"/>
          </w:tcPr>
          <w:p w14:paraId="46B2C72D" w14:textId="77777777" w:rsidR="007B690E" w:rsidRPr="007B690E" w:rsidRDefault="007B690E" w:rsidP="007B690E">
            <w:pPr>
              <w:widowControl w:val="0"/>
              <w:tabs>
                <w:tab w:val="left" w:pos="213"/>
              </w:tabs>
              <w:spacing w:after="0" w:line="240" w:lineRule="auto"/>
              <w:rPr>
                <w:rFonts w:ascii="Arial" w:eastAsia="Calibri" w:hAnsi="Arial" w:cs="Arial"/>
                <w:bCs/>
                <w:sz w:val="16"/>
                <w:szCs w:val="16"/>
              </w:rPr>
            </w:pPr>
            <w:r w:rsidRPr="007B690E">
              <w:rPr>
                <w:rFonts w:ascii="Arial" w:eastAsia="Calibri" w:hAnsi="Arial" w:cs="Arial"/>
                <w:bCs/>
                <w:sz w:val="16"/>
                <w:szCs w:val="16"/>
              </w:rPr>
              <w:t>Art. 40 da CF/88, art. 1º e 69 da LRF. Portaria MPS 403/2008, art. 19 e 20.</w:t>
            </w:r>
          </w:p>
        </w:tc>
        <w:tc>
          <w:tcPr>
            <w:tcW w:w="1417" w:type="dxa"/>
            <w:vAlign w:val="center"/>
          </w:tcPr>
          <w:p w14:paraId="538FEB0E" w14:textId="77777777" w:rsidR="007B690E" w:rsidRPr="007B690E" w:rsidRDefault="007B690E" w:rsidP="007B690E">
            <w:pPr>
              <w:widowControl w:val="0"/>
              <w:spacing w:after="0" w:line="240" w:lineRule="auto"/>
              <w:jc w:val="center"/>
              <w:rPr>
                <w:rFonts w:ascii="Arial" w:eastAsia="Calibri" w:hAnsi="Arial" w:cs="Arial"/>
                <w:sz w:val="16"/>
                <w:szCs w:val="16"/>
              </w:rPr>
            </w:pPr>
            <w:r w:rsidRPr="007B690E">
              <w:rPr>
                <w:rFonts w:ascii="Arial" w:eastAsia="Calibri" w:hAnsi="Arial" w:cs="Arial"/>
                <w:color w:val="000000"/>
                <w:sz w:val="16"/>
                <w:szCs w:val="16"/>
              </w:rPr>
              <w:t>Conformidade (Verificação documental)</w:t>
            </w:r>
          </w:p>
        </w:tc>
        <w:tc>
          <w:tcPr>
            <w:tcW w:w="2694" w:type="dxa"/>
            <w:shd w:val="clear" w:color="auto" w:fill="auto"/>
            <w:vAlign w:val="center"/>
          </w:tcPr>
          <w:p w14:paraId="53394C87" w14:textId="77777777" w:rsidR="007B690E" w:rsidRPr="007B690E" w:rsidRDefault="007B690E" w:rsidP="007B690E">
            <w:pPr>
              <w:widowControl w:val="0"/>
              <w:spacing w:after="0" w:line="240" w:lineRule="auto"/>
              <w:jc w:val="both"/>
              <w:rPr>
                <w:rFonts w:ascii="Arial" w:eastAsia="Calibri" w:hAnsi="Arial" w:cs="Arial"/>
                <w:sz w:val="16"/>
                <w:szCs w:val="16"/>
              </w:rPr>
            </w:pPr>
            <w:r w:rsidRPr="007B690E">
              <w:rPr>
                <w:rFonts w:ascii="Arial" w:eastAsia="Calibri" w:hAnsi="Arial" w:cs="Arial"/>
                <w:sz w:val="16"/>
                <w:szCs w:val="16"/>
              </w:rPr>
              <w:t>Verificar se foi elaborado estudo de viabilidade orçamentária, financeira e de cumprimento dos limites de despesas de pessoal, por todo o período de duração do plano de amortização do déficit atuarial.</w:t>
            </w:r>
          </w:p>
          <w:p w14:paraId="5839CC14" w14:textId="77777777" w:rsidR="007B690E" w:rsidRPr="007B690E" w:rsidRDefault="007B690E" w:rsidP="007B690E">
            <w:pPr>
              <w:widowControl w:val="0"/>
              <w:spacing w:after="0" w:line="240" w:lineRule="auto"/>
              <w:jc w:val="both"/>
              <w:rPr>
                <w:rFonts w:ascii="Arial" w:eastAsia="Calibri" w:hAnsi="Arial" w:cs="Arial"/>
                <w:sz w:val="16"/>
                <w:szCs w:val="16"/>
              </w:rPr>
            </w:pPr>
          </w:p>
          <w:p w14:paraId="3C5710D4" w14:textId="77777777" w:rsidR="007B690E" w:rsidRPr="007B690E" w:rsidRDefault="007B690E" w:rsidP="007B690E">
            <w:pPr>
              <w:widowControl w:val="0"/>
              <w:spacing w:after="0" w:line="240" w:lineRule="auto"/>
              <w:jc w:val="both"/>
              <w:rPr>
                <w:rFonts w:ascii="Arial" w:eastAsia="Calibri" w:hAnsi="Arial" w:cs="Arial"/>
                <w:sz w:val="16"/>
                <w:szCs w:val="16"/>
              </w:rPr>
            </w:pPr>
          </w:p>
        </w:tc>
        <w:tc>
          <w:tcPr>
            <w:tcW w:w="1275" w:type="dxa"/>
            <w:shd w:val="clear" w:color="auto" w:fill="auto"/>
            <w:vAlign w:val="center"/>
          </w:tcPr>
          <w:p w14:paraId="732D6EA1" w14:textId="77777777" w:rsidR="007B690E" w:rsidRPr="007B690E" w:rsidRDefault="007B690E" w:rsidP="007B690E">
            <w:pPr>
              <w:widowControl w:val="0"/>
              <w:spacing w:after="0" w:line="240" w:lineRule="auto"/>
              <w:jc w:val="center"/>
              <w:rPr>
                <w:rFonts w:ascii="Calibri" w:eastAsia="Calibri" w:hAnsi="Calibri" w:cs="Times New Roman"/>
              </w:rPr>
            </w:pPr>
            <w:r w:rsidRPr="007B690E">
              <w:rPr>
                <w:rFonts w:ascii="Arial" w:eastAsia="Calibri" w:hAnsi="Arial" w:cs="Arial"/>
                <w:bCs/>
                <w:sz w:val="16"/>
                <w:szCs w:val="16"/>
              </w:rPr>
              <w:t>Contas de Gestão do RPPS</w:t>
            </w:r>
          </w:p>
        </w:tc>
      </w:tr>
      <w:tr w:rsidR="007B690E" w:rsidRPr="007B690E" w14:paraId="2E8DB9D9" w14:textId="77777777" w:rsidTr="007B690E">
        <w:trPr>
          <w:trHeight w:val="613"/>
        </w:trPr>
        <w:tc>
          <w:tcPr>
            <w:tcW w:w="851" w:type="dxa"/>
            <w:vAlign w:val="center"/>
          </w:tcPr>
          <w:p w14:paraId="00EA083B" w14:textId="77777777" w:rsidR="007B690E" w:rsidRPr="007B690E" w:rsidRDefault="007B690E" w:rsidP="007B690E">
            <w:pPr>
              <w:widowControl w:val="0"/>
              <w:spacing w:after="0" w:line="240" w:lineRule="auto"/>
              <w:jc w:val="center"/>
              <w:rPr>
                <w:rFonts w:ascii="Arial" w:eastAsia="Calibri" w:hAnsi="Arial" w:cs="Arial"/>
                <w:bCs/>
                <w:sz w:val="16"/>
                <w:szCs w:val="16"/>
              </w:rPr>
            </w:pPr>
            <w:r w:rsidRPr="007B690E">
              <w:rPr>
                <w:rFonts w:ascii="Arial" w:eastAsia="Calibri" w:hAnsi="Arial" w:cs="Arial"/>
                <w:color w:val="000000"/>
                <w:sz w:val="16"/>
                <w:szCs w:val="16"/>
              </w:rPr>
              <w:t>2.5.22</w:t>
            </w:r>
          </w:p>
        </w:tc>
        <w:tc>
          <w:tcPr>
            <w:tcW w:w="1417" w:type="dxa"/>
            <w:shd w:val="clear" w:color="auto" w:fill="auto"/>
            <w:vAlign w:val="center"/>
          </w:tcPr>
          <w:p w14:paraId="2D4A6D24" w14:textId="77777777" w:rsidR="007B690E" w:rsidRPr="007B690E" w:rsidRDefault="007B690E" w:rsidP="007B690E">
            <w:pPr>
              <w:widowControl w:val="0"/>
              <w:spacing w:after="0" w:line="240" w:lineRule="auto"/>
              <w:jc w:val="center"/>
              <w:rPr>
                <w:rFonts w:ascii="Arial" w:eastAsia="Calibri" w:hAnsi="Arial" w:cs="Arial"/>
                <w:bCs/>
                <w:sz w:val="16"/>
                <w:szCs w:val="16"/>
              </w:rPr>
            </w:pPr>
            <w:r w:rsidRPr="007B690E">
              <w:rPr>
                <w:rFonts w:ascii="Arial" w:eastAsia="Calibri" w:hAnsi="Arial" w:cs="Arial"/>
                <w:bCs/>
                <w:sz w:val="16"/>
                <w:szCs w:val="16"/>
              </w:rPr>
              <w:t>Contabilização da amortização do déficit atuarial</w:t>
            </w:r>
          </w:p>
        </w:tc>
        <w:tc>
          <w:tcPr>
            <w:tcW w:w="1418" w:type="dxa"/>
            <w:shd w:val="clear" w:color="auto" w:fill="auto"/>
            <w:vAlign w:val="center"/>
          </w:tcPr>
          <w:p w14:paraId="1B49D047" w14:textId="77777777" w:rsidR="007B690E" w:rsidRPr="007B690E" w:rsidRDefault="007B690E" w:rsidP="007B690E">
            <w:pPr>
              <w:widowControl w:val="0"/>
              <w:tabs>
                <w:tab w:val="left" w:pos="213"/>
              </w:tabs>
              <w:spacing w:after="0" w:line="240" w:lineRule="auto"/>
              <w:rPr>
                <w:rFonts w:ascii="Arial" w:eastAsia="Calibri" w:hAnsi="Arial" w:cs="Arial"/>
                <w:bCs/>
                <w:sz w:val="16"/>
                <w:szCs w:val="16"/>
              </w:rPr>
            </w:pPr>
            <w:r w:rsidRPr="007B690E">
              <w:rPr>
                <w:rFonts w:ascii="Arial" w:eastAsia="Calibri" w:hAnsi="Arial" w:cs="Arial"/>
                <w:bCs/>
                <w:sz w:val="16"/>
                <w:szCs w:val="16"/>
              </w:rPr>
              <w:t>MCASP e Portaria MPS 403/2008, art. 17.</w:t>
            </w:r>
          </w:p>
        </w:tc>
        <w:tc>
          <w:tcPr>
            <w:tcW w:w="1417" w:type="dxa"/>
            <w:vAlign w:val="center"/>
          </w:tcPr>
          <w:p w14:paraId="79C7FCBC" w14:textId="77777777" w:rsidR="007B690E" w:rsidRPr="007B690E" w:rsidRDefault="007B690E" w:rsidP="007B690E">
            <w:pPr>
              <w:widowControl w:val="0"/>
              <w:autoSpaceDE w:val="0"/>
              <w:autoSpaceDN w:val="0"/>
              <w:adjustRightInd w:val="0"/>
              <w:spacing w:after="0" w:line="240" w:lineRule="auto"/>
              <w:jc w:val="center"/>
              <w:rPr>
                <w:rFonts w:ascii="Arial" w:eastAsia="Calibri" w:hAnsi="Arial" w:cs="Arial"/>
                <w:bCs/>
                <w:sz w:val="16"/>
                <w:szCs w:val="16"/>
              </w:rPr>
            </w:pPr>
            <w:r w:rsidRPr="007B690E">
              <w:rPr>
                <w:rFonts w:ascii="Arial" w:eastAsia="Calibri" w:hAnsi="Arial" w:cs="Arial"/>
                <w:bCs/>
                <w:sz w:val="16"/>
                <w:szCs w:val="16"/>
              </w:rPr>
              <w:t>Conformidade (Verificação documental)</w:t>
            </w:r>
          </w:p>
        </w:tc>
        <w:tc>
          <w:tcPr>
            <w:tcW w:w="2694" w:type="dxa"/>
            <w:shd w:val="clear" w:color="auto" w:fill="auto"/>
            <w:vAlign w:val="center"/>
          </w:tcPr>
          <w:p w14:paraId="08379EB1" w14:textId="77777777" w:rsidR="007B690E" w:rsidRPr="007B690E" w:rsidRDefault="007B690E" w:rsidP="007B690E">
            <w:pPr>
              <w:widowControl w:val="0"/>
              <w:spacing w:after="0" w:line="240" w:lineRule="auto"/>
              <w:jc w:val="both"/>
              <w:rPr>
                <w:rFonts w:ascii="Arial" w:eastAsia="Calibri" w:hAnsi="Arial" w:cs="Arial"/>
                <w:bCs/>
                <w:sz w:val="16"/>
                <w:szCs w:val="16"/>
              </w:rPr>
            </w:pPr>
            <w:r w:rsidRPr="007B690E">
              <w:rPr>
                <w:rFonts w:ascii="Arial" w:eastAsia="Calibri" w:hAnsi="Arial" w:cs="Arial"/>
                <w:bCs/>
                <w:sz w:val="16"/>
                <w:szCs w:val="16"/>
              </w:rPr>
              <w:t>Verificar se houve a correta contabilização dos repasses das amortizações do déficit ao RPPS pela Unidade Gestora devedora, bem como do reconhecimento da receita pelo RPPS em conta específica do plano de contas.</w:t>
            </w:r>
          </w:p>
        </w:tc>
        <w:tc>
          <w:tcPr>
            <w:tcW w:w="1275" w:type="dxa"/>
            <w:shd w:val="clear" w:color="auto" w:fill="auto"/>
            <w:vAlign w:val="center"/>
          </w:tcPr>
          <w:p w14:paraId="58CF94D6" w14:textId="77777777" w:rsidR="007B690E" w:rsidRPr="007B690E" w:rsidRDefault="007B690E" w:rsidP="007B690E">
            <w:pPr>
              <w:widowControl w:val="0"/>
              <w:spacing w:after="0" w:line="240" w:lineRule="auto"/>
              <w:jc w:val="center"/>
              <w:rPr>
                <w:rFonts w:ascii="Arial" w:eastAsia="Calibri" w:hAnsi="Arial" w:cs="Arial"/>
                <w:bCs/>
                <w:sz w:val="16"/>
                <w:szCs w:val="16"/>
              </w:rPr>
            </w:pPr>
            <w:r w:rsidRPr="007B690E">
              <w:rPr>
                <w:rFonts w:ascii="Arial" w:eastAsia="Calibri" w:hAnsi="Arial" w:cs="Arial"/>
                <w:bCs/>
                <w:sz w:val="16"/>
                <w:szCs w:val="16"/>
              </w:rPr>
              <w:t>Contas de Gestão das UG´s vinculadas ao RPPS</w:t>
            </w:r>
          </w:p>
        </w:tc>
      </w:tr>
      <w:tr w:rsidR="007B690E" w:rsidRPr="007B690E" w14:paraId="37A21A3F" w14:textId="77777777" w:rsidTr="007B690E">
        <w:trPr>
          <w:trHeight w:val="613"/>
        </w:trPr>
        <w:tc>
          <w:tcPr>
            <w:tcW w:w="851" w:type="dxa"/>
            <w:vAlign w:val="center"/>
          </w:tcPr>
          <w:p w14:paraId="0E1F8716" w14:textId="77777777" w:rsidR="007B690E" w:rsidRPr="007B690E" w:rsidRDefault="007B690E" w:rsidP="007B690E">
            <w:pPr>
              <w:widowControl w:val="0"/>
              <w:spacing w:after="0" w:line="240" w:lineRule="auto"/>
              <w:jc w:val="center"/>
              <w:rPr>
                <w:rFonts w:ascii="Arial" w:eastAsia="Calibri" w:hAnsi="Arial" w:cs="Arial"/>
                <w:sz w:val="16"/>
                <w:szCs w:val="16"/>
              </w:rPr>
            </w:pPr>
            <w:r w:rsidRPr="007B690E">
              <w:rPr>
                <w:rFonts w:ascii="Arial" w:eastAsia="Calibri" w:hAnsi="Arial" w:cs="Arial"/>
                <w:color w:val="000000"/>
                <w:sz w:val="16"/>
                <w:szCs w:val="16"/>
              </w:rPr>
              <w:t>2.5.23</w:t>
            </w:r>
          </w:p>
        </w:tc>
        <w:tc>
          <w:tcPr>
            <w:tcW w:w="1417" w:type="dxa"/>
            <w:shd w:val="clear" w:color="auto" w:fill="auto"/>
            <w:vAlign w:val="center"/>
          </w:tcPr>
          <w:p w14:paraId="6A8E14E1" w14:textId="77777777" w:rsidR="007B690E" w:rsidRPr="007B690E" w:rsidRDefault="007B690E" w:rsidP="007B690E">
            <w:pPr>
              <w:widowControl w:val="0"/>
              <w:spacing w:after="0" w:line="240" w:lineRule="auto"/>
              <w:jc w:val="center"/>
              <w:rPr>
                <w:rFonts w:ascii="Arial" w:eastAsia="Calibri" w:hAnsi="Arial" w:cs="Arial"/>
                <w:sz w:val="16"/>
                <w:szCs w:val="16"/>
              </w:rPr>
            </w:pPr>
            <w:r w:rsidRPr="007B690E">
              <w:rPr>
                <w:rFonts w:ascii="Arial" w:eastAsia="Calibri" w:hAnsi="Arial" w:cs="Arial"/>
                <w:sz w:val="16"/>
                <w:szCs w:val="16"/>
              </w:rPr>
              <w:t>Segregação de planos - estabelecimento por lei</w:t>
            </w:r>
          </w:p>
        </w:tc>
        <w:tc>
          <w:tcPr>
            <w:tcW w:w="1418" w:type="dxa"/>
            <w:shd w:val="clear" w:color="auto" w:fill="auto"/>
            <w:vAlign w:val="center"/>
          </w:tcPr>
          <w:p w14:paraId="67C3FD4A" w14:textId="77777777" w:rsidR="007B690E" w:rsidRPr="007B690E" w:rsidRDefault="007B690E" w:rsidP="007B690E">
            <w:pPr>
              <w:widowControl w:val="0"/>
              <w:tabs>
                <w:tab w:val="left" w:pos="213"/>
              </w:tabs>
              <w:spacing w:after="0" w:line="240" w:lineRule="auto"/>
              <w:rPr>
                <w:rFonts w:ascii="Arial" w:eastAsia="Calibri" w:hAnsi="Arial" w:cs="Arial"/>
                <w:bCs/>
                <w:sz w:val="16"/>
                <w:szCs w:val="16"/>
              </w:rPr>
            </w:pPr>
            <w:r w:rsidRPr="007B690E">
              <w:rPr>
                <w:rFonts w:ascii="Arial" w:eastAsia="Calibri" w:hAnsi="Arial" w:cs="Arial"/>
                <w:bCs/>
                <w:sz w:val="16"/>
                <w:szCs w:val="16"/>
              </w:rPr>
              <w:t xml:space="preserve">Art. 40 da CF/88, art. 1º, 50, III e 69 da LRF. Portaria MPS 403/08, art. 21 caput. </w:t>
            </w:r>
          </w:p>
        </w:tc>
        <w:tc>
          <w:tcPr>
            <w:tcW w:w="1417" w:type="dxa"/>
            <w:vAlign w:val="center"/>
          </w:tcPr>
          <w:p w14:paraId="64D8DBE5" w14:textId="77777777" w:rsidR="007B690E" w:rsidRPr="007B690E" w:rsidRDefault="007B690E" w:rsidP="007B690E">
            <w:pPr>
              <w:widowControl w:val="0"/>
              <w:spacing w:after="0" w:line="240" w:lineRule="auto"/>
              <w:jc w:val="center"/>
              <w:rPr>
                <w:rFonts w:ascii="Arial" w:eastAsia="Calibri" w:hAnsi="Arial" w:cs="Arial"/>
                <w:sz w:val="16"/>
                <w:szCs w:val="16"/>
              </w:rPr>
            </w:pPr>
            <w:r w:rsidRPr="007B690E">
              <w:rPr>
                <w:rFonts w:ascii="Arial" w:eastAsia="Calibri" w:hAnsi="Arial" w:cs="Arial"/>
                <w:color w:val="000000"/>
                <w:sz w:val="16"/>
                <w:szCs w:val="16"/>
              </w:rPr>
              <w:t>Conformidade (Verificação documental)</w:t>
            </w:r>
          </w:p>
        </w:tc>
        <w:tc>
          <w:tcPr>
            <w:tcW w:w="2694" w:type="dxa"/>
            <w:shd w:val="clear" w:color="auto" w:fill="auto"/>
            <w:vAlign w:val="center"/>
          </w:tcPr>
          <w:p w14:paraId="6E78BC20" w14:textId="77777777" w:rsidR="007B690E" w:rsidRPr="007B690E" w:rsidRDefault="007B690E" w:rsidP="007B690E">
            <w:pPr>
              <w:widowControl w:val="0"/>
              <w:spacing w:after="0" w:line="240" w:lineRule="auto"/>
              <w:jc w:val="both"/>
              <w:rPr>
                <w:rFonts w:ascii="Arial" w:eastAsia="Calibri" w:hAnsi="Arial" w:cs="Arial"/>
                <w:sz w:val="16"/>
                <w:szCs w:val="16"/>
              </w:rPr>
            </w:pPr>
            <w:r w:rsidRPr="007B690E">
              <w:rPr>
                <w:rFonts w:ascii="Arial" w:eastAsia="Calibri" w:hAnsi="Arial" w:cs="Arial"/>
                <w:sz w:val="16"/>
                <w:szCs w:val="16"/>
              </w:rPr>
              <w:t>Verificar se houve separação financeira, orçamentária e contábil do Plano Financeiro e do Plano Previdenciário foi implementada por lei, e que permita a emissão de demonstrações contábeis segregadas para cada plano.</w:t>
            </w:r>
          </w:p>
        </w:tc>
        <w:tc>
          <w:tcPr>
            <w:tcW w:w="1275" w:type="dxa"/>
            <w:shd w:val="clear" w:color="auto" w:fill="auto"/>
            <w:vAlign w:val="center"/>
          </w:tcPr>
          <w:p w14:paraId="28D612F5" w14:textId="77777777" w:rsidR="007B690E" w:rsidRPr="007B690E" w:rsidRDefault="007B690E" w:rsidP="007B690E">
            <w:pPr>
              <w:widowControl w:val="0"/>
              <w:spacing w:after="0" w:line="240" w:lineRule="auto"/>
              <w:jc w:val="center"/>
              <w:rPr>
                <w:rFonts w:ascii="Calibri" w:eastAsia="Calibri" w:hAnsi="Calibri" w:cs="Times New Roman"/>
              </w:rPr>
            </w:pPr>
            <w:r w:rsidRPr="007B690E">
              <w:rPr>
                <w:rFonts w:ascii="Arial" w:eastAsia="Calibri" w:hAnsi="Arial" w:cs="Arial"/>
                <w:bCs/>
                <w:sz w:val="16"/>
                <w:szCs w:val="16"/>
              </w:rPr>
              <w:t>Contas de Gestão do RPPS</w:t>
            </w:r>
          </w:p>
        </w:tc>
      </w:tr>
      <w:tr w:rsidR="007B690E" w:rsidRPr="007B690E" w14:paraId="1C07A1BE" w14:textId="77777777" w:rsidTr="007B690E">
        <w:trPr>
          <w:trHeight w:val="613"/>
        </w:trPr>
        <w:tc>
          <w:tcPr>
            <w:tcW w:w="851" w:type="dxa"/>
            <w:vAlign w:val="center"/>
          </w:tcPr>
          <w:p w14:paraId="60D5A32C" w14:textId="77777777" w:rsidR="007B690E" w:rsidRPr="007B690E" w:rsidRDefault="007B690E" w:rsidP="007B690E">
            <w:pPr>
              <w:widowControl w:val="0"/>
              <w:spacing w:after="0" w:line="240" w:lineRule="auto"/>
              <w:jc w:val="center"/>
              <w:rPr>
                <w:rFonts w:ascii="Arial" w:eastAsia="Calibri" w:hAnsi="Arial" w:cs="Arial"/>
                <w:sz w:val="16"/>
                <w:szCs w:val="16"/>
              </w:rPr>
            </w:pPr>
            <w:r w:rsidRPr="007B690E">
              <w:rPr>
                <w:rFonts w:ascii="Arial" w:eastAsia="Calibri" w:hAnsi="Arial" w:cs="Arial"/>
                <w:color w:val="000000"/>
                <w:sz w:val="16"/>
                <w:szCs w:val="16"/>
              </w:rPr>
              <w:t>2.5.24</w:t>
            </w:r>
          </w:p>
        </w:tc>
        <w:tc>
          <w:tcPr>
            <w:tcW w:w="1417" w:type="dxa"/>
            <w:shd w:val="clear" w:color="auto" w:fill="auto"/>
            <w:vAlign w:val="center"/>
          </w:tcPr>
          <w:p w14:paraId="7EE1C957" w14:textId="77777777" w:rsidR="007B690E" w:rsidRPr="007B690E" w:rsidRDefault="007B690E" w:rsidP="007B690E">
            <w:pPr>
              <w:widowControl w:val="0"/>
              <w:spacing w:after="0" w:line="240" w:lineRule="auto"/>
              <w:jc w:val="center"/>
              <w:rPr>
                <w:rFonts w:ascii="Arial" w:eastAsia="Calibri" w:hAnsi="Arial" w:cs="Arial"/>
                <w:sz w:val="16"/>
                <w:szCs w:val="16"/>
              </w:rPr>
            </w:pPr>
            <w:r w:rsidRPr="007B690E">
              <w:rPr>
                <w:rFonts w:ascii="Arial" w:eastAsia="Calibri" w:hAnsi="Arial" w:cs="Arial"/>
                <w:sz w:val="16"/>
                <w:szCs w:val="16"/>
              </w:rPr>
              <w:t>Transferência de recursos entre Fundo Previdenciário para o Financeiro.</w:t>
            </w:r>
          </w:p>
        </w:tc>
        <w:tc>
          <w:tcPr>
            <w:tcW w:w="1418" w:type="dxa"/>
            <w:shd w:val="clear" w:color="auto" w:fill="auto"/>
            <w:vAlign w:val="center"/>
          </w:tcPr>
          <w:p w14:paraId="36F60033" w14:textId="77777777" w:rsidR="007B690E" w:rsidRPr="007B690E" w:rsidRDefault="007B690E" w:rsidP="007B690E">
            <w:pPr>
              <w:widowControl w:val="0"/>
              <w:tabs>
                <w:tab w:val="left" w:pos="213"/>
              </w:tabs>
              <w:spacing w:after="0" w:line="240" w:lineRule="auto"/>
              <w:rPr>
                <w:rFonts w:ascii="Arial" w:eastAsia="Calibri" w:hAnsi="Arial" w:cs="Arial"/>
                <w:bCs/>
                <w:sz w:val="16"/>
                <w:szCs w:val="16"/>
              </w:rPr>
            </w:pPr>
            <w:r w:rsidRPr="007B690E">
              <w:rPr>
                <w:rFonts w:ascii="Arial" w:eastAsia="Calibri" w:hAnsi="Arial" w:cs="Arial"/>
                <w:bCs/>
                <w:sz w:val="16"/>
                <w:szCs w:val="16"/>
              </w:rPr>
              <w:t>Art. 40 da CF/88, art. 1º e 69 da LRF. Portaria MPS 403/2008, art. 21 § 2º;</w:t>
            </w:r>
          </w:p>
        </w:tc>
        <w:tc>
          <w:tcPr>
            <w:tcW w:w="1417" w:type="dxa"/>
            <w:vAlign w:val="center"/>
          </w:tcPr>
          <w:p w14:paraId="16726618" w14:textId="77777777" w:rsidR="007B690E" w:rsidRPr="007B690E" w:rsidRDefault="007B690E" w:rsidP="007B690E">
            <w:pPr>
              <w:widowControl w:val="0"/>
              <w:spacing w:after="0" w:line="240" w:lineRule="auto"/>
              <w:jc w:val="center"/>
              <w:rPr>
                <w:rFonts w:ascii="Arial" w:eastAsia="Calibri" w:hAnsi="Arial" w:cs="Arial"/>
                <w:sz w:val="16"/>
                <w:szCs w:val="16"/>
              </w:rPr>
            </w:pPr>
            <w:r w:rsidRPr="007B690E">
              <w:rPr>
                <w:rFonts w:ascii="Arial" w:eastAsia="Calibri" w:hAnsi="Arial" w:cs="Arial"/>
                <w:color w:val="000000"/>
                <w:sz w:val="16"/>
                <w:szCs w:val="16"/>
                <w:lang w:val="en-US"/>
              </w:rPr>
              <w:t>Auditoria Governamental de conformidade</w:t>
            </w:r>
          </w:p>
        </w:tc>
        <w:tc>
          <w:tcPr>
            <w:tcW w:w="2694" w:type="dxa"/>
            <w:shd w:val="clear" w:color="auto" w:fill="auto"/>
            <w:vAlign w:val="center"/>
          </w:tcPr>
          <w:p w14:paraId="3DC357B9" w14:textId="77777777" w:rsidR="007B690E" w:rsidRPr="007B690E" w:rsidRDefault="007B690E" w:rsidP="007B690E">
            <w:pPr>
              <w:widowControl w:val="0"/>
              <w:spacing w:after="0" w:line="240" w:lineRule="auto"/>
              <w:jc w:val="both"/>
              <w:rPr>
                <w:rFonts w:ascii="Arial" w:eastAsia="Calibri" w:hAnsi="Arial" w:cs="Arial"/>
                <w:sz w:val="16"/>
                <w:szCs w:val="16"/>
              </w:rPr>
            </w:pPr>
            <w:r w:rsidRPr="007B690E">
              <w:rPr>
                <w:rFonts w:ascii="Arial" w:eastAsia="Calibri" w:hAnsi="Arial" w:cs="Arial"/>
                <w:sz w:val="16"/>
                <w:szCs w:val="16"/>
              </w:rPr>
              <w:t>Verificar se houve transferência de recursos entre os fundos, financeiro e previdenciário, seja recurso financeiro, orçamentário ou de contribuições e até de segurados.</w:t>
            </w:r>
          </w:p>
        </w:tc>
        <w:tc>
          <w:tcPr>
            <w:tcW w:w="1275" w:type="dxa"/>
            <w:shd w:val="clear" w:color="auto" w:fill="auto"/>
            <w:vAlign w:val="center"/>
          </w:tcPr>
          <w:p w14:paraId="0A09261B" w14:textId="77777777" w:rsidR="007B690E" w:rsidRPr="007B690E" w:rsidRDefault="007B690E" w:rsidP="007B690E">
            <w:pPr>
              <w:widowControl w:val="0"/>
              <w:spacing w:after="0" w:line="240" w:lineRule="auto"/>
              <w:jc w:val="center"/>
              <w:rPr>
                <w:rFonts w:ascii="Calibri" w:eastAsia="Calibri" w:hAnsi="Calibri" w:cs="Times New Roman"/>
              </w:rPr>
            </w:pPr>
            <w:r w:rsidRPr="007B690E">
              <w:rPr>
                <w:rFonts w:ascii="Arial" w:eastAsia="Calibri" w:hAnsi="Arial" w:cs="Arial"/>
                <w:bCs/>
                <w:sz w:val="16"/>
                <w:szCs w:val="16"/>
              </w:rPr>
              <w:t>Contas de Gestão do RPPS</w:t>
            </w:r>
          </w:p>
        </w:tc>
      </w:tr>
      <w:tr w:rsidR="007B690E" w:rsidRPr="007B690E" w14:paraId="69A16223" w14:textId="77777777" w:rsidTr="007B690E">
        <w:trPr>
          <w:trHeight w:val="613"/>
        </w:trPr>
        <w:tc>
          <w:tcPr>
            <w:tcW w:w="851" w:type="dxa"/>
            <w:vAlign w:val="center"/>
          </w:tcPr>
          <w:p w14:paraId="6BD4B7E2" w14:textId="77777777" w:rsidR="007B690E" w:rsidRPr="007B690E" w:rsidRDefault="007B690E" w:rsidP="007B690E">
            <w:pPr>
              <w:widowControl w:val="0"/>
              <w:spacing w:after="0" w:line="240" w:lineRule="auto"/>
              <w:jc w:val="center"/>
              <w:rPr>
                <w:rFonts w:ascii="Arial" w:eastAsia="Calibri" w:hAnsi="Arial" w:cs="Arial"/>
                <w:bCs/>
                <w:sz w:val="16"/>
                <w:szCs w:val="16"/>
              </w:rPr>
            </w:pPr>
            <w:r w:rsidRPr="007B690E">
              <w:rPr>
                <w:rFonts w:ascii="Arial" w:eastAsia="Calibri" w:hAnsi="Arial" w:cs="Arial"/>
                <w:color w:val="000000"/>
                <w:sz w:val="16"/>
                <w:szCs w:val="16"/>
              </w:rPr>
              <w:lastRenderedPageBreak/>
              <w:t>2.5.25</w:t>
            </w:r>
          </w:p>
        </w:tc>
        <w:tc>
          <w:tcPr>
            <w:tcW w:w="1417" w:type="dxa"/>
            <w:shd w:val="clear" w:color="auto" w:fill="auto"/>
            <w:vAlign w:val="center"/>
          </w:tcPr>
          <w:p w14:paraId="5A9F4C57" w14:textId="77777777" w:rsidR="007B690E" w:rsidRPr="007B690E" w:rsidRDefault="007B690E" w:rsidP="007B690E">
            <w:pPr>
              <w:widowControl w:val="0"/>
              <w:spacing w:after="0" w:line="240" w:lineRule="auto"/>
              <w:jc w:val="center"/>
              <w:rPr>
                <w:rFonts w:ascii="Arial" w:eastAsia="Calibri" w:hAnsi="Arial" w:cs="Arial"/>
                <w:bCs/>
                <w:sz w:val="16"/>
                <w:szCs w:val="16"/>
              </w:rPr>
            </w:pPr>
            <w:r w:rsidRPr="007B690E">
              <w:rPr>
                <w:rFonts w:ascii="Arial" w:eastAsia="Calibri" w:hAnsi="Arial" w:cs="Arial"/>
                <w:bCs/>
                <w:sz w:val="16"/>
                <w:szCs w:val="16"/>
              </w:rPr>
              <w:t>Recadastramento dos inativos e pensionistas</w:t>
            </w:r>
          </w:p>
        </w:tc>
        <w:tc>
          <w:tcPr>
            <w:tcW w:w="1418" w:type="dxa"/>
            <w:shd w:val="clear" w:color="auto" w:fill="auto"/>
            <w:vAlign w:val="center"/>
          </w:tcPr>
          <w:p w14:paraId="2C408D88" w14:textId="77777777" w:rsidR="007B690E" w:rsidRPr="007B690E" w:rsidRDefault="007B690E" w:rsidP="007B690E">
            <w:pPr>
              <w:widowControl w:val="0"/>
              <w:tabs>
                <w:tab w:val="left" w:pos="213"/>
              </w:tabs>
              <w:spacing w:after="0" w:line="240" w:lineRule="auto"/>
              <w:rPr>
                <w:rFonts w:ascii="Arial" w:eastAsia="Calibri" w:hAnsi="Arial" w:cs="Arial"/>
                <w:bCs/>
                <w:sz w:val="16"/>
                <w:szCs w:val="16"/>
              </w:rPr>
            </w:pPr>
            <w:r w:rsidRPr="007B690E">
              <w:rPr>
                <w:rFonts w:ascii="Arial" w:eastAsia="Calibri" w:hAnsi="Arial" w:cs="Arial"/>
                <w:bCs/>
                <w:sz w:val="16"/>
                <w:szCs w:val="16"/>
              </w:rPr>
              <w:t>Lei Federal 10.887/2004, em seu art. 9º, inciso II. Portaria MPS 403/2008, arts. 12 a 14.</w:t>
            </w:r>
          </w:p>
        </w:tc>
        <w:tc>
          <w:tcPr>
            <w:tcW w:w="1417" w:type="dxa"/>
            <w:vAlign w:val="center"/>
          </w:tcPr>
          <w:p w14:paraId="438271C6" w14:textId="77777777" w:rsidR="007B690E" w:rsidRPr="007B690E" w:rsidRDefault="007B690E" w:rsidP="007B690E">
            <w:pPr>
              <w:widowControl w:val="0"/>
              <w:spacing w:after="0" w:line="240" w:lineRule="auto"/>
              <w:jc w:val="center"/>
              <w:rPr>
                <w:rFonts w:ascii="Arial" w:eastAsia="Calibri" w:hAnsi="Arial" w:cs="Arial"/>
                <w:bCs/>
                <w:sz w:val="16"/>
                <w:szCs w:val="16"/>
              </w:rPr>
            </w:pPr>
            <w:r w:rsidRPr="007B690E">
              <w:rPr>
                <w:rFonts w:ascii="Arial" w:eastAsia="Calibri" w:hAnsi="Arial" w:cs="Arial"/>
                <w:color w:val="000000"/>
                <w:sz w:val="16"/>
                <w:szCs w:val="16"/>
                <w:lang w:val="en-US"/>
              </w:rPr>
              <w:t>Auditoria Governamental de conformidade</w:t>
            </w:r>
          </w:p>
        </w:tc>
        <w:tc>
          <w:tcPr>
            <w:tcW w:w="2694" w:type="dxa"/>
            <w:shd w:val="clear" w:color="auto" w:fill="auto"/>
            <w:vAlign w:val="center"/>
          </w:tcPr>
          <w:p w14:paraId="7E538AD3" w14:textId="77777777" w:rsidR="007B690E" w:rsidRPr="007B690E" w:rsidRDefault="007B690E" w:rsidP="007B690E">
            <w:pPr>
              <w:widowControl w:val="0"/>
              <w:spacing w:after="0" w:line="240" w:lineRule="auto"/>
              <w:jc w:val="both"/>
              <w:rPr>
                <w:rFonts w:ascii="Arial" w:eastAsia="Calibri" w:hAnsi="Arial" w:cs="Arial"/>
                <w:bCs/>
                <w:sz w:val="16"/>
                <w:szCs w:val="16"/>
              </w:rPr>
            </w:pPr>
            <w:r w:rsidRPr="007B690E">
              <w:rPr>
                <w:rFonts w:ascii="Arial" w:eastAsia="Calibri" w:hAnsi="Arial" w:cs="Arial"/>
                <w:bCs/>
                <w:sz w:val="16"/>
                <w:szCs w:val="16"/>
              </w:rPr>
              <w:t>Verificar se o RPPS realiza recadastramento anual dos aposentados e pensionistas, com a atualização de todos os dados cadastrais necessários para manutenção de base de dados adequada, e não apenas “prova de vida”.</w:t>
            </w:r>
          </w:p>
        </w:tc>
        <w:tc>
          <w:tcPr>
            <w:tcW w:w="1275" w:type="dxa"/>
            <w:shd w:val="clear" w:color="auto" w:fill="auto"/>
            <w:vAlign w:val="center"/>
          </w:tcPr>
          <w:p w14:paraId="6601AEF2" w14:textId="77777777" w:rsidR="007B690E" w:rsidRPr="007B690E" w:rsidRDefault="007B690E" w:rsidP="007B690E">
            <w:pPr>
              <w:widowControl w:val="0"/>
              <w:spacing w:after="0" w:line="240" w:lineRule="auto"/>
              <w:jc w:val="center"/>
              <w:rPr>
                <w:rFonts w:ascii="Calibri" w:eastAsia="Calibri" w:hAnsi="Calibri" w:cs="Times New Roman"/>
              </w:rPr>
            </w:pPr>
            <w:r w:rsidRPr="007B690E">
              <w:rPr>
                <w:rFonts w:ascii="Arial" w:eastAsia="Calibri" w:hAnsi="Arial" w:cs="Arial"/>
                <w:bCs/>
                <w:sz w:val="16"/>
                <w:szCs w:val="16"/>
              </w:rPr>
              <w:t>Contas de Gestão do RPPS</w:t>
            </w:r>
          </w:p>
        </w:tc>
      </w:tr>
      <w:tr w:rsidR="007B690E" w:rsidRPr="007B690E" w14:paraId="0656E4E6" w14:textId="77777777" w:rsidTr="007B690E">
        <w:trPr>
          <w:trHeight w:val="613"/>
        </w:trPr>
        <w:tc>
          <w:tcPr>
            <w:tcW w:w="851" w:type="dxa"/>
            <w:vAlign w:val="center"/>
          </w:tcPr>
          <w:p w14:paraId="6F3ECBF4" w14:textId="77777777" w:rsidR="007B690E" w:rsidRPr="007B690E" w:rsidRDefault="007B690E" w:rsidP="007B690E">
            <w:pPr>
              <w:widowControl w:val="0"/>
              <w:spacing w:after="0" w:line="240" w:lineRule="auto"/>
              <w:jc w:val="center"/>
              <w:rPr>
                <w:rFonts w:ascii="Arial" w:eastAsia="Calibri" w:hAnsi="Arial" w:cs="Arial"/>
                <w:bCs/>
                <w:sz w:val="16"/>
                <w:szCs w:val="16"/>
              </w:rPr>
            </w:pPr>
            <w:r w:rsidRPr="007B690E">
              <w:rPr>
                <w:rFonts w:ascii="Arial" w:eastAsia="Calibri" w:hAnsi="Arial" w:cs="Arial"/>
                <w:color w:val="000000"/>
                <w:sz w:val="16"/>
                <w:szCs w:val="16"/>
              </w:rPr>
              <w:t>2.5.26</w:t>
            </w:r>
          </w:p>
        </w:tc>
        <w:tc>
          <w:tcPr>
            <w:tcW w:w="1417" w:type="dxa"/>
            <w:shd w:val="clear" w:color="auto" w:fill="auto"/>
            <w:vAlign w:val="center"/>
          </w:tcPr>
          <w:p w14:paraId="5723376A" w14:textId="77777777" w:rsidR="007B690E" w:rsidRPr="007B690E" w:rsidRDefault="007B690E" w:rsidP="007B690E">
            <w:pPr>
              <w:widowControl w:val="0"/>
              <w:spacing w:after="0" w:line="240" w:lineRule="auto"/>
              <w:jc w:val="center"/>
              <w:rPr>
                <w:rFonts w:ascii="Arial" w:eastAsia="Calibri" w:hAnsi="Arial" w:cs="Arial"/>
                <w:bCs/>
                <w:sz w:val="16"/>
                <w:szCs w:val="16"/>
                <w:lang w:val="en-US"/>
              </w:rPr>
            </w:pPr>
            <w:r w:rsidRPr="007B690E">
              <w:rPr>
                <w:rFonts w:ascii="Arial" w:eastAsia="Calibri" w:hAnsi="Arial" w:cs="Arial"/>
                <w:bCs/>
                <w:sz w:val="16"/>
                <w:szCs w:val="16"/>
                <w:lang w:val="en-US"/>
              </w:rPr>
              <w:t>Censo Atuarial</w:t>
            </w:r>
          </w:p>
        </w:tc>
        <w:tc>
          <w:tcPr>
            <w:tcW w:w="1418" w:type="dxa"/>
            <w:shd w:val="clear" w:color="auto" w:fill="auto"/>
            <w:vAlign w:val="center"/>
          </w:tcPr>
          <w:p w14:paraId="7D11CD5F" w14:textId="77777777" w:rsidR="007B690E" w:rsidRPr="007B690E" w:rsidRDefault="007B690E" w:rsidP="007B690E">
            <w:pPr>
              <w:widowControl w:val="0"/>
              <w:tabs>
                <w:tab w:val="left" w:pos="213"/>
              </w:tabs>
              <w:spacing w:after="0" w:line="240" w:lineRule="auto"/>
              <w:rPr>
                <w:rFonts w:ascii="Arial" w:eastAsia="Calibri" w:hAnsi="Arial" w:cs="Arial"/>
                <w:bCs/>
                <w:sz w:val="16"/>
                <w:szCs w:val="16"/>
                <w:lang w:val="en-US"/>
              </w:rPr>
            </w:pPr>
            <w:r w:rsidRPr="007B690E">
              <w:rPr>
                <w:rFonts w:ascii="Arial" w:eastAsia="Calibri" w:hAnsi="Arial" w:cs="Arial"/>
                <w:bCs/>
                <w:sz w:val="16"/>
                <w:szCs w:val="16"/>
                <w:lang w:val="en-US"/>
              </w:rPr>
              <w:t>Lei Federal 10.887/2004, art. 3º.</w:t>
            </w:r>
          </w:p>
          <w:p w14:paraId="2F00BCFC" w14:textId="77777777" w:rsidR="007B690E" w:rsidRPr="007B690E" w:rsidRDefault="007B690E" w:rsidP="007B690E">
            <w:pPr>
              <w:widowControl w:val="0"/>
              <w:tabs>
                <w:tab w:val="left" w:pos="213"/>
              </w:tabs>
              <w:spacing w:after="0" w:line="240" w:lineRule="auto"/>
              <w:rPr>
                <w:rFonts w:ascii="Arial" w:eastAsia="Calibri" w:hAnsi="Arial" w:cs="Arial"/>
                <w:bCs/>
                <w:sz w:val="16"/>
                <w:szCs w:val="16"/>
                <w:lang w:val="en-US"/>
              </w:rPr>
            </w:pPr>
            <w:r w:rsidRPr="007B690E">
              <w:rPr>
                <w:rFonts w:ascii="Arial" w:eastAsia="Calibri" w:hAnsi="Arial" w:cs="Arial"/>
                <w:bCs/>
                <w:sz w:val="16"/>
                <w:szCs w:val="16"/>
                <w:lang w:val="en-US"/>
              </w:rPr>
              <w:t>Portaria MPS 403/2008, art.12.</w:t>
            </w:r>
          </w:p>
        </w:tc>
        <w:tc>
          <w:tcPr>
            <w:tcW w:w="1417" w:type="dxa"/>
            <w:vAlign w:val="center"/>
          </w:tcPr>
          <w:p w14:paraId="4A5ED29B" w14:textId="77777777" w:rsidR="007B690E" w:rsidRPr="007B690E" w:rsidRDefault="007B690E" w:rsidP="007B690E">
            <w:pPr>
              <w:widowControl w:val="0"/>
              <w:spacing w:after="0" w:line="240" w:lineRule="auto"/>
              <w:jc w:val="center"/>
              <w:rPr>
                <w:rFonts w:ascii="Arial" w:eastAsia="Calibri" w:hAnsi="Arial" w:cs="Arial"/>
                <w:bCs/>
                <w:sz w:val="16"/>
                <w:szCs w:val="16"/>
                <w:lang w:val="en-US"/>
              </w:rPr>
            </w:pPr>
            <w:r w:rsidRPr="007B690E">
              <w:rPr>
                <w:rFonts w:ascii="Arial" w:eastAsia="Calibri" w:hAnsi="Arial" w:cs="Arial"/>
                <w:color w:val="000000"/>
                <w:sz w:val="16"/>
                <w:szCs w:val="16"/>
                <w:lang w:val="en-US"/>
              </w:rPr>
              <w:t>Auditoria Governamental de conformidade</w:t>
            </w:r>
          </w:p>
        </w:tc>
        <w:tc>
          <w:tcPr>
            <w:tcW w:w="2694" w:type="dxa"/>
            <w:shd w:val="clear" w:color="auto" w:fill="auto"/>
            <w:vAlign w:val="center"/>
          </w:tcPr>
          <w:p w14:paraId="32C273F4" w14:textId="77777777" w:rsidR="007B690E" w:rsidRPr="007B690E" w:rsidRDefault="007B690E" w:rsidP="007B690E">
            <w:pPr>
              <w:widowControl w:val="0"/>
              <w:spacing w:after="0" w:line="240" w:lineRule="auto"/>
              <w:jc w:val="both"/>
              <w:rPr>
                <w:rFonts w:ascii="Arial" w:eastAsia="Calibri" w:hAnsi="Arial" w:cs="Arial"/>
                <w:bCs/>
                <w:sz w:val="16"/>
                <w:szCs w:val="16"/>
              </w:rPr>
            </w:pPr>
            <w:r w:rsidRPr="007B690E">
              <w:rPr>
                <w:rFonts w:ascii="Arial" w:eastAsia="Calibri" w:hAnsi="Arial" w:cs="Arial"/>
                <w:bCs/>
                <w:sz w:val="16"/>
                <w:szCs w:val="16"/>
              </w:rPr>
              <w:t>Verificar se o ente realiza censo atuarial de todos servidores ativos, aposentados e pensionistas, com a atualização de todos os dados cadastrais necessários para manutenção de base de dados adequada.</w:t>
            </w:r>
          </w:p>
        </w:tc>
        <w:tc>
          <w:tcPr>
            <w:tcW w:w="1275" w:type="dxa"/>
            <w:shd w:val="clear" w:color="auto" w:fill="auto"/>
            <w:vAlign w:val="center"/>
          </w:tcPr>
          <w:p w14:paraId="68E723D7" w14:textId="77777777" w:rsidR="007B690E" w:rsidRPr="007B690E" w:rsidRDefault="007B690E" w:rsidP="007B690E">
            <w:pPr>
              <w:widowControl w:val="0"/>
              <w:spacing w:after="0" w:line="240" w:lineRule="auto"/>
              <w:jc w:val="center"/>
              <w:rPr>
                <w:rFonts w:ascii="Calibri" w:eastAsia="Calibri" w:hAnsi="Calibri" w:cs="Times New Roman"/>
              </w:rPr>
            </w:pPr>
            <w:r w:rsidRPr="007B690E">
              <w:rPr>
                <w:rFonts w:ascii="Arial" w:eastAsia="Calibri" w:hAnsi="Arial" w:cs="Arial"/>
                <w:bCs/>
                <w:sz w:val="16"/>
                <w:szCs w:val="16"/>
              </w:rPr>
              <w:t>Contas de Governo e de Contas de gestão de todas as UG´s</w:t>
            </w:r>
          </w:p>
        </w:tc>
      </w:tr>
      <w:tr w:rsidR="007B690E" w:rsidRPr="007B690E" w14:paraId="3FE84BBA" w14:textId="77777777" w:rsidTr="007B690E">
        <w:trPr>
          <w:trHeight w:val="613"/>
        </w:trPr>
        <w:tc>
          <w:tcPr>
            <w:tcW w:w="851" w:type="dxa"/>
            <w:vAlign w:val="center"/>
          </w:tcPr>
          <w:p w14:paraId="4E97ED59" w14:textId="77777777" w:rsidR="007B690E" w:rsidRPr="007B690E" w:rsidRDefault="007B690E" w:rsidP="007B690E">
            <w:pPr>
              <w:widowControl w:val="0"/>
              <w:spacing w:after="0" w:line="240" w:lineRule="auto"/>
              <w:jc w:val="center"/>
              <w:rPr>
                <w:rFonts w:ascii="Arial" w:eastAsia="Calibri" w:hAnsi="Arial" w:cs="Arial"/>
                <w:bCs/>
                <w:sz w:val="16"/>
                <w:szCs w:val="16"/>
              </w:rPr>
            </w:pPr>
            <w:r w:rsidRPr="007B690E">
              <w:rPr>
                <w:rFonts w:ascii="Arial" w:eastAsia="Calibri" w:hAnsi="Arial" w:cs="Arial"/>
                <w:color w:val="000000"/>
                <w:sz w:val="16"/>
                <w:szCs w:val="16"/>
              </w:rPr>
              <w:t>2.5.27</w:t>
            </w:r>
          </w:p>
        </w:tc>
        <w:tc>
          <w:tcPr>
            <w:tcW w:w="1417" w:type="dxa"/>
            <w:shd w:val="clear" w:color="auto" w:fill="auto"/>
            <w:vAlign w:val="center"/>
          </w:tcPr>
          <w:p w14:paraId="3579461A" w14:textId="77777777" w:rsidR="007B690E" w:rsidRPr="007B690E" w:rsidRDefault="007B690E" w:rsidP="007B690E">
            <w:pPr>
              <w:widowControl w:val="0"/>
              <w:spacing w:after="0" w:line="240" w:lineRule="auto"/>
              <w:jc w:val="center"/>
              <w:rPr>
                <w:rFonts w:ascii="Arial" w:eastAsia="Calibri" w:hAnsi="Arial" w:cs="Arial"/>
                <w:bCs/>
                <w:sz w:val="16"/>
                <w:szCs w:val="16"/>
                <w:lang w:val="en-US"/>
              </w:rPr>
            </w:pPr>
            <w:r w:rsidRPr="007B690E">
              <w:rPr>
                <w:rFonts w:ascii="Arial" w:eastAsia="Calibri" w:hAnsi="Arial" w:cs="Arial"/>
                <w:bCs/>
                <w:sz w:val="16"/>
                <w:szCs w:val="16"/>
                <w:lang w:val="en-US"/>
              </w:rPr>
              <w:t>Hipóteses Atuariais - Definição</w:t>
            </w:r>
          </w:p>
        </w:tc>
        <w:tc>
          <w:tcPr>
            <w:tcW w:w="1418" w:type="dxa"/>
            <w:shd w:val="clear" w:color="auto" w:fill="auto"/>
            <w:vAlign w:val="center"/>
          </w:tcPr>
          <w:p w14:paraId="088313F6" w14:textId="77777777" w:rsidR="007B690E" w:rsidRPr="007B690E" w:rsidRDefault="007B690E" w:rsidP="007B690E">
            <w:pPr>
              <w:widowControl w:val="0"/>
              <w:tabs>
                <w:tab w:val="left" w:pos="213"/>
              </w:tabs>
              <w:spacing w:after="0" w:line="240" w:lineRule="auto"/>
              <w:rPr>
                <w:rFonts w:ascii="Arial" w:eastAsia="Calibri" w:hAnsi="Arial" w:cs="Arial"/>
                <w:bCs/>
                <w:sz w:val="16"/>
                <w:szCs w:val="16"/>
              </w:rPr>
            </w:pPr>
            <w:r w:rsidRPr="007B690E">
              <w:rPr>
                <w:rFonts w:ascii="Arial" w:eastAsia="Calibri" w:hAnsi="Arial" w:cs="Arial"/>
                <w:color w:val="000000"/>
                <w:sz w:val="16"/>
                <w:szCs w:val="16"/>
              </w:rPr>
              <w:t>Art. 40 da CF/88, Lei 9.717/1998, art. 1º, inciso I e art. 69 da LRF</w:t>
            </w:r>
            <w:r w:rsidRPr="007B690E">
              <w:rPr>
                <w:rFonts w:ascii="Arial" w:eastAsia="Calibri" w:hAnsi="Arial" w:cs="Arial"/>
                <w:bCs/>
                <w:sz w:val="16"/>
                <w:szCs w:val="16"/>
              </w:rPr>
              <w:t>. Portaria MPS 403, de 10 de Dezembro de 2008, art. 5º.</w:t>
            </w:r>
          </w:p>
        </w:tc>
        <w:tc>
          <w:tcPr>
            <w:tcW w:w="1417" w:type="dxa"/>
            <w:vAlign w:val="center"/>
          </w:tcPr>
          <w:p w14:paraId="27A186E8" w14:textId="77777777" w:rsidR="007B690E" w:rsidRPr="007B690E" w:rsidRDefault="007B690E" w:rsidP="007B690E">
            <w:pPr>
              <w:widowControl w:val="0"/>
              <w:spacing w:after="0" w:line="240" w:lineRule="auto"/>
              <w:jc w:val="center"/>
              <w:rPr>
                <w:rFonts w:ascii="Arial" w:eastAsia="Calibri" w:hAnsi="Arial" w:cs="Arial"/>
                <w:bCs/>
                <w:sz w:val="16"/>
                <w:szCs w:val="16"/>
              </w:rPr>
            </w:pPr>
            <w:r w:rsidRPr="007B690E">
              <w:rPr>
                <w:rFonts w:ascii="Arial" w:eastAsia="Calibri" w:hAnsi="Arial" w:cs="Arial"/>
                <w:color w:val="000000"/>
                <w:sz w:val="16"/>
                <w:szCs w:val="16"/>
                <w:lang w:val="en-US"/>
              </w:rPr>
              <w:t>Auditoria Governamental de conformidade</w:t>
            </w:r>
          </w:p>
        </w:tc>
        <w:tc>
          <w:tcPr>
            <w:tcW w:w="2694" w:type="dxa"/>
            <w:shd w:val="clear" w:color="auto" w:fill="auto"/>
            <w:vAlign w:val="center"/>
          </w:tcPr>
          <w:p w14:paraId="7AC13125" w14:textId="77777777" w:rsidR="007B690E" w:rsidRPr="007B690E" w:rsidRDefault="007B690E" w:rsidP="007B690E">
            <w:pPr>
              <w:widowControl w:val="0"/>
              <w:spacing w:after="0" w:line="240" w:lineRule="auto"/>
              <w:jc w:val="both"/>
              <w:rPr>
                <w:rFonts w:ascii="Arial" w:eastAsia="Calibri" w:hAnsi="Arial" w:cs="Arial"/>
                <w:bCs/>
                <w:sz w:val="16"/>
                <w:szCs w:val="16"/>
              </w:rPr>
            </w:pPr>
            <w:r w:rsidRPr="007B690E">
              <w:rPr>
                <w:rFonts w:ascii="Arial" w:eastAsia="Calibri" w:hAnsi="Arial" w:cs="Arial"/>
                <w:bCs/>
                <w:sz w:val="16"/>
                <w:szCs w:val="16"/>
              </w:rPr>
              <w:t>Verificar se estão sendo eleitas as hipóteses biométricas, demográficas, econômicas e financeiras mais adequadas às características da massa de segurado e de seus dependentes para o correto dimensionamento dos compromissos futuros do RPPS.</w:t>
            </w:r>
          </w:p>
        </w:tc>
        <w:tc>
          <w:tcPr>
            <w:tcW w:w="1275" w:type="dxa"/>
            <w:shd w:val="clear" w:color="auto" w:fill="auto"/>
            <w:vAlign w:val="center"/>
          </w:tcPr>
          <w:p w14:paraId="6087417D" w14:textId="77777777" w:rsidR="007B690E" w:rsidRPr="007B690E" w:rsidRDefault="007B690E" w:rsidP="007B690E">
            <w:pPr>
              <w:widowControl w:val="0"/>
              <w:spacing w:after="0" w:line="240" w:lineRule="auto"/>
              <w:jc w:val="center"/>
              <w:rPr>
                <w:rFonts w:ascii="Calibri" w:eastAsia="Calibri" w:hAnsi="Calibri" w:cs="Times New Roman"/>
              </w:rPr>
            </w:pPr>
            <w:r w:rsidRPr="007B690E">
              <w:rPr>
                <w:rFonts w:ascii="Arial" w:eastAsia="Calibri" w:hAnsi="Arial" w:cs="Arial"/>
                <w:bCs/>
                <w:sz w:val="16"/>
                <w:szCs w:val="16"/>
              </w:rPr>
              <w:t>Contas de Governo e Contas de Gestão do RPPS</w:t>
            </w:r>
          </w:p>
        </w:tc>
      </w:tr>
      <w:tr w:rsidR="007B690E" w:rsidRPr="007B690E" w14:paraId="50557640" w14:textId="77777777" w:rsidTr="007B690E">
        <w:trPr>
          <w:trHeight w:val="613"/>
        </w:trPr>
        <w:tc>
          <w:tcPr>
            <w:tcW w:w="851" w:type="dxa"/>
            <w:vAlign w:val="center"/>
          </w:tcPr>
          <w:p w14:paraId="4DADE6F3" w14:textId="77777777" w:rsidR="007B690E" w:rsidRPr="007B690E" w:rsidRDefault="007B690E" w:rsidP="007B690E">
            <w:pPr>
              <w:widowControl w:val="0"/>
              <w:spacing w:after="0" w:line="240" w:lineRule="auto"/>
              <w:jc w:val="center"/>
              <w:rPr>
                <w:rFonts w:ascii="Arial" w:eastAsia="Calibri" w:hAnsi="Arial" w:cs="Arial"/>
                <w:bCs/>
                <w:sz w:val="16"/>
                <w:szCs w:val="16"/>
              </w:rPr>
            </w:pPr>
            <w:r w:rsidRPr="007B690E">
              <w:rPr>
                <w:rFonts w:ascii="Arial" w:eastAsia="Calibri" w:hAnsi="Arial" w:cs="Arial"/>
                <w:color w:val="000000"/>
                <w:sz w:val="16"/>
                <w:szCs w:val="16"/>
              </w:rPr>
              <w:t>2.5.28</w:t>
            </w:r>
          </w:p>
        </w:tc>
        <w:tc>
          <w:tcPr>
            <w:tcW w:w="1417" w:type="dxa"/>
            <w:shd w:val="clear" w:color="auto" w:fill="auto"/>
            <w:vAlign w:val="center"/>
          </w:tcPr>
          <w:p w14:paraId="2381E3F4" w14:textId="77777777" w:rsidR="007B690E" w:rsidRPr="007B690E" w:rsidRDefault="007B690E" w:rsidP="007B690E">
            <w:pPr>
              <w:widowControl w:val="0"/>
              <w:spacing w:after="0" w:line="240" w:lineRule="auto"/>
              <w:jc w:val="center"/>
              <w:rPr>
                <w:rFonts w:ascii="Arial" w:eastAsia="Calibri" w:hAnsi="Arial" w:cs="Arial"/>
                <w:bCs/>
                <w:sz w:val="16"/>
                <w:szCs w:val="16"/>
                <w:lang w:val="en-US"/>
              </w:rPr>
            </w:pPr>
            <w:r w:rsidRPr="007B690E">
              <w:rPr>
                <w:rFonts w:ascii="Arial" w:eastAsia="Calibri" w:hAnsi="Arial" w:cs="Arial"/>
                <w:bCs/>
                <w:sz w:val="16"/>
                <w:szCs w:val="16"/>
                <w:lang w:val="en-US"/>
              </w:rPr>
              <w:t>Hipóteses Atuariais – Eleição conjunta</w:t>
            </w:r>
          </w:p>
        </w:tc>
        <w:tc>
          <w:tcPr>
            <w:tcW w:w="1418" w:type="dxa"/>
            <w:shd w:val="clear" w:color="auto" w:fill="auto"/>
            <w:vAlign w:val="center"/>
          </w:tcPr>
          <w:p w14:paraId="4912BBCA" w14:textId="77777777" w:rsidR="007B690E" w:rsidRPr="007B690E" w:rsidRDefault="007B690E" w:rsidP="007B690E">
            <w:pPr>
              <w:widowControl w:val="0"/>
              <w:tabs>
                <w:tab w:val="left" w:pos="213"/>
              </w:tabs>
              <w:spacing w:after="0" w:line="240" w:lineRule="auto"/>
              <w:rPr>
                <w:rFonts w:ascii="Arial" w:eastAsia="Calibri" w:hAnsi="Arial" w:cs="Arial"/>
                <w:bCs/>
                <w:sz w:val="16"/>
                <w:szCs w:val="16"/>
              </w:rPr>
            </w:pPr>
            <w:r w:rsidRPr="007B690E">
              <w:rPr>
                <w:rFonts w:ascii="Arial" w:eastAsia="Calibri" w:hAnsi="Arial" w:cs="Arial"/>
                <w:color w:val="000000"/>
                <w:sz w:val="16"/>
                <w:szCs w:val="16"/>
              </w:rPr>
              <w:t>Art. 40 da CF/88, Lei 9.717/1998, art. 1º, inciso I e art. 69 da LRF</w:t>
            </w:r>
            <w:r w:rsidRPr="007B690E">
              <w:rPr>
                <w:rFonts w:ascii="Arial" w:eastAsia="Calibri" w:hAnsi="Arial" w:cs="Arial"/>
                <w:bCs/>
                <w:sz w:val="16"/>
                <w:szCs w:val="16"/>
              </w:rPr>
              <w:t>. Portaria MPS 403, de 10 de Dezembro de 2008, art. 5º.</w:t>
            </w:r>
          </w:p>
        </w:tc>
        <w:tc>
          <w:tcPr>
            <w:tcW w:w="1417" w:type="dxa"/>
            <w:vAlign w:val="center"/>
          </w:tcPr>
          <w:p w14:paraId="6EBB1E67" w14:textId="77777777" w:rsidR="007B690E" w:rsidRPr="007B690E" w:rsidRDefault="007B690E" w:rsidP="007B690E">
            <w:pPr>
              <w:widowControl w:val="0"/>
              <w:spacing w:after="0" w:line="240" w:lineRule="auto"/>
              <w:jc w:val="center"/>
              <w:rPr>
                <w:rFonts w:ascii="Arial" w:eastAsia="Calibri" w:hAnsi="Arial" w:cs="Arial"/>
                <w:bCs/>
                <w:sz w:val="16"/>
                <w:szCs w:val="16"/>
              </w:rPr>
            </w:pPr>
            <w:r w:rsidRPr="007B690E">
              <w:rPr>
                <w:rFonts w:ascii="Arial" w:eastAsia="Calibri" w:hAnsi="Arial" w:cs="Arial"/>
                <w:color w:val="000000"/>
                <w:sz w:val="16"/>
                <w:szCs w:val="16"/>
                <w:lang w:val="en-US"/>
              </w:rPr>
              <w:t>Auditoria Governamental de conformidade</w:t>
            </w:r>
          </w:p>
        </w:tc>
        <w:tc>
          <w:tcPr>
            <w:tcW w:w="2694" w:type="dxa"/>
            <w:shd w:val="clear" w:color="auto" w:fill="auto"/>
            <w:vAlign w:val="center"/>
          </w:tcPr>
          <w:p w14:paraId="1B8A5672" w14:textId="77777777" w:rsidR="007B690E" w:rsidRPr="007B690E" w:rsidRDefault="007B690E" w:rsidP="007B690E">
            <w:pPr>
              <w:widowControl w:val="0"/>
              <w:spacing w:after="0" w:line="240" w:lineRule="auto"/>
              <w:jc w:val="both"/>
              <w:rPr>
                <w:rFonts w:ascii="Arial" w:eastAsia="Calibri" w:hAnsi="Arial" w:cs="Arial"/>
                <w:bCs/>
                <w:sz w:val="16"/>
                <w:szCs w:val="16"/>
              </w:rPr>
            </w:pPr>
            <w:r w:rsidRPr="007B690E">
              <w:rPr>
                <w:rFonts w:ascii="Arial" w:eastAsia="Calibri" w:hAnsi="Arial" w:cs="Arial"/>
                <w:bCs/>
                <w:sz w:val="16"/>
                <w:szCs w:val="16"/>
              </w:rPr>
              <w:t>Verificar se as hipóteses estão sendo escolhidas conjuntamente pelo ente federativo, a unidade gestora do RPPS e o atuário responsável pela elaboração da avaliação atuarial.</w:t>
            </w:r>
          </w:p>
        </w:tc>
        <w:tc>
          <w:tcPr>
            <w:tcW w:w="1275" w:type="dxa"/>
            <w:shd w:val="clear" w:color="auto" w:fill="auto"/>
            <w:vAlign w:val="center"/>
          </w:tcPr>
          <w:p w14:paraId="2523252A" w14:textId="77777777" w:rsidR="007B690E" w:rsidRPr="007B690E" w:rsidRDefault="007B690E" w:rsidP="007B690E">
            <w:pPr>
              <w:widowControl w:val="0"/>
              <w:spacing w:after="0" w:line="240" w:lineRule="auto"/>
              <w:jc w:val="center"/>
              <w:rPr>
                <w:rFonts w:ascii="Calibri" w:eastAsia="Calibri" w:hAnsi="Calibri" w:cs="Times New Roman"/>
              </w:rPr>
            </w:pPr>
            <w:r w:rsidRPr="007B690E">
              <w:rPr>
                <w:rFonts w:ascii="Arial" w:eastAsia="Calibri" w:hAnsi="Arial" w:cs="Arial"/>
                <w:bCs/>
                <w:sz w:val="16"/>
                <w:szCs w:val="16"/>
              </w:rPr>
              <w:t>Contas de Governo e Contas de Gestão do RPPS</w:t>
            </w:r>
          </w:p>
        </w:tc>
      </w:tr>
      <w:tr w:rsidR="007B690E" w:rsidRPr="007B690E" w14:paraId="4E0D7057" w14:textId="77777777" w:rsidTr="007B690E">
        <w:trPr>
          <w:trHeight w:val="613"/>
        </w:trPr>
        <w:tc>
          <w:tcPr>
            <w:tcW w:w="851" w:type="dxa"/>
            <w:vAlign w:val="center"/>
          </w:tcPr>
          <w:p w14:paraId="79A665B7" w14:textId="77777777" w:rsidR="007B690E" w:rsidRPr="007B690E" w:rsidRDefault="007B690E" w:rsidP="007B690E">
            <w:pPr>
              <w:widowControl w:val="0"/>
              <w:spacing w:after="0" w:line="240" w:lineRule="auto"/>
              <w:jc w:val="center"/>
              <w:rPr>
                <w:rFonts w:ascii="Arial" w:eastAsia="Calibri" w:hAnsi="Arial" w:cs="Arial"/>
                <w:bCs/>
                <w:sz w:val="16"/>
                <w:szCs w:val="16"/>
              </w:rPr>
            </w:pPr>
            <w:r w:rsidRPr="007B690E">
              <w:rPr>
                <w:rFonts w:ascii="Arial" w:eastAsia="Calibri" w:hAnsi="Arial" w:cs="Arial"/>
                <w:color w:val="000000"/>
                <w:sz w:val="16"/>
                <w:szCs w:val="16"/>
              </w:rPr>
              <w:t>2.5.29</w:t>
            </w:r>
          </w:p>
        </w:tc>
        <w:tc>
          <w:tcPr>
            <w:tcW w:w="1417" w:type="dxa"/>
            <w:shd w:val="clear" w:color="auto" w:fill="auto"/>
            <w:vAlign w:val="center"/>
          </w:tcPr>
          <w:p w14:paraId="7F990FF8" w14:textId="77777777" w:rsidR="007B690E" w:rsidRPr="007B690E" w:rsidRDefault="007B690E" w:rsidP="007B690E">
            <w:pPr>
              <w:widowControl w:val="0"/>
              <w:spacing w:after="0" w:line="240" w:lineRule="auto"/>
              <w:jc w:val="center"/>
              <w:rPr>
                <w:rFonts w:ascii="Arial" w:eastAsia="Calibri" w:hAnsi="Arial" w:cs="Arial"/>
                <w:bCs/>
                <w:sz w:val="16"/>
                <w:szCs w:val="16"/>
                <w:lang w:val="en-US"/>
              </w:rPr>
            </w:pPr>
            <w:r w:rsidRPr="007B690E">
              <w:rPr>
                <w:rFonts w:ascii="Arial" w:eastAsia="Calibri" w:hAnsi="Arial" w:cs="Arial"/>
                <w:bCs/>
                <w:sz w:val="16"/>
                <w:szCs w:val="16"/>
                <w:lang w:val="en-US"/>
              </w:rPr>
              <w:t>Meta atuarial - definição</w:t>
            </w:r>
          </w:p>
        </w:tc>
        <w:tc>
          <w:tcPr>
            <w:tcW w:w="1418" w:type="dxa"/>
            <w:shd w:val="clear" w:color="auto" w:fill="auto"/>
            <w:vAlign w:val="center"/>
          </w:tcPr>
          <w:p w14:paraId="2E068BEA" w14:textId="77777777" w:rsidR="007B690E" w:rsidRPr="007B690E" w:rsidRDefault="007B690E" w:rsidP="007B690E">
            <w:pPr>
              <w:widowControl w:val="0"/>
              <w:tabs>
                <w:tab w:val="left" w:pos="213"/>
              </w:tabs>
              <w:spacing w:after="0" w:line="240" w:lineRule="auto"/>
              <w:rPr>
                <w:rFonts w:ascii="Arial" w:eastAsia="Calibri" w:hAnsi="Arial" w:cs="Arial"/>
                <w:bCs/>
                <w:sz w:val="16"/>
                <w:szCs w:val="16"/>
              </w:rPr>
            </w:pPr>
            <w:r w:rsidRPr="007B690E">
              <w:rPr>
                <w:rFonts w:ascii="Arial" w:eastAsia="Calibri" w:hAnsi="Arial" w:cs="Arial"/>
                <w:color w:val="000000"/>
                <w:sz w:val="16"/>
                <w:szCs w:val="16"/>
              </w:rPr>
              <w:t>Art. 40 da CF/88, Lei 9.717/1998, art. 1º, inciso I e art. 69 da LRF</w:t>
            </w:r>
            <w:r w:rsidRPr="007B690E">
              <w:rPr>
                <w:rFonts w:ascii="Arial" w:eastAsia="Calibri" w:hAnsi="Arial" w:cs="Arial"/>
                <w:bCs/>
                <w:sz w:val="16"/>
                <w:szCs w:val="16"/>
              </w:rPr>
              <w:t>. Portaria MPS 403/2008, art. 5º e 9º.</w:t>
            </w:r>
          </w:p>
        </w:tc>
        <w:tc>
          <w:tcPr>
            <w:tcW w:w="1417" w:type="dxa"/>
            <w:vAlign w:val="center"/>
          </w:tcPr>
          <w:p w14:paraId="4C325C5C" w14:textId="77777777" w:rsidR="007B690E" w:rsidRPr="007B690E" w:rsidRDefault="007B690E" w:rsidP="007B690E">
            <w:pPr>
              <w:widowControl w:val="0"/>
              <w:spacing w:after="0" w:line="240" w:lineRule="auto"/>
              <w:jc w:val="center"/>
              <w:rPr>
                <w:rFonts w:ascii="Arial" w:eastAsia="Calibri" w:hAnsi="Arial" w:cs="Arial"/>
                <w:bCs/>
                <w:sz w:val="16"/>
                <w:szCs w:val="16"/>
              </w:rPr>
            </w:pPr>
            <w:r w:rsidRPr="007B690E">
              <w:rPr>
                <w:rFonts w:ascii="Arial" w:eastAsia="Calibri" w:hAnsi="Arial" w:cs="Arial"/>
                <w:color w:val="000000"/>
                <w:sz w:val="16"/>
                <w:szCs w:val="16"/>
                <w:lang w:val="en-US"/>
              </w:rPr>
              <w:t>Auditoria Governamental de conformidade</w:t>
            </w:r>
          </w:p>
        </w:tc>
        <w:tc>
          <w:tcPr>
            <w:tcW w:w="2694" w:type="dxa"/>
            <w:shd w:val="clear" w:color="auto" w:fill="auto"/>
            <w:vAlign w:val="center"/>
          </w:tcPr>
          <w:p w14:paraId="430E12C8" w14:textId="77777777" w:rsidR="007B690E" w:rsidRPr="007B690E" w:rsidRDefault="007B690E" w:rsidP="007B690E">
            <w:pPr>
              <w:widowControl w:val="0"/>
              <w:spacing w:after="0" w:line="240" w:lineRule="auto"/>
              <w:jc w:val="both"/>
              <w:rPr>
                <w:rFonts w:ascii="Arial" w:eastAsia="Calibri" w:hAnsi="Arial" w:cs="Arial"/>
                <w:bCs/>
                <w:sz w:val="16"/>
                <w:szCs w:val="16"/>
              </w:rPr>
            </w:pPr>
            <w:r w:rsidRPr="007B690E">
              <w:rPr>
                <w:rFonts w:ascii="Arial" w:eastAsia="Calibri" w:hAnsi="Arial" w:cs="Arial"/>
                <w:bCs/>
                <w:sz w:val="16"/>
                <w:szCs w:val="16"/>
              </w:rPr>
              <w:t>Avaliar se a definição da meta atuarial está adequada frente às projeções macroeconômicas à época da realização do cálculo atuarial.</w:t>
            </w:r>
          </w:p>
        </w:tc>
        <w:tc>
          <w:tcPr>
            <w:tcW w:w="1275" w:type="dxa"/>
            <w:shd w:val="clear" w:color="auto" w:fill="auto"/>
            <w:vAlign w:val="center"/>
          </w:tcPr>
          <w:p w14:paraId="0DF368F0" w14:textId="77777777" w:rsidR="007B690E" w:rsidRPr="007B690E" w:rsidRDefault="007B690E" w:rsidP="007B690E">
            <w:pPr>
              <w:widowControl w:val="0"/>
              <w:spacing w:after="0" w:line="240" w:lineRule="auto"/>
              <w:jc w:val="center"/>
              <w:rPr>
                <w:rFonts w:ascii="Calibri" w:eastAsia="Calibri" w:hAnsi="Calibri" w:cs="Times New Roman"/>
              </w:rPr>
            </w:pPr>
            <w:r w:rsidRPr="007B690E">
              <w:rPr>
                <w:rFonts w:ascii="Arial" w:eastAsia="Calibri" w:hAnsi="Arial" w:cs="Arial"/>
                <w:bCs/>
                <w:sz w:val="16"/>
                <w:szCs w:val="16"/>
              </w:rPr>
              <w:t>Contas de Gestão do RPPS</w:t>
            </w:r>
          </w:p>
        </w:tc>
      </w:tr>
      <w:tr w:rsidR="007B690E" w:rsidRPr="007B690E" w14:paraId="49559D41" w14:textId="77777777" w:rsidTr="007B690E">
        <w:trPr>
          <w:trHeight w:val="613"/>
        </w:trPr>
        <w:tc>
          <w:tcPr>
            <w:tcW w:w="851" w:type="dxa"/>
            <w:vAlign w:val="center"/>
          </w:tcPr>
          <w:p w14:paraId="749B9970" w14:textId="77777777" w:rsidR="007B690E" w:rsidRPr="007B690E" w:rsidRDefault="007B690E" w:rsidP="007B690E">
            <w:pPr>
              <w:widowControl w:val="0"/>
              <w:spacing w:after="0" w:line="240" w:lineRule="auto"/>
              <w:jc w:val="center"/>
              <w:rPr>
                <w:rFonts w:ascii="Arial" w:eastAsia="Calibri" w:hAnsi="Arial" w:cs="Arial"/>
                <w:bCs/>
                <w:sz w:val="16"/>
                <w:szCs w:val="16"/>
              </w:rPr>
            </w:pPr>
            <w:r w:rsidRPr="007B690E">
              <w:rPr>
                <w:rFonts w:ascii="Arial" w:eastAsia="Calibri" w:hAnsi="Arial" w:cs="Arial"/>
                <w:color w:val="000000"/>
                <w:sz w:val="16"/>
                <w:szCs w:val="16"/>
              </w:rPr>
              <w:t>2.5.30</w:t>
            </w:r>
          </w:p>
        </w:tc>
        <w:tc>
          <w:tcPr>
            <w:tcW w:w="1417" w:type="dxa"/>
            <w:shd w:val="clear" w:color="auto" w:fill="auto"/>
            <w:vAlign w:val="center"/>
          </w:tcPr>
          <w:p w14:paraId="105A43BE" w14:textId="77777777" w:rsidR="007B690E" w:rsidRPr="007B690E" w:rsidRDefault="007B690E" w:rsidP="007B690E">
            <w:pPr>
              <w:widowControl w:val="0"/>
              <w:spacing w:after="0" w:line="240" w:lineRule="auto"/>
              <w:jc w:val="center"/>
              <w:rPr>
                <w:rFonts w:ascii="Arial" w:eastAsia="Calibri" w:hAnsi="Arial" w:cs="Arial"/>
                <w:bCs/>
                <w:sz w:val="16"/>
                <w:szCs w:val="16"/>
                <w:lang w:val="en-US"/>
              </w:rPr>
            </w:pPr>
            <w:r w:rsidRPr="007B690E">
              <w:rPr>
                <w:rFonts w:ascii="Arial" w:eastAsia="Calibri" w:hAnsi="Arial" w:cs="Arial"/>
                <w:bCs/>
                <w:sz w:val="16"/>
                <w:szCs w:val="16"/>
                <w:lang w:val="en-US"/>
              </w:rPr>
              <w:t>Meta atuarial - cumprimento</w:t>
            </w:r>
          </w:p>
        </w:tc>
        <w:tc>
          <w:tcPr>
            <w:tcW w:w="1418" w:type="dxa"/>
            <w:shd w:val="clear" w:color="auto" w:fill="auto"/>
            <w:vAlign w:val="center"/>
          </w:tcPr>
          <w:p w14:paraId="71E592C8" w14:textId="77777777" w:rsidR="007B690E" w:rsidRPr="007B690E" w:rsidRDefault="007B690E" w:rsidP="007B690E">
            <w:pPr>
              <w:widowControl w:val="0"/>
              <w:tabs>
                <w:tab w:val="left" w:pos="213"/>
              </w:tabs>
              <w:spacing w:after="0" w:line="240" w:lineRule="auto"/>
              <w:rPr>
                <w:rFonts w:ascii="Arial" w:eastAsia="Calibri" w:hAnsi="Arial" w:cs="Arial"/>
                <w:bCs/>
                <w:sz w:val="16"/>
                <w:szCs w:val="16"/>
              </w:rPr>
            </w:pPr>
            <w:r w:rsidRPr="007B690E">
              <w:rPr>
                <w:rFonts w:ascii="Arial" w:eastAsia="Calibri" w:hAnsi="Arial" w:cs="Arial"/>
                <w:bCs/>
                <w:sz w:val="16"/>
                <w:szCs w:val="16"/>
              </w:rPr>
              <w:t>Art. 3º, V da Portaria MPS 519/2011.</w:t>
            </w:r>
          </w:p>
        </w:tc>
        <w:tc>
          <w:tcPr>
            <w:tcW w:w="1417" w:type="dxa"/>
            <w:vAlign w:val="center"/>
          </w:tcPr>
          <w:p w14:paraId="0F3CFCCB" w14:textId="77777777" w:rsidR="007B690E" w:rsidRPr="007B690E" w:rsidRDefault="007B690E" w:rsidP="007B690E">
            <w:pPr>
              <w:widowControl w:val="0"/>
              <w:spacing w:after="0" w:line="240" w:lineRule="auto"/>
              <w:jc w:val="center"/>
              <w:rPr>
                <w:rFonts w:ascii="Arial" w:eastAsia="Calibri" w:hAnsi="Arial" w:cs="Arial"/>
                <w:bCs/>
                <w:sz w:val="16"/>
                <w:szCs w:val="16"/>
              </w:rPr>
            </w:pPr>
            <w:r w:rsidRPr="007B690E">
              <w:rPr>
                <w:rFonts w:ascii="Arial" w:eastAsia="Calibri" w:hAnsi="Arial" w:cs="Arial"/>
                <w:color w:val="000000"/>
                <w:sz w:val="16"/>
                <w:szCs w:val="16"/>
              </w:rPr>
              <w:t>Auditoria Governamental de conformidade</w:t>
            </w:r>
          </w:p>
        </w:tc>
        <w:tc>
          <w:tcPr>
            <w:tcW w:w="2694" w:type="dxa"/>
            <w:shd w:val="clear" w:color="auto" w:fill="auto"/>
            <w:vAlign w:val="center"/>
          </w:tcPr>
          <w:p w14:paraId="31BAAE38" w14:textId="77777777" w:rsidR="007B690E" w:rsidRPr="007B690E" w:rsidRDefault="007B690E" w:rsidP="007B690E">
            <w:pPr>
              <w:widowControl w:val="0"/>
              <w:spacing w:after="0" w:line="240" w:lineRule="auto"/>
              <w:jc w:val="both"/>
              <w:rPr>
                <w:rFonts w:ascii="Arial" w:eastAsia="Calibri" w:hAnsi="Arial" w:cs="Arial"/>
                <w:bCs/>
                <w:sz w:val="16"/>
                <w:szCs w:val="16"/>
              </w:rPr>
            </w:pPr>
            <w:r w:rsidRPr="007B690E">
              <w:rPr>
                <w:rFonts w:ascii="Arial" w:eastAsia="Calibri" w:hAnsi="Arial" w:cs="Arial"/>
                <w:bCs/>
                <w:sz w:val="16"/>
                <w:szCs w:val="16"/>
              </w:rPr>
              <w:t>Avaliar o cumprimento da meta atuarial por meio das rentabilidades alcançadas em relação aos investimentos.</w:t>
            </w:r>
          </w:p>
        </w:tc>
        <w:tc>
          <w:tcPr>
            <w:tcW w:w="1275" w:type="dxa"/>
            <w:shd w:val="clear" w:color="auto" w:fill="auto"/>
            <w:vAlign w:val="center"/>
          </w:tcPr>
          <w:p w14:paraId="61BA7634" w14:textId="77777777" w:rsidR="007B690E" w:rsidRPr="007B690E" w:rsidRDefault="007B690E" w:rsidP="007B690E">
            <w:pPr>
              <w:widowControl w:val="0"/>
              <w:spacing w:after="0" w:line="240" w:lineRule="auto"/>
              <w:jc w:val="center"/>
              <w:rPr>
                <w:rFonts w:ascii="Calibri" w:eastAsia="Calibri" w:hAnsi="Calibri" w:cs="Times New Roman"/>
              </w:rPr>
            </w:pPr>
            <w:r w:rsidRPr="007B690E">
              <w:rPr>
                <w:rFonts w:ascii="Arial" w:eastAsia="Calibri" w:hAnsi="Arial" w:cs="Arial"/>
                <w:bCs/>
                <w:sz w:val="16"/>
                <w:szCs w:val="16"/>
              </w:rPr>
              <w:t>Contas de Gestão do RPPS</w:t>
            </w:r>
          </w:p>
        </w:tc>
      </w:tr>
      <w:tr w:rsidR="007B690E" w:rsidRPr="007B690E" w14:paraId="641991E4" w14:textId="77777777" w:rsidTr="007B690E">
        <w:trPr>
          <w:trHeight w:val="613"/>
        </w:trPr>
        <w:tc>
          <w:tcPr>
            <w:tcW w:w="851" w:type="dxa"/>
            <w:vAlign w:val="center"/>
          </w:tcPr>
          <w:p w14:paraId="747EA3D2" w14:textId="77777777" w:rsidR="007B690E" w:rsidRPr="007B690E" w:rsidRDefault="007B690E" w:rsidP="007B690E">
            <w:pPr>
              <w:widowControl w:val="0"/>
              <w:spacing w:after="0" w:line="240" w:lineRule="auto"/>
              <w:jc w:val="center"/>
              <w:rPr>
                <w:rFonts w:ascii="Arial" w:eastAsia="Calibri" w:hAnsi="Arial" w:cs="Arial"/>
                <w:sz w:val="16"/>
                <w:szCs w:val="16"/>
              </w:rPr>
            </w:pPr>
            <w:r w:rsidRPr="007B690E">
              <w:rPr>
                <w:rFonts w:ascii="Arial" w:eastAsia="Calibri" w:hAnsi="Arial" w:cs="Arial"/>
                <w:color w:val="000000"/>
                <w:sz w:val="16"/>
                <w:szCs w:val="16"/>
              </w:rPr>
              <w:t>2.5.31</w:t>
            </w:r>
          </w:p>
        </w:tc>
        <w:tc>
          <w:tcPr>
            <w:tcW w:w="1417" w:type="dxa"/>
            <w:shd w:val="clear" w:color="auto" w:fill="auto"/>
            <w:vAlign w:val="center"/>
          </w:tcPr>
          <w:p w14:paraId="395FADFE" w14:textId="77777777" w:rsidR="007B690E" w:rsidRPr="007B690E" w:rsidRDefault="007B690E" w:rsidP="007B690E">
            <w:pPr>
              <w:widowControl w:val="0"/>
              <w:spacing w:after="0" w:line="240" w:lineRule="auto"/>
              <w:jc w:val="center"/>
              <w:rPr>
                <w:rFonts w:ascii="Arial" w:eastAsia="Calibri" w:hAnsi="Arial" w:cs="Arial"/>
                <w:sz w:val="19"/>
                <w:szCs w:val="19"/>
                <w:lang w:val="en-US"/>
              </w:rPr>
            </w:pPr>
            <w:r w:rsidRPr="007B690E">
              <w:rPr>
                <w:rFonts w:ascii="Arial" w:eastAsia="Calibri" w:hAnsi="Arial" w:cs="Arial"/>
                <w:sz w:val="16"/>
                <w:szCs w:val="16"/>
                <w:lang w:val="en-US"/>
              </w:rPr>
              <w:t>Comitê de investimentos - instituição</w:t>
            </w:r>
          </w:p>
        </w:tc>
        <w:tc>
          <w:tcPr>
            <w:tcW w:w="1418" w:type="dxa"/>
            <w:shd w:val="clear" w:color="auto" w:fill="auto"/>
            <w:vAlign w:val="center"/>
          </w:tcPr>
          <w:p w14:paraId="26A2C91C" w14:textId="77777777" w:rsidR="007B690E" w:rsidRPr="007B690E" w:rsidRDefault="007B690E" w:rsidP="007B690E">
            <w:pPr>
              <w:widowControl w:val="0"/>
              <w:tabs>
                <w:tab w:val="left" w:pos="213"/>
              </w:tabs>
              <w:spacing w:after="0" w:line="240" w:lineRule="auto"/>
              <w:rPr>
                <w:rFonts w:ascii="Arial" w:eastAsia="Calibri" w:hAnsi="Arial" w:cs="Arial"/>
                <w:bCs/>
                <w:sz w:val="16"/>
                <w:szCs w:val="16"/>
              </w:rPr>
            </w:pPr>
            <w:r w:rsidRPr="007B690E">
              <w:rPr>
                <w:rFonts w:ascii="Arial" w:eastAsia="Calibri" w:hAnsi="Arial" w:cs="Arial"/>
                <w:bCs/>
                <w:sz w:val="16"/>
                <w:szCs w:val="16"/>
              </w:rPr>
              <w:t>Portaria MPS 519/2011, art. 3º-A, alíneas “b” e “c”.</w:t>
            </w:r>
          </w:p>
        </w:tc>
        <w:tc>
          <w:tcPr>
            <w:tcW w:w="1417" w:type="dxa"/>
            <w:vAlign w:val="center"/>
          </w:tcPr>
          <w:p w14:paraId="4E09F6DC" w14:textId="77777777" w:rsidR="007B690E" w:rsidRPr="007B690E" w:rsidRDefault="007B690E" w:rsidP="007B690E">
            <w:pPr>
              <w:widowControl w:val="0"/>
              <w:spacing w:after="0" w:line="240" w:lineRule="auto"/>
              <w:jc w:val="center"/>
              <w:rPr>
                <w:rFonts w:ascii="Arial" w:eastAsia="Calibri" w:hAnsi="Arial" w:cs="Arial"/>
                <w:sz w:val="16"/>
                <w:szCs w:val="16"/>
              </w:rPr>
            </w:pPr>
            <w:r w:rsidRPr="007B690E">
              <w:rPr>
                <w:rFonts w:ascii="Arial" w:eastAsia="Calibri" w:hAnsi="Arial" w:cs="Arial"/>
                <w:color w:val="000000"/>
                <w:sz w:val="16"/>
                <w:szCs w:val="16"/>
              </w:rPr>
              <w:t>Conformidade (Verificação documental)</w:t>
            </w:r>
          </w:p>
        </w:tc>
        <w:tc>
          <w:tcPr>
            <w:tcW w:w="2694" w:type="dxa"/>
            <w:shd w:val="clear" w:color="auto" w:fill="auto"/>
            <w:vAlign w:val="center"/>
          </w:tcPr>
          <w:p w14:paraId="6F503EE5" w14:textId="77777777" w:rsidR="007B690E" w:rsidRPr="007B690E" w:rsidRDefault="007B690E" w:rsidP="007B690E">
            <w:pPr>
              <w:widowControl w:val="0"/>
              <w:spacing w:after="0" w:line="240" w:lineRule="auto"/>
              <w:jc w:val="both"/>
              <w:rPr>
                <w:rFonts w:ascii="Arial" w:eastAsia="Calibri" w:hAnsi="Arial" w:cs="Arial"/>
                <w:sz w:val="16"/>
                <w:szCs w:val="16"/>
              </w:rPr>
            </w:pPr>
            <w:r w:rsidRPr="007B690E">
              <w:rPr>
                <w:rFonts w:ascii="Arial" w:eastAsia="Calibri" w:hAnsi="Arial" w:cs="Arial"/>
                <w:sz w:val="16"/>
                <w:szCs w:val="16"/>
              </w:rPr>
              <w:t>Verificar se houve a instituição do Comitê de Investimento.</w:t>
            </w:r>
          </w:p>
        </w:tc>
        <w:tc>
          <w:tcPr>
            <w:tcW w:w="1275" w:type="dxa"/>
            <w:shd w:val="clear" w:color="auto" w:fill="auto"/>
            <w:vAlign w:val="center"/>
          </w:tcPr>
          <w:p w14:paraId="7489C363" w14:textId="77777777" w:rsidR="007B690E" w:rsidRPr="007B690E" w:rsidRDefault="007B690E" w:rsidP="007B690E">
            <w:pPr>
              <w:widowControl w:val="0"/>
              <w:spacing w:after="0" w:line="240" w:lineRule="auto"/>
              <w:jc w:val="center"/>
              <w:rPr>
                <w:rFonts w:ascii="Calibri" w:eastAsia="Calibri" w:hAnsi="Calibri" w:cs="Times New Roman"/>
              </w:rPr>
            </w:pPr>
            <w:r w:rsidRPr="007B690E">
              <w:rPr>
                <w:rFonts w:ascii="Arial" w:eastAsia="Calibri" w:hAnsi="Arial" w:cs="Arial"/>
                <w:bCs/>
                <w:sz w:val="16"/>
                <w:szCs w:val="16"/>
              </w:rPr>
              <w:t>Contas de Gestão do RPPS</w:t>
            </w:r>
          </w:p>
        </w:tc>
      </w:tr>
      <w:tr w:rsidR="007B690E" w:rsidRPr="007B690E" w14:paraId="35C68714" w14:textId="77777777" w:rsidTr="007B690E">
        <w:trPr>
          <w:trHeight w:val="613"/>
        </w:trPr>
        <w:tc>
          <w:tcPr>
            <w:tcW w:w="851" w:type="dxa"/>
            <w:vAlign w:val="center"/>
          </w:tcPr>
          <w:p w14:paraId="43FECB71" w14:textId="77777777" w:rsidR="007B690E" w:rsidRPr="007B690E" w:rsidRDefault="007B690E" w:rsidP="007B690E">
            <w:pPr>
              <w:widowControl w:val="0"/>
              <w:spacing w:after="0" w:line="240" w:lineRule="auto"/>
              <w:jc w:val="center"/>
              <w:rPr>
                <w:rFonts w:ascii="Arial" w:eastAsia="Calibri" w:hAnsi="Arial" w:cs="Arial"/>
                <w:sz w:val="16"/>
                <w:szCs w:val="16"/>
              </w:rPr>
            </w:pPr>
            <w:r w:rsidRPr="007B690E">
              <w:rPr>
                <w:rFonts w:ascii="Arial" w:eastAsia="Calibri" w:hAnsi="Arial" w:cs="Arial"/>
                <w:color w:val="000000"/>
                <w:sz w:val="16"/>
                <w:szCs w:val="16"/>
              </w:rPr>
              <w:t>2.5.32</w:t>
            </w:r>
          </w:p>
        </w:tc>
        <w:tc>
          <w:tcPr>
            <w:tcW w:w="1417" w:type="dxa"/>
            <w:shd w:val="clear" w:color="auto" w:fill="auto"/>
            <w:vAlign w:val="center"/>
          </w:tcPr>
          <w:p w14:paraId="20CF924F" w14:textId="77777777" w:rsidR="007B690E" w:rsidRPr="007B690E" w:rsidRDefault="007B690E" w:rsidP="007B690E">
            <w:pPr>
              <w:widowControl w:val="0"/>
              <w:spacing w:after="0" w:line="240" w:lineRule="auto"/>
              <w:jc w:val="center"/>
              <w:rPr>
                <w:rFonts w:ascii="Arial" w:eastAsia="Calibri" w:hAnsi="Arial" w:cs="Arial"/>
                <w:sz w:val="19"/>
                <w:szCs w:val="19"/>
                <w:lang w:val="en-US"/>
              </w:rPr>
            </w:pPr>
            <w:r w:rsidRPr="007B690E">
              <w:rPr>
                <w:rFonts w:ascii="Arial" w:eastAsia="Calibri" w:hAnsi="Arial" w:cs="Arial"/>
                <w:sz w:val="16"/>
                <w:szCs w:val="16"/>
                <w:lang w:val="en-US"/>
              </w:rPr>
              <w:t>Comitê de investimentos - Reuniões</w:t>
            </w:r>
          </w:p>
        </w:tc>
        <w:tc>
          <w:tcPr>
            <w:tcW w:w="1418" w:type="dxa"/>
            <w:shd w:val="clear" w:color="auto" w:fill="auto"/>
            <w:vAlign w:val="center"/>
          </w:tcPr>
          <w:p w14:paraId="562C9586" w14:textId="77777777" w:rsidR="007B690E" w:rsidRPr="007B690E" w:rsidRDefault="007B690E" w:rsidP="007B690E">
            <w:pPr>
              <w:widowControl w:val="0"/>
              <w:tabs>
                <w:tab w:val="left" w:pos="213"/>
              </w:tabs>
              <w:spacing w:after="0" w:line="240" w:lineRule="auto"/>
              <w:rPr>
                <w:rFonts w:ascii="Arial" w:eastAsia="Calibri" w:hAnsi="Arial" w:cs="Arial"/>
                <w:bCs/>
                <w:sz w:val="16"/>
                <w:szCs w:val="16"/>
              </w:rPr>
            </w:pPr>
            <w:r w:rsidRPr="007B690E">
              <w:rPr>
                <w:rFonts w:ascii="Arial" w:eastAsia="Calibri" w:hAnsi="Arial" w:cs="Arial"/>
                <w:bCs/>
                <w:sz w:val="16"/>
                <w:szCs w:val="16"/>
              </w:rPr>
              <w:t>Portaria MPS 519, de 24 de Agosto de 2011, art. 3º-A, alíneas “b” e “c”.</w:t>
            </w:r>
          </w:p>
        </w:tc>
        <w:tc>
          <w:tcPr>
            <w:tcW w:w="1417" w:type="dxa"/>
            <w:vAlign w:val="center"/>
          </w:tcPr>
          <w:p w14:paraId="077111B2" w14:textId="77777777" w:rsidR="007B690E" w:rsidRPr="007B690E" w:rsidRDefault="007B690E" w:rsidP="007B690E">
            <w:pPr>
              <w:widowControl w:val="0"/>
              <w:spacing w:after="0" w:line="240" w:lineRule="auto"/>
              <w:jc w:val="center"/>
              <w:rPr>
                <w:rFonts w:ascii="Arial" w:eastAsia="Calibri" w:hAnsi="Arial" w:cs="Arial"/>
                <w:sz w:val="16"/>
                <w:szCs w:val="16"/>
              </w:rPr>
            </w:pPr>
            <w:r w:rsidRPr="007B690E">
              <w:rPr>
                <w:rFonts w:ascii="Arial" w:eastAsia="Calibri" w:hAnsi="Arial" w:cs="Arial"/>
                <w:color w:val="000000"/>
                <w:sz w:val="16"/>
                <w:szCs w:val="16"/>
              </w:rPr>
              <w:t>Conformidade (Verificação documental)</w:t>
            </w:r>
          </w:p>
        </w:tc>
        <w:tc>
          <w:tcPr>
            <w:tcW w:w="2694" w:type="dxa"/>
            <w:shd w:val="clear" w:color="auto" w:fill="auto"/>
            <w:vAlign w:val="center"/>
          </w:tcPr>
          <w:p w14:paraId="17C08F3E" w14:textId="77777777" w:rsidR="007B690E" w:rsidRPr="007B690E" w:rsidRDefault="007B690E" w:rsidP="007B690E">
            <w:pPr>
              <w:widowControl w:val="0"/>
              <w:spacing w:after="0" w:line="240" w:lineRule="auto"/>
              <w:jc w:val="both"/>
              <w:rPr>
                <w:rFonts w:ascii="Arial" w:eastAsia="Calibri" w:hAnsi="Arial" w:cs="Arial"/>
                <w:sz w:val="16"/>
                <w:szCs w:val="16"/>
              </w:rPr>
            </w:pPr>
            <w:r w:rsidRPr="007B690E">
              <w:rPr>
                <w:rFonts w:ascii="Arial" w:eastAsia="Calibri" w:hAnsi="Arial" w:cs="Arial"/>
                <w:sz w:val="16"/>
                <w:szCs w:val="16"/>
              </w:rPr>
              <w:t>Verificar se houve periodicidade das reuniões e que as deliberações foram registradas em atas.</w:t>
            </w:r>
          </w:p>
        </w:tc>
        <w:tc>
          <w:tcPr>
            <w:tcW w:w="1275" w:type="dxa"/>
            <w:shd w:val="clear" w:color="auto" w:fill="auto"/>
            <w:vAlign w:val="center"/>
          </w:tcPr>
          <w:p w14:paraId="5143EC21" w14:textId="77777777" w:rsidR="007B690E" w:rsidRPr="007B690E" w:rsidRDefault="007B690E" w:rsidP="007B690E">
            <w:pPr>
              <w:widowControl w:val="0"/>
              <w:spacing w:after="0" w:line="240" w:lineRule="auto"/>
              <w:jc w:val="center"/>
              <w:rPr>
                <w:rFonts w:ascii="Calibri" w:eastAsia="Calibri" w:hAnsi="Calibri" w:cs="Times New Roman"/>
              </w:rPr>
            </w:pPr>
            <w:r w:rsidRPr="007B690E">
              <w:rPr>
                <w:rFonts w:ascii="Arial" w:eastAsia="Calibri" w:hAnsi="Arial" w:cs="Arial"/>
                <w:bCs/>
                <w:sz w:val="16"/>
                <w:szCs w:val="16"/>
              </w:rPr>
              <w:t>Contas de Gestão do RPPS</w:t>
            </w:r>
          </w:p>
        </w:tc>
      </w:tr>
      <w:tr w:rsidR="007B690E" w:rsidRPr="007B690E" w14:paraId="7686FC90" w14:textId="77777777" w:rsidTr="007B690E">
        <w:trPr>
          <w:trHeight w:val="137"/>
        </w:trPr>
        <w:tc>
          <w:tcPr>
            <w:tcW w:w="851" w:type="dxa"/>
            <w:vAlign w:val="center"/>
          </w:tcPr>
          <w:p w14:paraId="1C38E2FC" w14:textId="77777777" w:rsidR="007B690E" w:rsidRPr="007B690E" w:rsidRDefault="007B690E" w:rsidP="007B690E">
            <w:pPr>
              <w:widowControl w:val="0"/>
              <w:spacing w:after="0" w:line="240" w:lineRule="auto"/>
              <w:jc w:val="center"/>
              <w:rPr>
                <w:rFonts w:ascii="Arial" w:eastAsia="Calibri" w:hAnsi="Arial" w:cs="Arial"/>
                <w:sz w:val="16"/>
                <w:szCs w:val="16"/>
              </w:rPr>
            </w:pPr>
            <w:r w:rsidRPr="007B690E">
              <w:rPr>
                <w:rFonts w:ascii="Arial" w:eastAsia="Calibri" w:hAnsi="Arial" w:cs="Arial"/>
                <w:color w:val="000000"/>
                <w:sz w:val="16"/>
                <w:szCs w:val="16"/>
              </w:rPr>
              <w:t>2.5.33</w:t>
            </w:r>
          </w:p>
        </w:tc>
        <w:tc>
          <w:tcPr>
            <w:tcW w:w="1417" w:type="dxa"/>
            <w:shd w:val="clear" w:color="auto" w:fill="auto"/>
            <w:vAlign w:val="center"/>
          </w:tcPr>
          <w:p w14:paraId="4D68936B" w14:textId="77777777" w:rsidR="007B690E" w:rsidRPr="007B690E" w:rsidRDefault="007B690E" w:rsidP="007B690E">
            <w:pPr>
              <w:widowControl w:val="0"/>
              <w:spacing w:after="0" w:line="240" w:lineRule="auto"/>
              <w:jc w:val="center"/>
              <w:rPr>
                <w:rFonts w:ascii="Arial" w:eastAsia="Calibri" w:hAnsi="Arial" w:cs="Arial"/>
                <w:sz w:val="19"/>
                <w:szCs w:val="19"/>
              </w:rPr>
            </w:pPr>
            <w:r w:rsidRPr="007B690E">
              <w:rPr>
                <w:rFonts w:ascii="Arial" w:eastAsia="Calibri" w:hAnsi="Arial" w:cs="Arial"/>
                <w:sz w:val="16"/>
                <w:szCs w:val="16"/>
              </w:rPr>
              <w:t>Comitê de investimentos – Certificados dos membros</w:t>
            </w:r>
          </w:p>
        </w:tc>
        <w:tc>
          <w:tcPr>
            <w:tcW w:w="1418" w:type="dxa"/>
            <w:shd w:val="clear" w:color="auto" w:fill="auto"/>
            <w:vAlign w:val="center"/>
          </w:tcPr>
          <w:p w14:paraId="3FEC60B7" w14:textId="77777777" w:rsidR="007B690E" w:rsidRPr="007B690E" w:rsidRDefault="007B690E" w:rsidP="007B690E">
            <w:pPr>
              <w:widowControl w:val="0"/>
              <w:tabs>
                <w:tab w:val="left" w:pos="213"/>
              </w:tabs>
              <w:spacing w:after="0" w:line="240" w:lineRule="auto"/>
              <w:rPr>
                <w:rFonts w:ascii="Arial" w:eastAsia="Calibri" w:hAnsi="Arial" w:cs="Arial"/>
                <w:bCs/>
                <w:sz w:val="16"/>
                <w:szCs w:val="16"/>
              </w:rPr>
            </w:pPr>
            <w:r w:rsidRPr="007B690E">
              <w:rPr>
                <w:rFonts w:ascii="Arial" w:eastAsia="Calibri" w:hAnsi="Arial" w:cs="Arial"/>
                <w:bCs/>
                <w:sz w:val="16"/>
                <w:szCs w:val="16"/>
              </w:rPr>
              <w:t>Portaria MPS 519/2011, art. 3º-A, alínea “e”.</w:t>
            </w:r>
          </w:p>
        </w:tc>
        <w:tc>
          <w:tcPr>
            <w:tcW w:w="1417" w:type="dxa"/>
            <w:vAlign w:val="center"/>
          </w:tcPr>
          <w:p w14:paraId="6A471515" w14:textId="77777777" w:rsidR="007B690E" w:rsidRPr="007B690E" w:rsidRDefault="007B690E" w:rsidP="007B690E">
            <w:pPr>
              <w:widowControl w:val="0"/>
              <w:spacing w:after="0" w:line="240" w:lineRule="auto"/>
              <w:jc w:val="center"/>
              <w:rPr>
                <w:rFonts w:ascii="Arial" w:eastAsia="Calibri" w:hAnsi="Arial" w:cs="Arial"/>
                <w:sz w:val="16"/>
                <w:szCs w:val="16"/>
              </w:rPr>
            </w:pPr>
            <w:r w:rsidRPr="007B690E">
              <w:rPr>
                <w:rFonts w:ascii="Arial" w:eastAsia="Calibri" w:hAnsi="Arial" w:cs="Arial"/>
                <w:color w:val="000000"/>
                <w:sz w:val="16"/>
                <w:szCs w:val="16"/>
              </w:rPr>
              <w:t>Conformidade (Verificação documental)</w:t>
            </w:r>
          </w:p>
        </w:tc>
        <w:tc>
          <w:tcPr>
            <w:tcW w:w="2694" w:type="dxa"/>
            <w:shd w:val="clear" w:color="auto" w:fill="auto"/>
            <w:vAlign w:val="center"/>
          </w:tcPr>
          <w:p w14:paraId="4400C735" w14:textId="77777777" w:rsidR="007B690E" w:rsidRPr="007B690E" w:rsidRDefault="007B690E" w:rsidP="007B690E">
            <w:pPr>
              <w:widowControl w:val="0"/>
              <w:spacing w:after="0" w:line="240" w:lineRule="auto"/>
              <w:jc w:val="both"/>
              <w:rPr>
                <w:rFonts w:ascii="Arial" w:eastAsia="Calibri" w:hAnsi="Arial" w:cs="Arial"/>
                <w:sz w:val="16"/>
                <w:szCs w:val="16"/>
              </w:rPr>
            </w:pPr>
            <w:r w:rsidRPr="007B690E">
              <w:rPr>
                <w:rFonts w:ascii="Arial" w:eastAsia="Calibri" w:hAnsi="Arial" w:cs="Arial"/>
                <w:sz w:val="16"/>
                <w:szCs w:val="16"/>
              </w:rPr>
              <w:t>Verificar se a maioria dos membros possui certificação para operar no mercado brasileiro de capitais.</w:t>
            </w:r>
          </w:p>
        </w:tc>
        <w:tc>
          <w:tcPr>
            <w:tcW w:w="1275" w:type="dxa"/>
            <w:shd w:val="clear" w:color="auto" w:fill="auto"/>
            <w:vAlign w:val="center"/>
          </w:tcPr>
          <w:p w14:paraId="6CE70A67" w14:textId="77777777" w:rsidR="007B690E" w:rsidRPr="007B690E" w:rsidRDefault="007B690E" w:rsidP="007B690E">
            <w:pPr>
              <w:widowControl w:val="0"/>
              <w:spacing w:after="0" w:line="240" w:lineRule="auto"/>
              <w:jc w:val="center"/>
              <w:rPr>
                <w:rFonts w:ascii="Calibri" w:eastAsia="Calibri" w:hAnsi="Calibri" w:cs="Times New Roman"/>
              </w:rPr>
            </w:pPr>
            <w:r w:rsidRPr="007B690E">
              <w:rPr>
                <w:rFonts w:ascii="Arial" w:eastAsia="Calibri" w:hAnsi="Arial" w:cs="Arial"/>
                <w:bCs/>
                <w:sz w:val="16"/>
                <w:szCs w:val="16"/>
              </w:rPr>
              <w:t>Contas de Gestão do RPPS</w:t>
            </w:r>
          </w:p>
        </w:tc>
      </w:tr>
      <w:tr w:rsidR="007B690E" w:rsidRPr="007B690E" w14:paraId="624FA445" w14:textId="77777777" w:rsidTr="007B690E">
        <w:trPr>
          <w:trHeight w:val="613"/>
        </w:trPr>
        <w:tc>
          <w:tcPr>
            <w:tcW w:w="851" w:type="dxa"/>
            <w:vAlign w:val="center"/>
          </w:tcPr>
          <w:p w14:paraId="339416ED" w14:textId="77777777" w:rsidR="007B690E" w:rsidRPr="007B690E" w:rsidRDefault="007B690E" w:rsidP="007B690E">
            <w:pPr>
              <w:widowControl w:val="0"/>
              <w:spacing w:after="0" w:line="240" w:lineRule="auto"/>
              <w:jc w:val="center"/>
              <w:rPr>
                <w:rFonts w:ascii="Arial" w:eastAsia="Calibri" w:hAnsi="Arial" w:cs="Arial"/>
                <w:sz w:val="16"/>
                <w:szCs w:val="16"/>
              </w:rPr>
            </w:pPr>
            <w:r w:rsidRPr="007B690E">
              <w:rPr>
                <w:rFonts w:ascii="Arial" w:eastAsia="Calibri" w:hAnsi="Arial" w:cs="Arial"/>
                <w:color w:val="000000"/>
                <w:sz w:val="16"/>
                <w:szCs w:val="16"/>
              </w:rPr>
              <w:t>2.5.34</w:t>
            </w:r>
          </w:p>
        </w:tc>
        <w:tc>
          <w:tcPr>
            <w:tcW w:w="1417" w:type="dxa"/>
            <w:shd w:val="clear" w:color="auto" w:fill="auto"/>
            <w:vAlign w:val="center"/>
          </w:tcPr>
          <w:p w14:paraId="53404A41" w14:textId="77777777" w:rsidR="007B690E" w:rsidRPr="007B690E" w:rsidRDefault="007B690E" w:rsidP="007B690E">
            <w:pPr>
              <w:widowControl w:val="0"/>
              <w:spacing w:after="0" w:line="240" w:lineRule="auto"/>
              <w:jc w:val="center"/>
              <w:rPr>
                <w:rFonts w:ascii="Arial" w:eastAsia="Calibri" w:hAnsi="Arial" w:cs="Arial"/>
                <w:sz w:val="16"/>
                <w:szCs w:val="16"/>
                <w:lang w:val="en-US"/>
              </w:rPr>
            </w:pPr>
            <w:r w:rsidRPr="007B690E">
              <w:rPr>
                <w:rFonts w:ascii="Arial" w:eastAsia="Calibri" w:hAnsi="Arial" w:cs="Arial"/>
                <w:sz w:val="16"/>
                <w:szCs w:val="16"/>
                <w:lang w:val="en-US"/>
              </w:rPr>
              <w:t>Politica de Investimento</w:t>
            </w:r>
          </w:p>
        </w:tc>
        <w:tc>
          <w:tcPr>
            <w:tcW w:w="1418" w:type="dxa"/>
            <w:shd w:val="clear" w:color="auto" w:fill="auto"/>
            <w:vAlign w:val="center"/>
          </w:tcPr>
          <w:p w14:paraId="646D7661" w14:textId="77777777" w:rsidR="007B690E" w:rsidRPr="007B690E" w:rsidRDefault="007B690E" w:rsidP="007B690E">
            <w:pPr>
              <w:widowControl w:val="0"/>
              <w:tabs>
                <w:tab w:val="left" w:pos="213"/>
              </w:tabs>
              <w:spacing w:after="0" w:line="240" w:lineRule="auto"/>
              <w:rPr>
                <w:rFonts w:ascii="Arial" w:eastAsia="Calibri" w:hAnsi="Arial" w:cs="Arial"/>
                <w:sz w:val="16"/>
                <w:szCs w:val="16"/>
              </w:rPr>
            </w:pPr>
            <w:r w:rsidRPr="007B690E">
              <w:rPr>
                <w:rFonts w:ascii="Arial" w:eastAsia="Calibri" w:hAnsi="Arial" w:cs="Arial"/>
                <w:bCs/>
                <w:sz w:val="16"/>
                <w:szCs w:val="16"/>
              </w:rPr>
              <w:t>Lei 9.717/98, art.1º, § único e 6°, IV e VI; Resolução CMN 3992/2010, art. 4º.</w:t>
            </w:r>
          </w:p>
        </w:tc>
        <w:tc>
          <w:tcPr>
            <w:tcW w:w="1417" w:type="dxa"/>
            <w:vAlign w:val="center"/>
          </w:tcPr>
          <w:p w14:paraId="56634E1D" w14:textId="77777777" w:rsidR="007B690E" w:rsidRPr="007B690E" w:rsidRDefault="007B690E" w:rsidP="007B690E">
            <w:pPr>
              <w:widowControl w:val="0"/>
              <w:spacing w:after="0" w:line="240" w:lineRule="auto"/>
              <w:jc w:val="center"/>
              <w:rPr>
                <w:rFonts w:ascii="Arial" w:eastAsia="Calibri" w:hAnsi="Arial" w:cs="Arial"/>
                <w:sz w:val="16"/>
                <w:szCs w:val="16"/>
              </w:rPr>
            </w:pPr>
            <w:r w:rsidRPr="007B690E">
              <w:rPr>
                <w:rFonts w:ascii="Arial" w:eastAsia="Calibri" w:hAnsi="Arial" w:cs="Arial"/>
                <w:color w:val="000000"/>
                <w:sz w:val="16"/>
                <w:szCs w:val="16"/>
              </w:rPr>
              <w:t>Conformidade (Verificação documental)</w:t>
            </w:r>
          </w:p>
        </w:tc>
        <w:tc>
          <w:tcPr>
            <w:tcW w:w="2694" w:type="dxa"/>
            <w:shd w:val="clear" w:color="auto" w:fill="auto"/>
            <w:vAlign w:val="center"/>
          </w:tcPr>
          <w:p w14:paraId="3AB8976F" w14:textId="77777777" w:rsidR="007B690E" w:rsidRPr="007B690E" w:rsidRDefault="007B690E" w:rsidP="007B690E">
            <w:pPr>
              <w:widowControl w:val="0"/>
              <w:spacing w:after="0" w:line="240" w:lineRule="auto"/>
              <w:jc w:val="both"/>
              <w:rPr>
                <w:rFonts w:ascii="Arial" w:eastAsia="Calibri" w:hAnsi="Arial" w:cs="Arial"/>
                <w:sz w:val="16"/>
                <w:szCs w:val="16"/>
              </w:rPr>
            </w:pPr>
            <w:r w:rsidRPr="007B690E">
              <w:rPr>
                <w:rFonts w:ascii="Arial" w:eastAsia="Calibri" w:hAnsi="Arial" w:cs="Arial"/>
                <w:sz w:val="16"/>
                <w:szCs w:val="16"/>
              </w:rPr>
              <w:t>Verificar se foi instituída no exercício anterior, a Politica de Investimento para exercício financeiro subsequente.</w:t>
            </w:r>
          </w:p>
        </w:tc>
        <w:tc>
          <w:tcPr>
            <w:tcW w:w="1275" w:type="dxa"/>
            <w:shd w:val="clear" w:color="auto" w:fill="auto"/>
            <w:vAlign w:val="center"/>
          </w:tcPr>
          <w:p w14:paraId="5696628D" w14:textId="77777777" w:rsidR="007B690E" w:rsidRPr="007B690E" w:rsidRDefault="007B690E" w:rsidP="007B690E">
            <w:pPr>
              <w:widowControl w:val="0"/>
              <w:spacing w:after="0" w:line="240" w:lineRule="auto"/>
              <w:jc w:val="center"/>
              <w:rPr>
                <w:rFonts w:ascii="Calibri" w:eastAsia="Calibri" w:hAnsi="Calibri" w:cs="Times New Roman"/>
              </w:rPr>
            </w:pPr>
            <w:r w:rsidRPr="007B690E">
              <w:rPr>
                <w:rFonts w:ascii="Arial" w:eastAsia="Calibri" w:hAnsi="Arial" w:cs="Arial"/>
                <w:bCs/>
                <w:sz w:val="16"/>
                <w:szCs w:val="16"/>
              </w:rPr>
              <w:t>Contas de Gestão do RPPS</w:t>
            </w:r>
          </w:p>
        </w:tc>
      </w:tr>
      <w:tr w:rsidR="007B690E" w:rsidRPr="007B690E" w14:paraId="7C173C71" w14:textId="77777777" w:rsidTr="007B690E">
        <w:trPr>
          <w:trHeight w:val="613"/>
        </w:trPr>
        <w:tc>
          <w:tcPr>
            <w:tcW w:w="851" w:type="dxa"/>
            <w:vAlign w:val="center"/>
          </w:tcPr>
          <w:p w14:paraId="245DDE3C" w14:textId="77777777" w:rsidR="007B690E" w:rsidRPr="007B690E" w:rsidRDefault="007B690E" w:rsidP="007B690E">
            <w:pPr>
              <w:widowControl w:val="0"/>
              <w:spacing w:after="0" w:line="240" w:lineRule="auto"/>
              <w:jc w:val="center"/>
              <w:rPr>
                <w:rFonts w:ascii="Arial" w:eastAsia="Calibri" w:hAnsi="Arial" w:cs="Arial"/>
                <w:sz w:val="16"/>
                <w:szCs w:val="16"/>
              </w:rPr>
            </w:pPr>
            <w:r w:rsidRPr="007B690E">
              <w:rPr>
                <w:rFonts w:ascii="Arial" w:eastAsia="Calibri" w:hAnsi="Arial" w:cs="Arial"/>
                <w:color w:val="000000"/>
                <w:sz w:val="16"/>
                <w:szCs w:val="16"/>
              </w:rPr>
              <w:t>2.5.35</w:t>
            </w:r>
          </w:p>
        </w:tc>
        <w:tc>
          <w:tcPr>
            <w:tcW w:w="1417" w:type="dxa"/>
            <w:shd w:val="clear" w:color="auto" w:fill="auto"/>
            <w:vAlign w:val="center"/>
          </w:tcPr>
          <w:p w14:paraId="40235E3E" w14:textId="77777777" w:rsidR="007B690E" w:rsidRPr="007B690E" w:rsidRDefault="007B690E" w:rsidP="007B690E">
            <w:pPr>
              <w:widowControl w:val="0"/>
              <w:spacing w:after="0" w:line="240" w:lineRule="auto"/>
              <w:jc w:val="center"/>
              <w:rPr>
                <w:rFonts w:ascii="Arial" w:eastAsia="Calibri" w:hAnsi="Arial" w:cs="Arial"/>
                <w:sz w:val="16"/>
                <w:szCs w:val="16"/>
                <w:lang w:val="en-US"/>
              </w:rPr>
            </w:pPr>
            <w:r w:rsidRPr="007B690E">
              <w:rPr>
                <w:rFonts w:ascii="Arial" w:eastAsia="Calibri" w:hAnsi="Arial" w:cs="Arial"/>
                <w:sz w:val="16"/>
                <w:szCs w:val="16"/>
                <w:lang w:val="en-US"/>
              </w:rPr>
              <w:t>Aplicação dos recursos</w:t>
            </w:r>
          </w:p>
        </w:tc>
        <w:tc>
          <w:tcPr>
            <w:tcW w:w="1418" w:type="dxa"/>
            <w:shd w:val="clear" w:color="auto" w:fill="auto"/>
            <w:vAlign w:val="center"/>
          </w:tcPr>
          <w:p w14:paraId="27E33E13" w14:textId="77777777" w:rsidR="007B690E" w:rsidRPr="007B690E" w:rsidRDefault="007B690E" w:rsidP="007B690E">
            <w:pPr>
              <w:widowControl w:val="0"/>
              <w:tabs>
                <w:tab w:val="left" w:pos="213"/>
              </w:tabs>
              <w:spacing w:after="0" w:line="240" w:lineRule="auto"/>
              <w:rPr>
                <w:rFonts w:ascii="Arial" w:eastAsia="Calibri" w:hAnsi="Arial" w:cs="Arial"/>
                <w:bCs/>
                <w:sz w:val="16"/>
                <w:szCs w:val="16"/>
                <w:lang w:val="en-US"/>
              </w:rPr>
            </w:pPr>
            <w:r w:rsidRPr="007B690E">
              <w:rPr>
                <w:rFonts w:ascii="Arial" w:eastAsia="Calibri" w:hAnsi="Arial" w:cs="Arial"/>
                <w:bCs/>
                <w:sz w:val="16"/>
                <w:szCs w:val="16"/>
                <w:lang w:val="en-US"/>
              </w:rPr>
              <w:t>CF/88, artigo 164, § 3º.</w:t>
            </w:r>
          </w:p>
          <w:p w14:paraId="53D138AA" w14:textId="77777777" w:rsidR="007B690E" w:rsidRPr="007B690E" w:rsidRDefault="007B690E" w:rsidP="007B690E">
            <w:pPr>
              <w:widowControl w:val="0"/>
              <w:tabs>
                <w:tab w:val="left" w:pos="213"/>
              </w:tabs>
              <w:spacing w:after="0" w:line="240" w:lineRule="auto"/>
              <w:rPr>
                <w:rFonts w:ascii="Arial" w:eastAsia="Calibri" w:hAnsi="Arial" w:cs="Arial"/>
                <w:bCs/>
                <w:sz w:val="16"/>
                <w:szCs w:val="16"/>
                <w:lang w:val="en-US"/>
              </w:rPr>
            </w:pPr>
            <w:r w:rsidRPr="007B690E">
              <w:rPr>
                <w:rFonts w:ascii="Arial" w:eastAsia="Calibri" w:hAnsi="Arial" w:cs="Arial"/>
                <w:bCs/>
                <w:sz w:val="16"/>
                <w:szCs w:val="16"/>
                <w:lang w:val="en-US"/>
              </w:rPr>
              <w:t>LC 101, art. 43.</w:t>
            </w:r>
          </w:p>
        </w:tc>
        <w:tc>
          <w:tcPr>
            <w:tcW w:w="1417" w:type="dxa"/>
            <w:vAlign w:val="center"/>
          </w:tcPr>
          <w:p w14:paraId="1C77C2D4" w14:textId="77777777" w:rsidR="007B690E" w:rsidRPr="007B690E" w:rsidRDefault="007B690E" w:rsidP="007B690E">
            <w:pPr>
              <w:widowControl w:val="0"/>
              <w:spacing w:after="0" w:line="240" w:lineRule="auto"/>
              <w:jc w:val="center"/>
              <w:rPr>
                <w:rFonts w:ascii="Arial" w:eastAsia="Calibri" w:hAnsi="Arial" w:cs="Arial"/>
                <w:sz w:val="16"/>
                <w:szCs w:val="16"/>
                <w:lang w:val="en-US"/>
              </w:rPr>
            </w:pPr>
            <w:r w:rsidRPr="007B690E">
              <w:rPr>
                <w:rFonts w:ascii="Arial" w:eastAsia="Calibri" w:hAnsi="Arial" w:cs="Arial"/>
                <w:color w:val="000000"/>
                <w:sz w:val="16"/>
                <w:szCs w:val="16"/>
                <w:lang w:val="en-US"/>
              </w:rPr>
              <w:t>Auditoria Governamental de conformidade</w:t>
            </w:r>
          </w:p>
        </w:tc>
        <w:tc>
          <w:tcPr>
            <w:tcW w:w="2694" w:type="dxa"/>
            <w:shd w:val="clear" w:color="auto" w:fill="auto"/>
            <w:vAlign w:val="center"/>
          </w:tcPr>
          <w:p w14:paraId="3979F62A" w14:textId="77777777" w:rsidR="007B690E" w:rsidRPr="007B690E" w:rsidRDefault="007B690E" w:rsidP="007B690E">
            <w:pPr>
              <w:widowControl w:val="0"/>
              <w:spacing w:after="0" w:line="240" w:lineRule="auto"/>
              <w:jc w:val="both"/>
              <w:rPr>
                <w:rFonts w:ascii="Arial" w:eastAsia="Calibri" w:hAnsi="Arial" w:cs="Arial"/>
                <w:sz w:val="16"/>
                <w:szCs w:val="16"/>
              </w:rPr>
            </w:pPr>
            <w:r w:rsidRPr="007B690E">
              <w:rPr>
                <w:rFonts w:ascii="Arial" w:eastAsia="Calibri" w:hAnsi="Arial" w:cs="Arial"/>
                <w:sz w:val="16"/>
                <w:szCs w:val="16"/>
              </w:rPr>
              <w:t>Avaliar se os recursos financeiros do RPPS estão aplicados em instituições oficiais.</w:t>
            </w:r>
          </w:p>
        </w:tc>
        <w:tc>
          <w:tcPr>
            <w:tcW w:w="1275" w:type="dxa"/>
            <w:shd w:val="clear" w:color="auto" w:fill="auto"/>
            <w:vAlign w:val="center"/>
          </w:tcPr>
          <w:p w14:paraId="16E5771C" w14:textId="77777777" w:rsidR="007B690E" w:rsidRPr="007B690E" w:rsidRDefault="007B690E" w:rsidP="007B690E">
            <w:pPr>
              <w:widowControl w:val="0"/>
              <w:spacing w:after="0" w:line="240" w:lineRule="auto"/>
              <w:jc w:val="center"/>
              <w:rPr>
                <w:rFonts w:ascii="Calibri" w:eastAsia="Calibri" w:hAnsi="Calibri" w:cs="Times New Roman"/>
              </w:rPr>
            </w:pPr>
            <w:r w:rsidRPr="007B690E">
              <w:rPr>
                <w:rFonts w:ascii="Arial" w:eastAsia="Calibri" w:hAnsi="Arial" w:cs="Arial"/>
                <w:bCs/>
                <w:sz w:val="16"/>
                <w:szCs w:val="16"/>
              </w:rPr>
              <w:t>Contas de Gestão do RPPS</w:t>
            </w:r>
          </w:p>
        </w:tc>
      </w:tr>
      <w:tr w:rsidR="007B690E" w:rsidRPr="007B690E" w14:paraId="2406F267" w14:textId="77777777" w:rsidTr="007B690E">
        <w:trPr>
          <w:trHeight w:val="613"/>
        </w:trPr>
        <w:tc>
          <w:tcPr>
            <w:tcW w:w="851" w:type="dxa"/>
            <w:vAlign w:val="center"/>
          </w:tcPr>
          <w:p w14:paraId="2276C200" w14:textId="77777777" w:rsidR="007B690E" w:rsidRPr="007B690E" w:rsidRDefault="007B690E" w:rsidP="007B690E">
            <w:pPr>
              <w:widowControl w:val="0"/>
              <w:spacing w:after="0" w:line="240" w:lineRule="auto"/>
              <w:jc w:val="center"/>
              <w:rPr>
                <w:rFonts w:ascii="Arial" w:eastAsia="Calibri" w:hAnsi="Arial" w:cs="Arial"/>
                <w:sz w:val="16"/>
                <w:szCs w:val="16"/>
              </w:rPr>
            </w:pPr>
            <w:r w:rsidRPr="007B690E">
              <w:rPr>
                <w:rFonts w:ascii="Arial" w:eastAsia="Calibri" w:hAnsi="Arial" w:cs="Arial"/>
                <w:color w:val="000000"/>
                <w:sz w:val="16"/>
                <w:szCs w:val="16"/>
              </w:rPr>
              <w:t>2.5.36</w:t>
            </w:r>
          </w:p>
        </w:tc>
        <w:tc>
          <w:tcPr>
            <w:tcW w:w="1417" w:type="dxa"/>
            <w:shd w:val="clear" w:color="auto" w:fill="auto"/>
            <w:vAlign w:val="center"/>
          </w:tcPr>
          <w:p w14:paraId="40FD32B9" w14:textId="77777777" w:rsidR="007B690E" w:rsidRPr="007B690E" w:rsidRDefault="007B690E" w:rsidP="007B690E">
            <w:pPr>
              <w:widowControl w:val="0"/>
              <w:spacing w:after="0" w:line="240" w:lineRule="auto"/>
              <w:jc w:val="center"/>
              <w:rPr>
                <w:rFonts w:ascii="Arial" w:eastAsia="Calibri" w:hAnsi="Arial" w:cs="Arial"/>
                <w:sz w:val="16"/>
                <w:szCs w:val="16"/>
                <w:lang w:val="en-US"/>
              </w:rPr>
            </w:pPr>
            <w:r w:rsidRPr="007B690E">
              <w:rPr>
                <w:rFonts w:ascii="Arial" w:eastAsia="Calibri" w:hAnsi="Arial" w:cs="Arial"/>
                <w:sz w:val="16"/>
                <w:szCs w:val="16"/>
                <w:lang w:val="en-US"/>
              </w:rPr>
              <w:t>Utilização do Formulário (APR)</w:t>
            </w:r>
          </w:p>
        </w:tc>
        <w:tc>
          <w:tcPr>
            <w:tcW w:w="1418" w:type="dxa"/>
            <w:shd w:val="clear" w:color="auto" w:fill="auto"/>
            <w:vAlign w:val="center"/>
          </w:tcPr>
          <w:p w14:paraId="4C8FA9F0" w14:textId="77777777" w:rsidR="007B690E" w:rsidRPr="007B690E" w:rsidRDefault="007B690E" w:rsidP="007B690E">
            <w:pPr>
              <w:widowControl w:val="0"/>
              <w:tabs>
                <w:tab w:val="left" w:pos="213"/>
              </w:tabs>
              <w:spacing w:after="0" w:line="240" w:lineRule="auto"/>
              <w:rPr>
                <w:rFonts w:ascii="Arial" w:eastAsia="Calibri" w:hAnsi="Arial" w:cs="Arial"/>
                <w:bCs/>
                <w:sz w:val="16"/>
                <w:szCs w:val="16"/>
              </w:rPr>
            </w:pPr>
            <w:r w:rsidRPr="007B690E">
              <w:rPr>
                <w:rFonts w:ascii="Arial" w:eastAsia="Calibri" w:hAnsi="Arial" w:cs="Arial"/>
                <w:bCs/>
                <w:sz w:val="16"/>
                <w:szCs w:val="16"/>
              </w:rPr>
              <w:t>Portaria MPS 519, de 24 de Agosto de 2011, Art. 3º-B.</w:t>
            </w:r>
          </w:p>
        </w:tc>
        <w:tc>
          <w:tcPr>
            <w:tcW w:w="1417" w:type="dxa"/>
            <w:vAlign w:val="center"/>
          </w:tcPr>
          <w:p w14:paraId="3E774802" w14:textId="77777777" w:rsidR="007B690E" w:rsidRPr="007B690E" w:rsidRDefault="007B690E" w:rsidP="007B690E">
            <w:pPr>
              <w:widowControl w:val="0"/>
              <w:spacing w:after="0" w:line="240" w:lineRule="auto"/>
              <w:jc w:val="center"/>
              <w:rPr>
                <w:rFonts w:ascii="Arial" w:eastAsia="Calibri" w:hAnsi="Arial" w:cs="Arial"/>
                <w:sz w:val="16"/>
                <w:szCs w:val="16"/>
              </w:rPr>
            </w:pPr>
            <w:r w:rsidRPr="007B690E">
              <w:rPr>
                <w:rFonts w:ascii="Arial" w:eastAsia="Calibri" w:hAnsi="Arial" w:cs="Arial"/>
                <w:color w:val="000000"/>
                <w:sz w:val="16"/>
                <w:szCs w:val="16"/>
                <w:lang w:val="en-US"/>
              </w:rPr>
              <w:t>Auditoria Governamental de conformidade</w:t>
            </w:r>
          </w:p>
        </w:tc>
        <w:tc>
          <w:tcPr>
            <w:tcW w:w="2694" w:type="dxa"/>
            <w:shd w:val="clear" w:color="auto" w:fill="auto"/>
            <w:vAlign w:val="center"/>
          </w:tcPr>
          <w:p w14:paraId="01125D2E" w14:textId="77777777" w:rsidR="007B690E" w:rsidRPr="007B690E" w:rsidRDefault="007B690E" w:rsidP="007B690E">
            <w:pPr>
              <w:widowControl w:val="0"/>
              <w:spacing w:after="0" w:line="240" w:lineRule="auto"/>
              <w:jc w:val="both"/>
              <w:rPr>
                <w:rFonts w:ascii="Arial" w:eastAsia="Calibri" w:hAnsi="Arial" w:cs="Arial"/>
                <w:sz w:val="16"/>
                <w:szCs w:val="16"/>
              </w:rPr>
            </w:pPr>
            <w:r w:rsidRPr="007B690E">
              <w:rPr>
                <w:rFonts w:ascii="Arial" w:eastAsia="Calibri" w:hAnsi="Arial" w:cs="Arial"/>
                <w:sz w:val="16"/>
                <w:szCs w:val="16"/>
              </w:rPr>
              <w:t>Avaliar se o formulário de Autorização de Aplicação e Resgate (APR) está sendo utilizado em todas as aplicações e resgates.</w:t>
            </w:r>
          </w:p>
        </w:tc>
        <w:tc>
          <w:tcPr>
            <w:tcW w:w="1275" w:type="dxa"/>
            <w:shd w:val="clear" w:color="auto" w:fill="auto"/>
            <w:vAlign w:val="center"/>
          </w:tcPr>
          <w:p w14:paraId="388D6921" w14:textId="77777777" w:rsidR="007B690E" w:rsidRPr="007B690E" w:rsidRDefault="007B690E" w:rsidP="007B690E">
            <w:pPr>
              <w:widowControl w:val="0"/>
              <w:spacing w:after="0" w:line="240" w:lineRule="auto"/>
              <w:jc w:val="center"/>
              <w:rPr>
                <w:rFonts w:ascii="Calibri" w:eastAsia="Calibri" w:hAnsi="Calibri" w:cs="Times New Roman"/>
              </w:rPr>
            </w:pPr>
            <w:r w:rsidRPr="007B690E">
              <w:rPr>
                <w:rFonts w:ascii="Arial" w:eastAsia="Calibri" w:hAnsi="Arial" w:cs="Arial"/>
                <w:bCs/>
                <w:sz w:val="16"/>
                <w:szCs w:val="16"/>
              </w:rPr>
              <w:t>Contas de Gestão do RPPS</w:t>
            </w:r>
          </w:p>
        </w:tc>
      </w:tr>
      <w:tr w:rsidR="007B690E" w:rsidRPr="007B690E" w14:paraId="088361D1" w14:textId="77777777" w:rsidTr="007B690E">
        <w:trPr>
          <w:trHeight w:val="613"/>
        </w:trPr>
        <w:tc>
          <w:tcPr>
            <w:tcW w:w="851" w:type="dxa"/>
            <w:vAlign w:val="center"/>
          </w:tcPr>
          <w:p w14:paraId="398E2F70" w14:textId="77777777" w:rsidR="007B690E" w:rsidRPr="007B690E" w:rsidRDefault="007B690E" w:rsidP="007B690E">
            <w:pPr>
              <w:widowControl w:val="0"/>
              <w:spacing w:after="0" w:line="240" w:lineRule="auto"/>
              <w:jc w:val="center"/>
              <w:rPr>
                <w:rFonts w:ascii="Arial" w:eastAsia="Calibri" w:hAnsi="Arial" w:cs="Arial"/>
                <w:bCs/>
                <w:sz w:val="16"/>
                <w:szCs w:val="16"/>
              </w:rPr>
            </w:pPr>
            <w:r w:rsidRPr="007B690E">
              <w:rPr>
                <w:rFonts w:ascii="Arial" w:eastAsia="Calibri" w:hAnsi="Arial" w:cs="Arial"/>
                <w:color w:val="000000"/>
                <w:sz w:val="16"/>
                <w:szCs w:val="16"/>
              </w:rPr>
              <w:t>2.5.37</w:t>
            </w:r>
          </w:p>
        </w:tc>
        <w:tc>
          <w:tcPr>
            <w:tcW w:w="1417" w:type="dxa"/>
            <w:shd w:val="clear" w:color="auto" w:fill="auto"/>
            <w:vAlign w:val="center"/>
          </w:tcPr>
          <w:p w14:paraId="1EBEA33F" w14:textId="77777777" w:rsidR="007B690E" w:rsidRPr="007B690E" w:rsidRDefault="007B690E" w:rsidP="007B690E">
            <w:pPr>
              <w:widowControl w:val="0"/>
              <w:spacing w:after="0" w:line="240" w:lineRule="auto"/>
              <w:jc w:val="center"/>
              <w:rPr>
                <w:rFonts w:ascii="Arial" w:eastAsia="Calibri" w:hAnsi="Arial" w:cs="Arial"/>
                <w:bCs/>
                <w:sz w:val="16"/>
                <w:szCs w:val="16"/>
                <w:lang w:val="en-US"/>
              </w:rPr>
            </w:pPr>
            <w:r w:rsidRPr="007B690E">
              <w:rPr>
                <w:rFonts w:ascii="Arial" w:eastAsia="Calibri" w:hAnsi="Arial" w:cs="Arial"/>
                <w:bCs/>
                <w:sz w:val="16"/>
                <w:szCs w:val="16"/>
                <w:lang w:val="en-US"/>
              </w:rPr>
              <w:t>Registro de Admissões</w:t>
            </w:r>
          </w:p>
        </w:tc>
        <w:tc>
          <w:tcPr>
            <w:tcW w:w="1418" w:type="dxa"/>
            <w:shd w:val="clear" w:color="auto" w:fill="auto"/>
            <w:vAlign w:val="center"/>
          </w:tcPr>
          <w:p w14:paraId="12896D46" w14:textId="77777777" w:rsidR="007B690E" w:rsidRPr="007B690E" w:rsidRDefault="007B690E" w:rsidP="007B690E">
            <w:pPr>
              <w:widowControl w:val="0"/>
              <w:spacing w:after="0" w:line="240" w:lineRule="auto"/>
              <w:jc w:val="center"/>
              <w:rPr>
                <w:rFonts w:ascii="Arial" w:eastAsia="Calibri" w:hAnsi="Arial" w:cs="Arial"/>
                <w:bCs/>
                <w:sz w:val="16"/>
                <w:szCs w:val="16"/>
                <w:lang w:val="en-US"/>
              </w:rPr>
            </w:pPr>
            <w:r w:rsidRPr="007B690E">
              <w:rPr>
                <w:rFonts w:ascii="Arial" w:eastAsia="Calibri" w:hAnsi="Arial" w:cs="Arial"/>
                <w:bCs/>
                <w:sz w:val="16"/>
                <w:szCs w:val="16"/>
                <w:lang w:val="en-US"/>
              </w:rPr>
              <w:t>CF/88, art. 71, III e IN TC nº 38/2016</w:t>
            </w:r>
          </w:p>
        </w:tc>
        <w:tc>
          <w:tcPr>
            <w:tcW w:w="1417" w:type="dxa"/>
            <w:vAlign w:val="center"/>
          </w:tcPr>
          <w:p w14:paraId="3D31D18C" w14:textId="77777777" w:rsidR="007B690E" w:rsidRPr="007B690E" w:rsidRDefault="007B690E" w:rsidP="007B690E">
            <w:pPr>
              <w:widowControl w:val="0"/>
              <w:autoSpaceDE w:val="0"/>
              <w:autoSpaceDN w:val="0"/>
              <w:adjustRightInd w:val="0"/>
              <w:spacing w:after="0" w:line="240" w:lineRule="auto"/>
              <w:jc w:val="center"/>
              <w:rPr>
                <w:rFonts w:ascii="Arial" w:eastAsia="Calibri" w:hAnsi="Arial" w:cs="Arial"/>
                <w:bCs/>
                <w:sz w:val="16"/>
                <w:szCs w:val="16"/>
              </w:rPr>
            </w:pPr>
            <w:r w:rsidRPr="007B690E">
              <w:rPr>
                <w:rFonts w:ascii="Arial" w:eastAsia="Calibri" w:hAnsi="Arial" w:cs="Arial"/>
                <w:color w:val="000000"/>
                <w:sz w:val="16"/>
                <w:szCs w:val="16"/>
              </w:rPr>
              <w:t>Auditoria Governamental de conformidade</w:t>
            </w:r>
          </w:p>
        </w:tc>
        <w:tc>
          <w:tcPr>
            <w:tcW w:w="2694" w:type="dxa"/>
            <w:shd w:val="clear" w:color="auto" w:fill="auto"/>
            <w:vAlign w:val="center"/>
          </w:tcPr>
          <w:p w14:paraId="3B40CDC3" w14:textId="77777777" w:rsidR="007B690E" w:rsidRPr="007B690E" w:rsidRDefault="007B690E" w:rsidP="007B690E">
            <w:pPr>
              <w:widowControl w:val="0"/>
              <w:spacing w:after="0" w:line="240" w:lineRule="auto"/>
              <w:jc w:val="both"/>
              <w:rPr>
                <w:rFonts w:ascii="Arial" w:eastAsia="Calibri" w:hAnsi="Arial" w:cs="Arial"/>
                <w:bCs/>
                <w:sz w:val="16"/>
                <w:szCs w:val="16"/>
              </w:rPr>
            </w:pPr>
            <w:r w:rsidRPr="007B690E">
              <w:rPr>
                <w:rFonts w:ascii="Arial" w:eastAsia="Calibri" w:hAnsi="Arial" w:cs="Arial"/>
                <w:bCs/>
                <w:sz w:val="16"/>
                <w:szCs w:val="16"/>
              </w:rPr>
              <w:t>Verificar se as admissões de servidores efetivos estão sendo encaminhadas ao TCE para fins de registro.</w:t>
            </w:r>
          </w:p>
        </w:tc>
        <w:tc>
          <w:tcPr>
            <w:tcW w:w="1275" w:type="dxa"/>
            <w:shd w:val="clear" w:color="auto" w:fill="auto"/>
            <w:vAlign w:val="center"/>
          </w:tcPr>
          <w:p w14:paraId="40228CE1" w14:textId="77777777" w:rsidR="007B690E" w:rsidRPr="007B690E" w:rsidRDefault="007B690E" w:rsidP="007B690E">
            <w:pPr>
              <w:widowControl w:val="0"/>
              <w:spacing w:after="0" w:line="240" w:lineRule="auto"/>
              <w:jc w:val="center"/>
              <w:rPr>
                <w:rFonts w:ascii="Arial" w:eastAsia="Calibri" w:hAnsi="Arial" w:cs="Arial"/>
                <w:bCs/>
                <w:sz w:val="16"/>
                <w:szCs w:val="16"/>
              </w:rPr>
            </w:pPr>
            <w:r w:rsidRPr="007B690E">
              <w:rPr>
                <w:rFonts w:ascii="Arial" w:eastAsia="Calibri" w:hAnsi="Arial" w:cs="Arial"/>
                <w:color w:val="000000"/>
                <w:sz w:val="16"/>
                <w:szCs w:val="16"/>
              </w:rPr>
              <w:t>Contas de Gestão (Todas as UG's)</w:t>
            </w:r>
          </w:p>
        </w:tc>
      </w:tr>
      <w:tr w:rsidR="007B690E" w:rsidRPr="007B690E" w14:paraId="10EBC99F" w14:textId="77777777" w:rsidTr="007B690E">
        <w:trPr>
          <w:trHeight w:val="613"/>
        </w:trPr>
        <w:tc>
          <w:tcPr>
            <w:tcW w:w="851" w:type="dxa"/>
            <w:vAlign w:val="center"/>
          </w:tcPr>
          <w:p w14:paraId="334C4CBE" w14:textId="77777777" w:rsidR="007B690E" w:rsidRPr="007B690E" w:rsidRDefault="007B690E" w:rsidP="007B690E">
            <w:pPr>
              <w:widowControl w:val="0"/>
              <w:spacing w:after="0" w:line="240" w:lineRule="auto"/>
              <w:jc w:val="center"/>
              <w:rPr>
                <w:rFonts w:ascii="Arial" w:eastAsia="Calibri" w:hAnsi="Arial" w:cs="Arial"/>
                <w:bCs/>
                <w:sz w:val="16"/>
                <w:szCs w:val="16"/>
              </w:rPr>
            </w:pPr>
            <w:r w:rsidRPr="007B690E">
              <w:rPr>
                <w:rFonts w:ascii="Arial" w:eastAsia="Calibri" w:hAnsi="Arial" w:cs="Arial"/>
                <w:color w:val="000000"/>
                <w:sz w:val="16"/>
                <w:szCs w:val="16"/>
              </w:rPr>
              <w:lastRenderedPageBreak/>
              <w:t>2.5.38</w:t>
            </w:r>
          </w:p>
        </w:tc>
        <w:tc>
          <w:tcPr>
            <w:tcW w:w="1417" w:type="dxa"/>
            <w:shd w:val="clear" w:color="auto" w:fill="auto"/>
            <w:vAlign w:val="center"/>
          </w:tcPr>
          <w:p w14:paraId="1128E93F" w14:textId="77777777" w:rsidR="007B690E" w:rsidRPr="007B690E" w:rsidRDefault="007B690E" w:rsidP="007B690E">
            <w:pPr>
              <w:widowControl w:val="0"/>
              <w:spacing w:after="0" w:line="240" w:lineRule="auto"/>
              <w:jc w:val="center"/>
              <w:rPr>
                <w:rFonts w:ascii="Arial" w:eastAsia="Calibri" w:hAnsi="Arial" w:cs="Arial"/>
                <w:bCs/>
                <w:sz w:val="16"/>
                <w:szCs w:val="16"/>
              </w:rPr>
            </w:pPr>
            <w:r w:rsidRPr="007B690E">
              <w:rPr>
                <w:rFonts w:ascii="Arial" w:eastAsia="Calibri" w:hAnsi="Arial" w:cs="Arial"/>
                <w:bCs/>
                <w:sz w:val="16"/>
                <w:szCs w:val="16"/>
              </w:rPr>
              <w:t>Registro de Aposentadorias, reserva remunerada e reforma</w:t>
            </w:r>
          </w:p>
        </w:tc>
        <w:tc>
          <w:tcPr>
            <w:tcW w:w="1418" w:type="dxa"/>
            <w:shd w:val="clear" w:color="auto" w:fill="auto"/>
            <w:vAlign w:val="center"/>
          </w:tcPr>
          <w:p w14:paraId="6988CFA7" w14:textId="77777777" w:rsidR="007B690E" w:rsidRPr="007B690E" w:rsidRDefault="007B690E" w:rsidP="007B690E">
            <w:pPr>
              <w:widowControl w:val="0"/>
              <w:spacing w:after="0" w:line="240" w:lineRule="auto"/>
              <w:jc w:val="center"/>
              <w:rPr>
                <w:rFonts w:ascii="Arial" w:eastAsia="Calibri" w:hAnsi="Arial" w:cs="Arial"/>
                <w:bCs/>
                <w:sz w:val="16"/>
                <w:szCs w:val="16"/>
                <w:lang w:val="en-US"/>
              </w:rPr>
            </w:pPr>
            <w:r w:rsidRPr="007B690E">
              <w:rPr>
                <w:rFonts w:ascii="Arial" w:eastAsia="Calibri" w:hAnsi="Arial" w:cs="Arial"/>
                <w:bCs/>
                <w:sz w:val="16"/>
                <w:szCs w:val="16"/>
                <w:lang w:val="en-US"/>
              </w:rPr>
              <w:t>CF/88, art. 71, III e IN TC nº 31/2014, art. 2º.</w:t>
            </w:r>
          </w:p>
        </w:tc>
        <w:tc>
          <w:tcPr>
            <w:tcW w:w="1417" w:type="dxa"/>
            <w:vAlign w:val="center"/>
          </w:tcPr>
          <w:p w14:paraId="40933B98" w14:textId="77777777" w:rsidR="007B690E" w:rsidRPr="007B690E" w:rsidRDefault="007B690E" w:rsidP="007B690E">
            <w:pPr>
              <w:widowControl w:val="0"/>
              <w:autoSpaceDE w:val="0"/>
              <w:autoSpaceDN w:val="0"/>
              <w:adjustRightInd w:val="0"/>
              <w:spacing w:after="0" w:line="240" w:lineRule="auto"/>
              <w:jc w:val="center"/>
              <w:rPr>
                <w:rFonts w:ascii="Arial" w:eastAsia="Calibri" w:hAnsi="Arial" w:cs="Arial"/>
                <w:bCs/>
                <w:sz w:val="16"/>
                <w:szCs w:val="16"/>
              </w:rPr>
            </w:pPr>
            <w:r w:rsidRPr="007B690E">
              <w:rPr>
                <w:rFonts w:ascii="Arial" w:eastAsia="Calibri" w:hAnsi="Arial" w:cs="Arial"/>
                <w:color w:val="000000"/>
                <w:sz w:val="16"/>
                <w:szCs w:val="16"/>
                <w:lang w:val="en-US"/>
              </w:rPr>
              <w:t>Auditoria Governamental de conformidade</w:t>
            </w:r>
          </w:p>
        </w:tc>
        <w:tc>
          <w:tcPr>
            <w:tcW w:w="2694" w:type="dxa"/>
            <w:shd w:val="clear" w:color="auto" w:fill="auto"/>
            <w:vAlign w:val="center"/>
          </w:tcPr>
          <w:p w14:paraId="6B620EB5" w14:textId="77777777" w:rsidR="007B690E" w:rsidRPr="007B690E" w:rsidRDefault="007B690E" w:rsidP="007B690E">
            <w:pPr>
              <w:widowControl w:val="0"/>
              <w:spacing w:after="0" w:line="240" w:lineRule="auto"/>
              <w:jc w:val="both"/>
              <w:rPr>
                <w:rFonts w:ascii="Arial" w:eastAsia="Calibri" w:hAnsi="Arial" w:cs="Arial"/>
                <w:bCs/>
                <w:sz w:val="16"/>
                <w:szCs w:val="16"/>
              </w:rPr>
            </w:pPr>
            <w:r w:rsidRPr="007B690E">
              <w:rPr>
                <w:rFonts w:ascii="Arial" w:eastAsia="Calibri" w:hAnsi="Arial" w:cs="Arial"/>
                <w:bCs/>
                <w:sz w:val="16"/>
                <w:szCs w:val="16"/>
              </w:rPr>
              <w:t>Verificar se aposentadorias de servidores efetivos, a transferência para a reserva remunerada e a reforma de militares concedidas pelo RPPS estão sendo encaminhadas ao TCE para fins de registro.</w:t>
            </w:r>
          </w:p>
        </w:tc>
        <w:tc>
          <w:tcPr>
            <w:tcW w:w="1275" w:type="dxa"/>
            <w:shd w:val="clear" w:color="auto" w:fill="auto"/>
            <w:vAlign w:val="center"/>
          </w:tcPr>
          <w:p w14:paraId="2BDB2373" w14:textId="77777777" w:rsidR="007B690E" w:rsidRPr="007B690E" w:rsidRDefault="007B690E" w:rsidP="007B690E">
            <w:pPr>
              <w:widowControl w:val="0"/>
              <w:spacing w:after="0" w:line="240" w:lineRule="auto"/>
              <w:jc w:val="center"/>
              <w:rPr>
                <w:rFonts w:ascii="Calibri" w:eastAsia="Calibri" w:hAnsi="Calibri" w:cs="Times New Roman"/>
              </w:rPr>
            </w:pPr>
            <w:r w:rsidRPr="007B690E">
              <w:rPr>
                <w:rFonts w:ascii="Arial" w:eastAsia="Calibri" w:hAnsi="Arial" w:cs="Arial"/>
                <w:bCs/>
                <w:sz w:val="16"/>
                <w:szCs w:val="16"/>
              </w:rPr>
              <w:t>Contas de Gestão do RPPS</w:t>
            </w:r>
          </w:p>
        </w:tc>
      </w:tr>
      <w:tr w:rsidR="007B690E" w:rsidRPr="007B690E" w14:paraId="5242FD34" w14:textId="77777777" w:rsidTr="007B690E">
        <w:trPr>
          <w:trHeight w:val="613"/>
        </w:trPr>
        <w:tc>
          <w:tcPr>
            <w:tcW w:w="851" w:type="dxa"/>
            <w:vAlign w:val="center"/>
          </w:tcPr>
          <w:p w14:paraId="40A2A03E" w14:textId="77777777" w:rsidR="007B690E" w:rsidRPr="007B690E" w:rsidRDefault="007B690E" w:rsidP="007B690E">
            <w:pPr>
              <w:widowControl w:val="0"/>
              <w:spacing w:after="0" w:line="240" w:lineRule="auto"/>
              <w:jc w:val="center"/>
              <w:rPr>
                <w:rFonts w:ascii="Arial" w:eastAsia="Calibri" w:hAnsi="Arial" w:cs="Arial"/>
                <w:bCs/>
                <w:sz w:val="16"/>
                <w:szCs w:val="16"/>
              </w:rPr>
            </w:pPr>
            <w:r w:rsidRPr="007B690E">
              <w:rPr>
                <w:rFonts w:ascii="Arial" w:eastAsia="Calibri" w:hAnsi="Arial" w:cs="Arial"/>
                <w:color w:val="000000"/>
                <w:sz w:val="16"/>
                <w:szCs w:val="16"/>
              </w:rPr>
              <w:t>2.5.39</w:t>
            </w:r>
          </w:p>
        </w:tc>
        <w:tc>
          <w:tcPr>
            <w:tcW w:w="1417" w:type="dxa"/>
            <w:shd w:val="clear" w:color="auto" w:fill="auto"/>
            <w:vAlign w:val="center"/>
          </w:tcPr>
          <w:p w14:paraId="39EA4F4D" w14:textId="77777777" w:rsidR="007B690E" w:rsidRPr="007B690E" w:rsidRDefault="007B690E" w:rsidP="007B690E">
            <w:pPr>
              <w:widowControl w:val="0"/>
              <w:spacing w:after="0" w:line="240" w:lineRule="auto"/>
              <w:jc w:val="center"/>
              <w:rPr>
                <w:rFonts w:ascii="Arial" w:eastAsia="Calibri" w:hAnsi="Arial" w:cs="Arial"/>
                <w:bCs/>
                <w:sz w:val="16"/>
                <w:szCs w:val="16"/>
                <w:lang w:val="en-US"/>
              </w:rPr>
            </w:pPr>
            <w:r w:rsidRPr="007B690E">
              <w:rPr>
                <w:rFonts w:ascii="Arial" w:eastAsia="Calibri" w:hAnsi="Arial" w:cs="Arial"/>
                <w:bCs/>
                <w:sz w:val="16"/>
                <w:szCs w:val="16"/>
                <w:lang w:val="en-US"/>
              </w:rPr>
              <w:t>Registro de Pensões</w:t>
            </w:r>
          </w:p>
        </w:tc>
        <w:tc>
          <w:tcPr>
            <w:tcW w:w="1418" w:type="dxa"/>
            <w:shd w:val="clear" w:color="auto" w:fill="auto"/>
            <w:vAlign w:val="center"/>
          </w:tcPr>
          <w:p w14:paraId="6CF12293" w14:textId="77777777" w:rsidR="007B690E" w:rsidRPr="007B690E" w:rsidRDefault="007B690E" w:rsidP="007B690E">
            <w:pPr>
              <w:widowControl w:val="0"/>
              <w:spacing w:after="0" w:line="240" w:lineRule="auto"/>
              <w:jc w:val="center"/>
              <w:rPr>
                <w:rFonts w:ascii="Arial" w:eastAsia="Calibri" w:hAnsi="Arial" w:cs="Arial"/>
                <w:bCs/>
                <w:sz w:val="16"/>
                <w:szCs w:val="16"/>
                <w:lang w:val="en-US"/>
              </w:rPr>
            </w:pPr>
            <w:r w:rsidRPr="007B690E">
              <w:rPr>
                <w:rFonts w:ascii="Arial" w:eastAsia="Calibri" w:hAnsi="Arial" w:cs="Arial"/>
                <w:bCs/>
                <w:sz w:val="16"/>
                <w:szCs w:val="16"/>
                <w:lang w:val="en-US"/>
              </w:rPr>
              <w:t>CF/88, art. 71, III e IN TC nº 31/2014, art. 2º.</w:t>
            </w:r>
          </w:p>
        </w:tc>
        <w:tc>
          <w:tcPr>
            <w:tcW w:w="1417" w:type="dxa"/>
            <w:vAlign w:val="center"/>
          </w:tcPr>
          <w:p w14:paraId="79C846ED" w14:textId="77777777" w:rsidR="007B690E" w:rsidRPr="007B690E" w:rsidRDefault="007B690E" w:rsidP="007B690E">
            <w:pPr>
              <w:widowControl w:val="0"/>
              <w:autoSpaceDE w:val="0"/>
              <w:autoSpaceDN w:val="0"/>
              <w:adjustRightInd w:val="0"/>
              <w:spacing w:after="0" w:line="240" w:lineRule="auto"/>
              <w:jc w:val="center"/>
              <w:rPr>
                <w:rFonts w:ascii="Arial" w:eastAsia="Calibri" w:hAnsi="Arial" w:cs="Arial"/>
                <w:bCs/>
                <w:sz w:val="16"/>
                <w:szCs w:val="16"/>
              </w:rPr>
            </w:pPr>
            <w:r w:rsidRPr="007B690E">
              <w:rPr>
                <w:rFonts w:ascii="Arial" w:eastAsia="Calibri" w:hAnsi="Arial" w:cs="Arial"/>
                <w:color w:val="000000"/>
                <w:sz w:val="16"/>
                <w:szCs w:val="16"/>
                <w:lang w:val="en-US"/>
              </w:rPr>
              <w:t>Auditoria Governamental de conformidade</w:t>
            </w:r>
          </w:p>
        </w:tc>
        <w:tc>
          <w:tcPr>
            <w:tcW w:w="2694" w:type="dxa"/>
            <w:shd w:val="clear" w:color="auto" w:fill="auto"/>
            <w:vAlign w:val="center"/>
          </w:tcPr>
          <w:p w14:paraId="1355F719" w14:textId="77777777" w:rsidR="007B690E" w:rsidRPr="007B690E" w:rsidRDefault="007B690E" w:rsidP="007B690E">
            <w:pPr>
              <w:widowControl w:val="0"/>
              <w:spacing w:after="0" w:line="240" w:lineRule="auto"/>
              <w:jc w:val="both"/>
              <w:rPr>
                <w:rFonts w:ascii="Arial" w:eastAsia="Calibri" w:hAnsi="Arial" w:cs="Arial"/>
                <w:bCs/>
                <w:sz w:val="16"/>
                <w:szCs w:val="16"/>
              </w:rPr>
            </w:pPr>
            <w:r w:rsidRPr="007B690E">
              <w:rPr>
                <w:rFonts w:ascii="Arial" w:eastAsia="Calibri" w:hAnsi="Arial" w:cs="Arial"/>
                <w:bCs/>
                <w:sz w:val="16"/>
                <w:szCs w:val="16"/>
              </w:rPr>
              <w:t>Verificar se as pensões concedidas pelo RPPS estão sendo encaminhadas ao TCE para fins de registro.</w:t>
            </w:r>
          </w:p>
        </w:tc>
        <w:tc>
          <w:tcPr>
            <w:tcW w:w="1275" w:type="dxa"/>
            <w:shd w:val="clear" w:color="auto" w:fill="auto"/>
            <w:vAlign w:val="center"/>
          </w:tcPr>
          <w:p w14:paraId="63F53D71" w14:textId="77777777" w:rsidR="007B690E" w:rsidRPr="007B690E" w:rsidRDefault="007B690E" w:rsidP="007B690E">
            <w:pPr>
              <w:widowControl w:val="0"/>
              <w:spacing w:after="0" w:line="240" w:lineRule="auto"/>
              <w:jc w:val="center"/>
              <w:rPr>
                <w:rFonts w:ascii="Calibri" w:eastAsia="Calibri" w:hAnsi="Calibri" w:cs="Times New Roman"/>
              </w:rPr>
            </w:pPr>
            <w:r w:rsidRPr="007B690E">
              <w:rPr>
                <w:rFonts w:ascii="Arial" w:eastAsia="Calibri" w:hAnsi="Arial" w:cs="Arial"/>
                <w:bCs/>
                <w:sz w:val="16"/>
                <w:szCs w:val="16"/>
              </w:rPr>
              <w:t>Contas de Gestão do RPPS</w:t>
            </w:r>
          </w:p>
        </w:tc>
      </w:tr>
      <w:tr w:rsidR="007B690E" w:rsidRPr="007B690E" w14:paraId="7E52607E" w14:textId="77777777" w:rsidTr="007B690E">
        <w:trPr>
          <w:trHeight w:val="613"/>
        </w:trPr>
        <w:tc>
          <w:tcPr>
            <w:tcW w:w="851" w:type="dxa"/>
            <w:vAlign w:val="center"/>
          </w:tcPr>
          <w:p w14:paraId="6EF895F8" w14:textId="77777777" w:rsidR="007B690E" w:rsidRPr="007B690E" w:rsidRDefault="007B690E" w:rsidP="007B690E">
            <w:pPr>
              <w:widowControl w:val="0"/>
              <w:spacing w:after="0" w:line="240" w:lineRule="auto"/>
              <w:jc w:val="center"/>
              <w:rPr>
                <w:rFonts w:ascii="Arial" w:eastAsia="Calibri" w:hAnsi="Arial" w:cs="Arial"/>
                <w:bCs/>
                <w:sz w:val="16"/>
                <w:szCs w:val="16"/>
              </w:rPr>
            </w:pPr>
            <w:r w:rsidRPr="007B690E">
              <w:rPr>
                <w:rFonts w:ascii="Arial" w:eastAsia="Calibri" w:hAnsi="Arial" w:cs="Arial"/>
                <w:color w:val="000000"/>
                <w:sz w:val="16"/>
                <w:szCs w:val="16"/>
              </w:rPr>
              <w:t>2.5.40</w:t>
            </w:r>
          </w:p>
        </w:tc>
        <w:tc>
          <w:tcPr>
            <w:tcW w:w="1417" w:type="dxa"/>
            <w:shd w:val="clear" w:color="auto" w:fill="auto"/>
            <w:vAlign w:val="center"/>
          </w:tcPr>
          <w:p w14:paraId="519E4261" w14:textId="77777777" w:rsidR="007B690E" w:rsidRPr="007B690E" w:rsidRDefault="007B690E" w:rsidP="007B690E">
            <w:pPr>
              <w:widowControl w:val="0"/>
              <w:spacing w:after="0" w:line="240" w:lineRule="auto"/>
              <w:jc w:val="center"/>
              <w:rPr>
                <w:rFonts w:ascii="Arial" w:eastAsia="Calibri" w:hAnsi="Arial" w:cs="Arial"/>
                <w:bCs/>
                <w:sz w:val="16"/>
                <w:szCs w:val="16"/>
              </w:rPr>
            </w:pPr>
            <w:r w:rsidRPr="007B690E">
              <w:rPr>
                <w:rFonts w:ascii="Arial" w:eastAsia="Calibri" w:hAnsi="Arial" w:cs="Arial"/>
                <w:bCs/>
                <w:sz w:val="16"/>
                <w:szCs w:val="16"/>
              </w:rPr>
              <w:t>Concessão e pagamento indevidos de aposentadoria por invalidez</w:t>
            </w:r>
          </w:p>
        </w:tc>
        <w:tc>
          <w:tcPr>
            <w:tcW w:w="1418" w:type="dxa"/>
            <w:shd w:val="clear" w:color="auto" w:fill="auto"/>
            <w:vAlign w:val="center"/>
          </w:tcPr>
          <w:p w14:paraId="3F6563AC" w14:textId="77777777" w:rsidR="007B690E" w:rsidRPr="007B690E" w:rsidRDefault="007B690E" w:rsidP="007B690E">
            <w:pPr>
              <w:widowControl w:val="0"/>
              <w:spacing w:after="0" w:line="240" w:lineRule="auto"/>
              <w:jc w:val="center"/>
              <w:rPr>
                <w:rFonts w:ascii="Arial" w:eastAsia="Calibri" w:hAnsi="Arial" w:cs="Arial"/>
                <w:bCs/>
                <w:sz w:val="16"/>
                <w:szCs w:val="16"/>
              </w:rPr>
            </w:pPr>
            <w:r w:rsidRPr="007B690E">
              <w:rPr>
                <w:rFonts w:ascii="Arial" w:eastAsia="Calibri" w:hAnsi="Arial" w:cs="Arial"/>
                <w:bCs/>
                <w:sz w:val="16"/>
                <w:szCs w:val="16"/>
              </w:rPr>
              <w:t>Art. 37 da CF/88</w:t>
            </w:r>
          </w:p>
        </w:tc>
        <w:tc>
          <w:tcPr>
            <w:tcW w:w="1417" w:type="dxa"/>
            <w:vAlign w:val="center"/>
          </w:tcPr>
          <w:p w14:paraId="2FAD8E8F" w14:textId="77777777" w:rsidR="007B690E" w:rsidRPr="007B690E" w:rsidRDefault="007B690E" w:rsidP="007B690E">
            <w:pPr>
              <w:widowControl w:val="0"/>
              <w:spacing w:after="0" w:line="240" w:lineRule="auto"/>
              <w:jc w:val="center"/>
              <w:rPr>
                <w:rFonts w:ascii="Arial" w:eastAsia="Calibri" w:hAnsi="Arial" w:cs="Arial"/>
                <w:bCs/>
                <w:sz w:val="16"/>
                <w:szCs w:val="16"/>
              </w:rPr>
            </w:pPr>
            <w:r w:rsidRPr="007B690E">
              <w:rPr>
                <w:rFonts w:ascii="Arial" w:eastAsia="Calibri" w:hAnsi="Arial" w:cs="Arial"/>
                <w:color w:val="000000"/>
                <w:sz w:val="16"/>
                <w:szCs w:val="16"/>
                <w:lang w:val="en-US"/>
              </w:rPr>
              <w:t>Auditoria Governamental de conformidade</w:t>
            </w:r>
          </w:p>
        </w:tc>
        <w:tc>
          <w:tcPr>
            <w:tcW w:w="2694" w:type="dxa"/>
            <w:shd w:val="clear" w:color="auto" w:fill="auto"/>
            <w:vAlign w:val="center"/>
          </w:tcPr>
          <w:p w14:paraId="3042CBF5" w14:textId="77777777" w:rsidR="007B690E" w:rsidRPr="007B690E" w:rsidRDefault="007B690E" w:rsidP="007B690E">
            <w:pPr>
              <w:widowControl w:val="0"/>
              <w:spacing w:after="0" w:line="240" w:lineRule="auto"/>
              <w:jc w:val="both"/>
              <w:rPr>
                <w:rFonts w:ascii="Arial" w:eastAsia="Calibri" w:hAnsi="Arial" w:cs="Arial"/>
                <w:bCs/>
                <w:sz w:val="16"/>
                <w:szCs w:val="16"/>
              </w:rPr>
            </w:pPr>
            <w:r w:rsidRPr="007B690E">
              <w:rPr>
                <w:rFonts w:ascii="Arial" w:eastAsia="Calibri" w:hAnsi="Arial" w:cs="Arial"/>
                <w:bCs/>
                <w:sz w:val="16"/>
                <w:szCs w:val="16"/>
              </w:rPr>
              <w:t>Verificar se as aposentadorias por invalidez estão sendo concedidas por junta médica, composta por no mínimo três médicos peritos.</w:t>
            </w:r>
          </w:p>
        </w:tc>
        <w:tc>
          <w:tcPr>
            <w:tcW w:w="1275" w:type="dxa"/>
            <w:shd w:val="clear" w:color="auto" w:fill="auto"/>
            <w:vAlign w:val="center"/>
          </w:tcPr>
          <w:p w14:paraId="0D973ED6" w14:textId="77777777" w:rsidR="007B690E" w:rsidRPr="007B690E" w:rsidRDefault="007B690E" w:rsidP="007B690E">
            <w:pPr>
              <w:widowControl w:val="0"/>
              <w:spacing w:after="0" w:line="240" w:lineRule="auto"/>
              <w:jc w:val="center"/>
              <w:rPr>
                <w:rFonts w:ascii="Calibri" w:eastAsia="Calibri" w:hAnsi="Calibri" w:cs="Times New Roman"/>
              </w:rPr>
            </w:pPr>
            <w:r w:rsidRPr="007B690E">
              <w:rPr>
                <w:rFonts w:ascii="Arial" w:eastAsia="Calibri" w:hAnsi="Arial" w:cs="Arial"/>
                <w:bCs/>
                <w:sz w:val="16"/>
                <w:szCs w:val="16"/>
              </w:rPr>
              <w:t>Contas de Gestão do RPPS</w:t>
            </w:r>
          </w:p>
        </w:tc>
      </w:tr>
      <w:tr w:rsidR="007B690E" w:rsidRPr="007B690E" w14:paraId="229AE9C6" w14:textId="77777777" w:rsidTr="007B690E">
        <w:trPr>
          <w:trHeight w:val="613"/>
        </w:trPr>
        <w:tc>
          <w:tcPr>
            <w:tcW w:w="851" w:type="dxa"/>
            <w:vAlign w:val="center"/>
          </w:tcPr>
          <w:p w14:paraId="394CD04A" w14:textId="77777777" w:rsidR="007B690E" w:rsidRPr="007B690E" w:rsidRDefault="007B690E" w:rsidP="007B690E">
            <w:pPr>
              <w:widowControl w:val="0"/>
              <w:spacing w:after="0" w:line="240" w:lineRule="auto"/>
              <w:jc w:val="center"/>
              <w:rPr>
                <w:rFonts w:ascii="Arial" w:eastAsia="Calibri" w:hAnsi="Arial" w:cs="Arial"/>
                <w:bCs/>
                <w:sz w:val="16"/>
                <w:szCs w:val="16"/>
              </w:rPr>
            </w:pPr>
            <w:r w:rsidRPr="007B690E">
              <w:rPr>
                <w:rFonts w:ascii="Arial" w:eastAsia="Calibri" w:hAnsi="Arial" w:cs="Arial"/>
                <w:color w:val="000000"/>
                <w:sz w:val="16"/>
                <w:szCs w:val="16"/>
              </w:rPr>
              <w:t>2.5.41</w:t>
            </w:r>
          </w:p>
        </w:tc>
        <w:tc>
          <w:tcPr>
            <w:tcW w:w="1417" w:type="dxa"/>
            <w:shd w:val="clear" w:color="auto" w:fill="auto"/>
            <w:vAlign w:val="center"/>
          </w:tcPr>
          <w:p w14:paraId="52DF6CF1" w14:textId="77777777" w:rsidR="007B690E" w:rsidRPr="007B690E" w:rsidRDefault="007B690E" w:rsidP="007B690E">
            <w:pPr>
              <w:widowControl w:val="0"/>
              <w:spacing w:after="0" w:line="240" w:lineRule="auto"/>
              <w:jc w:val="center"/>
              <w:rPr>
                <w:rFonts w:ascii="Arial" w:eastAsia="Calibri" w:hAnsi="Arial" w:cs="Arial"/>
                <w:bCs/>
                <w:sz w:val="16"/>
                <w:szCs w:val="16"/>
              </w:rPr>
            </w:pPr>
            <w:r w:rsidRPr="007B690E">
              <w:rPr>
                <w:rFonts w:ascii="Arial" w:eastAsia="Calibri" w:hAnsi="Arial" w:cs="Arial"/>
                <w:bCs/>
                <w:sz w:val="16"/>
                <w:szCs w:val="16"/>
              </w:rPr>
              <w:t>Pagamento de benefícios não previdenciários</w:t>
            </w:r>
          </w:p>
        </w:tc>
        <w:tc>
          <w:tcPr>
            <w:tcW w:w="1418" w:type="dxa"/>
            <w:shd w:val="clear" w:color="auto" w:fill="auto"/>
            <w:vAlign w:val="center"/>
          </w:tcPr>
          <w:p w14:paraId="60632D05" w14:textId="77777777" w:rsidR="007B690E" w:rsidRPr="007B690E" w:rsidRDefault="007B690E" w:rsidP="007B690E">
            <w:pPr>
              <w:widowControl w:val="0"/>
              <w:tabs>
                <w:tab w:val="left" w:pos="213"/>
              </w:tabs>
              <w:spacing w:after="0" w:line="240" w:lineRule="auto"/>
              <w:rPr>
                <w:rFonts w:ascii="Arial" w:eastAsia="Calibri" w:hAnsi="Arial" w:cs="Arial"/>
                <w:bCs/>
                <w:sz w:val="16"/>
                <w:szCs w:val="16"/>
                <w:lang w:val="en-US"/>
              </w:rPr>
            </w:pPr>
            <w:r w:rsidRPr="007B690E">
              <w:rPr>
                <w:rFonts w:ascii="Arial" w:eastAsia="Calibri" w:hAnsi="Arial" w:cs="Arial"/>
                <w:bCs/>
                <w:sz w:val="16"/>
                <w:szCs w:val="16"/>
                <w:lang w:val="en-US"/>
              </w:rPr>
              <w:t>CF/88, art. 40.</w:t>
            </w:r>
          </w:p>
          <w:p w14:paraId="57C2FFFE" w14:textId="77777777" w:rsidR="007B690E" w:rsidRPr="007B690E" w:rsidRDefault="007B690E" w:rsidP="007B690E">
            <w:pPr>
              <w:widowControl w:val="0"/>
              <w:tabs>
                <w:tab w:val="left" w:pos="213"/>
              </w:tabs>
              <w:spacing w:after="0" w:line="240" w:lineRule="auto"/>
              <w:rPr>
                <w:rFonts w:ascii="Arial" w:eastAsia="Calibri" w:hAnsi="Arial" w:cs="Arial"/>
                <w:bCs/>
                <w:sz w:val="16"/>
                <w:szCs w:val="16"/>
                <w:lang w:val="en-US"/>
              </w:rPr>
            </w:pPr>
            <w:r w:rsidRPr="007B690E">
              <w:rPr>
                <w:rFonts w:ascii="Arial" w:eastAsia="Calibri" w:hAnsi="Arial" w:cs="Arial"/>
                <w:bCs/>
                <w:sz w:val="16"/>
                <w:szCs w:val="16"/>
                <w:lang w:val="en-US"/>
              </w:rPr>
              <w:t>LRF, art. 69.</w:t>
            </w:r>
          </w:p>
          <w:p w14:paraId="6EE391AE" w14:textId="77777777" w:rsidR="007B690E" w:rsidRPr="007B690E" w:rsidRDefault="007B690E" w:rsidP="007B690E">
            <w:pPr>
              <w:widowControl w:val="0"/>
              <w:tabs>
                <w:tab w:val="left" w:pos="213"/>
              </w:tabs>
              <w:spacing w:after="0" w:line="240" w:lineRule="auto"/>
              <w:rPr>
                <w:rFonts w:ascii="Arial" w:eastAsia="Calibri" w:hAnsi="Arial" w:cs="Arial"/>
                <w:bCs/>
                <w:sz w:val="16"/>
                <w:szCs w:val="16"/>
                <w:lang w:val="en-US"/>
              </w:rPr>
            </w:pPr>
            <w:r w:rsidRPr="007B690E">
              <w:rPr>
                <w:rFonts w:ascii="Arial" w:eastAsia="Calibri" w:hAnsi="Arial" w:cs="Arial"/>
                <w:bCs/>
                <w:sz w:val="16"/>
                <w:szCs w:val="16"/>
                <w:lang w:val="en-US"/>
              </w:rPr>
              <w:t>Lei 9717/1998 art. 5º.</w:t>
            </w:r>
          </w:p>
        </w:tc>
        <w:tc>
          <w:tcPr>
            <w:tcW w:w="1417" w:type="dxa"/>
            <w:vAlign w:val="center"/>
          </w:tcPr>
          <w:p w14:paraId="2B58BB52" w14:textId="77777777" w:rsidR="007B690E" w:rsidRPr="007B690E" w:rsidRDefault="007B690E" w:rsidP="007B690E">
            <w:pPr>
              <w:widowControl w:val="0"/>
              <w:spacing w:after="0" w:line="240" w:lineRule="auto"/>
              <w:jc w:val="center"/>
              <w:rPr>
                <w:rFonts w:ascii="Arial" w:eastAsia="Calibri" w:hAnsi="Arial" w:cs="Arial"/>
                <w:bCs/>
                <w:sz w:val="16"/>
                <w:szCs w:val="16"/>
                <w:lang w:val="en-US"/>
              </w:rPr>
            </w:pPr>
            <w:r w:rsidRPr="007B690E">
              <w:rPr>
                <w:rFonts w:ascii="Arial" w:eastAsia="Calibri" w:hAnsi="Arial" w:cs="Arial"/>
                <w:color w:val="000000"/>
                <w:sz w:val="16"/>
                <w:szCs w:val="16"/>
                <w:lang w:val="en-US"/>
              </w:rPr>
              <w:t>Auditoria Governamental de conformidade</w:t>
            </w:r>
          </w:p>
        </w:tc>
        <w:tc>
          <w:tcPr>
            <w:tcW w:w="2694" w:type="dxa"/>
            <w:shd w:val="clear" w:color="auto" w:fill="auto"/>
            <w:vAlign w:val="center"/>
          </w:tcPr>
          <w:p w14:paraId="0616FD0D" w14:textId="77777777" w:rsidR="007B690E" w:rsidRPr="007B690E" w:rsidRDefault="007B690E" w:rsidP="007B690E">
            <w:pPr>
              <w:widowControl w:val="0"/>
              <w:spacing w:after="0" w:line="240" w:lineRule="auto"/>
              <w:jc w:val="both"/>
              <w:rPr>
                <w:rFonts w:ascii="Arial" w:eastAsia="Calibri" w:hAnsi="Arial" w:cs="Arial"/>
                <w:bCs/>
                <w:sz w:val="16"/>
                <w:szCs w:val="16"/>
              </w:rPr>
            </w:pPr>
            <w:r w:rsidRPr="007B690E">
              <w:rPr>
                <w:rFonts w:ascii="Arial" w:eastAsia="Calibri" w:hAnsi="Arial" w:cs="Arial"/>
                <w:bCs/>
                <w:sz w:val="16"/>
                <w:szCs w:val="16"/>
              </w:rPr>
              <w:t>Verificar se o RPPS está pagando benefícios distintos aos previstos para o Regime Geral de Previdência Social.</w:t>
            </w:r>
          </w:p>
        </w:tc>
        <w:tc>
          <w:tcPr>
            <w:tcW w:w="1275" w:type="dxa"/>
            <w:shd w:val="clear" w:color="auto" w:fill="auto"/>
            <w:vAlign w:val="center"/>
          </w:tcPr>
          <w:p w14:paraId="3AF6A168" w14:textId="77777777" w:rsidR="007B690E" w:rsidRPr="007B690E" w:rsidRDefault="007B690E" w:rsidP="007B690E">
            <w:pPr>
              <w:widowControl w:val="0"/>
              <w:spacing w:after="0" w:line="240" w:lineRule="auto"/>
              <w:jc w:val="center"/>
              <w:rPr>
                <w:rFonts w:ascii="Calibri" w:eastAsia="Calibri" w:hAnsi="Calibri" w:cs="Times New Roman"/>
              </w:rPr>
            </w:pPr>
            <w:r w:rsidRPr="007B690E">
              <w:rPr>
                <w:rFonts w:ascii="Arial" w:eastAsia="Calibri" w:hAnsi="Arial" w:cs="Arial"/>
                <w:bCs/>
                <w:sz w:val="16"/>
                <w:szCs w:val="16"/>
              </w:rPr>
              <w:t>Contas de Gestão do RPPS</w:t>
            </w:r>
          </w:p>
        </w:tc>
      </w:tr>
      <w:tr w:rsidR="007B690E" w:rsidRPr="007B690E" w14:paraId="21D6FC5F" w14:textId="77777777" w:rsidTr="007B690E">
        <w:trPr>
          <w:trHeight w:val="613"/>
        </w:trPr>
        <w:tc>
          <w:tcPr>
            <w:tcW w:w="851" w:type="dxa"/>
            <w:vAlign w:val="center"/>
          </w:tcPr>
          <w:p w14:paraId="2C072659" w14:textId="77777777" w:rsidR="007B690E" w:rsidRPr="007B690E" w:rsidRDefault="007B690E" w:rsidP="007B690E">
            <w:pPr>
              <w:widowControl w:val="0"/>
              <w:jc w:val="center"/>
              <w:rPr>
                <w:rFonts w:ascii="Arial" w:eastAsia="Calibri" w:hAnsi="Arial" w:cs="Arial"/>
                <w:bCs/>
                <w:color w:val="000000"/>
                <w:sz w:val="16"/>
                <w:szCs w:val="16"/>
              </w:rPr>
            </w:pPr>
            <w:r w:rsidRPr="007B690E">
              <w:rPr>
                <w:rFonts w:ascii="Arial" w:eastAsia="Calibri" w:hAnsi="Arial" w:cs="Arial"/>
                <w:color w:val="000000"/>
                <w:sz w:val="16"/>
                <w:szCs w:val="16"/>
              </w:rPr>
              <w:t>2.5.42</w:t>
            </w:r>
          </w:p>
        </w:tc>
        <w:tc>
          <w:tcPr>
            <w:tcW w:w="1417" w:type="dxa"/>
            <w:shd w:val="clear" w:color="auto" w:fill="auto"/>
            <w:vAlign w:val="center"/>
          </w:tcPr>
          <w:p w14:paraId="295700DF" w14:textId="77777777" w:rsidR="007B690E" w:rsidRPr="007B690E" w:rsidRDefault="007B690E" w:rsidP="007B690E">
            <w:pPr>
              <w:widowControl w:val="0"/>
              <w:jc w:val="center"/>
              <w:rPr>
                <w:rFonts w:ascii="Arial" w:eastAsia="Calibri" w:hAnsi="Arial" w:cs="Arial"/>
                <w:sz w:val="16"/>
                <w:szCs w:val="16"/>
              </w:rPr>
            </w:pPr>
            <w:r w:rsidRPr="007B690E">
              <w:rPr>
                <w:rFonts w:ascii="Arial" w:eastAsia="Calibri" w:hAnsi="Arial" w:cs="Arial"/>
                <w:bCs/>
                <w:color w:val="000000"/>
                <w:sz w:val="16"/>
                <w:szCs w:val="16"/>
              </w:rPr>
              <w:t>Pagamento Indevido de Benefícios por morte do beneficiário</w:t>
            </w:r>
          </w:p>
        </w:tc>
        <w:tc>
          <w:tcPr>
            <w:tcW w:w="1418" w:type="dxa"/>
            <w:shd w:val="clear" w:color="auto" w:fill="auto"/>
            <w:vAlign w:val="center"/>
          </w:tcPr>
          <w:p w14:paraId="09C92B01" w14:textId="77777777" w:rsidR="007B690E" w:rsidRPr="007B690E" w:rsidRDefault="007B690E" w:rsidP="007B690E">
            <w:pPr>
              <w:widowControl w:val="0"/>
              <w:tabs>
                <w:tab w:val="left" w:pos="213"/>
              </w:tabs>
              <w:spacing w:after="0" w:line="240" w:lineRule="auto"/>
              <w:rPr>
                <w:rFonts w:ascii="Arial" w:eastAsia="Calibri" w:hAnsi="Arial" w:cs="Arial"/>
                <w:sz w:val="16"/>
                <w:szCs w:val="16"/>
              </w:rPr>
            </w:pPr>
            <w:r w:rsidRPr="007B690E">
              <w:rPr>
                <w:rFonts w:ascii="Arial" w:eastAsia="Calibri" w:hAnsi="Arial" w:cs="Arial"/>
                <w:sz w:val="16"/>
                <w:szCs w:val="16"/>
              </w:rPr>
              <w:t>Art. 63 da Lei Federal 4.320/64</w:t>
            </w:r>
          </w:p>
        </w:tc>
        <w:tc>
          <w:tcPr>
            <w:tcW w:w="1417" w:type="dxa"/>
            <w:vAlign w:val="center"/>
          </w:tcPr>
          <w:p w14:paraId="05837D7D" w14:textId="77777777" w:rsidR="007B690E" w:rsidRPr="007B690E" w:rsidRDefault="007B690E" w:rsidP="007B690E">
            <w:pPr>
              <w:widowControl w:val="0"/>
              <w:spacing w:after="0" w:line="240" w:lineRule="auto"/>
              <w:jc w:val="center"/>
              <w:rPr>
                <w:rFonts w:ascii="Calibri" w:eastAsia="Calibri" w:hAnsi="Calibri" w:cs="Times New Roman"/>
                <w:lang w:val="en-US"/>
              </w:rPr>
            </w:pPr>
            <w:r w:rsidRPr="007B690E">
              <w:rPr>
                <w:rFonts w:ascii="Arial" w:eastAsia="Calibri" w:hAnsi="Arial" w:cs="Arial"/>
                <w:color w:val="000000"/>
                <w:sz w:val="16"/>
                <w:szCs w:val="16"/>
                <w:lang w:val="en-US"/>
              </w:rPr>
              <w:t>Auditoria Governamental de conformidade</w:t>
            </w:r>
          </w:p>
        </w:tc>
        <w:tc>
          <w:tcPr>
            <w:tcW w:w="2694" w:type="dxa"/>
            <w:shd w:val="clear" w:color="auto" w:fill="auto"/>
            <w:vAlign w:val="center"/>
          </w:tcPr>
          <w:p w14:paraId="2071D9C3" w14:textId="77777777" w:rsidR="007B690E" w:rsidRPr="007B690E" w:rsidRDefault="007B690E" w:rsidP="007B690E">
            <w:pPr>
              <w:widowControl w:val="0"/>
              <w:spacing w:after="0"/>
              <w:jc w:val="both"/>
              <w:rPr>
                <w:rFonts w:ascii="Arial" w:eastAsia="Calibri" w:hAnsi="Arial" w:cs="Arial"/>
                <w:bCs/>
                <w:color w:val="000000"/>
                <w:sz w:val="16"/>
                <w:szCs w:val="16"/>
              </w:rPr>
            </w:pPr>
            <w:r w:rsidRPr="007B690E">
              <w:rPr>
                <w:rFonts w:ascii="Arial" w:eastAsia="Calibri" w:hAnsi="Arial" w:cs="Arial"/>
                <w:bCs/>
                <w:sz w:val="16"/>
                <w:szCs w:val="16"/>
              </w:rPr>
              <w:t>Realizar checagens periódicas no SISOB, verificando se há pagamentos para beneficiários falecidos.</w:t>
            </w:r>
          </w:p>
        </w:tc>
        <w:tc>
          <w:tcPr>
            <w:tcW w:w="1275" w:type="dxa"/>
            <w:shd w:val="clear" w:color="auto" w:fill="auto"/>
            <w:vAlign w:val="center"/>
          </w:tcPr>
          <w:p w14:paraId="4ABBCDE7" w14:textId="77777777" w:rsidR="007B690E" w:rsidRPr="007B690E" w:rsidRDefault="007B690E" w:rsidP="007B690E">
            <w:pPr>
              <w:widowControl w:val="0"/>
              <w:jc w:val="center"/>
              <w:rPr>
                <w:rFonts w:ascii="Arial" w:eastAsia="Calibri" w:hAnsi="Arial" w:cs="Arial"/>
                <w:sz w:val="16"/>
                <w:szCs w:val="16"/>
              </w:rPr>
            </w:pPr>
            <w:r w:rsidRPr="007B690E">
              <w:rPr>
                <w:rFonts w:ascii="Arial" w:eastAsia="Calibri" w:hAnsi="Arial" w:cs="Arial"/>
                <w:bCs/>
                <w:sz w:val="16"/>
                <w:szCs w:val="16"/>
              </w:rPr>
              <w:t>Contas de Gestão do RPPS</w:t>
            </w:r>
          </w:p>
        </w:tc>
      </w:tr>
      <w:tr w:rsidR="007B690E" w:rsidRPr="007B690E" w14:paraId="36E8522F" w14:textId="77777777" w:rsidTr="007B690E">
        <w:trPr>
          <w:trHeight w:val="613"/>
        </w:trPr>
        <w:tc>
          <w:tcPr>
            <w:tcW w:w="851" w:type="dxa"/>
            <w:vAlign w:val="center"/>
          </w:tcPr>
          <w:p w14:paraId="4F9CA01A" w14:textId="77777777" w:rsidR="007B690E" w:rsidRPr="007B690E" w:rsidRDefault="007B690E" w:rsidP="007B690E">
            <w:pPr>
              <w:widowControl w:val="0"/>
              <w:jc w:val="center"/>
              <w:rPr>
                <w:rFonts w:ascii="Arial" w:eastAsia="Calibri" w:hAnsi="Arial" w:cs="Arial"/>
                <w:bCs/>
                <w:color w:val="000000"/>
                <w:sz w:val="16"/>
                <w:szCs w:val="16"/>
              </w:rPr>
            </w:pPr>
            <w:r w:rsidRPr="007B690E">
              <w:rPr>
                <w:rFonts w:ascii="Arial" w:eastAsia="Calibri" w:hAnsi="Arial" w:cs="Arial"/>
                <w:color w:val="000000"/>
                <w:sz w:val="16"/>
                <w:szCs w:val="16"/>
              </w:rPr>
              <w:t>2.5.43</w:t>
            </w:r>
          </w:p>
        </w:tc>
        <w:tc>
          <w:tcPr>
            <w:tcW w:w="1417" w:type="dxa"/>
            <w:shd w:val="clear" w:color="auto" w:fill="auto"/>
            <w:vAlign w:val="center"/>
          </w:tcPr>
          <w:p w14:paraId="46B6EC3F" w14:textId="77777777" w:rsidR="007B690E" w:rsidRPr="007B690E" w:rsidRDefault="007B690E" w:rsidP="007B690E">
            <w:pPr>
              <w:widowControl w:val="0"/>
              <w:jc w:val="center"/>
              <w:rPr>
                <w:rFonts w:ascii="Arial" w:eastAsia="Calibri" w:hAnsi="Arial" w:cs="Arial"/>
                <w:bCs/>
                <w:color w:val="000000"/>
                <w:sz w:val="16"/>
                <w:szCs w:val="16"/>
              </w:rPr>
            </w:pPr>
            <w:r w:rsidRPr="007B690E">
              <w:rPr>
                <w:rFonts w:ascii="Arial" w:eastAsia="Calibri" w:hAnsi="Arial" w:cs="Arial"/>
                <w:bCs/>
                <w:color w:val="000000"/>
                <w:sz w:val="16"/>
                <w:szCs w:val="16"/>
              </w:rPr>
              <w:t>Pagamento Indevido – medidas de controle</w:t>
            </w:r>
          </w:p>
        </w:tc>
        <w:tc>
          <w:tcPr>
            <w:tcW w:w="1418" w:type="dxa"/>
            <w:shd w:val="clear" w:color="auto" w:fill="auto"/>
            <w:vAlign w:val="center"/>
          </w:tcPr>
          <w:p w14:paraId="72920ED1" w14:textId="77777777" w:rsidR="007B690E" w:rsidRPr="007B690E" w:rsidRDefault="007B690E" w:rsidP="007B690E">
            <w:pPr>
              <w:widowControl w:val="0"/>
              <w:tabs>
                <w:tab w:val="left" w:pos="213"/>
              </w:tabs>
              <w:spacing w:after="0" w:line="240" w:lineRule="auto"/>
              <w:rPr>
                <w:rFonts w:ascii="Arial" w:eastAsia="Calibri" w:hAnsi="Arial" w:cs="Arial"/>
                <w:sz w:val="16"/>
                <w:szCs w:val="16"/>
                <w:lang w:val="en-US"/>
              </w:rPr>
            </w:pPr>
            <w:r w:rsidRPr="007B690E">
              <w:rPr>
                <w:rFonts w:ascii="Arial" w:eastAsia="Calibri" w:hAnsi="Arial" w:cs="Arial"/>
                <w:sz w:val="16"/>
                <w:szCs w:val="16"/>
              </w:rPr>
              <w:t>Art. 63 da Lei Federal 4.320/64</w:t>
            </w:r>
          </w:p>
        </w:tc>
        <w:tc>
          <w:tcPr>
            <w:tcW w:w="1417" w:type="dxa"/>
            <w:vAlign w:val="center"/>
          </w:tcPr>
          <w:p w14:paraId="684F5146" w14:textId="77777777" w:rsidR="007B690E" w:rsidRPr="007B690E" w:rsidRDefault="007B690E" w:rsidP="007B690E">
            <w:pPr>
              <w:widowControl w:val="0"/>
              <w:spacing w:after="0" w:line="240" w:lineRule="auto"/>
              <w:jc w:val="center"/>
              <w:rPr>
                <w:rFonts w:ascii="Calibri" w:eastAsia="Calibri" w:hAnsi="Calibri" w:cs="Times New Roman"/>
                <w:lang w:val="en-US"/>
              </w:rPr>
            </w:pPr>
            <w:r w:rsidRPr="007B690E">
              <w:rPr>
                <w:rFonts w:ascii="Arial" w:eastAsia="Calibri" w:hAnsi="Arial" w:cs="Arial"/>
                <w:color w:val="000000"/>
                <w:sz w:val="16"/>
                <w:szCs w:val="16"/>
                <w:lang w:val="en-US"/>
              </w:rPr>
              <w:t>Auditoria Governamental de conformidade</w:t>
            </w:r>
          </w:p>
        </w:tc>
        <w:tc>
          <w:tcPr>
            <w:tcW w:w="2694" w:type="dxa"/>
            <w:shd w:val="clear" w:color="auto" w:fill="auto"/>
            <w:vAlign w:val="center"/>
          </w:tcPr>
          <w:p w14:paraId="45EDD341" w14:textId="77777777" w:rsidR="007B690E" w:rsidRPr="007B690E" w:rsidRDefault="007B690E" w:rsidP="007B690E">
            <w:pPr>
              <w:widowControl w:val="0"/>
              <w:spacing w:after="0"/>
              <w:jc w:val="both"/>
              <w:rPr>
                <w:rFonts w:ascii="Arial" w:eastAsia="Calibri" w:hAnsi="Arial" w:cs="Arial"/>
                <w:bCs/>
                <w:color w:val="000000"/>
                <w:sz w:val="16"/>
                <w:szCs w:val="16"/>
              </w:rPr>
            </w:pPr>
            <w:r w:rsidRPr="007B690E">
              <w:rPr>
                <w:rFonts w:ascii="Arial" w:eastAsia="Calibri" w:hAnsi="Arial" w:cs="Arial"/>
                <w:bCs/>
                <w:color w:val="000000"/>
                <w:sz w:val="16"/>
                <w:szCs w:val="16"/>
              </w:rPr>
              <w:t>Verificar se o RPPS adota medidas de controle para evitar o pagamento a beneficiários falecidos.</w:t>
            </w:r>
          </w:p>
        </w:tc>
        <w:tc>
          <w:tcPr>
            <w:tcW w:w="1275" w:type="dxa"/>
            <w:shd w:val="clear" w:color="auto" w:fill="auto"/>
            <w:vAlign w:val="center"/>
          </w:tcPr>
          <w:p w14:paraId="4FCE42DF" w14:textId="77777777" w:rsidR="007B690E" w:rsidRPr="007B690E" w:rsidRDefault="007B690E" w:rsidP="007B690E">
            <w:pPr>
              <w:widowControl w:val="0"/>
              <w:spacing w:after="0" w:line="240" w:lineRule="auto"/>
              <w:jc w:val="center"/>
              <w:rPr>
                <w:rFonts w:ascii="Calibri" w:eastAsia="Calibri" w:hAnsi="Calibri" w:cs="Times New Roman"/>
              </w:rPr>
            </w:pPr>
            <w:r w:rsidRPr="007B690E">
              <w:rPr>
                <w:rFonts w:ascii="Arial" w:eastAsia="Calibri" w:hAnsi="Arial" w:cs="Arial"/>
                <w:bCs/>
                <w:sz w:val="16"/>
                <w:szCs w:val="16"/>
              </w:rPr>
              <w:t>Contas de Gestão do RPPS</w:t>
            </w:r>
          </w:p>
        </w:tc>
      </w:tr>
      <w:tr w:rsidR="007B690E" w:rsidRPr="007B690E" w14:paraId="032EE174" w14:textId="77777777" w:rsidTr="007B690E">
        <w:trPr>
          <w:trHeight w:val="613"/>
        </w:trPr>
        <w:tc>
          <w:tcPr>
            <w:tcW w:w="851" w:type="dxa"/>
            <w:vAlign w:val="center"/>
          </w:tcPr>
          <w:p w14:paraId="09A5A181" w14:textId="77777777" w:rsidR="007B690E" w:rsidRPr="007B690E" w:rsidRDefault="007B690E" w:rsidP="007B690E">
            <w:pPr>
              <w:widowControl w:val="0"/>
              <w:jc w:val="center"/>
              <w:rPr>
                <w:rFonts w:ascii="Arial" w:eastAsia="Calibri" w:hAnsi="Arial" w:cs="Arial"/>
                <w:bCs/>
                <w:color w:val="000000"/>
                <w:sz w:val="16"/>
                <w:szCs w:val="16"/>
              </w:rPr>
            </w:pPr>
            <w:r w:rsidRPr="007B690E">
              <w:rPr>
                <w:rFonts w:ascii="Arial" w:eastAsia="Calibri" w:hAnsi="Arial" w:cs="Arial"/>
                <w:color w:val="000000"/>
                <w:sz w:val="16"/>
                <w:szCs w:val="16"/>
              </w:rPr>
              <w:t>2.5.44</w:t>
            </w:r>
          </w:p>
        </w:tc>
        <w:tc>
          <w:tcPr>
            <w:tcW w:w="1417" w:type="dxa"/>
            <w:shd w:val="clear" w:color="auto" w:fill="auto"/>
            <w:vAlign w:val="center"/>
          </w:tcPr>
          <w:p w14:paraId="32318FD5" w14:textId="77777777" w:rsidR="007B690E" w:rsidRPr="007B690E" w:rsidRDefault="007B690E" w:rsidP="007B690E">
            <w:pPr>
              <w:widowControl w:val="0"/>
              <w:jc w:val="center"/>
              <w:rPr>
                <w:rFonts w:ascii="Arial" w:eastAsia="Calibri" w:hAnsi="Arial" w:cs="Arial"/>
                <w:bCs/>
                <w:color w:val="000000"/>
                <w:sz w:val="16"/>
                <w:szCs w:val="16"/>
              </w:rPr>
            </w:pPr>
            <w:r w:rsidRPr="007B690E">
              <w:rPr>
                <w:rFonts w:ascii="Arial" w:eastAsia="Calibri" w:hAnsi="Arial" w:cs="Arial"/>
                <w:bCs/>
                <w:color w:val="000000"/>
                <w:sz w:val="16"/>
                <w:szCs w:val="16"/>
              </w:rPr>
              <w:t>Ação de repetição de indébito em relação a pagamento indevido de benefício</w:t>
            </w:r>
          </w:p>
        </w:tc>
        <w:tc>
          <w:tcPr>
            <w:tcW w:w="1418" w:type="dxa"/>
            <w:shd w:val="clear" w:color="auto" w:fill="auto"/>
            <w:vAlign w:val="center"/>
          </w:tcPr>
          <w:p w14:paraId="32679A2C" w14:textId="77777777" w:rsidR="007B690E" w:rsidRPr="007B690E" w:rsidRDefault="007B690E" w:rsidP="007B690E">
            <w:pPr>
              <w:widowControl w:val="0"/>
              <w:tabs>
                <w:tab w:val="left" w:pos="213"/>
              </w:tabs>
              <w:spacing w:after="0" w:line="240" w:lineRule="auto"/>
              <w:rPr>
                <w:rFonts w:ascii="Arial" w:eastAsia="Calibri" w:hAnsi="Arial" w:cs="Arial"/>
                <w:bCs/>
                <w:sz w:val="16"/>
                <w:szCs w:val="16"/>
                <w:lang w:val="en-US"/>
              </w:rPr>
            </w:pPr>
            <w:r w:rsidRPr="007B690E">
              <w:rPr>
                <w:rFonts w:ascii="Arial" w:eastAsia="Calibri" w:hAnsi="Arial" w:cs="Arial"/>
                <w:bCs/>
                <w:sz w:val="16"/>
                <w:szCs w:val="16"/>
                <w:lang w:val="en-US"/>
              </w:rPr>
              <w:t>Lei Local</w:t>
            </w:r>
          </w:p>
        </w:tc>
        <w:tc>
          <w:tcPr>
            <w:tcW w:w="1417" w:type="dxa"/>
            <w:vAlign w:val="center"/>
          </w:tcPr>
          <w:p w14:paraId="4B9261E0" w14:textId="77777777" w:rsidR="007B690E" w:rsidRPr="007B690E" w:rsidRDefault="007B690E" w:rsidP="007B690E">
            <w:pPr>
              <w:widowControl w:val="0"/>
              <w:spacing w:after="0"/>
              <w:jc w:val="center"/>
              <w:rPr>
                <w:rFonts w:ascii="Arial" w:eastAsia="Calibri" w:hAnsi="Arial" w:cs="Arial"/>
                <w:bCs/>
                <w:color w:val="000000"/>
                <w:sz w:val="16"/>
                <w:szCs w:val="16"/>
                <w:lang w:val="en-US"/>
              </w:rPr>
            </w:pPr>
            <w:r w:rsidRPr="007B690E">
              <w:rPr>
                <w:rFonts w:ascii="Arial" w:eastAsia="Calibri" w:hAnsi="Arial" w:cs="Arial"/>
                <w:color w:val="000000"/>
                <w:sz w:val="16"/>
                <w:szCs w:val="16"/>
                <w:lang w:val="en-US"/>
              </w:rPr>
              <w:t>Auditoria Governamental de conformidade</w:t>
            </w:r>
          </w:p>
        </w:tc>
        <w:tc>
          <w:tcPr>
            <w:tcW w:w="2694" w:type="dxa"/>
            <w:shd w:val="clear" w:color="auto" w:fill="auto"/>
            <w:vAlign w:val="center"/>
          </w:tcPr>
          <w:p w14:paraId="49C1AAB0" w14:textId="77777777" w:rsidR="007B690E" w:rsidRPr="007B690E" w:rsidRDefault="007B690E" w:rsidP="007B690E">
            <w:pPr>
              <w:widowControl w:val="0"/>
              <w:spacing w:after="0"/>
              <w:jc w:val="both"/>
              <w:rPr>
                <w:rFonts w:ascii="Arial" w:eastAsia="Calibri" w:hAnsi="Arial" w:cs="Arial"/>
                <w:bCs/>
                <w:color w:val="000000"/>
                <w:sz w:val="16"/>
                <w:szCs w:val="16"/>
              </w:rPr>
            </w:pPr>
            <w:r w:rsidRPr="007B690E">
              <w:rPr>
                <w:rFonts w:ascii="Arial" w:eastAsia="Calibri" w:hAnsi="Arial" w:cs="Arial"/>
                <w:bCs/>
                <w:color w:val="000000"/>
                <w:sz w:val="16"/>
                <w:szCs w:val="16"/>
              </w:rPr>
              <w:t>Verificar se há medidas efetivas para a cobrança dos valores pagos quando houver o pagamento indevido de benefícios.</w:t>
            </w:r>
          </w:p>
        </w:tc>
        <w:tc>
          <w:tcPr>
            <w:tcW w:w="1275" w:type="dxa"/>
            <w:shd w:val="clear" w:color="auto" w:fill="auto"/>
            <w:vAlign w:val="center"/>
          </w:tcPr>
          <w:p w14:paraId="25BDF363" w14:textId="77777777" w:rsidR="007B690E" w:rsidRPr="007B690E" w:rsidRDefault="007B690E" w:rsidP="007B690E">
            <w:pPr>
              <w:widowControl w:val="0"/>
              <w:spacing w:after="0" w:line="240" w:lineRule="auto"/>
              <w:jc w:val="center"/>
              <w:rPr>
                <w:rFonts w:ascii="Calibri" w:eastAsia="Calibri" w:hAnsi="Calibri" w:cs="Times New Roman"/>
              </w:rPr>
            </w:pPr>
            <w:r w:rsidRPr="007B690E">
              <w:rPr>
                <w:rFonts w:ascii="Arial" w:eastAsia="Calibri" w:hAnsi="Arial" w:cs="Arial"/>
                <w:bCs/>
                <w:sz w:val="16"/>
                <w:szCs w:val="16"/>
              </w:rPr>
              <w:t>Contas de Gestão do RPPS</w:t>
            </w:r>
          </w:p>
        </w:tc>
      </w:tr>
      <w:tr w:rsidR="007B690E" w:rsidRPr="007B690E" w14:paraId="04F28428" w14:textId="77777777" w:rsidTr="007B690E">
        <w:trPr>
          <w:trHeight w:val="613"/>
        </w:trPr>
        <w:tc>
          <w:tcPr>
            <w:tcW w:w="851" w:type="dxa"/>
            <w:vAlign w:val="center"/>
          </w:tcPr>
          <w:p w14:paraId="388BD35E" w14:textId="77777777" w:rsidR="007B690E" w:rsidRPr="007B690E" w:rsidRDefault="007B690E" w:rsidP="007B690E">
            <w:pPr>
              <w:widowControl w:val="0"/>
              <w:spacing w:after="0" w:line="240" w:lineRule="auto"/>
              <w:jc w:val="center"/>
              <w:rPr>
                <w:rFonts w:ascii="Arial" w:eastAsia="Calibri" w:hAnsi="Arial" w:cs="Arial"/>
                <w:sz w:val="16"/>
                <w:szCs w:val="16"/>
              </w:rPr>
            </w:pPr>
            <w:r w:rsidRPr="007B690E">
              <w:rPr>
                <w:rFonts w:ascii="Arial" w:eastAsia="Calibri" w:hAnsi="Arial" w:cs="Arial"/>
                <w:color w:val="000000"/>
                <w:sz w:val="16"/>
                <w:szCs w:val="16"/>
              </w:rPr>
              <w:t>2.5.45</w:t>
            </w:r>
          </w:p>
        </w:tc>
        <w:tc>
          <w:tcPr>
            <w:tcW w:w="1417" w:type="dxa"/>
            <w:shd w:val="clear" w:color="auto" w:fill="auto"/>
            <w:vAlign w:val="center"/>
          </w:tcPr>
          <w:p w14:paraId="673887C7" w14:textId="77777777" w:rsidR="007B690E" w:rsidRPr="007B690E" w:rsidRDefault="007B690E" w:rsidP="007B690E">
            <w:pPr>
              <w:widowControl w:val="0"/>
              <w:spacing w:after="0" w:line="240" w:lineRule="auto"/>
              <w:jc w:val="center"/>
              <w:rPr>
                <w:rFonts w:ascii="Arial" w:eastAsia="Calibri" w:hAnsi="Arial" w:cs="Arial"/>
                <w:sz w:val="16"/>
                <w:szCs w:val="16"/>
              </w:rPr>
            </w:pPr>
            <w:r w:rsidRPr="007B690E">
              <w:rPr>
                <w:rFonts w:ascii="Arial" w:eastAsia="Calibri" w:hAnsi="Arial" w:cs="Arial"/>
                <w:sz w:val="16"/>
                <w:szCs w:val="16"/>
              </w:rPr>
              <w:t>Despesa Administrativa – fixação em lei</w:t>
            </w:r>
          </w:p>
        </w:tc>
        <w:tc>
          <w:tcPr>
            <w:tcW w:w="1418" w:type="dxa"/>
            <w:shd w:val="clear" w:color="auto" w:fill="auto"/>
            <w:vAlign w:val="center"/>
          </w:tcPr>
          <w:p w14:paraId="7EBDCAD6" w14:textId="77777777" w:rsidR="007B690E" w:rsidRPr="007B690E" w:rsidRDefault="007B690E" w:rsidP="007B690E">
            <w:pPr>
              <w:widowControl w:val="0"/>
              <w:tabs>
                <w:tab w:val="left" w:pos="213"/>
              </w:tabs>
              <w:spacing w:after="0" w:line="240" w:lineRule="auto"/>
              <w:rPr>
                <w:rFonts w:ascii="Arial" w:eastAsia="Calibri" w:hAnsi="Arial" w:cs="Arial"/>
                <w:bCs/>
                <w:sz w:val="16"/>
                <w:szCs w:val="16"/>
              </w:rPr>
            </w:pPr>
            <w:r w:rsidRPr="007B690E">
              <w:rPr>
                <w:rFonts w:ascii="Arial" w:eastAsia="Calibri" w:hAnsi="Arial" w:cs="Arial"/>
                <w:bCs/>
                <w:sz w:val="16"/>
                <w:szCs w:val="16"/>
              </w:rPr>
              <w:t>Lei 9.717/98, art. 6. Portaria MPS 403/08, art. 15.</w:t>
            </w:r>
          </w:p>
          <w:p w14:paraId="521B6303" w14:textId="77777777" w:rsidR="007B690E" w:rsidRPr="007B690E" w:rsidRDefault="007B690E" w:rsidP="007B690E">
            <w:pPr>
              <w:widowControl w:val="0"/>
              <w:tabs>
                <w:tab w:val="left" w:pos="213"/>
              </w:tabs>
              <w:spacing w:after="0" w:line="240" w:lineRule="auto"/>
              <w:rPr>
                <w:rFonts w:ascii="Arial" w:eastAsia="Calibri" w:hAnsi="Arial" w:cs="Arial"/>
                <w:bCs/>
                <w:sz w:val="16"/>
                <w:szCs w:val="16"/>
              </w:rPr>
            </w:pPr>
            <w:r w:rsidRPr="007B690E">
              <w:rPr>
                <w:rFonts w:ascii="Arial" w:eastAsia="Calibri" w:hAnsi="Arial" w:cs="Arial"/>
                <w:bCs/>
                <w:sz w:val="16"/>
                <w:szCs w:val="16"/>
              </w:rPr>
              <w:t>Lei Local.</w:t>
            </w:r>
          </w:p>
        </w:tc>
        <w:tc>
          <w:tcPr>
            <w:tcW w:w="1417" w:type="dxa"/>
            <w:vAlign w:val="center"/>
          </w:tcPr>
          <w:p w14:paraId="7FB239E3" w14:textId="77777777" w:rsidR="007B690E" w:rsidRPr="007B690E" w:rsidRDefault="007B690E" w:rsidP="007B690E">
            <w:pPr>
              <w:widowControl w:val="0"/>
              <w:spacing w:after="0" w:line="240" w:lineRule="auto"/>
              <w:jc w:val="center"/>
              <w:rPr>
                <w:rFonts w:ascii="Arial" w:eastAsia="Calibri" w:hAnsi="Arial" w:cs="Arial"/>
                <w:sz w:val="16"/>
                <w:szCs w:val="16"/>
              </w:rPr>
            </w:pPr>
            <w:r w:rsidRPr="007B690E">
              <w:rPr>
                <w:rFonts w:ascii="Arial" w:eastAsia="Calibri" w:hAnsi="Arial" w:cs="Arial"/>
                <w:color w:val="000000"/>
                <w:sz w:val="16"/>
                <w:szCs w:val="16"/>
              </w:rPr>
              <w:t>Conformidade (Verificação documental)</w:t>
            </w:r>
          </w:p>
        </w:tc>
        <w:tc>
          <w:tcPr>
            <w:tcW w:w="2694" w:type="dxa"/>
            <w:shd w:val="clear" w:color="auto" w:fill="auto"/>
            <w:vAlign w:val="center"/>
          </w:tcPr>
          <w:p w14:paraId="7363A476" w14:textId="77777777" w:rsidR="007B690E" w:rsidRPr="007B690E" w:rsidRDefault="007B690E" w:rsidP="007B690E">
            <w:pPr>
              <w:widowControl w:val="0"/>
              <w:spacing w:after="0" w:line="240" w:lineRule="auto"/>
              <w:jc w:val="both"/>
              <w:rPr>
                <w:rFonts w:ascii="Arial" w:eastAsia="Calibri" w:hAnsi="Arial" w:cs="Arial"/>
                <w:sz w:val="16"/>
                <w:szCs w:val="16"/>
              </w:rPr>
            </w:pPr>
            <w:r w:rsidRPr="007B690E">
              <w:rPr>
                <w:rFonts w:ascii="Arial" w:eastAsia="Calibri" w:hAnsi="Arial" w:cs="Arial"/>
                <w:sz w:val="16"/>
                <w:szCs w:val="16"/>
              </w:rPr>
              <w:t>Verificar se o percentual para despesa administrativa foi fixado em lei.</w:t>
            </w:r>
          </w:p>
        </w:tc>
        <w:tc>
          <w:tcPr>
            <w:tcW w:w="1275" w:type="dxa"/>
            <w:shd w:val="clear" w:color="auto" w:fill="auto"/>
            <w:vAlign w:val="center"/>
          </w:tcPr>
          <w:p w14:paraId="50A92B64" w14:textId="77777777" w:rsidR="007B690E" w:rsidRPr="007B690E" w:rsidRDefault="007B690E" w:rsidP="007B690E">
            <w:pPr>
              <w:widowControl w:val="0"/>
              <w:spacing w:after="0" w:line="240" w:lineRule="auto"/>
              <w:jc w:val="center"/>
              <w:rPr>
                <w:rFonts w:ascii="Calibri" w:eastAsia="Calibri" w:hAnsi="Calibri" w:cs="Times New Roman"/>
              </w:rPr>
            </w:pPr>
            <w:r w:rsidRPr="007B690E">
              <w:rPr>
                <w:rFonts w:ascii="Arial" w:eastAsia="Calibri" w:hAnsi="Arial" w:cs="Arial"/>
                <w:bCs/>
                <w:sz w:val="16"/>
                <w:szCs w:val="16"/>
              </w:rPr>
              <w:t>Contas de Gestão do RPPS</w:t>
            </w:r>
          </w:p>
        </w:tc>
      </w:tr>
      <w:tr w:rsidR="007B690E" w:rsidRPr="007B690E" w14:paraId="0DE3D1C2" w14:textId="77777777" w:rsidTr="007B690E">
        <w:trPr>
          <w:trHeight w:val="613"/>
        </w:trPr>
        <w:tc>
          <w:tcPr>
            <w:tcW w:w="851" w:type="dxa"/>
            <w:vAlign w:val="center"/>
          </w:tcPr>
          <w:p w14:paraId="66C4AA6D" w14:textId="77777777" w:rsidR="007B690E" w:rsidRPr="007B690E" w:rsidRDefault="007B690E" w:rsidP="007B690E">
            <w:pPr>
              <w:widowControl w:val="0"/>
              <w:spacing w:after="0" w:line="240" w:lineRule="auto"/>
              <w:jc w:val="center"/>
              <w:rPr>
                <w:rFonts w:ascii="Arial" w:eastAsia="Calibri" w:hAnsi="Arial" w:cs="Arial"/>
                <w:sz w:val="16"/>
                <w:szCs w:val="16"/>
              </w:rPr>
            </w:pPr>
            <w:r w:rsidRPr="007B690E">
              <w:rPr>
                <w:rFonts w:ascii="Arial" w:eastAsia="Calibri" w:hAnsi="Arial" w:cs="Arial"/>
                <w:color w:val="000000"/>
                <w:sz w:val="16"/>
                <w:szCs w:val="16"/>
              </w:rPr>
              <w:t>2.5.46</w:t>
            </w:r>
          </w:p>
        </w:tc>
        <w:tc>
          <w:tcPr>
            <w:tcW w:w="1417" w:type="dxa"/>
            <w:shd w:val="clear" w:color="auto" w:fill="auto"/>
            <w:vAlign w:val="center"/>
          </w:tcPr>
          <w:p w14:paraId="21CB04C5" w14:textId="77777777" w:rsidR="007B690E" w:rsidRPr="007B690E" w:rsidRDefault="007B690E" w:rsidP="007B690E">
            <w:pPr>
              <w:widowControl w:val="0"/>
              <w:spacing w:after="0" w:line="240" w:lineRule="auto"/>
              <w:jc w:val="center"/>
              <w:rPr>
                <w:rFonts w:ascii="Arial" w:eastAsia="Calibri" w:hAnsi="Arial" w:cs="Arial"/>
                <w:sz w:val="16"/>
                <w:szCs w:val="16"/>
              </w:rPr>
            </w:pPr>
            <w:r w:rsidRPr="007B690E">
              <w:rPr>
                <w:rFonts w:ascii="Arial" w:eastAsia="Calibri" w:hAnsi="Arial" w:cs="Arial"/>
                <w:sz w:val="16"/>
                <w:szCs w:val="16"/>
              </w:rPr>
              <w:t>Despesa administrative – cumprimento do limite</w:t>
            </w:r>
          </w:p>
        </w:tc>
        <w:tc>
          <w:tcPr>
            <w:tcW w:w="1418" w:type="dxa"/>
            <w:shd w:val="clear" w:color="auto" w:fill="auto"/>
            <w:vAlign w:val="center"/>
          </w:tcPr>
          <w:p w14:paraId="0482C5FF" w14:textId="77777777" w:rsidR="007B690E" w:rsidRPr="007B690E" w:rsidRDefault="007B690E" w:rsidP="007B690E">
            <w:pPr>
              <w:widowControl w:val="0"/>
              <w:tabs>
                <w:tab w:val="left" w:pos="213"/>
              </w:tabs>
              <w:spacing w:after="0" w:line="240" w:lineRule="auto"/>
              <w:rPr>
                <w:rFonts w:ascii="Arial" w:eastAsia="Calibri" w:hAnsi="Arial" w:cs="Arial"/>
                <w:bCs/>
                <w:sz w:val="16"/>
                <w:szCs w:val="16"/>
              </w:rPr>
            </w:pPr>
            <w:r w:rsidRPr="007B690E">
              <w:rPr>
                <w:rFonts w:ascii="Arial" w:eastAsia="Calibri" w:hAnsi="Arial" w:cs="Arial"/>
                <w:bCs/>
                <w:sz w:val="16"/>
                <w:szCs w:val="16"/>
              </w:rPr>
              <w:t>Lei 9.717 de 1998, art.1, III;</w:t>
            </w:r>
          </w:p>
          <w:p w14:paraId="27F2859B" w14:textId="77777777" w:rsidR="007B690E" w:rsidRPr="007B690E" w:rsidRDefault="007B690E" w:rsidP="007B690E">
            <w:pPr>
              <w:widowControl w:val="0"/>
              <w:tabs>
                <w:tab w:val="left" w:pos="213"/>
              </w:tabs>
              <w:spacing w:after="0" w:line="240" w:lineRule="auto"/>
              <w:rPr>
                <w:rFonts w:ascii="Arial" w:eastAsia="Calibri" w:hAnsi="Arial" w:cs="Arial"/>
                <w:bCs/>
                <w:sz w:val="16"/>
                <w:szCs w:val="16"/>
              </w:rPr>
            </w:pPr>
            <w:r w:rsidRPr="007B690E">
              <w:rPr>
                <w:rFonts w:ascii="Arial" w:eastAsia="Calibri" w:hAnsi="Arial" w:cs="Arial"/>
                <w:bCs/>
                <w:sz w:val="16"/>
                <w:szCs w:val="16"/>
              </w:rPr>
              <w:t>Portaria MPS 402/2008, arts. 13, 14 e 15;</w:t>
            </w:r>
          </w:p>
          <w:p w14:paraId="1DFC471B" w14:textId="77777777" w:rsidR="007B690E" w:rsidRPr="007B690E" w:rsidRDefault="007B690E" w:rsidP="007B690E">
            <w:pPr>
              <w:widowControl w:val="0"/>
              <w:tabs>
                <w:tab w:val="left" w:pos="213"/>
              </w:tabs>
              <w:spacing w:after="0" w:line="240" w:lineRule="auto"/>
              <w:rPr>
                <w:rFonts w:ascii="Arial" w:eastAsia="Calibri" w:hAnsi="Arial" w:cs="Arial"/>
                <w:bCs/>
                <w:sz w:val="16"/>
                <w:szCs w:val="16"/>
                <w:lang w:val="en-US"/>
              </w:rPr>
            </w:pPr>
            <w:r w:rsidRPr="007B690E">
              <w:rPr>
                <w:rFonts w:ascii="Arial" w:eastAsia="Calibri" w:hAnsi="Arial" w:cs="Arial"/>
                <w:bCs/>
                <w:sz w:val="16"/>
                <w:szCs w:val="16"/>
              </w:rPr>
              <w:t xml:space="preserve">Orientação Normativa MPS/SPS 02/2009, arts. </w:t>
            </w:r>
            <w:r w:rsidRPr="007B690E">
              <w:rPr>
                <w:rFonts w:ascii="Arial" w:eastAsia="Calibri" w:hAnsi="Arial" w:cs="Arial"/>
                <w:bCs/>
                <w:sz w:val="16"/>
                <w:szCs w:val="16"/>
                <w:lang w:val="en-US"/>
              </w:rPr>
              <w:t>38, 39 e 41.</w:t>
            </w:r>
          </w:p>
        </w:tc>
        <w:tc>
          <w:tcPr>
            <w:tcW w:w="1417" w:type="dxa"/>
            <w:vAlign w:val="center"/>
          </w:tcPr>
          <w:p w14:paraId="72408855" w14:textId="77777777" w:rsidR="007B690E" w:rsidRPr="007B690E" w:rsidRDefault="007B690E" w:rsidP="007B690E">
            <w:pPr>
              <w:widowControl w:val="0"/>
              <w:spacing w:after="0" w:line="240" w:lineRule="auto"/>
              <w:jc w:val="center"/>
              <w:rPr>
                <w:rFonts w:ascii="Arial" w:eastAsia="Calibri" w:hAnsi="Arial" w:cs="Arial"/>
                <w:sz w:val="16"/>
                <w:szCs w:val="16"/>
                <w:lang w:val="en-US"/>
              </w:rPr>
            </w:pPr>
            <w:r w:rsidRPr="007B690E">
              <w:rPr>
                <w:rFonts w:ascii="Arial" w:eastAsia="Calibri" w:hAnsi="Arial" w:cs="Arial"/>
                <w:color w:val="000000"/>
                <w:sz w:val="16"/>
                <w:szCs w:val="16"/>
                <w:lang w:val="en-US"/>
              </w:rPr>
              <w:t>Auditoria Governamental de conformidade</w:t>
            </w:r>
          </w:p>
        </w:tc>
        <w:tc>
          <w:tcPr>
            <w:tcW w:w="2694" w:type="dxa"/>
            <w:shd w:val="clear" w:color="auto" w:fill="auto"/>
            <w:vAlign w:val="center"/>
          </w:tcPr>
          <w:p w14:paraId="30BB278E" w14:textId="77777777" w:rsidR="007B690E" w:rsidRPr="007B690E" w:rsidRDefault="007B690E" w:rsidP="007B690E">
            <w:pPr>
              <w:widowControl w:val="0"/>
              <w:spacing w:after="0" w:line="240" w:lineRule="auto"/>
              <w:jc w:val="both"/>
              <w:rPr>
                <w:rFonts w:ascii="Arial" w:eastAsia="Calibri" w:hAnsi="Arial" w:cs="Arial"/>
                <w:sz w:val="16"/>
                <w:szCs w:val="16"/>
              </w:rPr>
            </w:pPr>
            <w:r w:rsidRPr="007B690E">
              <w:rPr>
                <w:rFonts w:ascii="Arial" w:eastAsia="Calibri" w:hAnsi="Arial" w:cs="Arial"/>
                <w:sz w:val="16"/>
                <w:szCs w:val="16"/>
              </w:rPr>
              <w:t>Verificar se houve recursos previdenciários cobrindo o excesso da taxa administrativa (atualmente a taxa de Administração é de até 2% do valor das remunerações, proventos, pensões dos segurados vinculados ao RPPS, relativo ao exercício anterior).</w:t>
            </w:r>
          </w:p>
        </w:tc>
        <w:tc>
          <w:tcPr>
            <w:tcW w:w="1275" w:type="dxa"/>
            <w:shd w:val="clear" w:color="auto" w:fill="auto"/>
            <w:vAlign w:val="center"/>
          </w:tcPr>
          <w:p w14:paraId="16E94409" w14:textId="77777777" w:rsidR="007B690E" w:rsidRPr="007B690E" w:rsidRDefault="007B690E" w:rsidP="007B690E">
            <w:pPr>
              <w:widowControl w:val="0"/>
              <w:spacing w:after="0" w:line="240" w:lineRule="auto"/>
              <w:jc w:val="center"/>
              <w:rPr>
                <w:rFonts w:ascii="Calibri" w:eastAsia="Calibri" w:hAnsi="Calibri" w:cs="Times New Roman"/>
              </w:rPr>
            </w:pPr>
            <w:r w:rsidRPr="007B690E">
              <w:rPr>
                <w:rFonts w:ascii="Arial" w:eastAsia="Calibri" w:hAnsi="Arial" w:cs="Arial"/>
                <w:bCs/>
                <w:sz w:val="16"/>
                <w:szCs w:val="16"/>
              </w:rPr>
              <w:t>Contas de Gestão do RPPS</w:t>
            </w:r>
          </w:p>
        </w:tc>
      </w:tr>
      <w:tr w:rsidR="007B690E" w:rsidRPr="007B690E" w14:paraId="34E4CB05" w14:textId="77777777" w:rsidTr="007B690E">
        <w:trPr>
          <w:trHeight w:val="421"/>
        </w:trPr>
        <w:tc>
          <w:tcPr>
            <w:tcW w:w="9072" w:type="dxa"/>
            <w:gridSpan w:val="6"/>
            <w:vAlign w:val="center"/>
          </w:tcPr>
          <w:p w14:paraId="77F2B3B3" w14:textId="77777777" w:rsidR="007B690E" w:rsidRPr="007B690E" w:rsidRDefault="007B690E" w:rsidP="007B690E">
            <w:pPr>
              <w:widowControl w:val="0"/>
              <w:spacing w:after="0" w:line="240" w:lineRule="auto"/>
              <w:rPr>
                <w:rFonts w:ascii="Arial" w:eastAsia="Calibri" w:hAnsi="Arial" w:cs="Arial"/>
                <w:color w:val="000000"/>
                <w:sz w:val="16"/>
                <w:szCs w:val="16"/>
              </w:rPr>
            </w:pPr>
            <w:r w:rsidRPr="007B690E">
              <w:rPr>
                <w:rFonts w:ascii="Arial" w:eastAsia="Calibri" w:hAnsi="Arial" w:cs="Arial"/>
                <w:b/>
                <w:bCs/>
              </w:rPr>
              <w:t>2.6. Demais atos de gestão</w:t>
            </w:r>
          </w:p>
        </w:tc>
      </w:tr>
      <w:tr w:rsidR="007B690E" w:rsidRPr="007B690E" w14:paraId="5B2029DB" w14:textId="77777777" w:rsidTr="007B690E">
        <w:trPr>
          <w:trHeight w:val="130"/>
        </w:trPr>
        <w:tc>
          <w:tcPr>
            <w:tcW w:w="851" w:type="dxa"/>
            <w:vAlign w:val="center"/>
          </w:tcPr>
          <w:p w14:paraId="484D555C" w14:textId="77777777" w:rsidR="007B690E" w:rsidRPr="007B690E" w:rsidRDefault="007B690E" w:rsidP="007B690E">
            <w:pPr>
              <w:widowControl w:val="0"/>
              <w:spacing w:after="0" w:line="240" w:lineRule="auto"/>
              <w:jc w:val="center"/>
              <w:rPr>
                <w:rFonts w:ascii="Arial" w:eastAsia="Calibri" w:hAnsi="Arial" w:cs="Arial"/>
                <w:b/>
                <w:bCs/>
                <w:color w:val="000000"/>
                <w:sz w:val="16"/>
                <w:szCs w:val="16"/>
              </w:rPr>
            </w:pPr>
            <w:r w:rsidRPr="007B690E">
              <w:rPr>
                <w:rFonts w:ascii="Arial" w:eastAsia="Calibri" w:hAnsi="Arial" w:cs="Arial"/>
                <w:b/>
                <w:bCs/>
                <w:color w:val="000000"/>
                <w:sz w:val="16"/>
                <w:szCs w:val="16"/>
              </w:rPr>
              <w:t>Código</w:t>
            </w:r>
          </w:p>
        </w:tc>
        <w:tc>
          <w:tcPr>
            <w:tcW w:w="1417" w:type="dxa"/>
            <w:shd w:val="clear" w:color="auto" w:fill="auto"/>
            <w:vAlign w:val="center"/>
          </w:tcPr>
          <w:p w14:paraId="59D07C64" w14:textId="77777777" w:rsidR="007B690E" w:rsidRPr="007B690E" w:rsidRDefault="007B690E" w:rsidP="007B690E">
            <w:pPr>
              <w:widowControl w:val="0"/>
              <w:spacing w:after="0" w:line="240" w:lineRule="auto"/>
              <w:jc w:val="center"/>
              <w:rPr>
                <w:rFonts w:ascii="Arial" w:eastAsia="Calibri" w:hAnsi="Arial" w:cs="Arial"/>
                <w:b/>
                <w:bCs/>
                <w:color w:val="000000"/>
                <w:sz w:val="16"/>
                <w:szCs w:val="16"/>
              </w:rPr>
            </w:pPr>
            <w:r w:rsidRPr="007B690E">
              <w:rPr>
                <w:rFonts w:ascii="Arial" w:eastAsia="Calibri" w:hAnsi="Arial" w:cs="Arial"/>
                <w:b/>
                <w:bCs/>
                <w:color w:val="000000"/>
                <w:sz w:val="16"/>
                <w:szCs w:val="16"/>
              </w:rPr>
              <w:t>Ponto de controle</w:t>
            </w:r>
          </w:p>
        </w:tc>
        <w:tc>
          <w:tcPr>
            <w:tcW w:w="1418" w:type="dxa"/>
            <w:shd w:val="clear" w:color="auto" w:fill="auto"/>
            <w:vAlign w:val="center"/>
          </w:tcPr>
          <w:p w14:paraId="2E40FD98" w14:textId="77777777" w:rsidR="007B690E" w:rsidRPr="007B690E" w:rsidRDefault="007B690E" w:rsidP="007B690E">
            <w:pPr>
              <w:widowControl w:val="0"/>
              <w:spacing w:after="0" w:line="240" w:lineRule="auto"/>
              <w:jc w:val="center"/>
              <w:rPr>
                <w:rFonts w:ascii="Arial" w:eastAsia="Calibri" w:hAnsi="Arial" w:cs="Arial"/>
                <w:b/>
                <w:bCs/>
                <w:color w:val="000000"/>
                <w:sz w:val="16"/>
                <w:szCs w:val="16"/>
              </w:rPr>
            </w:pPr>
            <w:r w:rsidRPr="007B690E">
              <w:rPr>
                <w:rFonts w:ascii="Arial" w:eastAsia="Calibri" w:hAnsi="Arial" w:cs="Arial"/>
                <w:b/>
                <w:bCs/>
                <w:color w:val="000000"/>
                <w:sz w:val="16"/>
                <w:szCs w:val="16"/>
              </w:rPr>
              <w:t>Base legal</w:t>
            </w:r>
          </w:p>
        </w:tc>
        <w:tc>
          <w:tcPr>
            <w:tcW w:w="1417" w:type="dxa"/>
            <w:vAlign w:val="center"/>
          </w:tcPr>
          <w:p w14:paraId="0E4D6DF7" w14:textId="77777777" w:rsidR="007B690E" w:rsidRPr="007B690E" w:rsidRDefault="007B690E" w:rsidP="007B690E">
            <w:pPr>
              <w:widowControl w:val="0"/>
              <w:spacing w:after="0" w:line="240" w:lineRule="auto"/>
              <w:jc w:val="center"/>
              <w:rPr>
                <w:rFonts w:ascii="Arial" w:eastAsia="Calibri" w:hAnsi="Arial" w:cs="Arial"/>
                <w:b/>
                <w:bCs/>
                <w:color w:val="000000"/>
                <w:sz w:val="16"/>
                <w:szCs w:val="16"/>
              </w:rPr>
            </w:pPr>
            <w:r w:rsidRPr="007B690E">
              <w:rPr>
                <w:rFonts w:ascii="Arial" w:eastAsia="Calibri" w:hAnsi="Arial" w:cs="Arial"/>
                <w:b/>
                <w:bCs/>
                <w:color w:val="000000"/>
                <w:sz w:val="16"/>
                <w:szCs w:val="16"/>
              </w:rPr>
              <w:t>Tipo de procedimento sugerido</w:t>
            </w:r>
          </w:p>
        </w:tc>
        <w:tc>
          <w:tcPr>
            <w:tcW w:w="2694" w:type="dxa"/>
            <w:shd w:val="clear" w:color="auto" w:fill="auto"/>
            <w:vAlign w:val="center"/>
          </w:tcPr>
          <w:p w14:paraId="4B80439E" w14:textId="77777777" w:rsidR="007B690E" w:rsidRPr="007B690E" w:rsidRDefault="007B690E" w:rsidP="007B690E">
            <w:pPr>
              <w:widowControl w:val="0"/>
              <w:spacing w:after="0" w:line="240" w:lineRule="auto"/>
              <w:jc w:val="center"/>
              <w:rPr>
                <w:rFonts w:ascii="Arial" w:eastAsia="Calibri" w:hAnsi="Arial" w:cs="Arial"/>
                <w:b/>
                <w:bCs/>
                <w:color w:val="000000"/>
                <w:sz w:val="16"/>
                <w:szCs w:val="16"/>
              </w:rPr>
            </w:pPr>
            <w:r w:rsidRPr="007B690E">
              <w:rPr>
                <w:rFonts w:ascii="Arial" w:eastAsia="Calibri" w:hAnsi="Arial" w:cs="Arial"/>
                <w:b/>
                <w:bCs/>
                <w:color w:val="000000"/>
                <w:sz w:val="16"/>
                <w:szCs w:val="16"/>
              </w:rPr>
              <w:t>Procedimento</w:t>
            </w:r>
          </w:p>
        </w:tc>
        <w:tc>
          <w:tcPr>
            <w:tcW w:w="1275" w:type="dxa"/>
            <w:shd w:val="clear" w:color="auto" w:fill="auto"/>
            <w:vAlign w:val="center"/>
          </w:tcPr>
          <w:p w14:paraId="12AEE8A8" w14:textId="77777777" w:rsidR="007B690E" w:rsidRPr="007B690E" w:rsidRDefault="007B690E" w:rsidP="007B690E">
            <w:pPr>
              <w:widowControl w:val="0"/>
              <w:spacing w:after="0" w:line="240" w:lineRule="auto"/>
              <w:jc w:val="center"/>
              <w:rPr>
                <w:rFonts w:ascii="Arial" w:eastAsia="Calibri" w:hAnsi="Arial" w:cs="Arial"/>
                <w:b/>
                <w:bCs/>
                <w:color w:val="000000"/>
                <w:sz w:val="16"/>
                <w:szCs w:val="16"/>
              </w:rPr>
            </w:pPr>
            <w:r w:rsidRPr="007B690E">
              <w:rPr>
                <w:rFonts w:ascii="Arial" w:eastAsia="Calibri" w:hAnsi="Arial" w:cs="Arial"/>
                <w:b/>
                <w:bCs/>
                <w:color w:val="000000"/>
                <w:sz w:val="16"/>
                <w:szCs w:val="16"/>
              </w:rPr>
              <w:t>Aplicável à</w:t>
            </w:r>
          </w:p>
        </w:tc>
      </w:tr>
      <w:tr w:rsidR="007B690E" w:rsidRPr="007B690E" w14:paraId="7D5E51B4" w14:textId="77777777" w:rsidTr="007B690E">
        <w:trPr>
          <w:trHeight w:val="613"/>
        </w:trPr>
        <w:tc>
          <w:tcPr>
            <w:tcW w:w="851" w:type="dxa"/>
            <w:vAlign w:val="center"/>
          </w:tcPr>
          <w:p w14:paraId="7BF29291" w14:textId="77777777" w:rsidR="007B690E" w:rsidRPr="007B690E" w:rsidRDefault="007B690E" w:rsidP="007B690E">
            <w:pPr>
              <w:widowControl w:val="0"/>
              <w:autoSpaceDE w:val="0"/>
              <w:autoSpaceDN w:val="0"/>
              <w:adjustRightInd w:val="0"/>
              <w:spacing w:after="0" w:line="240" w:lineRule="auto"/>
              <w:jc w:val="center"/>
              <w:rPr>
                <w:rFonts w:ascii="Arial" w:eastAsia="Calibri" w:hAnsi="Arial" w:cs="Arial"/>
                <w:bCs/>
                <w:sz w:val="16"/>
                <w:szCs w:val="16"/>
              </w:rPr>
            </w:pPr>
            <w:r w:rsidRPr="007B690E">
              <w:rPr>
                <w:rFonts w:ascii="Arial" w:eastAsia="Calibri" w:hAnsi="Arial" w:cs="Arial"/>
                <w:bCs/>
                <w:sz w:val="16"/>
                <w:szCs w:val="16"/>
              </w:rPr>
              <w:t>2.6.1</w:t>
            </w:r>
          </w:p>
        </w:tc>
        <w:tc>
          <w:tcPr>
            <w:tcW w:w="1417" w:type="dxa"/>
            <w:shd w:val="clear" w:color="auto" w:fill="auto"/>
            <w:vAlign w:val="center"/>
          </w:tcPr>
          <w:p w14:paraId="23EDC6FA" w14:textId="77777777" w:rsidR="007B690E" w:rsidRPr="007B690E" w:rsidRDefault="007B690E" w:rsidP="007B690E">
            <w:pPr>
              <w:widowControl w:val="0"/>
              <w:autoSpaceDE w:val="0"/>
              <w:autoSpaceDN w:val="0"/>
              <w:adjustRightInd w:val="0"/>
              <w:spacing w:after="0" w:line="240" w:lineRule="auto"/>
              <w:jc w:val="both"/>
              <w:rPr>
                <w:rFonts w:ascii="Arial" w:eastAsia="Calibri" w:hAnsi="Arial" w:cs="Arial"/>
                <w:bCs/>
                <w:sz w:val="16"/>
                <w:szCs w:val="16"/>
              </w:rPr>
            </w:pPr>
            <w:r w:rsidRPr="007B690E">
              <w:rPr>
                <w:rFonts w:ascii="Arial" w:eastAsia="Calibri" w:hAnsi="Arial" w:cs="Arial"/>
                <w:bCs/>
                <w:sz w:val="16"/>
                <w:szCs w:val="16"/>
              </w:rPr>
              <w:t>Pessoal – função de confiança e cargos em comissão</w:t>
            </w:r>
          </w:p>
        </w:tc>
        <w:tc>
          <w:tcPr>
            <w:tcW w:w="1418" w:type="dxa"/>
            <w:shd w:val="clear" w:color="auto" w:fill="auto"/>
            <w:vAlign w:val="center"/>
          </w:tcPr>
          <w:p w14:paraId="73F739DC" w14:textId="77777777" w:rsidR="007B690E" w:rsidRPr="007B690E" w:rsidRDefault="007B690E" w:rsidP="007B690E">
            <w:pPr>
              <w:widowControl w:val="0"/>
              <w:autoSpaceDE w:val="0"/>
              <w:autoSpaceDN w:val="0"/>
              <w:adjustRightInd w:val="0"/>
              <w:spacing w:after="0" w:line="240" w:lineRule="auto"/>
              <w:jc w:val="both"/>
              <w:rPr>
                <w:rFonts w:ascii="Arial" w:eastAsia="Calibri" w:hAnsi="Arial" w:cs="Arial"/>
                <w:bCs/>
                <w:sz w:val="16"/>
                <w:szCs w:val="16"/>
                <w:lang w:val="en-US"/>
              </w:rPr>
            </w:pPr>
            <w:r w:rsidRPr="007B690E">
              <w:rPr>
                <w:rFonts w:ascii="Arial" w:eastAsia="Calibri" w:hAnsi="Arial" w:cs="Arial"/>
                <w:bCs/>
                <w:sz w:val="16"/>
                <w:szCs w:val="16"/>
                <w:lang w:val="en-US"/>
              </w:rPr>
              <w:t>CRFB/88, art. 37, inciso V.</w:t>
            </w:r>
          </w:p>
        </w:tc>
        <w:tc>
          <w:tcPr>
            <w:tcW w:w="1417" w:type="dxa"/>
            <w:vAlign w:val="center"/>
          </w:tcPr>
          <w:p w14:paraId="6E73B357" w14:textId="77777777" w:rsidR="007B690E" w:rsidRPr="007B690E" w:rsidRDefault="007B690E" w:rsidP="007B690E">
            <w:pPr>
              <w:widowControl w:val="0"/>
              <w:autoSpaceDE w:val="0"/>
              <w:autoSpaceDN w:val="0"/>
              <w:adjustRightInd w:val="0"/>
              <w:spacing w:after="0" w:line="240" w:lineRule="auto"/>
              <w:jc w:val="center"/>
              <w:rPr>
                <w:rFonts w:ascii="Arial" w:eastAsia="Calibri" w:hAnsi="Arial" w:cs="Arial"/>
                <w:bCs/>
                <w:sz w:val="16"/>
                <w:szCs w:val="16"/>
                <w:lang w:val="en-US"/>
              </w:rPr>
            </w:pPr>
            <w:r w:rsidRPr="007B690E">
              <w:rPr>
                <w:rFonts w:ascii="Arial" w:eastAsia="Calibri" w:hAnsi="Arial" w:cs="Arial"/>
                <w:color w:val="000000"/>
                <w:sz w:val="16"/>
                <w:szCs w:val="16"/>
                <w:lang w:val="en-US"/>
              </w:rPr>
              <w:t>Auditoria governamental de conformidade</w:t>
            </w:r>
          </w:p>
        </w:tc>
        <w:tc>
          <w:tcPr>
            <w:tcW w:w="2694" w:type="dxa"/>
            <w:shd w:val="clear" w:color="auto" w:fill="auto"/>
            <w:vAlign w:val="center"/>
          </w:tcPr>
          <w:p w14:paraId="67B40BB6" w14:textId="77777777" w:rsidR="007B690E" w:rsidRPr="007B690E" w:rsidRDefault="007B690E" w:rsidP="007B690E">
            <w:pPr>
              <w:widowControl w:val="0"/>
              <w:autoSpaceDE w:val="0"/>
              <w:autoSpaceDN w:val="0"/>
              <w:adjustRightInd w:val="0"/>
              <w:spacing w:after="0" w:line="240" w:lineRule="auto"/>
              <w:jc w:val="both"/>
              <w:rPr>
                <w:rFonts w:ascii="Arial" w:eastAsia="Calibri" w:hAnsi="Arial" w:cs="Arial"/>
                <w:bCs/>
                <w:sz w:val="16"/>
                <w:szCs w:val="16"/>
              </w:rPr>
            </w:pPr>
            <w:r w:rsidRPr="007B690E">
              <w:rPr>
                <w:rFonts w:ascii="Arial" w:eastAsia="Calibri" w:hAnsi="Arial" w:cs="Arial"/>
                <w:bCs/>
                <w:sz w:val="16"/>
                <w:szCs w:val="16"/>
              </w:rPr>
              <w:t>Avaliar se as funções de confiança estão sendo exercidas exclusivamente por servidores ocupantes de cargo efetivo e se os cargos em comissão destinam-se apenas às atribuições de direção, chefia e assessoramento.</w:t>
            </w:r>
          </w:p>
        </w:tc>
        <w:tc>
          <w:tcPr>
            <w:tcW w:w="1275" w:type="dxa"/>
            <w:shd w:val="clear" w:color="auto" w:fill="auto"/>
            <w:vAlign w:val="center"/>
          </w:tcPr>
          <w:p w14:paraId="01322FBF" w14:textId="77777777" w:rsidR="007B690E" w:rsidRPr="007B690E" w:rsidRDefault="007B690E" w:rsidP="007B690E">
            <w:pPr>
              <w:widowControl w:val="0"/>
              <w:autoSpaceDE w:val="0"/>
              <w:autoSpaceDN w:val="0"/>
              <w:adjustRightInd w:val="0"/>
              <w:spacing w:after="0" w:line="240" w:lineRule="auto"/>
              <w:jc w:val="center"/>
              <w:rPr>
                <w:rFonts w:ascii="Arial" w:eastAsia="Calibri" w:hAnsi="Arial" w:cs="Arial"/>
                <w:bCs/>
                <w:sz w:val="16"/>
                <w:szCs w:val="16"/>
              </w:rPr>
            </w:pPr>
            <w:r w:rsidRPr="007B690E">
              <w:rPr>
                <w:rFonts w:ascii="Arial" w:eastAsia="Calibri" w:hAnsi="Arial" w:cs="Arial"/>
                <w:color w:val="000000"/>
                <w:sz w:val="16"/>
                <w:szCs w:val="16"/>
              </w:rPr>
              <w:t>Contas de Gestão (Todas as UG's)</w:t>
            </w:r>
          </w:p>
        </w:tc>
      </w:tr>
      <w:tr w:rsidR="007B690E" w:rsidRPr="007B690E" w14:paraId="0E0F89B9" w14:textId="77777777" w:rsidTr="007B690E">
        <w:trPr>
          <w:trHeight w:val="613"/>
        </w:trPr>
        <w:tc>
          <w:tcPr>
            <w:tcW w:w="851" w:type="dxa"/>
            <w:vAlign w:val="center"/>
          </w:tcPr>
          <w:p w14:paraId="267163C0" w14:textId="77777777" w:rsidR="007B690E" w:rsidRPr="007B690E" w:rsidRDefault="007B690E" w:rsidP="007B690E">
            <w:pPr>
              <w:widowControl w:val="0"/>
              <w:autoSpaceDE w:val="0"/>
              <w:autoSpaceDN w:val="0"/>
              <w:adjustRightInd w:val="0"/>
              <w:spacing w:after="0" w:line="240" w:lineRule="auto"/>
              <w:jc w:val="center"/>
              <w:rPr>
                <w:rFonts w:ascii="Arial" w:eastAsia="Calibri" w:hAnsi="Arial" w:cs="Arial"/>
                <w:bCs/>
                <w:sz w:val="16"/>
                <w:szCs w:val="16"/>
              </w:rPr>
            </w:pPr>
            <w:r w:rsidRPr="007B690E">
              <w:rPr>
                <w:rFonts w:ascii="Arial" w:eastAsia="Calibri" w:hAnsi="Arial" w:cs="Arial"/>
                <w:bCs/>
                <w:sz w:val="16"/>
                <w:szCs w:val="16"/>
              </w:rPr>
              <w:t>2.6.2</w:t>
            </w:r>
          </w:p>
        </w:tc>
        <w:tc>
          <w:tcPr>
            <w:tcW w:w="1417" w:type="dxa"/>
            <w:shd w:val="clear" w:color="auto" w:fill="auto"/>
            <w:vAlign w:val="center"/>
          </w:tcPr>
          <w:p w14:paraId="670C776B" w14:textId="77777777" w:rsidR="007B690E" w:rsidRPr="007B690E" w:rsidRDefault="007B690E" w:rsidP="007B690E">
            <w:pPr>
              <w:widowControl w:val="0"/>
              <w:autoSpaceDE w:val="0"/>
              <w:autoSpaceDN w:val="0"/>
              <w:adjustRightInd w:val="0"/>
              <w:spacing w:after="0" w:line="240" w:lineRule="auto"/>
              <w:jc w:val="both"/>
              <w:rPr>
                <w:rFonts w:ascii="Arial" w:eastAsia="Calibri" w:hAnsi="Arial" w:cs="Arial"/>
                <w:bCs/>
                <w:sz w:val="16"/>
                <w:szCs w:val="16"/>
              </w:rPr>
            </w:pPr>
            <w:r w:rsidRPr="007B690E">
              <w:rPr>
                <w:rFonts w:ascii="Arial" w:eastAsia="Calibri" w:hAnsi="Arial" w:cs="Arial"/>
                <w:bCs/>
                <w:sz w:val="16"/>
                <w:szCs w:val="16"/>
              </w:rPr>
              <w:t>Pessoal – função de confiança e cargos em comissão</w:t>
            </w:r>
          </w:p>
        </w:tc>
        <w:tc>
          <w:tcPr>
            <w:tcW w:w="1418" w:type="dxa"/>
            <w:shd w:val="clear" w:color="auto" w:fill="auto"/>
            <w:vAlign w:val="center"/>
          </w:tcPr>
          <w:p w14:paraId="644E2653" w14:textId="77777777" w:rsidR="007B690E" w:rsidRPr="007B690E" w:rsidRDefault="007B690E" w:rsidP="007B690E">
            <w:pPr>
              <w:widowControl w:val="0"/>
              <w:autoSpaceDE w:val="0"/>
              <w:autoSpaceDN w:val="0"/>
              <w:adjustRightInd w:val="0"/>
              <w:spacing w:after="0" w:line="240" w:lineRule="auto"/>
              <w:jc w:val="both"/>
              <w:rPr>
                <w:rFonts w:ascii="Arial" w:eastAsia="Calibri" w:hAnsi="Arial" w:cs="Arial"/>
                <w:bCs/>
                <w:sz w:val="16"/>
                <w:szCs w:val="16"/>
                <w:lang w:val="en-US"/>
              </w:rPr>
            </w:pPr>
            <w:r w:rsidRPr="007B690E">
              <w:rPr>
                <w:rFonts w:ascii="Arial" w:eastAsia="Calibri" w:hAnsi="Arial" w:cs="Arial"/>
                <w:bCs/>
                <w:sz w:val="16"/>
                <w:szCs w:val="16"/>
                <w:lang w:val="en-US"/>
              </w:rPr>
              <w:t>Legislação específica do órgão.</w:t>
            </w:r>
          </w:p>
        </w:tc>
        <w:tc>
          <w:tcPr>
            <w:tcW w:w="1417" w:type="dxa"/>
            <w:vAlign w:val="center"/>
          </w:tcPr>
          <w:p w14:paraId="252131EB" w14:textId="77777777" w:rsidR="007B690E" w:rsidRPr="007B690E" w:rsidRDefault="007B690E" w:rsidP="007B690E">
            <w:pPr>
              <w:widowControl w:val="0"/>
              <w:autoSpaceDE w:val="0"/>
              <w:autoSpaceDN w:val="0"/>
              <w:adjustRightInd w:val="0"/>
              <w:spacing w:after="0" w:line="240" w:lineRule="auto"/>
              <w:jc w:val="center"/>
              <w:rPr>
                <w:rFonts w:ascii="Arial" w:eastAsia="Calibri" w:hAnsi="Arial" w:cs="Arial"/>
                <w:bCs/>
                <w:sz w:val="16"/>
                <w:szCs w:val="16"/>
                <w:lang w:val="en-US"/>
              </w:rPr>
            </w:pPr>
            <w:r w:rsidRPr="007B690E">
              <w:rPr>
                <w:rFonts w:ascii="Arial" w:eastAsia="Calibri" w:hAnsi="Arial" w:cs="Arial"/>
                <w:color w:val="000000"/>
                <w:sz w:val="16"/>
                <w:szCs w:val="16"/>
                <w:lang w:val="en-US"/>
              </w:rPr>
              <w:t>Auditoria governamental de conformidade</w:t>
            </w:r>
          </w:p>
        </w:tc>
        <w:tc>
          <w:tcPr>
            <w:tcW w:w="2694" w:type="dxa"/>
            <w:shd w:val="clear" w:color="auto" w:fill="auto"/>
            <w:vAlign w:val="center"/>
          </w:tcPr>
          <w:p w14:paraId="0584D034" w14:textId="77777777" w:rsidR="007B690E" w:rsidRPr="007B690E" w:rsidRDefault="007B690E" w:rsidP="007B690E">
            <w:pPr>
              <w:widowControl w:val="0"/>
              <w:autoSpaceDE w:val="0"/>
              <w:autoSpaceDN w:val="0"/>
              <w:adjustRightInd w:val="0"/>
              <w:spacing w:after="0" w:line="240" w:lineRule="auto"/>
              <w:jc w:val="both"/>
              <w:rPr>
                <w:rFonts w:ascii="Arial" w:eastAsia="Calibri" w:hAnsi="Arial" w:cs="Arial"/>
                <w:bCs/>
                <w:sz w:val="16"/>
                <w:szCs w:val="16"/>
              </w:rPr>
            </w:pPr>
            <w:r w:rsidRPr="007B690E">
              <w:rPr>
                <w:rFonts w:ascii="Arial" w:eastAsia="Calibri" w:hAnsi="Arial" w:cs="Arial"/>
                <w:bCs/>
                <w:sz w:val="16"/>
                <w:szCs w:val="16"/>
              </w:rPr>
              <w:t>Nos órgãos que dispõem de lei específica disciplinando condições e percentual mínimo dos cargos em comissão a serem preenchidos por servidores de carreira, avaliar se a legislação específica está sendo observada.</w:t>
            </w:r>
          </w:p>
        </w:tc>
        <w:tc>
          <w:tcPr>
            <w:tcW w:w="1275" w:type="dxa"/>
            <w:shd w:val="clear" w:color="auto" w:fill="auto"/>
            <w:vAlign w:val="center"/>
          </w:tcPr>
          <w:p w14:paraId="53340779" w14:textId="77777777" w:rsidR="007B690E" w:rsidRPr="007B690E" w:rsidRDefault="007B690E" w:rsidP="007B690E">
            <w:pPr>
              <w:widowControl w:val="0"/>
              <w:spacing w:after="0" w:line="240" w:lineRule="auto"/>
              <w:jc w:val="center"/>
              <w:rPr>
                <w:rFonts w:ascii="Calibri" w:eastAsia="Calibri" w:hAnsi="Calibri" w:cs="Times New Roman"/>
              </w:rPr>
            </w:pPr>
            <w:r w:rsidRPr="007B690E">
              <w:rPr>
                <w:rFonts w:ascii="Arial" w:eastAsia="Calibri" w:hAnsi="Arial" w:cs="Arial"/>
                <w:color w:val="000000"/>
                <w:sz w:val="16"/>
                <w:szCs w:val="16"/>
              </w:rPr>
              <w:t>Contas de Gestão (Todas as UG's)</w:t>
            </w:r>
          </w:p>
        </w:tc>
      </w:tr>
      <w:tr w:rsidR="007B690E" w:rsidRPr="007B690E" w14:paraId="4D328824" w14:textId="77777777" w:rsidTr="007B690E">
        <w:trPr>
          <w:trHeight w:val="613"/>
        </w:trPr>
        <w:tc>
          <w:tcPr>
            <w:tcW w:w="851" w:type="dxa"/>
            <w:vAlign w:val="center"/>
          </w:tcPr>
          <w:p w14:paraId="05232CBE" w14:textId="77777777" w:rsidR="007B690E" w:rsidRPr="007B690E" w:rsidRDefault="007B690E" w:rsidP="007B690E">
            <w:pPr>
              <w:widowControl w:val="0"/>
              <w:autoSpaceDE w:val="0"/>
              <w:autoSpaceDN w:val="0"/>
              <w:adjustRightInd w:val="0"/>
              <w:spacing w:after="0" w:line="240" w:lineRule="auto"/>
              <w:jc w:val="center"/>
              <w:rPr>
                <w:rFonts w:ascii="Arial" w:eastAsia="Calibri" w:hAnsi="Arial" w:cs="Arial"/>
                <w:bCs/>
                <w:sz w:val="16"/>
                <w:szCs w:val="16"/>
              </w:rPr>
            </w:pPr>
            <w:r w:rsidRPr="007B690E">
              <w:rPr>
                <w:rFonts w:ascii="Arial" w:eastAsia="Calibri" w:hAnsi="Arial" w:cs="Arial"/>
                <w:bCs/>
                <w:sz w:val="16"/>
                <w:szCs w:val="16"/>
              </w:rPr>
              <w:lastRenderedPageBreak/>
              <w:t>2.6.3</w:t>
            </w:r>
          </w:p>
        </w:tc>
        <w:tc>
          <w:tcPr>
            <w:tcW w:w="1417" w:type="dxa"/>
            <w:shd w:val="clear" w:color="auto" w:fill="auto"/>
            <w:vAlign w:val="center"/>
          </w:tcPr>
          <w:p w14:paraId="317820C8" w14:textId="77777777" w:rsidR="007B690E" w:rsidRPr="007B690E" w:rsidRDefault="007B690E" w:rsidP="007B690E">
            <w:pPr>
              <w:widowControl w:val="0"/>
              <w:autoSpaceDE w:val="0"/>
              <w:autoSpaceDN w:val="0"/>
              <w:adjustRightInd w:val="0"/>
              <w:spacing w:after="0" w:line="240" w:lineRule="auto"/>
              <w:jc w:val="both"/>
              <w:rPr>
                <w:rFonts w:ascii="Arial" w:eastAsia="Calibri" w:hAnsi="Arial" w:cs="Arial"/>
                <w:bCs/>
                <w:sz w:val="16"/>
                <w:szCs w:val="16"/>
              </w:rPr>
            </w:pPr>
            <w:r w:rsidRPr="007B690E">
              <w:rPr>
                <w:rFonts w:ascii="Arial" w:eastAsia="Calibri" w:hAnsi="Arial" w:cs="Arial"/>
                <w:bCs/>
                <w:sz w:val="16"/>
                <w:szCs w:val="16"/>
              </w:rPr>
              <w:t>Pessoal – contratação por tempo determinado</w:t>
            </w:r>
          </w:p>
        </w:tc>
        <w:tc>
          <w:tcPr>
            <w:tcW w:w="1418" w:type="dxa"/>
            <w:shd w:val="clear" w:color="auto" w:fill="auto"/>
            <w:vAlign w:val="center"/>
          </w:tcPr>
          <w:p w14:paraId="688E757E" w14:textId="77777777" w:rsidR="007B690E" w:rsidRPr="007B690E" w:rsidRDefault="007B690E" w:rsidP="007B690E">
            <w:pPr>
              <w:widowControl w:val="0"/>
              <w:autoSpaceDE w:val="0"/>
              <w:autoSpaceDN w:val="0"/>
              <w:adjustRightInd w:val="0"/>
              <w:spacing w:after="0" w:line="240" w:lineRule="auto"/>
              <w:jc w:val="both"/>
              <w:rPr>
                <w:rFonts w:ascii="Arial" w:eastAsia="Calibri" w:hAnsi="Arial" w:cs="Arial"/>
                <w:bCs/>
                <w:sz w:val="16"/>
                <w:szCs w:val="16"/>
                <w:lang w:val="en-US"/>
              </w:rPr>
            </w:pPr>
            <w:r w:rsidRPr="007B690E">
              <w:rPr>
                <w:rFonts w:ascii="Arial" w:eastAsia="Calibri" w:hAnsi="Arial" w:cs="Arial"/>
                <w:bCs/>
                <w:sz w:val="16"/>
                <w:szCs w:val="16"/>
                <w:lang w:val="en-US"/>
              </w:rPr>
              <w:t>CRFB/88, art. 37, inciso IX.</w:t>
            </w:r>
          </w:p>
        </w:tc>
        <w:tc>
          <w:tcPr>
            <w:tcW w:w="1417" w:type="dxa"/>
            <w:vAlign w:val="center"/>
          </w:tcPr>
          <w:p w14:paraId="3C3E3EA3" w14:textId="77777777" w:rsidR="007B690E" w:rsidRPr="007B690E" w:rsidRDefault="007B690E" w:rsidP="007B690E">
            <w:pPr>
              <w:widowControl w:val="0"/>
              <w:autoSpaceDE w:val="0"/>
              <w:autoSpaceDN w:val="0"/>
              <w:adjustRightInd w:val="0"/>
              <w:spacing w:after="0" w:line="240" w:lineRule="auto"/>
              <w:jc w:val="center"/>
              <w:rPr>
                <w:rFonts w:ascii="Arial" w:eastAsia="Calibri" w:hAnsi="Arial" w:cs="Arial"/>
                <w:bCs/>
                <w:sz w:val="16"/>
                <w:szCs w:val="16"/>
                <w:lang w:val="en-US"/>
              </w:rPr>
            </w:pPr>
            <w:r w:rsidRPr="007B690E">
              <w:rPr>
                <w:rFonts w:ascii="Arial" w:eastAsia="Calibri" w:hAnsi="Arial" w:cs="Arial"/>
                <w:bCs/>
                <w:sz w:val="16"/>
                <w:szCs w:val="16"/>
                <w:lang w:val="en-US"/>
              </w:rPr>
              <w:t>Conformidade (Verificação documental)</w:t>
            </w:r>
          </w:p>
        </w:tc>
        <w:tc>
          <w:tcPr>
            <w:tcW w:w="2694" w:type="dxa"/>
            <w:shd w:val="clear" w:color="auto" w:fill="auto"/>
            <w:vAlign w:val="center"/>
          </w:tcPr>
          <w:p w14:paraId="3AF5C137" w14:textId="77777777" w:rsidR="007B690E" w:rsidRPr="007B690E" w:rsidRDefault="007B690E" w:rsidP="007B690E">
            <w:pPr>
              <w:widowControl w:val="0"/>
              <w:autoSpaceDE w:val="0"/>
              <w:autoSpaceDN w:val="0"/>
              <w:adjustRightInd w:val="0"/>
              <w:spacing w:after="0" w:line="240" w:lineRule="auto"/>
              <w:jc w:val="both"/>
              <w:rPr>
                <w:rFonts w:ascii="Arial" w:eastAsia="Calibri" w:hAnsi="Arial" w:cs="Arial"/>
                <w:bCs/>
                <w:sz w:val="16"/>
                <w:szCs w:val="16"/>
              </w:rPr>
            </w:pPr>
            <w:r w:rsidRPr="007B690E">
              <w:rPr>
                <w:rFonts w:ascii="Arial" w:eastAsia="Calibri" w:hAnsi="Arial" w:cs="Arial"/>
                <w:bCs/>
                <w:sz w:val="16"/>
                <w:szCs w:val="16"/>
              </w:rPr>
              <w:t>Avaliar a legislação específica do órgão disciplinando a contratação por tempo determinado observando se as contratações destinam-se ao atendimento de necessidade temporária e de excepcional interesse público.</w:t>
            </w:r>
          </w:p>
        </w:tc>
        <w:tc>
          <w:tcPr>
            <w:tcW w:w="1275" w:type="dxa"/>
            <w:shd w:val="clear" w:color="auto" w:fill="auto"/>
            <w:vAlign w:val="center"/>
          </w:tcPr>
          <w:p w14:paraId="01023832" w14:textId="77777777" w:rsidR="007B690E" w:rsidRPr="007B690E" w:rsidRDefault="007B690E" w:rsidP="007B690E">
            <w:pPr>
              <w:widowControl w:val="0"/>
              <w:spacing w:after="0" w:line="240" w:lineRule="auto"/>
              <w:jc w:val="center"/>
              <w:rPr>
                <w:rFonts w:ascii="Calibri" w:eastAsia="Calibri" w:hAnsi="Calibri" w:cs="Times New Roman"/>
              </w:rPr>
            </w:pPr>
            <w:r w:rsidRPr="007B690E">
              <w:rPr>
                <w:rFonts w:ascii="Arial" w:eastAsia="Calibri" w:hAnsi="Arial" w:cs="Arial"/>
                <w:color w:val="000000"/>
                <w:sz w:val="16"/>
                <w:szCs w:val="16"/>
              </w:rPr>
              <w:t>Contas de Gestão (Todas as UG's)</w:t>
            </w:r>
          </w:p>
        </w:tc>
      </w:tr>
      <w:tr w:rsidR="007B690E" w:rsidRPr="007B690E" w14:paraId="45738E3B" w14:textId="77777777" w:rsidTr="007B690E">
        <w:trPr>
          <w:trHeight w:val="613"/>
        </w:trPr>
        <w:tc>
          <w:tcPr>
            <w:tcW w:w="851" w:type="dxa"/>
            <w:vAlign w:val="center"/>
          </w:tcPr>
          <w:p w14:paraId="269DACD7" w14:textId="77777777" w:rsidR="007B690E" w:rsidRPr="007B690E" w:rsidRDefault="007B690E" w:rsidP="007B690E">
            <w:pPr>
              <w:widowControl w:val="0"/>
              <w:autoSpaceDE w:val="0"/>
              <w:autoSpaceDN w:val="0"/>
              <w:adjustRightInd w:val="0"/>
              <w:spacing w:after="0" w:line="240" w:lineRule="auto"/>
              <w:jc w:val="center"/>
              <w:rPr>
                <w:rFonts w:ascii="Arial" w:eastAsia="Calibri" w:hAnsi="Arial" w:cs="Arial"/>
                <w:bCs/>
                <w:sz w:val="16"/>
                <w:szCs w:val="16"/>
              </w:rPr>
            </w:pPr>
            <w:r w:rsidRPr="007B690E">
              <w:rPr>
                <w:rFonts w:ascii="Arial" w:eastAsia="Calibri" w:hAnsi="Arial" w:cs="Arial"/>
                <w:bCs/>
                <w:sz w:val="16"/>
                <w:szCs w:val="16"/>
              </w:rPr>
              <w:t>2.6.4</w:t>
            </w:r>
          </w:p>
        </w:tc>
        <w:tc>
          <w:tcPr>
            <w:tcW w:w="1417" w:type="dxa"/>
            <w:shd w:val="clear" w:color="auto" w:fill="auto"/>
            <w:vAlign w:val="center"/>
          </w:tcPr>
          <w:p w14:paraId="09FC784B" w14:textId="77777777" w:rsidR="007B690E" w:rsidRPr="007B690E" w:rsidRDefault="007B690E" w:rsidP="007B690E">
            <w:pPr>
              <w:widowControl w:val="0"/>
              <w:autoSpaceDE w:val="0"/>
              <w:autoSpaceDN w:val="0"/>
              <w:adjustRightInd w:val="0"/>
              <w:spacing w:after="0" w:line="240" w:lineRule="auto"/>
              <w:jc w:val="both"/>
              <w:rPr>
                <w:rFonts w:ascii="Arial" w:eastAsia="Calibri" w:hAnsi="Arial" w:cs="Arial"/>
                <w:bCs/>
                <w:sz w:val="16"/>
                <w:szCs w:val="16"/>
                <w:lang w:val="en-US"/>
              </w:rPr>
            </w:pPr>
            <w:r w:rsidRPr="007B690E">
              <w:rPr>
                <w:rFonts w:ascii="Arial" w:eastAsia="Calibri" w:hAnsi="Arial" w:cs="Arial"/>
                <w:bCs/>
                <w:sz w:val="16"/>
                <w:szCs w:val="16"/>
                <w:lang w:val="en-US"/>
              </w:rPr>
              <w:t>Pessoal – teto</w:t>
            </w:r>
          </w:p>
        </w:tc>
        <w:tc>
          <w:tcPr>
            <w:tcW w:w="1418" w:type="dxa"/>
            <w:shd w:val="clear" w:color="auto" w:fill="auto"/>
            <w:vAlign w:val="center"/>
          </w:tcPr>
          <w:p w14:paraId="359F93F6" w14:textId="77777777" w:rsidR="007B690E" w:rsidRPr="007B690E" w:rsidRDefault="007B690E" w:rsidP="007B690E">
            <w:pPr>
              <w:widowControl w:val="0"/>
              <w:autoSpaceDE w:val="0"/>
              <w:autoSpaceDN w:val="0"/>
              <w:adjustRightInd w:val="0"/>
              <w:spacing w:after="0" w:line="240" w:lineRule="auto"/>
              <w:jc w:val="both"/>
              <w:rPr>
                <w:rFonts w:ascii="Arial" w:eastAsia="Calibri" w:hAnsi="Arial" w:cs="Arial"/>
                <w:bCs/>
                <w:sz w:val="16"/>
                <w:szCs w:val="16"/>
                <w:lang w:val="en-US"/>
              </w:rPr>
            </w:pPr>
            <w:r w:rsidRPr="007B690E">
              <w:rPr>
                <w:rFonts w:ascii="Arial" w:eastAsia="Calibri" w:hAnsi="Arial" w:cs="Arial"/>
                <w:bCs/>
                <w:sz w:val="16"/>
                <w:szCs w:val="16"/>
                <w:lang w:val="en-US"/>
              </w:rPr>
              <w:t>CRFB/88, art. 37, inciso XI.</w:t>
            </w:r>
          </w:p>
        </w:tc>
        <w:tc>
          <w:tcPr>
            <w:tcW w:w="1417" w:type="dxa"/>
            <w:vAlign w:val="center"/>
          </w:tcPr>
          <w:p w14:paraId="45FC1F7B" w14:textId="77777777" w:rsidR="007B690E" w:rsidRPr="007B690E" w:rsidRDefault="007B690E" w:rsidP="007B690E">
            <w:pPr>
              <w:widowControl w:val="0"/>
              <w:autoSpaceDE w:val="0"/>
              <w:autoSpaceDN w:val="0"/>
              <w:adjustRightInd w:val="0"/>
              <w:spacing w:after="0" w:line="240" w:lineRule="auto"/>
              <w:jc w:val="center"/>
              <w:rPr>
                <w:rFonts w:ascii="Arial" w:eastAsia="Calibri" w:hAnsi="Arial" w:cs="Arial"/>
                <w:bCs/>
                <w:sz w:val="16"/>
                <w:szCs w:val="16"/>
                <w:lang w:val="en-US"/>
              </w:rPr>
            </w:pPr>
            <w:r w:rsidRPr="007B690E">
              <w:rPr>
                <w:rFonts w:ascii="Arial" w:eastAsia="Calibri" w:hAnsi="Arial" w:cs="Arial"/>
                <w:color w:val="000000"/>
                <w:sz w:val="16"/>
                <w:szCs w:val="16"/>
                <w:lang w:val="en-US"/>
              </w:rPr>
              <w:t>Auditoria governamental de conformidade</w:t>
            </w:r>
          </w:p>
        </w:tc>
        <w:tc>
          <w:tcPr>
            <w:tcW w:w="2694" w:type="dxa"/>
            <w:shd w:val="clear" w:color="auto" w:fill="auto"/>
            <w:vAlign w:val="center"/>
          </w:tcPr>
          <w:p w14:paraId="745086B9" w14:textId="77777777" w:rsidR="007B690E" w:rsidRPr="007B690E" w:rsidRDefault="007B690E" w:rsidP="007B690E">
            <w:pPr>
              <w:widowControl w:val="0"/>
              <w:autoSpaceDE w:val="0"/>
              <w:autoSpaceDN w:val="0"/>
              <w:adjustRightInd w:val="0"/>
              <w:spacing w:after="0" w:line="240" w:lineRule="auto"/>
              <w:jc w:val="both"/>
              <w:rPr>
                <w:rFonts w:ascii="Arial" w:eastAsia="Calibri" w:hAnsi="Arial" w:cs="Arial"/>
                <w:bCs/>
                <w:sz w:val="16"/>
                <w:szCs w:val="16"/>
              </w:rPr>
            </w:pPr>
            <w:r w:rsidRPr="007B690E">
              <w:rPr>
                <w:rFonts w:ascii="Arial" w:eastAsia="Calibri" w:hAnsi="Arial" w:cs="Arial"/>
                <w:bCs/>
                <w:sz w:val="16"/>
                <w:szCs w:val="16"/>
              </w:rPr>
              <w:t>Avaliar se o teto remuneratório dos servidores públicos vinculados ao órgão obedeceu o disposto no artigo 37, inciso XI, da CRFB/88.</w:t>
            </w:r>
          </w:p>
        </w:tc>
        <w:tc>
          <w:tcPr>
            <w:tcW w:w="1275" w:type="dxa"/>
            <w:shd w:val="clear" w:color="auto" w:fill="auto"/>
            <w:vAlign w:val="center"/>
          </w:tcPr>
          <w:p w14:paraId="504D6DA1" w14:textId="77777777" w:rsidR="007B690E" w:rsidRPr="007B690E" w:rsidRDefault="007B690E" w:rsidP="007B690E">
            <w:pPr>
              <w:widowControl w:val="0"/>
              <w:spacing w:after="0" w:line="240" w:lineRule="auto"/>
              <w:jc w:val="center"/>
              <w:rPr>
                <w:rFonts w:ascii="Calibri" w:eastAsia="Calibri" w:hAnsi="Calibri" w:cs="Times New Roman"/>
              </w:rPr>
            </w:pPr>
            <w:r w:rsidRPr="007B690E">
              <w:rPr>
                <w:rFonts w:ascii="Arial" w:eastAsia="Calibri" w:hAnsi="Arial" w:cs="Arial"/>
                <w:color w:val="000000"/>
                <w:sz w:val="16"/>
                <w:szCs w:val="16"/>
              </w:rPr>
              <w:t>Contas de Gestão (Todas as UG's)</w:t>
            </w:r>
          </w:p>
        </w:tc>
      </w:tr>
      <w:tr w:rsidR="007B690E" w:rsidRPr="007B690E" w14:paraId="5CEBD1FD" w14:textId="77777777" w:rsidTr="007B690E">
        <w:trPr>
          <w:trHeight w:val="613"/>
        </w:trPr>
        <w:tc>
          <w:tcPr>
            <w:tcW w:w="851" w:type="dxa"/>
            <w:vAlign w:val="center"/>
          </w:tcPr>
          <w:p w14:paraId="7D2457FA" w14:textId="77777777" w:rsidR="007B690E" w:rsidRPr="007B690E" w:rsidRDefault="007B690E" w:rsidP="007B690E">
            <w:pPr>
              <w:widowControl w:val="0"/>
              <w:autoSpaceDE w:val="0"/>
              <w:autoSpaceDN w:val="0"/>
              <w:adjustRightInd w:val="0"/>
              <w:spacing w:after="0" w:line="240" w:lineRule="auto"/>
              <w:jc w:val="center"/>
              <w:rPr>
                <w:rFonts w:ascii="Arial" w:eastAsia="Calibri" w:hAnsi="Arial" w:cs="Arial"/>
                <w:bCs/>
                <w:sz w:val="16"/>
                <w:szCs w:val="16"/>
              </w:rPr>
            </w:pPr>
            <w:r w:rsidRPr="007B690E">
              <w:rPr>
                <w:rFonts w:ascii="Arial" w:eastAsia="Calibri" w:hAnsi="Arial" w:cs="Arial"/>
                <w:bCs/>
                <w:sz w:val="16"/>
                <w:szCs w:val="16"/>
              </w:rPr>
              <w:t>2.6.5</w:t>
            </w:r>
          </w:p>
        </w:tc>
        <w:tc>
          <w:tcPr>
            <w:tcW w:w="1417" w:type="dxa"/>
            <w:shd w:val="clear" w:color="auto" w:fill="auto"/>
            <w:vAlign w:val="center"/>
          </w:tcPr>
          <w:p w14:paraId="76501D42" w14:textId="77777777" w:rsidR="007B690E" w:rsidRPr="007B690E" w:rsidRDefault="007B690E" w:rsidP="007B690E">
            <w:pPr>
              <w:widowControl w:val="0"/>
              <w:autoSpaceDE w:val="0"/>
              <w:autoSpaceDN w:val="0"/>
              <w:adjustRightInd w:val="0"/>
              <w:spacing w:after="0" w:line="240" w:lineRule="auto"/>
              <w:jc w:val="both"/>
              <w:rPr>
                <w:rFonts w:ascii="Arial" w:eastAsia="Calibri" w:hAnsi="Arial" w:cs="Arial"/>
                <w:bCs/>
                <w:sz w:val="16"/>
                <w:szCs w:val="16"/>
              </w:rPr>
            </w:pPr>
            <w:r w:rsidRPr="007B690E">
              <w:rPr>
                <w:rFonts w:ascii="Arial" w:eastAsia="Calibri" w:hAnsi="Arial" w:cs="Arial"/>
                <w:bCs/>
                <w:sz w:val="16"/>
                <w:szCs w:val="16"/>
              </w:rPr>
              <w:t>Realização de despesas sem previsão em lei específica.</w:t>
            </w:r>
          </w:p>
        </w:tc>
        <w:tc>
          <w:tcPr>
            <w:tcW w:w="1418" w:type="dxa"/>
            <w:shd w:val="clear" w:color="auto" w:fill="auto"/>
            <w:vAlign w:val="center"/>
          </w:tcPr>
          <w:p w14:paraId="7A7F6E86" w14:textId="77777777" w:rsidR="007B690E" w:rsidRPr="007B690E" w:rsidRDefault="007B690E" w:rsidP="007B690E">
            <w:pPr>
              <w:widowControl w:val="0"/>
              <w:autoSpaceDE w:val="0"/>
              <w:autoSpaceDN w:val="0"/>
              <w:adjustRightInd w:val="0"/>
              <w:spacing w:after="0" w:line="240" w:lineRule="auto"/>
              <w:jc w:val="both"/>
              <w:rPr>
                <w:rFonts w:ascii="Arial" w:eastAsia="Calibri" w:hAnsi="Arial" w:cs="Arial"/>
                <w:bCs/>
                <w:sz w:val="16"/>
                <w:szCs w:val="16"/>
                <w:lang w:val="en-US"/>
              </w:rPr>
            </w:pPr>
            <w:r w:rsidRPr="007B690E">
              <w:rPr>
                <w:rFonts w:ascii="Arial" w:eastAsia="Calibri" w:hAnsi="Arial" w:cs="Arial"/>
                <w:bCs/>
                <w:sz w:val="16"/>
                <w:szCs w:val="16"/>
                <w:lang w:val="en-US"/>
              </w:rPr>
              <w:t>CRFB/88, art. 37, caput.</w:t>
            </w:r>
          </w:p>
        </w:tc>
        <w:tc>
          <w:tcPr>
            <w:tcW w:w="1417" w:type="dxa"/>
            <w:vAlign w:val="center"/>
          </w:tcPr>
          <w:p w14:paraId="05C00D22" w14:textId="77777777" w:rsidR="007B690E" w:rsidRPr="007B690E" w:rsidRDefault="007B690E" w:rsidP="007B690E">
            <w:pPr>
              <w:widowControl w:val="0"/>
              <w:autoSpaceDE w:val="0"/>
              <w:autoSpaceDN w:val="0"/>
              <w:adjustRightInd w:val="0"/>
              <w:spacing w:after="0" w:line="240" w:lineRule="auto"/>
              <w:jc w:val="center"/>
              <w:rPr>
                <w:rFonts w:ascii="Arial" w:eastAsia="Calibri" w:hAnsi="Arial" w:cs="Arial"/>
                <w:bCs/>
                <w:sz w:val="16"/>
                <w:szCs w:val="16"/>
                <w:lang w:val="en-US"/>
              </w:rPr>
            </w:pPr>
            <w:r w:rsidRPr="007B690E">
              <w:rPr>
                <w:rFonts w:ascii="Arial" w:eastAsia="Calibri" w:hAnsi="Arial" w:cs="Arial"/>
                <w:color w:val="000000"/>
                <w:sz w:val="16"/>
                <w:szCs w:val="16"/>
                <w:lang w:val="en-US"/>
              </w:rPr>
              <w:t>Auditoria governamental de conformidade</w:t>
            </w:r>
          </w:p>
        </w:tc>
        <w:tc>
          <w:tcPr>
            <w:tcW w:w="2694" w:type="dxa"/>
            <w:shd w:val="clear" w:color="auto" w:fill="auto"/>
            <w:vAlign w:val="center"/>
          </w:tcPr>
          <w:p w14:paraId="33C48DF8" w14:textId="77777777" w:rsidR="007B690E" w:rsidRPr="007B690E" w:rsidRDefault="007B690E" w:rsidP="007B690E">
            <w:pPr>
              <w:widowControl w:val="0"/>
              <w:autoSpaceDE w:val="0"/>
              <w:autoSpaceDN w:val="0"/>
              <w:adjustRightInd w:val="0"/>
              <w:spacing w:after="0" w:line="240" w:lineRule="auto"/>
              <w:jc w:val="both"/>
              <w:rPr>
                <w:rFonts w:ascii="Arial" w:eastAsia="Calibri" w:hAnsi="Arial" w:cs="Arial"/>
                <w:bCs/>
                <w:sz w:val="16"/>
                <w:szCs w:val="16"/>
              </w:rPr>
            </w:pPr>
            <w:r w:rsidRPr="007B690E">
              <w:rPr>
                <w:rFonts w:ascii="Arial" w:eastAsia="Calibri" w:hAnsi="Arial" w:cs="Arial"/>
                <w:bCs/>
                <w:sz w:val="16"/>
                <w:szCs w:val="16"/>
              </w:rPr>
              <w:t>Avaliar se houve pagamento de despesas com subsídios, vencimentos, vantagens pecuniárias e jetons não autorizados por lei específica.</w:t>
            </w:r>
          </w:p>
        </w:tc>
        <w:tc>
          <w:tcPr>
            <w:tcW w:w="1275" w:type="dxa"/>
            <w:shd w:val="clear" w:color="auto" w:fill="auto"/>
            <w:vAlign w:val="center"/>
          </w:tcPr>
          <w:p w14:paraId="16873AEA" w14:textId="77777777" w:rsidR="007B690E" w:rsidRPr="007B690E" w:rsidRDefault="007B690E" w:rsidP="007B690E">
            <w:pPr>
              <w:widowControl w:val="0"/>
              <w:spacing w:after="0" w:line="240" w:lineRule="auto"/>
              <w:jc w:val="center"/>
              <w:rPr>
                <w:rFonts w:ascii="Calibri" w:eastAsia="Calibri" w:hAnsi="Calibri" w:cs="Times New Roman"/>
              </w:rPr>
            </w:pPr>
            <w:r w:rsidRPr="007B690E">
              <w:rPr>
                <w:rFonts w:ascii="Arial" w:eastAsia="Calibri" w:hAnsi="Arial" w:cs="Arial"/>
                <w:color w:val="000000"/>
                <w:sz w:val="16"/>
                <w:szCs w:val="16"/>
              </w:rPr>
              <w:t>Contas de Gestão (Todas as UG's)</w:t>
            </w:r>
          </w:p>
        </w:tc>
      </w:tr>
      <w:tr w:rsidR="007B690E" w:rsidRPr="007B690E" w14:paraId="01405E80" w14:textId="77777777" w:rsidTr="007B690E">
        <w:trPr>
          <w:trHeight w:val="613"/>
        </w:trPr>
        <w:tc>
          <w:tcPr>
            <w:tcW w:w="851" w:type="dxa"/>
            <w:vAlign w:val="center"/>
          </w:tcPr>
          <w:p w14:paraId="5DE3AC7A" w14:textId="77777777" w:rsidR="007B690E" w:rsidRPr="007B690E" w:rsidRDefault="007B690E" w:rsidP="007B690E">
            <w:pPr>
              <w:widowControl w:val="0"/>
              <w:autoSpaceDE w:val="0"/>
              <w:autoSpaceDN w:val="0"/>
              <w:adjustRightInd w:val="0"/>
              <w:spacing w:after="0" w:line="240" w:lineRule="auto"/>
              <w:jc w:val="center"/>
              <w:rPr>
                <w:rFonts w:ascii="Arial" w:eastAsia="Calibri" w:hAnsi="Arial" w:cs="Arial"/>
                <w:bCs/>
                <w:sz w:val="16"/>
                <w:szCs w:val="16"/>
              </w:rPr>
            </w:pPr>
            <w:r w:rsidRPr="007B690E">
              <w:rPr>
                <w:rFonts w:ascii="Arial" w:eastAsia="Calibri" w:hAnsi="Arial" w:cs="Arial"/>
                <w:bCs/>
                <w:sz w:val="16"/>
                <w:szCs w:val="16"/>
              </w:rPr>
              <w:t>2.6.6</w:t>
            </w:r>
          </w:p>
        </w:tc>
        <w:tc>
          <w:tcPr>
            <w:tcW w:w="1417" w:type="dxa"/>
            <w:shd w:val="clear" w:color="auto" w:fill="auto"/>
            <w:vAlign w:val="center"/>
          </w:tcPr>
          <w:p w14:paraId="025CAECC" w14:textId="77777777" w:rsidR="007B690E" w:rsidRPr="007B690E" w:rsidRDefault="007B690E" w:rsidP="007B690E">
            <w:pPr>
              <w:widowControl w:val="0"/>
              <w:autoSpaceDE w:val="0"/>
              <w:autoSpaceDN w:val="0"/>
              <w:adjustRightInd w:val="0"/>
              <w:spacing w:after="0" w:line="240" w:lineRule="auto"/>
              <w:jc w:val="both"/>
              <w:rPr>
                <w:rFonts w:ascii="Arial" w:eastAsia="Calibri" w:hAnsi="Arial" w:cs="Arial"/>
                <w:bCs/>
                <w:sz w:val="16"/>
                <w:szCs w:val="16"/>
              </w:rPr>
            </w:pPr>
            <w:r w:rsidRPr="007B690E">
              <w:rPr>
                <w:rFonts w:ascii="Arial" w:eastAsia="Calibri" w:hAnsi="Arial" w:cs="Arial"/>
                <w:bCs/>
                <w:sz w:val="16"/>
                <w:szCs w:val="16"/>
              </w:rPr>
              <w:t>Dispensa e inexigibilidade de licitação.</w:t>
            </w:r>
          </w:p>
        </w:tc>
        <w:tc>
          <w:tcPr>
            <w:tcW w:w="1418" w:type="dxa"/>
            <w:shd w:val="clear" w:color="auto" w:fill="auto"/>
            <w:vAlign w:val="center"/>
          </w:tcPr>
          <w:p w14:paraId="38AA7FDB" w14:textId="77777777" w:rsidR="007B690E" w:rsidRPr="007B690E" w:rsidRDefault="007B690E" w:rsidP="007B690E">
            <w:pPr>
              <w:widowControl w:val="0"/>
              <w:autoSpaceDE w:val="0"/>
              <w:autoSpaceDN w:val="0"/>
              <w:adjustRightInd w:val="0"/>
              <w:spacing w:after="0" w:line="240" w:lineRule="auto"/>
              <w:jc w:val="both"/>
              <w:rPr>
                <w:rFonts w:ascii="Arial" w:eastAsia="Calibri" w:hAnsi="Arial" w:cs="Arial"/>
                <w:bCs/>
                <w:sz w:val="16"/>
                <w:szCs w:val="16"/>
                <w:lang w:val="en-US"/>
              </w:rPr>
            </w:pPr>
            <w:r w:rsidRPr="007B690E">
              <w:rPr>
                <w:rFonts w:ascii="Arial" w:eastAsia="Calibri" w:hAnsi="Arial" w:cs="Arial"/>
                <w:bCs/>
                <w:sz w:val="16"/>
                <w:szCs w:val="16"/>
                <w:lang w:val="en-US"/>
              </w:rPr>
              <w:t xml:space="preserve">Lei 8.666/93, arts. 24, 25 e 26. </w:t>
            </w:r>
          </w:p>
        </w:tc>
        <w:tc>
          <w:tcPr>
            <w:tcW w:w="1417" w:type="dxa"/>
            <w:vAlign w:val="center"/>
          </w:tcPr>
          <w:p w14:paraId="7FF7D3CB" w14:textId="77777777" w:rsidR="007B690E" w:rsidRPr="007B690E" w:rsidRDefault="007B690E" w:rsidP="007B690E">
            <w:pPr>
              <w:widowControl w:val="0"/>
              <w:autoSpaceDE w:val="0"/>
              <w:autoSpaceDN w:val="0"/>
              <w:adjustRightInd w:val="0"/>
              <w:spacing w:after="0" w:line="240" w:lineRule="auto"/>
              <w:jc w:val="center"/>
              <w:rPr>
                <w:rFonts w:ascii="Arial" w:eastAsia="Calibri" w:hAnsi="Arial" w:cs="Arial"/>
                <w:bCs/>
                <w:sz w:val="16"/>
                <w:szCs w:val="16"/>
                <w:lang w:val="en-US"/>
              </w:rPr>
            </w:pPr>
            <w:r w:rsidRPr="007B690E">
              <w:rPr>
                <w:rFonts w:ascii="Arial" w:eastAsia="Calibri" w:hAnsi="Arial" w:cs="Arial"/>
                <w:color w:val="000000"/>
                <w:sz w:val="16"/>
                <w:szCs w:val="16"/>
                <w:lang w:val="en-US"/>
              </w:rPr>
              <w:t>Auditoria governamental de conformidade</w:t>
            </w:r>
          </w:p>
        </w:tc>
        <w:tc>
          <w:tcPr>
            <w:tcW w:w="2694" w:type="dxa"/>
            <w:shd w:val="clear" w:color="auto" w:fill="auto"/>
            <w:vAlign w:val="center"/>
          </w:tcPr>
          <w:p w14:paraId="6184FE6B" w14:textId="77777777" w:rsidR="007B690E" w:rsidRPr="007B690E" w:rsidRDefault="007B690E" w:rsidP="007B690E">
            <w:pPr>
              <w:widowControl w:val="0"/>
              <w:autoSpaceDE w:val="0"/>
              <w:autoSpaceDN w:val="0"/>
              <w:adjustRightInd w:val="0"/>
              <w:spacing w:after="0" w:line="240" w:lineRule="auto"/>
              <w:jc w:val="both"/>
              <w:rPr>
                <w:rFonts w:ascii="Arial" w:eastAsia="Calibri" w:hAnsi="Arial" w:cs="Arial"/>
                <w:bCs/>
                <w:sz w:val="16"/>
                <w:szCs w:val="16"/>
              </w:rPr>
            </w:pPr>
            <w:r w:rsidRPr="007B690E">
              <w:rPr>
                <w:rFonts w:ascii="Arial" w:eastAsia="Calibri" w:hAnsi="Arial" w:cs="Arial"/>
                <w:bCs/>
                <w:sz w:val="16"/>
                <w:szCs w:val="16"/>
              </w:rPr>
              <w:t>Avaliar se as contratações por dispensa ou inexigibilidade de licitação observaram as disposições contidas nos artigos 24 a 26 da Lei de Licitações.</w:t>
            </w:r>
          </w:p>
        </w:tc>
        <w:tc>
          <w:tcPr>
            <w:tcW w:w="1275" w:type="dxa"/>
            <w:shd w:val="clear" w:color="auto" w:fill="auto"/>
            <w:vAlign w:val="center"/>
          </w:tcPr>
          <w:p w14:paraId="46212976" w14:textId="77777777" w:rsidR="007B690E" w:rsidRPr="007B690E" w:rsidRDefault="007B690E" w:rsidP="007B690E">
            <w:pPr>
              <w:widowControl w:val="0"/>
              <w:spacing w:after="0" w:line="240" w:lineRule="auto"/>
              <w:jc w:val="center"/>
              <w:rPr>
                <w:rFonts w:ascii="Calibri" w:eastAsia="Calibri" w:hAnsi="Calibri" w:cs="Times New Roman"/>
              </w:rPr>
            </w:pPr>
            <w:r w:rsidRPr="007B690E">
              <w:rPr>
                <w:rFonts w:ascii="Arial" w:eastAsia="Calibri" w:hAnsi="Arial" w:cs="Arial"/>
                <w:color w:val="000000"/>
                <w:sz w:val="16"/>
                <w:szCs w:val="16"/>
              </w:rPr>
              <w:t>Contas de Gestão (Todas as UG's)</w:t>
            </w:r>
          </w:p>
        </w:tc>
      </w:tr>
    </w:tbl>
    <w:p w14:paraId="1D7604AE" w14:textId="77777777" w:rsidR="0066504F" w:rsidRDefault="0066504F" w:rsidP="00FD1551">
      <w:pPr>
        <w:spacing w:after="0" w:line="360" w:lineRule="auto"/>
        <w:jc w:val="center"/>
        <w:rPr>
          <w:rFonts w:ascii="Arial" w:hAnsi="Arial" w:cs="Arial"/>
          <w:b/>
          <w:sz w:val="28"/>
          <w:szCs w:val="28"/>
        </w:rPr>
      </w:pPr>
    </w:p>
    <w:p w14:paraId="539E592F" w14:textId="77777777" w:rsidR="0066504F" w:rsidRDefault="0066504F">
      <w:pPr>
        <w:rPr>
          <w:rFonts w:ascii="Arial" w:hAnsi="Arial" w:cs="Arial"/>
          <w:b/>
          <w:sz w:val="28"/>
          <w:szCs w:val="28"/>
        </w:rPr>
      </w:pPr>
      <w:r>
        <w:rPr>
          <w:rFonts w:ascii="Arial" w:hAnsi="Arial" w:cs="Arial"/>
          <w:b/>
          <w:sz w:val="28"/>
          <w:szCs w:val="28"/>
        </w:rPr>
        <w:br w:type="page"/>
      </w:r>
    </w:p>
    <w:p w14:paraId="7CD03A79" w14:textId="488A9C8A" w:rsidR="0066504F" w:rsidRDefault="006A559A" w:rsidP="006A559A">
      <w:pPr>
        <w:pStyle w:val="Ttulo3"/>
      </w:pPr>
      <w:bookmarkStart w:id="71" w:name="_Toc94806343"/>
      <w:r>
        <w:rPr>
          <w:lang w:val="pt-BR"/>
        </w:rPr>
        <w:lastRenderedPageBreak/>
        <w:t>DEMCADC</w:t>
      </w:r>
      <w:bookmarkEnd w:id="71"/>
    </w:p>
    <w:p w14:paraId="12BB51B8" w14:textId="77777777" w:rsidR="00FD1551" w:rsidRPr="00FD1551" w:rsidRDefault="00FD1551" w:rsidP="00FD1551">
      <w:pPr>
        <w:spacing w:after="0" w:line="360" w:lineRule="auto"/>
        <w:jc w:val="center"/>
        <w:rPr>
          <w:rFonts w:ascii="Arial" w:hAnsi="Arial" w:cs="Arial"/>
          <w:sz w:val="20"/>
          <w:szCs w:val="20"/>
        </w:rPr>
      </w:pPr>
      <w:r w:rsidRPr="00FD1551">
        <w:rPr>
          <w:rFonts w:ascii="Arial" w:hAnsi="Arial" w:cs="Arial"/>
          <w:b/>
        </w:rPr>
        <w:t>DEMONSTRATIVO CONSOLIDADO DOS CRÉDITOS ADICIONAIS</w:t>
      </w:r>
    </w:p>
    <w:p w14:paraId="373ABBA3" w14:textId="77777777" w:rsidR="00FD1551" w:rsidRPr="00FD1551" w:rsidRDefault="00FD1551" w:rsidP="00FD1551">
      <w:pPr>
        <w:spacing w:after="0" w:line="360" w:lineRule="auto"/>
        <w:jc w:val="center"/>
        <w:rPr>
          <w:rFonts w:ascii="Arial" w:hAnsi="Arial" w:cs="Arial"/>
          <w:sz w:val="20"/>
          <w:szCs w:val="20"/>
          <w:highlight w:val="green"/>
        </w:rPr>
      </w:pPr>
    </w:p>
    <w:p w14:paraId="633D341B" w14:textId="77777777" w:rsidR="00FD1551" w:rsidRPr="00FD1551" w:rsidRDefault="00FD1551" w:rsidP="00FD1551">
      <w:pPr>
        <w:spacing w:after="0" w:line="360" w:lineRule="auto"/>
        <w:jc w:val="center"/>
        <w:rPr>
          <w:rFonts w:ascii="Arial" w:hAnsi="Arial" w:cs="Arial"/>
          <w:b/>
        </w:rPr>
      </w:pPr>
    </w:p>
    <w:p w14:paraId="3E04CC1F" w14:textId="77777777" w:rsidR="00FD1551" w:rsidRPr="00FD1551" w:rsidRDefault="00FD1551" w:rsidP="00FD1551">
      <w:pPr>
        <w:spacing w:after="0" w:line="360" w:lineRule="auto"/>
        <w:ind w:left="-851"/>
        <w:jc w:val="center"/>
        <w:rPr>
          <w:rFonts w:ascii="Arial" w:hAnsi="Arial" w:cs="Arial"/>
          <w:b/>
        </w:rPr>
      </w:pPr>
      <w:r w:rsidRPr="00FD1551">
        <w:rPr>
          <w:rFonts w:ascii="Arial" w:hAnsi="Arial"/>
          <w:noProof/>
          <w:lang w:eastAsia="pt-BR"/>
        </w:rPr>
        <w:drawing>
          <wp:inline distT="0" distB="0" distL="0" distR="0" wp14:anchorId="5FDB5990" wp14:editId="7D07E5FD">
            <wp:extent cx="6391275" cy="2889132"/>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06345" cy="2895944"/>
                    </a:xfrm>
                    <a:prstGeom prst="rect">
                      <a:avLst/>
                    </a:prstGeom>
                    <a:noFill/>
                    <a:ln>
                      <a:noFill/>
                    </a:ln>
                  </pic:spPr>
                </pic:pic>
              </a:graphicData>
            </a:graphic>
          </wp:inline>
        </w:drawing>
      </w:r>
    </w:p>
    <w:p w14:paraId="591792B5" w14:textId="77777777" w:rsidR="00FD1551" w:rsidRPr="00FD1551" w:rsidRDefault="00FD1551" w:rsidP="00FD1551">
      <w:pPr>
        <w:spacing w:after="0" w:line="360" w:lineRule="auto"/>
        <w:jc w:val="center"/>
        <w:rPr>
          <w:rFonts w:ascii="Arial" w:hAnsi="Arial" w:cs="Arial"/>
          <w:b/>
        </w:rPr>
      </w:pPr>
    </w:p>
    <w:p w14:paraId="78641499" w14:textId="5B79A34D" w:rsidR="00FD1551" w:rsidRDefault="00FD1551" w:rsidP="00FD1551">
      <w:pPr>
        <w:rPr>
          <w:rFonts w:ascii="Arial" w:hAnsi="Arial" w:cs="Arial"/>
          <w:b/>
          <w:sz w:val="28"/>
          <w:szCs w:val="28"/>
        </w:rPr>
      </w:pPr>
      <w:r w:rsidRPr="00FD1551">
        <w:rPr>
          <w:rFonts w:ascii="Arial" w:hAnsi="Arial" w:cs="Arial"/>
          <w:b/>
          <w:sz w:val="28"/>
          <w:szCs w:val="28"/>
        </w:rPr>
        <w:br w:type="page"/>
      </w:r>
    </w:p>
    <w:p w14:paraId="647AA932" w14:textId="5550B696" w:rsidR="00BB7774" w:rsidRPr="00FD1551" w:rsidRDefault="00BB7774" w:rsidP="00BB7774">
      <w:pPr>
        <w:pStyle w:val="Ttulo3"/>
      </w:pPr>
      <w:bookmarkStart w:id="72" w:name="_Toc94806344"/>
      <w:r>
        <w:rPr>
          <w:lang w:val="pt-BR"/>
        </w:rPr>
        <w:lastRenderedPageBreak/>
        <w:t>DEMRE</w:t>
      </w:r>
      <w:bookmarkEnd w:id="72"/>
    </w:p>
    <w:p w14:paraId="52F86F63" w14:textId="77777777" w:rsidR="00BB5697" w:rsidRPr="00BB7774" w:rsidRDefault="00BB5697" w:rsidP="00BB5697">
      <w:pPr>
        <w:spacing w:after="0" w:line="360" w:lineRule="auto"/>
        <w:jc w:val="center"/>
        <w:rPr>
          <w:rFonts w:ascii="Arial" w:hAnsi="Arial" w:cs="Arial"/>
          <w:b/>
        </w:rPr>
      </w:pPr>
      <w:r w:rsidRPr="00BB7774">
        <w:rPr>
          <w:rFonts w:ascii="Arial" w:hAnsi="Arial" w:cs="Arial"/>
          <w:b/>
        </w:rPr>
        <w:t>DEMONSTRATIVO DE RENÚNCIA DE RECEITAS</w:t>
      </w:r>
    </w:p>
    <w:tbl>
      <w:tblPr>
        <w:tblW w:w="8505" w:type="dxa"/>
        <w:tblInd w:w="7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8505"/>
      </w:tblGrid>
      <w:tr w:rsidR="00BB5697" w:rsidRPr="00FD1551" w14:paraId="724FF252" w14:textId="77777777" w:rsidTr="00BF7C4A">
        <w:trPr>
          <w:trHeight w:val="283"/>
        </w:trPr>
        <w:tc>
          <w:tcPr>
            <w:tcW w:w="8505" w:type="dxa"/>
          </w:tcPr>
          <w:p w14:paraId="1FD610D1"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b/>
                <w:bCs/>
                <w:color w:val="000000"/>
                <w:sz w:val="16"/>
                <w:szCs w:val="16"/>
                <w:lang w:eastAsia="pt-BR"/>
              </w:rPr>
              <w:t>IDENTIFICAÇÃO:</w:t>
            </w:r>
            <w:r w:rsidRPr="00FD1551">
              <w:rPr>
                <w:rFonts w:ascii="Arial" w:eastAsia="Times New Roman" w:hAnsi="Arial" w:cs="Arial"/>
                <w:color w:val="000000"/>
                <w:sz w:val="16"/>
                <w:szCs w:val="16"/>
                <w:lang w:eastAsia="pt-BR"/>
              </w:rPr>
              <w:t> </w:t>
            </w:r>
          </w:p>
        </w:tc>
      </w:tr>
      <w:tr w:rsidR="00BB5697" w:rsidRPr="00FD1551" w14:paraId="0814CF8B" w14:textId="77777777" w:rsidTr="00BF7C4A">
        <w:trPr>
          <w:trHeight w:val="283"/>
        </w:trPr>
        <w:tc>
          <w:tcPr>
            <w:tcW w:w="8505" w:type="dxa"/>
            <w:shd w:val="clear" w:color="auto" w:fill="auto"/>
            <w:noWrap/>
            <w:vAlign w:val="bottom"/>
            <w:hideMark/>
          </w:tcPr>
          <w:p w14:paraId="0010302D"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EXERCÍCIO:</w:t>
            </w:r>
          </w:p>
        </w:tc>
      </w:tr>
    </w:tbl>
    <w:p w14:paraId="216ACCE2" w14:textId="77777777" w:rsidR="00BB5697" w:rsidRDefault="00BB5697" w:rsidP="00BB5697">
      <w:pPr>
        <w:tabs>
          <w:tab w:val="left" w:pos="8248"/>
        </w:tabs>
        <w:rPr>
          <w:rFonts w:ascii="Arial" w:hAnsi="Arial" w:cs="Arial"/>
          <w:b/>
          <w:sz w:val="24"/>
          <w:szCs w:val="24"/>
        </w:rPr>
      </w:pPr>
    </w:p>
    <w:p w14:paraId="1942C2E1" w14:textId="77777777" w:rsidR="00BB5697" w:rsidRDefault="00BB5697" w:rsidP="00BB5697">
      <w:pPr>
        <w:tabs>
          <w:tab w:val="left" w:pos="8248"/>
        </w:tabs>
        <w:rPr>
          <w:rFonts w:ascii="Arial" w:hAnsi="Arial" w:cs="Arial"/>
          <w:b/>
          <w:sz w:val="24"/>
          <w:szCs w:val="24"/>
        </w:rPr>
      </w:pPr>
      <w:r w:rsidRPr="005B41D3">
        <w:rPr>
          <w:noProof/>
          <w:lang w:eastAsia="pt-BR"/>
        </w:rPr>
        <w:drawing>
          <wp:inline distT="0" distB="0" distL="0" distR="0" wp14:anchorId="2F34179C" wp14:editId="7C7A98BB">
            <wp:extent cx="6143625" cy="2786249"/>
            <wp:effectExtent l="0" t="0" r="0" b="0"/>
            <wp:docPr id="30" name="Imagem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62009" cy="2794587"/>
                    </a:xfrm>
                    <a:prstGeom prst="rect">
                      <a:avLst/>
                    </a:prstGeom>
                    <a:noFill/>
                    <a:ln>
                      <a:noFill/>
                    </a:ln>
                  </pic:spPr>
                </pic:pic>
              </a:graphicData>
            </a:graphic>
          </wp:inline>
        </w:drawing>
      </w:r>
    </w:p>
    <w:p w14:paraId="313AEBA9" w14:textId="77777777" w:rsidR="00BB5697" w:rsidRPr="00A30287" w:rsidRDefault="00BB5697" w:rsidP="00BB5697">
      <w:pPr>
        <w:tabs>
          <w:tab w:val="left" w:pos="8248"/>
        </w:tabs>
        <w:rPr>
          <w:rFonts w:ascii="Arial" w:hAnsi="Arial" w:cs="Arial"/>
          <w:sz w:val="18"/>
          <w:szCs w:val="18"/>
        </w:rPr>
      </w:pPr>
      <w:r w:rsidRPr="00A30287">
        <w:rPr>
          <w:rFonts w:ascii="Arial" w:hAnsi="Arial" w:cs="Arial"/>
          <w:sz w:val="18"/>
          <w:szCs w:val="18"/>
        </w:rPr>
        <w:t xml:space="preserve">Para cada linha da tabela do quadro de execução da renúncia, deve ser </w:t>
      </w:r>
      <w:r>
        <w:rPr>
          <w:rFonts w:ascii="Arial" w:hAnsi="Arial" w:cs="Arial"/>
          <w:sz w:val="18"/>
          <w:szCs w:val="18"/>
        </w:rPr>
        <w:t>preenchido o quadro de detalhamento abaixo:</w:t>
      </w:r>
    </w:p>
    <w:p w14:paraId="3C6F7588" w14:textId="77777777" w:rsidR="00BB5697" w:rsidRDefault="00BB5697" w:rsidP="00BB5697">
      <w:pPr>
        <w:tabs>
          <w:tab w:val="left" w:pos="8248"/>
        </w:tabs>
        <w:rPr>
          <w:rFonts w:ascii="Arial" w:hAnsi="Arial" w:cs="Arial"/>
          <w:b/>
          <w:sz w:val="24"/>
          <w:szCs w:val="24"/>
        </w:rPr>
      </w:pPr>
      <w:r w:rsidRPr="00152E0D">
        <w:rPr>
          <w:noProof/>
          <w:lang w:eastAsia="pt-BR"/>
        </w:rPr>
        <w:drawing>
          <wp:inline distT="0" distB="0" distL="0" distR="0" wp14:anchorId="06422EB4" wp14:editId="3406711B">
            <wp:extent cx="6191250" cy="532906"/>
            <wp:effectExtent l="0" t="0" r="0" b="635"/>
            <wp:docPr id="31" name="Imagem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632150" cy="570856"/>
                    </a:xfrm>
                    <a:prstGeom prst="rect">
                      <a:avLst/>
                    </a:prstGeom>
                    <a:noFill/>
                    <a:ln>
                      <a:noFill/>
                    </a:ln>
                  </pic:spPr>
                </pic:pic>
              </a:graphicData>
            </a:graphic>
          </wp:inline>
        </w:drawing>
      </w:r>
    </w:p>
    <w:p w14:paraId="1AFCB2A8" w14:textId="1C653CFF" w:rsidR="00BB5697" w:rsidRDefault="00BB5697" w:rsidP="00BB5697">
      <w:pPr>
        <w:rPr>
          <w:rFonts w:ascii="Arial" w:hAnsi="Arial" w:cs="Arial"/>
          <w:b/>
          <w:sz w:val="24"/>
          <w:szCs w:val="24"/>
        </w:rPr>
      </w:pPr>
      <w:r>
        <w:rPr>
          <w:rFonts w:ascii="Arial" w:hAnsi="Arial" w:cs="Arial"/>
          <w:b/>
          <w:sz w:val="24"/>
          <w:szCs w:val="24"/>
        </w:rPr>
        <w:br w:type="page"/>
      </w:r>
    </w:p>
    <w:p w14:paraId="72E1CD43" w14:textId="38D026D7" w:rsidR="00BB7774" w:rsidRDefault="00BB7774" w:rsidP="00BB7774">
      <w:pPr>
        <w:pStyle w:val="Ttulo3"/>
      </w:pPr>
      <w:bookmarkStart w:id="73" w:name="_Toc94806345"/>
      <w:r>
        <w:rPr>
          <w:lang w:val="pt-BR"/>
        </w:rPr>
        <w:lastRenderedPageBreak/>
        <w:t>DEIMU</w:t>
      </w:r>
      <w:bookmarkEnd w:id="73"/>
      <w:r>
        <w:rPr>
          <w:lang w:val="pt-BR"/>
        </w:rPr>
        <w:t xml:space="preserve"> </w:t>
      </w:r>
    </w:p>
    <w:p w14:paraId="280AEB56" w14:textId="77777777" w:rsidR="00BB5697" w:rsidRPr="00BB7774" w:rsidRDefault="00BB5697" w:rsidP="00BB5697">
      <w:pPr>
        <w:spacing w:after="0" w:line="360" w:lineRule="auto"/>
        <w:jc w:val="center"/>
        <w:rPr>
          <w:rFonts w:ascii="Arial" w:hAnsi="Arial" w:cs="Arial"/>
          <w:b/>
        </w:rPr>
      </w:pPr>
      <w:r w:rsidRPr="00BB7774">
        <w:rPr>
          <w:rFonts w:ascii="Arial" w:hAnsi="Arial" w:cs="Arial"/>
          <w:b/>
        </w:rPr>
        <w:t>DEMONSTRATIVO DE IMUNIDADES TRIBUTÁRIAS</w:t>
      </w:r>
    </w:p>
    <w:tbl>
      <w:tblPr>
        <w:tblW w:w="8505" w:type="dxa"/>
        <w:tblInd w:w="7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8505"/>
      </w:tblGrid>
      <w:tr w:rsidR="00BB5697" w:rsidRPr="00FD1551" w14:paraId="175E87C6" w14:textId="77777777" w:rsidTr="00BF7C4A">
        <w:trPr>
          <w:trHeight w:val="283"/>
        </w:trPr>
        <w:tc>
          <w:tcPr>
            <w:tcW w:w="8505" w:type="dxa"/>
          </w:tcPr>
          <w:p w14:paraId="45F306F4"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b/>
                <w:bCs/>
                <w:color w:val="000000"/>
                <w:sz w:val="16"/>
                <w:szCs w:val="16"/>
                <w:lang w:eastAsia="pt-BR"/>
              </w:rPr>
              <w:t>IDENTIFICAÇÃO:</w:t>
            </w:r>
            <w:r w:rsidRPr="00FD1551">
              <w:rPr>
                <w:rFonts w:ascii="Arial" w:eastAsia="Times New Roman" w:hAnsi="Arial" w:cs="Arial"/>
                <w:color w:val="000000"/>
                <w:sz w:val="16"/>
                <w:szCs w:val="16"/>
                <w:lang w:eastAsia="pt-BR"/>
              </w:rPr>
              <w:t> </w:t>
            </w:r>
          </w:p>
        </w:tc>
      </w:tr>
      <w:tr w:rsidR="00BB5697" w:rsidRPr="00FD1551" w14:paraId="211BD6D5" w14:textId="77777777" w:rsidTr="00BF7C4A">
        <w:trPr>
          <w:trHeight w:val="283"/>
        </w:trPr>
        <w:tc>
          <w:tcPr>
            <w:tcW w:w="8505" w:type="dxa"/>
            <w:shd w:val="clear" w:color="auto" w:fill="auto"/>
            <w:noWrap/>
            <w:vAlign w:val="bottom"/>
            <w:hideMark/>
          </w:tcPr>
          <w:p w14:paraId="208B7533"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EXERCÍCIO:</w:t>
            </w:r>
          </w:p>
        </w:tc>
      </w:tr>
    </w:tbl>
    <w:p w14:paraId="440D70C9" w14:textId="77777777" w:rsidR="00BB5697" w:rsidRDefault="00BB5697" w:rsidP="00BB5697">
      <w:pPr>
        <w:tabs>
          <w:tab w:val="left" w:pos="8248"/>
        </w:tabs>
        <w:rPr>
          <w:rFonts w:ascii="Arial" w:hAnsi="Arial" w:cs="Arial"/>
          <w:b/>
          <w:sz w:val="24"/>
          <w:szCs w:val="24"/>
        </w:rPr>
      </w:pPr>
    </w:p>
    <w:p w14:paraId="52ACACD4" w14:textId="77777777" w:rsidR="00BB5697" w:rsidRDefault="00BB5697" w:rsidP="00BB5697">
      <w:pPr>
        <w:tabs>
          <w:tab w:val="left" w:pos="8248"/>
        </w:tabs>
        <w:rPr>
          <w:rFonts w:ascii="Arial" w:hAnsi="Arial" w:cs="Arial"/>
          <w:b/>
          <w:sz w:val="24"/>
          <w:szCs w:val="24"/>
        </w:rPr>
      </w:pPr>
      <w:r w:rsidRPr="00623D01">
        <w:rPr>
          <w:noProof/>
          <w:lang w:eastAsia="pt-BR"/>
        </w:rPr>
        <w:drawing>
          <wp:inline distT="0" distB="0" distL="0" distR="0" wp14:anchorId="762DD7BF" wp14:editId="57BAAA67">
            <wp:extent cx="5760720" cy="4227187"/>
            <wp:effectExtent l="0" t="0" r="0" b="2540"/>
            <wp:docPr id="928" name="Imagem 9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4227187"/>
                    </a:xfrm>
                    <a:prstGeom prst="rect">
                      <a:avLst/>
                    </a:prstGeom>
                    <a:noFill/>
                    <a:ln>
                      <a:noFill/>
                    </a:ln>
                  </pic:spPr>
                </pic:pic>
              </a:graphicData>
            </a:graphic>
          </wp:inline>
        </w:drawing>
      </w:r>
    </w:p>
    <w:p w14:paraId="456F2ABD" w14:textId="77777777" w:rsidR="00BB5697" w:rsidRDefault="00BB5697" w:rsidP="00BB5697">
      <w:pPr>
        <w:tabs>
          <w:tab w:val="left" w:pos="8248"/>
        </w:tabs>
        <w:rPr>
          <w:rFonts w:ascii="Arial" w:hAnsi="Arial" w:cs="Arial"/>
          <w:b/>
          <w:sz w:val="24"/>
          <w:szCs w:val="24"/>
        </w:rPr>
      </w:pPr>
    </w:p>
    <w:p w14:paraId="54C779D0" w14:textId="77777777" w:rsidR="00BB5697" w:rsidRDefault="00BB5697" w:rsidP="00BB5697">
      <w:pPr>
        <w:tabs>
          <w:tab w:val="left" w:pos="8248"/>
        </w:tabs>
        <w:rPr>
          <w:rFonts w:ascii="Arial" w:hAnsi="Arial" w:cs="Arial"/>
          <w:b/>
          <w:sz w:val="24"/>
          <w:szCs w:val="24"/>
        </w:rPr>
      </w:pPr>
      <w:r w:rsidRPr="00623D01">
        <w:rPr>
          <w:noProof/>
          <w:lang w:eastAsia="pt-BR"/>
        </w:rPr>
        <w:drawing>
          <wp:inline distT="0" distB="0" distL="0" distR="0" wp14:anchorId="2F28208A" wp14:editId="31750FEC">
            <wp:extent cx="5760720" cy="2418466"/>
            <wp:effectExtent l="0" t="0" r="0" b="1270"/>
            <wp:docPr id="929" name="Imagem 9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60720" cy="2418466"/>
                    </a:xfrm>
                    <a:prstGeom prst="rect">
                      <a:avLst/>
                    </a:prstGeom>
                    <a:noFill/>
                    <a:ln>
                      <a:noFill/>
                    </a:ln>
                  </pic:spPr>
                </pic:pic>
              </a:graphicData>
            </a:graphic>
          </wp:inline>
        </w:drawing>
      </w:r>
    </w:p>
    <w:p w14:paraId="039902A6" w14:textId="77777777" w:rsidR="00BB5697" w:rsidRDefault="00BB5697" w:rsidP="00BB5697">
      <w:pPr>
        <w:tabs>
          <w:tab w:val="left" w:pos="8248"/>
        </w:tabs>
        <w:rPr>
          <w:rFonts w:ascii="Arial" w:hAnsi="Arial" w:cs="Arial"/>
          <w:b/>
          <w:sz w:val="24"/>
          <w:szCs w:val="24"/>
        </w:rPr>
      </w:pPr>
    </w:p>
    <w:p w14:paraId="200744DE" w14:textId="77777777" w:rsidR="00BB5697" w:rsidRDefault="00BB5697" w:rsidP="00BB5697">
      <w:pPr>
        <w:tabs>
          <w:tab w:val="left" w:pos="8248"/>
        </w:tabs>
        <w:rPr>
          <w:rFonts w:ascii="Arial" w:hAnsi="Arial" w:cs="Arial"/>
          <w:b/>
          <w:sz w:val="24"/>
          <w:szCs w:val="24"/>
        </w:rPr>
      </w:pPr>
      <w:r w:rsidRPr="00623D01">
        <w:rPr>
          <w:noProof/>
          <w:lang w:eastAsia="pt-BR"/>
        </w:rPr>
        <w:lastRenderedPageBreak/>
        <w:drawing>
          <wp:inline distT="0" distB="0" distL="0" distR="0" wp14:anchorId="72F096A4" wp14:editId="12CFFD7A">
            <wp:extent cx="5760720" cy="4158177"/>
            <wp:effectExtent l="0" t="0" r="0" b="0"/>
            <wp:docPr id="930" name="Imagem 9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60720" cy="4158177"/>
                    </a:xfrm>
                    <a:prstGeom prst="rect">
                      <a:avLst/>
                    </a:prstGeom>
                    <a:noFill/>
                    <a:ln>
                      <a:noFill/>
                    </a:ln>
                  </pic:spPr>
                </pic:pic>
              </a:graphicData>
            </a:graphic>
          </wp:inline>
        </w:drawing>
      </w:r>
    </w:p>
    <w:p w14:paraId="51E9B2B8" w14:textId="7D834AE7" w:rsidR="00BB5697" w:rsidRDefault="00BB5697" w:rsidP="00BB5697">
      <w:pPr>
        <w:rPr>
          <w:rFonts w:ascii="Arial" w:hAnsi="Arial" w:cs="Arial"/>
          <w:b/>
          <w:sz w:val="24"/>
          <w:szCs w:val="24"/>
        </w:rPr>
      </w:pPr>
      <w:r>
        <w:rPr>
          <w:rFonts w:ascii="Arial" w:hAnsi="Arial" w:cs="Arial"/>
          <w:b/>
          <w:sz w:val="24"/>
          <w:szCs w:val="24"/>
        </w:rPr>
        <w:br w:type="page"/>
      </w:r>
    </w:p>
    <w:p w14:paraId="30DD6E97" w14:textId="7429FA1B" w:rsidR="00BB7774" w:rsidRDefault="00BB7774" w:rsidP="00BB7774">
      <w:pPr>
        <w:pStyle w:val="Ttulo3"/>
      </w:pPr>
      <w:bookmarkStart w:id="74" w:name="_Toc94806346"/>
      <w:r>
        <w:rPr>
          <w:lang w:val="pt-BR"/>
        </w:rPr>
        <w:lastRenderedPageBreak/>
        <w:t>DELREPI</w:t>
      </w:r>
      <w:bookmarkEnd w:id="74"/>
    </w:p>
    <w:p w14:paraId="1E74B861" w14:textId="77777777" w:rsidR="00BB5697" w:rsidRPr="00CB315C" w:rsidRDefault="00BB5697" w:rsidP="00BB5697">
      <w:pPr>
        <w:spacing w:after="0" w:line="360" w:lineRule="auto"/>
        <w:jc w:val="center"/>
        <w:rPr>
          <w:rFonts w:ascii="Arial" w:hAnsi="Arial" w:cs="Arial"/>
          <w:b/>
          <w:color w:val="00B050"/>
        </w:rPr>
      </w:pPr>
      <w:r w:rsidRPr="00BB7774">
        <w:rPr>
          <w:rFonts w:ascii="Arial" w:hAnsi="Arial" w:cs="Arial"/>
          <w:b/>
        </w:rPr>
        <w:t>DECLARAÇÃO DO REPASSE INTEGRAL DE VALORES AO RPPS</w:t>
      </w:r>
    </w:p>
    <w:tbl>
      <w:tblPr>
        <w:tblW w:w="8505" w:type="dxa"/>
        <w:tblInd w:w="7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8505"/>
      </w:tblGrid>
      <w:tr w:rsidR="00BB5697" w:rsidRPr="00FD1551" w14:paraId="5FA4BD4B" w14:textId="77777777" w:rsidTr="00BF7C4A">
        <w:trPr>
          <w:trHeight w:val="283"/>
        </w:trPr>
        <w:tc>
          <w:tcPr>
            <w:tcW w:w="8505" w:type="dxa"/>
          </w:tcPr>
          <w:p w14:paraId="7ED22A11"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b/>
                <w:bCs/>
                <w:color w:val="000000"/>
                <w:sz w:val="16"/>
                <w:szCs w:val="16"/>
                <w:lang w:eastAsia="pt-BR"/>
              </w:rPr>
              <w:t>IDENTIFICAÇÃO:</w:t>
            </w:r>
            <w:r w:rsidRPr="00FD1551">
              <w:rPr>
                <w:rFonts w:ascii="Arial" w:eastAsia="Times New Roman" w:hAnsi="Arial" w:cs="Arial"/>
                <w:color w:val="000000"/>
                <w:sz w:val="16"/>
                <w:szCs w:val="16"/>
                <w:lang w:eastAsia="pt-BR"/>
              </w:rPr>
              <w:t> </w:t>
            </w:r>
          </w:p>
        </w:tc>
      </w:tr>
      <w:tr w:rsidR="00BB5697" w:rsidRPr="00FD1551" w14:paraId="4343C4D5" w14:textId="77777777" w:rsidTr="00BF7C4A">
        <w:trPr>
          <w:trHeight w:val="283"/>
        </w:trPr>
        <w:tc>
          <w:tcPr>
            <w:tcW w:w="8505" w:type="dxa"/>
            <w:shd w:val="clear" w:color="auto" w:fill="auto"/>
            <w:noWrap/>
            <w:vAlign w:val="bottom"/>
            <w:hideMark/>
          </w:tcPr>
          <w:p w14:paraId="4DFECE79"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EXERCÍCIO:</w:t>
            </w:r>
          </w:p>
        </w:tc>
      </w:tr>
    </w:tbl>
    <w:p w14:paraId="19E30728" w14:textId="77777777" w:rsidR="00BB5697" w:rsidRDefault="00BB5697" w:rsidP="00BB5697">
      <w:pPr>
        <w:tabs>
          <w:tab w:val="left" w:pos="8248"/>
        </w:tabs>
        <w:rPr>
          <w:rFonts w:ascii="Arial" w:hAnsi="Arial" w:cs="Arial"/>
          <w:b/>
          <w:sz w:val="24"/>
          <w:szCs w:val="24"/>
        </w:rPr>
      </w:pPr>
    </w:p>
    <w:p w14:paraId="359652F6" w14:textId="77777777" w:rsidR="00BB5697" w:rsidRPr="00BB362B" w:rsidRDefault="00BB5697" w:rsidP="00BB5697">
      <w:pPr>
        <w:jc w:val="both"/>
        <w:rPr>
          <w:rFonts w:ascii="Arial" w:hAnsi="Arial" w:cs="Arial"/>
          <w:sz w:val="20"/>
          <w:szCs w:val="20"/>
        </w:rPr>
      </w:pPr>
      <w:r w:rsidRPr="00BB362B">
        <w:rPr>
          <w:rFonts w:ascii="Arial" w:hAnsi="Arial" w:cs="Arial"/>
          <w:sz w:val="20"/>
          <w:szCs w:val="20"/>
        </w:rPr>
        <w:t xml:space="preserve">Declaro, na forma da lei e para todos os fins de direito, que as unidades gestoras da Administração Direta do Poder Executivo de [ente], </w:t>
      </w:r>
      <w:r w:rsidRPr="00BB362B">
        <w:rPr>
          <w:rFonts w:ascii="Arial" w:hAnsi="Arial" w:cs="Arial"/>
          <w:b/>
          <w:bCs/>
          <w:sz w:val="20"/>
          <w:szCs w:val="20"/>
        </w:rPr>
        <w:t xml:space="preserve">repassaram </w:t>
      </w:r>
      <w:r w:rsidRPr="00BB362B">
        <w:rPr>
          <w:rFonts w:ascii="Arial" w:hAnsi="Arial" w:cs="Arial"/>
          <w:sz w:val="20"/>
          <w:szCs w:val="20"/>
        </w:rPr>
        <w:t>todas as contribuições patronais e dos servidores, inclusive dos cedidos, da competência do exercício de [competência da PCA].</w:t>
      </w:r>
    </w:p>
    <w:p w14:paraId="62F98181" w14:textId="77777777" w:rsidR="00BB5697" w:rsidRPr="00BB362B" w:rsidRDefault="00BB5697" w:rsidP="00BB5697">
      <w:pPr>
        <w:jc w:val="both"/>
        <w:rPr>
          <w:rFonts w:ascii="Arial" w:hAnsi="Arial" w:cs="Arial"/>
          <w:sz w:val="20"/>
          <w:szCs w:val="20"/>
        </w:rPr>
      </w:pPr>
      <w:r w:rsidRPr="00BB362B">
        <w:rPr>
          <w:rFonts w:ascii="Arial" w:hAnsi="Arial" w:cs="Arial"/>
          <w:sz w:val="20"/>
          <w:szCs w:val="20"/>
        </w:rPr>
        <w:t xml:space="preserve">Ressalta-se que as contribuições, patronal e dos servidores, inclusive dos cedidos, da competência do mês de dezembro de [exercício da PCA] que totalizou R$ [valor das contribuições], foram reconhecidas como obrigações a recolher, tendo em vista o art. XX da lei nº [legislação], estabelecer seu vencimento em [data de vencimento da obrigação]. </w:t>
      </w:r>
    </w:p>
    <w:p w14:paraId="18EA1F69" w14:textId="77777777" w:rsidR="00BB5697" w:rsidRPr="00BB362B" w:rsidRDefault="00BB5697" w:rsidP="00BB5697">
      <w:pPr>
        <w:jc w:val="both"/>
        <w:rPr>
          <w:rFonts w:ascii="Arial" w:hAnsi="Arial" w:cs="Arial"/>
          <w:sz w:val="20"/>
          <w:szCs w:val="20"/>
        </w:rPr>
      </w:pPr>
      <w:r w:rsidRPr="00BB362B">
        <w:rPr>
          <w:rFonts w:ascii="Arial" w:hAnsi="Arial" w:cs="Arial"/>
          <w:sz w:val="20"/>
          <w:szCs w:val="20"/>
        </w:rPr>
        <w:t xml:space="preserve">Declaro ainda, que todos os aportes [para cobertura de insuficiência financeira e/ou aporte atuarial] devidos em decorrência do art. [XX] da lei nº. [legislação] foram repassados pelo Poder Executivo para a unidade gestora do RPPS, no total R$ [evidenciar o valor total recebido no exercício]. </w:t>
      </w:r>
    </w:p>
    <w:p w14:paraId="68C3C80C" w14:textId="77777777" w:rsidR="00BB5697" w:rsidRPr="00BB362B" w:rsidRDefault="00BB5697" w:rsidP="00BB5697">
      <w:pPr>
        <w:jc w:val="both"/>
        <w:rPr>
          <w:rFonts w:ascii="Arial" w:hAnsi="Arial" w:cs="Arial"/>
          <w:sz w:val="20"/>
          <w:szCs w:val="20"/>
        </w:rPr>
      </w:pPr>
      <w:r w:rsidRPr="00BB362B">
        <w:rPr>
          <w:rFonts w:ascii="Arial" w:hAnsi="Arial" w:cs="Arial"/>
          <w:sz w:val="20"/>
          <w:szCs w:val="20"/>
        </w:rPr>
        <w:t xml:space="preserve">Por derradeiro, declaro que todas as parcelas vincendas no exercício [exercício de competência da PCA] dos parcelamentos [citar os parcelamentos vigentes] foram repassadas pelo Poder Executivo, no total de R$ [evidenciar o valor total repassado no exercício]. </w:t>
      </w:r>
    </w:p>
    <w:p w14:paraId="39DE6A72" w14:textId="77777777" w:rsidR="00BB5697" w:rsidRPr="00BB362B" w:rsidRDefault="00BB5697" w:rsidP="00BB5697">
      <w:pPr>
        <w:jc w:val="both"/>
        <w:rPr>
          <w:rFonts w:ascii="Arial" w:hAnsi="Arial" w:cs="Arial"/>
          <w:sz w:val="20"/>
          <w:szCs w:val="20"/>
        </w:rPr>
      </w:pPr>
      <w:r w:rsidRPr="00BB362B">
        <w:rPr>
          <w:rFonts w:ascii="Arial" w:hAnsi="Arial" w:cs="Arial"/>
          <w:sz w:val="20"/>
          <w:szCs w:val="20"/>
        </w:rPr>
        <w:t xml:space="preserve">Declaro, por fim, que foram apurados e repassados todos os encargos financeiros, decorrentes de recolhimentos em atraso no exercício, de todos os órgãos da Administração Direta do Poder Executivo. </w:t>
      </w:r>
    </w:p>
    <w:p w14:paraId="24A67B72" w14:textId="77777777" w:rsidR="00BB5697" w:rsidRDefault="00BB5697" w:rsidP="00BB5697">
      <w:pPr>
        <w:jc w:val="right"/>
        <w:rPr>
          <w:rFonts w:ascii="Arial" w:hAnsi="Arial" w:cs="Arial"/>
          <w:sz w:val="20"/>
          <w:szCs w:val="20"/>
        </w:rPr>
      </w:pPr>
    </w:p>
    <w:p w14:paraId="21DA8AB3" w14:textId="77777777" w:rsidR="00BB5697" w:rsidRPr="00BB362B" w:rsidRDefault="00BB5697" w:rsidP="00BB5697">
      <w:pPr>
        <w:jc w:val="right"/>
        <w:rPr>
          <w:rFonts w:ascii="Arial" w:hAnsi="Arial" w:cs="Arial"/>
          <w:sz w:val="20"/>
          <w:szCs w:val="20"/>
        </w:rPr>
      </w:pPr>
      <w:r w:rsidRPr="00BB362B">
        <w:rPr>
          <w:rFonts w:ascii="Arial" w:hAnsi="Arial" w:cs="Arial"/>
          <w:sz w:val="20"/>
          <w:szCs w:val="20"/>
        </w:rPr>
        <w:t xml:space="preserve">Município/ES, __ / dezembro / [exercício de competência da </w:t>
      </w:r>
      <w:r>
        <w:rPr>
          <w:rFonts w:ascii="Arial" w:hAnsi="Arial" w:cs="Arial"/>
          <w:sz w:val="20"/>
          <w:szCs w:val="20"/>
        </w:rPr>
        <w:t>PCA</w:t>
      </w:r>
      <w:r w:rsidRPr="00BB362B">
        <w:rPr>
          <w:rFonts w:ascii="Arial" w:hAnsi="Arial" w:cs="Arial"/>
          <w:sz w:val="20"/>
          <w:szCs w:val="20"/>
        </w:rPr>
        <w:t xml:space="preserve">] </w:t>
      </w:r>
    </w:p>
    <w:p w14:paraId="5807B70A" w14:textId="77777777" w:rsidR="00BB5697" w:rsidRPr="00BB362B" w:rsidRDefault="00BB5697" w:rsidP="00BB5697">
      <w:pPr>
        <w:jc w:val="center"/>
        <w:rPr>
          <w:rFonts w:ascii="Arial" w:hAnsi="Arial" w:cs="Arial"/>
          <w:sz w:val="20"/>
          <w:szCs w:val="20"/>
        </w:rPr>
      </w:pPr>
      <w:r w:rsidRPr="00BB362B">
        <w:rPr>
          <w:rFonts w:ascii="Arial" w:hAnsi="Arial" w:cs="Arial"/>
          <w:sz w:val="20"/>
          <w:szCs w:val="20"/>
        </w:rPr>
        <w:t>__________________________________________</w:t>
      </w:r>
    </w:p>
    <w:p w14:paraId="3B05D572" w14:textId="77777777" w:rsidR="00BB5697" w:rsidRPr="00BB362B" w:rsidRDefault="00BB5697" w:rsidP="00BB5697">
      <w:pPr>
        <w:jc w:val="center"/>
        <w:rPr>
          <w:rFonts w:ascii="Arial" w:hAnsi="Arial" w:cs="Arial"/>
          <w:sz w:val="20"/>
          <w:szCs w:val="20"/>
        </w:rPr>
      </w:pPr>
      <w:r w:rsidRPr="00BB362B">
        <w:rPr>
          <w:rFonts w:ascii="Arial" w:hAnsi="Arial" w:cs="Arial"/>
          <w:sz w:val="20"/>
          <w:szCs w:val="20"/>
        </w:rPr>
        <w:t>Assinatura do Chefe do Poder Executivo Estadual</w:t>
      </w:r>
    </w:p>
    <w:p w14:paraId="69DA55F2" w14:textId="77777777" w:rsidR="00BB5697" w:rsidRPr="00BB362B" w:rsidRDefault="00BB5697" w:rsidP="00BB5697">
      <w:pPr>
        <w:jc w:val="both"/>
        <w:rPr>
          <w:rFonts w:ascii="Arial" w:hAnsi="Arial" w:cs="Arial"/>
          <w:sz w:val="20"/>
          <w:szCs w:val="20"/>
        </w:rPr>
      </w:pPr>
    </w:p>
    <w:p w14:paraId="78201574" w14:textId="77777777" w:rsidR="00BB5697" w:rsidRPr="00BB362B" w:rsidRDefault="00BB5697" w:rsidP="00BB5697">
      <w:pPr>
        <w:jc w:val="both"/>
        <w:rPr>
          <w:rFonts w:ascii="Arial" w:hAnsi="Arial" w:cs="Arial"/>
          <w:sz w:val="20"/>
          <w:szCs w:val="20"/>
        </w:rPr>
      </w:pPr>
      <w:r w:rsidRPr="00BB362B">
        <w:rPr>
          <w:rFonts w:ascii="Arial" w:hAnsi="Arial" w:cs="Arial"/>
          <w:sz w:val="20"/>
          <w:szCs w:val="20"/>
        </w:rPr>
        <w:t>Observação: No caso de não repasse de todos os valores devidos no exercício, descrever os valores não repassados, sua competência e natureza do débito.</w:t>
      </w:r>
    </w:p>
    <w:tbl>
      <w:tblPr>
        <w:tblW w:w="8494" w:type="dxa"/>
        <w:tblCellMar>
          <w:left w:w="70" w:type="dxa"/>
          <w:right w:w="70" w:type="dxa"/>
        </w:tblCellMar>
        <w:tblLook w:val="04A0" w:firstRow="1" w:lastRow="0" w:firstColumn="1" w:lastColumn="0" w:noHBand="0" w:noVBand="1"/>
      </w:tblPr>
      <w:tblGrid>
        <w:gridCol w:w="1413"/>
        <w:gridCol w:w="1417"/>
        <w:gridCol w:w="1418"/>
        <w:gridCol w:w="1276"/>
        <w:gridCol w:w="1582"/>
        <w:gridCol w:w="1388"/>
      </w:tblGrid>
      <w:tr w:rsidR="00BB5697" w:rsidRPr="008A230E" w14:paraId="225E645B" w14:textId="77777777" w:rsidTr="00BF7C4A">
        <w:trPr>
          <w:trHeight w:val="425"/>
        </w:trPr>
        <w:tc>
          <w:tcPr>
            <w:tcW w:w="8494"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01E3FC9A" w14:textId="77777777" w:rsidR="00BB5697" w:rsidRPr="008A230E" w:rsidRDefault="00BB5697" w:rsidP="00BF7C4A">
            <w:pPr>
              <w:spacing w:after="0" w:line="240" w:lineRule="auto"/>
              <w:jc w:val="center"/>
              <w:rPr>
                <w:rFonts w:ascii="Arial" w:eastAsia="Times New Roman" w:hAnsi="Arial" w:cs="Arial"/>
                <w:b/>
                <w:color w:val="000000"/>
                <w:sz w:val="18"/>
                <w:lang w:eastAsia="pt-BR"/>
              </w:rPr>
            </w:pPr>
            <w:r w:rsidRPr="008A230E">
              <w:rPr>
                <w:rFonts w:ascii="Arial" w:eastAsia="Times New Roman" w:hAnsi="Arial" w:cs="Arial"/>
                <w:b/>
                <w:color w:val="000000"/>
                <w:sz w:val="18"/>
                <w:lang w:eastAsia="pt-BR"/>
              </w:rPr>
              <w:t>Descrição de Valores Devidos e Não Repassados no Exercício</w:t>
            </w:r>
          </w:p>
        </w:tc>
      </w:tr>
      <w:tr w:rsidR="00BB5697" w:rsidRPr="008A230E" w14:paraId="5FE71E1C" w14:textId="77777777" w:rsidTr="00BF7C4A">
        <w:trPr>
          <w:trHeight w:val="425"/>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3CCAAF" w14:textId="77777777" w:rsidR="00BB5697" w:rsidRPr="008A230E" w:rsidRDefault="00BB5697" w:rsidP="00BF7C4A">
            <w:pPr>
              <w:spacing w:after="0" w:line="240" w:lineRule="auto"/>
              <w:jc w:val="center"/>
              <w:rPr>
                <w:rFonts w:ascii="Arial" w:eastAsia="Times New Roman" w:hAnsi="Arial" w:cs="Arial"/>
                <w:b/>
                <w:color w:val="000000"/>
                <w:sz w:val="18"/>
                <w:lang w:eastAsia="pt-BR"/>
              </w:rPr>
            </w:pPr>
            <w:r w:rsidRPr="008A230E">
              <w:rPr>
                <w:rFonts w:ascii="Arial" w:eastAsia="Times New Roman" w:hAnsi="Arial" w:cs="Arial"/>
                <w:b/>
                <w:color w:val="000000"/>
                <w:sz w:val="18"/>
                <w:lang w:eastAsia="pt-BR"/>
              </w:rPr>
              <w:t>Órgão</w:t>
            </w:r>
          </w:p>
        </w:tc>
        <w:tc>
          <w:tcPr>
            <w:tcW w:w="1417" w:type="dxa"/>
            <w:tcBorders>
              <w:top w:val="single" w:sz="4" w:space="0" w:color="auto"/>
              <w:left w:val="single" w:sz="4" w:space="0" w:color="auto"/>
              <w:bottom w:val="single" w:sz="4" w:space="0" w:color="auto"/>
              <w:right w:val="single" w:sz="4" w:space="0" w:color="auto"/>
            </w:tcBorders>
            <w:vAlign w:val="center"/>
          </w:tcPr>
          <w:p w14:paraId="29385AF7" w14:textId="77777777" w:rsidR="00BB5697" w:rsidRPr="008A230E" w:rsidRDefault="00BB5697" w:rsidP="00BF7C4A">
            <w:pPr>
              <w:spacing w:after="0" w:line="240" w:lineRule="auto"/>
              <w:jc w:val="center"/>
              <w:rPr>
                <w:rFonts w:ascii="Arial" w:eastAsia="Times New Roman" w:hAnsi="Arial" w:cs="Arial"/>
                <w:b/>
                <w:color w:val="000000"/>
                <w:sz w:val="18"/>
                <w:lang w:eastAsia="pt-BR"/>
              </w:rPr>
            </w:pPr>
            <w:r w:rsidRPr="008A230E">
              <w:rPr>
                <w:rFonts w:ascii="Arial" w:eastAsia="Times New Roman" w:hAnsi="Arial" w:cs="Arial"/>
                <w:b/>
                <w:color w:val="000000"/>
                <w:sz w:val="18"/>
                <w:lang w:eastAsia="pt-BR"/>
              </w:rPr>
              <w:t>Competência</w:t>
            </w:r>
          </w:p>
        </w:tc>
        <w:tc>
          <w:tcPr>
            <w:tcW w:w="1418" w:type="dxa"/>
            <w:tcBorders>
              <w:top w:val="single" w:sz="4" w:space="0" w:color="auto"/>
              <w:left w:val="single" w:sz="4" w:space="0" w:color="auto"/>
              <w:bottom w:val="single" w:sz="4" w:space="0" w:color="auto"/>
              <w:right w:val="single" w:sz="4" w:space="0" w:color="auto"/>
            </w:tcBorders>
            <w:vAlign w:val="center"/>
          </w:tcPr>
          <w:p w14:paraId="720682D4" w14:textId="77777777" w:rsidR="00BB5697" w:rsidRPr="008A230E" w:rsidRDefault="00BB5697" w:rsidP="00BF7C4A">
            <w:pPr>
              <w:spacing w:after="0" w:line="240" w:lineRule="auto"/>
              <w:jc w:val="center"/>
              <w:rPr>
                <w:rFonts w:ascii="Arial" w:eastAsia="Times New Roman" w:hAnsi="Arial" w:cs="Arial"/>
                <w:b/>
                <w:color w:val="000000"/>
                <w:sz w:val="18"/>
                <w:lang w:eastAsia="pt-BR"/>
              </w:rPr>
            </w:pPr>
            <w:r w:rsidRPr="008A230E">
              <w:rPr>
                <w:rFonts w:ascii="Arial" w:eastAsia="Times New Roman" w:hAnsi="Arial" w:cs="Arial"/>
                <w:b/>
                <w:color w:val="000000"/>
                <w:sz w:val="18"/>
                <w:lang w:eastAsia="pt-BR"/>
              </w:rPr>
              <w:t>Natureza</w:t>
            </w:r>
            <w:r>
              <w:rPr>
                <w:rStyle w:val="Refdenotaderodap"/>
                <w:rFonts w:cs="Arial"/>
                <w:b/>
                <w:color w:val="000000"/>
                <w:sz w:val="18"/>
                <w:lang w:eastAsia="pt-BR"/>
              </w:rPr>
              <w:footnoteReference w:id="14"/>
            </w:r>
          </w:p>
        </w:tc>
        <w:tc>
          <w:tcPr>
            <w:tcW w:w="1276" w:type="dxa"/>
            <w:tcBorders>
              <w:top w:val="single" w:sz="4" w:space="0" w:color="auto"/>
              <w:left w:val="single" w:sz="4" w:space="0" w:color="auto"/>
              <w:bottom w:val="single" w:sz="4" w:space="0" w:color="auto"/>
              <w:right w:val="single" w:sz="4" w:space="0" w:color="auto"/>
            </w:tcBorders>
            <w:vAlign w:val="center"/>
          </w:tcPr>
          <w:p w14:paraId="7ED5FBB1" w14:textId="77777777" w:rsidR="00BB5697" w:rsidRPr="008A230E" w:rsidRDefault="00BB5697" w:rsidP="00BF7C4A">
            <w:pPr>
              <w:spacing w:after="0" w:line="240" w:lineRule="auto"/>
              <w:jc w:val="center"/>
              <w:rPr>
                <w:rFonts w:ascii="Arial" w:eastAsia="Times New Roman" w:hAnsi="Arial" w:cs="Arial"/>
                <w:b/>
                <w:color w:val="000000"/>
                <w:sz w:val="18"/>
                <w:lang w:eastAsia="pt-BR"/>
              </w:rPr>
            </w:pPr>
            <w:r w:rsidRPr="008A230E">
              <w:rPr>
                <w:rFonts w:ascii="Arial" w:eastAsia="Times New Roman" w:hAnsi="Arial" w:cs="Arial"/>
                <w:b/>
                <w:color w:val="000000"/>
                <w:sz w:val="18"/>
                <w:lang w:eastAsia="pt-BR"/>
              </w:rPr>
              <w:t>Valor Original</w:t>
            </w:r>
          </w:p>
        </w:tc>
        <w:tc>
          <w:tcPr>
            <w:tcW w:w="1582" w:type="dxa"/>
            <w:tcBorders>
              <w:top w:val="single" w:sz="4" w:space="0" w:color="auto"/>
              <w:left w:val="single" w:sz="4" w:space="0" w:color="auto"/>
              <w:bottom w:val="single" w:sz="4" w:space="0" w:color="auto"/>
              <w:right w:val="single" w:sz="4" w:space="0" w:color="auto"/>
            </w:tcBorders>
            <w:vAlign w:val="center"/>
          </w:tcPr>
          <w:p w14:paraId="7225BF17" w14:textId="77777777" w:rsidR="00BB5697" w:rsidRPr="008A230E" w:rsidRDefault="00BB5697" w:rsidP="00BF7C4A">
            <w:pPr>
              <w:spacing w:after="0" w:line="240" w:lineRule="auto"/>
              <w:jc w:val="center"/>
              <w:rPr>
                <w:rFonts w:ascii="Arial" w:eastAsia="Times New Roman" w:hAnsi="Arial" w:cs="Arial"/>
                <w:b/>
                <w:color w:val="000000"/>
                <w:sz w:val="18"/>
                <w:lang w:eastAsia="pt-BR"/>
              </w:rPr>
            </w:pPr>
            <w:r w:rsidRPr="008A230E">
              <w:rPr>
                <w:rFonts w:ascii="Arial" w:eastAsia="Times New Roman" w:hAnsi="Arial" w:cs="Arial"/>
                <w:b/>
                <w:color w:val="000000"/>
                <w:sz w:val="18"/>
                <w:lang w:eastAsia="pt-BR"/>
              </w:rPr>
              <w:t>Valor Atualizado</w:t>
            </w:r>
            <w:r>
              <w:rPr>
                <w:rStyle w:val="Refdenotaderodap"/>
                <w:rFonts w:cs="Arial"/>
                <w:b/>
                <w:color w:val="000000"/>
                <w:sz w:val="18"/>
                <w:lang w:eastAsia="pt-BR"/>
              </w:rPr>
              <w:footnoteReference w:id="15"/>
            </w:r>
          </w:p>
        </w:tc>
        <w:tc>
          <w:tcPr>
            <w:tcW w:w="1388" w:type="dxa"/>
            <w:tcBorders>
              <w:top w:val="single" w:sz="4" w:space="0" w:color="auto"/>
              <w:left w:val="single" w:sz="4" w:space="0" w:color="auto"/>
              <w:bottom w:val="single" w:sz="4" w:space="0" w:color="auto"/>
              <w:right w:val="single" w:sz="4" w:space="0" w:color="auto"/>
            </w:tcBorders>
            <w:vAlign w:val="center"/>
          </w:tcPr>
          <w:p w14:paraId="2D20D70F" w14:textId="77777777" w:rsidR="00BB5697" w:rsidRPr="008A230E" w:rsidRDefault="00BB5697" w:rsidP="00BF7C4A">
            <w:pPr>
              <w:spacing w:after="0" w:line="240" w:lineRule="auto"/>
              <w:jc w:val="center"/>
              <w:rPr>
                <w:rFonts w:ascii="Arial" w:eastAsia="Times New Roman" w:hAnsi="Arial" w:cs="Arial"/>
                <w:b/>
                <w:color w:val="000000"/>
                <w:sz w:val="18"/>
                <w:lang w:eastAsia="pt-BR"/>
              </w:rPr>
            </w:pPr>
            <w:r w:rsidRPr="008A230E">
              <w:rPr>
                <w:rFonts w:ascii="Arial" w:eastAsia="Times New Roman" w:hAnsi="Arial" w:cs="Arial"/>
                <w:b/>
                <w:color w:val="000000"/>
                <w:sz w:val="18"/>
                <w:lang w:eastAsia="pt-BR"/>
              </w:rPr>
              <w:t>Conta Contábil</w:t>
            </w:r>
            <w:r>
              <w:rPr>
                <w:rStyle w:val="Refdenotaderodap"/>
                <w:rFonts w:cs="Arial"/>
                <w:b/>
                <w:color w:val="000000"/>
                <w:sz w:val="18"/>
                <w:lang w:eastAsia="pt-BR"/>
              </w:rPr>
              <w:footnoteReference w:id="16"/>
            </w:r>
          </w:p>
        </w:tc>
      </w:tr>
      <w:tr w:rsidR="00BB5697" w:rsidRPr="008A230E" w14:paraId="45EA5C3D" w14:textId="77777777" w:rsidTr="00BF7C4A">
        <w:trPr>
          <w:trHeight w:val="425"/>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7AF2D6" w14:textId="77777777" w:rsidR="00BB5697" w:rsidRPr="00F802BD" w:rsidRDefault="00BB5697" w:rsidP="00BF7C4A">
            <w:pPr>
              <w:spacing w:after="0" w:line="240" w:lineRule="auto"/>
              <w:rPr>
                <w:rFonts w:ascii="Arial" w:eastAsia="Times New Roman" w:hAnsi="Arial" w:cs="Arial"/>
                <w:color w:val="000000"/>
                <w:lang w:eastAsia="pt-BR"/>
              </w:rPr>
            </w:pPr>
          </w:p>
        </w:tc>
        <w:tc>
          <w:tcPr>
            <w:tcW w:w="1417" w:type="dxa"/>
            <w:tcBorders>
              <w:top w:val="single" w:sz="4" w:space="0" w:color="auto"/>
              <w:left w:val="single" w:sz="4" w:space="0" w:color="auto"/>
              <w:bottom w:val="single" w:sz="4" w:space="0" w:color="auto"/>
              <w:right w:val="single" w:sz="4" w:space="0" w:color="auto"/>
            </w:tcBorders>
            <w:vAlign w:val="center"/>
          </w:tcPr>
          <w:p w14:paraId="47C2CD57" w14:textId="77777777" w:rsidR="00BB5697" w:rsidRPr="008A230E" w:rsidRDefault="00BB5697" w:rsidP="00BF7C4A">
            <w:pPr>
              <w:spacing w:after="0" w:line="240" w:lineRule="auto"/>
              <w:jc w:val="center"/>
              <w:rPr>
                <w:rFonts w:ascii="Arial" w:eastAsia="Times New Roman" w:hAnsi="Arial" w:cs="Arial"/>
                <w:color w:val="000000"/>
                <w:lang w:eastAsia="pt-BR"/>
              </w:rPr>
            </w:pPr>
          </w:p>
        </w:tc>
        <w:tc>
          <w:tcPr>
            <w:tcW w:w="1418" w:type="dxa"/>
            <w:tcBorders>
              <w:top w:val="single" w:sz="4" w:space="0" w:color="auto"/>
              <w:left w:val="single" w:sz="4" w:space="0" w:color="auto"/>
              <w:bottom w:val="single" w:sz="4" w:space="0" w:color="auto"/>
              <w:right w:val="single" w:sz="4" w:space="0" w:color="auto"/>
            </w:tcBorders>
            <w:vAlign w:val="center"/>
          </w:tcPr>
          <w:p w14:paraId="174C5508" w14:textId="77777777" w:rsidR="00BB5697" w:rsidRPr="008A230E" w:rsidRDefault="00BB5697" w:rsidP="00BF7C4A">
            <w:pPr>
              <w:spacing w:after="0" w:line="240" w:lineRule="auto"/>
              <w:jc w:val="center"/>
              <w:rPr>
                <w:rFonts w:ascii="Arial" w:eastAsia="Times New Roman" w:hAnsi="Arial" w:cs="Arial"/>
                <w:color w:val="000000"/>
                <w:lang w:eastAsia="pt-BR"/>
              </w:rPr>
            </w:pPr>
          </w:p>
        </w:tc>
        <w:tc>
          <w:tcPr>
            <w:tcW w:w="1276" w:type="dxa"/>
            <w:tcBorders>
              <w:top w:val="single" w:sz="4" w:space="0" w:color="auto"/>
              <w:left w:val="single" w:sz="4" w:space="0" w:color="auto"/>
              <w:bottom w:val="single" w:sz="4" w:space="0" w:color="auto"/>
              <w:right w:val="single" w:sz="4" w:space="0" w:color="auto"/>
            </w:tcBorders>
            <w:vAlign w:val="center"/>
          </w:tcPr>
          <w:p w14:paraId="6666BFE3" w14:textId="77777777" w:rsidR="00BB5697" w:rsidRPr="008A230E" w:rsidRDefault="00BB5697" w:rsidP="00BF7C4A">
            <w:pPr>
              <w:spacing w:after="0" w:line="240" w:lineRule="auto"/>
              <w:jc w:val="center"/>
              <w:rPr>
                <w:rFonts w:ascii="Arial" w:eastAsia="Times New Roman" w:hAnsi="Arial" w:cs="Arial"/>
                <w:color w:val="000000"/>
                <w:lang w:eastAsia="pt-BR"/>
              </w:rPr>
            </w:pPr>
          </w:p>
        </w:tc>
        <w:tc>
          <w:tcPr>
            <w:tcW w:w="1582" w:type="dxa"/>
            <w:tcBorders>
              <w:top w:val="single" w:sz="4" w:space="0" w:color="auto"/>
              <w:left w:val="single" w:sz="4" w:space="0" w:color="auto"/>
              <w:bottom w:val="single" w:sz="4" w:space="0" w:color="auto"/>
              <w:right w:val="single" w:sz="4" w:space="0" w:color="auto"/>
            </w:tcBorders>
            <w:vAlign w:val="center"/>
          </w:tcPr>
          <w:p w14:paraId="0EDC5936" w14:textId="77777777" w:rsidR="00BB5697" w:rsidRPr="008A230E" w:rsidRDefault="00BB5697" w:rsidP="00BF7C4A">
            <w:pPr>
              <w:spacing w:after="0" w:line="240" w:lineRule="auto"/>
              <w:jc w:val="center"/>
              <w:rPr>
                <w:rFonts w:ascii="Arial" w:eastAsia="Times New Roman" w:hAnsi="Arial" w:cs="Arial"/>
                <w:color w:val="000000"/>
                <w:lang w:eastAsia="pt-BR"/>
              </w:rPr>
            </w:pPr>
          </w:p>
        </w:tc>
        <w:tc>
          <w:tcPr>
            <w:tcW w:w="1388" w:type="dxa"/>
            <w:tcBorders>
              <w:top w:val="single" w:sz="4" w:space="0" w:color="auto"/>
              <w:left w:val="single" w:sz="4" w:space="0" w:color="auto"/>
              <w:bottom w:val="single" w:sz="4" w:space="0" w:color="auto"/>
              <w:right w:val="single" w:sz="4" w:space="0" w:color="auto"/>
            </w:tcBorders>
            <w:vAlign w:val="center"/>
          </w:tcPr>
          <w:p w14:paraId="365715C1" w14:textId="77777777" w:rsidR="00BB5697" w:rsidRPr="008A230E" w:rsidRDefault="00BB5697" w:rsidP="00BF7C4A">
            <w:pPr>
              <w:spacing w:after="0" w:line="240" w:lineRule="auto"/>
              <w:jc w:val="center"/>
              <w:rPr>
                <w:rFonts w:ascii="Arial" w:eastAsia="Times New Roman" w:hAnsi="Arial" w:cs="Arial"/>
                <w:color w:val="000000"/>
                <w:lang w:eastAsia="pt-BR"/>
              </w:rPr>
            </w:pPr>
          </w:p>
        </w:tc>
      </w:tr>
      <w:tr w:rsidR="00BB5697" w:rsidRPr="008A230E" w14:paraId="0C2E536C" w14:textId="77777777" w:rsidTr="00BF7C4A">
        <w:trPr>
          <w:trHeight w:val="387"/>
        </w:trPr>
        <w:tc>
          <w:tcPr>
            <w:tcW w:w="1413" w:type="dxa"/>
            <w:tcBorders>
              <w:top w:val="nil"/>
              <w:left w:val="single" w:sz="4" w:space="0" w:color="auto"/>
              <w:bottom w:val="single" w:sz="4" w:space="0" w:color="auto"/>
              <w:right w:val="single" w:sz="4" w:space="0" w:color="auto"/>
            </w:tcBorders>
            <w:shd w:val="clear" w:color="auto" w:fill="auto"/>
            <w:noWrap/>
            <w:vAlign w:val="center"/>
          </w:tcPr>
          <w:p w14:paraId="4AE162CE" w14:textId="77777777" w:rsidR="00BB5697" w:rsidRPr="00F802BD" w:rsidRDefault="00BB5697" w:rsidP="00BF7C4A">
            <w:pPr>
              <w:spacing w:after="0" w:line="240" w:lineRule="auto"/>
              <w:rPr>
                <w:rFonts w:ascii="Arial" w:eastAsia="Times New Roman" w:hAnsi="Arial" w:cs="Arial"/>
                <w:color w:val="000000"/>
                <w:lang w:eastAsia="pt-BR"/>
              </w:rPr>
            </w:pPr>
          </w:p>
        </w:tc>
        <w:tc>
          <w:tcPr>
            <w:tcW w:w="1417" w:type="dxa"/>
            <w:tcBorders>
              <w:top w:val="nil"/>
              <w:left w:val="single" w:sz="4" w:space="0" w:color="auto"/>
              <w:bottom w:val="single" w:sz="4" w:space="0" w:color="auto"/>
              <w:right w:val="single" w:sz="4" w:space="0" w:color="auto"/>
            </w:tcBorders>
            <w:vAlign w:val="center"/>
          </w:tcPr>
          <w:p w14:paraId="43986016" w14:textId="77777777" w:rsidR="00BB5697" w:rsidRPr="008A230E" w:rsidRDefault="00BB5697" w:rsidP="00BF7C4A">
            <w:pPr>
              <w:spacing w:after="0" w:line="240" w:lineRule="auto"/>
              <w:jc w:val="center"/>
              <w:rPr>
                <w:rFonts w:ascii="Arial" w:eastAsia="Times New Roman" w:hAnsi="Arial" w:cs="Arial"/>
                <w:color w:val="000000"/>
                <w:lang w:eastAsia="pt-BR"/>
              </w:rPr>
            </w:pPr>
          </w:p>
        </w:tc>
        <w:tc>
          <w:tcPr>
            <w:tcW w:w="1418" w:type="dxa"/>
            <w:tcBorders>
              <w:top w:val="nil"/>
              <w:left w:val="single" w:sz="4" w:space="0" w:color="auto"/>
              <w:bottom w:val="single" w:sz="4" w:space="0" w:color="auto"/>
              <w:right w:val="single" w:sz="4" w:space="0" w:color="auto"/>
            </w:tcBorders>
            <w:vAlign w:val="center"/>
          </w:tcPr>
          <w:p w14:paraId="47AB115F" w14:textId="77777777" w:rsidR="00BB5697" w:rsidRPr="008A230E" w:rsidRDefault="00BB5697" w:rsidP="00BF7C4A">
            <w:pPr>
              <w:spacing w:after="0" w:line="240" w:lineRule="auto"/>
              <w:jc w:val="center"/>
              <w:rPr>
                <w:rFonts w:ascii="Arial" w:eastAsia="Times New Roman" w:hAnsi="Arial" w:cs="Arial"/>
                <w:color w:val="000000"/>
                <w:lang w:eastAsia="pt-BR"/>
              </w:rPr>
            </w:pPr>
          </w:p>
        </w:tc>
        <w:tc>
          <w:tcPr>
            <w:tcW w:w="1276" w:type="dxa"/>
            <w:tcBorders>
              <w:top w:val="nil"/>
              <w:left w:val="single" w:sz="4" w:space="0" w:color="auto"/>
              <w:bottom w:val="single" w:sz="4" w:space="0" w:color="auto"/>
              <w:right w:val="single" w:sz="4" w:space="0" w:color="auto"/>
            </w:tcBorders>
            <w:vAlign w:val="center"/>
          </w:tcPr>
          <w:p w14:paraId="08C63A23" w14:textId="77777777" w:rsidR="00BB5697" w:rsidRPr="008A230E" w:rsidRDefault="00BB5697" w:rsidP="00BF7C4A">
            <w:pPr>
              <w:spacing w:after="0" w:line="240" w:lineRule="auto"/>
              <w:jc w:val="center"/>
              <w:rPr>
                <w:rFonts w:ascii="Arial" w:eastAsia="Times New Roman" w:hAnsi="Arial" w:cs="Arial"/>
                <w:color w:val="000000"/>
                <w:lang w:eastAsia="pt-BR"/>
              </w:rPr>
            </w:pPr>
          </w:p>
        </w:tc>
        <w:tc>
          <w:tcPr>
            <w:tcW w:w="1582" w:type="dxa"/>
            <w:tcBorders>
              <w:top w:val="nil"/>
              <w:left w:val="single" w:sz="4" w:space="0" w:color="auto"/>
              <w:bottom w:val="single" w:sz="4" w:space="0" w:color="auto"/>
              <w:right w:val="single" w:sz="4" w:space="0" w:color="auto"/>
            </w:tcBorders>
            <w:vAlign w:val="center"/>
          </w:tcPr>
          <w:p w14:paraId="37B11546" w14:textId="77777777" w:rsidR="00BB5697" w:rsidRPr="008A230E" w:rsidRDefault="00BB5697" w:rsidP="00BF7C4A">
            <w:pPr>
              <w:spacing w:after="0" w:line="240" w:lineRule="auto"/>
              <w:jc w:val="center"/>
              <w:rPr>
                <w:rFonts w:ascii="Arial" w:eastAsia="Times New Roman" w:hAnsi="Arial" w:cs="Arial"/>
                <w:color w:val="000000"/>
                <w:lang w:eastAsia="pt-BR"/>
              </w:rPr>
            </w:pPr>
          </w:p>
        </w:tc>
        <w:tc>
          <w:tcPr>
            <w:tcW w:w="1388" w:type="dxa"/>
            <w:tcBorders>
              <w:top w:val="nil"/>
              <w:left w:val="single" w:sz="4" w:space="0" w:color="auto"/>
              <w:bottom w:val="single" w:sz="4" w:space="0" w:color="auto"/>
              <w:right w:val="single" w:sz="4" w:space="0" w:color="auto"/>
            </w:tcBorders>
            <w:vAlign w:val="center"/>
          </w:tcPr>
          <w:p w14:paraId="1F89FFFD" w14:textId="77777777" w:rsidR="00BB5697" w:rsidRPr="008A230E" w:rsidRDefault="00BB5697" w:rsidP="00BF7C4A">
            <w:pPr>
              <w:spacing w:after="0" w:line="240" w:lineRule="auto"/>
              <w:jc w:val="center"/>
              <w:rPr>
                <w:rFonts w:ascii="Arial" w:eastAsia="Times New Roman" w:hAnsi="Arial" w:cs="Arial"/>
                <w:color w:val="000000"/>
                <w:lang w:eastAsia="pt-BR"/>
              </w:rPr>
            </w:pPr>
          </w:p>
        </w:tc>
      </w:tr>
      <w:tr w:rsidR="00BB5697" w:rsidRPr="008A230E" w14:paraId="573C66A2" w14:textId="77777777" w:rsidTr="00BF7C4A">
        <w:trPr>
          <w:trHeight w:val="387"/>
        </w:trPr>
        <w:tc>
          <w:tcPr>
            <w:tcW w:w="4248"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684306C9" w14:textId="77777777" w:rsidR="00BB5697" w:rsidRPr="008A230E" w:rsidRDefault="00BB5697" w:rsidP="00BF7C4A">
            <w:pPr>
              <w:spacing w:after="0" w:line="240" w:lineRule="auto"/>
              <w:jc w:val="center"/>
              <w:rPr>
                <w:rFonts w:ascii="Arial" w:eastAsia="Times New Roman" w:hAnsi="Arial" w:cs="Arial"/>
                <w:b/>
                <w:color w:val="000000"/>
                <w:lang w:eastAsia="pt-BR"/>
              </w:rPr>
            </w:pPr>
            <w:r w:rsidRPr="008A230E">
              <w:rPr>
                <w:rFonts w:ascii="Arial" w:eastAsia="Times New Roman" w:hAnsi="Arial" w:cs="Arial"/>
                <w:b/>
                <w:color w:val="000000"/>
                <w:sz w:val="18"/>
                <w:lang w:eastAsia="pt-BR"/>
              </w:rPr>
              <w:t>Total</w:t>
            </w:r>
          </w:p>
        </w:tc>
        <w:tc>
          <w:tcPr>
            <w:tcW w:w="1276" w:type="dxa"/>
            <w:tcBorders>
              <w:top w:val="single" w:sz="4" w:space="0" w:color="auto"/>
              <w:left w:val="single" w:sz="4" w:space="0" w:color="auto"/>
              <w:bottom w:val="single" w:sz="4" w:space="0" w:color="auto"/>
              <w:right w:val="single" w:sz="4" w:space="0" w:color="auto"/>
            </w:tcBorders>
            <w:vAlign w:val="center"/>
          </w:tcPr>
          <w:p w14:paraId="6E6841D5" w14:textId="77777777" w:rsidR="00BB5697" w:rsidRPr="008A230E" w:rsidRDefault="00BB5697" w:rsidP="00BF7C4A">
            <w:pPr>
              <w:spacing w:after="0" w:line="240" w:lineRule="auto"/>
              <w:jc w:val="center"/>
              <w:rPr>
                <w:rFonts w:ascii="Arial" w:eastAsia="Times New Roman" w:hAnsi="Arial" w:cs="Arial"/>
                <w:color w:val="000000"/>
                <w:lang w:eastAsia="pt-BR"/>
              </w:rPr>
            </w:pPr>
          </w:p>
        </w:tc>
        <w:tc>
          <w:tcPr>
            <w:tcW w:w="1582" w:type="dxa"/>
            <w:tcBorders>
              <w:top w:val="single" w:sz="4" w:space="0" w:color="auto"/>
              <w:left w:val="single" w:sz="4" w:space="0" w:color="auto"/>
              <w:bottom w:val="single" w:sz="4" w:space="0" w:color="auto"/>
              <w:right w:val="single" w:sz="4" w:space="0" w:color="auto"/>
            </w:tcBorders>
            <w:vAlign w:val="center"/>
          </w:tcPr>
          <w:p w14:paraId="30B2690A" w14:textId="77777777" w:rsidR="00BB5697" w:rsidRPr="008A230E" w:rsidRDefault="00BB5697" w:rsidP="00BF7C4A">
            <w:pPr>
              <w:spacing w:after="0" w:line="240" w:lineRule="auto"/>
              <w:jc w:val="center"/>
              <w:rPr>
                <w:rFonts w:ascii="Arial" w:eastAsia="Times New Roman" w:hAnsi="Arial" w:cs="Arial"/>
                <w:color w:val="000000"/>
                <w:lang w:eastAsia="pt-BR"/>
              </w:rPr>
            </w:pPr>
          </w:p>
        </w:tc>
        <w:tc>
          <w:tcPr>
            <w:tcW w:w="1388" w:type="dxa"/>
            <w:tcBorders>
              <w:top w:val="single" w:sz="4" w:space="0" w:color="auto"/>
              <w:left w:val="single" w:sz="4" w:space="0" w:color="auto"/>
              <w:bottom w:val="single" w:sz="4" w:space="0" w:color="auto"/>
              <w:right w:val="single" w:sz="4" w:space="0" w:color="auto"/>
            </w:tcBorders>
            <w:vAlign w:val="center"/>
          </w:tcPr>
          <w:p w14:paraId="47746466" w14:textId="77777777" w:rsidR="00BB5697" w:rsidRPr="008A230E" w:rsidRDefault="00BB5697" w:rsidP="00BF7C4A">
            <w:pPr>
              <w:spacing w:after="0" w:line="240" w:lineRule="auto"/>
              <w:jc w:val="center"/>
              <w:rPr>
                <w:rFonts w:ascii="Arial" w:eastAsia="Times New Roman" w:hAnsi="Arial" w:cs="Arial"/>
                <w:color w:val="000000"/>
                <w:lang w:eastAsia="pt-BR"/>
              </w:rPr>
            </w:pPr>
          </w:p>
        </w:tc>
      </w:tr>
    </w:tbl>
    <w:p w14:paraId="433A3CED" w14:textId="0B4D35A1" w:rsidR="00BB5697" w:rsidRDefault="00BB5697" w:rsidP="00BB5697">
      <w:pPr>
        <w:tabs>
          <w:tab w:val="left" w:pos="8248"/>
        </w:tabs>
        <w:rPr>
          <w:rFonts w:ascii="Arial" w:hAnsi="Arial" w:cs="Arial"/>
          <w:b/>
          <w:sz w:val="24"/>
          <w:szCs w:val="24"/>
        </w:rPr>
      </w:pPr>
    </w:p>
    <w:p w14:paraId="2C0F19FD" w14:textId="103084F1" w:rsidR="007B6306" w:rsidRDefault="007B6306" w:rsidP="007B6306">
      <w:pPr>
        <w:pStyle w:val="Ttulo3"/>
      </w:pPr>
      <w:bookmarkStart w:id="75" w:name="_Toc94806347"/>
      <w:r>
        <w:rPr>
          <w:lang w:val="pt-BR"/>
        </w:rPr>
        <w:lastRenderedPageBreak/>
        <w:t>DELPROG</w:t>
      </w:r>
      <w:bookmarkEnd w:id="75"/>
    </w:p>
    <w:p w14:paraId="364D7A13" w14:textId="77777777" w:rsidR="00BB5697" w:rsidRPr="007B6306" w:rsidRDefault="00BB5697" w:rsidP="00BB5697">
      <w:pPr>
        <w:spacing w:after="0" w:line="360" w:lineRule="auto"/>
        <w:jc w:val="center"/>
        <w:rPr>
          <w:rFonts w:ascii="Arial" w:hAnsi="Arial" w:cs="Arial"/>
          <w:b/>
        </w:rPr>
      </w:pPr>
      <w:r w:rsidRPr="007B6306">
        <w:rPr>
          <w:rFonts w:ascii="Arial" w:hAnsi="Arial" w:cs="Arial"/>
          <w:b/>
        </w:rPr>
        <w:t>DECLARAÇÃO DA EXISTÊNCIA DE PROGRAMAÇÃO ESPECÍFICA NOS INSTRUMENTOS DE PLANEJAMENTO (PPA/LDO/LOA) PARA AMORTIZAÇÃO DO DÉFICIT ATUARIAL</w:t>
      </w:r>
    </w:p>
    <w:tbl>
      <w:tblPr>
        <w:tblW w:w="8505" w:type="dxa"/>
        <w:tblInd w:w="7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8505"/>
      </w:tblGrid>
      <w:tr w:rsidR="00BB5697" w:rsidRPr="00FD1551" w14:paraId="1D9D7C50" w14:textId="77777777" w:rsidTr="00BF7C4A">
        <w:trPr>
          <w:trHeight w:val="283"/>
        </w:trPr>
        <w:tc>
          <w:tcPr>
            <w:tcW w:w="8505" w:type="dxa"/>
          </w:tcPr>
          <w:p w14:paraId="5550F395"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b/>
                <w:bCs/>
                <w:color w:val="000000"/>
                <w:sz w:val="16"/>
                <w:szCs w:val="16"/>
                <w:lang w:eastAsia="pt-BR"/>
              </w:rPr>
              <w:t>IDENTIFICAÇÃO:</w:t>
            </w:r>
            <w:r w:rsidRPr="00FD1551">
              <w:rPr>
                <w:rFonts w:ascii="Arial" w:eastAsia="Times New Roman" w:hAnsi="Arial" w:cs="Arial"/>
                <w:color w:val="000000"/>
                <w:sz w:val="16"/>
                <w:szCs w:val="16"/>
                <w:lang w:eastAsia="pt-BR"/>
              </w:rPr>
              <w:t> </w:t>
            </w:r>
          </w:p>
        </w:tc>
      </w:tr>
      <w:tr w:rsidR="00BB5697" w:rsidRPr="00FD1551" w14:paraId="29CD04E1" w14:textId="77777777" w:rsidTr="00BF7C4A">
        <w:trPr>
          <w:trHeight w:val="283"/>
        </w:trPr>
        <w:tc>
          <w:tcPr>
            <w:tcW w:w="8505" w:type="dxa"/>
            <w:shd w:val="clear" w:color="auto" w:fill="auto"/>
            <w:noWrap/>
            <w:vAlign w:val="bottom"/>
            <w:hideMark/>
          </w:tcPr>
          <w:p w14:paraId="3DB6D318"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EXERCÍCIO:</w:t>
            </w:r>
          </w:p>
        </w:tc>
      </w:tr>
    </w:tbl>
    <w:p w14:paraId="3940F851" w14:textId="77777777" w:rsidR="00BB5697" w:rsidRDefault="00BB5697" w:rsidP="00BB5697">
      <w:pPr>
        <w:tabs>
          <w:tab w:val="left" w:pos="8248"/>
        </w:tabs>
        <w:rPr>
          <w:rFonts w:ascii="Arial" w:hAnsi="Arial" w:cs="Arial"/>
          <w:b/>
          <w:sz w:val="24"/>
          <w:szCs w:val="24"/>
        </w:rPr>
      </w:pPr>
    </w:p>
    <w:p w14:paraId="0C830755" w14:textId="77777777" w:rsidR="00BB5697" w:rsidRPr="006F0BD3" w:rsidRDefault="00BB5697" w:rsidP="00BB5697">
      <w:pPr>
        <w:jc w:val="both"/>
        <w:rPr>
          <w:rFonts w:ascii="Arial" w:hAnsi="Arial" w:cs="Arial"/>
          <w:sz w:val="20"/>
          <w:szCs w:val="20"/>
        </w:rPr>
      </w:pPr>
      <w:r w:rsidRPr="006F0BD3">
        <w:rPr>
          <w:rFonts w:ascii="Arial" w:hAnsi="Arial" w:cs="Arial"/>
          <w:sz w:val="20"/>
          <w:szCs w:val="20"/>
        </w:rPr>
        <w:t xml:space="preserve">1. Declaro perante o Tribunal de Contas do Estado do Espírito Santo, que o Plano Plurianual vigente – PPA, aprovado por meio de lei e vigente no exercício [de competência da prestação de Contas], </w:t>
      </w:r>
      <w:r w:rsidRPr="006F0BD3">
        <w:rPr>
          <w:rFonts w:ascii="Arial" w:hAnsi="Arial" w:cs="Arial"/>
          <w:b/>
          <w:sz w:val="20"/>
          <w:szCs w:val="20"/>
        </w:rPr>
        <w:t>possui/não possui</w:t>
      </w:r>
      <w:r w:rsidRPr="006F0BD3">
        <w:rPr>
          <w:rFonts w:ascii="Arial" w:hAnsi="Arial" w:cs="Arial"/>
          <w:sz w:val="20"/>
          <w:szCs w:val="20"/>
        </w:rPr>
        <w:t xml:space="preserve"> programação específica para amortização do déficit atuarial.</w:t>
      </w:r>
    </w:p>
    <w:tbl>
      <w:tblPr>
        <w:tblW w:w="7797" w:type="dxa"/>
        <w:jc w:val="center"/>
        <w:tblCellMar>
          <w:left w:w="70" w:type="dxa"/>
          <w:right w:w="70" w:type="dxa"/>
        </w:tblCellMar>
        <w:tblLook w:val="04A0" w:firstRow="1" w:lastRow="0" w:firstColumn="1" w:lastColumn="0" w:noHBand="0" w:noVBand="1"/>
      </w:tblPr>
      <w:tblGrid>
        <w:gridCol w:w="4248"/>
        <w:gridCol w:w="3549"/>
      </w:tblGrid>
      <w:tr w:rsidR="00BB5697" w:rsidRPr="006F0BD3" w14:paraId="4EF38037" w14:textId="77777777" w:rsidTr="00BF7C4A">
        <w:trPr>
          <w:trHeight w:val="425"/>
          <w:jc w:val="center"/>
        </w:trPr>
        <w:tc>
          <w:tcPr>
            <w:tcW w:w="424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BCFB6F" w14:textId="77777777" w:rsidR="00BB5697" w:rsidRPr="006F0BD3" w:rsidRDefault="00BB5697" w:rsidP="00BF7C4A">
            <w:pPr>
              <w:spacing w:after="0" w:line="240" w:lineRule="auto"/>
              <w:rPr>
                <w:rFonts w:ascii="Arial" w:eastAsia="Times New Roman" w:hAnsi="Arial" w:cs="Arial"/>
                <w:color w:val="000000"/>
                <w:sz w:val="20"/>
                <w:szCs w:val="20"/>
                <w:lang w:eastAsia="pt-BR"/>
              </w:rPr>
            </w:pPr>
            <w:r w:rsidRPr="006F0BD3">
              <w:rPr>
                <w:rFonts w:ascii="Arial" w:eastAsia="Times New Roman" w:hAnsi="Arial" w:cs="Arial"/>
                <w:color w:val="000000"/>
                <w:sz w:val="20"/>
                <w:szCs w:val="20"/>
                <w:lang w:eastAsia="pt-BR"/>
              </w:rPr>
              <w:t>Lei do Plano de Amortização vigente no exercício da prestação de contas:</w:t>
            </w:r>
          </w:p>
        </w:tc>
        <w:tc>
          <w:tcPr>
            <w:tcW w:w="3549" w:type="dxa"/>
            <w:tcBorders>
              <w:top w:val="single" w:sz="4" w:space="0" w:color="auto"/>
              <w:left w:val="single" w:sz="4" w:space="0" w:color="auto"/>
              <w:bottom w:val="single" w:sz="4" w:space="0" w:color="auto"/>
              <w:right w:val="single" w:sz="4" w:space="0" w:color="auto"/>
            </w:tcBorders>
            <w:vAlign w:val="center"/>
          </w:tcPr>
          <w:p w14:paraId="0206839B" w14:textId="77777777" w:rsidR="00BB5697" w:rsidRPr="006F0BD3" w:rsidRDefault="00BB5697" w:rsidP="00BF7C4A">
            <w:pPr>
              <w:spacing w:after="0" w:line="240" w:lineRule="auto"/>
              <w:jc w:val="center"/>
              <w:rPr>
                <w:rFonts w:ascii="Arial" w:eastAsia="Times New Roman" w:hAnsi="Arial" w:cs="Arial"/>
                <w:color w:val="000000"/>
                <w:sz w:val="20"/>
                <w:szCs w:val="20"/>
                <w:lang w:eastAsia="pt-BR"/>
              </w:rPr>
            </w:pPr>
          </w:p>
        </w:tc>
      </w:tr>
      <w:tr w:rsidR="00BB5697" w:rsidRPr="006F0BD3" w14:paraId="389A3788" w14:textId="77777777" w:rsidTr="00BF7C4A">
        <w:trPr>
          <w:trHeight w:val="425"/>
          <w:jc w:val="center"/>
        </w:trPr>
        <w:tc>
          <w:tcPr>
            <w:tcW w:w="424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8A8C94" w14:textId="77777777" w:rsidR="00BB5697" w:rsidRPr="006F0BD3" w:rsidRDefault="00BB5697" w:rsidP="00BF7C4A">
            <w:pPr>
              <w:spacing w:after="0" w:line="240" w:lineRule="auto"/>
              <w:rPr>
                <w:rFonts w:ascii="Arial" w:eastAsia="Times New Roman" w:hAnsi="Arial" w:cs="Arial"/>
                <w:color w:val="000000"/>
                <w:sz w:val="20"/>
                <w:szCs w:val="20"/>
                <w:lang w:eastAsia="pt-BR"/>
              </w:rPr>
            </w:pPr>
            <w:r w:rsidRPr="006F0BD3">
              <w:rPr>
                <w:rFonts w:ascii="Arial" w:eastAsia="Times New Roman" w:hAnsi="Arial" w:cs="Arial"/>
                <w:color w:val="000000"/>
                <w:sz w:val="20"/>
                <w:szCs w:val="20"/>
                <w:lang w:eastAsia="pt-BR"/>
              </w:rPr>
              <w:t>Lei do PPA:</w:t>
            </w:r>
          </w:p>
        </w:tc>
        <w:tc>
          <w:tcPr>
            <w:tcW w:w="3549" w:type="dxa"/>
            <w:tcBorders>
              <w:top w:val="single" w:sz="4" w:space="0" w:color="auto"/>
              <w:left w:val="single" w:sz="4" w:space="0" w:color="auto"/>
              <w:bottom w:val="single" w:sz="4" w:space="0" w:color="auto"/>
              <w:right w:val="single" w:sz="4" w:space="0" w:color="auto"/>
            </w:tcBorders>
            <w:vAlign w:val="center"/>
          </w:tcPr>
          <w:p w14:paraId="54400F5D" w14:textId="77777777" w:rsidR="00BB5697" w:rsidRPr="006F0BD3" w:rsidRDefault="00BB5697" w:rsidP="00BF7C4A">
            <w:pPr>
              <w:spacing w:after="0" w:line="240" w:lineRule="auto"/>
              <w:jc w:val="center"/>
              <w:rPr>
                <w:rFonts w:ascii="Arial" w:eastAsia="Times New Roman" w:hAnsi="Arial" w:cs="Arial"/>
                <w:color w:val="000000"/>
                <w:sz w:val="20"/>
                <w:szCs w:val="20"/>
                <w:lang w:eastAsia="pt-BR"/>
              </w:rPr>
            </w:pPr>
          </w:p>
        </w:tc>
      </w:tr>
      <w:tr w:rsidR="00BB5697" w:rsidRPr="006F0BD3" w14:paraId="08281CF1" w14:textId="77777777" w:rsidTr="00BF7C4A">
        <w:trPr>
          <w:trHeight w:val="425"/>
          <w:jc w:val="center"/>
        </w:trPr>
        <w:tc>
          <w:tcPr>
            <w:tcW w:w="424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512098" w14:textId="77777777" w:rsidR="00BB5697" w:rsidRPr="006F0BD3" w:rsidRDefault="00BB5697" w:rsidP="00BF7C4A">
            <w:pPr>
              <w:spacing w:after="0" w:line="240" w:lineRule="auto"/>
              <w:rPr>
                <w:rFonts w:ascii="Arial" w:eastAsia="Times New Roman" w:hAnsi="Arial" w:cs="Arial"/>
                <w:color w:val="000000"/>
                <w:sz w:val="20"/>
                <w:szCs w:val="20"/>
                <w:lang w:eastAsia="pt-BR"/>
              </w:rPr>
            </w:pPr>
            <w:r w:rsidRPr="006F0BD3">
              <w:rPr>
                <w:rFonts w:ascii="Arial" w:eastAsia="Times New Roman" w:hAnsi="Arial" w:cs="Arial"/>
                <w:color w:val="000000"/>
                <w:sz w:val="20"/>
                <w:szCs w:val="20"/>
                <w:lang w:eastAsia="pt-BR"/>
              </w:rPr>
              <w:t>Programa do PPA:</w:t>
            </w:r>
          </w:p>
        </w:tc>
        <w:tc>
          <w:tcPr>
            <w:tcW w:w="3549" w:type="dxa"/>
            <w:tcBorders>
              <w:top w:val="single" w:sz="4" w:space="0" w:color="auto"/>
              <w:left w:val="single" w:sz="4" w:space="0" w:color="auto"/>
              <w:bottom w:val="single" w:sz="4" w:space="0" w:color="auto"/>
              <w:right w:val="single" w:sz="4" w:space="0" w:color="auto"/>
            </w:tcBorders>
            <w:vAlign w:val="center"/>
          </w:tcPr>
          <w:p w14:paraId="365C25EF" w14:textId="77777777" w:rsidR="00BB5697" w:rsidRPr="006F0BD3" w:rsidRDefault="00BB5697" w:rsidP="00BF7C4A">
            <w:pPr>
              <w:spacing w:after="0" w:line="240" w:lineRule="auto"/>
              <w:jc w:val="center"/>
              <w:rPr>
                <w:rFonts w:ascii="Arial" w:eastAsia="Times New Roman" w:hAnsi="Arial" w:cs="Arial"/>
                <w:color w:val="000000"/>
                <w:sz w:val="20"/>
                <w:szCs w:val="20"/>
                <w:lang w:eastAsia="pt-BR"/>
              </w:rPr>
            </w:pPr>
          </w:p>
        </w:tc>
      </w:tr>
      <w:tr w:rsidR="00BB5697" w:rsidRPr="006F0BD3" w14:paraId="51C1E95E" w14:textId="77777777" w:rsidTr="00BF7C4A">
        <w:trPr>
          <w:trHeight w:val="387"/>
          <w:jc w:val="center"/>
        </w:trPr>
        <w:tc>
          <w:tcPr>
            <w:tcW w:w="4248" w:type="dxa"/>
            <w:tcBorders>
              <w:top w:val="nil"/>
              <w:left w:val="single" w:sz="4" w:space="0" w:color="auto"/>
              <w:bottom w:val="single" w:sz="4" w:space="0" w:color="auto"/>
              <w:right w:val="single" w:sz="4" w:space="0" w:color="auto"/>
            </w:tcBorders>
            <w:shd w:val="clear" w:color="auto" w:fill="auto"/>
            <w:noWrap/>
            <w:vAlign w:val="center"/>
          </w:tcPr>
          <w:p w14:paraId="05EAF83C" w14:textId="77777777" w:rsidR="00BB5697" w:rsidRPr="006F0BD3" w:rsidRDefault="00BB5697" w:rsidP="00BF7C4A">
            <w:pPr>
              <w:spacing w:after="0" w:line="240" w:lineRule="auto"/>
              <w:rPr>
                <w:rFonts w:ascii="Arial" w:eastAsia="Times New Roman" w:hAnsi="Arial" w:cs="Arial"/>
                <w:color w:val="000000"/>
                <w:sz w:val="20"/>
                <w:szCs w:val="20"/>
                <w:lang w:eastAsia="pt-BR"/>
              </w:rPr>
            </w:pPr>
            <w:r w:rsidRPr="006F0BD3">
              <w:rPr>
                <w:rFonts w:ascii="Arial" w:eastAsia="Times New Roman" w:hAnsi="Arial" w:cs="Arial"/>
                <w:color w:val="000000"/>
                <w:sz w:val="20"/>
                <w:szCs w:val="20"/>
                <w:lang w:eastAsia="pt-BR"/>
              </w:rPr>
              <w:t>Código do Programa do PPA:</w:t>
            </w:r>
          </w:p>
        </w:tc>
        <w:tc>
          <w:tcPr>
            <w:tcW w:w="3549" w:type="dxa"/>
            <w:tcBorders>
              <w:top w:val="nil"/>
              <w:left w:val="single" w:sz="4" w:space="0" w:color="auto"/>
              <w:bottom w:val="single" w:sz="4" w:space="0" w:color="auto"/>
              <w:right w:val="single" w:sz="4" w:space="0" w:color="auto"/>
            </w:tcBorders>
            <w:vAlign w:val="center"/>
          </w:tcPr>
          <w:p w14:paraId="2241CF7E" w14:textId="77777777" w:rsidR="00BB5697" w:rsidRPr="006F0BD3" w:rsidRDefault="00BB5697" w:rsidP="00BF7C4A">
            <w:pPr>
              <w:spacing w:after="0" w:line="240" w:lineRule="auto"/>
              <w:jc w:val="center"/>
              <w:rPr>
                <w:rFonts w:ascii="Arial" w:eastAsia="Times New Roman" w:hAnsi="Arial" w:cs="Arial"/>
                <w:color w:val="000000"/>
                <w:sz w:val="20"/>
                <w:szCs w:val="20"/>
                <w:lang w:eastAsia="pt-BR"/>
              </w:rPr>
            </w:pPr>
          </w:p>
        </w:tc>
      </w:tr>
    </w:tbl>
    <w:p w14:paraId="172297C3" w14:textId="77777777" w:rsidR="00BB5697" w:rsidRPr="006F0BD3" w:rsidRDefault="00BB5697" w:rsidP="00BB5697">
      <w:pPr>
        <w:spacing w:before="240" w:after="240"/>
        <w:jc w:val="both"/>
        <w:rPr>
          <w:rFonts w:ascii="Arial" w:hAnsi="Arial" w:cs="Arial"/>
          <w:sz w:val="20"/>
          <w:szCs w:val="20"/>
        </w:rPr>
      </w:pPr>
      <w:r w:rsidRPr="006F0BD3">
        <w:rPr>
          <w:rFonts w:ascii="Arial" w:hAnsi="Arial" w:cs="Arial"/>
          <w:sz w:val="20"/>
          <w:szCs w:val="20"/>
        </w:rPr>
        <w:t xml:space="preserve">2. Declaro perante o Tribunal de Contas do Estado do Espírito Santo, que o anexo de metas e prioridades da Lei de Diretrizes Orçamentárias vigente – LDO, aprovada por meio de lei e vigente no exercício [de competência da prestação de Contas], </w:t>
      </w:r>
      <w:r w:rsidRPr="006F0BD3">
        <w:rPr>
          <w:rFonts w:ascii="Arial" w:hAnsi="Arial" w:cs="Arial"/>
          <w:b/>
          <w:sz w:val="20"/>
          <w:szCs w:val="20"/>
        </w:rPr>
        <w:t>possui/não possui</w:t>
      </w:r>
      <w:r w:rsidRPr="006F0BD3">
        <w:rPr>
          <w:rFonts w:ascii="Arial" w:hAnsi="Arial" w:cs="Arial"/>
          <w:sz w:val="20"/>
          <w:szCs w:val="20"/>
        </w:rPr>
        <w:t xml:space="preserve"> previsão de programa específico destinado para amortização do déficit atuarial, com previsão de metas e riscos associados à operação.</w:t>
      </w:r>
    </w:p>
    <w:tbl>
      <w:tblPr>
        <w:tblW w:w="6091" w:type="dxa"/>
        <w:jc w:val="center"/>
        <w:tblCellMar>
          <w:left w:w="70" w:type="dxa"/>
          <w:right w:w="70" w:type="dxa"/>
        </w:tblCellMar>
        <w:tblLook w:val="04A0" w:firstRow="1" w:lastRow="0" w:firstColumn="1" w:lastColumn="0" w:noHBand="0" w:noVBand="1"/>
      </w:tblPr>
      <w:tblGrid>
        <w:gridCol w:w="3045"/>
        <w:gridCol w:w="3046"/>
      </w:tblGrid>
      <w:tr w:rsidR="00BB5697" w:rsidRPr="006F0BD3" w14:paraId="70CE640B" w14:textId="77777777" w:rsidTr="00BF7C4A">
        <w:trPr>
          <w:trHeight w:val="425"/>
          <w:jc w:val="center"/>
        </w:trPr>
        <w:tc>
          <w:tcPr>
            <w:tcW w:w="304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24DACD" w14:textId="77777777" w:rsidR="00BB5697" w:rsidRPr="006F0BD3" w:rsidRDefault="00BB5697" w:rsidP="00BF7C4A">
            <w:pPr>
              <w:spacing w:after="0" w:line="240" w:lineRule="auto"/>
              <w:rPr>
                <w:rFonts w:ascii="Arial" w:eastAsia="Times New Roman" w:hAnsi="Arial" w:cs="Arial"/>
                <w:color w:val="000000"/>
                <w:sz w:val="20"/>
                <w:szCs w:val="20"/>
                <w:lang w:eastAsia="pt-BR"/>
              </w:rPr>
            </w:pPr>
            <w:r w:rsidRPr="006F0BD3">
              <w:rPr>
                <w:rFonts w:ascii="Arial" w:eastAsia="Times New Roman" w:hAnsi="Arial" w:cs="Arial"/>
                <w:color w:val="000000"/>
                <w:sz w:val="20"/>
                <w:szCs w:val="20"/>
                <w:lang w:eastAsia="pt-BR"/>
              </w:rPr>
              <w:t>Lei da LDO:</w:t>
            </w:r>
          </w:p>
        </w:tc>
        <w:tc>
          <w:tcPr>
            <w:tcW w:w="3046" w:type="dxa"/>
            <w:tcBorders>
              <w:top w:val="single" w:sz="4" w:space="0" w:color="auto"/>
              <w:left w:val="single" w:sz="4" w:space="0" w:color="auto"/>
              <w:bottom w:val="single" w:sz="4" w:space="0" w:color="auto"/>
              <w:right w:val="single" w:sz="4" w:space="0" w:color="auto"/>
            </w:tcBorders>
            <w:vAlign w:val="center"/>
          </w:tcPr>
          <w:p w14:paraId="11EA9E7A" w14:textId="77777777" w:rsidR="00BB5697" w:rsidRPr="006F0BD3" w:rsidRDefault="00BB5697" w:rsidP="00BF7C4A">
            <w:pPr>
              <w:spacing w:after="0" w:line="240" w:lineRule="auto"/>
              <w:jc w:val="center"/>
              <w:rPr>
                <w:rFonts w:ascii="Arial" w:eastAsia="Times New Roman" w:hAnsi="Arial" w:cs="Arial"/>
                <w:color w:val="000000"/>
                <w:sz w:val="20"/>
                <w:szCs w:val="20"/>
                <w:lang w:eastAsia="pt-BR"/>
              </w:rPr>
            </w:pPr>
          </w:p>
        </w:tc>
      </w:tr>
    </w:tbl>
    <w:p w14:paraId="38E0DCE7" w14:textId="77777777" w:rsidR="00BB5697" w:rsidRPr="006F0BD3" w:rsidRDefault="00BB5697" w:rsidP="00BB5697">
      <w:pPr>
        <w:spacing w:before="240" w:after="240"/>
        <w:jc w:val="both"/>
        <w:rPr>
          <w:rFonts w:ascii="Arial" w:hAnsi="Arial" w:cs="Arial"/>
          <w:sz w:val="20"/>
          <w:szCs w:val="20"/>
        </w:rPr>
      </w:pPr>
      <w:r w:rsidRPr="006F0BD3">
        <w:rPr>
          <w:rFonts w:ascii="Arial" w:hAnsi="Arial" w:cs="Arial"/>
          <w:sz w:val="20"/>
          <w:szCs w:val="20"/>
        </w:rPr>
        <w:t xml:space="preserve">3. Declaro perante o Tribunal de Contas do Estado do Espírito Santo, que a Lei do Orçamento Anual – LOA, aprovada por meio de lei e vigente no exercício [de competência da prestação de Contas], </w:t>
      </w:r>
      <w:r w:rsidRPr="006F0BD3">
        <w:rPr>
          <w:rFonts w:ascii="Arial" w:hAnsi="Arial" w:cs="Arial"/>
          <w:b/>
          <w:sz w:val="20"/>
          <w:szCs w:val="20"/>
        </w:rPr>
        <w:t>possui/não possui</w:t>
      </w:r>
      <w:r w:rsidRPr="006F0BD3">
        <w:rPr>
          <w:rFonts w:ascii="Arial" w:hAnsi="Arial" w:cs="Arial"/>
          <w:sz w:val="20"/>
          <w:szCs w:val="20"/>
        </w:rPr>
        <w:t xml:space="preserve"> previsão de ação específica (projeto/operação especial) contemplando a execução orçamentária do programa previsto no PPA, conforme opção do ente: pagamento de alíquota suplementar e/ou aportes atuariais.</w:t>
      </w:r>
    </w:p>
    <w:tbl>
      <w:tblPr>
        <w:tblW w:w="6091" w:type="dxa"/>
        <w:jc w:val="center"/>
        <w:tblCellMar>
          <w:left w:w="70" w:type="dxa"/>
          <w:right w:w="70" w:type="dxa"/>
        </w:tblCellMar>
        <w:tblLook w:val="04A0" w:firstRow="1" w:lastRow="0" w:firstColumn="1" w:lastColumn="0" w:noHBand="0" w:noVBand="1"/>
      </w:tblPr>
      <w:tblGrid>
        <w:gridCol w:w="2972"/>
        <w:gridCol w:w="3119"/>
      </w:tblGrid>
      <w:tr w:rsidR="00BB5697" w:rsidRPr="006F0BD3" w14:paraId="48847750" w14:textId="77777777" w:rsidTr="00BF7C4A">
        <w:trPr>
          <w:trHeight w:val="425"/>
          <w:jc w:val="center"/>
        </w:trPr>
        <w:tc>
          <w:tcPr>
            <w:tcW w:w="29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875AC4" w14:textId="77777777" w:rsidR="00BB5697" w:rsidRPr="006F0BD3" w:rsidRDefault="00BB5697" w:rsidP="00BF7C4A">
            <w:pPr>
              <w:spacing w:after="0" w:line="240" w:lineRule="auto"/>
              <w:rPr>
                <w:rFonts w:ascii="Arial" w:eastAsia="Times New Roman" w:hAnsi="Arial" w:cs="Arial"/>
                <w:color w:val="000000"/>
                <w:sz w:val="20"/>
                <w:szCs w:val="20"/>
                <w:lang w:eastAsia="pt-BR"/>
              </w:rPr>
            </w:pPr>
            <w:r w:rsidRPr="006F0BD3">
              <w:rPr>
                <w:rFonts w:ascii="Arial" w:eastAsia="Times New Roman" w:hAnsi="Arial" w:cs="Arial"/>
                <w:color w:val="000000"/>
                <w:sz w:val="20"/>
                <w:szCs w:val="20"/>
                <w:lang w:eastAsia="pt-BR"/>
              </w:rPr>
              <w:t>Lei da LOA:</w:t>
            </w:r>
          </w:p>
        </w:tc>
        <w:tc>
          <w:tcPr>
            <w:tcW w:w="3119" w:type="dxa"/>
            <w:tcBorders>
              <w:top w:val="single" w:sz="4" w:space="0" w:color="auto"/>
              <w:left w:val="single" w:sz="4" w:space="0" w:color="auto"/>
              <w:bottom w:val="single" w:sz="4" w:space="0" w:color="auto"/>
              <w:right w:val="single" w:sz="4" w:space="0" w:color="auto"/>
            </w:tcBorders>
            <w:vAlign w:val="center"/>
          </w:tcPr>
          <w:p w14:paraId="54B1EAAB" w14:textId="77777777" w:rsidR="00BB5697" w:rsidRPr="006F0BD3" w:rsidRDefault="00BB5697" w:rsidP="00BF7C4A">
            <w:pPr>
              <w:spacing w:after="0" w:line="240" w:lineRule="auto"/>
              <w:jc w:val="center"/>
              <w:rPr>
                <w:rFonts w:ascii="Arial" w:eastAsia="Times New Roman" w:hAnsi="Arial" w:cs="Arial"/>
                <w:color w:val="000000"/>
                <w:sz w:val="20"/>
                <w:szCs w:val="20"/>
                <w:lang w:eastAsia="pt-BR"/>
              </w:rPr>
            </w:pPr>
          </w:p>
        </w:tc>
      </w:tr>
      <w:tr w:rsidR="00BB5697" w:rsidRPr="006F0BD3" w14:paraId="28E26AD6" w14:textId="77777777" w:rsidTr="00BF7C4A">
        <w:trPr>
          <w:trHeight w:val="387"/>
          <w:jc w:val="center"/>
        </w:trPr>
        <w:tc>
          <w:tcPr>
            <w:tcW w:w="2972" w:type="dxa"/>
            <w:tcBorders>
              <w:top w:val="nil"/>
              <w:left w:val="single" w:sz="4" w:space="0" w:color="auto"/>
              <w:bottom w:val="single" w:sz="4" w:space="0" w:color="auto"/>
              <w:right w:val="single" w:sz="4" w:space="0" w:color="auto"/>
            </w:tcBorders>
            <w:shd w:val="clear" w:color="auto" w:fill="auto"/>
            <w:noWrap/>
            <w:vAlign w:val="center"/>
          </w:tcPr>
          <w:p w14:paraId="1CE2260F" w14:textId="77777777" w:rsidR="00BB5697" w:rsidRPr="006F0BD3" w:rsidRDefault="00BB5697" w:rsidP="00BF7C4A">
            <w:pPr>
              <w:spacing w:after="0" w:line="240" w:lineRule="auto"/>
              <w:rPr>
                <w:rFonts w:ascii="Arial" w:eastAsia="Times New Roman" w:hAnsi="Arial" w:cs="Arial"/>
                <w:color w:val="000000"/>
                <w:sz w:val="20"/>
                <w:szCs w:val="20"/>
                <w:lang w:eastAsia="pt-BR"/>
              </w:rPr>
            </w:pPr>
            <w:r w:rsidRPr="006F0BD3">
              <w:rPr>
                <w:rFonts w:ascii="Arial" w:eastAsia="Times New Roman" w:hAnsi="Arial" w:cs="Arial"/>
                <w:color w:val="000000"/>
                <w:sz w:val="20"/>
                <w:szCs w:val="20"/>
                <w:lang w:eastAsia="pt-BR"/>
              </w:rPr>
              <w:t>Código da Ação:</w:t>
            </w:r>
          </w:p>
        </w:tc>
        <w:tc>
          <w:tcPr>
            <w:tcW w:w="3119" w:type="dxa"/>
            <w:tcBorders>
              <w:top w:val="nil"/>
              <w:left w:val="single" w:sz="4" w:space="0" w:color="auto"/>
              <w:bottom w:val="single" w:sz="4" w:space="0" w:color="auto"/>
              <w:right w:val="single" w:sz="4" w:space="0" w:color="auto"/>
            </w:tcBorders>
            <w:vAlign w:val="center"/>
          </w:tcPr>
          <w:p w14:paraId="2ADAD9CE" w14:textId="77777777" w:rsidR="00BB5697" w:rsidRPr="006F0BD3" w:rsidRDefault="00BB5697" w:rsidP="00BF7C4A">
            <w:pPr>
              <w:spacing w:after="0" w:line="240" w:lineRule="auto"/>
              <w:jc w:val="center"/>
              <w:rPr>
                <w:rFonts w:ascii="Arial" w:eastAsia="Times New Roman" w:hAnsi="Arial" w:cs="Arial"/>
                <w:color w:val="000000"/>
                <w:sz w:val="20"/>
                <w:szCs w:val="20"/>
                <w:lang w:eastAsia="pt-BR"/>
              </w:rPr>
            </w:pPr>
          </w:p>
        </w:tc>
      </w:tr>
      <w:tr w:rsidR="00BB5697" w:rsidRPr="006F0BD3" w14:paraId="054279B2" w14:textId="77777777" w:rsidTr="00BF7C4A">
        <w:trPr>
          <w:trHeight w:val="425"/>
          <w:jc w:val="center"/>
        </w:trPr>
        <w:tc>
          <w:tcPr>
            <w:tcW w:w="29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2953A9" w14:textId="77777777" w:rsidR="00BB5697" w:rsidRPr="006F0BD3" w:rsidRDefault="00BB5697" w:rsidP="00BF7C4A">
            <w:pPr>
              <w:spacing w:after="0" w:line="240" w:lineRule="auto"/>
              <w:rPr>
                <w:rFonts w:ascii="Arial" w:eastAsia="Times New Roman" w:hAnsi="Arial" w:cs="Arial"/>
                <w:color w:val="000000"/>
                <w:sz w:val="20"/>
                <w:szCs w:val="20"/>
                <w:lang w:eastAsia="pt-BR"/>
              </w:rPr>
            </w:pPr>
            <w:r w:rsidRPr="006F0BD3">
              <w:rPr>
                <w:rFonts w:ascii="Arial" w:eastAsia="Times New Roman" w:hAnsi="Arial" w:cs="Arial"/>
                <w:color w:val="000000"/>
                <w:sz w:val="20"/>
                <w:szCs w:val="20"/>
                <w:lang w:eastAsia="pt-BR"/>
              </w:rPr>
              <w:t>Nome da Ação da LOA:</w:t>
            </w:r>
          </w:p>
        </w:tc>
        <w:tc>
          <w:tcPr>
            <w:tcW w:w="3119" w:type="dxa"/>
            <w:tcBorders>
              <w:top w:val="single" w:sz="4" w:space="0" w:color="auto"/>
              <w:left w:val="single" w:sz="4" w:space="0" w:color="auto"/>
              <w:bottom w:val="single" w:sz="4" w:space="0" w:color="auto"/>
              <w:right w:val="single" w:sz="4" w:space="0" w:color="auto"/>
            </w:tcBorders>
            <w:vAlign w:val="center"/>
          </w:tcPr>
          <w:p w14:paraId="797B2B8B" w14:textId="77777777" w:rsidR="00BB5697" w:rsidRPr="006F0BD3" w:rsidRDefault="00BB5697" w:rsidP="00BF7C4A">
            <w:pPr>
              <w:spacing w:after="0" w:line="240" w:lineRule="auto"/>
              <w:jc w:val="center"/>
              <w:rPr>
                <w:rFonts w:ascii="Arial" w:eastAsia="Times New Roman" w:hAnsi="Arial" w:cs="Arial"/>
                <w:color w:val="000000"/>
                <w:sz w:val="20"/>
                <w:szCs w:val="20"/>
                <w:lang w:eastAsia="pt-BR"/>
              </w:rPr>
            </w:pPr>
          </w:p>
        </w:tc>
      </w:tr>
    </w:tbl>
    <w:p w14:paraId="6243616D" w14:textId="77777777" w:rsidR="00BB5697" w:rsidRPr="006F0BD3" w:rsidRDefault="00BB5697" w:rsidP="00BB5697">
      <w:pPr>
        <w:spacing w:before="240" w:after="240"/>
        <w:jc w:val="center"/>
        <w:rPr>
          <w:rFonts w:ascii="Arial" w:hAnsi="Arial" w:cs="Arial"/>
          <w:sz w:val="20"/>
          <w:szCs w:val="20"/>
        </w:rPr>
      </w:pPr>
    </w:p>
    <w:p w14:paraId="4DFD828A" w14:textId="77777777" w:rsidR="00BB5697" w:rsidRPr="006F0BD3" w:rsidRDefault="00BB5697" w:rsidP="00BB5697">
      <w:pPr>
        <w:spacing w:before="240" w:after="240"/>
        <w:jc w:val="center"/>
        <w:rPr>
          <w:rFonts w:ascii="Arial" w:hAnsi="Arial" w:cs="Arial"/>
          <w:sz w:val="20"/>
          <w:szCs w:val="20"/>
        </w:rPr>
      </w:pPr>
      <w:r w:rsidRPr="006F0BD3">
        <w:rPr>
          <w:rFonts w:ascii="Arial" w:hAnsi="Arial" w:cs="Arial"/>
          <w:sz w:val="20"/>
          <w:szCs w:val="20"/>
        </w:rPr>
        <w:t>Município/ES, __ / dezembro / [exercício de competência da PCA]</w:t>
      </w:r>
    </w:p>
    <w:p w14:paraId="1185D036" w14:textId="77777777" w:rsidR="00BB5697" w:rsidRPr="006F0BD3" w:rsidRDefault="00BB5697" w:rsidP="00BB5697">
      <w:pPr>
        <w:jc w:val="center"/>
        <w:rPr>
          <w:rFonts w:ascii="Arial" w:hAnsi="Arial" w:cs="Arial"/>
          <w:sz w:val="20"/>
          <w:szCs w:val="20"/>
        </w:rPr>
      </w:pPr>
      <w:r w:rsidRPr="006F0BD3">
        <w:rPr>
          <w:rFonts w:ascii="Arial" w:hAnsi="Arial" w:cs="Arial"/>
          <w:sz w:val="20"/>
          <w:szCs w:val="20"/>
        </w:rPr>
        <w:t>__________________________________________</w:t>
      </w:r>
    </w:p>
    <w:p w14:paraId="5591668E" w14:textId="77777777" w:rsidR="00BB5697" w:rsidRPr="006F0BD3" w:rsidRDefault="00BB5697" w:rsidP="00BB5697">
      <w:pPr>
        <w:jc w:val="center"/>
        <w:rPr>
          <w:rFonts w:ascii="Arial" w:hAnsi="Arial" w:cs="Arial"/>
          <w:sz w:val="20"/>
          <w:szCs w:val="20"/>
        </w:rPr>
      </w:pPr>
      <w:r w:rsidRPr="006F0BD3">
        <w:rPr>
          <w:rFonts w:ascii="Arial" w:hAnsi="Arial" w:cs="Arial"/>
          <w:sz w:val="20"/>
          <w:szCs w:val="20"/>
        </w:rPr>
        <w:t>Assinatura do Chefe do Poder Executivo</w:t>
      </w:r>
    </w:p>
    <w:p w14:paraId="4618459B" w14:textId="7DEDB673" w:rsidR="00BB5697" w:rsidRDefault="00BB5697" w:rsidP="00BB5697">
      <w:pPr>
        <w:rPr>
          <w:rFonts w:ascii="Arial" w:hAnsi="Arial" w:cs="Arial"/>
          <w:b/>
          <w:sz w:val="24"/>
          <w:szCs w:val="24"/>
        </w:rPr>
      </w:pPr>
      <w:r>
        <w:rPr>
          <w:rFonts w:ascii="Arial" w:hAnsi="Arial" w:cs="Arial"/>
          <w:b/>
          <w:sz w:val="24"/>
          <w:szCs w:val="24"/>
        </w:rPr>
        <w:br w:type="page"/>
      </w:r>
    </w:p>
    <w:p w14:paraId="237D54D0" w14:textId="4557B9FF" w:rsidR="007B6306" w:rsidRDefault="007B6306" w:rsidP="007B6306">
      <w:pPr>
        <w:pStyle w:val="Ttulo3"/>
      </w:pPr>
      <w:bookmarkStart w:id="76" w:name="_Toc94806348"/>
      <w:r>
        <w:rPr>
          <w:lang w:val="pt-BR"/>
        </w:rPr>
        <w:lastRenderedPageBreak/>
        <w:t>PESS</w:t>
      </w:r>
      <w:bookmarkEnd w:id="76"/>
    </w:p>
    <w:p w14:paraId="3E92B218" w14:textId="77777777" w:rsidR="00BB5697" w:rsidRPr="007B6306" w:rsidRDefault="00BB5697" w:rsidP="00BB5697">
      <w:pPr>
        <w:spacing w:after="0" w:line="360" w:lineRule="auto"/>
        <w:jc w:val="center"/>
        <w:rPr>
          <w:rFonts w:ascii="Arial" w:hAnsi="Arial" w:cs="Arial"/>
          <w:b/>
        </w:rPr>
      </w:pPr>
      <w:r w:rsidRPr="007B6306">
        <w:rPr>
          <w:rFonts w:ascii="Arial" w:hAnsi="Arial" w:cs="Arial"/>
          <w:b/>
        </w:rPr>
        <w:t>DECLARAÇÃO DO CHEFE DO PODER – CONTROLE DA DESPESA COM PESSOAL</w:t>
      </w:r>
    </w:p>
    <w:p w14:paraId="1CC70CC0" w14:textId="77777777" w:rsidR="00BB5697" w:rsidRDefault="00BB5697" w:rsidP="00BB5697">
      <w:pPr>
        <w:spacing w:after="0" w:line="360" w:lineRule="auto"/>
        <w:jc w:val="center"/>
        <w:rPr>
          <w:rFonts w:ascii="Arial" w:hAnsi="Arial" w:cs="Arial"/>
          <w:b/>
        </w:rPr>
      </w:pPr>
    </w:p>
    <w:tbl>
      <w:tblPr>
        <w:tblW w:w="8505" w:type="dxa"/>
        <w:tblInd w:w="7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8505"/>
      </w:tblGrid>
      <w:tr w:rsidR="00BB5697" w:rsidRPr="00FD1551" w14:paraId="23E74539" w14:textId="77777777" w:rsidTr="00BF7C4A">
        <w:trPr>
          <w:trHeight w:val="283"/>
        </w:trPr>
        <w:tc>
          <w:tcPr>
            <w:tcW w:w="8505" w:type="dxa"/>
          </w:tcPr>
          <w:p w14:paraId="1B40E6E9"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b/>
                <w:bCs/>
                <w:color w:val="000000"/>
                <w:sz w:val="16"/>
                <w:szCs w:val="16"/>
                <w:lang w:eastAsia="pt-BR"/>
              </w:rPr>
              <w:t>IDENTIFICAÇÃO:</w:t>
            </w:r>
            <w:r w:rsidRPr="00FD1551">
              <w:rPr>
                <w:rFonts w:ascii="Arial" w:eastAsia="Times New Roman" w:hAnsi="Arial" w:cs="Arial"/>
                <w:color w:val="000000"/>
                <w:sz w:val="16"/>
                <w:szCs w:val="16"/>
                <w:lang w:eastAsia="pt-BR"/>
              </w:rPr>
              <w:t> </w:t>
            </w:r>
          </w:p>
        </w:tc>
      </w:tr>
      <w:tr w:rsidR="00BB5697" w:rsidRPr="00FD1551" w14:paraId="062EA597" w14:textId="77777777" w:rsidTr="00BF7C4A">
        <w:trPr>
          <w:trHeight w:val="283"/>
        </w:trPr>
        <w:tc>
          <w:tcPr>
            <w:tcW w:w="8505" w:type="dxa"/>
            <w:shd w:val="clear" w:color="auto" w:fill="auto"/>
            <w:noWrap/>
            <w:vAlign w:val="bottom"/>
            <w:hideMark/>
          </w:tcPr>
          <w:p w14:paraId="7A57679B"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EXERCÍCIO:</w:t>
            </w:r>
          </w:p>
        </w:tc>
      </w:tr>
    </w:tbl>
    <w:p w14:paraId="46934422" w14:textId="77777777" w:rsidR="00BB5697" w:rsidRDefault="00BB5697" w:rsidP="00BB5697">
      <w:pPr>
        <w:tabs>
          <w:tab w:val="left" w:pos="2579"/>
          <w:tab w:val="center" w:pos="4252"/>
        </w:tabs>
        <w:spacing w:after="0" w:line="360" w:lineRule="auto"/>
        <w:jc w:val="center"/>
        <w:rPr>
          <w:rFonts w:ascii="Arial" w:hAnsi="Arial" w:cs="Arial"/>
          <w:b/>
          <w:sz w:val="28"/>
          <w:szCs w:val="28"/>
        </w:rPr>
      </w:pPr>
    </w:p>
    <w:p w14:paraId="1AA9A19F" w14:textId="77777777" w:rsidR="00BB5697" w:rsidRPr="000E7881" w:rsidRDefault="00BB5697" w:rsidP="00BB5697">
      <w:pPr>
        <w:pStyle w:val="texxto"/>
        <w:spacing w:before="120" w:after="120" w:line="240" w:lineRule="auto"/>
        <w:rPr>
          <w:rFonts w:eastAsiaTheme="majorEastAsia"/>
          <w:spacing w:val="-10"/>
          <w:kern w:val="28"/>
          <w:sz w:val="20"/>
          <w:szCs w:val="20"/>
        </w:rPr>
      </w:pPr>
      <w:r w:rsidRPr="000E7881">
        <w:rPr>
          <w:rFonts w:eastAsiaTheme="majorEastAsia"/>
          <w:spacing w:val="-10"/>
          <w:kern w:val="28"/>
          <w:sz w:val="20"/>
          <w:szCs w:val="20"/>
        </w:rPr>
        <w:t>Considerando os termos do art. 21 da Lei Complementar n</w:t>
      </w:r>
      <w:r>
        <w:rPr>
          <w:rFonts w:eastAsiaTheme="majorEastAsia"/>
          <w:spacing w:val="-10"/>
          <w:kern w:val="28"/>
          <w:sz w:val="20"/>
          <w:szCs w:val="20"/>
        </w:rPr>
        <w:t>º</w:t>
      </w:r>
      <w:r w:rsidRPr="000E7881">
        <w:rPr>
          <w:rFonts w:eastAsiaTheme="majorEastAsia"/>
          <w:spacing w:val="-10"/>
          <w:kern w:val="28"/>
          <w:sz w:val="20"/>
          <w:szCs w:val="20"/>
        </w:rPr>
        <w:t xml:space="preserve"> 101/2000 (Lei de Responsabilidade Fiscal – LRF), que cuida do controle da despesa total com pessoal, declaro que o Poder Executivo do Município:</w:t>
      </w:r>
    </w:p>
    <w:p w14:paraId="78AA1F5C" w14:textId="77777777" w:rsidR="00BB5697" w:rsidRPr="000E7881" w:rsidRDefault="00BB5697" w:rsidP="00BB5697">
      <w:pPr>
        <w:pStyle w:val="texxto"/>
        <w:spacing w:before="120" w:after="120" w:line="240" w:lineRule="auto"/>
        <w:rPr>
          <w:rFonts w:eastAsiaTheme="majorEastAsia"/>
          <w:spacing w:val="-10"/>
          <w:kern w:val="28"/>
          <w:sz w:val="20"/>
          <w:szCs w:val="20"/>
        </w:rPr>
      </w:pPr>
    </w:p>
    <w:p w14:paraId="3181FB04" w14:textId="77777777" w:rsidR="00BB5697" w:rsidRPr="000E7881" w:rsidRDefault="00BB5697" w:rsidP="00ED6D8E">
      <w:pPr>
        <w:pStyle w:val="texxto"/>
        <w:numPr>
          <w:ilvl w:val="0"/>
          <w:numId w:val="39"/>
        </w:numPr>
        <w:spacing w:before="120" w:after="120" w:line="240" w:lineRule="auto"/>
        <w:ind w:left="426" w:hanging="426"/>
        <w:rPr>
          <w:rFonts w:eastAsiaTheme="majorEastAsia"/>
          <w:spacing w:val="-10"/>
          <w:kern w:val="28"/>
          <w:sz w:val="20"/>
          <w:szCs w:val="20"/>
          <w:lang w:eastAsia="en-US"/>
        </w:rPr>
      </w:pPr>
      <w:r w:rsidRPr="000E7881">
        <w:rPr>
          <w:rFonts w:eastAsiaTheme="majorEastAsia"/>
          <w:spacing w:val="-10"/>
          <w:kern w:val="28"/>
          <w:sz w:val="20"/>
          <w:szCs w:val="20"/>
        </w:rPr>
        <w:t>Não praticou ato que provoque aumento da despesa com pessoal, desatendendo:</w:t>
      </w:r>
    </w:p>
    <w:p w14:paraId="6287A630" w14:textId="77777777" w:rsidR="00BB5697" w:rsidRPr="000E7881" w:rsidRDefault="00BB5697" w:rsidP="00ED6D8E">
      <w:pPr>
        <w:pStyle w:val="texxto"/>
        <w:numPr>
          <w:ilvl w:val="0"/>
          <w:numId w:val="40"/>
        </w:numPr>
        <w:spacing w:before="120" w:after="120" w:line="240" w:lineRule="auto"/>
        <w:rPr>
          <w:rFonts w:eastAsiaTheme="majorEastAsia"/>
          <w:spacing w:val="-10"/>
          <w:kern w:val="28"/>
          <w:sz w:val="20"/>
          <w:szCs w:val="20"/>
          <w:lang w:eastAsia="en-US"/>
        </w:rPr>
      </w:pPr>
      <w:r w:rsidRPr="000E7881">
        <w:rPr>
          <w:color w:val="000000"/>
          <w:sz w:val="20"/>
          <w:szCs w:val="20"/>
          <w:shd w:val="clear" w:color="auto" w:fill="FFFFFF"/>
        </w:rPr>
        <w:t>às exigências dos arts. 16 e 17 desta Lei Complementar e o disposto no inciso XIII do </w:t>
      </w:r>
      <w:r w:rsidRPr="000E7881">
        <w:rPr>
          <w:sz w:val="20"/>
          <w:szCs w:val="20"/>
          <w:shd w:val="clear" w:color="auto" w:fill="FFFFFF"/>
        </w:rPr>
        <w:t>caput do art. 37</w:t>
      </w:r>
      <w:r w:rsidRPr="000E7881">
        <w:rPr>
          <w:color w:val="000000"/>
          <w:sz w:val="20"/>
          <w:szCs w:val="20"/>
          <w:shd w:val="clear" w:color="auto" w:fill="FFFFFF"/>
        </w:rPr>
        <w:t> e no § 1º do art. 169 da Constituição Federal; e</w:t>
      </w:r>
    </w:p>
    <w:p w14:paraId="08FF6232" w14:textId="77777777" w:rsidR="00BB5697" w:rsidRPr="000E7881" w:rsidRDefault="00BB5697" w:rsidP="00ED6D8E">
      <w:pPr>
        <w:pStyle w:val="texxto"/>
        <w:numPr>
          <w:ilvl w:val="0"/>
          <w:numId w:val="40"/>
        </w:numPr>
        <w:spacing w:before="120" w:after="120" w:line="240" w:lineRule="auto"/>
        <w:rPr>
          <w:rFonts w:eastAsiaTheme="majorEastAsia"/>
          <w:spacing w:val="-10"/>
          <w:kern w:val="28"/>
          <w:sz w:val="20"/>
          <w:szCs w:val="20"/>
          <w:lang w:eastAsia="en-US"/>
        </w:rPr>
      </w:pPr>
      <w:r w:rsidRPr="000E7881">
        <w:rPr>
          <w:color w:val="000000"/>
          <w:sz w:val="20"/>
          <w:szCs w:val="20"/>
          <w:shd w:val="clear" w:color="auto" w:fill="FFFFFF"/>
        </w:rPr>
        <w:t>ao limite legal de comprometimento aplicado às despesas com pessoal inativo.</w:t>
      </w:r>
    </w:p>
    <w:p w14:paraId="4866DB13" w14:textId="77777777" w:rsidR="00BB5697" w:rsidRPr="000E7881" w:rsidRDefault="00BB5697" w:rsidP="00BB5697">
      <w:pPr>
        <w:pStyle w:val="texxto"/>
        <w:spacing w:before="120" w:after="120" w:line="240" w:lineRule="auto"/>
        <w:rPr>
          <w:rFonts w:eastAsiaTheme="majorEastAsia"/>
          <w:spacing w:val="-10"/>
          <w:kern w:val="28"/>
          <w:sz w:val="20"/>
          <w:szCs w:val="20"/>
          <w:lang w:eastAsia="en-US"/>
        </w:rPr>
      </w:pPr>
    </w:p>
    <w:p w14:paraId="2CEF499C" w14:textId="77777777" w:rsidR="00BB5697" w:rsidRPr="000E7881" w:rsidRDefault="00BB5697" w:rsidP="00ED6D8E">
      <w:pPr>
        <w:pStyle w:val="texxto"/>
        <w:numPr>
          <w:ilvl w:val="0"/>
          <w:numId w:val="39"/>
        </w:numPr>
        <w:spacing w:before="120" w:after="120" w:line="240" w:lineRule="auto"/>
        <w:ind w:left="426" w:hanging="426"/>
        <w:rPr>
          <w:rFonts w:eastAsiaTheme="majorEastAsia"/>
          <w:spacing w:val="-10"/>
          <w:kern w:val="28"/>
          <w:sz w:val="20"/>
          <w:szCs w:val="20"/>
          <w:lang w:eastAsia="en-US"/>
        </w:rPr>
      </w:pPr>
      <w:r w:rsidRPr="000E7881">
        <w:rPr>
          <w:color w:val="000000"/>
          <w:sz w:val="20"/>
          <w:szCs w:val="20"/>
          <w:shd w:val="clear" w:color="auto" w:fill="FFFFFF"/>
        </w:rPr>
        <w:t>Não praticou ato de que resulte aumento da despesa com pessoal nos 180 dias anteriores ao final deste mandato;</w:t>
      </w:r>
    </w:p>
    <w:p w14:paraId="72E7BA1D" w14:textId="77777777" w:rsidR="00BB5697" w:rsidRPr="000E7881" w:rsidRDefault="00BB5697" w:rsidP="00BB5697">
      <w:pPr>
        <w:pStyle w:val="texxto"/>
        <w:spacing w:before="120" w:after="120" w:line="240" w:lineRule="auto"/>
        <w:rPr>
          <w:rFonts w:eastAsiaTheme="majorEastAsia"/>
          <w:spacing w:val="-10"/>
          <w:kern w:val="28"/>
          <w:sz w:val="20"/>
          <w:szCs w:val="20"/>
          <w:lang w:eastAsia="en-US"/>
        </w:rPr>
      </w:pPr>
    </w:p>
    <w:p w14:paraId="3EDBDF93" w14:textId="77777777" w:rsidR="00BB5697" w:rsidRPr="000E7881" w:rsidRDefault="00BB5697" w:rsidP="00ED6D8E">
      <w:pPr>
        <w:pStyle w:val="texxto"/>
        <w:numPr>
          <w:ilvl w:val="0"/>
          <w:numId w:val="39"/>
        </w:numPr>
        <w:spacing w:before="120" w:after="120" w:line="240" w:lineRule="auto"/>
        <w:ind w:left="426" w:hanging="426"/>
        <w:rPr>
          <w:rFonts w:eastAsiaTheme="majorEastAsia"/>
          <w:spacing w:val="-10"/>
          <w:kern w:val="28"/>
          <w:sz w:val="20"/>
          <w:szCs w:val="20"/>
          <w:lang w:eastAsia="en-US"/>
        </w:rPr>
      </w:pPr>
      <w:r w:rsidRPr="000E7881">
        <w:rPr>
          <w:color w:val="000000"/>
          <w:sz w:val="20"/>
          <w:szCs w:val="20"/>
          <w:shd w:val="clear" w:color="auto" w:fill="FFFFFF"/>
        </w:rPr>
        <w:t>Não praticou ato de que resulte aumento da despesa com pessoal que preveja parcelas a serem implementadas em períodos posteriores ao final deste mandato;</w:t>
      </w:r>
    </w:p>
    <w:p w14:paraId="141CD9C1" w14:textId="77777777" w:rsidR="00BB5697" w:rsidRPr="000E7881" w:rsidRDefault="00BB5697" w:rsidP="00BB5697">
      <w:pPr>
        <w:pStyle w:val="texxto"/>
        <w:spacing w:before="120" w:after="120" w:line="240" w:lineRule="auto"/>
        <w:rPr>
          <w:rFonts w:eastAsiaTheme="majorEastAsia"/>
          <w:spacing w:val="-10"/>
          <w:kern w:val="28"/>
          <w:sz w:val="20"/>
          <w:szCs w:val="20"/>
          <w:lang w:eastAsia="en-US"/>
        </w:rPr>
      </w:pPr>
    </w:p>
    <w:p w14:paraId="31DA824D" w14:textId="77777777" w:rsidR="00BB5697" w:rsidRPr="000E7881" w:rsidRDefault="00BB5697" w:rsidP="00ED6D8E">
      <w:pPr>
        <w:pStyle w:val="texxto"/>
        <w:numPr>
          <w:ilvl w:val="0"/>
          <w:numId w:val="39"/>
        </w:numPr>
        <w:spacing w:before="120" w:after="120" w:line="240" w:lineRule="auto"/>
        <w:ind w:left="426" w:hanging="426"/>
        <w:rPr>
          <w:rFonts w:eastAsiaTheme="majorEastAsia"/>
          <w:spacing w:val="-10"/>
          <w:kern w:val="28"/>
          <w:sz w:val="20"/>
          <w:szCs w:val="20"/>
          <w:lang w:eastAsia="en-US"/>
        </w:rPr>
      </w:pPr>
      <w:r w:rsidRPr="000E7881">
        <w:rPr>
          <w:color w:val="000000"/>
          <w:sz w:val="20"/>
          <w:szCs w:val="20"/>
          <w:shd w:val="clear" w:color="auto" w:fill="FFFFFF"/>
        </w:rPr>
        <w:t>Não sancionou norma legal contendo plano de alteração, reajuste e reestruturação de carreiras do setor público, ou editou ato para nomeação de aprovas em concursos públicos, quando:</w:t>
      </w:r>
    </w:p>
    <w:p w14:paraId="26C59EDD" w14:textId="77777777" w:rsidR="00BB5697" w:rsidRPr="000E7881" w:rsidRDefault="00BB5697" w:rsidP="00ED6D8E">
      <w:pPr>
        <w:pStyle w:val="texxto"/>
        <w:numPr>
          <w:ilvl w:val="0"/>
          <w:numId w:val="41"/>
        </w:numPr>
        <w:spacing w:before="120" w:after="120" w:line="240" w:lineRule="auto"/>
        <w:rPr>
          <w:rFonts w:eastAsiaTheme="majorEastAsia"/>
          <w:spacing w:val="-10"/>
          <w:kern w:val="28"/>
          <w:sz w:val="20"/>
          <w:szCs w:val="20"/>
          <w:lang w:eastAsia="en-US"/>
        </w:rPr>
      </w:pPr>
      <w:r w:rsidRPr="000E7881">
        <w:rPr>
          <w:color w:val="000000"/>
          <w:sz w:val="20"/>
          <w:szCs w:val="20"/>
          <w:shd w:val="clear" w:color="auto" w:fill="FFFFFF"/>
        </w:rPr>
        <w:t>Resultasse em aumento da despesa com pessoal nos 180 dias anteriores ao final deste mandato;</w:t>
      </w:r>
    </w:p>
    <w:p w14:paraId="066C446D" w14:textId="77777777" w:rsidR="00BB5697" w:rsidRPr="000E7881" w:rsidRDefault="00BB5697" w:rsidP="00ED6D8E">
      <w:pPr>
        <w:pStyle w:val="texxto"/>
        <w:numPr>
          <w:ilvl w:val="0"/>
          <w:numId w:val="41"/>
        </w:numPr>
        <w:spacing w:before="120" w:after="120" w:line="240" w:lineRule="auto"/>
        <w:rPr>
          <w:rFonts w:eastAsiaTheme="majorEastAsia"/>
          <w:spacing w:val="-10"/>
          <w:kern w:val="28"/>
          <w:sz w:val="20"/>
          <w:szCs w:val="20"/>
          <w:lang w:eastAsia="en-US"/>
        </w:rPr>
      </w:pPr>
      <w:r w:rsidRPr="000E7881">
        <w:rPr>
          <w:color w:val="000000"/>
          <w:sz w:val="20"/>
          <w:szCs w:val="20"/>
          <w:shd w:val="clear" w:color="auto" w:fill="FFFFFF"/>
        </w:rPr>
        <w:t>Resultasse em aumento da despesa com pessoal que preveja parcelas a serem implementadas em períodos posteriores ao final deste mandato.</w:t>
      </w:r>
    </w:p>
    <w:p w14:paraId="0289CFA9" w14:textId="77777777" w:rsidR="00BB5697" w:rsidRPr="000E7881" w:rsidRDefault="00BB5697" w:rsidP="00BB5697">
      <w:pPr>
        <w:tabs>
          <w:tab w:val="left" w:pos="2579"/>
          <w:tab w:val="center" w:pos="4252"/>
        </w:tabs>
        <w:spacing w:after="0" w:line="360" w:lineRule="auto"/>
        <w:jc w:val="center"/>
        <w:rPr>
          <w:rFonts w:ascii="Arial" w:hAnsi="Arial" w:cs="Arial"/>
          <w:b/>
          <w:sz w:val="20"/>
          <w:szCs w:val="20"/>
        </w:rPr>
      </w:pPr>
    </w:p>
    <w:p w14:paraId="7BF0337F" w14:textId="77777777" w:rsidR="00BB5697" w:rsidRPr="00C50680" w:rsidRDefault="00BB5697" w:rsidP="00BB5697">
      <w:pPr>
        <w:pStyle w:val="texxto"/>
        <w:spacing w:before="120" w:after="120" w:line="240" w:lineRule="auto"/>
        <w:rPr>
          <w:rFonts w:eastAsiaTheme="majorEastAsia"/>
          <w:spacing w:val="-10"/>
          <w:kern w:val="28"/>
          <w:sz w:val="20"/>
          <w:szCs w:val="20"/>
        </w:rPr>
      </w:pPr>
      <w:r w:rsidRPr="00C50680">
        <w:rPr>
          <w:rFonts w:eastAsiaTheme="majorEastAsia"/>
          <w:spacing w:val="-10"/>
          <w:kern w:val="28"/>
          <w:sz w:val="20"/>
          <w:szCs w:val="20"/>
        </w:rPr>
        <w:t>Considerando os termos do art. 8º da Lei Complementar nº 173/2020, que cuida da política de pessoal durante a pandemia do novo Coronavírus, declaro que o Poder Executivo do Município</w:t>
      </w:r>
      <w:r>
        <w:rPr>
          <w:rStyle w:val="Refdenotaderodap"/>
          <w:rFonts w:eastAsiaTheme="majorEastAsia"/>
          <w:spacing w:val="-10"/>
          <w:kern w:val="28"/>
          <w:sz w:val="20"/>
          <w:szCs w:val="20"/>
        </w:rPr>
        <w:footnoteReference w:id="17"/>
      </w:r>
      <w:r>
        <w:rPr>
          <w:rFonts w:eastAsiaTheme="majorEastAsia"/>
          <w:spacing w:val="-10"/>
          <w:kern w:val="28"/>
          <w:sz w:val="20"/>
          <w:szCs w:val="20"/>
        </w:rPr>
        <w:t xml:space="preserve"> </w:t>
      </w:r>
      <w:r w:rsidRPr="00C50680">
        <w:rPr>
          <w:rFonts w:eastAsiaTheme="majorEastAsia"/>
          <w:spacing w:val="-10"/>
          <w:kern w:val="28"/>
          <w:sz w:val="20"/>
          <w:szCs w:val="20"/>
        </w:rPr>
        <w:t>:</w:t>
      </w:r>
    </w:p>
    <w:p w14:paraId="48F49CAE" w14:textId="77777777" w:rsidR="00BB5697" w:rsidRPr="00C50680" w:rsidRDefault="00BB5697" w:rsidP="00BB5697">
      <w:pPr>
        <w:pStyle w:val="texxto"/>
        <w:spacing w:before="120" w:after="120" w:line="240" w:lineRule="auto"/>
        <w:rPr>
          <w:rFonts w:eastAsiaTheme="majorEastAsia"/>
          <w:spacing w:val="-10"/>
          <w:kern w:val="28"/>
          <w:sz w:val="20"/>
          <w:szCs w:val="20"/>
        </w:rPr>
      </w:pPr>
    </w:p>
    <w:p w14:paraId="6B2B8E42" w14:textId="77777777" w:rsidR="00BB5697" w:rsidRPr="00C50680" w:rsidRDefault="00BB5697" w:rsidP="00ED6D8E">
      <w:pPr>
        <w:pStyle w:val="texxto"/>
        <w:numPr>
          <w:ilvl w:val="0"/>
          <w:numId w:val="42"/>
        </w:numPr>
        <w:spacing w:before="120" w:after="120" w:line="240" w:lineRule="auto"/>
        <w:ind w:left="426" w:hanging="426"/>
        <w:rPr>
          <w:rFonts w:eastAsiaTheme="majorEastAsia"/>
          <w:spacing w:val="-10"/>
          <w:kern w:val="28"/>
          <w:sz w:val="20"/>
          <w:szCs w:val="20"/>
          <w:lang w:eastAsia="en-US"/>
        </w:rPr>
      </w:pPr>
      <w:r w:rsidRPr="00C50680">
        <w:rPr>
          <w:rFonts w:eastAsiaTheme="majorEastAsia"/>
          <w:spacing w:val="-10"/>
          <w:kern w:val="28"/>
          <w:sz w:val="20"/>
          <w:szCs w:val="20"/>
        </w:rPr>
        <w:t>Não concedeu, a qualquer título, vantagem, aumento, reajuste ou adequação de remuneração a membros de Poder ou de órgão, servidores e empregados públicos e militares, exceto quando derivado de sentença judicial transitada em julgado ou de determinação legal anterior à calamidade pública;</w:t>
      </w:r>
    </w:p>
    <w:p w14:paraId="00FD6C06" w14:textId="77777777" w:rsidR="00BB5697" w:rsidRPr="00C50680" w:rsidRDefault="00BB5697" w:rsidP="00ED6D8E">
      <w:pPr>
        <w:pStyle w:val="texxto"/>
        <w:numPr>
          <w:ilvl w:val="0"/>
          <w:numId w:val="42"/>
        </w:numPr>
        <w:spacing w:before="120" w:after="120" w:line="240" w:lineRule="auto"/>
        <w:ind w:left="426" w:hanging="426"/>
        <w:rPr>
          <w:rFonts w:eastAsiaTheme="majorEastAsia"/>
          <w:spacing w:val="-10"/>
          <w:kern w:val="28"/>
          <w:sz w:val="20"/>
          <w:szCs w:val="20"/>
          <w:lang w:eastAsia="en-US"/>
        </w:rPr>
      </w:pPr>
      <w:r w:rsidRPr="00C50680">
        <w:rPr>
          <w:rFonts w:eastAsiaTheme="majorEastAsia"/>
          <w:spacing w:val="-10"/>
          <w:kern w:val="28"/>
          <w:sz w:val="20"/>
          <w:szCs w:val="20"/>
          <w:lang w:eastAsia="en-US"/>
        </w:rPr>
        <w:t>Não criou cargo, emprego ou função que implique aumento de despesa;</w:t>
      </w:r>
    </w:p>
    <w:p w14:paraId="1525C0FA" w14:textId="77777777" w:rsidR="00BB5697" w:rsidRPr="00C50680" w:rsidRDefault="00BB5697" w:rsidP="00ED6D8E">
      <w:pPr>
        <w:pStyle w:val="texxto"/>
        <w:numPr>
          <w:ilvl w:val="0"/>
          <w:numId w:val="42"/>
        </w:numPr>
        <w:spacing w:before="120" w:after="120" w:line="240" w:lineRule="auto"/>
        <w:ind w:left="426" w:hanging="426"/>
        <w:rPr>
          <w:rFonts w:eastAsiaTheme="majorEastAsia"/>
          <w:spacing w:val="-10"/>
          <w:kern w:val="28"/>
          <w:sz w:val="20"/>
          <w:szCs w:val="20"/>
          <w:lang w:eastAsia="en-US"/>
        </w:rPr>
      </w:pPr>
      <w:r w:rsidRPr="00C50680">
        <w:rPr>
          <w:rFonts w:eastAsiaTheme="majorEastAsia"/>
          <w:spacing w:val="-10"/>
          <w:kern w:val="28"/>
          <w:sz w:val="20"/>
          <w:szCs w:val="20"/>
          <w:lang w:eastAsia="en-US"/>
        </w:rPr>
        <w:t>Não alterou estrutura de carreira que implique aumento de despesa;</w:t>
      </w:r>
    </w:p>
    <w:p w14:paraId="64690365" w14:textId="77777777" w:rsidR="00BB5697" w:rsidRPr="00C50680" w:rsidRDefault="00BB5697" w:rsidP="00ED6D8E">
      <w:pPr>
        <w:pStyle w:val="texxto"/>
        <w:numPr>
          <w:ilvl w:val="0"/>
          <w:numId w:val="42"/>
        </w:numPr>
        <w:spacing w:before="120" w:after="120" w:line="240" w:lineRule="auto"/>
        <w:ind w:left="426" w:hanging="426"/>
        <w:rPr>
          <w:rFonts w:eastAsiaTheme="majorEastAsia"/>
          <w:spacing w:val="-10"/>
          <w:kern w:val="28"/>
          <w:sz w:val="20"/>
          <w:szCs w:val="20"/>
          <w:lang w:eastAsia="en-US"/>
        </w:rPr>
      </w:pPr>
      <w:r w:rsidRPr="00C50680">
        <w:rPr>
          <w:rFonts w:eastAsiaTheme="majorEastAsia"/>
          <w:spacing w:val="-10"/>
          <w:kern w:val="28"/>
          <w:sz w:val="20"/>
          <w:szCs w:val="20"/>
          <w:lang w:eastAsia="en-US"/>
        </w:rPr>
        <w:t>Não admitiu ou contratou pessoal, a qualquer título, ressalvadas as reposições de cargos de chefia, de direção e de assessoramento que não acarretassem aumento de despesa, as reposições decorrentes de vacâncias de cargos efetivos ou vitalícios, as contratações temporárias de que trata o inciso IX do caput do art. 37 da Constituição Federal, as contratações de temporários para prestação de serviço militar e as contratações de alunos de órgãos de formação de militares;</w:t>
      </w:r>
    </w:p>
    <w:p w14:paraId="2BB43776" w14:textId="77777777" w:rsidR="00BB5697" w:rsidRPr="00C50680" w:rsidRDefault="00BB5697" w:rsidP="00ED6D8E">
      <w:pPr>
        <w:pStyle w:val="texxto"/>
        <w:numPr>
          <w:ilvl w:val="0"/>
          <w:numId w:val="42"/>
        </w:numPr>
        <w:spacing w:before="120" w:after="120" w:line="240" w:lineRule="auto"/>
        <w:ind w:left="426" w:hanging="426"/>
        <w:rPr>
          <w:rFonts w:eastAsiaTheme="majorEastAsia"/>
          <w:spacing w:val="-10"/>
          <w:kern w:val="28"/>
          <w:sz w:val="20"/>
          <w:szCs w:val="20"/>
          <w:lang w:eastAsia="en-US"/>
        </w:rPr>
      </w:pPr>
      <w:r w:rsidRPr="00C50680">
        <w:rPr>
          <w:rFonts w:eastAsiaTheme="majorEastAsia"/>
          <w:spacing w:val="-10"/>
          <w:kern w:val="28"/>
          <w:sz w:val="20"/>
          <w:szCs w:val="20"/>
          <w:lang w:eastAsia="en-US"/>
        </w:rPr>
        <w:t>Não realizou concurso público, exceto para as reposições de vacâncias previstas no inciso IV;</w:t>
      </w:r>
    </w:p>
    <w:p w14:paraId="3BC06C1B" w14:textId="77777777" w:rsidR="00BB5697" w:rsidRPr="00C50680" w:rsidRDefault="00BB5697" w:rsidP="00ED6D8E">
      <w:pPr>
        <w:pStyle w:val="texxto"/>
        <w:numPr>
          <w:ilvl w:val="0"/>
          <w:numId w:val="42"/>
        </w:numPr>
        <w:spacing w:before="120" w:after="120" w:line="240" w:lineRule="auto"/>
        <w:ind w:left="426" w:hanging="426"/>
        <w:rPr>
          <w:rFonts w:eastAsiaTheme="majorEastAsia"/>
          <w:spacing w:val="-10"/>
          <w:kern w:val="28"/>
          <w:sz w:val="20"/>
          <w:szCs w:val="20"/>
          <w:lang w:eastAsia="en-US"/>
        </w:rPr>
      </w:pPr>
      <w:r w:rsidRPr="00C50680">
        <w:rPr>
          <w:rFonts w:eastAsiaTheme="majorEastAsia"/>
          <w:spacing w:val="-10"/>
          <w:kern w:val="28"/>
          <w:sz w:val="20"/>
          <w:szCs w:val="20"/>
          <w:lang w:eastAsia="en-US"/>
        </w:rPr>
        <w:lastRenderedPageBreak/>
        <w:t>Não criou ou majorou auxílios, vantagens, bônus, abonos, verbas de representação ou benefícios de qualquer natureza, inclusive os de cunho indenizatório, em favor de membros de Poder, do Ministério Público ou da Defensoria Pública e de servidores e empregados públicos e militares, ou ainda de seus dependentes, exceto quando derivado de sentença judicial transitada em julgado ou de determinação legal anterior à calamidade;</w:t>
      </w:r>
    </w:p>
    <w:p w14:paraId="60001129" w14:textId="77777777" w:rsidR="00BB5697" w:rsidRPr="00C50680" w:rsidRDefault="00BB5697" w:rsidP="00ED6D8E">
      <w:pPr>
        <w:pStyle w:val="texxto"/>
        <w:numPr>
          <w:ilvl w:val="0"/>
          <w:numId w:val="42"/>
        </w:numPr>
        <w:spacing w:before="120" w:after="120" w:line="240" w:lineRule="auto"/>
        <w:ind w:left="426" w:hanging="426"/>
        <w:rPr>
          <w:rFonts w:eastAsiaTheme="majorEastAsia"/>
          <w:spacing w:val="-10"/>
          <w:kern w:val="28"/>
          <w:sz w:val="20"/>
          <w:szCs w:val="20"/>
          <w:lang w:eastAsia="en-US"/>
        </w:rPr>
      </w:pPr>
      <w:r w:rsidRPr="00C50680">
        <w:rPr>
          <w:rFonts w:eastAsiaTheme="majorEastAsia"/>
          <w:spacing w:val="-10"/>
          <w:kern w:val="28"/>
          <w:sz w:val="20"/>
          <w:szCs w:val="20"/>
          <w:lang w:eastAsia="en-US"/>
        </w:rPr>
        <w:t>Não criou despesa obrigatória de caráter continuado, ressalvado o disposto nos §§ 1º e 2º do art. 8º da LC n</w:t>
      </w:r>
      <w:r>
        <w:rPr>
          <w:rFonts w:eastAsiaTheme="majorEastAsia"/>
          <w:spacing w:val="-10"/>
          <w:kern w:val="28"/>
          <w:sz w:val="20"/>
          <w:szCs w:val="20"/>
          <w:lang w:eastAsia="en-US"/>
        </w:rPr>
        <w:t>º</w:t>
      </w:r>
      <w:r w:rsidRPr="00C50680">
        <w:rPr>
          <w:rFonts w:eastAsiaTheme="majorEastAsia"/>
          <w:spacing w:val="-10"/>
          <w:kern w:val="28"/>
          <w:sz w:val="20"/>
          <w:szCs w:val="20"/>
          <w:lang w:eastAsia="en-US"/>
        </w:rPr>
        <w:t xml:space="preserve"> 173/2020;</w:t>
      </w:r>
    </w:p>
    <w:p w14:paraId="7D9F4B6D" w14:textId="77777777" w:rsidR="00BB5697" w:rsidRPr="00C50680" w:rsidRDefault="00BB5697" w:rsidP="00ED6D8E">
      <w:pPr>
        <w:pStyle w:val="texxto"/>
        <w:numPr>
          <w:ilvl w:val="0"/>
          <w:numId w:val="42"/>
        </w:numPr>
        <w:spacing w:before="120" w:after="120" w:line="240" w:lineRule="auto"/>
        <w:ind w:left="426" w:hanging="426"/>
        <w:rPr>
          <w:rFonts w:eastAsiaTheme="majorEastAsia"/>
          <w:spacing w:val="-10"/>
          <w:kern w:val="28"/>
          <w:sz w:val="20"/>
          <w:szCs w:val="20"/>
          <w:lang w:eastAsia="en-US"/>
        </w:rPr>
      </w:pPr>
      <w:r w:rsidRPr="00C50680">
        <w:rPr>
          <w:rFonts w:eastAsiaTheme="majorEastAsia"/>
          <w:spacing w:val="-10"/>
          <w:kern w:val="28"/>
          <w:sz w:val="20"/>
          <w:szCs w:val="20"/>
          <w:lang w:eastAsia="en-US"/>
        </w:rPr>
        <w:t>Não adotou medida que implique reajuste de despesa obrigatória acima da variação da inflação medida pelo Índice Nacional de Preços ao Consumidor Amplo (IPCA), observada a preservação do poder aquisitivo referida no inciso IV do caput do art. 7º da Constituição Federal;</w:t>
      </w:r>
    </w:p>
    <w:p w14:paraId="631D8643" w14:textId="77777777" w:rsidR="00BB5697" w:rsidRPr="00C50680" w:rsidRDefault="00BB5697" w:rsidP="00ED6D8E">
      <w:pPr>
        <w:pStyle w:val="texxto"/>
        <w:numPr>
          <w:ilvl w:val="0"/>
          <w:numId w:val="42"/>
        </w:numPr>
        <w:spacing w:before="120" w:after="120" w:line="240" w:lineRule="auto"/>
        <w:ind w:left="426" w:hanging="426"/>
        <w:rPr>
          <w:rFonts w:eastAsiaTheme="majorEastAsia"/>
          <w:spacing w:val="-10"/>
          <w:kern w:val="28"/>
          <w:sz w:val="20"/>
          <w:szCs w:val="20"/>
          <w:lang w:eastAsia="en-US"/>
        </w:rPr>
      </w:pPr>
      <w:r w:rsidRPr="00C50680">
        <w:rPr>
          <w:rFonts w:eastAsiaTheme="majorEastAsia"/>
          <w:spacing w:val="-10"/>
          <w:kern w:val="28"/>
          <w:sz w:val="20"/>
          <w:szCs w:val="20"/>
          <w:lang w:eastAsia="en-US"/>
        </w:rPr>
        <w:t>Não contou esse tempo como de período aquisitivo necessário exclusivamente para a concessão de anuênios, triênios, quinquênios, licenças-prêmio e demais mecanismos equivalentes que aumentem a despesa com pessoal em decorrência da aquisição de determinado tempo de serviço, sem qualquer prejuízo para o tempo de efetivo exercício, aposentadoria, e quaisquer outros fins.</w:t>
      </w:r>
    </w:p>
    <w:p w14:paraId="7EB4A74E" w14:textId="11539B6A" w:rsidR="00BB5697" w:rsidRDefault="00BB5697" w:rsidP="00BB5697">
      <w:pPr>
        <w:rPr>
          <w:rFonts w:ascii="Arial" w:hAnsi="Arial" w:cs="Arial"/>
          <w:b/>
          <w:sz w:val="28"/>
          <w:szCs w:val="28"/>
        </w:rPr>
      </w:pPr>
      <w:r>
        <w:rPr>
          <w:rFonts w:ascii="Arial" w:hAnsi="Arial" w:cs="Arial"/>
          <w:b/>
          <w:sz w:val="28"/>
          <w:szCs w:val="28"/>
        </w:rPr>
        <w:br w:type="page"/>
      </w:r>
    </w:p>
    <w:p w14:paraId="4F7DEA3A" w14:textId="3A4415D2" w:rsidR="007B6306" w:rsidRDefault="007B6306" w:rsidP="007B6306">
      <w:pPr>
        <w:pStyle w:val="Ttulo3"/>
      </w:pPr>
      <w:bookmarkStart w:id="77" w:name="_Toc94806349"/>
      <w:r w:rsidRPr="007B6306">
        <w:lastRenderedPageBreak/>
        <w:t>RELCENS</w:t>
      </w:r>
      <w:bookmarkEnd w:id="77"/>
    </w:p>
    <w:p w14:paraId="1169EE29" w14:textId="77777777" w:rsidR="00BB5697" w:rsidRPr="007B6306" w:rsidRDefault="00BB5697" w:rsidP="00BB5697">
      <w:pPr>
        <w:spacing w:after="0" w:line="360" w:lineRule="auto"/>
        <w:jc w:val="center"/>
        <w:rPr>
          <w:rFonts w:ascii="Arial" w:hAnsi="Arial" w:cs="Arial"/>
          <w:b/>
        </w:rPr>
      </w:pPr>
      <w:r w:rsidRPr="007B6306">
        <w:rPr>
          <w:rFonts w:ascii="Arial" w:hAnsi="Arial" w:cs="Arial"/>
          <w:b/>
        </w:rPr>
        <w:t>RELATÓRIO ACERCA DA REALIZAÇÃO DE CENSO PREVIDENCIÁRIO, RECADASTRAMENTO E PROVA DE VIDA</w:t>
      </w:r>
    </w:p>
    <w:tbl>
      <w:tblPr>
        <w:tblW w:w="8505" w:type="dxa"/>
        <w:tblInd w:w="7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8505"/>
      </w:tblGrid>
      <w:tr w:rsidR="00BB5697" w:rsidRPr="007B6306" w14:paraId="3280462E" w14:textId="77777777" w:rsidTr="00BF7C4A">
        <w:trPr>
          <w:trHeight w:val="283"/>
        </w:trPr>
        <w:tc>
          <w:tcPr>
            <w:tcW w:w="8505" w:type="dxa"/>
          </w:tcPr>
          <w:p w14:paraId="27E25FC1" w14:textId="77777777" w:rsidR="00BB5697" w:rsidRPr="007B6306" w:rsidRDefault="00BB5697" w:rsidP="00BF7C4A">
            <w:pPr>
              <w:spacing w:after="0" w:line="360" w:lineRule="auto"/>
              <w:jc w:val="both"/>
              <w:rPr>
                <w:rFonts w:ascii="Arial" w:eastAsia="Times New Roman" w:hAnsi="Arial" w:cs="Arial"/>
                <w:sz w:val="16"/>
                <w:szCs w:val="16"/>
                <w:lang w:eastAsia="pt-BR"/>
              </w:rPr>
            </w:pPr>
            <w:r w:rsidRPr="007B6306">
              <w:rPr>
                <w:rFonts w:ascii="Arial" w:eastAsia="Times New Roman" w:hAnsi="Arial" w:cs="Arial"/>
                <w:b/>
                <w:bCs/>
                <w:sz w:val="16"/>
                <w:szCs w:val="16"/>
                <w:lang w:eastAsia="pt-BR"/>
              </w:rPr>
              <w:t>IDENTIFICAÇÃO:</w:t>
            </w:r>
            <w:r w:rsidRPr="007B6306">
              <w:rPr>
                <w:rFonts w:ascii="Arial" w:eastAsia="Times New Roman" w:hAnsi="Arial" w:cs="Arial"/>
                <w:sz w:val="16"/>
                <w:szCs w:val="16"/>
                <w:lang w:eastAsia="pt-BR"/>
              </w:rPr>
              <w:t> </w:t>
            </w:r>
          </w:p>
        </w:tc>
      </w:tr>
      <w:tr w:rsidR="00BB5697" w:rsidRPr="00FD1551" w14:paraId="7448AA7F" w14:textId="77777777" w:rsidTr="00BF7C4A">
        <w:trPr>
          <w:trHeight w:val="283"/>
        </w:trPr>
        <w:tc>
          <w:tcPr>
            <w:tcW w:w="8505" w:type="dxa"/>
            <w:shd w:val="clear" w:color="auto" w:fill="auto"/>
            <w:noWrap/>
            <w:vAlign w:val="bottom"/>
            <w:hideMark/>
          </w:tcPr>
          <w:p w14:paraId="7E112F18"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EXERCÍCIO:</w:t>
            </w:r>
          </w:p>
        </w:tc>
      </w:tr>
    </w:tbl>
    <w:p w14:paraId="22C1B0DE" w14:textId="77777777" w:rsidR="00BB5697" w:rsidRDefault="00BB5697" w:rsidP="00BB5697">
      <w:pPr>
        <w:tabs>
          <w:tab w:val="left" w:pos="8248"/>
        </w:tabs>
        <w:rPr>
          <w:rFonts w:ascii="Arial" w:hAnsi="Arial" w:cs="Arial"/>
          <w:b/>
          <w:sz w:val="24"/>
          <w:szCs w:val="24"/>
        </w:rPr>
      </w:pPr>
    </w:p>
    <w:p w14:paraId="7BAAE952" w14:textId="77777777" w:rsidR="00BB5697" w:rsidRPr="00AB46F9" w:rsidRDefault="00BB5697" w:rsidP="00BB5697">
      <w:pPr>
        <w:jc w:val="both"/>
        <w:rPr>
          <w:rFonts w:ascii="Arial" w:hAnsi="Arial" w:cs="Arial"/>
          <w:sz w:val="20"/>
          <w:szCs w:val="20"/>
        </w:rPr>
      </w:pPr>
      <w:r w:rsidRPr="00AB46F9">
        <w:rPr>
          <w:rFonts w:ascii="Arial" w:hAnsi="Arial" w:cs="Arial"/>
          <w:sz w:val="20"/>
          <w:szCs w:val="20"/>
        </w:rPr>
        <w:t xml:space="preserve">Relatório do Gestor do RPPS sobre a realização de censo previdenciário, recadastramento e prova de vida, abrangendo as seguintes informações: </w:t>
      </w:r>
    </w:p>
    <w:tbl>
      <w:tblPr>
        <w:tblW w:w="9214" w:type="dxa"/>
        <w:tblInd w:w="-5" w:type="dxa"/>
        <w:tblCellMar>
          <w:left w:w="70" w:type="dxa"/>
          <w:right w:w="70" w:type="dxa"/>
        </w:tblCellMar>
        <w:tblLook w:val="04A0" w:firstRow="1" w:lastRow="0" w:firstColumn="1" w:lastColumn="0" w:noHBand="0" w:noVBand="1"/>
      </w:tblPr>
      <w:tblGrid>
        <w:gridCol w:w="1824"/>
        <w:gridCol w:w="1222"/>
        <w:gridCol w:w="1389"/>
        <w:gridCol w:w="1562"/>
        <w:gridCol w:w="1389"/>
        <w:gridCol w:w="1841"/>
      </w:tblGrid>
      <w:tr w:rsidR="00BB5697" w:rsidRPr="00AB46F9" w14:paraId="2E5E6C9D" w14:textId="77777777" w:rsidTr="00BF7C4A">
        <w:trPr>
          <w:trHeight w:val="510"/>
        </w:trPr>
        <w:tc>
          <w:tcPr>
            <w:tcW w:w="18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C5E33A" w14:textId="77777777" w:rsidR="00BB5697" w:rsidRPr="00AB46F9" w:rsidRDefault="00BB5697" w:rsidP="00BF7C4A">
            <w:pPr>
              <w:spacing w:after="0" w:line="240" w:lineRule="auto"/>
              <w:jc w:val="center"/>
              <w:rPr>
                <w:rFonts w:ascii="Arial" w:eastAsia="Times New Roman" w:hAnsi="Arial" w:cs="Arial"/>
                <w:b/>
                <w:bCs/>
                <w:color w:val="000000"/>
                <w:sz w:val="18"/>
                <w:szCs w:val="18"/>
                <w:lang w:eastAsia="pt-BR"/>
              </w:rPr>
            </w:pPr>
            <w:r w:rsidRPr="00AB46F9">
              <w:rPr>
                <w:rFonts w:ascii="Arial" w:eastAsia="Times New Roman" w:hAnsi="Arial" w:cs="Arial"/>
                <w:b/>
                <w:bCs/>
                <w:color w:val="000000"/>
                <w:sz w:val="18"/>
                <w:szCs w:val="18"/>
                <w:lang w:eastAsia="pt-BR"/>
              </w:rPr>
              <w:t>PROCEDIMENTO¹</w:t>
            </w:r>
          </w:p>
        </w:tc>
        <w:tc>
          <w:tcPr>
            <w:tcW w:w="1222" w:type="dxa"/>
            <w:tcBorders>
              <w:top w:val="single" w:sz="4" w:space="0" w:color="auto"/>
              <w:left w:val="nil"/>
              <w:bottom w:val="single" w:sz="4" w:space="0" w:color="auto"/>
              <w:right w:val="single" w:sz="4" w:space="0" w:color="auto"/>
            </w:tcBorders>
            <w:shd w:val="clear" w:color="auto" w:fill="auto"/>
            <w:vAlign w:val="center"/>
            <w:hideMark/>
          </w:tcPr>
          <w:p w14:paraId="50AB0C66" w14:textId="77777777" w:rsidR="00BB5697" w:rsidRPr="00AB46F9" w:rsidRDefault="00BB5697" w:rsidP="00BF7C4A">
            <w:pPr>
              <w:spacing w:after="0" w:line="240" w:lineRule="auto"/>
              <w:jc w:val="center"/>
              <w:rPr>
                <w:rFonts w:ascii="Arial" w:eastAsia="Times New Roman" w:hAnsi="Arial" w:cs="Arial"/>
                <w:b/>
                <w:bCs/>
                <w:color w:val="000000"/>
                <w:sz w:val="18"/>
                <w:szCs w:val="18"/>
                <w:lang w:eastAsia="pt-BR"/>
              </w:rPr>
            </w:pPr>
            <w:r w:rsidRPr="00AB46F9">
              <w:rPr>
                <w:rFonts w:ascii="Arial" w:eastAsia="Times New Roman" w:hAnsi="Arial" w:cs="Arial"/>
                <w:b/>
                <w:bCs/>
                <w:color w:val="000000"/>
                <w:sz w:val="18"/>
                <w:szCs w:val="18"/>
                <w:lang w:eastAsia="pt-BR"/>
              </w:rPr>
              <w:t>PERÍODO²</w:t>
            </w:r>
          </w:p>
        </w:tc>
        <w:tc>
          <w:tcPr>
            <w:tcW w:w="1389" w:type="dxa"/>
            <w:tcBorders>
              <w:top w:val="single" w:sz="4" w:space="0" w:color="auto"/>
              <w:left w:val="nil"/>
              <w:bottom w:val="single" w:sz="4" w:space="0" w:color="auto"/>
              <w:right w:val="single" w:sz="4" w:space="0" w:color="auto"/>
            </w:tcBorders>
            <w:shd w:val="clear" w:color="auto" w:fill="auto"/>
            <w:vAlign w:val="center"/>
            <w:hideMark/>
          </w:tcPr>
          <w:p w14:paraId="4D078736" w14:textId="77777777" w:rsidR="00BB5697" w:rsidRPr="00AB46F9" w:rsidRDefault="00BB5697" w:rsidP="00BF7C4A">
            <w:pPr>
              <w:spacing w:after="0" w:line="240" w:lineRule="auto"/>
              <w:jc w:val="center"/>
              <w:rPr>
                <w:rFonts w:ascii="Arial" w:eastAsia="Times New Roman" w:hAnsi="Arial" w:cs="Arial"/>
                <w:b/>
                <w:bCs/>
                <w:color w:val="000000"/>
                <w:sz w:val="18"/>
                <w:szCs w:val="18"/>
                <w:lang w:eastAsia="pt-BR"/>
              </w:rPr>
            </w:pPr>
            <w:r w:rsidRPr="00AB46F9">
              <w:rPr>
                <w:rFonts w:ascii="Arial" w:eastAsia="Times New Roman" w:hAnsi="Arial" w:cs="Arial"/>
                <w:b/>
                <w:bCs/>
                <w:color w:val="000000"/>
                <w:sz w:val="18"/>
                <w:szCs w:val="18"/>
                <w:lang w:eastAsia="pt-BR"/>
              </w:rPr>
              <w:t>POPULAÇÃO³</w:t>
            </w:r>
          </w:p>
        </w:tc>
        <w:tc>
          <w:tcPr>
            <w:tcW w:w="1549" w:type="dxa"/>
            <w:tcBorders>
              <w:top w:val="single" w:sz="4" w:space="0" w:color="auto"/>
              <w:left w:val="nil"/>
              <w:bottom w:val="single" w:sz="4" w:space="0" w:color="auto"/>
              <w:right w:val="single" w:sz="4" w:space="0" w:color="auto"/>
            </w:tcBorders>
            <w:shd w:val="clear" w:color="auto" w:fill="auto"/>
            <w:vAlign w:val="center"/>
            <w:hideMark/>
          </w:tcPr>
          <w:p w14:paraId="34DAFA82" w14:textId="77777777" w:rsidR="00BB5697" w:rsidRPr="00AB46F9" w:rsidRDefault="00BB5697" w:rsidP="00BF7C4A">
            <w:pPr>
              <w:spacing w:after="0" w:line="240" w:lineRule="auto"/>
              <w:jc w:val="center"/>
              <w:rPr>
                <w:rFonts w:ascii="Arial" w:eastAsia="Times New Roman" w:hAnsi="Arial" w:cs="Arial"/>
                <w:b/>
                <w:bCs/>
                <w:color w:val="000000"/>
                <w:sz w:val="18"/>
                <w:szCs w:val="18"/>
                <w:lang w:eastAsia="pt-BR"/>
              </w:rPr>
            </w:pPr>
            <w:r w:rsidRPr="00AB46F9">
              <w:rPr>
                <w:rFonts w:ascii="Arial" w:eastAsia="Times New Roman" w:hAnsi="Arial" w:cs="Arial"/>
                <w:b/>
                <w:bCs/>
                <w:color w:val="000000"/>
                <w:sz w:val="18"/>
                <w:szCs w:val="18"/>
                <w:lang w:eastAsia="pt-BR"/>
              </w:rPr>
              <w:t>ABRANGÊNCIA</w:t>
            </w:r>
            <w:r w:rsidRPr="00AB46F9">
              <w:rPr>
                <w:rFonts w:ascii="Cambria Math" w:eastAsia="Times New Roman" w:hAnsi="Cambria Math" w:cs="Cambria Math"/>
                <w:b/>
                <w:bCs/>
                <w:color w:val="000000"/>
                <w:sz w:val="18"/>
                <w:szCs w:val="18"/>
                <w:lang w:eastAsia="pt-BR"/>
              </w:rPr>
              <w:t>⁴</w:t>
            </w:r>
          </w:p>
        </w:tc>
        <w:tc>
          <w:tcPr>
            <w:tcW w:w="1389" w:type="dxa"/>
            <w:tcBorders>
              <w:top w:val="single" w:sz="4" w:space="0" w:color="auto"/>
              <w:left w:val="nil"/>
              <w:bottom w:val="single" w:sz="4" w:space="0" w:color="auto"/>
              <w:right w:val="single" w:sz="4" w:space="0" w:color="auto"/>
            </w:tcBorders>
            <w:shd w:val="clear" w:color="auto" w:fill="auto"/>
            <w:vAlign w:val="center"/>
            <w:hideMark/>
          </w:tcPr>
          <w:p w14:paraId="4FC9298A" w14:textId="77777777" w:rsidR="00BB5697" w:rsidRPr="00AB46F9" w:rsidRDefault="00BB5697" w:rsidP="00BF7C4A">
            <w:pPr>
              <w:spacing w:after="0" w:line="240" w:lineRule="auto"/>
              <w:jc w:val="center"/>
              <w:rPr>
                <w:rFonts w:ascii="Arial" w:eastAsia="Times New Roman" w:hAnsi="Arial" w:cs="Arial"/>
                <w:b/>
                <w:bCs/>
                <w:color w:val="000000"/>
                <w:sz w:val="18"/>
                <w:szCs w:val="18"/>
                <w:lang w:eastAsia="pt-BR"/>
              </w:rPr>
            </w:pPr>
            <w:r w:rsidRPr="00AB46F9">
              <w:rPr>
                <w:rFonts w:ascii="Arial" w:eastAsia="Times New Roman" w:hAnsi="Arial" w:cs="Arial"/>
                <w:b/>
                <w:bCs/>
                <w:color w:val="000000"/>
                <w:sz w:val="18"/>
                <w:szCs w:val="18"/>
                <w:lang w:eastAsia="pt-BR"/>
              </w:rPr>
              <w:t>BASE NORMATIVA</w:t>
            </w:r>
            <w:r w:rsidRPr="00AB46F9">
              <w:rPr>
                <w:rFonts w:ascii="Cambria Math" w:eastAsia="Times New Roman" w:hAnsi="Cambria Math" w:cs="Cambria Math"/>
                <w:b/>
                <w:bCs/>
                <w:color w:val="000000"/>
                <w:sz w:val="18"/>
                <w:szCs w:val="18"/>
                <w:lang w:eastAsia="pt-BR"/>
              </w:rPr>
              <w:t>⁵</w:t>
            </w:r>
          </w:p>
        </w:tc>
        <w:tc>
          <w:tcPr>
            <w:tcW w:w="1841" w:type="dxa"/>
            <w:tcBorders>
              <w:top w:val="single" w:sz="4" w:space="0" w:color="auto"/>
              <w:left w:val="nil"/>
              <w:bottom w:val="single" w:sz="4" w:space="0" w:color="auto"/>
              <w:right w:val="single" w:sz="4" w:space="0" w:color="auto"/>
            </w:tcBorders>
            <w:shd w:val="clear" w:color="auto" w:fill="auto"/>
            <w:vAlign w:val="center"/>
            <w:hideMark/>
          </w:tcPr>
          <w:p w14:paraId="734B6494" w14:textId="77777777" w:rsidR="00BB5697" w:rsidRPr="00AB46F9" w:rsidRDefault="00BB5697" w:rsidP="00BF7C4A">
            <w:pPr>
              <w:spacing w:after="0" w:line="240" w:lineRule="auto"/>
              <w:jc w:val="center"/>
              <w:rPr>
                <w:rFonts w:ascii="Arial" w:eastAsia="Times New Roman" w:hAnsi="Arial" w:cs="Arial"/>
                <w:b/>
                <w:bCs/>
                <w:color w:val="000000"/>
                <w:sz w:val="18"/>
                <w:szCs w:val="18"/>
                <w:lang w:eastAsia="pt-BR"/>
              </w:rPr>
            </w:pPr>
            <w:r w:rsidRPr="00AB46F9">
              <w:rPr>
                <w:rFonts w:ascii="Arial" w:eastAsia="Times New Roman" w:hAnsi="Arial" w:cs="Arial"/>
                <w:b/>
                <w:bCs/>
                <w:color w:val="000000"/>
                <w:sz w:val="18"/>
                <w:szCs w:val="18"/>
                <w:lang w:eastAsia="pt-BR"/>
              </w:rPr>
              <w:t>DOCUMENTAÇÃO REQUERIDA</w:t>
            </w:r>
            <w:r w:rsidRPr="00AB46F9">
              <w:rPr>
                <w:rFonts w:ascii="Cambria Math" w:eastAsia="Times New Roman" w:hAnsi="Cambria Math" w:cs="Cambria Math"/>
                <w:b/>
                <w:bCs/>
                <w:color w:val="000000"/>
                <w:sz w:val="18"/>
                <w:szCs w:val="18"/>
                <w:lang w:eastAsia="pt-BR"/>
              </w:rPr>
              <w:t>⁶</w:t>
            </w:r>
          </w:p>
        </w:tc>
      </w:tr>
      <w:tr w:rsidR="00BB5697" w:rsidRPr="00AB46F9" w14:paraId="78C40AB5" w14:textId="77777777" w:rsidTr="00BF7C4A">
        <w:trPr>
          <w:trHeight w:val="300"/>
        </w:trPr>
        <w:tc>
          <w:tcPr>
            <w:tcW w:w="1824" w:type="dxa"/>
            <w:tcBorders>
              <w:top w:val="nil"/>
              <w:left w:val="single" w:sz="4" w:space="0" w:color="auto"/>
              <w:bottom w:val="single" w:sz="4" w:space="0" w:color="auto"/>
              <w:right w:val="single" w:sz="4" w:space="0" w:color="auto"/>
            </w:tcBorders>
            <w:shd w:val="clear" w:color="auto" w:fill="auto"/>
            <w:noWrap/>
            <w:vAlign w:val="center"/>
            <w:hideMark/>
          </w:tcPr>
          <w:p w14:paraId="77799DC5" w14:textId="77777777" w:rsidR="00BB5697" w:rsidRPr="00AB46F9" w:rsidRDefault="00BB5697" w:rsidP="00BF7C4A">
            <w:pPr>
              <w:spacing w:after="0" w:line="240" w:lineRule="auto"/>
              <w:jc w:val="both"/>
              <w:rPr>
                <w:rFonts w:ascii="Arial" w:eastAsia="Times New Roman" w:hAnsi="Arial" w:cs="Arial"/>
                <w:color w:val="000000"/>
                <w:sz w:val="20"/>
                <w:szCs w:val="20"/>
                <w:lang w:eastAsia="pt-BR"/>
              </w:rPr>
            </w:pPr>
            <w:r w:rsidRPr="00AB46F9">
              <w:rPr>
                <w:rFonts w:ascii="Arial" w:eastAsia="Times New Roman" w:hAnsi="Arial" w:cs="Arial"/>
                <w:color w:val="000000"/>
                <w:sz w:val="20"/>
                <w:szCs w:val="20"/>
                <w:lang w:eastAsia="pt-BR"/>
              </w:rPr>
              <w:t>Recadastramento</w:t>
            </w:r>
          </w:p>
        </w:tc>
        <w:tc>
          <w:tcPr>
            <w:tcW w:w="1222" w:type="dxa"/>
            <w:tcBorders>
              <w:top w:val="nil"/>
              <w:left w:val="nil"/>
              <w:bottom w:val="single" w:sz="4" w:space="0" w:color="auto"/>
              <w:right w:val="single" w:sz="4" w:space="0" w:color="auto"/>
            </w:tcBorders>
            <w:shd w:val="clear" w:color="auto" w:fill="auto"/>
            <w:noWrap/>
            <w:vAlign w:val="center"/>
            <w:hideMark/>
          </w:tcPr>
          <w:p w14:paraId="0FA68D80" w14:textId="77777777" w:rsidR="00BB5697" w:rsidRPr="00AB46F9" w:rsidRDefault="00BB5697" w:rsidP="00BF7C4A">
            <w:pPr>
              <w:spacing w:after="0" w:line="240" w:lineRule="auto"/>
              <w:jc w:val="both"/>
              <w:rPr>
                <w:rFonts w:ascii="Arial" w:eastAsia="Times New Roman" w:hAnsi="Arial" w:cs="Arial"/>
                <w:color w:val="000000"/>
                <w:sz w:val="20"/>
                <w:szCs w:val="20"/>
                <w:lang w:eastAsia="pt-BR"/>
              </w:rPr>
            </w:pPr>
            <w:r w:rsidRPr="00AB46F9">
              <w:rPr>
                <w:rFonts w:ascii="Arial" w:eastAsia="Times New Roman" w:hAnsi="Arial" w:cs="Arial"/>
                <w:color w:val="000000"/>
                <w:sz w:val="20"/>
                <w:szCs w:val="20"/>
                <w:lang w:eastAsia="pt-BR"/>
              </w:rPr>
              <w:t> </w:t>
            </w:r>
          </w:p>
        </w:tc>
        <w:tc>
          <w:tcPr>
            <w:tcW w:w="1389" w:type="dxa"/>
            <w:tcBorders>
              <w:top w:val="nil"/>
              <w:left w:val="nil"/>
              <w:bottom w:val="single" w:sz="4" w:space="0" w:color="auto"/>
              <w:right w:val="single" w:sz="4" w:space="0" w:color="auto"/>
            </w:tcBorders>
            <w:shd w:val="clear" w:color="auto" w:fill="auto"/>
            <w:noWrap/>
            <w:vAlign w:val="center"/>
            <w:hideMark/>
          </w:tcPr>
          <w:p w14:paraId="038F0F97" w14:textId="77777777" w:rsidR="00BB5697" w:rsidRPr="00AB46F9" w:rsidRDefault="00BB5697" w:rsidP="00BF7C4A">
            <w:pPr>
              <w:spacing w:after="0" w:line="240" w:lineRule="auto"/>
              <w:jc w:val="both"/>
              <w:rPr>
                <w:rFonts w:ascii="Arial" w:eastAsia="Times New Roman" w:hAnsi="Arial" w:cs="Arial"/>
                <w:color w:val="000000"/>
                <w:sz w:val="20"/>
                <w:szCs w:val="20"/>
                <w:lang w:eastAsia="pt-BR"/>
              </w:rPr>
            </w:pPr>
            <w:r w:rsidRPr="00AB46F9">
              <w:rPr>
                <w:rFonts w:ascii="Arial" w:eastAsia="Times New Roman" w:hAnsi="Arial" w:cs="Arial"/>
                <w:color w:val="000000"/>
                <w:sz w:val="20"/>
                <w:szCs w:val="20"/>
                <w:lang w:eastAsia="pt-BR"/>
              </w:rPr>
              <w:t> </w:t>
            </w:r>
          </w:p>
        </w:tc>
        <w:tc>
          <w:tcPr>
            <w:tcW w:w="1549" w:type="dxa"/>
            <w:tcBorders>
              <w:top w:val="nil"/>
              <w:left w:val="nil"/>
              <w:bottom w:val="single" w:sz="4" w:space="0" w:color="auto"/>
              <w:right w:val="single" w:sz="4" w:space="0" w:color="auto"/>
            </w:tcBorders>
            <w:shd w:val="clear" w:color="auto" w:fill="auto"/>
            <w:noWrap/>
            <w:vAlign w:val="center"/>
            <w:hideMark/>
          </w:tcPr>
          <w:p w14:paraId="2255CE27" w14:textId="77777777" w:rsidR="00BB5697" w:rsidRPr="00AB46F9" w:rsidRDefault="00BB5697" w:rsidP="00BF7C4A">
            <w:pPr>
              <w:spacing w:after="0" w:line="240" w:lineRule="auto"/>
              <w:jc w:val="both"/>
              <w:rPr>
                <w:rFonts w:ascii="Arial" w:eastAsia="Times New Roman" w:hAnsi="Arial" w:cs="Arial"/>
                <w:color w:val="000000"/>
                <w:sz w:val="20"/>
                <w:szCs w:val="20"/>
                <w:lang w:eastAsia="pt-BR"/>
              </w:rPr>
            </w:pPr>
            <w:r w:rsidRPr="00AB46F9">
              <w:rPr>
                <w:rFonts w:ascii="Arial" w:eastAsia="Times New Roman" w:hAnsi="Arial" w:cs="Arial"/>
                <w:color w:val="000000"/>
                <w:sz w:val="20"/>
                <w:szCs w:val="20"/>
                <w:lang w:eastAsia="pt-BR"/>
              </w:rPr>
              <w:t> </w:t>
            </w:r>
          </w:p>
        </w:tc>
        <w:tc>
          <w:tcPr>
            <w:tcW w:w="1389" w:type="dxa"/>
            <w:tcBorders>
              <w:top w:val="nil"/>
              <w:left w:val="nil"/>
              <w:bottom w:val="single" w:sz="4" w:space="0" w:color="auto"/>
              <w:right w:val="single" w:sz="4" w:space="0" w:color="auto"/>
            </w:tcBorders>
            <w:shd w:val="clear" w:color="auto" w:fill="auto"/>
            <w:noWrap/>
            <w:vAlign w:val="center"/>
            <w:hideMark/>
          </w:tcPr>
          <w:p w14:paraId="50D26DC8" w14:textId="77777777" w:rsidR="00BB5697" w:rsidRPr="00AB46F9" w:rsidRDefault="00BB5697" w:rsidP="00BF7C4A">
            <w:pPr>
              <w:spacing w:after="0" w:line="240" w:lineRule="auto"/>
              <w:jc w:val="both"/>
              <w:rPr>
                <w:rFonts w:ascii="Arial" w:eastAsia="Times New Roman" w:hAnsi="Arial" w:cs="Arial"/>
                <w:color w:val="000000"/>
                <w:sz w:val="20"/>
                <w:szCs w:val="20"/>
                <w:lang w:eastAsia="pt-BR"/>
              </w:rPr>
            </w:pPr>
            <w:r w:rsidRPr="00AB46F9">
              <w:rPr>
                <w:rFonts w:ascii="Arial" w:eastAsia="Times New Roman" w:hAnsi="Arial" w:cs="Arial"/>
                <w:color w:val="000000"/>
                <w:sz w:val="20"/>
                <w:szCs w:val="20"/>
                <w:lang w:eastAsia="pt-BR"/>
              </w:rPr>
              <w:t> </w:t>
            </w:r>
          </w:p>
        </w:tc>
        <w:tc>
          <w:tcPr>
            <w:tcW w:w="1841" w:type="dxa"/>
            <w:tcBorders>
              <w:top w:val="nil"/>
              <w:left w:val="nil"/>
              <w:bottom w:val="single" w:sz="4" w:space="0" w:color="auto"/>
              <w:right w:val="single" w:sz="4" w:space="0" w:color="auto"/>
            </w:tcBorders>
            <w:shd w:val="clear" w:color="auto" w:fill="auto"/>
            <w:noWrap/>
            <w:vAlign w:val="center"/>
            <w:hideMark/>
          </w:tcPr>
          <w:p w14:paraId="33CA73AA" w14:textId="77777777" w:rsidR="00BB5697" w:rsidRPr="00AB46F9" w:rsidRDefault="00BB5697" w:rsidP="00BF7C4A">
            <w:pPr>
              <w:spacing w:after="0" w:line="240" w:lineRule="auto"/>
              <w:jc w:val="both"/>
              <w:rPr>
                <w:rFonts w:ascii="Arial" w:eastAsia="Times New Roman" w:hAnsi="Arial" w:cs="Arial"/>
                <w:color w:val="000000"/>
                <w:sz w:val="20"/>
                <w:szCs w:val="20"/>
                <w:lang w:eastAsia="pt-BR"/>
              </w:rPr>
            </w:pPr>
            <w:r w:rsidRPr="00AB46F9">
              <w:rPr>
                <w:rFonts w:ascii="Arial" w:eastAsia="Times New Roman" w:hAnsi="Arial" w:cs="Arial"/>
                <w:color w:val="000000"/>
                <w:sz w:val="20"/>
                <w:szCs w:val="20"/>
                <w:lang w:eastAsia="pt-BR"/>
              </w:rPr>
              <w:t> </w:t>
            </w:r>
          </w:p>
        </w:tc>
      </w:tr>
      <w:tr w:rsidR="00BB5697" w:rsidRPr="00AB46F9" w14:paraId="022B4539" w14:textId="77777777" w:rsidTr="00BF7C4A">
        <w:trPr>
          <w:trHeight w:val="300"/>
        </w:trPr>
        <w:tc>
          <w:tcPr>
            <w:tcW w:w="1824" w:type="dxa"/>
            <w:tcBorders>
              <w:top w:val="nil"/>
              <w:left w:val="single" w:sz="4" w:space="0" w:color="auto"/>
              <w:bottom w:val="single" w:sz="4" w:space="0" w:color="auto"/>
              <w:right w:val="single" w:sz="4" w:space="0" w:color="auto"/>
            </w:tcBorders>
            <w:shd w:val="clear" w:color="auto" w:fill="auto"/>
            <w:noWrap/>
            <w:vAlign w:val="center"/>
          </w:tcPr>
          <w:p w14:paraId="13DBCCAD" w14:textId="77777777" w:rsidR="00BB5697" w:rsidRPr="00AB46F9" w:rsidRDefault="00BB5697" w:rsidP="00BF7C4A">
            <w:pPr>
              <w:spacing w:after="0" w:line="240" w:lineRule="auto"/>
              <w:jc w:val="both"/>
              <w:rPr>
                <w:rFonts w:ascii="Arial" w:eastAsia="Times New Roman" w:hAnsi="Arial" w:cs="Arial"/>
                <w:color w:val="000000"/>
                <w:sz w:val="20"/>
                <w:szCs w:val="20"/>
                <w:lang w:eastAsia="pt-BR"/>
              </w:rPr>
            </w:pPr>
            <w:r w:rsidRPr="00AB46F9">
              <w:rPr>
                <w:rFonts w:ascii="Arial" w:eastAsia="Times New Roman" w:hAnsi="Arial" w:cs="Arial"/>
                <w:color w:val="000000"/>
                <w:sz w:val="20"/>
                <w:szCs w:val="20"/>
                <w:lang w:eastAsia="pt-BR"/>
              </w:rPr>
              <w:t>Recenseamento</w:t>
            </w:r>
          </w:p>
        </w:tc>
        <w:tc>
          <w:tcPr>
            <w:tcW w:w="1222" w:type="dxa"/>
            <w:tcBorders>
              <w:top w:val="nil"/>
              <w:left w:val="nil"/>
              <w:bottom w:val="single" w:sz="4" w:space="0" w:color="auto"/>
              <w:right w:val="single" w:sz="4" w:space="0" w:color="auto"/>
            </w:tcBorders>
            <w:shd w:val="clear" w:color="auto" w:fill="auto"/>
            <w:noWrap/>
            <w:vAlign w:val="center"/>
          </w:tcPr>
          <w:p w14:paraId="7247B354" w14:textId="77777777" w:rsidR="00BB5697" w:rsidRPr="00AB46F9" w:rsidRDefault="00BB5697" w:rsidP="00BF7C4A">
            <w:pPr>
              <w:spacing w:after="0" w:line="240" w:lineRule="auto"/>
              <w:jc w:val="both"/>
              <w:rPr>
                <w:rFonts w:ascii="Arial" w:eastAsia="Times New Roman" w:hAnsi="Arial" w:cs="Arial"/>
                <w:color w:val="000000"/>
                <w:sz w:val="20"/>
                <w:szCs w:val="20"/>
                <w:lang w:eastAsia="pt-BR"/>
              </w:rPr>
            </w:pPr>
          </w:p>
        </w:tc>
        <w:tc>
          <w:tcPr>
            <w:tcW w:w="1389" w:type="dxa"/>
            <w:tcBorders>
              <w:top w:val="nil"/>
              <w:left w:val="nil"/>
              <w:bottom w:val="single" w:sz="4" w:space="0" w:color="auto"/>
              <w:right w:val="single" w:sz="4" w:space="0" w:color="auto"/>
            </w:tcBorders>
            <w:shd w:val="clear" w:color="auto" w:fill="auto"/>
            <w:noWrap/>
            <w:vAlign w:val="center"/>
          </w:tcPr>
          <w:p w14:paraId="43B79D58" w14:textId="77777777" w:rsidR="00BB5697" w:rsidRPr="00AB46F9" w:rsidRDefault="00BB5697" w:rsidP="00BF7C4A">
            <w:pPr>
              <w:spacing w:after="0" w:line="240" w:lineRule="auto"/>
              <w:jc w:val="both"/>
              <w:rPr>
                <w:rFonts w:ascii="Arial" w:eastAsia="Times New Roman" w:hAnsi="Arial" w:cs="Arial"/>
                <w:color w:val="000000"/>
                <w:sz w:val="20"/>
                <w:szCs w:val="20"/>
                <w:lang w:eastAsia="pt-BR"/>
              </w:rPr>
            </w:pPr>
          </w:p>
        </w:tc>
        <w:tc>
          <w:tcPr>
            <w:tcW w:w="1549" w:type="dxa"/>
            <w:tcBorders>
              <w:top w:val="nil"/>
              <w:left w:val="nil"/>
              <w:bottom w:val="single" w:sz="4" w:space="0" w:color="auto"/>
              <w:right w:val="single" w:sz="4" w:space="0" w:color="auto"/>
            </w:tcBorders>
            <w:shd w:val="clear" w:color="auto" w:fill="auto"/>
            <w:noWrap/>
            <w:vAlign w:val="center"/>
          </w:tcPr>
          <w:p w14:paraId="761C0E4F" w14:textId="77777777" w:rsidR="00BB5697" w:rsidRPr="00AB46F9" w:rsidRDefault="00BB5697" w:rsidP="00BF7C4A">
            <w:pPr>
              <w:spacing w:after="0" w:line="240" w:lineRule="auto"/>
              <w:jc w:val="both"/>
              <w:rPr>
                <w:rFonts w:ascii="Arial" w:eastAsia="Times New Roman" w:hAnsi="Arial" w:cs="Arial"/>
                <w:color w:val="000000"/>
                <w:sz w:val="20"/>
                <w:szCs w:val="20"/>
                <w:lang w:eastAsia="pt-BR"/>
              </w:rPr>
            </w:pPr>
          </w:p>
        </w:tc>
        <w:tc>
          <w:tcPr>
            <w:tcW w:w="1389" w:type="dxa"/>
            <w:tcBorders>
              <w:top w:val="nil"/>
              <w:left w:val="nil"/>
              <w:bottom w:val="single" w:sz="4" w:space="0" w:color="auto"/>
              <w:right w:val="single" w:sz="4" w:space="0" w:color="auto"/>
            </w:tcBorders>
            <w:shd w:val="clear" w:color="auto" w:fill="auto"/>
            <w:noWrap/>
            <w:vAlign w:val="center"/>
          </w:tcPr>
          <w:p w14:paraId="2D5DE8A2" w14:textId="77777777" w:rsidR="00BB5697" w:rsidRPr="00AB46F9" w:rsidRDefault="00BB5697" w:rsidP="00BF7C4A">
            <w:pPr>
              <w:spacing w:after="0" w:line="240" w:lineRule="auto"/>
              <w:jc w:val="both"/>
              <w:rPr>
                <w:rFonts w:ascii="Arial" w:eastAsia="Times New Roman" w:hAnsi="Arial" w:cs="Arial"/>
                <w:color w:val="000000"/>
                <w:sz w:val="20"/>
                <w:szCs w:val="20"/>
                <w:lang w:eastAsia="pt-BR"/>
              </w:rPr>
            </w:pPr>
          </w:p>
        </w:tc>
        <w:tc>
          <w:tcPr>
            <w:tcW w:w="1841" w:type="dxa"/>
            <w:tcBorders>
              <w:top w:val="nil"/>
              <w:left w:val="nil"/>
              <w:bottom w:val="single" w:sz="4" w:space="0" w:color="auto"/>
              <w:right w:val="single" w:sz="4" w:space="0" w:color="auto"/>
            </w:tcBorders>
            <w:shd w:val="clear" w:color="auto" w:fill="auto"/>
            <w:noWrap/>
            <w:vAlign w:val="center"/>
          </w:tcPr>
          <w:p w14:paraId="06B2531D" w14:textId="77777777" w:rsidR="00BB5697" w:rsidRPr="00AB46F9" w:rsidRDefault="00BB5697" w:rsidP="00BF7C4A">
            <w:pPr>
              <w:spacing w:after="0" w:line="240" w:lineRule="auto"/>
              <w:jc w:val="both"/>
              <w:rPr>
                <w:rFonts w:ascii="Arial" w:eastAsia="Times New Roman" w:hAnsi="Arial" w:cs="Arial"/>
                <w:color w:val="000000"/>
                <w:sz w:val="20"/>
                <w:szCs w:val="20"/>
                <w:lang w:eastAsia="pt-BR"/>
              </w:rPr>
            </w:pPr>
          </w:p>
        </w:tc>
      </w:tr>
      <w:tr w:rsidR="00BB5697" w:rsidRPr="00AB46F9" w14:paraId="79C31E23" w14:textId="77777777" w:rsidTr="00BF7C4A">
        <w:trPr>
          <w:trHeight w:val="300"/>
        </w:trPr>
        <w:tc>
          <w:tcPr>
            <w:tcW w:w="1824" w:type="dxa"/>
            <w:tcBorders>
              <w:top w:val="nil"/>
              <w:left w:val="single" w:sz="4" w:space="0" w:color="auto"/>
              <w:bottom w:val="single" w:sz="4" w:space="0" w:color="auto"/>
              <w:right w:val="single" w:sz="4" w:space="0" w:color="auto"/>
            </w:tcBorders>
            <w:shd w:val="clear" w:color="auto" w:fill="auto"/>
            <w:noWrap/>
            <w:vAlign w:val="center"/>
            <w:hideMark/>
          </w:tcPr>
          <w:p w14:paraId="510B4C56" w14:textId="77777777" w:rsidR="00BB5697" w:rsidRPr="00AB46F9" w:rsidRDefault="00BB5697" w:rsidP="00BF7C4A">
            <w:pPr>
              <w:spacing w:after="0" w:line="240" w:lineRule="auto"/>
              <w:jc w:val="both"/>
              <w:rPr>
                <w:rFonts w:ascii="Arial" w:eastAsia="Times New Roman" w:hAnsi="Arial" w:cs="Arial"/>
                <w:color w:val="000000"/>
                <w:sz w:val="20"/>
                <w:szCs w:val="20"/>
                <w:lang w:eastAsia="pt-BR"/>
              </w:rPr>
            </w:pPr>
            <w:r w:rsidRPr="00AB46F9">
              <w:rPr>
                <w:rFonts w:ascii="Arial" w:eastAsia="Times New Roman" w:hAnsi="Arial" w:cs="Arial"/>
                <w:color w:val="000000"/>
                <w:sz w:val="20"/>
                <w:szCs w:val="20"/>
                <w:lang w:eastAsia="pt-BR"/>
              </w:rPr>
              <w:t>Prova de vida </w:t>
            </w:r>
          </w:p>
        </w:tc>
        <w:tc>
          <w:tcPr>
            <w:tcW w:w="1222" w:type="dxa"/>
            <w:tcBorders>
              <w:top w:val="nil"/>
              <w:left w:val="nil"/>
              <w:bottom w:val="single" w:sz="4" w:space="0" w:color="auto"/>
              <w:right w:val="single" w:sz="4" w:space="0" w:color="auto"/>
            </w:tcBorders>
            <w:shd w:val="clear" w:color="auto" w:fill="auto"/>
            <w:noWrap/>
            <w:vAlign w:val="center"/>
            <w:hideMark/>
          </w:tcPr>
          <w:p w14:paraId="397C54AA" w14:textId="77777777" w:rsidR="00BB5697" w:rsidRPr="00AB46F9" w:rsidRDefault="00BB5697" w:rsidP="00BF7C4A">
            <w:pPr>
              <w:spacing w:after="0" w:line="240" w:lineRule="auto"/>
              <w:jc w:val="both"/>
              <w:rPr>
                <w:rFonts w:ascii="Arial" w:eastAsia="Times New Roman" w:hAnsi="Arial" w:cs="Arial"/>
                <w:color w:val="000000"/>
                <w:sz w:val="20"/>
                <w:szCs w:val="20"/>
                <w:lang w:eastAsia="pt-BR"/>
              </w:rPr>
            </w:pPr>
            <w:r w:rsidRPr="00AB46F9">
              <w:rPr>
                <w:rFonts w:ascii="Arial" w:eastAsia="Times New Roman" w:hAnsi="Arial" w:cs="Arial"/>
                <w:color w:val="000000"/>
                <w:sz w:val="20"/>
                <w:szCs w:val="20"/>
                <w:lang w:eastAsia="pt-BR"/>
              </w:rPr>
              <w:t> </w:t>
            </w:r>
          </w:p>
        </w:tc>
        <w:tc>
          <w:tcPr>
            <w:tcW w:w="1389" w:type="dxa"/>
            <w:tcBorders>
              <w:top w:val="nil"/>
              <w:left w:val="nil"/>
              <w:bottom w:val="single" w:sz="4" w:space="0" w:color="auto"/>
              <w:right w:val="single" w:sz="4" w:space="0" w:color="auto"/>
            </w:tcBorders>
            <w:shd w:val="clear" w:color="auto" w:fill="auto"/>
            <w:noWrap/>
            <w:vAlign w:val="center"/>
            <w:hideMark/>
          </w:tcPr>
          <w:p w14:paraId="71C8CAEE" w14:textId="77777777" w:rsidR="00BB5697" w:rsidRPr="00AB46F9" w:rsidRDefault="00BB5697" w:rsidP="00BF7C4A">
            <w:pPr>
              <w:spacing w:after="0" w:line="240" w:lineRule="auto"/>
              <w:jc w:val="both"/>
              <w:rPr>
                <w:rFonts w:ascii="Arial" w:eastAsia="Times New Roman" w:hAnsi="Arial" w:cs="Arial"/>
                <w:color w:val="000000"/>
                <w:sz w:val="20"/>
                <w:szCs w:val="20"/>
                <w:lang w:eastAsia="pt-BR"/>
              </w:rPr>
            </w:pPr>
            <w:r w:rsidRPr="00AB46F9">
              <w:rPr>
                <w:rFonts w:ascii="Arial" w:eastAsia="Times New Roman" w:hAnsi="Arial" w:cs="Arial"/>
                <w:color w:val="000000"/>
                <w:sz w:val="20"/>
                <w:szCs w:val="20"/>
                <w:lang w:eastAsia="pt-BR"/>
              </w:rPr>
              <w:t> </w:t>
            </w:r>
          </w:p>
        </w:tc>
        <w:tc>
          <w:tcPr>
            <w:tcW w:w="1549" w:type="dxa"/>
            <w:tcBorders>
              <w:top w:val="nil"/>
              <w:left w:val="nil"/>
              <w:bottom w:val="single" w:sz="4" w:space="0" w:color="auto"/>
              <w:right w:val="single" w:sz="4" w:space="0" w:color="auto"/>
            </w:tcBorders>
            <w:shd w:val="clear" w:color="auto" w:fill="auto"/>
            <w:noWrap/>
            <w:vAlign w:val="center"/>
            <w:hideMark/>
          </w:tcPr>
          <w:p w14:paraId="3F1E101C" w14:textId="77777777" w:rsidR="00BB5697" w:rsidRPr="00AB46F9" w:rsidRDefault="00BB5697" w:rsidP="00BF7C4A">
            <w:pPr>
              <w:spacing w:after="0" w:line="240" w:lineRule="auto"/>
              <w:jc w:val="both"/>
              <w:rPr>
                <w:rFonts w:ascii="Arial" w:eastAsia="Times New Roman" w:hAnsi="Arial" w:cs="Arial"/>
                <w:color w:val="000000"/>
                <w:sz w:val="20"/>
                <w:szCs w:val="20"/>
                <w:lang w:eastAsia="pt-BR"/>
              </w:rPr>
            </w:pPr>
            <w:r w:rsidRPr="00AB46F9">
              <w:rPr>
                <w:rFonts w:ascii="Arial" w:eastAsia="Times New Roman" w:hAnsi="Arial" w:cs="Arial"/>
                <w:color w:val="000000"/>
                <w:sz w:val="20"/>
                <w:szCs w:val="20"/>
                <w:lang w:eastAsia="pt-BR"/>
              </w:rPr>
              <w:t> </w:t>
            </w:r>
          </w:p>
        </w:tc>
        <w:tc>
          <w:tcPr>
            <w:tcW w:w="1389" w:type="dxa"/>
            <w:tcBorders>
              <w:top w:val="nil"/>
              <w:left w:val="nil"/>
              <w:bottom w:val="single" w:sz="4" w:space="0" w:color="auto"/>
              <w:right w:val="single" w:sz="4" w:space="0" w:color="auto"/>
            </w:tcBorders>
            <w:shd w:val="clear" w:color="auto" w:fill="auto"/>
            <w:noWrap/>
            <w:vAlign w:val="center"/>
            <w:hideMark/>
          </w:tcPr>
          <w:p w14:paraId="7F5CE18D" w14:textId="77777777" w:rsidR="00BB5697" w:rsidRPr="00AB46F9" w:rsidRDefault="00BB5697" w:rsidP="00BF7C4A">
            <w:pPr>
              <w:spacing w:after="0" w:line="240" w:lineRule="auto"/>
              <w:jc w:val="both"/>
              <w:rPr>
                <w:rFonts w:ascii="Arial" w:eastAsia="Times New Roman" w:hAnsi="Arial" w:cs="Arial"/>
                <w:color w:val="000000"/>
                <w:sz w:val="20"/>
                <w:szCs w:val="20"/>
                <w:lang w:eastAsia="pt-BR"/>
              </w:rPr>
            </w:pPr>
            <w:r w:rsidRPr="00AB46F9">
              <w:rPr>
                <w:rFonts w:ascii="Arial" w:eastAsia="Times New Roman" w:hAnsi="Arial" w:cs="Arial"/>
                <w:color w:val="000000"/>
                <w:sz w:val="20"/>
                <w:szCs w:val="20"/>
                <w:lang w:eastAsia="pt-BR"/>
              </w:rPr>
              <w:t> </w:t>
            </w:r>
          </w:p>
        </w:tc>
        <w:tc>
          <w:tcPr>
            <w:tcW w:w="1841" w:type="dxa"/>
            <w:tcBorders>
              <w:top w:val="nil"/>
              <w:left w:val="nil"/>
              <w:bottom w:val="single" w:sz="4" w:space="0" w:color="auto"/>
              <w:right w:val="single" w:sz="4" w:space="0" w:color="auto"/>
            </w:tcBorders>
            <w:shd w:val="clear" w:color="auto" w:fill="auto"/>
            <w:noWrap/>
            <w:vAlign w:val="center"/>
            <w:hideMark/>
          </w:tcPr>
          <w:p w14:paraId="2945E731" w14:textId="77777777" w:rsidR="00BB5697" w:rsidRPr="00AB46F9" w:rsidRDefault="00BB5697" w:rsidP="00BF7C4A">
            <w:pPr>
              <w:spacing w:after="0" w:line="240" w:lineRule="auto"/>
              <w:jc w:val="both"/>
              <w:rPr>
                <w:rFonts w:ascii="Arial" w:eastAsia="Times New Roman" w:hAnsi="Arial" w:cs="Arial"/>
                <w:color w:val="000000"/>
                <w:sz w:val="20"/>
                <w:szCs w:val="20"/>
                <w:lang w:eastAsia="pt-BR"/>
              </w:rPr>
            </w:pPr>
            <w:r w:rsidRPr="00AB46F9">
              <w:rPr>
                <w:rFonts w:ascii="Arial" w:eastAsia="Times New Roman" w:hAnsi="Arial" w:cs="Arial"/>
                <w:color w:val="000000"/>
                <w:sz w:val="20"/>
                <w:szCs w:val="20"/>
                <w:lang w:eastAsia="pt-BR"/>
              </w:rPr>
              <w:t> </w:t>
            </w:r>
          </w:p>
        </w:tc>
      </w:tr>
    </w:tbl>
    <w:p w14:paraId="4D680EAA" w14:textId="77777777" w:rsidR="00BB5697" w:rsidRPr="00AB46F9" w:rsidRDefault="00BB5697" w:rsidP="00BB5697">
      <w:pPr>
        <w:jc w:val="both"/>
        <w:rPr>
          <w:rFonts w:ascii="Arial" w:hAnsi="Arial" w:cs="Arial"/>
          <w:sz w:val="20"/>
          <w:szCs w:val="20"/>
        </w:rPr>
      </w:pPr>
    </w:p>
    <w:p w14:paraId="2C07639B" w14:textId="77777777" w:rsidR="00BB5697" w:rsidRPr="00AB46F9" w:rsidRDefault="00BB5697" w:rsidP="00BB5697">
      <w:pPr>
        <w:jc w:val="both"/>
        <w:rPr>
          <w:rFonts w:ascii="Arial" w:hAnsi="Arial" w:cs="Arial"/>
          <w:sz w:val="20"/>
          <w:szCs w:val="20"/>
        </w:rPr>
      </w:pPr>
      <w:r w:rsidRPr="00AB46F9">
        <w:rPr>
          <w:rFonts w:ascii="Arial" w:hAnsi="Arial" w:cs="Arial"/>
          <w:sz w:val="20"/>
          <w:szCs w:val="20"/>
        </w:rPr>
        <w:t>¹ Recadastramento, recenseamento ou prova de vida.</w:t>
      </w:r>
    </w:p>
    <w:p w14:paraId="3284EE9A" w14:textId="77777777" w:rsidR="00BB5697" w:rsidRPr="00AB46F9" w:rsidRDefault="00BB5697" w:rsidP="00BB5697">
      <w:pPr>
        <w:jc w:val="both"/>
        <w:rPr>
          <w:rFonts w:ascii="Arial" w:hAnsi="Arial" w:cs="Arial"/>
          <w:sz w:val="20"/>
          <w:szCs w:val="20"/>
        </w:rPr>
      </w:pPr>
      <w:r w:rsidRPr="00AB46F9">
        <w:rPr>
          <w:rFonts w:ascii="Arial" w:hAnsi="Arial" w:cs="Arial"/>
          <w:sz w:val="20"/>
          <w:szCs w:val="20"/>
        </w:rPr>
        <w:t>² Período de realização do procedimento.</w:t>
      </w:r>
    </w:p>
    <w:p w14:paraId="30C253C0" w14:textId="77777777" w:rsidR="00BB5697" w:rsidRPr="00AB46F9" w:rsidRDefault="00BB5697" w:rsidP="00BB5697">
      <w:pPr>
        <w:jc w:val="both"/>
        <w:rPr>
          <w:rFonts w:ascii="Arial" w:hAnsi="Arial" w:cs="Arial"/>
          <w:sz w:val="20"/>
          <w:szCs w:val="20"/>
        </w:rPr>
      </w:pPr>
      <w:r w:rsidRPr="00AB46F9">
        <w:rPr>
          <w:rFonts w:ascii="Arial" w:hAnsi="Arial" w:cs="Arial"/>
          <w:sz w:val="20"/>
          <w:szCs w:val="20"/>
        </w:rPr>
        <w:t>³ População abrangida pelo procedimento.</w:t>
      </w:r>
    </w:p>
    <w:p w14:paraId="2A13C35E" w14:textId="77777777" w:rsidR="00BB5697" w:rsidRPr="00AB46F9" w:rsidRDefault="00BB5697" w:rsidP="00BB5697">
      <w:pPr>
        <w:jc w:val="both"/>
        <w:rPr>
          <w:rFonts w:ascii="Arial" w:hAnsi="Arial" w:cs="Arial"/>
          <w:sz w:val="20"/>
          <w:szCs w:val="20"/>
        </w:rPr>
      </w:pPr>
      <w:r w:rsidRPr="00AB46F9">
        <w:rPr>
          <w:rFonts w:ascii="Cambria Math" w:hAnsi="Cambria Math" w:cs="Cambria Math"/>
          <w:sz w:val="20"/>
          <w:szCs w:val="20"/>
        </w:rPr>
        <w:t>⁴</w:t>
      </w:r>
      <w:r w:rsidRPr="00AB46F9">
        <w:rPr>
          <w:rFonts w:ascii="Arial" w:hAnsi="Arial" w:cs="Arial"/>
          <w:sz w:val="20"/>
          <w:szCs w:val="20"/>
        </w:rPr>
        <w:t xml:space="preserve"> Amplitude do procedimento em relação à população.</w:t>
      </w:r>
    </w:p>
    <w:p w14:paraId="533AC616" w14:textId="77777777" w:rsidR="00BB5697" w:rsidRPr="00AB46F9" w:rsidRDefault="00BB5697" w:rsidP="00BB5697">
      <w:pPr>
        <w:jc w:val="both"/>
        <w:rPr>
          <w:rFonts w:ascii="Arial" w:hAnsi="Arial" w:cs="Arial"/>
          <w:sz w:val="20"/>
          <w:szCs w:val="20"/>
        </w:rPr>
      </w:pPr>
      <w:r w:rsidRPr="00AB46F9">
        <w:rPr>
          <w:rFonts w:ascii="Cambria Math" w:hAnsi="Cambria Math" w:cs="Cambria Math"/>
          <w:sz w:val="20"/>
          <w:szCs w:val="20"/>
        </w:rPr>
        <w:t>⁵</w:t>
      </w:r>
      <w:r w:rsidRPr="00AB46F9">
        <w:rPr>
          <w:rFonts w:ascii="Arial" w:hAnsi="Arial" w:cs="Arial"/>
          <w:sz w:val="20"/>
          <w:szCs w:val="20"/>
        </w:rPr>
        <w:t xml:space="preserve"> Anexar a base normativa que fundamenta o procedimento.</w:t>
      </w:r>
    </w:p>
    <w:p w14:paraId="10CE2B23" w14:textId="77777777" w:rsidR="00BB5697" w:rsidRPr="00AB46F9" w:rsidRDefault="00BB5697" w:rsidP="00BB5697">
      <w:pPr>
        <w:jc w:val="both"/>
        <w:rPr>
          <w:rFonts w:ascii="Arial" w:hAnsi="Arial" w:cs="Arial"/>
          <w:sz w:val="20"/>
          <w:szCs w:val="20"/>
        </w:rPr>
      </w:pPr>
      <w:r w:rsidRPr="00AB46F9">
        <w:rPr>
          <w:rFonts w:ascii="Cambria Math" w:hAnsi="Cambria Math" w:cs="Cambria Math"/>
          <w:sz w:val="20"/>
          <w:szCs w:val="20"/>
        </w:rPr>
        <w:t>⁶</w:t>
      </w:r>
      <w:r w:rsidRPr="00AB46F9">
        <w:rPr>
          <w:rFonts w:ascii="Arial" w:hAnsi="Arial" w:cs="Arial"/>
          <w:sz w:val="20"/>
          <w:szCs w:val="20"/>
        </w:rPr>
        <w:t xml:space="preserve"> Objeto do procedimento.</w:t>
      </w:r>
    </w:p>
    <w:p w14:paraId="50599BD4" w14:textId="77777777" w:rsidR="00BB5697" w:rsidRDefault="00BB5697" w:rsidP="00BB5697">
      <w:pPr>
        <w:tabs>
          <w:tab w:val="left" w:pos="8248"/>
        </w:tabs>
        <w:rPr>
          <w:rFonts w:ascii="Arial" w:hAnsi="Arial" w:cs="Arial"/>
          <w:b/>
          <w:sz w:val="24"/>
          <w:szCs w:val="24"/>
        </w:rPr>
      </w:pPr>
    </w:p>
    <w:p w14:paraId="18BC041C" w14:textId="77777777" w:rsidR="00BB5697" w:rsidRPr="00834DAB" w:rsidRDefault="00BB5697" w:rsidP="00BB5697">
      <w:pPr>
        <w:tabs>
          <w:tab w:val="left" w:pos="8248"/>
        </w:tabs>
        <w:rPr>
          <w:rFonts w:ascii="Arial" w:hAnsi="Arial" w:cs="Arial"/>
          <w:b/>
          <w:sz w:val="24"/>
          <w:szCs w:val="24"/>
        </w:rPr>
      </w:pPr>
    </w:p>
    <w:p w14:paraId="7FF675D1" w14:textId="47B23374" w:rsidR="00BB5697" w:rsidRDefault="00BB5697" w:rsidP="00BB5697">
      <w:pPr>
        <w:rPr>
          <w:rFonts w:ascii="Arial" w:hAnsi="Arial" w:cs="Arial"/>
          <w:b/>
          <w:sz w:val="24"/>
          <w:szCs w:val="24"/>
        </w:rPr>
      </w:pPr>
      <w:r>
        <w:rPr>
          <w:rFonts w:ascii="Arial" w:hAnsi="Arial" w:cs="Arial"/>
          <w:b/>
          <w:sz w:val="24"/>
          <w:szCs w:val="24"/>
        </w:rPr>
        <w:br w:type="page"/>
      </w:r>
    </w:p>
    <w:p w14:paraId="1A6CB38C" w14:textId="0814FC78" w:rsidR="007B6306" w:rsidRDefault="007B6306" w:rsidP="007B6306">
      <w:pPr>
        <w:pStyle w:val="Ttulo3"/>
      </w:pPr>
      <w:bookmarkStart w:id="78" w:name="_Toc94806350"/>
      <w:r>
        <w:rPr>
          <w:lang w:val="pt-BR"/>
        </w:rPr>
        <w:lastRenderedPageBreak/>
        <w:t>TVDISPN</w:t>
      </w:r>
      <w:bookmarkEnd w:id="78"/>
    </w:p>
    <w:p w14:paraId="46B60540" w14:textId="77777777" w:rsidR="00BB5697" w:rsidRPr="00FD1551" w:rsidRDefault="00BB5697" w:rsidP="00BB5697">
      <w:pPr>
        <w:spacing w:after="0" w:line="360" w:lineRule="auto"/>
        <w:jc w:val="center"/>
        <w:rPr>
          <w:rFonts w:ascii="Arial" w:hAnsi="Arial" w:cs="Arial"/>
          <w:b/>
        </w:rPr>
      </w:pPr>
      <w:r w:rsidRPr="00FD1551">
        <w:rPr>
          <w:rFonts w:ascii="Arial" w:hAnsi="Arial" w:cs="Arial"/>
          <w:b/>
        </w:rPr>
        <w:t>TERMO DE VERIFICAÇÃO DE DISPONIBILIDADES</w:t>
      </w:r>
    </w:p>
    <w:p w14:paraId="4FF437D3" w14:textId="77777777" w:rsidR="00BB5697" w:rsidRPr="00FD1551" w:rsidRDefault="00BB5697" w:rsidP="00BB5697">
      <w:pPr>
        <w:spacing w:after="0" w:line="360" w:lineRule="auto"/>
        <w:jc w:val="center"/>
        <w:rPr>
          <w:rFonts w:ascii="Arial" w:hAnsi="Arial" w:cs="Arial"/>
          <w:b/>
        </w:rPr>
      </w:pPr>
      <w:r w:rsidRPr="00FD1551">
        <w:rPr>
          <w:rFonts w:ascii="Arial" w:hAnsi="Arial"/>
          <w:noProof/>
          <w:lang w:eastAsia="pt-BR"/>
        </w:rPr>
        <w:drawing>
          <wp:inline distT="0" distB="0" distL="0" distR="0" wp14:anchorId="503BFA60" wp14:editId="2801128A">
            <wp:extent cx="4723236" cy="6851650"/>
            <wp:effectExtent l="0" t="0" r="1270" b="6350"/>
            <wp:docPr id="933" name="Imagem 9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28775" cy="6859685"/>
                    </a:xfrm>
                    <a:prstGeom prst="rect">
                      <a:avLst/>
                    </a:prstGeom>
                    <a:noFill/>
                    <a:ln>
                      <a:noFill/>
                    </a:ln>
                  </pic:spPr>
                </pic:pic>
              </a:graphicData>
            </a:graphic>
          </wp:inline>
        </w:drawing>
      </w:r>
    </w:p>
    <w:p w14:paraId="670E6FBE" w14:textId="77777777" w:rsidR="00BB5697" w:rsidRPr="00FD1551" w:rsidRDefault="00BB5697" w:rsidP="00BB5697">
      <w:pPr>
        <w:spacing w:after="0" w:line="360" w:lineRule="auto"/>
        <w:ind w:left="-143" w:firstLine="143"/>
        <w:rPr>
          <w:rFonts w:ascii="Arial" w:hAnsi="Arial" w:cs="Arial"/>
          <w:sz w:val="14"/>
        </w:rPr>
      </w:pPr>
      <w:r w:rsidRPr="00FD1551">
        <w:rPr>
          <w:rFonts w:ascii="Arial" w:hAnsi="Arial" w:cs="Arial"/>
          <w:sz w:val="12"/>
        </w:rPr>
        <w:t xml:space="preserve">                </w:t>
      </w:r>
      <w:r w:rsidRPr="00FD1551">
        <w:rPr>
          <w:rFonts w:ascii="Arial" w:hAnsi="Arial" w:cs="Arial"/>
          <w:sz w:val="14"/>
        </w:rPr>
        <w:t>___________________________________</w:t>
      </w:r>
    </w:p>
    <w:p w14:paraId="2FE1C0EA" w14:textId="77777777" w:rsidR="00BB5697" w:rsidRPr="00FD1551" w:rsidRDefault="00BB5697" w:rsidP="00BB5697">
      <w:pPr>
        <w:spacing w:after="0" w:line="360" w:lineRule="auto"/>
        <w:ind w:left="-143" w:firstLine="143"/>
        <w:rPr>
          <w:rFonts w:ascii="Arial" w:hAnsi="Arial" w:cs="Arial"/>
          <w:b/>
          <w:sz w:val="28"/>
          <w:szCs w:val="28"/>
        </w:rPr>
      </w:pPr>
      <w:r w:rsidRPr="00FD1551">
        <w:rPr>
          <w:rFonts w:ascii="Arial" w:hAnsi="Arial" w:cs="Arial"/>
          <w:sz w:val="14"/>
        </w:rPr>
        <w:t xml:space="preserve">              Assinatura do Responsável pela Tesouraria</w:t>
      </w:r>
    </w:p>
    <w:p w14:paraId="02B29246" w14:textId="77777777" w:rsidR="00BB5697" w:rsidRDefault="00BB5697" w:rsidP="00BB5697">
      <w:pPr>
        <w:rPr>
          <w:rFonts w:ascii="Arial" w:hAnsi="Arial" w:cs="Arial"/>
          <w:b/>
          <w:sz w:val="24"/>
          <w:szCs w:val="24"/>
        </w:rPr>
      </w:pPr>
      <w:r>
        <w:rPr>
          <w:rFonts w:ascii="Arial" w:hAnsi="Arial" w:cs="Arial"/>
          <w:b/>
          <w:sz w:val="24"/>
          <w:szCs w:val="24"/>
        </w:rPr>
        <w:br w:type="page"/>
      </w:r>
    </w:p>
    <w:p w14:paraId="109020A0" w14:textId="1932EEAD" w:rsidR="007B6306" w:rsidRDefault="003A623E" w:rsidP="007B6306">
      <w:pPr>
        <w:pStyle w:val="Ttulo3"/>
      </w:pPr>
      <w:bookmarkStart w:id="79" w:name="_Toc94806351"/>
      <w:r>
        <w:rPr>
          <w:lang w:val="pt-BR"/>
        </w:rPr>
        <w:lastRenderedPageBreak/>
        <w:t>FOLRGPS</w:t>
      </w:r>
      <w:bookmarkEnd w:id="79"/>
    </w:p>
    <w:p w14:paraId="46EE3A1E" w14:textId="77777777" w:rsidR="00BB5697" w:rsidRPr="00FD1551" w:rsidRDefault="00BB5697" w:rsidP="00BB5697">
      <w:pPr>
        <w:spacing w:after="0" w:line="360" w:lineRule="auto"/>
        <w:jc w:val="center"/>
        <w:rPr>
          <w:rFonts w:ascii="Arial" w:hAnsi="Arial" w:cs="Arial"/>
          <w:b/>
        </w:rPr>
      </w:pPr>
      <w:r w:rsidRPr="00FD1551">
        <w:rPr>
          <w:rFonts w:ascii="Arial" w:hAnsi="Arial" w:cs="Arial"/>
          <w:b/>
        </w:rPr>
        <w:t>RESUMO ANUAL DA FOLHA DE PAGAMENTO DOS SERVIDORES VINCULADOS AO REGIME GERAL DE PREVIDÊNCIA SOCIAL (RGPS)</w:t>
      </w:r>
    </w:p>
    <w:tbl>
      <w:tblPr>
        <w:tblpPr w:leftFromText="141" w:rightFromText="141" w:vertAnchor="text" w:horzAnchor="margin" w:tblpXSpec="center" w:tblpY="300"/>
        <w:tblW w:w="9653" w:type="dxa"/>
        <w:tblCellMar>
          <w:left w:w="70" w:type="dxa"/>
          <w:right w:w="70" w:type="dxa"/>
        </w:tblCellMar>
        <w:tblLook w:val="04A0" w:firstRow="1" w:lastRow="0" w:firstColumn="1" w:lastColumn="0" w:noHBand="0" w:noVBand="1"/>
      </w:tblPr>
      <w:tblGrid>
        <w:gridCol w:w="5951"/>
        <w:gridCol w:w="2074"/>
        <w:gridCol w:w="1628"/>
      </w:tblGrid>
      <w:tr w:rsidR="00BB5697" w:rsidRPr="00FD1551" w14:paraId="5BEDA01F" w14:textId="77777777" w:rsidTr="00BF7C4A">
        <w:trPr>
          <w:trHeight w:val="266"/>
        </w:trPr>
        <w:tc>
          <w:tcPr>
            <w:tcW w:w="9653" w:type="dxa"/>
            <w:gridSpan w:val="3"/>
            <w:tcBorders>
              <w:top w:val="single" w:sz="8" w:space="0" w:color="auto"/>
              <w:left w:val="single" w:sz="8" w:space="0" w:color="auto"/>
              <w:bottom w:val="nil"/>
              <w:right w:val="single" w:sz="8" w:space="0" w:color="auto"/>
            </w:tcBorders>
            <w:shd w:val="clear" w:color="auto" w:fill="auto"/>
            <w:noWrap/>
            <w:vAlign w:val="bottom"/>
            <w:hideMark/>
          </w:tcPr>
          <w:p w14:paraId="3C386E56"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IDENTIFICAÇÃO:</w:t>
            </w:r>
          </w:p>
        </w:tc>
      </w:tr>
      <w:tr w:rsidR="00BB5697" w:rsidRPr="00FD1551" w14:paraId="0AC10307" w14:textId="77777777" w:rsidTr="00BF7C4A">
        <w:trPr>
          <w:trHeight w:val="266"/>
        </w:trPr>
        <w:tc>
          <w:tcPr>
            <w:tcW w:w="9653" w:type="dxa"/>
            <w:gridSpan w:val="3"/>
            <w:tcBorders>
              <w:top w:val="nil"/>
              <w:left w:val="single" w:sz="8" w:space="0" w:color="auto"/>
              <w:bottom w:val="nil"/>
              <w:right w:val="single" w:sz="8" w:space="0" w:color="auto"/>
            </w:tcBorders>
            <w:shd w:val="clear" w:color="auto" w:fill="auto"/>
            <w:noWrap/>
            <w:vAlign w:val="bottom"/>
            <w:hideMark/>
          </w:tcPr>
          <w:p w14:paraId="4624BF05"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EXERCÍCIO:</w:t>
            </w:r>
          </w:p>
        </w:tc>
      </w:tr>
      <w:tr w:rsidR="00BB5697" w:rsidRPr="00FD1551" w14:paraId="289C1D7D" w14:textId="77777777" w:rsidTr="00BF7C4A">
        <w:trPr>
          <w:trHeight w:val="345"/>
        </w:trPr>
        <w:tc>
          <w:tcPr>
            <w:tcW w:w="9653" w:type="dxa"/>
            <w:gridSpan w:val="3"/>
            <w:tcBorders>
              <w:top w:val="nil"/>
              <w:left w:val="single" w:sz="8" w:space="0" w:color="auto"/>
              <w:bottom w:val="single" w:sz="8" w:space="0" w:color="auto"/>
              <w:right w:val="single" w:sz="8" w:space="0" w:color="000000"/>
            </w:tcBorders>
            <w:shd w:val="clear" w:color="auto" w:fill="auto"/>
            <w:noWrap/>
            <w:vAlign w:val="bottom"/>
            <w:hideMark/>
          </w:tcPr>
          <w:p w14:paraId="299DDFB6" w14:textId="77777777" w:rsidR="00BB5697" w:rsidRPr="00FD1551" w:rsidRDefault="00BB5697" w:rsidP="00BF7C4A">
            <w:pPr>
              <w:spacing w:after="0" w:line="360" w:lineRule="auto"/>
              <w:jc w:val="center"/>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RESUMO ANUAL DA FOLHA DE PAGAMENTO PARA O REGIME GERAL DE PREVIDÊNCIA SOCIAL (RGPS)</w:t>
            </w:r>
          </w:p>
        </w:tc>
      </w:tr>
      <w:tr w:rsidR="00BB5697" w:rsidRPr="00FD1551" w14:paraId="69F1AE37" w14:textId="77777777" w:rsidTr="00BF7C4A">
        <w:trPr>
          <w:trHeight w:val="66"/>
        </w:trPr>
        <w:tc>
          <w:tcPr>
            <w:tcW w:w="9653" w:type="dxa"/>
            <w:gridSpan w:val="3"/>
            <w:tcBorders>
              <w:top w:val="nil"/>
              <w:left w:val="nil"/>
              <w:bottom w:val="nil"/>
              <w:right w:val="nil"/>
            </w:tcBorders>
            <w:shd w:val="clear" w:color="auto" w:fill="auto"/>
            <w:noWrap/>
            <w:vAlign w:val="bottom"/>
            <w:hideMark/>
          </w:tcPr>
          <w:p w14:paraId="08240C1F"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p>
        </w:tc>
      </w:tr>
      <w:tr w:rsidR="00BB5697" w:rsidRPr="00FD1551" w14:paraId="4BDD76A3" w14:textId="77777777" w:rsidTr="00BF7C4A">
        <w:trPr>
          <w:trHeight w:val="266"/>
        </w:trPr>
        <w:tc>
          <w:tcPr>
            <w:tcW w:w="5951"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77B57395" w14:textId="77777777" w:rsidR="00BB5697" w:rsidRPr="00FD1551" w:rsidRDefault="00BB5697" w:rsidP="00BF7C4A">
            <w:pPr>
              <w:spacing w:after="0" w:line="360" w:lineRule="auto"/>
              <w:jc w:val="center"/>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PROVENTOS</w:t>
            </w:r>
          </w:p>
        </w:tc>
        <w:tc>
          <w:tcPr>
            <w:tcW w:w="2074" w:type="dxa"/>
            <w:tcBorders>
              <w:top w:val="single" w:sz="8" w:space="0" w:color="auto"/>
              <w:left w:val="nil"/>
              <w:bottom w:val="single" w:sz="4" w:space="0" w:color="auto"/>
              <w:right w:val="single" w:sz="8" w:space="0" w:color="auto"/>
            </w:tcBorders>
            <w:shd w:val="clear" w:color="auto" w:fill="auto"/>
            <w:noWrap/>
            <w:vAlign w:val="center"/>
            <w:hideMark/>
          </w:tcPr>
          <w:p w14:paraId="072001C9" w14:textId="77777777" w:rsidR="00BB5697" w:rsidRPr="00FD1551" w:rsidRDefault="00BB5697" w:rsidP="00BF7C4A">
            <w:pPr>
              <w:spacing w:after="0" w:line="360" w:lineRule="auto"/>
              <w:jc w:val="center"/>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Valor Base de incidência da Contribuição ao RGPS</w:t>
            </w:r>
          </w:p>
        </w:tc>
        <w:tc>
          <w:tcPr>
            <w:tcW w:w="1628" w:type="dxa"/>
            <w:tcBorders>
              <w:top w:val="single" w:sz="8" w:space="0" w:color="auto"/>
              <w:left w:val="nil"/>
              <w:bottom w:val="single" w:sz="4" w:space="0" w:color="auto"/>
              <w:right w:val="single" w:sz="8" w:space="0" w:color="auto"/>
            </w:tcBorders>
            <w:shd w:val="clear" w:color="auto" w:fill="auto"/>
            <w:noWrap/>
            <w:vAlign w:val="center"/>
            <w:hideMark/>
          </w:tcPr>
          <w:p w14:paraId="71F129CC" w14:textId="77777777" w:rsidR="00BB5697" w:rsidRPr="00FD1551" w:rsidRDefault="00BB5697" w:rsidP="00BF7C4A">
            <w:pPr>
              <w:spacing w:after="0" w:line="360" w:lineRule="auto"/>
              <w:jc w:val="center"/>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Valor Total Devido no exercício</w:t>
            </w:r>
          </w:p>
        </w:tc>
      </w:tr>
      <w:tr w:rsidR="00BB5697" w:rsidRPr="00FD1551" w14:paraId="0814F519" w14:textId="77777777" w:rsidTr="00BF7C4A">
        <w:trPr>
          <w:trHeight w:val="266"/>
        </w:trPr>
        <w:tc>
          <w:tcPr>
            <w:tcW w:w="5951" w:type="dxa"/>
            <w:tcBorders>
              <w:top w:val="single" w:sz="4" w:space="0" w:color="auto"/>
              <w:left w:val="single" w:sz="8" w:space="0" w:color="auto"/>
              <w:bottom w:val="nil"/>
              <w:right w:val="single" w:sz="8" w:space="0" w:color="auto"/>
            </w:tcBorders>
            <w:shd w:val="clear" w:color="auto" w:fill="auto"/>
            <w:noWrap/>
            <w:vAlign w:val="bottom"/>
            <w:hideMark/>
          </w:tcPr>
          <w:p w14:paraId="0A1D2B0D"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Salário/Remuneração</w:t>
            </w:r>
          </w:p>
        </w:tc>
        <w:tc>
          <w:tcPr>
            <w:tcW w:w="2074" w:type="dxa"/>
            <w:tcBorders>
              <w:top w:val="single" w:sz="4" w:space="0" w:color="auto"/>
              <w:left w:val="nil"/>
              <w:bottom w:val="nil"/>
              <w:right w:val="nil"/>
            </w:tcBorders>
            <w:shd w:val="clear" w:color="auto" w:fill="auto"/>
            <w:noWrap/>
            <w:vAlign w:val="bottom"/>
            <w:hideMark/>
          </w:tcPr>
          <w:p w14:paraId="1C09516A"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1628" w:type="dxa"/>
            <w:tcBorders>
              <w:top w:val="single" w:sz="4" w:space="0" w:color="auto"/>
              <w:left w:val="single" w:sz="8" w:space="0" w:color="auto"/>
              <w:bottom w:val="nil"/>
              <w:right w:val="single" w:sz="8" w:space="0" w:color="auto"/>
            </w:tcBorders>
            <w:shd w:val="clear" w:color="auto" w:fill="auto"/>
            <w:noWrap/>
            <w:vAlign w:val="bottom"/>
            <w:hideMark/>
          </w:tcPr>
          <w:p w14:paraId="2C85121F"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r>
      <w:tr w:rsidR="00BB5697" w:rsidRPr="00FD1551" w14:paraId="66A9937A" w14:textId="77777777" w:rsidTr="00BF7C4A">
        <w:trPr>
          <w:trHeight w:val="266"/>
        </w:trPr>
        <w:tc>
          <w:tcPr>
            <w:tcW w:w="5951" w:type="dxa"/>
            <w:tcBorders>
              <w:top w:val="nil"/>
              <w:left w:val="single" w:sz="8" w:space="0" w:color="auto"/>
              <w:bottom w:val="nil"/>
              <w:right w:val="single" w:sz="8" w:space="0" w:color="auto"/>
            </w:tcBorders>
            <w:shd w:val="clear" w:color="auto" w:fill="auto"/>
            <w:noWrap/>
            <w:vAlign w:val="bottom"/>
            <w:hideMark/>
          </w:tcPr>
          <w:p w14:paraId="270B7EA6"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Férias</w:t>
            </w:r>
          </w:p>
        </w:tc>
        <w:tc>
          <w:tcPr>
            <w:tcW w:w="2074" w:type="dxa"/>
            <w:tcBorders>
              <w:top w:val="nil"/>
              <w:left w:val="nil"/>
              <w:bottom w:val="nil"/>
              <w:right w:val="nil"/>
            </w:tcBorders>
            <w:shd w:val="clear" w:color="auto" w:fill="auto"/>
            <w:noWrap/>
            <w:vAlign w:val="bottom"/>
            <w:hideMark/>
          </w:tcPr>
          <w:p w14:paraId="7F06737A"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1628" w:type="dxa"/>
            <w:tcBorders>
              <w:top w:val="nil"/>
              <w:left w:val="single" w:sz="8" w:space="0" w:color="auto"/>
              <w:bottom w:val="nil"/>
              <w:right w:val="single" w:sz="8" w:space="0" w:color="auto"/>
            </w:tcBorders>
            <w:shd w:val="clear" w:color="auto" w:fill="auto"/>
            <w:noWrap/>
            <w:vAlign w:val="bottom"/>
            <w:hideMark/>
          </w:tcPr>
          <w:p w14:paraId="358912F8"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r>
      <w:tr w:rsidR="00BB5697" w:rsidRPr="00FD1551" w14:paraId="30BA9920" w14:textId="77777777" w:rsidTr="00BF7C4A">
        <w:trPr>
          <w:trHeight w:val="266"/>
        </w:trPr>
        <w:tc>
          <w:tcPr>
            <w:tcW w:w="5951" w:type="dxa"/>
            <w:tcBorders>
              <w:top w:val="nil"/>
              <w:left w:val="single" w:sz="8" w:space="0" w:color="auto"/>
              <w:bottom w:val="nil"/>
              <w:right w:val="single" w:sz="8" w:space="0" w:color="auto"/>
            </w:tcBorders>
            <w:shd w:val="clear" w:color="auto" w:fill="auto"/>
            <w:noWrap/>
            <w:vAlign w:val="bottom"/>
            <w:hideMark/>
          </w:tcPr>
          <w:p w14:paraId="128B91EE"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13º Salário</w:t>
            </w:r>
          </w:p>
        </w:tc>
        <w:tc>
          <w:tcPr>
            <w:tcW w:w="2074" w:type="dxa"/>
            <w:tcBorders>
              <w:top w:val="nil"/>
              <w:left w:val="nil"/>
              <w:bottom w:val="nil"/>
              <w:right w:val="nil"/>
            </w:tcBorders>
            <w:shd w:val="clear" w:color="auto" w:fill="auto"/>
            <w:noWrap/>
            <w:vAlign w:val="bottom"/>
            <w:hideMark/>
          </w:tcPr>
          <w:p w14:paraId="0F6A0C70"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1628" w:type="dxa"/>
            <w:tcBorders>
              <w:top w:val="nil"/>
              <w:left w:val="single" w:sz="8" w:space="0" w:color="auto"/>
              <w:bottom w:val="nil"/>
              <w:right w:val="single" w:sz="8" w:space="0" w:color="auto"/>
            </w:tcBorders>
            <w:shd w:val="clear" w:color="auto" w:fill="auto"/>
            <w:noWrap/>
            <w:vAlign w:val="bottom"/>
            <w:hideMark/>
          </w:tcPr>
          <w:p w14:paraId="726BE845"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r>
      <w:tr w:rsidR="00BB5697" w:rsidRPr="00FD1551" w14:paraId="65AC7870" w14:textId="77777777" w:rsidTr="00BF7C4A">
        <w:trPr>
          <w:trHeight w:val="266"/>
        </w:trPr>
        <w:tc>
          <w:tcPr>
            <w:tcW w:w="5951" w:type="dxa"/>
            <w:tcBorders>
              <w:top w:val="nil"/>
              <w:left w:val="single" w:sz="8" w:space="0" w:color="auto"/>
              <w:bottom w:val="single" w:sz="4" w:space="0" w:color="auto"/>
              <w:right w:val="single" w:sz="8" w:space="0" w:color="auto"/>
            </w:tcBorders>
            <w:shd w:val="clear" w:color="auto" w:fill="auto"/>
            <w:noWrap/>
            <w:vAlign w:val="bottom"/>
            <w:hideMark/>
          </w:tcPr>
          <w:p w14:paraId="0191366C"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Outras Vantagens: (Especificar)</w:t>
            </w:r>
          </w:p>
        </w:tc>
        <w:tc>
          <w:tcPr>
            <w:tcW w:w="2074" w:type="dxa"/>
            <w:tcBorders>
              <w:top w:val="nil"/>
              <w:left w:val="nil"/>
              <w:bottom w:val="single" w:sz="4" w:space="0" w:color="auto"/>
              <w:right w:val="nil"/>
            </w:tcBorders>
            <w:shd w:val="clear" w:color="auto" w:fill="auto"/>
            <w:noWrap/>
            <w:vAlign w:val="bottom"/>
            <w:hideMark/>
          </w:tcPr>
          <w:p w14:paraId="3AE17FE3"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1628" w:type="dxa"/>
            <w:tcBorders>
              <w:top w:val="nil"/>
              <w:left w:val="single" w:sz="8" w:space="0" w:color="auto"/>
              <w:bottom w:val="single" w:sz="4" w:space="0" w:color="auto"/>
              <w:right w:val="single" w:sz="8" w:space="0" w:color="auto"/>
            </w:tcBorders>
            <w:shd w:val="clear" w:color="auto" w:fill="auto"/>
            <w:noWrap/>
            <w:vAlign w:val="bottom"/>
            <w:hideMark/>
          </w:tcPr>
          <w:p w14:paraId="77F3F936"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r>
      <w:tr w:rsidR="00BB5697" w:rsidRPr="00FD1551" w14:paraId="3A833FFB" w14:textId="77777777" w:rsidTr="00BF7C4A">
        <w:trPr>
          <w:trHeight w:val="279"/>
        </w:trPr>
        <w:tc>
          <w:tcPr>
            <w:tcW w:w="5951"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14:paraId="24954937" w14:textId="77777777" w:rsidR="00BB5697" w:rsidRPr="00FD1551" w:rsidRDefault="00BB5697" w:rsidP="00BF7C4A">
            <w:pPr>
              <w:spacing w:after="0" w:line="360" w:lineRule="auto"/>
              <w:jc w:val="center"/>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TOTAL</w:t>
            </w:r>
          </w:p>
        </w:tc>
        <w:tc>
          <w:tcPr>
            <w:tcW w:w="2074" w:type="dxa"/>
            <w:tcBorders>
              <w:top w:val="single" w:sz="4" w:space="0" w:color="auto"/>
              <w:left w:val="nil"/>
              <w:bottom w:val="single" w:sz="4" w:space="0" w:color="auto"/>
              <w:right w:val="nil"/>
            </w:tcBorders>
            <w:shd w:val="clear" w:color="auto" w:fill="BFBFBF" w:themeFill="background1" w:themeFillShade="BF"/>
            <w:noWrap/>
            <w:vAlign w:val="bottom"/>
            <w:hideMark/>
          </w:tcPr>
          <w:p w14:paraId="0E26855F"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R$</w:t>
            </w:r>
          </w:p>
        </w:tc>
        <w:tc>
          <w:tcPr>
            <w:tcW w:w="1628" w:type="dxa"/>
            <w:tcBorders>
              <w:top w:val="nil"/>
              <w:left w:val="single" w:sz="8" w:space="0" w:color="auto"/>
              <w:bottom w:val="nil"/>
              <w:right w:val="single" w:sz="8" w:space="0" w:color="auto"/>
            </w:tcBorders>
            <w:shd w:val="clear" w:color="auto" w:fill="BFBFBF" w:themeFill="background1" w:themeFillShade="BF"/>
            <w:noWrap/>
            <w:vAlign w:val="bottom"/>
            <w:hideMark/>
          </w:tcPr>
          <w:p w14:paraId="76D73E70"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R$</w:t>
            </w:r>
          </w:p>
        </w:tc>
      </w:tr>
      <w:tr w:rsidR="00BB5697" w:rsidRPr="00FD1551" w14:paraId="4F8B81A6" w14:textId="77777777" w:rsidTr="00BF7C4A">
        <w:trPr>
          <w:trHeight w:val="66"/>
        </w:trPr>
        <w:tc>
          <w:tcPr>
            <w:tcW w:w="9653" w:type="dxa"/>
            <w:gridSpan w:val="3"/>
            <w:tcBorders>
              <w:top w:val="single" w:sz="4" w:space="0" w:color="auto"/>
              <w:left w:val="nil"/>
              <w:bottom w:val="single" w:sz="4" w:space="0" w:color="auto"/>
              <w:right w:val="nil"/>
            </w:tcBorders>
            <w:shd w:val="clear" w:color="auto" w:fill="auto"/>
            <w:noWrap/>
            <w:vAlign w:val="bottom"/>
            <w:hideMark/>
          </w:tcPr>
          <w:p w14:paraId="583A4C3C" w14:textId="77777777" w:rsidR="00BB5697" w:rsidRPr="00FD1551" w:rsidRDefault="00BB5697" w:rsidP="00BF7C4A">
            <w:pPr>
              <w:spacing w:after="0" w:line="360" w:lineRule="auto"/>
              <w:jc w:val="right"/>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 </w:t>
            </w:r>
          </w:p>
        </w:tc>
      </w:tr>
      <w:tr w:rsidR="00BB5697" w:rsidRPr="00FD1551" w14:paraId="12119DC7" w14:textId="77777777" w:rsidTr="00BF7C4A">
        <w:trPr>
          <w:trHeight w:val="266"/>
        </w:trPr>
        <w:tc>
          <w:tcPr>
            <w:tcW w:w="5951"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35F98DB4" w14:textId="77777777" w:rsidR="00BB5697" w:rsidRPr="00FD1551" w:rsidRDefault="00BB5697" w:rsidP="00BF7C4A">
            <w:pPr>
              <w:spacing w:after="0" w:line="360" w:lineRule="auto"/>
              <w:jc w:val="center"/>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DESCONTOS</w:t>
            </w:r>
          </w:p>
        </w:tc>
        <w:tc>
          <w:tcPr>
            <w:tcW w:w="2074" w:type="dxa"/>
            <w:tcBorders>
              <w:top w:val="single" w:sz="4" w:space="0" w:color="auto"/>
              <w:left w:val="nil"/>
              <w:bottom w:val="single" w:sz="4" w:space="0" w:color="auto"/>
              <w:right w:val="nil"/>
            </w:tcBorders>
            <w:shd w:val="clear" w:color="auto" w:fill="auto"/>
            <w:noWrap/>
            <w:vAlign w:val="bottom"/>
            <w:hideMark/>
          </w:tcPr>
          <w:p w14:paraId="41BE0869" w14:textId="77777777" w:rsidR="00BB5697" w:rsidRPr="00FD1551" w:rsidRDefault="00BB5697" w:rsidP="00BF7C4A">
            <w:pPr>
              <w:spacing w:after="0" w:line="360" w:lineRule="auto"/>
              <w:jc w:val="center"/>
              <w:rPr>
                <w:rFonts w:ascii="Arial" w:eastAsia="Times New Roman" w:hAnsi="Arial" w:cs="Arial"/>
                <w:color w:val="000000"/>
                <w:sz w:val="16"/>
                <w:szCs w:val="16"/>
                <w:lang w:eastAsia="pt-BR"/>
              </w:rPr>
            </w:pPr>
            <w:r w:rsidRPr="00FD1551">
              <w:rPr>
                <w:rFonts w:ascii="Arial" w:eastAsia="Times New Roman" w:hAnsi="Arial" w:cs="Arial"/>
                <w:b/>
                <w:bCs/>
                <w:color w:val="000000"/>
                <w:sz w:val="16"/>
                <w:szCs w:val="16"/>
                <w:lang w:eastAsia="pt-BR"/>
              </w:rPr>
              <w:t>Valor Base de incidência da Contribuição ao RGPS</w:t>
            </w:r>
          </w:p>
        </w:tc>
        <w:tc>
          <w:tcPr>
            <w:tcW w:w="1628"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14:paraId="32556BB4" w14:textId="77777777" w:rsidR="00BB5697" w:rsidRPr="00FD1551" w:rsidRDefault="00BB5697" w:rsidP="00BF7C4A">
            <w:pPr>
              <w:spacing w:after="0" w:line="360" w:lineRule="auto"/>
              <w:jc w:val="center"/>
              <w:rPr>
                <w:rFonts w:ascii="Arial" w:eastAsia="Times New Roman" w:hAnsi="Arial" w:cs="Arial"/>
                <w:color w:val="000000"/>
                <w:sz w:val="16"/>
                <w:szCs w:val="16"/>
                <w:lang w:eastAsia="pt-BR"/>
              </w:rPr>
            </w:pPr>
            <w:r w:rsidRPr="00FD1551">
              <w:rPr>
                <w:rFonts w:ascii="Arial" w:eastAsia="Times New Roman" w:hAnsi="Arial" w:cs="Arial"/>
                <w:b/>
                <w:bCs/>
                <w:color w:val="000000"/>
                <w:sz w:val="16"/>
                <w:szCs w:val="16"/>
                <w:lang w:eastAsia="pt-BR"/>
              </w:rPr>
              <w:t>Valor Total Descontado no exercício</w:t>
            </w:r>
          </w:p>
        </w:tc>
      </w:tr>
      <w:tr w:rsidR="00BB5697" w:rsidRPr="00FD1551" w14:paraId="5AD6E221" w14:textId="77777777" w:rsidTr="00BF7C4A">
        <w:trPr>
          <w:trHeight w:val="266"/>
        </w:trPr>
        <w:tc>
          <w:tcPr>
            <w:tcW w:w="5951" w:type="dxa"/>
            <w:tcBorders>
              <w:top w:val="single" w:sz="4" w:space="0" w:color="auto"/>
              <w:left w:val="single" w:sz="8" w:space="0" w:color="auto"/>
              <w:bottom w:val="nil"/>
              <w:right w:val="single" w:sz="8" w:space="0" w:color="auto"/>
            </w:tcBorders>
            <w:shd w:val="clear" w:color="auto" w:fill="auto"/>
            <w:noWrap/>
            <w:vAlign w:val="bottom"/>
            <w:hideMark/>
          </w:tcPr>
          <w:p w14:paraId="48DE9669"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Contribuição Previdenciária Retida do Servidor</w:t>
            </w:r>
          </w:p>
        </w:tc>
        <w:tc>
          <w:tcPr>
            <w:tcW w:w="2074" w:type="dxa"/>
            <w:tcBorders>
              <w:top w:val="single" w:sz="4" w:space="0" w:color="auto"/>
              <w:left w:val="nil"/>
              <w:bottom w:val="nil"/>
              <w:right w:val="nil"/>
            </w:tcBorders>
            <w:shd w:val="clear" w:color="auto" w:fill="auto"/>
            <w:noWrap/>
            <w:vAlign w:val="bottom"/>
            <w:hideMark/>
          </w:tcPr>
          <w:p w14:paraId="1E3D200D"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1628" w:type="dxa"/>
            <w:tcBorders>
              <w:top w:val="single" w:sz="4" w:space="0" w:color="auto"/>
              <w:left w:val="single" w:sz="8" w:space="0" w:color="auto"/>
              <w:right w:val="single" w:sz="8" w:space="0" w:color="auto"/>
            </w:tcBorders>
            <w:shd w:val="clear" w:color="auto" w:fill="auto"/>
            <w:noWrap/>
            <w:vAlign w:val="bottom"/>
            <w:hideMark/>
          </w:tcPr>
          <w:p w14:paraId="2A034766"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r>
      <w:tr w:rsidR="00BB5697" w:rsidRPr="00FD1551" w14:paraId="59FFA039" w14:textId="77777777" w:rsidTr="00BF7C4A">
        <w:trPr>
          <w:trHeight w:val="266"/>
        </w:trPr>
        <w:tc>
          <w:tcPr>
            <w:tcW w:w="5951" w:type="dxa"/>
            <w:tcBorders>
              <w:top w:val="nil"/>
              <w:left w:val="single" w:sz="8" w:space="0" w:color="auto"/>
              <w:bottom w:val="nil"/>
              <w:right w:val="single" w:sz="8" w:space="0" w:color="auto"/>
            </w:tcBorders>
            <w:shd w:val="clear" w:color="auto" w:fill="auto"/>
            <w:noWrap/>
            <w:vAlign w:val="bottom"/>
            <w:hideMark/>
          </w:tcPr>
          <w:p w14:paraId="00ADF02C"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Imposto de Renda Retido do Servidor</w:t>
            </w:r>
          </w:p>
        </w:tc>
        <w:tc>
          <w:tcPr>
            <w:tcW w:w="2074" w:type="dxa"/>
            <w:tcBorders>
              <w:top w:val="nil"/>
              <w:left w:val="nil"/>
              <w:bottom w:val="nil"/>
              <w:right w:val="nil"/>
            </w:tcBorders>
            <w:shd w:val="clear" w:color="auto" w:fill="auto"/>
            <w:noWrap/>
            <w:vAlign w:val="bottom"/>
            <w:hideMark/>
          </w:tcPr>
          <w:p w14:paraId="2BE375D8"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1628" w:type="dxa"/>
            <w:tcBorders>
              <w:top w:val="nil"/>
              <w:left w:val="single" w:sz="8" w:space="0" w:color="auto"/>
              <w:right w:val="single" w:sz="8" w:space="0" w:color="auto"/>
            </w:tcBorders>
            <w:shd w:val="clear" w:color="auto" w:fill="auto"/>
            <w:noWrap/>
            <w:vAlign w:val="bottom"/>
            <w:hideMark/>
          </w:tcPr>
          <w:p w14:paraId="502C993D"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r>
      <w:tr w:rsidR="00BB5697" w:rsidRPr="00FD1551" w14:paraId="1E5EA63A" w14:textId="77777777" w:rsidTr="00BF7C4A">
        <w:trPr>
          <w:trHeight w:val="266"/>
        </w:trPr>
        <w:tc>
          <w:tcPr>
            <w:tcW w:w="5951" w:type="dxa"/>
            <w:tcBorders>
              <w:top w:val="nil"/>
              <w:left w:val="single" w:sz="8" w:space="0" w:color="auto"/>
              <w:bottom w:val="single" w:sz="4" w:space="0" w:color="auto"/>
              <w:right w:val="single" w:sz="8" w:space="0" w:color="auto"/>
            </w:tcBorders>
            <w:shd w:val="clear" w:color="auto" w:fill="auto"/>
            <w:noWrap/>
            <w:vAlign w:val="bottom"/>
            <w:hideMark/>
          </w:tcPr>
          <w:p w14:paraId="3EB291CF"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Outros Descontos: (Especificar)</w:t>
            </w:r>
          </w:p>
        </w:tc>
        <w:tc>
          <w:tcPr>
            <w:tcW w:w="2074" w:type="dxa"/>
            <w:tcBorders>
              <w:top w:val="nil"/>
              <w:left w:val="nil"/>
              <w:bottom w:val="single" w:sz="4" w:space="0" w:color="auto"/>
              <w:right w:val="nil"/>
            </w:tcBorders>
            <w:shd w:val="clear" w:color="auto" w:fill="auto"/>
            <w:noWrap/>
            <w:vAlign w:val="bottom"/>
            <w:hideMark/>
          </w:tcPr>
          <w:p w14:paraId="639089A4"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1628" w:type="dxa"/>
            <w:tcBorders>
              <w:left w:val="single" w:sz="8" w:space="0" w:color="auto"/>
              <w:bottom w:val="single" w:sz="4" w:space="0" w:color="auto"/>
              <w:right w:val="single" w:sz="8" w:space="0" w:color="auto"/>
            </w:tcBorders>
            <w:shd w:val="clear" w:color="auto" w:fill="auto"/>
            <w:noWrap/>
            <w:vAlign w:val="bottom"/>
            <w:hideMark/>
          </w:tcPr>
          <w:p w14:paraId="3AFD3172"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r>
      <w:tr w:rsidR="00BB5697" w:rsidRPr="00FD1551" w14:paraId="2D52D048" w14:textId="77777777" w:rsidTr="00BF7C4A">
        <w:trPr>
          <w:trHeight w:val="279"/>
        </w:trPr>
        <w:tc>
          <w:tcPr>
            <w:tcW w:w="5951"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14:paraId="301BC14F" w14:textId="77777777" w:rsidR="00BB5697" w:rsidRPr="00FD1551" w:rsidRDefault="00BB5697" w:rsidP="00BF7C4A">
            <w:pPr>
              <w:spacing w:after="0" w:line="360" w:lineRule="auto"/>
              <w:jc w:val="center"/>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TOTAL</w:t>
            </w:r>
          </w:p>
        </w:tc>
        <w:tc>
          <w:tcPr>
            <w:tcW w:w="2074" w:type="dxa"/>
            <w:tcBorders>
              <w:top w:val="single" w:sz="4" w:space="0" w:color="auto"/>
              <w:left w:val="nil"/>
              <w:bottom w:val="single" w:sz="4" w:space="0" w:color="auto"/>
              <w:right w:val="nil"/>
            </w:tcBorders>
            <w:shd w:val="clear" w:color="auto" w:fill="BFBFBF" w:themeFill="background1" w:themeFillShade="BF"/>
            <w:noWrap/>
            <w:vAlign w:val="bottom"/>
            <w:hideMark/>
          </w:tcPr>
          <w:p w14:paraId="33D3BD0E" w14:textId="77777777" w:rsidR="00BB5697" w:rsidRPr="00FD1551" w:rsidRDefault="00BB5697" w:rsidP="00BF7C4A">
            <w:pPr>
              <w:spacing w:after="0" w:line="360" w:lineRule="auto"/>
              <w:jc w:val="both"/>
              <w:rPr>
                <w:rFonts w:ascii="Arial" w:eastAsia="Times New Roman" w:hAnsi="Arial" w:cs="Arial"/>
                <w:color w:val="000000"/>
                <w:sz w:val="16"/>
                <w:szCs w:val="16"/>
                <w:highlight w:val="lightGray"/>
                <w:lang w:eastAsia="pt-BR"/>
              </w:rPr>
            </w:pPr>
            <w:r w:rsidRPr="00FD1551">
              <w:rPr>
                <w:rFonts w:ascii="Arial" w:eastAsia="Times New Roman" w:hAnsi="Arial" w:cs="Arial"/>
                <w:color w:val="000000"/>
                <w:sz w:val="16"/>
                <w:szCs w:val="16"/>
                <w:highlight w:val="lightGray"/>
                <w:lang w:eastAsia="pt-BR"/>
              </w:rPr>
              <w:t>R$</w:t>
            </w:r>
          </w:p>
        </w:tc>
        <w:tc>
          <w:tcPr>
            <w:tcW w:w="1628" w:type="dxa"/>
            <w:tcBorders>
              <w:top w:val="single" w:sz="4" w:space="0" w:color="auto"/>
              <w:left w:val="single" w:sz="8" w:space="0" w:color="auto"/>
              <w:bottom w:val="single" w:sz="4" w:space="0" w:color="auto"/>
              <w:right w:val="single" w:sz="8" w:space="0" w:color="auto"/>
            </w:tcBorders>
            <w:shd w:val="clear" w:color="auto" w:fill="BFBFBF" w:themeFill="background1" w:themeFillShade="BF"/>
            <w:noWrap/>
            <w:vAlign w:val="bottom"/>
            <w:hideMark/>
          </w:tcPr>
          <w:p w14:paraId="5D089541" w14:textId="77777777" w:rsidR="00BB5697" w:rsidRPr="00FD1551" w:rsidRDefault="00BB5697" w:rsidP="00BF7C4A">
            <w:pPr>
              <w:spacing w:after="0" w:line="360" w:lineRule="auto"/>
              <w:jc w:val="both"/>
              <w:rPr>
                <w:rFonts w:ascii="Arial" w:eastAsia="Times New Roman" w:hAnsi="Arial" w:cs="Arial"/>
                <w:b/>
                <w:bCs/>
                <w:color w:val="000000"/>
                <w:sz w:val="16"/>
                <w:szCs w:val="16"/>
                <w:highlight w:val="lightGray"/>
                <w:lang w:eastAsia="pt-BR"/>
              </w:rPr>
            </w:pPr>
            <w:r w:rsidRPr="00FD1551">
              <w:rPr>
                <w:rFonts w:ascii="Arial" w:eastAsia="Times New Roman" w:hAnsi="Arial" w:cs="Arial"/>
                <w:b/>
                <w:bCs/>
                <w:color w:val="000000"/>
                <w:sz w:val="16"/>
                <w:szCs w:val="16"/>
                <w:highlight w:val="lightGray"/>
                <w:lang w:eastAsia="pt-BR"/>
              </w:rPr>
              <w:t>R$</w:t>
            </w:r>
          </w:p>
        </w:tc>
      </w:tr>
      <w:tr w:rsidR="00BB5697" w:rsidRPr="00FD1551" w14:paraId="5BF88D2E" w14:textId="77777777" w:rsidTr="00BF7C4A">
        <w:trPr>
          <w:trHeight w:val="66"/>
        </w:trPr>
        <w:tc>
          <w:tcPr>
            <w:tcW w:w="9653" w:type="dxa"/>
            <w:gridSpan w:val="3"/>
            <w:tcBorders>
              <w:top w:val="nil"/>
              <w:left w:val="nil"/>
              <w:bottom w:val="nil"/>
              <w:right w:val="nil"/>
            </w:tcBorders>
            <w:shd w:val="clear" w:color="auto" w:fill="auto"/>
            <w:noWrap/>
            <w:vAlign w:val="bottom"/>
            <w:hideMark/>
          </w:tcPr>
          <w:p w14:paraId="5D0D22AF"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p>
        </w:tc>
      </w:tr>
      <w:tr w:rsidR="00BB5697" w:rsidRPr="00FD1551" w14:paraId="4D5F18BE" w14:textId="77777777" w:rsidTr="00BF7C4A">
        <w:trPr>
          <w:trHeight w:val="509"/>
        </w:trPr>
        <w:tc>
          <w:tcPr>
            <w:tcW w:w="9653" w:type="dxa"/>
            <w:gridSpan w:val="3"/>
            <w:vMerge w:val="restart"/>
            <w:tcBorders>
              <w:top w:val="single" w:sz="8" w:space="0" w:color="auto"/>
              <w:left w:val="single" w:sz="8" w:space="0" w:color="auto"/>
              <w:bottom w:val="single" w:sz="8" w:space="0" w:color="000000"/>
              <w:right w:val="single" w:sz="8" w:space="0" w:color="000000"/>
            </w:tcBorders>
            <w:shd w:val="clear" w:color="auto" w:fill="auto"/>
            <w:noWrap/>
            <w:hideMark/>
          </w:tcPr>
          <w:p w14:paraId="694D1658"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 xml:space="preserve">Notas: </w:t>
            </w:r>
          </w:p>
        </w:tc>
      </w:tr>
      <w:tr w:rsidR="00BB5697" w:rsidRPr="00FD1551" w14:paraId="76CFFCB0" w14:textId="77777777" w:rsidTr="00BF7C4A">
        <w:trPr>
          <w:trHeight w:val="509"/>
        </w:trPr>
        <w:tc>
          <w:tcPr>
            <w:tcW w:w="9653" w:type="dxa"/>
            <w:gridSpan w:val="3"/>
            <w:vMerge/>
            <w:tcBorders>
              <w:top w:val="single" w:sz="8" w:space="0" w:color="auto"/>
              <w:left w:val="single" w:sz="8" w:space="0" w:color="auto"/>
              <w:bottom w:val="single" w:sz="8" w:space="0" w:color="000000"/>
              <w:right w:val="single" w:sz="8" w:space="0" w:color="000000"/>
            </w:tcBorders>
            <w:vAlign w:val="center"/>
            <w:hideMark/>
          </w:tcPr>
          <w:p w14:paraId="544504A4"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p>
        </w:tc>
      </w:tr>
      <w:tr w:rsidR="00BB5697" w:rsidRPr="00FD1551" w14:paraId="2A6C193D" w14:textId="77777777" w:rsidTr="00BF7C4A">
        <w:trPr>
          <w:trHeight w:val="509"/>
        </w:trPr>
        <w:tc>
          <w:tcPr>
            <w:tcW w:w="9653" w:type="dxa"/>
            <w:gridSpan w:val="3"/>
            <w:vMerge/>
            <w:tcBorders>
              <w:top w:val="single" w:sz="8" w:space="0" w:color="auto"/>
              <w:left w:val="single" w:sz="8" w:space="0" w:color="auto"/>
              <w:bottom w:val="single" w:sz="8" w:space="0" w:color="000000"/>
              <w:right w:val="single" w:sz="8" w:space="0" w:color="000000"/>
            </w:tcBorders>
            <w:vAlign w:val="center"/>
            <w:hideMark/>
          </w:tcPr>
          <w:p w14:paraId="241DE878"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p>
        </w:tc>
      </w:tr>
    </w:tbl>
    <w:p w14:paraId="1011043E" w14:textId="77777777" w:rsidR="00BB5697" w:rsidRPr="00FD1551" w:rsidRDefault="00BB5697" w:rsidP="00BB5697">
      <w:pPr>
        <w:spacing w:after="0" w:line="360" w:lineRule="auto"/>
        <w:jc w:val="center"/>
        <w:rPr>
          <w:rFonts w:ascii="Arial" w:hAnsi="Arial" w:cs="Arial"/>
          <w:b/>
          <w:sz w:val="28"/>
          <w:szCs w:val="28"/>
        </w:rPr>
      </w:pPr>
    </w:p>
    <w:p w14:paraId="77DC7225" w14:textId="77777777" w:rsidR="00BB5697" w:rsidRPr="00FD1551" w:rsidRDefault="00BB5697" w:rsidP="00BB5697">
      <w:pPr>
        <w:spacing w:after="0" w:line="360" w:lineRule="auto"/>
        <w:ind w:left="-851" w:firstLine="851"/>
        <w:rPr>
          <w:rFonts w:ascii="Arial" w:hAnsi="Arial" w:cs="Arial"/>
          <w:sz w:val="16"/>
        </w:rPr>
      </w:pPr>
      <w:r w:rsidRPr="00FD1551">
        <w:rPr>
          <w:rFonts w:ascii="Arial" w:hAnsi="Arial" w:cs="Arial"/>
          <w:sz w:val="16"/>
        </w:rPr>
        <w:t>_____________________________________________________</w:t>
      </w:r>
    </w:p>
    <w:p w14:paraId="5F13FB69" w14:textId="77777777" w:rsidR="00BB5697" w:rsidRPr="00FD1551" w:rsidRDefault="00BB5697" w:rsidP="00BB5697">
      <w:pPr>
        <w:spacing w:after="0" w:line="360" w:lineRule="auto"/>
        <w:jc w:val="both"/>
        <w:rPr>
          <w:rFonts w:ascii="Arial" w:hAnsi="Arial" w:cs="Arial"/>
          <w:b/>
          <w:sz w:val="28"/>
          <w:szCs w:val="28"/>
        </w:rPr>
      </w:pPr>
      <w:r w:rsidRPr="00FD1551">
        <w:rPr>
          <w:rFonts w:ascii="Arial" w:hAnsi="Arial" w:cs="Arial"/>
          <w:sz w:val="16"/>
        </w:rPr>
        <w:t>Assinatura do Responsável pelo Setor de Recursos Humanos</w:t>
      </w:r>
    </w:p>
    <w:p w14:paraId="1CA0E2A8" w14:textId="77777777" w:rsidR="00BB5697" w:rsidRDefault="00BB5697" w:rsidP="00BB5697">
      <w:pPr>
        <w:tabs>
          <w:tab w:val="left" w:pos="8248"/>
        </w:tabs>
        <w:rPr>
          <w:rFonts w:ascii="Arial" w:hAnsi="Arial" w:cs="Arial"/>
          <w:b/>
          <w:sz w:val="24"/>
          <w:szCs w:val="24"/>
        </w:rPr>
      </w:pPr>
    </w:p>
    <w:p w14:paraId="63241601" w14:textId="77777777" w:rsidR="00BB5697" w:rsidRDefault="00BB5697" w:rsidP="00BB5697">
      <w:pPr>
        <w:rPr>
          <w:rFonts w:ascii="Arial" w:hAnsi="Arial" w:cs="Arial"/>
          <w:b/>
          <w:sz w:val="24"/>
          <w:szCs w:val="24"/>
        </w:rPr>
      </w:pPr>
      <w:r>
        <w:rPr>
          <w:rFonts w:ascii="Arial" w:hAnsi="Arial" w:cs="Arial"/>
          <w:b/>
          <w:sz w:val="24"/>
          <w:szCs w:val="24"/>
        </w:rPr>
        <w:br w:type="page"/>
      </w:r>
    </w:p>
    <w:p w14:paraId="44AABED9" w14:textId="2BDDD89F" w:rsidR="00BB5697" w:rsidRDefault="003A623E" w:rsidP="003A623E">
      <w:pPr>
        <w:pStyle w:val="Ttulo3"/>
      </w:pPr>
      <w:bookmarkStart w:id="80" w:name="_Toc94806352"/>
      <w:r w:rsidRPr="003A623E">
        <w:lastRenderedPageBreak/>
        <w:t>DEMCPA</w:t>
      </w:r>
      <w:bookmarkEnd w:id="80"/>
    </w:p>
    <w:p w14:paraId="729CF8A0" w14:textId="77777777" w:rsidR="00BB5697" w:rsidRPr="00FD1551" w:rsidRDefault="00BB5697" w:rsidP="00BB5697">
      <w:pPr>
        <w:spacing w:after="0" w:line="360" w:lineRule="auto"/>
        <w:jc w:val="center"/>
        <w:rPr>
          <w:rFonts w:ascii="Arial" w:hAnsi="Arial" w:cs="Arial"/>
          <w:b/>
        </w:rPr>
      </w:pPr>
      <w:r w:rsidRPr="00FD1551">
        <w:rPr>
          <w:rFonts w:ascii="Arial" w:hAnsi="Arial" w:cs="Arial"/>
          <w:b/>
        </w:rPr>
        <w:t>DEMONSTRATIVO PATRONAL DA DESPESA LIQUIDADA E EFETIVAMENTE RECOLHIDA NO EXERCÍCIO</w:t>
      </w:r>
    </w:p>
    <w:tbl>
      <w:tblPr>
        <w:tblpPr w:leftFromText="141" w:rightFromText="141" w:vertAnchor="text" w:horzAnchor="margin" w:tblpXSpec="center" w:tblpY="361"/>
        <w:tblW w:w="9779" w:type="dxa"/>
        <w:tblLayout w:type="fixed"/>
        <w:tblCellMar>
          <w:left w:w="70" w:type="dxa"/>
          <w:right w:w="70" w:type="dxa"/>
        </w:tblCellMar>
        <w:tblLook w:val="04A0" w:firstRow="1" w:lastRow="0" w:firstColumn="1" w:lastColumn="0" w:noHBand="0" w:noVBand="1"/>
      </w:tblPr>
      <w:tblGrid>
        <w:gridCol w:w="1149"/>
        <w:gridCol w:w="851"/>
        <w:gridCol w:w="1134"/>
        <w:gridCol w:w="709"/>
        <w:gridCol w:w="793"/>
        <w:gridCol w:w="196"/>
        <w:gridCol w:w="1279"/>
        <w:gridCol w:w="850"/>
        <w:gridCol w:w="1134"/>
        <w:gridCol w:w="709"/>
        <w:gridCol w:w="975"/>
      </w:tblGrid>
      <w:tr w:rsidR="00BB5697" w:rsidRPr="00FD1551" w14:paraId="5BA4E193" w14:textId="77777777" w:rsidTr="00BF7C4A">
        <w:trPr>
          <w:trHeight w:val="171"/>
        </w:trPr>
        <w:tc>
          <w:tcPr>
            <w:tcW w:w="9779" w:type="dxa"/>
            <w:gridSpan w:val="11"/>
            <w:tcBorders>
              <w:top w:val="single" w:sz="8" w:space="0" w:color="auto"/>
              <w:left w:val="single" w:sz="8" w:space="0" w:color="auto"/>
              <w:bottom w:val="nil"/>
              <w:right w:val="single" w:sz="8" w:space="0" w:color="auto"/>
            </w:tcBorders>
            <w:shd w:val="clear" w:color="auto" w:fill="auto"/>
            <w:noWrap/>
            <w:vAlign w:val="bottom"/>
            <w:hideMark/>
          </w:tcPr>
          <w:p w14:paraId="0AFB096A"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IDENTIFICAÇÃO:</w:t>
            </w:r>
          </w:p>
        </w:tc>
      </w:tr>
      <w:tr w:rsidR="00BB5697" w:rsidRPr="00FD1551" w14:paraId="3628EF1D" w14:textId="77777777" w:rsidTr="00BF7C4A">
        <w:trPr>
          <w:trHeight w:val="171"/>
        </w:trPr>
        <w:tc>
          <w:tcPr>
            <w:tcW w:w="9779" w:type="dxa"/>
            <w:gridSpan w:val="11"/>
            <w:tcBorders>
              <w:top w:val="nil"/>
              <w:left w:val="single" w:sz="8" w:space="0" w:color="auto"/>
              <w:bottom w:val="nil"/>
              <w:right w:val="single" w:sz="8" w:space="0" w:color="auto"/>
            </w:tcBorders>
          </w:tcPr>
          <w:p w14:paraId="5F6EBBD6"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EXERCÍCIO:</w:t>
            </w:r>
          </w:p>
        </w:tc>
      </w:tr>
      <w:tr w:rsidR="00BB5697" w:rsidRPr="00FD1551" w14:paraId="7C3AC011" w14:textId="77777777" w:rsidTr="00BF7C4A">
        <w:trPr>
          <w:trHeight w:val="221"/>
        </w:trPr>
        <w:tc>
          <w:tcPr>
            <w:tcW w:w="9779" w:type="dxa"/>
            <w:gridSpan w:val="11"/>
            <w:tcBorders>
              <w:top w:val="nil"/>
              <w:left w:val="single" w:sz="8" w:space="0" w:color="auto"/>
              <w:bottom w:val="single" w:sz="8" w:space="0" w:color="auto"/>
              <w:right w:val="single" w:sz="8" w:space="0" w:color="000000"/>
            </w:tcBorders>
          </w:tcPr>
          <w:p w14:paraId="5B69F45D" w14:textId="77777777" w:rsidR="00BB5697" w:rsidRPr="00FD1551" w:rsidRDefault="00BB5697" w:rsidP="00BF7C4A">
            <w:pPr>
              <w:spacing w:after="0" w:line="360" w:lineRule="auto"/>
              <w:jc w:val="center"/>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 xml:space="preserve">DEMONSTRATIVO PATRONAL MENSAL DA DESPESA LIQUIDADA </w:t>
            </w:r>
          </w:p>
          <w:p w14:paraId="0AD082E8" w14:textId="77777777" w:rsidR="00BB5697" w:rsidRPr="00FD1551" w:rsidRDefault="00BB5697" w:rsidP="00BF7C4A">
            <w:pPr>
              <w:spacing w:after="0" w:line="360" w:lineRule="auto"/>
              <w:jc w:val="center"/>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E EFETIVAMENTE RECOLHIDA NO EXERCÍCIO</w:t>
            </w:r>
          </w:p>
        </w:tc>
      </w:tr>
      <w:tr w:rsidR="00BB5697" w:rsidRPr="00FD1551" w14:paraId="656D5962" w14:textId="77777777" w:rsidTr="00BF7C4A">
        <w:trPr>
          <w:trHeight w:val="43"/>
        </w:trPr>
        <w:tc>
          <w:tcPr>
            <w:tcW w:w="9779" w:type="dxa"/>
            <w:gridSpan w:val="11"/>
            <w:tcBorders>
              <w:top w:val="nil"/>
              <w:left w:val="nil"/>
              <w:bottom w:val="single" w:sz="4" w:space="0" w:color="auto"/>
              <w:right w:val="nil"/>
            </w:tcBorders>
            <w:shd w:val="clear" w:color="auto" w:fill="auto"/>
            <w:noWrap/>
            <w:vAlign w:val="bottom"/>
            <w:hideMark/>
          </w:tcPr>
          <w:p w14:paraId="74E73872"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p>
        </w:tc>
      </w:tr>
      <w:tr w:rsidR="00BB5697" w:rsidRPr="00FD1551" w14:paraId="502CB5E1" w14:textId="77777777" w:rsidTr="00BF7C4A">
        <w:trPr>
          <w:trHeight w:val="171"/>
        </w:trPr>
        <w:tc>
          <w:tcPr>
            <w:tcW w:w="1149"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2F0AFB11" w14:textId="77777777" w:rsidR="00BB5697" w:rsidRPr="00FD1551" w:rsidRDefault="00BB5697" w:rsidP="00BF7C4A">
            <w:pPr>
              <w:spacing w:after="0" w:line="360" w:lineRule="auto"/>
              <w:jc w:val="center"/>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MESES</w:t>
            </w:r>
          </w:p>
        </w:tc>
        <w:tc>
          <w:tcPr>
            <w:tcW w:w="3487" w:type="dxa"/>
            <w:gridSpan w:val="4"/>
            <w:tcBorders>
              <w:top w:val="single" w:sz="4" w:space="0" w:color="auto"/>
              <w:left w:val="single" w:sz="4" w:space="0" w:color="auto"/>
              <w:bottom w:val="single" w:sz="4" w:space="0" w:color="auto"/>
              <w:right w:val="single" w:sz="8" w:space="0" w:color="000000"/>
            </w:tcBorders>
            <w:shd w:val="clear" w:color="000000" w:fill="D9D9D9"/>
          </w:tcPr>
          <w:p w14:paraId="534E7552" w14:textId="77777777" w:rsidR="00BB5697" w:rsidRPr="00FD1551" w:rsidRDefault="00BB5697" w:rsidP="00BF7C4A">
            <w:pPr>
              <w:spacing w:after="0" w:line="360" w:lineRule="auto"/>
              <w:jc w:val="center"/>
              <w:rPr>
                <w:rFonts w:ascii="Arial" w:eastAsia="Times New Roman" w:hAnsi="Arial" w:cs="Arial"/>
                <w:color w:val="000000"/>
                <w:sz w:val="16"/>
                <w:szCs w:val="16"/>
                <w:lang w:eastAsia="pt-BR"/>
              </w:rPr>
            </w:pPr>
            <w:r w:rsidRPr="00FD1551">
              <w:rPr>
                <w:rFonts w:ascii="Arial" w:eastAsia="Times New Roman" w:hAnsi="Arial" w:cs="Arial"/>
                <w:b/>
                <w:bCs/>
                <w:color w:val="000000"/>
                <w:sz w:val="16"/>
                <w:szCs w:val="16"/>
                <w:lang w:eastAsia="pt-BR"/>
              </w:rPr>
              <w:t>RPPS</w:t>
            </w:r>
          </w:p>
        </w:tc>
        <w:tc>
          <w:tcPr>
            <w:tcW w:w="196" w:type="dxa"/>
            <w:tcBorders>
              <w:top w:val="single" w:sz="8" w:space="0" w:color="auto"/>
              <w:left w:val="nil"/>
              <w:bottom w:val="nil"/>
              <w:right w:val="nil"/>
            </w:tcBorders>
            <w:shd w:val="clear" w:color="auto" w:fill="D9D9D9" w:themeFill="background1" w:themeFillShade="D9"/>
            <w:noWrap/>
            <w:vAlign w:val="bottom"/>
            <w:hideMark/>
          </w:tcPr>
          <w:p w14:paraId="03F7A2D5"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p>
        </w:tc>
        <w:tc>
          <w:tcPr>
            <w:tcW w:w="1279" w:type="dxa"/>
            <w:vMerge w:val="restart"/>
            <w:tcBorders>
              <w:top w:val="single" w:sz="8" w:space="0" w:color="auto"/>
              <w:left w:val="single" w:sz="8" w:space="0" w:color="auto"/>
              <w:bottom w:val="single" w:sz="8" w:space="0" w:color="000000"/>
              <w:right w:val="single" w:sz="8" w:space="0" w:color="auto"/>
            </w:tcBorders>
            <w:shd w:val="clear" w:color="000000" w:fill="D9D9D9"/>
            <w:noWrap/>
            <w:vAlign w:val="center"/>
            <w:hideMark/>
          </w:tcPr>
          <w:p w14:paraId="4E2E8943" w14:textId="77777777" w:rsidR="00BB5697" w:rsidRPr="00FD1551" w:rsidRDefault="00BB5697" w:rsidP="00BF7C4A">
            <w:pPr>
              <w:spacing w:after="0" w:line="360" w:lineRule="auto"/>
              <w:jc w:val="center"/>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MESES</w:t>
            </w:r>
          </w:p>
        </w:tc>
        <w:tc>
          <w:tcPr>
            <w:tcW w:w="3668" w:type="dxa"/>
            <w:gridSpan w:val="4"/>
            <w:tcBorders>
              <w:top w:val="single" w:sz="8" w:space="0" w:color="auto"/>
              <w:left w:val="nil"/>
              <w:bottom w:val="single" w:sz="4" w:space="0" w:color="auto"/>
              <w:right w:val="single" w:sz="8" w:space="0" w:color="000000"/>
            </w:tcBorders>
            <w:shd w:val="clear" w:color="000000" w:fill="D9D9D9"/>
          </w:tcPr>
          <w:p w14:paraId="6A54BEE8" w14:textId="77777777" w:rsidR="00BB5697" w:rsidRPr="00FD1551" w:rsidRDefault="00BB5697" w:rsidP="00BF7C4A">
            <w:pPr>
              <w:spacing w:after="0" w:line="360" w:lineRule="auto"/>
              <w:jc w:val="center"/>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RGPS</w:t>
            </w:r>
          </w:p>
        </w:tc>
      </w:tr>
      <w:tr w:rsidR="00BB5697" w:rsidRPr="00FD1551" w14:paraId="6964D017" w14:textId="77777777" w:rsidTr="00BF7C4A">
        <w:trPr>
          <w:trHeight w:val="171"/>
        </w:trPr>
        <w:tc>
          <w:tcPr>
            <w:tcW w:w="1149" w:type="dxa"/>
            <w:vMerge/>
            <w:tcBorders>
              <w:top w:val="single" w:sz="4" w:space="0" w:color="auto"/>
              <w:left w:val="single" w:sz="4" w:space="0" w:color="auto"/>
              <w:bottom w:val="single" w:sz="4" w:space="0" w:color="auto"/>
              <w:right w:val="single" w:sz="4" w:space="0" w:color="auto"/>
            </w:tcBorders>
            <w:vAlign w:val="center"/>
            <w:hideMark/>
          </w:tcPr>
          <w:p w14:paraId="5E4A4C48"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p>
        </w:tc>
        <w:tc>
          <w:tcPr>
            <w:tcW w:w="851" w:type="dxa"/>
            <w:tcBorders>
              <w:top w:val="single" w:sz="4" w:space="0" w:color="auto"/>
              <w:left w:val="single" w:sz="4" w:space="0" w:color="auto"/>
              <w:bottom w:val="single" w:sz="4" w:space="0" w:color="auto"/>
              <w:right w:val="single" w:sz="4" w:space="0" w:color="auto"/>
            </w:tcBorders>
            <w:shd w:val="clear" w:color="000000" w:fill="D9D9D9"/>
            <w:vAlign w:val="center"/>
          </w:tcPr>
          <w:p w14:paraId="635D544D" w14:textId="77777777" w:rsidR="00BB5697" w:rsidRPr="00FD1551" w:rsidRDefault="00BB5697" w:rsidP="00BF7C4A">
            <w:pPr>
              <w:spacing w:after="0" w:line="360" w:lineRule="auto"/>
              <w:jc w:val="center"/>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Alíquota %</w:t>
            </w:r>
          </w:p>
        </w:tc>
        <w:tc>
          <w:tcPr>
            <w:tcW w:w="1134" w:type="dxa"/>
            <w:tcBorders>
              <w:top w:val="nil"/>
              <w:left w:val="single" w:sz="4" w:space="0" w:color="auto"/>
              <w:bottom w:val="single" w:sz="8" w:space="0" w:color="auto"/>
              <w:right w:val="single" w:sz="8" w:space="0" w:color="auto"/>
            </w:tcBorders>
            <w:shd w:val="clear" w:color="000000" w:fill="D9D9D9"/>
            <w:noWrap/>
            <w:vAlign w:val="center"/>
            <w:hideMark/>
          </w:tcPr>
          <w:p w14:paraId="0E77E844" w14:textId="77777777" w:rsidR="00BB5697" w:rsidRPr="00FD1551" w:rsidRDefault="00BB5697" w:rsidP="00BF7C4A">
            <w:pPr>
              <w:spacing w:after="0" w:line="360" w:lineRule="auto"/>
              <w:jc w:val="center"/>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LIQUIDADO</w:t>
            </w:r>
          </w:p>
        </w:tc>
        <w:tc>
          <w:tcPr>
            <w:tcW w:w="709" w:type="dxa"/>
            <w:tcBorders>
              <w:top w:val="nil"/>
              <w:left w:val="nil"/>
              <w:bottom w:val="single" w:sz="8" w:space="0" w:color="auto"/>
              <w:right w:val="single" w:sz="8" w:space="0" w:color="auto"/>
            </w:tcBorders>
            <w:shd w:val="clear" w:color="000000" w:fill="D9D9D9"/>
            <w:noWrap/>
            <w:vAlign w:val="center"/>
            <w:hideMark/>
          </w:tcPr>
          <w:p w14:paraId="29162776" w14:textId="77777777" w:rsidR="00BB5697" w:rsidRPr="00FD1551" w:rsidRDefault="00BB5697" w:rsidP="00BF7C4A">
            <w:pPr>
              <w:spacing w:after="0" w:line="360" w:lineRule="auto"/>
              <w:jc w:val="center"/>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PAGO</w:t>
            </w:r>
          </w:p>
        </w:tc>
        <w:tc>
          <w:tcPr>
            <w:tcW w:w="793" w:type="dxa"/>
            <w:tcBorders>
              <w:top w:val="nil"/>
              <w:left w:val="nil"/>
              <w:bottom w:val="single" w:sz="4" w:space="0" w:color="auto"/>
              <w:right w:val="single" w:sz="4" w:space="0" w:color="auto"/>
            </w:tcBorders>
            <w:shd w:val="clear" w:color="auto" w:fill="D9D9D9" w:themeFill="background1" w:themeFillShade="D9"/>
            <w:vAlign w:val="center"/>
          </w:tcPr>
          <w:p w14:paraId="51F49A88" w14:textId="77777777" w:rsidR="00BB5697" w:rsidRPr="00FD1551" w:rsidRDefault="00BB5697" w:rsidP="00BF7C4A">
            <w:pPr>
              <w:spacing w:after="0" w:line="360" w:lineRule="auto"/>
              <w:jc w:val="center"/>
              <w:rPr>
                <w:rFonts w:ascii="Arial" w:eastAsia="Times New Roman" w:hAnsi="Arial" w:cs="Arial"/>
                <w:color w:val="000000"/>
                <w:sz w:val="16"/>
                <w:szCs w:val="16"/>
                <w:lang w:eastAsia="pt-BR"/>
              </w:rPr>
            </w:pPr>
            <w:r w:rsidRPr="00FD1551">
              <w:rPr>
                <w:rFonts w:ascii="Arial" w:eastAsia="Times New Roman" w:hAnsi="Arial" w:cs="Arial"/>
                <w:b/>
                <w:bCs/>
                <w:color w:val="000000"/>
                <w:sz w:val="16"/>
                <w:szCs w:val="16"/>
                <w:lang w:eastAsia="pt-BR"/>
              </w:rPr>
              <w:t>Saldo a Pagar em 31/12</w:t>
            </w:r>
          </w:p>
        </w:tc>
        <w:tc>
          <w:tcPr>
            <w:tcW w:w="196" w:type="dxa"/>
            <w:tcBorders>
              <w:top w:val="nil"/>
              <w:left w:val="single" w:sz="4" w:space="0" w:color="auto"/>
              <w:bottom w:val="nil"/>
              <w:right w:val="nil"/>
            </w:tcBorders>
            <w:shd w:val="clear" w:color="auto" w:fill="D9D9D9" w:themeFill="background1" w:themeFillShade="D9"/>
            <w:noWrap/>
            <w:vAlign w:val="bottom"/>
            <w:hideMark/>
          </w:tcPr>
          <w:p w14:paraId="2FD923E1"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p>
        </w:tc>
        <w:tc>
          <w:tcPr>
            <w:tcW w:w="1279" w:type="dxa"/>
            <w:vMerge/>
            <w:tcBorders>
              <w:top w:val="single" w:sz="8" w:space="0" w:color="auto"/>
              <w:left w:val="single" w:sz="8" w:space="0" w:color="auto"/>
              <w:bottom w:val="single" w:sz="8" w:space="0" w:color="000000"/>
              <w:right w:val="single" w:sz="8" w:space="0" w:color="auto"/>
            </w:tcBorders>
            <w:vAlign w:val="center"/>
            <w:hideMark/>
          </w:tcPr>
          <w:p w14:paraId="38424BBA"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p>
        </w:tc>
        <w:tc>
          <w:tcPr>
            <w:tcW w:w="850" w:type="dxa"/>
            <w:tcBorders>
              <w:top w:val="nil"/>
              <w:left w:val="nil"/>
              <w:bottom w:val="single" w:sz="8" w:space="0" w:color="auto"/>
              <w:right w:val="single" w:sz="4" w:space="0" w:color="auto"/>
            </w:tcBorders>
            <w:shd w:val="clear" w:color="000000" w:fill="D9D9D9"/>
            <w:vAlign w:val="center"/>
          </w:tcPr>
          <w:p w14:paraId="625FE201" w14:textId="77777777" w:rsidR="00BB5697" w:rsidRPr="00FD1551" w:rsidRDefault="00BB5697" w:rsidP="00BF7C4A">
            <w:pPr>
              <w:spacing w:after="0" w:line="360" w:lineRule="auto"/>
              <w:jc w:val="center"/>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Alíquota %</w:t>
            </w:r>
          </w:p>
        </w:tc>
        <w:tc>
          <w:tcPr>
            <w:tcW w:w="1134" w:type="dxa"/>
            <w:tcBorders>
              <w:top w:val="nil"/>
              <w:left w:val="single" w:sz="4" w:space="0" w:color="auto"/>
              <w:bottom w:val="single" w:sz="8" w:space="0" w:color="auto"/>
              <w:right w:val="single" w:sz="4" w:space="0" w:color="auto"/>
            </w:tcBorders>
            <w:shd w:val="clear" w:color="000000" w:fill="D9D9D9"/>
            <w:vAlign w:val="center"/>
          </w:tcPr>
          <w:p w14:paraId="136E2C7D" w14:textId="77777777" w:rsidR="00BB5697" w:rsidRPr="00FD1551" w:rsidRDefault="00BB5697" w:rsidP="00BF7C4A">
            <w:pPr>
              <w:spacing w:after="0" w:line="360" w:lineRule="auto"/>
              <w:jc w:val="center"/>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LIQUIDADO</w:t>
            </w:r>
          </w:p>
        </w:tc>
        <w:tc>
          <w:tcPr>
            <w:tcW w:w="709" w:type="dxa"/>
            <w:tcBorders>
              <w:top w:val="nil"/>
              <w:left w:val="single" w:sz="4" w:space="0" w:color="auto"/>
              <w:bottom w:val="single" w:sz="8" w:space="0" w:color="auto"/>
              <w:right w:val="single" w:sz="8" w:space="0" w:color="auto"/>
            </w:tcBorders>
            <w:shd w:val="clear" w:color="000000" w:fill="D9D9D9"/>
            <w:noWrap/>
            <w:vAlign w:val="center"/>
            <w:hideMark/>
          </w:tcPr>
          <w:p w14:paraId="04AD6F03" w14:textId="77777777" w:rsidR="00BB5697" w:rsidRPr="00FD1551" w:rsidRDefault="00BB5697" w:rsidP="00BF7C4A">
            <w:pPr>
              <w:spacing w:after="0" w:line="360" w:lineRule="auto"/>
              <w:jc w:val="center"/>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PAGO</w:t>
            </w:r>
          </w:p>
        </w:tc>
        <w:tc>
          <w:tcPr>
            <w:tcW w:w="975" w:type="dxa"/>
            <w:tcBorders>
              <w:top w:val="nil"/>
              <w:left w:val="nil"/>
              <w:bottom w:val="single" w:sz="8" w:space="0" w:color="auto"/>
              <w:right w:val="single" w:sz="8" w:space="0" w:color="auto"/>
            </w:tcBorders>
            <w:shd w:val="clear" w:color="000000" w:fill="D9D9D9"/>
            <w:noWrap/>
            <w:vAlign w:val="center"/>
            <w:hideMark/>
          </w:tcPr>
          <w:p w14:paraId="0C887107" w14:textId="77777777" w:rsidR="00BB5697" w:rsidRPr="00FD1551" w:rsidRDefault="00BB5697" w:rsidP="00BF7C4A">
            <w:pPr>
              <w:spacing w:after="0" w:line="360" w:lineRule="auto"/>
              <w:jc w:val="center"/>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Saldo a Pagar em 31/12</w:t>
            </w:r>
          </w:p>
        </w:tc>
      </w:tr>
      <w:tr w:rsidR="00BB5697" w:rsidRPr="00FD1551" w14:paraId="79801A63" w14:textId="77777777" w:rsidTr="00BF7C4A">
        <w:trPr>
          <w:trHeight w:val="171"/>
        </w:trPr>
        <w:tc>
          <w:tcPr>
            <w:tcW w:w="1149" w:type="dxa"/>
            <w:tcBorders>
              <w:top w:val="single" w:sz="4" w:space="0" w:color="auto"/>
              <w:left w:val="single" w:sz="4" w:space="0" w:color="auto"/>
              <w:right w:val="single" w:sz="4" w:space="0" w:color="auto"/>
            </w:tcBorders>
            <w:shd w:val="clear" w:color="auto" w:fill="auto"/>
            <w:noWrap/>
            <w:vAlign w:val="bottom"/>
            <w:hideMark/>
          </w:tcPr>
          <w:p w14:paraId="5B8FE52F"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JANEIRO</w:t>
            </w:r>
          </w:p>
        </w:tc>
        <w:tc>
          <w:tcPr>
            <w:tcW w:w="851" w:type="dxa"/>
            <w:tcBorders>
              <w:top w:val="single" w:sz="4" w:space="0" w:color="auto"/>
              <w:left w:val="single" w:sz="4" w:space="0" w:color="auto"/>
              <w:right w:val="single" w:sz="4" w:space="0" w:color="auto"/>
            </w:tcBorders>
          </w:tcPr>
          <w:p w14:paraId="3A582C51" w14:textId="77777777" w:rsidR="00BB5697" w:rsidRPr="00FD1551" w:rsidRDefault="00BB5697" w:rsidP="00BF7C4A">
            <w:pPr>
              <w:spacing w:after="0" w:line="360" w:lineRule="auto"/>
              <w:jc w:val="center"/>
              <w:rPr>
                <w:rFonts w:ascii="Arial" w:eastAsia="Times New Roman" w:hAnsi="Arial" w:cs="Arial"/>
                <w:b/>
                <w:bCs/>
                <w:color w:val="000000"/>
                <w:sz w:val="16"/>
                <w:szCs w:val="16"/>
                <w:lang w:eastAsia="pt-BR"/>
              </w:rPr>
            </w:pPr>
          </w:p>
        </w:tc>
        <w:tc>
          <w:tcPr>
            <w:tcW w:w="1134" w:type="dxa"/>
            <w:tcBorders>
              <w:top w:val="nil"/>
              <w:left w:val="single" w:sz="4" w:space="0" w:color="auto"/>
              <w:bottom w:val="nil"/>
              <w:right w:val="single" w:sz="8" w:space="0" w:color="auto"/>
            </w:tcBorders>
            <w:shd w:val="clear" w:color="auto" w:fill="auto"/>
            <w:noWrap/>
            <w:vAlign w:val="bottom"/>
            <w:hideMark/>
          </w:tcPr>
          <w:p w14:paraId="63A8FD02"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709" w:type="dxa"/>
            <w:tcBorders>
              <w:top w:val="nil"/>
              <w:left w:val="nil"/>
              <w:bottom w:val="nil"/>
              <w:right w:val="single" w:sz="8" w:space="0" w:color="auto"/>
            </w:tcBorders>
            <w:shd w:val="clear" w:color="auto" w:fill="auto"/>
            <w:noWrap/>
            <w:vAlign w:val="bottom"/>
            <w:hideMark/>
          </w:tcPr>
          <w:p w14:paraId="64FF30E8"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793" w:type="dxa"/>
            <w:tcBorders>
              <w:top w:val="nil"/>
              <w:left w:val="nil"/>
              <w:bottom w:val="nil"/>
              <w:right w:val="single" w:sz="4" w:space="0" w:color="auto"/>
            </w:tcBorders>
            <w:vAlign w:val="bottom"/>
          </w:tcPr>
          <w:p w14:paraId="2D0425CD"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196" w:type="dxa"/>
            <w:tcBorders>
              <w:top w:val="nil"/>
              <w:left w:val="single" w:sz="4" w:space="0" w:color="auto"/>
              <w:bottom w:val="nil"/>
              <w:right w:val="nil"/>
            </w:tcBorders>
            <w:shd w:val="clear" w:color="auto" w:fill="D9D9D9" w:themeFill="background1" w:themeFillShade="D9"/>
            <w:noWrap/>
            <w:vAlign w:val="bottom"/>
            <w:hideMark/>
          </w:tcPr>
          <w:p w14:paraId="132AE412"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p>
        </w:tc>
        <w:tc>
          <w:tcPr>
            <w:tcW w:w="1279" w:type="dxa"/>
            <w:tcBorders>
              <w:top w:val="nil"/>
              <w:left w:val="single" w:sz="8" w:space="0" w:color="auto"/>
              <w:bottom w:val="nil"/>
              <w:right w:val="single" w:sz="8" w:space="0" w:color="auto"/>
            </w:tcBorders>
            <w:shd w:val="clear" w:color="auto" w:fill="auto"/>
            <w:noWrap/>
            <w:vAlign w:val="bottom"/>
            <w:hideMark/>
          </w:tcPr>
          <w:p w14:paraId="6F7C3BA9"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JANEIRO</w:t>
            </w:r>
          </w:p>
        </w:tc>
        <w:tc>
          <w:tcPr>
            <w:tcW w:w="850" w:type="dxa"/>
            <w:tcBorders>
              <w:top w:val="nil"/>
              <w:left w:val="nil"/>
              <w:bottom w:val="nil"/>
              <w:right w:val="single" w:sz="4" w:space="0" w:color="auto"/>
            </w:tcBorders>
          </w:tcPr>
          <w:p w14:paraId="0C09BA49"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p>
        </w:tc>
        <w:tc>
          <w:tcPr>
            <w:tcW w:w="1134" w:type="dxa"/>
            <w:tcBorders>
              <w:top w:val="nil"/>
              <w:left w:val="single" w:sz="4" w:space="0" w:color="auto"/>
              <w:bottom w:val="nil"/>
              <w:right w:val="single" w:sz="4" w:space="0" w:color="auto"/>
            </w:tcBorders>
            <w:vAlign w:val="bottom"/>
          </w:tcPr>
          <w:p w14:paraId="6C3C279B"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709" w:type="dxa"/>
            <w:tcBorders>
              <w:top w:val="nil"/>
              <w:left w:val="single" w:sz="4" w:space="0" w:color="auto"/>
              <w:bottom w:val="nil"/>
              <w:right w:val="single" w:sz="8" w:space="0" w:color="auto"/>
            </w:tcBorders>
            <w:shd w:val="clear" w:color="auto" w:fill="auto"/>
            <w:noWrap/>
            <w:vAlign w:val="bottom"/>
            <w:hideMark/>
          </w:tcPr>
          <w:p w14:paraId="5AC86223"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975" w:type="dxa"/>
            <w:tcBorders>
              <w:top w:val="nil"/>
              <w:left w:val="nil"/>
              <w:bottom w:val="nil"/>
              <w:right w:val="single" w:sz="8" w:space="0" w:color="auto"/>
            </w:tcBorders>
            <w:shd w:val="clear" w:color="auto" w:fill="auto"/>
            <w:noWrap/>
            <w:vAlign w:val="bottom"/>
            <w:hideMark/>
          </w:tcPr>
          <w:p w14:paraId="5469CA3B"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r>
      <w:tr w:rsidR="00BB5697" w:rsidRPr="00FD1551" w14:paraId="1226988E" w14:textId="77777777" w:rsidTr="00BF7C4A">
        <w:trPr>
          <w:trHeight w:val="171"/>
        </w:trPr>
        <w:tc>
          <w:tcPr>
            <w:tcW w:w="1149" w:type="dxa"/>
            <w:tcBorders>
              <w:left w:val="single" w:sz="4" w:space="0" w:color="auto"/>
              <w:right w:val="single" w:sz="4" w:space="0" w:color="auto"/>
            </w:tcBorders>
            <w:shd w:val="clear" w:color="auto" w:fill="auto"/>
            <w:noWrap/>
            <w:vAlign w:val="bottom"/>
            <w:hideMark/>
          </w:tcPr>
          <w:p w14:paraId="428149D1"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FEVEREIRO</w:t>
            </w:r>
          </w:p>
        </w:tc>
        <w:tc>
          <w:tcPr>
            <w:tcW w:w="851" w:type="dxa"/>
            <w:tcBorders>
              <w:left w:val="single" w:sz="4" w:space="0" w:color="auto"/>
              <w:right w:val="single" w:sz="4" w:space="0" w:color="auto"/>
            </w:tcBorders>
          </w:tcPr>
          <w:p w14:paraId="74F9A885" w14:textId="77777777" w:rsidR="00BB5697" w:rsidRPr="00FD1551" w:rsidRDefault="00BB5697" w:rsidP="00BF7C4A">
            <w:pPr>
              <w:spacing w:after="0" w:line="360" w:lineRule="auto"/>
              <w:jc w:val="center"/>
              <w:rPr>
                <w:rFonts w:ascii="Arial" w:eastAsia="Times New Roman" w:hAnsi="Arial" w:cs="Arial"/>
                <w:b/>
                <w:bCs/>
                <w:color w:val="000000"/>
                <w:sz w:val="16"/>
                <w:szCs w:val="16"/>
                <w:lang w:eastAsia="pt-BR"/>
              </w:rPr>
            </w:pPr>
          </w:p>
        </w:tc>
        <w:tc>
          <w:tcPr>
            <w:tcW w:w="1134" w:type="dxa"/>
            <w:tcBorders>
              <w:top w:val="nil"/>
              <w:left w:val="single" w:sz="4" w:space="0" w:color="auto"/>
              <w:bottom w:val="nil"/>
              <w:right w:val="single" w:sz="8" w:space="0" w:color="auto"/>
            </w:tcBorders>
            <w:shd w:val="clear" w:color="auto" w:fill="auto"/>
            <w:noWrap/>
            <w:vAlign w:val="bottom"/>
            <w:hideMark/>
          </w:tcPr>
          <w:p w14:paraId="28C2EF1A"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709" w:type="dxa"/>
            <w:tcBorders>
              <w:top w:val="nil"/>
              <w:left w:val="nil"/>
              <w:bottom w:val="nil"/>
              <w:right w:val="single" w:sz="8" w:space="0" w:color="auto"/>
            </w:tcBorders>
            <w:shd w:val="clear" w:color="auto" w:fill="auto"/>
            <w:noWrap/>
            <w:vAlign w:val="bottom"/>
            <w:hideMark/>
          </w:tcPr>
          <w:p w14:paraId="595B8ACA"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793" w:type="dxa"/>
            <w:tcBorders>
              <w:top w:val="nil"/>
              <w:left w:val="nil"/>
              <w:bottom w:val="nil"/>
              <w:right w:val="single" w:sz="4" w:space="0" w:color="auto"/>
            </w:tcBorders>
            <w:vAlign w:val="bottom"/>
          </w:tcPr>
          <w:p w14:paraId="27E85920"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196" w:type="dxa"/>
            <w:tcBorders>
              <w:top w:val="nil"/>
              <w:left w:val="single" w:sz="4" w:space="0" w:color="auto"/>
              <w:bottom w:val="nil"/>
              <w:right w:val="nil"/>
            </w:tcBorders>
            <w:shd w:val="clear" w:color="auto" w:fill="D9D9D9" w:themeFill="background1" w:themeFillShade="D9"/>
            <w:noWrap/>
            <w:vAlign w:val="bottom"/>
            <w:hideMark/>
          </w:tcPr>
          <w:p w14:paraId="17AFF020"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p>
        </w:tc>
        <w:tc>
          <w:tcPr>
            <w:tcW w:w="1279" w:type="dxa"/>
            <w:tcBorders>
              <w:top w:val="nil"/>
              <w:left w:val="single" w:sz="8" w:space="0" w:color="auto"/>
              <w:bottom w:val="nil"/>
              <w:right w:val="single" w:sz="8" w:space="0" w:color="auto"/>
            </w:tcBorders>
            <w:shd w:val="clear" w:color="auto" w:fill="auto"/>
            <w:noWrap/>
            <w:vAlign w:val="bottom"/>
            <w:hideMark/>
          </w:tcPr>
          <w:p w14:paraId="539BCAC0"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FEVEREIRO</w:t>
            </w:r>
          </w:p>
        </w:tc>
        <w:tc>
          <w:tcPr>
            <w:tcW w:w="850" w:type="dxa"/>
            <w:tcBorders>
              <w:top w:val="nil"/>
              <w:left w:val="nil"/>
              <w:bottom w:val="nil"/>
              <w:right w:val="single" w:sz="4" w:space="0" w:color="auto"/>
            </w:tcBorders>
          </w:tcPr>
          <w:p w14:paraId="1ABDFA66"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p>
        </w:tc>
        <w:tc>
          <w:tcPr>
            <w:tcW w:w="1134" w:type="dxa"/>
            <w:tcBorders>
              <w:top w:val="nil"/>
              <w:left w:val="single" w:sz="4" w:space="0" w:color="auto"/>
              <w:bottom w:val="nil"/>
              <w:right w:val="single" w:sz="4" w:space="0" w:color="auto"/>
            </w:tcBorders>
            <w:vAlign w:val="bottom"/>
          </w:tcPr>
          <w:p w14:paraId="053BDBF2"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709" w:type="dxa"/>
            <w:tcBorders>
              <w:top w:val="nil"/>
              <w:left w:val="single" w:sz="4" w:space="0" w:color="auto"/>
              <w:bottom w:val="nil"/>
              <w:right w:val="single" w:sz="8" w:space="0" w:color="auto"/>
            </w:tcBorders>
            <w:shd w:val="clear" w:color="auto" w:fill="auto"/>
            <w:noWrap/>
            <w:vAlign w:val="bottom"/>
            <w:hideMark/>
          </w:tcPr>
          <w:p w14:paraId="647191ED"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975" w:type="dxa"/>
            <w:tcBorders>
              <w:top w:val="nil"/>
              <w:left w:val="nil"/>
              <w:bottom w:val="nil"/>
              <w:right w:val="single" w:sz="8" w:space="0" w:color="auto"/>
            </w:tcBorders>
            <w:shd w:val="clear" w:color="auto" w:fill="auto"/>
            <w:noWrap/>
            <w:vAlign w:val="bottom"/>
            <w:hideMark/>
          </w:tcPr>
          <w:p w14:paraId="73F82815"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r>
      <w:tr w:rsidR="00BB5697" w:rsidRPr="00FD1551" w14:paraId="79886074" w14:textId="77777777" w:rsidTr="00BF7C4A">
        <w:trPr>
          <w:trHeight w:val="171"/>
        </w:trPr>
        <w:tc>
          <w:tcPr>
            <w:tcW w:w="1149" w:type="dxa"/>
            <w:tcBorders>
              <w:left w:val="single" w:sz="4" w:space="0" w:color="auto"/>
              <w:right w:val="single" w:sz="4" w:space="0" w:color="auto"/>
            </w:tcBorders>
            <w:shd w:val="clear" w:color="auto" w:fill="auto"/>
            <w:noWrap/>
            <w:vAlign w:val="bottom"/>
            <w:hideMark/>
          </w:tcPr>
          <w:p w14:paraId="6DB73ADA"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MARÇO</w:t>
            </w:r>
          </w:p>
        </w:tc>
        <w:tc>
          <w:tcPr>
            <w:tcW w:w="851" w:type="dxa"/>
            <w:tcBorders>
              <w:left w:val="single" w:sz="4" w:space="0" w:color="auto"/>
              <w:right w:val="single" w:sz="4" w:space="0" w:color="auto"/>
            </w:tcBorders>
          </w:tcPr>
          <w:p w14:paraId="2959B109" w14:textId="77777777" w:rsidR="00BB5697" w:rsidRPr="00FD1551" w:rsidRDefault="00BB5697" w:rsidP="00BF7C4A">
            <w:pPr>
              <w:spacing w:after="0" w:line="360" w:lineRule="auto"/>
              <w:jc w:val="center"/>
              <w:rPr>
                <w:rFonts w:ascii="Arial" w:eastAsia="Times New Roman" w:hAnsi="Arial" w:cs="Arial"/>
                <w:b/>
                <w:bCs/>
                <w:color w:val="000000"/>
                <w:sz w:val="16"/>
                <w:szCs w:val="16"/>
                <w:lang w:eastAsia="pt-BR"/>
              </w:rPr>
            </w:pPr>
          </w:p>
        </w:tc>
        <w:tc>
          <w:tcPr>
            <w:tcW w:w="1134" w:type="dxa"/>
            <w:tcBorders>
              <w:top w:val="nil"/>
              <w:left w:val="single" w:sz="4" w:space="0" w:color="auto"/>
              <w:bottom w:val="nil"/>
              <w:right w:val="single" w:sz="8" w:space="0" w:color="auto"/>
            </w:tcBorders>
            <w:shd w:val="clear" w:color="auto" w:fill="auto"/>
            <w:noWrap/>
            <w:vAlign w:val="bottom"/>
            <w:hideMark/>
          </w:tcPr>
          <w:p w14:paraId="70E97936"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709" w:type="dxa"/>
            <w:tcBorders>
              <w:top w:val="nil"/>
              <w:left w:val="nil"/>
              <w:bottom w:val="nil"/>
              <w:right w:val="single" w:sz="8" w:space="0" w:color="auto"/>
            </w:tcBorders>
            <w:shd w:val="clear" w:color="auto" w:fill="auto"/>
            <w:noWrap/>
            <w:vAlign w:val="bottom"/>
            <w:hideMark/>
          </w:tcPr>
          <w:p w14:paraId="47DC0FBE"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793" w:type="dxa"/>
            <w:tcBorders>
              <w:top w:val="nil"/>
              <w:left w:val="nil"/>
              <w:bottom w:val="nil"/>
              <w:right w:val="single" w:sz="4" w:space="0" w:color="auto"/>
            </w:tcBorders>
            <w:vAlign w:val="bottom"/>
          </w:tcPr>
          <w:p w14:paraId="6054C111"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196" w:type="dxa"/>
            <w:tcBorders>
              <w:top w:val="nil"/>
              <w:left w:val="single" w:sz="4" w:space="0" w:color="auto"/>
              <w:bottom w:val="nil"/>
              <w:right w:val="nil"/>
            </w:tcBorders>
            <w:shd w:val="clear" w:color="auto" w:fill="D9D9D9" w:themeFill="background1" w:themeFillShade="D9"/>
            <w:noWrap/>
            <w:vAlign w:val="bottom"/>
            <w:hideMark/>
          </w:tcPr>
          <w:p w14:paraId="2E7F893C"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p>
        </w:tc>
        <w:tc>
          <w:tcPr>
            <w:tcW w:w="1279" w:type="dxa"/>
            <w:tcBorders>
              <w:top w:val="nil"/>
              <w:left w:val="single" w:sz="8" w:space="0" w:color="auto"/>
              <w:bottom w:val="nil"/>
              <w:right w:val="single" w:sz="8" w:space="0" w:color="auto"/>
            </w:tcBorders>
            <w:shd w:val="clear" w:color="auto" w:fill="auto"/>
            <w:noWrap/>
            <w:vAlign w:val="bottom"/>
            <w:hideMark/>
          </w:tcPr>
          <w:p w14:paraId="6DC09763"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MARÇO</w:t>
            </w:r>
          </w:p>
        </w:tc>
        <w:tc>
          <w:tcPr>
            <w:tcW w:w="850" w:type="dxa"/>
            <w:tcBorders>
              <w:top w:val="nil"/>
              <w:left w:val="nil"/>
              <w:bottom w:val="nil"/>
              <w:right w:val="single" w:sz="4" w:space="0" w:color="auto"/>
            </w:tcBorders>
          </w:tcPr>
          <w:p w14:paraId="107CB3F1"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p>
        </w:tc>
        <w:tc>
          <w:tcPr>
            <w:tcW w:w="1134" w:type="dxa"/>
            <w:tcBorders>
              <w:top w:val="nil"/>
              <w:left w:val="single" w:sz="4" w:space="0" w:color="auto"/>
              <w:bottom w:val="nil"/>
              <w:right w:val="single" w:sz="4" w:space="0" w:color="auto"/>
            </w:tcBorders>
            <w:vAlign w:val="bottom"/>
          </w:tcPr>
          <w:p w14:paraId="1B0FEB83"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709" w:type="dxa"/>
            <w:tcBorders>
              <w:top w:val="nil"/>
              <w:left w:val="single" w:sz="4" w:space="0" w:color="auto"/>
              <w:bottom w:val="nil"/>
              <w:right w:val="single" w:sz="8" w:space="0" w:color="auto"/>
            </w:tcBorders>
            <w:shd w:val="clear" w:color="auto" w:fill="auto"/>
            <w:noWrap/>
            <w:vAlign w:val="bottom"/>
            <w:hideMark/>
          </w:tcPr>
          <w:p w14:paraId="4CCAB497"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975" w:type="dxa"/>
            <w:tcBorders>
              <w:top w:val="nil"/>
              <w:left w:val="nil"/>
              <w:bottom w:val="nil"/>
              <w:right w:val="single" w:sz="8" w:space="0" w:color="auto"/>
            </w:tcBorders>
            <w:shd w:val="clear" w:color="auto" w:fill="auto"/>
            <w:noWrap/>
            <w:vAlign w:val="bottom"/>
            <w:hideMark/>
          </w:tcPr>
          <w:p w14:paraId="177EE0F2"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r>
      <w:tr w:rsidR="00BB5697" w:rsidRPr="00FD1551" w14:paraId="04289405" w14:textId="77777777" w:rsidTr="00BF7C4A">
        <w:trPr>
          <w:trHeight w:val="171"/>
        </w:trPr>
        <w:tc>
          <w:tcPr>
            <w:tcW w:w="1149" w:type="dxa"/>
            <w:tcBorders>
              <w:left w:val="single" w:sz="4" w:space="0" w:color="auto"/>
              <w:right w:val="single" w:sz="4" w:space="0" w:color="auto"/>
            </w:tcBorders>
            <w:shd w:val="clear" w:color="auto" w:fill="auto"/>
            <w:noWrap/>
            <w:vAlign w:val="bottom"/>
            <w:hideMark/>
          </w:tcPr>
          <w:p w14:paraId="7FE93959"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ABRIL</w:t>
            </w:r>
          </w:p>
        </w:tc>
        <w:tc>
          <w:tcPr>
            <w:tcW w:w="851" w:type="dxa"/>
            <w:tcBorders>
              <w:left w:val="single" w:sz="4" w:space="0" w:color="auto"/>
              <w:right w:val="single" w:sz="4" w:space="0" w:color="auto"/>
            </w:tcBorders>
          </w:tcPr>
          <w:p w14:paraId="314A0B3C" w14:textId="77777777" w:rsidR="00BB5697" w:rsidRPr="00FD1551" w:rsidRDefault="00BB5697" w:rsidP="00BF7C4A">
            <w:pPr>
              <w:spacing w:after="0" w:line="360" w:lineRule="auto"/>
              <w:jc w:val="center"/>
              <w:rPr>
                <w:rFonts w:ascii="Arial" w:eastAsia="Times New Roman" w:hAnsi="Arial" w:cs="Arial"/>
                <w:b/>
                <w:bCs/>
                <w:color w:val="000000"/>
                <w:sz w:val="16"/>
                <w:szCs w:val="16"/>
                <w:lang w:eastAsia="pt-BR"/>
              </w:rPr>
            </w:pPr>
          </w:p>
        </w:tc>
        <w:tc>
          <w:tcPr>
            <w:tcW w:w="1134" w:type="dxa"/>
            <w:tcBorders>
              <w:top w:val="nil"/>
              <w:left w:val="single" w:sz="4" w:space="0" w:color="auto"/>
              <w:bottom w:val="nil"/>
              <w:right w:val="single" w:sz="8" w:space="0" w:color="auto"/>
            </w:tcBorders>
            <w:shd w:val="clear" w:color="auto" w:fill="auto"/>
            <w:noWrap/>
            <w:vAlign w:val="bottom"/>
            <w:hideMark/>
          </w:tcPr>
          <w:p w14:paraId="009DD90A"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709" w:type="dxa"/>
            <w:tcBorders>
              <w:top w:val="nil"/>
              <w:left w:val="nil"/>
              <w:bottom w:val="nil"/>
              <w:right w:val="single" w:sz="8" w:space="0" w:color="auto"/>
            </w:tcBorders>
            <w:shd w:val="clear" w:color="auto" w:fill="auto"/>
            <w:noWrap/>
            <w:vAlign w:val="bottom"/>
            <w:hideMark/>
          </w:tcPr>
          <w:p w14:paraId="429BF8C0"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793" w:type="dxa"/>
            <w:tcBorders>
              <w:top w:val="nil"/>
              <w:left w:val="nil"/>
              <w:bottom w:val="nil"/>
              <w:right w:val="single" w:sz="4" w:space="0" w:color="auto"/>
            </w:tcBorders>
            <w:vAlign w:val="bottom"/>
          </w:tcPr>
          <w:p w14:paraId="74A2A65B"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196" w:type="dxa"/>
            <w:tcBorders>
              <w:top w:val="nil"/>
              <w:left w:val="single" w:sz="4" w:space="0" w:color="auto"/>
              <w:bottom w:val="nil"/>
              <w:right w:val="nil"/>
            </w:tcBorders>
            <w:shd w:val="clear" w:color="auto" w:fill="D9D9D9" w:themeFill="background1" w:themeFillShade="D9"/>
            <w:noWrap/>
            <w:vAlign w:val="bottom"/>
            <w:hideMark/>
          </w:tcPr>
          <w:p w14:paraId="1ED4D6BD"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p>
        </w:tc>
        <w:tc>
          <w:tcPr>
            <w:tcW w:w="1279" w:type="dxa"/>
            <w:tcBorders>
              <w:top w:val="nil"/>
              <w:left w:val="single" w:sz="8" w:space="0" w:color="auto"/>
              <w:bottom w:val="nil"/>
              <w:right w:val="single" w:sz="8" w:space="0" w:color="auto"/>
            </w:tcBorders>
            <w:shd w:val="clear" w:color="auto" w:fill="auto"/>
            <w:noWrap/>
            <w:vAlign w:val="bottom"/>
            <w:hideMark/>
          </w:tcPr>
          <w:p w14:paraId="663ED6DE"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ABRIL</w:t>
            </w:r>
          </w:p>
        </w:tc>
        <w:tc>
          <w:tcPr>
            <w:tcW w:w="850" w:type="dxa"/>
            <w:tcBorders>
              <w:top w:val="nil"/>
              <w:left w:val="nil"/>
              <w:bottom w:val="nil"/>
              <w:right w:val="single" w:sz="4" w:space="0" w:color="auto"/>
            </w:tcBorders>
          </w:tcPr>
          <w:p w14:paraId="13C5E40F"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p>
        </w:tc>
        <w:tc>
          <w:tcPr>
            <w:tcW w:w="1134" w:type="dxa"/>
            <w:tcBorders>
              <w:top w:val="nil"/>
              <w:left w:val="single" w:sz="4" w:space="0" w:color="auto"/>
              <w:bottom w:val="nil"/>
              <w:right w:val="single" w:sz="4" w:space="0" w:color="auto"/>
            </w:tcBorders>
            <w:vAlign w:val="bottom"/>
          </w:tcPr>
          <w:p w14:paraId="29CACC06"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709" w:type="dxa"/>
            <w:tcBorders>
              <w:top w:val="nil"/>
              <w:left w:val="single" w:sz="4" w:space="0" w:color="auto"/>
              <w:bottom w:val="nil"/>
              <w:right w:val="single" w:sz="8" w:space="0" w:color="auto"/>
            </w:tcBorders>
            <w:shd w:val="clear" w:color="auto" w:fill="auto"/>
            <w:noWrap/>
            <w:vAlign w:val="bottom"/>
            <w:hideMark/>
          </w:tcPr>
          <w:p w14:paraId="6401BAF9"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975" w:type="dxa"/>
            <w:tcBorders>
              <w:top w:val="nil"/>
              <w:left w:val="nil"/>
              <w:bottom w:val="nil"/>
              <w:right w:val="single" w:sz="8" w:space="0" w:color="auto"/>
            </w:tcBorders>
            <w:shd w:val="clear" w:color="auto" w:fill="auto"/>
            <w:noWrap/>
            <w:vAlign w:val="bottom"/>
            <w:hideMark/>
          </w:tcPr>
          <w:p w14:paraId="316ED686"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r>
      <w:tr w:rsidR="00BB5697" w:rsidRPr="00FD1551" w14:paraId="559CF962" w14:textId="77777777" w:rsidTr="00BF7C4A">
        <w:trPr>
          <w:trHeight w:val="171"/>
        </w:trPr>
        <w:tc>
          <w:tcPr>
            <w:tcW w:w="1149" w:type="dxa"/>
            <w:tcBorders>
              <w:left w:val="single" w:sz="4" w:space="0" w:color="auto"/>
              <w:right w:val="single" w:sz="4" w:space="0" w:color="auto"/>
            </w:tcBorders>
            <w:shd w:val="clear" w:color="auto" w:fill="auto"/>
            <w:noWrap/>
            <w:vAlign w:val="bottom"/>
            <w:hideMark/>
          </w:tcPr>
          <w:p w14:paraId="23C34648"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MAIO</w:t>
            </w:r>
          </w:p>
        </w:tc>
        <w:tc>
          <w:tcPr>
            <w:tcW w:w="851" w:type="dxa"/>
            <w:tcBorders>
              <w:left w:val="single" w:sz="4" w:space="0" w:color="auto"/>
              <w:right w:val="single" w:sz="4" w:space="0" w:color="auto"/>
            </w:tcBorders>
          </w:tcPr>
          <w:p w14:paraId="156BF00E" w14:textId="77777777" w:rsidR="00BB5697" w:rsidRPr="00FD1551" w:rsidRDefault="00BB5697" w:rsidP="00BF7C4A">
            <w:pPr>
              <w:spacing w:after="0" w:line="360" w:lineRule="auto"/>
              <w:jc w:val="center"/>
              <w:rPr>
                <w:rFonts w:ascii="Arial" w:eastAsia="Times New Roman" w:hAnsi="Arial" w:cs="Arial"/>
                <w:b/>
                <w:bCs/>
                <w:color w:val="000000"/>
                <w:sz w:val="16"/>
                <w:szCs w:val="16"/>
                <w:lang w:eastAsia="pt-BR"/>
              </w:rPr>
            </w:pPr>
          </w:p>
        </w:tc>
        <w:tc>
          <w:tcPr>
            <w:tcW w:w="1134" w:type="dxa"/>
            <w:tcBorders>
              <w:top w:val="nil"/>
              <w:left w:val="single" w:sz="4" w:space="0" w:color="auto"/>
              <w:bottom w:val="nil"/>
              <w:right w:val="single" w:sz="8" w:space="0" w:color="auto"/>
            </w:tcBorders>
            <w:shd w:val="clear" w:color="auto" w:fill="auto"/>
            <w:noWrap/>
            <w:vAlign w:val="bottom"/>
            <w:hideMark/>
          </w:tcPr>
          <w:p w14:paraId="68E50FE4"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709" w:type="dxa"/>
            <w:tcBorders>
              <w:top w:val="nil"/>
              <w:left w:val="nil"/>
              <w:bottom w:val="nil"/>
              <w:right w:val="single" w:sz="8" w:space="0" w:color="auto"/>
            </w:tcBorders>
            <w:shd w:val="clear" w:color="auto" w:fill="auto"/>
            <w:noWrap/>
            <w:vAlign w:val="bottom"/>
            <w:hideMark/>
          </w:tcPr>
          <w:p w14:paraId="369F909F"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793" w:type="dxa"/>
            <w:tcBorders>
              <w:top w:val="nil"/>
              <w:left w:val="nil"/>
              <w:bottom w:val="nil"/>
              <w:right w:val="single" w:sz="4" w:space="0" w:color="auto"/>
            </w:tcBorders>
            <w:vAlign w:val="bottom"/>
          </w:tcPr>
          <w:p w14:paraId="227BE1BB"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196" w:type="dxa"/>
            <w:tcBorders>
              <w:top w:val="nil"/>
              <w:left w:val="single" w:sz="4" w:space="0" w:color="auto"/>
              <w:bottom w:val="nil"/>
              <w:right w:val="nil"/>
            </w:tcBorders>
            <w:shd w:val="clear" w:color="auto" w:fill="D9D9D9" w:themeFill="background1" w:themeFillShade="D9"/>
            <w:noWrap/>
            <w:vAlign w:val="bottom"/>
            <w:hideMark/>
          </w:tcPr>
          <w:p w14:paraId="058F7EBB"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p>
        </w:tc>
        <w:tc>
          <w:tcPr>
            <w:tcW w:w="1279" w:type="dxa"/>
            <w:tcBorders>
              <w:top w:val="nil"/>
              <w:left w:val="single" w:sz="8" w:space="0" w:color="auto"/>
              <w:bottom w:val="nil"/>
              <w:right w:val="single" w:sz="8" w:space="0" w:color="auto"/>
            </w:tcBorders>
            <w:shd w:val="clear" w:color="auto" w:fill="auto"/>
            <w:noWrap/>
            <w:vAlign w:val="bottom"/>
            <w:hideMark/>
          </w:tcPr>
          <w:p w14:paraId="6CFD7D75"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MAIO</w:t>
            </w:r>
          </w:p>
        </w:tc>
        <w:tc>
          <w:tcPr>
            <w:tcW w:w="850" w:type="dxa"/>
            <w:tcBorders>
              <w:top w:val="nil"/>
              <w:left w:val="nil"/>
              <w:bottom w:val="nil"/>
              <w:right w:val="single" w:sz="4" w:space="0" w:color="auto"/>
            </w:tcBorders>
          </w:tcPr>
          <w:p w14:paraId="53C2F42E"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p>
        </w:tc>
        <w:tc>
          <w:tcPr>
            <w:tcW w:w="1134" w:type="dxa"/>
            <w:tcBorders>
              <w:top w:val="nil"/>
              <w:left w:val="single" w:sz="4" w:space="0" w:color="auto"/>
              <w:bottom w:val="nil"/>
              <w:right w:val="single" w:sz="4" w:space="0" w:color="auto"/>
            </w:tcBorders>
            <w:vAlign w:val="bottom"/>
          </w:tcPr>
          <w:p w14:paraId="791E5A28"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709" w:type="dxa"/>
            <w:tcBorders>
              <w:top w:val="nil"/>
              <w:left w:val="single" w:sz="4" w:space="0" w:color="auto"/>
              <w:bottom w:val="nil"/>
              <w:right w:val="single" w:sz="8" w:space="0" w:color="auto"/>
            </w:tcBorders>
            <w:shd w:val="clear" w:color="auto" w:fill="auto"/>
            <w:noWrap/>
            <w:vAlign w:val="bottom"/>
            <w:hideMark/>
          </w:tcPr>
          <w:p w14:paraId="1C759B62"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975" w:type="dxa"/>
            <w:tcBorders>
              <w:top w:val="nil"/>
              <w:left w:val="nil"/>
              <w:bottom w:val="nil"/>
              <w:right w:val="single" w:sz="8" w:space="0" w:color="auto"/>
            </w:tcBorders>
            <w:shd w:val="clear" w:color="auto" w:fill="auto"/>
            <w:noWrap/>
            <w:vAlign w:val="bottom"/>
            <w:hideMark/>
          </w:tcPr>
          <w:p w14:paraId="66D6B2F9"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r>
      <w:tr w:rsidR="00BB5697" w:rsidRPr="00FD1551" w14:paraId="65D0651F" w14:textId="77777777" w:rsidTr="00BF7C4A">
        <w:trPr>
          <w:trHeight w:val="171"/>
        </w:trPr>
        <w:tc>
          <w:tcPr>
            <w:tcW w:w="1149" w:type="dxa"/>
            <w:tcBorders>
              <w:left w:val="single" w:sz="4" w:space="0" w:color="auto"/>
              <w:right w:val="single" w:sz="4" w:space="0" w:color="auto"/>
            </w:tcBorders>
            <w:shd w:val="clear" w:color="auto" w:fill="auto"/>
            <w:noWrap/>
            <w:vAlign w:val="bottom"/>
            <w:hideMark/>
          </w:tcPr>
          <w:p w14:paraId="02181945"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JUNHO</w:t>
            </w:r>
          </w:p>
        </w:tc>
        <w:tc>
          <w:tcPr>
            <w:tcW w:w="851" w:type="dxa"/>
            <w:tcBorders>
              <w:left w:val="single" w:sz="4" w:space="0" w:color="auto"/>
              <w:right w:val="single" w:sz="4" w:space="0" w:color="auto"/>
            </w:tcBorders>
          </w:tcPr>
          <w:p w14:paraId="718E186C" w14:textId="77777777" w:rsidR="00BB5697" w:rsidRPr="00FD1551" w:rsidRDefault="00BB5697" w:rsidP="00BF7C4A">
            <w:pPr>
              <w:spacing w:after="0" w:line="360" w:lineRule="auto"/>
              <w:jc w:val="center"/>
              <w:rPr>
                <w:rFonts w:ascii="Arial" w:eastAsia="Times New Roman" w:hAnsi="Arial" w:cs="Arial"/>
                <w:b/>
                <w:bCs/>
                <w:color w:val="000000"/>
                <w:sz w:val="16"/>
                <w:szCs w:val="16"/>
                <w:lang w:eastAsia="pt-BR"/>
              </w:rPr>
            </w:pPr>
          </w:p>
        </w:tc>
        <w:tc>
          <w:tcPr>
            <w:tcW w:w="1134" w:type="dxa"/>
            <w:tcBorders>
              <w:top w:val="nil"/>
              <w:left w:val="single" w:sz="4" w:space="0" w:color="auto"/>
              <w:bottom w:val="nil"/>
              <w:right w:val="single" w:sz="8" w:space="0" w:color="auto"/>
            </w:tcBorders>
            <w:shd w:val="clear" w:color="auto" w:fill="auto"/>
            <w:noWrap/>
            <w:vAlign w:val="bottom"/>
            <w:hideMark/>
          </w:tcPr>
          <w:p w14:paraId="734BD574"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709" w:type="dxa"/>
            <w:tcBorders>
              <w:top w:val="nil"/>
              <w:left w:val="nil"/>
              <w:bottom w:val="nil"/>
              <w:right w:val="single" w:sz="8" w:space="0" w:color="auto"/>
            </w:tcBorders>
            <w:shd w:val="clear" w:color="auto" w:fill="auto"/>
            <w:noWrap/>
            <w:vAlign w:val="bottom"/>
            <w:hideMark/>
          </w:tcPr>
          <w:p w14:paraId="3F48BB67"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793" w:type="dxa"/>
            <w:tcBorders>
              <w:top w:val="nil"/>
              <w:left w:val="nil"/>
              <w:bottom w:val="nil"/>
              <w:right w:val="single" w:sz="4" w:space="0" w:color="auto"/>
            </w:tcBorders>
            <w:vAlign w:val="bottom"/>
          </w:tcPr>
          <w:p w14:paraId="644A266C"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196" w:type="dxa"/>
            <w:tcBorders>
              <w:top w:val="nil"/>
              <w:left w:val="single" w:sz="4" w:space="0" w:color="auto"/>
              <w:bottom w:val="nil"/>
              <w:right w:val="nil"/>
            </w:tcBorders>
            <w:shd w:val="clear" w:color="auto" w:fill="D9D9D9" w:themeFill="background1" w:themeFillShade="D9"/>
            <w:noWrap/>
            <w:vAlign w:val="bottom"/>
            <w:hideMark/>
          </w:tcPr>
          <w:p w14:paraId="0BB0EC6E"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p>
        </w:tc>
        <w:tc>
          <w:tcPr>
            <w:tcW w:w="1279" w:type="dxa"/>
            <w:tcBorders>
              <w:top w:val="nil"/>
              <w:left w:val="single" w:sz="8" w:space="0" w:color="auto"/>
              <w:bottom w:val="nil"/>
              <w:right w:val="single" w:sz="8" w:space="0" w:color="auto"/>
            </w:tcBorders>
            <w:shd w:val="clear" w:color="auto" w:fill="auto"/>
            <w:noWrap/>
            <w:vAlign w:val="bottom"/>
            <w:hideMark/>
          </w:tcPr>
          <w:p w14:paraId="1D6B00B8"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JUNHO</w:t>
            </w:r>
          </w:p>
        </w:tc>
        <w:tc>
          <w:tcPr>
            <w:tcW w:w="850" w:type="dxa"/>
            <w:tcBorders>
              <w:top w:val="nil"/>
              <w:left w:val="nil"/>
              <w:bottom w:val="nil"/>
              <w:right w:val="single" w:sz="4" w:space="0" w:color="auto"/>
            </w:tcBorders>
          </w:tcPr>
          <w:p w14:paraId="2D0754A2"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p>
        </w:tc>
        <w:tc>
          <w:tcPr>
            <w:tcW w:w="1134" w:type="dxa"/>
            <w:tcBorders>
              <w:top w:val="nil"/>
              <w:left w:val="single" w:sz="4" w:space="0" w:color="auto"/>
              <w:bottom w:val="nil"/>
              <w:right w:val="single" w:sz="4" w:space="0" w:color="auto"/>
            </w:tcBorders>
            <w:vAlign w:val="bottom"/>
          </w:tcPr>
          <w:p w14:paraId="0D4690C3"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709" w:type="dxa"/>
            <w:tcBorders>
              <w:top w:val="nil"/>
              <w:left w:val="single" w:sz="4" w:space="0" w:color="auto"/>
              <w:bottom w:val="nil"/>
              <w:right w:val="single" w:sz="8" w:space="0" w:color="auto"/>
            </w:tcBorders>
            <w:shd w:val="clear" w:color="auto" w:fill="auto"/>
            <w:noWrap/>
            <w:vAlign w:val="bottom"/>
            <w:hideMark/>
          </w:tcPr>
          <w:p w14:paraId="672C4E5F"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975" w:type="dxa"/>
            <w:tcBorders>
              <w:top w:val="nil"/>
              <w:left w:val="nil"/>
              <w:bottom w:val="nil"/>
              <w:right w:val="single" w:sz="8" w:space="0" w:color="auto"/>
            </w:tcBorders>
            <w:shd w:val="clear" w:color="auto" w:fill="auto"/>
            <w:noWrap/>
            <w:vAlign w:val="bottom"/>
            <w:hideMark/>
          </w:tcPr>
          <w:p w14:paraId="29C781EF"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r>
      <w:tr w:rsidR="00BB5697" w:rsidRPr="00FD1551" w14:paraId="015BE7B8" w14:textId="77777777" w:rsidTr="00BF7C4A">
        <w:trPr>
          <w:trHeight w:val="171"/>
        </w:trPr>
        <w:tc>
          <w:tcPr>
            <w:tcW w:w="1149" w:type="dxa"/>
            <w:tcBorders>
              <w:left w:val="single" w:sz="4" w:space="0" w:color="auto"/>
              <w:right w:val="single" w:sz="4" w:space="0" w:color="auto"/>
            </w:tcBorders>
            <w:shd w:val="clear" w:color="auto" w:fill="auto"/>
            <w:noWrap/>
            <w:vAlign w:val="bottom"/>
            <w:hideMark/>
          </w:tcPr>
          <w:p w14:paraId="06C4320D"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JULHO</w:t>
            </w:r>
          </w:p>
        </w:tc>
        <w:tc>
          <w:tcPr>
            <w:tcW w:w="851" w:type="dxa"/>
            <w:tcBorders>
              <w:left w:val="single" w:sz="4" w:space="0" w:color="auto"/>
              <w:right w:val="single" w:sz="4" w:space="0" w:color="auto"/>
            </w:tcBorders>
          </w:tcPr>
          <w:p w14:paraId="2FC0E3C2" w14:textId="77777777" w:rsidR="00BB5697" w:rsidRPr="00FD1551" w:rsidRDefault="00BB5697" w:rsidP="00BF7C4A">
            <w:pPr>
              <w:spacing w:after="0" w:line="360" w:lineRule="auto"/>
              <w:jc w:val="center"/>
              <w:rPr>
                <w:rFonts w:ascii="Arial" w:eastAsia="Times New Roman" w:hAnsi="Arial" w:cs="Arial"/>
                <w:b/>
                <w:bCs/>
                <w:color w:val="000000"/>
                <w:sz w:val="16"/>
                <w:szCs w:val="16"/>
                <w:lang w:eastAsia="pt-BR"/>
              </w:rPr>
            </w:pPr>
          </w:p>
        </w:tc>
        <w:tc>
          <w:tcPr>
            <w:tcW w:w="1134" w:type="dxa"/>
            <w:tcBorders>
              <w:top w:val="nil"/>
              <w:left w:val="single" w:sz="4" w:space="0" w:color="auto"/>
              <w:bottom w:val="nil"/>
              <w:right w:val="single" w:sz="8" w:space="0" w:color="auto"/>
            </w:tcBorders>
            <w:shd w:val="clear" w:color="auto" w:fill="auto"/>
            <w:noWrap/>
            <w:vAlign w:val="bottom"/>
            <w:hideMark/>
          </w:tcPr>
          <w:p w14:paraId="15EE4473"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709" w:type="dxa"/>
            <w:tcBorders>
              <w:top w:val="nil"/>
              <w:left w:val="nil"/>
              <w:bottom w:val="nil"/>
              <w:right w:val="single" w:sz="8" w:space="0" w:color="auto"/>
            </w:tcBorders>
            <w:shd w:val="clear" w:color="auto" w:fill="auto"/>
            <w:noWrap/>
            <w:vAlign w:val="bottom"/>
            <w:hideMark/>
          </w:tcPr>
          <w:p w14:paraId="70C4A161"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793" w:type="dxa"/>
            <w:tcBorders>
              <w:top w:val="nil"/>
              <w:left w:val="nil"/>
              <w:bottom w:val="nil"/>
              <w:right w:val="single" w:sz="4" w:space="0" w:color="auto"/>
            </w:tcBorders>
            <w:vAlign w:val="bottom"/>
          </w:tcPr>
          <w:p w14:paraId="426FE985"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196" w:type="dxa"/>
            <w:tcBorders>
              <w:top w:val="nil"/>
              <w:left w:val="single" w:sz="4" w:space="0" w:color="auto"/>
              <w:bottom w:val="nil"/>
              <w:right w:val="nil"/>
            </w:tcBorders>
            <w:shd w:val="clear" w:color="auto" w:fill="D9D9D9" w:themeFill="background1" w:themeFillShade="D9"/>
            <w:noWrap/>
            <w:vAlign w:val="bottom"/>
            <w:hideMark/>
          </w:tcPr>
          <w:p w14:paraId="5A5E60B7"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p>
        </w:tc>
        <w:tc>
          <w:tcPr>
            <w:tcW w:w="1279" w:type="dxa"/>
            <w:tcBorders>
              <w:top w:val="nil"/>
              <w:left w:val="single" w:sz="8" w:space="0" w:color="auto"/>
              <w:bottom w:val="nil"/>
              <w:right w:val="single" w:sz="8" w:space="0" w:color="auto"/>
            </w:tcBorders>
            <w:shd w:val="clear" w:color="auto" w:fill="auto"/>
            <w:noWrap/>
            <w:vAlign w:val="bottom"/>
            <w:hideMark/>
          </w:tcPr>
          <w:p w14:paraId="71B13EAB"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JULHO</w:t>
            </w:r>
          </w:p>
        </w:tc>
        <w:tc>
          <w:tcPr>
            <w:tcW w:w="850" w:type="dxa"/>
            <w:tcBorders>
              <w:top w:val="nil"/>
              <w:left w:val="nil"/>
              <w:bottom w:val="nil"/>
              <w:right w:val="single" w:sz="4" w:space="0" w:color="auto"/>
            </w:tcBorders>
          </w:tcPr>
          <w:p w14:paraId="37BE1F6E"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p>
        </w:tc>
        <w:tc>
          <w:tcPr>
            <w:tcW w:w="1134" w:type="dxa"/>
            <w:tcBorders>
              <w:top w:val="nil"/>
              <w:left w:val="single" w:sz="4" w:space="0" w:color="auto"/>
              <w:bottom w:val="nil"/>
              <w:right w:val="single" w:sz="4" w:space="0" w:color="auto"/>
            </w:tcBorders>
            <w:vAlign w:val="bottom"/>
          </w:tcPr>
          <w:p w14:paraId="13C89BCD"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709" w:type="dxa"/>
            <w:tcBorders>
              <w:top w:val="nil"/>
              <w:left w:val="single" w:sz="4" w:space="0" w:color="auto"/>
              <w:bottom w:val="nil"/>
              <w:right w:val="single" w:sz="8" w:space="0" w:color="auto"/>
            </w:tcBorders>
            <w:shd w:val="clear" w:color="auto" w:fill="auto"/>
            <w:noWrap/>
            <w:vAlign w:val="bottom"/>
            <w:hideMark/>
          </w:tcPr>
          <w:p w14:paraId="120DBCF9"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975" w:type="dxa"/>
            <w:tcBorders>
              <w:top w:val="nil"/>
              <w:left w:val="nil"/>
              <w:bottom w:val="nil"/>
              <w:right w:val="single" w:sz="8" w:space="0" w:color="auto"/>
            </w:tcBorders>
            <w:shd w:val="clear" w:color="auto" w:fill="auto"/>
            <w:noWrap/>
            <w:vAlign w:val="bottom"/>
            <w:hideMark/>
          </w:tcPr>
          <w:p w14:paraId="34176A75"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r>
      <w:tr w:rsidR="00BB5697" w:rsidRPr="00FD1551" w14:paraId="12F3A478" w14:textId="77777777" w:rsidTr="00BF7C4A">
        <w:trPr>
          <w:trHeight w:val="171"/>
        </w:trPr>
        <w:tc>
          <w:tcPr>
            <w:tcW w:w="1149" w:type="dxa"/>
            <w:tcBorders>
              <w:left w:val="single" w:sz="4" w:space="0" w:color="auto"/>
              <w:right w:val="single" w:sz="4" w:space="0" w:color="auto"/>
            </w:tcBorders>
            <w:shd w:val="clear" w:color="auto" w:fill="auto"/>
            <w:noWrap/>
            <w:vAlign w:val="bottom"/>
            <w:hideMark/>
          </w:tcPr>
          <w:p w14:paraId="3DD52FD2"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AGOSTO</w:t>
            </w:r>
          </w:p>
        </w:tc>
        <w:tc>
          <w:tcPr>
            <w:tcW w:w="851" w:type="dxa"/>
            <w:tcBorders>
              <w:left w:val="single" w:sz="4" w:space="0" w:color="auto"/>
              <w:right w:val="single" w:sz="4" w:space="0" w:color="auto"/>
            </w:tcBorders>
          </w:tcPr>
          <w:p w14:paraId="36986B0D" w14:textId="77777777" w:rsidR="00BB5697" w:rsidRPr="00FD1551" w:rsidRDefault="00BB5697" w:rsidP="00BF7C4A">
            <w:pPr>
              <w:spacing w:after="0" w:line="360" w:lineRule="auto"/>
              <w:jc w:val="center"/>
              <w:rPr>
                <w:rFonts w:ascii="Arial" w:eastAsia="Times New Roman" w:hAnsi="Arial" w:cs="Arial"/>
                <w:b/>
                <w:bCs/>
                <w:color w:val="000000"/>
                <w:sz w:val="16"/>
                <w:szCs w:val="16"/>
                <w:lang w:eastAsia="pt-BR"/>
              </w:rPr>
            </w:pPr>
          </w:p>
        </w:tc>
        <w:tc>
          <w:tcPr>
            <w:tcW w:w="1134" w:type="dxa"/>
            <w:tcBorders>
              <w:top w:val="nil"/>
              <w:left w:val="single" w:sz="4" w:space="0" w:color="auto"/>
              <w:bottom w:val="nil"/>
              <w:right w:val="single" w:sz="8" w:space="0" w:color="auto"/>
            </w:tcBorders>
            <w:shd w:val="clear" w:color="auto" w:fill="auto"/>
            <w:noWrap/>
            <w:vAlign w:val="bottom"/>
            <w:hideMark/>
          </w:tcPr>
          <w:p w14:paraId="104F95E9"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709" w:type="dxa"/>
            <w:tcBorders>
              <w:top w:val="nil"/>
              <w:left w:val="nil"/>
              <w:bottom w:val="nil"/>
              <w:right w:val="single" w:sz="8" w:space="0" w:color="auto"/>
            </w:tcBorders>
            <w:shd w:val="clear" w:color="auto" w:fill="auto"/>
            <w:noWrap/>
            <w:vAlign w:val="bottom"/>
            <w:hideMark/>
          </w:tcPr>
          <w:p w14:paraId="5836CA5C"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793" w:type="dxa"/>
            <w:tcBorders>
              <w:top w:val="nil"/>
              <w:left w:val="nil"/>
              <w:bottom w:val="nil"/>
              <w:right w:val="single" w:sz="4" w:space="0" w:color="auto"/>
            </w:tcBorders>
            <w:vAlign w:val="bottom"/>
          </w:tcPr>
          <w:p w14:paraId="48FE0689"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196" w:type="dxa"/>
            <w:tcBorders>
              <w:top w:val="nil"/>
              <w:left w:val="single" w:sz="4" w:space="0" w:color="auto"/>
              <w:bottom w:val="nil"/>
              <w:right w:val="nil"/>
            </w:tcBorders>
            <w:shd w:val="clear" w:color="auto" w:fill="D9D9D9" w:themeFill="background1" w:themeFillShade="D9"/>
            <w:noWrap/>
            <w:vAlign w:val="bottom"/>
            <w:hideMark/>
          </w:tcPr>
          <w:p w14:paraId="544D8AD0"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p>
        </w:tc>
        <w:tc>
          <w:tcPr>
            <w:tcW w:w="1279" w:type="dxa"/>
            <w:tcBorders>
              <w:top w:val="nil"/>
              <w:left w:val="single" w:sz="8" w:space="0" w:color="auto"/>
              <w:bottom w:val="nil"/>
              <w:right w:val="single" w:sz="8" w:space="0" w:color="auto"/>
            </w:tcBorders>
            <w:shd w:val="clear" w:color="auto" w:fill="auto"/>
            <w:noWrap/>
            <w:vAlign w:val="bottom"/>
            <w:hideMark/>
          </w:tcPr>
          <w:p w14:paraId="3DD32D9F"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AGOSTO</w:t>
            </w:r>
          </w:p>
        </w:tc>
        <w:tc>
          <w:tcPr>
            <w:tcW w:w="850" w:type="dxa"/>
            <w:tcBorders>
              <w:top w:val="nil"/>
              <w:left w:val="nil"/>
              <w:bottom w:val="nil"/>
              <w:right w:val="single" w:sz="4" w:space="0" w:color="auto"/>
            </w:tcBorders>
          </w:tcPr>
          <w:p w14:paraId="698A015B"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p>
        </w:tc>
        <w:tc>
          <w:tcPr>
            <w:tcW w:w="1134" w:type="dxa"/>
            <w:tcBorders>
              <w:top w:val="nil"/>
              <w:left w:val="single" w:sz="4" w:space="0" w:color="auto"/>
              <w:bottom w:val="nil"/>
              <w:right w:val="single" w:sz="4" w:space="0" w:color="auto"/>
            </w:tcBorders>
            <w:vAlign w:val="bottom"/>
          </w:tcPr>
          <w:p w14:paraId="6E62DCAB"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709" w:type="dxa"/>
            <w:tcBorders>
              <w:top w:val="nil"/>
              <w:left w:val="single" w:sz="4" w:space="0" w:color="auto"/>
              <w:bottom w:val="nil"/>
              <w:right w:val="single" w:sz="8" w:space="0" w:color="auto"/>
            </w:tcBorders>
            <w:shd w:val="clear" w:color="auto" w:fill="auto"/>
            <w:noWrap/>
            <w:vAlign w:val="bottom"/>
            <w:hideMark/>
          </w:tcPr>
          <w:p w14:paraId="61B87971"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975" w:type="dxa"/>
            <w:tcBorders>
              <w:top w:val="nil"/>
              <w:left w:val="nil"/>
              <w:bottom w:val="nil"/>
              <w:right w:val="single" w:sz="8" w:space="0" w:color="auto"/>
            </w:tcBorders>
            <w:shd w:val="clear" w:color="auto" w:fill="auto"/>
            <w:noWrap/>
            <w:vAlign w:val="bottom"/>
            <w:hideMark/>
          </w:tcPr>
          <w:p w14:paraId="7D17BE7C"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r>
      <w:tr w:rsidR="00BB5697" w:rsidRPr="00FD1551" w14:paraId="430E7AD2" w14:textId="77777777" w:rsidTr="00BF7C4A">
        <w:trPr>
          <w:trHeight w:val="171"/>
        </w:trPr>
        <w:tc>
          <w:tcPr>
            <w:tcW w:w="1149" w:type="dxa"/>
            <w:tcBorders>
              <w:left w:val="single" w:sz="4" w:space="0" w:color="auto"/>
              <w:right w:val="single" w:sz="4" w:space="0" w:color="auto"/>
            </w:tcBorders>
            <w:shd w:val="clear" w:color="auto" w:fill="auto"/>
            <w:noWrap/>
            <w:vAlign w:val="bottom"/>
            <w:hideMark/>
          </w:tcPr>
          <w:p w14:paraId="27F9482B"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SETEMBRO</w:t>
            </w:r>
          </w:p>
        </w:tc>
        <w:tc>
          <w:tcPr>
            <w:tcW w:w="851" w:type="dxa"/>
            <w:tcBorders>
              <w:left w:val="single" w:sz="4" w:space="0" w:color="auto"/>
              <w:right w:val="single" w:sz="4" w:space="0" w:color="auto"/>
            </w:tcBorders>
          </w:tcPr>
          <w:p w14:paraId="2152526B" w14:textId="77777777" w:rsidR="00BB5697" w:rsidRPr="00FD1551" w:rsidRDefault="00BB5697" w:rsidP="00BF7C4A">
            <w:pPr>
              <w:spacing w:after="0" w:line="360" w:lineRule="auto"/>
              <w:jc w:val="center"/>
              <w:rPr>
                <w:rFonts w:ascii="Arial" w:eastAsia="Times New Roman" w:hAnsi="Arial" w:cs="Arial"/>
                <w:b/>
                <w:bCs/>
                <w:color w:val="000000"/>
                <w:sz w:val="16"/>
                <w:szCs w:val="16"/>
                <w:lang w:eastAsia="pt-BR"/>
              </w:rPr>
            </w:pPr>
          </w:p>
        </w:tc>
        <w:tc>
          <w:tcPr>
            <w:tcW w:w="1134" w:type="dxa"/>
            <w:tcBorders>
              <w:top w:val="nil"/>
              <w:left w:val="single" w:sz="4" w:space="0" w:color="auto"/>
              <w:bottom w:val="nil"/>
              <w:right w:val="single" w:sz="8" w:space="0" w:color="auto"/>
            </w:tcBorders>
            <w:shd w:val="clear" w:color="auto" w:fill="auto"/>
            <w:noWrap/>
            <w:vAlign w:val="bottom"/>
            <w:hideMark/>
          </w:tcPr>
          <w:p w14:paraId="6E30A092"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709" w:type="dxa"/>
            <w:tcBorders>
              <w:top w:val="nil"/>
              <w:left w:val="nil"/>
              <w:bottom w:val="nil"/>
              <w:right w:val="single" w:sz="8" w:space="0" w:color="auto"/>
            </w:tcBorders>
            <w:shd w:val="clear" w:color="auto" w:fill="auto"/>
            <w:noWrap/>
            <w:vAlign w:val="bottom"/>
            <w:hideMark/>
          </w:tcPr>
          <w:p w14:paraId="5A8CE8BD"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793" w:type="dxa"/>
            <w:tcBorders>
              <w:top w:val="nil"/>
              <w:left w:val="nil"/>
              <w:bottom w:val="nil"/>
              <w:right w:val="single" w:sz="4" w:space="0" w:color="auto"/>
            </w:tcBorders>
            <w:vAlign w:val="bottom"/>
          </w:tcPr>
          <w:p w14:paraId="6AC9837C"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196" w:type="dxa"/>
            <w:tcBorders>
              <w:top w:val="nil"/>
              <w:left w:val="single" w:sz="4" w:space="0" w:color="auto"/>
              <w:bottom w:val="nil"/>
              <w:right w:val="nil"/>
            </w:tcBorders>
            <w:shd w:val="clear" w:color="auto" w:fill="D9D9D9" w:themeFill="background1" w:themeFillShade="D9"/>
            <w:noWrap/>
            <w:vAlign w:val="bottom"/>
            <w:hideMark/>
          </w:tcPr>
          <w:p w14:paraId="4FC60A4E"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p>
        </w:tc>
        <w:tc>
          <w:tcPr>
            <w:tcW w:w="1279" w:type="dxa"/>
            <w:tcBorders>
              <w:top w:val="nil"/>
              <w:left w:val="single" w:sz="8" w:space="0" w:color="auto"/>
              <w:bottom w:val="nil"/>
              <w:right w:val="single" w:sz="8" w:space="0" w:color="auto"/>
            </w:tcBorders>
            <w:shd w:val="clear" w:color="auto" w:fill="auto"/>
            <w:noWrap/>
            <w:vAlign w:val="bottom"/>
            <w:hideMark/>
          </w:tcPr>
          <w:p w14:paraId="7B863FA7"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SETEMBRO</w:t>
            </w:r>
          </w:p>
        </w:tc>
        <w:tc>
          <w:tcPr>
            <w:tcW w:w="850" w:type="dxa"/>
            <w:tcBorders>
              <w:top w:val="nil"/>
              <w:left w:val="nil"/>
              <w:bottom w:val="nil"/>
              <w:right w:val="single" w:sz="4" w:space="0" w:color="auto"/>
            </w:tcBorders>
          </w:tcPr>
          <w:p w14:paraId="6844EA65"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p>
        </w:tc>
        <w:tc>
          <w:tcPr>
            <w:tcW w:w="1134" w:type="dxa"/>
            <w:tcBorders>
              <w:top w:val="nil"/>
              <w:left w:val="single" w:sz="4" w:space="0" w:color="auto"/>
              <w:bottom w:val="nil"/>
              <w:right w:val="single" w:sz="4" w:space="0" w:color="auto"/>
            </w:tcBorders>
            <w:vAlign w:val="bottom"/>
          </w:tcPr>
          <w:p w14:paraId="36E100EE"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709" w:type="dxa"/>
            <w:tcBorders>
              <w:top w:val="nil"/>
              <w:left w:val="single" w:sz="4" w:space="0" w:color="auto"/>
              <w:bottom w:val="nil"/>
              <w:right w:val="single" w:sz="8" w:space="0" w:color="auto"/>
            </w:tcBorders>
            <w:shd w:val="clear" w:color="auto" w:fill="auto"/>
            <w:noWrap/>
            <w:vAlign w:val="bottom"/>
            <w:hideMark/>
          </w:tcPr>
          <w:p w14:paraId="70ED74F0"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975" w:type="dxa"/>
            <w:tcBorders>
              <w:top w:val="nil"/>
              <w:left w:val="nil"/>
              <w:bottom w:val="nil"/>
              <w:right w:val="single" w:sz="8" w:space="0" w:color="auto"/>
            </w:tcBorders>
            <w:shd w:val="clear" w:color="auto" w:fill="auto"/>
            <w:noWrap/>
            <w:vAlign w:val="bottom"/>
            <w:hideMark/>
          </w:tcPr>
          <w:p w14:paraId="60AC0A28"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r>
      <w:tr w:rsidR="00BB5697" w:rsidRPr="00FD1551" w14:paraId="406EE63A" w14:textId="77777777" w:rsidTr="00BF7C4A">
        <w:trPr>
          <w:trHeight w:val="171"/>
        </w:trPr>
        <w:tc>
          <w:tcPr>
            <w:tcW w:w="1149" w:type="dxa"/>
            <w:tcBorders>
              <w:left w:val="single" w:sz="4" w:space="0" w:color="auto"/>
              <w:right w:val="single" w:sz="4" w:space="0" w:color="auto"/>
            </w:tcBorders>
            <w:shd w:val="clear" w:color="auto" w:fill="auto"/>
            <w:noWrap/>
            <w:vAlign w:val="bottom"/>
            <w:hideMark/>
          </w:tcPr>
          <w:p w14:paraId="1D8A9F69"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OUTUBRO</w:t>
            </w:r>
          </w:p>
        </w:tc>
        <w:tc>
          <w:tcPr>
            <w:tcW w:w="851" w:type="dxa"/>
            <w:tcBorders>
              <w:left w:val="single" w:sz="4" w:space="0" w:color="auto"/>
              <w:right w:val="single" w:sz="4" w:space="0" w:color="auto"/>
            </w:tcBorders>
          </w:tcPr>
          <w:p w14:paraId="6A123FCE" w14:textId="77777777" w:rsidR="00BB5697" w:rsidRPr="00FD1551" w:rsidRDefault="00BB5697" w:rsidP="00BF7C4A">
            <w:pPr>
              <w:spacing w:after="0" w:line="360" w:lineRule="auto"/>
              <w:jc w:val="center"/>
              <w:rPr>
                <w:rFonts w:ascii="Arial" w:eastAsia="Times New Roman" w:hAnsi="Arial" w:cs="Arial"/>
                <w:b/>
                <w:bCs/>
                <w:color w:val="000000"/>
                <w:sz w:val="16"/>
                <w:szCs w:val="16"/>
                <w:lang w:eastAsia="pt-BR"/>
              </w:rPr>
            </w:pPr>
          </w:p>
        </w:tc>
        <w:tc>
          <w:tcPr>
            <w:tcW w:w="1134" w:type="dxa"/>
            <w:tcBorders>
              <w:top w:val="nil"/>
              <w:left w:val="single" w:sz="4" w:space="0" w:color="auto"/>
              <w:bottom w:val="nil"/>
              <w:right w:val="single" w:sz="8" w:space="0" w:color="auto"/>
            </w:tcBorders>
            <w:shd w:val="clear" w:color="auto" w:fill="auto"/>
            <w:noWrap/>
            <w:vAlign w:val="bottom"/>
            <w:hideMark/>
          </w:tcPr>
          <w:p w14:paraId="5926B8AC"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709" w:type="dxa"/>
            <w:tcBorders>
              <w:top w:val="nil"/>
              <w:left w:val="nil"/>
              <w:bottom w:val="nil"/>
              <w:right w:val="single" w:sz="8" w:space="0" w:color="auto"/>
            </w:tcBorders>
            <w:shd w:val="clear" w:color="auto" w:fill="auto"/>
            <w:noWrap/>
            <w:vAlign w:val="bottom"/>
            <w:hideMark/>
          </w:tcPr>
          <w:p w14:paraId="3D877B79"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793" w:type="dxa"/>
            <w:tcBorders>
              <w:top w:val="nil"/>
              <w:left w:val="nil"/>
              <w:bottom w:val="nil"/>
              <w:right w:val="single" w:sz="4" w:space="0" w:color="auto"/>
            </w:tcBorders>
            <w:vAlign w:val="bottom"/>
          </w:tcPr>
          <w:p w14:paraId="11989465"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196" w:type="dxa"/>
            <w:tcBorders>
              <w:top w:val="nil"/>
              <w:left w:val="single" w:sz="4" w:space="0" w:color="auto"/>
              <w:bottom w:val="nil"/>
              <w:right w:val="nil"/>
            </w:tcBorders>
            <w:shd w:val="clear" w:color="auto" w:fill="D9D9D9" w:themeFill="background1" w:themeFillShade="D9"/>
            <w:noWrap/>
            <w:vAlign w:val="bottom"/>
            <w:hideMark/>
          </w:tcPr>
          <w:p w14:paraId="2581AC74"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p>
        </w:tc>
        <w:tc>
          <w:tcPr>
            <w:tcW w:w="1279" w:type="dxa"/>
            <w:tcBorders>
              <w:top w:val="nil"/>
              <w:left w:val="single" w:sz="8" w:space="0" w:color="auto"/>
              <w:bottom w:val="nil"/>
              <w:right w:val="single" w:sz="8" w:space="0" w:color="auto"/>
            </w:tcBorders>
            <w:shd w:val="clear" w:color="auto" w:fill="auto"/>
            <w:noWrap/>
            <w:vAlign w:val="bottom"/>
            <w:hideMark/>
          </w:tcPr>
          <w:p w14:paraId="7AC195BC"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OUTUBRO</w:t>
            </w:r>
          </w:p>
        </w:tc>
        <w:tc>
          <w:tcPr>
            <w:tcW w:w="850" w:type="dxa"/>
            <w:tcBorders>
              <w:top w:val="nil"/>
              <w:left w:val="nil"/>
              <w:bottom w:val="nil"/>
              <w:right w:val="single" w:sz="4" w:space="0" w:color="auto"/>
            </w:tcBorders>
          </w:tcPr>
          <w:p w14:paraId="6F9A44F4"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p>
        </w:tc>
        <w:tc>
          <w:tcPr>
            <w:tcW w:w="1134" w:type="dxa"/>
            <w:tcBorders>
              <w:top w:val="nil"/>
              <w:left w:val="single" w:sz="4" w:space="0" w:color="auto"/>
              <w:bottom w:val="nil"/>
              <w:right w:val="single" w:sz="4" w:space="0" w:color="auto"/>
            </w:tcBorders>
            <w:vAlign w:val="bottom"/>
          </w:tcPr>
          <w:p w14:paraId="0C5447FE"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709" w:type="dxa"/>
            <w:tcBorders>
              <w:top w:val="nil"/>
              <w:left w:val="single" w:sz="4" w:space="0" w:color="auto"/>
              <w:bottom w:val="nil"/>
              <w:right w:val="single" w:sz="8" w:space="0" w:color="auto"/>
            </w:tcBorders>
            <w:shd w:val="clear" w:color="auto" w:fill="auto"/>
            <w:noWrap/>
            <w:vAlign w:val="bottom"/>
            <w:hideMark/>
          </w:tcPr>
          <w:p w14:paraId="185A9EC9"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975" w:type="dxa"/>
            <w:tcBorders>
              <w:top w:val="nil"/>
              <w:left w:val="nil"/>
              <w:bottom w:val="nil"/>
              <w:right w:val="single" w:sz="8" w:space="0" w:color="auto"/>
            </w:tcBorders>
            <w:shd w:val="clear" w:color="auto" w:fill="auto"/>
            <w:noWrap/>
            <w:vAlign w:val="bottom"/>
            <w:hideMark/>
          </w:tcPr>
          <w:p w14:paraId="678A51BE"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r>
      <w:tr w:rsidR="00BB5697" w:rsidRPr="00FD1551" w14:paraId="5A44D4A9" w14:textId="77777777" w:rsidTr="00BF7C4A">
        <w:trPr>
          <w:trHeight w:val="171"/>
        </w:trPr>
        <w:tc>
          <w:tcPr>
            <w:tcW w:w="1149" w:type="dxa"/>
            <w:tcBorders>
              <w:left w:val="single" w:sz="4" w:space="0" w:color="auto"/>
              <w:right w:val="single" w:sz="4" w:space="0" w:color="auto"/>
            </w:tcBorders>
            <w:shd w:val="clear" w:color="auto" w:fill="auto"/>
            <w:noWrap/>
            <w:vAlign w:val="bottom"/>
            <w:hideMark/>
          </w:tcPr>
          <w:p w14:paraId="798310BD"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NOVEMBRO</w:t>
            </w:r>
          </w:p>
        </w:tc>
        <w:tc>
          <w:tcPr>
            <w:tcW w:w="851" w:type="dxa"/>
            <w:tcBorders>
              <w:left w:val="single" w:sz="4" w:space="0" w:color="auto"/>
              <w:right w:val="single" w:sz="4" w:space="0" w:color="auto"/>
            </w:tcBorders>
          </w:tcPr>
          <w:p w14:paraId="3426226A" w14:textId="77777777" w:rsidR="00BB5697" w:rsidRPr="00FD1551" w:rsidRDefault="00BB5697" w:rsidP="00BF7C4A">
            <w:pPr>
              <w:spacing w:after="0" w:line="360" w:lineRule="auto"/>
              <w:jc w:val="center"/>
              <w:rPr>
                <w:rFonts w:ascii="Arial" w:eastAsia="Times New Roman" w:hAnsi="Arial" w:cs="Arial"/>
                <w:b/>
                <w:bCs/>
                <w:color w:val="000000"/>
                <w:sz w:val="16"/>
                <w:szCs w:val="16"/>
                <w:lang w:eastAsia="pt-BR"/>
              </w:rPr>
            </w:pPr>
          </w:p>
        </w:tc>
        <w:tc>
          <w:tcPr>
            <w:tcW w:w="1134" w:type="dxa"/>
            <w:tcBorders>
              <w:top w:val="nil"/>
              <w:left w:val="single" w:sz="4" w:space="0" w:color="auto"/>
              <w:bottom w:val="nil"/>
              <w:right w:val="single" w:sz="8" w:space="0" w:color="auto"/>
            </w:tcBorders>
            <w:shd w:val="clear" w:color="auto" w:fill="auto"/>
            <w:noWrap/>
            <w:vAlign w:val="bottom"/>
            <w:hideMark/>
          </w:tcPr>
          <w:p w14:paraId="36030ACF"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709" w:type="dxa"/>
            <w:tcBorders>
              <w:top w:val="nil"/>
              <w:left w:val="nil"/>
              <w:bottom w:val="nil"/>
              <w:right w:val="single" w:sz="8" w:space="0" w:color="auto"/>
            </w:tcBorders>
            <w:shd w:val="clear" w:color="auto" w:fill="auto"/>
            <w:noWrap/>
            <w:vAlign w:val="bottom"/>
            <w:hideMark/>
          </w:tcPr>
          <w:p w14:paraId="2DC279EC"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793" w:type="dxa"/>
            <w:tcBorders>
              <w:top w:val="nil"/>
              <w:left w:val="nil"/>
              <w:bottom w:val="nil"/>
              <w:right w:val="single" w:sz="4" w:space="0" w:color="auto"/>
            </w:tcBorders>
            <w:vAlign w:val="bottom"/>
          </w:tcPr>
          <w:p w14:paraId="18CC1A98"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196" w:type="dxa"/>
            <w:tcBorders>
              <w:top w:val="nil"/>
              <w:left w:val="single" w:sz="4" w:space="0" w:color="auto"/>
              <w:bottom w:val="nil"/>
              <w:right w:val="nil"/>
            </w:tcBorders>
            <w:shd w:val="clear" w:color="auto" w:fill="D9D9D9" w:themeFill="background1" w:themeFillShade="D9"/>
            <w:noWrap/>
            <w:vAlign w:val="bottom"/>
            <w:hideMark/>
          </w:tcPr>
          <w:p w14:paraId="6924F41C"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p>
        </w:tc>
        <w:tc>
          <w:tcPr>
            <w:tcW w:w="1279" w:type="dxa"/>
            <w:tcBorders>
              <w:top w:val="nil"/>
              <w:left w:val="single" w:sz="8" w:space="0" w:color="auto"/>
              <w:bottom w:val="nil"/>
              <w:right w:val="single" w:sz="8" w:space="0" w:color="auto"/>
            </w:tcBorders>
            <w:shd w:val="clear" w:color="auto" w:fill="auto"/>
            <w:noWrap/>
            <w:vAlign w:val="bottom"/>
            <w:hideMark/>
          </w:tcPr>
          <w:p w14:paraId="49B5CD88"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NOVEMBRO</w:t>
            </w:r>
          </w:p>
        </w:tc>
        <w:tc>
          <w:tcPr>
            <w:tcW w:w="850" w:type="dxa"/>
            <w:tcBorders>
              <w:top w:val="nil"/>
              <w:left w:val="nil"/>
              <w:bottom w:val="nil"/>
              <w:right w:val="single" w:sz="4" w:space="0" w:color="auto"/>
            </w:tcBorders>
          </w:tcPr>
          <w:p w14:paraId="5E9AC1CE"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p>
        </w:tc>
        <w:tc>
          <w:tcPr>
            <w:tcW w:w="1134" w:type="dxa"/>
            <w:tcBorders>
              <w:top w:val="nil"/>
              <w:left w:val="single" w:sz="4" w:space="0" w:color="auto"/>
              <w:bottom w:val="nil"/>
              <w:right w:val="single" w:sz="4" w:space="0" w:color="auto"/>
            </w:tcBorders>
            <w:vAlign w:val="bottom"/>
          </w:tcPr>
          <w:p w14:paraId="7209EF26"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709" w:type="dxa"/>
            <w:tcBorders>
              <w:top w:val="nil"/>
              <w:left w:val="single" w:sz="4" w:space="0" w:color="auto"/>
              <w:bottom w:val="nil"/>
              <w:right w:val="single" w:sz="8" w:space="0" w:color="auto"/>
            </w:tcBorders>
            <w:shd w:val="clear" w:color="auto" w:fill="auto"/>
            <w:noWrap/>
            <w:vAlign w:val="bottom"/>
            <w:hideMark/>
          </w:tcPr>
          <w:p w14:paraId="0228738E"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975" w:type="dxa"/>
            <w:tcBorders>
              <w:top w:val="nil"/>
              <w:left w:val="nil"/>
              <w:bottom w:val="nil"/>
              <w:right w:val="single" w:sz="8" w:space="0" w:color="auto"/>
            </w:tcBorders>
            <w:shd w:val="clear" w:color="auto" w:fill="auto"/>
            <w:noWrap/>
            <w:vAlign w:val="bottom"/>
            <w:hideMark/>
          </w:tcPr>
          <w:p w14:paraId="64E5ADAE"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r>
      <w:tr w:rsidR="00BB5697" w:rsidRPr="00FD1551" w14:paraId="28C6C50A" w14:textId="77777777" w:rsidTr="00BF7C4A">
        <w:trPr>
          <w:trHeight w:val="171"/>
        </w:trPr>
        <w:tc>
          <w:tcPr>
            <w:tcW w:w="1149" w:type="dxa"/>
            <w:tcBorders>
              <w:left w:val="single" w:sz="4" w:space="0" w:color="auto"/>
              <w:right w:val="single" w:sz="4" w:space="0" w:color="auto"/>
            </w:tcBorders>
            <w:shd w:val="clear" w:color="auto" w:fill="auto"/>
            <w:noWrap/>
            <w:vAlign w:val="bottom"/>
            <w:hideMark/>
          </w:tcPr>
          <w:p w14:paraId="1D9F502E"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DEZEMBRO</w:t>
            </w:r>
          </w:p>
        </w:tc>
        <w:tc>
          <w:tcPr>
            <w:tcW w:w="851" w:type="dxa"/>
            <w:tcBorders>
              <w:left w:val="single" w:sz="4" w:space="0" w:color="auto"/>
              <w:right w:val="single" w:sz="4" w:space="0" w:color="auto"/>
            </w:tcBorders>
          </w:tcPr>
          <w:p w14:paraId="03D3C710" w14:textId="77777777" w:rsidR="00BB5697" w:rsidRPr="00FD1551" w:rsidRDefault="00BB5697" w:rsidP="00BF7C4A">
            <w:pPr>
              <w:spacing w:after="0" w:line="360" w:lineRule="auto"/>
              <w:jc w:val="center"/>
              <w:rPr>
                <w:rFonts w:ascii="Arial" w:eastAsia="Times New Roman" w:hAnsi="Arial" w:cs="Arial"/>
                <w:b/>
                <w:bCs/>
                <w:color w:val="000000"/>
                <w:sz w:val="16"/>
                <w:szCs w:val="16"/>
                <w:lang w:eastAsia="pt-BR"/>
              </w:rPr>
            </w:pPr>
          </w:p>
        </w:tc>
        <w:tc>
          <w:tcPr>
            <w:tcW w:w="1134" w:type="dxa"/>
            <w:tcBorders>
              <w:top w:val="nil"/>
              <w:left w:val="single" w:sz="4" w:space="0" w:color="auto"/>
              <w:bottom w:val="nil"/>
              <w:right w:val="single" w:sz="8" w:space="0" w:color="auto"/>
            </w:tcBorders>
            <w:shd w:val="clear" w:color="auto" w:fill="auto"/>
            <w:noWrap/>
            <w:vAlign w:val="bottom"/>
            <w:hideMark/>
          </w:tcPr>
          <w:p w14:paraId="6E8855D3"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709" w:type="dxa"/>
            <w:tcBorders>
              <w:top w:val="nil"/>
              <w:left w:val="nil"/>
              <w:bottom w:val="nil"/>
              <w:right w:val="single" w:sz="8" w:space="0" w:color="auto"/>
            </w:tcBorders>
            <w:shd w:val="clear" w:color="auto" w:fill="auto"/>
            <w:noWrap/>
            <w:vAlign w:val="bottom"/>
            <w:hideMark/>
          </w:tcPr>
          <w:p w14:paraId="7F517583"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793" w:type="dxa"/>
            <w:tcBorders>
              <w:top w:val="nil"/>
              <w:left w:val="nil"/>
              <w:bottom w:val="nil"/>
              <w:right w:val="single" w:sz="4" w:space="0" w:color="auto"/>
            </w:tcBorders>
            <w:vAlign w:val="bottom"/>
          </w:tcPr>
          <w:p w14:paraId="73161826"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196" w:type="dxa"/>
            <w:tcBorders>
              <w:top w:val="nil"/>
              <w:left w:val="single" w:sz="4" w:space="0" w:color="auto"/>
              <w:bottom w:val="nil"/>
              <w:right w:val="nil"/>
            </w:tcBorders>
            <w:shd w:val="clear" w:color="auto" w:fill="D9D9D9" w:themeFill="background1" w:themeFillShade="D9"/>
            <w:noWrap/>
            <w:vAlign w:val="bottom"/>
            <w:hideMark/>
          </w:tcPr>
          <w:p w14:paraId="31A969DC"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p>
        </w:tc>
        <w:tc>
          <w:tcPr>
            <w:tcW w:w="1279" w:type="dxa"/>
            <w:tcBorders>
              <w:top w:val="nil"/>
              <w:left w:val="single" w:sz="8" w:space="0" w:color="auto"/>
              <w:bottom w:val="nil"/>
              <w:right w:val="single" w:sz="8" w:space="0" w:color="auto"/>
            </w:tcBorders>
            <w:shd w:val="clear" w:color="auto" w:fill="auto"/>
            <w:noWrap/>
            <w:vAlign w:val="bottom"/>
            <w:hideMark/>
          </w:tcPr>
          <w:p w14:paraId="4B4EE0BB"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DEZEMBRO</w:t>
            </w:r>
          </w:p>
        </w:tc>
        <w:tc>
          <w:tcPr>
            <w:tcW w:w="850" w:type="dxa"/>
            <w:tcBorders>
              <w:top w:val="nil"/>
              <w:left w:val="nil"/>
              <w:bottom w:val="nil"/>
              <w:right w:val="single" w:sz="4" w:space="0" w:color="auto"/>
            </w:tcBorders>
          </w:tcPr>
          <w:p w14:paraId="2C104E89"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p>
        </w:tc>
        <w:tc>
          <w:tcPr>
            <w:tcW w:w="1134" w:type="dxa"/>
            <w:tcBorders>
              <w:top w:val="nil"/>
              <w:left w:val="single" w:sz="4" w:space="0" w:color="auto"/>
              <w:bottom w:val="nil"/>
              <w:right w:val="single" w:sz="4" w:space="0" w:color="auto"/>
            </w:tcBorders>
            <w:vAlign w:val="bottom"/>
          </w:tcPr>
          <w:p w14:paraId="08A1A721"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709" w:type="dxa"/>
            <w:tcBorders>
              <w:top w:val="nil"/>
              <w:left w:val="single" w:sz="4" w:space="0" w:color="auto"/>
              <w:bottom w:val="nil"/>
              <w:right w:val="single" w:sz="8" w:space="0" w:color="auto"/>
            </w:tcBorders>
            <w:shd w:val="clear" w:color="auto" w:fill="auto"/>
            <w:noWrap/>
            <w:vAlign w:val="bottom"/>
            <w:hideMark/>
          </w:tcPr>
          <w:p w14:paraId="3C9549CC"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975" w:type="dxa"/>
            <w:tcBorders>
              <w:top w:val="nil"/>
              <w:left w:val="nil"/>
              <w:bottom w:val="nil"/>
              <w:right w:val="single" w:sz="8" w:space="0" w:color="auto"/>
            </w:tcBorders>
            <w:shd w:val="clear" w:color="auto" w:fill="auto"/>
            <w:noWrap/>
            <w:vAlign w:val="bottom"/>
            <w:hideMark/>
          </w:tcPr>
          <w:p w14:paraId="463CE26A"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r>
      <w:tr w:rsidR="00BB5697" w:rsidRPr="00FD1551" w14:paraId="54519E3D" w14:textId="77777777" w:rsidTr="00BF7C4A">
        <w:trPr>
          <w:trHeight w:val="171"/>
        </w:trPr>
        <w:tc>
          <w:tcPr>
            <w:tcW w:w="1149" w:type="dxa"/>
            <w:tcBorders>
              <w:left w:val="single" w:sz="4" w:space="0" w:color="auto"/>
              <w:bottom w:val="single" w:sz="4" w:space="0" w:color="auto"/>
              <w:right w:val="single" w:sz="4" w:space="0" w:color="auto"/>
            </w:tcBorders>
            <w:shd w:val="clear" w:color="auto" w:fill="auto"/>
            <w:noWrap/>
            <w:vAlign w:val="bottom"/>
            <w:hideMark/>
          </w:tcPr>
          <w:p w14:paraId="6C81E3E0"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13º SALÁRIO</w:t>
            </w:r>
          </w:p>
        </w:tc>
        <w:tc>
          <w:tcPr>
            <w:tcW w:w="851" w:type="dxa"/>
            <w:tcBorders>
              <w:left w:val="single" w:sz="4" w:space="0" w:color="auto"/>
              <w:bottom w:val="single" w:sz="4" w:space="0" w:color="auto"/>
              <w:right w:val="single" w:sz="4" w:space="0" w:color="auto"/>
            </w:tcBorders>
          </w:tcPr>
          <w:p w14:paraId="4E100102" w14:textId="77777777" w:rsidR="00BB5697" w:rsidRPr="00FD1551" w:rsidRDefault="00BB5697" w:rsidP="00BF7C4A">
            <w:pPr>
              <w:spacing w:after="0" w:line="360" w:lineRule="auto"/>
              <w:jc w:val="center"/>
              <w:rPr>
                <w:rFonts w:ascii="Arial" w:eastAsia="Times New Roman" w:hAnsi="Arial" w:cs="Arial"/>
                <w:b/>
                <w:bCs/>
                <w:color w:val="000000"/>
                <w:sz w:val="16"/>
                <w:szCs w:val="16"/>
                <w:lang w:eastAsia="pt-BR"/>
              </w:rPr>
            </w:pPr>
          </w:p>
        </w:tc>
        <w:tc>
          <w:tcPr>
            <w:tcW w:w="1134" w:type="dxa"/>
            <w:tcBorders>
              <w:top w:val="nil"/>
              <w:left w:val="single" w:sz="4" w:space="0" w:color="auto"/>
              <w:bottom w:val="nil"/>
              <w:right w:val="single" w:sz="8" w:space="0" w:color="auto"/>
            </w:tcBorders>
            <w:shd w:val="clear" w:color="auto" w:fill="auto"/>
            <w:noWrap/>
            <w:vAlign w:val="bottom"/>
            <w:hideMark/>
          </w:tcPr>
          <w:p w14:paraId="570394A6"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709" w:type="dxa"/>
            <w:tcBorders>
              <w:top w:val="nil"/>
              <w:left w:val="nil"/>
              <w:bottom w:val="nil"/>
              <w:right w:val="single" w:sz="8" w:space="0" w:color="auto"/>
            </w:tcBorders>
            <w:shd w:val="clear" w:color="auto" w:fill="auto"/>
            <w:noWrap/>
            <w:vAlign w:val="bottom"/>
            <w:hideMark/>
          </w:tcPr>
          <w:p w14:paraId="3F6A85DD"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793" w:type="dxa"/>
            <w:tcBorders>
              <w:top w:val="nil"/>
              <w:left w:val="nil"/>
              <w:bottom w:val="single" w:sz="4" w:space="0" w:color="auto"/>
              <w:right w:val="single" w:sz="4" w:space="0" w:color="auto"/>
            </w:tcBorders>
            <w:vAlign w:val="bottom"/>
          </w:tcPr>
          <w:p w14:paraId="749E35CA"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196" w:type="dxa"/>
            <w:tcBorders>
              <w:top w:val="nil"/>
              <w:left w:val="single" w:sz="4" w:space="0" w:color="auto"/>
              <w:bottom w:val="nil"/>
              <w:right w:val="nil"/>
            </w:tcBorders>
            <w:shd w:val="clear" w:color="auto" w:fill="D9D9D9" w:themeFill="background1" w:themeFillShade="D9"/>
            <w:noWrap/>
            <w:vAlign w:val="bottom"/>
            <w:hideMark/>
          </w:tcPr>
          <w:p w14:paraId="748283A9"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p>
        </w:tc>
        <w:tc>
          <w:tcPr>
            <w:tcW w:w="1279" w:type="dxa"/>
            <w:tcBorders>
              <w:top w:val="nil"/>
              <w:left w:val="single" w:sz="8" w:space="0" w:color="auto"/>
              <w:bottom w:val="single" w:sz="4" w:space="0" w:color="auto"/>
              <w:right w:val="single" w:sz="8" w:space="0" w:color="auto"/>
            </w:tcBorders>
            <w:shd w:val="clear" w:color="auto" w:fill="auto"/>
            <w:noWrap/>
            <w:vAlign w:val="bottom"/>
            <w:hideMark/>
          </w:tcPr>
          <w:p w14:paraId="4E01DF35"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13º SALÁRIO</w:t>
            </w:r>
          </w:p>
        </w:tc>
        <w:tc>
          <w:tcPr>
            <w:tcW w:w="850" w:type="dxa"/>
            <w:tcBorders>
              <w:top w:val="nil"/>
              <w:left w:val="nil"/>
              <w:bottom w:val="single" w:sz="4" w:space="0" w:color="auto"/>
              <w:right w:val="single" w:sz="4" w:space="0" w:color="auto"/>
            </w:tcBorders>
          </w:tcPr>
          <w:p w14:paraId="38DCD4FD"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p>
        </w:tc>
        <w:tc>
          <w:tcPr>
            <w:tcW w:w="1134" w:type="dxa"/>
            <w:tcBorders>
              <w:top w:val="nil"/>
              <w:left w:val="single" w:sz="4" w:space="0" w:color="auto"/>
              <w:bottom w:val="single" w:sz="4" w:space="0" w:color="auto"/>
              <w:right w:val="single" w:sz="4" w:space="0" w:color="auto"/>
            </w:tcBorders>
            <w:vAlign w:val="bottom"/>
          </w:tcPr>
          <w:p w14:paraId="0AE3B47F"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709" w:type="dxa"/>
            <w:tcBorders>
              <w:top w:val="nil"/>
              <w:left w:val="single" w:sz="4" w:space="0" w:color="auto"/>
              <w:bottom w:val="single" w:sz="4" w:space="0" w:color="auto"/>
              <w:right w:val="single" w:sz="8" w:space="0" w:color="auto"/>
            </w:tcBorders>
            <w:shd w:val="clear" w:color="auto" w:fill="auto"/>
            <w:noWrap/>
            <w:vAlign w:val="bottom"/>
            <w:hideMark/>
          </w:tcPr>
          <w:p w14:paraId="5C9023A8"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975" w:type="dxa"/>
            <w:tcBorders>
              <w:top w:val="nil"/>
              <w:left w:val="nil"/>
              <w:bottom w:val="nil"/>
              <w:right w:val="single" w:sz="8" w:space="0" w:color="auto"/>
            </w:tcBorders>
            <w:shd w:val="clear" w:color="auto" w:fill="auto"/>
            <w:noWrap/>
            <w:vAlign w:val="bottom"/>
            <w:hideMark/>
          </w:tcPr>
          <w:p w14:paraId="20B4D4BA"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r>
      <w:tr w:rsidR="00BB5697" w:rsidRPr="00FD1551" w14:paraId="45794A8B" w14:textId="77777777" w:rsidTr="00BF7C4A">
        <w:trPr>
          <w:trHeight w:val="171"/>
        </w:trPr>
        <w:tc>
          <w:tcPr>
            <w:tcW w:w="200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5A306C9D" w14:textId="77777777" w:rsidR="00BB5697" w:rsidRPr="00FD1551" w:rsidRDefault="00BB5697" w:rsidP="00BF7C4A">
            <w:pPr>
              <w:spacing w:after="0" w:line="360" w:lineRule="auto"/>
              <w:jc w:val="center"/>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Totais</w:t>
            </w:r>
          </w:p>
        </w:tc>
        <w:tc>
          <w:tcPr>
            <w:tcW w:w="1134" w:type="dxa"/>
            <w:tcBorders>
              <w:top w:val="single" w:sz="8" w:space="0" w:color="auto"/>
              <w:left w:val="single" w:sz="4" w:space="0" w:color="auto"/>
              <w:bottom w:val="single" w:sz="8" w:space="0" w:color="auto"/>
              <w:right w:val="single" w:sz="8" w:space="0" w:color="auto"/>
            </w:tcBorders>
            <w:shd w:val="clear" w:color="000000" w:fill="D9D9D9"/>
            <w:noWrap/>
            <w:vAlign w:val="bottom"/>
            <w:hideMark/>
          </w:tcPr>
          <w:p w14:paraId="0EC3B6CD"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R$</w:t>
            </w:r>
          </w:p>
        </w:tc>
        <w:tc>
          <w:tcPr>
            <w:tcW w:w="709" w:type="dxa"/>
            <w:tcBorders>
              <w:top w:val="single" w:sz="8" w:space="0" w:color="auto"/>
              <w:left w:val="nil"/>
              <w:bottom w:val="single" w:sz="8" w:space="0" w:color="auto"/>
              <w:right w:val="single" w:sz="8" w:space="0" w:color="auto"/>
            </w:tcBorders>
            <w:shd w:val="clear" w:color="000000" w:fill="D9D9D9"/>
            <w:noWrap/>
            <w:vAlign w:val="bottom"/>
            <w:hideMark/>
          </w:tcPr>
          <w:p w14:paraId="0548A24E"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R$</w:t>
            </w:r>
          </w:p>
        </w:tc>
        <w:tc>
          <w:tcPr>
            <w:tcW w:w="793" w:type="dxa"/>
            <w:tcBorders>
              <w:top w:val="single" w:sz="4" w:space="0" w:color="auto"/>
              <w:left w:val="nil"/>
              <w:bottom w:val="single" w:sz="8" w:space="0" w:color="auto"/>
              <w:right w:val="single" w:sz="4" w:space="0" w:color="auto"/>
            </w:tcBorders>
            <w:shd w:val="clear" w:color="auto" w:fill="D9D9D9" w:themeFill="background1" w:themeFillShade="D9"/>
            <w:vAlign w:val="bottom"/>
          </w:tcPr>
          <w:p w14:paraId="4E8736EB"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R$</w:t>
            </w:r>
          </w:p>
        </w:tc>
        <w:tc>
          <w:tcPr>
            <w:tcW w:w="196" w:type="dxa"/>
            <w:tcBorders>
              <w:top w:val="nil"/>
              <w:left w:val="single" w:sz="4" w:space="0" w:color="auto"/>
              <w:bottom w:val="single" w:sz="8" w:space="0" w:color="auto"/>
              <w:right w:val="single" w:sz="4" w:space="0" w:color="auto"/>
            </w:tcBorders>
            <w:shd w:val="clear" w:color="auto" w:fill="D9D9D9" w:themeFill="background1" w:themeFillShade="D9"/>
            <w:noWrap/>
            <w:vAlign w:val="bottom"/>
            <w:hideMark/>
          </w:tcPr>
          <w:p w14:paraId="3452B222"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 </w:t>
            </w:r>
          </w:p>
        </w:tc>
        <w:tc>
          <w:tcPr>
            <w:tcW w:w="1279"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6388973E" w14:textId="77777777" w:rsidR="00BB5697" w:rsidRPr="00FD1551" w:rsidRDefault="00BB5697" w:rsidP="00BF7C4A">
            <w:pPr>
              <w:spacing w:after="0" w:line="360" w:lineRule="auto"/>
              <w:jc w:val="right"/>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Totais</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1F1E03"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66CF0F90"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R$</w:t>
            </w:r>
          </w:p>
        </w:tc>
        <w:tc>
          <w:tcPr>
            <w:tcW w:w="709"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3094E32D"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R$</w:t>
            </w:r>
          </w:p>
        </w:tc>
        <w:tc>
          <w:tcPr>
            <w:tcW w:w="975" w:type="dxa"/>
            <w:tcBorders>
              <w:top w:val="single" w:sz="8" w:space="0" w:color="auto"/>
              <w:left w:val="single" w:sz="4" w:space="0" w:color="auto"/>
              <w:bottom w:val="single" w:sz="8" w:space="0" w:color="auto"/>
              <w:right w:val="single" w:sz="8" w:space="0" w:color="auto"/>
            </w:tcBorders>
            <w:shd w:val="clear" w:color="000000" w:fill="D9D9D9"/>
            <w:noWrap/>
            <w:vAlign w:val="bottom"/>
            <w:hideMark/>
          </w:tcPr>
          <w:p w14:paraId="5ADC0359"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R$</w:t>
            </w:r>
          </w:p>
        </w:tc>
      </w:tr>
      <w:tr w:rsidR="00BB5697" w:rsidRPr="00FD1551" w14:paraId="3ED41896" w14:textId="77777777" w:rsidTr="00BF7C4A">
        <w:trPr>
          <w:trHeight w:val="171"/>
        </w:trPr>
        <w:tc>
          <w:tcPr>
            <w:tcW w:w="9779" w:type="dxa"/>
            <w:gridSpan w:val="11"/>
            <w:tcBorders>
              <w:top w:val="nil"/>
              <w:left w:val="single" w:sz="8" w:space="0" w:color="auto"/>
              <w:bottom w:val="single" w:sz="8" w:space="0" w:color="auto"/>
              <w:right w:val="single" w:sz="8" w:space="0" w:color="auto"/>
            </w:tcBorders>
          </w:tcPr>
          <w:p w14:paraId="592D8ED6" w14:textId="77777777" w:rsidR="00BB5697" w:rsidRPr="00FD1551" w:rsidRDefault="00BB5697" w:rsidP="00BF7C4A">
            <w:pPr>
              <w:spacing w:after="0" w:line="360" w:lineRule="auto"/>
              <w:jc w:val="both"/>
              <w:rPr>
                <w:rFonts w:ascii="Arial" w:eastAsia="Times New Roman" w:hAnsi="Arial" w:cs="Arial"/>
                <w:color w:val="000000"/>
                <w:sz w:val="14"/>
                <w:szCs w:val="16"/>
                <w:lang w:eastAsia="pt-BR"/>
              </w:rPr>
            </w:pPr>
            <w:r w:rsidRPr="00FD1551">
              <w:rPr>
                <w:rFonts w:ascii="Arial" w:eastAsia="Times New Roman" w:hAnsi="Arial" w:cs="Arial"/>
                <w:b/>
                <w:color w:val="000000"/>
                <w:sz w:val="14"/>
                <w:szCs w:val="16"/>
                <w:lang w:eastAsia="pt-BR"/>
              </w:rPr>
              <w:t>Nota</w:t>
            </w:r>
            <w:r w:rsidRPr="00FD1551">
              <w:rPr>
                <w:rFonts w:ascii="Arial" w:eastAsia="Times New Roman" w:hAnsi="Arial" w:cs="Arial"/>
                <w:color w:val="000000"/>
                <w:sz w:val="14"/>
                <w:szCs w:val="16"/>
                <w:lang w:eastAsia="pt-BR"/>
              </w:rPr>
              <w:t xml:space="preserve">: Apresentar legislação que determina o percentual das alíquotas vigentes no exercício. </w:t>
            </w:r>
          </w:p>
          <w:p w14:paraId="43CD8780"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4"/>
                <w:szCs w:val="16"/>
                <w:lang w:eastAsia="pt-BR"/>
              </w:rPr>
              <w:t>Nos entes que possuem RPPS e que optaram pela segregação de massa como forma de equacionar o déficit atuarial, encaminhar um demonstrativo para os servidores vinculados ao Fundo Financeiro e outro para os servidores vinculados ao Fundo Previdenciário.</w:t>
            </w:r>
          </w:p>
        </w:tc>
      </w:tr>
    </w:tbl>
    <w:p w14:paraId="69BFF939" w14:textId="77777777" w:rsidR="00BB5697" w:rsidRPr="00FD1551" w:rsidRDefault="00BB5697" w:rsidP="00BB5697">
      <w:pPr>
        <w:spacing w:after="0" w:line="360" w:lineRule="auto"/>
        <w:jc w:val="center"/>
        <w:rPr>
          <w:rFonts w:ascii="Arial" w:hAnsi="Arial" w:cs="Arial"/>
          <w:b/>
          <w:sz w:val="28"/>
          <w:szCs w:val="28"/>
        </w:rPr>
      </w:pPr>
    </w:p>
    <w:p w14:paraId="04C8EB88" w14:textId="77777777" w:rsidR="00BB5697" w:rsidRPr="00FD1551" w:rsidRDefault="00BB5697" w:rsidP="00BB5697">
      <w:pPr>
        <w:spacing w:after="0" w:line="360" w:lineRule="auto"/>
        <w:ind w:left="-851" w:firstLine="851"/>
        <w:rPr>
          <w:rFonts w:ascii="Arial" w:hAnsi="Arial" w:cs="Arial"/>
          <w:sz w:val="16"/>
        </w:rPr>
      </w:pPr>
      <w:r w:rsidRPr="00FD1551">
        <w:rPr>
          <w:rFonts w:ascii="Arial" w:hAnsi="Arial" w:cs="Arial"/>
          <w:sz w:val="16"/>
        </w:rPr>
        <w:t>______________________</w:t>
      </w:r>
      <w:r w:rsidRPr="00FD1551">
        <w:rPr>
          <w:rFonts w:ascii="Arial" w:hAnsi="Arial" w:cs="Arial"/>
          <w:sz w:val="16"/>
        </w:rPr>
        <w:tab/>
      </w:r>
      <w:r w:rsidRPr="00FD1551">
        <w:rPr>
          <w:rFonts w:ascii="Arial" w:hAnsi="Arial" w:cs="Arial"/>
          <w:sz w:val="16"/>
        </w:rPr>
        <w:tab/>
      </w:r>
      <w:r w:rsidRPr="00FD1551">
        <w:rPr>
          <w:rFonts w:ascii="Arial" w:hAnsi="Arial" w:cs="Arial"/>
          <w:sz w:val="16"/>
        </w:rPr>
        <w:tab/>
        <w:t>_______________________________________</w:t>
      </w:r>
    </w:p>
    <w:p w14:paraId="2B00827F" w14:textId="77777777" w:rsidR="00BB5697" w:rsidRPr="00FD1551" w:rsidRDefault="00BB5697" w:rsidP="00BB5697">
      <w:pPr>
        <w:rPr>
          <w:rFonts w:ascii="Arial" w:hAnsi="Arial" w:cs="Arial"/>
          <w:sz w:val="16"/>
        </w:rPr>
      </w:pPr>
      <w:r w:rsidRPr="00FD1551">
        <w:rPr>
          <w:rFonts w:ascii="Arial" w:hAnsi="Arial" w:cs="Arial"/>
          <w:sz w:val="16"/>
        </w:rPr>
        <w:t>Assinatura do Gestor</w:t>
      </w:r>
      <w:r w:rsidRPr="00FD1551">
        <w:rPr>
          <w:rFonts w:ascii="Arial" w:hAnsi="Arial" w:cs="Arial"/>
          <w:sz w:val="16"/>
        </w:rPr>
        <w:tab/>
      </w:r>
      <w:r w:rsidRPr="00FD1551">
        <w:rPr>
          <w:rFonts w:ascii="Arial" w:hAnsi="Arial" w:cs="Arial"/>
          <w:sz w:val="16"/>
        </w:rPr>
        <w:tab/>
      </w:r>
      <w:r w:rsidRPr="00FD1551">
        <w:rPr>
          <w:rFonts w:ascii="Arial" w:hAnsi="Arial" w:cs="Arial"/>
          <w:sz w:val="16"/>
        </w:rPr>
        <w:tab/>
        <w:t>Assinatura do Contabilista Responsável (CRC nº )</w:t>
      </w:r>
    </w:p>
    <w:p w14:paraId="4D9AFD8E" w14:textId="77777777" w:rsidR="00BB5697" w:rsidRDefault="00BB5697" w:rsidP="00BB5697">
      <w:pPr>
        <w:tabs>
          <w:tab w:val="left" w:pos="8248"/>
        </w:tabs>
        <w:rPr>
          <w:rFonts w:ascii="Arial" w:hAnsi="Arial" w:cs="Arial"/>
          <w:b/>
          <w:sz w:val="24"/>
          <w:szCs w:val="24"/>
        </w:rPr>
      </w:pPr>
    </w:p>
    <w:p w14:paraId="4DFE0BFF" w14:textId="55A49AD8" w:rsidR="00BB5697" w:rsidRDefault="00BB5697" w:rsidP="00BB5697">
      <w:pPr>
        <w:rPr>
          <w:rFonts w:ascii="Arial" w:hAnsi="Arial" w:cs="Arial"/>
          <w:b/>
          <w:sz w:val="24"/>
          <w:szCs w:val="24"/>
        </w:rPr>
      </w:pPr>
      <w:r>
        <w:rPr>
          <w:rFonts w:ascii="Arial" w:hAnsi="Arial" w:cs="Arial"/>
          <w:b/>
          <w:sz w:val="24"/>
          <w:szCs w:val="24"/>
        </w:rPr>
        <w:br w:type="page"/>
      </w:r>
    </w:p>
    <w:p w14:paraId="26D544D6" w14:textId="36BC013B" w:rsidR="00E70551" w:rsidRDefault="00E70551" w:rsidP="00E70551">
      <w:pPr>
        <w:pStyle w:val="Ttulo3"/>
      </w:pPr>
      <w:bookmarkStart w:id="81" w:name="_Toc94806353"/>
      <w:r w:rsidRPr="00E70551">
        <w:lastRenderedPageBreak/>
        <w:t>DEMCSE</w:t>
      </w:r>
      <w:bookmarkEnd w:id="81"/>
    </w:p>
    <w:p w14:paraId="1416E52A" w14:textId="77777777" w:rsidR="00BB5697" w:rsidRPr="00FD1551" w:rsidRDefault="00BB5697" w:rsidP="00BB5697">
      <w:pPr>
        <w:spacing w:after="0" w:line="360" w:lineRule="auto"/>
        <w:jc w:val="center"/>
        <w:rPr>
          <w:rFonts w:ascii="Arial" w:hAnsi="Arial" w:cs="Arial"/>
          <w:b/>
        </w:rPr>
      </w:pPr>
      <w:r w:rsidRPr="00FD1551">
        <w:rPr>
          <w:rFonts w:ascii="Arial" w:hAnsi="Arial" w:cs="Arial"/>
          <w:b/>
        </w:rPr>
        <w:t>DEMONSTRATIVO PREVIDENCIÁRIO DOS VALORES RETIDOS DOS SERVIDORES RECOLHIDOS NO EXERCÍCIO</w:t>
      </w:r>
    </w:p>
    <w:p w14:paraId="4D622BFD" w14:textId="77777777" w:rsidR="00BB5697" w:rsidRPr="00FD1551" w:rsidRDefault="00BB5697" w:rsidP="00BB5697">
      <w:pPr>
        <w:spacing w:after="0" w:line="360" w:lineRule="auto"/>
        <w:jc w:val="center"/>
        <w:rPr>
          <w:rFonts w:ascii="Arial" w:hAnsi="Arial" w:cs="Arial"/>
          <w:b/>
          <w:sz w:val="28"/>
          <w:szCs w:val="28"/>
        </w:rPr>
      </w:pPr>
    </w:p>
    <w:tbl>
      <w:tblPr>
        <w:tblW w:w="9750" w:type="dxa"/>
        <w:tblInd w:w="-616" w:type="dxa"/>
        <w:tblCellMar>
          <w:left w:w="70" w:type="dxa"/>
          <w:right w:w="70" w:type="dxa"/>
        </w:tblCellMar>
        <w:tblLook w:val="04A0" w:firstRow="1" w:lastRow="0" w:firstColumn="1" w:lastColumn="0" w:noHBand="0" w:noVBand="1"/>
      </w:tblPr>
      <w:tblGrid>
        <w:gridCol w:w="1089"/>
        <w:gridCol w:w="784"/>
        <w:gridCol w:w="1170"/>
        <w:gridCol w:w="1212"/>
        <w:gridCol w:w="996"/>
        <w:gridCol w:w="186"/>
        <w:gridCol w:w="1089"/>
        <w:gridCol w:w="1149"/>
        <w:gridCol w:w="1116"/>
        <w:gridCol w:w="959"/>
      </w:tblGrid>
      <w:tr w:rsidR="00BB5697" w:rsidRPr="00FD1551" w14:paraId="54AD24F3" w14:textId="77777777" w:rsidTr="00BF7C4A">
        <w:trPr>
          <w:trHeight w:val="283"/>
        </w:trPr>
        <w:tc>
          <w:tcPr>
            <w:tcW w:w="9750" w:type="dxa"/>
            <w:gridSpan w:val="10"/>
            <w:tcBorders>
              <w:top w:val="single" w:sz="8" w:space="0" w:color="auto"/>
              <w:left w:val="single" w:sz="8" w:space="0" w:color="auto"/>
              <w:bottom w:val="nil"/>
              <w:right w:val="single" w:sz="8" w:space="0" w:color="auto"/>
            </w:tcBorders>
          </w:tcPr>
          <w:p w14:paraId="4A3E576F"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b/>
                <w:bCs/>
                <w:color w:val="000000"/>
                <w:sz w:val="16"/>
                <w:szCs w:val="16"/>
                <w:lang w:eastAsia="pt-BR"/>
              </w:rPr>
              <w:t>IDENTIFICAÇÃO:</w:t>
            </w:r>
            <w:r w:rsidRPr="00FD1551">
              <w:rPr>
                <w:rFonts w:ascii="Arial" w:eastAsia="Times New Roman" w:hAnsi="Arial" w:cs="Arial"/>
                <w:color w:val="000000"/>
                <w:sz w:val="16"/>
                <w:szCs w:val="16"/>
                <w:lang w:eastAsia="pt-BR"/>
              </w:rPr>
              <w:t> </w:t>
            </w:r>
          </w:p>
        </w:tc>
      </w:tr>
      <w:tr w:rsidR="00BB5697" w:rsidRPr="00FD1551" w14:paraId="78C7DABB" w14:textId="77777777" w:rsidTr="00BF7C4A">
        <w:trPr>
          <w:trHeight w:val="283"/>
        </w:trPr>
        <w:tc>
          <w:tcPr>
            <w:tcW w:w="9750" w:type="dxa"/>
            <w:gridSpan w:val="10"/>
            <w:tcBorders>
              <w:top w:val="nil"/>
              <w:left w:val="single" w:sz="8" w:space="0" w:color="auto"/>
              <w:bottom w:val="nil"/>
              <w:right w:val="single" w:sz="8" w:space="0" w:color="auto"/>
            </w:tcBorders>
            <w:shd w:val="clear" w:color="auto" w:fill="auto"/>
            <w:noWrap/>
            <w:vAlign w:val="bottom"/>
            <w:hideMark/>
          </w:tcPr>
          <w:p w14:paraId="116F6023"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EXERCÍCIO:</w:t>
            </w:r>
          </w:p>
        </w:tc>
      </w:tr>
      <w:tr w:rsidR="00BB5697" w:rsidRPr="00FD1551" w14:paraId="50A955AC" w14:textId="77777777" w:rsidTr="00BF7C4A">
        <w:trPr>
          <w:trHeight w:val="368"/>
        </w:trPr>
        <w:tc>
          <w:tcPr>
            <w:tcW w:w="9750" w:type="dxa"/>
            <w:gridSpan w:val="10"/>
            <w:tcBorders>
              <w:top w:val="nil"/>
              <w:left w:val="single" w:sz="8" w:space="0" w:color="auto"/>
              <w:bottom w:val="single" w:sz="8" w:space="0" w:color="auto"/>
              <w:right w:val="single" w:sz="8" w:space="0" w:color="000000"/>
            </w:tcBorders>
          </w:tcPr>
          <w:p w14:paraId="261F24BB" w14:textId="77777777" w:rsidR="00BB5697" w:rsidRPr="00FD1551" w:rsidRDefault="00BB5697" w:rsidP="00BF7C4A">
            <w:pPr>
              <w:spacing w:after="0" w:line="360" w:lineRule="auto"/>
              <w:jc w:val="center"/>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 xml:space="preserve">DEMONSTRATIVO PREVIDENCIÁRIO MENSAL DOS VALORES RETIDOS DOS SERVIDORES </w:t>
            </w:r>
          </w:p>
          <w:p w14:paraId="13D0E9E3" w14:textId="77777777" w:rsidR="00BB5697" w:rsidRPr="00FD1551" w:rsidRDefault="00BB5697" w:rsidP="00BF7C4A">
            <w:pPr>
              <w:spacing w:after="0" w:line="360" w:lineRule="auto"/>
              <w:jc w:val="center"/>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E EFETIVAMENTE RECOLHIDOS NO EXERCÍCIO</w:t>
            </w:r>
          </w:p>
        </w:tc>
      </w:tr>
      <w:tr w:rsidR="00BB5697" w:rsidRPr="00FD1551" w14:paraId="788D53B3" w14:textId="77777777" w:rsidTr="00BF7C4A">
        <w:trPr>
          <w:trHeight w:val="71"/>
        </w:trPr>
        <w:tc>
          <w:tcPr>
            <w:tcW w:w="9750" w:type="dxa"/>
            <w:gridSpan w:val="10"/>
            <w:tcBorders>
              <w:top w:val="nil"/>
              <w:left w:val="nil"/>
              <w:bottom w:val="nil"/>
              <w:right w:val="nil"/>
            </w:tcBorders>
            <w:shd w:val="clear" w:color="auto" w:fill="auto"/>
            <w:noWrap/>
            <w:vAlign w:val="bottom"/>
            <w:hideMark/>
          </w:tcPr>
          <w:p w14:paraId="0B4887C5"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p>
        </w:tc>
      </w:tr>
      <w:tr w:rsidR="00BB5697" w:rsidRPr="00FD1551" w14:paraId="593054F8" w14:textId="77777777" w:rsidTr="00BF7C4A">
        <w:trPr>
          <w:trHeight w:val="283"/>
        </w:trPr>
        <w:tc>
          <w:tcPr>
            <w:tcW w:w="1089" w:type="dxa"/>
            <w:vMerge w:val="restart"/>
            <w:tcBorders>
              <w:top w:val="single" w:sz="8" w:space="0" w:color="auto"/>
              <w:left w:val="single" w:sz="8" w:space="0" w:color="auto"/>
              <w:bottom w:val="single" w:sz="8" w:space="0" w:color="000000"/>
              <w:right w:val="single" w:sz="8" w:space="0" w:color="auto"/>
            </w:tcBorders>
            <w:shd w:val="clear" w:color="000000" w:fill="D9D9D9"/>
            <w:noWrap/>
            <w:vAlign w:val="center"/>
            <w:hideMark/>
          </w:tcPr>
          <w:p w14:paraId="60D0F0A3" w14:textId="77777777" w:rsidR="00BB5697" w:rsidRPr="00FD1551" w:rsidRDefault="00BB5697" w:rsidP="00BF7C4A">
            <w:pPr>
              <w:spacing w:after="0" w:line="360" w:lineRule="auto"/>
              <w:jc w:val="center"/>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MESES</w:t>
            </w:r>
          </w:p>
        </w:tc>
        <w:tc>
          <w:tcPr>
            <w:tcW w:w="4162" w:type="dxa"/>
            <w:gridSpan w:val="4"/>
            <w:tcBorders>
              <w:top w:val="single" w:sz="8" w:space="0" w:color="auto"/>
              <w:left w:val="nil"/>
              <w:bottom w:val="single" w:sz="8" w:space="0" w:color="auto"/>
              <w:right w:val="single" w:sz="4" w:space="0" w:color="auto"/>
            </w:tcBorders>
            <w:shd w:val="clear" w:color="000000" w:fill="D9D9D9"/>
          </w:tcPr>
          <w:p w14:paraId="4AAC8BBC" w14:textId="77777777" w:rsidR="00BB5697" w:rsidRPr="00FD1551" w:rsidRDefault="00BB5697" w:rsidP="00BF7C4A">
            <w:pPr>
              <w:spacing w:after="0" w:line="360" w:lineRule="auto"/>
              <w:jc w:val="center"/>
              <w:rPr>
                <w:rFonts w:ascii="Arial" w:eastAsia="Times New Roman" w:hAnsi="Arial" w:cs="Arial"/>
                <w:color w:val="000000"/>
                <w:sz w:val="16"/>
                <w:szCs w:val="16"/>
                <w:lang w:eastAsia="pt-BR"/>
              </w:rPr>
            </w:pPr>
            <w:r w:rsidRPr="00FD1551">
              <w:rPr>
                <w:rFonts w:ascii="Arial" w:eastAsia="Times New Roman" w:hAnsi="Arial" w:cs="Arial"/>
                <w:b/>
                <w:bCs/>
                <w:color w:val="000000"/>
                <w:sz w:val="16"/>
                <w:szCs w:val="16"/>
                <w:lang w:eastAsia="pt-BR"/>
              </w:rPr>
              <w:t>RPPS</w:t>
            </w:r>
          </w:p>
        </w:tc>
        <w:tc>
          <w:tcPr>
            <w:tcW w:w="186" w:type="dxa"/>
            <w:tcBorders>
              <w:top w:val="single" w:sz="8" w:space="0" w:color="auto"/>
              <w:left w:val="single" w:sz="4" w:space="0" w:color="auto"/>
              <w:bottom w:val="nil"/>
              <w:right w:val="nil"/>
            </w:tcBorders>
            <w:shd w:val="clear" w:color="auto" w:fill="D9D9D9" w:themeFill="background1" w:themeFillShade="D9"/>
            <w:noWrap/>
            <w:vAlign w:val="bottom"/>
            <w:hideMark/>
          </w:tcPr>
          <w:p w14:paraId="58798210"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p>
        </w:tc>
        <w:tc>
          <w:tcPr>
            <w:tcW w:w="1089" w:type="dxa"/>
            <w:vMerge w:val="restart"/>
            <w:tcBorders>
              <w:top w:val="single" w:sz="8" w:space="0" w:color="auto"/>
              <w:left w:val="single" w:sz="8" w:space="0" w:color="auto"/>
              <w:bottom w:val="single" w:sz="8" w:space="0" w:color="000000"/>
              <w:right w:val="single" w:sz="8" w:space="0" w:color="auto"/>
            </w:tcBorders>
            <w:shd w:val="clear" w:color="000000" w:fill="D9D9D9"/>
            <w:noWrap/>
            <w:vAlign w:val="center"/>
            <w:hideMark/>
          </w:tcPr>
          <w:p w14:paraId="487F86B0" w14:textId="77777777" w:rsidR="00BB5697" w:rsidRPr="00FD1551" w:rsidRDefault="00BB5697" w:rsidP="00BF7C4A">
            <w:pPr>
              <w:spacing w:after="0" w:line="360" w:lineRule="auto"/>
              <w:jc w:val="center"/>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MESES</w:t>
            </w:r>
          </w:p>
        </w:tc>
        <w:tc>
          <w:tcPr>
            <w:tcW w:w="3224" w:type="dxa"/>
            <w:gridSpan w:val="3"/>
            <w:tcBorders>
              <w:top w:val="single" w:sz="8" w:space="0" w:color="auto"/>
              <w:left w:val="nil"/>
              <w:bottom w:val="single" w:sz="8" w:space="0" w:color="auto"/>
              <w:right w:val="single" w:sz="8" w:space="0" w:color="000000"/>
            </w:tcBorders>
            <w:shd w:val="clear" w:color="000000" w:fill="D9D9D9"/>
            <w:noWrap/>
            <w:vAlign w:val="center"/>
            <w:hideMark/>
          </w:tcPr>
          <w:p w14:paraId="5F5EF6D6" w14:textId="77777777" w:rsidR="00BB5697" w:rsidRPr="00FD1551" w:rsidRDefault="00BB5697" w:rsidP="00BF7C4A">
            <w:pPr>
              <w:spacing w:after="0" w:line="360" w:lineRule="auto"/>
              <w:jc w:val="center"/>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RGPS</w:t>
            </w:r>
          </w:p>
        </w:tc>
      </w:tr>
      <w:tr w:rsidR="00BB5697" w:rsidRPr="00FD1551" w14:paraId="1F7A7D1D" w14:textId="77777777" w:rsidTr="00BF7C4A">
        <w:trPr>
          <w:trHeight w:val="283"/>
        </w:trPr>
        <w:tc>
          <w:tcPr>
            <w:tcW w:w="1089" w:type="dxa"/>
            <w:vMerge/>
            <w:tcBorders>
              <w:top w:val="single" w:sz="8" w:space="0" w:color="auto"/>
              <w:left w:val="single" w:sz="8" w:space="0" w:color="auto"/>
              <w:bottom w:val="single" w:sz="8" w:space="0" w:color="000000"/>
              <w:right w:val="single" w:sz="8" w:space="0" w:color="auto"/>
            </w:tcBorders>
            <w:vAlign w:val="center"/>
            <w:hideMark/>
          </w:tcPr>
          <w:p w14:paraId="2E389725"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p>
        </w:tc>
        <w:tc>
          <w:tcPr>
            <w:tcW w:w="784" w:type="dxa"/>
            <w:tcBorders>
              <w:top w:val="nil"/>
              <w:left w:val="nil"/>
              <w:bottom w:val="single" w:sz="8" w:space="0" w:color="auto"/>
              <w:right w:val="single" w:sz="4" w:space="0" w:color="auto"/>
            </w:tcBorders>
            <w:shd w:val="clear" w:color="000000" w:fill="D9D9D9"/>
            <w:vAlign w:val="center"/>
          </w:tcPr>
          <w:p w14:paraId="4C0B333E" w14:textId="77777777" w:rsidR="00BB5697" w:rsidRPr="00FD1551" w:rsidRDefault="00BB5697" w:rsidP="00BF7C4A">
            <w:pPr>
              <w:spacing w:after="0" w:line="360" w:lineRule="auto"/>
              <w:jc w:val="center"/>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Alíquota</w:t>
            </w:r>
          </w:p>
        </w:tc>
        <w:tc>
          <w:tcPr>
            <w:tcW w:w="1170" w:type="dxa"/>
            <w:tcBorders>
              <w:top w:val="nil"/>
              <w:left w:val="single" w:sz="4" w:space="0" w:color="auto"/>
              <w:bottom w:val="single" w:sz="8" w:space="0" w:color="auto"/>
              <w:right w:val="single" w:sz="8" w:space="0" w:color="auto"/>
            </w:tcBorders>
            <w:shd w:val="clear" w:color="000000" w:fill="D9D9D9"/>
            <w:noWrap/>
            <w:vAlign w:val="center"/>
            <w:hideMark/>
          </w:tcPr>
          <w:p w14:paraId="64B9B254" w14:textId="77777777" w:rsidR="00BB5697" w:rsidRPr="00FD1551" w:rsidRDefault="00BB5697" w:rsidP="00BF7C4A">
            <w:pPr>
              <w:spacing w:after="0" w:line="360" w:lineRule="auto"/>
              <w:jc w:val="center"/>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Valores Retidos</w:t>
            </w:r>
          </w:p>
        </w:tc>
        <w:tc>
          <w:tcPr>
            <w:tcW w:w="1212" w:type="dxa"/>
            <w:tcBorders>
              <w:top w:val="nil"/>
              <w:left w:val="nil"/>
              <w:bottom w:val="single" w:sz="8" w:space="0" w:color="auto"/>
              <w:right w:val="single" w:sz="8" w:space="0" w:color="auto"/>
            </w:tcBorders>
            <w:shd w:val="clear" w:color="000000" w:fill="D9D9D9"/>
            <w:noWrap/>
            <w:vAlign w:val="center"/>
            <w:hideMark/>
          </w:tcPr>
          <w:p w14:paraId="42FB346E" w14:textId="77777777" w:rsidR="00BB5697" w:rsidRPr="00FD1551" w:rsidRDefault="00BB5697" w:rsidP="00BF7C4A">
            <w:pPr>
              <w:spacing w:after="0" w:line="360" w:lineRule="auto"/>
              <w:jc w:val="center"/>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Valores Recolhidos</w:t>
            </w:r>
          </w:p>
        </w:tc>
        <w:tc>
          <w:tcPr>
            <w:tcW w:w="996" w:type="dxa"/>
            <w:tcBorders>
              <w:top w:val="nil"/>
              <w:left w:val="nil"/>
              <w:bottom w:val="single" w:sz="4" w:space="0" w:color="auto"/>
              <w:right w:val="single" w:sz="4" w:space="0" w:color="auto"/>
            </w:tcBorders>
            <w:shd w:val="clear" w:color="auto" w:fill="D9D9D9" w:themeFill="background1" w:themeFillShade="D9"/>
            <w:vAlign w:val="center"/>
          </w:tcPr>
          <w:p w14:paraId="3A1739BA" w14:textId="77777777" w:rsidR="00BB5697" w:rsidRPr="00FD1551" w:rsidRDefault="00BB5697" w:rsidP="00BF7C4A">
            <w:pPr>
              <w:spacing w:after="0" w:line="360" w:lineRule="auto"/>
              <w:jc w:val="center"/>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Saldo a Recolher em 31/12</w:t>
            </w:r>
          </w:p>
        </w:tc>
        <w:tc>
          <w:tcPr>
            <w:tcW w:w="186" w:type="dxa"/>
            <w:tcBorders>
              <w:top w:val="nil"/>
              <w:left w:val="single" w:sz="4" w:space="0" w:color="auto"/>
              <w:bottom w:val="nil"/>
              <w:right w:val="nil"/>
            </w:tcBorders>
            <w:shd w:val="clear" w:color="auto" w:fill="D9D9D9" w:themeFill="background1" w:themeFillShade="D9"/>
            <w:noWrap/>
            <w:vAlign w:val="bottom"/>
            <w:hideMark/>
          </w:tcPr>
          <w:p w14:paraId="280E5F47"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p>
        </w:tc>
        <w:tc>
          <w:tcPr>
            <w:tcW w:w="1089" w:type="dxa"/>
            <w:vMerge/>
            <w:tcBorders>
              <w:top w:val="single" w:sz="8" w:space="0" w:color="auto"/>
              <w:left w:val="single" w:sz="8" w:space="0" w:color="auto"/>
              <w:bottom w:val="single" w:sz="8" w:space="0" w:color="000000"/>
              <w:right w:val="single" w:sz="8" w:space="0" w:color="auto"/>
            </w:tcBorders>
            <w:vAlign w:val="center"/>
            <w:hideMark/>
          </w:tcPr>
          <w:p w14:paraId="4A69DDF1"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p>
        </w:tc>
        <w:tc>
          <w:tcPr>
            <w:tcW w:w="1149" w:type="dxa"/>
            <w:tcBorders>
              <w:top w:val="nil"/>
              <w:left w:val="nil"/>
              <w:bottom w:val="single" w:sz="8" w:space="0" w:color="auto"/>
              <w:right w:val="single" w:sz="8" w:space="0" w:color="auto"/>
            </w:tcBorders>
            <w:shd w:val="clear" w:color="000000" w:fill="D9D9D9"/>
            <w:noWrap/>
            <w:vAlign w:val="center"/>
            <w:hideMark/>
          </w:tcPr>
          <w:p w14:paraId="5A743466" w14:textId="77777777" w:rsidR="00BB5697" w:rsidRPr="00FD1551" w:rsidRDefault="00BB5697" w:rsidP="00BF7C4A">
            <w:pPr>
              <w:spacing w:after="0" w:line="360" w:lineRule="auto"/>
              <w:jc w:val="center"/>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Valores Retidos</w:t>
            </w:r>
          </w:p>
        </w:tc>
        <w:tc>
          <w:tcPr>
            <w:tcW w:w="1116" w:type="dxa"/>
            <w:tcBorders>
              <w:top w:val="nil"/>
              <w:left w:val="nil"/>
              <w:bottom w:val="single" w:sz="8" w:space="0" w:color="auto"/>
              <w:right w:val="single" w:sz="8" w:space="0" w:color="auto"/>
            </w:tcBorders>
            <w:shd w:val="clear" w:color="000000" w:fill="D9D9D9"/>
            <w:noWrap/>
            <w:vAlign w:val="center"/>
            <w:hideMark/>
          </w:tcPr>
          <w:p w14:paraId="370B22B1" w14:textId="77777777" w:rsidR="00BB5697" w:rsidRPr="00FD1551" w:rsidRDefault="00BB5697" w:rsidP="00BF7C4A">
            <w:pPr>
              <w:spacing w:after="0" w:line="360" w:lineRule="auto"/>
              <w:jc w:val="center"/>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Valores Recolhidos</w:t>
            </w:r>
          </w:p>
        </w:tc>
        <w:tc>
          <w:tcPr>
            <w:tcW w:w="959" w:type="dxa"/>
            <w:tcBorders>
              <w:top w:val="nil"/>
              <w:left w:val="nil"/>
              <w:bottom w:val="single" w:sz="8" w:space="0" w:color="auto"/>
              <w:right w:val="single" w:sz="8" w:space="0" w:color="auto"/>
            </w:tcBorders>
            <w:shd w:val="clear" w:color="000000" w:fill="D9D9D9"/>
            <w:vAlign w:val="center"/>
          </w:tcPr>
          <w:p w14:paraId="413EC0E2" w14:textId="77777777" w:rsidR="00BB5697" w:rsidRPr="00FD1551" w:rsidRDefault="00BB5697" w:rsidP="00BF7C4A">
            <w:pPr>
              <w:spacing w:after="0" w:line="360" w:lineRule="auto"/>
              <w:jc w:val="center"/>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Saldo a Recolher em 31/12</w:t>
            </w:r>
          </w:p>
        </w:tc>
      </w:tr>
      <w:tr w:rsidR="00BB5697" w:rsidRPr="00FD1551" w14:paraId="374669FB" w14:textId="77777777" w:rsidTr="00BF7C4A">
        <w:trPr>
          <w:trHeight w:val="283"/>
        </w:trPr>
        <w:tc>
          <w:tcPr>
            <w:tcW w:w="1089" w:type="dxa"/>
            <w:tcBorders>
              <w:top w:val="nil"/>
              <w:left w:val="single" w:sz="8" w:space="0" w:color="auto"/>
              <w:bottom w:val="nil"/>
              <w:right w:val="single" w:sz="8" w:space="0" w:color="auto"/>
            </w:tcBorders>
            <w:shd w:val="clear" w:color="auto" w:fill="auto"/>
            <w:noWrap/>
            <w:vAlign w:val="bottom"/>
            <w:hideMark/>
          </w:tcPr>
          <w:p w14:paraId="391E814D"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JANEIRO</w:t>
            </w:r>
          </w:p>
        </w:tc>
        <w:tc>
          <w:tcPr>
            <w:tcW w:w="784" w:type="dxa"/>
            <w:tcBorders>
              <w:top w:val="nil"/>
              <w:left w:val="nil"/>
              <w:bottom w:val="nil"/>
              <w:right w:val="single" w:sz="4" w:space="0" w:color="auto"/>
            </w:tcBorders>
          </w:tcPr>
          <w:p w14:paraId="6253308D"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p>
        </w:tc>
        <w:tc>
          <w:tcPr>
            <w:tcW w:w="1170" w:type="dxa"/>
            <w:tcBorders>
              <w:top w:val="nil"/>
              <w:left w:val="single" w:sz="4" w:space="0" w:color="auto"/>
              <w:bottom w:val="nil"/>
              <w:right w:val="single" w:sz="8" w:space="0" w:color="auto"/>
            </w:tcBorders>
            <w:shd w:val="clear" w:color="auto" w:fill="auto"/>
            <w:noWrap/>
            <w:vAlign w:val="bottom"/>
            <w:hideMark/>
          </w:tcPr>
          <w:p w14:paraId="2C7A794D"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1212" w:type="dxa"/>
            <w:tcBorders>
              <w:top w:val="nil"/>
              <w:left w:val="nil"/>
              <w:bottom w:val="nil"/>
              <w:right w:val="single" w:sz="8" w:space="0" w:color="auto"/>
            </w:tcBorders>
            <w:shd w:val="clear" w:color="auto" w:fill="auto"/>
            <w:noWrap/>
            <w:vAlign w:val="bottom"/>
            <w:hideMark/>
          </w:tcPr>
          <w:p w14:paraId="718C3DE9"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996" w:type="dxa"/>
            <w:tcBorders>
              <w:top w:val="nil"/>
              <w:left w:val="nil"/>
              <w:bottom w:val="nil"/>
              <w:right w:val="single" w:sz="4" w:space="0" w:color="auto"/>
            </w:tcBorders>
            <w:vAlign w:val="bottom"/>
          </w:tcPr>
          <w:p w14:paraId="2C3003AA"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186" w:type="dxa"/>
            <w:tcBorders>
              <w:top w:val="nil"/>
              <w:left w:val="single" w:sz="4" w:space="0" w:color="auto"/>
              <w:bottom w:val="nil"/>
              <w:right w:val="nil"/>
            </w:tcBorders>
            <w:shd w:val="clear" w:color="auto" w:fill="D9D9D9" w:themeFill="background1" w:themeFillShade="D9"/>
            <w:noWrap/>
            <w:vAlign w:val="bottom"/>
            <w:hideMark/>
          </w:tcPr>
          <w:p w14:paraId="49095983"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p>
        </w:tc>
        <w:tc>
          <w:tcPr>
            <w:tcW w:w="1089" w:type="dxa"/>
            <w:tcBorders>
              <w:top w:val="nil"/>
              <w:left w:val="single" w:sz="8" w:space="0" w:color="auto"/>
              <w:bottom w:val="nil"/>
              <w:right w:val="single" w:sz="8" w:space="0" w:color="auto"/>
            </w:tcBorders>
            <w:shd w:val="clear" w:color="auto" w:fill="auto"/>
            <w:noWrap/>
            <w:vAlign w:val="bottom"/>
            <w:hideMark/>
          </w:tcPr>
          <w:p w14:paraId="06BBDEBE"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JANEIRO</w:t>
            </w:r>
          </w:p>
        </w:tc>
        <w:tc>
          <w:tcPr>
            <w:tcW w:w="1149" w:type="dxa"/>
            <w:tcBorders>
              <w:top w:val="nil"/>
              <w:left w:val="nil"/>
              <w:bottom w:val="nil"/>
              <w:right w:val="single" w:sz="8" w:space="0" w:color="auto"/>
            </w:tcBorders>
            <w:shd w:val="clear" w:color="auto" w:fill="auto"/>
            <w:noWrap/>
            <w:vAlign w:val="bottom"/>
            <w:hideMark/>
          </w:tcPr>
          <w:p w14:paraId="705CE4EE"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1116" w:type="dxa"/>
            <w:tcBorders>
              <w:top w:val="nil"/>
              <w:left w:val="nil"/>
              <w:bottom w:val="nil"/>
              <w:right w:val="single" w:sz="8" w:space="0" w:color="auto"/>
            </w:tcBorders>
            <w:shd w:val="clear" w:color="auto" w:fill="auto"/>
            <w:noWrap/>
            <w:vAlign w:val="bottom"/>
            <w:hideMark/>
          </w:tcPr>
          <w:p w14:paraId="36C76A5C"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959" w:type="dxa"/>
            <w:tcBorders>
              <w:top w:val="nil"/>
              <w:left w:val="nil"/>
              <w:bottom w:val="nil"/>
              <w:right w:val="single" w:sz="8" w:space="0" w:color="auto"/>
            </w:tcBorders>
            <w:vAlign w:val="bottom"/>
          </w:tcPr>
          <w:p w14:paraId="1B48147B"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r>
      <w:tr w:rsidR="00BB5697" w:rsidRPr="00FD1551" w14:paraId="294041F9" w14:textId="77777777" w:rsidTr="00BF7C4A">
        <w:trPr>
          <w:trHeight w:val="283"/>
        </w:trPr>
        <w:tc>
          <w:tcPr>
            <w:tcW w:w="1089" w:type="dxa"/>
            <w:tcBorders>
              <w:top w:val="nil"/>
              <w:left w:val="single" w:sz="8" w:space="0" w:color="auto"/>
              <w:bottom w:val="nil"/>
              <w:right w:val="single" w:sz="8" w:space="0" w:color="auto"/>
            </w:tcBorders>
            <w:shd w:val="clear" w:color="auto" w:fill="auto"/>
            <w:noWrap/>
            <w:vAlign w:val="bottom"/>
            <w:hideMark/>
          </w:tcPr>
          <w:p w14:paraId="235C9DF9"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FEVEREIRO</w:t>
            </w:r>
          </w:p>
        </w:tc>
        <w:tc>
          <w:tcPr>
            <w:tcW w:w="784" w:type="dxa"/>
            <w:tcBorders>
              <w:top w:val="nil"/>
              <w:left w:val="nil"/>
              <w:bottom w:val="nil"/>
              <w:right w:val="single" w:sz="4" w:space="0" w:color="auto"/>
            </w:tcBorders>
          </w:tcPr>
          <w:p w14:paraId="3325207D"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p>
        </w:tc>
        <w:tc>
          <w:tcPr>
            <w:tcW w:w="1170" w:type="dxa"/>
            <w:tcBorders>
              <w:top w:val="nil"/>
              <w:left w:val="single" w:sz="4" w:space="0" w:color="auto"/>
              <w:bottom w:val="nil"/>
              <w:right w:val="single" w:sz="8" w:space="0" w:color="auto"/>
            </w:tcBorders>
            <w:shd w:val="clear" w:color="auto" w:fill="auto"/>
            <w:noWrap/>
            <w:vAlign w:val="bottom"/>
            <w:hideMark/>
          </w:tcPr>
          <w:p w14:paraId="325C3CBE"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1212" w:type="dxa"/>
            <w:tcBorders>
              <w:top w:val="nil"/>
              <w:left w:val="nil"/>
              <w:bottom w:val="nil"/>
              <w:right w:val="single" w:sz="8" w:space="0" w:color="auto"/>
            </w:tcBorders>
            <w:shd w:val="clear" w:color="auto" w:fill="auto"/>
            <w:noWrap/>
            <w:vAlign w:val="bottom"/>
            <w:hideMark/>
          </w:tcPr>
          <w:p w14:paraId="17931CFE"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996" w:type="dxa"/>
            <w:tcBorders>
              <w:top w:val="nil"/>
              <w:left w:val="nil"/>
              <w:bottom w:val="nil"/>
              <w:right w:val="single" w:sz="4" w:space="0" w:color="auto"/>
            </w:tcBorders>
            <w:vAlign w:val="bottom"/>
          </w:tcPr>
          <w:p w14:paraId="01CBF932"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186" w:type="dxa"/>
            <w:tcBorders>
              <w:top w:val="nil"/>
              <w:left w:val="single" w:sz="4" w:space="0" w:color="auto"/>
              <w:bottom w:val="nil"/>
              <w:right w:val="nil"/>
            </w:tcBorders>
            <w:shd w:val="clear" w:color="auto" w:fill="D9D9D9" w:themeFill="background1" w:themeFillShade="D9"/>
            <w:noWrap/>
            <w:vAlign w:val="bottom"/>
            <w:hideMark/>
          </w:tcPr>
          <w:p w14:paraId="09239A21"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p>
        </w:tc>
        <w:tc>
          <w:tcPr>
            <w:tcW w:w="1089" w:type="dxa"/>
            <w:tcBorders>
              <w:top w:val="nil"/>
              <w:left w:val="single" w:sz="8" w:space="0" w:color="auto"/>
              <w:bottom w:val="nil"/>
              <w:right w:val="single" w:sz="8" w:space="0" w:color="auto"/>
            </w:tcBorders>
            <w:shd w:val="clear" w:color="auto" w:fill="auto"/>
            <w:noWrap/>
            <w:vAlign w:val="bottom"/>
            <w:hideMark/>
          </w:tcPr>
          <w:p w14:paraId="35DCA8DA"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FEVEREIRO</w:t>
            </w:r>
          </w:p>
        </w:tc>
        <w:tc>
          <w:tcPr>
            <w:tcW w:w="1149" w:type="dxa"/>
            <w:tcBorders>
              <w:top w:val="nil"/>
              <w:left w:val="nil"/>
              <w:bottom w:val="nil"/>
              <w:right w:val="single" w:sz="8" w:space="0" w:color="auto"/>
            </w:tcBorders>
            <w:shd w:val="clear" w:color="auto" w:fill="auto"/>
            <w:noWrap/>
            <w:vAlign w:val="bottom"/>
            <w:hideMark/>
          </w:tcPr>
          <w:p w14:paraId="6D467AE4"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1116" w:type="dxa"/>
            <w:tcBorders>
              <w:top w:val="nil"/>
              <w:left w:val="nil"/>
              <w:bottom w:val="nil"/>
              <w:right w:val="single" w:sz="8" w:space="0" w:color="auto"/>
            </w:tcBorders>
            <w:shd w:val="clear" w:color="auto" w:fill="auto"/>
            <w:noWrap/>
            <w:vAlign w:val="bottom"/>
            <w:hideMark/>
          </w:tcPr>
          <w:p w14:paraId="43E5673A"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959" w:type="dxa"/>
            <w:tcBorders>
              <w:top w:val="nil"/>
              <w:left w:val="nil"/>
              <w:bottom w:val="nil"/>
              <w:right w:val="single" w:sz="8" w:space="0" w:color="auto"/>
            </w:tcBorders>
            <w:vAlign w:val="bottom"/>
          </w:tcPr>
          <w:p w14:paraId="52B5F336"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r>
      <w:tr w:rsidR="00BB5697" w:rsidRPr="00FD1551" w14:paraId="3D17C0E3" w14:textId="77777777" w:rsidTr="00BF7C4A">
        <w:trPr>
          <w:trHeight w:val="283"/>
        </w:trPr>
        <w:tc>
          <w:tcPr>
            <w:tcW w:w="1089" w:type="dxa"/>
            <w:tcBorders>
              <w:top w:val="nil"/>
              <w:left w:val="single" w:sz="8" w:space="0" w:color="auto"/>
              <w:bottom w:val="nil"/>
              <w:right w:val="single" w:sz="8" w:space="0" w:color="auto"/>
            </w:tcBorders>
            <w:shd w:val="clear" w:color="auto" w:fill="auto"/>
            <w:noWrap/>
            <w:vAlign w:val="bottom"/>
            <w:hideMark/>
          </w:tcPr>
          <w:p w14:paraId="212FC1C1"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MARÇO</w:t>
            </w:r>
          </w:p>
        </w:tc>
        <w:tc>
          <w:tcPr>
            <w:tcW w:w="784" w:type="dxa"/>
            <w:tcBorders>
              <w:top w:val="nil"/>
              <w:left w:val="nil"/>
              <w:bottom w:val="nil"/>
              <w:right w:val="single" w:sz="4" w:space="0" w:color="auto"/>
            </w:tcBorders>
          </w:tcPr>
          <w:p w14:paraId="4028C9DA"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p>
        </w:tc>
        <w:tc>
          <w:tcPr>
            <w:tcW w:w="1170" w:type="dxa"/>
            <w:tcBorders>
              <w:top w:val="nil"/>
              <w:left w:val="single" w:sz="4" w:space="0" w:color="auto"/>
              <w:bottom w:val="nil"/>
              <w:right w:val="single" w:sz="8" w:space="0" w:color="auto"/>
            </w:tcBorders>
            <w:shd w:val="clear" w:color="auto" w:fill="auto"/>
            <w:noWrap/>
            <w:vAlign w:val="bottom"/>
            <w:hideMark/>
          </w:tcPr>
          <w:p w14:paraId="77D487A2"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1212" w:type="dxa"/>
            <w:tcBorders>
              <w:top w:val="nil"/>
              <w:left w:val="nil"/>
              <w:bottom w:val="nil"/>
              <w:right w:val="single" w:sz="8" w:space="0" w:color="auto"/>
            </w:tcBorders>
            <w:shd w:val="clear" w:color="auto" w:fill="auto"/>
            <w:noWrap/>
            <w:vAlign w:val="bottom"/>
            <w:hideMark/>
          </w:tcPr>
          <w:p w14:paraId="2F645115"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996" w:type="dxa"/>
            <w:tcBorders>
              <w:top w:val="nil"/>
              <w:left w:val="nil"/>
              <w:bottom w:val="nil"/>
              <w:right w:val="single" w:sz="4" w:space="0" w:color="auto"/>
            </w:tcBorders>
            <w:vAlign w:val="bottom"/>
          </w:tcPr>
          <w:p w14:paraId="36875697"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186" w:type="dxa"/>
            <w:tcBorders>
              <w:top w:val="nil"/>
              <w:left w:val="single" w:sz="4" w:space="0" w:color="auto"/>
              <w:bottom w:val="nil"/>
              <w:right w:val="nil"/>
            </w:tcBorders>
            <w:shd w:val="clear" w:color="auto" w:fill="D9D9D9" w:themeFill="background1" w:themeFillShade="D9"/>
            <w:noWrap/>
            <w:vAlign w:val="bottom"/>
            <w:hideMark/>
          </w:tcPr>
          <w:p w14:paraId="0111AF08"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p>
        </w:tc>
        <w:tc>
          <w:tcPr>
            <w:tcW w:w="1089" w:type="dxa"/>
            <w:tcBorders>
              <w:top w:val="nil"/>
              <w:left w:val="single" w:sz="8" w:space="0" w:color="auto"/>
              <w:bottom w:val="nil"/>
              <w:right w:val="single" w:sz="8" w:space="0" w:color="auto"/>
            </w:tcBorders>
            <w:shd w:val="clear" w:color="auto" w:fill="auto"/>
            <w:noWrap/>
            <w:vAlign w:val="bottom"/>
            <w:hideMark/>
          </w:tcPr>
          <w:p w14:paraId="1E748705"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MARÇO</w:t>
            </w:r>
          </w:p>
        </w:tc>
        <w:tc>
          <w:tcPr>
            <w:tcW w:w="1149" w:type="dxa"/>
            <w:tcBorders>
              <w:top w:val="nil"/>
              <w:left w:val="nil"/>
              <w:bottom w:val="nil"/>
              <w:right w:val="single" w:sz="8" w:space="0" w:color="auto"/>
            </w:tcBorders>
            <w:shd w:val="clear" w:color="auto" w:fill="auto"/>
            <w:noWrap/>
            <w:vAlign w:val="bottom"/>
            <w:hideMark/>
          </w:tcPr>
          <w:p w14:paraId="776C9EBC"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1116" w:type="dxa"/>
            <w:tcBorders>
              <w:top w:val="nil"/>
              <w:left w:val="nil"/>
              <w:bottom w:val="nil"/>
              <w:right w:val="single" w:sz="8" w:space="0" w:color="auto"/>
            </w:tcBorders>
            <w:shd w:val="clear" w:color="auto" w:fill="auto"/>
            <w:noWrap/>
            <w:vAlign w:val="bottom"/>
            <w:hideMark/>
          </w:tcPr>
          <w:p w14:paraId="1D12886C"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959" w:type="dxa"/>
            <w:tcBorders>
              <w:top w:val="nil"/>
              <w:left w:val="nil"/>
              <w:bottom w:val="nil"/>
              <w:right w:val="single" w:sz="8" w:space="0" w:color="auto"/>
            </w:tcBorders>
            <w:vAlign w:val="bottom"/>
          </w:tcPr>
          <w:p w14:paraId="6B086BAD"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r>
      <w:tr w:rsidR="00BB5697" w:rsidRPr="00FD1551" w14:paraId="3430D8E0" w14:textId="77777777" w:rsidTr="00BF7C4A">
        <w:trPr>
          <w:trHeight w:val="283"/>
        </w:trPr>
        <w:tc>
          <w:tcPr>
            <w:tcW w:w="1089" w:type="dxa"/>
            <w:tcBorders>
              <w:top w:val="nil"/>
              <w:left w:val="single" w:sz="8" w:space="0" w:color="auto"/>
              <w:bottom w:val="nil"/>
              <w:right w:val="single" w:sz="8" w:space="0" w:color="auto"/>
            </w:tcBorders>
            <w:shd w:val="clear" w:color="auto" w:fill="auto"/>
            <w:noWrap/>
            <w:vAlign w:val="bottom"/>
            <w:hideMark/>
          </w:tcPr>
          <w:p w14:paraId="534F93D0"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ABRIL</w:t>
            </w:r>
          </w:p>
        </w:tc>
        <w:tc>
          <w:tcPr>
            <w:tcW w:w="784" w:type="dxa"/>
            <w:tcBorders>
              <w:top w:val="nil"/>
              <w:left w:val="nil"/>
              <w:bottom w:val="nil"/>
              <w:right w:val="single" w:sz="4" w:space="0" w:color="auto"/>
            </w:tcBorders>
          </w:tcPr>
          <w:p w14:paraId="2EE67A1D"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p>
        </w:tc>
        <w:tc>
          <w:tcPr>
            <w:tcW w:w="1170" w:type="dxa"/>
            <w:tcBorders>
              <w:top w:val="nil"/>
              <w:left w:val="single" w:sz="4" w:space="0" w:color="auto"/>
              <w:bottom w:val="nil"/>
              <w:right w:val="single" w:sz="8" w:space="0" w:color="auto"/>
            </w:tcBorders>
            <w:shd w:val="clear" w:color="auto" w:fill="auto"/>
            <w:noWrap/>
            <w:vAlign w:val="bottom"/>
            <w:hideMark/>
          </w:tcPr>
          <w:p w14:paraId="5AE7856C"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1212" w:type="dxa"/>
            <w:tcBorders>
              <w:top w:val="nil"/>
              <w:left w:val="nil"/>
              <w:bottom w:val="nil"/>
              <w:right w:val="single" w:sz="8" w:space="0" w:color="auto"/>
            </w:tcBorders>
            <w:shd w:val="clear" w:color="auto" w:fill="auto"/>
            <w:noWrap/>
            <w:vAlign w:val="bottom"/>
            <w:hideMark/>
          </w:tcPr>
          <w:p w14:paraId="7EF666BC"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996" w:type="dxa"/>
            <w:tcBorders>
              <w:top w:val="nil"/>
              <w:left w:val="nil"/>
              <w:bottom w:val="nil"/>
              <w:right w:val="single" w:sz="4" w:space="0" w:color="auto"/>
            </w:tcBorders>
            <w:vAlign w:val="bottom"/>
          </w:tcPr>
          <w:p w14:paraId="4DD026B8"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186" w:type="dxa"/>
            <w:tcBorders>
              <w:top w:val="nil"/>
              <w:left w:val="single" w:sz="4" w:space="0" w:color="auto"/>
              <w:bottom w:val="nil"/>
              <w:right w:val="nil"/>
            </w:tcBorders>
            <w:shd w:val="clear" w:color="auto" w:fill="D9D9D9" w:themeFill="background1" w:themeFillShade="D9"/>
            <w:noWrap/>
            <w:vAlign w:val="bottom"/>
            <w:hideMark/>
          </w:tcPr>
          <w:p w14:paraId="456A3464"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p>
        </w:tc>
        <w:tc>
          <w:tcPr>
            <w:tcW w:w="1089" w:type="dxa"/>
            <w:tcBorders>
              <w:top w:val="nil"/>
              <w:left w:val="single" w:sz="8" w:space="0" w:color="auto"/>
              <w:bottom w:val="nil"/>
              <w:right w:val="single" w:sz="8" w:space="0" w:color="auto"/>
            </w:tcBorders>
            <w:shd w:val="clear" w:color="auto" w:fill="auto"/>
            <w:noWrap/>
            <w:vAlign w:val="bottom"/>
            <w:hideMark/>
          </w:tcPr>
          <w:p w14:paraId="1668A81D"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ABRIL</w:t>
            </w:r>
          </w:p>
        </w:tc>
        <w:tc>
          <w:tcPr>
            <w:tcW w:w="1149" w:type="dxa"/>
            <w:tcBorders>
              <w:top w:val="nil"/>
              <w:left w:val="nil"/>
              <w:bottom w:val="nil"/>
              <w:right w:val="single" w:sz="8" w:space="0" w:color="auto"/>
            </w:tcBorders>
            <w:shd w:val="clear" w:color="auto" w:fill="auto"/>
            <w:noWrap/>
            <w:vAlign w:val="bottom"/>
            <w:hideMark/>
          </w:tcPr>
          <w:p w14:paraId="48061476"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1116" w:type="dxa"/>
            <w:tcBorders>
              <w:top w:val="nil"/>
              <w:left w:val="nil"/>
              <w:bottom w:val="nil"/>
              <w:right w:val="single" w:sz="8" w:space="0" w:color="auto"/>
            </w:tcBorders>
            <w:shd w:val="clear" w:color="auto" w:fill="auto"/>
            <w:noWrap/>
            <w:vAlign w:val="bottom"/>
            <w:hideMark/>
          </w:tcPr>
          <w:p w14:paraId="2C4BC7FD"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959" w:type="dxa"/>
            <w:tcBorders>
              <w:top w:val="nil"/>
              <w:left w:val="nil"/>
              <w:bottom w:val="nil"/>
              <w:right w:val="single" w:sz="8" w:space="0" w:color="auto"/>
            </w:tcBorders>
            <w:vAlign w:val="bottom"/>
          </w:tcPr>
          <w:p w14:paraId="7243F592"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r>
      <w:tr w:rsidR="00BB5697" w:rsidRPr="00FD1551" w14:paraId="1684FDAB" w14:textId="77777777" w:rsidTr="00BF7C4A">
        <w:trPr>
          <w:trHeight w:val="283"/>
        </w:trPr>
        <w:tc>
          <w:tcPr>
            <w:tcW w:w="1089" w:type="dxa"/>
            <w:tcBorders>
              <w:top w:val="nil"/>
              <w:left w:val="single" w:sz="8" w:space="0" w:color="auto"/>
              <w:bottom w:val="nil"/>
              <w:right w:val="single" w:sz="8" w:space="0" w:color="auto"/>
            </w:tcBorders>
            <w:shd w:val="clear" w:color="auto" w:fill="auto"/>
            <w:noWrap/>
            <w:vAlign w:val="bottom"/>
            <w:hideMark/>
          </w:tcPr>
          <w:p w14:paraId="50FCE683"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MAIO</w:t>
            </w:r>
          </w:p>
        </w:tc>
        <w:tc>
          <w:tcPr>
            <w:tcW w:w="784" w:type="dxa"/>
            <w:tcBorders>
              <w:top w:val="nil"/>
              <w:left w:val="nil"/>
              <w:bottom w:val="nil"/>
              <w:right w:val="single" w:sz="4" w:space="0" w:color="auto"/>
            </w:tcBorders>
          </w:tcPr>
          <w:p w14:paraId="112400F7"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p>
        </w:tc>
        <w:tc>
          <w:tcPr>
            <w:tcW w:w="1170" w:type="dxa"/>
            <w:tcBorders>
              <w:top w:val="nil"/>
              <w:left w:val="single" w:sz="4" w:space="0" w:color="auto"/>
              <w:bottom w:val="nil"/>
              <w:right w:val="single" w:sz="8" w:space="0" w:color="auto"/>
            </w:tcBorders>
            <w:shd w:val="clear" w:color="auto" w:fill="auto"/>
            <w:noWrap/>
            <w:vAlign w:val="bottom"/>
            <w:hideMark/>
          </w:tcPr>
          <w:p w14:paraId="2D45C140"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1212" w:type="dxa"/>
            <w:tcBorders>
              <w:top w:val="nil"/>
              <w:left w:val="nil"/>
              <w:bottom w:val="nil"/>
              <w:right w:val="single" w:sz="8" w:space="0" w:color="auto"/>
            </w:tcBorders>
            <w:shd w:val="clear" w:color="auto" w:fill="auto"/>
            <w:noWrap/>
            <w:vAlign w:val="bottom"/>
            <w:hideMark/>
          </w:tcPr>
          <w:p w14:paraId="68136C98"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996" w:type="dxa"/>
            <w:tcBorders>
              <w:top w:val="nil"/>
              <w:left w:val="nil"/>
              <w:bottom w:val="nil"/>
              <w:right w:val="single" w:sz="4" w:space="0" w:color="auto"/>
            </w:tcBorders>
            <w:vAlign w:val="bottom"/>
          </w:tcPr>
          <w:p w14:paraId="4C39F3D6"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186" w:type="dxa"/>
            <w:tcBorders>
              <w:top w:val="nil"/>
              <w:left w:val="single" w:sz="4" w:space="0" w:color="auto"/>
              <w:bottom w:val="nil"/>
              <w:right w:val="nil"/>
            </w:tcBorders>
            <w:shd w:val="clear" w:color="auto" w:fill="D9D9D9" w:themeFill="background1" w:themeFillShade="D9"/>
            <w:noWrap/>
            <w:vAlign w:val="bottom"/>
            <w:hideMark/>
          </w:tcPr>
          <w:p w14:paraId="664C32CE"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p>
        </w:tc>
        <w:tc>
          <w:tcPr>
            <w:tcW w:w="1089" w:type="dxa"/>
            <w:tcBorders>
              <w:top w:val="nil"/>
              <w:left w:val="single" w:sz="8" w:space="0" w:color="auto"/>
              <w:bottom w:val="nil"/>
              <w:right w:val="single" w:sz="8" w:space="0" w:color="auto"/>
            </w:tcBorders>
            <w:shd w:val="clear" w:color="auto" w:fill="auto"/>
            <w:noWrap/>
            <w:vAlign w:val="bottom"/>
            <w:hideMark/>
          </w:tcPr>
          <w:p w14:paraId="1445EF6A"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MAIO</w:t>
            </w:r>
          </w:p>
        </w:tc>
        <w:tc>
          <w:tcPr>
            <w:tcW w:w="1149" w:type="dxa"/>
            <w:tcBorders>
              <w:top w:val="nil"/>
              <w:left w:val="nil"/>
              <w:bottom w:val="nil"/>
              <w:right w:val="single" w:sz="8" w:space="0" w:color="auto"/>
            </w:tcBorders>
            <w:shd w:val="clear" w:color="auto" w:fill="auto"/>
            <w:noWrap/>
            <w:vAlign w:val="bottom"/>
            <w:hideMark/>
          </w:tcPr>
          <w:p w14:paraId="59FE8288"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1116" w:type="dxa"/>
            <w:tcBorders>
              <w:top w:val="nil"/>
              <w:left w:val="nil"/>
              <w:bottom w:val="nil"/>
              <w:right w:val="single" w:sz="8" w:space="0" w:color="auto"/>
            </w:tcBorders>
            <w:shd w:val="clear" w:color="auto" w:fill="auto"/>
            <w:noWrap/>
            <w:vAlign w:val="bottom"/>
            <w:hideMark/>
          </w:tcPr>
          <w:p w14:paraId="13E2911F"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959" w:type="dxa"/>
            <w:tcBorders>
              <w:top w:val="nil"/>
              <w:left w:val="nil"/>
              <w:bottom w:val="nil"/>
              <w:right w:val="single" w:sz="8" w:space="0" w:color="auto"/>
            </w:tcBorders>
            <w:vAlign w:val="bottom"/>
          </w:tcPr>
          <w:p w14:paraId="75E61372"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r>
      <w:tr w:rsidR="00BB5697" w:rsidRPr="00FD1551" w14:paraId="01634F6C" w14:textId="77777777" w:rsidTr="00BF7C4A">
        <w:trPr>
          <w:trHeight w:val="283"/>
        </w:trPr>
        <w:tc>
          <w:tcPr>
            <w:tcW w:w="1089" w:type="dxa"/>
            <w:tcBorders>
              <w:top w:val="nil"/>
              <w:left w:val="single" w:sz="8" w:space="0" w:color="auto"/>
              <w:bottom w:val="nil"/>
              <w:right w:val="single" w:sz="8" w:space="0" w:color="auto"/>
            </w:tcBorders>
            <w:shd w:val="clear" w:color="auto" w:fill="auto"/>
            <w:noWrap/>
            <w:vAlign w:val="bottom"/>
            <w:hideMark/>
          </w:tcPr>
          <w:p w14:paraId="07044957"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JUNHO</w:t>
            </w:r>
          </w:p>
        </w:tc>
        <w:tc>
          <w:tcPr>
            <w:tcW w:w="784" w:type="dxa"/>
            <w:tcBorders>
              <w:top w:val="nil"/>
              <w:left w:val="nil"/>
              <w:bottom w:val="nil"/>
              <w:right w:val="single" w:sz="4" w:space="0" w:color="auto"/>
            </w:tcBorders>
          </w:tcPr>
          <w:p w14:paraId="4A7E3545"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p>
        </w:tc>
        <w:tc>
          <w:tcPr>
            <w:tcW w:w="1170" w:type="dxa"/>
            <w:tcBorders>
              <w:top w:val="nil"/>
              <w:left w:val="single" w:sz="4" w:space="0" w:color="auto"/>
              <w:bottom w:val="nil"/>
              <w:right w:val="single" w:sz="8" w:space="0" w:color="auto"/>
            </w:tcBorders>
            <w:shd w:val="clear" w:color="auto" w:fill="auto"/>
            <w:noWrap/>
            <w:vAlign w:val="bottom"/>
            <w:hideMark/>
          </w:tcPr>
          <w:p w14:paraId="66CE676A"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1212" w:type="dxa"/>
            <w:tcBorders>
              <w:top w:val="nil"/>
              <w:left w:val="nil"/>
              <w:bottom w:val="nil"/>
              <w:right w:val="single" w:sz="8" w:space="0" w:color="auto"/>
            </w:tcBorders>
            <w:shd w:val="clear" w:color="auto" w:fill="auto"/>
            <w:noWrap/>
            <w:vAlign w:val="bottom"/>
            <w:hideMark/>
          </w:tcPr>
          <w:p w14:paraId="17623510"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996" w:type="dxa"/>
            <w:tcBorders>
              <w:top w:val="nil"/>
              <w:left w:val="nil"/>
              <w:bottom w:val="nil"/>
              <w:right w:val="single" w:sz="4" w:space="0" w:color="auto"/>
            </w:tcBorders>
            <w:vAlign w:val="bottom"/>
          </w:tcPr>
          <w:p w14:paraId="2D9A5B57"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186" w:type="dxa"/>
            <w:tcBorders>
              <w:top w:val="nil"/>
              <w:left w:val="single" w:sz="4" w:space="0" w:color="auto"/>
              <w:bottom w:val="nil"/>
              <w:right w:val="nil"/>
            </w:tcBorders>
            <w:shd w:val="clear" w:color="auto" w:fill="D9D9D9" w:themeFill="background1" w:themeFillShade="D9"/>
            <w:noWrap/>
            <w:vAlign w:val="bottom"/>
            <w:hideMark/>
          </w:tcPr>
          <w:p w14:paraId="15AED8BF"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p>
        </w:tc>
        <w:tc>
          <w:tcPr>
            <w:tcW w:w="1089" w:type="dxa"/>
            <w:tcBorders>
              <w:top w:val="nil"/>
              <w:left w:val="single" w:sz="8" w:space="0" w:color="auto"/>
              <w:bottom w:val="nil"/>
              <w:right w:val="single" w:sz="8" w:space="0" w:color="auto"/>
            </w:tcBorders>
            <w:shd w:val="clear" w:color="auto" w:fill="auto"/>
            <w:noWrap/>
            <w:vAlign w:val="bottom"/>
            <w:hideMark/>
          </w:tcPr>
          <w:p w14:paraId="6FBDDD71"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JUNHO</w:t>
            </w:r>
          </w:p>
        </w:tc>
        <w:tc>
          <w:tcPr>
            <w:tcW w:w="1149" w:type="dxa"/>
            <w:tcBorders>
              <w:top w:val="nil"/>
              <w:left w:val="nil"/>
              <w:bottom w:val="nil"/>
              <w:right w:val="single" w:sz="8" w:space="0" w:color="auto"/>
            </w:tcBorders>
            <w:shd w:val="clear" w:color="auto" w:fill="auto"/>
            <w:noWrap/>
            <w:vAlign w:val="bottom"/>
            <w:hideMark/>
          </w:tcPr>
          <w:p w14:paraId="61E531E2"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1116" w:type="dxa"/>
            <w:tcBorders>
              <w:top w:val="nil"/>
              <w:left w:val="nil"/>
              <w:bottom w:val="nil"/>
              <w:right w:val="single" w:sz="8" w:space="0" w:color="auto"/>
            </w:tcBorders>
            <w:shd w:val="clear" w:color="auto" w:fill="auto"/>
            <w:noWrap/>
            <w:vAlign w:val="bottom"/>
            <w:hideMark/>
          </w:tcPr>
          <w:p w14:paraId="30B7926E"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959" w:type="dxa"/>
            <w:tcBorders>
              <w:top w:val="nil"/>
              <w:left w:val="nil"/>
              <w:bottom w:val="nil"/>
              <w:right w:val="single" w:sz="8" w:space="0" w:color="auto"/>
            </w:tcBorders>
            <w:vAlign w:val="bottom"/>
          </w:tcPr>
          <w:p w14:paraId="0D794BF3"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r>
      <w:tr w:rsidR="00BB5697" w:rsidRPr="00FD1551" w14:paraId="3E95CAD7" w14:textId="77777777" w:rsidTr="00BF7C4A">
        <w:trPr>
          <w:trHeight w:val="283"/>
        </w:trPr>
        <w:tc>
          <w:tcPr>
            <w:tcW w:w="1089" w:type="dxa"/>
            <w:tcBorders>
              <w:top w:val="nil"/>
              <w:left w:val="single" w:sz="8" w:space="0" w:color="auto"/>
              <w:bottom w:val="nil"/>
              <w:right w:val="single" w:sz="8" w:space="0" w:color="auto"/>
            </w:tcBorders>
            <w:shd w:val="clear" w:color="auto" w:fill="auto"/>
            <w:noWrap/>
            <w:vAlign w:val="bottom"/>
            <w:hideMark/>
          </w:tcPr>
          <w:p w14:paraId="59EA80CE"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JULHO</w:t>
            </w:r>
          </w:p>
        </w:tc>
        <w:tc>
          <w:tcPr>
            <w:tcW w:w="784" w:type="dxa"/>
            <w:tcBorders>
              <w:top w:val="nil"/>
              <w:left w:val="nil"/>
              <w:bottom w:val="nil"/>
              <w:right w:val="single" w:sz="4" w:space="0" w:color="auto"/>
            </w:tcBorders>
          </w:tcPr>
          <w:p w14:paraId="145C3CE0"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p>
        </w:tc>
        <w:tc>
          <w:tcPr>
            <w:tcW w:w="1170" w:type="dxa"/>
            <w:tcBorders>
              <w:top w:val="nil"/>
              <w:left w:val="single" w:sz="4" w:space="0" w:color="auto"/>
              <w:bottom w:val="nil"/>
              <w:right w:val="single" w:sz="8" w:space="0" w:color="auto"/>
            </w:tcBorders>
            <w:shd w:val="clear" w:color="auto" w:fill="auto"/>
            <w:noWrap/>
            <w:vAlign w:val="bottom"/>
            <w:hideMark/>
          </w:tcPr>
          <w:p w14:paraId="31981ABE"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1212" w:type="dxa"/>
            <w:tcBorders>
              <w:top w:val="nil"/>
              <w:left w:val="nil"/>
              <w:bottom w:val="nil"/>
              <w:right w:val="single" w:sz="8" w:space="0" w:color="auto"/>
            </w:tcBorders>
            <w:shd w:val="clear" w:color="auto" w:fill="auto"/>
            <w:noWrap/>
            <w:vAlign w:val="bottom"/>
            <w:hideMark/>
          </w:tcPr>
          <w:p w14:paraId="3346BBCC"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996" w:type="dxa"/>
            <w:tcBorders>
              <w:top w:val="nil"/>
              <w:left w:val="nil"/>
              <w:bottom w:val="nil"/>
              <w:right w:val="single" w:sz="4" w:space="0" w:color="auto"/>
            </w:tcBorders>
            <w:vAlign w:val="bottom"/>
          </w:tcPr>
          <w:p w14:paraId="3B9F539B"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186" w:type="dxa"/>
            <w:tcBorders>
              <w:top w:val="nil"/>
              <w:left w:val="single" w:sz="4" w:space="0" w:color="auto"/>
              <w:bottom w:val="nil"/>
              <w:right w:val="nil"/>
            </w:tcBorders>
            <w:shd w:val="clear" w:color="auto" w:fill="D9D9D9" w:themeFill="background1" w:themeFillShade="D9"/>
            <w:noWrap/>
            <w:vAlign w:val="bottom"/>
            <w:hideMark/>
          </w:tcPr>
          <w:p w14:paraId="6A573A9F"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p>
        </w:tc>
        <w:tc>
          <w:tcPr>
            <w:tcW w:w="1089" w:type="dxa"/>
            <w:tcBorders>
              <w:top w:val="nil"/>
              <w:left w:val="single" w:sz="8" w:space="0" w:color="auto"/>
              <w:bottom w:val="nil"/>
              <w:right w:val="single" w:sz="8" w:space="0" w:color="auto"/>
            </w:tcBorders>
            <w:shd w:val="clear" w:color="auto" w:fill="auto"/>
            <w:noWrap/>
            <w:vAlign w:val="bottom"/>
            <w:hideMark/>
          </w:tcPr>
          <w:p w14:paraId="2F70D362"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JULHO</w:t>
            </w:r>
          </w:p>
        </w:tc>
        <w:tc>
          <w:tcPr>
            <w:tcW w:w="1149" w:type="dxa"/>
            <w:tcBorders>
              <w:top w:val="nil"/>
              <w:left w:val="nil"/>
              <w:bottom w:val="nil"/>
              <w:right w:val="single" w:sz="8" w:space="0" w:color="auto"/>
            </w:tcBorders>
            <w:shd w:val="clear" w:color="auto" w:fill="auto"/>
            <w:noWrap/>
            <w:vAlign w:val="bottom"/>
            <w:hideMark/>
          </w:tcPr>
          <w:p w14:paraId="166A267A"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1116" w:type="dxa"/>
            <w:tcBorders>
              <w:top w:val="nil"/>
              <w:left w:val="nil"/>
              <w:bottom w:val="nil"/>
              <w:right w:val="single" w:sz="8" w:space="0" w:color="auto"/>
            </w:tcBorders>
            <w:shd w:val="clear" w:color="auto" w:fill="auto"/>
            <w:noWrap/>
            <w:vAlign w:val="bottom"/>
            <w:hideMark/>
          </w:tcPr>
          <w:p w14:paraId="0152E1ED"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959" w:type="dxa"/>
            <w:tcBorders>
              <w:top w:val="nil"/>
              <w:left w:val="nil"/>
              <w:bottom w:val="nil"/>
              <w:right w:val="single" w:sz="8" w:space="0" w:color="auto"/>
            </w:tcBorders>
            <w:vAlign w:val="bottom"/>
          </w:tcPr>
          <w:p w14:paraId="63B1FF23"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r>
      <w:tr w:rsidR="00BB5697" w:rsidRPr="00FD1551" w14:paraId="448F4646" w14:textId="77777777" w:rsidTr="00BF7C4A">
        <w:trPr>
          <w:trHeight w:val="283"/>
        </w:trPr>
        <w:tc>
          <w:tcPr>
            <w:tcW w:w="1089" w:type="dxa"/>
            <w:tcBorders>
              <w:top w:val="nil"/>
              <w:left w:val="single" w:sz="8" w:space="0" w:color="auto"/>
              <w:bottom w:val="nil"/>
              <w:right w:val="single" w:sz="8" w:space="0" w:color="auto"/>
            </w:tcBorders>
            <w:shd w:val="clear" w:color="auto" w:fill="auto"/>
            <w:noWrap/>
            <w:vAlign w:val="bottom"/>
            <w:hideMark/>
          </w:tcPr>
          <w:p w14:paraId="13937958"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AGOSTO</w:t>
            </w:r>
          </w:p>
        </w:tc>
        <w:tc>
          <w:tcPr>
            <w:tcW w:w="784" w:type="dxa"/>
            <w:tcBorders>
              <w:top w:val="nil"/>
              <w:left w:val="nil"/>
              <w:bottom w:val="nil"/>
              <w:right w:val="single" w:sz="4" w:space="0" w:color="auto"/>
            </w:tcBorders>
          </w:tcPr>
          <w:p w14:paraId="1BA2D347"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p>
        </w:tc>
        <w:tc>
          <w:tcPr>
            <w:tcW w:w="1170" w:type="dxa"/>
            <w:tcBorders>
              <w:top w:val="nil"/>
              <w:left w:val="single" w:sz="4" w:space="0" w:color="auto"/>
              <w:bottom w:val="nil"/>
              <w:right w:val="single" w:sz="8" w:space="0" w:color="auto"/>
            </w:tcBorders>
            <w:shd w:val="clear" w:color="auto" w:fill="auto"/>
            <w:noWrap/>
            <w:vAlign w:val="bottom"/>
            <w:hideMark/>
          </w:tcPr>
          <w:p w14:paraId="50900802"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1212" w:type="dxa"/>
            <w:tcBorders>
              <w:top w:val="nil"/>
              <w:left w:val="nil"/>
              <w:bottom w:val="nil"/>
              <w:right w:val="single" w:sz="8" w:space="0" w:color="auto"/>
            </w:tcBorders>
            <w:shd w:val="clear" w:color="auto" w:fill="auto"/>
            <w:noWrap/>
            <w:vAlign w:val="bottom"/>
            <w:hideMark/>
          </w:tcPr>
          <w:p w14:paraId="40901DED"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996" w:type="dxa"/>
            <w:tcBorders>
              <w:top w:val="nil"/>
              <w:left w:val="nil"/>
              <w:bottom w:val="nil"/>
              <w:right w:val="single" w:sz="4" w:space="0" w:color="auto"/>
            </w:tcBorders>
            <w:vAlign w:val="bottom"/>
          </w:tcPr>
          <w:p w14:paraId="73D8E7D5"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186" w:type="dxa"/>
            <w:tcBorders>
              <w:top w:val="nil"/>
              <w:left w:val="single" w:sz="4" w:space="0" w:color="auto"/>
              <w:bottom w:val="nil"/>
              <w:right w:val="nil"/>
            </w:tcBorders>
            <w:shd w:val="clear" w:color="auto" w:fill="D9D9D9" w:themeFill="background1" w:themeFillShade="D9"/>
            <w:noWrap/>
            <w:vAlign w:val="bottom"/>
            <w:hideMark/>
          </w:tcPr>
          <w:p w14:paraId="6342D54E"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p>
        </w:tc>
        <w:tc>
          <w:tcPr>
            <w:tcW w:w="1089" w:type="dxa"/>
            <w:tcBorders>
              <w:top w:val="nil"/>
              <w:left w:val="single" w:sz="8" w:space="0" w:color="auto"/>
              <w:bottom w:val="nil"/>
              <w:right w:val="single" w:sz="8" w:space="0" w:color="auto"/>
            </w:tcBorders>
            <w:shd w:val="clear" w:color="auto" w:fill="auto"/>
            <w:noWrap/>
            <w:vAlign w:val="bottom"/>
            <w:hideMark/>
          </w:tcPr>
          <w:p w14:paraId="15FE0627"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AGOSTO</w:t>
            </w:r>
          </w:p>
        </w:tc>
        <w:tc>
          <w:tcPr>
            <w:tcW w:w="1149" w:type="dxa"/>
            <w:tcBorders>
              <w:top w:val="nil"/>
              <w:left w:val="nil"/>
              <w:bottom w:val="nil"/>
              <w:right w:val="single" w:sz="8" w:space="0" w:color="auto"/>
            </w:tcBorders>
            <w:shd w:val="clear" w:color="auto" w:fill="auto"/>
            <w:noWrap/>
            <w:vAlign w:val="bottom"/>
            <w:hideMark/>
          </w:tcPr>
          <w:p w14:paraId="4D3EC076"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1116" w:type="dxa"/>
            <w:tcBorders>
              <w:top w:val="nil"/>
              <w:left w:val="nil"/>
              <w:bottom w:val="nil"/>
              <w:right w:val="single" w:sz="8" w:space="0" w:color="auto"/>
            </w:tcBorders>
            <w:shd w:val="clear" w:color="auto" w:fill="auto"/>
            <w:noWrap/>
            <w:vAlign w:val="bottom"/>
            <w:hideMark/>
          </w:tcPr>
          <w:p w14:paraId="7B6A54D7"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959" w:type="dxa"/>
            <w:tcBorders>
              <w:top w:val="nil"/>
              <w:left w:val="nil"/>
              <w:bottom w:val="nil"/>
              <w:right w:val="single" w:sz="8" w:space="0" w:color="auto"/>
            </w:tcBorders>
            <w:vAlign w:val="bottom"/>
          </w:tcPr>
          <w:p w14:paraId="3945C47A"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r>
      <w:tr w:rsidR="00BB5697" w:rsidRPr="00FD1551" w14:paraId="7E06F0D3" w14:textId="77777777" w:rsidTr="00BF7C4A">
        <w:trPr>
          <w:trHeight w:val="283"/>
        </w:trPr>
        <w:tc>
          <w:tcPr>
            <w:tcW w:w="1089" w:type="dxa"/>
            <w:tcBorders>
              <w:top w:val="nil"/>
              <w:left w:val="single" w:sz="8" w:space="0" w:color="auto"/>
              <w:bottom w:val="nil"/>
              <w:right w:val="single" w:sz="8" w:space="0" w:color="auto"/>
            </w:tcBorders>
            <w:shd w:val="clear" w:color="auto" w:fill="auto"/>
            <w:noWrap/>
            <w:vAlign w:val="bottom"/>
            <w:hideMark/>
          </w:tcPr>
          <w:p w14:paraId="4787CFFC"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SETEMBRO</w:t>
            </w:r>
          </w:p>
        </w:tc>
        <w:tc>
          <w:tcPr>
            <w:tcW w:w="784" w:type="dxa"/>
            <w:tcBorders>
              <w:top w:val="nil"/>
              <w:left w:val="nil"/>
              <w:bottom w:val="nil"/>
              <w:right w:val="single" w:sz="4" w:space="0" w:color="auto"/>
            </w:tcBorders>
          </w:tcPr>
          <w:p w14:paraId="4042C73F"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p>
        </w:tc>
        <w:tc>
          <w:tcPr>
            <w:tcW w:w="1170" w:type="dxa"/>
            <w:tcBorders>
              <w:top w:val="nil"/>
              <w:left w:val="single" w:sz="4" w:space="0" w:color="auto"/>
              <w:bottom w:val="nil"/>
              <w:right w:val="single" w:sz="8" w:space="0" w:color="auto"/>
            </w:tcBorders>
            <w:shd w:val="clear" w:color="auto" w:fill="auto"/>
            <w:noWrap/>
            <w:vAlign w:val="bottom"/>
            <w:hideMark/>
          </w:tcPr>
          <w:p w14:paraId="5CE2876A"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1212" w:type="dxa"/>
            <w:tcBorders>
              <w:top w:val="nil"/>
              <w:left w:val="nil"/>
              <w:bottom w:val="nil"/>
              <w:right w:val="single" w:sz="8" w:space="0" w:color="auto"/>
            </w:tcBorders>
            <w:shd w:val="clear" w:color="auto" w:fill="auto"/>
            <w:noWrap/>
            <w:vAlign w:val="bottom"/>
            <w:hideMark/>
          </w:tcPr>
          <w:p w14:paraId="7971CAF1"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996" w:type="dxa"/>
            <w:tcBorders>
              <w:top w:val="nil"/>
              <w:left w:val="nil"/>
              <w:bottom w:val="nil"/>
              <w:right w:val="single" w:sz="4" w:space="0" w:color="auto"/>
            </w:tcBorders>
            <w:vAlign w:val="bottom"/>
          </w:tcPr>
          <w:p w14:paraId="1D836CCC"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186" w:type="dxa"/>
            <w:tcBorders>
              <w:top w:val="nil"/>
              <w:left w:val="single" w:sz="4" w:space="0" w:color="auto"/>
              <w:bottom w:val="nil"/>
              <w:right w:val="nil"/>
            </w:tcBorders>
            <w:shd w:val="clear" w:color="auto" w:fill="D9D9D9" w:themeFill="background1" w:themeFillShade="D9"/>
            <w:noWrap/>
            <w:vAlign w:val="bottom"/>
            <w:hideMark/>
          </w:tcPr>
          <w:p w14:paraId="55F1A1A7"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p>
        </w:tc>
        <w:tc>
          <w:tcPr>
            <w:tcW w:w="1089" w:type="dxa"/>
            <w:tcBorders>
              <w:top w:val="nil"/>
              <w:left w:val="single" w:sz="8" w:space="0" w:color="auto"/>
              <w:bottom w:val="nil"/>
              <w:right w:val="single" w:sz="8" w:space="0" w:color="auto"/>
            </w:tcBorders>
            <w:shd w:val="clear" w:color="auto" w:fill="auto"/>
            <w:noWrap/>
            <w:vAlign w:val="bottom"/>
            <w:hideMark/>
          </w:tcPr>
          <w:p w14:paraId="31D371D0"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SETEMBRO</w:t>
            </w:r>
          </w:p>
        </w:tc>
        <w:tc>
          <w:tcPr>
            <w:tcW w:w="1149" w:type="dxa"/>
            <w:tcBorders>
              <w:top w:val="nil"/>
              <w:left w:val="nil"/>
              <w:bottom w:val="nil"/>
              <w:right w:val="single" w:sz="8" w:space="0" w:color="auto"/>
            </w:tcBorders>
            <w:shd w:val="clear" w:color="auto" w:fill="auto"/>
            <w:noWrap/>
            <w:vAlign w:val="bottom"/>
            <w:hideMark/>
          </w:tcPr>
          <w:p w14:paraId="17C212DB"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1116" w:type="dxa"/>
            <w:tcBorders>
              <w:top w:val="nil"/>
              <w:left w:val="nil"/>
              <w:bottom w:val="nil"/>
              <w:right w:val="single" w:sz="8" w:space="0" w:color="auto"/>
            </w:tcBorders>
            <w:shd w:val="clear" w:color="auto" w:fill="auto"/>
            <w:noWrap/>
            <w:vAlign w:val="bottom"/>
            <w:hideMark/>
          </w:tcPr>
          <w:p w14:paraId="0B5A0A51"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959" w:type="dxa"/>
            <w:tcBorders>
              <w:top w:val="nil"/>
              <w:left w:val="nil"/>
              <w:bottom w:val="nil"/>
              <w:right w:val="single" w:sz="8" w:space="0" w:color="auto"/>
            </w:tcBorders>
            <w:vAlign w:val="bottom"/>
          </w:tcPr>
          <w:p w14:paraId="184A8617"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r>
      <w:tr w:rsidR="00BB5697" w:rsidRPr="00FD1551" w14:paraId="0AD43F38" w14:textId="77777777" w:rsidTr="00BF7C4A">
        <w:trPr>
          <w:trHeight w:val="283"/>
        </w:trPr>
        <w:tc>
          <w:tcPr>
            <w:tcW w:w="1089" w:type="dxa"/>
            <w:tcBorders>
              <w:top w:val="nil"/>
              <w:left w:val="single" w:sz="8" w:space="0" w:color="auto"/>
              <w:bottom w:val="nil"/>
              <w:right w:val="single" w:sz="8" w:space="0" w:color="auto"/>
            </w:tcBorders>
            <w:shd w:val="clear" w:color="auto" w:fill="auto"/>
            <w:noWrap/>
            <w:vAlign w:val="bottom"/>
            <w:hideMark/>
          </w:tcPr>
          <w:p w14:paraId="6B51D200"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OUTUBRO</w:t>
            </w:r>
          </w:p>
        </w:tc>
        <w:tc>
          <w:tcPr>
            <w:tcW w:w="784" w:type="dxa"/>
            <w:tcBorders>
              <w:top w:val="nil"/>
              <w:left w:val="nil"/>
              <w:bottom w:val="nil"/>
              <w:right w:val="single" w:sz="4" w:space="0" w:color="auto"/>
            </w:tcBorders>
          </w:tcPr>
          <w:p w14:paraId="3CF233E0"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p>
        </w:tc>
        <w:tc>
          <w:tcPr>
            <w:tcW w:w="1170" w:type="dxa"/>
            <w:tcBorders>
              <w:top w:val="nil"/>
              <w:left w:val="single" w:sz="4" w:space="0" w:color="auto"/>
              <w:bottom w:val="nil"/>
              <w:right w:val="single" w:sz="8" w:space="0" w:color="auto"/>
            </w:tcBorders>
            <w:shd w:val="clear" w:color="auto" w:fill="auto"/>
            <w:noWrap/>
            <w:vAlign w:val="bottom"/>
            <w:hideMark/>
          </w:tcPr>
          <w:p w14:paraId="32BCE52D"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1212" w:type="dxa"/>
            <w:tcBorders>
              <w:top w:val="nil"/>
              <w:left w:val="nil"/>
              <w:bottom w:val="nil"/>
              <w:right w:val="single" w:sz="8" w:space="0" w:color="auto"/>
            </w:tcBorders>
            <w:shd w:val="clear" w:color="auto" w:fill="auto"/>
            <w:noWrap/>
            <w:vAlign w:val="bottom"/>
            <w:hideMark/>
          </w:tcPr>
          <w:p w14:paraId="13B0D028"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996" w:type="dxa"/>
            <w:tcBorders>
              <w:top w:val="nil"/>
              <w:left w:val="nil"/>
              <w:bottom w:val="nil"/>
              <w:right w:val="single" w:sz="4" w:space="0" w:color="auto"/>
            </w:tcBorders>
            <w:vAlign w:val="bottom"/>
          </w:tcPr>
          <w:p w14:paraId="012E5C16"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186" w:type="dxa"/>
            <w:tcBorders>
              <w:top w:val="nil"/>
              <w:left w:val="single" w:sz="4" w:space="0" w:color="auto"/>
              <w:bottom w:val="nil"/>
              <w:right w:val="nil"/>
            </w:tcBorders>
            <w:shd w:val="clear" w:color="auto" w:fill="D9D9D9" w:themeFill="background1" w:themeFillShade="D9"/>
            <w:noWrap/>
            <w:vAlign w:val="bottom"/>
            <w:hideMark/>
          </w:tcPr>
          <w:p w14:paraId="6A8F6B64"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p>
        </w:tc>
        <w:tc>
          <w:tcPr>
            <w:tcW w:w="1089" w:type="dxa"/>
            <w:tcBorders>
              <w:top w:val="nil"/>
              <w:left w:val="single" w:sz="8" w:space="0" w:color="auto"/>
              <w:bottom w:val="nil"/>
              <w:right w:val="single" w:sz="8" w:space="0" w:color="auto"/>
            </w:tcBorders>
            <w:shd w:val="clear" w:color="auto" w:fill="auto"/>
            <w:noWrap/>
            <w:vAlign w:val="bottom"/>
            <w:hideMark/>
          </w:tcPr>
          <w:p w14:paraId="1B17CC66"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OUTUBRO</w:t>
            </w:r>
          </w:p>
        </w:tc>
        <w:tc>
          <w:tcPr>
            <w:tcW w:w="1149" w:type="dxa"/>
            <w:tcBorders>
              <w:top w:val="nil"/>
              <w:left w:val="nil"/>
              <w:bottom w:val="nil"/>
              <w:right w:val="single" w:sz="8" w:space="0" w:color="auto"/>
            </w:tcBorders>
            <w:shd w:val="clear" w:color="auto" w:fill="auto"/>
            <w:noWrap/>
            <w:vAlign w:val="bottom"/>
            <w:hideMark/>
          </w:tcPr>
          <w:p w14:paraId="7B0927AA"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1116" w:type="dxa"/>
            <w:tcBorders>
              <w:top w:val="nil"/>
              <w:left w:val="nil"/>
              <w:bottom w:val="nil"/>
              <w:right w:val="single" w:sz="8" w:space="0" w:color="auto"/>
            </w:tcBorders>
            <w:shd w:val="clear" w:color="auto" w:fill="auto"/>
            <w:noWrap/>
            <w:vAlign w:val="bottom"/>
            <w:hideMark/>
          </w:tcPr>
          <w:p w14:paraId="294390F5"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959" w:type="dxa"/>
            <w:tcBorders>
              <w:top w:val="nil"/>
              <w:left w:val="nil"/>
              <w:bottom w:val="nil"/>
              <w:right w:val="single" w:sz="8" w:space="0" w:color="auto"/>
            </w:tcBorders>
            <w:vAlign w:val="bottom"/>
          </w:tcPr>
          <w:p w14:paraId="201CC592"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r>
      <w:tr w:rsidR="00BB5697" w:rsidRPr="00FD1551" w14:paraId="273A7F41" w14:textId="77777777" w:rsidTr="00BF7C4A">
        <w:trPr>
          <w:trHeight w:val="283"/>
        </w:trPr>
        <w:tc>
          <w:tcPr>
            <w:tcW w:w="1089" w:type="dxa"/>
            <w:tcBorders>
              <w:top w:val="nil"/>
              <w:left w:val="single" w:sz="8" w:space="0" w:color="auto"/>
              <w:bottom w:val="nil"/>
              <w:right w:val="single" w:sz="8" w:space="0" w:color="auto"/>
            </w:tcBorders>
            <w:shd w:val="clear" w:color="auto" w:fill="auto"/>
            <w:noWrap/>
            <w:vAlign w:val="bottom"/>
            <w:hideMark/>
          </w:tcPr>
          <w:p w14:paraId="0B89FE45"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NOVEMBRO</w:t>
            </w:r>
          </w:p>
        </w:tc>
        <w:tc>
          <w:tcPr>
            <w:tcW w:w="784" w:type="dxa"/>
            <w:tcBorders>
              <w:top w:val="nil"/>
              <w:left w:val="nil"/>
              <w:bottom w:val="nil"/>
              <w:right w:val="single" w:sz="4" w:space="0" w:color="auto"/>
            </w:tcBorders>
          </w:tcPr>
          <w:p w14:paraId="47EC5603"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p>
        </w:tc>
        <w:tc>
          <w:tcPr>
            <w:tcW w:w="1170" w:type="dxa"/>
            <w:tcBorders>
              <w:top w:val="nil"/>
              <w:left w:val="single" w:sz="4" w:space="0" w:color="auto"/>
              <w:bottom w:val="nil"/>
              <w:right w:val="single" w:sz="8" w:space="0" w:color="auto"/>
            </w:tcBorders>
            <w:shd w:val="clear" w:color="auto" w:fill="auto"/>
            <w:noWrap/>
            <w:vAlign w:val="bottom"/>
            <w:hideMark/>
          </w:tcPr>
          <w:p w14:paraId="50AC8CBA"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1212" w:type="dxa"/>
            <w:tcBorders>
              <w:top w:val="nil"/>
              <w:left w:val="nil"/>
              <w:bottom w:val="nil"/>
              <w:right w:val="single" w:sz="8" w:space="0" w:color="auto"/>
            </w:tcBorders>
            <w:shd w:val="clear" w:color="auto" w:fill="auto"/>
            <w:noWrap/>
            <w:vAlign w:val="bottom"/>
            <w:hideMark/>
          </w:tcPr>
          <w:p w14:paraId="069F9B08"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996" w:type="dxa"/>
            <w:tcBorders>
              <w:top w:val="nil"/>
              <w:left w:val="nil"/>
              <w:bottom w:val="nil"/>
              <w:right w:val="single" w:sz="4" w:space="0" w:color="auto"/>
            </w:tcBorders>
            <w:vAlign w:val="bottom"/>
          </w:tcPr>
          <w:p w14:paraId="340B451E"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186" w:type="dxa"/>
            <w:tcBorders>
              <w:top w:val="nil"/>
              <w:left w:val="single" w:sz="4" w:space="0" w:color="auto"/>
              <w:bottom w:val="nil"/>
              <w:right w:val="nil"/>
            </w:tcBorders>
            <w:shd w:val="clear" w:color="auto" w:fill="D9D9D9" w:themeFill="background1" w:themeFillShade="D9"/>
            <w:noWrap/>
            <w:vAlign w:val="bottom"/>
            <w:hideMark/>
          </w:tcPr>
          <w:p w14:paraId="2F67671E"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p>
        </w:tc>
        <w:tc>
          <w:tcPr>
            <w:tcW w:w="1089" w:type="dxa"/>
            <w:tcBorders>
              <w:top w:val="nil"/>
              <w:left w:val="single" w:sz="8" w:space="0" w:color="auto"/>
              <w:bottom w:val="nil"/>
              <w:right w:val="single" w:sz="8" w:space="0" w:color="auto"/>
            </w:tcBorders>
            <w:shd w:val="clear" w:color="auto" w:fill="auto"/>
            <w:noWrap/>
            <w:vAlign w:val="bottom"/>
            <w:hideMark/>
          </w:tcPr>
          <w:p w14:paraId="2CEBADDC"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NOVEMBRO</w:t>
            </w:r>
          </w:p>
        </w:tc>
        <w:tc>
          <w:tcPr>
            <w:tcW w:w="1149" w:type="dxa"/>
            <w:tcBorders>
              <w:top w:val="nil"/>
              <w:left w:val="nil"/>
              <w:bottom w:val="nil"/>
              <w:right w:val="single" w:sz="8" w:space="0" w:color="auto"/>
            </w:tcBorders>
            <w:shd w:val="clear" w:color="auto" w:fill="auto"/>
            <w:noWrap/>
            <w:vAlign w:val="bottom"/>
            <w:hideMark/>
          </w:tcPr>
          <w:p w14:paraId="6879A118"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1116" w:type="dxa"/>
            <w:tcBorders>
              <w:top w:val="nil"/>
              <w:left w:val="nil"/>
              <w:bottom w:val="nil"/>
              <w:right w:val="single" w:sz="8" w:space="0" w:color="auto"/>
            </w:tcBorders>
            <w:shd w:val="clear" w:color="auto" w:fill="auto"/>
            <w:noWrap/>
            <w:vAlign w:val="bottom"/>
            <w:hideMark/>
          </w:tcPr>
          <w:p w14:paraId="1D25FD32"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959" w:type="dxa"/>
            <w:tcBorders>
              <w:top w:val="nil"/>
              <w:left w:val="nil"/>
              <w:bottom w:val="nil"/>
              <w:right w:val="single" w:sz="8" w:space="0" w:color="auto"/>
            </w:tcBorders>
            <w:vAlign w:val="bottom"/>
          </w:tcPr>
          <w:p w14:paraId="556F3B15"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r>
      <w:tr w:rsidR="00BB5697" w:rsidRPr="00FD1551" w14:paraId="42283122" w14:textId="77777777" w:rsidTr="00BF7C4A">
        <w:trPr>
          <w:trHeight w:val="283"/>
        </w:trPr>
        <w:tc>
          <w:tcPr>
            <w:tcW w:w="1089" w:type="dxa"/>
            <w:tcBorders>
              <w:top w:val="nil"/>
              <w:left w:val="single" w:sz="8" w:space="0" w:color="auto"/>
              <w:bottom w:val="nil"/>
              <w:right w:val="single" w:sz="8" w:space="0" w:color="auto"/>
            </w:tcBorders>
            <w:shd w:val="clear" w:color="auto" w:fill="auto"/>
            <w:noWrap/>
            <w:vAlign w:val="bottom"/>
            <w:hideMark/>
          </w:tcPr>
          <w:p w14:paraId="0A30A64D"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DEZEMBRO</w:t>
            </w:r>
          </w:p>
        </w:tc>
        <w:tc>
          <w:tcPr>
            <w:tcW w:w="784" w:type="dxa"/>
            <w:tcBorders>
              <w:top w:val="nil"/>
              <w:left w:val="nil"/>
              <w:bottom w:val="nil"/>
              <w:right w:val="single" w:sz="4" w:space="0" w:color="auto"/>
            </w:tcBorders>
          </w:tcPr>
          <w:p w14:paraId="0768889B"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p>
        </w:tc>
        <w:tc>
          <w:tcPr>
            <w:tcW w:w="1170" w:type="dxa"/>
            <w:tcBorders>
              <w:top w:val="nil"/>
              <w:left w:val="single" w:sz="4" w:space="0" w:color="auto"/>
              <w:bottom w:val="nil"/>
              <w:right w:val="single" w:sz="8" w:space="0" w:color="auto"/>
            </w:tcBorders>
            <w:shd w:val="clear" w:color="auto" w:fill="auto"/>
            <w:noWrap/>
            <w:vAlign w:val="bottom"/>
            <w:hideMark/>
          </w:tcPr>
          <w:p w14:paraId="504D515D"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1212" w:type="dxa"/>
            <w:tcBorders>
              <w:top w:val="nil"/>
              <w:left w:val="nil"/>
              <w:bottom w:val="nil"/>
              <w:right w:val="single" w:sz="8" w:space="0" w:color="auto"/>
            </w:tcBorders>
            <w:shd w:val="clear" w:color="auto" w:fill="auto"/>
            <w:noWrap/>
            <w:vAlign w:val="bottom"/>
            <w:hideMark/>
          </w:tcPr>
          <w:p w14:paraId="41373952"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996" w:type="dxa"/>
            <w:tcBorders>
              <w:top w:val="nil"/>
              <w:left w:val="nil"/>
              <w:bottom w:val="nil"/>
              <w:right w:val="single" w:sz="4" w:space="0" w:color="auto"/>
            </w:tcBorders>
            <w:vAlign w:val="bottom"/>
          </w:tcPr>
          <w:p w14:paraId="7E9EE523"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186" w:type="dxa"/>
            <w:tcBorders>
              <w:top w:val="nil"/>
              <w:left w:val="single" w:sz="4" w:space="0" w:color="auto"/>
              <w:bottom w:val="nil"/>
              <w:right w:val="nil"/>
            </w:tcBorders>
            <w:shd w:val="clear" w:color="auto" w:fill="D9D9D9" w:themeFill="background1" w:themeFillShade="D9"/>
            <w:noWrap/>
            <w:vAlign w:val="bottom"/>
            <w:hideMark/>
          </w:tcPr>
          <w:p w14:paraId="30C97490"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p>
        </w:tc>
        <w:tc>
          <w:tcPr>
            <w:tcW w:w="1089" w:type="dxa"/>
            <w:tcBorders>
              <w:top w:val="nil"/>
              <w:left w:val="single" w:sz="8" w:space="0" w:color="auto"/>
              <w:bottom w:val="nil"/>
              <w:right w:val="single" w:sz="8" w:space="0" w:color="auto"/>
            </w:tcBorders>
            <w:shd w:val="clear" w:color="auto" w:fill="auto"/>
            <w:noWrap/>
            <w:vAlign w:val="bottom"/>
            <w:hideMark/>
          </w:tcPr>
          <w:p w14:paraId="3B89941A"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DEZEMBRO</w:t>
            </w:r>
          </w:p>
        </w:tc>
        <w:tc>
          <w:tcPr>
            <w:tcW w:w="1149" w:type="dxa"/>
            <w:tcBorders>
              <w:top w:val="nil"/>
              <w:left w:val="nil"/>
              <w:bottom w:val="nil"/>
              <w:right w:val="single" w:sz="8" w:space="0" w:color="auto"/>
            </w:tcBorders>
            <w:shd w:val="clear" w:color="auto" w:fill="auto"/>
            <w:noWrap/>
            <w:vAlign w:val="bottom"/>
            <w:hideMark/>
          </w:tcPr>
          <w:p w14:paraId="2803707B"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1116" w:type="dxa"/>
            <w:tcBorders>
              <w:top w:val="nil"/>
              <w:left w:val="nil"/>
              <w:bottom w:val="nil"/>
              <w:right w:val="single" w:sz="8" w:space="0" w:color="auto"/>
            </w:tcBorders>
            <w:shd w:val="clear" w:color="auto" w:fill="auto"/>
            <w:noWrap/>
            <w:vAlign w:val="bottom"/>
            <w:hideMark/>
          </w:tcPr>
          <w:p w14:paraId="26FED9A7"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959" w:type="dxa"/>
            <w:tcBorders>
              <w:top w:val="nil"/>
              <w:left w:val="nil"/>
              <w:bottom w:val="nil"/>
              <w:right w:val="single" w:sz="8" w:space="0" w:color="auto"/>
            </w:tcBorders>
            <w:vAlign w:val="bottom"/>
          </w:tcPr>
          <w:p w14:paraId="19F0B3A3"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r>
      <w:tr w:rsidR="00BB5697" w:rsidRPr="00FD1551" w14:paraId="43F4722E" w14:textId="77777777" w:rsidTr="00BF7C4A">
        <w:trPr>
          <w:trHeight w:val="283"/>
        </w:trPr>
        <w:tc>
          <w:tcPr>
            <w:tcW w:w="1089" w:type="dxa"/>
            <w:tcBorders>
              <w:top w:val="nil"/>
              <w:left w:val="single" w:sz="8" w:space="0" w:color="auto"/>
              <w:bottom w:val="single" w:sz="4" w:space="0" w:color="auto"/>
              <w:right w:val="single" w:sz="8" w:space="0" w:color="auto"/>
            </w:tcBorders>
            <w:shd w:val="clear" w:color="auto" w:fill="auto"/>
            <w:noWrap/>
            <w:vAlign w:val="bottom"/>
            <w:hideMark/>
          </w:tcPr>
          <w:p w14:paraId="1AF1B2AE"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13º SALÁRIO</w:t>
            </w:r>
          </w:p>
        </w:tc>
        <w:tc>
          <w:tcPr>
            <w:tcW w:w="784" w:type="dxa"/>
            <w:tcBorders>
              <w:top w:val="nil"/>
              <w:left w:val="nil"/>
              <w:bottom w:val="nil"/>
              <w:right w:val="single" w:sz="4" w:space="0" w:color="auto"/>
            </w:tcBorders>
          </w:tcPr>
          <w:p w14:paraId="45608212"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p>
        </w:tc>
        <w:tc>
          <w:tcPr>
            <w:tcW w:w="1170" w:type="dxa"/>
            <w:tcBorders>
              <w:top w:val="nil"/>
              <w:left w:val="single" w:sz="4" w:space="0" w:color="auto"/>
              <w:bottom w:val="nil"/>
              <w:right w:val="single" w:sz="8" w:space="0" w:color="auto"/>
            </w:tcBorders>
            <w:shd w:val="clear" w:color="auto" w:fill="auto"/>
            <w:noWrap/>
            <w:vAlign w:val="bottom"/>
            <w:hideMark/>
          </w:tcPr>
          <w:p w14:paraId="226AC39C"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1212" w:type="dxa"/>
            <w:tcBorders>
              <w:top w:val="nil"/>
              <w:left w:val="nil"/>
              <w:bottom w:val="nil"/>
              <w:right w:val="single" w:sz="8" w:space="0" w:color="auto"/>
            </w:tcBorders>
            <w:shd w:val="clear" w:color="auto" w:fill="auto"/>
            <w:noWrap/>
            <w:vAlign w:val="bottom"/>
            <w:hideMark/>
          </w:tcPr>
          <w:p w14:paraId="74DEEDB1"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996" w:type="dxa"/>
            <w:tcBorders>
              <w:top w:val="nil"/>
              <w:left w:val="nil"/>
              <w:bottom w:val="single" w:sz="4" w:space="0" w:color="auto"/>
              <w:right w:val="single" w:sz="4" w:space="0" w:color="auto"/>
            </w:tcBorders>
            <w:vAlign w:val="bottom"/>
          </w:tcPr>
          <w:p w14:paraId="27519E15"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186" w:type="dxa"/>
            <w:tcBorders>
              <w:top w:val="nil"/>
              <w:left w:val="single" w:sz="4" w:space="0" w:color="auto"/>
              <w:bottom w:val="nil"/>
              <w:right w:val="nil"/>
            </w:tcBorders>
            <w:shd w:val="clear" w:color="auto" w:fill="D9D9D9" w:themeFill="background1" w:themeFillShade="D9"/>
            <w:noWrap/>
            <w:vAlign w:val="bottom"/>
            <w:hideMark/>
          </w:tcPr>
          <w:p w14:paraId="012A4BFF"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p>
        </w:tc>
        <w:tc>
          <w:tcPr>
            <w:tcW w:w="1089" w:type="dxa"/>
            <w:tcBorders>
              <w:top w:val="nil"/>
              <w:left w:val="single" w:sz="8" w:space="0" w:color="auto"/>
              <w:bottom w:val="single" w:sz="4" w:space="0" w:color="auto"/>
              <w:right w:val="single" w:sz="8" w:space="0" w:color="auto"/>
            </w:tcBorders>
            <w:shd w:val="clear" w:color="auto" w:fill="auto"/>
            <w:noWrap/>
            <w:vAlign w:val="bottom"/>
            <w:hideMark/>
          </w:tcPr>
          <w:p w14:paraId="4EB22A3C"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13º SALÁRIO</w:t>
            </w:r>
          </w:p>
        </w:tc>
        <w:tc>
          <w:tcPr>
            <w:tcW w:w="1149" w:type="dxa"/>
            <w:tcBorders>
              <w:top w:val="nil"/>
              <w:left w:val="nil"/>
              <w:bottom w:val="nil"/>
              <w:right w:val="single" w:sz="8" w:space="0" w:color="auto"/>
            </w:tcBorders>
            <w:shd w:val="clear" w:color="auto" w:fill="auto"/>
            <w:noWrap/>
            <w:vAlign w:val="bottom"/>
            <w:hideMark/>
          </w:tcPr>
          <w:p w14:paraId="240B2D45"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1116" w:type="dxa"/>
            <w:tcBorders>
              <w:top w:val="nil"/>
              <w:left w:val="nil"/>
              <w:bottom w:val="nil"/>
              <w:right w:val="single" w:sz="8" w:space="0" w:color="auto"/>
            </w:tcBorders>
            <w:shd w:val="clear" w:color="auto" w:fill="auto"/>
            <w:noWrap/>
            <w:vAlign w:val="bottom"/>
            <w:hideMark/>
          </w:tcPr>
          <w:p w14:paraId="5BD47D77"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c>
          <w:tcPr>
            <w:tcW w:w="959" w:type="dxa"/>
            <w:tcBorders>
              <w:top w:val="nil"/>
              <w:left w:val="nil"/>
              <w:bottom w:val="nil"/>
              <w:right w:val="single" w:sz="8" w:space="0" w:color="auto"/>
            </w:tcBorders>
            <w:vAlign w:val="bottom"/>
          </w:tcPr>
          <w:p w14:paraId="01DE306D"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R$</w:t>
            </w:r>
          </w:p>
        </w:tc>
      </w:tr>
      <w:tr w:rsidR="00BB5697" w:rsidRPr="00FD1551" w14:paraId="641193FF" w14:textId="77777777" w:rsidTr="00BF7C4A">
        <w:trPr>
          <w:trHeight w:val="283"/>
        </w:trPr>
        <w:tc>
          <w:tcPr>
            <w:tcW w:w="1873" w:type="dxa"/>
            <w:gridSpan w:val="2"/>
            <w:tcBorders>
              <w:top w:val="single" w:sz="4" w:space="0" w:color="auto"/>
              <w:left w:val="single" w:sz="8" w:space="0" w:color="auto"/>
              <w:bottom w:val="single" w:sz="4" w:space="0" w:color="auto"/>
              <w:right w:val="single" w:sz="4" w:space="0" w:color="auto"/>
            </w:tcBorders>
            <w:shd w:val="clear" w:color="auto" w:fill="BFBFBF" w:themeFill="background1" w:themeFillShade="BF"/>
            <w:noWrap/>
            <w:vAlign w:val="bottom"/>
            <w:hideMark/>
          </w:tcPr>
          <w:p w14:paraId="13CD2B7A"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Totais</w:t>
            </w:r>
          </w:p>
        </w:tc>
        <w:tc>
          <w:tcPr>
            <w:tcW w:w="1170" w:type="dxa"/>
            <w:tcBorders>
              <w:top w:val="single" w:sz="8" w:space="0" w:color="auto"/>
              <w:left w:val="single" w:sz="4" w:space="0" w:color="auto"/>
              <w:bottom w:val="single" w:sz="8" w:space="0" w:color="auto"/>
              <w:right w:val="single" w:sz="8" w:space="0" w:color="auto"/>
            </w:tcBorders>
            <w:shd w:val="clear" w:color="auto" w:fill="BFBFBF" w:themeFill="background1" w:themeFillShade="BF"/>
            <w:noWrap/>
            <w:vAlign w:val="bottom"/>
            <w:hideMark/>
          </w:tcPr>
          <w:p w14:paraId="4109ACDB"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R$</w:t>
            </w:r>
          </w:p>
        </w:tc>
        <w:tc>
          <w:tcPr>
            <w:tcW w:w="1212" w:type="dxa"/>
            <w:tcBorders>
              <w:top w:val="single" w:sz="8" w:space="0" w:color="auto"/>
              <w:left w:val="nil"/>
              <w:bottom w:val="single" w:sz="8" w:space="0" w:color="auto"/>
              <w:right w:val="single" w:sz="8" w:space="0" w:color="auto"/>
            </w:tcBorders>
            <w:shd w:val="clear" w:color="auto" w:fill="BFBFBF" w:themeFill="background1" w:themeFillShade="BF"/>
            <w:noWrap/>
            <w:vAlign w:val="bottom"/>
            <w:hideMark/>
          </w:tcPr>
          <w:p w14:paraId="2B39169E"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R$</w:t>
            </w:r>
          </w:p>
        </w:tc>
        <w:tc>
          <w:tcPr>
            <w:tcW w:w="996" w:type="dxa"/>
            <w:tcBorders>
              <w:top w:val="single" w:sz="4" w:space="0" w:color="auto"/>
              <w:left w:val="nil"/>
              <w:bottom w:val="single" w:sz="8" w:space="0" w:color="auto"/>
              <w:right w:val="single" w:sz="4" w:space="0" w:color="auto"/>
            </w:tcBorders>
            <w:shd w:val="clear" w:color="auto" w:fill="BFBFBF" w:themeFill="background1" w:themeFillShade="BF"/>
          </w:tcPr>
          <w:p w14:paraId="482562B2"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 xml:space="preserve">R$ </w:t>
            </w:r>
          </w:p>
        </w:tc>
        <w:tc>
          <w:tcPr>
            <w:tcW w:w="186" w:type="dxa"/>
            <w:tcBorders>
              <w:top w:val="nil"/>
              <w:left w:val="single" w:sz="4" w:space="0" w:color="auto"/>
              <w:bottom w:val="single" w:sz="8" w:space="0" w:color="auto"/>
              <w:right w:val="single" w:sz="8" w:space="0" w:color="auto"/>
            </w:tcBorders>
            <w:shd w:val="clear" w:color="auto" w:fill="D9D9D9" w:themeFill="background1" w:themeFillShade="D9"/>
            <w:noWrap/>
            <w:vAlign w:val="bottom"/>
            <w:hideMark/>
          </w:tcPr>
          <w:p w14:paraId="5D482273"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 </w:t>
            </w:r>
          </w:p>
        </w:tc>
        <w:tc>
          <w:tcPr>
            <w:tcW w:w="1089" w:type="dxa"/>
            <w:tcBorders>
              <w:top w:val="single" w:sz="4" w:space="0" w:color="auto"/>
              <w:left w:val="nil"/>
              <w:bottom w:val="single" w:sz="4" w:space="0" w:color="auto"/>
              <w:right w:val="nil"/>
            </w:tcBorders>
            <w:shd w:val="clear" w:color="auto" w:fill="BFBFBF" w:themeFill="background1" w:themeFillShade="BF"/>
            <w:noWrap/>
            <w:vAlign w:val="bottom"/>
            <w:hideMark/>
          </w:tcPr>
          <w:p w14:paraId="335E832C" w14:textId="77777777" w:rsidR="00BB5697" w:rsidRPr="00FD1551" w:rsidRDefault="00BB5697" w:rsidP="00BF7C4A">
            <w:pPr>
              <w:spacing w:after="0" w:line="360" w:lineRule="auto"/>
              <w:jc w:val="right"/>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Totais</w:t>
            </w:r>
          </w:p>
        </w:tc>
        <w:tc>
          <w:tcPr>
            <w:tcW w:w="1149" w:type="dxa"/>
            <w:tcBorders>
              <w:top w:val="single" w:sz="8" w:space="0" w:color="auto"/>
              <w:left w:val="single" w:sz="8" w:space="0" w:color="auto"/>
              <w:bottom w:val="single" w:sz="8" w:space="0" w:color="auto"/>
              <w:right w:val="single" w:sz="8" w:space="0" w:color="auto"/>
            </w:tcBorders>
            <w:shd w:val="clear" w:color="auto" w:fill="BFBFBF" w:themeFill="background1" w:themeFillShade="BF"/>
            <w:noWrap/>
            <w:vAlign w:val="bottom"/>
            <w:hideMark/>
          </w:tcPr>
          <w:p w14:paraId="4BDB1051"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R$</w:t>
            </w:r>
          </w:p>
        </w:tc>
        <w:tc>
          <w:tcPr>
            <w:tcW w:w="1116" w:type="dxa"/>
            <w:tcBorders>
              <w:top w:val="single" w:sz="8" w:space="0" w:color="auto"/>
              <w:left w:val="nil"/>
              <w:bottom w:val="single" w:sz="8" w:space="0" w:color="auto"/>
              <w:right w:val="single" w:sz="8" w:space="0" w:color="auto"/>
            </w:tcBorders>
            <w:shd w:val="clear" w:color="auto" w:fill="BFBFBF" w:themeFill="background1" w:themeFillShade="BF"/>
            <w:noWrap/>
            <w:vAlign w:val="bottom"/>
            <w:hideMark/>
          </w:tcPr>
          <w:p w14:paraId="2E0DCB65"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R$</w:t>
            </w:r>
          </w:p>
        </w:tc>
        <w:tc>
          <w:tcPr>
            <w:tcW w:w="959" w:type="dxa"/>
            <w:tcBorders>
              <w:top w:val="single" w:sz="8" w:space="0" w:color="auto"/>
              <w:left w:val="nil"/>
              <w:bottom w:val="single" w:sz="8" w:space="0" w:color="auto"/>
              <w:right w:val="single" w:sz="8" w:space="0" w:color="auto"/>
            </w:tcBorders>
            <w:shd w:val="clear" w:color="auto" w:fill="BFBFBF" w:themeFill="background1" w:themeFillShade="BF"/>
          </w:tcPr>
          <w:p w14:paraId="62409E9B"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R$</w:t>
            </w:r>
          </w:p>
        </w:tc>
      </w:tr>
      <w:tr w:rsidR="00BB5697" w:rsidRPr="00FD1551" w14:paraId="591C644C" w14:textId="77777777" w:rsidTr="00BF7C4A">
        <w:trPr>
          <w:trHeight w:val="283"/>
        </w:trPr>
        <w:tc>
          <w:tcPr>
            <w:tcW w:w="9750" w:type="dxa"/>
            <w:gridSpan w:val="10"/>
            <w:tcBorders>
              <w:top w:val="nil"/>
              <w:left w:val="single" w:sz="8" w:space="0" w:color="auto"/>
              <w:bottom w:val="single" w:sz="8" w:space="0" w:color="auto"/>
              <w:right w:val="single" w:sz="8" w:space="0" w:color="auto"/>
            </w:tcBorders>
          </w:tcPr>
          <w:p w14:paraId="116788DD"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b/>
                <w:color w:val="000000"/>
                <w:sz w:val="16"/>
                <w:szCs w:val="16"/>
                <w:lang w:eastAsia="pt-BR"/>
              </w:rPr>
              <w:t>Nota</w:t>
            </w:r>
            <w:r w:rsidRPr="00FD1551">
              <w:rPr>
                <w:rFonts w:ascii="Arial" w:eastAsia="Times New Roman" w:hAnsi="Arial" w:cs="Arial"/>
                <w:color w:val="000000"/>
                <w:sz w:val="16"/>
                <w:szCs w:val="16"/>
                <w:lang w:eastAsia="pt-BR"/>
              </w:rPr>
              <w:t xml:space="preserve">: Apresentar legislação que determina o percentual das alíquotas vigentes no exercício. </w:t>
            </w:r>
          </w:p>
          <w:p w14:paraId="4BFA36FD"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color w:val="000000"/>
                <w:sz w:val="16"/>
                <w:szCs w:val="16"/>
                <w:lang w:eastAsia="pt-BR"/>
              </w:rPr>
              <w:t>Nos entes que possuem RPPS e que optaram pela segregação de massa como forma de equacionar o déficit atuarial, encaminhar um demonstrativo para os servidores vinculados ao Fundo Financeiro e outro para os servidores vinculados ao Fundo Previdenciário.</w:t>
            </w:r>
          </w:p>
        </w:tc>
      </w:tr>
    </w:tbl>
    <w:p w14:paraId="31409007" w14:textId="77777777" w:rsidR="00BB5697" w:rsidRPr="00FD1551" w:rsidRDefault="00BB5697" w:rsidP="00BB5697">
      <w:pPr>
        <w:spacing w:after="0" w:line="360" w:lineRule="auto"/>
        <w:jc w:val="center"/>
        <w:rPr>
          <w:rFonts w:ascii="Arial" w:hAnsi="Arial" w:cs="Arial"/>
          <w:b/>
          <w:sz w:val="28"/>
          <w:szCs w:val="28"/>
        </w:rPr>
      </w:pPr>
    </w:p>
    <w:p w14:paraId="14E21CE9" w14:textId="77777777" w:rsidR="00BB5697" w:rsidRPr="00FD1551" w:rsidRDefault="00BB5697" w:rsidP="00BB5697">
      <w:pPr>
        <w:spacing w:after="0" w:line="360" w:lineRule="auto"/>
        <w:ind w:left="-851" w:firstLine="851"/>
        <w:rPr>
          <w:rFonts w:ascii="Arial" w:hAnsi="Arial" w:cs="Arial"/>
          <w:sz w:val="16"/>
        </w:rPr>
      </w:pPr>
      <w:r w:rsidRPr="00FD1551">
        <w:rPr>
          <w:rFonts w:ascii="Arial" w:hAnsi="Arial" w:cs="Arial"/>
          <w:sz w:val="16"/>
        </w:rPr>
        <w:t>______________________</w:t>
      </w:r>
      <w:r w:rsidRPr="00FD1551">
        <w:rPr>
          <w:rFonts w:ascii="Arial" w:hAnsi="Arial" w:cs="Arial"/>
          <w:sz w:val="16"/>
        </w:rPr>
        <w:tab/>
      </w:r>
      <w:r w:rsidRPr="00FD1551">
        <w:rPr>
          <w:rFonts w:ascii="Arial" w:hAnsi="Arial" w:cs="Arial"/>
          <w:sz w:val="16"/>
        </w:rPr>
        <w:tab/>
      </w:r>
      <w:r w:rsidRPr="00FD1551">
        <w:rPr>
          <w:rFonts w:ascii="Arial" w:hAnsi="Arial" w:cs="Arial"/>
          <w:sz w:val="16"/>
        </w:rPr>
        <w:tab/>
        <w:t>_______________________________________</w:t>
      </w:r>
    </w:p>
    <w:p w14:paraId="417BCB3F" w14:textId="77777777" w:rsidR="00BB5697" w:rsidRPr="00FD1551" w:rsidRDefault="00BB5697" w:rsidP="00BB5697">
      <w:pPr>
        <w:rPr>
          <w:rFonts w:ascii="Arial" w:hAnsi="Arial" w:cs="Arial"/>
          <w:sz w:val="16"/>
        </w:rPr>
      </w:pPr>
      <w:r w:rsidRPr="00FD1551">
        <w:rPr>
          <w:rFonts w:ascii="Arial" w:hAnsi="Arial" w:cs="Arial"/>
          <w:sz w:val="16"/>
        </w:rPr>
        <w:t>Assinatura do Gestor</w:t>
      </w:r>
      <w:r w:rsidRPr="00FD1551">
        <w:rPr>
          <w:rFonts w:ascii="Arial" w:hAnsi="Arial" w:cs="Arial"/>
          <w:sz w:val="16"/>
        </w:rPr>
        <w:tab/>
      </w:r>
      <w:r w:rsidRPr="00FD1551">
        <w:rPr>
          <w:rFonts w:ascii="Arial" w:hAnsi="Arial" w:cs="Arial"/>
          <w:sz w:val="16"/>
        </w:rPr>
        <w:tab/>
      </w:r>
      <w:r w:rsidRPr="00FD1551">
        <w:rPr>
          <w:rFonts w:ascii="Arial" w:hAnsi="Arial" w:cs="Arial"/>
          <w:sz w:val="16"/>
        </w:rPr>
        <w:tab/>
        <w:t>Assinatura do Contabilista Responsável (CRC nº )</w:t>
      </w:r>
    </w:p>
    <w:p w14:paraId="4530F6FE" w14:textId="403A0260" w:rsidR="00BB5697" w:rsidRDefault="00BB5697" w:rsidP="00BB5697">
      <w:pPr>
        <w:rPr>
          <w:rFonts w:ascii="Arial" w:hAnsi="Arial" w:cs="Arial"/>
          <w:b/>
          <w:sz w:val="24"/>
          <w:szCs w:val="24"/>
        </w:rPr>
      </w:pPr>
      <w:r>
        <w:rPr>
          <w:rFonts w:ascii="Arial" w:hAnsi="Arial" w:cs="Arial"/>
          <w:b/>
          <w:sz w:val="24"/>
          <w:szCs w:val="24"/>
        </w:rPr>
        <w:br w:type="page"/>
      </w:r>
    </w:p>
    <w:p w14:paraId="0C7A039B" w14:textId="609320CA" w:rsidR="00BF7C4A" w:rsidRDefault="00BF7C4A" w:rsidP="00BF7C4A">
      <w:pPr>
        <w:pStyle w:val="Ttulo3"/>
      </w:pPr>
      <w:bookmarkStart w:id="82" w:name="_Toc94806354"/>
      <w:r w:rsidRPr="00BF7C4A">
        <w:lastRenderedPageBreak/>
        <w:t>RELCUST</w:t>
      </w:r>
      <w:bookmarkEnd w:id="82"/>
    </w:p>
    <w:p w14:paraId="10861940" w14:textId="6E4BDA2C" w:rsidR="00BB5697" w:rsidRPr="00FD1551" w:rsidRDefault="00BB5697" w:rsidP="00BB5697">
      <w:pPr>
        <w:spacing w:after="0" w:line="360" w:lineRule="auto"/>
        <w:jc w:val="both"/>
        <w:rPr>
          <w:rFonts w:ascii="Arial" w:hAnsi="Arial"/>
        </w:rPr>
      </w:pPr>
      <w:r w:rsidRPr="00FD1551">
        <w:rPr>
          <w:rFonts w:ascii="Arial" w:hAnsi="Arial" w:cs="Arial"/>
          <w:b/>
          <w:sz w:val="28"/>
          <w:szCs w:val="28"/>
        </w:rPr>
        <w:tab/>
      </w:r>
    </w:p>
    <w:tbl>
      <w:tblPr>
        <w:tblW w:w="9750" w:type="dxa"/>
        <w:tblInd w:w="-616" w:type="dxa"/>
        <w:tblBorders>
          <w:top w:val="single" w:sz="8" w:space="0" w:color="auto"/>
          <w:left w:val="single" w:sz="8" w:space="0" w:color="auto"/>
          <w:bottom w:val="single" w:sz="4" w:space="0" w:color="auto"/>
          <w:right w:val="single" w:sz="8" w:space="0" w:color="auto"/>
        </w:tblBorders>
        <w:tblCellMar>
          <w:left w:w="70" w:type="dxa"/>
          <w:right w:w="70" w:type="dxa"/>
        </w:tblCellMar>
        <w:tblLook w:val="04A0" w:firstRow="1" w:lastRow="0" w:firstColumn="1" w:lastColumn="0" w:noHBand="0" w:noVBand="1"/>
      </w:tblPr>
      <w:tblGrid>
        <w:gridCol w:w="9750"/>
      </w:tblGrid>
      <w:tr w:rsidR="00BB5697" w:rsidRPr="00FD1551" w14:paraId="6374DA4D" w14:textId="77777777" w:rsidTr="00BF7C4A">
        <w:trPr>
          <w:trHeight w:val="283"/>
        </w:trPr>
        <w:tc>
          <w:tcPr>
            <w:tcW w:w="9750" w:type="dxa"/>
          </w:tcPr>
          <w:p w14:paraId="0383698C"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b/>
                <w:bCs/>
                <w:color w:val="000000"/>
                <w:sz w:val="16"/>
                <w:szCs w:val="16"/>
                <w:lang w:eastAsia="pt-BR"/>
              </w:rPr>
              <w:t>IDENTIFICAÇÃO:</w:t>
            </w:r>
            <w:r w:rsidRPr="00FD1551">
              <w:rPr>
                <w:rFonts w:ascii="Arial" w:eastAsia="Times New Roman" w:hAnsi="Arial" w:cs="Arial"/>
                <w:color w:val="000000"/>
                <w:sz w:val="16"/>
                <w:szCs w:val="16"/>
                <w:lang w:eastAsia="pt-BR"/>
              </w:rPr>
              <w:t> </w:t>
            </w:r>
          </w:p>
        </w:tc>
      </w:tr>
      <w:tr w:rsidR="00BB5697" w:rsidRPr="00FD1551" w14:paraId="1753713B" w14:textId="77777777" w:rsidTr="00BF7C4A">
        <w:trPr>
          <w:trHeight w:val="283"/>
        </w:trPr>
        <w:tc>
          <w:tcPr>
            <w:tcW w:w="9750" w:type="dxa"/>
            <w:shd w:val="clear" w:color="auto" w:fill="auto"/>
            <w:noWrap/>
            <w:vAlign w:val="bottom"/>
            <w:hideMark/>
          </w:tcPr>
          <w:p w14:paraId="14E7AFE4"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EXERCÍCIO:</w:t>
            </w:r>
          </w:p>
        </w:tc>
      </w:tr>
    </w:tbl>
    <w:p w14:paraId="772BAF22" w14:textId="77777777" w:rsidR="00BB5697" w:rsidRPr="00FD1551" w:rsidRDefault="00BB5697" w:rsidP="00BB5697">
      <w:pPr>
        <w:spacing w:after="0" w:line="360" w:lineRule="auto"/>
        <w:jc w:val="both"/>
        <w:rPr>
          <w:rFonts w:ascii="Arial" w:hAnsi="Arial"/>
        </w:rPr>
      </w:pPr>
    </w:p>
    <w:p w14:paraId="61EAAF39" w14:textId="77777777" w:rsidR="00BB5697" w:rsidRPr="00FD1551" w:rsidRDefault="00BB5697" w:rsidP="00BB5697">
      <w:pPr>
        <w:spacing w:after="0" w:line="360" w:lineRule="auto"/>
        <w:jc w:val="center"/>
        <w:rPr>
          <w:rFonts w:ascii="Arial" w:hAnsi="Arial"/>
          <w:b/>
          <w:sz w:val="20"/>
          <w:szCs w:val="20"/>
        </w:rPr>
      </w:pPr>
      <w:r w:rsidRPr="00FD1551">
        <w:rPr>
          <w:rFonts w:ascii="Arial" w:hAnsi="Arial"/>
          <w:b/>
          <w:sz w:val="20"/>
          <w:szCs w:val="20"/>
        </w:rPr>
        <w:t>RELATÓRIO DETALHADO DO PLANO DE CUSTEIO E DE BENEFÍCIOS DO RPPS VIGENTES NO [EXERCICIO DA PCA]</w:t>
      </w:r>
    </w:p>
    <w:p w14:paraId="035111ED" w14:textId="77777777" w:rsidR="00BB5697" w:rsidRPr="00FD1551" w:rsidRDefault="00BB5697" w:rsidP="00BB5697">
      <w:pPr>
        <w:spacing w:after="0" w:line="360" w:lineRule="auto"/>
        <w:jc w:val="both"/>
        <w:rPr>
          <w:rFonts w:ascii="Arial" w:hAnsi="Arial"/>
          <w:sz w:val="20"/>
          <w:szCs w:val="20"/>
        </w:rPr>
      </w:pPr>
    </w:p>
    <w:p w14:paraId="58295A02" w14:textId="77777777" w:rsidR="00BB5697" w:rsidRPr="00FD1551" w:rsidRDefault="00BB5697" w:rsidP="00BB5697">
      <w:pPr>
        <w:spacing w:after="0" w:line="360" w:lineRule="auto"/>
        <w:jc w:val="both"/>
        <w:rPr>
          <w:rFonts w:ascii="Arial" w:hAnsi="Arial"/>
          <w:sz w:val="20"/>
          <w:szCs w:val="20"/>
        </w:rPr>
      </w:pPr>
      <w:r w:rsidRPr="00FD1551">
        <w:rPr>
          <w:rFonts w:ascii="Arial" w:hAnsi="Arial"/>
          <w:sz w:val="20"/>
          <w:szCs w:val="20"/>
        </w:rPr>
        <w:t>O Plano de Custeio do [RPPS] vigente no [exercício da pca] está estabelecido na [legislação] e compreende as seguintes receitas:</w:t>
      </w:r>
    </w:p>
    <w:p w14:paraId="456EDF50" w14:textId="77777777" w:rsidR="00BB5697" w:rsidRPr="00FD1551" w:rsidRDefault="00BB5697" w:rsidP="00BB5697">
      <w:pPr>
        <w:spacing w:after="0" w:line="360" w:lineRule="auto"/>
        <w:jc w:val="both"/>
        <w:rPr>
          <w:rFonts w:ascii="Arial" w:hAnsi="Arial"/>
          <w:sz w:val="20"/>
          <w:szCs w:val="20"/>
        </w:rPr>
      </w:pPr>
    </w:p>
    <w:tbl>
      <w:tblPr>
        <w:tblStyle w:val="Tabelacomgrade"/>
        <w:tblW w:w="0" w:type="auto"/>
        <w:tblLook w:val="04A0" w:firstRow="1" w:lastRow="0" w:firstColumn="1" w:lastColumn="0" w:noHBand="0" w:noVBand="1"/>
      </w:tblPr>
      <w:tblGrid>
        <w:gridCol w:w="1728"/>
        <w:gridCol w:w="1729"/>
        <w:gridCol w:w="1729"/>
        <w:gridCol w:w="1585"/>
        <w:gridCol w:w="1873"/>
      </w:tblGrid>
      <w:tr w:rsidR="00BB5697" w:rsidRPr="00FD1551" w14:paraId="6122562D" w14:textId="77777777" w:rsidTr="00BF7C4A">
        <w:tc>
          <w:tcPr>
            <w:tcW w:w="8644" w:type="dxa"/>
            <w:gridSpan w:val="5"/>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4979CFB6" w14:textId="77777777" w:rsidR="00BB5697" w:rsidRPr="00FD1551" w:rsidRDefault="00BB5697" w:rsidP="00BF7C4A">
            <w:pPr>
              <w:spacing w:line="360" w:lineRule="auto"/>
              <w:jc w:val="center"/>
              <w:rPr>
                <w:rFonts w:ascii="Arial" w:hAnsi="Arial"/>
                <w:b/>
              </w:rPr>
            </w:pPr>
            <w:r w:rsidRPr="00FD1551">
              <w:rPr>
                <w:rFonts w:ascii="Arial" w:hAnsi="Arial"/>
                <w:b/>
              </w:rPr>
              <w:t>PLANO DE CUSTEIO</w:t>
            </w:r>
          </w:p>
        </w:tc>
      </w:tr>
      <w:tr w:rsidR="00BB5697" w:rsidRPr="00FD1551" w14:paraId="2ADEC896" w14:textId="77777777" w:rsidTr="00BF7C4A">
        <w:tc>
          <w:tcPr>
            <w:tcW w:w="1728" w:type="dxa"/>
            <w:vMerge w:val="restart"/>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7D50ED1C" w14:textId="77777777" w:rsidR="00BB5697" w:rsidRPr="00FD1551" w:rsidRDefault="00BB5697" w:rsidP="00BF7C4A">
            <w:pPr>
              <w:spacing w:line="360" w:lineRule="auto"/>
              <w:jc w:val="center"/>
              <w:rPr>
                <w:rFonts w:ascii="Arial" w:hAnsi="Arial"/>
              </w:rPr>
            </w:pPr>
            <w:r w:rsidRPr="00FD1551">
              <w:rPr>
                <w:rFonts w:ascii="Arial" w:hAnsi="Arial"/>
              </w:rPr>
              <w:t>Receita</w:t>
            </w:r>
            <w:r w:rsidRPr="00FD1551">
              <w:rPr>
                <w:rFonts w:ascii="Arial" w:eastAsia="Calibri" w:hAnsi="Arial"/>
                <w:vertAlign w:val="superscript"/>
              </w:rPr>
              <w:footnoteReference w:id="18"/>
            </w:r>
          </w:p>
        </w:tc>
        <w:tc>
          <w:tcPr>
            <w:tcW w:w="1729" w:type="dxa"/>
            <w:vMerge w:val="restart"/>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24A5598A" w14:textId="77777777" w:rsidR="00BB5697" w:rsidRPr="00FD1551" w:rsidRDefault="00BB5697" w:rsidP="00BF7C4A">
            <w:pPr>
              <w:spacing w:line="360" w:lineRule="auto"/>
              <w:jc w:val="center"/>
              <w:rPr>
                <w:rFonts w:ascii="Arial" w:hAnsi="Arial"/>
              </w:rPr>
            </w:pPr>
            <w:r w:rsidRPr="00FD1551">
              <w:rPr>
                <w:rFonts w:ascii="Arial" w:hAnsi="Arial"/>
              </w:rPr>
              <w:t>Alíquota %</w:t>
            </w:r>
          </w:p>
        </w:tc>
        <w:tc>
          <w:tcPr>
            <w:tcW w:w="5187" w:type="dxa"/>
            <w:gridSpan w:val="3"/>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7668BB1A" w14:textId="77777777" w:rsidR="00BB5697" w:rsidRPr="00FD1551" w:rsidRDefault="00BB5697" w:rsidP="00BF7C4A">
            <w:pPr>
              <w:spacing w:line="360" w:lineRule="auto"/>
              <w:jc w:val="center"/>
              <w:rPr>
                <w:rFonts w:ascii="Arial" w:hAnsi="Arial"/>
              </w:rPr>
            </w:pPr>
            <w:r w:rsidRPr="00FD1551">
              <w:rPr>
                <w:rFonts w:ascii="Arial" w:hAnsi="Arial"/>
              </w:rPr>
              <w:t>Fundamentação Legal</w:t>
            </w:r>
          </w:p>
        </w:tc>
      </w:tr>
      <w:tr w:rsidR="00BB5697" w:rsidRPr="00FD1551" w14:paraId="535A5967" w14:textId="77777777" w:rsidTr="00BF7C4A">
        <w:tc>
          <w:tcPr>
            <w:tcW w:w="0" w:type="auto"/>
            <w:vMerge/>
            <w:tcBorders>
              <w:top w:val="single" w:sz="4" w:space="0" w:color="auto"/>
              <w:left w:val="single" w:sz="4" w:space="0" w:color="auto"/>
              <w:bottom w:val="single" w:sz="4" w:space="0" w:color="auto"/>
              <w:right w:val="single" w:sz="4" w:space="0" w:color="auto"/>
            </w:tcBorders>
            <w:vAlign w:val="center"/>
            <w:hideMark/>
          </w:tcPr>
          <w:p w14:paraId="3FC1EAF3" w14:textId="77777777" w:rsidR="00BB5697" w:rsidRPr="00FD1551" w:rsidRDefault="00BB5697" w:rsidP="00BF7C4A">
            <w:pPr>
              <w:spacing w:line="360" w:lineRule="auto"/>
              <w:jc w:val="both"/>
              <w:rPr>
                <w:rFonts w:ascii="Arial" w:hAnsi="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5F388F" w14:textId="77777777" w:rsidR="00BB5697" w:rsidRPr="00FD1551" w:rsidRDefault="00BB5697" w:rsidP="00BF7C4A">
            <w:pPr>
              <w:spacing w:line="360" w:lineRule="auto"/>
              <w:jc w:val="both"/>
              <w:rPr>
                <w:rFonts w:ascii="Arial" w:hAnsi="Arial"/>
              </w:rPr>
            </w:pPr>
          </w:p>
        </w:tc>
        <w:tc>
          <w:tcPr>
            <w:tcW w:w="1729"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190975FB" w14:textId="77777777" w:rsidR="00BB5697" w:rsidRPr="00FD1551" w:rsidRDefault="00BB5697" w:rsidP="00BF7C4A">
            <w:pPr>
              <w:spacing w:line="360" w:lineRule="auto"/>
              <w:jc w:val="center"/>
              <w:rPr>
                <w:rFonts w:ascii="Arial" w:hAnsi="Arial"/>
              </w:rPr>
            </w:pPr>
            <w:r w:rsidRPr="00FD1551">
              <w:rPr>
                <w:rFonts w:ascii="Arial" w:hAnsi="Arial"/>
              </w:rPr>
              <w:t>Nº Lei</w:t>
            </w:r>
          </w:p>
        </w:tc>
        <w:tc>
          <w:tcPr>
            <w:tcW w:w="1585"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1AFFE239" w14:textId="77777777" w:rsidR="00BB5697" w:rsidRPr="00FD1551" w:rsidRDefault="00BB5697" w:rsidP="00BF7C4A">
            <w:pPr>
              <w:spacing w:line="360" w:lineRule="auto"/>
              <w:jc w:val="center"/>
              <w:rPr>
                <w:rFonts w:ascii="Arial" w:hAnsi="Arial"/>
              </w:rPr>
            </w:pPr>
            <w:r w:rsidRPr="00FD1551">
              <w:rPr>
                <w:rFonts w:ascii="Arial" w:hAnsi="Arial"/>
              </w:rPr>
              <w:t>Data Lei</w:t>
            </w:r>
          </w:p>
        </w:tc>
        <w:tc>
          <w:tcPr>
            <w:tcW w:w="1873"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6596557C" w14:textId="77777777" w:rsidR="00BB5697" w:rsidRPr="00FD1551" w:rsidRDefault="00BB5697" w:rsidP="00BF7C4A">
            <w:pPr>
              <w:spacing w:line="360" w:lineRule="auto"/>
              <w:jc w:val="center"/>
              <w:rPr>
                <w:rFonts w:ascii="Arial" w:hAnsi="Arial"/>
              </w:rPr>
            </w:pPr>
            <w:r w:rsidRPr="00FD1551">
              <w:rPr>
                <w:rFonts w:ascii="Arial" w:hAnsi="Arial"/>
              </w:rPr>
              <w:t>Artigo da Lei</w:t>
            </w:r>
          </w:p>
        </w:tc>
      </w:tr>
      <w:tr w:rsidR="00BB5697" w:rsidRPr="00FD1551" w14:paraId="24C79909" w14:textId="77777777" w:rsidTr="00BF7C4A">
        <w:tc>
          <w:tcPr>
            <w:tcW w:w="1728" w:type="dxa"/>
            <w:tcBorders>
              <w:top w:val="single" w:sz="4" w:space="0" w:color="auto"/>
              <w:left w:val="single" w:sz="4" w:space="0" w:color="auto"/>
              <w:bottom w:val="single" w:sz="4" w:space="0" w:color="auto"/>
              <w:right w:val="single" w:sz="4" w:space="0" w:color="auto"/>
            </w:tcBorders>
          </w:tcPr>
          <w:p w14:paraId="4C2498B6" w14:textId="77777777" w:rsidR="00BB5697" w:rsidRPr="00FD1551" w:rsidRDefault="00BB5697" w:rsidP="00BF7C4A">
            <w:pPr>
              <w:spacing w:line="360" w:lineRule="auto"/>
              <w:jc w:val="both"/>
              <w:rPr>
                <w:rFonts w:ascii="Arial" w:hAnsi="Arial"/>
              </w:rPr>
            </w:pPr>
          </w:p>
        </w:tc>
        <w:tc>
          <w:tcPr>
            <w:tcW w:w="1729" w:type="dxa"/>
            <w:tcBorders>
              <w:top w:val="single" w:sz="4" w:space="0" w:color="auto"/>
              <w:left w:val="single" w:sz="4" w:space="0" w:color="auto"/>
              <w:bottom w:val="single" w:sz="4" w:space="0" w:color="auto"/>
              <w:right w:val="single" w:sz="4" w:space="0" w:color="auto"/>
            </w:tcBorders>
          </w:tcPr>
          <w:p w14:paraId="33036538" w14:textId="77777777" w:rsidR="00BB5697" w:rsidRPr="00FD1551" w:rsidRDefault="00BB5697" w:rsidP="00BF7C4A">
            <w:pPr>
              <w:spacing w:line="360" w:lineRule="auto"/>
              <w:jc w:val="both"/>
              <w:rPr>
                <w:rFonts w:ascii="Arial" w:hAnsi="Arial"/>
              </w:rPr>
            </w:pPr>
          </w:p>
        </w:tc>
        <w:tc>
          <w:tcPr>
            <w:tcW w:w="1729" w:type="dxa"/>
            <w:tcBorders>
              <w:top w:val="single" w:sz="4" w:space="0" w:color="auto"/>
              <w:left w:val="single" w:sz="4" w:space="0" w:color="auto"/>
              <w:bottom w:val="single" w:sz="4" w:space="0" w:color="auto"/>
              <w:right w:val="single" w:sz="4" w:space="0" w:color="auto"/>
            </w:tcBorders>
          </w:tcPr>
          <w:p w14:paraId="244EECC9" w14:textId="77777777" w:rsidR="00BB5697" w:rsidRPr="00FD1551" w:rsidRDefault="00BB5697" w:rsidP="00BF7C4A">
            <w:pPr>
              <w:spacing w:line="360" w:lineRule="auto"/>
              <w:jc w:val="both"/>
              <w:rPr>
                <w:rFonts w:ascii="Arial" w:hAnsi="Arial"/>
              </w:rPr>
            </w:pPr>
          </w:p>
        </w:tc>
        <w:tc>
          <w:tcPr>
            <w:tcW w:w="1585" w:type="dxa"/>
            <w:tcBorders>
              <w:top w:val="single" w:sz="4" w:space="0" w:color="auto"/>
              <w:left w:val="single" w:sz="4" w:space="0" w:color="auto"/>
              <w:bottom w:val="single" w:sz="4" w:space="0" w:color="auto"/>
              <w:right w:val="single" w:sz="4" w:space="0" w:color="auto"/>
            </w:tcBorders>
          </w:tcPr>
          <w:p w14:paraId="02DEB3E3" w14:textId="77777777" w:rsidR="00BB5697" w:rsidRPr="00FD1551" w:rsidRDefault="00BB5697" w:rsidP="00BF7C4A">
            <w:pPr>
              <w:spacing w:line="360" w:lineRule="auto"/>
              <w:jc w:val="both"/>
              <w:rPr>
                <w:rFonts w:ascii="Arial" w:hAnsi="Arial"/>
              </w:rPr>
            </w:pPr>
          </w:p>
        </w:tc>
        <w:tc>
          <w:tcPr>
            <w:tcW w:w="1873" w:type="dxa"/>
            <w:tcBorders>
              <w:top w:val="single" w:sz="4" w:space="0" w:color="auto"/>
              <w:left w:val="single" w:sz="4" w:space="0" w:color="auto"/>
              <w:bottom w:val="single" w:sz="4" w:space="0" w:color="auto"/>
              <w:right w:val="single" w:sz="4" w:space="0" w:color="auto"/>
            </w:tcBorders>
          </w:tcPr>
          <w:p w14:paraId="34A7CF47" w14:textId="77777777" w:rsidR="00BB5697" w:rsidRPr="00FD1551" w:rsidRDefault="00BB5697" w:rsidP="00BF7C4A">
            <w:pPr>
              <w:spacing w:line="360" w:lineRule="auto"/>
              <w:jc w:val="both"/>
              <w:rPr>
                <w:rFonts w:ascii="Arial" w:hAnsi="Arial"/>
              </w:rPr>
            </w:pPr>
          </w:p>
        </w:tc>
      </w:tr>
      <w:tr w:rsidR="00BB5697" w:rsidRPr="00FD1551" w14:paraId="3F1D938F" w14:textId="77777777" w:rsidTr="00BF7C4A">
        <w:tc>
          <w:tcPr>
            <w:tcW w:w="1728" w:type="dxa"/>
            <w:tcBorders>
              <w:top w:val="single" w:sz="4" w:space="0" w:color="auto"/>
              <w:left w:val="single" w:sz="4" w:space="0" w:color="auto"/>
              <w:bottom w:val="single" w:sz="4" w:space="0" w:color="auto"/>
              <w:right w:val="single" w:sz="4" w:space="0" w:color="auto"/>
            </w:tcBorders>
          </w:tcPr>
          <w:p w14:paraId="1846A844" w14:textId="77777777" w:rsidR="00BB5697" w:rsidRPr="00FD1551" w:rsidRDefault="00BB5697" w:rsidP="00BF7C4A">
            <w:pPr>
              <w:spacing w:line="360" w:lineRule="auto"/>
              <w:jc w:val="both"/>
              <w:rPr>
                <w:rFonts w:ascii="Arial" w:hAnsi="Arial"/>
              </w:rPr>
            </w:pPr>
          </w:p>
        </w:tc>
        <w:tc>
          <w:tcPr>
            <w:tcW w:w="1729" w:type="dxa"/>
            <w:tcBorders>
              <w:top w:val="single" w:sz="4" w:space="0" w:color="auto"/>
              <w:left w:val="single" w:sz="4" w:space="0" w:color="auto"/>
              <w:bottom w:val="single" w:sz="4" w:space="0" w:color="auto"/>
              <w:right w:val="single" w:sz="4" w:space="0" w:color="auto"/>
            </w:tcBorders>
          </w:tcPr>
          <w:p w14:paraId="69B202CE" w14:textId="77777777" w:rsidR="00BB5697" w:rsidRPr="00FD1551" w:rsidRDefault="00BB5697" w:rsidP="00BF7C4A">
            <w:pPr>
              <w:spacing w:line="360" w:lineRule="auto"/>
              <w:jc w:val="both"/>
              <w:rPr>
                <w:rFonts w:ascii="Arial" w:hAnsi="Arial"/>
              </w:rPr>
            </w:pPr>
          </w:p>
        </w:tc>
        <w:tc>
          <w:tcPr>
            <w:tcW w:w="1729" w:type="dxa"/>
            <w:tcBorders>
              <w:top w:val="single" w:sz="4" w:space="0" w:color="auto"/>
              <w:left w:val="single" w:sz="4" w:space="0" w:color="auto"/>
              <w:bottom w:val="single" w:sz="4" w:space="0" w:color="auto"/>
              <w:right w:val="single" w:sz="4" w:space="0" w:color="auto"/>
            </w:tcBorders>
          </w:tcPr>
          <w:p w14:paraId="6D228B53" w14:textId="77777777" w:rsidR="00BB5697" w:rsidRPr="00FD1551" w:rsidRDefault="00BB5697" w:rsidP="00BF7C4A">
            <w:pPr>
              <w:spacing w:line="360" w:lineRule="auto"/>
              <w:jc w:val="both"/>
              <w:rPr>
                <w:rFonts w:ascii="Arial" w:hAnsi="Arial"/>
              </w:rPr>
            </w:pPr>
          </w:p>
        </w:tc>
        <w:tc>
          <w:tcPr>
            <w:tcW w:w="1585" w:type="dxa"/>
            <w:tcBorders>
              <w:top w:val="single" w:sz="4" w:space="0" w:color="auto"/>
              <w:left w:val="single" w:sz="4" w:space="0" w:color="auto"/>
              <w:bottom w:val="single" w:sz="4" w:space="0" w:color="auto"/>
              <w:right w:val="single" w:sz="4" w:space="0" w:color="auto"/>
            </w:tcBorders>
          </w:tcPr>
          <w:p w14:paraId="6147DDF8" w14:textId="77777777" w:rsidR="00BB5697" w:rsidRPr="00FD1551" w:rsidRDefault="00BB5697" w:rsidP="00BF7C4A">
            <w:pPr>
              <w:spacing w:line="360" w:lineRule="auto"/>
              <w:jc w:val="both"/>
              <w:rPr>
                <w:rFonts w:ascii="Arial" w:hAnsi="Arial"/>
              </w:rPr>
            </w:pPr>
          </w:p>
        </w:tc>
        <w:tc>
          <w:tcPr>
            <w:tcW w:w="1873" w:type="dxa"/>
            <w:tcBorders>
              <w:top w:val="single" w:sz="4" w:space="0" w:color="auto"/>
              <w:left w:val="single" w:sz="4" w:space="0" w:color="auto"/>
              <w:bottom w:val="single" w:sz="4" w:space="0" w:color="auto"/>
              <w:right w:val="single" w:sz="4" w:space="0" w:color="auto"/>
            </w:tcBorders>
          </w:tcPr>
          <w:p w14:paraId="1D1B65D0" w14:textId="77777777" w:rsidR="00BB5697" w:rsidRPr="00FD1551" w:rsidRDefault="00BB5697" w:rsidP="00BF7C4A">
            <w:pPr>
              <w:spacing w:line="360" w:lineRule="auto"/>
              <w:jc w:val="both"/>
              <w:rPr>
                <w:rFonts w:ascii="Arial" w:hAnsi="Arial"/>
              </w:rPr>
            </w:pPr>
          </w:p>
        </w:tc>
      </w:tr>
      <w:tr w:rsidR="00BB5697" w:rsidRPr="00FD1551" w14:paraId="40C54039" w14:textId="77777777" w:rsidTr="00BF7C4A">
        <w:tc>
          <w:tcPr>
            <w:tcW w:w="1728" w:type="dxa"/>
            <w:tcBorders>
              <w:top w:val="single" w:sz="4" w:space="0" w:color="auto"/>
              <w:left w:val="single" w:sz="4" w:space="0" w:color="auto"/>
              <w:bottom w:val="single" w:sz="4" w:space="0" w:color="auto"/>
              <w:right w:val="single" w:sz="4" w:space="0" w:color="auto"/>
            </w:tcBorders>
          </w:tcPr>
          <w:p w14:paraId="6CB2BB39" w14:textId="77777777" w:rsidR="00BB5697" w:rsidRPr="00FD1551" w:rsidRDefault="00BB5697" w:rsidP="00BF7C4A">
            <w:pPr>
              <w:spacing w:line="360" w:lineRule="auto"/>
              <w:jc w:val="both"/>
              <w:rPr>
                <w:rFonts w:ascii="Arial" w:hAnsi="Arial"/>
              </w:rPr>
            </w:pPr>
          </w:p>
        </w:tc>
        <w:tc>
          <w:tcPr>
            <w:tcW w:w="1729" w:type="dxa"/>
            <w:tcBorders>
              <w:top w:val="single" w:sz="4" w:space="0" w:color="auto"/>
              <w:left w:val="single" w:sz="4" w:space="0" w:color="auto"/>
              <w:bottom w:val="single" w:sz="4" w:space="0" w:color="auto"/>
              <w:right w:val="single" w:sz="4" w:space="0" w:color="auto"/>
            </w:tcBorders>
          </w:tcPr>
          <w:p w14:paraId="1FC57797" w14:textId="77777777" w:rsidR="00BB5697" w:rsidRPr="00FD1551" w:rsidRDefault="00BB5697" w:rsidP="00BF7C4A">
            <w:pPr>
              <w:spacing w:line="360" w:lineRule="auto"/>
              <w:jc w:val="both"/>
              <w:rPr>
                <w:rFonts w:ascii="Arial" w:hAnsi="Arial"/>
              </w:rPr>
            </w:pPr>
          </w:p>
        </w:tc>
        <w:tc>
          <w:tcPr>
            <w:tcW w:w="1729" w:type="dxa"/>
            <w:tcBorders>
              <w:top w:val="single" w:sz="4" w:space="0" w:color="auto"/>
              <w:left w:val="single" w:sz="4" w:space="0" w:color="auto"/>
              <w:bottom w:val="single" w:sz="4" w:space="0" w:color="auto"/>
              <w:right w:val="single" w:sz="4" w:space="0" w:color="auto"/>
            </w:tcBorders>
          </w:tcPr>
          <w:p w14:paraId="75899553" w14:textId="77777777" w:rsidR="00BB5697" w:rsidRPr="00FD1551" w:rsidRDefault="00BB5697" w:rsidP="00BF7C4A">
            <w:pPr>
              <w:spacing w:line="360" w:lineRule="auto"/>
              <w:jc w:val="both"/>
              <w:rPr>
                <w:rFonts w:ascii="Arial" w:hAnsi="Arial"/>
              </w:rPr>
            </w:pPr>
          </w:p>
        </w:tc>
        <w:tc>
          <w:tcPr>
            <w:tcW w:w="1585" w:type="dxa"/>
            <w:tcBorders>
              <w:top w:val="single" w:sz="4" w:space="0" w:color="auto"/>
              <w:left w:val="single" w:sz="4" w:space="0" w:color="auto"/>
              <w:bottom w:val="single" w:sz="4" w:space="0" w:color="auto"/>
              <w:right w:val="single" w:sz="4" w:space="0" w:color="auto"/>
            </w:tcBorders>
          </w:tcPr>
          <w:p w14:paraId="3A327735" w14:textId="77777777" w:rsidR="00BB5697" w:rsidRPr="00FD1551" w:rsidRDefault="00BB5697" w:rsidP="00BF7C4A">
            <w:pPr>
              <w:spacing w:line="360" w:lineRule="auto"/>
              <w:jc w:val="both"/>
              <w:rPr>
                <w:rFonts w:ascii="Arial" w:hAnsi="Arial"/>
              </w:rPr>
            </w:pPr>
          </w:p>
        </w:tc>
        <w:tc>
          <w:tcPr>
            <w:tcW w:w="1873" w:type="dxa"/>
            <w:tcBorders>
              <w:top w:val="single" w:sz="4" w:space="0" w:color="auto"/>
              <w:left w:val="single" w:sz="4" w:space="0" w:color="auto"/>
              <w:bottom w:val="single" w:sz="4" w:space="0" w:color="auto"/>
              <w:right w:val="single" w:sz="4" w:space="0" w:color="auto"/>
            </w:tcBorders>
          </w:tcPr>
          <w:p w14:paraId="3D13EF04" w14:textId="77777777" w:rsidR="00BB5697" w:rsidRPr="00FD1551" w:rsidRDefault="00BB5697" w:rsidP="00BF7C4A">
            <w:pPr>
              <w:spacing w:line="360" w:lineRule="auto"/>
              <w:jc w:val="both"/>
              <w:rPr>
                <w:rFonts w:ascii="Arial" w:hAnsi="Arial"/>
              </w:rPr>
            </w:pPr>
          </w:p>
        </w:tc>
      </w:tr>
    </w:tbl>
    <w:p w14:paraId="6A3DA764" w14:textId="77777777" w:rsidR="00BB5697" w:rsidRPr="00FD1551" w:rsidRDefault="00BB5697" w:rsidP="00BB5697">
      <w:pPr>
        <w:spacing w:after="0" w:line="360" w:lineRule="auto"/>
        <w:jc w:val="both"/>
        <w:rPr>
          <w:sz w:val="20"/>
          <w:szCs w:val="20"/>
        </w:rPr>
      </w:pPr>
    </w:p>
    <w:p w14:paraId="5A4B9B9E" w14:textId="77777777" w:rsidR="00BB5697" w:rsidRPr="00FD1551" w:rsidRDefault="00BB5697" w:rsidP="00BB5697">
      <w:pPr>
        <w:spacing w:after="0" w:line="360" w:lineRule="auto"/>
        <w:jc w:val="both"/>
        <w:rPr>
          <w:sz w:val="20"/>
          <w:szCs w:val="20"/>
        </w:rPr>
      </w:pPr>
    </w:p>
    <w:p w14:paraId="219DD2A5" w14:textId="77777777" w:rsidR="00BB5697" w:rsidRPr="00FD1551" w:rsidRDefault="00BB5697" w:rsidP="00BB5697">
      <w:pPr>
        <w:spacing w:after="0" w:line="360" w:lineRule="auto"/>
        <w:jc w:val="both"/>
        <w:rPr>
          <w:rFonts w:ascii="Arial" w:hAnsi="Arial"/>
          <w:sz w:val="20"/>
          <w:szCs w:val="20"/>
        </w:rPr>
      </w:pPr>
      <w:r w:rsidRPr="00FD1551">
        <w:rPr>
          <w:rFonts w:ascii="Arial" w:hAnsi="Arial"/>
          <w:sz w:val="20"/>
          <w:szCs w:val="20"/>
        </w:rPr>
        <w:t>Já o Plano de Benefícios do [RPPS] vigente no [exercício da pca] está estabelecido na [legislação] e compreende os seguintes benefícios:</w:t>
      </w:r>
    </w:p>
    <w:p w14:paraId="3EA6BA0A" w14:textId="77777777" w:rsidR="00BB5697" w:rsidRPr="00FD1551" w:rsidRDefault="00BB5697" w:rsidP="00BB5697">
      <w:pPr>
        <w:spacing w:after="0" w:line="360" w:lineRule="auto"/>
        <w:jc w:val="both"/>
        <w:rPr>
          <w:rFonts w:ascii="Arial" w:hAnsi="Arial"/>
          <w:sz w:val="20"/>
          <w:szCs w:val="20"/>
        </w:rPr>
      </w:pPr>
    </w:p>
    <w:tbl>
      <w:tblPr>
        <w:tblStyle w:val="Tabelacomgrade"/>
        <w:tblW w:w="0" w:type="auto"/>
        <w:tblLook w:val="04A0" w:firstRow="1" w:lastRow="0" w:firstColumn="1" w:lastColumn="0" w:noHBand="0" w:noVBand="1"/>
      </w:tblPr>
      <w:tblGrid>
        <w:gridCol w:w="3369"/>
        <w:gridCol w:w="1984"/>
        <w:gridCol w:w="1276"/>
        <w:gridCol w:w="1984"/>
      </w:tblGrid>
      <w:tr w:rsidR="00BB5697" w:rsidRPr="00FD1551" w14:paraId="1F9A0910" w14:textId="77777777" w:rsidTr="00BF7C4A">
        <w:tc>
          <w:tcPr>
            <w:tcW w:w="8613" w:type="dxa"/>
            <w:gridSpan w:val="4"/>
            <w:tcBorders>
              <w:top w:val="single" w:sz="4" w:space="0" w:color="auto"/>
              <w:left w:val="single" w:sz="4" w:space="0" w:color="auto"/>
              <w:bottom w:val="single" w:sz="4" w:space="0" w:color="auto"/>
              <w:right w:val="single" w:sz="4" w:space="0" w:color="auto"/>
            </w:tcBorders>
            <w:shd w:val="clear" w:color="auto" w:fill="FFC000"/>
            <w:vAlign w:val="center"/>
            <w:hideMark/>
          </w:tcPr>
          <w:p w14:paraId="1D3BF105" w14:textId="77777777" w:rsidR="00BB5697" w:rsidRPr="00FD1551" w:rsidRDefault="00BB5697" w:rsidP="00BF7C4A">
            <w:pPr>
              <w:spacing w:line="360" w:lineRule="auto"/>
              <w:jc w:val="center"/>
              <w:rPr>
                <w:rFonts w:ascii="Arial" w:hAnsi="Arial"/>
                <w:b/>
              </w:rPr>
            </w:pPr>
            <w:r w:rsidRPr="00FD1551">
              <w:rPr>
                <w:rFonts w:ascii="Arial" w:hAnsi="Arial"/>
                <w:b/>
              </w:rPr>
              <w:t>PLANO DE BENEFÍCIOS</w:t>
            </w:r>
          </w:p>
        </w:tc>
      </w:tr>
      <w:tr w:rsidR="00BB5697" w:rsidRPr="00FD1551" w14:paraId="081B7CF1" w14:textId="77777777" w:rsidTr="00BF7C4A">
        <w:tc>
          <w:tcPr>
            <w:tcW w:w="3369" w:type="dxa"/>
            <w:vMerge w:val="restart"/>
            <w:tcBorders>
              <w:top w:val="single" w:sz="4" w:space="0" w:color="auto"/>
              <w:left w:val="single" w:sz="4" w:space="0" w:color="auto"/>
              <w:bottom w:val="single" w:sz="4" w:space="0" w:color="auto"/>
              <w:right w:val="single" w:sz="4" w:space="0" w:color="auto"/>
            </w:tcBorders>
            <w:shd w:val="clear" w:color="auto" w:fill="FFC000"/>
            <w:vAlign w:val="center"/>
            <w:hideMark/>
          </w:tcPr>
          <w:p w14:paraId="735A5FC9" w14:textId="77777777" w:rsidR="00BB5697" w:rsidRPr="00FD1551" w:rsidRDefault="00BB5697" w:rsidP="00BF7C4A">
            <w:pPr>
              <w:spacing w:line="360" w:lineRule="auto"/>
              <w:jc w:val="center"/>
              <w:rPr>
                <w:rFonts w:ascii="Arial" w:hAnsi="Arial"/>
              </w:rPr>
            </w:pPr>
            <w:r w:rsidRPr="00FD1551">
              <w:rPr>
                <w:rFonts w:ascii="Arial" w:hAnsi="Arial"/>
              </w:rPr>
              <w:t>Benefício</w:t>
            </w:r>
          </w:p>
        </w:tc>
        <w:tc>
          <w:tcPr>
            <w:tcW w:w="5244" w:type="dxa"/>
            <w:gridSpan w:val="3"/>
            <w:tcBorders>
              <w:top w:val="single" w:sz="4" w:space="0" w:color="auto"/>
              <w:left w:val="single" w:sz="4" w:space="0" w:color="auto"/>
              <w:bottom w:val="single" w:sz="4" w:space="0" w:color="auto"/>
              <w:right w:val="single" w:sz="4" w:space="0" w:color="auto"/>
            </w:tcBorders>
            <w:shd w:val="clear" w:color="auto" w:fill="FFC000"/>
            <w:vAlign w:val="center"/>
            <w:hideMark/>
          </w:tcPr>
          <w:p w14:paraId="6D198BF7" w14:textId="77777777" w:rsidR="00BB5697" w:rsidRPr="00FD1551" w:rsidRDefault="00BB5697" w:rsidP="00BF7C4A">
            <w:pPr>
              <w:spacing w:line="360" w:lineRule="auto"/>
              <w:jc w:val="center"/>
              <w:rPr>
                <w:rFonts w:ascii="Arial" w:hAnsi="Arial"/>
              </w:rPr>
            </w:pPr>
            <w:r w:rsidRPr="00FD1551">
              <w:rPr>
                <w:rFonts w:ascii="Arial" w:hAnsi="Arial"/>
              </w:rPr>
              <w:t>Fundamentação Legal</w:t>
            </w:r>
          </w:p>
        </w:tc>
      </w:tr>
      <w:tr w:rsidR="00BB5697" w:rsidRPr="00FD1551" w14:paraId="27199F20" w14:textId="77777777" w:rsidTr="00BF7C4A">
        <w:tc>
          <w:tcPr>
            <w:tcW w:w="0" w:type="auto"/>
            <w:vMerge/>
            <w:tcBorders>
              <w:top w:val="single" w:sz="4" w:space="0" w:color="auto"/>
              <w:left w:val="single" w:sz="4" w:space="0" w:color="auto"/>
              <w:bottom w:val="single" w:sz="4" w:space="0" w:color="auto"/>
              <w:right w:val="single" w:sz="4" w:space="0" w:color="auto"/>
            </w:tcBorders>
            <w:vAlign w:val="center"/>
            <w:hideMark/>
          </w:tcPr>
          <w:p w14:paraId="2194E6EB" w14:textId="77777777" w:rsidR="00BB5697" w:rsidRPr="00FD1551" w:rsidRDefault="00BB5697" w:rsidP="00BF7C4A">
            <w:pPr>
              <w:spacing w:line="360" w:lineRule="auto"/>
              <w:jc w:val="both"/>
              <w:rPr>
                <w:rFonts w:ascii="Arial" w:hAnsi="Arial"/>
              </w:rPr>
            </w:pPr>
          </w:p>
        </w:tc>
        <w:tc>
          <w:tcPr>
            <w:tcW w:w="1984" w:type="dxa"/>
            <w:tcBorders>
              <w:top w:val="single" w:sz="4" w:space="0" w:color="auto"/>
              <w:left w:val="single" w:sz="4" w:space="0" w:color="auto"/>
              <w:bottom w:val="single" w:sz="4" w:space="0" w:color="auto"/>
              <w:right w:val="single" w:sz="4" w:space="0" w:color="auto"/>
            </w:tcBorders>
            <w:shd w:val="clear" w:color="auto" w:fill="FFC000"/>
            <w:vAlign w:val="center"/>
            <w:hideMark/>
          </w:tcPr>
          <w:p w14:paraId="686B9624" w14:textId="77777777" w:rsidR="00BB5697" w:rsidRPr="00FD1551" w:rsidRDefault="00BB5697" w:rsidP="00BF7C4A">
            <w:pPr>
              <w:spacing w:line="360" w:lineRule="auto"/>
              <w:jc w:val="center"/>
              <w:rPr>
                <w:rFonts w:ascii="Arial" w:hAnsi="Arial"/>
              </w:rPr>
            </w:pPr>
            <w:r w:rsidRPr="00FD1551">
              <w:rPr>
                <w:rFonts w:ascii="Arial" w:hAnsi="Arial"/>
              </w:rPr>
              <w:t>Nº Lei</w:t>
            </w:r>
          </w:p>
        </w:tc>
        <w:tc>
          <w:tcPr>
            <w:tcW w:w="1276" w:type="dxa"/>
            <w:tcBorders>
              <w:top w:val="single" w:sz="4" w:space="0" w:color="auto"/>
              <w:left w:val="single" w:sz="4" w:space="0" w:color="auto"/>
              <w:bottom w:val="single" w:sz="4" w:space="0" w:color="auto"/>
              <w:right w:val="single" w:sz="4" w:space="0" w:color="auto"/>
            </w:tcBorders>
            <w:shd w:val="clear" w:color="auto" w:fill="FFC000"/>
            <w:vAlign w:val="center"/>
            <w:hideMark/>
          </w:tcPr>
          <w:p w14:paraId="026BDBF1" w14:textId="77777777" w:rsidR="00BB5697" w:rsidRPr="00FD1551" w:rsidRDefault="00BB5697" w:rsidP="00BF7C4A">
            <w:pPr>
              <w:spacing w:line="360" w:lineRule="auto"/>
              <w:jc w:val="center"/>
              <w:rPr>
                <w:rFonts w:ascii="Arial" w:hAnsi="Arial"/>
              </w:rPr>
            </w:pPr>
            <w:r w:rsidRPr="00FD1551">
              <w:rPr>
                <w:rFonts w:ascii="Arial" w:hAnsi="Arial"/>
              </w:rPr>
              <w:t>Data Lei</w:t>
            </w:r>
          </w:p>
        </w:tc>
        <w:tc>
          <w:tcPr>
            <w:tcW w:w="1984" w:type="dxa"/>
            <w:tcBorders>
              <w:top w:val="single" w:sz="4" w:space="0" w:color="auto"/>
              <w:left w:val="single" w:sz="4" w:space="0" w:color="auto"/>
              <w:bottom w:val="single" w:sz="4" w:space="0" w:color="auto"/>
              <w:right w:val="single" w:sz="4" w:space="0" w:color="auto"/>
            </w:tcBorders>
            <w:shd w:val="clear" w:color="auto" w:fill="FFC000"/>
            <w:vAlign w:val="center"/>
            <w:hideMark/>
          </w:tcPr>
          <w:p w14:paraId="7EE15F80" w14:textId="77777777" w:rsidR="00BB5697" w:rsidRPr="00FD1551" w:rsidRDefault="00BB5697" w:rsidP="00BF7C4A">
            <w:pPr>
              <w:spacing w:line="360" w:lineRule="auto"/>
              <w:jc w:val="center"/>
              <w:rPr>
                <w:rFonts w:ascii="Arial" w:hAnsi="Arial"/>
              </w:rPr>
            </w:pPr>
            <w:r w:rsidRPr="00FD1551">
              <w:rPr>
                <w:rFonts w:ascii="Arial" w:hAnsi="Arial"/>
              </w:rPr>
              <w:t>Artigo da Lei</w:t>
            </w:r>
          </w:p>
        </w:tc>
      </w:tr>
      <w:tr w:rsidR="00BB5697" w:rsidRPr="00FD1551" w14:paraId="3ACF1E21" w14:textId="77777777" w:rsidTr="00BF7C4A">
        <w:tc>
          <w:tcPr>
            <w:tcW w:w="3369" w:type="dxa"/>
            <w:tcBorders>
              <w:top w:val="single" w:sz="4" w:space="0" w:color="auto"/>
              <w:left w:val="single" w:sz="4" w:space="0" w:color="auto"/>
              <w:bottom w:val="single" w:sz="4" w:space="0" w:color="auto"/>
              <w:right w:val="single" w:sz="4" w:space="0" w:color="auto"/>
            </w:tcBorders>
          </w:tcPr>
          <w:p w14:paraId="1CFA4F24" w14:textId="77777777" w:rsidR="00BB5697" w:rsidRPr="00FD1551" w:rsidRDefault="00BB5697" w:rsidP="00BF7C4A">
            <w:pPr>
              <w:spacing w:line="360" w:lineRule="auto"/>
              <w:jc w:val="both"/>
              <w:rPr>
                <w:rFonts w:ascii="Arial" w:hAnsi="Arial"/>
              </w:rPr>
            </w:pPr>
          </w:p>
        </w:tc>
        <w:tc>
          <w:tcPr>
            <w:tcW w:w="1984" w:type="dxa"/>
            <w:tcBorders>
              <w:top w:val="single" w:sz="4" w:space="0" w:color="auto"/>
              <w:left w:val="single" w:sz="4" w:space="0" w:color="auto"/>
              <w:bottom w:val="single" w:sz="4" w:space="0" w:color="auto"/>
              <w:right w:val="single" w:sz="4" w:space="0" w:color="auto"/>
            </w:tcBorders>
          </w:tcPr>
          <w:p w14:paraId="49BADA9D" w14:textId="77777777" w:rsidR="00BB5697" w:rsidRPr="00FD1551" w:rsidRDefault="00BB5697" w:rsidP="00BF7C4A">
            <w:pPr>
              <w:spacing w:line="360" w:lineRule="auto"/>
              <w:jc w:val="right"/>
              <w:rPr>
                <w:rFonts w:ascii="Arial" w:hAnsi="Arial"/>
              </w:rPr>
            </w:pPr>
          </w:p>
        </w:tc>
        <w:tc>
          <w:tcPr>
            <w:tcW w:w="1276" w:type="dxa"/>
            <w:tcBorders>
              <w:top w:val="single" w:sz="4" w:space="0" w:color="auto"/>
              <w:left w:val="single" w:sz="4" w:space="0" w:color="auto"/>
              <w:bottom w:val="single" w:sz="4" w:space="0" w:color="auto"/>
              <w:right w:val="single" w:sz="4" w:space="0" w:color="auto"/>
            </w:tcBorders>
          </w:tcPr>
          <w:p w14:paraId="20619E44" w14:textId="77777777" w:rsidR="00BB5697" w:rsidRPr="00FD1551" w:rsidRDefault="00BB5697" w:rsidP="00BF7C4A">
            <w:pPr>
              <w:spacing w:line="360" w:lineRule="auto"/>
              <w:jc w:val="right"/>
              <w:rPr>
                <w:rFonts w:ascii="Arial" w:hAnsi="Arial"/>
              </w:rPr>
            </w:pPr>
          </w:p>
        </w:tc>
        <w:tc>
          <w:tcPr>
            <w:tcW w:w="1984" w:type="dxa"/>
            <w:tcBorders>
              <w:top w:val="single" w:sz="4" w:space="0" w:color="auto"/>
              <w:left w:val="single" w:sz="4" w:space="0" w:color="auto"/>
              <w:bottom w:val="single" w:sz="4" w:space="0" w:color="auto"/>
              <w:right w:val="single" w:sz="4" w:space="0" w:color="auto"/>
            </w:tcBorders>
          </w:tcPr>
          <w:p w14:paraId="5C015963" w14:textId="77777777" w:rsidR="00BB5697" w:rsidRPr="00FD1551" w:rsidRDefault="00BB5697" w:rsidP="00BF7C4A">
            <w:pPr>
              <w:spacing w:line="360" w:lineRule="auto"/>
              <w:jc w:val="right"/>
              <w:rPr>
                <w:rFonts w:ascii="Arial" w:hAnsi="Arial"/>
              </w:rPr>
            </w:pPr>
          </w:p>
        </w:tc>
      </w:tr>
      <w:tr w:rsidR="00BB5697" w:rsidRPr="00FD1551" w14:paraId="7F930617" w14:textId="77777777" w:rsidTr="00BF7C4A">
        <w:tc>
          <w:tcPr>
            <w:tcW w:w="3369" w:type="dxa"/>
            <w:tcBorders>
              <w:top w:val="single" w:sz="4" w:space="0" w:color="auto"/>
              <w:left w:val="single" w:sz="4" w:space="0" w:color="auto"/>
              <w:bottom w:val="single" w:sz="4" w:space="0" w:color="auto"/>
              <w:right w:val="single" w:sz="4" w:space="0" w:color="auto"/>
            </w:tcBorders>
          </w:tcPr>
          <w:p w14:paraId="36C3B8CC" w14:textId="77777777" w:rsidR="00BB5697" w:rsidRPr="00FD1551" w:rsidRDefault="00BB5697" w:rsidP="00BF7C4A">
            <w:pPr>
              <w:spacing w:line="360" w:lineRule="auto"/>
              <w:jc w:val="both"/>
              <w:rPr>
                <w:rFonts w:ascii="Arial" w:hAnsi="Arial"/>
              </w:rPr>
            </w:pPr>
          </w:p>
        </w:tc>
        <w:tc>
          <w:tcPr>
            <w:tcW w:w="1984" w:type="dxa"/>
            <w:tcBorders>
              <w:top w:val="single" w:sz="4" w:space="0" w:color="auto"/>
              <w:left w:val="single" w:sz="4" w:space="0" w:color="auto"/>
              <w:bottom w:val="single" w:sz="4" w:space="0" w:color="auto"/>
              <w:right w:val="single" w:sz="4" w:space="0" w:color="auto"/>
            </w:tcBorders>
          </w:tcPr>
          <w:p w14:paraId="0D9537AA" w14:textId="77777777" w:rsidR="00BB5697" w:rsidRPr="00FD1551" w:rsidRDefault="00BB5697" w:rsidP="00BF7C4A">
            <w:pPr>
              <w:spacing w:line="360" w:lineRule="auto"/>
              <w:jc w:val="right"/>
              <w:rPr>
                <w:rFonts w:ascii="Arial" w:hAnsi="Arial"/>
              </w:rPr>
            </w:pPr>
          </w:p>
        </w:tc>
        <w:tc>
          <w:tcPr>
            <w:tcW w:w="1276" w:type="dxa"/>
            <w:tcBorders>
              <w:top w:val="single" w:sz="4" w:space="0" w:color="auto"/>
              <w:left w:val="single" w:sz="4" w:space="0" w:color="auto"/>
              <w:bottom w:val="single" w:sz="4" w:space="0" w:color="auto"/>
              <w:right w:val="single" w:sz="4" w:space="0" w:color="auto"/>
            </w:tcBorders>
          </w:tcPr>
          <w:p w14:paraId="30852829" w14:textId="77777777" w:rsidR="00BB5697" w:rsidRPr="00FD1551" w:rsidRDefault="00BB5697" w:rsidP="00BF7C4A">
            <w:pPr>
              <w:spacing w:line="360" w:lineRule="auto"/>
              <w:jc w:val="right"/>
              <w:rPr>
                <w:rFonts w:ascii="Arial" w:hAnsi="Arial"/>
              </w:rPr>
            </w:pPr>
          </w:p>
        </w:tc>
        <w:tc>
          <w:tcPr>
            <w:tcW w:w="1984" w:type="dxa"/>
            <w:tcBorders>
              <w:top w:val="single" w:sz="4" w:space="0" w:color="auto"/>
              <w:left w:val="single" w:sz="4" w:space="0" w:color="auto"/>
              <w:bottom w:val="single" w:sz="4" w:space="0" w:color="auto"/>
              <w:right w:val="single" w:sz="4" w:space="0" w:color="auto"/>
            </w:tcBorders>
          </w:tcPr>
          <w:p w14:paraId="7F627798" w14:textId="77777777" w:rsidR="00BB5697" w:rsidRPr="00FD1551" w:rsidRDefault="00BB5697" w:rsidP="00BF7C4A">
            <w:pPr>
              <w:spacing w:line="360" w:lineRule="auto"/>
              <w:jc w:val="right"/>
              <w:rPr>
                <w:rFonts w:ascii="Arial" w:hAnsi="Arial"/>
              </w:rPr>
            </w:pPr>
          </w:p>
        </w:tc>
      </w:tr>
    </w:tbl>
    <w:p w14:paraId="465D9492" w14:textId="77777777" w:rsidR="00BB5697" w:rsidRPr="00FD1551" w:rsidRDefault="00BB5697" w:rsidP="00BB5697">
      <w:pPr>
        <w:spacing w:after="0" w:line="360" w:lineRule="auto"/>
        <w:jc w:val="both"/>
        <w:rPr>
          <w:sz w:val="20"/>
          <w:szCs w:val="20"/>
        </w:rPr>
      </w:pPr>
    </w:p>
    <w:p w14:paraId="0F197464" w14:textId="77777777" w:rsidR="00BB5697" w:rsidRPr="00FD1551" w:rsidRDefault="00BB5697" w:rsidP="00BB5697">
      <w:pPr>
        <w:spacing w:after="0" w:line="360" w:lineRule="auto"/>
        <w:jc w:val="both"/>
        <w:rPr>
          <w:rFonts w:ascii="Arial" w:hAnsi="Arial"/>
          <w:sz w:val="20"/>
          <w:szCs w:val="20"/>
        </w:rPr>
      </w:pPr>
      <w:r w:rsidRPr="00FD1551">
        <w:rPr>
          <w:rFonts w:ascii="Arial" w:hAnsi="Arial"/>
          <w:sz w:val="20"/>
          <w:szCs w:val="20"/>
        </w:rPr>
        <w:t>Município/ES,  __/dezembro/ [exercício de competência da pca]</w:t>
      </w:r>
    </w:p>
    <w:p w14:paraId="5E92E184" w14:textId="77777777" w:rsidR="00BB5697" w:rsidRPr="00FD1551" w:rsidRDefault="00BB5697" w:rsidP="00BB5697">
      <w:pPr>
        <w:spacing w:after="0" w:line="360" w:lineRule="auto"/>
        <w:jc w:val="both"/>
        <w:rPr>
          <w:rFonts w:ascii="Arial" w:hAnsi="Arial"/>
          <w:sz w:val="20"/>
          <w:szCs w:val="20"/>
        </w:rPr>
      </w:pPr>
    </w:p>
    <w:p w14:paraId="43E25FD7" w14:textId="77777777" w:rsidR="00BB5697" w:rsidRPr="00FD1551" w:rsidRDefault="00BB5697" w:rsidP="00BB5697">
      <w:pPr>
        <w:spacing w:after="0" w:line="360" w:lineRule="auto"/>
        <w:jc w:val="both"/>
        <w:rPr>
          <w:rFonts w:ascii="Arial" w:hAnsi="Arial"/>
          <w:sz w:val="20"/>
          <w:szCs w:val="20"/>
        </w:rPr>
      </w:pPr>
    </w:p>
    <w:p w14:paraId="5E83A19B" w14:textId="77777777" w:rsidR="00BB5697" w:rsidRPr="00FD1551" w:rsidRDefault="00BB5697" w:rsidP="00BB5697">
      <w:pPr>
        <w:spacing w:after="0" w:line="360" w:lineRule="auto"/>
        <w:jc w:val="center"/>
        <w:rPr>
          <w:rFonts w:ascii="Arial" w:hAnsi="Arial"/>
          <w:sz w:val="20"/>
          <w:szCs w:val="20"/>
        </w:rPr>
      </w:pPr>
      <w:r w:rsidRPr="00FD1551">
        <w:rPr>
          <w:rFonts w:ascii="Arial" w:hAnsi="Arial"/>
          <w:sz w:val="20"/>
          <w:szCs w:val="20"/>
        </w:rPr>
        <w:t>___________________________</w:t>
      </w:r>
    </w:p>
    <w:p w14:paraId="7ADBA3BA" w14:textId="77777777" w:rsidR="00BB5697" w:rsidRPr="00FD1551" w:rsidRDefault="00BB5697" w:rsidP="00BB5697">
      <w:pPr>
        <w:spacing w:after="0" w:line="360" w:lineRule="auto"/>
        <w:jc w:val="center"/>
        <w:rPr>
          <w:rFonts w:ascii="Arial" w:hAnsi="Arial"/>
          <w:sz w:val="20"/>
          <w:szCs w:val="20"/>
        </w:rPr>
      </w:pPr>
      <w:r w:rsidRPr="00FD1551">
        <w:rPr>
          <w:rFonts w:ascii="Arial" w:hAnsi="Arial"/>
          <w:sz w:val="20"/>
          <w:szCs w:val="20"/>
        </w:rPr>
        <w:t>Assinatura do Gestor do RPPS</w:t>
      </w:r>
    </w:p>
    <w:p w14:paraId="57251067" w14:textId="77777777" w:rsidR="00BB5697" w:rsidRPr="00FD1551" w:rsidRDefault="00BB5697" w:rsidP="00BB5697">
      <w:pPr>
        <w:rPr>
          <w:rFonts w:ascii="Arial" w:hAnsi="Arial" w:cs="Arial"/>
          <w:b/>
          <w:sz w:val="20"/>
          <w:szCs w:val="20"/>
        </w:rPr>
      </w:pPr>
    </w:p>
    <w:p w14:paraId="43F326BF" w14:textId="18498E65" w:rsidR="00BB5697" w:rsidRDefault="00BB5697" w:rsidP="00BB5697">
      <w:pPr>
        <w:rPr>
          <w:rFonts w:ascii="Arial" w:hAnsi="Arial" w:cs="Arial"/>
          <w:b/>
          <w:sz w:val="28"/>
          <w:szCs w:val="28"/>
        </w:rPr>
      </w:pPr>
      <w:r w:rsidRPr="00FD1551">
        <w:rPr>
          <w:rFonts w:ascii="Arial" w:hAnsi="Arial" w:cs="Arial"/>
          <w:b/>
          <w:sz w:val="28"/>
          <w:szCs w:val="28"/>
        </w:rPr>
        <w:br w:type="page"/>
      </w:r>
    </w:p>
    <w:p w14:paraId="58E88784" w14:textId="5988A640" w:rsidR="00BF7C4A" w:rsidRDefault="00BF7C4A" w:rsidP="00BB5697">
      <w:pPr>
        <w:rPr>
          <w:rFonts w:ascii="Arial" w:hAnsi="Arial" w:cs="Arial"/>
          <w:b/>
          <w:sz w:val="28"/>
          <w:szCs w:val="28"/>
        </w:rPr>
      </w:pPr>
    </w:p>
    <w:p w14:paraId="6A5ECED0" w14:textId="3F091E59" w:rsidR="00BF7C4A" w:rsidRPr="00FD1551" w:rsidRDefault="00BF7C4A" w:rsidP="00BF7C4A">
      <w:pPr>
        <w:pStyle w:val="Ttulo3"/>
      </w:pPr>
      <w:bookmarkStart w:id="83" w:name="_Toc94806355"/>
      <w:r w:rsidRPr="00BF7C4A">
        <w:t>RELPAD</w:t>
      </w:r>
      <w:bookmarkEnd w:id="83"/>
    </w:p>
    <w:tbl>
      <w:tblPr>
        <w:tblW w:w="9750" w:type="dxa"/>
        <w:tblInd w:w="-616" w:type="dxa"/>
        <w:tblBorders>
          <w:top w:val="single" w:sz="8" w:space="0" w:color="auto"/>
          <w:left w:val="single" w:sz="8" w:space="0" w:color="auto"/>
          <w:bottom w:val="single" w:sz="4" w:space="0" w:color="auto"/>
          <w:right w:val="single" w:sz="8" w:space="0" w:color="auto"/>
        </w:tblBorders>
        <w:tblCellMar>
          <w:left w:w="70" w:type="dxa"/>
          <w:right w:w="70" w:type="dxa"/>
        </w:tblCellMar>
        <w:tblLook w:val="04A0" w:firstRow="1" w:lastRow="0" w:firstColumn="1" w:lastColumn="0" w:noHBand="0" w:noVBand="1"/>
      </w:tblPr>
      <w:tblGrid>
        <w:gridCol w:w="9750"/>
      </w:tblGrid>
      <w:tr w:rsidR="00BB5697" w:rsidRPr="00FD1551" w14:paraId="0B4CEA01" w14:textId="77777777" w:rsidTr="00BF7C4A">
        <w:trPr>
          <w:trHeight w:val="283"/>
        </w:trPr>
        <w:tc>
          <w:tcPr>
            <w:tcW w:w="9750" w:type="dxa"/>
          </w:tcPr>
          <w:p w14:paraId="50B6AE63"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b/>
                <w:bCs/>
                <w:color w:val="000000"/>
                <w:sz w:val="16"/>
                <w:szCs w:val="16"/>
                <w:lang w:eastAsia="pt-BR"/>
              </w:rPr>
              <w:t>IDENTIFICAÇÃO:</w:t>
            </w:r>
            <w:r w:rsidRPr="00FD1551">
              <w:rPr>
                <w:rFonts w:ascii="Arial" w:eastAsia="Times New Roman" w:hAnsi="Arial" w:cs="Arial"/>
                <w:color w:val="000000"/>
                <w:sz w:val="16"/>
                <w:szCs w:val="16"/>
                <w:lang w:eastAsia="pt-BR"/>
              </w:rPr>
              <w:t> </w:t>
            </w:r>
          </w:p>
        </w:tc>
      </w:tr>
      <w:tr w:rsidR="00BB5697" w:rsidRPr="00FD1551" w14:paraId="14F73B7F" w14:textId="77777777" w:rsidTr="00BF7C4A">
        <w:trPr>
          <w:trHeight w:val="283"/>
        </w:trPr>
        <w:tc>
          <w:tcPr>
            <w:tcW w:w="9750" w:type="dxa"/>
            <w:shd w:val="clear" w:color="auto" w:fill="auto"/>
            <w:noWrap/>
            <w:vAlign w:val="bottom"/>
            <w:hideMark/>
          </w:tcPr>
          <w:p w14:paraId="20B9DA45"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EXERCÍCIO:</w:t>
            </w:r>
          </w:p>
        </w:tc>
      </w:tr>
    </w:tbl>
    <w:p w14:paraId="6BB233FA" w14:textId="77777777" w:rsidR="00BB5697" w:rsidRPr="00FD1551" w:rsidRDefault="00BB5697" w:rsidP="00BB5697">
      <w:pPr>
        <w:spacing w:after="0" w:line="360" w:lineRule="auto"/>
        <w:jc w:val="both"/>
        <w:rPr>
          <w:rFonts w:ascii="Arial" w:hAnsi="Arial"/>
        </w:rPr>
      </w:pPr>
    </w:p>
    <w:p w14:paraId="2E80EA8B" w14:textId="77777777" w:rsidR="00BB5697" w:rsidRPr="00FD1551" w:rsidRDefault="00BB5697" w:rsidP="00BB5697">
      <w:pPr>
        <w:spacing w:after="0" w:line="360" w:lineRule="auto"/>
        <w:jc w:val="center"/>
        <w:rPr>
          <w:rFonts w:ascii="Arial" w:hAnsi="Arial"/>
          <w:b/>
          <w:sz w:val="20"/>
          <w:szCs w:val="20"/>
        </w:rPr>
      </w:pPr>
      <w:r w:rsidRPr="00FD1551">
        <w:rPr>
          <w:rFonts w:ascii="Arial" w:hAnsi="Arial"/>
          <w:b/>
          <w:sz w:val="20"/>
          <w:szCs w:val="20"/>
        </w:rPr>
        <w:t xml:space="preserve">RELATÓRIO DETALHADO DO PLANO DE AMORTIZAÇÃO DO DÉFICIT ATUARIAL VIGENTE NO </w:t>
      </w:r>
      <w:r w:rsidRPr="00EE7B86">
        <w:rPr>
          <w:rFonts w:ascii="Arial" w:hAnsi="Arial"/>
          <w:b/>
          <w:i/>
          <w:sz w:val="20"/>
          <w:szCs w:val="20"/>
        </w:rPr>
        <w:t>[EXERCICIO DA PCA]</w:t>
      </w:r>
    </w:p>
    <w:p w14:paraId="22B29F8E" w14:textId="77777777" w:rsidR="00BB5697" w:rsidRPr="00FD1551" w:rsidRDefault="00BB5697" w:rsidP="00BB5697">
      <w:pPr>
        <w:spacing w:after="0" w:line="360" w:lineRule="auto"/>
        <w:jc w:val="both"/>
        <w:rPr>
          <w:rFonts w:ascii="Arial" w:hAnsi="Arial"/>
          <w:sz w:val="20"/>
          <w:szCs w:val="20"/>
        </w:rPr>
      </w:pPr>
    </w:p>
    <w:p w14:paraId="399FC1E2" w14:textId="77777777" w:rsidR="00BB5697" w:rsidRPr="00FD1551" w:rsidRDefault="00BB5697" w:rsidP="00BB5697">
      <w:pPr>
        <w:spacing w:after="0" w:line="360" w:lineRule="auto"/>
        <w:jc w:val="both"/>
        <w:rPr>
          <w:rFonts w:ascii="Arial" w:hAnsi="Arial"/>
          <w:sz w:val="20"/>
          <w:szCs w:val="20"/>
        </w:rPr>
      </w:pPr>
    </w:p>
    <w:p w14:paraId="40DDD6E4" w14:textId="77777777" w:rsidR="00BB5697" w:rsidRPr="00FD1551" w:rsidRDefault="00BB5697" w:rsidP="00BB5697">
      <w:pPr>
        <w:spacing w:after="0" w:line="360" w:lineRule="auto"/>
        <w:jc w:val="both"/>
        <w:rPr>
          <w:rFonts w:ascii="Arial" w:hAnsi="Arial"/>
          <w:sz w:val="20"/>
          <w:szCs w:val="20"/>
        </w:rPr>
      </w:pPr>
      <w:r w:rsidRPr="00FD1551">
        <w:rPr>
          <w:rFonts w:ascii="Arial" w:hAnsi="Arial"/>
          <w:sz w:val="20"/>
          <w:szCs w:val="20"/>
        </w:rPr>
        <w:t xml:space="preserve">O </w:t>
      </w:r>
      <w:r w:rsidRPr="00FD1551">
        <w:rPr>
          <w:rFonts w:ascii="Arial" w:hAnsi="Arial"/>
          <w:b/>
          <w:sz w:val="20"/>
          <w:szCs w:val="20"/>
        </w:rPr>
        <w:t>primeiro plano de amortização do déficit atuarial</w:t>
      </w:r>
      <w:r w:rsidRPr="00FD1551">
        <w:rPr>
          <w:rFonts w:ascii="Arial" w:hAnsi="Arial"/>
          <w:sz w:val="20"/>
          <w:szCs w:val="20"/>
        </w:rPr>
        <w:t xml:space="preserve"> do </w:t>
      </w:r>
      <w:r w:rsidRPr="00EE7B86">
        <w:rPr>
          <w:rFonts w:ascii="Arial" w:hAnsi="Arial"/>
          <w:i/>
          <w:sz w:val="20"/>
          <w:szCs w:val="20"/>
        </w:rPr>
        <w:t>[ente]</w:t>
      </w:r>
      <w:r w:rsidRPr="00FD1551">
        <w:rPr>
          <w:rFonts w:ascii="Arial" w:hAnsi="Arial"/>
          <w:sz w:val="20"/>
          <w:szCs w:val="20"/>
        </w:rPr>
        <w:t xml:space="preserve"> foi estabelecido por meio </w:t>
      </w:r>
      <w:r w:rsidRPr="00EE7B86">
        <w:rPr>
          <w:rFonts w:ascii="Arial" w:hAnsi="Arial"/>
          <w:i/>
          <w:sz w:val="20"/>
          <w:szCs w:val="20"/>
        </w:rPr>
        <w:t>[legislação]</w:t>
      </w:r>
      <w:r w:rsidRPr="00FD1551">
        <w:rPr>
          <w:rFonts w:ascii="Arial" w:hAnsi="Arial"/>
          <w:sz w:val="20"/>
          <w:szCs w:val="20"/>
        </w:rPr>
        <w:t xml:space="preserve">, vigente a partir </w:t>
      </w:r>
      <w:r w:rsidRPr="00EE7B86">
        <w:rPr>
          <w:rFonts w:ascii="Arial" w:hAnsi="Arial"/>
          <w:i/>
          <w:sz w:val="20"/>
          <w:szCs w:val="20"/>
        </w:rPr>
        <w:t>[data de vigência]</w:t>
      </w:r>
      <w:r w:rsidRPr="00FD1551">
        <w:rPr>
          <w:rFonts w:ascii="Arial" w:hAnsi="Arial"/>
          <w:sz w:val="20"/>
          <w:szCs w:val="20"/>
        </w:rPr>
        <w:t>.</w:t>
      </w:r>
    </w:p>
    <w:p w14:paraId="1989AFDD" w14:textId="77777777" w:rsidR="00BB5697" w:rsidRPr="00FD1551" w:rsidRDefault="00BB5697" w:rsidP="00BB5697">
      <w:pPr>
        <w:spacing w:after="0" w:line="360" w:lineRule="auto"/>
        <w:jc w:val="both"/>
        <w:rPr>
          <w:rFonts w:ascii="Arial" w:hAnsi="Arial"/>
          <w:sz w:val="20"/>
          <w:szCs w:val="20"/>
        </w:rPr>
      </w:pPr>
    </w:p>
    <w:p w14:paraId="522C6C41" w14:textId="77777777" w:rsidR="00BB5697" w:rsidRPr="00FD1551" w:rsidRDefault="00BB5697" w:rsidP="00BB5697">
      <w:pPr>
        <w:spacing w:after="0" w:line="360" w:lineRule="auto"/>
        <w:jc w:val="both"/>
        <w:rPr>
          <w:rFonts w:ascii="Arial" w:hAnsi="Arial"/>
          <w:sz w:val="20"/>
          <w:szCs w:val="20"/>
        </w:rPr>
      </w:pPr>
      <w:r w:rsidRPr="00FD1551">
        <w:rPr>
          <w:rFonts w:ascii="Arial" w:hAnsi="Arial"/>
          <w:sz w:val="20"/>
          <w:szCs w:val="20"/>
        </w:rPr>
        <w:t xml:space="preserve">Atualmente, o </w:t>
      </w:r>
      <w:r w:rsidRPr="00EE7B86">
        <w:rPr>
          <w:rFonts w:ascii="Arial" w:hAnsi="Arial"/>
          <w:sz w:val="20"/>
          <w:szCs w:val="20"/>
        </w:rPr>
        <w:t>Plano de Amortização</w:t>
      </w:r>
      <w:r w:rsidRPr="00FD1551">
        <w:rPr>
          <w:rFonts w:ascii="Arial" w:hAnsi="Arial"/>
          <w:sz w:val="20"/>
          <w:szCs w:val="20"/>
        </w:rPr>
        <w:t xml:space="preserve"> para equacionamento do Déficit Atuarial do </w:t>
      </w:r>
      <w:r w:rsidRPr="00EE7B86">
        <w:rPr>
          <w:rFonts w:ascii="Arial" w:hAnsi="Arial"/>
          <w:i/>
          <w:sz w:val="20"/>
          <w:szCs w:val="20"/>
        </w:rPr>
        <w:t>[RPPS]</w:t>
      </w:r>
      <w:r w:rsidRPr="00FD1551">
        <w:rPr>
          <w:rFonts w:ascii="Arial" w:hAnsi="Arial"/>
          <w:sz w:val="20"/>
          <w:szCs w:val="20"/>
        </w:rPr>
        <w:t xml:space="preserve"> vigente no </w:t>
      </w:r>
      <w:r w:rsidRPr="00EE7B86">
        <w:rPr>
          <w:rFonts w:ascii="Arial" w:hAnsi="Arial"/>
          <w:i/>
          <w:sz w:val="20"/>
          <w:szCs w:val="20"/>
        </w:rPr>
        <w:t xml:space="preserve">[exercício da </w:t>
      </w:r>
      <w:r>
        <w:rPr>
          <w:rFonts w:ascii="Arial" w:hAnsi="Arial"/>
          <w:i/>
          <w:sz w:val="20"/>
          <w:szCs w:val="20"/>
        </w:rPr>
        <w:t>PCA</w:t>
      </w:r>
      <w:r w:rsidRPr="00EE7B86">
        <w:rPr>
          <w:rFonts w:ascii="Arial" w:hAnsi="Arial"/>
          <w:i/>
          <w:sz w:val="20"/>
          <w:szCs w:val="20"/>
        </w:rPr>
        <w:t>]</w:t>
      </w:r>
      <w:r w:rsidRPr="00FD1551">
        <w:rPr>
          <w:rFonts w:ascii="Arial" w:hAnsi="Arial"/>
          <w:sz w:val="20"/>
          <w:szCs w:val="20"/>
        </w:rPr>
        <w:t xml:space="preserve"> está estabelecido n</w:t>
      </w:r>
      <w:r>
        <w:rPr>
          <w:rFonts w:ascii="Arial" w:hAnsi="Arial"/>
          <w:sz w:val="20"/>
          <w:szCs w:val="20"/>
        </w:rPr>
        <w:t>o</w:t>
      </w:r>
      <w:r w:rsidRPr="00FD1551">
        <w:rPr>
          <w:rFonts w:ascii="Arial" w:hAnsi="Arial"/>
          <w:sz w:val="20"/>
          <w:szCs w:val="20"/>
        </w:rPr>
        <w:t xml:space="preserve"> </w:t>
      </w:r>
      <w:r w:rsidRPr="00EE7B86">
        <w:rPr>
          <w:rFonts w:ascii="Arial" w:hAnsi="Arial"/>
          <w:i/>
          <w:sz w:val="20"/>
          <w:szCs w:val="20"/>
        </w:rPr>
        <w:t>[artigo da legislação]</w:t>
      </w:r>
      <w:r w:rsidRPr="00FD1551">
        <w:rPr>
          <w:rFonts w:ascii="Arial" w:hAnsi="Arial"/>
          <w:sz w:val="20"/>
          <w:szCs w:val="20"/>
        </w:rPr>
        <w:t xml:space="preserve"> na </w:t>
      </w:r>
      <w:r>
        <w:rPr>
          <w:rFonts w:ascii="Arial" w:hAnsi="Arial"/>
          <w:sz w:val="20"/>
          <w:szCs w:val="20"/>
        </w:rPr>
        <w:t xml:space="preserve">seguinte </w:t>
      </w:r>
      <w:r w:rsidRPr="00FD1551">
        <w:rPr>
          <w:rFonts w:ascii="Arial" w:hAnsi="Arial"/>
          <w:sz w:val="20"/>
          <w:szCs w:val="20"/>
        </w:rPr>
        <w:t xml:space="preserve">forma: </w:t>
      </w:r>
    </w:p>
    <w:p w14:paraId="0D41D195" w14:textId="77777777" w:rsidR="00BB5697" w:rsidRPr="00FD1551" w:rsidRDefault="00BB5697" w:rsidP="00BB5697">
      <w:pPr>
        <w:spacing w:after="0" w:line="360" w:lineRule="auto"/>
        <w:jc w:val="both"/>
        <w:rPr>
          <w:rFonts w:ascii="Arial" w:hAnsi="Arial"/>
          <w:sz w:val="20"/>
          <w:szCs w:val="20"/>
        </w:rPr>
      </w:pPr>
    </w:p>
    <w:tbl>
      <w:tblPr>
        <w:tblStyle w:val="Tabelacomgrade"/>
        <w:tblW w:w="0" w:type="auto"/>
        <w:tblLook w:val="04A0" w:firstRow="1" w:lastRow="0" w:firstColumn="1" w:lastColumn="0" w:noHBand="0" w:noVBand="1"/>
      </w:tblPr>
      <w:tblGrid>
        <w:gridCol w:w="959"/>
        <w:gridCol w:w="7685"/>
      </w:tblGrid>
      <w:tr w:rsidR="00BB5697" w:rsidRPr="00FD1551" w14:paraId="6BD127CB" w14:textId="77777777" w:rsidTr="00BF7C4A">
        <w:tc>
          <w:tcPr>
            <w:tcW w:w="959" w:type="dxa"/>
            <w:tcBorders>
              <w:top w:val="single" w:sz="4" w:space="0" w:color="auto"/>
              <w:left w:val="single" w:sz="4" w:space="0" w:color="auto"/>
              <w:bottom w:val="single" w:sz="4" w:space="0" w:color="auto"/>
              <w:right w:val="single" w:sz="4" w:space="0" w:color="auto"/>
            </w:tcBorders>
            <w:hideMark/>
          </w:tcPr>
          <w:p w14:paraId="3111FE0C" w14:textId="77777777" w:rsidR="00BB5697" w:rsidRPr="00FD1551" w:rsidRDefault="00BB5697" w:rsidP="00BF7C4A">
            <w:pPr>
              <w:spacing w:line="360" w:lineRule="auto"/>
              <w:jc w:val="center"/>
              <w:rPr>
                <w:rFonts w:ascii="Arial" w:hAnsi="Arial"/>
              </w:rPr>
            </w:pPr>
            <w:r w:rsidRPr="00FD1551">
              <w:rPr>
                <w:rFonts w:ascii="Arial" w:hAnsi="Arial"/>
              </w:rPr>
              <w:t>(    )</w:t>
            </w:r>
          </w:p>
        </w:tc>
        <w:tc>
          <w:tcPr>
            <w:tcW w:w="7685" w:type="dxa"/>
            <w:tcBorders>
              <w:top w:val="single" w:sz="4" w:space="0" w:color="auto"/>
              <w:left w:val="single" w:sz="4" w:space="0" w:color="auto"/>
              <w:bottom w:val="single" w:sz="4" w:space="0" w:color="auto"/>
              <w:right w:val="single" w:sz="4" w:space="0" w:color="auto"/>
            </w:tcBorders>
            <w:hideMark/>
          </w:tcPr>
          <w:p w14:paraId="1A4BDFB0" w14:textId="77777777" w:rsidR="00BB5697" w:rsidRPr="00FD1551" w:rsidRDefault="00BB5697" w:rsidP="00BF7C4A">
            <w:pPr>
              <w:spacing w:line="360" w:lineRule="auto"/>
              <w:jc w:val="both"/>
              <w:rPr>
                <w:rFonts w:ascii="Arial" w:hAnsi="Arial"/>
              </w:rPr>
            </w:pPr>
            <w:r w:rsidRPr="00FD1551">
              <w:rPr>
                <w:rFonts w:ascii="Arial" w:hAnsi="Arial"/>
              </w:rPr>
              <w:t>Alíquota Suplementar</w:t>
            </w:r>
          </w:p>
        </w:tc>
      </w:tr>
      <w:tr w:rsidR="00BB5697" w:rsidRPr="00FD1551" w14:paraId="3951EA74" w14:textId="77777777" w:rsidTr="00BF7C4A">
        <w:tc>
          <w:tcPr>
            <w:tcW w:w="959" w:type="dxa"/>
            <w:tcBorders>
              <w:top w:val="single" w:sz="4" w:space="0" w:color="auto"/>
              <w:left w:val="single" w:sz="4" w:space="0" w:color="auto"/>
              <w:bottom w:val="single" w:sz="4" w:space="0" w:color="auto"/>
              <w:right w:val="single" w:sz="4" w:space="0" w:color="auto"/>
            </w:tcBorders>
            <w:hideMark/>
          </w:tcPr>
          <w:p w14:paraId="51F0942D" w14:textId="77777777" w:rsidR="00BB5697" w:rsidRPr="00FD1551" w:rsidRDefault="00BB5697" w:rsidP="00BF7C4A">
            <w:pPr>
              <w:spacing w:line="360" w:lineRule="auto"/>
              <w:jc w:val="center"/>
              <w:rPr>
                <w:rFonts w:ascii="Arial" w:hAnsi="Arial"/>
              </w:rPr>
            </w:pPr>
            <w:r w:rsidRPr="00FD1551">
              <w:rPr>
                <w:rFonts w:ascii="Arial" w:hAnsi="Arial"/>
              </w:rPr>
              <w:t>(    )</w:t>
            </w:r>
          </w:p>
        </w:tc>
        <w:tc>
          <w:tcPr>
            <w:tcW w:w="7685" w:type="dxa"/>
            <w:tcBorders>
              <w:top w:val="single" w:sz="4" w:space="0" w:color="auto"/>
              <w:left w:val="single" w:sz="4" w:space="0" w:color="auto"/>
              <w:bottom w:val="single" w:sz="4" w:space="0" w:color="auto"/>
              <w:right w:val="single" w:sz="4" w:space="0" w:color="auto"/>
            </w:tcBorders>
            <w:hideMark/>
          </w:tcPr>
          <w:p w14:paraId="15715EE3" w14:textId="77777777" w:rsidR="00BB5697" w:rsidRPr="00FD1551" w:rsidRDefault="00BB5697" w:rsidP="00BF7C4A">
            <w:pPr>
              <w:spacing w:line="360" w:lineRule="auto"/>
              <w:jc w:val="both"/>
              <w:rPr>
                <w:rFonts w:ascii="Arial" w:hAnsi="Arial"/>
              </w:rPr>
            </w:pPr>
            <w:r w:rsidRPr="00FD1551">
              <w:rPr>
                <w:rFonts w:ascii="Arial" w:hAnsi="Arial"/>
              </w:rPr>
              <w:t>Aportes Periódicos</w:t>
            </w:r>
          </w:p>
        </w:tc>
      </w:tr>
      <w:tr w:rsidR="00BB5697" w:rsidRPr="00FD1551" w14:paraId="4A962B2B" w14:textId="77777777" w:rsidTr="00BF7C4A">
        <w:tc>
          <w:tcPr>
            <w:tcW w:w="959" w:type="dxa"/>
            <w:tcBorders>
              <w:top w:val="single" w:sz="4" w:space="0" w:color="auto"/>
              <w:left w:val="single" w:sz="4" w:space="0" w:color="auto"/>
              <w:bottom w:val="single" w:sz="4" w:space="0" w:color="auto"/>
              <w:right w:val="single" w:sz="4" w:space="0" w:color="auto"/>
            </w:tcBorders>
            <w:hideMark/>
          </w:tcPr>
          <w:p w14:paraId="169C42A1" w14:textId="77777777" w:rsidR="00BB5697" w:rsidRPr="00FD1551" w:rsidRDefault="00BB5697" w:rsidP="00BF7C4A">
            <w:pPr>
              <w:spacing w:line="360" w:lineRule="auto"/>
              <w:jc w:val="center"/>
              <w:rPr>
                <w:rFonts w:ascii="Arial" w:hAnsi="Arial"/>
              </w:rPr>
            </w:pPr>
            <w:r w:rsidRPr="00FD1551">
              <w:rPr>
                <w:rFonts w:ascii="Arial" w:hAnsi="Arial"/>
              </w:rPr>
              <w:t>(    )</w:t>
            </w:r>
          </w:p>
        </w:tc>
        <w:tc>
          <w:tcPr>
            <w:tcW w:w="7685" w:type="dxa"/>
            <w:tcBorders>
              <w:top w:val="single" w:sz="4" w:space="0" w:color="auto"/>
              <w:left w:val="single" w:sz="4" w:space="0" w:color="auto"/>
              <w:bottom w:val="single" w:sz="4" w:space="0" w:color="auto"/>
              <w:right w:val="single" w:sz="4" w:space="0" w:color="auto"/>
            </w:tcBorders>
            <w:hideMark/>
          </w:tcPr>
          <w:p w14:paraId="03B4CFD7" w14:textId="77777777" w:rsidR="00BB5697" w:rsidRPr="00FD1551" w:rsidRDefault="00BB5697" w:rsidP="00BF7C4A">
            <w:pPr>
              <w:spacing w:line="360" w:lineRule="auto"/>
              <w:jc w:val="both"/>
              <w:rPr>
                <w:rFonts w:ascii="Arial" w:hAnsi="Arial"/>
              </w:rPr>
            </w:pPr>
            <w:r w:rsidRPr="00FD1551">
              <w:rPr>
                <w:rFonts w:ascii="Arial" w:hAnsi="Arial"/>
              </w:rPr>
              <w:t>Segregação de Massa</w:t>
            </w:r>
          </w:p>
        </w:tc>
      </w:tr>
    </w:tbl>
    <w:p w14:paraId="7E02F612" w14:textId="77777777" w:rsidR="00BB5697" w:rsidRPr="00FD1551" w:rsidRDefault="00BB5697" w:rsidP="00BB5697">
      <w:pPr>
        <w:spacing w:after="0" w:line="360" w:lineRule="auto"/>
        <w:jc w:val="both"/>
        <w:rPr>
          <w:sz w:val="20"/>
          <w:szCs w:val="20"/>
        </w:rPr>
      </w:pPr>
    </w:p>
    <w:p w14:paraId="52A70E7E" w14:textId="77777777" w:rsidR="00BB5697" w:rsidRPr="00FD1551" w:rsidRDefault="00BB5697" w:rsidP="00BB5697">
      <w:pPr>
        <w:spacing w:after="0" w:line="360" w:lineRule="auto"/>
        <w:jc w:val="both"/>
        <w:rPr>
          <w:rFonts w:ascii="Arial" w:hAnsi="Arial"/>
          <w:sz w:val="20"/>
          <w:szCs w:val="20"/>
        </w:rPr>
      </w:pPr>
      <w:r w:rsidRPr="00FD1551">
        <w:rPr>
          <w:rFonts w:ascii="Arial" w:hAnsi="Arial"/>
          <w:sz w:val="20"/>
          <w:szCs w:val="20"/>
        </w:rPr>
        <w:t xml:space="preserve">As alíquotas suplementares foram estabelecidas por meio do art. </w:t>
      </w:r>
      <w:r w:rsidRPr="00EE7B86">
        <w:rPr>
          <w:rFonts w:ascii="Arial" w:hAnsi="Arial"/>
          <w:i/>
          <w:sz w:val="20"/>
          <w:szCs w:val="20"/>
        </w:rPr>
        <w:t>[XX]</w:t>
      </w:r>
      <w:r w:rsidRPr="00FD1551">
        <w:rPr>
          <w:rFonts w:ascii="Arial" w:hAnsi="Arial"/>
          <w:sz w:val="20"/>
          <w:szCs w:val="20"/>
        </w:rPr>
        <w:t xml:space="preserve"> da </w:t>
      </w:r>
      <w:r w:rsidRPr="00EE7B86">
        <w:rPr>
          <w:rFonts w:ascii="Arial" w:hAnsi="Arial"/>
          <w:i/>
          <w:sz w:val="20"/>
          <w:szCs w:val="20"/>
        </w:rPr>
        <w:t>[legislação]</w:t>
      </w:r>
      <w:r w:rsidRPr="00FD1551">
        <w:rPr>
          <w:rFonts w:ascii="Arial" w:hAnsi="Arial"/>
          <w:sz w:val="20"/>
          <w:szCs w:val="20"/>
        </w:rPr>
        <w:t xml:space="preserve">, pelo prazo de </w:t>
      </w:r>
      <w:r w:rsidRPr="00EE7B86">
        <w:rPr>
          <w:rFonts w:ascii="Arial" w:hAnsi="Arial"/>
          <w:i/>
          <w:sz w:val="20"/>
          <w:szCs w:val="20"/>
        </w:rPr>
        <w:t>[quantidade]</w:t>
      </w:r>
      <w:r w:rsidRPr="00FD1551">
        <w:rPr>
          <w:rFonts w:ascii="Arial" w:hAnsi="Arial"/>
          <w:sz w:val="20"/>
          <w:szCs w:val="20"/>
        </w:rPr>
        <w:t xml:space="preserve"> anos e nos seguintes percentuais:</w:t>
      </w:r>
    </w:p>
    <w:p w14:paraId="6DE3DEA6" w14:textId="77777777" w:rsidR="00BB5697" w:rsidRPr="00FD1551" w:rsidRDefault="00BB5697" w:rsidP="00BB5697">
      <w:pPr>
        <w:spacing w:after="0" w:line="360" w:lineRule="auto"/>
        <w:jc w:val="both"/>
        <w:rPr>
          <w:rFonts w:ascii="Arial" w:hAnsi="Arial"/>
          <w:sz w:val="20"/>
          <w:szCs w:val="20"/>
        </w:rPr>
      </w:pPr>
    </w:p>
    <w:tbl>
      <w:tblPr>
        <w:tblStyle w:val="Tabelacomgrade"/>
        <w:tblW w:w="0" w:type="auto"/>
        <w:tblLook w:val="04A0" w:firstRow="1" w:lastRow="0" w:firstColumn="1" w:lastColumn="0" w:noHBand="0" w:noVBand="1"/>
      </w:tblPr>
      <w:tblGrid>
        <w:gridCol w:w="3652"/>
        <w:gridCol w:w="4992"/>
      </w:tblGrid>
      <w:tr w:rsidR="00BB5697" w:rsidRPr="00FD1551" w14:paraId="3874031F" w14:textId="77777777" w:rsidTr="00BF7C4A">
        <w:tc>
          <w:tcPr>
            <w:tcW w:w="8644" w:type="dxa"/>
            <w:gridSpan w:val="2"/>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59E16F34" w14:textId="77777777" w:rsidR="00BB5697" w:rsidRPr="00FD1551" w:rsidRDefault="00BB5697" w:rsidP="00BF7C4A">
            <w:pPr>
              <w:spacing w:line="360" w:lineRule="auto"/>
              <w:jc w:val="center"/>
              <w:rPr>
                <w:rFonts w:ascii="Arial" w:hAnsi="Arial"/>
                <w:b/>
              </w:rPr>
            </w:pPr>
            <w:r w:rsidRPr="00FD1551">
              <w:rPr>
                <w:rFonts w:ascii="Arial" w:hAnsi="Arial"/>
                <w:b/>
              </w:rPr>
              <w:t>PLANO DE AMORTIZAÇÃO POR MEIO DE ALÍQUOTA SUPLEMENTAR</w:t>
            </w:r>
          </w:p>
        </w:tc>
      </w:tr>
      <w:tr w:rsidR="00BB5697" w:rsidRPr="00FD1551" w14:paraId="726BC912" w14:textId="77777777" w:rsidTr="00BF7C4A">
        <w:trPr>
          <w:trHeight w:val="552"/>
        </w:trPr>
        <w:tc>
          <w:tcPr>
            <w:tcW w:w="3652" w:type="dxa"/>
            <w:vMerge w:val="restart"/>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55A87EF2" w14:textId="77777777" w:rsidR="00BB5697" w:rsidRPr="00FD1551" w:rsidRDefault="00BB5697" w:rsidP="00BF7C4A">
            <w:pPr>
              <w:spacing w:line="360" w:lineRule="auto"/>
              <w:jc w:val="center"/>
              <w:rPr>
                <w:rFonts w:ascii="Arial" w:hAnsi="Arial"/>
                <w:b/>
              </w:rPr>
            </w:pPr>
            <w:r w:rsidRPr="00FD1551">
              <w:rPr>
                <w:rFonts w:ascii="Arial" w:hAnsi="Arial"/>
                <w:b/>
              </w:rPr>
              <w:t>Exercício</w:t>
            </w:r>
          </w:p>
        </w:tc>
        <w:tc>
          <w:tcPr>
            <w:tcW w:w="4992" w:type="dxa"/>
            <w:vMerge w:val="restart"/>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3C1AFD14" w14:textId="77777777" w:rsidR="00BB5697" w:rsidRPr="00FD1551" w:rsidRDefault="00BB5697" w:rsidP="00BF7C4A">
            <w:pPr>
              <w:spacing w:line="360" w:lineRule="auto"/>
              <w:jc w:val="center"/>
              <w:rPr>
                <w:rFonts w:ascii="Arial" w:hAnsi="Arial"/>
                <w:b/>
              </w:rPr>
            </w:pPr>
            <w:r w:rsidRPr="00FD1551">
              <w:rPr>
                <w:rFonts w:ascii="Arial" w:hAnsi="Arial"/>
                <w:b/>
              </w:rPr>
              <w:t>% Alíquota Suplementar</w:t>
            </w:r>
          </w:p>
        </w:tc>
      </w:tr>
      <w:tr w:rsidR="00BB5697" w:rsidRPr="00FD1551" w14:paraId="34EA20DB" w14:textId="77777777" w:rsidTr="00BF7C4A">
        <w:trPr>
          <w:trHeight w:val="50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C0DAB74" w14:textId="77777777" w:rsidR="00BB5697" w:rsidRPr="00FD1551" w:rsidRDefault="00BB5697" w:rsidP="00BF7C4A">
            <w:pPr>
              <w:spacing w:line="360" w:lineRule="auto"/>
              <w:jc w:val="both"/>
              <w:rPr>
                <w:rFonts w:ascii="Arial" w:hAnsi="Arial"/>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775AFB" w14:textId="77777777" w:rsidR="00BB5697" w:rsidRPr="00FD1551" w:rsidRDefault="00BB5697" w:rsidP="00BF7C4A">
            <w:pPr>
              <w:spacing w:line="360" w:lineRule="auto"/>
              <w:jc w:val="both"/>
              <w:rPr>
                <w:rFonts w:ascii="Arial" w:hAnsi="Arial"/>
                <w:b/>
              </w:rPr>
            </w:pPr>
          </w:p>
        </w:tc>
      </w:tr>
      <w:tr w:rsidR="00BB5697" w:rsidRPr="00FD1551" w14:paraId="7F40929D" w14:textId="77777777" w:rsidTr="00BF7C4A">
        <w:tc>
          <w:tcPr>
            <w:tcW w:w="3652" w:type="dxa"/>
            <w:tcBorders>
              <w:top w:val="single" w:sz="4" w:space="0" w:color="auto"/>
              <w:left w:val="single" w:sz="4" w:space="0" w:color="auto"/>
              <w:bottom w:val="single" w:sz="4" w:space="0" w:color="auto"/>
              <w:right w:val="single" w:sz="4" w:space="0" w:color="auto"/>
            </w:tcBorders>
          </w:tcPr>
          <w:p w14:paraId="14FB4AF3" w14:textId="77777777" w:rsidR="00BB5697" w:rsidRPr="00FD1551" w:rsidRDefault="00BB5697" w:rsidP="00BF7C4A">
            <w:pPr>
              <w:spacing w:line="360" w:lineRule="auto"/>
              <w:jc w:val="both"/>
              <w:rPr>
                <w:rFonts w:ascii="Arial" w:hAnsi="Arial"/>
              </w:rPr>
            </w:pPr>
          </w:p>
        </w:tc>
        <w:tc>
          <w:tcPr>
            <w:tcW w:w="4992" w:type="dxa"/>
            <w:tcBorders>
              <w:top w:val="single" w:sz="4" w:space="0" w:color="auto"/>
              <w:left w:val="single" w:sz="4" w:space="0" w:color="auto"/>
              <w:bottom w:val="single" w:sz="4" w:space="0" w:color="auto"/>
              <w:right w:val="single" w:sz="4" w:space="0" w:color="auto"/>
            </w:tcBorders>
          </w:tcPr>
          <w:p w14:paraId="07771A82" w14:textId="77777777" w:rsidR="00BB5697" w:rsidRPr="00FD1551" w:rsidRDefault="00BB5697" w:rsidP="00BF7C4A">
            <w:pPr>
              <w:spacing w:line="360" w:lineRule="auto"/>
              <w:jc w:val="both"/>
              <w:rPr>
                <w:rFonts w:ascii="Arial" w:hAnsi="Arial"/>
              </w:rPr>
            </w:pPr>
          </w:p>
        </w:tc>
      </w:tr>
      <w:tr w:rsidR="00BB5697" w:rsidRPr="00FD1551" w14:paraId="4853D8D0" w14:textId="77777777" w:rsidTr="00BF7C4A">
        <w:tc>
          <w:tcPr>
            <w:tcW w:w="3652" w:type="dxa"/>
            <w:tcBorders>
              <w:top w:val="single" w:sz="4" w:space="0" w:color="auto"/>
              <w:left w:val="single" w:sz="4" w:space="0" w:color="auto"/>
              <w:bottom w:val="single" w:sz="4" w:space="0" w:color="auto"/>
              <w:right w:val="single" w:sz="4" w:space="0" w:color="auto"/>
            </w:tcBorders>
          </w:tcPr>
          <w:p w14:paraId="6B458360" w14:textId="77777777" w:rsidR="00BB5697" w:rsidRPr="00FD1551" w:rsidRDefault="00BB5697" w:rsidP="00BF7C4A">
            <w:pPr>
              <w:spacing w:line="360" w:lineRule="auto"/>
              <w:jc w:val="both"/>
              <w:rPr>
                <w:rFonts w:ascii="Arial" w:hAnsi="Arial"/>
              </w:rPr>
            </w:pPr>
          </w:p>
        </w:tc>
        <w:tc>
          <w:tcPr>
            <w:tcW w:w="4992" w:type="dxa"/>
            <w:tcBorders>
              <w:top w:val="single" w:sz="4" w:space="0" w:color="auto"/>
              <w:left w:val="single" w:sz="4" w:space="0" w:color="auto"/>
              <w:bottom w:val="single" w:sz="4" w:space="0" w:color="auto"/>
              <w:right w:val="single" w:sz="4" w:space="0" w:color="auto"/>
            </w:tcBorders>
          </w:tcPr>
          <w:p w14:paraId="64CDDAE8" w14:textId="77777777" w:rsidR="00BB5697" w:rsidRPr="00FD1551" w:rsidRDefault="00BB5697" w:rsidP="00BF7C4A">
            <w:pPr>
              <w:spacing w:line="360" w:lineRule="auto"/>
              <w:jc w:val="both"/>
              <w:rPr>
                <w:rFonts w:ascii="Arial" w:hAnsi="Arial"/>
              </w:rPr>
            </w:pPr>
          </w:p>
        </w:tc>
      </w:tr>
      <w:tr w:rsidR="00BB5697" w:rsidRPr="00FD1551" w14:paraId="3689DBBA" w14:textId="77777777" w:rsidTr="00BF7C4A">
        <w:tc>
          <w:tcPr>
            <w:tcW w:w="3652" w:type="dxa"/>
            <w:tcBorders>
              <w:top w:val="single" w:sz="4" w:space="0" w:color="auto"/>
              <w:left w:val="single" w:sz="4" w:space="0" w:color="auto"/>
              <w:bottom w:val="single" w:sz="4" w:space="0" w:color="auto"/>
              <w:right w:val="single" w:sz="4" w:space="0" w:color="auto"/>
            </w:tcBorders>
          </w:tcPr>
          <w:p w14:paraId="53B177EE" w14:textId="77777777" w:rsidR="00BB5697" w:rsidRPr="00FD1551" w:rsidRDefault="00BB5697" w:rsidP="00BF7C4A">
            <w:pPr>
              <w:spacing w:line="360" w:lineRule="auto"/>
              <w:jc w:val="both"/>
              <w:rPr>
                <w:rFonts w:ascii="Arial" w:hAnsi="Arial"/>
              </w:rPr>
            </w:pPr>
          </w:p>
        </w:tc>
        <w:tc>
          <w:tcPr>
            <w:tcW w:w="4992" w:type="dxa"/>
            <w:tcBorders>
              <w:top w:val="single" w:sz="4" w:space="0" w:color="auto"/>
              <w:left w:val="single" w:sz="4" w:space="0" w:color="auto"/>
              <w:bottom w:val="single" w:sz="4" w:space="0" w:color="auto"/>
              <w:right w:val="single" w:sz="4" w:space="0" w:color="auto"/>
            </w:tcBorders>
          </w:tcPr>
          <w:p w14:paraId="5A52D388" w14:textId="77777777" w:rsidR="00BB5697" w:rsidRPr="00FD1551" w:rsidRDefault="00BB5697" w:rsidP="00BF7C4A">
            <w:pPr>
              <w:spacing w:line="360" w:lineRule="auto"/>
              <w:jc w:val="both"/>
              <w:rPr>
                <w:rFonts w:ascii="Arial" w:hAnsi="Arial"/>
              </w:rPr>
            </w:pPr>
          </w:p>
        </w:tc>
      </w:tr>
    </w:tbl>
    <w:p w14:paraId="61BF47CF" w14:textId="77777777" w:rsidR="00BB5697" w:rsidRPr="00FD1551" w:rsidRDefault="00BB5697" w:rsidP="00BB5697">
      <w:pPr>
        <w:spacing w:after="0" w:line="360" w:lineRule="auto"/>
        <w:jc w:val="both"/>
        <w:rPr>
          <w:rFonts w:ascii="Arial" w:hAnsi="Arial"/>
          <w:sz w:val="20"/>
          <w:szCs w:val="20"/>
        </w:rPr>
      </w:pPr>
    </w:p>
    <w:p w14:paraId="0232B6DB" w14:textId="77777777" w:rsidR="00BB5697" w:rsidRPr="00FD1551" w:rsidRDefault="00BB5697" w:rsidP="00BB5697">
      <w:pPr>
        <w:spacing w:after="0" w:line="360" w:lineRule="auto"/>
        <w:jc w:val="both"/>
        <w:rPr>
          <w:rFonts w:ascii="Arial" w:hAnsi="Arial"/>
          <w:sz w:val="20"/>
          <w:szCs w:val="20"/>
        </w:rPr>
      </w:pPr>
      <w:r w:rsidRPr="00FD1551">
        <w:rPr>
          <w:rFonts w:ascii="Arial" w:hAnsi="Arial"/>
          <w:sz w:val="20"/>
          <w:szCs w:val="20"/>
        </w:rPr>
        <w:t xml:space="preserve">Os aportes periódicos foram estabelecidos por meio do art. </w:t>
      </w:r>
      <w:r w:rsidRPr="00EE7B86">
        <w:rPr>
          <w:rFonts w:ascii="Arial" w:hAnsi="Arial"/>
          <w:i/>
          <w:sz w:val="20"/>
          <w:szCs w:val="20"/>
        </w:rPr>
        <w:t>[XX]</w:t>
      </w:r>
      <w:r w:rsidRPr="00FD1551">
        <w:rPr>
          <w:rFonts w:ascii="Arial" w:hAnsi="Arial"/>
          <w:sz w:val="20"/>
          <w:szCs w:val="20"/>
        </w:rPr>
        <w:t xml:space="preserve"> da </w:t>
      </w:r>
      <w:r w:rsidRPr="00EE7B86">
        <w:rPr>
          <w:rFonts w:ascii="Arial" w:hAnsi="Arial"/>
          <w:i/>
          <w:sz w:val="20"/>
          <w:szCs w:val="20"/>
        </w:rPr>
        <w:t>[legislação]</w:t>
      </w:r>
      <w:r w:rsidRPr="00FD1551">
        <w:rPr>
          <w:rFonts w:ascii="Arial" w:hAnsi="Arial"/>
          <w:sz w:val="20"/>
          <w:szCs w:val="20"/>
        </w:rPr>
        <w:t xml:space="preserve">, pelo prazo de </w:t>
      </w:r>
      <w:r w:rsidRPr="00EE7B86">
        <w:rPr>
          <w:rFonts w:ascii="Arial" w:hAnsi="Arial"/>
          <w:i/>
          <w:sz w:val="20"/>
          <w:szCs w:val="20"/>
        </w:rPr>
        <w:t>[quantidade]</w:t>
      </w:r>
      <w:r w:rsidRPr="00FD1551">
        <w:rPr>
          <w:rFonts w:ascii="Arial" w:hAnsi="Arial"/>
          <w:sz w:val="20"/>
          <w:szCs w:val="20"/>
        </w:rPr>
        <w:t xml:space="preserve"> anos e nos seguintes valores:</w:t>
      </w:r>
    </w:p>
    <w:p w14:paraId="6E9D9D30" w14:textId="77777777" w:rsidR="00BB5697" w:rsidRPr="00FD1551" w:rsidRDefault="00BB5697" w:rsidP="00BB5697">
      <w:pPr>
        <w:spacing w:after="0" w:line="360" w:lineRule="auto"/>
        <w:jc w:val="both"/>
        <w:rPr>
          <w:rFonts w:ascii="Arial" w:hAnsi="Arial"/>
          <w:sz w:val="20"/>
          <w:szCs w:val="20"/>
        </w:rPr>
      </w:pPr>
    </w:p>
    <w:tbl>
      <w:tblPr>
        <w:tblStyle w:val="Tabelacomgrade"/>
        <w:tblW w:w="0" w:type="auto"/>
        <w:tblLook w:val="04A0" w:firstRow="1" w:lastRow="0" w:firstColumn="1" w:lastColumn="0" w:noHBand="0" w:noVBand="1"/>
      </w:tblPr>
      <w:tblGrid>
        <w:gridCol w:w="3652"/>
        <w:gridCol w:w="4992"/>
      </w:tblGrid>
      <w:tr w:rsidR="00BB5697" w:rsidRPr="00FD1551" w14:paraId="483A078C" w14:textId="77777777" w:rsidTr="00BF7C4A">
        <w:tc>
          <w:tcPr>
            <w:tcW w:w="8644" w:type="dxa"/>
            <w:gridSpan w:val="2"/>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hideMark/>
          </w:tcPr>
          <w:p w14:paraId="2FA42C08" w14:textId="77777777" w:rsidR="00BB5697" w:rsidRPr="00FD1551" w:rsidRDefault="00BB5697" w:rsidP="00BF7C4A">
            <w:pPr>
              <w:spacing w:line="360" w:lineRule="auto"/>
              <w:jc w:val="center"/>
              <w:rPr>
                <w:rFonts w:ascii="Arial" w:hAnsi="Arial"/>
                <w:b/>
              </w:rPr>
            </w:pPr>
            <w:r w:rsidRPr="00FD1551">
              <w:rPr>
                <w:rFonts w:ascii="Arial" w:hAnsi="Arial"/>
                <w:b/>
              </w:rPr>
              <w:t>PLANO DE AMORTIZAÇÃO POR MEIO DE APORTES PERÍODICOS</w:t>
            </w:r>
          </w:p>
        </w:tc>
      </w:tr>
      <w:tr w:rsidR="00BB5697" w:rsidRPr="00FD1551" w14:paraId="0ACC9C2A" w14:textId="77777777" w:rsidTr="00BF7C4A">
        <w:trPr>
          <w:trHeight w:val="552"/>
        </w:trPr>
        <w:tc>
          <w:tcPr>
            <w:tcW w:w="3652" w:type="dxa"/>
            <w:vMerge w:val="restar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hideMark/>
          </w:tcPr>
          <w:p w14:paraId="75405B20" w14:textId="77777777" w:rsidR="00BB5697" w:rsidRPr="00FD1551" w:rsidRDefault="00BB5697" w:rsidP="00BF7C4A">
            <w:pPr>
              <w:spacing w:line="360" w:lineRule="auto"/>
              <w:jc w:val="center"/>
              <w:rPr>
                <w:rFonts w:ascii="Arial" w:hAnsi="Arial"/>
                <w:b/>
              </w:rPr>
            </w:pPr>
            <w:r w:rsidRPr="00FD1551">
              <w:rPr>
                <w:rFonts w:ascii="Arial" w:hAnsi="Arial"/>
                <w:b/>
              </w:rPr>
              <w:t>Exercício</w:t>
            </w:r>
          </w:p>
        </w:tc>
        <w:tc>
          <w:tcPr>
            <w:tcW w:w="4992" w:type="dxa"/>
            <w:vMerge w:val="restar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hideMark/>
          </w:tcPr>
          <w:p w14:paraId="40F4CF97" w14:textId="77777777" w:rsidR="00BB5697" w:rsidRPr="00FD1551" w:rsidRDefault="00BB5697" w:rsidP="00BF7C4A">
            <w:pPr>
              <w:spacing w:line="360" w:lineRule="auto"/>
              <w:jc w:val="center"/>
              <w:rPr>
                <w:rFonts w:ascii="Arial" w:hAnsi="Arial"/>
                <w:b/>
              </w:rPr>
            </w:pPr>
            <w:r w:rsidRPr="00FD1551">
              <w:rPr>
                <w:rFonts w:ascii="Arial" w:hAnsi="Arial"/>
                <w:b/>
              </w:rPr>
              <w:t>Valores a Aportar</w:t>
            </w:r>
          </w:p>
        </w:tc>
      </w:tr>
      <w:tr w:rsidR="00BB5697" w:rsidRPr="00FD1551" w14:paraId="71D460A0" w14:textId="77777777" w:rsidTr="00BF7C4A">
        <w:trPr>
          <w:trHeight w:val="50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68FB599" w14:textId="77777777" w:rsidR="00BB5697" w:rsidRPr="00FD1551" w:rsidRDefault="00BB5697" w:rsidP="00BF7C4A">
            <w:pPr>
              <w:spacing w:line="360" w:lineRule="auto"/>
              <w:jc w:val="both"/>
              <w:rPr>
                <w:rFonts w:ascii="Arial" w:hAnsi="Arial"/>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368D38" w14:textId="77777777" w:rsidR="00BB5697" w:rsidRPr="00FD1551" w:rsidRDefault="00BB5697" w:rsidP="00BF7C4A">
            <w:pPr>
              <w:spacing w:line="360" w:lineRule="auto"/>
              <w:jc w:val="both"/>
              <w:rPr>
                <w:rFonts w:ascii="Arial" w:hAnsi="Arial"/>
                <w:b/>
              </w:rPr>
            </w:pPr>
          </w:p>
        </w:tc>
      </w:tr>
      <w:tr w:rsidR="00BB5697" w:rsidRPr="00FD1551" w14:paraId="1B75DA6F" w14:textId="77777777" w:rsidTr="00BF7C4A">
        <w:tc>
          <w:tcPr>
            <w:tcW w:w="3652" w:type="dxa"/>
            <w:tcBorders>
              <w:top w:val="single" w:sz="4" w:space="0" w:color="auto"/>
              <w:left w:val="single" w:sz="4" w:space="0" w:color="auto"/>
              <w:bottom w:val="single" w:sz="4" w:space="0" w:color="auto"/>
              <w:right w:val="single" w:sz="4" w:space="0" w:color="auto"/>
            </w:tcBorders>
          </w:tcPr>
          <w:p w14:paraId="7B8BDEAB" w14:textId="77777777" w:rsidR="00BB5697" w:rsidRPr="00FD1551" w:rsidRDefault="00BB5697" w:rsidP="00BF7C4A">
            <w:pPr>
              <w:spacing w:line="360" w:lineRule="auto"/>
              <w:jc w:val="both"/>
              <w:rPr>
                <w:rFonts w:ascii="Arial" w:hAnsi="Arial"/>
              </w:rPr>
            </w:pPr>
          </w:p>
        </w:tc>
        <w:tc>
          <w:tcPr>
            <w:tcW w:w="4992" w:type="dxa"/>
            <w:tcBorders>
              <w:top w:val="single" w:sz="4" w:space="0" w:color="auto"/>
              <w:left w:val="single" w:sz="4" w:space="0" w:color="auto"/>
              <w:bottom w:val="single" w:sz="4" w:space="0" w:color="auto"/>
              <w:right w:val="single" w:sz="4" w:space="0" w:color="auto"/>
            </w:tcBorders>
          </w:tcPr>
          <w:p w14:paraId="3FEA52C3" w14:textId="77777777" w:rsidR="00BB5697" w:rsidRPr="00FD1551" w:rsidRDefault="00BB5697" w:rsidP="00BF7C4A">
            <w:pPr>
              <w:spacing w:line="360" w:lineRule="auto"/>
              <w:jc w:val="both"/>
              <w:rPr>
                <w:rFonts w:ascii="Arial" w:hAnsi="Arial"/>
              </w:rPr>
            </w:pPr>
          </w:p>
        </w:tc>
      </w:tr>
      <w:tr w:rsidR="00BB5697" w:rsidRPr="00FD1551" w14:paraId="1C5B14EB" w14:textId="77777777" w:rsidTr="00BF7C4A">
        <w:tc>
          <w:tcPr>
            <w:tcW w:w="3652" w:type="dxa"/>
            <w:tcBorders>
              <w:top w:val="single" w:sz="4" w:space="0" w:color="auto"/>
              <w:left w:val="single" w:sz="4" w:space="0" w:color="auto"/>
              <w:bottom w:val="single" w:sz="4" w:space="0" w:color="auto"/>
              <w:right w:val="single" w:sz="4" w:space="0" w:color="auto"/>
            </w:tcBorders>
          </w:tcPr>
          <w:p w14:paraId="134994C4" w14:textId="77777777" w:rsidR="00BB5697" w:rsidRPr="00FD1551" w:rsidRDefault="00BB5697" w:rsidP="00BF7C4A">
            <w:pPr>
              <w:spacing w:line="360" w:lineRule="auto"/>
              <w:jc w:val="both"/>
              <w:rPr>
                <w:rFonts w:ascii="Arial" w:hAnsi="Arial"/>
              </w:rPr>
            </w:pPr>
          </w:p>
        </w:tc>
        <w:tc>
          <w:tcPr>
            <w:tcW w:w="4992" w:type="dxa"/>
            <w:tcBorders>
              <w:top w:val="single" w:sz="4" w:space="0" w:color="auto"/>
              <w:left w:val="single" w:sz="4" w:space="0" w:color="auto"/>
              <w:bottom w:val="single" w:sz="4" w:space="0" w:color="auto"/>
              <w:right w:val="single" w:sz="4" w:space="0" w:color="auto"/>
            </w:tcBorders>
          </w:tcPr>
          <w:p w14:paraId="08DCDEC6" w14:textId="77777777" w:rsidR="00BB5697" w:rsidRPr="00FD1551" w:rsidRDefault="00BB5697" w:rsidP="00BF7C4A">
            <w:pPr>
              <w:spacing w:line="360" w:lineRule="auto"/>
              <w:jc w:val="both"/>
              <w:rPr>
                <w:rFonts w:ascii="Arial" w:hAnsi="Arial"/>
              </w:rPr>
            </w:pPr>
          </w:p>
        </w:tc>
      </w:tr>
      <w:tr w:rsidR="00BB5697" w:rsidRPr="00FD1551" w14:paraId="7F9A709A" w14:textId="77777777" w:rsidTr="00BF7C4A">
        <w:tc>
          <w:tcPr>
            <w:tcW w:w="3652" w:type="dxa"/>
            <w:tcBorders>
              <w:top w:val="single" w:sz="4" w:space="0" w:color="auto"/>
              <w:left w:val="single" w:sz="4" w:space="0" w:color="auto"/>
              <w:bottom w:val="single" w:sz="4" w:space="0" w:color="auto"/>
              <w:right w:val="single" w:sz="4" w:space="0" w:color="auto"/>
            </w:tcBorders>
          </w:tcPr>
          <w:p w14:paraId="6D3E3DAE" w14:textId="77777777" w:rsidR="00BB5697" w:rsidRPr="00FD1551" w:rsidRDefault="00BB5697" w:rsidP="00BF7C4A">
            <w:pPr>
              <w:spacing w:line="360" w:lineRule="auto"/>
              <w:jc w:val="both"/>
              <w:rPr>
                <w:rFonts w:ascii="Arial" w:hAnsi="Arial"/>
              </w:rPr>
            </w:pPr>
          </w:p>
        </w:tc>
        <w:tc>
          <w:tcPr>
            <w:tcW w:w="4992" w:type="dxa"/>
            <w:tcBorders>
              <w:top w:val="single" w:sz="4" w:space="0" w:color="auto"/>
              <w:left w:val="single" w:sz="4" w:space="0" w:color="auto"/>
              <w:bottom w:val="single" w:sz="4" w:space="0" w:color="auto"/>
              <w:right w:val="single" w:sz="4" w:space="0" w:color="auto"/>
            </w:tcBorders>
          </w:tcPr>
          <w:p w14:paraId="07D132E7" w14:textId="77777777" w:rsidR="00BB5697" w:rsidRPr="00FD1551" w:rsidRDefault="00BB5697" w:rsidP="00BF7C4A">
            <w:pPr>
              <w:spacing w:line="360" w:lineRule="auto"/>
              <w:jc w:val="both"/>
              <w:rPr>
                <w:rFonts w:ascii="Arial" w:hAnsi="Arial"/>
              </w:rPr>
            </w:pPr>
          </w:p>
        </w:tc>
      </w:tr>
    </w:tbl>
    <w:p w14:paraId="62DEB5FC" w14:textId="77777777" w:rsidR="00BB5697" w:rsidRDefault="00BB5697" w:rsidP="00BB5697">
      <w:pPr>
        <w:spacing w:after="0" w:line="360" w:lineRule="auto"/>
        <w:jc w:val="both"/>
        <w:rPr>
          <w:sz w:val="20"/>
          <w:szCs w:val="20"/>
        </w:rPr>
      </w:pPr>
    </w:p>
    <w:tbl>
      <w:tblPr>
        <w:tblStyle w:val="Tabelacomgrade"/>
        <w:tblW w:w="0" w:type="auto"/>
        <w:tblLook w:val="04A0" w:firstRow="1" w:lastRow="0" w:firstColumn="1" w:lastColumn="0" w:noHBand="0" w:noVBand="1"/>
      </w:tblPr>
      <w:tblGrid>
        <w:gridCol w:w="3652"/>
        <w:gridCol w:w="4992"/>
      </w:tblGrid>
      <w:tr w:rsidR="00BB5697" w:rsidRPr="00FD1551" w14:paraId="19F02F1E" w14:textId="77777777" w:rsidTr="00BF7C4A">
        <w:tc>
          <w:tcPr>
            <w:tcW w:w="8644" w:type="dxa"/>
            <w:gridSpan w:val="2"/>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hideMark/>
          </w:tcPr>
          <w:p w14:paraId="14F87012" w14:textId="77777777" w:rsidR="00BB5697" w:rsidRPr="00FD1551" w:rsidRDefault="00BB5697" w:rsidP="00BF7C4A">
            <w:pPr>
              <w:spacing w:line="360" w:lineRule="auto"/>
              <w:jc w:val="center"/>
              <w:rPr>
                <w:rFonts w:ascii="Arial" w:hAnsi="Arial"/>
                <w:b/>
              </w:rPr>
            </w:pPr>
            <w:r w:rsidRPr="00FD1551">
              <w:rPr>
                <w:rFonts w:ascii="Arial" w:hAnsi="Arial"/>
                <w:b/>
              </w:rPr>
              <w:t>PLANO DE AMORTIZAÇÃO POR MEIO DE APORTES PERÍODICOS</w:t>
            </w:r>
          </w:p>
        </w:tc>
      </w:tr>
      <w:tr w:rsidR="00BB5697" w:rsidRPr="00FD1551" w14:paraId="42B75B63" w14:textId="77777777" w:rsidTr="00BF7C4A">
        <w:trPr>
          <w:trHeight w:val="907"/>
        </w:trPr>
        <w:tc>
          <w:tcPr>
            <w:tcW w:w="8644" w:type="dxa"/>
            <w:gridSpan w:val="2"/>
            <w:tcBorders>
              <w:top w:val="single" w:sz="4" w:space="0" w:color="auto"/>
              <w:left w:val="single" w:sz="4" w:space="0" w:color="auto"/>
              <w:right w:val="single" w:sz="4" w:space="0" w:color="auto"/>
            </w:tcBorders>
            <w:shd w:val="clear" w:color="auto" w:fill="FBD4B4" w:themeFill="accent6" w:themeFillTint="66"/>
            <w:vAlign w:val="center"/>
            <w:hideMark/>
          </w:tcPr>
          <w:p w14:paraId="2E4C5DCD" w14:textId="77777777" w:rsidR="00BB5697" w:rsidRPr="00FD1551" w:rsidRDefault="00BB5697" w:rsidP="00BF7C4A">
            <w:pPr>
              <w:spacing w:line="360" w:lineRule="auto"/>
              <w:jc w:val="both"/>
              <w:rPr>
                <w:rFonts w:ascii="Arial" w:hAnsi="Arial"/>
                <w:b/>
              </w:rPr>
            </w:pPr>
            <w:r>
              <w:rPr>
                <w:rFonts w:ascii="Arial" w:hAnsi="Arial"/>
                <w:b/>
              </w:rPr>
              <w:t>CONTA BANCÁRIA UTILIZADA PARA O RECEBIMENTO DOS APORTES ATUARIAIS, EM OBSERVÂNCIA À PORTARIA MPS Nº 746/2011</w:t>
            </w:r>
          </w:p>
        </w:tc>
      </w:tr>
      <w:tr w:rsidR="00BB5697" w:rsidRPr="00FD1551" w14:paraId="6954D45D" w14:textId="77777777" w:rsidTr="00BF7C4A">
        <w:tc>
          <w:tcPr>
            <w:tcW w:w="3652" w:type="dxa"/>
            <w:tcBorders>
              <w:top w:val="single" w:sz="4" w:space="0" w:color="auto"/>
              <w:left w:val="single" w:sz="4" w:space="0" w:color="auto"/>
              <w:bottom w:val="single" w:sz="4" w:space="0" w:color="auto"/>
              <w:right w:val="single" w:sz="4" w:space="0" w:color="auto"/>
            </w:tcBorders>
          </w:tcPr>
          <w:p w14:paraId="0F39BD9C" w14:textId="77777777" w:rsidR="00BB5697" w:rsidRPr="008126CA" w:rsidRDefault="00BB5697" w:rsidP="00BF7C4A">
            <w:pPr>
              <w:spacing w:line="360" w:lineRule="auto"/>
              <w:jc w:val="center"/>
              <w:rPr>
                <w:rFonts w:ascii="Arial" w:hAnsi="Arial"/>
                <w:b/>
              </w:rPr>
            </w:pPr>
            <w:r w:rsidRPr="008126CA">
              <w:rPr>
                <w:rFonts w:ascii="Arial" w:hAnsi="Arial"/>
                <w:b/>
              </w:rPr>
              <w:t>BANCO</w:t>
            </w:r>
          </w:p>
        </w:tc>
        <w:tc>
          <w:tcPr>
            <w:tcW w:w="4992" w:type="dxa"/>
            <w:tcBorders>
              <w:top w:val="single" w:sz="4" w:space="0" w:color="auto"/>
              <w:left w:val="single" w:sz="4" w:space="0" w:color="auto"/>
              <w:bottom w:val="single" w:sz="4" w:space="0" w:color="auto"/>
              <w:right w:val="single" w:sz="4" w:space="0" w:color="auto"/>
            </w:tcBorders>
          </w:tcPr>
          <w:p w14:paraId="352BB894" w14:textId="77777777" w:rsidR="00BB5697" w:rsidRPr="00FD1551" w:rsidRDefault="00BB5697" w:rsidP="00BF7C4A">
            <w:pPr>
              <w:spacing w:line="360" w:lineRule="auto"/>
              <w:jc w:val="both"/>
              <w:rPr>
                <w:rFonts w:ascii="Arial" w:hAnsi="Arial"/>
              </w:rPr>
            </w:pPr>
          </w:p>
        </w:tc>
      </w:tr>
      <w:tr w:rsidR="00BB5697" w:rsidRPr="00FD1551" w14:paraId="5590B349" w14:textId="77777777" w:rsidTr="00BF7C4A">
        <w:tc>
          <w:tcPr>
            <w:tcW w:w="3652" w:type="dxa"/>
            <w:tcBorders>
              <w:top w:val="single" w:sz="4" w:space="0" w:color="auto"/>
              <w:left w:val="single" w:sz="4" w:space="0" w:color="auto"/>
              <w:bottom w:val="single" w:sz="4" w:space="0" w:color="auto"/>
              <w:right w:val="single" w:sz="4" w:space="0" w:color="auto"/>
            </w:tcBorders>
          </w:tcPr>
          <w:p w14:paraId="7663E260" w14:textId="77777777" w:rsidR="00BB5697" w:rsidRPr="008126CA" w:rsidRDefault="00BB5697" w:rsidP="00BF7C4A">
            <w:pPr>
              <w:spacing w:line="360" w:lineRule="auto"/>
              <w:jc w:val="center"/>
              <w:rPr>
                <w:rFonts w:ascii="Arial" w:hAnsi="Arial"/>
                <w:b/>
              </w:rPr>
            </w:pPr>
            <w:r w:rsidRPr="008126CA">
              <w:rPr>
                <w:rFonts w:ascii="Arial" w:hAnsi="Arial"/>
                <w:b/>
              </w:rPr>
              <w:t>CONTA</w:t>
            </w:r>
          </w:p>
        </w:tc>
        <w:tc>
          <w:tcPr>
            <w:tcW w:w="4992" w:type="dxa"/>
            <w:tcBorders>
              <w:top w:val="single" w:sz="4" w:space="0" w:color="auto"/>
              <w:left w:val="single" w:sz="4" w:space="0" w:color="auto"/>
              <w:bottom w:val="single" w:sz="4" w:space="0" w:color="auto"/>
              <w:right w:val="single" w:sz="4" w:space="0" w:color="auto"/>
            </w:tcBorders>
          </w:tcPr>
          <w:p w14:paraId="70F080F9" w14:textId="77777777" w:rsidR="00BB5697" w:rsidRPr="00FD1551" w:rsidRDefault="00BB5697" w:rsidP="00BF7C4A">
            <w:pPr>
              <w:spacing w:line="360" w:lineRule="auto"/>
              <w:jc w:val="both"/>
              <w:rPr>
                <w:rFonts w:ascii="Arial" w:hAnsi="Arial"/>
              </w:rPr>
            </w:pPr>
          </w:p>
        </w:tc>
      </w:tr>
      <w:tr w:rsidR="00BB5697" w:rsidRPr="00FD1551" w14:paraId="6DBBF14E" w14:textId="77777777" w:rsidTr="00BF7C4A">
        <w:tc>
          <w:tcPr>
            <w:tcW w:w="3652" w:type="dxa"/>
            <w:tcBorders>
              <w:top w:val="single" w:sz="4" w:space="0" w:color="auto"/>
              <w:left w:val="single" w:sz="4" w:space="0" w:color="auto"/>
              <w:bottom w:val="single" w:sz="4" w:space="0" w:color="auto"/>
              <w:right w:val="single" w:sz="4" w:space="0" w:color="auto"/>
            </w:tcBorders>
          </w:tcPr>
          <w:p w14:paraId="2B3AE7D7" w14:textId="77777777" w:rsidR="00BB5697" w:rsidRPr="008126CA" w:rsidRDefault="00BB5697" w:rsidP="00BF7C4A">
            <w:pPr>
              <w:spacing w:line="360" w:lineRule="auto"/>
              <w:jc w:val="center"/>
              <w:rPr>
                <w:rFonts w:ascii="Arial" w:hAnsi="Arial"/>
                <w:b/>
              </w:rPr>
            </w:pPr>
            <w:r w:rsidRPr="008126CA">
              <w:rPr>
                <w:rFonts w:ascii="Arial" w:hAnsi="Arial"/>
                <w:b/>
              </w:rPr>
              <w:t>AGÊNCIA</w:t>
            </w:r>
          </w:p>
        </w:tc>
        <w:tc>
          <w:tcPr>
            <w:tcW w:w="4992" w:type="dxa"/>
            <w:tcBorders>
              <w:top w:val="single" w:sz="4" w:space="0" w:color="auto"/>
              <w:left w:val="single" w:sz="4" w:space="0" w:color="auto"/>
              <w:bottom w:val="single" w:sz="4" w:space="0" w:color="auto"/>
              <w:right w:val="single" w:sz="4" w:space="0" w:color="auto"/>
            </w:tcBorders>
          </w:tcPr>
          <w:p w14:paraId="0DDCE14D" w14:textId="77777777" w:rsidR="00BB5697" w:rsidRPr="00FD1551" w:rsidRDefault="00BB5697" w:rsidP="00BF7C4A">
            <w:pPr>
              <w:spacing w:line="360" w:lineRule="auto"/>
              <w:jc w:val="both"/>
              <w:rPr>
                <w:rFonts w:ascii="Arial" w:hAnsi="Arial"/>
              </w:rPr>
            </w:pPr>
          </w:p>
        </w:tc>
      </w:tr>
    </w:tbl>
    <w:p w14:paraId="5E252F3A" w14:textId="77777777" w:rsidR="00BB5697" w:rsidRPr="00FD1551" w:rsidRDefault="00BB5697" w:rsidP="00BB5697">
      <w:pPr>
        <w:spacing w:after="0" w:line="360" w:lineRule="auto"/>
        <w:jc w:val="both"/>
        <w:rPr>
          <w:sz w:val="20"/>
          <w:szCs w:val="20"/>
        </w:rPr>
      </w:pPr>
    </w:p>
    <w:p w14:paraId="5391A181" w14:textId="77777777" w:rsidR="00BB5697" w:rsidRPr="00FD1551" w:rsidRDefault="00BB5697" w:rsidP="00BB5697">
      <w:pPr>
        <w:spacing w:after="0" w:line="360" w:lineRule="auto"/>
        <w:jc w:val="both"/>
        <w:rPr>
          <w:rFonts w:ascii="Arial" w:hAnsi="Arial"/>
          <w:sz w:val="20"/>
          <w:szCs w:val="20"/>
        </w:rPr>
      </w:pPr>
      <w:r w:rsidRPr="00FD1551">
        <w:rPr>
          <w:rFonts w:ascii="Arial" w:hAnsi="Arial"/>
          <w:sz w:val="20"/>
          <w:szCs w:val="20"/>
        </w:rPr>
        <w:t xml:space="preserve">A segregação de massa foi estabelecida por meio do art. </w:t>
      </w:r>
      <w:r w:rsidRPr="00EE7B86">
        <w:rPr>
          <w:rFonts w:ascii="Arial" w:hAnsi="Arial"/>
          <w:i/>
          <w:sz w:val="20"/>
          <w:szCs w:val="20"/>
        </w:rPr>
        <w:t>[XX]</w:t>
      </w:r>
      <w:r w:rsidRPr="00FD1551">
        <w:rPr>
          <w:rFonts w:ascii="Arial" w:hAnsi="Arial"/>
          <w:sz w:val="20"/>
          <w:szCs w:val="20"/>
        </w:rPr>
        <w:t xml:space="preserve"> da </w:t>
      </w:r>
      <w:r w:rsidRPr="00EE7B86">
        <w:rPr>
          <w:rFonts w:ascii="Arial" w:hAnsi="Arial"/>
          <w:i/>
          <w:sz w:val="20"/>
          <w:szCs w:val="20"/>
        </w:rPr>
        <w:t>[legislação]</w:t>
      </w:r>
      <w:r w:rsidRPr="00FD1551">
        <w:rPr>
          <w:rFonts w:ascii="Arial" w:hAnsi="Arial"/>
          <w:sz w:val="20"/>
          <w:szCs w:val="20"/>
        </w:rPr>
        <w:t>, nos seguintes termos:</w:t>
      </w:r>
    </w:p>
    <w:p w14:paraId="14EDBF1D" w14:textId="77777777" w:rsidR="00BB5697" w:rsidRPr="00FD1551" w:rsidRDefault="00BB5697" w:rsidP="00BB5697">
      <w:pPr>
        <w:spacing w:after="0" w:line="360" w:lineRule="auto"/>
        <w:jc w:val="both"/>
        <w:rPr>
          <w:rFonts w:ascii="Arial" w:hAnsi="Arial"/>
          <w:sz w:val="20"/>
          <w:szCs w:val="20"/>
        </w:rPr>
      </w:pPr>
    </w:p>
    <w:tbl>
      <w:tblPr>
        <w:tblStyle w:val="Tabelacomgrade"/>
        <w:tblW w:w="0" w:type="auto"/>
        <w:tblLook w:val="04A0" w:firstRow="1" w:lastRow="0" w:firstColumn="1" w:lastColumn="0" w:noHBand="0" w:noVBand="1"/>
      </w:tblPr>
      <w:tblGrid>
        <w:gridCol w:w="2518"/>
        <w:gridCol w:w="2977"/>
        <w:gridCol w:w="3118"/>
      </w:tblGrid>
      <w:tr w:rsidR="00BB5697" w:rsidRPr="00FD1551" w14:paraId="6CBD62E2" w14:textId="77777777" w:rsidTr="00BF7C4A">
        <w:tc>
          <w:tcPr>
            <w:tcW w:w="8613" w:type="dxa"/>
            <w:gridSpan w:val="3"/>
            <w:tcBorders>
              <w:top w:val="single" w:sz="4" w:space="0" w:color="auto"/>
              <w:left w:val="single" w:sz="4" w:space="0" w:color="auto"/>
              <w:bottom w:val="single" w:sz="4" w:space="0" w:color="auto"/>
              <w:right w:val="single" w:sz="4" w:space="0" w:color="auto"/>
            </w:tcBorders>
            <w:shd w:val="clear" w:color="auto" w:fill="E5B8B7" w:themeFill="accent2" w:themeFillTint="66"/>
            <w:hideMark/>
          </w:tcPr>
          <w:p w14:paraId="7FC96890" w14:textId="77777777" w:rsidR="00BB5697" w:rsidRPr="00FD1551" w:rsidRDefault="00BB5697" w:rsidP="00BF7C4A">
            <w:pPr>
              <w:spacing w:line="360" w:lineRule="auto"/>
              <w:jc w:val="center"/>
              <w:rPr>
                <w:rFonts w:ascii="Arial" w:hAnsi="Arial"/>
                <w:b/>
              </w:rPr>
            </w:pPr>
            <w:r w:rsidRPr="00FD1551">
              <w:rPr>
                <w:rFonts w:ascii="Arial" w:hAnsi="Arial"/>
                <w:b/>
              </w:rPr>
              <w:t>SEGREGAÇÃO DE MASSA</w:t>
            </w:r>
          </w:p>
        </w:tc>
      </w:tr>
      <w:tr w:rsidR="00BB5697" w:rsidRPr="00FD1551" w14:paraId="6F4CAB48" w14:textId="77777777" w:rsidTr="00BF7C4A">
        <w:tc>
          <w:tcPr>
            <w:tcW w:w="2518" w:type="dxa"/>
            <w:tcBorders>
              <w:top w:val="single" w:sz="4" w:space="0" w:color="auto"/>
              <w:left w:val="single" w:sz="4" w:space="0" w:color="auto"/>
              <w:bottom w:val="single" w:sz="4" w:space="0" w:color="auto"/>
              <w:right w:val="single" w:sz="4" w:space="0" w:color="auto"/>
            </w:tcBorders>
            <w:shd w:val="clear" w:color="auto" w:fill="E5B8B7" w:themeFill="accent2" w:themeFillTint="66"/>
            <w:hideMark/>
          </w:tcPr>
          <w:p w14:paraId="38875AA2" w14:textId="77777777" w:rsidR="00BB5697" w:rsidRPr="00FD1551" w:rsidRDefault="00BB5697" w:rsidP="00BF7C4A">
            <w:pPr>
              <w:spacing w:line="360" w:lineRule="auto"/>
              <w:jc w:val="center"/>
              <w:rPr>
                <w:rFonts w:ascii="Arial" w:hAnsi="Arial"/>
                <w:b/>
              </w:rPr>
            </w:pPr>
            <w:r w:rsidRPr="00FD1551">
              <w:rPr>
                <w:rFonts w:ascii="Arial" w:hAnsi="Arial"/>
                <w:b/>
              </w:rPr>
              <w:t>Descrição</w:t>
            </w:r>
          </w:p>
        </w:tc>
        <w:tc>
          <w:tcPr>
            <w:tcW w:w="6095" w:type="dxa"/>
            <w:gridSpan w:val="2"/>
            <w:tcBorders>
              <w:top w:val="single" w:sz="4" w:space="0" w:color="auto"/>
              <w:left w:val="single" w:sz="4" w:space="0" w:color="auto"/>
              <w:bottom w:val="single" w:sz="4" w:space="0" w:color="auto"/>
              <w:right w:val="single" w:sz="4" w:space="0" w:color="auto"/>
            </w:tcBorders>
            <w:shd w:val="clear" w:color="auto" w:fill="E5B8B7" w:themeFill="accent2" w:themeFillTint="66"/>
            <w:hideMark/>
          </w:tcPr>
          <w:p w14:paraId="3BACCD4C" w14:textId="77777777" w:rsidR="00BB5697" w:rsidRPr="00FD1551" w:rsidRDefault="00BB5697" w:rsidP="00BF7C4A">
            <w:pPr>
              <w:spacing w:line="360" w:lineRule="auto"/>
              <w:jc w:val="center"/>
              <w:rPr>
                <w:rFonts w:ascii="Arial" w:hAnsi="Arial"/>
                <w:b/>
              </w:rPr>
            </w:pPr>
            <w:r w:rsidRPr="00FD1551">
              <w:rPr>
                <w:rFonts w:ascii="Arial" w:hAnsi="Arial"/>
                <w:b/>
              </w:rPr>
              <w:t>Base Legal</w:t>
            </w:r>
          </w:p>
        </w:tc>
      </w:tr>
      <w:tr w:rsidR="00BB5697" w:rsidRPr="00FD1551" w14:paraId="3DE9775E" w14:textId="77777777" w:rsidTr="00BF7C4A">
        <w:trPr>
          <w:trHeight w:val="230"/>
        </w:trPr>
        <w:tc>
          <w:tcPr>
            <w:tcW w:w="2518" w:type="dxa"/>
            <w:vMerge w:val="restart"/>
            <w:tcBorders>
              <w:top w:val="single" w:sz="4" w:space="0" w:color="auto"/>
              <w:left w:val="single" w:sz="4" w:space="0" w:color="auto"/>
              <w:right w:val="single" w:sz="4" w:space="0" w:color="auto"/>
            </w:tcBorders>
            <w:vAlign w:val="center"/>
            <w:hideMark/>
          </w:tcPr>
          <w:p w14:paraId="6B53DEB7" w14:textId="77777777" w:rsidR="00BB5697" w:rsidRPr="00FD1551" w:rsidRDefault="00BB5697" w:rsidP="00BF7C4A">
            <w:pPr>
              <w:spacing w:line="360" w:lineRule="auto"/>
              <w:jc w:val="center"/>
              <w:rPr>
                <w:rFonts w:ascii="Arial" w:hAnsi="Arial"/>
              </w:rPr>
            </w:pPr>
            <w:r w:rsidRPr="00FD1551">
              <w:rPr>
                <w:rFonts w:ascii="Arial" w:hAnsi="Arial"/>
              </w:rPr>
              <w:t>Critério de Corte</w:t>
            </w:r>
          </w:p>
        </w:tc>
        <w:tc>
          <w:tcPr>
            <w:tcW w:w="2977" w:type="dxa"/>
            <w:tcBorders>
              <w:top w:val="single" w:sz="4" w:space="0" w:color="auto"/>
              <w:left w:val="single" w:sz="4" w:space="0" w:color="auto"/>
              <w:bottom w:val="single" w:sz="4" w:space="0" w:color="auto"/>
              <w:right w:val="single" w:sz="4" w:space="0" w:color="auto"/>
            </w:tcBorders>
            <w:hideMark/>
          </w:tcPr>
          <w:p w14:paraId="0B941289" w14:textId="77777777" w:rsidR="00BB5697" w:rsidRPr="00FD1551" w:rsidRDefault="00BB5697" w:rsidP="00BF7C4A">
            <w:pPr>
              <w:spacing w:line="360" w:lineRule="auto"/>
              <w:jc w:val="both"/>
              <w:rPr>
                <w:rFonts w:ascii="Arial" w:hAnsi="Arial"/>
              </w:rPr>
            </w:pPr>
            <w:r w:rsidRPr="00FD1551">
              <w:rPr>
                <w:rFonts w:ascii="Arial" w:hAnsi="Arial"/>
              </w:rPr>
              <w:t>(  ) Ingresso do Segurado</w:t>
            </w:r>
          </w:p>
        </w:tc>
        <w:tc>
          <w:tcPr>
            <w:tcW w:w="3118" w:type="dxa"/>
            <w:tcBorders>
              <w:top w:val="single" w:sz="4" w:space="0" w:color="auto"/>
              <w:left w:val="single" w:sz="4" w:space="0" w:color="auto"/>
              <w:bottom w:val="single" w:sz="4" w:space="0" w:color="auto"/>
              <w:right w:val="single" w:sz="4" w:space="0" w:color="auto"/>
            </w:tcBorders>
          </w:tcPr>
          <w:p w14:paraId="4A97D594" w14:textId="77777777" w:rsidR="00BB5697" w:rsidRPr="00FD1551" w:rsidRDefault="00BB5697" w:rsidP="00BF7C4A">
            <w:pPr>
              <w:spacing w:line="360" w:lineRule="auto"/>
              <w:jc w:val="both"/>
              <w:rPr>
                <w:rFonts w:ascii="Arial" w:hAnsi="Arial"/>
              </w:rPr>
            </w:pPr>
            <w:r w:rsidRPr="00FD1551">
              <w:rPr>
                <w:rFonts w:ascii="Arial" w:hAnsi="Arial"/>
              </w:rPr>
              <w:t>__/__/____</w:t>
            </w:r>
          </w:p>
        </w:tc>
      </w:tr>
      <w:tr w:rsidR="00BB5697" w:rsidRPr="00FD1551" w14:paraId="179ECDF0" w14:textId="77777777" w:rsidTr="00BF7C4A">
        <w:trPr>
          <w:trHeight w:val="230"/>
        </w:trPr>
        <w:tc>
          <w:tcPr>
            <w:tcW w:w="2518" w:type="dxa"/>
            <w:vMerge/>
            <w:tcBorders>
              <w:left w:val="single" w:sz="4" w:space="0" w:color="auto"/>
              <w:right w:val="single" w:sz="4" w:space="0" w:color="auto"/>
            </w:tcBorders>
            <w:vAlign w:val="center"/>
          </w:tcPr>
          <w:p w14:paraId="40951A81" w14:textId="77777777" w:rsidR="00BB5697" w:rsidRPr="00FD1551" w:rsidRDefault="00BB5697" w:rsidP="00BF7C4A">
            <w:pPr>
              <w:spacing w:line="360" w:lineRule="auto"/>
              <w:jc w:val="center"/>
              <w:rPr>
                <w:rFonts w:ascii="Arial" w:hAnsi="Arial"/>
              </w:rPr>
            </w:pPr>
          </w:p>
        </w:tc>
        <w:tc>
          <w:tcPr>
            <w:tcW w:w="2977" w:type="dxa"/>
            <w:tcBorders>
              <w:top w:val="single" w:sz="4" w:space="0" w:color="auto"/>
              <w:left w:val="single" w:sz="4" w:space="0" w:color="auto"/>
              <w:bottom w:val="single" w:sz="4" w:space="0" w:color="auto"/>
              <w:right w:val="single" w:sz="4" w:space="0" w:color="auto"/>
            </w:tcBorders>
          </w:tcPr>
          <w:p w14:paraId="33269A09" w14:textId="77777777" w:rsidR="00BB5697" w:rsidRPr="00FD1551" w:rsidRDefault="00BB5697" w:rsidP="00BF7C4A">
            <w:pPr>
              <w:spacing w:line="360" w:lineRule="auto"/>
              <w:jc w:val="both"/>
              <w:rPr>
                <w:rFonts w:ascii="Arial" w:hAnsi="Arial"/>
              </w:rPr>
            </w:pPr>
            <w:r w:rsidRPr="00FD1551">
              <w:rPr>
                <w:rFonts w:ascii="Arial" w:hAnsi="Arial"/>
              </w:rPr>
              <w:t>(  ) Idade do Segurado</w:t>
            </w:r>
          </w:p>
        </w:tc>
        <w:tc>
          <w:tcPr>
            <w:tcW w:w="3118" w:type="dxa"/>
            <w:tcBorders>
              <w:top w:val="single" w:sz="4" w:space="0" w:color="auto"/>
              <w:left w:val="single" w:sz="4" w:space="0" w:color="auto"/>
              <w:bottom w:val="single" w:sz="4" w:space="0" w:color="auto"/>
              <w:right w:val="single" w:sz="4" w:space="0" w:color="auto"/>
            </w:tcBorders>
          </w:tcPr>
          <w:p w14:paraId="6AF01692" w14:textId="77777777" w:rsidR="00BB5697" w:rsidRPr="00FD1551" w:rsidRDefault="00BB5697" w:rsidP="00BF7C4A">
            <w:pPr>
              <w:spacing w:line="360" w:lineRule="auto"/>
              <w:jc w:val="both"/>
              <w:rPr>
                <w:rFonts w:ascii="Arial" w:hAnsi="Arial"/>
              </w:rPr>
            </w:pPr>
            <w:r w:rsidRPr="00FD1551">
              <w:rPr>
                <w:rFonts w:ascii="Arial" w:hAnsi="Arial"/>
              </w:rPr>
              <w:t>[XX] anos</w:t>
            </w:r>
          </w:p>
        </w:tc>
      </w:tr>
      <w:tr w:rsidR="00BB5697" w:rsidRPr="00FD1551" w14:paraId="30782C27" w14:textId="77777777" w:rsidTr="00BF7C4A">
        <w:trPr>
          <w:trHeight w:val="230"/>
        </w:trPr>
        <w:tc>
          <w:tcPr>
            <w:tcW w:w="2518" w:type="dxa"/>
            <w:vMerge/>
            <w:tcBorders>
              <w:left w:val="single" w:sz="4" w:space="0" w:color="auto"/>
              <w:right w:val="single" w:sz="4" w:space="0" w:color="auto"/>
            </w:tcBorders>
            <w:vAlign w:val="center"/>
          </w:tcPr>
          <w:p w14:paraId="424F1D12" w14:textId="77777777" w:rsidR="00BB5697" w:rsidRPr="00FD1551" w:rsidRDefault="00BB5697" w:rsidP="00BF7C4A">
            <w:pPr>
              <w:spacing w:line="360" w:lineRule="auto"/>
              <w:jc w:val="center"/>
              <w:rPr>
                <w:rFonts w:ascii="Arial" w:hAnsi="Arial"/>
              </w:rPr>
            </w:pPr>
          </w:p>
        </w:tc>
        <w:tc>
          <w:tcPr>
            <w:tcW w:w="2977" w:type="dxa"/>
            <w:tcBorders>
              <w:top w:val="single" w:sz="4" w:space="0" w:color="auto"/>
              <w:left w:val="single" w:sz="4" w:space="0" w:color="auto"/>
              <w:bottom w:val="single" w:sz="4" w:space="0" w:color="auto"/>
              <w:right w:val="single" w:sz="4" w:space="0" w:color="auto"/>
            </w:tcBorders>
          </w:tcPr>
          <w:p w14:paraId="701B0DCF" w14:textId="77777777" w:rsidR="00BB5697" w:rsidRPr="00FD1551" w:rsidRDefault="00BB5697" w:rsidP="00BF7C4A">
            <w:pPr>
              <w:spacing w:line="360" w:lineRule="auto"/>
              <w:jc w:val="both"/>
              <w:rPr>
                <w:rFonts w:ascii="Arial" w:hAnsi="Arial"/>
              </w:rPr>
            </w:pPr>
            <w:r w:rsidRPr="00FD1551">
              <w:rPr>
                <w:rFonts w:ascii="Arial" w:hAnsi="Arial"/>
              </w:rPr>
              <w:t>(  ) Condição do Segurado</w:t>
            </w:r>
          </w:p>
        </w:tc>
        <w:tc>
          <w:tcPr>
            <w:tcW w:w="3118" w:type="dxa"/>
            <w:tcBorders>
              <w:top w:val="single" w:sz="4" w:space="0" w:color="auto"/>
              <w:left w:val="single" w:sz="4" w:space="0" w:color="auto"/>
              <w:bottom w:val="single" w:sz="4" w:space="0" w:color="auto"/>
              <w:right w:val="single" w:sz="4" w:space="0" w:color="auto"/>
            </w:tcBorders>
          </w:tcPr>
          <w:p w14:paraId="58EDA8F9" w14:textId="77777777" w:rsidR="00BB5697" w:rsidRPr="00FD1551" w:rsidRDefault="00BB5697" w:rsidP="00BF7C4A">
            <w:pPr>
              <w:spacing w:line="360" w:lineRule="auto"/>
              <w:jc w:val="both"/>
              <w:rPr>
                <w:rFonts w:ascii="Arial" w:hAnsi="Arial"/>
              </w:rPr>
            </w:pPr>
            <w:r w:rsidRPr="00FD1551">
              <w:rPr>
                <w:rFonts w:ascii="Arial" w:hAnsi="Arial"/>
              </w:rPr>
              <w:t>Ativo / Inativo / Pensionista</w:t>
            </w:r>
          </w:p>
        </w:tc>
      </w:tr>
      <w:tr w:rsidR="00BB5697" w:rsidRPr="00FD1551" w14:paraId="7EACF67C" w14:textId="77777777" w:rsidTr="00BF7C4A">
        <w:trPr>
          <w:trHeight w:val="230"/>
        </w:trPr>
        <w:tc>
          <w:tcPr>
            <w:tcW w:w="2518" w:type="dxa"/>
            <w:vMerge/>
            <w:tcBorders>
              <w:left w:val="single" w:sz="4" w:space="0" w:color="auto"/>
              <w:bottom w:val="single" w:sz="4" w:space="0" w:color="auto"/>
              <w:right w:val="single" w:sz="4" w:space="0" w:color="auto"/>
            </w:tcBorders>
            <w:vAlign w:val="center"/>
          </w:tcPr>
          <w:p w14:paraId="0D42A9E4" w14:textId="77777777" w:rsidR="00BB5697" w:rsidRPr="00FD1551" w:rsidRDefault="00BB5697" w:rsidP="00BF7C4A">
            <w:pPr>
              <w:spacing w:line="360" w:lineRule="auto"/>
              <w:jc w:val="center"/>
              <w:rPr>
                <w:rFonts w:ascii="Arial" w:hAnsi="Arial"/>
              </w:rPr>
            </w:pPr>
          </w:p>
        </w:tc>
        <w:tc>
          <w:tcPr>
            <w:tcW w:w="2977" w:type="dxa"/>
            <w:tcBorders>
              <w:top w:val="single" w:sz="4" w:space="0" w:color="auto"/>
              <w:left w:val="single" w:sz="4" w:space="0" w:color="auto"/>
              <w:bottom w:val="single" w:sz="4" w:space="0" w:color="auto"/>
              <w:right w:val="single" w:sz="4" w:space="0" w:color="auto"/>
            </w:tcBorders>
          </w:tcPr>
          <w:p w14:paraId="517C3B83" w14:textId="77777777" w:rsidR="00BB5697" w:rsidRPr="00FD1551" w:rsidRDefault="00BB5697" w:rsidP="00BF7C4A">
            <w:pPr>
              <w:spacing w:line="360" w:lineRule="auto"/>
              <w:jc w:val="both"/>
              <w:rPr>
                <w:rFonts w:ascii="Arial" w:hAnsi="Arial"/>
              </w:rPr>
            </w:pPr>
            <w:r w:rsidRPr="00FD1551">
              <w:rPr>
                <w:rFonts w:ascii="Arial" w:hAnsi="Arial"/>
              </w:rPr>
              <w:t>(  ) Outro</w:t>
            </w:r>
          </w:p>
        </w:tc>
        <w:tc>
          <w:tcPr>
            <w:tcW w:w="3118" w:type="dxa"/>
            <w:tcBorders>
              <w:top w:val="single" w:sz="4" w:space="0" w:color="auto"/>
              <w:left w:val="single" w:sz="4" w:space="0" w:color="auto"/>
              <w:bottom w:val="single" w:sz="4" w:space="0" w:color="auto"/>
              <w:right w:val="single" w:sz="4" w:space="0" w:color="auto"/>
            </w:tcBorders>
          </w:tcPr>
          <w:p w14:paraId="2603E676" w14:textId="77777777" w:rsidR="00BB5697" w:rsidRPr="00FD1551" w:rsidRDefault="00BB5697" w:rsidP="00BF7C4A">
            <w:pPr>
              <w:spacing w:line="360" w:lineRule="auto"/>
              <w:jc w:val="both"/>
              <w:rPr>
                <w:rFonts w:ascii="Arial" w:hAnsi="Arial"/>
              </w:rPr>
            </w:pPr>
            <w:r w:rsidRPr="00FD1551">
              <w:rPr>
                <w:rFonts w:ascii="Arial" w:hAnsi="Arial"/>
              </w:rPr>
              <w:t>[especificar]</w:t>
            </w:r>
          </w:p>
        </w:tc>
      </w:tr>
    </w:tbl>
    <w:p w14:paraId="4C78E709" w14:textId="77777777" w:rsidR="00BB5697" w:rsidRPr="00FD1551" w:rsidRDefault="00BB5697" w:rsidP="00BB5697">
      <w:pPr>
        <w:spacing w:after="0" w:line="360" w:lineRule="auto"/>
        <w:jc w:val="both"/>
        <w:rPr>
          <w:sz w:val="20"/>
          <w:szCs w:val="20"/>
        </w:rPr>
      </w:pPr>
    </w:p>
    <w:p w14:paraId="55442500" w14:textId="77777777" w:rsidR="00BB5697" w:rsidRPr="00FD1551" w:rsidRDefault="00BB5697" w:rsidP="00BB5697">
      <w:pPr>
        <w:spacing w:after="0" w:line="360" w:lineRule="auto"/>
        <w:jc w:val="both"/>
        <w:rPr>
          <w:rFonts w:ascii="Arial" w:hAnsi="Arial"/>
          <w:sz w:val="20"/>
          <w:szCs w:val="20"/>
        </w:rPr>
      </w:pPr>
    </w:p>
    <w:p w14:paraId="324C5DF2" w14:textId="77777777" w:rsidR="00BB5697" w:rsidRPr="00FD1551" w:rsidRDefault="00BB5697" w:rsidP="00BB5697">
      <w:pPr>
        <w:spacing w:after="0" w:line="360" w:lineRule="auto"/>
        <w:jc w:val="both"/>
        <w:rPr>
          <w:rFonts w:ascii="Arial" w:hAnsi="Arial"/>
          <w:sz w:val="20"/>
          <w:szCs w:val="20"/>
        </w:rPr>
      </w:pPr>
      <w:r w:rsidRPr="00FD1551">
        <w:rPr>
          <w:rFonts w:ascii="Arial" w:hAnsi="Arial"/>
          <w:sz w:val="20"/>
          <w:szCs w:val="20"/>
        </w:rPr>
        <w:t xml:space="preserve">Município/ES,  __ / dezembro / [exercício de competência da </w:t>
      </w:r>
      <w:r>
        <w:rPr>
          <w:rFonts w:ascii="Arial" w:hAnsi="Arial"/>
          <w:sz w:val="20"/>
          <w:szCs w:val="20"/>
        </w:rPr>
        <w:t>PCA</w:t>
      </w:r>
      <w:r w:rsidRPr="00FD1551">
        <w:rPr>
          <w:rFonts w:ascii="Arial" w:hAnsi="Arial"/>
          <w:sz w:val="20"/>
          <w:szCs w:val="20"/>
        </w:rPr>
        <w:t>]</w:t>
      </w:r>
    </w:p>
    <w:p w14:paraId="36BCEACD" w14:textId="77777777" w:rsidR="00BB5697" w:rsidRPr="00FD1551" w:rsidRDefault="00BB5697" w:rsidP="00BB5697">
      <w:pPr>
        <w:spacing w:after="0" w:line="360" w:lineRule="auto"/>
        <w:jc w:val="both"/>
        <w:rPr>
          <w:rFonts w:ascii="Arial" w:hAnsi="Arial"/>
          <w:sz w:val="20"/>
          <w:szCs w:val="20"/>
        </w:rPr>
      </w:pPr>
    </w:p>
    <w:p w14:paraId="088884CE" w14:textId="77777777" w:rsidR="00BB5697" w:rsidRPr="00FD1551" w:rsidRDefault="00BB5697" w:rsidP="00BB5697">
      <w:pPr>
        <w:spacing w:after="0" w:line="360" w:lineRule="auto"/>
        <w:jc w:val="both"/>
        <w:rPr>
          <w:rFonts w:ascii="Arial" w:hAnsi="Arial"/>
          <w:sz w:val="20"/>
          <w:szCs w:val="20"/>
        </w:rPr>
      </w:pPr>
    </w:p>
    <w:p w14:paraId="785B8D80" w14:textId="77777777" w:rsidR="00BB5697" w:rsidRPr="00FD1551" w:rsidRDefault="00BB5697" w:rsidP="00BB5697">
      <w:pPr>
        <w:spacing w:after="0" w:line="360" w:lineRule="auto"/>
        <w:jc w:val="both"/>
        <w:rPr>
          <w:rFonts w:ascii="Arial" w:hAnsi="Arial"/>
          <w:sz w:val="20"/>
          <w:szCs w:val="20"/>
        </w:rPr>
      </w:pPr>
    </w:p>
    <w:p w14:paraId="6B507051" w14:textId="77777777" w:rsidR="00BB5697" w:rsidRPr="00FD1551" w:rsidRDefault="00BB5697" w:rsidP="00BB5697">
      <w:pPr>
        <w:spacing w:after="0" w:line="360" w:lineRule="auto"/>
        <w:jc w:val="center"/>
        <w:rPr>
          <w:rFonts w:ascii="Arial" w:hAnsi="Arial"/>
          <w:sz w:val="20"/>
          <w:szCs w:val="20"/>
        </w:rPr>
      </w:pPr>
      <w:r w:rsidRPr="00FD1551">
        <w:rPr>
          <w:rFonts w:ascii="Arial" w:hAnsi="Arial"/>
          <w:sz w:val="20"/>
          <w:szCs w:val="20"/>
        </w:rPr>
        <w:t>__________________________</w:t>
      </w:r>
    </w:p>
    <w:p w14:paraId="07F1C758" w14:textId="77777777" w:rsidR="00BB5697" w:rsidRPr="00FD1551" w:rsidRDefault="00BB5697" w:rsidP="00BB5697">
      <w:pPr>
        <w:spacing w:after="0" w:line="360" w:lineRule="auto"/>
        <w:jc w:val="center"/>
        <w:rPr>
          <w:rFonts w:ascii="Arial" w:hAnsi="Arial"/>
          <w:sz w:val="20"/>
          <w:szCs w:val="20"/>
        </w:rPr>
      </w:pPr>
      <w:r w:rsidRPr="00FD1551">
        <w:rPr>
          <w:rFonts w:ascii="Arial" w:hAnsi="Arial"/>
          <w:sz w:val="20"/>
          <w:szCs w:val="20"/>
        </w:rPr>
        <w:t>Assinatura do Gestor do RPPS</w:t>
      </w:r>
    </w:p>
    <w:p w14:paraId="61792E71" w14:textId="77777777" w:rsidR="00BB5697" w:rsidRPr="00FD1551" w:rsidRDefault="00BB5697" w:rsidP="00BB5697">
      <w:pPr>
        <w:spacing w:after="0" w:line="360" w:lineRule="auto"/>
        <w:jc w:val="center"/>
        <w:rPr>
          <w:rFonts w:ascii="Arial" w:hAnsi="Arial"/>
          <w:b/>
          <w:sz w:val="20"/>
          <w:szCs w:val="20"/>
        </w:rPr>
      </w:pPr>
    </w:p>
    <w:p w14:paraId="00F79D17" w14:textId="77777777" w:rsidR="00BB5697" w:rsidRPr="00FD1551" w:rsidRDefault="00BB5697" w:rsidP="00BB5697">
      <w:pPr>
        <w:spacing w:after="0" w:line="360" w:lineRule="auto"/>
        <w:jc w:val="both"/>
        <w:rPr>
          <w:rFonts w:ascii="Arial" w:hAnsi="Arial"/>
          <w:sz w:val="20"/>
          <w:szCs w:val="20"/>
        </w:rPr>
      </w:pPr>
    </w:p>
    <w:p w14:paraId="36522E62" w14:textId="77777777" w:rsidR="00BB5697" w:rsidRPr="00FD1551" w:rsidRDefault="00BB5697" w:rsidP="00BB5697">
      <w:pPr>
        <w:rPr>
          <w:rFonts w:ascii="Arial" w:hAnsi="Arial" w:cs="Arial"/>
          <w:b/>
          <w:sz w:val="28"/>
          <w:szCs w:val="28"/>
        </w:rPr>
      </w:pPr>
    </w:p>
    <w:p w14:paraId="09CA33D5" w14:textId="4434C96D" w:rsidR="00BB5697" w:rsidRDefault="00BB5697" w:rsidP="00BB5697">
      <w:pPr>
        <w:rPr>
          <w:rFonts w:ascii="Arial" w:hAnsi="Arial" w:cs="Arial"/>
          <w:b/>
          <w:sz w:val="28"/>
          <w:szCs w:val="28"/>
        </w:rPr>
      </w:pPr>
      <w:r w:rsidRPr="00FD1551">
        <w:rPr>
          <w:rFonts w:ascii="Arial" w:hAnsi="Arial" w:cs="Arial"/>
          <w:b/>
          <w:sz w:val="28"/>
          <w:szCs w:val="28"/>
        </w:rPr>
        <w:br w:type="page"/>
      </w:r>
    </w:p>
    <w:p w14:paraId="38203C74" w14:textId="62F29374" w:rsidR="00BF7C4A" w:rsidRPr="00FD1551" w:rsidRDefault="00BF7C4A" w:rsidP="00BF7C4A">
      <w:pPr>
        <w:pStyle w:val="Ttulo3"/>
      </w:pPr>
      <w:bookmarkStart w:id="84" w:name="_Toc94806356"/>
      <w:r w:rsidRPr="00BF7C4A">
        <w:lastRenderedPageBreak/>
        <w:t>DELQUIT</w:t>
      </w:r>
      <w:bookmarkEnd w:id="84"/>
    </w:p>
    <w:p w14:paraId="1DDB78C2" w14:textId="77777777" w:rsidR="00BB5697" w:rsidRPr="00FD1551" w:rsidRDefault="00BB5697" w:rsidP="00BB5697">
      <w:pPr>
        <w:spacing w:after="0" w:line="360" w:lineRule="auto"/>
        <w:jc w:val="center"/>
        <w:rPr>
          <w:rFonts w:ascii="Arial" w:hAnsi="Arial" w:cs="Arial"/>
          <w:b/>
        </w:rPr>
      </w:pPr>
      <w:r w:rsidRPr="00FD1551">
        <w:rPr>
          <w:rFonts w:ascii="Arial" w:hAnsi="Arial" w:cs="Arial"/>
          <w:b/>
        </w:rPr>
        <w:t>DECLARAÇÃO DE QUITAÇÃO</w:t>
      </w:r>
    </w:p>
    <w:tbl>
      <w:tblPr>
        <w:tblW w:w="8505" w:type="dxa"/>
        <w:tblInd w:w="7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8505"/>
      </w:tblGrid>
      <w:tr w:rsidR="00BB5697" w:rsidRPr="00FD1551" w14:paraId="31D219C8" w14:textId="77777777" w:rsidTr="00BF7C4A">
        <w:trPr>
          <w:trHeight w:val="283"/>
        </w:trPr>
        <w:tc>
          <w:tcPr>
            <w:tcW w:w="8505" w:type="dxa"/>
          </w:tcPr>
          <w:p w14:paraId="07B47AA7"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b/>
                <w:bCs/>
                <w:color w:val="000000"/>
                <w:sz w:val="16"/>
                <w:szCs w:val="16"/>
                <w:lang w:eastAsia="pt-BR"/>
              </w:rPr>
              <w:t>IDENTIFICAÇÃO:</w:t>
            </w:r>
            <w:r w:rsidRPr="00FD1551">
              <w:rPr>
                <w:rFonts w:ascii="Arial" w:eastAsia="Times New Roman" w:hAnsi="Arial" w:cs="Arial"/>
                <w:color w:val="000000"/>
                <w:sz w:val="16"/>
                <w:szCs w:val="16"/>
                <w:lang w:eastAsia="pt-BR"/>
              </w:rPr>
              <w:t> </w:t>
            </w:r>
          </w:p>
        </w:tc>
      </w:tr>
      <w:tr w:rsidR="00BB5697" w:rsidRPr="00FD1551" w14:paraId="3561AF07" w14:textId="77777777" w:rsidTr="00BF7C4A">
        <w:trPr>
          <w:trHeight w:val="283"/>
        </w:trPr>
        <w:tc>
          <w:tcPr>
            <w:tcW w:w="8505" w:type="dxa"/>
            <w:shd w:val="clear" w:color="auto" w:fill="auto"/>
            <w:noWrap/>
            <w:vAlign w:val="bottom"/>
            <w:hideMark/>
          </w:tcPr>
          <w:p w14:paraId="6433E193"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EXERCÍCIO:</w:t>
            </w:r>
          </w:p>
        </w:tc>
      </w:tr>
    </w:tbl>
    <w:p w14:paraId="7F846539" w14:textId="77777777" w:rsidR="00BB5697" w:rsidRPr="00FD1551" w:rsidRDefault="00BB5697" w:rsidP="00BB5697">
      <w:pPr>
        <w:spacing w:after="0" w:line="360" w:lineRule="auto"/>
        <w:jc w:val="both"/>
        <w:rPr>
          <w:rFonts w:ascii="Arial" w:hAnsi="Arial" w:cs="Arial"/>
        </w:rPr>
      </w:pPr>
    </w:p>
    <w:p w14:paraId="152C3911" w14:textId="77777777" w:rsidR="00BB5697" w:rsidRPr="00FD1551" w:rsidRDefault="00BB5697" w:rsidP="00BB5697">
      <w:pPr>
        <w:spacing w:after="0" w:line="360" w:lineRule="auto"/>
        <w:jc w:val="both"/>
        <w:rPr>
          <w:rFonts w:ascii="Arial" w:hAnsi="Arial" w:cs="Arial"/>
        </w:rPr>
      </w:pPr>
      <w:r w:rsidRPr="00FD1551">
        <w:rPr>
          <w:rFonts w:ascii="Arial" w:hAnsi="Arial" w:cs="Arial"/>
        </w:rPr>
        <w:t xml:space="preserve">Declaro, na forma da lei e para todos os fins de direito, que a unidade gestora do [RPPS], </w:t>
      </w:r>
      <w:r w:rsidRPr="00FD1551">
        <w:rPr>
          <w:rFonts w:ascii="Arial" w:hAnsi="Arial" w:cs="Arial"/>
          <w:b/>
        </w:rPr>
        <w:t>recebeu</w:t>
      </w:r>
      <w:r w:rsidRPr="00FD1551">
        <w:rPr>
          <w:rFonts w:ascii="Arial" w:hAnsi="Arial" w:cs="Arial"/>
        </w:rPr>
        <w:t xml:space="preserve"> todas as contribuições patronais e dos servidores, inclusive dos cedidos, da competência do exercício de [competência da PCA], vincendas no exercício, de todos os órgãos e entidades da administração pública.</w:t>
      </w:r>
    </w:p>
    <w:p w14:paraId="5C95F04E" w14:textId="77777777" w:rsidR="00BB5697" w:rsidRPr="00FD1551" w:rsidRDefault="00BB5697" w:rsidP="00BB5697">
      <w:pPr>
        <w:spacing w:after="0" w:line="360" w:lineRule="auto"/>
        <w:jc w:val="both"/>
        <w:rPr>
          <w:rFonts w:ascii="Arial" w:hAnsi="Arial" w:cs="Arial"/>
        </w:rPr>
      </w:pPr>
    </w:p>
    <w:p w14:paraId="7F30C3D6" w14:textId="77777777" w:rsidR="00BB5697" w:rsidRPr="00FD1551" w:rsidRDefault="00BB5697" w:rsidP="00BB5697">
      <w:pPr>
        <w:spacing w:after="0" w:line="360" w:lineRule="auto"/>
        <w:jc w:val="both"/>
        <w:rPr>
          <w:rFonts w:ascii="Arial" w:hAnsi="Arial" w:cs="Arial"/>
        </w:rPr>
      </w:pPr>
      <w:r w:rsidRPr="00FD1551">
        <w:rPr>
          <w:rFonts w:ascii="Arial" w:hAnsi="Arial" w:cs="Arial"/>
        </w:rPr>
        <w:t>Ressalta-se que as contribuições, patronal e dos servidores, inclusive dos cedidos, da competência do mês de dezembro de [exercício da PCA] que totalizou R$ [valor das contribuições], foram reconhecidas como Direito a Receber</w:t>
      </w:r>
      <w:r w:rsidRPr="00FD1551">
        <w:rPr>
          <w:sz w:val="32"/>
          <w:vertAlign w:val="superscript"/>
        </w:rPr>
        <w:footnoteReference w:id="19"/>
      </w:r>
      <w:r w:rsidRPr="00FD1551">
        <w:rPr>
          <w:rFonts w:ascii="Arial" w:hAnsi="Arial" w:cs="Arial"/>
        </w:rPr>
        <w:t>, tendo em vista o art. XX da lei nº [legislação], estabelecer seu vencimento em [data de vencimento da obrigação].</w:t>
      </w:r>
    </w:p>
    <w:p w14:paraId="0CD5F157" w14:textId="77777777" w:rsidR="00BB5697" w:rsidRPr="00FD1551" w:rsidRDefault="00BB5697" w:rsidP="00BB5697">
      <w:pPr>
        <w:spacing w:after="0" w:line="360" w:lineRule="auto"/>
        <w:jc w:val="both"/>
        <w:rPr>
          <w:rFonts w:ascii="Arial" w:hAnsi="Arial" w:cs="Arial"/>
        </w:rPr>
      </w:pPr>
    </w:p>
    <w:p w14:paraId="06984F2E" w14:textId="77777777" w:rsidR="00BB5697" w:rsidRPr="00FD1551" w:rsidRDefault="00BB5697" w:rsidP="00BB5697">
      <w:pPr>
        <w:spacing w:after="0" w:line="360" w:lineRule="auto"/>
        <w:jc w:val="both"/>
        <w:rPr>
          <w:rFonts w:ascii="Arial" w:hAnsi="Arial" w:cs="Arial"/>
        </w:rPr>
      </w:pPr>
      <w:r w:rsidRPr="00FD1551">
        <w:rPr>
          <w:rFonts w:ascii="Arial" w:hAnsi="Arial" w:cs="Arial"/>
        </w:rPr>
        <w:t xml:space="preserve">Declaro ainda, que todos os aportes [para cobertura de insuficiência financeira e/ou aporte atuarial] devidos em decorrência do art. [XX] da lei nº. [legislação] foram recebidas por esta unidade gestora e totalizou R$ [evidenciar o valor total recebido no exercício]. </w:t>
      </w:r>
    </w:p>
    <w:p w14:paraId="1C225082" w14:textId="77777777" w:rsidR="00BB5697" w:rsidRPr="00FD1551" w:rsidRDefault="00BB5697" w:rsidP="00BB5697">
      <w:pPr>
        <w:spacing w:after="0" w:line="360" w:lineRule="auto"/>
        <w:jc w:val="both"/>
        <w:rPr>
          <w:rFonts w:ascii="Arial" w:hAnsi="Arial" w:cs="Arial"/>
        </w:rPr>
      </w:pPr>
    </w:p>
    <w:p w14:paraId="6B7758ED" w14:textId="77777777" w:rsidR="00BB5697" w:rsidRPr="00FD1551" w:rsidRDefault="00BB5697" w:rsidP="00BB5697">
      <w:pPr>
        <w:spacing w:after="0" w:line="360" w:lineRule="auto"/>
        <w:jc w:val="both"/>
        <w:rPr>
          <w:rFonts w:ascii="Arial" w:hAnsi="Arial" w:cs="Arial"/>
        </w:rPr>
      </w:pPr>
      <w:r w:rsidRPr="00FD1551">
        <w:rPr>
          <w:rFonts w:ascii="Arial" w:hAnsi="Arial" w:cs="Arial"/>
        </w:rPr>
        <w:t xml:space="preserve">Por derradeiro, declaro que todas as parcelas vincendas no exercício [exercício de competência da PCA] dos parcelamentos [citar os parcelamentos vigentes] foram recebidas por esta unidade gestora e totalizou R$ [evidenciar o valor total recebido no exercício]. </w:t>
      </w:r>
    </w:p>
    <w:p w14:paraId="5C9B63CC" w14:textId="77777777" w:rsidR="00BB5697" w:rsidRPr="00FD1551" w:rsidRDefault="00BB5697" w:rsidP="00BB5697">
      <w:pPr>
        <w:spacing w:after="0" w:line="360" w:lineRule="auto"/>
        <w:jc w:val="both"/>
        <w:rPr>
          <w:rFonts w:ascii="Arial" w:hAnsi="Arial" w:cs="Arial"/>
        </w:rPr>
      </w:pPr>
    </w:p>
    <w:p w14:paraId="505071EF" w14:textId="77777777" w:rsidR="00BB5697" w:rsidRPr="00FD1551" w:rsidRDefault="00BB5697" w:rsidP="00BB5697">
      <w:pPr>
        <w:spacing w:after="0" w:line="360" w:lineRule="auto"/>
        <w:jc w:val="both"/>
        <w:rPr>
          <w:rFonts w:ascii="Arial" w:hAnsi="Arial" w:cs="Arial"/>
        </w:rPr>
      </w:pPr>
      <w:r w:rsidRPr="00FD1551">
        <w:rPr>
          <w:rFonts w:ascii="Arial" w:hAnsi="Arial" w:cs="Arial"/>
        </w:rPr>
        <w:t>Declaro, por fim, que foram cobrados e recebidos todos os encargos financeiros, decorrentes de recolhimentos em atraso no exercício, de todos os órgãos e entidades da administração pública.</w:t>
      </w:r>
    </w:p>
    <w:p w14:paraId="392FBC16" w14:textId="77777777" w:rsidR="00BB5697" w:rsidRPr="00FD1551" w:rsidRDefault="00BB5697" w:rsidP="00BB5697">
      <w:pPr>
        <w:spacing w:after="0" w:line="360" w:lineRule="auto"/>
        <w:jc w:val="both"/>
        <w:rPr>
          <w:rFonts w:ascii="Arial" w:hAnsi="Arial" w:cs="Arial"/>
        </w:rPr>
      </w:pPr>
    </w:p>
    <w:p w14:paraId="774F5ECC" w14:textId="77777777" w:rsidR="00BB5697" w:rsidRPr="00FD1551" w:rsidRDefault="00BB5697" w:rsidP="00BB5697">
      <w:pPr>
        <w:spacing w:after="0" w:line="360" w:lineRule="auto"/>
        <w:jc w:val="both"/>
        <w:rPr>
          <w:rFonts w:ascii="Arial" w:hAnsi="Arial" w:cs="Arial"/>
        </w:rPr>
      </w:pPr>
      <w:r w:rsidRPr="00FD1551">
        <w:rPr>
          <w:rFonts w:ascii="Arial" w:hAnsi="Arial" w:cs="Arial"/>
        </w:rPr>
        <w:t>Município/ES,  __/dezembro/ [exercício de competência da pca]</w:t>
      </w:r>
    </w:p>
    <w:p w14:paraId="3AF4AAE6" w14:textId="77777777" w:rsidR="00BB5697" w:rsidRPr="00FD1551" w:rsidRDefault="00BB5697" w:rsidP="00BB5697">
      <w:pPr>
        <w:spacing w:after="0" w:line="360" w:lineRule="auto"/>
        <w:jc w:val="both"/>
        <w:rPr>
          <w:rFonts w:ascii="Arial" w:hAnsi="Arial" w:cs="Arial"/>
        </w:rPr>
      </w:pPr>
    </w:p>
    <w:p w14:paraId="574D1DE2" w14:textId="77777777" w:rsidR="00BB5697" w:rsidRPr="00FD1551" w:rsidRDefault="00BB5697" w:rsidP="00BB5697">
      <w:pPr>
        <w:spacing w:after="0" w:line="360" w:lineRule="auto"/>
        <w:jc w:val="center"/>
        <w:rPr>
          <w:rFonts w:ascii="Arial" w:hAnsi="Arial" w:cs="Arial"/>
        </w:rPr>
      </w:pPr>
      <w:r w:rsidRPr="00FD1551">
        <w:rPr>
          <w:rFonts w:ascii="Arial" w:hAnsi="Arial" w:cs="Arial"/>
        </w:rPr>
        <w:t>_________________________</w:t>
      </w:r>
    </w:p>
    <w:p w14:paraId="44804942" w14:textId="77777777" w:rsidR="00BB5697" w:rsidRPr="00FD1551" w:rsidRDefault="00BB5697" w:rsidP="00BB5697">
      <w:pPr>
        <w:spacing w:after="0" w:line="360" w:lineRule="auto"/>
        <w:jc w:val="center"/>
        <w:rPr>
          <w:rFonts w:ascii="Arial" w:hAnsi="Arial" w:cs="Arial"/>
        </w:rPr>
      </w:pPr>
      <w:r w:rsidRPr="00FD1551">
        <w:rPr>
          <w:rFonts w:ascii="Arial" w:hAnsi="Arial" w:cs="Arial"/>
        </w:rPr>
        <w:t>Assinatura do Gestor do RPPS</w:t>
      </w:r>
    </w:p>
    <w:p w14:paraId="088740DF" w14:textId="77777777" w:rsidR="00BB5697" w:rsidRPr="00FD1551" w:rsidRDefault="00BB5697" w:rsidP="00BB5697">
      <w:pPr>
        <w:spacing w:after="0" w:line="360" w:lineRule="auto"/>
        <w:jc w:val="both"/>
        <w:rPr>
          <w:rFonts w:ascii="Arial" w:hAnsi="Arial" w:cs="Arial"/>
        </w:rPr>
      </w:pPr>
    </w:p>
    <w:p w14:paraId="47D060F6" w14:textId="77777777" w:rsidR="00BB5697" w:rsidRPr="00FD1551" w:rsidRDefault="00BB5697" w:rsidP="00BB5697">
      <w:pPr>
        <w:spacing w:after="0" w:line="360" w:lineRule="auto"/>
        <w:jc w:val="both"/>
        <w:rPr>
          <w:rFonts w:ascii="Arial" w:hAnsi="Arial" w:cs="Arial"/>
        </w:rPr>
      </w:pPr>
    </w:p>
    <w:p w14:paraId="20248ED1" w14:textId="77777777" w:rsidR="00BB5697" w:rsidRPr="00FD1551" w:rsidRDefault="00BB5697" w:rsidP="00BB5697">
      <w:pPr>
        <w:spacing w:after="0" w:line="360" w:lineRule="auto"/>
        <w:jc w:val="both"/>
        <w:rPr>
          <w:rFonts w:ascii="Arial" w:hAnsi="Arial" w:cs="Arial"/>
        </w:rPr>
      </w:pPr>
      <w:r w:rsidRPr="00FD1551">
        <w:rPr>
          <w:rFonts w:ascii="Arial" w:hAnsi="Arial" w:cs="Arial"/>
        </w:rPr>
        <w:lastRenderedPageBreak/>
        <w:t>Observação: No caso de não recebimento de todos os valores devidos no exercício, descrever os valores não repassados, sua competência e natureza do débito.</w:t>
      </w:r>
    </w:p>
    <w:p w14:paraId="3587AC69" w14:textId="77777777" w:rsidR="00BB5697" w:rsidRPr="00FD1551" w:rsidRDefault="00BB5697" w:rsidP="00BB5697">
      <w:pPr>
        <w:spacing w:after="0" w:line="360" w:lineRule="auto"/>
        <w:jc w:val="both"/>
        <w:rPr>
          <w:rFonts w:ascii="Arial" w:hAnsi="Arial" w:cs="Arial"/>
        </w:rPr>
      </w:pPr>
    </w:p>
    <w:tbl>
      <w:tblPr>
        <w:tblStyle w:val="Tabelacomgrade"/>
        <w:tblW w:w="0" w:type="auto"/>
        <w:tblLook w:val="04A0" w:firstRow="1" w:lastRow="0" w:firstColumn="1" w:lastColumn="0" w:noHBand="0" w:noVBand="1"/>
      </w:tblPr>
      <w:tblGrid>
        <w:gridCol w:w="1219"/>
        <w:gridCol w:w="1531"/>
        <w:gridCol w:w="1438"/>
        <w:gridCol w:w="1382"/>
        <w:gridCol w:w="1836"/>
        <w:gridCol w:w="1314"/>
      </w:tblGrid>
      <w:tr w:rsidR="00BB5697" w:rsidRPr="00FD1551" w14:paraId="385180ED" w14:textId="77777777" w:rsidTr="00BF7C4A">
        <w:tc>
          <w:tcPr>
            <w:tcW w:w="8720" w:type="dxa"/>
            <w:gridSpan w:val="6"/>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0EE12BC" w14:textId="77777777" w:rsidR="00BB5697" w:rsidRPr="00FD1551" w:rsidRDefault="00BB5697" w:rsidP="00BF7C4A">
            <w:pPr>
              <w:spacing w:line="360" w:lineRule="auto"/>
              <w:jc w:val="center"/>
              <w:rPr>
                <w:rFonts w:ascii="Arial" w:hAnsi="Arial"/>
                <w:b/>
                <w:szCs w:val="24"/>
              </w:rPr>
            </w:pPr>
            <w:r w:rsidRPr="00FD1551">
              <w:rPr>
                <w:rFonts w:ascii="Arial" w:hAnsi="Arial"/>
                <w:b/>
                <w:szCs w:val="24"/>
              </w:rPr>
              <w:t>Descrição dos Valores Devidos e Não Recebidos no Exercício</w:t>
            </w:r>
          </w:p>
        </w:tc>
      </w:tr>
      <w:tr w:rsidR="00BB5697" w:rsidRPr="00FD1551" w14:paraId="4B2DADE3" w14:textId="77777777" w:rsidTr="00BF7C4A">
        <w:tc>
          <w:tcPr>
            <w:tcW w:w="121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CBDAA4" w14:textId="77777777" w:rsidR="00BB5697" w:rsidRPr="00FD1551" w:rsidRDefault="00BB5697" w:rsidP="00BF7C4A">
            <w:pPr>
              <w:spacing w:line="360" w:lineRule="auto"/>
              <w:jc w:val="center"/>
              <w:rPr>
                <w:rFonts w:ascii="Arial" w:hAnsi="Arial"/>
                <w:b/>
                <w:szCs w:val="24"/>
              </w:rPr>
            </w:pPr>
            <w:r w:rsidRPr="00FD1551">
              <w:rPr>
                <w:rFonts w:ascii="Arial" w:hAnsi="Arial"/>
                <w:b/>
                <w:szCs w:val="24"/>
              </w:rPr>
              <w:t>Órgão</w:t>
            </w:r>
          </w:p>
        </w:tc>
        <w:tc>
          <w:tcPr>
            <w:tcW w:w="153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C8F978E" w14:textId="77777777" w:rsidR="00BB5697" w:rsidRPr="00FD1551" w:rsidRDefault="00BB5697" w:rsidP="00BF7C4A">
            <w:pPr>
              <w:spacing w:line="360" w:lineRule="auto"/>
              <w:jc w:val="center"/>
              <w:rPr>
                <w:rFonts w:ascii="Arial" w:hAnsi="Arial"/>
                <w:b/>
                <w:szCs w:val="24"/>
              </w:rPr>
            </w:pPr>
            <w:r w:rsidRPr="00FD1551">
              <w:rPr>
                <w:rFonts w:ascii="Arial" w:hAnsi="Arial"/>
                <w:b/>
                <w:szCs w:val="24"/>
              </w:rPr>
              <w:t>Competência</w:t>
            </w:r>
          </w:p>
        </w:tc>
        <w:tc>
          <w:tcPr>
            <w:tcW w:w="143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BB5CB1E" w14:textId="77777777" w:rsidR="00BB5697" w:rsidRPr="00FD1551" w:rsidRDefault="00BB5697" w:rsidP="00BF7C4A">
            <w:pPr>
              <w:spacing w:line="360" w:lineRule="auto"/>
              <w:jc w:val="center"/>
              <w:rPr>
                <w:rFonts w:ascii="Arial" w:hAnsi="Arial"/>
                <w:b/>
                <w:szCs w:val="24"/>
              </w:rPr>
            </w:pPr>
            <w:r w:rsidRPr="00FD1551">
              <w:rPr>
                <w:rFonts w:ascii="Arial" w:hAnsi="Arial"/>
                <w:b/>
                <w:szCs w:val="24"/>
              </w:rPr>
              <w:t>Natureza</w:t>
            </w:r>
            <w:r w:rsidRPr="00FD1551">
              <w:rPr>
                <w:rFonts w:eastAsiaTheme="minorHAnsi"/>
                <w:b/>
                <w:vertAlign w:val="superscript"/>
              </w:rPr>
              <w:footnoteReference w:id="20"/>
            </w:r>
          </w:p>
        </w:tc>
        <w:tc>
          <w:tcPr>
            <w:tcW w:w="138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83E485F" w14:textId="77777777" w:rsidR="00BB5697" w:rsidRPr="00FD1551" w:rsidRDefault="00BB5697" w:rsidP="00BF7C4A">
            <w:pPr>
              <w:spacing w:line="360" w:lineRule="auto"/>
              <w:jc w:val="center"/>
              <w:rPr>
                <w:rFonts w:ascii="Arial" w:hAnsi="Arial"/>
                <w:b/>
                <w:szCs w:val="24"/>
              </w:rPr>
            </w:pPr>
            <w:r w:rsidRPr="00FD1551">
              <w:rPr>
                <w:rFonts w:ascii="Arial" w:hAnsi="Arial"/>
                <w:b/>
                <w:szCs w:val="24"/>
              </w:rPr>
              <w:t>Valor Original</w:t>
            </w:r>
          </w:p>
        </w:tc>
        <w:tc>
          <w:tcPr>
            <w:tcW w:w="183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86B0B66" w14:textId="77777777" w:rsidR="00BB5697" w:rsidRPr="00FD1551" w:rsidRDefault="00BB5697" w:rsidP="00BF7C4A">
            <w:pPr>
              <w:spacing w:line="360" w:lineRule="auto"/>
              <w:jc w:val="center"/>
              <w:rPr>
                <w:rFonts w:ascii="Arial" w:hAnsi="Arial"/>
                <w:b/>
                <w:szCs w:val="24"/>
              </w:rPr>
            </w:pPr>
            <w:r w:rsidRPr="00FD1551">
              <w:rPr>
                <w:rFonts w:ascii="Arial" w:hAnsi="Arial"/>
                <w:b/>
                <w:szCs w:val="24"/>
              </w:rPr>
              <w:t>Valor Atualizado</w:t>
            </w:r>
            <w:r w:rsidRPr="00FD1551">
              <w:rPr>
                <w:rFonts w:ascii="Arial" w:eastAsia="Calibri" w:hAnsi="Arial"/>
                <w:b/>
                <w:szCs w:val="24"/>
                <w:vertAlign w:val="superscript"/>
              </w:rPr>
              <w:footnoteReference w:id="21"/>
            </w:r>
          </w:p>
        </w:tc>
        <w:tc>
          <w:tcPr>
            <w:tcW w:w="131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DA12C50" w14:textId="77777777" w:rsidR="00BB5697" w:rsidRPr="00FD1551" w:rsidRDefault="00BB5697" w:rsidP="00BF7C4A">
            <w:pPr>
              <w:spacing w:line="360" w:lineRule="auto"/>
              <w:jc w:val="center"/>
              <w:rPr>
                <w:rFonts w:ascii="Arial" w:hAnsi="Arial"/>
                <w:b/>
                <w:szCs w:val="24"/>
              </w:rPr>
            </w:pPr>
            <w:r w:rsidRPr="00FD1551">
              <w:rPr>
                <w:rFonts w:ascii="Arial" w:hAnsi="Arial"/>
                <w:b/>
                <w:szCs w:val="24"/>
              </w:rPr>
              <w:t>Conta Contábil</w:t>
            </w:r>
            <w:r w:rsidRPr="00FD1551">
              <w:rPr>
                <w:rFonts w:ascii="Arial" w:eastAsia="Calibri" w:hAnsi="Arial"/>
                <w:b/>
                <w:szCs w:val="24"/>
                <w:vertAlign w:val="superscript"/>
              </w:rPr>
              <w:footnoteReference w:id="22"/>
            </w:r>
          </w:p>
        </w:tc>
      </w:tr>
      <w:tr w:rsidR="00BB5697" w:rsidRPr="00FD1551" w14:paraId="43081358" w14:textId="77777777" w:rsidTr="00BF7C4A">
        <w:tc>
          <w:tcPr>
            <w:tcW w:w="1219" w:type="dxa"/>
            <w:tcBorders>
              <w:top w:val="single" w:sz="4" w:space="0" w:color="auto"/>
              <w:left w:val="single" w:sz="4" w:space="0" w:color="auto"/>
              <w:bottom w:val="single" w:sz="4" w:space="0" w:color="auto"/>
              <w:right w:val="single" w:sz="4" w:space="0" w:color="auto"/>
            </w:tcBorders>
          </w:tcPr>
          <w:p w14:paraId="3274B97A" w14:textId="77777777" w:rsidR="00BB5697" w:rsidRPr="00FD1551" w:rsidRDefault="00BB5697" w:rsidP="00BF7C4A">
            <w:pPr>
              <w:spacing w:line="360" w:lineRule="auto"/>
              <w:jc w:val="center"/>
              <w:rPr>
                <w:rFonts w:ascii="Arial" w:hAnsi="Arial"/>
                <w:sz w:val="24"/>
                <w:szCs w:val="24"/>
              </w:rPr>
            </w:pPr>
          </w:p>
        </w:tc>
        <w:tc>
          <w:tcPr>
            <w:tcW w:w="1531" w:type="dxa"/>
            <w:tcBorders>
              <w:top w:val="single" w:sz="4" w:space="0" w:color="auto"/>
              <w:left w:val="single" w:sz="4" w:space="0" w:color="auto"/>
              <w:bottom w:val="single" w:sz="4" w:space="0" w:color="auto"/>
              <w:right w:val="single" w:sz="4" w:space="0" w:color="auto"/>
            </w:tcBorders>
          </w:tcPr>
          <w:p w14:paraId="42FC5942" w14:textId="77777777" w:rsidR="00BB5697" w:rsidRPr="00FD1551" w:rsidRDefault="00BB5697" w:rsidP="00BF7C4A">
            <w:pPr>
              <w:spacing w:line="360" w:lineRule="auto"/>
              <w:jc w:val="center"/>
              <w:rPr>
                <w:rFonts w:ascii="Arial" w:hAnsi="Arial"/>
                <w:sz w:val="24"/>
                <w:szCs w:val="24"/>
              </w:rPr>
            </w:pPr>
          </w:p>
        </w:tc>
        <w:tc>
          <w:tcPr>
            <w:tcW w:w="1438" w:type="dxa"/>
            <w:tcBorders>
              <w:top w:val="single" w:sz="4" w:space="0" w:color="auto"/>
              <w:left w:val="single" w:sz="4" w:space="0" w:color="auto"/>
              <w:bottom w:val="single" w:sz="4" w:space="0" w:color="auto"/>
              <w:right w:val="single" w:sz="4" w:space="0" w:color="auto"/>
            </w:tcBorders>
          </w:tcPr>
          <w:p w14:paraId="65F90DF1" w14:textId="77777777" w:rsidR="00BB5697" w:rsidRPr="00FD1551" w:rsidRDefault="00BB5697" w:rsidP="00BF7C4A">
            <w:pPr>
              <w:spacing w:line="360" w:lineRule="auto"/>
              <w:jc w:val="center"/>
              <w:rPr>
                <w:rFonts w:ascii="Arial" w:hAnsi="Arial"/>
                <w:sz w:val="24"/>
                <w:szCs w:val="24"/>
              </w:rPr>
            </w:pPr>
          </w:p>
        </w:tc>
        <w:tc>
          <w:tcPr>
            <w:tcW w:w="1382" w:type="dxa"/>
            <w:tcBorders>
              <w:top w:val="single" w:sz="4" w:space="0" w:color="auto"/>
              <w:left w:val="single" w:sz="4" w:space="0" w:color="auto"/>
              <w:bottom w:val="single" w:sz="4" w:space="0" w:color="auto"/>
              <w:right w:val="single" w:sz="4" w:space="0" w:color="auto"/>
            </w:tcBorders>
          </w:tcPr>
          <w:p w14:paraId="1E98D602" w14:textId="77777777" w:rsidR="00BB5697" w:rsidRPr="00FD1551" w:rsidRDefault="00BB5697" w:rsidP="00BF7C4A">
            <w:pPr>
              <w:spacing w:line="360" w:lineRule="auto"/>
              <w:jc w:val="center"/>
              <w:rPr>
                <w:rFonts w:ascii="Arial" w:hAnsi="Arial"/>
                <w:sz w:val="24"/>
                <w:szCs w:val="24"/>
              </w:rPr>
            </w:pPr>
          </w:p>
        </w:tc>
        <w:tc>
          <w:tcPr>
            <w:tcW w:w="1836" w:type="dxa"/>
            <w:tcBorders>
              <w:top w:val="single" w:sz="4" w:space="0" w:color="auto"/>
              <w:left w:val="single" w:sz="4" w:space="0" w:color="auto"/>
              <w:bottom w:val="single" w:sz="4" w:space="0" w:color="auto"/>
              <w:right w:val="single" w:sz="4" w:space="0" w:color="auto"/>
            </w:tcBorders>
          </w:tcPr>
          <w:p w14:paraId="6856BD14" w14:textId="77777777" w:rsidR="00BB5697" w:rsidRPr="00FD1551" w:rsidRDefault="00BB5697" w:rsidP="00BF7C4A">
            <w:pPr>
              <w:spacing w:line="360" w:lineRule="auto"/>
              <w:jc w:val="center"/>
              <w:rPr>
                <w:rFonts w:ascii="Arial" w:hAnsi="Arial"/>
                <w:sz w:val="24"/>
                <w:szCs w:val="24"/>
              </w:rPr>
            </w:pPr>
          </w:p>
        </w:tc>
        <w:tc>
          <w:tcPr>
            <w:tcW w:w="1314" w:type="dxa"/>
            <w:tcBorders>
              <w:top w:val="single" w:sz="4" w:space="0" w:color="auto"/>
              <w:left w:val="single" w:sz="4" w:space="0" w:color="auto"/>
              <w:bottom w:val="single" w:sz="4" w:space="0" w:color="auto"/>
              <w:right w:val="single" w:sz="4" w:space="0" w:color="auto"/>
            </w:tcBorders>
          </w:tcPr>
          <w:p w14:paraId="62A08480" w14:textId="77777777" w:rsidR="00BB5697" w:rsidRPr="00FD1551" w:rsidRDefault="00BB5697" w:rsidP="00BF7C4A">
            <w:pPr>
              <w:spacing w:line="360" w:lineRule="auto"/>
              <w:jc w:val="center"/>
              <w:rPr>
                <w:rFonts w:ascii="Arial" w:hAnsi="Arial"/>
                <w:sz w:val="24"/>
                <w:szCs w:val="24"/>
              </w:rPr>
            </w:pPr>
          </w:p>
        </w:tc>
      </w:tr>
      <w:tr w:rsidR="00BB5697" w:rsidRPr="00FD1551" w14:paraId="6EC318EF" w14:textId="77777777" w:rsidTr="00BF7C4A">
        <w:tc>
          <w:tcPr>
            <w:tcW w:w="1219" w:type="dxa"/>
            <w:tcBorders>
              <w:top w:val="single" w:sz="4" w:space="0" w:color="auto"/>
              <w:left w:val="single" w:sz="4" w:space="0" w:color="auto"/>
              <w:bottom w:val="single" w:sz="4" w:space="0" w:color="auto"/>
              <w:right w:val="single" w:sz="4" w:space="0" w:color="auto"/>
            </w:tcBorders>
          </w:tcPr>
          <w:p w14:paraId="27DADF93" w14:textId="77777777" w:rsidR="00BB5697" w:rsidRPr="00FD1551" w:rsidRDefault="00BB5697" w:rsidP="00BF7C4A">
            <w:pPr>
              <w:spacing w:line="360" w:lineRule="auto"/>
              <w:jc w:val="center"/>
              <w:rPr>
                <w:rFonts w:ascii="Arial" w:hAnsi="Arial"/>
                <w:sz w:val="24"/>
                <w:szCs w:val="24"/>
              </w:rPr>
            </w:pPr>
          </w:p>
        </w:tc>
        <w:tc>
          <w:tcPr>
            <w:tcW w:w="1531" w:type="dxa"/>
            <w:tcBorders>
              <w:top w:val="single" w:sz="4" w:space="0" w:color="auto"/>
              <w:left w:val="single" w:sz="4" w:space="0" w:color="auto"/>
              <w:bottom w:val="single" w:sz="4" w:space="0" w:color="auto"/>
              <w:right w:val="single" w:sz="4" w:space="0" w:color="auto"/>
            </w:tcBorders>
          </w:tcPr>
          <w:p w14:paraId="12BFE49E" w14:textId="77777777" w:rsidR="00BB5697" w:rsidRPr="00FD1551" w:rsidRDefault="00BB5697" w:rsidP="00BF7C4A">
            <w:pPr>
              <w:spacing w:line="360" w:lineRule="auto"/>
              <w:jc w:val="center"/>
              <w:rPr>
                <w:rFonts w:ascii="Arial" w:hAnsi="Arial"/>
                <w:sz w:val="24"/>
                <w:szCs w:val="24"/>
              </w:rPr>
            </w:pPr>
          </w:p>
        </w:tc>
        <w:tc>
          <w:tcPr>
            <w:tcW w:w="1438" w:type="dxa"/>
            <w:tcBorders>
              <w:top w:val="single" w:sz="4" w:space="0" w:color="auto"/>
              <w:left w:val="single" w:sz="4" w:space="0" w:color="auto"/>
              <w:bottom w:val="single" w:sz="4" w:space="0" w:color="auto"/>
              <w:right w:val="single" w:sz="4" w:space="0" w:color="auto"/>
            </w:tcBorders>
          </w:tcPr>
          <w:p w14:paraId="66B24F8C" w14:textId="77777777" w:rsidR="00BB5697" w:rsidRPr="00FD1551" w:rsidRDefault="00BB5697" w:rsidP="00BF7C4A">
            <w:pPr>
              <w:spacing w:line="360" w:lineRule="auto"/>
              <w:jc w:val="center"/>
              <w:rPr>
                <w:rFonts w:ascii="Arial" w:hAnsi="Arial"/>
                <w:sz w:val="24"/>
                <w:szCs w:val="24"/>
              </w:rPr>
            </w:pPr>
          </w:p>
        </w:tc>
        <w:tc>
          <w:tcPr>
            <w:tcW w:w="1382" w:type="dxa"/>
            <w:tcBorders>
              <w:top w:val="single" w:sz="4" w:space="0" w:color="auto"/>
              <w:left w:val="single" w:sz="4" w:space="0" w:color="auto"/>
              <w:bottom w:val="single" w:sz="4" w:space="0" w:color="auto"/>
              <w:right w:val="single" w:sz="4" w:space="0" w:color="auto"/>
            </w:tcBorders>
          </w:tcPr>
          <w:p w14:paraId="61A29901" w14:textId="77777777" w:rsidR="00BB5697" w:rsidRPr="00FD1551" w:rsidRDefault="00BB5697" w:rsidP="00BF7C4A">
            <w:pPr>
              <w:spacing w:line="360" w:lineRule="auto"/>
              <w:jc w:val="center"/>
              <w:rPr>
                <w:rFonts w:ascii="Arial" w:hAnsi="Arial"/>
                <w:sz w:val="24"/>
                <w:szCs w:val="24"/>
              </w:rPr>
            </w:pPr>
          </w:p>
        </w:tc>
        <w:tc>
          <w:tcPr>
            <w:tcW w:w="1836" w:type="dxa"/>
            <w:tcBorders>
              <w:top w:val="single" w:sz="4" w:space="0" w:color="auto"/>
              <w:left w:val="single" w:sz="4" w:space="0" w:color="auto"/>
              <w:bottom w:val="single" w:sz="4" w:space="0" w:color="auto"/>
              <w:right w:val="single" w:sz="4" w:space="0" w:color="auto"/>
            </w:tcBorders>
          </w:tcPr>
          <w:p w14:paraId="35D4B1D3" w14:textId="77777777" w:rsidR="00BB5697" w:rsidRPr="00FD1551" w:rsidRDefault="00BB5697" w:rsidP="00BF7C4A">
            <w:pPr>
              <w:spacing w:line="360" w:lineRule="auto"/>
              <w:jc w:val="center"/>
              <w:rPr>
                <w:rFonts w:ascii="Arial" w:hAnsi="Arial"/>
                <w:sz w:val="24"/>
                <w:szCs w:val="24"/>
              </w:rPr>
            </w:pPr>
          </w:p>
        </w:tc>
        <w:tc>
          <w:tcPr>
            <w:tcW w:w="1314" w:type="dxa"/>
            <w:tcBorders>
              <w:top w:val="single" w:sz="4" w:space="0" w:color="auto"/>
              <w:left w:val="single" w:sz="4" w:space="0" w:color="auto"/>
              <w:bottom w:val="single" w:sz="4" w:space="0" w:color="auto"/>
              <w:right w:val="single" w:sz="4" w:space="0" w:color="auto"/>
            </w:tcBorders>
          </w:tcPr>
          <w:p w14:paraId="3BB6CC29" w14:textId="77777777" w:rsidR="00BB5697" w:rsidRPr="00FD1551" w:rsidRDefault="00BB5697" w:rsidP="00BF7C4A">
            <w:pPr>
              <w:spacing w:line="360" w:lineRule="auto"/>
              <w:jc w:val="center"/>
              <w:rPr>
                <w:rFonts w:ascii="Arial" w:hAnsi="Arial"/>
                <w:sz w:val="24"/>
                <w:szCs w:val="24"/>
              </w:rPr>
            </w:pPr>
          </w:p>
        </w:tc>
      </w:tr>
      <w:tr w:rsidR="00BB5697" w:rsidRPr="00FD1551" w14:paraId="14CC1C61" w14:textId="77777777" w:rsidTr="00BF7C4A">
        <w:tc>
          <w:tcPr>
            <w:tcW w:w="1219" w:type="dxa"/>
            <w:tcBorders>
              <w:top w:val="single" w:sz="4" w:space="0" w:color="auto"/>
              <w:left w:val="single" w:sz="4" w:space="0" w:color="auto"/>
              <w:bottom w:val="single" w:sz="4" w:space="0" w:color="auto"/>
              <w:right w:val="single" w:sz="4" w:space="0" w:color="auto"/>
            </w:tcBorders>
          </w:tcPr>
          <w:p w14:paraId="4DA07312" w14:textId="77777777" w:rsidR="00BB5697" w:rsidRPr="00FD1551" w:rsidRDefault="00BB5697" w:rsidP="00BF7C4A">
            <w:pPr>
              <w:spacing w:line="360" w:lineRule="auto"/>
              <w:jc w:val="center"/>
              <w:rPr>
                <w:rFonts w:ascii="Arial" w:hAnsi="Arial"/>
                <w:sz w:val="24"/>
                <w:szCs w:val="24"/>
              </w:rPr>
            </w:pPr>
          </w:p>
        </w:tc>
        <w:tc>
          <w:tcPr>
            <w:tcW w:w="1531" w:type="dxa"/>
            <w:tcBorders>
              <w:top w:val="single" w:sz="4" w:space="0" w:color="auto"/>
              <w:left w:val="single" w:sz="4" w:space="0" w:color="auto"/>
              <w:bottom w:val="single" w:sz="4" w:space="0" w:color="auto"/>
              <w:right w:val="single" w:sz="4" w:space="0" w:color="auto"/>
            </w:tcBorders>
          </w:tcPr>
          <w:p w14:paraId="1F6B6942" w14:textId="77777777" w:rsidR="00BB5697" w:rsidRPr="00FD1551" w:rsidRDefault="00BB5697" w:rsidP="00BF7C4A">
            <w:pPr>
              <w:spacing w:line="360" w:lineRule="auto"/>
              <w:jc w:val="center"/>
              <w:rPr>
                <w:rFonts w:ascii="Arial" w:hAnsi="Arial"/>
                <w:sz w:val="24"/>
                <w:szCs w:val="24"/>
              </w:rPr>
            </w:pPr>
          </w:p>
        </w:tc>
        <w:tc>
          <w:tcPr>
            <w:tcW w:w="1438" w:type="dxa"/>
            <w:tcBorders>
              <w:top w:val="single" w:sz="4" w:space="0" w:color="auto"/>
              <w:left w:val="single" w:sz="4" w:space="0" w:color="auto"/>
              <w:bottom w:val="single" w:sz="4" w:space="0" w:color="auto"/>
              <w:right w:val="single" w:sz="4" w:space="0" w:color="auto"/>
            </w:tcBorders>
          </w:tcPr>
          <w:p w14:paraId="76B1DC25" w14:textId="77777777" w:rsidR="00BB5697" w:rsidRPr="00FD1551" w:rsidRDefault="00BB5697" w:rsidP="00BF7C4A">
            <w:pPr>
              <w:spacing w:line="360" w:lineRule="auto"/>
              <w:jc w:val="center"/>
              <w:rPr>
                <w:rFonts w:ascii="Arial" w:hAnsi="Arial"/>
                <w:sz w:val="24"/>
                <w:szCs w:val="24"/>
              </w:rPr>
            </w:pPr>
          </w:p>
        </w:tc>
        <w:tc>
          <w:tcPr>
            <w:tcW w:w="1382" w:type="dxa"/>
            <w:tcBorders>
              <w:top w:val="single" w:sz="4" w:space="0" w:color="auto"/>
              <w:left w:val="single" w:sz="4" w:space="0" w:color="auto"/>
              <w:bottom w:val="single" w:sz="4" w:space="0" w:color="auto"/>
              <w:right w:val="single" w:sz="4" w:space="0" w:color="auto"/>
            </w:tcBorders>
          </w:tcPr>
          <w:p w14:paraId="2057691C" w14:textId="77777777" w:rsidR="00BB5697" w:rsidRPr="00FD1551" w:rsidRDefault="00BB5697" w:rsidP="00BF7C4A">
            <w:pPr>
              <w:spacing w:line="360" w:lineRule="auto"/>
              <w:jc w:val="center"/>
              <w:rPr>
                <w:rFonts w:ascii="Arial" w:hAnsi="Arial"/>
                <w:sz w:val="24"/>
                <w:szCs w:val="24"/>
              </w:rPr>
            </w:pPr>
          </w:p>
        </w:tc>
        <w:tc>
          <w:tcPr>
            <w:tcW w:w="1836" w:type="dxa"/>
            <w:tcBorders>
              <w:top w:val="single" w:sz="4" w:space="0" w:color="auto"/>
              <w:left w:val="single" w:sz="4" w:space="0" w:color="auto"/>
              <w:bottom w:val="single" w:sz="4" w:space="0" w:color="auto"/>
              <w:right w:val="single" w:sz="4" w:space="0" w:color="auto"/>
            </w:tcBorders>
          </w:tcPr>
          <w:p w14:paraId="54681FC7" w14:textId="77777777" w:rsidR="00BB5697" w:rsidRPr="00FD1551" w:rsidRDefault="00BB5697" w:rsidP="00BF7C4A">
            <w:pPr>
              <w:spacing w:line="360" w:lineRule="auto"/>
              <w:jc w:val="center"/>
              <w:rPr>
                <w:rFonts w:ascii="Arial" w:hAnsi="Arial"/>
                <w:sz w:val="24"/>
                <w:szCs w:val="24"/>
              </w:rPr>
            </w:pPr>
          </w:p>
        </w:tc>
        <w:tc>
          <w:tcPr>
            <w:tcW w:w="1314" w:type="dxa"/>
            <w:tcBorders>
              <w:top w:val="single" w:sz="4" w:space="0" w:color="auto"/>
              <w:left w:val="single" w:sz="4" w:space="0" w:color="auto"/>
              <w:bottom w:val="single" w:sz="4" w:space="0" w:color="auto"/>
              <w:right w:val="single" w:sz="4" w:space="0" w:color="auto"/>
            </w:tcBorders>
          </w:tcPr>
          <w:p w14:paraId="3997EF82" w14:textId="77777777" w:rsidR="00BB5697" w:rsidRPr="00FD1551" w:rsidRDefault="00BB5697" w:rsidP="00BF7C4A">
            <w:pPr>
              <w:spacing w:line="360" w:lineRule="auto"/>
              <w:jc w:val="center"/>
              <w:rPr>
                <w:rFonts w:ascii="Arial" w:hAnsi="Arial"/>
                <w:sz w:val="24"/>
                <w:szCs w:val="24"/>
              </w:rPr>
            </w:pPr>
          </w:p>
        </w:tc>
      </w:tr>
      <w:tr w:rsidR="00BB5697" w:rsidRPr="00FD1551" w14:paraId="19A02D2B" w14:textId="77777777" w:rsidTr="00BF7C4A">
        <w:tc>
          <w:tcPr>
            <w:tcW w:w="1219" w:type="dxa"/>
            <w:tcBorders>
              <w:top w:val="single" w:sz="4" w:space="0" w:color="auto"/>
              <w:left w:val="single" w:sz="4" w:space="0" w:color="auto"/>
              <w:bottom w:val="single" w:sz="4" w:space="0" w:color="auto"/>
              <w:right w:val="single" w:sz="4" w:space="0" w:color="auto"/>
            </w:tcBorders>
          </w:tcPr>
          <w:p w14:paraId="75697A05" w14:textId="77777777" w:rsidR="00BB5697" w:rsidRPr="00FD1551" w:rsidRDefault="00BB5697" w:rsidP="00BF7C4A">
            <w:pPr>
              <w:spacing w:line="360" w:lineRule="auto"/>
              <w:jc w:val="center"/>
              <w:rPr>
                <w:rFonts w:ascii="Arial" w:hAnsi="Arial"/>
                <w:sz w:val="24"/>
                <w:szCs w:val="24"/>
              </w:rPr>
            </w:pPr>
          </w:p>
        </w:tc>
        <w:tc>
          <w:tcPr>
            <w:tcW w:w="1531" w:type="dxa"/>
            <w:tcBorders>
              <w:top w:val="single" w:sz="4" w:space="0" w:color="auto"/>
              <w:left w:val="single" w:sz="4" w:space="0" w:color="auto"/>
              <w:bottom w:val="single" w:sz="4" w:space="0" w:color="auto"/>
              <w:right w:val="single" w:sz="4" w:space="0" w:color="auto"/>
            </w:tcBorders>
          </w:tcPr>
          <w:p w14:paraId="6A7B0847" w14:textId="77777777" w:rsidR="00BB5697" w:rsidRPr="00FD1551" w:rsidRDefault="00BB5697" w:rsidP="00BF7C4A">
            <w:pPr>
              <w:spacing w:line="360" w:lineRule="auto"/>
              <w:jc w:val="center"/>
              <w:rPr>
                <w:rFonts w:ascii="Arial" w:hAnsi="Arial"/>
                <w:sz w:val="24"/>
                <w:szCs w:val="24"/>
              </w:rPr>
            </w:pPr>
          </w:p>
        </w:tc>
        <w:tc>
          <w:tcPr>
            <w:tcW w:w="1438" w:type="dxa"/>
            <w:tcBorders>
              <w:top w:val="single" w:sz="4" w:space="0" w:color="auto"/>
              <w:left w:val="single" w:sz="4" w:space="0" w:color="auto"/>
              <w:bottom w:val="single" w:sz="4" w:space="0" w:color="auto"/>
              <w:right w:val="single" w:sz="4" w:space="0" w:color="auto"/>
            </w:tcBorders>
          </w:tcPr>
          <w:p w14:paraId="0CF96C61" w14:textId="77777777" w:rsidR="00BB5697" w:rsidRPr="00FD1551" w:rsidRDefault="00BB5697" w:rsidP="00BF7C4A">
            <w:pPr>
              <w:spacing w:line="360" w:lineRule="auto"/>
              <w:jc w:val="center"/>
              <w:rPr>
                <w:rFonts w:ascii="Arial" w:hAnsi="Arial"/>
                <w:sz w:val="24"/>
                <w:szCs w:val="24"/>
              </w:rPr>
            </w:pPr>
          </w:p>
        </w:tc>
        <w:tc>
          <w:tcPr>
            <w:tcW w:w="1382" w:type="dxa"/>
            <w:tcBorders>
              <w:top w:val="single" w:sz="4" w:space="0" w:color="auto"/>
              <w:left w:val="single" w:sz="4" w:space="0" w:color="auto"/>
              <w:bottom w:val="single" w:sz="4" w:space="0" w:color="auto"/>
              <w:right w:val="single" w:sz="4" w:space="0" w:color="auto"/>
            </w:tcBorders>
          </w:tcPr>
          <w:p w14:paraId="57BF7DE2" w14:textId="77777777" w:rsidR="00BB5697" w:rsidRPr="00FD1551" w:rsidRDefault="00BB5697" w:rsidP="00BF7C4A">
            <w:pPr>
              <w:spacing w:line="360" w:lineRule="auto"/>
              <w:jc w:val="center"/>
              <w:rPr>
                <w:rFonts w:ascii="Arial" w:hAnsi="Arial"/>
                <w:sz w:val="24"/>
                <w:szCs w:val="24"/>
              </w:rPr>
            </w:pPr>
          </w:p>
        </w:tc>
        <w:tc>
          <w:tcPr>
            <w:tcW w:w="1836" w:type="dxa"/>
            <w:tcBorders>
              <w:top w:val="single" w:sz="4" w:space="0" w:color="auto"/>
              <w:left w:val="single" w:sz="4" w:space="0" w:color="auto"/>
              <w:bottom w:val="single" w:sz="4" w:space="0" w:color="auto"/>
              <w:right w:val="single" w:sz="4" w:space="0" w:color="auto"/>
            </w:tcBorders>
          </w:tcPr>
          <w:p w14:paraId="684D2D3A" w14:textId="77777777" w:rsidR="00BB5697" w:rsidRPr="00FD1551" w:rsidRDefault="00BB5697" w:rsidP="00BF7C4A">
            <w:pPr>
              <w:spacing w:line="360" w:lineRule="auto"/>
              <w:jc w:val="center"/>
              <w:rPr>
                <w:rFonts w:ascii="Arial" w:hAnsi="Arial"/>
                <w:sz w:val="24"/>
                <w:szCs w:val="24"/>
              </w:rPr>
            </w:pPr>
          </w:p>
        </w:tc>
        <w:tc>
          <w:tcPr>
            <w:tcW w:w="1314" w:type="dxa"/>
            <w:tcBorders>
              <w:top w:val="single" w:sz="4" w:space="0" w:color="auto"/>
              <w:left w:val="single" w:sz="4" w:space="0" w:color="auto"/>
              <w:bottom w:val="single" w:sz="4" w:space="0" w:color="auto"/>
              <w:right w:val="single" w:sz="4" w:space="0" w:color="auto"/>
            </w:tcBorders>
          </w:tcPr>
          <w:p w14:paraId="73CCFA03" w14:textId="77777777" w:rsidR="00BB5697" w:rsidRPr="00FD1551" w:rsidRDefault="00BB5697" w:rsidP="00BF7C4A">
            <w:pPr>
              <w:spacing w:line="360" w:lineRule="auto"/>
              <w:jc w:val="center"/>
              <w:rPr>
                <w:rFonts w:ascii="Arial" w:hAnsi="Arial"/>
                <w:sz w:val="24"/>
                <w:szCs w:val="24"/>
              </w:rPr>
            </w:pPr>
          </w:p>
        </w:tc>
      </w:tr>
      <w:tr w:rsidR="00BB5697" w:rsidRPr="00FD1551" w14:paraId="7FE21440" w14:textId="77777777" w:rsidTr="00BF7C4A">
        <w:tc>
          <w:tcPr>
            <w:tcW w:w="1219" w:type="dxa"/>
            <w:tcBorders>
              <w:top w:val="single" w:sz="4" w:space="0" w:color="auto"/>
              <w:left w:val="single" w:sz="4" w:space="0" w:color="auto"/>
              <w:bottom w:val="single" w:sz="4" w:space="0" w:color="auto"/>
              <w:right w:val="single" w:sz="4" w:space="0" w:color="auto"/>
            </w:tcBorders>
          </w:tcPr>
          <w:p w14:paraId="30F189A3" w14:textId="77777777" w:rsidR="00BB5697" w:rsidRPr="00FD1551" w:rsidRDefault="00BB5697" w:rsidP="00BF7C4A">
            <w:pPr>
              <w:spacing w:line="360" w:lineRule="auto"/>
              <w:jc w:val="center"/>
              <w:rPr>
                <w:rFonts w:ascii="Arial" w:hAnsi="Arial"/>
                <w:sz w:val="24"/>
                <w:szCs w:val="24"/>
              </w:rPr>
            </w:pPr>
          </w:p>
        </w:tc>
        <w:tc>
          <w:tcPr>
            <w:tcW w:w="1531" w:type="dxa"/>
            <w:tcBorders>
              <w:top w:val="single" w:sz="4" w:space="0" w:color="auto"/>
              <w:left w:val="single" w:sz="4" w:space="0" w:color="auto"/>
              <w:bottom w:val="single" w:sz="4" w:space="0" w:color="auto"/>
              <w:right w:val="single" w:sz="4" w:space="0" w:color="auto"/>
            </w:tcBorders>
          </w:tcPr>
          <w:p w14:paraId="3D3A02D7" w14:textId="77777777" w:rsidR="00BB5697" w:rsidRPr="00FD1551" w:rsidRDefault="00BB5697" w:rsidP="00BF7C4A">
            <w:pPr>
              <w:spacing w:line="360" w:lineRule="auto"/>
              <w:jc w:val="center"/>
              <w:rPr>
                <w:rFonts w:ascii="Arial" w:hAnsi="Arial"/>
                <w:sz w:val="24"/>
                <w:szCs w:val="24"/>
              </w:rPr>
            </w:pPr>
          </w:p>
        </w:tc>
        <w:tc>
          <w:tcPr>
            <w:tcW w:w="1438" w:type="dxa"/>
            <w:tcBorders>
              <w:top w:val="single" w:sz="4" w:space="0" w:color="auto"/>
              <w:left w:val="single" w:sz="4" w:space="0" w:color="auto"/>
              <w:bottom w:val="single" w:sz="4" w:space="0" w:color="auto"/>
              <w:right w:val="single" w:sz="4" w:space="0" w:color="auto"/>
            </w:tcBorders>
          </w:tcPr>
          <w:p w14:paraId="758BB6A9" w14:textId="77777777" w:rsidR="00BB5697" w:rsidRPr="00FD1551" w:rsidRDefault="00BB5697" w:rsidP="00BF7C4A">
            <w:pPr>
              <w:spacing w:line="360" w:lineRule="auto"/>
              <w:jc w:val="center"/>
              <w:rPr>
                <w:rFonts w:ascii="Arial" w:hAnsi="Arial"/>
                <w:sz w:val="24"/>
                <w:szCs w:val="24"/>
              </w:rPr>
            </w:pPr>
          </w:p>
        </w:tc>
        <w:tc>
          <w:tcPr>
            <w:tcW w:w="1382" w:type="dxa"/>
            <w:tcBorders>
              <w:top w:val="single" w:sz="4" w:space="0" w:color="auto"/>
              <w:left w:val="single" w:sz="4" w:space="0" w:color="auto"/>
              <w:bottom w:val="single" w:sz="4" w:space="0" w:color="auto"/>
              <w:right w:val="single" w:sz="4" w:space="0" w:color="auto"/>
            </w:tcBorders>
          </w:tcPr>
          <w:p w14:paraId="0BEB7951" w14:textId="77777777" w:rsidR="00BB5697" w:rsidRPr="00FD1551" w:rsidRDefault="00BB5697" w:rsidP="00BF7C4A">
            <w:pPr>
              <w:spacing w:line="360" w:lineRule="auto"/>
              <w:jc w:val="center"/>
              <w:rPr>
                <w:rFonts w:ascii="Arial" w:hAnsi="Arial"/>
                <w:sz w:val="24"/>
                <w:szCs w:val="24"/>
              </w:rPr>
            </w:pPr>
          </w:p>
        </w:tc>
        <w:tc>
          <w:tcPr>
            <w:tcW w:w="1836" w:type="dxa"/>
            <w:tcBorders>
              <w:top w:val="single" w:sz="4" w:space="0" w:color="auto"/>
              <w:left w:val="single" w:sz="4" w:space="0" w:color="auto"/>
              <w:bottom w:val="single" w:sz="4" w:space="0" w:color="auto"/>
              <w:right w:val="single" w:sz="4" w:space="0" w:color="auto"/>
            </w:tcBorders>
          </w:tcPr>
          <w:p w14:paraId="6399DF15" w14:textId="77777777" w:rsidR="00BB5697" w:rsidRPr="00FD1551" w:rsidRDefault="00BB5697" w:rsidP="00BF7C4A">
            <w:pPr>
              <w:spacing w:line="360" w:lineRule="auto"/>
              <w:jc w:val="center"/>
              <w:rPr>
                <w:rFonts w:ascii="Arial" w:hAnsi="Arial"/>
                <w:sz w:val="24"/>
                <w:szCs w:val="24"/>
              </w:rPr>
            </w:pPr>
          </w:p>
        </w:tc>
        <w:tc>
          <w:tcPr>
            <w:tcW w:w="1314" w:type="dxa"/>
            <w:tcBorders>
              <w:top w:val="single" w:sz="4" w:space="0" w:color="auto"/>
              <w:left w:val="single" w:sz="4" w:space="0" w:color="auto"/>
              <w:bottom w:val="single" w:sz="4" w:space="0" w:color="auto"/>
              <w:right w:val="single" w:sz="4" w:space="0" w:color="auto"/>
            </w:tcBorders>
          </w:tcPr>
          <w:p w14:paraId="21100D7C" w14:textId="77777777" w:rsidR="00BB5697" w:rsidRPr="00FD1551" w:rsidRDefault="00BB5697" w:rsidP="00BF7C4A">
            <w:pPr>
              <w:spacing w:line="360" w:lineRule="auto"/>
              <w:jc w:val="center"/>
              <w:rPr>
                <w:rFonts w:ascii="Arial" w:hAnsi="Arial"/>
                <w:sz w:val="24"/>
                <w:szCs w:val="24"/>
              </w:rPr>
            </w:pPr>
          </w:p>
        </w:tc>
      </w:tr>
      <w:tr w:rsidR="00BB5697" w:rsidRPr="00FD1551" w14:paraId="7DA71CAB" w14:textId="77777777" w:rsidTr="00BF7C4A">
        <w:tc>
          <w:tcPr>
            <w:tcW w:w="4188" w:type="dxa"/>
            <w:gridSpan w:val="3"/>
            <w:tcBorders>
              <w:top w:val="single" w:sz="4" w:space="0" w:color="auto"/>
              <w:left w:val="single" w:sz="4" w:space="0" w:color="auto"/>
              <w:bottom w:val="single" w:sz="4" w:space="0" w:color="auto"/>
              <w:right w:val="single" w:sz="4" w:space="0" w:color="auto"/>
            </w:tcBorders>
            <w:vAlign w:val="bottom"/>
          </w:tcPr>
          <w:p w14:paraId="1F2FE306" w14:textId="77777777" w:rsidR="00BB5697" w:rsidRPr="00CA3087" w:rsidRDefault="00BB5697" w:rsidP="00BF7C4A">
            <w:pPr>
              <w:spacing w:line="360" w:lineRule="auto"/>
              <w:jc w:val="center"/>
              <w:rPr>
                <w:rFonts w:ascii="Arial" w:hAnsi="Arial"/>
                <w:b/>
              </w:rPr>
            </w:pPr>
            <w:r w:rsidRPr="00CA3087">
              <w:rPr>
                <w:rFonts w:ascii="Arial" w:hAnsi="Arial"/>
                <w:b/>
              </w:rPr>
              <w:t>TOTAL</w:t>
            </w:r>
          </w:p>
        </w:tc>
        <w:tc>
          <w:tcPr>
            <w:tcW w:w="1382" w:type="dxa"/>
            <w:tcBorders>
              <w:top w:val="single" w:sz="4" w:space="0" w:color="auto"/>
              <w:left w:val="single" w:sz="4" w:space="0" w:color="auto"/>
              <w:bottom w:val="single" w:sz="4" w:space="0" w:color="auto"/>
              <w:right w:val="single" w:sz="4" w:space="0" w:color="auto"/>
            </w:tcBorders>
          </w:tcPr>
          <w:p w14:paraId="0B2515C1" w14:textId="77777777" w:rsidR="00BB5697" w:rsidRPr="00FD1551" w:rsidRDefault="00BB5697" w:rsidP="00BF7C4A">
            <w:pPr>
              <w:spacing w:line="360" w:lineRule="auto"/>
              <w:jc w:val="center"/>
              <w:rPr>
                <w:rFonts w:ascii="Arial" w:hAnsi="Arial"/>
                <w:sz w:val="24"/>
                <w:szCs w:val="24"/>
              </w:rPr>
            </w:pPr>
          </w:p>
        </w:tc>
        <w:tc>
          <w:tcPr>
            <w:tcW w:w="1836" w:type="dxa"/>
            <w:tcBorders>
              <w:top w:val="single" w:sz="4" w:space="0" w:color="auto"/>
              <w:left w:val="single" w:sz="4" w:space="0" w:color="auto"/>
              <w:bottom w:val="single" w:sz="4" w:space="0" w:color="auto"/>
              <w:right w:val="single" w:sz="4" w:space="0" w:color="auto"/>
            </w:tcBorders>
          </w:tcPr>
          <w:p w14:paraId="28C045E9" w14:textId="77777777" w:rsidR="00BB5697" w:rsidRPr="00FD1551" w:rsidRDefault="00BB5697" w:rsidP="00BF7C4A">
            <w:pPr>
              <w:spacing w:line="360" w:lineRule="auto"/>
              <w:jc w:val="center"/>
              <w:rPr>
                <w:rFonts w:ascii="Arial" w:hAnsi="Arial"/>
                <w:sz w:val="24"/>
                <w:szCs w:val="24"/>
              </w:rPr>
            </w:pPr>
          </w:p>
        </w:tc>
        <w:tc>
          <w:tcPr>
            <w:tcW w:w="1314" w:type="dxa"/>
            <w:tcBorders>
              <w:top w:val="single" w:sz="4" w:space="0" w:color="auto"/>
              <w:left w:val="single" w:sz="4" w:space="0" w:color="auto"/>
              <w:bottom w:val="single" w:sz="4" w:space="0" w:color="auto"/>
              <w:right w:val="single" w:sz="4" w:space="0" w:color="auto"/>
            </w:tcBorders>
          </w:tcPr>
          <w:p w14:paraId="7346C958" w14:textId="77777777" w:rsidR="00BB5697" w:rsidRPr="00FD1551" w:rsidRDefault="00BB5697" w:rsidP="00BF7C4A">
            <w:pPr>
              <w:spacing w:line="360" w:lineRule="auto"/>
              <w:jc w:val="center"/>
              <w:rPr>
                <w:rFonts w:ascii="Arial" w:hAnsi="Arial"/>
                <w:sz w:val="24"/>
                <w:szCs w:val="24"/>
              </w:rPr>
            </w:pPr>
          </w:p>
        </w:tc>
      </w:tr>
    </w:tbl>
    <w:p w14:paraId="0F03B4F3" w14:textId="77777777" w:rsidR="00BB5697" w:rsidRPr="00FD1551" w:rsidRDefault="00BB5697" w:rsidP="00BB5697">
      <w:pPr>
        <w:spacing w:after="0" w:line="360" w:lineRule="auto"/>
        <w:jc w:val="center"/>
        <w:rPr>
          <w:sz w:val="32"/>
        </w:rPr>
      </w:pPr>
    </w:p>
    <w:p w14:paraId="1C418640" w14:textId="0F0F5927" w:rsidR="00BB5697" w:rsidRDefault="00BB5697" w:rsidP="00BB5697">
      <w:pPr>
        <w:rPr>
          <w:rFonts w:ascii="Arial" w:hAnsi="Arial" w:cs="Arial"/>
          <w:b/>
          <w:sz w:val="28"/>
          <w:szCs w:val="28"/>
        </w:rPr>
      </w:pPr>
      <w:r w:rsidRPr="00FD1551">
        <w:rPr>
          <w:rFonts w:ascii="Arial" w:hAnsi="Arial" w:cs="Arial"/>
          <w:b/>
          <w:sz w:val="28"/>
          <w:szCs w:val="28"/>
        </w:rPr>
        <w:br w:type="page"/>
      </w:r>
    </w:p>
    <w:p w14:paraId="5ADBD94D" w14:textId="77777777" w:rsidR="00BF7C4A" w:rsidRDefault="00BF7C4A" w:rsidP="00BB5697">
      <w:pPr>
        <w:rPr>
          <w:rFonts w:ascii="Arial" w:hAnsi="Arial" w:cs="Arial"/>
          <w:b/>
          <w:sz w:val="28"/>
          <w:szCs w:val="28"/>
        </w:rPr>
        <w:sectPr w:rsidR="00BF7C4A" w:rsidSect="00E7482B">
          <w:footnotePr>
            <w:numRestart w:val="eachPage"/>
          </w:footnotePr>
          <w:pgSz w:w="11906" w:h="16838"/>
          <w:pgMar w:top="1418" w:right="992" w:bottom="1418" w:left="1701" w:header="709" w:footer="709" w:gutter="0"/>
          <w:cols w:space="708"/>
          <w:docGrid w:linePitch="360"/>
        </w:sectPr>
      </w:pPr>
    </w:p>
    <w:p w14:paraId="7360031E" w14:textId="53FEA413" w:rsidR="00BF7C4A" w:rsidRDefault="00BF7C4A" w:rsidP="00BF7C4A">
      <w:pPr>
        <w:pStyle w:val="Ttulo3"/>
      </w:pPr>
      <w:bookmarkStart w:id="85" w:name="_Toc94806357"/>
      <w:r w:rsidRPr="00BF7C4A">
        <w:lastRenderedPageBreak/>
        <w:t>RELPAR</w:t>
      </w:r>
      <w:bookmarkEnd w:id="85"/>
    </w:p>
    <w:p w14:paraId="4E8EBBD9" w14:textId="77777777" w:rsidR="00BB5697" w:rsidRPr="00FD1551" w:rsidRDefault="00BB5697" w:rsidP="00BB5697">
      <w:pPr>
        <w:spacing w:after="0" w:line="360" w:lineRule="auto"/>
        <w:jc w:val="center"/>
        <w:rPr>
          <w:rFonts w:ascii="Arial" w:hAnsi="Arial" w:cs="Arial"/>
          <w:b/>
        </w:rPr>
      </w:pPr>
      <w:r w:rsidRPr="00FD1551">
        <w:rPr>
          <w:rFonts w:ascii="Arial" w:hAnsi="Arial"/>
          <w:b/>
        </w:rPr>
        <w:t>RELATÓRIO DETALHADO DOS PARCELAMENTOS FIRMADOS COM O [RPPS] E VIGENTES NO [EXERCICIO DA PCA]</w:t>
      </w:r>
    </w:p>
    <w:p w14:paraId="54C95889" w14:textId="77777777" w:rsidR="00BB5697" w:rsidRPr="00FD1551" w:rsidRDefault="00BB5697" w:rsidP="00BB5697">
      <w:pPr>
        <w:spacing w:after="0" w:line="360" w:lineRule="auto"/>
        <w:jc w:val="center"/>
        <w:rPr>
          <w:rFonts w:ascii="Arial" w:hAnsi="Arial" w:cs="Arial"/>
          <w:b/>
          <w:sz w:val="28"/>
          <w:szCs w:val="28"/>
        </w:rPr>
      </w:pPr>
    </w:p>
    <w:tbl>
      <w:tblPr>
        <w:tblW w:w="8505" w:type="dxa"/>
        <w:tblInd w:w="7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8505"/>
      </w:tblGrid>
      <w:tr w:rsidR="00BB5697" w:rsidRPr="00FD1551" w14:paraId="4B707F11" w14:textId="77777777" w:rsidTr="00BF7C4A">
        <w:trPr>
          <w:trHeight w:val="283"/>
        </w:trPr>
        <w:tc>
          <w:tcPr>
            <w:tcW w:w="8505" w:type="dxa"/>
          </w:tcPr>
          <w:p w14:paraId="4B565E67"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b/>
                <w:bCs/>
                <w:color w:val="000000"/>
                <w:sz w:val="16"/>
                <w:szCs w:val="16"/>
                <w:lang w:eastAsia="pt-BR"/>
              </w:rPr>
              <w:t>IDENTIFICAÇÃO:</w:t>
            </w:r>
            <w:r w:rsidRPr="00FD1551">
              <w:rPr>
                <w:rFonts w:ascii="Arial" w:eastAsia="Times New Roman" w:hAnsi="Arial" w:cs="Arial"/>
                <w:color w:val="000000"/>
                <w:sz w:val="16"/>
                <w:szCs w:val="16"/>
                <w:lang w:eastAsia="pt-BR"/>
              </w:rPr>
              <w:t> </w:t>
            </w:r>
          </w:p>
        </w:tc>
      </w:tr>
      <w:tr w:rsidR="00BB5697" w:rsidRPr="00FD1551" w14:paraId="4386E8A0" w14:textId="77777777" w:rsidTr="00BF7C4A">
        <w:trPr>
          <w:trHeight w:val="283"/>
        </w:trPr>
        <w:tc>
          <w:tcPr>
            <w:tcW w:w="8505" w:type="dxa"/>
            <w:shd w:val="clear" w:color="auto" w:fill="auto"/>
            <w:noWrap/>
            <w:vAlign w:val="bottom"/>
            <w:hideMark/>
          </w:tcPr>
          <w:p w14:paraId="35C78D5D"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EXERCÍCIO:</w:t>
            </w:r>
          </w:p>
        </w:tc>
      </w:tr>
    </w:tbl>
    <w:p w14:paraId="299712AD" w14:textId="77777777" w:rsidR="00BB5697" w:rsidRPr="00FD1551" w:rsidRDefault="00BB5697" w:rsidP="00BB5697">
      <w:pPr>
        <w:spacing w:after="0" w:line="360" w:lineRule="auto"/>
        <w:jc w:val="both"/>
        <w:rPr>
          <w:rFonts w:ascii="Arial" w:hAnsi="Arial" w:cs="Arial"/>
        </w:rPr>
      </w:pPr>
    </w:p>
    <w:tbl>
      <w:tblPr>
        <w:tblW w:w="12645" w:type="dxa"/>
        <w:tblInd w:w="75" w:type="dxa"/>
        <w:tblCellMar>
          <w:left w:w="70" w:type="dxa"/>
          <w:right w:w="70" w:type="dxa"/>
        </w:tblCellMar>
        <w:tblLook w:val="04A0" w:firstRow="1" w:lastRow="0" w:firstColumn="1" w:lastColumn="0" w:noHBand="0" w:noVBand="1"/>
      </w:tblPr>
      <w:tblGrid>
        <w:gridCol w:w="1300"/>
        <w:gridCol w:w="985"/>
        <w:gridCol w:w="1060"/>
        <w:gridCol w:w="1020"/>
        <w:gridCol w:w="680"/>
        <w:gridCol w:w="1040"/>
        <w:gridCol w:w="960"/>
        <w:gridCol w:w="960"/>
        <w:gridCol w:w="1060"/>
        <w:gridCol w:w="1220"/>
        <w:gridCol w:w="1240"/>
        <w:gridCol w:w="1120"/>
      </w:tblGrid>
      <w:tr w:rsidR="00BB5697" w:rsidRPr="009942A5" w14:paraId="534C925D" w14:textId="77777777" w:rsidTr="00BF7C4A">
        <w:trPr>
          <w:trHeight w:val="300"/>
        </w:trPr>
        <w:tc>
          <w:tcPr>
            <w:tcW w:w="12645" w:type="dxa"/>
            <w:gridSpan w:val="12"/>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23B43471" w14:textId="77777777" w:rsidR="00BB5697" w:rsidRPr="009942A5" w:rsidRDefault="00BB5697" w:rsidP="00BF7C4A">
            <w:pPr>
              <w:spacing w:after="0" w:line="240" w:lineRule="auto"/>
              <w:jc w:val="center"/>
              <w:rPr>
                <w:rFonts w:ascii="Arial" w:eastAsia="Times New Roman" w:hAnsi="Arial" w:cs="Arial"/>
                <w:b/>
                <w:bCs/>
                <w:color w:val="000000"/>
                <w:sz w:val="16"/>
                <w:szCs w:val="16"/>
                <w:lang w:eastAsia="pt-BR"/>
              </w:rPr>
            </w:pPr>
            <w:r w:rsidRPr="009942A5">
              <w:rPr>
                <w:rFonts w:ascii="Arial" w:eastAsia="Times New Roman" w:hAnsi="Arial" w:cs="Arial"/>
                <w:b/>
                <w:bCs/>
                <w:color w:val="000000"/>
                <w:sz w:val="16"/>
                <w:szCs w:val="16"/>
                <w:lang w:eastAsia="pt-BR"/>
              </w:rPr>
              <w:t>Informações Gerais sobre os Parcelamentos</w:t>
            </w:r>
          </w:p>
        </w:tc>
      </w:tr>
      <w:tr w:rsidR="00BB5697" w:rsidRPr="009942A5" w14:paraId="58432947" w14:textId="77777777" w:rsidTr="00BF7C4A">
        <w:trPr>
          <w:trHeight w:val="900"/>
        </w:trPr>
        <w:tc>
          <w:tcPr>
            <w:tcW w:w="1300" w:type="dxa"/>
            <w:tcBorders>
              <w:top w:val="nil"/>
              <w:left w:val="single" w:sz="4" w:space="0" w:color="auto"/>
              <w:bottom w:val="single" w:sz="4" w:space="0" w:color="auto"/>
              <w:right w:val="single" w:sz="4" w:space="0" w:color="auto"/>
            </w:tcBorders>
            <w:shd w:val="clear" w:color="000000" w:fill="D9D9D9"/>
            <w:vAlign w:val="center"/>
            <w:hideMark/>
          </w:tcPr>
          <w:p w14:paraId="3B97E648" w14:textId="77777777" w:rsidR="00BB5697" w:rsidRPr="009942A5" w:rsidRDefault="00BB5697" w:rsidP="00BF7C4A">
            <w:pPr>
              <w:spacing w:after="0" w:line="240" w:lineRule="auto"/>
              <w:jc w:val="center"/>
              <w:rPr>
                <w:rFonts w:ascii="Arial" w:eastAsia="Times New Roman" w:hAnsi="Arial" w:cs="Arial"/>
                <w:b/>
                <w:bCs/>
                <w:color w:val="000000"/>
                <w:sz w:val="16"/>
                <w:szCs w:val="16"/>
                <w:lang w:eastAsia="pt-BR"/>
              </w:rPr>
            </w:pPr>
            <w:r w:rsidRPr="009942A5">
              <w:rPr>
                <w:rFonts w:ascii="Arial" w:eastAsia="Times New Roman" w:hAnsi="Arial" w:cs="Arial"/>
                <w:b/>
                <w:bCs/>
                <w:color w:val="000000"/>
                <w:sz w:val="16"/>
                <w:szCs w:val="16"/>
                <w:lang w:eastAsia="pt-BR"/>
              </w:rPr>
              <w:t>Número do Parcelamento</w:t>
            </w:r>
          </w:p>
        </w:tc>
        <w:tc>
          <w:tcPr>
            <w:tcW w:w="985" w:type="dxa"/>
            <w:tcBorders>
              <w:top w:val="nil"/>
              <w:left w:val="nil"/>
              <w:bottom w:val="single" w:sz="4" w:space="0" w:color="auto"/>
              <w:right w:val="single" w:sz="4" w:space="0" w:color="auto"/>
            </w:tcBorders>
            <w:shd w:val="clear" w:color="000000" w:fill="D9D9D9"/>
            <w:vAlign w:val="center"/>
            <w:hideMark/>
          </w:tcPr>
          <w:p w14:paraId="4D6A3298" w14:textId="77777777" w:rsidR="00BB5697" w:rsidRPr="009942A5" w:rsidRDefault="00BB5697" w:rsidP="00BF7C4A">
            <w:pPr>
              <w:spacing w:after="0" w:line="240" w:lineRule="auto"/>
              <w:jc w:val="center"/>
              <w:rPr>
                <w:rFonts w:ascii="Arial" w:eastAsia="Times New Roman" w:hAnsi="Arial" w:cs="Arial"/>
                <w:b/>
                <w:bCs/>
                <w:color w:val="000000"/>
                <w:sz w:val="16"/>
                <w:szCs w:val="16"/>
                <w:lang w:eastAsia="pt-BR"/>
              </w:rPr>
            </w:pPr>
            <w:r w:rsidRPr="009942A5">
              <w:rPr>
                <w:rFonts w:ascii="Arial" w:eastAsia="Times New Roman" w:hAnsi="Arial" w:cs="Arial"/>
                <w:b/>
                <w:bCs/>
                <w:color w:val="000000"/>
                <w:sz w:val="16"/>
                <w:szCs w:val="16"/>
                <w:lang w:eastAsia="pt-BR"/>
              </w:rPr>
              <w:t>Partes Envolvidas</w:t>
            </w:r>
          </w:p>
        </w:tc>
        <w:tc>
          <w:tcPr>
            <w:tcW w:w="1060" w:type="dxa"/>
            <w:tcBorders>
              <w:top w:val="nil"/>
              <w:left w:val="nil"/>
              <w:bottom w:val="single" w:sz="4" w:space="0" w:color="auto"/>
              <w:right w:val="single" w:sz="4" w:space="0" w:color="auto"/>
            </w:tcBorders>
            <w:shd w:val="clear" w:color="000000" w:fill="D9D9D9"/>
            <w:vAlign w:val="center"/>
            <w:hideMark/>
          </w:tcPr>
          <w:p w14:paraId="7E23D445" w14:textId="77777777" w:rsidR="00BB5697" w:rsidRPr="009942A5" w:rsidRDefault="00BB5697" w:rsidP="00BF7C4A">
            <w:pPr>
              <w:spacing w:after="0" w:line="240" w:lineRule="auto"/>
              <w:jc w:val="center"/>
              <w:rPr>
                <w:rFonts w:ascii="Arial" w:eastAsia="Times New Roman" w:hAnsi="Arial" w:cs="Arial"/>
                <w:b/>
                <w:bCs/>
                <w:color w:val="000000"/>
                <w:sz w:val="16"/>
                <w:szCs w:val="16"/>
                <w:lang w:eastAsia="pt-BR"/>
              </w:rPr>
            </w:pPr>
            <w:r w:rsidRPr="009942A5">
              <w:rPr>
                <w:rFonts w:ascii="Arial" w:eastAsia="Times New Roman" w:hAnsi="Arial" w:cs="Arial"/>
                <w:b/>
                <w:bCs/>
                <w:color w:val="000000"/>
                <w:sz w:val="16"/>
                <w:szCs w:val="16"/>
                <w:lang w:eastAsia="pt-BR"/>
              </w:rPr>
              <w:t>Lei Autorizativa</w:t>
            </w:r>
          </w:p>
        </w:tc>
        <w:tc>
          <w:tcPr>
            <w:tcW w:w="1020" w:type="dxa"/>
            <w:tcBorders>
              <w:top w:val="nil"/>
              <w:left w:val="nil"/>
              <w:bottom w:val="single" w:sz="4" w:space="0" w:color="auto"/>
              <w:right w:val="single" w:sz="4" w:space="0" w:color="auto"/>
            </w:tcBorders>
            <w:shd w:val="clear" w:color="000000" w:fill="D9D9D9"/>
            <w:vAlign w:val="center"/>
            <w:hideMark/>
          </w:tcPr>
          <w:p w14:paraId="3F936037" w14:textId="77777777" w:rsidR="00BB5697" w:rsidRPr="009942A5" w:rsidRDefault="00BB5697" w:rsidP="00BF7C4A">
            <w:pPr>
              <w:spacing w:after="0" w:line="240" w:lineRule="auto"/>
              <w:jc w:val="center"/>
              <w:rPr>
                <w:rFonts w:ascii="Arial" w:eastAsia="Times New Roman" w:hAnsi="Arial" w:cs="Arial"/>
                <w:b/>
                <w:bCs/>
                <w:color w:val="000000"/>
                <w:sz w:val="16"/>
                <w:szCs w:val="16"/>
                <w:lang w:eastAsia="pt-BR"/>
              </w:rPr>
            </w:pPr>
            <w:r w:rsidRPr="009942A5">
              <w:rPr>
                <w:rFonts w:ascii="Arial" w:eastAsia="Times New Roman" w:hAnsi="Arial" w:cs="Arial"/>
                <w:b/>
                <w:bCs/>
                <w:color w:val="000000"/>
                <w:sz w:val="16"/>
                <w:szCs w:val="16"/>
                <w:lang w:eastAsia="pt-BR"/>
              </w:rPr>
              <w:t>Data da Assinatura</w:t>
            </w:r>
          </w:p>
        </w:tc>
        <w:tc>
          <w:tcPr>
            <w:tcW w:w="680" w:type="dxa"/>
            <w:tcBorders>
              <w:top w:val="nil"/>
              <w:left w:val="nil"/>
              <w:bottom w:val="single" w:sz="4" w:space="0" w:color="auto"/>
              <w:right w:val="single" w:sz="4" w:space="0" w:color="auto"/>
            </w:tcBorders>
            <w:shd w:val="clear" w:color="000000" w:fill="D9D9D9"/>
            <w:vAlign w:val="center"/>
            <w:hideMark/>
          </w:tcPr>
          <w:p w14:paraId="13DEEF48" w14:textId="77777777" w:rsidR="00BB5697" w:rsidRPr="009942A5" w:rsidRDefault="00BB5697" w:rsidP="00BF7C4A">
            <w:pPr>
              <w:spacing w:after="0" w:line="240" w:lineRule="auto"/>
              <w:jc w:val="center"/>
              <w:rPr>
                <w:rFonts w:ascii="Arial" w:eastAsia="Times New Roman" w:hAnsi="Arial" w:cs="Arial"/>
                <w:b/>
                <w:bCs/>
                <w:color w:val="000000"/>
                <w:sz w:val="16"/>
                <w:szCs w:val="16"/>
                <w:lang w:eastAsia="pt-BR"/>
              </w:rPr>
            </w:pPr>
            <w:r w:rsidRPr="009942A5">
              <w:rPr>
                <w:rFonts w:ascii="Arial" w:eastAsia="Times New Roman" w:hAnsi="Arial" w:cs="Arial"/>
                <w:b/>
                <w:bCs/>
                <w:color w:val="000000"/>
                <w:sz w:val="16"/>
                <w:szCs w:val="16"/>
                <w:lang w:eastAsia="pt-BR"/>
              </w:rPr>
              <w:t>Tipo</w:t>
            </w:r>
            <w:r>
              <w:rPr>
                <w:rStyle w:val="Refdenotaderodap"/>
                <w:rFonts w:ascii="Arial" w:eastAsia="Times New Roman" w:hAnsi="Arial" w:cs="Arial"/>
                <w:b/>
                <w:bCs/>
                <w:color w:val="000000"/>
                <w:sz w:val="16"/>
                <w:szCs w:val="16"/>
                <w:lang w:eastAsia="pt-BR"/>
              </w:rPr>
              <w:footnoteReference w:id="23"/>
            </w:r>
          </w:p>
        </w:tc>
        <w:tc>
          <w:tcPr>
            <w:tcW w:w="1040" w:type="dxa"/>
            <w:tcBorders>
              <w:top w:val="nil"/>
              <w:left w:val="nil"/>
              <w:bottom w:val="single" w:sz="4" w:space="0" w:color="auto"/>
              <w:right w:val="single" w:sz="4" w:space="0" w:color="auto"/>
            </w:tcBorders>
            <w:shd w:val="clear" w:color="000000" w:fill="D9D9D9"/>
            <w:vAlign w:val="center"/>
            <w:hideMark/>
          </w:tcPr>
          <w:p w14:paraId="6A8E53B4" w14:textId="77777777" w:rsidR="00BB5697" w:rsidRPr="009942A5" w:rsidRDefault="00BB5697" w:rsidP="00BF7C4A">
            <w:pPr>
              <w:spacing w:after="0" w:line="240" w:lineRule="auto"/>
              <w:jc w:val="center"/>
              <w:rPr>
                <w:rFonts w:ascii="Arial" w:eastAsia="Times New Roman" w:hAnsi="Arial" w:cs="Arial"/>
                <w:b/>
                <w:bCs/>
                <w:color w:val="000000"/>
                <w:sz w:val="16"/>
                <w:szCs w:val="16"/>
                <w:lang w:eastAsia="pt-BR"/>
              </w:rPr>
            </w:pPr>
            <w:r w:rsidRPr="009942A5">
              <w:rPr>
                <w:rFonts w:ascii="Arial" w:eastAsia="Times New Roman" w:hAnsi="Arial" w:cs="Arial"/>
                <w:b/>
                <w:bCs/>
                <w:color w:val="000000"/>
                <w:sz w:val="16"/>
                <w:szCs w:val="16"/>
                <w:lang w:eastAsia="pt-BR"/>
              </w:rPr>
              <w:t>Quantidade de Parcelas</w:t>
            </w:r>
          </w:p>
        </w:tc>
        <w:tc>
          <w:tcPr>
            <w:tcW w:w="960" w:type="dxa"/>
            <w:tcBorders>
              <w:top w:val="nil"/>
              <w:left w:val="nil"/>
              <w:bottom w:val="single" w:sz="4" w:space="0" w:color="auto"/>
              <w:right w:val="single" w:sz="4" w:space="0" w:color="auto"/>
            </w:tcBorders>
            <w:shd w:val="clear" w:color="000000" w:fill="D9D9D9"/>
            <w:vAlign w:val="center"/>
            <w:hideMark/>
          </w:tcPr>
          <w:p w14:paraId="712E0338" w14:textId="77777777" w:rsidR="00BB5697" w:rsidRPr="009942A5" w:rsidRDefault="00BB5697" w:rsidP="00BF7C4A">
            <w:pPr>
              <w:spacing w:after="0" w:line="240" w:lineRule="auto"/>
              <w:jc w:val="center"/>
              <w:rPr>
                <w:rFonts w:ascii="Arial" w:eastAsia="Times New Roman" w:hAnsi="Arial" w:cs="Arial"/>
                <w:b/>
                <w:bCs/>
                <w:sz w:val="16"/>
                <w:szCs w:val="16"/>
                <w:lang w:eastAsia="pt-BR"/>
              </w:rPr>
            </w:pPr>
            <w:r w:rsidRPr="009942A5">
              <w:rPr>
                <w:rFonts w:ascii="Arial" w:eastAsia="Times New Roman" w:hAnsi="Arial" w:cs="Arial"/>
                <w:b/>
                <w:bCs/>
                <w:sz w:val="16"/>
                <w:szCs w:val="16"/>
                <w:lang w:eastAsia="pt-BR"/>
              </w:rPr>
              <w:t>Índice de Correção Monetária</w:t>
            </w:r>
          </w:p>
        </w:tc>
        <w:tc>
          <w:tcPr>
            <w:tcW w:w="960" w:type="dxa"/>
            <w:tcBorders>
              <w:top w:val="nil"/>
              <w:left w:val="nil"/>
              <w:bottom w:val="single" w:sz="4" w:space="0" w:color="auto"/>
              <w:right w:val="single" w:sz="4" w:space="0" w:color="auto"/>
            </w:tcBorders>
            <w:shd w:val="clear" w:color="000000" w:fill="D9D9D9"/>
            <w:vAlign w:val="center"/>
            <w:hideMark/>
          </w:tcPr>
          <w:p w14:paraId="0D3E6B97" w14:textId="77777777" w:rsidR="00BB5697" w:rsidRPr="009942A5" w:rsidRDefault="00BB5697" w:rsidP="00BF7C4A">
            <w:pPr>
              <w:spacing w:after="0" w:line="240" w:lineRule="auto"/>
              <w:jc w:val="center"/>
              <w:rPr>
                <w:rFonts w:ascii="Arial" w:eastAsia="Times New Roman" w:hAnsi="Arial" w:cs="Arial"/>
                <w:b/>
                <w:bCs/>
                <w:sz w:val="16"/>
                <w:szCs w:val="16"/>
                <w:lang w:eastAsia="pt-BR"/>
              </w:rPr>
            </w:pPr>
            <w:r w:rsidRPr="009942A5">
              <w:rPr>
                <w:rFonts w:ascii="Arial" w:eastAsia="Times New Roman" w:hAnsi="Arial" w:cs="Arial"/>
                <w:b/>
                <w:bCs/>
                <w:sz w:val="16"/>
                <w:szCs w:val="16"/>
                <w:lang w:eastAsia="pt-BR"/>
              </w:rPr>
              <w:t xml:space="preserve">Percentual de Juros a. m. </w:t>
            </w:r>
          </w:p>
        </w:tc>
        <w:tc>
          <w:tcPr>
            <w:tcW w:w="1060" w:type="dxa"/>
            <w:tcBorders>
              <w:top w:val="nil"/>
              <w:left w:val="nil"/>
              <w:bottom w:val="single" w:sz="4" w:space="0" w:color="auto"/>
              <w:right w:val="single" w:sz="4" w:space="0" w:color="auto"/>
            </w:tcBorders>
            <w:shd w:val="clear" w:color="000000" w:fill="D9D9D9"/>
            <w:vAlign w:val="center"/>
            <w:hideMark/>
          </w:tcPr>
          <w:p w14:paraId="2EB2373B" w14:textId="77777777" w:rsidR="00BB5697" w:rsidRPr="009942A5" w:rsidRDefault="00BB5697" w:rsidP="00BF7C4A">
            <w:pPr>
              <w:spacing w:after="0" w:line="240" w:lineRule="auto"/>
              <w:jc w:val="center"/>
              <w:rPr>
                <w:rFonts w:ascii="Arial" w:eastAsia="Times New Roman" w:hAnsi="Arial" w:cs="Arial"/>
                <w:b/>
                <w:bCs/>
                <w:color w:val="000000"/>
                <w:sz w:val="16"/>
                <w:szCs w:val="16"/>
                <w:lang w:eastAsia="pt-BR"/>
              </w:rPr>
            </w:pPr>
            <w:r w:rsidRPr="009942A5">
              <w:rPr>
                <w:rFonts w:ascii="Arial" w:eastAsia="Times New Roman" w:hAnsi="Arial" w:cs="Arial"/>
                <w:b/>
                <w:bCs/>
                <w:color w:val="000000"/>
                <w:sz w:val="16"/>
                <w:szCs w:val="16"/>
                <w:lang w:eastAsia="pt-BR"/>
              </w:rPr>
              <w:t>Data / vencimento 1º Parcela</w:t>
            </w:r>
          </w:p>
        </w:tc>
        <w:tc>
          <w:tcPr>
            <w:tcW w:w="1220" w:type="dxa"/>
            <w:tcBorders>
              <w:top w:val="nil"/>
              <w:left w:val="nil"/>
              <w:bottom w:val="single" w:sz="4" w:space="0" w:color="auto"/>
              <w:right w:val="single" w:sz="4" w:space="0" w:color="auto"/>
            </w:tcBorders>
            <w:shd w:val="clear" w:color="000000" w:fill="D9D9D9"/>
            <w:vAlign w:val="center"/>
            <w:hideMark/>
          </w:tcPr>
          <w:p w14:paraId="05FD8ED4" w14:textId="77777777" w:rsidR="00BB5697" w:rsidRPr="009942A5" w:rsidRDefault="00BB5697" w:rsidP="00BF7C4A">
            <w:pPr>
              <w:spacing w:after="0" w:line="240" w:lineRule="auto"/>
              <w:jc w:val="center"/>
              <w:rPr>
                <w:rFonts w:ascii="Arial" w:eastAsia="Times New Roman" w:hAnsi="Arial" w:cs="Arial"/>
                <w:b/>
                <w:bCs/>
                <w:color w:val="000000"/>
                <w:sz w:val="16"/>
                <w:szCs w:val="16"/>
                <w:lang w:eastAsia="pt-BR"/>
              </w:rPr>
            </w:pPr>
            <w:r w:rsidRPr="009942A5">
              <w:rPr>
                <w:rFonts w:ascii="Arial" w:eastAsia="Times New Roman" w:hAnsi="Arial" w:cs="Arial"/>
                <w:b/>
                <w:bCs/>
                <w:color w:val="000000"/>
                <w:sz w:val="16"/>
                <w:szCs w:val="16"/>
                <w:lang w:eastAsia="pt-BR"/>
              </w:rPr>
              <w:t>Competência Inicial do Parcelamento</w:t>
            </w:r>
          </w:p>
        </w:tc>
        <w:tc>
          <w:tcPr>
            <w:tcW w:w="1240" w:type="dxa"/>
            <w:tcBorders>
              <w:top w:val="nil"/>
              <w:left w:val="nil"/>
              <w:bottom w:val="single" w:sz="4" w:space="0" w:color="auto"/>
              <w:right w:val="single" w:sz="4" w:space="0" w:color="auto"/>
            </w:tcBorders>
            <w:shd w:val="clear" w:color="000000" w:fill="D9D9D9"/>
            <w:vAlign w:val="center"/>
            <w:hideMark/>
          </w:tcPr>
          <w:p w14:paraId="6B5D1DED" w14:textId="77777777" w:rsidR="00BB5697" w:rsidRPr="009942A5" w:rsidRDefault="00BB5697" w:rsidP="00BF7C4A">
            <w:pPr>
              <w:spacing w:after="0" w:line="240" w:lineRule="auto"/>
              <w:jc w:val="center"/>
              <w:rPr>
                <w:rFonts w:ascii="Arial" w:eastAsia="Times New Roman" w:hAnsi="Arial" w:cs="Arial"/>
                <w:b/>
                <w:bCs/>
                <w:color w:val="000000"/>
                <w:sz w:val="16"/>
                <w:szCs w:val="16"/>
                <w:lang w:eastAsia="pt-BR"/>
              </w:rPr>
            </w:pPr>
            <w:r w:rsidRPr="009942A5">
              <w:rPr>
                <w:rFonts w:ascii="Arial" w:eastAsia="Times New Roman" w:hAnsi="Arial" w:cs="Arial"/>
                <w:b/>
                <w:bCs/>
                <w:color w:val="000000"/>
                <w:sz w:val="16"/>
                <w:szCs w:val="16"/>
                <w:lang w:eastAsia="pt-BR"/>
              </w:rPr>
              <w:t>Competência Final do Parcelamento</w:t>
            </w:r>
          </w:p>
        </w:tc>
        <w:tc>
          <w:tcPr>
            <w:tcW w:w="1120" w:type="dxa"/>
            <w:tcBorders>
              <w:top w:val="nil"/>
              <w:left w:val="nil"/>
              <w:bottom w:val="single" w:sz="4" w:space="0" w:color="auto"/>
              <w:right w:val="single" w:sz="4" w:space="0" w:color="auto"/>
            </w:tcBorders>
            <w:shd w:val="clear" w:color="000000" w:fill="D9D9D9"/>
            <w:vAlign w:val="center"/>
            <w:hideMark/>
          </w:tcPr>
          <w:p w14:paraId="6E51EECD" w14:textId="77777777" w:rsidR="00BB5697" w:rsidRPr="009942A5" w:rsidRDefault="00BB5697" w:rsidP="00BF7C4A">
            <w:pPr>
              <w:spacing w:after="0" w:line="240" w:lineRule="auto"/>
              <w:jc w:val="center"/>
              <w:rPr>
                <w:rFonts w:ascii="Arial" w:eastAsia="Times New Roman" w:hAnsi="Arial" w:cs="Arial"/>
                <w:b/>
                <w:bCs/>
                <w:color w:val="000000"/>
                <w:sz w:val="16"/>
                <w:szCs w:val="16"/>
                <w:lang w:eastAsia="pt-BR"/>
              </w:rPr>
            </w:pPr>
            <w:r w:rsidRPr="009942A5">
              <w:rPr>
                <w:rFonts w:ascii="Arial" w:eastAsia="Times New Roman" w:hAnsi="Arial" w:cs="Arial"/>
                <w:b/>
                <w:bCs/>
                <w:color w:val="000000"/>
                <w:sz w:val="16"/>
                <w:szCs w:val="16"/>
                <w:lang w:eastAsia="pt-BR"/>
              </w:rPr>
              <w:t>Valor Consolidado</w:t>
            </w:r>
          </w:p>
        </w:tc>
      </w:tr>
      <w:tr w:rsidR="00BB5697" w:rsidRPr="009942A5" w14:paraId="36B29DA7" w14:textId="77777777" w:rsidTr="00BF7C4A">
        <w:trPr>
          <w:trHeight w:val="3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23937DE8" w14:textId="77777777" w:rsidR="00BB5697" w:rsidRPr="009942A5" w:rsidRDefault="00BB5697" w:rsidP="00BF7C4A">
            <w:pPr>
              <w:spacing w:after="0" w:line="240" w:lineRule="auto"/>
              <w:rPr>
                <w:rFonts w:ascii="Arial" w:eastAsia="Times New Roman" w:hAnsi="Arial" w:cs="Arial"/>
                <w:color w:val="000000"/>
                <w:sz w:val="16"/>
                <w:szCs w:val="16"/>
                <w:lang w:eastAsia="pt-BR"/>
              </w:rPr>
            </w:pPr>
            <w:r w:rsidRPr="009942A5">
              <w:rPr>
                <w:rFonts w:ascii="Arial" w:eastAsia="Times New Roman" w:hAnsi="Arial" w:cs="Arial"/>
                <w:color w:val="000000"/>
                <w:sz w:val="16"/>
                <w:szCs w:val="16"/>
                <w:lang w:eastAsia="pt-BR"/>
              </w:rPr>
              <w:t> </w:t>
            </w:r>
          </w:p>
        </w:tc>
        <w:tc>
          <w:tcPr>
            <w:tcW w:w="985" w:type="dxa"/>
            <w:tcBorders>
              <w:top w:val="nil"/>
              <w:left w:val="nil"/>
              <w:bottom w:val="single" w:sz="4" w:space="0" w:color="auto"/>
              <w:right w:val="single" w:sz="4" w:space="0" w:color="auto"/>
            </w:tcBorders>
            <w:shd w:val="clear" w:color="auto" w:fill="auto"/>
            <w:noWrap/>
            <w:vAlign w:val="bottom"/>
            <w:hideMark/>
          </w:tcPr>
          <w:p w14:paraId="6C520372" w14:textId="77777777" w:rsidR="00BB5697" w:rsidRPr="009942A5" w:rsidRDefault="00BB5697" w:rsidP="00BF7C4A">
            <w:pPr>
              <w:spacing w:after="0" w:line="240" w:lineRule="auto"/>
              <w:rPr>
                <w:rFonts w:ascii="Arial" w:eastAsia="Times New Roman" w:hAnsi="Arial" w:cs="Arial"/>
                <w:color w:val="000000"/>
                <w:sz w:val="16"/>
                <w:szCs w:val="16"/>
                <w:lang w:eastAsia="pt-BR"/>
              </w:rPr>
            </w:pPr>
            <w:r w:rsidRPr="009942A5">
              <w:rPr>
                <w:rFonts w:ascii="Arial" w:eastAsia="Times New Roman" w:hAnsi="Arial" w:cs="Arial"/>
                <w:color w:val="000000"/>
                <w:sz w:val="16"/>
                <w:szCs w:val="16"/>
                <w:lang w:eastAsia="pt-BR"/>
              </w:rPr>
              <w:t> </w:t>
            </w:r>
          </w:p>
        </w:tc>
        <w:tc>
          <w:tcPr>
            <w:tcW w:w="1060" w:type="dxa"/>
            <w:tcBorders>
              <w:top w:val="nil"/>
              <w:left w:val="nil"/>
              <w:bottom w:val="single" w:sz="4" w:space="0" w:color="auto"/>
              <w:right w:val="single" w:sz="4" w:space="0" w:color="auto"/>
            </w:tcBorders>
            <w:shd w:val="clear" w:color="auto" w:fill="auto"/>
            <w:noWrap/>
            <w:vAlign w:val="bottom"/>
            <w:hideMark/>
          </w:tcPr>
          <w:p w14:paraId="215B2846" w14:textId="77777777" w:rsidR="00BB5697" w:rsidRPr="009942A5" w:rsidRDefault="00BB5697" w:rsidP="00BF7C4A">
            <w:pPr>
              <w:spacing w:after="0" w:line="240" w:lineRule="auto"/>
              <w:rPr>
                <w:rFonts w:ascii="Arial" w:eastAsia="Times New Roman" w:hAnsi="Arial" w:cs="Arial"/>
                <w:color w:val="000000"/>
                <w:sz w:val="16"/>
                <w:szCs w:val="16"/>
                <w:lang w:eastAsia="pt-BR"/>
              </w:rPr>
            </w:pPr>
            <w:r w:rsidRPr="009942A5">
              <w:rPr>
                <w:rFonts w:ascii="Arial" w:eastAsia="Times New Roman" w:hAnsi="Arial" w:cs="Arial"/>
                <w:color w:val="000000"/>
                <w:sz w:val="16"/>
                <w:szCs w:val="16"/>
                <w:lang w:eastAsia="pt-BR"/>
              </w:rPr>
              <w:t> </w:t>
            </w:r>
          </w:p>
        </w:tc>
        <w:tc>
          <w:tcPr>
            <w:tcW w:w="1020" w:type="dxa"/>
            <w:tcBorders>
              <w:top w:val="nil"/>
              <w:left w:val="nil"/>
              <w:bottom w:val="single" w:sz="4" w:space="0" w:color="auto"/>
              <w:right w:val="single" w:sz="4" w:space="0" w:color="auto"/>
            </w:tcBorders>
            <w:shd w:val="clear" w:color="auto" w:fill="auto"/>
            <w:noWrap/>
            <w:vAlign w:val="bottom"/>
            <w:hideMark/>
          </w:tcPr>
          <w:p w14:paraId="4124C2A5" w14:textId="77777777" w:rsidR="00BB5697" w:rsidRPr="009942A5" w:rsidRDefault="00BB5697" w:rsidP="00BF7C4A">
            <w:pPr>
              <w:spacing w:after="0" w:line="240" w:lineRule="auto"/>
              <w:rPr>
                <w:rFonts w:ascii="Arial" w:eastAsia="Times New Roman" w:hAnsi="Arial" w:cs="Arial"/>
                <w:color w:val="000000"/>
                <w:sz w:val="16"/>
                <w:szCs w:val="16"/>
                <w:lang w:eastAsia="pt-BR"/>
              </w:rPr>
            </w:pPr>
            <w:r w:rsidRPr="009942A5">
              <w:rPr>
                <w:rFonts w:ascii="Arial" w:eastAsia="Times New Roman" w:hAnsi="Arial" w:cs="Arial"/>
                <w:color w:val="000000"/>
                <w:sz w:val="16"/>
                <w:szCs w:val="16"/>
                <w:lang w:eastAsia="pt-BR"/>
              </w:rPr>
              <w:t> </w:t>
            </w:r>
          </w:p>
        </w:tc>
        <w:tc>
          <w:tcPr>
            <w:tcW w:w="680" w:type="dxa"/>
            <w:tcBorders>
              <w:top w:val="nil"/>
              <w:left w:val="nil"/>
              <w:bottom w:val="single" w:sz="4" w:space="0" w:color="auto"/>
              <w:right w:val="single" w:sz="4" w:space="0" w:color="auto"/>
            </w:tcBorders>
            <w:shd w:val="clear" w:color="auto" w:fill="auto"/>
            <w:noWrap/>
            <w:vAlign w:val="bottom"/>
            <w:hideMark/>
          </w:tcPr>
          <w:p w14:paraId="3A4C1D24" w14:textId="77777777" w:rsidR="00BB5697" w:rsidRPr="009942A5" w:rsidRDefault="00BB5697" w:rsidP="00BF7C4A">
            <w:pPr>
              <w:spacing w:after="0" w:line="240" w:lineRule="auto"/>
              <w:rPr>
                <w:rFonts w:ascii="Arial" w:eastAsia="Times New Roman" w:hAnsi="Arial" w:cs="Arial"/>
                <w:color w:val="000000"/>
                <w:sz w:val="16"/>
                <w:szCs w:val="16"/>
                <w:lang w:eastAsia="pt-BR"/>
              </w:rPr>
            </w:pPr>
            <w:r w:rsidRPr="009942A5">
              <w:rPr>
                <w:rFonts w:ascii="Arial" w:eastAsia="Times New Roman" w:hAnsi="Arial" w:cs="Arial"/>
                <w:color w:val="000000"/>
                <w:sz w:val="16"/>
                <w:szCs w:val="16"/>
                <w:lang w:eastAsia="pt-BR"/>
              </w:rPr>
              <w:t> </w:t>
            </w:r>
          </w:p>
        </w:tc>
        <w:tc>
          <w:tcPr>
            <w:tcW w:w="1040" w:type="dxa"/>
            <w:tcBorders>
              <w:top w:val="nil"/>
              <w:left w:val="nil"/>
              <w:bottom w:val="single" w:sz="4" w:space="0" w:color="auto"/>
              <w:right w:val="single" w:sz="4" w:space="0" w:color="auto"/>
            </w:tcBorders>
            <w:shd w:val="clear" w:color="auto" w:fill="auto"/>
            <w:noWrap/>
            <w:vAlign w:val="bottom"/>
            <w:hideMark/>
          </w:tcPr>
          <w:p w14:paraId="1506C8D2" w14:textId="77777777" w:rsidR="00BB5697" w:rsidRPr="009942A5" w:rsidRDefault="00BB5697" w:rsidP="00BF7C4A">
            <w:pPr>
              <w:spacing w:after="0" w:line="240" w:lineRule="auto"/>
              <w:rPr>
                <w:rFonts w:ascii="Arial" w:eastAsia="Times New Roman" w:hAnsi="Arial" w:cs="Arial"/>
                <w:color w:val="000000"/>
                <w:sz w:val="16"/>
                <w:szCs w:val="16"/>
                <w:lang w:eastAsia="pt-BR"/>
              </w:rPr>
            </w:pPr>
            <w:r w:rsidRPr="009942A5">
              <w:rPr>
                <w:rFonts w:ascii="Arial" w:eastAsia="Times New Roman" w:hAnsi="Arial" w:cs="Arial"/>
                <w:color w:val="000000"/>
                <w:sz w:val="16"/>
                <w:szCs w:val="16"/>
                <w:lang w:eastAsia="pt-BR"/>
              </w:rPr>
              <w:t> </w:t>
            </w:r>
          </w:p>
        </w:tc>
        <w:tc>
          <w:tcPr>
            <w:tcW w:w="960" w:type="dxa"/>
            <w:tcBorders>
              <w:top w:val="nil"/>
              <w:left w:val="nil"/>
              <w:bottom w:val="single" w:sz="4" w:space="0" w:color="auto"/>
              <w:right w:val="single" w:sz="4" w:space="0" w:color="auto"/>
            </w:tcBorders>
            <w:shd w:val="clear" w:color="auto" w:fill="auto"/>
            <w:noWrap/>
            <w:vAlign w:val="bottom"/>
            <w:hideMark/>
          </w:tcPr>
          <w:p w14:paraId="4052D27E" w14:textId="77777777" w:rsidR="00BB5697" w:rsidRPr="009942A5" w:rsidRDefault="00BB5697" w:rsidP="00BF7C4A">
            <w:pPr>
              <w:spacing w:after="0" w:line="240" w:lineRule="auto"/>
              <w:rPr>
                <w:rFonts w:ascii="Arial" w:eastAsia="Times New Roman" w:hAnsi="Arial" w:cs="Arial"/>
                <w:color w:val="000000"/>
                <w:sz w:val="16"/>
                <w:szCs w:val="16"/>
                <w:lang w:eastAsia="pt-BR"/>
              </w:rPr>
            </w:pPr>
            <w:r w:rsidRPr="009942A5">
              <w:rPr>
                <w:rFonts w:ascii="Arial" w:eastAsia="Times New Roman" w:hAnsi="Arial" w:cs="Arial"/>
                <w:color w:val="000000"/>
                <w:sz w:val="16"/>
                <w:szCs w:val="16"/>
                <w:lang w:eastAsia="pt-BR"/>
              </w:rPr>
              <w:t> </w:t>
            </w:r>
          </w:p>
        </w:tc>
        <w:tc>
          <w:tcPr>
            <w:tcW w:w="960" w:type="dxa"/>
            <w:tcBorders>
              <w:top w:val="nil"/>
              <w:left w:val="nil"/>
              <w:bottom w:val="single" w:sz="4" w:space="0" w:color="auto"/>
              <w:right w:val="single" w:sz="4" w:space="0" w:color="auto"/>
            </w:tcBorders>
            <w:shd w:val="clear" w:color="auto" w:fill="auto"/>
            <w:noWrap/>
            <w:vAlign w:val="bottom"/>
            <w:hideMark/>
          </w:tcPr>
          <w:p w14:paraId="4461FA13" w14:textId="77777777" w:rsidR="00BB5697" w:rsidRPr="009942A5" w:rsidRDefault="00BB5697" w:rsidP="00BF7C4A">
            <w:pPr>
              <w:spacing w:after="0" w:line="240" w:lineRule="auto"/>
              <w:rPr>
                <w:rFonts w:ascii="Arial" w:eastAsia="Times New Roman" w:hAnsi="Arial" w:cs="Arial"/>
                <w:color w:val="000000"/>
                <w:sz w:val="16"/>
                <w:szCs w:val="16"/>
                <w:lang w:eastAsia="pt-BR"/>
              </w:rPr>
            </w:pPr>
            <w:r w:rsidRPr="009942A5">
              <w:rPr>
                <w:rFonts w:ascii="Arial" w:eastAsia="Times New Roman" w:hAnsi="Arial" w:cs="Arial"/>
                <w:color w:val="000000"/>
                <w:sz w:val="16"/>
                <w:szCs w:val="16"/>
                <w:lang w:eastAsia="pt-BR"/>
              </w:rPr>
              <w:t> </w:t>
            </w:r>
          </w:p>
        </w:tc>
        <w:tc>
          <w:tcPr>
            <w:tcW w:w="1060" w:type="dxa"/>
            <w:tcBorders>
              <w:top w:val="nil"/>
              <w:left w:val="nil"/>
              <w:bottom w:val="single" w:sz="4" w:space="0" w:color="auto"/>
              <w:right w:val="single" w:sz="4" w:space="0" w:color="auto"/>
            </w:tcBorders>
            <w:shd w:val="clear" w:color="auto" w:fill="auto"/>
            <w:noWrap/>
            <w:vAlign w:val="bottom"/>
            <w:hideMark/>
          </w:tcPr>
          <w:p w14:paraId="7DC37D9F" w14:textId="77777777" w:rsidR="00BB5697" w:rsidRPr="009942A5" w:rsidRDefault="00BB5697" w:rsidP="00BF7C4A">
            <w:pPr>
              <w:spacing w:after="0" w:line="240" w:lineRule="auto"/>
              <w:rPr>
                <w:rFonts w:ascii="Arial" w:eastAsia="Times New Roman" w:hAnsi="Arial" w:cs="Arial"/>
                <w:color w:val="000000"/>
                <w:sz w:val="16"/>
                <w:szCs w:val="16"/>
                <w:lang w:eastAsia="pt-BR"/>
              </w:rPr>
            </w:pPr>
            <w:r w:rsidRPr="009942A5">
              <w:rPr>
                <w:rFonts w:ascii="Arial" w:eastAsia="Times New Roman" w:hAnsi="Arial" w:cs="Arial"/>
                <w:color w:val="000000"/>
                <w:sz w:val="16"/>
                <w:szCs w:val="16"/>
                <w:lang w:eastAsia="pt-BR"/>
              </w:rPr>
              <w:t> </w:t>
            </w:r>
          </w:p>
        </w:tc>
        <w:tc>
          <w:tcPr>
            <w:tcW w:w="1220" w:type="dxa"/>
            <w:tcBorders>
              <w:top w:val="nil"/>
              <w:left w:val="nil"/>
              <w:bottom w:val="single" w:sz="4" w:space="0" w:color="auto"/>
              <w:right w:val="single" w:sz="4" w:space="0" w:color="auto"/>
            </w:tcBorders>
            <w:shd w:val="clear" w:color="auto" w:fill="auto"/>
            <w:noWrap/>
            <w:vAlign w:val="bottom"/>
            <w:hideMark/>
          </w:tcPr>
          <w:p w14:paraId="4FB72AFB" w14:textId="77777777" w:rsidR="00BB5697" w:rsidRPr="009942A5" w:rsidRDefault="00BB5697" w:rsidP="00BF7C4A">
            <w:pPr>
              <w:spacing w:after="0" w:line="240" w:lineRule="auto"/>
              <w:rPr>
                <w:rFonts w:ascii="Arial" w:eastAsia="Times New Roman" w:hAnsi="Arial" w:cs="Arial"/>
                <w:color w:val="000000"/>
                <w:sz w:val="16"/>
                <w:szCs w:val="16"/>
                <w:lang w:eastAsia="pt-BR"/>
              </w:rPr>
            </w:pPr>
            <w:r w:rsidRPr="009942A5">
              <w:rPr>
                <w:rFonts w:ascii="Arial" w:eastAsia="Times New Roman" w:hAnsi="Arial" w:cs="Arial"/>
                <w:color w:val="000000"/>
                <w:sz w:val="16"/>
                <w:szCs w:val="16"/>
                <w:lang w:eastAsia="pt-BR"/>
              </w:rPr>
              <w:t> </w:t>
            </w:r>
          </w:p>
        </w:tc>
        <w:tc>
          <w:tcPr>
            <w:tcW w:w="1240" w:type="dxa"/>
            <w:tcBorders>
              <w:top w:val="nil"/>
              <w:left w:val="nil"/>
              <w:bottom w:val="single" w:sz="4" w:space="0" w:color="auto"/>
              <w:right w:val="single" w:sz="4" w:space="0" w:color="auto"/>
            </w:tcBorders>
            <w:shd w:val="clear" w:color="auto" w:fill="auto"/>
            <w:noWrap/>
            <w:vAlign w:val="bottom"/>
            <w:hideMark/>
          </w:tcPr>
          <w:p w14:paraId="40F8C084" w14:textId="77777777" w:rsidR="00BB5697" w:rsidRPr="009942A5" w:rsidRDefault="00BB5697" w:rsidP="00BF7C4A">
            <w:pPr>
              <w:spacing w:after="0" w:line="240" w:lineRule="auto"/>
              <w:rPr>
                <w:rFonts w:ascii="Arial" w:eastAsia="Times New Roman" w:hAnsi="Arial" w:cs="Arial"/>
                <w:color w:val="000000"/>
                <w:sz w:val="16"/>
                <w:szCs w:val="16"/>
                <w:lang w:eastAsia="pt-BR"/>
              </w:rPr>
            </w:pPr>
            <w:r w:rsidRPr="009942A5">
              <w:rPr>
                <w:rFonts w:ascii="Arial" w:eastAsia="Times New Roman" w:hAnsi="Arial" w:cs="Arial"/>
                <w:color w:val="000000"/>
                <w:sz w:val="16"/>
                <w:szCs w:val="16"/>
                <w:lang w:eastAsia="pt-BR"/>
              </w:rPr>
              <w:t> </w:t>
            </w:r>
          </w:p>
        </w:tc>
        <w:tc>
          <w:tcPr>
            <w:tcW w:w="1120" w:type="dxa"/>
            <w:tcBorders>
              <w:top w:val="nil"/>
              <w:left w:val="nil"/>
              <w:bottom w:val="single" w:sz="4" w:space="0" w:color="auto"/>
              <w:right w:val="single" w:sz="4" w:space="0" w:color="auto"/>
            </w:tcBorders>
            <w:shd w:val="clear" w:color="auto" w:fill="auto"/>
            <w:noWrap/>
            <w:vAlign w:val="bottom"/>
            <w:hideMark/>
          </w:tcPr>
          <w:p w14:paraId="21FE5FEC" w14:textId="77777777" w:rsidR="00BB5697" w:rsidRPr="009942A5" w:rsidRDefault="00BB5697" w:rsidP="00BF7C4A">
            <w:pPr>
              <w:spacing w:after="0" w:line="240" w:lineRule="auto"/>
              <w:rPr>
                <w:rFonts w:ascii="Arial" w:eastAsia="Times New Roman" w:hAnsi="Arial" w:cs="Arial"/>
                <w:color w:val="000000"/>
                <w:sz w:val="16"/>
                <w:szCs w:val="16"/>
                <w:lang w:eastAsia="pt-BR"/>
              </w:rPr>
            </w:pPr>
            <w:r w:rsidRPr="009942A5">
              <w:rPr>
                <w:rFonts w:ascii="Arial" w:eastAsia="Times New Roman" w:hAnsi="Arial" w:cs="Arial"/>
                <w:color w:val="000000"/>
                <w:sz w:val="16"/>
                <w:szCs w:val="16"/>
                <w:lang w:eastAsia="pt-BR"/>
              </w:rPr>
              <w:t> </w:t>
            </w:r>
          </w:p>
        </w:tc>
      </w:tr>
      <w:tr w:rsidR="00BB5697" w:rsidRPr="009942A5" w14:paraId="2F500707" w14:textId="77777777" w:rsidTr="00BF7C4A">
        <w:trPr>
          <w:trHeight w:val="3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7D56DCFE" w14:textId="77777777" w:rsidR="00BB5697" w:rsidRPr="009942A5" w:rsidRDefault="00BB5697" w:rsidP="00BF7C4A">
            <w:pPr>
              <w:spacing w:after="0" w:line="240" w:lineRule="auto"/>
              <w:rPr>
                <w:rFonts w:ascii="Arial" w:eastAsia="Times New Roman" w:hAnsi="Arial" w:cs="Arial"/>
                <w:color w:val="000000"/>
                <w:sz w:val="16"/>
                <w:szCs w:val="16"/>
                <w:lang w:eastAsia="pt-BR"/>
              </w:rPr>
            </w:pPr>
            <w:r w:rsidRPr="009942A5">
              <w:rPr>
                <w:rFonts w:ascii="Arial" w:eastAsia="Times New Roman" w:hAnsi="Arial" w:cs="Arial"/>
                <w:color w:val="000000"/>
                <w:sz w:val="16"/>
                <w:szCs w:val="16"/>
                <w:lang w:eastAsia="pt-BR"/>
              </w:rPr>
              <w:t> </w:t>
            </w:r>
          </w:p>
        </w:tc>
        <w:tc>
          <w:tcPr>
            <w:tcW w:w="985" w:type="dxa"/>
            <w:tcBorders>
              <w:top w:val="nil"/>
              <w:left w:val="nil"/>
              <w:bottom w:val="single" w:sz="4" w:space="0" w:color="auto"/>
              <w:right w:val="single" w:sz="4" w:space="0" w:color="auto"/>
            </w:tcBorders>
            <w:shd w:val="clear" w:color="auto" w:fill="auto"/>
            <w:noWrap/>
            <w:vAlign w:val="bottom"/>
            <w:hideMark/>
          </w:tcPr>
          <w:p w14:paraId="0868E780" w14:textId="77777777" w:rsidR="00BB5697" w:rsidRPr="009942A5" w:rsidRDefault="00BB5697" w:rsidP="00BF7C4A">
            <w:pPr>
              <w:spacing w:after="0" w:line="240" w:lineRule="auto"/>
              <w:rPr>
                <w:rFonts w:ascii="Arial" w:eastAsia="Times New Roman" w:hAnsi="Arial" w:cs="Arial"/>
                <w:color w:val="000000"/>
                <w:sz w:val="16"/>
                <w:szCs w:val="16"/>
                <w:lang w:eastAsia="pt-BR"/>
              </w:rPr>
            </w:pPr>
            <w:r w:rsidRPr="009942A5">
              <w:rPr>
                <w:rFonts w:ascii="Arial" w:eastAsia="Times New Roman" w:hAnsi="Arial" w:cs="Arial"/>
                <w:color w:val="000000"/>
                <w:sz w:val="16"/>
                <w:szCs w:val="16"/>
                <w:lang w:eastAsia="pt-BR"/>
              </w:rPr>
              <w:t> </w:t>
            </w:r>
          </w:p>
        </w:tc>
        <w:tc>
          <w:tcPr>
            <w:tcW w:w="1060" w:type="dxa"/>
            <w:tcBorders>
              <w:top w:val="nil"/>
              <w:left w:val="nil"/>
              <w:bottom w:val="single" w:sz="4" w:space="0" w:color="auto"/>
              <w:right w:val="single" w:sz="4" w:space="0" w:color="auto"/>
            </w:tcBorders>
            <w:shd w:val="clear" w:color="auto" w:fill="auto"/>
            <w:noWrap/>
            <w:vAlign w:val="bottom"/>
            <w:hideMark/>
          </w:tcPr>
          <w:p w14:paraId="3B85CA47" w14:textId="77777777" w:rsidR="00BB5697" w:rsidRPr="009942A5" w:rsidRDefault="00BB5697" w:rsidP="00BF7C4A">
            <w:pPr>
              <w:spacing w:after="0" w:line="240" w:lineRule="auto"/>
              <w:rPr>
                <w:rFonts w:ascii="Arial" w:eastAsia="Times New Roman" w:hAnsi="Arial" w:cs="Arial"/>
                <w:color w:val="000000"/>
                <w:sz w:val="16"/>
                <w:szCs w:val="16"/>
                <w:lang w:eastAsia="pt-BR"/>
              </w:rPr>
            </w:pPr>
            <w:r w:rsidRPr="009942A5">
              <w:rPr>
                <w:rFonts w:ascii="Arial" w:eastAsia="Times New Roman" w:hAnsi="Arial" w:cs="Arial"/>
                <w:color w:val="000000"/>
                <w:sz w:val="16"/>
                <w:szCs w:val="16"/>
                <w:lang w:eastAsia="pt-BR"/>
              </w:rPr>
              <w:t> </w:t>
            </w:r>
          </w:p>
        </w:tc>
        <w:tc>
          <w:tcPr>
            <w:tcW w:w="1020" w:type="dxa"/>
            <w:tcBorders>
              <w:top w:val="nil"/>
              <w:left w:val="nil"/>
              <w:bottom w:val="single" w:sz="4" w:space="0" w:color="auto"/>
              <w:right w:val="single" w:sz="4" w:space="0" w:color="auto"/>
            </w:tcBorders>
            <w:shd w:val="clear" w:color="auto" w:fill="auto"/>
            <w:noWrap/>
            <w:vAlign w:val="bottom"/>
            <w:hideMark/>
          </w:tcPr>
          <w:p w14:paraId="16ADE927" w14:textId="77777777" w:rsidR="00BB5697" w:rsidRPr="009942A5" w:rsidRDefault="00BB5697" w:rsidP="00BF7C4A">
            <w:pPr>
              <w:spacing w:after="0" w:line="240" w:lineRule="auto"/>
              <w:rPr>
                <w:rFonts w:ascii="Arial" w:eastAsia="Times New Roman" w:hAnsi="Arial" w:cs="Arial"/>
                <w:color w:val="000000"/>
                <w:sz w:val="16"/>
                <w:szCs w:val="16"/>
                <w:lang w:eastAsia="pt-BR"/>
              </w:rPr>
            </w:pPr>
            <w:r w:rsidRPr="009942A5">
              <w:rPr>
                <w:rFonts w:ascii="Arial" w:eastAsia="Times New Roman" w:hAnsi="Arial" w:cs="Arial"/>
                <w:color w:val="000000"/>
                <w:sz w:val="16"/>
                <w:szCs w:val="16"/>
                <w:lang w:eastAsia="pt-BR"/>
              </w:rPr>
              <w:t> </w:t>
            </w:r>
          </w:p>
        </w:tc>
        <w:tc>
          <w:tcPr>
            <w:tcW w:w="680" w:type="dxa"/>
            <w:tcBorders>
              <w:top w:val="nil"/>
              <w:left w:val="nil"/>
              <w:bottom w:val="single" w:sz="4" w:space="0" w:color="auto"/>
              <w:right w:val="single" w:sz="4" w:space="0" w:color="auto"/>
            </w:tcBorders>
            <w:shd w:val="clear" w:color="auto" w:fill="auto"/>
            <w:noWrap/>
            <w:vAlign w:val="bottom"/>
            <w:hideMark/>
          </w:tcPr>
          <w:p w14:paraId="28D62B1A" w14:textId="77777777" w:rsidR="00BB5697" w:rsidRPr="009942A5" w:rsidRDefault="00BB5697" w:rsidP="00BF7C4A">
            <w:pPr>
              <w:spacing w:after="0" w:line="240" w:lineRule="auto"/>
              <w:rPr>
                <w:rFonts w:ascii="Arial" w:eastAsia="Times New Roman" w:hAnsi="Arial" w:cs="Arial"/>
                <w:color w:val="000000"/>
                <w:sz w:val="16"/>
                <w:szCs w:val="16"/>
                <w:lang w:eastAsia="pt-BR"/>
              </w:rPr>
            </w:pPr>
            <w:r w:rsidRPr="009942A5">
              <w:rPr>
                <w:rFonts w:ascii="Arial" w:eastAsia="Times New Roman" w:hAnsi="Arial" w:cs="Arial"/>
                <w:color w:val="000000"/>
                <w:sz w:val="16"/>
                <w:szCs w:val="16"/>
                <w:lang w:eastAsia="pt-BR"/>
              </w:rPr>
              <w:t> </w:t>
            </w:r>
          </w:p>
        </w:tc>
        <w:tc>
          <w:tcPr>
            <w:tcW w:w="1040" w:type="dxa"/>
            <w:tcBorders>
              <w:top w:val="nil"/>
              <w:left w:val="nil"/>
              <w:bottom w:val="single" w:sz="4" w:space="0" w:color="auto"/>
              <w:right w:val="single" w:sz="4" w:space="0" w:color="auto"/>
            </w:tcBorders>
            <w:shd w:val="clear" w:color="auto" w:fill="auto"/>
            <w:noWrap/>
            <w:vAlign w:val="bottom"/>
            <w:hideMark/>
          </w:tcPr>
          <w:p w14:paraId="3B40452F" w14:textId="77777777" w:rsidR="00BB5697" w:rsidRPr="009942A5" w:rsidRDefault="00BB5697" w:rsidP="00BF7C4A">
            <w:pPr>
              <w:spacing w:after="0" w:line="240" w:lineRule="auto"/>
              <w:rPr>
                <w:rFonts w:ascii="Arial" w:eastAsia="Times New Roman" w:hAnsi="Arial" w:cs="Arial"/>
                <w:color w:val="000000"/>
                <w:sz w:val="16"/>
                <w:szCs w:val="16"/>
                <w:lang w:eastAsia="pt-BR"/>
              </w:rPr>
            </w:pPr>
            <w:r w:rsidRPr="009942A5">
              <w:rPr>
                <w:rFonts w:ascii="Arial" w:eastAsia="Times New Roman" w:hAnsi="Arial" w:cs="Arial"/>
                <w:color w:val="000000"/>
                <w:sz w:val="16"/>
                <w:szCs w:val="16"/>
                <w:lang w:eastAsia="pt-BR"/>
              </w:rPr>
              <w:t> </w:t>
            </w:r>
          </w:p>
        </w:tc>
        <w:tc>
          <w:tcPr>
            <w:tcW w:w="960" w:type="dxa"/>
            <w:tcBorders>
              <w:top w:val="nil"/>
              <w:left w:val="nil"/>
              <w:bottom w:val="single" w:sz="4" w:space="0" w:color="auto"/>
              <w:right w:val="single" w:sz="4" w:space="0" w:color="auto"/>
            </w:tcBorders>
            <w:shd w:val="clear" w:color="auto" w:fill="auto"/>
            <w:noWrap/>
            <w:vAlign w:val="bottom"/>
            <w:hideMark/>
          </w:tcPr>
          <w:p w14:paraId="2BAAF384" w14:textId="77777777" w:rsidR="00BB5697" w:rsidRPr="009942A5" w:rsidRDefault="00BB5697" w:rsidP="00BF7C4A">
            <w:pPr>
              <w:spacing w:after="0" w:line="240" w:lineRule="auto"/>
              <w:rPr>
                <w:rFonts w:ascii="Arial" w:eastAsia="Times New Roman" w:hAnsi="Arial" w:cs="Arial"/>
                <w:color w:val="000000"/>
                <w:sz w:val="16"/>
                <w:szCs w:val="16"/>
                <w:lang w:eastAsia="pt-BR"/>
              </w:rPr>
            </w:pPr>
            <w:r w:rsidRPr="009942A5">
              <w:rPr>
                <w:rFonts w:ascii="Arial" w:eastAsia="Times New Roman" w:hAnsi="Arial" w:cs="Arial"/>
                <w:color w:val="000000"/>
                <w:sz w:val="16"/>
                <w:szCs w:val="16"/>
                <w:lang w:eastAsia="pt-BR"/>
              </w:rPr>
              <w:t> </w:t>
            </w:r>
          </w:p>
        </w:tc>
        <w:tc>
          <w:tcPr>
            <w:tcW w:w="960" w:type="dxa"/>
            <w:tcBorders>
              <w:top w:val="nil"/>
              <w:left w:val="nil"/>
              <w:bottom w:val="single" w:sz="4" w:space="0" w:color="auto"/>
              <w:right w:val="single" w:sz="4" w:space="0" w:color="auto"/>
            </w:tcBorders>
            <w:shd w:val="clear" w:color="auto" w:fill="auto"/>
            <w:noWrap/>
            <w:vAlign w:val="bottom"/>
            <w:hideMark/>
          </w:tcPr>
          <w:p w14:paraId="584CE7D1" w14:textId="77777777" w:rsidR="00BB5697" w:rsidRPr="009942A5" w:rsidRDefault="00BB5697" w:rsidP="00BF7C4A">
            <w:pPr>
              <w:spacing w:after="0" w:line="240" w:lineRule="auto"/>
              <w:rPr>
                <w:rFonts w:ascii="Arial" w:eastAsia="Times New Roman" w:hAnsi="Arial" w:cs="Arial"/>
                <w:color w:val="000000"/>
                <w:sz w:val="16"/>
                <w:szCs w:val="16"/>
                <w:lang w:eastAsia="pt-BR"/>
              </w:rPr>
            </w:pPr>
            <w:r w:rsidRPr="009942A5">
              <w:rPr>
                <w:rFonts w:ascii="Arial" w:eastAsia="Times New Roman" w:hAnsi="Arial" w:cs="Arial"/>
                <w:color w:val="000000"/>
                <w:sz w:val="16"/>
                <w:szCs w:val="16"/>
                <w:lang w:eastAsia="pt-BR"/>
              </w:rPr>
              <w:t> </w:t>
            </w:r>
          </w:p>
        </w:tc>
        <w:tc>
          <w:tcPr>
            <w:tcW w:w="1060" w:type="dxa"/>
            <w:tcBorders>
              <w:top w:val="nil"/>
              <w:left w:val="nil"/>
              <w:bottom w:val="single" w:sz="4" w:space="0" w:color="auto"/>
              <w:right w:val="single" w:sz="4" w:space="0" w:color="auto"/>
            </w:tcBorders>
            <w:shd w:val="clear" w:color="auto" w:fill="auto"/>
            <w:noWrap/>
            <w:vAlign w:val="bottom"/>
            <w:hideMark/>
          </w:tcPr>
          <w:p w14:paraId="1966271A" w14:textId="77777777" w:rsidR="00BB5697" w:rsidRPr="009942A5" w:rsidRDefault="00BB5697" w:rsidP="00BF7C4A">
            <w:pPr>
              <w:spacing w:after="0" w:line="240" w:lineRule="auto"/>
              <w:rPr>
                <w:rFonts w:ascii="Arial" w:eastAsia="Times New Roman" w:hAnsi="Arial" w:cs="Arial"/>
                <w:color w:val="000000"/>
                <w:sz w:val="16"/>
                <w:szCs w:val="16"/>
                <w:lang w:eastAsia="pt-BR"/>
              </w:rPr>
            </w:pPr>
            <w:r w:rsidRPr="009942A5">
              <w:rPr>
                <w:rFonts w:ascii="Arial" w:eastAsia="Times New Roman" w:hAnsi="Arial" w:cs="Arial"/>
                <w:color w:val="000000"/>
                <w:sz w:val="16"/>
                <w:szCs w:val="16"/>
                <w:lang w:eastAsia="pt-BR"/>
              </w:rPr>
              <w:t> </w:t>
            </w:r>
          </w:p>
        </w:tc>
        <w:tc>
          <w:tcPr>
            <w:tcW w:w="1220" w:type="dxa"/>
            <w:tcBorders>
              <w:top w:val="nil"/>
              <w:left w:val="nil"/>
              <w:bottom w:val="single" w:sz="4" w:space="0" w:color="auto"/>
              <w:right w:val="single" w:sz="4" w:space="0" w:color="auto"/>
            </w:tcBorders>
            <w:shd w:val="clear" w:color="auto" w:fill="auto"/>
            <w:noWrap/>
            <w:vAlign w:val="bottom"/>
            <w:hideMark/>
          </w:tcPr>
          <w:p w14:paraId="7EF6D2AE" w14:textId="77777777" w:rsidR="00BB5697" w:rsidRPr="009942A5" w:rsidRDefault="00BB5697" w:rsidP="00BF7C4A">
            <w:pPr>
              <w:spacing w:after="0" w:line="240" w:lineRule="auto"/>
              <w:rPr>
                <w:rFonts w:ascii="Arial" w:eastAsia="Times New Roman" w:hAnsi="Arial" w:cs="Arial"/>
                <w:color w:val="000000"/>
                <w:sz w:val="16"/>
                <w:szCs w:val="16"/>
                <w:lang w:eastAsia="pt-BR"/>
              </w:rPr>
            </w:pPr>
            <w:r w:rsidRPr="009942A5">
              <w:rPr>
                <w:rFonts w:ascii="Arial" w:eastAsia="Times New Roman" w:hAnsi="Arial" w:cs="Arial"/>
                <w:color w:val="000000"/>
                <w:sz w:val="16"/>
                <w:szCs w:val="16"/>
                <w:lang w:eastAsia="pt-BR"/>
              </w:rPr>
              <w:t> </w:t>
            </w:r>
          </w:p>
        </w:tc>
        <w:tc>
          <w:tcPr>
            <w:tcW w:w="1240" w:type="dxa"/>
            <w:tcBorders>
              <w:top w:val="nil"/>
              <w:left w:val="nil"/>
              <w:bottom w:val="single" w:sz="4" w:space="0" w:color="auto"/>
              <w:right w:val="single" w:sz="4" w:space="0" w:color="auto"/>
            </w:tcBorders>
            <w:shd w:val="clear" w:color="auto" w:fill="auto"/>
            <w:noWrap/>
            <w:vAlign w:val="bottom"/>
            <w:hideMark/>
          </w:tcPr>
          <w:p w14:paraId="5DFD4CED" w14:textId="77777777" w:rsidR="00BB5697" w:rsidRPr="009942A5" w:rsidRDefault="00BB5697" w:rsidP="00BF7C4A">
            <w:pPr>
              <w:spacing w:after="0" w:line="240" w:lineRule="auto"/>
              <w:rPr>
                <w:rFonts w:ascii="Arial" w:eastAsia="Times New Roman" w:hAnsi="Arial" w:cs="Arial"/>
                <w:color w:val="000000"/>
                <w:sz w:val="16"/>
                <w:szCs w:val="16"/>
                <w:lang w:eastAsia="pt-BR"/>
              </w:rPr>
            </w:pPr>
            <w:r w:rsidRPr="009942A5">
              <w:rPr>
                <w:rFonts w:ascii="Arial" w:eastAsia="Times New Roman" w:hAnsi="Arial" w:cs="Arial"/>
                <w:color w:val="000000"/>
                <w:sz w:val="16"/>
                <w:szCs w:val="16"/>
                <w:lang w:eastAsia="pt-BR"/>
              </w:rPr>
              <w:t> </w:t>
            </w:r>
          </w:p>
        </w:tc>
        <w:tc>
          <w:tcPr>
            <w:tcW w:w="1120" w:type="dxa"/>
            <w:tcBorders>
              <w:top w:val="nil"/>
              <w:left w:val="nil"/>
              <w:bottom w:val="single" w:sz="4" w:space="0" w:color="auto"/>
              <w:right w:val="single" w:sz="4" w:space="0" w:color="auto"/>
            </w:tcBorders>
            <w:shd w:val="clear" w:color="auto" w:fill="auto"/>
            <w:noWrap/>
            <w:vAlign w:val="bottom"/>
            <w:hideMark/>
          </w:tcPr>
          <w:p w14:paraId="597D19B4" w14:textId="77777777" w:rsidR="00BB5697" w:rsidRPr="009942A5" w:rsidRDefault="00BB5697" w:rsidP="00BF7C4A">
            <w:pPr>
              <w:spacing w:after="0" w:line="240" w:lineRule="auto"/>
              <w:rPr>
                <w:rFonts w:ascii="Arial" w:eastAsia="Times New Roman" w:hAnsi="Arial" w:cs="Arial"/>
                <w:color w:val="000000"/>
                <w:sz w:val="16"/>
                <w:szCs w:val="16"/>
                <w:lang w:eastAsia="pt-BR"/>
              </w:rPr>
            </w:pPr>
            <w:r w:rsidRPr="009942A5">
              <w:rPr>
                <w:rFonts w:ascii="Arial" w:eastAsia="Times New Roman" w:hAnsi="Arial" w:cs="Arial"/>
                <w:color w:val="000000"/>
                <w:sz w:val="16"/>
                <w:szCs w:val="16"/>
                <w:lang w:eastAsia="pt-BR"/>
              </w:rPr>
              <w:t> </w:t>
            </w:r>
          </w:p>
        </w:tc>
      </w:tr>
    </w:tbl>
    <w:p w14:paraId="2C2A5BF4" w14:textId="77777777" w:rsidR="00BB5697" w:rsidRDefault="00BB5697" w:rsidP="00BB5697">
      <w:pPr>
        <w:spacing w:after="0" w:line="360" w:lineRule="auto"/>
        <w:jc w:val="both"/>
        <w:rPr>
          <w:rFonts w:ascii="Arial" w:hAnsi="Arial"/>
        </w:rPr>
      </w:pPr>
    </w:p>
    <w:p w14:paraId="70167342" w14:textId="77777777" w:rsidR="00BB5697" w:rsidRDefault="00BB5697" w:rsidP="00BB5697">
      <w:pPr>
        <w:spacing w:after="0" w:line="360" w:lineRule="auto"/>
        <w:jc w:val="both"/>
        <w:rPr>
          <w:rFonts w:ascii="Arial" w:hAnsi="Arial"/>
        </w:rPr>
      </w:pPr>
    </w:p>
    <w:p w14:paraId="2850A017" w14:textId="77777777" w:rsidR="00BB5697" w:rsidRDefault="00BB5697" w:rsidP="00BB5697">
      <w:pPr>
        <w:spacing w:after="0" w:line="360" w:lineRule="auto"/>
        <w:jc w:val="both"/>
        <w:rPr>
          <w:rFonts w:ascii="Arial" w:hAnsi="Arial"/>
        </w:rPr>
      </w:pPr>
    </w:p>
    <w:p w14:paraId="381A6899" w14:textId="77777777" w:rsidR="00BB5697" w:rsidRDefault="00BB5697" w:rsidP="00BB5697">
      <w:pPr>
        <w:spacing w:after="0" w:line="360" w:lineRule="auto"/>
        <w:jc w:val="both"/>
        <w:rPr>
          <w:rFonts w:ascii="Arial" w:hAnsi="Arial"/>
        </w:rPr>
      </w:pPr>
    </w:p>
    <w:p w14:paraId="682B920B" w14:textId="77777777" w:rsidR="00BB5697" w:rsidRDefault="00BB5697" w:rsidP="00BB5697">
      <w:pPr>
        <w:spacing w:after="0" w:line="360" w:lineRule="auto"/>
        <w:jc w:val="both"/>
        <w:rPr>
          <w:rFonts w:ascii="Arial" w:hAnsi="Arial"/>
        </w:rPr>
      </w:pPr>
    </w:p>
    <w:p w14:paraId="6A8E8F61" w14:textId="77777777" w:rsidR="00BB5697" w:rsidRDefault="00BB5697" w:rsidP="00BB5697">
      <w:pPr>
        <w:spacing w:after="0" w:line="360" w:lineRule="auto"/>
        <w:jc w:val="both"/>
        <w:rPr>
          <w:rFonts w:ascii="Arial" w:hAnsi="Arial"/>
        </w:rPr>
      </w:pPr>
    </w:p>
    <w:p w14:paraId="7A1F5ED7" w14:textId="77777777" w:rsidR="00BB5697" w:rsidRDefault="00BB5697" w:rsidP="00BB5697">
      <w:pPr>
        <w:spacing w:after="0" w:line="360" w:lineRule="auto"/>
        <w:jc w:val="both"/>
        <w:rPr>
          <w:rFonts w:ascii="Arial" w:hAnsi="Arial"/>
        </w:rPr>
      </w:pPr>
    </w:p>
    <w:p w14:paraId="20865FCF" w14:textId="77777777" w:rsidR="00BB5697" w:rsidRDefault="00BB5697" w:rsidP="00BB5697">
      <w:pPr>
        <w:spacing w:after="0" w:line="360" w:lineRule="auto"/>
        <w:jc w:val="both"/>
        <w:rPr>
          <w:rFonts w:ascii="Arial" w:hAnsi="Arial"/>
        </w:rPr>
      </w:pPr>
    </w:p>
    <w:p w14:paraId="5E164BDC" w14:textId="77777777" w:rsidR="00BB5697" w:rsidRDefault="00BB5697" w:rsidP="00BB5697">
      <w:pPr>
        <w:spacing w:after="0" w:line="360" w:lineRule="auto"/>
        <w:jc w:val="both"/>
        <w:rPr>
          <w:rFonts w:ascii="Arial" w:hAnsi="Arial"/>
        </w:rPr>
      </w:pPr>
    </w:p>
    <w:p w14:paraId="18691196" w14:textId="77777777" w:rsidR="00BB5697" w:rsidRDefault="00BB5697" w:rsidP="00BB5697">
      <w:pPr>
        <w:spacing w:after="0" w:line="360" w:lineRule="auto"/>
        <w:jc w:val="both"/>
        <w:rPr>
          <w:rFonts w:ascii="Arial" w:hAnsi="Arial"/>
        </w:rPr>
      </w:pPr>
    </w:p>
    <w:p w14:paraId="11D47918" w14:textId="77777777" w:rsidR="00BB5697" w:rsidRDefault="00BB5697" w:rsidP="00BB5697">
      <w:pPr>
        <w:spacing w:after="0" w:line="360" w:lineRule="auto"/>
        <w:jc w:val="both"/>
        <w:rPr>
          <w:rFonts w:ascii="Arial" w:hAnsi="Arial"/>
        </w:rPr>
      </w:pPr>
    </w:p>
    <w:tbl>
      <w:tblPr>
        <w:tblW w:w="13720" w:type="dxa"/>
        <w:tblInd w:w="75" w:type="dxa"/>
        <w:tblCellMar>
          <w:left w:w="70" w:type="dxa"/>
          <w:right w:w="70" w:type="dxa"/>
        </w:tblCellMar>
        <w:tblLook w:val="04A0" w:firstRow="1" w:lastRow="0" w:firstColumn="1" w:lastColumn="0" w:noHBand="0" w:noVBand="1"/>
      </w:tblPr>
      <w:tblGrid>
        <w:gridCol w:w="1300"/>
        <w:gridCol w:w="960"/>
        <w:gridCol w:w="1060"/>
        <w:gridCol w:w="1030"/>
        <w:gridCol w:w="680"/>
        <w:gridCol w:w="1040"/>
        <w:gridCol w:w="960"/>
        <w:gridCol w:w="1030"/>
        <w:gridCol w:w="1060"/>
        <w:gridCol w:w="1220"/>
        <w:gridCol w:w="1240"/>
        <w:gridCol w:w="1120"/>
        <w:gridCol w:w="1020"/>
      </w:tblGrid>
      <w:tr w:rsidR="00BB5697" w:rsidRPr="009942A5" w14:paraId="7E5359A3" w14:textId="77777777" w:rsidTr="00BF7C4A">
        <w:trPr>
          <w:trHeight w:val="300"/>
        </w:trPr>
        <w:tc>
          <w:tcPr>
            <w:tcW w:w="13720" w:type="dxa"/>
            <w:gridSpan w:val="13"/>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1F3639C7" w14:textId="77777777" w:rsidR="00BB5697" w:rsidRPr="009942A5" w:rsidRDefault="00BB5697" w:rsidP="00BF7C4A">
            <w:pPr>
              <w:spacing w:after="0" w:line="240" w:lineRule="auto"/>
              <w:jc w:val="center"/>
              <w:rPr>
                <w:rFonts w:ascii="Arial" w:eastAsia="Times New Roman" w:hAnsi="Arial" w:cs="Arial"/>
                <w:b/>
                <w:bCs/>
                <w:color w:val="000000"/>
                <w:sz w:val="16"/>
                <w:szCs w:val="16"/>
                <w:lang w:eastAsia="pt-BR"/>
              </w:rPr>
            </w:pPr>
            <w:r w:rsidRPr="009942A5">
              <w:rPr>
                <w:rFonts w:ascii="Arial" w:eastAsia="Times New Roman" w:hAnsi="Arial" w:cs="Arial"/>
                <w:b/>
                <w:bCs/>
                <w:color w:val="000000"/>
                <w:sz w:val="16"/>
                <w:szCs w:val="16"/>
                <w:lang w:eastAsia="pt-BR"/>
              </w:rPr>
              <w:lastRenderedPageBreak/>
              <w:t>Extrato do Parcela</w:t>
            </w:r>
            <w:r>
              <w:rPr>
                <w:rFonts w:ascii="Arial" w:eastAsia="Times New Roman" w:hAnsi="Arial" w:cs="Arial"/>
                <w:b/>
                <w:bCs/>
                <w:color w:val="000000"/>
                <w:sz w:val="16"/>
                <w:szCs w:val="16"/>
                <w:lang w:eastAsia="pt-BR"/>
              </w:rPr>
              <w:t>mento: [Número do Parcelamento]</w:t>
            </w:r>
            <w:r>
              <w:rPr>
                <w:rStyle w:val="Refdenotaderodap"/>
                <w:rFonts w:ascii="Arial" w:eastAsia="Times New Roman" w:hAnsi="Arial" w:cs="Arial"/>
                <w:b/>
                <w:bCs/>
                <w:color w:val="000000"/>
                <w:sz w:val="16"/>
                <w:szCs w:val="16"/>
                <w:lang w:eastAsia="pt-BR"/>
              </w:rPr>
              <w:footnoteReference w:id="24"/>
            </w:r>
          </w:p>
        </w:tc>
      </w:tr>
      <w:tr w:rsidR="00BB5697" w:rsidRPr="009942A5" w14:paraId="4EED1CBA" w14:textId="77777777" w:rsidTr="00BF7C4A">
        <w:trPr>
          <w:trHeight w:val="300"/>
        </w:trPr>
        <w:tc>
          <w:tcPr>
            <w:tcW w:w="6070" w:type="dxa"/>
            <w:gridSpan w:val="6"/>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5EA2B3F4" w14:textId="77777777" w:rsidR="00BB5697" w:rsidRPr="009942A5" w:rsidRDefault="00BB5697" w:rsidP="00BF7C4A">
            <w:pPr>
              <w:spacing w:after="0" w:line="240" w:lineRule="auto"/>
              <w:jc w:val="center"/>
              <w:rPr>
                <w:rFonts w:ascii="Arial" w:eastAsia="Times New Roman" w:hAnsi="Arial" w:cs="Arial"/>
                <w:b/>
                <w:bCs/>
                <w:color w:val="000000"/>
                <w:sz w:val="16"/>
                <w:szCs w:val="16"/>
                <w:lang w:eastAsia="pt-BR"/>
              </w:rPr>
            </w:pPr>
            <w:r w:rsidRPr="009942A5">
              <w:rPr>
                <w:rFonts w:ascii="Arial" w:eastAsia="Times New Roman" w:hAnsi="Arial" w:cs="Arial"/>
                <w:b/>
                <w:bCs/>
                <w:color w:val="000000"/>
                <w:sz w:val="16"/>
                <w:szCs w:val="16"/>
                <w:lang w:eastAsia="pt-BR"/>
              </w:rPr>
              <w:t>SALDO DEVEDOR - REGISTRO CONTÁBIL POR COMPETÊNCIA</w:t>
            </w:r>
          </w:p>
        </w:tc>
        <w:tc>
          <w:tcPr>
            <w:tcW w:w="7650" w:type="dxa"/>
            <w:gridSpan w:val="7"/>
            <w:tcBorders>
              <w:top w:val="single" w:sz="4" w:space="0" w:color="auto"/>
              <w:left w:val="nil"/>
              <w:bottom w:val="single" w:sz="4" w:space="0" w:color="auto"/>
              <w:right w:val="single" w:sz="4" w:space="0" w:color="auto"/>
            </w:tcBorders>
            <w:shd w:val="clear" w:color="000000" w:fill="D9D9D9"/>
            <w:noWrap/>
            <w:vAlign w:val="bottom"/>
            <w:hideMark/>
          </w:tcPr>
          <w:p w14:paraId="22DE8DA8" w14:textId="77777777" w:rsidR="00BB5697" w:rsidRPr="009942A5" w:rsidRDefault="00BB5697" w:rsidP="00BF7C4A">
            <w:pPr>
              <w:spacing w:after="0" w:line="240" w:lineRule="auto"/>
              <w:jc w:val="center"/>
              <w:rPr>
                <w:rFonts w:ascii="Arial" w:eastAsia="Times New Roman" w:hAnsi="Arial" w:cs="Arial"/>
                <w:b/>
                <w:bCs/>
                <w:color w:val="000000"/>
                <w:sz w:val="16"/>
                <w:szCs w:val="16"/>
                <w:lang w:eastAsia="pt-BR"/>
              </w:rPr>
            </w:pPr>
            <w:r w:rsidRPr="009942A5">
              <w:rPr>
                <w:rFonts w:ascii="Arial" w:eastAsia="Times New Roman" w:hAnsi="Arial" w:cs="Arial"/>
                <w:b/>
                <w:bCs/>
                <w:color w:val="000000"/>
                <w:sz w:val="16"/>
                <w:szCs w:val="16"/>
                <w:lang w:eastAsia="pt-BR"/>
              </w:rPr>
              <w:t>FLUXO FINANCEIRO DO PAGAMENTO</w:t>
            </w:r>
          </w:p>
        </w:tc>
      </w:tr>
      <w:tr w:rsidR="00BB5697" w:rsidRPr="009942A5" w14:paraId="1611B4EE" w14:textId="77777777" w:rsidTr="00BF7C4A">
        <w:trPr>
          <w:trHeight w:val="1575"/>
        </w:trPr>
        <w:tc>
          <w:tcPr>
            <w:tcW w:w="1300" w:type="dxa"/>
            <w:tcBorders>
              <w:top w:val="nil"/>
              <w:left w:val="single" w:sz="4" w:space="0" w:color="auto"/>
              <w:bottom w:val="single" w:sz="4" w:space="0" w:color="auto"/>
              <w:right w:val="single" w:sz="4" w:space="0" w:color="auto"/>
            </w:tcBorders>
            <w:shd w:val="clear" w:color="000000" w:fill="D9D9D9"/>
            <w:vAlign w:val="center"/>
            <w:hideMark/>
          </w:tcPr>
          <w:p w14:paraId="7973FC56" w14:textId="77777777" w:rsidR="00BB5697" w:rsidRPr="009942A5" w:rsidRDefault="00BB5697" w:rsidP="00BF7C4A">
            <w:pPr>
              <w:spacing w:after="0" w:line="240" w:lineRule="auto"/>
              <w:jc w:val="center"/>
              <w:rPr>
                <w:rFonts w:ascii="Arial" w:eastAsia="Times New Roman" w:hAnsi="Arial" w:cs="Arial"/>
                <w:b/>
                <w:bCs/>
                <w:color w:val="000000"/>
                <w:sz w:val="16"/>
                <w:szCs w:val="16"/>
                <w:lang w:eastAsia="pt-BR"/>
              </w:rPr>
            </w:pPr>
            <w:r w:rsidRPr="009942A5">
              <w:rPr>
                <w:rFonts w:ascii="Arial" w:eastAsia="Times New Roman" w:hAnsi="Arial" w:cs="Arial"/>
                <w:b/>
                <w:bCs/>
                <w:color w:val="000000"/>
                <w:sz w:val="16"/>
                <w:szCs w:val="16"/>
                <w:lang w:eastAsia="pt-BR"/>
              </w:rPr>
              <w:t>Competência</w:t>
            </w:r>
          </w:p>
        </w:tc>
        <w:tc>
          <w:tcPr>
            <w:tcW w:w="960" w:type="dxa"/>
            <w:tcBorders>
              <w:top w:val="nil"/>
              <w:left w:val="nil"/>
              <w:bottom w:val="single" w:sz="4" w:space="0" w:color="auto"/>
              <w:right w:val="single" w:sz="4" w:space="0" w:color="auto"/>
            </w:tcBorders>
            <w:shd w:val="clear" w:color="000000" w:fill="D9D9D9"/>
            <w:vAlign w:val="center"/>
            <w:hideMark/>
          </w:tcPr>
          <w:p w14:paraId="71A4573D" w14:textId="77777777" w:rsidR="00BB5697" w:rsidRPr="009942A5" w:rsidRDefault="00BB5697" w:rsidP="00BF7C4A">
            <w:pPr>
              <w:spacing w:after="0" w:line="240" w:lineRule="auto"/>
              <w:jc w:val="center"/>
              <w:rPr>
                <w:rFonts w:ascii="Arial" w:eastAsia="Times New Roman" w:hAnsi="Arial" w:cs="Arial"/>
                <w:b/>
                <w:bCs/>
                <w:color w:val="000000"/>
                <w:sz w:val="16"/>
                <w:szCs w:val="16"/>
                <w:lang w:eastAsia="pt-BR"/>
              </w:rPr>
            </w:pPr>
            <w:r w:rsidRPr="009942A5">
              <w:rPr>
                <w:rFonts w:ascii="Arial" w:eastAsia="Times New Roman" w:hAnsi="Arial" w:cs="Arial"/>
                <w:b/>
                <w:bCs/>
                <w:color w:val="000000"/>
                <w:sz w:val="16"/>
                <w:szCs w:val="16"/>
                <w:lang w:eastAsia="pt-BR"/>
              </w:rPr>
              <w:t>A - Saldo Devedor Inicial</w:t>
            </w:r>
            <w:r>
              <w:rPr>
                <w:rStyle w:val="Refdenotaderodap"/>
                <w:rFonts w:ascii="Arial" w:eastAsia="Times New Roman" w:hAnsi="Arial" w:cs="Arial"/>
                <w:b/>
                <w:bCs/>
                <w:color w:val="000000"/>
                <w:sz w:val="16"/>
                <w:szCs w:val="16"/>
                <w:lang w:eastAsia="pt-BR"/>
              </w:rPr>
              <w:footnoteReference w:id="25"/>
            </w:r>
          </w:p>
        </w:tc>
        <w:tc>
          <w:tcPr>
            <w:tcW w:w="1060" w:type="dxa"/>
            <w:tcBorders>
              <w:top w:val="nil"/>
              <w:left w:val="nil"/>
              <w:bottom w:val="single" w:sz="4" w:space="0" w:color="auto"/>
              <w:right w:val="single" w:sz="4" w:space="0" w:color="auto"/>
            </w:tcBorders>
            <w:shd w:val="clear" w:color="000000" w:fill="D9D9D9"/>
            <w:vAlign w:val="center"/>
            <w:hideMark/>
          </w:tcPr>
          <w:p w14:paraId="48B3C3DC" w14:textId="77777777" w:rsidR="00BB5697" w:rsidRPr="009942A5" w:rsidRDefault="00BB5697" w:rsidP="00BF7C4A">
            <w:pPr>
              <w:spacing w:after="0" w:line="240" w:lineRule="auto"/>
              <w:jc w:val="center"/>
              <w:rPr>
                <w:rFonts w:ascii="Arial" w:eastAsia="Times New Roman" w:hAnsi="Arial" w:cs="Arial"/>
                <w:b/>
                <w:bCs/>
                <w:color w:val="000000"/>
                <w:sz w:val="16"/>
                <w:szCs w:val="16"/>
                <w:lang w:eastAsia="pt-BR"/>
              </w:rPr>
            </w:pPr>
            <w:r w:rsidRPr="009942A5">
              <w:rPr>
                <w:rFonts w:ascii="Arial" w:eastAsia="Times New Roman" w:hAnsi="Arial" w:cs="Arial"/>
                <w:b/>
                <w:bCs/>
                <w:color w:val="000000"/>
                <w:sz w:val="16"/>
                <w:szCs w:val="16"/>
                <w:lang w:eastAsia="pt-BR"/>
              </w:rPr>
              <w:t>B - Índice de Atualização</w:t>
            </w:r>
          </w:p>
        </w:tc>
        <w:tc>
          <w:tcPr>
            <w:tcW w:w="1030" w:type="dxa"/>
            <w:tcBorders>
              <w:top w:val="nil"/>
              <w:left w:val="nil"/>
              <w:bottom w:val="single" w:sz="4" w:space="0" w:color="auto"/>
              <w:right w:val="single" w:sz="4" w:space="0" w:color="auto"/>
            </w:tcBorders>
            <w:shd w:val="clear" w:color="000000" w:fill="D9D9D9"/>
            <w:vAlign w:val="center"/>
            <w:hideMark/>
          </w:tcPr>
          <w:p w14:paraId="336D9CC6" w14:textId="77777777" w:rsidR="00BB5697" w:rsidRPr="009942A5" w:rsidRDefault="00BB5697" w:rsidP="00BF7C4A">
            <w:pPr>
              <w:spacing w:after="0" w:line="240" w:lineRule="auto"/>
              <w:jc w:val="center"/>
              <w:rPr>
                <w:rFonts w:ascii="Arial" w:eastAsia="Times New Roman" w:hAnsi="Arial" w:cs="Arial"/>
                <w:b/>
                <w:bCs/>
                <w:color w:val="000000"/>
                <w:sz w:val="16"/>
                <w:szCs w:val="16"/>
                <w:lang w:eastAsia="pt-BR"/>
              </w:rPr>
            </w:pPr>
            <w:r w:rsidRPr="009942A5">
              <w:rPr>
                <w:rFonts w:ascii="Arial" w:eastAsia="Times New Roman" w:hAnsi="Arial" w:cs="Arial"/>
                <w:b/>
                <w:bCs/>
                <w:color w:val="000000"/>
                <w:sz w:val="16"/>
                <w:szCs w:val="16"/>
                <w:lang w:eastAsia="pt-BR"/>
              </w:rPr>
              <w:t>C - Valor da Atualização do Saldo Devedor do Mês</w:t>
            </w:r>
            <w:r>
              <w:rPr>
                <w:rStyle w:val="Refdenotaderodap"/>
                <w:rFonts w:ascii="Arial" w:eastAsia="Times New Roman" w:hAnsi="Arial" w:cs="Arial"/>
                <w:b/>
                <w:bCs/>
                <w:color w:val="000000"/>
                <w:sz w:val="16"/>
                <w:szCs w:val="16"/>
                <w:lang w:eastAsia="pt-BR"/>
              </w:rPr>
              <w:footnoteReference w:id="26"/>
            </w:r>
            <w:r w:rsidRPr="009942A5">
              <w:rPr>
                <w:rFonts w:ascii="Arial" w:eastAsia="Times New Roman" w:hAnsi="Arial" w:cs="Arial"/>
                <w:b/>
                <w:bCs/>
                <w:color w:val="000000"/>
                <w:sz w:val="16"/>
                <w:szCs w:val="16"/>
                <w:lang w:eastAsia="pt-BR"/>
              </w:rPr>
              <w:t xml:space="preserve"> = A * B</w:t>
            </w:r>
          </w:p>
        </w:tc>
        <w:tc>
          <w:tcPr>
            <w:tcW w:w="680" w:type="dxa"/>
            <w:tcBorders>
              <w:top w:val="nil"/>
              <w:left w:val="nil"/>
              <w:bottom w:val="single" w:sz="4" w:space="0" w:color="auto"/>
              <w:right w:val="single" w:sz="4" w:space="0" w:color="auto"/>
            </w:tcBorders>
            <w:shd w:val="clear" w:color="000000" w:fill="D9D9D9"/>
            <w:vAlign w:val="center"/>
            <w:hideMark/>
          </w:tcPr>
          <w:p w14:paraId="0F242735" w14:textId="77777777" w:rsidR="00BB5697" w:rsidRPr="009942A5" w:rsidRDefault="00BB5697" w:rsidP="00BF7C4A">
            <w:pPr>
              <w:spacing w:after="0" w:line="240" w:lineRule="auto"/>
              <w:jc w:val="center"/>
              <w:rPr>
                <w:rFonts w:ascii="Arial" w:eastAsia="Times New Roman" w:hAnsi="Arial" w:cs="Arial"/>
                <w:b/>
                <w:bCs/>
                <w:color w:val="000000"/>
                <w:sz w:val="16"/>
                <w:szCs w:val="16"/>
                <w:lang w:eastAsia="pt-BR"/>
              </w:rPr>
            </w:pPr>
            <w:r w:rsidRPr="009942A5">
              <w:rPr>
                <w:rFonts w:ascii="Arial" w:eastAsia="Times New Roman" w:hAnsi="Arial" w:cs="Arial"/>
                <w:b/>
                <w:bCs/>
                <w:color w:val="000000"/>
                <w:sz w:val="16"/>
                <w:szCs w:val="16"/>
                <w:lang w:eastAsia="pt-BR"/>
              </w:rPr>
              <w:t>D - % Juros a. m.</w:t>
            </w:r>
          </w:p>
        </w:tc>
        <w:tc>
          <w:tcPr>
            <w:tcW w:w="1040" w:type="dxa"/>
            <w:tcBorders>
              <w:top w:val="nil"/>
              <w:left w:val="nil"/>
              <w:bottom w:val="single" w:sz="4" w:space="0" w:color="auto"/>
              <w:right w:val="single" w:sz="4" w:space="0" w:color="auto"/>
            </w:tcBorders>
            <w:shd w:val="clear" w:color="000000" w:fill="D9D9D9"/>
            <w:vAlign w:val="center"/>
            <w:hideMark/>
          </w:tcPr>
          <w:p w14:paraId="7900D678" w14:textId="77777777" w:rsidR="00BB5697" w:rsidRPr="009942A5" w:rsidRDefault="00BB5697" w:rsidP="00BF7C4A">
            <w:pPr>
              <w:spacing w:after="0" w:line="240" w:lineRule="auto"/>
              <w:jc w:val="center"/>
              <w:rPr>
                <w:rFonts w:ascii="Arial" w:eastAsia="Times New Roman" w:hAnsi="Arial" w:cs="Arial"/>
                <w:b/>
                <w:bCs/>
                <w:color w:val="000000"/>
                <w:sz w:val="16"/>
                <w:szCs w:val="16"/>
                <w:lang w:eastAsia="pt-BR"/>
              </w:rPr>
            </w:pPr>
            <w:r w:rsidRPr="009942A5">
              <w:rPr>
                <w:rFonts w:ascii="Arial" w:eastAsia="Times New Roman" w:hAnsi="Arial" w:cs="Arial"/>
                <w:b/>
                <w:bCs/>
                <w:color w:val="000000"/>
                <w:sz w:val="16"/>
                <w:szCs w:val="16"/>
                <w:lang w:eastAsia="pt-BR"/>
              </w:rPr>
              <w:t>E - Valor dos Juros</w:t>
            </w:r>
            <w:r>
              <w:rPr>
                <w:rStyle w:val="Refdenotaderodap"/>
                <w:rFonts w:ascii="Arial" w:eastAsia="Times New Roman" w:hAnsi="Arial" w:cs="Arial"/>
                <w:b/>
                <w:bCs/>
                <w:color w:val="000000"/>
                <w:sz w:val="16"/>
                <w:szCs w:val="16"/>
                <w:lang w:eastAsia="pt-BR"/>
              </w:rPr>
              <w:footnoteReference w:id="27"/>
            </w:r>
            <w:r w:rsidRPr="009942A5">
              <w:rPr>
                <w:rFonts w:ascii="Arial" w:eastAsia="Times New Roman" w:hAnsi="Arial" w:cs="Arial"/>
                <w:b/>
                <w:bCs/>
                <w:color w:val="000000"/>
                <w:sz w:val="16"/>
                <w:szCs w:val="16"/>
                <w:lang w:eastAsia="pt-BR"/>
              </w:rPr>
              <w:t>= [(A + C) * D]</w:t>
            </w:r>
          </w:p>
        </w:tc>
        <w:tc>
          <w:tcPr>
            <w:tcW w:w="960" w:type="dxa"/>
            <w:tcBorders>
              <w:top w:val="nil"/>
              <w:left w:val="nil"/>
              <w:bottom w:val="single" w:sz="4" w:space="0" w:color="auto"/>
              <w:right w:val="single" w:sz="4" w:space="0" w:color="auto"/>
            </w:tcBorders>
            <w:shd w:val="clear" w:color="000000" w:fill="D9D9D9"/>
            <w:vAlign w:val="center"/>
            <w:hideMark/>
          </w:tcPr>
          <w:p w14:paraId="3030BEF8" w14:textId="77777777" w:rsidR="00BB5697" w:rsidRPr="009942A5" w:rsidRDefault="00BB5697" w:rsidP="00BF7C4A">
            <w:pPr>
              <w:spacing w:after="0" w:line="240" w:lineRule="auto"/>
              <w:jc w:val="center"/>
              <w:rPr>
                <w:rFonts w:ascii="Arial" w:eastAsia="Times New Roman" w:hAnsi="Arial" w:cs="Arial"/>
                <w:b/>
                <w:bCs/>
                <w:color w:val="000000"/>
                <w:sz w:val="16"/>
                <w:szCs w:val="16"/>
                <w:lang w:eastAsia="pt-BR"/>
              </w:rPr>
            </w:pPr>
            <w:r w:rsidRPr="009942A5">
              <w:rPr>
                <w:rFonts w:ascii="Arial" w:eastAsia="Times New Roman" w:hAnsi="Arial" w:cs="Arial"/>
                <w:b/>
                <w:bCs/>
                <w:color w:val="000000"/>
                <w:sz w:val="16"/>
                <w:szCs w:val="16"/>
                <w:lang w:eastAsia="pt-BR"/>
              </w:rPr>
              <w:t>F - Valor Principal da Parcela</w:t>
            </w:r>
            <w:r>
              <w:rPr>
                <w:rStyle w:val="Refdenotaderodap"/>
                <w:rFonts w:ascii="Arial" w:eastAsia="Times New Roman" w:hAnsi="Arial" w:cs="Arial"/>
                <w:b/>
                <w:bCs/>
                <w:color w:val="000000"/>
                <w:sz w:val="16"/>
                <w:szCs w:val="16"/>
                <w:lang w:eastAsia="pt-BR"/>
              </w:rPr>
              <w:footnoteReference w:id="28"/>
            </w:r>
          </w:p>
        </w:tc>
        <w:tc>
          <w:tcPr>
            <w:tcW w:w="1030" w:type="dxa"/>
            <w:tcBorders>
              <w:top w:val="nil"/>
              <w:left w:val="nil"/>
              <w:bottom w:val="single" w:sz="4" w:space="0" w:color="auto"/>
              <w:right w:val="single" w:sz="4" w:space="0" w:color="auto"/>
            </w:tcBorders>
            <w:shd w:val="clear" w:color="000000" w:fill="D9D9D9"/>
            <w:vAlign w:val="center"/>
            <w:hideMark/>
          </w:tcPr>
          <w:p w14:paraId="591AEFDB" w14:textId="77777777" w:rsidR="00BB5697" w:rsidRPr="009942A5" w:rsidRDefault="00BB5697" w:rsidP="00BF7C4A">
            <w:pPr>
              <w:spacing w:after="0" w:line="240" w:lineRule="auto"/>
              <w:jc w:val="center"/>
              <w:rPr>
                <w:rFonts w:ascii="Arial" w:eastAsia="Times New Roman" w:hAnsi="Arial" w:cs="Arial"/>
                <w:b/>
                <w:bCs/>
                <w:color w:val="000000"/>
                <w:sz w:val="16"/>
                <w:szCs w:val="16"/>
                <w:lang w:eastAsia="pt-BR"/>
              </w:rPr>
            </w:pPr>
            <w:r w:rsidRPr="009942A5">
              <w:rPr>
                <w:rFonts w:ascii="Arial" w:eastAsia="Times New Roman" w:hAnsi="Arial" w:cs="Arial"/>
                <w:b/>
                <w:bCs/>
                <w:color w:val="000000"/>
                <w:sz w:val="16"/>
                <w:szCs w:val="16"/>
                <w:lang w:eastAsia="pt-BR"/>
              </w:rPr>
              <w:t>G - Valor da Atualização da parcela</w:t>
            </w:r>
            <w:r>
              <w:rPr>
                <w:rStyle w:val="Refdenotaderodap"/>
                <w:rFonts w:ascii="Arial" w:eastAsia="Times New Roman" w:hAnsi="Arial" w:cs="Arial"/>
                <w:b/>
                <w:bCs/>
                <w:color w:val="000000"/>
                <w:sz w:val="16"/>
                <w:szCs w:val="16"/>
                <w:lang w:eastAsia="pt-BR"/>
              </w:rPr>
              <w:footnoteReference w:id="29"/>
            </w:r>
            <w:r w:rsidRPr="009942A5">
              <w:rPr>
                <w:rFonts w:ascii="Arial" w:eastAsia="Times New Roman" w:hAnsi="Arial" w:cs="Arial"/>
                <w:b/>
                <w:bCs/>
                <w:color w:val="000000"/>
                <w:sz w:val="16"/>
                <w:szCs w:val="16"/>
                <w:lang w:eastAsia="pt-BR"/>
              </w:rPr>
              <w:t xml:space="preserve"> = B * F</w:t>
            </w:r>
          </w:p>
        </w:tc>
        <w:tc>
          <w:tcPr>
            <w:tcW w:w="1060" w:type="dxa"/>
            <w:tcBorders>
              <w:top w:val="nil"/>
              <w:left w:val="nil"/>
              <w:bottom w:val="single" w:sz="4" w:space="0" w:color="auto"/>
              <w:right w:val="single" w:sz="4" w:space="0" w:color="auto"/>
            </w:tcBorders>
            <w:shd w:val="clear" w:color="000000" w:fill="D9D9D9"/>
            <w:vAlign w:val="center"/>
            <w:hideMark/>
          </w:tcPr>
          <w:p w14:paraId="79709480" w14:textId="77777777" w:rsidR="00BB5697" w:rsidRPr="009942A5" w:rsidRDefault="00BB5697" w:rsidP="00BF7C4A">
            <w:pPr>
              <w:spacing w:after="0" w:line="240" w:lineRule="auto"/>
              <w:jc w:val="center"/>
              <w:rPr>
                <w:rFonts w:ascii="Arial" w:eastAsia="Times New Roman" w:hAnsi="Arial" w:cs="Arial"/>
                <w:b/>
                <w:bCs/>
                <w:color w:val="000000"/>
                <w:sz w:val="16"/>
                <w:szCs w:val="16"/>
                <w:lang w:eastAsia="pt-BR"/>
              </w:rPr>
            </w:pPr>
            <w:r w:rsidRPr="009942A5">
              <w:rPr>
                <w:rFonts w:ascii="Arial" w:eastAsia="Times New Roman" w:hAnsi="Arial" w:cs="Arial"/>
                <w:b/>
                <w:bCs/>
                <w:color w:val="000000"/>
                <w:sz w:val="16"/>
                <w:szCs w:val="16"/>
                <w:lang w:eastAsia="pt-BR"/>
              </w:rPr>
              <w:t>H - Valor dos Juros sobre a parcela</w:t>
            </w:r>
            <w:r>
              <w:rPr>
                <w:rStyle w:val="Refdenotaderodap"/>
                <w:rFonts w:ascii="Arial" w:eastAsia="Times New Roman" w:hAnsi="Arial" w:cs="Arial"/>
                <w:b/>
                <w:bCs/>
                <w:color w:val="000000"/>
                <w:sz w:val="16"/>
                <w:szCs w:val="16"/>
                <w:lang w:eastAsia="pt-BR"/>
              </w:rPr>
              <w:footnoteReference w:id="30"/>
            </w:r>
          </w:p>
        </w:tc>
        <w:tc>
          <w:tcPr>
            <w:tcW w:w="1220" w:type="dxa"/>
            <w:tcBorders>
              <w:top w:val="nil"/>
              <w:left w:val="nil"/>
              <w:bottom w:val="single" w:sz="4" w:space="0" w:color="auto"/>
              <w:right w:val="single" w:sz="4" w:space="0" w:color="auto"/>
            </w:tcBorders>
            <w:shd w:val="clear" w:color="000000" w:fill="D9D9D9"/>
            <w:vAlign w:val="center"/>
            <w:hideMark/>
          </w:tcPr>
          <w:p w14:paraId="6EFDDA93" w14:textId="77777777" w:rsidR="00BB5697" w:rsidRPr="009942A5" w:rsidRDefault="00BB5697" w:rsidP="00BF7C4A">
            <w:pPr>
              <w:spacing w:after="0" w:line="240" w:lineRule="auto"/>
              <w:jc w:val="center"/>
              <w:rPr>
                <w:rFonts w:ascii="Arial" w:eastAsia="Times New Roman" w:hAnsi="Arial" w:cs="Arial"/>
                <w:b/>
                <w:bCs/>
                <w:color w:val="000000"/>
                <w:sz w:val="16"/>
                <w:szCs w:val="16"/>
                <w:lang w:eastAsia="pt-BR"/>
              </w:rPr>
            </w:pPr>
            <w:r w:rsidRPr="009942A5">
              <w:rPr>
                <w:rFonts w:ascii="Arial" w:eastAsia="Times New Roman" w:hAnsi="Arial" w:cs="Arial"/>
                <w:b/>
                <w:bCs/>
                <w:color w:val="000000"/>
                <w:sz w:val="16"/>
                <w:szCs w:val="16"/>
                <w:lang w:eastAsia="pt-BR"/>
              </w:rPr>
              <w:t>I - Valor Total Pago</w:t>
            </w:r>
            <w:r>
              <w:rPr>
                <w:rStyle w:val="Refdenotaderodap"/>
                <w:rFonts w:ascii="Arial" w:eastAsia="Times New Roman" w:hAnsi="Arial" w:cs="Arial"/>
                <w:b/>
                <w:bCs/>
                <w:color w:val="000000"/>
                <w:sz w:val="16"/>
                <w:szCs w:val="16"/>
                <w:lang w:eastAsia="pt-BR"/>
              </w:rPr>
              <w:footnoteReference w:id="31"/>
            </w:r>
            <w:r w:rsidRPr="009942A5">
              <w:rPr>
                <w:rFonts w:ascii="Arial" w:eastAsia="Times New Roman" w:hAnsi="Arial" w:cs="Arial"/>
                <w:b/>
                <w:bCs/>
                <w:color w:val="000000"/>
                <w:sz w:val="16"/>
                <w:szCs w:val="16"/>
                <w:lang w:eastAsia="pt-BR"/>
              </w:rPr>
              <w:t xml:space="preserve"> = F + G + H</w:t>
            </w:r>
          </w:p>
        </w:tc>
        <w:tc>
          <w:tcPr>
            <w:tcW w:w="1240" w:type="dxa"/>
            <w:tcBorders>
              <w:top w:val="nil"/>
              <w:left w:val="nil"/>
              <w:bottom w:val="single" w:sz="4" w:space="0" w:color="auto"/>
              <w:right w:val="single" w:sz="4" w:space="0" w:color="auto"/>
            </w:tcBorders>
            <w:shd w:val="clear" w:color="000000" w:fill="D9D9D9"/>
            <w:vAlign w:val="center"/>
            <w:hideMark/>
          </w:tcPr>
          <w:p w14:paraId="1BB71EC8" w14:textId="77777777" w:rsidR="00BB5697" w:rsidRPr="009942A5" w:rsidRDefault="00BB5697" w:rsidP="00BF7C4A">
            <w:pPr>
              <w:spacing w:after="0" w:line="240" w:lineRule="auto"/>
              <w:jc w:val="center"/>
              <w:rPr>
                <w:rFonts w:ascii="Arial" w:eastAsia="Times New Roman" w:hAnsi="Arial" w:cs="Arial"/>
                <w:b/>
                <w:bCs/>
                <w:color w:val="000000"/>
                <w:sz w:val="16"/>
                <w:szCs w:val="16"/>
                <w:lang w:eastAsia="pt-BR"/>
              </w:rPr>
            </w:pPr>
            <w:r w:rsidRPr="009942A5">
              <w:rPr>
                <w:rFonts w:ascii="Arial" w:eastAsia="Times New Roman" w:hAnsi="Arial" w:cs="Arial"/>
                <w:b/>
                <w:bCs/>
                <w:color w:val="000000"/>
                <w:sz w:val="16"/>
                <w:szCs w:val="16"/>
                <w:lang w:eastAsia="pt-BR"/>
              </w:rPr>
              <w:t xml:space="preserve"> Nº. da Parcela </w:t>
            </w:r>
          </w:p>
        </w:tc>
        <w:tc>
          <w:tcPr>
            <w:tcW w:w="1120" w:type="dxa"/>
            <w:tcBorders>
              <w:top w:val="nil"/>
              <w:left w:val="nil"/>
              <w:bottom w:val="single" w:sz="4" w:space="0" w:color="auto"/>
              <w:right w:val="single" w:sz="4" w:space="0" w:color="auto"/>
            </w:tcBorders>
            <w:shd w:val="clear" w:color="000000" w:fill="D9D9D9"/>
            <w:vAlign w:val="center"/>
            <w:hideMark/>
          </w:tcPr>
          <w:p w14:paraId="5B24AF5A" w14:textId="77777777" w:rsidR="00BB5697" w:rsidRPr="009942A5" w:rsidRDefault="00BB5697" w:rsidP="00BF7C4A">
            <w:pPr>
              <w:spacing w:after="0" w:line="240" w:lineRule="auto"/>
              <w:jc w:val="center"/>
              <w:rPr>
                <w:rFonts w:ascii="Arial" w:eastAsia="Times New Roman" w:hAnsi="Arial" w:cs="Arial"/>
                <w:b/>
                <w:bCs/>
                <w:color w:val="000000"/>
                <w:sz w:val="16"/>
                <w:szCs w:val="16"/>
                <w:lang w:eastAsia="pt-BR"/>
              </w:rPr>
            </w:pPr>
            <w:r w:rsidRPr="009942A5">
              <w:rPr>
                <w:rFonts w:ascii="Arial" w:eastAsia="Times New Roman" w:hAnsi="Arial" w:cs="Arial"/>
                <w:b/>
                <w:bCs/>
                <w:color w:val="000000"/>
                <w:sz w:val="16"/>
                <w:szCs w:val="16"/>
                <w:lang w:eastAsia="pt-BR"/>
              </w:rPr>
              <w:t xml:space="preserve"> Data do Pagamento </w:t>
            </w:r>
          </w:p>
        </w:tc>
        <w:tc>
          <w:tcPr>
            <w:tcW w:w="1020" w:type="dxa"/>
            <w:tcBorders>
              <w:top w:val="nil"/>
              <w:left w:val="nil"/>
              <w:bottom w:val="single" w:sz="4" w:space="0" w:color="auto"/>
              <w:right w:val="single" w:sz="4" w:space="0" w:color="auto"/>
            </w:tcBorders>
            <w:shd w:val="clear" w:color="000000" w:fill="D9D9D9"/>
            <w:vAlign w:val="center"/>
            <w:hideMark/>
          </w:tcPr>
          <w:p w14:paraId="29680197" w14:textId="77777777" w:rsidR="00BB5697" w:rsidRPr="009942A5" w:rsidRDefault="00BB5697" w:rsidP="00BF7C4A">
            <w:pPr>
              <w:spacing w:after="0" w:line="240" w:lineRule="auto"/>
              <w:jc w:val="center"/>
              <w:rPr>
                <w:rFonts w:ascii="Arial" w:eastAsia="Times New Roman" w:hAnsi="Arial" w:cs="Arial"/>
                <w:b/>
                <w:bCs/>
                <w:color w:val="000000"/>
                <w:sz w:val="16"/>
                <w:szCs w:val="16"/>
                <w:lang w:eastAsia="pt-BR"/>
              </w:rPr>
            </w:pPr>
            <w:r w:rsidRPr="009942A5">
              <w:rPr>
                <w:rFonts w:ascii="Arial" w:eastAsia="Times New Roman" w:hAnsi="Arial" w:cs="Arial"/>
                <w:b/>
                <w:bCs/>
                <w:color w:val="000000"/>
                <w:sz w:val="16"/>
                <w:szCs w:val="16"/>
                <w:lang w:eastAsia="pt-BR"/>
              </w:rPr>
              <w:t>J - Saldo Devedor para o Mês Seguinte</w:t>
            </w:r>
            <w:r>
              <w:rPr>
                <w:rStyle w:val="Refdenotaderodap"/>
                <w:rFonts w:ascii="Arial" w:eastAsia="Times New Roman" w:hAnsi="Arial" w:cs="Arial"/>
                <w:b/>
                <w:bCs/>
                <w:color w:val="000000"/>
                <w:sz w:val="16"/>
                <w:szCs w:val="16"/>
                <w:lang w:eastAsia="pt-BR"/>
              </w:rPr>
              <w:footnoteReference w:id="32"/>
            </w:r>
          </w:p>
        </w:tc>
      </w:tr>
      <w:tr w:rsidR="00BB5697" w:rsidRPr="009942A5" w14:paraId="559EF6BD" w14:textId="77777777" w:rsidTr="00BF7C4A">
        <w:trPr>
          <w:trHeight w:val="3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4056D558" w14:textId="77777777" w:rsidR="00BB5697" w:rsidRPr="009942A5" w:rsidRDefault="00BB5697" w:rsidP="00BF7C4A">
            <w:pPr>
              <w:spacing w:after="0" w:line="240" w:lineRule="auto"/>
              <w:rPr>
                <w:rFonts w:ascii="Arial" w:eastAsia="Times New Roman" w:hAnsi="Arial" w:cs="Arial"/>
                <w:color w:val="000000"/>
                <w:sz w:val="16"/>
                <w:szCs w:val="16"/>
                <w:lang w:eastAsia="pt-BR"/>
              </w:rPr>
            </w:pPr>
            <w:r w:rsidRPr="009942A5">
              <w:rPr>
                <w:rFonts w:ascii="Arial" w:eastAsia="Times New Roman" w:hAnsi="Arial" w:cs="Arial"/>
                <w:color w:val="000000"/>
                <w:sz w:val="16"/>
                <w:szCs w:val="16"/>
                <w:lang w:eastAsia="pt-BR"/>
              </w:rPr>
              <w:t> </w:t>
            </w:r>
          </w:p>
        </w:tc>
        <w:tc>
          <w:tcPr>
            <w:tcW w:w="960" w:type="dxa"/>
            <w:tcBorders>
              <w:top w:val="nil"/>
              <w:left w:val="nil"/>
              <w:bottom w:val="single" w:sz="4" w:space="0" w:color="auto"/>
              <w:right w:val="single" w:sz="4" w:space="0" w:color="auto"/>
            </w:tcBorders>
            <w:shd w:val="clear" w:color="auto" w:fill="auto"/>
            <w:noWrap/>
            <w:vAlign w:val="bottom"/>
            <w:hideMark/>
          </w:tcPr>
          <w:p w14:paraId="5E43645D" w14:textId="77777777" w:rsidR="00BB5697" w:rsidRPr="009942A5" w:rsidRDefault="00BB5697" w:rsidP="00BF7C4A">
            <w:pPr>
              <w:spacing w:after="0" w:line="240" w:lineRule="auto"/>
              <w:rPr>
                <w:rFonts w:ascii="Arial" w:eastAsia="Times New Roman" w:hAnsi="Arial" w:cs="Arial"/>
                <w:color w:val="000000"/>
                <w:sz w:val="16"/>
                <w:szCs w:val="16"/>
                <w:lang w:eastAsia="pt-BR"/>
              </w:rPr>
            </w:pPr>
            <w:r w:rsidRPr="009942A5">
              <w:rPr>
                <w:rFonts w:ascii="Arial" w:eastAsia="Times New Roman" w:hAnsi="Arial" w:cs="Arial"/>
                <w:color w:val="000000"/>
                <w:sz w:val="16"/>
                <w:szCs w:val="16"/>
                <w:lang w:eastAsia="pt-BR"/>
              </w:rPr>
              <w:t> </w:t>
            </w:r>
          </w:p>
        </w:tc>
        <w:tc>
          <w:tcPr>
            <w:tcW w:w="1060" w:type="dxa"/>
            <w:tcBorders>
              <w:top w:val="nil"/>
              <w:left w:val="nil"/>
              <w:bottom w:val="single" w:sz="4" w:space="0" w:color="auto"/>
              <w:right w:val="single" w:sz="4" w:space="0" w:color="auto"/>
            </w:tcBorders>
            <w:shd w:val="clear" w:color="auto" w:fill="auto"/>
            <w:noWrap/>
            <w:vAlign w:val="bottom"/>
            <w:hideMark/>
          </w:tcPr>
          <w:p w14:paraId="5A6E23FE" w14:textId="77777777" w:rsidR="00BB5697" w:rsidRPr="009942A5" w:rsidRDefault="00BB5697" w:rsidP="00BF7C4A">
            <w:pPr>
              <w:spacing w:after="0" w:line="240" w:lineRule="auto"/>
              <w:rPr>
                <w:rFonts w:ascii="Arial" w:eastAsia="Times New Roman" w:hAnsi="Arial" w:cs="Arial"/>
                <w:color w:val="000000"/>
                <w:sz w:val="16"/>
                <w:szCs w:val="16"/>
                <w:lang w:eastAsia="pt-BR"/>
              </w:rPr>
            </w:pPr>
            <w:r w:rsidRPr="009942A5">
              <w:rPr>
                <w:rFonts w:ascii="Arial" w:eastAsia="Times New Roman" w:hAnsi="Arial" w:cs="Arial"/>
                <w:color w:val="000000"/>
                <w:sz w:val="16"/>
                <w:szCs w:val="16"/>
                <w:lang w:eastAsia="pt-BR"/>
              </w:rPr>
              <w:t> </w:t>
            </w:r>
          </w:p>
        </w:tc>
        <w:tc>
          <w:tcPr>
            <w:tcW w:w="1030" w:type="dxa"/>
            <w:tcBorders>
              <w:top w:val="nil"/>
              <w:left w:val="nil"/>
              <w:bottom w:val="single" w:sz="4" w:space="0" w:color="auto"/>
              <w:right w:val="single" w:sz="4" w:space="0" w:color="auto"/>
            </w:tcBorders>
            <w:shd w:val="clear" w:color="auto" w:fill="auto"/>
            <w:noWrap/>
            <w:vAlign w:val="bottom"/>
            <w:hideMark/>
          </w:tcPr>
          <w:p w14:paraId="4E67A9CE" w14:textId="77777777" w:rsidR="00BB5697" w:rsidRPr="009942A5" w:rsidRDefault="00BB5697" w:rsidP="00BF7C4A">
            <w:pPr>
              <w:spacing w:after="0" w:line="240" w:lineRule="auto"/>
              <w:rPr>
                <w:rFonts w:ascii="Arial" w:eastAsia="Times New Roman" w:hAnsi="Arial" w:cs="Arial"/>
                <w:color w:val="000000"/>
                <w:sz w:val="16"/>
                <w:szCs w:val="16"/>
                <w:lang w:eastAsia="pt-BR"/>
              </w:rPr>
            </w:pPr>
            <w:r w:rsidRPr="009942A5">
              <w:rPr>
                <w:rFonts w:ascii="Arial" w:eastAsia="Times New Roman" w:hAnsi="Arial" w:cs="Arial"/>
                <w:color w:val="000000"/>
                <w:sz w:val="16"/>
                <w:szCs w:val="16"/>
                <w:lang w:eastAsia="pt-BR"/>
              </w:rPr>
              <w:t> </w:t>
            </w:r>
          </w:p>
        </w:tc>
        <w:tc>
          <w:tcPr>
            <w:tcW w:w="680" w:type="dxa"/>
            <w:tcBorders>
              <w:top w:val="nil"/>
              <w:left w:val="nil"/>
              <w:bottom w:val="single" w:sz="4" w:space="0" w:color="auto"/>
              <w:right w:val="single" w:sz="4" w:space="0" w:color="auto"/>
            </w:tcBorders>
            <w:shd w:val="clear" w:color="auto" w:fill="auto"/>
            <w:noWrap/>
            <w:vAlign w:val="bottom"/>
            <w:hideMark/>
          </w:tcPr>
          <w:p w14:paraId="79EA1834" w14:textId="77777777" w:rsidR="00BB5697" w:rsidRPr="009942A5" w:rsidRDefault="00BB5697" w:rsidP="00BF7C4A">
            <w:pPr>
              <w:spacing w:after="0" w:line="240" w:lineRule="auto"/>
              <w:rPr>
                <w:rFonts w:ascii="Arial" w:eastAsia="Times New Roman" w:hAnsi="Arial" w:cs="Arial"/>
                <w:color w:val="000000"/>
                <w:sz w:val="16"/>
                <w:szCs w:val="16"/>
                <w:lang w:eastAsia="pt-BR"/>
              </w:rPr>
            </w:pPr>
            <w:r w:rsidRPr="009942A5">
              <w:rPr>
                <w:rFonts w:ascii="Arial" w:eastAsia="Times New Roman" w:hAnsi="Arial" w:cs="Arial"/>
                <w:color w:val="000000"/>
                <w:sz w:val="16"/>
                <w:szCs w:val="16"/>
                <w:lang w:eastAsia="pt-BR"/>
              </w:rPr>
              <w:t> </w:t>
            </w:r>
          </w:p>
        </w:tc>
        <w:tc>
          <w:tcPr>
            <w:tcW w:w="1040" w:type="dxa"/>
            <w:tcBorders>
              <w:top w:val="nil"/>
              <w:left w:val="nil"/>
              <w:bottom w:val="single" w:sz="4" w:space="0" w:color="auto"/>
              <w:right w:val="single" w:sz="4" w:space="0" w:color="auto"/>
            </w:tcBorders>
            <w:shd w:val="clear" w:color="auto" w:fill="auto"/>
            <w:noWrap/>
            <w:vAlign w:val="bottom"/>
            <w:hideMark/>
          </w:tcPr>
          <w:p w14:paraId="24AF70F6" w14:textId="77777777" w:rsidR="00BB5697" w:rsidRPr="009942A5" w:rsidRDefault="00BB5697" w:rsidP="00BF7C4A">
            <w:pPr>
              <w:spacing w:after="0" w:line="240" w:lineRule="auto"/>
              <w:rPr>
                <w:rFonts w:ascii="Arial" w:eastAsia="Times New Roman" w:hAnsi="Arial" w:cs="Arial"/>
                <w:color w:val="000000"/>
                <w:sz w:val="16"/>
                <w:szCs w:val="16"/>
                <w:lang w:eastAsia="pt-BR"/>
              </w:rPr>
            </w:pPr>
            <w:r w:rsidRPr="009942A5">
              <w:rPr>
                <w:rFonts w:ascii="Arial" w:eastAsia="Times New Roman" w:hAnsi="Arial" w:cs="Arial"/>
                <w:color w:val="000000"/>
                <w:sz w:val="16"/>
                <w:szCs w:val="16"/>
                <w:lang w:eastAsia="pt-BR"/>
              </w:rPr>
              <w:t> </w:t>
            </w:r>
          </w:p>
        </w:tc>
        <w:tc>
          <w:tcPr>
            <w:tcW w:w="960" w:type="dxa"/>
            <w:tcBorders>
              <w:top w:val="nil"/>
              <w:left w:val="nil"/>
              <w:bottom w:val="single" w:sz="4" w:space="0" w:color="auto"/>
              <w:right w:val="single" w:sz="4" w:space="0" w:color="auto"/>
            </w:tcBorders>
            <w:shd w:val="clear" w:color="auto" w:fill="auto"/>
            <w:noWrap/>
            <w:vAlign w:val="bottom"/>
            <w:hideMark/>
          </w:tcPr>
          <w:p w14:paraId="798D60C2" w14:textId="77777777" w:rsidR="00BB5697" w:rsidRPr="009942A5" w:rsidRDefault="00BB5697" w:rsidP="00BF7C4A">
            <w:pPr>
              <w:spacing w:after="0" w:line="240" w:lineRule="auto"/>
              <w:rPr>
                <w:rFonts w:ascii="Arial" w:eastAsia="Times New Roman" w:hAnsi="Arial" w:cs="Arial"/>
                <w:color w:val="000000"/>
                <w:sz w:val="16"/>
                <w:szCs w:val="16"/>
                <w:lang w:eastAsia="pt-BR"/>
              </w:rPr>
            </w:pPr>
            <w:r w:rsidRPr="009942A5">
              <w:rPr>
                <w:rFonts w:ascii="Arial" w:eastAsia="Times New Roman" w:hAnsi="Arial" w:cs="Arial"/>
                <w:color w:val="000000"/>
                <w:sz w:val="16"/>
                <w:szCs w:val="16"/>
                <w:lang w:eastAsia="pt-BR"/>
              </w:rPr>
              <w:t> </w:t>
            </w:r>
          </w:p>
        </w:tc>
        <w:tc>
          <w:tcPr>
            <w:tcW w:w="1030" w:type="dxa"/>
            <w:tcBorders>
              <w:top w:val="nil"/>
              <w:left w:val="nil"/>
              <w:bottom w:val="single" w:sz="4" w:space="0" w:color="auto"/>
              <w:right w:val="single" w:sz="4" w:space="0" w:color="auto"/>
            </w:tcBorders>
            <w:shd w:val="clear" w:color="auto" w:fill="auto"/>
            <w:noWrap/>
            <w:vAlign w:val="bottom"/>
            <w:hideMark/>
          </w:tcPr>
          <w:p w14:paraId="3FC5F90C" w14:textId="77777777" w:rsidR="00BB5697" w:rsidRPr="009942A5" w:rsidRDefault="00BB5697" w:rsidP="00BF7C4A">
            <w:pPr>
              <w:spacing w:after="0" w:line="240" w:lineRule="auto"/>
              <w:rPr>
                <w:rFonts w:ascii="Arial" w:eastAsia="Times New Roman" w:hAnsi="Arial" w:cs="Arial"/>
                <w:color w:val="000000"/>
                <w:sz w:val="16"/>
                <w:szCs w:val="16"/>
                <w:lang w:eastAsia="pt-BR"/>
              </w:rPr>
            </w:pPr>
            <w:r w:rsidRPr="009942A5">
              <w:rPr>
                <w:rFonts w:ascii="Arial" w:eastAsia="Times New Roman" w:hAnsi="Arial" w:cs="Arial"/>
                <w:color w:val="000000"/>
                <w:sz w:val="16"/>
                <w:szCs w:val="16"/>
                <w:lang w:eastAsia="pt-BR"/>
              </w:rPr>
              <w:t> </w:t>
            </w:r>
          </w:p>
        </w:tc>
        <w:tc>
          <w:tcPr>
            <w:tcW w:w="1060" w:type="dxa"/>
            <w:tcBorders>
              <w:top w:val="nil"/>
              <w:left w:val="nil"/>
              <w:bottom w:val="single" w:sz="4" w:space="0" w:color="auto"/>
              <w:right w:val="single" w:sz="4" w:space="0" w:color="auto"/>
            </w:tcBorders>
            <w:shd w:val="clear" w:color="auto" w:fill="auto"/>
            <w:noWrap/>
            <w:vAlign w:val="bottom"/>
            <w:hideMark/>
          </w:tcPr>
          <w:p w14:paraId="28F023E4" w14:textId="77777777" w:rsidR="00BB5697" w:rsidRPr="009942A5" w:rsidRDefault="00BB5697" w:rsidP="00BF7C4A">
            <w:pPr>
              <w:spacing w:after="0" w:line="240" w:lineRule="auto"/>
              <w:rPr>
                <w:rFonts w:ascii="Arial" w:eastAsia="Times New Roman" w:hAnsi="Arial" w:cs="Arial"/>
                <w:color w:val="000000"/>
                <w:sz w:val="16"/>
                <w:szCs w:val="16"/>
                <w:lang w:eastAsia="pt-BR"/>
              </w:rPr>
            </w:pPr>
            <w:r w:rsidRPr="009942A5">
              <w:rPr>
                <w:rFonts w:ascii="Arial" w:eastAsia="Times New Roman" w:hAnsi="Arial" w:cs="Arial"/>
                <w:color w:val="000000"/>
                <w:sz w:val="16"/>
                <w:szCs w:val="16"/>
                <w:lang w:eastAsia="pt-BR"/>
              </w:rPr>
              <w:t> </w:t>
            </w:r>
          </w:p>
        </w:tc>
        <w:tc>
          <w:tcPr>
            <w:tcW w:w="1220" w:type="dxa"/>
            <w:tcBorders>
              <w:top w:val="nil"/>
              <w:left w:val="nil"/>
              <w:bottom w:val="single" w:sz="4" w:space="0" w:color="auto"/>
              <w:right w:val="single" w:sz="4" w:space="0" w:color="auto"/>
            </w:tcBorders>
            <w:shd w:val="clear" w:color="auto" w:fill="auto"/>
            <w:noWrap/>
            <w:vAlign w:val="bottom"/>
            <w:hideMark/>
          </w:tcPr>
          <w:p w14:paraId="1F9DB633" w14:textId="77777777" w:rsidR="00BB5697" w:rsidRPr="009942A5" w:rsidRDefault="00BB5697" w:rsidP="00BF7C4A">
            <w:pPr>
              <w:spacing w:after="0" w:line="240" w:lineRule="auto"/>
              <w:rPr>
                <w:rFonts w:ascii="Arial" w:eastAsia="Times New Roman" w:hAnsi="Arial" w:cs="Arial"/>
                <w:color w:val="000000"/>
                <w:sz w:val="16"/>
                <w:szCs w:val="16"/>
                <w:lang w:eastAsia="pt-BR"/>
              </w:rPr>
            </w:pPr>
            <w:r w:rsidRPr="009942A5">
              <w:rPr>
                <w:rFonts w:ascii="Arial" w:eastAsia="Times New Roman" w:hAnsi="Arial" w:cs="Arial"/>
                <w:color w:val="000000"/>
                <w:sz w:val="16"/>
                <w:szCs w:val="16"/>
                <w:lang w:eastAsia="pt-BR"/>
              </w:rPr>
              <w:t> </w:t>
            </w:r>
          </w:p>
        </w:tc>
        <w:tc>
          <w:tcPr>
            <w:tcW w:w="1240" w:type="dxa"/>
            <w:tcBorders>
              <w:top w:val="nil"/>
              <w:left w:val="nil"/>
              <w:bottom w:val="single" w:sz="4" w:space="0" w:color="auto"/>
              <w:right w:val="single" w:sz="4" w:space="0" w:color="auto"/>
            </w:tcBorders>
            <w:shd w:val="clear" w:color="auto" w:fill="auto"/>
            <w:noWrap/>
            <w:vAlign w:val="bottom"/>
            <w:hideMark/>
          </w:tcPr>
          <w:p w14:paraId="00638A3D" w14:textId="77777777" w:rsidR="00BB5697" w:rsidRPr="009942A5" w:rsidRDefault="00BB5697" w:rsidP="00BF7C4A">
            <w:pPr>
              <w:spacing w:after="0" w:line="240" w:lineRule="auto"/>
              <w:rPr>
                <w:rFonts w:ascii="Arial" w:eastAsia="Times New Roman" w:hAnsi="Arial" w:cs="Arial"/>
                <w:color w:val="000000"/>
                <w:sz w:val="16"/>
                <w:szCs w:val="16"/>
                <w:lang w:eastAsia="pt-BR"/>
              </w:rPr>
            </w:pPr>
            <w:r w:rsidRPr="009942A5">
              <w:rPr>
                <w:rFonts w:ascii="Arial" w:eastAsia="Times New Roman" w:hAnsi="Arial" w:cs="Arial"/>
                <w:color w:val="000000"/>
                <w:sz w:val="16"/>
                <w:szCs w:val="16"/>
                <w:lang w:eastAsia="pt-BR"/>
              </w:rPr>
              <w:t> </w:t>
            </w:r>
          </w:p>
        </w:tc>
        <w:tc>
          <w:tcPr>
            <w:tcW w:w="1120" w:type="dxa"/>
            <w:tcBorders>
              <w:top w:val="nil"/>
              <w:left w:val="nil"/>
              <w:bottom w:val="single" w:sz="4" w:space="0" w:color="auto"/>
              <w:right w:val="single" w:sz="4" w:space="0" w:color="auto"/>
            </w:tcBorders>
            <w:shd w:val="clear" w:color="auto" w:fill="auto"/>
            <w:noWrap/>
            <w:vAlign w:val="bottom"/>
            <w:hideMark/>
          </w:tcPr>
          <w:p w14:paraId="05BAF31F" w14:textId="77777777" w:rsidR="00BB5697" w:rsidRPr="009942A5" w:rsidRDefault="00BB5697" w:rsidP="00BF7C4A">
            <w:pPr>
              <w:spacing w:after="0" w:line="240" w:lineRule="auto"/>
              <w:rPr>
                <w:rFonts w:ascii="Arial" w:eastAsia="Times New Roman" w:hAnsi="Arial" w:cs="Arial"/>
                <w:color w:val="000000"/>
                <w:sz w:val="16"/>
                <w:szCs w:val="16"/>
                <w:lang w:eastAsia="pt-BR"/>
              </w:rPr>
            </w:pPr>
            <w:r w:rsidRPr="009942A5">
              <w:rPr>
                <w:rFonts w:ascii="Arial" w:eastAsia="Times New Roman" w:hAnsi="Arial" w:cs="Arial"/>
                <w:color w:val="000000"/>
                <w:sz w:val="16"/>
                <w:szCs w:val="16"/>
                <w:lang w:eastAsia="pt-BR"/>
              </w:rPr>
              <w:t> </w:t>
            </w:r>
          </w:p>
        </w:tc>
        <w:tc>
          <w:tcPr>
            <w:tcW w:w="1020" w:type="dxa"/>
            <w:tcBorders>
              <w:top w:val="nil"/>
              <w:left w:val="nil"/>
              <w:bottom w:val="single" w:sz="4" w:space="0" w:color="auto"/>
              <w:right w:val="single" w:sz="4" w:space="0" w:color="auto"/>
            </w:tcBorders>
            <w:shd w:val="clear" w:color="auto" w:fill="auto"/>
            <w:noWrap/>
            <w:vAlign w:val="bottom"/>
            <w:hideMark/>
          </w:tcPr>
          <w:p w14:paraId="700D9F23" w14:textId="77777777" w:rsidR="00BB5697" w:rsidRPr="009942A5" w:rsidRDefault="00BB5697" w:rsidP="00BF7C4A">
            <w:pPr>
              <w:spacing w:after="0" w:line="240" w:lineRule="auto"/>
              <w:rPr>
                <w:rFonts w:ascii="Arial" w:eastAsia="Times New Roman" w:hAnsi="Arial" w:cs="Arial"/>
                <w:color w:val="000000"/>
                <w:sz w:val="16"/>
                <w:szCs w:val="16"/>
                <w:lang w:eastAsia="pt-BR"/>
              </w:rPr>
            </w:pPr>
            <w:r w:rsidRPr="009942A5">
              <w:rPr>
                <w:rFonts w:ascii="Arial" w:eastAsia="Times New Roman" w:hAnsi="Arial" w:cs="Arial"/>
                <w:color w:val="000000"/>
                <w:sz w:val="16"/>
                <w:szCs w:val="16"/>
                <w:lang w:eastAsia="pt-BR"/>
              </w:rPr>
              <w:t> </w:t>
            </w:r>
          </w:p>
        </w:tc>
      </w:tr>
      <w:tr w:rsidR="00BB5697" w:rsidRPr="009942A5" w14:paraId="7C0B4707" w14:textId="77777777" w:rsidTr="00BF7C4A">
        <w:trPr>
          <w:trHeight w:val="3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4E6C8F72" w14:textId="77777777" w:rsidR="00BB5697" w:rsidRPr="009942A5" w:rsidRDefault="00BB5697" w:rsidP="00BF7C4A">
            <w:pPr>
              <w:spacing w:after="0" w:line="240" w:lineRule="auto"/>
              <w:rPr>
                <w:rFonts w:ascii="Arial" w:eastAsia="Times New Roman" w:hAnsi="Arial" w:cs="Arial"/>
                <w:color w:val="000000"/>
                <w:sz w:val="16"/>
                <w:szCs w:val="16"/>
                <w:lang w:eastAsia="pt-BR"/>
              </w:rPr>
            </w:pPr>
            <w:r w:rsidRPr="009942A5">
              <w:rPr>
                <w:rFonts w:ascii="Arial" w:eastAsia="Times New Roman" w:hAnsi="Arial" w:cs="Arial"/>
                <w:color w:val="000000"/>
                <w:sz w:val="16"/>
                <w:szCs w:val="16"/>
                <w:lang w:eastAsia="pt-BR"/>
              </w:rPr>
              <w:t> </w:t>
            </w:r>
          </w:p>
        </w:tc>
        <w:tc>
          <w:tcPr>
            <w:tcW w:w="960" w:type="dxa"/>
            <w:tcBorders>
              <w:top w:val="nil"/>
              <w:left w:val="nil"/>
              <w:bottom w:val="single" w:sz="4" w:space="0" w:color="auto"/>
              <w:right w:val="single" w:sz="4" w:space="0" w:color="auto"/>
            </w:tcBorders>
            <w:shd w:val="clear" w:color="auto" w:fill="auto"/>
            <w:noWrap/>
            <w:vAlign w:val="bottom"/>
            <w:hideMark/>
          </w:tcPr>
          <w:p w14:paraId="35C7D9A3" w14:textId="77777777" w:rsidR="00BB5697" w:rsidRPr="009942A5" w:rsidRDefault="00BB5697" w:rsidP="00BF7C4A">
            <w:pPr>
              <w:spacing w:after="0" w:line="240" w:lineRule="auto"/>
              <w:rPr>
                <w:rFonts w:ascii="Arial" w:eastAsia="Times New Roman" w:hAnsi="Arial" w:cs="Arial"/>
                <w:color w:val="000000"/>
                <w:sz w:val="16"/>
                <w:szCs w:val="16"/>
                <w:lang w:eastAsia="pt-BR"/>
              </w:rPr>
            </w:pPr>
            <w:r w:rsidRPr="009942A5">
              <w:rPr>
                <w:rFonts w:ascii="Arial" w:eastAsia="Times New Roman" w:hAnsi="Arial" w:cs="Arial"/>
                <w:color w:val="000000"/>
                <w:sz w:val="16"/>
                <w:szCs w:val="16"/>
                <w:lang w:eastAsia="pt-BR"/>
              </w:rPr>
              <w:t> </w:t>
            </w:r>
          </w:p>
        </w:tc>
        <w:tc>
          <w:tcPr>
            <w:tcW w:w="1060" w:type="dxa"/>
            <w:tcBorders>
              <w:top w:val="nil"/>
              <w:left w:val="nil"/>
              <w:bottom w:val="single" w:sz="4" w:space="0" w:color="auto"/>
              <w:right w:val="single" w:sz="4" w:space="0" w:color="auto"/>
            </w:tcBorders>
            <w:shd w:val="clear" w:color="auto" w:fill="auto"/>
            <w:noWrap/>
            <w:vAlign w:val="bottom"/>
            <w:hideMark/>
          </w:tcPr>
          <w:p w14:paraId="4EF51828" w14:textId="77777777" w:rsidR="00BB5697" w:rsidRPr="009942A5" w:rsidRDefault="00BB5697" w:rsidP="00BF7C4A">
            <w:pPr>
              <w:spacing w:after="0" w:line="240" w:lineRule="auto"/>
              <w:rPr>
                <w:rFonts w:ascii="Arial" w:eastAsia="Times New Roman" w:hAnsi="Arial" w:cs="Arial"/>
                <w:color w:val="000000"/>
                <w:sz w:val="16"/>
                <w:szCs w:val="16"/>
                <w:lang w:eastAsia="pt-BR"/>
              </w:rPr>
            </w:pPr>
            <w:r w:rsidRPr="009942A5">
              <w:rPr>
                <w:rFonts w:ascii="Arial" w:eastAsia="Times New Roman" w:hAnsi="Arial" w:cs="Arial"/>
                <w:color w:val="000000"/>
                <w:sz w:val="16"/>
                <w:szCs w:val="16"/>
                <w:lang w:eastAsia="pt-BR"/>
              </w:rPr>
              <w:t> </w:t>
            </w:r>
          </w:p>
        </w:tc>
        <w:tc>
          <w:tcPr>
            <w:tcW w:w="1030" w:type="dxa"/>
            <w:tcBorders>
              <w:top w:val="nil"/>
              <w:left w:val="nil"/>
              <w:bottom w:val="single" w:sz="4" w:space="0" w:color="auto"/>
              <w:right w:val="single" w:sz="4" w:space="0" w:color="auto"/>
            </w:tcBorders>
            <w:shd w:val="clear" w:color="auto" w:fill="auto"/>
            <w:noWrap/>
            <w:vAlign w:val="bottom"/>
            <w:hideMark/>
          </w:tcPr>
          <w:p w14:paraId="2BAC9D7C" w14:textId="77777777" w:rsidR="00BB5697" w:rsidRPr="009942A5" w:rsidRDefault="00BB5697" w:rsidP="00BF7C4A">
            <w:pPr>
              <w:spacing w:after="0" w:line="240" w:lineRule="auto"/>
              <w:rPr>
                <w:rFonts w:ascii="Arial" w:eastAsia="Times New Roman" w:hAnsi="Arial" w:cs="Arial"/>
                <w:color w:val="000000"/>
                <w:sz w:val="16"/>
                <w:szCs w:val="16"/>
                <w:lang w:eastAsia="pt-BR"/>
              </w:rPr>
            </w:pPr>
            <w:r w:rsidRPr="009942A5">
              <w:rPr>
                <w:rFonts w:ascii="Arial" w:eastAsia="Times New Roman" w:hAnsi="Arial" w:cs="Arial"/>
                <w:color w:val="000000"/>
                <w:sz w:val="16"/>
                <w:szCs w:val="16"/>
                <w:lang w:eastAsia="pt-BR"/>
              </w:rPr>
              <w:t> </w:t>
            </w:r>
          </w:p>
        </w:tc>
        <w:tc>
          <w:tcPr>
            <w:tcW w:w="680" w:type="dxa"/>
            <w:tcBorders>
              <w:top w:val="nil"/>
              <w:left w:val="nil"/>
              <w:bottom w:val="single" w:sz="4" w:space="0" w:color="auto"/>
              <w:right w:val="single" w:sz="4" w:space="0" w:color="auto"/>
            </w:tcBorders>
            <w:shd w:val="clear" w:color="auto" w:fill="auto"/>
            <w:noWrap/>
            <w:vAlign w:val="bottom"/>
            <w:hideMark/>
          </w:tcPr>
          <w:p w14:paraId="1822678E" w14:textId="77777777" w:rsidR="00BB5697" w:rsidRPr="009942A5" w:rsidRDefault="00BB5697" w:rsidP="00BF7C4A">
            <w:pPr>
              <w:spacing w:after="0" w:line="240" w:lineRule="auto"/>
              <w:rPr>
                <w:rFonts w:ascii="Arial" w:eastAsia="Times New Roman" w:hAnsi="Arial" w:cs="Arial"/>
                <w:color w:val="000000"/>
                <w:sz w:val="16"/>
                <w:szCs w:val="16"/>
                <w:lang w:eastAsia="pt-BR"/>
              </w:rPr>
            </w:pPr>
            <w:r w:rsidRPr="009942A5">
              <w:rPr>
                <w:rFonts w:ascii="Arial" w:eastAsia="Times New Roman" w:hAnsi="Arial" w:cs="Arial"/>
                <w:color w:val="000000"/>
                <w:sz w:val="16"/>
                <w:szCs w:val="16"/>
                <w:lang w:eastAsia="pt-BR"/>
              </w:rPr>
              <w:t> </w:t>
            </w:r>
          </w:p>
        </w:tc>
        <w:tc>
          <w:tcPr>
            <w:tcW w:w="1040" w:type="dxa"/>
            <w:tcBorders>
              <w:top w:val="nil"/>
              <w:left w:val="nil"/>
              <w:bottom w:val="single" w:sz="4" w:space="0" w:color="auto"/>
              <w:right w:val="single" w:sz="4" w:space="0" w:color="auto"/>
            </w:tcBorders>
            <w:shd w:val="clear" w:color="auto" w:fill="auto"/>
            <w:noWrap/>
            <w:vAlign w:val="bottom"/>
            <w:hideMark/>
          </w:tcPr>
          <w:p w14:paraId="7AEB6D54" w14:textId="77777777" w:rsidR="00BB5697" w:rsidRPr="009942A5" w:rsidRDefault="00BB5697" w:rsidP="00BF7C4A">
            <w:pPr>
              <w:spacing w:after="0" w:line="240" w:lineRule="auto"/>
              <w:rPr>
                <w:rFonts w:ascii="Arial" w:eastAsia="Times New Roman" w:hAnsi="Arial" w:cs="Arial"/>
                <w:color w:val="000000"/>
                <w:sz w:val="16"/>
                <w:szCs w:val="16"/>
                <w:lang w:eastAsia="pt-BR"/>
              </w:rPr>
            </w:pPr>
            <w:r w:rsidRPr="009942A5">
              <w:rPr>
                <w:rFonts w:ascii="Arial" w:eastAsia="Times New Roman" w:hAnsi="Arial" w:cs="Arial"/>
                <w:color w:val="000000"/>
                <w:sz w:val="16"/>
                <w:szCs w:val="16"/>
                <w:lang w:eastAsia="pt-BR"/>
              </w:rPr>
              <w:t> </w:t>
            </w:r>
          </w:p>
        </w:tc>
        <w:tc>
          <w:tcPr>
            <w:tcW w:w="960" w:type="dxa"/>
            <w:tcBorders>
              <w:top w:val="nil"/>
              <w:left w:val="nil"/>
              <w:bottom w:val="single" w:sz="4" w:space="0" w:color="auto"/>
              <w:right w:val="single" w:sz="4" w:space="0" w:color="auto"/>
            </w:tcBorders>
            <w:shd w:val="clear" w:color="auto" w:fill="auto"/>
            <w:noWrap/>
            <w:vAlign w:val="bottom"/>
            <w:hideMark/>
          </w:tcPr>
          <w:p w14:paraId="34CE18F1" w14:textId="77777777" w:rsidR="00BB5697" w:rsidRPr="009942A5" w:rsidRDefault="00BB5697" w:rsidP="00BF7C4A">
            <w:pPr>
              <w:spacing w:after="0" w:line="240" w:lineRule="auto"/>
              <w:rPr>
                <w:rFonts w:ascii="Arial" w:eastAsia="Times New Roman" w:hAnsi="Arial" w:cs="Arial"/>
                <w:color w:val="000000"/>
                <w:sz w:val="16"/>
                <w:szCs w:val="16"/>
                <w:lang w:eastAsia="pt-BR"/>
              </w:rPr>
            </w:pPr>
            <w:r w:rsidRPr="009942A5">
              <w:rPr>
                <w:rFonts w:ascii="Arial" w:eastAsia="Times New Roman" w:hAnsi="Arial" w:cs="Arial"/>
                <w:color w:val="000000"/>
                <w:sz w:val="16"/>
                <w:szCs w:val="16"/>
                <w:lang w:eastAsia="pt-BR"/>
              </w:rPr>
              <w:t> </w:t>
            </w:r>
          </w:p>
        </w:tc>
        <w:tc>
          <w:tcPr>
            <w:tcW w:w="1030" w:type="dxa"/>
            <w:tcBorders>
              <w:top w:val="nil"/>
              <w:left w:val="nil"/>
              <w:bottom w:val="single" w:sz="4" w:space="0" w:color="auto"/>
              <w:right w:val="single" w:sz="4" w:space="0" w:color="auto"/>
            </w:tcBorders>
            <w:shd w:val="clear" w:color="auto" w:fill="auto"/>
            <w:noWrap/>
            <w:vAlign w:val="bottom"/>
            <w:hideMark/>
          </w:tcPr>
          <w:p w14:paraId="619F9EE7" w14:textId="77777777" w:rsidR="00BB5697" w:rsidRPr="009942A5" w:rsidRDefault="00BB5697" w:rsidP="00BF7C4A">
            <w:pPr>
              <w:spacing w:after="0" w:line="240" w:lineRule="auto"/>
              <w:rPr>
                <w:rFonts w:ascii="Arial" w:eastAsia="Times New Roman" w:hAnsi="Arial" w:cs="Arial"/>
                <w:color w:val="000000"/>
                <w:sz w:val="16"/>
                <w:szCs w:val="16"/>
                <w:lang w:eastAsia="pt-BR"/>
              </w:rPr>
            </w:pPr>
            <w:r w:rsidRPr="009942A5">
              <w:rPr>
                <w:rFonts w:ascii="Arial" w:eastAsia="Times New Roman" w:hAnsi="Arial" w:cs="Arial"/>
                <w:color w:val="000000"/>
                <w:sz w:val="16"/>
                <w:szCs w:val="16"/>
                <w:lang w:eastAsia="pt-BR"/>
              </w:rPr>
              <w:t> </w:t>
            </w:r>
          </w:p>
        </w:tc>
        <w:tc>
          <w:tcPr>
            <w:tcW w:w="1060" w:type="dxa"/>
            <w:tcBorders>
              <w:top w:val="nil"/>
              <w:left w:val="nil"/>
              <w:bottom w:val="single" w:sz="4" w:space="0" w:color="auto"/>
              <w:right w:val="single" w:sz="4" w:space="0" w:color="auto"/>
            </w:tcBorders>
            <w:shd w:val="clear" w:color="auto" w:fill="auto"/>
            <w:noWrap/>
            <w:vAlign w:val="bottom"/>
            <w:hideMark/>
          </w:tcPr>
          <w:p w14:paraId="439FFD74" w14:textId="77777777" w:rsidR="00BB5697" w:rsidRPr="009942A5" w:rsidRDefault="00BB5697" w:rsidP="00BF7C4A">
            <w:pPr>
              <w:spacing w:after="0" w:line="240" w:lineRule="auto"/>
              <w:rPr>
                <w:rFonts w:ascii="Arial" w:eastAsia="Times New Roman" w:hAnsi="Arial" w:cs="Arial"/>
                <w:color w:val="000000"/>
                <w:sz w:val="16"/>
                <w:szCs w:val="16"/>
                <w:lang w:eastAsia="pt-BR"/>
              </w:rPr>
            </w:pPr>
            <w:r w:rsidRPr="009942A5">
              <w:rPr>
                <w:rFonts w:ascii="Arial" w:eastAsia="Times New Roman" w:hAnsi="Arial" w:cs="Arial"/>
                <w:color w:val="000000"/>
                <w:sz w:val="16"/>
                <w:szCs w:val="16"/>
                <w:lang w:eastAsia="pt-BR"/>
              </w:rPr>
              <w:t> </w:t>
            </w:r>
          </w:p>
        </w:tc>
        <w:tc>
          <w:tcPr>
            <w:tcW w:w="1220" w:type="dxa"/>
            <w:tcBorders>
              <w:top w:val="nil"/>
              <w:left w:val="nil"/>
              <w:bottom w:val="single" w:sz="4" w:space="0" w:color="auto"/>
              <w:right w:val="single" w:sz="4" w:space="0" w:color="auto"/>
            </w:tcBorders>
            <w:shd w:val="clear" w:color="auto" w:fill="auto"/>
            <w:noWrap/>
            <w:vAlign w:val="bottom"/>
            <w:hideMark/>
          </w:tcPr>
          <w:p w14:paraId="6BCB1671" w14:textId="77777777" w:rsidR="00BB5697" w:rsidRPr="009942A5" w:rsidRDefault="00BB5697" w:rsidP="00BF7C4A">
            <w:pPr>
              <w:spacing w:after="0" w:line="240" w:lineRule="auto"/>
              <w:rPr>
                <w:rFonts w:ascii="Arial" w:eastAsia="Times New Roman" w:hAnsi="Arial" w:cs="Arial"/>
                <w:color w:val="000000"/>
                <w:sz w:val="16"/>
                <w:szCs w:val="16"/>
                <w:lang w:eastAsia="pt-BR"/>
              </w:rPr>
            </w:pPr>
            <w:r w:rsidRPr="009942A5">
              <w:rPr>
                <w:rFonts w:ascii="Arial" w:eastAsia="Times New Roman" w:hAnsi="Arial" w:cs="Arial"/>
                <w:color w:val="000000"/>
                <w:sz w:val="16"/>
                <w:szCs w:val="16"/>
                <w:lang w:eastAsia="pt-BR"/>
              </w:rPr>
              <w:t> </w:t>
            </w:r>
          </w:p>
        </w:tc>
        <w:tc>
          <w:tcPr>
            <w:tcW w:w="1240" w:type="dxa"/>
            <w:tcBorders>
              <w:top w:val="nil"/>
              <w:left w:val="nil"/>
              <w:bottom w:val="single" w:sz="4" w:space="0" w:color="auto"/>
              <w:right w:val="single" w:sz="4" w:space="0" w:color="auto"/>
            </w:tcBorders>
            <w:shd w:val="clear" w:color="auto" w:fill="auto"/>
            <w:noWrap/>
            <w:vAlign w:val="bottom"/>
            <w:hideMark/>
          </w:tcPr>
          <w:p w14:paraId="6928DBF1" w14:textId="77777777" w:rsidR="00BB5697" w:rsidRPr="009942A5" w:rsidRDefault="00BB5697" w:rsidP="00BF7C4A">
            <w:pPr>
              <w:spacing w:after="0" w:line="240" w:lineRule="auto"/>
              <w:rPr>
                <w:rFonts w:ascii="Arial" w:eastAsia="Times New Roman" w:hAnsi="Arial" w:cs="Arial"/>
                <w:color w:val="000000"/>
                <w:sz w:val="16"/>
                <w:szCs w:val="16"/>
                <w:lang w:eastAsia="pt-BR"/>
              </w:rPr>
            </w:pPr>
            <w:r w:rsidRPr="009942A5">
              <w:rPr>
                <w:rFonts w:ascii="Arial" w:eastAsia="Times New Roman" w:hAnsi="Arial" w:cs="Arial"/>
                <w:color w:val="000000"/>
                <w:sz w:val="16"/>
                <w:szCs w:val="16"/>
                <w:lang w:eastAsia="pt-BR"/>
              </w:rPr>
              <w:t> </w:t>
            </w:r>
          </w:p>
        </w:tc>
        <w:tc>
          <w:tcPr>
            <w:tcW w:w="1120" w:type="dxa"/>
            <w:tcBorders>
              <w:top w:val="nil"/>
              <w:left w:val="nil"/>
              <w:bottom w:val="single" w:sz="4" w:space="0" w:color="auto"/>
              <w:right w:val="single" w:sz="4" w:space="0" w:color="auto"/>
            </w:tcBorders>
            <w:shd w:val="clear" w:color="auto" w:fill="auto"/>
            <w:noWrap/>
            <w:vAlign w:val="bottom"/>
            <w:hideMark/>
          </w:tcPr>
          <w:p w14:paraId="5F8AA628" w14:textId="77777777" w:rsidR="00BB5697" w:rsidRPr="009942A5" w:rsidRDefault="00BB5697" w:rsidP="00BF7C4A">
            <w:pPr>
              <w:spacing w:after="0" w:line="240" w:lineRule="auto"/>
              <w:rPr>
                <w:rFonts w:ascii="Arial" w:eastAsia="Times New Roman" w:hAnsi="Arial" w:cs="Arial"/>
                <w:color w:val="000000"/>
                <w:sz w:val="16"/>
                <w:szCs w:val="16"/>
                <w:lang w:eastAsia="pt-BR"/>
              </w:rPr>
            </w:pPr>
            <w:r w:rsidRPr="009942A5">
              <w:rPr>
                <w:rFonts w:ascii="Arial" w:eastAsia="Times New Roman" w:hAnsi="Arial" w:cs="Arial"/>
                <w:color w:val="000000"/>
                <w:sz w:val="16"/>
                <w:szCs w:val="16"/>
                <w:lang w:eastAsia="pt-BR"/>
              </w:rPr>
              <w:t> </w:t>
            </w:r>
          </w:p>
        </w:tc>
        <w:tc>
          <w:tcPr>
            <w:tcW w:w="1020" w:type="dxa"/>
            <w:tcBorders>
              <w:top w:val="nil"/>
              <w:left w:val="nil"/>
              <w:bottom w:val="single" w:sz="4" w:space="0" w:color="auto"/>
              <w:right w:val="single" w:sz="4" w:space="0" w:color="auto"/>
            </w:tcBorders>
            <w:shd w:val="clear" w:color="auto" w:fill="auto"/>
            <w:noWrap/>
            <w:vAlign w:val="bottom"/>
            <w:hideMark/>
          </w:tcPr>
          <w:p w14:paraId="6515452A" w14:textId="77777777" w:rsidR="00BB5697" w:rsidRPr="009942A5" w:rsidRDefault="00BB5697" w:rsidP="00BF7C4A">
            <w:pPr>
              <w:spacing w:after="0" w:line="240" w:lineRule="auto"/>
              <w:rPr>
                <w:rFonts w:ascii="Arial" w:eastAsia="Times New Roman" w:hAnsi="Arial" w:cs="Arial"/>
                <w:color w:val="000000"/>
                <w:sz w:val="16"/>
                <w:szCs w:val="16"/>
                <w:lang w:eastAsia="pt-BR"/>
              </w:rPr>
            </w:pPr>
            <w:r w:rsidRPr="009942A5">
              <w:rPr>
                <w:rFonts w:ascii="Arial" w:eastAsia="Times New Roman" w:hAnsi="Arial" w:cs="Arial"/>
                <w:color w:val="000000"/>
                <w:sz w:val="16"/>
                <w:szCs w:val="16"/>
                <w:lang w:eastAsia="pt-BR"/>
              </w:rPr>
              <w:t> </w:t>
            </w:r>
          </w:p>
        </w:tc>
      </w:tr>
    </w:tbl>
    <w:p w14:paraId="57B0D186" w14:textId="77777777" w:rsidR="00BB5697" w:rsidRDefault="00BB5697" w:rsidP="00BB5697">
      <w:pPr>
        <w:spacing w:after="0" w:line="360" w:lineRule="auto"/>
        <w:jc w:val="both"/>
        <w:rPr>
          <w:rFonts w:ascii="Arial" w:hAnsi="Arial" w:cs="Arial"/>
        </w:rPr>
      </w:pPr>
    </w:p>
    <w:p w14:paraId="3562F6CB" w14:textId="77777777" w:rsidR="00BB5697" w:rsidRPr="00262981" w:rsidRDefault="00BB5697" w:rsidP="00BB5697">
      <w:pPr>
        <w:spacing w:after="0" w:line="360" w:lineRule="auto"/>
        <w:jc w:val="both"/>
        <w:rPr>
          <w:rFonts w:ascii="Arial" w:hAnsi="Arial" w:cs="Arial"/>
          <w:sz w:val="16"/>
          <w:szCs w:val="16"/>
        </w:rPr>
      </w:pPr>
      <w:r w:rsidRPr="00262981">
        <w:rPr>
          <w:rFonts w:ascii="Arial" w:hAnsi="Arial" w:cs="Arial"/>
          <w:sz w:val="16"/>
          <w:szCs w:val="16"/>
        </w:rPr>
        <w:t xml:space="preserve">Observações: </w:t>
      </w:r>
    </w:p>
    <w:p w14:paraId="30A29FEA" w14:textId="77777777" w:rsidR="00BB5697" w:rsidRPr="00262981" w:rsidRDefault="00BB5697" w:rsidP="00BB5697">
      <w:pPr>
        <w:spacing w:after="0" w:line="360" w:lineRule="auto"/>
        <w:jc w:val="both"/>
        <w:rPr>
          <w:rFonts w:ascii="Arial" w:hAnsi="Arial" w:cs="Arial"/>
          <w:sz w:val="16"/>
          <w:szCs w:val="16"/>
        </w:rPr>
      </w:pPr>
      <w:r w:rsidRPr="00262981">
        <w:rPr>
          <w:rFonts w:ascii="Arial" w:hAnsi="Arial" w:cs="Arial"/>
          <w:sz w:val="16"/>
          <w:szCs w:val="16"/>
        </w:rPr>
        <w:t>1 – A tabela 'extrato do parcelamento' representa um modelo proposto, admitindo-se modificações para sua adequação à legislação que autoriza o parcelamento.</w:t>
      </w:r>
    </w:p>
    <w:p w14:paraId="69DDA980" w14:textId="77777777" w:rsidR="00BB5697" w:rsidRPr="00262981" w:rsidRDefault="00BB5697" w:rsidP="00BB5697">
      <w:pPr>
        <w:spacing w:after="0" w:line="360" w:lineRule="auto"/>
        <w:jc w:val="both"/>
        <w:rPr>
          <w:rFonts w:ascii="Arial" w:hAnsi="Arial" w:cs="Arial"/>
          <w:sz w:val="16"/>
          <w:szCs w:val="16"/>
        </w:rPr>
      </w:pPr>
      <w:r w:rsidRPr="00262981">
        <w:rPr>
          <w:rFonts w:ascii="Arial" w:hAnsi="Arial" w:cs="Arial"/>
          <w:sz w:val="16"/>
          <w:szCs w:val="16"/>
        </w:rPr>
        <w:t>2 - As modificações eventualmente impostas ao extrato do parcelamento devem observar a evidenciação das colunas A, C, E e I, necessárias à observância do regime de competência dos registros contábeis.</w:t>
      </w:r>
    </w:p>
    <w:p w14:paraId="77BC7700" w14:textId="77777777" w:rsidR="00BB5697" w:rsidRPr="00262981" w:rsidRDefault="00BB5697" w:rsidP="00BB5697">
      <w:pPr>
        <w:spacing w:after="0" w:line="360" w:lineRule="auto"/>
        <w:jc w:val="both"/>
        <w:rPr>
          <w:rFonts w:ascii="Arial" w:hAnsi="Arial" w:cs="Arial"/>
          <w:sz w:val="18"/>
          <w:szCs w:val="18"/>
        </w:rPr>
      </w:pPr>
    </w:p>
    <w:p w14:paraId="142E4399" w14:textId="77777777" w:rsidR="00BB5697" w:rsidRPr="00FD1551" w:rsidRDefault="00BB5697" w:rsidP="00BB5697">
      <w:pPr>
        <w:spacing w:after="0" w:line="360" w:lineRule="auto"/>
        <w:jc w:val="both"/>
        <w:rPr>
          <w:rFonts w:ascii="Arial" w:hAnsi="Arial" w:cs="Arial"/>
        </w:rPr>
      </w:pPr>
      <w:r w:rsidRPr="00FD1551">
        <w:rPr>
          <w:rFonts w:ascii="Arial" w:hAnsi="Arial" w:cs="Arial"/>
        </w:rPr>
        <w:t xml:space="preserve">Município/ES,  __/dezembro/ [exercício de competência da </w:t>
      </w:r>
      <w:r>
        <w:rPr>
          <w:rFonts w:ascii="Arial" w:hAnsi="Arial" w:cs="Arial"/>
        </w:rPr>
        <w:t>PCA</w:t>
      </w:r>
      <w:r w:rsidRPr="00FD1551">
        <w:rPr>
          <w:rFonts w:ascii="Arial" w:hAnsi="Arial" w:cs="Arial"/>
        </w:rPr>
        <w:t>]</w:t>
      </w:r>
    </w:p>
    <w:p w14:paraId="4DE3FD27" w14:textId="77777777" w:rsidR="00BB5697" w:rsidRPr="00FD1551" w:rsidRDefault="00BB5697" w:rsidP="00BB5697">
      <w:pPr>
        <w:spacing w:after="0" w:line="360" w:lineRule="auto"/>
        <w:jc w:val="center"/>
        <w:rPr>
          <w:rFonts w:ascii="Arial" w:hAnsi="Arial" w:cs="Arial"/>
        </w:rPr>
      </w:pPr>
      <w:r w:rsidRPr="00FD1551">
        <w:rPr>
          <w:rFonts w:ascii="Arial" w:hAnsi="Arial" w:cs="Arial"/>
        </w:rPr>
        <w:t>__________________________</w:t>
      </w:r>
    </w:p>
    <w:p w14:paraId="3E73A054" w14:textId="77777777" w:rsidR="00BB5697" w:rsidRDefault="00BB5697" w:rsidP="00BB5697">
      <w:pPr>
        <w:spacing w:after="0" w:line="360" w:lineRule="auto"/>
        <w:jc w:val="center"/>
        <w:rPr>
          <w:rFonts w:ascii="Arial" w:hAnsi="Arial" w:cs="Arial"/>
          <w:b/>
          <w:sz w:val="28"/>
          <w:szCs w:val="28"/>
        </w:rPr>
        <w:sectPr w:rsidR="00BB5697" w:rsidSect="00E7482B">
          <w:footnotePr>
            <w:numRestart w:val="eachPage"/>
          </w:footnotePr>
          <w:pgSz w:w="16838" w:h="11906" w:orient="landscape"/>
          <w:pgMar w:top="992" w:right="1418" w:bottom="1701" w:left="1418" w:header="709" w:footer="709" w:gutter="0"/>
          <w:cols w:space="708"/>
          <w:docGrid w:linePitch="360"/>
        </w:sectPr>
      </w:pPr>
      <w:r w:rsidRPr="00FD1551">
        <w:rPr>
          <w:rFonts w:ascii="Arial" w:hAnsi="Arial" w:cs="Arial"/>
        </w:rPr>
        <w:t>Assinatura do Gestor do RPPS</w:t>
      </w:r>
      <w:r w:rsidRPr="00FD1551">
        <w:rPr>
          <w:rFonts w:ascii="Arial" w:hAnsi="Arial" w:cs="Arial"/>
          <w:b/>
          <w:sz w:val="28"/>
          <w:szCs w:val="28"/>
        </w:rPr>
        <w:br w:type="page"/>
      </w:r>
    </w:p>
    <w:p w14:paraId="1EB89D9F" w14:textId="150DC45B" w:rsidR="00972D66" w:rsidRDefault="00972D66" w:rsidP="00972D66">
      <w:pPr>
        <w:pStyle w:val="Ttulo3"/>
      </w:pPr>
      <w:bookmarkStart w:id="86" w:name="_Toc94806358"/>
      <w:r>
        <w:rPr>
          <w:lang w:val="pt-BR"/>
        </w:rPr>
        <w:lastRenderedPageBreak/>
        <w:t>DECINAT</w:t>
      </w:r>
      <w:bookmarkEnd w:id="86"/>
    </w:p>
    <w:tbl>
      <w:tblPr>
        <w:tblW w:w="8505" w:type="dxa"/>
        <w:tblInd w:w="7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8505"/>
      </w:tblGrid>
      <w:tr w:rsidR="00BB5697" w:rsidRPr="00FD1551" w14:paraId="07EF649C" w14:textId="77777777" w:rsidTr="00BF7C4A">
        <w:trPr>
          <w:trHeight w:val="283"/>
        </w:trPr>
        <w:tc>
          <w:tcPr>
            <w:tcW w:w="8505" w:type="dxa"/>
          </w:tcPr>
          <w:p w14:paraId="2459110A"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b/>
                <w:bCs/>
                <w:color w:val="000000"/>
                <w:sz w:val="16"/>
                <w:szCs w:val="16"/>
                <w:lang w:eastAsia="pt-BR"/>
              </w:rPr>
              <w:t>IDENTIFICAÇÃO:</w:t>
            </w:r>
            <w:r w:rsidRPr="00FD1551">
              <w:rPr>
                <w:rFonts w:ascii="Arial" w:eastAsia="Times New Roman" w:hAnsi="Arial" w:cs="Arial"/>
                <w:color w:val="000000"/>
                <w:sz w:val="16"/>
                <w:szCs w:val="16"/>
                <w:lang w:eastAsia="pt-BR"/>
              </w:rPr>
              <w:t> </w:t>
            </w:r>
          </w:p>
        </w:tc>
      </w:tr>
      <w:tr w:rsidR="00BB5697" w:rsidRPr="00FD1551" w14:paraId="6420804C" w14:textId="77777777" w:rsidTr="00BF7C4A">
        <w:trPr>
          <w:trHeight w:val="283"/>
        </w:trPr>
        <w:tc>
          <w:tcPr>
            <w:tcW w:w="8505" w:type="dxa"/>
            <w:shd w:val="clear" w:color="auto" w:fill="auto"/>
            <w:noWrap/>
            <w:vAlign w:val="bottom"/>
            <w:hideMark/>
          </w:tcPr>
          <w:p w14:paraId="05F35C17"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EXERCÍCIO:</w:t>
            </w:r>
          </w:p>
        </w:tc>
      </w:tr>
    </w:tbl>
    <w:p w14:paraId="4DE6C850" w14:textId="77777777" w:rsidR="00BB5697" w:rsidRPr="00FD1551" w:rsidRDefault="00BB5697" w:rsidP="00BB5697">
      <w:pPr>
        <w:spacing w:after="0" w:line="360" w:lineRule="auto"/>
        <w:jc w:val="both"/>
        <w:rPr>
          <w:rFonts w:ascii="Arial" w:hAnsi="Arial" w:cs="Arial"/>
        </w:rPr>
      </w:pPr>
    </w:p>
    <w:p w14:paraId="299F83B3" w14:textId="77777777" w:rsidR="00BB5697" w:rsidRPr="00FD1551" w:rsidRDefault="00BB5697" w:rsidP="00BB5697">
      <w:pPr>
        <w:spacing w:after="0" w:line="360" w:lineRule="auto"/>
        <w:jc w:val="center"/>
        <w:rPr>
          <w:rFonts w:ascii="Arial" w:hAnsi="Arial"/>
          <w:b/>
        </w:rPr>
      </w:pPr>
      <w:r w:rsidRPr="00FD1551">
        <w:rPr>
          <w:rFonts w:ascii="Arial" w:hAnsi="Arial"/>
          <w:b/>
        </w:rPr>
        <w:t xml:space="preserve">DECLARAÇÃO DE PAGAMENTO DE APOSENTADORIAS E PENSÕES </w:t>
      </w:r>
    </w:p>
    <w:p w14:paraId="678C2D50" w14:textId="77777777" w:rsidR="00BB5697" w:rsidRPr="00FD1551" w:rsidRDefault="00BB5697" w:rsidP="00BB5697">
      <w:pPr>
        <w:spacing w:after="0" w:line="360" w:lineRule="auto"/>
        <w:jc w:val="center"/>
        <w:rPr>
          <w:rFonts w:ascii="Arial" w:hAnsi="Arial" w:cs="Arial"/>
        </w:rPr>
      </w:pPr>
    </w:p>
    <w:p w14:paraId="07B33440" w14:textId="77777777" w:rsidR="00BB5697" w:rsidRPr="00FD1551" w:rsidRDefault="00BB5697" w:rsidP="00BB5697">
      <w:pPr>
        <w:spacing w:after="0" w:line="360" w:lineRule="auto"/>
        <w:jc w:val="both"/>
        <w:rPr>
          <w:rFonts w:ascii="Arial" w:hAnsi="Arial"/>
          <w:b/>
          <w:sz w:val="20"/>
          <w:szCs w:val="20"/>
        </w:rPr>
      </w:pPr>
      <w:r w:rsidRPr="00FD1551">
        <w:rPr>
          <w:rFonts w:ascii="Arial" w:hAnsi="Arial"/>
          <w:sz w:val="20"/>
          <w:szCs w:val="20"/>
        </w:rPr>
        <w:t>Declaro, na forma da lei e para todos os fins de direito que o regime previdenciário estabelecido para os servidores efetivos desta [</w:t>
      </w:r>
      <w:r w:rsidRPr="00FD1551">
        <w:rPr>
          <w:rFonts w:ascii="Arial" w:hAnsi="Arial"/>
          <w:b/>
          <w:i/>
          <w:sz w:val="20"/>
          <w:szCs w:val="20"/>
        </w:rPr>
        <w:t>entidade</w:t>
      </w:r>
      <w:r w:rsidRPr="00FD1551">
        <w:rPr>
          <w:rFonts w:ascii="Arial" w:hAnsi="Arial"/>
          <w:sz w:val="20"/>
          <w:szCs w:val="20"/>
        </w:rPr>
        <w:t>], por meio do art. [xx] da lei nº. [</w:t>
      </w:r>
      <w:r w:rsidRPr="00FD1551">
        <w:rPr>
          <w:rFonts w:ascii="Arial" w:hAnsi="Arial"/>
          <w:b/>
          <w:i/>
          <w:sz w:val="20"/>
          <w:szCs w:val="20"/>
        </w:rPr>
        <w:t>citar legislação</w:t>
      </w:r>
      <w:r w:rsidRPr="00FD1551">
        <w:rPr>
          <w:rFonts w:ascii="Arial" w:hAnsi="Arial"/>
          <w:sz w:val="20"/>
          <w:szCs w:val="20"/>
        </w:rPr>
        <w:t>], é o Regime [</w:t>
      </w:r>
      <w:r w:rsidRPr="00FD1551">
        <w:rPr>
          <w:rFonts w:ascii="Arial" w:hAnsi="Arial"/>
          <w:b/>
          <w:i/>
          <w:sz w:val="20"/>
          <w:szCs w:val="20"/>
        </w:rPr>
        <w:t>geral e/ou regime próprio de previdência</w:t>
      </w:r>
      <w:r w:rsidRPr="00FD1551">
        <w:rPr>
          <w:rFonts w:ascii="Arial" w:hAnsi="Arial"/>
          <w:sz w:val="20"/>
          <w:szCs w:val="20"/>
        </w:rPr>
        <w:t>].</w:t>
      </w:r>
    </w:p>
    <w:p w14:paraId="00E83B18" w14:textId="77777777" w:rsidR="00BB5697" w:rsidRPr="00FD1551" w:rsidRDefault="00BB5697" w:rsidP="00BB5697">
      <w:pPr>
        <w:spacing w:after="0" w:line="360" w:lineRule="auto"/>
        <w:jc w:val="center"/>
        <w:rPr>
          <w:rFonts w:ascii="Arial" w:hAnsi="Arial"/>
          <w:b/>
          <w:sz w:val="20"/>
          <w:szCs w:val="20"/>
        </w:rPr>
      </w:pPr>
    </w:p>
    <w:p w14:paraId="682FB1E7" w14:textId="77777777" w:rsidR="00BB5697" w:rsidRPr="00FD1551" w:rsidRDefault="00BB5697" w:rsidP="00BB5697">
      <w:pPr>
        <w:spacing w:after="0" w:line="360" w:lineRule="auto"/>
        <w:jc w:val="both"/>
        <w:rPr>
          <w:rFonts w:ascii="Arial" w:hAnsi="Arial"/>
          <w:sz w:val="20"/>
          <w:szCs w:val="20"/>
        </w:rPr>
      </w:pPr>
      <w:r w:rsidRPr="00FD1551">
        <w:rPr>
          <w:rFonts w:ascii="Arial" w:hAnsi="Arial"/>
          <w:sz w:val="20"/>
          <w:szCs w:val="20"/>
        </w:rPr>
        <w:t>Declaro ainda, na forma da lei e para todos os fins de direito que esta [</w:t>
      </w:r>
      <w:r w:rsidRPr="00FD1551">
        <w:rPr>
          <w:rFonts w:ascii="Arial" w:hAnsi="Arial"/>
          <w:b/>
          <w:i/>
          <w:sz w:val="20"/>
          <w:szCs w:val="20"/>
        </w:rPr>
        <w:t>entidade</w:t>
      </w:r>
      <w:r w:rsidRPr="00FD1551">
        <w:rPr>
          <w:rFonts w:ascii="Arial" w:hAnsi="Arial"/>
          <w:sz w:val="20"/>
          <w:szCs w:val="20"/>
        </w:rPr>
        <w:t>], possui a responsabilidade direta de pagamento de aposentadorias e pensões, conforme estabelecido no dispositivo [xxx] da Lei [citar legislação que criou tal responsabilidade para o ente].</w:t>
      </w:r>
    </w:p>
    <w:p w14:paraId="08C8CEE1" w14:textId="77777777" w:rsidR="00BB5697" w:rsidRPr="00FD1551" w:rsidRDefault="00BB5697" w:rsidP="00BB5697">
      <w:pPr>
        <w:spacing w:after="0" w:line="360" w:lineRule="auto"/>
        <w:jc w:val="both"/>
        <w:rPr>
          <w:rFonts w:ascii="Arial" w:hAnsi="Arial"/>
          <w:sz w:val="20"/>
          <w:szCs w:val="20"/>
        </w:rPr>
      </w:pPr>
      <w:r w:rsidRPr="00FD1551">
        <w:rPr>
          <w:rFonts w:ascii="Arial" w:hAnsi="Arial"/>
          <w:sz w:val="20"/>
          <w:szCs w:val="20"/>
        </w:rPr>
        <w:t xml:space="preserve"> </w:t>
      </w:r>
    </w:p>
    <w:p w14:paraId="1AB53228" w14:textId="77777777" w:rsidR="00BB5697" w:rsidRPr="00FD1551" w:rsidRDefault="00BB5697" w:rsidP="00BB5697">
      <w:pPr>
        <w:spacing w:after="0" w:line="360" w:lineRule="auto"/>
        <w:jc w:val="both"/>
        <w:rPr>
          <w:rFonts w:ascii="Arial" w:hAnsi="Arial"/>
          <w:sz w:val="20"/>
          <w:szCs w:val="20"/>
        </w:rPr>
      </w:pPr>
    </w:p>
    <w:p w14:paraId="3451E6A6" w14:textId="77777777" w:rsidR="00BB5697" w:rsidRPr="00FD1551" w:rsidRDefault="00BB5697" w:rsidP="00BB5697">
      <w:pPr>
        <w:spacing w:after="0" w:line="360" w:lineRule="auto"/>
        <w:jc w:val="both"/>
        <w:rPr>
          <w:rFonts w:ascii="Arial" w:hAnsi="Arial"/>
          <w:sz w:val="20"/>
          <w:szCs w:val="20"/>
        </w:rPr>
      </w:pPr>
      <w:r w:rsidRPr="00FD1551">
        <w:rPr>
          <w:rFonts w:ascii="Arial" w:hAnsi="Arial"/>
          <w:sz w:val="20"/>
          <w:szCs w:val="20"/>
        </w:rPr>
        <w:t>Município/ES,  __/dezembro/ [exercício de competência da pca]</w:t>
      </w:r>
    </w:p>
    <w:p w14:paraId="450A3809" w14:textId="77777777" w:rsidR="00BB5697" w:rsidRPr="00FD1551" w:rsidRDefault="00BB5697" w:rsidP="00BB5697">
      <w:pPr>
        <w:spacing w:after="0" w:line="360" w:lineRule="auto"/>
        <w:jc w:val="both"/>
        <w:rPr>
          <w:rFonts w:ascii="Arial" w:hAnsi="Arial"/>
          <w:sz w:val="20"/>
          <w:szCs w:val="20"/>
        </w:rPr>
      </w:pPr>
    </w:p>
    <w:p w14:paraId="341480EB" w14:textId="77777777" w:rsidR="00BB5697" w:rsidRPr="00FD1551" w:rsidRDefault="00BB5697" w:rsidP="00BB5697">
      <w:pPr>
        <w:spacing w:after="0" w:line="360" w:lineRule="auto"/>
        <w:jc w:val="both"/>
        <w:rPr>
          <w:rFonts w:ascii="Arial" w:hAnsi="Arial"/>
          <w:sz w:val="20"/>
          <w:szCs w:val="20"/>
        </w:rPr>
      </w:pPr>
    </w:p>
    <w:p w14:paraId="11A2946F" w14:textId="77777777" w:rsidR="00BB5697" w:rsidRPr="00FD1551" w:rsidRDefault="00BB5697" w:rsidP="00BB5697">
      <w:pPr>
        <w:spacing w:after="0" w:line="360" w:lineRule="auto"/>
        <w:jc w:val="center"/>
        <w:rPr>
          <w:rFonts w:ascii="Arial" w:hAnsi="Arial"/>
          <w:sz w:val="20"/>
          <w:szCs w:val="20"/>
        </w:rPr>
      </w:pPr>
      <w:r w:rsidRPr="00FD1551">
        <w:rPr>
          <w:rFonts w:ascii="Arial" w:hAnsi="Arial"/>
          <w:sz w:val="20"/>
          <w:szCs w:val="20"/>
        </w:rPr>
        <w:t>_____________________________________________________</w:t>
      </w:r>
    </w:p>
    <w:p w14:paraId="252530BB" w14:textId="77777777" w:rsidR="00BB5697" w:rsidRPr="00FD1551" w:rsidRDefault="00BB5697" w:rsidP="00BB5697">
      <w:pPr>
        <w:spacing w:after="0" w:line="360" w:lineRule="auto"/>
        <w:jc w:val="center"/>
        <w:rPr>
          <w:rFonts w:ascii="Arial" w:hAnsi="Arial"/>
          <w:sz w:val="20"/>
          <w:szCs w:val="20"/>
        </w:rPr>
      </w:pPr>
      <w:r w:rsidRPr="00FD1551">
        <w:rPr>
          <w:rFonts w:ascii="Arial" w:hAnsi="Arial"/>
          <w:sz w:val="20"/>
          <w:szCs w:val="20"/>
        </w:rPr>
        <w:t>Assinatura do Chefe do Poder Executivo / Ordenador de Despesas da [entidade]</w:t>
      </w:r>
    </w:p>
    <w:p w14:paraId="1ECB3793" w14:textId="77777777" w:rsidR="00BB5697" w:rsidRPr="00FD1551" w:rsidRDefault="00BB5697" w:rsidP="00BB5697">
      <w:pPr>
        <w:spacing w:after="0" w:line="360" w:lineRule="auto"/>
        <w:jc w:val="both"/>
        <w:rPr>
          <w:rFonts w:ascii="Arial" w:eastAsia="Times New Roman" w:hAnsi="Arial" w:cs="Arial"/>
          <w:color w:val="0070C0"/>
          <w:sz w:val="20"/>
          <w:szCs w:val="20"/>
          <w:lang w:eastAsia="pt-BR"/>
        </w:rPr>
      </w:pPr>
    </w:p>
    <w:p w14:paraId="751FBA5F" w14:textId="77777777" w:rsidR="00BB5697" w:rsidRPr="00FD1551" w:rsidRDefault="00BB5697" w:rsidP="00BB5697">
      <w:pPr>
        <w:spacing w:after="0" w:line="360" w:lineRule="auto"/>
        <w:jc w:val="both"/>
        <w:rPr>
          <w:rFonts w:ascii="Arial" w:eastAsia="Times New Roman" w:hAnsi="Arial" w:cs="Arial"/>
          <w:color w:val="0070C0"/>
          <w:sz w:val="20"/>
          <w:szCs w:val="20"/>
          <w:lang w:eastAsia="pt-BR"/>
        </w:rPr>
      </w:pPr>
    </w:p>
    <w:p w14:paraId="5D3DC2A6" w14:textId="77777777" w:rsidR="00BB5697" w:rsidRPr="00FD1551" w:rsidRDefault="00BB5697" w:rsidP="00BB5697">
      <w:pPr>
        <w:jc w:val="both"/>
        <w:rPr>
          <w:rFonts w:ascii="Arial" w:hAnsi="Arial"/>
          <w:sz w:val="20"/>
          <w:szCs w:val="20"/>
        </w:rPr>
      </w:pPr>
      <w:r w:rsidRPr="00FD1551">
        <w:rPr>
          <w:rFonts w:ascii="Arial" w:hAnsi="Arial"/>
          <w:b/>
          <w:sz w:val="20"/>
          <w:szCs w:val="20"/>
          <w:u w:val="single"/>
        </w:rPr>
        <w:t>Observação</w:t>
      </w:r>
      <w:r w:rsidRPr="00FD1551">
        <w:rPr>
          <w:rFonts w:ascii="Arial" w:hAnsi="Arial"/>
          <w:sz w:val="20"/>
          <w:szCs w:val="20"/>
        </w:rPr>
        <w:t>: No caso do [ente] efetuar de forma direta, o pagamento de aposentadorias e pensões, apresentar as seguintes informações adicionais:</w:t>
      </w:r>
    </w:p>
    <w:p w14:paraId="25614920" w14:textId="77777777" w:rsidR="00BB5697" w:rsidRPr="00FD1551" w:rsidRDefault="00BB5697" w:rsidP="00BB5697">
      <w:pPr>
        <w:spacing w:after="0" w:line="360" w:lineRule="auto"/>
        <w:jc w:val="center"/>
        <w:rPr>
          <w:rFonts w:ascii="Arial" w:hAnsi="Arial"/>
          <w:sz w:val="20"/>
          <w:szCs w:val="20"/>
        </w:rPr>
      </w:pPr>
    </w:p>
    <w:tbl>
      <w:tblPr>
        <w:tblStyle w:val="Tabelacomgrade"/>
        <w:tblW w:w="0" w:type="auto"/>
        <w:tblLook w:val="04A0" w:firstRow="1" w:lastRow="0" w:firstColumn="1" w:lastColumn="0" w:noHBand="0" w:noVBand="1"/>
      </w:tblPr>
      <w:tblGrid>
        <w:gridCol w:w="1171"/>
        <w:gridCol w:w="1089"/>
        <w:gridCol w:w="1228"/>
        <w:gridCol w:w="894"/>
        <w:gridCol w:w="1080"/>
        <w:gridCol w:w="1080"/>
        <w:gridCol w:w="1089"/>
        <w:gridCol w:w="1089"/>
      </w:tblGrid>
      <w:tr w:rsidR="00BB5697" w:rsidRPr="00FD1551" w14:paraId="3044A050" w14:textId="77777777" w:rsidTr="00BF7C4A">
        <w:tc>
          <w:tcPr>
            <w:tcW w:w="8720" w:type="dxa"/>
            <w:gridSpan w:val="8"/>
            <w:tcBorders>
              <w:top w:val="single" w:sz="4" w:space="0" w:color="auto"/>
              <w:left w:val="single" w:sz="4" w:space="0" w:color="auto"/>
              <w:bottom w:val="single" w:sz="4" w:space="0" w:color="auto"/>
              <w:right w:val="single" w:sz="4" w:space="0" w:color="auto"/>
            </w:tcBorders>
            <w:shd w:val="clear" w:color="auto" w:fill="FFC000"/>
            <w:hideMark/>
          </w:tcPr>
          <w:p w14:paraId="203F1CE7" w14:textId="77777777" w:rsidR="00BB5697" w:rsidRPr="00FD1551" w:rsidRDefault="00BB5697" w:rsidP="00BF7C4A">
            <w:pPr>
              <w:spacing w:line="360" w:lineRule="auto"/>
              <w:jc w:val="center"/>
              <w:rPr>
                <w:rFonts w:ascii="Arial" w:hAnsi="Arial"/>
                <w:b/>
              </w:rPr>
            </w:pPr>
            <w:r w:rsidRPr="00FD1551">
              <w:rPr>
                <w:rFonts w:ascii="Arial" w:hAnsi="Arial"/>
                <w:b/>
              </w:rPr>
              <w:t>Relação das Aposentadorias e Pensões Pagas diretamente pela [Entidade]</w:t>
            </w:r>
          </w:p>
        </w:tc>
      </w:tr>
      <w:tr w:rsidR="00BB5697" w:rsidRPr="00FD1551" w14:paraId="1FA734D5" w14:textId="77777777" w:rsidTr="00BF7C4A">
        <w:tc>
          <w:tcPr>
            <w:tcW w:w="1171" w:type="dxa"/>
            <w:tcBorders>
              <w:top w:val="single" w:sz="4" w:space="0" w:color="auto"/>
              <w:left w:val="single" w:sz="4" w:space="0" w:color="auto"/>
              <w:bottom w:val="single" w:sz="4" w:space="0" w:color="auto"/>
              <w:right w:val="single" w:sz="4" w:space="0" w:color="auto"/>
            </w:tcBorders>
            <w:shd w:val="clear" w:color="auto" w:fill="FFC000"/>
            <w:vAlign w:val="center"/>
            <w:hideMark/>
          </w:tcPr>
          <w:p w14:paraId="53C6E119" w14:textId="77777777" w:rsidR="00BB5697" w:rsidRPr="00FD1551" w:rsidRDefault="00BB5697" w:rsidP="00BF7C4A">
            <w:pPr>
              <w:spacing w:line="360" w:lineRule="auto"/>
              <w:jc w:val="center"/>
              <w:rPr>
                <w:rFonts w:ascii="Arial" w:hAnsi="Arial"/>
                <w:b/>
                <w:sz w:val="16"/>
              </w:rPr>
            </w:pPr>
            <w:r w:rsidRPr="00FD1551">
              <w:rPr>
                <w:rFonts w:ascii="Arial" w:hAnsi="Arial"/>
                <w:b/>
                <w:sz w:val="16"/>
              </w:rPr>
              <w:t>Nome do Beneficiário</w:t>
            </w:r>
          </w:p>
        </w:tc>
        <w:tc>
          <w:tcPr>
            <w:tcW w:w="1089" w:type="dxa"/>
            <w:tcBorders>
              <w:top w:val="single" w:sz="4" w:space="0" w:color="auto"/>
              <w:left w:val="single" w:sz="4" w:space="0" w:color="auto"/>
              <w:bottom w:val="single" w:sz="4" w:space="0" w:color="auto"/>
              <w:right w:val="single" w:sz="4" w:space="0" w:color="auto"/>
            </w:tcBorders>
            <w:shd w:val="clear" w:color="auto" w:fill="FFC000"/>
            <w:vAlign w:val="center"/>
            <w:hideMark/>
          </w:tcPr>
          <w:p w14:paraId="0FB6533A" w14:textId="77777777" w:rsidR="00BB5697" w:rsidRPr="00FD1551" w:rsidRDefault="00BB5697" w:rsidP="00BF7C4A">
            <w:pPr>
              <w:spacing w:line="360" w:lineRule="auto"/>
              <w:jc w:val="center"/>
              <w:rPr>
                <w:rFonts w:ascii="Arial" w:hAnsi="Arial"/>
                <w:b/>
                <w:sz w:val="16"/>
              </w:rPr>
            </w:pPr>
            <w:r w:rsidRPr="00FD1551">
              <w:rPr>
                <w:rFonts w:ascii="Arial" w:hAnsi="Arial"/>
                <w:b/>
                <w:sz w:val="16"/>
              </w:rPr>
              <w:t>Tipo de Benefício</w:t>
            </w:r>
            <w:r w:rsidRPr="00FD1551">
              <w:rPr>
                <w:rFonts w:ascii="Arial" w:eastAsia="Calibri" w:hAnsi="Arial"/>
                <w:b/>
                <w:sz w:val="16"/>
                <w:vertAlign w:val="superscript"/>
              </w:rPr>
              <w:footnoteReference w:id="33"/>
            </w:r>
          </w:p>
        </w:tc>
        <w:tc>
          <w:tcPr>
            <w:tcW w:w="1228" w:type="dxa"/>
            <w:tcBorders>
              <w:top w:val="single" w:sz="4" w:space="0" w:color="auto"/>
              <w:left w:val="single" w:sz="4" w:space="0" w:color="auto"/>
              <w:bottom w:val="single" w:sz="4" w:space="0" w:color="auto"/>
              <w:right w:val="single" w:sz="4" w:space="0" w:color="auto"/>
            </w:tcBorders>
            <w:shd w:val="clear" w:color="auto" w:fill="FFC000"/>
            <w:vAlign w:val="center"/>
            <w:hideMark/>
          </w:tcPr>
          <w:p w14:paraId="60A3950F" w14:textId="77777777" w:rsidR="00BB5697" w:rsidRPr="00FD1551" w:rsidRDefault="00BB5697" w:rsidP="00BF7C4A">
            <w:pPr>
              <w:spacing w:line="360" w:lineRule="auto"/>
              <w:jc w:val="center"/>
              <w:rPr>
                <w:rFonts w:ascii="Arial" w:hAnsi="Arial"/>
                <w:b/>
                <w:sz w:val="16"/>
              </w:rPr>
            </w:pPr>
            <w:r w:rsidRPr="00FD1551">
              <w:rPr>
                <w:rFonts w:ascii="Arial" w:hAnsi="Arial"/>
                <w:b/>
                <w:sz w:val="16"/>
              </w:rPr>
              <w:t>Base Legal de Concessão</w:t>
            </w:r>
            <w:r w:rsidRPr="00FD1551">
              <w:rPr>
                <w:rFonts w:ascii="Arial" w:eastAsia="Calibri" w:hAnsi="Arial"/>
                <w:b/>
                <w:sz w:val="16"/>
                <w:vertAlign w:val="superscript"/>
              </w:rPr>
              <w:footnoteReference w:id="34"/>
            </w:r>
          </w:p>
        </w:tc>
        <w:tc>
          <w:tcPr>
            <w:tcW w:w="894" w:type="dxa"/>
            <w:tcBorders>
              <w:top w:val="single" w:sz="4" w:space="0" w:color="auto"/>
              <w:left w:val="single" w:sz="4" w:space="0" w:color="auto"/>
              <w:bottom w:val="single" w:sz="4" w:space="0" w:color="auto"/>
              <w:right w:val="single" w:sz="4" w:space="0" w:color="auto"/>
            </w:tcBorders>
            <w:shd w:val="clear" w:color="auto" w:fill="FFC000"/>
            <w:vAlign w:val="center"/>
            <w:hideMark/>
          </w:tcPr>
          <w:p w14:paraId="7E9A5B1A" w14:textId="77777777" w:rsidR="00BB5697" w:rsidRPr="00FD1551" w:rsidRDefault="00BB5697" w:rsidP="00BF7C4A">
            <w:pPr>
              <w:spacing w:line="360" w:lineRule="auto"/>
              <w:jc w:val="center"/>
              <w:rPr>
                <w:rFonts w:ascii="Arial" w:hAnsi="Arial"/>
                <w:b/>
                <w:sz w:val="16"/>
              </w:rPr>
            </w:pPr>
            <w:r w:rsidRPr="00FD1551">
              <w:rPr>
                <w:rFonts w:ascii="Arial" w:hAnsi="Arial"/>
                <w:b/>
                <w:sz w:val="16"/>
              </w:rPr>
              <w:t>Cargo que ocupava</w:t>
            </w:r>
          </w:p>
        </w:tc>
        <w:tc>
          <w:tcPr>
            <w:tcW w:w="1080" w:type="dxa"/>
            <w:tcBorders>
              <w:top w:val="single" w:sz="4" w:space="0" w:color="auto"/>
              <w:left w:val="single" w:sz="4" w:space="0" w:color="auto"/>
              <w:bottom w:val="single" w:sz="4" w:space="0" w:color="auto"/>
              <w:right w:val="single" w:sz="4" w:space="0" w:color="auto"/>
            </w:tcBorders>
            <w:shd w:val="clear" w:color="auto" w:fill="FFC000"/>
            <w:vAlign w:val="center"/>
            <w:hideMark/>
          </w:tcPr>
          <w:p w14:paraId="02A601EA" w14:textId="77777777" w:rsidR="00BB5697" w:rsidRPr="00FD1551" w:rsidRDefault="00BB5697" w:rsidP="00BF7C4A">
            <w:pPr>
              <w:spacing w:line="360" w:lineRule="auto"/>
              <w:jc w:val="center"/>
              <w:rPr>
                <w:rFonts w:ascii="Arial" w:hAnsi="Arial"/>
                <w:b/>
                <w:sz w:val="16"/>
              </w:rPr>
            </w:pPr>
            <w:r w:rsidRPr="00FD1551">
              <w:rPr>
                <w:rFonts w:ascii="Arial" w:hAnsi="Arial"/>
                <w:b/>
                <w:sz w:val="16"/>
              </w:rPr>
              <w:t>Data de concessão do Benefício</w:t>
            </w:r>
          </w:p>
        </w:tc>
        <w:tc>
          <w:tcPr>
            <w:tcW w:w="1080" w:type="dxa"/>
            <w:tcBorders>
              <w:top w:val="single" w:sz="4" w:space="0" w:color="auto"/>
              <w:left w:val="single" w:sz="4" w:space="0" w:color="auto"/>
              <w:bottom w:val="single" w:sz="4" w:space="0" w:color="auto"/>
              <w:right w:val="single" w:sz="4" w:space="0" w:color="auto"/>
            </w:tcBorders>
            <w:shd w:val="clear" w:color="auto" w:fill="FFC000"/>
            <w:hideMark/>
          </w:tcPr>
          <w:p w14:paraId="35A41F16" w14:textId="77777777" w:rsidR="00BB5697" w:rsidRPr="00FD1551" w:rsidRDefault="00BB5697" w:rsidP="00BF7C4A">
            <w:pPr>
              <w:spacing w:line="360" w:lineRule="auto"/>
              <w:jc w:val="center"/>
              <w:rPr>
                <w:rFonts w:ascii="Arial" w:hAnsi="Arial"/>
                <w:b/>
                <w:sz w:val="16"/>
              </w:rPr>
            </w:pPr>
            <w:r w:rsidRPr="00FD1551">
              <w:rPr>
                <w:rFonts w:ascii="Arial" w:hAnsi="Arial"/>
                <w:b/>
                <w:sz w:val="16"/>
              </w:rPr>
              <w:t>Ato de concessão</w:t>
            </w:r>
          </w:p>
        </w:tc>
        <w:tc>
          <w:tcPr>
            <w:tcW w:w="1089" w:type="dxa"/>
            <w:tcBorders>
              <w:top w:val="single" w:sz="4" w:space="0" w:color="auto"/>
              <w:left w:val="single" w:sz="4" w:space="0" w:color="auto"/>
              <w:bottom w:val="single" w:sz="4" w:space="0" w:color="auto"/>
              <w:right w:val="single" w:sz="4" w:space="0" w:color="auto"/>
            </w:tcBorders>
            <w:shd w:val="clear" w:color="auto" w:fill="FFC000"/>
            <w:hideMark/>
          </w:tcPr>
          <w:p w14:paraId="744967DB" w14:textId="77777777" w:rsidR="00BB5697" w:rsidRPr="00FD1551" w:rsidRDefault="00BB5697" w:rsidP="00BF7C4A">
            <w:pPr>
              <w:spacing w:line="360" w:lineRule="auto"/>
              <w:jc w:val="center"/>
              <w:rPr>
                <w:rFonts w:ascii="Arial" w:hAnsi="Arial"/>
                <w:b/>
                <w:sz w:val="16"/>
              </w:rPr>
            </w:pPr>
            <w:r w:rsidRPr="00FD1551">
              <w:rPr>
                <w:rFonts w:ascii="Arial" w:hAnsi="Arial"/>
                <w:b/>
                <w:sz w:val="16"/>
              </w:rPr>
              <w:t>Valor Original do Benefício</w:t>
            </w:r>
            <w:r w:rsidRPr="00FD1551">
              <w:rPr>
                <w:rFonts w:ascii="Arial" w:eastAsia="Calibri" w:hAnsi="Arial"/>
                <w:b/>
                <w:sz w:val="16"/>
                <w:vertAlign w:val="superscript"/>
              </w:rPr>
              <w:footnoteReference w:id="35"/>
            </w:r>
          </w:p>
        </w:tc>
        <w:tc>
          <w:tcPr>
            <w:tcW w:w="1089" w:type="dxa"/>
            <w:tcBorders>
              <w:top w:val="single" w:sz="4" w:space="0" w:color="auto"/>
              <w:left w:val="single" w:sz="4" w:space="0" w:color="auto"/>
              <w:bottom w:val="single" w:sz="4" w:space="0" w:color="auto"/>
              <w:right w:val="single" w:sz="4" w:space="0" w:color="auto"/>
            </w:tcBorders>
            <w:shd w:val="clear" w:color="auto" w:fill="FFC000"/>
            <w:hideMark/>
          </w:tcPr>
          <w:p w14:paraId="3F223DBC" w14:textId="77777777" w:rsidR="00BB5697" w:rsidRPr="00FD1551" w:rsidRDefault="00BB5697" w:rsidP="00BF7C4A">
            <w:pPr>
              <w:spacing w:line="360" w:lineRule="auto"/>
              <w:jc w:val="center"/>
              <w:rPr>
                <w:rFonts w:ascii="Arial" w:hAnsi="Arial"/>
                <w:b/>
                <w:sz w:val="16"/>
              </w:rPr>
            </w:pPr>
            <w:r w:rsidRPr="00FD1551">
              <w:rPr>
                <w:rFonts w:ascii="Arial" w:hAnsi="Arial"/>
                <w:b/>
                <w:sz w:val="16"/>
              </w:rPr>
              <w:t>Valor Atualizado do Benefício</w:t>
            </w:r>
            <w:r w:rsidRPr="00FD1551">
              <w:rPr>
                <w:rFonts w:ascii="Arial" w:eastAsia="Calibri" w:hAnsi="Arial"/>
                <w:b/>
                <w:sz w:val="16"/>
                <w:vertAlign w:val="superscript"/>
              </w:rPr>
              <w:footnoteReference w:id="36"/>
            </w:r>
          </w:p>
        </w:tc>
      </w:tr>
      <w:tr w:rsidR="00BB5697" w:rsidRPr="00FD1551" w14:paraId="361FE541" w14:textId="77777777" w:rsidTr="00BF7C4A">
        <w:tc>
          <w:tcPr>
            <w:tcW w:w="1171" w:type="dxa"/>
            <w:tcBorders>
              <w:top w:val="single" w:sz="4" w:space="0" w:color="auto"/>
              <w:left w:val="single" w:sz="4" w:space="0" w:color="auto"/>
              <w:bottom w:val="single" w:sz="4" w:space="0" w:color="auto"/>
              <w:right w:val="single" w:sz="4" w:space="0" w:color="auto"/>
            </w:tcBorders>
          </w:tcPr>
          <w:p w14:paraId="6CA2998E" w14:textId="77777777" w:rsidR="00BB5697" w:rsidRPr="00FD1551" w:rsidRDefault="00BB5697" w:rsidP="00BF7C4A">
            <w:pPr>
              <w:spacing w:line="360" w:lineRule="auto"/>
              <w:jc w:val="center"/>
              <w:rPr>
                <w:rFonts w:ascii="Arial" w:hAnsi="Arial"/>
              </w:rPr>
            </w:pPr>
          </w:p>
        </w:tc>
        <w:tc>
          <w:tcPr>
            <w:tcW w:w="1089" w:type="dxa"/>
            <w:tcBorders>
              <w:top w:val="single" w:sz="4" w:space="0" w:color="auto"/>
              <w:left w:val="single" w:sz="4" w:space="0" w:color="auto"/>
              <w:bottom w:val="single" w:sz="4" w:space="0" w:color="auto"/>
              <w:right w:val="single" w:sz="4" w:space="0" w:color="auto"/>
            </w:tcBorders>
          </w:tcPr>
          <w:p w14:paraId="34E9D60C" w14:textId="77777777" w:rsidR="00BB5697" w:rsidRPr="00FD1551" w:rsidRDefault="00BB5697" w:rsidP="00BF7C4A">
            <w:pPr>
              <w:spacing w:line="360" w:lineRule="auto"/>
              <w:jc w:val="center"/>
              <w:rPr>
                <w:rFonts w:ascii="Arial" w:hAnsi="Arial"/>
              </w:rPr>
            </w:pPr>
          </w:p>
        </w:tc>
        <w:tc>
          <w:tcPr>
            <w:tcW w:w="1228" w:type="dxa"/>
            <w:tcBorders>
              <w:top w:val="single" w:sz="4" w:space="0" w:color="auto"/>
              <w:left w:val="single" w:sz="4" w:space="0" w:color="auto"/>
              <w:bottom w:val="single" w:sz="4" w:space="0" w:color="auto"/>
              <w:right w:val="single" w:sz="4" w:space="0" w:color="auto"/>
            </w:tcBorders>
          </w:tcPr>
          <w:p w14:paraId="09C54EC6" w14:textId="77777777" w:rsidR="00BB5697" w:rsidRPr="00FD1551" w:rsidRDefault="00BB5697" w:rsidP="00BF7C4A">
            <w:pPr>
              <w:spacing w:line="360" w:lineRule="auto"/>
              <w:jc w:val="center"/>
              <w:rPr>
                <w:rFonts w:ascii="Arial" w:hAnsi="Arial"/>
              </w:rPr>
            </w:pPr>
          </w:p>
        </w:tc>
        <w:tc>
          <w:tcPr>
            <w:tcW w:w="894" w:type="dxa"/>
            <w:tcBorders>
              <w:top w:val="single" w:sz="4" w:space="0" w:color="auto"/>
              <w:left w:val="single" w:sz="4" w:space="0" w:color="auto"/>
              <w:bottom w:val="single" w:sz="4" w:space="0" w:color="auto"/>
              <w:right w:val="single" w:sz="4" w:space="0" w:color="auto"/>
            </w:tcBorders>
          </w:tcPr>
          <w:p w14:paraId="716BAF2F" w14:textId="77777777" w:rsidR="00BB5697" w:rsidRPr="00FD1551" w:rsidRDefault="00BB5697" w:rsidP="00BF7C4A">
            <w:pPr>
              <w:spacing w:line="360" w:lineRule="auto"/>
              <w:jc w:val="center"/>
              <w:rPr>
                <w:rFonts w:ascii="Arial" w:hAnsi="Arial"/>
              </w:rPr>
            </w:pPr>
          </w:p>
        </w:tc>
        <w:tc>
          <w:tcPr>
            <w:tcW w:w="1080" w:type="dxa"/>
            <w:tcBorders>
              <w:top w:val="single" w:sz="4" w:space="0" w:color="auto"/>
              <w:left w:val="single" w:sz="4" w:space="0" w:color="auto"/>
              <w:bottom w:val="single" w:sz="4" w:space="0" w:color="auto"/>
              <w:right w:val="single" w:sz="4" w:space="0" w:color="auto"/>
            </w:tcBorders>
          </w:tcPr>
          <w:p w14:paraId="4B2C9330" w14:textId="77777777" w:rsidR="00BB5697" w:rsidRPr="00FD1551" w:rsidRDefault="00BB5697" w:rsidP="00BF7C4A">
            <w:pPr>
              <w:spacing w:line="360" w:lineRule="auto"/>
              <w:jc w:val="center"/>
              <w:rPr>
                <w:rFonts w:ascii="Arial" w:hAnsi="Arial"/>
              </w:rPr>
            </w:pPr>
          </w:p>
        </w:tc>
        <w:tc>
          <w:tcPr>
            <w:tcW w:w="1080" w:type="dxa"/>
            <w:tcBorders>
              <w:top w:val="single" w:sz="4" w:space="0" w:color="auto"/>
              <w:left w:val="single" w:sz="4" w:space="0" w:color="auto"/>
              <w:bottom w:val="single" w:sz="4" w:space="0" w:color="auto"/>
              <w:right w:val="single" w:sz="4" w:space="0" w:color="auto"/>
            </w:tcBorders>
          </w:tcPr>
          <w:p w14:paraId="08176EAF" w14:textId="77777777" w:rsidR="00BB5697" w:rsidRPr="00FD1551" w:rsidRDefault="00BB5697" w:rsidP="00BF7C4A">
            <w:pPr>
              <w:spacing w:line="360" w:lineRule="auto"/>
              <w:jc w:val="center"/>
              <w:rPr>
                <w:rFonts w:ascii="Arial" w:hAnsi="Arial"/>
              </w:rPr>
            </w:pPr>
          </w:p>
        </w:tc>
        <w:tc>
          <w:tcPr>
            <w:tcW w:w="1089" w:type="dxa"/>
            <w:tcBorders>
              <w:top w:val="single" w:sz="4" w:space="0" w:color="auto"/>
              <w:left w:val="single" w:sz="4" w:space="0" w:color="auto"/>
              <w:bottom w:val="single" w:sz="4" w:space="0" w:color="auto"/>
              <w:right w:val="single" w:sz="4" w:space="0" w:color="auto"/>
            </w:tcBorders>
          </w:tcPr>
          <w:p w14:paraId="05FDE5AD" w14:textId="77777777" w:rsidR="00BB5697" w:rsidRPr="00FD1551" w:rsidRDefault="00BB5697" w:rsidP="00BF7C4A">
            <w:pPr>
              <w:spacing w:line="360" w:lineRule="auto"/>
              <w:jc w:val="center"/>
              <w:rPr>
                <w:rFonts w:ascii="Arial" w:hAnsi="Arial"/>
              </w:rPr>
            </w:pPr>
          </w:p>
        </w:tc>
        <w:tc>
          <w:tcPr>
            <w:tcW w:w="1089" w:type="dxa"/>
            <w:tcBorders>
              <w:top w:val="single" w:sz="4" w:space="0" w:color="auto"/>
              <w:left w:val="single" w:sz="4" w:space="0" w:color="auto"/>
              <w:bottom w:val="single" w:sz="4" w:space="0" w:color="auto"/>
              <w:right w:val="single" w:sz="4" w:space="0" w:color="auto"/>
            </w:tcBorders>
          </w:tcPr>
          <w:p w14:paraId="7860D6DD" w14:textId="77777777" w:rsidR="00BB5697" w:rsidRPr="00FD1551" w:rsidRDefault="00BB5697" w:rsidP="00BF7C4A">
            <w:pPr>
              <w:spacing w:line="360" w:lineRule="auto"/>
              <w:jc w:val="center"/>
              <w:rPr>
                <w:rFonts w:ascii="Arial" w:hAnsi="Arial"/>
              </w:rPr>
            </w:pPr>
          </w:p>
        </w:tc>
      </w:tr>
    </w:tbl>
    <w:p w14:paraId="00AAC9F4" w14:textId="77777777" w:rsidR="00BB5697" w:rsidRPr="00FD1551" w:rsidRDefault="00BB5697" w:rsidP="00BB5697">
      <w:pPr>
        <w:spacing w:after="0" w:line="360" w:lineRule="auto"/>
        <w:jc w:val="center"/>
        <w:rPr>
          <w:sz w:val="20"/>
          <w:szCs w:val="20"/>
        </w:rPr>
      </w:pPr>
    </w:p>
    <w:p w14:paraId="3312593A" w14:textId="77777777" w:rsidR="00BB5697" w:rsidRPr="00FD1551" w:rsidRDefault="00BB5697" w:rsidP="00BB5697">
      <w:pPr>
        <w:rPr>
          <w:rFonts w:ascii="Arial" w:hAnsi="Arial" w:cs="Arial"/>
          <w:b/>
          <w:sz w:val="28"/>
          <w:szCs w:val="28"/>
        </w:rPr>
      </w:pPr>
      <w:r w:rsidRPr="00FD1551">
        <w:rPr>
          <w:rFonts w:ascii="Arial" w:hAnsi="Arial" w:cs="Arial"/>
          <w:b/>
          <w:sz w:val="28"/>
          <w:szCs w:val="28"/>
        </w:rPr>
        <w:br w:type="page"/>
      </w:r>
    </w:p>
    <w:p w14:paraId="3983F2EB" w14:textId="45B58B79" w:rsidR="00972D66" w:rsidRDefault="00972D66" w:rsidP="00972D66">
      <w:pPr>
        <w:pStyle w:val="Ttulo3"/>
      </w:pPr>
      <w:bookmarkStart w:id="87" w:name="_Toc94806359"/>
      <w:r w:rsidRPr="00972D66">
        <w:lastRenderedPageBreak/>
        <w:t>DELREP</w:t>
      </w:r>
      <w:bookmarkEnd w:id="87"/>
    </w:p>
    <w:tbl>
      <w:tblPr>
        <w:tblW w:w="8505" w:type="dxa"/>
        <w:tblInd w:w="7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8505"/>
      </w:tblGrid>
      <w:tr w:rsidR="00BB5697" w:rsidRPr="00FD1551" w14:paraId="60B900CE" w14:textId="77777777" w:rsidTr="00BF7C4A">
        <w:trPr>
          <w:trHeight w:val="283"/>
        </w:trPr>
        <w:tc>
          <w:tcPr>
            <w:tcW w:w="8505" w:type="dxa"/>
          </w:tcPr>
          <w:p w14:paraId="1132B0E5"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b/>
                <w:bCs/>
                <w:color w:val="000000"/>
                <w:sz w:val="16"/>
                <w:szCs w:val="16"/>
                <w:lang w:eastAsia="pt-BR"/>
              </w:rPr>
              <w:t>IDENTIFICAÇÃO:</w:t>
            </w:r>
            <w:r w:rsidRPr="00FD1551">
              <w:rPr>
                <w:rFonts w:ascii="Arial" w:eastAsia="Times New Roman" w:hAnsi="Arial" w:cs="Arial"/>
                <w:color w:val="000000"/>
                <w:sz w:val="16"/>
                <w:szCs w:val="16"/>
                <w:lang w:eastAsia="pt-BR"/>
              </w:rPr>
              <w:t> </w:t>
            </w:r>
          </w:p>
        </w:tc>
      </w:tr>
      <w:tr w:rsidR="00BB5697" w:rsidRPr="00FD1551" w14:paraId="7ED2E86B" w14:textId="77777777" w:rsidTr="00BF7C4A">
        <w:trPr>
          <w:trHeight w:val="283"/>
        </w:trPr>
        <w:tc>
          <w:tcPr>
            <w:tcW w:w="8505" w:type="dxa"/>
            <w:shd w:val="clear" w:color="auto" w:fill="auto"/>
            <w:noWrap/>
            <w:vAlign w:val="bottom"/>
            <w:hideMark/>
          </w:tcPr>
          <w:p w14:paraId="3460C0D8"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EXERCÍCIO:</w:t>
            </w:r>
          </w:p>
        </w:tc>
      </w:tr>
    </w:tbl>
    <w:p w14:paraId="7C2B5BC9" w14:textId="77777777" w:rsidR="00BB5697" w:rsidRPr="00FD1551" w:rsidRDefault="00BB5697" w:rsidP="00BB5697">
      <w:pPr>
        <w:spacing w:after="0" w:line="360" w:lineRule="auto"/>
        <w:jc w:val="both"/>
        <w:rPr>
          <w:rFonts w:ascii="Arial" w:hAnsi="Arial" w:cs="Arial"/>
        </w:rPr>
      </w:pPr>
    </w:p>
    <w:p w14:paraId="266D253B" w14:textId="77777777" w:rsidR="00BB5697" w:rsidRPr="00FD1551" w:rsidRDefault="00BB5697" w:rsidP="00BB5697">
      <w:pPr>
        <w:spacing w:after="0" w:line="360" w:lineRule="auto"/>
        <w:jc w:val="center"/>
        <w:rPr>
          <w:rFonts w:ascii="Arial" w:hAnsi="Arial" w:cs="Arial"/>
        </w:rPr>
      </w:pPr>
      <w:r w:rsidRPr="00FD1551">
        <w:rPr>
          <w:rFonts w:ascii="Arial" w:hAnsi="Arial"/>
          <w:b/>
        </w:rPr>
        <w:t>DECLARAÇÃO DE REPASSE DAS OBRIGAÇÕES PREVIDENCIÁRIAS</w:t>
      </w:r>
    </w:p>
    <w:p w14:paraId="443A21F9" w14:textId="77777777" w:rsidR="00BB5697" w:rsidRPr="00FD1551" w:rsidRDefault="00BB5697" w:rsidP="00BB5697">
      <w:pPr>
        <w:spacing w:after="0" w:line="360" w:lineRule="auto"/>
        <w:jc w:val="both"/>
        <w:rPr>
          <w:rFonts w:ascii="Arial" w:hAnsi="Arial"/>
          <w:sz w:val="12"/>
        </w:rPr>
      </w:pPr>
    </w:p>
    <w:p w14:paraId="0536299F" w14:textId="77777777" w:rsidR="00BB5697" w:rsidRPr="00FD1551" w:rsidRDefault="00BB5697" w:rsidP="00BB5697">
      <w:pPr>
        <w:spacing w:after="0" w:line="360" w:lineRule="auto"/>
        <w:jc w:val="both"/>
        <w:rPr>
          <w:rFonts w:ascii="Arial" w:hAnsi="Arial"/>
          <w:sz w:val="20"/>
          <w:szCs w:val="20"/>
        </w:rPr>
      </w:pPr>
      <w:r w:rsidRPr="00FD1551">
        <w:rPr>
          <w:rFonts w:ascii="Arial" w:hAnsi="Arial"/>
          <w:sz w:val="20"/>
          <w:szCs w:val="20"/>
        </w:rPr>
        <w:t xml:space="preserve">Declaro, na forma da lei e para todos os fins de direito, que o [ente], </w:t>
      </w:r>
      <w:r w:rsidRPr="00FD1551">
        <w:rPr>
          <w:rFonts w:ascii="Arial" w:hAnsi="Arial"/>
          <w:b/>
          <w:sz w:val="20"/>
          <w:szCs w:val="20"/>
        </w:rPr>
        <w:t>repassou</w:t>
      </w:r>
      <w:r w:rsidRPr="00FD1551">
        <w:rPr>
          <w:rFonts w:ascii="Arial" w:hAnsi="Arial"/>
          <w:sz w:val="20"/>
          <w:szCs w:val="20"/>
        </w:rPr>
        <w:t xml:space="preserve"> todas as contribuições previdenciárias, patronal e do servidor, da competência do exercício de [competência da PCA], vincendas no exercício.</w:t>
      </w:r>
    </w:p>
    <w:p w14:paraId="09E77C47" w14:textId="77777777" w:rsidR="00BB5697" w:rsidRPr="00FD1551" w:rsidRDefault="00BB5697" w:rsidP="00BB5697">
      <w:pPr>
        <w:spacing w:after="0" w:line="360" w:lineRule="auto"/>
        <w:jc w:val="both"/>
        <w:rPr>
          <w:rFonts w:ascii="Arial" w:hAnsi="Arial"/>
          <w:sz w:val="10"/>
          <w:szCs w:val="20"/>
        </w:rPr>
      </w:pPr>
    </w:p>
    <w:p w14:paraId="10975629" w14:textId="77777777" w:rsidR="00BB5697" w:rsidRPr="00FD1551" w:rsidRDefault="00BB5697" w:rsidP="00BB5697">
      <w:pPr>
        <w:spacing w:after="0" w:line="360" w:lineRule="auto"/>
        <w:jc w:val="both"/>
        <w:rPr>
          <w:rFonts w:ascii="Arial" w:hAnsi="Arial"/>
          <w:sz w:val="20"/>
          <w:szCs w:val="20"/>
        </w:rPr>
      </w:pPr>
      <w:r w:rsidRPr="00FD1551">
        <w:rPr>
          <w:rFonts w:ascii="Arial" w:hAnsi="Arial"/>
          <w:sz w:val="20"/>
          <w:szCs w:val="20"/>
        </w:rPr>
        <w:t xml:space="preserve">Ressalta-se que as contribuições, patronal e dos servidores, da competência do mês de dezembro de [exercício da PCA] que totalizou R$ [valor das contribuições], foram reconhecidas como </w:t>
      </w:r>
      <w:r w:rsidRPr="00FD1551">
        <w:rPr>
          <w:rFonts w:ascii="Arial" w:hAnsi="Arial"/>
          <w:b/>
          <w:sz w:val="20"/>
          <w:szCs w:val="20"/>
        </w:rPr>
        <w:t>Obrigações a Recolher</w:t>
      </w:r>
      <w:r w:rsidRPr="00FD1551">
        <w:rPr>
          <w:rFonts w:ascii="Arial" w:hAnsi="Arial"/>
          <w:sz w:val="20"/>
          <w:szCs w:val="20"/>
          <w:vertAlign w:val="superscript"/>
        </w:rPr>
        <w:footnoteReference w:id="37"/>
      </w:r>
      <w:r w:rsidRPr="00FD1551">
        <w:rPr>
          <w:rFonts w:ascii="Arial" w:hAnsi="Arial"/>
          <w:sz w:val="20"/>
          <w:szCs w:val="20"/>
        </w:rPr>
        <w:t>, tendo em vista o art. [XX] da lei nº. [legislação], estabelecer seu vencimento em [data de vencimento da obrigação].</w:t>
      </w:r>
    </w:p>
    <w:p w14:paraId="18D1165F" w14:textId="77777777" w:rsidR="00BB5697" w:rsidRPr="00FD1551" w:rsidRDefault="00BB5697" w:rsidP="00BB5697">
      <w:pPr>
        <w:spacing w:after="0" w:line="360" w:lineRule="auto"/>
        <w:jc w:val="both"/>
        <w:rPr>
          <w:rFonts w:ascii="Arial" w:hAnsi="Arial"/>
          <w:sz w:val="8"/>
          <w:szCs w:val="20"/>
        </w:rPr>
      </w:pPr>
    </w:p>
    <w:p w14:paraId="28540C2F" w14:textId="77777777" w:rsidR="00BB5697" w:rsidRPr="00FD1551" w:rsidRDefault="00BB5697" w:rsidP="00BB5697">
      <w:pPr>
        <w:spacing w:after="0" w:line="360" w:lineRule="auto"/>
        <w:jc w:val="both"/>
        <w:rPr>
          <w:rFonts w:ascii="Arial" w:hAnsi="Arial"/>
          <w:sz w:val="20"/>
          <w:szCs w:val="20"/>
        </w:rPr>
      </w:pPr>
      <w:r w:rsidRPr="00FD1551">
        <w:rPr>
          <w:rFonts w:ascii="Arial" w:hAnsi="Arial"/>
          <w:sz w:val="20"/>
          <w:szCs w:val="20"/>
        </w:rPr>
        <w:t xml:space="preserve">Declaro ainda, que todos os aportes [para cobertura de insuficiência financeira e/ou aporte atuarial] devidos em decorrência do art. [XX] da lei nº. [legislação] foram repassados por esta [entidade] e totalizou R$ [evidenciar o valor total pago no exercício]. </w:t>
      </w:r>
    </w:p>
    <w:p w14:paraId="3B644077" w14:textId="77777777" w:rsidR="00BB5697" w:rsidRPr="00FD1551" w:rsidRDefault="00BB5697" w:rsidP="00BB5697">
      <w:pPr>
        <w:spacing w:after="0" w:line="360" w:lineRule="auto"/>
        <w:jc w:val="both"/>
        <w:rPr>
          <w:rFonts w:ascii="Arial" w:hAnsi="Arial"/>
          <w:sz w:val="10"/>
          <w:szCs w:val="20"/>
        </w:rPr>
      </w:pPr>
    </w:p>
    <w:p w14:paraId="1009E375" w14:textId="77777777" w:rsidR="00BB5697" w:rsidRPr="00FD1551" w:rsidRDefault="00BB5697" w:rsidP="00BB5697">
      <w:pPr>
        <w:spacing w:after="0" w:line="360" w:lineRule="auto"/>
        <w:jc w:val="both"/>
        <w:rPr>
          <w:rFonts w:ascii="Arial" w:hAnsi="Arial"/>
          <w:sz w:val="20"/>
          <w:szCs w:val="20"/>
        </w:rPr>
      </w:pPr>
      <w:r w:rsidRPr="00FD1551">
        <w:rPr>
          <w:rFonts w:ascii="Arial" w:hAnsi="Arial"/>
          <w:sz w:val="20"/>
          <w:szCs w:val="20"/>
        </w:rPr>
        <w:t xml:space="preserve">Por derradeiro, declaro que todas as parcelas vincendas no exercício [exercício de competência da PCA] dos parcelamentos [citar os parcelamentos vigentes] foram repassadas por esta [entidade] e totalizou R$ [evidenciar o valor total pago no exercício]. </w:t>
      </w:r>
    </w:p>
    <w:p w14:paraId="6667CB41" w14:textId="77777777" w:rsidR="00BB5697" w:rsidRPr="00FD1551" w:rsidRDefault="00BB5697" w:rsidP="00BB5697">
      <w:pPr>
        <w:spacing w:after="0" w:line="360" w:lineRule="auto"/>
        <w:jc w:val="both"/>
        <w:rPr>
          <w:rFonts w:ascii="Arial" w:hAnsi="Arial"/>
          <w:sz w:val="10"/>
          <w:szCs w:val="20"/>
        </w:rPr>
      </w:pPr>
    </w:p>
    <w:p w14:paraId="36ED6EF4" w14:textId="77777777" w:rsidR="00BB5697" w:rsidRPr="00FD1551" w:rsidRDefault="00BB5697" w:rsidP="00BB5697">
      <w:pPr>
        <w:spacing w:after="0" w:line="360" w:lineRule="auto"/>
        <w:jc w:val="both"/>
        <w:rPr>
          <w:rFonts w:ascii="Arial" w:hAnsi="Arial"/>
          <w:sz w:val="20"/>
          <w:szCs w:val="20"/>
        </w:rPr>
      </w:pPr>
      <w:r w:rsidRPr="00FD1551">
        <w:rPr>
          <w:rFonts w:ascii="Arial" w:hAnsi="Arial"/>
          <w:sz w:val="20"/>
          <w:szCs w:val="20"/>
        </w:rPr>
        <w:t>Declaro, por fim, que foram calculados e pagos todos os encargos financeiros, decorrentes de repasses em atraso no exercício, por esta [entidade].</w:t>
      </w:r>
    </w:p>
    <w:p w14:paraId="4DC66786" w14:textId="77777777" w:rsidR="00BB5697" w:rsidRPr="00FD1551" w:rsidRDefault="00BB5697" w:rsidP="00BB5697">
      <w:pPr>
        <w:spacing w:after="0" w:line="360" w:lineRule="auto"/>
        <w:jc w:val="both"/>
        <w:rPr>
          <w:rFonts w:ascii="Arial" w:hAnsi="Arial"/>
          <w:sz w:val="20"/>
          <w:szCs w:val="20"/>
        </w:rPr>
      </w:pPr>
    </w:p>
    <w:p w14:paraId="4F7E5433" w14:textId="77777777" w:rsidR="00BB5697" w:rsidRPr="00FD1551" w:rsidRDefault="00BB5697" w:rsidP="00BB5697">
      <w:pPr>
        <w:spacing w:after="0" w:line="360" w:lineRule="auto"/>
        <w:jc w:val="both"/>
        <w:rPr>
          <w:rFonts w:ascii="Arial" w:hAnsi="Arial"/>
          <w:sz w:val="20"/>
          <w:szCs w:val="20"/>
        </w:rPr>
      </w:pPr>
      <w:r w:rsidRPr="00FD1551">
        <w:rPr>
          <w:rFonts w:ascii="Arial" w:hAnsi="Arial"/>
          <w:sz w:val="20"/>
          <w:szCs w:val="20"/>
        </w:rPr>
        <w:t>Município/ES,  __/dezembro/ [exercício de competência da pca]</w:t>
      </w:r>
    </w:p>
    <w:p w14:paraId="3C70FE2C" w14:textId="77777777" w:rsidR="00BB5697" w:rsidRPr="00FD1551" w:rsidRDefault="00BB5697" w:rsidP="00BB5697">
      <w:pPr>
        <w:spacing w:after="0" w:line="360" w:lineRule="auto"/>
        <w:jc w:val="both"/>
        <w:rPr>
          <w:rFonts w:ascii="Arial" w:hAnsi="Arial"/>
          <w:sz w:val="20"/>
          <w:szCs w:val="20"/>
        </w:rPr>
      </w:pPr>
    </w:p>
    <w:p w14:paraId="55D3A910" w14:textId="77777777" w:rsidR="00BB5697" w:rsidRPr="00FD1551" w:rsidRDefault="00BB5697" w:rsidP="00BB5697">
      <w:pPr>
        <w:spacing w:after="0" w:line="360" w:lineRule="auto"/>
        <w:jc w:val="center"/>
        <w:rPr>
          <w:rFonts w:ascii="Arial" w:hAnsi="Arial"/>
          <w:sz w:val="20"/>
          <w:szCs w:val="20"/>
        </w:rPr>
      </w:pPr>
      <w:r w:rsidRPr="00FD1551">
        <w:rPr>
          <w:rFonts w:ascii="Arial" w:hAnsi="Arial"/>
          <w:sz w:val="20"/>
          <w:szCs w:val="20"/>
        </w:rPr>
        <w:t>___________________________________________</w:t>
      </w:r>
    </w:p>
    <w:p w14:paraId="3409A4CD" w14:textId="77777777" w:rsidR="00BB5697" w:rsidRPr="00FD1551" w:rsidRDefault="00BB5697" w:rsidP="00BB5697">
      <w:pPr>
        <w:spacing w:after="0" w:line="360" w:lineRule="auto"/>
        <w:jc w:val="center"/>
        <w:rPr>
          <w:rFonts w:ascii="Arial" w:hAnsi="Arial"/>
          <w:sz w:val="20"/>
          <w:szCs w:val="20"/>
        </w:rPr>
      </w:pPr>
      <w:r w:rsidRPr="00FD1551">
        <w:rPr>
          <w:rFonts w:ascii="Arial" w:hAnsi="Arial"/>
          <w:sz w:val="20"/>
          <w:szCs w:val="20"/>
        </w:rPr>
        <w:t>Assinatura do Ordenador de Despesas da [entidade]</w:t>
      </w:r>
    </w:p>
    <w:p w14:paraId="71042C14" w14:textId="77777777" w:rsidR="00BB5697" w:rsidRPr="00FD1551" w:rsidRDefault="00BB5697" w:rsidP="00BB5697">
      <w:pPr>
        <w:spacing w:after="0" w:line="360" w:lineRule="auto"/>
        <w:jc w:val="both"/>
        <w:rPr>
          <w:rFonts w:ascii="Arial" w:eastAsia="Times New Roman" w:hAnsi="Arial" w:cs="Arial"/>
          <w:color w:val="0070C0"/>
          <w:sz w:val="12"/>
          <w:szCs w:val="20"/>
          <w:lang w:eastAsia="pt-BR"/>
        </w:rPr>
      </w:pPr>
    </w:p>
    <w:p w14:paraId="481BF2C7" w14:textId="77777777" w:rsidR="00BB5697" w:rsidRPr="00FD1551" w:rsidRDefault="00BB5697" w:rsidP="00BB5697">
      <w:pPr>
        <w:spacing w:after="0" w:line="360" w:lineRule="auto"/>
        <w:jc w:val="both"/>
        <w:rPr>
          <w:rFonts w:ascii="Arial" w:hAnsi="Arial"/>
          <w:sz w:val="20"/>
          <w:szCs w:val="20"/>
        </w:rPr>
      </w:pPr>
      <w:r w:rsidRPr="00FD1551">
        <w:rPr>
          <w:rFonts w:ascii="Arial" w:hAnsi="Arial"/>
          <w:b/>
          <w:sz w:val="18"/>
          <w:szCs w:val="20"/>
          <w:u w:val="single"/>
        </w:rPr>
        <w:t>Observação</w:t>
      </w:r>
      <w:r w:rsidRPr="00FD1551">
        <w:rPr>
          <w:rFonts w:ascii="Arial" w:hAnsi="Arial"/>
          <w:sz w:val="18"/>
          <w:szCs w:val="20"/>
        </w:rPr>
        <w:t>: No caso de não pagamento de todos os valores devidos no exercício, descrever os valores não pagos, sua competência e natureza do débito.</w:t>
      </w:r>
    </w:p>
    <w:p w14:paraId="733D8B57" w14:textId="77777777" w:rsidR="00BB5697" w:rsidRPr="00FD1551" w:rsidRDefault="00BB5697" w:rsidP="00BB5697">
      <w:pPr>
        <w:spacing w:after="0" w:line="360" w:lineRule="auto"/>
        <w:jc w:val="center"/>
        <w:rPr>
          <w:rFonts w:ascii="Arial" w:hAnsi="Arial"/>
          <w:sz w:val="14"/>
          <w:szCs w:val="20"/>
        </w:rPr>
      </w:pPr>
    </w:p>
    <w:tbl>
      <w:tblPr>
        <w:tblStyle w:val="Tabelacomgrade"/>
        <w:tblW w:w="0" w:type="auto"/>
        <w:tblLook w:val="04A0" w:firstRow="1" w:lastRow="0" w:firstColumn="1" w:lastColumn="0" w:noHBand="0" w:noVBand="1"/>
      </w:tblPr>
      <w:tblGrid>
        <w:gridCol w:w="1219"/>
        <w:gridCol w:w="1531"/>
        <w:gridCol w:w="1438"/>
        <w:gridCol w:w="1382"/>
        <w:gridCol w:w="1836"/>
        <w:gridCol w:w="1314"/>
      </w:tblGrid>
      <w:tr w:rsidR="00BB5697" w:rsidRPr="00FD1551" w14:paraId="6EC8F776" w14:textId="77777777" w:rsidTr="00BF7C4A">
        <w:tc>
          <w:tcPr>
            <w:tcW w:w="8720" w:type="dxa"/>
            <w:gridSpan w:val="6"/>
            <w:tcBorders>
              <w:top w:val="single" w:sz="4" w:space="0" w:color="auto"/>
              <w:left w:val="single" w:sz="4" w:space="0" w:color="auto"/>
              <w:bottom w:val="single" w:sz="4" w:space="0" w:color="auto"/>
              <w:right w:val="single" w:sz="4" w:space="0" w:color="auto"/>
            </w:tcBorders>
            <w:shd w:val="clear" w:color="auto" w:fill="FFC000"/>
            <w:vAlign w:val="center"/>
            <w:hideMark/>
          </w:tcPr>
          <w:p w14:paraId="1B177AA6" w14:textId="77777777" w:rsidR="00BB5697" w:rsidRPr="00FD1551" w:rsidRDefault="00BB5697" w:rsidP="00BF7C4A">
            <w:pPr>
              <w:spacing w:line="360" w:lineRule="auto"/>
              <w:jc w:val="center"/>
              <w:rPr>
                <w:rFonts w:ascii="Arial" w:hAnsi="Arial"/>
                <w:b/>
              </w:rPr>
            </w:pPr>
            <w:r w:rsidRPr="00FD1551">
              <w:rPr>
                <w:rFonts w:ascii="Arial" w:hAnsi="Arial"/>
                <w:b/>
              </w:rPr>
              <w:t>Descrição dos Valores Devidos e Não Repassados no Exercício</w:t>
            </w:r>
          </w:p>
        </w:tc>
      </w:tr>
      <w:tr w:rsidR="00BB5697" w:rsidRPr="00FD1551" w14:paraId="1E93AE7B" w14:textId="77777777" w:rsidTr="00BF7C4A">
        <w:tc>
          <w:tcPr>
            <w:tcW w:w="1219" w:type="dxa"/>
            <w:tcBorders>
              <w:top w:val="single" w:sz="4" w:space="0" w:color="auto"/>
              <w:left w:val="single" w:sz="4" w:space="0" w:color="auto"/>
              <w:bottom w:val="single" w:sz="4" w:space="0" w:color="auto"/>
              <w:right w:val="single" w:sz="4" w:space="0" w:color="auto"/>
            </w:tcBorders>
            <w:shd w:val="clear" w:color="auto" w:fill="FFC000"/>
            <w:vAlign w:val="center"/>
            <w:hideMark/>
          </w:tcPr>
          <w:p w14:paraId="2ECA5CCF" w14:textId="77777777" w:rsidR="00BB5697" w:rsidRPr="00FD1551" w:rsidRDefault="00BB5697" w:rsidP="00BF7C4A">
            <w:pPr>
              <w:spacing w:line="360" w:lineRule="auto"/>
              <w:jc w:val="center"/>
              <w:rPr>
                <w:rFonts w:ascii="Arial" w:hAnsi="Arial"/>
                <w:b/>
                <w:sz w:val="18"/>
              </w:rPr>
            </w:pPr>
            <w:r w:rsidRPr="00FD1551">
              <w:rPr>
                <w:rFonts w:ascii="Arial" w:hAnsi="Arial"/>
                <w:b/>
                <w:sz w:val="18"/>
              </w:rPr>
              <w:t>Órgão</w:t>
            </w:r>
          </w:p>
        </w:tc>
        <w:tc>
          <w:tcPr>
            <w:tcW w:w="1531" w:type="dxa"/>
            <w:tcBorders>
              <w:top w:val="single" w:sz="4" w:space="0" w:color="auto"/>
              <w:left w:val="single" w:sz="4" w:space="0" w:color="auto"/>
              <w:bottom w:val="single" w:sz="4" w:space="0" w:color="auto"/>
              <w:right w:val="single" w:sz="4" w:space="0" w:color="auto"/>
            </w:tcBorders>
            <w:shd w:val="clear" w:color="auto" w:fill="FFC000"/>
            <w:vAlign w:val="center"/>
            <w:hideMark/>
          </w:tcPr>
          <w:p w14:paraId="24573D41" w14:textId="77777777" w:rsidR="00BB5697" w:rsidRPr="00FD1551" w:rsidRDefault="00BB5697" w:rsidP="00BF7C4A">
            <w:pPr>
              <w:spacing w:line="360" w:lineRule="auto"/>
              <w:jc w:val="center"/>
              <w:rPr>
                <w:rFonts w:ascii="Arial" w:hAnsi="Arial"/>
                <w:b/>
                <w:sz w:val="18"/>
              </w:rPr>
            </w:pPr>
            <w:r w:rsidRPr="00FD1551">
              <w:rPr>
                <w:rFonts w:ascii="Arial" w:hAnsi="Arial"/>
                <w:b/>
                <w:sz w:val="18"/>
              </w:rPr>
              <w:t>Competência</w:t>
            </w:r>
          </w:p>
        </w:tc>
        <w:tc>
          <w:tcPr>
            <w:tcW w:w="1438" w:type="dxa"/>
            <w:tcBorders>
              <w:top w:val="single" w:sz="4" w:space="0" w:color="auto"/>
              <w:left w:val="single" w:sz="4" w:space="0" w:color="auto"/>
              <w:bottom w:val="single" w:sz="4" w:space="0" w:color="auto"/>
              <w:right w:val="single" w:sz="4" w:space="0" w:color="auto"/>
            </w:tcBorders>
            <w:shd w:val="clear" w:color="auto" w:fill="FFC000"/>
            <w:vAlign w:val="center"/>
            <w:hideMark/>
          </w:tcPr>
          <w:p w14:paraId="41D5A81A" w14:textId="77777777" w:rsidR="00BB5697" w:rsidRPr="00FD1551" w:rsidRDefault="00BB5697" w:rsidP="00BF7C4A">
            <w:pPr>
              <w:spacing w:line="360" w:lineRule="auto"/>
              <w:jc w:val="center"/>
              <w:rPr>
                <w:rFonts w:ascii="Arial" w:hAnsi="Arial"/>
                <w:b/>
                <w:sz w:val="18"/>
              </w:rPr>
            </w:pPr>
            <w:r w:rsidRPr="00FD1551">
              <w:rPr>
                <w:rFonts w:ascii="Arial" w:hAnsi="Arial"/>
                <w:b/>
                <w:sz w:val="18"/>
              </w:rPr>
              <w:t xml:space="preserve">Natureza </w:t>
            </w:r>
            <w:r w:rsidRPr="00FD1551">
              <w:rPr>
                <w:rFonts w:ascii="Arial" w:eastAsia="Calibri" w:hAnsi="Arial"/>
                <w:b/>
                <w:sz w:val="18"/>
                <w:vertAlign w:val="superscript"/>
              </w:rPr>
              <w:footnoteReference w:id="38"/>
            </w:r>
          </w:p>
        </w:tc>
        <w:tc>
          <w:tcPr>
            <w:tcW w:w="1382" w:type="dxa"/>
            <w:tcBorders>
              <w:top w:val="single" w:sz="4" w:space="0" w:color="auto"/>
              <w:left w:val="single" w:sz="4" w:space="0" w:color="auto"/>
              <w:bottom w:val="single" w:sz="4" w:space="0" w:color="auto"/>
              <w:right w:val="single" w:sz="4" w:space="0" w:color="auto"/>
            </w:tcBorders>
            <w:shd w:val="clear" w:color="auto" w:fill="FFC000"/>
            <w:vAlign w:val="center"/>
            <w:hideMark/>
          </w:tcPr>
          <w:p w14:paraId="3C9EBDD8" w14:textId="77777777" w:rsidR="00BB5697" w:rsidRPr="00FD1551" w:rsidRDefault="00BB5697" w:rsidP="00BF7C4A">
            <w:pPr>
              <w:spacing w:line="360" w:lineRule="auto"/>
              <w:jc w:val="center"/>
              <w:rPr>
                <w:rFonts w:ascii="Arial" w:hAnsi="Arial"/>
                <w:b/>
                <w:sz w:val="18"/>
              </w:rPr>
            </w:pPr>
            <w:r w:rsidRPr="00FD1551">
              <w:rPr>
                <w:rFonts w:ascii="Arial" w:hAnsi="Arial"/>
                <w:b/>
                <w:sz w:val="18"/>
              </w:rPr>
              <w:t>Valor Original</w:t>
            </w:r>
          </w:p>
        </w:tc>
        <w:tc>
          <w:tcPr>
            <w:tcW w:w="1836" w:type="dxa"/>
            <w:tcBorders>
              <w:top w:val="single" w:sz="4" w:space="0" w:color="auto"/>
              <w:left w:val="single" w:sz="4" w:space="0" w:color="auto"/>
              <w:bottom w:val="single" w:sz="4" w:space="0" w:color="auto"/>
              <w:right w:val="single" w:sz="4" w:space="0" w:color="auto"/>
            </w:tcBorders>
            <w:shd w:val="clear" w:color="auto" w:fill="FFC000"/>
            <w:vAlign w:val="center"/>
            <w:hideMark/>
          </w:tcPr>
          <w:p w14:paraId="30E5DD7D" w14:textId="77777777" w:rsidR="00BB5697" w:rsidRPr="00FD1551" w:rsidRDefault="00BB5697" w:rsidP="00BF7C4A">
            <w:pPr>
              <w:spacing w:line="360" w:lineRule="auto"/>
              <w:jc w:val="center"/>
              <w:rPr>
                <w:rFonts w:ascii="Arial" w:hAnsi="Arial"/>
                <w:b/>
                <w:sz w:val="18"/>
              </w:rPr>
            </w:pPr>
            <w:r w:rsidRPr="00FD1551">
              <w:rPr>
                <w:rFonts w:ascii="Arial" w:hAnsi="Arial"/>
                <w:b/>
                <w:sz w:val="18"/>
              </w:rPr>
              <w:t>Valor Atualizado</w:t>
            </w:r>
            <w:r w:rsidRPr="00FD1551">
              <w:rPr>
                <w:rFonts w:ascii="Arial" w:eastAsia="Calibri" w:hAnsi="Arial"/>
                <w:b/>
                <w:sz w:val="18"/>
                <w:vertAlign w:val="superscript"/>
              </w:rPr>
              <w:footnoteReference w:id="39"/>
            </w:r>
          </w:p>
        </w:tc>
        <w:tc>
          <w:tcPr>
            <w:tcW w:w="1314" w:type="dxa"/>
            <w:tcBorders>
              <w:top w:val="single" w:sz="4" w:space="0" w:color="auto"/>
              <w:left w:val="single" w:sz="4" w:space="0" w:color="auto"/>
              <w:bottom w:val="single" w:sz="4" w:space="0" w:color="auto"/>
              <w:right w:val="single" w:sz="4" w:space="0" w:color="auto"/>
            </w:tcBorders>
            <w:shd w:val="clear" w:color="auto" w:fill="FFC000"/>
            <w:hideMark/>
          </w:tcPr>
          <w:p w14:paraId="7D6ECBF7" w14:textId="77777777" w:rsidR="00BB5697" w:rsidRPr="00FD1551" w:rsidRDefault="00BB5697" w:rsidP="00BF7C4A">
            <w:pPr>
              <w:spacing w:line="360" w:lineRule="auto"/>
              <w:jc w:val="center"/>
              <w:rPr>
                <w:rFonts w:ascii="Arial" w:hAnsi="Arial"/>
                <w:b/>
                <w:sz w:val="18"/>
              </w:rPr>
            </w:pPr>
            <w:r w:rsidRPr="00FD1551">
              <w:rPr>
                <w:rFonts w:ascii="Arial" w:hAnsi="Arial"/>
                <w:b/>
                <w:sz w:val="18"/>
              </w:rPr>
              <w:t>Conta Contábil</w:t>
            </w:r>
            <w:r w:rsidRPr="00FD1551">
              <w:rPr>
                <w:rFonts w:ascii="Arial" w:eastAsia="Calibri" w:hAnsi="Arial"/>
                <w:b/>
                <w:sz w:val="18"/>
                <w:vertAlign w:val="superscript"/>
              </w:rPr>
              <w:footnoteReference w:id="40"/>
            </w:r>
          </w:p>
        </w:tc>
      </w:tr>
      <w:tr w:rsidR="00BB5697" w:rsidRPr="00FD1551" w14:paraId="21755485" w14:textId="77777777" w:rsidTr="00BF7C4A">
        <w:tc>
          <w:tcPr>
            <w:tcW w:w="1219" w:type="dxa"/>
            <w:tcBorders>
              <w:top w:val="single" w:sz="4" w:space="0" w:color="auto"/>
              <w:left w:val="single" w:sz="4" w:space="0" w:color="auto"/>
              <w:bottom w:val="single" w:sz="4" w:space="0" w:color="auto"/>
              <w:right w:val="single" w:sz="4" w:space="0" w:color="auto"/>
            </w:tcBorders>
          </w:tcPr>
          <w:p w14:paraId="22995FF4" w14:textId="77777777" w:rsidR="00BB5697" w:rsidRPr="00FD1551" w:rsidRDefault="00BB5697" w:rsidP="00BF7C4A">
            <w:pPr>
              <w:spacing w:line="360" w:lineRule="auto"/>
              <w:jc w:val="center"/>
              <w:rPr>
                <w:rFonts w:ascii="Arial" w:hAnsi="Arial"/>
              </w:rPr>
            </w:pPr>
          </w:p>
        </w:tc>
        <w:tc>
          <w:tcPr>
            <w:tcW w:w="1531" w:type="dxa"/>
            <w:tcBorders>
              <w:top w:val="single" w:sz="4" w:space="0" w:color="auto"/>
              <w:left w:val="single" w:sz="4" w:space="0" w:color="auto"/>
              <w:bottom w:val="single" w:sz="4" w:space="0" w:color="auto"/>
              <w:right w:val="single" w:sz="4" w:space="0" w:color="auto"/>
            </w:tcBorders>
          </w:tcPr>
          <w:p w14:paraId="7102E11D" w14:textId="77777777" w:rsidR="00BB5697" w:rsidRPr="00FD1551" w:rsidRDefault="00BB5697" w:rsidP="00BF7C4A">
            <w:pPr>
              <w:spacing w:line="360" w:lineRule="auto"/>
              <w:jc w:val="center"/>
              <w:rPr>
                <w:rFonts w:ascii="Arial" w:hAnsi="Arial"/>
              </w:rPr>
            </w:pPr>
          </w:p>
        </w:tc>
        <w:tc>
          <w:tcPr>
            <w:tcW w:w="1438" w:type="dxa"/>
            <w:tcBorders>
              <w:top w:val="single" w:sz="4" w:space="0" w:color="auto"/>
              <w:left w:val="single" w:sz="4" w:space="0" w:color="auto"/>
              <w:bottom w:val="single" w:sz="4" w:space="0" w:color="auto"/>
              <w:right w:val="single" w:sz="4" w:space="0" w:color="auto"/>
            </w:tcBorders>
          </w:tcPr>
          <w:p w14:paraId="16830EB2" w14:textId="77777777" w:rsidR="00BB5697" w:rsidRPr="00FD1551" w:rsidRDefault="00BB5697" w:rsidP="00BF7C4A">
            <w:pPr>
              <w:spacing w:line="360" w:lineRule="auto"/>
              <w:jc w:val="center"/>
              <w:rPr>
                <w:rFonts w:ascii="Arial" w:hAnsi="Arial"/>
              </w:rPr>
            </w:pPr>
          </w:p>
        </w:tc>
        <w:tc>
          <w:tcPr>
            <w:tcW w:w="1382" w:type="dxa"/>
            <w:tcBorders>
              <w:top w:val="single" w:sz="4" w:space="0" w:color="auto"/>
              <w:left w:val="single" w:sz="4" w:space="0" w:color="auto"/>
              <w:bottom w:val="single" w:sz="4" w:space="0" w:color="auto"/>
              <w:right w:val="single" w:sz="4" w:space="0" w:color="auto"/>
            </w:tcBorders>
          </w:tcPr>
          <w:p w14:paraId="3CD79190" w14:textId="77777777" w:rsidR="00BB5697" w:rsidRPr="00FD1551" w:rsidRDefault="00BB5697" w:rsidP="00BF7C4A">
            <w:pPr>
              <w:spacing w:line="360" w:lineRule="auto"/>
              <w:jc w:val="center"/>
              <w:rPr>
                <w:rFonts w:ascii="Arial" w:hAnsi="Arial"/>
              </w:rPr>
            </w:pPr>
          </w:p>
        </w:tc>
        <w:tc>
          <w:tcPr>
            <w:tcW w:w="1836" w:type="dxa"/>
            <w:tcBorders>
              <w:top w:val="single" w:sz="4" w:space="0" w:color="auto"/>
              <w:left w:val="single" w:sz="4" w:space="0" w:color="auto"/>
              <w:bottom w:val="single" w:sz="4" w:space="0" w:color="auto"/>
              <w:right w:val="single" w:sz="4" w:space="0" w:color="auto"/>
            </w:tcBorders>
          </w:tcPr>
          <w:p w14:paraId="34F8256B" w14:textId="77777777" w:rsidR="00BB5697" w:rsidRPr="00FD1551" w:rsidRDefault="00BB5697" w:rsidP="00BF7C4A">
            <w:pPr>
              <w:spacing w:line="360" w:lineRule="auto"/>
              <w:jc w:val="center"/>
              <w:rPr>
                <w:rFonts w:ascii="Arial" w:hAnsi="Arial"/>
              </w:rPr>
            </w:pPr>
          </w:p>
        </w:tc>
        <w:tc>
          <w:tcPr>
            <w:tcW w:w="1314" w:type="dxa"/>
            <w:tcBorders>
              <w:top w:val="single" w:sz="4" w:space="0" w:color="auto"/>
              <w:left w:val="single" w:sz="4" w:space="0" w:color="auto"/>
              <w:bottom w:val="single" w:sz="4" w:space="0" w:color="auto"/>
              <w:right w:val="single" w:sz="4" w:space="0" w:color="auto"/>
            </w:tcBorders>
          </w:tcPr>
          <w:p w14:paraId="2EC04720" w14:textId="77777777" w:rsidR="00BB5697" w:rsidRPr="00FD1551" w:rsidRDefault="00BB5697" w:rsidP="00BF7C4A">
            <w:pPr>
              <w:spacing w:line="360" w:lineRule="auto"/>
              <w:jc w:val="center"/>
              <w:rPr>
                <w:rFonts w:ascii="Arial" w:hAnsi="Arial"/>
              </w:rPr>
            </w:pPr>
          </w:p>
        </w:tc>
      </w:tr>
    </w:tbl>
    <w:p w14:paraId="261862E5" w14:textId="162BD12F" w:rsidR="00A200AB" w:rsidRDefault="00A200AB" w:rsidP="00A200AB">
      <w:pPr>
        <w:pStyle w:val="Ttulo3"/>
      </w:pPr>
      <w:bookmarkStart w:id="88" w:name="_Toc94806360"/>
      <w:r w:rsidRPr="00A200AB">
        <w:lastRenderedPageBreak/>
        <w:t>DELCEDI</w:t>
      </w:r>
      <w:bookmarkEnd w:id="88"/>
    </w:p>
    <w:tbl>
      <w:tblPr>
        <w:tblW w:w="8505" w:type="dxa"/>
        <w:tblInd w:w="7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8505"/>
      </w:tblGrid>
      <w:tr w:rsidR="00BB5697" w:rsidRPr="00FD1551" w14:paraId="7B7B3436" w14:textId="77777777" w:rsidTr="00BF7C4A">
        <w:trPr>
          <w:trHeight w:val="283"/>
        </w:trPr>
        <w:tc>
          <w:tcPr>
            <w:tcW w:w="8505" w:type="dxa"/>
          </w:tcPr>
          <w:p w14:paraId="35398A4B"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b/>
                <w:bCs/>
                <w:color w:val="000000"/>
                <w:sz w:val="16"/>
                <w:szCs w:val="16"/>
                <w:lang w:eastAsia="pt-BR"/>
              </w:rPr>
              <w:t>IDENTIFICAÇÃO:</w:t>
            </w:r>
            <w:r w:rsidRPr="00FD1551">
              <w:rPr>
                <w:rFonts w:ascii="Arial" w:eastAsia="Times New Roman" w:hAnsi="Arial" w:cs="Arial"/>
                <w:color w:val="000000"/>
                <w:sz w:val="16"/>
                <w:szCs w:val="16"/>
                <w:lang w:eastAsia="pt-BR"/>
              </w:rPr>
              <w:t> </w:t>
            </w:r>
          </w:p>
        </w:tc>
      </w:tr>
      <w:tr w:rsidR="00BB5697" w:rsidRPr="00FD1551" w14:paraId="4842BA54" w14:textId="77777777" w:rsidTr="00BF7C4A">
        <w:trPr>
          <w:trHeight w:val="283"/>
        </w:trPr>
        <w:tc>
          <w:tcPr>
            <w:tcW w:w="8505" w:type="dxa"/>
            <w:shd w:val="clear" w:color="auto" w:fill="auto"/>
            <w:noWrap/>
            <w:vAlign w:val="bottom"/>
            <w:hideMark/>
          </w:tcPr>
          <w:p w14:paraId="408EFB12"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EXERCÍCIO:</w:t>
            </w:r>
          </w:p>
        </w:tc>
      </w:tr>
    </w:tbl>
    <w:p w14:paraId="42F30BB9" w14:textId="77777777" w:rsidR="00BB5697" w:rsidRPr="00FD1551" w:rsidRDefault="00BB5697" w:rsidP="00BB5697">
      <w:pPr>
        <w:spacing w:after="0" w:line="360" w:lineRule="auto"/>
        <w:jc w:val="both"/>
        <w:rPr>
          <w:rFonts w:ascii="Arial" w:hAnsi="Arial" w:cs="Arial"/>
        </w:rPr>
      </w:pPr>
    </w:p>
    <w:p w14:paraId="01157E92" w14:textId="77777777" w:rsidR="00BB5697" w:rsidRPr="00FD1551" w:rsidRDefault="00BB5697" w:rsidP="00BB5697">
      <w:pPr>
        <w:spacing w:after="0" w:line="360" w:lineRule="auto"/>
        <w:jc w:val="center"/>
        <w:rPr>
          <w:sz w:val="20"/>
          <w:szCs w:val="20"/>
        </w:rPr>
      </w:pPr>
      <w:r w:rsidRPr="00FD1551">
        <w:rPr>
          <w:rFonts w:ascii="Arial" w:hAnsi="Arial"/>
          <w:b/>
        </w:rPr>
        <w:t>DECLARAÇÃO DE REPASSE INTEGRAL DAS OBRIGAÇÕES PREVIDENCIÁRIAS DOS SERVIDORES CEDIDOS</w:t>
      </w:r>
    </w:p>
    <w:p w14:paraId="30A549A8" w14:textId="77777777" w:rsidR="00BB5697" w:rsidRPr="00FD1551" w:rsidRDefault="00BB5697" w:rsidP="00BB5697">
      <w:pPr>
        <w:tabs>
          <w:tab w:val="left" w:pos="1825"/>
        </w:tabs>
        <w:spacing w:after="0" w:line="360" w:lineRule="auto"/>
        <w:jc w:val="both"/>
        <w:rPr>
          <w:rFonts w:ascii="Arial" w:hAnsi="Arial" w:cs="Arial"/>
          <w:b/>
          <w:sz w:val="28"/>
          <w:szCs w:val="28"/>
        </w:rPr>
      </w:pPr>
      <w:r w:rsidRPr="00FD1551">
        <w:rPr>
          <w:rFonts w:ascii="Arial" w:hAnsi="Arial" w:cs="Arial"/>
          <w:b/>
          <w:sz w:val="28"/>
          <w:szCs w:val="28"/>
        </w:rPr>
        <w:tab/>
      </w:r>
    </w:p>
    <w:p w14:paraId="500788B9" w14:textId="77777777" w:rsidR="00BB5697" w:rsidRPr="00FD1551" w:rsidRDefault="00BB5697" w:rsidP="00BB5697">
      <w:pPr>
        <w:spacing w:after="0" w:line="360" w:lineRule="auto"/>
        <w:jc w:val="both"/>
        <w:rPr>
          <w:rFonts w:ascii="Arial" w:hAnsi="Arial"/>
          <w:sz w:val="20"/>
          <w:szCs w:val="20"/>
        </w:rPr>
      </w:pPr>
      <w:r w:rsidRPr="00FD1551">
        <w:rPr>
          <w:rFonts w:ascii="Arial" w:hAnsi="Arial"/>
          <w:sz w:val="20"/>
          <w:szCs w:val="20"/>
        </w:rPr>
        <w:t>Declaro, na forma da lei e para todos os fins de direito que esta [</w:t>
      </w:r>
      <w:r w:rsidRPr="00FD1551">
        <w:rPr>
          <w:rFonts w:ascii="Arial" w:hAnsi="Arial"/>
          <w:b/>
          <w:i/>
          <w:sz w:val="20"/>
          <w:szCs w:val="20"/>
        </w:rPr>
        <w:t>entidade</w:t>
      </w:r>
      <w:r w:rsidRPr="00FD1551">
        <w:rPr>
          <w:rFonts w:ascii="Arial" w:hAnsi="Arial"/>
          <w:sz w:val="20"/>
          <w:szCs w:val="20"/>
        </w:rPr>
        <w:t>], possui servidores cedidos aos seguintes [</w:t>
      </w:r>
      <w:r w:rsidRPr="00FD1551">
        <w:rPr>
          <w:rFonts w:ascii="Arial" w:hAnsi="Arial"/>
          <w:b/>
          <w:i/>
          <w:sz w:val="20"/>
          <w:szCs w:val="20"/>
        </w:rPr>
        <w:t>citar órgãos</w:t>
      </w:r>
      <w:r w:rsidRPr="00FD1551">
        <w:rPr>
          <w:rFonts w:ascii="Arial" w:hAnsi="Arial"/>
          <w:sz w:val="20"/>
          <w:szCs w:val="20"/>
        </w:rPr>
        <w:t>].</w:t>
      </w:r>
    </w:p>
    <w:p w14:paraId="4C150C9E" w14:textId="77777777" w:rsidR="00BB5697" w:rsidRPr="00FD1551" w:rsidRDefault="00BB5697" w:rsidP="00BB5697">
      <w:pPr>
        <w:spacing w:after="0" w:line="360" w:lineRule="auto"/>
        <w:jc w:val="both"/>
        <w:rPr>
          <w:rFonts w:ascii="Arial" w:hAnsi="Arial"/>
          <w:sz w:val="20"/>
          <w:szCs w:val="20"/>
        </w:rPr>
      </w:pPr>
    </w:p>
    <w:p w14:paraId="5E91DEAA" w14:textId="77777777" w:rsidR="00BB5697" w:rsidRPr="00FD1551" w:rsidRDefault="00BB5697" w:rsidP="00BB5697">
      <w:pPr>
        <w:spacing w:after="0" w:line="360" w:lineRule="auto"/>
        <w:jc w:val="both"/>
        <w:rPr>
          <w:rFonts w:ascii="Arial" w:hAnsi="Arial"/>
          <w:sz w:val="20"/>
          <w:szCs w:val="20"/>
        </w:rPr>
      </w:pPr>
      <w:r w:rsidRPr="00FD1551">
        <w:rPr>
          <w:rFonts w:ascii="Arial" w:hAnsi="Arial"/>
          <w:sz w:val="20"/>
          <w:szCs w:val="20"/>
        </w:rPr>
        <w:t>Declaro ainda que o [</w:t>
      </w:r>
      <w:r w:rsidRPr="00FD1551">
        <w:rPr>
          <w:rFonts w:ascii="Arial" w:hAnsi="Arial"/>
          <w:b/>
          <w:i/>
          <w:sz w:val="20"/>
          <w:szCs w:val="20"/>
        </w:rPr>
        <w:t>ente</w:t>
      </w:r>
      <w:r w:rsidRPr="00FD1551">
        <w:rPr>
          <w:rFonts w:ascii="Arial" w:hAnsi="Arial"/>
          <w:sz w:val="20"/>
          <w:szCs w:val="20"/>
        </w:rPr>
        <w:t xml:space="preserve">], </w:t>
      </w:r>
      <w:r w:rsidRPr="00FD1551">
        <w:rPr>
          <w:rFonts w:ascii="Arial" w:hAnsi="Arial"/>
          <w:b/>
          <w:sz w:val="20"/>
          <w:szCs w:val="20"/>
        </w:rPr>
        <w:t>repassou</w:t>
      </w:r>
      <w:r w:rsidRPr="00FD1551">
        <w:rPr>
          <w:rFonts w:ascii="Arial" w:hAnsi="Arial"/>
          <w:sz w:val="20"/>
          <w:szCs w:val="20"/>
        </w:rPr>
        <w:t xml:space="preserve"> todas as contribuições previdenciárias destes servidores cedidos, patronal e do servidor, da competência do exercício de [</w:t>
      </w:r>
      <w:r w:rsidRPr="00FD1551">
        <w:rPr>
          <w:rFonts w:ascii="Arial" w:hAnsi="Arial"/>
          <w:b/>
          <w:i/>
          <w:sz w:val="20"/>
          <w:szCs w:val="20"/>
        </w:rPr>
        <w:t>competência da PCA</w:t>
      </w:r>
      <w:r w:rsidRPr="00FD1551">
        <w:rPr>
          <w:rFonts w:ascii="Arial" w:hAnsi="Arial"/>
          <w:sz w:val="20"/>
          <w:szCs w:val="20"/>
        </w:rPr>
        <w:t>], vincendas no exercício.</w:t>
      </w:r>
    </w:p>
    <w:p w14:paraId="1D1814B9" w14:textId="77777777" w:rsidR="00BB5697" w:rsidRPr="00FD1551" w:rsidRDefault="00BB5697" w:rsidP="00BB5697">
      <w:pPr>
        <w:spacing w:after="0" w:line="360" w:lineRule="auto"/>
        <w:jc w:val="both"/>
        <w:rPr>
          <w:rFonts w:ascii="Arial" w:hAnsi="Arial"/>
          <w:sz w:val="20"/>
          <w:szCs w:val="20"/>
        </w:rPr>
      </w:pPr>
    </w:p>
    <w:p w14:paraId="3FDFC570" w14:textId="77777777" w:rsidR="00BB5697" w:rsidRPr="00FD1551" w:rsidRDefault="00BB5697" w:rsidP="00BB5697">
      <w:pPr>
        <w:spacing w:after="0" w:line="360" w:lineRule="auto"/>
        <w:jc w:val="both"/>
        <w:rPr>
          <w:rFonts w:ascii="Arial" w:hAnsi="Arial"/>
          <w:sz w:val="20"/>
          <w:szCs w:val="20"/>
        </w:rPr>
      </w:pPr>
      <w:r w:rsidRPr="00FD1551">
        <w:rPr>
          <w:rFonts w:ascii="Arial" w:hAnsi="Arial"/>
          <w:sz w:val="20"/>
          <w:szCs w:val="20"/>
        </w:rPr>
        <w:t xml:space="preserve">Declaro também que as contribuições previdenciárias dos servidores cedidos, patronal e dos servidores, da competência do mês de dezembro de [exercício da PCA] que totalizou R$ [valor das contribuições], foram reconhecidas como </w:t>
      </w:r>
      <w:r w:rsidRPr="00FD1551">
        <w:rPr>
          <w:rFonts w:ascii="Arial" w:hAnsi="Arial"/>
          <w:b/>
          <w:sz w:val="20"/>
          <w:szCs w:val="20"/>
        </w:rPr>
        <w:t>Obrigações a Recolher</w:t>
      </w:r>
      <w:r w:rsidRPr="00FD1551">
        <w:rPr>
          <w:rFonts w:ascii="Arial" w:hAnsi="Arial"/>
          <w:sz w:val="20"/>
          <w:szCs w:val="20"/>
          <w:vertAlign w:val="superscript"/>
        </w:rPr>
        <w:footnoteReference w:id="41"/>
      </w:r>
      <w:r w:rsidRPr="00FD1551">
        <w:rPr>
          <w:rFonts w:ascii="Arial" w:hAnsi="Arial"/>
          <w:sz w:val="20"/>
          <w:szCs w:val="20"/>
        </w:rPr>
        <w:t>, tendo em vista o art. [XX] da lei nº. [legislação], estabelecer seu vencimento em [data de vencimento da obrigação].</w:t>
      </w:r>
    </w:p>
    <w:p w14:paraId="06A6376D" w14:textId="77777777" w:rsidR="00BB5697" w:rsidRPr="00FD1551" w:rsidRDefault="00BB5697" w:rsidP="00BB5697">
      <w:pPr>
        <w:spacing w:after="0" w:line="360" w:lineRule="auto"/>
        <w:jc w:val="both"/>
        <w:rPr>
          <w:rFonts w:ascii="Arial" w:hAnsi="Arial"/>
          <w:sz w:val="20"/>
          <w:szCs w:val="20"/>
        </w:rPr>
      </w:pPr>
    </w:p>
    <w:p w14:paraId="31A90CFE" w14:textId="77777777" w:rsidR="00BB5697" w:rsidRPr="00FD1551" w:rsidRDefault="00BB5697" w:rsidP="00BB5697">
      <w:pPr>
        <w:spacing w:after="0" w:line="360" w:lineRule="auto"/>
        <w:jc w:val="both"/>
        <w:rPr>
          <w:rFonts w:ascii="Arial" w:hAnsi="Arial"/>
          <w:sz w:val="20"/>
          <w:szCs w:val="20"/>
        </w:rPr>
      </w:pPr>
    </w:p>
    <w:p w14:paraId="3D642F2F" w14:textId="77777777" w:rsidR="00BB5697" w:rsidRPr="00FD1551" w:rsidRDefault="00BB5697" w:rsidP="00BB5697">
      <w:pPr>
        <w:spacing w:after="0" w:line="360" w:lineRule="auto"/>
        <w:jc w:val="both"/>
        <w:rPr>
          <w:rFonts w:ascii="Arial" w:hAnsi="Arial"/>
          <w:sz w:val="20"/>
          <w:szCs w:val="20"/>
        </w:rPr>
      </w:pPr>
      <w:r w:rsidRPr="00FD1551">
        <w:rPr>
          <w:rFonts w:ascii="Arial" w:hAnsi="Arial"/>
          <w:sz w:val="20"/>
          <w:szCs w:val="20"/>
        </w:rPr>
        <w:t>Município/ES,  __/dezembro/ [exercício de competência da pca]</w:t>
      </w:r>
    </w:p>
    <w:p w14:paraId="4772FFC8" w14:textId="77777777" w:rsidR="00BB5697" w:rsidRPr="00FD1551" w:rsidRDefault="00BB5697" w:rsidP="00BB5697">
      <w:pPr>
        <w:spacing w:after="0" w:line="360" w:lineRule="auto"/>
        <w:jc w:val="both"/>
        <w:rPr>
          <w:rFonts w:ascii="Arial" w:hAnsi="Arial"/>
          <w:sz w:val="20"/>
          <w:szCs w:val="20"/>
        </w:rPr>
      </w:pPr>
    </w:p>
    <w:p w14:paraId="21CB701A" w14:textId="77777777" w:rsidR="00BB5697" w:rsidRPr="00FD1551" w:rsidRDefault="00BB5697" w:rsidP="00BB5697">
      <w:pPr>
        <w:spacing w:after="0" w:line="360" w:lineRule="auto"/>
        <w:jc w:val="center"/>
        <w:rPr>
          <w:rFonts w:ascii="Arial" w:hAnsi="Arial"/>
          <w:sz w:val="20"/>
          <w:szCs w:val="20"/>
        </w:rPr>
      </w:pPr>
      <w:r w:rsidRPr="00FD1551">
        <w:rPr>
          <w:rFonts w:ascii="Arial" w:hAnsi="Arial"/>
          <w:sz w:val="20"/>
          <w:szCs w:val="20"/>
        </w:rPr>
        <w:t>___________________________________________</w:t>
      </w:r>
    </w:p>
    <w:p w14:paraId="1498641F" w14:textId="77777777" w:rsidR="00BB5697" w:rsidRPr="00FD1551" w:rsidRDefault="00BB5697" w:rsidP="00BB5697">
      <w:pPr>
        <w:spacing w:after="0" w:line="360" w:lineRule="auto"/>
        <w:jc w:val="center"/>
        <w:rPr>
          <w:rFonts w:ascii="Arial" w:hAnsi="Arial"/>
          <w:sz w:val="20"/>
          <w:szCs w:val="20"/>
        </w:rPr>
      </w:pPr>
      <w:r w:rsidRPr="00FD1551">
        <w:rPr>
          <w:rFonts w:ascii="Arial" w:hAnsi="Arial"/>
          <w:sz w:val="20"/>
          <w:szCs w:val="20"/>
        </w:rPr>
        <w:t>Assinatura do Ordenador de Despesas da [entidade]</w:t>
      </w:r>
    </w:p>
    <w:p w14:paraId="3545C876" w14:textId="77777777" w:rsidR="00BB5697" w:rsidRPr="00FD1551" w:rsidRDefault="00BB5697" w:rsidP="00BB5697">
      <w:pPr>
        <w:spacing w:after="0" w:line="360" w:lineRule="auto"/>
        <w:jc w:val="both"/>
        <w:rPr>
          <w:rFonts w:ascii="Arial" w:eastAsia="Times New Roman" w:hAnsi="Arial" w:cs="Arial"/>
          <w:color w:val="0070C0"/>
          <w:sz w:val="20"/>
          <w:szCs w:val="20"/>
          <w:lang w:eastAsia="pt-BR"/>
        </w:rPr>
      </w:pPr>
    </w:p>
    <w:p w14:paraId="5128307B" w14:textId="77777777" w:rsidR="00BB5697" w:rsidRPr="00FD1551" w:rsidRDefault="00BB5697" w:rsidP="00BB5697">
      <w:pPr>
        <w:spacing w:after="0" w:line="360" w:lineRule="auto"/>
        <w:jc w:val="center"/>
        <w:rPr>
          <w:sz w:val="20"/>
          <w:szCs w:val="20"/>
        </w:rPr>
      </w:pPr>
    </w:p>
    <w:p w14:paraId="0DD8C1D1" w14:textId="77777777" w:rsidR="00BB5697" w:rsidRPr="00FD1551" w:rsidRDefault="00BB5697" w:rsidP="00BB5697">
      <w:pPr>
        <w:spacing w:after="0" w:line="360" w:lineRule="auto"/>
        <w:jc w:val="both"/>
        <w:rPr>
          <w:rFonts w:ascii="Arial" w:hAnsi="Arial"/>
          <w:sz w:val="20"/>
          <w:szCs w:val="20"/>
        </w:rPr>
      </w:pPr>
      <w:r w:rsidRPr="00FD1551">
        <w:rPr>
          <w:rFonts w:ascii="Arial" w:hAnsi="Arial"/>
          <w:b/>
          <w:sz w:val="18"/>
          <w:szCs w:val="20"/>
          <w:u w:val="single"/>
        </w:rPr>
        <w:t>Observação</w:t>
      </w:r>
      <w:r w:rsidRPr="00FD1551">
        <w:rPr>
          <w:rFonts w:ascii="Arial" w:hAnsi="Arial"/>
          <w:sz w:val="18"/>
          <w:szCs w:val="20"/>
        </w:rPr>
        <w:t>: No caso de não pagamento de todos os valores devidos no exercício, descrever os valores não pagos, sua competência e natureza do débito.</w:t>
      </w:r>
    </w:p>
    <w:p w14:paraId="4F902E51" w14:textId="77777777" w:rsidR="00BB5697" w:rsidRPr="00FD1551" w:rsidRDefault="00BB5697" w:rsidP="00BB5697">
      <w:pPr>
        <w:spacing w:after="0" w:line="360" w:lineRule="auto"/>
        <w:jc w:val="center"/>
        <w:rPr>
          <w:rFonts w:ascii="Arial" w:hAnsi="Arial"/>
          <w:sz w:val="20"/>
          <w:szCs w:val="20"/>
        </w:rPr>
      </w:pPr>
    </w:p>
    <w:tbl>
      <w:tblPr>
        <w:tblStyle w:val="Tabelacomgrade"/>
        <w:tblW w:w="0" w:type="auto"/>
        <w:tblLook w:val="04A0" w:firstRow="1" w:lastRow="0" w:firstColumn="1" w:lastColumn="0" w:noHBand="0" w:noVBand="1"/>
      </w:tblPr>
      <w:tblGrid>
        <w:gridCol w:w="1219"/>
        <w:gridCol w:w="1531"/>
        <w:gridCol w:w="1438"/>
        <w:gridCol w:w="1382"/>
        <w:gridCol w:w="1836"/>
        <w:gridCol w:w="1314"/>
      </w:tblGrid>
      <w:tr w:rsidR="00BB5697" w:rsidRPr="00FD1551" w14:paraId="62FA5F5C" w14:textId="77777777" w:rsidTr="00BF7C4A">
        <w:tc>
          <w:tcPr>
            <w:tcW w:w="8720" w:type="dxa"/>
            <w:gridSpan w:val="6"/>
            <w:tcBorders>
              <w:top w:val="single" w:sz="4" w:space="0" w:color="auto"/>
              <w:left w:val="single" w:sz="4" w:space="0" w:color="auto"/>
              <w:bottom w:val="single" w:sz="4" w:space="0" w:color="auto"/>
              <w:right w:val="single" w:sz="4" w:space="0" w:color="auto"/>
            </w:tcBorders>
            <w:shd w:val="clear" w:color="auto" w:fill="FFC000"/>
            <w:vAlign w:val="center"/>
            <w:hideMark/>
          </w:tcPr>
          <w:p w14:paraId="694DA686" w14:textId="77777777" w:rsidR="00BB5697" w:rsidRPr="00FD1551" w:rsidRDefault="00BB5697" w:rsidP="00BF7C4A">
            <w:pPr>
              <w:spacing w:line="360" w:lineRule="auto"/>
              <w:jc w:val="center"/>
              <w:rPr>
                <w:rFonts w:ascii="Arial" w:hAnsi="Arial"/>
                <w:b/>
              </w:rPr>
            </w:pPr>
            <w:r w:rsidRPr="00FD1551">
              <w:rPr>
                <w:rFonts w:ascii="Arial" w:hAnsi="Arial"/>
                <w:b/>
              </w:rPr>
              <w:t>Descrição dos Valores Devidos e Não Repassados no Exercício</w:t>
            </w:r>
          </w:p>
        </w:tc>
      </w:tr>
      <w:tr w:rsidR="00BB5697" w:rsidRPr="00FD1551" w14:paraId="1820286F" w14:textId="77777777" w:rsidTr="00BF7C4A">
        <w:tc>
          <w:tcPr>
            <w:tcW w:w="1219" w:type="dxa"/>
            <w:tcBorders>
              <w:top w:val="single" w:sz="4" w:space="0" w:color="auto"/>
              <w:left w:val="single" w:sz="4" w:space="0" w:color="auto"/>
              <w:bottom w:val="single" w:sz="4" w:space="0" w:color="auto"/>
              <w:right w:val="single" w:sz="4" w:space="0" w:color="auto"/>
            </w:tcBorders>
            <w:shd w:val="clear" w:color="auto" w:fill="FFC000"/>
            <w:vAlign w:val="center"/>
            <w:hideMark/>
          </w:tcPr>
          <w:p w14:paraId="3A292FDA" w14:textId="77777777" w:rsidR="00BB5697" w:rsidRPr="00FD1551" w:rsidRDefault="00BB5697" w:rsidP="00BF7C4A">
            <w:pPr>
              <w:spacing w:line="360" w:lineRule="auto"/>
              <w:jc w:val="center"/>
              <w:rPr>
                <w:rFonts w:ascii="Arial" w:hAnsi="Arial"/>
                <w:b/>
              </w:rPr>
            </w:pPr>
            <w:r w:rsidRPr="00FD1551">
              <w:rPr>
                <w:rFonts w:ascii="Arial" w:hAnsi="Arial"/>
                <w:b/>
              </w:rPr>
              <w:t>Órgão</w:t>
            </w:r>
          </w:p>
        </w:tc>
        <w:tc>
          <w:tcPr>
            <w:tcW w:w="1531" w:type="dxa"/>
            <w:tcBorders>
              <w:top w:val="single" w:sz="4" w:space="0" w:color="auto"/>
              <w:left w:val="single" w:sz="4" w:space="0" w:color="auto"/>
              <w:bottom w:val="single" w:sz="4" w:space="0" w:color="auto"/>
              <w:right w:val="single" w:sz="4" w:space="0" w:color="auto"/>
            </w:tcBorders>
            <w:shd w:val="clear" w:color="auto" w:fill="FFC000"/>
            <w:vAlign w:val="center"/>
            <w:hideMark/>
          </w:tcPr>
          <w:p w14:paraId="591D9975" w14:textId="77777777" w:rsidR="00BB5697" w:rsidRPr="00FD1551" w:rsidRDefault="00BB5697" w:rsidP="00BF7C4A">
            <w:pPr>
              <w:spacing w:line="360" w:lineRule="auto"/>
              <w:jc w:val="center"/>
              <w:rPr>
                <w:rFonts w:ascii="Arial" w:hAnsi="Arial"/>
                <w:b/>
              </w:rPr>
            </w:pPr>
            <w:r w:rsidRPr="00FD1551">
              <w:rPr>
                <w:rFonts w:ascii="Arial" w:hAnsi="Arial"/>
                <w:b/>
              </w:rPr>
              <w:t>Competência</w:t>
            </w:r>
          </w:p>
        </w:tc>
        <w:tc>
          <w:tcPr>
            <w:tcW w:w="1438" w:type="dxa"/>
            <w:tcBorders>
              <w:top w:val="single" w:sz="4" w:space="0" w:color="auto"/>
              <w:left w:val="single" w:sz="4" w:space="0" w:color="auto"/>
              <w:bottom w:val="single" w:sz="4" w:space="0" w:color="auto"/>
              <w:right w:val="single" w:sz="4" w:space="0" w:color="auto"/>
            </w:tcBorders>
            <w:shd w:val="clear" w:color="auto" w:fill="FFC000"/>
            <w:vAlign w:val="center"/>
            <w:hideMark/>
          </w:tcPr>
          <w:p w14:paraId="5F95007C" w14:textId="77777777" w:rsidR="00BB5697" w:rsidRPr="00FD1551" w:rsidRDefault="00BB5697" w:rsidP="00BF7C4A">
            <w:pPr>
              <w:spacing w:line="360" w:lineRule="auto"/>
              <w:jc w:val="center"/>
              <w:rPr>
                <w:rFonts w:ascii="Arial" w:hAnsi="Arial"/>
                <w:b/>
              </w:rPr>
            </w:pPr>
            <w:r w:rsidRPr="00FD1551">
              <w:rPr>
                <w:rFonts w:ascii="Arial" w:hAnsi="Arial"/>
                <w:b/>
              </w:rPr>
              <w:t xml:space="preserve">Natureza </w:t>
            </w:r>
            <w:r w:rsidRPr="00FD1551">
              <w:rPr>
                <w:rFonts w:ascii="Arial" w:eastAsia="Calibri" w:hAnsi="Arial"/>
                <w:b/>
                <w:vertAlign w:val="superscript"/>
              </w:rPr>
              <w:footnoteReference w:id="42"/>
            </w:r>
          </w:p>
        </w:tc>
        <w:tc>
          <w:tcPr>
            <w:tcW w:w="1382" w:type="dxa"/>
            <w:tcBorders>
              <w:top w:val="single" w:sz="4" w:space="0" w:color="auto"/>
              <w:left w:val="single" w:sz="4" w:space="0" w:color="auto"/>
              <w:bottom w:val="single" w:sz="4" w:space="0" w:color="auto"/>
              <w:right w:val="single" w:sz="4" w:space="0" w:color="auto"/>
            </w:tcBorders>
            <w:shd w:val="clear" w:color="auto" w:fill="FFC000"/>
            <w:vAlign w:val="center"/>
            <w:hideMark/>
          </w:tcPr>
          <w:p w14:paraId="72406CDC" w14:textId="77777777" w:rsidR="00BB5697" w:rsidRPr="00FD1551" w:rsidRDefault="00BB5697" w:rsidP="00BF7C4A">
            <w:pPr>
              <w:spacing w:line="360" w:lineRule="auto"/>
              <w:jc w:val="center"/>
              <w:rPr>
                <w:rFonts w:ascii="Arial" w:hAnsi="Arial"/>
                <w:b/>
              </w:rPr>
            </w:pPr>
            <w:r w:rsidRPr="00FD1551">
              <w:rPr>
                <w:rFonts w:ascii="Arial" w:hAnsi="Arial"/>
                <w:b/>
              </w:rPr>
              <w:t>Valor Original</w:t>
            </w:r>
          </w:p>
        </w:tc>
        <w:tc>
          <w:tcPr>
            <w:tcW w:w="1836" w:type="dxa"/>
            <w:tcBorders>
              <w:top w:val="single" w:sz="4" w:space="0" w:color="auto"/>
              <w:left w:val="single" w:sz="4" w:space="0" w:color="auto"/>
              <w:bottom w:val="single" w:sz="4" w:space="0" w:color="auto"/>
              <w:right w:val="single" w:sz="4" w:space="0" w:color="auto"/>
            </w:tcBorders>
            <w:shd w:val="clear" w:color="auto" w:fill="FFC000"/>
            <w:vAlign w:val="center"/>
            <w:hideMark/>
          </w:tcPr>
          <w:p w14:paraId="2C9D2FA1" w14:textId="77777777" w:rsidR="00BB5697" w:rsidRPr="00FD1551" w:rsidRDefault="00BB5697" w:rsidP="00BF7C4A">
            <w:pPr>
              <w:spacing w:line="360" w:lineRule="auto"/>
              <w:jc w:val="center"/>
              <w:rPr>
                <w:rFonts w:ascii="Arial" w:hAnsi="Arial"/>
                <w:b/>
              </w:rPr>
            </w:pPr>
            <w:r w:rsidRPr="00FD1551">
              <w:rPr>
                <w:rFonts w:ascii="Arial" w:hAnsi="Arial"/>
                <w:b/>
              </w:rPr>
              <w:t>Valor Atualizado</w:t>
            </w:r>
            <w:r w:rsidRPr="00FD1551">
              <w:rPr>
                <w:rFonts w:ascii="Arial" w:eastAsia="Calibri" w:hAnsi="Arial"/>
                <w:b/>
                <w:vertAlign w:val="superscript"/>
              </w:rPr>
              <w:footnoteReference w:id="43"/>
            </w:r>
          </w:p>
        </w:tc>
        <w:tc>
          <w:tcPr>
            <w:tcW w:w="1314" w:type="dxa"/>
            <w:tcBorders>
              <w:top w:val="single" w:sz="4" w:space="0" w:color="auto"/>
              <w:left w:val="single" w:sz="4" w:space="0" w:color="auto"/>
              <w:bottom w:val="single" w:sz="4" w:space="0" w:color="auto"/>
              <w:right w:val="single" w:sz="4" w:space="0" w:color="auto"/>
            </w:tcBorders>
            <w:shd w:val="clear" w:color="auto" w:fill="FFC000"/>
            <w:hideMark/>
          </w:tcPr>
          <w:p w14:paraId="25390922" w14:textId="77777777" w:rsidR="00BB5697" w:rsidRPr="00FD1551" w:rsidRDefault="00BB5697" w:rsidP="00BF7C4A">
            <w:pPr>
              <w:spacing w:line="360" w:lineRule="auto"/>
              <w:jc w:val="center"/>
              <w:rPr>
                <w:rFonts w:ascii="Arial" w:hAnsi="Arial"/>
                <w:b/>
              </w:rPr>
            </w:pPr>
            <w:r w:rsidRPr="00FD1551">
              <w:rPr>
                <w:rFonts w:ascii="Arial" w:hAnsi="Arial"/>
                <w:b/>
              </w:rPr>
              <w:t>Conta Contábil</w:t>
            </w:r>
            <w:r w:rsidRPr="00FD1551">
              <w:rPr>
                <w:rFonts w:ascii="Arial" w:eastAsia="Calibri" w:hAnsi="Arial"/>
                <w:b/>
                <w:vertAlign w:val="superscript"/>
              </w:rPr>
              <w:footnoteReference w:id="44"/>
            </w:r>
          </w:p>
        </w:tc>
      </w:tr>
      <w:tr w:rsidR="00BB5697" w:rsidRPr="00FD1551" w14:paraId="740CC192" w14:textId="77777777" w:rsidTr="00BF7C4A">
        <w:tc>
          <w:tcPr>
            <w:tcW w:w="1219" w:type="dxa"/>
            <w:tcBorders>
              <w:top w:val="single" w:sz="4" w:space="0" w:color="auto"/>
              <w:left w:val="single" w:sz="4" w:space="0" w:color="auto"/>
              <w:bottom w:val="single" w:sz="4" w:space="0" w:color="auto"/>
              <w:right w:val="single" w:sz="4" w:space="0" w:color="auto"/>
            </w:tcBorders>
          </w:tcPr>
          <w:p w14:paraId="24BBDDF4" w14:textId="77777777" w:rsidR="00BB5697" w:rsidRPr="00FD1551" w:rsidRDefault="00BB5697" w:rsidP="00BF7C4A">
            <w:pPr>
              <w:spacing w:line="360" w:lineRule="auto"/>
              <w:jc w:val="center"/>
              <w:rPr>
                <w:rFonts w:ascii="Arial" w:hAnsi="Arial"/>
              </w:rPr>
            </w:pPr>
          </w:p>
        </w:tc>
        <w:tc>
          <w:tcPr>
            <w:tcW w:w="1531" w:type="dxa"/>
            <w:tcBorders>
              <w:top w:val="single" w:sz="4" w:space="0" w:color="auto"/>
              <w:left w:val="single" w:sz="4" w:space="0" w:color="auto"/>
              <w:bottom w:val="single" w:sz="4" w:space="0" w:color="auto"/>
              <w:right w:val="single" w:sz="4" w:space="0" w:color="auto"/>
            </w:tcBorders>
          </w:tcPr>
          <w:p w14:paraId="563E92E3" w14:textId="77777777" w:rsidR="00BB5697" w:rsidRPr="00FD1551" w:rsidRDefault="00BB5697" w:rsidP="00BF7C4A">
            <w:pPr>
              <w:spacing w:line="360" w:lineRule="auto"/>
              <w:jc w:val="center"/>
              <w:rPr>
                <w:rFonts w:ascii="Arial" w:hAnsi="Arial"/>
              </w:rPr>
            </w:pPr>
          </w:p>
        </w:tc>
        <w:tc>
          <w:tcPr>
            <w:tcW w:w="1438" w:type="dxa"/>
            <w:tcBorders>
              <w:top w:val="single" w:sz="4" w:space="0" w:color="auto"/>
              <w:left w:val="single" w:sz="4" w:space="0" w:color="auto"/>
              <w:bottom w:val="single" w:sz="4" w:space="0" w:color="auto"/>
              <w:right w:val="single" w:sz="4" w:space="0" w:color="auto"/>
            </w:tcBorders>
          </w:tcPr>
          <w:p w14:paraId="3995DF9D" w14:textId="77777777" w:rsidR="00BB5697" w:rsidRPr="00FD1551" w:rsidRDefault="00BB5697" w:rsidP="00BF7C4A">
            <w:pPr>
              <w:spacing w:line="360" w:lineRule="auto"/>
              <w:jc w:val="center"/>
              <w:rPr>
                <w:rFonts w:ascii="Arial" w:hAnsi="Arial"/>
              </w:rPr>
            </w:pPr>
          </w:p>
        </w:tc>
        <w:tc>
          <w:tcPr>
            <w:tcW w:w="1382" w:type="dxa"/>
            <w:tcBorders>
              <w:top w:val="single" w:sz="4" w:space="0" w:color="auto"/>
              <w:left w:val="single" w:sz="4" w:space="0" w:color="auto"/>
              <w:bottom w:val="single" w:sz="4" w:space="0" w:color="auto"/>
              <w:right w:val="single" w:sz="4" w:space="0" w:color="auto"/>
            </w:tcBorders>
          </w:tcPr>
          <w:p w14:paraId="45B05902" w14:textId="77777777" w:rsidR="00BB5697" w:rsidRPr="00FD1551" w:rsidRDefault="00BB5697" w:rsidP="00BF7C4A">
            <w:pPr>
              <w:spacing w:line="360" w:lineRule="auto"/>
              <w:jc w:val="center"/>
              <w:rPr>
                <w:rFonts w:ascii="Arial" w:hAnsi="Arial"/>
              </w:rPr>
            </w:pPr>
          </w:p>
        </w:tc>
        <w:tc>
          <w:tcPr>
            <w:tcW w:w="1836" w:type="dxa"/>
            <w:tcBorders>
              <w:top w:val="single" w:sz="4" w:space="0" w:color="auto"/>
              <w:left w:val="single" w:sz="4" w:space="0" w:color="auto"/>
              <w:bottom w:val="single" w:sz="4" w:space="0" w:color="auto"/>
              <w:right w:val="single" w:sz="4" w:space="0" w:color="auto"/>
            </w:tcBorders>
          </w:tcPr>
          <w:p w14:paraId="19538CCD" w14:textId="77777777" w:rsidR="00BB5697" w:rsidRPr="00FD1551" w:rsidRDefault="00BB5697" w:rsidP="00BF7C4A">
            <w:pPr>
              <w:spacing w:line="360" w:lineRule="auto"/>
              <w:jc w:val="center"/>
              <w:rPr>
                <w:rFonts w:ascii="Arial" w:hAnsi="Arial"/>
              </w:rPr>
            </w:pPr>
          </w:p>
        </w:tc>
        <w:tc>
          <w:tcPr>
            <w:tcW w:w="1314" w:type="dxa"/>
            <w:tcBorders>
              <w:top w:val="single" w:sz="4" w:space="0" w:color="auto"/>
              <w:left w:val="single" w:sz="4" w:space="0" w:color="auto"/>
              <w:bottom w:val="single" w:sz="4" w:space="0" w:color="auto"/>
              <w:right w:val="single" w:sz="4" w:space="0" w:color="auto"/>
            </w:tcBorders>
          </w:tcPr>
          <w:p w14:paraId="354D5D9B" w14:textId="77777777" w:rsidR="00BB5697" w:rsidRPr="00FD1551" w:rsidRDefault="00BB5697" w:rsidP="00BF7C4A">
            <w:pPr>
              <w:spacing w:line="360" w:lineRule="auto"/>
              <w:jc w:val="center"/>
              <w:rPr>
                <w:rFonts w:ascii="Arial" w:hAnsi="Arial"/>
              </w:rPr>
            </w:pPr>
          </w:p>
        </w:tc>
      </w:tr>
    </w:tbl>
    <w:p w14:paraId="286AFC12" w14:textId="77777777" w:rsidR="00BB5697" w:rsidRDefault="00BB5697" w:rsidP="00BB5697">
      <w:pPr>
        <w:rPr>
          <w:rFonts w:ascii="Arial" w:hAnsi="Arial" w:cs="Arial"/>
          <w:b/>
          <w:sz w:val="20"/>
          <w:szCs w:val="20"/>
        </w:rPr>
      </w:pPr>
      <w:r>
        <w:rPr>
          <w:rFonts w:ascii="Arial" w:hAnsi="Arial" w:cs="Arial"/>
          <w:b/>
          <w:sz w:val="20"/>
          <w:szCs w:val="20"/>
        </w:rPr>
        <w:br w:type="page"/>
      </w:r>
    </w:p>
    <w:p w14:paraId="63467945" w14:textId="4A99EBC6" w:rsidR="00A200AB" w:rsidRDefault="00A200AB" w:rsidP="00A200AB">
      <w:pPr>
        <w:pStyle w:val="Ttulo3"/>
      </w:pPr>
      <w:bookmarkStart w:id="89" w:name="_Toc94806361"/>
      <w:r w:rsidRPr="00A200AB">
        <w:lastRenderedPageBreak/>
        <w:t>DECAMOR</w:t>
      </w:r>
      <w:bookmarkEnd w:id="89"/>
    </w:p>
    <w:p w14:paraId="77D7B276" w14:textId="77777777" w:rsidR="00BB5697" w:rsidRPr="00FD1551" w:rsidRDefault="00BB5697" w:rsidP="00BB5697">
      <w:pPr>
        <w:spacing w:after="0" w:line="360" w:lineRule="auto"/>
        <w:jc w:val="center"/>
        <w:rPr>
          <w:rFonts w:ascii="Arial" w:hAnsi="Arial" w:cs="Arial"/>
          <w:b/>
          <w:sz w:val="18"/>
          <w:szCs w:val="28"/>
        </w:rPr>
      </w:pPr>
    </w:p>
    <w:tbl>
      <w:tblPr>
        <w:tblW w:w="8505" w:type="dxa"/>
        <w:tblInd w:w="7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8505"/>
      </w:tblGrid>
      <w:tr w:rsidR="00BB5697" w:rsidRPr="00FD1551" w14:paraId="29190C19" w14:textId="77777777" w:rsidTr="00BF7C4A">
        <w:trPr>
          <w:trHeight w:val="283"/>
        </w:trPr>
        <w:tc>
          <w:tcPr>
            <w:tcW w:w="8505" w:type="dxa"/>
          </w:tcPr>
          <w:p w14:paraId="28E660B7"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b/>
                <w:bCs/>
                <w:color w:val="000000"/>
                <w:sz w:val="16"/>
                <w:szCs w:val="16"/>
                <w:lang w:eastAsia="pt-BR"/>
              </w:rPr>
              <w:t>IDENTIFICAÇÃO:</w:t>
            </w:r>
            <w:r w:rsidRPr="00FD1551">
              <w:rPr>
                <w:rFonts w:ascii="Arial" w:eastAsia="Times New Roman" w:hAnsi="Arial" w:cs="Arial"/>
                <w:color w:val="000000"/>
                <w:sz w:val="16"/>
                <w:szCs w:val="16"/>
                <w:lang w:eastAsia="pt-BR"/>
              </w:rPr>
              <w:t> </w:t>
            </w:r>
          </w:p>
        </w:tc>
      </w:tr>
      <w:tr w:rsidR="00BB5697" w:rsidRPr="00FD1551" w14:paraId="18C76787" w14:textId="77777777" w:rsidTr="00BF7C4A">
        <w:trPr>
          <w:trHeight w:val="283"/>
        </w:trPr>
        <w:tc>
          <w:tcPr>
            <w:tcW w:w="8505" w:type="dxa"/>
            <w:shd w:val="clear" w:color="auto" w:fill="auto"/>
            <w:noWrap/>
            <w:vAlign w:val="bottom"/>
            <w:hideMark/>
          </w:tcPr>
          <w:p w14:paraId="40F1D6BA"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EXERCÍCIO:</w:t>
            </w:r>
          </w:p>
        </w:tc>
      </w:tr>
    </w:tbl>
    <w:p w14:paraId="34DB643C" w14:textId="77777777" w:rsidR="00BB5697" w:rsidRPr="00FD1551" w:rsidRDefault="00BB5697" w:rsidP="00BB5697">
      <w:pPr>
        <w:spacing w:after="0" w:line="360" w:lineRule="auto"/>
        <w:jc w:val="both"/>
        <w:rPr>
          <w:rFonts w:ascii="Arial" w:hAnsi="Arial" w:cs="Arial"/>
        </w:rPr>
      </w:pPr>
    </w:p>
    <w:p w14:paraId="5FA1227E" w14:textId="77777777" w:rsidR="00BB5697" w:rsidRPr="00FD1551" w:rsidRDefault="00BB5697" w:rsidP="00BB5697">
      <w:pPr>
        <w:tabs>
          <w:tab w:val="left" w:pos="1825"/>
        </w:tabs>
        <w:spacing w:after="0" w:line="360" w:lineRule="auto"/>
        <w:jc w:val="center"/>
        <w:rPr>
          <w:rFonts w:ascii="Arial" w:hAnsi="Arial"/>
          <w:b/>
        </w:rPr>
      </w:pPr>
      <w:r w:rsidRPr="00FD1551">
        <w:rPr>
          <w:rFonts w:ascii="Arial" w:hAnsi="Arial"/>
          <w:b/>
        </w:rPr>
        <w:t>DECLARAÇÃO DE COMPATIBILIZAÇÃO DO</w:t>
      </w:r>
    </w:p>
    <w:p w14:paraId="43B52DAA" w14:textId="77777777" w:rsidR="00BB5697" w:rsidRPr="00FD1551" w:rsidRDefault="00BB5697" w:rsidP="00BB5697">
      <w:pPr>
        <w:tabs>
          <w:tab w:val="left" w:pos="1825"/>
        </w:tabs>
        <w:spacing w:after="0" w:line="360" w:lineRule="auto"/>
        <w:jc w:val="center"/>
        <w:rPr>
          <w:rFonts w:ascii="Arial" w:hAnsi="Arial"/>
          <w:b/>
        </w:rPr>
      </w:pPr>
      <w:r w:rsidRPr="00FD1551">
        <w:rPr>
          <w:rFonts w:ascii="Arial" w:hAnsi="Arial"/>
          <w:b/>
        </w:rPr>
        <w:t>PLANO DE CUSTEIO E DO PLANO DE AMORTIZAÇÃO</w:t>
      </w:r>
    </w:p>
    <w:p w14:paraId="18A5B032" w14:textId="77777777" w:rsidR="00BB5697" w:rsidRPr="00FD1551" w:rsidRDefault="00BB5697" w:rsidP="00BB5697">
      <w:pPr>
        <w:tabs>
          <w:tab w:val="left" w:pos="1825"/>
        </w:tabs>
        <w:spacing w:after="0" w:line="360" w:lineRule="auto"/>
        <w:jc w:val="center"/>
        <w:rPr>
          <w:rFonts w:ascii="Arial" w:hAnsi="Arial"/>
          <w:b/>
        </w:rPr>
      </w:pPr>
    </w:p>
    <w:p w14:paraId="2765350C" w14:textId="77777777" w:rsidR="00BB5697" w:rsidRPr="00FD1551" w:rsidRDefault="00BB5697" w:rsidP="00BB5697">
      <w:pPr>
        <w:spacing w:after="0"/>
        <w:jc w:val="both"/>
        <w:rPr>
          <w:rFonts w:ascii="Arial" w:hAnsi="Arial"/>
          <w:sz w:val="20"/>
          <w:szCs w:val="20"/>
        </w:rPr>
      </w:pPr>
    </w:p>
    <w:p w14:paraId="70B0E0C0" w14:textId="77777777" w:rsidR="00BB5697" w:rsidRPr="00FD1551" w:rsidRDefault="00BB5697" w:rsidP="00BB5697">
      <w:pPr>
        <w:spacing w:after="0"/>
        <w:jc w:val="both"/>
        <w:rPr>
          <w:rFonts w:ascii="Arial" w:hAnsi="Arial"/>
          <w:sz w:val="20"/>
          <w:szCs w:val="20"/>
        </w:rPr>
      </w:pPr>
    </w:p>
    <w:p w14:paraId="4CAB2C52" w14:textId="77777777" w:rsidR="00BB5697" w:rsidRPr="00FD1551" w:rsidRDefault="00BB5697" w:rsidP="00BB5697">
      <w:pPr>
        <w:spacing w:after="0"/>
        <w:jc w:val="both"/>
        <w:rPr>
          <w:rFonts w:ascii="Arial" w:hAnsi="Arial"/>
          <w:sz w:val="20"/>
          <w:szCs w:val="20"/>
        </w:rPr>
      </w:pPr>
      <w:r w:rsidRPr="00FD1551">
        <w:rPr>
          <w:rFonts w:ascii="Arial" w:hAnsi="Arial"/>
          <w:sz w:val="20"/>
          <w:szCs w:val="20"/>
        </w:rPr>
        <w:t xml:space="preserve">Declaro perante o Tribunal de Contas do Estado do Espírito Santo, que o </w:t>
      </w:r>
      <w:r w:rsidRPr="00FD1551">
        <w:rPr>
          <w:rFonts w:ascii="Arial" w:hAnsi="Arial"/>
          <w:b/>
          <w:sz w:val="20"/>
          <w:szCs w:val="20"/>
        </w:rPr>
        <w:t xml:space="preserve">plano de custeio </w:t>
      </w:r>
      <w:r w:rsidRPr="00FD1551">
        <w:rPr>
          <w:rFonts w:ascii="Arial" w:hAnsi="Arial"/>
          <w:sz w:val="20"/>
          <w:szCs w:val="20"/>
        </w:rPr>
        <w:t>do [RPPS]</w:t>
      </w:r>
      <w:r w:rsidRPr="00FD1551">
        <w:rPr>
          <w:rFonts w:ascii="Arial" w:hAnsi="Arial"/>
          <w:b/>
          <w:sz w:val="20"/>
          <w:szCs w:val="20"/>
        </w:rPr>
        <w:t xml:space="preserve">, </w:t>
      </w:r>
      <w:r w:rsidRPr="00FD1551">
        <w:rPr>
          <w:rFonts w:ascii="Arial" w:hAnsi="Arial"/>
          <w:sz w:val="20"/>
          <w:szCs w:val="20"/>
        </w:rPr>
        <w:t>estabelecido por meio da</w:t>
      </w:r>
      <w:r w:rsidRPr="00FD1551">
        <w:rPr>
          <w:rFonts w:ascii="Arial" w:hAnsi="Arial"/>
          <w:b/>
          <w:sz w:val="20"/>
          <w:szCs w:val="20"/>
        </w:rPr>
        <w:t xml:space="preserve"> [legislação]</w:t>
      </w:r>
      <w:r w:rsidRPr="00FD1551">
        <w:rPr>
          <w:rFonts w:ascii="Arial" w:hAnsi="Arial"/>
          <w:sz w:val="20"/>
          <w:szCs w:val="20"/>
        </w:rPr>
        <w:t xml:space="preserve"> e vigente no exercício [de competência da prestação de Contas] está compatível com as alíquotas sugeridas pelo parecer do atuário inserto na avaliação atuarial de [exercício], estudo esse posicionado com dados em [data-base] e com data de cálculo referenciado em [data do cálculo].</w:t>
      </w:r>
    </w:p>
    <w:p w14:paraId="5DD02851" w14:textId="77777777" w:rsidR="00BB5697" w:rsidRPr="00FD1551" w:rsidRDefault="00BB5697" w:rsidP="00BB5697">
      <w:pPr>
        <w:spacing w:after="0"/>
        <w:jc w:val="both"/>
        <w:rPr>
          <w:rFonts w:ascii="Arial" w:hAnsi="Arial"/>
          <w:sz w:val="20"/>
          <w:szCs w:val="20"/>
        </w:rPr>
      </w:pPr>
    </w:p>
    <w:p w14:paraId="15A7A629" w14:textId="77777777" w:rsidR="00BB5697" w:rsidRPr="00FD1551" w:rsidRDefault="00BB5697" w:rsidP="00BB5697">
      <w:pPr>
        <w:spacing w:after="0"/>
        <w:jc w:val="both"/>
        <w:rPr>
          <w:rFonts w:ascii="Arial" w:hAnsi="Arial"/>
          <w:sz w:val="20"/>
          <w:szCs w:val="20"/>
        </w:rPr>
      </w:pPr>
      <w:r w:rsidRPr="00FD1551">
        <w:rPr>
          <w:rFonts w:ascii="Arial" w:hAnsi="Arial"/>
          <w:sz w:val="20"/>
          <w:szCs w:val="20"/>
        </w:rPr>
        <w:t xml:space="preserve">Declaro ainda, que o </w:t>
      </w:r>
      <w:r w:rsidRPr="00FD1551">
        <w:rPr>
          <w:rFonts w:ascii="Arial" w:hAnsi="Arial"/>
          <w:b/>
          <w:sz w:val="20"/>
          <w:szCs w:val="20"/>
        </w:rPr>
        <w:t>plano de amortização do déficit atuarial</w:t>
      </w:r>
      <w:r w:rsidRPr="00FD1551">
        <w:rPr>
          <w:rFonts w:ascii="Arial" w:hAnsi="Arial"/>
          <w:sz w:val="20"/>
          <w:szCs w:val="20"/>
        </w:rPr>
        <w:t xml:space="preserve"> estabelecido por meio da</w:t>
      </w:r>
      <w:r w:rsidRPr="00FD1551">
        <w:rPr>
          <w:rFonts w:ascii="Arial" w:hAnsi="Arial"/>
          <w:b/>
          <w:sz w:val="20"/>
          <w:szCs w:val="20"/>
        </w:rPr>
        <w:t xml:space="preserve"> [legislação]</w:t>
      </w:r>
      <w:r w:rsidRPr="00FD1551">
        <w:rPr>
          <w:rFonts w:ascii="Arial" w:hAnsi="Arial"/>
          <w:sz w:val="20"/>
          <w:szCs w:val="20"/>
        </w:rPr>
        <w:t xml:space="preserve"> e vigente no exercício [de competência da prestação de Contas] está compatível com o parecer do atuário inserto na avaliação atuarial de [exercício], estudo esse posicionado com dados em [data-base] e com data de cálculo referenciado em [data do cálculo] e evidenciou um déficit atuarial de R$ [demonstrar montante do déficit]. </w:t>
      </w:r>
    </w:p>
    <w:p w14:paraId="5B9E3A99" w14:textId="77777777" w:rsidR="00BB5697" w:rsidRPr="00FD1551" w:rsidRDefault="00BB5697" w:rsidP="00BB5697">
      <w:pPr>
        <w:spacing w:after="0"/>
        <w:jc w:val="both"/>
        <w:rPr>
          <w:rFonts w:ascii="Arial" w:hAnsi="Arial"/>
          <w:sz w:val="20"/>
          <w:szCs w:val="20"/>
        </w:rPr>
      </w:pPr>
    </w:p>
    <w:p w14:paraId="603AF944" w14:textId="77777777" w:rsidR="00BB5697" w:rsidRPr="00FD1551" w:rsidRDefault="00BB5697" w:rsidP="00BB5697">
      <w:pPr>
        <w:spacing w:after="0"/>
        <w:jc w:val="both"/>
        <w:rPr>
          <w:rFonts w:ascii="Arial" w:hAnsi="Arial"/>
          <w:sz w:val="20"/>
          <w:szCs w:val="20"/>
        </w:rPr>
      </w:pPr>
      <w:r w:rsidRPr="00FD1551">
        <w:rPr>
          <w:rFonts w:ascii="Arial" w:hAnsi="Arial"/>
          <w:sz w:val="20"/>
          <w:szCs w:val="20"/>
        </w:rPr>
        <w:t>[No caso de não adoção das medidas sugeridas pelo atuário</w:t>
      </w:r>
      <w:r w:rsidRPr="00FD1551">
        <w:rPr>
          <w:rFonts w:ascii="Arial" w:hAnsi="Arial"/>
          <w:sz w:val="20"/>
          <w:szCs w:val="20"/>
          <w:vertAlign w:val="superscript"/>
        </w:rPr>
        <w:footnoteReference w:id="45"/>
      </w:r>
      <w:r w:rsidRPr="00FD1551">
        <w:rPr>
          <w:rFonts w:ascii="Arial" w:hAnsi="Arial"/>
          <w:sz w:val="20"/>
          <w:szCs w:val="20"/>
        </w:rPr>
        <w:t xml:space="preserve"> constante no último Relatório da Avaliação Atuarial</w:t>
      </w:r>
      <w:r w:rsidRPr="00FD1551">
        <w:rPr>
          <w:rFonts w:ascii="Arial" w:hAnsi="Arial"/>
          <w:sz w:val="20"/>
          <w:szCs w:val="20"/>
          <w:vertAlign w:val="superscript"/>
        </w:rPr>
        <w:footnoteReference w:id="46"/>
      </w:r>
      <w:r w:rsidRPr="00FD1551">
        <w:rPr>
          <w:rFonts w:ascii="Arial" w:hAnsi="Arial"/>
          <w:sz w:val="20"/>
          <w:szCs w:val="20"/>
        </w:rPr>
        <w:t xml:space="preserve"> realizado pelo RPPS, apresentar as justificativas fundamentadas em documentos/estudos técnicos que sustentaram tal decisão].</w:t>
      </w:r>
    </w:p>
    <w:p w14:paraId="51797EF1" w14:textId="77777777" w:rsidR="00BB5697" w:rsidRPr="00FD1551" w:rsidRDefault="00BB5697" w:rsidP="00BB5697">
      <w:pPr>
        <w:spacing w:after="0" w:line="360" w:lineRule="auto"/>
        <w:jc w:val="both"/>
        <w:rPr>
          <w:rFonts w:ascii="Arial" w:hAnsi="Arial"/>
          <w:sz w:val="20"/>
          <w:szCs w:val="20"/>
        </w:rPr>
      </w:pPr>
    </w:p>
    <w:p w14:paraId="3D07CA34" w14:textId="77777777" w:rsidR="00BB5697" w:rsidRPr="00FD1551" w:rsidRDefault="00BB5697" w:rsidP="00BB5697">
      <w:pPr>
        <w:spacing w:after="0" w:line="360" w:lineRule="auto"/>
        <w:jc w:val="both"/>
        <w:rPr>
          <w:rFonts w:ascii="Arial" w:hAnsi="Arial"/>
          <w:sz w:val="20"/>
          <w:szCs w:val="20"/>
        </w:rPr>
      </w:pPr>
    </w:p>
    <w:p w14:paraId="6EE500E2" w14:textId="77777777" w:rsidR="00BB5697" w:rsidRPr="00FD1551" w:rsidRDefault="00BB5697" w:rsidP="00BB5697">
      <w:pPr>
        <w:spacing w:after="0" w:line="360" w:lineRule="auto"/>
        <w:jc w:val="both"/>
        <w:rPr>
          <w:rFonts w:ascii="Arial" w:hAnsi="Arial"/>
          <w:sz w:val="20"/>
          <w:szCs w:val="20"/>
        </w:rPr>
      </w:pPr>
    </w:p>
    <w:p w14:paraId="625FCFB1" w14:textId="77777777" w:rsidR="00BB5697" w:rsidRPr="00FD1551" w:rsidRDefault="00BB5697" w:rsidP="00BB5697">
      <w:pPr>
        <w:spacing w:after="0" w:line="360" w:lineRule="auto"/>
        <w:jc w:val="both"/>
        <w:rPr>
          <w:rFonts w:ascii="Arial" w:hAnsi="Arial"/>
          <w:sz w:val="20"/>
          <w:szCs w:val="20"/>
        </w:rPr>
      </w:pPr>
      <w:r w:rsidRPr="00FD1551">
        <w:rPr>
          <w:rFonts w:ascii="Arial" w:hAnsi="Arial"/>
          <w:sz w:val="20"/>
          <w:szCs w:val="20"/>
        </w:rPr>
        <w:t>Município/ES,  __ / dezembro / [exercício de competência da pca]</w:t>
      </w:r>
    </w:p>
    <w:p w14:paraId="10AFA13B" w14:textId="77777777" w:rsidR="00BB5697" w:rsidRPr="00FD1551" w:rsidRDefault="00BB5697" w:rsidP="00BB5697">
      <w:pPr>
        <w:spacing w:after="0" w:line="360" w:lineRule="auto"/>
        <w:jc w:val="both"/>
        <w:rPr>
          <w:rFonts w:ascii="Arial" w:hAnsi="Arial"/>
          <w:sz w:val="20"/>
          <w:szCs w:val="20"/>
        </w:rPr>
      </w:pPr>
    </w:p>
    <w:p w14:paraId="3CC90570" w14:textId="77777777" w:rsidR="00BB5697" w:rsidRPr="00FD1551" w:rsidRDefault="00BB5697" w:rsidP="00BB5697">
      <w:pPr>
        <w:spacing w:after="0" w:line="360" w:lineRule="auto"/>
        <w:jc w:val="both"/>
        <w:rPr>
          <w:rFonts w:ascii="Arial" w:hAnsi="Arial"/>
          <w:sz w:val="20"/>
          <w:szCs w:val="20"/>
        </w:rPr>
      </w:pPr>
    </w:p>
    <w:p w14:paraId="06E26B97" w14:textId="77777777" w:rsidR="00BB5697" w:rsidRPr="00FD1551" w:rsidRDefault="00BB5697" w:rsidP="00BB5697">
      <w:pPr>
        <w:spacing w:after="0" w:line="360" w:lineRule="auto"/>
        <w:jc w:val="center"/>
        <w:rPr>
          <w:rFonts w:ascii="Arial" w:hAnsi="Arial"/>
          <w:sz w:val="20"/>
          <w:szCs w:val="20"/>
        </w:rPr>
      </w:pPr>
      <w:r w:rsidRPr="00FD1551">
        <w:rPr>
          <w:rFonts w:ascii="Arial" w:hAnsi="Arial"/>
          <w:sz w:val="20"/>
          <w:szCs w:val="20"/>
        </w:rPr>
        <w:t>__________________________________________</w:t>
      </w:r>
    </w:p>
    <w:p w14:paraId="3746216D" w14:textId="77777777" w:rsidR="00BB5697" w:rsidRPr="00FD1551" w:rsidRDefault="00BB5697" w:rsidP="00BB5697">
      <w:pPr>
        <w:spacing w:after="0" w:line="360" w:lineRule="auto"/>
        <w:jc w:val="center"/>
        <w:rPr>
          <w:rFonts w:ascii="Arial" w:hAnsi="Arial"/>
          <w:sz w:val="20"/>
          <w:szCs w:val="20"/>
        </w:rPr>
      </w:pPr>
      <w:r w:rsidRPr="00FD1551">
        <w:rPr>
          <w:rFonts w:ascii="Arial" w:hAnsi="Arial"/>
          <w:sz w:val="20"/>
          <w:szCs w:val="20"/>
        </w:rPr>
        <w:t>Assinatura do Chefe do Poder Executivo Municipal</w:t>
      </w:r>
    </w:p>
    <w:p w14:paraId="187D1476" w14:textId="77777777" w:rsidR="00BB5697" w:rsidRPr="00FD1551" w:rsidRDefault="00BB5697" w:rsidP="00BB5697">
      <w:pPr>
        <w:rPr>
          <w:rFonts w:ascii="Arial" w:hAnsi="Arial" w:cs="Arial"/>
          <w:b/>
          <w:sz w:val="28"/>
          <w:szCs w:val="28"/>
        </w:rPr>
      </w:pPr>
      <w:r w:rsidRPr="00FD1551">
        <w:rPr>
          <w:rFonts w:ascii="Arial" w:hAnsi="Arial" w:cs="Arial"/>
          <w:b/>
          <w:sz w:val="28"/>
          <w:szCs w:val="28"/>
        </w:rPr>
        <w:br w:type="page"/>
      </w:r>
    </w:p>
    <w:p w14:paraId="7AC89386" w14:textId="6C0CFA9E" w:rsidR="00743BDB" w:rsidRDefault="00743BDB" w:rsidP="00743BDB">
      <w:pPr>
        <w:pStyle w:val="Ttulo3"/>
      </w:pPr>
      <w:bookmarkStart w:id="90" w:name="_Toc94806362"/>
      <w:r w:rsidRPr="00743BDB">
        <w:lastRenderedPageBreak/>
        <w:t>DECAMO</w:t>
      </w:r>
      <w:bookmarkEnd w:id="90"/>
    </w:p>
    <w:tbl>
      <w:tblPr>
        <w:tblW w:w="8505" w:type="dxa"/>
        <w:tblInd w:w="7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8505"/>
      </w:tblGrid>
      <w:tr w:rsidR="00BB5697" w:rsidRPr="00FD1551" w14:paraId="7859700E" w14:textId="77777777" w:rsidTr="00BF7C4A">
        <w:trPr>
          <w:trHeight w:val="283"/>
        </w:trPr>
        <w:tc>
          <w:tcPr>
            <w:tcW w:w="8505" w:type="dxa"/>
          </w:tcPr>
          <w:p w14:paraId="5C4258E7"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b/>
                <w:bCs/>
                <w:color w:val="000000"/>
                <w:sz w:val="16"/>
                <w:szCs w:val="16"/>
                <w:lang w:eastAsia="pt-BR"/>
              </w:rPr>
              <w:t>IDENTIFICAÇÃO:</w:t>
            </w:r>
            <w:r w:rsidRPr="00FD1551">
              <w:rPr>
                <w:rFonts w:ascii="Arial" w:eastAsia="Times New Roman" w:hAnsi="Arial" w:cs="Arial"/>
                <w:color w:val="000000"/>
                <w:sz w:val="16"/>
                <w:szCs w:val="16"/>
                <w:lang w:eastAsia="pt-BR"/>
              </w:rPr>
              <w:t> </w:t>
            </w:r>
          </w:p>
        </w:tc>
      </w:tr>
      <w:tr w:rsidR="00BB5697" w:rsidRPr="00FD1551" w14:paraId="40672DE8" w14:textId="77777777" w:rsidTr="00BF7C4A">
        <w:trPr>
          <w:trHeight w:val="283"/>
        </w:trPr>
        <w:tc>
          <w:tcPr>
            <w:tcW w:w="8505" w:type="dxa"/>
            <w:shd w:val="clear" w:color="auto" w:fill="auto"/>
            <w:noWrap/>
            <w:vAlign w:val="bottom"/>
            <w:hideMark/>
          </w:tcPr>
          <w:p w14:paraId="1A2CB6A2"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EXERCÍCIO:</w:t>
            </w:r>
          </w:p>
        </w:tc>
      </w:tr>
    </w:tbl>
    <w:p w14:paraId="5158FAF1" w14:textId="77777777" w:rsidR="00BB5697" w:rsidRPr="00FD1551" w:rsidRDefault="00BB5697" w:rsidP="00BB5697">
      <w:pPr>
        <w:spacing w:after="0" w:line="360" w:lineRule="auto"/>
        <w:jc w:val="both"/>
        <w:rPr>
          <w:rFonts w:ascii="Arial" w:hAnsi="Arial" w:cs="Arial"/>
        </w:rPr>
      </w:pPr>
    </w:p>
    <w:p w14:paraId="5D9FCB56" w14:textId="77777777" w:rsidR="00BB5697" w:rsidRPr="00FD1551" w:rsidRDefault="00BB5697" w:rsidP="00BB5697">
      <w:pPr>
        <w:tabs>
          <w:tab w:val="left" w:pos="1825"/>
        </w:tabs>
        <w:spacing w:after="0" w:line="360" w:lineRule="auto"/>
        <w:jc w:val="center"/>
        <w:rPr>
          <w:rFonts w:ascii="Arial" w:hAnsi="Arial"/>
          <w:b/>
        </w:rPr>
      </w:pPr>
      <w:r w:rsidRPr="00FD1551">
        <w:rPr>
          <w:rFonts w:ascii="Arial" w:hAnsi="Arial"/>
          <w:b/>
        </w:rPr>
        <w:t>DECLARAÇÃO DE COMPATIBILIDADE DO</w:t>
      </w:r>
    </w:p>
    <w:p w14:paraId="56488FA3" w14:textId="77777777" w:rsidR="00BB5697" w:rsidRPr="00FD1551" w:rsidRDefault="00BB5697" w:rsidP="00BB5697">
      <w:pPr>
        <w:tabs>
          <w:tab w:val="left" w:pos="1825"/>
        </w:tabs>
        <w:spacing w:after="0" w:line="360" w:lineRule="auto"/>
        <w:jc w:val="center"/>
        <w:rPr>
          <w:rFonts w:ascii="Arial" w:hAnsi="Arial"/>
          <w:b/>
        </w:rPr>
      </w:pPr>
      <w:r w:rsidRPr="00FD1551">
        <w:rPr>
          <w:rFonts w:ascii="Arial" w:hAnsi="Arial"/>
          <w:b/>
        </w:rPr>
        <w:t>PLANO DE CUSTEIO E DO PLANO DE AMORTIZAÇÃO</w:t>
      </w:r>
    </w:p>
    <w:p w14:paraId="38BB418C" w14:textId="77777777" w:rsidR="00BB5697" w:rsidRPr="00FD1551" w:rsidRDefault="00BB5697" w:rsidP="00BB5697">
      <w:pPr>
        <w:tabs>
          <w:tab w:val="left" w:pos="1825"/>
          <w:tab w:val="left" w:pos="3315"/>
        </w:tabs>
        <w:spacing w:after="0" w:line="360" w:lineRule="auto"/>
        <w:jc w:val="both"/>
        <w:rPr>
          <w:rFonts w:ascii="Arial" w:hAnsi="Arial" w:cs="Arial"/>
          <w:b/>
          <w:sz w:val="28"/>
          <w:szCs w:val="28"/>
        </w:rPr>
      </w:pPr>
      <w:r w:rsidRPr="00FD1551">
        <w:rPr>
          <w:rFonts w:ascii="Arial" w:hAnsi="Arial" w:cs="Arial"/>
          <w:b/>
          <w:sz w:val="28"/>
          <w:szCs w:val="28"/>
        </w:rPr>
        <w:tab/>
      </w:r>
      <w:r w:rsidRPr="00FD1551">
        <w:rPr>
          <w:rFonts w:ascii="Arial" w:hAnsi="Arial" w:cs="Arial"/>
          <w:b/>
          <w:sz w:val="28"/>
          <w:szCs w:val="28"/>
        </w:rPr>
        <w:tab/>
      </w:r>
    </w:p>
    <w:p w14:paraId="02CE6FD4" w14:textId="77777777" w:rsidR="00BB5697" w:rsidRPr="00FD1551" w:rsidRDefault="00BB5697" w:rsidP="00BB5697">
      <w:pPr>
        <w:tabs>
          <w:tab w:val="left" w:pos="1825"/>
          <w:tab w:val="left" w:pos="3315"/>
        </w:tabs>
        <w:spacing w:after="0" w:line="360" w:lineRule="auto"/>
        <w:jc w:val="both"/>
        <w:rPr>
          <w:rFonts w:ascii="Arial" w:hAnsi="Arial" w:cs="Arial"/>
          <w:b/>
          <w:sz w:val="28"/>
          <w:szCs w:val="28"/>
        </w:rPr>
      </w:pPr>
    </w:p>
    <w:p w14:paraId="44A4D4EF" w14:textId="77777777" w:rsidR="00BB5697" w:rsidRPr="00FD1551" w:rsidRDefault="00BB5697" w:rsidP="00BB5697">
      <w:pPr>
        <w:spacing w:after="0" w:line="360" w:lineRule="auto"/>
        <w:jc w:val="both"/>
        <w:rPr>
          <w:rFonts w:ascii="Arial" w:hAnsi="Arial"/>
          <w:sz w:val="20"/>
          <w:szCs w:val="20"/>
        </w:rPr>
      </w:pPr>
      <w:r w:rsidRPr="00FD1551">
        <w:rPr>
          <w:rFonts w:ascii="Arial" w:hAnsi="Arial"/>
          <w:sz w:val="20"/>
          <w:szCs w:val="20"/>
        </w:rPr>
        <w:t xml:space="preserve">Declaro perante o Tribunal de Contas do Estado do Espírito Santo, que o </w:t>
      </w:r>
      <w:r w:rsidRPr="00FD1551">
        <w:rPr>
          <w:rFonts w:ascii="Arial" w:hAnsi="Arial"/>
          <w:b/>
          <w:sz w:val="20"/>
          <w:szCs w:val="20"/>
        </w:rPr>
        <w:t xml:space="preserve">plano de custeio </w:t>
      </w:r>
      <w:r w:rsidRPr="00FD1551">
        <w:rPr>
          <w:rFonts w:ascii="Arial" w:hAnsi="Arial"/>
          <w:sz w:val="20"/>
          <w:szCs w:val="20"/>
        </w:rPr>
        <w:t>do [RPPS]</w:t>
      </w:r>
      <w:r w:rsidRPr="00FD1551">
        <w:rPr>
          <w:rFonts w:ascii="Arial" w:hAnsi="Arial"/>
          <w:b/>
          <w:sz w:val="20"/>
          <w:szCs w:val="20"/>
        </w:rPr>
        <w:t xml:space="preserve">, </w:t>
      </w:r>
      <w:r w:rsidRPr="00FD1551">
        <w:rPr>
          <w:rFonts w:ascii="Arial" w:hAnsi="Arial"/>
          <w:sz w:val="20"/>
          <w:szCs w:val="20"/>
        </w:rPr>
        <w:t>estabelecido por meio da</w:t>
      </w:r>
      <w:r w:rsidRPr="00FD1551">
        <w:rPr>
          <w:rFonts w:ascii="Arial" w:hAnsi="Arial"/>
          <w:b/>
          <w:sz w:val="20"/>
          <w:szCs w:val="20"/>
        </w:rPr>
        <w:t xml:space="preserve"> [legislação]</w:t>
      </w:r>
      <w:r w:rsidRPr="00FD1551">
        <w:rPr>
          <w:rFonts w:ascii="Arial" w:hAnsi="Arial"/>
          <w:sz w:val="20"/>
          <w:szCs w:val="20"/>
        </w:rPr>
        <w:t xml:space="preserve"> e vigente no exercício [de competência da prestação de Contas] está compatível com as alíquotas sugeridas pelo parecer do atuário inserto na avaliação atuarial de [exercício], estudo esse posicionado com dados em [data-base] e com data de cálculo referenciado em [data do cálculo].</w:t>
      </w:r>
    </w:p>
    <w:p w14:paraId="0289A228" w14:textId="77777777" w:rsidR="00BB5697" w:rsidRPr="00FD1551" w:rsidRDefault="00BB5697" w:rsidP="00BB5697">
      <w:pPr>
        <w:spacing w:after="0" w:line="360" w:lineRule="auto"/>
        <w:jc w:val="both"/>
        <w:rPr>
          <w:rFonts w:ascii="Arial" w:hAnsi="Arial"/>
          <w:sz w:val="20"/>
          <w:szCs w:val="20"/>
        </w:rPr>
      </w:pPr>
    </w:p>
    <w:p w14:paraId="751E8E07" w14:textId="77777777" w:rsidR="00BB5697" w:rsidRPr="00FD1551" w:rsidRDefault="00BB5697" w:rsidP="00BB5697">
      <w:pPr>
        <w:spacing w:after="0" w:line="360" w:lineRule="auto"/>
        <w:jc w:val="both"/>
        <w:rPr>
          <w:rFonts w:ascii="Arial" w:hAnsi="Arial"/>
          <w:sz w:val="20"/>
          <w:szCs w:val="20"/>
        </w:rPr>
      </w:pPr>
      <w:r w:rsidRPr="00FD1551">
        <w:rPr>
          <w:rFonts w:ascii="Arial" w:hAnsi="Arial"/>
          <w:sz w:val="20"/>
          <w:szCs w:val="20"/>
        </w:rPr>
        <w:t xml:space="preserve">Declaro ainda, que o </w:t>
      </w:r>
      <w:r w:rsidRPr="00FD1551">
        <w:rPr>
          <w:rFonts w:ascii="Arial" w:hAnsi="Arial"/>
          <w:b/>
          <w:sz w:val="20"/>
          <w:szCs w:val="20"/>
        </w:rPr>
        <w:t>plano de amortização do déficit atuarial</w:t>
      </w:r>
      <w:r w:rsidRPr="00FD1551">
        <w:rPr>
          <w:rFonts w:ascii="Arial" w:hAnsi="Arial"/>
          <w:sz w:val="20"/>
          <w:szCs w:val="20"/>
        </w:rPr>
        <w:t xml:space="preserve"> estabelecido por meio da</w:t>
      </w:r>
      <w:r w:rsidRPr="00FD1551">
        <w:rPr>
          <w:rFonts w:ascii="Arial" w:hAnsi="Arial"/>
          <w:b/>
          <w:sz w:val="20"/>
          <w:szCs w:val="20"/>
        </w:rPr>
        <w:t xml:space="preserve"> [legislação]</w:t>
      </w:r>
      <w:r w:rsidRPr="00FD1551">
        <w:rPr>
          <w:rFonts w:ascii="Arial" w:hAnsi="Arial"/>
          <w:sz w:val="20"/>
          <w:szCs w:val="20"/>
        </w:rPr>
        <w:t xml:space="preserve"> e vigente no exercício [de competência da prestação de Contas] está compatível com o parecer do atuário inserto na avaliação atuarial de [exercício], estudo esse posicionado com dados em [data-base] e com data de cálculo referenciado em [data do cálculo] e evidenciou um déficit atuarial de R$ [demonstrar montante do déficit]. </w:t>
      </w:r>
    </w:p>
    <w:p w14:paraId="303B96E9" w14:textId="77777777" w:rsidR="00BB5697" w:rsidRPr="00FD1551" w:rsidRDefault="00BB5697" w:rsidP="00BB5697">
      <w:pPr>
        <w:spacing w:after="0" w:line="360" w:lineRule="auto"/>
        <w:jc w:val="both"/>
        <w:rPr>
          <w:rFonts w:ascii="Arial" w:hAnsi="Arial"/>
          <w:sz w:val="20"/>
          <w:szCs w:val="20"/>
        </w:rPr>
      </w:pPr>
    </w:p>
    <w:p w14:paraId="7919367E" w14:textId="77777777" w:rsidR="00BB5697" w:rsidRPr="00FD1551" w:rsidRDefault="00BB5697" w:rsidP="00BB5697">
      <w:pPr>
        <w:spacing w:after="0"/>
        <w:jc w:val="both"/>
        <w:rPr>
          <w:rFonts w:ascii="Arial" w:hAnsi="Arial"/>
          <w:sz w:val="20"/>
          <w:szCs w:val="20"/>
        </w:rPr>
      </w:pPr>
      <w:r w:rsidRPr="00FD1551">
        <w:rPr>
          <w:rFonts w:ascii="Arial" w:hAnsi="Arial"/>
          <w:sz w:val="20"/>
          <w:szCs w:val="20"/>
        </w:rPr>
        <w:t>[No caso de não adoção das medidas sugeridas pelo atuário</w:t>
      </w:r>
      <w:r w:rsidRPr="00FD1551">
        <w:rPr>
          <w:rFonts w:ascii="Arial" w:hAnsi="Arial"/>
          <w:sz w:val="20"/>
          <w:szCs w:val="20"/>
          <w:vertAlign w:val="superscript"/>
        </w:rPr>
        <w:footnoteReference w:id="47"/>
      </w:r>
      <w:r w:rsidRPr="00FD1551">
        <w:rPr>
          <w:rFonts w:ascii="Arial" w:hAnsi="Arial"/>
          <w:sz w:val="20"/>
          <w:szCs w:val="20"/>
        </w:rPr>
        <w:t xml:space="preserve"> constante no último Relatório da Avaliação Atuarial</w:t>
      </w:r>
      <w:r w:rsidRPr="00FD1551">
        <w:rPr>
          <w:rFonts w:ascii="Arial" w:hAnsi="Arial"/>
          <w:sz w:val="20"/>
          <w:szCs w:val="20"/>
          <w:vertAlign w:val="superscript"/>
        </w:rPr>
        <w:footnoteReference w:id="48"/>
      </w:r>
      <w:r w:rsidRPr="00FD1551">
        <w:rPr>
          <w:rFonts w:ascii="Arial" w:hAnsi="Arial"/>
          <w:sz w:val="20"/>
          <w:szCs w:val="20"/>
        </w:rPr>
        <w:t xml:space="preserve"> realizado pelo RPPS, apresentar toda a documentação encaminhada ao Chefe do Poder Executivo Municipal demonstrando que todas as medidas em alcance do Gestor do RPPS foram tomadas].</w:t>
      </w:r>
    </w:p>
    <w:p w14:paraId="574C7569" w14:textId="77777777" w:rsidR="00BB5697" w:rsidRPr="00FD1551" w:rsidRDefault="00BB5697" w:rsidP="00BB5697">
      <w:pPr>
        <w:spacing w:after="0" w:line="360" w:lineRule="auto"/>
        <w:jc w:val="both"/>
        <w:rPr>
          <w:rFonts w:ascii="Arial" w:hAnsi="Arial"/>
          <w:sz w:val="20"/>
          <w:szCs w:val="20"/>
        </w:rPr>
      </w:pPr>
    </w:p>
    <w:p w14:paraId="2B411DE1" w14:textId="77777777" w:rsidR="00BB5697" w:rsidRPr="00FD1551" w:rsidRDefault="00BB5697" w:rsidP="00BB5697">
      <w:pPr>
        <w:spacing w:after="0" w:line="360" w:lineRule="auto"/>
        <w:jc w:val="both"/>
        <w:rPr>
          <w:rFonts w:ascii="Arial" w:hAnsi="Arial"/>
          <w:sz w:val="20"/>
          <w:szCs w:val="20"/>
        </w:rPr>
      </w:pPr>
    </w:p>
    <w:p w14:paraId="7C240751" w14:textId="77777777" w:rsidR="00BB5697" w:rsidRPr="00FD1551" w:rsidRDefault="00BB5697" w:rsidP="00BB5697">
      <w:pPr>
        <w:spacing w:after="0" w:line="360" w:lineRule="auto"/>
        <w:jc w:val="both"/>
        <w:rPr>
          <w:rFonts w:ascii="Arial" w:hAnsi="Arial"/>
          <w:sz w:val="20"/>
          <w:szCs w:val="20"/>
        </w:rPr>
      </w:pPr>
    </w:p>
    <w:p w14:paraId="0D39B2AD" w14:textId="77777777" w:rsidR="00BB5697" w:rsidRPr="00FD1551" w:rsidRDefault="00BB5697" w:rsidP="00BB5697">
      <w:pPr>
        <w:spacing w:after="0" w:line="360" w:lineRule="auto"/>
        <w:jc w:val="both"/>
        <w:rPr>
          <w:rFonts w:ascii="Arial" w:hAnsi="Arial"/>
          <w:sz w:val="20"/>
          <w:szCs w:val="20"/>
        </w:rPr>
      </w:pPr>
      <w:r w:rsidRPr="00FD1551">
        <w:rPr>
          <w:rFonts w:ascii="Arial" w:hAnsi="Arial"/>
          <w:sz w:val="20"/>
          <w:szCs w:val="20"/>
        </w:rPr>
        <w:t>Município/ES,  __ / dezembro / [exercício de competência da pca]</w:t>
      </w:r>
    </w:p>
    <w:p w14:paraId="79886140" w14:textId="77777777" w:rsidR="00BB5697" w:rsidRPr="00FD1551" w:rsidRDefault="00BB5697" w:rsidP="00BB5697">
      <w:pPr>
        <w:spacing w:after="0" w:line="360" w:lineRule="auto"/>
        <w:jc w:val="both"/>
        <w:rPr>
          <w:rFonts w:ascii="Arial" w:hAnsi="Arial"/>
          <w:sz w:val="20"/>
          <w:szCs w:val="20"/>
        </w:rPr>
      </w:pPr>
    </w:p>
    <w:p w14:paraId="0007BC41" w14:textId="77777777" w:rsidR="00BB5697" w:rsidRPr="00FD1551" w:rsidRDefault="00BB5697" w:rsidP="00BB5697">
      <w:pPr>
        <w:spacing w:after="0" w:line="360" w:lineRule="auto"/>
        <w:jc w:val="both"/>
        <w:rPr>
          <w:rFonts w:ascii="Arial" w:hAnsi="Arial"/>
          <w:sz w:val="20"/>
          <w:szCs w:val="20"/>
        </w:rPr>
      </w:pPr>
    </w:p>
    <w:p w14:paraId="43CDC196" w14:textId="77777777" w:rsidR="00BB5697" w:rsidRPr="00FD1551" w:rsidRDefault="00BB5697" w:rsidP="00BB5697">
      <w:pPr>
        <w:spacing w:after="0" w:line="360" w:lineRule="auto"/>
        <w:jc w:val="both"/>
        <w:rPr>
          <w:rFonts w:ascii="Arial" w:hAnsi="Arial"/>
          <w:sz w:val="20"/>
          <w:szCs w:val="20"/>
        </w:rPr>
      </w:pPr>
    </w:p>
    <w:p w14:paraId="47886545" w14:textId="77777777" w:rsidR="00BB5697" w:rsidRPr="00FD1551" w:rsidRDefault="00BB5697" w:rsidP="00BB5697">
      <w:pPr>
        <w:spacing w:after="0" w:line="360" w:lineRule="auto"/>
        <w:jc w:val="center"/>
        <w:rPr>
          <w:rFonts w:ascii="Arial" w:hAnsi="Arial"/>
          <w:sz w:val="20"/>
          <w:szCs w:val="20"/>
        </w:rPr>
      </w:pPr>
      <w:r w:rsidRPr="00FD1551">
        <w:rPr>
          <w:rFonts w:ascii="Arial" w:hAnsi="Arial"/>
          <w:sz w:val="20"/>
          <w:szCs w:val="20"/>
        </w:rPr>
        <w:t>__________________________</w:t>
      </w:r>
    </w:p>
    <w:p w14:paraId="56A1DE02" w14:textId="77777777" w:rsidR="00BB5697" w:rsidRPr="00FD1551" w:rsidRDefault="00BB5697" w:rsidP="00BB5697">
      <w:pPr>
        <w:spacing w:after="0" w:line="360" w:lineRule="auto"/>
        <w:jc w:val="center"/>
        <w:rPr>
          <w:rFonts w:ascii="Times New Roman" w:hAnsi="Times New Roman" w:cs="Times New Roman"/>
          <w:sz w:val="20"/>
          <w:szCs w:val="20"/>
          <w:lang w:eastAsia="pt-BR"/>
        </w:rPr>
      </w:pPr>
      <w:r w:rsidRPr="00FD1551">
        <w:rPr>
          <w:rFonts w:ascii="Arial" w:hAnsi="Arial"/>
          <w:sz w:val="20"/>
          <w:szCs w:val="20"/>
        </w:rPr>
        <w:t>Assinatura do Gestor do RPPS</w:t>
      </w:r>
    </w:p>
    <w:p w14:paraId="1ACED9AE" w14:textId="77777777" w:rsidR="00BB5697" w:rsidRPr="00FD1551" w:rsidRDefault="00BB5697" w:rsidP="00BB5697">
      <w:pPr>
        <w:spacing w:after="0" w:line="360" w:lineRule="auto"/>
        <w:jc w:val="center"/>
        <w:rPr>
          <w:rFonts w:ascii="Arial" w:hAnsi="Arial" w:cs="Arial"/>
          <w:b/>
          <w:sz w:val="20"/>
          <w:szCs w:val="20"/>
        </w:rPr>
      </w:pPr>
    </w:p>
    <w:p w14:paraId="0C81B1B8" w14:textId="77777777" w:rsidR="00BB5697" w:rsidRPr="00FD1551" w:rsidRDefault="00BB5697" w:rsidP="00BB5697">
      <w:pPr>
        <w:rPr>
          <w:rFonts w:ascii="Arial" w:hAnsi="Arial" w:cs="Arial"/>
          <w:b/>
          <w:sz w:val="20"/>
          <w:szCs w:val="20"/>
        </w:rPr>
      </w:pPr>
      <w:r w:rsidRPr="00FD1551">
        <w:rPr>
          <w:rFonts w:ascii="Arial" w:hAnsi="Arial" w:cs="Arial"/>
          <w:b/>
          <w:sz w:val="20"/>
          <w:szCs w:val="20"/>
        </w:rPr>
        <w:br w:type="page"/>
      </w:r>
    </w:p>
    <w:p w14:paraId="668B9A96" w14:textId="12F49385" w:rsidR="00BB5697" w:rsidRPr="005A701A" w:rsidRDefault="00743BDB" w:rsidP="00743BDB">
      <w:pPr>
        <w:pStyle w:val="Ttulo3"/>
      </w:pPr>
      <w:bookmarkStart w:id="91" w:name="_Toc94806363"/>
      <w:r>
        <w:rPr>
          <w:lang w:val="pt-BR"/>
        </w:rPr>
        <w:lastRenderedPageBreak/>
        <w:t>RELACI</w:t>
      </w:r>
      <w:bookmarkEnd w:id="91"/>
    </w:p>
    <w:p w14:paraId="14B655EB" w14:textId="77777777" w:rsidR="00BB5697" w:rsidRPr="00FD1551" w:rsidRDefault="00BB5697" w:rsidP="00BB5697">
      <w:pPr>
        <w:spacing w:after="0" w:line="360" w:lineRule="auto"/>
        <w:jc w:val="center"/>
        <w:rPr>
          <w:rFonts w:ascii="Arial" w:hAnsi="Arial" w:cs="Arial"/>
          <w:b/>
          <w:sz w:val="18"/>
          <w:szCs w:val="28"/>
        </w:rPr>
      </w:pPr>
    </w:p>
    <w:p w14:paraId="320AE1A7" w14:textId="77777777" w:rsidR="00BB5697" w:rsidRPr="00EB5878" w:rsidRDefault="00BB5697" w:rsidP="00BB5697">
      <w:pPr>
        <w:widowControl w:val="0"/>
        <w:spacing w:after="0" w:line="240" w:lineRule="auto"/>
        <w:ind w:right="-142"/>
        <w:jc w:val="center"/>
        <w:rPr>
          <w:rFonts w:ascii="Arial" w:eastAsia="Calibri" w:hAnsi="Arial" w:cs="Arial"/>
          <w:b/>
        </w:rPr>
      </w:pPr>
      <w:r w:rsidRPr="00EB5878">
        <w:rPr>
          <w:rFonts w:ascii="Arial" w:eastAsia="Calibri" w:hAnsi="Arial" w:cs="Arial"/>
          <w:b/>
        </w:rPr>
        <w:t>(MODELO SUGERIDO PARA O RELATÓRIO DE ATIVIDADES DO ÓRGÃO CENTRAL DE CONTROLE INTERNO)</w:t>
      </w:r>
    </w:p>
    <w:p w14:paraId="667F8FDE" w14:textId="77777777" w:rsidR="00BB5697" w:rsidRPr="00EB5878" w:rsidRDefault="00BB5697" w:rsidP="00BB5697">
      <w:pPr>
        <w:widowControl w:val="0"/>
        <w:spacing w:after="0" w:line="240" w:lineRule="auto"/>
        <w:ind w:right="-142"/>
        <w:jc w:val="center"/>
        <w:rPr>
          <w:rFonts w:ascii="Arial" w:eastAsia="Calibri" w:hAnsi="Arial" w:cs="Arial"/>
        </w:rPr>
      </w:pPr>
    </w:p>
    <w:p w14:paraId="46BF2D70" w14:textId="77777777" w:rsidR="00BB5697" w:rsidRPr="00EB5878" w:rsidRDefault="00BB5697" w:rsidP="00BB5697">
      <w:pPr>
        <w:widowControl w:val="0"/>
        <w:spacing w:after="0" w:line="240" w:lineRule="auto"/>
        <w:ind w:right="-142"/>
        <w:jc w:val="center"/>
        <w:rPr>
          <w:rFonts w:ascii="Arial" w:eastAsia="Calibri" w:hAnsi="Arial" w:cs="Arial"/>
        </w:rPr>
      </w:pPr>
    </w:p>
    <w:p w14:paraId="2F3EE9D8" w14:textId="77777777" w:rsidR="00BB5697" w:rsidRPr="00EB5878" w:rsidRDefault="00BB5697" w:rsidP="00BB5697">
      <w:pPr>
        <w:widowControl w:val="0"/>
        <w:spacing w:after="0" w:line="240" w:lineRule="auto"/>
        <w:ind w:right="-142"/>
        <w:jc w:val="center"/>
        <w:rPr>
          <w:rFonts w:ascii="Arial" w:eastAsia="Calibri" w:hAnsi="Arial" w:cs="Arial"/>
          <w:i/>
        </w:rPr>
      </w:pPr>
      <w:r w:rsidRPr="00EB5878">
        <w:rPr>
          <w:rFonts w:ascii="Arial" w:eastAsia="Calibri" w:hAnsi="Arial" w:cs="Arial"/>
          <w:i/>
        </w:rPr>
        <w:t>[o texto apresentado entre colchetes “[ ]” deve ser removido do documento a ser encaminhado na prestação de contas]</w:t>
      </w:r>
    </w:p>
    <w:p w14:paraId="1B9DDA3D" w14:textId="77777777" w:rsidR="00BB5697" w:rsidRPr="00EB5878" w:rsidRDefault="00BB5697" w:rsidP="00BB5697">
      <w:pPr>
        <w:widowControl w:val="0"/>
        <w:spacing w:after="0" w:line="360" w:lineRule="auto"/>
        <w:jc w:val="center"/>
        <w:rPr>
          <w:rFonts w:ascii="Arial" w:eastAsia="Calibri" w:hAnsi="Arial" w:cs="Arial"/>
          <w:b/>
        </w:rPr>
      </w:pPr>
    </w:p>
    <w:p w14:paraId="11CA16AD" w14:textId="77777777" w:rsidR="00BB5697" w:rsidRPr="00EB5878" w:rsidRDefault="00BB5697" w:rsidP="00BB5697">
      <w:pPr>
        <w:widowControl w:val="0"/>
        <w:spacing w:after="0" w:line="360" w:lineRule="auto"/>
        <w:jc w:val="center"/>
        <w:rPr>
          <w:rFonts w:ascii="Arial" w:eastAsia="Calibri" w:hAnsi="Arial" w:cs="Arial"/>
          <w:b/>
        </w:rPr>
      </w:pPr>
      <w:r w:rsidRPr="00EB5878">
        <w:rPr>
          <w:rFonts w:ascii="Arial" w:eastAsia="Calibri" w:hAnsi="Arial" w:cs="Arial"/>
          <w:b/>
        </w:rPr>
        <w:t>RELATÓRIO DE ATIVIDADES DO ÓRGÃO CENTRAL DE CONTROLE INTERNO</w:t>
      </w:r>
      <w:r w:rsidRPr="00EB5878">
        <w:rPr>
          <w:rFonts w:ascii="Arial" w:eastAsia="Calibri" w:hAnsi="Arial" w:cs="Arial"/>
          <w:b/>
          <w:vertAlign w:val="superscript"/>
          <w:lang w:val="en-US"/>
        </w:rPr>
        <w:footnoteReference w:id="49"/>
      </w:r>
    </w:p>
    <w:p w14:paraId="10D4AD63" w14:textId="77777777" w:rsidR="00BB5697" w:rsidRPr="00EB5878" w:rsidRDefault="00BB5697" w:rsidP="00BB5697">
      <w:pPr>
        <w:widowControl w:val="0"/>
        <w:spacing w:after="0" w:line="360" w:lineRule="auto"/>
        <w:jc w:val="both"/>
        <w:rPr>
          <w:rFonts w:ascii="Arial" w:eastAsia="Calibri" w:hAnsi="Arial" w:cs="Arial"/>
          <w:color w:val="00B050"/>
        </w:rPr>
      </w:pPr>
    </w:p>
    <w:p w14:paraId="4A0C6DD4" w14:textId="77777777" w:rsidR="00BB5697" w:rsidRPr="00EB5878" w:rsidRDefault="00BB5697" w:rsidP="00BB5697">
      <w:pPr>
        <w:widowControl w:val="0"/>
        <w:spacing w:after="0" w:line="360" w:lineRule="auto"/>
        <w:jc w:val="both"/>
        <w:rPr>
          <w:rFonts w:ascii="Arial" w:eastAsia="Calibri" w:hAnsi="Arial" w:cs="Arial"/>
        </w:rPr>
      </w:pPr>
      <w:r w:rsidRPr="00EB5878">
        <w:rPr>
          <w:rFonts w:ascii="Arial" w:eastAsia="Calibri" w:hAnsi="Arial" w:cs="Arial"/>
          <w:b/>
        </w:rPr>
        <w:t>Emitente:</w:t>
      </w:r>
      <w:r w:rsidRPr="00EB5878">
        <w:rPr>
          <w:rFonts w:ascii="Arial" w:eastAsia="Calibri" w:hAnsi="Arial" w:cs="Arial"/>
        </w:rPr>
        <w:t xml:space="preserve"> </w:t>
      </w:r>
      <w:r w:rsidRPr="00EB5878">
        <w:rPr>
          <w:rFonts w:ascii="Arial" w:eastAsia="Calibri" w:hAnsi="Arial" w:cs="Arial"/>
          <w:i/>
        </w:rPr>
        <w:t>identificar a unidades de controle interno</w:t>
      </w:r>
    </w:p>
    <w:p w14:paraId="59DE4710" w14:textId="77777777" w:rsidR="00BB5697" w:rsidRPr="00EB5878" w:rsidRDefault="00BB5697" w:rsidP="00BB5697">
      <w:pPr>
        <w:widowControl w:val="0"/>
        <w:spacing w:after="0" w:line="360" w:lineRule="auto"/>
        <w:jc w:val="both"/>
        <w:rPr>
          <w:rFonts w:ascii="Arial" w:eastAsia="Calibri" w:hAnsi="Arial" w:cs="Arial"/>
          <w:i/>
        </w:rPr>
      </w:pPr>
      <w:r w:rsidRPr="00EB5878">
        <w:rPr>
          <w:rFonts w:ascii="Arial" w:eastAsia="Calibri" w:hAnsi="Arial" w:cs="Arial"/>
          <w:b/>
        </w:rPr>
        <w:t>Unidade Gestora:</w:t>
      </w:r>
      <w:r w:rsidRPr="00EB5878">
        <w:rPr>
          <w:rFonts w:ascii="Arial" w:eastAsia="Calibri" w:hAnsi="Arial" w:cs="Arial"/>
        </w:rPr>
        <w:t xml:space="preserve"> </w:t>
      </w:r>
      <w:r w:rsidRPr="00EB5878">
        <w:rPr>
          <w:rFonts w:ascii="Arial" w:eastAsia="Calibri" w:hAnsi="Arial" w:cs="Arial"/>
          <w:i/>
        </w:rPr>
        <w:t>Identificar a unidade gestora</w:t>
      </w:r>
    </w:p>
    <w:p w14:paraId="3F5923FA" w14:textId="77777777" w:rsidR="00BB5697" w:rsidRPr="00EB5878" w:rsidRDefault="00BB5697" w:rsidP="00BB5697">
      <w:pPr>
        <w:widowControl w:val="0"/>
        <w:spacing w:after="0" w:line="360" w:lineRule="auto"/>
        <w:jc w:val="both"/>
        <w:rPr>
          <w:rFonts w:ascii="Arial" w:eastAsia="Calibri" w:hAnsi="Arial" w:cs="Arial"/>
          <w:i/>
        </w:rPr>
      </w:pPr>
      <w:r w:rsidRPr="00EB5878">
        <w:rPr>
          <w:rFonts w:ascii="Arial" w:eastAsia="Calibri" w:hAnsi="Arial" w:cs="Arial"/>
          <w:b/>
        </w:rPr>
        <w:t>Gestor responsável:</w:t>
      </w:r>
      <w:r w:rsidRPr="00EB5878">
        <w:rPr>
          <w:rFonts w:ascii="Arial" w:eastAsia="Calibri" w:hAnsi="Arial" w:cs="Arial"/>
        </w:rPr>
        <w:t xml:space="preserve"> </w:t>
      </w:r>
      <w:r w:rsidRPr="00EB5878">
        <w:rPr>
          <w:rFonts w:ascii="Arial" w:eastAsia="Calibri" w:hAnsi="Arial" w:cs="Arial"/>
          <w:i/>
        </w:rPr>
        <w:t>identificação dos gestores responsáveis pela execução orçamentária no exercício a que se refere a prestação de contas</w:t>
      </w:r>
    </w:p>
    <w:p w14:paraId="59C60EA0" w14:textId="77777777" w:rsidR="00BB5697" w:rsidRPr="00EB5878" w:rsidRDefault="00BB5697" w:rsidP="00BB5697">
      <w:pPr>
        <w:widowControl w:val="0"/>
        <w:spacing w:after="0" w:line="360" w:lineRule="auto"/>
        <w:jc w:val="both"/>
        <w:rPr>
          <w:rFonts w:ascii="Arial" w:eastAsia="Calibri" w:hAnsi="Arial" w:cs="Arial"/>
          <w:i/>
        </w:rPr>
      </w:pPr>
      <w:r w:rsidRPr="00EB5878">
        <w:rPr>
          <w:rFonts w:ascii="Arial" w:eastAsia="Calibri" w:hAnsi="Arial" w:cs="Arial"/>
          <w:b/>
        </w:rPr>
        <w:t>Exercício:</w:t>
      </w:r>
      <w:r w:rsidRPr="00EB5878">
        <w:rPr>
          <w:rFonts w:ascii="Arial" w:eastAsia="Calibri" w:hAnsi="Arial" w:cs="Arial"/>
        </w:rPr>
        <w:t xml:space="preserve"> </w:t>
      </w:r>
      <w:r w:rsidRPr="00EB5878">
        <w:rPr>
          <w:rFonts w:ascii="Arial" w:eastAsia="Calibri" w:hAnsi="Arial" w:cs="Arial"/>
          <w:i/>
        </w:rPr>
        <w:t>exercício que se refere a prestação de contas</w:t>
      </w:r>
    </w:p>
    <w:p w14:paraId="1E2C040B" w14:textId="77777777" w:rsidR="00BB5697" w:rsidRPr="00EB5878" w:rsidRDefault="00BB5697" w:rsidP="00BB5697">
      <w:pPr>
        <w:widowControl w:val="0"/>
        <w:spacing w:after="0" w:line="360" w:lineRule="auto"/>
        <w:jc w:val="both"/>
        <w:rPr>
          <w:rFonts w:ascii="Arial" w:eastAsia="Calibri" w:hAnsi="Arial" w:cs="Arial"/>
          <w:color w:val="00B050"/>
        </w:rPr>
      </w:pPr>
    </w:p>
    <w:p w14:paraId="19A3CD66" w14:textId="77777777" w:rsidR="00BB5697" w:rsidRPr="00EB5878" w:rsidRDefault="00BB5697" w:rsidP="00BB5697">
      <w:pPr>
        <w:widowControl w:val="0"/>
        <w:spacing w:after="0" w:line="360" w:lineRule="auto"/>
        <w:jc w:val="both"/>
        <w:rPr>
          <w:rFonts w:ascii="Arial" w:eastAsia="Calibri" w:hAnsi="Arial" w:cs="Arial"/>
          <w:b/>
        </w:rPr>
      </w:pPr>
      <w:r w:rsidRPr="00EB5878">
        <w:rPr>
          <w:rFonts w:ascii="Arial" w:eastAsia="Calibri" w:hAnsi="Arial" w:cs="Arial"/>
          <w:b/>
        </w:rPr>
        <w:t>1. Introdução</w:t>
      </w:r>
    </w:p>
    <w:p w14:paraId="3C0B8CC2" w14:textId="77777777" w:rsidR="00BB5697" w:rsidRPr="00EB5878" w:rsidRDefault="00BB5697" w:rsidP="00BB5697">
      <w:pPr>
        <w:widowControl w:val="0"/>
        <w:spacing w:after="0" w:line="360" w:lineRule="auto"/>
        <w:jc w:val="both"/>
        <w:rPr>
          <w:rFonts w:ascii="Arial" w:eastAsia="Calibri" w:hAnsi="Arial" w:cs="Arial"/>
        </w:rPr>
      </w:pPr>
    </w:p>
    <w:p w14:paraId="2223CBFD" w14:textId="77777777" w:rsidR="00BB5697" w:rsidRPr="00EB5878" w:rsidRDefault="00BB5697" w:rsidP="00BB5697">
      <w:pPr>
        <w:widowControl w:val="0"/>
        <w:spacing w:after="0" w:line="360" w:lineRule="auto"/>
        <w:jc w:val="both"/>
        <w:rPr>
          <w:rFonts w:ascii="Arial" w:eastAsia="Calibri" w:hAnsi="Arial" w:cs="Arial"/>
          <w:i/>
        </w:rPr>
      </w:pPr>
      <w:r w:rsidRPr="00EB5878">
        <w:rPr>
          <w:rFonts w:ascii="Arial" w:eastAsia="Calibri" w:hAnsi="Arial" w:cs="Arial"/>
          <w:i/>
        </w:rPr>
        <w:t>[Relatar acerca do planejamento anual de atividades do controle interno (</w:t>
      </w:r>
      <w:r w:rsidRPr="00EB5878">
        <w:rPr>
          <w:rFonts w:ascii="Arial" w:eastAsia="Calibri" w:hAnsi="Arial" w:cs="Arial"/>
          <w:b/>
          <w:i/>
        </w:rPr>
        <w:t xml:space="preserve">Plano Anual de </w:t>
      </w:r>
      <w:r w:rsidRPr="00EB5878">
        <w:rPr>
          <w:rFonts w:ascii="Arial" w:eastAsia="Calibri" w:hAnsi="Arial" w:cs="Arial"/>
          <w:b/>
          <w:i/>
          <w:u w:val="single"/>
        </w:rPr>
        <w:t>Auditorias Internas - PAAI</w:t>
      </w:r>
      <w:r w:rsidRPr="00EB5878">
        <w:rPr>
          <w:rFonts w:ascii="Arial" w:eastAsia="Calibri" w:hAnsi="Arial" w:cs="Arial"/>
          <w:b/>
          <w:i/>
          <w:u w:val="single"/>
          <w:vertAlign w:val="superscript"/>
          <w:lang w:val="en-US"/>
        </w:rPr>
        <w:footnoteReference w:id="50"/>
      </w:r>
      <w:r w:rsidRPr="00EB5878">
        <w:rPr>
          <w:rFonts w:ascii="Arial" w:eastAsia="Calibri" w:hAnsi="Arial" w:cs="Arial"/>
          <w:i/>
        </w:rPr>
        <w:t xml:space="preserve">) e as atividades selecionadas para avaliação na Unidade Gestora a que se refere este relatório. </w:t>
      </w:r>
      <w:r>
        <w:rPr>
          <w:rFonts w:ascii="Arial" w:eastAsia="Calibri" w:hAnsi="Arial" w:cs="Arial"/>
          <w:i/>
        </w:rPr>
        <w:t>A Tabela Referencial 1</w:t>
      </w:r>
      <w:r w:rsidRPr="00EB5878">
        <w:rPr>
          <w:rFonts w:ascii="Arial" w:eastAsia="Calibri" w:hAnsi="Arial" w:cs="Arial"/>
          <w:i/>
          <w:color w:val="FF0000"/>
        </w:rPr>
        <w:t xml:space="preserve"> </w:t>
      </w:r>
      <w:r w:rsidRPr="00EB5878">
        <w:rPr>
          <w:rFonts w:ascii="Arial" w:eastAsia="Calibri" w:hAnsi="Arial" w:cs="Arial"/>
          <w:i/>
        </w:rPr>
        <w:t xml:space="preserve">elenca objetos passiveis de serem planejados. Transportar para a tabela que segue os objetos constantes </w:t>
      </w:r>
      <w:r>
        <w:rPr>
          <w:rFonts w:ascii="Arial" w:eastAsia="Calibri" w:hAnsi="Arial" w:cs="Arial"/>
          <w:i/>
        </w:rPr>
        <w:t>da Tabela Referencial 1,</w:t>
      </w:r>
      <w:r w:rsidRPr="00EB5878">
        <w:rPr>
          <w:rFonts w:ascii="Arial" w:eastAsia="Calibri" w:hAnsi="Arial" w:cs="Arial"/>
          <w:i/>
          <w:color w:val="FF0000"/>
        </w:rPr>
        <w:t xml:space="preserve"> </w:t>
      </w:r>
      <w:r w:rsidRPr="00EB5878">
        <w:rPr>
          <w:rFonts w:ascii="Arial" w:eastAsia="Calibri" w:hAnsi="Arial" w:cs="Arial"/>
          <w:i/>
        </w:rPr>
        <w:t>selecionados para avaliação na UG, bem como os demais itens auditados ou avaliados pelo Controle Interno]</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7"/>
        <w:gridCol w:w="1221"/>
        <w:gridCol w:w="1426"/>
        <w:gridCol w:w="599"/>
        <w:gridCol w:w="1627"/>
        <w:gridCol w:w="1659"/>
        <w:gridCol w:w="1552"/>
      </w:tblGrid>
      <w:tr w:rsidR="00BB5697" w:rsidRPr="00EB5878" w14:paraId="22C77D5A" w14:textId="77777777" w:rsidTr="00BF7C4A">
        <w:tc>
          <w:tcPr>
            <w:tcW w:w="423" w:type="pct"/>
            <w:vAlign w:val="center"/>
          </w:tcPr>
          <w:p w14:paraId="525576C3" w14:textId="77777777" w:rsidR="00BB5697" w:rsidRPr="00EB5878" w:rsidRDefault="00BB5697" w:rsidP="00BF7C4A">
            <w:pPr>
              <w:widowControl w:val="0"/>
              <w:autoSpaceDE w:val="0"/>
              <w:autoSpaceDN w:val="0"/>
              <w:adjustRightInd w:val="0"/>
              <w:spacing w:after="0" w:line="240" w:lineRule="auto"/>
              <w:jc w:val="center"/>
              <w:rPr>
                <w:rFonts w:ascii="Arial" w:eastAsia="Calibri" w:hAnsi="Arial" w:cs="Arial"/>
                <w:b/>
                <w:bCs/>
                <w:sz w:val="16"/>
                <w:szCs w:val="16"/>
                <w:lang w:val="en-US"/>
              </w:rPr>
            </w:pPr>
            <w:r w:rsidRPr="00EB5878">
              <w:rPr>
                <w:rFonts w:ascii="Arial" w:eastAsia="Calibri" w:hAnsi="Arial" w:cs="Arial"/>
                <w:b/>
                <w:bCs/>
                <w:sz w:val="16"/>
                <w:szCs w:val="16"/>
                <w:lang w:val="en-US"/>
              </w:rPr>
              <w:t>Código</w:t>
            </w:r>
          </w:p>
        </w:tc>
        <w:tc>
          <w:tcPr>
            <w:tcW w:w="673" w:type="pct"/>
            <w:shd w:val="clear" w:color="auto" w:fill="auto"/>
            <w:vAlign w:val="center"/>
          </w:tcPr>
          <w:p w14:paraId="33B9E61D" w14:textId="77777777" w:rsidR="00BB5697" w:rsidRPr="00EB5878" w:rsidRDefault="00BB5697" w:rsidP="00BF7C4A">
            <w:pPr>
              <w:widowControl w:val="0"/>
              <w:autoSpaceDE w:val="0"/>
              <w:autoSpaceDN w:val="0"/>
              <w:adjustRightInd w:val="0"/>
              <w:spacing w:after="0" w:line="240" w:lineRule="auto"/>
              <w:jc w:val="center"/>
              <w:rPr>
                <w:rFonts w:ascii="Arial" w:eastAsia="Calibri" w:hAnsi="Arial" w:cs="Arial"/>
                <w:b/>
                <w:bCs/>
                <w:sz w:val="16"/>
                <w:szCs w:val="16"/>
                <w:lang w:val="en-US"/>
              </w:rPr>
            </w:pPr>
            <w:r w:rsidRPr="00EB5878">
              <w:rPr>
                <w:rFonts w:ascii="Arial" w:eastAsia="Calibri" w:hAnsi="Arial" w:cs="Arial"/>
                <w:b/>
                <w:bCs/>
                <w:sz w:val="16"/>
                <w:szCs w:val="16"/>
                <w:lang w:val="en-US"/>
              </w:rPr>
              <w:t>Objeto/Ponto de controle</w:t>
            </w:r>
          </w:p>
        </w:tc>
        <w:tc>
          <w:tcPr>
            <w:tcW w:w="786" w:type="pct"/>
            <w:vAlign w:val="center"/>
          </w:tcPr>
          <w:p w14:paraId="7DBDC71D" w14:textId="77777777" w:rsidR="00BB5697" w:rsidRPr="00EB5878" w:rsidRDefault="00BB5697" w:rsidP="00BF7C4A">
            <w:pPr>
              <w:widowControl w:val="0"/>
              <w:autoSpaceDE w:val="0"/>
              <w:autoSpaceDN w:val="0"/>
              <w:adjustRightInd w:val="0"/>
              <w:spacing w:after="0" w:line="240" w:lineRule="auto"/>
              <w:jc w:val="center"/>
              <w:rPr>
                <w:rFonts w:ascii="Arial" w:eastAsia="Calibri" w:hAnsi="Arial" w:cs="Arial"/>
                <w:b/>
                <w:bCs/>
                <w:sz w:val="16"/>
                <w:szCs w:val="16"/>
                <w:lang w:val="en-US"/>
              </w:rPr>
            </w:pPr>
            <w:r w:rsidRPr="00EB5878">
              <w:rPr>
                <w:rFonts w:ascii="Arial" w:eastAsia="Calibri" w:hAnsi="Arial" w:cs="Arial"/>
                <w:b/>
                <w:bCs/>
                <w:sz w:val="16"/>
                <w:szCs w:val="16"/>
                <w:lang w:val="en-US"/>
              </w:rPr>
              <w:t>Processos Administrativos analisados</w:t>
            </w:r>
            <w:r w:rsidRPr="00EB5878">
              <w:rPr>
                <w:rFonts w:ascii="Arial" w:eastAsia="Calibri" w:hAnsi="Arial" w:cs="Arial"/>
                <w:b/>
                <w:bCs/>
                <w:sz w:val="16"/>
                <w:szCs w:val="16"/>
                <w:vertAlign w:val="superscript"/>
                <w:lang w:val="en-US"/>
              </w:rPr>
              <w:footnoteReference w:id="51"/>
            </w:r>
          </w:p>
        </w:tc>
        <w:tc>
          <w:tcPr>
            <w:tcW w:w="330" w:type="pct"/>
            <w:shd w:val="clear" w:color="auto" w:fill="auto"/>
            <w:vAlign w:val="center"/>
          </w:tcPr>
          <w:p w14:paraId="748CA8E8" w14:textId="77777777" w:rsidR="00BB5697" w:rsidRPr="00EB5878" w:rsidRDefault="00BB5697" w:rsidP="00BF7C4A">
            <w:pPr>
              <w:widowControl w:val="0"/>
              <w:autoSpaceDE w:val="0"/>
              <w:autoSpaceDN w:val="0"/>
              <w:adjustRightInd w:val="0"/>
              <w:spacing w:after="0" w:line="240" w:lineRule="auto"/>
              <w:jc w:val="center"/>
              <w:rPr>
                <w:rFonts w:ascii="Arial" w:eastAsia="Calibri" w:hAnsi="Arial" w:cs="Arial"/>
                <w:b/>
                <w:bCs/>
                <w:sz w:val="16"/>
                <w:szCs w:val="16"/>
                <w:lang w:val="en-US"/>
              </w:rPr>
            </w:pPr>
            <w:r w:rsidRPr="00EB5878">
              <w:rPr>
                <w:rFonts w:ascii="Arial" w:eastAsia="Calibri" w:hAnsi="Arial" w:cs="Arial"/>
                <w:b/>
                <w:bCs/>
                <w:sz w:val="16"/>
                <w:szCs w:val="16"/>
                <w:lang w:val="en-US"/>
              </w:rPr>
              <w:t>Base legal</w:t>
            </w:r>
          </w:p>
        </w:tc>
        <w:tc>
          <w:tcPr>
            <w:tcW w:w="938" w:type="pct"/>
            <w:shd w:val="clear" w:color="auto" w:fill="auto"/>
            <w:vAlign w:val="center"/>
          </w:tcPr>
          <w:p w14:paraId="5338B268" w14:textId="77777777" w:rsidR="00BB5697" w:rsidRPr="00EB5878" w:rsidRDefault="00BB5697" w:rsidP="00BF7C4A">
            <w:pPr>
              <w:widowControl w:val="0"/>
              <w:autoSpaceDE w:val="0"/>
              <w:autoSpaceDN w:val="0"/>
              <w:adjustRightInd w:val="0"/>
              <w:spacing w:after="0" w:line="240" w:lineRule="auto"/>
              <w:jc w:val="center"/>
              <w:rPr>
                <w:rFonts w:ascii="Arial" w:eastAsia="Calibri" w:hAnsi="Arial" w:cs="Arial"/>
                <w:b/>
                <w:bCs/>
                <w:sz w:val="16"/>
                <w:szCs w:val="16"/>
                <w:lang w:val="en-US"/>
              </w:rPr>
            </w:pPr>
            <w:r w:rsidRPr="00EB5878">
              <w:rPr>
                <w:rFonts w:ascii="Arial" w:eastAsia="Calibri" w:hAnsi="Arial" w:cs="Arial"/>
                <w:b/>
                <w:bCs/>
                <w:sz w:val="16"/>
                <w:szCs w:val="16"/>
                <w:lang w:val="en-US"/>
              </w:rPr>
              <w:t>Procedimento</w:t>
            </w:r>
          </w:p>
        </w:tc>
        <w:tc>
          <w:tcPr>
            <w:tcW w:w="955" w:type="pct"/>
            <w:vAlign w:val="center"/>
          </w:tcPr>
          <w:p w14:paraId="41212FCD" w14:textId="77777777" w:rsidR="00BB5697" w:rsidRPr="00EB5878" w:rsidRDefault="00BB5697" w:rsidP="00BF7C4A">
            <w:pPr>
              <w:widowControl w:val="0"/>
              <w:autoSpaceDE w:val="0"/>
              <w:autoSpaceDN w:val="0"/>
              <w:adjustRightInd w:val="0"/>
              <w:spacing w:after="0" w:line="240" w:lineRule="auto"/>
              <w:jc w:val="center"/>
              <w:rPr>
                <w:rFonts w:ascii="Arial" w:eastAsia="Calibri" w:hAnsi="Arial" w:cs="Arial"/>
                <w:b/>
                <w:bCs/>
                <w:sz w:val="16"/>
                <w:szCs w:val="16"/>
              </w:rPr>
            </w:pPr>
            <w:r w:rsidRPr="00EB5878">
              <w:rPr>
                <w:rFonts w:ascii="Arial" w:eastAsia="Calibri" w:hAnsi="Arial" w:cs="Arial"/>
                <w:b/>
                <w:bCs/>
                <w:sz w:val="16"/>
                <w:szCs w:val="16"/>
              </w:rPr>
              <w:t>Universo do Ponto de Controle</w:t>
            </w:r>
            <w:r w:rsidRPr="00EB5878">
              <w:rPr>
                <w:rFonts w:ascii="Arial" w:eastAsia="Calibri" w:hAnsi="Arial" w:cs="Arial"/>
                <w:b/>
                <w:bCs/>
                <w:sz w:val="16"/>
                <w:szCs w:val="16"/>
                <w:vertAlign w:val="superscript"/>
              </w:rPr>
              <w:footnoteReference w:id="52"/>
            </w:r>
          </w:p>
        </w:tc>
        <w:tc>
          <w:tcPr>
            <w:tcW w:w="895" w:type="pct"/>
            <w:vAlign w:val="center"/>
          </w:tcPr>
          <w:p w14:paraId="31339428" w14:textId="77777777" w:rsidR="00BB5697" w:rsidRPr="00EB5878" w:rsidRDefault="00BB5697" w:rsidP="00BF7C4A">
            <w:pPr>
              <w:widowControl w:val="0"/>
              <w:autoSpaceDE w:val="0"/>
              <w:autoSpaceDN w:val="0"/>
              <w:adjustRightInd w:val="0"/>
              <w:spacing w:after="0" w:line="240" w:lineRule="auto"/>
              <w:jc w:val="center"/>
              <w:rPr>
                <w:rFonts w:ascii="Arial" w:eastAsia="Calibri" w:hAnsi="Arial" w:cs="Arial"/>
                <w:b/>
                <w:bCs/>
                <w:sz w:val="16"/>
                <w:szCs w:val="16"/>
              </w:rPr>
            </w:pPr>
            <w:r w:rsidRPr="00EB5878">
              <w:rPr>
                <w:rFonts w:ascii="Arial" w:eastAsia="Calibri" w:hAnsi="Arial" w:cs="Arial"/>
                <w:b/>
                <w:bCs/>
                <w:sz w:val="16"/>
                <w:szCs w:val="16"/>
              </w:rPr>
              <w:t>Amostra Selecionada</w:t>
            </w:r>
            <w:r w:rsidRPr="00EB5878">
              <w:rPr>
                <w:rFonts w:ascii="Arial" w:eastAsia="Calibri" w:hAnsi="Arial" w:cs="Arial"/>
                <w:b/>
                <w:bCs/>
                <w:sz w:val="16"/>
                <w:szCs w:val="16"/>
                <w:vertAlign w:val="superscript"/>
              </w:rPr>
              <w:footnoteReference w:id="53"/>
            </w:r>
          </w:p>
        </w:tc>
      </w:tr>
      <w:tr w:rsidR="00BB5697" w:rsidRPr="00EB5878" w14:paraId="349BF413" w14:textId="77777777" w:rsidTr="00BF7C4A">
        <w:tc>
          <w:tcPr>
            <w:tcW w:w="423" w:type="pct"/>
            <w:vAlign w:val="center"/>
          </w:tcPr>
          <w:p w14:paraId="5A20AFB9" w14:textId="77777777" w:rsidR="00BB5697" w:rsidRPr="00EB5878" w:rsidRDefault="00BB5697" w:rsidP="00BF7C4A">
            <w:pPr>
              <w:widowControl w:val="0"/>
              <w:spacing w:after="0" w:line="240" w:lineRule="auto"/>
              <w:jc w:val="both"/>
              <w:rPr>
                <w:rFonts w:ascii="Arial" w:eastAsia="Calibri" w:hAnsi="Arial" w:cs="Arial"/>
                <w:bCs/>
                <w:sz w:val="16"/>
                <w:szCs w:val="16"/>
              </w:rPr>
            </w:pPr>
          </w:p>
        </w:tc>
        <w:tc>
          <w:tcPr>
            <w:tcW w:w="673" w:type="pct"/>
            <w:shd w:val="clear" w:color="auto" w:fill="auto"/>
            <w:vAlign w:val="center"/>
          </w:tcPr>
          <w:p w14:paraId="330237BB" w14:textId="77777777" w:rsidR="00BB5697" w:rsidRPr="00EB5878" w:rsidRDefault="00BB5697" w:rsidP="00BF7C4A">
            <w:pPr>
              <w:widowControl w:val="0"/>
              <w:spacing w:after="0" w:line="240" w:lineRule="auto"/>
              <w:jc w:val="both"/>
              <w:rPr>
                <w:rFonts w:ascii="Arial" w:eastAsia="Calibri" w:hAnsi="Arial" w:cs="Arial"/>
                <w:bCs/>
                <w:sz w:val="16"/>
                <w:szCs w:val="16"/>
              </w:rPr>
            </w:pPr>
          </w:p>
        </w:tc>
        <w:tc>
          <w:tcPr>
            <w:tcW w:w="786" w:type="pct"/>
            <w:vAlign w:val="center"/>
          </w:tcPr>
          <w:p w14:paraId="7720CD82" w14:textId="77777777" w:rsidR="00BB5697" w:rsidRPr="00EB5878" w:rsidRDefault="00BB5697" w:rsidP="00BF7C4A">
            <w:pPr>
              <w:widowControl w:val="0"/>
              <w:autoSpaceDE w:val="0"/>
              <w:autoSpaceDN w:val="0"/>
              <w:adjustRightInd w:val="0"/>
              <w:spacing w:after="0" w:line="240" w:lineRule="auto"/>
              <w:jc w:val="both"/>
              <w:rPr>
                <w:rFonts w:ascii="Arial" w:eastAsia="Calibri" w:hAnsi="Arial" w:cs="Arial"/>
                <w:bCs/>
                <w:sz w:val="16"/>
                <w:szCs w:val="16"/>
              </w:rPr>
            </w:pPr>
          </w:p>
        </w:tc>
        <w:tc>
          <w:tcPr>
            <w:tcW w:w="330" w:type="pct"/>
            <w:shd w:val="clear" w:color="auto" w:fill="auto"/>
            <w:vAlign w:val="center"/>
          </w:tcPr>
          <w:p w14:paraId="4078E67E" w14:textId="77777777" w:rsidR="00BB5697" w:rsidRPr="00EB5878" w:rsidRDefault="00BB5697" w:rsidP="00BF7C4A">
            <w:pPr>
              <w:widowControl w:val="0"/>
              <w:autoSpaceDE w:val="0"/>
              <w:autoSpaceDN w:val="0"/>
              <w:adjustRightInd w:val="0"/>
              <w:spacing w:after="0" w:line="240" w:lineRule="auto"/>
              <w:jc w:val="both"/>
              <w:rPr>
                <w:rFonts w:ascii="Arial" w:eastAsia="Calibri" w:hAnsi="Arial" w:cs="Arial"/>
                <w:bCs/>
                <w:sz w:val="16"/>
                <w:szCs w:val="16"/>
              </w:rPr>
            </w:pPr>
          </w:p>
        </w:tc>
        <w:tc>
          <w:tcPr>
            <w:tcW w:w="938" w:type="pct"/>
            <w:shd w:val="clear" w:color="auto" w:fill="auto"/>
            <w:vAlign w:val="center"/>
          </w:tcPr>
          <w:p w14:paraId="792F49C2" w14:textId="77777777" w:rsidR="00BB5697" w:rsidRPr="00EB5878" w:rsidRDefault="00BB5697" w:rsidP="00BF7C4A">
            <w:pPr>
              <w:widowControl w:val="0"/>
              <w:autoSpaceDE w:val="0"/>
              <w:autoSpaceDN w:val="0"/>
              <w:adjustRightInd w:val="0"/>
              <w:spacing w:after="0" w:line="240" w:lineRule="auto"/>
              <w:jc w:val="both"/>
              <w:rPr>
                <w:rFonts w:ascii="Arial" w:eastAsia="Calibri" w:hAnsi="Arial" w:cs="Arial"/>
                <w:bCs/>
                <w:sz w:val="16"/>
                <w:szCs w:val="16"/>
              </w:rPr>
            </w:pPr>
          </w:p>
        </w:tc>
        <w:tc>
          <w:tcPr>
            <w:tcW w:w="955" w:type="pct"/>
            <w:vAlign w:val="center"/>
          </w:tcPr>
          <w:p w14:paraId="262D9D73" w14:textId="77777777" w:rsidR="00BB5697" w:rsidRPr="00EB5878" w:rsidRDefault="00BB5697" w:rsidP="00BF7C4A">
            <w:pPr>
              <w:widowControl w:val="0"/>
              <w:autoSpaceDE w:val="0"/>
              <w:autoSpaceDN w:val="0"/>
              <w:adjustRightInd w:val="0"/>
              <w:spacing w:after="0" w:line="240" w:lineRule="auto"/>
              <w:jc w:val="both"/>
              <w:rPr>
                <w:rFonts w:ascii="Arial" w:eastAsia="Calibri" w:hAnsi="Arial" w:cs="Arial"/>
                <w:bCs/>
                <w:sz w:val="16"/>
                <w:szCs w:val="16"/>
              </w:rPr>
            </w:pPr>
          </w:p>
        </w:tc>
        <w:tc>
          <w:tcPr>
            <w:tcW w:w="895" w:type="pct"/>
            <w:vAlign w:val="center"/>
          </w:tcPr>
          <w:p w14:paraId="3EFE15ED" w14:textId="77777777" w:rsidR="00BB5697" w:rsidRPr="00EB5878" w:rsidRDefault="00BB5697" w:rsidP="00BF7C4A">
            <w:pPr>
              <w:widowControl w:val="0"/>
              <w:autoSpaceDE w:val="0"/>
              <w:autoSpaceDN w:val="0"/>
              <w:adjustRightInd w:val="0"/>
              <w:spacing w:after="0" w:line="240" w:lineRule="auto"/>
              <w:jc w:val="both"/>
              <w:rPr>
                <w:rFonts w:ascii="Arial" w:eastAsia="Calibri" w:hAnsi="Arial" w:cs="Arial"/>
                <w:bCs/>
                <w:sz w:val="16"/>
                <w:szCs w:val="16"/>
              </w:rPr>
            </w:pPr>
          </w:p>
        </w:tc>
      </w:tr>
      <w:tr w:rsidR="00BB5697" w:rsidRPr="00EB5878" w14:paraId="7658DA90" w14:textId="77777777" w:rsidTr="00BF7C4A">
        <w:tc>
          <w:tcPr>
            <w:tcW w:w="423" w:type="pct"/>
            <w:vAlign w:val="center"/>
          </w:tcPr>
          <w:p w14:paraId="5DEF419C" w14:textId="77777777" w:rsidR="00BB5697" w:rsidRPr="00EB5878" w:rsidRDefault="00BB5697" w:rsidP="00BF7C4A">
            <w:pPr>
              <w:widowControl w:val="0"/>
              <w:spacing w:after="0" w:line="240" w:lineRule="auto"/>
              <w:jc w:val="both"/>
              <w:rPr>
                <w:rFonts w:ascii="Arial" w:eastAsia="Calibri" w:hAnsi="Arial" w:cs="Arial"/>
                <w:bCs/>
                <w:sz w:val="16"/>
                <w:szCs w:val="16"/>
              </w:rPr>
            </w:pPr>
          </w:p>
        </w:tc>
        <w:tc>
          <w:tcPr>
            <w:tcW w:w="673" w:type="pct"/>
            <w:shd w:val="clear" w:color="auto" w:fill="auto"/>
            <w:vAlign w:val="center"/>
          </w:tcPr>
          <w:p w14:paraId="3EB4ED2A" w14:textId="77777777" w:rsidR="00BB5697" w:rsidRPr="00EB5878" w:rsidRDefault="00BB5697" w:rsidP="00BF7C4A">
            <w:pPr>
              <w:widowControl w:val="0"/>
              <w:spacing w:after="0" w:line="240" w:lineRule="auto"/>
              <w:jc w:val="both"/>
              <w:rPr>
                <w:rFonts w:ascii="Arial" w:eastAsia="Calibri" w:hAnsi="Arial" w:cs="Arial"/>
                <w:bCs/>
                <w:sz w:val="16"/>
                <w:szCs w:val="16"/>
              </w:rPr>
            </w:pPr>
          </w:p>
        </w:tc>
        <w:tc>
          <w:tcPr>
            <w:tcW w:w="786" w:type="pct"/>
            <w:vAlign w:val="center"/>
          </w:tcPr>
          <w:p w14:paraId="3DFB48E3" w14:textId="77777777" w:rsidR="00BB5697" w:rsidRPr="00EB5878" w:rsidRDefault="00BB5697" w:rsidP="00BF7C4A">
            <w:pPr>
              <w:widowControl w:val="0"/>
              <w:autoSpaceDE w:val="0"/>
              <w:autoSpaceDN w:val="0"/>
              <w:adjustRightInd w:val="0"/>
              <w:spacing w:after="0" w:line="240" w:lineRule="auto"/>
              <w:jc w:val="both"/>
              <w:rPr>
                <w:rFonts w:ascii="Arial" w:eastAsia="Calibri" w:hAnsi="Arial" w:cs="Arial"/>
                <w:bCs/>
                <w:sz w:val="16"/>
                <w:szCs w:val="16"/>
              </w:rPr>
            </w:pPr>
          </w:p>
        </w:tc>
        <w:tc>
          <w:tcPr>
            <w:tcW w:w="330" w:type="pct"/>
            <w:shd w:val="clear" w:color="auto" w:fill="auto"/>
            <w:vAlign w:val="center"/>
          </w:tcPr>
          <w:p w14:paraId="6C280421" w14:textId="77777777" w:rsidR="00BB5697" w:rsidRPr="00EB5878" w:rsidRDefault="00BB5697" w:rsidP="00BF7C4A">
            <w:pPr>
              <w:widowControl w:val="0"/>
              <w:autoSpaceDE w:val="0"/>
              <w:autoSpaceDN w:val="0"/>
              <w:adjustRightInd w:val="0"/>
              <w:spacing w:after="0" w:line="240" w:lineRule="auto"/>
              <w:jc w:val="both"/>
              <w:rPr>
                <w:rFonts w:ascii="Arial" w:eastAsia="Calibri" w:hAnsi="Arial" w:cs="Arial"/>
                <w:bCs/>
                <w:sz w:val="16"/>
                <w:szCs w:val="16"/>
              </w:rPr>
            </w:pPr>
          </w:p>
        </w:tc>
        <w:tc>
          <w:tcPr>
            <w:tcW w:w="938" w:type="pct"/>
            <w:shd w:val="clear" w:color="auto" w:fill="auto"/>
            <w:vAlign w:val="center"/>
          </w:tcPr>
          <w:p w14:paraId="563353C2" w14:textId="77777777" w:rsidR="00BB5697" w:rsidRPr="00EB5878" w:rsidRDefault="00BB5697" w:rsidP="00BF7C4A">
            <w:pPr>
              <w:widowControl w:val="0"/>
              <w:autoSpaceDE w:val="0"/>
              <w:autoSpaceDN w:val="0"/>
              <w:adjustRightInd w:val="0"/>
              <w:spacing w:after="0" w:line="240" w:lineRule="auto"/>
              <w:jc w:val="both"/>
              <w:rPr>
                <w:rFonts w:ascii="Arial" w:eastAsia="Calibri" w:hAnsi="Arial" w:cs="Arial"/>
                <w:bCs/>
                <w:sz w:val="16"/>
                <w:szCs w:val="16"/>
              </w:rPr>
            </w:pPr>
          </w:p>
        </w:tc>
        <w:tc>
          <w:tcPr>
            <w:tcW w:w="955" w:type="pct"/>
            <w:vAlign w:val="center"/>
          </w:tcPr>
          <w:p w14:paraId="0A21175E" w14:textId="77777777" w:rsidR="00BB5697" w:rsidRPr="00EB5878" w:rsidRDefault="00BB5697" w:rsidP="00BF7C4A">
            <w:pPr>
              <w:widowControl w:val="0"/>
              <w:autoSpaceDE w:val="0"/>
              <w:autoSpaceDN w:val="0"/>
              <w:adjustRightInd w:val="0"/>
              <w:spacing w:after="0" w:line="240" w:lineRule="auto"/>
              <w:jc w:val="both"/>
              <w:rPr>
                <w:rFonts w:ascii="Arial" w:eastAsia="Calibri" w:hAnsi="Arial" w:cs="Arial"/>
                <w:bCs/>
                <w:sz w:val="16"/>
                <w:szCs w:val="16"/>
              </w:rPr>
            </w:pPr>
          </w:p>
        </w:tc>
        <w:tc>
          <w:tcPr>
            <w:tcW w:w="895" w:type="pct"/>
            <w:vAlign w:val="center"/>
          </w:tcPr>
          <w:p w14:paraId="328A151D" w14:textId="77777777" w:rsidR="00BB5697" w:rsidRPr="00EB5878" w:rsidRDefault="00BB5697" w:rsidP="00BF7C4A">
            <w:pPr>
              <w:widowControl w:val="0"/>
              <w:autoSpaceDE w:val="0"/>
              <w:autoSpaceDN w:val="0"/>
              <w:adjustRightInd w:val="0"/>
              <w:spacing w:after="0" w:line="240" w:lineRule="auto"/>
              <w:jc w:val="both"/>
              <w:rPr>
                <w:rFonts w:ascii="Arial" w:eastAsia="Calibri" w:hAnsi="Arial" w:cs="Arial"/>
                <w:bCs/>
                <w:sz w:val="16"/>
                <w:szCs w:val="16"/>
              </w:rPr>
            </w:pPr>
          </w:p>
        </w:tc>
      </w:tr>
    </w:tbl>
    <w:p w14:paraId="49C5CF22" w14:textId="77777777" w:rsidR="00BB5697" w:rsidRPr="00EB5878" w:rsidRDefault="00BB5697" w:rsidP="00BB5697">
      <w:pPr>
        <w:widowControl w:val="0"/>
        <w:spacing w:after="0" w:line="360" w:lineRule="auto"/>
        <w:jc w:val="both"/>
        <w:rPr>
          <w:rFonts w:ascii="Arial" w:eastAsia="Calibri" w:hAnsi="Arial" w:cs="Arial"/>
          <w:i/>
        </w:rPr>
      </w:pPr>
    </w:p>
    <w:p w14:paraId="44A818E7" w14:textId="77777777" w:rsidR="00BB5697" w:rsidRPr="00EB5878" w:rsidRDefault="00BB5697" w:rsidP="00BB5697">
      <w:pPr>
        <w:widowControl w:val="0"/>
        <w:spacing w:after="0" w:line="360" w:lineRule="auto"/>
        <w:jc w:val="both"/>
        <w:rPr>
          <w:rFonts w:ascii="Arial" w:eastAsia="Calibri" w:hAnsi="Arial" w:cs="Arial"/>
          <w:b/>
        </w:rPr>
      </w:pPr>
      <w:r w:rsidRPr="00EB5878">
        <w:rPr>
          <w:rFonts w:ascii="Arial" w:eastAsia="Calibri" w:hAnsi="Arial" w:cs="Arial"/>
          <w:b/>
        </w:rPr>
        <w:t>2. Auditorias e outros procedimentos realizados</w:t>
      </w:r>
    </w:p>
    <w:p w14:paraId="7FD02FAE" w14:textId="77777777" w:rsidR="00BB5697" w:rsidRPr="00EB5878" w:rsidRDefault="00BB5697" w:rsidP="00BB5697">
      <w:pPr>
        <w:widowControl w:val="0"/>
        <w:spacing w:after="0" w:line="360" w:lineRule="auto"/>
        <w:jc w:val="both"/>
        <w:rPr>
          <w:rFonts w:ascii="Arial" w:eastAsia="Calibri" w:hAnsi="Arial" w:cs="Arial"/>
        </w:rPr>
      </w:pPr>
    </w:p>
    <w:p w14:paraId="70C21746" w14:textId="77777777" w:rsidR="00BB5697" w:rsidRPr="00EB5878" w:rsidRDefault="00BB5697" w:rsidP="00BB5697">
      <w:pPr>
        <w:widowControl w:val="0"/>
        <w:spacing w:after="0" w:line="360" w:lineRule="auto"/>
        <w:jc w:val="both"/>
        <w:rPr>
          <w:rFonts w:ascii="Arial" w:eastAsia="Calibri" w:hAnsi="Arial" w:cs="Arial"/>
          <w:i/>
        </w:rPr>
      </w:pPr>
      <w:r w:rsidRPr="00EB5878">
        <w:rPr>
          <w:rFonts w:ascii="Arial" w:eastAsia="Calibri" w:hAnsi="Arial" w:cs="Arial"/>
          <w:i/>
        </w:rPr>
        <w:t>[Relatar o resultado das auditorias realizadas, achados, constatações, conclusões, proposições, alertas efetuados e medidas de saneamento adotadas. O relato poderá ser feito na forma da tabela abaixo]</w:t>
      </w:r>
    </w:p>
    <w:p w14:paraId="6103DC60" w14:textId="77777777" w:rsidR="00BB5697" w:rsidRPr="00EB5878" w:rsidRDefault="00BB5697" w:rsidP="00BB5697">
      <w:pPr>
        <w:widowControl w:val="0"/>
        <w:spacing w:after="0" w:line="360" w:lineRule="auto"/>
        <w:jc w:val="both"/>
        <w:rPr>
          <w:rFonts w:ascii="Arial" w:eastAsia="Calibri" w:hAnsi="Arial" w:cs="Arial"/>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6"/>
        <w:gridCol w:w="2972"/>
        <w:gridCol w:w="2835"/>
        <w:gridCol w:w="2409"/>
      </w:tblGrid>
      <w:tr w:rsidR="00BB5697" w:rsidRPr="00EB5878" w14:paraId="0BB863D3" w14:textId="77777777" w:rsidTr="00BF7C4A">
        <w:tc>
          <w:tcPr>
            <w:tcW w:w="856" w:type="dxa"/>
            <w:vAlign w:val="center"/>
          </w:tcPr>
          <w:p w14:paraId="6C2A4A21" w14:textId="77777777" w:rsidR="00BB5697" w:rsidRPr="00EB5878" w:rsidRDefault="00BB5697" w:rsidP="00BF7C4A">
            <w:pPr>
              <w:widowControl w:val="0"/>
              <w:autoSpaceDE w:val="0"/>
              <w:autoSpaceDN w:val="0"/>
              <w:adjustRightInd w:val="0"/>
              <w:spacing w:after="0" w:line="240" w:lineRule="auto"/>
              <w:jc w:val="center"/>
              <w:rPr>
                <w:rFonts w:ascii="Arial" w:eastAsia="Calibri" w:hAnsi="Arial" w:cs="Arial"/>
                <w:b/>
                <w:bCs/>
                <w:sz w:val="16"/>
                <w:szCs w:val="16"/>
                <w:lang w:val="en-US"/>
              </w:rPr>
            </w:pPr>
            <w:r w:rsidRPr="00EB5878">
              <w:rPr>
                <w:rFonts w:ascii="Arial" w:eastAsia="Calibri" w:hAnsi="Arial" w:cs="Arial"/>
                <w:b/>
                <w:bCs/>
                <w:sz w:val="16"/>
                <w:szCs w:val="16"/>
                <w:lang w:val="en-US"/>
              </w:rPr>
              <w:t>Código</w:t>
            </w:r>
          </w:p>
        </w:tc>
        <w:tc>
          <w:tcPr>
            <w:tcW w:w="2972" w:type="dxa"/>
            <w:shd w:val="clear" w:color="auto" w:fill="auto"/>
            <w:vAlign w:val="center"/>
          </w:tcPr>
          <w:p w14:paraId="2D6ACC79" w14:textId="77777777" w:rsidR="00BB5697" w:rsidRPr="00EB5878" w:rsidRDefault="00BB5697" w:rsidP="00BF7C4A">
            <w:pPr>
              <w:widowControl w:val="0"/>
              <w:autoSpaceDE w:val="0"/>
              <w:autoSpaceDN w:val="0"/>
              <w:adjustRightInd w:val="0"/>
              <w:spacing w:after="0" w:line="240" w:lineRule="auto"/>
              <w:jc w:val="center"/>
              <w:rPr>
                <w:rFonts w:ascii="Arial" w:eastAsia="Calibri" w:hAnsi="Arial" w:cs="Arial"/>
                <w:b/>
                <w:bCs/>
                <w:sz w:val="16"/>
                <w:szCs w:val="16"/>
                <w:lang w:val="en-US"/>
              </w:rPr>
            </w:pPr>
            <w:r w:rsidRPr="00EB5878">
              <w:rPr>
                <w:rFonts w:ascii="Arial" w:eastAsia="Calibri" w:hAnsi="Arial" w:cs="Arial"/>
                <w:b/>
                <w:bCs/>
                <w:sz w:val="16"/>
                <w:szCs w:val="16"/>
                <w:lang w:val="en-US"/>
              </w:rPr>
              <w:t>Achados</w:t>
            </w:r>
          </w:p>
        </w:tc>
        <w:tc>
          <w:tcPr>
            <w:tcW w:w="2835" w:type="dxa"/>
            <w:vAlign w:val="center"/>
          </w:tcPr>
          <w:p w14:paraId="75331ACA" w14:textId="77777777" w:rsidR="00BB5697" w:rsidRPr="00EB5878" w:rsidRDefault="00BB5697" w:rsidP="00BF7C4A">
            <w:pPr>
              <w:widowControl w:val="0"/>
              <w:autoSpaceDE w:val="0"/>
              <w:autoSpaceDN w:val="0"/>
              <w:adjustRightInd w:val="0"/>
              <w:spacing w:after="0" w:line="240" w:lineRule="auto"/>
              <w:jc w:val="center"/>
              <w:rPr>
                <w:rFonts w:ascii="Arial" w:eastAsia="Calibri" w:hAnsi="Arial" w:cs="Arial"/>
                <w:b/>
                <w:bCs/>
                <w:sz w:val="16"/>
                <w:szCs w:val="16"/>
                <w:lang w:val="en-US"/>
              </w:rPr>
            </w:pPr>
            <w:r w:rsidRPr="00EB5878">
              <w:rPr>
                <w:rFonts w:ascii="Arial" w:eastAsia="Calibri" w:hAnsi="Arial" w:cs="Arial"/>
                <w:b/>
                <w:bCs/>
                <w:sz w:val="16"/>
                <w:szCs w:val="16"/>
                <w:lang w:val="en-US"/>
              </w:rPr>
              <w:t>Proposições/Alertas</w:t>
            </w:r>
          </w:p>
        </w:tc>
        <w:tc>
          <w:tcPr>
            <w:tcW w:w="2409" w:type="dxa"/>
          </w:tcPr>
          <w:p w14:paraId="4497B99C" w14:textId="77777777" w:rsidR="00BB5697" w:rsidRPr="00EB5878" w:rsidRDefault="00BB5697" w:rsidP="00BF7C4A">
            <w:pPr>
              <w:widowControl w:val="0"/>
              <w:autoSpaceDE w:val="0"/>
              <w:autoSpaceDN w:val="0"/>
              <w:adjustRightInd w:val="0"/>
              <w:spacing w:after="0" w:line="240" w:lineRule="auto"/>
              <w:jc w:val="center"/>
              <w:rPr>
                <w:rFonts w:ascii="Arial" w:eastAsia="Calibri" w:hAnsi="Arial" w:cs="Arial"/>
                <w:b/>
                <w:bCs/>
                <w:sz w:val="16"/>
                <w:szCs w:val="16"/>
                <w:lang w:val="en-US"/>
              </w:rPr>
            </w:pPr>
            <w:r w:rsidRPr="00EB5878">
              <w:rPr>
                <w:rFonts w:ascii="Arial" w:eastAsia="Calibri" w:hAnsi="Arial" w:cs="Arial"/>
                <w:b/>
                <w:bCs/>
                <w:sz w:val="16"/>
                <w:szCs w:val="16"/>
                <w:lang w:val="en-US"/>
              </w:rPr>
              <w:t>Situação</w:t>
            </w:r>
          </w:p>
        </w:tc>
      </w:tr>
      <w:tr w:rsidR="00BB5697" w:rsidRPr="00EB5878" w14:paraId="18B89FE1" w14:textId="77777777" w:rsidTr="00BF7C4A">
        <w:trPr>
          <w:trHeight w:val="227"/>
        </w:trPr>
        <w:tc>
          <w:tcPr>
            <w:tcW w:w="856" w:type="dxa"/>
            <w:tcBorders>
              <w:top w:val="single" w:sz="4" w:space="0" w:color="auto"/>
              <w:left w:val="single" w:sz="4" w:space="0" w:color="auto"/>
              <w:bottom w:val="single" w:sz="4" w:space="0" w:color="auto"/>
              <w:right w:val="single" w:sz="4" w:space="0" w:color="auto"/>
            </w:tcBorders>
            <w:vAlign w:val="center"/>
          </w:tcPr>
          <w:p w14:paraId="3BDA5A70" w14:textId="77777777" w:rsidR="00BB5697" w:rsidRPr="00EB5878" w:rsidRDefault="00BB5697" w:rsidP="00BF7C4A">
            <w:pPr>
              <w:widowControl w:val="0"/>
              <w:autoSpaceDE w:val="0"/>
              <w:autoSpaceDN w:val="0"/>
              <w:adjustRightInd w:val="0"/>
              <w:spacing w:after="0" w:line="240" w:lineRule="auto"/>
              <w:jc w:val="both"/>
              <w:rPr>
                <w:rFonts w:ascii="Arial" w:eastAsia="Calibri" w:hAnsi="Arial" w:cs="Arial"/>
                <w:bCs/>
                <w:sz w:val="16"/>
                <w:szCs w:val="16"/>
              </w:rPr>
            </w:pPr>
          </w:p>
        </w:tc>
        <w:tc>
          <w:tcPr>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42CC4AC9" w14:textId="77777777" w:rsidR="00BB5697" w:rsidRPr="00EB5878" w:rsidRDefault="00BB5697" w:rsidP="00BF7C4A">
            <w:pPr>
              <w:widowControl w:val="0"/>
              <w:autoSpaceDE w:val="0"/>
              <w:autoSpaceDN w:val="0"/>
              <w:adjustRightInd w:val="0"/>
              <w:spacing w:after="0" w:line="240" w:lineRule="auto"/>
              <w:jc w:val="both"/>
              <w:rPr>
                <w:rFonts w:ascii="Arial" w:eastAsia="Calibri" w:hAnsi="Arial" w:cs="Arial"/>
                <w:bCs/>
                <w:sz w:val="16"/>
                <w:szCs w:val="16"/>
              </w:rPr>
            </w:pPr>
          </w:p>
        </w:tc>
        <w:tc>
          <w:tcPr>
            <w:tcW w:w="2835" w:type="dxa"/>
            <w:tcBorders>
              <w:top w:val="single" w:sz="4" w:space="0" w:color="auto"/>
              <w:left w:val="single" w:sz="4" w:space="0" w:color="auto"/>
              <w:bottom w:val="single" w:sz="4" w:space="0" w:color="auto"/>
              <w:right w:val="single" w:sz="4" w:space="0" w:color="auto"/>
            </w:tcBorders>
            <w:vAlign w:val="center"/>
          </w:tcPr>
          <w:p w14:paraId="325DE187" w14:textId="77777777" w:rsidR="00BB5697" w:rsidRPr="00EB5878" w:rsidRDefault="00BB5697" w:rsidP="00BF7C4A">
            <w:pPr>
              <w:widowControl w:val="0"/>
              <w:autoSpaceDE w:val="0"/>
              <w:autoSpaceDN w:val="0"/>
              <w:adjustRightInd w:val="0"/>
              <w:spacing w:after="0" w:line="240" w:lineRule="auto"/>
              <w:jc w:val="both"/>
              <w:rPr>
                <w:rFonts w:ascii="Arial" w:eastAsia="Calibri" w:hAnsi="Arial" w:cs="Arial"/>
                <w:bCs/>
                <w:sz w:val="16"/>
                <w:szCs w:val="16"/>
              </w:rPr>
            </w:pPr>
          </w:p>
        </w:tc>
        <w:tc>
          <w:tcPr>
            <w:tcW w:w="2409" w:type="dxa"/>
            <w:tcBorders>
              <w:top w:val="single" w:sz="4" w:space="0" w:color="auto"/>
              <w:left w:val="single" w:sz="4" w:space="0" w:color="auto"/>
              <w:bottom w:val="single" w:sz="4" w:space="0" w:color="auto"/>
              <w:right w:val="single" w:sz="4" w:space="0" w:color="auto"/>
            </w:tcBorders>
          </w:tcPr>
          <w:p w14:paraId="56A1D015" w14:textId="77777777" w:rsidR="00BB5697" w:rsidRPr="00EB5878" w:rsidRDefault="00BB5697" w:rsidP="00BF7C4A">
            <w:pPr>
              <w:widowControl w:val="0"/>
              <w:autoSpaceDE w:val="0"/>
              <w:autoSpaceDN w:val="0"/>
              <w:adjustRightInd w:val="0"/>
              <w:spacing w:after="0" w:line="240" w:lineRule="auto"/>
              <w:jc w:val="both"/>
              <w:rPr>
                <w:rFonts w:ascii="Arial" w:eastAsia="Calibri" w:hAnsi="Arial" w:cs="Arial"/>
                <w:bCs/>
                <w:sz w:val="16"/>
                <w:szCs w:val="16"/>
              </w:rPr>
            </w:pPr>
          </w:p>
        </w:tc>
      </w:tr>
      <w:tr w:rsidR="00BB5697" w:rsidRPr="00EB5878" w14:paraId="34A0239C" w14:textId="77777777" w:rsidTr="00BF7C4A">
        <w:trPr>
          <w:trHeight w:val="227"/>
        </w:trPr>
        <w:tc>
          <w:tcPr>
            <w:tcW w:w="856" w:type="dxa"/>
            <w:tcBorders>
              <w:top w:val="single" w:sz="4" w:space="0" w:color="auto"/>
              <w:left w:val="single" w:sz="4" w:space="0" w:color="auto"/>
              <w:bottom w:val="single" w:sz="4" w:space="0" w:color="auto"/>
              <w:right w:val="single" w:sz="4" w:space="0" w:color="auto"/>
            </w:tcBorders>
            <w:vAlign w:val="center"/>
          </w:tcPr>
          <w:p w14:paraId="7DDA43F1" w14:textId="77777777" w:rsidR="00BB5697" w:rsidRPr="00EB5878" w:rsidRDefault="00BB5697" w:rsidP="00BF7C4A">
            <w:pPr>
              <w:widowControl w:val="0"/>
              <w:autoSpaceDE w:val="0"/>
              <w:autoSpaceDN w:val="0"/>
              <w:adjustRightInd w:val="0"/>
              <w:spacing w:after="0" w:line="240" w:lineRule="auto"/>
              <w:jc w:val="both"/>
              <w:rPr>
                <w:rFonts w:ascii="Arial" w:eastAsia="Calibri" w:hAnsi="Arial" w:cs="Arial"/>
                <w:bCs/>
                <w:sz w:val="16"/>
                <w:szCs w:val="16"/>
              </w:rPr>
            </w:pPr>
          </w:p>
        </w:tc>
        <w:tc>
          <w:tcPr>
            <w:tcW w:w="2972" w:type="dxa"/>
            <w:tcBorders>
              <w:top w:val="single" w:sz="4" w:space="0" w:color="auto"/>
              <w:left w:val="single" w:sz="4" w:space="0" w:color="auto"/>
              <w:bottom w:val="single" w:sz="4" w:space="0" w:color="auto"/>
              <w:right w:val="single" w:sz="4" w:space="0" w:color="auto"/>
            </w:tcBorders>
            <w:shd w:val="clear" w:color="auto" w:fill="auto"/>
            <w:vAlign w:val="center"/>
          </w:tcPr>
          <w:p w14:paraId="396D6026" w14:textId="77777777" w:rsidR="00BB5697" w:rsidRPr="00EB5878" w:rsidRDefault="00BB5697" w:rsidP="00BF7C4A">
            <w:pPr>
              <w:widowControl w:val="0"/>
              <w:autoSpaceDE w:val="0"/>
              <w:autoSpaceDN w:val="0"/>
              <w:adjustRightInd w:val="0"/>
              <w:spacing w:after="0" w:line="240" w:lineRule="auto"/>
              <w:jc w:val="both"/>
              <w:rPr>
                <w:rFonts w:ascii="Arial" w:eastAsia="Calibri" w:hAnsi="Arial" w:cs="Arial"/>
                <w:bCs/>
                <w:sz w:val="16"/>
                <w:szCs w:val="16"/>
              </w:rPr>
            </w:pPr>
          </w:p>
        </w:tc>
        <w:tc>
          <w:tcPr>
            <w:tcW w:w="2835" w:type="dxa"/>
            <w:tcBorders>
              <w:top w:val="single" w:sz="4" w:space="0" w:color="auto"/>
              <w:left w:val="single" w:sz="4" w:space="0" w:color="auto"/>
              <w:bottom w:val="single" w:sz="4" w:space="0" w:color="auto"/>
              <w:right w:val="single" w:sz="4" w:space="0" w:color="auto"/>
            </w:tcBorders>
            <w:vAlign w:val="center"/>
          </w:tcPr>
          <w:p w14:paraId="340E655A" w14:textId="77777777" w:rsidR="00BB5697" w:rsidRPr="00EB5878" w:rsidRDefault="00BB5697" w:rsidP="00BF7C4A">
            <w:pPr>
              <w:widowControl w:val="0"/>
              <w:autoSpaceDE w:val="0"/>
              <w:autoSpaceDN w:val="0"/>
              <w:adjustRightInd w:val="0"/>
              <w:spacing w:after="0" w:line="240" w:lineRule="auto"/>
              <w:jc w:val="both"/>
              <w:rPr>
                <w:rFonts w:ascii="Arial" w:eastAsia="Calibri" w:hAnsi="Arial" w:cs="Arial"/>
                <w:bCs/>
                <w:sz w:val="16"/>
                <w:szCs w:val="16"/>
              </w:rPr>
            </w:pPr>
          </w:p>
        </w:tc>
        <w:tc>
          <w:tcPr>
            <w:tcW w:w="2409" w:type="dxa"/>
            <w:tcBorders>
              <w:top w:val="single" w:sz="4" w:space="0" w:color="auto"/>
              <w:left w:val="single" w:sz="4" w:space="0" w:color="auto"/>
              <w:bottom w:val="single" w:sz="4" w:space="0" w:color="auto"/>
              <w:right w:val="single" w:sz="4" w:space="0" w:color="auto"/>
            </w:tcBorders>
          </w:tcPr>
          <w:p w14:paraId="2752F57A" w14:textId="77777777" w:rsidR="00BB5697" w:rsidRPr="00EB5878" w:rsidRDefault="00BB5697" w:rsidP="00BF7C4A">
            <w:pPr>
              <w:widowControl w:val="0"/>
              <w:autoSpaceDE w:val="0"/>
              <w:autoSpaceDN w:val="0"/>
              <w:adjustRightInd w:val="0"/>
              <w:spacing w:after="0" w:line="240" w:lineRule="auto"/>
              <w:jc w:val="both"/>
              <w:rPr>
                <w:rFonts w:ascii="Arial" w:eastAsia="Calibri" w:hAnsi="Arial" w:cs="Arial"/>
                <w:bCs/>
                <w:sz w:val="16"/>
                <w:szCs w:val="16"/>
              </w:rPr>
            </w:pPr>
          </w:p>
        </w:tc>
      </w:tr>
    </w:tbl>
    <w:p w14:paraId="7E82ECC9" w14:textId="77777777" w:rsidR="00BB5697" w:rsidRPr="00EB5878" w:rsidRDefault="00BB5697" w:rsidP="00BB5697">
      <w:pPr>
        <w:widowControl w:val="0"/>
        <w:spacing w:after="0" w:line="360" w:lineRule="auto"/>
        <w:jc w:val="both"/>
        <w:rPr>
          <w:rFonts w:ascii="Arial" w:eastAsia="Calibri" w:hAnsi="Arial" w:cs="Arial"/>
        </w:rPr>
      </w:pPr>
    </w:p>
    <w:p w14:paraId="7FC2E868" w14:textId="77777777" w:rsidR="00BB5697" w:rsidRPr="00EB5878" w:rsidRDefault="00BB5697" w:rsidP="00BB5697">
      <w:pPr>
        <w:widowControl w:val="0"/>
        <w:spacing w:after="0" w:line="360" w:lineRule="auto"/>
        <w:jc w:val="both"/>
        <w:rPr>
          <w:rFonts w:ascii="Arial" w:eastAsia="Calibri" w:hAnsi="Arial" w:cs="Arial"/>
          <w:b/>
        </w:rPr>
      </w:pPr>
      <w:r w:rsidRPr="00EB5878">
        <w:rPr>
          <w:rFonts w:ascii="Arial" w:eastAsia="Calibri" w:hAnsi="Arial" w:cs="Arial"/>
          <w:b/>
        </w:rPr>
        <w:t>3 – Tomadas de Contas Especiais (TCE) e Procedimentos Administrativos instaurados na UG</w:t>
      </w:r>
      <w:r w:rsidRPr="00EB5878">
        <w:rPr>
          <w:rFonts w:ascii="Arial" w:eastAsia="Calibri" w:hAnsi="Arial" w:cs="Arial"/>
          <w:b/>
          <w:vertAlign w:val="superscript"/>
          <w:lang w:val="en-US"/>
        </w:rPr>
        <w:footnoteReference w:id="54"/>
      </w:r>
      <w:r w:rsidRPr="00EB5878">
        <w:rPr>
          <w:rFonts w:ascii="Arial" w:eastAsia="Calibri" w:hAnsi="Arial" w:cs="Arial"/>
          <w:b/>
        </w:rPr>
        <w:t xml:space="preserve"> </w:t>
      </w:r>
    </w:p>
    <w:p w14:paraId="735AD4B1" w14:textId="77777777" w:rsidR="00BB5697" w:rsidRPr="00EB5878" w:rsidRDefault="00BB5697" w:rsidP="00BB5697">
      <w:pPr>
        <w:widowControl w:val="0"/>
        <w:spacing w:after="0" w:line="360" w:lineRule="auto"/>
        <w:jc w:val="both"/>
        <w:rPr>
          <w:rFonts w:ascii="Arial" w:eastAsia="Calibri" w:hAnsi="Arial" w:cs="Arial"/>
        </w:rPr>
      </w:pPr>
    </w:p>
    <w:p w14:paraId="7E9E6E54" w14:textId="77777777" w:rsidR="00BB5697" w:rsidRPr="00EB5878" w:rsidRDefault="00BB5697" w:rsidP="00BB5697">
      <w:pPr>
        <w:widowControl w:val="0"/>
        <w:spacing w:after="0" w:line="360" w:lineRule="auto"/>
        <w:jc w:val="both"/>
        <w:rPr>
          <w:rFonts w:ascii="Arial" w:eastAsia="Calibri" w:hAnsi="Arial" w:cs="Arial"/>
          <w:i/>
        </w:rPr>
      </w:pPr>
      <w:r w:rsidRPr="00EB5878">
        <w:rPr>
          <w:rFonts w:ascii="Arial" w:eastAsia="Calibri" w:hAnsi="Arial" w:cs="Arial"/>
          <w:i/>
        </w:rPr>
        <w:t>[Neste tópico deverão ser indicadas as Tomadas de Contas Especiais e os Procedimentos Administrativos instaurados nos moldes da Instrução Normativa 32/2014, contendo informações sobre:</w:t>
      </w:r>
    </w:p>
    <w:p w14:paraId="1EFB793D" w14:textId="77777777" w:rsidR="00BB5697" w:rsidRPr="00EB5878" w:rsidRDefault="00BB5697" w:rsidP="00BB5697">
      <w:pPr>
        <w:widowControl w:val="0"/>
        <w:spacing w:after="0" w:line="360" w:lineRule="auto"/>
        <w:jc w:val="both"/>
        <w:rPr>
          <w:rFonts w:ascii="Arial" w:eastAsia="Calibri" w:hAnsi="Arial" w:cs="Arial"/>
          <w:i/>
        </w:rPr>
      </w:pPr>
      <w:r w:rsidRPr="00EB5878">
        <w:rPr>
          <w:rFonts w:ascii="Arial" w:eastAsia="Calibri" w:hAnsi="Arial" w:cs="Arial"/>
          <w:i/>
        </w:rPr>
        <w:t xml:space="preserve"> </w:t>
      </w:r>
    </w:p>
    <w:p w14:paraId="3066E237" w14:textId="77777777" w:rsidR="00BB5697" w:rsidRPr="00EB5878" w:rsidRDefault="00BB5697" w:rsidP="00BB5697">
      <w:pPr>
        <w:widowControl w:val="0"/>
        <w:spacing w:after="0" w:line="360" w:lineRule="auto"/>
        <w:ind w:firstLine="708"/>
        <w:jc w:val="both"/>
        <w:rPr>
          <w:rFonts w:ascii="Arial" w:eastAsia="Calibri" w:hAnsi="Arial" w:cs="Arial"/>
          <w:i/>
        </w:rPr>
      </w:pPr>
      <w:r w:rsidRPr="00EB5878">
        <w:rPr>
          <w:rFonts w:ascii="Arial" w:eastAsia="Calibri" w:hAnsi="Arial" w:cs="Arial"/>
          <w:i/>
        </w:rPr>
        <w:t>I - casos de dano, objeto de medidas administrativas internas;</w:t>
      </w:r>
    </w:p>
    <w:p w14:paraId="760135A3" w14:textId="77777777" w:rsidR="00BB5697" w:rsidRPr="00EB5878" w:rsidRDefault="00BB5697" w:rsidP="00BB5697">
      <w:pPr>
        <w:widowControl w:val="0"/>
        <w:spacing w:after="0" w:line="360" w:lineRule="auto"/>
        <w:ind w:firstLine="708"/>
        <w:jc w:val="both"/>
        <w:rPr>
          <w:rFonts w:ascii="Arial" w:eastAsia="Calibri" w:hAnsi="Arial" w:cs="Arial"/>
          <w:i/>
        </w:rPr>
      </w:pPr>
    </w:p>
    <w:p w14:paraId="2773B05E" w14:textId="77777777" w:rsidR="00BB5697" w:rsidRPr="00EB5878" w:rsidRDefault="00BB5697" w:rsidP="00BB5697">
      <w:pPr>
        <w:widowControl w:val="0"/>
        <w:spacing w:after="0" w:line="360" w:lineRule="auto"/>
        <w:ind w:left="708"/>
        <w:jc w:val="both"/>
        <w:rPr>
          <w:rFonts w:ascii="Arial" w:eastAsia="Calibri" w:hAnsi="Arial" w:cs="Arial"/>
          <w:i/>
        </w:rPr>
      </w:pPr>
      <w:r w:rsidRPr="00EB5878">
        <w:rPr>
          <w:rFonts w:ascii="Arial" w:eastAsia="Calibri" w:hAnsi="Arial" w:cs="Arial"/>
          <w:i/>
        </w:rPr>
        <w:t>II - tomadas de contas especiais cujo encaminhamento foi dispensado ou arquivadas nos termos dos artigos 9º e 10 desta Instrução Normativa;</w:t>
      </w:r>
    </w:p>
    <w:p w14:paraId="1C41CD42" w14:textId="77777777" w:rsidR="00BB5697" w:rsidRPr="00EB5878" w:rsidRDefault="00BB5697" w:rsidP="00BB5697">
      <w:pPr>
        <w:widowControl w:val="0"/>
        <w:spacing w:after="0" w:line="360" w:lineRule="auto"/>
        <w:ind w:left="708"/>
        <w:jc w:val="both"/>
        <w:rPr>
          <w:rFonts w:ascii="Arial" w:eastAsia="Calibri" w:hAnsi="Arial" w:cs="Arial"/>
          <w:i/>
        </w:rPr>
      </w:pPr>
    </w:p>
    <w:p w14:paraId="236C1EEA" w14:textId="77777777" w:rsidR="00BB5697" w:rsidRPr="00EB5878" w:rsidRDefault="00BB5697" w:rsidP="00BB5697">
      <w:pPr>
        <w:widowControl w:val="0"/>
        <w:spacing w:after="0" w:line="360" w:lineRule="auto"/>
        <w:ind w:left="708"/>
        <w:jc w:val="both"/>
        <w:rPr>
          <w:rFonts w:ascii="Arial" w:eastAsia="Calibri" w:hAnsi="Arial" w:cs="Arial"/>
          <w:i/>
        </w:rPr>
      </w:pPr>
      <w:r w:rsidRPr="00EB5878">
        <w:rPr>
          <w:rFonts w:ascii="Arial" w:eastAsia="Calibri" w:hAnsi="Arial" w:cs="Arial"/>
          <w:i/>
        </w:rPr>
        <w:t>III - tomadas de contas especiais instauradas, com destaque para aquelas já remetidas e aquelas ainda não remetidas para julgamento pelo Tribunal.</w:t>
      </w:r>
    </w:p>
    <w:p w14:paraId="05EACADB" w14:textId="77777777" w:rsidR="00BB5697" w:rsidRPr="00EB5878" w:rsidRDefault="00BB5697" w:rsidP="00BB5697">
      <w:pPr>
        <w:widowControl w:val="0"/>
        <w:spacing w:after="0" w:line="360" w:lineRule="auto"/>
        <w:ind w:left="708"/>
        <w:jc w:val="both"/>
        <w:rPr>
          <w:rFonts w:ascii="Arial" w:eastAsia="Calibri" w:hAnsi="Arial" w:cs="Arial"/>
          <w:i/>
        </w:rPr>
      </w:pPr>
    </w:p>
    <w:p w14:paraId="1B74F0DA" w14:textId="77777777" w:rsidR="00BB5697" w:rsidRPr="00EB5878" w:rsidRDefault="00BB5697" w:rsidP="00BB5697">
      <w:pPr>
        <w:widowControl w:val="0"/>
        <w:spacing w:after="0" w:line="360" w:lineRule="auto"/>
        <w:jc w:val="both"/>
        <w:rPr>
          <w:rFonts w:ascii="Arial" w:eastAsia="Calibri" w:hAnsi="Arial" w:cs="Arial"/>
          <w:i/>
        </w:rPr>
      </w:pPr>
      <w:r w:rsidRPr="00EB5878">
        <w:rPr>
          <w:rFonts w:ascii="Arial" w:eastAsia="Calibri" w:hAnsi="Arial" w:cs="Arial"/>
          <w:i/>
        </w:rPr>
        <w:t>[O relatório conterá o número do processo administrativo, o objeto, a data de instauração e a data de encaminhamento ao Tribunal da TCE, o número do Protocolo Interno do Tribunal em caso de encaminhamento, o Valor do débito, se conhecido, e a situação de quitação do débito. As informações podem ser repassadas na forma da tabela abaixo, caso existentes]</w:t>
      </w:r>
    </w:p>
    <w:p w14:paraId="7048A4FF" w14:textId="77777777" w:rsidR="00BB5697" w:rsidRPr="00EB5878" w:rsidRDefault="00BB5697" w:rsidP="00BB5697">
      <w:pPr>
        <w:widowControl w:val="0"/>
        <w:spacing w:after="0" w:line="360" w:lineRule="auto"/>
        <w:jc w:val="both"/>
        <w:rPr>
          <w:rFonts w:ascii="Arial" w:eastAsia="Calibri" w:hAnsi="Arial" w:cs="Arial"/>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843"/>
        <w:gridCol w:w="1134"/>
        <w:gridCol w:w="1842"/>
        <w:gridCol w:w="1134"/>
        <w:gridCol w:w="1701"/>
      </w:tblGrid>
      <w:tr w:rsidR="00BB5697" w:rsidRPr="00EB5878" w14:paraId="362A409A" w14:textId="77777777" w:rsidTr="00BF7C4A">
        <w:trPr>
          <w:trHeight w:val="657"/>
        </w:trPr>
        <w:tc>
          <w:tcPr>
            <w:tcW w:w="1418" w:type="dxa"/>
            <w:shd w:val="clear" w:color="auto" w:fill="auto"/>
            <w:vAlign w:val="center"/>
          </w:tcPr>
          <w:p w14:paraId="2DEEC79E" w14:textId="77777777" w:rsidR="00BB5697" w:rsidRPr="00EB5878" w:rsidRDefault="00BB5697" w:rsidP="00BF7C4A">
            <w:pPr>
              <w:widowControl w:val="0"/>
              <w:autoSpaceDE w:val="0"/>
              <w:autoSpaceDN w:val="0"/>
              <w:adjustRightInd w:val="0"/>
              <w:spacing w:after="0" w:line="240" w:lineRule="auto"/>
              <w:jc w:val="center"/>
              <w:rPr>
                <w:rFonts w:ascii="Arial" w:eastAsia="Calibri" w:hAnsi="Arial" w:cs="Arial"/>
                <w:b/>
                <w:bCs/>
                <w:sz w:val="16"/>
                <w:szCs w:val="16"/>
                <w:lang w:val="en-US"/>
              </w:rPr>
            </w:pPr>
            <w:r w:rsidRPr="00EB5878">
              <w:rPr>
                <w:rFonts w:ascii="Arial" w:eastAsia="Calibri" w:hAnsi="Arial" w:cs="Arial"/>
                <w:b/>
                <w:bCs/>
                <w:sz w:val="16"/>
                <w:szCs w:val="16"/>
                <w:lang w:val="en-US"/>
              </w:rPr>
              <w:t>Processo Administrativo</w:t>
            </w:r>
          </w:p>
        </w:tc>
        <w:tc>
          <w:tcPr>
            <w:tcW w:w="1843" w:type="dxa"/>
            <w:vAlign w:val="center"/>
          </w:tcPr>
          <w:p w14:paraId="3C6CD157" w14:textId="77777777" w:rsidR="00BB5697" w:rsidRPr="00EB5878" w:rsidRDefault="00BB5697" w:rsidP="00BF7C4A">
            <w:pPr>
              <w:widowControl w:val="0"/>
              <w:autoSpaceDE w:val="0"/>
              <w:autoSpaceDN w:val="0"/>
              <w:adjustRightInd w:val="0"/>
              <w:spacing w:after="0" w:line="240" w:lineRule="auto"/>
              <w:jc w:val="center"/>
              <w:rPr>
                <w:rFonts w:ascii="Arial" w:eastAsia="Calibri" w:hAnsi="Arial" w:cs="Arial"/>
                <w:b/>
                <w:bCs/>
                <w:sz w:val="16"/>
                <w:szCs w:val="16"/>
              </w:rPr>
            </w:pPr>
            <w:r w:rsidRPr="00EB5878">
              <w:rPr>
                <w:rFonts w:ascii="Arial" w:eastAsia="Calibri" w:hAnsi="Arial" w:cs="Arial"/>
                <w:b/>
                <w:bCs/>
                <w:sz w:val="16"/>
                <w:szCs w:val="16"/>
              </w:rPr>
              <w:t>Descrição do caso de dano apurado</w:t>
            </w:r>
          </w:p>
        </w:tc>
        <w:tc>
          <w:tcPr>
            <w:tcW w:w="1134" w:type="dxa"/>
            <w:vAlign w:val="center"/>
          </w:tcPr>
          <w:p w14:paraId="35A7C163" w14:textId="77777777" w:rsidR="00BB5697" w:rsidRPr="00EB5878" w:rsidRDefault="00BB5697" w:rsidP="00BF7C4A">
            <w:pPr>
              <w:widowControl w:val="0"/>
              <w:autoSpaceDE w:val="0"/>
              <w:autoSpaceDN w:val="0"/>
              <w:adjustRightInd w:val="0"/>
              <w:spacing w:after="0" w:line="240" w:lineRule="auto"/>
              <w:jc w:val="center"/>
              <w:rPr>
                <w:rFonts w:ascii="Arial" w:eastAsia="Calibri" w:hAnsi="Arial" w:cs="Arial"/>
                <w:b/>
                <w:bCs/>
                <w:sz w:val="16"/>
                <w:szCs w:val="16"/>
                <w:lang w:val="en-US"/>
              </w:rPr>
            </w:pPr>
            <w:r w:rsidRPr="00EB5878">
              <w:rPr>
                <w:rFonts w:ascii="Arial" w:eastAsia="Calibri" w:hAnsi="Arial" w:cs="Arial"/>
                <w:b/>
                <w:bCs/>
                <w:sz w:val="16"/>
                <w:szCs w:val="16"/>
                <w:lang w:val="en-US"/>
              </w:rPr>
              <w:t>Data de Instauração</w:t>
            </w:r>
          </w:p>
        </w:tc>
        <w:tc>
          <w:tcPr>
            <w:tcW w:w="1842" w:type="dxa"/>
            <w:shd w:val="clear" w:color="auto" w:fill="auto"/>
            <w:vAlign w:val="center"/>
          </w:tcPr>
          <w:p w14:paraId="7FB2B114" w14:textId="77777777" w:rsidR="00BB5697" w:rsidRPr="00EB5878" w:rsidRDefault="00BB5697" w:rsidP="00BF7C4A">
            <w:pPr>
              <w:widowControl w:val="0"/>
              <w:autoSpaceDE w:val="0"/>
              <w:autoSpaceDN w:val="0"/>
              <w:adjustRightInd w:val="0"/>
              <w:spacing w:after="0" w:line="240" w:lineRule="auto"/>
              <w:jc w:val="center"/>
              <w:rPr>
                <w:rFonts w:ascii="Arial" w:eastAsia="Calibri" w:hAnsi="Arial" w:cs="Arial"/>
                <w:b/>
                <w:bCs/>
                <w:sz w:val="16"/>
                <w:szCs w:val="16"/>
              </w:rPr>
            </w:pPr>
            <w:r w:rsidRPr="00EB5878">
              <w:rPr>
                <w:rFonts w:ascii="Arial" w:eastAsia="Calibri" w:hAnsi="Arial" w:cs="Arial"/>
                <w:b/>
                <w:bCs/>
                <w:sz w:val="16"/>
                <w:szCs w:val="16"/>
              </w:rPr>
              <w:t>Data de Encaminhamento ao TCE</w:t>
            </w:r>
          </w:p>
        </w:tc>
        <w:tc>
          <w:tcPr>
            <w:tcW w:w="1134" w:type="dxa"/>
            <w:vAlign w:val="center"/>
          </w:tcPr>
          <w:p w14:paraId="05403C5D" w14:textId="77777777" w:rsidR="00BB5697" w:rsidRPr="00EB5878" w:rsidRDefault="00BB5697" w:rsidP="00BF7C4A">
            <w:pPr>
              <w:widowControl w:val="0"/>
              <w:autoSpaceDE w:val="0"/>
              <w:autoSpaceDN w:val="0"/>
              <w:adjustRightInd w:val="0"/>
              <w:spacing w:after="0" w:line="240" w:lineRule="auto"/>
              <w:jc w:val="center"/>
              <w:rPr>
                <w:rFonts w:ascii="Arial" w:eastAsia="Calibri" w:hAnsi="Arial" w:cs="Arial"/>
                <w:b/>
                <w:bCs/>
                <w:sz w:val="16"/>
                <w:szCs w:val="16"/>
                <w:lang w:val="en-US"/>
              </w:rPr>
            </w:pPr>
            <w:r w:rsidRPr="00EB5878">
              <w:rPr>
                <w:rFonts w:ascii="Arial" w:eastAsia="Calibri" w:hAnsi="Arial" w:cs="Arial"/>
                <w:b/>
                <w:bCs/>
                <w:sz w:val="16"/>
                <w:szCs w:val="16"/>
                <w:lang w:val="en-US"/>
              </w:rPr>
              <w:t>Valor de Débito</w:t>
            </w:r>
          </w:p>
        </w:tc>
        <w:tc>
          <w:tcPr>
            <w:tcW w:w="1701" w:type="dxa"/>
            <w:vAlign w:val="center"/>
          </w:tcPr>
          <w:p w14:paraId="0C586513" w14:textId="77777777" w:rsidR="00BB5697" w:rsidRPr="00EB5878" w:rsidRDefault="00BB5697" w:rsidP="00BF7C4A">
            <w:pPr>
              <w:widowControl w:val="0"/>
              <w:autoSpaceDE w:val="0"/>
              <w:autoSpaceDN w:val="0"/>
              <w:adjustRightInd w:val="0"/>
              <w:spacing w:after="0" w:line="240" w:lineRule="auto"/>
              <w:jc w:val="center"/>
              <w:rPr>
                <w:rFonts w:ascii="Arial" w:eastAsia="Calibri" w:hAnsi="Arial" w:cs="Arial"/>
                <w:b/>
                <w:bCs/>
                <w:sz w:val="16"/>
                <w:szCs w:val="16"/>
              </w:rPr>
            </w:pPr>
            <w:r w:rsidRPr="00EB5878">
              <w:rPr>
                <w:rFonts w:ascii="Arial" w:eastAsia="Calibri" w:hAnsi="Arial" w:cs="Arial"/>
                <w:b/>
                <w:bCs/>
                <w:sz w:val="16"/>
                <w:szCs w:val="16"/>
              </w:rPr>
              <w:t>Protocolo/Processo no Tribunal de Contas</w:t>
            </w:r>
          </w:p>
        </w:tc>
      </w:tr>
      <w:tr w:rsidR="00BB5697" w:rsidRPr="00EB5878" w14:paraId="297A310F" w14:textId="77777777" w:rsidTr="00BF7C4A">
        <w:trPr>
          <w:trHeight w:val="227"/>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DFD1E5A" w14:textId="77777777" w:rsidR="00BB5697" w:rsidRPr="00EB5878" w:rsidRDefault="00BB5697" w:rsidP="00BF7C4A">
            <w:pPr>
              <w:widowControl w:val="0"/>
              <w:autoSpaceDE w:val="0"/>
              <w:autoSpaceDN w:val="0"/>
              <w:adjustRightInd w:val="0"/>
              <w:spacing w:after="0" w:line="240" w:lineRule="auto"/>
              <w:jc w:val="both"/>
              <w:rPr>
                <w:rFonts w:ascii="Arial" w:eastAsia="Calibri" w:hAnsi="Arial" w:cs="Arial"/>
                <w:bCs/>
                <w:sz w:val="16"/>
                <w:szCs w:val="16"/>
              </w:rPr>
            </w:pPr>
          </w:p>
        </w:tc>
        <w:tc>
          <w:tcPr>
            <w:tcW w:w="1843" w:type="dxa"/>
            <w:tcBorders>
              <w:top w:val="single" w:sz="4" w:space="0" w:color="auto"/>
              <w:left w:val="single" w:sz="4" w:space="0" w:color="auto"/>
              <w:bottom w:val="single" w:sz="4" w:space="0" w:color="auto"/>
              <w:right w:val="single" w:sz="4" w:space="0" w:color="auto"/>
            </w:tcBorders>
            <w:vAlign w:val="center"/>
          </w:tcPr>
          <w:p w14:paraId="42822455" w14:textId="77777777" w:rsidR="00BB5697" w:rsidRPr="00EB5878" w:rsidRDefault="00BB5697" w:rsidP="00BF7C4A">
            <w:pPr>
              <w:widowControl w:val="0"/>
              <w:autoSpaceDE w:val="0"/>
              <w:autoSpaceDN w:val="0"/>
              <w:adjustRightInd w:val="0"/>
              <w:spacing w:after="0" w:line="240" w:lineRule="auto"/>
              <w:jc w:val="both"/>
              <w:rPr>
                <w:rFonts w:ascii="Arial" w:eastAsia="Calibri" w:hAnsi="Arial" w:cs="Arial"/>
                <w:bCs/>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15B8AF37" w14:textId="77777777" w:rsidR="00BB5697" w:rsidRPr="00EB5878" w:rsidRDefault="00BB5697" w:rsidP="00BF7C4A">
            <w:pPr>
              <w:widowControl w:val="0"/>
              <w:autoSpaceDE w:val="0"/>
              <w:autoSpaceDN w:val="0"/>
              <w:adjustRightInd w:val="0"/>
              <w:spacing w:after="0" w:line="240" w:lineRule="auto"/>
              <w:jc w:val="both"/>
              <w:rPr>
                <w:rFonts w:ascii="Arial" w:eastAsia="Calibri" w:hAnsi="Arial" w:cs="Arial"/>
                <w:bCs/>
                <w:sz w:val="16"/>
                <w:szCs w:val="16"/>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69269EC1" w14:textId="77777777" w:rsidR="00BB5697" w:rsidRPr="00EB5878" w:rsidRDefault="00BB5697" w:rsidP="00BF7C4A">
            <w:pPr>
              <w:widowControl w:val="0"/>
              <w:autoSpaceDE w:val="0"/>
              <w:autoSpaceDN w:val="0"/>
              <w:adjustRightInd w:val="0"/>
              <w:spacing w:after="0" w:line="240" w:lineRule="auto"/>
              <w:jc w:val="both"/>
              <w:rPr>
                <w:rFonts w:ascii="Arial" w:eastAsia="Calibri" w:hAnsi="Arial" w:cs="Arial"/>
                <w:bCs/>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09A540C9" w14:textId="77777777" w:rsidR="00BB5697" w:rsidRPr="00EB5878" w:rsidRDefault="00BB5697" w:rsidP="00BF7C4A">
            <w:pPr>
              <w:widowControl w:val="0"/>
              <w:autoSpaceDE w:val="0"/>
              <w:autoSpaceDN w:val="0"/>
              <w:adjustRightInd w:val="0"/>
              <w:spacing w:after="0" w:line="240" w:lineRule="auto"/>
              <w:jc w:val="both"/>
              <w:rPr>
                <w:rFonts w:ascii="Arial" w:eastAsia="Calibri" w:hAnsi="Arial" w:cs="Arial"/>
                <w:bCs/>
                <w:sz w:val="16"/>
                <w:szCs w:val="16"/>
              </w:rPr>
            </w:pPr>
          </w:p>
        </w:tc>
        <w:tc>
          <w:tcPr>
            <w:tcW w:w="1701" w:type="dxa"/>
            <w:tcBorders>
              <w:top w:val="single" w:sz="4" w:space="0" w:color="auto"/>
              <w:left w:val="single" w:sz="4" w:space="0" w:color="auto"/>
              <w:bottom w:val="single" w:sz="4" w:space="0" w:color="auto"/>
              <w:right w:val="single" w:sz="4" w:space="0" w:color="auto"/>
            </w:tcBorders>
            <w:vAlign w:val="center"/>
          </w:tcPr>
          <w:p w14:paraId="23B31D5D" w14:textId="77777777" w:rsidR="00BB5697" w:rsidRPr="00EB5878" w:rsidRDefault="00BB5697" w:rsidP="00BF7C4A">
            <w:pPr>
              <w:widowControl w:val="0"/>
              <w:autoSpaceDE w:val="0"/>
              <w:autoSpaceDN w:val="0"/>
              <w:adjustRightInd w:val="0"/>
              <w:spacing w:after="0" w:line="240" w:lineRule="auto"/>
              <w:jc w:val="both"/>
              <w:rPr>
                <w:rFonts w:ascii="Arial" w:eastAsia="Calibri" w:hAnsi="Arial" w:cs="Arial"/>
                <w:bCs/>
                <w:sz w:val="16"/>
                <w:szCs w:val="16"/>
              </w:rPr>
            </w:pPr>
          </w:p>
        </w:tc>
      </w:tr>
      <w:tr w:rsidR="00BB5697" w:rsidRPr="00EB5878" w14:paraId="16A9E197" w14:textId="77777777" w:rsidTr="00BF7C4A">
        <w:trPr>
          <w:trHeight w:val="227"/>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FB8CFBC" w14:textId="77777777" w:rsidR="00BB5697" w:rsidRPr="00EB5878" w:rsidRDefault="00BB5697" w:rsidP="00BF7C4A">
            <w:pPr>
              <w:widowControl w:val="0"/>
              <w:autoSpaceDE w:val="0"/>
              <w:autoSpaceDN w:val="0"/>
              <w:adjustRightInd w:val="0"/>
              <w:spacing w:after="0" w:line="240" w:lineRule="auto"/>
              <w:jc w:val="both"/>
              <w:rPr>
                <w:rFonts w:ascii="Arial" w:eastAsia="Calibri" w:hAnsi="Arial" w:cs="Arial"/>
                <w:bCs/>
                <w:sz w:val="16"/>
                <w:szCs w:val="16"/>
              </w:rPr>
            </w:pPr>
          </w:p>
        </w:tc>
        <w:tc>
          <w:tcPr>
            <w:tcW w:w="1843" w:type="dxa"/>
            <w:tcBorders>
              <w:top w:val="single" w:sz="4" w:space="0" w:color="auto"/>
              <w:left w:val="single" w:sz="4" w:space="0" w:color="auto"/>
              <w:bottom w:val="single" w:sz="4" w:space="0" w:color="auto"/>
              <w:right w:val="single" w:sz="4" w:space="0" w:color="auto"/>
            </w:tcBorders>
            <w:vAlign w:val="center"/>
          </w:tcPr>
          <w:p w14:paraId="00063D7C" w14:textId="77777777" w:rsidR="00BB5697" w:rsidRPr="00EB5878" w:rsidRDefault="00BB5697" w:rsidP="00BF7C4A">
            <w:pPr>
              <w:widowControl w:val="0"/>
              <w:autoSpaceDE w:val="0"/>
              <w:autoSpaceDN w:val="0"/>
              <w:adjustRightInd w:val="0"/>
              <w:spacing w:after="0" w:line="240" w:lineRule="auto"/>
              <w:jc w:val="both"/>
              <w:rPr>
                <w:rFonts w:ascii="Arial" w:eastAsia="Calibri" w:hAnsi="Arial" w:cs="Arial"/>
                <w:bCs/>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0A717DE4" w14:textId="77777777" w:rsidR="00BB5697" w:rsidRPr="00EB5878" w:rsidRDefault="00BB5697" w:rsidP="00BF7C4A">
            <w:pPr>
              <w:widowControl w:val="0"/>
              <w:autoSpaceDE w:val="0"/>
              <w:autoSpaceDN w:val="0"/>
              <w:adjustRightInd w:val="0"/>
              <w:spacing w:after="0" w:line="240" w:lineRule="auto"/>
              <w:jc w:val="both"/>
              <w:rPr>
                <w:rFonts w:ascii="Arial" w:eastAsia="Calibri" w:hAnsi="Arial" w:cs="Arial"/>
                <w:bCs/>
                <w:sz w:val="16"/>
                <w:szCs w:val="16"/>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3EF73E04" w14:textId="77777777" w:rsidR="00BB5697" w:rsidRPr="00EB5878" w:rsidRDefault="00BB5697" w:rsidP="00BF7C4A">
            <w:pPr>
              <w:widowControl w:val="0"/>
              <w:autoSpaceDE w:val="0"/>
              <w:autoSpaceDN w:val="0"/>
              <w:adjustRightInd w:val="0"/>
              <w:spacing w:after="0" w:line="240" w:lineRule="auto"/>
              <w:jc w:val="both"/>
              <w:rPr>
                <w:rFonts w:ascii="Arial" w:eastAsia="Calibri" w:hAnsi="Arial" w:cs="Arial"/>
                <w:bCs/>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2E12EAB4" w14:textId="77777777" w:rsidR="00BB5697" w:rsidRPr="00EB5878" w:rsidRDefault="00BB5697" w:rsidP="00BF7C4A">
            <w:pPr>
              <w:widowControl w:val="0"/>
              <w:autoSpaceDE w:val="0"/>
              <w:autoSpaceDN w:val="0"/>
              <w:adjustRightInd w:val="0"/>
              <w:spacing w:after="0" w:line="240" w:lineRule="auto"/>
              <w:jc w:val="both"/>
              <w:rPr>
                <w:rFonts w:ascii="Arial" w:eastAsia="Calibri" w:hAnsi="Arial" w:cs="Arial"/>
                <w:bCs/>
                <w:sz w:val="16"/>
                <w:szCs w:val="16"/>
              </w:rPr>
            </w:pPr>
          </w:p>
        </w:tc>
        <w:tc>
          <w:tcPr>
            <w:tcW w:w="1701" w:type="dxa"/>
            <w:tcBorders>
              <w:top w:val="single" w:sz="4" w:space="0" w:color="auto"/>
              <w:left w:val="single" w:sz="4" w:space="0" w:color="auto"/>
              <w:bottom w:val="single" w:sz="4" w:space="0" w:color="auto"/>
              <w:right w:val="single" w:sz="4" w:space="0" w:color="auto"/>
            </w:tcBorders>
            <w:vAlign w:val="center"/>
          </w:tcPr>
          <w:p w14:paraId="26C2B516" w14:textId="77777777" w:rsidR="00BB5697" w:rsidRPr="00EB5878" w:rsidRDefault="00BB5697" w:rsidP="00BF7C4A">
            <w:pPr>
              <w:widowControl w:val="0"/>
              <w:autoSpaceDE w:val="0"/>
              <w:autoSpaceDN w:val="0"/>
              <w:adjustRightInd w:val="0"/>
              <w:spacing w:after="0" w:line="240" w:lineRule="auto"/>
              <w:jc w:val="both"/>
              <w:rPr>
                <w:rFonts w:ascii="Arial" w:eastAsia="Calibri" w:hAnsi="Arial" w:cs="Arial"/>
                <w:bCs/>
                <w:sz w:val="16"/>
                <w:szCs w:val="16"/>
              </w:rPr>
            </w:pPr>
          </w:p>
        </w:tc>
      </w:tr>
    </w:tbl>
    <w:p w14:paraId="0E40141B" w14:textId="77777777" w:rsidR="00BB5697" w:rsidRPr="00EB5878" w:rsidRDefault="00BB5697" w:rsidP="00BB5697">
      <w:pPr>
        <w:widowControl w:val="0"/>
        <w:spacing w:after="0" w:line="360" w:lineRule="auto"/>
        <w:jc w:val="both"/>
        <w:rPr>
          <w:rFonts w:ascii="Arial" w:eastAsia="Calibri" w:hAnsi="Arial" w:cs="Arial"/>
        </w:rPr>
      </w:pPr>
    </w:p>
    <w:p w14:paraId="4B5016C4" w14:textId="77777777" w:rsidR="00BB5697" w:rsidRPr="00EB5878" w:rsidRDefault="00BB5697" w:rsidP="00BB5697">
      <w:pPr>
        <w:widowControl w:val="0"/>
        <w:spacing w:after="0" w:line="360" w:lineRule="auto"/>
        <w:jc w:val="both"/>
        <w:rPr>
          <w:rFonts w:ascii="Arial" w:eastAsia="Calibri" w:hAnsi="Arial" w:cs="Arial"/>
        </w:rPr>
      </w:pPr>
      <w:r w:rsidRPr="00EB5878">
        <w:rPr>
          <w:rFonts w:ascii="Arial" w:eastAsia="Calibri" w:hAnsi="Arial" w:cs="Arial"/>
        </w:rPr>
        <w:t>[</w:t>
      </w:r>
      <w:r w:rsidRPr="00EB5878">
        <w:rPr>
          <w:rFonts w:ascii="Arial" w:eastAsia="Calibri" w:hAnsi="Arial" w:cs="Arial"/>
          <w:i/>
        </w:rPr>
        <w:t>Local e data</w:t>
      </w:r>
      <w:r w:rsidRPr="00EB5878">
        <w:rPr>
          <w:rFonts w:ascii="Arial" w:eastAsia="Calibri" w:hAnsi="Arial" w:cs="Arial"/>
        </w:rPr>
        <w:t>]</w:t>
      </w:r>
    </w:p>
    <w:p w14:paraId="5A863791" w14:textId="77777777" w:rsidR="00BB5697" w:rsidRPr="00EB5878" w:rsidRDefault="00BB5697" w:rsidP="00BB5697">
      <w:pPr>
        <w:widowControl w:val="0"/>
        <w:spacing w:after="0" w:line="360" w:lineRule="auto"/>
        <w:jc w:val="both"/>
        <w:rPr>
          <w:rFonts w:ascii="Arial" w:eastAsia="Calibri" w:hAnsi="Arial" w:cs="Arial"/>
          <w:b/>
        </w:rPr>
      </w:pPr>
    </w:p>
    <w:p w14:paraId="6A0E91C3" w14:textId="77777777" w:rsidR="00BB5697" w:rsidRDefault="00BB5697" w:rsidP="00BB5697">
      <w:pPr>
        <w:spacing w:after="0" w:line="240" w:lineRule="auto"/>
        <w:jc w:val="both"/>
        <w:rPr>
          <w:rFonts w:ascii="Arial" w:eastAsia="Calibri" w:hAnsi="Arial" w:cs="Arial"/>
          <w:sz w:val="20"/>
          <w:szCs w:val="20"/>
        </w:rPr>
        <w:sectPr w:rsidR="00BB5697" w:rsidSect="00E7482B">
          <w:footnotePr>
            <w:numRestart w:val="eachPage"/>
          </w:footnotePr>
          <w:type w:val="continuous"/>
          <w:pgSz w:w="11906" w:h="16838"/>
          <w:pgMar w:top="1418" w:right="1134" w:bottom="1418" w:left="1701" w:header="709" w:footer="709" w:gutter="0"/>
          <w:cols w:space="708"/>
          <w:docGrid w:linePitch="360"/>
        </w:sectPr>
      </w:pPr>
      <w:r w:rsidRPr="00EB5878">
        <w:rPr>
          <w:rFonts w:ascii="Arial" w:eastAsia="Calibri" w:hAnsi="Arial" w:cs="Arial"/>
          <w:b/>
        </w:rPr>
        <w:t>Assinaturas:</w:t>
      </w:r>
      <w:r w:rsidRPr="00EB5878">
        <w:rPr>
          <w:rFonts w:ascii="Arial" w:eastAsia="Calibri" w:hAnsi="Arial" w:cs="Arial"/>
        </w:rPr>
        <w:t xml:space="preserve"> </w:t>
      </w:r>
      <w:r w:rsidRPr="00EB5878">
        <w:rPr>
          <w:rFonts w:ascii="Arial" w:eastAsia="Calibri" w:hAnsi="Arial" w:cs="Arial"/>
          <w:i/>
        </w:rPr>
        <w:t>Assinatura dos responsáveis pela unidade de controle interno</w:t>
      </w:r>
    </w:p>
    <w:p w14:paraId="1B89E9D4" w14:textId="16D31A25" w:rsidR="00855EF3" w:rsidRDefault="00855EF3" w:rsidP="00855EF3">
      <w:pPr>
        <w:pStyle w:val="Ttulo3"/>
      </w:pPr>
      <w:bookmarkStart w:id="92" w:name="_Toc94806364"/>
      <w:r w:rsidRPr="00855EF3">
        <w:lastRenderedPageBreak/>
        <w:t>TERMOV / TERIMO / TERALM / TERINT</w:t>
      </w:r>
      <w:bookmarkEnd w:id="92"/>
    </w:p>
    <w:p w14:paraId="24AB690E" w14:textId="77777777" w:rsidR="00BB5697" w:rsidRDefault="00BB5697" w:rsidP="00BB5697">
      <w:pPr>
        <w:spacing w:after="0" w:line="240" w:lineRule="auto"/>
        <w:jc w:val="both"/>
        <w:rPr>
          <w:rFonts w:ascii="Arial" w:eastAsia="Calibri" w:hAnsi="Arial" w:cs="Arial"/>
          <w:sz w:val="20"/>
          <w:szCs w:val="20"/>
        </w:rPr>
      </w:pPr>
    </w:p>
    <w:tbl>
      <w:tblPr>
        <w:tblW w:w="9639" w:type="dxa"/>
        <w:tblInd w:w="7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9639"/>
      </w:tblGrid>
      <w:tr w:rsidR="00BB5697" w:rsidRPr="00FD1551" w14:paraId="52D0515C" w14:textId="77777777" w:rsidTr="00BF7C4A">
        <w:trPr>
          <w:trHeight w:val="283"/>
        </w:trPr>
        <w:tc>
          <w:tcPr>
            <w:tcW w:w="9639" w:type="dxa"/>
          </w:tcPr>
          <w:p w14:paraId="5EEA050B" w14:textId="77777777" w:rsidR="00BB5697" w:rsidRPr="00FD1551" w:rsidRDefault="00BB5697" w:rsidP="00BF7C4A">
            <w:pPr>
              <w:spacing w:after="0" w:line="360" w:lineRule="auto"/>
              <w:jc w:val="both"/>
              <w:rPr>
                <w:rFonts w:ascii="Arial" w:eastAsia="Times New Roman" w:hAnsi="Arial" w:cs="Arial"/>
                <w:color w:val="000000"/>
                <w:sz w:val="16"/>
                <w:szCs w:val="16"/>
                <w:lang w:eastAsia="pt-BR"/>
              </w:rPr>
            </w:pPr>
            <w:r w:rsidRPr="00FD1551">
              <w:rPr>
                <w:rFonts w:ascii="Arial" w:eastAsia="Times New Roman" w:hAnsi="Arial" w:cs="Arial"/>
                <w:b/>
                <w:bCs/>
                <w:color w:val="000000"/>
                <w:sz w:val="16"/>
                <w:szCs w:val="16"/>
                <w:lang w:eastAsia="pt-BR"/>
              </w:rPr>
              <w:t>IDENTIFICAÇÃO:</w:t>
            </w:r>
            <w:r w:rsidRPr="00FD1551">
              <w:rPr>
                <w:rFonts w:ascii="Arial" w:eastAsia="Times New Roman" w:hAnsi="Arial" w:cs="Arial"/>
                <w:color w:val="000000"/>
                <w:sz w:val="16"/>
                <w:szCs w:val="16"/>
                <w:lang w:eastAsia="pt-BR"/>
              </w:rPr>
              <w:t> </w:t>
            </w:r>
          </w:p>
        </w:tc>
      </w:tr>
      <w:tr w:rsidR="00BB5697" w:rsidRPr="00FD1551" w14:paraId="28A8E822" w14:textId="77777777" w:rsidTr="00BF7C4A">
        <w:trPr>
          <w:trHeight w:val="283"/>
        </w:trPr>
        <w:tc>
          <w:tcPr>
            <w:tcW w:w="9639" w:type="dxa"/>
            <w:shd w:val="clear" w:color="auto" w:fill="auto"/>
            <w:noWrap/>
            <w:vAlign w:val="bottom"/>
            <w:hideMark/>
          </w:tcPr>
          <w:p w14:paraId="1CCE1283" w14:textId="77777777" w:rsidR="00BB5697" w:rsidRPr="00FD1551" w:rsidRDefault="00BB5697" w:rsidP="00BF7C4A">
            <w:pPr>
              <w:spacing w:after="0" w:line="360" w:lineRule="auto"/>
              <w:jc w:val="both"/>
              <w:rPr>
                <w:rFonts w:ascii="Arial" w:eastAsia="Times New Roman" w:hAnsi="Arial" w:cs="Arial"/>
                <w:b/>
                <w:bCs/>
                <w:color w:val="000000"/>
                <w:sz w:val="16"/>
                <w:szCs w:val="16"/>
                <w:lang w:eastAsia="pt-BR"/>
              </w:rPr>
            </w:pPr>
            <w:r w:rsidRPr="00FD1551">
              <w:rPr>
                <w:rFonts w:ascii="Arial" w:eastAsia="Times New Roman" w:hAnsi="Arial" w:cs="Arial"/>
                <w:b/>
                <w:bCs/>
                <w:color w:val="000000"/>
                <w:sz w:val="16"/>
                <w:szCs w:val="16"/>
                <w:lang w:eastAsia="pt-BR"/>
              </w:rPr>
              <w:t>EXERCÍCIO:</w:t>
            </w:r>
          </w:p>
        </w:tc>
      </w:tr>
    </w:tbl>
    <w:p w14:paraId="72DE3132" w14:textId="77777777" w:rsidR="00BB5697" w:rsidRDefault="00BB5697" w:rsidP="00BB5697">
      <w:pPr>
        <w:spacing w:after="0" w:line="240" w:lineRule="auto"/>
        <w:jc w:val="both"/>
        <w:rPr>
          <w:rFonts w:ascii="Arial" w:eastAsia="Calibri" w:hAnsi="Arial" w:cs="Arial"/>
          <w:sz w:val="20"/>
          <w:szCs w:val="20"/>
        </w:rPr>
      </w:pPr>
    </w:p>
    <w:p w14:paraId="51124AFE" w14:textId="77777777" w:rsidR="00BB5697" w:rsidRDefault="00BB5697" w:rsidP="00BB5697">
      <w:pPr>
        <w:spacing w:after="0" w:line="240" w:lineRule="auto"/>
        <w:jc w:val="both"/>
        <w:rPr>
          <w:rFonts w:ascii="Arial" w:eastAsia="Calibri" w:hAnsi="Arial" w:cs="Arial"/>
          <w:sz w:val="20"/>
          <w:szCs w:val="20"/>
        </w:rPr>
      </w:pPr>
    </w:p>
    <w:tbl>
      <w:tblPr>
        <w:tblStyle w:val="Tabelacomgrade"/>
        <w:tblW w:w="9639" w:type="dxa"/>
        <w:tblInd w:w="-15" w:type="dxa"/>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639"/>
      </w:tblGrid>
      <w:tr w:rsidR="00BB5697" w:rsidRPr="00AD58A9" w14:paraId="61905DAE" w14:textId="77777777" w:rsidTr="00BF7C4A">
        <w:trPr>
          <w:trHeight w:val="2971"/>
        </w:trPr>
        <w:tc>
          <w:tcPr>
            <w:tcW w:w="9639" w:type="dxa"/>
            <w:tcBorders>
              <w:bottom w:val="single" w:sz="6" w:space="0" w:color="000000"/>
            </w:tcBorders>
          </w:tcPr>
          <w:p w14:paraId="45D3C79E" w14:textId="77777777" w:rsidR="00BB5697" w:rsidRDefault="00BB5697" w:rsidP="00BF7C4A">
            <w:pPr>
              <w:spacing w:before="96"/>
              <w:jc w:val="center"/>
              <w:rPr>
                <w:b/>
                <w:w w:val="105"/>
                <w:sz w:val="25"/>
              </w:rPr>
            </w:pPr>
          </w:p>
          <w:p w14:paraId="689DCDF7" w14:textId="77777777" w:rsidR="00BB5697" w:rsidRPr="00465543" w:rsidRDefault="00BB5697" w:rsidP="00BF7C4A">
            <w:pPr>
              <w:spacing w:before="96"/>
              <w:jc w:val="center"/>
              <w:rPr>
                <w:rFonts w:ascii="Arial" w:hAnsi="Arial" w:cs="Arial"/>
                <w:b/>
                <w:w w:val="105"/>
                <w:sz w:val="22"/>
                <w:szCs w:val="22"/>
              </w:rPr>
            </w:pPr>
            <w:r w:rsidRPr="00465543">
              <w:rPr>
                <w:rFonts w:ascii="Arial" w:hAnsi="Arial" w:cs="Arial"/>
                <w:b/>
                <w:w w:val="105"/>
                <w:sz w:val="22"/>
                <w:szCs w:val="22"/>
              </w:rPr>
              <w:t>TERMO DE INVENTÁRIO ANUAL DE BENS__________</w:t>
            </w:r>
          </w:p>
          <w:p w14:paraId="08F36735" w14:textId="77777777" w:rsidR="00BB5697" w:rsidRDefault="00BB5697" w:rsidP="00BF7C4A">
            <w:pPr>
              <w:spacing w:before="96"/>
              <w:jc w:val="center"/>
              <w:rPr>
                <w:b/>
                <w:w w:val="105"/>
                <w:sz w:val="25"/>
              </w:rPr>
            </w:pPr>
          </w:p>
          <w:p w14:paraId="7CCB13FF" w14:textId="77777777" w:rsidR="00BB5697" w:rsidRDefault="00BB5697" w:rsidP="00BF7C4A">
            <w:pPr>
              <w:spacing w:line="360" w:lineRule="auto"/>
              <w:ind w:left="142"/>
              <w:jc w:val="both"/>
              <w:rPr>
                <w:w w:val="105"/>
                <w:sz w:val="25"/>
              </w:rPr>
            </w:pPr>
          </w:p>
          <w:p w14:paraId="15CB233D" w14:textId="77777777" w:rsidR="00BB5697" w:rsidRPr="00465543" w:rsidRDefault="00BB5697" w:rsidP="00BF7C4A">
            <w:pPr>
              <w:spacing w:line="360" w:lineRule="auto"/>
              <w:ind w:left="142"/>
              <w:jc w:val="both"/>
              <w:rPr>
                <w:rFonts w:ascii="Arial" w:hAnsi="Arial" w:cs="Arial"/>
                <w:w w:val="105"/>
                <w:sz w:val="22"/>
                <w:szCs w:val="22"/>
              </w:rPr>
            </w:pPr>
            <w:r w:rsidRPr="00465543">
              <w:rPr>
                <w:rFonts w:ascii="Arial" w:hAnsi="Arial" w:cs="Arial"/>
                <w:w w:val="105"/>
                <w:sz w:val="22"/>
                <w:szCs w:val="22"/>
              </w:rPr>
              <w:t xml:space="preserve">A Comissão de Inventário, instituída pela Portaria (ou </w:t>
            </w:r>
            <w:r>
              <w:rPr>
                <w:rFonts w:ascii="Arial" w:hAnsi="Arial" w:cs="Arial"/>
                <w:w w:val="105"/>
                <w:sz w:val="22"/>
                <w:szCs w:val="22"/>
              </w:rPr>
              <w:t>D</w:t>
            </w:r>
            <w:r w:rsidRPr="00465543">
              <w:rPr>
                <w:rFonts w:ascii="Arial" w:hAnsi="Arial" w:cs="Arial"/>
                <w:w w:val="105"/>
                <w:sz w:val="22"/>
                <w:szCs w:val="22"/>
              </w:rPr>
              <w:t>ecreto, Ordem de serviço etc), de __ de _________ de 20</w:t>
            </w:r>
            <w:r>
              <w:rPr>
                <w:rFonts w:ascii="Arial" w:hAnsi="Arial" w:cs="Arial"/>
                <w:w w:val="105"/>
                <w:sz w:val="22"/>
                <w:szCs w:val="22"/>
              </w:rPr>
              <w:t>2</w:t>
            </w:r>
            <w:r w:rsidRPr="00465543">
              <w:rPr>
                <w:rFonts w:ascii="Arial" w:hAnsi="Arial" w:cs="Arial"/>
                <w:w w:val="105"/>
                <w:sz w:val="22"/>
                <w:szCs w:val="22"/>
              </w:rPr>
              <w:t xml:space="preserve">__, publicada no </w:t>
            </w:r>
            <w:r>
              <w:rPr>
                <w:rFonts w:ascii="Arial" w:hAnsi="Arial" w:cs="Arial"/>
                <w:w w:val="105"/>
                <w:sz w:val="22"/>
                <w:szCs w:val="22"/>
              </w:rPr>
              <w:t>D</w:t>
            </w:r>
            <w:r w:rsidRPr="00465543">
              <w:rPr>
                <w:rFonts w:ascii="Arial" w:hAnsi="Arial" w:cs="Arial"/>
                <w:w w:val="105"/>
                <w:sz w:val="22"/>
                <w:szCs w:val="22"/>
              </w:rPr>
              <w:t xml:space="preserve">iário </w:t>
            </w:r>
            <w:r>
              <w:rPr>
                <w:rFonts w:ascii="Arial" w:hAnsi="Arial" w:cs="Arial"/>
                <w:w w:val="105"/>
                <w:sz w:val="22"/>
                <w:szCs w:val="22"/>
              </w:rPr>
              <w:t>O</w:t>
            </w:r>
            <w:r w:rsidRPr="00465543">
              <w:rPr>
                <w:rFonts w:ascii="Arial" w:hAnsi="Arial" w:cs="Arial"/>
                <w:w w:val="105"/>
                <w:sz w:val="22"/>
                <w:szCs w:val="22"/>
              </w:rPr>
              <w:t>ficial de __    de _________de 20</w:t>
            </w:r>
            <w:r>
              <w:rPr>
                <w:rFonts w:ascii="Arial" w:hAnsi="Arial" w:cs="Arial"/>
                <w:w w:val="105"/>
                <w:sz w:val="22"/>
                <w:szCs w:val="22"/>
              </w:rPr>
              <w:t>2</w:t>
            </w:r>
            <w:r w:rsidRPr="00465543">
              <w:rPr>
                <w:rFonts w:ascii="Arial" w:hAnsi="Arial" w:cs="Arial"/>
                <w:w w:val="105"/>
                <w:sz w:val="22"/>
                <w:szCs w:val="22"/>
              </w:rPr>
              <w:t>_, declara para os devidos fins que realizou o Inventário Anual de Bens _____________, registrado no processo administrativo n° _________, tendo apurado os seguintes valores:</w:t>
            </w:r>
          </w:p>
          <w:p w14:paraId="2D13898B" w14:textId="77777777" w:rsidR="00BB5697" w:rsidRDefault="00BB5697" w:rsidP="00BF7C4A">
            <w:pPr>
              <w:spacing w:before="96"/>
              <w:jc w:val="center"/>
              <w:rPr>
                <w:b/>
                <w:w w:val="105"/>
                <w:sz w:val="25"/>
              </w:rPr>
            </w:pPr>
          </w:p>
        </w:tc>
      </w:tr>
    </w:tbl>
    <w:tbl>
      <w:tblPr>
        <w:tblStyle w:val="TableNormal"/>
        <w:tblW w:w="9639" w:type="dxa"/>
        <w:tblInd w:w="-15"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4149"/>
        <w:gridCol w:w="1985"/>
        <w:gridCol w:w="1889"/>
        <w:gridCol w:w="1616"/>
      </w:tblGrid>
      <w:tr w:rsidR="00BB5697" w14:paraId="43CC5BCF" w14:textId="77777777" w:rsidTr="00BF7C4A">
        <w:trPr>
          <w:trHeight w:val="224"/>
        </w:trPr>
        <w:tc>
          <w:tcPr>
            <w:tcW w:w="4149" w:type="dxa"/>
            <w:vMerge w:val="restart"/>
            <w:tcBorders>
              <w:top w:val="single" w:sz="6" w:space="0" w:color="000000"/>
              <w:left w:val="single" w:sz="12" w:space="0" w:color="000000"/>
              <w:bottom w:val="single" w:sz="12" w:space="0" w:color="000000"/>
              <w:right w:val="single" w:sz="12" w:space="0" w:color="000000"/>
            </w:tcBorders>
          </w:tcPr>
          <w:p w14:paraId="7A66C149" w14:textId="77777777" w:rsidR="00BB5697" w:rsidRPr="00465543" w:rsidRDefault="00BB5697" w:rsidP="00BF7C4A">
            <w:pPr>
              <w:pStyle w:val="TableParagraph"/>
              <w:spacing w:before="157"/>
              <w:ind w:left="1210"/>
              <w:rPr>
                <w:rFonts w:ascii="Arial" w:hAnsi="Arial" w:cs="Arial"/>
                <w:b/>
                <w:sz w:val="20"/>
                <w:szCs w:val="20"/>
              </w:rPr>
            </w:pPr>
            <w:r w:rsidRPr="00465543">
              <w:rPr>
                <w:rFonts w:ascii="Arial" w:hAnsi="Arial" w:cs="Arial"/>
                <w:b/>
                <w:sz w:val="20"/>
                <w:szCs w:val="20"/>
              </w:rPr>
              <w:t>Saldo de Bens ___________</w:t>
            </w:r>
          </w:p>
        </w:tc>
        <w:tc>
          <w:tcPr>
            <w:tcW w:w="1985" w:type="dxa"/>
            <w:tcBorders>
              <w:top w:val="single" w:sz="6" w:space="0" w:color="000000"/>
              <w:left w:val="single" w:sz="12" w:space="0" w:color="000000"/>
              <w:bottom w:val="single" w:sz="12" w:space="0" w:color="000000"/>
              <w:right w:val="single" w:sz="12" w:space="0" w:color="000000"/>
            </w:tcBorders>
          </w:tcPr>
          <w:p w14:paraId="53120EFF" w14:textId="77777777" w:rsidR="00BB5697" w:rsidRPr="00465543" w:rsidRDefault="00BB5697" w:rsidP="00BF7C4A">
            <w:pPr>
              <w:pStyle w:val="TableParagraph"/>
              <w:spacing w:before="25" w:line="179" w:lineRule="exact"/>
              <w:ind w:left="139"/>
              <w:rPr>
                <w:rFonts w:ascii="Arial" w:hAnsi="Arial" w:cs="Arial"/>
                <w:sz w:val="20"/>
                <w:szCs w:val="20"/>
              </w:rPr>
            </w:pPr>
            <w:r w:rsidRPr="00465543">
              <w:rPr>
                <w:rFonts w:ascii="Arial" w:hAnsi="Arial" w:cs="Arial"/>
                <w:sz w:val="20"/>
                <w:szCs w:val="20"/>
              </w:rPr>
              <w:t>Saldo Contábil R$</w:t>
            </w:r>
          </w:p>
        </w:tc>
        <w:tc>
          <w:tcPr>
            <w:tcW w:w="1889" w:type="dxa"/>
            <w:tcBorders>
              <w:top w:val="single" w:sz="6" w:space="0" w:color="000000"/>
              <w:left w:val="single" w:sz="12" w:space="0" w:color="000000"/>
              <w:bottom w:val="single" w:sz="12" w:space="0" w:color="000000"/>
              <w:right w:val="single" w:sz="12" w:space="0" w:color="000000"/>
            </w:tcBorders>
          </w:tcPr>
          <w:p w14:paraId="76D621AD" w14:textId="77777777" w:rsidR="00BB5697" w:rsidRPr="00465543" w:rsidRDefault="00BB5697" w:rsidP="00BF7C4A">
            <w:pPr>
              <w:pStyle w:val="TableParagraph"/>
              <w:spacing w:before="25" w:line="179" w:lineRule="exact"/>
              <w:ind w:right="47"/>
              <w:jc w:val="right"/>
              <w:rPr>
                <w:rFonts w:ascii="Arial" w:hAnsi="Arial" w:cs="Arial"/>
                <w:sz w:val="20"/>
                <w:szCs w:val="20"/>
              </w:rPr>
            </w:pPr>
            <w:r w:rsidRPr="00465543">
              <w:rPr>
                <w:rFonts w:ascii="Arial" w:hAnsi="Arial" w:cs="Arial"/>
                <w:sz w:val="20"/>
                <w:szCs w:val="20"/>
              </w:rPr>
              <w:t>Saldo Inventário R$</w:t>
            </w:r>
          </w:p>
        </w:tc>
        <w:tc>
          <w:tcPr>
            <w:tcW w:w="1616" w:type="dxa"/>
            <w:tcBorders>
              <w:top w:val="single" w:sz="6" w:space="0" w:color="000000"/>
              <w:left w:val="single" w:sz="12" w:space="0" w:color="000000"/>
              <w:bottom w:val="single" w:sz="12" w:space="0" w:color="000000"/>
              <w:right w:val="single" w:sz="12" w:space="0" w:color="000000"/>
            </w:tcBorders>
          </w:tcPr>
          <w:p w14:paraId="0FD6F046" w14:textId="77777777" w:rsidR="00BB5697" w:rsidRPr="00465543" w:rsidRDefault="00BB5697" w:rsidP="00BF7C4A">
            <w:pPr>
              <w:pStyle w:val="TableParagraph"/>
              <w:spacing w:before="25" w:line="179" w:lineRule="exact"/>
              <w:ind w:left="225"/>
              <w:rPr>
                <w:rFonts w:ascii="Arial" w:hAnsi="Arial" w:cs="Arial"/>
                <w:sz w:val="20"/>
                <w:szCs w:val="20"/>
              </w:rPr>
            </w:pPr>
            <w:r w:rsidRPr="00465543">
              <w:rPr>
                <w:rFonts w:ascii="Arial" w:hAnsi="Arial" w:cs="Arial"/>
                <w:sz w:val="20"/>
                <w:szCs w:val="20"/>
              </w:rPr>
              <w:t>Diferença R$</w:t>
            </w:r>
          </w:p>
        </w:tc>
      </w:tr>
      <w:tr w:rsidR="00BB5697" w14:paraId="43424626" w14:textId="77777777" w:rsidTr="00BF7C4A">
        <w:trPr>
          <w:trHeight w:val="265"/>
        </w:trPr>
        <w:tc>
          <w:tcPr>
            <w:tcW w:w="4149" w:type="dxa"/>
            <w:vMerge/>
            <w:tcBorders>
              <w:top w:val="single" w:sz="12" w:space="0" w:color="000000"/>
              <w:left w:val="single" w:sz="12" w:space="0" w:color="000000"/>
              <w:bottom w:val="single" w:sz="12" w:space="0" w:color="000000"/>
              <w:right w:val="single" w:sz="12" w:space="0" w:color="000000"/>
            </w:tcBorders>
          </w:tcPr>
          <w:p w14:paraId="11EAFEC0" w14:textId="77777777" w:rsidR="00BB5697" w:rsidRDefault="00BB5697" w:rsidP="00BF7C4A">
            <w:pPr>
              <w:rPr>
                <w:sz w:val="2"/>
                <w:szCs w:val="2"/>
              </w:rPr>
            </w:pPr>
          </w:p>
        </w:tc>
        <w:tc>
          <w:tcPr>
            <w:tcW w:w="1985" w:type="dxa"/>
            <w:tcBorders>
              <w:top w:val="single" w:sz="12" w:space="0" w:color="000000"/>
              <w:left w:val="single" w:sz="12" w:space="0" w:color="000000"/>
              <w:bottom w:val="single" w:sz="12" w:space="0" w:color="000000"/>
              <w:right w:val="single" w:sz="12" w:space="0" w:color="000000"/>
            </w:tcBorders>
          </w:tcPr>
          <w:p w14:paraId="7F3BCA76" w14:textId="77777777" w:rsidR="00BB5697" w:rsidRDefault="00BB5697" w:rsidP="00BF7C4A">
            <w:pPr>
              <w:pStyle w:val="TableParagraph"/>
              <w:spacing w:before="48" w:line="197" w:lineRule="exact"/>
              <w:ind w:left="627"/>
              <w:rPr>
                <w:sz w:val="18"/>
              </w:rPr>
            </w:pPr>
          </w:p>
        </w:tc>
        <w:tc>
          <w:tcPr>
            <w:tcW w:w="1889" w:type="dxa"/>
            <w:tcBorders>
              <w:top w:val="single" w:sz="12" w:space="0" w:color="000000"/>
              <w:left w:val="single" w:sz="12" w:space="0" w:color="000000"/>
              <w:bottom w:val="single" w:sz="12" w:space="0" w:color="000000"/>
              <w:right w:val="single" w:sz="12" w:space="0" w:color="000000"/>
            </w:tcBorders>
          </w:tcPr>
          <w:p w14:paraId="33D31258" w14:textId="77777777" w:rsidR="00BB5697" w:rsidRDefault="00BB5697" w:rsidP="00BF7C4A">
            <w:pPr>
              <w:pStyle w:val="TableParagraph"/>
              <w:spacing w:before="48" w:line="197" w:lineRule="exact"/>
              <w:ind w:right="5"/>
              <w:jc w:val="right"/>
              <w:rPr>
                <w:sz w:val="18"/>
              </w:rPr>
            </w:pPr>
          </w:p>
        </w:tc>
        <w:tc>
          <w:tcPr>
            <w:tcW w:w="1616" w:type="dxa"/>
            <w:tcBorders>
              <w:top w:val="single" w:sz="12" w:space="0" w:color="000000"/>
              <w:left w:val="single" w:sz="12" w:space="0" w:color="000000"/>
              <w:bottom w:val="single" w:sz="12" w:space="0" w:color="000000"/>
              <w:right w:val="single" w:sz="12" w:space="0" w:color="000000"/>
            </w:tcBorders>
          </w:tcPr>
          <w:p w14:paraId="43738F03" w14:textId="77777777" w:rsidR="00BB5697" w:rsidRDefault="00BB5697" w:rsidP="00BF7C4A">
            <w:pPr>
              <w:pStyle w:val="TableParagraph"/>
              <w:spacing w:before="48" w:line="197" w:lineRule="exact"/>
              <w:ind w:right="-15"/>
              <w:jc w:val="right"/>
              <w:rPr>
                <w:sz w:val="18"/>
              </w:rPr>
            </w:pPr>
          </w:p>
        </w:tc>
      </w:tr>
    </w:tbl>
    <w:p w14:paraId="6089F466" w14:textId="77777777" w:rsidR="00BB5697" w:rsidRDefault="00BB5697" w:rsidP="00BB5697">
      <w:pPr>
        <w:spacing w:before="5" w:after="1"/>
        <w:rPr>
          <w:b/>
          <w:sz w:val="7"/>
        </w:rPr>
      </w:pPr>
    </w:p>
    <w:tbl>
      <w:tblPr>
        <w:tblStyle w:val="TableNormal"/>
        <w:tblW w:w="9669" w:type="dxa"/>
        <w:tblInd w:w="-15"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9669"/>
      </w:tblGrid>
      <w:tr w:rsidR="00BB5697" w:rsidRPr="00AD58A9" w14:paraId="1C0915A2" w14:textId="77777777" w:rsidTr="00BF7C4A">
        <w:trPr>
          <w:trHeight w:val="627"/>
        </w:trPr>
        <w:tc>
          <w:tcPr>
            <w:tcW w:w="9669" w:type="dxa"/>
            <w:tcBorders>
              <w:top w:val="single" w:sz="12" w:space="0" w:color="000000"/>
              <w:left w:val="single" w:sz="12" w:space="0" w:color="000000"/>
              <w:bottom w:val="single" w:sz="12" w:space="0" w:color="000000"/>
              <w:right w:val="single" w:sz="12" w:space="0" w:color="000000"/>
            </w:tcBorders>
          </w:tcPr>
          <w:p w14:paraId="2771C9AB" w14:textId="77777777" w:rsidR="00BB5697" w:rsidRPr="00465543" w:rsidRDefault="00BB5697" w:rsidP="00BF7C4A">
            <w:pPr>
              <w:pStyle w:val="TableParagraph"/>
              <w:spacing w:line="271" w:lineRule="auto"/>
              <w:ind w:left="27" w:right="-15"/>
              <w:jc w:val="center"/>
              <w:rPr>
                <w:rFonts w:ascii="Arial" w:hAnsi="Arial" w:cs="Arial"/>
                <w:b/>
                <w:lang w:val="pt-BR"/>
              </w:rPr>
            </w:pPr>
            <w:r w:rsidRPr="00465543">
              <w:rPr>
                <w:rFonts w:ascii="Arial" w:hAnsi="Arial" w:cs="Arial"/>
                <w:b/>
                <w:lang w:val="pt-BR"/>
              </w:rPr>
              <w:t>NOTAS EXPLICATIVAS</w:t>
            </w:r>
          </w:p>
          <w:p w14:paraId="53526C14" w14:textId="77777777" w:rsidR="00BB5697" w:rsidRPr="009D383F" w:rsidRDefault="00BB5697" w:rsidP="00BF7C4A">
            <w:pPr>
              <w:pStyle w:val="TableParagraph"/>
              <w:spacing w:line="271" w:lineRule="auto"/>
              <w:ind w:left="27" w:right="-15"/>
              <w:jc w:val="center"/>
              <w:rPr>
                <w:b/>
                <w:sz w:val="18"/>
                <w:lang w:val="pt-BR"/>
              </w:rPr>
            </w:pPr>
            <w:r w:rsidRPr="00465543">
              <w:rPr>
                <w:rFonts w:ascii="Arial" w:hAnsi="Arial" w:cs="Arial"/>
                <w:b/>
                <w:lang w:val="pt-BR"/>
              </w:rPr>
              <w:t>(detalhamento das diferenças)</w:t>
            </w:r>
          </w:p>
        </w:tc>
      </w:tr>
      <w:tr w:rsidR="00BB5697" w:rsidRPr="00AD58A9" w14:paraId="227448F7" w14:textId="77777777" w:rsidTr="00BF7C4A">
        <w:trPr>
          <w:trHeight w:val="1372"/>
        </w:trPr>
        <w:tc>
          <w:tcPr>
            <w:tcW w:w="9669" w:type="dxa"/>
            <w:tcBorders>
              <w:top w:val="single" w:sz="12" w:space="0" w:color="000000"/>
              <w:left w:val="single" w:sz="12" w:space="0" w:color="000000"/>
              <w:bottom w:val="single" w:sz="12" w:space="0" w:color="000000"/>
              <w:right w:val="single" w:sz="12" w:space="0" w:color="000000"/>
            </w:tcBorders>
          </w:tcPr>
          <w:p w14:paraId="238F9D94" w14:textId="77777777" w:rsidR="00BB5697" w:rsidRDefault="00BB5697" w:rsidP="00BF7C4A">
            <w:pPr>
              <w:pStyle w:val="TableParagraph"/>
              <w:spacing w:line="271" w:lineRule="auto"/>
              <w:ind w:left="27" w:right="-15"/>
              <w:jc w:val="center"/>
              <w:rPr>
                <w:b/>
                <w:sz w:val="26"/>
                <w:lang w:val="pt-BR"/>
              </w:rPr>
            </w:pPr>
          </w:p>
          <w:p w14:paraId="579CF34E" w14:textId="77777777" w:rsidR="00BB5697" w:rsidRDefault="00BB5697" w:rsidP="00BF7C4A">
            <w:pPr>
              <w:pStyle w:val="TableParagraph"/>
              <w:spacing w:line="271" w:lineRule="auto"/>
              <w:ind w:left="27" w:right="-15"/>
              <w:jc w:val="center"/>
              <w:rPr>
                <w:b/>
                <w:sz w:val="26"/>
                <w:lang w:val="pt-BR"/>
              </w:rPr>
            </w:pPr>
          </w:p>
          <w:p w14:paraId="3B2EEE8C" w14:textId="77777777" w:rsidR="00BB5697" w:rsidRDefault="00BB5697" w:rsidP="00BF7C4A">
            <w:pPr>
              <w:pStyle w:val="TableParagraph"/>
              <w:spacing w:line="271" w:lineRule="auto"/>
              <w:ind w:left="27" w:right="-15"/>
              <w:jc w:val="center"/>
              <w:rPr>
                <w:b/>
                <w:sz w:val="26"/>
                <w:lang w:val="pt-BR"/>
              </w:rPr>
            </w:pPr>
          </w:p>
          <w:p w14:paraId="12824A54" w14:textId="77777777" w:rsidR="00BB5697" w:rsidRDefault="00BB5697" w:rsidP="00BF7C4A">
            <w:pPr>
              <w:pStyle w:val="TableParagraph"/>
              <w:spacing w:line="271" w:lineRule="auto"/>
              <w:ind w:left="27" w:right="-15"/>
              <w:jc w:val="center"/>
              <w:rPr>
                <w:b/>
                <w:sz w:val="26"/>
                <w:lang w:val="pt-BR"/>
              </w:rPr>
            </w:pPr>
          </w:p>
          <w:p w14:paraId="2B6A2759" w14:textId="77777777" w:rsidR="00BB5697" w:rsidRPr="009D383F" w:rsidRDefault="00BB5697" w:rsidP="00BF7C4A">
            <w:pPr>
              <w:pStyle w:val="TableParagraph"/>
              <w:spacing w:line="271" w:lineRule="auto"/>
              <w:ind w:left="27" w:right="-15"/>
              <w:jc w:val="center"/>
              <w:rPr>
                <w:b/>
                <w:sz w:val="26"/>
                <w:lang w:val="pt-BR"/>
              </w:rPr>
            </w:pPr>
          </w:p>
        </w:tc>
      </w:tr>
      <w:tr w:rsidR="00BB5697" w:rsidRPr="00AD58A9" w14:paraId="3ED95DB8" w14:textId="77777777" w:rsidTr="00BF7C4A">
        <w:trPr>
          <w:trHeight w:val="1142"/>
        </w:trPr>
        <w:tc>
          <w:tcPr>
            <w:tcW w:w="9669" w:type="dxa"/>
            <w:tcBorders>
              <w:top w:val="single" w:sz="12" w:space="0" w:color="000000"/>
              <w:left w:val="single" w:sz="12" w:space="0" w:color="000000"/>
              <w:bottom w:val="single" w:sz="12" w:space="0" w:color="000000"/>
              <w:right w:val="single" w:sz="12" w:space="0" w:color="000000"/>
            </w:tcBorders>
          </w:tcPr>
          <w:p w14:paraId="621FF815" w14:textId="77777777" w:rsidR="00BB5697" w:rsidRPr="00465543" w:rsidRDefault="00BB5697" w:rsidP="00BF7C4A">
            <w:pPr>
              <w:pStyle w:val="Corpodetexto"/>
              <w:spacing w:before="119" w:line="266" w:lineRule="auto"/>
              <w:ind w:left="2663" w:right="1312" w:hanging="877"/>
              <w:rPr>
                <w:rFonts w:ascii="Arial" w:hAnsi="Arial" w:cs="Arial"/>
                <w:sz w:val="22"/>
                <w:szCs w:val="22"/>
                <w:lang w:val="pt-BR"/>
              </w:rPr>
            </w:pPr>
            <w:r w:rsidRPr="00465543">
              <w:rPr>
                <w:rFonts w:ascii="Arial" w:hAnsi="Arial" w:cs="Arial"/>
                <w:sz w:val="22"/>
                <w:szCs w:val="22"/>
                <w:lang w:val="pt-BR"/>
              </w:rPr>
              <w:t>Por ser verdade, firmam o presente termo.</w:t>
            </w:r>
          </w:p>
          <w:p w14:paraId="7F7D1AFC" w14:textId="77777777" w:rsidR="00BB5697" w:rsidRPr="00465543" w:rsidRDefault="00BB5697" w:rsidP="00BF7C4A">
            <w:pPr>
              <w:pStyle w:val="Corpodetexto"/>
              <w:spacing w:before="119" w:line="266" w:lineRule="auto"/>
              <w:ind w:left="2663" w:right="1312" w:hanging="877"/>
              <w:rPr>
                <w:rFonts w:ascii="Arial" w:hAnsi="Arial" w:cs="Arial"/>
                <w:sz w:val="22"/>
                <w:szCs w:val="22"/>
                <w:lang w:val="pt-BR"/>
              </w:rPr>
            </w:pPr>
          </w:p>
          <w:p w14:paraId="7D81422F" w14:textId="77777777" w:rsidR="00BB5697" w:rsidRPr="00465543" w:rsidRDefault="00BB5697" w:rsidP="00BF7C4A">
            <w:pPr>
              <w:pStyle w:val="Corpodetexto"/>
              <w:spacing w:before="119" w:line="266" w:lineRule="auto"/>
              <w:ind w:left="2663" w:right="1312" w:hanging="877"/>
              <w:jc w:val="right"/>
              <w:rPr>
                <w:rFonts w:ascii="Arial" w:hAnsi="Arial" w:cs="Arial"/>
                <w:sz w:val="22"/>
                <w:szCs w:val="22"/>
                <w:lang w:val="pt-BR"/>
              </w:rPr>
            </w:pPr>
            <w:r w:rsidRPr="00465543">
              <w:rPr>
                <w:rFonts w:ascii="Arial" w:hAnsi="Arial" w:cs="Arial"/>
                <w:sz w:val="22"/>
                <w:szCs w:val="22"/>
                <w:lang w:val="pt-BR"/>
              </w:rPr>
              <w:t xml:space="preserve">(município), </w:t>
            </w:r>
            <w:r>
              <w:rPr>
                <w:rFonts w:ascii="Arial" w:hAnsi="Arial" w:cs="Arial"/>
                <w:sz w:val="22"/>
                <w:szCs w:val="22"/>
                <w:lang w:val="pt-BR"/>
              </w:rPr>
              <w:t xml:space="preserve">___ </w:t>
            </w:r>
            <w:r w:rsidRPr="00465543">
              <w:rPr>
                <w:rFonts w:ascii="Arial" w:hAnsi="Arial" w:cs="Arial"/>
                <w:sz w:val="22"/>
                <w:szCs w:val="22"/>
                <w:lang w:val="pt-BR"/>
              </w:rPr>
              <w:t>de ________de 20</w:t>
            </w:r>
            <w:r>
              <w:rPr>
                <w:rFonts w:ascii="Arial" w:hAnsi="Arial" w:cs="Arial"/>
                <w:sz w:val="22"/>
                <w:szCs w:val="22"/>
                <w:lang w:val="pt-BR"/>
              </w:rPr>
              <w:t>2</w:t>
            </w:r>
            <w:r w:rsidRPr="00465543">
              <w:rPr>
                <w:rFonts w:ascii="Arial" w:hAnsi="Arial" w:cs="Arial"/>
                <w:sz w:val="22"/>
                <w:szCs w:val="22"/>
                <w:lang w:val="pt-BR"/>
              </w:rPr>
              <w:t>_.</w:t>
            </w:r>
          </w:p>
          <w:p w14:paraId="62D50307" w14:textId="77777777" w:rsidR="00BB5697" w:rsidRPr="00465543" w:rsidRDefault="00BB5697" w:rsidP="00BF7C4A">
            <w:pPr>
              <w:pStyle w:val="Corpodetexto"/>
              <w:spacing w:before="119" w:line="266" w:lineRule="auto"/>
              <w:ind w:left="2663" w:right="1312" w:hanging="877"/>
              <w:rPr>
                <w:rFonts w:ascii="Arial" w:hAnsi="Arial" w:cs="Arial"/>
                <w:sz w:val="22"/>
                <w:szCs w:val="22"/>
                <w:lang w:val="pt-BR"/>
              </w:rPr>
            </w:pPr>
          </w:p>
          <w:p w14:paraId="20E20A6C" w14:textId="77777777" w:rsidR="00BB5697" w:rsidRPr="00465543" w:rsidRDefault="00BB5697" w:rsidP="00BF7C4A">
            <w:pPr>
              <w:pStyle w:val="Corpodetexto"/>
              <w:spacing w:before="119" w:line="266" w:lineRule="auto"/>
              <w:ind w:left="2663" w:right="1312" w:hanging="877"/>
              <w:rPr>
                <w:rFonts w:ascii="Arial" w:hAnsi="Arial" w:cs="Arial"/>
                <w:sz w:val="22"/>
                <w:szCs w:val="22"/>
                <w:lang w:val="pt-BR"/>
              </w:rPr>
            </w:pPr>
          </w:p>
          <w:p w14:paraId="1AB693C6" w14:textId="77777777" w:rsidR="00BB5697" w:rsidRPr="00465543" w:rsidRDefault="00BB5697" w:rsidP="00BF7C4A">
            <w:pPr>
              <w:pStyle w:val="Corpodetexto"/>
              <w:spacing w:before="119" w:line="266" w:lineRule="auto"/>
              <w:ind w:left="2663" w:right="1312" w:hanging="877"/>
              <w:rPr>
                <w:rFonts w:ascii="Arial" w:hAnsi="Arial" w:cs="Arial"/>
                <w:sz w:val="22"/>
                <w:szCs w:val="22"/>
                <w:lang w:val="pt-BR"/>
              </w:rPr>
            </w:pPr>
          </w:p>
          <w:p w14:paraId="694FD1CB" w14:textId="77777777" w:rsidR="00BB5697" w:rsidRPr="00465543" w:rsidRDefault="00BB5697" w:rsidP="00BF7C4A">
            <w:pPr>
              <w:pStyle w:val="Corpodetexto"/>
              <w:spacing w:line="360" w:lineRule="auto"/>
              <w:jc w:val="center"/>
              <w:rPr>
                <w:rFonts w:ascii="Arial" w:hAnsi="Arial" w:cs="Arial"/>
                <w:sz w:val="22"/>
                <w:szCs w:val="22"/>
                <w:lang w:val="pt-BR"/>
              </w:rPr>
            </w:pPr>
            <w:r w:rsidRPr="00465543">
              <w:rPr>
                <w:rFonts w:ascii="Arial" w:hAnsi="Arial" w:cs="Arial"/>
                <w:sz w:val="22"/>
                <w:szCs w:val="22"/>
                <w:lang w:val="pt-BR"/>
              </w:rPr>
              <w:t>(nome, matrícula  e assinatura dos membros da comissão responsável pelo inventário)</w:t>
            </w:r>
          </w:p>
          <w:p w14:paraId="363041CC" w14:textId="77777777" w:rsidR="00BB5697" w:rsidRPr="00E27DA8" w:rsidRDefault="00BB5697" w:rsidP="00BF7C4A">
            <w:pPr>
              <w:rPr>
                <w:b/>
                <w:sz w:val="20"/>
                <w:lang w:val="pt-BR"/>
              </w:rPr>
            </w:pPr>
          </w:p>
          <w:p w14:paraId="7458FBE8" w14:textId="77777777" w:rsidR="00BB5697" w:rsidRPr="00E27DA8" w:rsidRDefault="00BB5697" w:rsidP="00BF7C4A">
            <w:pPr>
              <w:rPr>
                <w:b/>
                <w:sz w:val="20"/>
                <w:lang w:val="pt-BR"/>
              </w:rPr>
            </w:pPr>
          </w:p>
          <w:p w14:paraId="14C4FA74" w14:textId="77777777" w:rsidR="00BB5697" w:rsidRPr="00E27DA8" w:rsidRDefault="00BB5697" w:rsidP="00BF7C4A">
            <w:pPr>
              <w:spacing w:before="1"/>
              <w:rPr>
                <w:b/>
                <w:sz w:val="20"/>
                <w:lang w:val="pt-BR"/>
              </w:rPr>
            </w:pPr>
          </w:p>
          <w:p w14:paraId="63C901B1" w14:textId="77777777" w:rsidR="00BB5697" w:rsidRDefault="00BB5697" w:rsidP="00BF7C4A">
            <w:pPr>
              <w:tabs>
                <w:tab w:val="left" w:pos="6250"/>
              </w:tabs>
              <w:ind w:left="163"/>
              <w:rPr>
                <w:rFonts w:ascii="Times New Roman"/>
                <w:sz w:val="18"/>
                <w:lang w:val="pt-BR"/>
              </w:rPr>
            </w:pPr>
          </w:p>
          <w:p w14:paraId="3152BD11" w14:textId="77777777" w:rsidR="00BB5697" w:rsidRDefault="00BB5697" w:rsidP="00BF7C4A">
            <w:pPr>
              <w:tabs>
                <w:tab w:val="left" w:pos="6250"/>
              </w:tabs>
              <w:ind w:left="163"/>
              <w:rPr>
                <w:rFonts w:ascii="Times New Roman"/>
                <w:sz w:val="18"/>
                <w:lang w:val="pt-BR"/>
              </w:rPr>
            </w:pPr>
          </w:p>
          <w:p w14:paraId="4E2BFFE1" w14:textId="77777777" w:rsidR="00BB5697" w:rsidRDefault="00BB5697" w:rsidP="00BF7C4A">
            <w:pPr>
              <w:tabs>
                <w:tab w:val="left" w:pos="6250"/>
              </w:tabs>
              <w:ind w:left="163"/>
              <w:rPr>
                <w:rFonts w:ascii="Times New Roman"/>
                <w:sz w:val="18"/>
                <w:lang w:val="pt-BR"/>
              </w:rPr>
            </w:pPr>
          </w:p>
          <w:p w14:paraId="09043841" w14:textId="77777777" w:rsidR="00BB5697" w:rsidRDefault="00BB5697" w:rsidP="00BF7C4A">
            <w:pPr>
              <w:tabs>
                <w:tab w:val="left" w:pos="6250"/>
              </w:tabs>
              <w:ind w:left="163"/>
              <w:rPr>
                <w:rFonts w:ascii="Times New Roman"/>
                <w:sz w:val="18"/>
                <w:lang w:val="pt-BR"/>
              </w:rPr>
            </w:pPr>
          </w:p>
          <w:p w14:paraId="01EEBD1B" w14:textId="77777777" w:rsidR="00BB5697" w:rsidRPr="00E27DA8" w:rsidRDefault="00BB5697" w:rsidP="00BF7C4A">
            <w:pPr>
              <w:tabs>
                <w:tab w:val="left" w:pos="6250"/>
              </w:tabs>
              <w:ind w:left="163"/>
              <w:rPr>
                <w:rFonts w:ascii="Times New Roman"/>
                <w:sz w:val="18"/>
                <w:lang w:val="pt-BR"/>
              </w:rPr>
            </w:pPr>
          </w:p>
        </w:tc>
      </w:tr>
    </w:tbl>
    <w:p w14:paraId="33ED3C6E" w14:textId="6954C084" w:rsidR="00BB5697" w:rsidRDefault="00BB5697" w:rsidP="00BB5697">
      <w:pPr>
        <w:widowControl w:val="0"/>
        <w:spacing w:after="0" w:line="240" w:lineRule="auto"/>
        <w:jc w:val="center"/>
        <w:rPr>
          <w:rFonts w:ascii="Arial" w:eastAsia="Calibri" w:hAnsi="Arial" w:cs="Arial"/>
          <w:b/>
        </w:rPr>
      </w:pPr>
    </w:p>
    <w:p w14:paraId="736A811C" w14:textId="57E8045C" w:rsidR="00E65453" w:rsidRDefault="00E65453" w:rsidP="00BB5697">
      <w:pPr>
        <w:widowControl w:val="0"/>
        <w:spacing w:after="0" w:line="240" w:lineRule="auto"/>
        <w:jc w:val="center"/>
        <w:rPr>
          <w:rFonts w:ascii="Arial" w:eastAsia="Calibri" w:hAnsi="Arial" w:cs="Arial"/>
          <w:b/>
        </w:rPr>
      </w:pPr>
    </w:p>
    <w:p w14:paraId="57AC3508" w14:textId="3B8B7F13" w:rsidR="00491827" w:rsidRDefault="00491827">
      <w:pPr>
        <w:pStyle w:val="Ttulo3"/>
        <w:rPr>
          <w:b/>
          <w:bCs/>
          <w:sz w:val="28"/>
          <w:szCs w:val="28"/>
          <w:lang w:val="pt-BR"/>
        </w:rPr>
      </w:pPr>
      <w:bookmarkStart w:id="93" w:name="_Toc94806365"/>
      <w:r w:rsidRPr="00491827">
        <w:rPr>
          <w:b/>
          <w:bCs/>
          <w:sz w:val="28"/>
          <w:szCs w:val="28"/>
          <w:lang w:val="pt-BR"/>
        </w:rPr>
        <w:lastRenderedPageBreak/>
        <w:t>RECRERE</w:t>
      </w:r>
      <w:bookmarkEnd w:id="93"/>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89"/>
        <w:gridCol w:w="2126"/>
        <w:gridCol w:w="1984"/>
        <w:gridCol w:w="2977"/>
      </w:tblGrid>
      <w:tr w:rsidR="00491827" w:rsidRPr="00491827" w14:paraId="53F1508F" w14:textId="77777777" w:rsidTr="00491827">
        <w:trPr>
          <w:trHeight w:val="423"/>
        </w:trPr>
        <w:tc>
          <w:tcPr>
            <w:tcW w:w="9776" w:type="dxa"/>
            <w:gridSpan w:val="4"/>
            <w:shd w:val="clear" w:color="auto" w:fill="auto"/>
            <w:noWrap/>
            <w:vAlign w:val="center"/>
            <w:hideMark/>
          </w:tcPr>
          <w:p w14:paraId="0DAA28F1" w14:textId="77777777" w:rsidR="00491827" w:rsidRPr="00491827" w:rsidRDefault="00491827" w:rsidP="00491827">
            <w:pPr>
              <w:spacing w:line="240" w:lineRule="auto"/>
              <w:jc w:val="center"/>
              <w:rPr>
                <w:rFonts w:ascii="Arial" w:eastAsia="Times New Roman" w:hAnsi="Arial" w:cs="Arial"/>
                <w:b/>
                <w:bCs/>
                <w:color w:val="0070C0"/>
                <w:sz w:val="20"/>
                <w:szCs w:val="20"/>
                <w:lang w:eastAsia="pt-BR"/>
              </w:rPr>
            </w:pPr>
            <w:r w:rsidRPr="00491827">
              <w:rPr>
                <w:rFonts w:ascii="Arial" w:eastAsia="Times New Roman" w:hAnsi="Arial" w:cs="Arial"/>
                <w:b/>
                <w:bCs/>
                <w:color w:val="0070C0"/>
                <w:sz w:val="20"/>
                <w:szCs w:val="20"/>
                <w:lang w:eastAsia="pt-BR"/>
              </w:rPr>
              <w:t>Relação de créditos a receber (clientes ou operações de crédito) em 31/12/XXXX</w:t>
            </w:r>
          </w:p>
        </w:tc>
      </w:tr>
      <w:tr w:rsidR="00491827" w:rsidRPr="00491827" w14:paraId="4F31E0B9" w14:textId="77777777" w:rsidTr="00491827">
        <w:trPr>
          <w:trHeight w:val="423"/>
        </w:trPr>
        <w:tc>
          <w:tcPr>
            <w:tcW w:w="9776" w:type="dxa"/>
            <w:gridSpan w:val="4"/>
            <w:shd w:val="clear" w:color="auto" w:fill="auto"/>
            <w:noWrap/>
            <w:vAlign w:val="center"/>
            <w:hideMark/>
          </w:tcPr>
          <w:p w14:paraId="6BAC61D4" w14:textId="77777777" w:rsidR="00491827" w:rsidRPr="00491827" w:rsidRDefault="00491827" w:rsidP="00491827">
            <w:pPr>
              <w:spacing w:line="240" w:lineRule="auto"/>
              <w:rPr>
                <w:rFonts w:ascii="Arial" w:eastAsia="Times New Roman" w:hAnsi="Arial" w:cs="Arial"/>
                <w:b/>
                <w:bCs/>
                <w:color w:val="0070C0"/>
                <w:sz w:val="20"/>
                <w:szCs w:val="20"/>
                <w:lang w:eastAsia="pt-BR"/>
              </w:rPr>
            </w:pPr>
            <w:r w:rsidRPr="00491827">
              <w:rPr>
                <w:rFonts w:ascii="Arial" w:eastAsia="Times New Roman" w:hAnsi="Arial" w:cs="Arial"/>
                <w:b/>
                <w:bCs/>
                <w:color w:val="0070C0"/>
                <w:sz w:val="20"/>
                <w:szCs w:val="20"/>
                <w:lang w:eastAsia="pt-BR"/>
              </w:rPr>
              <w:t>Contas contábeis (curto e longo prazo) envolvidas:</w:t>
            </w:r>
          </w:p>
        </w:tc>
      </w:tr>
      <w:tr w:rsidR="00491827" w:rsidRPr="00491827" w14:paraId="37CA4FAC" w14:textId="77777777" w:rsidTr="00491827">
        <w:trPr>
          <w:trHeight w:val="423"/>
        </w:trPr>
        <w:tc>
          <w:tcPr>
            <w:tcW w:w="2689" w:type="dxa"/>
            <w:shd w:val="clear" w:color="auto" w:fill="auto"/>
            <w:noWrap/>
            <w:vAlign w:val="center"/>
            <w:hideMark/>
          </w:tcPr>
          <w:p w14:paraId="478709D3" w14:textId="77777777" w:rsidR="00491827" w:rsidRPr="00491827" w:rsidRDefault="00491827" w:rsidP="00491827">
            <w:pPr>
              <w:spacing w:line="240" w:lineRule="auto"/>
              <w:rPr>
                <w:rFonts w:ascii="Arial" w:eastAsia="Times New Roman" w:hAnsi="Arial" w:cs="Arial"/>
                <w:b/>
                <w:bCs/>
                <w:color w:val="0070C0"/>
                <w:sz w:val="20"/>
                <w:szCs w:val="20"/>
                <w:lang w:eastAsia="pt-BR"/>
              </w:rPr>
            </w:pPr>
            <w:r w:rsidRPr="00491827">
              <w:rPr>
                <w:rFonts w:ascii="Arial" w:eastAsia="Times New Roman" w:hAnsi="Arial" w:cs="Arial"/>
                <w:b/>
                <w:bCs/>
                <w:color w:val="0070C0"/>
                <w:sz w:val="20"/>
                <w:szCs w:val="20"/>
                <w:lang w:eastAsia="pt-BR"/>
              </w:rPr>
              <w:t>Período (1)</w:t>
            </w:r>
          </w:p>
        </w:tc>
        <w:tc>
          <w:tcPr>
            <w:tcW w:w="2126" w:type="dxa"/>
            <w:shd w:val="clear" w:color="auto" w:fill="auto"/>
            <w:noWrap/>
            <w:vAlign w:val="center"/>
            <w:hideMark/>
          </w:tcPr>
          <w:p w14:paraId="2290BDB8" w14:textId="77777777" w:rsidR="00491827" w:rsidRPr="00491827" w:rsidRDefault="00491827" w:rsidP="00491827">
            <w:pPr>
              <w:spacing w:line="240" w:lineRule="auto"/>
              <w:jc w:val="right"/>
              <w:rPr>
                <w:rFonts w:ascii="Arial" w:eastAsia="Times New Roman" w:hAnsi="Arial" w:cs="Arial"/>
                <w:b/>
                <w:bCs/>
                <w:color w:val="0070C0"/>
                <w:sz w:val="20"/>
                <w:szCs w:val="20"/>
                <w:lang w:eastAsia="pt-BR"/>
              </w:rPr>
            </w:pPr>
            <w:r w:rsidRPr="00491827">
              <w:rPr>
                <w:rFonts w:ascii="Arial" w:eastAsia="Times New Roman" w:hAnsi="Arial" w:cs="Arial"/>
                <w:b/>
                <w:bCs/>
                <w:color w:val="0070C0"/>
                <w:sz w:val="20"/>
                <w:szCs w:val="20"/>
                <w:lang w:eastAsia="pt-BR"/>
              </w:rPr>
              <w:t>Quantidade</w:t>
            </w:r>
          </w:p>
        </w:tc>
        <w:tc>
          <w:tcPr>
            <w:tcW w:w="1984" w:type="dxa"/>
            <w:shd w:val="clear" w:color="auto" w:fill="auto"/>
            <w:noWrap/>
            <w:vAlign w:val="center"/>
            <w:hideMark/>
          </w:tcPr>
          <w:p w14:paraId="25CAFC0F" w14:textId="77777777" w:rsidR="00491827" w:rsidRPr="00491827" w:rsidRDefault="00491827" w:rsidP="00491827">
            <w:pPr>
              <w:spacing w:line="240" w:lineRule="auto"/>
              <w:jc w:val="right"/>
              <w:rPr>
                <w:rFonts w:ascii="Arial" w:eastAsia="Times New Roman" w:hAnsi="Arial" w:cs="Arial"/>
                <w:b/>
                <w:bCs/>
                <w:color w:val="0070C0"/>
                <w:sz w:val="20"/>
                <w:szCs w:val="20"/>
                <w:lang w:eastAsia="pt-BR"/>
              </w:rPr>
            </w:pPr>
            <w:r w:rsidRPr="00491827">
              <w:rPr>
                <w:rFonts w:ascii="Arial" w:eastAsia="Times New Roman" w:hAnsi="Arial" w:cs="Arial"/>
                <w:b/>
                <w:bCs/>
                <w:color w:val="0070C0"/>
                <w:sz w:val="20"/>
                <w:szCs w:val="20"/>
                <w:lang w:eastAsia="pt-BR"/>
              </w:rPr>
              <w:t>Valor</w:t>
            </w:r>
          </w:p>
        </w:tc>
        <w:tc>
          <w:tcPr>
            <w:tcW w:w="2977" w:type="dxa"/>
            <w:shd w:val="clear" w:color="auto" w:fill="auto"/>
            <w:noWrap/>
            <w:vAlign w:val="center"/>
            <w:hideMark/>
          </w:tcPr>
          <w:p w14:paraId="77349879" w14:textId="77777777" w:rsidR="00491827" w:rsidRPr="00491827" w:rsidRDefault="00491827" w:rsidP="00491827">
            <w:pPr>
              <w:spacing w:line="240" w:lineRule="auto"/>
              <w:jc w:val="right"/>
              <w:rPr>
                <w:rFonts w:ascii="Arial" w:eastAsia="Times New Roman" w:hAnsi="Arial" w:cs="Arial"/>
                <w:b/>
                <w:bCs/>
                <w:color w:val="0070C0"/>
                <w:sz w:val="20"/>
                <w:szCs w:val="20"/>
                <w:lang w:eastAsia="pt-BR"/>
              </w:rPr>
            </w:pPr>
            <w:r w:rsidRPr="00491827">
              <w:rPr>
                <w:rFonts w:ascii="Arial" w:eastAsia="Times New Roman" w:hAnsi="Arial" w:cs="Arial"/>
                <w:b/>
                <w:bCs/>
                <w:color w:val="0070C0"/>
                <w:sz w:val="20"/>
                <w:szCs w:val="20"/>
                <w:lang w:eastAsia="pt-BR"/>
              </w:rPr>
              <w:t>Provisão para perdas</w:t>
            </w:r>
          </w:p>
        </w:tc>
      </w:tr>
      <w:tr w:rsidR="00491827" w:rsidRPr="00491827" w14:paraId="3D79C96E" w14:textId="77777777" w:rsidTr="00491827">
        <w:trPr>
          <w:trHeight w:val="423"/>
        </w:trPr>
        <w:tc>
          <w:tcPr>
            <w:tcW w:w="2689" w:type="dxa"/>
            <w:shd w:val="clear" w:color="auto" w:fill="auto"/>
            <w:noWrap/>
            <w:vAlign w:val="center"/>
            <w:hideMark/>
          </w:tcPr>
          <w:p w14:paraId="675F3ABF" w14:textId="77777777" w:rsidR="00491827" w:rsidRPr="00491827" w:rsidRDefault="00491827" w:rsidP="00491827">
            <w:pPr>
              <w:spacing w:line="240" w:lineRule="auto"/>
              <w:rPr>
                <w:rFonts w:ascii="Arial" w:eastAsia="Times New Roman" w:hAnsi="Arial" w:cs="Arial"/>
                <w:color w:val="0070C0"/>
                <w:sz w:val="20"/>
                <w:szCs w:val="20"/>
                <w:lang w:eastAsia="pt-BR"/>
              </w:rPr>
            </w:pPr>
            <w:r w:rsidRPr="00491827">
              <w:rPr>
                <w:rFonts w:ascii="Arial" w:eastAsia="Times New Roman" w:hAnsi="Arial" w:cs="Arial"/>
                <w:color w:val="0070C0"/>
                <w:sz w:val="20"/>
                <w:szCs w:val="20"/>
                <w:lang w:eastAsia="pt-BR"/>
              </w:rPr>
              <w:t xml:space="preserve">A vencer </w:t>
            </w:r>
          </w:p>
        </w:tc>
        <w:tc>
          <w:tcPr>
            <w:tcW w:w="2126" w:type="dxa"/>
            <w:shd w:val="clear" w:color="auto" w:fill="auto"/>
            <w:noWrap/>
            <w:vAlign w:val="center"/>
            <w:hideMark/>
          </w:tcPr>
          <w:p w14:paraId="4B5D933E" w14:textId="77777777" w:rsidR="00491827" w:rsidRPr="00491827" w:rsidRDefault="00491827" w:rsidP="00491827">
            <w:pPr>
              <w:spacing w:line="240" w:lineRule="auto"/>
              <w:jc w:val="right"/>
              <w:rPr>
                <w:rFonts w:ascii="Arial" w:eastAsia="Times New Roman" w:hAnsi="Arial" w:cs="Arial"/>
                <w:color w:val="0070C0"/>
                <w:sz w:val="20"/>
                <w:szCs w:val="20"/>
                <w:lang w:eastAsia="pt-BR"/>
              </w:rPr>
            </w:pPr>
            <w:r w:rsidRPr="00491827">
              <w:rPr>
                <w:rFonts w:ascii="Arial" w:eastAsia="Times New Roman" w:hAnsi="Arial" w:cs="Arial"/>
                <w:color w:val="0070C0"/>
                <w:sz w:val="20"/>
                <w:szCs w:val="20"/>
                <w:lang w:eastAsia="pt-BR"/>
              </w:rPr>
              <w:t> </w:t>
            </w:r>
          </w:p>
        </w:tc>
        <w:tc>
          <w:tcPr>
            <w:tcW w:w="1984" w:type="dxa"/>
            <w:shd w:val="clear" w:color="auto" w:fill="auto"/>
            <w:noWrap/>
            <w:vAlign w:val="center"/>
            <w:hideMark/>
          </w:tcPr>
          <w:p w14:paraId="5FE693E7" w14:textId="77777777" w:rsidR="00491827" w:rsidRPr="00491827" w:rsidRDefault="00491827" w:rsidP="00491827">
            <w:pPr>
              <w:spacing w:line="240" w:lineRule="auto"/>
              <w:jc w:val="right"/>
              <w:rPr>
                <w:rFonts w:ascii="Arial" w:eastAsia="Times New Roman" w:hAnsi="Arial" w:cs="Arial"/>
                <w:color w:val="0070C0"/>
                <w:sz w:val="20"/>
                <w:szCs w:val="20"/>
                <w:lang w:eastAsia="pt-BR"/>
              </w:rPr>
            </w:pPr>
            <w:r w:rsidRPr="00491827">
              <w:rPr>
                <w:rFonts w:ascii="Arial" w:eastAsia="Times New Roman" w:hAnsi="Arial" w:cs="Arial"/>
                <w:color w:val="0070C0"/>
                <w:sz w:val="20"/>
                <w:szCs w:val="20"/>
                <w:lang w:eastAsia="pt-BR"/>
              </w:rPr>
              <w:t> </w:t>
            </w:r>
          </w:p>
        </w:tc>
        <w:tc>
          <w:tcPr>
            <w:tcW w:w="2977" w:type="dxa"/>
            <w:shd w:val="clear" w:color="auto" w:fill="auto"/>
            <w:noWrap/>
            <w:vAlign w:val="center"/>
            <w:hideMark/>
          </w:tcPr>
          <w:p w14:paraId="2BC4F1B7" w14:textId="77777777" w:rsidR="00491827" w:rsidRPr="00491827" w:rsidRDefault="00491827" w:rsidP="00491827">
            <w:pPr>
              <w:spacing w:line="240" w:lineRule="auto"/>
              <w:jc w:val="right"/>
              <w:rPr>
                <w:rFonts w:ascii="Arial" w:eastAsia="Times New Roman" w:hAnsi="Arial" w:cs="Arial"/>
                <w:color w:val="0070C0"/>
                <w:sz w:val="20"/>
                <w:szCs w:val="20"/>
                <w:lang w:eastAsia="pt-BR"/>
              </w:rPr>
            </w:pPr>
            <w:r w:rsidRPr="00491827">
              <w:rPr>
                <w:rFonts w:ascii="Arial" w:eastAsia="Times New Roman" w:hAnsi="Arial" w:cs="Arial"/>
                <w:color w:val="0070C0"/>
                <w:sz w:val="20"/>
                <w:szCs w:val="20"/>
                <w:lang w:eastAsia="pt-BR"/>
              </w:rPr>
              <w:t> </w:t>
            </w:r>
          </w:p>
        </w:tc>
      </w:tr>
      <w:tr w:rsidR="00491827" w:rsidRPr="00491827" w14:paraId="5D565044" w14:textId="77777777" w:rsidTr="00491827">
        <w:trPr>
          <w:trHeight w:val="423"/>
        </w:trPr>
        <w:tc>
          <w:tcPr>
            <w:tcW w:w="2689" w:type="dxa"/>
            <w:shd w:val="clear" w:color="auto" w:fill="auto"/>
            <w:noWrap/>
            <w:vAlign w:val="center"/>
            <w:hideMark/>
          </w:tcPr>
          <w:p w14:paraId="04315389" w14:textId="77777777" w:rsidR="00491827" w:rsidRPr="00491827" w:rsidRDefault="00491827" w:rsidP="00491827">
            <w:pPr>
              <w:spacing w:line="240" w:lineRule="auto"/>
              <w:rPr>
                <w:rFonts w:ascii="Arial" w:eastAsia="Times New Roman" w:hAnsi="Arial" w:cs="Arial"/>
                <w:color w:val="0070C0"/>
                <w:sz w:val="20"/>
                <w:szCs w:val="20"/>
                <w:lang w:eastAsia="pt-BR"/>
              </w:rPr>
            </w:pPr>
            <w:r w:rsidRPr="00491827">
              <w:rPr>
                <w:rFonts w:ascii="Arial" w:eastAsia="Times New Roman" w:hAnsi="Arial" w:cs="Arial"/>
                <w:color w:val="0070C0"/>
                <w:sz w:val="20"/>
                <w:szCs w:val="20"/>
                <w:lang w:eastAsia="pt-BR"/>
              </w:rPr>
              <w:t>Vencidas até 30 dias</w:t>
            </w:r>
          </w:p>
        </w:tc>
        <w:tc>
          <w:tcPr>
            <w:tcW w:w="2126" w:type="dxa"/>
            <w:shd w:val="clear" w:color="auto" w:fill="auto"/>
            <w:noWrap/>
            <w:vAlign w:val="center"/>
            <w:hideMark/>
          </w:tcPr>
          <w:p w14:paraId="735E68B0" w14:textId="77777777" w:rsidR="00491827" w:rsidRPr="00491827" w:rsidRDefault="00491827" w:rsidP="00491827">
            <w:pPr>
              <w:spacing w:line="240" w:lineRule="auto"/>
              <w:jc w:val="right"/>
              <w:rPr>
                <w:rFonts w:ascii="Arial" w:eastAsia="Times New Roman" w:hAnsi="Arial" w:cs="Arial"/>
                <w:color w:val="0070C0"/>
                <w:sz w:val="20"/>
                <w:szCs w:val="20"/>
                <w:lang w:eastAsia="pt-BR"/>
              </w:rPr>
            </w:pPr>
            <w:r w:rsidRPr="00491827">
              <w:rPr>
                <w:rFonts w:ascii="Arial" w:eastAsia="Times New Roman" w:hAnsi="Arial" w:cs="Arial"/>
                <w:color w:val="0070C0"/>
                <w:sz w:val="20"/>
                <w:szCs w:val="20"/>
                <w:lang w:eastAsia="pt-BR"/>
              </w:rPr>
              <w:t> </w:t>
            </w:r>
          </w:p>
        </w:tc>
        <w:tc>
          <w:tcPr>
            <w:tcW w:w="1984" w:type="dxa"/>
            <w:shd w:val="clear" w:color="auto" w:fill="auto"/>
            <w:noWrap/>
            <w:vAlign w:val="center"/>
            <w:hideMark/>
          </w:tcPr>
          <w:p w14:paraId="07E31171" w14:textId="77777777" w:rsidR="00491827" w:rsidRPr="00491827" w:rsidRDefault="00491827" w:rsidP="00491827">
            <w:pPr>
              <w:spacing w:line="240" w:lineRule="auto"/>
              <w:jc w:val="right"/>
              <w:rPr>
                <w:rFonts w:ascii="Arial" w:eastAsia="Times New Roman" w:hAnsi="Arial" w:cs="Arial"/>
                <w:color w:val="0070C0"/>
                <w:sz w:val="20"/>
                <w:szCs w:val="20"/>
                <w:lang w:eastAsia="pt-BR"/>
              </w:rPr>
            </w:pPr>
            <w:r w:rsidRPr="00491827">
              <w:rPr>
                <w:rFonts w:ascii="Arial" w:eastAsia="Times New Roman" w:hAnsi="Arial" w:cs="Arial"/>
                <w:color w:val="0070C0"/>
                <w:sz w:val="20"/>
                <w:szCs w:val="20"/>
                <w:lang w:eastAsia="pt-BR"/>
              </w:rPr>
              <w:t> </w:t>
            </w:r>
          </w:p>
        </w:tc>
        <w:tc>
          <w:tcPr>
            <w:tcW w:w="2977" w:type="dxa"/>
            <w:shd w:val="clear" w:color="auto" w:fill="auto"/>
            <w:noWrap/>
            <w:vAlign w:val="center"/>
            <w:hideMark/>
          </w:tcPr>
          <w:p w14:paraId="2D20C5F0" w14:textId="77777777" w:rsidR="00491827" w:rsidRPr="00491827" w:rsidRDefault="00491827" w:rsidP="00491827">
            <w:pPr>
              <w:spacing w:line="240" w:lineRule="auto"/>
              <w:jc w:val="right"/>
              <w:rPr>
                <w:rFonts w:ascii="Arial" w:eastAsia="Times New Roman" w:hAnsi="Arial" w:cs="Arial"/>
                <w:color w:val="0070C0"/>
                <w:sz w:val="20"/>
                <w:szCs w:val="20"/>
                <w:lang w:eastAsia="pt-BR"/>
              </w:rPr>
            </w:pPr>
            <w:r w:rsidRPr="00491827">
              <w:rPr>
                <w:rFonts w:ascii="Arial" w:eastAsia="Times New Roman" w:hAnsi="Arial" w:cs="Arial"/>
                <w:color w:val="0070C0"/>
                <w:sz w:val="20"/>
                <w:szCs w:val="20"/>
                <w:lang w:eastAsia="pt-BR"/>
              </w:rPr>
              <w:t> </w:t>
            </w:r>
          </w:p>
        </w:tc>
      </w:tr>
      <w:tr w:rsidR="00491827" w:rsidRPr="00491827" w14:paraId="1767E8A9" w14:textId="77777777" w:rsidTr="00491827">
        <w:trPr>
          <w:trHeight w:val="423"/>
        </w:trPr>
        <w:tc>
          <w:tcPr>
            <w:tcW w:w="2689" w:type="dxa"/>
            <w:shd w:val="clear" w:color="auto" w:fill="auto"/>
            <w:noWrap/>
            <w:vAlign w:val="center"/>
            <w:hideMark/>
          </w:tcPr>
          <w:p w14:paraId="535236DD" w14:textId="77777777" w:rsidR="00491827" w:rsidRPr="00491827" w:rsidRDefault="00491827" w:rsidP="00491827">
            <w:pPr>
              <w:spacing w:line="240" w:lineRule="auto"/>
              <w:rPr>
                <w:rFonts w:ascii="Arial" w:eastAsia="Times New Roman" w:hAnsi="Arial" w:cs="Arial"/>
                <w:color w:val="0070C0"/>
                <w:sz w:val="20"/>
                <w:szCs w:val="20"/>
                <w:lang w:eastAsia="pt-BR"/>
              </w:rPr>
            </w:pPr>
            <w:r w:rsidRPr="00491827">
              <w:rPr>
                <w:rFonts w:ascii="Arial" w:eastAsia="Times New Roman" w:hAnsi="Arial" w:cs="Arial"/>
                <w:color w:val="0070C0"/>
                <w:sz w:val="20"/>
                <w:szCs w:val="20"/>
                <w:lang w:eastAsia="pt-BR"/>
              </w:rPr>
              <w:t xml:space="preserve">Vencidas entre 30 e 90 dias </w:t>
            </w:r>
          </w:p>
        </w:tc>
        <w:tc>
          <w:tcPr>
            <w:tcW w:w="2126" w:type="dxa"/>
            <w:shd w:val="clear" w:color="auto" w:fill="auto"/>
            <w:noWrap/>
            <w:vAlign w:val="center"/>
            <w:hideMark/>
          </w:tcPr>
          <w:p w14:paraId="140FA749" w14:textId="77777777" w:rsidR="00491827" w:rsidRPr="00491827" w:rsidRDefault="00491827" w:rsidP="00491827">
            <w:pPr>
              <w:spacing w:line="240" w:lineRule="auto"/>
              <w:jc w:val="right"/>
              <w:rPr>
                <w:rFonts w:ascii="Arial" w:eastAsia="Times New Roman" w:hAnsi="Arial" w:cs="Arial"/>
                <w:color w:val="0070C0"/>
                <w:sz w:val="20"/>
                <w:szCs w:val="20"/>
                <w:lang w:eastAsia="pt-BR"/>
              </w:rPr>
            </w:pPr>
            <w:r w:rsidRPr="00491827">
              <w:rPr>
                <w:rFonts w:ascii="Arial" w:eastAsia="Times New Roman" w:hAnsi="Arial" w:cs="Arial"/>
                <w:color w:val="0070C0"/>
                <w:sz w:val="20"/>
                <w:szCs w:val="20"/>
                <w:lang w:eastAsia="pt-BR"/>
              </w:rPr>
              <w:t> </w:t>
            </w:r>
          </w:p>
        </w:tc>
        <w:tc>
          <w:tcPr>
            <w:tcW w:w="1984" w:type="dxa"/>
            <w:shd w:val="clear" w:color="auto" w:fill="auto"/>
            <w:noWrap/>
            <w:vAlign w:val="center"/>
            <w:hideMark/>
          </w:tcPr>
          <w:p w14:paraId="37915DAF" w14:textId="77777777" w:rsidR="00491827" w:rsidRPr="00491827" w:rsidRDefault="00491827" w:rsidP="00491827">
            <w:pPr>
              <w:spacing w:line="240" w:lineRule="auto"/>
              <w:jc w:val="right"/>
              <w:rPr>
                <w:rFonts w:ascii="Arial" w:eastAsia="Times New Roman" w:hAnsi="Arial" w:cs="Arial"/>
                <w:color w:val="0070C0"/>
                <w:sz w:val="20"/>
                <w:szCs w:val="20"/>
                <w:lang w:eastAsia="pt-BR"/>
              </w:rPr>
            </w:pPr>
            <w:r w:rsidRPr="00491827">
              <w:rPr>
                <w:rFonts w:ascii="Arial" w:eastAsia="Times New Roman" w:hAnsi="Arial" w:cs="Arial"/>
                <w:color w:val="0070C0"/>
                <w:sz w:val="20"/>
                <w:szCs w:val="20"/>
                <w:lang w:eastAsia="pt-BR"/>
              </w:rPr>
              <w:t> </w:t>
            </w:r>
          </w:p>
        </w:tc>
        <w:tc>
          <w:tcPr>
            <w:tcW w:w="2977" w:type="dxa"/>
            <w:shd w:val="clear" w:color="auto" w:fill="auto"/>
            <w:noWrap/>
            <w:vAlign w:val="center"/>
            <w:hideMark/>
          </w:tcPr>
          <w:p w14:paraId="5EC3C4F6" w14:textId="77777777" w:rsidR="00491827" w:rsidRPr="00491827" w:rsidRDefault="00491827" w:rsidP="00491827">
            <w:pPr>
              <w:spacing w:line="240" w:lineRule="auto"/>
              <w:jc w:val="right"/>
              <w:rPr>
                <w:rFonts w:ascii="Arial" w:eastAsia="Times New Roman" w:hAnsi="Arial" w:cs="Arial"/>
                <w:color w:val="0070C0"/>
                <w:sz w:val="20"/>
                <w:szCs w:val="20"/>
                <w:lang w:eastAsia="pt-BR"/>
              </w:rPr>
            </w:pPr>
            <w:r w:rsidRPr="00491827">
              <w:rPr>
                <w:rFonts w:ascii="Arial" w:eastAsia="Times New Roman" w:hAnsi="Arial" w:cs="Arial"/>
                <w:color w:val="0070C0"/>
                <w:sz w:val="20"/>
                <w:szCs w:val="20"/>
                <w:lang w:eastAsia="pt-BR"/>
              </w:rPr>
              <w:t> </w:t>
            </w:r>
          </w:p>
        </w:tc>
      </w:tr>
      <w:tr w:rsidR="00491827" w:rsidRPr="00491827" w14:paraId="0EBCBE41" w14:textId="77777777" w:rsidTr="00491827">
        <w:trPr>
          <w:trHeight w:val="423"/>
        </w:trPr>
        <w:tc>
          <w:tcPr>
            <w:tcW w:w="2689" w:type="dxa"/>
            <w:shd w:val="clear" w:color="auto" w:fill="auto"/>
            <w:noWrap/>
            <w:vAlign w:val="center"/>
            <w:hideMark/>
          </w:tcPr>
          <w:p w14:paraId="08556654" w14:textId="77777777" w:rsidR="00491827" w:rsidRPr="00491827" w:rsidRDefault="00491827" w:rsidP="00491827">
            <w:pPr>
              <w:spacing w:line="240" w:lineRule="auto"/>
              <w:rPr>
                <w:rFonts w:ascii="Arial" w:eastAsia="Times New Roman" w:hAnsi="Arial" w:cs="Arial"/>
                <w:color w:val="0070C0"/>
                <w:sz w:val="20"/>
                <w:szCs w:val="20"/>
                <w:lang w:eastAsia="pt-BR"/>
              </w:rPr>
            </w:pPr>
            <w:r w:rsidRPr="00491827">
              <w:rPr>
                <w:rFonts w:ascii="Arial" w:eastAsia="Times New Roman" w:hAnsi="Arial" w:cs="Arial"/>
                <w:color w:val="0070C0"/>
                <w:sz w:val="20"/>
                <w:szCs w:val="20"/>
                <w:lang w:eastAsia="pt-BR"/>
              </w:rPr>
              <w:t>Vencidas a mais de 90 dias</w:t>
            </w:r>
          </w:p>
        </w:tc>
        <w:tc>
          <w:tcPr>
            <w:tcW w:w="2126" w:type="dxa"/>
            <w:shd w:val="clear" w:color="auto" w:fill="auto"/>
            <w:noWrap/>
            <w:vAlign w:val="center"/>
            <w:hideMark/>
          </w:tcPr>
          <w:p w14:paraId="4F434A34" w14:textId="77777777" w:rsidR="00491827" w:rsidRPr="00491827" w:rsidRDefault="00491827" w:rsidP="00491827">
            <w:pPr>
              <w:spacing w:line="240" w:lineRule="auto"/>
              <w:jc w:val="right"/>
              <w:rPr>
                <w:rFonts w:ascii="Arial" w:eastAsia="Times New Roman" w:hAnsi="Arial" w:cs="Arial"/>
                <w:color w:val="0070C0"/>
                <w:sz w:val="20"/>
                <w:szCs w:val="20"/>
                <w:lang w:eastAsia="pt-BR"/>
              </w:rPr>
            </w:pPr>
            <w:r w:rsidRPr="00491827">
              <w:rPr>
                <w:rFonts w:ascii="Arial" w:eastAsia="Times New Roman" w:hAnsi="Arial" w:cs="Arial"/>
                <w:color w:val="0070C0"/>
                <w:sz w:val="20"/>
                <w:szCs w:val="20"/>
                <w:lang w:eastAsia="pt-BR"/>
              </w:rPr>
              <w:t> </w:t>
            </w:r>
          </w:p>
        </w:tc>
        <w:tc>
          <w:tcPr>
            <w:tcW w:w="1984" w:type="dxa"/>
            <w:shd w:val="clear" w:color="auto" w:fill="auto"/>
            <w:noWrap/>
            <w:vAlign w:val="center"/>
            <w:hideMark/>
          </w:tcPr>
          <w:p w14:paraId="638294BD" w14:textId="77777777" w:rsidR="00491827" w:rsidRPr="00491827" w:rsidRDefault="00491827" w:rsidP="00491827">
            <w:pPr>
              <w:spacing w:line="240" w:lineRule="auto"/>
              <w:jc w:val="right"/>
              <w:rPr>
                <w:rFonts w:ascii="Arial" w:eastAsia="Times New Roman" w:hAnsi="Arial" w:cs="Arial"/>
                <w:color w:val="0070C0"/>
                <w:sz w:val="20"/>
                <w:szCs w:val="20"/>
                <w:lang w:eastAsia="pt-BR"/>
              </w:rPr>
            </w:pPr>
            <w:r w:rsidRPr="00491827">
              <w:rPr>
                <w:rFonts w:ascii="Arial" w:eastAsia="Times New Roman" w:hAnsi="Arial" w:cs="Arial"/>
                <w:color w:val="0070C0"/>
                <w:sz w:val="20"/>
                <w:szCs w:val="20"/>
                <w:lang w:eastAsia="pt-BR"/>
              </w:rPr>
              <w:t> </w:t>
            </w:r>
          </w:p>
        </w:tc>
        <w:tc>
          <w:tcPr>
            <w:tcW w:w="2977" w:type="dxa"/>
            <w:shd w:val="clear" w:color="auto" w:fill="auto"/>
            <w:noWrap/>
            <w:vAlign w:val="center"/>
            <w:hideMark/>
          </w:tcPr>
          <w:p w14:paraId="23910D6C" w14:textId="77777777" w:rsidR="00491827" w:rsidRPr="00491827" w:rsidRDefault="00491827" w:rsidP="00491827">
            <w:pPr>
              <w:spacing w:line="240" w:lineRule="auto"/>
              <w:jc w:val="right"/>
              <w:rPr>
                <w:rFonts w:ascii="Arial" w:eastAsia="Times New Roman" w:hAnsi="Arial" w:cs="Arial"/>
                <w:color w:val="0070C0"/>
                <w:sz w:val="20"/>
                <w:szCs w:val="20"/>
                <w:lang w:eastAsia="pt-BR"/>
              </w:rPr>
            </w:pPr>
            <w:r w:rsidRPr="00491827">
              <w:rPr>
                <w:rFonts w:ascii="Arial" w:eastAsia="Times New Roman" w:hAnsi="Arial" w:cs="Arial"/>
                <w:color w:val="0070C0"/>
                <w:sz w:val="20"/>
                <w:szCs w:val="20"/>
                <w:lang w:eastAsia="pt-BR"/>
              </w:rPr>
              <w:t> </w:t>
            </w:r>
          </w:p>
        </w:tc>
      </w:tr>
      <w:tr w:rsidR="00491827" w:rsidRPr="00491827" w14:paraId="4CBBF404" w14:textId="77777777" w:rsidTr="00491827">
        <w:trPr>
          <w:trHeight w:val="423"/>
        </w:trPr>
        <w:tc>
          <w:tcPr>
            <w:tcW w:w="2689" w:type="dxa"/>
            <w:shd w:val="clear" w:color="auto" w:fill="auto"/>
            <w:noWrap/>
            <w:vAlign w:val="center"/>
            <w:hideMark/>
          </w:tcPr>
          <w:p w14:paraId="79DB8B2B" w14:textId="77777777" w:rsidR="00491827" w:rsidRPr="00491827" w:rsidRDefault="00491827" w:rsidP="00491827">
            <w:pPr>
              <w:spacing w:line="240" w:lineRule="auto"/>
              <w:rPr>
                <w:rFonts w:ascii="Arial" w:eastAsia="Times New Roman" w:hAnsi="Arial" w:cs="Arial"/>
                <w:color w:val="0070C0"/>
                <w:sz w:val="20"/>
                <w:szCs w:val="20"/>
                <w:lang w:eastAsia="pt-BR"/>
              </w:rPr>
            </w:pPr>
            <w:r w:rsidRPr="00491827">
              <w:rPr>
                <w:rFonts w:ascii="Arial" w:eastAsia="Times New Roman" w:hAnsi="Arial" w:cs="Arial"/>
                <w:color w:val="0070C0"/>
                <w:sz w:val="20"/>
                <w:szCs w:val="20"/>
                <w:lang w:eastAsia="pt-BR"/>
              </w:rPr>
              <w:t>Total</w:t>
            </w:r>
          </w:p>
        </w:tc>
        <w:tc>
          <w:tcPr>
            <w:tcW w:w="2126" w:type="dxa"/>
            <w:shd w:val="clear" w:color="auto" w:fill="auto"/>
            <w:noWrap/>
            <w:vAlign w:val="center"/>
            <w:hideMark/>
          </w:tcPr>
          <w:p w14:paraId="7676DC5D" w14:textId="77777777" w:rsidR="00491827" w:rsidRPr="00491827" w:rsidRDefault="00491827" w:rsidP="00491827">
            <w:pPr>
              <w:spacing w:line="240" w:lineRule="auto"/>
              <w:jc w:val="right"/>
              <w:rPr>
                <w:rFonts w:ascii="Arial" w:eastAsia="Times New Roman" w:hAnsi="Arial" w:cs="Arial"/>
                <w:color w:val="0070C0"/>
                <w:sz w:val="20"/>
                <w:szCs w:val="20"/>
                <w:lang w:eastAsia="pt-BR"/>
              </w:rPr>
            </w:pPr>
            <w:r w:rsidRPr="00491827">
              <w:rPr>
                <w:rFonts w:ascii="Arial" w:eastAsia="Times New Roman" w:hAnsi="Arial" w:cs="Arial"/>
                <w:color w:val="0070C0"/>
                <w:sz w:val="20"/>
                <w:szCs w:val="20"/>
                <w:lang w:eastAsia="pt-BR"/>
              </w:rPr>
              <w:t> </w:t>
            </w:r>
          </w:p>
        </w:tc>
        <w:tc>
          <w:tcPr>
            <w:tcW w:w="1984" w:type="dxa"/>
            <w:shd w:val="clear" w:color="auto" w:fill="auto"/>
            <w:noWrap/>
            <w:vAlign w:val="center"/>
            <w:hideMark/>
          </w:tcPr>
          <w:p w14:paraId="48F0E3C8" w14:textId="77777777" w:rsidR="00491827" w:rsidRPr="00491827" w:rsidRDefault="00491827" w:rsidP="00491827">
            <w:pPr>
              <w:spacing w:line="240" w:lineRule="auto"/>
              <w:jc w:val="right"/>
              <w:rPr>
                <w:rFonts w:ascii="Arial" w:eastAsia="Times New Roman" w:hAnsi="Arial" w:cs="Arial"/>
                <w:color w:val="0070C0"/>
                <w:sz w:val="20"/>
                <w:szCs w:val="20"/>
                <w:lang w:eastAsia="pt-BR"/>
              </w:rPr>
            </w:pPr>
            <w:r w:rsidRPr="00491827">
              <w:rPr>
                <w:rFonts w:ascii="Arial" w:eastAsia="Times New Roman" w:hAnsi="Arial" w:cs="Arial"/>
                <w:color w:val="0070C0"/>
                <w:sz w:val="20"/>
                <w:szCs w:val="20"/>
                <w:lang w:eastAsia="pt-BR"/>
              </w:rPr>
              <w:t> </w:t>
            </w:r>
          </w:p>
        </w:tc>
        <w:tc>
          <w:tcPr>
            <w:tcW w:w="2977" w:type="dxa"/>
            <w:shd w:val="clear" w:color="auto" w:fill="auto"/>
            <w:noWrap/>
            <w:vAlign w:val="center"/>
            <w:hideMark/>
          </w:tcPr>
          <w:p w14:paraId="5C5F3D35" w14:textId="77777777" w:rsidR="00491827" w:rsidRPr="00491827" w:rsidRDefault="00491827" w:rsidP="00491827">
            <w:pPr>
              <w:spacing w:line="240" w:lineRule="auto"/>
              <w:jc w:val="right"/>
              <w:rPr>
                <w:rFonts w:ascii="Arial" w:eastAsia="Times New Roman" w:hAnsi="Arial" w:cs="Arial"/>
                <w:color w:val="0070C0"/>
                <w:sz w:val="20"/>
                <w:szCs w:val="20"/>
                <w:lang w:eastAsia="pt-BR"/>
              </w:rPr>
            </w:pPr>
            <w:r w:rsidRPr="00491827">
              <w:rPr>
                <w:rFonts w:ascii="Arial" w:eastAsia="Times New Roman" w:hAnsi="Arial" w:cs="Arial"/>
                <w:color w:val="0070C0"/>
                <w:sz w:val="20"/>
                <w:szCs w:val="20"/>
                <w:lang w:eastAsia="pt-BR"/>
              </w:rPr>
              <w:t> </w:t>
            </w:r>
          </w:p>
        </w:tc>
      </w:tr>
      <w:tr w:rsidR="00491827" w:rsidRPr="00491827" w14:paraId="003E81D5" w14:textId="77777777" w:rsidTr="00491827">
        <w:trPr>
          <w:trHeight w:val="762"/>
        </w:trPr>
        <w:tc>
          <w:tcPr>
            <w:tcW w:w="9776" w:type="dxa"/>
            <w:gridSpan w:val="4"/>
            <w:shd w:val="clear" w:color="auto" w:fill="auto"/>
            <w:vAlign w:val="center"/>
            <w:hideMark/>
          </w:tcPr>
          <w:p w14:paraId="618D2E85" w14:textId="125719C1" w:rsidR="00491827" w:rsidRPr="00491827" w:rsidRDefault="00491827" w:rsidP="00491827">
            <w:pPr>
              <w:spacing w:line="240" w:lineRule="auto"/>
              <w:rPr>
                <w:rFonts w:ascii="Arial" w:eastAsia="Times New Roman" w:hAnsi="Arial" w:cs="Arial"/>
                <w:color w:val="0070C0"/>
                <w:sz w:val="20"/>
                <w:szCs w:val="20"/>
                <w:lang w:eastAsia="pt-BR"/>
              </w:rPr>
            </w:pPr>
            <w:r w:rsidRPr="00491827">
              <w:rPr>
                <w:rFonts w:ascii="Arial" w:eastAsia="Times New Roman" w:hAnsi="Arial" w:cs="Arial"/>
                <w:color w:val="0070C0"/>
                <w:sz w:val="20"/>
                <w:szCs w:val="20"/>
                <w:lang w:eastAsia="pt-BR"/>
              </w:rPr>
              <w:t>Nota 1: Os prazos podem ser ajustados de acordo com levantamentos já existentes desde que evidencie no mínimo os grupos de créditos vencidos, a vencer até 30 dias e a vencer superior a 30</w:t>
            </w:r>
            <w:r>
              <w:rPr>
                <w:rFonts w:ascii="Arial" w:eastAsia="Times New Roman" w:hAnsi="Arial" w:cs="Arial"/>
                <w:color w:val="0070C0"/>
                <w:sz w:val="20"/>
                <w:szCs w:val="20"/>
                <w:lang w:eastAsia="pt-BR"/>
              </w:rPr>
              <w:t xml:space="preserve"> </w:t>
            </w:r>
            <w:r w:rsidRPr="00491827">
              <w:rPr>
                <w:rFonts w:ascii="Arial" w:eastAsia="Times New Roman" w:hAnsi="Arial" w:cs="Arial"/>
                <w:color w:val="0070C0"/>
                <w:sz w:val="20"/>
                <w:szCs w:val="20"/>
                <w:lang w:eastAsia="pt-BR"/>
              </w:rPr>
              <w:t>dias.</w:t>
            </w:r>
          </w:p>
        </w:tc>
      </w:tr>
    </w:tbl>
    <w:p w14:paraId="7196D18B" w14:textId="42924F21" w:rsidR="00491827" w:rsidRDefault="00491827" w:rsidP="00491827">
      <w:pPr>
        <w:rPr>
          <w:lang w:eastAsia="x-none"/>
        </w:rPr>
      </w:pPr>
    </w:p>
    <w:p w14:paraId="01F26C2D" w14:textId="77777777" w:rsidR="00A56213" w:rsidRDefault="00A56213" w:rsidP="00491827">
      <w:pPr>
        <w:rPr>
          <w:lang w:eastAsia="x-none"/>
        </w:rPr>
      </w:pPr>
    </w:p>
    <w:p w14:paraId="358BFA26" w14:textId="45136D37" w:rsidR="00163227" w:rsidRPr="007C3EE3" w:rsidRDefault="007C3EE3">
      <w:pPr>
        <w:pStyle w:val="Ttulo3"/>
        <w:rPr>
          <w:b/>
          <w:bCs/>
          <w:sz w:val="28"/>
          <w:szCs w:val="28"/>
        </w:rPr>
      </w:pPr>
      <w:bookmarkStart w:id="94" w:name="_Toc94806366"/>
      <w:r w:rsidRPr="007C3EE3">
        <w:rPr>
          <w:b/>
          <w:bCs/>
          <w:sz w:val="28"/>
          <w:szCs w:val="28"/>
          <w:lang w:val="pt-BR"/>
        </w:rPr>
        <w:t>REOBRIG</w:t>
      </w:r>
      <w:bookmarkEnd w:id="94"/>
    </w:p>
    <w:tbl>
      <w:tblPr>
        <w:tblW w:w="9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30"/>
        <w:gridCol w:w="2694"/>
        <w:gridCol w:w="4397"/>
      </w:tblGrid>
      <w:tr w:rsidR="007C3EE3" w:rsidRPr="001910F5" w14:paraId="099A8752" w14:textId="77777777" w:rsidTr="0015273C">
        <w:trPr>
          <w:trHeight w:val="316"/>
        </w:trPr>
        <w:tc>
          <w:tcPr>
            <w:tcW w:w="9921" w:type="dxa"/>
            <w:gridSpan w:val="3"/>
            <w:shd w:val="clear" w:color="auto" w:fill="auto"/>
            <w:noWrap/>
            <w:vAlign w:val="center"/>
            <w:hideMark/>
          </w:tcPr>
          <w:p w14:paraId="4F97B228" w14:textId="77777777" w:rsidR="007C3EE3" w:rsidRPr="001910F5" w:rsidRDefault="007C3EE3" w:rsidP="0015273C">
            <w:pPr>
              <w:spacing w:line="240" w:lineRule="auto"/>
              <w:jc w:val="center"/>
              <w:rPr>
                <w:rFonts w:ascii="Arial" w:eastAsia="Times New Roman" w:hAnsi="Arial" w:cs="Arial"/>
                <w:b/>
                <w:bCs/>
                <w:color w:val="0070C0"/>
                <w:sz w:val="20"/>
                <w:szCs w:val="20"/>
                <w:lang w:eastAsia="pt-BR"/>
              </w:rPr>
            </w:pPr>
            <w:r w:rsidRPr="001910F5">
              <w:rPr>
                <w:rFonts w:ascii="Arial" w:eastAsia="Times New Roman" w:hAnsi="Arial" w:cs="Arial"/>
                <w:b/>
                <w:bCs/>
                <w:color w:val="0070C0"/>
                <w:sz w:val="20"/>
                <w:szCs w:val="20"/>
                <w:lang w:eastAsia="pt-BR"/>
              </w:rPr>
              <w:t>Relação de obrigações (contas a pagar fornecedores) em 31/12/XXXX</w:t>
            </w:r>
          </w:p>
        </w:tc>
      </w:tr>
      <w:tr w:rsidR="007C3EE3" w:rsidRPr="001910F5" w14:paraId="006D5940" w14:textId="77777777" w:rsidTr="0015273C">
        <w:trPr>
          <w:trHeight w:val="316"/>
        </w:trPr>
        <w:tc>
          <w:tcPr>
            <w:tcW w:w="9921" w:type="dxa"/>
            <w:gridSpan w:val="3"/>
            <w:shd w:val="clear" w:color="auto" w:fill="auto"/>
            <w:noWrap/>
            <w:vAlign w:val="center"/>
            <w:hideMark/>
          </w:tcPr>
          <w:p w14:paraId="0845FFA7" w14:textId="77777777" w:rsidR="007C3EE3" w:rsidRPr="001910F5" w:rsidRDefault="007C3EE3" w:rsidP="0015273C">
            <w:pPr>
              <w:spacing w:line="240" w:lineRule="auto"/>
              <w:rPr>
                <w:rFonts w:ascii="Arial" w:eastAsia="Times New Roman" w:hAnsi="Arial" w:cs="Arial"/>
                <w:b/>
                <w:bCs/>
                <w:color w:val="0070C0"/>
                <w:sz w:val="20"/>
                <w:szCs w:val="20"/>
                <w:lang w:eastAsia="pt-BR"/>
              </w:rPr>
            </w:pPr>
            <w:r w:rsidRPr="001910F5">
              <w:rPr>
                <w:rFonts w:ascii="Arial" w:eastAsia="Times New Roman" w:hAnsi="Arial" w:cs="Arial"/>
                <w:b/>
                <w:bCs/>
                <w:color w:val="0070C0"/>
                <w:sz w:val="20"/>
                <w:szCs w:val="20"/>
                <w:lang w:eastAsia="pt-BR"/>
              </w:rPr>
              <w:t>Contas contábeis (curto e longo prazo) envolvidas:</w:t>
            </w:r>
          </w:p>
        </w:tc>
      </w:tr>
      <w:tr w:rsidR="007C3EE3" w:rsidRPr="001910F5" w14:paraId="524909AC" w14:textId="77777777" w:rsidTr="0015273C">
        <w:trPr>
          <w:trHeight w:val="316"/>
        </w:trPr>
        <w:tc>
          <w:tcPr>
            <w:tcW w:w="2830" w:type="dxa"/>
            <w:shd w:val="clear" w:color="auto" w:fill="auto"/>
            <w:noWrap/>
            <w:vAlign w:val="center"/>
            <w:hideMark/>
          </w:tcPr>
          <w:p w14:paraId="7E05ACD6" w14:textId="77777777" w:rsidR="007C3EE3" w:rsidRPr="001910F5" w:rsidRDefault="007C3EE3" w:rsidP="0015273C">
            <w:pPr>
              <w:spacing w:line="240" w:lineRule="auto"/>
              <w:rPr>
                <w:rFonts w:ascii="Arial" w:eastAsia="Times New Roman" w:hAnsi="Arial" w:cs="Arial"/>
                <w:b/>
                <w:bCs/>
                <w:color w:val="0070C0"/>
                <w:sz w:val="20"/>
                <w:szCs w:val="20"/>
                <w:lang w:eastAsia="pt-BR"/>
              </w:rPr>
            </w:pPr>
            <w:r w:rsidRPr="001910F5">
              <w:rPr>
                <w:rFonts w:ascii="Arial" w:eastAsia="Times New Roman" w:hAnsi="Arial" w:cs="Arial"/>
                <w:b/>
                <w:bCs/>
                <w:color w:val="0070C0"/>
                <w:sz w:val="20"/>
                <w:szCs w:val="20"/>
                <w:lang w:eastAsia="pt-BR"/>
              </w:rPr>
              <w:t>Período (1)</w:t>
            </w:r>
          </w:p>
        </w:tc>
        <w:tc>
          <w:tcPr>
            <w:tcW w:w="2694" w:type="dxa"/>
            <w:shd w:val="clear" w:color="auto" w:fill="auto"/>
            <w:noWrap/>
            <w:vAlign w:val="center"/>
            <w:hideMark/>
          </w:tcPr>
          <w:p w14:paraId="3AC47D9D" w14:textId="77777777" w:rsidR="007C3EE3" w:rsidRPr="001910F5" w:rsidRDefault="007C3EE3" w:rsidP="0015273C">
            <w:pPr>
              <w:spacing w:line="240" w:lineRule="auto"/>
              <w:jc w:val="right"/>
              <w:rPr>
                <w:rFonts w:ascii="Arial" w:eastAsia="Times New Roman" w:hAnsi="Arial" w:cs="Arial"/>
                <w:b/>
                <w:bCs/>
                <w:color w:val="0070C0"/>
                <w:sz w:val="20"/>
                <w:szCs w:val="20"/>
                <w:lang w:eastAsia="pt-BR"/>
              </w:rPr>
            </w:pPr>
            <w:r w:rsidRPr="001910F5">
              <w:rPr>
                <w:rFonts w:ascii="Arial" w:eastAsia="Times New Roman" w:hAnsi="Arial" w:cs="Arial"/>
                <w:b/>
                <w:bCs/>
                <w:color w:val="0070C0"/>
                <w:sz w:val="20"/>
                <w:szCs w:val="20"/>
                <w:lang w:eastAsia="pt-BR"/>
              </w:rPr>
              <w:t>Quantidade</w:t>
            </w:r>
          </w:p>
        </w:tc>
        <w:tc>
          <w:tcPr>
            <w:tcW w:w="4397" w:type="dxa"/>
            <w:shd w:val="clear" w:color="auto" w:fill="auto"/>
            <w:noWrap/>
            <w:vAlign w:val="center"/>
            <w:hideMark/>
          </w:tcPr>
          <w:p w14:paraId="1F13B665" w14:textId="77777777" w:rsidR="007C3EE3" w:rsidRPr="001910F5" w:rsidRDefault="007C3EE3" w:rsidP="0015273C">
            <w:pPr>
              <w:spacing w:line="240" w:lineRule="auto"/>
              <w:jc w:val="right"/>
              <w:rPr>
                <w:rFonts w:ascii="Arial" w:eastAsia="Times New Roman" w:hAnsi="Arial" w:cs="Arial"/>
                <w:b/>
                <w:bCs/>
                <w:color w:val="0070C0"/>
                <w:sz w:val="20"/>
                <w:szCs w:val="20"/>
                <w:lang w:eastAsia="pt-BR"/>
              </w:rPr>
            </w:pPr>
            <w:r w:rsidRPr="001910F5">
              <w:rPr>
                <w:rFonts w:ascii="Arial" w:eastAsia="Times New Roman" w:hAnsi="Arial" w:cs="Arial"/>
                <w:b/>
                <w:bCs/>
                <w:color w:val="0070C0"/>
                <w:sz w:val="20"/>
                <w:szCs w:val="20"/>
                <w:lang w:eastAsia="pt-BR"/>
              </w:rPr>
              <w:t>Valor</w:t>
            </w:r>
          </w:p>
        </w:tc>
      </w:tr>
      <w:tr w:rsidR="007C3EE3" w:rsidRPr="001910F5" w14:paraId="395265C8" w14:textId="77777777" w:rsidTr="0015273C">
        <w:trPr>
          <w:trHeight w:val="316"/>
        </w:trPr>
        <w:tc>
          <w:tcPr>
            <w:tcW w:w="2830" w:type="dxa"/>
            <w:shd w:val="clear" w:color="auto" w:fill="auto"/>
            <w:noWrap/>
            <w:vAlign w:val="center"/>
            <w:hideMark/>
          </w:tcPr>
          <w:p w14:paraId="5704E22D" w14:textId="77777777" w:rsidR="007C3EE3" w:rsidRPr="001910F5" w:rsidRDefault="007C3EE3" w:rsidP="0015273C">
            <w:pPr>
              <w:spacing w:line="240" w:lineRule="auto"/>
              <w:rPr>
                <w:rFonts w:ascii="Arial" w:eastAsia="Times New Roman" w:hAnsi="Arial" w:cs="Arial"/>
                <w:color w:val="0070C0"/>
                <w:sz w:val="20"/>
                <w:szCs w:val="20"/>
                <w:lang w:eastAsia="pt-BR"/>
              </w:rPr>
            </w:pPr>
            <w:r w:rsidRPr="001910F5">
              <w:rPr>
                <w:rFonts w:ascii="Arial" w:eastAsia="Times New Roman" w:hAnsi="Arial" w:cs="Arial"/>
                <w:color w:val="0070C0"/>
                <w:sz w:val="20"/>
                <w:szCs w:val="20"/>
                <w:lang w:eastAsia="pt-BR"/>
              </w:rPr>
              <w:t xml:space="preserve">A vencer </w:t>
            </w:r>
          </w:p>
        </w:tc>
        <w:tc>
          <w:tcPr>
            <w:tcW w:w="2694" w:type="dxa"/>
            <w:shd w:val="clear" w:color="auto" w:fill="auto"/>
            <w:noWrap/>
            <w:vAlign w:val="center"/>
            <w:hideMark/>
          </w:tcPr>
          <w:p w14:paraId="7165B841" w14:textId="77777777" w:rsidR="007C3EE3" w:rsidRPr="001910F5" w:rsidRDefault="007C3EE3" w:rsidP="0015273C">
            <w:pPr>
              <w:spacing w:line="240" w:lineRule="auto"/>
              <w:jc w:val="right"/>
              <w:rPr>
                <w:rFonts w:ascii="Arial" w:eastAsia="Times New Roman" w:hAnsi="Arial" w:cs="Arial"/>
                <w:color w:val="0070C0"/>
                <w:sz w:val="20"/>
                <w:szCs w:val="20"/>
                <w:lang w:eastAsia="pt-BR"/>
              </w:rPr>
            </w:pPr>
            <w:r w:rsidRPr="001910F5">
              <w:rPr>
                <w:rFonts w:ascii="Arial" w:eastAsia="Times New Roman" w:hAnsi="Arial" w:cs="Arial"/>
                <w:color w:val="0070C0"/>
                <w:sz w:val="20"/>
                <w:szCs w:val="20"/>
                <w:lang w:eastAsia="pt-BR"/>
              </w:rPr>
              <w:t> </w:t>
            </w:r>
          </w:p>
        </w:tc>
        <w:tc>
          <w:tcPr>
            <w:tcW w:w="4397" w:type="dxa"/>
            <w:shd w:val="clear" w:color="auto" w:fill="auto"/>
            <w:noWrap/>
            <w:vAlign w:val="center"/>
            <w:hideMark/>
          </w:tcPr>
          <w:p w14:paraId="665A82A2" w14:textId="77777777" w:rsidR="007C3EE3" w:rsidRPr="001910F5" w:rsidRDefault="007C3EE3" w:rsidP="0015273C">
            <w:pPr>
              <w:spacing w:line="240" w:lineRule="auto"/>
              <w:jc w:val="right"/>
              <w:rPr>
                <w:rFonts w:ascii="Arial" w:eastAsia="Times New Roman" w:hAnsi="Arial" w:cs="Arial"/>
                <w:color w:val="0070C0"/>
                <w:sz w:val="20"/>
                <w:szCs w:val="20"/>
                <w:lang w:eastAsia="pt-BR"/>
              </w:rPr>
            </w:pPr>
            <w:r w:rsidRPr="001910F5">
              <w:rPr>
                <w:rFonts w:ascii="Arial" w:eastAsia="Times New Roman" w:hAnsi="Arial" w:cs="Arial"/>
                <w:color w:val="0070C0"/>
                <w:sz w:val="20"/>
                <w:szCs w:val="20"/>
                <w:lang w:eastAsia="pt-BR"/>
              </w:rPr>
              <w:t> </w:t>
            </w:r>
          </w:p>
        </w:tc>
      </w:tr>
      <w:tr w:rsidR="007C3EE3" w:rsidRPr="001910F5" w14:paraId="2AAA12D1" w14:textId="77777777" w:rsidTr="0015273C">
        <w:trPr>
          <w:trHeight w:val="316"/>
        </w:trPr>
        <w:tc>
          <w:tcPr>
            <w:tcW w:w="2830" w:type="dxa"/>
            <w:shd w:val="clear" w:color="auto" w:fill="auto"/>
            <w:noWrap/>
            <w:vAlign w:val="center"/>
            <w:hideMark/>
          </w:tcPr>
          <w:p w14:paraId="291776D6" w14:textId="77777777" w:rsidR="007C3EE3" w:rsidRPr="001910F5" w:rsidRDefault="007C3EE3" w:rsidP="0015273C">
            <w:pPr>
              <w:spacing w:line="240" w:lineRule="auto"/>
              <w:rPr>
                <w:rFonts w:ascii="Arial" w:eastAsia="Times New Roman" w:hAnsi="Arial" w:cs="Arial"/>
                <w:color w:val="0070C0"/>
                <w:sz w:val="20"/>
                <w:szCs w:val="20"/>
                <w:lang w:eastAsia="pt-BR"/>
              </w:rPr>
            </w:pPr>
            <w:r w:rsidRPr="001910F5">
              <w:rPr>
                <w:rFonts w:ascii="Arial" w:eastAsia="Times New Roman" w:hAnsi="Arial" w:cs="Arial"/>
                <w:color w:val="0070C0"/>
                <w:sz w:val="20"/>
                <w:szCs w:val="20"/>
                <w:lang w:eastAsia="pt-BR"/>
              </w:rPr>
              <w:t>Vencidas até 30 dias</w:t>
            </w:r>
          </w:p>
        </w:tc>
        <w:tc>
          <w:tcPr>
            <w:tcW w:w="2694" w:type="dxa"/>
            <w:shd w:val="clear" w:color="auto" w:fill="auto"/>
            <w:noWrap/>
            <w:vAlign w:val="center"/>
            <w:hideMark/>
          </w:tcPr>
          <w:p w14:paraId="0436A6AB" w14:textId="77777777" w:rsidR="007C3EE3" w:rsidRPr="001910F5" w:rsidRDefault="007C3EE3" w:rsidP="0015273C">
            <w:pPr>
              <w:spacing w:line="240" w:lineRule="auto"/>
              <w:jc w:val="right"/>
              <w:rPr>
                <w:rFonts w:ascii="Arial" w:eastAsia="Times New Roman" w:hAnsi="Arial" w:cs="Arial"/>
                <w:color w:val="0070C0"/>
                <w:sz w:val="20"/>
                <w:szCs w:val="20"/>
                <w:lang w:eastAsia="pt-BR"/>
              </w:rPr>
            </w:pPr>
            <w:r w:rsidRPr="001910F5">
              <w:rPr>
                <w:rFonts w:ascii="Arial" w:eastAsia="Times New Roman" w:hAnsi="Arial" w:cs="Arial"/>
                <w:color w:val="0070C0"/>
                <w:sz w:val="20"/>
                <w:szCs w:val="20"/>
                <w:lang w:eastAsia="pt-BR"/>
              </w:rPr>
              <w:t> </w:t>
            </w:r>
          </w:p>
        </w:tc>
        <w:tc>
          <w:tcPr>
            <w:tcW w:w="4397" w:type="dxa"/>
            <w:shd w:val="clear" w:color="auto" w:fill="auto"/>
            <w:noWrap/>
            <w:vAlign w:val="center"/>
            <w:hideMark/>
          </w:tcPr>
          <w:p w14:paraId="3FA4A711" w14:textId="77777777" w:rsidR="007C3EE3" w:rsidRPr="001910F5" w:rsidRDefault="007C3EE3" w:rsidP="0015273C">
            <w:pPr>
              <w:spacing w:line="240" w:lineRule="auto"/>
              <w:jc w:val="right"/>
              <w:rPr>
                <w:rFonts w:ascii="Arial" w:eastAsia="Times New Roman" w:hAnsi="Arial" w:cs="Arial"/>
                <w:color w:val="0070C0"/>
                <w:sz w:val="20"/>
                <w:szCs w:val="20"/>
                <w:lang w:eastAsia="pt-BR"/>
              </w:rPr>
            </w:pPr>
            <w:r w:rsidRPr="001910F5">
              <w:rPr>
                <w:rFonts w:ascii="Arial" w:eastAsia="Times New Roman" w:hAnsi="Arial" w:cs="Arial"/>
                <w:color w:val="0070C0"/>
                <w:sz w:val="20"/>
                <w:szCs w:val="20"/>
                <w:lang w:eastAsia="pt-BR"/>
              </w:rPr>
              <w:t> </w:t>
            </w:r>
          </w:p>
        </w:tc>
      </w:tr>
      <w:tr w:rsidR="007C3EE3" w:rsidRPr="001910F5" w14:paraId="0398FFD3" w14:textId="77777777" w:rsidTr="0015273C">
        <w:trPr>
          <w:trHeight w:val="316"/>
        </w:trPr>
        <w:tc>
          <w:tcPr>
            <w:tcW w:w="2830" w:type="dxa"/>
            <w:shd w:val="clear" w:color="auto" w:fill="auto"/>
            <w:noWrap/>
            <w:vAlign w:val="center"/>
            <w:hideMark/>
          </w:tcPr>
          <w:p w14:paraId="59A09505" w14:textId="77777777" w:rsidR="007C3EE3" w:rsidRPr="001910F5" w:rsidRDefault="007C3EE3" w:rsidP="0015273C">
            <w:pPr>
              <w:spacing w:line="240" w:lineRule="auto"/>
              <w:rPr>
                <w:rFonts w:ascii="Arial" w:eastAsia="Times New Roman" w:hAnsi="Arial" w:cs="Arial"/>
                <w:color w:val="0070C0"/>
                <w:sz w:val="20"/>
                <w:szCs w:val="20"/>
                <w:lang w:eastAsia="pt-BR"/>
              </w:rPr>
            </w:pPr>
            <w:r w:rsidRPr="001910F5">
              <w:rPr>
                <w:rFonts w:ascii="Arial" w:eastAsia="Times New Roman" w:hAnsi="Arial" w:cs="Arial"/>
                <w:color w:val="0070C0"/>
                <w:sz w:val="20"/>
                <w:szCs w:val="20"/>
                <w:lang w:eastAsia="pt-BR"/>
              </w:rPr>
              <w:t xml:space="preserve">Vencidas entre 30 e 90 dias </w:t>
            </w:r>
          </w:p>
        </w:tc>
        <w:tc>
          <w:tcPr>
            <w:tcW w:w="2694" w:type="dxa"/>
            <w:shd w:val="clear" w:color="auto" w:fill="auto"/>
            <w:noWrap/>
            <w:vAlign w:val="center"/>
            <w:hideMark/>
          </w:tcPr>
          <w:p w14:paraId="0081CA65" w14:textId="77777777" w:rsidR="007C3EE3" w:rsidRPr="001910F5" w:rsidRDefault="007C3EE3" w:rsidP="0015273C">
            <w:pPr>
              <w:spacing w:line="240" w:lineRule="auto"/>
              <w:jc w:val="right"/>
              <w:rPr>
                <w:rFonts w:ascii="Arial" w:eastAsia="Times New Roman" w:hAnsi="Arial" w:cs="Arial"/>
                <w:color w:val="0070C0"/>
                <w:sz w:val="20"/>
                <w:szCs w:val="20"/>
                <w:lang w:eastAsia="pt-BR"/>
              </w:rPr>
            </w:pPr>
            <w:r w:rsidRPr="001910F5">
              <w:rPr>
                <w:rFonts w:ascii="Arial" w:eastAsia="Times New Roman" w:hAnsi="Arial" w:cs="Arial"/>
                <w:color w:val="0070C0"/>
                <w:sz w:val="20"/>
                <w:szCs w:val="20"/>
                <w:lang w:eastAsia="pt-BR"/>
              </w:rPr>
              <w:t> </w:t>
            </w:r>
          </w:p>
        </w:tc>
        <w:tc>
          <w:tcPr>
            <w:tcW w:w="4397" w:type="dxa"/>
            <w:shd w:val="clear" w:color="auto" w:fill="auto"/>
            <w:noWrap/>
            <w:vAlign w:val="center"/>
            <w:hideMark/>
          </w:tcPr>
          <w:p w14:paraId="0E3E358C" w14:textId="77777777" w:rsidR="007C3EE3" w:rsidRPr="001910F5" w:rsidRDefault="007C3EE3" w:rsidP="0015273C">
            <w:pPr>
              <w:spacing w:line="240" w:lineRule="auto"/>
              <w:jc w:val="right"/>
              <w:rPr>
                <w:rFonts w:ascii="Arial" w:eastAsia="Times New Roman" w:hAnsi="Arial" w:cs="Arial"/>
                <w:color w:val="0070C0"/>
                <w:sz w:val="20"/>
                <w:szCs w:val="20"/>
                <w:lang w:eastAsia="pt-BR"/>
              </w:rPr>
            </w:pPr>
            <w:r w:rsidRPr="001910F5">
              <w:rPr>
                <w:rFonts w:ascii="Arial" w:eastAsia="Times New Roman" w:hAnsi="Arial" w:cs="Arial"/>
                <w:color w:val="0070C0"/>
                <w:sz w:val="20"/>
                <w:szCs w:val="20"/>
                <w:lang w:eastAsia="pt-BR"/>
              </w:rPr>
              <w:t> </w:t>
            </w:r>
          </w:p>
        </w:tc>
      </w:tr>
      <w:tr w:rsidR="007C3EE3" w:rsidRPr="001910F5" w14:paraId="2AB67A37" w14:textId="77777777" w:rsidTr="0015273C">
        <w:trPr>
          <w:trHeight w:val="316"/>
        </w:trPr>
        <w:tc>
          <w:tcPr>
            <w:tcW w:w="2830" w:type="dxa"/>
            <w:shd w:val="clear" w:color="auto" w:fill="auto"/>
            <w:noWrap/>
            <w:vAlign w:val="center"/>
            <w:hideMark/>
          </w:tcPr>
          <w:p w14:paraId="1F9AF6F7" w14:textId="77777777" w:rsidR="007C3EE3" w:rsidRPr="001910F5" w:rsidRDefault="007C3EE3" w:rsidP="0015273C">
            <w:pPr>
              <w:spacing w:line="240" w:lineRule="auto"/>
              <w:rPr>
                <w:rFonts w:ascii="Arial" w:eastAsia="Times New Roman" w:hAnsi="Arial" w:cs="Arial"/>
                <w:color w:val="0070C0"/>
                <w:sz w:val="20"/>
                <w:szCs w:val="20"/>
                <w:lang w:eastAsia="pt-BR"/>
              </w:rPr>
            </w:pPr>
            <w:r w:rsidRPr="001910F5">
              <w:rPr>
                <w:rFonts w:ascii="Arial" w:eastAsia="Times New Roman" w:hAnsi="Arial" w:cs="Arial"/>
                <w:color w:val="0070C0"/>
                <w:sz w:val="20"/>
                <w:szCs w:val="20"/>
                <w:lang w:eastAsia="pt-BR"/>
              </w:rPr>
              <w:t>Vencidas a mais de 90 dias</w:t>
            </w:r>
          </w:p>
        </w:tc>
        <w:tc>
          <w:tcPr>
            <w:tcW w:w="2694" w:type="dxa"/>
            <w:shd w:val="clear" w:color="auto" w:fill="auto"/>
            <w:noWrap/>
            <w:vAlign w:val="center"/>
            <w:hideMark/>
          </w:tcPr>
          <w:p w14:paraId="1701317F" w14:textId="77777777" w:rsidR="007C3EE3" w:rsidRPr="001910F5" w:rsidRDefault="007C3EE3" w:rsidP="0015273C">
            <w:pPr>
              <w:spacing w:line="240" w:lineRule="auto"/>
              <w:jc w:val="right"/>
              <w:rPr>
                <w:rFonts w:ascii="Arial" w:eastAsia="Times New Roman" w:hAnsi="Arial" w:cs="Arial"/>
                <w:color w:val="0070C0"/>
                <w:sz w:val="20"/>
                <w:szCs w:val="20"/>
                <w:lang w:eastAsia="pt-BR"/>
              </w:rPr>
            </w:pPr>
            <w:r w:rsidRPr="001910F5">
              <w:rPr>
                <w:rFonts w:ascii="Arial" w:eastAsia="Times New Roman" w:hAnsi="Arial" w:cs="Arial"/>
                <w:color w:val="0070C0"/>
                <w:sz w:val="20"/>
                <w:szCs w:val="20"/>
                <w:lang w:eastAsia="pt-BR"/>
              </w:rPr>
              <w:t> </w:t>
            </w:r>
          </w:p>
        </w:tc>
        <w:tc>
          <w:tcPr>
            <w:tcW w:w="4397" w:type="dxa"/>
            <w:shd w:val="clear" w:color="auto" w:fill="auto"/>
            <w:noWrap/>
            <w:vAlign w:val="center"/>
            <w:hideMark/>
          </w:tcPr>
          <w:p w14:paraId="23D4831B" w14:textId="77777777" w:rsidR="007C3EE3" w:rsidRPr="001910F5" w:rsidRDefault="007C3EE3" w:rsidP="0015273C">
            <w:pPr>
              <w:spacing w:line="240" w:lineRule="auto"/>
              <w:jc w:val="right"/>
              <w:rPr>
                <w:rFonts w:ascii="Arial" w:eastAsia="Times New Roman" w:hAnsi="Arial" w:cs="Arial"/>
                <w:color w:val="0070C0"/>
                <w:sz w:val="20"/>
                <w:szCs w:val="20"/>
                <w:lang w:eastAsia="pt-BR"/>
              </w:rPr>
            </w:pPr>
            <w:r w:rsidRPr="001910F5">
              <w:rPr>
                <w:rFonts w:ascii="Arial" w:eastAsia="Times New Roman" w:hAnsi="Arial" w:cs="Arial"/>
                <w:color w:val="0070C0"/>
                <w:sz w:val="20"/>
                <w:szCs w:val="20"/>
                <w:lang w:eastAsia="pt-BR"/>
              </w:rPr>
              <w:t> </w:t>
            </w:r>
          </w:p>
        </w:tc>
      </w:tr>
      <w:tr w:rsidR="007C3EE3" w:rsidRPr="001910F5" w14:paraId="0BCCF4AB" w14:textId="77777777" w:rsidTr="0015273C">
        <w:trPr>
          <w:trHeight w:val="316"/>
        </w:trPr>
        <w:tc>
          <w:tcPr>
            <w:tcW w:w="2830" w:type="dxa"/>
            <w:shd w:val="clear" w:color="auto" w:fill="auto"/>
            <w:noWrap/>
            <w:vAlign w:val="center"/>
            <w:hideMark/>
          </w:tcPr>
          <w:p w14:paraId="357B522E" w14:textId="77777777" w:rsidR="007C3EE3" w:rsidRPr="001910F5" w:rsidRDefault="007C3EE3" w:rsidP="0015273C">
            <w:pPr>
              <w:spacing w:line="240" w:lineRule="auto"/>
              <w:rPr>
                <w:rFonts w:ascii="Arial" w:eastAsia="Times New Roman" w:hAnsi="Arial" w:cs="Arial"/>
                <w:color w:val="0070C0"/>
                <w:sz w:val="20"/>
                <w:szCs w:val="20"/>
                <w:lang w:eastAsia="pt-BR"/>
              </w:rPr>
            </w:pPr>
            <w:r w:rsidRPr="001910F5">
              <w:rPr>
                <w:rFonts w:ascii="Arial" w:eastAsia="Times New Roman" w:hAnsi="Arial" w:cs="Arial"/>
                <w:color w:val="0070C0"/>
                <w:sz w:val="20"/>
                <w:szCs w:val="20"/>
                <w:lang w:eastAsia="pt-BR"/>
              </w:rPr>
              <w:t>Total</w:t>
            </w:r>
          </w:p>
        </w:tc>
        <w:tc>
          <w:tcPr>
            <w:tcW w:w="2694" w:type="dxa"/>
            <w:shd w:val="clear" w:color="auto" w:fill="auto"/>
            <w:noWrap/>
            <w:vAlign w:val="center"/>
            <w:hideMark/>
          </w:tcPr>
          <w:p w14:paraId="570C87C3" w14:textId="77777777" w:rsidR="007C3EE3" w:rsidRPr="001910F5" w:rsidRDefault="007C3EE3" w:rsidP="0015273C">
            <w:pPr>
              <w:spacing w:line="240" w:lineRule="auto"/>
              <w:jc w:val="right"/>
              <w:rPr>
                <w:rFonts w:ascii="Arial" w:eastAsia="Times New Roman" w:hAnsi="Arial" w:cs="Arial"/>
                <w:color w:val="0070C0"/>
                <w:sz w:val="20"/>
                <w:szCs w:val="20"/>
                <w:lang w:eastAsia="pt-BR"/>
              </w:rPr>
            </w:pPr>
            <w:r w:rsidRPr="001910F5">
              <w:rPr>
                <w:rFonts w:ascii="Arial" w:eastAsia="Times New Roman" w:hAnsi="Arial" w:cs="Arial"/>
                <w:color w:val="0070C0"/>
                <w:sz w:val="20"/>
                <w:szCs w:val="20"/>
                <w:lang w:eastAsia="pt-BR"/>
              </w:rPr>
              <w:t> </w:t>
            </w:r>
          </w:p>
        </w:tc>
        <w:tc>
          <w:tcPr>
            <w:tcW w:w="4397" w:type="dxa"/>
            <w:shd w:val="clear" w:color="auto" w:fill="auto"/>
            <w:noWrap/>
            <w:vAlign w:val="center"/>
            <w:hideMark/>
          </w:tcPr>
          <w:p w14:paraId="16C12C4B" w14:textId="77777777" w:rsidR="007C3EE3" w:rsidRPr="001910F5" w:rsidRDefault="007C3EE3" w:rsidP="0015273C">
            <w:pPr>
              <w:spacing w:line="240" w:lineRule="auto"/>
              <w:jc w:val="right"/>
              <w:rPr>
                <w:rFonts w:ascii="Arial" w:eastAsia="Times New Roman" w:hAnsi="Arial" w:cs="Arial"/>
                <w:color w:val="0070C0"/>
                <w:sz w:val="20"/>
                <w:szCs w:val="20"/>
                <w:lang w:eastAsia="pt-BR"/>
              </w:rPr>
            </w:pPr>
            <w:r w:rsidRPr="001910F5">
              <w:rPr>
                <w:rFonts w:ascii="Arial" w:eastAsia="Times New Roman" w:hAnsi="Arial" w:cs="Arial"/>
                <w:color w:val="0070C0"/>
                <w:sz w:val="20"/>
                <w:szCs w:val="20"/>
                <w:lang w:eastAsia="pt-BR"/>
              </w:rPr>
              <w:t> </w:t>
            </w:r>
          </w:p>
        </w:tc>
      </w:tr>
      <w:tr w:rsidR="007C3EE3" w:rsidRPr="001910F5" w14:paraId="48ADD78A" w14:textId="77777777" w:rsidTr="0015273C">
        <w:trPr>
          <w:trHeight w:val="571"/>
        </w:trPr>
        <w:tc>
          <w:tcPr>
            <w:tcW w:w="9921" w:type="dxa"/>
            <w:gridSpan w:val="3"/>
            <w:shd w:val="clear" w:color="auto" w:fill="auto"/>
            <w:vAlign w:val="center"/>
            <w:hideMark/>
          </w:tcPr>
          <w:p w14:paraId="50D2F92B" w14:textId="77777777" w:rsidR="007C3EE3" w:rsidRPr="001910F5" w:rsidRDefault="007C3EE3" w:rsidP="0015273C">
            <w:pPr>
              <w:spacing w:line="240" w:lineRule="auto"/>
              <w:rPr>
                <w:rFonts w:ascii="Arial" w:eastAsia="Times New Roman" w:hAnsi="Arial" w:cs="Arial"/>
                <w:color w:val="0070C0"/>
                <w:sz w:val="20"/>
                <w:szCs w:val="20"/>
                <w:lang w:eastAsia="pt-BR"/>
              </w:rPr>
            </w:pPr>
            <w:r w:rsidRPr="001910F5">
              <w:rPr>
                <w:rFonts w:ascii="Arial" w:eastAsia="Times New Roman" w:hAnsi="Arial" w:cs="Arial"/>
                <w:color w:val="0070C0"/>
                <w:sz w:val="20"/>
                <w:szCs w:val="20"/>
                <w:lang w:eastAsia="pt-BR"/>
              </w:rPr>
              <w:t>Nota 1: Os prazos podem ser ajustados de acordo com levantamentos já existentes desde que evidencie no mínimo os grupos de obrigações vencidas, a vencer até 30 dias e a vencer superior a 30 dias.</w:t>
            </w:r>
          </w:p>
        </w:tc>
      </w:tr>
    </w:tbl>
    <w:p w14:paraId="19D5166D" w14:textId="359124B7" w:rsidR="00163227" w:rsidRDefault="00163227" w:rsidP="00163227">
      <w:pPr>
        <w:rPr>
          <w:lang w:val="x-none" w:eastAsia="x-none"/>
        </w:rPr>
      </w:pPr>
    </w:p>
    <w:p w14:paraId="1C3A57C6" w14:textId="695B7CEE" w:rsidR="00A46EDE" w:rsidRDefault="00A46EDE" w:rsidP="00163227">
      <w:pPr>
        <w:rPr>
          <w:lang w:val="x-none" w:eastAsia="x-none"/>
        </w:rPr>
      </w:pPr>
    </w:p>
    <w:p w14:paraId="75D4B097" w14:textId="7B8793E7" w:rsidR="009659CA" w:rsidRDefault="009659CA" w:rsidP="00163227">
      <w:pPr>
        <w:rPr>
          <w:lang w:val="x-none" w:eastAsia="x-none"/>
        </w:rPr>
      </w:pPr>
    </w:p>
    <w:p w14:paraId="1B41F949" w14:textId="77777777" w:rsidR="009659CA" w:rsidRDefault="009659CA" w:rsidP="00163227">
      <w:pPr>
        <w:rPr>
          <w:lang w:val="x-none" w:eastAsia="x-none"/>
        </w:rPr>
      </w:pPr>
    </w:p>
    <w:p w14:paraId="668BA68D" w14:textId="16816A42" w:rsidR="00A56213" w:rsidRDefault="00A56213" w:rsidP="00163227">
      <w:pPr>
        <w:rPr>
          <w:lang w:val="x-none" w:eastAsia="x-none"/>
        </w:rPr>
      </w:pPr>
    </w:p>
    <w:p w14:paraId="0B2C23B3" w14:textId="08A010DE" w:rsidR="009659CA" w:rsidRDefault="009659CA">
      <w:pPr>
        <w:pStyle w:val="Ttulo3"/>
        <w:rPr>
          <w:b/>
          <w:bCs/>
          <w:lang w:val="pt-BR"/>
        </w:rPr>
      </w:pPr>
      <w:bookmarkStart w:id="95" w:name="_Hlk83713467"/>
      <w:bookmarkStart w:id="96" w:name="_Toc94806367"/>
      <w:r w:rsidRPr="009659CA">
        <w:rPr>
          <w:b/>
          <w:bCs/>
          <w:lang w:val="pt-BR"/>
        </w:rPr>
        <w:lastRenderedPageBreak/>
        <w:t>RFPREC</w:t>
      </w:r>
      <w:bookmarkEnd w:id="96"/>
    </w:p>
    <w:tbl>
      <w:tblPr>
        <w:tblW w:w="9120" w:type="dxa"/>
        <w:tblCellMar>
          <w:left w:w="70" w:type="dxa"/>
          <w:right w:w="70" w:type="dxa"/>
        </w:tblCellMar>
        <w:tblLook w:val="04A0" w:firstRow="1" w:lastRow="0" w:firstColumn="1" w:lastColumn="0" w:noHBand="0" w:noVBand="1"/>
      </w:tblPr>
      <w:tblGrid>
        <w:gridCol w:w="5240"/>
        <w:gridCol w:w="1985"/>
        <w:gridCol w:w="1895"/>
      </w:tblGrid>
      <w:tr w:rsidR="009659CA" w:rsidRPr="009659CA" w14:paraId="787EA0CC" w14:textId="77777777" w:rsidTr="00F42296">
        <w:trPr>
          <w:trHeight w:val="300"/>
        </w:trPr>
        <w:tc>
          <w:tcPr>
            <w:tcW w:w="912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035FCB" w14:textId="31250D5F" w:rsidR="009659CA" w:rsidRPr="009659CA" w:rsidRDefault="009659CA" w:rsidP="00F42296">
            <w:pPr>
              <w:spacing w:after="0" w:line="240" w:lineRule="auto"/>
              <w:jc w:val="center"/>
              <w:rPr>
                <w:rFonts w:ascii="Arial" w:eastAsia="Times New Roman" w:hAnsi="Arial" w:cs="Arial"/>
                <w:b/>
                <w:bCs/>
                <w:lang w:eastAsia="pt-BR"/>
              </w:rPr>
            </w:pPr>
            <w:r w:rsidRPr="009659CA">
              <w:rPr>
                <w:rFonts w:ascii="Arial" w:eastAsia="Times New Roman" w:hAnsi="Arial" w:cs="Arial"/>
                <w:b/>
                <w:bCs/>
                <w:lang w:eastAsia="pt-BR"/>
              </w:rPr>
              <w:t>Repasses ao TJ - precatórios em regime especial - Exercício de 20</w:t>
            </w:r>
            <w:r w:rsidR="00F032EF">
              <w:rPr>
                <w:rFonts w:ascii="Arial" w:eastAsia="Times New Roman" w:hAnsi="Arial" w:cs="Arial"/>
                <w:b/>
                <w:bCs/>
                <w:lang w:eastAsia="pt-BR"/>
              </w:rPr>
              <w:t>X</w:t>
            </w:r>
            <w:r w:rsidRPr="009659CA">
              <w:rPr>
                <w:rFonts w:ascii="Arial" w:eastAsia="Times New Roman" w:hAnsi="Arial" w:cs="Arial"/>
                <w:b/>
                <w:bCs/>
                <w:lang w:eastAsia="pt-BR"/>
              </w:rPr>
              <w:t>X</w:t>
            </w:r>
          </w:p>
        </w:tc>
      </w:tr>
      <w:tr w:rsidR="009659CA" w:rsidRPr="009659CA" w14:paraId="1EF21C1D" w14:textId="77777777" w:rsidTr="00F42296">
        <w:trPr>
          <w:trHeight w:val="300"/>
        </w:trPr>
        <w:tc>
          <w:tcPr>
            <w:tcW w:w="5240" w:type="dxa"/>
            <w:tcBorders>
              <w:top w:val="nil"/>
              <w:left w:val="single" w:sz="4" w:space="0" w:color="auto"/>
              <w:bottom w:val="single" w:sz="4" w:space="0" w:color="auto"/>
              <w:right w:val="single" w:sz="4" w:space="0" w:color="auto"/>
            </w:tcBorders>
            <w:shd w:val="clear" w:color="auto" w:fill="auto"/>
            <w:noWrap/>
            <w:vAlign w:val="bottom"/>
            <w:hideMark/>
          </w:tcPr>
          <w:p w14:paraId="2CEB98D6" w14:textId="77777777" w:rsidR="009659CA" w:rsidRPr="009659CA" w:rsidRDefault="009659CA" w:rsidP="00F42296">
            <w:pPr>
              <w:spacing w:after="0" w:line="240" w:lineRule="auto"/>
              <w:jc w:val="center"/>
              <w:rPr>
                <w:rFonts w:ascii="Arial" w:eastAsia="Times New Roman" w:hAnsi="Arial" w:cs="Arial"/>
                <w:lang w:eastAsia="pt-BR"/>
              </w:rPr>
            </w:pPr>
            <w:r w:rsidRPr="009659CA">
              <w:rPr>
                <w:rFonts w:ascii="Arial" w:eastAsia="Times New Roman" w:hAnsi="Arial" w:cs="Arial"/>
                <w:lang w:eastAsia="pt-BR"/>
              </w:rPr>
              <w:t>Ente público</w:t>
            </w:r>
          </w:p>
        </w:tc>
        <w:tc>
          <w:tcPr>
            <w:tcW w:w="1985" w:type="dxa"/>
            <w:tcBorders>
              <w:top w:val="nil"/>
              <w:left w:val="nil"/>
              <w:bottom w:val="single" w:sz="4" w:space="0" w:color="auto"/>
              <w:right w:val="single" w:sz="4" w:space="0" w:color="auto"/>
            </w:tcBorders>
            <w:shd w:val="clear" w:color="auto" w:fill="auto"/>
            <w:noWrap/>
            <w:vAlign w:val="bottom"/>
            <w:hideMark/>
          </w:tcPr>
          <w:p w14:paraId="655324C7" w14:textId="77777777" w:rsidR="009659CA" w:rsidRPr="009659CA" w:rsidRDefault="009659CA" w:rsidP="00F42296">
            <w:pPr>
              <w:spacing w:after="0" w:line="240" w:lineRule="auto"/>
              <w:jc w:val="center"/>
              <w:rPr>
                <w:rFonts w:ascii="Arial" w:eastAsia="Times New Roman" w:hAnsi="Arial" w:cs="Arial"/>
                <w:lang w:eastAsia="pt-BR"/>
              </w:rPr>
            </w:pPr>
            <w:r w:rsidRPr="009659CA">
              <w:rPr>
                <w:rFonts w:ascii="Arial" w:eastAsia="Times New Roman" w:hAnsi="Arial" w:cs="Arial"/>
                <w:lang w:eastAsia="pt-BR"/>
              </w:rPr>
              <w:t>Valor devido</w:t>
            </w:r>
          </w:p>
        </w:tc>
        <w:tc>
          <w:tcPr>
            <w:tcW w:w="1895" w:type="dxa"/>
            <w:tcBorders>
              <w:top w:val="nil"/>
              <w:left w:val="nil"/>
              <w:bottom w:val="single" w:sz="4" w:space="0" w:color="auto"/>
              <w:right w:val="single" w:sz="4" w:space="0" w:color="auto"/>
            </w:tcBorders>
            <w:shd w:val="clear" w:color="auto" w:fill="auto"/>
            <w:noWrap/>
            <w:vAlign w:val="bottom"/>
            <w:hideMark/>
          </w:tcPr>
          <w:p w14:paraId="41B6DABB" w14:textId="77777777" w:rsidR="009659CA" w:rsidRPr="009659CA" w:rsidRDefault="009659CA" w:rsidP="00F42296">
            <w:pPr>
              <w:spacing w:after="0" w:line="240" w:lineRule="auto"/>
              <w:jc w:val="center"/>
              <w:rPr>
                <w:rFonts w:ascii="Arial" w:eastAsia="Times New Roman" w:hAnsi="Arial" w:cs="Arial"/>
                <w:lang w:eastAsia="pt-BR"/>
              </w:rPr>
            </w:pPr>
            <w:r w:rsidRPr="009659CA">
              <w:rPr>
                <w:rFonts w:ascii="Arial" w:eastAsia="Times New Roman" w:hAnsi="Arial" w:cs="Arial"/>
                <w:lang w:eastAsia="pt-BR"/>
              </w:rPr>
              <w:t>Valor repassado</w:t>
            </w:r>
          </w:p>
        </w:tc>
      </w:tr>
      <w:tr w:rsidR="009659CA" w:rsidRPr="009659CA" w14:paraId="078F946C" w14:textId="77777777" w:rsidTr="00F42296">
        <w:trPr>
          <w:trHeight w:val="300"/>
        </w:trPr>
        <w:tc>
          <w:tcPr>
            <w:tcW w:w="5240" w:type="dxa"/>
            <w:tcBorders>
              <w:top w:val="nil"/>
              <w:left w:val="single" w:sz="4" w:space="0" w:color="auto"/>
              <w:bottom w:val="single" w:sz="4" w:space="0" w:color="auto"/>
              <w:right w:val="single" w:sz="4" w:space="0" w:color="auto"/>
            </w:tcBorders>
            <w:shd w:val="clear" w:color="auto" w:fill="auto"/>
            <w:noWrap/>
            <w:vAlign w:val="bottom"/>
            <w:hideMark/>
          </w:tcPr>
          <w:p w14:paraId="492D58C1" w14:textId="77777777" w:rsidR="009659CA" w:rsidRPr="009659CA" w:rsidRDefault="009659CA" w:rsidP="00F42296">
            <w:pPr>
              <w:spacing w:after="0" w:line="240" w:lineRule="auto"/>
              <w:rPr>
                <w:rFonts w:ascii="Arial" w:eastAsia="Times New Roman" w:hAnsi="Arial" w:cs="Arial"/>
                <w:b/>
                <w:bCs/>
                <w:lang w:eastAsia="pt-BR"/>
              </w:rPr>
            </w:pPr>
            <w:r w:rsidRPr="009659CA">
              <w:rPr>
                <w:rFonts w:ascii="Arial" w:eastAsia="Times New Roman" w:hAnsi="Arial" w:cs="Arial"/>
                <w:b/>
                <w:bCs/>
                <w:lang w:eastAsia="pt-BR"/>
              </w:rPr>
              <w:t> </w:t>
            </w:r>
          </w:p>
        </w:tc>
        <w:tc>
          <w:tcPr>
            <w:tcW w:w="1985" w:type="dxa"/>
            <w:tcBorders>
              <w:top w:val="nil"/>
              <w:left w:val="nil"/>
              <w:bottom w:val="single" w:sz="4" w:space="0" w:color="auto"/>
              <w:right w:val="single" w:sz="4" w:space="0" w:color="auto"/>
            </w:tcBorders>
            <w:shd w:val="clear" w:color="auto" w:fill="auto"/>
            <w:noWrap/>
            <w:vAlign w:val="bottom"/>
            <w:hideMark/>
          </w:tcPr>
          <w:p w14:paraId="6BB2C43E" w14:textId="77777777" w:rsidR="009659CA" w:rsidRPr="009659CA" w:rsidRDefault="009659CA" w:rsidP="00F42296">
            <w:pPr>
              <w:spacing w:after="0" w:line="240" w:lineRule="auto"/>
              <w:rPr>
                <w:rFonts w:ascii="Arial" w:eastAsia="Times New Roman" w:hAnsi="Arial" w:cs="Arial"/>
                <w:b/>
                <w:bCs/>
                <w:lang w:eastAsia="pt-BR"/>
              </w:rPr>
            </w:pPr>
            <w:r w:rsidRPr="009659CA">
              <w:rPr>
                <w:rFonts w:ascii="Arial" w:eastAsia="Times New Roman" w:hAnsi="Arial" w:cs="Arial"/>
                <w:b/>
                <w:bCs/>
                <w:lang w:eastAsia="pt-BR"/>
              </w:rPr>
              <w:t> </w:t>
            </w:r>
          </w:p>
        </w:tc>
        <w:tc>
          <w:tcPr>
            <w:tcW w:w="1895" w:type="dxa"/>
            <w:tcBorders>
              <w:top w:val="nil"/>
              <w:left w:val="nil"/>
              <w:bottom w:val="single" w:sz="4" w:space="0" w:color="auto"/>
              <w:right w:val="single" w:sz="4" w:space="0" w:color="auto"/>
            </w:tcBorders>
            <w:shd w:val="clear" w:color="auto" w:fill="auto"/>
            <w:noWrap/>
            <w:vAlign w:val="bottom"/>
            <w:hideMark/>
          </w:tcPr>
          <w:p w14:paraId="441F8073" w14:textId="77777777" w:rsidR="009659CA" w:rsidRPr="009659CA" w:rsidRDefault="009659CA" w:rsidP="00F42296">
            <w:pPr>
              <w:spacing w:after="0" w:line="240" w:lineRule="auto"/>
              <w:rPr>
                <w:rFonts w:ascii="Arial" w:eastAsia="Times New Roman" w:hAnsi="Arial" w:cs="Arial"/>
                <w:b/>
                <w:bCs/>
                <w:lang w:eastAsia="pt-BR"/>
              </w:rPr>
            </w:pPr>
            <w:r w:rsidRPr="009659CA">
              <w:rPr>
                <w:rFonts w:ascii="Arial" w:eastAsia="Times New Roman" w:hAnsi="Arial" w:cs="Arial"/>
                <w:b/>
                <w:bCs/>
                <w:lang w:eastAsia="pt-BR"/>
              </w:rPr>
              <w:t> </w:t>
            </w:r>
          </w:p>
        </w:tc>
      </w:tr>
    </w:tbl>
    <w:p w14:paraId="4DE2AC93" w14:textId="77777777" w:rsidR="009659CA" w:rsidRDefault="009659CA" w:rsidP="009659CA">
      <w:pPr>
        <w:rPr>
          <w:lang w:eastAsia="x-none"/>
        </w:rPr>
      </w:pPr>
    </w:p>
    <w:p w14:paraId="0058B363" w14:textId="2A3DA224" w:rsidR="009659CA" w:rsidRDefault="009659CA" w:rsidP="009659CA">
      <w:pPr>
        <w:rPr>
          <w:lang w:eastAsia="x-none"/>
        </w:rPr>
      </w:pPr>
    </w:p>
    <w:p w14:paraId="19820DAE" w14:textId="2D539471" w:rsidR="009659CA" w:rsidRDefault="009659CA" w:rsidP="009659CA">
      <w:pPr>
        <w:rPr>
          <w:lang w:eastAsia="x-none"/>
        </w:rPr>
      </w:pPr>
    </w:p>
    <w:p w14:paraId="7A7290C8" w14:textId="182951C7" w:rsidR="009659CA" w:rsidRDefault="009659CA" w:rsidP="009659CA">
      <w:pPr>
        <w:rPr>
          <w:lang w:eastAsia="x-none"/>
        </w:rPr>
      </w:pPr>
    </w:p>
    <w:p w14:paraId="0433025C" w14:textId="33EE2657" w:rsidR="009659CA" w:rsidRDefault="009659CA" w:rsidP="009659CA">
      <w:pPr>
        <w:rPr>
          <w:lang w:eastAsia="x-none"/>
        </w:rPr>
      </w:pPr>
    </w:p>
    <w:p w14:paraId="5241A3CF" w14:textId="3B360BA0" w:rsidR="009659CA" w:rsidRDefault="009659CA" w:rsidP="009659CA">
      <w:pPr>
        <w:rPr>
          <w:lang w:eastAsia="x-none"/>
        </w:rPr>
      </w:pPr>
    </w:p>
    <w:p w14:paraId="2368C148" w14:textId="04CBBDED" w:rsidR="009659CA" w:rsidRDefault="009659CA" w:rsidP="009659CA">
      <w:pPr>
        <w:rPr>
          <w:lang w:eastAsia="x-none"/>
        </w:rPr>
      </w:pPr>
    </w:p>
    <w:p w14:paraId="1741ED9D" w14:textId="57456292" w:rsidR="009659CA" w:rsidRDefault="009659CA" w:rsidP="009659CA">
      <w:pPr>
        <w:rPr>
          <w:lang w:eastAsia="x-none"/>
        </w:rPr>
      </w:pPr>
    </w:p>
    <w:p w14:paraId="1BE36045" w14:textId="7CF0F9C0" w:rsidR="009659CA" w:rsidRDefault="009659CA" w:rsidP="009659CA">
      <w:pPr>
        <w:rPr>
          <w:lang w:eastAsia="x-none"/>
        </w:rPr>
      </w:pPr>
    </w:p>
    <w:p w14:paraId="43AA2DEA" w14:textId="72B04AE3" w:rsidR="009659CA" w:rsidRDefault="009659CA" w:rsidP="009659CA">
      <w:pPr>
        <w:rPr>
          <w:lang w:eastAsia="x-none"/>
        </w:rPr>
      </w:pPr>
    </w:p>
    <w:p w14:paraId="7035E158" w14:textId="5E12E8F9" w:rsidR="009659CA" w:rsidRDefault="009659CA" w:rsidP="009659CA">
      <w:pPr>
        <w:rPr>
          <w:lang w:eastAsia="x-none"/>
        </w:rPr>
      </w:pPr>
    </w:p>
    <w:p w14:paraId="168089FA" w14:textId="5C39F66A" w:rsidR="009659CA" w:rsidRDefault="009659CA" w:rsidP="009659CA">
      <w:pPr>
        <w:rPr>
          <w:lang w:eastAsia="x-none"/>
        </w:rPr>
      </w:pPr>
    </w:p>
    <w:p w14:paraId="36AF1BFF" w14:textId="76D1D728" w:rsidR="009659CA" w:rsidRDefault="009659CA" w:rsidP="009659CA">
      <w:pPr>
        <w:rPr>
          <w:lang w:eastAsia="x-none"/>
        </w:rPr>
      </w:pPr>
    </w:p>
    <w:p w14:paraId="6B380B58" w14:textId="60182BDF" w:rsidR="009659CA" w:rsidRDefault="009659CA" w:rsidP="009659CA">
      <w:pPr>
        <w:rPr>
          <w:lang w:eastAsia="x-none"/>
        </w:rPr>
      </w:pPr>
    </w:p>
    <w:p w14:paraId="1A58026D" w14:textId="3D61BF1A" w:rsidR="009659CA" w:rsidRDefault="009659CA" w:rsidP="009659CA">
      <w:pPr>
        <w:rPr>
          <w:lang w:eastAsia="x-none"/>
        </w:rPr>
      </w:pPr>
    </w:p>
    <w:p w14:paraId="69ED286D" w14:textId="4A34D196" w:rsidR="009659CA" w:rsidRDefault="009659CA" w:rsidP="009659CA">
      <w:pPr>
        <w:rPr>
          <w:lang w:eastAsia="x-none"/>
        </w:rPr>
      </w:pPr>
    </w:p>
    <w:p w14:paraId="67594839" w14:textId="67349FA7" w:rsidR="009659CA" w:rsidRDefault="009659CA" w:rsidP="009659CA">
      <w:pPr>
        <w:rPr>
          <w:lang w:eastAsia="x-none"/>
        </w:rPr>
      </w:pPr>
    </w:p>
    <w:p w14:paraId="68DDA78D" w14:textId="1A71BCEB" w:rsidR="009659CA" w:rsidRDefault="009659CA" w:rsidP="009659CA">
      <w:pPr>
        <w:rPr>
          <w:lang w:eastAsia="x-none"/>
        </w:rPr>
      </w:pPr>
    </w:p>
    <w:p w14:paraId="18693E0B" w14:textId="187DE817" w:rsidR="009659CA" w:rsidRDefault="009659CA" w:rsidP="009659CA">
      <w:pPr>
        <w:rPr>
          <w:lang w:eastAsia="x-none"/>
        </w:rPr>
      </w:pPr>
    </w:p>
    <w:p w14:paraId="313D87C2" w14:textId="5A2742AD" w:rsidR="009659CA" w:rsidRDefault="009659CA" w:rsidP="009659CA">
      <w:pPr>
        <w:rPr>
          <w:lang w:eastAsia="x-none"/>
        </w:rPr>
      </w:pPr>
    </w:p>
    <w:p w14:paraId="2F35D42B" w14:textId="77777777" w:rsidR="009659CA" w:rsidRDefault="009659CA" w:rsidP="009659CA">
      <w:pPr>
        <w:rPr>
          <w:lang w:eastAsia="x-none"/>
        </w:rPr>
      </w:pPr>
    </w:p>
    <w:p w14:paraId="7F3C2847" w14:textId="41E22EEB" w:rsidR="009659CA" w:rsidRDefault="009659CA" w:rsidP="009659CA">
      <w:pPr>
        <w:rPr>
          <w:lang w:eastAsia="x-none"/>
        </w:rPr>
      </w:pPr>
    </w:p>
    <w:p w14:paraId="1D2EC26B" w14:textId="25E53C91" w:rsidR="009659CA" w:rsidRDefault="009659CA" w:rsidP="009659CA">
      <w:pPr>
        <w:rPr>
          <w:lang w:eastAsia="x-none"/>
        </w:rPr>
      </w:pPr>
    </w:p>
    <w:p w14:paraId="604BBC37" w14:textId="77777777" w:rsidR="005108A8" w:rsidRDefault="005108A8" w:rsidP="00E27D8E">
      <w:pPr>
        <w:pStyle w:val="Ttulo1"/>
        <w:rPr>
          <w:rFonts w:eastAsia="Calibri"/>
        </w:rPr>
      </w:pPr>
      <w:bookmarkStart w:id="97" w:name="_Toc94806368"/>
      <w:r w:rsidRPr="003E51E2">
        <w:rPr>
          <w:rFonts w:eastAsia="Calibri"/>
        </w:rPr>
        <w:lastRenderedPageBreak/>
        <w:t>Histórico d</w:t>
      </w:r>
      <w:r w:rsidR="002C5F11">
        <w:rPr>
          <w:rFonts w:eastAsia="Calibri"/>
          <w:lang w:val="pt-BR"/>
        </w:rPr>
        <w:t>e</w:t>
      </w:r>
      <w:r w:rsidRPr="003E51E2">
        <w:rPr>
          <w:rFonts w:eastAsia="Calibri"/>
        </w:rPr>
        <w:t xml:space="preserve"> </w:t>
      </w:r>
      <w:r w:rsidR="002C5F11">
        <w:rPr>
          <w:rFonts w:eastAsia="Calibri"/>
          <w:lang w:val="pt-BR"/>
        </w:rPr>
        <w:t>a</w:t>
      </w:r>
      <w:r w:rsidRPr="003E51E2">
        <w:rPr>
          <w:rFonts w:eastAsia="Calibri"/>
        </w:rPr>
        <w:t>lterações</w:t>
      </w:r>
      <w:bookmarkEnd w:id="97"/>
    </w:p>
    <w:p w14:paraId="54807C52" w14:textId="77777777" w:rsidR="005108A8" w:rsidRDefault="005108A8" w:rsidP="005108A8">
      <w:pPr>
        <w:spacing w:after="0" w:line="240" w:lineRule="auto"/>
        <w:jc w:val="both"/>
        <w:rPr>
          <w:rFonts w:ascii="Arial" w:eastAsia="Calibri" w:hAnsi="Arial" w:cs="Arial"/>
          <w:sz w:val="20"/>
          <w:szCs w:val="20"/>
        </w:rPr>
      </w:pPr>
    </w:p>
    <w:p w14:paraId="67F43900" w14:textId="77777777" w:rsidR="005108A8" w:rsidRDefault="005108A8" w:rsidP="005108A8">
      <w:pPr>
        <w:spacing w:after="0" w:line="240" w:lineRule="auto"/>
        <w:jc w:val="both"/>
        <w:rPr>
          <w:rFonts w:ascii="Arial" w:eastAsia="Calibri" w:hAnsi="Arial" w:cs="Arial"/>
          <w:sz w:val="20"/>
          <w:szCs w:val="20"/>
        </w:rPr>
      </w:pPr>
    </w:p>
    <w:p w14:paraId="72BBDFA7" w14:textId="7B82E290" w:rsidR="00416981" w:rsidRPr="00416981" w:rsidRDefault="00416981" w:rsidP="00416981">
      <w:pPr>
        <w:spacing w:after="0" w:line="240" w:lineRule="auto"/>
        <w:jc w:val="both"/>
        <w:rPr>
          <w:rFonts w:ascii="Arial" w:hAnsi="Arial" w:cs="Arial"/>
          <w:b/>
          <w:sz w:val="24"/>
          <w:szCs w:val="24"/>
        </w:rPr>
      </w:pPr>
      <w:bookmarkStart w:id="98" w:name="_Hlk86057167"/>
      <w:r w:rsidRPr="00416981">
        <w:rPr>
          <w:rFonts w:ascii="Arial" w:hAnsi="Arial" w:cs="Arial"/>
          <w:b/>
          <w:sz w:val="24"/>
          <w:szCs w:val="24"/>
        </w:rPr>
        <w:t>Alterações promovidas no Anexo I</w:t>
      </w:r>
      <w:r>
        <w:rPr>
          <w:rFonts w:ascii="Arial" w:hAnsi="Arial" w:cs="Arial"/>
          <w:b/>
          <w:sz w:val="24"/>
          <w:szCs w:val="24"/>
        </w:rPr>
        <w:t>II</w:t>
      </w:r>
      <w:r w:rsidRPr="00416981">
        <w:rPr>
          <w:rFonts w:ascii="Arial" w:hAnsi="Arial" w:cs="Arial"/>
          <w:b/>
          <w:sz w:val="24"/>
          <w:szCs w:val="24"/>
        </w:rPr>
        <w:t xml:space="preserve"> da IN 68/2020</w:t>
      </w:r>
      <w:r>
        <w:rPr>
          <w:rFonts w:ascii="Arial" w:hAnsi="Arial" w:cs="Arial"/>
          <w:b/>
          <w:sz w:val="24"/>
          <w:szCs w:val="24"/>
        </w:rPr>
        <w:t xml:space="preserve">, válidas para as remessas das Prestações de Contas Anuais referentes ao Exercício de 2021 a serem encaminhadas em 2022, </w:t>
      </w:r>
      <w:r w:rsidRPr="00416981">
        <w:rPr>
          <w:rFonts w:ascii="Arial" w:hAnsi="Arial" w:cs="Arial"/>
          <w:b/>
          <w:sz w:val="24"/>
          <w:szCs w:val="24"/>
        </w:rPr>
        <w:t>e seguintes.</w:t>
      </w:r>
    </w:p>
    <w:bookmarkEnd w:id="98"/>
    <w:p w14:paraId="098948D6" w14:textId="77777777" w:rsidR="00416981" w:rsidRDefault="00416981" w:rsidP="00450459">
      <w:pPr>
        <w:spacing w:after="0" w:line="240" w:lineRule="auto"/>
        <w:jc w:val="both"/>
        <w:rPr>
          <w:rFonts w:ascii="Arial" w:hAnsi="Arial" w:cs="Arial"/>
          <w:b/>
          <w:sz w:val="24"/>
          <w:szCs w:val="24"/>
        </w:rPr>
      </w:pPr>
    </w:p>
    <w:p w14:paraId="500264CE" w14:textId="77777777" w:rsidR="00450459" w:rsidRDefault="00450459" w:rsidP="00450459">
      <w:pPr>
        <w:spacing w:after="0" w:line="240" w:lineRule="auto"/>
        <w:jc w:val="both"/>
        <w:rPr>
          <w:rFonts w:ascii="Arial" w:hAnsi="Arial" w:cs="Arial"/>
          <w:b/>
          <w:sz w:val="24"/>
          <w:szCs w:val="24"/>
        </w:rPr>
      </w:pPr>
    </w:p>
    <w:p w14:paraId="06E20CD4" w14:textId="77777777" w:rsidR="00450459" w:rsidRPr="00FC7E65" w:rsidRDefault="00450459" w:rsidP="00450459">
      <w:pPr>
        <w:jc w:val="both"/>
        <w:rPr>
          <w:rFonts w:ascii="Arial" w:hAnsi="Arial" w:cs="Arial"/>
          <w:b/>
          <w:sz w:val="20"/>
          <w:szCs w:val="20"/>
        </w:rPr>
      </w:pPr>
      <w:r w:rsidRPr="00FC7E65">
        <w:rPr>
          <w:rFonts w:ascii="Arial" w:hAnsi="Arial" w:cs="Arial"/>
          <w:b/>
          <w:sz w:val="20"/>
          <w:szCs w:val="20"/>
        </w:rPr>
        <w:t>Legenda utilizada nas alterações:</w:t>
      </w:r>
    </w:p>
    <w:p w14:paraId="2912DA43" w14:textId="77777777" w:rsidR="00450459" w:rsidRPr="00FC7E65" w:rsidRDefault="00450459" w:rsidP="00450459">
      <w:pPr>
        <w:spacing w:after="0" w:line="240" w:lineRule="auto"/>
        <w:rPr>
          <w:rFonts w:ascii="Arial" w:hAnsi="Arial" w:cs="Arial"/>
          <w:b/>
          <w:color w:val="FF0000"/>
          <w:sz w:val="20"/>
          <w:szCs w:val="20"/>
        </w:rPr>
      </w:pPr>
      <w:r w:rsidRPr="00FC7E65">
        <w:rPr>
          <w:rFonts w:ascii="Arial" w:hAnsi="Arial" w:cs="Arial"/>
          <w:b/>
          <w:color w:val="0070C0"/>
          <w:sz w:val="20"/>
          <w:szCs w:val="20"/>
        </w:rPr>
        <w:t>=&gt; Códigos e descrições marcados em azul foram incluídos;</w:t>
      </w:r>
    </w:p>
    <w:p w14:paraId="534C0D7D" w14:textId="77777777" w:rsidR="00450459" w:rsidRDefault="00450459" w:rsidP="00450459">
      <w:pPr>
        <w:spacing w:after="0" w:line="240" w:lineRule="auto"/>
        <w:rPr>
          <w:rFonts w:ascii="Arial" w:hAnsi="Arial" w:cs="Arial"/>
          <w:b/>
          <w:color w:val="FF0000"/>
          <w:sz w:val="20"/>
          <w:szCs w:val="20"/>
        </w:rPr>
      </w:pPr>
      <w:r w:rsidRPr="00FC7E65">
        <w:rPr>
          <w:rFonts w:ascii="Arial" w:hAnsi="Arial" w:cs="Arial"/>
          <w:b/>
          <w:color w:val="FF0000"/>
          <w:sz w:val="20"/>
          <w:szCs w:val="20"/>
        </w:rPr>
        <w:t>=&gt; Códigos e descrições marcados em vermelho e tachados foram excluídos;</w:t>
      </w:r>
    </w:p>
    <w:p w14:paraId="27AE4363" w14:textId="77777777" w:rsidR="00450459" w:rsidRDefault="00450459" w:rsidP="00450459">
      <w:pPr>
        <w:tabs>
          <w:tab w:val="left" w:pos="8248"/>
        </w:tabs>
        <w:rPr>
          <w:rFonts w:ascii="Arial" w:hAnsi="Arial" w:cs="Arial"/>
          <w:b/>
          <w:color w:val="00B050"/>
          <w:sz w:val="20"/>
          <w:szCs w:val="20"/>
        </w:rPr>
      </w:pPr>
      <w:r>
        <w:rPr>
          <w:rFonts w:ascii="Arial" w:hAnsi="Arial" w:cs="Arial"/>
          <w:b/>
          <w:color w:val="00B050"/>
          <w:sz w:val="20"/>
          <w:szCs w:val="20"/>
        </w:rPr>
        <w:t xml:space="preserve">=&gt; </w:t>
      </w:r>
      <w:r w:rsidRPr="00710830">
        <w:rPr>
          <w:rFonts w:ascii="Arial" w:hAnsi="Arial" w:cs="Arial"/>
          <w:b/>
          <w:color w:val="00B050"/>
          <w:sz w:val="20"/>
          <w:szCs w:val="20"/>
        </w:rPr>
        <w:t>C</w:t>
      </w:r>
      <w:r>
        <w:rPr>
          <w:rFonts w:ascii="Arial" w:hAnsi="Arial" w:cs="Arial"/>
          <w:b/>
          <w:color w:val="00B050"/>
          <w:sz w:val="20"/>
          <w:szCs w:val="20"/>
        </w:rPr>
        <w:t xml:space="preserve">ódigos e descrições </w:t>
      </w:r>
      <w:r w:rsidRPr="00710830">
        <w:rPr>
          <w:rFonts w:ascii="Arial" w:hAnsi="Arial" w:cs="Arial"/>
          <w:b/>
          <w:color w:val="00B050"/>
          <w:sz w:val="20"/>
          <w:szCs w:val="20"/>
        </w:rPr>
        <w:t>marcad</w:t>
      </w:r>
      <w:r>
        <w:rPr>
          <w:rFonts w:ascii="Arial" w:hAnsi="Arial" w:cs="Arial"/>
          <w:b/>
          <w:color w:val="00B050"/>
          <w:sz w:val="20"/>
          <w:szCs w:val="20"/>
        </w:rPr>
        <w:t>os</w:t>
      </w:r>
      <w:r w:rsidRPr="00710830">
        <w:rPr>
          <w:rFonts w:ascii="Arial" w:hAnsi="Arial" w:cs="Arial"/>
          <w:b/>
          <w:color w:val="00B050"/>
          <w:sz w:val="20"/>
          <w:szCs w:val="20"/>
        </w:rPr>
        <w:t xml:space="preserve"> em verde foram alterad</w:t>
      </w:r>
      <w:r>
        <w:rPr>
          <w:rFonts w:ascii="Arial" w:hAnsi="Arial" w:cs="Arial"/>
          <w:b/>
          <w:color w:val="00B050"/>
          <w:sz w:val="20"/>
          <w:szCs w:val="20"/>
        </w:rPr>
        <w:t>os</w:t>
      </w:r>
      <w:r w:rsidRPr="00710830">
        <w:rPr>
          <w:rFonts w:ascii="Arial" w:hAnsi="Arial" w:cs="Arial"/>
          <w:b/>
          <w:color w:val="00B050"/>
          <w:sz w:val="20"/>
          <w:szCs w:val="20"/>
        </w:rPr>
        <w:t>.</w:t>
      </w:r>
    </w:p>
    <w:p w14:paraId="635BF1AC" w14:textId="77777777" w:rsidR="00450459" w:rsidRDefault="00450459" w:rsidP="00450459">
      <w:pPr>
        <w:tabs>
          <w:tab w:val="left" w:pos="8248"/>
        </w:tabs>
        <w:rPr>
          <w:rFonts w:ascii="Arial" w:hAnsi="Arial" w:cs="Arial"/>
          <w:b/>
          <w:color w:val="00B050"/>
          <w:sz w:val="20"/>
          <w:szCs w:val="20"/>
        </w:rPr>
      </w:pPr>
    </w:p>
    <w:p w14:paraId="0247AF62" w14:textId="6277D0B4" w:rsidR="002869E3" w:rsidRPr="00613437" w:rsidRDefault="002869E3">
      <w:pPr>
        <w:pStyle w:val="Ttulo2"/>
        <w:rPr>
          <w:lang w:val="pt-BR"/>
        </w:rPr>
      </w:pPr>
      <w:bookmarkStart w:id="99" w:name="_Toc94806369"/>
      <w:r w:rsidRPr="00613437">
        <w:rPr>
          <w:lang w:val="pt-BR"/>
        </w:rPr>
        <w:t xml:space="preserve">Incluiu o Rol de </w:t>
      </w:r>
      <w:r w:rsidR="002247E8" w:rsidRPr="00613437">
        <w:rPr>
          <w:lang w:val="pt-BR"/>
        </w:rPr>
        <w:t>D</w:t>
      </w:r>
      <w:r w:rsidRPr="00613437">
        <w:rPr>
          <w:lang w:val="pt-BR"/>
        </w:rPr>
        <w:t>ocumentos FUNDOS DE DESENVOLVIMENTO COM NATUREZA JURÍDICA DE DIREITO PRIVADO.</w:t>
      </w:r>
      <w:bookmarkEnd w:id="99"/>
    </w:p>
    <w:p w14:paraId="5CBFA1E1" w14:textId="6C680AD4" w:rsidR="002869E3" w:rsidRDefault="002869E3" w:rsidP="002869E3">
      <w:pPr>
        <w:tabs>
          <w:tab w:val="left" w:pos="8248"/>
        </w:tabs>
      </w:pPr>
    </w:p>
    <w:tbl>
      <w:tblPr>
        <w:tblStyle w:val="TableGrid"/>
        <w:tblpPr w:leftFromText="141" w:rightFromText="141" w:vertAnchor="text" w:tblpX="-10" w:tblpY="1"/>
        <w:tblOverlap w:val="never"/>
        <w:tblW w:w="9067" w:type="dxa"/>
        <w:tblInd w:w="0" w:type="dxa"/>
        <w:tblCellMar>
          <w:top w:w="59" w:type="dxa"/>
          <w:left w:w="108" w:type="dxa"/>
          <w:right w:w="61" w:type="dxa"/>
        </w:tblCellMar>
        <w:tblLook w:val="04A0" w:firstRow="1" w:lastRow="0" w:firstColumn="1" w:lastColumn="0" w:noHBand="0" w:noVBand="1"/>
      </w:tblPr>
      <w:tblGrid>
        <w:gridCol w:w="1173"/>
        <w:gridCol w:w="6386"/>
        <w:gridCol w:w="1508"/>
      </w:tblGrid>
      <w:tr w:rsidR="00950BE9" w:rsidRPr="00950BE9" w14:paraId="5B0E6408" w14:textId="77777777" w:rsidTr="002F3756">
        <w:trPr>
          <w:cantSplit/>
        </w:trPr>
        <w:tc>
          <w:tcPr>
            <w:tcW w:w="1173" w:type="dxa"/>
            <w:tcBorders>
              <w:top w:val="single" w:sz="4" w:space="0" w:color="000000"/>
              <w:left w:val="single" w:sz="4" w:space="0" w:color="000000"/>
              <w:bottom w:val="single" w:sz="4" w:space="0" w:color="000000"/>
              <w:right w:val="single" w:sz="4" w:space="0" w:color="000000"/>
            </w:tcBorders>
            <w:vAlign w:val="center"/>
          </w:tcPr>
          <w:p w14:paraId="02B5D67E" w14:textId="77777777" w:rsidR="00950BE9" w:rsidRPr="00950BE9" w:rsidRDefault="00950BE9" w:rsidP="00950BE9">
            <w:pPr>
              <w:spacing w:line="360" w:lineRule="auto"/>
              <w:ind w:right="46"/>
              <w:contextualSpacing/>
              <w:jc w:val="center"/>
              <w:rPr>
                <w:rFonts w:ascii="Arial" w:hAnsi="Arial" w:cs="Times New Roman"/>
                <w:color w:val="0070C0"/>
                <w:sz w:val="24"/>
              </w:rPr>
            </w:pPr>
            <w:r w:rsidRPr="00950BE9">
              <w:rPr>
                <w:rFonts w:ascii="Arial" w:eastAsia="Arial" w:hAnsi="Arial" w:cs="Arial"/>
                <w:color w:val="0070C0"/>
                <w:sz w:val="18"/>
              </w:rPr>
              <w:t xml:space="preserve">Código </w:t>
            </w:r>
          </w:p>
        </w:tc>
        <w:tc>
          <w:tcPr>
            <w:tcW w:w="6386" w:type="dxa"/>
            <w:tcBorders>
              <w:top w:val="single" w:sz="4" w:space="0" w:color="000000"/>
              <w:left w:val="single" w:sz="4" w:space="0" w:color="000000"/>
              <w:bottom w:val="single" w:sz="4" w:space="0" w:color="000000"/>
              <w:right w:val="single" w:sz="4" w:space="0" w:color="000000"/>
            </w:tcBorders>
            <w:vAlign w:val="center"/>
          </w:tcPr>
          <w:p w14:paraId="14F25400" w14:textId="77777777" w:rsidR="00950BE9" w:rsidRPr="00950BE9" w:rsidRDefault="00950BE9" w:rsidP="00950BE9">
            <w:pPr>
              <w:spacing w:line="360" w:lineRule="auto"/>
              <w:ind w:right="48"/>
              <w:contextualSpacing/>
              <w:jc w:val="center"/>
              <w:rPr>
                <w:rFonts w:ascii="Arial" w:hAnsi="Arial" w:cs="Times New Roman"/>
                <w:color w:val="0070C0"/>
                <w:sz w:val="24"/>
              </w:rPr>
            </w:pPr>
            <w:r w:rsidRPr="00950BE9">
              <w:rPr>
                <w:rFonts w:ascii="Arial" w:eastAsia="Arial" w:hAnsi="Arial" w:cs="Arial"/>
                <w:color w:val="0070C0"/>
                <w:sz w:val="18"/>
              </w:rPr>
              <w:t xml:space="preserve">Descrição </w:t>
            </w:r>
          </w:p>
        </w:tc>
        <w:tc>
          <w:tcPr>
            <w:tcW w:w="1508" w:type="dxa"/>
            <w:tcBorders>
              <w:top w:val="single" w:sz="4" w:space="0" w:color="000000"/>
              <w:left w:val="single" w:sz="4" w:space="0" w:color="000000"/>
              <w:bottom w:val="single" w:sz="4" w:space="0" w:color="000000"/>
              <w:right w:val="single" w:sz="4" w:space="0" w:color="000000"/>
            </w:tcBorders>
            <w:vAlign w:val="center"/>
          </w:tcPr>
          <w:p w14:paraId="2F8D4EA2" w14:textId="77777777" w:rsidR="00950BE9" w:rsidRPr="00950BE9" w:rsidRDefault="00950BE9" w:rsidP="00950BE9">
            <w:pPr>
              <w:spacing w:line="360" w:lineRule="auto"/>
              <w:ind w:left="53"/>
              <w:contextualSpacing/>
              <w:jc w:val="both"/>
              <w:rPr>
                <w:rFonts w:ascii="Arial" w:hAnsi="Arial" w:cs="Times New Roman"/>
                <w:color w:val="0070C0"/>
                <w:sz w:val="18"/>
                <w:szCs w:val="18"/>
              </w:rPr>
            </w:pPr>
            <w:r w:rsidRPr="00950BE9">
              <w:rPr>
                <w:rFonts w:ascii="Arial" w:eastAsia="Arial" w:hAnsi="Arial" w:cs="Arial"/>
                <w:color w:val="0070C0"/>
                <w:sz w:val="18"/>
                <w:szCs w:val="18"/>
              </w:rPr>
              <w:t xml:space="preserve">Formato </w:t>
            </w:r>
          </w:p>
        </w:tc>
      </w:tr>
      <w:tr w:rsidR="00950BE9" w:rsidRPr="00950BE9" w14:paraId="6A1289B6" w14:textId="77777777" w:rsidTr="002F3756">
        <w:trPr>
          <w:cantSplit/>
        </w:trPr>
        <w:tc>
          <w:tcPr>
            <w:tcW w:w="1173" w:type="dxa"/>
            <w:tcBorders>
              <w:top w:val="single" w:sz="4" w:space="0" w:color="000000"/>
              <w:left w:val="single" w:sz="4" w:space="0" w:color="000000"/>
              <w:bottom w:val="single" w:sz="4" w:space="0" w:color="000000"/>
              <w:right w:val="single" w:sz="4" w:space="0" w:color="000000"/>
            </w:tcBorders>
            <w:vAlign w:val="center"/>
          </w:tcPr>
          <w:p w14:paraId="5220762D" w14:textId="77777777" w:rsidR="00950BE9" w:rsidRPr="00950BE9" w:rsidRDefault="00950BE9" w:rsidP="00950BE9">
            <w:pPr>
              <w:spacing w:line="360" w:lineRule="auto"/>
              <w:ind w:right="47"/>
              <w:contextualSpacing/>
              <w:jc w:val="center"/>
              <w:rPr>
                <w:rFonts w:ascii="Arial" w:hAnsi="Arial" w:cs="Times New Roman"/>
                <w:color w:val="0070C0"/>
                <w:sz w:val="24"/>
              </w:rPr>
            </w:pPr>
            <w:r w:rsidRPr="00950BE9">
              <w:rPr>
                <w:rFonts w:ascii="Arial" w:eastAsia="Arial" w:hAnsi="Arial" w:cs="Arial"/>
                <w:color w:val="0070C0"/>
                <w:sz w:val="18"/>
              </w:rPr>
              <w:t xml:space="preserve">ROLRES </w:t>
            </w:r>
          </w:p>
        </w:tc>
        <w:tc>
          <w:tcPr>
            <w:tcW w:w="6386" w:type="dxa"/>
            <w:tcBorders>
              <w:top w:val="single" w:sz="4" w:space="0" w:color="000000"/>
              <w:left w:val="single" w:sz="4" w:space="0" w:color="000000"/>
              <w:bottom w:val="single" w:sz="4" w:space="0" w:color="000000"/>
              <w:right w:val="single" w:sz="4" w:space="0" w:color="000000"/>
            </w:tcBorders>
            <w:vAlign w:val="center"/>
          </w:tcPr>
          <w:p w14:paraId="42626C12" w14:textId="77777777" w:rsidR="00950BE9" w:rsidRPr="00950BE9" w:rsidRDefault="00950BE9" w:rsidP="00950BE9">
            <w:pPr>
              <w:spacing w:line="360" w:lineRule="auto"/>
              <w:contextualSpacing/>
              <w:jc w:val="both"/>
              <w:rPr>
                <w:rFonts w:ascii="Arial" w:eastAsia="Arial" w:hAnsi="Arial" w:cs="Arial"/>
                <w:color w:val="0070C0"/>
                <w:sz w:val="18"/>
              </w:rPr>
            </w:pPr>
            <w:r w:rsidRPr="00950BE9">
              <w:rPr>
                <w:rFonts w:ascii="Arial" w:eastAsia="Arial" w:hAnsi="Arial" w:cs="Arial"/>
                <w:color w:val="0070C0"/>
                <w:sz w:val="18"/>
              </w:rPr>
              <w:t xml:space="preserve">Rol de responsáveis contendo a estrutura decisória do FUNDO: (Artigo 137, I, do RITCEES, aprovado pela Resolução TC nº 261/2013) </w:t>
            </w:r>
          </w:p>
          <w:p w14:paraId="54D8D291" w14:textId="77777777" w:rsidR="00950BE9" w:rsidRPr="00950BE9" w:rsidRDefault="00950BE9" w:rsidP="006F0FB6">
            <w:pPr>
              <w:numPr>
                <w:ilvl w:val="0"/>
                <w:numId w:val="45"/>
              </w:numPr>
              <w:contextualSpacing/>
              <w:jc w:val="both"/>
              <w:rPr>
                <w:rFonts w:ascii="Arial" w:hAnsi="Arial" w:cs="Times New Roman"/>
                <w:color w:val="0070C0"/>
                <w:sz w:val="24"/>
              </w:rPr>
            </w:pPr>
            <w:r w:rsidRPr="00950BE9">
              <w:rPr>
                <w:rFonts w:ascii="Arial" w:eastAsia="Arial" w:hAnsi="Arial" w:cs="Arial"/>
                <w:color w:val="0070C0"/>
                <w:sz w:val="18"/>
              </w:rPr>
              <w:t xml:space="preserve">Nome </w:t>
            </w:r>
          </w:p>
          <w:p w14:paraId="1D12F153" w14:textId="77777777" w:rsidR="00950BE9" w:rsidRPr="00950BE9" w:rsidRDefault="00950BE9" w:rsidP="006F0FB6">
            <w:pPr>
              <w:numPr>
                <w:ilvl w:val="0"/>
                <w:numId w:val="45"/>
              </w:numPr>
              <w:contextualSpacing/>
              <w:jc w:val="both"/>
              <w:rPr>
                <w:rFonts w:ascii="Arial" w:hAnsi="Arial" w:cs="Times New Roman"/>
                <w:color w:val="0070C0"/>
                <w:sz w:val="24"/>
              </w:rPr>
            </w:pPr>
            <w:r w:rsidRPr="00950BE9">
              <w:rPr>
                <w:rFonts w:ascii="Arial" w:eastAsia="Arial" w:hAnsi="Arial" w:cs="Arial"/>
                <w:color w:val="0070C0"/>
                <w:sz w:val="18"/>
              </w:rPr>
              <w:t xml:space="preserve">Endereço residencial </w:t>
            </w:r>
          </w:p>
          <w:p w14:paraId="7AC0BF29" w14:textId="77777777" w:rsidR="00950BE9" w:rsidRPr="00950BE9" w:rsidRDefault="00950BE9" w:rsidP="006F0FB6">
            <w:pPr>
              <w:numPr>
                <w:ilvl w:val="0"/>
                <w:numId w:val="45"/>
              </w:numPr>
              <w:contextualSpacing/>
              <w:jc w:val="both"/>
              <w:rPr>
                <w:rFonts w:ascii="Arial" w:hAnsi="Arial" w:cs="Times New Roman"/>
                <w:color w:val="0070C0"/>
                <w:sz w:val="24"/>
              </w:rPr>
            </w:pPr>
            <w:r w:rsidRPr="00950BE9">
              <w:rPr>
                <w:rFonts w:ascii="Arial" w:eastAsia="Arial" w:hAnsi="Arial" w:cs="Arial"/>
                <w:color w:val="0070C0"/>
                <w:sz w:val="18"/>
              </w:rPr>
              <w:t xml:space="preserve">Endereço eletrônico pessoal (e-mail) </w:t>
            </w:r>
          </w:p>
          <w:p w14:paraId="4F728912" w14:textId="77777777" w:rsidR="00950BE9" w:rsidRPr="00950BE9" w:rsidRDefault="00950BE9" w:rsidP="006F0FB6">
            <w:pPr>
              <w:numPr>
                <w:ilvl w:val="0"/>
                <w:numId w:val="45"/>
              </w:numPr>
              <w:contextualSpacing/>
              <w:jc w:val="both"/>
              <w:rPr>
                <w:rFonts w:ascii="Arial" w:hAnsi="Arial" w:cs="Times New Roman"/>
                <w:color w:val="0070C0"/>
                <w:sz w:val="24"/>
              </w:rPr>
            </w:pPr>
            <w:r w:rsidRPr="00950BE9">
              <w:rPr>
                <w:rFonts w:ascii="Arial" w:eastAsia="Arial" w:hAnsi="Arial" w:cs="Arial"/>
                <w:color w:val="0070C0"/>
                <w:sz w:val="18"/>
              </w:rPr>
              <w:t xml:space="preserve">Cargo ou função </w:t>
            </w:r>
          </w:p>
          <w:p w14:paraId="78015712" w14:textId="77777777" w:rsidR="00950BE9" w:rsidRPr="00950BE9" w:rsidRDefault="00950BE9" w:rsidP="006F0FB6">
            <w:pPr>
              <w:numPr>
                <w:ilvl w:val="0"/>
                <w:numId w:val="45"/>
              </w:numPr>
              <w:contextualSpacing/>
              <w:jc w:val="both"/>
              <w:rPr>
                <w:rFonts w:ascii="Arial" w:hAnsi="Arial" w:cs="Times New Roman"/>
                <w:color w:val="0070C0"/>
                <w:sz w:val="24"/>
              </w:rPr>
            </w:pPr>
            <w:r w:rsidRPr="00950BE9">
              <w:rPr>
                <w:rFonts w:ascii="Arial" w:eastAsia="Arial" w:hAnsi="Arial" w:cs="Arial"/>
                <w:color w:val="0070C0"/>
                <w:sz w:val="18"/>
              </w:rPr>
              <w:t xml:space="preserve">Inscrição no cadastro de Pessoas Físicas da RFB (CPF) </w:t>
            </w:r>
          </w:p>
          <w:p w14:paraId="66763E14" w14:textId="77777777" w:rsidR="00950BE9" w:rsidRPr="00950BE9" w:rsidRDefault="00950BE9" w:rsidP="006F0FB6">
            <w:pPr>
              <w:numPr>
                <w:ilvl w:val="0"/>
                <w:numId w:val="45"/>
              </w:numPr>
              <w:contextualSpacing/>
              <w:jc w:val="both"/>
              <w:rPr>
                <w:rFonts w:ascii="Arial" w:hAnsi="Arial" w:cs="Times New Roman"/>
                <w:color w:val="0070C0"/>
                <w:sz w:val="24"/>
              </w:rPr>
            </w:pPr>
            <w:r w:rsidRPr="00950BE9">
              <w:rPr>
                <w:rFonts w:ascii="Arial" w:eastAsia="Arial" w:hAnsi="Arial" w:cs="Arial"/>
                <w:color w:val="0070C0"/>
                <w:sz w:val="18"/>
              </w:rPr>
              <w:t xml:space="preserve">Período de gestão </w:t>
            </w:r>
          </w:p>
          <w:p w14:paraId="61387EDF" w14:textId="77777777" w:rsidR="00950BE9" w:rsidRPr="00950BE9" w:rsidRDefault="00950BE9" w:rsidP="006F0FB6">
            <w:pPr>
              <w:numPr>
                <w:ilvl w:val="0"/>
                <w:numId w:val="45"/>
              </w:numPr>
              <w:contextualSpacing/>
              <w:jc w:val="both"/>
              <w:rPr>
                <w:rFonts w:ascii="Arial" w:hAnsi="Arial" w:cs="Times New Roman"/>
                <w:color w:val="0070C0"/>
                <w:sz w:val="24"/>
              </w:rPr>
            </w:pPr>
            <w:r w:rsidRPr="00950BE9">
              <w:rPr>
                <w:rFonts w:ascii="Arial" w:eastAsia="Arial" w:hAnsi="Arial" w:cs="Arial"/>
                <w:color w:val="0070C0"/>
                <w:sz w:val="18"/>
              </w:rPr>
              <w:t xml:space="preserve">Ato de nomeação e exoneração </w:t>
            </w:r>
            <w:r w:rsidRPr="00950BE9">
              <w:rPr>
                <w:rFonts w:ascii="Arial" w:hAnsi="Arial" w:cs="Times New Roman"/>
                <w:color w:val="0070C0"/>
                <w:sz w:val="18"/>
              </w:rPr>
              <w:t xml:space="preserve"> </w:t>
            </w:r>
          </w:p>
        </w:tc>
        <w:tc>
          <w:tcPr>
            <w:tcW w:w="1508" w:type="dxa"/>
            <w:tcBorders>
              <w:top w:val="single" w:sz="4" w:space="0" w:color="000000"/>
              <w:left w:val="single" w:sz="4" w:space="0" w:color="000000"/>
              <w:bottom w:val="single" w:sz="4" w:space="0" w:color="000000"/>
              <w:right w:val="single" w:sz="4" w:space="0" w:color="000000"/>
            </w:tcBorders>
            <w:vAlign w:val="center"/>
          </w:tcPr>
          <w:p w14:paraId="4F6829A5" w14:textId="77777777" w:rsidR="00950BE9" w:rsidRPr="00D02C92" w:rsidRDefault="00950BE9" w:rsidP="00950BE9">
            <w:pPr>
              <w:spacing w:line="360" w:lineRule="auto"/>
              <w:ind w:right="51"/>
              <w:contextualSpacing/>
              <w:jc w:val="center"/>
              <w:rPr>
                <w:rFonts w:ascii="Arial" w:hAnsi="Arial" w:cs="Times New Roman"/>
                <w:color w:val="0070C0"/>
                <w:sz w:val="14"/>
                <w:szCs w:val="14"/>
              </w:rPr>
            </w:pPr>
            <w:r w:rsidRPr="00D02C92">
              <w:rPr>
                <w:rFonts w:ascii="Arial" w:eastAsia="Arial" w:hAnsi="Arial" w:cs="Arial"/>
                <w:color w:val="0070C0"/>
                <w:sz w:val="14"/>
                <w:szCs w:val="14"/>
              </w:rPr>
              <w:t xml:space="preserve">PDF </w:t>
            </w:r>
          </w:p>
        </w:tc>
      </w:tr>
      <w:tr w:rsidR="00950BE9" w:rsidRPr="00950BE9" w14:paraId="3EFF835F" w14:textId="77777777" w:rsidTr="002F3756">
        <w:trPr>
          <w:cantSplit/>
          <w:trHeight w:val="811"/>
        </w:trPr>
        <w:tc>
          <w:tcPr>
            <w:tcW w:w="1173" w:type="dxa"/>
            <w:tcBorders>
              <w:top w:val="single" w:sz="4" w:space="0" w:color="000000"/>
              <w:left w:val="single" w:sz="4" w:space="0" w:color="000000"/>
              <w:bottom w:val="single" w:sz="4" w:space="0" w:color="000000"/>
              <w:right w:val="single" w:sz="4" w:space="0" w:color="000000"/>
            </w:tcBorders>
            <w:vAlign w:val="center"/>
          </w:tcPr>
          <w:p w14:paraId="643A0519" w14:textId="77777777" w:rsidR="00950BE9" w:rsidRPr="00950BE9" w:rsidRDefault="00950BE9" w:rsidP="00950BE9">
            <w:pPr>
              <w:spacing w:line="360" w:lineRule="auto"/>
              <w:contextualSpacing/>
              <w:jc w:val="center"/>
              <w:rPr>
                <w:rFonts w:ascii="Arial" w:hAnsi="Arial" w:cs="Times New Roman"/>
                <w:color w:val="0070C0"/>
                <w:sz w:val="24"/>
              </w:rPr>
            </w:pPr>
            <w:r w:rsidRPr="00950BE9">
              <w:rPr>
                <w:rFonts w:ascii="Arial" w:eastAsia="Arial" w:hAnsi="Arial" w:cs="Arial"/>
                <w:color w:val="0070C0"/>
                <w:sz w:val="18"/>
              </w:rPr>
              <w:t>AGOADM</w:t>
            </w:r>
          </w:p>
        </w:tc>
        <w:tc>
          <w:tcPr>
            <w:tcW w:w="6386" w:type="dxa"/>
            <w:tcBorders>
              <w:top w:val="single" w:sz="4" w:space="0" w:color="000000"/>
              <w:left w:val="single" w:sz="4" w:space="0" w:color="000000"/>
              <w:bottom w:val="single" w:sz="4" w:space="0" w:color="000000"/>
              <w:right w:val="single" w:sz="4" w:space="0" w:color="000000"/>
            </w:tcBorders>
            <w:vAlign w:val="center"/>
          </w:tcPr>
          <w:p w14:paraId="20E28532" w14:textId="77777777" w:rsidR="00950BE9" w:rsidRPr="00950BE9" w:rsidRDefault="00950BE9" w:rsidP="00950BE9">
            <w:pPr>
              <w:spacing w:line="360" w:lineRule="auto"/>
              <w:ind w:right="52"/>
              <w:contextualSpacing/>
              <w:jc w:val="both"/>
              <w:rPr>
                <w:rFonts w:ascii="Arial" w:hAnsi="Arial" w:cs="Times New Roman"/>
                <w:color w:val="0070C0"/>
                <w:sz w:val="24"/>
              </w:rPr>
            </w:pPr>
            <w:r w:rsidRPr="00950BE9">
              <w:rPr>
                <w:rFonts w:ascii="Arial" w:eastAsia="Arial" w:hAnsi="Arial" w:cs="Arial"/>
                <w:color w:val="0070C0"/>
                <w:sz w:val="18"/>
              </w:rPr>
              <w:t>Ata da Assembleia Geral Ordinária ou Extraordinária (AGO/AGE) ou Ato equivalente que elegeu ou destituiu os administradores/responsáveis pelo FUNDO, relacionados no “Rol de Responsáveis”, inclusive o liquidante se for o caso.</w:t>
            </w:r>
          </w:p>
        </w:tc>
        <w:tc>
          <w:tcPr>
            <w:tcW w:w="1508" w:type="dxa"/>
            <w:tcBorders>
              <w:top w:val="single" w:sz="4" w:space="0" w:color="000000"/>
              <w:left w:val="single" w:sz="4" w:space="0" w:color="000000"/>
              <w:bottom w:val="single" w:sz="4" w:space="0" w:color="000000"/>
              <w:right w:val="single" w:sz="4" w:space="0" w:color="000000"/>
            </w:tcBorders>
            <w:vAlign w:val="center"/>
          </w:tcPr>
          <w:p w14:paraId="2D1CA555" w14:textId="77777777" w:rsidR="00950BE9" w:rsidRPr="00D02C92" w:rsidRDefault="00950BE9" w:rsidP="00950BE9">
            <w:pPr>
              <w:spacing w:line="360" w:lineRule="auto"/>
              <w:ind w:right="51"/>
              <w:contextualSpacing/>
              <w:jc w:val="center"/>
              <w:rPr>
                <w:rFonts w:ascii="Arial" w:hAnsi="Arial" w:cs="Times New Roman"/>
                <w:color w:val="0070C0"/>
                <w:sz w:val="14"/>
                <w:szCs w:val="14"/>
              </w:rPr>
            </w:pPr>
            <w:r w:rsidRPr="00D02C92">
              <w:rPr>
                <w:rFonts w:ascii="Arial" w:eastAsia="Arial" w:hAnsi="Arial" w:cs="Arial"/>
                <w:color w:val="0070C0"/>
                <w:sz w:val="14"/>
                <w:szCs w:val="14"/>
              </w:rPr>
              <w:t xml:space="preserve">PDF </w:t>
            </w:r>
          </w:p>
        </w:tc>
      </w:tr>
      <w:tr w:rsidR="00950BE9" w:rsidRPr="00950BE9" w14:paraId="711F3862" w14:textId="77777777" w:rsidTr="002F3756">
        <w:trPr>
          <w:cantSplit/>
        </w:trPr>
        <w:tc>
          <w:tcPr>
            <w:tcW w:w="1173" w:type="dxa"/>
            <w:tcBorders>
              <w:top w:val="single" w:sz="4" w:space="0" w:color="000000"/>
              <w:left w:val="single" w:sz="4" w:space="0" w:color="000000"/>
              <w:bottom w:val="single" w:sz="4" w:space="0" w:color="000000"/>
              <w:right w:val="single" w:sz="4" w:space="0" w:color="000000"/>
            </w:tcBorders>
            <w:vAlign w:val="center"/>
          </w:tcPr>
          <w:p w14:paraId="6B5FB704" w14:textId="77777777" w:rsidR="00950BE9" w:rsidRPr="00950BE9" w:rsidRDefault="00950BE9" w:rsidP="00950BE9">
            <w:pPr>
              <w:spacing w:line="360" w:lineRule="auto"/>
              <w:ind w:right="50"/>
              <w:contextualSpacing/>
              <w:jc w:val="center"/>
              <w:rPr>
                <w:rFonts w:ascii="Arial" w:hAnsi="Arial" w:cs="Times New Roman"/>
                <w:color w:val="0070C0"/>
                <w:sz w:val="24"/>
              </w:rPr>
            </w:pPr>
            <w:r w:rsidRPr="00950BE9">
              <w:rPr>
                <w:rFonts w:ascii="Arial" w:eastAsia="Arial" w:hAnsi="Arial" w:cs="Arial"/>
                <w:color w:val="0070C0"/>
                <w:sz w:val="18"/>
              </w:rPr>
              <w:t xml:space="preserve">TPOSSE </w:t>
            </w:r>
          </w:p>
        </w:tc>
        <w:tc>
          <w:tcPr>
            <w:tcW w:w="6386" w:type="dxa"/>
            <w:tcBorders>
              <w:top w:val="single" w:sz="4" w:space="0" w:color="000000"/>
              <w:left w:val="single" w:sz="4" w:space="0" w:color="000000"/>
              <w:bottom w:val="single" w:sz="4" w:space="0" w:color="000000"/>
              <w:right w:val="single" w:sz="4" w:space="0" w:color="000000"/>
            </w:tcBorders>
            <w:vAlign w:val="center"/>
          </w:tcPr>
          <w:p w14:paraId="51FCF6AF" w14:textId="77777777" w:rsidR="00950BE9" w:rsidRPr="00950BE9" w:rsidRDefault="00950BE9" w:rsidP="00950BE9">
            <w:pPr>
              <w:spacing w:line="360" w:lineRule="auto"/>
              <w:contextualSpacing/>
              <w:jc w:val="both"/>
              <w:rPr>
                <w:rFonts w:ascii="Arial" w:hAnsi="Arial" w:cs="Times New Roman"/>
                <w:color w:val="0070C0"/>
                <w:sz w:val="24"/>
              </w:rPr>
            </w:pPr>
            <w:r w:rsidRPr="00950BE9">
              <w:rPr>
                <w:rFonts w:ascii="Arial" w:eastAsia="Arial" w:hAnsi="Arial" w:cs="Arial"/>
                <w:color w:val="0070C0"/>
                <w:sz w:val="18"/>
              </w:rPr>
              <w:t>Termos de Posse dos administradores relacionados no “Rol de Responsáveis”.</w:t>
            </w:r>
            <w:r w:rsidRPr="00950BE9">
              <w:rPr>
                <w:rFonts w:ascii="Arial" w:hAnsi="Arial" w:cs="Times New Roman"/>
                <w:color w:val="0070C0"/>
                <w:sz w:val="18"/>
              </w:rPr>
              <w:t xml:space="preserve"> </w:t>
            </w:r>
            <w:r w:rsidRPr="00950BE9">
              <w:rPr>
                <w:rFonts w:ascii="Arial" w:eastAsia="Arial" w:hAnsi="Arial" w:cs="Arial"/>
                <w:color w:val="0070C0"/>
                <w:sz w:val="18"/>
              </w:rPr>
              <w:t xml:space="preserve"> </w:t>
            </w:r>
          </w:p>
        </w:tc>
        <w:tc>
          <w:tcPr>
            <w:tcW w:w="1508" w:type="dxa"/>
            <w:tcBorders>
              <w:top w:val="single" w:sz="4" w:space="0" w:color="000000"/>
              <w:left w:val="single" w:sz="4" w:space="0" w:color="000000"/>
              <w:bottom w:val="single" w:sz="4" w:space="0" w:color="000000"/>
              <w:right w:val="single" w:sz="4" w:space="0" w:color="000000"/>
            </w:tcBorders>
            <w:vAlign w:val="center"/>
          </w:tcPr>
          <w:p w14:paraId="70907681" w14:textId="77777777" w:rsidR="00950BE9" w:rsidRPr="00D02C92" w:rsidRDefault="00950BE9" w:rsidP="00950BE9">
            <w:pPr>
              <w:spacing w:line="360" w:lineRule="auto"/>
              <w:ind w:right="51"/>
              <w:contextualSpacing/>
              <w:jc w:val="center"/>
              <w:rPr>
                <w:rFonts w:ascii="Arial" w:hAnsi="Arial" w:cs="Times New Roman"/>
                <w:color w:val="0070C0"/>
                <w:sz w:val="14"/>
                <w:szCs w:val="14"/>
              </w:rPr>
            </w:pPr>
            <w:r w:rsidRPr="00D02C92">
              <w:rPr>
                <w:rFonts w:ascii="Arial" w:eastAsia="Arial" w:hAnsi="Arial" w:cs="Arial"/>
                <w:color w:val="0070C0"/>
                <w:sz w:val="14"/>
                <w:szCs w:val="14"/>
              </w:rPr>
              <w:t xml:space="preserve">PDF </w:t>
            </w:r>
          </w:p>
        </w:tc>
      </w:tr>
      <w:tr w:rsidR="00950BE9" w:rsidRPr="00950BE9" w14:paraId="56739C12" w14:textId="77777777" w:rsidTr="002F3756">
        <w:trPr>
          <w:cantSplit/>
          <w:trHeight w:val="1814"/>
        </w:trPr>
        <w:tc>
          <w:tcPr>
            <w:tcW w:w="1173" w:type="dxa"/>
            <w:tcBorders>
              <w:top w:val="single" w:sz="4" w:space="0" w:color="000000"/>
              <w:left w:val="single" w:sz="4" w:space="0" w:color="000000"/>
              <w:bottom w:val="single" w:sz="4" w:space="0" w:color="000000"/>
              <w:right w:val="single" w:sz="4" w:space="0" w:color="000000"/>
            </w:tcBorders>
            <w:vAlign w:val="center"/>
          </w:tcPr>
          <w:p w14:paraId="55C2FBD0" w14:textId="77777777" w:rsidR="00950BE9" w:rsidRPr="00DC56A0" w:rsidRDefault="00950BE9" w:rsidP="00950BE9">
            <w:pPr>
              <w:spacing w:line="360" w:lineRule="auto"/>
              <w:ind w:right="46"/>
              <w:contextualSpacing/>
              <w:jc w:val="center"/>
              <w:rPr>
                <w:rFonts w:ascii="Arial" w:eastAsia="Arial" w:hAnsi="Arial" w:cs="Arial"/>
                <w:bCs/>
                <w:color w:val="0070C0"/>
                <w:sz w:val="18"/>
              </w:rPr>
            </w:pPr>
            <w:r w:rsidRPr="00DC56A0">
              <w:rPr>
                <w:rFonts w:ascii="Arial" w:eastAsia="Arial" w:hAnsi="Arial" w:cs="Arial"/>
                <w:bCs/>
                <w:color w:val="0070C0"/>
                <w:sz w:val="18"/>
              </w:rPr>
              <w:t>RELGES</w:t>
            </w:r>
          </w:p>
        </w:tc>
        <w:tc>
          <w:tcPr>
            <w:tcW w:w="6386" w:type="dxa"/>
            <w:tcBorders>
              <w:top w:val="single" w:sz="4" w:space="0" w:color="000000"/>
              <w:left w:val="single" w:sz="4" w:space="0" w:color="000000"/>
              <w:bottom w:val="single" w:sz="4" w:space="0" w:color="000000"/>
              <w:right w:val="single" w:sz="4" w:space="0" w:color="000000"/>
            </w:tcBorders>
            <w:vAlign w:val="center"/>
          </w:tcPr>
          <w:p w14:paraId="34435047" w14:textId="77777777" w:rsidR="00950BE9" w:rsidRPr="00950BE9" w:rsidRDefault="00950BE9" w:rsidP="00950BE9">
            <w:pPr>
              <w:spacing w:after="119" w:line="360" w:lineRule="auto"/>
              <w:ind w:right="51"/>
              <w:contextualSpacing/>
              <w:jc w:val="both"/>
              <w:rPr>
                <w:rFonts w:ascii="Arial" w:eastAsia="Arial" w:hAnsi="Arial" w:cs="Arial"/>
                <w:color w:val="0070C0"/>
                <w:sz w:val="18"/>
              </w:rPr>
            </w:pPr>
            <w:r w:rsidRPr="00950BE9">
              <w:rPr>
                <w:rFonts w:ascii="Arial" w:eastAsia="Arial" w:hAnsi="Arial" w:cs="Arial"/>
                <w:color w:val="0070C0"/>
                <w:sz w:val="18"/>
              </w:rPr>
              <w:t>Relatório anual de gestão do FUNDO contendo no mínimo: referência à legislação básica do fundo e as alterações normativas ocorridas no período; os objetivos do FUNDO; acompanhamento orçamentário do exercício evidenciando os valores planejados e executados por linha de financiamento; e, as operações aprovadas e liberações realizadas no exercício com os respectivos beneficiários e valores (Artigo 137, II do RITCEES, aprovado pela Resolução TC nº 261/2013).</w:t>
            </w:r>
          </w:p>
        </w:tc>
        <w:tc>
          <w:tcPr>
            <w:tcW w:w="1508" w:type="dxa"/>
            <w:tcBorders>
              <w:top w:val="single" w:sz="4" w:space="0" w:color="000000"/>
              <w:left w:val="single" w:sz="4" w:space="0" w:color="000000"/>
              <w:bottom w:val="single" w:sz="4" w:space="0" w:color="000000"/>
              <w:right w:val="single" w:sz="4" w:space="0" w:color="000000"/>
            </w:tcBorders>
            <w:vAlign w:val="center"/>
          </w:tcPr>
          <w:p w14:paraId="156B74FC" w14:textId="77777777" w:rsidR="00950BE9" w:rsidRPr="00D02C92" w:rsidRDefault="00950BE9" w:rsidP="00950BE9">
            <w:pPr>
              <w:spacing w:line="360" w:lineRule="auto"/>
              <w:ind w:right="51"/>
              <w:contextualSpacing/>
              <w:jc w:val="center"/>
              <w:rPr>
                <w:rFonts w:ascii="Arial" w:eastAsia="Arial" w:hAnsi="Arial" w:cs="Arial"/>
                <w:color w:val="0070C0"/>
                <w:sz w:val="14"/>
                <w:szCs w:val="14"/>
              </w:rPr>
            </w:pPr>
            <w:r w:rsidRPr="00D02C92">
              <w:rPr>
                <w:rFonts w:ascii="Arial" w:eastAsia="Arial" w:hAnsi="Arial" w:cs="Arial"/>
                <w:color w:val="0070C0"/>
                <w:sz w:val="14"/>
                <w:szCs w:val="14"/>
              </w:rPr>
              <w:t>PDF</w:t>
            </w:r>
          </w:p>
        </w:tc>
      </w:tr>
      <w:tr w:rsidR="00950BE9" w:rsidRPr="00950BE9" w14:paraId="08A10FC4" w14:textId="77777777" w:rsidTr="002F3756">
        <w:trPr>
          <w:cantSplit/>
        </w:trPr>
        <w:tc>
          <w:tcPr>
            <w:tcW w:w="1173" w:type="dxa"/>
            <w:tcBorders>
              <w:top w:val="single" w:sz="4" w:space="0" w:color="000000"/>
              <w:left w:val="single" w:sz="4" w:space="0" w:color="000000"/>
              <w:bottom w:val="single" w:sz="4" w:space="0" w:color="000000"/>
              <w:right w:val="single" w:sz="4" w:space="0" w:color="000000"/>
            </w:tcBorders>
            <w:vAlign w:val="center"/>
          </w:tcPr>
          <w:p w14:paraId="2C37450B" w14:textId="01A37C47" w:rsidR="00950BE9" w:rsidRPr="00950BE9" w:rsidRDefault="00950BE9" w:rsidP="00950BE9">
            <w:pPr>
              <w:spacing w:line="360" w:lineRule="auto"/>
              <w:ind w:right="46"/>
              <w:contextualSpacing/>
              <w:jc w:val="center"/>
              <w:rPr>
                <w:rFonts w:ascii="Arial" w:eastAsia="Arial" w:hAnsi="Arial" w:cs="Arial"/>
                <w:color w:val="0070C0"/>
                <w:sz w:val="18"/>
              </w:rPr>
            </w:pPr>
            <w:r w:rsidRPr="00950BE9">
              <w:rPr>
                <w:rFonts w:ascii="Arial" w:eastAsia="Arial" w:hAnsi="Arial" w:cs="Arial"/>
                <w:color w:val="0070C0"/>
                <w:sz w:val="18"/>
              </w:rPr>
              <w:t>ESTIMP</w:t>
            </w:r>
          </w:p>
        </w:tc>
        <w:tc>
          <w:tcPr>
            <w:tcW w:w="6386" w:type="dxa"/>
            <w:tcBorders>
              <w:top w:val="single" w:sz="4" w:space="0" w:color="000000"/>
              <w:left w:val="single" w:sz="4" w:space="0" w:color="000000"/>
              <w:bottom w:val="single" w:sz="4" w:space="0" w:color="000000"/>
              <w:right w:val="single" w:sz="4" w:space="0" w:color="000000"/>
            </w:tcBorders>
            <w:vAlign w:val="center"/>
          </w:tcPr>
          <w:p w14:paraId="5F607D0D" w14:textId="77777777" w:rsidR="00950BE9" w:rsidRPr="00950BE9" w:rsidRDefault="00950BE9" w:rsidP="00950BE9">
            <w:pPr>
              <w:spacing w:after="119" w:line="360" w:lineRule="auto"/>
              <w:ind w:right="51"/>
              <w:contextualSpacing/>
              <w:jc w:val="both"/>
              <w:rPr>
                <w:rFonts w:ascii="Arial" w:eastAsia="Arial" w:hAnsi="Arial" w:cs="Arial"/>
                <w:color w:val="0070C0"/>
                <w:sz w:val="18"/>
              </w:rPr>
            </w:pPr>
            <w:r w:rsidRPr="00950BE9">
              <w:rPr>
                <w:rFonts w:ascii="Arial" w:eastAsia="Arial" w:hAnsi="Arial" w:cs="Arial"/>
                <w:color w:val="0070C0"/>
                <w:sz w:val="18"/>
              </w:rPr>
              <w:t xml:space="preserve">Estudo ou pesquisa, </w:t>
            </w:r>
            <w:r w:rsidRPr="00950BE9">
              <w:rPr>
                <w:rFonts w:ascii="Arial" w:eastAsia="Arial" w:hAnsi="Arial" w:cs="Arial"/>
                <w:color w:val="0070C0"/>
                <w:sz w:val="18"/>
                <w:u w:val="single"/>
              </w:rPr>
              <w:t>caso tenha sido realizada no exercício corrente</w:t>
            </w:r>
            <w:r w:rsidRPr="00950BE9">
              <w:rPr>
                <w:rFonts w:ascii="Arial" w:eastAsia="Arial" w:hAnsi="Arial" w:cs="Arial"/>
                <w:color w:val="0070C0"/>
                <w:sz w:val="18"/>
              </w:rPr>
              <w:t>, que demonstre a avaliação e o impacto das operações do FUNDO (isolada ou em conjunto com outros fundos) nas políticas estaduais de desenvolvimento.</w:t>
            </w:r>
          </w:p>
        </w:tc>
        <w:tc>
          <w:tcPr>
            <w:tcW w:w="1508" w:type="dxa"/>
            <w:tcBorders>
              <w:top w:val="single" w:sz="4" w:space="0" w:color="000000"/>
              <w:left w:val="single" w:sz="4" w:space="0" w:color="000000"/>
              <w:bottom w:val="single" w:sz="4" w:space="0" w:color="000000"/>
              <w:right w:val="single" w:sz="4" w:space="0" w:color="000000"/>
            </w:tcBorders>
            <w:vAlign w:val="center"/>
          </w:tcPr>
          <w:p w14:paraId="13AA558F" w14:textId="77777777" w:rsidR="00950BE9" w:rsidRPr="00D02C92" w:rsidRDefault="00950BE9" w:rsidP="00950BE9">
            <w:pPr>
              <w:spacing w:line="360" w:lineRule="auto"/>
              <w:ind w:right="51"/>
              <w:contextualSpacing/>
              <w:jc w:val="center"/>
              <w:rPr>
                <w:rFonts w:ascii="Arial" w:eastAsia="Arial" w:hAnsi="Arial" w:cs="Arial"/>
                <w:color w:val="0070C0"/>
                <w:sz w:val="14"/>
                <w:szCs w:val="14"/>
              </w:rPr>
            </w:pPr>
            <w:r w:rsidRPr="00D02C92">
              <w:rPr>
                <w:rFonts w:ascii="Arial" w:eastAsia="Arial" w:hAnsi="Arial" w:cs="Arial"/>
                <w:color w:val="0070C0"/>
                <w:sz w:val="14"/>
                <w:szCs w:val="14"/>
              </w:rPr>
              <w:t>PDF</w:t>
            </w:r>
          </w:p>
        </w:tc>
      </w:tr>
      <w:tr w:rsidR="00950BE9" w:rsidRPr="00950BE9" w14:paraId="4BB6E45E" w14:textId="77777777" w:rsidTr="002F3756">
        <w:trPr>
          <w:cantSplit/>
        </w:trPr>
        <w:tc>
          <w:tcPr>
            <w:tcW w:w="1173" w:type="dxa"/>
            <w:tcBorders>
              <w:top w:val="single" w:sz="4" w:space="0" w:color="000000"/>
              <w:left w:val="single" w:sz="4" w:space="0" w:color="000000"/>
              <w:bottom w:val="single" w:sz="4" w:space="0" w:color="000000"/>
              <w:right w:val="single" w:sz="4" w:space="0" w:color="000000"/>
            </w:tcBorders>
            <w:vAlign w:val="center"/>
          </w:tcPr>
          <w:p w14:paraId="25E68A40" w14:textId="3DA4D190" w:rsidR="00950BE9" w:rsidRPr="00950BE9" w:rsidRDefault="00950BE9" w:rsidP="00950BE9">
            <w:pPr>
              <w:spacing w:line="360" w:lineRule="auto"/>
              <w:ind w:right="46"/>
              <w:contextualSpacing/>
              <w:jc w:val="center"/>
              <w:rPr>
                <w:rFonts w:ascii="Arial" w:eastAsia="Arial" w:hAnsi="Arial" w:cs="Arial"/>
                <w:color w:val="0070C0"/>
                <w:sz w:val="18"/>
              </w:rPr>
            </w:pPr>
            <w:r w:rsidRPr="00950BE9">
              <w:rPr>
                <w:rFonts w:ascii="Arial" w:eastAsia="Arial" w:hAnsi="Arial" w:cs="Arial"/>
                <w:color w:val="0070C0"/>
                <w:sz w:val="18"/>
              </w:rPr>
              <w:lastRenderedPageBreak/>
              <w:t>APRORC</w:t>
            </w:r>
          </w:p>
        </w:tc>
        <w:tc>
          <w:tcPr>
            <w:tcW w:w="6386" w:type="dxa"/>
            <w:tcBorders>
              <w:top w:val="single" w:sz="4" w:space="0" w:color="000000"/>
              <w:left w:val="single" w:sz="4" w:space="0" w:color="000000"/>
              <w:bottom w:val="single" w:sz="4" w:space="0" w:color="000000"/>
              <w:right w:val="single" w:sz="4" w:space="0" w:color="000000"/>
            </w:tcBorders>
            <w:vAlign w:val="center"/>
          </w:tcPr>
          <w:p w14:paraId="18528DFF" w14:textId="77777777" w:rsidR="00950BE9" w:rsidRPr="00950BE9" w:rsidRDefault="00950BE9" w:rsidP="00950BE9">
            <w:pPr>
              <w:spacing w:after="119" w:line="360" w:lineRule="auto"/>
              <w:ind w:right="51"/>
              <w:contextualSpacing/>
              <w:jc w:val="both"/>
              <w:rPr>
                <w:rFonts w:ascii="Arial" w:eastAsia="Arial" w:hAnsi="Arial" w:cs="Arial"/>
                <w:color w:val="0070C0"/>
                <w:sz w:val="18"/>
              </w:rPr>
            </w:pPr>
            <w:r w:rsidRPr="00950BE9">
              <w:rPr>
                <w:rFonts w:ascii="Arial" w:eastAsia="Arial" w:hAnsi="Arial" w:cs="Arial"/>
                <w:color w:val="0070C0"/>
                <w:sz w:val="18"/>
              </w:rPr>
              <w:t>Cópia de atas de decisões colegiadas ou atos normativos que tenham deliberado/aprovado o orçamento do FUNDO para o exercício contendo os valores autorizados por linha de financiamento.</w:t>
            </w:r>
          </w:p>
        </w:tc>
        <w:tc>
          <w:tcPr>
            <w:tcW w:w="1508" w:type="dxa"/>
            <w:tcBorders>
              <w:top w:val="single" w:sz="4" w:space="0" w:color="000000"/>
              <w:left w:val="single" w:sz="4" w:space="0" w:color="000000"/>
              <w:bottom w:val="single" w:sz="4" w:space="0" w:color="000000"/>
              <w:right w:val="single" w:sz="4" w:space="0" w:color="000000"/>
            </w:tcBorders>
            <w:vAlign w:val="center"/>
          </w:tcPr>
          <w:p w14:paraId="321E33D3" w14:textId="77777777" w:rsidR="00950BE9" w:rsidRPr="00D02C92" w:rsidRDefault="00950BE9" w:rsidP="00950BE9">
            <w:pPr>
              <w:spacing w:line="360" w:lineRule="auto"/>
              <w:ind w:right="51"/>
              <w:contextualSpacing/>
              <w:jc w:val="center"/>
              <w:rPr>
                <w:rFonts w:ascii="Arial" w:eastAsia="Arial" w:hAnsi="Arial" w:cs="Arial"/>
                <w:color w:val="0070C0"/>
                <w:sz w:val="14"/>
                <w:szCs w:val="14"/>
              </w:rPr>
            </w:pPr>
            <w:r w:rsidRPr="00D02C92">
              <w:rPr>
                <w:rFonts w:ascii="Arial" w:eastAsia="Arial" w:hAnsi="Arial" w:cs="Arial"/>
                <w:color w:val="0070C0"/>
                <w:sz w:val="14"/>
                <w:szCs w:val="14"/>
              </w:rPr>
              <w:t>PDF</w:t>
            </w:r>
          </w:p>
        </w:tc>
      </w:tr>
      <w:tr w:rsidR="00950BE9" w:rsidRPr="00950BE9" w14:paraId="30D60AFD" w14:textId="77777777" w:rsidTr="002F3756">
        <w:tblPrEx>
          <w:tblCellMar>
            <w:top w:w="38" w:type="dxa"/>
            <w:right w:w="59" w:type="dxa"/>
          </w:tblCellMar>
        </w:tblPrEx>
        <w:trPr>
          <w:cantSplit/>
        </w:trPr>
        <w:tc>
          <w:tcPr>
            <w:tcW w:w="1173" w:type="dxa"/>
            <w:tcBorders>
              <w:top w:val="single" w:sz="4" w:space="0" w:color="000000"/>
              <w:left w:val="single" w:sz="4" w:space="0" w:color="000000"/>
              <w:bottom w:val="single" w:sz="4" w:space="0" w:color="000000"/>
              <w:right w:val="single" w:sz="4" w:space="0" w:color="000000"/>
            </w:tcBorders>
            <w:vAlign w:val="center"/>
          </w:tcPr>
          <w:p w14:paraId="4263C543" w14:textId="77777777" w:rsidR="00950BE9" w:rsidRPr="00950BE9" w:rsidRDefault="00950BE9" w:rsidP="00950BE9">
            <w:pPr>
              <w:spacing w:line="360" w:lineRule="auto"/>
              <w:ind w:right="51"/>
              <w:contextualSpacing/>
              <w:jc w:val="center"/>
              <w:rPr>
                <w:rFonts w:ascii="Arial" w:hAnsi="Arial" w:cs="Times New Roman"/>
                <w:color w:val="0070C0"/>
                <w:sz w:val="24"/>
              </w:rPr>
            </w:pPr>
            <w:r w:rsidRPr="00950BE9">
              <w:rPr>
                <w:rFonts w:ascii="Arial" w:eastAsia="Arial" w:hAnsi="Arial" w:cs="Arial"/>
                <w:color w:val="0070C0"/>
                <w:sz w:val="18"/>
              </w:rPr>
              <w:t xml:space="preserve">RELADM </w:t>
            </w:r>
          </w:p>
        </w:tc>
        <w:tc>
          <w:tcPr>
            <w:tcW w:w="6386" w:type="dxa"/>
            <w:tcBorders>
              <w:top w:val="single" w:sz="4" w:space="0" w:color="000000"/>
              <w:left w:val="single" w:sz="4" w:space="0" w:color="000000"/>
              <w:bottom w:val="single" w:sz="4" w:space="0" w:color="000000"/>
              <w:right w:val="single" w:sz="4" w:space="0" w:color="000000"/>
            </w:tcBorders>
            <w:vAlign w:val="center"/>
          </w:tcPr>
          <w:p w14:paraId="08937063" w14:textId="77777777" w:rsidR="00950BE9" w:rsidRPr="00950BE9" w:rsidRDefault="00950BE9" w:rsidP="00950BE9">
            <w:pPr>
              <w:spacing w:after="119" w:line="360" w:lineRule="auto"/>
              <w:ind w:right="51"/>
              <w:contextualSpacing/>
              <w:jc w:val="both"/>
              <w:rPr>
                <w:rFonts w:ascii="Arial" w:hAnsi="Arial" w:cs="Times New Roman"/>
                <w:color w:val="0070C0"/>
                <w:sz w:val="24"/>
              </w:rPr>
            </w:pPr>
            <w:r w:rsidRPr="00950BE9">
              <w:rPr>
                <w:rFonts w:ascii="Arial" w:eastAsia="Arial" w:hAnsi="Arial" w:cs="Arial"/>
                <w:color w:val="0070C0"/>
                <w:sz w:val="18"/>
              </w:rPr>
              <w:t>Relatório anual da Administração sobre os negócios sociais e os principais fatos administrativos do exercício findo e o exame das demonstrações financeiras, elaborado com a finalidade de atendimento do inciso I do art. 133 da Lei 6.404/76, caso o FUNDO se enquadre nessa obrigatoriedade.</w:t>
            </w:r>
          </w:p>
        </w:tc>
        <w:tc>
          <w:tcPr>
            <w:tcW w:w="1508" w:type="dxa"/>
            <w:tcBorders>
              <w:top w:val="single" w:sz="4" w:space="0" w:color="000000"/>
              <w:left w:val="single" w:sz="4" w:space="0" w:color="000000"/>
              <w:bottom w:val="single" w:sz="4" w:space="0" w:color="000000"/>
              <w:right w:val="single" w:sz="4" w:space="0" w:color="000000"/>
            </w:tcBorders>
            <w:vAlign w:val="center"/>
          </w:tcPr>
          <w:p w14:paraId="1B4B3FAA" w14:textId="77777777" w:rsidR="00950BE9" w:rsidRPr="00D02C92" w:rsidRDefault="00950BE9" w:rsidP="00950BE9">
            <w:pPr>
              <w:spacing w:line="360" w:lineRule="auto"/>
              <w:ind w:right="53"/>
              <w:contextualSpacing/>
              <w:jc w:val="center"/>
              <w:rPr>
                <w:rFonts w:ascii="Arial" w:hAnsi="Arial" w:cs="Times New Roman"/>
                <w:color w:val="0070C0"/>
                <w:sz w:val="14"/>
                <w:szCs w:val="14"/>
              </w:rPr>
            </w:pPr>
            <w:r w:rsidRPr="00D02C92">
              <w:rPr>
                <w:rFonts w:ascii="Arial" w:eastAsia="Arial" w:hAnsi="Arial" w:cs="Arial"/>
                <w:color w:val="0070C0"/>
                <w:sz w:val="14"/>
                <w:szCs w:val="14"/>
              </w:rPr>
              <w:t xml:space="preserve">PDF </w:t>
            </w:r>
          </w:p>
        </w:tc>
      </w:tr>
      <w:tr w:rsidR="00950BE9" w:rsidRPr="00950BE9" w14:paraId="1524CFDB" w14:textId="77777777" w:rsidTr="002F3756">
        <w:tblPrEx>
          <w:tblCellMar>
            <w:top w:w="38" w:type="dxa"/>
            <w:right w:w="59" w:type="dxa"/>
          </w:tblCellMar>
        </w:tblPrEx>
        <w:trPr>
          <w:cantSplit/>
        </w:trPr>
        <w:tc>
          <w:tcPr>
            <w:tcW w:w="1173" w:type="dxa"/>
            <w:tcBorders>
              <w:top w:val="single" w:sz="4" w:space="0" w:color="000000"/>
              <w:left w:val="single" w:sz="4" w:space="0" w:color="000000"/>
              <w:bottom w:val="single" w:sz="4" w:space="0" w:color="000000"/>
              <w:right w:val="single" w:sz="4" w:space="0" w:color="000000"/>
            </w:tcBorders>
            <w:vAlign w:val="center"/>
          </w:tcPr>
          <w:p w14:paraId="1E706886" w14:textId="3CC7D853" w:rsidR="00950BE9" w:rsidRPr="00950BE9" w:rsidRDefault="00950BE9" w:rsidP="00950BE9">
            <w:pPr>
              <w:spacing w:line="360" w:lineRule="auto"/>
              <w:ind w:right="51"/>
              <w:contextualSpacing/>
              <w:jc w:val="center"/>
              <w:rPr>
                <w:rFonts w:ascii="Arial" w:eastAsia="Arial" w:hAnsi="Arial" w:cs="Arial"/>
                <w:color w:val="0070C0"/>
                <w:sz w:val="18"/>
              </w:rPr>
            </w:pPr>
            <w:r w:rsidRPr="00950BE9">
              <w:rPr>
                <w:rFonts w:ascii="Arial" w:eastAsia="Arial" w:hAnsi="Arial" w:cs="Arial"/>
                <w:color w:val="0070C0"/>
                <w:sz w:val="18"/>
              </w:rPr>
              <w:t>RELPCO</w:t>
            </w:r>
          </w:p>
        </w:tc>
        <w:tc>
          <w:tcPr>
            <w:tcW w:w="6386" w:type="dxa"/>
            <w:tcBorders>
              <w:top w:val="single" w:sz="4" w:space="0" w:color="000000"/>
              <w:left w:val="single" w:sz="4" w:space="0" w:color="000000"/>
              <w:bottom w:val="single" w:sz="4" w:space="0" w:color="000000"/>
              <w:right w:val="single" w:sz="4" w:space="0" w:color="000000"/>
            </w:tcBorders>
            <w:vAlign w:val="center"/>
          </w:tcPr>
          <w:p w14:paraId="5966A3A3" w14:textId="77777777" w:rsidR="00950BE9" w:rsidRPr="00950BE9" w:rsidRDefault="00950BE9" w:rsidP="00950BE9">
            <w:pPr>
              <w:spacing w:after="119" w:line="360" w:lineRule="auto"/>
              <w:ind w:right="51"/>
              <w:contextualSpacing/>
              <w:jc w:val="both"/>
              <w:rPr>
                <w:rFonts w:ascii="Arial" w:eastAsia="Arial" w:hAnsi="Arial" w:cs="Arial"/>
                <w:color w:val="0070C0"/>
                <w:sz w:val="18"/>
              </w:rPr>
            </w:pPr>
            <w:r w:rsidRPr="00950BE9">
              <w:rPr>
                <w:rFonts w:ascii="Arial" w:eastAsia="Arial" w:hAnsi="Arial" w:cs="Arial"/>
                <w:color w:val="0070C0"/>
                <w:sz w:val="18"/>
              </w:rPr>
              <w:t>Relatório de prestação de contas das atividades ou do desempenho do FUNDO no exercício, elaborado para fins de prestação de contas ao órgão colegiado responsável por sua aprovação ou instância supervisora do Estado.</w:t>
            </w:r>
          </w:p>
        </w:tc>
        <w:tc>
          <w:tcPr>
            <w:tcW w:w="1508" w:type="dxa"/>
            <w:tcBorders>
              <w:top w:val="single" w:sz="4" w:space="0" w:color="000000"/>
              <w:left w:val="single" w:sz="4" w:space="0" w:color="000000"/>
              <w:bottom w:val="single" w:sz="4" w:space="0" w:color="000000"/>
              <w:right w:val="single" w:sz="4" w:space="0" w:color="000000"/>
            </w:tcBorders>
            <w:vAlign w:val="center"/>
          </w:tcPr>
          <w:p w14:paraId="51A07E94" w14:textId="77777777" w:rsidR="00950BE9" w:rsidRPr="00D02C92" w:rsidRDefault="00950BE9" w:rsidP="00950BE9">
            <w:pPr>
              <w:spacing w:line="360" w:lineRule="auto"/>
              <w:ind w:right="53"/>
              <w:contextualSpacing/>
              <w:jc w:val="center"/>
              <w:rPr>
                <w:rFonts w:ascii="Arial" w:eastAsia="Arial" w:hAnsi="Arial" w:cs="Arial"/>
                <w:color w:val="0070C0"/>
                <w:sz w:val="14"/>
                <w:szCs w:val="14"/>
              </w:rPr>
            </w:pPr>
            <w:r w:rsidRPr="00D02C92">
              <w:rPr>
                <w:rFonts w:ascii="Arial" w:eastAsia="Arial" w:hAnsi="Arial" w:cs="Arial"/>
                <w:color w:val="0070C0"/>
                <w:sz w:val="14"/>
                <w:szCs w:val="14"/>
              </w:rPr>
              <w:t>PDF</w:t>
            </w:r>
          </w:p>
        </w:tc>
      </w:tr>
      <w:tr w:rsidR="00950BE9" w:rsidRPr="00950BE9" w14:paraId="01D2C477" w14:textId="77777777" w:rsidTr="002F3756">
        <w:tblPrEx>
          <w:tblCellMar>
            <w:top w:w="38" w:type="dxa"/>
            <w:right w:w="59" w:type="dxa"/>
          </w:tblCellMar>
        </w:tblPrEx>
        <w:trPr>
          <w:cantSplit/>
        </w:trPr>
        <w:tc>
          <w:tcPr>
            <w:tcW w:w="1173" w:type="dxa"/>
            <w:tcBorders>
              <w:top w:val="single" w:sz="4" w:space="0" w:color="000000"/>
              <w:left w:val="single" w:sz="4" w:space="0" w:color="000000"/>
              <w:bottom w:val="single" w:sz="4" w:space="0" w:color="000000"/>
              <w:right w:val="single" w:sz="4" w:space="0" w:color="000000"/>
            </w:tcBorders>
            <w:vAlign w:val="center"/>
          </w:tcPr>
          <w:p w14:paraId="4046C11A" w14:textId="7375064A" w:rsidR="00950BE9" w:rsidRPr="00950BE9" w:rsidRDefault="00950BE9" w:rsidP="00950BE9">
            <w:pPr>
              <w:spacing w:line="360" w:lineRule="auto"/>
              <w:ind w:right="51"/>
              <w:contextualSpacing/>
              <w:jc w:val="center"/>
              <w:rPr>
                <w:rFonts w:ascii="Arial" w:eastAsia="Arial" w:hAnsi="Arial" w:cs="Arial"/>
                <w:color w:val="0070C0"/>
                <w:sz w:val="18"/>
              </w:rPr>
            </w:pPr>
            <w:r w:rsidRPr="00950BE9">
              <w:rPr>
                <w:rFonts w:ascii="Arial" w:eastAsia="Arial" w:hAnsi="Arial" w:cs="Arial"/>
                <w:color w:val="0070C0"/>
                <w:sz w:val="18"/>
              </w:rPr>
              <w:t>APROOP</w:t>
            </w:r>
          </w:p>
        </w:tc>
        <w:tc>
          <w:tcPr>
            <w:tcW w:w="6386" w:type="dxa"/>
            <w:tcBorders>
              <w:top w:val="single" w:sz="4" w:space="0" w:color="000000"/>
              <w:left w:val="single" w:sz="4" w:space="0" w:color="000000"/>
              <w:bottom w:val="single" w:sz="4" w:space="0" w:color="000000"/>
              <w:right w:val="single" w:sz="4" w:space="0" w:color="000000"/>
            </w:tcBorders>
            <w:vAlign w:val="center"/>
          </w:tcPr>
          <w:p w14:paraId="756AD34A" w14:textId="77777777" w:rsidR="00950BE9" w:rsidRPr="00950BE9" w:rsidRDefault="00950BE9" w:rsidP="00950BE9">
            <w:pPr>
              <w:spacing w:after="119" w:line="360" w:lineRule="auto"/>
              <w:ind w:right="51"/>
              <w:contextualSpacing/>
              <w:jc w:val="both"/>
              <w:rPr>
                <w:rFonts w:ascii="Arial" w:eastAsia="Arial" w:hAnsi="Arial" w:cs="Arial"/>
                <w:color w:val="0070C0"/>
                <w:sz w:val="18"/>
              </w:rPr>
            </w:pPr>
            <w:r w:rsidRPr="00950BE9">
              <w:rPr>
                <w:rFonts w:ascii="Arial" w:eastAsia="Arial" w:hAnsi="Arial" w:cs="Arial"/>
                <w:color w:val="0070C0"/>
                <w:sz w:val="18"/>
              </w:rPr>
              <w:t>Relação dos atos normativos/deliberações da instância competente que aprovaram ou alteraram operações de financiamento do FUNDO no exercício, contendo identificação do ato e o valor do impacto na operação.</w:t>
            </w:r>
          </w:p>
        </w:tc>
        <w:tc>
          <w:tcPr>
            <w:tcW w:w="1508" w:type="dxa"/>
            <w:tcBorders>
              <w:top w:val="single" w:sz="4" w:space="0" w:color="000000"/>
              <w:left w:val="single" w:sz="4" w:space="0" w:color="000000"/>
              <w:bottom w:val="single" w:sz="4" w:space="0" w:color="000000"/>
              <w:right w:val="single" w:sz="4" w:space="0" w:color="000000"/>
            </w:tcBorders>
            <w:vAlign w:val="center"/>
          </w:tcPr>
          <w:p w14:paraId="1E38BDB6" w14:textId="77777777" w:rsidR="00950BE9" w:rsidRPr="00D02C92" w:rsidRDefault="00950BE9" w:rsidP="00950BE9">
            <w:pPr>
              <w:spacing w:line="360" w:lineRule="auto"/>
              <w:ind w:right="53"/>
              <w:contextualSpacing/>
              <w:jc w:val="center"/>
              <w:rPr>
                <w:rFonts w:ascii="Arial" w:eastAsia="Arial" w:hAnsi="Arial" w:cs="Arial"/>
                <w:color w:val="0070C0"/>
                <w:sz w:val="14"/>
                <w:szCs w:val="14"/>
              </w:rPr>
            </w:pPr>
            <w:r w:rsidRPr="00D02C92">
              <w:rPr>
                <w:rFonts w:ascii="Arial" w:eastAsia="Arial" w:hAnsi="Arial" w:cs="Arial"/>
                <w:color w:val="0070C0"/>
                <w:sz w:val="14"/>
                <w:szCs w:val="14"/>
              </w:rPr>
              <w:t>PDF</w:t>
            </w:r>
          </w:p>
        </w:tc>
      </w:tr>
      <w:tr w:rsidR="00950BE9" w:rsidRPr="00950BE9" w14:paraId="7324EFDF" w14:textId="77777777" w:rsidTr="002F3756">
        <w:tblPrEx>
          <w:tblCellMar>
            <w:top w:w="38" w:type="dxa"/>
            <w:right w:w="59" w:type="dxa"/>
          </w:tblCellMar>
        </w:tblPrEx>
        <w:trPr>
          <w:cantSplit/>
        </w:trPr>
        <w:tc>
          <w:tcPr>
            <w:tcW w:w="1173" w:type="dxa"/>
            <w:tcBorders>
              <w:top w:val="single" w:sz="4" w:space="0" w:color="000000"/>
              <w:left w:val="single" w:sz="4" w:space="0" w:color="000000"/>
              <w:bottom w:val="single" w:sz="4" w:space="0" w:color="000000"/>
              <w:right w:val="single" w:sz="4" w:space="0" w:color="000000"/>
            </w:tcBorders>
            <w:vAlign w:val="center"/>
          </w:tcPr>
          <w:p w14:paraId="0DC7B870" w14:textId="55F0732A" w:rsidR="00950BE9" w:rsidRPr="00950BE9" w:rsidRDefault="00950BE9" w:rsidP="00950BE9">
            <w:pPr>
              <w:spacing w:line="360" w:lineRule="auto"/>
              <w:ind w:right="51"/>
              <w:contextualSpacing/>
              <w:jc w:val="center"/>
              <w:rPr>
                <w:rFonts w:ascii="Arial" w:eastAsia="Arial" w:hAnsi="Arial" w:cs="Arial"/>
                <w:color w:val="0070C0"/>
                <w:sz w:val="18"/>
              </w:rPr>
            </w:pPr>
            <w:r w:rsidRPr="00950BE9">
              <w:rPr>
                <w:rFonts w:ascii="Arial" w:eastAsia="Arial" w:hAnsi="Arial" w:cs="Arial"/>
                <w:color w:val="0070C0"/>
                <w:sz w:val="18"/>
              </w:rPr>
              <w:t>APROLC</w:t>
            </w:r>
          </w:p>
        </w:tc>
        <w:tc>
          <w:tcPr>
            <w:tcW w:w="6386" w:type="dxa"/>
            <w:tcBorders>
              <w:top w:val="single" w:sz="4" w:space="0" w:color="000000"/>
              <w:left w:val="single" w:sz="4" w:space="0" w:color="000000"/>
              <w:bottom w:val="single" w:sz="4" w:space="0" w:color="000000"/>
              <w:right w:val="single" w:sz="4" w:space="0" w:color="000000"/>
            </w:tcBorders>
            <w:vAlign w:val="center"/>
          </w:tcPr>
          <w:p w14:paraId="41FB64CD" w14:textId="77777777" w:rsidR="00950BE9" w:rsidRPr="00950BE9" w:rsidRDefault="00950BE9" w:rsidP="00950BE9">
            <w:pPr>
              <w:spacing w:after="119" w:line="360" w:lineRule="auto"/>
              <w:ind w:right="51"/>
              <w:contextualSpacing/>
              <w:jc w:val="both"/>
              <w:rPr>
                <w:rFonts w:ascii="Arial" w:eastAsia="Arial" w:hAnsi="Arial" w:cs="Arial"/>
                <w:color w:val="0070C0"/>
                <w:sz w:val="18"/>
              </w:rPr>
            </w:pPr>
            <w:r w:rsidRPr="00950BE9">
              <w:rPr>
                <w:rFonts w:ascii="Arial" w:eastAsia="Arial" w:hAnsi="Arial" w:cs="Arial"/>
                <w:color w:val="0070C0"/>
                <w:sz w:val="18"/>
              </w:rPr>
              <w:t>Relação de atos normativos/deliberações da instância competente que estabeleceram ou alteraram normas de operacionalização ou informações sobre as linhas de crédito do FUNDO no exercício, contendo indicação de onde podem ser obtidas na integra ou acompanhada de cópias dos respectivos atos, caso não sejam disponibilizados online.</w:t>
            </w:r>
          </w:p>
        </w:tc>
        <w:tc>
          <w:tcPr>
            <w:tcW w:w="1508" w:type="dxa"/>
            <w:tcBorders>
              <w:top w:val="single" w:sz="4" w:space="0" w:color="000000"/>
              <w:left w:val="single" w:sz="4" w:space="0" w:color="000000"/>
              <w:bottom w:val="single" w:sz="4" w:space="0" w:color="000000"/>
              <w:right w:val="single" w:sz="4" w:space="0" w:color="000000"/>
            </w:tcBorders>
            <w:vAlign w:val="center"/>
          </w:tcPr>
          <w:p w14:paraId="6456DB38" w14:textId="77777777" w:rsidR="00950BE9" w:rsidRPr="00D02C92" w:rsidRDefault="00950BE9" w:rsidP="00950BE9">
            <w:pPr>
              <w:spacing w:line="360" w:lineRule="auto"/>
              <w:ind w:right="53"/>
              <w:contextualSpacing/>
              <w:jc w:val="center"/>
              <w:rPr>
                <w:rFonts w:ascii="Arial" w:eastAsia="Arial" w:hAnsi="Arial" w:cs="Arial"/>
                <w:color w:val="0070C0"/>
                <w:sz w:val="14"/>
                <w:szCs w:val="14"/>
              </w:rPr>
            </w:pPr>
            <w:r w:rsidRPr="00D02C92">
              <w:rPr>
                <w:rFonts w:ascii="Arial" w:eastAsia="Arial" w:hAnsi="Arial" w:cs="Arial"/>
                <w:color w:val="0070C0"/>
                <w:sz w:val="14"/>
                <w:szCs w:val="14"/>
              </w:rPr>
              <w:t>PDF</w:t>
            </w:r>
          </w:p>
        </w:tc>
      </w:tr>
      <w:tr w:rsidR="00950BE9" w:rsidRPr="00950BE9" w14:paraId="4494294B" w14:textId="77777777" w:rsidTr="002F3756">
        <w:tblPrEx>
          <w:tblCellMar>
            <w:top w:w="38" w:type="dxa"/>
            <w:right w:w="59" w:type="dxa"/>
          </w:tblCellMar>
        </w:tblPrEx>
        <w:trPr>
          <w:cantSplit/>
        </w:trPr>
        <w:tc>
          <w:tcPr>
            <w:tcW w:w="1173" w:type="dxa"/>
            <w:tcBorders>
              <w:top w:val="single" w:sz="4" w:space="0" w:color="000000"/>
              <w:left w:val="single" w:sz="4" w:space="0" w:color="000000"/>
              <w:bottom w:val="single" w:sz="4" w:space="0" w:color="000000"/>
              <w:right w:val="single" w:sz="4" w:space="0" w:color="000000"/>
            </w:tcBorders>
            <w:vAlign w:val="center"/>
          </w:tcPr>
          <w:p w14:paraId="6B1339DE" w14:textId="77B02610" w:rsidR="00950BE9" w:rsidRPr="00950BE9" w:rsidRDefault="00950BE9" w:rsidP="00950BE9">
            <w:pPr>
              <w:spacing w:line="360" w:lineRule="auto"/>
              <w:ind w:right="51"/>
              <w:contextualSpacing/>
              <w:jc w:val="center"/>
              <w:rPr>
                <w:rFonts w:ascii="Arial" w:eastAsia="Arial" w:hAnsi="Arial" w:cs="Arial"/>
                <w:color w:val="0070C0"/>
                <w:sz w:val="18"/>
              </w:rPr>
            </w:pPr>
            <w:r w:rsidRPr="00950BE9">
              <w:rPr>
                <w:rFonts w:ascii="Arial" w:eastAsia="Arial" w:hAnsi="Arial" w:cs="Arial"/>
                <w:color w:val="0070C0"/>
                <w:sz w:val="18"/>
              </w:rPr>
              <w:t>RELOPE</w:t>
            </w:r>
          </w:p>
        </w:tc>
        <w:tc>
          <w:tcPr>
            <w:tcW w:w="6386" w:type="dxa"/>
            <w:tcBorders>
              <w:top w:val="single" w:sz="4" w:space="0" w:color="000000"/>
              <w:left w:val="single" w:sz="4" w:space="0" w:color="000000"/>
              <w:bottom w:val="single" w:sz="4" w:space="0" w:color="000000"/>
              <w:right w:val="single" w:sz="4" w:space="0" w:color="000000"/>
            </w:tcBorders>
            <w:vAlign w:val="center"/>
          </w:tcPr>
          <w:p w14:paraId="5B9FDD3A" w14:textId="77777777" w:rsidR="00950BE9" w:rsidRPr="00950BE9" w:rsidRDefault="00950BE9" w:rsidP="00950BE9">
            <w:pPr>
              <w:spacing w:after="119" w:line="360" w:lineRule="auto"/>
              <w:ind w:right="51"/>
              <w:contextualSpacing/>
              <w:jc w:val="both"/>
              <w:rPr>
                <w:rFonts w:ascii="Arial" w:eastAsia="Arial" w:hAnsi="Arial" w:cs="Arial"/>
                <w:color w:val="0070C0"/>
                <w:sz w:val="18"/>
              </w:rPr>
            </w:pPr>
            <w:r w:rsidRPr="00950BE9">
              <w:rPr>
                <w:rFonts w:ascii="Arial" w:eastAsia="Arial" w:hAnsi="Arial" w:cs="Arial"/>
                <w:color w:val="0070C0"/>
                <w:sz w:val="18"/>
              </w:rPr>
              <w:t xml:space="preserve">Relatório das operações ativas do FUNDO contendo o beneficiário, a operação/linha, o prazo da operação, o valor da operação, parcelas em atraso, </w:t>
            </w:r>
            <w:r w:rsidRPr="00950BE9">
              <w:rPr>
                <w:rFonts w:ascii="Arial" w:hAnsi="Arial" w:cs="Times New Roman"/>
                <w:color w:val="0070C0"/>
                <w:sz w:val="24"/>
              </w:rPr>
              <w:t xml:space="preserve"> </w:t>
            </w:r>
            <w:r w:rsidRPr="00950BE9">
              <w:rPr>
                <w:rFonts w:ascii="Arial" w:eastAsia="Arial" w:hAnsi="Arial" w:cs="Arial"/>
                <w:color w:val="0070C0"/>
                <w:sz w:val="18"/>
              </w:rPr>
              <w:t>data início atraso,  quantidade de dias de atraso o valor em atraso, classe de risco e valor do ajuste para perdas.</w:t>
            </w:r>
          </w:p>
        </w:tc>
        <w:tc>
          <w:tcPr>
            <w:tcW w:w="1508" w:type="dxa"/>
            <w:tcBorders>
              <w:top w:val="single" w:sz="4" w:space="0" w:color="000000"/>
              <w:left w:val="single" w:sz="4" w:space="0" w:color="000000"/>
              <w:bottom w:val="single" w:sz="4" w:space="0" w:color="000000"/>
              <w:right w:val="single" w:sz="4" w:space="0" w:color="000000"/>
            </w:tcBorders>
            <w:vAlign w:val="center"/>
          </w:tcPr>
          <w:p w14:paraId="1EF6E359" w14:textId="77777777" w:rsidR="00950BE9" w:rsidRPr="00D02C92" w:rsidRDefault="00950BE9" w:rsidP="00950BE9">
            <w:pPr>
              <w:spacing w:line="241" w:lineRule="auto"/>
              <w:ind w:left="209" w:right="221"/>
              <w:contextualSpacing/>
              <w:jc w:val="center"/>
              <w:rPr>
                <w:rFonts w:ascii="Arial" w:hAnsi="Arial" w:cs="Times New Roman"/>
                <w:color w:val="0070C0"/>
                <w:sz w:val="14"/>
                <w:szCs w:val="14"/>
              </w:rPr>
            </w:pPr>
            <w:r w:rsidRPr="00D02C92">
              <w:rPr>
                <w:rFonts w:ascii="Arial" w:eastAsia="Arial" w:hAnsi="Arial" w:cs="Arial"/>
                <w:color w:val="0070C0"/>
                <w:sz w:val="14"/>
                <w:szCs w:val="14"/>
              </w:rPr>
              <w:t xml:space="preserve">PDF e  </w:t>
            </w:r>
          </w:p>
          <w:p w14:paraId="007C88AE" w14:textId="77777777" w:rsidR="00950BE9" w:rsidRPr="00D02C92" w:rsidRDefault="00950BE9" w:rsidP="00950BE9">
            <w:pPr>
              <w:spacing w:line="360" w:lineRule="auto"/>
              <w:ind w:right="53"/>
              <w:contextualSpacing/>
              <w:jc w:val="center"/>
              <w:rPr>
                <w:rFonts w:ascii="Arial" w:eastAsia="Arial" w:hAnsi="Arial" w:cs="Arial"/>
                <w:color w:val="0070C0"/>
                <w:sz w:val="14"/>
                <w:szCs w:val="14"/>
              </w:rPr>
            </w:pPr>
            <w:r w:rsidRPr="00D02C92">
              <w:rPr>
                <w:rFonts w:ascii="Arial" w:eastAsia="Arial" w:hAnsi="Arial" w:cs="Arial"/>
                <w:color w:val="0070C0"/>
                <w:sz w:val="14"/>
                <w:szCs w:val="14"/>
              </w:rPr>
              <w:t>XLS/XLSX/ ODS</w:t>
            </w:r>
          </w:p>
        </w:tc>
      </w:tr>
      <w:tr w:rsidR="00950BE9" w:rsidRPr="00950BE9" w14:paraId="74F00A17" w14:textId="77777777" w:rsidTr="002F3756">
        <w:tblPrEx>
          <w:tblCellMar>
            <w:top w:w="38" w:type="dxa"/>
            <w:right w:w="59" w:type="dxa"/>
          </w:tblCellMar>
        </w:tblPrEx>
        <w:trPr>
          <w:cantSplit/>
        </w:trPr>
        <w:tc>
          <w:tcPr>
            <w:tcW w:w="1173" w:type="dxa"/>
            <w:tcBorders>
              <w:top w:val="single" w:sz="4" w:space="0" w:color="000000"/>
              <w:left w:val="single" w:sz="4" w:space="0" w:color="000000"/>
              <w:bottom w:val="single" w:sz="4" w:space="0" w:color="000000"/>
              <w:right w:val="single" w:sz="4" w:space="0" w:color="000000"/>
            </w:tcBorders>
            <w:vAlign w:val="center"/>
          </w:tcPr>
          <w:p w14:paraId="0300F0ED" w14:textId="77777777" w:rsidR="00950BE9" w:rsidRPr="00950BE9" w:rsidRDefault="00950BE9" w:rsidP="00950BE9">
            <w:pPr>
              <w:spacing w:line="360" w:lineRule="auto"/>
              <w:ind w:right="49"/>
              <w:contextualSpacing/>
              <w:jc w:val="center"/>
              <w:rPr>
                <w:rFonts w:ascii="Arial" w:hAnsi="Arial" w:cs="Times New Roman"/>
                <w:color w:val="0070C0"/>
                <w:sz w:val="24"/>
              </w:rPr>
            </w:pPr>
            <w:r w:rsidRPr="00950BE9">
              <w:rPr>
                <w:rFonts w:ascii="Arial" w:eastAsia="Arial" w:hAnsi="Arial" w:cs="Arial"/>
                <w:color w:val="0070C0"/>
                <w:sz w:val="18"/>
              </w:rPr>
              <w:t xml:space="preserve">DREPAS </w:t>
            </w:r>
          </w:p>
        </w:tc>
        <w:tc>
          <w:tcPr>
            <w:tcW w:w="6386" w:type="dxa"/>
            <w:tcBorders>
              <w:top w:val="single" w:sz="4" w:space="0" w:color="000000"/>
              <w:left w:val="single" w:sz="4" w:space="0" w:color="000000"/>
              <w:bottom w:val="single" w:sz="4" w:space="0" w:color="000000"/>
              <w:right w:val="single" w:sz="4" w:space="0" w:color="000000"/>
            </w:tcBorders>
            <w:vAlign w:val="center"/>
          </w:tcPr>
          <w:p w14:paraId="56276866" w14:textId="77777777" w:rsidR="00950BE9" w:rsidRPr="00950BE9" w:rsidRDefault="00950BE9" w:rsidP="00950BE9">
            <w:pPr>
              <w:spacing w:line="360" w:lineRule="auto"/>
              <w:contextualSpacing/>
              <w:jc w:val="both"/>
              <w:rPr>
                <w:rFonts w:ascii="Arial" w:hAnsi="Arial" w:cs="Times New Roman"/>
                <w:color w:val="0070C0"/>
                <w:sz w:val="24"/>
              </w:rPr>
            </w:pPr>
            <w:r w:rsidRPr="00950BE9">
              <w:rPr>
                <w:rFonts w:ascii="Arial" w:eastAsia="Arial" w:hAnsi="Arial" w:cs="Arial"/>
                <w:color w:val="0070C0"/>
                <w:sz w:val="18"/>
              </w:rPr>
              <w:t xml:space="preserve">Demonstrativo dos repasses recebidos do Governo do Estado para aumento de participação no FUNDO no exercício. </w:t>
            </w:r>
          </w:p>
        </w:tc>
        <w:tc>
          <w:tcPr>
            <w:tcW w:w="1508" w:type="dxa"/>
            <w:tcBorders>
              <w:top w:val="single" w:sz="4" w:space="0" w:color="000000"/>
              <w:left w:val="single" w:sz="4" w:space="0" w:color="000000"/>
              <w:bottom w:val="single" w:sz="4" w:space="0" w:color="000000"/>
              <w:right w:val="single" w:sz="4" w:space="0" w:color="000000"/>
            </w:tcBorders>
            <w:vAlign w:val="center"/>
          </w:tcPr>
          <w:p w14:paraId="40DCE2A7" w14:textId="77777777" w:rsidR="00950BE9" w:rsidRPr="00D02C92" w:rsidRDefault="00950BE9" w:rsidP="00950BE9">
            <w:pPr>
              <w:spacing w:line="360" w:lineRule="auto"/>
              <w:ind w:right="53"/>
              <w:contextualSpacing/>
              <w:jc w:val="center"/>
              <w:rPr>
                <w:rFonts w:ascii="Arial" w:hAnsi="Arial" w:cs="Times New Roman"/>
                <w:color w:val="0070C0"/>
                <w:sz w:val="14"/>
                <w:szCs w:val="14"/>
              </w:rPr>
            </w:pPr>
            <w:r w:rsidRPr="00D02C92">
              <w:rPr>
                <w:rFonts w:ascii="Arial" w:eastAsia="Arial" w:hAnsi="Arial" w:cs="Arial"/>
                <w:color w:val="0070C0"/>
                <w:sz w:val="14"/>
                <w:szCs w:val="14"/>
              </w:rPr>
              <w:t xml:space="preserve">PDF </w:t>
            </w:r>
          </w:p>
        </w:tc>
      </w:tr>
      <w:tr w:rsidR="00950BE9" w:rsidRPr="00950BE9" w14:paraId="2685F15D" w14:textId="77777777" w:rsidTr="002F3756">
        <w:tblPrEx>
          <w:tblCellMar>
            <w:top w:w="38" w:type="dxa"/>
            <w:right w:w="59" w:type="dxa"/>
          </w:tblCellMar>
        </w:tblPrEx>
        <w:trPr>
          <w:cantSplit/>
        </w:trPr>
        <w:tc>
          <w:tcPr>
            <w:tcW w:w="1173" w:type="dxa"/>
            <w:tcBorders>
              <w:top w:val="single" w:sz="4" w:space="0" w:color="000000"/>
              <w:left w:val="single" w:sz="4" w:space="0" w:color="000000"/>
              <w:bottom w:val="single" w:sz="4" w:space="0" w:color="000000"/>
              <w:right w:val="single" w:sz="4" w:space="0" w:color="000000"/>
            </w:tcBorders>
            <w:vAlign w:val="center"/>
          </w:tcPr>
          <w:p w14:paraId="37C00400" w14:textId="77777777" w:rsidR="00950BE9" w:rsidRPr="00950BE9" w:rsidRDefault="00950BE9" w:rsidP="00950BE9">
            <w:pPr>
              <w:spacing w:line="360" w:lineRule="auto"/>
              <w:ind w:right="55"/>
              <w:contextualSpacing/>
              <w:jc w:val="center"/>
              <w:rPr>
                <w:rFonts w:ascii="Arial" w:hAnsi="Arial" w:cs="Times New Roman"/>
                <w:color w:val="0070C0"/>
                <w:sz w:val="24"/>
              </w:rPr>
            </w:pPr>
            <w:r w:rsidRPr="00950BE9">
              <w:rPr>
                <w:rFonts w:ascii="Arial" w:eastAsia="Arial" w:hAnsi="Arial" w:cs="Arial"/>
                <w:color w:val="0070C0"/>
                <w:sz w:val="18"/>
              </w:rPr>
              <w:t xml:space="preserve">TVDCAI </w:t>
            </w:r>
          </w:p>
        </w:tc>
        <w:tc>
          <w:tcPr>
            <w:tcW w:w="6386" w:type="dxa"/>
            <w:tcBorders>
              <w:top w:val="single" w:sz="4" w:space="0" w:color="000000"/>
              <w:left w:val="single" w:sz="4" w:space="0" w:color="000000"/>
              <w:bottom w:val="single" w:sz="4" w:space="0" w:color="000000"/>
              <w:right w:val="single" w:sz="4" w:space="0" w:color="000000"/>
            </w:tcBorders>
            <w:vAlign w:val="center"/>
          </w:tcPr>
          <w:p w14:paraId="5C66405A" w14:textId="77777777" w:rsidR="00950BE9" w:rsidRPr="00950BE9" w:rsidRDefault="00950BE9" w:rsidP="00950BE9">
            <w:pPr>
              <w:spacing w:line="360" w:lineRule="auto"/>
              <w:contextualSpacing/>
              <w:jc w:val="both"/>
              <w:rPr>
                <w:rFonts w:ascii="Arial" w:hAnsi="Arial" w:cs="Times New Roman"/>
                <w:color w:val="0070C0"/>
                <w:sz w:val="24"/>
              </w:rPr>
            </w:pPr>
            <w:r w:rsidRPr="00950BE9">
              <w:rPr>
                <w:rFonts w:ascii="Arial" w:eastAsia="Arial" w:hAnsi="Arial" w:cs="Arial"/>
                <w:color w:val="0070C0"/>
                <w:sz w:val="18"/>
              </w:rPr>
              <w:t xml:space="preserve">Termo de verificação das disponibilidades em caixa ao final do exercício.  </w:t>
            </w:r>
          </w:p>
        </w:tc>
        <w:tc>
          <w:tcPr>
            <w:tcW w:w="1508" w:type="dxa"/>
            <w:tcBorders>
              <w:top w:val="single" w:sz="4" w:space="0" w:color="000000"/>
              <w:left w:val="single" w:sz="4" w:space="0" w:color="000000"/>
              <w:bottom w:val="single" w:sz="4" w:space="0" w:color="000000"/>
              <w:right w:val="single" w:sz="4" w:space="0" w:color="000000"/>
            </w:tcBorders>
            <w:vAlign w:val="center"/>
          </w:tcPr>
          <w:p w14:paraId="59BF9A0E" w14:textId="77777777" w:rsidR="00950BE9" w:rsidRPr="00D02C92" w:rsidRDefault="00950BE9" w:rsidP="00950BE9">
            <w:pPr>
              <w:spacing w:line="360" w:lineRule="auto"/>
              <w:ind w:right="53"/>
              <w:contextualSpacing/>
              <w:jc w:val="center"/>
              <w:rPr>
                <w:rFonts w:ascii="Arial" w:hAnsi="Arial" w:cs="Times New Roman"/>
                <w:color w:val="0070C0"/>
                <w:sz w:val="14"/>
                <w:szCs w:val="14"/>
              </w:rPr>
            </w:pPr>
            <w:r w:rsidRPr="00D02C92">
              <w:rPr>
                <w:rFonts w:ascii="Arial" w:eastAsia="Arial" w:hAnsi="Arial" w:cs="Arial"/>
                <w:color w:val="0070C0"/>
                <w:sz w:val="14"/>
                <w:szCs w:val="14"/>
              </w:rPr>
              <w:t xml:space="preserve">PDF </w:t>
            </w:r>
          </w:p>
        </w:tc>
      </w:tr>
      <w:tr w:rsidR="00950BE9" w:rsidRPr="00950BE9" w14:paraId="021ABCC7" w14:textId="77777777" w:rsidTr="002F3756">
        <w:tblPrEx>
          <w:tblCellMar>
            <w:top w:w="38" w:type="dxa"/>
            <w:right w:w="59" w:type="dxa"/>
          </w:tblCellMar>
        </w:tblPrEx>
        <w:trPr>
          <w:cantSplit/>
        </w:trPr>
        <w:tc>
          <w:tcPr>
            <w:tcW w:w="1173" w:type="dxa"/>
            <w:tcBorders>
              <w:top w:val="single" w:sz="4" w:space="0" w:color="000000"/>
              <w:left w:val="single" w:sz="4" w:space="0" w:color="000000"/>
              <w:bottom w:val="single" w:sz="4" w:space="0" w:color="000000"/>
              <w:right w:val="single" w:sz="4" w:space="0" w:color="000000"/>
            </w:tcBorders>
            <w:vAlign w:val="center"/>
          </w:tcPr>
          <w:p w14:paraId="7B89544C" w14:textId="77777777" w:rsidR="00950BE9" w:rsidRPr="00950BE9" w:rsidRDefault="00950BE9" w:rsidP="00950BE9">
            <w:pPr>
              <w:spacing w:line="360" w:lineRule="auto"/>
              <w:ind w:right="54"/>
              <w:contextualSpacing/>
              <w:jc w:val="center"/>
              <w:rPr>
                <w:rFonts w:ascii="Arial" w:hAnsi="Arial" w:cs="Times New Roman"/>
                <w:color w:val="0070C0"/>
                <w:sz w:val="24"/>
              </w:rPr>
            </w:pPr>
            <w:r w:rsidRPr="00950BE9">
              <w:rPr>
                <w:rFonts w:ascii="Arial" w:eastAsia="Arial" w:hAnsi="Arial" w:cs="Arial"/>
                <w:color w:val="0070C0"/>
                <w:sz w:val="18"/>
              </w:rPr>
              <w:t xml:space="preserve">TVDISPN </w:t>
            </w:r>
          </w:p>
        </w:tc>
        <w:tc>
          <w:tcPr>
            <w:tcW w:w="6386" w:type="dxa"/>
            <w:tcBorders>
              <w:top w:val="single" w:sz="4" w:space="0" w:color="000000"/>
              <w:left w:val="single" w:sz="4" w:space="0" w:color="000000"/>
              <w:bottom w:val="single" w:sz="4" w:space="0" w:color="000000"/>
              <w:right w:val="single" w:sz="4" w:space="0" w:color="000000"/>
            </w:tcBorders>
            <w:vAlign w:val="center"/>
          </w:tcPr>
          <w:p w14:paraId="5E73EDCE" w14:textId="24E91CB9" w:rsidR="00950BE9" w:rsidRPr="00950BE9" w:rsidRDefault="00EB07D3" w:rsidP="00950BE9">
            <w:pPr>
              <w:spacing w:line="360" w:lineRule="auto"/>
              <w:contextualSpacing/>
              <w:jc w:val="both"/>
              <w:rPr>
                <w:rFonts w:ascii="Arial" w:hAnsi="Arial" w:cs="Times New Roman"/>
                <w:color w:val="0070C0"/>
                <w:sz w:val="24"/>
              </w:rPr>
            </w:pPr>
            <w:r w:rsidRPr="00EB07D3">
              <w:rPr>
                <w:rFonts w:ascii="Arial" w:eastAsia="Arial" w:hAnsi="Arial" w:cs="Arial"/>
                <w:color w:val="0070C0"/>
                <w:sz w:val="18"/>
              </w:rPr>
              <w:t>Termo de verificação de disponibilidades bancárias, na forma do item 3.2 deste Anexo.</w:t>
            </w:r>
          </w:p>
        </w:tc>
        <w:tc>
          <w:tcPr>
            <w:tcW w:w="1508" w:type="dxa"/>
            <w:tcBorders>
              <w:top w:val="single" w:sz="4" w:space="0" w:color="000000"/>
              <w:left w:val="single" w:sz="4" w:space="0" w:color="000000"/>
              <w:bottom w:val="single" w:sz="4" w:space="0" w:color="000000"/>
              <w:right w:val="single" w:sz="4" w:space="0" w:color="000000"/>
            </w:tcBorders>
          </w:tcPr>
          <w:p w14:paraId="2076DDF7" w14:textId="77777777" w:rsidR="00950BE9" w:rsidRPr="00D02C92" w:rsidRDefault="00950BE9" w:rsidP="00950BE9">
            <w:pPr>
              <w:spacing w:line="241" w:lineRule="auto"/>
              <w:ind w:left="209" w:right="221"/>
              <w:contextualSpacing/>
              <w:jc w:val="center"/>
              <w:rPr>
                <w:rFonts w:ascii="Arial" w:hAnsi="Arial" w:cs="Times New Roman"/>
                <w:color w:val="0070C0"/>
                <w:sz w:val="14"/>
                <w:szCs w:val="14"/>
              </w:rPr>
            </w:pPr>
            <w:r w:rsidRPr="00D02C92">
              <w:rPr>
                <w:rFonts w:ascii="Arial" w:eastAsia="Arial" w:hAnsi="Arial" w:cs="Arial"/>
                <w:color w:val="0070C0"/>
                <w:sz w:val="14"/>
                <w:szCs w:val="14"/>
              </w:rPr>
              <w:t xml:space="preserve">PDF e  </w:t>
            </w:r>
          </w:p>
          <w:p w14:paraId="0B2E1650" w14:textId="77777777" w:rsidR="00950BE9" w:rsidRPr="00D02C92" w:rsidRDefault="00950BE9" w:rsidP="00950BE9">
            <w:pPr>
              <w:spacing w:line="360" w:lineRule="auto"/>
              <w:contextualSpacing/>
              <w:jc w:val="center"/>
              <w:rPr>
                <w:rFonts w:ascii="Arial" w:hAnsi="Arial" w:cs="Times New Roman"/>
                <w:color w:val="0070C0"/>
                <w:sz w:val="14"/>
                <w:szCs w:val="14"/>
              </w:rPr>
            </w:pPr>
            <w:r w:rsidRPr="00D02C92">
              <w:rPr>
                <w:rFonts w:ascii="Arial" w:eastAsia="Arial" w:hAnsi="Arial" w:cs="Arial"/>
                <w:color w:val="0070C0"/>
                <w:sz w:val="14"/>
                <w:szCs w:val="14"/>
              </w:rPr>
              <w:t>XLS/XLSX/ ODS</w:t>
            </w:r>
            <w:r w:rsidRPr="00D02C92">
              <w:rPr>
                <w:rFonts w:ascii="Arial" w:eastAsia="Arial" w:hAnsi="Arial" w:cs="Arial"/>
                <w:i/>
                <w:color w:val="0070C0"/>
                <w:sz w:val="14"/>
                <w:szCs w:val="14"/>
              </w:rPr>
              <w:t xml:space="preserve"> </w:t>
            </w:r>
          </w:p>
        </w:tc>
      </w:tr>
      <w:tr w:rsidR="00950BE9" w:rsidRPr="00950BE9" w14:paraId="0968A3D9" w14:textId="77777777" w:rsidTr="002F3756">
        <w:tblPrEx>
          <w:tblCellMar>
            <w:top w:w="38" w:type="dxa"/>
            <w:right w:w="59" w:type="dxa"/>
          </w:tblCellMar>
        </w:tblPrEx>
        <w:trPr>
          <w:cantSplit/>
        </w:trPr>
        <w:tc>
          <w:tcPr>
            <w:tcW w:w="1173" w:type="dxa"/>
            <w:tcBorders>
              <w:top w:val="single" w:sz="4" w:space="0" w:color="000000"/>
              <w:left w:val="single" w:sz="4" w:space="0" w:color="000000"/>
              <w:bottom w:val="single" w:sz="4" w:space="0" w:color="000000"/>
              <w:right w:val="single" w:sz="4" w:space="0" w:color="000000"/>
            </w:tcBorders>
            <w:vAlign w:val="center"/>
          </w:tcPr>
          <w:p w14:paraId="56C8DD3B" w14:textId="77777777" w:rsidR="00950BE9" w:rsidRPr="00950BE9" w:rsidRDefault="00950BE9" w:rsidP="00950BE9">
            <w:pPr>
              <w:spacing w:line="360" w:lineRule="auto"/>
              <w:ind w:right="52"/>
              <w:contextualSpacing/>
              <w:jc w:val="center"/>
              <w:rPr>
                <w:rFonts w:ascii="Arial" w:hAnsi="Arial" w:cs="Times New Roman"/>
                <w:color w:val="0070C0"/>
                <w:sz w:val="24"/>
              </w:rPr>
            </w:pPr>
            <w:r w:rsidRPr="00950BE9">
              <w:rPr>
                <w:rFonts w:ascii="Arial" w:eastAsia="Arial" w:hAnsi="Arial" w:cs="Arial"/>
                <w:color w:val="0070C0"/>
                <w:sz w:val="18"/>
              </w:rPr>
              <w:t xml:space="preserve">EXTBAN </w:t>
            </w:r>
          </w:p>
        </w:tc>
        <w:tc>
          <w:tcPr>
            <w:tcW w:w="6386" w:type="dxa"/>
            <w:tcBorders>
              <w:top w:val="single" w:sz="4" w:space="0" w:color="000000"/>
              <w:left w:val="single" w:sz="4" w:space="0" w:color="000000"/>
              <w:bottom w:val="single" w:sz="4" w:space="0" w:color="000000"/>
              <w:right w:val="single" w:sz="4" w:space="0" w:color="000000"/>
            </w:tcBorders>
            <w:vAlign w:val="center"/>
          </w:tcPr>
          <w:p w14:paraId="72DC1073" w14:textId="77777777" w:rsidR="00950BE9" w:rsidRPr="00950BE9" w:rsidRDefault="00950BE9" w:rsidP="00950BE9">
            <w:pPr>
              <w:spacing w:line="360" w:lineRule="auto"/>
              <w:contextualSpacing/>
              <w:jc w:val="both"/>
              <w:rPr>
                <w:rFonts w:ascii="Arial" w:hAnsi="Arial" w:cs="Times New Roman"/>
                <w:color w:val="0070C0"/>
                <w:sz w:val="24"/>
              </w:rPr>
            </w:pPr>
            <w:r w:rsidRPr="00950BE9">
              <w:rPr>
                <w:rFonts w:ascii="Arial" w:eastAsia="Arial" w:hAnsi="Arial" w:cs="Arial"/>
                <w:color w:val="0070C0"/>
                <w:sz w:val="18"/>
              </w:rPr>
              <w:t xml:space="preserve">Extratos bancários relativos ao mês de encerramento do exercício (inclusive das contas com saldo bancário zerado no exercício). </w:t>
            </w:r>
          </w:p>
        </w:tc>
        <w:tc>
          <w:tcPr>
            <w:tcW w:w="1508" w:type="dxa"/>
            <w:tcBorders>
              <w:top w:val="single" w:sz="4" w:space="0" w:color="000000"/>
              <w:left w:val="single" w:sz="4" w:space="0" w:color="000000"/>
              <w:bottom w:val="single" w:sz="4" w:space="0" w:color="000000"/>
              <w:right w:val="single" w:sz="4" w:space="0" w:color="000000"/>
            </w:tcBorders>
            <w:vAlign w:val="center"/>
          </w:tcPr>
          <w:p w14:paraId="7F7011D2" w14:textId="77777777" w:rsidR="00950BE9" w:rsidRPr="00D02C92" w:rsidRDefault="00950BE9" w:rsidP="00950BE9">
            <w:pPr>
              <w:spacing w:line="360" w:lineRule="auto"/>
              <w:ind w:right="53"/>
              <w:contextualSpacing/>
              <w:jc w:val="center"/>
              <w:rPr>
                <w:rFonts w:ascii="Arial" w:hAnsi="Arial" w:cs="Times New Roman"/>
                <w:color w:val="0070C0"/>
                <w:sz w:val="14"/>
                <w:szCs w:val="14"/>
              </w:rPr>
            </w:pPr>
            <w:r w:rsidRPr="00D02C92">
              <w:rPr>
                <w:rFonts w:ascii="Arial" w:eastAsia="Arial" w:hAnsi="Arial" w:cs="Arial"/>
                <w:color w:val="0070C0"/>
                <w:sz w:val="14"/>
                <w:szCs w:val="14"/>
              </w:rPr>
              <w:t>PDF</w:t>
            </w:r>
            <w:r w:rsidRPr="00D02C92">
              <w:rPr>
                <w:rFonts w:ascii="Arial" w:eastAsia="Arial" w:hAnsi="Arial" w:cs="Arial"/>
                <w:i/>
                <w:color w:val="0070C0"/>
                <w:sz w:val="14"/>
                <w:szCs w:val="14"/>
              </w:rPr>
              <w:t xml:space="preserve"> </w:t>
            </w:r>
          </w:p>
        </w:tc>
      </w:tr>
      <w:tr w:rsidR="00950BE9" w:rsidRPr="00950BE9" w14:paraId="1992EABA" w14:textId="77777777" w:rsidTr="002F3756">
        <w:tblPrEx>
          <w:tblCellMar>
            <w:top w:w="38" w:type="dxa"/>
            <w:right w:w="59" w:type="dxa"/>
          </w:tblCellMar>
        </w:tblPrEx>
        <w:trPr>
          <w:cantSplit/>
        </w:trPr>
        <w:tc>
          <w:tcPr>
            <w:tcW w:w="1173" w:type="dxa"/>
            <w:tcBorders>
              <w:top w:val="single" w:sz="4" w:space="0" w:color="000000"/>
              <w:left w:val="single" w:sz="4" w:space="0" w:color="000000"/>
              <w:bottom w:val="single" w:sz="4" w:space="0" w:color="000000"/>
              <w:right w:val="single" w:sz="4" w:space="0" w:color="000000"/>
            </w:tcBorders>
            <w:vAlign w:val="center"/>
          </w:tcPr>
          <w:p w14:paraId="0E62675E" w14:textId="77777777" w:rsidR="00950BE9" w:rsidRPr="00950BE9" w:rsidRDefault="00950BE9" w:rsidP="00950BE9">
            <w:pPr>
              <w:spacing w:line="360" w:lineRule="auto"/>
              <w:ind w:right="52"/>
              <w:contextualSpacing/>
              <w:jc w:val="center"/>
              <w:rPr>
                <w:rFonts w:ascii="Arial" w:hAnsi="Arial" w:cs="Times New Roman"/>
                <w:color w:val="0070C0"/>
                <w:sz w:val="24"/>
              </w:rPr>
            </w:pPr>
            <w:r w:rsidRPr="00950BE9">
              <w:rPr>
                <w:rFonts w:ascii="Arial" w:eastAsia="Arial" w:hAnsi="Arial" w:cs="Arial"/>
                <w:color w:val="0070C0"/>
                <w:sz w:val="18"/>
              </w:rPr>
              <w:t xml:space="preserve">BALPATN </w:t>
            </w:r>
          </w:p>
        </w:tc>
        <w:tc>
          <w:tcPr>
            <w:tcW w:w="6386" w:type="dxa"/>
            <w:tcBorders>
              <w:top w:val="single" w:sz="4" w:space="0" w:color="000000"/>
              <w:left w:val="single" w:sz="4" w:space="0" w:color="000000"/>
              <w:bottom w:val="single" w:sz="4" w:space="0" w:color="000000"/>
              <w:right w:val="single" w:sz="4" w:space="0" w:color="000000"/>
            </w:tcBorders>
            <w:vAlign w:val="center"/>
          </w:tcPr>
          <w:p w14:paraId="70244914" w14:textId="77777777" w:rsidR="00950BE9" w:rsidRPr="00950BE9" w:rsidRDefault="00950BE9" w:rsidP="00950BE9">
            <w:pPr>
              <w:spacing w:line="360" w:lineRule="auto"/>
              <w:contextualSpacing/>
              <w:jc w:val="both"/>
              <w:rPr>
                <w:rFonts w:ascii="Arial" w:hAnsi="Arial" w:cs="Times New Roman"/>
                <w:color w:val="0070C0"/>
                <w:sz w:val="24"/>
              </w:rPr>
            </w:pPr>
            <w:r w:rsidRPr="00950BE9">
              <w:rPr>
                <w:rFonts w:ascii="Arial" w:eastAsia="Arial" w:hAnsi="Arial" w:cs="Arial"/>
                <w:color w:val="0070C0"/>
                <w:sz w:val="18"/>
              </w:rPr>
              <w:t xml:space="preserve">Balanço Patrimonial do exercício, com a indicação dos saldos do exercício anterior (Inciso I do art. 176 da Lei 6.404/76).  </w:t>
            </w:r>
          </w:p>
        </w:tc>
        <w:tc>
          <w:tcPr>
            <w:tcW w:w="1508" w:type="dxa"/>
            <w:tcBorders>
              <w:top w:val="single" w:sz="4" w:space="0" w:color="000000"/>
              <w:left w:val="single" w:sz="4" w:space="0" w:color="000000"/>
              <w:bottom w:val="single" w:sz="4" w:space="0" w:color="000000"/>
              <w:right w:val="single" w:sz="4" w:space="0" w:color="000000"/>
            </w:tcBorders>
            <w:vAlign w:val="center"/>
          </w:tcPr>
          <w:p w14:paraId="3B146C7E" w14:textId="77777777" w:rsidR="00950BE9" w:rsidRPr="00D02C92" w:rsidRDefault="00950BE9" w:rsidP="00950BE9">
            <w:pPr>
              <w:spacing w:line="360" w:lineRule="auto"/>
              <w:ind w:right="53"/>
              <w:contextualSpacing/>
              <w:jc w:val="center"/>
              <w:rPr>
                <w:rFonts w:ascii="Arial" w:hAnsi="Arial" w:cs="Times New Roman"/>
                <w:color w:val="0070C0"/>
                <w:sz w:val="14"/>
                <w:szCs w:val="14"/>
              </w:rPr>
            </w:pPr>
            <w:r w:rsidRPr="00D02C92">
              <w:rPr>
                <w:rFonts w:ascii="Arial" w:eastAsia="Arial" w:hAnsi="Arial" w:cs="Arial"/>
                <w:color w:val="0070C0"/>
                <w:sz w:val="14"/>
                <w:szCs w:val="14"/>
              </w:rPr>
              <w:t xml:space="preserve">PDF </w:t>
            </w:r>
          </w:p>
        </w:tc>
      </w:tr>
      <w:tr w:rsidR="00950BE9" w:rsidRPr="00950BE9" w14:paraId="28FFED68" w14:textId="77777777" w:rsidTr="002F3756">
        <w:tblPrEx>
          <w:tblCellMar>
            <w:top w:w="42" w:type="dxa"/>
            <w:right w:w="59" w:type="dxa"/>
          </w:tblCellMar>
        </w:tblPrEx>
        <w:trPr>
          <w:cantSplit/>
        </w:trPr>
        <w:tc>
          <w:tcPr>
            <w:tcW w:w="1173" w:type="dxa"/>
            <w:tcBorders>
              <w:top w:val="single" w:sz="4" w:space="0" w:color="000000"/>
              <w:left w:val="single" w:sz="4" w:space="0" w:color="000000"/>
              <w:bottom w:val="single" w:sz="4" w:space="0" w:color="000000"/>
              <w:right w:val="single" w:sz="4" w:space="0" w:color="000000"/>
            </w:tcBorders>
            <w:vAlign w:val="center"/>
          </w:tcPr>
          <w:p w14:paraId="3443A9F4" w14:textId="77777777" w:rsidR="00950BE9" w:rsidRPr="00950BE9" w:rsidRDefault="00950BE9" w:rsidP="00950BE9">
            <w:pPr>
              <w:spacing w:line="360" w:lineRule="auto"/>
              <w:ind w:right="49"/>
              <w:contextualSpacing/>
              <w:jc w:val="center"/>
              <w:rPr>
                <w:rFonts w:ascii="Arial" w:hAnsi="Arial" w:cs="Times New Roman"/>
                <w:color w:val="0070C0"/>
                <w:sz w:val="24"/>
              </w:rPr>
            </w:pPr>
            <w:r w:rsidRPr="00950BE9">
              <w:rPr>
                <w:rFonts w:ascii="Arial" w:eastAsia="Arial" w:hAnsi="Arial" w:cs="Arial"/>
                <w:color w:val="0070C0"/>
                <w:sz w:val="18"/>
              </w:rPr>
              <w:t xml:space="preserve">BALVER </w:t>
            </w:r>
          </w:p>
        </w:tc>
        <w:tc>
          <w:tcPr>
            <w:tcW w:w="6386" w:type="dxa"/>
            <w:tcBorders>
              <w:top w:val="single" w:sz="4" w:space="0" w:color="000000"/>
              <w:left w:val="single" w:sz="4" w:space="0" w:color="000000"/>
              <w:bottom w:val="single" w:sz="4" w:space="0" w:color="000000"/>
              <w:right w:val="single" w:sz="4" w:space="0" w:color="000000"/>
            </w:tcBorders>
            <w:vAlign w:val="center"/>
          </w:tcPr>
          <w:p w14:paraId="22DBBAF4" w14:textId="77777777" w:rsidR="00950BE9" w:rsidRPr="00950BE9" w:rsidRDefault="00950BE9" w:rsidP="00950BE9">
            <w:pPr>
              <w:spacing w:after="120" w:line="239" w:lineRule="auto"/>
              <w:contextualSpacing/>
              <w:jc w:val="both"/>
              <w:rPr>
                <w:rFonts w:ascii="Arial" w:hAnsi="Arial" w:cs="Times New Roman"/>
                <w:color w:val="0070C0"/>
                <w:sz w:val="24"/>
              </w:rPr>
            </w:pPr>
            <w:r w:rsidRPr="00950BE9">
              <w:rPr>
                <w:rFonts w:ascii="Arial" w:eastAsia="Arial" w:hAnsi="Arial" w:cs="Arial"/>
                <w:color w:val="0070C0"/>
                <w:sz w:val="18"/>
              </w:rPr>
              <w:t>Balancete de verificação (analítico) que deu origem ao encerramento das Demonstrações Financeiras do exercício, com o saldo das contas de resultado.  (No caso de fechamento semestral, encaminhar os dois balancetes)  .</w:t>
            </w:r>
          </w:p>
        </w:tc>
        <w:tc>
          <w:tcPr>
            <w:tcW w:w="1508" w:type="dxa"/>
            <w:tcBorders>
              <w:top w:val="single" w:sz="4" w:space="0" w:color="000000"/>
              <w:left w:val="single" w:sz="4" w:space="0" w:color="000000"/>
              <w:bottom w:val="single" w:sz="4" w:space="0" w:color="000000"/>
              <w:right w:val="single" w:sz="4" w:space="0" w:color="000000"/>
            </w:tcBorders>
            <w:vAlign w:val="center"/>
          </w:tcPr>
          <w:p w14:paraId="629FD6CA" w14:textId="77777777" w:rsidR="00950BE9" w:rsidRPr="00D02C92" w:rsidRDefault="00950BE9" w:rsidP="00950BE9">
            <w:pPr>
              <w:spacing w:line="360" w:lineRule="auto"/>
              <w:ind w:right="53"/>
              <w:contextualSpacing/>
              <w:jc w:val="center"/>
              <w:rPr>
                <w:rFonts w:ascii="Arial" w:hAnsi="Arial" w:cs="Times New Roman"/>
                <w:color w:val="0070C0"/>
                <w:sz w:val="14"/>
                <w:szCs w:val="14"/>
              </w:rPr>
            </w:pPr>
            <w:r w:rsidRPr="00D02C92">
              <w:rPr>
                <w:rFonts w:ascii="Arial" w:eastAsia="Arial" w:hAnsi="Arial" w:cs="Arial"/>
                <w:color w:val="0070C0"/>
                <w:sz w:val="14"/>
                <w:szCs w:val="14"/>
              </w:rPr>
              <w:t xml:space="preserve">PDF </w:t>
            </w:r>
          </w:p>
        </w:tc>
      </w:tr>
      <w:tr w:rsidR="00950BE9" w:rsidRPr="00950BE9" w14:paraId="3E9270CF" w14:textId="77777777" w:rsidTr="002F3756">
        <w:tblPrEx>
          <w:tblCellMar>
            <w:top w:w="39" w:type="dxa"/>
            <w:right w:w="10" w:type="dxa"/>
          </w:tblCellMar>
        </w:tblPrEx>
        <w:trPr>
          <w:cantSplit/>
        </w:trPr>
        <w:tc>
          <w:tcPr>
            <w:tcW w:w="1173" w:type="dxa"/>
            <w:tcBorders>
              <w:top w:val="single" w:sz="4" w:space="0" w:color="000000"/>
              <w:left w:val="single" w:sz="4" w:space="0" w:color="000000"/>
              <w:bottom w:val="single" w:sz="4" w:space="0" w:color="000000"/>
              <w:right w:val="single" w:sz="4" w:space="0" w:color="000000"/>
            </w:tcBorders>
            <w:vAlign w:val="center"/>
          </w:tcPr>
          <w:p w14:paraId="7D438971" w14:textId="77777777" w:rsidR="00950BE9" w:rsidRPr="00950BE9" w:rsidRDefault="00950BE9" w:rsidP="00950BE9">
            <w:pPr>
              <w:spacing w:line="360" w:lineRule="auto"/>
              <w:ind w:right="98"/>
              <w:contextualSpacing/>
              <w:jc w:val="center"/>
              <w:rPr>
                <w:rFonts w:ascii="Arial" w:hAnsi="Arial" w:cs="Times New Roman"/>
                <w:color w:val="0070C0"/>
                <w:sz w:val="24"/>
              </w:rPr>
            </w:pPr>
            <w:r w:rsidRPr="00950BE9">
              <w:rPr>
                <w:rFonts w:ascii="Arial" w:eastAsia="Arial" w:hAnsi="Arial" w:cs="Arial"/>
                <w:color w:val="0070C0"/>
                <w:sz w:val="18"/>
              </w:rPr>
              <w:t xml:space="preserve">DELPAC </w:t>
            </w:r>
          </w:p>
        </w:tc>
        <w:tc>
          <w:tcPr>
            <w:tcW w:w="6386" w:type="dxa"/>
            <w:tcBorders>
              <w:top w:val="single" w:sz="4" w:space="0" w:color="000000"/>
              <w:left w:val="single" w:sz="4" w:space="0" w:color="000000"/>
              <w:bottom w:val="single" w:sz="4" w:space="0" w:color="000000"/>
              <w:right w:val="single" w:sz="4" w:space="0" w:color="000000"/>
            </w:tcBorders>
            <w:vAlign w:val="center"/>
          </w:tcPr>
          <w:p w14:paraId="22FCAC03" w14:textId="77777777" w:rsidR="00950BE9" w:rsidRPr="00950BE9" w:rsidRDefault="00950BE9" w:rsidP="00950BE9">
            <w:pPr>
              <w:spacing w:line="360" w:lineRule="auto"/>
              <w:contextualSpacing/>
              <w:jc w:val="both"/>
              <w:rPr>
                <w:rFonts w:ascii="Arial" w:hAnsi="Arial" w:cs="Times New Roman"/>
                <w:color w:val="0070C0"/>
                <w:sz w:val="24"/>
              </w:rPr>
            </w:pPr>
            <w:r w:rsidRPr="00950BE9">
              <w:rPr>
                <w:rFonts w:ascii="Arial" w:eastAsia="Arial" w:hAnsi="Arial" w:cs="Arial"/>
                <w:color w:val="0070C0"/>
                <w:sz w:val="18"/>
              </w:rPr>
              <w:t xml:space="preserve">Demonstração dos Lucros ou Prejuízos Acumulados, com a indicação dos saldos do exercício anterior (Inciso II do art. 176 da Lei 6.404/76). </w:t>
            </w:r>
          </w:p>
        </w:tc>
        <w:tc>
          <w:tcPr>
            <w:tcW w:w="1508" w:type="dxa"/>
            <w:tcBorders>
              <w:top w:val="single" w:sz="4" w:space="0" w:color="000000"/>
              <w:left w:val="single" w:sz="4" w:space="0" w:color="000000"/>
              <w:bottom w:val="single" w:sz="4" w:space="0" w:color="000000"/>
              <w:right w:val="single" w:sz="4" w:space="0" w:color="000000"/>
            </w:tcBorders>
            <w:vAlign w:val="center"/>
          </w:tcPr>
          <w:p w14:paraId="525FC196" w14:textId="77777777" w:rsidR="00950BE9" w:rsidRPr="00D02C92" w:rsidRDefault="00950BE9" w:rsidP="00950BE9">
            <w:pPr>
              <w:spacing w:line="360" w:lineRule="auto"/>
              <w:ind w:right="102"/>
              <w:contextualSpacing/>
              <w:jc w:val="center"/>
              <w:rPr>
                <w:rFonts w:ascii="Arial" w:hAnsi="Arial" w:cs="Times New Roman"/>
                <w:color w:val="0070C0"/>
                <w:sz w:val="14"/>
                <w:szCs w:val="14"/>
              </w:rPr>
            </w:pPr>
            <w:r w:rsidRPr="00D02C92">
              <w:rPr>
                <w:rFonts w:ascii="Arial" w:eastAsia="Arial" w:hAnsi="Arial" w:cs="Arial"/>
                <w:color w:val="0070C0"/>
                <w:sz w:val="14"/>
                <w:szCs w:val="14"/>
              </w:rPr>
              <w:t xml:space="preserve">PDF </w:t>
            </w:r>
          </w:p>
        </w:tc>
      </w:tr>
      <w:tr w:rsidR="00950BE9" w:rsidRPr="00950BE9" w14:paraId="40362482" w14:textId="77777777" w:rsidTr="002F3756">
        <w:tblPrEx>
          <w:tblCellMar>
            <w:top w:w="39" w:type="dxa"/>
            <w:right w:w="10" w:type="dxa"/>
          </w:tblCellMar>
        </w:tblPrEx>
        <w:trPr>
          <w:cantSplit/>
        </w:trPr>
        <w:tc>
          <w:tcPr>
            <w:tcW w:w="1173" w:type="dxa"/>
            <w:tcBorders>
              <w:top w:val="single" w:sz="4" w:space="0" w:color="000000"/>
              <w:left w:val="single" w:sz="4" w:space="0" w:color="000000"/>
              <w:bottom w:val="single" w:sz="4" w:space="0" w:color="000000"/>
              <w:right w:val="single" w:sz="4" w:space="0" w:color="000000"/>
            </w:tcBorders>
            <w:vAlign w:val="center"/>
          </w:tcPr>
          <w:p w14:paraId="12FE7C76" w14:textId="77777777" w:rsidR="00950BE9" w:rsidRPr="00950BE9" w:rsidRDefault="00950BE9" w:rsidP="00950BE9">
            <w:pPr>
              <w:spacing w:line="360" w:lineRule="auto"/>
              <w:ind w:right="103"/>
              <w:contextualSpacing/>
              <w:jc w:val="center"/>
              <w:rPr>
                <w:rFonts w:ascii="Arial" w:hAnsi="Arial" w:cs="Times New Roman"/>
                <w:color w:val="0070C0"/>
                <w:sz w:val="24"/>
              </w:rPr>
            </w:pPr>
            <w:r w:rsidRPr="00950BE9">
              <w:rPr>
                <w:rFonts w:ascii="Arial" w:eastAsia="Arial" w:hAnsi="Arial" w:cs="Arial"/>
                <w:color w:val="0070C0"/>
                <w:sz w:val="18"/>
              </w:rPr>
              <w:t xml:space="preserve">DEMRES </w:t>
            </w:r>
          </w:p>
        </w:tc>
        <w:tc>
          <w:tcPr>
            <w:tcW w:w="6386" w:type="dxa"/>
            <w:tcBorders>
              <w:top w:val="single" w:sz="4" w:space="0" w:color="000000"/>
              <w:left w:val="single" w:sz="4" w:space="0" w:color="000000"/>
              <w:bottom w:val="single" w:sz="4" w:space="0" w:color="000000"/>
              <w:right w:val="single" w:sz="4" w:space="0" w:color="000000"/>
            </w:tcBorders>
            <w:vAlign w:val="center"/>
          </w:tcPr>
          <w:p w14:paraId="47F96461" w14:textId="77777777" w:rsidR="00950BE9" w:rsidRPr="00950BE9" w:rsidRDefault="00950BE9" w:rsidP="00950BE9">
            <w:pPr>
              <w:spacing w:line="360" w:lineRule="auto"/>
              <w:contextualSpacing/>
              <w:jc w:val="both"/>
              <w:rPr>
                <w:rFonts w:ascii="Arial" w:hAnsi="Arial" w:cs="Times New Roman"/>
                <w:color w:val="0070C0"/>
                <w:sz w:val="24"/>
              </w:rPr>
            </w:pPr>
            <w:r w:rsidRPr="00950BE9">
              <w:rPr>
                <w:rFonts w:ascii="Arial" w:eastAsia="Arial" w:hAnsi="Arial" w:cs="Arial"/>
                <w:color w:val="0070C0"/>
                <w:sz w:val="18"/>
              </w:rPr>
              <w:t xml:space="preserve">Demonstração do Resultado do Exercício, com a indicação dos saldos do exercício anterior (Inciso III do art. 176 da Lei 6.404/76).  </w:t>
            </w:r>
          </w:p>
        </w:tc>
        <w:tc>
          <w:tcPr>
            <w:tcW w:w="1508" w:type="dxa"/>
            <w:tcBorders>
              <w:top w:val="single" w:sz="4" w:space="0" w:color="000000"/>
              <w:left w:val="single" w:sz="4" w:space="0" w:color="000000"/>
              <w:bottom w:val="single" w:sz="4" w:space="0" w:color="000000"/>
              <w:right w:val="single" w:sz="4" w:space="0" w:color="000000"/>
            </w:tcBorders>
            <w:vAlign w:val="center"/>
          </w:tcPr>
          <w:p w14:paraId="458CA8D7" w14:textId="77777777" w:rsidR="00950BE9" w:rsidRPr="00D02C92" w:rsidRDefault="00950BE9" w:rsidP="00950BE9">
            <w:pPr>
              <w:spacing w:line="360" w:lineRule="auto"/>
              <w:ind w:right="102"/>
              <w:contextualSpacing/>
              <w:jc w:val="center"/>
              <w:rPr>
                <w:rFonts w:ascii="Arial" w:hAnsi="Arial" w:cs="Times New Roman"/>
                <w:color w:val="0070C0"/>
                <w:sz w:val="14"/>
                <w:szCs w:val="14"/>
              </w:rPr>
            </w:pPr>
            <w:r w:rsidRPr="00D02C92">
              <w:rPr>
                <w:rFonts w:ascii="Arial" w:eastAsia="Arial" w:hAnsi="Arial" w:cs="Arial"/>
                <w:color w:val="0070C0"/>
                <w:sz w:val="14"/>
                <w:szCs w:val="14"/>
              </w:rPr>
              <w:t xml:space="preserve">PDF </w:t>
            </w:r>
          </w:p>
        </w:tc>
      </w:tr>
      <w:tr w:rsidR="00950BE9" w:rsidRPr="00950BE9" w14:paraId="5ECC3A09" w14:textId="77777777" w:rsidTr="002F3756">
        <w:tblPrEx>
          <w:tblCellMar>
            <w:top w:w="39" w:type="dxa"/>
            <w:right w:w="10" w:type="dxa"/>
          </w:tblCellMar>
        </w:tblPrEx>
        <w:trPr>
          <w:cantSplit/>
        </w:trPr>
        <w:tc>
          <w:tcPr>
            <w:tcW w:w="1173" w:type="dxa"/>
            <w:tcBorders>
              <w:top w:val="single" w:sz="4" w:space="0" w:color="000000"/>
              <w:left w:val="single" w:sz="4" w:space="0" w:color="000000"/>
              <w:bottom w:val="single" w:sz="4" w:space="0" w:color="000000"/>
              <w:right w:val="single" w:sz="4" w:space="0" w:color="000000"/>
            </w:tcBorders>
            <w:vAlign w:val="center"/>
          </w:tcPr>
          <w:p w14:paraId="78237859" w14:textId="77777777" w:rsidR="00950BE9" w:rsidRPr="00950BE9" w:rsidRDefault="00950BE9" w:rsidP="00950BE9">
            <w:pPr>
              <w:spacing w:line="360" w:lineRule="auto"/>
              <w:ind w:right="104"/>
              <w:contextualSpacing/>
              <w:jc w:val="center"/>
              <w:rPr>
                <w:rFonts w:ascii="Arial" w:hAnsi="Arial" w:cs="Times New Roman"/>
                <w:color w:val="0070C0"/>
                <w:sz w:val="24"/>
              </w:rPr>
            </w:pPr>
            <w:r w:rsidRPr="00950BE9">
              <w:rPr>
                <w:rFonts w:ascii="Arial" w:eastAsia="Arial" w:hAnsi="Arial" w:cs="Arial"/>
                <w:color w:val="0070C0"/>
                <w:sz w:val="18"/>
              </w:rPr>
              <w:t xml:space="preserve">DEMUPL </w:t>
            </w:r>
          </w:p>
        </w:tc>
        <w:tc>
          <w:tcPr>
            <w:tcW w:w="6386" w:type="dxa"/>
            <w:tcBorders>
              <w:top w:val="single" w:sz="4" w:space="0" w:color="000000"/>
              <w:left w:val="single" w:sz="4" w:space="0" w:color="000000"/>
              <w:bottom w:val="single" w:sz="4" w:space="0" w:color="000000"/>
              <w:right w:val="single" w:sz="4" w:space="0" w:color="000000"/>
            </w:tcBorders>
            <w:vAlign w:val="center"/>
          </w:tcPr>
          <w:p w14:paraId="03CCE878" w14:textId="77777777" w:rsidR="00950BE9" w:rsidRPr="00950BE9" w:rsidRDefault="00950BE9" w:rsidP="00950BE9">
            <w:pPr>
              <w:spacing w:line="360" w:lineRule="auto"/>
              <w:ind w:right="101"/>
              <w:contextualSpacing/>
              <w:jc w:val="both"/>
              <w:rPr>
                <w:rFonts w:ascii="Arial" w:hAnsi="Arial" w:cs="Times New Roman"/>
                <w:color w:val="0070C0"/>
                <w:sz w:val="24"/>
              </w:rPr>
            </w:pPr>
            <w:r w:rsidRPr="00950BE9">
              <w:rPr>
                <w:rFonts w:ascii="Arial" w:eastAsia="Arial" w:hAnsi="Arial" w:cs="Arial"/>
                <w:color w:val="0070C0"/>
                <w:sz w:val="18"/>
              </w:rPr>
              <w:t xml:space="preserve">Demonstração das Mutações do Patrimônio Líquido, com a indicação dos saldos do exercício anterior, no caso de empresas em situação de “Estatal Dependente” ou “Fundações de Direito Privado” (Art. 3º da Resolução CFC 1437/13 e Resolução CFC nº 1.409/12 e item 22 da ITG 2002 – NBCT).  </w:t>
            </w:r>
          </w:p>
        </w:tc>
        <w:tc>
          <w:tcPr>
            <w:tcW w:w="1508" w:type="dxa"/>
            <w:tcBorders>
              <w:top w:val="single" w:sz="4" w:space="0" w:color="000000"/>
              <w:left w:val="single" w:sz="4" w:space="0" w:color="000000"/>
              <w:bottom w:val="single" w:sz="4" w:space="0" w:color="000000"/>
              <w:right w:val="single" w:sz="4" w:space="0" w:color="000000"/>
            </w:tcBorders>
            <w:vAlign w:val="center"/>
          </w:tcPr>
          <w:p w14:paraId="66FEFA11" w14:textId="77777777" w:rsidR="00950BE9" w:rsidRPr="00D02C92" w:rsidRDefault="00950BE9" w:rsidP="00950BE9">
            <w:pPr>
              <w:spacing w:line="360" w:lineRule="auto"/>
              <w:ind w:right="102"/>
              <w:contextualSpacing/>
              <w:jc w:val="center"/>
              <w:rPr>
                <w:rFonts w:ascii="Arial" w:hAnsi="Arial" w:cs="Times New Roman"/>
                <w:color w:val="0070C0"/>
                <w:sz w:val="14"/>
                <w:szCs w:val="14"/>
              </w:rPr>
            </w:pPr>
            <w:r w:rsidRPr="00D02C92">
              <w:rPr>
                <w:rFonts w:ascii="Arial" w:eastAsia="Arial" w:hAnsi="Arial" w:cs="Arial"/>
                <w:color w:val="0070C0"/>
                <w:sz w:val="14"/>
                <w:szCs w:val="14"/>
              </w:rPr>
              <w:t xml:space="preserve">PDF </w:t>
            </w:r>
          </w:p>
        </w:tc>
      </w:tr>
      <w:tr w:rsidR="00950BE9" w:rsidRPr="00950BE9" w14:paraId="450E5CED" w14:textId="77777777" w:rsidTr="002F3756">
        <w:tblPrEx>
          <w:tblCellMar>
            <w:top w:w="39" w:type="dxa"/>
            <w:right w:w="10" w:type="dxa"/>
          </w:tblCellMar>
        </w:tblPrEx>
        <w:trPr>
          <w:cantSplit/>
        </w:trPr>
        <w:tc>
          <w:tcPr>
            <w:tcW w:w="1173" w:type="dxa"/>
            <w:tcBorders>
              <w:top w:val="single" w:sz="4" w:space="0" w:color="000000"/>
              <w:left w:val="single" w:sz="4" w:space="0" w:color="000000"/>
              <w:bottom w:val="single" w:sz="4" w:space="0" w:color="000000"/>
              <w:right w:val="single" w:sz="4" w:space="0" w:color="000000"/>
            </w:tcBorders>
            <w:vAlign w:val="center"/>
          </w:tcPr>
          <w:p w14:paraId="5BDB5FA2" w14:textId="77777777" w:rsidR="00950BE9" w:rsidRPr="00950BE9" w:rsidRDefault="00950BE9" w:rsidP="00950BE9">
            <w:pPr>
              <w:spacing w:line="360" w:lineRule="auto"/>
              <w:contextualSpacing/>
              <w:jc w:val="center"/>
              <w:rPr>
                <w:rFonts w:ascii="Arial" w:hAnsi="Arial" w:cs="Times New Roman"/>
                <w:color w:val="0070C0"/>
                <w:sz w:val="24"/>
              </w:rPr>
            </w:pPr>
            <w:r w:rsidRPr="00950BE9">
              <w:rPr>
                <w:rFonts w:ascii="Arial" w:eastAsia="Arial" w:hAnsi="Arial" w:cs="Arial"/>
                <w:color w:val="0070C0"/>
                <w:sz w:val="18"/>
              </w:rPr>
              <w:t>DEMFCAPR</w:t>
            </w:r>
          </w:p>
        </w:tc>
        <w:tc>
          <w:tcPr>
            <w:tcW w:w="6386" w:type="dxa"/>
            <w:tcBorders>
              <w:top w:val="single" w:sz="4" w:space="0" w:color="000000"/>
              <w:left w:val="single" w:sz="4" w:space="0" w:color="000000"/>
              <w:bottom w:val="single" w:sz="4" w:space="0" w:color="000000"/>
              <w:right w:val="single" w:sz="4" w:space="0" w:color="000000"/>
            </w:tcBorders>
            <w:vAlign w:val="center"/>
          </w:tcPr>
          <w:p w14:paraId="09F0A711" w14:textId="77777777" w:rsidR="00950BE9" w:rsidRPr="00950BE9" w:rsidRDefault="00950BE9" w:rsidP="00950BE9">
            <w:pPr>
              <w:spacing w:after="120" w:line="239" w:lineRule="auto"/>
              <w:contextualSpacing/>
              <w:jc w:val="both"/>
              <w:rPr>
                <w:rFonts w:ascii="Arial" w:hAnsi="Arial" w:cs="Times New Roman"/>
                <w:color w:val="0070C0"/>
                <w:sz w:val="24"/>
              </w:rPr>
            </w:pPr>
            <w:r w:rsidRPr="00950BE9">
              <w:rPr>
                <w:rFonts w:ascii="Arial" w:eastAsia="Arial" w:hAnsi="Arial" w:cs="Arial"/>
                <w:color w:val="0070C0"/>
                <w:sz w:val="18"/>
              </w:rPr>
              <w:t xml:space="preserve">Demonstração dos Fluxos de Caixa, com a indicação dos saldos do exercício anterior (Inciso IV do art. 176 da Lei 6.404/76). </w:t>
            </w:r>
          </w:p>
        </w:tc>
        <w:tc>
          <w:tcPr>
            <w:tcW w:w="1508" w:type="dxa"/>
            <w:tcBorders>
              <w:top w:val="single" w:sz="4" w:space="0" w:color="000000"/>
              <w:left w:val="single" w:sz="4" w:space="0" w:color="000000"/>
              <w:bottom w:val="single" w:sz="4" w:space="0" w:color="000000"/>
              <w:right w:val="single" w:sz="4" w:space="0" w:color="000000"/>
            </w:tcBorders>
            <w:vAlign w:val="center"/>
          </w:tcPr>
          <w:p w14:paraId="7045E926" w14:textId="77777777" w:rsidR="00950BE9" w:rsidRPr="00D02C92" w:rsidRDefault="00950BE9" w:rsidP="00950BE9">
            <w:pPr>
              <w:spacing w:line="360" w:lineRule="auto"/>
              <w:ind w:right="102"/>
              <w:contextualSpacing/>
              <w:jc w:val="center"/>
              <w:rPr>
                <w:rFonts w:ascii="Arial" w:hAnsi="Arial" w:cs="Times New Roman"/>
                <w:color w:val="0070C0"/>
                <w:sz w:val="14"/>
                <w:szCs w:val="14"/>
              </w:rPr>
            </w:pPr>
            <w:r w:rsidRPr="00D02C92">
              <w:rPr>
                <w:rFonts w:ascii="Arial" w:eastAsia="Arial" w:hAnsi="Arial" w:cs="Arial"/>
                <w:color w:val="0070C0"/>
                <w:sz w:val="14"/>
                <w:szCs w:val="14"/>
              </w:rPr>
              <w:t xml:space="preserve">PDF </w:t>
            </w:r>
          </w:p>
        </w:tc>
      </w:tr>
      <w:tr w:rsidR="00950BE9" w:rsidRPr="00950BE9" w14:paraId="69863BE2" w14:textId="77777777" w:rsidTr="002F3756">
        <w:tblPrEx>
          <w:tblCellMar>
            <w:top w:w="39" w:type="dxa"/>
            <w:right w:w="60" w:type="dxa"/>
          </w:tblCellMar>
        </w:tblPrEx>
        <w:trPr>
          <w:cantSplit/>
        </w:trPr>
        <w:tc>
          <w:tcPr>
            <w:tcW w:w="1173" w:type="dxa"/>
            <w:tcBorders>
              <w:top w:val="single" w:sz="4" w:space="0" w:color="000000"/>
              <w:left w:val="single" w:sz="4" w:space="0" w:color="000000"/>
              <w:bottom w:val="single" w:sz="4" w:space="0" w:color="000000"/>
              <w:right w:val="single" w:sz="4" w:space="0" w:color="000000"/>
            </w:tcBorders>
            <w:vAlign w:val="center"/>
          </w:tcPr>
          <w:p w14:paraId="530FCF55" w14:textId="77777777" w:rsidR="00950BE9" w:rsidRPr="00950BE9" w:rsidRDefault="00950BE9" w:rsidP="00950BE9">
            <w:pPr>
              <w:spacing w:line="360" w:lineRule="auto"/>
              <w:ind w:right="52"/>
              <w:contextualSpacing/>
              <w:jc w:val="center"/>
              <w:rPr>
                <w:rFonts w:ascii="Arial" w:hAnsi="Arial" w:cs="Times New Roman"/>
                <w:color w:val="0070C0"/>
                <w:sz w:val="24"/>
              </w:rPr>
            </w:pPr>
            <w:r w:rsidRPr="00950BE9">
              <w:rPr>
                <w:rFonts w:ascii="Arial" w:eastAsia="Arial" w:hAnsi="Arial" w:cs="Arial"/>
                <w:color w:val="0070C0"/>
                <w:sz w:val="18"/>
              </w:rPr>
              <w:lastRenderedPageBreak/>
              <w:t xml:space="preserve">NEXDEM </w:t>
            </w:r>
          </w:p>
        </w:tc>
        <w:tc>
          <w:tcPr>
            <w:tcW w:w="6386" w:type="dxa"/>
            <w:tcBorders>
              <w:top w:val="single" w:sz="4" w:space="0" w:color="000000"/>
              <w:left w:val="single" w:sz="4" w:space="0" w:color="000000"/>
              <w:bottom w:val="single" w:sz="4" w:space="0" w:color="000000"/>
              <w:right w:val="single" w:sz="4" w:space="0" w:color="000000"/>
            </w:tcBorders>
            <w:vAlign w:val="center"/>
          </w:tcPr>
          <w:p w14:paraId="2091C48D" w14:textId="77777777" w:rsidR="00950BE9" w:rsidRPr="00950BE9" w:rsidRDefault="00950BE9" w:rsidP="00950BE9">
            <w:pPr>
              <w:spacing w:line="360" w:lineRule="auto"/>
              <w:contextualSpacing/>
              <w:jc w:val="both"/>
              <w:rPr>
                <w:rFonts w:ascii="Arial" w:hAnsi="Arial" w:cs="Times New Roman"/>
                <w:color w:val="0070C0"/>
                <w:sz w:val="24"/>
              </w:rPr>
            </w:pPr>
            <w:r w:rsidRPr="00950BE9">
              <w:rPr>
                <w:rFonts w:ascii="Arial" w:eastAsia="Arial" w:hAnsi="Arial" w:cs="Arial"/>
                <w:color w:val="0070C0"/>
                <w:sz w:val="18"/>
              </w:rPr>
              <w:t xml:space="preserve">Notas Explicativas às Demonstrações Financeiras, contendo as informações que couberem à situação da empresa (artigo 176, §§4º e 5º da Lei 6.404/76). </w:t>
            </w:r>
          </w:p>
        </w:tc>
        <w:tc>
          <w:tcPr>
            <w:tcW w:w="1508" w:type="dxa"/>
            <w:tcBorders>
              <w:top w:val="single" w:sz="4" w:space="0" w:color="000000"/>
              <w:left w:val="single" w:sz="4" w:space="0" w:color="000000"/>
              <w:bottom w:val="single" w:sz="4" w:space="0" w:color="000000"/>
              <w:right w:val="single" w:sz="4" w:space="0" w:color="000000"/>
            </w:tcBorders>
            <w:vAlign w:val="center"/>
          </w:tcPr>
          <w:p w14:paraId="132E1271" w14:textId="77777777" w:rsidR="00950BE9" w:rsidRPr="00D02C92" w:rsidRDefault="00950BE9" w:rsidP="00950BE9">
            <w:pPr>
              <w:spacing w:line="360" w:lineRule="auto"/>
              <w:ind w:right="52"/>
              <w:contextualSpacing/>
              <w:jc w:val="center"/>
              <w:rPr>
                <w:rFonts w:ascii="Arial" w:hAnsi="Arial" w:cs="Times New Roman"/>
                <w:color w:val="0070C0"/>
                <w:sz w:val="14"/>
                <w:szCs w:val="14"/>
              </w:rPr>
            </w:pPr>
            <w:r w:rsidRPr="00D02C92">
              <w:rPr>
                <w:rFonts w:ascii="Arial" w:eastAsia="Arial" w:hAnsi="Arial" w:cs="Arial"/>
                <w:color w:val="0070C0"/>
                <w:sz w:val="14"/>
                <w:szCs w:val="14"/>
              </w:rPr>
              <w:t xml:space="preserve">PDF </w:t>
            </w:r>
          </w:p>
        </w:tc>
      </w:tr>
      <w:tr w:rsidR="00950BE9" w:rsidRPr="00950BE9" w14:paraId="0DF5708F" w14:textId="77777777" w:rsidTr="002F3756">
        <w:tblPrEx>
          <w:tblCellMar>
            <w:top w:w="39" w:type="dxa"/>
            <w:right w:w="60" w:type="dxa"/>
          </w:tblCellMar>
        </w:tblPrEx>
        <w:trPr>
          <w:cantSplit/>
        </w:trPr>
        <w:tc>
          <w:tcPr>
            <w:tcW w:w="1173" w:type="dxa"/>
            <w:tcBorders>
              <w:top w:val="single" w:sz="4" w:space="0" w:color="000000"/>
              <w:left w:val="single" w:sz="4" w:space="0" w:color="000000"/>
              <w:bottom w:val="single" w:sz="4" w:space="0" w:color="000000"/>
              <w:right w:val="single" w:sz="4" w:space="0" w:color="000000"/>
            </w:tcBorders>
            <w:vAlign w:val="center"/>
          </w:tcPr>
          <w:p w14:paraId="5DB44E34" w14:textId="77777777" w:rsidR="00950BE9" w:rsidRPr="00950BE9" w:rsidRDefault="00950BE9" w:rsidP="00950BE9">
            <w:pPr>
              <w:spacing w:line="360" w:lineRule="auto"/>
              <w:contextualSpacing/>
              <w:jc w:val="center"/>
              <w:rPr>
                <w:rFonts w:ascii="Arial" w:hAnsi="Arial" w:cs="Times New Roman"/>
                <w:color w:val="0070C0"/>
                <w:sz w:val="24"/>
              </w:rPr>
            </w:pPr>
            <w:r w:rsidRPr="00950BE9">
              <w:rPr>
                <w:rFonts w:ascii="Arial" w:eastAsia="Arial" w:hAnsi="Arial" w:cs="Arial"/>
                <w:color w:val="0070C0"/>
                <w:sz w:val="18"/>
              </w:rPr>
              <w:t>AGOCON</w:t>
            </w:r>
          </w:p>
        </w:tc>
        <w:tc>
          <w:tcPr>
            <w:tcW w:w="6386" w:type="dxa"/>
            <w:tcBorders>
              <w:top w:val="single" w:sz="4" w:space="0" w:color="000000"/>
              <w:left w:val="single" w:sz="4" w:space="0" w:color="000000"/>
              <w:bottom w:val="single" w:sz="4" w:space="0" w:color="000000"/>
              <w:right w:val="single" w:sz="4" w:space="0" w:color="000000"/>
            </w:tcBorders>
            <w:vAlign w:val="center"/>
          </w:tcPr>
          <w:p w14:paraId="6928F974" w14:textId="77777777" w:rsidR="00950BE9" w:rsidRPr="00950BE9" w:rsidRDefault="00950BE9" w:rsidP="00950BE9">
            <w:pPr>
              <w:spacing w:after="122" w:line="239" w:lineRule="auto"/>
              <w:ind w:right="55"/>
              <w:contextualSpacing/>
              <w:jc w:val="both"/>
              <w:rPr>
                <w:rFonts w:ascii="Arial" w:hAnsi="Arial" w:cs="Times New Roman"/>
                <w:color w:val="0070C0"/>
                <w:sz w:val="24"/>
              </w:rPr>
            </w:pPr>
            <w:r w:rsidRPr="00950BE9">
              <w:rPr>
                <w:rFonts w:ascii="Arial" w:eastAsia="Arial" w:hAnsi="Arial" w:cs="Arial"/>
                <w:color w:val="0070C0"/>
                <w:sz w:val="18"/>
              </w:rPr>
              <w:t>Ata da Assembleia Geral Ordinária (AGO) ou Ata de reunião do órgão equivalente do FUNDO que deliberou sobre as contas dos administradores e votou as demonstrações financeiras do exercício (§5º do art. 134 da Lei 6404/76).</w:t>
            </w:r>
          </w:p>
        </w:tc>
        <w:tc>
          <w:tcPr>
            <w:tcW w:w="1508" w:type="dxa"/>
            <w:tcBorders>
              <w:top w:val="single" w:sz="4" w:space="0" w:color="000000"/>
              <w:left w:val="single" w:sz="4" w:space="0" w:color="000000"/>
              <w:bottom w:val="single" w:sz="4" w:space="0" w:color="000000"/>
              <w:right w:val="single" w:sz="4" w:space="0" w:color="000000"/>
            </w:tcBorders>
            <w:vAlign w:val="center"/>
          </w:tcPr>
          <w:p w14:paraId="63F6CBCD" w14:textId="77777777" w:rsidR="00950BE9" w:rsidRPr="00D02C92" w:rsidRDefault="00950BE9" w:rsidP="00950BE9">
            <w:pPr>
              <w:spacing w:line="360" w:lineRule="auto"/>
              <w:ind w:right="52"/>
              <w:contextualSpacing/>
              <w:jc w:val="center"/>
              <w:rPr>
                <w:rFonts w:ascii="Arial" w:hAnsi="Arial" w:cs="Times New Roman"/>
                <w:color w:val="0070C0"/>
                <w:sz w:val="14"/>
                <w:szCs w:val="14"/>
              </w:rPr>
            </w:pPr>
            <w:r w:rsidRPr="00D02C92">
              <w:rPr>
                <w:rFonts w:ascii="Arial" w:eastAsia="Arial" w:hAnsi="Arial" w:cs="Arial"/>
                <w:color w:val="0070C0"/>
                <w:sz w:val="14"/>
                <w:szCs w:val="14"/>
              </w:rPr>
              <w:t xml:space="preserve">PDF </w:t>
            </w:r>
          </w:p>
        </w:tc>
      </w:tr>
      <w:tr w:rsidR="00950BE9" w:rsidRPr="00950BE9" w14:paraId="5751B1E1" w14:textId="77777777" w:rsidTr="002F3756">
        <w:tblPrEx>
          <w:tblCellMar>
            <w:top w:w="39" w:type="dxa"/>
            <w:right w:w="60" w:type="dxa"/>
          </w:tblCellMar>
        </w:tblPrEx>
        <w:trPr>
          <w:cantSplit/>
        </w:trPr>
        <w:tc>
          <w:tcPr>
            <w:tcW w:w="1173" w:type="dxa"/>
            <w:tcBorders>
              <w:top w:val="single" w:sz="4" w:space="0" w:color="000000"/>
              <w:left w:val="single" w:sz="4" w:space="0" w:color="000000"/>
              <w:bottom w:val="single" w:sz="4" w:space="0" w:color="000000"/>
              <w:right w:val="single" w:sz="4" w:space="0" w:color="000000"/>
            </w:tcBorders>
            <w:vAlign w:val="center"/>
          </w:tcPr>
          <w:p w14:paraId="1BEBE5CF" w14:textId="77777777" w:rsidR="00950BE9" w:rsidRPr="00950BE9" w:rsidRDefault="00950BE9" w:rsidP="00950BE9">
            <w:pPr>
              <w:spacing w:line="360" w:lineRule="auto"/>
              <w:ind w:right="52"/>
              <w:contextualSpacing/>
              <w:jc w:val="center"/>
              <w:rPr>
                <w:rFonts w:ascii="Arial" w:hAnsi="Arial" w:cs="Times New Roman"/>
                <w:color w:val="0070C0"/>
                <w:sz w:val="24"/>
              </w:rPr>
            </w:pPr>
            <w:r w:rsidRPr="00950BE9">
              <w:rPr>
                <w:rFonts w:ascii="Arial" w:eastAsia="Arial" w:hAnsi="Arial" w:cs="Arial"/>
                <w:color w:val="0070C0"/>
                <w:sz w:val="18"/>
              </w:rPr>
              <w:t xml:space="preserve">PARAUD </w:t>
            </w:r>
          </w:p>
        </w:tc>
        <w:tc>
          <w:tcPr>
            <w:tcW w:w="6386" w:type="dxa"/>
            <w:tcBorders>
              <w:top w:val="single" w:sz="4" w:space="0" w:color="000000"/>
              <w:left w:val="single" w:sz="4" w:space="0" w:color="000000"/>
              <w:bottom w:val="single" w:sz="4" w:space="0" w:color="000000"/>
              <w:right w:val="single" w:sz="4" w:space="0" w:color="000000"/>
            </w:tcBorders>
            <w:vAlign w:val="center"/>
          </w:tcPr>
          <w:p w14:paraId="43DBF118" w14:textId="77777777" w:rsidR="00950BE9" w:rsidRPr="00950BE9" w:rsidRDefault="00950BE9" w:rsidP="00950BE9">
            <w:pPr>
              <w:spacing w:line="360" w:lineRule="auto"/>
              <w:ind w:right="53"/>
              <w:contextualSpacing/>
              <w:jc w:val="both"/>
              <w:rPr>
                <w:rFonts w:ascii="Arial" w:hAnsi="Arial" w:cs="Times New Roman"/>
                <w:color w:val="0070C0"/>
                <w:sz w:val="24"/>
              </w:rPr>
            </w:pPr>
            <w:r w:rsidRPr="00950BE9">
              <w:rPr>
                <w:rFonts w:ascii="Arial" w:eastAsia="Arial" w:hAnsi="Arial" w:cs="Arial"/>
                <w:color w:val="0070C0"/>
                <w:sz w:val="18"/>
              </w:rPr>
              <w:t xml:space="preserve">Parecer dos Auditores Independentes, se houver, sobre o relatório anual da Administração e o exame das demonstrações financeiras do exercício social (Inciso III do art. 133 da Lei 6.404/76).  </w:t>
            </w:r>
          </w:p>
        </w:tc>
        <w:tc>
          <w:tcPr>
            <w:tcW w:w="1508" w:type="dxa"/>
            <w:tcBorders>
              <w:top w:val="single" w:sz="4" w:space="0" w:color="000000"/>
              <w:left w:val="single" w:sz="4" w:space="0" w:color="000000"/>
              <w:bottom w:val="single" w:sz="4" w:space="0" w:color="000000"/>
              <w:right w:val="single" w:sz="4" w:space="0" w:color="000000"/>
            </w:tcBorders>
            <w:vAlign w:val="center"/>
          </w:tcPr>
          <w:p w14:paraId="67BCF6B7" w14:textId="77777777" w:rsidR="00950BE9" w:rsidRPr="00D02C92" w:rsidRDefault="00950BE9" w:rsidP="00950BE9">
            <w:pPr>
              <w:spacing w:line="360" w:lineRule="auto"/>
              <w:ind w:right="52"/>
              <w:contextualSpacing/>
              <w:jc w:val="center"/>
              <w:rPr>
                <w:rFonts w:ascii="Arial" w:hAnsi="Arial" w:cs="Times New Roman"/>
                <w:color w:val="0070C0"/>
                <w:sz w:val="14"/>
                <w:szCs w:val="14"/>
              </w:rPr>
            </w:pPr>
            <w:r w:rsidRPr="00D02C92">
              <w:rPr>
                <w:rFonts w:ascii="Arial" w:eastAsia="Arial" w:hAnsi="Arial" w:cs="Arial"/>
                <w:color w:val="0070C0"/>
                <w:sz w:val="14"/>
                <w:szCs w:val="14"/>
              </w:rPr>
              <w:t xml:space="preserve">PDF </w:t>
            </w:r>
          </w:p>
        </w:tc>
      </w:tr>
      <w:tr w:rsidR="00950BE9" w:rsidRPr="00950BE9" w14:paraId="5616792C" w14:textId="77777777" w:rsidTr="002F3756">
        <w:tblPrEx>
          <w:tblCellMar>
            <w:top w:w="39" w:type="dxa"/>
            <w:right w:w="60" w:type="dxa"/>
          </w:tblCellMar>
        </w:tblPrEx>
        <w:trPr>
          <w:cantSplit/>
        </w:trPr>
        <w:tc>
          <w:tcPr>
            <w:tcW w:w="1173" w:type="dxa"/>
            <w:tcBorders>
              <w:top w:val="single" w:sz="4" w:space="0" w:color="000000"/>
              <w:left w:val="single" w:sz="4" w:space="0" w:color="000000"/>
              <w:bottom w:val="single" w:sz="4" w:space="0" w:color="000000"/>
              <w:right w:val="single" w:sz="4" w:space="0" w:color="000000"/>
            </w:tcBorders>
            <w:vAlign w:val="center"/>
          </w:tcPr>
          <w:p w14:paraId="7421F80D" w14:textId="77777777" w:rsidR="00950BE9" w:rsidRPr="00950BE9" w:rsidRDefault="00950BE9" w:rsidP="00950BE9">
            <w:pPr>
              <w:spacing w:line="360" w:lineRule="auto"/>
              <w:ind w:right="50"/>
              <w:contextualSpacing/>
              <w:jc w:val="center"/>
              <w:rPr>
                <w:rFonts w:ascii="Arial" w:hAnsi="Arial" w:cs="Times New Roman"/>
                <w:color w:val="0070C0"/>
                <w:sz w:val="24"/>
              </w:rPr>
            </w:pPr>
            <w:r w:rsidRPr="00950BE9">
              <w:rPr>
                <w:rFonts w:ascii="Arial" w:eastAsia="Arial" w:hAnsi="Arial" w:cs="Arial"/>
                <w:color w:val="0070C0"/>
                <w:sz w:val="18"/>
              </w:rPr>
              <w:t xml:space="preserve">RELIND </w:t>
            </w:r>
          </w:p>
        </w:tc>
        <w:tc>
          <w:tcPr>
            <w:tcW w:w="6386" w:type="dxa"/>
            <w:tcBorders>
              <w:top w:val="single" w:sz="4" w:space="0" w:color="000000"/>
              <w:left w:val="single" w:sz="4" w:space="0" w:color="000000"/>
              <w:bottom w:val="single" w:sz="4" w:space="0" w:color="000000"/>
              <w:right w:val="single" w:sz="4" w:space="0" w:color="000000"/>
            </w:tcBorders>
            <w:vAlign w:val="center"/>
          </w:tcPr>
          <w:p w14:paraId="5635F977" w14:textId="77777777" w:rsidR="00950BE9" w:rsidRPr="00950BE9" w:rsidRDefault="00950BE9" w:rsidP="00950BE9">
            <w:pPr>
              <w:spacing w:line="360" w:lineRule="auto"/>
              <w:contextualSpacing/>
              <w:jc w:val="both"/>
              <w:rPr>
                <w:rFonts w:ascii="Arial" w:hAnsi="Arial" w:cs="Times New Roman"/>
                <w:color w:val="0070C0"/>
                <w:sz w:val="24"/>
              </w:rPr>
            </w:pPr>
            <w:r w:rsidRPr="00950BE9">
              <w:rPr>
                <w:rFonts w:ascii="Arial" w:eastAsia="Arial" w:hAnsi="Arial" w:cs="Arial"/>
                <w:color w:val="0070C0"/>
                <w:sz w:val="18"/>
              </w:rPr>
              <w:t xml:space="preserve">Relatório Circunstanciado da Auditoria Independente, se houver contrato para este serviço no exercício.  </w:t>
            </w:r>
          </w:p>
        </w:tc>
        <w:tc>
          <w:tcPr>
            <w:tcW w:w="1508" w:type="dxa"/>
            <w:tcBorders>
              <w:top w:val="single" w:sz="4" w:space="0" w:color="000000"/>
              <w:left w:val="single" w:sz="4" w:space="0" w:color="000000"/>
              <w:bottom w:val="single" w:sz="4" w:space="0" w:color="000000"/>
              <w:right w:val="single" w:sz="4" w:space="0" w:color="000000"/>
            </w:tcBorders>
            <w:vAlign w:val="center"/>
          </w:tcPr>
          <w:p w14:paraId="6FB0360D" w14:textId="77777777" w:rsidR="00950BE9" w:rsidRPr="00D02C92" w:rsidRDefault="00950BE9" w:rsidP="00950BE9">
            <w:pPr>
              <w:spacing w:line="360" w:lineRule="auto"/>
              <w:ind w:right="52"/>
              <w:contextualSpacing/>
              <w:jc w:val="center"/>
              <w:rPr>
                <w:rFonts w:ascii="Arial" w:hAnsi="Arial" w:cs="Times New Roman"/>
                <w:color w:val="0070C0"/>
                <w:sz w:val="14"/>
                <w:szCs w:val="14"/>
              </w:rPr>
            </w:pPr>
            <w:r w:rsidRPr="00D02C92">
              <w:rPr>
                <w:rFonts w:ascii="Arial" w:eastAsia="Arial" w:hAnsi="Arial" w:cs="Arial"/>
                <w:color w:val="0070C0"/>
                <w:sz w:val="14"/>
                <w:szCs w:val="14"/>
              </w:rPr>
              <w:t xml:space="preserve">PDF </w:t>
            </w:r>
          </w:p>
        </w:tc>
      </w:tr>
      <w:tr w:rsidR="00950BE9" w:rsidRPr="00950BE9" w14:paraId="1A9DEB9F" w14:textId="77777777" w:rsidTr="002F3756">
        <w:tblPrEx>
          <w:tblCellMar>
            <w:top w:w="39" w:type="dxa"/>
            <w:right w:w="60" w:type="dxa"/>
          </w:tblCellMar>
        </w:tblPrEx>
        <w:trPr>
          <w:cantSplit/>
        </w:trPr>
        <w:tc>
          <w:tcPr>
            <w:tcW w:w="1173" w:type="dxa"/>
            <w:tcBorders>
              <w:top w:val="single" w:sz="4" w:space="0" w:color="000000"/>
              <w:left w:val="single" w:sz="4" w:space="0" w:color="000000"/>
              <w:bottom w:val="single" w:sz="4" w:space="0" w:color="000000"/>
              <w:right w:val="single" w:sz="4" w:space="0" w:color="000000"/>
            </w:tcBorders>
            <w:vAlign w:val="center"/>
          </w:tcPr>
          <w:p w14:paraId="37336EEB" w14:textId="77777777" w:rsidR="00950BE9" w:rsidRPr="00950BE9" w:rsidRDefault="00950BE9" w:rsidP="00950BE9">
            <w:pPr>
              <w:spacing w:line="360" w:lineRule="auto"/>
              <w:ind w:right="52"/>
              <w:contextualSpacing/>
              <w:jc w:val="center"/>
              <w:rPr>
                <w:rFonts w:ascii="Arial" w:eastAsia="Arial" w:hAnsi="Arial" w:cs="Arial"/>
                <w:color w:val="0070C0"/>
                <w:sz w:val="18"/>
              </w:rPr>
            </w:pPr>
            <w:r w:rsidRPr="00950BE9">
              <w:rPr>
                <w:rFonts w:ascii="Arial" w:eastAsia="Arial" w:hAnsi="Arial" w:cs="Arial"/>
                <w:color w:val="0070C0"/>
                <w:sz w:val="18"/>
              </w:rPr>
              <w:t xml:space="preserve">PARCOF </w:t>
            </w:r>
          </w:p>
        </w:tc>
        <w:tc>
          <w:tcPr>
            <w:tcW w:w="6386" w:type="dxa"/>
            <w:tcBorders>
              <w:top w:val="single" w:sz="4" w:space="0" w:color="000000"/>
              <w:left w:val="single" w:sz="4" w:space="0" w:color="000000"/>
              <w:bottom w:val="single" w:sz="4" w:space="0" w:color="000000"/>
              <w:right w:val="single" w:sz="4" w:space="0" w:color="000000"/>
            </w:tcBorders>
            <w:vAlign w:val="center"/>
          </w:tcPr>
          <w:p w14:paraId="4B32F05B" w14:textId="77777777" w:rsidR="00950BE9" w:rsidRPr="00950BE9" w:rsidRDefault="00950BE9" w:rsidP="00950BE9">
            <w:pPr>
              <w:spacing w:line="360" w:lineRule="auto"/>
              <w:ind w:right="52"/>
              <w:contextualSpacing/>
              <w:jc w:val="both"/>
              <w:rPr>
                <w:rFonts w:ascii="Arial" w:eastAsia="Arial" w:hAnsi="Arial" w:cs="Arial"/>
                <w:color w:val="0070C0"/>
                <w:sz w:val="18"/>
              </w:rPr>
            </w:pPr>
            <w:r w:rsidRPr="00950BE9">
              <w:rPr>
                <w:rFonts w:ascii="Arial" w:eastAsia="Arial" w:hAnsi="Arial" w:cs="Arial"/>
                <w:color w:val="0070C0"/>
                <w:sz w:val="18"/>
              </w:rPr>
              <w:t xml:space="preserve">Parecer do Conselho Fiscal ou órgão equivalente, caso esteja constituído, sobre o Relatório Anual da Administração e o exame das Demonstrações Financeiras do FUNDO relativas ao exercício social (Inciso IV do artigo 133 e art. 240 da Lei 6.404/76 ou legislação específica do FUNDO).  </w:t>
            </w:r>
          </w:p>
        </w:tc>
        <w:tc>
          <w:tcPr>
            <w:tcW w:w="1508" w:type="dxa"/>
            <w:tcBorders>
              <w:top w:val="single" w:sz="4" w:space="0" w:color="000000"/>
              <w:left w:val="single" w:sz="4" w:space="0" w:color="000000"/>
              <w:bottom w:val="single" w:sz="4" w:space="0" w:color="000000"/>
              <w:right w:val="single" w:sz="4" w:space="0" w:color="000000"/>
            </w:tcBorders>
            <w:vAlign w:val="center"/>
          </w:tcPr>
          <w:p w14:paraId="7C3BBBBB" w14:textId="77777777" w:rsidR="00950BE9" w:rsidRPr="00D02C92" w:rsidRDefault="00950BE9" w:rsidP="00950BE9">
            <w:pPr>
              <w:spacing w:line="360" w:lineRule="auto"/>
              <w:ind w:right="52"/>
              <w:contextualSpacing/>
              <w:jc w:val="center"/>
              <w:rPr>
                <w:rFonts w:ascii="Arial" w:eastAsia="Arial" w:hAnsi="Arial" w:cs="Arial"/>
                <w:color w:val="0070C0"/>
                <w:sz w:val="14"/>
                <w:szCs w:val="14"/>
              </w:rPr>
            </w:pPr>
            <w:r w:rsidRPr="00D02C92">
              <w:rPr>
                <w:rFonts w:ascii="Arial" w:eastAsia="Arial" w:hAnsi="Arial" w:cs="Arial"/>
                <w:color w:val="0070C0"/>
                <w:sz w:val="14"/>
                <w:szCs w:val="14"/>
              </w:rPr>
              <w:t xml:space="preserve">PDF </w:t>
            </w:r>
          </w:p>
        </w:tc>
      </w:tr>
      <w:tr w:rsidR="00950BE9" w:rsidRPr="00950BE9" w14:paraId="1CFFAD69" w14:textId="77777777" w:rsidTr="002F3756">
        <w:tblPrEx>
          <w:tblCellMar>
            <w:top w:w="39" w:type="dxa"/>
            <w:right w:w="60" w:type="dxa"/>
          </w:tblCellMar>
        </w:tblPrEx>
        <w:trPr>
          <w:cantSplit/>
        </w:trPr>
        <w:tc>
          <w:tcPr>
            <w:tcW w:w="1173" w:type="dxa"/>
            <w:tcBorders>
              <w:top w:val="single" w:sz="4" w:space="0" w:color="000000"/>
              <w:left w:val="single" w:sz="4" w:space="0" w:color="000000"/>
              <w:bottom w:val="single" w:sz="4" w:space="0" w:color="000000"/>
              <w:right w:val="single" w:sz="4" w:space="0" w:color="000000"/>
            </w:tcBorders>
            <w:vAlign w:val="center"/>
          </w:tcPr>
          <w:p w14:paraId="376501D0" w14:textId="77777777" w:rsidR="00950BE9" w:rsidRPr="00950BE9" w:rsidRDefault="00950BE9" w:rsidP="00950BE9">
            <w:pPr>
              <w:spacing w:line="360" w:lineRule="auto"/>
              <w:ind w:right="52"/>
              <w:contextualSpacing/>
              <w:jc w:val="center"/>
              <w:rPr>
                <w:rFonts w:ascii="Arial" w:eastAsia="Arial" w:hAnsi="Arial" w:cs="Arial"/>
                <w:color w:val="0070C0"/>
                <w:sz w:val="18"/>
              </w:rPr>
            </w:pPr>
            <w:r w:rsidRPr="00950BE9">
              <w:rPr>
                <w:rFonts w:ascii="Arial" w:eastAsia="Arial" w:hAnsi="Arial" w:cs="Arial"/>
                <w:color w:val="0070C0"/>
                <w:sz w:val="18"/>
              </w:rPr>
              <w:t xml:space="preserve">PARCAD </w:t>
            </w:r>
          </w:p>
        </w:tc>
        <w:tc>
          <w:tcPr>
            <w:tcW w:w="6386" w:type="dxa"/>
            <w:tcBorders>
              <w:top w:val="single" w:sz="4" w:space="0" w:color="000000"/>
              <w:left w:val="single" w:sz="4" w:space="0" w:color="000000"/>
              <w:bottom w:val="single" w:sz="4" w:space="0" w:color="000000"/>
              <w:right w:val="single" w:sz="4" w:space="0" w:color="000000"/>
            </w:tcBorders>
            <w:vAlign w:val="center"/>
          </w:tcPr>
          <w:p w14:paraId="3903543E" w14:textId="77777777" w:rsidR="00950BE9" w:rsidRPr="00950BE9" w:rsidRDefault="00950BE9" w:rsidP="00950BE9">
            <w:pPr>
              <w:spacing w:line="360" w:lineRule="auto"/>
              <w:ind w:right="52"/>
              <w:contextualSpacing/>
              <w:jc w:val="both"/>
              <w:rPr>
                <w:rFonts w:ascii="Arial" w:eastAsia="Arial" w:hAnsi="Arial" w:cs="Arial"/>
                <w:color w:val="0070C0"/>
                <w:sz w:val="18"/>
              </w:rPr>
            </w:pPr>
            <w:r w:rsidRPr="00950BE9">
              <w:rPr>
                <w:rFonts w:ascii="Arial" w:eastAsia="Arial" w:hAnsi="Arial" w:cs="Arial"/>
                <w:color w:val="0070C0"/>
                <w:sz w:val="18"/>
              </w:rPr>
              <w:t xml:space="preserve">Parecer do Conselho de Administração ou “Órgão Deliberativo” equivalente, se houver, sobre o Relatório Anual da Administração e o exame das Demonstrações Financeiras do FUNDO relativas ao exercício (§2º do artigo 138 e art. 239 da Lei 6.404/76 ou legislação específica do FUNDO).  </w:t>
            </w:r>
          </w:p>
        </w:tc>
        <w:tc>
          <w:tcPr>
            <w:tcW w:w="1508" w:type="dxa"/>
            <w:tcBorders>
              <w:top w:val="single" w:sz="4" w:space="0" w:color="000000"/>
              <w:left w:val="single" w:sz="4" w:space="0" w:color="000000"/>
              <w:bottom w:val="single" w:sz="4" w:space="0" w:color="000000"/>
              <w:right w:val="single" w:sz="4" w:space="0" w:color="000000"/>
            </w:tcBorders>
            <w:vAlign w:val="center"/>
          </w:tcPr>
          <w:p w14:paraId="4FC39388" w14:textId="77777777" w:rsidR="00950BE9" w:rsidRPr="00D02C92" w:rsidRDefault="00950BE9" w:rsidP="00950BE9">
            <w:pPr>
              <w:spacing w:line="360" w:lineRule="auto"/>
              <w:ind w:right="52"/>
              <w:contextualSpacing/>
              <w:jc w:val="center"/>
              <w:rPr>
                <w:rFonts w:ascii="Arial" w:eastAsia="Arial" w:hAnsi="Arial" w:cs="Arial"/>
                <w:color w:val="0070C0"/>
                <w:sz w:val="14"/>
                <w:szCs w:val="14"/>
              </w:rPr>
            </w:pPr>
            <w:r w:rsidRPr="00D02C92">
              <w:rPr>
                <w:rFonts w:ascii="Arial" w:eastAsia="Arial" w:hAnsi="Arial" w:cs="Arial"/>
                <w:color w:val="0070C0"/>
                <w:sz w:val="14"/>
                <w:szCs w:val="14"/>
              </w:rPr>
              <w:t xml:space="preserve">PDF </w:t>
            </w:r>
          </w:p>
        </w:tc>
      </w:tr>
      <w:tr w:rsidR="00950BE9" w:rsidRPr="00950BE9" w14:paraId="524C771C" w14:textId="77777777" w:rsidTr="002F3756">
        <w:tblPrEx>
          <w:tblCellMar>
            <w:top w:w="0" w:type="dxa"/>
            <w:bottom w:w="5" w:type="dxa"/>
            <w:right w:w="10" w:type="dxa"/>
          </w:tblCellMar>
        </w:tblPrEx>
        <w:trPr>
          <w:cantSplit/>
        </w:trPr>
        <w:tc>
          <w:tcPr>
            <w:tcW w:w="1173" w:type="dxa"/>
            <w:tcBorders>
              <w:top w:val="single" w:sz="4" w:space="0" w:color="000000"/>
              <w:left w:val="single" w:sz="4" w:space="0" w:color="000000"/>
              <w:bottom w:val="single" w:sz="4" w:space="0" w:color="000000"/>
              <w:right w:val="single" w:sz="4" w:space="0" w:color="000000"/>
            </w:tcBorders>
            <w:vAlign w:val="center"/>
          </w:tcPr>
          <w:p w14:paraId="17AC694B" w14:textId="77777777" w:rsidR="00950BE9" w:rsidRPr="00950BE9" w:rsidRDefault="00950BE9" w:rsidP="00950BE9">
            <w:pPr>
              <w:spacing w:line="360" w:lineRule="auto"/>
              <w:ind w:right="98"/>
              <w:contextualSpacing/>
              <w:jc w:val="center"/>
              <w:rPr>
                <w:rFonts w:ascii="Arial" w:hAnsi="Arial" w:cs="Times New Roman"/>
                <w:color w:val="0070C0"/>
                <w:sz w:val="24"/>
              </w:rPr>
            </w:pPr>
            <w:r w:rsidRPr="00950BE9">
              <w:rPr>
                <w:rFonts w:ascii="Arial" w:eastAsia="Arial" w:hAnsi="Arial" w:cs="Arial"/>
                <w:color w:val="0070C0"/>
                <w:sz w:val="18"/>
              </w:rPr>
              <w:t xml:space="preserve">PUBLRA </w:t>
            </w:r>
          </w:p>
        </w:tc>
        <w:tc>
          <w:tcPr>
            <w:tcW w:w="6386" w:type="dxa"/>
            <w:tcBorders>
              <w:top w:val="single" w:sz="4" w:space="0" w:color="000000"/>
              <w:left w:val="single" w:sz="4" w:space="0" w:color="000000"/>
              <w:bottom w:val="single" w:sz="4" w:space="0" w:color="000000"/>
              <w:right w:val="single" w:sz="4" w:space="0" w:color="000000"/>
            </w:tcBorders>
            <w:vAlign w:val="center"/>
          </w:tcPr>
          <w:p w14:paraId="4C50150C" w14:textId="77777777" w:rsidR="00950BE9" w:rsidRPr="00950BE9" w:rsidRDefault="00950BE9" w:rsidP="00950BE9">
            <w:pPr>
              <w:spacing w:after="103" w:line="360" w:lineRule="auto"/>
              <w:contextualSpacing/>
              <w:jc w:val="both"/>
              <w:rPr>
                <w:rFonts w:ascii="Arial" w:hAnsi="Arial" w:cs="Times New Roman"/>
                <w:color w:val="0070C0"/>
                <w:sz w:val="24"/>
              </w:rPr>
            </w:pPr>
            <w:r w:rsidRPr="00950BE9">
              <w:rPr>
                <w:rFonts w:ascii="Arial" w:eastAsia="Arial" w:hAnsi="Arial" w:cs="Arial"/>
                <w:color w:val="0070C0"/>
                <w:sz w:val="18"/>
              </w:rPr>
              <w:t xml:space="preserve">Cópia da publicação do Relatório da Administração, das Demonstrações Financeiras, Ata ou deliberação do órgão responsável pela aprovação das contas do FUNDO (Inciso I e II do art. 133 da Lei 6.404/76 c/c § 5º do art. 134 da lei 6.404/76 ou por exigência da legislação específica do FUNDO).  </w:t>
            </w:r>
          </w:p>
        </w:tc>
        <w:tc>
          <w:tcPr>
            <w:tcW w:w="1508" w:type="dxa"/>
            <w:tcBorders>
              <w:top w:val="single" w:sz="4" w:space="0" w:color="000000"/>
              <w:left w:val="single" w:sz="4" w:space="0" w:color="000000"/>
              <w:bottom w:val="single" w:sz="4" w:space="0" w:color="000000"/>
              <w:right w:val="single" w:sz="4" w:space="0" w:color="000000"/>
            </w:tcBorders>
            <w:vAlign w:val="center"/>
          </w:tcPr>
          <w:p w14:paraId="37444D0B" w14:textId="77777777" w:rsidR="00950BE9" w:rsidRPr="00D02C92" w:rsidRDefault="00950BE9" w:rsidP="00950BE9">
            <w:pPr>
              <w:spacing w:line="360" w:lineRule="auto"/>
              <w:ind w:right="102"/>
              <w:contextualSpacing/>
              <w:jc w:val="center"/>
              <w:rPr>
                <w:rFonts w:ascii="Arial" w:hAnsi="Arial" w:cs="Times New Roman"/>
                <w:color w:val="0070C0"/>
                <w:sz w:val="14"/>
                <w:szCs w:val="14"/>
              </w:rPr>
            </w:pPr>
            <w:r w:rsidRPr="00D02C92">
              <w:rPr>
                <w:rFonts w:ascii="Arial" w:eastAsia="Arial" w:hAnsi="Arial" w:cs="Arial"/>
                <w:color w:val="0070C0"/>
                <w:sz w:val="14"/>
                <w:szCs w:val="14"/>
              </w:rPr>
              <w:t xml:space="preserve">PDF </w:t>
            </w:r>
          </w:p>
        </w:tc>
      </w:tr>
      <w:tr w:rsidR="00950BE9" w:rsidRPr="00950BE9" w14:paraId="407ED9E3" w14:textId="77777777" w:rsidTr="002F3756">
        <w:tblPrEx>
          <w:tblCellMar>
            <w:top w:w="0" w:type="dxa"/>
            <w:bottom w:w="5" w:type="dxa"/>
            <w:right w:w="10" w:type="dxa"/>
          </w:tblCellMar>
        </w:tblPrEx>
        <w:trPr>
          <w:cantSplit/>
        </w:trPr>
        <w:tc>
          <w:tcPr>
            <w:tcW w:w="1173" w:type="dxa"/>
            <w:tcBorders>
              <w:top w:val="single" w:sz="4" w:space="0" w:color="000000"/>
              <w:left w:val="single" w:sz="4" w:space="0" w:color="000000"/>
              <w:bottom w:val="single" w:sz="4" w:space="0" w:color="000000"/>
              <w:right w:val="single" w:sz="4" w:space="0" w:color="000000"/>
            </w:tcBorders>
            <w:vAlign w:val="center"/>
          </w:tcPr>
          <w:p w14:paraId="5A825E63" w14:textId="77777777" w:rsidR="00950BE9" w:rsidRPr="00950BE9" w:rsidRDefault="00950BE9" w:rsidP="00950BE9">
            <w:pPr>
              <w:spacing w:line="360" w:lineRule="auto"/>
              <w:ind w:right="98"/>
              <w:contextualSpacing/>
              <w:jc w:val="center"/>
              <w:rPr>
                <w:rFonts w:ascii="Arial" w:eastAsia="Arial" w:hAnsi="Arial" w:cs="Arial"/>
                <w:color w:val="0070C0"/>
                <w:sz w:val="18"/>
              </w:rPr>
            </w:pPr>
            <w:r w:rsidRPr="00950BE9">
              <w:rPr>
                <w:rFonts w:ascii="Arial" w:eastAsia="Arial" w:hAnsi="Arial" w:cs="Arial"/>
                <w:color w:val="0070C0"/>
                <w:sz w:val="18"/>
              </w:rPr>
              <w:t>INVMOVS</w:t>
            </w:r>
          </w:p>
        </w:tc>
        <w:tc>
          <w:tcPr>
            <w:tcW w:w="6386" w:type="dxa"/>
            <w:tcBorders>
              <w:top w:val="single" w:sz="4" w:space="0" w:color="000000"/>
              <w:left w:val="single" w:sz="4" w:space="0" w:color="000000"/>
              <w:bottom w:val="single" w:sz="4" w:space="0" w:color="000000"/>
              <w:right w:val="single" w:sz="4" w:space="0" w:color="000000"/>
            </w:tcBorders>
            <w:vAlign w:val="bottom"/>
          </w:tcPr>
          <w:p w14:paraId="566BE769" w14:textId="77777777" w:rsidR="00950BE9" w:rsidRPr="00950BE9" w:rsidRDefault="00950BE9" w:rsidP="00950BE9">
            <w:pPr>
              <w:spacing w:line="360" w:lineRule="auto"/>
              <w:contextualSpacing/>
              <w:jc w:val="both"/>
              <w:rPr>
                <w:rFonts w:ascii="Arial" w:hAnsi="Arial" w:cs="Times New Roman"/>
                <w:color w:val="0070C0"/>
                <w:sz w:val="24"/>
              </w:rPr>
            </w:pPr>
            <w:r w:rsidRPr="00950BE9">
              <w:rPr>
                <w:rFonts w:ascii="Arial" w:eastAsia="Arial" w:hAnsi="Arial" w:cs="Arial"/>
                <w:color w:val="0070C0"/>
                <w:sz w:val="18"/>
              </w:rPr>
              <w:t xml:space="preserve">Inventário anual dos bens móveis, caso o fundo mantenha bens móveis contabilizados, contendo no mínimo as seguintes informações:  </w:t>
            </w:r>
          </w:p>
          <w:p w14:paraId="0499931F" w14:textId="77777777" w:rsidR="00950BE9" w:rsidRPr="00950BE9" w:rsidRDefault="00950BE9" w:rsidP="006F0FB6">
            <w:pPr>
              <w:numPr>
                <w:ilvl w:val="0"/>
                <w:numId w:val="46"/>
              </w:numPr>
              <w:contextualSpacing/>
              <w:jc w:val="both"/>
              <w:rPr>
                <w:rFonts w:ascii="Arial" w:hAnsi="Arial" w:cs="Times New Roman"/>
                <w:color w:val="0070C0"/>
                <w:sz w:val="24"/>
              </w:rPr>
            </w:pPr>
            <w:r w:rsidRPr="00950BE9">
              <w:rPr>
                <w:rFonts w:ascii="Arial" w:eastAsia="Arial" w:hAnsi="Arial" w:cs="Arial"/>
                <w:color w:val="0070C0"/>
                <w:sz w:val="18"/>
              </w:rPr>
              <w:t xml:space="preserve">Número de patrimônio  </w:t>
            </w:r>
          </w:p>
          <w:p w14:paraId="12ADB5ED" w14:textId="77777777" w:rsidR="00950BE9" w:rsidRPr="00950BE9" w:rsidRDefault="00950BE9" w:rsidP="006F0FB6">
            <w:pPr>
              <w:numPr>
                <w:ilvl w:val="0"/>
                <w:numId w:val="46"/>
              </w:numPr>
              <w:contextualSpacing/>
              <w:jc w:val="both"/>
              <w:rPr>
                <w:rFonts w:ascii="Arial" w:hAnsi="Arial" w:cs="Times New Roman"/>
                <w:color w:val="0070C0"/>
                <w:sz w:val="24"/>
              </w:rPr>
            </w:pPr>
            <w:r w:rsidRPr="00950BE9">
              <w:rPr>
                <w:rFonts w:ascii="Arial" w:eastAsia="Arial" w:hAnsi="Arial" w:cs="Arial"/>
                <w:color w:val="0070C0"/>
                <w:sz w:val="18"/>
              </w:rPr>
              <w:t xml:space="preserve">Descrição do bem  </w:t>
            </w:r>
          </w:p>
          <w:p w14:paraId="2D28F846" w14:textId="77777777" w:rsidR="00950BE9" w:rsidRPr="00950BE9" w:rsidRDefault="00950BE9" w:rsidP="006F0FB6">
            <w:pPr>
              <w:numPr>
                <w:ilvl w:val="0"/>
                <w:numId w:val="46"/>
              </w:numPr>
              <w:contextualSpacing/>
              <w:jc w:val="both"/>
              <w:rPr>
                <w:rFonts w:ascii="Arial" w:hAnsi="Arial" w:cs="Times New Roman"/>
                <w:color w:val="0070C0"/>
                <w:sz w:val="24"/>
              </w:rPr>
            </w:pPr>
            <w:r w:rsidRPr="00950BE9">
              <w:rPr>
                <w:rFonts w:ascii="Arial" w:eastAsia="Arial" w:hAnsi="Arial" w:cs="Arial"/>
                <w:color w:val="0070C0"/>
                <w:sz w:val="18"/>
              </w:rPr>
              <w:t xml:space="preserve">Data de aquisição/incorporação  </w:t>
            </w:r>
          </w:p>
          <w:p w14:paraId="17C97198" w14:textId="77777777" w:rsidR="00950BE9" w:rsidRPr="00950BE9" w:rsidRDefault="00950BE9" w:rsidP="006F0FB6">
            <w:pPr>
              <w:numPr>
                <w:ilvl w:val="0"/>
                <w:numId w:val="46"/>
              </w:numPr>
              <w:contextualSpacing/>
              <w:jc w:val="both"/>
              <w:rPr>
                <w:rFonts w:ascii="Arial" w:hAnsi="Arial" w:cs="Times New Roman"/>
                <w:color w:val="0070C0"/>
                <w:sz w:val="24"/>
              </w:rPr>
            </w:pPr>
            <w:r w:rsidRPr="00950BE9">
              <w:rPr>
                <w:rFonts w:ascii="Arial" w:eastAsia="Arial" w:hAnsi="Arial" w:cs="Arial"/>
                <w:color w:val="0070C0"/>
                <w:sz w:val="18"/>
              </w:rPr>
              <w:t xml:space="preserve">Localização  </w:t>
            </w:r>
          </w:p>
          <w:p w14:paraId="261797BB" w14:textId="77777777" w:rsidR="00950BE9" w:rsidRPr="00950BE9" w:rsidRDefault="00950BE9" w:rsidP="006F0FB6">
            <w:pPr>
              <w:numPr>
                <w:ilvl w:val="0"/>
                <w:numId w:val="46"/>
              </w:numPr>
              <w:contextualSpacing/>
              <w:jc w:val="both"/>
              <w:rPr>
                <w:rFonts w:ascii="Arial" w:hAnsi="Arial" w:cs="Times New Roman"/>
                <w:color w:val="0070C0"/>
                <w:sz w:val="24"/>
              </w:rPr>
            </w:pPr>
            <w:r w:rsidRPr="00950BE9">
              <w:rPr>
                <w:rFonts w:ascii="Arial" w:eastAsia="Arial" w:hAnsi="Arial" w:cs="Arial"/>
                <w:color w:val="0070C0"/>
                <w:sz w:val="18"/>
              </w:rPr>
              <w:t xml:space="preserve">Quantidade  </w:t>
            </w:r>
          </w:p>
          <w:p w14:paraId="7224ADA8" w14:textId="77777777" w:rsidR="00950BE9" w:rsidRPr="00950BE9" w:rsidRDefault="00950BE9" w:rsidP="006F0FB6">
            <w:pPr>
              <w:numPr>
                <w:ilvl w:val="0"/>
                <w:numId w:val="46"/>
              </w:numPr>
              <w:contextualSpacing/>
              <w:jc w:val="both"/>
              <w:rPr>
                <w:rFonts w:ascii="Arial" w:hAnsi="Arial" w:cs="Times New Roman"/>
                <w:color w:val="0070C0"/>
                <w:sz w:val="24"/>
              </w:rPr>
            </w:pPr>
            <w:r w:rsidRPr="00950BE9">
              <w:rPr>
                <w:rFonts w:ascii="Arial" w:eastAsia="Arial" w:hAnsi="Arial" w:cs="Arial"/>
                <w:color w:val="0070C0"/>
                <w:sz w:val="18"/>
              </w:rPr>
              <w:t>Valor</w:t>
            </w:r>
            <w:r w:rsidRPr="00950BE9">
              <w:rPr>
                <w:rFonts w:ascii="Arial" w:hAnsi="Arial" w:cs="Times New Roman"/>
                <w:color w:val="0070C0"/>
                <w:sz w:val="18"/>
              </w:rPr>
              <w:t xml:space="preserve"> </w:t>
            </w:r>
            <w:r w:rsidRPr="00950BE9">
              <w:rPr>
                <w:rFonts w:ascii="Arial" w:eastAsia="Arial" w:hAnsi="Arial" w:cs="Arial"/>
                <w:color w:val="0070C0"/>
                <w:sz w:val="18"/>
              </w:rPr>
              <w:t>histórico e atualizado.</w:t>
            </w:r>
            <w:r w:rsidRPr="00950BE9">
              <w:rPr>
                <w:rFonts w:ascii="Arial" w:hAnsi="Arial" w:cs="Times New Roman"/>
                <w:color w:val="0070C0"/>
                <w:sz w:val="18"/>
              </w:rPr>
              <w:t xml:space="preserve"> </w:t>
            </w:r>
          </w:p>
          <w:p w14:paraId="0427063D" w14:textId="77777777" w:rsidR="00950BE9" w:rsidRPr="00950BE9" w:rsidRDefault="00950BE9" w:rsidP="00950BE9">
            <w:pPr>
              <w:spacing w:line="360" w:lineRule="auto"/>
              <w:contextualSpacing/>
              <w:jc w:val="both"/>
              <w:rPr>
                <w:rFonts w:ascii="Arial" w:hAnsi="Arial" w:cs="Times New Roman"/>
                <w:color w:val="0070C0"/>
                <w:sz w:val="24"/>
              </w:rPr>
            </w:pPr>
            <w:r w:rsidRPr="00950BE9">
              <w:rPr>
                <w:rFonts w:ascii="Arial" w:eastAsia="Arial" w:hAnsi="Arial" w:cs="Arial"/>
                <w:color w:val="0070C0"/>
                <w:sz w:val="18"/>
              </w:rPr>
              <w:t xml:space="preserve">Observações: </w:t>
            </w:r>
          </w:p>
          <w:p w14:paraId="6826FD8B" w14:textId="77777777" w:rsidR="00950BE9" w:rsidRPr="00950BE9" w:rsidRDefault="00950BE9" w:rsidP="006F0FB6">
            <w:pPr>
              <w:numPr>
                <w:ilvl w:val="0"/>
                <w:numId w:val="46"/>
              </w:numPr>
              <w:contextualSpacing/>
              <w:jc w:val="both"/>
              <w:rPr>
                <w:rFonts w:ascii="Arial" w:hAnsi="Arial" w:cs="Times New Roman"/>
                <w:color w:val="0070C0"/>
                <w:sz w:val="24"/>
              </w:rPr>
            </w:pPr>
            <w:r w:rsidRPr="00950BE9">
              <w:rPr>
                <w:rFonts w:ascii="Arial" w:eastAsia="Arial" w:hAnsi="Arial" w:cs="Arial"/>
                <w:color w:val="0070C0"/>
                <w:sz w:val="18"/>
              </w:rPr>
              <w:t>A coluna valor deve ser totalizada.</w:t>
            </w:r>
          </w:p>
        </w:tc>
        <w:tc>
          <w:tcPr>
            <w:tcW w:w="1508" w:type="dxa"/>
            <w:tcBorders>
              <w:top w:val="single" w:sz="4" w:space="0" w:color="000000"/>
              <w:left w:val="single" w:sz="4" w:space="0" w:color="000000"/>
              <w:bottom w:val="single" w:sz="4" w:space="0" w:color="000000"/>
              <w:right w:val="single" w:sz="4" w:space="0" w:color="000000"/>
            </w:tcBorders>
            <w:vAlign w:val="center"/>
          </w:tcPr>
          <w:p w14:paraId="3AD99DDB" w14:textId="63625CB9" w:rsidR="00950BE9" w:rsidRPr="00D02C92" w:rsidRDefault="00950BE9" w:rsidP="00485E6E">
            <w:pPr>
              <w:spacing w:line="241" w:lineRule="auto"/>
              <w:ind w:right="270"/>
              <w:contextualSpacing/>
              <w:jc w:val="center"/>
              <w:rPr>
                <w:rFonts w:ascii="Arial" w:hAnsi="Arial" w:cs="Times New Roman"/>
                <w:color w:val="0070C0"/>
                <w:sz w:val="14"/>
                <w:szCs w:val="14"/>
              </w:rPr>
            </w:pPr>
            <w:r w:rsidRPr="00D02C92">
              <w:rPr>
                <w:rFonts w:ascii="Arial" w:eastAsia="Arial" w:hAnsi="Arial" w:cs="Arial"/>
                <w:color w:val="0070C0"/>
                <w:sz w:val="14"/>
                <w:szCs w:val="14"/>
              </w:rPr>
              <w:t>PDF e</w:t>
            </w:r>
          </w:p>
          <w:p w14:paraId="4989A4AA" w14:textId="77777777" w:rsidR="00950BE9" w:rsidRPr="00D02C92" w:rsidRDefault="00950BE9" w:rsidP="00485E6E">
            <w:pPr>
              <w:spacing w:line="360" w:lineRule="auto"/>
              <w:contextualSpacing/>
              <w:jc w:val="center"/>
              <w:rPr>
                <w:rFonts w:ascii="Arial" w:hAnsi="Arial" w:cs="Times New Roman"/>
                <w:color w:val="0070C0"/>
                <w:sz w:val="14"/>
                <w:szCs w:val="14"/>
              </w:rPr>
            </w:pPr>
            <w:r w:rsidRPr="00D02C92">
              <w:rPr>
                <w:rFonts w:ascii="Arial" w:eastAsia="Arial" w:hAnsi="Arial" w:cs="Arial"/>
                <w:color w:val="0070C0"/>
                <w:sz w:val="14"/>
                <w:szCs w:val="14"/>
              </w:rPr>
              <w:t>XLS/XLSX/ ODS</w:t>
            </w:r>
          </w:p>
        </w:tc>
      </w:tr>
      <w:tr w:rsidR="00950BE9" w:rsidRPr="00950BE9" w14:paraId="6A883667" w14:textId="77777777" w:rsidTr="002F3756">
        <w:tblPrEx>
          <w:tblCellMar>
            <w:top w:w="38" w:type="dxa"/>
            <w:bottom w:w="5" w:type="dxa"/>
            <w:right w:w="58" w:type="dxa"/>
          </w:tblCellMar>
        </w:tblPrEx>
        <w:trPr>
          <w:cantSplit/>
        </w:trPr>
        <w:tc>
          <w:tcPr>
            <w:tcW w:w="1173" w:type="dxa"/>
            <w:tcBorders>
              <w:top w:val="single" w:sz="4" w:space="0" w:color="000000"/>
              <w:left w:val="single" w:sz="4" w:space="0" w:color="000000"/>
              <w:bottom w:val="single" w:sz="4" w:space="0" w:color="000000"/>
              <w:right w:val="single" w:sz="4" w:space="0" w:color="000000"/>
            </w:tcBorders>
            <w:vAlign w:val="center"/>
          </w:tcPr>
          <w:p w14:paraId="5D79A1EB" w14:textId="77777777" w:rsidR="00950BE9" w:rsidRPr="00950BE9" w:rsidRDefault="00950BE9" w:rsidP="00950BE9">
            <w:pPr>
              <w:spacing w:line="360" w:lineRule="auto"/>
              <w:ind w:right="55"/>
              <w:contextualSpacing/>
              <w:jc w:val="center"/>
              <w:rPr>
                <w:rFonts w:ascii="Arial" w:hAnsi="Arial" w:cs="Times New Roman"/>
                <w:color w:val="0070C0"/>
                <w:sz w:val="24"/>
              </w:rPr>
            </w:pPr>
            <w:r w:rsidRPr="00950BE9">
              <w:rPr>
                <w:rFonts w:ascii="Arial" w:eastAsia="Arial" w:hAnsi="Arial" w:cs="Arial"/>
                <w:color w:val="0070C0"/>
                <w:sz w:val="18"/>
              </w:rPr>
              <w:t xml:space="preserve">INVIMOS </w:t>
            </w:r>
          </w:p>
        </w:tc>
        <w:tc>
          <w:tcPr>
            <w:tcW w:w="6386" w:type="dxa"/>
            <w:tcBorders>
              <w:top w:val="single" w:sz="4" w:space="0" w:color="000000"/>
              <w:left w:val="single" w:sz="4" w:space="0" w:color="000000"/>
              <w:bottom w:val="single" w:sz="4" w:space="0" w:color="000000"/>
              <w:right w:val="single" w:sz="4" w:space="0" w:color="000000"/>
            </w:tcBorders>
            <w:vAlign w:val="bottom"/>
          </w:tcPr>
          <w:p w14:paraId="1E45A704" w14:textId="77777777" w:rsidR="00950BE9" w:rsidRPr="00950BE9" w:rsidRDefault="00950BE9" w:rsidP="00950BE9">
            <w:pPr>
              <w:spacing w:line="360" w:lineRule="auto"/>
              <w:contextualSpacing/>
              <w:jc w:val="both"/>
              <w:rPr>
                <w:rFonts w:ascii="Arial" w:hAnsi="Arial" w:cs="Times New Roman"/>
                <w:color w:val="0070C0"/>
                <w:sz w:val="24"/>
              </w:rPr>
            </w:pPr>
            <w:r w:rsidRPr="00950BE9">
              <w:rPr>
                <w:rFonts w:ascii="Arial" w:eastAsia="Arial" w:hAnsi="Arial" w:cs="Arial"/>
                <w:color w:val="0070C0"/>
                <w:sz w:val="18"/>
              </w:rPr>
              <w:t xml:space="preserve">Inventário anual dos bens imóveis de uso próprio ou não, caso o FUNDO mantenha bens imóveis contabilizados, contendo no mínimo as seguintes informações:  </w:t>
            </w:r>
          </w:p>
          <w:p w14:paraId="7124F47B" w14:textId="77777777" w:rsidR="00950BE9" w:rsidRPr="00950BE9" w:rsidRDefault="00950BE9" w:rsidP="006F0FB6">
            <w:pPr>
              <w:numPr>
                <w:ilvl w:val="0"/>
                <w:numId w:val="47"/>
              </w:numPr>
              <w:contextualSpacing/>
              <w:jc w:val="both"/>
              <w:rPr>
                <w:rFonts w:ascii="Arial" w:hAnsi="Arial" w:cs="Times New Roman"/>
                <w:color w:val="0070C0"/>
                <w:sz w:val="24"/>
              </w:rPr>
            </w:pPr>
            <w:r w:rsidRPr="00950BE9">
              <w:rPr>
                <w:rFonts w:ascii="Arial" w:eastAsia="Arial" w:hAnsi="Arial" w:cs="Arial"/>
                <w:color w:val="0070C0"/>
                <w:sz w:val="18"/>
              </w:rPr>
              <w:t xml:space="preserve">Relação dos imóveis que integram o patrimônio pessoa jurídica.  </w:t>
            </w:r>
          </w:p>
          <w:p w14:paraId="31C3FD15" w14:textId="77777777" w:rsidR="00950BE9" w:rsidRPr="00950BE9" w:rsidRDefault="00950BE9" w:rsidP="006F0FB6">
            <w:pPr>
              <w:numPr>
                <w:ilvl w:val="0"/>
                <w:numId w:val="47"/>
              </w:numPr>
              <w:contextualSpacing/>
              <w:jc w:val="both"/>
              <w:rPr>
                <w:rFonts w:ascii="Arial" w:hAnsi="Arial" w:cs="Times New Roman"/>
                <w:color w:val="0070C0"/>
                <w:sz w:val="24"/>
              </w:rPr>
            </w:pPr>
            <w:r w:rsidRPr="00950BE9">
              <w:rPr>
                <w:rFonts w:ascii="Arial" w:eastAsia="Arial" w:hAnsi="Arial" w:cs="Arial"/>
                <w:color w:val="0070C0"/>
                <w:sz w:val="18"/>
              </w:rPr>
              <w:t xml:space="preserve">Caracterização do imóvel (número de registro, conforme certidão de matrícula ou certidão de ônus reais obtida no cartório de registro de imóveis; localização; área; estado de conservação; benfeitorias existentes; demais características)  </w:t>
            </w:r>
          </w:p>
          <w:p w14:paraId="46D0E5C5" w14:textId="77777777" w:rsidR="00950BE9" w:rsidRPr="00950BE9" w:rsidRDefault="00950BE9" w:rsidP="006F0FB6">
            <w:pPr>
              <w:numPr>
                <w:ilvl w:val="0"/>
                <w:numId w:val="47"/>
              </w:numPr>
              <w:contextualSpacing/>
              <w:jc w:val="both"/>
              <w:rPr>
                <w:rFonts w:ascii="Arial" w:hAnsi="Arial" w:cs="Times New Roman"/>
                <w:color w:val="0070C0"/>
                <w:sz w:val="24"/>
              </w:rPr>
            </w:pPr>
            <w:r w:rsidRPr="00950BE9">
              <w:rPr>
                <w:rFonts w:ascii="Arial" w:eastAsia="Arial" w:hAnsi="Arial" w:cs="Arial"/>
                <w:color w:val="0070C0"/>
                <w:sz w:val="18"/>
              </w:rPr>
              <w:t xml:space="preserve">Data de aquisição/construção ou incorporação  </w:t>
            </w:r>
          </w:p>
          <w:p w14:paraId="570B99EC" w14:textId="77777777" w:rsidR="00950BE9" w:rsidRPr="00950BE9" w:rsidRDefault="00950BE9" w:rsidP="006F0FB6">
            <w:pPr>
              <w:numPr>
                <w:ilvl w:val="0"/>
                <w:numId w:val="47"/>
              </w:numPr>
              <w:contextualSpacing/>
              <w:jc w:val="both"/>
              <w:rPr>
                <w:rFonts w:ascii="Arial" w:hAnsi="Arial" w:cs="Times New Roman"/>
                <w:color w:val="0070C0"/>
                <w:sz w:val="24"/>
              </w:rPr>
            </w:pPr>
            <w:r w:rsidRPr="00950BE9">
              <w:rPr>
                <w:rFonts w:ascii="Arial" w:eastAsia="Arial" w:hAnsi="Arial" w:cs="Arial"/>
                <w:color w:val="0070C0"/>
                <w:sz w:val="18"/>
              </w:rPr>
              <w:t xml:space="preserve">Valor histórico e atualizado </w:t>
            </w:r>
          </w:p>
          <w:p w14:paraId="731CC707" w14:textId="77777777" w:rsidR="00950BE9" w:rsidRPr="00950BE9" w:rsidRDefault="00950BE9" w:rsidP="00950BE9">
            <w:pPr>
              <w:spacing w:line="360" w:lineRule="auto"/>
              <w:contextualSpacing/>
              <w:jc w:val="both"/>
              <w:rPr>
                <w:rFonts w:ascii="Arial" w:hAnsi="Arial" w:cs="Times New Roman"/>
                <w:color w:val="0070C0"/>
                <w:sz w:val="24"/>
              </w:rPr>
            </w:pPr>
            <w:r w:rsidRPr="00950BE9">
              <w:rPr>
                <w:rFonts w:ascii="Arial" w:eastAsia="Arial" w:hAnsi="Arial" w:cs="Arial"/>
                <w:color w:val="0070C0"/>
                <w:sz w:val="18"/>
              </w:rPr>
              <w:t xml:space="preserve">Observações: </w:t>
            </w:r>
          </w:p>
          <w:p w14:paraId="320C3EA5" w14:textId="77777777" w:rsidR="00950BE9" w:rsidRPr="00950BE9" w:rsidRDefault="00950BE9" w:rsidP="006F0FB6">
            <w:pPr>
              <w:numPr>
                <w:ilvl w:val="0"/>
                <w:numId w:val="47"/>
              </w:numPr>
              <w:contextualSpacing/>
              <w:jc w:val="both"/>
              <w:rPr>
                <w:rFonts w:ascii="Arial" w:hAnsi="Arial" w:cs="Times New Roman"/>
                <w:color w:val="0070C0"/>
                <w:sz w:val="24"/>
              </w:rPr>
            </w:pPr>
            <w:r w:rsidRPr="00950BE9">
              <w:rPr>
                <w:rFonts w:ascii="Arial" w:eastAsia="Arial" w:hAnsi="Arial" w:cs="Arial"/>
                <w:color w:val="0070C0"/>
                <w:sz w:val="18"/>
              </w:rPr>
              <w:t xml:space="preserve">Imóveis que não são de uso próprio (garantias ou disponíveis para venda) devem ser destacados;  </w:t>
            </w:r>
          </w:p>
        </w:tc>
        <w:tc>
          <w:tcPr>
            <w:tcW w:w="1508" w:type="dxa"/>
            <w:tcBorders>
              <w:top w:val="single" w:sz="4" w:space="0" w:color="000000"/>
              <w:left w:val="single" w:sz="4" w:space="0" w:color="000000"/>
              <w:bottom w:val="single" w:sz="4" w:space="0" w:color="000000"/>
              <w:right w:val="single" w:sz="4" w:space="0" w:color="000000"/>
            </w:tcBorders>
            <w:vAlign w:val="center"/>
          </w:tcPr>
          <w:p w14:paraId="1ACC1763" w14:textId="77777777" w:rsidR="00950BE9" w:rsidRPr="00D02C92" w:rsidRDefault="00950BE9" w:rsidP="00950BE9">
            <w:pPr>
              <w:spacing w:line="241" w:lineRule="auto"/>
              <w:ind w:left="209" w:right="222"/>
              <w:contextualSpacing/>
              <w:jc w:val="center"/>
              <w:rPr>
                <w:rFonts w:ascii="Arial" w:hAnsi="Arial" w:cs="Times New Roman"/>
                <w:color w:val="0070C0"/>
                <w:sz w:val="14"/>
                <w:szCs w:val="14"/>
              </w:rPr>
            </w:pPr>
            <w:r w:rsidRPr="00D02C92">
              <w:rPr>
                <w:rFonts w:ascii="Arial" w:eastAsia="Arial" w:hAnsi="Arial" w:cs="Arial"/>
                <w:color w:val="0070C0"/>
                <w:sz w:val="14"/>
                <w:szCs w:val="14"/>
              </w:rPr>
              <w:t xml:space="preserve">PDF e  </w:t>
            </w:r>
          </w:p>
          <w:p w14:paraId="22A9E378" w14:textId="77777777" w:rsidR="00950BE9" w:rsidRPr="00D02C92" w:rsidRDefault="00950BE9" w:rsidP="00950BE9">
            <w:pPr>
              <w:spacing w:line="360" w:lineRule="auto"/>
              <w:contextualSpacing/>
              <w:jc w:val="center"/>
              <w:rPr>
                <w:rFonts w:ascii="Arial" w:hAnsi="Arial" w:cs="Times New Roman"/>
                <w:color w:val="0070C0"/>
                <w:sz w:val="14"/>
                <w:szCs w:val="14"/>
              </w:rPr>
            </w:pPr>
            <w:r w:rsidRPr="00D02C92">
              <w:rPr>
                <w:rFonts w:ascii="Arial" w:eastAsia="Arial" w:hAnsi="Arial" w:cs="Arial"/>
                <w:color w:val="0070C0"/>
                <w:sz w:val="14"/>
                <w:szCs w:val="14"/>
              </w:rPr>
              <w:t xml:space="preserve">XLS/XLSX/ ODS </w:t>
            </w:r>
          </w:p>
        </w:tc>
      </w:tr>
      <w:tr w:rsidR="00950BE9" w:rsidRPr="00950BE9" w14:paraId="55A9EAF7" w14:textId="77777777" w:rsidTr="002F3756">
        <w:tblPrEx>
          <w:tblCellMar>
            <w:top w:w="38" w:type="dxa"/>
            <w:bottom w:w="5" w:type="dxa"/>
            <w:right w:w="58" w:type="dxa"/>
          </w:tblCellMar>
        </w:tblPrEx>
        <w:trPr>
          <w:cantSplit/>
        </w:trPr>
        <w:tc>
          <w:tcPr>
            <w:tcW w:w="1173" w:type="dxa"/>
            <w:tcBorders>
              <w:top w:val="single" w:sz="4" w:space="0" w:color="000000"/>
              <w:left w:val="single" w:sz="4" w:space="0" w:color="000000"/>
              <w:bottom w:val="single" w:sz="4" w:space="0" w:color="000000"/>
              <w:right w:val="single" w:sz="4" w:space="0" w:color="000000"/>
            </w:tcBorders>
            <w:vAlign w:val="center"/>
          </w:tcPr>
          <w:p w14:paraId="069BF606" w14:textId="77777777" w:rsidR="00950BE9" w:rsidRPr="00950BE9" w:rsidRDefault="00950BE9" w:rsidP="00950BE9">
            <w:pPr>
              <w:spacing w:line="360" w:lineRule="auto"/>
              <w:ind w:right="52"/>
              <w:contextualSpacing/>
              <w:jc w:val="center"/>
              <w:rPr>
                <w:rFonts w:ascii="Arial" w:hAnsi="Arial" w:cs="Times New Roman"/>
                <w:color w:val="0070C0"/>
                <w:sz w:val="24"/>
              </w:rPr>
            </w:pPr>
            <w:r w:rsidRPr="00950BE9">
              <w:rPr>
                <w:rFonts w:ascii="Arial" w:eastAsia="Arial" w:hAnsi="Arial" w:cs="Arial"/>
                <w:color w:val="0070C0"/>
                <w:sz w:val="18"/>
              </w:rPr>
              <w:t xml:space="preserve">INVALMO </w:t>
            </w:r>
          </w:p>
        </w:tc>
        <w:tc>
          <w:tcPr>
            <w:tcW w:w="6386" w:type="dxa"/>
            <w:tcBorders>
              <w:top w:val="single" w:sz="4" w:space="0" w:color="000000"/>
              <w:left w:val="single" w:sz="4" w:space="0" w:color="000000"/>
              <w:bottom w:val="single" w:sz="4" w:space="0" w:color="000000"/>
              <w:right w:val="single" w:sz="4" w:space="0" w:color="000000"/>
            </w:tcBorders>
            <w:vAlign w:val="bottom"/>
          </w:tcPr>
          <w:p w14:paraId="2839E72C" w14:textId="77777777" w:rsidR="00950BE9" w:rsidRPr="00EB07D3" w:rsidRDefault="00950BE9" w:rsidP="00950BE9">
            <w:pPr>
              <w:spacing w:line="360" w:lineRule="auto"/>
              <w:contextualSpacing/>
              <w:jc w:val="both"/>
              <w:rPr>
                <w:rFonts w:ascii="Arial" w:hAnsi="Arial" w:cs="Times New Roman"/>
                <w:color w:val="0070C0"/>
                <w:sz w:val="24"/>
              </w:rPr>
            </w:pPr>
            <w:r w:rsidRPr="00EB07D3">
              <w:rPr>
                <w:rFonts w:ascii="Arial" w:eastAsia="Arial" w:hAnsi="Arial" w:cs="Arial"/>
                <w:color w:val="0070C0"/>
                <w:sz w:val="18"/>
              </w:rPr>
              <w:t xml:space="preserve">Inventário anual dos bens em almoxarifado, caso o FUNDO mantenha itens em estoque, contendo no mínimo as seguintes informações:  </w:t>
            </w:r>
          </w:p>
          <w:p w14:paraId="50665627" w14:textId="77777777" w:rsidR="00950BE9" w:rsidRPr="00EB07D3" w:rsidRDefault="00950BE9" w:rsidP="006F0FB6">
            <w:pPr>
              <w:numPr>
                <w:ilvl w:val="0"/>
                <w:numId w:val="48"/>
              </w:numPr>
              <w:contextualSpacing/>
              <w:jc w:val="both"/>
              <w:rPr>
                <w:rFonts w:ascii="Arial" w:hAnsi="Arial" w:cs="Times New Roman"/>
                <w:color w:val="0070C0"/>
                <w:sz w:val="24"/>
              </w:rPr>
            </w:pPr>
            <w:r w:rsidRPr="00EB07D3">
              <w:rPr>
                <w:rFonts w:ascii="Arial" w:eastAsia="Arial" w:hAnsi="Arial" w:cs="Arial"/>
                <w:color w:val="0070C0"/>
                <w:sz w:val="18"/>
              </w:rPr>
              <w:t xml:space="preserve">Descrição dos bens  </w:t>
            </w:r>
          </w:p>
          <w:p w14:paraId="010407D7" w14:textId="77777777" w:rsidR="00950BE9" w:rsidRPr="00EB07D3" w:rsidRDefault="00950BE9" w:rsidP="006F0FB6">
            <w:pPr>
              <w:numPr>
                <w:ilvl w:val="0"/>
                <w:numId w:val="48"/>
              </w:numPr>
              <w:contextualSpacing/>
              <w:jc w:val="both"/>
              <w:rPr>
                <w:rFonts w:ascii="Arial" w:hAnsi="Arial" w:cs="Times New Roman"/>
                <w:color w:val="0070C0"/>
                <w:sz w:val="24"/>
              </w:rPr>
            </w:pPr>
            <w:r w:rsidRPr="00EB07D3">
              <w:rPr>
                <w:rFonts w:ascii="Arial" w:eastAsia="Arial" w:hAnsi="Arial" w:cs="Arial"/>
                <w:color w:val="0070C0"/>
                <w:sz w:val="18"/>
              </w:rPr>
              <w:t xml:space="preserve">Quantidade  </w:t>
            </w:r>
          </w:p>
          <w:p w14:paraId="12AD6547" w14:textId="77777777" w:rsidR="00950BE9" w:rsidRPr="00EB07D3" w:rsidRDefault="00950BE9" w:rsidP="006F0FB6">
            <w:pPr>
              <w:numPr>
                <w:ilvl w:val="0"/>
                <w:numId w:val="48"/>
              </w:numPr>
              <w:contextualSpacing/>
              <w:jc w:val="both"/>
              <w:rPr>
                <w:rFonts w:ascii="Arial" w:hAnsi="Arial" w:cs="Times New Roman"/>
                <w:color w:val="0070C0"/>
                <w:sz w:val="24"/>
              </w:rPr>
            </w:pPr>
            <w:r w:rsidRPr="00EB07D3">
              <w:rPr>
                <w:rFonts w:ascii="Arial" w:eastAsia="Arial" w:hAnsi="Arial" w:cs="Arial"/>
                <w:color w:val="0070C0"/>
                <w:sz w:val="18"/>
              </w:rPr>
              <w:lastRenderedPageBreak/>
              <w:t xml:space="preserve">Valor unitário  </w:t>
            </w:r>
          </w:p>
          <w:p w14:paraId="211301AE" w14:textId="77777777" w:rsidR="00950BE9" w:rsidRPr="00EB07D3" w:rsidRDefault="00950BE9" w:rsidP="006F0FB6">
            <w:pPr>
              <w:numPr>
                <w:ilvl w:val="0"/>
                <w:numId w:val="48"/>
              </w:numPr>
              <w:contextualSpacing/>
              <w:jc w:val="both"/>
              <w:rPr>
                <w:rFonts w:ascii="Arial" w:hAnsi="Arial" w:cs="Times New Roman"/>
                <w:color w:val="0070C0"/>
                <w:sz w:val="24"/>
              </w:rPr>
            </w:pPr>
            <w:r w:rsidRPr="00EB07D3">
              <w:rPr>
                <w:rFonts w:ascii="Arial" w:eastAsia="Arial" w:hAnsi="Arial" w:cs="Arial"/>
                <w:color w:val="0070C0"/>
                <w:sz w:val="18"/>
              </w:rPr>
              <w:t>Valor total</w:t>
            </w:r>
            <w:r w:rsidRPr="00EB07D3">
              <w:rPr>
                <w:rFonts w:ascii="Arial" w:hAnsi="Arial" w:cs="Times New Roman"/>
                <w:color w:val="0070C0"/>
                <w:sz w:val="18"/>
              </w:rPr>
              <w:t xml:space="preserve">  </w:t>
            </w:r>
          </w:p>
          <w:p w14:paraId="7134279E" w14:textId="77777777" w:rsidR="00950BE9" w:rsidRPr="00EB07D3" w:rsidRDefault="00950BE9" w:rsidP="00950BE9">
            <w:pPr>
              <w:spacing w:line="360" w:lineRule="auto"/>
              <w:contextualSpacing/>
              <w:jc w:val="both"/>
              <w:rPr>
                <w:rFonts w:ascii="Arial" w:hAnsi="Arial" w:cs="Times New Roman"/>
                <w:color w:val="0070C0"/>
                <w:sz w:val="24"/>
              </w:rPr>
            </w:pPr>
            <w:r w:rsidRPr="00EB07D3">
              <w:rPr>
                <w:rFonts w:ascii="Arial" w:eastAsia="Arial" w:hAnsi="Arial" w:cs="Arial"/>
                <w:color w:val="0070C0"/>
                <w:sz w:val="18"/>
              </w:rPr>
              <w:t xml:space="preserve">Observações: </w:t>
            </w:r>
          </w:p>
          <w:p w14:paraId="78E0D1D1" w14:textId="77777777" w:rsidR="00950BE9" w:rsidRPr="00950BE9" w:rsidRDefault="00950BE9" w:rsidP="006F0FB6">
            <w:pPr>
              <w:numPr>
                <w:ilvl w:val="0"/>
                <w:numId w:val="48"/>
              </w:numPr>
              <w:contextualSpacing/>
              <w:jc w:val="both"/>
              <w:rPr>
                <w:rFonts w:ascii="Arial" w:hAnsi="Arial" w:cs="Times New Roman"/>
                <w:color w:val="0070C0"/>
                <w:sz w:val="24"/>
              </w:rPr>
            </w:pPr>
            <w:r w:rsidRPr="00EB07D3">
              <w:rPr>
                <w:rFonts w:ascii="Arial" w:eastAsia="Arial" w:hAnsi="Arial" w:cs="Arial"/>
                <w:color w:val="0070C0"/>
                <w:sz w:val="18"/>
              </w:rPr>
              <w:t>A coluna valor total deve ser totalizada.</w:t>
            </w:r>
          </w:p>
        </w:tc>
        <w:tc>
          <w:tcPr>
            <w:tcW w:w="1508" w:type="dxa"/>
            <w:tcBorders>
              <w:top w:val="single" w:sz="4" w:space="0" w:color="000000"/>
              <w:left w:val="single" w:sz="4" w:space="0" w:color="000000"/>
              <w:bottom w:val="single" w:sz="4" w:space="0" w:color="000000"/>
              <w:right w:val="single" w:sz="4" w:space="0" w:color="000000"/>
            </w:tcBorders>
            <w:vAlign w:val="center"/>
          </w:tcPr>
          <w:p w14:paraId="63DE396F" w14:textId="77777777" w:rsidR="00950BE9" w:rsidRPr="00D02C92" w:rsidRDefault="00950BE9" w:rsidP="00950BE9">
            <w:pPr>
              <w:spacing w:line="241" w:lineRule="auto"/>
              <w:ind w:left="209" w:right="222"/>
              <w:contextualSpacing/>
              <w:jc w:val="center"/>
              <w:rPr>
                <w:rFonts w:ascii="Arial" w:hAnsi="Arial" w:cs="Times New Roman"/>
                <w:color w:val="0070C0"/>
                <w:sz w:val="14"/>
                <w:szCs w:val="14"/>
              </w:rPr>
            </w:pPr>
            <w:r w:rsidRPr="00D02C92">
              <w:rPr>
                <w:rFonts w:ascii="Arial" w:eastAsia="Arial" w:hAnsi="Arial" w:cs="Arial"/>
                <w:color w:val="0070C0"/>
                <w:sz w:val="14"/>
                <w:szCs w:val="14"/>
              </w:rPr>
              <w:lastRenderedPageBreak/>
              <w:t xml:space="preserve">PDF e  </w:t>
            </w:r>
          </w:p>
          <w:p w14:paraId="5F4E3090" w14:textId="77777777" w:rsidR="00950BE9" w:rsidRPr="00D02C92" w:rsidRDefault="00950BE9" w:rsidP="00950BE9">
            <w:pPr>
              <w:spacing w:line="360" w:lineRule="auto"/>
              <w:contextualSpacing/>
              <w:jc w:val="center"/>
              <w:rPr>
                <w:rFonts w:ascii="Arial" w:hAnsi="Arial" w:cs="Times New Roman"/>
                <w:color w:val="0070C0"/>
                <w:sz w:val="14"/>
                <w:szCs w:val="14"/>
              </w:rPr>
            </w:pPr>
            <w:r w:rsidRPr="00D02C92">
              <w:rPr>
                <w:rFonts w:ascii="Arial" w:eastAsia="Arial" w:hAnsi="Arial" w:cs="Arial"/>
                <w:color w:val="0070C0"/>
                <w:sz w:val="14"/>
                <w:szCs w:val="14"/>
              </w:rPr>
              <w:t xml:space="preserve">XLS/XLSX/ ODS </w:t>
            </w:r>
          </w:p>
        </w:tc>
      </w:tr>
      <w:tr w:rsidR="00950BE9" w:rsidRPr="00950BE9" w14:paraId="67C0753D" w14:textId="77777777" w:rsidTr="002F3756">
        <w:tblPrEx>
          <w:tblCellMar>
            <w:top w:w="38" w:type="dxa"/>
            <w:bottom w:w="5" w:type="dxa"/>
            <w:right w:w="58" w:type="dxa"/>
          </w:tblCellMar>
        </w:tblPrEx>
        <w:trPr>
          <w:cantSplit/>
        </w:trPr>
        <w:tc>
          <w:tcPr>
            <w:tcW w:w="1173" w:type="dxa"/>
            <w:tcBorders>
              <w:top w:val="single" w:sz="4" w:space="0" w:color="000000"/>
              <w:left w:val="single" w:sz="4" w:space="0" w:color="000000"/>
              <w:bottom w:val="single" w:sz="4" w:space="0" w:color="auto"/>
              <w:right w:val="single" w:sz="4" w:space="0" w:color="000000"/>
            </w:tcBorders>
            <w:vAlign w:val="center"/>
          </w:tcPr>
          <w:p w14:paraId="72A7D9B9" w14:textId="77777777" w:rsidR="00950BE9" w:rsidRPr="00950BE9" w:rsidRDefault="00950BE9" w:rsidP="00950BE9">
            <w:pPr>
              <w:spacing w:line="360" w:lineRule="auto"/>
              <w:ind w:right="52"/>
              <w:contextualSpacing/>
              <w:jc w:val="center"/>
              <w:rPr>
                <w:rFonts w:ascii="Arial" w:hAnsi="Arial" w:cs="Times New Roman"/>
                <w:color w:val="0070C0"/>
                <w:sz w:val="24"/>
              </w:rPr>
            </w:pPr>
            <w:r w:rsidRPr="00950BE9">
              <w:rPr>
                <w:rFonts w:ascii="Arial" w:eastAsia="Arial" w:hAnsi="Arial" w:cs="Arial"/>
                <w:color w:val="0070C0"/>
                <w:sz w:val="18"/>
              </w:rPr>
              <w:lastRenderedPageBreak/>
              <w:t xml:space="preserve">INVINTN </w:t>
            </w:r>
          </w:p>
        </w:tc>
        <w:tc>
          <w:tcPr>
            <w:tcW w:w="6386" w:type="dxa"/>
            <w:tcBorders>
              <w:top w:val="single" w:sz="4" w:space="0" w:color="000000"/>
              <w:left w:val="single" w:sz="4" w:space="0" w:color="000000"/>
              <w:bottom w:val="single" w:sz="4" w:space="0" w:color="auto"/>
              <w:right w:val="single" w:sz="4" w:space="0" w:color="000000"/>
            </w:tcBorders>
            <w:vAlign w:val="center"/>
          </w:tcPr>
          <w:p w14:paraId="2C587FCD" w14:textId="77777777" w:rsidR="00950BE9" w:rsidRPr="00950BE9" w:rsidRDefault="00950BE9" w:rsidP="00950BE9">
            <w:pPr>
              <w:spacing w:line="360" w:lineRule="auto"/>
              <w:contextualSpacing/>
              <w:jc w:val="both"/>
              <w:rPr>
                <w:rFonts w:ascii="Arial" w:hAnsi="Arial" w:cs="Times New Roman"/>
                <w:color w:val="0070C0"/>
                <w:sz w:val="24"/>
              </w:rPr>
            </w:pPr>
            <w:r w:rsidRPr="00950BE9">
              <w:rPr>
                <w:rFonts w:ascii="Arial" w:eastAsia="Arial" w:hAnsi="Arial" w:cs="Arial"/>
                <w:color w:val="0070C0"/>
                <w:sz w:val="18"/>
              </w:rPr>
              <w:t xml:space="preserve">Inventário anual dos bens intangíveis, caso o FUNDO mantenha bens intangíveis contabilizados, contendo no mínimo as seguintes informações:  </w:t>
            </w:r>
          </w:p>
          <w:p w14:paraId="5A2B9D09" w14:textId="77777777" w:rsidR="00950BE9" w:rsidRPr="00950BE9" w:rsidRDefault="00950BE9" w:rsidP="006F0FB6">
            <w:pPr>
              <w:numPr>
                <w:ilvl w:val="0"/>
                <w:numId w:val="49"/>
              </w:numPr>
              <w:contextualSpacing/>
              <w:jc w:val="both"/>
              <w:rPr>
                <w:rFonts w:ascii="Arial" w:hAnsi="Arial" w:cs="Times New Roman"/>
                <w:color w:val="0070C0"/>
                <w:sz w:val="24"/>
              </w:rPr>
            </w:pPr>
            <w:r w:rsidRPr="00950BE9">
              <w:rPr>
                <w:rFonts w:ascii="Arial" w:eastAsia="Arial" w:hAnsi="Arial" w:cs="Arial"/>
                <w:color w:val="0070C0"/>
                <w:sz w:val="18"/>
              </w:rPr>
              <w:t xml:space="preserve">Relação dos bens  </w:t>
            </w:r>
          </w:p>
          <w:p w14:paraId="563439A3" w14:textId="77777777" w:rsidR="00950BE9" w:rsidRPr="00950BE9" w:rsidRDefault="00950BE9" w:rsidP="006F0FB6">
            <w:pPr>
              <w:numPr>
                <w:ilvl w:val="0"/>
                <w:numId w:val="49"/>
              </w:numPr>
              <w:contextualSpacing/>
              <w:jc w:val="both"/>
              <w:rPr>
                <w:rFonts w:ascii="Arial" w:hAnsi="Arial" w:cs="Times New Roman"/>
                <w:color w:val="0070C0"/>
                <w:sz w:val="24"/>
              </w:rPr>
            </w:pPr>
            <w:r w:rsidRPr="00950BE9">
              <w:rPr>
                <w:rFonts w:ascii="Arial" w:eastAsia="Arial" w:hAnsi="Arial" w:cs="Arial"/>
                <w:color w:val="0070C0"/>
                <w:sz w:val="18"/>
              </w:rPr>
              <w:t xml:space="preserve">Caracterização (especificação resumida; número de registro de marca ou patente, caso exista, comprovado mediante certidão de registro)  </w:t>
            </w:r>
          </w:p>
          <w:p w14:paraId="2C93F41D" w14:textId="77777777" w:rsidR="00950BE9" w:rsidRPr="00950BE9" w:rsidRDefault="00950BE9" w:rsidP="006F0FB6">
            <w:pPr>
              <w:numPr>
                <w:ilvl w:val="0"/>
                <w:numId w:val="49"/>
              </w:numPr>
              <w:contextualSpacing/>
              <w:jc w:val="both"/>
              <w:rPr>
                <w:rFonts w:ascii="Arial" w:hAnsi="Arial" w:cs="Times New Roman"/>
                <w:color w:val="0070C0"/>
                <w:sz w:val="24"/>
              </w:rPr>
            </w:pPr>
            <w:r w:rsidRPr="00950BE9">
              <w:rPr>
                <w:rFonts w:ascii="Arial" w:eastAsia="Arial" w:hAnsi="Arial" w:cs="Arial"/>
                <w:color w:val="0070C0"/>
                <w:sz w:val="18"/>
              </w:rPr>
              <w:t xml:space="preserve">Data de aquisição/produção/incorporação  </w:t>
            </w:r>
          </w:p>
          <w:p w14:paraId="4308C477" w14:textId="77777777" w:rsidR="00950BE9" w:rsidRPr="00950BE9" w:rsidRDefault="00950BE9" w:rsidP="006F0FB6">
            <w:pPr>
              <w:numPr>
                <w:ilvl w:val="0"/>
                <w:numId w:val="50"/>
              </w:numPr>
              <w:contextualSpacing/>
              <w:jc w:val="both"/>
              <w:rPr>
                <w:rFonts w:ascii="Arial" w:hAnsi="Arial" w:cs="Times New Roman"/>
                <w:color w:val="0070C0"/>
                <w:sz w:val="24"/>
              </w:rPr>
            </w:pPr>
            <w:r w:rsidRPr="00950BE9">
              <w:rPr>
                <w:rFonts w:ascii="Arial" w:eastAsia="Arial" w:hAnsi="Arial" w:cs="Arial"/>
                <w:color w:val="0070C0"/>
                <w:sz w:val="18"/>
              </w:rPr>
              <w:t xml:space="preserve">Valor histórico e valor atualizado  </w:t>
            </w:r>
          </w:p>
          <w:p w14:paraId="4265F175" w14:textId="77777777" w:rsidR="00950BE9" w:rsidRPr="00950BE9" w:rsidRDefault="00950BE9" w:rsidP="00950BE9">
            <w:pPr>
              <w:spacing w:line="360" w:lineRule="auto"/>
              <w:contextualSpacing/>
              <w:jc w:val="both"/>
              <w:rPr>
                <w:rFonts w:ascii="Arial" w:hAnsi="Arial" w:cs="Times New Roman"/>
                <w:color w:val="0070C0"/>
                <w:sz w:val="24"/>
              </w:rPr>
            </w:pPr>
            <w:r w:rsidRPr="00950BE9">
              <w:rPr>
                <w:rFonts w:ascii="Arial" w:eastAsia="Arial" w:hAnsi="Arial" w:cs="Arial"/>
                <w:color w:val="0070C0"/>
                <w:sz w:val="18"/>
              </w:rPr>
              <w:t xml:space="preserve">Observações: </w:t>
            </w:r>
          </w:p>
          <w:p w14:paraId="5BECE261" w14:textId="77777777" w:rsidR="00950BE9" w:rsidRPr="00950BE9" w:rsidRDefault="00950BE9" w:rsidP="006F0FB6">
            <w:pPr>
              <w:numPr>
                <w:ilvl w:val="0"/>
                <w:numId w:val="50"/>
              </w:numPr>
              <w:contextualSpacing/>
              <w:jc w:val="both"/>
              <w:rPr>
                <w:rFonts w:ascii="Arial" w:hAnsi="Arial" w:cs="Times New Roman"/>
                <w:color w:val="0070C0"/>
                <w:sz w:val="24"/>
              </w:rPr>
            </w:pPr>
            <w:r w:rsidRPr="00950BE9">
              <w:rPr>
                <w:rFonts w:ascii="Arial" w:eastAsia="Arial" w:hAnsi="Arial" w:cs="Arial"/>
                <w:color w:val="0070C0"/>
                <w:sz w:val="18"/>
              </w:rPr>
              <w:t>A coluna valor total deve ser totalizada;</w:t>
            </w:r>
          </w:p>
        </w:tc>
        <w:tc>
          <w:tcPr>
            <w:tcW w:w="1508" w:type="dxa"/>
            <w:tcBorders>
              <w:top w:val="single" w:sz="4" w:space="0" w:color="000000"/>
              <w:left w:val="single" w:sz="4" w:space="0" w:color="000000"/>
              <w:bottom w:val="single" w:sz="4" w:space="0" w:color="auto"/>
              <w:right w:val="single" w:sz="4" w:space="0" w:color="000000"/>
            </w:tcBorders>
            <w:vAlign w:val="center"/>
          </w:tcPr>
          <w:p w14:paraId="29B58B04" w14:textId="77777777" w:rsidR="00950BE9" w:rsidRPr="00D02C92" w:rsidRDefault="00950BE9" w:rsidP="00950BE9">
            <w:pPr>
              <w:spacing w:line="241" w:lineRule="auto"/>
              <w:ind w:left="209" w:right="222"/>
              <w:contextualSpacing/>
              <w:jc w:val="center"/>
              <w:rPr>
                <w:rFonts w:ascii="Arial" w:hAnsi="Arial" w:cs="Times New Roman"/>
                <w:color w:val="0070C0"/>
                <w:sz w:val="14"/>
                <w:szCs w:val="14"/>
              </w:rPr>
            </w:pPr>
            <w:r w:rsidRPr="00D02C92">
              <w:rPr>
                <w:rFonts w:ascii="Arial" w:eastAsia="Arial" w:hAnsi="Arial" w:cs="Arial"/>
                <w:color w:val="0070C0"/>
                <w:sz w:val="14"/>
                <w:szCs w:val="14"/>
              </w:rPr>
              <w:t xml:space="preserve">PDF e  </w:t>
            </w:r>
          </w:p>
          <w:p w14:paraId="34A2E1E2" w14:textId="77777777" w:rsidR="00950BE9" w:rsidRPr="00D02C92" w:rsidRDefault="00950BE9" w:rsidP="00950BE9">
            <w:pPr>
              <w:spacing w:line="360" w:lineRule="auto"/>
              <w:contextualSpacing/>
              <w:jc w:val="center"/>
              <w:rPr>
                <w:rFonts w:ascii="Arial" w:hAnsi="Arial" w:cs="Times New Roman"/>
                <w:color w:val="0070C0"/>
                <w:sz w:val="14"/>
                <w:szCs w:val="14"/>
              </w:rPr>
            </w:pPr>
            <w:r w:rsidRPr="00D02C92">
              <w:rPr>
                <w:rFonts w:ascii="Arial" w:eastAsia="Arial" w:hAnsi="Arial" w:cs="Arial"/>
                <w:color w:val="0070C0"/>
                <w:sz w:val="14"/>
                <w:szCs w:val="14"/>
              </w:rPr>
              <w:t xml:space="preserve">XLS/XLSX/ ODS </w:t>
            </w:r>
          </w:p>
        </w:tc>
      </w:tr>
      <w:tr w:rsidR="00950BE9" w:rsidRPr="00950BE9" w14:paraId="1A5025B8" w14:textId="77777777" w:rsidTr="002F3756">
        <w:tblPrEx>
          <w:tblCellMar>
            <w:top w:w="0" w:type="dxa"/>
            <w:right w:w="41" w:type="dxa"/>
          </w:tblCellMar>
        </w:tblPrEx>
        <w:trPr>
          <w:cantSplit/>
        </w:trPr>
        <w:tc>
          <w:tcPr>
            <w:tcW w:w="1173" w:type="dxa"/>
            <w:tcBorders>
              <w:top w:val="single" w:sz="4" w:space="0" w:color="000000"/>
              <w:left w:val="single" w:sz="4" w:space="0" w:color="000000"/>
              <w:bottom w:val="single" w:sz="4" w:space="0" w:color="000000"/>
              <w:right w:val="single" w:sz="4" w:space="0" w:color="000000"/>
            </w:tcBorders>
            <w:vAlign w:val="center"/>
          </w:tcPr>
          <w:p w14:paraId="16B18FA0" w14:textId="77777777" w:rsidR="00950BE9" w:rsidRPr="00950BE9" w:rsidRDefault="00950BE9" w:rsidP="00950BE9">
            <w:pPr>
              <w:spacing w:line="360" w:lineRule="auto"/>
              <w:ind w:left="84"/>
              <w:contextualSpacing/>
              <w:jc w:val="center"/>
              <w:rPr>
                <w:rFonts w:ascii="Arial" w:hAnsi="Arial" w:cs="Times New Roman"/>
                <w:color w:val="0070C0"/>
                <w:sz w:val="24"/>
              </w:rPr>
            </w:pPr>
            <w:r w:rsidRPr="00950BE9">
              <w:rPr>
                <w:rFonts w:ascii="Arial" w:eastAsia="Arial" w:hAnsi="Arial" w:cs="Arial"/>
                <w:color w:val="0070C0"/>
                <w:sz w:val="18"/>
              </w:rPr>
              <w:t>DOCSPCA</w:t>
            </w:r>
          </w:p>
        </w:tc>
        <w:tc>
          <w:tcPr>
            <w:tcW w:w="6386" w:type="dxa"/>
            <w:tcBorders>
              <w:top w:val="single" w:sz="4" w:space="0" w:color="000000"/>
              <w:left w:val="single" w:sz="4" w:space="0" w:color="000000"/>
              <w:bottom w:val="single" w:sz="4" w:space="0" w:color="000000"/>
              <w:right w:val="single" w:sz="4" w:space="0" w:color="000000"/>
            </w:tcBorders>
            <w:vAlign w:val="center"/>
          </w:tcPr>
          <w:p w14:paraId="34DFAB9E" w14:textId="20D8E920" w:rsidR="00950BE9" w:rsidRPr="00950BE9" w:rsidRDefault="00950BE9" w:rsidP="00950BE9">
            <w:pPr>
              <w:spacing w:line="360" w:lineRule="auto"/>
              <w:ind w:right="49"/>
              <w:contextualSpacing/>
              <w:jc w:val="both"/>
              <w:rPr>
                <w:rFonts w:ascii="Arial" w:hAnsi="Arial" w:cs="Times New Roman"/>
                <w:color w:val="0070C0"/>
                <w:sz w:val="24"/>
              </w:rPr>
            </w:pPr>
            <w:r w:rsidRPr="00950BE9">
              <w:rPr>
                <w:rFonts w:ascii="Arial" w:eastAsia="Arial" w:hAnsi="Arial" w:cs="Arial"/>
                <w:color w:val="0070C0"/>
                <w:sz w:val="18"/>
              </w:rPr>
              <w:t xml:space="preserve">Referência aos documentos não estruturados, constantes neste Anexo, bem como a justificativa de ausência para os arquivos não enviados. Estrutura e layout constantes do item </w:t>
            </w:r>
            <w:r w:rsidR="00EB07D3">
              <w:rPr>
                <w:rFonts w:ascii="Arial" w:eastAsia="Arial" w:hAnsi="Arial" w:cs="Arial"/>
                <w:color w:val="0070C0"/>
                <w:sz w:val="18"/>
              </w:rPr>
              <w:t xml:space="preserve">3.1 </w:t>
            </w:r>
            <w:r w:rsidRPr="00950BE9">
              <w:rPr>
                <w:rFonts w:ascii="Arial" w:eastAsia="Arial" w:hAnsi="Arial" w:cs="Arial"/>
                <w:color w:val="0070C0"/>
                <w:sz w:val="18"/>
              </w:rPr>
              <w:t xml:space="preserve">deste Anexo. </w:t>
            </w:r>
          </w:p>
        </w:tc>
        <w:tc>
          <w:tcPr>
            <w:tcW w:w="1508" w:type="dxa"/>
            <w:tcBorders>
              <w:top w:val="single" w:sz="4" w:space="0" w:color="000000"/>
              <w:left w:val="single" w:sz="4" w:space="0" w:color="000000"/>
              <w:bottom w:val="single" w:sz="4" w:space="0" w:color="000000"/>
              <w:right w:val="single" w:sz="4" w:space="0" w:color="000000"/>
            </w:tcBorders>
            <w:vAlign w:val="center"/>
          </w:tcPr>
          <w:p w14:paraId="03C7929C" w14:textId="77777777" w:rsidR="00950BE9" w:rsidRPr="00D02C92" w:rsidRDefault="00950BE9" w:rsidP="00950BE9">
            <w:pPr>
              <w:spacing w:line="360" w:lineRule="auto"/>
              <w:ind w:right="51"/>
              <w:contextualSpacing/>
              <w:jc w:val="center"/>
              <w:rPr>
                <w:rFonts w:ascii="Arial" w:hAnsi="Arial" w:cs="Times New Roman"/>
                <w:color w:val="0070C0"/>
                <w:sz w:val="14"/>
                <w:szCs w:val="14"/>
              </w:rPr>
            </w:pPr>
            <w:r w:rsidRPr="00D02C92">
              <w:rPr>
                <w:rFonts w:ascii="Arial" w:eastAsia="Arial" w:hAnsi="Arial" w:cs="Arial"/>
                <w:color w:val="0070C0"/>
                <w:sz w:val="14"/>
                <w:szCs w:val="14"/>
              </w:rPr>
              <w:t xml:space="preserve">XML </w:t>
            </w:r>
          </w:p>
        </w:tc>
      </w:tr>
    </w:tbl>
    <w:p w14:paraId="355E9D65" w14:textId="0788C1A1" w:rsidR="002869E3" w:rsidRDefault="002869E3" w:rsidP="002869E3">
      <w:pPr>
        <w:tabs>
          <w:tab w:val="left" w:pos="8248"/>
        </w:tabs>
      </w:pPr>
    </w:p>
    <w:p w14:paraId="2478DF35" w14:textId="77777777" w:rsidR="0069175D" w:rsidRDefault="0069175D" w:rsidP="002869E3">
      <w:pPr>
        <w:tabs>
          <w:tab w:val="left" w:pos="8248"/>
        </w:tabs>
      </w:pPr>
    </w:p>
    <w:p w14:paraId="595342FA" w14:textId="5F448218" w:rsidR="00A932D5" w:rsidRPr="005B7FCC" w:rsidRDefault="001E384F" w:rsidP="001E384F">
      <w:pPr>
        <w:pStyle w:val="Ttulo2"/>
        <w:rPr>
          <w:lang w:val="pt-BR"/>
        </w:rPr>
      </w:pPr>
      <w:bookmarkStart w:id="100" w:name="_Toc94806370"/>
      <w:r w:rsidRPr="005B7FCC">
        <w:rPr>
          <w:lang w:val="pt-BR"/>
        </w:rPr>
        <w:t>A</w:t>
      </w:r>
      <w:r w:rsidR="0043750D" w:rsidRPr="005B7FCC">
        <w:rPr>
          <w:lang w:val="pt-BR"/>
        </w:rPr>
        <w:t>lterou o Rol de Documentos C</w:t>
      </w:r>
      <w:r w:rsidR="003A0161" w:rsidRPr="005B7FCC">
        <w:rPr>
          <w:lang w:val="pt-BR"/>
        </w:rPr>
        <w:t>ONTAS DE PREFEITO</w:t>
      </w:r>
      <w:bookmarkEnd w:id="100"/>
    </w:p>
    <w:p w14:paraId="6A3D5572" w14:textId="77777777" w:rsidR="00A932D5" w:rsidRDefault="00A932D5" w:rsidP="00A932D5">
      <w:pPr>
        <w:spacing w:after="0" w:line="240" w:lineRule="auto"/>
        <w:jc w:val="both"/>
        <w:rPr>
          <w:rFonts w:ascii="Arial" w:hAnsi="Arial" w:cs="Arial"/>
          <w:sz w:val="24"/>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8"/>
        <w:gridCol w:w="6930"/>
        <w:gridCol w:w="992"/>
      </w:tblGrid>
      <w:tr w:rsidR="00670189" w:rsidRPr="00A5490A" w14:paraId="20E038C6" w14:textId="77777777" w:rsidTr="007C318F">
        <w:tc>
          <w:tcPr>
            <w:tcW w:w="1258" w:type="dxa"/>
            <w:vAlign w:val="center"/>
          </w:tcPr>
          <w:p w14:paraId="5B7C125A" w14:textId="77777777" w:rsidR="00670189" w:rsidRPr="00A5490A" w:rsidRDefault="00670189" w:rsidP="007C318F">
            <w:pPr>
              <w:spacing w:after="0" w:line="240" w:lineRule="auto"/>
              <w:jc w:val="center"/>
              <w:rPr>
                <w:rFonts w:ascii="Arial" w:eastAsia="Times New Roman" w:hAnsi="Arial" w:cs="Arial"/>
                <w:sz w:val="18"/>
                <w:szCs w:val="18"/>
                <w:lang w:eastAsia="pt-BR"/>
              </w:rPr>
            </w:pPr>
            <w:r>
              <w:rPr>
                <w:rFonts w:ascii="Arial" w:eastAsia="Times New Roman" w:hAnsi="Arial" w:cs="Arial"/>
                <w:sz w:val="18"/>
                <w:szCs w:val="18"/>
                <w:lang w:eastAsia="pt-BR"/>
              </w:rPr>
              <w:t>Código</w:t>
            </w:r>
          </w:p>
        </w:tc>
        <w:tc>
          <w:tcPr>
            <w:tcW w:w="6930" w:type="dxa"/>
            <w:shd w:val="clear" w:color="auto" w:fill="auto"/>
            <w:vAlign w:val="center"/>
          </w:tcPr>
          <w:p w14:paraId="41D8E51B" w14:textId="77777777" w:rsidR="00670189" w:rsidRPr="00A5490A" w:rsidRDefault="00670189" w:rsidP="007C318F">
            <w:pPr>
              <w:spacing w:before="120" w:after="12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Descrição</w:t>
            </w:r>
          </w:p>
        </w:tc>
        <w:tc>
          <w:tcPr>
            <w:tcW w:w="992" w:type="dxa"/>
            <w:shd w:val="clear" w:color="auto" w:fill="auto"/>
            <w:vAlign w:val="center"/>
          </w:tcPr>
          <w:p w14:paraId="38DA118E" w14:textId="77777777" w:rsidR="00670189" w:rsidRPr="00A5490A" w:rsidRDefault="00670189" w:rsidP="007C318F">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Formato</w:t>
            </w:r>
          </w:p>
        </w:tc>
      </w:tr>
      <w:tr w:rsidR="00670189" w:rsidRPr="00670189" w14:paraId="73DD36E3" w14:textId="77777777" w:rsidTr="007C318F">
        <w:tc>
          <w:tcPr>
            <w:tcW w:w="1258" w:type="dxa"/>
            <w:vAlign w:val="center"/>
          </w:tcPr>
          <w:p w14:paraId="54EEC2A5" w14:textId="3909323F" w:rsidR="00670189" w:rsidRPr="00670189" w:rsidRDefault="00670189" w:rsidP="007C318F">
            <w:pPr>
              <w:spacing w:after="0" w:line="240" w:lineRule="auto"/>
              <w:jc w:val="center"/>
              <w:rPr>
                <w:rFonts w:ascii="Arial" w:eastAsia="Times New Roman" w:hAnsi="Arial" w:cs="Arial"/>
                <w:color w:val="0070C0"/>
                <w:sz w:val="18"/>
                <w:szCs w:val="18"/>
                <w:lang w:eastAsia="pt-BR"/>
              </w:rPr>
            </w:pPr>
            <w:r w:rsidRPr="00670189">
              <w:rPr>
                <w:rFonts w:ascii="Arial" w:eastAsia="Times New Roman" w:hAnsi="Arial" w:cs="Arial"/>
                <w:color w:val="0070C0"/>
                <w:sz w:val="18"/>
                <w:szCs w:val="18"/>
                <w:lang w:eastAsia="pt-BR"/>
              </w:rPr>
              <w:t>INFOCI</w:t>
            </w:r>
          </w:p>
        </w:tc>
        <w:tc>
          <w:tcPr>
            <w:tcW w:w="6930" w:type="dxa"/>
            <w:shd w:val="clear" w:color="auto" w:fill="auto"/>
            <w:vAlign w:val="center"/>
          </w:tcPr>
          <w:p w14:paraId="13A03D98" w14:textId="30DDE827" w:rsidR="00670189" w:rsidRPr="00670189" w:rsidRDefault="00D668F4" w:rsidP="00670189">
            <w:pPr>
              <w:spacing w:after="0" w:line="360" w:lineRule="auto"/>
              <w:jc w:val="both"/>
              <w:rPr>
                <w:rFonts w:ascii="Arial" w:eastAsia="Calibri" w:hAnsi="Arial" w:cs="Times New Roman"/>
                <w:color w:val="0070C0"/>
                <w:sz w:val="18"/>
                <w:szCs w:val="18"/>
              </w:rPr>
            </w:pPr>
            <w:r w:rsidRPr="00D668F4">
              <w:rPr>
                <w:rFonts w:ascii="Arial" w:eastAsia="Calibri" w:hAnsi="Arial" w:cs="Times New Roman"/>
                <w:color w:val="0070C0"/>
                <w:sz w:val="18"/>
                <w:szCs w:val="18"/>
              </w:rPr>
              <w:t>Informações da unidade de Controle Interno, bem como as informações sobre a atuação do Controle Interno na verificação dos pontos de controle destinados à emissão do parecer sobre as Prestações de Contas Anuais, conforme layout constante do item 3.1 deste Anexo.</w:t>
            </w:r>
          </w:p>
        </w:tc>
        <w:tc>
          <w:tcPr>
            <w:tcW w:w="992" w:type="dxa"/>
            <w:shd w:val="clear" w:color="auto" w:fill="auto"/>
            <w:vAlign w:val="center"/>
          </w:tcPr>
          <w:p w14:paraId="0567A2CD" w14:textId="41593210" w:rsidR="00670189" w:rsidRPr="00A97CE8" w:rsidRDefault="00670189" w:rsidP="007C318F">
            <w:pPr>
              <w:spacing w:after="0" w:line="240" w:lineRule="auto"/>
              <w:jc w:val="center"/>
              <w:rPr>
                <w:rFonts w:ascii="Arial" w:eastAsia="Times New Roman" w:hAnsi="Arial" w:cs="Arial"/>
                <w:color w:val="0070C0"/>
                <w:sz w:val="14"/>
                <w:szCs w:val="14"/>
                <w:lang w:eastAsia="pt-BR"/>
              </w:rPr>
            </w:pPr>
            <w:r w:rsidRPr="00A97CE8">
              <w:rPr>
                <w:rFonts w:ascii="Arial" w:eastAsia="Times New Roman" w:hAnsi="Arial" w:cs="Arial"/>
                <w:color w:val="0070C0"/>
                <w:sz w:val="14"/>
                <w:szCs w:val="14"/>
                <w:lang w:eastAsia="pt-BR"/>
              </w:rPr>
              <w:t>XML</w:t>
            </w:r>
          </w:p>
        </w:tc>
      </w:tr>
      <w:tr w:rsidR="00A97CE8" w:rsidRPr="00670189" w14:paraId="6B0356E4" w14:textId="77777777" w:rsidTr="007C318F">
        <w:tc>
          <w:tcPr>
            <w:tcW w:w="1258" w:type="dxa"/>
            <w:vAlign w:val="center"/>
          </w:tcPr>
          <w:p w14:paraId="627FD70C" w14:textId="0D00604C" w:rsidR="00A97CE8" w:rsidRPr="00A97CE8" w:rsidRDefault="00A97CE8" w:rsidP="00A97CE8">
            <w:pPr>
              <w:spacing w:after="0" w:line="240" w:lineRule="auto"/>
              <w:jc w:val="center"/>
              <w:rPr>
                <w:rFonts w:ascii="Arial" w:eastAsia="Times New Roman" w:hAnsi="Arial" w:cs="Arial"/>
                <w:strike/>
                <w:color w:val="FF0000"/>
                <w:sz w:val="18"/>
                <w:szCs w:val="18"/>
                <w:lang w:eastAsia="pt-BR"/>
              </w:rPr>
            </w:pPr>
            <w:r w:rsidRPr="00A97CE8">
              <w:rPr>
                <w:rFonts w:ascii="Arial" w:eastAsia="Times New Roman" w:hAnsi="Arial" w:cs="Arial"/>
                <w:strike/>
                <w:color w:val="FF0000"/>
                <w:sz w:val="18"/>
                <w:szCs w:val="18"/>
                <w:lang w:eastAsia="pt-BR"/>
              </w:rPr>
              <w:t>RRERAP</w:t>
            </w:r>
          </w:p>
        </w:tc>
        <w:tc>
          <w:tcPr>
            <w:tcW w:w="6930" w:type="dxa"/>
            <w:shd w:val="clear" w:color="auto" w:fill="auto"/>
            <w:vAlign w:val="center"/>
          </w:tcPr>
          <w:p w14:paraId="5D69D308" w14:textId="627AFE5A" w:rsidR="00A97CE8" w:rsidRPr="00A97CE8" w:rsidRDefault="00A97CE8" w:rsidP="00A97CE8">
            <w:pPr>
              <w:spacing w:after="0" w:line="360" w:lineRule="auto"/>
              <w:jc w:val="both"/>
              <w:rPr>
                <w:rFonts w:ascii="Arial" w:eastAsia="Calibri" w:hAnsi="Arial" w:cs="Times New Roman"/>
                <w:strike/>
                <w:color w:val="FF0000"/>
                <w:sz w:val="18"/>
                <w:szCs w:val="18"/>
              </w:rPr>
            </w:pPr>
            <w:r w:rsidRPr="00A97CE8">
              <w:rPr>
                <w:rFonts w:ascii="Arial" w:eastAsia="Times New Roman" w:hAnsi="Arial" w:cs="Arial"/>
                <w:strike/>
                <w:color w:val="FF0000"/>
                <w:sz w:val="18"/>
                <w:szCs w:val="18"/>
                <w:lang w:eastAsia="pt-BR"/>
              </w:rPr>
              <w:t>Relatório Resumido da Execução Orçamentária – Demonstrativo dos Restos a Pagar por Poder e Órgão (ANEXO 7 do Manual de Demonstrativos Fiscais editado pela STN), relativo ao sexto bimestre ou segundo semestre do exercício a que se refere a prestação de contas.</w:t>
            </w:r>
          </w:p>
        </w:tc>
        <w:tc>
          <w:tcPr>
            <w:tcW w:w="992" w:type="dxa"/>
            <w:shd w:val="clear" w:color="auto" w:fill="auto"/>
            <w:vAlign w:val="center"/>
          </w:tcPr>
          <w:p w14:paraId="3FD1B46C" w14:textId="237CAC1F" w:rsidR="00A97CE8" w:rsidRPr="00A97CE8" w:rsidRDefault="00A97CE8" w:rsidP="00A97CE8">
            <w:pPr>
              <w:spacing w:after="0" w:line="240" w:lineRule="auto"/>
              <w:jc w:val="center"/>
              <w:rPr>
                <w:rFonts w:ascii="Arial" w:eastAsia="Times New Roman" w:hAnsi="Arial" w:cs="Arial"/>
                <w:strike/>
                <w:color w:val="FF0000"/>
                <w:sz w:val="18"/>
                <w:szCs w:val="18"/>
                <w:lang w:eastAsia="pt-BR"/>
              </w:rPr>
            </w:pPr>
            <w:r w:rsidRPr="00A97CE8">
              <w:rPr>
                <w:rFonts w:ascii="Arial" w:eastAsia="Times New Roman" w:hAnsi="Arial" w:cs="Arial"/>
                <w:strike/>
                <w:color w:val="FF0000"/>
                <w:sz w:val="14"/>
                <w:szCs w:val="14"/>
                <w:lang w:eastAsia="pt-BR"/>
              </w:rPr>
              <w:t>PDF</w:t>
            </w:r>
          </w:p>
        </w:tc>
      </w:tr>
      <w:tr w:rsidR="00A97CE8" w:rsidRPr="00670189" w14:paraId="6F4D0137" w14:textId="77777777" w:rsidTr="007C318F">
        <w:tc>
          <w:tcPr>
            <w:tcW w:w="1258" w:type="dxa"/>
            <w:vAlign w:val="center"/>
          </w:tcPr>
          <w:p w14:paraId="39A71426" w14:textId="72ED6A64" w:rsidR="00A97CE8" w:rsidRPr="00A97CE8" w:rsidRDefault="00A97CE8" w:rsidP="00A97CE8">
            <w:pPr>
              <w:spacing w:after="0" w:line="240" w:lineRule="auto"/>
              <w:jc w:val="center"/>
              <w:rPr>
                <w:rFonts w:ascii="Arial" w:eastAsia="Times New Roman" w:hAnsi="Arial" w:cs="Arial"/>
                <w:strike/>
                <w:color w:val="FF0000"/>
                <w:sz w:val="18"/>
                <w:szCs w:val="18"/>
                <w:lang w:eastAsia="pt-BR"/>
              </w:rPr>
            </w:pPr>
            <w:r w:rsidRPr="00A97CE8">
              <w:rPr>
                <w:rFonts w:ascii="Arial" w:eastAsia="Times New Roman" w:hAnsi="Arial" w:cs="Arial"/>
                <w:strike/>
                <w:color w:val="FF0000"/>
                <w:sz w:val="18"/>
                <w:szCs w:val="18"/>
                <w:lang w:eastAsia="pt-BR"/>
              </w:rPr>
              <w:t>RRERAA</w:t>
            </w:r>
          </w:p>
        </w:tc>
        <w:tc>
          <w:tcPr>
            <w:tcW w:w="6930" w:type="dxa"/>
            <w:shd w:val="clear" w:color="auto" w:fill="auto"/>
            <w:vAlign w:val="center"/>
          </w:tcPr>
          <w:p w14:paraId="59BCC6E0" w14:textId="19177611" w:rsidR="00A97CE8" w:rsidRPr="00A97CE8" w:rsidRDefault="00A97CE8" w:rsidP="00A97CE8">
            <w:pPr>
              <w:spacing w:after="0" w:line="360" w:lineRule="auto"/>
              <w:jc w:val="both"/>
              <w:rPr>
                <w:rFonts w:ascii="Arial" w:eastAsia="Calibri" w:hAnsi="Arial" w:cs="Times New Roman"/>
                <w:strike/>
                <w:color w:val="FF0000"/>
                <w:sz w:val="18"/>
                <w:szCs w:val="18"/>
              </w:rPr>
            </w:pPr>
            <w:r w:rsidRPr="00A97CE8">
              <w:rPr>
                <w:rFonts w:ascii="Arial" w:eastAsia="Times New Roman" w:hAnsi="Arial" w:cs="Arial"/>
                <w:strike/>
                <w:color w:val="FF0000"/>
                <w:sz w:val="18"/>
                <w:szCs w:val="18"/>
                <w:lang w:eastAsia="pt-BR"/>
              </w:rPr>
              <w:t>Relatório Resumido da Execução Orçamentária – Demonstrativo da Receita de Alienação de Ativos e Aplicação dos Recursos (ANEXO 11 do Manual de Demonstrativos Fiscais editado pela STN), relativo ao sexto bimestre do exercício a que se refere a prestação de contas.</w:t>
            </w:r>
          </w:p>
        </w:tc>
        <w:tc>
          <w:tcPr>
            <w:tcW w:w="992" w:type="dxa"/>
            <w:shd w:val="clear" w:color="auto" w:fill="auto"/>
            <w:vAlign w:val="center"/>
          </w:tcPr>
          <w:p w14:paraId="3A266DBF" w14:textId="3419333B" w:rsidR="00A97CE8" w:rsidRPr="00A97CE8" w:rsidRDefault="00A97CE8" w:rsidP="00A97CE8">
            <w:pPr>
              <w:spacing w:after="0" w:line="240" w:lineRule="auto"/>
              <w:jc w:val="center"/>
              <w:rPr>
                <w:rFonts w:ascii="Arial" w:eastAsia="Times New Roman" w:hAnsi="Arial" w:cs="Arial"/>
                <w:strike/>
                <w:color w:val="FF0000"/>
                <w:sz w:val="18"/>
                <w:szCs w:val="18"/>
                <w:lang w:eastAsia="pt-BR"/>
              </w:rPr>
            </w:pPr>
            <w:r w:rsidRPr="00A97CE8">
              <w:rPr>
                <w:rFonts w:ascii="Arial" w:eastAsia="Times New Roman" w:hAnsi="Arial" w:cs="Arial"/>
                <w:strike/>
                <w:color w:val="FF0000"/>
                <w:sz w:val="14"/>
                <w:szCs w:val="14"/>
                <w:lang w:eastAsia="pt-BR"/>
              </w:rPr>
              <w:t>PDF</w:t>
            </w:r>
          </w:p>
        </w:tc>
      </w:tr>
    </w:tbl>
    <w:p w14:paraId="5E847DAB" w14:textId="43D1CC0B" w:rsidR="00FF306E" w:rsidRDefault="00FF306E" w:rsidP="00450459">
      <w:pPr>
        <w:tabs>
          <w:tab w:val="left" w:pos="8248"/>
        </w:tabs>
        <w:rPr>
          <w:rFonts w:ascii="Arial" w:hAnsi="Arial" w:cs="Arial"/>
          <w:b/>
          <w:color w:val="00B050"/>
          <w:sz w:val="20"/>
          <w:szCs w:val="20"/>
        </w:rPr>
      </w:pPr>
    </w:p>
    <w:p w14:paraId="79F4AC11" w14:textId="5773A5EF" w:rsidR="00FF306E" w:rsidRDefault="00FF306E" w:rsidP="00450459">
      <w:pPr>
        <w:tabs>
          <w:tab w:val="left" w:pos="8248"/>
        </w:tabs>
        <w:rPr>
          <w:rFonts w:ascii="Arial" w:hAnsi="Arial" w:cs="Arial"/>
          <w:b/>
          <w:color w:val="00B050"/>
          <w:sz w:val="20"/>
          <w:szCs w:val="20"/>
        </w:rPr>
      </w:pPr>
    </w:p>
    <w:p w14:paraId="0AB1B7FD" w14:textId="4C1FDE5C" w:rsidR="003447AB" w:rsidRDefault="003447AB" w:rsidP="00450459">
      <w:pPr>
        <w:tabs>
          <w:tab w:val="left" w:pos="8248"/>
        </w:tabs>
        <w:rPr>
          <w:rFonts w:ascii="Arial" w:hAnsi="Arial" w:cs="Arial"/>
          <w:b/>
          <w:color w:val="00B050"/>
          <w:sz w:val="20"/>
          <w:szCs w:val="20"/>
        </w:rPr>
      </w:pPr>
    </w:p>
    <w:p w14:paraId="7DA2401E" w14:textId="77777777" w:rsidR="00D668F4" w:rsidRDefault="00D668F4" w:rsidP="00450459">
      <w:pPr>
        <w:tabs>
          <w:tab w:val="left" w:pos="8248"/>
        </w:tabs>
        <w:rPr>
          <w:rFonts w:ascii="Arial" w:hAnsi="Arial" w:cs="Arial"/>
          <w:b/>
          <w:color w:val="00B050"/>
          <w:sz w:val="20"/>
          <w:szCs w:val="20"/>
        </w:rPr>
      </w:pPr>
    </w:p>
    <w:p w14:paraId="2502A206" w14:textId="710E8290" w:rsidR="003447AB" w:rsidRDefault="003447AB" w:rsidP="00450459">
      <w:pPr>
        <w:tabs>
          <w:tab w:val="left" w:pos="8248"/>
        </w:tabs>
        <w:rPr>
          <w:rFonts w:ascii="Arial" w:hAnsi="Arial" w:cs="Arial"/>
          <w:b/>
          <w:color w:val="00B050"/>
          <w:sz w:val="20"/>
          <w:szCs w:val="20"/>
        </w:rPr>
      </w:pPr>
    </w:p>
    <w:p w14:paraId="54B3CBF7" w14:textId="10A4B41A" w:rsidR="003447AB" w:rsidRDefault="003447AB" w:rsidP="00450459">
      <w:pPr>
        <w:tabs>
          <w:tab w:val="left" w:pos="8248"/>
        </w:tabs>
        <w:rPr>
          <w:rFonts w:ascii="Arial" w:hAnsi="Arial" w:cs="Arial"/>
          <w:b/>
          <w:color w:val="00B050"/>
          <w:sz w:val="20"/>
          <w:szCs w:val="20"/>
        </w:rPr>
      </w:pPr>
    </w:p>
    <w:p w14:paraId="199DF61B" w14:textId="5BF7272C" w:rsidR="003447AB" w:rsidRDefault="003447AB" w:rsidP="00450459">
      <w:pPr>
        <w:tabs>
          <w:tab w:val="left" w:pos="8248"/>
        </w:tabs>
        <w:rPr>
          <w:rFonts w:ascii="Arial" w:hAnsi="Arial" w:cs="Arial"/>
          <w:b/>
          <w:color w:val="00B050"/>
          <w:sz w:val="20"/>
          <w:szCs w:val="20"/>
        </w:rPr>
      </w:pPr>
    </w:p>
    <w:p w14:paraId="79B18064" w14:textId="0EE40608" w:rsidR="003447AB" w:rsidRPr="00613437" w:rsidRDefault="003447AB" w:rsidP="003447AB">
      <w:pPr>
        <w:pStyle w:val="Ttulo2"/>
        <w:rPr>
          <w:lang w:val="pt-BR"/>
        </w:rPr>
      </w:pPr>
      <w:bookmarkStart w:id="101" w:name="_Toc94806371"/>
      <w:r w:rsidRPr="00613437">
        <w:rPr>
          <w:lang w:val="pt-BR"/>
        </w:rPr>
        <w:lastRenderedPageBreak/>
        <w:t>Alterou o Rol de Documentos CONTAS DOS DOS ORDENADORES DE DESPESAS DAS ADMINISTRAÇÕES DIRETAS E INDIRETAS DO</w:t>
      </w:r>
      <w:r w:rsidR="00057A7E" w:rsidRPr="00613437">
        <w:rPr>
          <w:lang w:val="pt-BR"/>
        </w:rPr>
        <w:t xml:space="preserve">S </w:t>
      </w:r>
      <w:r w:rsidRPr="00613437">
        <w:rPr>
          <w:lang w:val="pt-BR"/>
        </w:rPr>
        <w:t>PODER</w:t>
      </w:r>
      <w:r w:rsidR="00057A7E" w:rsidRPr="00613437">
        <w:rPr>
          <w:lang w:val="pt-BR"/>
        </w:rPr>
        <w:t>ES</w:t>
      </w:r>
      <w:r w:rsidRPr="00613437">
        <w:rPr>
          <w:lang w:val="pt-BR"/>
        </w:rPr>
        <w:t xml:space="preserve"> EXECUTIVO</w:t>
      </w:r>
      <w:r w:rsidR="00057A7E" w:rsidRPr="00613437">
        <w:rPr>
          <w:lang w:val="pt-BR"/>
        </w:rPr>
        <w:t xml:space="preserve">S </w:t>
      </w:r>
      <w:r w:rsidRPr="00613437">
        <w:rPr>
          <w:lang w:val="pt-BR"/>
        </w:rPr>
        <w:t>MUNICIPA</w:t>
      </w:r>
      <w:r w:rsidR="00057A7E" w:rsidRPr="00613437">
        <w:rPr>
          <w:lang w:val="pt-BR"/>
        </w:rPr>
        <w:t>IS</w:t>
      </w:r>
      <w:r w:rsidRPr="00613437">
        <w:rPr>
          <w:lang w:val="pt-BR"/>
        </w:rPr>
        <w:t>, EXCETO INSTITUTOS PRÓPRIOS DE PREVIDÊNCIA SOCIAL.</w:t>
      </w:r>
      <w:bookmarkEnd w:id="101"/>
    </w:p>
    <w:p w14:paraId="231940E6" w14:textId="3D422838" w:rsidR="003447AB" w:rsidRDefault="003447AB" w:rsidP="003447AB">
      <w:pPr>
        <w:tabs>
          <w:tab w:val="left" w:pos="8248"/>
        </w:tabs>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8"/>
        <w:gridCol w:w="6930"/>
        <w:gridCol w:w="992"/>
      </w:tblGrid>
      <w:tr w:rsidR="003447AB" w:rsidRPr="00A5490A" w14:paraId="2EF440E5" w14:textId="77777777" w:rsidTr="00F2087C">
        <w:tc>
          <w:tcPr>
            <w:tcW w:w="1258" w:type="dxa"/>
            <w:vAlign w:val="center"/>
          </w:tcPr>
          <w:p w14:paraId="6119EF03" w14:textId="77777777" w:rsidR="003447AB" w:rsidRPr="00A5490A" w:rsidRDefault="003447AB" w:rsidP="00F2087C">
            <w:pPr>
              <w:spacing w:after="0" w:line="240" w:lineRule="auto"/>
              <w:jc w:val="center"/>
              <w:rPr>
                <w:rFonts w:ascii="Arial" w:eastAsia="Times New Roman" w:hAnsi="Arial" w:cs="Arial"/>
                <w:sz w:val="18"/>
                <w:szCs w:val="18"/>
                <w:lang w:eastAsia="pt-BR"/>
              </w:rPr>
            </w:pPr>
            <w:r>
              <w:rPr>
                <w:rFonts w:ascii="Arial" w:eastAsia="Times New Roman" w:hAnsi="Arial" w:cs="Arial"/>
                <w:sz w:val="18"/>
                <w:szCs w:val="18"/>
                <w:lang w:eastAsia="pt-BR"/>
              </w:rPr>
              <w:t>Código</w:t>
            </w:r>
          </w:p>
        </w:tc>
        <w:tc>
          <w:tcPr>
            <w:tcW w:w="6930" w:type="dxa"/>
            <w:shd w:val="clear" w:color="auto" w:fill="auto"/>
            <w:vAlign w:val="center"/>
          </w:tcPr>
          <w:p w14:paraId="3AF33463" w14:textId="77777777" w:rsidR="003447AB" w:rsidRPr="00A5490A" w:rsidRDefault="003447AB" w:rsidP="00F2087C">
            <w:pPr>
              <w:spacing w:before="120" w:after="12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Descrição</w:t>
            </w:r>
          </w:p>
        </w:tc>
        <w:tc>
          <w:tcPr>
            <w:tcW w:w="992" w:type="dxa"/>
            <w:shd w:val="clear" w:color="auto" w:fill="auto"/>
            <w:vAlign w:val="center"/>
          </w:tcPr>
          <w:p w14:paraId="1F2D7BD4" w14:textId="77777777" w:rsidR="003447AB" w:rsidRPr="00A5490A" w:rsidRDefault="003447AB" w:rsidP="00F2087C">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Formato</w:t>
            </w:r>
          </w:p>
        </w:tc>
      </w:tr>
      <w:tr w:rsidR="003447AB" w:rsidRPr="00670189" w14:paraId="774970A7" w14:textId="77777777" w:rsidTr="00F2087C">
        <w:tc>
          <w:tcPr>
            <w:tcW w:w="1258" w:type="dxa"/>
            <w:vAlign w:val="center"/>
          </w:tcPr>
          <w:p w14:paraId="6B6A529A" w14:textId="34C512D2" w:rsidR="003447AB" w:rsidRPr="00670189" w:rsidRDefault="003447AB" w:rsidP="00F2087C">
            <w:pPr>
              <w:spacing w:after="0" w:line="240" w:lineRule="auto"/>
              <w:jc w:val="center"/>
              <w:rPr>
                <w:rFonts w:ascii="Arial" w:eastAsia="Times New Roman" w:hAnsi="Arial" w:cs="Arial"/>
                <w:color w:val="0070C0"/>
                <w:sz w:val="18"/>
                <w:szCs w:val="18"/>
                <w:lang w:eastAsia="pt-BR"/>
              </w:rPr>
            </w:pPr>
            <w:r w:rsidRPr="00670189">
              <w:rPr>
                <w:rFonts w:ascii="Arial" w:eastAsia="Times New Roman" w:hAnsi="Arial" w:cs="Arial"/>
                <w:color w:val="0070C0"/>
                <w:sz w:val="18"/>
                <w:szCs w:val="18"/>
                <w:lang w:eastAsia="pt-BR"/>
              </w:rPr>
              <w:t>INFOCI</w:t>
            </w:r>
          </w:p>
        </w:tc>
        <w:tc>
          <w:tcPr>
            <w:tcW w:w="6930" w:type="dxa"/>
            <w:shd w:val="clear" w:color="auto" w:fill="auto"/>
            <w:vAlign w:val="center"/>
          </w:tcPr>
          <w:p w14:paraId="68EFCDBC" w14:textId="66857061" w:rsidR="003447AB" w:rsidRPr="00670189" w:rsidRDefault="00D668F4" w:rsidP="00F2087C">
            <w:pPr>
              <w:spacing w:after="0" w:line="360" w:lineRule="auto"/>
              <w:jc w:val="both"/>
              <w:rPr>
                <w:rFonts w:ascii="Arial" w:eastAsia="Calibri" w:hAnsi="Arial" w:cs="Times New Roman"/>
                <w:color w:val="0070C0"/>
                <w:sz w:val="18"/>
                <w:szCs w:val="18"/>
              </w:rPr>
            </w:pPr>
            <w:r w:rsidRPr="00D668F4">
              <w:rPr>
                <w:rFonts w:ascii="Arial" w:eastAsia="Calibri" w:hAnsi="Arial" w:cs="Times New Roman"/>
                <w:color w:val="0070C0"/>
                <w:sz w:val="18"/>
                <w:szCs w:val="18"/>
              </w:rPr>
              <w:t>Informações da unidade de Controle Interno, bem como as informações sobre a atuação do Controle Interno na verificação dos pontos de controle destinados à emissão do parecer sobre as Prestações de Contas Anuais, conforme layout constante do item 3.1 deste Anexo.</w:t>
            </w:r>
          </w:p>
        </w:tc>
        <w:tc>
          <w:tcPr>
            <w:tcW w:w="992" w:type="dxa"/>
            <w:shd w:val="clear" w:color="auto" w:fill="auto"/>
            <w:vAlign w:val="center"/>
          </w:tcPr>
          <w:p w14:paraId="52B4A5CC" w14:textId="77777777" w:rsidR="003447AB" w:rsidRPr="00E457D8" w:rsidRDefault="003447AB" w:rsidP="00F2087C">
            <w:pPr>
              <w:spacing w:after="0" w:line="240" w:lineRule="auto"/>
              <w:jc w:val="center"/>
              <w:rPr>
                <w:rFonts w:ascii="Arial" w:eastAsia="Times New Roman" w:hAnsi="Arial" w:cs="Arial"/>
                <w:color w:val="0070C0"/>
                <w:sz w:val="14"/>
                <w:szCs w:val="14"/>
                <w:lang w:eastAsia="pt-BR"/>
              </w:rPr>
            </w:pPr>
            <w:r w:rsidRPr="00E457D8">
              <w:rPr>
                <w:rFonts w:ascii="Arial" w:eastAsia="Times New Roman" w:hAnsi="Arial" w:cs="Arial"/>
                <w:color w:val="0070C0"/>
                <w:sz w:val="14"/>
                <w:szCs w:val="14"/>
                <w:lang w:eastAsia="pt-BR"/>
              </w:rPr>
              <w:t>XML</w:t>
            </w:r>
          </w:p>
        </w:tc>
      </w:tr>
    </w:tbl>
    <w:p w14:paraId="2E0DC3B6" w14:textId="77777777" w:rsidR="003447AB" w:rsidRDefault="003447AB" w:rsidP="003447AB">
      <w:pPr>
        <w:tabs>
          <w:tab w:val="left" w:pos="8248"/>
        </w:tabs>
      </w:pPr>
    </w:p>
    <w:p w14:paraId="109A28FD" w14:textId="5BC736FE" w:rsidR="007C318F" w:rsidRPr="00613437" w:rsidRDefault="007C318F" w:rsidP="007C318F">
      <w:pPr>
        <w:pStyle w:val="Ttulo2"/>
        <w:rPr>
          <w:lang w:val="pt-BR"/>
        </w:rPr>
      </w:pPr>
      <w:bookmarkStart w:id="102" w:name="_Toc94806372"/>
      <w:r w:rsidRPr="00613437">
        <w:rPr>
          <w:lang w:val="pt-BR"/>
        </w:rPr>
        <w:t>Alterou o Rol de Documentos CONTAS</w:t>
      </w:r>
      <w:r w:rsidR="002A588F" w:rsidRPr="00613437">
        <w:rPr>
          <w:lang w:val="pt-BR"/>
        </w:rPr>
        <w:t xml:space="preserve"> </w:t>
      </w:r>
      <w:r w:rsidRPr="00613437">
        <w:rPr>
          <w:lang w:val="pt-BR"/>
        </w:rPr>
        <w:t>DOS ORDENADORES DE DESPESAS DAS ADMINISTRAÇÕES DIRETAS E INDIRETAS DO PODER EXECUTIVO ESTADUAL, EXCETO INSTITUTOS PRÓPRIOS DE PREVIDÊNCIA SOCIAL.</w:t>
      </w:r>
      <w:bookmarkEnd w:id="102"/>
    </w:p>
    <w:p w14:paraId="47E4C270" w14:textId="77777777" w:rsidR="007C318F" w:rsidRDefault="007C318F" w:rsidP="00450459">
      <w:pPr>
        <w:tabs>
          <w:tab w:val="left" w:pos="8248"/>
        </w:tabs>
        <w:rPr>
          <w:rFonts w:ascii="Arial" w:hAnsi="Arial" w:cs="Arial"/>
          <w:b/>
          <w:color w:val="00B050"/>
          <w:sz w:val="20"/>
          <w:szCs w:val="20"/>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8"/>
        <w:gridCol w:w="6930"/>
        <w:gridCol w:w="992"/>
      </w:tblGrid>
      <w:tr w:rsidR="007C318F" w:rsidRPr="00A5490A" w14:paraId="1ACEFE91" w14:textId="77777777" w:rsidTr="007C318F">
        <w:tc>
          <w:tcPr>
            <w:tcW w:w="1258" w:type="dxa"/>
            <w:vAlign w:val="center"/>
          </w:tcPr>
          <w:p w14:paraId="38AD43C5" w14:textId="77777777" w:rsidR="007C318F" w:rsidRPr="00A5490A" w:rsidRDefault="007C318F" w:rsidP="007C318F">
            <w:pPr>
              <w:spacing w:after="0" w:line="240" w:lineRule="auto"/>
              <w:jc w:val="center"/>
              <w:rPr>
                <w:rFonts w:ascii="Arial" w:eastAsia="Times New Roman" w:hAnsi="Arial" w:cs="Arial"/>
                <w:sz w:val="18"/>
                <w:szCs w:val="18"/>
                <w:lang w:eastAsia="pt-BR"/>
              </w:rPr>
            </w:pPr>
            <w:r>
              <w:rPr>
                <w:rFonts w:ascii="Arial" w:eastAsia="Times New Roman" w:hAnsi="Arial" w:cs="Arial"/>
                <w:sz w:val="18"/>
                <w:szCs w:val="18"/>
                <w:lang w:eastAsia="pt-BR"/>
              </w:rPr>
              <w:t>Código</w:t>
            </w:r>
          </w:p>
        </w:tc>
        <w:tc>
          <w:tcPr>
            <w:tcW w:w="6930" w:type="dxa"/>
            <w:shd w:val="clear" w:color="auto" w:fill="auto"/>
            <w:vAlign w:val="center"/>
          </w:tcPr>
          <w:p w14:paraId="6A0DB7C0" w14:textId="77777777" w:rsidR="007C318F" w:rsidRPr="00A5490A" w:rsidRDefault="007C318F" w:rsidP="007C318F">
            <w:pPr>
              <w:spacing w:before="120" w:after="12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Descrição</w:t>
            </w:r>
          </w:p>
        </w:tc>
        <w:tc>
          <w:tcPr>
            <w:tcW w:w="992" w:type="dxa"/>
            <w:shd w:val="clear" w:color="auto" w:fill="auto"/>
            <w:vAlign w:val="center"/>
          </w:tcPr>
          <w:p w14:paraId="2B4F4320" w14:textId="77777777" w:rsidR="007C318F" w:rsidRPr="00A5490A" w:rsidRDefault="007C318F" w:rsidP="007C318F">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Formato</w:t>
            </w:r>
          </w:p>
        </w:tc>
      </w:tr>
      <w:tr w:rsidR="009F4BB0" w:rsidRPr="00670189" w14:paraId="76DBDB2E" w14:textId="77777777" w:rsidTr="007C318F">
        <w:tc>
          <w:tcPr>
            <w:tcW w:w="1258" w:type="dxa"/>
            <w:vAlign w:val="center"/>
          </w:tcPr>
          <w:p w14:paraId="1208AF49" w14:textId="57F0DC3A" w:rsidR="009F4BB0" w:rsidRPr="00670189" w:rsidRDefault="009F4BB0" w:rsidP="009F4BB0">
            <w:pPr>
              <w:spacing w:after="0" w:line="240" w:lineRule="auto"/>
              <w:jc w:val="center"/>
              <w:rPr>
                <w:rFonts w:ascii="Arial" w:eastAsia="Times New Roman" w:hAnsi="Arial" w:cs="Arial"/>
                <w:color w:val="0070C0"/>
                <w:sz w:val="18"/>
                <w:szCs w:val="18"/>
                <w:lang w:eastAsia="pt-BR"/>
              </w:rPr>
            </w:pPr>
            <w:r w:rsidRPr="00670189">
              <w:rPr>
                <w:rFonts w:ascii="Arial" w:eastAsia="Times New Roman" w:hAnsi="Arial" w:cs="Arial"/>
                <w:color w:val="0070C0"/>
                <w:sz w:val="18"/>
                <w:szCs w:val="18"/>
                <w:lang w:eastAsia="pt-BR"/>
              </w:rPr>
              <w:t>INFOCI</w:t>
            </w:r>
          </w:p>
        </w:tc>
        <w:tc>
          <w:tcPr>
            <w:tcW w:w="6930" w:type="dxa"/>
            <w:shd w:val="clear" w:color="auto" w:fill="auto"/>
            <w:vAlign w:val="center"/>
          </w:tcPr>
          <w:p w14:paraId="7239363E" w14:textId="260D8592" w:rsidR="009F4BB0" w:rsidRPr="00670189" w:rsidRDefault="00D668F4" w:rsidP="009F4BB0">
            <w:pPr>
              <w:spacing w:after="0" w:line="360" w:lineRule="auto"/>
              <w:jc w:val="both"/>
              <w:rPr>
                <w:rFonts w:ascii="Arial" w:eastAsia="Calibri" w:hAnsi="Arial" w:cs="Times New Roman"/>
                <w:color w:val="0070C0"/>
                <w:sz w:val="18"/>
                <w:szCs w:val="18"/>
              </w:rPr>
            </w:pPr>
            <w:r w:rsidRPr="00D668F4">
              <w:rPr>
                <w:rFonts w:ascii="Arial" w:eastAsia="Calibri" w:hAnsi="Arial" w:cs="Times New Roman"/>
                <w:color w:val="0070C0"/>
                <w:sz w:val="18"/>
                <w:szCs w:val="18"/>
              </w:rPr>
              <w:t>Informações da unidade de Controle Interno, bem como as informações sobre a atuação do Controle Interno na verificação dos pontos de controle destinados à emissão do parecer sobre as Prestações de Contas Anuais, conforme layout constante do item 3.1 deste Anexo.</w:t>
            </w:r>
          </w:p>
        </w:tc>
        <w:tc>
          <w:tcPr>
            <w:tcW w:w="992" w:type="dxa"/>
            <w:shd w:val="clear" w:color="auto" w:fill="auto"/>
            <w:vAlign w:val="center"/>
          </w:tcPr>
          <w:p w14:paraId="17E2E79B" w14:textId="77777777" w:rsidR="009F4BB0" w:rsidRPr="00E457D8" w:rsidRDefault="009F4BB0" w:rsidP="009F4BB0">
            <w:pPr>
              <w:spacing w:after="0" w:line="240" w:lineRule="auto"/>
              <w:jc w:val="center"/>
              <w:rPr>
                <w:rFonts w:ascii="Arial" w:eastAsia="Times New Roman" w:hAnsi="Arial" w:cs="Arial"/>
                <w:color w:val="0070C0"/>
                <w:sz w:val="14"/>
                <w:szCs w:val="14"/>
                <w:lang w:eastAsia="pt-BR"/>
              </w:rPr>
            </w:pPr>
            <w:r w:rsidRPr="00E457D8">
              <w:rPr>
                <w:rFonts w:ascii="Arial" w:eastAsia="Times New Roman" w:hAnsi="Arial" w:cs="Arial"/>
                <w:color w:val="0070C0"/>
                <w:sz w:val="14"/>
                <w:szCs w:val="14"/>
                <w:lang w:eastAsia="pt-BR"/>
              </w:rPr>
              <w:t>XML</w:t>
            </w:r>
          </w:p>
        </w:tc>
      </w:tr>
    </w:tbl>
    <w:p w14:paraId="015046E1" w14:textId="16ADC0CE" w:rsidR="007C318F" w:rsidRDefault="007C318F" w:rsidP="00450459">
      <w:pPr>
        <w:tabs>
          <w:tab w:val="left" w:pos="8248"/>
        </w:tabs>
        <w:rPr>
          <w:rFonts w:ascii="Arial" w:hAnsi="Arial" w:cs="Arial"/>
          <w:b/>
          <w:color w:val="00B050"/>
          <w:sz w:val="20"/>
          <w:szCs w:val="20"/>
        </w:rPr>
      </w:pPr>
    </w:p>
    <w:p w14:paraId="22CA6605" w14:textId="77777777" w:rsidR="00F9497F" w:rsidRDefault="00F9497F" w:rsidP="00450459">
      <w:pPr>
        <w:tabs>
          <w:tab w:val="left" w:pos="8248"/>
        </w:tabs>
        <w:rPr>
          <w:rFonts w:ascii="Arial" w:hAnsi="Arial" w:cs="Arial"/>
          <w:b/>
          <w:color w:val="00B050"/>
          <w:sz w:val="20"/>
          <w:szCs w:val="20"/>
        </w:rPr>
      </w:pPr>
    </w:p>
    <w:p w14:paraId="154AD186" w14:textId="7C9684E7" w:rsidR="007C318F" w:rsidRPr="00613437" w:rsidRDefault="007C318F" w:rsidP="007C318F">
      <w:pPr>
        <w:pStyle w:val="Ttulo2"/>
        <w:rPr>
          <w:lang w:val="pt-BR"/>
        </w:rPr>
      </w:pPr>
      <w:bookmarkStart w:id="103" w:name="_Toc94806373"/>
      <w:r w:rsidRPr="00613437">
        <w:rPr>
          <w:lang w:val="pt-BR"/>
        </w:rPr>
        <w:t>Alterou o Rol de Documentos CONTAS DAS MESAS DIRETORAS DAS CÂMARAS MUNICIPAIS</w:t>
      </w:r>
      <w:bookmarkEnd w:id="103"/>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8"/>
        <w:gridCol w:w="6930"/>
        <w:gridCol w:w="992"/>
      </w:tblGrid>
      <w:tr w:rsidR="007C318F" w:rsidRPr="00A5490A" w14:paraId="0820B4CF" w14:textId="77777777" w:rsidTr="007C318F">
        <w:tc>
          <w:tcPr>
            <w:tcW w:w="1258" w:type="dxa"/>
            <w:vAlign w:val="center"/>
          </w:tcPr>
          <w:p w14:paraId="525242E1" w14:textId="77777777" w:rsidR="007C318F" w:rsidRPr="00A5490A" w:rsidRDefault="007C318F" w:rsidP="007C318F">
            <w:pPr>
              <w:spacing w:after="0" w:line="240" w:lineRule="auto"/>
              <w:jc w:val="center"/>
              <w:rPr>
                <w:rFonts w:ascii="Arial" w:eastAsia="Times New Roman" w:hAnsi="Arial" w:cs="Arial"/>
                <w:sz w:val="18"/>
                <w:szCs w:val="18"/>
                <w:lang w:eastAsia="pt-BR"/>
              </w:rPr>
            </w:pPr>
            <w:r>
              <w:rPr>
                <w:rFonts w:ascii="Arial" w:eastAsia="Times New Roman" w:hAnsi="Arial" w:cs="Arial"/>
                <w:sz w:val="18"/>
                <w:szCs w:val="18"/>
                <w:lang w:eastAsia="pt-BR"/>
              </w:rPr>
              <w:t>Código</w:t>
            </w:r>
          </w:p>
        </w:tc>
        <w:tc>
          <w:tcPr>
            <w:tcW w:w="6930" w:type="dxa"/>
            <w:shd w:val="clear" w:color="auto" w:fill="auto"/>
            <w:vAlign w:val="center"/>
          </w:tcPr>
          <w:p w14:paraId="38DCA102" w14:textId="77777777" w:rsidR="007C318F" w:rsidRPr="00A5490A" w:rsidRDefault="007C318F" w:rsidP="007C318F">
            <w:pPr>
              <w:spacing w:before="120" w:after="12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Descrição</w:t>
            </w:r>
          </w:p>
        </w:tc>
        <w:tc>
          <w:tcPr>
            <w:tcW w:w="992" w:type="dxa"/>
            <w:shd w:val="clear" w:color="auto" w:fill="auto"/>
            <w:vAlign w:val="center"/>
          </w:tcPr>
          <w:p w14:paraId="03199974" w14:textId="77777777" w:rsidR="007C318F" w:rsidRPr="00A5490A" w:rsidRDefault="007C318F" w:rsidP="007C318F">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Formato</w:t>
            </w:r>
          </w:p>
        </w:tc>
      </w:tr>
      <w:tr w:rsidR="007C318F" w:rsidRPr="00670189" w14:paraId="107EB11F" w14:textId="77777777" w:rsidTr="007C318F">
        <w:tc>
          <w:tcPr>
            <w:tcW w:w="1258" w:type="dxa"/>
            <w:vAlign w:val="center"/>
          </w:tcPr>
          <w:p w14:paraId="69C52F7B" w14:textId="77777777" w:rsidR="007C318F" w:rsidRPr="00670189" w:rsidRDefault="007C318F" w:rsidP="007C318F">
            <w:pPr>
              <w:spacing w:after="0" w:line="240" w:lineRule="auto"/>
              <w:jc w:val="center"/>
              <w:rPr>
                <w:rFonts w:ascii="Arial" w:eastAsia="Times New Roman" w:hAnsi="Arial" w:cs="Arial"/>
                <w:color w:val="0070C0"/>
                <w:sz w:val="18"/>
                <w:szCs w:val="18"/>
                <w:lang w:eastAsia="pt-BR"/>
              </w:rPr>
            </w:pPr>
            <w:r w:rsidRPr="00670189">
              <w:rPr>
                <w:rFonts w:ascii="Arial" w:eastAsia="Times New Roman" w:hAnsi="Arial" w:cs="Arial"/>
                <w:color w:val="0070C0"/>
                <w:sz w:val="18"/>
                <w:szCs w:val="18"/>
                <w:lang w:eastAsia="pt-BR"/>
              </w:rPr>
              <w:t>INFOCI</w:t>
            </w:r>
          </w:p>
        </w:tc>
        <w:tc>
          <w:tcPr>
            <w:tcW w:w="6930" w:type="dxa"/>
            <w:shd w:val="clear" w:color="auto" w:fill="auto"/>
            <w:vAlign w:val="center"/>
          </w:tcPr>
          <w:p w14:paraId="4CBB810D" w14:textId="31625483" w:rsidR="007C318F" w:rsidRPr="00670189" w:rsidRDefault="00D668F4" w:rsidP="007C318F">
            <w:pPr>
              <w:spacing w:after="0" w:line="360" w:lineRule="auto"/>
              <w:jc w:val="both"/>
              <w:rPr>
                <w:rFonts w:ascii="Arial" w:eastAsia="Calibri" w:hAnsi="Arial" w:cs="Times New Roman"/>
                <w:color w:val="0070C0"/>
                <w:sz w:val="18"/>
                <w:szCs w:val="18"/>
              </w:rPr>
            </w:pPr>
            <w:r w:rsidRPr="00D668F4">
              <w:rPr>
                <w:rFonts w:ascii="Arial" w:eastAsia="Calibri" w:hAnsi="Arial" w:cs="Times New Roman"/>
                <w:color w:val="0070C0"/>
                <w:sz w:val="18"/>
                <w:szCs w:val="18"/>
              </w:rPr>
              <w:t>Informações da unidade de Controle Interno, bem como as informações sobre a atuação do Controle Interno na verificação dos pontos de controle destinados à emissão do parecer sobre as Prestações de Contas Anuais, conforme layout constante do item 3.1 deste Anexo.</w:t>
            </w:r>
          </w:p>
        </w:tc>
        <w:tc>
          <w:tcPr>
            <w:tcW w:w="992" w:type="dxa"/>
            <w:shd w:val="clear" w:color="auto" w:fill="auto"/>
            <w:vAlign w:val="center"/>
          </w:tcPr>
          <w:p w14:paraId="5052B88C" w14:textId="77777777" w:rsidR="007C318F" w:rsidRPr="00E457D8" w:rsidRDefault="007C318F" w:rsidP="007C318F">
            <w:pPr>
              <w:spacing w:after="0" w:line="240" w:lineRule="auto"/>
              <w:jc w:val="center"/>
              <w:rPr>
                <w:rFonts w:ascii="Arial" w:eastAsia="Times New Roman" w:hAnsi="Arial" w:cs="Arial"/>
                <w:color w:val="0070C0"/>
                <w:sz w:val="14"/>
                <w:szCs w:val="14"/>
                <w:lang w:eastAsia="pt-BR"/>
              </w:rPr>
            </w:pPr>
            <w:r w:rsidRPr="00E457D8">
              <w:rPr>
                <w:rFonts w:ascii="Arial" w:eastAsia="Times New Roman" w:hAnsi="Arial" w:cs="Arial"/>
                <w:color w:val="0070C0"/>
                <w:sz w:val="14"/>
                <w:szCs w:val="14"/>
                <w:lang w:eastAsia="pt-BR"/>
              </w:rPr>
              <w:t>XML</w:t>
            </w:r>
          </w:p>
        </w:tc>
      </w:tr>
    </w:tbl>
    <w:p w14:paraId="3313CD59" w14:textId="49B896B9" w:rsidR="009B1C79" w:rsidRDefault="009B1C79" w:rsidP="00E65453">
      <w:pPr>
        <w:jc w:val="both"/>
        <w:rPr>
          <w:rFonts w:ascii="Arial" w:hAnsi="Arial" w:cs="Arial"/>
          <w:bCs/>
          <w:sz w:val="24"/>
          <w:szCs w:val="24"/>
        </w:rPr>
      </w:pPr>
    </w:p>
    <w:p w14:paraId="497B06EE" w14:textId="77777777" w:rsidR="00F9497F" w:rsidRDefault="00F9497F" w:rsidP="00E65453">
      <w:pPr>
        <w:jc w:val="both"/>
        <w:rPr>
          <w:rFonts w:ascii="Arial" w:hAnsi="Arial" w:cs="Arial"/>
          <w:bCs/>
          <w:sz w:val="24"/>
          <w:szCs w:val="24"/>
        </w:rPr>
      </w:pPr>
    </w:p>
    <w:p w14:paraId="0D657F58" w14:textId="3B23870C" w:rsidR="006D5F21" w:rsidRPr="00613437" w:rsidRDefault="006D5F21" w:rsidP="006D5F21">
      <w:pPr>
        <w:pStyle w:val="Ttulo2"/>
        <w:rPr>
          <w:lang w:val="pt-BR"/>
        </w:rPr>
      </w:pPr>
      <w:bookmarkStart w:id="104" w:name="_Toc94806374"/>
      <w:r w:rsidRPr="00613437">
        <w:rPr>
          <w:lang w:val="pt-BR"/>
        </w:rPr>
        <w:t>Alterou o Rol de Documentos CONTAS DA MESA DIRETORA DA ASSEMBÉIA LEGISLATIVA</w:t>
      </w:r>
      <w:bookmarkEnd w:id="104"/>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8"/>
        <w:gridCol w:w="6930"/>
        <w:gridCol w:w="992"/>
      </w:tblGrid>
      <w:tr w:rsidR="006D5F21" w:rsidRPr="00A5490A" w14:paraId="1B9677DB" w14:textId="77777777" w:rsidTr="00F2087C">
        <w:tc>
          <w:tcPr>
            <w:tcW w:w="1258" w:type="dxa"/>
            <w:vAlign w:val="center"/>
          </w:tcPr>
          <w:p w14:paraId="3299C744" w14:textId="77777777" w:rsidR="006D5F21" w:rsidRPr="00A5490A" w:rsidRDefault="006D5F21" w:rsidP="00F2087C">
            <w:pPr>
              <w:spacing w:after="0" w:line="240" w:lineRule="auto"/>
              <w:jc w:val="center"/>
              <w:rPr>
                <w:rFonts w:ascii="Arial" w:eastAsia="Times New Roman" w:hAnsi="Arial" w:cs="Arial"/>
                <w:sz w:val="18"/>
                <w:szCs w:val="18"/>
                <w:lang w:eastAsia="pt-BR"/>
              </w:rPr>
            </w:pPr>
            <w:r>
              <w:rPr>
                <w:rFonts w:ascii="Arial" w:eastAsia="Times New Roman" w:hAnsi="Arial" w:cs="Arial"/>
                <w:sz w:val="18"/>
                <w:szCs w:val="18"/>
                <w:lang w:eastAsia="pt-BR"/>
              </w:rPr>
              <w:lastRenderedPageBreak/>
              <w:t>Código</w:t>
            </w:r>
          </w:p>
        </w:tc>
        <w:tc>
          <w:tcPr>
            <w:tcW w:w="6930" w:type="dxa"/>
            <w:shd w:val="clear" w:color="auto" w:fill="auto"/>
            <w:vAlign w:val="center"/>
          </w:tcPr>
          <w:p w14:paraId="507E377F" w14:textId="77777777" w:rsidR="006D5F21" w:rsidRPr="00A5490A" w:rsidRDefault="006D5F21" w:rsidP="00F2087C">
            <w:pPr>
              <w:spacing w:before="120" w:after="12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Descrição</w:t>
            </w:r>
          </w:p>
        </w:tc>
        <w:tc>
          <w:tcPr>
            <w:tcW w:w="992" w:type="dxa"/>
            <w:shd w:val="clear" w:color="auto" w:fill="auto"/>
            <w:vAlign w:val="center"/>
          </w:tcPr>
          <w:p w14:paraId="1523DB08" w14:textId="77777777" w:rsidR="006D5F21" w:rsidRPr="00A5490A" w:rsidRDefault="006D5F21" w:rsidP="00F2087C">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Formato</w:t>
            </w:r>
          </w:p>
        </w:tc>
      </w:tr>
      <w:tr w:rsidR="006D5F21" w:rsidRPr="00670189" w14:paraId="176614A0" w14:textId="77777777" w:rsidTr="00F2087C">
        <w:tc>
          <w:tcPr>
            <w:tcW w:w="1258" w:type="dxa"/>
            <w:vAlign w:val="center"/>
          </w:tcPr>
          <w:p w14:paraId="7680DE01" w14:textId="77777777" w:rsidR="006D5F21" w:rsidRPr="00670189" w:rsidRDefault="006D5F21" w:rsidP="00F2087C">
            <w:pPr>
              <w:spacing w:after="0" w:line="240" w:lineRule="auto"/>
              <w:jc w:val="center"/>
              <w:rPr>
                <w:rFonts w:ascii="Arial" w:eastAsia="Times New Roman" w:hAnsi="Arial" w:cs="Arial"/>
                <w:color w:val="0070C0"/>
                <w:sz w:val="18"/>
                <w:szCs w:val="18"/>
                <w:lang w:eastAsia="pt-BR"/>
              </w:rPr>
            </w:pPr>
            <w:r w:rsidRPr="00670189">
              <w:rPr>
                <w:rFonts w:ascii="Arial" w:eastAsia="Times New Roman" w:hAnsi="Arial" w:cs="Arial"/>
                <w:color w:val="0070C0"/>
                <w:sz w:val="18"/>
                <w:szCs w:val="18"/>
                <w:lang w:eastAsia="pt-BR"/>
              </w:rPr>
              <w:t>INFOCI</w:t>
            </w:r>
          </w:p>
        </w:tc>
        <w:tc>
          <w:tcPr>
            <w:tcW w:w="6930" w:type="dxa"/>
            <w:shd w:val="clear" w:color="auto" w:fill="auto"/>
            <w:vAlign w:val="center"/>
          </w:tcPr>
          <w:p w14:paraId="48D1B736" w14:textId="503649B9" w:rsidR="006D5F21" w:rsidRPr="00670189" w:rsidRDefault="00D668F4" w:rsidP="00F2087C">
            <w:pPr>
              <w:spacing w:after="0" w:line="360" w:lineRule="auto"/>
              <w:jc w:val="both"/>
              <w:rPr>
                <w:rFonts w:ascii="Arial" w:eastAsia="Calibri" w:hAnsi="Arial" w:cs="Times New Roman"/>
                <w:color w:val="0070C0"/>
                <w:sz w:val="18"/>
                <w:szCs w:val="18"/>
              </w:rPr>
            </w:pPr>
            <w:r w:rsidRPr="00D668F4">
              <w:rPr>
                <w:rFonts w:ascii="Arial" w:eastAsia="Calibri" w:hAnsi="Arial" w:cs="Times New Roman"/>
                <w:color w:val="0070C0"/>
                <w:sz w:val="18"/>
                <w:szCs w:val="18"/>
              </w:rPr>
              <w:t>Informações da unidade de Controle Interno, bem como as informações sobre a atuação do Controle Interno na verificação dos pontos de controle destinados à emissão do parecer sobre as Prestações de Contas Anuais, conforme layout constante do item 3.1 deste Anexo.</w:t>
            </w:r>
          </w:p>
        </w:tc>
        <w:tc>
          <w:tcPr>
            <w:tcW w:w="992" w:type="dxa"/>
            <w:shd w:val="clear" w:color="auto" w:fill="auto"/>
            <w:vAlign w:val="center"/>
          </w:tcPr>
          <w:p w14:paraId="306E6D5B" w14:textId="77777777" w:rsidR="006D5F21" w:rsidRPr="00E457D8" w:rsidRDefault="006D5F21" w:rsidP="00F2087C">
            <w:pPr>
              <w:spacing w:after="0" w:line="240" w:lineRule="auto"/>
              <w:jc w:val="center"/>
              <w:rPr>
                <w:rFonts w:ascii="Arial" w:eastAsia="Times New Roman" w:hAnsi="Arial" w:cs="Arial"/>
                <w:color w:val="0070C0"/>
                <w:sz w:val="14"/>
                <w:szCs w:val="14"/>
                <w:lang w:eastAsia="pt-BR"/>
              </w:rPr>
            </w:pPr>
            <w:r w:rsidRPr="00E457D8">
              <w:rPr>
                <w:rFonts w:ascii="Arial" w:eastAsia="Times New Roman" w:hAnsi="Arial" w:cs="Arial"/>
                <w:color w:val="0070C0"/>
                <w:sz w:val="14"/>
                <w:szCs w:val="14"/>
                <w:lang w:eastAsia="pt-BR"/>
              </w:rPr>
              <w:t>XML</w:t>
            </w:r>
          </w:p>
        </w:tc>
      </w:tr>
    </w:tbl>
    <w:p w14:paraId="5D00A728" w14:textId="42320C6D" w:rsidR="006D5F21" w:rsidRDefault="006D5F21" w:rsidP="006D5F21">
      <w:pPr>
        <w:jc w:val="both"/>
      </w:pPr>
    </w:p>
    <w:p w14:paraId="62B34914" w14:textId="331ED351" w:rsidR="006D5F21" w:rsidRPr="00613437" w:rsidRDefault="006D5F21" w:rsidP="006D5F21">
      <w:pPr>
        <w:pStyle w:val="Ttulo2"/>
        <w:rPr>
          <w:lang w:val="pt-BR"/>
        </w:rPr>
      </w:pPr>
      <w:bookmarkStart w:id="105" w:name="_Toc94806375"/>
      <w:r w:rsidRPr="00613437">
        <w:rPr>
          <w:lang w:val="pt-BR"/>
        </w:rPr>
        <w:t>Alterou o Rol de Documentos CONTAS DOS ORDENADORES DE DEPESAS DO MINISTÉRIO PÚBLICO, DO TRIBUNAL DE JUSTIÇA</w:t>
      </w:r>
      <w:r w:rsidR="00DC56A0" w:rsidRPr="00613437">
        <w:rPr>
          <w:lang w:val="pt-BR"/>
        </w:rPr>
        <w:t xml:space="preserve">, </w:t>
      </w:r>
      <w:r w:rsidR="00DC56A0" w:rsidRPr="00613437">
        <w:rPr>
          <w:color w:val="0070C0"/>
          <w:lang w:val="pt-BR"/>
        </w:rPr>
        <w:t>DO TRIBUNAL DE CONTAS</w:t>
      </w:r>
      <w:r w:rsidRPr="00613437">
        <w:rPr>
          <w:color w:val="0070C0"/>
          <w:lang w:val="pt-BR"/>
        </w:rPr>
        <w:t xml:space="preserve"> </w:t>
      </w:r>
      <w:r w:rsidRPr="00613437">
        <w:rPr>
          <w:lang w:val="pt-BR"/>
        </w:rPr>
        <w:t>E DA DEFENSORIA PÚBLICA</w:t>
      </w:r>
      <w:bookmarkEnd w:id="105"/>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8"/>
        <w:gridCol w:w="6930"/>
        <w:gridCol w:w="992"/>
      </w:tblGrid>
      <w:tr w:rsidR="006D5F21" w:rsidRPr="00A5490A" w14:paraId="336A0655" w14:textId="77777777" w:rsidTr="00F2087C">
        <w:tc>
          <w:tcPr>
            <w:tcW w:w="1258" w:type="dxa"/>
            <w:vAlign w:val="center"/>
          </w:tcPr>
          <w:p w14:paraId="7A9AA6DB" w14:textId="77777777" w:rsidR="006D5F21" w:rsidRPr="00A5490A" w:rsidRDefault="006D5F21" w:rsidP="00F2087C">
            <w:pPr>
              <w:spacing w:after="0" w:line="240" w:lineRule="auto"/>
              <w:jc w:val="center"/>
              <w:rPr>
                <w:rFonts w:ascii="Arial" w:eastAsia="Times New Roman" w:hAnsi="Arial" w:cs="Arial"/>
                <w:sz w:val="18"/>
                <w:szCs w:val="18"/>
                <w:lang w:eastAsia="pt-BR"/>
              </w:rPr>
            </w:pPr>
            <w:r>
              <w:rPr>
                <w:rFonts w:ascii="Arial" w:eastAsia="Times New Roman" w:hAnsi="Arial" w:cs="Arial"/>
                <w:sz w:val="18"/>
                <w:szCs w:val="18"/>
                <w:lang w:eastAsia="pt-BR"/>
              </w:rPr>
              <w:t>Código</w:t>
            </w:r>
          </w:p>
        </w:tc>
        <w:tc>
          <w:tcPr>
            <w:tcW w:w="6930" w:type="dxa"/>
            <w:shd w:val="clear" w:color="auto" w:fill="auto"/>
            <w:vAlign w:val="center"/>
          </w:tcPr>
          <w:p w14:paraId="1A002216" w14:textId="77777777" w:rsidR="006D5F21" w:rsidRPr="00A5490A" w:rsidRDefault="006D5F21" w:rsidP="00F2087C">
            <w:pPr>
              <w:spacing w:before="120" w:after="12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Descrição</w:t>
            </w:r>
          </w:p>
        </w:tc>
        <w:tc>
          <w:tcPr>
            <w:tcW w:w="992" w:type="dxa"/>
            <w:shd w:val="clear" w:color="auto" w:fill="auto"/>
            <w:vAlign w:val="center"/>
          </w:tcPr>
          <w:p w14:paraId="122869A8" w14:textId="77777777" w:rsidR="006D5F21" w:rsidRPr="00A5490A" w:rsidRDefault="006D5F21" w:rsidP="00F2087C">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Formato</w:t>
            </w:r>
          </w:p>
        </w:tc>
      </w:tr>
      <w:tr w:rsidR="006D5F21" w:rsidRPr="00670189" w14:paraId="2C435CE4" w14:textId="77777777" w:rsidTr="00F2087C">
        <w:tc>
          <w:tcPr>
            <w:tcW w:w="1258" w:type="dxa"/>
            <w:vAlign w:val="center"/>
          </w:tcPr>
          <w:p w14:paraId="0581BC7B" w14:textId="77777777" w:rsidR="006D5F21" w:rsidRPr="00670189" w:rsidRDefault="006D5F21" w:rsidP="00F2087C">
            <w:pPr>
              <w:spacing w:after="0" w:line="240" w:lineRule="auto"/>
              <w:jc w:val="center"/>
              <w:rPr>
                <w:rFonts w:ascii="Arial" w:eastAsia="Times New Roman" w:hAnsi="Arial" w:cs="Arial"/>
                <w:color w:val="0070C0"/>
                <w:sz w:val="18"/>
                <w:szCs w:val="18"/>
                <w:lang w:eastAsia="pt-BR"/>
              </w:rPr>
            </w:pPr>
            <w:r w:rsidRPr="00670189">
              <w:rPr>
                <w:rFonts w:ascii="Arial" w:eastAsia="Times New Roman" w:hAnsi="Arial" w:cs="Arial"/>
                <w:color w:val="0070C0"/>
                <w:sz w:val="18"/>
                <w:szCs w:val="18"/>
                <w:lang w:eastAsia="pt-BR"/>
              </w:rPr>
              <w:t>INFOCI</w:t>
            </w:r>
          </w:p>
        </w:tc>
        <w:tc>
          <w:tcPr>
            <w:tcW w:w="6930" w:type="dxa"/>
            <w:shd w:val="clear" w:color="auto" w:fill="auto"/>
            <w:vAlign w:val="center"/>
          </w:tcPr>
          <w:p w14:paraId="5D2866BD" w14:textId="0325616A" w:rsidR="006D5F21" w:rsidRPr="00670189" w:rsidRDefault="00D668F4" w:rsidP="00F2087C">
            <w:pPr>
              <w:spacing w:after="0" w:line="360" w:lineRule="auto"/>
              <w:jc w:val="both"/>
              <w:rPr>
                <w:rFonts w:ascii="Arial" w:eastAsia="Calibri" w:hAnsi="Arial" w:cs="Times New Roman"/>
                <w:color w:val="0070C0"/>
                <w:sz w:val="18"/>
                <w:szCs w:val="18"/>
              </w:rPr>
            </w:pPr>
            <w:r w:rsidRPr="00D668F4">
              <w:rPr>
                <w:rFonts w:ascii="Arial" w:eastAsia="Calibri" w:hAnsi="Arial" w:cs="Times New Roman"/>
                <w:color w:val="0070C0"/>
                <w:sz w:val="18"/>
                <w:szCs w:val="18"/>
              </w:rPr>
              <w:t>Informações da unidade de Controle Interno, bem como as informações sobre a atuação do Controle Interno na verificação dos pontos de controle destinados à emissão do parecer sobre as Prestações de Contas Anuais, conforme layout constante do item 3.1 deste Anexo.</w:t>
            </w:r>
          </w:p>
        </w:tc>
        <w:tc>
          <w:tcPr>
            <w:tcW w:w="992" w:type="dxa"/>
            <w:shd w:val="clear" w:color="auto" w:fill="auto"/>
            <w:vAlign w:val="center"/>
          </w:tcPr>
          <w:p w14:paraId="71FA595E" w14:textId="77777777" w:rsidR="006D5F21" w:rsidRPr="00E457D8" w:rsidRDefault="006D5F21" w:rsidP="00F2087C">
            <w:pPr>
              <w:spacing w:after="0" w:line="240" w:lineRule="auto"/>
              <w:jc w:val="center"/>
              <w:rPr>
                <w:rFonts w:ascii="Arial" w:eastAsia="Times New Roman" w:hAnsi="Arial" w:cs="Arial"/>
                <w:color w:val="0070C0"/>
                <w:sz w:val="14"/>
                <w:szCs w:val="14"/>
                <w:lang w:eastAsia="pt-BR"/>
              </w:rPr>
            </w:pPr>
            <w:r w:rsidRPr="00E457D8">
              <w:rPr>
                <w:rFonts w:ascii="Arial" w:eastAsia="Times New Roman" w:hAnsi="Arial" w:cs="Arial"/>
                <w:color w:val="0070C0"/>
                <w:sz w:val="14"/>
                <w:szCs w:val="14"/>
                <w:lang w:eastAsia="pt-BR"/>
              </w:rPr>
              <w:t>XML</w:t>
            </w:r>
          </w:p>
        </w:tc>
      </w:tr>
    </w:tbl>
    <w:p w14:paraId="52A312AD" w14:textId="287623AB" w:rsidR="006D5F21" w:rsidRPr="007C318F" w:rsidRDefault="006D5F21" w:rsidP="006D5F21">
      <w:pPr>
        <w:jc w:val="both"/>
        <w:sectPr w:rsidR="006D5F21" w:rsidRPr="007C318F" w:rsidSect="00E7482B">
          <w:headerReference w:type="even" r:id="rId17"/>
          <w:headerReference w:type="default" r:id="rId18"/>
          <w:footerReference w:type="even" r:id="rId19"/>
          <w:footerReference w:type="default" r:id="rId20"/>
          <w:footnotePr>
            <w:numRestart w:val="eachPage"/>
          </w:footnotePr>
          <w:pgSz w:w="11906" w:h="16838"/>
          <w:pgMar w:top="1418" w:right="1701" w:bottom="1418" w:left="1134" w:header="709" w:footer="709" w:gutter="0"/>
          <w:cols w:space="708"/>
          <w:docGrid w:linePitch="360"/>
        </w:sectPr>
      </w:pPr>
    </w:p>
    <w:p w14:paraId="10530E03" w14:textId="77777777" w:rsidR="00DB4658" w:rsidRPr="00613437" w:rsidRDefault="00DB4658" w:rsidP="00DB4658">
      <w:pPr>
        <w:pStyle w:val="Ttulo2"/>
        <w:ind w:left="567"/>
        <w:rPr>
          <w:lang w:val="pt-BR"/>
        </w:rPr>
      </w:pPr>
      <w:bookmarkStart w:id="106" w:name="_Toc94806376"/>
      <w:r w:rsidRPr="00613437">
        <w:rPr>
          <w:lang w:val="pt-BR"/>
        </w:rPr>
        <w:lastRenderedPageBreak/>
        <w:t>Alterou o Rol do Documentos CONTAS DOS ORDENADORES DE DESPESAS DOS INSTITUTOS PRÓPRIOS DE PREVIDÊNCIA MUNICIPAIS (RPPS EM ATIVIDADE E OS EM EXTINÇÃO)</w:t>
      </w:r>
      <w:bookmarkEnd w:id="106"/>
    </w:p>
    <w:p w14:paraId="61C43156" w14:textId="033BB515" w:rsidR="00DB4658" w:rsidRDefault="00DB4658" w:rsidP="00DB4658">
      <w:pPr>
        <w:jc w:val="both"/>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4"/>
        <w:gridCol w:w="7206"/>
        <w:gridCol w:w="993"/>
        <w:gridCol w:w="992"/>
        <w:gridCol w:w="992"/>
        <w:gridCol w:w="851"/>
        <w:gridCol w:w="850"/>
        <w:gridCol w:w="851"/>
      </w:tblGrid>
      <w:tr w:rsidR="00DB4658" w:rsidRPr="00A5490A" w14:paraId="22D60815" w14:textId="77777777" w:rsidTr="00F2087C">
        <w:tc>
          <w:tcPr>
            <w:tcW w:w="1294" w:type="dxa"/>
            <w:vAlign w:val="center"/>
          </w:tcPr>
          <w:p w14:paraId="763410D4" w14:textId="77777777" w:rsidR="00DB4658" w:rsidRPr="00A5490A" w:rsidRDefault="00DB4658" w:rsidP="00F2087C">
            <w:pPr>
              <w:spacing w:after="0" w:line="240" w:lineRule="auto"/>
              <w:jc w:val="center"/>
              <w:rPr>
                <w:rFonts w:ascii="Arial" w:eastAsia="Times New Roman" w:hAnsi="Arial" w:cs="Arial"/>
                <w:sz w:val="18"/>
                <w:szCs w:val="18"/>
                <w:lang w:eastAsia="pt-BR"/>
              </w:rPr>
            </w:pPr>
            <w:r>
              <w:rPr>
                <w:rFonts w:ascii="Arial" w:eastAsia="Times New Roman" w:hAnsi="Arial" w:cs="Arial"/>
                <w:sz w:val="18"/>
                <w:szCs w:val="18"/>
                <w:lang w:eastAsia="pt-BR"/>
              </w:rPr>
              <w:t>Código</w:t>
            </w:r>
          </w:p>
        </w:tc>
        <w:tc>
          <w:tcPr>
            <w:tcW w:w="7206" w:type="dxa"/>
            <w:shd w:val="clear" w:color="auto" w:fill="auto"/>
            <w:vAlign w:val="center"/>
          </w:tcPr>
          <w:p w14:paraId="46769A2A" w14:textId="77777777" w:rsidR="00DB4658" w:rsidRPr="00A5490A" w:rsidRDefault="00DB4658" w:rsidP="00F2087C">
            <w:pPr>
              <w:spacing w:before="120" w:after="12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Descrição</w:t>
            </w:r>
          </w:p>
        </w:tc>
        <w:tc>
          <w:tcPr>
            <w:tcW w:w="993" w:type="dxa"/>
            <w:shd w:val="clear" w:color="auto" w:fill="auto"/>
            <w:vAlign w:val="center"/>
          </w:tcPr>
          <w:p w14:paraId="4F050E8E" w14:textId="77777777" w:rsidR="00DB4658" w:rsidRPr="00A5490A" w:rsidRDefault="00DB4658" w:rsidP="00F2087C">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Formato</w:t>
            </w:r>
          </w:p>
        </w:tc>
        <w:tc>
          <w:tcPr>
            <w:tcW w:w="992" w:type="dxa"/>
            <w:vAlign w:val="center"/>
          </w:tcPr>
          <w:p w14:paraId="100C3A80" w14:textId="77777777" w:rsidR="00DB4658" w:rsidRPr="00CB55B0" w:rsidRDefault="00DB4658" w:rsidP="00F2087C">
            <w:pPr>
              <w:spacing w:after="0" w:line="240" w:lineRule="auto"/>
              <w:jc w:val="center"/>
              <w:rPr>
                <w:rFonts w:ascii="Arial" w:eastAsia="Times New Roman" w:hAnsi="Arial" w:cs="Arial"/>
                <w:sz w:val="18"/>
                <w:szCs w:val="18"/>
                <w:lang w:eastAsia="pt-BR"/>
              </w:rPr>
            </w:pPr>
            <w:r w:rsidRPr="00CB55B0">
              <w:rPr>
                <w:rFonts w:ascii="Arial" w:eastAsia="Times New Roman" w:hAnsi="Arial" w:cs="Arial"/>
                <w:sz w:val="18"/>
                <w:szCs w:val="18"/>
                <w:lang w:eastAsia="pt-BR"/>
              </w:rPr>
              <w:t xml:space="preserve">UG única em atividade </w:t>
            </w:r>
          </w:p>
        </w:tc>
        <w:tc>
          <w:tcPr>
            <w:tcW w:w="992" w:type="dxa"/>
            <w:vAlign w:val="center"/>
          </w:tcPr>
          <w:p w14:paraId="402CFCF8" w14:textId="77777777" w:rsidR="00DB4658" w:rsidRPr="00CB55B0" w:rsidRDefault="00DB4658" w:rsidP="00F2087C">
            <w:pPr>
              <w:spacing w:after="0" w:line="240" w:lineRule="auto"/>
              <w:jc w:val="center"/>
              <w:rPr>
                <w:rFonts w:ascii="Arial" w:eastAsia="Times New Roman" w:hAnsi="Arial" w:cs="Arial"/>
                <w:sz w:val="18"/>
                <w:szCs w:val="18"/>
                <w:lang w:eastAsia="pt-BR"/>
              </w:rPr>
            </w:pPr>
            <w:r w:rsidRPr="00CB55B0">
              <w:rPr>
                <w:rFonts w:ascii="Arial" w:eastAsia="Times New Roman" w:hAnsi="Arial" w:cs="Arial"/>
                <w:sz w:val="18"/>
                <w:szCs w:val="18"/>
                <w:lang w:eastAsia="pt-BR"/>
              </w:rPr>
              <w:t>UG única em extinção</w:t>
            </w:r>
          </w:p>
        </w:tc>
        <w:tc>
          <w:tcPr>
            <w:tcW w:w="851" w:type="dxa"/>
            <w:vAlign w:val="center"/>
          </w:tcPr>
          <w:p w14:paraId="18F17FFA" w14:textId="77777777" w:rsidR="00DB4658" w:rsidRPr="00A5490A" w:rsidRDefault="00DB4658" w:rsidP="00F2087C">
            <w:pPr>
              <w:spacing w:after="0" w:line="240" w:lineRule="auto"/>
              <w:jc w:val="center"/>
              <w:rPr>
                <w:rFonts w:ascii="Arial" w:eastAsia="Times New Roman" w:hAnsi="Arial" w:cs="Arial"/>
                <w:sz w:val="18"/>
                <w:szCs w:val="18"/>
                <w:lang w:eastAsia="pt-BR"/>
              </w:rPr>
            </w:pPr>
            <w:r>
              <w:rPr>
                <w:rFonts w:ascii="Arial" w:eastAsia="Times New Roman" w:hAnsi="Arial" w:cs="Arial"/>
                <w:sz w:val="18"/>
                <w:szCs w:val="18"/>
                <w:lang w:eastAsia="pt-BR"/>
              </w:rPr>
              <w:t>Taxa Administração</w:t>
            </w:r>
          </w:p>
        </w:tc>
        <w:tc>
          <w:tcPr>
            <w:tcW w:w="850" w:type="dxa"/>
            <w:vAlign w:val="center"/>
          </w:tcPr>
          <w:p w14:paraId="03C7510C" w14:textId="77777777" w:rsidR="00DB4658" w:rsidRPr="00A5490A" w:rsidRDefault="00DB4658" w:rsidP="00F2087C">
            <w:pPr>
              <w:spacing w:after="0" w:line="240" w:lineRule="auto"/>
              <w:jc w:val="center"/>
              <w:rPr>
                <w:rFonts w:ascii="Arial" w:eastAsia="Times New Roman" w:hAnsi="Arial" w:cs="Arial"/>
                <w:sz w:val="18"/>
                <w:szCs w:val="18"/>
                <w:lang w:eastAsia="pt-BR"/>
              </w:rPr>
            </w:pPr>
            <w:r>
              <w:rPr>
                <w:rFonts w:ascii="Arial" w:eastAsia="Times New Roman" w:hAnsi="Arial" w:cs="Arial"/>
                <w:sz w:val="18"/>
                <w:szCs w:val="18"/>
                <w:lang w:eastAsia="pt-BR"/>
              </w:rPr>
              <w:t>Fundo Financeiro</w:t>
            </w:r>
          </w:p>
        </w:tc>
        <w:tc>
          <w:tcPr>
            <w:tcW w:w="851" w:type="dxa"/>
            <w:vAlign w:val="center"/>
          </w:tcPr>
          <w:p w14:paraId="107CE7D1" w14:textId="77777777" w:rsidR="00DB4658" w:rsidRPr="00A5490A" w:rsidRDefault="00DB4658" w:rsidP="00F2087C">
            <w:pPr>
              <w:spacing w:after="0" w:line="240" w:lineRule="auto"/>
              <w:jc w:val="center"/>
              <w:rPr>
                <w:rFonts w:ascii="Arial" w:eastAsia="Times New Roman" w:hAnsi="Arial" w:cs="Arial"/>
                <w:sz w:val="18"/>
                <w:szCs w:val="18"/>
                <w:lang w:eastAsia="pt-BR"/>
              </w:rPr>
            </w:pPr>
            <w:r>
              <w:rPr>
                <w:rFonts w:ascii="Arial" w:eastAsia="Times New Roman" w:hAnsi="Arial" w:cs="Arial"/>
                <w:sz w:val="18"/>
                <w:szCs w:val="18"/>
                <w:lang w:eastAsia="pt-BR"/>
              </w:rPr>
              <w:t>Fundo Previdenciário</w:t>
            </w:r>
          </w:p>
        </w:tc>
      </w:tr>
      <w:tr w:rsidR="008D6B17" w:rsidRPr="00A5490A" w14:paraId="77E20933" w14:textId="77777777" w:rsidTr="00F2087C">
        <w:tc>
          <w:tcPr>
            <w:tcW w:w="1294" w:type="dxa"/>
            <w:vAlign w:val="center"/>
          </w:tcPr>
          <w:p w14:paraId="0800C83A" w14:textId="253281FF" w:rsidR="008D6B17" w:rsidRPr="00A5490A" w:rsidRDefault="008D6B17" w:rsidP="008D6B17">
            <w:pPr>
              <w:spacing w:after="0" w:line="240" w:lineRule="auto"/>
              <w:jc w:val="center"/>
              <w:rPr>
                <w:rFonts w:ascii="Arial" w:eastAsia="Times New Roman" w:hAnsi="Arial" w:cs="Arial"/>
                <w:sz w:val="18"/>
                <w:szCs w:val="18"/>
                <w:lang w:eastAsia="pt-BR"/>
              </w:rPr>
            </w:pPr>
            <w:r w:rsidRPr="00670189">
              <w:rPr>
                <w:rFonts w:ascii="Arial" w:eastAsia="Times New Roman" w:hAnsi="Arial" w:cs="Arial"/>
                <w:color w:val="0070C0"/>
                <w:sz w:val="18"/>
                <w:szCs w:val="18"/>
                <w:lang w:eastAsia="pt-BR"/>
              </w:rPr>
              <w:t>INFOCI</w:t>
            </w:r>
          </w:p>
        </w:tc>
        <w:tc>
          <w:tcPr>
            <w:tcW w:w="7206" w:type="dxa"/>
            <w:shd w:val="clear" w:color="auto" w:fill="auto"/>
            <w:vAlign w:val="center"/>
          </w:tcPr>
          <w:p w14:paraId="7B1E882C" w14:textId="49F980A5" w:rsidR="008D6B17" w:rsidRPr="00A5490A" w:rsidRDefault="00D668F4" w:rsidP="008D6B17">
            <w:pPr>
              <w:spacing w:before="120" w:after="120" w:line="240" w:lineRule="auto"/>
              <w:jc w:val="both"/>
              <w:rPr>
                <w:rFonts w:ascii="Arial" w:eastAsia="Times New Roman" w:hAnsi="Arial" w:cs="Arial"/>
                <w:sz w:val="16"/>
                <w:szCs w:val="16"/>
                <w:lang w:eastAsia="pt-BR"/>
              </w:rPr>
            </w:pPr>
            <w:r w:rsidRPr="00D668F4">
              <w:rPr>
                <w:rFonts w:ascii="Arial" w:eastAsia="Calibri" w:hAnsi="Arial" w:cs="Times New Roman"/>
                <w:color w:val="0070C0"/>
                <w:sz w:val="18"/>
                <w:szCs w:val="18"/>
              </w:rPr>
              <w:t>Informações da unidade de Controle Interno, bem como as informações sobre a atuação do Controle Interno na verificação dos pontos de controle destinados à emissão do parecer sobre as Prestações de Contas Anuais, conforme layout constante do item 3.1 deste Anexo.</w:t>
            </w:r>
          </w:p>
        </w:tc>
        <w:tc>
          <w:tcPr>
            <w:tcW w:w="993" w:type="dxa"/>
            <w:shd w:val="clear" w:color="auto" w:fill="auto"/>
            <w:vAlign w:val="center"/>
          </w:tcPr>
          <w:p w14:paraId="5D5AE73C" w14:textId="06426794" w:rsidR="008D6B17" w:rsidRPr="00F57CA5" w:rsidRDefault="008D6B17" w:rsidP="008D6B17">
            <w:pPr>
              <w:spacing w:after="0" w:line="240" w:lineRule="auto"/>
              <w:jc w:val="center"/>
              <w:rPr>
                <w:rFonts w:ascii="Arial" w:eastAsia="Times New Roman" w:hAnsi="Arial" w:cs="Arial"/>
                <w:sz w:val="14"/>
                <w:szCs w:val="14"/>
                <w:lang w:eastAsia="pt-BR"/>
              </w:rPr>
            </w:pPr>
            <w:r w:rsidRPr="00E457D8">
              <w:rPr>
                <w:rFonts w:ascii="Arial" w:eastAsia="Times New Roman" w:hAnsi="Arial" w:cs="Arial"/>
                <w:color w:val="0070C0"/>
                <w:sz w:val="14"/>
                <w:szCs w:val="14"/>
                <w:lang w:eastAsia="pt-BR"/>
              </w:rPr>
              <w:t>XML</w:t>
            </w:r>
          </w:p>
        </w:tc>
        <w:tc>
          <w:tcPr>
            <w:tcW w:w="992" w:type="dxa"/>
            <w:vAlign w:val="center"/>
          </w:tcPr>
          <w:p w14:paraId="0365CE54" w14:textId="77777777" w:rsidR="008D6B17" w:rsidRPr="00DB4658" w:rsidRDefault="008D6B17" w:rsidP="008D6B17">
            <w:pPr>
              <w:spacing w:after="0" w:line="240" w:lineRule="auto"/>
              <w:jc w:val="center"/>
              <w:rPr>
                <w:rFonts w:ascii="Arial" w:eastAsia="Times New Roman" w:hAnsi="Arial" w:cs="Arial"/>
                <w:color w:val="0070C0"/>
                <w:sz w:val="14"/>
                <w:szCs w:val="14"/>
                <w:lang w:eastAsia="pt-BR"/>
              </w:rPr>
            </w:pPr>
            <w:r w:rsidRPr="00DB4658">
              <w:rPr>
                <w:rFonts w:ascii="Arial" w:eastAsia="Times New Roman" w:hAnsi="Arial" w:cs="Arial"/>
                <w:color w:val="0070C0"/>
                <w:sz w:val="14"/>
                <w:szCs w:val="14"/>
                <w:lang w:eastAsia="pt-BR"/>
              </w:rPr>
              <w:t>X</w:t>
            </w:r>
          </w:p>
        </w:tc>
        <w:tc>
          <w:tcPr>
            <w:tcW w:w="992" w:type="dxa"/>
            <w:vAlign w:val="center"/>
          </w:tcPr>
          <w:p w14:paraId="73A924B6" w14:textId="77777777" w:rsidR="008D6B17" w:rsidRPr="00DB4658" w:rsidRDefault="008D6B17" w:rsidP="008D6B17">
            <w:pPr>
              <w:spacing w:after="0" w:line="240" w:lineRule="auto"/>
              <w:jc w:val="center"/>
              <w:rPr>
                <w:rFonts w:ascii="Arial" w:eastAsia="Times New Roman" w:hAnsi="Arial" w:cs="Arial"/>
                <w:color w:val="0070C0"/>
                <w:sz w:val="14"/>
                <w:szCs w:val="14"/>
                <w:lang w:eastAsia="pt-BR"/>
              </w:rPr>
            </w:pPr>
            <w:r w:rsidRPr="00DB4658">
              <w:rPr>
                <w:rFonts w:ascii="Arial" w:eastAsia="Times New Roman" w:hAnsi="Arial" w:cs="Arial"/>
                <w:color w:val="0070C0"/>
                <w:sz w:val="14"/>
                <w:szCs w:val="14"/>
                <w:lang w:eastAsia="pt-BR"/>
              </w:rPr>
              <w:t>X</w:t>
            </w:r>
          </w:p>
        </w:tc>
        <w:tc>
          <w:tcPr>
            <w:tcW w:w="851" w:type="dxa"/>
            <w:vAlign w:val="center"/>
          </w:tcPr>
          <w:p w14:paraId="3AF23CCC" w14:textId="77777777" w:rsidR="008D6B17" w:rsidRPr="00DB4658" w:rsidRDefault="008D6B17" w:rsidP="008D6B17">
            <w:pPr>
              <w:spacing w:after="0" w:line="240" w:lineRule="auto"/>
              <w:jc w:val="center"/>
              <w:rPr>
                <w:rFonts w:ascii="Arial" w:eastAsia="Times New Roman" w:hAnsi="Arial" w:cs="Arial"/>
                <w:color w:val="0070C0"/>
                <w:sz w:val="14"/>
                <w:szCs w:val="14"/>
                <w:lang w:eastAsia="pt-BR"/>
              </w:rPr>
            </w:pPr>
            <w:r w:rsidRPr="00DB4658">
              <w:rPr>
                <w:rFonts w:ascii="Arial" w:eastAsia="Times New Roman" w:hAnsi="Arial" w:cs="Arial"/>
                <w:color w:val="0070C0"/>
                <w:sz w:val="14"/>
                <w:szCs w:val="14"/>
                <w:lang w:eastAsia="pt-BR"/>
              </w:rPr>
              <w:t>X</w:t>
            </w:r>
          </w:p>
        </w:tc>
        <w:tc>
          <w:tcPr>
            <w:tcW w:w="850" w:type="dxa"/>
            <w:vAlign w:val="center"/>
          </w:tcPr>
          <w:p w14:paraId="7A13407D" w14:textId="77777777" w:rsidR="008D6B17" w:rsidRPr="00DB4658" w:rsidRDefault="008D6B17" w:rsidP="008D6B17">
            <w:pPr>
              <w:spacing w:after="0" w:line="240" w:lineRule="auto"/>
              <w:jc w:val="center"/>
              <w:rPr>
                <w:rFonts w:ascii="Arial" w:eastAsia="Times New Roman" w:hAnsi="Arial" w:cs="Arial"/>
                <w:color w:val="0070C0"/>
                <w:sz w:val="14"/>
                <w:szCs w:val="14"/>
                <w:lang w:eastAsia="pt-BR"/>
              </w:rPr>
            </w:pPr>
            <w:r w:rsidRPr="00DB4658">
              <w:rPr>
                <w:rFonts w:ascii="Arial" w:eastAsia="Times New Roman" w:hAnsi="Arial" w:cs="Arial"/>
                <w:color w:val="0070C0"/>
                <w:sz w:val="14"/>
                <w:szCs w:val="14"/>
                <w:lang w:eastAsia="pt-BR"/>
              </w:rPr>
              <w:t>X</w:t>
            </w:r>
          </w:p>
        </w:tc>
        <w:tc>
          <w:tcPr>
            <w:tcW w:w="851" w:type="dxa"/>
            <w:vAlign w:val="center"/>
          </w:tcPr>
          <w:p w14:paraId="4F9DE835" w14:textId="77777777" w:rsidR="008D6B17" w:rsidRPr="00DB4658" w:rsidRDefault="008D6B17" w:rsidP="008D6B17">
            <w:pPr>
              <w:spacing w:after="0" w:line="240" w:lineRule="auto"/>
              <w:jc w:val="center"/>
              <w:rPr>
                <w:rFonts w:ascii="Arial" w:eastAsia="Times New Roman" w:hAnsi="Arial" w:cs="Arial"/>
                <w:color w:val="0070C0"/>
                <w:sz w:val="14"/>
                <w:szCs w:val="14"/>
                <w:lang w:eastAsia="pt-BR"/>
              </w:rPr>
            </w:pPr>
            <w:r w:rsidRPr="00DB4658">
              <w:rPr>
                <w:rFonts w:ascii="Arial" w:eastAsia="Times New Roman" w:hAnsi="Arial" w:cs="Arial"/>
                <w:color w:val="0070C0"/>
                <w:sz w:val="14"/>
                <w:szCs w:val="14"/>
                <w:lang w:eastAsia="pt-BR"/>
              </w:rPr>
              <w:t>X</w:t>
            </w:r>
          </w:p>
        </w:tc>
      </w:tr>
    </w:tbl>
    <w:p w14:paraId="249EABDD" w14:textId="5651E166" w:rsidR="00DB4658" w:rsidRDefault="00DB4658" w:rsidP="00DB4658">
      <w:pPr>
        <w:jc w:val="both"/>
      </w:pPr>
    </w:p>
    <w:p w14:paraId="1E40F5ED" w14:textId="77777777" w:rsidR="00A46EDE" w:rsidRDefault="00A46EDE" w:rsidP="00DB4658">
      <w:pPr>
        <w:jc w:val="both"/>
      </w:pPr>
    </w:p>
    <w:p w14:paraId="2A7E5730" w14:textId="37C8F537" w:rsidR="00FD110D" w:rsidRPr="00613437" w:rsidRDefault="00FD110D" w:rsidP="00FD110D">
      <w:pPr>
        <w:pStyle w:val="Ttulo2"/>
        <w:ind w:left="567"/>
        <w:rPr>
          <w:lang w:val="pt-BR"/>
        </w:rPr>
      </w:pPr>
      <w:bookmarkStart w:id="107" w:name="_Toc94806377"/>
      <w:r w:rsidRPr="00613437">
        <w:rPr>
          <w:lang w:val="pt-BR"/>
        </w:rPr>
        <w:t>Alterou o Rol do Documentos CONTAS DOS ORDENADORES DE DESPESAS DO INSTITUTO PRÓPRIO DE PREVIDÊNCIA ESTADUAL</w:t>
      </w:r>
      <w:bookmarkEnd w:id="107"/>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4"/>
        <w:gridCol w:w="7206"/>
        <w:gridCol w:w="993"/>
        <w:gridCol w:w="992"/>
        <w:gridCol w:w="992"/>
        <w:gridCol w:w="851"/>
        <w:gridCol w:w="850"/>
        <w:gridCol w:w="851"/>
      </w:tblGrid>
      <w:tr w:rsidR="00FD110D" w:rsidRPr="00A5490A" w14:paraId="40B24C9B" w14:textId="77777777" w:rsidTr="00F2087C">
        <w:tc>
          <w:tcPr>
            <w:tcW w:w="1294" w:type="dxa"/>
            <w:vAlign w:val="center"/>
          </w:tcPr>
          <w:p w14:paraId="5B1745D0" w14:textId="77777777" w:rsidR="00FD110D" w:rsidRPr="00A5490A" w:rsidRDefault="00FD110D" w:rsidP="00F2087C">
            <w:pPr>
              <w:spacing w:after="0" w:line="240" w:lineRule="auto"/>
              <w:jc w:val="center"/>
              <w:rPr>
                <w:rFonts w:ascii="Arial" w:eastAsia="Times New Roman" w:hAnsi="Arial" w:cs="Arial"/>
                <w:sz w:val="18"/>
                <w:szCs w:val="18"/>
                <w:lang w:eastAsia="pt-BR"/>
              </w:rPr>
            </w:pPr>
            <w:r>
              <w:rPr>
                <w:rFonts w:ascii="Arial" w:eastAsia="Times New Roman" w:hAnsi="Arial" w:cs="Arial"/>
                <w:sz w:val="18"/>
                <w:szCs w:val="18"/>
                <w:lang w:eastAsia="pt-BR"/>
              </w:rPr>
              <w:t>Código</w:t>
            </w:r>
          </w:p>
        </w:tc>
        <w:tc>
          <w:tcPr>
            <w:tcW w:w="7206" w:type="dxa"/>
            <w:shd w:val="clear" w:color="auto" w:fill="auto"/>
            <w:vAlign w:val="center"/>
          </w:tcPr>
          <w:p w14:paraId="26DE2DC8" w14:textId="77777777" w:rsidR="00FD110D" w:rsidRPr="00A5490A" w:rsidRDefault="00FD110D" w:rsidP="00F2087C">
            <w:pPr>
              <w:spacing w:before="120" w:after="12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Descrição</w:t>
            </w:r>
          </w:p>
        </w:tc>
        <w:tc>
          <w:tcPr>
            <w:tcW w:w="993" w:type="dxa"/>
            <w:shd w:val="clear" w:color="auto" w:fill="auto"/>
            <w:vAlign w:val="center"/>
          </w:tcPr>
          <w:p w14:paraId="348F16BE" w14:textId="77777777" w:rsidR="00FD110D" w:rsidRPr="00A5490A" w:rsidRDefault="00FD110D" w:rsidP="00F2087C">
            <w:pPr>
              <w:spacing w:after="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Formato</w:t>
            </w:r>
          </w:p>
        </w:tc>
        <w:tc>
          <w:tcPr>
            <w:tcW w:w="992" w:type="dxa"/>
            <w:vAlign w:val="center"/>
          </w:tcPr>
          <w:p w14:paraId="70683CA1" w14:textId="77777777" w:rsidR="00FD110D" w:rsidRPr="00CB55B0" w:rsidRDefault="00FD110D" w:rsidP="00F2087C">
            <w:pPr>
              <w:spacing w:after="0" w:line="240" w:lineRule="auto"/>
              <w:jc w:val="center"/>
              <w:rPr>
                <w:rFonts w:ascii="Arial" w:eastAsia="Times New Roman" w:hAnsi="Arial" w:cs="Arial"/>
                <w:sz w:val="18"/>
                <w:szCs w:val="18"/>
                <w:lang w:eastAsia="pt-BR"/>
              </w:rPr>
            </w:pPr>
            <w:r w:rsidRPr="00CB55B0">
              <w:rPr>
                <w:rFonts w:ascii="Arial" w:eastAsia="Times New Roman" w:hAnsi="Arial" w:cs="Arial"/>
                <w:sz w:val="18"/>
                <w:szCs w:val="18"/>
                <w:lang w:eastAsia="pt-BR"/>
              </w:rPr>
              <w:t xml:space="preserve">UG única em atividade </w:t>
            </w:r>
          </w:p>
        </w:tc>
        <w:tc>
          <w:tcPr>
            <w:tcW w:w="992" w:type="dxa"/>
            <w:vAlign w:val="center"/>
          </w:tcPr>
          <w:p w14:paraId="69EAE2DF" w14:textId="77777777" w:rsidR="00FD110D" w:rsidRPr="00CB55B0" w:rsidRDefault="00FD110D" w:rsidP="00F2087C">
            <w:pPr>
              <w:spacing w:after="0" w:line="240" w:lineRule="auto"/>
              <w:jc w:val="center"/>
              <w:rPr>
                <w:rFonts w:ascii="Arial" w:eastAsia="Times New Roman" w:hAnsi="Arial" w:cs="Arial"/>
                <w:sz w:val="18"/>
                <w:szCs w:val="18"/>
                <w:lang w:eastAsia="pt-BR"/>
              </w:rPr>
            </w:pPr>
            <w:r w:rsidRPr="00CB55B0">
              <w:rPr>
                <w:rFonts w:ascii="Arial" w:eastAsia="Times New Roman" w:hAnsi="Arial" w:cs="Arial"/>
                <w:sz w:val="18"/>
                <w:szCs w:val="18"/>
                <w:lang w:eastAsia="pt-BR"/>
              </w:rPr>
              <w:t>UG única em extinção</w:t>
            </w:r>
          </w:p>
        </w:tc>
        <w:tc>
          <w:tcPr>
            <w:tcW w:w="851" w:type="dxa"/>
            <w:vAlign w:val="center"/>
          </w:tcPr>
          <w:p w14:paraId="730E84E9" w14:textId="77777777" w:rsidR="00FD110D" w:rsidRPr="00A5490A" w:rsidRDefault="00FD110D" w:rsidP="00F2087C">
            <w:pPr>
              <w:spacing w:after="0" w:line="240" w:lineRule="auto"/>
              <w:jc w:val="center"/>
              <w:rPr>
                <w:rFonts w:ascii="Arial" w:eastAsia="Times New Roman" w:hAnsi="Arial" w:cs="Arial"/>
                <w:sz w:val="18"/>
                <w:szCs w:val="18"/>
                <w:lang w:eastAsia="pt-BR"/>
              </w:rPr>
            </w:pPr>
            <w:r>
              <w:rPr>
                <w:rFonts w:ascii="Arial" w:eastAsia="Times New Roman" w:hAnsi="Arial" w:cs="Arial"/>
                <w:sz w:val="18"/>
                <w:szCs w:val="18"/>
                <w:lang w:eastAsia="pt-BR"/>
              </w:rPr>
              <w:t>Taxa Administração</w:t>
            </w:r>
          </w:p>
        </w:tc>
        <w:tc>
          <w:tcPr>
            <w:tcW w:w="850" w:type="dxa"/>
            <w:vAlign w:val="center"/>
          </w:tcPr>
          <w:p w14:paraId="0F0DE12C" w14:textId="77777777" w:rsidR="00FD110D" w:rsidRPr="00A5490A" w:rsidRDefault="00FD110D" w:rsidP="00F2087C">
            <w:pPr>
              <w:spacing w:after="0" w:line="240" w:lineRule="auto"/>
              <w:jc w:val="center"/>
              <w:rPr>
                <w:rFonts w:ascii="Arial" w:eastAsia="Times New Roman" w:hAnsi="Arial" w:cs="Arial"/>
                <w:sz w:val="18"/>
                <w:szCs w:val="18"/>
                <w:lang w:eastAsia="pt-BR"/>
              </w:rPr>
            </w:pPr>
            <w:r>
              <w:rPr>
                <w:rFonts w:ascii="Arial" w:eastAsia="Times New Roman" w:hAnsi="Arial" w:cs="Arial"/>
                <w:sz w:val="18"/>
                <w:szCs w:val="18"/>
                <w:lang w:eastAsia="pt-BR"/>
              </w:rPr>
              <w:t>Fundo Financeiro</w:t>
            </w:r>
          </w:p>
        </w:tc>
        <w:tc>
          <w:tcPr>
            <w:tcW w:w="851" w:type="dxa"/>
            <w:vAlign w:val="center"/>
          </w:tcPr>
          <w:p w14:paraId="228418A6" w14:textId="77777777" w:rsidR="00FD110D" w:rsidRPr="00A5490A" w:rsidRDefault="00FD110D" w:rsidP="00F2087C">
            <w:pPr>
              <w:spacing w:after="0" w:line="240" w:lineRule="auto"/>
              <w:jc w:val="center"/>
              <w:rPr>
                <w:rFonts w:ascii="Arial" w:eastAsia="Times New Roman" w:hAnsi="Arial" w:cs="Arial"/>
                <w:sz w:val="18"/>
                <w:szCs w:val="18"/>
                <w:lang w:eastAsia="pt-BR"/>
              </w:rPr>
            </w:pPr>
            <w:r>
              <w:rPr>
                <w:rFonts w:ascii="Arial" w:eastAsia="Times New Roman" w:hAnsi="Arial" w:cs="Arial"/>
                <w:sz w:val="18"/>
                <w:szCs w:val="18"/>
                <w:lang w:eastAsia="pt-BR"/>
              </w:rPr>
              <w:t>Fundo Previdenciário</w:t>
            </w:r>
          </w:p>
        </w:tc>
      </w:tr>
      <w:tr w:rsidR="008D6B17" w:rsidRPr="00A5490A" w14:paraId="149C2179" w14:textId="77777777" w:rsidTr="00F2087C">
        <w:tc>
          <w:tcPr>
            <w:tcW w:w="1294" w:type="dxa"/>
            <w:vAlign w:val="center"/>
          </w:tcPr>
          <w:p w14:paraId="1331A7E9" w14:textId="1C623119" w:rsidR="008D6B17" w:rsidRPr="00A5490A" w:rsidRDefault="008D6B17" w:rsidP="008D6B17">
            <w:pPr>
              <w:spacing w:after="0" w:line="240" w:lineRule="auto"/>
              <w:jc w:val="center"/>
              <w:rPr>
                <w:rFonts w:ascii="Arial" w:eastAsia="Times New Roman" w:hAnsi="Arial" w:cs="Arial"/>
                <w:sz w:val="18"/>
                <w:szCs w:val="18"/>
                <w:lang w:eastAsia="pt-BR"/>
              </w:rPr>
            </w:pPr>
            <w:r w:rsidRPr="00670189">
              <w:rPr>
                <w:rFonts w:ascii="Arial" w:eastAsia="Times New Roman" w:hAnsi="Arial" w:cs="Arial"/>
                <w:color w:val="0070C0"/>
                <w:sz w:val="18"/>
                <w:szCs w:val="18"/>
                <w:lang w:eastAsia="pt-BR"/>
              </w:rPr>
              <w:t>INFOCI</w:t>
            </w:r>
          </w:p>
        </w:tc>
        <w:tc>
          <w:tcPr>
            <w:tcW w:w="7206" w:type="dxa"/>
            <w:shd w:val="clear" w:color="auto" w:fill="auto"/>
            <w:vAlign w:val="center"/>
          </w:tcPr>
          <w:p w14:paraId="730341B3" w14:textId="3B01CEF2" w:rsidR="008D6B17" w:rsidRPr="00A5490A" w:rsidRDefault="00DC56A0" w:rsidP="008D6B17">
            <w:pPr>
              <w:spacing w:before="120" w:after="120" w:line="240" w:lineRule="auto"/>
              <w:jc w:val="both"/>
              <w:rPr>
                <w:rFonts w:ascii="Arial" w:eastAsia="Times New Roman" w:hAnsi="Arial" w:cs="Arial"/>
                <w:sz w:val="16"/>
                <w:szCs w:val="16"/>
                <w:lang w:eastAsia="pt-BR"/>
              </w:rPr>
            </w:pPr>
            <w:r w:rsidRPr="00D668F4">
              <w:rPr>
                <w:rFonts w:ascii="Arial" w:eastAsia="Calibri" w:hAnsi="Arial" w:cs="Times New Roman"/>
                <w:color w:val="0070C0"/>
                <w:sz w:val="18"/>
                <w:szCs w:val="18"/>
              </w:rPr>
              <w:t>Informações da unidade de Controle Interno, bem como as informações sobre a atuação do Controle Interno na verificação dos pontos de controle destinados à emissão do parecer sobre as Prestações de Contas Anuais, conforme layout constante do item 3.1 deste Anexo.</w:t>
            </w:r>
          </w:p>
        </w:tc>
        <w:tc>
          <w:tcPr>
            <w:tcW w:w="993" w:type="dxa"/>
            <w:shd w:val="clear" w:color="auto" w:fill="auto"/>
            <w:vAlign w:val="center"/>
          </w:tcPr>
          <w:p w14:paraId="5EFC68BC" w14:textId="16A79950" w:rsidR="008D6B17" w:rsidRPr="00F57CA5" w:rsidRDefault="008D6B17" w:rsidP="008D6B17">
            <w:pPr>
              <w:spacing w:after="0" w:line="240" w:lineRule="auto"/>
              <w:jc w:val="center"/>
              <w:rPr>
                <w:rFonts w:ascii="Arial" w:eastAsia="Times New Roman" w:hAnsi="Arial" w:cs="Arial"/>
                <w:sz w:val="14"/>
                <w:szCs w:val="14"/>
                <w:lang w:eastAsia="pt-BR"/>
              </w:rPr>
            </w:pPr>
            <w:r w:rsidRPr="00E457D8">
              <w:rPr>
                <w:rFonts w:ascii="Arial" w:eastAsia="Times New Roman" w:hAnsi="Arial" w:cs="Arial"/>
                <w:color w:val="0070C0"/>
                <w:sz w:val="14"/>
                <w:szCs w:val="14"/>
                <w:lang w:eastAsia="pt-BR"/>
              </w:rPr>
              <w:t>XML</w:t>
            </w:r>
          </w:p>
        </w:tc>
        <w:tc>
          <w:tcPr>
            <w:tcW w:w="992" w:type="dxa"/>
            <w:vAlign w:val="center"/>
          </w:tcPr>
          <w:p w14:paraId="144AE61E" w14:textId="77777777" w:rsidR="008D6B17" w:rsidRPr="00DB4658" w:rsidRDefault="008D6B17" w:rsidP="008D6B17">
            <w:pPr>
              <w:spacing w:after="0" w:line="240" w:lineRule="auto"/>
              <w:jc w:val="center"/>
              <w:rPr>
                <w:rFonts w:ascii="Arial" w:eastAsia="Times New Roman" w:hAnsi="Arial" w:cs="Arial"/>
                <w:color w:val="0070C0"/>
                <w:sz w:val="14"/>
                <w:szCs w:val="14"/>
                <w:lang w:eastAsia="pt-BR"/>
              </w:rPr>
            </w:pPr>
            <w:r w:rsidRPr="00DB4658">
              <w:rPr>
                <w:rFonts w:ascii="Arial" w:eastAsia="Times New Roman" w:hAnsi="Arial" w:cs="Arial"/>
                <w:color w:val="0070C0"/>
                <w:sz w:val="14"/>
                <w:szCs w:val="14"/>
                <w:lang w:eastAsia="pt-BR"/>
              </w:rPr>
              <w:t>X</w:t>
            </w:r>
          </w:p>
        </w:tc>
        <w:tc>
          <w:tcPr>
            <w:tcW w:w="992" w:type="dxa"/>
            <w:vAlign w:val="center"/>
          </w:tcPr>
          <w:p w14:paraId="186ABD01" w14:textId="77777777" w:rsidR="008D6B17" w:rsidRPr="00DB4658" w:rsidRDefault="008D6B17" w:rsidP="008D6B17">
            <w:pPr>
              <w:spacing w:after="0" w:line="240" w:lineRule="auto"/>
              <w:jc w:val="center"/>
              <w:rPr>
                <w:rFonts w:ascii="Arial" w:eastAsia="Times New Roman" w:hAnsi="Arial" w:cs="Arial"/>
                <w:color w:val="0070C0"/>
                <w:sz w:val="14"/>
                <w:szCs w:val="14"/>
                <w:lang w:eastAsia="pt-BR"/>
              </w:rPr>
            </w:pPr>
            <w:r w:rsidRPr="00DB4658">
              <w:rPr>
                <w:rFonts w:ascii="Arial" w:eastAsia="Times New Roman" w:hAnsi="Arial" w:cs="Arial"/>
                <w:color w:val="0070C0"/>
                <w:sz w:val="14"/>
                <w:szCs w:val="14"/>
                <w:lang w:eastAsia="pt-BR"/>
              </w:rPr>
              <w:t>X</w:t>
            </w:r>
          </w:p>
        </w:tc>
        <w:tc>
          <w:tcPr>
            <w:tcW w:w="851" w:type="dxa"/>
            <w:vAlign w:val="center"/>
          </w:tcPr>
          <w:p w14:paraId="51E19A5E" w14:textId="77777777" w:rsidR="008D6B17" w:rsidRPr="00DB4658" w:rsidRDefault="008D6B17" w:rsidP="008D6B17">
            <w:pPr>
              <w:spacing w:after="0" w:line="240" w:lineRule="auto"/>
              <w:jc w:val="center"/>
              <w:rPr>
                <w:rFonts w:ascii="Arial" w:eastAsia="Times New Roman" w:hAnsi="Arial" w:cs="Arial"/>
                <w:color w:val="0070C0"/>
                <w:sz w:val="14"/>
                <w:szCs w:val="14"/>
                <w:lang w:eastAsia="pt-BR"/>
              </w:rPr>
            </w:pPr>
            <w:r w:rsidRPr="00DB4658">
              <w:rPr>
                <w:rFonts w:ascii="Arial" w:eastAsia="Times New Roman" w:hAnsi="Arial" w:cs="Arial"/>
                <w:color w:val="0070C0"/>
                <w:sz w:val="14"/>
                <w:szCs w:val="14"/>
                <w:lang w:eastAsia="pt-BR"/>
              </w:rPr>
              <w:t>X</w:t>
            </w:r>
          </w:p>
        </w:tc>
        <w:tc>
          <w:tcPr>
            <w:tcW w:w="850" w:type="dxa"/>
            <w:vAlign w:val="center"/>
          </w:tcPr>
          <w:p w14:paraId="56EBDB2B" w14:textId="77777777" w:rsidR="008D6B17" w:rsidRPr="00DB4658" w:rsidRDefault="008D6B17" w:rsidP="008D6B17">
            <w:pPr>
              <w:spacing w:after="0" w:line="240" w:lineRule="auto"/>
              <w:jc w:val="center"/>
              <w:rPr>
                <w:rFonts w:ascii="Arial" w:eastAsia="Times New Roman" w:hAnsi="Arial" w:cs="Arial"/>
                <w:color w:val="0070C0"/>
                <w:sz w:val="14"/>
                <w:szCs w:val="14"/>
                <w:lang w:eastAsia="pt-BR"/>
              </w:rPr>
            </w:pPr>
            <w:r w:rsidRPr="00DB4658">
              <w:rPr>
                <w:rFonts w:ascii="Arial" w:eastAsia="Times New Roman" w:hAnsi="Arial" w:cs="Arial"/>
                <w:color w:val="0070C0"/>
                <w:sz w:val="14"/>
                <w:szCs w:val="14"/>
                <w:lang w:eastAsia="pt-BR"/>
              </w:rPr>
              <w:t>X</w:t>
            </w:r>
          </w:p>
        </w:tc>
        <w:tc>
          <w:tcPr>
            <w:tcW w:w="851" w:type="dxa"/>
            <w:vAlign w:val="center"/>
          </w:tcPr>
          <w:p w14:paraId="3143E45A" w14:textId="77777777" w:rsidR="008D6B17" w:rsidRPr="00DB4658" w:rsidRDefault="008D6B17" w:rsidP="008D6B17">
            <w:pPr>
              <w:spacing w:after="0" w:line="240" w:lineRule="auto"/>
              <w:jc w:val="center"/>
              <w:rPr>
                <w:rFonts w:ascii="Arial" w:eastAsia="Times New Roman" w:hAnsi="Arial" w:cs="Arial"/>
                <w:color w:val="0070C0"/>
                <w:sz w:val="14"/>
                <w:szCs w:val="14"/>
                <w:lang w:eastAsia="pt-BR"/>
              </w:rPr>
            </w:pPr>
            <w:r w:rsidRPr="00DB4658">
              <w:rPr>
                <w:rFonts w:ascii="Arial" w:eastAsia="Times New Roman" w:hAnsi="Arial" w:cs="Arial"/>
                <w:color w:val="0070C0"/>
                <w:sz w:val="14"/>
                <w:szCs w:val="14"/>
                <w:lang w:eastAsia="pt-BR"/>
              </w:rPr>
              <w:t>X</w:t>
            </w:r>
          </w:p>
        </w:tc>
      </w:tr>
    </w:tbl>
    <w:p w14:paraId="6A6E611C" w14:textId="118275ED" w:rsidR="00017FAA" w:rsidRDefault="00017FAA" w:rsidP="00DB4658">
      <w:pPr>
        <w:jc w:val="both"/>
      </w:pPr>
    </w:p>
    <w:p w14:paraId="54F2BAAC" w14:textId="7EF02D73" w:rsidR="00A46EDE" w:rsidRDefault="00A46EDE" w:rsidP="00DB4658">
      <w:pPr>
        <w:jc w:val="both"/>
      </w:pPr>
    </w:p>
    <w:p w14:paraId="5F0C943B" w14:textId="009F743A" w:rsidR="00A46EDE" w:rsidRDefault="00A46EDE" w:rsidP="00DB4658">
      <w:pPr>
        <w:jc w:val="both"/>
      </w:pPr>
    </w:p>
    <w:p w14:paraId="003A91EB" w14:textId="61FC845D" w:rsidR="00A46EDE" w:rsidRDefault="00A46EDE" w:rsidP="00DB4658">
      <w:pPr>
        <w:jc w:val="both"/>
      </w:pPr>
    </w:p>
    <w:p w14:paraId="2F6EDEA1" w14:textId="4B5F97B6" w:rsidR="00A46EDE" w:rsidRDefault="00A46EDE" w:rsidP="00DB4658">
      <w:pPr>
        <w:jc w:val="both"/>
      </w:pPr>
    </w:p>
    <w:p w14:paraId="1E82A225" w14:textId="4B3C5960" w:rsidR="00FF306E" w:rsidRPr="00613437" w:rsidRDefault="00FF306E" w:rsidP="00FF306E">
      <w:pPr>
        <w:pStyle w:val="Ttulo2"/>
        <w:ind w:left="567"/>
        <w:rPr>
          <w:lang w:val="pt-BR"/>
        </w:rPr>
      </w:pPr>
      <w:bookmarkStart w:id="108" w:name="_Toc94806378"/>
      <w:r w:rsidRPr="00613437">
        <w:rPr>
          <w:lang w:val="pt-BR"/>
        </w:rPr>
        <w:lastRenderedPageBreak/>
        <w:t>Alterou o Rol de Documentos</w:t>
      </w:r>
      <w:r w:rsidR="00A81D23" w:rsidRPr="00613437">
        <w:rPr>
          <w:lang w:val="pt-BR"/>
        </w:rPr>
        <w:t xml:space="preserve"> </w:t>
      </w:r>
      <w:r w:rsidR="003A5B59" w:rsidRPr="00613437">
        <w:rPr>
          <w:lang w:val="pt-BR"/>
        </w:rPr>
        <w:t>CONTAS DOS TITULARES DAS PESSOAS JURÍDICAS DE DIREITO PRIVADO, INCLUSIVE DAS QUE SE ENCONTRAM EM PROCESSO DE LIQUIDAÇÃO (EMPRESAS ESTATAIS NÃO DEPENDENTES - EEND E EMPRESAS ESTATAIS DEPENDENTES - EED).</w:t>
      </w:r>
      <w:bookmarkEnd w:id="108"/>
      <w:r w:rsidR="003A5B59" w:rsidRPr="00613437">
        <w:rPr>
          <w:lang w:val="pt-BR"/>
        </w:rPr>
        <w:t xml:space="preserve"> </w:t>
      </w:r>
    </w:p>
    <w:p w14:paraId="05D5044E" w14:textId="478B9EDD" w:rsidR="00FF306E" w:rsidRDefault="00FF306E" w:rsidP="00F146A5">
      <w:pPr>
        <w:jc w:val="both"/>
      </w:pPr>
      <w:r w:rsidRPr="00FF306E">
        <w:t xml:space="preserve"> </w:t>
      </w:r>
    </w:p>
    <w:tbl>
      <w:tblPr>
        <w:tblW w:w="13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7224"/>
        <w:gridCol w:w="993"/>
        <w:gridCol w:w="1134"/>
        <w:gridCol w:w="1134"/>
        <w:gridCol w:w="992"/>
        <w:gridCol w:w="1134"/>
      </w:tblGrid>
      <w:tr w:rsidR="00F146A5" w:rsidRPr="00A5490A" w14:paraId="2C22CD4E" w14:textId="77777777" w:rsidTr="00073259">
        <w:tc>
          <w:tcPr>
            <w:tcW w:w="1276" w:type="dxa"/>
            <w:vAlign w:val="center"/>
          </w:tcPr>
          <w:p w14:paraId="72DC20A2" w14:textId="77777777" w:rsidR="00F146A5" w:rsidRPr="00A5490A" w:rsidRDefault="00F146A5" w:rsidP="00073259">
            <w:pPr>
              <w:spacing w:after="0" w:line="240" w:lineRule="auto"/>
              <w:jc w:val="center"/>
              <w:rPr>
                <w:rFonts w:ascii="Arial" w:eastAsia="Times New Roman" w:hAnsi="Arial" w:cs="Arial"/>
                <w:sz w:val="18"/>
                <w:szCs w:val="18"/>
                <w:lang w:eastAsia="pt-BR"/>
              </w:rPr>
            </w:pPr>
            <w:r>
              <w:rPr>
                <w:rFonts w:ascii="Arial" w:eastAsia="Times New Roman" w:hAnsi="Arial" w:cs="Arial"/>
                <w:sz w:val="18"/>
                <w:szCs w:val="18"/>
                <w:lang w:eastAsia="pt-BR"/>
              </w:rPr>
              <w:t>Código</w:t>
            </w:r>
          </w:p>
        </w:tc>
        <w:tc>
          <w:tcPr>
            <w:tcW w:w="7224" w:type="dxa"/>
            <w:shd w:val="clear" w:color="auto" w:fill="auto"/>
            <w:vAlign w:val="center"/>
          </w:tcPr>
          <w:p w14:paraId="01DCEEB3" w14:textId="77777777" w:rsidR="00F146A5" w:rsidRPr="00A5490A" w:rsidRDefault="00F146A5" w:rsidP="00073259">
            <w:pPr>
              <w:spacing w:before="120" w:after="120" w:line="240" w:lineRule="auto"/>
              <w:jc w:val="center"/>
              <w:rPr>
                <w:rFonts w:ascii="Arial" w:eastAsia="Times New Roman" w:hAnsi="Arial" w:cs="Arial"/>
                <w:sz w:val="18"/>
                <w:szCs w:val="18"/>
                <w:lang w:eastAsia="pt-BR"/>
              </w:rPr>
            </w:pPr>
            <w:r w:rsidRPr="00A5490A">
              <w:rPr>
                <w:rFonts w:ascii="Arial" w:eastAsia="Times New Roman" w:hAnsi="Arial" w:cs="Arial"/>
                <w:sz w:val="18"/>
                <w:szCs w:val="18"/>
                <w:lang w:eastAsia="pt-BR"/>
              </w:rPr>
              <w:t>Descrição</w:t>
            </w:r>
          </w:p>
        </w:tc>
        <w:tc>
          <w:tcPr>
            <w:tcW w:w="993" w:type="dxa"/>
            <w:shd w:val="clear" w:color="auto" w:fill="auto"/>
            <w:vAlign w:val="center"/>
          </w:tcPr>
          <w:p w14:paraId="13BE08A5" w14:textId="77777777" w:rsidR="00F146A5" w:rsidRPr="00F146A5" w:rsidRDefault="00F146A5" w:rsidP="00F146A5">
            <w:pPr>
              <w:spacing w:after="0" w:line="240" w:lineRule="auto"/>
              <w:jc w:val="center"/>
              <w:rPr>
                <w:rFonts w:ascii="Arial" w:eastAsia="Times New Roman" w:hAnsi="Arial" w:cs="Arial"/>
                <w:sz w:val="18"/>
                <w:szCs w:val="18"/>
                <w:lang w:eastAsia="pt-BR"/>
              </w:rPr>
            </w:pPr>
            <w:r w:rsidRPr="00F146A5">
              <w:rPr>
                <w:rFonts w:ascii="Arial" w:eastAsia="Times New Roman" w:hAnsi="Arial" w:cs="Arial"/>
                <w:sz w:val="18"/>
                <w:szCs w:val="18"/>
                <w:lang w:eastAsia="pt-BR"/>
              </w:rPr>
              <w:t>Formato</w:t>
            </w:r>
          </w:p>
        </w:tc>
        <w:tc>
          <w:tcPr>
            <w:tcW w:w="1134" w:type="dxa"/>
            <w:vAlign w:val="center"/>
          </w:tcPr>
          <w:p w14:paraId="7C5E5D95" w14:textId="77777777" w:rsidR="00F146A5" w:rsidRPr="00CB55B0" w:rsidRDefault="00F146A5" w:rsidP="00073259">
            <w:pPr>
              <w:spacing w:after="0" w:line="240" w:lineRule="auto"/>
              <w:jc w:val="center"/>
              <w:rPr>
                <w:rFonts w:ascii="Arial" w:eastAsia="Times New Roman" w:hAnsi="Arial" w:cs="Arial"/>
                <w:sz w:val="18"/>
                <w:szCs w:val="18"/>
                <w:lang w:eastAsia="pt-BR"/>
              </w:rPr>
            </w:pPr>
            <w:r w:rsidRPr="00CB55B0">
              <w:rPr>
                <w:rFonts w:ascii="Arial" w:eastAsia="Times New Roman" w:hAnsi="Arial" w:cs="Arial"/>
                <w:sz w:val="18"/>
                <w:szCs w:val="18"/>
                <w:lang w:eastAsia="pt-BR"/>
              </w:rPr>
              <w:t>EEND em atividade</w:t>
            </w:r>
          </w:p>
        </w:tc>
        <w:tc>
          <w:tcPr>
            <w:tcW w:w="1134" w:type="dxa"/>
            <w:vAlign w:val="center"/>
          </w:tcPr>
          <w:p w14:paraId="4B392473" w14:textId="77777777" w:rsidR="00F146A5" w:rsidRPr="00CB55B0" w:rsidRDefault="00F146A5" w:rsidP="00073259">
            <w:pPr>
              <w:spacing w:after="0" w:line="240" w:lineRule="auto"/>
              <w:jc w:val="center"/>
              <w:rPr>
                <w:rFonts w:ascii="Arial" w:eastAsia="Times New Roman" w:hAnsi="Arial" w:cs="Arial"/>
                <w:sz w:val="18"/>
                <w:szCs w:val="18"/>
                <w:lang w:eastAsia="pt-BR"/>
              </w:rPr>
            </w:pPr>
            <w:r w:rsidRPr="00CB55B0">
              <w:rPr>
                <w:rFonts w:ascii="Arial" w:eastAsia="Times New Roman" w:hAnsi="Arial" w:cs="Arial"/>
                <w:sz w:val="18"/>
                <w:szCs w:val="18"/>
                <w:lang w:eastAsia="pt-BR"/>
              </w:rPr>
              <w:t>EEND em liquidação</w:t>
            </w:r>
          </w:p>
        </w:tc>
        <w:tc>
          <w:tcPr>
            <w:tcW w:w="992" w:type="dxa"/>
            <w:vAlign w:val="center"/>
          </w:tcPr>
          <w:p w14:paraId="6A382B6A" w14:textId="77777777" w:rsidR="00F146A5" w:rsidRPr="00CB55B0" w:rsidRDefault="00F146A5" w:rsidP="00073259">
            <w:pPr>
              <w:spacing w:after="0" w:line="240" w:lineRule="auto"/>
              <w:jc w:val="center"/>
              <w:rPr>
                <w:rFonts w:ascii="Arial" w:eastAsia="Times New Roman" w:hAnsi="Arial" w:cs="Arial"/>
                <w:sz w:val="18"/>
                <w:szCs w:val="18"/>
                <w:lang w:eastAsia="pt-BR"/>
              </w:rPr>
            </w:pPr>
            <w:r w:rsidRPr="00CB55B0">
              <w:rPr>
                <w:rFonts w:ascii="Arial" w:eastAsia="Times New Roman" w:hAnsi="Arial" w:cs="Arial"/>
                <w:sz w:val="18"/>
                <w:szCs w:val="18"/>
                <w:lang w:eastAsia="pt-BR"/>
              </w:rPr>
              <w:t>EED em atividade</w:t>
            </w:r>
          </w:p>
        </w:tc>
        <w:tc>
          <w:tcPr>
            <w:tcW w:w="1134" w:type="dxa"/>
            <w:vAlign w:val="center"/>
          </w:tcPr>
          <w:p w14:paraId="07E660F8" w14:textId="77777777" w:rsidR="00F146A5" w:rsidRPr="00CB55B0" w:rsidRDefault="00F146A5" w:rsidP="00073259">
            <w:pPr>
              <w:spacing w:after="0" w:line="240" w:lineRule="auto"/>
              <w:jc w:val="center"/>
              <w:rPr>
                <w:rFonts w:ascii="Arial" w:eastAsia="Times New Roman" w:hAnsi="Arial" w:cs="Arial"/>
                <w:sz w:val="18"/>
                <w:szCs w:val="18"/>
                <w:lang w:eastAsia="pt-BR"/>
              </w:rPr>
            </w:pPr>
            <w:r w:rsidRPr="00CB55B0">
              <w:rPr>
                <w:rFonts w:ascii="Arial" w:eastAsia="Times New Roman" w:hAnsi="Arial" w:cs="Arial"/>
                <w:sz w:val="18"/>
                <w:szCs w:val="18"/>
                <w:lang w:eastAsia="pt-BR"/>
              </w:rPr>
              <w:t>EED em liquidação</w:t>
            </w:r>
          </w:p>
        </w:tc>
      </w:tr>
      <w:tr w:rsidR="007C3E7A" w:rsidRPr="00A5490A" w14:paraId="610197D2" w14:textId="77777777" w:rsidTr="00073259">
        <w:tc>
          <w:tcPr>
            <w:tcW w:w="1276" w:type="dxa"/>
            <w:vAlign w:val="center"/>
          </w:tcPr>
          <w:p w14:paraId="3EC53F9D" w14:textId="5A3FE6A4" w:rsidR="007C3E7A" w:rsidRPr="007C3E7A" w:rsidRDefault="007C3E7A" w:rsidP="007C3E7A">
            <w:pPr>
              <w:spacing w:after="0" w:line="240" w:lineRule="auto"/>
              <w:jc w:val="center"/>
              <w:rPr>
                <w:rFonts w:ascii="Arial" w:eastAsia="Times New Roman" w:hAnsi="Arial" w:cs="Arial"/>
                <w:sz w:val="18"/>
                <w:szCs w:val="18"/>
                <w:lang w:eastAsia="pt-BR"/>
              </w:rPr>
            </w:pPr>
            <w:r w:rsidRPr="007C3E7A">
              <w:rPr>
                <w:rFonts w:ascii="Arial" w:eastAsia="Arial" w:hAnsi="Arial" w:cs="Arial"/>
                <w:color w:val="0070C0"/>
                <w:sz w:val="18"/>
                <w:szCs w:val="18"/>
              </w:rPr>
              <w:t>R</w:t>
            </w:r>
            <w:r w:rsidR="004445A6">
              <w:rPr>
                <w:rFonts w:ascii="Arial" w:eastAsia="Arial" w:hAnsi="Arial" w:cs="Arial"/>
                <w:color w:val="0070C0"/>
                <w:sz w:val="18"/>
                <w:szCs w:val="18"/>
              </w:rPr>
              <w:t>E</w:t>
            </w:r>
            <w:r w:rsidRPr="007C3E7A">
              <w:rPr>
                <w:rFonts w:ascii="Arial" w:eastAsia="Arial" w:hAnsi="Arial" w:cs="Arial"/>
                <w:color w:val="0070C0"/>
                <w:sz w:val="18"/>
                <w:szCs w:val="18"/>
              </w:rPr>
              <w:t>CRERE</w:t>
            </w:r>
          </w:p>
        </w:tc>
        <w:tc>
          <w:tcPr>
            <w:tcW w:w="7224" w:type="dxa"/>
            <w:shd w:val="clear" w:color="auto" w:fill="auto"/>
            <w:vAlign w:val="center"/>
          </w:tcPr>
          <w:p w14:paraId="30263B7C" w14:textId="719A6CCD" w:rsidR="007C3E7A" w:rsidRPr="007C3E7A" w:rsidRDefault="007C3E7A" w:rsidP="007C3E7A">
            <w:pPr>
              <w:rPr>
                <w:rFonts w:ascii="Arial" w:eastAsia="Times New Roman" w:hAnsi="Arial" w:cs="Arial"/>
                <w:sz w:val="18"/>
                <w:szCs w:val="18"/>
                <w:lang w:eastAsia="pt-BR"/>
              </w:rPr>
            </w:pPr>
            <w:r w:rsidRPr="007C3E7A">
              <w:rPr>
                <w:rFonts w:ascii="Arial" w:eastAsia="Arial" w:hAnsi="Arial" w:cs="Arial"/>
                <w:color w:val="0070C0"/>
                <w:sz w:val="18"/>
                <w:szCs w:val="18"/>
              </w:rPr>
              <w:t xml:space="preserve">Relação de créditos a receber de curto e longo prazos (contas a receber clientes ou operações de crédito) existentes no dia do encerramento do exercício, agrupados por período de vencimento, </w:t>
            </w:r>
            <w:r w:rsidR="00A81D23" w:rsidRPr="009F5AF0">
              <w:rPr>
                <w:rFonts w:ascii="Arial" w:eastAsia="Times New Roman" w:hAnsi="Arial" w:cs="Arial"/>
                <w:color w:val="0070C0"/>
                <w:sz w:val="18"/>
                <w:szCs w:val="18"/>
                <w:lang w:eastAsia="pt-BR"/>
              </w:rPr>
              <w:t>na forma do item 3.2 deste Anexo.</w:t>
            </w:r>
          </w:p>
        </w:tc>
        <w:tc>
          <w:tcPr>
            <w:tcW w:w="993" w:type="dxa"/>
            <w:shd w:val="clear" w:color="auto" w:fill="auto"/>
            <w:vAlign w:val="center"/>
          </w:tcPr>
          <w:p w14:paraId="45C4C888" w14:textId="342CF632" w:rsidR="007C3E7A" w:rsidRPr="004A55B3" w:rsidRDefault="007C3E7A" w:rsidP="007C3E7A">
            <w:pPr>
              <w:spacing w:after="0" w:line="240" w:lineRule="auto"/>
              <w:jc w:val="center"/>
              <w:rPr>
                <w:rFonts w:ascii="Arial" w:eastAsia="Times New Roman" w:hAnsi="Arial" w:cs="Arial"/>
                <w:sz w:val="14"/>
                <w:szCs w:val="14"/>
                <w:lang w:eastAsia="pt-BR"/>
              </w:rPr>
            </w:pPr>
            <w:r w:rsidRPr="004A55B3">
              <w:rPr>
                <w:rFonts w:ascii="Arial" w:eastAsia="Arial" w:hAnsi="Arial" w:cs="Arial"/>
                <w:color w:val="0070C0"/>
                <w:sz w:val="14"/>
                <w:szCs w:val="14"/>
              </w:rPr>
              <w:t>XLS/XLSX/ODS</w:t>
            </w:r>
          </w:p>
        </w:tc>
        <w:tc>
          <w:tcPr>
            <w:tcW w:w="1134" w:type="dxa"/>
            <w:vAlign w:val="center"/>
          </w:tcPr>
          <w:p w14:paraId="294DE3FF" w14:textId="3BEDA61E" w:rsidR="007C3E7A" w:rsidRPr="004A55B3" w:rsidRDefault="007C3E7A" w:rsidP="007C3E7A">
            <w:pPr>
              <w:spacing w:after="0" w:line="240" w:lineRule="auto"/>
              <w:jc w:val="center"/>
              <w:rPr>
                <w:rFonts w:ascii="Arial" w:eastAsia="Times New Roman" w:hAnsi="Arial" w:cs="Arial"/>
                <w:sz w:val="14"/>
                <w:szCs w:val="14"/>
                <w:lang w:eastAsia="pt-BR"/>
              </w:rPr>
            </w:pPr>
            <w:r w:rsidRPr="004A55B3">
              <w:rPr>
                <w:rFonts w:ascii="Arial" w:eastAsia="Arial" w:hAnsi="Arial" w:cs="Arial"/>
                <w:color w:val="0070C0"/>
                <w:sz w:val="14"/>
                <w:szCs w:val="14"/>
              </w:rPr>
              <w:t>X</w:t>
            </w:r>
          </w:p>
        </w:tc>
        <w:tc>
          <w:tcPr>
            <w:tcW w:w="1134" w:type="dxa"/>
            <w:vAlign w:val="center"/>
          </w:tcPr>
          <w:p w14:paraId="2C307844" w14:textId="270AB174" w:rsidR="007C3E7A" w:rsidRPr="004A55B3" w:rsidRDefault="007C3E7A" w:rsidP="007C3E7A">
            <w:pPr>
              <w:spacing w:after="0" w:line="240" w:lineRule="auto"/>
              <w:jc w:val="center"/>
              <w:rPr>
                <w:rFonts w:ascii="Arial" w:eastAsia="Times New Roman" w:hAnsi="Arial" w:cs="Arial"/>
                <w:sz w:val="14"/>
                <w:szCs w:val="14"/>
                <w:lang w:eastAsia="pt-BR"/>
              </w:rPr>
            </w:pPr>
            <w:r w:rsidRPr="004A55B3">
              <w:rPr>
                <w:rFonts w:ascii="Arial" w:eastAsia="Arial" w:hAnsi="Arial" w:cs="Arial"/>
                <w:color w:val="0070C0"/>
                <w:sz w:val="14"/>
                <w:szCs w:val="14"/>
              </w:rPr>
              <w:t>X</w:t>
            </w:r>
          </w:p>
        </w:tc>
        <w:tc>
          <w:tcPr>
            <w:tcW w:w="992" w:type="dxa"/>
            <w:vAlign w:val="center"/>
          </w:tcPr>
          <w:p w14:paraId="5A829F3E" w14:textId="60467FD6" w:rsidR="007C3E7A" w:rsidRPr="004A55B3" w:rsidRDefault="007C3E7A" w:rsidP="007C3E7A">
            <w:pPr>
              <w:spacing w:after="0" w:line="240" w:lineRule="auto"/>
              <w:jc w:val="center"/>
              <w:rPr>
                <w:rFonts w:ascii="Arial" w:eastAsia="Times New Roman" w:hAnsi="Arial" w:cs="Arial"/>
                <w:sz w:val="14"/>
                <w:szCs w:val="14"/>
                <w:lang w:eastAsia="pt-BR"/>
              </w:rPr>
            </w:pPr>
            <w:r w:rsidRPr="004A55B3">
              <w:rPr>
                <w:rFonts w:ascii="Arial" w:eastAsia="Arial" w:hAnsi="Arial" w:cs="Arial"/>
                <w:color w:val="0070C0"/>
                <w:sz w:val="14"/>
                <w:szCs w:val="14"/>
              </w:rPr>
              <w:t>X</w:t>
            </w:r>
          </w:p>
        </w:tc>
        <w:tc>
          <w:tcPr>
            <w:tcW w:w="1134" w:type="dxa"/>
            <w:vAlign w:val="center"/>
          </w:tcPr>
          <w:p w14:paraId="602405DB" w14:textId="0BA326A3" w:rsidR="007C3E7A" w:rsidRPr="004A55B3" w:rsidRDefault="007C3E7A" w:rsidP="007C3E7A">
            <w:pPr>
              <w:spacing w:after="0" w:line="240" w:lineRule="auto"/>
              <w:jc w:val="center"/>
              <w:rPr>
                <w:rFonts w:ascii="Arial" w:eastAsia="Times New Roman" w:hAnsi="Arial" w:cs="Arial"/>
                <w:sz w:val="14"/>
                <w:szCs w:val="14"/>
                <w:lang w:eastAsia="pt-BR"/>
              </w:rPr>
            </w:pPr>
            <w:r w:rsidRPr="004A55B3">
              <w:rPr>
                <w:rFonts w:ascii="Arial" w:eastAsia="Arial" w:hAnsi="Arial" w:cs="Arial"/>
                <w:color w:val="0070C0"/>
                <w:sz w:val="14"/>
                <w:szCs w:val="14"/>
              </w:rPr>
              <w:t>X</w:t>
            </w:r>
          </w:p>
        </w:tc>
      </w:tr>
      <w:tr w:rsidR="007C3E7A" w:rsidRPr="00A5490A" w14:paraId="1F9C8305" w14:textId="77777777" w:rsidTr="00073259">
        <w:tc>
          <w:tcPr>
            <w:tcW w:w="1276" w:type="dxa"/>
            <w:vAlign w:val="center"/>
          </w:tcPr>
          <w:p w14:paraId="3CDAE906" w14:textId="622C03C9" w:rsidR="007C3E7A" w:rsidRPr="007C3E7A" w:rsidRDefault="007C3E7A" w:rsidP="007C3E7A">
            <w:pPr>
              <w:spacing w:after="0" w:line="240" w:lineRule="auto"/>
              <w:jc w:val="center"/>
              <w:rPr>
                <w:rFonts w:ascii="Arial" w:eastAsia="Times New Roman" w:hAnsi="Arial" w:cs="Arial"/>
                <w:sz w:val="18"/>
                <w:szCs w:val="18"/>
                <w:lang w:eastAsia="pt-BR"/>
              </w:rPr>
            </w:pPr>
            <w:r w:rsidRPr="007C3E7A">
              <w:rPr>
                <w:rFonts w:ascii="Arial" w:eastAsia="Arial" w:hAnsi="Arial" w:cs="Arial"/>
                <w:color w:val="0070C0"/>
                <w:sz w:val="18"/>
                <w:szCs w:val="18"/>
              </w:rPr>
              <w:t>R</w:t>
            </w:r>
            <w:r w:rsidR="004445A6">
              <w:rPr>
                <w:rFonts w:ascii="Arial" w:eastAsia="Arial" w:hAnsi="Arial" w:cs="Arial"/>
                <w:color w:val="0070C0"/>
                <w:sz w:val="18"/>
                <w:szCs w:val="18"/>
              </w:rPr>
              <w:t>EOBRIG</w:t>
            </w:r>
          </w:p>
        </w:tc>
        <w:tc>
          <w:tcPr>
            <w:tcW w:w="7224" w:type="dxa"/>
            <w:shd w:val="clear" w:color="auto" w:fill="auto"/>
            <w:vAlign w:val="center"/>
          </w:tcPr>
          <w:p w14:paraId="352A6B77" w14:textId="54E20D62" w:rsidR="007C3E7A" w:rsidRPr="007C3E7A" w:rsidRDefault="007C3E7A" w:rsidP="007C3E7A">
            <w:pPr>
              <w:rPr>
                <w:rFonts w:ascii="Arial" w:eastAsia="Times New Roman" w:hAnsi="Arial" w:cs="Arial"/>
                <w:sz w:val="18"/>
                <w:szCs w:val="18"/>
                <w:lang w:eastAsia="pt-BR"/>
              </w:rPr>
            </w:pPr>
            <w:r w:rsidRPr="009F5AF0">
              <w:rPr>
                <w:rFonts w:ascii="Arial" w:eastAsia="Arial" w:hAnsi="Arial" w:cs="Arial"/>
                <w:color w:val="0070C0"/>
                <w:sz w:val="18"/>
                <w:szCs w:val="18"/>
              </w:rPr>
              <w:t>Relação de obrigações de curto e longo prazos (obrigações a pagar fornecedores) existentes no dia do encerramento do exercício agrupados por período de vencimento,</w:t>
            </w:r>
            <w:r w:rsidR="00A81D23" w:rsidRPr="009F5AF0">
              <w:rPr>
                <w:rFonts w:ascii="Arial" w:eastAsia="Arial" w:hAnsi="Arial" w:cs="Arial"/>
                <w:color w:val="0070C0"/>
                <w:sz w:val="18"/>
                <w:szCs w:val="18"/>
              </w:rPr>
              <w:t xml:space="preserve"> </w:t>
            </w:r>
            <w:r w:rsidR="00A81D23" w:rsidRPr="009F5AF0">
              <w:rPr>
                <w:rFonts w:ascii="Arial" w:eastAsia="Times New Roman" w:hAnsi="Arial" w:cs="Arial"/>
                <w:color w:val="0070C0"/>
                <w:sz w:val="18"/>
                <w:szCs w:val="18"/>
                <w:lang w:eastAsia="pt-BR"/>
              </w:rPr>
              <w:t>na forma do item 3.2 deste Anexo.</w:t>
            </w:r>
          </w:p>
        </w:tc>
        <w:tc>
          <w:tcPr>
            <w:tcW w:w="993" w:type="dxa"/>
            <w:shd w:val="clear" w:color="auto" w:fill="auto"/>
            <w:vAlign w:val="center"/>
          </w:tcPr>
          <w:p w14:paraId="3769775E" w14:textId="17407D9A" w:rsidR="007C3E7A" w:rsidRPr="004A55B3" w:rsidRDefault="007C3E7A" w:rsidP="007C3E7A">
            <w:pPr>
              <w:spacing w:after="0" w:line="240" w:lineRule="auto"/>
              <w:jc w:val="center"/>
              <w:rPr>
                <w:rFonts w:ascii="Arial" w:eastAsia="Times New Roman" w:hAnsi="Arial" w:cs="Arial"/>
                <w:sz w:val="14"/>
                <w:szCs w:val="14"/>
                <w:lang w:eastAsia="pt-BR"/>
              </w:rPr>
            </w:pPr>
            <w:r w:rsidRPr="004A55B3">
              <w:rPr>
                <w:rFonts w:ascii="Arial" w:eastAsia="Arial" w:hAnsi="Arial" w:cs="Arial"/>
                <w:color w:val="0070C0"/>
                <w:sz w:val="14"/>
                <w:szCs w:val="14"/>
              </w:rPr>
              <w:t>XLS/XLSX/ODS</w:t>
            </w:r>
          </w:p>
        </w:tc>
        <w:tc>
          <w:tcPr>
            <w:tcW w:w="1134" w:type="dxa"/>
            <w:vAlign w:val="center"/>
          </w:tcPr>
          <w:p w14:paraId="64152165" w14:textId="201F36DE" w:rsidR="007C3E7A" w:rsidRPr="004A55B3" w:rsidRDefault="007C3E7A" w:rsidP="007C3E7A">
            <w:pPr>
              <w:spacing w:after="0" w:line="240" w:lineRule="auto"/>
              <w:jc w:val="center"/>
              <w:rPr>
                <w:rFonts w:ascii="Arial" w:eastAsia="Times New Roman" w:hAnsi="Arial" w:cs="Arial"/>
                <w:sz w:val="14"/>
                <w:szCs w:val="14"/>
                <w:lang w:eastAsia="pt-BR"/>
              </w:rPr>
            </w:pPr>
            <w:r w:rsidRPr="004A55B3">
              <w:rPr>
                <w:rFonts w:ascii="Arial" w:eastAsia="Arial" w:hAnsi="Arial" w:cs="Arial"/>
                <w:color w:val="0070C0"/>
                <w:sz w:val="14"/>
                <w:szCs w:val="14"/>
              </w:rPr>
              <w:t>X</w:t>
            </w:r>
          </w:p>
        </w:tc>
        <w:tc>
          <w:tcPr>
            <w:tcW w:w="1134" w:type="dxa"/>
            <w:vAlign w:val="center"/>
          </w:tcPr>
          <w:p w14:paraId="19AF0E23" w14:textId="6888A5C8" w:rsidR="007C3E7A" w:rsidRPr="004A55B3" w:rsidRDefault="007C3E7A" w:rsidP="007C3E7A">
            <w:pPr>
              <w:spacing w:after="0" w:line="240" w:lineRule="auto"/>
              <w:jc w:val="center"/>
              <w:rPr>
                <w:rFonts w:ascii="Arial" w:eastAsia="Times New Roman" w:hAnsi="Arial" w:cs="Arial"/>
                <w:sz w:val="14"/>
                <w:szCs w:val="14"/>
                <w:lang w:eastAsia="pt-BR"/>
              </w:rPr>
            </w:pPr>
            <w:r w:rsidRPr="004A55B3">
              <w:rPr>
                <w:rFonts w:ascii="Arial" w:eastAsia="Arial" w:hAnsi="Arial" w:cs="Arial"/>
                <w:color w:val="0070C0"/>
                <w:sz w:val="14"/>
                <w:szCs w:val="14"/>
              </w:rPr>
              <w:t>X</w:t>
            </w:r>
          </w:p>
        </w:tc>
        <w:tc>
          <w:tcPr>
            <w:tcW w:w="992" w:type="dxa"/>
            <w:vAlign w:val="center"/>
          </w:tcPr>
          <w:p w14:paraId="6BBE2483" w14:textId="5D4CE044" w:rsidR="007C3E7A" w:rsidRPr="004A55B3" w:rsidRDefault="007C3E7A" w:rsidP="007C3E7A">
            <w:pPr>
              <w:spacing w:after="0" w:line="240" w:lineRule="auto"/>
              <w:jc w:val="center"/>
              <w:rPr>
                <w:rFonts w:ascii="Arial" w:eastAsia="Times New Roman" w:hAnsi="Arial" w:cs="Arial"/>
                <w:sz w:val="14"/>
                <w:szCs w:val="14"/>
                <w:lang w:eastAsia="pt-BR"/>
              </w:rPr>
            </w:pPr>
            <w:r w:rsidRPr="004A55B3">
              <w:rPr>
                <w:rFonts w:ascii="Arial" w:eastAsia="Arial" w:hAnsi="Arial" w:cs="Arial"/>
                <w:color w:val="0070C0"/>
                <w:sz w:val="14"/>
                <w:szCs w:val="14"/>
              </w:rPr>
              <w:t>X</w:t>
            </w:r>
          </w:p>
        </w:tc>
        <w:tc>
          <w:tcPr>
            <w:tcW w:w="1134" w:type="dxa"/>
            <w:vAlign w:val="center"/>
          </w:tcPr>
          <w:p w14:paraId="788BA096" w14:textId="69447F25" w:rsidR="007C3E7A" w:rsidRPr="004A55B3" w:rsidRDefault="007C3E7A" w:rsidP="007C3E7A">
            <w:pPr>
              <w:spacing w:after="0" w:line="240" w:lineRule="auto"/>
              <w:jc w:val="center"/>
              <w:rPr>
                <w:rFonts w:ascii="Arial" w:eastAsia="Times New Roman" w:hAnsi="Arial" w:cs="Arial"/>
                <w:sz w:val="14"/>
                <w:szCs w:val="14"/>
                <w:lang w:eastAsia="pt-BR"/>
              </w:rPr>
            </w:pPr>
            <w:r w:rsidRPr="004A55B3">
              <w:rPr>
                <w:rFonts w:ascii="Arial" w:eastAsia="Arial" w:hAnsi="Arial" w:cs="Arial"/>
                <w:color w:val="0070C0"/>
                <w:sz w:val="14"/>
                <w:szCs w:val="14"/>
              </w:rPr>
              <w:t>X</w:t>
            </w:r>
          </w:p>
        </w:tc>
      </w:tr>
    </w:tbl>
    <w:p w14:paraId="525A7234" w14:textId="2466FACE" w:rsidR="00F146A5" w:rsidRDefault="00F146A5" w:rsidP="00F146A5">
      <w:pPr>
        <w:jc w:val="both"/>
      </w:pPr>
    </w:p>
    <w:p w14:paraId="1DB06E04" w14:textId="77777777" w:rsidR="006F0FB6" w:rsidRDefault="006F0FB6" w:rsidP="00F146A5">
      <w:pPr>
        <w:jc w:val="both"/>
      </w:pPr>
    </w:p>
    <w:p w14:paraId="066FE2F6" w14:textId="77777777" w:rsidR="00F146A5" w:rsidRPr="00FF306E" w:rsidRDefault="00F146A5" w:rsidP="00F146A5">
      <w:pPr>
        <w:jc w:val="both"/>
      </w:pPr>
    </w:p>
    <w:p w14:paraId="628494D8" w14:textId="7D287979" w:rsidR="006F0FB6" w:rsidRPr="00613437" w:rsidRDefault="006F0FB6" w:rsidP="006F0FB6">
      <w:pPr>
        <w:pStyle w:val="Ttulo2"/>
        <w:ind w:left="567"/>
        <w:rPr>
          <w:lang w:val="pt-BR"/>
        </w:rPr>
      </w:pPr>
      <w:bookmarkStart w:id="109" w:name="_Toc94806379"/>
      <w:r w:rsidRPr="00613437">
        <w:rPr>
          <w:lang w:val="pt-BR"/>
        </w:rPr>
        <w:t>Alterou o R</w:t>
      </w:r>
      <w:r w:rsidR="00F51BEA" w:rsidRPr="00613437">
        <w:rPr>
          <w:lang w:val="pt-BR"/>
        </w:rPr>
        <w:t>ol de Documentos</w:t>
      </w:r>
      <w:r w:rsidRPr="00613437">
        <w:rPr>
          <w:lang w:val="pt-BR"/>
        </w:rPr>
        <w:t xml:space="preserve"> CONTAS DOS ORDENADORES DE DESPESAS DAS UNIDADES GESTORAS DE SENTENÇAS JUDICIÁRIAS – PRECATÓRIOS ESTADUAIS, PRECATÓRIOS MUNICIPAIS E PENAS PECUNIÁRIAS</w:t>
      </w:r>
      <w:bookmarkEnd w:id="109"/>
    </w:p>
    <w:p w14:paraId="28D8E8C8" w14:textId="46CEAAFB" w:rsidR="006F0FB6" w:rsidRDefault="006F0FB6" w:rsidP="006F0FB6">
      <w:pPr>
        <w:jc w:val="both"/>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7229"/>
        <w:gridCol w:w="1276"/>
      </w:tblGrid>
      <w:tr w:rsidR="006F0FB6" w:rsidRPr="001E5A7F" w14:paraId="79C30F33" w14:textId="77777777" w:rsidTr="00694557">
        <w:tc>
          <w:tcPr>
            <w:tcW w:w="1555" w:type="dxa"/>
            <w:vAlign w:val="center"/>
          </w:tcPr>
          <w:p w14:paraId="7ABE7943" w14:textId="77777777" w:rsidR="006F0FB6" w:rsidRPr="001E5A7F" w:rsidRDefault="006F0FB6" w:rsidP="002936F7">
            <w:pPr>
              <w:spacing w:after="0" w:line="240" w:lineRule="auto"/>
              <w:jc w:val="center"/>
              <w:rPr>
                <w:rFonts w:ascii="Arial" w:eastAsia="Times New Roman" w:hAnsi="Arial" w:cs="Arial"/>
                <w:sz w:val="18"/>
                <w:szCs w:val="18"/>
                <w:lang w:eastAsia="pt-BR"/>
              </w:rPr>
            </w:pPr>
            <w:r w:rsidRPr="001E5A7F">
              <w:rPr>
                <w:rFonts w:ascii="Arial" w:eastAsia="Times New Roman" w:hAnsi="Arial" w:cs="Arial"/>
                <w:sz w:val="18"/>
                <w:szCs w:val="18"/>
                <w:lang w:eastAsia="pt-BR"/>
              </w:rPr>
              <w:t>Código</w:t>
            </w:r>
          </w:p>
        </w:tc>
        <w:tc>
          <w:tcPr>
            <w:tcW w:w="7229" w:type="dxa"/>
            <w:shd w:val="clear" w:color="auto" w:fill="auto"/>
            <w:vAlign w:val="center"/>
          </w:tcPr>
          <w:p w14:paraId="783F0B14" w14:textId="77777777" w:rsidR="006F0FB6" w:rsidRPr="001E5A7F" w:rsidRDefault="006F0FB6" w:rsidP="002936F7">
            <w:pPr>
              <w:spacing w:before="120" w:after="120" w:line="240" w:lineRule="auto"/>
              <w:jc w:val="both"/>
              <w:rPr>
                <w:rFonts w:ascii="Arial" w:eastAsia="Times New Roman" w:hAnsi="Arial" w:cs="Arial"/>
                <w:sz w:val="18"/>
                <w:szCs w:val="18"/>
                <w:lang w:eastAsia="pt-BR"/>
              </w:rPr>
            </w:pPr>
            <w:r w:rsidRPr="001E5A7F">
              <w:rPr>
                <w:rFonts w:ascii="Arial" w:eastAsia="Times New Roman" w:hAnsi="Arial" w:cs="Arial"/>
                <w:sz w:val="18"/>
                <w:szCs w:val="18"/>
                <w:lang w:eastAsia="pt-BR"/>
              </w:rPr>
              <w:t>Descrição</w:t>
            </w:r>
          </w:p>
        </w:tc>
        <w:tc>
          <w:tcPr>
            <w:tcW w:w="1276" w:type="dxa"/>
            <w:shd w:val="clear" w:color="auto" w:fill="auto"/>
            <w:vAlign w:val="center"/>
          </w:tcPr>
          <w:p w14:paraId="259900DE" w14:textId="77777777" w:rsidR="006F0FB6" w:rsidRPr="001E5A7F" w:rsidRDefault="006F0FB6" w:rsidP="002936F7">
            <w:pPr>
              <w:spacing w:after="0" w:line="240" w:lineRule="auto"/>
              <w:jc w:val="center"/>
              <w:rPr>
                <w:rFonts w:ascii="Arial" w:eastAsia="Times New Roman" w:hAnsi="Arial" w:cs="Arial"/>
                <w:sz w:val="18"/>
                <w:szCs w:val="18"/>
                <w:lang w:eastAsia="pt-BR"/>
              </w:rPr>
            </w:pPr>
            <w:r w:rsidRPr="001E5A7F">
              <w:rPr>
                <w:rFonts w:ascii="Arial" w:eastAsia="Times New Roman" w:hAnsi="Arial" w:cs="Arial"/>
                <w:sz w:val="18"/>
                <w:szCs w:val="18"/>
                <w:lang w:eastAsia="pt-BR"/>
              </w:rPr>
              <w:t>Formato</w:t>
            </w:r>
          </w:p>
        </w:tc>
      </w:tr>
      <w:tr w:rsidR="006F0FB6" w:rsidRPr="00BC11E3" w14:paraId="2C744A39" w14:textId="77777777" w:rsidTr="00694557">
        <w:tc>
          <w:tcPr>
            <w:tcW w:w="1555" w:type="dxa"/>
            <w:vAlign w:val="center"/>
          </w:tcPr>
          <w:p w14:paraId="4B2B0D77" w14:textId="47AC255A" w:rsidR="006F0FB6" w:rsidRPr="00BC11E3" w:rsidRDefault="006F0FB6" w:rsidP="002936F7">
            <w:pPr>
              <w:spacing w:after="0" w:line="240" w:lineRule="auto"/>
              <w:jc w:val="center"/>
              <w:rPr>
                <w:rFonts w:ascii="Arial" w:eastAsia="Times New Roman" w:hAnsi="Arial" w:cs="Arial"/>
                <w:color w:val="0070C0"/>
                <w:sz w:val="20"/>
                <w:szCs w:val="20"/>
                <w:lang w:eastAsia="pt-BR"/>
              </w:rPr>
            </w:pPr>
            <w:r w:rsidRPr="00BC11E3">
              <w:rPr>
                <w:rFonts w:ascii="Arial" w:eastAsia="Times New Roman" w:hAnsi="Arial" w:cs="Arial"/>
                <w:color w:val="0070C0"/>
                <w:sz w:val="20"/>
                <w:szCs w:val="20"/>
                <w:lang w:eastAsia="pt-BR"/>
              </w:rPr>
              <w:t>RFPREC</w:t>
            </w:r>
          </w:p>
        </w:tc>
        <w:tc>
          <w:tcPr>
            <w:tcW w:w="7229" w:type="dxa"/>
            <w:shd w:val="clear" w:color="auto" w:fill="auto"/>
            <w:vAlign w:val="center"/>
          </w:tcPr>
          <w:p w14:paraId="4DB06479" w14:textId="53B2DAD4" w:rsidR="006F0FB6" w:rsidRPr="00BC11E3" w:rsidRDefault="00BC11E3" w:rsidP="002936F7">
            <w:pPr>
              <w:spacing w:before="120" w:after="120" w:line="240" w:lineRule="auto"/>
              <w:jc w:val="both"/>
              <w:rPr>
                <w:rFonts w:ascii="Arial" w:eastAsia="Times New Roman" w:hAnsi="Arial" w:cs="Arial"/>
                <w:color w:val="0070C0"/>
                <w:sz w:val="20"/>
                <w:szCs w:val="20"/>
                <w:lang w:eastAsia="pt-BR"/>
              </w:rPr>
            </w:pPr>
            <w:r w:rsidRPr="00BC11E3">
              <w:rPr>
                <w:rFonts w:ascii="Arial" w:hAnsi="Arial" w:cs="Arial"/>
                <w:color w:val="0070C0"/>
                <w:sz w:val="20"/>
                <w:szCs w:val="20"/>
              </w:rPr>
              <w:t>Repasses financeiros efetuados pelos Entes ao Tribunal de Justiça do Estado do Espírito Santo - TJES, relativos aos Precatórios em Regime Especial.</w:t>
            </w:r>
          </w:p>
        </w:tc>
        <w:tc>
          <w:tcPr>
            <w:tcW w:w="1276" w:type="dxa"/>
            <w:shd w:val="clear" w:color="auto" w:fill="auto"/>
            <w:vAlign w:val="center"/>
          </w:tcPr>
          <w:p w14:paraId="030B526C" w14:textId="77777777" w:rsidR="006F0FB6" w:rsidRPr="00BC11E3" w:rsidRDefault="006F0FB6" w:rsidP="002936F7">
            <w:pPr>
              <w:spacing w:line="241" w:lineRule="auto"/>
              <w:ind w:left="209" w:right="222"/>
              <w:contextualSpacing/>
              <w:jc w:val="center"/>
              <w:rPr>
                <w:rFonts w:ascii="Arial" w:hAnsi="Arial" w:cs="Arial"/>
                <w:color w:val="0070C0"/>
                <w:sz w:val="14"/>
                <w:szCs w:val="14"/>
              </w:rPr>
            </w:pPr>
            <w:r w:rsidRPr="00BC11E3">
              <w:rPr>
                <w:rFonts w:ascii="Arial" w:eastAsia="Arial" w:hAnsi="Arial" w:cs="Arial"/>
                <w:color w:val="0070C0"/>
                <w:sz w:val="14"/>
                <w:szCs w:val="14"/>
              </w:rPr>
              <w:t xml:space="preserve">PDF e  </w:t>
            </w:r>
          </w:p>
          <w:p w14:paraId="6465B241" w14:textId="77777777" w:rsidR="006F0FB6" w:rsidRPr="00BC11E3" w:rsidRDefault="006F0FB6" w:rsidP="002936F7">
            <w:pPr>
              <w:spacing w:after="0" w:line="240" w:lineRule="auto"/>
              <w:jc w:val="center"/>
              <w:rPr>
                <w:rFonts w:ascii="Arial" w:eastAsia="Times New Roman" w:hAnsi="Arial" w:cs="Arial"/>
                <w:color w:val="0070C0"/>
                <w:sz w:val="14"/>
                <w:szCs w:val="14"/>
                <w:lang w:eastAsia="pt-BR"/>
              </w:rPr>
            </w:pPr>
            <w:r w:rsidRPr="00BC11E3">
              <w:rPr>
                <w:rFonts w:ascii="Arial" w:eastAsia="Arial" w:hAnsi="Arial" w:cs="Arial"/>
                <w:color w:val="0070C0"/>
                <w:sz w:val="14"/>
                <w:szCs w:val="14"/>
              </w:rPr>
              <w:t>XLS/XLSX/ ODS</w:t>
            </w:r>
          </w:p>
        </w:tc>
      </w:tr>
    </w:tbl>
    <w:p w14:paraId="018231D5" w14:textId="77777777" w:rsidR="006F0FB6" w:rsidRDefault="006F0FB6" w:rsidP="006F0FB6">
      <w:pPr>
        <w:jc w:val="both"/>
      </w:pPr>
    </w:p>
    <w:p w14:paraId="620F564B" w14:textId="016E6B75" w:rsidR="006F0FB6" w:rsidRDefault="006F0FB6" w:rsidP="006F0FB6">
      <w:pPr>
        <w:jc w:val="both"/>
      </w:pPr>
    </w:p>
    <w:p w14:paraId="041D0807" w14:textId="77777777" w:rsidR="006F0FB6" w:rsidRDefault="006F0FB6" w:rsidP="006F0FB6">
      <w:pPr>
        <w:jc w:val="both"/>
      </w:pPr>
    </w:p>
    <w:p w14:paraId="4C83CB78" w14:textId="5BD0FD41" w:rsidR="00A9732C" w:rsidRPr="002E37F8" w:rsidRDefault="002E37F8" w:rsidP="002E37F8">
      <w:pPr>
        <w:pStyle w:val="Ttulo2"/>
        <w:ind w:left="578" w:hanging="578"/>
        <w:rPr>
          <w:lang w:val="pt-BR"/>
        </w:rPr>
      </w:pPr>
      <w:bookmarkStart w:id="110" w:name="_Toc94806380"/>
      <w:r w:rsidRPr="00613437">
        <w:rPr>
          <w:rFonts w:cs="Arial"/>
          <w:sz w:val="24"/>
          <w:szCs w:val="24"/>
          <w:lang w:val="pt-BR"/>
        </w:rPr>
        <w:t xml:space="preserve">Alterou </w:t>
      </w:r>
      <w:r w:rsidR="00A9732C" w:rsidRPr="00613437">
        <w:rPr>
          <w:rFonts w:cs="Arial"/>
          <w:sz w:val="24"/>
          <w:szCs w:val="24"/>
          <w:lang w:val="pt-BR"/>
        </w:rPr>
        <w:t>a Tabela 2 – Balanço Patrimonial para Municípios/Consórcios</w:t>
      </w:r>
      <w:bookmarkEnd w:id="110"/>
    </w:p>
    <w:tbl>
      <w:tblPr>
        <w:tblW w:w="15322" w:type="dxa"/>
        <w:tblInd w:w="-497" w:type="dxa"/>
        <w:tblCellMar>
          <w:left w:w="70" w:type="dxa"/>
          <w:right w:w="70" w:type="dxa"/>
        </w:tblCellMar>
        <w:tblLook w:val="04A0" w:firstRow="1" w:lastRow="0" w:firstColumn="1" w:lastColumn="0" w:noHBand="0" w:noVBand="1"/>
      </w:tblPr>
      <w:tblGrid>
        <w:gridCol w:w="4410"/>
        <w:gridCol w:w="767"/>
        <w:gridCol w:w="1063"/>
        <w:gridCol w:w="1262"/>
        <w:gridCol w:w="4562"/>
        <w:gridCol w:w="775"/>
        <w:gridCol w:w="1063"/>
        <w:gridCol w:w="1420"/>
      </w:tblGrid>
      <w:tr w:rsidR="00A9732C" w:rsidRPr="009548D7" w14:paraId="3921E224" w14:textId="77777777" w:rsidTr="00A9732C">
        <w:trPr>
          <w:trHeight w:val="270"/>
        </w:trPr>
        <w:tc>
          <w:tcPr>
            <w:tcW w:w="7502" w:type="dxa"/>
            <w:gridSpan w:val="4"/>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49AD063B" w14:textId="77777777" w:rsidR="00A9732C" w:rsidRPr="009548D7" w:rsidRDefault="00A9732C" w:rsidP="00A9732C">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ATIVO</w:t>
            </w:r>
          </w:p>
        </w:tc>
        <w:tc>
          <w:tcPr>
            <w:tcW w:w="7820" w:type="dxa"/>
            <w:gridSpan w:val="4"/>
            <w:tcBorders>
              <w:top w:val="single" w:sz="8" w:space="0" w:color="auto"/>
              <w:left w:val="nil"/>
              <w:bottom w:val="single" w:sz="8" w:space="0" w:color="auto"/>
              <w:right w:val="single" w:sz="8" w:space="0" w:color="auto"/>
            </w:tcBorders>
            <w:shd w:val="clear" w:color="000000" w:fill="D9D9D9"/>
            <w:noWrap/>
            <w:vAlign w:val="center"/>
            <w:hideMark/>
          </w:tcPr>
          <w:p w14:paraId="0DD4D5FC" w14:textId="77777777" w:rsidR="00A9732C" w:rsidRPr="009548D7" w:rsidRDefault="00A9732C" w:rsidP="00A9732C">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PASSIVO E PATRIMÔNIO LÍQUIDO</w:t>
            </w:r>
          </w:p>
        </w:tc>
      </w:tr>
      <w:tr w:rsidR="00A9732C" w:rsidRPr="009548D7" w14:paraId="482132BA" w14:textId="77777777" w:rsidTr="00A9732C">
        <w:trPr>
          <w:trHeight w:val="270"/>
        </w:trPr>
        <w:tc>
          <w:tcPr>
            <w:tcW w:w="4410" w:type="dxa"/>
            <w:tcBorders>
              <w:top w:val="nil"/>
              <w:left w:val="single" w:sz="8" w:space="0" w:color="auto"/>
              <w:bottom w:val="single" w:sz="8" w:space="0" w:color="auto"/>
            </w:tcBorders>
            <w:shd w:val="clear" w:color="000000" w:fill="D9D9D9"/>
            <w:noWrap/>
            <w:vAlign w:val="center"/>
            <w:hideMark/>
          </w:tcPr>
          <w:p w14:paraId="63ED3E64" w14:textId="77777777" w:rsidR="00A9732C" w:rsidRPr="009548D7" w:rsidRDefault="00A9732C" w:rsidP="00A9732C">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Especificação</w:t>
            </w:r>
          </w:p>
        </w:tc>
        <w:tc>
          <w:tcPr>
            <w:tcW w:w="767" w:type="dxa"/>
            <w:tcBorders>
              <w:top w:val="nil"/>
              <w:bottom w:val="single" w:sz="8" w:space="0" w:color="auto"/>
              <w:right w:val="single" w:sz="4" w:space="0" w:color="auto"/>
            </w:tcBorders>
            <w:shd w:val="clear" w:color="000000" w:fill="D9D9D9"/>
            <w:noWrap/>
            <w:vAlign w:val="center"/>
          </w:tcPr>
          <w:p w14:paraId="1F7F6ED4" w14:textId="77777777" w:rsidR="00A9732C" w:rsidRPr="009548D7" w:rsidRDefault="00A9732C" w:rsidP="00A9732C">
            <w:pPr>
              <w:spacing w:after="0" w:line="240" w:lineRule="auto"/>
              <w:jc w:val="center"/>
              <w:rPr>
                <w:rFonts w:ascii="Arial Narrow" w:eastAsia="Times New Roman" w:hAnsi="Arial Narrow" w:cs="Arial"/>
                <w:b/>
                <w:bCs/>
                <w:sz w:val="16"/>
                <w:szCs w:val="16"/>
                <w:lang w:eastAsia="pt-BR"/>
              </w:rPr>
            </w:pPr>
          </w:p>
        </w:tc>
        <w:tc>
          <w:tcPr>
            <w:tcW w:w="1063" w:type="dxa"/>
            <w:tcBorders>
              <w:top w:val="nil"/>
              <w:left w:val="single" w:sz="4" w:space="0" w:color="auto"/>
              <w:bottom w:val="single" w:sz="8" w:space="0" w:color="auto"/>
              <w:right w:val="single" w:sz="8" w:space="0" w:color="auto"/>
            </w:tcBorders>
            <w:shd w:val="clear" w:color="000000" w:fill="D9D9D9"/>
            <w:noWrap/>
            <w:vAlign w:val="center"/>
            <w:hideMark/>
          </w:tcPr>
          <w:p w14:paraId="76CB6F16" w14:textId="77777777" w:rsidR="00A9732C" w:rsidRPr="009548D7" w:rsidRDefault="00A9732C" w:rsidP="00A9732C">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Exercício Atual</w:t>
            </w:r>
          </w:p>
        </w:tc>
        <w:tc>
          <w:tcPr>
            <w:tcW w:w="1262" w:type="dxa"/>
            <w:tcBorders>
              <w:top w:val="nil"/>
              <w:left w:val="nil"/>
              <w:bottom w:val="single" w:sz="8" w:space="0" w:color="auto"/>
              <w:right w:val="single" w:sz="8" w:space="0" w:color="auto"/>
            </w:tcBorders>
            <w:shd w:val="clear" w:color="000000" w:fill="D9D9D9"/>
            <w:noWrap/>
            <w:vAlign w:val="center"/>
            <w:hideMark/>
          </w:tcPr>
          <w:p w14:paraId="7571A868" w14:textId="77777777" w:rsidR="00A9732C" w:rsidRPr="009548D7" w:rsidRDefault="00A9732C" w:rsidP="00A9732C">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Exercício Anterior</w:t>
            </w:r>
          </w:p>
        </w:tc>
        <w:tc>
          <w:tcPr>
            <w:tcW w:w="4562" w:type="dxa"/>
            <w:tcBorders>
              <w:top w:val="nil"/>
              <w:left w:val="single" w:sz="4" w:space="0" w:color="auto"/>
              <w:bottom w:val="single" w:sz="8" w:space="0" w:color="auto"/>
            </w:tcBorders>
            <w:shd w:val="clear" w:color="000000" w:fill="D9D9D9"/>
            <w:noWrap/>
            <w:vAlign w:val="center"/>
            <w:hideMark/>
          </w:tcPr>
          <w:p w14:paraId="2456A315" w14:textId="77777777" w:rsidR="00A9732C" w:rsidRPr="009548D7" w:rsidRDefault="00A9732C" w:rsidP="00A9732C">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Especificação</w:t>
            </w:r>
          </w:p>
        </w:tc>
        <w:tc>
          <w:tcPr>
            <w:tcW w:w="775" w:type="dxa"/>
            <w:tcBorders>
              <w:top w:val="nil"/>
              <w:bottom w:val="single" w:sz="8" w:space="0" w:color="auto"/>
              <w:right w:val="single" w:sz="8" w:space="0" w:color="auto"/>
            </w:tcBorders>
            <w:shd w:val="clear" w:color="000000" w:fill="D9D9D9"/>
            <w:noWrap/>
            <w:vAlign w:val="center"/>
          </w:tcPr>
          <w:p w14:paraId="2ABB1580" w14:textId="77777777" w:rsidR="00A9732C" w:rsidRPr="009548D7" w:rsidRDefault="00A9732C" w:rsidP="00A9732C">
            <w:pPr>
              <w:spacing w:after="0" w:line="240" w:lineRule="auto"/>
              <w:jc w:val="center"/>
              <w:rPr>
                <w:rFonts w:ascii="Arial Narrow" w:eastAsia="Times New Roman" w:hAnsi="Arial Narrow" w:cs="Arial"/>
                <w:b/>
                <w:bCs/>
                <w:sz w:val="16"/>
                <w:szCs w:val="16"/>
                <w:lang w:eastAsia="pt-BR"/>
              </w:rPr>
            </w:pPr>
          </w:p>
        </w:tc>
        <w:tc>
          <w:tcPr>
            <w:tcW w:w="1063" w:type="dxa"/>
            <w:tcBorders>
              <w:top w:val="nil"/>
              <w:left w:val="nil"/>
              <w:bottom w:val="single" w:sz="8" w:space="0" w:color="auto"/>
              <w:right w:val="single" w:sz="8" w:space="0" w:color="auto"/>
            </w:tcBorders>
            <w:shd w:val="clear" w:color="000000" w:fill="D9D9D9"/>
            <w:noWrap/>
            <w:vAlign w:val="center"/>
            <w:hideMark/>
          </w:tcPr>
          <w:p w14:paraId="6634A42B" w14:textId="77777777" w:rsidR="00A9732C" w:rsidRPr="009548D7" w:rsidRDefault="00A9732C" w:rsidP="00A9732C">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Exercício Atual</w:t>
            </w:r>
          </w:p>
        </w:tc>
        <w:tc>
          <w:tcPr>
            <w:tcW w:w="1420" w:type="dxa"/>
            <w:tcBorders>
              <w:top w:val="nil"/>
              <w:left w:val="nil"/>
              <w:bottom w:val="single" w:sz="8" w:space="0" w:color="auto"/>
              <w:right w:val="single" w:sz="8" w:space="0" w:color="auto"/>
            </w:tcBorders>
            <w:shd w:val="clear" w:color="000000" w:fill="D9D9D9"/>
            <w:noWrap/>
            <w:vAlign w:val="center"/>
            <w:hideMark/>
          </w:tcPr>
          <w:p w14:paraId="0C8AE934" w14:textId="77777777" w:rsidR="00A9732C" w:rsidRPr="009548D7" w:rsidRDefault="00A9732C" w:rsidP="00A9732C">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Exercício Anterior</w:t>
            </w:r>
          </w:p>
        </w:tc>
      </w:tr>
      <w:tr w:rsidR="00A9732C" w:rsidRPr="009548D7" w14:paraId="0C3F69F1" w14:textId="77777777" w:rsidTr="00A9732C">
        <w:trPr>
          <w:trHeight w:val="255"/>
        </w:trPr>
        <w:tc>
          <w:tcPr>
            <w:tcW w:w="4410" w:type="dxa"/>
            <w:tcBorders>
              <w:top w:val="nil"/>
              <w:left w:val="single" w:sz="8" w:space="0" w:color="auto"/>
              <w:bottom w:val="nil"/>
            </w:tcBorders>
            <w:shd w:val="clear" w:color="auto" w:fill="auto"/>
            <w:noWrap/>
            <w:vAlign w:val="center"/>
            <w:hideMark/>
          </w:tcPr>
          <w:p w14:paraId="3CA3E44F" w14:textId="77777777" w:rsidR="00A9732C" w:rsidRPr="009548D7" w:rsidRDefault="00A9732C" w:rsidP="00A9732C">
            <w:pPr>
              <w:spacing w:after="0" w:line="240" w:lineRule="auto"/>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ATIVO CIRCULANTE</w:t>
            </w:r>
          </w:p>
        </w:tc>
        <w:tc>
          <w:tcPr>
            <w:tcW w:w="767" w:type="dxa"/>
            <w:tcBorders>
              <w:top w:val="nil"/>
              <w:bottom w:val="nil"/>
              <w:right w:val="single" w:sz="4" w:space="0" w:color="auto"/>
            </w:tcBorders>
            <w:shd w:val="clear" w:color="auto" w:fill="auto"/>
            <w:noWrap/>
            <w:vAlign w:val="center"/>
          </w:tcPr>
          <w:p w14:paraId="767A8343" w14:textId="77777777" w:rsidR="00A9732C" w:rsidRPr="009548D7" w:rsidRDefault="00A9732C" w:rsidP="00A9732C">
            <w:pPr>
              <w:spacing w:after="0" w:line="240" w:lineRule="auto"/>
              <w:jc w:val="center"/>
              <w:rPr>
                <w:rFonts w:ascii="Arial Narrow" w:eastAsia="Times New Roman" w:hAnsi="Arial Narrow" w:cs="Arial"/>
                <w:b/>
                <w:bCs/>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550A9601" w14:textId="77777777" w:rsidR="00A9732C" w:rsidRPr="009548D7" w:rsidRDefault="00A9732C" w:rsidP="00A9732C">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BPA.D009</w:t>
            </w:r>
          </w:p>
        </w:tc>
        <w:tc>
          <w:tcPr>
            <w:tcW w:w="1262" w:type="dxa"/>
            <w:tcBorders>
              <w:top w:val="nil"/>
              <w:left w:val="nil"/>
              <w:bottom w:val="nil"/>
              <w:right w:val="single" w:sz="8" w:space="0" w:color="auto"/>
            </w:tcBorders>
            <w:shd w:val="clear" w:color="auto" w:fill="auto"/>
            <w:noWrap/>
            <w:vAlign w:val="center"/>
            <w:hideMark/>
          </w:tcPr>
          <w:p w14:paraId="1229772A" w14:textId="77777777" w:rsidR="00A9732C" w:rsidRPr="009548D7" w:rsidRDefault="00A9732C" w:rsidP="00A9732C">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BPA.E009</w:t>
            </w:r>
          </w:p>
        </w:tc>
        <w:tc>
          <w:tcPr>
            <w:tcW w:w="4562" w:type="dxa"/>
            <w:tcBorders>
              <w:top w:val="nil"/>
              <w:left w:val="nil"/>
              <w:bottom w:val="nil"/>
            </w:tcBorders>
            <w:shd w:val="clear" w:color="auto" w:fill="auto"/>
            <w:noWrap/>
            <w:vAlign w:val="center"/>
            <w:hideMark/>
          </w:tcPr>
          <w:p w14:paraId="5BCD2EB8" w14:textId="77777777" w:rsidR="00A9732C" w:rsidRPr="009548D7" w:rsidRDefault="00A9732C" w:rsidP="00A9732C">
            <w:pPr>
              <w:spacing w:after="0" w:line="240" w:lineRule="auto"/>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PASSIVO CIRCULANTE</w:t>
            </w:r>
          </w:p>
        </w:tc>
        <w:tc>
          <w:tcPr>
            <w:tcW w:w="775" w:type="dxa"/>
            <w:tcBorders>
              <w:top w:val="nil"/>
              <w:bottom w:val="nil"/>
              <w:right w:val="single" w:sz="8" w:space="0" w:color="auto"/>
            </w:tcBorders>
            <w:shd w:val="clear" w:color="auto" w:fill="auto"/>
            <w:noWrap/>
            <w:vAlign w:val="center"/>
          </w:tcPr>
          <w:p w14:paraId="698625FA" w14:textId="77777777" w:rsidR="00A9732C" w:rsidRPr="009548D7" w:rsidRDefault="00A9732C" w:rsidP="00A9732C">
            <w:pPr>
              <w:spacing w:after="0" w:line="240" w:lineRule="auto"/>
              <w:jc w:val="center"/>
              <w:rPr>
                <w:rFonts w:ascii="Arial Narrow" w:eastAsia="Times New Roman" w:hAnsi="Arial Narrow" w:cs="Arial"/>
                <w:b/>
                <w:bCs/>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5A6BDF8E" w14:textId="77777777" w:rsidR="00A9732C" w:rsidRPr="009548D7" w:rsidRDefault="00A9732C" w:rsidP="00A9732C">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BPA.H009</w:t>
            </w:r>
          </w:p>
        </w:tc>
        <w:tc>
          <w:tcPr>
            <w:tcW w:w="1420" w:type="dxa"/>
            <w:tcBorders>
              <w:top w:val="nil"/>
              <w:left w:val="nil"/>
              <w:bottom w:val="nil"/>
              <w:right w:val="single" w:sz="8" w:space="0" w:color="auto"/>
            </w:tcBorders>
            <w:shd w:val="clear" w:color="auto" w:fill="auto"/>
            <w:noWrap/>
            <w:vAlign w:val="center"/>
            <w:hideMark/>
          </w:tcPr>
          <w:p w14:paraId="776C2E76" w14:textId="77777777" w:rsidR="00A9732C" w:rsidRPr="009548D7" w:rsidRDefault="00A9732C" w:rsidP="00A9732C">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BPA.I009</w:t>
            </w:r>
          </w:p>
        </w:tc>
      </w:tr>
      <w:tr w:rsidR="00A9732C" w:rsidRPr="009548D7" w14:paraId="0553D538" w14:textId="77777777" w:rsidTr="00A9732C">
        <w:trPr>
          <w:trHeight w:val="255"/>
        </w:trPr>
        <w:tc>
          <w:tcPr>
            <w:tcW w:w="4410" w:type="dxa"/>
            <w:tcBorders>
              <w:top w:val="nil"/>
              <w:left w:val="single" w:sz="8" w:space="0" w:color="auto"/>
              <w:bottom w:val="nil"/>
            </w:tcBorders>
            <w:shd w:val="clear" w:color="auto" w:fill="auto"/>
            <w:noWrap/>
            <w:vAlign w:val="center"/>
            <w:hideMark/>
          </w:tcPr>
          <w:p w14:paraId="77D00CCD" w14:textId="77777777" w:rsidR="00A9732C" w:rsidRPr="009548D7" w:rsidRDefault="00A9732C" w:rsidP="00A9732C">
            <w:pPr>
              <w:spacing w:after="0" w:line="240" w:lineRule="auto"/>
              <w:rPr>
                <w:rFonts w:ascii="Arial Narrow" w:eastAsia="Times New Roman" w:hAnsi="Arial Narrow" w:cs="Arial"/>
                <w:color w:val="0070C0"/>
                <w:sz w:val="16"/>
                <w:szCs w:val="16"/>
                <w:lang w:eastAsia="pt-BR"/>
              </w:rPr>
            </w:pPr>
            <w:r w:rsidRPr="009548D7">
              <w:rPr>
                <w:rFonts w:ascii="Arial Narrow" w:eastAsia="Times New Roman" w:hAnsi="Arial Narrow" w:cs="Arial"/>
                <w:color w:val="0070C0"/>
                <w:sz w:val="16"/>
                <w:szCs w:val="16"/>
                <w:lang w:eastAsia="pt-BR"/>
              </w:rPr>
              <w:t> </w:t>
            </w:r>
          </w:p>
        </w:tc>
        <w:tc>
          <w:tcPr>
            <w:tcW w:w="767" w:type="dxa"/>
            <w:tcBorders>
              <w:top w:val="nil"/>
              <w:bottom w:val="nil"/>
              <w:right w:val="single" w:sz="4" w:space="0" w:color="auto"/>
            </w:tcBorders>
            <w:shd w:val="clear" w:color="auto" w:fill="auto"/>
            <w:noWrap/>
            <w:vAlign w:val="center"/>
          </w:tcPr>
          <w:p w14:paraId="038814E7" w14:textId="77777777" w:rsidR="00A9732C" w:rsidRPr="009548D7" w:rsidRDefault="00A9732C" w:rsidP="00A9732C">
            <w:pPr>
              <w:spacing w:after="0" w:line="240" w:lineRule="auto"/>
              <w:rPr>
                <w:rFonts w:ascii="Arial Narrow" w:eastAsia="Times New Roman" w:hAnsi="Arial Narrow" w:cs="Arial"/>
                <w:color w:val="0070C0"/>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1696A249" w14:textId="77777777" w:rsidR="00A9732C" w:rsidRPr="009548D7" w:rsidRDefault="00A9732C" w:rsidP="00A9732C">
            <w:pPr>
              <w:spacing w:after="0" w:line="240" w:lineRule="auto"/>
              <w:rPr>
                <w:rFonts w:ascii="Arial Narrow" w:eastAsia="Times New Roman" w:hAnsi="Arial Narrow" w:cs="Arial"/>
                <w:color w:val="0070C0"/>
                <w:sz w:val="16"/>
                <w:szCs w:val="16"/>
                <w:lang w:eastAsia="pt-BR"/>
              </w:rPr>
            </w:pPr>
            <w:r w:rsidRPr="009548D7">
              <w:rPr>
                <w:rFonts w:ascii="Arial Narrow" w:eastAsia="Times New Roman" w:hAnsi="Arial Narrow" w:cs="Arial"/>
                <w:color w:val="0070C0"/>
                <w:sz w:val="16"/>
                <w:szCs w:val="16"/>
                <w:lang w:eastAsia="pt-BR"/>
              </w:rPr>
              <w:t> </w:t>
            </w:r>
          </w:p>
        </w:tc>
        <w:tc>
          <w:tcPr>
            <w:tcW w:w="1262" w:type="dxa"/>
            <w:tcBorders>
              <w:top w:val="nil"/>
              <w:left w:val="nil"/>
              <w:bottom w:val="nil"/>
              <w:right w:val="single" w:sz="8" w:space="0" w:color="auto"/>
            </w:tcBorders>
            <w:shd w:val="clear" w:color="auto" w:fill="auto"/>
            <w:noWrap/>
            <w:vAlign w:val="center"/>
            <w:hideMark/>
          </w:tcPr>
          <w:p w14:paraId="2BDC7F1F" w14:textId="77777777" w:rsidR="00A9732C" w:rsidRPr="009548D7" w:rsidRDefault="00A9732C" w:rsidP="00A9732C">
            <w:pPr>
              <w:spacing w:after="0" w:line="240" w:lineRule="auto"/>
              <w:rPr>
                <w:rFonts w:ascii="Arial Narrow" w:eastAsia="Times New Roman" w:hAnsi="Arial Narrow" w:cs="Arial"/>
                <w:color w:val="0070C0"/>
                <w:sz w:val="16"/>
                <w:szCs w:val="16"/>
                <w:lang w:eastAsia="pt-BR"/>
              </w:rPr>
            </w:pPr>
            <w:r w:rsidRPr="009548D7">
              <w:rPr>
                <w:rFonts w:ascii="Arial Narrow" w:eastAsia="Times New Roman" w:hAnsi="Arial Narrow" w:cs="Arial"/>
                <w:color w:val="0070C0"/>
                <w:sz w:val="16"/>
                <w:szCs w:val="16"/>
                <w:lang w:eastAsia="pt-BR"/>
              </w:rPr>
              <w:t> </w:t>
            </w:r>
          </w:p>
        </w:tc>
        <w:tc>
          <w:tcPr>
            <w:tcW w:w="4562" w:type="dxa"/>
            <w:tcBorders>
              <w:top w:val="nil"/>
              <w:left w:val="nil"/>
              <w:bottom w:val="nil"/>
            </w:tcBorders>
            <w:shd w:val="clear" w:color="auto" w:fill="auto"/>
            <w:noWrap/>
            <w:vAlign w:val="center"/>
            <w:hideMark/>
          </w:tcPr>
          <w:p w14:paraId="45058F5E" w14:textId="77777777" w:rsidR="00A9732C" w:rsidRPr="009548D7" w:rsidRDefault="00A9732C" w:rsidP="00A9732C">
            <w:pPr>
              <w:spacing w:after="0" w:line="240" w:lineRule="auto"/>
              <w:rPr>
                <w:rFonts w:ascii="Arial Narrow" w:eastAsia="Times New Roman" w:hAnsi="Arial Narrow" w:cs="Arial"/>
                <w:color w:val="0070C0"/>
                <w:sz w:val="16"/>
                <w:szCs w:val="16"/>
                <w:lang w:eastAsia="pt-BR"/>
              </w:rPr>
            </w:pPr>
          </w:p>
        </w:tc>
        <w:tc>
          <w:tcPr>
            <w:tcW w:w="775" w:type="dxa"/>
            <w:tcBorders>
              <w:top w:val="nil"/>
              <w:bottom w:val="nil"/>
              <w:right w:val="single" w:sz="8" w:space="0" w:color="auto"/>
            </w:tcBorders>
            <w:shd w:val="clear" w:color="auto" w:fill="auto"/>
            <w:noWrap/>
            <w:vAlign w:val="center"/>
          </w:tcPr>
          <w:p w14:paraId="0159F174" w14:textId="77777777" w:rsidR="00A9732C" w:rsidRPr="009548D7" w:rsidRDefault="00A9732C" w:rsidP="00A9732C">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72909C9F" w14:textId="77777777" w:rsidR="00A9732C" w:rsidRPr="009548D7" w:rsidRDefault="00A9732C" w:rsidP="00A9732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w:t>
            </w:r>
          </w:p>
        </w:tc>
        <w:tc>
          <w:tcPr>
            <w:tcW w:w="1420" w:type="dxa"/>
            <w:tcBorders>
              <w:top w:val="nil"/>
              <w:left w:val="nil"/>
              <w:bottom w:val="nil"/>
              <w:right w:val="single" w:sz="8" w:space="0" w:color="auto"/>
            </w:tcBorders>
            <w:shd w:val="clear" w:color="auto" w:fill="auto"/>
            <w:noWrap/>
            <w:vAlign w:val="center"/>
            <w:hideMark/>
          </w:tcPr>
          <w:p w14:paraId="30D5636B" w14:textId="77777777" w:rsidR="00A9732C" w:rsidRPr="009548D7" w:rsidRDefault="00A9732C" w:rsidP="00A9732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w:t>
            </w:r>
          </w:p>
        </w:tc>
      </w:tr>
      <w:tr w:rsidR="009E7FA9" w:rsidRPr="009548D7" w14:paraId="4E36862C" w14:textId="77777777" w:rsidTr="002936F7">
        <w:trPr>
          <w:trHeight w:val="270"/>
        </w:trPr>
        <w:tc>
          <w:tcPr>
            <w:tcW w:w="4410" w:type="dxa"/>
            <w:tcBorders>
              <w:top w:val="nil"/>
              <w:left w:val="single" w:sz="8" w:space="0" w:color="auto"/>
              <w:bottom w:val="nil"/>
            </w:tcBorders>
            <w:shd w:val="clear" w:color="auto" w:fill="auto"/>
            <w:noWrap/>
            <w:vAlign w:val="center"/>
            <w:hideMark/>
          </w:tcPr>
          <w:p w14:paraId="7C27748C" w14:textId="77777777" w:rsidR="009E7FA9" w:rsidRPr="009548D7" w:rsidRDefault="009E7FA9" w:rsidP="00A9732C">
            <w:pPr>
              <w:spacing w:after="0" w:line="240" w:lineRule="auto"/>
              <w:ind w:firstLineChars="100" w:firstLine="16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Caixa e Equivalentes de Caixa</w:t>
            </w:r>
          </w:p>
        </w:tc>
        <w:tc>
          <w:tcPr>
            <w:tcW w:w="767" w:type="dxa"/>
            <w:tcBorders>
              <w:top w:val="nil"/>
              <w:bottom w:val="nil"/>
              <w:right w:val="single" w:sz="4" w:space="0" w:color="auto"/>
            </w:tcBorders>
            <w:shd w:val="clear" w:color="auto" w:fill="auto"/>
            <w:noWrap/>
            <w:vAlign w:val="center"/>
          </w:tcPr>
          <w:p w14:paraId="10AF0956" w14:textId="77777777" w:rsidR="009E7FA9" w:rsidRPr="009548D7" w:rsidRDefault="009E7FA9" w:rsidP="00A9732C">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2605E011" w14:textId="77777777" w:rsidR="009E7FA9" w:rsidRPr="009548D7" w:rsidRDefault="009E7FA9" w:rsidP="00A9732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BPA.D011</w:t>
            </w:r>
          </w:p>
        </w:tc>
        <w:tc>
          <w:tcPr>
            <w:tcW w:w="1262" w:type="dxa"/>
            <w:tcBorders>
              <w:top w:val="nil"/>
              <w:left w:val="nil"/>
              <w:bottom w:val="nil"/>
              <w:right w:val="single" w:sz="8" w:space="0" w:color="auto"/>
            </w:tcBorders>
            <w:shd w:val="clear" w:color="auto" w:fill="auto"/>
            <w:noWrap/>
            <w:vAlign w:val="center"/>
            <w:hideMark/>
          </w:tcPr>
          <w:p w14:paraId="4A71AC04" w14:textId="77777777" w:rsidR="009E7FA9" w:rsidRPr="009548D7" w:rsidRDefault="009E7FA9" w:rsidP="00A9732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BPA.E011</w:t>
            </w:r>
          </w:p>
        </w:tc>
        <w:tc>
          <w:tcPr>
            <w:tcW w:w="5337" w:type="dxa"/>
            <w:gridSpan w:val="2"/>
            <w:tcBorders>
              <w:top w:val="nil"/>
              <w:left w:val="nil"/>
              <w:bottom w:val="nil"/>
              <w:right w:val="single" w:sz="8" w:space="0" w:color="auto"/>
            </w:tcBorders>
            <w:shd w:val="clear" w:color="000000" w:fill="FFFFFF"/>
            <w:noWrap/>
            <w:vAlign w:val="center"/>
            <w:hideMark/>
          </w:tcPr>
          <w:p w14:paraId="1FE471F5" w14:textId="17A91A1F" w:rsidR="009E7FA9" w:rsidRPr="009548D7" w:rsidRDefault="009E7FA9" w:rsidP="009E7FA9">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Pr="009548D7">
              <w:rPr>
                <w:rFonts w:ascii="Arial Narrow" w:eastAsia="Times New Roman" w:hAnsi="Arial Narrow" w:cs="Arial"/>
                <w:sz w:val="16"/>
                <w:szCs w:val="16"/>
                <w:lang w:eastAsia="pt-BR"/>
              </w:rPr>
              <w:t>Obrigações Trabalhistas, Previdenciárias e Assistenciais a Pagar a Curto Prazo</w:t>
            </w:r>
          </w:p>
        </w:tc>
        <w:tc>
          <w:tcPr>
            <w:tcW w:w="1063" w:type="dxa"/>
            <w:tcBorders>
              <w:top w:val="nil"/>
              <w:left w:val="nil"/>
              <w:bottom w:val="nil"/>
              <w:right w:val="single" w:sz="8" w:space="0" w:color="auto"/>
            </w:tcBorders>
            <w:shd w:val="clear" w:color="auto" w:fill="auto"/>
            <w:noWrap/>
            <w:vAlign w:val="center"/>
            <w:hideMark/>
          </w:tcPr>
          <w:p w14:paraId="19F48352" w14:textId="77777777" w:rsidR="009E7FA9" w:rsidRPr="009548D7" w:rsidRDefault="009E7FA9" w:rsidP="00A9732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BPA.H011</w:t>
            </w:r>
          </w:p>
        </w:tc>
        <w:tc>
          <w:tcPr>
            <w:tcW w:w="1420" w:type="dxa"/>
            <w:tcBorders>
              <w:top w:val="nil"/>
              <w:left w:val="nil"/>
              <w:bottom w:val="nil"/>
              <w:right w:val="single" w:sz="8" w:space="0" w:color="auto"/>
            </w:tcBorders>
            <w:shd w:val="clear" w:color="auto" w:fill="auto"/>
            <w:noWrap/>
            <w:vAlign w:val="center"/>
            <w:hideMark/>
          </w:tcPr>
          <w:p w14:paraId="545EA6EC" w14:textId="77777777" w:rsidR="009E7FA9" w:rsidRPr="009548D7" w:rsidRDefault="009E7FA9" w:rsidP="00A9732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BPA.I011</w:t>
            </w:r>
          </w:p>
        </w:tc>
      </w:tr>
      <w:tr w:rsidR="00A9732C" w:rsidRPr="009548D7" w14:paraId="037C3943" w14:textId="77777777" w:rsidTr="00A9732C">
        <w:trPr>
          <w:trHeight w:val="255"/>
        </w:trPr>
        <w:tc>
          <w:tcPr>
            <w:tcW w:w="4410" w:type="dxa"/>
            <w:tcBorders>
              <w:top w:val="nil"/>
              <w:left w:val="single" w:sz="8" w:space="0" w:color="auto"/>
              <w:bottom w:val="nil"/>
            </w:tcBorders>
            <w:shd w:val="clear" w:color="auto" w:fill="auto"/>
            <w:noWrap/>
            <w:vAlign w:val="center"/>
            <w:hideMark/>
          </w:tcPr>
          <w:p w14:paraId="1CC6290B" w14:textId="77777777" w:rsidR="00A9732C" w:rsidRPr="009548D7" w:rsidRDefault="00A9732C" w:rsidP="00A9732C">
            <w:pPr>
              <w:spacing w:after="0" w:line="240" w:lineRule="auto"/>
              <w:ind w:firstLineChars="100" w:firstLine="16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Créditos a Curto Prazo</w:t>
            </w:r>
          </w:p>
        </w:tc>
        <w:tc>
          <w:tcPr>
            <w:tcW w:w="767" w:type="dxa"/>
            <w:tcBorders>
              <w:top w:val="nil"/>
              <w:bottom w:val="nil"/>
              <w:right w:val="single" w:sz="4" w:space="0" w:color="auto"/>
            </w:tcBorders>
            <w:shd w:val="clear" w:color="auto" w:fill="auto"/>
            <w:noWrap/>
            <w:vAlign w:val="center"/>
          </w:tcPr>
          <w:p w14:paraId="7921436A" w14:textId="77777777" w:rsidR="00A9732C" w:rsidRPr="009548D7" w:rsidRDefault="00A9732C" w:rsidP="00A9732C">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0C243119" w14:textId="77777777" w:rsidR="00A9732C" w:rsidRPr="009548D7" w:rsidRDefault="00A9732C" w:rsidP="00A9732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BPA.D012</w:t>
            </w:r>
          </w:p>
        </w:tc>
        <w:tc>
          <w:tcPr>
            <w:tcW w:w="1262" w:type="dxa"/>
            <w:tcBorders>
              <w:top w:val="nil"/>
              <w:left w:val="nil"/>
              <w:bottom w:val="nil"/>
              <w:right w:val="single" w:sz="8" w:space="0" w:color="auto"/>
            </w:tcBorders>
            <w:shd w:val="clear" w:color="auto" w:fill="auto"/>
            <w:noWrap/>
            <w:vAlign w:val="center"/>
            <w:hideMark/>
          </w:tcPr>
          <w:p w14:paraId="637C3BA9" w14:textId="77777777" w:rsidR="00A9732C" w:rsidRPr="009548D7" w:rsidRDefault="00A9732C" w:rsidP="00A9732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BPA.E012</w:t>
            </w:r>
          </w:p>
        </w:tc>
        <w:tc>
          <w:tcPr>
            <w:tcW w:w="4562" w:type="dxa"/>
            <w:tcBorders>
              <w:top w:val="nil"/>
              <w:left w:val="nil"/>
              <w:bottom w:val="nil"/>
            </w:tcBorders>
            <w:shd w:val="clear" w:color="000000" w:fill="FFFFFF"/>
            <w:noWrap/>
            <w:vAlign w:val="center"/>
            <w:hideMark/>
          </w:tcPr>
          <w:p w14:paraId="3009A959" w14:textId="375E08BB" w:rsidR="00A9732C" w:rsidRPr="009548D7" w:rsidRDefault="009E7FA9" w:rsidP="009E7FA9">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A9732C" w:rsidRPr="009548D7">
              <w:rPr>
                <w:rFonts w:ascii="Arial Narrow" w:eastAsia="Times New Roman" w:hAnsi="Arial Narrow" w:cs="Arial"/>
                <w:sz w:val="16"/>
                <w:szCs w:val="16"/>
                <w:lang w:eastAsia="pt-BR"/>
              </w:rPr>
              <w:t>Pessoal a Pagar</w:t>
            </w:r>
          </w:p>
        </w:tc>
        <w:tc>
          <w:tcPr>
            <w:tcW w:w="775" w:type="dxa"/>
            <w:tcBorders>
              <w:top w:val="nil"/>
              <w:bottom w:val="nil"/>
              <w:right w:val="single" w:sz="8" w:space="0" w:color="auto"/>
            </w:tcBorders>
            <w:shd w:val="clear" w:color="auto" w:fill="auto"/>
            <w:noWrap/>
            <w:vAlign w:val="center"/>
          </w:tcPr>
          <w:p w14:paraId="7DB284D5" w14:textId="77777777" w:rsidR="00A9732C" w:rsidRPr="009548D7" w:rsidRDefault="00A9732C" w:rsidP="00A9732C">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449EE6D9" w14:textId="77777777" w:rsidR="00A9732C" w:rsidRPr="009548D7" w:rsidRDefault="00A9732C" w:rsidP="00A9732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BPA.H012</w:t>
            </w:r>
          </w:p>
        </w:tc>
        <w:tc>
          <w:tcPr>
            <w:tcW w:w="1420" w:type="dxa"/>
            <w:tcBorders>
              <w:top w:val="nil"/>
              <w:left w:val="nil"/>
              <w:bottom w:val="nil"/>
              <w:right w:val="single" w:sz="8" w:space="0" w:color="auto"/>
            </w:tcBorders>
            <w:shd w:val="clear" w:color="auto" w:fill="auto"/>
            <w:noWrap/>
            <w:vAlign w:val="center"/>
            <w:hideMark/>
          </w:tcPr>
          <w:p w14:paraId="1F0AFC42" w14:textId="77777777" w:rsidR="00A9732C" w:rsidRPr="009548D7" w:rsidRDefault="00A9732C" w:rsidP="00A9732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BPA.I012</w:t>
            </w:r>
          </w:p>
        </w:tc>
      </w:tr>
      <w:tr w:rsidR="00A9732C" w:rsidRPr="009548D7" w14:paraId="4DEA42DD" w14:textId="77777777" w:rsidTr="00A9732C">
        <w:trPr>
          <w:trHeight w:val="255"/>
        </w:trPr>
        <w:tc>
          <w:tcPr>
            <w:tcW w:w="4410" w:type="dxa"/>
            <w:tcBorders>
              <w:top w:val="nil"/>
              <w:left w:val="single" w:sz="8" w:space="0" w:color="auto"/>
              <w:bottom w:val="nil"/>
            </w:tcBorders>
            <w:shd w:val="clear" w:color="auto" w:fill="auto"/>
            <w:noWrap/>
            <w:vAlign w:val="center"/>
            <w:hideMark/>
          </w:tcPr>
          <w:p w14:paraId="4FAD652E" w14:textId="77777777" w:rsidR="00A9732C" w:rsidRPr="009548D7" w:rsidRDefault="00A9732C" w:rsidP="00A9732C">
            <w:pPr>
              <w:spacing w:after="0" w:line="240" w:lineRule="auto"/>
              <w:ind w:firstLineChars="200" w:firstLine="32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Créditos Tributários a Receber</w:t>
            </w:r>
          </w:p>
        </w:tc>
        <w:tc>
          <w:tcPr>
            <w:tcW w:w="767" w:type="dxa"/>
            <w:tcBorders>
              <w:top w:val="nil"/>
              <w:bottom w:val="nil"/>
              <w:right w:val="single" w:sz="4" w:space="0" w:color="auto"/>
            </w:tcBorders>
            <w:shd w:val="clear" w:color="auto" w:fill="auto"/>
            <w:noWrap/>
            <w:vAlign w:val="center"/>
          </w:tcPr>
          <w:p w14:paraId="4A0F6522" w14:textId="77777777" w:rsidR="00A9732C" w:rsidRPr="009548D7" w:rsidRDefault="00A9732C" w:rsidP="00A9732C">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4BA7B7DF" w14:textId="77777777" w:rsidR="00A9732C" w:rsidRPr="009548D7" w:rsidRDefault="00A9732C" w:rsidP="00A9732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BPA.D013</w:t>
            </w:r>
          </w:p>
        </w:tc>
        <w:tc>
          <w:tcPr>
            <w:tcW w:w="1262" w:type="dxa"/>
            <w:tcBorders>
              <w:top w:val="nil"/>
              <w:left w:val="nil"/>
              <w:bottom w:val="nil"/>
              <w:right w:val="single" w:sz="8" w:space="0" w:color="auto"/>
            </w:tcBorders>
            <w:shd w:val="clear" w:color="auto" w:fill="auto"/>
            <w:noWrap/>
            <w:vAlign w:val="center"/>
            <w:hideMark/>
          </w:tcPr>
          <w:p w14:paraId="7C45BCC6" w14:textId="77777777" w:rsidR="00A9732C" w:rsidRPr="009548D7" w:rsidRDefault="00A9732C" w:rsidP="00A9732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BPA.E013</w:t>
            </w:r>
          </w:p>
        </w:tc>
        <w:tc>
          <w:tcPr>
            <w:tcW w:w="4562" w:type="dxa"/>
            <w:tcBorders>
              <w:top w:val="nil"/>
              <w:left w:val="nil"/>
              <w:bottom w:val="nil"/>
            </w:tcBorders>
            <w:shd w:val="clear" w:color="000000" w:fill="FFFFFF"/>
            <w:noWrap/>
            <w:vAlign w:val="center"/>
            <w:hideMark/>
          </w:tcPr>
          <w:p w14:paraId="1A68052C" w14:textId="0BDBE25C" w:rsidR="00A9732C" w:rsidRPr="009548D7" w:rsidRDefault="009E7FA9" w:rsidP="009E7FA9">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A9732C" w:rsidRPr="009548D7">
              <w:rPr>
                <w:rFonts w:ascii="Arial Narrow" w:eastAsia="Times New Roman" w:hAnsi="Arial Narrow" w:cs="Arial"/>
                <w:sz w:val="16"/>
                <w:szCs w:val="16"/>
                <w:lang w:eastAsia="pt-BR"/>
              </w:rPr>
              <w:t>Benefícios Previdenciários a Pagar</w:t>
            </w:r>
          </w:p>
        </w:tc>
        <w:tc>
          <w:tcPr>
            <w:tcW w:w="775" w:type="dxa"/>
            <w:tcBorders>
              <w:top w:val="nil"/>
              <w:bottom w:val="nil"/>
              <w:right w:val="single" w:sz="8" w:space="0" w:color="auto"/>
            </w:tcBorders>
            <w:shd w:val="clear" w:color="auto" w:fill="auto"/>
            <w:noWrap/>
            <w:vAlign w:val="center"/>
          </w:tcPr>
          <w:p w14:paraId="239B2B99" w14:textId="77777777" w:rsidR="00A9732C" w:rsidRPr="009548D7" w:rsidRDefault="00A9732C" w:rsidP="00A9732C">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12E4526B" w14:textId="77777777" w:rsidR="00A9732C" w:rsidRPr="009548D7" w:rsidRDefault="00A9732C" w:rsidP="00A9732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BPA.H013</w:t>
            </w:r>
          </w:p>
        </w:tc>
        <w:tc>
          <w:tcPr>
            <w:tcW w:w="1420" w:type="dxa"/>
            <w:tcBorders>
              <w:top w:val="nil"/>
              <w:left w:val="nil"/>
              <w:bottom w:val="nil"/>
              <w:right w:val="single" w:sz="8" w:space="0" w:color="auto"/>
            </w:tcBorders>
            <w:shd w:val="clear" w:color="auto" w:fill="auto"/>
            <w:noWrap/>
            <w:vAlign w:val="center"/>
            <w:hideMark/>
          </w:tcPr>
          <w:p w14:paraId="5C3A916F" w14:textId="77777777" w:rsidR="00A9732C" w:rsidRPr="009548D7" w:rsidRDefault="00A9732C" w:rsidP="00A9732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BPA.I013</w:t>
            </w:r>
          </w:p>
        </w:tc>
      </w:tr>
      <w:tr w:rsidR="00A9732C" w:rsidRPr="009548D7" w14:paraId="4EFEA574" w14:textId="77777777" w:rsidTr="00A9732C">
        <w:trPr>
          <w:trHeight w:val="255"/>
        </w:trPr>
        <w:tc>
          <w:tcPr>
            <w:tcW w:w="4410" w:type="dxa"/>
            <w:tcBorders>
              <w:top w:val="nil"/>
              <w:left w:val="single" w:sz="8" w:space="0" w:color="auto"/>
              <w:bottom w:val="nil"/>
            </w:tcBorders>
            <w:shd w:val="clear" w:color="auto" w:fill="auto"/>
            <w:noWrap/>
            <w:vAlign w:val="center"/>
            <w:hideMark/>
          </w:tcPr>
          <w:p w14:paraId="2F13F592" w14:textId="77777777" w:rsidR="00A9732C" w:rsidRPr="009548D7" w:rsidRDefault="00A9732C" w:rsidP="00A9732C">
            <w:pPr>
              <w:spacing w:after="0" w:line="240" w:lineRule="auto"/>
              <w:ind w:firstLineChars="200" w:firstLine="32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Clientes</w:t>
            </w:r>
          </w:p>
        </w:tc>
        <w:tc>
          <w:tcPr>
            <w:tcW w:w="767" w:type="dxa"/>
            <w:tcBorders>
              <w:top w:val="nil"/>
              <w:bottom w:val="nil"/>
              <w:right w:val="single" w:sz="4" w:space="0" w:color="auto"/>
            </w:tcBorders>
            <w:shd w:val="clear" w:color="auto" w:fill="auto"/>
            <w:noWrap/>
            <w:vAlign w:val="center"/>
          </w:tcPr>
          <w:p w14:paraId="2BC0C159" w14:textId="77777777" w:rsidR="00A9732C" w:rsidRPr="009548D7" w:rsidRDefault="00A9732C" w:rsidP="00A9732C">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1CC64EF9" w14:textId="77777777" w:rsidR="00A9732C" w:rsidRPr="009548D7" w:rsidRDefault="00A9732C" w:rsidP="00A9732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BPA.D014</w:t>
            </w:r>
          </w:p>
        </w:tc>
        <w:tc>
          <w:tcPr>
            <w:tcW w:w="1262" w:type="dxa"/>
            <w:tcBorders>
              <w:top w:val="nil"/>
              <w:left w:val="nil"/>
              <w:bottom w:val="nil"/>
              <w:right w:val="single" w:sz="8" w:space="0" w:color="auto"/>
            </w:tcBorders>
            <w:shd w:val="clear" w:color="auto" w:fill="auto"/>
            <w:noWrap/>
            <w:vAlign w:val="center"/>
            <w:hideMark/>
          </w:tcPr>
          <w:p w14:paraId="7ED05F8D" w14:textId="77777777" w:rsidR="00A9732C" w:rsidRPr="009548D7" w:rsidRDefault="00A9732C" w:rsidP="00A9732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BPA.E014</w:t>
            </w:r>
          </w:p>
        </w:tc>
        <w:tc>
          <w:tcPr>
            <w:tcW w:w="4562" w:type="dxa"/>
            <w:tcBorders>
              <w:top w:val="nil"/>
              <w:left w:val="nil"/>
              <w:bottom w:val="nil"/>
            </w:tcBorders>
            <w:shd w:val="clear" w:color="000000" w:fill="FFFFFF"/>
            <w:noWrap/>
            <w:vAlign w:val="center"/>
            <w:hideMark/>
          </w:tcPr>
          <w:p w14:paraId="1AEE8DCD" w14:textId="3C19651D" w:rsidR="00A9732C" w:rsidRPr="009548D7" w:rsidRDefault="009E7FA9" w:rsidP="009E7FA9">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A9732C" w:rsidRPr="009548D7">
              <w:rPr>
                <w:rFonts w:ascii="Arial Narrow" w:eastAsia="Times New Roman" w:hAnsi="Arial Narrow" w:cs="Arial"/>
                <w:sz w:val="16"/>
                <w:szCs w:val="16"/>
                <w:lang w:eastAsia="pt-BR"/>
              </w:rPr>
              <w:t>Benefícios Assistenciais a Pagar</w:t>
            </w:r>
          </w:p>
        </w:tc>
        <w:tc>
          <w:tcPr>
            <w:tcW w:w="775" w:type="dxa"/>
            <w:tcBorders>
              <w:top w:val="nil"/>
              <w:bottom w:val="nil"/>
              <w:right w:val="single" w:sz="8" w:space="0" w:color="auto"/>
            </w:tcBorders>
            <w:shd w:val="clear" w:color="auto" w:fill="auto"/>
            <w:noWrap/>
            <w:vAlign w:val="center"/>
          </w:tcPr>
          <w:p w14:paraId="4CC2A266" w14:textId="77777777" w:rsidR="00A9732C" w:rsidRPr="009548D7" w:rsidRDefault="00A9732C" w:rsidP="00A9732C">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61DD1458" w14:textId="77777777" w:rsidR="00A9732C" w:rsidRPr="009548D7" w:rsidRDefault="00A9732C" w:rsidP="00A9732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BPA.H014</w:t>
            </w:r>
          </w:p>
        </w:tc>
        <w:tc>
          <w:tcPr>
            <w:tcW w:w="1420" w:type="dxa"/>
            <w:tcBorders>
              <w:top w:val="nil"/>
              <w:left w:val="nil"/>
              <w:bottom w:val="nil"/>
              <w:right w:val="single" w:sz="8" w:space="0" w:color="auto"/>
            </w:tcBorders>
            <w:shd w:val="clear" w:color="auto" w:fill="auto"/>
            <w:noWrap/>
            <w:vAlign w:val="center"/>
            <w:hideMark/>
          </w:tcPr>
          <w:p w14:paraId="79626662" w14:textId="77777777" w:rsidR="00A9732C" w:rsidRPr="009548D7" w:rsidRDefault="00A9732C" w:rsidP="00A9732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BPA.I014</w:t>
            </w:r>
          </w:p>
        </w:tc>
      </w:tr>
      <w:tr w:rsidR="00A9732C" w:rsidRPr="009548D7" w14:paraId="0C3F673A" w14:textId="77777777" w:rsidTr="00A9732C">
        <w:trPr>
          <w:trHeight w:val="255"/>
        </w:trPr>
        <w:tc>
          <w:tcPr>
            <w:tcW w:w="4410" w:type="dxa"/>
            <w:tcBorders>
              <w:top w:val="nil"/>
              <w:left w:val="single" w:sz="8" w:space="0" w:color="auto"/>
              <w:bottom w:val="nil"/>
            </w:tcBorders>
            <w:shd w:val="clear" w:color="auto" w:fill="auto"/>
            <w:noWrap/>
            <w:vAlign w:val="center"/>
            <w:hideMark/>
          </w:tcPr>
          <w:p w14:paraId="1A1E23B1" w14:textId="77777777" w:rsidR="00A9732C" w:rsidRPr="009548D7" w:rsidRDefault="00A9732C" w:rsidP="00A9732C">
            <w:pPr>
              <w:spacing w:after="0" w:line="240" w:lineRule="auto"/>
              <w:ind w:firstLineChars="200" w:firstLine="32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Créditos de Transferências a Receber</w:t>
            </w:r>
          </w:p>
        </w:tc>
        <w:tc>
          <w:tcPr>
            <w:tcW w:w="767" w:type="dxa"/>
            <w:tcBorders>
              <w:top w:val="nil"/>
              <w:bottom w:val="nil"/>
              <w:right w:val="single" w:sz="4" w:space="0" w:color="auto"/>
            </w:tcBorders>
            <w:shd w:val="clear" w:color="auto" w:fill="auto"/>
            <w:noWrap/>
            <w:vAlign w:val="center"/>
          </w:tcPr>
          <w:p w14:paraId="114BFAE5" w14:textId="77777777" w:rsidR="00A9732C" w:rsidRPr="009548D7" w:rsidRDefault="00A9732C" w:rsidP="00A9732C">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2AE4E282" w14:textId="77777777" w:rsidR="00A9732C" w:rsidRPr="009548D7" w:rsidRDefault="00A9732C" w:rsidP="00A9732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BPA.D015</w:t>
            </w:r>
          </w:p>
        </w:tc>
        <w:tc>
          <w:tcPr>
            <w:tcW w:w="1262" w:type="dxa"/>
            <w:tcBorders>
              <w:top w:val="nil"/>
              <w:left w:val="nil"/>
              <w:bottom w:val="nil"/>
              <w:right w:val="single" w:sz="8" w:space="0" w:color="auto"/>
            </w:tcBorders>
            <w:shd w:val="clear" w:color="auto" w:fill="auto"/>
            <w:noWrap/>
            <w:vAlign w:val="center"/>
            <w:hideMark/>
          </w:tcPr>
          <w:p w14:paraId="29D25B5C" w14:textId="77777777" w:rsidR="00A9732C" w:rsidRPr="009548D7" w:rsidRDefault="00A9732C" w:rsidP="00A9732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BPA.E015</w:t>
            </w:r>
          </w:p>
        </w:tc>
        <w:tc>
          <w:tcPr>
            <w:tcW w:w="4562" w:type="dxa"/>
            <w:tcBorders>
              <w:top w:val="nil"/>
              <w:left w:val="nil"/>
              <w:bottom w:val="nil"/>
            </w:tcBorders>
            <w:shd w:val="clear" w:color="000000" w:fill="FFFFFF"/>
            <w:noWrap/>
            <w:vAlign w:val="center"/>
            <w:hideMark/>
          </w:tcPr>
          <w:p w14:paraId="0607B2DD" w14:textId="5D987033" w:rsidR="00A9732C" w:rsidRPr="009548D7" w:rsidRDefault="009E7FA9" w:rsidP="009E7FA9">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A9732C" w:rsidRPr="009548D7">
              <w:rPr>
                <w:rFonts w:ascii="Arial Narrow" w:eastAsia="Times New Roman" w:hAnsi="Arial Narrow" w:cs="Arial"/>
                <w:sz w:val="16"/>
                <w:szCs w:val="16"/>
                <w:lang w:eastAsia="pt-BR"/>
              </w:rPr>
              <w:t>Encargos Sociais a Pagar</w:t>
            </w:r>
          </w:p>
        </w:tc>
        <w:tc>
          <w:tcPr>
            <w:tcW w:w="775" w:type="dxa"/>
            <w:tcBorders>
              <w:top w:val="nil"/>
              <w:bottom w:val="nil"/>
              <w:right w:val="single" w:sz="8" w:space="0" w:color="auto"/>
            </w:tcBorders>
            <w:shd w:val="clear" w:color="auto" w:fill="auto"/>
            <w:noWrap/>
            <w:vAlign w:val="center"/>
          </w:tcPr>
          <w:p w14:paraId="706584F9" w14:textId="77777777" w:rsidR="00A9732C" w:rsidRPr="009548D7" w:rsidRDefault="00A9732C" w:rsidP="00A9732C">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01AB499C" w14:textId="77777777" w:rsidR="00A9732C" w:rsidRPr="009548D7" w:rsidRDefault="00A9732C" w:rsidP="00A9732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BPA.H015</w:t>
            </w:r>
          </w:p>
        </w:tc>
        <w:tc>
          <w:tcPr>
            <w:tcW w:w="1420" w:type="dxa"/>
            <w:tcBorders>
              <w:top w:val="nil"/>
              <w:left w:val="nil"/>
              <w:bottom w:val="nil"/>
              <w:right w:val="single" w:sz="8" w:space="0" w:color="auto"/>
            </w:tcBorders>
            <w:shd w:val="clear" w:color="auto" w:fill="auto"/>
            <w:noWrap/>
            <w:vAlign w:val="center"/>
            <w:hideMark/>
          </w:tcPr>
          <w:p w14:paraId="2333909C" w14:textId="77777777" w:rsidR="00A9732C" w:rsidRPr="009548D7" w:rsidRDefault="00A9732C" w:rsidP="00A9732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BPA.I015</w:t>
            </w:r>
          </w:p>
        </w:tc>
      </w:tr>
      <w:tr w:rsidR="00A9732C" w:rsidRPr="009548D7" w14:paraId="79E7B297" w14:textId="77777777" w:rsidTr="00A9732C">
        <w:trPr>
          <w:trHeight w:val="255"/>
        </w:trPr>
        <w:tc>
          <w:tcPr>
            <w:tcW w:w="4410" w:type="dxa"/>
            <w:tcBorders>
              <w:top w:val="nil"/>
              <w:left w:val="single" w:sz="8" w:space="0" w:color="auto"/>
              <w:bottom w:val="nil"/>
            </w:tcBorders>
            <w:shd w:val="clear" w:color="auto" w:fill="auto"/>
            <w:noWrap/>
            <w:vAlign w:val="center"/>
            <w:hideMark/>
          </w:tcPr>
          <w:p w14:paraId="7767C92D" w14:textId="77777777" w:rsidR="00A9732C" w:rsidRPr="009548D7" w:rsidRDefault="00A9732C" w:rsidP="00A9732C">
            <w:pPr>
              <w:spacing w:after="0" w:line="240" w:lineRule="auto"/>
              <w:ind w:firstLineChars="200" w:firstLine="32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Empréstimos e Financiamentos Concedidos</w:t>
            </w:r>
          </w:p>
        </w:tc>
        <w:tc>
          <w:tcPr>
            <w:tcW w:w="767" w:type="dxa"/>
            <w:tcBorders>
              <w:top w:val="nil"/>
              <w:bottom w:val="nil"/>
              <w:right w:val="single" w:sz="4" w:space="0" w:color="auto"/>
            </w:tcBorders>
            <w:shd w:val="clear" w:color="auto" w:fill="auto"/>
            <w:noWrap/>
            <w:vAlign w:val="center"/>
          </w:tcPr>
          <w:p w14:paraId="639DAA86" w14:textId="77777777" w:rsidR="00A9732C" w:rsidRPr="009548D7" w:rsidRDefault="00A9732C" w:rsidP="00A9732C">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32A3B52A" w14:textId="77777777" w:rsidR="00A9732C" w:rsidRPr="009548D7" w:rsidRDefault="00A9732C" w:rsidP="00A9732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BPA.D016</w:t>
            </w:r>
          </w:p>
        </w:tc>
        <w:tc>
          <w:tcPr>
            <w:tcW w:w="1262" w:type="dxa"/>
            <w:tcBorders>
              <w:top w:val="nil"/>
              <w:left w:val="nil"/>
              <w:bottom w:val="nil"/>
              <w:right w:val="single" w:sz="8" w:space="0" w:color="auto"/>
            </w:tcBorders>
            <w:shd w:val="clear" w:color="auto" w:fill="auto"/>
            <w:noWrap/>
            <w:vAlign w:val="center"/>
            <w:hideMark/>
          </w:tcPr>
          <w:p w14:paraId="4D69E7F8" w14:textId="77777777" w:rsidR="00A9732C" w:rsidRPr="009548D7" w:rsidRDefault="00A9732C" w:rsidP="00A9732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BPA.E016</w:t>
            </w:r>
          </w:p>
        </w:tc>
        <w:tc>
          <w:tcPr>
            <w:tcW w:w="4562" w:type="dxa"/>
            <w:tcBorders>
              <w:top w:val="nil"/>
              <w:left w:val="nil"/>
              <w:bottom w:val="nil"/>
            </w:tcBorders>
            <w:shd w:val="clear" w:color="auto" w:fill="auto"/>
            <w:noWrap/>
            <w:vAlign w:val="center"/>
            <w:hideMark/>
          </w:tcPr>
          <w:p w14:paraId="72F4FB85" w14:textId="73DADC83" w:rsidR="00A9732C" w:rsidRPr="009548D7" w:rsidRDefault="009E7FA9" w:rsidP="009E7FA9">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A9732C" w:rsidRPr="009548D7">
              <w:rPr>
                <w:rFonts w:ascii="Arial Narrow" w:eastAsia="Times New Roman" w:hAnsi="Arial Narrow" w:cs="Arial"/>
                <w:sz w:val="16"/>
                <w:szCs w:val="16"/>
                <w:lang w:eastAsia="pt-BR"/>
              </w:rPr>
              <w:t>Empréstimos e Financiamentos a Curto Prazo</w:t>
            </w:r>
          </w:p>
        </w:tc>
        <w:tc>
          <w:tcPr>
            <w:tcW w:w="775" w:type="dxa"/>
            <w:tcBorders>
              <w:top w:val="nil"/>
              <w:bottom w:val="nil"/>
              <w:right w:val="single" w:sz="8" w:space="0" w:color="auto"/>
            </w:tcBorders>
            <w:shd w:val="clear" w:color="auto" w:fill="auto"/>
            <w:noWrap/>
            <w:vAlign w:val="center"/>
          </w:tcPr>
          <w:p w14:paraId="3B6202C5" w14:textId="77777777" w:rsidR="00A9732C" w:rsidRPr="009548D7" w:rsidRDefault="00A9732C" w:rsidP="00A9732C">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3A11174F" w14:textId="77777777" w:rsidR="00A9732C" w:rsidRPr="009548D7" w:rsidRDefault="00A9732C" w:rsidP="00A9732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BPA.H016</w:t>
            </w:r>
          </w:p>
        </w:tc>
        <w:tc>
          <w:tcPr>
            <w:tcW w:w="1420" w:type="dxa"/>
            <w:tcBorders>
              <w:top w:val="nil"/>
              <w:left w:val="nil"/>
              <w:bottom w:val="nil"/>
              <w:right w:val="single" w:sz="8" w:space="0" w:color="auto"/>
            </w:tcBorders>
            <w:shd w:val="clear" w:color="auto" w:fill="auto"/>
            <w:noWrap/>
            <w:vAlign w:val="center"/>
            <w:hideMark/>
          </w:tcPr>
          <w:p w14:paraId="3CB80013" w14:textId="77777777" w:rsidR="00A9732C" w:rsidRPr="009548D7" w:rsidRDefault="00A9732C" w:rsidP="00A9732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BPA.I016</w:t>
            </w:r>
          </w:p>
        </w:tc>
      </w:tr>
      <w:tr w:rsidR="00A9732C" w:rsidRPr="009548D7" w14:paraId="0FF4AA05" w14:textId="77777777" w:rsidTr="00A9732C">
        <w:trPr>
          <w:trHeight w:val="255"/>
        </w:trPr>
        <w:tc>
          <w:tcPr>
            <w:tcW w:w="4410" w:type="dxa"/>
            <w:tcBorders>
              <w:top w:val="nil"/>
              <w:left w:val="single" w:sz="8" w:space="0" w:color="auto"/>
              <w:bottom w:val="nil"/>
            </w:tcBorders>
            <w:shd w:val="clear" w:color="auto" w:fill="auto"/>
            <w:noWrap/>
            <w:vAlign w:val="center"/>
            <w:hideMark/>
          </w:tcPr>
          <w:p w14:paraId="48BB34F4" w14:textId="77777777" w:rsidR="00A9732C" w:rsidRPr="009548D7" w:rsidRDefault="00A9732C" w:rsidP="00A9732C">
            <w:pPr>
              <w:spacing w:after="0" w:line="240" w:lineRule="auto"/>
              <w:ind w:firstLineChars="200" w:firstLine="32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Dívida Ativa Tributária</w:t>
            </w:r>
          </w:p>
        </w:tc>
        <w:tc>
          <w:tcPr>
            <w:tcW w:w="767" w:type="dxa"/>
            <w:tcBorders>
              <w:top w:val="nil"/>
              <w:bottom w:val="nil"/>
              <w:right w:val="single" w:sz="4" w:space="0" w:color="auto"/>
            </w:tcBorders>
            <w:shd w:val="clear" w:color="auto" w:fill="auto"/>
            <w:noWrap/>
            <w:vAlign w:val="center"/>
          </w:tcPr>
          <w:p w14:paraId="50EB5645" w14:textId="77777777" w:rsidR="00A9732C" w:rsidRPr="009548D7" w:rsidRDefault="00A9732C" w:rsidP="00A9732C">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6F5988E7" w14:textId="77777777" w:rsidR="00A9732C" w:rsidRPr="009548D7" w:rsidRDefault="00A9732C" w:rsidP="00A9732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BPA.D017</w:t>
            </w:r>
          </w:p>
        </w:tc>
        <w:tc>
          <w:tcPr>
            <w:tcW w:w="1262" w:type="dxa"/>
            <w:tcBorders>
              <w:top w:val="nil"/>
              <w:left w:val="nil"/>
              <w:bottom w:val="nil"/>
              <w:right w:val="single" w:sz="8" w:space="0" w:color="auto"/>
            </w:tcBorders>
            <w:shd w:val="clear" w:color="auto" w:fill="auto"/>
            <w:noWrap/>
            <w:vAlign w:val="center"/>
            <w:hideMark/>
          </w:tcPr>
          <w:p w14:paraId="58E5FF13" w14:textId="77777777" w:rsidR="00A9732C" w:rsidRPr="009548D7" w:rsidRDefault="00A9732C" w:rsidP="00A9732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BPA.E017</w:t>
            </w:r>
          </w:p>
        </w:tc>
        <w:tc>
          <w:tcPr>
            <w:tcW w:w="4562" w:type="dxa"/>
            <w:tcBorders>
              <w:top w:val="nil"/>
              <w:left w:val="nil"/>
              <w:bottom w:val="nil"/>
            </w:tcBorders>
            <w:shd w:val="clear" w:color="auto" w:fill="auto"/>
            <w:noWrap/>
            <w:vAlign w:val="center"/>
            <w:hideMark/>
          </w:tcPr>
          <w:p w14:paraId="0A77712B" w14:textId="6804D8CA" w:rsidR="00A9732C" w:rsidRPr="009548D7" w:rsidRDefault="009E7FA9" w:rsidP="009E7FA9">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A9732C" w:rsidRPr="009548D7">
              <w:rPr>
                <w:rFonts w:ascii="Arial Narrow" w:eastAsia="Times New Roman" w:hAnsi="Arial Narrow" w:cs="Arial"/>
                <w:sz w:val="16"/>
                <w:szCs w:val="16"/>
                <w:lang w:eastAsia="pt-BR"/>
              </w:rPr>
              <w:t>Fornecedores e Contas a Pagar a Curto Prazo</w:t>
            </w:r>
          </w:p>
        </w:tc>
        <w:tc>
          <w:tcPr>
            <w:tcW w:w="775" w:type="dxa"/>
            <w:tcBorders>
              <w:top w:val="nil"/>
              <w:bottom w:val="nil"/>
              <w:right w:val="single" w:sz="8" w:space="0" w:color="auto"/>
            </w:tcBorders>
            <w:shd w:val="clear" w:color="auto" w:fill="auto"/>
            <w:noWrap/>
            <w:vAlign w:val="center"/>
          </w:tcPr>
          <w:p w14:paraId="233D3C5D" w14:textId="77777777" w:rsidR="00A9732C" w:rsidRPr="009548D7" w:rsidRDefault="00A9732C" w:rsidP="00A9732C">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7F418908" w14:textId="77777777" w:rsidR="00A9732C" w:rsidRPr="009548D7" w:rsidRDefault="00A9732C" w:rsidP="00A9732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BPA.H017</w:t>
            </w:r>
          </w:p>
        </w:tc>
        <w:tc>
          <w:tcPr>
            <w:tcW w:w="1420" w:type="dxa"/>
            <w:tcBorders>
              <w:top w:val="nil"/>
              <w:left w:val="nil"/>
              <w:bottom w:val="nil"/>
              <w:right w:val="single" w:sz="8" w:space="0" w:color="auto"/>
            </w:tcBorders>
            <w:shd w:val="clear" w:color="auto" w:fill="auto"/>
            <w:noWrap/>
            <w:vAlign w:val="center"/>
            <w:hideMark/>
          </w:tcPr>
          <w:p w14:paraId="10330287" w14:textId="77777777" w:rsidR="00A9732C" w:rsidRPr="009548D7" w:rsidRDefault="00A9732C" w:rsidP="00A9732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BPA.I017</w:t>
            </w:r>
          </w:p>
        </w:tc>
      </w:tr>
      <w:tr w:rsidR="00A9732C" w:rsidRPr="009548D7" w14:paraId="48468F20" w14:textId="77777777" w:rsidTr="00A9732C">
        <w:trPr>
          <w:trHeight w:val="255"/>
        </w:trPr>
        <w:tc>
          <w:tcPr>
            <w:tcW w:w="4410" w:type="dxa"/>
            <w:tcBorders>
              <w:top w:val="nil"/>
              <w:left w:val="single" w:sz="8" w:space="0" w:color="auto"/>
              <w:bottom w:val="nil"/>
            </w:tcBorders>
            <w:shd w:val="clear" w:color="auto" w:fill="auto"/>
            <w:noWrap/>
            <w:vAlign w:val="center"/>
            <w:hideMark/>
          </w:tcPr>
          <w:p w14:paraId="382B4567" w14:textId="77777777" w:rsidR="00A9732C" w:rsidRPr="009548D7" w:rsidRDefault="00A9732C" w:rsidP="00A9732C">
            <w:pPr>
              <w:spacing w:after="0" w:line="240" w:lineRule="auto"/>
              <w:ind w:firstLineChars="200" w:firstLine="32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Dívida Ativa Não Tributária</w:t>
            </w:r>
          </w:p>
        </w:tc>
        <w:tc>
          <w:tcPr>
            <w:tcW w:w="767" w:type="dxa"/>
            <w:tcBorders>
              <w:top w:val="nil"/>
              <w:bottom w:val="nil"/>
              <w:right w:val="single" w:sz="4" w:space="0" w:color="auto"/>
            </w:tcBorders>
            <w:shd w:val="clear" w:color="auto" w:fill="auto"/>
            <w:noWrap/>
            <w:vAlign w:val="center"/>
          </w:tcPr>
          <w:p w14:paraId="6F12541C" w14:textId="77777777" w:rsidR="00A9732C" w:rsidRPr="009548D7" w:rsidRDefault="00A9732C" w:rsidP="00A9732C">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2D31B241" w14:textId="77777777" w:rsidR="00A9732C" w:rsidRPr="009548D7" w:rsidRDefault="00A9732C" w:rsidP="00A9732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BPA.D018</w:t>
            </w:r>
          </w:p>
        </w:tc>
        <w:tc>
          <w:tcPr>
            <w:tcW w:w="1262" w:type="dxa"/>
            <w:tcBorders>
              <w:top w:val="nil"/>
              <w:left w:val="nil"/>
              <w:bottom w:val="nil"/>
              <w:right w:val="single" w:sz="8" w:space="0" w:color="auto"/>
            </w:tcBorders>
            <w:shd w:val="clear" w:color="auto" w:fill="auto"/>
            <w:noWrap/>
            <w:vAlign w:val="center"/>
            <w:hideMark/>
          </w:tcPr>
          <w:p w14:paraId="669039A8" w14:textId="77777777" w:rsidR="00A9732C" w:rsidRPr="009548D7" w:rsidRDefault="00A9732C" w:rsidP="00A9732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BPA.E018</w:t>
            </w:r>
          </w:p>
        </w:tc>
        <w:tc>
          <w:tcPr>
            <w:tcW w:w="4562" w:type="dxa"/>
            <w:tcBorders>
              <w:top w:val="nil"/>
              <w:left w:val="nil"/>
              <w:bottom w:val="nil"/>
            </w:tcBorders>
            <w:shd w:val="clear" w:color="auto" w:fill="auto"/>
            <w:noWrap/>
            <w:vAlign w:val="center"/>
            <w:hideMark/>
          </w:tcPr>
          <w:p w14:paraId="4600DE43" w14:textId="6F0D18EE" w:rsidR="00A9732C" w:rsidRPr="009548D7" w:rsidRDefault="009E7FA9" w:rsidP="009E7FA9">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A9732C" w:rsidRPr="009548D7">
              <w:rPr>
                <w:rFonts w:ascii="Arial Narrow" w:eastAsia="Times New Roman" w:hAnsi="Arial Narrow" w:cs="Arial"/>
                <w:sz w:val="16"/>
                <w:szCs w:val="16"/>
                <w:lang w:eastAsia="pt-BR"/>
              </w:rPr>
              <w:t>Obrigações Fiscais a Curto Prazo</w:t>
            </w:r>
          </w:p>
        </w:tc>
        <w:tc>
          <w:tcPr>
            <w:tcW w:w="775" w:type="dxa"/>
            <w:tcBorders>
              <w:top w:val="nil"/>
              <w:bottom w:val="nil"/>
              <w:right w:val="single" w:sz="8" w:space="0" w:color="auto"/>
            </w:tcBorders>
            <w:shd w:val="clear" w:color="auto" w:fill="auto"/>
            <w:noWrap/>
            <w:vAlign w:val="center"/>
          </w:tcPr>
          <w:p w14:paraId="2A5B9053" w14:textId="77777777" w:rsidR="00A9732C" w:rsidRPr="009548D7" w:rsidRDefault="00A9732C" w:rsidP="00A9732C">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15BC8DC8" w14:textId="77777777" w:rsidR="00A9732C" w:rsidRPr="009548D7" w:rsidRDefault="00A9732C" w:rsidP="00A9732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BPA.H018</w:t>
            </w:r>
          </w:p>
        </w:tc>
        <w:tc>
          <w:tcPr>
            <w:tcW w:w="1420" w:type="dxa"/>
            <w:tcBorders>
              <w:top w:val="nil"/>
              <w:left w:val="nil"/>
              <w:bottom w:val="nil"/>
              <w:right w:val="single" w:sz="8" w:space="0" w:color="auto"/>
            </w:tcBorders>
            <w:shd w:val="clear" w:color="auto" w:fill="auto"/>
            <w:noWrap/>
            <w:vAlign w:val="center"/>
            <w:hideMark/>
          </w:tcPr>
          <w:p w14:paraId="7D97EC06" w14:textId="77777777" w:rsidR="00A9732C" w:rsidRPr="009548D7" w:rsidRDefault="00A9732C" w:rsidP="00A9732C">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BPA.I018</w:t>
            </w:r>
          </w:p>
        </w:tc>
      </w:tr>
      <w:tr w:rsidR="008D4720" w:rsidRPr="009548D7" w14:paraId="22468C56" w14:textId="77777777" w:rsidTr="00A9732C">
        <w:trPr>
          <w:trHeight w:val="255"/>
        </w:trPr>
        <w:tc>
          <w:tcPr>
            <w:tcW w:w="4410" w:type="dxa"/>
            <w:tcBorders>
              <w:top w:val="nil"/>
              <w:left w:val="single" w:sz="8" w:space="0" w:color="auto"/>
              <w:bottom w:val="nil"/>
            </w:tcBorders>
            <w:shd w:val="clear" w:color="auto" w:fill="auto"/>
            <w:noWrap/>
            <w:vAlign w:val="center"/>
          </w:tcPr>
          <w:p w14:paraId="5C850C47" w14:textId="2CCFA31E" w:rsidR="008D4720" w:rsidRPr="009548D7" w:rsidRDefault="008D4720" w:rsidP="008D4720">
            <w:pPr>
              <w:spacing w:after="0" w:line="240" w:lineRule="auto"/>
              <w:ind w:firstLineChars="200" w:firstLine="32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Ajuste de Perdas de Créditos a Curto Prazo</w:t>
            </w:r>
          </w:p>
        </w:tc>
        <w:tc>
          <w:tcPr>
            <w:tcW w:w="767" w:type="dxa"/>
            <w:tcBorders>
              <w:top w:val="nil"/>
              <w:bottom w:val="nil"/>
              <w:right w:val="single" w:sz="4" w:space="0" w:color="auto"/>
            </w:tcBorders>
            <w:shd w:val="clear" w:color="auto" w:fill="auto"/>
            <w:noWrap/>
            <w:vAlign w:val="center"/>
          </w:tcPr>
          <w:p w14:paraId="7734E146" w14:textId="77777777" w:rsidR="008D4720" w:rsidRPr="009548D7" w:rsidRDefault="008D4720" w:rsidP="008D4720">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tcPr>
          <w:p w14:paraId="42B32055" w14:textId="34B18A0B" w:rsidR="008D4720" w:rsidRPr="009548D7" w:rsidRDefault="008D4720" w:rsidP="008D4720">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BPA.D019</w:t>
            </w:r>
          </w:p>
        </w:tc>
        <w:tc>
          <w:tcPr>
            <w:tcW w:w="1262" w:type="dxa"/>
            <w:tcBorders>
              <w:top w:val="nil"/>
              <w:left w:val="nil"/>
              <w:bottom w:val="nil"/>
              <w:right w:val="single" w:sz="8" w:space="0" w:color="auto"/>
            </w:tcBorders>
            <w:shd w:val="clear" w:color="auto" w:fill="auto"/>
            <w:noWrap/>
            <w:vAlign w:val="center"/>
          </w:tcPr>
          <w:p w14:paraId="6CEC37EA" w14:textId="1A09A12A" w:rsidR="008D4720" w:rsidRPr="009548D7" w:rsidRDefault="008D4720" w:rsidP="008D4720">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BPA.E019</w:t>
            </w:r>
          </w:p>
        </w:tc>
        <w:tc>
          <w:tcPr>
            <w:tcW w:w="4562" w:type="dxa"/>
            <w:tcBorders>
              <w:top w:val="nil"/>
              <w:left w:val="nil"/>
              <w:bottom w:val="nil"/>
            </w:tcBorders>
            <w:shd w:val="clear" w:color="auto" w:fill="auto"/>
            <w:noWrap/>
            <w:vAlign w:val="center"/>
          </w:tcPr>
          <w:p w14:paraId="3D2A0072" w14:textId="58A1B31A" w:rsidR="008D4720" w:rsidRPr="00A552EC" w:rsidRDefault="009E7FA9" w:rsidP="009E7FA9">
            <w:pPr>
              <w:spacing w:after="0" w:line="240" w:lineRule="auto"/>
              <w:rPr>
                <w:rFonts w:ascii="Arial Narrow" w:eastAsia="Times New Roman" w:hAnsi="Arial Narrow" w:cs="Arial"/>
                <w:color w:val="0070C0"/>
                <w:sz w:val="16"/>
                <w:szCs w:val="16"/>
                <w:lang w:eastAsia="pt-BR"/>
              </w:rPr>
            </w:pPr>
            <w:r>
              <w:rPr>
                <w:rFonts w:ascii="Arial Narrow" w:eastAsia="Times New Roman" w:hAnsi="Arial Narrow" w:cs="Arial"/>
                <w:color w:val="0070C0"/>
                <w:sz w:val="16"/>
                <w:szCs w:val="16"/>
                <w:lang w:eastAsia="pt-BR"/>
              </w:rPr>
              <w:t xml:space="preserve">     </w:t>
            </w:r>
            <w:r w:rsidR="008D4720" w:rsidRPr="00A552EC">
              <w:rPr>
                <w:rFonts w:ascii="Arial Narrow" w:eastAsia="Times New Roman" w:hAnsi="Arial Narrow" w:cs="Arial"/>
                <w:color w:val="0070C0"/>
                <w:sz w:val="16"/>
                <w:szCs w:val="16"/>
                <w:lang w:eastAsia="pt-BR"/>
              </w:rPr>
              <w:t>Tra</w:t>
            </w:r>
            <w:r w:rsidR="00E60559">
              <w:rPr>
                <w:rFonts w:ascii="Arial Narrow" w:eastAsia="Times New Roman" w:hAnsi="Arial Narrow" w:cs="Arial"/>
                <w:color w:val="0070C0"/>
                <w:sz w:val="16"/>
                <w:szCs w:val="16"/>
                <w:lang w:eastAsia="pt-BR"/>
              </w:rPr>
              <w:t>n</w:t>
            </w:r>
            <w:r w:rsidR="008D4720" w:rsidRPr="00A552EC">
              <w:rPr>
                <w:rFonts w:ascii="Arial Narrow" w:eastAsia="Times New Roman" w:hAnsi="Arial Narrow" w:cs="Arial"/>
                <w:color w:val="0070C0"/>
                <w:sz w:val="16"/>
                <w:szCs w:val="16"/>
                <w:lang w:eastAsia="pt-BR"/>
              </w:rPr>
              <w:t>sferências Fiscais a Curto Prazo</w:t>
            </w:r>
          </w:p>
        </w:tc>
        <w:tc>
          <w:tcPr>
            <w:tcW w:w="775" w:type="dxa"/>
            <w:tcBorders>
              <w:top w:val="nil"/>
              <w:bottom w:val="nil"/>
              <w:right w:val="single" w:sz="8" w:space="0" w:color="auto"/>
            </w:tcBorders>
            <w:shd w:val="clear" w:color="auto" w:fill="auto"/>
            <w:noWrap/>
            <w:vAlign w:val="center"/>
          </w:tcPr>
          <w:p w14:paraId="0F5FF9BF" w14:textId="77777777" w:rsidR="008D4720" w:rsidRPr="00A552EC" w:rsidRDefault="008D4720" w:rsidP="008D4720">
            <w:pPr>
              <w:spacing w:after="0" w:line="240" w:lineRule="auto"/>
              <w:jc w:val="center"/>
              <w:rPr>
                <w:rFonts w:ascii="Arial Narrow" w:eastAsia="Times New Roman" w:hAnsi="Arial Narrow" w:cs="Arial"/>
                <w:color w:val="0070C0"/>
                <w:sz w:val="16"/>
                <w:szCs w:val="16"/>
                <w:lang w:eastAsia="pt-BR"/>
              </w:rPr>
            </w:pPr>
          </w:p>
        </w:tc>
        <w:tc>
          <w:tcPr>
            <w:tcW w:w="1063" w:type="dxa"/>
            <w:tcBorders>
              <w:top w:val="nil"/>
              <w:left w:val="nil"/>
              <w:bottom w:val="nil"/>
              <w:right w:val="single" w:sz="8" w:space="0" w:color="auto"/>
            </w:tcBorders>
            <w:shd w:val="clear" w:color="auto" w:fill="auto"/>
            <w:noWrap/>
            <w:vAlign w:val="center"/>
          </w:tcPr>
          <w:p w14:paraId="6FFCD02D" w14:textId="2DA40A94" w:rsidR="008D4720" w:rsidRPr="00A552EC" w:rsidRDefault="008D4720" w:rsidP="008D4720">
            <w:pPr>
              <w:spacing w:after="0" w:line="240" w:lineRule="auto"/>
              <w:jc w:val="center"/>
              <w:rPr>
                <w:rFonts w:ascii="Arial Narrow" w:eastAsia="Times New Roman" w:hAnsi="Arial Narrow" w:cs="Arial"/>
                <w:color w:val="0070C0"/>
                <w:sz w:val="16"/>
                <w:szCs w:val="16"/>
                <w:lang w:eastAsia="pt-BR"/>
              </w:rPr>
            </w:pPr>
            <w:r w:rsidRPr="00151F1D">
              <w:rPr>
                <w:rFonts w:ascii="Arial Narrow" w:eastAsia="Times New Roman" w:hAnsi="Arial Narrow" w:cs="Arial"/>
                <w:color w:val="0070C0"/>
                <w:sz w:val="16"/>
                <w:szCs w:val="16"/>
                <w:lang w:eastAsia="pt-BR"/>
              </w:rPr>
              <w:t>BPA.H0</w:t>
            </w:r>
            <w:r w:rsidR="00A61FBD">
              <w:rPr>
                <w:rFonts w:ascii="Arial Narrow" w:eastAsia="Times New Roman" w:hAnsi="Arial Narrow" w:cs="Arial"/>
                <w:color w:val="0070C0"/>
                <w:sz w:val="16"/>
                <w:szCs w:val="16"/>
                <w:lang w:eastAsia="pt-BR"/>
              </w:rPr>
              <w:t>91</w:t>
            </w:r>
          </w:p>
        </w:tc>
        <w:tc>
          <w:tcPr>
            <w:tcW w:w="1420" w:type="dxa"/>
            <w:tcBorders>
              <w:top w:val="nil"/>
              <w:left w:val="nil"/>
              <w:bottom w:val="nil"/>
              <w:right w:val="single" w:sz="8" w:space="0" w:color="auto"/>
            </w:tcBorders>
            <w:shd w:val="clear" w:color="auto" w:fill="auto"/>
            <w:noWrap/>
            <w:vAlign w:val="center"/>
          </w:tcPr>
          <w:p w14:paraId="50CB4C9A" w14:textId="7C45A6DE" w:rsidR="008D4720" w:rsidRPr="00A552EC" w:rsidRDefault="008D4720" w:rsidP="008D4720">
            <w:pPr>
              <w:spacing w:after="0" w:line="240" w:lineRule="auto"/>
              <w:jc w:val="center"/>
              <w:rPr>
                <w:rFonts w:ascii="Arial Narrow" w:eastAsia="Times New Roman" w:hAnsi="Arial Narrow" w:cs="Arial"/>
                <w:color w:val="0070C0"/>
                <w:sz w:val="16"/>
                <w:szCs w:val="16"/>
                <w:lang w:eastAsia="pt-BR"/>
              </w:rPr>
            </w:pPr>
            <w:r w:rsidRPr="00151F1D">
              <w:rPr>
                <w:rFonts w:ascii="Arial Narrow" w:eastAsia="Times New Roman" w:hAnsi="Arial Narrow" w:cs="Arial"/>
                <w:color w:val="0070C0"/>
                <w:sz w:val="16"/>
                <w:szCs w:val="16"/>
                <w:lang w:eastAsia="pt-BR"/>
              </w:rPr>
              <w:t>BPA.I0</w:t>
            </w:r>
            <w:r w:rsidR="00A61FBD">
              <w:rPr>
                <w:rFonts w:ascii="Arial Narrow" w:eastAsia="Times New Roman" w:hAnsi="Arial Narrow" w:cs="Arial"/>
                <w:color w:val="0070C0"/>
                <w:sz w:val="16"/>
                <w:szCs w:val="16"/>
                <w:lang w:eastAsia="pt-BR"/>
              </w:rPr>
              <w:t>91</w:t>
            </w:r>
          </w:p>
        </w:tc>
      </w:tr>
      <w:tr w:rsidR="008D4720" w:rsidRPr="009548D7" w14:paraId="2FCD53F2" w14:textId="77777777" w:rsidTr="00A9732C">
        <w:trPr>
          <w:trHeight w:val="255"/>
        </w:trPr>
        <w:tc>
          <w:tcPr>
            <w:tcW w:w="4410" w:type="dxa"/>
            <w:tcBorders>
              <w:top w:val="nil"/>
              <w:left w:val="single" w:sz="8" w:space="0" w:color="auto"/>
              <w:bottom w:val="nil"/>
            </w:tcBorders>
            <w:shd w:val="clear" w:color="auto" w:fill="auto"/>
            <w:noWrap/>
            <w:vAlign w:val="center"/>
            <w:hideMark/>
          </w:tcPr>
          <w:p w14:paraId="55ED9CA9" w14:textId="71E54B99" w:rsidR="008D4720" w:rsidRPr="00073C46" w:rsidRDefault="002B55B7" w:rsidP="002B55B7">
            <w:pPr>
              <w:spacing w:after="0" w:line="240" w:lineRule="auto"/>
              <w:rPr>
                <w:rFonts w:ascii="Arial Narrow" w:eastAsia="Times New Roman" w:hAnsi="Arial Narrow" w:cs="Arial"/>
                <w:sz w:val="16"/>
                <w:szCs w:val="16"/>
                <w:lang w:eastAsia="pt-BR"/>
              </w:rPr>
            </w:pPr>
            <w:r w:rsidRPr="00073C46">
              <w:rPr>
                <w:rFonts w:ascii="Arial Narrow" w:eastAsia="Times New Roman" w:hAnsi="Arial Narrow" w:cs="Arial"/>
                <w:sz w:val="16"/>
                <w:szCs w:val="16"/>
                <w:lang w:eastAsia="pt-BR"/>
              </w:rPr>
              <w:t xml:space="preserve">    </w:t>
            </w:r>
            <w:r w:rsidR="008D4720" w:rsidRPr="00073C46">
              <w:rPr>
                <w:rFonts w:ascii="Arial Narrow" w:eastAsia="Times New Roman" w:hAnsi="Arial Narrow" w:cs="Arial"/>
                <w:sz w:val="16"/>
                <w:szCs w:val="16"/>
                <w:lang w:eastAsia="pt-BR"/>
              </w:rPr>
              <w:t>Demais Créditos e Valores a Curto Prazo</w:t>
            </w:r>
          </w:p>
        </w:tc>
        <w:tc>
          <w:tcPr>
            <w:tcW w:w="767" w:type="dxa"/>
            <w:tcBorders>
              <w:top w:val="nil"/>
              <w:bottom w:val="nil"/>
              <w:right w:val="single" w:sz="4" w:space="0" w:color="auto"/>
            </w:tcBorders>
            <w:shd w:val="clear" w:color="auto" w:fill="auto"/>
            <w:noWrap/>
            <w:vAlign w:val="center"/>
          </w:tcPr>
          <w:p w14:paraId="179FD7AA" w14:textId="77777777" w:rsidR="008D4720" w:rsidRPr="009548D7" w:rsidRDefault="008D4720" w:rsidP="008D4720">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6A21472F" w14:textId="3C66F62A" w:rsidR="008D4720" w:rsidRPr="009548D7" w:rsidRDefault="008D4720" w:rsidP="008D4720">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BPA.D020</w:t>
            </w:r>
          </w:p>
        </w:tc>
        <w:tc>
          <w:tcPr>
            <w:tcW w:w="1262" w:type="dxa"/>
            <w:tcBorders>
              <w:top w:val="nil"/>
              <w:left w:val="nil"/>
              <w:bottom w:val="nil"/>
              <w:right w:val="single" w:sz="8" w:space="0" w:color="auto"/>
            </w:tcBorders>
            <w:shd w:val="clear" w:color="auto" w:fill="auto"/>
            <w:noWrap/>
            <w:vAlign w:val="center"/>
            <w:hideMark/>
          </w:tcPr>
          <w:p w14:paraId="19B4B948" w14:textId="40FB5EA5" w:rsidR="008D4720" w:rsidRPr="009548D7" w:rsidRDefault="008D4720" w:rsidP="008D4720">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BPA.E020</w:t>
            </w:r>
          </w:p>
        </w:tc>
        <w:tc>
          <w:tcPr>
            <w:tcW w:w="4562" w:type="dxa"/>
            <w:tcBorders>
              <w:top w:val="nil"/>
              <w:left w:val="nil"/>
              <w:bottom w:val="nil"/>
            </w:tcBorders>
            <w:shd w:val="clear" w:color="auto" w:fill="auto"/>
            <w:noWrap/>
            <w:vAlign w:val="center"/>
            <w:hideMark/>
          </w:tcPr>
          <w:p w14:paraId="4534C584" w14:textId="5751428C" w:rsidR="008D4720" w:rsidRPr="009548D7" w:rsidRDefault="009E7FA9" w:rsidP="009E7FA9">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8D4720" w:rsidRPr="009548D7">
              <w:rPr>
                <w:rFonts w:ascii="Arial Narrow" w:eastAsia="Times New Roman" w:hAnsi="Arial Narrow" w:cs="Arial"/>
                <w:sz w:val="16"/>
                <w:szCs w:val="16"/>
                <w:lang w:eastAsia="pt-BR"/>
              </w:rPr>
              <w:t>Provisões a Curto Prazo</w:t>
            </w:r>
          </w:p>
        </w:tc>
        <w:tc>
          <w:tcPr>
            <w:tcW w:w="775" w:type="dxa"/>
            <w:tcBorders>
              <w:top w:val="nil"/>
              <w:bottom w:val="nil"/>
              <w:right w:val="single" w:sz="8" w:space="0" w:color="auto"/>
            </w:tcBorders>
            <w:shd w:val="clear" w:color="auto" w:fill="auto"/>
            <w:noWrap/>
            <w:vAlign w:val="center"/>
          </w:tcPr>
          <w:p w14:paraId="148A21F0" w14:textId="77777777" w:rsidR="008D4720" w:rsidRPr="009548D7" w:rsidRDefault="008D4720" w:rsidP="008D4720">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1244A485" w14:textId="77777777" w:rsidR="008D4720" w:rsidRPr="009548D7" w:rsidRDefault="008D4720" w:rsidP="008D4720">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BPA.H019</w:t>
            </w:r>
          </w:p>
        </w:tc>
        <w:tc>
          <w:tcPr>
            <w:tcW w:w="1420" w:type="dxa"/>
            <w:tcBorders>
              <w:top w:val="nil"/>
              <w:left w:val="nil"/>
              <w:bottom w:val="nil"/>
              <w:right w:val="single" w:sz="8" w:space="0" w:color="auto"/>
            </w:tcBorders>
            <w:shd w:val="clear" w:color="auto" w:fill="auto"/>
            <w:noWrap/>
            <w:vAlign w:val="center"/>
            <w:hideMark/>
          </w:tcPr>
          <w:p w14:paraId="6E683BDC" w14:textId="77777777" w:rsidR="008D4720" w:rsidRPr="009548D7" w:rsidRDefault="008D4720" w:rsidP="008D4720">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BPA.I019</w:t>
            </w:r>
          </w:p>
        </w:tc>
      </w:tr>
      <w:tr w:rsidR="008D4720" w:rsidRPr="009548D7" w14:paraId="13BE9BB5" w14:textId="77777777" w:rsidTr="00A9732C">
        <w:trPr>
          <w:trHeight w:val="255"/>
        </w:trPr>
        <w:tc>
          <w:tcPr>
            <w:tcW w:w="4410" w:type="dxa"/>
            <w:tcBorders>
              <w:top w:val="nil"/>
              <w:left w:val="single" w:sz="8" w:space="0" w:color="auto"/>
              <w:bottom w:val="nil"/>
            </w:tcBorders>
            <w:shd w:val="clear" w:color="auto" w:fill="auto"/>
            <w:noWrap/>
            <w:vAlign w:val="center"/>
            <w:hideMark/>
          </w:tcPr>
          <w:p w14:paraId="731A297A" w14:textId="4768DF33" w:rsidR="008D4720" w:rsidRPr="009548D7" w:rsidRDefault="008D4720" w:rsidP="008D4720">
            <w:pPr>
              <w:spacing w:after="0" w:line="240" w:lineRule="auto"/>
              <w:ind w:firstLineChars="100" w:firstLine="16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Investimentos e Aplicações Temporárias a Curto Prazo</w:t>
            </w:r>
          </w:p>
        </w:tc>
        <w:tc>
          <w:tcPr>
            <w:tcW w:w="767" w:type="dxa"/>
            <w:tcBorders>
              <w:top w:val="nil"/>
              <w:bottom w:val="nil"/>
              <w:right w:val="single" w:sz="4" w:space="0" w:color="auto"/>
            </w:tcBorders>
            <w:shd w:val="clear" w:color="auto" w:fill="auto"/>
            <w:noWrap/>
            <w:vAlign w:val="center"/>
          </w:tcPr>
          <w:p w14:paraId="4DB620DC" w14:textId="77777777" w:rsidR="008D4720" w:rsidRPr="009548D7" w:rsidRDefault="008D4720" w:rsidP="008D4720">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5F17755B" w14:textId="5A8B6CB5" w:rsidR="008D4720" w:rsidRPr="009548D7" w:rsidRDefault="008D4720" w:rsidP="008D4720">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BPA.D021</w:t>
            </w:r>
          </w:p>
        </w:tc>
        <w:tc>
          <w:tcPr>
            <w:tcW w:w="1262" w:type="dxa"/>
            <w:tcBorders>
              <w:top w:val="nil"/>
              <w:left w:val="nil"/>
              <w:bottom w:val="nil"/>
              <w:right w:val="single" w:sz="8" w:space="0" w:color="auto"/>
            </w:tcBorders>
            <w:shd w:val="clear" w:color="auto" w:fill="auto"/>
            <w:noWrap/>
            <w:vAlign w:val="center"/>
            <w:hideMark/>
          </w:tcPr>
          <w:p w14:paraId="21FE114E" w14:textId="04EF1612" w:rsidR="008D4720" w:rsidRPr="009548D7" w:rsidRDefault="008D4720" w:rsidP="008D4720">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BPA.E021</w:t>
            </w:r>
          </w:p>
        </w:tc>
        <w:tc>
          <w:tcPr>
            <w:tcW w:w="4562" w:type="dxa"/>
            <w:tcBorders>
              <w:top w:val="nil"/>
              <w:left w:val="nil"/>
              <w:bottom w:val="nil"/>
            </w:tcBorders>
            <w:shd w:val="clear" w:color="000000" w:fill="FFFFFF"/>
            <w:noWrap/>
            <w:vAlign w:val="center"/>
            <w:hideMark/>
          </w:tcPr>
          <w:p w14:paraId="2AEAB0BC" w14:textId="0A1E46BD" w:rsidR="008D4720" w:rsidRPr="009548D7" w:rsidRDefault="009E7FA9" w:rsidP="009E7FA9">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8D4720" w:rsidRPr="009548D7">
              <w:rPr>
                <w:rFonts w:ascii="Arial Narrow" w:eastAsia="Times New Roman" w:hAnsi="Arial Narrow" w:cs="Arial"/>
                <w:sz w:val="16"/>
                <w:szCs w:val="16"/>
                <w:lang w:eastAsia="pt-BR"/>
              </w:rPr>
              <w:t>Provisões para Riscos Trabalhistas a Curto Prazo</w:t>
            </w:r>
          </w:p>
        </w:tc>
        <w:tc>
          <w:tcPr>
            <w:tcW w:w="775" w:type="dxa"/>
            <w:tcBorders>
              <w:top w:val="nil"/>
              <w:bottom w:val="nil"/>
              <w:right w:val="single" w:sz="8" w:space="0" w:color="auto"/>
            </w:tcBorders>
            <w:shd w:val="clear" w:color="auto" w:fill="auto"/>
            <w:noWrap/>
            <w:vAlign w:val="center"/>
          </w:tcPr>
          <w:p w14:paraId="088AD625" w14:textId="77777777" w:rsidR="008D4720" w:rsidRPr="009548D7" w:rsidRDefault="008D4720" w:rsidP="008D4720">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5146059C" w14:textId="77777777" w:rsidR="008D4720" w:rsidRPr="009548D7" w:rsidRDefault="008D4720" w:rsidP="008D4720">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BPA.H020</w:t>
            </w:r>
          </w:p>
        </w:tc>
        <w:tc>
          <w:tcPr>
            <w:tcW w:w="1420" w:type="dxa"/>
            <w:tcBorders>
              <w:top w:val="nil"/>
              <w:left w:val="nil"/>
              <w:bottom w:val="nil"/>
              <w:right w:val="single" w:sz="8" w:space="0" w:color="auto"/>
            </w:tcBorders>
            <w:shd w:val="clear" w:color="auto" w:fill="auto"/>
            <w:noWrap/>
            <w:vAlign w:val="center"/>
            <w:hideMark/>
          </w:tcPr>
          <w:p w14:paraId="0652060C" w14:textId="77777777" w:rsidR="008D4720" w:rsidRPr="009548D7" w:rsidRDefault="008D4720" w:rsidP="008D4720">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BPA.I020</w:t>
            </w:r>
          </w:p>
        </w:tc>
      </w:tr>
      <w:tr w:rsidR="008D4720" w:rsidRPr="009548D7" w14:paraId="225AFB1F" w14:textId="77777777" w:rsidTr="00A9732C">
        <w:trPr>
          <w:trHeight w:val="255"/>
        </w:trPr>
        <w:tc>
          <w:tcPr>
            <w:tcW w:w="4410" w:type="dxa"/>
            <w:tcBorders>
              <w:top w:val="nil"/>
              <w:left w:val="single" w:sz="8" w:space="0" w:color="auto"/>
              <w:bottom w:val="nil"/>
            </w:tcBorders>
            <w:shd w:val="clear" w:color="auto" w:fill="auto"/>
            <w:noWrap/>
            <w:vAlign w:val="center"/>
            <w:hideMark/>
          </w:tcPr>
          <w:p w14:paraId="12681BB7" w14:textId="0715CFBD" w:rsidR="008D4720" w:rsidRPr="009548D7" w:rsidRDefault="008D4720" w:rsidP="008D4720">
            <w:pPr>
              <w:spacing w:after="0" w:line="240" w:lineRule="auto"/>
              <w:ind w:firstLineChars="100" w:firstLine="16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Estoques</w:t>
            </w:r>
          </w:p>
        </w:tc>
        <w:tc>
          <w:tcPr>
            <w:tcW w:w="767" w:type="dxa"/>
            <w:tcBorders>
              <w:top w:val="nil"/>
              <w:bottom w:val="nil"/>
              <w:right w:val="single" w:sz="4" w:space="0" w:color="auto"/>
            </w:tcBorders>
            <w:shd w:val="clear" w:color="auto" w:fill="auto"/>
            <w:noWrap/>
            <w:vAlign w:val="center"/>
          </w:tcPr>
          <w:p w14:paraId="3EFBEE5B" w14:textId="77777777" w:rsidR="008D4720" w:rsidRPr="009548D7" w:rsidRDefault="008D4720" w:rsidP="008D4720">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61F3FFB5" w14:textId="2BFD97CF" w:rsidR="008D4720" w:rsidRPr="009548D7" w:rsidRDefault="008D4720" w:rsidP="008D4720">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BPA.D022</w:t>
            </w:r>
          </w:p>
        </w:tc>
        <w:tc>
          <w:tcPr>
            <w:tcW w:w="1262" w:type="dxa"/>
            <w:tcBorders>
              <w:top w:val="nil"/>
              <w:left w:val="nil"/>
              <w:bottom w:val="nil"/>
              <w:right w:val="single" w:sz="8" w:space="0" w:color="auto"/>
            </w:tcBorders>
            <w:shd w:val="clear" w:color="auto" w:fill="auto"/>
            <w:noWrap/>
            <w:vAlign w:val="center"/>
            <w:hideMark/>
          </w:tcPr>
          <w:p w14:paraId="68A5BD1C" w14:textId="67057671" w:rsidR="008D4720" w:rsidRPr="009548D7" w:rsidRDefault="008D4720" w:rsidP="008D4720">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BPA.E022</w:t>
            </w:r>
          </w:p>
        </w:tc>
        <w:tc>
          <w:tcPr>
            <w:tcW w:w="4562" w:type="dxa"/>
            <w:tcBorders>
              <w:top w:val="nil"/>
              <w:left w:val="nil"/>
              <w:bottom w:val="nil"/>
            </w:tcBorders>
            <w:shd w:val="clear" w:color="000000" w:fill="FFFFFF"/>
            <w:noWrap/>
            <w:vAlign w:val="center"/>
            <w:hideMark/>
          </w:tcPr>
          <w:p w14:paraId="3954CCC4" w14:textId="468C6E97" w:rsidR="008D4720" w:rsidRPr="009548D7" w:rsidRDefault="009E7FA9" w:rsidP="008D4720">
            <w:pPr>
              <w:spacing w:after="0" w:line="240" w:lineRule="auto"/>
              <w:ind w:firstLineChars="200" w:firstLine="320"/>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8D4720" w:rsidRPr="009548D7">
              <w:rPr>
                <w:rFonts w:ascii="Arial Narrow" w:eastAsia="Times New Roman" w:hAnsi="Arial Narrow" w:cs="Arial"/>
                <w:sz w:val="16"/>
                <w:szCs w:val="16"/>
                <w:lang w:eastAsia="pt-BR"/>
              </w:rPr>
              <w:t>Provisões para Riscos Fiscais a Curto Prazo</w:t>
            </w:r>
          </w:p>
        </w:tc>
        <w:tc>
          <w:tcPr>
            <w:tcW w:w="775" w:type="dxa"/>
            <w:tcBorders>
              <w:top w:val="nil"/>
              <w:bottom w:val="nil"/>
              <w:right w:val="single" w:sz="8" w:space="0" w:color="auto"/>
            </w:tcBorders>
            <w:shd w:val="clear" w:color="auto" w:fill="auto"/>
            <w:noWrap/>
            <w:vAlign w:val="center"/>
          </w:tcPr>
          <w:p w14:paraId="05403CC5" w14:textId="77777777" w:rsidR="008D4720" w:rsidRPr="009548D7" w:rsidRDefault="008D4720" w:rsidP="008D4720">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0C680293" w14:textId="77777777" w:rsidR="008D4720" w:rsidRPr="009548D7" w:rsidRDefault="008D4720" w:rsidP="008D4720">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BPA.H021</w:t>
            </w:r>
          </w:p>
        </w:tc>
        <w:tc>
          <w:tcPr>
            <w:tcW w:w="1420" w:type="dxa"/>
            <w:tcBorders>
              <w:top w:val="nil"/>
              <w:left w:val="nil"/>
              <w:bottom w:val="nil"/>
              <w:right w:val="single" w:sz="8" w:space="0" w:color="auto"/>
            </w:tcBorders>
            <w:shd w:val="clear" w:color="auto" w:fill="auto"/>
            <w:noWrap/>
            <w:vAlign w:val="center"/>
            <w:hideMark/>
          </w:tcPr>
          <w:p w14:paraId="0D376CF0" w14:textId="77777777" w:rsidR="008D4720" w:rsidRPr="009548D7" w:rsidRDefault="008D4720" w:rsidP="008D4720">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BPA.I021</w:t>
            </w:r>
          </w:p>
        </w:tc>
      </w:tr>
      <w:tr w:rsidR="008D4720" w:rsidRPr="009548D7" w14:paraId="360F3661" w14:textId="77777777" w:rsidTr="00A9732C">
        <w:trPr>
          <w:trHeight w:val="255"/>
        </w:trPr>
        <w:tc>
          <w:tcPr>
            <w:tcW w:w="4410" w:type="dxa"/>
            <w:tcBorders>
              <w:top w:val="nil"/>
              <w:left w:val="single" w:sz="8" w:space="0" w:color="auto"/>
              <w:bottom w:val="nil"/>
            </w:tcBorders>
            <w:shd w:val="clear" w:color="auto" w:fill="auto"/>
            <w:noWrap/>
            <w:vAlign w:val="center"/>
            <w:hideMark/>
          </w:tcPr>
          <w:p w14:paraId="17609620" w14:textId="6A994AEC" w:rsidR="008D4720" w:rsidRPr="009548D7" w:rsidRDefault="008D4720" w:rsidP="008D4720">
            <w:pPr>
              <w:spacing w:after="0" w:line="240" w:lineRule="auto"/>
              <w:ind w:firstLineChars="100" w:firstLine="160"/>
              <w:rPr>
                <w:rFonts w:ascii="Arial Narrow" w:eastAsia="Times New Roman" w:hAnsi="Arial Narrow" w:cs="Arial"/>
                <w:sz w:val="16"/>
                <w:szCs w:val="16"/>
                <w:lang w:eastAsia="pt-BR"/>
              </w:rPr>
            </w:pPr>
            <w:r w:rsidRPr="006B69C6">
              <w:rPr>
                <w:rFonts w:ascii="Arial Narrow" w:hAnsi="Arial Narrow" w:cs="Arial"/>
                <w:sz w:val="16"/>
                <w:szCs w:val="16"/>
              </w:rPr>
              <w:t>Ativo não Circulante Mantido para Venda</w:t>
            </w:r>
          </w:p>
        </w:tc>
        <w:tc>
          <w:tcPr>
            <w:tcW w:w="767" w:type="dxa"/>
            <w:tcBorders>
              <w:top w:val="nil"/>
              <w:bottom w:val="nil"/>
              <w:right w:val="single" w:sz="4" w:space="0" w:color="auto"/>
            </w:tcBorders>
            <w:shd w:val="clear" w:color="auto" w:fill="auto"/>
            <w:noWrap/>
            <w:vAlign w:val="center"/>
          </w:tcPr>
          <w:p w14:paraId="6F6C1680" w14:textId="77777777" w:rsidR="008D4720" w:rsidRPr="009548D7" w:rsidRDefault="008D4720" w:rsidP="008D4720">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20A81447" w14:textId="4DE5DA1C" w:rsidR="008D4720" w:rsidRPr="009548D7" w:rsidRDefault="008D4720" w:rsidP="008D4720">
            <w:pPr>
              <w:spacing w:after="0" w:line="240" w:lineRule="auto"/>
              <w:jc w:val="center"/>
              <w:rPr>
                <w:rFonts w:ascii="Arial Narrow" w:eastAsia="Times New Roman" w:hAnsi="Arial Narrow" w:cs="Arial"/>
                <w:sz w:val="16"/>
                <w:szCs w:val="16"/>
                <w:lang w:eastAsia="pt-BR"/>
              </w:rPr>
            </w:pPr>
            <w:r w:rsidRPr="006B69C6">
              <w:rPr>
                <w:rFonts w:ascii="Arial Narrow" w:hAnsi="Arial Narrow" w:cs="Arial"/>
                <w:sz w:val="16"/>
                <w:szCs w:val="16"/>
              </w:rPr>
              <w:t>BPA.D072</w:t>
            </w:r>
          </w:p>
        </w:tc>
        <w:tc>
          <w:tcPr>
            <w:tcW w:w="1262" w:type="dxa"/>
            <w:tcBorders>
              <w:top w:val="nil"/>
              <w:left w:val="nil"/>
              <w:bottom w:val="nil"/>
              <w:right w:val="single" w:sz="8" w:space="0" w:color="auto"/>
            </w:tcBorders>
            <w:shd w:val="clear" w:color="auto" w:fill="auto"/>
            <w:noWrap/>
            <w:vAlign w:val="center"/>
            <w:hideMark/>
          </w:tcPr>
          <w:p w14:paraId="6B1EB14C" w14:textId="79318D9B" w:rsidR="008D4720" w:rsidRPr="009548D7" w:rsidRDefault="008D4720" w:rsidP="008D4720">
            <w:pPr>
              <w:spacing w:after="0" w:line="240" w:lineRule="auto"/>
              <w:jc w:val="center"/>
              <w:rPr>
                <w:rFonts w:ascii="Arial Narrow" w:eastAsia="Times New Roman" w:hAnsi="Arial Narrow" w:cs="Arial"/>
                <w:sz w:val="16"/>
                <w:szCs w:val="16"/>
                <w:lang w:eastAsia="pt-BR"/>
              </w:rPr>
            </w:pPr>
            <w:r w:rsidRPr="006B69C6">
              <w:rPr>
                <w:rFonts w:ascii="Arial Narrow" w:hAnsi="Arial Narrow" w:cs="Arial"/>
                <w:sz w:val="16"/>
                <w:szCs w:val="16"/>
              </w:rPr>
              <w:t>BPA.E072</w:t>
            </w:r>
          </w:p>
        </w:tc>
        <w:tc>
          <w:tcPr>
            <w:tcW w:w="4562" w:type="dxa"/>
            <w:tcBorders>
              <w:top w:val="nil"/>
              <w:left w:val="nil"/>
              <w:bottom w:val="nil"/>
            </w:tcBorders>
            <w:shd w:val="clear" w:color="000000" w:fill="FFFFFF"/>
            <w:noWrap/>
            <w:vAlign w:val="center"/>
            <w:hideMark/>
          </w:tcPr>
          <w:p w14:paraId="138491B8" w14:textId="147B7DF6" w:rsidR="008D4720" w:rsidRPr="009548D7" w:rsidRDefault="009E7FA9" w:rsidP="008D4720">
            <w:pPr>
              <w:spacing w:after="0" w:line="240" w:lineRule="auto"/>
              <w:ind w:firstLineChars="200" w:firstLine="320"/>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8D4720" w:rsidRPr="009548D7">
              <w:rPr>
                <w:rFonts w:ascii="Arial Narrow" w:eastAsia="Times New Roman" w:hAnsi="Arial Narrow" w:cs="Arial"/>
                <w:sz w:val="16"/>
                <w:szCs w:val="16"/>
                <w:lang w:eastAsia="pt-BR"/>
              </w:rPr>
              <w:t>Provisões para Riscos Cíveis a Curto Prazo</w:t>
            </w:r>
          </w:p>
        </w:tc>
        <w:tc>
          <w:tcPr>
            <w:tcW w:w="775" w:type="dxa"/>
            <w:tcBorders>
              <w:top w:val="nil"/>
              <w:bottom w:val="nil"/>
              <w:right w:val="single" w:sz="8" w:space="0" w:color="auto"/>
            </w:tcBorders>
            <w:shd w:val="clear" w:color="auto" w:fill="auto"/>
            <w:noWrap/>
            <w:vAlign w:val="center"/>
          </w:tcPr>
          <w:p w14:paraId="5FD702E7" w14:textId="77777777" w:rsidR="008D4720" w:rsidRPr="009548D7" w:rsidRDefault="008D4720" w:rsidP="008D4720">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5697478F" w14:textId="77777777" w:rsidR="008D4720" w:rsidRPr="009548D7" w:rsidRDefault="008D4720" w:rsidP="008D4720">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BPA.H022</w:t>
            </w:r>
          </w:p>
        </w:tc>
        <w:tc>
          <w:tcPr>
            <w:tcW w:w="1420" w:type="dxa"/>
            <w:tcBorders>
              <w:top w:val="nil"/>
              <w:left w:val="nil"/>
              <w:bottom w:val="nil"/>
              <w:right w:val="single" w:sz="8" w:space="0" w:color="auto"/>
            </w:tcBorders>
            <w:shd w:val="clear" w:color="auto" w:fill="auto"/>
            <w:noWrap/>
            <w:vAlign w:val="center"/>
            <w:hideMark/>
          </w:tcPr>
          <w:p w14:paraId="04A12B85" w14:textId="77777777" w:rsidR="008D4720" w:rsidRPr="009548D7" w:rsidRDefault="008D4720" w:rsidP="008D4720">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BPA.I022</w:t>
            </w:r>
          </w:p>
        </w:tc>
      </w:tr>
      <w:tr w:rsidR="008D4720" w:rsidRPr="006B69C6" w14:paraId="1A35D396" w14:textId="77777777" w:rsidTr="00A9732C">
        <w:trPr>
          <w:trHeight w:hRule="exact" w:val="232"/>
        </w:trPr>
        <w:tc>
          <w:tcPr>
            <w:tcW w:w="4410" w:type="dxa"/>
            <w:tcBorders>
              <w:top w:val="nil"/>
              <w:left w:val="single" w:sz="8" w:space="0" w:color="auto"/>
              <w:bottom w:val="nil"/>
            </w:tcBorders>
            <w:shd w:val="clear" w:color="auto" w:fill="auto"/>
            <w:noWrap/>
            <w:vAlign w:val="center"/>
          </w:tcPr>
          <w:p w14:paraId="00A5EF66" w14:textId="00F32BDE" w:rsidR="008D4720" w:rsidRPr="006B69C6" w:rsidRDefault="008D4720" w:rsidP="008D4720">
            <w:pPr>
              <w:ind w:firstLineChars="100" w:firstLine="160"/>
              <w:rPr>
                <w:rFonts w:ascii="Arial Narrow" w:eastAsia="Times New Roman" w:hAnsi="Arial Narrow" w:cs="Arial"/>
                <w:sz w:val="16"/>
                <w:szCs w:val="16"/>
                <w:lang w:eastAsia="pt-BR"/>
              </w:rPr>
            </w:pPr>
            <w:r w:rsidRPr="006B69C6">
              <w:rPr>
                <w:rFonts w:ascii="Arial Narrow" w:eastAsia="Times New Roman" w:hAnsi="Arial Narrow" w:cs="Arial"/>
                <w:sz w:val="16"/>
                <w:szCs w:val="16"/>
                <w:lang w:eastAsia="pt-BR"/>
              </w:rPr>
              <w:t>VPD Pagas Antecipadamente</w:t>
            </w:r>
          </w:p>
        </w:tc>
        <w:tc>
          <w:tcPr>
            <w:tcW w:w="767" w:type="dxa"/>
            <w:tcBorders>
              <w:top w:val="nil"/>
              <w:bottom w:val="nil"/>
              <w:right w:val="single" w:sz="4" w:space="0" w:color="auto"/>
            </w:tcBorders>
            <w:shd w:val="clear" w:color="auto" w:fill="auto"/>
            <w:noWrap/>
            <w:vAlign w:val="center"/>
          </w:tcPr>
          <w:p w14:paraId="78DDCC75" w14:textId="77777777" w:rsidR="008D4720" w:rsidRPr="006B69C6" w:rsidRDefault="008D4720" w:rsidP="008D4720">
            <w:pPr>
              <w:jc w:val="center"/>
              <w:rPr>
                <w:rFonts w:ascii="Arial Narrow" w:eastAsia="Times New Roman" w:hAnsi="Arial Narrow" w:cs="Arial"/>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tcPr>
          <w:p w14:paraId="6FF98B61" w14:textId="268E6BD4" w:rsidR="008D4720" w:rsidRPr="006B69C6" w:rsidRDefault="008D4720" w:rsidP="008D4720">
            <w:pPr>
              <w:jc w:val="center"/>
              <w:rPr>
                <w:rFonts w:ascii="Arial Narrow" w:eastAsia="Times New Roman" w:hAnsi="Arial Narrow" w:cs="Arial"/>
                <w:sz w:val="16"/>
                <w:szCs w:val="16"/>
                <w:lang w:eastAsia="pt-BR"/>
              </w:rPr>
            </w:pPr>
            <w:r w:rsidRPr="006B69C6">
              <w:rPr>
                <w:rFonts w:ascii="Arial Narrow" w:eastAsia="Times New Roman" w:hAnsi="Arial Narrow" w:cs="Arial"/>
                <w:sz w:val="16"/>
                <w:szCs w:val="16"/>
                <w:lang w:eastAsia="pt-BR"/>
              </w:rPr>
              <w:t>BPA.D023</w:t>
            </w:r>
          </w:p>
        </w:tc>
        <w:tc>
          <w:tcPr>
            <w:tcW w:w="1262" w:type="dxa"/>
            <w:tcBorders>
              <w:top w:val="nil"/>
              <w:left w:val="nil"/>
              <w:bottom w:val="nil"/>
              <w:right w:val="single" w:sz="8" w:space="0" w:color="auto"/>
            </w:tcBorders>
            <w:shd w:val="clear" w:color="auto" w:fill="auto"/>
            <w:noWrap/>
            <w:vAlign w:val="center"/>
          </w:tcPr>
          <w:p w14:paraId="5364FCC0" w14:textId="56D51CC1" w:rsidR="008D4720" w:rsidRPr="006B69C6" w:rsidRDefault="008D4720" w:rsidP="008D4720">
            <w:pPr>
              <w:jc w:val="center"/>
              <w:rPr>
                <w:rFonts w:ascii="Arial Narrow" w:eastAsia="Times New Roman" w:hAnsi="Arial Narrow" w:cs="Arial"/>
                <w:sz w:val="16"/>
                <w:szCs w:val="16"/>
                <w:lang w:eastAsia="pt-BR"/>
              </w:rPr>
            </w:pPr>
            <w:r w:rsidRPr="006B69C6">
              <w:rPr>
                <w:rFonts w:ascii="Arial Narrow" w:eastAsia="Times New Roman" w:hAnsi="Arial Narrow" w:cs="Arial"/>
                <w:sz w:val="16"/>
                <w:szCs w:val="16"/>
                <w:lang w:eastAsia="pt-BR"/>
              </w:rPr>
              <w:t>BPA.E023</w:t>
            </w:r>
          </w:p>
        </w:tc>
        <w:tc>
          <w:tcPr>
            <w:tcW w:w="4562" w:type="dxa"/>
            <w:tcBorders>
              <w:top w:val="nil"/>
              <w:left w:val="nil"/>
              <w:bottom w:val="nil"/>
            </w:tcBorders>
            <w:shd w:val="clear" w:color="000000" w:fill="FFFFFF"/>
            <w:noWrap/>
            <w:vAlign w:val="center"/>
          </w:tcPr>
          <w:p w14:paraId="64413CF8" w14:textId="609BF772" w:rsidR="008D4720" w:rsidRPr="006B69C6" w:rsidRDefault="009E7FA9" w:rsidP="008D4720">
            <w:pPr>
              <w:spacing w:after="0" w:line="240" w:lineRule="auto"/>
              <w:ind w:firstLineChars="200" w:firstLine="320"/>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8D4720" w:rsidRPr="006B69C6">
              <w:rPr>
                <w:rFonts w:ascii="Arial Narrow" w:eastAsia="Times New Roman" w:hAnsi="Arial Narrow" w:cs="Arial"/>
                <w:sz w:val="16"/>
                <w:szCs w:val="16"/>
                <w:lang w:eastAsia="pt-BR"/>
              </w:rPr>
              <w:t>Provisões p/Riscos Decorrentes de Contratos de PPP a Curto Prazo</w:t>
            </w:r>
          </w:p>
        </w:tc>
        <w:tc>
          <w:tcPr>
            <w:tcW w:w="775" w:type="dxa"/>
            <w:tcBorders>
              <w:top w:val="nil"/>
              <w:bottom w:val="nil"/>
              <w:right w:val="single" w:sz="8" w:space="0" w:color="auto"/>
            </w:tcBorders>
            <w:shd w:val="clear" w:color="auto" w:fill="auto"/>
            <w:noWrap/>
            <w:vAlign w:val="center"/>
          </w:tcPr>
          <w:p w14:paraId="35CCF386" w14:textId="77777777" w:rsidR="008D4720" w:rsidRPr="006B69C6" w:rsidRDefault="008D4720" w:rsidP="008D4720">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tcPr>
          <w:p w14:paraId="12A73812" w14:textId="77777777" w:rsidR="008D4720" w:rsidRPr="006B69C6" w:rsidRDefault="008D4720" w:rsidP="008D4720">
            <w:pPr>
              <w:spacing w:after="0" w:line="240" w:lineRule="auto"/>
              <w:jc w:val="center"/>
              <w:rPr>
                <w:rFonts w:ascii="Arial Narrow" w:eastAsia="Times New Roman" w:hAnsi="Arial Narrow" w:cs="Arial"/>
                <w:sz w:val="16"/>
                <w:szCs w:val="16"/>
                <w:lang w:eastAsia="pt-BR"/>
              </w:rPr>
            </w:pPr>
            <w:r w:rsidRPr="006B69C6">
              <w:rPr>
                <w:rFonts w:ascii="Arial Narrow" w:eastAsia="Times New Roman" w:hAnsi="Arial Narrow" w:cs="Arial"/>
                <w:sz w:val="16"/>
                <w:szCs w:val="16"/>
                <w:lang w:eastAsia="pt-BR"/>
              </w:rPr>
              <w:t>BPA.H023</w:t>
            </w:r>
          </w:p>
        </w:tc>
        <w:tc>
          <w:tcPr>
            <w:tcW w:w="1420" w:type="dxa"/>
            <w:tcBorders>
              <w:top w:val="nil"/>
              <w:left w:val="nil"/>
              <w:bottom w:val="nil"/>
              <w:right w:val="single" w:sz="8" w:space="0" w:color="auto"/>
            </w:tcBorders>
            <w:shd w:val="clear" w:color="auto" w:fill="auto"/>
            <w:noWrap/>
            <w:vAlign w:val="center"/>
          </w:tcPr>
          <w:p w14:paraId="341EBC98" w14:textId="77777777" w:rsidR="008D4720" w:rsidRPr="006B69C6" w:rsidRDefault="008D4720" w:rsidP="008D4720">
            <w:pPr>
              <w:spacing w:after="0" w:line="240" w:lineRule="auto"/>
              <w:jc w:val="center"/>
              <w:rPr>
                <w:rFonts w:ascii="Arial Narrow" w:eastAsia="Times New Roman" w:hAnsi="Arial Narrow" w:cs="Arial"/>
                <w:sz w:val="16"/>
                <w:szCs w:val="16"/>
                <w:lang w:eastAsia="pt-BR"/>
              </w:rPr>
            </w:pPr>
            <w:r w:rsidRPr="006B69C6">
              <w:rPr>
                <w:rFonts w:ascii="Arial Narrow" w:eastAsia="Times New Roman" w:hAnsi="Arial Narrow" w:cs="Arial"/>
                <w:sz w:val="16"/>
                <w:szCs w:val="16"/>
                <w:lang w:eastAsia="pt-BR"/>
              </w:rPr>
              <w:t>BPA.I023</w:t>
            </w:r>
          </w:p>
        </w:tc>
      </w:tr>
      <w:tr w:rsidR="008D4720" w:rsidRPr="006B69C6" w14:paraId="3B388410" w14:textId="77777777" w:rsidTr="008D4720">
        <w:trPr>
          <w:trHeight w:hRule="exact" w:val="227"/>
        </w:trPr>
        <w:tc>
          <w:tcPr>
            <w:tcW w:w="4410" w:type="dxa"/>
            <w:tcBorders>
              <w:top w:val="nil"/>
              <w:left w:val="single" w:sz="8" w:space="0" w:color="auto"/>
              <w:bottom w:val="nil"/>
            </w:tcBorders>
            <w:shd w:val="clear" w:color="auto" w:fill="auto"/>
            <w:noWrap/>
            <w:vAlign w:val="center"/>
          </w:tcPr>
          <w:p w14:paraId="1E02D618" w14:textId="34216908" w:rsidR="008D4720" w:rsidRPr="006B69C6" w:rsidRDefault="008D4720" w:rsidP="008D4720">
            <w:pPr>
              <w:spacing w:after="0" w:line="240" w:lineRule="auto"/>
              <w:ind w:firstLineChars="100" w:firstLine="160"/>
              <w:rPr>
                <w:rFonts w:ascii="Arial Narrow" w:eastAsia="Times New Roman" w:hAnsi="Arial Narrow" w:cs="Arial"/>
                <w:sz w:val="16"/>
                <w:szCs w:val="16"/>
                <w:lang w:eastAsia="pt-BR"/>
              </w:rPr>
            </w:pPr>
          </w:p>
        </w:tc>
        <w:tc>
          <w:tcPr>
            <w:tcW w:w="767" w:type="dxa"/>
            <w:tcBorders>
              <w:top w:val="nil"/>
              <w:bottom w:val="nil"/>
              <w:right w:val="single" w:sz="4" w:space="0" w:color="auto"/>
            </w:tcBorders>
            <w:shd w:val="clear" w:color="auto" w:fill="auto"/>
            <w:noWrap/>
            <w:vAlign w:val="center"/>
          </w:tcPr>
          <w:p w14:paraId="6DDC1DD3" w14:textId="77777777" w:rsidR="008D4720" w:rsidRPr="006B69C6" w:rsidRDefault="008D4720" w:rsidP="008D4720">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tcPr>
          <w:p w14:paraId="30710FF4" w14:textId="37362B21" w:rsidR="008D4720" w:rsidRPr="006B69C6" w:rsidRDefault="008D4720" w:rsidP="008D4720">
            <w:pPr>
              <w:spacing w:after="0" w:line="240" w:lineRule="auto"/>
              <w:jc w:val="center"/>
              <w:rPr>
                <w:rFonts w:ascii="Arial Narrow" w:eastAsia="Times New Roman" w:hAnsi="Arial Narrow" w:cs="Arial"/>
                <w:sz w:val="16"/>
                <w:szCs w:val="16"/>
                <w:lang w:eastAsia="pt-BR"/>
              </w:rPr>
            </w:pPr>
          </w:p>
        </w:tc>
        <w:tc>
          <w:tcPr>
            <w:tcW w:w="1262" w:type="dxa"/>
            <w:tcBorders>
              <w:top w:val="nil"/>
              <w:left w:val="nil"/>
              <w:bottom w:val="nil"/>
              <w:right w:val="single" w:sz="8" w:space="0" w:color="auto"/>
            </w:tcBorders>
            <w:shd w:val="clear" w:color="auto" w:fill="auto"/>
            <w:noWrap/>
            <w:vAlign w:val="center"/>
          </w:tcPr>
          <w:p w14:paraId="7C7DD77B" w14:textId="755ACB4C" w:rsidR="008D4720" w:rsidRPr="006B69C6" w:rsidRDefault="008D4720" w:rsidP="008D4720">
            <w:pPr>
              <w:spacing w:after="0" w:line="240" w:lineRule="auto"/>
              <w:jc w:val="center"/>
              <w:rPr>
                <w:rFonts w:ascii="Arial Narrow" w:eastAsia="Times New Roman" w:hAnsi="Arial Narrow" w:cs="Arial"/>
                <w:sz w:val="16"/>
                <w:szCs w:val="16"/>
                <w:lang w:eastAsia="pt-BR"/>
              </w:rPr>
            </w:pPr>
          </w:p>
        </w:tc>
        <w:tc>
          <w:tcPr>
            <w:tcW w:w="4562" w:type="dxa"/>
            <w:tcBorders>
              <w:top w:val="nil"/>
              <w:left w:val="nil"/>
              <w:bottom w:val="nil"/>
            </w:tcBorders>
            <w:shd w:val="clear" w:color="000000" w:fill="FFFFFF"/>
            <w:noWrap/>
            <w:vAlign w:val="center"/>
            <w:hideMark/>
          </w:tcPr>
          <w:p w14:paraId="02C093B5" w14:textId="5A70A947" w:rsidR="008D4720" w:rsidRPr="006B69C6" w:rsidRDefault="009E7FA9" w:rsidP="008D4720">
            <w:pPr>
              <w:ind w:firstLineChars="200" w:firstLine="320"/>
              <w:rPr>
                <w:rFonts w:ascii="Arial Narrow" w:eastAsia="Times New Roman" w:hAnsi="Arial Narrow" w:cs="Arial"/>
                <w:sz w:val="16"/>
                <w:szCs w:val="16"/>
                <w:lang w:eastAsia="pt-BR"/>
              </w:rPr>
            </w:pPr>
            <w:r>
              <w:rPr>
                <w:rFonts w:ascii="Arial Narrow" w:hAnsi="Arial Narrow" w:cs="Arial"/>
                <w:sz w:val="16"/>
                <w:szCs w:val="16"/>
              </w:rPr>
              <w:t xml:space="preserve"> </w:t>
            </w:r>
            <w:r w:rsidR="008D4720" w:rsidRPr="006B69C6">
              <w:rPr>
                <w:rFonts w:ascii="Arial Narrow" w:hAnsi="Arial Narrow" w:cs="Arial"/>
                <w:sz w:val="16"/>
                <w:szCs w:val="16"/>
              </w:rPr>
              <w:t>Provisão p/ Obrigações Decorr. da Atuação Govern. a Curto Prazo</w:t>
            </w:r>
          </w:p>
        </w:tc>
        <w:tc>
          <w:tcPr>
            <w:tcW w:w="775" w:type="dxa"/>
            <w:tcBorders>
              <w:top w:val="nil"/>
              <w:bottom w:val="nil"/>
              <w:right w:val="single" w:sz="8" w:space="0" w:color="auto"/>
            </w:tcBorders>
            <w:shd w:val="clear" w:color="auto" w:fill="auto"/>
            <w:noWrap/>
            <w:vAlign w:val="center"/>
          </w:tcPr>
          <w:p w14:paraId="30EF2A59" w14:textId="77777777" w:rsidR="008D4720" w:rsidRPr="006B69C6" w:rsidRDefault="008D4720" w:rsidP="008D4720">
            <w:pPr>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tcPr>
          <w:p w14:paraId="62385686" w14:textId="77777777" w:rsidR="008D4720" w:rsidRPr="006B69C6" w:rsidRDefault="008D4720" w:rsidP="008D4720">
            <w:pPr>
              <w:jc w:val="center"/>
              <w:rPr>
                <w:rFonts w:ascii="Arial Narrow" w:eastAsia="Times New Roman" w:hAnsi="Arial Narrow" w:cs="Arial"/>
                <w:sz w:val="16"/>
                <w:szCs w:val="16"/>
                <w:lang w:eastAsia="pt-BR"/>
              </w:rPr>
            </w:pPr>
            <w:r w:rsidRPr="006B69C6">
              <w:rPr>
                <w:rFonts w:ascii="Arial Narrow" w:hAnsi="Arial Narrow" w:cs="Arial"/>
                <w:sz w:val="16"/>
                <w:szCs w:val="16"/>
              </w:rPr>
              <w:t>BPA.H072</w:t>
            </w:r>
          </w:p>
        </w:tc>
        <w:tc>
          <w:tcPr>
            <w:tcW w:w="1420" w:type="dxa"/>
            <w:tcBorders>
              <w:top w:val="nil"/>
              <w:left w:val="nil"/>
              <w:bottom w:val="nil"/>
              <w:right w:val="single" w:sz="8" w:space="0" w:color="auto"/>
            </w:tcBorders>
            <w:shd w:val="clear" w:color="auto" w:fill="auto"/>
            <w:noWrap/>
            <w:vAlign w:val="center"/>
          </w:tcPr>
          <w:p w14:paraId="265C3A62" w14:textId="77777777" w:rsidR="008D4720" w:rsidRPr="006B69C6" w:rsidRDefault="008D4720" w:rsidP="008D4720">
            <w:pPr>
              <w:jc w:val="center"/>
              <w:rPr>
                <w:rFonts w:ascii="Arial Narrow" w:eastAsia="Times New Roman" w:hAnsi="Arial Narrow" w:cs="Arial"/>
                <w:sz w:val="16"/>
                <w:szCs w:val="16"/>
                <w:lang w:eastAsia="pt-BR"/>
              </w:rPr>
            </w:pPr>
            <w:r w:rsidRPr="006B69C6">
              <w:rPr>
                <w:rFonts w:ascii="Arial Narrow" w:hAnsi="Arial Narrow" w:cs="Arial"/>
                <w:sz w:val="16"/>
                <w:szCs w:val="16"/>
              </w:rPr>
              <w:t>BPA.I072</w:t>
            </w:r>
          </w:p>
        </w:tc>
      </w:tr>
      <w:tr w:rsidR="008D4720" w:rsidRPr="009548D7" w14:paraId="3F6C3ABF" w14:textId="77777777" w:rsidTr="00A9732C">
        <w:trPr>
          <w:trHeight w:val="240"/>
        </w:trPr>
        <w:tc>
          <w:tcPr>
            <w:tcW w:w="4410" w:type="dxa"/>
            <w:tcBorders>
              <w:top w:val="nil"/>
              <w:left w:val="single" w:sz="8" w:space="0" w:color="auto"/>
              <w:bottom w:val="nil"/>
            </w:tcBorders>
            <w:shd w:val="clear" w:color="auto" w:fill="auto"/>
            <w:noWrap/>
            <w:vAlign w:val="center"/>
            <w:hideMark/>
          </w:tcPr>
          <w:p w14:paraId="022F3814" w14:textId="77777777" w:rsidR="008D4720" w:rsidRPr="009548D7" w:rsidRDefault="008D4720" w:rsidP="008D4720">
            <w:pPr>
              <w:spacing w:after="0" w:line="240" w:lineRule="auto"/>
              <w:ind w:firstLineChars="200" w:firstLine="320"/>
              <w:rPr>
                <w:rFonts w:ascii="Arial Narrow" w:eastAsia="Times New Roman" w:hAnsi="Arial Narrow" w:cs="Arial"/>
                <w:color w:val="00B050"/>
                <w:sz w:val="16"/>
                <w:szCs w:val="16"/>
                <w:lang w:eastAsia="pt-BR"/>
              </w:rPr>
            </w:pPr>
            <w:r w:rsidRPr="009548D7">
              <w:rPr>
                <w:rFonts w:ascii="Arial Narrow" w:eastAsia="Times New Roman" w:hAnsi="Arial Narrow" w:cs="Arial"/>
                <w:color w:val="00B050"/>
                <w:sz w:val="16"/>
                <w:szCs w:val="16"/>
                <w:lang w:eastAsia="pt-BR"/>
              </w:rPr>
              <w:t> </w:t>
            </w:r>
          </w:p>
        </w:tc>
        <w:tc>
          <w:tcPr>
            <w:tcW w:w="767" w:type="dxa"/>
            <w:tcBorders>
              <w:top w:val="nil"/>
              <w:bottom w:val="nil"/>
              <w:right w:val="single" w:sz="4" w:space="0" w:color="auto"/>
            </w:tcBorders>
            <w:shd w:val="clear" w:color="auto" w:fill="auto"/>
            <w:noWrap/>
            <w:vAlign w:val="center"/>
          </w:tcPr>
          <w:p w14:paraId="6886F7B5" w14:textId="77777777" w:rsidR="008D4720" w:rsidRPr="009548D7" w:rsidRDefault="008D4720" w:rsidP="008D4720">
            <w:pPr>
              <w:spacing w:after="0" w:line="240" w:lineRule="auto"/>
              <w:ind w:firstLineChars="200" w:firstLine="320"/>
              <w:rPr>
                <w:rFonts w:ascii="Arial Narrow" w:eastAsia="Times New Roman" w:hAnsi="Arial Narrow" w:cs="Arial"/>
                <w:color w:val="00B050"/>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1CD9CD8D" w14:textId="77777777" w:rsidR="008D4720" w:rsidRPr="009548D7" w:rsidRDefault="008D4720" w:rsidP="008D4720">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w:t>
            </w:r>
          </w:p>
        </w:tc>
        <w:tc>
          <w:tcPr>
            <w:tcW w:w="1262" w:type="dxa"/>
            <w:tcBorders>
              <w:top w:val="nil"/>
              <w:left w:val="nil"/>
              <w:bottom w:val="nil"/>
              <w:right w:val="single" w:sz="8" w:space="0" w:color="auto"/>
            </w:tcBorders>
            <w:shd w:val="clear" w:color="auto" w:fill="auto"/>
            <w:noWrap/>
            <w:vAlign w:val="center"/>
            <w:hideMark/>
          </w:tcPr>
          <w:p w14:paraId="6AAF48D3" w14:textId="77777777" w:rsidR="008D4720" w:rsidRPr="009548D7" w:rsidRDefault="008D4720" w:rsidP="008D4720">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w:t>
            </w:r>
          </w:p>
        </w:tc>
        <w:tc>
          <w:tcPr>
            <w:tcW w:w="4562" w:type="dxa"/>
            <w:tcBorders>
              <w:top w:val="nil"/>
              <w:left w:val="nil"/>
              <w:bottom w:val="nil"/>
            </w:tcBorders>
            <w:shd w:val="clear" w:color="000000" w:fill="FFFFFF"/>
            <w:noWrap/>
            <w:vAlign w:val="center"/>
            <w:hideMark/>
          </w:tcPr>
          <w:p w14:paraId="6189C61B" w14:textId="2F1AF2F8" w:rsidR="008D4720" w:rsidRPr="009548D7" w:rsidRDefault="009E7FA9" w:rsidP="008D4720">
            <w:pPr>
              <w:spacing w:after="0" w:line="240" w:lineRule="auto"/>
              <w:ind w:firstLineChars="200" w:firstLine="320"/>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8D4720" w:rsidRPr="009548D7">
              <w:rPr>
                <w:rFonts w:ascii="Arial Narrow" w:eastAsia="Times New Roman" w:hAnsi="Arial Narrow" w:cs="Arial"/>
                <w:sz w:val="16"/>
                <w:szCs w:val="16"/>
                <w:lang w:eastAsia="pt-BR"/>
              </w:rPr>
              <w:t>Outras Provisões a Curto Prazo</w:t>
            </w:r>
          </w:p>
        </w:tc>
        <w:tc>
          <w:tcPr>
            <w:tcW w:w="775" w:type="dxa"/>
            <w:tcBorders>
              <w:top w:val="nil"/>
              <w:bottom w:val="nil"/>
              <w:right w:val="single" w:sz="8" w:space="0" w:color="auto"/>
            </w:tcBorders>
            <w:shd w:val="clear" w:color="auto" w:fill="auto"/>
            <w:noWrap/>
            <w:vAlign w:val="center"/>
          </w:tcPr>
          <w:p w14:paraId="7D81D285" w14:textId="77777777" w:rsidR="008D4720" w:rsidRPr="009548D7" w:rsidRDefault="008D4720" w:rsidP="008D4720">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78763AEA" w14:textId="77777777" w:rsidR="008D4720" w:rsidRPr="009548D7" w:rsidRDefault="008D4720" w:rsidP="008D4720">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BPA.H024</w:t>
            </w:r>
          </w:p>
        </w:tc>
        <w:tc>
          <w:tcPr>
            <w:tcW w:w="1420" w:type="dxa"/>
            <w:tcBorders>
              <w:top w:val="nil"/>
              <w:left w:val="nil"/>
              <w:bottom w:val="nil"/>
              <w:right w:val="single" w:sz="8" w:space="0" w:color="auto"/>
            </w:tcBorders>
            <w:shd w:val="clear" w:color="auto" w:fill="auto"/>
            <w:noWrap/>
            <w:vAlign w:val="center"/>
            <w:hideMark/>
          </w:tcPr>
          <w:p w14:paraId="6ABF13EC" w14:textId="77777777" w:rsidR="008D4720" w:rsidRPr="009548D7" w:rsidRDefault="008D4720" w:rsidP="008D4720">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BPA.I024</w:t>
            </w:r>
          </w:p>
        </w:tc>
      </w:tr>
      <w:tr w:rsidR="008D4720" w:rsidRPr="009548D7" w14:paraId="5FA39F6F" w14:textId="77777777" w:rsidTr="00A9732C">
        <w:trPr>
          <w:trHeight w:val="240"/>
        </w:trPr>
        <w:tc>
          <w:tcPr>
            <w:tcW w:w="4410" w:type="dxa"/>
            <w:tcBorders>
              <w:top w:val="nil"/>
              <w:left w:val="single" w:sz="8" w:space="0" w:color="auto"/>
              <w:bottom w:val="nil"/>
            </w:tcBorders>
            <w:shd w:val="clear" w:color="auto" w:fill="auto"/>
            <w:noWrap/>
            <w:vAlign w:val="center"/>
            <w:hideMark/>
          </w:tcPr>
          <w:p w14:paraId="36168E73" w14:textId="77777777" w:rsidR="008D4720" w:rsidRPr="009548D7" w:rsidRDefault="008D4720" w:rsidP="008D4720">
            <w:pPr>
              <w:spacing w:after="0" w:line="240" w:lineRule="auto"/>
              <w:rPr>
                <w:rFonts w:ascii="Arial Narrow" w:eastAsia="Times New Roman" w:hAnsi="Arial Narrow" w:cs="Arial"/>
                <w:color w:val="0070C0"/>
                <w:sz w:val="16"/>
                <w:szCs w:val="16"/>
                <w:lang w:eastAsia="pt-BR"/>
              </w:rPr>
            </w:pPr>
            <w:r w:rsidRPr="009548D7">
              <w:rPr>
                <w:rFonts w:ascii="Arial Narrow" w:eastAsia="Times New Roman" w:hAnsi="Arial Narrow" w:cs="Arial"/>
                <w:color w:val="0070C0"/>
                <w:sz w:val="16"/>
                <w:szCs w:val="16"/>
                <w:lang w:eastAsia="pt-BR"/>
              </w:rPr>
              <w:t> </w:t>
            </w:r>
          </w:p>
        </w:tc>
        <w:tc>
          <w:tcPr>
            <w:tcW w:w="767" w:type="dxa"/>
            <w:tcBorders>
              <w:top w:val="nil"/>
              <w:bottom w:val="nil"/>
              <w:right w:val="single" w:sz="4" w:space="0" w:color="auto"/>
            </w:tcBorders>
            <w:shd w:val="clear" w:color="auto" w:fill="auto"/>
            <w:noWrap/>
            <w:vAlign w:val="center"/>
          </w:tcPr>
          <w:p w14:paraId="1A639C2F" w14:textId="77777777" w:rsidR="008D4720" w:rsidRPr="009548D7" w:rsidRDefault="008D4720" w:rsidP="008D4720">
            <w:pPr>
              <w:spacing w:after="0" w:line="240" w:lineRule="auto"/>
              <w:rPr>
                <w:rFonts w:ascii="Arial Narrow" w:eastAsia="Times New Roman" w:hAnsi="Arial Narrow" w:cs="Arial"/>
                <w:color w:val="0070C0"/>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7A6B78B5" w14:textId="77777777" w:rsidR="008D4720" w:rsidRPr="009548D7" w:rsidRDefault="008D4720" w:rsidP="008D4720">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 </w:t>
            </w:r>
          </w:p>
        </w:tc>
        <w:tc>
          <w:tcPr>
            <w:tcW w:w="1262" w:type="dxa"/>
            <w:tcBorders>
              <w:top w:val="nil"/>
              <w:left w:val="nil"/>
              <w:bottom w:val="nil"/>
              <w:right w:val="single" w:sz="8" w:space="0" w:color="auto"/>
            </w:tcBorders>
            <w:shd w:val="clear" w:color="auto" w:fill="auto"/>
            <w:noWrap/>
            <w:vAlign w:val="center"/>
            <w:hideMark/>
          </w:tcPr>
          <w:p w14:paraId="0802BC75" w14:textId="77777777" w:rsidR="008D4720" w:rsidRPr="009548D7" w:rsidRDefault="008D4720" w:rsidP="008D4720">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 </w:t>
            </w:r>
          </w:p>
        </w:tc>
        <w:tc>
          <w:tcPr>
            <w:tcW w:w="4562" w:type="dxa"/>
            <w:tcBorders>
              <w:top w:val="nil"/>
              <w:left w:val="nil"/>
              <w:bottom w:val="nil"/>
            </w:tcBorders>
            <w:shd w:val="clear" w:color="auto" w:fill="auto"/>
            <w:noWrap/>
            <w:vAlign w:val="center"/>
            <w:hideMark/>
          </w:tcPr>
          <w:p w14:paraId="6C047BFD" w14:textId="0ADFB6AA" w:rsidR="008D4720" w:rsidRPr="009548D7" w:rsidRDefault="009E7FA9" w:rsidP="009E7FA9">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8D4720" w:rsidRPr="009548D7">
              <w:rPr>
                <w:rFonts w:ascii="Arial Narrow" w:eastAsia="Times New Roman" w:hAnsi="Arial Narrow" w:cs="Arial"/>
                <w:sz w:val="16"/>
                <w:szCs w:val="16"/>
                <w:lang w:eastAsia="pt-BR"/>
              </w:rPr>
              <w:t>Demais Obrigações a Curto Prazo</w:t>
            </w:r>
          </w:p>
        </w:tc>
        <w:tc>
          <w:tcPr>
            <w:tcW w:w="775" w:type="dxa"/>
            <w:tcBorders>
              <w:top w:val="nil"/>
              <w:bottom w:val="nil"/>
              <w:right w:val="single" w:sz="8" w:space="0" w:color="auto"/>
            </w:tcBorders>
            <w:shd w:val="clear" w:color="auto" w:fill="auto"/>
            <w:noWrap/>
            <w:vAlign w:val="center"/>
          </w:tcPr>
          <w:p w14:paraId="03158E8D" w14:textId="77777777" w:rsidR="008D4720" w:rsidRPr="009548D7" w:rsidRDefault="008D4720" w:rsidP="008D4720">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6D0A7197" w14:textId="77777777" w:rsidR="008D4720" w:rsidRPr="009548D7" w:rsidRDefault="008D4720" w:rsidP="008D4720">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BPA.H025</w:t>
            </w:r>
          </w:p>
        </w:tc>
        <w:tc>
          <w:tcPr>
            <w:tcW w:w="1420" w:type="dxa"/>
            <w:tcBorders>
              <w:top w:val="nil"/>
              <w:left w:val="nil"/>
              <w:bottom w:val="nil"/>
              <w:right w:val="single" w:sz="8" w:space="0" w:color="auto"/>
            </w:tcBorders>
            <w:shd w:val="clear" w:color="auto" w:fill="auto"/>
            <w:noWrap/>
            <w:vAlign w:val="center"/>
            <w:hideMark/>
          </w:tcPr>
          <w:p w14:paraId="44B49ACE" w14:textId="77777777" w:rsidR="008D4720" w:rsidRPr="009548D7" w:rsidRDefault="008D4720" w:rsidP="008D4720">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BPA.I025</w:t>
            </w:r>
          </w:p>
        </w:tc>
      </w:tr>
      <w:tr w:rsidR="008D4720" w:rsidRPr="009548D7" w14:paraId="6E656B34" w14:textId="77777777" w:rsidTr="00A9732C">
        <w:trPr>
          <w:trHeight w:val="255"/>
        </w:trPr>
        <w:tc>
          <w:tcPr>
            <w:tcW w:w="4410" w:type="dxa"/>
            <w:tcBorders>
              <w:top w:val="nil"/>
              <w:left w:val="single" w:sz="8" w:space="0" w:color="auto"/>
              <w:bottom w:val="nil"/>
            </w:tcBorders>
            <w:shd w:val="clear" w:color="auto" w:fill="auto"/>
            <w:noWrap/>
            <w:vAlign w:val="center"/>
            <w:hideMark/>
          </w:tcPr>
          <w:p w14:paraId="232853EC" w14:textId="77777777" w:rsidR="008D4720" w:rsidRPr="009548D7" w:rsidRDefault="008D4720" w:rsidP="008D4720">
            <w:pPr>
              <w:spacing w:after="0" w:line="240" w:lineRule="auto"/>
              <w:rPr>
                <w:rFonts w:ascii="Arial Narrow" w:eastAsia="Times New Roman" w:hAnsi="Arial Narrow" w:cs="Arial"/>
                <w:color w:val="0070C0"/>
                <w:sz w:val="16"/>
                <w:szCs w:val="16"/>
                <w:lang w:eastAsia="pt-BR"/>
              </w:rPr>
            </w:pPr>
            <w:r w:rsidRPr="009548D7">
              <w:rPr>
                <w:rFonts w:ascii="Arial Narrow" w:eastAsia="Times New Roman" w:hAnsi="Arial Narrow" w:cs="Arial"/>
                <w:color w:val="0070C0"/>
                <w:sz w:val="16"/>
                <w:szCs w:val="16"/>
                <w:lang w:eastAsia="pt-BR"/>
              </w:rPr>
              <w:t> </w:t>
            </w:r>
          </w:p>
        </w:tc>
        <w:tc>
          <w:tcPr>
            <w:tcW w:w="767" w:type="dxa"/>
            <w:tcBorders>
              <w:top w:val="nil"/>
              <w:bottom w:val="nil"/>
              <w:right w:val="single" w:sz="4" w:space="0" w:color="auto"/>
            </w:tcBorders>
            <w:shd w:val="clear" w:color="auto" w:fill="auto"/>
            <w:noWrap/>
            <w:vAlign w:val="center"/>
          </w:tcPr>
          <w:p w14:paraId="5D283C1B" w14:textId="77777777" w:rsidR="008D4720" w:rsidRPr="009548D7" w:rsidRDefault="008D4720" w:rsidP="008D4720">
            <w:pPr>
              <w:spacing w:after="0" w:line="240" w:lineRule="auto"/>
              <w:rPr>
                <w:rFonts w:ascii="Arial Narrow" w:eastAsia="Times New Roman" w:hAnsi="Arial Narrow" w:cs="Arial"/>
                <w:b/>
                <w:bCs/>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6B96BA90" w14:textId="77777777" w:rsidR="008D4720" w:rsidRPr="009548D7" w:rsidRDefault="008D4720" w:rsidP="008D4720">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w:t>
            </w:r>
          </w:p>
        </w:tc>
        <w:tc>
          <w:tcPr>
            <w:tcW w:w="1262" w:type="dxa"/>
            <w:tcBorders>
              <w:top w:val="nil"/>
              <w:left w:val="nil"/>
              <w:bottom w:val="nil"/>
              <w:right w:val="single" w:sz="8" w:space="0" w:color="auto"/>
            </w:tcBorders>
            <w:shd w:val="clear" w:color="auto" w:fill="auto"/>
            <w:noWrap/>
            <w:vAlign w:val="center"/>
            <w:hideMark/>
          </w:tcPr>
          <w:p w14:paraId="10800F97" w14:textId="77777777" w:rsidR="008D4720" w:rsidRPr="009548D7" w:rsidRDefault="008D4720" w:rsidP="008D4720">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w:t>
            </w:r>
          </w:p>
        </w:tc>
        <w:tc>
          <w:tcPr>
            <w:tcW w:w="4562" w:type="dxa"/>
            <w:tcBorders>
              <w:top w:val="nil"/>
              <w:left w:val="nil"/>
              <w:bottom w:val="nil"/>
            </w:tcBorders>
            <w:shd w:val="clear" w:color="auto" w:fill="auto"/>
            <w:noWrap/>
            <w:vAlign w:val="center"/>
            <w:hideMark/>
          </w:tcPr>
          <w:p w14:paraId="1BE2CF47" w14:textId="77777777" w:rsidR="008D4720" w:rsidRPr="009548D7" w:rsidRDefault="008D4720" w:rsidP="008D4720">
            <w:pPr>
              <w:spacing w:after="0" w:line="240" w:lineRule="auto"/>
              <w:rPr>
                <w:rFonts w:ascii="Arial Narrow" w:eastAsia="Times New Roman" w:hAnsi="Arial Narrow" w:cs="Arial"/>
                <w:color w:val="0070C0"/>
                <w:sz w:val="16"/>
                <w:szCs w:val="16"/>
                <w:lang w:eastAsia="pt-BR"/>
              </w:rPr>
            </w:pPr>
          </w:p>
        </w:tc>
        <w:tc>
          <w:tcPr>
            <w:tcW w:w="775" w:type="dxa"/>
            <w:tcBorders>
              <w:top w:val="nil"/>
              <w:bottom w:val="nil"/>
              <w:right w:val="single" w:sz="8" w:space="0" w:color="auto"/>
            </w:tcBorders>
            <w:shd w:val="clear" w:color="auto" w:fill="auto"/>
            <w:noWrap/>
            <w:vAlign w:val="center"/>
          </w:tcPr>
          <w:p w14:paraId="67368BD7" w14:textId="77777777" w:rsidR="008D4720" w:rsidRPr="009548D7" w:rsidRDefault="008D4720" w:rsidP="008D4720">
            <w:pPr>
              <w:spacing w:after="0" w:line="240" w:lineRule="auto"/>
              <w:rPr>
                <w:rFonts w:ascii="Arial Narrow" w:eastAsia="Times New Roman" w:hAnsi="Arial Narrow" w:cs="Arial"/>
                <w:b/>
                <w:bCs/>
                <w:sz w:val="16"/>
                <w:szCs w:val="16"/>
                <w:lang w:eastAsia="pt-BR"/>
              </w:rPr>
            </w:pPr>
          </w:p>
        </w:tc>
        <w:tc>
          <w:tcPr>
            <w:tcW w:w="1063" w:type="dxa"/>
            <w:tcBorders>
              <w:top w:val="nil"/>
              <w:left w:val="nil"/>
              <w:bottom w:val="nil"/>
              <w:right w:val="single" w:sz="8" w:space="0" w:color="auto"/>
            </w:tcBorders>
            <w:shd w:val="clear" w:color="000000" w:fill="FFFFFF"/>
            <w:noWrap/>
            <w:vAlign w:val="center"/>
            <w:hideMark/>
          </w:tcPr>
          <w:p w14:paraId="329FA806" w14:textId="77777777" w:rsidR="008D4720" w:rsidRPr="009548D7" w:rsidRDefault="008D4720" w:rsidP="008D4720">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w:t>
            </w:r>
          </w:p>
        </w:tc>
        <w:tc>
          <w:tcPr>
            <w:tcW w:w="1420" w:type="dxa"/>
            <w:tcBorders>
              <w:top w:val="nil"/>
              <w:left w:val="nil"/>
              <w:bottom w:val="nil"/>
              <w:right w:val="single" w:sz="8" w:space="0" w:color="auto"/>
            </w:tcBorders>
            <w:shd w:val="clear" w:color="000000" w:fill="FFFFFF"/>
            <w:noWrap/>
            <w:vAlign w:val="center"/>
            <w:hideMark/>
          </w:tcPr>
          <w:p w14:paraId="31FDBDC1" w14:textId="77777777" w:rsidR="008D4720" w:rsidRPr="009548D7" w:rsidRDefault="008D4720" w:rsidP="008D4720">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w:t>
            </w:r>
          </w:p>
        </w:tc>
      </w:tr>
      <w:tr w:rsidR="008D4720" w:rsidRPr="009548D7" w14:paraId="2801999F" w14:textId="77777777" w:rsidTr="00A9732C">
        <w:trPr>
          <w:trHeight w:val="255"/>
        </w:trPr>
        <w:tc>
          <w:tcPr>
            <w:tcW w:w="4410" w:type="dxa"/>
            <w:tcBorders>
              <w:top w:val="nil"/>
              <w:left w:val="single" w:sz="8" w:space="0" w:color="auto"/>
              <w:bottom w:val="nil"/>
            </w:tcBorders>
            <w:shd w:val="clear" w:color="auto" w:fill="auto"/>
            <w:noWrap/>
            <w:vAlign w:val="center"/>
            <w:hideMark/>
          </w:tcPr>
          <w:p w14:paraId="43CE9EC7" w14:textId="77777777" w:rsidR="008D4720" w:rsidRPr="009548D7" w:rsidRDefault="008D4720" w:rsidP="008D4720">
            <w:pPr>
              <w:spacing w:after="0" w:line="240" w:lineRule="auto"/>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ATIVO NÃO CIRCULANTE</w:t>
            </w:r>
          </w:p>
        </w:tc>
        <w:tc>
          <w:tcPr>
            <w:tcW w:w="767" w:type="dxa"/>
            <w:tcBorders>
              <w:top w:val="nil"/>
              <w:bottom w:val="nil"/>
              <w:right w:val="single" w:sz="4" w:space="0" w:color="auto"/>
            </w:tcBorders>
            <w:shd w:val="clear" w:color="auto" w:fill="auto"/>
            <w:noWrap/>
            <w:vAlign w:val="center"/>
          </w:tcPr>
          <w:p w14:paraId="68AE1FEB" w14:textId="77777777" w:rsidR="008D4720" w:rsidRPr="009548D7" w:rsidRDefault="008D4720" w:rsidP="008D4720">
            <w:pPr>
              <w:spacing w:after="0" w:line="240" w:lineRule="auto"/>
              <w:jc w:val="center"/>
              <w:rPr>
                <w:rFonts w:ascii="Arial Narrow" w:eastAsia="Times New Roman" w:hAnsi="Arial Narrow" w:cs="Arial"/>
                <w:b/>
                <w:bCs/>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7B0B5C39" w14:textId="77777777" w:rsidR="008D4720" w:rsidRPr="009548D7" w:rsidRDefault="008D4720" w:rsidP="008D4720">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BPA.D027</w:t>
            </w:r>
          </w:p>
        </w:tc>
        <w:tc>
          <w:tcPr>
            <w:tcW w:w="1262" w:type="dxa"/>
            <w:tcBorders>
              <w:top w:val="nil"/>
              <w:left w:val="nil"/>
              <w:bottom w:val="nil"/>
              <w:right w:val="single" w:sz="8" w:space="0" w:color="auto"/>
            </w:tcBorders>
            <w:shd w:val="clear" w:color="auto" w:fill="auto"/>
            <w:noWrap/>
            <w:vAlign w:val="center"/>
            <w:hideMark/>
          </w:tcPr>
          <w:p w14:paraId="7DDDFF73" w14:textId="77777777" w:rsidR="008D4720" w:rsidRPr="009548D7" w:rsidRDefault="008D4720" w:rsidP="008D4720">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BPA.E027</w:t>
            </w:r>
          </w:p>
        </w:tc>
        <w:tc>
          <w:tcPr>
            <w:tcW w:w="4562" w:type="dxa"/>
            <w:tcBorders>
              <w:top w:val="nil"/>
              <w:left w:val="nil"/>
              <w:bottom w:val="nil"/>
            </w:tcBorders>
            <w:shd w:val="clear" w:color="auto" w:fill="auto"/>
            <w:noWrap/>
            <w:vAlign w:val="center"/>
            <w:hideMark/>
          </w:tcPr>
          <w:p w14:paraId="489DCBA6" w14:textId="77777777" w:rsidR="008D4720" w:rsidRPr="009548D7" w:rsidRDefault="008D4720" w:rsidP="008D4720">
            <w:pPr>
              <w:spacing w:after="0" w:line="240" w:lineRule="auto"/>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PASSIVO NÃO-CIRCULANTE</w:t>
            </w:r>
          </w:p>
        </w:tc>
        <w:tc>
          <w:tcPr>
            <w:tcW w:w="775" w:type="dxa"/>
            <w:tcBorders>
              <w:top w:val="nil"/>
              <w:bottom w:val="nil"/>
              <w:right w:val="single" w:sz="8" w:space="0" w:color="auto"/>
            </w:tcBorders>
            <w:shd w:val="clear" w:color="auto" w:fill="auto"/>
            <w:noWrap/>
            <w:vAlign w:val="center"/>
          </w:tcPr>
          <w:p w14:paraId="689A764B" w14:textId="77777777" w:rsidR="008D4720" w:rsidRPr="009548D7" w:rsidRDefault="008D4720" w:rsidP="008D4720">
            <w:pPr>
              <w:spacing w:after="0" w:line="240" w:lineRule="auto"/>
              <w:jc w:val="center"/>
              <w:rPr>
                <w:rFonts w:ascii="Arial Narrow" w:eastAsia="Times New Roman" w:hAnsi="Arial Narrow" w:cs="Arial"/>
                <w:b/>
                <w:bCs/>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08B91708" w14:textId="77777777" w:rsidR="008D4720" w:rsidRPr="009548D7" w:rsidRDefault="008D4720" w:rsidP="008D4720">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BPA.H027</w:t>
            </w:r>
          </w:p>
        </w:tc>
        <w:tc>
          <w:tcPr>
            <w:tcW w:w="1420" w:type="dxa"/>
            <w:tcBorders>
              <w:top w:val="nil"/>
              <w:left w:val="nil"/>
              <w:bottom w:val="nil"/>
              <w:right w:val="single" w:sz="8" w:space="0" w:color="auto"/>
            </w:tcBorders>
            <w:shd w:val="clear" w:color="auto" w:fill="auto"/>
            <w:noWrap/>
            <w:vAlign w:val="center"/>
            <w:hideMark/>
          </w:tcPr>
          <w:p w14:paraId="3FB54414" w14:textId="77777777" w:rsidR="008D4720" w:rsidRPr="009548D7" w:rsidRDefault="008D4720" w:rsidP="008D4720">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BPA.I027</w:t>
            </w:r>
          </w:p>
        </w:tc>
      </w:tr>
      <w:tr w:rsidR="008D4720" w:rsidRPr="009548D7" w14:paraId="71BFF687" w14:textId="77777777" w:rsidTr="00A9732C">
        <w:trPr>
          <w:trHeight w:val="255"/>
        </w:trPr>
        <w:tc>
          <w:tcPr>
            <w:tcW w:w="4410" w:type="dxa"/>
            <w:tcBorders>
              <w:top w:val="nil"/>
              <w:left w:val="single" w:sz="8" w:space="0" w:color="auto"/>
              <w:bottom w:val="nil"/>
            </w:tcBorders>
            <w:shd w:val="clear" w:color="auto" w:fill="auto"/>
            <w:noWrap/>
            <w:vAlign w:val="center"/>
            <w:hideMark/>
          </w:tcPr>
          <w:p w14:paraId="606F20E2" w14:textId="77777777" w:rsidR="008D4720" w:rsidRPr="009548D7" w:rsidRDefault="008D4720" w:rsidP="008D4720">
            <w:pPr>
              <w:spacing w:after="0" w:line="240" w:lineRule="auto"/>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 </w:t>
            </w:r>
          </w:p>
        </w:tc>
        <w:tc>
          <w:tcPr>
            <w:tcW w:w="767" w:type="dxa"/>
            <w:tcBorders>
              <w:top w:val="nil"/>
              <w:bottom w:val="nil"/>
              <w:right w:val="single" w:sz="4" w:space="0" w:color="auto"/>
            </w:tcBorders>
            <w:shd w:val="clear" w:color="auto" w:fill="auto"/>
            <w:noWrap/>
            <w:vAlign w:val="center"/>
          </w:tcPr>
          <w:p w14:paraId="224D59D1" w14:textId="77777777" w:rsidR="008D4720" w:rsidRPr="009548D7" w:rsidRDefault="008D4720" w:rsidP="008D4720">
            <w:pPr>
              <w:spacing w:after="0" w:line="240" w:lineRule="auto"/>
              <w:jc w:val="center"/>
              <w:rPr>
                <w:rFonts w:ascii="Arial Narrow" w:eastAsia="Times New Roman" w:hAnsi="Arial Narrow" w:cs="Arial"/>
                <w:b/>
                <w:bCs/>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0C7B66FE" w14:textId="77777777" w:rsidR="008D4720" w:rsidRPr="009548D7" w:rsidRDefault="008D4720" w:rsidP="008D4720">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 </w:t>
            </w:r>
          </w:p>
        </w:tc>
        <w:tc>
          <w:tcPr>
            <w:tcW w:w="1262" w:type="dxa"/>
            <w:tcBorders>
              <w:top w:val="nil"/>
              <w:left w:val="nil"/>
              <w:bottom w:val="nil"/>
              <w:right w:val="single" w:sz="8" w:space="0" w:color="auto"/>
            </w:tcBorders>
            <w:shd w:val="clear" w:color="auto" w:fill="auto"/>
            <w:noWrap/>
            <w:vAlign w:val="center"/>
            <w:hideMark/>
          </w:tcPr>
          <w:p w14:paraId="752ADD5C" w14:textId="77777777" w:rsidR="008D4720" w:rsidRPr="009548D7" w:rsidRDefault="008D4720" w:rsidP="008D4720">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 </w:t>
            </w:r>
          </w:p>
        </w:tc>
        <w:tc>
          <w:tcPr>
            <w:tcW w:w="4562" w:type="dxa"/>
            <w:tcBorders>
              <w:top w:val="nil"/>
              <w:left w:val="nil"/>
              <w:bottom w:val="nil"/>
            </w:tcBorders>
            <w:shd w:val="clear" w:color="auto" w:fill="auto"/>
            <w:noWrap/>
            <w:vAlign w:val="center"/>
            <w:hideMark/>
          </w:tcPr>
          <w:p w14:paraId="087B1061" w14:textId="77777777" w:rsidR="008D4720" w:rsidRPr="009548D7" w:rsidRDefault="008D4720" w:rsidP="008D4720">
            <w:pPr>
              <w:spacing w:after="0" w:line="240" w:lineRule="auto"/>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 </w:t>
            </w:r>
          </w:p>
        </w:tc>
        <w:tc>
          <w:tcPr>
            <w:tcW w:w="775" w:type="dxa"/>
            <w:tcBorders>
              <w:top w:val="nil"/>
              <w:bottom w:val="nil"/>
              <w:right w:val="single" w:sz="8" w:space="0" w:color="auto"/>
            </w:tcBorders>
            <w:shd w:val="clear" w:color="000000" w:fill="FFFFFF"/>
            <w:noWrap/>
            <w:vAlign w:val="center"/>
          </w:tcPr>
          <w:p w14:paraId="743019C0" w14:textId="77777777" w:rsidR="008D4720" w:rsidRPr="009548D7" w:rsidRDefault="008D4720" w:rsidP="008D4720">
            <w:pPr>
              <w:spacing w:after="0" w:line="240" w:lineRule="auto"/>
              <w:ind w:firstLineChars="100" w:firstLine="160"/>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000000" w:fill="FFFFFF"/>
            <w:noWrap/>
            <w:vAlign w:val="center"/>
            <w:hideMark/>
          </w:tcPr>
          <w:p w14:paraId="7458C3A6" w14:textId="77777777" w:rsidR="008D4720" w:rsidRPr="009548D7" w:rsidRDefault="008D4720" w:rsidP="008D4720">
            <w:pPr>
              <w:spacing w:after="0" w:line="240" w:lineRule="auto"/>
              <w:ind w:firstLineChars="100" w:firstLine="16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w:t>
            </w:r>
          </w:p>
        </w:tc>
        <w:tc>
          <w:tcPr>
            <w:tcW w:w="1420" w:type="dxa"/>
            <w:tcBorders>
              <w:top w:val="nil"/>
              <w:left w:val="nil"/>
              <w:bottom w:val="nil"/>
              <w:right w:val="single" w:sz="8" w:space="0" w:color="auto"/>
            </w:tcBorders>
            <w:shd w:val="clear" w:color="000000" w:fill="FFFFFF"/>
            <w:noWrap/>
            <w:vAlign w:val="center"/>
            <w:hideMark/>
          </w:tcPr>
          <w:p w14:paraId="0C569C89" w14:textId="77777777" w:rsidR="008D4720" w:rsidRPr="009548D7" w:rsidRDefault="008D4720" w:rsidP="008D4720">
            <w:pPr>
              <w:spacing w:after="0" w:line="240" w:lineRule="auto"/>
              <w:ind w:firstLineChars="100" w:firstLine="16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w:t>
            </w:r>
          </w:p>
        </w:tc>
      </w:tr>
      <w:tr w:rsidR="009E7FA9" w:rsidRPr="009548D7" w14:paraId="6B1C5E37" w14:textId="77777777" w:rsidTr="002936F7">
        <w:trPr>
          <w:trHeight w:val="255"/>
        </w:trPr>
        <w:tc>
          <w:tcPr>
            <w:tcW w:w="4410" w:type="dxa"/>
            <w:tcBorders>
              <w:top w:val="nil"/>
              <w:left w:val="single" w:sz="8" w:space="0" w:color="auto"/>
              <w:bottom w:val="nil"/>
            </w:tcBorders>
            <w:shd w:val="clear" w:color="auto" w:fill="auto"/>
            <w:noWrap/>
            <w:vAlign w:val="center"/>
            <w:hideMark/>
          </w:tcPr>
          <w:p w14:paraId="6C61932C" w14:textId="77777777" w:rsidR="009E7FA9" w:rsidRPr="009548D7" w:rsidRDefault="009E7FA9" w:rsidP="008D4720">
            <w:pPr>
              <w:spacing w:after="0" w:line="240" w:lineRule="auto"/>
              <w:ind w:firstLineChars="100" w:firstLine="161"/>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Ativo Realizável a Longo Prazo</w:t>
            </w:r>
          </w:p>
        </w:tc>
        <w:tc>
          <w:tcPr>
            <w:tcW w:w="767" w:type="dxa"/>
            <w:tcBorders>
              <w:top w:val="nil"/>
              <w:bottom w:val="nil"/>
              <w:right w:val="single" w:sz="4" w:space="0" w:color="auto"/>
            </w:tcBorders>
            <w:shd w:val="clear" w:color="auto" w:fill="auto"/>
            <w:noWrap/>
            <w:vAlign w:val="center"/>
          </w:tcPr>
          <w:p w14:paraId="7658022E" w14:textId="77777777" w:rsidR="009E7FA9" w:rsidRPr="009548D7" w:rsidRDefault="009E7FA9" w:rsidP="008D4720">
            <w:pPr>
              <w:spacing w:after="0" w:line="240" w:lineRule="auto"/>
              <w:jc w:val="center"/>
              <w:rPr>
                <w:rFonts w:ascii="Arial Narrow" w:eastAsia="Times New Roman" w:hAnsi="Arial Narrow" w:cs="Arial"/>
                <w:b/>
                <w:bCs/>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2958A103" w14:textId="77777777" w:rsidR="009E7FA9" w:rsidRPr="009548D7" w:rsidRDefault="009E7FA9" w:rsidP="008D4720">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BPA.D029</w:t>
            </w:r>
          </w:p>
        </w:tc>
        <w:tc>
          <w:tcPr>
            <w:tcW w:w="1262" w:type="dxa"/>
            <w:tcBorders>
              <w:top w:val="nil"/>
              <w:left w:val="nil"/>
              <w:bottom w:val="nil"/>
              <w:right w:val="single" w:sz="8" w:space="0" w:color="auto"/>
            </w:tcBorders>
            <w:shd w:val="clear" w:color="auto" w:fill="auto"/>
            <w:noWrap/>
            <w:vAlign w:val="center"/>
            <w:hideMark/>
          </w:tcPr>
          <w:p w14:paraId="4825C522" w14:textId="77777777" w:rsidR="009E7FA9" w:rsidRPr="009548D7" w:rsidRDefault="009E7FA9" w:rsidP="008D4720">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BPA.E029</w:t>
            </w:r>
          </w:p>
        </w:tc>
        <w:tc>
          <w:tcPr>
            <w:tcW w:w="5337" w:type="dxa"/>
            <w:gridSpan w:val="2"/>
            <w:tcBorders>
              <w:top w:val="nil"/>
              <w:left w:val="nil"/>
              <w:bottom w:val="nil"/>
              <w:right w:val="single" w:sz="8" w:space="0" w:color="auto"/>
            </w:tcBorders>
            <w:shd w:val="clear" w:color="000000" w:fill="FFFFFF"/>
            <w:noWrap/>
            <w:vAlign w:val="center"/>
            <w:hideMark/>
          </w:tcPr>
          <w:p w14:paraId="1E8C55BE" w14:textId="68038F4B" w:rsidR="009E7FA9" w:rsidRPr="009548D7" w:rsidRDefault="009E7FA9" w:rsidP="009E7FA9">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Pr="009548D7">
              <w:rPr>
                <w:rFonts w:ascii="Arial Narrow" w:eastAsia="Times New Roman" w:hAnsi="Arial Narrow" w:cs="Arial"/>
                <w:sz w:val="16"/>
                <w:szCs w:val="16"/>
                <w:lang w:eastAsia="pt-BR"/>
              </w:rPr>
              <w:t>Obrigações Trabalhistas, Previdenciárias e Asssitenciais a Pagar a Longo Prazo</w:t>
            </w:r>
          </w:p>
        </w:tc>
        <w:tc>
          <w:tcPr>
            <w:tcW w:w="1063" w:type="dxa"/>
            <w:tcBorders>
              <w:top w:val="nil"/>
              <w:left w:val="nil"/>
              <w:bottom w:val="nil"/>
              <w:right w:val="single" w:sz="8" w:space="0" w:color="auto"/>
            </w:tcBorders>
            <w:shd w:val="clear" w:color="auto" w:fill="auto"/>
            <w:noWrap/>
            <w:vAlign w:val="center"/>
            <w:hideMark/>
          </w:tcPr>
          <w:p w14:paraId="08C2105A" w14:textId="77777777" w:rsidR="009E7FA9" w:rsidRPr="009548D7" w:rsidRDefault="009E7FA9" w:rsidP="008D4720">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BPA.H029</w:t>
            </w:r>
          </w:p>
        </w:tc>
        <w:tc>
          <w:tcPr>
            <w:tcW w:w="1420" w:type="dxa"/>
            <w:tcBorders>
              <w:top w:val="nil"/>
              <w:left w:val="nil"/>
              <w:bottom w:val="nil"/>
              <w:right w:val="single" w:sz="8" w:space="0" w:color="auto"/>
            </w:tcBorders>
            <w:shd w:val="clear" w:color="auto" w:fill="auto"/>
            <w:noWrap/>
            <w:vAlign w:val="center"/>
            <w:hideMark/>
          </w:tcPr>
          <w:p w14:paraId="17F9F443" w14:textId="77777777" w:rsidR="009E7FA9" w:rsidRPr="009548D7" w:rsidRDefault="009E7FA9" w:rsidP="008D4720">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BPA.I029</w:t>
            </w:r>
          </w:p>
        </w:tc>
      </w:tr>
      <w:tr w:rsidR="008D4720" w:rsidRPr="009548D7" w14:paraId="4BB232C1" w14:textId="77777777" w:rsidTr="00A9732C">
        <w:trPr>
          <w:trHeight w:val="255"/>
        </w:trPr>
        <w:tc>
          <w:tcPr>
            <w:tcW w:w="4410" w:type="dxa"/>
            <w:tcBorders>
              <w:top w:val="nil"/>
              <w:left w:val="single" w:sz="8" w:space="0" w:color="auto"/>
              <w:bottom w:val="nil"/>
            </w:tcBorders>
            <w:shd w:val="clear" w:color="auto" w:fill="auto"/>
            <w:noWrap/>
            <w:vAlign w:val="center"/>
            <w:hideMark/>
          </w:tcPr>
          <w:p w14:paraId="3A5766CE" w14:textId="77777777" w:rsidR="008D4720" w:rsidRPr="009548D7" w:rsidRDefault="008D4720" w:rsidP="008D4720">
            <w:pPr>
              <w:spacing w:after="0" w:line="240" w:lineRule="auto"/>
              <w:ind w:firstLineChars="200" w:firstLine="32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Créditos a Longo Prazo</w:t>
            </w:r>
          </w:p>
        </w:tc>
        <w:tc>
          <w:tcPr>
            <w:tcW w:w="767" w:type="dxa"/>
            <w:tcBorders>
              <w:top w:val="nil"/>
              <w:bottom w:val="nil"/>
              <w:right w:val="single" w:sz="4" w:space="0" w:color="auto"/>
            </w:tcBorders>
            <w:shd w:val="clear" w:color="auto" w:fill="auto"/>
            <w:noWrap/>
            <w:vAlign w:val="center"/>
          </w:tcPr>
          <w:p w14:paraId="460FCC5F" w14:textId="77777777" w:rsidR="008D4720" w:rsidRPr="009548D7" w:rsidRDefault="008D4720" w:rsidP="008D4720">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672022B0" w14:textId="77777777" w:rsidR="008D4720" w:rsidRPr="009548D7" w:rsidRDefault="008D4720" w:rsidP="008D4720">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BPA.D030</w:t>
            </w:r>
          </w:p>
        </w:tc>
        <w:tc>
          <w:tcPr>
            <w:tcW w:w="1262" w:type="dxa"/>
            <w:tcBorders>
              <w:top w:val="nil"/>
              <w:left w:val="nil"/>
              <w:bottom w:val="nil"/>
              <w:right w:val="single" w:sz="8" w:space="0" w:color="auto"/>
            </w:tcBorders>
            <w:shd w:val="clear" w:color="auto" w:fill="auto"/>
            <w:noWrap/>
            <w:vAlign w:val="center"/>
            <w:hideMark/>
          </w:tcPr>
          <w:p w14:paraId="56DFB365" w14:textId="77777777" w:rsidR="008D4720" w:rsidRPr="009548D7" w:rsidRDefault="008D4720" w:rsidP="008D4720">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BPA.E030</w:t>
            </w:r>
          </w:p>
        </w:tc>
        <w:tc>
          <w:tcPr>
            <w:tcW w:w="4562" w:type="dxa"/>
            <w:tcBorders>
              <w:top w:val="nil"/>
              <w:left w:val="nil"/>
              <w:bottom w:val="nil"/>
            </w:tcBorders>
            <w:shd w:val="clear" w:color="000000" w:fill="FFFFFF"/>
            <w:noWrap/>
            <w:vAlign w:val="center"/>
            <w:hideMark/>
          </w:tcPr>
          <w:p w14:paraId="5EF21463" w14:textId="7A85F4D0" w:rsidR="008D4720" w:rsidRPr="009548D7" w:rsidRDefault="009E7FA9" w:rsidP="009E7FA9">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8D4720" w:rsidRPr="009548D7">
              <w:rPr>
                <w:rFonts w:ascii="Arial Narrow" w:eastAsia="Times New Roman" w:hAnsi="Arial Narrow" w:cs="Arial"/>
                <w:sz w:val="16"/>
                <w:szCs w:val="16"/>
                <w:lang w:eastAsia="pt-BR"/>
              </w:rPr>
              <w:t>Pessoal a Pagar</w:t>
            </w:r>
          </w:p>
        </w:tc>
        <w:tc>
          <w:tcPr>
            <w:tcW w:w="775" w:type="dxa"/>
            <w:tcBorders>
              <w:top w:val="nil"/>
              <w:bottom w:val="nil"/>
              <w:right w:val="single" w:sz="8" w:space="0" w:color="auto"/>
            </w:tcBorders>
            <w:shd w:val="clear" w:color="auto" w:fill="auto"/>
            <w:noWrap/>
            <w:vAlign w:val="center"/>
          </w:tcPr>
          <w:p w14:paraId="08050CFC" w14:textId="77777777" w:rsidR="008D4720" w:rsidRPr="009548D7" w:rsidRDefault="008D4720" w:rsidP="008D4720">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44CFCC0E" w14:textId="77777777" w:rsidR="008D4720" w:rsidRPr="009548D7" w:rsidRDefault="008D4720" w:rsidP="008D4720">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BPA.H030</w:t>
            </w:r>
          </w:p>
        </w:tc>
        <w:tc>
          <w:tcPr>
            <w:tcW w:w="1420" w:type="dxa"/>
            <w:tcBorders>
              <w:top w:val="nil"/>
              <w:left w:val="nil"/>
              <w:bottom w:val="nil"/>
              <w:right w:val="single" w:sz="8" w:space="0" w:color="auto"/>
            </w:tcBorders>
            <w:shd w:val="clear" w:color="auto" w:fill="auto"/>
            <w:noWrap/>
            <w:vAlign w:val="center"/>
            <w:hideMark/>
          </w:tcPr>
          <w:p w14:paraId="72D40AE0" w14:textId="77777777" w:rsidR="008D4720" w:rsidRPr="009548D7" w:rsidRDefault="008D4720" w:rsidP="008D4720">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BPA.I030</w:t>
            </w:r>
          </w:p>
        </w:tc>
      </w:tr>
      <w:tr w:rsidR="008D4720" w:rsidRPr="009548D7" w14:paraId="0B11DD9F" w14:textId="77777777" w:rsidTr="00A9732C">
        <w:trPr>
          <w:trHeight w:val="255"/>
        </w:trPr>
        <w:tc>
          <w:tcPr>
            <w:tcW w:w="4410" w:type="dxa"/>
            <w:tcBorders>
              <w:top w:val="nil"/>
              <w:left w:val="single" w:sz="8" w:space="0" w:color="auto"/>
              <w:bottom w:val="nil"/>
            </w:tcBorders>
            <w:shd w:val="clear" w:color="auto" w:fill="auto"/>
            <w:noWrap/>
            <w:vAlign w:val="center"/>
            <w:hideMark/>
          </w:tcPr>
          <w:p w14:paraId="0E51E7DD" w14:textId="77777777" w:rsidR="008D4720" w:rsidRPr="009548D7" w:rsidRDefault="008D4720" w:rsidP="008D4720">
            <w:pPr>
              <w:spacing w:after="0" w:line="240" w:lineRule="auto"/>
              <w:ind w:firstLineChars="300" w:firstLine="48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Créditos Tributários a Receber</w:t>
            </w:r>
          </w:p>
        </w:tc>
        <w:tc>
          <w:tcPr>
            <w:tcW w:w="767" w:type="dxa"/>
            <w:tcBorders>
              <w:top w:val="nil"/>
              <w:bottom w:val="nil"/>
              <w:right w:val="single" w:sz="4" w:space="0" w:color="auto"/>
            </w:tcBorders>
            <w:shd w:val="clear" w:color="auto" w:fill="auto"/>
            <w:noWrap/>
            <w:vAlign w:val="center"/>
          </w:tcPr>
          <w:p w14:paraId="7738C347" w14:textId="77777777" w:rsidR="008D4720" w:rsidRPr="009548D7" w:rsidRDefault="008D4720" w:rsidP="008D4720">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57A86B42" w14:textId="77777777" w:rsidR="008D4720" w:rsidRPr="009548D7" w:rsidRDefault="008D4720" w:rsidP="008D4720">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BPA.D031</w:t>
            </w:r>
          </w:p>
        </w:tc>
        <w:tc>
          <w:tcPr>
            <w:tcW w:w="1262" w:type="dxa"/>
            <w:tcBorders>
              <w:top w:val="nil"/>
              <w:left w:val="nil"/>
              <w:bottom w:val="nil"/>
              <w:right w:val="single" w:sz="8" w:space="0" w:color="auto"/>
            </w:tcBorders>
            <w:shd w:val="clear" w:color="auto" w:fill="auto"/>
            <w:noWrap/>
            <w:vAlign w:val="center"/>
            <w:hideMark/>
          </w:tcPr>
          <w:p w14:paraId="7327B58A" w14:textId="77777777" w:rsidR="008D4720" w:rsidRPr="009548D7" w:rsidRDefault="008D4720" w:rsidP="008D4720">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BPA.E031</w:t>
            </w:r>
          </w:p>
        </w:tc>
        <w:tc>
          <w:tcPr>
            <w:tcW w:w="4562" w:type="dxa"/>
            <w:tcBorders>
              <w:top w:val="nil"/>
              <w:left w:val="nil"/>
              <w:bottom w:val="nil"/>
            </w:tcBorders>
            <w:shd w:val="clear" w:color="000000" w:fill="FFFFFF"/>
            <w:noWrap/>
            <w:vAlign w:val="center"/>
            <w:hideMark/>
          </w:tcPr>
          <w:p w14:paraId="556C64EB" w14:textId="5CE24EB9" w:rsidR="008D4720" w:rsidRPr="009548D7" w:rsidRDefault="009E7FA9" w:rsidP="009E7FA9">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8D4720" w:rsidRPr="009548D7">
              <w:rPr>
                <w:rFonts w:ascii="Arial Narrow" w:eastAsia="Times New Roman" w:hAnsi="Arial Narrow" w:cs="Arial"/>
                <w:sz w:val="16"/>
                <w:szCs w:val="16"/>
                <w:lang w:eastAsia="pt-BR"/>
              </w:rPr>
              <w:t>Benefícios Previdenciários a Pagar</w:t>
            </w:r>
          </w:p>
        </w:tc>
        <w:tc>
          <w:tcPr>
            <w:tcW w:w="775" w:type="dxa"/>
            <w:tcBorders>
              <w:top w:val="nil"/>
              <w:bottom w:val="nil"/>
              <w:right w:val="single" w:sz="8" w:space="0" w:color="auto"/>
            </w:tcBorders>
            <w:shd w:val="clear" w:color="auto" w:fill="auto"/>
            <w:noWrap/>
            <w:vAlign w:val="center"/>
          </w:tcPr>
          <w:p w14:paraId="3A6879E4" w14:textId="77777777" w:rsidR="008D4720" w:rsidRPr="009548D7" w:rsidRDefault="008D4720" w:rsidP="008D4720">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5518F698" w14:textId="77777777" w:rsidR="008D4720" w:rsidRPr="009548D7" w:rsidRDefault="008D4720" w:rsidP="008D4720">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BPA.H031</w:t>
            </w:r>
          </w:p>
        </w:tc>
        <w:tc>
          <w:tcPr>
            <w:tcW w:w="1420" w:type="dxa"/>
            <w:tcBorders>
              <w:top w:val="nil"/>
              <w:left w:val="nil"/>
              <w:bottom w:val="nil"/>
              <w:right w:val="single" w:sz="8" w:space="0" w:color="auto"/>
            </w:tcBorders>
            <w:shd w:val="clear" w:color="auto" w:fill="auto"/>
            <w:noWrap/>
            <w:vAlign w:val="center"/>
            <w:hideMark/>
          </w:tcPr>
          <w:p w14:paraId="39B90C19" w14:textId="77777777" w:rsidR="008D4720" w:rsidRPr="009548D7" w:rsidRDefault="008D4720" w:rsidP="008D4720">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BPA.I031</w:t>
            </w:r>
          </w:p>
        </w:tc>
      </w:tr>
      <w:tr w:rsidR="008D4720" w:rsidRPr="009548D7" w14:paraId="6D2DE092" w14:textId="77777777" w:rsidTr="00A9732C">
        <w:trPr>
          <w:trHeight w:val="255"/>
        </w:trPr>
        <w:tc>
          <w:tcPr>
            <w:tcW w:w="4410" w:type="dxa"/>
            <w:tcBorders>
              <w:top w:val="nil"/>
              <w:left w:val="single" w:sz="8" w:space="0" w:color="auto"/>
              <w:bottom w:val="nil"/>
            </w:tcBorders>
            <w:shd w:val="clear" w:color="auto" w:fill="auto"/>
            <w:noWrap/>
            <w:vAlign w:val="center"/>
            <w:hideMark/>
          </w:tcPr>
          <w:p w14:paraId="476FDBA0" w14:textId="77777777" w:rsidR="008D4720" w:rsidRPr="009548D7" w:rsidRDefault="008D4720" w:rsidP="008D4720">
            <w:pPr>
              <w:spacing w:after="0" w:line="240" w:lineRule="auto"/>
              <w:ind w:firstLineChars="300" w:firstLine="48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Clientes</w:t>
            </w:r>
          </w:p>
        </w:tc>
        <w:tc>
          <w:tcPr>
            <w:tcW w:w="767" w:type="dxa"/>
            <w:tcBorders>
              <w:top w:val="nil"/>
              <w:bottom w:val="nil"/>
              <w:right w:val="single" w:sz="4" w:space="0" w:color="auto"/>
            </w:tcBorders>
            <w:shd w:val="clear" w:color="auto" w:fill="auto"/>
            <w:noWrap/>
            <w:vAlign w:val="center"/>
          </w:tcPr>
          <w:p w14:paraId="2949722D" w14:textId="77777777" w:rsidR="008D4720" w:rsidRPr="009548D7" w:rsidRDefault="008D4720" w:rsidP="008D4720">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01ADF527" w14:textId="77777777" w:rsidR="008D4720" w:rsidRPr="009548D7" w:rsidRDefault="008D4720" w:rsidP="008D4720">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BPA.D032</w:t>
            </w:r>
          </w:p>
        </w:tc>
        <w:tc>
          <w:tcPr>
            <w:tcW w:w="1262" w:type="dxa"/>
            <w:tcBorders>
              <w:top w:val="nil"/>
              <w:left w:val="nil"/>
              <w:bottom w:val="nil"/>
              <w:right w:val="single" w:sz="8" w:space="0" w:color="auto"/>
            </w:tcBorders>
            <w:shd w:val="clear" w:color="auto" w:fill="auto"/>
            <w:noWrap/>
            <w:vAlign w:val="center"/>
            <w:hideMark/>
          </w:tcPr>
          <w:p w14:paraId="09A2939E" w14:textId="77777777" w:rsidR="008D4720" w:rsidRPr="009548D7" w:rsidRDefault="008D4720" w:rsidP="008D4720">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BPA.E032</w:t>
            </w:r>
          </w:p>
        </w:tc>
        <w:tc>
          <w:tcPr>
            <w:tcW w:w="4562" w:type="dxa"/>
            <w:tcBorders>
              <w:top w:val="nil"/>
              <w:left w:val="nil"/>
              <w:bottom w:val="nil"/>
            </w:tcBorders>
            <w:shd w:val="clear" w:color="000000" w:fill="FFFFFF"/>
            <w:noWrap/>
            <w:vAlign w:val="center"/>
            <w:hideMark/>
          </w:tcPr>
          <w:p w14:paraId="3D05BB97" w14:textId="2D245BC2" w:rsidR="008D4720" w:rsidRPr="009548D7" w:rsidRDefault="009E7FA9" w:rsidP="009E7FA9">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8D4720" w:rsidRPr="009548D7">
              <w:rPr>
                <w:rFonts w:ascii="Arial Narrow" w:eastAsia="Times New Roman" w:hAnsi="Arial Narrow" w:cs="Arial"/>
                <w:sz w:val="16"/>
                <w:szCs w:val="16"/>
                <w:lang w:eastAsia="pt-BR"/>
              </w:rPr>
              <w:t>Benefícios Assistenciais a Pagar</w:t>
            </w:r>
          </w:p>
        </w:tc>
        <w:tc>
          <w:tcPr>
            <w:tcW w:w="775" w:type="dxa"/>
            <w:tcBorders>
              <w:top w:val="nil"/>
              <w:bottom w:val="nil"/>
              <w:right w:val="single" w:sz="8" w:space="0" w:color="auto"/>
            </w:tcBorders>
            <w:shd w:val="clear" w:color="auto" w:fill="auto"/>
            <w:noWrap/>
            <w:vAlign w:val="center"/>
          </w:tcPr>
          <w:p w14:paraId="1FFA5A41" w14:textId="77777777" w:rsidR="008D4720" w:rsidRPr="009548D7" w:rsidRDefault="008D4720" w:rsidP="008D4720">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626521F7" w14:textId="77777777" w:rsidR="008D4720" w:rsidRPr="009548D7" w:rsidRDefault="008D4720" w:rsidP="008D4720">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BPA.H032</w:t>
            </w:r>
          </w:p>
        </w:tc>
        <w:tc>
          <w:tcPr>
            <w:tcW w:w="1420" w:type="dxa"/>
            <w:tcBorders>
              <w:top w:val="nil"/>
              <w:left w:val="nil"/>
              <w:bottom w:val="nil"/>
              <w:right w:val="single" w:sz="8" w:space="0" w:color="auto"/>
            </w:tcBorders>
            <w:shd w:val="clear" w:color="auto" w:fill="auto"/>
            <w:noWrap/>
            <w:vAlign w:val="center"/>
            <w:hideMark/>
          </w:tcPr>
          <w:p w14:paraId="5CD4DCF7" w14:textId="77777777" w:rsidR="008D4720" w:rsidRPr="009548D7" w:rsidRDefault="008D4720" w:rsidP="008D4720">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BPA.I032</w:t>
            </w:r>
          </w:p>
        </w:tc>
      </w:tr>
      <w:tr w:rsidR="008D4720" w:rsidRPr="009548D7" w14:paraId="3FDABDBB" w14:textId="77777777" w:rsidTr="00A9732C">
        <w:trPr>
          <w:trHeight w:val="255"/>
        </w:trPr>
        <w:tc>
          <w:tcPr>
            <w:tcW w:w="4410" w:type="dxa"/>
            <w:tcBorders>
              <w:top w:val="nil"/>
              <w:left w:val="single" w:sz="8" w:space="0" w:color="auto"/>
            </w:tcBorders>
            <w:shd w:val="clear" w:color="auto" w:fill="auto"/>
            <w:noWrap/>
            <w:vAlign w:val="center"/>
            <w:hideMark/>
          </w:tcPr>
          <w:p w14:paraId="140D3003" w14:textId="77777777" w:rsidR="008D4720" w:rsidRPr="009548D7" w:rsidRDefault="008D4720" w:rsidP="008D4720">
            <w:pPr>
              <w:spacing w:after="0" w:line="240" w:lineRule="auto"/>
              <w:ind w:firstLineChars="300" w:firstLine="48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lastRenderedPageBreak/>
              <w:t>Empréstimos e Financiamentos Concedidos</w:t>
            </w:r>
          </w:p>
        </w:tc>
        <w:tc>
          <w:tcPr>
            <w:tcW w:w="767" w:type="dxa"/>
            <w:tcBorders>
              <w:top w:val="nil"/>
              <w:right w:val="single" w:sz="4" w:space="0" w:color="auto"/>
            </w:tcBorders>
            <w:shd w:val="clear" w:color="auto" w:fill="auto"/>
            <w:noWrap/>
            <w:vAlign w:val="center"/>
          </w:tcPr>
          <w:p w14:paraId="58F79704" w14:textId="77777777" w:rsidR="008D4720" w:rsidRPr="009548D7" w:rsidRDefault="008D4720" w:rsidP="008D4720">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right w:val="single" w:sz="8" w:space="0" w:color="auto"/>
            </w:tcBorders>
            <w:shd w:val="clear" w:color="auto" w:fill="auto"/>
            <w:noWrap/>
            <w:vAlign w:val="center"/>
            <w:hideMark/>
          </w:tcPr>
          <w:p w14:paraId="2D694993" w14:textId="77777777" w:rsidR="008D4720" w:rsidRPr="009548D7" w:rsidRDefault="008D4720" w:rsidP="008D4720">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BPA.D033</w:t>
            </w:r>
          </w:p>
        </w:tc>
        <w:tc>
          <w:tcPr>
            <w:tcW w:w="1262" w:type="dxa"/>
            <w:tcBorders>
              <w:top w:val="nil"/>
              <w:left w:val="nil"/>
              <w:right w:val="single" w:sz="8" w:space="0" w:color="auto"/>
            </w:tcBorders>
            <w:shd w:val="clear" w:color="auto" w:fill="auto"/>
            <w:noWrap/>
            <w:vAlign w:val="center"/>
            <w:hideMark/>
          </w:tcPr>
          <w:p w14:paraId="3B384D11" w14:textId="77777777" w:rsidR="008D4720" w:rsidRPr="009548D7" w:rsidRDefault="008D4720" w:rsidP="008D4720">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BPA.E033</w:t>
            </w:r>
          </w:p>
        </w:tc>
        <w:tc>
          <w:tcPr>
            <w:tcW w:w="4562" w:type="dxa"/>
            <w:tcBorders>
              <w:top w:val="nil"/>
              <w:left w:val="nil"/>
            </w:tcBorders>
            <w:shd w:val="clear" w:color="000000" w:fill="FFFFFF"/>
            <w:noWrap/>
            <w:vAlign w:val="center"/>
            <w:hideMark/>
          </w:tcPr>
          <w:p w14:paraId="79F155A5" w14:textId="03B3C136" w:rsidR="008D4720" w:rsidRPr="009548D7" w:rsidRDefault="009E7FA9" w:rsidP="009E7FA9">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8D4720" w:rsidRPr="009548D7">
              <w:rPr>
                <w:rFonts w:ascii="Arial Narrow" w:eastAsia="Times New Roman" w:hAnsi="Arial Narrow" w:cs="Arial"/>
                <w:sz w:val="16"/>
                <w:szCs w:val="16"/>
                <w:lang w:eastAsia="pt-BR"/>
              </w:rPr>
              <w:t>Encargos Sociais a Pagar</w:t>
            </w:r>
          </w:p>
        </w:tc>
        <w:tc>
          <w:tcPr>
            <w:tcW w:w="775" w:type="dxa"/>
            <w:tcBorders>
              <w:top w:val="nil"/>
              <w:right w:val="single" w:sz="8" w:space="0" w:color="auto"/>
            </w:tcBorders>
            <w:shd w:val="clear" w:color="auto" w:fill="auto"/>
            <w:noWrap/>
            <w:vAlign w:val="center"/>
          </w:tcPr>
          <w:p w14:paraId="3A6F9E4B" w14:textId="77777777" w:rsidR="008D4720" w:rsidRPr="009548D7" w:rsidRDefault="008D4720" w:rsidP="008D4720">
            <w:pPr>
              <w:spacing w:after="0" w:line="240" w:lineRule="auto"/>
              <w:jc w:val="center"/>
              <w:rPr>
                <w:rFonts w:ascii="Arial Narrow" w:eastAsia="Times New Roman" w:hAnsi="Arial Narrow" w:cs="Arial"/>
                <w:sz w:val="16"/>
                <w:szCs w:val="16"/>
                <w:lang w:eastAsia="pt-BR"/>
              </w:rPr>
            </w:pPr>
          </w:p>
        </w:tc>
        <w:tc>
          <w:tcPr>
            <w:tcW w:w="1063" w:type="dxa"/>
            <w:tcBorders>
              <w:top w:val="nil"/>
              <w:left w:val="nil"/>
              <w:right w:val="single" w:sz="8" w:space="0" w:color="auto"/>
            </w:tcBorders>
            <w:shd w:val="clear" w:color="auto" w:fill="auto"/>
            <w:noWrap/>
            <w:vAlign w:val="center"/>
            <w:hideMark/>
          </w:tcPr>
          <w:p w14:paraId="671866C1" w14:textId="77777777" w:rsidR="008D4720" w:rsidRPr="009548D7" w:rsidRDefault="008D4720" w:rsidP="008D4720">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BPA.H033</w:t>
            </w:r>
          </w:p>
        </w:tc>
        <w:tc>
          <w:tcPr>
            <w:tcW w:w="1420" w:type="dxa"/>
            <w:tcBorders>
              <w:top w:val="nil"/>
              <w:left w:val="nil"/>
              <w:right w:val="single" w:sz="8" w:space="0" w:color="auto"/>
            </w:tcBorders>
            <w:shd w:val="clear" w:color="auto" w:fill="auto"/>
            <w:noWrap/>
            <w:vAlign w:val="center"/>
            <w:hideMark/>
          </w:tcPr>
          <w:p w14:paraId="2E2AED34" w14:textId="77777777" w:rsidR="008D4720" w:rsidRPr="009548D7" w:rsidRDefault="008D4720" w:rsidP="008D4720">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BPA.I033</w:t>
            </w:r>
          </w:p>
        </w:tc>
      </w:tr>
      <w:tr w:rsidR="008D4720" w:rsidRPr="009548D7" w14:paraId="52DD00FC" w14:textId="77777777" w:rsidTr="00A9732C">
        <w:trPr>
          <w:trHeight w:val="255"/>
        </w:trPr>
        <w:tc>
          <w:tcPr>
            <w:tcW w:w="4410" w:type="dxa"/>
            <w:tcBorders>
              <w:top w:val="nil"/>
              <w:left w:val="single" w:sz="8" w:space="0" w:color="auto"/>
            </w:tcBorders>
            <w:shd w:val="clear" w:color="auto" w:fill="auto"/>
            <w:noWrap/>
            <w:vAlign w:val="center"/>
            <w:hideMark/>
          </w:tcPr>
          <w:p w14:paraId="45AD809B" w14:textId="77777777" w:rsidR="008D4720" w:rsidRPr="009548D7" w:rsidRDefault="008D4720" w:rsidP="008D4720">
            <w:pPr>
              <w:spacing w:after="0" w:line="240" w:lineRule="auto"/>
              <w:ind w:firstLineChars="300" w:firstLine="48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Dívida Ativa Tributária</w:t>
            </w:r>
          </w:p>
        </w:tc>
        <w:tc>
          <w:tcPr>
            <w:tcW w:w="767" w:type="dxa"/>
            <w:tcBorders>
              <w:top w:val="nil"/>
              <w:right w:val="single" w:sz="4" w:space="0" w:color="auto"/>
            </w:tcBorders>
            <w:shd w:val="clear" w:color="auto" w:fill="auto"/>
            <w:noWrap/>
            <w:vAlign w:val="center"/>
          </w:tcPr>
          <w:p w14:paraId="2C2B93B3" w14:textId="77777777" w:rsidR="008D4720" w:rsidRPr="009548D7" w:rsidRDefault="008D4720" w:rsidP="008D4720">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right w:val="single" w:sz="8" w:space="0" w:color="auto"/>
            </w:tcBorders>
            <w:shd w:val="clear" w:color="auto" w:fill="auto"/>
            <w:noWrap/>
            <w:vAlign w:val="center"/>
            <w:hideMark/>
          </w:tcPr>
          <w:p w14:paraId="1ECE0841" w14:textId="77777777" w:rsidR="008D4720" w:rsidRPr="009548D7" w:rsidRDefault="008D4720" w:rsidP="008D4720">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BPA.D034</w:t>
            </w:r>
          </w:p>
        </w:tc>
        <w:tc>
          <w:tcPr>
            <w:tcW w:w="1262" w:type="dxa"/>
            <w:tcBorders>
              <w:top w:val="nil"/>
              <w:left w:val="nil"/>
              <w:right w:val="single" w:sz="8" w:space="0" w:color="auto"/>
            </w:tcBorders>
            <w:shd w:val="clear" w:color="auto" w:fill="auto"/>
            <w:noWrap/>
            <w:vAlign w:val="center"/>
            <w:hideMark/>
          </w:tcPr>
          <w:p w14:paraId="611F715D" w14:textId="77777777" w:rsidR="008D4720" w:rsidRPr="009548D7" w:rsidRDefault="008D4720" w:rsidP="008D4720">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BPA.E034</w:t>
            </w:r>
          </w:p>
        </w:tc>
        <w:tc>
          <w:tcPr>
            <w:tcW w:w="4562" w:type="dxa"/>
            <w:tcBorders>
              <w:top w:val="nil"/>
              <w:left w:val="nil"/>
            </w:tcBorders>
            <w:shd w:val="clear" w:color="auto" w:fill="auto"/>
            <w:noWrap/>
            <w:vAlign w:val="center"/>
            <w:hideMark/>
          </w:tcPr>
          <w:p w14:paraId="0E4CEF21" w14:textId="2AF3AB60" w:rsidR="008D4720" w:rsidRPr="009548D7" w:rsidRDefault="009E7FA9" w:rsidP="009E7FA9">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8D4720" w:rsidRPr="009548D7">
              <w:rPr>
                <w:rFonts w:ascii="Arial Narrow" w:eastAsia="Times New Roman" w:hAnsi="Arial Narrow" w:cs="Arial"/>
                <w:sz w:val="16"/>
                <w:szCs w:val="16"/>
                <w:lang w:eastAsia="pt-BR"/>
              </w:rPr>
              <w:t>Empréstimos e Financiamentos a Longo Prazo</w:t>
            </w:r>
          </w:p>
        </w:tc>
        <w:tc>
          <w:tcPr>
            <w:tcW w:w="775" w:type="dxa"/>
            <w:tcBorders>
              <w:top w:val="nil"/>
              <w:right w:val="single" w:sz="8" w:space="0" w:color="auto"/>
            </w:tcBorders>
            <w:shd w:val="clear" w:color="auto" w:fill="auto"/>
            <w:noWrap/>
            <w:vAlign w:val="center"/>
          </w:tcPr>
          <w:p w14:paraId="387E7F82" w14:textId="77777777" w:rsidR="008D4720" w:rsidRPr="009548D7" w:rsidRDefault="008D4720" w:rsidP="008D4720">
            <w:pPr>
              <w:spacing w:after="0" w:line="240" w:lineRule="auto"/>
              <w:jc w:val="center"/>
              <w:rPr>
                <w:rFonts w:ascii="Arial Narrow" w:eastAsia="Times New Roman" w:hAnsi="Arial Narrow" w:cs="Arial"/>
                <w:sz w:val="16"/>
                <w:szCs w:val="16"/>
                <w:lang w:eastAsia="pt-BR"/>
              </w:rPr>
            </w:pPr>
          </w:p>
        </w:tc>
        <w:tc>
          <w:tcPr>
            <w:tcW w:w="1063" w:type="dxa"/>
            <w:tcBorders>
              <w:top w:val="nil"/>
              <w:left w:val="nil"/>
              <w:right w:val="single" w:sz="8" w:space="0" w:color="auto"/>
            </w:tcBorders>
            <w:shd w:val="clear" w:color="auto" w:fill="auto"/>
            <w:noWrap/>
            <w:vAlign w:val="center"/>
            <w:hideMark/>
          </w:tcPr>
          <w:p w14:paraId="67EE72BE" w14:textId="77777777" w:rsidR="008D4720" w:rsidRPr="009548D7" w:rsidRDefault="008D4720" w:rsidP="008D4720">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BPA.H034</w:t>
            </w:r>
          </w:p>
        </w:tc>
        <w:tc>
          <w:tcPr>
            <w:tcW w:w="1420" w:type="dxa"/>
            <w:tcBorders>
              <w:top w:val="nil"/>
              <w:left w:val="nil"/>
              <w:right w:val="single" w:sz="8" w:space="0" w:color="auto"/>
            </w:tcBorders>
            <w:shd w:val="clear" w:color="auto" w:fill="auto"/>
            <w:noWrap/>
            <w:vAlign w:val="center"/>
            <w:hideMark/>
          </w:tcPr>
          <w:p w14:paraId="41B4DF08" w14:textId="77777777" w:rsidR="008D4720" w:rsidRPr="009548D7" w:rsidRDefault="008D4720" w:rsidP="008D4720">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BPA.I034</w:t>
            </w:r>
          </w:p>
        </w:tc>
      </w:tr>
      <w:tr w:rsidR="008D4720" w:rsidRPr="009548D7" w14:paraId="50B91348" w14:textId="77777777" w:rsidTr="00A9732C">
        <w:trPr>
          <w:trHeight w:val="255"/>
        </w:trPr>
        <w:tc>
          <w:tcPr>
            <w:tcW w:w="4410" w:type="dxa"/>
            <w:tcBorders>
              <w:top w:val="nil"/>
              <w:left w:val="single" w:sz="8" w:space="0" w:color="auto"/>
              <w:bottom w:val="nil"/>
            </w:tcBorders>
            <w:shd w:val="clear" w:color="auto" w:fill="auto"/>
            <w:noWrap/>
            <w:vAlign w:val="center"/>
            <w:hideMark/>
          </w:tcPr>
          <w:p w14:paraId="037B9D8A" w14:textId="77777777" w:rsidR="008D4720" w:rsidRPr="009548D7" w:rsidRDefault="008D4720" w:rsidP="008D4720">
            <w:pPr>
              <w:spacing w:after="0" w:line="240" w:lineRule="auto"/>
              <w:ind w:firstLineChars="300" w:firstLine="48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Divida Ativa não Tributária</w:t>
            </w:r>
          </w:p>
        </w:tc>
        <w:tc>
          <w:tcPr>
            <w:tcW w:w="767" w:type="dxa"/>
            <w:tcBorders>
              <w:top w:val="nil"/>
              <w:bottom w:val="nil"/>
              <w:right w:val="single" w:sz="4" w:space="0" w:color="auto"/>
            </w:tcBorders>
            <w:shd w:val="clear" w:color="auto" w:fill="auto"/>
            <w:noWrap/>
            <w:vAlign w:val="center"/>
          </w:tcPr>
          <w:p w14:paraId="38577061" w14:textId="77777777" w:rsidR="008D4720" w:rsidRPr="009548D7" w:rsidRDefault="008D4720" w:rsidP="008D4720">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0D7F0A64" w14:textId="77777777" w:rsidR="008D4720" w:rsidRPr="009548D7" w:rsidRDefault="008D4720" w:rsidP="008D4720">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BPA.D035</w:t>
            </w:r>
          </w:p>
        </w:tc>
        <w:tc>
          <w:tcPr>
            <w:tcW w:w="1262" w:type="dxa"/>
            <w:tcBorders>
              <w:top w:val="nil"/>
              <w:left w:val="nil"/>
              <w:bottom w:val="nil"/>
              <w:right w:val="single" w:sz="8" w:space="0" w:color="auto"/>
            </w:tcBorders>
            <w:shd w:val="clear" w:color="auto" w:fill="auto"/>
            <w:noWrap/>
            <w:vAlign w:val="center"/>
            <w:hideMark/>
          </w:tcPr>
          <w:p w14:paraId="5DBE46F0" w14:textId="77777777" w:rsidR="008D4720" w:rsidRPr="009548D7" w:rsidRDefault="008D4720" w:rsidP="008D4720">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BPA.E035</w:t>
            </w:r>
          </w:p>
        </w:tc>
        <w:tc>
          <w:tcPr>
            <w:tcW w:w="4562" w:type="dxa"/>
            <w:tcBorders>
              <w:top w:val="nil"/>
              <w:left w:val="nil"/>
              <w:bottom w:val="nil"/>
            </w:tcBorders>
            <w:shd w:val="clear" w:color="auto" w:fill="auto"/>
            <w:noWrap/>
            <w:vAlign w:val="center"/>
            <w:hideMark/>
          </w:tcPr>
          <w:p w14:paraId="67B45042" w14:textId="3DE30BB1" w:rsidR="008D4720" w:rsidRPr="009548D7" w:rsidRDefault="009E7FA9" w:rsidP="009E7FA9">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8D4720" w:rsidRPr="009548D7">
              <w:rPr>
                <w:rFonts w:ascii="Arial Narrow" w:eastAsia="Times New Roman" w:hAnsi="Arial Narrow" w:cs="Arial"/>
                <w:sz w:val="16"/>
                <w:szCs w:val="16"/>
                <w:lang w:eastAsia="pt-BR"/>
              </w:rPr>
              <w:t>Fornecedores e Contas a Pagar a Longo Prazo</w:t>
            </w:r>
          </w:p>
        </w:tc>
        <w:tc>
          <w:tcPr>
            <w:tcW w:w="775" w:type="dxa"/>
            <w:tcBorders>
              <w:top w:val="nil"/>
              <w:bottom w:val="nil"/>
              <w:right w:val="single" w:sz="8" w:space="0" w:color="auto"/>
            </w:tcBorders>
            <w:shd w:val="clear" w:color="auto" w:fill="auto"/>
            <w:noWrap/>
            <w:vAlign w:val="center"/>
          </w:tcPr>
          <w:p w14:paraId="0B77E379" w14:textId="77777777" w:rsidR="008D4720" w:rsidRPr="009548D7" w:rsidRDefault="008D4720" w:rsidP="008D4720">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115E573A" w14:textId="77777777" w:rsidR="008D4720" w:rsidRPr="009548D7" w:rsidRDefault="008D4720" w:rsidP="008D4720">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BPA.H035</w:t>
            </w:r>
          </w:p>
        </w:tc>
        <w:tc>
          <w:tcPr>
            <w:tcW w:w="1420" w:type="dxa"/>
            <w:tcBorders>
              <w:top w:val="nil"/>
              <w:left w:val="nil"/>
              <w:bottom w:val="nil"/>
              <w:right w:val="single" w:sz="8" w:space="0" w:color="auto"/>
            </w:tcBorders>
            <w:shd w:val="clear" w:color="auto" w:fill="auto"/>
            <w:noWrap/>
            <w:vAlign w:val="center"/>
            <w:hideMark/>
          </w:tcPr>
          <w:p w14:paraId="6B44FD5F" w14:textId="77777777" w:rsidR="008D4720" w:rsidRPr="009548D7" w:rsidRDefault="008D4720" w:rsidP="008D4720">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BPA.I035</w:t>
            </w:r>
          </w:p>
        </w:tc>
      </w:tr>
      <w:tr w:rsidR="008D4720" w:rsidRPr="009548D7" w14:paraId="5E725E8F" w14:textId="77777777" w:rsidTr="00A9732C">
        <w:trPr>
          <w:trHeight w:val="255"/>
        </w:trPr>
        <w:tc>
          <w:tcPr>
            <w:tcW w:w="4410" w:type="dxa"/>
            <w:tcBorders>
              <w:top w:val="nil"/>
              <w:left w:val="single" w:sz="8" w:space="0" w:color="auto"/>
              <w:bottom w:val="nil"/>
            </w:tcBorders>
            <w:shd w:val="clear" w:color="auto" w:fill="auto"/>
            <w:noWrap/>
            <w:vAlign w:val="center"/>
          </w:tcPr>
          <w:p w14:paraId="67258F0A" w14:textId="77777777" w:rsidR="008D4720" w:rsidRPr="009B4545" w:rsidRDefault="008D4720" w:rsidP="008D4720">
            <w:pPr>
              <w:spacing w:after="0" w:line="240" w:lineRule="auto"/>
              <w:ind w:firstLineChars="300" w:firstLine="480"/>
              <w:rPr>
                <w:rFonts w:ascii="Arial Narrow" w:eastAsia="Times New Roman" w:hAnsi="Arial Narrow" w:cs="Arial"/>
                <w:sz w:val="16"/>
                <w:szCs w:val="16"/>
                <w:lang w:eastAsia="pt-BR"/>
              </w:rPr>
            </w:pPr>
            <w:r w:rsidRPr="009B4545">
              <w:rPr>
                <w:rFonts w:ascii="Arial Narrow" w:eastAsia="Times New Roman" w:hAnsi="Arial Narrow" w:cs="Arial"/>
                <w:sz w:val="16"/>
                <w:szCs w:val="16"/>
                <w:lang w:eastAsia="pt-BR"/>
              </w:rPr>
              <w:t>Créditos Previdenciários do RPPS</w:t>
            </w:r>
          </w:p>
        </w:tc>
        <w:tc>
          <w:tcPr>
            <w:tcW w:w="767" w:type="dxa"/>
            <w:tcBorders>
              <w:top w:val="nil"/>
              <w:bottom w:val="nil"/>
              <w:right w:val="single" w:sz="4" w:space="0" w:color="auto"/>
            </w:tcBorders>
            <w:shd w:val="clear" w:color="auto" w:fill="auto"/>
            <w:noWrap/>
            <w:vAlign w:val="center"/>
          </w:tcPr>
          <w:p w14:paraId="26ED6354" w14:textId="77777777" w:rsidR="008D4720" w:rsidRPr="009B4545" w:rsidRDefault="008D4720" w:rsidP="008D4720">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tcPr>
          <w:p w14:paraId="7C08482E" w14:textId="77777777" w:rsidR="008D4720" w:rsidRPr="009B4545" w:rsidRDefault="008D4720" w:rsidP="008D4720">
            <w:pPr>
              <w:spacing w:after="0" w:line="240" w:lineRule="auto"/>
              <w:jc w:val="center"/>
              <w:rPr>
                <w:rFonts w:ascii="Arial Narrow" w:eastAsia="Times New Roman" w:hAnsi="Arial Narrow" w:cs="Arial"/>
                <w:sz w:val="16"/>
                <w:szCs w:val="16"/>
                <w:lang w:eastAsia="pt-BR"/>
              </w:rPr>
            </w:pPr>
            <w:r w:rsidRPr="009B4545">
              <w:rPr>
                <w:rFonts w:ascii="Arial Narrow" w:eastAsia="Times New Roman" w:hAnsi="Arial Narrow" w:cs="Arial"/>
                <w:sz w:val="16"/>
                <w:szCs w:val="16"/>
                <w:lang w:eastAsia="pt-BR"/>
              </w:rPr>
              <w:t>BPA.D073</w:t>
            </w:r>
          </w:p>
        </w:tc>
        <w:tc>
          <w:tcPr>
            <w:tcW w:w="1262" w:type="dxa"/>
            <w:tcBorders>
              <w:top w:val="nil"/>
              <w:left w:val="nil"/>
              <w:bottom w:val="nil"/>
              <w:right w:val="single" w:sz="8" w:space="0" w:color="auto"/>
            </w:tcBorders>
            <w:shd w:val="clear" w:color="auto" w:fill="auto"/>
            <w:noWrap/>
            <w:vAlign w:val="center"/>
          </w:tcPr>
          <w:p w14:paraId="64C61587" w14:textId="77777777" w:rsidR="008D4720" w:rsidRPr="009B4545" w:rsidRDefault="008D4720" w:rsidP="008D4720">
            <w:pPr>
              <w:spacing w:after="0" w:line="240" w:lineRule="auto"/>
              <w:jc w:val="center"/>
              <w:rPr>
                <w:rFonts w:ascii="Arial Narrow" w:eastAsia="Times New Roman" w:hAnsi="Arial Narrow" w:cs="Arial"/>
                <w:sz w:val="16"/>
                <w:szCs w:val="16"/>
                <w:lang w:eastAsia="pt-BR"/>
              </w:rPr>
            </w:pPr>
            <w:r w:rsidRPr="009B4545">
              <w:rPr>
                <w:rFonts w:ascii="Arial Narrow" w:eastAsia="Times New Roman" w:hAnsi="Arial Narrow" w:cs="Arial"/>
                <w:sz w:val="16"/>
                <w:szCs w:val="16"/>
                <w:lang w:eastAsia="pt-BR"/>
              </w:rPr>
              <w:t>BPA.E073</w:t>
            </w:r>
          </w:p>
        </w:tc>
        <w:tc>
          <w:tcPr>
            <w:tcW w:w="4562" w:type="dxa"/>
            <w:tcBorders>
              <w:top w:val="nil"/>
              <w:left w:val="nil"/>
              <w:bottom w:val="nil"/>
            </w:tcBorders>
            <w:shd w:val="clear" w:color="auto" w:fill="auto"/>
            <w:noWrap/>
            <w:vAlign w:val="center"/>
          </w:tcPr>
          <w:p w14:paraId="1E34CFF6" w14:textId="2D0CCF97" w:rsidR="008D4720" w:rsidRPr="009548D7" w:rsidRDefault="009E7FA9" w:rsidP="009E7FA9">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8D4720" w:rsidRPr="009548D7">
              <w:rPr>
                <w:rFonts w:ascii="Arial Narrow" w:eastAsia="Times New Roman" w:hAnsi="Arial Narrow" w:cs="Arial"/>
                <w:sz w:val="16"/>
                <w:szCs w:val="16"/>
                <w:lang w:eastAsia="pt-BR"/>
              </w:rPr>
              <w:t>Obrigações Fiscais a Longo Prazo</w:t>
            </w:r>
          </w:p>
        </w:tc>
        <w:tc>
          <w:tcPr>
            <w:tcW w:w="775" w:type="dxa"/>
            <w:tcBorders>
              <w:top w:val="nil"/>
              <w:bottom w:val="nil"/>
              <w:right w:val="single" w:sz="8" w:space="0" w:color="auto"/>
            </w:tcBorders>
            <w:shd w:val="clear" w:color="auto" w:fill="auto"/>
            <w:noWrap/>
            <w:vAlign w:val="center"/>
          </w:tcPr>
          <w:p w14:paraId="6B1AC3C4" w14:textId="77777777" w:rsidR="008D4720" w:rsidRPr="009548D7" w:rsidRDefault="008D4720" w:rsidP="008D4720">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tcPr>
          <w:p w14:paraId="7CD52744" w14:textId="77777777" w:rsidR="008D4720" w:rsidRPr="009548D7" w:rsidRDefault="008D4720" w:rsidP="008D4720">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BPA.H036</w:t>
            </w:r>
          </w:p>
        </w:tc>
        <w:tc>
          <w:tcPr>
            <w:tcW w:w="1420" w:type="dxa"/>
            <w:tcBorders>
              <w:top w:val="nil"/>
              <w:left w:val="nil"/>
              <w:bottom w:val="nil"/>
              <w:right w:val="single" w:sz="8" w:space="0" w:color="auto"/>
            </w:tcBorders>
            <w:shd w:val="clear" w:color="auto" w:fill="auto"/>
            <w:noWrap/>
            <w:vAlign w:val="center"/>
          </w:tcPr>
          <w:p w14:paraId="18505FA8" w14:textId="77777777" w:rsidR="008D4720" w:rsidRPr="009548D7" w:rsidRDefault="008D4720" w:rsidP="008D4720">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BPA.I036</w:t>
            </w:r>
          </w:p>
        </w:tc>
      </w:tr>
      <w:tr w:rsidR="002865D9" w:rsidRPr="009548D7" w14:paraId="3FACD3A1" w14:textId="77777777" w:rsidTr="00A9732C">
        <w:trPr>
          <w:trHeight w:val="255"/>
        </w:trPr>
        <w:tc>
          <w:tcPr>
            <w:tcW w:w="4410" w:type="dxa"/>
            <w:tcBorders>
              <w:top w:val="nil"/>
              <w:left w:val="single" w:sz="8" w:space="0" w:color="auto"/>
              <w:bottom w:val="nil"/>
            </w:tcBorders>
            <w:shd w:val="clear" w:color="auto" w:fill="auto"/>
            <w:noWrap/>
            <w:vAlign w:val="center"/>
          </w:tcPr>
          <w:p w14:paraId="50854409" w14:textId="75B6463D" w:rsidR="002865D9" w:rsidRPr="009B4545" w:rsidRDefault="002865D9" w:rsidP="002865D9">
            <w:pPr>
              <w:spacing w:after="0" w:line="240" w:lineRule="auto"/>
              <w:ind w:firstLineChars="300" w:firstLine="480"/>
              <w:rPr>
                <w:rFonts w:ascii="Arial Narrow" w:eastAsia="Times New Roman" w:hAnsi="Arial Narrow" w:cs="Arial"/>
                <w:sz w:val="16"/>
                <w:szCs w:val="16"/>
                <w:lang w:eastAsia="pt-BR"/>
              </w:rPr>
            </w:pPr>
            <w:r w:rsidRPr="00806700">
              <w:rPr>
                <w:rFonts w:ascii="Arial Narrow" w:eastAsia="Times New Roman" w:hAnsi="Arial Narrow" w:cs="Arial"/>
                <w:sz w:val="16"/>
                <w:szCs w:val="16"/>
                <w:lang w:eastAsia="pt-BR"/>
              </w:rPr>
              <w:t>Outros Créditos a Longo Prazo</w:t>
            </w:r>
          </w:p>
        </w:tc>
        <w:tc>
          <w:tcPr>
            <w:tcW w:w="767" w:type="dxa"/>
            <w:tcBorders>
              <w:top w:val="nil"/>
              <w:bottom w:val="nil"/>
              <w:right w:val="single" w:sz="4" w:space="0" w:color="auto"/>
            </w:tcBorders>
            <w:shd w:val="clear" w:color="auto" w:fill="auto"/>
            <w:noWrap/>
            <w:vAlign w:val="center"/>
          </w:tcPr>
          <w:p w14:paraId="238FF2E0" w14:textId="77777777" w:rsidR="002865D9" w:rsidRPr="009B4545" w:rsidRDefault="002865D9" w:rsidP="002865D9">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tcPr>
          <w:p w14:paraId="64653A8A" w14:textId="6CB191C3" w:rsidR="002865D9" w:rsidRPr="009B4545" w:rsidRDefault="002865D9" w:rsidP="002865D9">
            <w:pPr>
              <w:spacing w:after="0" w:line="240" w:lineRule="auto"/>
              <w:jc w:val="center"/>
              <w:rPr>
                <w:rFonts w:ascii="Arial Narrow" w:eastAsia="Times New Roman" w:hAnsi="Arial Narrow" w:cs="Arial"/>
                <w:sz w:val="16"/>
                <w:szCs w:val="16"/>
                <w:lang w:eastAsia="pt-BR"/>
              </w:rPr>
            </w:pPr>
            <w:r w:rsidRPr="00806700">
              <w:rPr>
                <w:rFonts w:ascii="Arial Narrow" w:eastAsia="Times New Roman" w:hAnsi="Arial Narrow" w:cs="Arial"/>
                <w:sz w:val="16"/>
                <w:szCs w:val="16"/>
                <w:lang w:eastAsia="pt-BR"/>
              </w:rPr>
              <w:t>BPA.D090</w:t>
            </w:r>
          </w:p>
        </w:tc>
        <w:tc>
          <w:tcPr>
            <w:tcW w:w="1262" w:type="dxa"/>
            <w:tcBorders>
              <w:top w:val="nil"/>
              <w:left w:val="nil"/>
              <w:bottom w:val="nil"/>
              <w:right w:val="single" w:sz="8" w:space="0" w:color="auto"/>
            </w:tcBorders>
            <w:shd w:val="clear" w:color="auto" w:fill="auto"/>
            <w:noWrap/>
            <w:vAlign w:val="center"/>
          </w:tcPr>
          <w:p w14:paraId="1A839EB2" w14:textId="7331CC90" w:rsidR="002865D9" w:rsidRPr="009B4545" w:rsidRDefault="002865D9" w:rsidP="002865D9">
            <w:pPr>
              <w:spacing w:after="0" w:line="240" w:lineRule="auto"/>
              <w:jc w:val="center"/>
              <w:rPr>
                <w:rFonts w:ascii="Arial Narrow" w:eastAsia="Times New Roman" w:hAnsi="Arial Narrow" w:cs="Arial"/>
                <w:sz w:val="16"/>
                <w:szCs w:val="16"/>
                <w:lang w:eastAsia="pt-BR"/>
              </w:rPr>
            </w:pPr>
            <w:r w:rsidRPr="00806700">
              <w:rPr>
                <w:rFonts w:ascii="Arial Narrow" w:eastAsia="Times New Roman" w:hAnsi="Arial Narrow" w:cs="Arial"/>
                <w:sz w:val="16"/>
                <w:szCs w:val="16"/>
                <w:lang w:eastAsia="pt-BR"/>
              </w:rPr>
              <w:t>BPA.E090</w:t>
            </w:r>
          </w:p>
        </w:tc>
        <w:tc>
          <w:tcPr>
            <w:tcW w:w="4562" w:type="dxa"/>
            <w:tcBorders>
              <w:top w:val="nil"/>
              <w:left w:val="nil"/>
              <w:bottom w:val="nil"/>
            </w:tcBorders>
            <w:shd w:val="clear" w:color="auto" w:fill="auto"/>
            <w:noWrap/>
            <w:vAlign w:val="center"/>
          </w:tcPr>
          <w:p w14:paraId="466BCEFB" w14:textId="4AC19799" w:rsidR="002865D9" w:rsidRPr="009548D7" w:rsidRDefault="00EF655C" w:rsidP="00EF655C">
            <w:pPr>
              <w:spacing w:after="0" w:line="240" w:lineRule="auto"/>
              <w:rPr>
                <w:rFonts w:ascii="Arial Narrow" w:eastAsia="Times New Roman" w:hAnsi="Arial Narrow" w:cs="Arial"/>
                <w:sz w:val="16"/>
                <w:szCs w:val="16"/>
                <w:lang w:eastAsia="pt-BR"/>
              </w:rPr>
            </w:pPr>
            <w:r>
              <w:rPr>
                <w:rFonts w:ascii="Arial Narrow" w:eastAsia="Times New Roman" w:hAnsi="Arial Narrow" w:cs="Arial"/>
                <w:color w:val="0070C0"/>
                <w:sz w:val="16"/>
                <w:szCs w:val="16"/>
                <w:lang w:eastAsia="pt-BR"/>
              </w:rPr>
              <w:t xml:space="preserve">     </w:t>
            </w:r>
            <w:r w:rsidR="002865D9" w:rsidRPr="00151F1D">
              <w:rPr>
                <w:rFonts w:ascii="Arial Narrow" w:eastAsia="Times New Roman" w:hAnsi="Arial Narrow" w:cs="Arial"/>
                <w:color w:val="0070C0"/>
                <w:sz w:val="16"/>
                <w:szCs w:val="16"/>
                <w:lang w:eastAsia="pt-BR"/>
              </w:rPr>
              <w:t>Transferências Fiscais a Longo Prazo</w:t>
            </w:r>
          </w:p>
        </w:tc>
        <w:tc>
          <w:tcPr>
            <w:tcW w:w="775" w:type="dxa"/>
            <w:tcBorders>
              <w:top w:val="nil"/>
              <w:bottom w:val="nil"/>
              <w:right w:val="single" w:sz="8" w:space="0" w:color="auto"/>
            </w:tcBorders>
            <w:shd w:val="clear" w:color="auto" w:fill="auto"/>
            <w:noWrap/>
            <w:vAlign w:val="center"/>
          </w:tcPr>
          <w:p w14:paraId="30F0557E"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tcPr>
          <w:p w14:paraId="0F0C823E" w14:textId="3DC76CCC"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151F1D">
              <w:rPr>
                <w:rFonts w:ascii="Arial Narrow" w:eastAsia="Times New Roman" w:hAnsi="Arial Narrow" w:cs="Arial"/>
                <w:color w:val="0070C0"/>
                <w:sz w:val="16"/>
                <w:szCs w:val="16"/>
                <w:lang w:eastAsia="pt-BR"/>
              </w:rPr>
              <w:t>BPA.H0</w:t>
            </w:r>
            <w:r w:rsidR="00E97B43">
              <w:rPr>
                <w:rFonts w:ascii="Arial Narrow" w:eastAsia="Times New Roman" w:hAnsi="Arial Narrow" w:cs="Arial"/>
                <w:color w:val="0070C0"/>
                <w:sz w:val="16"/>
                <w:szCs w:val="16"/>
                <w:lang w:eastAsia="pt-BR"/>
              </w:rPr>
              <w:t>92</w:t>
            </w:r>
          </w:p>
        </w:tc>
        <w:tc>
          <w:tcPr>
            <w:tcW w:w="1420" w:type="dxa"/>
            <w:tcBorders>
              <w:top w:val="nil"/>
              <w:left w:val="nil"/>
              <w:bottom w:val="nil"/>
              <w:right w:val="single" w:sz="8" w:space="0" w:color="auto"/>
            </w:tcBorders>
            <w:shd w:val="clear" w:color="auto" w:fill="auto"/>
            <w:noWrap/>
            <w:vAlign w:val="center"/>
          </w:tcPr>
          <w:p w14:paraId="6DED323A" w14:textId="3B668173"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151F1D">
              <w:rPr>
                <w:rFonts w:ascii="Arial Narrow" w:eastAsia="Times New Roman" w:hAnsi="Arial Narrow" w:cs="Arial"/>
                <w:color w:val="0070C0"/>
                <w:sz w:val="16"/>
                <w:szCs w:val="16"/>
                <w:lang w:eastAsia="pt-BR"/>
              </w:rPr>
              <w:t>BPA.I0</w:t>
            </w:r>
            <w:r w:rsidR="00E97B43">
              <w:rPr>
                <w:rFonts w:ascii="Arial Narrow" w:eastAsia="Times New Roman" w:hAnsi="Arial Narrow" w:cs="Arial"/>
                <w:color w:val="0070C0"/>
                <w:sz w:val="16"/>
                <w:szCs w:val="16"/>
                <w:lang w:eastAsia="pt-BR"/>
              </w:rPr>
              <w:t>92</w:t>
            </w:r>
          </w:p>
        </w:tc>
      </w:tr>
      <w:tr w:rsidR="002865D9" w:rsidRPr="009548D7" w14:paraId="527963C6" w14:textId="77777777" w:rsidTr="00A9732C">
        <w:trPr>
          <w:trHeight w:val="255"/>
        </w:trPr>
        <w:tc>
          <w:tcPr>
            <w:tcW w:w="4410" w:type="dxa"/>
            <w:tcBorders>
              <w:top w:val="nil"/>
              <w:left w:val="single" w:sz="8" w:space="0" w:color="auto"/>
              <w:bottom w:val="nil"/>
            </w:tcBorders>
            <w:shd w:val="clear" w:color="auto" w:fill="auto"/>
            <w:noWrap/>
            <w:vAlign w:val="center"/>
          </w:tcPr>
          <w:p w14:paraId="64A28C6F" w14:textId="028B87A2" w:rsidR="002865D9" w:rsidRPr="00806700" w:rsidRDefault="002865D9" w:rsidP="002865D9">
            <w:pPr>
              <w:spacing w:after="0" w:line="240" w:lineRule="auto"/>
              <w:ind w:firstLineChars="300" w:firstLine="480"/>
              <w:rPr>
                <w:rFonts w:ascii="Arial Narrow" w:eastAsia="Times New Roman" w:hAnsi="Arial Narrow" w:cs="Arial"/>
                <w:sz w:val="16"/>
                <w:szCs w:val="16"/>
                <w:lang w:eastAsia="pt-BR"/>
              </w:rPr>
            </w:pPr>
            <w:r w:rsidRPr="00806700">
              <w:rPr>
                <w:rFonts w:ascii="Arial Narrow" w:eastAsia="Times New Roman" w:hAnsi="Arial Narrow" w:cs="Arial"/>
                <w:sz w:val="16"/>
                <w:szCs w:val="16"/>
                <w:lang w:eastAsia="pt-BR"/>
              </w:rPr>
              <w:t>(-) Ajuste de Perdas de Créditos a Longo Prazo</w:t>
            </w:r>
          </w:p>
        </w:tc>
        <w:tc>
          <w:tcPr>
            <w:tcW w:w="767" w:type="dxa"/>
            <w:tcBorders>
              <w:top w:val="nil"/>
              <w:bottom w:val="nil"/>
              <w:right w:val="single" w:sz="4" w:space="0" w:color="auto"/>
            </w:tcBorders>
            <w:shd w:val="clear" w:color="auto" w:fill="auto"/>
            <w:noWrap/>
            <w:vAlign w:val="center"/>
          </w:tcPr>
          <w:p w14:paraId="4AF25B29" w14:textId="77777777" w:rsidR="002865D9" w:rsidRPr="00806700" w:rsidRDefault="002865D9" w:rsidP="002865D9">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tcPr>
          <w:p w14:paraId="4EA00FC2" w14:textId="32743B51" w:rsidR="002865D9" w:rsidRPr="00806700" w:rsidRDefault="002865D9" w:rsidP="002865D9">
            <w:pPr>
              <w:spacing w:after="0" w:line="240" w:lineRule="auto"/>
              <w:jc w:val="center"/>
              <w:rPr>
                <w:rFonts w:ascii="Arial Narrow" w:eastAsia="Times New Roman" w:hAnsi="Arial Narrow" w:cs="Arial"/>
                <w:sz w:val="16"/>
                <w:szCs w:val="16"/>
                <w:lang w:eastAsia="pt-BR"/>
              </w:rPr>
            </w:pPr>
            <w:r w:rsidRPr="00806700">
              <w:rPr>
                <w:rFonts w:ascii="Arial Narrow" w:eastAsia="Times New Roman" w:hAnsi="Arial Narrow" w:cs="Arial"/>
                <w:sz w:val="16"/>
                <w:szCs w:val="16"/>
                <w:lang w:eastAsia="pt-BR"/>
              </w:rPr>
              <w:t>BPA.D036</w:t>
            </w:r>
          </w:p>
        </w:tc>
        <w:tc>
          <w:tcPr>
            <w:tcW w:w="1262" w:type="dxa"/>
            <w:tcBorders>
              <w:top w:val="nil"/>
              <w:left w:val="nil"/>
              <w:bottom w:val="nil"/>
              <w:right w:val="single" w:sz="8" w:space="0" w:color="auto"/>
            </w:tcBorders>
            <w:shd w:val="clear" w:color="auto" w:fill="auto"/>
            <w:noWrap/>
            <w:vAlign w:val="center"/>
          </w:tcPr>
          <w:p w14:paraId="6D895379" w14:textId="193CCD61" w:rsidR="002865D9" w:rsidRPr="00806700" w:rsidRDefault="002865D9" w:rsidP="002865D9">
            <w:pPr>
              <w:spacing w:after="0" w:line="240" w:lineRule="auto"/>
              <w:jc w:val="center"/>
              <w:rPr>
                <w:rFonts w:ascii="Arial Narrow" w:eastAsia="Times New Roman" w:hAnsi="Arial Narrow" w:cs="Arial"/>
                <w:sz w:val="16"/>
                <w:szCs w:val="16"/>
                <w:lang w:eastAsia="pt-BR"/>
              </w:rPr>
            </w:pPr>
            <w:r w:rsidRPr="00806700">
              <w:rPr>
                <w:rFonts w:ascii="Arial Narrow" w:eastAsia="Times New Roman" w:hAnsi="Arial Narrow" w:cs="Arial"/>
                <w:sz w:val="16"/>
                <w:szCs w:val="16"/>
                <w:lang w:eastAsia="pt-BR"/>
              </w:rPr>
              <w:t>BPA.E036</w:t>
            </w:r>
          </w:p>
        </w:tc>
        <w:tc>
          <w:tcPr>
            <w:tcW w:w="4562" w:type="dxa"/>
            <w:tcBorders>
              <w:top w:val="nil"/>
              <w:left w:val="nil"/>
              <w:bottom w:val="nil"/>
            </w:tcBorders>
            <w:shd w:val="clear" w:color="auto" w:fill="auto"/>
            <w:noWrap/>
            <w:vAlign w:val="center"/>
          </w:tcPr>
          <w:p w14:paraId="48544C88" w14:textId="3763EB28" w:rsidR="002865D9" w:rsidRPr="009548D7" w:rsidRDefault="00EF655C" w:rsidP="00EF655C">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2865D9" w:rsidRPr="009548D7">
              <w:rPr>
                <w:rFonts w:ascii="Arial Narrow" w:eastAsia="Times New Roman" w:hAnsi="Arial Narrow" w:cs="Arial"/>
                <w:sz w:val="16"/>
                <w:szCs w:val="16"/>
                <w:lang w:eastAsia="pt-BR"/>
              </w:rPr>
              <w:t>Provisões a Longo Prazo</w:t>
            </w:r>
          </w:p>
        </w:tc>
        <w:tc>
          <w:tcPr>
            <w:tcW w:w="775" w:type="dxa"/>
            <w:tcBorders>
              <w:top w:val="nil"/>
              <w:bottom w:val="nil"/>
              <w:right w:val="single" w:sz="8" w:space="0" w:color="auto"/>
            </w:tcBorders>
            <w:shd w:val="clear" w:color="auto" w:fill="auto"/>
            <w:noWrap/>
            <w:vAlign w:val="center"/>
          </w:tcPr>
          <w:p w14:paraId="6508D5BF"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tcPr>
          <w:p w14:paraId="1EFCE026"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BPA.H037</w:t>
            </w:r>
          </w:p>
        </w:tc>
        <w:tc>
          <w:tcPr>
            <w:tcW w:w="1420" w:type="dxa"/>
            <w:tcBorders>
              <w:top w:val="nil"/>
              <w:left w:val="nil"/>
              <w:bottom w:val="nil"/>
              <w:right w:val="single" w:sz="8" w:space="0" w:color="auto"/>
            </w:tcBorders>
            <w:shd w:val="clear" w:color="auto" w:fill="auto"/>
            <w:noWrap/>
            <w:vAlign w:val="center"/>
          </w:tcPr>
          <w:p w14:paraId="662FCA86"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BPA.I037</w:t>
            </w:r>
          </w:p>
        </w:tc>
      </w:tr>
      <w:tr w:rsidR="002865D9" w:rsidRPr="009548D7" w14:paraId="4DD5B7BA" w14:textId="77777777" w:rsidTr="00A9732C">
        <w:trPr>
          <w:trHeight w:val="255"/>
        </w:trPr>
        <w:tc>
          <w:tcPr>
            <w:tcW w:w="4410" w:type="dxa"/>
            <w:tcBorders>
              <w:top w:val="nil"/>
              <w:left w:val="single" w:sz="8" w:space="0" w:color="auto"/>
              <w:bottom w:val="nil"/>
            </w:tcBorders>
            <w:shd w:val="clear" w:color="auto" w:fill="auto"/>
            <w:noWrap/>
            <w:vAlign w:val="center"/>
            <w:hideMark/>
          </w:tcPr>
          <w:p w14:paraId="15F58EC1" w14:textId="5840D9AA" w:rsidR="002865D9" w:rsidRPr="00073C46" w:rsidRDefault="002B55B7" w:rsidP="002B55B7">
            <w:pPr>
              <w:spacing w:after="0" w:line="240" w:lineRule="auto"/>
              <w:rPr>
                <w:rFonts w:ascii="Arial Narrow" w:eastAsia="Times New Roman" w:hAnsi="Arial Narrow" w:cs="Arial"/>
                <w:sz w:val="16"/>
                <w:szCs w:val="16"/>
                <w:lang w:eastAsia="pt-BR"/>
              </w:rPr>
            </w:pPr>
            <w:r w:rsidRPr="00073C46">
              <w:rPr>
                <w:rFonts w:ascii="Arial Narrow" w:eastAsia="Times New Roman" w:hAnsi="Arial Narrow" w:cs="Arial"/>
                <w:sz w:val="16"/>
                <w:szCs w:val="16"/>
                <w:lang w:eastAsia="pt-BR"/>
              </w:rPr>
              <w:t xml:space="preserve">         </w:t>
            </w:r>
            <w:r w:rsidR="002865D9" w:rsidRPr="00073C46">
              <w:rPr>
                <w:rFonts w:ascii="Arial Narrow" w:eastAsia="Times New Roman" w:hAnsi="Arial Narrow" w:cs="Arial"/>
                <w:sz w:val="16"/>
                <w:szCs w:val="16"/>
                <w:lang w:eastAsia="pt-BR"/>
              </w:rPr>
              <w:t>Demais Créditos e Valores a Longo Prazo</w:t>
            </w:r>
          </w:p>
        </w:tc>
        <w:tc>
          <w:tcPr>
            <w:tcW w:w="767" w:type="dxa"/>
            <w:tcBorders>
              <w:top w:val="nil"/>
              <w:bottom w:val="nil"/>
              <w:right w:val="single" w:sz="4" w:space="0" w:color="auto"/>
            </w:tcBorders>
            <w:shd w:val="clear" w:color="auto" w:fill="auto"/>
            <w:noWrap/>
            <w:vAlign w:val="center"/>
          </w:tcPr>
          <w:p w14:paraId="08724434" w14:textId="77777777" w:rsidR="002865D9" w:rsidRPr="00806700" w:rsidRDefault="002865D9" w:rsidP="002865D9">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22AF3A50" w14:textId="6BA7CECF" w:rsidR="002865D9" w:rsidRPr="00806700"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BPA.D037</w:t>
            </w:r>
          </w:p>
        </w:tc>
        <w:tc>
          <w:tcPr>
            <w:tcW w:w="1262" w:type="dxa"/>
            <w:tcBorders>
              <w:top w:val="nil"/>
              <w:left w:val="nil"/>
              <w:bottom w:val="nil"/>
              <w:right w:val="single" w:sz="8" w:space="0" w:color="auto"/>
            </w:tcBorders>
            <w:shd w:val="clear" w:color="auto" w:fill="auto"/>
            <w:noWrap/>
            <w:vAlign w:val="center"/>
            <w:hideMark/>
          </w:tcPr>
          <w:p w14:paraId="375CC41D" w14:textId="1BEBAFFB" w:rsidR="002865D9" w:rsidRPr="00806700"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BPA.E037</w:t>
            </w:r>
          </w:p>
        </w:tc>
        <w:tc>
          <w:tcPr>
            <w:tcW w:w="4562" w:type="dxa"/>
            <w:tcBorders>
              <w:top w:val="nil"/>
              <w:left w:val="nil"/>
              <w:bottom w:val="nil"/>
            </w:tcBorders>
            <w:shd w:val="clear" w:color="auto" w:fill="auto"/>
            <w:noWrap/>
            <w:vAlign w:val="center"/>
            <w:hideMark/>
          </w:tcPr>
          <w:p w14:paraId="7CDC5716" w14:textId="39AF087A" w:rsidR="002865D9" w:rsidRPr="00073C46" w:rsidRDefault="00EF655C" w:rsidP="00EF655C">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2865D9" w:rsidRPr="00073C46">
              <w:rPr>
                <w:rFonts w:ascii="Arial Narrow" w:eastAsia="Times New Roman" w:hAnsi="Arial Narrow" w:cs="Arial"/>
                <w:sz w:val="16"/>
                <w:szCs w:val="16"/>
                <w:lang w:eastAsia="pt-BR"/>
              </w:rPr>
              <w:t>Provisões para Riscos Trabalhistas a Longo Prazo</w:t>
            </w:r>
          </w:p>
        </w:tc>
        <w:tc>
          <w:tcPr>
            <w:tcW w:w="775" w:type="dxa"/>
            <w:tcBorders>
              <w:top w:val="nil"/>
              <w:bottom w:val="nil"/>
              <w:right w:val="single" w:sz="8" w:space="0" w:color="auto"/>
            </w:tcBorders>
            <w:shd w:val="clear" w:color="auto" w:fill="auto"/>
            <w:noWrap/>
            <w:vAlign w:val="center"/>
          </w:tcPr>
          <w:p w14:paraId="2C05DCEE"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77F96CB3"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BPA.H038</w:t>
            </w:r>
          </w:p>
        </w:tc>
        <w:tc>
          <w:tcPr>
            <w:tcW w:w="1420" w:type="dxa"/>
            <w:tcBorders>
              <w:top w:val="nil"/>
              <w:left w:val="nil"/>
              <w:bottom w:val="nil"/>
              <w:right w:val="single" w:sz="8" w:space="0" w:color="auto"/>
            </w:tcBorders>
            <w:shd w:val="clear" w:color="auto" w:fill="auto"/>
            <w:noWrap/>
            <w:vAlign w:val="center"/>
            <w:hideMark/>
          </w:tcPr>
          <w:p w14:paraId="36CC11DA"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BPA.I038</w:t>
            </w:r>
          </w:p>
        </w:tc>
      </w:tr>
      <w:tr w:rsidR="002865D9" w:rsidRPr="009548D7" w14:paraId="6B302691" w14:textId="77777777" w:rsidTr="00A9732C">
        <w:trPr>
          <w:trHeight w:val="255"/>
        </w:trPr>
        <w:tc>
          <w:tcPr>
            <w:tcW w:w="4410" w:type="dxa"/>
            <w:tcBorders>
              <w:top w:val="nil"/>
              <w:left w:val="single" w:sz="8" w:space="0" w:color="auto"/>
              <w:bottom w:val="nil"/>
            </w:tcBorders>
            <w:shd w:val="clear" w:color="auto" w:fill="auto"/>
            <w:noWrap/>
            <w:vAlign w:val="center"/>
            <w:hideMark/>
          </w:tcPr>
          <w:p w14:paraId="1AF64B1D" w14:textId="74F9549E" w:rsidR="002865D9" w:rsidRPr="00073C46" w:rsidRDefault="002865D9" w:rsidP="002865D9">
            <w:pPr>
              <w:spacing w:after="0" w:line="240" w:lineRule="auto"/>
              <w:ind w:firstLineChars="200" w:firstLine="320"/>
              <w:rPr>
                <w:rFonts w:ascii="Arial Narrow" w:eastAsia="Times New Roman" w:hAnsi="Arial Narrow" w:cs="Arial"/>
                <w:sz w:val="16"/>
                <w:szCs w:val="16"/>
                <w:lang w:eastAsia="pt-BR"/>
              </w:rPr>
            </w:pPr>
            <w:r w:rsidRPr="00073C46">
              <w:rPr>
                <w:rFonts w:ascii="Arial Narrow" w:eastAsia="Times New Roman" w:hAnsi="Arial Narrow" w:cs="Arial"/>
                <w:sz w:val="16"/>
                <w:szCs w:val="16"/>
                <w:lang w:eastAsia="pt-BR"/>
              </w:rPr>
              <w:t>Investimentos e Aplicações Temporárias a Longo Prazo</w:t>
            </w:r>
          </w:p>
        </w:tc>
        <w:tc>
          <w:tcPr>
            <w:tcW w:w="767" w:type="dxa"/>
            <w:tcBorders>
              <w:top w:val="nil"/>
              <w:bottom w:val="nil"/>
              <w:right w:val="single" w:sz="4" w:space="0" w:color="auto"/>
            </w:tcBorders>
            <w:shd w:val="clear" w:color="auto" w:fill="auto"/>
            <w:noWrap/>
            <w:vAlign w:val="center"/>
          </w:tcPr>
          <w:p w14:paraId="75AC6AA1"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72838D2F" w14:textId="013643E6"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BPA.D038</w:t>
            </w:r>
          </w:p>
        </w:tc>
        <w:tc>
          <w:tcPr>
            <w:tcW w:w="1262" w:type="dxa"/>
            <w:tcBorders>
              <w:top w:val="nil"/>
              <w:left w:val="nil"/>
              <w:bottom w:val="nil"/>
              <w:right w:val="single" w:sz="8" w:space="0" w:color="auto"/>
            </w:tcBorders>
            <w:shd w:val="clear" w:color="auto" w:fill="auto"/>
            <w:noWrap/>
            <w:vAlign w:val="center"/>
            <w:hideMark/>
          </w:tcPr>
          <w:p w14:paraId="3BCC3717" w14:textId="7BA15EB5"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BPA.E038</w:t>
            </w:r>
          </w:p>
        </w:tc>
        <w:tc>
          <w:tcPr>
            <w:tcW w:w="4562" w:type="dxa"/>
            <w:tcBorders>
              <w:top w:val="nil"/>
              <w:left w:val="nil"/>
              <w:bottom w:val="nil"/>
            </w:tcBorders>
            <w:shd w:val="clear" w:color="000000" w:fill="FFFFFF"/>
            <w:noWrap/>
            <w:vAlign w:val="center"/>
            <w:hideMark/>
          </w:tcPr>
          <w:p w14:paraId="246A404E" w14:textId="2059A835" w:rsidR="002865D9" w:rsidRPr="00073C46" w:rsidRDefault="00EF655C" w:rsidP="00EF655C">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2865D9" w:rsidRPr="00073C46">
              <w:rPr>
                <w:rFonts w:ascii="Arial Narrow" w:eastAsia="Times New Roman" w:hAnsi="Arial Narrow" w:cs="Arial"/>
                <w:sz w:val="16"/>
                <w:szCs w:val="16"/>
                <w:lang w:eastAsia="pt-BR"/>
              </w:rPr>
              <w:t>Provisões Matemáticas Previdenciárias a Longo Prazo</w:t>
            </w:r>
          </w:p>
        </w:tc>
        <w:tc>
          <w:tcPr>
            <w:tcW w:w="775" w:type="dxa"/>
            <w:tcBorders>
              <w:top w:val="nil"/>
              <w:bottom w:val="nil"/>
              <w:right w:val="single" w:sz="8" w:space="0" w:color="auto"/>
            </w:tcBorders>
            <w:shd w:val="clear" w:color="auto" w:fill="auto"/>
            <w:noWrap/>
            <w:vAlign w:val="center"/>
          </w:tcPr>
          <w:p w14:paraId="1B31A6BD"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5AD64F30"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BPA.H039</w:t>
            </w:r>
          </w:p>
        </w:tc>
        <w:tc>
          <w:tcPr>
            <w:tcW w:w="1420" w:type="dxa"/>
            <w:tcBorders>
              <w:top w:val="nil"/>
              <w:left w:val="nil"/>
              <w:bottom w:val="nil"/>
              <w:right w:val="single" w:sz="8" w:space="0" w:color="auto"/>
            </w:tcBorders>
            <w:shd w:val="clear" w:color="auto" w:fill="auto"/>
            <w:noWrap/>
            <w:vAlign w:val="center"/>
            <w:hideMark/>
          </w:tcPr>
          <w:p w14:paraId="6AA8DCEB"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BPA.I039</w:t>
            </w:r>
          </w:p>
        </w:tc>
      </w:tr>
      <w:tr w:rsidR="002865D9" w:rsidRPr="009548D7" w14:paraId="3AC74851" w14:textId="77777777" w:rsidTr="00A9732C">
        <w:trPr>
          <w:trHeight w:val="255"/>
        </w:trPr>
        <w:tc>
          <w:tcPr>
            <w:tcW w:w="4410" w:type="dxa"/>
            <w:tcBorders>
              <w:top w:val="nil"/>
              <w:left w:val="single" w:sz="8" w:space="0" w:color="auto"/>
              <w:bottom w:val="nil"/>
            </w:tcBorders>
            <w:shd w:val="clear" w:color="auto" w:fill="auto"/>
            <w:noWrap/>
            <w:vAlign w:val="center"/>
            <w:hideMark/>
          </w:tcPr>
          <w:p w14:paraId="31448AE7" w14:textId="1533346A" w:rsidR="002865D9" w:rsidRPr="00073C46" w:rsidRDefault="002865D9" w:rsidP="002865D9">
            <w:pPr>
              <w:spacing w:after="0" w:line="240" w:lineRule="auto"/>
              <w:ind w:firstLineChars="200" w:firstLine="320"/>
              <w:rPr>
                <w:rFonts w:ascii="Arial Narrow" w:eastAsia="Times New Roman" w:hAnsi="Arial Narrow" w:cs="Arial"/>
                <w:sz w:val="16"/>
                <w:szCs w:val="16"/>
                <w:lang w:eastAsia="pt-BR"/>
              </w:rPr>
            </w:pPr>
            <w:r w:rsidRPr="00073C46">
              <w:rPr>
                <w:rFonts w:ascii="Arial Narrow" w:eastAsia="Times New Roman" w:hAnsi="Arial Narrow" w:cs="Arial"/>
                <w:sz w:val="16"/>
                <w:szCs w:val="16"/>
                <w:lang w:eastAsia="pt-BR"/>
              </w:rPr>
              <w:t>Estoques</w:t>
            </w:r>
          </w:p>
        </w:tc>
        <w:tc>
          <w:tcPr>
            <w:tcW w:w="767" w:type="dxa"/>
            <w:tcBorders>
              <w:top w:val="nil"/>
              <w:bottom w:val="nil"/>
              <w:right w:val="single" w:sz="4" w:space="0" w:color="auto"/>
            </w:tcBorders>
            <w:shd w:val="clear" w:color="auto" w:fill="auto"/>
            <w:noWrap/>
            <w:vAlign w:val="center"/>
          </w:tcPr>
          <w:p w14:paraId="2D918E12"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44040D53" w14:textId="1FCF1F73"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BPA.D039</w:t>
            </w:r>
          </w:p>
        </w:tc>
        <w:tc>
          <w:tcPr>
            <w:tcW w:w="1262" w:type="dxa"/>
            <w:tcBorders>
              <w:top w:val="nil"/>
              <w:left w:val="nil"/>
              <w:bottom w:val="nil"/>
              <w:right w:val="single" w:sz="8" w:space="0" w:color="auto"/>
            </w:tcBorders>
            <w:shd w:val="clear" w:color="auto" w:fill="auto"/>
            <w:noWrap/>
            <w:vAlign w:val="center"/>
            <w:hideMark/>
          </w:tcPr>
          <w:p w14:paraId="6A7FF940" w14:textId="6A9C7D2A"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BPA.E039</w:t>
            </w:r>
          </w:p>
        </w:tc>
        <w:tc>
          <w:tcPr>
            <w:tcW w:w="4562" w:type="dxa"/>
            <w:tcBorders>
              <w:top w:val="nil"/>
              <w:left w:val="nil"/>
              <w:bottom w:val="nil"/>
            </w:tcBorders>
            <w:shd w:val="clear" w:color="000000" w:fill="FFFFFF"/>
            <w:noWrap/>
            <w:vAlign w:val="center"/>
            <w:hideMark/>
          </w:tcPr>
          <w:p w14:paraId="4A89ECC2" w14:textId="41AFAA80" w:rsidR="002865D9" w:rsidRPr="00073C46" w:rsidRDefault="00EF655C" w:rsidP="00EF655C">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2865D9" w:rsidRPr="00073C46">
              <w:rPr>
                <w:rFonts w:ascii="Arial Narrow" w:eastAsia="Times New Roman" w:hAnsi="Arial Narrow" w:cs="Arial"/>
                <w:sz w:val="16"/>
                <w:szCs w:val="16"/>
                <w:lang w:eastAsia="pt-BR"/>
              </w:rPr>
              <w:t>Provisões para Riscos Fiscais a Longo Prazo</w:t>
            </w:r>
          </w:p>
        </w:tc>
        <w:tc>
          <w:tcPr>
            <w:tcW w:w="775" w:type="dxa"/>
            <w:tcBorders>
              <w:top w:val="nil"/>
              <w:bottom w:val="nil"/>
              <w:right w:val="single" w:sz="8" w:space="0" w:color="auto"/>
            </w:tcBorders>
            <w:shd w:val="clear" w:color="auto" w:fill="auto"/>
            <w:noWrap/>
            <w:vAlign w:val="center"/>
          </w:tcPr>
          <w:p w14:paraId="284CA685"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1F9D0034"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BPA.H040</w:t>
            </w:r>
          </w:p>
        </w:tc>
        <w:tc>
          <w:tcPr>
            <w:tcW w:w="1420" w:type="dxa"/>
            <w:tcBorders>
              <w:top w:val="nil"/>
              <w:left w:val="nil"/>
              <w:bottom w:val="nil"/>
              <w:right w:val="single" w:sz="8" w:space="0" w:color="auto"/>
            </w:tcBorders>
            <w:shd w:val="clear" w:color="auto" w:fill="auto"/>
            <w:noWrap/>
            <w:vAlign w:val="center"/>
            <w:hideMark/>
          </w:tcPr>
          <w:p w14:paraId="651D9418"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BPA.I040</w:t>
            </w:r>
          </w:p>
        </w:tc>
      </w:tr>
      <w:tr w:rsidR="002865D9" w:rsidRPr="009548D7" w14:paraId="533700F4" w14:textId="77777777" w:rsidTr="00A9732C">
        <w:trPr>
          <w:trHeight w:val="255"/>
        </w:trPr>
        <w:tc>
          <w:tcPr>
            <w:tcW w:w="4410" w:type="dxa"/>
            <w:tcBorders>
              <w:top w:val="nil"/>
              <w:left w:val="single" w:sz="8" w:space="0" w:color="auto"/>
              <w:bottom w:val="nil"/>
            </w:tcBorders>
            <w:shd w:val="clear" w:color="auto" w:fill="auto"/>
            <w:noWrap/>
            <w:vAlign w:val="center"/>
            <w:hideMark/>
          </w:tcPr>
          <w:p w14:paraId="0A2E1EF9" w14:textId="49E098C9" w:rsidR="002865D9" w:rsidRPr="00073C46" w:rsidRDefault="002865D9" w:rsidP="002865D9">
            <w:pPr>
              <w:spacing w:after="0" w:line="240" w:lineRule="auto"/>
              <w:ind w:firstLineChars="100" w:firstLine="160"/>
              <w:rPr>
                <w:rFonts w:ascii="Arial Narrow" w:eastAsia="Times New Roman" w:hAnsi="Arial Narrow" w:cs="Arial"/>
                <w:sz w:val="16"/>
                <w:szCs w:val="16"/>
                <w:lang w:eastAsia="pt-BR"/>
              </w:rPr>
            </w:pPr>
            <w:r w:rsidRPr="00073C46">
              <w:rPr>
                <w:rFonts w:ascii="Arial Narrow" w:eastAsia="Times New Roman" w:hAnsi="Arial Narrow" w:cs="Arial"/>
                <w:sz w:val="16"/>
                <w:szCs w:val="16"/>
                <w:lang w:eastAsia="pt-BR"/>
              </w:rPr>
              <w:t xml:space="preserve">     VPD Pagas Antecipadamente</w:t>
            </w:r>
          </w:p>
        </w:tc>
        <w:tc>
          <w:tcPr>
            <w:tcW w:w="767" w:type="dxa"/>
            <w:tcBorders>
              <w:top w:val="nil"/>
              <w:bottom w:val="nil"/>
              <w:right w:val="single" w:sz="4" w:space="0" w:color="auto"/>
            </w:tcBorders>
            <w:shd w:val="clear" w:color="auto" w:fill="auto"/>
            <w:noWrap/>
            <w:vAlign w:val="center"/>
          </w:tcPr>
          <w:p w14:paraId="2666FE3D"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58344473" w14:textId="16625FFD"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BPA.D040</w:t>
            </w:r>
          </w:p>
        </w:tc>
        <w:tc>
          <w:tcPr>
            <w:tcW w:w="1262" w:type="dxa"/>
            <w:tcBorders>
              <w:top w:val="nil"/>
              <w:left w:val="nil"/>
              <w:bottom w:val="nil"/>
              <w:right w:val="single" w:sz="8" w:space="0" w:color="auto"/>
            </w:tcBorders>
            <w:shd w:val="clear" w:color="auto" w:fill="auto"/>
            <w:noWrap/>
            <w:vAlign w:val="center"/>
            <w:hideMark/>
          </w:tcPr>
          <w:p w14:paraId="6832C4E5" w14:textId="184E180C"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BPA.E040</w:t>
            </w:r>
          </w:p>
        </w:tc>
        <w:tc>
          <w:tcPr>
            <w:tcW w:w="4562" w:type="dxa"/>
            <w:tcBorders>
              <w:top w:val="nil"/>
              <w:left w:val="nil"/>
              <w:bottom w:val="nil"/>
            </w:tcBorders>
            <w:shd w:val="clear" w:color="000000" w:fill="FFFFFF"/>
            <w:noWrap/>
            <w:vAlign w:val="center"/>
            <w:hideMark/>
          </w:tcPr>
          <w:p w14:paraId="7EB86C37" w14:textId="137EBA3F" w:rsidR="002865D9" w:rsidRPr="00073C46" w:rsidRDefault="00EF655C" w:rsidP="00EF655C">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2865D9" w:rsidRPr="00073C46">
              <w:rPr>
                <w:rFonts w:ascii="Arial Narrow" w:eastAsia="Times New Roman" w:hAnsi="Arial Narrow" w:cs="Arial"/>
                <w:sz w:val="16"/>
                <w:szCs w:val="16"/>
                <w:lang w:eastAsia="pt-BR"/>
              </w:rPr>
              <w:t>Provisões para Riscos Cíveis a Longo Prazo</w:t>
            </w:r>
          </w:p>
        </w:tc>
        <w:tc>
          <w:tcPr>
            <w:tcW w:w="775" w:type="dxa"/>
            <w:tcBorders>
              <w:top w:val="nil"/>
              <w:bottom w:val="nil"/>
              <w:right w:val="single" w:sz="8" w:space="0" w:color="auto"/>
            </w:tcBorders>
            <w:shd w:val="clear" w:color="auto" w:fill="auto"/>
            <w:noWrap/>
            <w:vAlign w:val="center"/>
          </w:tcPr>
          <w:p w14:paraId="041C70D2"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5220DF10"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BPA.H041</w:t>
            </w:r>
          </w:p>
        </w:tc>
        <w:tc>
          <w:tcPr>
            <w:tcW w:w="1420" w:type="dxa"/>
            <w:tcBorders>
              <w:top w:val="nil"/>
              <w:left w:val="nil"/>
              <w:bottom w:val="nil"/>
              <w:right w:val="single" w:sz="8" w:space="0" w:color="auto"/>
            </w:tcBorders>
            <w:shd w:val="clear" w:color="auto" w:fill="auto"/>
            <w:noWrap/>
            <w:vAlign w:val="center"/>
            <w:hideMark/>
          </w:tcPr>
          <w:p w14:paraId="521A3A2F"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BPA.I041</w:t>
            </w:r>
          </w:p>
        </w:tc>
      </w:tr>
      <w:tr w:rsidR="002865D9" w:rsidRPr="009548D7" w14:paraId="69DD0AAC" w14:textId="77777777" w:rsidTr="00A9732C">
        <w:trPr>
          <w:trHeight w:val="285"/>
        </w:trPr>
        <w:tc>
          <w:tcPr>
            <w:tcW w:w="4410" w:type="dxa"/>
            <w:tcBorders>
              <w:top w:val="nil"/>
              <w:left w:val="single" w:sz="8" w:space="0" w:color="auto"/>
              <w:bottom w:val="nil"/>
            </w:tcBorders>
            <w:shd w:val="clear" w:color="auto" w:fill="auto"/>
            <w:noWrap/>
            <w:vAlign w:val="center"/>
            <w:hideMark/>
          </w:tcPr>
          <w:p w14:paraId="002C6F5B" w14:textId="3DF48027" w:rsidR="002865D9" w:rsidRPr="00073C46" w:rsidRDefault="002865D9" w:rsidP="002865D9">
            <w:pPr>
              <w:spacing w:after="0" w:line="240" w:lineRule="auto"/>
              <w:ind w:firstLineChars="100" w:firstLine="161"/>
              <w:rPr>
                <w:rFonts w:ascii="Arial Narrow" w:eastAsia="Times New Roman" w:hAnsi="Arial Narrow" w:cs="Arial"/>
                <w:sz w:val="16"/>
                <w:szCs w:val="16"/>
                <w:lang w:eastAsia="pt-BR"/>
              </w:rPr>
            </w:pPr>
            <w:r w:rsidRPr="00073C46">
              <w:rPr>
                <w:rFonts w:ascii="Arial Narrow" w:eastAsia="Times New Roman" w:hAnsi="Arial Narrow" w:cs="Arial"/>
                <w:b/>
                <w:bCs/>
                <w:sz w:val="16"/>
                <w:szCs w:val="16"/>
                <w:lang w:eastAsia="pt-BR"/>
              </w:rPr>
              <w:t>Investimentos</w:t>
            </w:r>
          </w:p>
        </w:tc>
        <w:tc>
          <w:tcPr>
            <w:tcW w:w="767" w:type="dxa"/>
            <w:tcBorders>
              <w:top w:val="nil"/>
              <w:bottom w:val="nil"/>
              <w:right w:val="single" w:sz="4" w:space="0" w:color="auto"/>
            </w:tcBorders>
            <w:shd w:val="clear" w:color="auto" w:fill="auto"/>
            <w:noWrap/>
            <w:vAlign w:val="center"/>
          </w:tcPr>
          <w:p w14:paraId="43B899F3"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1BF6D958" w14:textId="5DE1D23A"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b/>
                <w:bCs/>
                <w:sz w:val="16"/>
                <w:szCs w:val="16"/>
                <w:lang w:eastAsia="pt-BR"/>
              </w:rPr>
              <w:t>BPA.D041</w:t>
            </w:r>
          </w:p>
        </w:tc>
        <w:tc>
          <w:tcPr>
            <w:tcW w:w="1262" w:type="dxa"/>
            <w:tcBorders>
              <w:top w:val="nil"/>
              <w:left w:val="nil"/>
              <w:bottom w:val="nil"/>
              <w:right w:val="single" w:sz="8" w:space="0" w:color="auto"/>
            </w:tcBorders>
            <w:shd w:val="clear" w:color="auto" w:fill="auto"/>
            <w:noWrap/>
            <w:vAlign w:val="center"/>
            <w:hideMark/>
          </w:tcPr>
          <w:p w14:paraId="67FCD391" w14:textId="41B6F63B"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b/>
                <w:bCs/>
                <w:sz w:val="16"/>
                <w:szCs w:val="16"/>
                <w:lang w:eastAsia="pt-BR"/>
              </w:rPr>
              <w:t>BPA.E041</w:t>
            </w:r>
          </w:p>
        </w:tc>
        <w:tc>
          <w:tcPr>
            <w:tcW w:w="4562" w:type="dxa"/>
            <w:tcBorders>
              <w:top w:val="nil"/>
              <w:left w:val="nil"/>
              <w:bottom w:val="nil"/>
            </w:tcBorders>
            <w:shd w:val="clear" w:color="000000" w:fill="FFFFFF"/>
            <w:noWrap/>
            <w:vAlign w:val="center"/>
            <w:hideMark/>
          </w:tcPr>
          <w:p w14:paraId="694D5045" w14:textId="71375A8B" w:rsidR="002865D9" w:rsidRPr="00073C46" w:rsidRDefault="00EF655C" w:rsidP="00EF655C">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2865D9" w:rsidRPr="00073C46">
              <w:rPr>
                <w:rFonts w:ascii="Arial Narrow" w:eastAsia="Times New Roman" w:hAnsi="Arial Narrow" w:cs="Arial"/>
                <w:sz w:val="16"/>
                <w:szCs w:val="16"/>
                <w:lang w:eastAsia="pt-BR"/>
              </w:rPr>
              <w:t>Provisões p/Riscos Decorrentes de Contratos de PPP a Longo Prazo</w:t>
            </w:r>
          </w:p>
        </w:tc>
        <w:tc>
          <w:tcPr>
            <w:tcW w:w="775" w:type="dxa"/>
            <w:tcBorders>
              <w:top w:val="nil"/>
              <w:bottom w:val="nil"/>
              <w:right w:val="single" w:sz="8" w:space="0" w:color="auto"/>
            </w:tcBorders>
            <w:shd w:val="clear" w:color="auto" w:fill="auto"/>
            <w:noWrap/>
            <w:vAlign w:val="center"/>
          </w:tcPr>
          <w:p w14:paraId="560D44CD"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56154F3A"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BPA.H042</w:t>
            </w:r>
          </w:p>
        </w:tc>
        <w:tc>
          <w:tcPr>
            <w:tcW w:w="1420" w:type="dxa"/>
            <w:tcBorders>
              <w:top w:val="nil"/>
              <w:left w:val="nil"/>
              <w:bottom w:val="nil"/>
              <w:right w:val="single" w:sz="8" w:space="0" w:color="auto"/>
            </w:tcBorders>
            <w:shd w:val="clear" w:color="auto" w:fill="auto"/>
            <w:noWrap/>
            <w:vAlign w:val="center"/>
            <w:hideMark/>
          </w:tcPr>
          <w:p w14:paraId="0A8D4D59"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BPA.I042</w:t>
            </w:r>
          </w:p>
        </w:tc>
      </w:tr>
      <w:tr w:rsidR="002865D9" w:rsidRPr="009548D7" w14:paraId="6E0693F1" w14:textId="77777777" w:rsidTr="00A9732C">
        <w:trPr>
          <w:trHeight w:val="240"/>
        </w:trPr>
        <w:tc>
          <w:tcPr>
            <w:tcW w:w="4410" w:type="dxa"/>
            <w:tcBorders>
              <w:top w:val="nil"/>
              <w:left w:val="single" w:sz="8" w:space="0" w:color="auto"/>
              <w:bottom w:val="nil"/>
            </w:tcBorders>
            <w:shd w:val="clear" w:color="auto" w:fill="auto"/>
            <w:vAlign w:val="center"/>
            <w:hideMark/>
          </w:tcPr>
          <w:p w14:paraId="5FEF634A" w14:textId="5FB3A976" w:rsidR="002865D9" w:rsidRPr="00073C46" w:rsidRDefault="00C56947" w:rsidP="002865D9">
            <w:pPr>
              <w:spacing w:after="0" w:line="240" w:lineRule="auto"/>
              <w:ind w:firstLineChars="100" w:firstLine="160"/>
              <w:rPr>
                <w:rFonts w:ascii="Arial Narrow" w:eastAsia="Times New Roman" w:hAnsi="Arial Narrow" w:cs="Arial"/>
                <w:b/>
                <w:bCs/>
                <w:sz w:val="16"/>
                <w:szCs w:val="16"/>
                <w:lang w:eastAsia="pt-BR"/>
              </w:rPr>
            </w:pPr>
            <w:r w:rsidRPr="00073C46">
              <w:rPr>
                <w:rFonts w:ascii="Arial Narrow" w:eastAsia="Times New Roman" w:hAnsi="Arial Narrow" w:cs="Arial"/>
                <w:sz w:val="16"/>
                <w:szCs w:val="16"/>
                <w:lang w:eastAsia="pt-BR"/>
              </w:rPr>
              <w:t xml:space="preserve">   </w:t>
            </w:r>
            <w:r w:rsidR="002865D9" w:rsidRPr="00073C46">
              <w:rPr>
                <w:rFonts w:ascii="Arial Narrow" w:eastAsia="Times New Roman" w:hAnsi="Arial Narrow" w:cs="Arial"/>
                <w:sz w:val="16"/>
                <w:szCs w:val="16"/>
                <w:lang w:eastAsia="pt-BR"/>
              </w:rPr>
              <w:t>Participações Permanentes</w:t>
            </w:r>
          </w:p>
        </w:tc>
        <w:tc>
          <w:tcPr>
            <w:tcW w:w="767" w:type="dxa"/>
            <w:tcBorders>
              <w:top w:val="nil"/>
              <w:bottom w:val="nil"/>
              <w:right w:val="single" w:sz="4" w:space="0" w:color="auto"/>
            </w:tcBorders>
            <w:shd w:val="clear" w:color="auto" w:fill="auto"/>
            <w:noWrap/>
            <w:vAlign w:val="center"/>
          </w:tcPr>
          <w:p w14:paraId="7DC102EB" w14:textId="77777777" w:rsidR="002865D9" w:rsidRPr="009548D7" w:rsidRDefault="002865D9" w:rsidP="002865D9">
            <w:pPr>
              <w:spacing w:after="0" w:line="240" w:lineRule="auto"/>
              <w:jc w:val="center"/>
              <w:rPr>
                <w:rFonts w:ascii="Arial Narrow" w:eastAsia="Times New Roman" w:hAnsi="Arial Narrow" w:cs="Arial"/>
                <w:b/>
                <w:bCs/>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7099E6EE" w14:textId="24848F6B" w:rsidR="002865D9" w:rsidRPr="009548D7" w:rsidRDefault="002865D9" w:rsidP="002865D9">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sz w:val="16"/>
                <w:szCs w:val="16"/>
                <w:lang w:eastAsia="pt-BR"/>
              </w:rPr>
              <w:t>BPA.D042</w:t>
            </w:r>
          </w:p>
        </w:tc>
        <w:tc>
          <w:tcPr>
            <w:tcW w:w="1262" w:type="dxa"/>
            <w:tcBorders>
              <w:top w:val="nil"/>
              <w:left w:val="nil"/>
              <w:bottom w:val="nil"/>
              <w:right w:val="single" w:sz="8" w:space="0" w:color="auto"/>
            </w:tcBorders>
            <w:shd w:val="clear" w:color="auto" w:fill="auto"/>
            <w:noWrap/>
            <w:vAlign w:val="center"/>
            <w:hideMark/>
          </w:tcPr>
          <w:p w14:paraId="5B3D3883" w14:textId="730E3B85" w:rsidR="002865D9" w:rsidRPr="009548D7" w:rsidRDefault="002865D9" w:rsidP="002865D9">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sz w:val="16"/>
                <w:szCs w:val="16"/>
                <w:lang w:eastAsia="pt-BR"/>
              </w:rPr>
              <w:t>BPA.E042</w:t>
            </w:r>
          </w:p>
        </w:tc>
        <w:tc>
          <w:tcPr>
            <w:tcW w:w="4562" w:type="dxa"/>
            <w:tcBorders>
              <w:top w:val="nil"/>
              <w:left w:val="nil"/>
              <w:bottom w:val="nil"/>
            </w:tcBorders>
            <w:shd w:val="clear" w:color="000000" w:fill="FFFFFF"/>
            <w:noWrap/>
            <w:vAlign w:val="center"/>
            <w:hideMark/>
          </w:tcPr>
          <w:p w14:paraId="56ADE3C3" w14:textId="4EAA6D9D" w:rsidR="002865D9" w:rsidRPr="00073C46" w:rsidRDefault="00EF655C" w:rsidP="00EF655C">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2865D9" w:rsidRPr="00073C46">
              <w:rPr>
                <w:rFonts w:ascii="Arial Narrow" w:eastAsia="Times New Roman" w:hAnsi="Arial Narrow" w:cs="Arial"/>
                <w:sz w:val="16"/>
                <w:szCs w:val="16"/>
                <w:lang w:eastAsia="pt-BR"/>
              </w:rPr>
              <w:t>Provisão p/ Obrigações Decorr. da Atuação Govern. a Longo Prazo</w:t>
            </w:r>
          </w:p>
        </w:tc>
        <w:tc>
          <w:tcPr>
            <w:tcW w:w="775" w:type="dxa"/>
            <w:tcBorders>
              <w:top w:val="nil"/>
              <w:bottom w:val="nil"/>
              <w:right w:val="single" w:sz="8" w:space="0" w:color="auto"/>
            </w:tcBorders>
            <w:shd w:val="clear" w:color="auto" w:fill="auto"/>
            <w:noWrap/>
            <w:vAlign w:val="center"/>
          </w:tcPr>
          <w:p w14:paraId="68079870"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066FF069"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C12313">
              <w:rPr>
                <w:rFonts w:ascii="Arial Narrow" w:eastAsia="Times New Roman" w:hAnsi="Arial Narrow" w:cs="Arial"/>
                <w:sz w:val="16"/>
                <w:szCs w:val="16"/>
                <w:lang w:eastAsia="pt-BR"/>
              </w:rPr>
              <w:t>BPA.H073</w:t>
            </w:r>
          </w:p>
        </w:tc>
        <w:tc>
          <w:tcPr>
            <w:tcW w:w="1420" w:type="dxa"/>
            <w:tcBorders>
              <w:top w:val="nil"/>
              <w:left w:val="nil"/>
              <w:bottom w:val="nil"/>
              <w:right w:val="single" w:sz="8" w:space="0" w:color="auto"/>
            </w:tcBorders>
            <w:shd w:val="clear" w:color="auto" w:fill="auto"/>
            <w:noWrap/>
            <w:vAlign w:val="center"/>
            <w:hideMark/>
          </w:tcPr>
          <w:p w14:paraId="0F6698F4"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C12313">
              <w:rPr>
                <w:rFonts w:ascii="Arial Narrow" w:eastAsia="Times New Roman" w:hAnsi="Arial Narrow" w:cs="Arial"/>
                <w:sz w:val="16"/>
                <w:szCs w:val="16"/>
                <w:lang w:eastAsia="pt-BR"/>
              </w:rPr>
              <w:t>BPA.I073</w:t>
            </w:r>
          </w:p>
        </w:tc>
      </w:tr>
      <w:tr w:rsidR="002865D9" w:rsidRPr="006B69C6" w14:paraId="65D27E52" w14:textId="77777777" w:rsidTr="00080E19">
        <w:trPr>
          <w:trHeight w:val="255"/>
        </w:trPr>
        <w:tc>
          <w:tcPr>
            <w:tcW w:w="4410" w:type="dxa"/>
            <w:tcBorders>
              <w:top w:val="nil"/>
              <w:left w:val="single" w:sz="8" w:space="0" w:color="auto"/>
              <w:bottom w:val="nil"/>
            </w:tcBorders>
            <w:shd w:val="clear" w:color="auto" w:fill="auto"/>
            <w:noWrap/>
            <w:vAlign w:val="center"/>
            <w:hideMark/>
          </w:tcPr>
          <w:p w14:paraId="0D667373" w14:textId="5248A008" w:rsidR="002865D9" w:rsidRPr="00073C46" w:rsidRDefault="00C56947" w:rsidP="002865D9">
            <w:pPr>
              <w:spacing w:after="0" w:line="240" w:lineRule="auto"/>
              <w:ind w:firstLineChars="200" w:firstLine="320"/>
              <w:rPr>
                <w:rFonts w:ascii="Arial Narrow" w:eastAsia="Times New Roman" w:hAnsi="Arial Narrow" w:cs="Arial"/>
                <w:sz w:val="16"/>
                <w:szCs w:val="16"/>
                <w:lang w:eastAsia="pt-BR"/>
              </w:rPr>
            </w:pPr>
            <w:r w:rsidRPr="00073C46">
              <w:rPr>
                <w:rFonts w:ascii="Arial Narrow" w:eastAsia="Times New Roman" w:hAnsi="Arial Narrow" w:cs="Arial"/>
                <w:sz w:val="16"/>
                <w:szCs w:val="16"/>
                <w:lang w:eastAsia="pt-BR"/>
              </w:rPr>
              <w:t xml:space="preserve">   </w:t>
            </w:r>
            <w:r w:rsidR="002865D9" w:rsidRPr="00073C46">
              <w:rPr>
                <w:rFonts w:ascii="Arial Narrow" w:eastAsia="Times New Roman" w:hAnsi="Arial Narrow" w:cs="Arial"/>
                <w:sz w:val="16"/>
                <w:szCs w:val="16"/>
                <w:lang w:eastAsia="pt-BR"/>
              </w:rPr>
              <w:t>Participações Avaliadas pelo Método de Equivalência Patrimonial</w:t>
            </w:r>
          </w:p>
        </w:tc>
        <w:tc>
          <w:tcPr>
            <w:tcW w:w="767" w:type="dxa"/>
            <w:tcBorders>
              <w:top w:val="nil"/>
              <w:bottom w:val="nil"/>
              <w:right w:val="single" w:sz="4" w:space="0" w:color="auto"/>
            </w:tcBorders>
            <w:shd w:val="clear" w:color="auto" w:fill="auto"/>
            <w:noWrap/>
          </w:tcPr>
          <w:p w14:paraId="2E67AFA9"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bottom w:val="nil"/>
              <w:right w:val="single" w:sz="8" w:space="0" w:color="auto"/>
            </w:tcBorders>
            <w:shd w:val="clear" w:color="auto" w:fill="auto"/>
            <w:noWrap/>
            <w:hideMark/>
          </w:tcPr>
          <w:p w14:paraId="5ACAB8AA" w14:textId="0B9504AB"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BPA.D043</w:t>
            </w:r>
          </w:p>
        </w:tc>
        <w:tc>
          <w:tcPr>
            <w:tcW w:w="1262" w:type="dxa"/>
            <w:tcBorders>
              <w:top w:val="nil"/>
              <w:left w:val="nil"/>
              <w:bottom w:val="nil"/>
              <w:right w:val="single" w:sz="8" w:space="0" w:color="auto"/>
            </w:tcBorders>
            <w:shd w:val="clear" w:color="auto" w:fill="auto"/>
            <w:noWrap/>
            <w:hideMark/>
          </w:tcPr>
          <w:p w14:paraId="2E1B3C88" w14:textId="40532A62"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BPA.E043</w:t>
            </w:r>
          </w:p>
        </w:tc>
        <w:tc>
          <w:tcPr>
            <w:tcW w:w="4562" w:type="dxa"/>
            <w:tcBorders>
              <w:top w:val="nil"/>
              <w:left w:val="nil"/>
              <w:bottom w:val="nil"/>
            </w:tcBorders>
            <w:shd w:val="clear" w:color="000000" w:fill="FFFFFF"/>
            <w:noWrap/>
            <w:vAlign w:val="center"/>
            <w:hideMark/>
          </w:tcPr>
          <w:p w14:paraId="65EE0106" w14:textId="5F864D79" w:rsidR="002865D9" w:rsidRPr="00073C46" w:rsidRDefault="00EF655C" w:rsidP="00EF655C">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2865D9" w:rsidRPr="00073C46">
              <w:rPr>
                <w:rFonts w:ascii="Arial Narrow" w:eastAsia="Times New Roman" w:hAnsi="Arial Narrow" w:cs="Arial"/>
                <w:sz w:val="16"/>
                <w:szCs w:val="16"/>
                <w:lang w:eastAsia="pt-BR"/>
              </w:rPr>
              <w:t>Outras Provisões a Longo Prazo</w:t>
            </w:r>
          </w:p>
        </w:tc>
        <w:tc>
          <w:tcPr>
            <w:tcW w:w="775" w:type="dxa"/>
            <w:tcBorders>
              <w:top w:val="nil"/>
              <w:bottom w:val="nil"/>
              <w:right w:val="single" w:sz="8" w:space="0" w:color="auto"/>
            </w:tcBorders>
            <w:shd w:val="clear" w:color="auto" w:fill="auto"/>
            <w:noWrap/>
            <w:vAlign w:val="center"/>
          </w:tcPr>
          <w:p w14:paraId="76AA384A" w14:textId="77777777" w:rsidR="002865D9" w:rsidRPr="006B69C6" w:rsidRDefault="002865D9" w:rsidP="002865D9">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7B3E6B69" w14:textId="77777777" w:rsidR="002865D9" w:rsidRPr="006B69C6"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BPA.H043</w:t>
            </w:r>
          </w:p>
        </w:tc>
        <w:tc>
          <w:tcPr>
            <w:tcW w:w="1420" w:type="dxa"/>
            <w:tcBorders>
              <w:top w:val="nil"/>
              <w:left w:val="nil"/>
              <w:bottom w:val="nil"/>
              <w:right w:val="single" w:sz="8" w:space="0" w:color="auto"/>
            </w:tcBorders>
            <w:shd w:val="clear" w:color="auto" w:fill="auto"/>
            <w:noWrap/>
            <w:vAlign w:val="center"/>
            <w:hideMark/>
          </w:tcPr>
          <w:p w14:paraId="24AB9727" w14:textId="77777777" w:rsidR="002865D9" w:rsidRPr="006B69C6"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BPA.I043</w:t>
            </w:r>
          </w:p>
        </w:tc>
      </w:tr>
      <w:tr w:rsidR="002865D9" w:rsidRPr="009548D7" w14:paraId="37F3D179" w14:textId="77777777" w:rsidTr="00080E19">
        <w:trPr>
          <w:trHeight w:hRule="exact" w:val="312"/>
        </w:trPr>
        <w:tc>
          <w:tcPr>
            <w:tcW w:w="4410" w:type="dxa"/>
            <w:tcBorders>
              <w:top w:val="nil"/>
              <w:left w:val="single" w:sz="8" w:space="0" w:color="auto"/>
              <w:bottom w:val="nil"/>
            </w:tcBorders>
            <w:shd w:val="clear" w:color="auto" w:fill="auto"/>
            <w:noWrap/>
            <w:vAlign w:val="center"/>
          </w:tcPr>
          <w:p w14:paraId="5744F0BF" w14:textId="7AEB47F2" w:rsidR="002865D9" w:rsidRPr="00073C46" w:rsidRDefault="00C56947" w:rsidP="00C56947">
            <w:pPr>
              <w:spacing w:after="0" w:line="240" w:lineRule="auto"/>
              <w:rPr>
                <w:rFonts w:ascii="Arial Narrow" w:eastAsia="Times New Roman" w:hAnsi="Arial Narrow" w:cs="Arial"/>
                <w:sz w:val="16"/>
                <w:szCs w:val="16"/>
                <w:lang w:eastAsia="pt-BR"/>
              </w:rPr>
            </w:pPr>
            <w:r w:rsidRPr="00073C46">
              <w:rPr>
                <w:rFonts w:ascii="Arial Narrow" w:eastAsia="Times New Roman" w:hAnsi="Arial Narrow" w:cs="Arial"/>
                <w:sz w:val="16"/>
                <w:szCs w:val="16"/>
                <w:lang w:eastAsia="pt-BR"/>
              </w:rPr>
              <w:t xml:space="preserve">            </w:t>
            </w:r>
            <w:r w:rsidR="002865D9" w:rsidRPr="00073C46">
              <w:rPr>
                <w:rFonts w:ascii="Arial Narrow" w:eastAsia="Times New Roman" w:hAnsi="Arial Narrow" w:cs="Arial"/>
                <w:sz w:val="16"/>
                <w:szCs w:val="16"/>
                <w:lang w:eastAsia="pt-BR"/>
              </w:rPr>
              <w:t>Participações Avaliadas pelo Método de Custo</w:t>
            </w:r>
          </w:p>
        </w:tc>
        <w:tc>
          <w:tcPr>
            <w:tcW w:w="767" w:type="dxa"/>
            <w:tcBorders>
              <w:top w:val="nil"/>
              <w:bottom w:val="nil"/>
              <w:right w:val="single" w:sz="4" w:space="0" w:color="auto"/>
            </w:tcBorders>
            <w:shd w:val="clear" w:color="auto" w:fill="auto"/>
            <w:noWrap/>
            <w:vAlign w:val="center"/>
          </w:tcPr>
          <w:p w14:paraId="0AD4AAE1"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tcPr>
          <w:p w14:paraId="1BAC24E6" w14:textId="53ED26F2"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BPA.D044</w:t>
            </w:r>
          </w:p>
        </w:tc>
        <w:tc>
          <w:tcPr>
            <w:tcW w:w="1262" w:type="dxa"/>
            <w:tcBorders>
              <w:top w:val="nil"/>
              <w:left w:val="nil"/>
              <w:bottom w:val="nil"/>
              <w:right w:val="single" w:sz="8" w:space="0" w:color="auto"/>
            </w:tcBorders>
            <w:shd w:val="clear" w:color="auto" w:fill="auto"/>
            <w:noWrap/>
            <w:vAlign w:val="center"/>
          </w:tcPr>
          <w:p w14:paraId="36105702" w14:textId="1ACF59F1"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BPA.E044</w:t>
            </w:r>
          </w:p>
        </w:tc>
        <w:tc>
          <w:tcPr>
            <w:tcW w:w="4562" w:type="dxa"/>
            <w:tcBorders>
              <w:top w:val="nil"/>
              <w:left w:val="nil"/>
              <w:bottom w:val="nil"/>
            </w:tcBorders>
            <w:shd w:val="clear" w:color="000000" w:fill="FFFFFF"/>
            <w:noWrap/>
            <w:vAlign w:val="center"/>
          </w:tcPr>
          <w:p w14:paraId="2BE6BE32" w14:textId="36518F8C" w:rsidR="002865D9" w:rsidRPr="00073C46" w:rsidRDefault="00EF655C" w:rsidP="006A139B">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2865D9" w:rsidRPr="00073C46">
              <w:rPr>
                <w:rFonts w:ascii="Arial Narrow" w:eastAsia="Times New Roman" w:hAnsi="Arial Narrow" w:cs="Arial"/>
                <w:sz w:val="16"/>
                <w:szCs w:val="16"/>
                <w:lang w:eastAsia="pt-BR"/>
              </w:rPr>
              <w:t>Demais Obrigações a Longo Prazo</w:t>
            </w:r>
          </w:p>
        </w:tc>
        <w:tc>
          <w:tcPr>
            <w:tcW w:w="775" w:type="dxa"/>
            <w:tcBorders>
              <w:top w:val="nil"/>
              <w:bottom w:val="nil"/>
              <w:right w:val="single" w:sz="8" w:space="0" w:color="auto"/>
            </w:tcBorders>
            <w:shd w:val="clear" w:color="auto" w:fill="auto"/>
            <w:noWrap/>
            <w:vAlign w:val="center"/>
          </w:tcPr>
          <w:p w14:paraId="4E1B4F2B"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tcPr>
          <w:p w14:paraId="08B8F7A5"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BPA.H044</w:t>
            </w:r>
          </w:p>
        </w:tc>
        <w:tc>
          <w:tcPr>
            <w:tcW w:w="1420" w:type="dxa"/>
            <w:tcBorders>
              <w:top w:val="nil"/>
              <w:left w:val="nil"/>
              <w:bottom w:val="nil"/>
              <w:right w:val="single" w:sz="8" w:space="0" w:color="auto"/>
            </w:tcBorders>
            <w:shd w:val="clear" w:color="auto" w:fill="auto"/>
            <w:noWrap/>
            <w:vAlign w:val="center"/>
          </w:tcPr>
          <w:p w14:paraId="3B01324F"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BPA.I044</w:t>
            </w:r>
          </w:p>
        </w:tc>
      </w:tr>
      <w:tr w:rsidR="002865D9" w:rsidRPr="009548D7" w14:paraId="2B836ED0" w14:textId="77777777" w:rsidTr="00A9732C">
        <w:trPr>
          <w:trHeight w:val="255"/>
        </w:trPr>
        <w:tc>
          <w:tcPr>
            <w:tcW w:w="4410" w:type="dxa"/>
            <w:tcBorders>
              <w:top w:val="nil"/>
              <w:left w:val="single" w:sz="8" w:space="0" w:color="auto"/>
              <w:bottom w:val="nil"/>
            </w:tcBorders>
            <w:shd w:val="clear" w:color="auto" w:fill="auto"/>
            <w:noWrap/>
            <w:vAlign w:val="center"/>
            <w:hideMark/>
          </w:tcPr>
          <w:p w14:paraId="1FB7E175" w14:textId="327CAE87" w:rsidR="002865D9" w:rsidRPr="009548D7" w:rsidRDefault="00C56947" w:rsidP="00C56947">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2865D9" w:rsidRPr="009548D7">
              <w:rPr>
                <w:rFonts w:ascii="Arial Narrow" w:eastAsia="Times New Roman" w:hAnsi="Arial Narrow" w:cs="Arial"/>
                <w:sz w:val="16"/>
                <w:szCs w:val="16"/>
                <w:lang w:eastAsia="pt-BR"/>
              </w:rPr>
              <w:t>(-) Redução ao Valor Recuperável de Participações Permanentes</w:t>
            </w:r>
          </w:p>
        </w:tc>
        <w:tc>
          <w:tcPr>
            <w:tcW w:w="767" w:type="dxa"/>
            <w:tcBorders>
              <w:top w:val="nil"/>
              <w:bottom w:val="nil"/>
              <w:right w:val="single" w:sz="4" w:space="0" w:color="auto"/>
            </w:tcBorders>
            <w:shd w:val="clear" w:color="auto" w:fill="auto"/>
            <w:noWrap/>
            <w:vAlign w:val="center"/>
          </w:tcPr>
          <w:p w14:paraId="6C50F874"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795867C2" w14:textId="2DAEB2A0"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BPA.D045</w:t>
            </w:r>
          </w:p>
        </w:tc>
        <w:tc>
          <w:tcPr>
            <w:tcW w:w="1262" w:type="dxa"/>
            <w:tcBorders>
              <w:top w:val="nil"/>
              <w:left w:val="nil"/>
              <w:bottom w:val="nil"/>
              <w:right w:val="single" w:sz="8" w:space="0" w:color="auto"/>
            </w:tcBorders>
            <w:shd w:val="clear" w:color="auto" w:fill="auto"/>
            <w:noWrap/>
            <w:vAlign w:val="center"/>
            <w:hideMark/>
          </w:tcPr>
          <w:p w14:paraId="4F9173CA" w14:textId="1033EF8D"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BPA.E045</w:t>
            </w:r>
          </w:p>
        </w:tc>
        <w:tc>
          <w:tcPr>
            <w:tcW w:w="4562" w:type="dxa"/>
            <w:tcBorders>
              <w:top w:val="nil"/>
              <w:left w:val="nil"/>
              <w:bottom w:val="nil"/>
            </w:tcBorders>
            <w:shd w:val="clear" w:color="000000" w:fill="FFFFFF"/>
            <w:noWrap/>
            <w:vAlign w:val="center"/>
            <w:hideMark/>
          </w:tcPr>
          <w:p w14:paraId="1A13DF08" w14:textId="222B1C79" w:rsidR="002865D9" w:rsidRPr="00073C46" w:rsidRDefault="00EF655C" w:rsidP="00EF655C">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2865D9" w:rsidRPr="00073C46">
              <w:rPr>
                <w:rFonts w:ascii="Arial Narrow" w:eastAsia="Times New Roman" w:hAnsi="Arial Narrow" w:cs="Arial"/>
                <w:sz w:val="16"/>
                <w:szCs w:val="16"/>
                <w:lang w:eastAsia="pt-BR"/>
              </w:rPr>
              <w:t>Resultado Diferido</w:t>
            </w:r>
          </w:p>
        </w:tc>
        <w:tc>
          <w:tcPr>
            <w:tcW w:w="775" w:type="dxa"/>
            <w:tcBorders>
              <w:top w:val="nil"/>
              <w:bottom w:val="nil"/>
              <w:right w:val="single" w:sz="8" w:space="0" w:color="auto"/>
            </w:tcBorders>
            <w:shd w:val="clear" w:color="auto" w:fill="auto"/>
            <w:noWrap/>
            <w:vAlign w:val="center"/>
          </w:tcPr>
          <w:p w14:paraId="075FF6CC"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078BAF21"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BPA.H045</w:t>
            </w:r>
          </w:p>
        </w:tc>
        <w:tc>
          <w:tcPr>
            <w:tcW w:w="1420" w:type="dxa"/>
            <w:tcBorders>
              <w:top w:val="nil"/>
              <w:left w:val="nil"/>
              <w:bottom w:val="nil"/>
              <w:right w:val="single" w:sz="8" w:space="0" w:color="auto"/>
            </w:tcBorders>
            <w:shd w:val="clear" w:color="auto" w:fill="auto"/>
            <w:noWrap/>
            <w:vAlign w:val="center"/>
            <w:hideMark/>
          </w:tcPr>
          <w:p w14:paraId="14CA2F40"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BPA.I045</w:t>
            </w:r>
          </w:p>
        </w:tc>
      </w:tr>
      <w:tr w:rsidR="002865D9" w:rsidRPr="009548D7" w14:paraId="05D11F4B" w14:textId="77777777" w:rsidTr="00A9732C">
        <w:trPr>
          <w:trHeight w:val="255"/>
        </w:trPr>
        <w:tc>
          <w:tcPr>
            <w:tcW w:w="4410" w:type="dxa"/>
            <w:tcBorders>
              <w:top w:val="nil"/>
              <w:left w:val="single" w:sz="8" w:space="0" w:color="auto"/>
              <w:bottom w:val="nil"/>
            </w:tcBorders>
            <w:shd w:val="clear" w:color="auto" w:fill="auto"/>
            <w:noWrap/>
            <w:vAlign w:val="center"/>
            <w:hideMark/>
          </w:tcPr>
          <w:p w14:paraId="6C3EDCC1" w14:textId="5EC55175" w:rsidR="002865D9" w:rsidRPr="009548D7" w:rsidRDefault="00C56947" w:rsidP="00C56947">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2865D9" w:rsidRPr="009548D7">
              <w:rPr>
                <w:rFonts w:ascii="Arial Narrow" w:eastAsia="Times New Roman" w:hAnsi="Arial Narrow" w:cs="Arial"/>
                <w:sz w:val="16"/>
                <w:szCs w:val="16"/>
                <w:lang w:eastAsia="pt-BR"/>
              </w:rPr>
              <w:t>Propriedades para Investimento</w:t>
            </w:r>
          </w:p>
        </w:tc>
        <w:tc>
          <w:tcPr>
            <w:tcW w:w="767" w:type="dxa"/>
            <w:tcBorders>
              <w:top w:val="nil"/>
              <w:bottom w:val="nil"/>
              <w:right w:val="single" w:sz="4" w:space="0" w:color="auto"/>
            </w:tcBorders>
            <w:shd w:val="clear" w:color="auto" w:fill="auto"/>
            <w:noWrap/>
            <w:vAlign w:val="center"/>
          </w:tcPr>
          <w:p w14:paraId="42A7C4FC"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393CCE8A" w14:textId="3BE3A63A"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BPA.D046</w:t>
            </w:r>
          </w:p>
        </w:tc>
        <w:tc>
          <w:tcPr>
            <w:tcW w:w="1262" w:type="dxa"/>
            <w:tcBorders>
              <w:top w:val="nil"/>
              <w:left w:val="nil"/>
              <w:bottom w:val="nil"/>
              <w:right w:val="single" w:sz="8" w:space="0" w:color="auto"/>
            </w:tcBorders>
            <w:shd w:val="clear" w:color="auto" w:fill="auto"/>
            <w:noWrap/>
            <w:vAlign w:val="center"/>
            <w:hideMark/>
          </w:tcPr>
          <w:p w14:paraId="6CCC598C" w14:textId="13ADCCA2"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BPA.E046</w:t>
            </w:r>
          </w:p>
        </w:tc>
        <w:tc>
          <w:tcPr>
            <w:tcW w:w="4562" w:type="dxa"/>
            <w:tcBorders>
              <w:top w:val="nil"/>
              <w:left w:val="nil"/>
              <w:bottom w:val="nil"/>
            </w:tcBorders>
            <w:shd w:val="clear" w:color="auto" w:fill="auto"/>
            <w:noWrap/>
            <w:vAlign w:val="center"/>
          </w:tcPr>
          <w:p w14:paraId="769452C2" w14:textId="77777777" w:rsidR="002865D9" w:rsidRPr="009548D7" w:rsidRDefault="002865D9" w:rsidP="002865D9">
            <w:pPr>
              <w:spacing w:after="0" w:line="240" w:lineRule="auto"/>
              <w:rPr>
                <w:rFonts w:ascii="Arial Narrow" w:eastAsia="Times New Roman" w:hAnsi="Arial Narrow" w:cs="Arial"/>
                <w:sz w:val="16"/>
                <w:szCs w:val="16"/>
                <w:lang w:eastAsia="pt-BR"/>
              </w:rPr>
            </w:pPr>
          </w:p>
        </w:tc>
        <w:tc>
          <w:tcPr>
            <w:tcW w:w="775" w:type="dxa"/>
            <w:tcBorders>
              <w:top w:val="nil"/>
              <w:bottom w:val="nil"/>
              <w:right w:val="single" w:sz="8" w:space="0" w:color="auto"/>
            </w:tcBorders>
            <w:shd w:val="clear" w:color="auto" w:fill="auto"/>
            <w:noWrap/>
            <w:vAlign w:val="center"/>
          </w:tcPr>
          <w:p w14:paraId="3337C2E8"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tcPr>
          <w:p w14:paraId="7D3CFD71"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p>
        </w:tc>
        <w:tc>
          <w:tcPr>
            <w:tcW w:w="1420" w:type="dxa"/>
            <w:tcBorders>
              <w:top w:val="nil"/>
              <w:left w:val="nil"/>
              <w:bottom w:val="nil"/>
              <w:right w:val="single" w:sz="8" w:space="0" w:color="auto"/>
            </w:tcBorders>
            <w:shd w:val="clear" w:color="auto" w:fill="auto"/>
            <w:noWrap/>
            <w:vAlign w:val="center"/>
          </w:tcPr>
          <w:p w14:paraId="27D3DCFA"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p>
        </w:tc>
      </w:tr>
      <w:tr w:rsidR="002865D9" w:rsidRPr="009548D7" w14:paraId="13BF30D6" w14:textId="77777777" w:rsidTr="00A9732C">
        <w:trPr>
          <w:trHeight w:val="255"/>
        </w:trPr>
        <w:tc>
          <w:tcPr>
            <w:tcW w:w="4410" w:type="dxa"/>
            <w:tcBorders>
              <w:top w:val="nil"/>
              <w:left w:val="single" w:sz="8" w:space="0" w:color="auto"/>
              <w:bottom w:val="nil"/>
            </w:tcBorders>
            <w:shd w:val="clear" w:color="auto" w:fill="auto"/>
            <w:noWrap/>
            <w:vAlign w:val="center"/>
            <w:hideMark/>
          </w:tcPr>
          <w:p w14:paraId="42AA23C3" w14:textId="6CC39A07" w:rsidR="002865D9" w:rsidRPr="009548D7" w:rsidRDefault="002865D9" w:rsidP="002865D9">
            <w:pPr>
              <w:spacing w:after="0" w:line="240" w:lineRule="auto"/>
              <w:ind w:firstLineChars="200" w:firstLine="32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Depreciação Acumulada de Propriedades para Investimento</w:t>
            </w:r>
          </w:p>
        </w:tc>
        <w:tc>
          <w:tcPr>
            <w:tcW w:w="767" w:type="dxa"/>
            <w:tcBorders>
              <w:top w:val="nil"/>
              <w:bottom w:val="nil"/>
              <w:right w:val="single" w:sz="4" w:space="0" w:color="auto"/>
            </w:tcBorders>
            <w:shd w:val="clear" w:color="auto" w:fill="auto"/>
            <w:noWrap/>
            <w:vAlign w:val="center"/>
          </w:tcPr>
          <w:p w14:paraId="142ACD6E"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4917A36B" w14:textId="38B0BE60"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BPA.D047</w:t>
            </w:r>
          </w:p>
        </w:tc>
        <w:tc>
          <w:tcPr>
            <w:tcW w:w="1262" w:type="dxa"/>
            <w:tcBorders>
              <w:top w:val="nil"/>
              <w:left w:val="nil"/>
              <w:bottom w:val="nil"/>
              <w:right w:val="single" w:sz="8" w:space="0" w:color="auto"/>
            </w:tcBorders>
            <w:shd w:val="clear" w:color="auto" w:fill="auto"/>
            <w:noWrap/>
            <w:vAlign w:val="center"/>
            <w:hideMark/>
          </w:tcPr>
          <w:p w14:paraId="2AE50B07" w14:textId="41114BDE"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BPA.E047</w:t>
            </w:r>
          </w:p>
        </w:tc>
        <w:tc>
          <w:tcPr>
            <w:tcW w:w="4562" w:type="dxa"/>
            <w:tcBorders>
              <w:top w:val="nil"/>
              <w:left w:val="nil"/>
              <w:bottom w:val="nil"/>
            </w:tcBorders>
            <w:shd w:val="clear" w:color="auto" w:fill="auto"/>
            <w:noWrap/>
            <w:vAlign w:val="center"/>
            <w:hideMark/>
          </w:tcPr>
          <w:p w14:paraId="2FE4C623" w14:textId="77777777" w:rsidR="002865D9" w:rsidRPr="009548D7" w:rsidRDefault="002865D9" w:rsidP="002865D9">
            <w:pPr>
              <w:spacing w:after="0" w:line="240" w:lineRule="auto"/>
              <w:ind w:firstLineChars="100" w:firstLine="160"/>
              <w:rPr>
                <w:rFonts w:ascii="Arial Narrow" w:eastAsia="Times New Roman" w:hAnsi="Arial Narrow" w:cs="Arial"/>
                <w:sz w:val="16"/>
                <w:szCs w:val="16"/>
                <w:lang w:eastAsia="pt-BR"/>
              </w:rPr>
            </w:pPr>
          </w:p>
        </w:tc>
        <w:tc>
          <w:tcPr>
            <w:tcW w:w="775" w:type="dxa"/>
            <w:tcBorders>
              <w:top w:val="nil"/>
              <w:bottom w:val="nil"/>
              <w:right w:val="single" w:sz="8" w:space="0" w:color="auto"/>
            </w:tcBorders>
            <w:shd w:val="clear" w:color="auto" w:fill="auto"/>
            <w:noWrap/>
            <w:vAlign w:val="center"/>
          </w:tcPr>
          <w:p w14:paraId="76920833"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5B518469"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p>
        </w:tc>
        <w:tc>
          <w:tcPr>
            <w:tcW w:w="1420" w:type="dxa"/>
            <w:tcBorders>
              <w:top w:val="nil"/>
              <w:left w:val="nil"/>
              <w:bottom w:val="nil"/>
              <w:right w:val="single" w:sz="8" w:space="0" w:color="auto"/>
            </w:tcBorders>
            <w:shd w:val="clear" w:color="auto" w:fill="auto"/>
            <w:noWrap/>
            <w:vAlign w:val="center"/>
            <w:hideMark/>
          </w:tcPr>
          <w:p w14:paraId="6151A1F5"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p>
        </w:tc>
      </w:tr>
      <w:tr w:rsidR="002865D9" w:rsidRPr="009548D7" w14:paraId="3EDE5929" w14:textId="77777777" w:rsidTr="00A9732C">
        <w:trPr>
          <w:trHeight w:val="255"/>
        </w:trPr>
        <w:tc>
          <w:tcPr>
            <w:tcW w:w="4410" w:type="dxa"/>
            <w:tcBorders>
              <w:top w:val="nil"/>
              <w:left w:val="single" w:sz="8" w:space="0" w:color="auto"/>
              <w:bottom w:val="nil"/>
            </w:tcBorders>
            <w:shd w:val="clear" w:color="auto" w:fill="auto"/>
            <w:noWrap/>
            <w:vAlign w:val="center"/>
            <w:hideMark/>
          </w:tcPr>
          <w:p w14:paraId="28C14CBF" w14:textId="220B244F" w:rsidR="002865D9" w:rsidRPr="009548D7" w:rsidRDefault="002865D9" w:rsidP="002865D9">
            <w:pPr>
              <w:spacing w:after="0" w:line="240" w:lineRule="auto"/>
              <w:ind w:firstLineChars="200" w:firstLine="32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Redução ao Valor Recuperável de Propriedades para Investimento</w:t>
            </w:r>
          </w:p>
        </w:tc>
        <w:tc>
          <w:tcPr>
            <w:tcW w:w="767" w:type="dxa"/>
            <w:tcBorders>
              <w:top w:val="nil"/>
              <w:bottom w:val="nil"/>
              <w:right w:val="single" w:sz="4" w:space="0" w:color="auto"/>
            </w:tcBorders>
            <w:shd w:val="clear" w:color="auto" w:fill="auto"/>
            <w:noWrap/>
            <w:vAlign w:val="center"/>
          </w:tcPr>
          <w:p w14:paraId="1AAA0E69"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08F78F84" w14:textId="6C6D40BC"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BPA.D048</w:t>
            </w:r>
          </w:p>
        </w:tc>
        <w:tc>
          <w:tcPr>
            <w:tcW w:w="1262" w:type="dxa"/>
            <w:tcBorders>
              <w:top w:val="nil"/>
              <w:left w:val="nil"/>
              <w:bottom w:val="nil"/>
              <w:right w:val="single" w:sz="8" w:space="0" w:color="auto"/>
            </w:tcBorders>
            <w:shd w:val="clear" w:color="auto" w:fill="auto"/>
            <w:noWrap/>
            <w:vAlign w:val="center"/>
            <w:hideMark/>
          </w:tcPr>
          <w:p w14:paraId="1C49655D" w14:textId="1E178E19"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BPA.E048</w:t>
            </w:r>
          </w:p>
        </w:tc>
        <w:tc>
          <w:tcPr>
            <w:tcW w:w="4562" w:type="dxa"/>
            <w:tcBorders>
              <w:top w:val="nil"/>
              <w:left w:val="nil"/>
              <w:bottom w:val="nil"/>
            </w:tcBorders>
            <w:shd w:val="clear" w:color="auto" w:fill="auto"/>
            <w:noWrap/>
            <w:vAlign w:val="center"/>
            <w:hideMark/>
          </w:tcPr>
          <w:p w14:paraId="46C27348" w14:textId="77777777" w:rsidR="002865D9" w:rsidRPr="009548D7" w:rsidRDefault="002865D9" w:rsidP="002865D9">
            <w:pPr>
              <w:spacing w:after="0" w:line="240" w:lineRule="auto"/>
              <w:rPr>
                <w:rFonts w:ascii="Arial Narrow" w:eastAsia="Times New Roman" w:hAnsi="Arial Narrow" w:cs="Arial"/>
                <w:color w:val="0070C0"/>
                <w:sz w:val="16"/>
                <w:szCs w:val="16"/>
                <w:lang w:eastAsia="pt-BR"/>
              </w:rPr>
            </w:pPr>
            <w:r w:rsidRPr="009548D7">
              <w:rPr>
                <w:rFonts w:ascii="Arial Narrow" w:eastAsia="Times New Roman" w:hAnsi="Arial Narrow" w:cs="Arial"/>
                <w:color w:val="0070C0"/>
                <w:sz w:val="16"/>
                <w:szCs w:val="16"/>
                <w:lang w:eastAsia="pt-BR"/>
              </w:rPr>
              <w:t> </w:t>
            </w:r>
          </w:p>
        </w:tc>
        <w:tc>
          <w:tcPr>
            <w:tcW w:w="775" w:type="dxa"/>
            <w:tcBorders>
              <w:top w:val="nil"/>
              <w:bottom w:val="nil"/>
              <w:right w:val="single" w:sz="8" w:space="0" w:color="auto"/>
            </w:tcBorders>
            <w:shd w:val="clear" w:color="auto" w:fill="auto"/>
            <w:noWrap/>
            <w:vAlign w:val="center"/>
          </w:tcPr>
          <w:p w14:paraId="2CCD6A79" w14:textId="77777777" w:rsidR="002865D9" w:rsidRPr="009548D7" w:rsidRDefault="002865D9" w:rsidP="002865D9">
            <w:pPr>
              <w:spacing w:after="0" w:line="240" w:lineRule="auto"/>
              <w:rPr>
                <w:rFonts w:ascii="Arial Narrow" w:eastAsia="Times New Roman" w:hAnsi="Arial Narrow" w:cs="Arial"/>
                <w:color w:val="0070C0"/>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5F7A6B36" w14:textId="77777777" w:rsidR="002865D9" w:rsidRPr="009548D7" w:rsidRDefault="002865D9" w:rsidP="002865D9">
            <w:pPr>
              <w:spacing w:after="0" w:line="240" w:lineRule="auto"/>
              <w:jc w:val="center"/>
              <w:rPr>
                <w:rFonts w:ascii="Arial Narrow" w:eastAsia="Times New Roman" w:hAnsi="Arial Narrow" w:cs="Arial"/>
                <w:color w:val="0070C0"/>
                <w:sz w:val="16"/>
                <w:szCs w:val="16"/>
                <w:lang w:eastAsia="pt-BR"/>
              </w:rPr>
            </w:pPr>
            <w:r w:rsidRPr="009548D7">
              <w:rPr>
                <w:rFonts w:ascii="Arial Narrow" w:eastAsia="Times New Roman" w:hAnsi="Arial Narrow" w:cs="Arial"/>
                <w:color w:val="0070C0"/>
                <w:sz w:val="16"/>
                <w:szCs w:val="16"/>
                <w:lang w:eastAsia="pt-BR"/>
              </w:rPr>
              <w:t> </w:t>
            </w:r>
          </w:p>
        </w:tc>
        <w:tc>
          <w:tcPr>
            <w:tcW w:w="1420" w:type="dxa"/>
            <w:tcBorders>
              <w:top w:val="nil"/>
              <w:left w:val="nil"/>
              <w:bottom w:val="nil"/>
              <w:right w:val="single" w:sz="8" w:space="0" w:color="auto"/>
            </w:tcBorders>
            <w:shd w:val="clear" w:color="auto" w:fill="auto"/>
            <w:noWrap/>
            <w:vAlign w:val="center"/>
            <w:hideMark/>
          </w:tcPr>
          <w:p w14:paraId="766FECDA" w14:textId="77777777" w:rsidR="002865D9" w:rsidRPr="009548D7" w:rsidRDefault="002865D9" w:rsidP="002865D9">
            <w:pPr>
              <w:spacing w:after="0" w:line="240" w:lineRule="auto"/>
              <w:rPr>
                <w:rFonts w:ascii="Arial Narrow" w:eastAsia="Times New Roman" w:hAnsi="Arial Narrow" w:cs="Arial"/>
                <w:color w:val="0070C0"/>
                <w:sz w:val="16"/>
                <w:szCs w:val="16"/>
                <w:lang w:eastAsia="pt-BR"/>
              </w:rPr>
            </w:pPr>
            <w:r w:rsidRPr="009548D7">
              <w:rPr>
                <w:rFonts w:ascii="Arial Narrow" w:eastAsia="Times New Roman" w:hAnsi="Arial Narrow" w:cs="Arial"/>
                <w:color w:val="0070C0"/>
                <w:sz w:val="16"/>
                <w:szCs w:val="16"/>
                <w:lang w:eastAsia="pt-BR"/>
              </w:rPr>
              <w:t> </w:t>
            </w:r>
          </w:p>
        </w:tc>
      </w:tr>
      <w:tr w:rsidR="002865D9" w:rsidRPr="009548D7" w14:paraId="1D3B64E6" w14:textId="77777777" w:rsidTr="00A9732C">
        <w:trPr>
          <w:trHeight w:val="270"/>
        </w:trPr>
        <w:tc>
          <w:tcPr>
            <w:tcW w:w="4410" w:type="dxa"/>
            <w:tcBorders>
              <w:top w:val="nil"/>
              <w:left w:val="single" w:sz="8" w:space="0" w:color="auto"/>
              <w:bottom w:val="nil"/>
            </w:tcBorders>
            <w:shd w:val="clear" w:color="auto" w:fill="auto"/>
            <w:noWrap/>
            <w:vAlign w:val="center"/>
            <w:hideMark/>
          </w:tcPr>
          <w:p w14:paraId="730F5E5F" w14:textId="57538802" w:rsidR="002865D9" w:rsidRPr="009548D7" w:rsidRDefault="002865D9" w:rsidP="002865D9">
            <w:pPr>
              <w:spacing w:after="0" w:line="240" w:lineRule="auto"/>
              <w:ind w:firstLineChars="200" w:firstLine="32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Investimentos do RPPS de Longo Prazo</w:t>
            </w:r>
          </w:p>
        </w:tc>
        <w:tc>
          <w:tcPr>
            <w:tcW w:w="767" w:type="dxa"/>
            <w:tcBorders>
              <w:top w:val="nil"/>
              <w:bottom w:val="nil"/>
              <w:right w:val="single" w:sz="4" w:space="0" w:color="auto"/>
            </w:tcBorders>
            <w:shd w:val="clear" w:color="auto" w:fill="auto"/>
            <w:noWrap/>
            <w:vAlign w:val="center"/>
          </w:tcPr>
          <w:p w14:paraId="2FA4529B"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4E01D3F5" w14:textId="18542DCA"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BPA.D049</w:t>
            </w:r>
          </w:p>
        </w:tc>
        <w:tc>
          <w:tcPr>
            <w:tcW w:w="1262" w:type="dxa"/>
            <w:tcBorders>
              <w:top w:val="nil"/>
              <w:left w:val="nil"/>
              <w:bottom w:val="nil"/>
              <w:right w:val="single" w:sz="8" w:space="0" w:color="auto"/>
            </w:tcBorders>
            <w:shd w:val="clear" w:color="auto" w:fill="auto"/>
            <w:noWrap/>
            <w:vAlign w:val="center"/>
            <w:hideMark/>
          </w:tcPr>
          <w:p w14:paraId="372D3B11" w14:textId="2C631CAC"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BPA.E049</w:t>
            </w:r>
          </w:p>
        </w:tc>
        <w:tc>
          <w:tcPr>
            <w:tcW w:w="4562" w:type="dxa"/>
            <w:tcBorders>
              <w:top w:val="nil"/>
              <w:left w:val="nil"/>
              <w:bottom w:val="nil"/>
            </w:tcBorders>
            <w:shd w:val="clear" w:color="auto" w:fill="auto"/>
            <w:noWrap/>
            <w:vAlign w:val="center"/>
            <w:hideMark/>
          </w:tcPr>
          <w:p w14:paraId="5D3FC594" w14:textId="77777777" w:rsidR="002865D9" w:rsidRPr="009548D7" w:rsidRDefault="002865D9" w:rsidP="002865D9">
            <w:pPr>
              <w:spacing w:after="0" w:line="240" w:lineRule="auto"/>
              <w:rPr>
                <w:rFonts w:ascii="Arial Narrow" w:eastAsia="Times New Roman" w:hAnsi="Arial Narrow" w:cs="Arial"/>
                <w:color w:val="0070C0"/>
                <w:sz w:val="16"/>
                <w:szCs w:val="16"/>
                <w:lang w:eastAsia="pt-BR"/>
              </w:rPr>
            </w:pPr>
            <w:r w:rsidRPr="009548D7">
              <w:rPr>
                <w:rFonts w:ascii="Arial Narrow" w:eastAsia="Times New Roman" w:hAnsi="Arial Narrow" w:cs="Arial"/>
                <w:color w:val="0070C0"/>
                <w:sz w:val="16"/>
                <w:szCs w:val="16"/>
                <w:lang w:eastAsia="pt-BR"/>
              </w:rPr>
              <w:t> </w:t>
            </w:r>
          </w:p>
        </w:tc>
        <w:tc>
          <w:tcPr>
            <w:tcW w:w="775" w:type="dxa"/>
            <w:tcBorders>
              <w:top w:val="nil"/>
              <w:bottom w:val="single" w:sz="8" w:space="0" w:color="auto"/>
              <w:right w:val="single" w:sz="8" w:space="0" w:color="auto"/>
            </w:tcBorders>
            <w:shd w:val="clear" w:color="auto" w:fill="auto"/>
            <w:noWrap/>
            <w:vAlign w:val="center"/>
          </w:tcPr>
          <w:p w14:paraId="728BA6C3" w14:textId="77777777" w:rsidR="002865D9" w:rsidRPr="009548D7" w:rsidRDefault="002865D9" w:rsidP="002865D9">
            <w:pPr>
              <w:spacing w:after="0" w:line="240" w:lineRule="auto"/>
              <w:rPr>
                <w:rFonts w:ascii="Arial Narrow" w:eastAsia="Times New Roman" w:hAnsi="Arial Narrow" w:cs="Arial"/>
                <w:color w:val="0070C0"/>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72898B89" w14:textId="77777777" w:rsidR="002865D9" w:rsidRPr="009548D7" w:rsidRDefault="002865D9" w:rsidP="002865D9">
            <w:pPr>
              <w:spacing w:after="0" w:line="240" w:lineRule="auto"/>
              <w:jc w:val="center"/>
              <w:rPr>
                <w:rFonts w:ascii="Arial Narrow" w:eastAsia="Times New Roman" w:hAnsi="Arial Narrow" w:cs="Arial"/>
                <w:color w:val="0070C0"/>
                <w:sz w:val="16"/>
                <w:szCs w:val="16"/>
                <w:lang w:eastAsia="pt-BR"/>
              </w:rPr>
            </w:pPr>
            <w:r w:rsidRPr="009548D7">
              <w:rPr>
                <w:rFonts w:ascii="Arial Narrow" w:eastAsia="Times New Roman" w:hAnsi="Arial Narrow" w:cs="Arial"/>
                <w:color w:val="0070C0"/>
                <w:sz w:val="16"/>
                <w:szCs w:val="16"/>
                <w:lang w:eastAsia="pt-BR"/>
              </w:rPr>
              <w:t> </w:t>
            </w:r>
          </w:p>
        </w:tc>
        <w:tc>
          <w:tcPr>
            <w:tcW w:w="1420" w:type="dxa"/>
            <w:tcBorders>
              <w:top w:val="nil"/>
              <w:left w:val="nil"/>
              <w:bottom w:val="nil"/>
              <w:right w:val="single" w:sz="8" w:space="0" w:color="auto"/>
            </w:tcBorders>
            <w:shd w:val="clear" w:color="auto" w:fill="auto"/>
            <w:noWrap/>
            <w:vAlign w:val="center"/>
            <w:hideMark/>
          </w:tcPr>
          <w:p w14:paraId="21BAFAFC" w14:textId="77777777" w:rsidR="002865D9" w:rsidRPr="009548D7" w:rsidRDefault="002865D9" w:rsidP="002865D9">
            <w:pPr>
              <w:spacing w:after="0" w:line="240" w:lineRule="auto"/>
              <w:rPr>
                <w:rFonts w:ascii="Arial Narrow" w:eastAsia="Times New Roman" w:hAnsi="Arial Narrow" w:cs="Arial"/>
                <w:color w:val="0070C0"/>
                <w:sz w:val="16"/>
                <w:szCs w:val="16"/>
                <w:lang w:eastAsia="pt-BR"/>
              </w:rPr>
            </w:pPr>
            <w:r w:rsidRPr="009548D7">
              <w:rPr>
                <w:rFonts w:ascii="Arial Narrow" w:eastAsia="Times New Roman" w:hAnsi="Arial Narrow" w:cs="Arial"/>
                <w:color w:val="0070C0"/>
                <w:sz w:val="16"/>
                <w:szCs w:val="16"/>
                <w:lang w:eastAsia="pt-BR"/>
              </w:rPr>
              <w:t> </w:t>
            </w:r>
          </w:p>
        </w:tc>
      </w:tr>
      <w:tr w:rsidR="002865D9" w:rsidRPr="009548D7" w14:paraId="073484D5" w14:textId="77777777" w:rsidTr="00A9732C">
        <w:trPr>
          <w:trHeight w:val="270"/>
        </w:trPr>
        <w:tc>
          <w:tcPr>
            <w:tcW w:w="4410" w:type="dxa"/>
            <w:tcBorders>
              <w:top w:val="nil"/>
              <w:left w:val="single" w:sz="8" w:space="0" w:color="auto"/>
              <w:bottom w:val="nil"/>
            </w:tcBorders>
            <w:shd w:val="clear" w:color="auto" w:fill="auto"/>
            <w:noWrap/>
            <w:vAlign w:val="center"/>
            <w:hideMark/>
          </w:tcPr>
          <w:p w14:paraId="0A9A8CBF" w14:textId="1D97DB3D" w:rsidR="002865D9" w:rsidRPr="009548D7" w:rsidRDefault="002865D9" w:rsidP="002865D9">
            <w:pPr>
              <w:spacing w:after="0" w:line="240" w:lineRule="auto"/>
              <w:ind w:firstLineChars="200" w:firstLine="32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xml:space="preserve">(-) Redução ao Valor Recuperável de Investimentos do RPPS </w:t>
            </w:r>
          </w:p>
        </w:tc>
        <w:tc>
          <w:tcPr>
            <w:tcW w:w="767" w:type="dxa"/>
            <w:tcBorders>
              <w:top w:val="nil"/>
              <w:bottom w:val="nil"/>
              <w:right w:val="single" w:sz="4" w:space="0" w:color="auto"/>
            </w:tcBorders>
            <w:shd w:val="clear" w:color="auto" w:fill="auto"/>
            <w:noWrap/>
            <w:vAlign w:val="center"/>
          </w:tcPr>
          <w:p w14:paraId="66162FE9"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7C38E425" w14:textId="72C21504"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BPA.D050</w:t>
            </w:r>
          </w:p>
        </w:tc>
        <w:tc>
          <w:tcPr>
            <w:tcW w:w="1262" w:type="dxa"/>
            <w:tcBorders>
              <w:top w:val="nil"/>
              <w:left w:val="nil"/>
              <w:bottom w:val="nil"/>
              <w:right w:val="single" w:sz="8" w:space="0" w:color="auto"/>
            </w:tcBorders>
            <w:shd w:val="clear" w:color="auto" w:fill="auto"/>
            <w:noWrap/>
            <w:vAlign w:val="center"/>
            <w:hideMark/>
          </w:tcPr>
          <w:p w14:paraId="2D954BDD" w14:textId="0048EC75"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BPA.E050</w:t>
            </w:r>
          </w:p>
        </w:tc>
        <w:tc>
          <w:tcPr>
            <w:tcW w:w="4562" w:type="dxa"/>
            <w:tcBorders>
              <w:top w:val="single" w:sz="8" w:space="0" w:color="auto"/>
              <w:left w:val="nil"/>
              <w:bottom w:val="single" w:sz="8" w:space="0" w:color="auto"/>
            </w:tcBorders>
            <w:shd w:val="clear" w:color="auto" w:fill="auto"/>
            <w:noWrap/>
            <w:vAlign w:val="center"/>
            <w:hideMark/>
          </w:tcPr>
          <w:p w14:paraId="538C30D4" w14:textId="77777777" w:rsidR="002865D9" w:rsidRPr="009548D7" w:rsidRDefault="002865D9" w:rsidP="002865D9">
            <w:pPr>
              <w:spacing w:after="0" w:line="240" w:lineRule="auto"/>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TOTAL DO PASSIVO</w:t>
            </w:r>
          </w:p>
        </w:tc>
        <w:tc>
          <w:tcPr>
            <w:tcW w:w="775" w:type="dxa"/>
            <w:tcBorders>
              <w:top w:val="nil"/>
              <w:bottom w:val="nil"/>
              <w:right w:val="single" w:sz="8" w:space="0" w:color="auto"/>
            </w:tcBorders>
            <w:shd w:val="clear" w:color="auto" w:fill="auto"/>
            <w:noWrap/>
            <w:vAlign w:val="center"/>
          </w:tcPr>
          <w:p w14:paraId="443A2329" w14:textId="77777777" w:rsidR="002865D9" w:rsidRPr="009548D7" w:rsidRDefault="002865D9" w:rsidP="002865D9">
            <w:pPr>
              <w:spacing w:after="0" w:line="240" w:lineRule="auto"/>
              <w:jc w:val="center"/>
              <w:rPr>
                <w:rFonts w:ascii="Arial Narrow" w:eastAsia="Times New Roman" w:hAnsi="Arial Narrow" w:cs="Arial"/>
                <w:b/>
                <w:bCs/>
                <w:sz w:val="16"/>
                <w:szCs w:val="16"/>
                <w:lang w:eastAsia="pt-BR"/>
              </w:rPr>
            </w:pPr>
          </w:p>
        </w:tc>
        <w:tc>
          <w:tcPr>
            <w:tcW w:w="1063" w:type="dxa"/>
            <w:tcBorders>
              <w:top w:val="single" w:sz="8" w:space="0" w:color="auto"/>
              <w:left w:val="nil"/>
              <w:bottom w:val="single" w:sz="8" w:space="0" w:color="auto"/>
              <w:right w:val="single" w:sz="8" w:space="0" w:color="auto"/>
            </w:tcBorders>
            <w:shd w:val="clear" w:color="auto" w:fill="auto"/>
            <w:noWrap/>
            <w:vAlign w:val="center"/>
            <w:hideMark/>
          </w:tcPr>
          <w:p w14:paraId="0563B630" w14:textId="77777777" w:rsidR="002865D9" w:rsidRPr="009548D7" w:rsidRDefault="002865D9" w:rsidP="002865D9">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BPA.H048</w:t>
            </w:r>
          </w:p>
        </w:tc>
        <w:tc>
          <w:tcPr>
            <w:tcW w:w="1420" w:type="dxa"/>
            <w:tcBorders>
              <w:top w:val="single" w:sz="8" w:space="0" w:color="auto"/>
              <w:left w:val="nil"/>
              <w:bottom w:val="single" w:sz="8" w:space="0" w:color="auto"/>
              <w:right w:val="single" w:sz="8" w:space="0" w:color="auto"/>
            </w:tcBorders>
            <w:shd w:val="clear" w:color="auto" w:fill="auto"/>
            <w:noWrap/>
            <w:vAlign w:val="center"/>
            <w:hideMark/>
          </w:tcPr>
          <w:p w14:paraId="5D50FE31" w14:textId="77777777" w:rsidR="002865D9" w:rsidRPr="009548D7" w:rsidRDefault="002865D9" w:rsidP="002865D9">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BPA.I48</w:t>
            </w:r>
          </w:p>
        </w:tc>
      </w:tr>
      <w:tr w:rsidR="002865D9" w:rsidRPr="009548D7" w14:paraId="7B122EBA" w14:textId="77777777" w:rsidTr="00A9732C">
        <w:trPr>
          <w:trHeight w:val="270"/>
        </w:trPr>
        <w:tc>
          <w:tcPr>
            <w:tcW w:w="4410" w:type="dxa"/>
            <w:tcBorders>
              <w:top w:val="nil"/>
              <w:left w:val="single" w:sz="8" w:space="0" w:color="auto"/>
              <w:bottom w:val="nil"/>
            </w:tcBorders>
            <w:shd w:val="clear" w:color="auto" w:fill="auto"/>
            <w:noWrap/>
            <w:vAlign w:val="center"/>
            <w:hideMark/>
          </w:tcPr>
          <w:p w14:paraId="04D8897E" w14:textId="1655FF62" w:rsidR="002865D9" w:rsidRPr="009548D7" w:rsidRDefault="002865D9" w:rsidP="002865D9">
            <w:pPr>
              <w:spacing w:after="0" w:line="240" w:lineRule="auto"/>
              <w:ind w:firstLineChars="200" w:firstLine="32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Demais Investimentos Permanentes</w:t>
            </w:r>
          </w:p>
        </w:tc>
        <w:tc>
          <w:tcPr>
            <w:tcW w:w="767" w:type="dxa"/>
            <w:tcBorders>
              <w:top w:val="nil"/>
              <w:bottom w:val="nil"/>
              <w:right w:val="single" w:sz="4" w:space="0" w:color="auto"/>
            </w:tcBorders>
            <w:shd w:val="clear" w:color="auto" w:fill="auto"/>
            <w:noWrap/>
            <w:vAlign w:val="center"/>
          </w:tcPr>
          <w:p w14:paraId="021F5D66"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084ED57E" w14:textId="504B171F"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BPA.D051</w:t>
            </w:r>
          </w:p>
        </w:tc>
        <w:tc>
          <w:tcPr>
            <w:tcW w:w="1262" w:type="dxa"/>
            <w:tcBorders>
              <w:top w:val="nil"/>
              <w:left w:val="nil"/>
              <w:bottom w:val="nil"/>
            </w:tcBorders>
            <w:shd w:val="clear" w:color="auto" w:fill="auto"/>
            <w:noWrap/>
            <w:vAlign w:val="center"/>
            <w:hideMark/>
          </w:tcPr>
          <w:p w14:paraId="53610888" w14:textId="2DD6E1E0"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BPA.E051</w:t>
            </w:r>
          </w:p>
        </w:tc>
        <w:tc>
          <w:tcPr>
            <w:tcW w:w="7820" w:type="dxa"/>
            <w:gridSpan w:val="4"/>
            <w:tcBorders>
              <w:top w:val="single" w:sz="8" w:space="0" w:color="auto"/>
              <w:bottom w:val="single" w:sz="8" w:space="0" w:color="auto"/>
              <w:right w:val="single" w:sz="8" w:space="0" w:color="000000"/>
            </w:tcBorders>
            <w:shd w:val="clear" w:color="000000" w:fill="D9D9D9"/>
            <w:noWrap/>
            <w:vAlign w:val="center"/>
            <w:hideMark/>
          </w:tcPr>
          <w:p w14:paraId="4C913E5C" w14:textId="77777777" w:rsidR="002865D9" w:rsidRPr="009548D7" w:rsidRDefault="002865D9" w:rsidP="002865D9">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PATRIMÔNIO LÍQUIDO</w:t>
            </w:r>
          </w:p>
        </w:tc>
      </w:tr>
      <w:tr w:rsidR="002865D9" w:rsidRPr="009548D7" w14:paraId="365A3E05" w14:textId="77777777" w:rsidTr="00A9732C">
        <w:trPr>
          <w:trHeight w:val="240"/>
        </w:trPr>
        <w:tc>
          <w:tcPr>
            <w:tcW w:w="4410" w:type="dxa"/>
            <w:tcBorders>
              <w:top w:val="nil"/>
              <w:left w:val="single" w:sz="8" w:space="0" w:color="auto"/>
              <w:bottom w:val="nil"/>
            </w:tcBorders>
            <w:shd w:val="clear" w:color="auto" w:fill="auto"/>
            <w:noWrap/>
            <w:vAlign w:val="center"/>
            <w:hideMark/>
          </w:tcPr>
          <w:p w14:paraId="03979793" w14:textId="5F851934" w:rsidR="002865D9" w:rsidRPr="009548D7" w:rsidRDefault="002865D9" w:rsidP="002865D9">
            <w:pPr>
              <w:spacing w:after="0" w:line="240" w:lineRule="auto"/>
              <w:ind w:firstLineChars="200" w:firstLine="32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Redução ao Valor Recuperável de Demais Investimentos Permanentes</w:t>
            </w:r>
          </w:p>
        </w:tc>
        <w:tc>
          <w:tcPr>
            <w:tcW w:w="767" w:type="dxa"/>
            <w:tcBorders>
              <w:top w:val="nil"/>
              <w:bottom w:val="nil"/>
              <w:right w:val="single" w:sz="4" w:space="0" w:color="auto"/>
            </w:tcBorders>
            <w:shd w:val="clear" w:color="auto" w:fill="auto"/>
            <w:noWrap/>
            <w:vAlign w:val="center"/>
          </w:tcPr>
          <w:p w14:paraId="699E9B92"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04C32096" w14:textId="6D8E3A3D"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BPA.D052</w:t>
            </w:r>
          </w:p>
        </w:tc>
        <w:tc>
          <w:tcPr>
            <w:tcW w:w="1262" w:type="dxa"/>
            <w:tcBorders>
              <w:top w:val="nil"/>
              <w:left w:val="nil"/>
              <w:bottom w:val="nil"/>
              <w:right w:val="single" w:sz="8" w:space="0" w:color="auto"/>
            </w:tcBorders>
            <w:shd w:val="clear" w:color="auto" w:fill="auto"/>
            <w:noWrap/>
            <w:vAlign w:val="center"/>
            <w:hideMark/>
          </w:tcPr>
          <w:p w14:paraId="4CC5C739" w14:textId="05747120"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BPA.E052</w:t>
            </w:r>
          </w:p>
        </w:tc>
        <w:tc>
          <w:tcPr>
            <w:tcW w:w="4562" w:type="dxa"/>
            <w:tcBorders>
              <w:top w:val="nil"/>
              <w:left w:val="nil"/>
              <w:bottom w:val="single" w:sz="8" w:space="0" w:color="auto"/>
            </w:tcBorders>
            <w:shd w:val="clear" w:color="000000" w:fill="D9D9D9"/>
            <w:noWrap/>
            <w:vAlign w:val="center"/>
            <w:hideMark/>
          </w:tcPr>
          <w:p w14:paraId="5A78C067" w14:textId="77777777" w:rsidR="002865D9" w:rsidRPr="009548D7" w:rsidRDefault="002865D9" w:rsidP="002865D9">
            <w:pPr>
              <w:spacing w:after="0" w:line="240" w:lineRule="auto"/>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ESPECIFICAÇÃO</w:t>
            </w:r>
          </w:p>
        </w:tc>
        <w:tc>
          <w:tcPr>
            <w:tcW w:w="775" w:type="dxa"/>
            <w:tcBorders>
              <w:top w:val="nil"/>
              <w:bottom w:val="single" w:sz="8" w:space="0" w:color="auto"/>
              <w:right w:val="single" w:sz="8" w:space="0" w:color="auto"/>
            </w:tcBorders>
            <w:shd w:val="clear" w:color="000000" w:fill="D9D9D9"/>
            <w:noWrap/>
            <w:vAlign w:val="center"/>
          </w:tcPr>
          <w:p w14:paraId="657A226E" w14:textId="77777777" w:rsidR="002865D9" w:rsidRPr="009548D7" w:rsidRDefault="002865D9" w:rsidP="002865D9">
            <w:pPr>
              <w:spacing w:after="0" w:line="240" w:lineRule="auto"/>
              <w:rPr>
                <w:rFonts w:ascii="Arial Narrow" w:eastAsia="Times New Roman" w:hAnsi="Arial Narrow" w:cs="Arial"/>
                <w:b/>
                <w:bCs/>
                <w:sz w:val="16"/>
                <w:szCs w:val="16"/>
                <w:lang w:eastAsia="pt-BR"/>
              </w:rPr>
            </w:pPr>
          </w:p>
        </w:tc>
        <w:tc>
          <w:tcPr>
            <w:tcW w:w="1063" w:type="dxa"/>
            <w:tcBorders>
              <w:top w:val="nil"/>
              <w:left w:val="nil"/>
              <w:bottom w:val="single" w:sz="8" w:space="0" w:color="auto"/>
              <w:right w:val="single" w:sz="8" w:space="0" w:color="auto"/>
            </w:tcBorders>
            <w:shd w:val="clear" w:color="000000" w:fill="D9D9D9"/>
            <w:noWrap/>
            <w:vAlign w:val="center"/>
            <w:hideMark/>
          </w:tcPr>
          <w:p w14:paraId="1987CF33" w14:textId="77777777" w:rsidR="002865D9" w:rsidRPr="009548D7" w:rsidRDefault="002865D9" w:rsidP="002865D9">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Exercício Atual</w:t>
            </w:r>
          </w:p>
        </w:tc>
        <w:tc>
          <w:tcPr>
            <w:tcW w:w="1420" w:type="dxa"/>
            <w:tcBorders>
              <w:top w:val="nil"/>
              <w:left w:val="nil"/>
              <w:bottom w:val="single" w:sz="8" w:space="0" w:color="auto"/>
              <w:right w:val="single" w:sz="8" w:space="0" w:color="auto"/>
            </w:tcBorders>
            <w:shd w:val="clear" w:color="000000" w:fill="D9D9D9"/>
            <w:noWrap/>
            <w:vAlign w:val="center"/>
            <w:hideMark/>
          </w:tcPr>
          <w:p w14:paraId="0A2486F6" w14:textId="77777777" w:rsidR="002865D9" w:rsidRPr="009548D7" w:rsidRDefault="002865D9" w:rsidP="002865D9">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Exercício Anterior</w:t>
            </w:r>
          </w:p>
        </w:tc>
      </w:tr>
      <w:tr w:rsidR="002865D9" w:rsidRPr="009548D7" w14:paraId="72A3691C" w14:textId="77777777" w:rsidTr="00A9732C">
        <w:trPr>
          <w:trHeight w:val="255"/>
        </w:trPr>
        <w:tc>
          <w:tcPr>
            <w:tcW w:w="4410" w:type="dxa"/>
            <w:tcBorders>
              <w:top w:val="nil"/>
              <w:left w:val="single" w:sz="8" w:space="0" w:color="auto"/>
              <w:bottom w:val="nil"/>
            </w:tcBorders>
            <w:shd w:val="clear" w:color="auto" w:fill="auto"/>
            <w:noWrap/>
            <w:vAlign w:val="center"/>
            <w:hideMark/>
          </w:tcPr>
          <w:p w14:paraId="3F0A1790" w14:textId="16DAC1BC" w:rsidR="002865D9" w:rsidRPr="009548D7" w:rsidRDefault="002865D9" w:rsidP="002865D9">
            <w:pPr>
              <w:spacing w:after="0" w:line="240" w:lineRule="auto"/>
              <w:ind w:firstLineChars="200" w:firstLine="320"/>
              <w:rPr>
                <w:rFonts w:ascii="Arial Narrow" w:eastAsia="Times New Roman" w:hAnsi="Arial Narrow" w:cs="Arial"/>
                <w:sz w:val="16"/>
                <w:szCs w:val="16"/>
                <w:lang w:eastAsia="pt-BR"/>
              </w:rPr>
            </w:pPr>
            <w:r w:rsidRPr="00353139">
              <w:rPr>
                <w:rFonts w:ascii="Arial Narrow" w:eastAsia="Times New Roman" w:hAnsi="Arial Narrow" w:cs="Arial"/>
                <w:bCs/>
                <w:sz w:val="16"/>
                <w:szCs w:val="16"/>
                <w:lang w:eastAsia="pt-BR"/>
              </w:rPr>
              <w:t>(-) Depreciação Acumulada de Outros Investimentos</w:t>
            </w:r>
          </w:p>
        </w:tc>
        <w:tc>
          <w:tcPr>
            <w:tcW w:w="767" w:type="dxa"/>
            <w:tcBorders>
              <w:top w:val="nil"/>
              <w:bottom w:val="nil"/>
              <w:right w:val="single" w:sz="4" w:space="0" w:color="auto"/>
            </w:tcBorders>
            <w:shd w:val="clear" w:color="auto" w:fill="auto"/>
            <w:noWrap/>
            <w:vAlign w:val="center"/>
          </w:tcPr>
          <w:p w14:paraId="0136CFAD"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2EC9C397" w14:textId="7C16E131"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353139">
              <w:rPr>
                <w:rFonts w:ascii="Arial Narrow" w:eastAsia="Times New Roman" w:hAnsi="Arial Narrow" w:cs="Arial"/>
                <w:bCs/>
                <w:sz w:val="16"/>
                <w:szCs w:val="16"/>
                <w:lang w:eastAsia="pt-BR"/>
              </w:rPr>
              <w:t>BPA.D091</w:t>
            </w:r>
          </w:p>
        </w:tc>
        <w:tc>
          <w:tcPr>
            <w:tcW w:w="1262" w:type="dxa"/>
            <w:tcBorders>
              <w:top w:val="nil"/>
              <w:left w:val="nil"/>
              <w:bottom w:val="nil"/>
              <w:right w:val="single" w:sz="8" w:space="0" w:color="auto"/>
            </w:tcBorders>
            <w:shd w:val="clear" w:color="auto" w:fill="auto"/>
            <w:noWrap/>
            <w:vAlign w:val="center"/>
            <w:hideMark/>
          </w:tcPr>
          <w:p w14:paraId="0D6143FD" w14:textId="279D38CC"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353139">
              <w:rPr>
                <w:rFonts w:ascii="Arial Narrow" w:eastAsia="Times New Roman" w:hAnsi="Arial Narrow" w:cs="Arial"/>
                <w:bCs/>
                <w:sz w:val="16"/>
                <w:szCs w:val="16"/>
                <w:lang w:eastAsia="pt-BR"/>
              </w:rPr>
              <w:t>BPA.E091</w:t>
            </w:r>
          </w:p>
        </w:tc>
        <w:tc>
          <w:tcPr>
            <w:tcW w:w="4562" w:type="dxa"/>
            <w:tcBorders>
              <w:top w:val="nil"/>
              <w:left w:val="nil"/>
              <w:bottom w:val="nil"/>
            </w:tcBorders>
            <w:shd w:val="clear" w:color="auto" w:fill="auto"/>
            <w:vAlign w:val="center"/>
            <w:hideMark/>
          </w:tcPr>
          <w:p w14:paraId="6779EE80" w14:textId="77777777" w:rsidR="002865D9" w:rsidRPr="009548D7" w:rsidRDefault="002865D9" w:rsidP="002865D9">
            <w:pPr>
              <w:spacing w:after="0" w:line="240" w:lineRule="auto"/>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xml:space="preserve">Patrimônio Social/Capital Social  </w:t>
            </w:r>
          </w:p>
        </w:tc>
        <w:tc>
          <w:tcPr>
            <w:tcW w:w="775" w:type="dxa"/>
            <w:tcBorders>
              <w:top w:val="nil"/>
              <w:bottom w:val="nil"/>
              <w:right w:val="single" w:sz="8" w:space="0" w:color="auto"/>
            </w:tcBorders>
            <w:shd w:val="clear" w:color="auto" w:fill="auto"/>
            <w:noWrap/>
            <w:vAlign w:val="center"/>
          </w:tcPr>
          <w:p w14:paraId="4BBFA5CA"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12480D27"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BPA.H051</w:t>
            </w:r>
          </w:p>
        </w:tc>
        <w:tc>
          <w:tcPr>
            <w:tcW w:w="1420" w:type="dxa"/>
            <w:tcBorders>
              <w:top w:val="nil"/>
              <w:left w:val="nil"/>
              <w:bottom w:val="nil"/>
              <w:right w:val="single" w:sz="8" w:space="0" w:color="auto"/>
            </w:tcBorders>
            <w:shd w:val="clear" w:color="auto" w:fill="auto"/>
            <w:noWrap/>
            <w:vAlign w:val="center"/>
            <w:hideMark/>
          </w:tcPr>
          <w:p w14:paraId="712D51AE"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BPA.I051</w:t>
            </w:r>
          </w:p>
        </w:tc>
      </w:tr>
      <w:tr w:rsidR="002865D9" w:rsidRPr="009548D7" w14:paraId="0053BCC4" w14:textId="77777777" w:rsidTr="00A9732C">
        <w:trPr>
          <w:trHeight w:val="255"/>
        </w:trPr>
        <w:tc>
          <w:tcPr>
            <w:tcW w:w="4410" w:type="dxa"/>
            <w:tcBorders>
              <w:top w:val="nil"/>
              <w:left w:val="single" w:sz="8" w:space="0" w:color="auto"/>
              <w:bottom w:val="nil"/>
            </w:tcBorders>
            <w:shd w:val="clear" w:color="auto" w:fill="auto"/>
            <w:noWrap/>
            <w:vAlign w:val="center"/>
          </w:tcPr>
          <w:p w14:paraId="02043C67" w14:textId="7E23C9C9" w:rsidR="002865D9" w:rsidRPr="00353139" w:rsidRDefault="00C56947" w:rsidP="00C56947">
            <w:pPr>
              <w:spacing w:after="0" w:line="240" w:lineRule="auto"/>
              <w:rPr>
                <w:rFonts w:ascii="Arial Narrow" w:eastAsia="Times New Roman" w:hAnsi="Arial Narrow" w:cs="Arial"/>
                <w:sz w:val="16"/>
                <w:szCs w:val="16"/>
                <w:lang w:eastAsia="pt-BR"/>
              </w:rPr>
            </w:pPr>
            <w:r>
              <w:rPr>
                <w:rFonts w:ascii="Arial Narrow" w:eastAsia="Times New Roman" w:hAnsi="Arial Narrow" w:cs="Arial"/>
                <w:b/>
                <w:bCs/>
                <w:sz w:val="16"/>
                <w:szCs w:val="16"/>
                <w:lang w:eastAsia="pt-BR"/>
              </w:rPr>
              <w:t xml:space="preserve">     </w:t>
            </w:r>
            <w:r w:rsidR="002865D9" w:rsidRPr="00353139">
              <w:rPr>
                <w:rFonts w:ascii="Arial Narrow" w:eastAsia="Times New Roman" w:hAnsi="Arial Narrow" w:cs="Arial"/>
                <w:b/>
                <w:bCs/>
                <w:sz w:val="16"/>
                <w:szCs w:val="16"/>
                <w:lang w:eastAsia="pt-BR"/>
              </w:rPr>
              <w:t>Imobilizado</w:t>
            </w:r>
          </w:p>
        </w:tc>
        <w:tc>
          <w:tcPr>
            <w:tcW w:w="767" w:type="dxa"/>
            <w:tcBorders>
              <w:top w:val="nil"/>
              <w:bottom w:val="nil"/>
              <w:right w:val="single" w:sz="4" w:space="0" w:color="auto"/>
            </w:tcBorders>
            <w:shd w:val="clear" w:color="auto" w:fill="auto"/>
            <w:noWrap/>
            <w:vAlign w:val="center"/>
          </w:tcPr>
          <w:p w14:paraId="778DFE2D" w14:textId="77777777" w:rsidR="002865D9" w:rsidRPr="00353139" w:rsidRDefault="002865D9" w:rsidP="002865D9">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tcPr>
          <w:p w14:paraId="1D5CFE7C" w14:textId="72009A63" w:rsidR="002865D9" w:rsidRPr="00353139" w:rsidRDefault="002865D9" w:rsidP="002865D9">
            <w:pPr>
              <w:spacing w:after="0" w:line="240" w:lineRule="auto"/>
              <w:jc w:val="center"/>
              <w:rPr>
                <w:rFonts w:ascii="Arial Narrow" w:eastAsia="Times New Roman" w:hAnsi="Arial Narrow" w:cs="Arial"/>
                <w:sz w:val="16"/>
                <w:szCs w:val="16"/>
                <w:lang w:eastAsia="pt-BR"/>
              </w:rPr>
            </w:pPr>
            <w:r w:rsidRPr="00353139">
              <w:rPr>
                <w:rFonts w:ascii="Arial Narrow" w:eastAsia="Times New Roman" w:hAnsi="Arial Narrow" w:cs="Arial"/>
                <w:b/>
                <w:bCs/>
                <w:sz w:val="16"/>
                <w:szCs w:val="16"/>
                <w:lang w:eastAsia="pt-BR"/>
              </w:rPr>
              <w:t>BPA.D053</w:t>
            </w:r>
          </w:p>
        </w:tc>
        <w:tc>
          <w:tcPr>
            <w:tcW w:w="1262" w:type="dxa"/>
            <w:tcBorders>
              <w:top w:val="nil"/>
              <w:left w:val="nil"/>
              <w:bottom w:val="nil"/>
              <w:right w:val="single" w:sz="8" w:space="0" w:color="auto"/>
            </w:tcBorders>
            <w:shd w:val="clear" w:color="auto" w:fill="auto"/>
            <w:noWrap/>
            <w:vAlign w:val="center"/>
          </w:tcPr>
          <w:p w14:paraId="139BA873" w14:textId="6BD7BCB7" w:rsidR="002865D9" w:rsidRPr="00353139" w:rsidRDefault="002865D9" w:rsidP="002865D9">
            <w:pPr>
              <w:spacing w:after="0" w:line="240" w:lineRule="auto"/>
              <w:jc w:val="center"/>
              <w:rPr>
                <w:rFonts w:ascii="Arial Narrow" w:eastAsia="Times New Roman" w:hAnsi="Arial Narrow" w:cs="Arial"/>
                <w:sz w:val="16"/>
                <w:szCs w:val="16"/>
                <w:lang w:eastAsia="pt-BR"/>
              </w:rPr>
            </w:pPr>
            <w:r w:rsidRPr="00353139">
              <w:rPr>
                <w:rFonts w:ascii="Arial Narrow" w:eastAsia="Times New Roman" w:hAnsi="Arial Narrow" w:cs="Arial"/>
                <w:b/>
                <w:bCs/>
                <w:sz w:val="16"/>
                <w:szCs w:val="16"/>
                <w:lang w:eastAsia="pt-BR"/>
              </w:rPr>
              <w:t>BPA.E053</w:t>
            </w:r>
          </w:p>
        </w:tc>
        <w:tc>
          <w:tcPr>
            <w:tcW w:w="4562" w:type="dxa"/>
            <w:tcBorders>
              <w:top w:val="nil"/>
              <w:left w:val="nil"/>
              <w:bottom w:val="nil"/>
            </w:tcBorders>
            <w:shd w:val="clear" w:color="auto" w:fill="auto"/>
            <w:vAlign w:val="center"/>
          </w:tcPr>
          <w:p w14:paraId="559A0F9B" w14:textId="77777777" w:rsidR="002865D9" w:rsidRPr="00353139" w:rsidRDefault="002865D9" w:rsidP="002865D9">
            <w:pPr>
              <w:spacing w:after="0" w:line="240" w:lineRule="auto"/>
              <w:rPr>
                <w:rFonts w:ascii="Arial Narrow" w:eastAsia="Times New Roman" w:hAnsi="Arial Narrow" w:cs="Arial"/>
                <w:sz w:val="16"/>
                <w:szCs w:val="16"/>
                <w:lang w:eastAsia="pt-BR"/>
              </w:rPr>
            </w:pPr>
            <w:r w:rsidRPr="00353139">
              <w:rPr>
                <w:rFonts w:ascii="Arial Narrow" w:eastAsia="Times New Roman" w:hAnsi="Arial Narrow" w:cs="Arial"/>
                <w:sz w:val="16"/>
                <w:szCs w:val="16"/>
                <w:lang w:eastAsia="pt-BR"/>
              </w:rPr>
              <w:t>Adiantamento para Futuro Aumento de Capital</w:t>
            </w:r>
          </w:p>
        </w:tc>
        <w:tc>
          <w:tcPr>
            <w:tcW w:w="775" w:type="dxa"/>
            <w:tcBorders>
              <w:top w:val="nil"/>
              <w:bottom w:val="nil"/>
              <w:right w:val="single" w:sz="8" w:space="0" w:color="auto"/>
            </w:tcBorders>
            <w:shd w:val="clear" w:color="auto" w:fill="auto"/>
            <w:noWrap/>
            <w:vAlign w:val="center"/>
          </w:tcPr>
          <w:p w14:paraId="12558042"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tcPr>
          <w:p w14:paraId="75261A5F"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BPA.H052</w:t>
            </w:r>
          </w:p>
        </w:tc>
        <w:tc>
          <w:tcPr>
            <w:tcW w:w="1420" w:type="dxa"/>
            <w:tcBorders>
              <w:top w:val="nil"/>
              <w:left w:val="nil"/>
              <w:bottom w:val="nil"/>
              <w:right w:val="single" w:sz="8" w:space="0" w:color="auto"/>
            </w:tcBorders>
            <w:shd w:val="clear" w:color="auto" w:fill="auto"/>
            <w:noWrap/>
            <w:vAlign w:val="center"/>
          </w:tcPr>
          <w:p w14:paraId="51CEA9C5"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BPA.I052</w:t>
            </w:r>
          </w:p>
        </w:tc>
      </w:tr>
      <w:tr w:rsidR="002865D9" w:rsidRPr="009548D7" w14:paraId="6E5E0A82" w14:textId="77777777" w:rsidTr="00A9732C">
        <w:trPr>
          <w:trHeight w:val="225"/>
        </w:trPr>
        <w:tc>
          <w:tcPr>
            <w:tcW w:w="4410" w:type="dxa"/>
            <w:tcBorders>
              <w:top w:val="nil"/>
              <w:left w:val="single" w:sz="8" w:space="0" w:color="auto"/>
              <w:bottom w:val="nil"/>
            </w:tcBorders>
            <w:shd w:val="clear" w:color="auto" w:fill="auto"/>
            <w:noWrap/>
            <w:vAlign w:val="center"/>
            <w:hideMark/>
          </w:tcPr>
          <w:p w14:paraId="277D68A5" w14:textId="56132CE1" w:rsidR="002865D9" w:rsidRPr="00353139" w:rsidRDefault="00C56947" w:rsidP="002865D9">
            <w:pPr>
              <w:spacing w:after="0" w:line="240" w:lineRule="auto"/>
              <w:ind w:firstLineChars="100" w:firstLine="160"/>
              <w:rPr>
                <w:rFonts w:ascii="Arial Narrow" w:eastAsia="Times New Roman" w:hAnsi="Arial Narrow" w:cs="Arial"/>
                <w:b/>
                <w:bCs/>
                <w:sz w:val="16"/>
                <w:szCs w:val="16"/>
                <w:lang w:eastAsia="pt-BR"/>
              </w:rPr>
            </w:pPr>
            <w:r>
              <w:rPr>
                <w:rFonts w:ascii="Arial Narrow" w:eastAsia="Times New Roman" w:hAnsi="Arial Narrow" w:cs="Arial"/>
                <w:sz w:val="16"/>
                <w:szCs w:val="16"/>
                <w:lang w:eastAsia="pt-BR"/>
              </w:rPr>
              <w:t xml:space="preserve">    </w:t>
            </w:r>
            <w:r w:rsidR="002865D9" w:rsidRPr="009548D7">
              <w:rPr>
                <w:rFonts w:ascii="Arial Narrow" w:eastAsia="Times New Roman" w:hAnsi="Arial Narrow" w:cs="Arial"/>
                <w:sz w:val="16"/>
                <w:szCs w:val="16"/>
                <w:lang w:eastAsia="pt-BR"/>
              </w:rPr>
              <w:t>Bens Móveis</w:t>
            </w:r>
          </w:p>
        </w:tc>
        <w:tc>
          <w:tcPr>
            <w:tcW w:w="767" w:type="dxa"/>
            <w:tcBorders>
              <w:top w:val="nil"/>
              <w:bottom w:val="nil"/>
              <w:right w:val="single" w:sz="4" w:space="0" w:color="auto"/>
            </w:tcBorders>
            <w:shd w:val="clear" w:color="auto" w:fill="auto"/>
            <w:noWrap/>
            <w:vAlign w:val="center"/>
          </w:tcPr>
          <w:p w14:paraId="112459B0" w14:textId="77777777" w:rsidR="002865D9" w:rsidRPr="00353139" w:rsidRDefault="002865D9" w:rsidP="002865D9">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3A916B56" w14:textId="2E6EC7FB" w:rsidR="002865D9" w:rsidRPr="00353139"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BPA.D054</w:t>
            </w:r>
          </w:p>
        </w:tc>
        <w:tc>
          <w:tcPr>
            <w:tcW w:w="1262" w:type="dxa"/>
            <w:tcBorders>
              <w:top w:val="nil"/>
              <w:left w:val="nil"/>
              <w:bottom w:val="nil"/>
              <w:right w:val="single" w:sz="8" w:space="0" w:color="auto"/>
            </w:tcBorders>
            <w:shd w:val="clear" w:color="auto" w:fill="auto"/>
            <w:noWrap/>
            <w:vAlign w:val="center"/>
            <w:hideMark/>
          </w:tcPr>
          <w:p w14:paraId="77CF9722" w14:textId="2E37B147" w:rsidR="002865D9" w:rsidRPr="00353139"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BPA.E054</w:t>
            </w:r>
          </w:p>
        </w:tc>
        <w:tc>
          <w:tcPr>
            <w:tcW w:w="4562" w:type="dxa"/>
            <w:tcBorders>
              <w:top w:val="nil"/>
              <w:left w:val="nil"/>
              <w:bottom w:val="nil"/>
            </w:tcBorders>
            <w:shd w:val="clear" w:color="auto" w:fill="auto"/>
            <w:vAlign w:val="center"/>
            <w:hideMark/>
          </w:tcPr>
          <w:p w14:paraId="71E5EBD5" w14:textId="77777777" w:rsidR="002865D9" w:rsidRPr="00353139" w:rsidRDefault="002865D9" w:rsidP="002865D9">
            <w:pPr>
              <w:spacing w:after="0" w:line="240" w:lineRule="auto"/>
              <w:rPr>
                <w:rFonts w:ascii="Arial Narrow" w:eastAsia="Times New Roman" w:hAnsi="Arial Narrow" w:cs="Arial"/>
                <w:sz w:val="16"/>
                <w:szCs w:val="16"/>
                <w:lang w:eastAsia="pt-BR"/>
              </w:rPr>
            </w:pPr>
            <w:r w:rsidRPr="00353139">
              <w:rPr>
                <w:rFonts w:ascii="Arial Narrow" w:eastAsia="Times New Roman" w:hAnsi="Arial Narrow" w:cs="Arial"/>
                <w:sz w:val="16"/>
                <w:szCs w:val="16"/>
                <w:lang w:eastAsia="pt-BR"/>
              </w:rPr>
              <w:t>Reservas de Capital</w:t>
            </w:r>
          </w:p>
        </w:tc>
        <w:tc>
          <w:tcPr>
            <w:tcW w:w="775" w:type="dxa"/>
            <w:tcBorders>
              <w:top w:val="nil"/>
              <w:bottom w:val="nil"/>
              <w:right w:val="single" w:sz="8" w:space="0" w:color="auto"/>
            </w:tcBorders>
            <w:shd w:val="clear" w:color="auto" w:fill="auto"/>
            <w:noWrap/>
            <w:vAlign w:val="center"/>
          </w:tcPr>
          <w:p w14:paraId="1C954D95"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26CE02B4"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BPA.H053</w:t>
            </w:r>
          </w:p>
        </w:tc>
        <w:tc>
          <w:tcPr>
            <w:tcW w:w="1420" w:type="dxa"/>
            <w:tcBorders>
              <w:top w:val="nil"/>
              <w:left w:val="nil"/>
              <w:bottom w:val="nil"/>
              <w:right w:val="single" w:sz="8" w:space="0" w:color="auto"/>
            </w:tcBorders>
            <w:shd w:val="clear" w:color="auto" w:fill="auto"/>
            <w:noWrap/>
            <w:vAlign w:val="center"/>
            <w:hideMark/>
          </w:tcPr>
          <w:p w14:paraId="484A885C"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BPA.I053</w:t>
            </w:r>
          </w:p>
        </w:tc>
      </w:tr>
      <w:tr w:rsidR="002865D9" w:rsidRPr="009548D7" w14:paraId="498B0987" w14:textId="77777777" w:rsidTr="00A9732C">
        <w:trPr>
          <w:trHeight w:val="255"/>
        </w:trPr>
        <w:tc>
          <w:tcPr>
            <w:tcW w:w="4410" w:type="dxa"/>
            <w:tcBorders>
              <w:top w:val="nil"/>
              <w:left w:val="single" w:sz="8" w:space="0" w:color="auto"/>
              <w:bottom w:val="nil"/>
            </w:tcBorders>
            <w:shd w:val="clear" w:color="auto" w:fill="auto"/>
            <w:vAlign w:val="center"/>
            <w:hideMark/>
          </w:tcPr>
          <w:p w14:paraId="28C61C4F" w14:textId="662C7450" w:rsidR="002865D9" w:rsidRPr="009548D7" w:rsidRDefault="002865D9" w:rsidP="002865D9">
            <w:pPr>
              <w:spacing w:after="0" w:line="240" w:lineRule="auto"/>
              <w:ind w:firstLineChars="200" w:firstLine="320"/>
              <w:rPr>
                <w:rFonts w:ascii="Arial Narrow" w:eastAsia="Times New Roman" w:hAnsi="Arial Narrow" w:cs="Arial"/>
                <w:b/>
                <w:bCs/>
                <w:sz w:val="16"/>
                <w:szCs w:val="16"/>
                <w:lang w:eastAsia="pt-BR"/>
              </w:rPr>
            </w:pPr>
            <w:r w:rsidRPr="009548D7">
              <w:rPr>
                <w:rFonts w:ascii="Arial Narrow" w:eastAsia="Times New Roman" w:hAnsi="Arial Narrow" w:cs="Arial"/>
                <w:sz w:val="16"/>
                <w:szCs w:val="16"/>
                <w:lang w:eastAsia="pt-BR"/>
              </w:rPr>
              <w:t>(-) Depreciação, Exaustão e Amortização Acumuladas de Bens Móveis</w:t>
            </w:r>
          </w:p>
        </w:tc>
        <w:tc>
          <w:tcPr>
            <w:tcW w:w="767" w:type="dxa"/>
            <w:tcBorders>
              <w:top w:val="nil"/>
              <w:bottom w:val="nil"/>
              <w:right w:val="single" w:sz="4" w:space="0" w:color="auto"/>
            </w:tcBorders>
            <w:shd w:val="clear" w:color="auto" w:fill="auto"/>
            <w:noWrap/>
            <w:vAlign w:val="center"/>
          </w:tcPr>
          <w:p w14:paraId="5338B892" w14:textId="77777777" w:rsidR="002865D9" w:rsidRPr="009548D7" w:rsidRDefault="002865D9" w:rsidP="002865D9">
            <w:pPr>
              <w:spacing w:after="0" w:line="240" w:lineRule="auto"/>
              <w:jc w:val="center"/>
              <w:rPr>
                <w:rFonts w:ascii="Arial Narrow" w:eastAsia="Times New Roman" w:hAnsi="Arial Narrow" w:cs="Arial"/>
                <w:b/>
                <w:bCs/>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420DA9E2" w14:textId="3E4CCA7F" w:rsidR="002865D9" w:rsidRPr="009548D7" w:rsidRDefault="002865D9" w:rsidP="002865D9">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sz w:val="16"/>
                <w:szCs w:val="16"/>
                <w:lang w:eastAsia="pt-BR"/>
              </w:rPr>
              <w:t>BPA.D055</w:t>
            </w:r>
          </w:p>
        </w:tc>
        <w:tc>
          <w:tcPr>
            <w:tcW w:w="1262" w:type="dxa"/>
            <w:tcBorders>
              <w:top w:val="nil"/>
              <w:left w:val="nil"/>
              <w:bottom w:val="nil"/>
              <w:right w:val="single" w:sz="8" w:space="0" w:color="auto"/>
            </w:tcBorders>
            <w:shd w:val="clear" w:color="auto" w:fill="auto"/>
            <w:noWrap/>
            <w:vAlign w:val="center"/>
            <w:hideMark/>
          </w:tcPr>
          <w:p w14:paraId="213B0BB6" w14:textId="03E7107F" w:rsidR="002865D9" w:rsidRPr="009548D7" w:rsidRDefault="002865D9" w:rsidP="002865D9">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sz w:val="16"/>
                <w:szCs w:val="16"/>
                <w:lang w:eastAsia="pt-BR"/>
              </w:rPr>
              <w:t>BPA.E055</w:t>
            </w:r>
          </w:p>
        </w:tc>
        <w:tc>
          <w:tcPr>
            <w:tcW w:w="4562" w:type="dxa"/>
            <w:tcBorders>
              <w:top w:val="nil"/>
              <w:left w:val="nil"/>
              <w:bottom w:val="nil"/>
            </w:tcBorders>
            <w:shd w:val="clear" w:color="auto" w:fill="auto"/>
            <w:noWrap/>
            <w:vAlign w:val="center"/>
            <w:hideMark/>
          </w:tcPr>
          <w:p w14:paraId="713CF8F7" w14:textId="77777777" w:rsidR="002865D9" w:rsidRPr="009548D7" w:rsidRDefault="002865D9" w:rsidP="002865D9">
            <w:pPr>
              <w:spacing w:after="0" w:line="240" w:lineRule="auto"/>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Ajustes de Avaliação Patrimonial</w:t>
            </w:r>
          </w:p>
        </w:tc>
        <w:tc>
          <w:tcPr>
            <w:tcW w:w="775" w:type="dxa"/>
            <w:tcBorders>
              <w:top w:val="nil"/>
              <w:bottom w:val="nil"/>
              <w:right w:val="single" w:sz="8" w:space="0" w:color="auto"/>
            </w:tcBorders>
            <w:shd w:val="clear" w:color="auto" w:fill="auto"/>
            <w:noWrap/>
            <w:vAlign w:val="center"/>
          </w:tcPr>
          <w:p w14:paraId="4B28103E"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5B0405BF"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BPA.H054</w:t>
            </w:r>
          </w:p>
        </w:tc>
        <w:tc>
          <w:tcPr>
            <w:tcW w:w="1420" w:type="dxa"/>
            <w:tcBorders>
              <w:top w:val="nil"/>
              <w:left w:val="nil"/>
              <w:bottom w:val="nil"/>
              <w:right w:val="single" w:sz="8" w:space="0" w:color="auto"/>
            </w:tcBorders>
            <w:shd w:val="clear" w:color="auto" w:fill="auto"/>
            <w:noWrap/>
            <w:vAlign w:val="center"/>
            <w:hideMark/>
          </w:tcPr>
          <w:p w14:paraId="445D4774"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BPA.I054</w:t>
            </w:r>
          </w:p>
        </w:tc>
      </w:tr>
      <w:tr w:rsidR="002865D9" w:rsidRPr="009548D7" w14:paraId="15DAF089" w14:textId="77777777" w:rsidTr="00A9732C">
        <w:trPr>
          <w:trHeight w:val="255"/>
        </w:trPr>
        <w:tc>
          <w:tcPr>
            <w:tcW w:w="4410" w:type="dxa"/>
            <w:tcBorders>
              <w:top w:val="nil"/>
              <w:left w:val="single" w:sz="8" w:space="0" w:color="auto"/>
              <w:bottom w:val="nil"/>
            </w:tcBorders>
            <w:shd w:val="clear" w:color="auto" w:fill="auto"/>
            <w:noWrap/>
            <w:vAlign w:val="center"/>
            <w:hideMark/>
          </w:tcPr>
          <w:p w14:paraId="75F95875" w14:textId="3FF13701" w:rsidR="002865D9" w:rsidRPr="009548D7" w:rsidRDefault="002865D9" w:rsidP="002865D9">
            <w:pPr>
              <w:spacing w:after="0" w:line="240" w:lineRule="auto"/>
              <w:ind w:firstLineChars="200" w:firstLine="32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Redução ao Valor Recuperável de Bens Móveis</w:t>
            </w:r>
          </w:p>
        </w:tc>
        <w:tc>
          <w:tcPr>
            <w:tcW w:w="767" w:type="dxa"/>
            <w:tcBorders>
              <w:top w:val="nil"/>
              <w:bottom w:val="nil"/>
              <w:right w:val="single" w:sz="4" w:space="0" w:color="auto"/>
            </w:tcBorders>
            <w:shd w:val="clear" w:color="auto" w:fill="auto"/>
            <w:noWrap/>
            <w:vAlign w:val="center"/>
          </w:tcPr>
          <w:p w14:paraId="79C3673A"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585C1D78" w14:textId="2FB5CC99"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BPA.D056</w:t>
            </w:r>
          </w:p>
        </w:tc>
        <w:tc>
          <w:tcPr>
            <w:tcW w:w="1262" w:type="dxa"/>
            <w:tcBorders>
              <w:top w:val="nil"/>
              <w:left w:val="nil"/>
              <w:bottom w:val="nil"/>
              <w:right w:val="single" w:sz="8" w:space="0" w:color="auto"/>
            </w:tcBorders>
            <w:shd w:val="clear" w:color="auto" w:fill="auto"/>
            <w:noWrap/>
            <w:vAlign w:val="center"/>
            <w:hideMark/>
          </w:tcPr>
          <w:p w14:paraId="60E3791B" w14:textId="271F41FF"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BPA.E056</w:t>
            </w:r>
          </w:p>
        </w:tc>
        <w:tc>
          <w:tcPr>
            <w:tcW w:w="4562" w:type="dxa"/>
            <w:tcBorders>
              <w:top w:val="nil"/>
              <w:left w:val="nil"/>
              <w:bottom w:val="nil"/>
            </w:tcBorders>
            <w:shd w:val="clear" w:color="auto" w:fill="auto"/>
            <w:noWrap/>
            <w:vAlign w:val="center"/>
            <w:hideMark/>
          </w:tcPr>
          <w:p w14:paraId="11A9EBF6" w14:textId="77777777" w:rsidR="002865D9" w:rsidRPr="009548D7" w:rsidRDefault="002865D9" w:rsidP="002865D9">
            <w:pPr>
              <w:spacing w:after="0" w:line="240" w:lineRule="auto"/>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Reservas de Lucros</w:t>
            </w:r>
          </w:p>
        </w:tc>
        <w:tc>
          <w:tcPr>
            <w:tcW w:w="775" w:type="dxa"/>
            <w:tcBorders>
              <w:top w:val="nil"/>
              <w:bottom w:val="nil"/>
              <w:right w:val="single" w:sz="8" w:space="0" w:color="auto"/>
            </w:tcBorders>
            <w:shd w:val="clear" w:color="auto" w:fill="auto"/>
            <w:noWrap/>
            <w:vAlign w:val="center"/>
          </w:tcPr>
          <w:p w14:paraId="3ECDE61A"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7C0153F3"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BPA.H055</w:t>
            </w:r>
          </w:p>
        </w:tc>
        <w:tc>
          <w:tcPr>
            <w:tcW w:w="1420" w:type="dxa"/>
            <w:tcBorders>
              <w:top w:val="nil"/>
              <w:left w:val="nil"/>
              <w:bottom w:val="nil"/>
              <w:right w:val="single" w:sz="8" w:space="0" w:color="auto"/>
            </w:tcBorders>
            <w:shd w:val="clear" w:color="auto" w:fill="auto"/>
            <w:noWrap/>
            <w:vAlign w:val="center"/>
            <w:hideMark/>
          </w:tcPr>
          <w:p w14:paraId="59FE8FAE"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BPA.I055</w:t>
            </w:r>
          </w:p>
        </w:tc>
      </w:tr>
      <w:tr w:rsidR="002865D9" w:rsidRPr="009548D7" w14:paraId="35D0CC05" w14:textId="77777777" w:rsidTr="00A9732C">
        <w:trPr>
          <w:trHeight w:val="255"/>
        </w:trPr>
        <w:tc>
          <w:tcPr>
            <w:tcW w:w="4410" w:type="dxa"/>
            <w:tcBorders>
              <w:top w:val="nil"/>
              <w:left w:val="single" w:sz="8" w:space="0" w:color="auto"/>
              <w:bottom w:val="nil"/>
            </w:tcBorders>
            <w:shd w:val="clear" w:color="auto" w:fill="auto"/>
            <w:noWrap/>
            <w:vAlign w:val="center"/>
            <w:hideMark/>
          </w:tcPr>
          <w:p w14:paraId="0B4A87F2" w14:textId="56EF9CE5" w:rsidR="002865D9" w:rsidRPr="009548D7" w:rsidRDefault="002865D9" w:rsidP="002865D9">
            <w:pPr>
              <w:spacing w:after="0" w:line="240" w:lineRule="auto"/>
              <w:ind w:firstLineChars="200" w:firstLine="32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Bens Imóveis</w:t>
            </w:r>
          </w:p>
        </w:tc>
        <w:tc>
          <w:tcPr>
            <w:tcW w:w="767" w:type="dxa"/>
            <w:tcBorders>
              <w:top w:val="nil"/>
              <w:bottom w:val="nil"/>
              <w:right w:val="single" w:sz="4" w:space="0" w:color="auto"/>
            </w:tcBorders>
            <w:shd w:val="clear" w:color="auto" w:fill="auto"/>
            <w:noWrap/>
            <w:vAlign w:val="center"/>
          </w:tcPr>
          <w:p w14:paraId="454E1007"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5EC9B076" w14:textId="06B52D08"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BPA.D057</w:t>
            </w:r>
          </w:p>
        </w:tc>
        <w:tc>
          <w:tcPr>
            <w:tcW w:w="1262" w:type="dxa"/>
            <w:tcBorders>
              <w:top w:val="nil"/>
              <w:left w:val="nil"/>
              <w:bottom w:val="nil"/>
              <w:right w:val="single" w:sz="8" w:space="0" w:color="auto"/>
            </w:tcBorders>
            <w:shd w:val="clear" w:color="auto" w:fill="auto"/>
            <w:noWrap/>
            <w:vAlign w:val="center"/>
            <w:hideMark/>
          </w:tcPr>
          <w:p w14:paraId="7A83897D" w14:textId="19B119AC"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BPA.E057</w:t>
            </w:r>
          </w:p>
        </w:tc>
        <w:tc>
          <w:tcPr>
            <w:tcW w:w="4562" w:type="dxa"/>
            <w:tcBorders>
              <w:top w:val="nil"/>
              <w:left w:val="nil"/>
              <w:bottom w:val="nil"/>
            </w:tcBorders>
            <w:shd w:val="clear" w:color="auto" w:fill="auto"/>
            <w:noWrap/>
            <w:vAlign w:val="center"/>
            <w:hideMark/>
          </w:tcPr>
          <w:p w14:paraId="233E6C75" w14:textId="77777777" w:rsidR="002865D9" w:rsidRPr="009548D7" w:rsidRDefault="002865D9" w:rsidP="002865D9">
            <w:pPr>
              <w:spacing w:after="0" w:line="240" w:lineRule="auto"/>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Demais Reservas</w:t>
            </w:r>
          </w:p>
        </w:tc>
        <w:tc>
          <w:tcPr>
            <w:tcW w:w="775" w:type="dxa"/>
            <w:tcBorders>
              <w:top w:val="nil"/>
              <w:bottom w:val="nil"/>
              <w:right w:val="single" w:sz="8" w:space="0" w:color="auto"/>
            </w:tcBorders>
            <w:shd w:val="clear" w:color="auto" w:fill="auto"/>
            <w:noWrap/>
            <w:vAlign w:val="center"/>
          </w:tcPr>
          <w:p w14:paraId="2CD39BA6"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4D06EC4C"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BPA.H056</w:t>
            </w:r>
          </w:p>
        </w:tc>
        <w:tc>
          <w:tcPr>
            <w:tcW w:w="1420" w:type="dxa"/>
            <w:tcBorders>
              <w:top w:val="nil"/>
              <w:left w:val="nil"/>
              <w:bottom w:val="nil"/>
              <w:right w:val="single" w:sz="8" w:space="0" w:color="auto"/>
            </w:tcBorders>
            <w:shd w:val="clear" w:color="auto" w:fill="auto"/>
            <w:noWrap/>
            <w:vAlign w:val="center"/>
            <w:hideMark/>
          </w:tcPr>
          <w:p w14:paraId="1DA3F3E8"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BPA.I056</w:t>
            </w:r>
          </w:p>
        </w:tc>
      </w:tr>
      <w:tr w:rsidR="002865D9" w:rsidRPr="009548D7" w14:paraId="03A9DD56" w14:textId="77777777" w:rsidTr="00A9732C">
        <w:trPr>
          <w:trHeight w:val="255"/>
        </w:trPr>
        <w:tc>
          <w:tcPr>
            <w:tcW w:w="4410" w:type="dxa"/>
            <w:tcBorders>
              <w:top w:val="nil"/>
              <w:left w:val="single" w:sz="8" w:space="0" w:color="auto"/>
              <w:bottom w:val="nil"/>
            </w:tcBorders>
            <w:shd w:val="clear" w:color="auto" w:fill="auto"/>
            <w:noWrap/>
            <w:vAlign w:val="center"/>
            <w:hideMark/>
          </w:tcPr>
          <w:p w14:paraId="262FB342" w14:textId="41ABB924" w:rsidR="002865D9" w:rsidRPr="009548D7" w:rsidRDefault="002865D9" w:rsidP="002865D9">
            <w:pPr>
              <w:spacing w:after="0" w:line="240" w:lineRule="auto"/>
              <w:ind w:firstLineChars="200" w:firstLine="32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Depreciação, Exaustão e Amortização Acumuladas de Bens Imóveis</w:t>
            </w:r>
          </w:p>
        </w:tc>
        <w:tc>
          <w:tcPr>
            <w:tcW w:w="767" w:type="dxa"/>
            <w:tcBorders>
              <w:top w:val="nil"/>
              <w:bottom w:val="nil"/>
              <w:right w:val="single" w:sz="4" w:space="0" w:color="auto"/>
            </w:tcBorders>
            <w:shd w:val="clear" w:color="auto" w:fill="auto"/>
            <w:noWrap/>
            <w:vAlign w:val="center"/>
          </w:tcPr>
          <w:p w14:paraId="0EFCC3D8"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11F1F948" w14:textId="05090910"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BPA.D058</w:t>
            </w:r>
          </w:p>
        </w:tc>
        <w:tc>
          <w:tcPr>
            <w:tcW w:w="1262" w:type="dxa"/>
            <w:tcBorders>
              <w:top w:val="nil"/>
              <w:left w:val="nil"/>
              <w:bottom w:val="nil"/>
              <w:right w:val="single" w:sz="8" w:space="0" w:color="auto"/>
            </w:tcBorders>
            <w:shd w:val="clear" w:color="auto" w:fill="auto"/>
            <w:noWrap/>
            <w:vAlign w:val="center"/>
            <w:hideMark/>
          </w:tcPr>
          <w:p w14:paraId="0AF50165" w14:textId="051B0225"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BPA.E058</w:t>
            </w:r>
          </w:p>
        </w:tc>
        <w:tc>
          <w:tcPr>
            <w:tcW w:w="4562" w:type="dxa"/>
            <w:tcBorders>
              <w:top w:val="nil"/>
              <w:left w:val="nil"/>
              <w:bottom w:val="nil"/>
            </w:tcBorders>
            <w:shd w:val="clear" w:color="auto" w:fill="auto"/>
            <w:noWrap/>
            <w:vAlign w:val="center"/>
            <w:hideMark/>
          </w:tcPr>
          <w:p w14:paraId="7443490B" w14:textId="77777777" w:rsidR="002865D9" w:rsidRPr="009548D7" w:rsidRDefault="002865D9" w:rsidP="002865D9">
            <w:pPr>
              <w:spacing w:after="0" w:line="240" w:lineRule="auto"/>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Resultados Acumulados</w:t>
            </w:r>
          </w:p>
        </w:tc>
        <w:tc>
          <w:tcPr>
            <w:tcW w:w="775" w:type="dxa"/>
            <w:tcBorders>
              <w:top w:val="nil"/>
              <w:bottom w:val="nil"/>
              <w:right w:val="single" w:sz="8" w:space="0" w:color="auto"/>
            </w:tcBorders>
            <w:shd w:val="clear" w:color="auto" w:fill="auto"/>
            <w:noWrap/>
            <w:vAlign w:val="center"/>
          </w:tcPr>
          <w:p w14:paraId="54562487"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07C440DD"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BPA.H057</w:t>
            </w:r>
          </w:p>
        </w:tc>
        <w:tc>
          <w:tcPr>
            <w:tcW w:w="1420" w:type="dxa"/>
            <w:tcBorders>
              <w:top w:val="nil"/>
              <w:left w:val="nil"/>
              <w:bottom w:val="nil"/>
              <w:right w:val="single" w:sz="8" w:space="0" w:color="auto"/>
            </w:tcBorders>
            <w:shd w:val="clear" w:color="auto" w:fill="auto"/>
            <w:noWrap/>
            <w:vAlign w:val="center"/>
            <w:hideMark/>
          </w:tcPr>
          <w:p w14:paraId="0EF90E64"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BPA.I057</w:t>
            </w:r>
          </w:p>
        </w:tc>
      </w:tr>
      <w:tr w:rsidR="002865D9" w:rsidRPr="009548D7" w14:paraId="67AF716E" w14:textId="77777777" w:rsidTr="00A9732C">
        <w:trPr>
          <w:trHeight w:val="255"/>
        </w:trPr>
        <w:tc>
          <w:tcPr>
            <w:tcW w:w="4410" w:type="dxa"/>
            <w:tcBorders>
              <w:top w:val="nil"/>
              <w:left w:val="single" w:sz="8" w:space="0" w:color="auto"/>
            </w:tcBorders>
            <w:shd w:val="clear" w:color="auto" w:fill="auto"/>
            <w:noWrap/>
            <w:vAlign w:val="center"/>
            <w:hideMark/>
          </w:tcPr>
          <w:p w14:paraId="269CD8E7" w14:textId="14D5F684" w:rsidR="002865D9" w:rsidRPr="009548D7" w:rsidRDefault="002865D9" w:rsidP="002865D9">
            <w:pPr>
              <w:spacing w:after="0" w:line="240" w:lineRule="auto"/>
              <w:ind w:firstLineChars="200" w:firstLine="32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Redução ao Valor Recuperável de Bens Imóveis</w:t>
            </w:r>
          </w:p>
        </w:tc>
        <w:tc>
          <w:tcPr>
            <w:tcW w:w="767" w:type="dxa"/>
            <w:tcBorders>
              <w:top w:val="nil"/>
              <w:right w:val="single" w:sz="4" w:space="0" w:color="auto"/>
            </w:tcBorders>
            <w:shd w:val="clear" w:color="auto" w:fill="auto"/>
            <w:noWrap/>
            <w:vAlign w:val="center"/>
          </w:tcPr>
          <w:p w14:paraId="6A39D348"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right w:val="single" w:sz="8" w:space="0" w:color="auto"/>
            </w:tcBorders>
            <w:shd w:val="clear" w:color="auto" w:fill="auto"/>
            <w:noWrap/>
            <w:vAlign w:val="center"/>
            <w:hideMark/>
          </w:tcPr>
          <w:p w14:paraId="476B684B" w14:textId="23BFAE88"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BPA.D059</w:t>
            </w:r>
          </w:p>
        </w:tc>
        <w:tc>
          <w:tcPr>
            <w:tcW w:w="1262" w:type="dxa"/>
            <w:tcBorders>
              <w:top w:val="nil"/>
              <w:left w:val="nil"/>
              <w:right w:val="single" w:sz="8" w:space="0" w:color="auto"/>
            </w:tcBorders>
            <w:shd w:val="clear" w:color="auto" w:fill="auto"/>
            <w:noWrap/>
            <w:vAlign w:val="center"/>
            <w:hideMark/>
          </w:tcPr>
          <w:p w14:paraId="7E8CD7BD" w14:textId="4B2857D6"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BPA.E059</w:t>
            </w:r>
          </w:p>
        </w:tc>
        <w:tc>
          <w:tcPr>
            <w:tcW w:w="4562" w:type="dxa"/>
            <w:tcBorders>
              <w:top w:val="nil"/>
              <w:left w:val="nil"/>
              <w:bottom w:val="nil"/>
            </w:tcBorders>
            <w:shd w:val="clear" w:color="auto" w:fill="auto"/>
            <w:noWrap/>
            <w:vAlign w:val="center"/>
            <w:hideMark/>
          </w:tcPr>
          <w:p w14:paraId="7C3D6D56" w14:textId="77777777" w:rsidR="002865D9" w:rsidRPr="009548D7" w:rsidRDefault="002865D9" w:rsidP="002865D9">
            <w:pPr>
              <w:spacing w:after="0" w:line="240" w:lineRule="auto"/>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Resultado do Exercício</w:t>
            </w:r>
          </w:p>
        </w:tc>
        <w:tc>
          <w:tcPr>
            <w:tcW w:w="775" w:type="dxa"/>
            <w:tcBorders>
              <w:top w:val="nil"/>
              <w:bottom w:val="nil"/>
              <w:right w:val="single" w:sz="8" w:space="0" w:color="auto"/>
            </w:tcBorders>
            <w:shd w:val="clear" w:color="auto" w:fill="auto"/>
            <w:noWrap/>
            <w:vAlign w:val="center"/>
          </w:tcPr>
          <w:p w14:paraId="5B9869DC"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0122133D"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BPA.H058</w:t>
            </w:r>
          </w:p>
        </w:tc>
        <w:tc>
          <w:tcPr>
            <w:tcW w:w="1420" w:type="dxa"/>
            <w:tcBorders>
              <w:top w:val="nil"/>
              <w:left w:val="nil"/>
              <w:bottom w:val="nil"/>
              <w:right w:val="single" w:sz="8" w:space="0" w:color="auto"/>
            </w:tcBorders>
            <w:shd w:val="clear" w:color="auto" w:fill="auto"/>
            <w:noWrap/>
            <w:vAlign w:val="center"/>
            <w:hideMark/>
          </w:tcPr>
          <w:p w14:paraId="1348B75F"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BPA.I058</w:t>
            </w:r>
          </w:p>
        </w:tc>
      </w:tr>
      <w:tr w:rsidR="002865D9" w:rsidRPr="009548D7" w14:paraId="63ED6E99" w14:textId="77777777" w:rsidTr="00A9732C">
        <w:trPr>
          <w:trHeight w:val="255"/>
        </w:trPr>
        <w:tc>
          <w:tcPr>
            <w:tcW w:w="4410" w:type="dxa"/>
            <w:tcBorders>
              <w:top w:val="nil"/>
              <w:left w:val="single" w:sz="8" w:space="0" w:color="auto"/>
            </w:tcBorders>
            <w:shd w:val="clear" w:color="auto" w:fill="auto"/>
            <w:noWrap/>
            <w:vAlign w:val="center"/>
            <w:hideMark/>
          </w:tcPr>
          <w:p w14:paraId="509F7DF6" w14:textId="6A283A76" w:rsidR="002865D9" w:rsidRPr="009548D7" w:rsidRDefault="002865D9" w:rsidP="002865D9">
            <w:pPr>
              <w:spacing w:after="0" w:line="240" w:lineRule="auto"/>
              <w:ind w:firstLineChars="200" w:firstLine="320"/>
              <w:rPr>
                <w:rFonts w:ascii="Arial Narrow" w:eastAsia="Times New Roman" w:hAnsi="Arial Narrow" w:cs="Arial"/>
                <w:sz w:val="16"/>
                <w:szCs w:val="16"/>
                <w:lang w:eastAsia="pt-BR"/>
              </w:rPr>
            </w:pPr>
            <w:r w:rsidRPr="00EC4B4F">
              <w:rPr>
                <w:rFonts w:ascii="Arial Narrow" w:eastAsia="Times New Roman" w:hAnsi="Arial Narrow" w:cs="Arial"/>
                <w:sz w:val="16"/>
                <w:szCs w:val="16"/>
                <w:lang w:eastAsia="pt-BR"/>
              </w:rPr>
              <w:t>(-) Subvenção Governamental para Investimentos</w:t>
            </w:r>
          </w:p>
        </w:tc>
        <w:tc>
          <w:tcPr>
            <w:tcW w:w="767" w:type="dxa"/>
            <w:tcBorders>
              <w:top w:val="nil"/>
              <w:right w:val="single" w:sz="4" w:space="0" w:color="auto"/>
            </w:tcBorders>
            <w:shd w:val="clear" w:color="auto" w:fill="auto"/>
            <w:noWrap/>
            <w:vAlign w:val="center"/>
          </w:tcPr>
          <w:p w14:paraId="11B0253B"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right w:val="single" w:sz="8" w:space="0" w:color="auto"/>
            </w:tcBorders>
            <w:shd w:val="clear" w:color="auto" w:fill="auto"/>
            <w:noWrap/>
            <w:vAlign w:val="center"/>
            <w:hideMark/>
          </w:tcPr>
          <w:p w14:paraId="2D90FA43" w14:textId="2DFB5651"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EC4B4F">
              <w:rPr>
                <w:rFonts w:ascii="Arial Narrow" w:eastAsia="Times New Roman" w:hAnsi="Arial Narrow" w:cs="Arial"/>
                <w:sz w:val="16"/>
                <w:szCs w:val="16"/>
                <w:lang w:eastAsia="pt-BR"/>
              </w:rPr>
              <w:t>BPA.D074</w:t>
            </w:r>
          </w:p>
        </w:tc>
        <w:tc>
          <w:tcPr>
            <w:tcW w:w="1262" w:type="dxa"/>
            <w:tcBorders>
              <w:top w:val="nil"/>
              <w:left w:val="nil"/>
              <w:right w:val="single" w:sz="8" w:space="0" w:color="auto"/>
            </w:tcBorders>
            <w:shd w:val="clear" w:color="auto" w:fill="auto"/>
            <w:noWrap/>
            <w:vAlign w:val="center"/>
            <w:hideMark/>
          </w:tcPr>
          <w:p w14:paraId="2DDDAE2A" w14:textId="7BE3AD7E"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EC4B4F">
              <w:rPr>
                <w:rFonts w:ascii="Arial Narrow" w:eastAsia="Times New Roman" w:hAnsi="Arial Narrow" w:cs="Arial"/>
                <w:sz w:val="16"/>
                <w:szCs w:val="16"/>
                <w:lang w:eastAsia="pt-BR"/>
              </w:rPr>
              <w:t>BPA.E074</w:t>
            </w:r>
          </w:p>
        </w:tc>
        <w:tc>
          <w:tcPr>
            <w:tcW w:w="4562" w:type="dxa"/>
            <w:tcBorders>
              <w:top w:val="nil"/>
              <w:left w:val="nil"/>
            </w:tcBorders>
            <w:shd w:val="clear" w:color="auto" w:fill="auto"/>
            <w:noWrap/>
            <w:vAlign w:val="center"/>
            <w:hideMark/>
          </w:tcPr>
          <w:p w14:paraId="2C6F4239" w14:textId="118C13D0" w:rsidR="002865D9" w:rsidRPr="009548D7" w:rsidRDefault="00EF655C" w:rsidP="00EF655C">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2865D9" w:rsidRPr="009548D7">
              <w:rPr>
                <w:rFonts w:ascii="Arial Narrow" w:eastAsia="Times New Roman" w:hAnsi="Arial Narrow" w:cs="Arial"/>
                <w:sz w:val="16"/>
                <w:szCs w:val="16"/>
                <w:lang w:eastAsia="pt-BR"/>
              </w:rPr>
              <w:t>Resultado de Exercícios Anteriores</w:t>
            </w:r>
          </w:p>
        </w:tc>
        <w:tc>
          <w:tcPr>
            <w:tcW w:w="775" w:type="dxa"/>
            <w:tcBorders>
              <w:top w:val="nil"/>
              <w:right w:val="single" w:sz="8" w:space="0" w:color="auto"/>
            </w:tcBorders>
            <w:shd w:val="clear" w:color="auto" w:fill="auto"/>
            <w:noWrap/>
            <w:vAlign w:val="center"/>
          </w:tcPr>
          <w:p w14:paraId="434C4AB1"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p>
        </w:tc>
        <w:tc>
          <w:tcPr>
            <w:tcW w:w="1063" w:type="dxa"/>
            <w:tcBorders>
              <w:top w:val="nil"/>
              <w:left w:val="nil"/>
              <w:right w:val="single" w:sz="8" w:space="0" w:color="auto"/>
            </w:tcBorders>
            <w:shd w:val="clear" w:color="auto" w:fill="auto"/>
            <w:noWrap/>
            <w:vAlign w:val="center"/>
            <w:hideMark/>
          </w:tcPr>
          <w:p w14:paraId="60DA34CD"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BPA.H059</w:t>
            </w:r>
          </w:p>
        </w:tc>
        <w:tc>
          <w:tcPr>
            <w:tcW w:w="1420" w:type="dxa"/>
            <w:tcBorders>
              <w:top w:val="nil"/>
              <w:left w:val="nil"/>
              <w:right w:val="single" w:sz="8" w:space="0" w:color="auto"/>
            </w:tcBorders>
            <w:shd w:val="clear" w:color="auto" w:fill="auto"/>
            <w:noWrap/>
            <w:vAlign w:val="center"/>
            <w:hideMark/>
          </w:tcPr>
          <w:p w14:paraId="2E2887C5"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BPA.I059</w:t>
            </w:r>
          </w:p>
        </w:tc>
      </w:tr>
      <w:tr w:rsidR="002865D9" w:rsidRPr="009548D7" w14:paraId="575E647C" w14:textId="77777777" w:rsidTr="00A9732C">
        <w:trPr>
          <w:trHeight w:val="255"/>
        </w:trPr>
        <w:tc>
          <w:tcPr>
            <w:tcW w:w="4410" w:type="dxa"/>
            <w:tcBorders>
              <w:top w:val="nil"/>
              <w:left w:val="single" w:sz="8" w:space="0" w:color="auto"/>
            </w:tcBorders>
            <w:shd w:val="clear" w:color="auto" w:fill="auto"/>
            <w:noWrap/>
            <w:vAlign w:val="center"/>
          </w:tcPr>
          <w:p w14:paraId="26B8E236" w14:textId="12F6C569" w:rsidR="002865D9" w:rsidRPr="00EC4B4F" w:rsidRDefault="00700DF3" w:rsidP="00C56947">
            <w:pPr>
              <w:spacing w:after="0" w:line="240" w:lineRule="auto"/>
              <w:rPr>
                <w:rFonts w:ascii="Arial Narrow" w:eastAsia="Times New Roman" w:hAnsi="Arial Narrow" w:cs="Arial"/>
                <w:b/>
                <w:bCs/>
                <w:sz w:val="16"/>
                <w:szCs w:val="16"/>
                <w:lang w:eastAsia="pt-BR"/>
              </w:rPr>
            </w:pPr>
            <w:r>
              <w:rPr>
                <w:rFonts w:ascii="Arial Narrow" w:eastAsia="Times New Roman" w:hAnsi="Arial Narrow" w:cs="Arial"/>
                <w:b/>
                <w:bCs/>
                <w:sz w:val="16"/>
                <w:szCs w:val="16"/>
                <w:lang w:eastAsia="pt-BR"/>
              </w:rPr>
              <w:t xml:space="preserve">     </w:t>
            </w:r>
            <w:r w:rsidR="002865D9" w:rsidRPr="009548D7">
              <w:rPr>
                <w:rFonts w:ascii="Arial Narrow" w:eastAsia="Times New Roman" w:hAnsi="Arial Narrow" w:cs="Arial"/>
                <w:b/>
                <w:bCs/>
                <w:sz w:val="16"/>
                <w:szCs w:val="16"/>
                <w:lang w:eastAsia="pt-BR"/>
              </w:rPr>
              <w:t>Intangível</w:t>
            </w:r>
          </w:p>
        </w:tc>
        <w:tc>
          <w:tcPr>
            <w:tcW w:w="767" w:type="dxa"/>
            <w:tcBorders>
              <w:top w:val="nil"/>
              <w:right w:val="single" w:sz="4" w:space="0" w:color="auto"/>
            </w:tcBorders>
            <w:shd w:val="clear" w:color="auto" w:fill="auto"/>
            <w:noWrap/>
            <w:vAlign w:val="center"/>
          </w:tcPr>
          <w:p w14:paraId="1DCB0A69" w14:textId="77777777" w:rsidR="002865D9" w:rsidRPr="00EC4B4F" w:rsidRDefault="002865D9" w:rsidP="002865D9">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right w:val="single" w:sz="8" w:space="0" w:color="auto"/>
            </w:tcBorders>
            <w:shd w:val="clear" w:color="auto" w:fill="auto"/>
            <w:noWrap/>
            <w:vAlign w:val="center"/>
          </w:tcPr>
          <w:p w14:paraId="115B1AFD" w14:textId="0162040C" w:rsidR="002865D9" w:rsidRPr="00EC4B4F"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b/>
                <w:bCs/>
                <w:sz w:val="16"/>
                <w:szCs w:val="16"/>
                <w:lang w:eastAsia="pt-BR"/>
              </w:rPr>
              <w:t>BPA.D060</w:t>
            </w:r>
          </w:p>
        </w:tc>
        <w:tc>
          <w:tcPr>
            <w:tcW w:w="1262" w:type="dxa"/>
            <w:tcBorders>
              <w:top w:val="nil"/>
              <w:left w:val="nil"/>
              <w:right w:val="single" w:sz="8" w:space="0" w:color="auto"/>
            </w:tcBorders>
            <w:shd w:val="clear" w:color="auto" w:fill="auto"/>
            <w:noWrap/>
            <w:vAlign w:val="center"/>
          </w:tcPr>
          <w:p w14:paraId="6F272244" w14:textId="033D210D" w:rsidR="002865D9" w:rsidRPr="00EC4B4F"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b/>
                <w:bCs/>
                <w:sz w:val="16"/>
                <w:szCs w:val="16"/>
                <w:lang w:eastAsia="pt-BR"/>
              </w:rPr>
              <w:t>BPA.E060</w:t>
            </w:r>
          </w:p>
        </w:tc>
        <w:tc>
          <w:tcPr>
            <w:tcW w:w="4562" w:type="dxa"/>
            <w:tcBorders>
              <w:top w:val="nil"/>
              <w:left w:val="nil"/>
            </w:tcBorders>
            <w:shd w:val="clear" w:color="auto" w:fill="auto"/>
            <w:noWrap/>
            <w:vAlign w:val="center"/>
            <w:hideMark/>
          </w:tcPr>
          <w:p w14:paraId="4B5A7A0C" w14:textId="23A07D7F" w:rsidR="002865D9" w:rsidRPr="009548D7" w:rsidRDefault="00EF655C" w:rsidP="00EF655C">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2865D9" w:rsidRPr="009548D7">
              <w:rPr>
                <w:rFonts w:ascii="Arial Narrow" w:eastAsia="Times New Roman" w:hAnsi="Arial Narrow" w:cs="Arial"/>
                <w:sz w:val="16"/>
                <w:szCs w:val="16"/>
                <w:lang w:eastAsia="pt-BR"/>
              </w:rPr>
              <w:t>Ajustes de Exercícios Anteriores</w:t>
            </w:r>
          </w:p>
        </w:tc>
        <w:tc>
          <w:tcPr>
            <w:tcW w:w="775" w:type="dxa"/>
            <w:tcBorders>
              <w:top w:val="nil"/>
              <w:right w:val="single" w:sz="8" w:space="0" w:color="auto"/>
            </w:tcBorders>
            <w:shd w:val="clear" w:color="auto" w:fill="auto"/>
            <w:noWrap/>
            <w:vAlign w:val="center"/>
          </w:tcPr>
          <w:p w14:paraId="6908F533"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p>
        </w:tc>
        <w:tc>
          <w:tcPr>
            <w:tcW w:w="1063" w:type="dxa"/>
            <w:tcBorders>
              <w:top w:val="nil"/>
              <w:left w:val="nil"/>
              <w:right w:val="single" w:sz="8" w:space="0" w:color="auto"/>
            </w:tcBorders>
            <w:shd w:val="clear" w:color="auto" w:fill="auto"/>
            <w:noWrap/>
            <w:vAlign w:val="center"/>
            <w:hideMark/>
          </w:tcPr>
          <w:p w14:paraId="17B39360"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BPA.H060</w:t>
            </w:r>
          </w:p>
        </w:tc>
        <w:tc>
          <w:tcPr>
            <w:tcW w:w="1420" w:type="dxa"/>
            <w:tcBorders>
              <w:top w:val="nil"/>
              <w:left w:val="nil"/>
              <w:right w:val="single" w:sz="8" w:space="0" w:color="auto"/>
            </w:tcBorders>
            <w:shd w:val="clear" w:color="auto" w:fill="auto"/>
            <w:noWrap/>
            <w:vAlign w:val="center"/>
            <w:hideMark/>
          </w:tcPr>
          <w:p w14:paraId="5F29884A"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BPA.I060</w:t>
            </w:r>
          </w:p>
        </w:tc>
      </w:tr>
      <w:tr w:rsidR="002865D9" w:rsidRPr="009548D7" w14:paraId="655CE5A5" w14:textId="77777777" w:rsidTr="00A9732C">
        <w:trPr>
          <w:trHeight w:val="225"/>
        </w:trPr>
        <w:tc>
          <w:tcPr>
            <w:tcW w:w="4410" w:type="dxa"/>
            <w:tcBorders>
              <w:top w:val="nil"/>
              <w:left w:val="single" w:sz="8" w:space="0" w:color="auto"/>
            </w:tcBorders>
            <w:shd w:val="clear" w:color="auto" w:fill="auto"/>
            <w:vAlign w:val="center"/>
            <w:hideMark/>
          </w:tcPr>
          <w:p w14:paraId="5B41CE93" w14:textId="474D3DCE" w:rsidR="002865D9" w:rsidRPr="009548D7" w:rsidRDefault="00C56947" w:rsidP="002865D9">
            <w:pPr>
              <w:spacing w:after="0" w:line="240" w:lineRule="auto"/>
              <w:ind w:firstLineChars="100" w:firstLine="160"/>
              <w:rPr>
                <w:rFonts w:ascii="Arial Narrow" w:eastAsia="Times New Roman" w:hAnsi="Arial Narrow" w:cs="Arial"/>
                <w:sz w:val="16"/>
                <w:szCs w:val="16"/>
                <w:lang w:eastAsia="pt-BR"/>
              </w:rPr>
            </w:pPr>
            <w:r>
              <w:rPr>
                <w:rFonts w:ascii="Arial Narrow" w:eastAsia="Times New Roman" w:hAnsi="Arial Narrow" w:cs="Arial"/>
                <w:sz w:val="16"/>
                <w:szCs w:val="16"/>
                <w:lang w:eastAsia="pt-BR"/>
              </w:rPr>
              <w:lastRenderedPageBreak/>
              <w:t xml:space="preserve">     </w:t>
            </w:r>
            <w:r w:rsidR="002865D9" w:rsidRPr="009548D7">
              <w:rPr>
                <w:rFonts w:ascii="Arial Narrow" w:eastAsia="Times New Roman" w:hAnsi="Arial Narrow" w:cs="Arial"/>
                <w:sz w:val="16"/>
                <w:szCs w:val="16"/>
                <w:lang w:eastAsia="pt-BR"/>
              </w:rPr>
              <w:t>Softwares</w:t>
            </w:r>
          </w:p>
        </w:tc>
        <w:tc>
          <w:tcPr>
            <w:tcW w:w="767" w:type="dxa"/>
            <w:tcBorders>
              <w:top w:val="nil"/>
              <w:right w:val="single" w:sz="4" w:space="0" w:color="auto"/>
            </w:tcBorders>
            <w:shd w:val="clear" w:color="auto" w:fill="auto"/>
            <w:noWrap/>
            <w:vAlign w:val="center"/>
          </w:tcPr>
          <w:p w14:paraId="069EBBF7"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right w:val="single" w:sz="8" w:space="0" w:color="auto"/>
            </w:tcBorders>
            <w:shd w:val="clear" w:color="auto" w:fill="auto"/>
            <w:noWrap/>
            <w:vAlign w:val="center"/>
            <w:hideMark/>
          </w:tcPr>
          <w:p w14:paraId="129DAF0D" w14:textId="62BB3CFB"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BPA.D061</w:t>
            </w:r>
          </w:p>
        </w:tc>
        <w:tc>
          <w:tcPr>
            <w:tcW w:w="1262" w:type="dxa"/>
            <w:tcBorders>
              <w:top w:val="nil"/>
              <w:left w:val="nil"/>
              <w:right w:val="single" w:sz="8" w:space="0" w:color="auto"/>
            </w:tcBorders>
            <w:shd w:val="clear" w:color="auto" w:fill="auto"/>
            <w:noWrap/>
            <w:vAlign w:val="center"/>
            <w:hideMark/>
          </w:tcPr>
          <w:p w14:paraId="465141AA" w14:textId="7F1026B3"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BPA.E061</w:t>
            </w:r>
          </w:p>
        </w:tc>
        <w:tc>
          <w:tcPr>
            <w:tcW w:w="4562" w:type="dxa"/>
            <w:tcBorders>
              <w:top w:val="nil"/>
              <w:left w:val="nil"/>
              <w:bottom w:val="nil"/>
            </w:tcBorders>
            <w:shd w:val="clear" w:color="auto" w:fill="auto"/>
            <w:noWrap/>
            <w:vAlign w:val="center"/>
            <w:hideMark/>
          </w:tcPr>
          <w:p w14:paraId="3650FC96" w14:textId="141587FD" w:rsidR="002865D9" w:rsidRPr="009548D7" w:rsidRDefault="00EF655C" w:rsidP="00EF655C">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2865D9" w:rsidRPr="009548D7">
              <w:rPr>
                <w:rFonts w:ascii="Arial Narrow" w:eastAsia="Times New Roman" w:hAnsi="Arial Narrow" w:cs="Arial"/>
                <w:sz w:val="16"/>
                <w:szCs w:val="16"/>
                <w:lang w:eastAsia="pt-BR"/>
              </w:rPr>
              <w:t>Outros resultados</w:t>
            </w:r>
          </w:p>
        </w:tc>
        <w:tc>
          <w:tcPr>
            <w:tcW w:w="775" w:type="dxa"/>
            <w:tcBorders>
              <w:top w:val="nil"/>
              <w:bottom w:val="nil"/>
              <w:right w:val="single" w:sz="8" w:space="0" w:color="auto"/>
            </w:tcBorders>
            <w:shd w:val="clear" w:color="auto" w:fill="auto"/>
            <w:noWrap/>
            <w:vAlign w:val="center"/>
          </w:tcPr>
          <w:p w14:paraId="5BF6DA8F"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282B9883"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BPA.H061</w:t>
            </w:r>
          </w:p>
        </w:tc>
        <w:tc>
          <w:tcPr>
            <w:tcW w:w="1420" w:type="dxa"/>
            <w:tcBorders>
              <w:top w:val="nil"/>
              <w:left w:val="nil"/>
              <w:bottom w:val="nil"/>
              <w:right w:val="single" w:sz="8" w:space="0" w:color="auto"/>
            </w:tcBorders>
            <w:shd w:val="clear" w:color="auto" w:fill="auto"/>
            <w:noWrap/>
            <w:vAlign w:val="center"/>
            <w:hideMark/>
          </w:tcPr>
          <w:p w14:paraId="2B869708"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BPA.I061</w:t>
            </w:r>
          </w:p>
        </w:tc>
      </w:tr>
      <w:tr w:rsidR="002865D9" w:rsidRPr="009548D7" w14:paraId="2EBBAE8F" w14:textId="77777777" w:rsidTr="00A9732C">
        <w:trPr>
          <w:trHeight w:val="255"/>
        </w:trPr>
        <w:tc>
          <w:tcPr>
            <w:tcW w:w="4410" w:type="dxa"/>
            <w:tcBorders>
              <w:left w:val="single" w:sz="8" w:space="0" w:color="auto"/>
              <w:bottom w:val="nil"/>
            </w:tcBorders>
            <w:shd w:val="clear" w:color="auto" w:fill="auto"/>
            <w:noWrap/>
            <w:vAlign w:val="center"/>
            <w:hideMark/>
          </w:tcPr>
          <w:p w14:paraId="37E2DFAE" w14:textId="5A123C57" w:rsidR="002865D9" w:rsidRPr="009548D7" w:rsidRDefault="00C56947" w:rsidP="00C56947">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2865D9" w:rsidRPr="009548D7">
              <w:rPr>
                <w:rFonts w:ascii="Arial Narrow" w:eastAsia="Times New Roman" w:hAnsi="Arial Narrow" w:cs="Arial"/>
                <w:sz w:val="16"/>
                <w:szCs w:val="16"/>
                <w:lang w:eastAsia="pt-BR"/>
              </w:rPr>
              <w:t>(-) Amortização Acumulada de softwares</w:t>
            </w:r>
          </w:p>
        </w:tc>
        <w:tc>
          <w:tcPr>
            <w:tcW w:w="767" w:type="dxa"/>
            <w:tcBorders>
              <w:bottom w:val="nil"/>
              <w:right w:val="single" w:sz="4" w:space="0" w:color="auto"/>
            </w:tcBorders>
            <w:shd w:val="clear" w:color="auto" w:fill="auto"/>
            <w:noWrap/>
            <w:vAlign w:val="center"/>
          </w:tcPr>
          <w:p w14:paraId="15ABEFE7"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p>
        </w:tc>
        <w:tc>
          <w:tcPr>
            <w:tcW w:w="1063" w:type="dxa"/>
            <w:tcBorders>
              <w:left w:val="single" w:sz="4" w:space="0" w:color="auto"/>
              <w:bottom w:val="nil"/>
              <w:right w:val="single" w:sz="8" w:space="0" w:color="auto"/>
            </w:tcBorders>
            <w:shd w:val="clear" w:color="auto" w:fill="auto"/>
            <w:noWrap/>
            <w:vAlign w:val="center"/>
            <w:hideMark/>
          </w:tcPr>
          <w:p w14:paraId="001F34A8" w14:textId="48C3E0D1"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BPA.D062</w:t>
            </w:r>
          </w:p>
        </w:tc>
        <w:tc>
          <w:tcPr>
            <w:tcW w:w="1262" w:type="dxa"/>
            <w:tcBorders>
              <w:left w:val="nil"/>
              <w:bottom w:val="nil"/>
              <w:right w:val="single" w:sz="8" w:space="0" w:color="auto"/>
            </w:tcBorders>
            <w:shd w:val="clear" w:color="auto" w:fill="auto"/>
            <w:noWrap/>
            <w:vAlign w:val="center"/>
            <w:hideMark/>
          </w:tcPr>
          <w:p w14:paraId="4833CC4D" w14:textId="6497E8D5"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BPA.E062</w:t>
            </w:r>
          </w:p>
        </w:tc>
        <w:tc>
          <w:tcPr>
            <w:tcW w:w="4562" w:type="dxa"/>
            <w:tcBorders>
              <w:top w:val="nil"/>
              <w:left w:val="nil"/>
              <w:bottom w:val="nil"/>
            </w:tcBorders>
            <w:shd w:val="clear" w:color="auto" w:fill="auto"/>
            <w:noWrap/>
            <w:vAlign w:val="center"/>
            <w:hideMark/>
          </w:tcPr>
          <w:p w14:paraId="06317374" w14:textId="77777777" w:rsidR="002865D9" w:rsidRPr="009548D7" w:rsidRDefault="002865D9" w:rsidP="002865D9">
            <w:pPr>
              <w:spacing w:after="0" w:line="240" w:lineRule="auto"/>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Ações/Cotas em Tesouraria</w:t>
            </w:r>
          </w:p>
        </w:tc>
        <w:tc>
          <w:tcPr>
            <w:tcW w:w="775" w:type="dxa"/>
            <w:tcBorders>
              <w:top w:val="nil"/>
              <w:bottom w:val="nil"/>
              <w:right w:val="single" w:sz="8" w:space="0" w:color="auto"/>
            </w:tcBorders>
            <w:shd w:val="clear" w:color="auto" w:fill="auto"/>
            <w:noWrap/>
            <w:vAlign w:val="center"/>
          </w:tcPr>
          <w:p w14:paraId="3226E3F6"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19041E66"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BPA.H062</w:t>
            </w:r>
          </w:p>
        </w:tc>
        <w:tc>
          <w:tcPr>
            <w:tcW w:w="1420" w:type="dxa"/>
            <w:tcBorders>
              <w:top w:val="nil"/>
              <w:left w:val="nil"/>
              <w:bottom w:val="nil"/>
              <w:right w:val="single" w:sz="8" w:space="0" w:color="auto"/>
            </w:tcBorders>
            <w:shd w:val="clear" w:color="auto" w:fill="auto"/>
            <w:noWrap/>
            <w:vAlign w:val="center"/>
            <w:hideMark/>
          </w:tcPr>
          <w:p w14:paraId="4E0EF437"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BPA.I062</w:t>
            </w:r>
          </w:p>
        </w:tc>
      </w:tr>
      <w:tr w:rsidR="002865D9" w:rsidRPr="009548D7" w14:paraId="5DDB5A11" w14:textId="77777777" w:rsidTr="00A9732C">
        <w:trPr>
          <w:trHeight w:val="255"/>
        </w:trPr>
        <w:tc>
          <w:tcPr>
            <w:tcW w:w="4410" w:type="dxa"/>
            <w:tcBorders>
              <w:top w:val="nil"/>
              <w:left w:val="single" w:sz="8" w:space="0" w:color="auto"/>
              <w:bottom w:val="nil"/>
            </w:tcBorders>
            <w:shd w:val="clear" w:color="auto" w:fill="auto"/>
            <w:noWrap/>
            <w:vAlign w:val="center"/>
            <w:hideMark/>
          </w:tcPr>
          <w:p w14:paraId="71246FD9" w14:textId="79558861" w:rsidR="002865D9" w:rsidRPr="009548D7" w:rsidRDefault="00C56947" w:rsidP="00C56947">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2865D9" w:rsidRPr="009548D7">
              <w:rPr>
                <w:rFonts w:ascii="Arial Narrow" w:eastAsia="Times New Roman" w:hAnsi="Arial Narrow" w:cs="Arial"/>
                <w:sz w:val="16"/>
                <w:szCs w:val="16"/>
                <w:lang w:eastAsia="pt-BR"/>
              </w:rPr>
              <w:t>(-) Redução ao Valor Recuperável de softwares</w:t>
            </w:r>
          </w:p>
        </w:tc>
        <w:tc>
          <w:tcPr>
            <w:tcW w:w="767" w:type="dxa"/>
            <w:tcBorders>
              <w:top w:val="nil"/>
              <w:bottom w:val="nil"/>
              <w:right w:val="single" w:sz="4" w:space="0" w:color="auto"/>
            </w:tcBorders>
            <w:shd w:val="clear" w:color="auto" w:fill="auto"/>
            <w:noWrap/>
            <w:vAlign w:val="center"/>
          </w:tcPr>
          <w:p w14:paraId="1DE3D81D"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48E682D0" w14:textId="04A4D885"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BPA.D063</w:t>
            </w:r>
          </w:p>
        </w:tc>
        <w:tc>
          <w:tcPr>
            <w:tcW w:w="1262" w:type="dxa"/>
            <w:tcBorders>
              <w:top w:val="nil"/>
              <w:left w:val="nil"/>
              <w:bottom w:val="nil"/>
              <w:right w:val="single" w:sz="8" w:space="0" w:color="auto"/>
            </w:tcBorders>
            <w:shd w:val="clear" w:color="auto" w:fill="auto"/>
            <w:noWrap/>
            <w:vAlign w:val="center"/>
            <w:hideMark/>
          </w:tcPr>
          <w:p w14:paraId="4E353AD5" w14:textId="4D6FC253"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BPA.E063</w:t>
            </w:r>
          </w:p>
        </w:tc>
        <w:tc>
          <w:tcPr>
            <w:tcW w:w="4562" w:type="dxa"/>
            <w:tcBorders>
              <w:top w:val="nil"/>
              <w:left w:val="nil"/>
              <w:bottom w:val="nil"/>
            </w:tcBorders>
            <w:shd w:val="clear" w:color="auto" w:fill="auto"/>
            <w:vAlign w:val="center"/>
          </w:tcPr>
          <w:p w14:paraId="6B1ECBFA" w14:textId="77777777" w:rsidR="002865D9" w:rsidRPr="009548D7" w:rsidRDefault="002865D9" w:rsidP="002865D9">
            <w:pPr>
              <w:spacing w:after="0" w:line="240" w:lineRule="auto"/>
              <w:rPr>
                <w:rFonts w:ascii="Arial Narrow" w:eastAsia="Times New Roman" w:hAnsi="Arial Narrow" w:cs="Arial"/>
                <w:sz w:val="16"/>
                <w:szCs w:val="16"/>
                <w:lang w:eastAsia="pt-BR"/>
              </w:rPr>
            </w:pPr>
          </w:p>
        </w:tc>
        <w:tc>
          <w:tcPr>
            <w:tcW w:w="775" w:type="dxa"/>
            <w:tcBorders>
              <w:top w:val="nil"/>
              <w:bottom w:val="nil"/>
              <w:right w:val="single" w:sz="8" w:space="0" w:color="auto"/>
            </w:tcBorders>
            <w:shd w:val="clear" w:color="auto" w:fill="auto"/>
            <w:noWrap/>
            <w:vAlign w:val="center"/>
          </w:tcPr>
          <w:p w14:paraId="1784246B"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tcPr>
          <w:p w14:paraId="4375D43E"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p>
        </w:tc>
        <w:tc>
          <w:tcPr>
            <w:tcW w:w="1420" w:type="dxa"/>
            <w:tcBorders>
              <w:top w:val="nil"/>
              <w:left w:val="nil"/>
              <w:bottom w:val="nil"/>
              <w:right w:val="single" w:sz="8" w:space="0" w:color="auto"/>
            </w:tcBorders>
            <w:shd w:val="clear" w:color="auto" w:fill="auto"/>
            <w:noWrap/>
            <w:vAlign w:val="center"/>
          </w:tcPr>
          <w:p w14:paraId="1A5C3148"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p>
        </w:tc>
      </w:tr>
      <w:tr w:rsidR="002865D9" w:rsidRPr="009548D7" w14:paraId="44BBA5DD" w14:textId="77777777" w:rsidTr="00A9732C">
        <w:trPr>
          <w:trHeight w:val="255"/>
        </w:trPr>
        <w:tc>
          <w:tcPr>
            <w:tcW w:w="4410" w:type="dxa"/>
            <w:tcBorders>
              <w:top w:val="nil"/>
              <w:left w:val="single" w:sz="8" w:space="0" w:color="auto"/>
              <w:bottom w:val="nil"/>
            </w:tcBorders>
            <w:shd w:val="clear" w:color="auto" w:fill="auto"/>
            <w:noWrap/>
            <w:vAlign w:val="center"/>
            <w:hideMark/>
          </w:tcPr>
          <w:p w14:paraId="431B1FE2" w14:textId="7AC4A3E1" w:rsidR="002865D9" w:rsidRPr="009548D7" w:rsidRDefault="00C56947" w:rsidP="00C56947">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2865D9" w:rsidRPr="009548D7">
              <w:rPr>
                <w:rFonts w:ascii="Arial Narrow" w:eastAsia="Times New Roman" w:hAnsi="Arial Narrow" w:cs="Arial"/>
                <w:sz w:val="16"/>
                <w:szCs w:val="16"/>
                <w:lang w:eastAsia="pt-BR"/>
              </w:rPr>
              <w:t>Marcas, Direitos e Patentes Industriais</w:t>
            </w:r>
          </w:p>
        </w:tc>
        <w:tc>
          <w:tcPr>
            <w:tcW w:w="767" w:type="dxa"/>
            <w:tcBorders>
              <w:top w:val="nil"/>
              <w:bottom w:val="nil"/>
              <w:right w:val="single" w:sz="4" w:space="0" w:color="auto"/>
            </w:tcBorders>
            <w:shd w:val="clear" w:color="auto" w:fill="auto"/>
            <w:noWrap/>
            <w:vAlign w:val="center"/>
          </w:tcPr>
          <w:p w14:paraId="02A2F58D"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40B2CA89" w14:textId="46D3C472"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BPA.D064</w:t>
            </w:r>
          </w:p>
        </w:tc>
        <w:tc>
          <w:tcPr>
            <w:tcW w:w="1262" w:type="dxa"/>
            <w:tcBorders>
              <w:top w:val="nil"/>
              <w:left w:val="nil"/>
              <w:bottom w:val="nil"/>
              <w:right w:val="single" w:sz="8" w:space="0" w:color="auto"/>
            </w:tcBorders>
            <w:shd w:val="clear" w:color="auto" w:fill="auto"/>
            <w:noWrap/>
            <w:vAlign w:val="center"/>
            <w:hideMark/>
          </w:tcPr>
          <w:p w14:paraId="2610B8F9" w14:textId="176EDA85"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BPA.E064</w:t>
            </w:r>
          </w:p>
        </w:tc>
        <w:tc>
          <w:tcPr>
            <w:tcW w:w="4562" w:type="dxa"/>
            <w:tcBorders>
              <w:top w:val="nil"/>
              <w:left w:val="nil"/>
              <w:bottom w:val="nil"/>
            </w:tcBorders>
            <w:shd w:val="clear" w:color="auto" w:fill="auto"/>
            <w:noWrap/>
            <w:vAlign w:val="center"/>
            <w:hideMark/>
          </w:tcPr>
          <w:p w14:paraId="6A94F2B5" w14:textId="77777777" w:rsidR="002865D9" w:rsidRPr="009548D7" w:rsidRDefault="002865D9" w:rsidP="002865D9">
            <w:pPr>
              <w:spacing w:after="0" w:line="240" w:lineRule="auto"/>
              <w:ind w:firstLineChars="100" w:firstLine="16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w:t>
            </w:r>
          </w:p>
        </w:tc>
        <w:tc>
          <w:tcPr>
            <w:tcW w:w="775" w:type="dxa"/>
            <w:tcBorders>
              <w:top w:val="nil"/>
              <w:bottom w:val="nil"/>
              <w:right w:val="single" w:sz="8" w:space="0" w:color="auto"/>
            </w:tcBorders>
            <w:shd w:val="clear" w:color="auto" w:fill="auto"/>
            <w:noWrap/>
            <w:vAlign w:val="center"/>
          </w:tcPr>
          <w:p w14:paraId="6F300A2E" w14:textId="77777777" w:rsidR="002865D9" w:rsidRPr="009548D7" w:rsidRDefault="002865D9" w:rsidP="002865D9">
            <w:pPr>
              <w:spacing w:after="0" w:line="240" w:lineRule="auto"/>
              <w:ind w:firstLineChars="100" w:firstLine="160"/>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21036D4A"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w:t>
            </w:r>
          </w:p>
        </w:tc>
        <w:tc>
          <w:tcPr>
            <w:tcW w:w="1420" w:type="dxa"/>
            <w:tcBorders>
              <w:top w:val="nil"/>
              <w:left w:val="nil"/>
              <w:bottom w:val="nil"/>
              <w:right w:val="single" w:sz="8" w:space="0" w:color="auto"/>
            </w:tcBorders>
            <w:shd w:val="clear" w:color="auto" w:fill="auto"/>
            <w:noWrap/>
            <w:vAlign w:val="center"/>
            <w:hideMark/>
          </w:tcPr>
          <w:p w14:paraId="1B847CFD"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w:t>
            </w:r>
          </w:p>
        </w:tc>
      </w:tr>
      <w:tr w:rsidR="002865D9" w:rsidRPr="009548D7" w14:paraId="74E476B7" w14:textId="77777777" w:rsidTr="00A9732C">
        <w:trPr>
          <w:trHeight w:val="255"/>
        </w:trPr>
        <w:tc>
          <w:tcPr>
            <w:tcW w:w="4410" w:type="dxa"/>
            <w:tcBorders>
              <w:top w:val="nil"/>
              <w:left w:val="single" w:sz="8" w:space="0" w:color="auto"/>
              <w:bottom w:val="nil"/>
            </w:tcBorders>
            <w:shd w:val="clear" w:color="auto" w:fill="auto"/>
            <w:noWrap/>
            <w:vAlign w:val="center"/>
            <w:hideMark/>
          </w:tcPr>
          <w:p w14:paraId="6DD6F2B6" w14:textId="32203653" w:rsidR="002865D9" w:rsidRPr="009548D7" w:rsidRDefault="002865D9" w:rsidP="002865D9">
            <w:pPr>
              <w:spacing w:after="0" w:line="240" w:lineRule="auto"/>
              <w:ind w:left="497"/>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Amortização Acumulada de Marcas, Direitos e Patentes Industriais</w:t>
            </w:r>
          </w:p>
        </w:tc>
        <w:tc>
          <w:tcPr>
            <w:tcW w:w="767" w:type="dxa"/>
            <w:tcBorders>
              <w:top w:val="nil"/>
              <w:bottom w:val="nil"/>
              <w:right w:val="single" w:sz="4" w:space="0" w:color="auto"/>
            </w:tcBorders>
            <w:shd w:val="clear" w:color="auto" w:fill="auto"/>
            <w:noWrap/>
            <w:vAlign w:val="center"/>
          </w:tcPr>
          <w:p w14:paraId="6A2A31BE"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6FC32927" w14:textId="1D3C1CAB"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BPA.D065</w:t>
            </w:r>
          </w:p>
        </w:tc>
        <w:tc>
          <w:tcPr>
            <w:tcW w:w="1262" w:type="dxa"/>
            <w:tcBorders>
              <w:top w:val="nil"/>
              <w:left w:val="nil"/>
              <w:bottom w:val="nil"/>
              <w:right w:val="single" w:sz="8" w:space="0" w:color="auto"/>
            </w:tcBorders>
            <w:shd w:val="clear" w:color="auto" w:fill="auto"/>
            <w:noWrap/>
            <w:vAlign w:val="center"/>
            <w:hideMark/>
          </w:tcPr>
          <w:p w14:paraId="2D0EA2EC" w14:textId="64DA98BD"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BPA.E065</w:t>
            </w:r>
          </w:p>
        </w:tc>
        <w:tc>
          <w:tcPr>
            <w:tcW w:w="4562" w:type="dxa"/>
            <w:tcBorders>
              <w:top w:val="nil"/>
              <w:left w:val="nil"/>
              <w:bottom w:val="nil"/>
            </w:tcBorders>
            <w:shd w:val="clear" w:color="auto" w:fill="auto"/>
            <w:noWrap/>
            <w:vAlign w:val="center"/>
            <w:hideMark/>
          </w:tcPr>
          <w:p w14:paraId="258D04FD" w14:textId="77777777" w:rsidR="002865D9" w:rsidRPr="009548D7" w:rsidRDefault="002865D9" w:rsidP="002865D9">
            <w:pPr>
              <w:spacing w:after="0" w:line="240" w:lineRule="auto"/>
              <w:rPr>
                <w:rFonts w:ascii="Arial Narrow" w:eastAsia="Times New Roman" w:hAnsi="Arial Narrow" w:cs="Arial"/>
                <w:color w:val="0070C0"/>
                <w:sz w:val="16"/>
                <w:szCs w:val="16"/>
                <w:lang w:eastAsia="pt-BR"/>
              </w:rPr>
            </w:pPr>
          </w:p>
        </w:tc>
        <w:tc>
          <w:tcPr>
            <w:tcW w:w="775" w:type="dxa"/>
            <w:tcBorders>
              <w:top w:val="nil"/>
              <w:bottom w:val="nil"/>
              <w:right w:val="single" w:sz="8" w:space="0" w:color="auto"/>
            </w:tcBorders>
            <w:shd w:val="clear" w:color="auto" w:fill="auto"/>
            <w:noWrap/>
            <w:vAlign w:val="center"/>
          </w:tcPr>
          <w:p w14:paraId="2E051BCD" w14:textId="77777777" w:rsidR="002865D9" w:rsidRPr="009548D7" w:rsidRDefault="002865D9" w:rsidP="002865D9">
            <w:pPr>
              <w:spacing w:after="0" w:line="240" w:lineRule="auto"/>
              <w:rPr>
                <w:rFonts w:ascii="Arial Narrow" w:eastAsia="Times New Roman" w:hAnsi="Arial Narrow" w:cs="Arial"/>
                <w:color w:val="0070C0"/>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150862AA"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w:t>
            </w:r>
          </w:p>
        </w:tc>
        <w:tc>
          <w:tcPr>
            <w:tcW w:w="1420" w:type="dxa"/>
            <w:tcBorders>
              <w:top w:val="nil"/>
              <w:left w:val="nil"/>
              <w:bottom w:val="nil"/>
              <w:right w:val="single" w:sz="8" w:space="0" w:color="auto"/>
            </w:tcBorders>
            <w:shd w:val="clear" w:color="auto" w:fill="auto"/>
            <w:noWrap/>
            <w:vAlign w:val="center"/>
            <w:hideMark/>
          </w:tcPr>
          <w:p w14:paraId="7DBDC967"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w:t>
            </w:r>
          </w:p>
        </w:tc>
      </w:tr>
      <w:tr w:rsidR="002865D9" w:rsidRPr="009548D7" w14:paraId="64DDC8FA" w14:textId="77777777" w:rsidTr="00A9732C">
        <w:trPr>
          <w:trHeight w:val="255"/>
        </w:trPr>
        <w:tc>
          <w:tcPr>
            <w:tcW w:w="4410" w:type="dxa"/>
            <w:tcBorders>
              <w:top w:val="nil"/>
              <w:left w:val="single" w:sz="8" w:space="0" w:color="auto"/>
              <w:bottom w:val="nil"/>
            </w:tcBorders>
            <w:shd w:val="clear" w:color="auto" w:fill="auto"/>
            <w:noWrap/>
            <w:vAlign w:val="center"/>
            <w:hideMark/>
          </w:tcPr>
          <w:p w14:paraId="7BAB45E2" w14:textId="125ED2AE" w:rsidR="002865D9" w:rsidRPr="009548D7" w:rsidRDefault="002865D9" w:rsidP="002865D9">
            <w:pPr>
              <w:spacing w:after="0" w:line="240" w:lineRule="auto"/>
              <w:ind w:left="497"/>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Redução ao Valor Recuperável de Marcas, Direitos e Patentes Industriais</w:t>
            </w:r>
          </w:p>
        </w:tc>
        <w:tc>
          <w:tcPr>
            <w:tcW w:w="767" w:type="dxa"/>
            <w:tcBorders>
              <w:top w:val="nil"/>
              <w:bottom w:val="nil"/>
              <w:right w:val="single" w:sz="4" w:space="0" w:color="auto"/>
            </w:tcBorders>
            <w:shd w:val="clear" w:color="auto" w:fill="auto"/>
            <w:noWrap/>
            <w:vAlign w:val="center"/>
          </w:tcPr>
          <w:p w14:paraId="74A4F598"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776ECA37" w14:textId="5612569E"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BPA.D066</w:t>
            </w:r>
          </w:p>
        </w:tc>
        <w:tc>
          <w:tcPr>
            <w:tcW w:w="1262" w:type="dxa"/>
            <w:tcBorders>
              <w:top w:val="nil"/>
              <w:left w:val="nil"/>
              <w:bottom w:val="nil"/>
              <w:right w:val="single" w:sz="8" w:space="0" w:color="auto"/>
            </w:tcBorders>
            <w:shd w:val="clear" w:color="auto" w:fill="auto"/>
            <w:noWrap/>
            <w:vAlign w:val="center"/>
            <w:hideMark/>
          </w:tcPr>
          <w:p w14:paraId="7050A5E0" w14:textId="2A76B046"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BPA.E066</w:t>
            </w:r>
          </w:p>
        </w:tc>
        <w:tc>
          <w:tcPr>
            <w:tcW w:w="4562" w:type="dxa"/>
            <w:tcBorders>
              <w:top w:val="nil"/>
              <w:left w:val="nil"/>
              <w:bottom w:val="nil"/>
            </w:tcBorders>
            <w:shd w:val="clear" w:color="auto" w:fill="auto"/>
            <w:noWrap/>
            <w:vAlign w:val="center"/>
            <w:hideMark/>
          </w:tcPr>
          <w:p w14:paraId="60F872FE" w14:textId="77777777" w:rsidR="002865D9" w:rsidRPr="009548D7" w:rsidRDefault="002865D9" w:rsidP="002865D9">
            <w:pPr>
              <w:spacing w:after="0" w:line="240" w:lineRule="auto"/>
              <w:ind w:firstLineChars="100" w:firstLine="160"/>
              <w:rPr>
                <w:rFonts w:ascii="Arial Narrow" w:eastAsia="Times New Roman" w:hAnsi="Arial Narrow" w:cs="Arial"/>
                <w:color w:val="00B050"/>
                <w:sz w:val="16"/>
                <w:szCs w:val="16"/>
                <w:lang w:eastAsia="pt-BR"/>
              </w:rPr>
            </w:pPr>
            <w:r w:rsidRPr="009548D7">
              <w:rPr>
                <w:rFonts w:ascii="Arial Narrow" w:eastAsia="Times New Roman" w:hAnsi="Arial Narrow" w:cs="Arial"/>
                <w:color w:val="00B050"/>
                <w:sz w:val="16"/>
                <w:szCs w:val="16"/>
                <w:lang w:eastAsia="pt-BR"/>
              </w:rPr>
              <w:t> </w:t>
            </w:r>
          </w:p>
        </w:tc>
        <w:tc>
          <w:tcPr>
            <w:tcW w:w="775" w:type="dxa"/>
            <w:tcBorders>
              <w:top w:val="nil"/>
              <w:bottom w:val="nil"/>
              <w:right w:val="single" w:sz="8" w:space="0" w:color="auto"/>
            </w:tcBorders>
            <w:shd w:val="clear" w:color="auto" w:fill="auto"/>
            <w:noWrap/>
            <w:vAlign w:val="center"/>
          </w:tcPr>
          <w:p w14:paraId="3660546A" w14:textId="77777777" w:rsidR="002865D9" w:rsidRPr="009548D7" w:rsidRDefault="002865D9" w:rsidP="002865D9">
            <w:pPr>
              <w:spacing w:after="0" w:line="240" w:lineRule="auto"/>
              <w:ind w:firstLineChars="100" w:firstLine="160"/>
              <w:rPr>
                <w:rFonts w:ascii="Arial Narrow" w:eastAsia="Times New Roman" w:hAnsi="Arial Narrow" w:cs="Arial"/>
                <w:color w:val="00B050"/>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28932DB1"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w:t>
            </w:r>
          </w:p>
        </w:tc>
        <w:tc>
          <w:tcPr>
            <w:tcW w:w="1420" w:type="dxa"/>
            <w:tcBorders>
              <w:top w:val="nil"/>
              <w:left w:val="nil"/>
              <w:bottom w:val="nil"/>
              <w:right w:val="single" w:sz="8" w:space="0" w:color="auto"/>
            </w:tcBorders>
            <w:shd w:val="clear" w:color="auto" w:fill="auto"/>
            <w:noWrap/>
            <w:vAlign w:val="center"/>
            <w:hideMark/>
          </w:tcPr>
          <w:p w14:paraId="314CA835"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w:t>
            </w:r>
          </w:p>
        </w:tc>
      </w:tr>
      <w:tr w:rsidR="002865D9" w:rsidRPr="009548D7" w14:paraId="76E3D336" w14:textId="77777777" w:rsidTr="00A9732C">
        <w:trPr>
          <w:trHeight w:val="255"/>
        </w:trPr>
        <w:tc>
          <w:tcPr>
            <w:tcW w:w="4410" w:type="dxa"/>
            <w:tcBorders>
              <w:top w:val="nil"/>
              <w:left w:val="single" w:sz="8" w:space="0" w:color="auto"/>
              <w:bottom w:val="nil"/>
            </w:tcBorders>
            <w:shd w:val="clear" w:color="auto" w:fill="auto"/>
            <w:noWrap/>
            <w:vAlign w:val="center"/>
            <w:hideMark/>
          </w:tcPr>
          <w:p w14:paraId="2B7402DA" w14:textId="2FA1DEFE" w:rsidR="002865D9" w:rsidRPr="009548D7" w:rsidRDefault="002865D9" w:rsidP="002865D9">
            <w:pPr>
              <w:spacing w:after="0" w:line="240" w:lineRule="auto"/>
              <w:ind w:firstLineChars="300" w:firstLine="48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Direitos de Uso de Imóveis</w:t>
            </w:r>
          </w:p>
        </w:tc>
        <w:tc>
          <w:tcPr>
            <w:tcW w:w="767" w:type="dxa"/>
            <w:tcBorders>
              <w:top w:val="nil"/>
              <w:bottom w:val="nil"/>
              <w:right w:val="single" w:sz="4" w:space="0" w:color="auto"/>
            </w:tcBorders>
            <w:shd w:val="clear" w:color="auto" w:fill="auto"/>
            <w:noWrap/>
            <w:vAlign w:val="center"/>
          </w:tcPr>
          <w:p w14:paraId="1C9E2B7B"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7AF6CFB1" w14:textId="1075464F"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BPA.D067</w:t>
            </w:r>
          </w:p>
        </w:tc>
        <w:tc>
          <w:tcPr>
            <w:tcW w:w="1262" w:type="dxa"/>
            <w:tcBorders>
              <w:top w:val="nil"/>
              <w:left w:val="nil"/>
              <w:bottom w:val="nil"/>
              <w:right w:val="single" w:sz="8" w:space="0" w:color="auto"/>
            </w:tcBorders>
            <w:shd w:val="clear" w:color="auto" w:fill="auto"/>
            <w:noWrap/>
            <w:vAlign w:val="center"/>
            <w:hideMark/>
          </w:tcPr>
          <w:p w14:paraId="698ABA7A" w14:textId="55CDBEE5"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BPA.E067</w:t>
            </w:r>
          </w:p>
        </w:tc>
        <w:tc>
          <w:tcPr>
            <w:tcW w:w="4562" w:type="dxa"/>
            <w:tcBorders>
              <w:top w:val="nil"/>
              <w:left w:val="nil"/>
              <w:bottom w:val="nil"/>
            </w:tcBorders>
            <w:shd w:val="clear" w:color="auto" w:fill="auto"/>
            <w:noWrap/>
            <w:vAlign w:val="center"/>
            <w:hideMark/>
          </w:tcPr>
          <w:p w14:paraId="0A20B9DC" w14:textId="77777777" w:rsidR="002865D9" w:rsidRPr="009548D7" w:rsidRDefault="002865D9" w:rsidP="002865D9">
            <w:pPr>
              <w:spacing w:after="0" w:line="240" w:lineRule="auto"/>
              <w:ind w:firstLineChars="100" w:firstLine="16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w:t>
            </w:r>
          </w:p>
        </w:tc>
        <w:tc>
          <w:tcPr>
            <w:tcW w:w="775" w:type="dxa"/>
            <w:tcBorders>
              <w:top w:val="nil"/>
              <w:bottom w:val="nil"/>
              <w:right w:val="single" w:sz="8" w:space="0" w:color="auto"/>
            </w:tcBorders>
            <w:shd w:val="clear" w:color="auto" w:fill="auto"/>
            <w:noWrap/>
            <w:vAlign w:val="center"/>
          </w:tcPr>
          <w:p w14:paraId="2486D0BD" w14:textId="77777777" w:rsidR="002865D9" w:rsidRPr="009548D7" w:rsidRDefault="002865D9" w:rsidP="002865D9">
            <w:pPr>
              <w:spacing w:after="0" w:line="240" w:lineRule="auto"/>
              <w:ind w:firstLineChars="100" w:firstLine="160"/>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6302B5C1"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w:t>
            </w:r>
          </w:p>
        </w:tc>
        <w:tc>
          <w:tcPr>
            <w:tcW w:w="1420" w:type="dxa"/>
            <w:tcBorders>
              <w:top w:val="nil"/>
              <w:left w:val="nil"/>
              <w:bottom w:val="nil"/>
              <w:right w:val="single" w:sz="8" w:space="0" w:color="auto"/>
            </w:tcBorders>
            <w:shd w:val="clear" w:color="auto" w:fill="auto"/>
            <w:noWrap/>
            <w:vAlign w:val="center"/>
            <w:hideMark/>
          </w:tcPr>
          <w:p w14:paraId="7A0397CF"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w:t>
            </w:r>
          </w:p>
        </w:tc>
      </w:tr>
      <w:tr w:rsidR="002865D9" w:rsidRPr="009548D7" w14:paraId="259D0E05" w14:textId="77777777" w:rsidTr="00A9732C">
        <w:trPr>
          <w:trHeight w:val="255"/>
        </w:trPr>
        <w:tc>
          <w:tcPr>
            <w:tcW w:w="4410" w:type="dxa"/>
            <w:tcBorders>
              <w:top w:val="nil"/>
              <w:left w:val="single" w:sz="8" w:space="0" w:color="auto"/>
              <w:bottom w:val="nil"/>
            </w:tcBorders>
            <w:shd w:val="clear" w:color="auto" w:fill="auto"/>
            <w:noWrap/>
            <w:vAlign w:val="center"/>
            <w:hideMark/>
          </w:tcPr>
          <w:p w14:paraId="1D2AB7EE" w14:textId="0065DCF7" w:rsidR="002865D9" w:rsidRPr="009548D7" w:rsidRDefault="002865D9" w:rsidP="002865D9">
            <w:pPr>
              <w:spacing w:after="0" w:line="240" w:lineRule="auto"/>
              <w:ind w:firstLineChars="300" w:firstLine="48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Amortização Acumulada de Direitos de uso de Imóveis</w:t>
            </w:r>
          </w:p>
        </w:tc>
        <w:tc>
          <w:tcPr>
            <w:tcW w:w="767" w:type="dxa"/>
            <w:tcBorders>
              <w:top w:val="nil"/>
              <w:bottom w:val="nil"/>
              <w:right w:val="single" w:sz="4" w:space="0" w:color="auto"/>
            </w:tcBorders>
            <w:shd w:val="clear" w:color="auto" w:fill="auto"/>
            <w:noWrap/>
            <w:vAlign w:val="center"/>
          </w:tcPr>
          <w:p w14:paraId="0ADEDBF0"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22A83BB0" w14:textId="017DDEEB"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BPA.D068</w:t>
            </w:r>
          </w:p>
        </w:tc>
        <w:tc>
          <w:tcPr>
            <w:tcW w:w="1262" w:type="dxa"/>
            <w:tcBorders>
              <w:top w:val="nil"/>
              <w:left w:val="nil"/>
              <w:bottom w:val="nil"/>
              <w:right w:val="single" w:sz="8" w:space="0" w:color="auto"/>
            </w:tcBorders>
            <w:shd w:val="clear" w:color="auto" w:fill="auto"/>
            <w:noWrap/>
            <w:vAlign w:val="center"/>
            <w:hideMark/>
          </w:tcPr>
          <w:p w14:paraId="2B069CF1" w14:textId="538920D0"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BPA.E068</w:t>
            </w:r>
          </w:p>
        </w:tc>
        <w:tc>
          <w:tcPr>
            <w:tcW w:w="4562" w:type="dxa"/>
            <w:tcBorders>
              <w:top w:val="nil"/>
              <w:left w:val="nil"/>
              <w:bottom w:val="nil"/>
            </w:tcBorders>
            <w:shd w:val="clear" w:color="auto" w:fill="auto"/>
            <w:noWrap/>
            <w:vAlign w:val="center"/>
            <w:hideMark/>
          </w:tcPr>
          <w:p w14:paraId="37BF8066" w14:textId="77777777" w:rsidR="002865D9" w:rsidRPr="009548D7" w:rsidRDefault="002865D9" w:rsidP="002865D9">
            <w:pPr>
              <w:spacing w:after="0" w:line="240" w:lineRule="auto"/>
              <w:ind w:firstLineChars="100" w:firstLine="16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w:t>
            </w:r>
          </w:p>
        </w:tc>
        <w:tc>
          <w:tcPr>
            <w:tcW w:w="775" w:type="dxa"/>
            <w:tcBorders>
              <w:top w:val="nil"/>
              <w:bottom w:val="nil"/>
              <w:right w:val="single" w:sz="8" w:space="0" w:color="auto"/>
            </w:tcBorders>
            <w:shd w:val="clear" w:color="auto" w:fill="auto"/>
            <w:noWrap/>
            <w:vAlign w:val="center"/>
          </w:tcPr>
          <w:p w14:paraId="48ADA165" w14:textId="77777777" w:rsidR="002865D9" w:rsidRPr="009548D7" w:rsidRDefault="002865D9" w:rsidP="002865D9">
            <w:pPr>
              <w:spacing w:after="0" w:line="240" w:lineRule="auto"/>
              <w:ind w:firstLineChars="100" w:firstLine="160"/>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48157F73" w14:textId="77777777" w:rsidR="002865D9" w:rsidRPr="009548D7" w:rsidRDefault="002865D9" w:rsidP="002865D9">
            <w:pPr>
              <w:spacing w:after="0" w:line="240" w:lineRule="auto"/>
              <w:jc w:val="center"/>
              <w:rPr>
                <w:rFonts w:ascii="Arial Narrow" w:eastAsia="Times New Roman" w:hAnsi="Arial Narrow" w:cs="Arial"/>
                <w:color w:val="0070C0"/>
                <w:sz w:val="16"/>
                <w:szCs w:val="16"/>
                <w:lang w:eastAsia="pt-BR"/>
              </w:rPr>
            </w:pPr>
            <w:r w:rsidRPr="009548D7">
              <w:rPr>
                <w:rFonts w:ascii="Arial Narrow" w:eastAsia="Times New Roman" w:hAnsi="Arial Narrow" w:cs="Arial"/>
                <w:color w:val="0070C0"/>
                <w:sz w:val="16"/>
                <w:szCs w:val="16"/>
                <w:lang w:eastAsia="pt-BR"/>
              </w:rPr>
              <w:t> </w:t>
            </w:r>
          </w:p>
        </w:tc>
        <w:tc>
          <w:tcPr>
            <w:tcW w:w="1420" w:type="dxa"/>
            <w:tcBorders>
              <w:top w:val="nil"/>
              <w:left w:val="nil"/>
              <w:bottom w:val="nil"/>
              <w:right w:val="single" w:sz="8" w:space="0" w:color="auto"/>
            </w:tcBorders>
            <w:shd w:val="clear" w:color="auto" w:fill="auto"/>
            <w:noWrap/>
            <w:vAlign w:val="center"/>
            <w:hideMark/>
          </w:tcPr>
          <w:p w14:paraId="7BC73DDC" w14:textId="77777777" w:rsidR="002865D9" w:rsidRPr="009548D7" w:rsidRDefault="002865D9" w:rsidP="002865D9">
            <w:pPr>
              <w:spacing w:after="0" w:line="240" w:lineRule="auto"/>
              <w:jc w:val="center"/>
              <w:rPr>
                <w:rFonts w:ascii="Arial Narrow" w:eastAsia="Times New Roman" w:hAnsi="Arial Narrow" w:cs="Arial"/>
                <w:color w:val="0070C0"/>
                <w:sz w:val="16"/>
                <w:szCs w:val="16"/>
                <w:lang w:eastAsia="pt-BR"/>
              </w:rPr>
            </w:pPr>
            <w:r w:rsidRPr="009548D7">
              <w:rPr>
                <w:rFonts w:ascii="Arial Narrow" w:eastAsia="Times New Roman" w:hAnsi="Arial Narrow" w:cs="Arial"/>
                <w:color w:val="0070C0"/>
                <w:sz w:val="16"/>
                <w:szCs w:val="16"/>
                <w:lang w:eastAsia="pt-BR"/>
              </w:rPr>
              <w:t> </w:t>
            </w:r>
          </w:p>
        </w:tc>
      </w:tr>
      <w:tr w:rsidR="002865D9" w:rsidRPr="009548D7" w14:paraId="03F1D413" w14:textId="77777777" w:rsidTr="00A9732C">
        <w:trPr>
          <w:trHeight w:val="255"/>
        </w:trPr>
        <w:tc>
          <w:tcPr>
            <w:tcW w:w="4410" w:type="dxa"/>
            <w:tcBorders>
              <w:top w:val="nil"/>
              <w:left w:val="single" w:sz="8" w:space="0" w:color="auto"/>
              <w:bottom w:val="nil"/>
            </w:tcBorders>
            <w:shd w:val="clear" w:color="auto" w:fill="auto"/>
            <w:noWrap/>
            <w:vAlign w:val="center"/>
            <w:hideMark/>
          </w:tcPr>
          <w:p w14:paraId="152F9B47" w14:textId="395B2CF9" w:rsidR="002865D9" w:rsidRPr="009548D7" w:rsidRDefault="002865D9" w:rsidP="002865D9">
            <w:pPr>
              <w:spacing w:after="0" w:line="240" w:lineRule="auto"/>
              <w:ind w:firstLineChars="300" w:firstLine="48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Redução ao Valor Recuperável de Direitos de Uso de Imóveis</w:t>
            </w:r>
          </w:p>
        </w:tc>
        <w:tc>
          <w:tcPr>
            <w:tcW w:w="767" w:type="dxa"/>
            <w:tcBorders>
              <w:top w:val="nil"/>
              <w:bottom w:val="nil"/>
              <w:right w:val="single" w:sz="4" w:space="0" w:color="auto"/>
            </w:tcBorders>
            <w:shd w:val="clear" w:color="auto" w:fill="auto"/>
            <w:noWrap/>
            <w:vAlign w:val="center"/>
          </w:tcPr>
          <w:p w14:paraId="5E64B4E1" w14:textId="77777777" w:rsidR="002865D9" w:rsidRPr="009548D7" w:rsidRDefault="002865D9" w:rsidP="002865D9">
            <w:pPr>
              <w:spacing w:after="0" w:line="240" w:lineRule="auto"/>
              <w:jc w:val="center"/>
              <w:rPr>
                <w:rFonts w:ascii="Arial Narrow" w:eastAsia="Times New Roman" w:hAnsi="Arial Narrow" w:cs="Arial"/>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587BFD85" w14:textId="1B87D8CF"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BPA.D069</w:t>
            </w:r>
          </w:p>
        </w:tc>
        <w:tc>
          <w:tcPr>
            <w:tcW w:w="1262" w:type="dxa"/>
            <w:tcBorders>
              <w:top w:val="nil"/>
              <w:left w:val="nil"/>
              <w:bottom w:val="nil"/>
              <w:right w:val="single" w:sz="8" w:space="0" w:color="auto"/>
            </w:tcBorders>
            <w:shd w:val="clear" w:color="auto" w:fill="auto"/>
            <w:noWrap/>
            <w:vAlign w:val="center"/>
            <w:hideMark/>
          </w:tcPr>
          <w:p w14:paraId="27B9B2BB" w14:textId="09229B62" w:rsidR="002865D9" w:rsidRPr="009548D7"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BPA.E069</w:t>
            </w:r>
          </w:p>
        </w:tc>
        <w:tc>
          <w:tcPr>
            <w:tcW w:w="4562" w:type="dxa"/>
            <w:tcBorders>
              <w:top w:val="nil"/>
              <w:left w:val="nil"/>
              <w:bottom w:val="nil"/>
            </w:tcBorders>
            <w:shd w:val="clear" w:color="auto" w:fill="auto"/>
            <w:noWrap/>
            <w:vAlign w:val="center"/>
            <w:hideMark/>
          </w:tcPr>
          <w:p w14:paraId="1A0A7A7D" w14:textId="77777777" w:rsidR="002865D9" w:rsidRPr="009548D7" w:rsidRDefault="002865D9" w:rsidP="002865D9">
            <w:pPr>
              <w:spacing w:after="0" w:line="240" w:lineRule="auto"/>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 </w:t>
            </w:r>
          </w:p>
        </w:tc>
        <w:tc>
          <w:tcPr>
            <w:tcW w:w="775" w:type="dxa"/>
            <w:tcBorders>
              <w:top w:val="nil"/>
              <w:bottom w:val="nil"/>
              <w:right w:val="single" w:sz="8" w:space="0" w:color="auto"/>
            </w:tcBorders>
            <w:shd w:val="clear" w:color="auto" w:fill="auto"/>
            <w:noWrap/>
            <w:vAlign w:val="center"/>
          </w:tcPr>
          <w:p w14:paraId="1F09DCFD" w14:textId="77777777" w:rsidR="002865D9" w:rsidRPr="009548D7" w:rsidRDefault="002865D9" w:rsidP="002865D9">
            <w:pPr>
              <w:spacing w:after="0" w:line="240" w:lineRule="auto"/>
              <w:rPr>
                <w:rFonts w:ascii="Arial Narrow" w:eastAsia="Times New Roman" w:hAnsi="Arial Narrow" w:cs="Arial"/>
                <w:b/>
                <w:bCs/>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586F85A3" w14:textId="77777777" w:rsidR="002865D9" w:rsidRPr="009548D7" w:rsidRDefault="002865D9" w:rsidP="002865D9">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 </w:t>
            </w:r>
          </w:p>
        </w:tc>
        <w:tc>
          <w:tcPr>
            <w:tcW w:w="1420" w:type="dxa"/>
            <w:tcBorders>
              <w:top w:val="nil"/>
              <w:left w:val="nil"/>
              <w:bottom w:val="nil"/>
              <w:right w:val="single" w:sz="8" w:space="0" w:color="auto"/>
            </w:tcBorders>
            <w:shd w:val="clear" w:color="auto" w:fill="auto"/>
            <w:noWrap/>
            <w:vAlign w:val="center"/>
            <w:hideMark/>
          </w:tcPr>
          <w:p w14:paraId="4966B31A" w14:textId="77777777" w:rsidR="002865D9" w:rsidRPr="009548D7" w:rsidRDefault="002865D9" w:rsidP="002865D9">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 </w:t>
            </w:r>
          </w:p>
        </w:tc>
      </w:tr>
      <w:tr w:rsidR="002865D9" w:rsidRPr="009548D7" w14:paraId="66DA35F3" w14:textId="77777777" w:rsidTr="00A9732C">
        <w:trPr>
          <w:trHeight w:val="255"/>
        </w:trPr>
        <w:tc>
          <w:tcPr>
            <w:tcW w:w="4410" w:type="dxa"/>
            <w:tcBorders>
              <w:top w:val="nil"/>
              <w:left w:val="single" w:sz="8" w:space="0" w:color="auto"/>
              <w:bottom w:val="nil"/>
            </w:tcBorders>
            <w:shd w:val="clear" w:color="auto" w:fill="auto"/>
            <w:noWrap/>
            <w:vAlign w:val="center"/>
            <w:hideMark/>
          </w:tcPr>
          <w:p w14:paraId="6F619865" w14:textId="0C53AE92" w:rsidR="002865D9" w:rsidRPr="009548D7" w:rsidRDefault="00C56947" w:rsidP="002865D9">
            <w:pPr>
              <w:spacing w:after="0" w:line="240" w:lineRule="auto"/>
              <w:ind w:firstLineChars="100" w:firstLine="160"/>
              <w:rPr>
                <w:rFonts w:ascii="Arial Narrow" w:eastAsia="Times New Roman" w:hAnsi="Arial Narrow" w:cs="Arial"/>
                <w:b/>
                <w:bCs/>
                <w:sz w:val="16"/>
                <w:szCs w:val="16"/>
                <w:lang w:eastAsia="pt-BR"/>
              </w:rPr>
            </w:pPr>
            <w:r>
              <w:rPr>
                <w:rFonts w:ascii="Arial Narrow" w:eastAsia="Times New Roman" w:hAnsi="Arial Narrow" w:cs="Arial"/>
                <w:bCs/>
                <w:sz w:val="16"/>
                <w:szCs w:val="16"/>
                <w:lang w:eastAsia="pt-BR"/>
              </w:rPr>
              <w:t xml:space="preserve">         </w:t>
            </w:r>
            <w:r w:rsidR="002865D9" w:rsidRPr="00353139">
              <w:rPr>
                <w:rFonts w:ascii="Arial Narrow" w:eastAsia="Times New Roman" w:hAnsi="Arial Narrow" w:cs="Arial"/>
                <w:bCs/>
                <w:sz w:val="16"/>
                <w:szCs w:val="16"/>
                <w:lang w:eastAsia="pt-BR"/>
              </w:rPr>
              <w:t>(-) Outras Amortizações Acumuladas</w:t>
            </w:r>
          </w:p>
        </w:tc>
        <w:tc>
          <w:tcPr>
            <w:tcW w:w="767" w:type="dxa"/>
            <w:tcBorders>
              <w:top w:val="nil"/>
              <w:bottom w:val="nil"/>
              <w:right w:val="single" w:sz="4" w:space="0" w:color="auto"/>
            </w:tcBorders>
            <w:shd w:val="clear" w:color="auto" w:fill="auto"/>
            <w:noWrap/>
            <w:vAlign w:val="center"/>
          </w:tcPr>
          <w:p w14:paraId="0E203D13" w14:textId="77777777" w:rsidR="002865D9" w:rsidRPr="009548D7" w:rsidRDefault="002865D9" w:rsidP="002865D9">
            <w:pPr>
              <w:spacing w:after="0" w:line="240" w:lineRule="auto"/>
              <w:jc w:val="center"/>
              <w:rPr>
                <w:rFonts w:ascii="Arial Narrow" w:eastAsia="Times New Roman" w:hAnsi="Arial Narrow" w:cs="Arial"/>
                <w:b/>
                <w:bCs/>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hideMark/>
          </w:tcPr>
          <w:p w14:paraId="05D3C86A" w14:textId="35EDBF52" w:rsidR="002865D9" w:rsidRPr="009548D7" w:rsidRDefault="002865D9" w:rsidP="002865D9">
            <w:pPr>
              <w:spacing w:after="0" w:line="240" w:lineRule="auto"/>
              <w:jc w:val="center"/>
              <w:rPr>
                <w:rFonts w:ascii="Arial Narrow" w:eastAsia="Times New Roman" w:hAnsi="Arial Narrow" w:cs="Arial"/>
                <w:b/>
                <w:bCs/>
                <w:sz w:val="16"/>
                <w:szCs w:val="16"/>
                <w:lang w:eastAsia="pt-BR"/>
              </w:rPr>
            </w:pPr>
            <w:r w:rsidRPr="00353139">
              <w:rPr>
                <w:rFonts w:ascii="Arial Narrow" w:eastAsia="Times New Roman" w:hAnsi="Arial Narrow" w:cs="Arial"/>
                <w:bCs/>
                <w:sz w:val="16"/>
                <w:szCs w:val="16"/>
                <w:lang w:eastAsia="pt-BR"/>
              </w:rPr>
              <w:t>BPA.D092</w:t>
            </w:r>
          </w:p>
        </w:tc>
        <w:tc>
          <w:tcPr>
            <w:tcW w:w="1262" w:type="dxa"/>
            <w:tcBorders>
              <w:top w:val="nil"/>
              <w:left w:val="nil"/>
              <w:bottom w:val="nil"/>
              <w:right w:val="single" w:sz="8" w:space="0" w:color="auto"/>
            </w:tcBorders>
            <w:shd w:val="clear" w:color="auto" w:fill="auto"/>
            <w:noWrap/>
            <w:vAlign w:val="center"/>
            <w:hideMark/>
          </w:tcPr>
          <w:p w14:paraId="28BC3B10" w14:textId="09C846F6" w:rsidR="002865D9" w:rsidRPr="009548D7" w:rsidRDefault="002865D9" w:rsidP="002865D9">
            <w:pPr>
              <w:spacing w:after="0" w:line="240" w:lineRule="auto"/>
              <w:jc w:val="center"/>
              <w:rPr>
                <w:rFonts w:ascii="Arial Narrow" w:eastAsia="Times New Roman" w:hAnsi="Arial Narrow" w:cs="Arial"/>
                <w:b/>
                <w:bCs/>
                <w:sz w:val="16"/>
                <w:szCs w:val="16"/>
                <w:lang w:eastAsia="pt-BR"/>
              </w:rPr>
            </w:pPr>
            <w:r w:rsidRPr="00353139">
              <w:rPr>
                <w:rFonts w:ascii="Arial Narrow" w:eastAsia="Times New Roman" w:hAnsi="Arial Narrow" w:cs="Arial"/>
                <w:bCs/>
                <w:sz w:val="16"/>
                <w:szCs w:val="16"/>
                <w:lang w:eastAsia="pt-BR"/>
              </w:rPr>
              <w:t>BPA.E092</w:t>
            </w:r>
          </w:p>
        </w:tc>
        <w:tc>
          <w:tcPr>
            <w:tcW w:w="4562" w:type="dxa"/>
            <w:tcBorders>
              <w:top w:val="nil"/>
              <w:left w:val="nil"/>
            </w:tcBorders>
            <w:shd w:val="clear" w:color="auto" w:fill="auto"/>
            <w:noWrap/>
            <w:vAlign w:val="center"/>
          </w:tcPr>
          <w:p w14:paraId="5832A343" w14:textId="77777777" w:rsidR="002865D9" w:rsidRPr="009548D7" w:rsidRDefault="002865D9" w:rsidP="002865D9">
            <w:pPr>
              <w:spacing w:after="0" w:line="240" w:lineRule="auto"/>
              <w:rPr>
                <w:rFonts w:ascii="Arial Narrow" w:eastAsia="Times New Roman" w:hAnsi="Arial Narrow" w:cs="Arial"/>
                <w:b/>
                <w:bCs/>
                <w:sz w:val="16"/>
                <w:szCs w:val="16"/>
                <w:lang w:eastAsia="pt-BR"/>
              </w:rPr>
            </w:pPr>
          </w:p>
        </w:tc>
        <w:tc>
          <w:tcPr>
            <w:tcW w:w="775" w:type="dxa"/>
            <w:tcBorders>
              <w:top w:val="nil"/>
              <w:right w:val="single" w:sz="8" w:space="0" w:color="auto"/>
            </w:tcBorders>
            <w:shd w:val="clear" w:color="auto" w:fill="auto"/>
            <w:noWrap/>
            <w:vAlign w:val="center"/>
          </w:tcPr>
          <w:p w14:paraId="29AE2200" w14:textId="77777777" w:rsidR="002865D9" w:rsidRPr="009548D7" w:rsidRDefault="002865D9" w:rsidP="002865D9">
            <w:pPr>
              <w:spacing w:after="0" w:line="240" w:lineRule="auto"/>
              <w:jc w:val="center"/>
              <w:rPr>
                <w:rFonts w:ascii="Arial Narrow" w:eastAsia="Times New Roman" w:hAnsi="Arial Narrow" w:cs="Arial"/>
                <w:b/>
                <w:bCs/>
                <w:sz w:val="16"/>
                <w:szCs w:val="16"/>
                <w:lang w:eastAsia="pt-BR"/>
              </w:rPr>
            </w:pPr>
          </w:p>
        </w:tc>
        <w:tc>
          <w:tcPr>
            <w:tcW w:w="1063" w:type="dxa"/>
            <w:tcBorders>
              <w:top w:val="nil"/>
              <w:left w:val="nil"/>
              <w:right w:val="single" w:sz="8" w:space="0" w:color="auto"/>
            </w:tcBorders>
            <w:shd w:val="clear" w:color="auto" w:fill="auto"/>
            <w:noWrap/>
            <w:vAlign w:val="center"/>
          </w:tcPr>
          <w:p w14:paraId="185B199E" w14:textId="77777777" w:rsidR="002865D9" w:rsidRPr="009548D7" w:rsidRDefault="002865D9" w:rsidP="002865D9">
            <w:pPr>
              <w:spacing w:after="0" w:line="240" w:lineRule="auto"/>
              <w:jc w:val="center"/>
              <w:rPr>
                <w:rFonts w:ascii="Arial Narrow" w:eastAsia="Times New Roman" w:hAnsi="Arial Narrow" w:cs="Arial"/>
                <w:b/>
                <w:bCs/>
                <w:sz w:val="16"/>
                <w:szCs w:val="16"/>
                <w:lang w:eastAsia="pt-BR"/>
              </w:rPr>
            </w:pPr>
          </w:p>
        </w:tc>
        <w:tc>
          <w:tcPr>
            <w:tcW w:w="1420" w:type="dxa"/>
            <w:tcBorders>
              <w:top w:val="nil"/>
              <w:left w:val="nil"/>
              <w:right w:val="single" w:sz="8" w:space="0" w:color="auto"/>
            </w:tcBorders>
            <w:shd w:val="clear" w:color="auto" w:fill="auto"/>
            <w:noWrap/>
            <w:vAlign w:val="center"/>
          </w:tcPr>
          <w:p w14:paraId="79F27E0A" w14:textId="77777777" w:rsidR="002865D9" w:rsidRPr="009548D7" w:rsidRDefault="002865D9" w:rsidP="002865D9">
            <w:pPr>
              <w:spacing w:after="0" w:line="240" w:lineRule="auto"/>
              <w:jc w:val="center"/>
              <w:rPr>
                <w:rFonts w:ascii="Arial Narrow" w:eastAsia="Times New Roman" w:hAnsi="Arial Narrow" w:cs="Arial"/>
                <w:b/>
                <w:bCs/>
                <w:sz w:val="16"/>
                <w:szCs w:val="16"/>
                <w:lang w:eastAsia="pt-BR"/>
              </w:rPr>
            </w:pPr>
          </w:p>
        </w:tc>
      </w:tr>
      <w:tr w:rsidR="002865D9" w:rsidRPr="009548D7" w14:paraId="6D330F2D" w14:textId="77777777" w:rsidTr="00A9732C">
        <w:trPr>
          <w:trHeight w:val="255"/>
        </w:trPr>
        <w:tc>
          <w:tcPr>
            <w:tcW w:w="4410" w:type="dxa"/>
            <w:tcBorders>
              <w:top w:val="nil"/>
              <w:left w:val="single" w:sz="8" w:space="0" w:color="auto"/>
              <w:bottom w:val="nil"/>
            </w:tcBorders>
            <w:shd w:val="clear" w:color="auto" w:fill="auto"/>
            <w:noWrap/>
            <w:vAlign w:val="center"/>
          </w:tcPr>
          <w:p w14:paraId="5C548FE8" w14:textId="4A1A50D3" w:rsidR="002865D9" w:rsidRPr="00353139" w:rsidRDefault="00C56947" w:rsidP="002865D9">
            <w:pPr>
              <w:spacing w:after="0" w:line="240" w:lineRule="auto"/>
              <w:ind w:firstLineChars="100" w:firstLine="160"/>
              <w:rPr>
                <w:rFonts w:ascii="Arial Narrow" w:eastAsia="Times New Roman" w:hAnsi="Arial Narrow" w:cs="Arial"/>
                <w:sz w:val="16"/>
                <w:szCs w:val="16"/>
                <w:lang w:eastAsia="pt-BR"/>
              </w:rPr>
            </w:pPr>
            <w:r>
              <w:rPr>
                <w:rFonts w:ascii="Arial Narrow" w:eastAsia="Times New Roman" w:hAnsi="Arial Narrow" w:cs="Arial"/>
                <w:bCs/>
                <w:sz w:val="16"/>
                <w:szCs w:val="16"/>
                <w:lang w:eastAsia="pt-BR"/>
              </w:rPr>
              <w:t xml:space="preserve">         </w:t>
            </w:r>
            <w:r w:rsidR="002865D9" w:rsidRPr="00353139">
              <w:rPr>
                <w:rFonts w:ascii="Arial Narrow" w:eastAsia="Times New Roman" w:hAnsi="Arial Narrow" w:cs="Arial"/>
                <w:bCs/>
                <w:sz w:val="16"/>
                <w:szCs w:val="16"/>
                <w:lang w:eastAsia="pt-BR"/>
              </w:rPr>
              <w:t>(-) Otras Reduções ao Valor Recuperável de Intangível</w:t>
            </w:r>
          </w:p>
        </w:tc>
        <w:tc>
          <w:tcPr>
            <w:tcW w:w="767" w:type="dxa"/>
            <w:tcBorders>
              <w:top w:val="nil"/>
              <w:bottom w:val="nil"/>
              <w:right w:val="single" w:sz="4" w:space="0" w:color="auto"/>
            </w:tcBorders>
            <w:shd w:val="clear" w:color="auto" w:fill="auto"/>
            <w:noWrap/>
            <w:vAlign w:val="center"/>
          </w:tcPr>
          <w:p w14:paraId="33218EF3" w14:textId="77777777" w:rsidR="002865D9" w:rsidRPr="00353139" w:rsidRDefault="002865D9" w:rsidP="002865D9">
            <w:pPr>
              <w:spacing w:after="0" w:line="240" w:lineRule="auto"/>
              <w:jc w:val="center"/>
              <w:rPr>
                <w:rFonts w:ascii="Arial Narrow" w:eastAsia="Times New Roman" w:hAnsi="Arial Narrow" w:cs="Arial"/>
                <w:b/>
                <w:bCs/>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tcPr>
          <w:p w14:paraId="2975C7B0" w14:textId="5B640C87" w:rsidR="002865D9" w:rsidRPr="00353139" w:rsidRDefault="002865D9" w:rsidP="002865D9">
            <w:pPr>
              <w:spacing w:after="0" w:line="240" w:lineRule="auto"/>
              <w:jc w:val="center"/>
              <w:rPr>
                <w:rFonts w:ascii="Arial Narrow" w:eastAsia="Times New Roman" w:hAnsi="Arial Narrow" w:cs="Arial"/>
                <w:sz w:val="16"/>
                <w:szCs w:val="16"/>
                <w:lang w:eastAsia="pt-BR"/>
              </w:rPr>
            </w:pPr>
            <w:r w:rsidRPr="00353139">
              <w:rPr>
                <w:rFonts w:ascii="Arial Narrow" w:eastAsia="Times New Roman" w:hAnsi="Arial Narrow" w:cs="Arial"/>
                <w:bCs/>
                <w:sz w:val="16"/>
                <w:szCs w:val="16"/>
                <w:lang w:eastAsia="pt-BR"/>
              </w:rPr>
              <w:t>BPA.D093</w:t>
            </w:r>
          </w:p>
        </w:tc>
        <w:tc>
          <w:tcPr>
            <w:tcW w:w="1262" w:type="dxa"/>
            <w:tcBorders>
              <w:top w:val="nil"/>
              <w:left w:val="nil"/>
              <w:bottom w:val="nil"/>
              <w:right w:val="single" w:sz="8" w:space="0" w:color="auto"/>
            </w:tcBorders>
            <w:shd w:val="clear" w:color="auto" w:fill="auto"/>
            <w:noWrap/>
            <w:vAlign w:val="center"/>
          </w:tcPr>
          <w:p w14:paraId="267A6263" w14:textId="7399C87E" w:rsidR="002865D9" w:rsidRPr="00353139" w:rsidRDefault="002865D9" w:rsidP="002865D9">
            <w:pPr>
              <w:spacing w:after="0" w:line="240" w:lineRule="auto"/>
              <w:jc w:val="center"/>
              <w:rPr>
                <w:rFonts w:ascii="Arial Narrow" w:eastAsia="Times New Roman" w:hAnsi="Arial Narrow" w:cs="Arial"/>
                <w:sz w:val="16"/>
                <w:szCs w:val="16"/>
                <w:lang w:eastAsia="pt-BR"/>
              </w:rPr>
            </w:pPr>
            <w:r w:rsidRPr="00353139">
              <w:rPr>
                <w:rFonts w:ascii="Arial Narrow" w:eastAsia="Times New Roman" w:hAnsi="Arial Narrow" w:cs="Arial"/>
                <w:bCs/>
                <w:sz w:val="16"/>
                <w:szCs w:val="16"/>
                <w:lang w:eastAsia="pt-BR"/>
              </w:rPr>
              <w:t>BPA.E093</w:t>
            </w:r>
          </w:p>
        </w:tc>
        <w:tc>
          <w:tcPr>
            <w:tcW w:w="4562" w:type="dxa"/>
            <w:tcBorders>
              <w:top w:val="nil"/>
              <w:left w:val="nil"/>
            </w:tcBorders>
            <w:shd w:val="clear" w:color="auto" w:fill="auto"/>
            <w:noWrap/>
            <w:vAlign w:val="center"/>
          </w:tcPr>
          <w:p w14:paraId="401D3353" w14:textId="77777777" w:rsidR="002865D9" w:rsidRPr="009548D7" w:rsidRDefault="002865D9" w:rsidP="002865D9">
            <w:pPr>
              <w:spacing w:after="0" w:line="240" w:lineRule="auto"/>
              <w:rPr>
                <w:rFonts w:ascii="Arial Narrow" w:eastAsia="Times New Roman" w:hAnsi="Arial Narrow" w:cs="Arial"/>
                <w:b/>
                <w:bCs/>
                <w:sz w:val="16"/>
                <w:szCs w:val="16"/>
                <w:lang w:eastAsia="pt-BR"/>
              </w:rPr>
            </w:pPr>
          </w:p>
        </w:tc>
        <w:tc>
          <w:tcPr>
            <w:tcW w:w="775" w:type="dxa"/>
            <w:tcBorders>
              <w:top w:val="nil"/>
              <w:right w:val="single" w:sz="8" w:space="0" w:color="auto"/>
            </w:tcBorders>
            <w:shd w:val="clear" w:color="auto" w:fill="auto"/>
            <w:noWrap/>
            <w:vAlign w:val="center"/>
          </w:tcPr>
          <w:p w14:paraId="3B46DC4E" w14:textId="77777777" w:rsidR="002865D9" w:rsidRPr="009548D7" w:rsidRDefault="002865D9" w:rsidP="002865D9">
            <w:pPr>
              <w:spacing w:after="0" w:line="240" w:lineRule="auto"/>
              <w:jc w:val="center"/>
              <w:rPr>
                <w:rFonts w:ascii="Arial Narrow" w:eastAsia="Times New Roman" w:hAnsi="Arial Narrow" w:cs="Arial"/>
                <w:b/>
                <w:bCs/>
                <w:sz w:val="16"/>
                <w:szCs w:val="16"/>
                <w:lang w:eastAsia="pt-BR"/>
              </w:rPr>
            </w:pPr>
          </w:p>
        </w:tc>
        <w:tc>
          <w:tcPr>
            <w:tcW w:w="1063" w:type="dxa"/>
            <w:tcBorders>
              <w:top w:val="nil"/>
              <w:left w:val="nil"/>
              <w:right w:val="single" w:sz="8" w:space="0" w:color="auto"/>
            </w:tcBorders>
            <w:shd w:val="clear" w:color="auto" w:fill="auto"/>
            <w:noWrap/>
            <w:vAlign w:val="center"/>
          </w:tcPr>
          <w:p w14:paraId="287E7E6B" w14:textId="77777777" w:rsidR="002865D9" w:rsidRPr="009548D7" w:rsidRDefault="002865D9" w:rsidP="002865D9">
            <w:pPr>
              <w:spacing w:after="0" w:line="240" w:lineRule="auto"/>
              <w:jc w:val="center"/>
              <w:rPr>
                <w:rFonts w:ascii="Arial Narrow" w:eastAsia="Times New Roman" w:hAnsi="Arial Narrow" w:cs="Arial"/>
                <w:b/>
                <w:bCs/>
                <w:sz w:val="16"/>
                <w:szCs w:val="16"/>
                <w:lang w:eastAsia="pt-BR"/>
              </w:rPr>
            </w:pPr>
          </w:p>
        </w:tc>
        <w:tc>
          <w:tcPr>
            <w:tcW w:w="1420" w:type="dxa"/>
            <w:tcBorders>
              <w:top w:val="nil"/>
              <w:left w:val="nil"/>
              <w:right w:val="single" w:sz="8" w:space="0" w:color="auto"/>
            </w:tcBorders>
            <w:shd w:val="clear" w:color="auto" w:fill="auto"/>
            <w:noWrap/>
            <w:vAlign w:val="center"/>
          </w:tcPr>
          <w:p w14:paraId="17C49FCC" w14:textId="77777777" w:rsidR="002865D9" w:rsidRPr="009548D7" w:rsidRDefault="002865D9" w:rsidP="002865D9">
            <w:pPr>
              <w:spacing w:after="0" w:line="240" w:lineRule="auto"/>
              <w:jc w:val="center"/>
              <w:rPr>
                <w:rFonts w:ascii="Arial Narrow" w:eastAsia="Times New Roman" w:hAnsi="Arial Narrow" w:cs="Arial"/>
                <w:b/>
                <w:bCs/>
                <w:sz w:val="16"/>
                <w:szCs w:val="16"/>
                <w:lang w:eastAsia="pt-BR"/>
              </w:rPr>
            </w:pPr>
          </w:p>
        </w:tc>
      </w:tr>
      <w:tr w:rsidR="002865D9" w:rsidRPr="009548D7" w14:paraId="7C8EBF69" w14:textId="77777777" w:rsidTr="00A9732C">
        <w:trPr>
          <w:trHeight w:val="255"/>
        </w:trPr>
        <w:tc>
          <w:tcPr>
            <w:tcW w:w="4410" w:type="dxa"/>
            <w:tcBorders>
              <w:top w:val="nil"/>
              <w:left w:val="single" w:sz="8" w:space="0" w:color="auto"/>
              <w:bottom w:val="nil"/>
            </w:tcBorders>
            <w:shd w:val="clear" w:color="auto" w:fill="auto"/>
            <w:noWrap/>
            <w:vAlign w:val="center"/>
          </w:tcPr>
          <w:p w14:paraId="5ADA28C8" w14:textId="46679425" w:rsidR="002865D9" w:rsidRPr="00353139" w:rsidRDefault="00700DF3" w:rsidP="00700DF3">
            <w:pPr>
              <w:spacing w:after="0" w:line="240" w:lineRule="auto"/>
              <w:rPr>
                <w:rFonts w:ascii="Arial Narrow" w:eastAsia="Times New Roman" w:hAnsi="Arial Narrow" w:cs="Arial"/>
                <w:sz w:val="16"/>
                <w:szCs w:val="16"/>
                <w:lang w:eastAsia="pt-BR"/>
              </w:rPr>
            </w:pPr>
            <w:r>
              <w:rPr>
                <w:rFonts w:ascii="Arial Narrow" w:eastAsia="Times New Roman" w:hAnsi="Arial Narrow" w:cs="Arial"/>
                <w:b/>
                <w:bCs/>
                <w:sz w:val="16"/>
                <w:szCs w:val="16"/>
                <w:lang w:eastAsia="pt-BR"/>
              </w:rPr>
              <w:t xml:space="preserve">     </w:t>
            </w:r>
            <w:r w:rsidR="002865D9" w:rsidRPr="009548D7">
              <w:rPr>
                <w:rFonts w:ascii="Arial Narrow" w:eastAsia="Times New Roman" w:hAnsi="Arial Narrow" w:cs="Arial"/>
                <w:b/>
                <w:bCs/>
                <w:sz w:val="16"/>
                <w:szCs w:val="16"/>
                <w:lang w:eastAsia="pt-BR"/>
              </w:rPr>
              <w:t>Diferido</w:t>
            </w:r>
          </w:p>
        </w:tc>
        <w:tc>
          <w:tcPr>
            <w:tcW w:w="767" w:type="dxa"/>
            <w:tcBorders>
              <w:top w:val="nil"/>
              <w:bottom w:val="nil"/>
              <w:right w:val="single" w:sz="4" w:space="0" w:color="auto"/>
            </w:tcBorders>
            <w:shd w:val="clear" w:color="auto" w:fill="auto"/>
            <w:noWrap/>
            <w:vAlign w:val="center"/>
          </w:tcPr>
          <w:p w14:paraId="7E5B6F2C" w14:textId="77777777" w:rsidR="002865D9" w:rsidRPr="00353139" w:rsidRDefault="002865D9" w:rsidP="002865D9">
            <w:pPr>
              <w:spacing w:after="0" w:line="240" w:lineRule="auto"/>
              <w:jc w:val="center"/>
              <w:rPr>
                <w:rFonts w:ascii="Arial Narrow" w:eastAsia="Times New Roman" w:hAnsi="Arial Narrow" w:cs="Arial"/>
                <w:b/>
                <w:bCs/>
                <w:sz w:val="16"/>
                <w:szCs w:val="16"/>
                <w:lang w:eastAsia="pt-BR"/>
              </w:rPr>
            </w:pPr>
          </w:p>
        </w:tc>
        <w:tc>
          <w:tcPr>
            <w:tcW w:w="1063" w:type="dxa"/>
            <w:tcBorders>
              <w:top w:val="nil"/>
              <w:left w:val="single" w:sz="4" w:space="0" w:color="auto"/>
              <w:bottom w:val="nil"/>
              <w:right w:val="single" w:sz="8" w:space="0" w:color="auto"/>
            </w:tcBorders>
            <w:shd w:val="clear" w:color="auto" w:fill="auto"/>
            <w:noWrap/>
            <w:vAlign w:val="center"/>
          </w:tcPr>
          <w:p w14:paraId="14C4E81E" w14:textId="22A3C327" w:rsidR="002865D9" w:rsidRPr="00353139"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b/>
                <w:bCs/>
                <w:sz w:val="16"/>
                <w:szCs w:val="16"/>
                <w:lang w:eastAsia="pt-BR"/>
              </w:rPr>
              <w:t>BPA.D070</w:t>
            </w:r>
          </w:p>
        </w:tc>
        <w:tc>
          <w:tcPr>
            <w:tcW w:w="1262" w:type="dxa"/>
            <w:tcBorders>
              <w:top w:val="nil"/>
              <w:left w:val="nil"/>
              <w:bottom w:val="nil"/>
              <w:right w:val="single" w:sz="8" w:space="0" w:color="auto"/>
            </w:tcBorders>
            <w:shd w:val="clear" w:color="auto" w:fill="auto"/>
            <w:noWrap/>
            <w:vAlign w:val="center"/>
          </w:tcPr>
          <w:p w14:paraId="6109878F" w14:textId="4D16EBAD" w:rsidR="002865D9" w:rsidRPr="00353139" w:rsidRDefault="002865D9" w:rsidP="002865D9">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b/>
                <w:bCs/>
                <w:sz w:val="16"/>
                <w:szCs w:val="16"/>
                <w:lang w:eastAsia="pt-BR"/>
              </w:rPr>
              <w:t>BPA.E070</w:t>
            </w:r>
          </w:p>
        </w:tc>
        <w:tc>
          <w:tcPr>
            <w:tcW w:w="4562" w:type="dxa"/>
            <w:tcBorders>
              <w:top w:val="nil"/>
              <w:left w:val="nil"/>
            </w:tcBorders>
            <w:shd w:val="clear" w:color="auto" w:fill="auto"/>
            <w:noWrap/>
            <w:vAlign w:val="center"/>
          </w:tcPr>
          <w:p w14:paraId="45A26FC9" w14:textId="4BA14943" w:rsidR="002865D9" w:rsidRPr="009548D7" w:rsidRDefault="002865D9" w:rsidP="002865D9">
            <w:pPr>
              <w:spacing w:after="0" w:line="240" w:lineRule="auto"/>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TOTAL DO PATRIMÔNIO LÍQUIDO</w:t>
            </w:r>
          </w:p>
        </w:tc>
        <w:tc>
          <w:tcPr>
            <w:tcW w:w="775" w:type="dxa"/>
            <w:tcBorders>
              <w:top w:val="nil"/>
              <w:right w:val="single" w:sz="8" w:space="0" w:color="auto"/>
            </w:tcBorders>
            <w:shd w:val="clear" w:color="auto" w:fill="auto"/>
            <w:noWrap/>
            <w:vAlign w:val="center"/>
          </w:tcPr>
          <w:p w14:paraId="03A74F02" w14:textId="77777777" w:rsidR="002865D9" w:rsidRPr="009548D7" w:rsidRDefault="002865D9" w:rsidP="002865D9">
            <w:pPr>
              <w:spacing w:after="0" w:line="240" w:lineRule="auto"/>
              <w:jc w:val="center"/>
              <w:rPr>
                <w:rFonts w:ascii="Arial Narrow" w:eastAsia="Times New Roman" w:hAnsi="Arial Narrow" w:cs="Arial"/>
                <w:b/>
                <w:bCs/>
                <w:sz w:val="16"/>
                <w:szCs w:val="16"/>
                <w:lang w:eastAsia="pt-BR"/>
              </w:rPr>
            </w:pPr>
          </w:p>
        </w:tc>
        <w:tc>
          <w:tcPr>
            <w:tcW w:w="1063" w:type="dxa"/>
            <w:tcBorders>
              <w:top w:val="nil"/>
              <w:left w:val="nil"/>
              <w:right w:val="single" w:sz="8" w:space="0" w:color="auto"/>
            </w:tcBorders>
            <w:shd w:val="clear" w:color="auto" w:fill="auto"/>
            <w:noWrap/>
            <w:vAlign w:val="center"/>
          </w:tcPr>
          <w:p w14:paraId="448EC329" w14:textId="05846D74" w:rsidR="002865D9" w:rsidRPr="009548D7" w:rsidRDefault="002865D9" w:rsidP="002865D9">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BPA.H070</w:t>
            </w:r>
          </w:p>
        </w:tc>
        <w:tc>
          <w:tcPr>
            <w:tcW w:w="1420" w:type="dxa"/>
            <w:tcBorders>
              <w:top w:val="nil"/>
              <w:left w:val="nil"/>
              <w:right w:val="single" w:sz="8" w:space="0" w:color="auto"/>
            </w:tcBorders>
            <w:shd w:val="clear" w:color="auto" w:fill="auto"/>
            <w:noWrap/>
            <w:vAlign w:val="center"/>
          </w:tcPr>
          <w:p w14:paraId="33E1E804" w14:textId="4467B403" w:rsidR="002865D9" w:rsidRPr="009548D7" w:rsidRDefault="002865D9" w:rsidP="002865D9">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BPA.I070</w:t>
            </w:r>
          </w:p>
        </w:tc>
      </w:tr>
      <w:tr w:rsidR="002865D9" w:rsidRPr="009548D7" w14:paraId="31CE785A" w14:textId="77777777" w:rsidTr="00A9732C">
        <w:trPr>
          <w:trHeight w:val="270"/>
        </w:trPr>
        <w:tc>
          <w:tcPr>
            <w:tcW w:w="4410" w:type="dxa"/>
            <w:tcBorders>
              <w:top w:val="single" w:sz="8" w:space="0" w:color="auto"/>
              <w:left w:val="single" w:sz="8" w:space="0" w:color="auto"/>
              <w:bottom w:val="single" w:sz="8" w:space="0" w:color="auto"/>
            </w:tcBorders>
            <w:shd w:val="clear" w:color="000000" w:fill="auto"/>
            <w:noWrap/>
            <w:vAlign w:val="center"/>
          </w:tcPr>
          <w:p w14:paraId="44E352BC" w14:textId="77777777" w:rsidR="002865D9" w:rsidRPr="009548D7" w:rsidRDefault="002865D9" w:rsidP="002865D9">
            <w:pPr>
              <w:spacing w:after="0" w:line="240" w:lineRule="auto"/>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TOTAL DO ATIVO</w:t>
            </w:r>
          </w:p>
        </w:tc>
        <w:tc>
          <w:tcPr>
            <w:tcW w:w="767" w:type="dxa"/>
            <w:tcBorders>
              <w:top w:val="single" w:sz="8" w:space="0" w:color="auto"/>
              <w:bottom w:val="single" w:sz="4" w:space="0" w:color="auto"/>
              <w:right w:val="single" w:sz="4" w:space="0" w:color="auto"/>
            </w:tcBorders>
            <w:shd w:val="clear" w:color="000000" w:fill="auto"/>
            <w:noWrap/>
            <w:vAlign w:val="center"/>
          </w:tcPr>
          <w:p w14:paraId="5FE9CB30" w14:textId="77777777" w:rsidR="002865D9" w:rsidRPr="009548D7" w:rsidRDefault="002865D9" w:rsidP="002865D9">
            <w:pPr>
              <w:spacing w:after="0" w:line="240" w:lineRule="auto"/>
              <w:jc w:val="center"/>
              <w:rPr>
                <w:rFonts w:ascii="Arial Narrow" w:eastAsia="Times New Roman" w:hAnsi="Arial Narrow" w:cs="Arial"/>
                <w:b/>
                <w:bCs/>
                <w:sz w:val="16"/>
                <w:szCs w:val="16"/>
                <w:lang w:eastAsia="pt-BR"/>
              </w:rPr>
            </w:pPr>
          </w:p>
        </w:tc>
        <w:tc>
          <w:tcPr>
            <w:tcW w:w="1063" w:type="dxa"/>
            <w:tcBorders>
              <w:top w:val="single" w:sz="8" w:space="0" w:color="auto"/>
              <w:left w:val="single" w:sz="4" w:space="0" w:color="auto"/>
              <w:bottom w:val="single" w:sz="8" w:space="0" w:color="auto"/>
              <w:right w:val="single" w:sz="8" w:space="0" w:color="auto"/>
            </w:tcBorders>
            <w:shd w:val="clear" w:color="000000" w:fill="auto"/>
            <w:noWrap/>
            <w:vAlign w:val="center"/>
          </w:tcPr>
          <w:p w14:paraId="2724E8ED" w14:textId="77777777" w:rsidR="002865D9" w:rsidRPr="009548D7" w:rsidRDefault="002865D9" w:rsidP="002865D9">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BPA.D071</w:t>
            </w:r>
          </w:p>
        </w:tc>
        <w:tc>
          <w:tcPr>
            <w:tcW w:w="1262" w:type="dxa"/>
            <w:tcBorders>
              <w:top w:val="single" w:sz="8" w:space="0" w:color="auto"/>
              <w:left w:val="nil"/>
              <w:bottom w:val="single" w:sz="8" w:space="0" w:color="auto"/>
              <w:right w:val="single" w:sz="8" w:space="0" w:color="auto"/>
            </w:tcBorders>
            <w:shd w:val="clear" w:color="000000" w:fill="auto"/>
            <w:noWrap/>
            <w:vAlign w:val="center"/>
          </w:tcPr>
          <w:p w14:paraId="4E088292" w14:textId="77777777" w:rsidR="002865D9" w:rsidRPr="009548D7" w:rsidRDefault="002865D9" w:rsidP="002865D9">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BPA.E071</w:t>
            </w:r>
          </w:p>
        </w:tc>
        <w:tc>
          <w:tcPr>
            <w:tcW w:w="4562" w:type="dxa"/>
            <w:tcBorders>
              <w:top w:val="single" w:sz="8" w:space="0" w:color="auto"/>
              <w:left w:val="nil"/>
              <w:bottom w:val="single" w:sz="8" w:space="0" w:color="auto"/>
            </w:tcBorders>
            <w:shd w:val="clear" w:color="000000" w:fill="auto"/>
            <w:noWrap/>
            <w:vAlign w:val="center"/>
          </w:tcPr>
          <w:p w14:paraId="3785F6E7" w14:textId="77777777" w:rsidR="002865D9" w:rsidRPr="009548D7" w:rsidRDefault="002865D9" w:rsidP="002865D9">
            <w:pPr>
              <w:spacing w:after="0" w:line="240" w:lineRule="auto"/>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TOTAL DO PASSIVO E DO PATRIMÔNIO LÍQUIDO</w:t>
            </w:r>
          </w:p>
        </w:tc>
        <w:tc>
          <w:tcPr>
            <w:tcW w:w="775" w:type="dxa"/>
            <w:tcBorders>
              <w:top w:val="single" w:sz="8" w:space="0" w:color="auto"/>
              <w:bottom w:val="single" w:sz="8" w:space="0" w:color="auto"/>
              <w:right w:val="single" w:sz="8" w:space="0" w:color="auto"/>
            </w:tcBorders>
            <w:shd w:val="clear" w:color="000000" w:fill="auto"/>
            <w:noWrap/>
            <w:vAlign w:val="center"/>
          </w:tcPr>
          <w:p w14:paraId="295DC9EC" w14:textId="77777777" w:rsidR="002865D9" w:rsidRPr="009548D7" w:rsidRDefault="002865D9" w:rsidP="002865D9">
            <w:pPr>
              <w:spacing w:after="0" w:line="240" w:lineRule="auto"/>
              <w:jc w:val="center"/>
              <w:rPr>
                <w:rFonts w:ascii="Arial Narrow" w:eastAsia="Times New Roman" w:hAnsi="Arial Narrow" w:cs="Arial"/>
                <w:b/>
                <w:bCs/>
                <w:sz w:val="16"/>
                <w:szCs w:val="16"/>
                <w:lang w:eastAsia="pt-BR"/>
              </w:rPr>
            </w:pPr>
          </w:p>
        </w:tc>
        <w:tc>
          <w:tcPr>
            <w:tcW w:w="1063" w:type="dxa"/>
            <w:tcBorders>
              <w:top w:val="single" w:sz="8" w:space="0" w:color="auto"/>
              <w:left w:val="nil"/>
              <w:bottom w:val="single" w:sz="8" w:space="0" w:color="auto"/>
              <w:right w:val="single" w:sz="8" w:space="0" w:color="auto"/>
            </w:tcBorders>
            <w:shd w:val="clear" w:color="000000" w:fill="auto"/>
            <w:noWrap/>
            <w:vAlign w:val="center"/>
          </w:tcPr>
          <w:p w14:paraId="0E181996" w14:textId="77777777" w:rsidR="002865D9" w:rsidRPr="009548D7" w:rsidRDefault="002865D9" w:rsidP="002865D9">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BPA.H071</w:t>
            </w:r>
          </w:p>
        </w:tc>
        <w:tc>
          <w:tcPr>
            <w:tcW w:w="1420" w:type="dxa"/>
            <w:tcBorders>
              <w:top w:val="single" w:sz="8" w:space="0" w:color="auto"/>
              <w:left w:val="nil"/>
              <w:bottom w:val="single" w:sz="8" w:space="0" w:color="auto"/>
              <w:right w:val="single" w:sz="8" w:space="0" w:color="auto"/>
            </w:tcBorders>
            <w:shd w:val="clear" w:color="000000" w:fill="auto"/>
            <w:noWrap/>
            <w:vAlign w:val="center"/>
          </w:tcPr>
          <w:p w14:paraId="4D9A4178" w14:textId="77777777" w:rsidR="002865D9" w:rsidRPr="009548D7" w:rsidRDefault="002865D9" w:rsidP="002865D9">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BPA.I071</w:t>
            </w:r>
          </w:p>
        </w:tc>
      </w:tr>
    </w:tbl>
    <w:p w14:paraId="5E9D1D8E" w14:textId="3A86DF89" w:rsidR="00A9732C" w:rsidRDefault="00A9732C" w:rsidP="00E54BC3">
      <w:pPr>
        <w:spacing w:after="0" w:line="240" w:lineRule="auto"/>
        <w:rPr>
          <w:rFonts w:ascii="Arial" w:eastAsia="Times New Roman" w:hAnsi="Arial" w:cs="Arial"/>
          <w:sz w:val="20"/>
          <w:szCs w:val="20"/>
          <w:lang w:eastAsia="pt-BR"/>
        </w:rPr>
      </w:pPr>
    </w:p>
    <w:p w14:paraId="633A4E34" w14:textId="77777777" w:rsidR="006530F6" w:rsidRDefault="006530F6" w:rsidP="00E54BC3">
      <w:pPr>
        <w:spacing w:after="0" w:line="240" w:lineRule="auto"/>
        <w:rPr>
          <w:rFonts w:ascii="Arial" w:eastAsia="Times New Roman" w:hAnsi="Arial" w:cs="Arial"/>
          <w:sz w:val="20"/>
          <w:szCs w:val="20"/>
          <w:lang w:eastAsia="pt-BR"/>
        </w:rPr>
      </w:pPr>
    </w:p>
    <w:p w14:paraId="424D8E27" w14:textId="7920F05A" w:rsidR="005A1123" w:rsidRDefault="005A1123" w:rsidP="00E54BC3">
      <w:pPr>
        <w:spacing w:after="0" w:line="240" w:lineRule="auto"/>
        <w:rPr>
          <w:rFonts w:ascii="Arial" w:eastAsia="Times New Roman" w:hAnsi="Arial" w:cs="Arial"/>
          <w:sz w:val="20"/>
          <w:szCs w:val="20"/>
          <w:lang w:eastAsia="pt-BR"/>
        </w:rPr>
      </w:pPr>
    </w:p>
    <w:p w14:paraId="5FC11406" w14:textId="5DCBBF16" w:rsidR="005A1123" w:rsidRPr="006530F6" w:rsidRDefault="002E37F8" w:rsidP="002E37F8">
      <w:pPr>
        <w:pStyle w:val="Ttulo2"/>
        <w:ind w:left="578" w:hanging="578"/>
        <w:rPr>
          <w:lang w:val="pt-BR"/>
        </w:rPr>
      </w:pPr>
      <w:bookmarkStart w:id="111" w:name="_Toc94806381"/>
      <w:r w:rsidRPr="00613437">
        <w:rPr>
          <w:rFonts w:cs="Arial"/>
          <w:sz w:val="24"/>
          <w:szCs w:val="24"/>
          <w:lang w:val="pt-BR"/>
        </w:rPr>
        <w:t>Alterou</w:t>
      </w:r>
      <w:r w:rsidR="005F7984" w:rsidRPr="00613437">
        <w:rPr>
          <w:rFonts w:cs="Arial"/>
          <w:sz w:val="24"/>
          <w:szCs w:val="24"/>
          <w:lang w:val="pt-BR"/>
        </w:rPr>
        <w:t xml:space="preserve"> a Tabela 2 – Balanço Patrimonial para</w:t>
      </w:r>
      <w:r w:rsidR="005A1123" w:rsidRPr="00613437">
        <w:rPr>
          <w:rFonts w:cs="Arial"/>
          <w:sz w:val="24"/>
          <w:szCs w:val="24"/>
          <w:lang w:val="pt-BR"/>
        </w:rPr>
        <w:t xml:space="preserve"> </w:t>
      </w:r>
      <w:r w:rsidR="005F7984" w:rsidRPr="00613437">
        <w:rPr>
          <w:rFonts w:cs="Arial"/>
          <w:sz w:val="24"/>
          <w:szCs w:val="24"/>
          <w:lang w:val="pt-BR"/>
        </w:rPr>
        <w:t>Estado</w:t>
      </w:r>
      <w:bookmarkEnd w:id="111"/>
    </w:p>
    <w:p w14:paraId="2B1B0A0D" w14:textId="0AE58467" w:rsidR="006530F6" w:rsidRDefault="006530F6" w:rsidP="006530F6">
      <w:pPr>
        <w:spacing w:after="0" w:line="240" w:lineRule="auto"/>
      </w:pPr>
    </w:p>
    <w:p w14:paraId="22152D4D" w14:textId="77777777" w:rsidR="006530F6" w:rsidRPr="00047A17" w:rsidRDefault="006530F6" w:rsidP="006530F6">
      <w:pPr>
        <w:spacing w:after="0" w:line="240" w:lineRule="auto"/>
      </w:pPr>
    </w:p>
    <w:tbl>
      <w:tblPr>
        <w:tblW w:w="15322" w:type="dxa"/>
        <w:tblInd w:w="-497" w:type="dxa"/>
        <w:tblCellMar>
          <w:left w:w="70" w:type="dxa"/>
          <w:right w:w="70" w:type="dxa"/>
        </w:tblCellMar>
        <w:tblLook w:val="04A0" w:firstRow="1" w:lastRow="0" w:firstColumn="1" w:lastColumn="0" w:noHBand="0" w:noVBand="1"/>
      </w:tblPr>
      <w:tblGrid>
        <w:gridCol w:w="4410"/>
        <w:gridCol w:w="767"/>
        <w:gridCol w:w="1063"/>
        <w:gridCol w:w="1262"/>
        <w:gridCol w:w="4562"/>
        <w:gridCol w:w="775"/>
        <w:gridCol w:w="1063"/>
        <w:gridCol w:w="1420"/>
      </w:tblGrid>
      <w:tr w:rsidR="005F7984" w:rsidRPr="009548D7" w14:paraId="53C7271C" w14:textId="77777777" w:rsidTr="002315E1">
        <w:trPr>
          <w:trHeight w:val="270"/>
        </w:trPr>
        <w:tc>
          <w:tcPr>
            <w:tcW w:w="7502" w:type="dxa"/>
            <w:gridSpan w:val="4"/>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73D43DC1" w14:textId="77777777" w:rsidR="005F7984" w:rsidRPr="009548D7" w:rsidRDefault="005F7984" w:rsidP="002315E1">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ATIVO</w:t>
            </w:r>
          </w:p>
        </w:tc>
        <w:tc>
          <w:tcPr>
            <w:tcW w:w="7820" w:type="dxa"/>
            <w:gridSpan w:val="4"/>
            <w:tcBorders>
              <w:top w:val="single" w:sz="8" w:space="0" w:color="auto"/>
              <w:left w:val="nil"/>
              <w:bottom w:val="single" w:sz="8" w:space="0" w:color="auto"/>
              <w:right w:val="single" w:sz="8" w:space="0" w:color="auto"/>
            </w:tcBorders>
            <w:shd w:val="clear" w:color="000000" w:fill="D9D9D9"/>
            <w:noWrap/>
            <w:vAlign w:val="center"/>
            <w:hideMark/>
          </w:tcPr>
          <w:p w14:paraId="3051F8EB" w14:textId="77777777" w:rsidR="005F7984" w:rsidRPr="009548D7" w:rsidRDefault="005F7984" w:rsidP="002315E1">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PASSIVO E PATRIMÔNIO LÍQUIDO</w:t>
            </w:r>
          </w:p>
        </w:tc>
      </w:tr>
      <w:tr w:rsidR="005F7984" w:rsidRPr="009548D7" w14:paraId="0CE390A0" w14:textId="77777777" w:rsidTr="002315E1">
        <w:trPr>
          <w:trHeight w:val="270"/>
        </w:trPr>
        <w:tc>
          <w:tcPr>
            <w:tcW w:w="4410" w:type="dxa"/>
            <w:tcBorders>
              <w:top w:val="nil"/>
              <w:left w:val="single" w:sz="8" w:space="0" w:color="auto"/>
              <w:bottom w:val="single" w:sz="8" w:space="0" w:color="auto"/>
            </w:tcBorders>
            <w:shd w:val="clear" w:color="000000" w:fill="D9D9D9"/>
            <w:noWrap/>
            <w:vAlign w:val="center"/>
            <w:hideMark/>
          </w:tcPr>
          <w:p w14:paraId="1A3451EA" w14:textId="77777777" w:rsidR="005F7984" w:rsidRPr="009548D7" w:rsidRDefault="005F7984" w:rsidP="002315E1">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Especificação</w:t>
            </w:r>
          </w:p>
        </w:tc>
        <w:tc>
          <w:tcPr>
            <w:tcW w:w="767" w:type="dxa"/>
            <w:tcBorders>
              <w:top w:val="nil"/>
              <w:bottom w:val="single" w:sz="8" w:space="0" w:color="auto"/>
              <w:right w:val="nil"/>
            </w:tcBorders>
            <w:shd w:val="clear" w:color="000000" w:fill="D9D9D9"/>
            <w:noWrap/>
            <w:vAlign w:val="center"/>
          </w:tcPr>
          <w:p w14:paraId="64373155" w14:textId="77777777" w:rsidR="005F7984" w:rsidRPr="009548D7" w:rsidRDefault="005F7984" w:rsidP="002315E1">
            <w:pPr>
              <w:spacing w:after="0" w:line="240" w:lineRule="auto"/>
              <w:jc w:val="center"/>
              <w:rPr>
                <w:rFonts w:ascii="Arial Narrow" w:eastAsia="Times New Roman" w:hAnsi="Arial Narrow" w:cs="Arial"/>
                <w:b/>
                <w:bCs/>
                <w:sz w:val="16"/>
                <w:szCs w:val="16"/>
                <w:lang w:eastAsia="pt-BR"/>
              </w:rPr>
            </w:pPr>
          </w:p>
        </w:tc>
        <w:tc>
          <w:tcPr>
            <w:tcW w:w="1063" w:type="dxa"/>
            <w:tcBorders>
              <w:top w:val="nil"/>
              <w:left w:val="single" w:sz="8" w:space="0" w:color="auto"/>
              <w:bottom w:val="single" w:sz="8" w:space="0" w:color="auto"/>
              <w:right w:val="single" w:sz="8" w:space="0" w:color="auto"/>
            </w:tcBorders>
            <w:shd w:val="clear" w:color="000000" w:fill="D9D9D9"/>
            <w:noWrap/>
            <w:vAlign w:val="center"/>
            <w:hideMark/>
          </w:tcPr>
          <w:p w14:paraId="346C73FA" w14:textId="77777777" w:rsidR="005F7984" w:rsidRPr="009548D7" w:rsidRDefault="005F7984" w:rsidP="002315E1">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Exercício Atual</w:t>
            </w:r>
          </w:p>
        </w:tc>
        <w:tc>
          <w:tcPr>
            <w:tcW w:w="1262" w:type="dxa"/>
            <w:tcBorders>
              <w:top w:val="nil"/>
              <w:left w:val="nil"/>
              <w:bottom w:val="single" w:sz="8" w:space="0" w:color="auto"/>
              <w:right w:val="single" w:sz="8" w:space="0" w:color="auto"/>
            </w:tcBorders>
            <w:shd w:val="clear" w:color="000000" w:fill="D9D9D9"/>
            <w:noWrap/>
            <w:vAlign w:val="center"/>
            <w:hideMark/>
          </w:tcPr>
          <w:p w14:paraId="3FAA1F74" w14:textId="77777777" w:rsidR="005F7984" w:rsidRPr="009548D7" w:rsidRDefault="005F7984" w:rsidP="002315E1">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Exercício Anterior</w:t>
            </w:r>
          </w:p>
        </w:tc>
        <w:tc>
          <w:tcPr>
            <w:tcW w:w="4562" w:type="dxa"/>
            <w:tcBorders>
              <w:top w:val="nil"/>
              <w:left w:val="single" w:sz="4" w:space="0" w:color="auto"/>
              <w:bottom w:val="single" w:sz="8" w:space="0" w:color="auto"/>
            </w:tcBorders>
            <w:shd w:val="clear" w:color="000000" w:fill="D9D9D9"/>
            <w:noWrap/>
            <w:vAlign w:val="center"/>
            <w:hideMark/>
          </w:tcPr>
          <w:p w14:paraId="7C85729D" w14:textId="77777777" w:rsidR="005F7984" w:rsidRPr="009548D7" w:rsidRDefault="005F7984" w:rsidP="002315E1">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Especificação</w:t>
            </w:r>
          </w:p>
        </w:tc>
        <w:tc>
          <w:tcPr>
            <w:tcW w:w="775" w:type="dxa"/>
            <w:tcBorders>
              <w:top w:val="nil"/>
              <w:bottom w:val="single" w:sz="8" w:space="0" w:color="auto"/>
              <w:right w:val="single" w:sz="8" w:space="0" w:color="auto"/>
            </w:tcBorders>
            <w:shd w:val="clear" w:color="000000" w:fill="D9D9D9"/>
            <w:noWrap/>
            <w:vAlign w:val="center"/>
          </w:tcPr>
          <w:p w14:paraId="268AEA32" w14:textId="77777777" w:rsidR="005F7984" w:rsidRPr="009548D7" w:rsidRDefault="005F7984" w:rsidP="002315E1">
            <w:pPr>
              <w:spacing w:after="0" w:line="240" w:lineRule="auto"/>
              <w:jc w:val="center"/>
              <w:rPr>
                <w:rFonts w:ascii="Arial Narrow" w:eastAsia="Times New Roman" w:hAnsi="Arial Narrow" w:cs="Arial"/>
                <w:b/>
                <w:bCs/>
                <w:sz w:val="16"/>
                <w:szCs w:val="16"/>
                <w:lang w:eastAsia="pt-BR"/>
              </w:rPr>
            </w:pPr>
          </w:p>
        </w:tc>
        <w:tc>
          <w:tcPr>
            <w:tcW w:w="1063" w:type="dxa"/>
            <w:tcBorders>
              <w:top w:val="nil"/>
              <w:left w:val="nil"/>
              <w:bottom w:val="single" w:sz="8" w:space="0" w:color="auto"/>
              <w:right w:val="single" w:sz="8" w:space="0" w:color="auto"/>
            </w:tcBorders>
            <w:shd w:val="clear" w:color="000000" w:fill="D9D9D9"/>
            <w:noWrap/>
            <w:vAlign w:val="center"/>
            <w:hideMark/>
          </w:tcPr>
          <w:p w14:paraId="3A474F10" w14:textId="77777777" w:rsidR="005F7984" w:rsidRPr="009548D7" w:rsidRDefault="005F7984" w:rsidP="002315E1">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Exercício Atual</w:t>
            </w:r>
          </w:p>
        </w:tc>
        <w:tc>
          <w:tcPr>
            <w:tcW w:w="1420" w:type="dxa"/>
            <w:tcBorders>
              <w:top w:val="nil"/>
              <w:left w:val="nil"/>
              <w:bottom w:val="single" w:sz="8" w:space="0" w:color="auto"/>
              <w:right w:val="single" w:sz="8" w:space="0" w:color="auto"/>
            </w:tcBorders>
            <w:shd w:val="clear" w:color="000000" w:fill="D9D9D9"/>
            <w:noWrap/>
            <w:vAlign w:val="center"/>
            <w:hideMark/>
          </w:tcPr>
          <w:p w14:paraId="5CB0FCEA" w14:textId="77777777" w:rsidR="005F7984" w:rsidRPr="009548D7" w:rsidRDefault="005F7984" w:rsidP="002315E1">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Exercício Anterior</w:t>
            </w:r>
          </w:p>
        </w:tc>
      </w:tr>
      <w:tr w:rsidR="005F7984" w:rsidRPr="009548D7" w14:paraId="47E5C463" w14:textId="77777777" w:rsidTr="002315E1">
        <w:trPr>
          <w:trHeight w:val="255"/>
        </w:trPr>
        <w:tc>
          <w:tcPr>
            <w:tcW w:w="4410" w:type="dxa"/>
            <w:tcBorders>
              <w:top w:val="nil"/>
              <w:left w:val="single" w:sz="8" w:space="0" w:color="auto"/>
              <w:bottom w:val="nil"/>
            </w:tcBorders>
            <w:shd w:val="clear" w:color="auto" w:fill="auto"/>
            <w:noWrap/>
            <w:vAlign w:val="center"/>
            <w:hideMark/>
          </w:tcPr>
          <w:p w14:paraId="11300805" w14:textId="77777777" w:rsidR="005F7984" w:rsidRPr="009548D7" w:rsidRDefault="005F7984" w:rsidP="002315E1">
            <w:pPr>
              <w:spacing w:after="0" w:line="240" w:lineRule="auto"/>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ATIVO CIRCULANTE</w:t>
            </w:r>
          </w:p>
        </w:tc>
        <w:tc>
          <w:tcPr>
            <w:tcW w:w="767" w:type="dxa"/>
            <w:tcBorders>
              <w:top w:val="nil"/>
              <w:bottom w:val="nil"/>
              <w:right w:val="single" w:sz="8" w:space="0" w:color="auto"/>
            </w:tcBorders>
            <w:shd w:val="clear" w:color="auto" w:fill="auto"/>
            <w:noWrap/>
            <w:vAlign w:val="center"/>
          </w:tcPr>
          <w:p w14:paraId="7AB05CA3" w14:textId="77777777" w:rsidR="005F7984" w:rsidRPr="009548D7" w:rsidRDefault="005F7984" w:rsidP="002315E1">
            <w:pPr>
              <w:spacing w:after="0" w:line="240" w:lineRule="auto"/>
              <w:jc w:val="center"/>
              <w:rPr>
                <w:rFonts w:ascii="Arial Narrow" w:eastAsia="Times New Roman" w:hAnsi="Arial Narrow" w:cs="Arial"/>
                <w:b/>
                <w:bCs/>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5ADEDB97" w14:textId="77777777" w:rsidR="005F7984" w:rsidRPr="009548D7" w:rsidRDefault="005F7984" w:rsidP="002315E1">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BPA.D009</w:t>
            </w:r>
          </w:p>
        </w:tc>
        <w:tc>
          <w:tcPr>
            <w:tcW w:w="1262" w:type="dxa"/>
            <w:tcBorders>
              <w:top w:val="nil"/>
              <w:left w:val="nil"/>
              <w:bottom w:val="nil"/>
              <w:right w:val="single" w:sz="8" w:space="0" w:color="auto"/>
            </w:tcBorders>
            <w:shd w:val="clear" w:color="auto" w:fill="auto"/>
            <w:noWrap/>
            <w:vAlign w:val="center"/>
            <w:hideMark/>
          </w:tcPr>
          <w:p w14:paraId="329B0BCB" w14:textId="77777777" w:rsidR="005F7984" w:rsidRPr="009548D7" w:rsidRDefault="005F7984" w:rsidP="002315E1">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BPA.E009</w:t>
            </w:r>
          </w:p>
        </w:tc>
        <w:tc>
          <w:tcPr>
            <w:tcW w:w="4562" w:type="dxa"/>
            <w:tcBorders>
              <w:top w:val="nil"/>
              <w:left w:val="nil"/>
              <w:bottom w:val="nil"/>
            </w:tcBorders>
            <w:shd w:val="clear" w:color="auto" w:fill="auto"/>
            <w:noWrap/>
            <w:vAlign w:val="center"/>
            <w:hideMark/>
          </w:tcPr>
          <w:p w14:paraId="01203FB8" w14:textId="77777777" w:rsidR="005F7984" w:rsidRPr="009548D7" w:rsidRDefault="005F7984" w:rsidP="002315E1">
            <w:pPr>
              <w:spacing w:after="0" w:line="240" w:lineRule="auto"/>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PASSIVO CIRCULANTE</w:t>
            </w:r>
          </w:p>
        </w:tc>
        <w:tc>
          <w:tcPr>
            <w:tcW w:w="775" w:type="dxa"/>
            <w:tcBorders>
              <w:top w:val="nil"/>
              <w:bottom w:val="nil"/>
              <w:right w:val="single" w:sz="8" w:space="0" w:color="auto"/>
            </w:tcBorders>
            <w:shd w:val="clear" w:color="auto" w:fill="auto"/>
            <w:noWrap/>
            <w:vAlign w:val="center"/>
          </w:tcPr>
          <w:p w14:paraId="4D392892" w14:textId="77777777" w:rsidR="005F7984" w:rsidRPr="009548D7" w:rsidRDefault="005F7984" w:rsidP="002315E1">
            <w:pPr>
              <w:spacing w:after="0" w:line="240" w:lineRule="auto"/>
              <w:jc w:val="center"/>
              <w:rPr>
                <w:rFonts w:ascii="Arial Narrow" w:eastAsia="Times New Roman" w:hAnsi="Arial Narrow" w:cs="Arial"/>
                <w:b/>
                <w:bCs/>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24D641C2" w14:textId="77777777" w:rsidR="005F7984" w:rsidRPr="009548D7" w:rsidRDefault="005F7984" w:rsidP="002315E1">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BPA.H009</w:t>
            </w:r>
          </w:p>
        </w:tc>
        <w:tc>
          <w:tcPr>
            <w:tcW w:w="1420" w:type="dxa"/>
            <w:tcBorders>
              <w:top w:val="nil"/>
              <w:left w:val="nil"/>
              <w:bottom w:val="nil"/>
              <w:right w:val="single" w:sz="8" w:space="0" w:color="auto"/>
            </w:tcBorders>
            <w:shd w:val="clear" w:color="auto" w:fill="auto"/>
            <w:noWrap/>
            <w:vAlign w:val="center"/>
            <w:hideMark/>
          </w:tcPr>
          <w:p w14:paraId="4AA570D0" w14:textId="77777777" w:rsidR="005F7984" w:rsidRPr="009548D7" w:rsidRDefault="005F7984" w:rsidP="002315E1">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BPA.I009</w:t>
            </w:r>
          </w:p>
        </w:tc>
      </w:tr>
      <w:tr w:rsidR="005F7984" w:rsidRPr="009548D7" w14:paraId="7EFA6F87" w14:textId="77777777" w:rsidTr="002315E1">
        <w:trPr>
          <w:trHeight w:val="255"/>
        </w:trPr>
        <w:tc>
          <w:tcPr>
            <w:tcW w:w="4410" w:type="dxa"/>
            <w:tcBorders>
              <w:top w:val="nil"/>
              <w:left w:val="single" w:sz="8" w:space="0" w:color="auto"/>
              <w:bottom w:val="nil"/>
            </w:tcBorders>
            <w:shd w:val="clear" w:color="auto" w:fill="auto"/>
            <w:noWrap/>
            <w:vAlign w:val="center"/>
            <w:hideMark/>
          </w:tcPr>
          <w:p w14:paraId="54ABE839" w14:textId="77777777" w:rsidR="005F7984" w:rsidRPr="009548D7" w:rsidRDefault="005F7984" w:rsidP="002315E1">
            <w:pPr>
              <w:spacing w:after="0" w:line="240" w:lineRule="auto"/>
              <w:rPr>
                <w:rFonts w:ascii="Arial Narrow" w:eastAsia="Times New Roman" w:hAnsi="Arial Narrow" w:cs="Arial"/>
                <w:color w:val="0070C0"/>
                <w:sz w:val="16"/>
                <w:szCs w:val="16"/>
                <w:lang w:eastAsia="pt-BR"/>
              </w:rPr>
            </w:pPr>
            <w:r w:rsidRPr="009548D7">
              <w:rPr>
                <w:rFonts w:ascii="Arial Narrow" w:eastAsia="Times New Roman" w:hAnsi="Arial Narrow" w:cs="Arial"/>
                <w:color w:val="0070C0"/>
                <w:sz w:val="16"/>
                <w:szCs w:val="16"/>
                <w:lang w:eastAsia="pt-BR"/>
              </w:rPr>
              <w:t> </w:t>
            </w:r>
          </w:p>
        </w:tc>
        <w:tc>
          <w:tcPr>
            <w:tcW w:w="767" w:type="dxa"/>
            <w:tcBorders>
              <w:top w:val="nil"/>
              <w:bottom w:val="nil"/>
              <w:right w:val="single" w:sz="8" w:space="0" w:color="auto"/>
            </w:tcBorders>
            <w:shd w:val="clear" w:color="auto" w:fill="auto"/>
            <w:noWrap/>
            <w:vAlign w:val="center"/>
          </w:tcPr>
          <w:p w14:paraId="61F8BFE0" w14:textId="77777777" w:rsidR="005F7984" w:rsidRPr="009548D7" w:rsidRDefault="005F7984" w:rsidP="002315E1">
            <w:pPr>
              <w:spacing w:after="0" w:line="240" w:lineRule="auto"/>
              <w:rPr>
                <w:rFonts w:ascii="Arial Narrow" w:eastAsia="Times New Roman" w:hAnsi="Arial Narrow" w:cs="Arial"/>
                <w:color w:val="0070C0"/>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1EE5E72B" w14:textId="77777777" w:rsidR="005F7984" w:rsidRPr="009548D7" w:rsidRDefault="005F7984" w:rsidP="002315E1">
            <w:pPr>
              <w:spacing w:after="0" w:line="240" w:lineRule="auto"/>
              <w:rPr>
                <w:rFonts w:ascii="Arial Narrow" w:eastAsia="Times New Roman" w:hAnsi="Arial Narrow" w:cs="Arial"/>
                <w:color w:val="0070C0"/>
                <w:sz w:val="16"/>
                <w:szCs w:val="16"/>
                <w:lang w:eastAsia="pt-BR"/>
              </w:rPr>
            </w:pPr>
            <w:r w:rsidRPr="009548D7">
              <w:rPr>
                <w:rFonts w:ascii="Arial Narrow" w:eastAsia="Times New Roman" w:hAnsi="Arial Narrow" w:cs="Arial"/>
                <w:color w:val="0070C0"/>
                <w:sz w:val="16"/>
                <w:szCs w:val="16"/>
                <w:lang w:eastAsia="pt-BR"/>
              </w:rPr>
              <w:t> </w:t>
            </w:r>
          </w:p>
        </w:tc>
        <w:tc>
          <w:tcPr>
            <w:tcW w:w="1262" w:type="dxa"/>
            <w:tcBorders>
              <w:top w:val="nil"/>
              <w:left w:val="nil"/>
              <w:bottom w:val="nil"/>
              <w:right w:val="single" w:sz="8" w:space="0" w:color="auto"/>
            </w:tcBorders>
            <w:shd w:val="clear" w:color="auto" w:fill="auto"/>
            <w:noWrap/>
            <w:vAlign w:val="center"/>
            <w:hideMark/>
          </w:tcPr>
          <w:p w14:paraId="74E21A95" w14:textId="77777777" w:rsidR="005F7984" w:rsidRPr="009548D7" w:rsidRDefault="005F7984" w:rsidP="002315E1">
            <w:pPr>
              <w:spacing w:after="0" w:line="240" w:lineRule="auto"/>
              <w:rPr>
                <w:rFonts w:ascii="Arial Narrow" w:eastAsia="Times New Roman" w:hAnsi="Arial Narrow" w:cs="Arial"/>
                <w:color w:val="0070C0"/>
                <w:sz w:val="16"/>
                <w:szCs w:val="16"/>
                <w:lang w:eastAsia="pt-BR"/>
              </w:rPr>
            </w:pPr>
            <w:r w:rsidRPr="009548D7">
              <w:rPr>
                <w:rFonts w:ascii="Arial Narrow" w:eastAsia="Times New Roman" w:hAnsi="Arial Narrow" w:cs="Arial"/>
                <w:color w:val="0070C0"/>
                <w:sz w:val="16"/>
                <w:szCs w:val="16"/>
                <w:lang w:eastAsia="pt-BR"/>
              </w:rPr>
              <w:t> </w:t>
            </w:r>
          </w:p>
        </w:tc>
        <w:tc>
          <w:tcPr>
            <w:tcW w:w="4562" w:type="dxa"/>
            <w:tcBorders>
              <w:top w:val="nil"/>
              <w:left w:val="nil"/>
              <w:bottom w:val="nil"/>
            </w:tcBorders>
            <w:shd w:val="clear" w:color="auto" w:fill="auto"/>
            <w:noWrap/>
            <w:vAlign w:val="center"/>
            <w:hideMark/>
          </w:tcPr>
          <w:p w14:paraId="2122CEA7" w14:textId="77777777" w:rsidR="005F7984" w:rsidRPr="009548D7" w:rsidRDefault="005F7984" w:rsidP="002315E1">
            <w:pPr>
              <w:spacing w:after="0" w:line="240" w:lineRule="auto"/>
              <w:rPr>
                <w:rFonts w:ascii="Arial Narrow" w:eastAsia="Times New Roman" w:hAnsi="Arial Narrow" w:cs="Arial"/>
                <w:color w:val="0070C0"/>
                <w:sz w:val="16"/>
                <w:szCs w:val="16"/>
                <w:lang w:eastAsia="pt-BR"/>
              </w:rPr>
            </w:pPr>
          </w:p>
        </w:tc>
        <w:tc>
          <w:tcPr>
            <w:tcW w:w="775" w:type="dxa"/>
            <w:tcBorders>
              <w:top w:val="nil"/>
              <w:bottom w:val="nil"/>
              <w:right w:val="single" w:sz="8" w:space="0" w:color="auto"/>
            </w:tcBorders>
            <w:shd w:val="clear" w:color="auto" w:fill="auto"/>
            <w:noWrap/>
            <w:vAlign w:val="center"/>
          </w:tcPr>
          <w:p w14:paraId="4F5E8E58" w14:textId="77777777" w:rsidR="005F7984" w:rsidRPr="009548D7" w:rsidRDefault="005F7984" w:rsidP="002315E1">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7987B037" w14:textId="77777777" w:rsidR="005F7984" w:rsidRPr="009548D7" w:rsidRDefault="005F7984" w:rsidP="002315E1">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w:t>
            </w:r>
          </w:p>
        </w:tc>
        <w:tc>
          <w:tcPr>
            <w:tcW w:w="1420" w:type="dxa"/>
            <w:tcBorders>
              <w:top w:val="nil"/>
              <w:left w:val="nil"/>
              <w:bottom w:val="nil"/>
              <w:right w:val="single" w:sz="8" w:space="0" w:color="auto"/>
            </w:tcBorders>
            <w:shd w:val="clear" w:color="auto" w:fill="auto"/>
            <w:noWrap/>
            <w:vAlign w:val="center"/>
            <w:hideMark/>
          </w:tcPr>
          <w:p w14:paraId="65801D8C" w14:textId="77777777" w:rsidR="005F7984" w:rsidRPr="009548D7" w:rsidRDefault="005F7984" w:rsidP="002315E1">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w:t>
            </w:r>
          </w:p>
        </w:tc>
      </w:tr>
      <w:tr w:rsidR="00283510" w:rsidRPr="009548D7" w14:paraId="5449763A" w14:textId="77777777" w:rsidTr="002936F7">
        <w:trPr>
          <w:trHeight w:val="270"/>
        </w:trPr>
        <w:tc>
          <w:tcPr>
            <w:tcW w:w="4410" w:type="dxa"/>
            <w:tcBorders>
              <w:top w:val="nil"/>
              <w:left w:val="single" w:sz="8" w:space="0" w:color="auto"/>
              <w:bottom w:val="nil"/>
            </w:tcBorders>
            <w:shd w:val="clear" w:color="auto" w:fill="auto"/>
            <w:noWrap/>
            <w:vAlign w:val="center"/>
            <w:hideMark/>
          </w:tcPr>
          <w:p w14:paraId="68958EEB" w14:textId="50E88CE8" w:rsidR="00283510" w:rsidRPr="009548D7" w:rsidRDefault="00283510" w:rsidP="00283510">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Pr="009548D7">
              <w:rPr>
                <w:rFonts w:ascii="Arial Narrow" w:eastAsia="Times New Roman" w:hAnsi="Arial Narrow" w:cs="Arial"/>
                <w:sz w:val="16"/>
                <w:szCs w:val="16"/>
                <w:lang w:eastAsia="pt-BR"/>
              </w:rPr>
              <w:t>Caixa e Equivalentes de Caixa</w:t>
            </w:r>
          </w:p>
        </w:tc>
        <w:tc>
          <w:tcPr>
            <w:tcW w:w="767" w:type="dxa"/>
            <w:tcBorders>
              <w:top w:val="nil"/>
              <w:bottom w:val="nil"/>
              <w:right w:val="single" w:sz="8" w:space="0" w:color="auto"/>
            </w:tcBorders>
            <w:shd w:val="clear" w:color="auto" w:fill="auto"/>
            <w:noWrap/>
            <w:vAlign w:val="center"/>
          </w:tcPr>
          <w:p w14:paraId="4C98B765" w14:textId="77777777" w:rsidR="00283510" w:rsidRPr="009548D7" w:rsidRDefault="00283510" w:rsidP="002315E1">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19C0785B" w14:textId="77777777" w:rsidR="00283510" w:rsidRPr="009548D7" w:rsidRDefault="00283510" w:rsidP="002315E1">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BPA.D011</w:t>
            </w:r>
          </w:p>
        </w:tc>
        <w:tc>
          <w:tcPr>
            <w:tcW w:w="1262" w:type="dxa"/>
            <w:tcBorders>
              <w:top w:val="nil"/>
              <w:left w:val="nil"/>
              <w:bottom w:val="nil"/>
              <w:right w:val="single" w:sz="8" w:space="0" w:color="auto"/>
            </w:tcBorders>
            <w:shd w:val="clear" w:color="auto" w:fill="auto"/>
            <w:noWrap/>
            <w:vAlign w:val="center"/>
            <w:hideMark/>
          </w:tcPr>
          <w:p w14:paraId="07D60CA9" w14:textId="77777777" w:rsidR="00283510" w:rsidRPr="009548D7" w:rsidRDefault="00283510" w:rsidP="002315E1">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BPA.E011</w:t>
            </w:r>
          </w:p>
        </w:tc>
        <w:tc>
          <w:tcPr>
            <w:tcW w:w="5337" w:type="dxa"/>
            <w:gridSpan w:val="2"/>
            <w:tcBorders>
              <w:top w:val="nil"/>
              <w:left w:val="nil"/>
              <w:bottom w:val="nil"/>
              <w:right w:val="single" w:sz="8" w:space="0" w:color="auto"/>
            </w:tcBorders>
            <w:shd w:val="clear" w:color="000000" w:fill="FFFFFF"/>
            <w:noWrap/>
            <w:vAlign w:val="center"/>
            <w:hideMark/>
          </w:tcPr>
          <w:p w14:paraId="3DB1437D" w14:textId="23710A2E" w:rsidR="00283510" w:rsidRPr="009548D7" w:rsidRDefault="00283510" w:rsidP="00283510">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Pr="009548D7">
              <w:rPr>
                <w:rFonts w:ascii="Arial Narrow" w:eastAsia="Times New Roman" w:hAnsi="Arial Narrow" w:cs="Arial"/>
                <w:sz w:val="16"/>
                <w:szCs w:val="16"/>
                <w:lang w:eastAsia="pt-BR"/>
              </w:rPr>
              <w:t>Obrigações Trabalhistas, Previdenciárias e Assistenciais a Pagar a Curto Prazo</w:t>
            </w:r>
          </w:p>
        </w:tc>
        <w:tc>
          <w:tcPr>
            <w:tcW w:w="1063" w:type="dxa"/>
            <w:tcBorders>
              <w:top w:val="nil"/>
              <w:left w:val="nil"/>
              <w:bottom w:val="nil"/>
              <w:right w:val="single" w:sz="8" w:space="0" w:color="auto"/>
            </w:tcBorders>
            <w:shd w:val="clear" w:color="auto" w:fill="auto"/>
            <w:noWrap/>
            <w:vAlign w:val="center"/>
            <w:hideMark/>
          </w:tcPr>
          <w:p w14:paraId="5476DDC9" w14:textId="77777777" w:rsidR="00283510" w:rsidRPr="009548D7" w:rsidRDefault="00283510" w:rsidP="002315E1">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BPA.H011</w:t>
            </w:r>
          </w:p>
        </w:tc>
        <w:tc>
          <w:tcPr>
            <w:tcW w:w="1420" w:type="dxa"/>
            <w:tcBorders>
              <w:top w:val="nil"/>
              <w:left w:val="nil"/>
              <w:bottom w:val="nil"/>
              <w:right w:val="single" w:sz="8" w:space="0" w:color="auto"/>
            </w:tcBorders>
            <w:shd w:val="clear" w:color="auto" w:fill="auto"/>
            <w:noWrap/>
            <w:vAlign w:val="center"/>
            <w:hideMark/>
          </w:tcPr>
          <w:p w14:paraId="6F275DE1" w14:textId="77777777" w:rsidR="00283510" w:rsidRPr="009548D7" w:rsidRDefault="00283510" w:rsidP="002315E1">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BPA.I011</w:t>
            </w:r>
          </w:p>
        </w:tc>
      </w:tr>
      <w:tr w:rsidR="005F7984" w:rsidRPr="009548D7" w14:paraId="5E317A92" w14:textId="77777777" w:rsidTr="002315E1">
        <w:trPr>
          <w:trHeight w:val="255"/>
        </w:trPr>
        <w:tc>
          <w:tcPr>
            <w:tcW w:w="4410" w:type="dxa"/>
            <w:tcBorders>
              <w:top w:val="nil"/>
              <w:left w:val="single" w:sz="8" w:space="0" w:color="auto"/>
              <w:bottom w:val="nil"/>
            </w:tcBorders>
            <w:shd w:val="clear" w:color="auto" w:fill="auto"/>
            <w:noWrap/>
            <w:vAlign w:val="center"/>
            <w:hideMark/>
          </w:tcPr>
          <w:p w14:paraId="214961B8" w14:textId="46C5A024" w:rsidR="005F7984" w:rsidRPr="009548D7" w:rsidRDefault="00283510" w:rsidP="00283510">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5F7984" w:rsidRPr="009548D7">
              <w:rPr>
                <w:rFonts w:ascii="Arial Narrow" w:eastAsia="Times New Roman" w:hAnsi="Arial Narrow" w:cs="Arial"/>
                <w:sz w:val="16"/>
                <w:szCs w:val="16"/>
                <w:lang w:eastAsia="pt-BR"/>
              </w:rPr>
              <w:t>Créditos a Curto Prazo</w:t>
            </w:r>
          </w:p>
        </w:tc>
        <w:tc>
          <w:tcPr>
            <w:tcW w:w="767" w:type="dxa"/>
            <w:tcBorders>
              <w:top w:val="nil"/>
              <w:bottom w:val="nil"/>
              <w:right w:val="single" w:sz="8" w:space="0" w:color="auto"/>
            </w:tcBorders>
            <w:shd w:val="clear" w:color="auto" w:fill="auto"/>
            <w:noWrap/>
            <w:vAlign w:val="center"/>
          </w:tcPr>
          <w:p w14:paraId="173690BC" w14:textId="77777777" w:rsidR="005F7984" w:rsidRPr="009548D7" w:rsidRDefault="005F7984" w:rsidP="002315E1">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235B3B50" w14:textId="77777777" w:rsidR="005F7984" w:rsidRPr="009548D7" w:rsidRDefault="005F7984" w:rsidP="002315E1">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BPA.D012</w:t>
            </w:r>
          </w:p>
        </w:tc>
        <w:tc>
          <w:tcPr>
            <w:tcW w:w="1262" w:type="dxa"/>
            <w:tcBorders>
              <w:top w:val="nil"/>
              <w:left w:val="nil"/>
              <w:bottom w:val="nil"/>
              <w:right w:val="single" w:sz="8" w:space="0" w:color="auto"/>
            </w:tcBorders>
            <w:shd w:val="clear" w:color="auto" w:fill="auto"/>
            <w:noWrap/>
            <w:vAlign w:val="center"/>
            <w:hideMark/>
          </w:tcPr>
          <w:p w14:paraId="7DFF3CAF" w14:textId="77777777" w:rsidR="005F7984" w:rsidRPr="009548D7" w:rsidRDefault="005F7984" w:rsidP="002315E1">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BPA.E012</w:t>
            </w:r>
          </w:p>
        </w:tc>
        <w:tc>
          <w:tcPr>
            <w:tcW w:w="4562" w:type="dxa"/>
            <w:tcBorders>
              <w:top w:val="nil"/>
              <w:left w:val="nil"/>
              <w:bottom w:val="nil"/>
            </w:tcBorders>
            <w:shd w:val="clear" w:color="000000" w:fill="FFFFFF"/>
            <w:noWrap/>
            <w:vAlign w:val="center"/>
            <w:hideMark/>
          </w:tcPr>
          <w:p w14:paraId="43C7F07F" w14:textId="77777777" w:rsidR="005F7984" w:rsidRPr="009548D7" w:rsidRDefault="005F7984" w:rsidP="002315E1">
            <w:pPr>
              <w:spacing w:after="0" w:line="240" w:lineRule="auto"/>
              <w:ind w:firstLineChars="200" w:firstLine="32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Pessoal a Pagar</w:t>
            </w:r>
          </w:p>
        </w:tc>
        <w:tc>
          <w:tcPr>
            <w:tcW w:w="775" w:type="dxa"/>
            <w:tcBorders>
              <w:top w:val="nil"/>
              <w:bottom w:val="nil"/>
              <w:right w:val="single" w:sz="8" w:space="0" w:color="auto"/>
            </w:tcBorders>
            <w:shd w:val="clear" w:color="auto" w:fill="auto"/>
            <w:noWrap/>
            <w:vAlign w:val="center"/>
          </w:tcPr>
          <w:p w14:paraId="686219C4" w14:textId="77777777" w:rsidR="005F7984" w:rsidRPr="009548D7" w:rsidRDefault="005F7984" w:rsidP="002315E1">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1683680C" w14:textId="77777777" w:rsidR="005F7984" w:rsidRPr="009548D7" w:rsidRDefault="005F7984" w:rsidP="002315E1">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BPA.H012</w:t>
            </w:r>
          </w:p>
        </w:tc>
        <w:tc>
          <w:tcPr>
            <w:tcW w:w="1420" w:type="dxa"/>
            <w:tcBorders>
              <w:top w:val="nil"/>
              <w:left w:val="nil"/>
              <w:bottom w:val="nil"/>
              <w:right w:val="single" w:sz="8" w:space="0" w:color="auto"/>
            </w:tcBorders>
            <w:shd w:val="clear" w:color="auto" w:fill="auto"/>
            <w:noWrap/>
            <w:vAlign w:val="center"/>
            <w:hideMark/>
          </w:tcPr>
          <w:p w14:paraId="4A3B40CB" w14:textId="77777777" w:rsidR="005F7984" w:rsidRPr="009548D7" w:rsidRDefault="005F7984" w:rsidP="002315E1">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BPA.I012</w:t>
            </w:r>
          </w:p>
        </w:tc>
      </w:tr>
      <w:tr w:rsidR="005F7984" w:rsidRPr="009548D7" w14:paraId="50593508" w14:textId="77777777" w:rsidTr="002315E1">
        <w:trPr>
          <w:trHeight w:val="255"/>
        </w:trPr>
        <w:tc>
          <w:tcPr>
            <w:tcW w:w="4410" w:type="dxa"/>
            <w:tcBorders>
              <w:top w:val="nil"/>
              <w:left w:val="single" w:sz="8" w:space="0" w:color="auto"/>
              <w:bottom w:val="nil"/>
            </w:tcBorders>
            <w:shd w:val="clear" w:color="auto" w:fill="auto"/>
            <w:noWrap/>
            <w:vAlign w:val="center"/>
            <w:hideMark/>
          </w:tcPr>
          <w:p w14:paraId="2B38102D" w14:textId="09362AE7" w:rsidR="005F7984" w:rsidRPr="009548D7" w:rsidRDefault="00283510" w:rsidP="00283510">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5F7984" w:rsidRPr="009548D7">
              <w:rPr>
                <w:rFonts w:ascii="Arial Narrow" w:eastAsia="Times New Roman" w:hAnsi="Arial Narrow" w:cs="Arial"/>
                <w:sz w:val="16"/>
                <w:szCs w:val="16"/>
                <w:lang w:eastAsia="pt-BR"/>
              </w:rPr>
              <w:t>Créditos Tributários a Receber</w:t>
            </w:r>
          </w:p>
        </w:tc>
        <w:tc>
          <w:tcPr>
            <w:tcW w:w="767" w:type="dxa"/>
            <w:tcBorders>
              <w:top w:val="nil"/>
              <w:bottom w:val="nil"/>
              <w:right w:val="single" w:sz="8" w:space="0" w:color="auto"/>
            </w:tcBorders>
            <w:shd w:val="clear" w:color="auto" w:fill="auto"/>
            <w:noWrap/>
            <w:vAlign w:val="center"/>
          </w:tcPr>
          <w:p w14:paraId="20D15FB9" w14:textId="77777777" w:rsidR="005F7984" w:rsidRPr="009548D7" w:rsidRDefault="005F7984" w:rsidP="002315E1">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1B51F9BA" w14:textId="77777777" w:rsidR="005F7984" w:rsidRPr="009548D7" w:rsidRDefault="005F7984" w:rsidP="002315E1">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BPA.D013</w:t>
            </w:r>
          </w:p>
        </w:tc>
        <w:tc>
          <w:tcPr>
            <w:tcW w:w="1262" w:type="dxa"/>
            <w:tcBorders>
              <w:top w:val="nil"/>
              <w:left w:val="nil"/>
              <w:bottom w:val="nil"/>
              <w:right w:val="single" w:sz="8" w:space="0" w:color="auto"/>
            </w:tcBorders>
            <w:shd w:val="clear" w:color="auto" w:fill="auto"/>
            <w:noWrap/>
            <w:vAlign w:val="center"/>
            <w:hideMark/>
          </w:tcPr>
          <w:p w14:paraId="32E60CEB" w14:textId="77777777" w:rsidR="005F7984" w:rsidRPr="009548D7" w:rsidRDefault="005F7984" w:rsidP="002315E1">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BPA.E013</w:t>
            </w:r>
          </w:p>
        </w:tc>
        <w:tc>
          <w:tcPr>
            <w:tcW w:w="4562" w:type="dxa"/>
            <w:tcBorders>
              <w:top w:val="nil"/>
              <w:left w:val="nil"/>
              <w:bottom w:val="nil"/>
            </w:tcBorders>
            <w:shd w:val="clear" w:color="000000" w:fill="FFFFFF"/>
            <w:noWrap/>
            <w:vAlign w:val="center"/>
            <w:hideMark/>
          </w:tcPr>
          <w:p w14:paraId="3E8A5DA0" w14:textId="77777777" w:rsidR="005F7984" w:rsidRPr="009548D7" w:rsidRDefault="005F7984" w:rsidP="002315E1">
            <w:pPr>
              <w:spacing w:after="0" w:line="240" w:lineRule="auto"/>
              <w:ind w:firstLineChars="200" w:firstLine="32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Benefícios Previdenciários a Pagar</w:t>
            </w:r>
          </w:p>
        </w:tc>
        <w:tc>
          <w:tcPr>
            <w:tcW w:w="775" w:type="dxa"/>
            <w:tcBorders>
              <w:top w:val="nil"/>
              <w:bottom w:val="nil"/>
              <w:right w:val="single" w:sz="8" w:space="0" w:color="auto"/>
            </w:tcBorders>
            <w:shd w:val="clear" w:color="auto" w:fill="auto"/>
            <w:noWrap/>
            <w:vAlign w:val="center"/>
          </w:tcPr>
          <w:p w14:paraId="5D369D30" w14:textId="77777777" w:rsidR="005F7984" w:rsidRPr="009548D7" w:rsidRDefault="005F7984" w:rsidP="002315E1">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13392104" w14:textId="77777777" w:rsidR="005F7984" w:rsidRPr="009548D7" w:rsidRDefault="005F7984" w:rsidP="002315E1">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BPA.H013</w:t>
            </w:r>
          </w:p>
        </w:tc>
        <w:tc>
          <w:tcPr>
            <w:tcW w:w="1420" w:type="dxa"/>
            <w:tcBorders>
              <w:top w:val="nil"/>
              <w:left w:val="nil"/>
              <w:bottom w:val="nil"/>
              <w:right w:val="single" w:sz="8" w:space="0" w:color="auto"/>
            </w:tcBorders>
            <w:shd w:val="clear" w:color="auto" w:fill="auto"/>
            <w:noWrap/>
            <w:vAlign w:val="center"/>
            <w:hideMark/>
          </w:tcPr>
          <w:p w14:paraId="11B4637C" w14:textId="77777777" w:rsidR="005F7984" w:rsidRPr="009548D7" w:rsidRDefault="005F7984" w:rsidP="002315E1">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BPA.I013</w:t>
            </w:r>
          </w:p>
        </w:tc>
      </w:tr>
      <w:tr w:rsidR="005F7984" w:rsidRPr="009548D7" w14:paraId="0718F96C" w14:textId="77777777" w:rsidTr="002315E1">
        <w:trPr>
          <w:trHeight w:val="255"/>
        </w:trPr>
        <w:tc>
          <w:tcPr>
            <w:tcW w:w="4410" w:type="dxa"/>
            <w:tcBorders>
              <w:top w:val="nil"/>
              <w:left w:val="single" w:sz="8" w:space="0" w:color="auto"/>
              <w:bottom w:val="nil"/>
            </w:tcBorders>
            <w:shd w:val="clear" w:color="auto" w:fill="auto"/>
            <w:noWrap/>
            <w:vAlign w:val="center"/>
            <w:hideMark/>
          </w:tcPr>
          <w:p w14:paraId="09545B76" w14:textId="4783C18A" w:rsidR="005F7984" w:rsidRPr="009548D7" w:rsidRDefault="00283510" w:rsidP="00283510">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5F7984" w:rsidRPr="009548D7">
              <w:rPr>
                <w:rFonts w:ascii="Arial Narrow" w:eastAsia="Times New Roman" w:hAnsi="Arial Narrow" w:cs="Arial"/>
                <w:sz w:val="16"/>
                <w:szCs w:val="16"/>
                <w:lang w:eastAsia="pt-BR"/>
              </w:rPr>
              <w:t>Clientes</w:t>
            </w:r>
          </w:p>
        </w:tc>
        <w:tc>
          <w:tcPr>
            <w:tcW w:w="767" w:type="dxa"/>
            <w:tcBorders>
              <w:top w:val="nil"/>
              <w:bottom w:val="nil"/>
              <w:right w:val="single" w:sz="8" w:space="0" w:color="auto"/>
            </w:tcBorders>
            <w:shd w:val="clear" w:color="auto" w:fill="auto"/>
            <w:noWrap/>
            <w:vAlign w:val="center"/>
          </w:tcPr>
          <w:p w14:paraId="04457265" w14:textId="77777777" w:rsidR="005F7984" w:rsidRPr="009548D7" w:rsidRDefault="005F7984" w:rsidP="002315E1">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77424CD4" w14:textId="77777777" w:rsidR="005F7984" w:rsidRPr="009548D7" w:rsidRDefault="005F7984" w:rsidP="002315E1">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BPA.D014</w:t>
            </w:r>
          </w:p>
        </w:tc>
        <w:tc>
          <w:tcPr>
            <w:tcW w:w="1262" w:type="dxa"/>
            <w:tcBorders>
              <w:top w:val="nil"/>
              <w:left w:val="nil"/>
              <w:bottom w:val="nil"/>
              <w:right w:val="single" w:sz="8" w:space="0" w:color="auto"/>
            </w:tcBorders>
            <w:shd w:val="clear" w:color="auto" w:fill="auto"/>
            <w:noWrap/>
            <w:vAlign w:val="center"/>
            <w:hideMark/>
          </w:tcPr>
          <w:p w14:paraId="458A4D70" w14:textId="77777777" w:rsidR="005F7984" w:rsidRPr="009548D7" w:rsidRDefault="005F7984" w:rsidP="002315E1">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BPA.E014</w:t>
            </w:r>
          </w:p>
        </w:tc>
        <w:tc>
          <w:tcPr>
            <w:tcW w:w="4562" w:type="dxa"/>
            <w:tcBorders>
              <w:top w:val="nil"/>
              <w:left w:val="nil"/>
              <w:bottom w:val="nil"/>
            </w:tcBorders>
            <w:shd w:val="clear" w:color="000000" w:fill="FFFFFF"/>
            <w:noWrap/>
            <w:vAlign w:val="center"/>
            <w:hideMark/>
          </w:tcPr>
          <w:p w14:paraId="65C9953B" w14:textId="77777777" w:rsidR="005F7984" w:rsidRPr="009548D7" w:rsidRDefault="005F7984" w:rsidP="002315E1">
            <w:pPr>
              <w:spacing w:after="0" w:line="240" w:lineRule="auto"/>
              <w:ind w:firstLineChars="200" w:firstLine="32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Benefícios Assistenciais a Pagar</w:t>
            </w:r>
          </w:p>
        </w:tc>
        <w:tc>
          <w:tcPr>
            <w:tcW w:w="775" w:type="dxa"/>
            <w:tcBorders>
              <w:top w:val="nil"/>
              <w:bottom w:val="nil"/>
              <w:right w:val="single" w:sz="8" w:space="0" w:color="auto"/>
            </w:tcBorders>
            <w:shd w:val="clear" w:color="auto" w:fill="auto"/>
            <w:noWrap/>
            <w:vAlign w:val="center"/>
          </w:tcPr>
          <w:p w14:paraId="016EE695" w14:textId="77777777" w:rsidR="005F7984" w:rsidRPr="009548D7" w:rsidRDefault="005F7984" w:rsidP="002315E1">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1690960F" w14:textId="77777777" w:rsidR="005F7984" w:rsidRPr="009548D7" w:rsidRDefault="005F7984" w:rsidP="002315E1">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BPA.H014</w:t>
            </w:r>
          </w:p>
        </w:tc>
        <w:tc>
          <w:tcPr>
            <w:tcW w:w="1420" w:type="dxa"/>
            <w:tcBorders>
              <w:top w:val="nil"/>
              <w:left w:val="nil"/>
              <w:bottom w:val="nil"/>
              <w:right w:val="single" w:sz="8" w:space="0" w:color="auto"/>
            </w:tcBorders>
            <w:shd w:val="clear" w:color="auto" w:fill="auto"/>
            <w:noWrap/>
            <w:vAlign w:val="center"/>
            <w:hideMark/>
          </w:tcPr>
          <w:p w14:paraId="43D96C35" w14:textId="77777777" w:rsidR="005F7984" w:rsidRPr="009548D7" w:rsidRDefault="005F7984" w:rsidP="002315E1">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BPA.I014</w:t>
            </w:r>
          </w:p>
        </w:tc>
      </w:tr>
      <w:tr w:rsidR="005F7984" w:rsidRPr="009548D7" w14:paraId="35923988" w14:textId="77777777" w:rsidTr="002315E1">
        <w:trPr>
          <w:trHeight w:val="255"/>
        </w:trPr>
        <w:tc>
          <w:tcPr>
            <w:tcW w:w="4410" w:type="dxa"/>
            <w:tcBorders>
              <w:top w:val="nil"/>
              <w:left w:val="single" w:sz="8" w:space="0" w:color="auto"/>
              <w:bottom w:val="nil"/>
            </w:tcBorders>
            <w:shd w:val="clear" w:color="auto" w:fill="auto"/>
            <w:noWrap/>
            <w:vAlign w:val="center"/>
            <w:hideMark/>
          </w:tcPr>
          <w:p w14:paraId="64255D07" w14:textId="44496031" w:rsidR="005F7984" w:rsidRPr="009548D7" w:rsidRDefault="00283510" w:rsidP="00283510">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5F7984" w:rsidRPr="009548D7">
              <w:rPr>
                <w:rFonts w:ascii="Arial Narrow" w:eastAsia="Times New Roman" w:hAnsi="Arial Narrow" w:cs="Arial"/>
                <w:sz w:val="16"/>
                <w:szCs w:val="16"/>
                <w:lang w:eastAsia="pt-BR"/>
              </w:rPr>
              <w:t>Créditos de Transferências a Receber</w:t>
            </w:r>
          </w:p>
        </w:tc>
        <w:tc>
          <w:tcPr>
            <w:tcW w:w="767" w:type="dxa"/>
            <w:tcBorders>
              <w:top w:val="nil"/>
              <w:bottom w:val="nil"/>
              <w:right w:val="single" w:sz="8" w:space="0" w:color="auto"/>
            </w:tcBorders>
            <w:shd w:val="clear" w:color="auto" w:fill="auto"/>
            <w:noWrap/>
            <w:vAlign w:val="center"/>
          </w:tcPr>
          <w:p w14:paraId="086EC99C" w14:textId="77777777" w:rsidR="005F7984" w:rsidRPr="009548D7" w:rsidRDefault="005F7984" w:rsidP="002315E1">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1D392703" w14:textId="77777777" w:rsidR="005F7984" w:rsidRPr="009548D7" w:rsidRDefault="005F7984" w:rsidP="002315E1">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BPA.D015</w:t>
            </w:r>
          </w:p>
        </w:tc>
        <w:tc>
          <w:tcPr>
            <w:tcW w:w="1262" w:type="dxa"/>
            <w:tcBorders>
              <w:top w:val="nil"/>
              <w:left w:val="nil"/>
              <w:bottom w:val="nil"/>
              <w:right w:val="single" w:sz="8" w:space="0" w:color="auto"/>
            </w:tcBorders>
            <w:shd w:val="clear" w:color="auto" w:fill="auto"/>
            <w:noWrap/>
            <w:vAlign w:val="center"/>
            <w:hideMark/>
          </w:tcPr>
          <w:p w14:paraId="349A608D" w14:textId="77777777" w:rsidR="005F7984" w:rsidRPr="009548D7" w:rsidRDefault="005F7984" w:rsidP="002315E1">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BPA.E015</w:t>
            </w:r>
          </w:p>
        </w:tc>
        <w:tc>
          <w:tcPr>
            <w:tcW w:w="4562" w:type="dxa"/>
            <w:tcBorders>
              <w:top w:val="nil"/>
              <w:left w:val="nil"/>
              <w:bottom w:val="nil"/>
            </w:tcBorders>
            <w:shd w:val="clear" w:color="000000" w:fill="FFFFFF"/>
            <w:noWrap/>
            <w:vAlign w:val="center"/>
            <w:hideMark/>
          </w:tcPr>
          <w:p w14:paraId="2176DF7C" w14:textId="77777777" w:rsidR="005F7984" w:rsidRPr="009548D7" w:rsidRDefault="005F7984" w:rsidP="002315E1">
            <w:pPr>
              <w:spacing w:after="0" w:line="240" w:lineRule="auto"/>
              <w:ind w:firstLineChars="200" w:firstLine="32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Encargos Sociais a Pagar</w:t>
            </w:r>
          </w:p>
        </w:tc>
        <w:tc>
          <w:tcPr>
            <w:tcW w:w="775" w:type="dxa"/>
            <w:tcBorders>
              <w:top w:val="nil"/>
              <w:bottom w:val="nil"/>
              <w:right w:val="single" w:sz="8" w:space="0" w:color="auto"/>
            </w:tcBorders>
            <w:shd w:val="clear" w:color="auto" w:fill="auto"/>
            <w:noWrap/>
            <w:vAlign w:val="center"/>
          </w:tcPr>
          <w:p w14:paraId="68685EDA" w14:textId="77777777" w:rsidR="005F7984" w:rsidRPr="009548D7" w:rsidRDefault="005F7984" w:rsidP="002315E1">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070BC3FD" w14:textId="77777777" w:rsidR="005F7984" w:rsidRPr="009548D7" w:rsidRDefault="005F7984" w:rsidP="002315E1">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BPA.H015</w:t>
            </w:r>
          </w:p>
        </w:tc>
        <w:tc>
          <w:tcPr>
            <w:tcW w:w="1420" w:type="dxa"/>
            <w:tcBorders>
              <w:top w:val="nil"/>
              <w:left w:val="nil"/>
              <w:bottom w:val="nil"/>
              <w:right w:val="single" w:sz="8" w:space="0" w:color="auto"/>
            </w:tcBorders>
            <w:shd w:val="clear" w:color="auto" w:fill="auto"/>
            <w:noWrap/>
            <w:vAlign w:val="center"/>
            <w:hideMark/>
          </w:tcPr>
          <w:p w14:paraId="696A7EE0" w14:textId="77777777" w:rsidR="005F7984" w:rsidRPr="009548D7" w:rsidRDefault="005F7984" w:rsidP="002315E1">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BPA.I015</w:t>
            </w:r>
          </w:p>
        </w:tc>
      </w:tr>
      <w:tr w:rsidR="005F7984" w:rsidRPr="009548D7" w14:paraId="44A2909D" w14:textId="77777777" w:rsidTr="002315E1">
        <w:trPr>
          <w:trHeight w:val="255"/>
        </w:trPr>
        <w:tc>
          <w:tcPr>
            <w:tcW w:w="4410" w:type="dxa"/>
            <w:tcBorders>
              <w:top w:val="nil"/>
              <w:left w:val="single" w:sz="8" w:space="0" w:color="auto"/>
              <w:bottom w:val="nil"/>
            </w:tcBorders>
            <w:shd w:val="clear" w:color="auto" w:fill="auto"/>
            <w:noWrap/>
            <w:vAlign w:val="center"/>
            <w:hideMark/>
          </w:tcPr>
          <w:p w14:paraId="45B5EE4C" w14:textId="0E72951A" w:rsidR="005F7984" w:rsidRPr="009548D7" w:rsidRDefault="00283510" w:rsidP="00283510">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5F7984" w:rsidRPr="009548D7">
              <w:rPr>
                <w:rFonts w:ascii="Arial Narrow" w:eastAsia="Times New Roman" w:hAnsi="Arial Narrow" w:cs="Arial"/>
                <w:sz w:val="16"/>
                <w:szCs w:val="16"/>
                <w:lang w:eastAsia="pt-BR"/>
              </w:rPr>
              <w:t>Empréstimos e Financiamentos Concedidos</w:t>
            </w:r>
          </w:p>
        </w:tc>
        <w:tc>
          <w:tcPr>
            <w:tcW w:w="767" w:type="dxa"/>
            <w:tcBorders>
              <w:top w:val="nil"/>
              <w:bottom w:val="nil"/>
              <w:right w:val="single" w:sz="8" w:space="0" w:color="auto"/>
            </w:tcBorders>
            <w:shd w:val="clear" w:color="auto" w:fill="auto"/>
            <w:noWrap/>
            <w:vAlign w:val="center"/>
          </w:tcPr>
          <w:p w14:paraId="6F83B5EB" w14:textId="77777777" w:rsidR="005F7984" w:rsidRPr="009548D7" w:rsidRDefault="005F7984" w:rsidP="002315E1">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2AE6F02F" w14:textId="77777777" w:rsidR="005F7984" w:rsidRPr="009548D7" w:rsidRDefault="005F7984" w:rsidP="002315E1">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BPA.D016</w:t>
            </w:r>
          </w:p>
        </w:tc>
        <w:tc>
          <w:tcPr>
            <w:tcW w:w="1262" w:type="dxa"/>
            <w:tcBorders>
              <w:top w:val="nil"/>
              <w:left w:val="nil"/>
              <w:bottom w:val="nil"/>
              <w:right w:val="single" w:sz="8" w:space="0" w:color="auto"/>
            </w:tcBorders>
            <w:shd w:val="clear" w:color="auto" w:fill="auto"/>
            <w:noWrap/>
            <w:vAlign w:val="center"/>
            <w:hideMark/>
          </w:tcPr>
          <w:p w14:paraId="7898FFA1" w14:textId="77777777" w:rsidR="005F7984" w:rsidRPr="009548D7" w:rsidRDefault="005F7984" w:rsidP="002315E1">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BPA.E016</w:t>
            </w:r>
          </w:p>
        </w:tc>
        <w:tc>
          <w:tcPr>
            <w:tcW w:w="4562" w:type="dxa"/>
            <w:tcBorders>
              <w:top w:val="nil"/>
              <w:left w:val="nil"/>
              <w:bottom w:val="nil"/>
            </w:tcBorders>
            <w:shd w:val="clear" w:color="auto" w:fill="auto"/>
            <w:noWrap/>
            <w:vAlign w:val="center"/>
            <w:hideMark/>
          </w:tcPr>
          <w:p w14:paraId="2093CB69" w14:textId="4A0CFFF9" w:rsidR="005F7984" w:rsidRPr="009548D7" w:rsidRDefault="00283510" w:rsidP="00283510">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5F7984" w:rsidRPr="009548D7">
              <w:rPr>
                <w:rFonts w:ascii="Arial Narrow" w:eastAsia="Times New Roman" w:hAnsi="Arial Narrow" w:cs="Arial"/>
                <w:sz w:val="16"/>
                <w:szCs w:val="16"/>
                <w:lang w:eastAsia="pt-BR"/>
              </w:rPr>
              <w:t>Empréstimos e Financiamentos a Curto Prazo</w:t>
            </w:r>
          </w:p>
        </w:tc>
        <w:tc>
          <w:tcPr>
            <w:tcW w:w="775" w:type="dxa"/>
            <w:tcBorders>
              <w:top w:val="nil"/>
              <w:bottom w:val="nil"/>
              <w:right w:val="single" w:sz="8" w:space="0" w:color="auto"/>
            </w:tcBorders>
            <w:shd w:val="clear" w:color="auto" w:fill="auto"/>
            <w:noWrap/>
            <w:vAlign w:val="center"/>
          </w:tcPr>
          <w:p w14:paraId="60EF41CD" w14:textId="77777777" w:rsidR="005F7984" w:rsidRPr="009548D7" w:rsidRDefault="005F7984" w:rsidP="002315E1">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55BC3A53" w14:textId="77777777" w:rsidR="005F7984" w:rsidRPr="009548D7" w:rsidRDefault="005F7984" w:rsidP="002315E1">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BPA.H016</w:t>
            </w:r>
          </w:p>
        </w:tc>
        <w:tc>
          <w:tcPr>
            <w:tcW w:w="1420" w:type="dxa"/>
            <w:tcBorders>
              <w:top w:val="nil"/>
              <w:left w:val="nil"/>
              <w:bottom w:val="nil"/>
              <w:right w:val="single" w:sz="8" w:space="0" w:color="auto"/>
            </w:tcBorders>
            <w:shd w:val="clear" w:color="auto" w:fill="auto"/>
            <w:noWrap/>
            <w:vAlign w:val="center"/>
            <w:hideMark/>
          </w:tcPr>
          <w:p w14:paraId="31166EBA" w14:textId="77777777" w:rsidR="005F7984" w:rsidRPr="009548D7" w:rsidRDefault="005F7984" w:rsidP="002315E1">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BPA.I016</w:t>
            </w:r>
          </w:p>
        </w:tc>
      </w:tr>
      <w:tr w:rsidR="005F7984" w:rsidRPr="009548D7" w14:paraId="34625BC1" w14:textId="77777777" w:rsidTr="002315E1">
        <w:trPr>
          <w:trHeight w:val="255"/>
        </w:trPr>
        <w:tc>
          <w:tcPr>
            <w:tcW w:w="4410" w:type="dxa"/>
            <w:tcBorders>
              <w:top w:val="nil"/>
              <w:left w:val="single" w:sz="8" w:space="0" w:color="auto"/>
              <w:bottom w:val="nil"/>
            </w:tcBorders>
            <w:shd w:val="clear" w:color="auto" w:fill="auto"/>
            <w:noWrap/>
            <w:vAlign w:val="center"/>
            <w:hideMark/>
          </w:tcPr>
          <w:p w14:paraId="2B92B5F9" w14:textId="4F775E29" w:rsidR="005F7984" w:rsidRPr="009548D7" w:rsidRDefault="00283510" w:rsidP="00283510">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5F7984" w:rsidRPr="009548D7">
              <w:rPr>
                <w:rFonts w:ascii="Arial Narrow" w:eastAsia="Times New Roman" w:hAnsi="Arial Narrow" w:cs="Arial"/>
                <w:sz w:val="16"/>
                <w:szCs w:val="16"/>
                <w:lang w:eastAsia="pt-BR"/>
              </w:rPr>
              <w:t>Dívida Ativa Tributária</w:t>
            </w:r>
          </w:p>
        </w:tc>
        <w:tc>
          <w:tcPr>
            <w:tcW w:w="767" w:type="dxa"/>
            <w:tcBorders>
              <w:top w:val="nil"/>
              <w:bottom w:val="nil"/>
              <w:right w:val="single" w:sz="8" w:space="0" w:color="auto"/>
            </w:tcBorders>
            <w:shd w:val="clear" w:color="auto" w:fill="auto"/>
            <w:noWrap/>
            <w:vAlign w:val="center"/>
          </w:tcPr>
          <w:p w14:paraId="365BCA41" w14:textId="77777777" w:rsidR="005F7984" w:rsidRPr="009548D7" w:rsidRDefault="005F7984" w:rsidP="002315E1">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7A6AED50" w14:textId="77777777" w:rsidR="005F7984" w:rsidRPr="009548D7" w:rsidRDefault="005F7984" w:rsidP="002315E1">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BPA.D017</w:t>
            </w:r>
          </w:p>
        </w:tc>
        <w:tc>
          <w:tcPr>
            <w:tcW w:w="1262" w:type="dxa"/>
            <w:tcBorders>
              <w:top w:val="nil"/>
              <w:left w:val="nil"/>
              <w:bottom w:val="nil"/>
              <w:right w:val="single" w:sz="8" w:space="0" w:color="auto"/>
            </w:tcBorders>
            <w:shd w:val="clear" w:color="auto" w:fill="auto"/>
            <w:noWrap/>
            <w:vAlign w:val="center"/>
            <w:hideMark/>
          </w:tcPr>
          <w:p w14:paraId="731EFDC3" w14:textId="77777777" w:rsidR="005F7984" w:rsidRPr="009548D7" w:rsidRDefault="005F7984" w:rsidP="002315E1">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BPA.E017</w:t>
            </w:r>
          </w:p>
        </w:tc>
        <w:tc>
          <w:tcPr>
            <w:tcW w:w="4562" w:type="dxa"/>
            <w:tcBorders>
              <w:top w:val="nil"/>
              <w:left w:val="nil"/>
              <w:bottom w:val="nil"/>
            </w:tcBorders>
            <w:shd w:val="clear" w:color="auto" w:fill="auto"/>
            <w:noWrap/>
            <w:vAlign w:val="center"/>
            <w:hideMark/>
          </w:tcPr>
          <w:p w14:paraId="06FA0AAB" w14:textId="5AA93165" w:rsidR="005F7984" w:rsidRPr="009548D7" w:rsidRDefault="00283510" w:rsidP="00283510">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5F7984" w:rsidRPr="009548D7">
              <w:rPr>
                <w:rFonts w:ascii="Arial Narrow" w:eastAsia="Times New Roman" w:hAnsi="Arial Narrow" w:cs="Arial"/>
                <w:sz w:val="16"/>
                <w:szCs w:val="16"/>
                <w:lang w:eastAsia="pt-BR"/>
              </w:rPr>
              <w:t>Fornecedores e Contas a Pagar a Curto Prazo</w:t>
            </w:r>
          </w:p>
        </w:tc>
        <w:tc>
          <w:tcPr>
            <w:tcW w:w="775" w:type="dxa"/>
            <w:tcBorders>
              <w:top w:val="nil"/>
              <w:bottom w:val="nil"/>
              <w:right w:val="single" w:sz="8" w:space="0" w:color="auto"/>
            </w:tcBorders>
            <w:shd w:val="clear" w:color="auto" w:fill="auto"/>
            <w:noWrap/>
            <w:vAlign w:val="center"/>
          </w:tcPr>
          <w:p w14:paraId="4177FA18" w14:textId="77777777" w:rsidR="005F7984" w:rsidRPr="009548D7" w:rsidRDefault="005F7984" w:rsidP="002315E1">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32C2387F" w14:textId="77777777" w:rsidR="005F7984" w:rsidRPr="009548D7" w:rsidRDefault="005F7984" w:rsidP="002315E1">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BPA.H017</w:t>
            </w:r>
          </w:p>
        </w:tc>
        <w:tc>
          <w:tcPr>
            <w:tcW w:w="1420" w:type="dxa"/>
            <w:tcBorders>
              <w:top w:val="nil"/>
              <w:left w:val="nil"/>
              <w:bottom w:val="nil"/>
              <w:right w:val="single" w:sz="8" w:space="0" w:color="auto"/>
            </w:tcBorders>
            <w:shd w:val="clear" w:color="auto" w:fill="auto"/>
            <w:noWrap/>
            <w:vAlign w:val="center"/>
            <w:hideMark/>
          </w:tcPr>
          <w:p w14:paraId="5FFE2871" w14:textId="77777777" w:rsidR="005F7984" w:rsidRPr="009548D7" w:rsidRDefault="005F7984" w:rsidP="002315E1">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BPA.I017</w:t>
            </w:r>
          </w:p>
        </w:tc>
      </w:tr>
      <w:tr w:rsidR="005F7984" w:rsidRPr="009548D7" w14:paraId="36FED8DF" w14:textId="77777777" w:rsidTr="002315E1">
        <w:trPr>
          <w:trHeight w:val="255"/>
        </w:trPr>
        <w:tc>
          <w:tcPr>
            <w:tcW w:w="4410" w:type="dxa"/>
            <w:tcBorders>
              <w:top w:val="nil"/>
              <w:left w:val="single" w:sz="8" w:space="0" w:color="auto"/>
              <w:bottom w:val="nil"/>
            </w:tcBorders>
            <w:shd w:val="clear" w:color="auto" w:fill="auto"/>
            <w:noWrap/>
            <w:vAlign w:val="center"/>
            <w:hideMark/>
          </w:tcPr>
          <w:p w14:paraId="3C66D9C0" w14:textId="0C568DB3" w:rsidR="005F7984" w:rsidRPr="009548D7" w:rsidRDefault="00283510" w:rsidP="00283510">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5F7984" w:rsidRPr="009548D7">
              <w:rPr>
                <w:rFonts w:ascii="Arial Narrow" w:eastAsia="Times New Roman" w:hAnsi="Arial Narrow" w:cs="Arial"/>
                <w:sz w:val="16"/>
                <w:szCs w:val="16"/>
                <w:lang w:eastAsia="pt-BR"/>
              </w:rPr>
              <w:t>Dívida Ativa Não Tributária</w:t>
            </w:r>
          </w:p>
        </w:tc>
        <w:tc>
          <w:tcPr>
            <w:tcW w:w="767" w:type="dxa"/>
            <w:tcBorders>
              <w:top w:val="nil"/>
              <w:bottom w:val="nil"/>
              <w:right w:val="single" w:sz="8" w:space="0" w:color="auto"/>
            </w:tcBorders>
            <w:shd w:val="clear" w:color="auto" w:fill="auto"/>
            <w:noWrap/>
            <w:vAlign w:val="center"/>
          </w:tcPr>
          <w:p w14:paraId="50BC5E09" w14:textId="77777777" w:rsidR="005F7984" w:rsidRPr="009548D7" w:rsidRDefault="005F7984" w:rsidP="002315E1">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65705D74" w14:textId="77777777" w:rsidR="005F7984" w:rsidRPr="009548D7" w:rsidRDefault="005F7984" w:rsidP="002315E1">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BPA.D018</w:t>
            </w:r>
          </w:p>
        </w:tc>
        <w:tc>
          <w:tcPr>
            <w:tcW w:w="1262" w:type="dxa"/>
            <w:tcBorders>
              <w:top w:val="nil"/>
              <w:left w:val="nil"/>
              <w:bottom w:val="nil"/>
              <w:right w:val="single" w:sz="8" w:space="0" w:color="auto"/>
            </w:tcBorders>
            <w:shd w:val="clear" w:color="auto" w:fill="auto"/>
            <w:noWrap/>
            <w:vAlign w:val="center"/>
            <w:hideMark/>
          </w:tcPr>
          <w:p w14:paraId="22BE1158" w14:textId="77777777" w:rsidR="005F7984" w:rsidRPr="009548D7" w:rsidRDefault="005F7984" w:rsidP="002315E1">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BPA.E018</w:t>
            </w:r>
          </w:p>
        </w:tc>
        <w:tc>
          <w:tcPr>
            <w:tcW w:w="4562" w:type="dxa"/>
            <w:tcBorders>
              <w:top w:val="nil"/>
              <w:left w:val="nil"/>
              <w:bottom w:val="nil"/>
            </w:tcBorders>
            <w:shd w:val="clear" w:color="auto" w:fill="auto"/>
            <w:noWrap/>
            <w:vAlign w:val="center"/>
            <w:hideMark/>
          </w:tcPr>
          <w:p w14:paraId="70AC2D84" w14:textId="6393CCC9" w:rsidR="005F7984" w:rsidRPr="009548D7" w:rsidRDefault="00283510" w:rsidP="00283510">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5F7984" w:rsidRPr="009548D7">
              <w:rPr>
                <w:rFonts w:ascii="Arial Narrow" w:eastAsia="Times New Roman" w:hAnsi="Arial Narrow" w:cs="Arial"/>
                <w:sz w:val="16"/>
                <w:szCs w:val="16"/>
                <w:lang w:eastAsia="pt-BR"/>
              </w:rPr>
              <w:t>Obrigações Fiscais a Curto Prazo</w:t>
            </w:r>
          </w:p>
        </w:tc>
        <w:tc>
          <w:tcPr>
            <w:tcW w:w="775" w:type="dxa"/>
            <w:tcBorders>
              <w:top w:val="nil"/>
              <w:bottom w:val="nil"/>
              <w:right w:val="single" w:sz="8" w:space="0" w:color="auto"/>
            </w:tcBorders>
            <w:shd w:val="clear" w:color="auto" w:fill="auto"/>
            <w:noWrap/>
            <w:vAlign w:val="center"/>
          </w:tcPr>
          <w:p w14:paraId="185B04E9" w14:textId="77777777" w:rsidR="005F7984" w:rsidRPr="009548D7" w:rsidRDefault="005F7984" w:rsidP="002315E1">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76D81E1B" w14:textId="77777777" w:rsidR="005F7984" w:rsidRPr="009548D7" w:rsidRDefault="005F7984" w:rsidP="002315E1">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BPA.H018</w:t>
            </w:r>
          </w:p>
        </w:tc>
        <w:tc>
          <w:tcPr>
            <w:tcW w:w="1420" w:type="dxa"/>
            <w:tcBorders>
              <w:top w:val="nil"/>
              <w:left w:val="nil"/>
              <w:bottom w:val="nil"/>
              <w:right w:val="single" w:sz="8" w:space="0" w:color="auto"/>
            </w:tcBorders>
            <w:shd w:val="clear" w:color="auto" w:fill="auto"/>
            <w:noWrap/>
            <w:vAlign w:val="center"/>
            <w:hideMark/>
          </w:tcPr>
          <w:p w14:paraId="5C07EC3D" w14:textId="77777777" w:rsidR="005F7984" w:rsidRPr="009548D7" w:rsidRDefault="005F7984" w:rsidP="002315E1">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BPA.I018</w:t>
            </w:r>
          </w:p>
        </w:tc>
      </w:tr>
      <w:tr w:rsidR="00AB2EE3" w:rsidRPr="009548D7" w14:paraId="35B45045" w14:textId="77777777" w:rsidTr="002315E1">
        <w:trPr>
          <w:trHeight w:val="255"/>
        </w:trPr>
        <w:tc>
          <w:tcPr>
            <w:tcW w:w="4410" w:type="dxa"/>
            <w:tcBorders>
              <w:top w:val="nil"/>
              <w:left w:val="single" w:sz="8" w:space="0" w:color="auto"/>
              <w:bottom w:val="nil"/>
            </w:tcBorders>
            <w:shd w:val="clear" w:color="auto" w:fill="auto"/>
            <w:noWrap/>
            <w:vAlign w:val="center"/>
          </w:tcPr>
          <w:p w14:paraId="3809634F" w14:textId="2472B720" w:rsidR="00AB2EE3" w:rsidRPr="009548D7" w:rsidRDefault="00283510" w:rsidP="00283510">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lastRenderedPageBreak/>
              <w:t xml:space="preserve">          </w:t>
            </w:r>
            <w:r w:rsidR="00AB2EE3" w:rsidRPr="009548D7">
              <w:rPr>
                <w:rFonts w:ascii="Arial Narrow" w:eastAsia="Times New Roman" w:hAnsi="Arial Narrow" w:cs="Arial"/>
                <w:sz w:val="16"/>
                <w:szCs w:val="16"/>
                <w:lang w:eastAsia="pt-BR"/>
              </w:rPr>
              <w:t>(-) Ajuste de Perdas de Créditos a Curto Prazo</w:t>
            </w:r>
          </w:p>
        </w:tc>
        <w:tc>
          <w:tcPr>
            <w:tcW w:w="767" w:type="dxa"/>
            <w:tcBorders>
              <w:top w:val="nil"/>
              <w:bottom w:val="nil"/>
              <w:right w:val="single" w:sz="8" w:space="0" w:color="auto"/>
            </w:tcBorders>
            <w:shd w:val="clear" w:color="auto" w:fill="auto"/>
            <w:noWrap/>
            <w:vAlign w:val="center"/>
          </w:tcPr>
          <w:p w14:paraId="5B33B24A" w14:textId="77777777" w:rsidR="00AB2EE3" w:rsidRPr="009548D7" w:rsidRDefault="00AB2EE3" w:rsidP="00AB2EE3">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tcPr>
          <w:p w14:paraId="694BA848" w14:textId="4AED0280" w:rsidR="00AB2EE3" w:rsidRPr="009548D7" w:rsidRDefault="00AB2EE3" w:rsidP="00AB2EE3">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BPA.D019</w:t>
            </w:r>
          </w:p>
        </w:tc>
        <w:tc>
          <w:tcPr>
            <w:tcW w:w="1262" w:type="dxa"/>
            <w:tcBorders>
              <w:top w:val="nil"/>
              <w:left w:val="nil"/>
              <w:bottom w:val="nil"/>
              <w:right w:val="single" w:sz="8" w:space="0" w:color="auto"/>
            </w:tcBorders>
            <w:shd w:val="clear" w:color="auto" w:fill="auto"/>
            <w:noWrap/>
            <w:vAlign w:val="center"/>
          </w:tcPr>
          <w:p w14:paraId="1683C579" w14:textId="0185CA49" w:rsidR="00AB2EE3" w:rsidRPr="009548D7" w:rsidRDefault="00AB2EE3" w:rsidP="00AB2EE3">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BPA.E019</w:t>
            </w:r>
          </w:p>
        </w:tc>
        <w:tc>
          <w:tcPr>
            <w:tcW w:w="4562" w:type="dxa"/>
            <w:tcBorders>
              <w:top w:val="nil"/>
              <w:left w:val="nil"/>
              <w:bottom w:val="nil"/>
            </w:tcBorders>
            <w:shd w:val="clear" w:color="auto" w:fill="auto"/>
            <w:noWrap/>
            <w:vAlign w:val="center"/>
          </w:tcPr>
          <w:p w14:paraId="583B7B56" w14:textId="7198BA25" w:rsidR="00AB2EE3" w:rsidRPr="009548D7" w:rsidRDefault="00283510" w:rsidP="00283510">
            <w:pPr>
              <w:spacing w:after="0" w:line="240" w:lineRule="auto"/>
              <w:rPr>
                <w:rFonts w:ascii="Arial Narrow" w:eastAsia="Times New Roman" w:hAnsi="Arial Narrow" w:cs="Arial"/>
                <w:sz w:val="16"/>
                <w:szCs w:val="16"/>
                <w:lang w:eastAsia="pt-BR"/>
              </w:rPr>
            </w:pPr>
            <w:r>
              <w:rPr>
                <w:rFonts w:ascii="Arial Narrow" w:eastAsia="Times New Roman" w:hAnsi="Arial Narrow" w:cs="Arial"/>
                <w:color w:val="0070C0"/>
                <w:sz w:val="16"/>
                <w:szCs w:val="16"/>
                <w:lang w:eastAsia="pt-BR"/>
              </w:rPr>
              <w:t xml:space="preserve">     </w:t>
            </w:r>
            <w:r w:rsidR="00AB2EE3" w:rsidRPr="00A552EC">
              <w:rPr>
                <w:rFonts w:ascii="Arial Narrow" w:eastAsia="Times New Roman" w:hAnsi="Arial Narrow" w:cs="Arial"/>
                <w:color w:val="0070C0"/>
                <w:sz w:val="16"/>
                <w:szCs w:val="16"/>
                <w:lang w:eastAsia="pt-BR"/>
              </w:rPr>
              <w:t>Tra</w:t>
            </w:r>
            <w:r w:rsidR="00AB2EE3">
              <w:rPr>
                <w:rFonts w:ascii="Arial Narrow" w:eastAsia="Times New Roman" w:hAnsi="Arial Narrow" w:cs="Arial"/>
                <w:color w:val="0070C0"/>
                <w:sz w:val="16"/>
                <w:szCs w:val="16"/>
                <w:lang w:eastAsia="pt-BR"/>
              </w:rPr>
              <w:t>n</w:t>
            </w:r>
            <w:r w:rsidR="00AB2EE3" w:rsidRPr="00A552EC">
              <w:rPr>
                <w:rFonts w:ascii="Arial Narrow" w:eastAsia="Times New Roman" w:hAnsi="Arial Narrow" w:cs="Arial"/>
                <w:color w:val="0070C0"/>
                <w:sz w:val="16"/>
                <w:szCs w:val="16"/>
                <w:lang w:eastAsia="pt-BR"/>
              </w:rPr>
              <w:t>sferências Fiscais a Curto Prazo</w:t>
            </w:r>
          </w:p>
        </w:tc>
        <w:tc>
          <w:tcPr>
            <w:tcW w:w="775" w:type="dxa"/>
            <w:tcBorders>
              <w:top w:val="nil"/>
              <w:bottom w:val="nil"/>
              <w:right w:val="single" w:sz="8" w:space="0" w:color="auto"/>
            </w:tcBorders>
            <w:shd w:val="clear" w:color="auto" w:fill="auto"/>
            <w:noWrap/>
            <w:vAlign w:val="center"/>
          </w:tcPr>
          <w:p w14:paraId="7CF77DE9" w14:textId="77777777" w:rsidR="00AB2EE3" w:rsidRPr="009548D7" w:rsidRDefault="00AB2EE3" w:rsidP="00AB2EE3">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tcPr>
          <w:p w14:paraId="3DA65486" w14:textId="78634BC7" w:rsidR="00AB2EE3" w:rsidRPr="009548D7" w:rsidRDefault="00AB2EE3" w:rsidP="00AB2EE3">
            <w:pPr>
              <w:spacing w:after="0" w:line="240" w:lineRule="auto"/>
              <w:jc w:val="center"/>
              <w:rPr>
                <w:rFonts w:ascii="Arial Narrow" w:eastAsia="Times New Roman" w:hAnsi="Arial Narrow" w:cs="Arial"/>
                <w:sz w:val="16"/>
                <w:szCs w:val="16"/>
                <w:lang w:eastAsia="pt-BR"/>
              </w:rPr>
            </w:pPr>
            <w:r w:rsidRPr="00151F1D">
              <w:rPr>
                <w:rFonts w:ascii="Arial Narrow" w:eastAsia="Times New Roman" w:hAnsi="Arial Narrow" w:cs="Arial"/>
                <w:color w:val="0070C0"/>
                <w:sz w:val="16"/>
                <w:szCs w:val="16"/>
                <w:lang w:eastAsia="pt-BR"/>
              </w:rPr>
              <w:t>BPA.H0</w:t>
            </w:r>
            <w:r>
              <w:rPr>
                <w:rFonts w:ascii="Arial Narrow" w:eastAsia="Times New Roman" w:hAnsi="Arial Narrow" w:cs="Arial"/>
                <w:color w:val="0070C0"/>
                <w:sz w:val="16"/>
                <w:szCs w:val="16"/>
                <w:lang w:eastAsia="pt-BR"/>
              </w:rPr>
              <w:t>91</w:t>
            </w:r>
          </w:p>
        </w:tc>
        <w:tc>
          <w:tcPr>
            <w:tcW w:w="1420" w:type="dxa"/>
            <w:tcBorders>
              <w:top w:val="nil"/>
              <w:left w:val="nil"/>
              <w:bottom w:val="nil"/>
              <w:right w:val="single" w:sz="8" w:space="0" w:color="auto"/>
            </w:tcBorders>
            <w:shd w:val="clear" w:color="auto" w:fill="auto"/>
            <w:noWrap/>
            <w:vAlign w:val="center"/>
          </w:tcPr>
          <w:p w14:paraId="31055C57" w14:textId="145F01EA" w:rsidR="00AB2EE3" w:rsidRPr="009548D7" w:rsidRDefault="00AB2EE3" w:rsidP="00AB2EE3">
            <w:pPr>
              <w:spacing w:after="0" w:line="240" w:lineRule="auto"/>
              <w:jc w:val="center"/>
              <w:rPr>
                <w:rFonts w:ascii="Arial Narrow" w:eastAsia="Times New Roman" w:hAnsi="Arial Narrow" w:cs="Arial"/>
                <w:sz w:val="16"/>
                <w:szCs w:val="16"/>
                <w:lang w:eastAsia="pt-BR"/>
              </w:rPr>
            </w:pPr>
            <w:r w:rsidRPr="00151F1D">
              <w:rPr>
                <w:rFonts w:ascii="Arial Narrow" w:eastAsia="Times New Roman" w:hAnsi="Arial Narrow" w:cs="Arial"/>
                <w:color w:val="0070C0"/>
                <w:sz w:val="16"/>
                <w:szCs w:val="16"/>
                <w:lang w:eastAsia="pt-BR"/>
              </w:rPr>
              <w:t>BPA.I0</w:t>
            </w:r>
            <w:r>
              <w:rPr>
                <w:rFonts w:ascii="Arial Narrow" w:eastAsia="Times New Roman" w:hAnsi="Arial Narrow" w:cs="Arial"/>
                <w:color w:val="0070C0"/>
                <w:sz w:val="16"/>
                <w:szCs w:val="16"/>
                <w:lang w:eastAsia="pt-BR"/>
              </w:rPr>
              <w:t>91</w:t>
            </w:r>
          </w:p>
        </w:tc>
      </w:tr>
      <w:tr w:rsidR="00AB2EE3" w:rsidRPr="009548D7" w14:paraId="0144DAF4" w14:textId="77777777" w:rsidTr="002315E1">
        <w:trPr>
          <w:trHeight w:val="255"/>
        </w:trPr>
        <w:tc>
          <w:tcPr>
            <w:tcW w:w="4410" w:type="dxa"/>
            <w:tcBorders>
              <w:top w:val="nil"/>
              <w:left w:val="single" w:sz="8" w:space="0" w:color="auto"/>
              <w:bottom w:val="nil"/>
            </w:tcBorders>
            <w:shd w:val="clear" w:color="auto" w:fill="auto"/>
            <w:noWrap/>
            <w:vAlign w:val="center"/>
          </w:tcPr>
          <w:p w14:paraId="69D2AE63" w14:textId="17104348" w:rsidR="00AB2EE3" w:rsidRPr="009548D7" w:rsidRDefault="00283510" w:rsidP="00283510">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AB2EE3" w:rsidRPr="009548D7">
              <w:rPr>
                <w:rFonts w:ascii="Arial Narrow" w:eastAsia="Times New Roman" w:hAnsi="Arial Narrow" w:cs="Arial"/>
                <w:sz w:val="16"/>
                <w:szCs w:val="16"/>
                <w:lang w:eastAsia="pt-BR"/>
              </w:rPr>
              <w:t>Demais Créditos e Valores a Curto Prazo</w:t>
            </w:r>
          </w:p>
        </w:tc>
        <w:tc>
          <w:tcPr>
            <w:tcW w:w="767" w:type="dxa"/>
            <w:tcBorders>
              <w:top w:val="nil"/>
              <w:bottom w:val="nil"/>
              <w:right w:val="single" w:sz="8" w:space="0" w:color="auto"/>
            </w:tcBorders>
            <w:shd w:val="clear" w:color="auto" w:fill="auto"/>
            <w:noWrap/>
            <w:vAlign w:val="center"/>
          </w:tcPr>
          <w:p w14:paraId="527901D4" w14:textId="77777777" w:rsidR="00AB2EE3" w:rsidRPr="009548D7" w:rsidRDefault="00AB2EE3" w:rsidP="00AB2EE3">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tcPr>
          <w:p w14:paraId="0747F125" w14:textId="0E6B33FC" w:rsidR="00AB2EE3" w:rsidRPr="009548D7" w:rsidRDefault="00AB2EE3" w:rsidP="00AB2EE3">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BPA.D020</w:t>
            </w:r>
          </w:p>
        </w:tc>
        <w:tc>
          <w:tcPr>
            <w:tcW w:w="1262" w:type="dxa"/>
            <w:tcBorders>
              <w:top w:val="nil"/>
              <w:left w:val="nil"/>
              <w:bottom w:val="nil"/>
              <w:right w:val="single" w:sz="8" w:space="0" w:color="auto"/>
            </w:tcBorders>
            <w:shd w:val="clear" w:color="auto" w:fill="auto"/>
            <w:noWrap/>
            <w:vAlign w:val="center"/>
          </w:tcPr>
          <w:p w14:paraId="6DFAC4B9" w14:textId="7EF8B12D" w:rsidR="00AB2EE3" w:rsidRPr="009548D7" w:rsidRDefault="00AB2EE3" w:rsidP="00AB2EE3">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BPA.E020</w:t>
            </w:r>
          </w:p>
        </w:tc>
        <w:tc>
          <w:tcPr>
            <w:tcW w:w="4562" w:type="dxa"/>
            <w:tcBorders>
              <w:top w:val="nil"/>
              <w:left w:val="nil"/>
              <w:bottom w:val="nil"/>
            </w:tcBorders>
            <w:shd w:val="clear" w:color="auto" w:fill="auto"/>
            <w:noWrap/>
            <w:vAlign w:val="center"/>
          </w:tcPr>
          <w:p w14:paraId="4859D475" w14:textId="77777777" w:rsidR="00AB2EE3" w:rsidRPr="00842791" w:rsidRDefault="00AB2EE3" w:rsidP="00AB2EE3">
            <w:pPr>
              <w:spacing w:after="0" w:line="240" w:lineRule="auto"/>
              <w:ind w:firstLineChars="100" w:firstLine="160"/>
              <w:rPr>
                <w:rFonts w:ascii="Arial Narrow" w:eastAsia="Times New Roman" w:hAnsi="Arial Narrow" w:cs="Arial"/>
                <w:strike/>
                <w:color w:val="FF0000"/>
                <w:sz w:val="16"/>
                <w:szCs w:val="16"/>
                <w:lang w:eastAsia="pt-BR"/>
              </w:rPr>
            </w:pPr>
            <w:r w:rsidRPr="00842791">
              <w:rPr>
                <w:rFonts w:ascii="Arial Narrow" w:eastAsia="Times New Roman" w:hAnsi="Arial Narrow" w:cs="Arial"/>
                <w:strike/>
                <w:color w:val="FF0000"/>
                <w:sz w:val="16"/>
                <w:szCs w:val="16"/>
                <w:lang w:eastAsia="pt-BR"/>
              </w:rPr>
              <w:t>Obrigações de Repartição a Outros Entes</w:t>
            </w:r>
          </w:p>
        </w:tc>
        <w:tc>
          <w:tcPr>
            <w:tcW w:w="775" w:type="dxa"/>
            <w:tcBorders>
              <w:top w:val="nil"/>
              <w:bottom w:val="nil"/>
              <w:right w:val="single" w:sz="8" w:space="0" w:color="auto"/>
            </w:tcBorders>
            <w:shd w:val="clear" w:color="auto" w:fill="auto"/>
            <w:noWrap/>
            <w:vAlign w:val="center"/>
          </w:tcPr>
          <w:p w14:paraId="39387208" w14:textId="77777777" w:rsidR="00AB2EE3" w:rsidRPr="00842791" w:rsidRDefault="00AB2EE3" w:rsidP="00AB2EE3">
            <w:pPr>
              <w:spacing w:after="0" w:line="240" w:lineRule="auto"/>
              <w:jc w:val="center"/>
              <w:rPr>
                <w:rFonts w:ascii="Arial Narrow" w:eastAsia="Times New Roman" w:hAnsi="Arial Narrow" w:cs="Arial"/>
                <w:strike/>
                <w:color w:val="FF0000"/>
                <w:sz w:val="16"/>
                <w:szCs w:val="16"/>
                <w:lang w:eastAsia="pt-BR"/>
              </w:rPr>
            </w:pPr>
          </w:p>
        </w:tc>
        <w:tc>
          <w:tcPr>
            <w:tcW w:w="1063" w:type="dxa"/>
            <w:tcBorders>
              <w:top w:val="nil"/>
              <w:left w:val="nil"/>
              <w:bottom w:val="nil"/>
              <w:right w:val="single" w:sz="8" w:space="0" w:color="auto"/>
            </w:tcBorders>
            <w:shd w:val="clear" w:color="auto" w:fill="auto"/>
            <w:noWrap/>
            <w:vAlign w:val="center"/>
          </w:tcPr>
          <w:p w14:paraId="457B7B77" w14:textId="77777777" w:rsidR="00AB2EE3" w:rsidRPr="00842791" w:rsidRDefault="00AB2EE3" w:rsidP="00AB2EE3">
            <w:pPr>
              <w:spacing w:after="0" w:line="240" w:lineRule="auto"/>
              <w:jc w:val="center"/>
              <w:rPr>
                <w:rFonts w:ascii="Arial Narrow" w:eastAsia="Times New Roman" w:hAnsi="Arial Narrow" w:cs="Arial"/>
                <w:strike/>
                <w:color w:val="FF0000"/>
                <w:sz w:val="16"/>
                <w:szCs w:val="16"/>
                <w:lang w:eastAsia="pt-BR"/>
              </w:rPr>
            </w:pPr>
            <w:r w:rsidRPr="00842791">
              <w:rPr>
                <w:rFonts w:ascii="Arial Narrow" w:eastAsia="Times New Roman" w:hAnsi="Arial Narrow" w:cs="Arial"/>
                <w:strike/>
                <w:color w:val="FF0000"/>
                <w:sz w:val="16"/>
                <w:szCs w:val="16"/>
                <w:lang w:eastAsia="pt-BR"/>
              </w:rPr>
              <w:t>BPA.H088</w:t>
            </w:r>
          </w:p>
        </w:tc>
        <w:tc>
          <w:tcPr>
            <w:tcW w:w="1420" w:type="dxa"/>
            <w:tcBorders>
              <w:top w:val="nil"/>
              <w:left w:val="nil"/>
              <w:bottom w:val="nil"/>
              <w:right w:val="single" w:sz="8" w:space="0" w:color="auto"/>
            </w:tcBorders>
            <w:shd w:val="clear" w:color="auto" w:fill="auto"/>
            <w:noWrap/>
            <w:vAlign w:val="center"/>
          </w:tcPr>
          <w:p w14:paraId="2D3C66EA" w14:textId="77777777" w:rsidR="00AB2EE3" w:rsidRPr="00842791" w:rsidRDefault="00AB2EE3" w:rsidP="00AB2EE3">
            <w:pPr>
              <w:spacing w:after="0" w:line="240" w:lineRule="auto"/>
              <w:jc w:val="center"/>
              <w:rPr>
                <w:rFonts w:ascii="Arial Narrow" w:eastAsia="Times New Roman" w:hAnsi="Arial Narrow" w:cs="Arial"/>
                <w:strike/>
                <w:color w:val="FF0000"/>
                <w:sz w:val="16"/>
                <w:szCs w:val="16"/>
                <w:lang w:eastAsia="pt-BR"/>
              </w:rPr>
            </w:pPr>
            <w:r w:rsidRPr="00842791">
              <w:rPr>
                <w:rFonts w:ascii="Arial Narrow" w:eastAsia="Times New Roman" w:hAnsi="Arial Narrow" w:cs="Arial"/>
                <w:strike/>
                <w:color w:val="FF0000"/>
                <w:sz w:val="16"/>
                <w:szCs w:val="16"/>
                <w:lang w:eastAsia="pt-BR"/>
              </w:rPr>
              <w:t>BPA.I088</w:t>
            </w:r>
          </w:p>
        </w:tc>
      </w:tr>
      <w:tr w:rsidR="00AB2EE3" w:rsidRPr="009548D7" w14:paraId="7FB93E77" w14:textId="77777777" w:rsidTr="002315E1">
        <w:trPr>
          <w:trHeight w:val="255"/>
        </w:trPr>
        <w:tc>
          <w:tcPr>
            <w:tcW w:w="4410" w:type="dxa"/>
            <w:tcBorders>
              <w:top w:val="nil"/>
              <w:left w:val="single" w:sz="8" w:space="0" w:color="auto"/>
              <w:bottom w:val="nil"/>
            </w:tcBorders>
            <w:shd w:val="clear" w:color="auto" w:fill="auto"/>
            <w:noWrap/>
            <w:vAlign w:val="center"/>
          </w:tcPr>
          <w:p w14:paraId="4990821B" w14:textId="5E816ECD" w:rsidR="00AB2EE3" w:rsidRPr="009548D7" w:rsidRDefault="00283510" w:rsidP="00283510">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AB2EE3" w:rsidRPr="009548D7">
              <w:rPr>
                <w:rFonts w:ascii="Arial Narrow" w:eastAsia="Times New Roman" w:hAnsi="Arial Narrow" w:cs="Arial"/>
                <w:sz w:val="16"/>
                <w:szCs w:val="16"/>
                <w:lang w:eastAsia="pt-BR"/>
              </w:rPr>
              <w:t>Investimentos e Aplicações Temporárias a Curto Prazo</w:t>
            </w:r>
          </w:p>
        </w:tc>
        <w:tc>
          <w:tcPr>
            <w:tcW w:w="767" w:type="dxa"/>
            <w:tcBorders>
              <w:top w:val="nil"/>
              <w:bottom w:val="nil"/>
              <w:right w:val="single" w:sz="8" w:space="0" w:color="auto"/>
            </w:tcBorders>
            <w:shd w:val="clear" w:color="auto" w:fill="auto"/>
            <w:noWrap/>
            <w:vAlign w:val="center"/>
          </w:tcPr>
          <w:p w14:paraId="47DC19E1" w14:textId="77777777" w:rsidR="00AB2EE3" w:rsidRPr="009548D7" w:rsidRDefault="00AB2EE3" w:rsidP="00AB2EE3">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tcPr>
          <w:p w14:paraId="61D9AA66" w14:textId="2CE48F48" w:rsidR="00AB2EE3" w:rsidRPr="009548D7" w:rsidRDefault="00AB2EE3" w:rsidP="00AB2EE3">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BPA.D021</w:t>
            </w:r>
          </w:p>
        </w:tc>
        <w:tc>
          <w:tcPr>
            <w:tcW w:w="1262" w:type="dxa"/>
            <w:tcBorders>
              <w:top w:val="nil"/>
              <w:left w:val="nil"/>
              <w:bottom w:val="nil"/>
              <w:right w:val="single" w:sz="8" w:space="0" w:color="auto"/>
            </w:tcBorders>
            <w:shd w:val="clear" w:color="auto" w:fill="auto"/>
            <w:noWrap/>
            <w:vAlign w:val="center"/>
          </w:tcPr>
          <w:p w14:paraId="766AE6D7" w14:textId="22E2E7BC" w:rsidR="00AB2EE3" w:rsidRPr="009548D7" w:rsidRDefault="00AB2EE3" w:rsidP="00AB2EE3">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BPA.E021</w:t>
            </w:r>
          </w:p>
        </w:tc>
        <w:tc>
          <w:tcPr>
            <w:tcW w:w="4562" w:type="dxa"/>
            <w:tcBorders>
              <w:top w:val="nil"/>
              <w:left w:val="nil"/>
              <w:bottom w:val="nil"/>
            </w:tcBorders>
            <w:shd w:val="clear" w:color="auto" w:fill="auto"/>
            <w:noWrap/>
            <w:vAlign w:val="center"/>
            <w:hideMark/>
          </w:tcPr>
          <w:p w14:paraId="7E26B37F" w14:textId="05498A9E" w:rsidR="00AB2EE3" w:rsidRPr="009548D7" w:rsidRDefault="00283510" w:rsidP="00283510">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AB2EE3" w:rsidRPr="009548D7">
              <w:rPr>
                <w:rFonts w:ascii="Arial Narrow" w:eastAsia="Times New Roman" w:hAnsi="Arial Narrow" w:cs="Arial"/>
                <w:sz w:val="16"/>
                <w:szCs w:val="16"/>
                <w:lang w:eastAsia="pt-BR"/>
              </w:rPr>
              <w:t>Provisões a Curto Prazo</w:t>
            </w:r>
          </w:p>
        </w:tc>
        <w:tc>
          <w:tcPr>
            <w:tcW w:w="775" w:type="dxa"/>
            <w:tcBorders>
              <w:top w:val="nil"/>
              <w:bottom w:val="nil"/>
              <w:right w:val="single" w:sz="8" w:space="0" w:color="auto"/>
            </w:tcBorders>
            <w:shd w:val="clear" w:color="auto" w:fill="auto"/>
            <w:noWrap/>
            <w:vAlign w:val="center"/>
          </w:tcPr>
          <w:p w14:paraId="2DC116D5" w14:textId="77777777" w:rsidR="00AB2EE3" w:rsidRPr="009548D7" w:rsidRDefault="00AB2EE3" w:rsidP="00AB2EE3">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6395C16B" w14:textId="77777777" w:rsidR="00AB2EE3" w:rsidRPr="009548D7" w:rsidRDefault="00AB2EE3" w:rsidP="00AB2EE3">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BPA.H019</w:t>
            </w:r>
          </w:p>
        </w:tc>
        <w:tc>
          <w:tcPr>
            <w:tcW w:w="1420" w:type="dxa"/>
            <w:tcBorders>
              <w:top w:val="nil"/>
              <w:left w:val="nil"/>
              <w:bottom w:val="nil"/>
              <w:right w:val="single" w:sz="8" w:space="0" w:color="auto"/>
            </w:tcBorders>
            <w:shd w:val="clear" w:color="auto" w:fill="auto"/>
            <w:noWrap/>
            <w:vAlign w:val="center"/>
            <w:hideMark/>
          </w:tcPr>
          <w:p w14:paraId="032A1020" w14:textId="77777777" w:rsidR="00AB2EE3" w:rsidRPr="009548D7" w:rsidRDefault="00AB2EE3" w:rsidP="00AB2EE3">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BPA.I019</w:t>
            </w:r>
          </w:p>
        </w:tc>
      </w:tr>
      <w:tr w:rsidR="00AB2EE3" w:rsidRPr="009548D7" w14:paraId="118E1BD6" w14:textId="77777777" w:rsidTr="002315E1">
        <w:trPr>
          <w:trHeight w:val="255"/>
        </w:trPr>
        <w:tc>
          <w:tcPr>
            <w:tcW w:w="4410" w:type="dxa"/>
            <w:tcBorders>
              <w:top w:val="nil"/>
              <w:left w:val="single" w:sz="8" w:space="0" w:color="auto"/>
              <w:bottom w:val="nil"/>
            </w:tcBorders>
            <w:shd w:val="clear" w:color="auto" w:fill="auto"/>
            <w:noWrap/>
            <w:vAlign w:val="center"/>
          </w:tcPr>
          <w:p w14:paraId="009E46D6" w14:textId="2E33E8E9" w:rsidR="00AB2EE3" w:rsidRPr="009548D7" w:rsidRDefault="00283510" w:rsidP="00283510">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AB2EE3" w:rsidRPr="009548D7">
              <w:rPr>
                <w:rFonts w:ascii="Arial Narrow" w:eastAsia="Times New Roman" w:hAnsi="Arial Narrow" w:cs="Arial"/>
                <w:sz w:val="16"/>
                <w:szCs w:val="16"/>
                <w:lang w:eastAsia="pt-BR"/>
              </w:rPr>
              <w:t>Estoques</w:t>
            </w:r>
          </w:p>
        </w:tc>
        <w:tc>
          <w:tcPr>
            <w:tcW w:w="767" w:type="dxa"/>
            <w:tcBorders>
              <w:top w:val="nil"/>
              <w:bottom w:val="nil"/>
              <w:right w:val="single" w:sz="8" w:space="0" w:color="auto"/>
            </w:tcBorders>
            <w:shd w:val="clear" w:color="auto" w:fill="auto"/>
            <w:noWrap/>
            <w:vAlign w:val="center"/>
          </w:tcPr>
          <w:p w14:paraId="53101DA3" w14:textId="77777777" w:rsidR="00AB2EE3" w:rsidRPr="009548D7" w:rsidRDefault="00AB2EE3" w:rsidP="00AB2EE3">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tcPr>
          <w:p w14:paraId="2C4DE244" w14:textId="4A2002FA" w:rsidR="00AB2EE3" w:rsidRPr="009548D7" w:rsidRDefault="00AB2EE3" w:rsidP="00AB2EE3">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BPA.D022</w:t>
            </w:r>
          </w:p>
        </w:tc>
        <w:tc>
          <w:tcPr>
            <w:tcW w:w="1262" w:type="dxa"/>
            <w:tcBorders>
              <w:top w:val="nil"/>
              <w:left w:val="nil"/>
              <w:bottom w:val="nil"/>
              <w:right w:val="single" w:sz="8" w:space="0" w:color="auto"/>
            </w:tcBorders>
            <w:shd w:val="clear" w:color="auto" w:fill="auto"/>
            <w:noWrap/>
            <w:vAlign w:val="center"/>
          </w:tcPr>
          <w:p w14:paraId="42EE06CC" w14:textId="4A02235F" w:rsidR="00AB2EE3" w:rsidRPr="009548D7" w:rsidRDefault="00AB2EE3" w:rsidP="00AB2EE3">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BPA.E022</w:t>
            </w:r>
          </w:p>
        </w:tc>
        <w:tc>
          <w:tcPr>
            <w:tcW w:w="4562" w:type="dxa"/>
            <w:tcBorders>
              <w:top w:val="nil"/>
              <w:left w:val="nil"/>
              <w:bottom w:val="nil"/>
            </w:tcBorders>
            <w:shd w:val="clear" w:color="000000" w:fill="FFFFFF"/>
            <w:noWrap/>
            <w:vAlign w:val="center"/>
            <w:hideMark/>
          </w:tcPr>
          <w:p w14:paraId="40878D83" w14:textId="21A03421" w:rsidR="00AB2EE3" w:rsidRPr="009548D7" w:rsidRDefault="00283510" w:rsidP="00283510">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AB2EE3" w:rsidRPr="009548D7">
              <w:rPr>
                <w:rFonts w:ascii="Arial Narrow" w:eastAsia="Times New Roman" w:hAnsi="Arial Narrow" w:cs="Arial"/>
                <w:sz w:val="16"/>
                <w:szCs w:val="16"/>
                <w:lang w:eastAsia="pt-BR"/>
              </w:rPr>
              <w:t>Provisões para Riscos Trabalhistas a Curto Prazo</w:t>
            </w:r>
          </w:p>
        </w:tc>
        <w:tc>
          <w:tcPr>
            <w:tcW w:w="775" w:type="dxa"/>
            <w:tcBorders>
              <w:top w:val="nil"/>
              <w:bottom w:val="nil"/>
              <w:right w:val="single" w:sz="8" w:space="0" w:color="auto"/>
            </w:tcBorders>
            <w:shd w:val="clear" w:color="auto" w:fill="auto"/>
            <w:noWrap/>
            <w:vAlign w:val="center"/>
          </w:tcPr>
          <w:p w14:paraId="2B4CA66B" w14:textId="77777777" w:rsidR="00AB2EE3" w:rsidRPr="009548D7" w:rsidRDefault="00AB2EE3" w:rsidP="00AB2EE3">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369929D1" w14:textId="77777777" w:rsidR="00AB2EE3" w:rsidRPr="009548D7" w:rsidRDefault="00AB2EE3" w:rsidP="00AB2EE3">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BPA.H020</w:t>
            </w:r>
          </w:p>
        </w:tc>
        <w:tc>
          <w:tcPr>
            <w:tcW w:w="1420" w:type="dxa"/>
            <w:tcBorders>
              <w:top w:val="nil"/>
              <w:left w:val="nil"/>
              <w:bottom w:val="nil"/>
              <w:right w:val="single" w:sz="8" w:space="0" w:color="auto"/>
            </w:tcBorders>
            <w:shd w:val="clear" w:color="auto" w:fill="auto"/>
            <w:noWrap/>
            <w:vAlign w:val="center"/>
            <w:hideMark/>
          </w:tcPr>
          <w:p w14:paraId="2CE613B0" w14:textId="77777777" w:rsidR="00AB2EE3" w:rsidRPr="009548D7" w:rsidRDefault="00AB2EE3" w:rsidP="00AB2EE3">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BPA.I020</w:t>
            </w:r>
          </w:p>
        </w:tc>
      </w:tr>
      <w:tr w:rsidR="00AB2EE3" w:rsidRPr="009548D7" w14:paraId="42E94C48" w14:textId="77777777" w:rsidTr="002315E1">
        <w:trPr>
          <w:trHeight w:val="255"/>
        </w:trPr>
        <w:tc>
          <w:tcPr>
            <w:tcW w:w="4410" w:type="dxa"/>
            <w:tcBorders>
              <w:top w:val="nil"/>
              <w:left w:val="single" w:sz="8" w:space="0" w:color="auto"/>
              <w:bottom w:val="nil"/>
            </w:tcBorders>
            <w:shd w:val="clear" w:color="auto" w:fill="auto"/>
            <w:noWrap/>
            <w:vAlign w:val="center"/>
          </w:tcPr>
          <w:p w14:paraId="13CE8C81" w14:textId="052C7FA3" w:rsidR="00AB2EE3" w:rsidRPr="009548D7" w:rsidRDefault="00283510" w:rsidP="00283510">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AB2EE3" w:rsidRPr="003D0024">
              <w:rPr>
                <w:rFonts w:ascii="Arial Narrow" w:eastAsia="Times New Roman" w:hAnsi="Arial Narrow" w:cs="Arial"/>
                <w:sz w:val="16"/>
                <w:szCs w:val="16"/>
                <w:lang w:eastAsia="pt-BR"/>
              </w:rPr>
              <w:t xml:space="preserve">Ativo não Circulante Mantido para Venda </w:t>
            </w:r>
          </w:p>
        </w:tc>
        <w:tc>
          <w:tcPr>
            <w:tcW w:w="767" w:type="dxa"/>
            <w:tcBorders>
              <w:top w:val="nil"/>
              <w:bottom w:val="nil"/>
              <w:right w:val="single" w:sz="8" w:space="0" w:color="auto"/>
            </w:tcBorders>
            <w:shd w:val="clear" w:color="auto" w:fill="auto"/>
            <w:noWrap/>
            <w:vAlign w:val="center"/>
          </w:tcPr>
          <w:p w14:paraId="75F0E755" w14:textId="77777777" w:rsidR="00AB2EE3" w:rsidRPr="009548D7" w:rsidRDefault="00AB2EE3" w:rsidP="00AB2EE3">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tcPr>
          <w:p w14:paraId="35E7AA1B" w14:textId="110B11A4" w:rsidR="00AB2EE3" w:rsidRPr="009548D7" w:rsidRDefault="00AB2EE3" w:rsidP="00AB2EE3">
            <w:pPr>
              <w:spacing w:after="0" w:line="240" w:lineRule="auto"/>
              <w:jc w:val="center"/>
              <w:rPr>
                <w:rFonts w:ascii="Arial Narrow" w:eastAsia="Times New Roman" w:hAnsi="Arial Narrow" w:cs="Arial"/>
                <w:sz w:val="16"/>
                <w:szCs w:val="16"/>
                <w:lang w:eastAsia="pt-BR"/>
              </w:rPr>
            </w:pPr>
            <w:r w:rsidRPr="003D0024">
              <w:rPr>
                <w:rFonts w:ascii="Arial Narrow" w:eastAsia="Times New Roman" w:hAnsi="Arial Narrow" w:cs="Arial"/>
                <w:sz w:val="16"/>
                <w:szCs w:val="16"/>
                <w:lang w:eastAsia="pt-BR"/>
              </w:rPr>
              <w:t>BPA.D072</w:t>
            </w:r>
          </w:p>
        </w:tc>
        <w:tc>
          <w:tcPr>
            <w:tcW w:w="1262" w:type="dxa"/>
            <w:tcBorders>
              <w:top w:val="nil"/>
              <w:left w:val="nil"/>
              <w:bottom w:val="nil"/>
              <w:right w:val="single" w:sz="8" w:space="0" w:color="auto"/>
            </w:tcBorders>
            <w:shd w:val="clear" w:color="auto" w:fill="auto"/>
            <w:noWrap/>
            <w:vAlign w:val="center"/>
          </w:tcPr>
          <w:p w14:paraId="13759BF6" w14:textId="403262CA" w:rsidR="00AB2EE3" w:rsidRPr="009548D7" w:rsidRDefault="00AB2EE3" w:rsidP="00AB2EE3">
            <w:pPr>
              <w:spacing w:after="0" w:line="240" w:lineRule="auto"/>
              <w:jc w:val="center"/>
              <w:rPr>
                <w:rFonts w:ascii="Arial Narrow" w:eastAsia="Times New Roman" w:hAnsi="Arial Narrow" w:cs="Arial"/>
                <w:sz w:val="16"/>
                <w:szCs w:val="16"/>
                <w:lang w:eastAsia="pt-BR"/>
              </w:rPr>
            </w:pPr>
            <w:r w:rsidRPr="003D0024">
              <w:rPr>
                <w:rFonts w:ascii="Arial Narrow" w:eastAsia="Times New Roman" w:hAnsi="Arial Narrow" w:cs="Arial"/>
                <w:sz w:val="16"/>
                <w:szCs w:val="16"/>
                <w:lang w:eastAsia="pt-BR"/>
              </w:rPr>
              <w:t>BPA.E072</w:t>
            </w:r>
          </w:p>
        </w:tc>
        <w:tc>
          <w:tcPr>
            <w:tcW w:w="4562" w:type="dxa"/>
            <w:tcBorders>
              <w:top w:val="nil"/>
              <w:left w:val="nil"/>
              <w:bottom w:val="nil"/>
            </w:tcBorders>
            <w:shd w:val="clear" w:color="000000" w:fill="FFFFFF"/>
            <w:noWrap/>
            <w:vAlign w:val="center"/>
            <w:hideMark/>
          </w:tcPr>
          <w:p w14:paraId="21ECF127" w14:textId="495018C0" w:rsidR="00AB2EE3" w:rsidRPr="009548D7" w:rsidRDefault="00283510" w:rsidP="00283510">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AB2EE3" w:rsidRPr="009548D7">
              <w:rPr>
                <w:rFonts w:ascii="Arial Narrow" w:eastAsia="Times New Roman" w:hAnsi="Arial Narrow" w:cs="Arial"/>
                <w:sz w:val="16"/>
                <w:szCs w:val="16"/>
                <w:lang w:eastAsia="pt-BR"/>
              </w:rPr>
              <w:t>Provisões para Riscos Fiscais a Curto Prazo</w:t>
            </w:r>
          </w:p>
        </w:tc>
        <w:tc>
          <w:tcPr>
            <w:tcW w:w="775" w:type="dxa"/>
            <w:tcBorders>
              <w:top w:val="nil"/>
              <w:bottom w:val="nil"/>
              <w:right w:val="single" w:sz="8" w:space="0" w:color="auto"/>
            </w:tcBorders>
            <w:shd w:val="clear" w:color="auto" w:fill="auto"/>
            <w:noWrap/>
            <w:vAlign w:val="center"/>
          </w:tcPr>
          <w:p w14:paraId="19EC3545" w14:textId="77777777" w:rsidR="00AB2EE3" w:rsidRPr="009548D7" w:rsidRDefault="00AB2EE3" w:rsidP="00AB2EE3">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15C45237" w14:textId="77777777" w:rsidR="00AB2EE3" w:rsidRPr="009548D7" w:rsidRDefault="00AB2EE3" w:rsidP="00AB2EE3">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BPA.H021</w:t>
            </w:r>
          </w:p>
        </w:tc>
        <w:tc>
          <w:tcPr>
            <w:tcW w:w="1420" w:type="dxa"/>
            <w:tcBorders>
              <w:top w:val="nil"/>
              <w:left w:val="nil"/>
              <w:bottom w:val="nil"/>
              <w:right w:val="single" w:sz="8" w:space="0" w:color="auto"/>
            </w:tcBorders>
            <w:shd w:val="clear" w:color="auto" w:fill="auto"/>
            <w:noWrap/>
            <w:vAlign w:val="center"/>
            <w:hideMark/>
          </w:tcPr>
          <w:p w14:paraId="2792B9A9" w14:textId="77777777" w:rsidR="00AB2EE3" w:rsidRPr="009548D7" w:rsidRDefault="00AB2EE3" w:rsidP="00AB2EE3">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BPA.I021</w:t>
            </w:r>
          </w:p>
        </w:tc>
      </w:tr>
      <w:tr w:rsidR="00AB2EE3" w:rsidRPr="009548D7" w14:paraId="7270FEF3" w14:textId="77777777" w:rsidTr="002315E1">
        <w:trPr>
          <w:trHeight w:val="255"/>
        </w:trPr>
        <w:tc>
          <w:tcPr>
            <w:tcW w:w="4410" w:type="dxa"/>
            <w:tcBorders>
              <w:top w:val="nil"/>
              <w:left w:val="single" w:sz="8" w:space="0" w:color="auto"/>
              <w:bottom w:val="nil"/>
            </w:tcBorders>
            <w:shd w:val="clear" w:color="auto" w:fill="auto"/>
            <w:noWrap/>
            <w:vAlign w:val="center"/>
          </w:tcPr>
          <w:p w14:paraId="0B202F5D" w14:textId="737D73B3" w:rsidR="00AB2EE3" w:rsidRPr="006B69C6" w:rsidRDefault="00283510" w:rsidP="00283510">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AB2EE3" w:rsidRPr="006B69C6">
              <w:rPr>
                <w:rFonts w:ascii="Arial Narrow" w:eastAsia="Times New Roman" w:hAnsi="Arial Narrow" w:cs="Arial"/>
                <w:sz w:val="16"/>
                <w:szCs w:val="16"/>
                <w:lang w:eastAsia="pt-BR"/>
              </w:rPr>
              <w:t>VPD Pagas Antecipadamente</w:t>
            </w:r>
          </w:p>
        </w:tc>
        <w:tc>
          <w:tcPr>
            <w:tcW w:w="767" w:type="dxa"/>
            <w:tcBorders>
              <w:top w:val="nil"/>
              <w:bottom w:val="nil"/>
              <w:right w:val="single" w:sz="8" w:space="0" w:color="auto"/>
            </w:tcBorders>
            <w:shd w:val="clear" w:color="auto" w:fill="auto"/>
            <w:noWrap/>
            <w:vAlign w:val="center"/>
          </w:tcPr>
          <w:p w14:paraId="6CC5C804" w14:textId="77777777" w:rsidR="00AB2EE3" w:rsidRPr="006B69C6" w:rsidRDefault="00AB2EE3" w:rsidP="00AB2EE3">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tcPr>
          <w:p w14:paraId="7A973B5C" w14:textId="63DF2A8F" w:rsidR="00AB2EE3" w:rsidRPr="006B69C6" w:rsidRDefault="00AB2EE3" w:rsidP="00AB2EE3">
            <w:pPr>
              <w:spacing w:after="0" w:line="240" w:lineRule="auto"/>
              <w:jc w:val="center"/>
              <w:rPr>
                <w:rFonts w:ascii="Arial Narrow" w:eastAsia="Times New Roman" w:hAnsi="Arial Narrow" w:cs="Arial"/>
                <w:sz w:val="16"/>
                <w:szCs w:val="16"/>
                <w:lang w:eastAsia="pt-BR"/>
              </w:rPr>
            </w:pPr>
            <w:r w:rsidRPr="006B69C6">
              <w:rPr>
                <w:rFonts w:ascii="Arial Narrow" w:eastAsia="Times New Roman" w:hAnsi="Arial Narrow" w:cs="Arial"/>
                <w:sz w:val="16"/>
                <w:szCs w:val="16"/>
                <w:lang w:eastAsia="pt-BR"/>
              </w:rPr>
              <w:t>BPA.D023</w:t>
            </w:r>
          </w:p>
        </w:tc>
        <w:tc>
          <w:tcPr>
            <w:tcW w:w="1262" w:type="dxa"/>
            <w:tcBorders>
              <w:top w:val="nil"/>
              <w:left w:val="nil"/>
              <w:bottom w:val="nil"/>
              <w:right w:val="single" w:sz="8" w:space="0" w:color="auto"/>
            </w:tcBorders>
            <w:shd w:val="clear" w:color="auto" w:fill="auto"/>
            <w:noWrap/>
            <w:vAlign w:val="center"/>
          </w:tcPr>
          <w:p w14:paraId="16CD26A5" w14:textId="12D8343A" w:rsidR="00AB2EE3" w:rsidRPr="006B69C6" w:rsidRDefault="00AB2EE3" w:rsidP="00AB2EE3">
            <w:pPr>
              <w:spacing w:after="0" w:line="240" w:lineRule="auto"/>
              <w:jc w:val="center"/>
              <w:rPr>
                <w:rFonts w:ascii="Arial Narrow" w:eastAsia="Times New Roman" w:hAnsi="Arial Narrow" w:cs="Arial"/>
                <w:sz w:val="16"/>
                <w:szCs w:val="16"/>
                <w:lang w:eastAsia="pt-BR"/>
              </w:rPr>
            </w:pPr>
            <w:r w:rsidRPr="006B69C6">
              <w:rPr>
                <w:rFonts w:ascii="Arial Narrow" w:eastAsia="Times New Roman" w:hAnsi="Arial Narrow" w:cs="Arial"/>
                <w:sz w:val="16"/>
                <w:szCs w:val="16"/>
                <w:lang w:eastAsia="pt-BR"/>
              </w:rPr>
              <w:t>BPA.E023</w:t>
            </w:r>
          </w:p>
        </w:tc>
        <w:tc>
          <w:tcPr>
            <w:tcW w:w="4562" w:type="dxa"/>
            <w:tcBorders>
              <w:top w:val="nil"/>
              <w:left w:val="nil"/>
              <w:bottom w:val="nil"/>
            </w:tcBorders>
            <w:shd w:val="clear" w:color="000000" w:fill="FFFFFF"/>
            <w:noWrap/>
            <w:vAlign w:val="center"/>
            <w:hideMark/>
          </w:tcPr>
          <w:p w14:paraId="575042E9" w14:textId="5015D410" w:rsidR="00AB2EE3" w:rsidRPr="009548D7" w:rsidRDefault="00283510" w:rsidP="00283510">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AB2EE3" w:rsidRPr="009548D7">
              <w:rPr>
                <w:rFonts w:ascii="Arial Narrow" w:eastAsia="Times New Roman" w:hAnsi="Arial Narrow" w:cs="Arial"/>
                <w:sz w:val="16"/>
                <w:szCs w:val="16"/>
                <w:lang w:eastAsia="pt-BR"/>
              </w:rPr>
              <w:t>Provisões para Riscos Cíveis a Curto Prazo</w:t>
            </w:r>
          </w:p>
        </w:tc>
        <w:tc>
          <w:tcPr>
            <w:tcW w:w="775" w:type="dxa"/>
            <w:tcBorders>
              <w:top w:val="nil"/>
              <w:bottom w:val="nil"/>
              <w:right w:val="single" w:sz="8" w:space="0" w:color="auto"/>
            </w:tcBorders>
            <w:shd w:val="clear" w:color="auto" w:fill="auto"/>
            <w:noWrap/>
            <w:vAlign w:val="center"/>
          </w:tcPr>
          <w:p w14:paraId="3D23BC9C" w14:textId="77777777" w:rsidR="00AB2EE3" w:rsidRPr="009548D7" w:rsidRDefault="00AB2EE3" w:rsidP="00AB2EE3">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1F078FF4" w14:textId="77777777" w:rsidR="00AB2EE3" w:rsidRPr="009548D7" w:rsidRDefault="00AB2EE3" w:rsidP="00AB2EE3">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BPA.H022</w:t>
            </w:r>
          </w:p>
        </w:tc>
        <w:tc>
          <w:tcPr>
            <w:tcW w:w="1420" w:type="dxa"/>
            <w:tcBorders>
              <w:top w:val="nil"/>
              <w:left w:val="nil"/>
              <w:bottom w:val="nil"/>
              <w:right w:val="single" w:sz="8" w:space="0" w:color="auto"/>
            </w:tcBorders>
            <w:shd w:val="clear" w:color="auto" w:fill="auto"/>
            <w:noWrap/>
            <w:vAlign w:val="center"/>
            <w:hideMark/>
          </w:tcPr>
          <w:p w14:paraId="002A50F9" w14:textId="77777777" w:rsidR="00AB2EE3" w:rsidRPr="009548D7" w:rsidRDefault="00AB2EE3" w:rsidP="00AB2EE3">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BPA.I022</w:t>
            </w:r>
          </w:p>
        </w:tc>
      </w:tr>
      <w:tr w:rsidR="00AB2EE3" w:rsidRPr="009548D7" w14:paraId="026B0141" w14:textId="77777777" w:rsidTr="002315E1">
        <w:trPr>
          <w:trHeight w:hRule="exact" w:val="232"/>
        </w:trPr>
        <w:tc>
          <w:tcPr>
            <w:tcW w:w="4410" w:type="dxa"/>
            <w:tcBorders>
              <w:top w:val="nil"/>
              <w:left w:val="single" w:sz="8" w:space="0" w:color="auto"/>
              <w:bottom w:val="nil"/>
            </w:tcBorders>
            <w:shd w:val="clear" w:color="auto" w:fill="auto"/>
            <w:noWrap/>
            <w:vAlign w:val="center"/>
          </w:tcPr>
          <w:p w14:paraId="73F1ADB5" w14:textId="3E683043" w:rsidR="00AB2EE3" w:rsidRPr="006B69C6" w:rsidRDefault="00AB2EE3" w:rsidP="00AB2EE3">
            <w:pPr>
              <w:spacing w:after="0" w:line="240" w:lineRule="auto"/>
              <w:ind w:firstLineChars="100" w:firstLine="160"/>
              <w:rPr>
                <w:rFonts w:ascii="Arial Narrow" w:eastAsia="Times New Roman" w:hAnsi="Arial Narrow" w:cs="Arial"/>
                <w:sz w:val="16"/>
                <w:szCs w:val="16"/>
                <w:lang w:eastAsia="pt-BR"/>
              </w:rPr>
            </w:pPr>
          </w:p>
        </w:tc>
        <w:tc>
          <w:tcPr>
            <w:tcW w:w="767" w:type="dxa"/>
            <w:tcBorders>
              <w:top w:val="nil"/>
              <w:bottom w:val="nil"/>
              <w:right w:val="single" w:sz="8" w:space="0" w:color="auto"/>
            </w:tcBorders>
            <w:shd w:val="clear" w:color="auto" w:fill="auto"/>
            <w:noWrap/>
            <w:vAlign w:val="center"/>
          </w:tcPr>
          <w:p w14:paraId="19A1E388" w14:textId="77777777" w:rsidR="00AB2EE3" w:rsidRPr="006B69C6" w:rsidRDefault="00AB2EE3" w:rsidP="00AB2EE3">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tcPr>
          <w:p w14:paraId="72A285BC" w14:textId="54543AFF" w:rsidR="00AB2EE3" w:rsidRPr="006B69C6" w:rsidRDefault="00AB2EE3" w:rsidP="00AB2EE3">
            <w:pPr>
              <w:spacing w:after="0" w:line="240" w:lineRule="auto"/>
              <w:jc w:val="center"/>
              <w:rPr>
                <w:rFonts w:ascii="Arial Narrow" w:eastAsia="Times New Roman" w:hAnsi="Arial Narrow" w:cs="Arial"/>
                <w:sz w:val="16"/>
                <w:szCs w:val="16"/>
                <w:lang w:eastAsia="pt-BR"/>
              </w:rPr>
            </w:pPr>
          </w:p>
        </w:tc>
        <w:tc>
          <w:tcPr>
            <w:tcW w:w="1262" w:type="dxa"/>
            <w:tcBorders>
              <w:top w:val="nil"/>
              <w:left w:val="nil"/>
              <w:bottom w:val="nil"/>
              <w:right w:val="single" w:sz="8" w:space="0" w:color="auto"/>
            </w:tcBorders>
            <w:shd w:val="clear" w:color="auto" w:fill="auto"/>
            <w:noWrap/>
            <w:vAlign w:val="center"/>
          </w:tcPr>
          <w:p w14:paraId="5FF17960" w14:textId="0B5844CE" w:rsidR="00AB2EE3" w:rsidRPr="006B69C6" w:rsidRDefault="00AB2EE3" w:rsidP="00AB2EE3">
            <w:pPr>
              <w:spacing w:after="0" w:line="240" w:lineRule="auto"/>
              <w:jc w:val="center"/>
              <w:rPr>
                <w:rFonts w:ascii="Arial Narrow" w:eastAsia="Times New Roman" w:hAnsi="Arial Narrow" w:cs="Arial"/>
                <w:sz w:val="16"/>
                <w:szCs w:val="16"/>
                <w:lang w:eastAsia="pt-BR"/>
              </w:rPr>
            </w:pPr>
          </w:p>
        </w:tc>
        <w:tc>
          <w:tcPr>
            <w:tcW w:w="4562" w:type="dxa"/>
            <w:tcBorders>
              <w:top w:val="nil"/>
              <w:left w:val="nil"/>
              <w:bottom w:val="nil"/>
            </w:tcBorders>
            <w:shd w:val="clear" w:color="000000" w:fill="FFFFFF"/>
            <w:noWrap/>
            <w:vAlign w:val="center"/>
          </w:tcPr>
          <w:p w14:paraId="4DCA5049" w14:textId="091D3FF7" w:rsidR="00AB2EE3" w:rsidRPr="003D0024" w:rsidRDefault="00283510" w:rsidP="00283510">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AB2EE3" w:rsidRPr="003D0024">
              <w:rPr>
                <w:rFonts w:ascii="Arial Narrow" w:eastAsia="Times New Roman" w:hAnsi="Arial Narrow" w:cs="Arial"/>
                <w:sz w:val="16"/>
                <w:szCs w:val="16"/>
                <w:lang w:eastAsia="pt-BR"/>
              </w:rPr>
              <w:t>Provisão para Repartição de Créditos a Curto Prazo</w:t>
            </w:r>
          </w:p>
          <w:p w14:paraId="6576D663" w14:textId="77777777" w:rsidR="00AB2EE3" w:rsidRPr="006B69C6" w:rsidRDefault="00AB2EE3" w:rsidP="00AB2EE3">
            <w:pPr>
              <w:spacing w:after="0" w:line="240" w:lineRule="auto"/>
              <w:ind w:firstLineChars="200" w:firstLine="320"/>
              <w:rPr>
                <w:rFonts w:ascii="Arial Narrow" w:eastAsia="Times New Roman" w:hAnsi="Arial Narrow" w:cs="Arial"/>
                <w:sz w:val="16"/>
                <w:szCs w:val="16"/>
                <w:lang w:eastAsia="pt-BR"/>
              </w:rPr>
            </w:pPr>
          </w:p>
        </w:tc>
        <w:tc>
          <w:tcPr>
            <w:tcW w:w="775" w:type="dxa"/>
            <w:tcBorders>
              <w:top w:val="nil"/>
              <w:bottom w:val="nil"/>
              <w:right w:val="single" w:sz="8" w:space="0" w:color="auto"/>
            </w:tcBorders>
            <w:shd w:val="clear" w:color="auto" w:fill="auto"/>
            <w:noWrap/>
            <w:vAlign w:val="center"/>
          </w:tcPr>
          <w:p w14:paraId="1B0B73F3" w14:textId="77777777" w:rsidR="00AB2EE3" w:rsidRPr="003D0024" w:rsidRDefault="00AB2EE3" w:rsidP="00AB2EE3">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tcPr>
          <w:p w14:paraId="216BFEE8" w14:textId="77777777" w:rsidR="00AB2EE3" w:rsidRPr="003D0024" w:rsidRDefault="00AB2EE3" w:rsidP="00AB2EE3">
            <w:pPr>
              <w:spacing w:after="0" w:line="240" w:lineRule="auto"/>
              <w:jc w:val="center"/>
              <w:rPr>
                <w:rFonts w:ascii="Arial Narrow" w:eastAsia="Times New Roman" w:hAnsi="Arial Narrow" w:cs="Arial"/>
                <w:sz w:val="16"/>
                <w:szCs w:val="16"/>
                <w:lang w:eastAsia="pt-BR"/>
              </w:rPr>
            </w:pPr>
            <w:r w:rsidRPr="003D0024">
              <w:rPr>
                <w:rFonts w:ascii="Arial Narrow" w:eastAsia="Times New Roman" w:hAnsi="Arial Narrow" w:cs="Arial"/>
                <w:sz w:val="16"/>
                <w:szCs w:val="16"/>
                <w:lang w:eastAsia="pt-BR"/>
              </w:rPr>
              <w:t>BPA.H089</w:t>
            </w:r>
          </w:p>
        </w:tc>
        <w:tc>
          <w:tcPr>
            <w:tcW w:w="1420" w:type="dxa"/>
            <w:tcBorders>
              <w:top w:val="nil"/>
              <w:left w:val="nil"/>
              <w:bottom w:val="nil"/>
              <w:right w:val="single" w:sz="8" w:space="0" w:color="auto"/>
            </w:tcBorders>
            <w:shd w:val="clear" w:color="auto" w:fill="auto"/>
            <w:noWrap/>
            <w:vAlign w:val="center"/>
          </w:tcPr>
          <w:p w14:paraId="471EC4A6" w14:textId="77777777" w:rsidR="00AB2EE3" w:rsidRPr="003D0024" w:rsidRDefault="00AB2EE3" w:rsidP="00AB2EE3">
            <w:pPr>
              <w:spacing w:after="0" w:line="240" w:lineRule="auto"/>
              <w:jc w:val="center"/>
              <w:rPr>
                <w:rFonts w:ascii="Arial Narrow" w:eastAsia="Times New Roman" w:hAnsi="Arial Narrow" w:cs="Arial"/>
                <w:sz w:val="16"/>
                <w:szCs w:val="16"/>
                <w:lang w:eastAsia="pt-BR"/>
              </w:rPr>
            </w:pPr>
            <w:r w:rsidRPr="003D0024">
              <w:rPr>
                <w:rFonts w:ascii="Arial Narrow" w:eastAsia="Times New Roman" w:hAnsi="Arial Narrow" w:cs="Arial"/>
                <w:sz w:val="16"/>
                <w:szCs w:val="16"/>
                <w:lang w:eastAsia="pt-BR"/>
              </w:rPr>
              <w:t>BPA.I089</w:t>
            </w:r>
          </w:p>
        </w:tc>
      </w:tr>
      <w:tr w:rsidR="00AB2EE3" w:rsidRPr="009548D7" w14:paraId="50B13734" w14:textId="77777777" w:rsidTr="002315E1">
        <w:trPr>
          <w:trHeight w:hRule="exact" w:val="232"/>
        </w:trPr>
        <w:tc>
          <w:tcPr>
            <w:tcW w:w="4410" w:type="dxa"/>
            <w:tcBorders>
              <w:top w:val="nil"/>
              <w:left w:val="single" w:sz="8" w:space="0" w:color="auto"/>
              <w:bottom w:val="nil"/>
            </w:tcBorders>
            <w:shd w:val="clear" w:color="auto" w:fill="auto"/>
            <w:noWrap/>
            <w:vAlign w:val="center"/>
          </w:tcPr>
          <w:p w14:paraId="5E1BD222" w14:textId="77777777" w:rsidR="00AB2EE3" w:rsidRPr="006B69C6" w:rsidRDefault="00AB2EE3" w:rsidP="00AB2EE3">
            <w:pPr>
              <w:ind w:firstLineChars="100" w:firstLine="160"/>
              <w:rPr>
                <w:rFonts w:ascii="Arial Narrow" w:eastAsia="Times New Roman" w:hAnsi="Arial Narrow" w:cs="Arial"/>
                <w:sz w:val="16"/>
                <w:szCs w:val="16"/>
                <w:lang w:eastAsia="pt-BR"/>
              </w:rPr>
            </w:pPr>
          </w:p>
        </w:tc>
        <w:tc>
          <w:tcPr>
            <w:tcW w:w="767" w:type="dxa"/>
            <w:tcBorders>
              <w:top w:val="nil"/>
              <w:bottom w:val="nil"/>
              <w:right w:val="single" w:sz="8" w:space="0" w:color="auto"/>
            </w:tcBorders>
            <w:shd w:val="clear" w:color="auto" w:fill="auto"/>
            <w:noWrap/>
            <w:vAlign w:val="center"/>
          </w:tcPr>
          <w:p w14:paraId="6C59530B" w14:textId="77777777" w:rsidR="00AB2EE3" w:rsidRPr="006B69C6" w:rsidRDefault="00AB2EE3" w:rsidP="00AB2EE3">
            <w:pPr>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tcPr>
          <w:p w14:paraId="39D3C508" w14:textId="77777777" w:rsidR="00AB2EE3" w:rsidRPr="006B69C6" w:rsidRDefault="00AB2EE3" w:rsidP="00AB2EE3">
            <w:pPr>
              <w:jc w:val="center"/>
              <w:rPr>
                <w:rFonts w:ascii="Arial Narrow" w:eastAsia="Times New Roman" w:hAnsi="Arial Narrow" w:cs="Arial"/>
                <w:sz w:val="16"/>
                <w:szCs w:val="16"/>
                <w:lang w:eastAsia="pt-BR"/>
              </w:rPr>
            </w:pPr>
          </w:p>
        </w:tc>
        <w:tc>
          <w:tcPr>
            <w:tcW w:w="1262" w:type="dxa"/>
            <w:tcBorders>
              <w:top w:val="nil"/>
              <w:left w:val="nil"/>
              <w:bottom w:val="nil"/>
              <w:right w:val="single" w:sz="8" w:space="0" w:color="auto"/>
            </w:tcBorders>
            <w:shd w:val="clear" w:color="auto" w:fill="auto"/>
            <w:noWrap/>
            <w:vAlign w:val="center"/>
          </w:tcPr>
          <w:p w14:paraId="0C3A9D73" w14:textId="77777777" w:rsidR="00AB2EE3" w:rsidRPr="006B69C6" w:rsidRDefault="00AB2EE3" w:rsidP="00AB2EE3">
            <w:pPr>
              <w:jc w:val="center"/>
              <w:rPr>
                <w:rFonts w:ascii="Arial Narrow" w:eastAsia="Times New Roman" w:hAnsi="Arial Narrow" w:cs="Arial"/>
                <w:sz w:val="16"/>
                <w:szCs w:val="16"/>
                <w:lang w:eastAsia="pt-BR"/>
              </w:rPr>
            </w:pPr>
          </w:p>
        </w:tc>
        <w:tc>
          <w:tcPr>
            <w:tcW w:w="4562" w:type="dxa"/>
            <w:tcBorders>
              <w:top w:val="nil"/>
              <w:left w:val="nil"/>
              <w:bottom w:val="nil"/>
            </w:tcBorders>
            <w:shd w:val="clear" w:color="000000" w:fill="FFFFFF"/>
            <w:noWrap/>
            <w:vAlign w:val="center"/>
          </w:tcPr>
          <w:p w14:paraId="3FB6FA94" w14:textId="724838F2" w:rsidR="00AB2EE3" w:rsidRPr="006B69C6" w:rsidRDefault="00283510" w:rsidP="00283510">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AB2EE3" w:rsidRPr="006B69C6">
              <w:rPr>
                <w:rFonts w:ascii="Arial Narrow" w:eastAsia="Times New Roman" w:hAnsi="Arial Narrow" w:cs="Arial"/>
                <w:sz w:val="16"/>
                <w:szCs w:val="16"/>
                <w:lang w:eastAsia="pt-BR"/>
              </w:rPr>
              <w:t>Provisões p/Riscos Decorrentes de Contratos de PPP a Curto Prazo</w:t>
            </w:r>
          </w:p>
        </w:tc>
        <w:tc>
          <w:tcPr>
            <w:tcW w:w="775" w:type="dxa"/>
            <w:tcBorders>
              <w:top w:val="nil"/>
              <w:bottom w:val="nil"/>
              <w:right w:val="single" w:sz="8" w:space="0" w:color="auto"/>
            </w:tcBorders>
            <w:shd w:val="clear" w:color="auto" w:fill="auto"/>
            <w:noWrap/>
            <w:vAlign w:val="center"/>
          </w:tcPr>
          <w:p w14:paraId="69B7C346" w14:textId="77777777" w:rsidR="00AB2EE3" w:rsidRPr="006B69C6" w:rsidRDefault="00AB2EE3" w:rsidP="00AB2EE3">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tcPr>
          <w:p w14:paraId="49CB4785" w14:textId="77777777" w:rsidR="00AB2EE3" w:rsidRPr="006B69C6" w:rsidRDefault="00AB2EE3" w:rsidP="00AB2EE3">
            <w:pPr>
              <w:spacing w:after="0" w:line="240" w:lineRule="auto"/>
              <w:jc w:val="center"/>
              <w:rPr>
                <w:rFonts w:ascii="Arial Narrow" w:eastAsia="Times New Roman" w:hAnsi="Arial Narrow" w:cs="Arial"/>
                <w:sz w:val="16"/>
                <w:szCs w:val="16"/>
                <w:lang w:eastAsia="pt-BR"/>
              </w:rPr>
            </w:pPr>
            <w:r w:rsidRPr="006B69C6">
              <w:rPr>
                <w:rFonts w:ascii="Arial Narrow" w:eastAsia="Times New Roman" w:hAnsi="Arial Narrow" w:cs="Arial"/>
                <w:sz w:val="16"/>
                <w:szCs w:val="16"/>
                <w:lang w:eastAsia="pt-BR"/>
              </w:rPr>
              <w:t>BPA.H023</w:t>
            </w:r>
          </w:p>
        </w:tc>
        <w:tc>
          <w:tcPr>
            <w:tcW w:w="1420" w:type="dxa"/>
            <w:tcBorders>
              <w:top w:val="nil"/>
              <w:left w:val="nil"/>
              <w:bottom w:val="nil"/>
              <w:right w:val="single" w:sz="8" w:space="0" w:color="auto"/>
            </w:tcBorders>
            <w:shd w:val="clear" w:color="auto" w:fill="auto"/>
            <w:noWrap/>
            <w:vAlign w:val="center"/>
          </w:tcPr>
          <w:p w14:paraId="16839329" w14:textId="77777777" w:rsidR="00AB2EE3" w:rsidRPr="006B69C6" w:rsidRDefault="00AB2EE3" w:rsidP="00AB2EE3">
            <w:pPr>
              <w:spacing w:after="0" w:line="240" w:lineRule="auto"/>
              <w:jc w:val="center"/>
              <w:rPr>
                <w:rFonts w:ascii="Arial Narrow" w:eastAsia="Times New Roman" w:hAnsi="Arial Narrow" w:cs="Arial"/>
                <w:sz w:val="16"/>
                <w:szCs w:val="16"/>
                <w:lang w:eastAsia="pt-BR"/>
              </w:rPr>
            </w:pPr>
            <w:r w:rsidRPr="006B69C6">
              <w:rPr>
                <w:rFonts w:ascii="Arial Narrow" w:eastAsia="Times New Roman" w:hAnsi="Arial Narrow" w:cs="Arial"/>
                <w:sz w:val="16"/>
                <w:szCs w:val="16"/>
                <w:lang w:eastAsia="pt-BR"/>
              </w:rPr>
              <w:t>BPA.I023</w:t>
            </w:r>
          </w:p>
        </w:tc>
      </w:tr>
      <w:tr w:rsidR="00AB2EE3" w:rsidRPr="009548D7" w14:paraId="337A9AAD" w14:textId="77777777" w:rsidTr="002315E1">
        <w:trPr>
          <w:trHeight w:hRule="exact" w:val="227"/>
        </w:trPr>
        <w:tc>
          <w:tcPr>
            <w:tcW w:w="4410" w:type="dxa"/>
            <w:tcBorders>
              <w:top w:val="nil"/>
              <w:left w:val="single" w:sz="8" w:space="0" w:color="auto"/>
              <w:bottom w:val="nil"/>
            </w:tcBorders>
            <w:shd w:val="clear" w:color="auto" w:fill="auto"/>
            <w:noWrap/>
            <w:vAlign w:val="center"/>
          </w:tcPr>
          <w:p w14:paraId="399F9F48" w14:textId="77777777" w:rsidR="00AB2EE3" w:rsidRPr="006B69C6" w:rsidRDefault="00AB2EE3" w:rsidP="00AB2EE3">
            <w:pPr>
              <w:spacing w:after="0" w:line="240" w:lineRule="auto"/>
              <w:ind w:firstLineChars="100" w:firstLine="160"/>
              <w:rPr>
                <w:rFonts w:ascii="Arial Narrow" w:eastAsia="Times New Roman" w:hAnsi="Arial Narrow" w:cs="Arial"/>
                <w:sz w:val="16"/>
                <w:szCs w:val="16"/>
                <w:lang w:eastAsia="pt-BR"/>
              </w:rPr>
            </w:pPr>
          </w:p>
        </w:tc>
        <w:tc>
          <w:tcPr>
            <w:tcW w:w="767" w:type="dxa"/>
            <w:tcBorders>
              <w:top w:val="nil"/>
              <w:bottom w:val="nil"/>
              <w:right w:val="single" w:sz="8" w:space="0" w:color="auto"/>
            </w:tcBorders>
            <w:shd w:val="clear" w:color="auto" w:fill="auto"/>
            <w:noWrap/>
            <w:vAlign w:val="center"/>
          </w:tcPr>
          <w:p w14:paraId="3BAE5B62" w14:textId="77777777" w:rsidR="00AB2EE3" w:rsidRPr="006B69C6" w:rsidRDefault="00AB2EE3" w:rsidP="00AB2EE3">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tcPr>
          <w:p w14:paraId="2AF48A5B" w14:textId="77777777" w:rsidR="00AB2EE3" w:rsidRPr="006B69C6" w:rsidRDefault="00AB2EE3" w:rsidP="00AB2EE3">
            <w:pPr>
              <w:spacing w:after="0" w:line="240" w:lineRule="auto"/>
              <w:jc w:val="center"/>
              <w:rPr>
                <w:rFonts w:ascii="Arial Narrow" w:eastAsia="Times New Roman" w:hAnsi="Arial Narrow" w:cs="Arial"/>
                <w:sz w:val="16"/>
                <w:szCs w:val="16"/>
                <w:lang w:eastAsia="pt-BR"/>
              </w:rPr>
            </w:pPr>
          </w:p>
        </w:tc>
        <w:tc>
          <w:tcPr>
            <w:tcW w:w="1262" w:type="dxa"/>
            <w:tcBorders>
              <w:top w:val="nil"/>
              <w:left w:val="nil"/>
              <w:bottom w:val="nil"/>
              <w:right w:val="single" w:sz="8" w:space="0" w:color="auto"/>
            </w:tcBorders>
            <w:shd w:val="clear" w:color="auto" w:fill="auto"/>
            <w:noWrap/>
            <w:vAlign w:val="center"/>
          </w:tcPr>
          <w:p w14:paraId="026C910A" w14:textId="77777777" w:rsidR="00AB2EE3" w:rsidRPr="006B69C6" w:rsidRDefault="00AB2EE3" w:rsidP="00AB2EE3">
            <w:pPr>
              <w:spacing w:after="0" w:line="240" w:lineRule="auto"/>
              <w:jc w:val="center"/>
              <w:rPr>
                <w:rFonts w:ascii="Arial Narrow" w:eastAsia="Times New Roman" w:hAnsi="Arial Narrow" w:cs="Arial"/>
                <w:sz w:val="16"/>
                <w:szCs w:val="16"/>
                <w:lang w:eastAsia="pt-BR"/>
              </w:rPr>
            </w:pPr>
          </w:p>
        </w:tc>
        <w:tc>
          <w:tcPr>
            <w:tcW w:w="4562" w:type="dxa"/>
            <w:tcBorders>
              <w:top w:val="nil"/>
              <w:left w:val="nil"/>
              <w:bottom w:val="nil"/>
            </w:tcBorders>
            <w:shd w:val="clear" w:color="000000" w:fill="FFFFFF"/>
            <w:noWrap/>
            <w:vAlign w:val="center"/>
            <w:hideMark/>
          </w:tcPr>
          <w:p w14:paraId="1A04E728" w14:textId="7C8D0463" w:rsidR="00AB2EE3" w:rsidRPr="006B69C6" w:rsidRDefault="00283510" w:rsidP="00283510">
            <w:pPr>
              <w:rPr>
                <w:rFonts w:ascii="Arial Narrow" w:eastAsia="Times New Roman" w:hAnsi="Arial Narrow" w:cs="Arial"/>
                <w:sz w:val="16"/>
                <w:szCs w:val="16"/>
                <w:lang w:eastAsia="pt-BR"/>
              </w:rPr>
            </w:pPr>
            <w:r>
              <w:rPr>
                <w:rFonts w:ascii="Arial Narrow" w:hAnsi="Arial Narrow" w:cs="Arial"/>
                <w:sz w:val="16"/>
                <w:szCs w:val="16"/>
              </w:rPr>
              <w:t xml:space="preserve">          </w:t>
            </w:r>
            <w:r w:rsidR="00AB2EE3" w:rsidRPr="006B69C6">
              <w:rPr>
                <w:rFonts w:ascii="Arial Narrow" w:hAnsi="Arial Narrow" w:cs="Arial"/>
                <w:sz w:val="16"/>
                <w:szCs w:val="16"/>
              </w:rPr>
              <w:t>Provisão p/ Obrigações Decorr. da Atuação Govern. a Curto Prazo</w:t>
            </w:r>
          </w:p>
        </w:tc>
        <w:tc>
          <w:tcPr>
            <w:tcW w:w="775" w:type="dxa"/>
            <w:tcBorders>
              <w:top w:val="nil"/>
              <w:bottom w:val="nil"/>
              <w:right w:val="single" w:sz="8" w:space="0" w:color="auto"/>
            </w:tcBorders>
            <w:shd w:val="clear" w:color="auto" w:fill="auto"/>
            <w:noWrap/>
            <w:vAlign w:val="center"/>
          </w:tcPr>
          <w:p w14:paraId="492497B0" w14:textId="77777777" w:rsidR="00AB2EE3" w:rsidRPr="006B69C6" w:rsidRDefault="00AB2EE3" w:rsidP="00AB2EE3">
            <w:pPr>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tcPr>
          <w:p w14:paraId="1BDC2796" w14:textId="77777777" w:rsidR="00AB2EE3" w:rsidRPr="006B69C6" w:rsidRDefault="00AB2EE3" w:rsidP="00AB2EE3">
            <w:pPr>
              <w:jc w:val="center"/>
              <w:rPr>
                <w:rFonts w:ascii="Arial Narrow" w:eastAsia="Times New Roman" w:hAnsi="Arial Narrow" w:cs="Arial"/>
                <w:sz w:val="16"/>
                <w:szCs w:val="16"/>
                <w:lang w:eastAsia="pt-BR"/>
              </w:rPr>
            </w:pPr>
            <w:r w:rsidRPr="006B69C6">
              <w:rPr>
                <w:rFonts w:ascii="Arial Narrow" w:hAnsi="Arial Narrow" w:cs="Arial"/>
                <w:sz w:val="16"/>
                <w:szCs w:val="16"/>
              </w:rPr>
              <w:t>BPA.H072</w:t>
            </w:r>
          </w:p>
        </w:tc>
        <w:tc>
          <w:tcPr>
            <w:tcW w:w="1420" w:type="dxa"/>
            <w:tcBorders>
              <w:top w:val="nil"/>
              <w:left w:val="nil"/>
              <w:bottom w:val="nil"/>
              <w:right w:val="single" w:sz="8" w:space="0" w:color="auto"/>
            </w:tcBorders>
            <w:shd w:val="clear" w:color="auto" w:fill="auto"/>
            <w:noWrap/>
            <w:vAlign w:val="center"/>
          </w:tcPr>
          <w:p w14:paraId="67E76780" w14:textId="77777777" w:rsidR="00AB2EE3" w:rsidRPr="006B69C6" w:rsidRDefault="00AB2EE3" w:rsidP="00AB2EE3">
            <w:pPr>
              <w:jc w:val="center"/>
              <w:rPr>
                <w:rFonts w:ascii="Arial Narrow" w:eastAsia="Times New Roman" w:hAnsi="Arial Narrow" w:cs="Arial"/>
                <w:sz w:val="16"/>
                <w:szCs w:val="16"/>
                <w:lang w:eastAsia="pt-BR"/>
              </w:rPr>
            </w:pPr>
            <w:r w:rsidRPr="006B69C6">
              <w:rPr>
                <w:rFonts w:ascii="Arial Narrow" w:hAnsi="Arial Narrow" w:cs="Arial"/>
                <w:sz w:val="16"/>
                <w:szCs w:val="16"/>
              </w:rPr>
              <w:t>BPA.I072</w:t>
            </w:r>
          </w:p>
        </w:tc>
      </w:tr>
      <w:tr w:rsidR="00AB2EE3" w:rsidRPr="009548D7" w14:paraId="4A245633" w14:textId="77777777" w:rsidTr="002315E1">
        <w:trPr>
          <w:trHeight w:val="240"/>
        </w:trPr>
        <w:tc>
          <w:tcPr>
            <w:tcW w:w="4410" w:type="dxa"/>
            <w:tcBorders>
              <w:top w:val="nil"/>
              <w:left w:val="single" w:sz="8" w:space="0" w:color="auto"/>
              <w:bottom w:val="nil"/>
            </w:tcBorders>
            <w:shd w:val="clear" w:color="auto" w:fill="auto"/>
            <w:noWrap/>
            <w:vAlign w:val="center"/>
            <w:hideMark/>
          </w:tcPr>
          <w:p w14:paraId="018CBE63" w14:textId="77777777" w:rsidR="00AB2EE3" w:rsidRPr="009548D7" w:rsidRDefault="00AB2EE3" w:rsidP="00AB2EE3">
            <w:pPr>
              <w:spacing w:after="0" w:line="240" w:lineRule="auto"/>
              <w:ind w:firstLineChars="200" w:firstLine="320"/>
              <w:rPr>
                <w:rFonts w:ascii="Arial Narrow" w:eastAsia="Times New Roman" w:hAnsi="Arial Narrow" w:cs="Arial"/>
                <w:color w:val="00B050"/>
                <w:sz w:val="16"/>
                <w:szCs w:val="16"/>
                <w:lang w:eastAsia="pt-BR"/>
              </w:rPr>
            </w:pPr>
            <w:r w:rsidRPr="009548D7">
              <w:rPr>
                <w:rFonts w:ascii="Arial Narrow" w:eastAsia="Times New Roman" w:hAnsi="Arial Narrow" w:cs="Arial"/>
                <w:color w:val="00B050"/>
                <w:sz w:val="16"/>
                <w:szCs w:val="16"/>
                <w:lang w:eastAsia="pt-BR"/>
              </w:rPr>
              <w:t> </w:t>
            </w:r>
          </w:p>
        </w:tc>
        <w:tc>
          <w:tcPr>
            <w:tcW w:w="767" w:type="dxa"/>
            <w:tcBorders>
              <w:top w:val="nil"/>
              <w:bottom w:val="nil"/>
              <w:right w:val="nil"/>
            </w:tcBorders>
            <w:shd w:val="clear" w:color="auto" w:fill="auto"/>
            <w:noWrap/>
            <w:vAlign w:val="center"/>
          </w:tcPr>
          <w:p w14:paraId="0F707FC9" w14:textId="77777777" w:rsidR="00AB2EE3" w:rsidRPr="009548D7" w:rsidRDefault="00AB2EE3" w:rsidP="00AB2EE3">
            <w:pPr>
              <w:spacing w:after="0" w:line="240" w:lineRule="auto"/>
              <w:ind w:firstLineChars="200" w:firstLine="320"/>
              <w:rPr>
                <w:rFonts w:ascii="Arial Narrow" w:eastAsia="Times New Roman" w:hAnsi="Arial Narrow" w:cs="Arial"/>
                <w:color w:val="00B050"/>
                <w:sz w:val="16"/>
                <w:szCs w:val="16"/>
                <w:lang w:eastAsia="pt-BR"/>
              </w:rPr>
            </w:pPr>
          </w:p>
        </w:tc>
        <w:tc>
          <w:tcPr>
            <w:tcW w:w="1063" w:type="dxa"/>
            <w:tcBorders>
              <w:top w:val="nil"/>
              <w:left w:val="single" w:sz="8" w:space="0" w:color="auto"/>
              <w:bottom w:val="nil"/>
              <w:right w:val="single" w:sz="8" w:space="0" w:color="auto"/>
            </w:tcBorders>
            <w:shd w:val="clear" w:color="auto" w:fill="auto"/>
            <w:noWrap/>
            <w:vAlign w:val="center"/>
            <w:hideMark/>
          </w:tcPr>
          <w:p w14:paraId="69E2EEC0" w14:textId="77777777" w:rsidR="00AB2EE3" w:rsidRPr="009548D7" w:rsidRDefault="00AB2EE3" w:rsidP="00AB2EE3">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w:t>
            </w:r>
          </w:p>
        </w:tc>
        <w:tc>
          <w:tcPr>
            <w:tcW w:w="1262" w:type="dxa"/>
            <w:tcBorders>
              <w:top w:val="nil"/>
              <w:left w:val="nil"/>
              <w:bottom w:val="nil"/>
              <w:right w:val="single" w:sz="8" w:space="0" w:color="auto"/>
            </w:tcBorders>
            <w:shd w:val="clear" w:color="auto" w:fill="auto"/>
            <w:noWrap/>
            <w:vAlign w:val="center"/>
            <w:hideMark/>
          </w:tcPr>
          <w:p w14:paraId="41EE31F3" w14:textId="77777777" w:rsidR="00AB2EE3" w:rsidRPr="009548D7" w:rsidRDefault="00AB2EE3" w:rsidP="00AB2EE3">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w:t>
            </w:r>
          </w:p>
        </w:tc>
        <w:tc>
          <w:tcPr>
            <w:tcW w:w="4562" w:type="dxa"/>
            <w:tcBorders>
              <w:top w:val="nil"/>
              <w:left w:val="nil"/>
              <w:bottom w:val="nil"/>
            </w:tcBorders>
            <w:shd w:val="clear" w:color="000000" w:fill="FFFFFF"/>
            <w:noWrap/>
            <w:vAlign w:val="center"/>
            <w:hideMark/>
          </w:tcPr>
          <w:p w14:paraId="69FF128A" w14:textId="18003BF2" w:rsidR="00AB2EE3" w:rsidRPr="009548D7" w:rsidRDefault="00283510" w:rsidP="00283510">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AB2EE3" w:rsidRPr="009548D7">
              <w:rPr>
                <w:rFonts w:ascii="Arial Narrow" w:eastAsia="Times New Roman" w:hAnsi="Arial Narrow" w:cs="Arial"/>
                <w:sz w:val="16"/>
                <w:szCs w:val="16"/>
                <w:lang w:eastAsia="pt-BR"/>
              </w:rPr>
              <w:t>Outras Provisões a Curto Prazo</w:t>
            </w:r>
          </w:p>
        </w:tc>
        <w:tc>
          <w:tcPr>
            <w:tcW w:w="775" w:type="dxa"/>
            <w:tcBorders>
              <w:top w:val="nil"/>
              <w:bottom w:val="nil"/>
              <w:right w:val="single" w:sz="8" w:space="0" w:color="auto"/>
            </w:tcBorders>
            <w:shd w:val="clear" w:color="auto" w:fill="auto"/>
            <w:noWrap/>
            <w:vAlign w:val="center"/>
          </w:tcPr>
          <w:p w14:paraId="79771B1C" w14:textId="77777777" w:rsidR="00AB2EE3" w:rsidRPr="009548D7" w:rsidRDefault="00AB2EE3" w:rsidP="00AB2EE3">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6957FF59" w14:textId="77777777" w:rsidR="00AB2EE3" w:rsidRPr="009548D7" w:rsidRDefault="00AB2EE3" w:rsidP="00AB2EE3">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BPA.H024</w:t>
            </w:r>
          </w:p>
        </w:tc>
        <w:tc>
          <w:tcPr>
            <w:tcW w:w="1420" w:type="dxa"/>
            <w:tcBorders>
              <w:top w:val="nil"/>
              <w:left w:val="nil"/>
              <w:bottom w:val="nil"/>
              <w:right w:val="single" w:sz="8" w:space="0" w:color="auto"/>
            </w:tcBorders>
            <w:shd w:val="clear" w:color="auto" w:fill="auto"/>
            <w:noWrap/>
            <w:vAlign w:val="center"/>
            <w:hideMark/>
          </w:tcPr>
          <w:p w14:paraId="6FEBF509" w14:textId="77777777" w:rsidR="00AB2EE3" w:rsidRPr="009548D7" w:rsidRDefault="00AB2EE3" w:rsidP="00AB2EE3">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BPA.I024</w:t>
            </w:r>
          </w:p>
        </w:tc>
      </w:tr>
      <w:tr w:rsidR="00AB2EE3" w:rsidRPr="009548D7" w14:paraId="517C1E90" w14:textId="77777777" w:rsidTr="002315E1">
        <w:trPr>
          <w:trHeight w:val="240"/>
        </w:trPr>
        <w:tc>
          <w:tcPr>
            <w:tcW w:w="4410" w:type="dxa"/>
            <w:tcBorders>
              <w:top w:val="nil"/>
              <w:left w:val="single" w:sz="8" w:space="0" w:color="auto"/>
              <w:bottom w:val="nil"/>
            </w:tcBorders>
            <w:shd w:val="clear" w:color="auto" w:fill="auto"/>
            <w:noWrap/>
            <w:vAlign w:val="center"/>
            <w:hideMark/>
          </w:tcPr>
          <w:p w14:paraId="6F0BCD26" w14:textId="77777777" w:rsidR="00AB2EE3" w:rsidRPr="009548D7" w:rsidRDefault="00AB2EE3" w:rsidP="00AB2EE3">
            <w:pPr>
              <w:spacing w:after="0" w:line="240" w:lineRule="auto"/>
              <w:rPr>
                <w:rFonts w:ascii="Arial Narrow" w:eastAsia="Times New Roman" w:hAnsi="Arial Narrow" w:cs="Arial"/>
                <w:color w:val="0070C0"/>
                <w:sz w:val="16"/>
                <w:szCs w:val="16"/>
                <w:lang w:eastAsia="pt-BR"/>
              </w:rPr>
            </w:pPr>
            <w:r w:rsidRPr="009548D7">
              <w:rPr>
                <w:rFonts w:ascii="Arial Narrow" w:eastAsia="Times New Roman" w:hAnsi="Arial Narrow" w:cs="Arial"/>
                <w:color w:val="0070C0"/>
                <w:sz w:val="16"/>
                <w:szCs w:val="16"/>
                <w:lang w:eastAsia="pt-BR"/>
              </w:rPr>
              <w:t> </w:t>
            </w:r>
          </w:p>
        </w:tc>
        <w:tc>
          <w:tcPr>
            <w:tcW w:w="767" w:type="dxa"/>
            <w:tcBorders>
              <w:top w:val="nil"/>
              <w:bottom w:val="nil"/>
              <w:right w:val="nil"/>
            </w:tcBorders>
            <w:shd w:val="clear" w:color="auto" w:fill="auto"/>
            <w:noWrap/>
            <w:vAlign w:val="center"/>
          </w:tcPr>
          <w:p w14:paraId="32CA16DA" w14:textId="77777777" w:rsidR="00AB2EE3" w:rsidRPr="009548D7" w:rsidRDefault="00AB2EE3" w:rsidP="00AB2EE3">
            <w:pPr>
              <w:spacing w:after="0" w:line="240" w:lineRule="auto"/>
              <w:rPr>
                <w:rFonts w:ascii="Arial Narrow" w:eastAsia="Times New Roman" w:hAnsi="Arial Narrow" w:cs="Arial"/>
                <w:color w:val="0070C0"/>
                <w:sz w:val="16"/>
                <w:szCs w:val="16"/>
                <w:lang w:eastAsia="pt-BR"/>
              </w:rPr>
            </w:pPr>
          </w:p>
        </w:tc>
        <w:tc>
          <w:tcPr>
            <w:tcW w:w="1063" w:type="dxa"/>
            <w:tcBorders>
              <w:top w:val="nil"/>
              <w:left w:val="single" w:sz="8" w:space="0" w:color="auto"/>
              <w:bottom w:val="nil"/>
              <w:right w:val="single" w:sz="8" w:space="0" w:color="auto"/>
            </w:tcBorders>
            <w:shd w:val="clear" w:color="auto" w:fill="auto"/>
            <w:noWrap/>
            <w:vAlign w:val="center"/>
            <w:hideMark/>
          </w:tcPr>
          <w:p w14:paraId="0DDB8057" w14:textId="77777777" w:rsidR="00AB2EE3" w:rsidRPr="009548D7" w:rsidRDefault="00AB2EE3" w:rsidP="00AB2EE3">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 </w:t>
            </w:r>
          </w:p>
        </w:tc>
        <w:tc>
          <w:tcPr>
            <w:tcW w:w="1262" w:type="dxa"/>
            <w:tcBorders>
              <w:top w:val="nil"/>
              <w:left w:val="nil"/>
              <w:bottom w:val="nil"/>
              <w:right w:val="single" w:sz="8" w:space="0" w:color="auto"/>
            </w:tcBorders>
            <w:shd w:val="clear" w:color="auto" w:fill="auto"/>
            <w:noWrap/>
            <w:vAlign w:val="center"/>
            <w:hideMark/>
          </w:tcPr>
          <w:p w14:paraId="38D74699" w14:textId="77777777" w:rsidR="00AB2EE3" w:rsidRPr="009548D7" w:rsidRDefault="00AB2EE3" w:rsidP="00AB2EE3">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 </w:t>
            </w:r>
          </w:p>
        </w:tc>
        <w:tc>
          <w:tcPr>
            <w:tcW w:w="4562" w:type="dxa"/>
            <w:tcBorders>
              <w:top w:val="nil"/>
              <w:left w:val="nil"/>
              <w:bottom w:val="nil"/>
            </w:tcBorders>
            <w:shd w:val="clear" w:color="auto" w:fill="auto"/>
            <w:noWrap/>
            <w:vAlign w:val="center"/>
            <w:hideMark/>
          </w:tcPr>
          <w:p w14:paraId="35BC2FE1" w14:textId="48CA35BF" w:rsidR="00AB2EE3" w:rsidRPr="009548D7" w:rsidRDefault="00283510" w:rsidP="00283510">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AB2EE3" w:rsidRPr="009548D7">
              <w:rPr>
                <w:rFonts w:ascii="Arial Narrow" w:eastAsia="Times New Roman" w:hAnsi="Arial Narrow" w:cs="Arial"/>
                <w:sz w:val="16"/>
                <w:szCs w:val="16"/>
                <w:lang w:eastAsia="pt-BR"/>
              </w:rPr>
              <w:t>Demais Obrigações a Curto Prazo</w:t>
            </w:r>
          </w:p>
        </w:tc>
        <w:tc>
          <w:tcPr>
            <w:tcW w:w="775" w:type="dxa"/>
            <w:tcBorders>
              <w:top w:val="nil"/>
              <w:bottom w:val="nil"/>
              <w:right w:val="single" w:sz="8" w:space="0" w:color="auto"/>
            </w:tcBorders>
            <w:shd w:val="clear" w:color="auto" w:fill="auto"/>
            <w:noWrap/>
            <w:vAlign w:val="center"/>
          </w:tcPr>
          <w:p w14:paraId="0F858B7B" w14:textId="77777777" w:rsidR="00AB2EE3" w:rsidRPr="009548D7" w:rsidRDefault="00AB2EE3" w:rsidP="00AB2EE3">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11449EC4" w14:textId="77777777" w:rsidR="00AB2EE3" w:rsidRPr="009548D7" w:rsidRDefault="00AB2EE3" w:rsidP="00AB2EE3">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BPA.H025</w:t>
            </w:r>
          </w:p>
        </w:tc>
        <w:tc>
          <w:tcPr>
            <w:tcW w:w="1420" w:type="dxa"/>
            <w:tcBorders>
              <w:top w:val="nil"/>
              <w:left w:val="nil"/>
              <w:bottom w:val="nil"/>
              <w:right w:val="single" w:sz="8" w:space="0" w:color="auto"/>
            </w:tcBorders>
            <w:shd w:val="clear" w:color="auto" w:fill="auto"/>
            <w:noWrap/>
            <w:vAlign w:val="center"/>
            <w:hideMark/>
          </w:tcPr>
          <w:p w14:paraId="108B77B5" w14:textId="77777777" w:rsidR="00AB2EE3" w:rsidRPr="009548D7" w:rsidRDefault="00AB2EE3" w:rsidP="00AB2EE3">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BPA.I025</w:t>
            </w:r>
          </w:p>
        </w:tc>
      </w:tr>
      <w:tr w:rsidR="00AB2EE3" w:rsidRPr="009548D7" w14:paraId="15196F20" w14:textId="77777777" w:rsidTr="002315E1">
        <w:trPr>
          <w:trHeight w:val="255"/>
        </w:trPr>
        <w:tc>
          <w:tcPr>
            <w:tcW w:w="4410" w:type="dxa"/>
            <w:tcBorders>
              <w:top w:val="nil"/>
              <w:left w:val="single" w:sz="8" w:space="0" w:color="auto"/>
              <w:bottom w:val="nil"/>
            </w:tcBorders>
            <w:shd w:val="clear" w:color="auto" w:fill="auto"/>
            <w:noWrap/>
            <w:vAlign w:val="center"/>
            <w:hideMark/>
          </w:tcPr>
          <w:p w14:paraId="21AD62EA" w14:textId="77777777" w:rsidR="00AB2EE3" w:rsidRPr="009548D7" w:rsidRDefault="00AB2EE3" w:rsidP="00AB2EE3">
            <w:pPr>
              <w:spacing w:after="0" w:line="240" w:lineRule="auto"/>
              <w:rPr>
                <w:rFonts w:ascii="Arial Narrow" w:eastAsia="Times New Roman" w:hAnsi="Arial Narrow" w:cs="Arial"/>
                <w:color w:val="0070C0"/>
                <w:sz w:val="16"/>
                <w:szCs w:val="16"/>
                <w:lang w:eastAsia="pt-BR"/>
              </w:rPr>
            </w:pPr>
            <w:r w:rsidRPr="009548D7">
              <w:rPr>
                <w:rFonts w:ascii="Arial Narrow" w:eastAsia="Times New Roman" w:hAnsi="Arial Narrow" w:cs="Arial"/>
                <w:color w:val="0070C0"/>
                <w:sz w:val="16"/>
                <w:szCs w:val="16"/>
                <w:lang w:eastAsia="pt-BR"/>
              </w:rPr>
              <w:t> </w:t>
            </w:r>
          </w:p>
        </w:tc>
        <w:tc>
          <w:tcPr>
            <w:tcW w:w="767" w:type="dxa"/>
            <w:tcBorders>
              <w:top w:val="nil"/>
              <w:bottom w:val="nil"/>
              <w:right w:val="single" w:sz="8" w:space="0" w:color="auto"/>
            </w:tcBorders>
            <w:shd w:val="clear" w:color="auto" w:fill="auto"/>
            <w:noWrap/>
            <w:vAlign w:val="center"/>
          </w:tcPr>
          <w:p w14:paraId="13B8745E" w14:textId="77777777" w:rsidR="00AB2EE3" w:rsidRPr="009548D7" w:rsidRDefault="00AB2EE3" w:rsidP="00AB2EE3">
            <w:pPr>
              <w:spacing w:after="0" w:line="240" w:lineRule="auto"/>
              <w:rPr>
                <w:rFonts w:ascii="Arial Narrow" w:eastAsia="Times New Roman" w:hAnsi="Arial Narrow" w:cs="Arial"/>
                <w:b/>
                <w:bCs/>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2654E6F5" w14:textId="77777777" w:rsidR="00AB2EE3" w:rsidRPr="009548D7" w:rsidRDefault="00AB2EE3" w:rsidP="00AB2EE3">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w:t>
            </w:r>
          </w:p>
        </w:tc>
        <w:tc>
          <w:tcPr>
            <w:tcW w:w="1262" w:type="dxa"/>
            <w:tcBorders>
              <w:top w:val="nil"/>
              <w:left w:val="nil"/>
              <w:bottom w:val="nil"/>
              <w:right w:val="single" w:sz="8" w:space="0" w:color="auto"/>
            </w:tcBorders>
            <w:shd w:val="clear" w:color="auto" w:fill="auto"/>
            <w:noWrap/>
            <w:vAlign w:val="center"/>
            <w:hideMark/>
          </w:tcPr>
          <w:p w14:paraId="222D104F" w14:textId="77777777" w:rsidR="00AB2EE3" w:rsidRPr="009548D7" w:rsidRDefault="00AB2EE3" w:rsidP="00AB2EE3">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w:t>
            </w:r>
          </w:p>
        </w:tc>
        <w:tc>
          <w:tcPr>
            <w:tcW w:w="4562" w:type="dxa"/>
            <w:tcBorders>
              <w:top w:val="nil"/>
              <w:left w:val="nil"/>
              <w:bottom w:val="nil"/>
            </w:tcBorders>
            <w:shd w:val="clear" w:color="auto" w:fill="auto"/>
            <w:noWrap/>
            <w:vAlign w:val="center"/>
            <w:hideMark/>
          </w:tcPr>
          <w:p w14:paraId="35D76F3B" w14:textId="77777777" w:rsidR="00AB2EE3" w:rsidRPr="009548D7" w:rsidRDefault="00AB2EE3" w:rsidP="00AB2EE3">
            <w:pPr>
              <w:spacing w:after="0" w:line="240" w:lineRule="auto"/>
              <w:rPr>
                <w:rFonts w:ascii="Arial Narrow" w:eastAsia="Times New Roman" w:hAnsi="Arial Narrow" w:cs="Arial"/>
                <w:color w:val="0070C0"/>
                <w:sz w:val="16"/>
                <w:szCs w:val="16"/>
                <w:lang w:eastAsia="pt-BR"/>
              </w:rPr>
            </w:pPr>
          </w:p>
        </w:tc>
        <w:tc>
          <w:tcPr>
            <w:tcW w:w="775" w:type="dxa"/>
            <w:tcBorders>
              <w:top w:val="nil"/>
              <w:bottom w:val="nil"/>
              <w:right w:val="single" w:sz="8" w:space="0" w:color="auto"/>
            </w:tcBorders>
            <w:shd w:val="clear" w:color="auto" w:fill="auto"/>
            <w:noWrap/>
            <w:vAlign w:val="center"/>
          </w:tcPr>
          <w:p w14:paraId="24D2FDAE" w14:textId="77777777" w:rsidR="00AB2EE3" w:rsidRPr="009548D7" w:rsidRDefault="00AB2EE3" w:rsidP="00AB2EE3">
            <w:pPr>
              <w:spacing w:after="0" w:line="240" w:lineRule="auto"/>
              <w:rPr>
                <w:rFonts w:ascii="Arial Narrow" w:eastAsia="Times New Roman" w:hAnsi="Arial Narrow" w:cs="Arial"/>
                <w:b/>
                <w:bCs/>
                <w:sz w:val="16"/>
                <w:szCs w:val="16"/>
                <w:lang w:eastAsia="pt-BR"/>
              </w:rPr>
            </w:pPr>
          </w:p>
        </w:tc>
        <w:tc>
          <w:tcPr>
            <w:tcW w:w="1063" w:type="dxa"/>
            <w:tcBorders>
              <w:top w:val="nil"/>
              <w:left w:val="nil"/>
              <w:bottom w:val="nil"/>
              <w:right w:val="single" w:sz="8" w:space="0" w:color="auto"/>
            </w:tcBorders>
            <w:shd w:val="clear" w:color="000000" w:fill="FFFFFF"/>
            <w:noWrap/>
            <w:vAlign w:val="center"/>
            <w:hideMark/>
          </w:tcPr>
          <w:p w14:paraId="4D5ACE7B" w14:textId="77777777" w:rsidR="00AB2EE3" w:rsidRPr="009548D7" w:rsidRDefault="00AB2EE3" w:rsidP="00AB2EE3">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w:t>
            </w:r>
          </w:p>
        </w:tc>
        <w:tc>
          <w:tcPr>
            <w:tcW w:w="1420" w:type="dxa"/>
            <w:tcBorders>
              <w:top w:val="nil"/>
              <w:left w:val="nil"/>
              <w:bottom w:val="nil"/>
              <w:right w:val="single" w:sz="8" w:space="0" w:color="auto"/>
            </w:tcBorders>
            <w:shd w:val="clear" w:color="000000" w:fill="FFFFFF"/>
            <w:noWrap/>
            <w:vAlign w:val="center"/>
            <w:hideMark/>
          </w:tcPr>
          <w:p w14:paraId="2FB02F75" w14:textId="77777777" w:rsidR="00AB2EE3" w:rsidRPr="009548D7" w:rsidRDefault="00AB2EE3" w:rsidP="00AB2EE3">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w:t>
            </w:r>
          </w:p>
        </w:tc>
      </w:tr>
      <w:tr w:rsidR="00AB2EE3" w:rsidRPr="009548D7" w14:paraId="1DBD9530" w14:textId="77777777" w:rsidTr="002315E1">
        <w:trPr>
          <w:trHeight w:val="255"/>
        </w:trPr>
        <w:tc>
          <w:tcPr>
            <w:tcW w:w="4410" w:type="dxa"/>
            <w:tcBorders>
              <w:top w:val="nil"/>
              <w:left w:val="single" w:sz="8" w:space="0" w:color="auto"/>
              <w:bottom w:val="nil"/>
            </w:tcBorders>
            <w:shd w:val="clear" w:color="auto" w:fill="auto"/>
            <w:noWrap/>
            <w:vAlign w:val="center"/>
            <w:hideMark/>
          </w:tcPr>
          <w:p w14:paraId="0BC8ED61" w14:textId="77777777" w:rsidR="00AB2EE3" w:rsidRPr="009548D7" w:rsidRDefault="00AB2EE3" w:rsidP="00AB2EE3">
            <w:pPr>
              <w:spacing w:after="0" w:line="240" w:lineRule="auto"/>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ATIVO NÃO CIRCULANTE</w:t>
            </w:r>
          </w:p>
        </w:tc>
        <w:tc>
          <w:tcPr>
            <w:tcW w:w="767" w:type="dxa"/>
            <w:tcBorders>
              <w:top w:val="nil"/>
              <w:bottom w:val="nil"/>
              <w:right w:val="single" w:sz="8" w:space="0" w:color="auto"/>
            </w:tcBorders>
            <w:shd w:val="clear" w:color="auto" w:fill="auto"/>
            <w:noWrap/>
            <w:vAlign w:val="center"/>
          </w:tcPr>
          <w:p w14:paraId="3647520B" w14:textId="77777777" w:rsidR="00AB2EE3" w:rsidRPr="009548D7" w:rsidRDefault="00AB2EE3" w:rsidP="00AB2EE3">
            <w:pPr>
              <w:spacing w:after="0" w:line="240" w:lineRule="auto"/>
              <w:jc w:val="center"/>
              <w:rPr>
                <w:rFonts w:ascii="Arial Narrow" w:eastAsia="Times New Roman" w:hAnsi="Arial Narrow" w:cs="Arial"/>
                <w:b/>
                <w:bCs/>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6923457D" w14:textId="77777777" w:rsidR="00AB2EE3" w:rsidRPr="009548D7" w:rsidRDefault="00AB2EE3" w:rsidP="00AB2EE3">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BPA.D027</w:t>
            </w:r>
          </w:p>
        </w:tc>
        <w:tc>
          <w:tcPr>
            <w:tcW w:w="1262" w:type="dxa"/>
            <w:tcBorders>
              <w:top w:val="nil"/>
              <w:left w:val="nil"/>
              <w:bottom w:val="nil"/>
              <w:right w:val="single" w:sz="8" w:space="0" w:color="auto"/>
            </w:tcBorders>
            <w:shd w:val="clear" w:color="auto" w:fill="auto"/>
            <w:noWrap/>
            <w:vAlign w:val="center"/>
            <w:hideMark/>
          </w:tcPr>
          <w:p w14:paraId="092DAFEB" w14:textId="77777777" w:rsidR="00AB2EE3" w:rsidRPr="009548D7" w:rsidRDefault="00AB2EE3" w:rsidP="00AB2EE3">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BPA.E027</w:t>
            </w:r>
          </w:p>
        </w:tc>
        <w:tc>
          <w:tcPr>
            <w:tcW w:w="4562" w:type="dxa"/>
            <w:tcBorders>
              <w:top w:val="nil"/>
              <w:left w:val="nil"/>
              <w:bottom w:val="nil"/>
            </w:tcBorders>
            <w:shd w:val="clear" w:color="auto" w:fill="auto"/>
            <w:noWrap/>
            <w:vAlign w:val="center"/>
            <w:hideMark/>
          </w:tcPr>
          <w:p w14:paraId="38C2863D" w14:textId="77777777" w:rsidR="00AB2EE3" w:rsidRPr="009548D7" w:rsidRDefault="00AB2EE3" w:rsidP="00AB2EE3">
            <w:pPr>
              <w:spacing w:after="0" w:line="240" w:lineRule="auto"/>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PASSIVO NÃO-CIRCULANTE</w:t>
            </w:r>
          </w:p>
        </w:tc>
        <w:tc>
          <w:tcPr>
            <w:tcW w:w="775" w:type="dxa"/>
            <w:tcBorders>
              <w:top w:val="nil"/>
              <w:bottom w:val="nil"/>
              <w:right w:val="single" w:sz="8" w:space="0" w:color="auto"/>
            </w:tcBorders>
            <w:shd w:val="clear" w:color="auto" w:fill="auto"/>
            <w:noWrap/>
            <w:vAlign w:val="center"/>
          </w:tcPr>
          <w:p w14:paraId="19A4B106" w14:textId="77777777" w:rsidR="00AB2EE3" w:rsidRPr="009548D7" w:rsidRDefault="00AB2EE3" w:rsidP="00AB2EE3">
            <w:pPr>
              <w:spacing w:after="0" w:line="240" w:lineRule="auto"/>
              <w:jc w:val="center"/>
              <w:rPr>
                <w:rFonts w:ascii="Arial Narrow" w:eastAsia="Times New Roman" w:hAnsi="Arial Narrow" w:cs="Arial"/>
                <w:b/>
                <w:bCs/>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5E27E501" w14:textId="77777777" w:rsidR="00AB2EE3" w:rsidRPr="009548D7" w:rsidRDefault="00AB2EE3" w:rsidP="00AB2EE3">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BPA.H027</w:t>
            </w:r>
          </w:p>
        </w:tc>
        <w:tc>
          <w:tcPr>
            <w:tcW w:w="1420" w:type="dxa"/>
            <w:tcBorders>
              <w:top w:val="nil"/>
              <w:left w:val="nil"/>
              <w:bottom w:val="nil"/>
              <w:right w:val="single" w:sz="8" w:space="0" w:color="auto"/>
            </w:tcBorders>
            <w:shd w:val="clear" w:color="auto" w:fill="auto"/>
            <w:noWrap/>
            <w:vAlign w:val="center"/>
            <w:hideMark/>
          </w:tcPr>
          <w:p w14:paraId="3B894F8D" w14:textId="77777777" w:rsidR="00AB2EE3" w:rsidRPr="009548D7" w:rsidRDefault="00AB2EE3" w:rsidP="00AB2EE3">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BPA.I027</w:t>
            </w:r>
          </w:p>
        </w:tc>
      </w:tr>
      <w:tr w:rsidR="00AB2EE3" w:rsidRPr="009548D7" w14:paraId="68B8A4A6" w14:textId="77777777" w:rsidTr="002315E1">
        <w:trPr>
          <w:trHeight w:val="255"/>
        </w:trPr>
        <w:tc>
          <w:tcPr>
            <w:tcW w:w="4410" w:type="dxa"/>
            <w:tcBorders>
              <w:top w:val="nil"/>
              <w:left w:val="single" w:sz="8" w:space="0" w:color="auto"/>
              <w:bottom w:val="nil"/>
            </w:tcBorders>
            <w:shd w:val="clear" w:color="auto" w:fill="auto"/>
            <w:noWrap/>
            <w:vAlign w:val="center"/>
            <w:hideMark/>
          </w:tcPr>
          <w:p w14:paraId="0D11186D" w14:textId="77777777" w:rsidR="00AB2EE3" w:rsidRPr="009548D7" w:rsidRDefault="00AB2EE3" w:rsidP="00AB2EE3">
            <w:pPr>
              <w:spacing w:after="0" w:line="240" w:lineRule="auto"/>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 </w:t>
            </w:r>
          </w:p>
        </w:tc>
        <w:tc>
          <w:tcPr>
            <w:tcW w:w="767" w:type="dxa"/>
            <w:tcBorders>
              <w:top w:val="nil"/>
              <w:bottom w:val="nil"/>
              <w:right w:val="single" w:sz="8" w:space="0" w:color="auto"/>
            </w:tcBorders>
            <w:shd w:val="clear" w:color="auto" w:fill="auto"/>
            <w:noWrap/>
            <w:vAlign w:val="center"/>
          </w:tcPr>
          <w:p w14:paraId="63E2B3BC" w14:textId="77777777" w:rsidR="00AB2EE3" w:rsidRPr="009548D7" w:rsidRDefault="00AB2EE3" w:rsidP="00AB2EE3">
            <w:pPr>
              <w:spacing w:after="0" w:line="240" w:lineRule="auto"/>
              <w:jc w:val="center"/>
              <w:rPr>
                <w:rFonts w:ascii="Arial Narrow" w:eastAsia="Times New Roman" w:hAnsi="Arial Narrow" w:cs="Arial"/>
                <w:b/>
                <w:bCs/>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0B161E99" w14:textId="77777777" w:rsidR="00AB2EE3" w:rsidRPr="009548D7" w:rsidRDefault="00AB2EE3" w:rsidP="00AB2EE3">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 </w:t>
            </w:r>
          </w:p>
        </w:tc>
        <w:tc>
          <w:tcPr>
            <w:tcW w:w="1262" w:type="dxa"/>
            <w:tcBorders>
              <w:top w:val="nil"/>
              <w:left w:val="nil"/>
              <w:bottom w:val="nil"/>
              <w:right w:val="single" w:sz="8" w:space="0" w:color="auto"/>
            </w:tcBorders>
            <w:shd w:val="clear" w:color="auto" w:fill="auto"/>
            <w:noWrap/>
            <w:vAlign w:val="center"/>
            <w:hideMark/>
          </w:tcPr>
          <w:p w14:paraId="6AA08B40" w14:textId="77777777" w:rsidR="00AB2EE3" w:rsidRPr="009548D7" w:rsidRDefault="00AB2EE3" w:rsidP="00AB2EE3">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 </w:t>
            </w:r>
          </w:p>
        </w:tc>
        <w:tc>
          <w:tcPr>
            <w:tcW w:w="4562" w:type="dxa"/>
            <w:tcBorders>
              <w:top w:val="nil"/>
              <w:left w:val="nil"/>
              <w:bottom w:val="nil"/>
            </w:tcBorders>
            <w:shd w:val="clear" w:color="auto" w:fill="auto"/>
            <w:noWrap/>
            <w:vAlign w:val="center"/>
            <w:hideMark/>
          </w:tcPr>
          <w:p w14:paraId="2C0B14E1" w14:textId="77777777" w:rsidR="00AB2EE3" w:rsidRPr="009548D7" w:rsidRDefault="00AB2EE3" w:rsidP="00AB2EE3">
            <w:pPr>
              <w:spacing w:after="0" w:line="240" w:lineRule="auto"/>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 </w:t>
            </w:r>
          </w:p>
        </w:tc>
        <w:tc>
          <w:tcPr>
            <w:tcW w:w="775" w:type="dxa"/>
            <w:tcBorders>
              <w:top w:val="nil"/>
              <w:bottom w:val="nil"/>
              <w:right w:val="single" w:sz="8" w:space="0" w:color="auto"/>
            </w:tcBorders>
            <w:shd w:val="clear" w:color="000000" w:fill="FFFFFF"/>
            <w:noWrap/>
            <w:vAlign w:val="center"/>
          </w:tcPr>
          <w:p w14:paraId="402CD487" w14:textId="77777777" w:rsidR="00AB2EE3" w:rsidRPr="009548D7" w:rsidRDefault="00AB2EE3" w:rsidP="00AB2EE3">
            <w:pPr>
              <w:spacing w:after="0" w:line="240" w:lineRule="auto"/>
              <w:ind w:firstLineChars="100" w:firstLine="160"/>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000000" w:fill="FFFFFF"/>
            <w:noWrap/>
            <w:vAlign w:val="center"/>
            <w:hideMark/>
          </w:tcPr>
          <w:p w14:paraId="12E22240" w14:textId="77777777" w:rsidR="00AB2EE3" w:rsidRPr="009548D7" w:rsidRDefault="00AB2EE3" w:rsidP="00AB2EE3">
            <w:pPr>
              <w:spacing w:after="0" w:line="240" w:lineRule="auto"/>
              <w:ind w:firstLineChars="100" w:firstLine="16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w:t>
            </w:r>
          </w:p>
        </w:tc>
        <w:tc>
          <w:tcPr>
            <w:tcW w:w="1420" w:type="dxa"/>
            <w:tcBorders>
              <w:top w:val="nil"/>
              <w:left w:val="nil"/>
              <w:bottom w:val="nil"/>
              <w:right w:val="single" w:sz="8" w:space="0" w:color="auto"/>
            </w:tcBorders>
            <w:shd w:val="clear" w:color="000000" w:fill="FFFFFF"/>
            <w:noWrap/>
            <w:vAlign w:val="center"/>
            <w:hideMark/>
          </w:tcPr>
          <w:p w14:paraId="0848B79D" w14:textId="77777777" w:rsidR="00AB2EE3" w:rsidRPr="009548D7" w:rsidRDefault="00AB2EE3" w:rsidP="00AB2EE3">
            <w:pPr>
              <w:spacing w:after="0" w:line="240" w:lineRule="auto"/>
              <w:ind w:firstLineChars="100" w:firstLine="16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w:t>
            </w:r>
          </w:p>
        </w:tc>
      </w:tr>
      <w:tr w:rsidR="00283510" w:rsidRPr="009548D7" w14:paraId="48769357" w14:textId="77777777" w:rsidTr="002936F7">
        <w:trPr>
          <w:trHeight w:val="255"/>
        </w:trPr>
        <w:tc>
          <w:tcPr>
            <w:tcW w:w="4410" w:type="dxa"/>
            <w:tcBorders>
              <w:top w:val="nil"/>
              <w:left w:val="single" w:sz="8" w:space="0" w:color="auto"/>
              <w:bottom w:val="nil"/>
            </w:tcBorders>
            <w:shd w:val="clear" w:color="auto" w:fill="auto"/>
            <w:noWrap/>
            <w:vAlign w:val="center"/>
            <w:hideMark/>
          </w:tcPr>
          <w:p w14:paraId="0E91715D" w14:textId="31C6ADE0" w:rsidR="00283510" w:rsidRPr="009548D7" w:rsidRDefault="00283510" w:rsidP="00283510">
            <w:pPr>
              <w:spacing w:after="0" w:line="240" w:lineRule="auto"/>
              <w:rPr>
                <w:rFonts w:ascii="Arial Narrow" w:eastAsia="Times New Roman" w:hAnsi="Arial Narrow" w:cs="Arial"/>
                <w:b/>
                <w:bCs/>
                <w:sz w:val="16"/>
                <w:szCs w:val="16"/>
                <w:lang w:eastAsia="pt-BR"/>
              </w:rPr>
            </w:pPr>
            <w:r>
              <w:rPr>
                <w:rFonts w:ascii="Arial Narrow" w:eastAsia="Times New Roman" w:hAnsi="Arial Narrow" w:cs="Arial"/>
                <w:b/>
                <w:bCs/>
                <w:sz w:val="16"/>
                <w:szCs w:val="16"/>
                <w:lang w:eastAsia="pt-BR"/>
              </w:rPr>
              <w:t xml:space="preserve">     </w:t>
            </w:r>
            <w:r w:rsidRPr="009548D7">
              <w:rPr>
                <w:rFonts w:ascii="Arial Narrow" w:eastAsia="Times New Roman" w:hAnsi="Arial Narrow" w:cs="Arial"/>
                <w:b/>
                <w:bCs/>
                <w:sz w:val="16"/>
                <w:szCs w:val="16"/>
                <w:lang w:eastAsia="pt-BR"/>
              </w:rPr>
              <w:t>Ativo Realizável a Longo Prazo</w:t>
            </w:r>
          </w:p>
        </w:tc>
        <w:tc>
          <w:tcPr>
            <w:tcW w:w="767" w:type="dxa"/>
            <w:tcBorders>
              <w:top w:val="nil"/>
              <w:bottom w:val="nil"/>
              <w:right w:val="single" w:sz="8" w:space="0" w:color="auto"/>
            </w:tcBorders>
            <w:shd w:val="clear" w:color="auto" w:fill="auto"/>
            <w:noWrap/>
            <w:vAlign w:val="center"/>
          </w:tcPr>
          <w:p w14:paraId="7CB6B654" w14:textId="77777777" w:rsidR="00283510" w:rsidRPr="009548D7" w:rsidRDefault="00283510" w:rsidP="00AB2EE3">
            <w:pPr>
              <w:spacing w:after="0" w:line="240" w:lineRule="auto"/>
              <w:jc w:val="center"/>
              <w:rPr>
                <w:rFonts w:ascii="Arial Narrow" w:eastAsia="Times New Roman" w:hAnsi="Arial Narrow" w:cs="Arial"/>
                <w:b/>
                <w:bCs/>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087DA18A" w14:textId="77777777" w:rsidR="00283510" w:rsidRPr="009548D7" w:rsidRDefault="00283510" w:rsidP="00AB2EE3">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BPA.D029</w:t>
            </w:r>
          </w:p>
        </w:tc>
        <w:tc>
          <w:tcPr>
            <w:tcW w:w="1262" w:type="dxa"/>
            <w:tcBorders>
              <w:top w:val="nil"/>
              <w:left w:val="nil"/>
              <w:bottom w:val="nil"/>
              <w:right w:val="single" w:sz="8" w:space="0" w:color="auto"/>
            </w:tcBorders>
            <w:shd w:val="clear" w:color="auto" w:fill="auto"/>
            <w:noWrap/>
            <w:vAlign w:val="center"/>
            <w:hideMark/>
          </w:tcPr>
          <w:p w14:paraId="56AAE9B2" w14:textId="77777777" w:rsidR="00283510" w:rsidRPr="009548D7" w:rsidRDefault="00283510" w:rsidP="00AB2EE3">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BPA.E029</w:t>
            </w:r>
          </w:p>
        </w:tc>
        <w:tc>
          <w:tcPr>
            <w:tcW w:w="5337" w:type="dxa"/>
            <w:gridSpan w:val="2"/>
            <w:tcBorders>
              <w:top w:val="nil"/>
              <w:left w:val="nil"/>
              <w:bottom w:val="nil"/>
              <w:right w:val="single" w:sz="8" w:space="0" w:color="auto"/>
            </w:tcBorders>
            <w:shd w:val="clear" w:color="000000" w:fill="FFFFFF"/>
            <w:noWrap/>
            <w:vAlign w:val="center"/>
            <w:hideMark/>
          </w:tcPr>
          <w:p w14:paraId="6B6FB92D" w14:textId="14AF47BE" w:rsidR="00283510" w:rsidRPr="009548D7" w:rsidRDefault="00283510" w:rsidP="00283510">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Pr="009548D7">
              <w:rPr>
                <w:rFonts w:ascii="Arial Narrow" w:eastAsia="Times New Roman" w:hAnsi="Arial Narrow" w:cs="Arial"/>
                <w:sz w:val="16"/>
                <w:szCs w:val="16"/>
                <w:lang w:eastAsia="pt-BR"/>
              </w:rPr>
              <w:t>Obrigações Trabalhistas, Previdenciárias e Asssitenciais a Pagar a Longo Prazo</w:t>
            </w:r>
          </w:p>
        </w:tc>
        <w:tc>
          <w:tcPr>
            <w:tcW w:w="1063" w:type="dxa"/>
            <w:tcBorders>
              <w:top w:val="nil"/>
              <w:left w:val="nil"/>
              <w:bottom w:val="nil"/>
              <w:right w:val="single" w:sz="8" w:space="0" w:color="auto"/>
            </w:tcBorders>
            <w:shd w:val="clear" w:color="auto" w:fill="auto"/>
            <w:noWrap/>
            <w:vAlign w:val="center"/>
            <w:hideMark/>
          </w:tcPr>
          <w:p w14:paraId="381FD2BB" w14:textId="77777777" w:rsidR="00283510" w:rsidRPr="009548D7" w:rsidRDefault="00283510" w:rsidP="00AB2EE3">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BPA.H029</w:t>
            </w:r>
          </w:p>
        </w:tc>
        <w:tc>
          <w:tcPr>
            <w:tcW w:w="1420" w:type="dxa"/>
            <w:tcBorders>
              <w:top w:val="nil"/>
              <w:left w:val="nil"/>
              <w:bottom w:val="nil"/>
              <w:right w:val="single" w:sz="8" w:space="0" w:color="auto"/>
            </w:tcBorders>
            <w:shd w:val="clear" w:color="auto" w:fill="auto"/>
            <w:noWrap/>
            <w:vAlign w:val="center"/>
            <w:hideMark/>
          </w:tcPr>
          <w:p w14:paraId="37E4329D" w14:textId="77777777" w:rsidR="00283510" w:rsidRPr="009548D7" w:rsidRDefault="00283510" w:rsidP="00AB2EE3">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BPA.I029</w:t>
            </w:r>
          </w:p>
        </w:tc>
      </w:tr>
      <w:tr w:rsidR="00AB2EE3" w:rsidRPr="009548D7" w14:paraId="461A65C6" w14:textId="77777777" w:rsidTr="002315E1">
        <w:trPr>
          <w:trHeight w:val="255"/>
        </w:trPr>
        <w:tc>
          <w:tcPr>
            <w:tcW w:w="4410" w:type="dxa"/>
            <w:tcBorders>
              <w:top w:val="nil"/>
              <w:left w:val="single" w:sz="8" w:space="0" w:color="auto"/>
              <w:bottom w:val="nil"/>
            </w:tcBorders>
            <w:shd w:val="clear" w:color="auto" w:fill="auto"/>
            <w:noWrap/>
            <w:vAlign w:val="center"/>
            <w:hideMark/>
          </w:tcPr>
          <w:p w14:paraId="07FF5670" w14:textId="21A905B0" w:rsidR="00AB2EE3" w:rsidRPr="009548D7" w:rsidRDefault="00283510" w:rsidP="00283510">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AB2EE3" w:rsidRPr="009548D7">
              <w:rPr>
                <w:rFonts w:ascii="Arial Narrow" w:eastAsia="Times New Roman" w:hAnsi="Arial Narrow" w:cs="Arial"/>
                <w:sz w:val="16"/>
                <w:szCs w:val="16"/>
                <w:lang w:eastAsia="pt-BR"/>
              </w:rPr>
              <w:t>Créditos a Longo Prazo</w:t>
            </w:r>
          </w:p>
        </w:tc>
        <w:tc>
          <w:tcPr>
            <w:tcW w:w="767" w:type="dxa"/>
            <w:tcBorders>
              <w:top w:val="nil"/>
              <w:bottom w:val="nil"/>
              <w:right w:val="single" w:sz="8" w:space="0" w:color="auto"/>
            </w:tcBorders>
            <w:shd w:val="clear" w:color="auto" w:fill="auto"/>
            <w:noWrap/>
            <w:vAlign w:val="center"/>
          </w:tcPr>
          <w:p w14:paraId="69A3B464" w14:textId="77777777" w:rsidR="00AB2EE3" w:rsidRPr="009548D7" w:rsidRDefault="00AB2EE3" w:rsidP="00AB2EE3">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484C58E3" w14:textId="77777777" w:rsidR="00AB2EE3" w:rsidRPr="009548D7" w:rsidRDefault="00AB2EE3" w:rsidP="00AB2EE3">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BPA.D030</w:t>
            </w:r>
          </w:p>
        </w:tc>
        <w:tc>
          <w:tcPr>
            <w:tcW w:w="1262" w:type="dxa"/>
            <w:tcBorders>
              <w:top w:val="nil"/>
              <w:left w:val="nil"/>
              <w:bottom w:val="nil"/>
              <w:right w:val="single" w:sz="8" w:space="0" w:color="auto"/>
            </w:tcBorders>
            <w:shd w:val="clear" w:color="auto" w:fill="auto"/>
            <w:noWrap/>
            <w:vAlign w:val="center"/>
            <w:hideMark/>
          </w:tcPr>
          <w:p w14:paraId="33FAE045" w14:textId="77777777" w:rsidR="00AB2EE3" w:rsidRPr="009548D7" w:rsidRDefault="00AB2EE3" w:rsidP="00AB2EE3">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BPA.E030</w:t>
            </w:r>
          </w:p>
        </w:tc>
        <w:tc>
          <w:tcPr>
            <w:tcW w:w="4562" w:type="dxa"/>
            <w:tcBorders>
              <w:top w:val="nil"/>
              <w:left w:val="nil"/>
              <w:bottom w:val="nil"/>
            </w:tcBorders>
            <w:shd w:val="clear" w:color="000000" w:fill="FFFFFF"/>
            <w:noWrap/>
            <w:vAlign w:val="center"/>
            <w:hideMark/>
          </w:tcPr>
          <w:p w14:paraId="3A7A8ECF" w14:textId="5404510F" w:rsidR="00AB2EE3" w:rsidRPr="009548D7" w:rsidRDefault="00283510" w:rsidP="00283510">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AB2EE3" w:rsidRPr="009548D7">
              <w:rPr>
                <w:rFonts w:ascii="Arial Narrow" w:eastAsia="Times New Roman" w:hAnsi="Arial Narrow" w:cs="Arial"/>
                <w:sz w:val="16"/>
                <w:szCs w:val="16"/>
                <w:lang w:eastAsia="pt-BR"/>
              </w:rPr>
              <w:t>Pessoal a Pagar</w:t>
            </w:r>
          </w:p>
        </w:tc>
        <w:tc>
          <w:tcPr>
            <w:tcW w:w="775" w:type="dxa"/>
            <w:tcBorders>
              <w:top w:val="nil"/>
              <w:bottom w:val="nil"/>
              <w:right w:val="single" w:sz="8" w:space="0" w:color="auto"/>
            </w:tcBorders>
            <w:shd w:val="clear" w:color="auto" w:fill="auto"/>
            <w:noWrap/>
            <w:vAlign w:val="center"/>
          </w:tcPr>
          <w:p w14:paraId="0AC56994" w14:textId="77777777" w:rsidR="00AB2EE3" w:rsidRPr="009548D7" w:rsidRDefault="00AB2EE3" w:rsidP="00AB2EE3">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52700617" w14:textId="77777777" w:rsidR="00AB2EE3" w:rsidRPr="009548D7" w:rsidRDefault="00AB2EE3" w:rsidP="00AB2EE3">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BPA.H030</w:t>
            </w:r>
          </w:p>
        </w:tc>
        <w:tc>
          <w:tcPr>
            <w:tcW w:w="1420" w:type="dxa"/>
            <w:tcBorders>
              <w:top w:val="nil"/>
              <w:left w:val="nil"/>
              <w:bottom w:val="nil"/>
              <w:right w:val="single" w:sz="8" w:space="0" w:color="auto"/>
            </w:tcBorders>
            <w:shd w:val="clear" w:color="auto" w:fill="auto"/>
            <w:noWrap/>
            <w:vAlign w:val="center"/>
            <w:hideMark/>
          </w:tcPr>
          <w:p w14:paraId="2EA68A75" w14:textId="77777777" w:rsidR="00AB2EE3" w:rsidRPr="009548D7" w:rsidRDefault="00AB2EE3" w:rsidP="00AB2EE3">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BPA.I030</w:t>
            </w:r>
          </w:p>
        </w:tc>
      </w:tr>
      <w:tr w:rsidR="00AB2EE3" w:rsidRPr="009548D7" w14:paraId="0980621D" w14:textId="77777777" w:rsidTr="002315E1">
        <w:trPr>
          <w:trHeight w:val="255"/>
        </w:trPr>
        <w:tc>
          <w:tcPr>
            <w:tcW w:w="4410" w:type="dxa"/>
            <w:tcBorders>
              <w:top w:val="nil"/>
              <w:left w:val="single" w:sz="8" w:space="0" w:color="auto"/>
              <w:bottom w:val="nil"/>
            </w:tcBorders>
            <w:shd w:val="clear" w:color="auto" w:fill="auto"/>
            <w:noWrap/>
            <w:vAlign w:val="center"/>
            <w:hideMark/>
          </w:tcPr>
          <w:p w14:paraId="7DBF2A67" w14:textId="5C015E48" w:rsidR="00AB2EE3" w:rsidRPr="009548D7" w:rsidRDefault="00283510" w:rsidP="00283510">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AB2EE3" w:rsidRPr="009548D7">
              <w:rPr>
                <w:rFonts w:ascii="Arial Narrow" w:eastAsia="Times New Roman" w:hAnsi="Arial Narrow" w:cs="Arial"/>
                <w:sz w:val="16"/>
                <w:szCs w:val="16"/>
                <w:lang w:eastAsia="pt-BR"/>
              </w:rPr>
              <w:t>Créditos Tributários a Receber</w:t>
            </w:r>
          </w:p>
        </w:tc>
        <w:tc>
          <w:tcPr>
            <w:tcW w:w="767" w:type="dxa"/>
            <w:tcBorders>
              <w:top w:val="nil"/>
              <w:bottom w:val="nil"/>
              <w:right w:val="single" w:sz="8" w:space="0" w:color="auto"/>
            </w:tcBorders>
            <w:shd w:val="clear" w:color="auto" w:fill="auto"/>
            <w:noWrap/>
            <w:vAlign w:val="center"/>
          </w:tcPr>
          <w:p w14:paraId="29CAAA94" w14:textId="77777777" w:rsidR="00AB2EE3" w:rsidRPr="009548D7" w:rsidRDefault="00AB2EE3" w:rsidP="00AB2EE3">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5EFEBEAA" w14:textId="77777777" w:rsidR="00AB2EE3" w:rsidRPr="009548D7" w:rsidRDefault="00AB2EE3" w:rsidP="00AB2EE3">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BPA.D031</w:t>
            </w:r>
          </w:p>
        </w:tc>
        <w:tc>
          <w:tcPr>
            <w:tcW w:w="1262" w:type="dxa"/>
            <w:tcBorders>
              <w:top w:val="nil"/>
              <w:left w:val="nil"/>
              <w:bottom w:val="nil"/>
              <w:right w:val="single" w:sz="8" w:space="0" w:color="auto"/>
            </w:tcBorders>
            <w:shd w:val="clear" w:color="auto" w:fill="auto"/>
            <w:noWrap/>
            <w:vAlign w:val="center"/>
            <w:hideMark/>
          </w:tcPr>
          <w:p w14:paraId="6DE563DC" w14:textId="77777777" w:rsidR="00AB2EE3" w:rsidRPr="009548D7" w:rsidRDefault="00AB2EE3" w:rsidP="00AB2EE3">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BPA.E031</w:t>
            </w:r>
          </w:p>
        </w:tc>
        <w:tc>
          <w:tcPr>
            <w:tcW w:w="4562" w:type="dxa"/>
            <w:tcBorders>
              <w:top w:val="nil"/>
              <w:left w:val="nil"/>
              <w:bottom w:val="nil"/>
            </w:tcBorders>
            <w:shd w:val="clear" w:color="000000" w:fill="FFFFFF"/>
            <w:noWrap/>
            <w:vAlign w:val="center"/>
            <w:hideMark/>
          </w:tcPr>
          <w:p w14:paraId="1434E28A" w14:textId="1809D257" w:rsidR="00AB2EE3" w:rsidRPr="009548D7" w:rsidRDefault="00283510" w:rsidP="00283510">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AB2EE3" w:rsidRPr="009548D7">
              <w:rPr>
                <w:rFonts w:ascii="Arial Narrow" w:eastAsia="Times New Roman" w:hAnsi="Arial Narrow" w:cs="Arial"/>
                <w:sz w:val="16"/>
                <w:szCs w:val="16"/>
                <w:lang w:eastAsia="pt-BR"/>
              </w:rPr>
              <w:t>Benefícios Previdenciários a Pagar</w:t>
            </w:r>
          </w:p>
        </w:tc>
        <w:tc>
          <w:tcPr>
            <w:tcW w:w="775" w:type="dxa"/>
            <w:tcBorders>
              <w:top w:val="nil"/>
              <w:bottom w:val="nil"/>
              <w:right w:val="single" w:sz="8" w:space="0" w:color="auto"/>
            </w:tcBorders>
            <w:shd w:val="clear" w:color="auto" w:fill="auto"/>
            <w:noWrap/>
            <w:vAlign w:val="center"/>
          </w:tcPr>
          <w:p w14:paraId="4BE38619" w14:textId="77777777" w:rsidR="00AB2EE3" w:rsidRPr="009548D7" w:rsidRDefault="00AB2EE3" w:rsidP="00AB2EE3">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729C4F3C" w14:textId="77777777" w:rsidR="00AB2EE3" w:rsidRPr="009548D7" w:rsidRDefault="00AB2EE3" w:rsidP="00AB2EE3">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BPA.H031</w:t>
            </w:r>
          </w:p>
        </w:tc>
        <w:tc>
          <w:tcPr>
            <w:tcW w:w="1420" w:type="dxa"/>
            <w:tcBorders>
              <w:top w:val="nil"/>
              <w:left w:val="nil"/>
              <w:bottom w:val="nil"/>
              <w:right w:val="single" w:sz="8" w:space="0" w:color="auto"/>
            </w:tcBorders>
            <w:shd w:val="clear" w:color="auto" w:fill="auto"/>
            <w:noWrap/>
            <w:vAlign w:val="center"/>
            <w:hideMark/>
          </w:tcPr>
          <w:p w14:paraId="7198AF0C" w14:textId="77777777" w:rsidR="00AB2EE3" w:rsidRPr="009548D7" w:rsidRDefault="00AB2EE3" w:rsidP="00AB2EE3">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BPA.I031</w:t>
            </w:r>
          </w:p>
        </w:tc>
      </w:tr>
      <w:tr w:rsidR="00AB2EE3" w:rsidRPr="009548D7" w14:paraId="3D4B6BD2" w14:textId="77777777" w:rsidTr="002315E1">
        <w:trPr>
          <w:trHeight w:val="255"/>
        </w:trPr>
        <w:tc>
          <w:tcPr>
            <w:tcW w:w="4410" w:type="dxa"/>
            <w:tcBorders>
              <w:top w:val="nil"/>
              <w:left w:val="single" w:sz="8" w:space="0" w:color="auto"/>
              <w:bottom w:val="nil"/>
            </w:tcBorders>
            <w:shd w:val="clear" w:color="auto" w:fill="auto"/>
            <w:noWrap/>
            <w:vAlign w:val="center"/>
            <w:hideMark/>
          </w:tcPr>
          <w:p w14:paraId="1D40A4AA" w14:textId="5026713B" w:rsidR="00AB2EE3" w:rsidRPr="009548D7" w:rsidRDefault="00283510" w:rsidP="00283510">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AB2EE3" w:rsidRPr="009548D7">
              <w:rPr>
                <w:rFonts w:ascii="Arial Narrow" w:eastAsia="Times New Roman" w:hAnsi="Arial Narrow" w:cs="Arial"/>
                <w:sz w:val="16"/>
                <w:szCs w:val="16"/>
                <w:lang w:eastAsia="pt-BR"/>
              </w:rPr>
              <w:t>Clientes</w:t>
            </w:r>
          </w:p>
        </w:tc>
        <w:tc>
          <w:tcPr>
            <w:tcW w:w="767" w:type="dxa"/>
            <w:tcBorders>
              <w:top w:val="nil"/>
              <w:bottom w:val="nil"/>
              <w:right w:val="single" w:sz="8" w:space="0" w:color="auto"/>
            </w:tcBorders>
            <w:shd w:val="clear" w:color="auto" w:fill="auto"/>
            <w:noWrap/>
            <w:vAlign w:val="center"/>
          </w:tcPr>
          <w:p w14:paraId="53F9D517" w14:textId="77777777" w:rsidR="00AB2EE3" w:rsidRPr="009548D7" w:rsidRDefault="00AB2EE3" w:rsidP="00AB2EE3">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3270AA33" w14:textId="77777777" w:rsidR="00AB2EE3" w:rsidRPr="009548D7" w:rsidRDefault="00AB2EE3" w:rsidP="00AB2EE3">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BPA.D032</w:t>
            </w:r>
          </w:p>
        </w:tc>
        <w:tc>
          <w:tcPr>
            <w:tcW w:w="1262" w:type="dxa"/>
            <w:tcBorders>
              <w:top w:val="nil"/>
              <w:left w:val="nil"/>
              <w:bottom w:val="nil"/>
              <w:right w:val="single" w:sz="8" w:space="0" w:color="auto"/>
            </w:tcBorders>
            <w:shd w:val="clear" w:color="auto" w:fill="auto"/>
            <w:noWrap/>
            <w:vAlign w:val="center"/>
            <w:hideMark/>
          </w:tcPr>
          <w:p w14:paraId="273E2E03" w14:textId="77777777" w:rsidR="00AB2EE3" w:rsidRPr="009548D7" w:rsidRDefault="00AB2EE3" w:rsidP="00AB2EE3">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BPA.E032</w:t>
            </w:r>
          </w:p>
        </w:tc>
        <w:tc>
          <w:tcPr>
            <w:tcW w:w="4562" w:type="dxa"/>
            <w:tcBorders>
              <w:top w:val="nil"/>
              <w:left w:val="nil"/>
              <w:bottom w:val="nil"/>
            </w:tcBorders>
            <w:shd w:val="clear" w:color="000000" w:fill="FFFFFF"/>
            <w:noWrap/>
            <w:vAlign w:val="center"/>
            <w:hideMark/>
          </w:tcPr>
          <w:p w14:paraId="1777E782" w14:textId="37E9E82D" w:rsidR="00AB2EE3" w:rsidRPr="009548D7" w:rsidRDefault="00283510" w:rsidP="00283510">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AB2EE3" w:rsidRPr="009548D7">
              <w:rPr>
                <w:rFonts w:ascii="Arial Narrow" w:eastAsia="Times New Roman" w:hAnsi="Arial Narrow" w:cs="Arial"/>
                <w:sz w:val="16"/>
                <w:szCs w:val="16"/>
                <w:lang w:eastAsia="pt-BR"/>
              </w:rPr>
              <w:t>Benefícios Assistenciais a Pagar</w:t>
            </w:r>
          </w:p>
        </w:tc>
        <w:tc>
          <w:tcPr>
            <w:tcW w:w="775" w:type="dxa"/>
            <w:tcBorders>
              <w:top w:val="nil"/>
              <w:bottom w:val="nil"/>
              <w:right w:val="single" w:sz="8" w:space="0" w:color="auto"/>
            </w:tcBorders>
            <w:shd w:val="clear" w:color="auto" w:fill="auto"/>
            <w:noWrap/>
            <w:vAlign w:val="center"/>
          </w:tcPr>
          <w:p w14:paraId="6DF92577" w14:textId="77777777" w:rsidR="00AB2EE3" w:rsidRPr="009548D7" w:rsidRDefault="00AB2EE3" w:rsidP="00AB2EE3">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0A1F2BC3" w14:textId="77777777" w:rsidR="00AB2EE3" w:rsidRPr="009548D7" w:rsidRDefault="00AB2EE3" w:rsidP="00AB2EE3">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BPA.H032</w:t>
            </w:r>
          </w:p>
        </w:tc>
        <w:tc>
          <w:tcPr>
            <w:tcW w:w="1420" w:type="dxa"/>
            <w:tcBorders>
              <w:top w:val="nil"/>
              <w:left w:val="nil"/>
              <w:bottom w:val="nil"/>
              <w:right w:val="single" w:sz="8" w:space="0" w:color="auto"/>
            </w:tcBorders>
            <w:shd w:val="clear" w:color="auto" w:fill="auto"/>
            <w:noWrap/>
            <w:vAlign w:val="center"/>
            <w:hideMark/>
          </w:tcPr>
          <w:p w14:paraId="68DE901C" w14:textId="77777777" w:rsidR="00AB2EE3" w:rsidRPr="009548D7" w:rsidRDefault="00AB2EE3" w:rsidP="00AB2EE3">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BPA.I032</w:t>
            </w:r>
          </w:p>
        </w:tc>
      </w:tr>
      <w:tr w:rsidR="00AB2EE3" w:rsidRPr="009548D7" w14:paraId="0A16929B" w14:textId="77777777" w:rsidTr="002315E1">
        <w:trPr>
          <w:trHeight w:val="255"/>
        </w:trPr>
        <w:tc>
          <w:tcPr>
            <w:tcW w:w="4410" w:type="dxa"/>
            <w:tcBorders>
              <w:top w:val="nil"/>
              <w:left w:val="single" w:sz="8" w:space="0" w:color="auto"/>
            </w:tcBorders>
            <w:shd w:val="clear" w:color="auto" w:fill="auto"/>
            <w:noWrap/>
            <w:vAlign w:val="center"/>
            <w:hideMark/>
          </w:tcPr>
          <w:p w14:paraId="1174357A" w14:textId="5E6770B7" w:rsidR="00AB2EE3" w:rsidRPr="009548D7" w:rsidRDefault="00283510" w:rsidP="00283510">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AB2EE3" w:rsidRPr="009548D7">
              <w:rPr>
                <w:rFonts w:ascii="Arial Narrow" w:eastAsia="Times New Roman" w:hAnsi="Arial Narrow" w:cs="Arial"/>
                <w:sz w:val="16"/>
                <w:szCs w:val="16"/>
                <w:lang w:eastAsia="pt-BR"/>
              </w:rPr>
              <w:t>Empréstimos e Financiamentos Concedidos</w:t>
            </w:r>
          </w:p>
        </w:tc>
        <w:tc>
          <w:tcPr>
            <w:tcW w:w="767" w:type="dxa"/>
            <w:tcBorders>
              <w:top w:val="nil"/>
              <w:right w:val="single" w:sz="8" w:space="0" w:color="auto"/>
            </w:tcBorders>
            <w:shd w:val="clear" w:color="auto" w:fill="auto"/>
            <w:noWrap/>
            <w:vAlign w:val="center"/>
          </w:tcPr>
          <w:p w14:paraId="32344929" w14:textId="77777777" w:rsidR="00AB2EE3" w:rsidRPr="009548D7" w:rsidRDefault="00AB2EE3" w:rsidP="00AB2EE3">
            <w:pPr>
              <w:spacing w:after="0" w:line="240" w:lineRule="auto"/>
              <w:jc w:val="center"/>
              <w:rPr>
                <w:rFonts w:ascii="Arial Narrow" w:eastAsia="Times New Roman" w:hAnsi="Arial Narrow" w:cs="Arial"/>
                <w:sz w:val="16"/>
                <w:szCs w:val="16"/>
                <w:lang w:eastAsia="pt-BR"/>
              </w:rPr>
            </w:pPr>
          </w:p>
        </w:tc>
        <w:tc>
          <w:tcPr>
            <w:tcW w:w="1063" w:type="dxa"/>
            <w:tcBorders>
              <w:top w:val="nil"/>
              <w:left w:val="nil"/>
              <w:right w:val="single" w:sz="8" w:space="0" w:color="auto"/>
            </w:tcBorders>
            <w:shd w:val="clear" w:color="auto" w:fill="auto"/>
            <w:noWrap/>
            <w:vAlign w:val="center"/>
            <w:hideMark/>
          </w:tcPr>
          <w:p w14:paraId="1AE77A72" w14:textId="77777777" w:rsidR="00AB2EE3" w:rsidRPr="009548D7" w:rsidRDefault="00AB2EE3" w:rsidP="00AB2EE3">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BPA.D033</w:t>
            </w:r>
          </w:p>
        </w:tc>
        <w:tc>
          <w:tcPr>
            <w:tcW w:w="1262" w:type="dxa"/>
            <w:tcBorders>
              <w:top w:val="nil"/>
              <w:left w:val="nil"/>
              <w:right w:val="single" w:sz="8" w:space="0" w:color="auto"/>
            </w:tcBorders>
            <w:shd w:val="clear" w:color="auto" w:fill="auto"/>
            <w:noWrap/>
            <w:vAlign w:val="center"/>
            <w:hideMark/>
          </w:tcPr>
          <w:p w14:paraId="3D512501" w14:textId="77777777" w:rsidR="00AB2EE3" w:rsidRPr="009548D7" w:rsidRDefault="00AB2EE3" w:rsidP="00AB2EE3">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BPA.E033</w:t>
            </w:r>
          </w:p>
        </w:tc>
        <w:tc>
          <w:tcPr>
            <w:tcW w:w="4562" w:type="dxa"/>
            <w:tcBorders>
              <w:top w:val="nil"/>
              <w:left w:val="nil"/>
            </w:tcBorders>
            <w:shd w:val="clear" w:color="000000" w:fill="FFFFFF"/>
            <w:noWrap/>
            <w:vAlign w:val="center"/>
            <w:hideMark/>
          </w:tcPr>
          <w:p w14:paraId="6D057D0A" w14:textId="1846E372" w:rsidR="00AB2EE3" w:rsidRPr="009548D7" w:rsidRDefault="00283510" w:rsidP="00283510">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AB2EE3" w:rsidRPr="009548D7">
              <w:rPr>
                <w:rFonts w:ascii="Arial Narrow" w:eastAsia="Times New Roman" w:hAnsi="Arial Narrow" w:cs="Arial"/>
                <w:sz w:val="16"/>
                <w:szCs w:val="16"/>
                <w:lang w:eastAsia="pt-BR"/>
              </w:rPr>
              <w:t>Encargos Sociais a Pagar</w:t>
            </w:r>
          </w:p>
        </w:tc>
        <w:tc>
          <w:tcPr>
            <w:tcW w:w="775" w:type="dxa"/>
            <w:tcBorders>
              <w:top w:val="nil"/>
              <w:right w:val="single" w:sz="8" w:space="0" w:color="auto"/>
            </w:tcBorders>
            <w:shd w:val="clear" w:color="auto" w:fill="auto"/>
            <w:noWrap/>
            <w:vAlign w:val="center"/>
          </w:tcPr>
          <w:p w14:paraId="069AD522" w14:textId="77777777" w:rsidR="00AB2EE3" w:rsidRPr="009548D7" w:rsidRDefault="00AB2EE3" w:rsidP="00AB2EE3">
            <w:pPr>
              <w:spacing w:after="0" w:line="240" w:lineRule="auto"/>
              <w:jc w:val="center"/>
              <w:rPr>
                <w:rFonts w:ascii="Arial Narrow" w:eastAsia="Times New Roman" w:hAnsi="Arial Narrow" w:cs="Arial"/>
                <w:sz w:val="16"/>
                <w:szCs w:val="16"/>
                <w:lang w:eastAsia="pt-BR"/>
              </w:rPr>
            </w:pPr>
          </w:p>
        </w:tc>
        <w:tc>
          <w:tcPr>
            <w:tcW w:w="1063" w:type="dxa"/>
            <w:tcBorders>
              <w:top w:val="nil"/>
              <w:left w:val="nil"/>
              <w:right w:val="single" w:sz="8" w:space="0" w:color="auto"/>
            </w:tcBorders>
            <w:shd w:val="clear" w:color="auto" w:fill="auto"/>
            <w:noWrap/>
            <w:vAlign w:val="center"/>
            <w:hideMark/>
          </w:tcPr>
          <w:p w14:paraId="7CEF2D6C" w14:textId="77777777" w:rsidR="00AB2EE3" w:rsidRPr="009548D7" w:rsidRDefault="00AB2EE3" w:rsidP="00AB2EE3">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BPA.H033</w:t>
            </w:r>
          </w:p>
        </w:tc>
        <w:tc>
          <w:tcPr>
            <w:tcW w:w="1420" w:type="dxa"/>
            <w:tcBorders>
              <w:top w:val="nil"/>
              <w:left w:val="nil"/>
              <w:right w:val="single" w:sz="8" w:space="0" w:color="auto"/>
            </w:tcBorders>
            <w:shd w:val="clear" w:color="auto" w:fill="auto"/>
            <w:noWrap/>
            <w:vAlign w:val="center"/>
            <w:hideMark/>
          </w:tcPr>
          <w:p w14:paraId="7EAE91A6" w14:textId="77777777" w:rsidR="00AB2EE3" w:rsidRPr="009548D7" w:rsidRDefault="00AB2EE3" w:rsidP="00AB2EE3">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BPA.I033</w:t>
            </w:r>
          </w:p>
        </w:tc>
      </w:tr>
      <w:tr w:rsidR="00AB2EE3" w:rsidRPr="009548D7" w14:paraId="45FBD347" w14:textId="77777777" w:rsidTr="002315E1">
        <w:trPr>
          <w:trHeight w:val="255"/>
        </w:trPr>
        <w:tc>
          <w:tcPr>
            <w:tcW w:w="4410" w:type="dxa"/>
            <w:tcBorders>
              <w:top w:val="nil"/>
              <w:left w:val="single" w:sz="8" w:space="0" w:color="auto"/>
            </w:tcBorders>
            <w:shd w:val="clear" w:color="auto" w:fill="auto"/>
            <w:noWrap/>
            <w:vAlign w:val="center"/>
            <w:hideMark/>
          </w:tcPr>
          <w:p w14:paraId="1F02FD2E" w14:textId="3A2EE93A" w:rsidR="00AB2EE3" w:rsidRPr="009548D7" w:rsidRDefault="00283510" w:rsidP="00283510">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AB2EE3" w:rsidRPr="009548D7">
              <w:rPr>
                <w:rFonts w:ascii="Arial Narrow" w:eastAsia="Times New Roman" w:hAnsi="Arial Narrow" w:cs="Arial"/>
                <w:sz w:val="16"/>
                <w:szCs w:val="16"/>
                <w:lang w:eastAsia="pt-BR"/>
              </w:rPr>
              <w:t>Dívida Ativa Tributária</w:t>
            </w:r>
          </w:p>
        </w:tc>
        <w:tc>
          <w:tcPr>
            <w:tcW w:w="767" w:type="dxa"/>
            <w:tcBorders>
              <w:top w:val="nil"/>
              <w:right w:val="single" w:sz="8" w:space="0" w:color="auto"/>
            </w:tcBorders>
            <w:shd w:val="clear" w:color="auto" w:fill="auto"/>
            <w:noWrap/>
            <w:vAlign w:val="center"/>
          </w:tcPr>
          <w:p w14:paraId="50B7A261" w14:textId="77777777" w:rsidR="00AB2EE3" w:rsidRPr="009548D7" w:rsidRDefault="00AB2EE3" w:rsidP="00AB2EE3">
            <w:pPr>
              <w:spacing w:after="0" w:line="240" w:lineRule="auto"/>
              <w:jc w:val="center"/>
              <w:rPr>
                <w:rFonts w:ascii="Arial Narrow" w:eastAsia="Times New Roman" w:hAnsi="Arial Narrow" w:cs="Arial"/>
                <w:sz w:val="16"/>
                <w:szCs w:val="16"/>
                <w:lang w:eastAsia="pt-BR"/>
              </w:rPr>
            </w:pPr>
          </w:p>
        </w:tc>
        <w:tc>
          <w:tcPr>
            <w:tcW w:w="1063" w:type="dxa"/>
            <w:tcBorders>
              <w:top w:val="nil"/>
              <w:left w:val="nil"/>
              <w:right w:val="single" w:sz="8" w:space="0" w:color="auto"/>
            </w:tcBorders>
            <w:shd w:val="clear" w:color="auto" w:fill="auto"/>
            <w:noWrap/>
            <w:vAlign w:val="center"/>
            <w:hideMark/>
          </w:tcPr>
          <w:p w14:paraId="2FDD46D2" w14:textId="77777777" w:rsidR="00AB2EE3" w:rsidRPr="009548D7" w:rsidRDefault="00AB2EE3" w:rsidP="00AB2EE3">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BPA.D034</w:t>
            </w:r>
          </w:p>
        </w:tc>
        <w:tc>
          <w:tcPr>
            <w:tcW w:w="1262" w:type="dxa"/>
            <w:tcBorders>
              <w:top w:val="nil"/>
              <w:left w:val="nil"/>
              <w:right w:val="single" w:sz="8" w:space="0" w:color="auto"/>
            </w:tcBorders>
            <w:shd w:val="clear" w:color="auto" w:fill="auto"/>
            <w:noWrap/>
            <w:vAlign w:val="center"/>
            <w:hideMark/>
          </w:tcPr>
          <w:p w14:paraId="56F2A920" w14:textId="77777777" w:rsidR="00AB2EE3" w:rsidRPr="009548D7" w:rsidRDefault="00AB2EE3" w:rsidP="00AB2EE3">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BPA.E034</w:t>
            </w:r>
          </w:p>
        </w:tc>
        <w:tc>
          <w:tcPr>
            <w:tcW w:w="4562" w:type="dxa"/>
            <w:tcBorders>
              <w:top w:val="nil"/>
              <w:left w:val="nil"/>
            </w:tcBorders>
            <w:shd w:val="clear" w:color="auto" w:fill="auto"/>
            <w:noWrap/>
            <w:vAlign w:val="center"/>
            <w:hideMark/>
          </w:tcPr>
          <w:p w14:paraId="364F0B5D" w14:textId="2119894B" w:rsidR="00AB2EE3" w:rsidRPr="009548D7" w:rsidRDefault="00283510" w:rsidP="00283510">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AB2EE3" w:rsidRPr="009548D7">
              <w:rPr>
                <w:rFonts w:ascii="Arial Narrow" w:eastAsia="Times New Roman" w:hAnsi="Arial Narrow" w:cs="Arial"/>
                <w:sz w:val="16"/>
                <w:szCs w:val="16"/>
                <w:lang w:eastAsia="pt-BR"/>
              </w:rPr>
              <w:t>Empréstimos e Financiamentos a Longo Prazo</w:t>
            </w:r>
          </w:p>
        </w:tc>
        <w:tc>
          <w:tcPr>
            <w:tcW w:w="775" w:type="dxa"/>
            <w:tcBorders>
              <w:top w:val="nil"/>
              <w:right w:val="single" w:sz="8" w:space="0" w:color="auto"/>
            </w:tcBorders>
            <w:shd w:val="clear" w:color="auto" w:fill="auto"/>
            <w:noWrap/>
            <w:vAlign w:val="center"/>
          </w:tcPr>
          <w:p w14:paraId="1173C75B" w14:textId="77777777" w:rsidR="00AB2EE3" w:rsidRPr="009548D7" w:rsidRDefault="00AB2EE3" w:rsidP="00AB2EE3">
            <w:pPr>
              <w:spacing w:after="0" w:line="240" w:lineRule="auto"/>
              <w:jc w:val="center"/>
              <w:rPr>
                <w:rFonts w:ascii="Arial Narrow" w:eastAsia="Times New Roman" w:hAnsi="Arial Narrow" w:cs="Arial"/>
                <w:sz w:val="16"/>
                <w:szCs w:val="16"/>
                <w:lang w:eastAsia="pt-BR"/>
              </w:rPr>
            </w:pPr>
          </w:p>
        </w:tc>
        <w:tc>
          <w:tcPr>
            <w:tcW w:w="1063" w:type="dxa"/>
            <w:tcBorders>
              <w:top w:val="nil"/>
              <w:left w:val="nil"/>
              <w:right w:val="single" w:sz="8" w:space="0" w:color="auto"/>
            </w:tcBorders>
            <w:shd w:val="clear" w:color="auto" w:fill="auto"/>
            <w:noWrap/>
            <w:vAlign w:val="center"/>
            <w:hideMark/>
          </w:tcPr>
          <w:p w14:paraId="21B395FF" w14:textId="77777777" w:rsidR="00AB2EE3" w:rsidRPr="009548D7" w:rsidRDefault="00AB2EE3" w:rsidP="00AB2EE3">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BPA.H034</w:t>
            </w:r>
          </w:p>
        </w:tc>
        <w:tc>
          <w:tcPr>
            <w:tcW w:w="1420" w:type="dxa"/>
            <w:tcBorders>
              <w:top w:val="nil"/>
              <w:left w:val="nil"/>
              <w:right w:val="single" w:sz="8" w:space="0" w:color="auto"/>
            </w:tcBorders>
            <w:shd w:val="clear" w:color="auto" w:fill="auto"/>
            <w:noWrap/>
            <w:vAlign w:val="center"/>
            <w:hideMark/>
          </w:tcPr>
          <w:p w14:paraId="018E2A5D" w14:textId="77777777" w:rsidR="00AB2EE3" w:rsidRPr="009548D7" w:rsidRDefault="00AB2EE3" w:rsidP="00AB2EE3">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BPA.I034</w:t>
            </w:r>
          </w:p>
        </w:tc>
      </w:tr>
      <w:tr w:rsidR="00AB2EE3" w:rsidRPr="009548D7" w14:paraId="5FACB586" w14:textId="77777777" w:rsidTr="002315E1">
        <w:trPr>
          <w:trHeight w:val="255"/>
        </w:trPr>
        <w:tc>
          <w:tcPr>
            <w:tcW w:w="4410" w:type="dxa"/>
            <w:tcBorders>
              <w:top w:val="nil"/>
              <w:left w:val="single" w:sz="8" w:space="0" w:color="auto"/>
              <w:bottom w:val="nil"/>
            </w:tcBorders>
            <w:shd w:val="clear" w:color="auto" w:fill="auto"/>
            <w:noWrap/>
            <w:vAlign w:val="center"/>
            <w:hideMark/>
          </w:tcPr>
          <w:p w14:paraId="68E52C0D" w14:textId="0E1FFA20" w:rsidR="00AB2EE3" w:rsidRPr="009548D7" w:rsidRDefault="00283510" w:rsidP="00283510">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AB2EE3" w:rsidRPr="009548D7">
              <w:rPr>
                <w:rFonts w:ascii="Arial Narrow" w:eastAsia="Times New Roman" w:hAnsi="Arial Narrow" w:cs="Arial"/>
                <w:sz w:val="16"/>
                <w:szCs w:val="16"/>
                <w:lang w:eastAsia="pt-BR"/>
              </w:rPr>
              <w:t>Divida Ativa não Tributária</w:t>
            </w:r>
          </w:p>
        </w:tc>
        <w:tc>
          <w:tcPr>
            <w:tcW w:w="767" w:type="dxa"/>
            <w:tcBorders>
              <w:top w:val="nil"/>
              <w:bottom w:val="nil"/>
              <w:right w:val="single" w:sz="8" w:space="0" w:color="auto"/>
            </w:tcBorders>
            <w:shd w:val="clear" w:color="auto" w:fill="auto"/>
            <w:noWrap/>
            <w:vAlign w:val="center"/>
          </w:tcPr>
          <w:p w14:paraId="3AD7CB2F" w14:textId="77777777" w:rsidR="00AB2EE3" w:rsidRPr="009548D7" w:rsidRDefault="00AB2EE3" w:rsidP="00AB2EE3">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039AA976" w14:textId="77777777" w:rsidR="00AB2EE3" w:rsidRPr="009548D7" w:rsidRDefault="00AB2EE3" w:rsidP="00AB2EE3">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BPA.D035</w:t>
            </w:r>
          </w:p>
        </w:tc>
        <w:tc>
          <w:tcPr>
            <w:tcW w:w="1262" w:type="dxa"/>
            <w:tcBorders>
              <w:top w:val="nil"/>
              <w:left w:val="nil"/>
              <w:bottom w:val="nil"/>
              <w:right w:val="single" w:sz="8" w:space="0" w:color="auto"/>
            </w:tcBorders>
            <w:shd w:val="clear" w:color="auto" w:fill="auto"/>
            <w:noWrap/>
            <w:vAlign w:val="center"/>
            <w:hideMark/>
          </w:tcPr>
          <w:p w14:paraId="5F63D01C" w14:textId="77777777" w:rsidR="00AB2EE3" w:rsidRPr="009548D7" w:rsidRDefault="00AB2EE3" w:rsidP="00AB2EE3">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BPA.E035</w:t>
            </w:r>
          </w:p>
        </w:tc>
        <w:tc>
          <w:tcPr>
            <w:tcW w:w="4562" w:type="dxa"/>
            <w:tcBorders>
              <w:top w:val="nil"/>
              <w:left w:val="nil"/>
              <w:bottom w:val="nil"/>
            </w:tcBorders>
            <w:shd w:val="clear" w:color="auto" w:fill="auto"/>
            <w:noWrap/>
            <w:vAlign w:val="center"/>
            <w:hideMark/>
          </w:tcPr>
          <w:p w14:paraId="13339D83" w14:textId="14013B3C" w:rsidR="00AB2EE3" w:rsidRPr="009548D7" w:rsidRDefault="00283510" w:rsidP="00283510">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AB2EE3" w:rsidRPr="009548D7">
              <w:rPr>
                <w:rFonts w:ascii="Arial Narrow" w:eastAsia="Times New Roman" w:hAnsi="Arial Narrow" w:cs="Arial"/>
                <w:sz w:val="16"/>
                <w:szCs w:val="16"/>
                <w:lang w:eastAsia="pt-BR"/>
              </w:rPr>
              <w:t>Fornecedores e Contas a Pagar a Longo Prazo</w:t>
            </w:r>
          </w:p>
        </w:tc>
        <w:tc>
          <w:tcPr>
            <w:tcW w:w="775" w:type="dxa"/>
            <w:tcBorders>
              <w:top w:val="nil"/>
              <w:bottom w:val="nil"/>
              <w:right w:val="single" w:sz="8" w:space="0" w:color="auto"/>
            </w:tcBorders>
            <w:shd w:val="clear" w:color="auto" w:fill="auto"/>
            <w:noWrap/>
            <w:vAlign w:val="center"/>
          </w:tcPr>
          <w:p w14:paraId="3E2E6E2D" w14:textId="77777777" w:rsidR="00AB2EE3" w:rsidRPr="009548D7" w:rsidRDefault="00AB2EE3" w:rsidP="00AB2EE3">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1645880C" w14:textId="77777777" w:rsidR="00AB2EE3" w:rsidRPr="009548D7" w:rsidRDefault="00AB2EE3" w:rsidP="00AB2EE3">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BPA.H035</w:t>
            </w:r>
          </w:p>
        </w:tc>
        <w:tc>
          <w:tcPr>
            <w:tcW w:w="1420" w:type="dxa"/>
            <w:tcBorders>
              <w:top w:val="nil"/>
              <w:left w:val="nil"/>
              <w:bottom w:val="nil"/>
              <w:right w:val="single" w:sz="8" w:space="0" w:color="auto"/>
            </w:tcBorders>
            <w:shd w:val="clear" w:color="auto" w:fill="auto"/>
            <w:noWrap/>
            <w:vAlign w:val="center"/>
            <w:hideMark/>
          </w:tcPr>
          <w:p w14:paraId="0480E3B8" w14:textId="77777777" w:rsidR="00AB2EE3" w:rsidRPr="009548D7" w:rsidRDefault="00AB2EE3" w:rsidP="00AB2EE3">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BPA.I035</w:t>
            </w:r>
          </w:p>
        </w:tc>
      </w:tr>
      <w:tr w:rsidR="00AB2EE3" w:rsidRPr="009548D7" w14:paraId="41AF246D" w14:textId="77777777" w:rsidTr="002315E1">
        <w:trPr>
          <w:trHeight w:val="255"/>
        </w:trPr>
        <w:tc>
          <w:tcPr>
            <w:tcW w:w="4410" w:type="dxa"/>
            <w:tcBorders>
              <w:top w:val="nil"/>
              <w:left w:val="single" w:sz="8" w:space="0" w:color="auto"/>
              <w:bottom w:val="nil"/>
            </w:tcBorders>
            <w:shd w:val="clear" w:color="auto" w:fill="auto"/>
            <w:noWrap/>
            <w:vAlign w:val="center"/>
          </w:tcPr>
          <w:p w14:paraId="7FBCD1E8" w14:textId="785E3216" w:rsidR="00AB2EE3" w:rsidRPr="009B4545" w:rsidRDefault="00283510" w:rsidP="00283510">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AB2EE3" w:rsidRPr="009B4545">
              <w:rPr>
                <w:rFonts w:ascii="Arial Narrow" w:eastAsia="Times New Roman" w:hAnsi="Arial Narrow" w:cs="Arial"/>
                <w:sz w:val="16"/>
                <w:szCs w:val="16"/>
                <w:lang w:eastAsia="pt-BR"/>
              </w:rPr>
              <w:t>Créditos Previdenciários do RPPS</w:t>
            </w:r>
          </w:p>
        </w:tc>
        <w:tc>
          <w:tcPr>
            <w:tcW w:w="767" w:type="dxa"/>
            <w:tcBorders>
              <w:top w:val="nil"/>
              <w:bottom w:val="nil"/>
              <w:right w:val="single" w:sz="8" w:space="0" w:color="auto"/>
            </w:tcBorders>
            <w:shd w:val="clear" w:color="auto" w:fill="auto"/>
            <w:noWrap/>
            <w:vAlign w:val="center"/>
          </w:tcPr>
          <w:p w14:paraId="09CDB7A2" w14:textId="77777777" w:rsidR="00AB2EE3" w:rsidRPr="009B4545" w:rsidRDefault="00AB2EE3" w:rsidP="00AB2EE3">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tcPr>
          <w:p w14:paraId="340A6931" w14:textId="77777777" w:rsidR="00AB2EE3" w:rsidRPr="009B4545" w:rsidRDefault="00AB2EE3" w:rsidP="00AB2EE3">
            <w:pPr>
              <w:spacing w:after="0" w:line="240" w:lineRule="auto"/>
              <w:jc w:val="center"/>
              <w:rPr>
                <w:rFonts w:ascii="Arial Narrow" w:eastAsia="Times New Roman" w:hAnsi="Arial Narrow" w:cs="Arial"/>
                <w:sz w:val="16"/>
                <w:szCs w:val="16"/>
                <w:lang w:eastAsia="pt-BR"/>
              </w:rPr>
            </w:pPr>
            <w:r w:rsidRPr="009B4545">
              <w:rPr>
                <w:rFonts w:ascii="Arial Narrow" w:eastAsia="Times New Roman" w:hAnsi="Arial Narrow" w:cs="Arial"/>
                <w:sz w:val="16"/>
                <w:szCs w:val="16"/>
                <w:lang w:eastAsia="pt-BR"/>
              </w:rPr>
              <w:t>BPA.D073</w:t>
            </w:r>
          </w:p>
        </w:tc>
        <w:tc>
          <w:tcPr>
            <w:tcW w:w="1262" w:type="dxa"/>
            <w:tcBorders>
              <w:top w:val="nil"/>
              <w:left w:val="nil"/>
              <w:bottom w:val="nil"/>
              <w:right w:val="single" w:sz="8" w:space="0" w:color="auto"/>
            </w:tcBorders>
            <w:shd w:val="clear" w:color="auto" w:fill="auto"/>
            <w:noWrap/>
            <w:vAlign w:val="center"/>
          </w:tcPr>
          <w:p w14:paraId="0E723E24" w14:textId="77777777" w:rsidR="00AB2EE3" w:rsidRPr="009B4545" w:rsidRDefault="00AB2EE3" w:rsidP="00AB2EE3">
            <w:pPr>
              <w:spacing w:after="0" w:line="240" w:lineRule="auto"/>
              <w:jc w:val="center"/>
              <w:rPr>
                <w:rFonts w:ascii="Arial Narrow" w:eastAsia="Times New Roman" w:hAnsi="Arial Narrow" w:cs="Arial"/>
                <w:sz w:val="16"/>
                <w:szCs w:val="16"/>
                <w:lang w:eastAsia="pt-BR"/>
              </w:rPr>
            </w:pPr>
            <w:r w:rsidRPr="009B4545">
              <w:rPr>
                <w:rFonts w:ascii="Arial Narrow" w:eastAsia="Times New Roman" w:hAnsi="Arial Narrow" w:cs="Arial"/>
                <w:sz w:val="16"/>
                <w:szCs w:val="16"/>
                <w:lang w:eastAsia="pt-BR"/>
              </w:rPr>
              <w:t>BPA.E073</w:t>
            </w:r>
          </w:p>
        </w:tc>
        <w:tc>
          <w:tcPr>
            <w:tcW w:w="4562" w:type="dxa"/>
            <w:tcBorders>
              <w:top w:val="nil"/>
              <w:left w:val="nil"/>
              <w:bottom w:val="nil"/>
            </w:tcBorders>
            <w:shd w:val="clear" w:color="auto" w:fill="auto"/>
            <w:noWrap/>
            <w:vAlign w:val="center"/>
          </w:tcPr>
          <w:p w14:paraId="4FC6AD8A" w14:textId="262D4F7C" w:rsidR="00AB2EE3" w:rsidRPr="009548D7" w:rsidRDefault="00283510" w:rsidP="00283510">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AB2EE3" w:rsidRPr="009548D7">
              <w:rPr>
                <w:rFonts w:ascii="Arial Narrow" w:eastAsia="Times New Roman" w:hAnsi="Arial Narrow" w:cs="Arial"/>
                <w:sz w:val="16"/>
                <w:szCs w:val="16"/>
                <w:lang w:eastAsia="pt-BR"/>
              </w:rPr>
              <w:t>Obrigações Fiscais a Longo Prazo</w:t>
            </w:r>
          </w:p>
        </w:tc>
        <w:tc>
          <w:tcPr>
            <w:tcW w:w="775" w:type="dxa"/>
            <w:tcBorders>
              <w:top w:val="nil"/>
              <w:bottom w:val="nil"/>
              <w:right w:val="single" w:sz="8" w:space="0" w:color="auto"/>
            </w:tcBorders>
            <w:shd w:val="clear" w:color="auto" w:fill="auto"/>
            <w:noWrap/>
            <w:vAlign w:val="center"/>
          </w:tcPr>
          <w:p w14:paraId="13FC6565" w14:textId="77777777" w:rsidR="00AB2EE3" w:rsidRPr="009548D7" w:rsidRDefault="00AB2EE3" w:rsidP="00AB2EE3">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tcPr>
          <w:p w14:paraId="54CA9A7F" w14:textId="77777777" w:rsidR="00AB2EE3" w:rsidRPr="009548D7" w:rsidRDefault="00AB2EE3" w:rsidP="00AB2EE3">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BPA.H036</w:t>
            </w:r>
          </w:p>
        </w:tc>
        <w:tc>
          <w:tcPr>
            <w:tcW w:w="1420" w:type="dxa"/>
            <w:tcBorders>
              <w:top w:val="nil"/>
              <w:left w:val="nil"/>
              <w:bottom w:val="nil"/>
              <w:right w:val="single" w:sz="8" w:space="0" w:color="auto"/>
            </w:tcBorders>
            <w:shd w:val="clear" w:color="auto" w:fill="auto"/>
            <w:noWrap/>
            <w:vAlign w:val="center"/>
          </w:tcPr>
          <w:p w14:paraId="7B95ECEC" w14:textId="77777777" w:rsidR="00AB2EE3" w:rsidRPr="009548D7" w:rsidRDefault="00AB2EE3" w:rsidP="00AB2EE3">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BPA.I036</w:t>
            </w:r>
          </w:p>
        </w:tc>
      </w:tr>
      <w:tr w:rsidR="00AF12EA" w:rsidRPr="009548D7" w14:paraId="74410FBD" w14:textId="77777777" w:rsidTr="002315E1">
        <w:trPr>
          <w:trHeight w:val="255"/>
        </w:trPr>
        <w:tc>
          <w:tcPr>
            <w:tcW w:w="4410" w:type="dxa"/>
            <w:tcBorders>
              <w:top w:val="nil"/>
              <w:left w:val="single" w:sz="8" w:space="0" w:color="auto"/>
              <w:bottom w:val="nil"/>
            </w:tcBorders>
            <w:shd w:val="clear" w:color="auto" w:fill="auto"/>
            <w:noWrap/>
            <w:vAlign w:val="center"/>
          </w:tcPr>
          <w:p w14:paraId="0F40E0AB" w14:textId="040CC032" w:rsidR="00AF12EA" w:rsidRPr="009B4545" w:rsidRDefault="00283510" w:rsidP="00283510">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AF12EA" w:rsidRPr="00806700">
              <w:rPr>
                <w:rFonts w:ascii="Arial Narrow" w:eastAsia="Times New Roman" w:hAnsi="Arial Narrow" w:cs="Arial"/>
                <w:sz w:val="16"/>
                <w:szCs w:val="16"/>
                <w:lang w:eastAsia="pt-BR"/>
              </w:rPr>
              <w:t>Outros Créditos a Longo Prazo</w:t>
            </w:r>
          </w:p>
        </w:tc>
        <w:tc>
          <w:tcPr>
            <w:tcW w:w="767" w:type="dxa"/>
            <w:tcBorders>
              <w:top w:val="nil"/>
              <w:bottom w:val="nil"/>
              <w:right w:val="single" w:sz="8" w:space="0" w:color="auto"/>
            </w:tcBorders>
            <w:shd w:val="clear" w:color="auto" w:fill="auto"/>
            <w:noWrap/>
            <w:vAlign w:val="center"/>
          </w:tcPr>
          <w:p w14:paraId="46F7B10D" w14:textId="77777777" w:rsidR="00AF12EA" w:rsidRPr="009B4545" w:rsidRDefault="00AF12EA" w:rsidP="00AF12EA">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tcPr>
          <w:p w14:paraId="27500AA7" w14:textId="7FC8C077" w:rsidR="00AF12EA" w:rsidRPr="009B4545" w:rsidRDefault="00AF12EA" w:rsidP="00AF12EA">
            <w:pPr>
              <w:spacing w:after="0" w:line="240" w:lineRule="auto"/>
              <w:jc w:val="center"/>
              <w:rPr>
                <w:rFonts w:ascii="Arial Narrow" w:eastAsia="Times New Roman" w:hAnsi="Arial Narrow" w:cs="Arial"/>
                <w:sz w:val="16"/>
                <w:szCs w:val="16"/>
                <w:lang w:eastAsia="pt-BR"/>
              </w:rPr>
            </w:pPr>
            <w:r w:rsidRPr="00806700">
              <w:rPr>
                <w:rFonts w:ascii="Arial Narrow" w:eastAsia="Times New Roman" w:hAnsi="Arial Narrow" w:cs="Arial"/>
                <w:sz w:val="16"/>
                <w:szCs w:val="16"/>
                <w:lang w:eastAsia="pt-BR"/>
              </w:rPr>
              <w:t>BPA.D090</w:t>
            </w:r>
          </w:p>
        </w:tc>
        <w:tc>
          <w:tcPr>
            <w:tcW w:w="1262" w:type="dxa"/>
            <w:tcBorders>
              <w:top w:val="nil"/>
              <w:left w:val="nil"/>
              <w:bottom w:val="nil"/>
              <w:right w:val="single" w:sz="8" w:space="0" w:color="auto"/>
            </w:tcBorders>
            <w:shd w:val="clear" w:color="auto" w:fill="auto"/>
            <w:noWrap/>
            <w:vAlign w:val="center"/>
          </w:tcPr>
          <w:p w14:paraId="44B574B8" w14:textId="538CA52B" w:rsidR="00AF12EA" w:rsidRPr="009B4545" w:rsidRDefault="00AF12EA" w:rsidP="00AF12EA">
            <w:pPr>
              <w:spacing w:after="0" w:line="240" w:lineRule="auto"/>
              <w:jc w:val="center"/>
              <w:rPr>
                <w:rFonts w:ascii="Arial Narrow" w:eastAsia="Times New Roman" w:hAnsi="Arial Narrow" w:cs="Arial"/>
                <w:sz w:val="16"/>
                <w:szCs w:val="16"/>
                <w:lang w:eastAsia="pt-BR"/>
              </w:rPr>
            </w:pPr>
            <w:r w:rsidRPr="00806700">
              <w:rPr>
                <w:rFonts w:ascii="Arial Narrow" w:eastAsia="Times New Roman" w:hAnsi="Arial Narrow" w:cs="Arial"/>
                <w:sz w:val="16"/>
                <w:szCs w:val="16"/>
                <w:lang w:eastAsia="pt-BR"/>
              </w:rPr>
              <w:t>BPA.E090</w:t>
            </w:r>
          </w:p>
        </w:tc>
        <w:tc>
          <w:tcPr>
            <w:tcW w:w="4562" w:type="dxa"/>
            <w:tcBorders>
              <w:top w:val="nil"/>
              <w:left w:val="nil"/>
              <w:bottom w:val="nil"/>
            </w:tcBorders>
            <w:shd w:val="clear" w:color="auto" w:fill="auto"/>
            <w:noWrap/>
            <w:vAlign w:val="center"/>
          </w:tcPr>
          <w:p w14:paraId="004B9EB3" w14:textId="7103A250" w:rsidR="00AF12EA" w:rsidRPr="00E34F75" w:rsidRDefault="00283510" w:rsidP="00283510">
            <w:pPr>
              <w:spacing w:after="0" w:line="240" w:lineRule="auto"/>
              <w:rPr>
                <w:rFonts w:ascii="Arial Narrow" w:eastAsia="Times New Roman" w:hAnsi="Arial Narrow" w:cs="Arial"/>
                <w:sz w:val="16"/>
                <w:szCs w:val="16"/>
                <w:lang w:eastAsia="pt-BR"/>
              </w:rPr>
            </w:pPr>
            <w:r>
              <w:rPr>
                <w:rFonts w:ascii="Arial Narrow" w:eastAsia="Times New Roman" w:hAnsi="Arial Narrow" w:cs="Arial"/>
                <w:color w:val="0070C0"/>
                <w:sz w:val="16"/>
                <w:szCs w:val="16"/>
                <w:lang w:eastAsia="pt-BR"/>
              </w:rPr>
              <w:t xml:space="preserve">     </w:t>
            </w:r>
            <w:r w:rsidR="00AF12EA" w:rsidRPr="00E34F75">
              <w:rPr>
                <w:rFonts w:ascii="Arial Narrow" w:eastAsia="Times New Roman" w:hAnsi="Arial Narrow" w:cs="Arial"/>
                <w:color w:val="0070C0"/>
                <w:sz w:val="16"/>
                <w:szCs w:val="16"/>
                <w:lang w:eastAsia="pt-BR"/>
              </w:rPr>
              <w:t>Transferências Fiscais a Longo Prazo</w:t>
            </w:r>
          </w:p>
        </w:tc>
        <w:tc>
          <w:tcPr>
            <w:tcW w:w="775" w:type="dxa"/>
            <w:tcBorders>
              <w:top w:val="nil"/>
              <w:bottom w:val="nil"/>
              <w:right w:val="single" w:sz="8" w:space="0" w:color="auto"/>
            </w:tcBorders>
            <w:shd w:val="clear" w:color="auto" w:fill="auto"/>
            <w:noWrap/>
            <w:vAlign w:val="center"/>
          </w:tcPr>
          <w:p w14:paraId="7013E30F" w14:textId="77777777" w:rsidR="00AF12EA" w:rsidRPr="00E34F75" w:rsidRDefault="00AF12EA" w:rsidP="00AF12EA">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tcPr>
          <w:p w14:paraId="45FAB2D5" w14:textId="1058F5EC" w:rsidR="00AF12EA" w:rsidRPr="00E34F75" w:rsidRDefault="00AF12EA" w:rsidP="00AF12EA">
            <w:pPr>
              <w:spacing w:after="0" w:line="240" w:lineRule="auto"/>
              <w:jc w:val="center"/>
              <w:rPr>
                <w:rFonts w:ascii="Arial Narrow" w:eastAsia="Times New Roman" w:hAnsi="Arial Narrow" w:cs="Arial"/>
                <w:sz w:val="16"/>
                <w:szCs w:val="16"/>
                <w:lang w:eastAsia="pt-BR"/>
              </w:rPr>
            </w:pPr>
            <w:r w:rsidRPr="00E34F75">
              <w:rPr>
                <w:rFonts w:ascii="Arial Narrow" w:eastAsia="Times New Roman" w:hAnsi="Arial Narrow" w:cs="Arial"/>
                <w:color w:val="0070C0"/>
                <w:sz w:val="16"/>
                <w:szCs w:val="16"/>
                <w:lang w:eastAsia="pt-BR"/>
              </w:rPr>
              <w:t>BPA.H09</w:t>
            </w:r>
            <w:r w:rsidR="00E34F75" w:rsidRPr="00E34F75">
              <w:rPr>
                <w:rFonts w:ascii="Arial Narrow" w:eastAsia="Times New Roman" w:hAnsi="Arial Narrow" w:cs="Arial"/>
                <w:color w:val="0070C0"/>
                <w:sz w:val="16"/>
                <w:szCs w:val="16"/>
                <w:lang w:eastAsia="pt-BR"/>
              </w:rPr>
              <w:t>2</w:t>
            </w:r>
          </w:p>
        </w:tc>
        <w:tc>
          <w:tcPr>
            <w:tcW w:w="1420" w:type="dxa"/>
            <w:tcBorders>
              <w:top w:val="nil"/>
              <w:left w:val="nil"/>
              <w:bottom w:val="nil"/>
              <w:right w:val="single" w:sz="8" w:space="0" w:color="auto"/>
            </w:tcBorders>
            <w:shd w:val="clear" w:color="auto" w:fill="auto"/>
            <w:noWrap/>
            <w:vAlign w:val="center"/>
          </w:tcPr>
          <w:p w14:paraId="3DAB6B52" w14:textId="6AF2DCFC" w:rsidR="00AF12EA" w:rsidRPr="00E34F75" w:rsidRDefault="00AF12EA" w:rsidP="00AF12EA">
            <w:pPr>
              <w:spacing w:after="0" w:line="240" w:lineRule="auto"/>
              <w:jc w:val="center"/>
              <w:rPr>
                <w:rFonts w:ascii="Arial Narrow" w:eastAsia="Times New Roman" w:hAnsi="Arial Narrow" w:cs="Arial"/>
                <w:sz w:val="16"/>
                <w:szCs w:val="16"/>
                <w:lang w:eastAsia="pt-BR"/>
              </w:rPr>
            </w:pPr>
            <w:r w:rsidRPr="00E34F75">
              <w:rPr>
                <w:rFonts w:ascii="Arial Narrow" w:eastAsia="Times New Roman" w:hAnsi="Arial Narrow" w:cs="Arial"/>
                <w:color w:val="0070C0"/>
                <w:sz w:val="16"/>
                <w:szCs w:val="16"/>
                <w:lang w:eastAsia="pt-BR"/>
              </w:rPr>
              <w:t>BPA.I09</w:t>
            </w:r>
            <w:r w:rsidR="00E34F75" w:rsidRPr="00E34F75">
              <w:rPr>
                <w:rFonts w:ascii="Arial Narrow" w:eastAsia="Times New Roman" w:hAnsi="Arial Narrow" w:cs="Arial"/>
                <w:color w:val="0070C0"/>
                <w:sz w:val="16"/>
                <w:szCs w:val="16"/>
                <w:lang w:eastAsia="pt-BR"/>
              </w:rPr>
              <w:t>2</w:t>
            </w:r>
          </w:p>
        </w:tc>
      </w:tr>
      <w:tr w:rsidR="00AF12EA" w:rsidRPr="009548D7" w14:paraId="640EB787" w14:textId="77777777" w:rsidTr="002315E1">
        <w:trPr>
          <w:trHeight w:val="255"/>
        </w:trPr>
        <w:tc>
          <w:tcPr>
            <w:tcW w:w="4410" w:type="dxa"/>
            <w:tcBorders>
              <w:top w:val="nil"/>
              <w:left w:val="single" w:sz="8" w:space="0" w:color="auto"/>
              <w:bottom w:val="nil"/>
            </w:tcBorders>
            <w:shd w:val="clear" w:color="auto" w:fill="auto"/>
            <w:noWrap/>
            <w:vAlign w:val="center"/>
          </w:tcPr>
          <w:p w14:paraId="77154BD3" w14:textId="2F7E4784" w:rsidR="00AF12EA" w:rsidRPr="00806700" w:rsidRDefault="00283510" w:rsidP="00283510">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AF12EA" w:rsidRPr="00806700">
              <w:rPr>
                <w:rFonts w:ascii="Arial Narrow" w:eastAsia="Times New Roman" w:hAnsi="Arial Narrow" w:cs="Arial"/>
                <w:sz w:val="16"/>
                <w:szCs w:val="16"/>
                <w:lang w:eastAsia="pt-BR"/>
              </w:rPr>
              <w:t>(-) Ajuste de Perdas de Créditos a Longo Prazo</w:t>
            </w:r>
          </w:p>
        </w:tc>
        <w:tc>
          <w:tcPr>
            <w:tcW w:w="767" w:type="dxa"/>
            <w:tcBorders>
              <w:top w:val="nil"/>
              <w:bottom w:val="nil"/>
              <w:right w:val="single" w:sz="8" w:space="0" w:color="auto"/>
            </w:tcBorders>
            <w:shd w:val="clear" w:color="auto" w:fill="auto"/>
            <w:noWrap/>
            <w:vAlign w:val="center"/>
          </w:tcPr>
          <w:p w14:paraId="070AE2E1" w14:textId="77777777" w:rsidR="00AF12EA" w:rsidRPr="00806700" w:rsidRDefault="00AF12EA" w:rsidP="00AF12EA">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tcPr>
          <w:p w14:paraId="47AE83B7" w14:textId="26D6F303" w:rsidR="00AF12EA" w:rsidRPr="00806700" w:rsidRDefault="00AF12EA" w:rsidP="00AF12EA">
            <w:pPr>
              <w:spacing w:after="0" w:line="240" w:lineRule="auto"/>
              <w:jc w:val="center"/>
              <w:rPr>
                <w:rFonts w:ascii="Arial Narrow" w:eastAsia="Times New Roman" w:hAnsi="Arial Narrow" w:cs="Arial"/>
                <w:sz w:val="16"/>
                <w:szCs w:val="16"/>
                <w:lang w:eastAsia="pt-BR"/>
              </w:rPr>
            </w:pPr>
            <w:r w:rsidRPr="00806700">
              <w:rPr>
                <w:rFonts w:ascii="Arial Narrow" w:eastAsia="Times New Roman" w:hAnsi="Arial Narrow" w:cs="Arial"/>
                <w:sz w:val="16"/>
                <w:szCs w:val="16"/>
                <w:lang w:eastAsia="pt-BR"/>
              </w:rPr>
              <w:t>BPA.D036</w:t>
            </w:r>
          </w:p>
        </w:tc>
        <w:tc>
          <w:tcPr>
            <w:tcW w:w="1262" w:type="dxa"/>
            <w:tcBorders>
              <w:top w:val="nil"/>
              <w:left w:val="nil"/>
              <w:bottom w:val="nil"/>
              <w:right w:val="single" w:sz="8" w:space="0" w:color="auto"/>
            </w:tcBorders>
            <w:shd w:val="clear" w:color="auto" w:fill="auto"/>
            <w:noWrap/>
            <w:vAlign w:val="center"/>
          </w:tcPr>
          <w:p w14:paraId="0CFFE33E" w14:textId="640EB36D" w:rsidR="00AF12EA" w:rsidRPr="00806700" w:rsidRDefault="00AF12EA" w:rsidP="00AF12EA">
            <w:pPr>
              <w:spacing w:after="0" w:line="240" w:lineRule="auto"/>
              <w:jc w:val="center"/>
              <w:rPr>
                <w:rFonts w:ascii="Arial Narrow" w:eastAsia="Times New Roman" w:hAnsi="Arial Narrow" w:cs="Arial"/>
                <w:sz w:val="16"/>
                <w:szCs w:val="16"/>
                <w:lang w:eastAsia="pt-BR"/>
              </w:rPr>
            </w:pPr>
            <w:r w:rsidRPr="00806700">
              <w:rPr>
                <w:rFonts w:ascii="Arial Narrow" w:eastAsia="Times New Roman" w:hAnsi="Arial Narrow" w:cs="Arial"/>
                <w:sz w:val="16"/>
                <w:szCs w:val="16"/>
                <w:lang w:eastAsia="pt-BR"/>
              </w:rPr>
              <w:t>BPA.E036</w:t>
            </w:r>
          </w:p>
        </w:tc>
        <w:tc>
          <w:tcPr>
            <w:tcW w:w="4562" w:type="dxa"/>
            <w:tcBorders>
              <w:top w:val="nil"/>
              <w:left w:val="nil"/>
              <w:bottom w:val="nil"/>
            </w:tcBorders>
            <w:shd w:val="clear" w:color="auto" w:fill="auto"/>
            <w:noWrap/>
            <w:vAlign w:val="center"/>
          </w:tcPr>
          <w:p w14:paraId="4FBD7A3E" w14:textId="6B7394C6" w:rsidR="00AF12EA" w:rsidRPr="009548D7" w:rsidRDefault="00283510" w:rsidP="00283510">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AF12EA" w:rsidRPr="009548D7">
              <w:rPr>
                <w:rFonts w:ascii="Arial Narrow" w:eastAsia="Times New Roman" w:hAnsi="Arial Narrow" w:cs="Arial"/>
                <w:sz w:val="16"/>
                <w:szCs w:val="16"/>
                <w:lang w:eastAsia="pt-BR"/>
              </w:rPr>
              <w:t>Provisões a Longo Prazo</w:t>
            </w:r>
          </w:p>
        </w:tc>
        <w:tc>
          <w:tcPr>
            <w:tcW w:w="775" w:type="dxa"/>
            <w:tcBorders>
              <w:top w:val="nil"/>
              <w:bottom w:val="nil"/>
              <w:right w:val="single" w:sz="8" w:space="0" w:color="auto"/>
            </w:tcBorders>
            <w:shd w:val="clear" w:color="auto" w:fill="auto"/>
            <w:noWrap/>
            <w:vAlign w:val="center"/>
          </w:tcPr>
          <w:p w14:paraId="3307899F"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tcPr>
          <w:p w14:paraId="43375E38"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BPA.H037</w:t>
            </w:r>
          </w:p>
        </w:tc>
        <w:tc>
          <w:tcPr>
            <w:tcW w:w="1420" w:type="dxa"/>
            <w:tcBorders>
              <w:top w:val="nil"/>
              <w:left w:val="nil"/>
              <w:bottom w:val="nil"/>
              <w:right w:val="single" w:sz="8" w:space="0" w:color="auto"/>
            </w:tcBorders>
            <w:shd w:val="clear" w:color="auto" w:fill="auto"/>
            <w:noWrap/>
            <w:vAlign w:val="center"/>
          </w:tcPr>
          <w:p w14:paraId="3E2672CB"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BPA.I037</w:t>
            </w:r>
          </w:p>
        </w:tc>
      </w:tr>
      <w:tr w:rsidR="00AF12EA" w:rsidRPr="009548D7" w14:paraId="3C7FCB63" w14:textId="77777777" w:rsidTr="002315E1">
        <w:trPr>
          <w:trHeight w:val="255"/>
        </w:trPr>
        <w:tc>
          <w:tcPr>
            <w:tcW w:w="4410" w:type="dxa"/>
            <w:tcBorders>
              <w:top w:val="nil"/>
              <w:left w:val="single" w:sz="8" w:space="0" w:color="auto"/>
              <w:bottom w:val="nil"/>
            </w:tcBorders>
            <w:shd w:val="clear" w:color="auto" w:fill="auto"/>
            <w:noWrap/>
            <w:vAlign w:val="center"/>
            <w:hideMark/>
          </w:tcPr>
          <w:p w14:paraId="23A39175" w14:textId="4C411D65" w:rsidR="00AF12EA" w:rsidRPr="00806700" w:rsidRDefault="00283510" w:rsidP="00283510">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AF12EA" w:rsidRPr="009548D7">
              <w:rPr>
                <w:rFonts w:ascii="Arial Narrow" w:eastAsia="Times New Roman" w:hAnsi="Arial Narrow" w:cs="Arial"/>
                <w:sz w:val="16"/>
                <w:szCs w:val="16"/>
                <w:lang w:eastAsia="pt-BR"/>
              </w:rPr>
              <w:t>Demais Créditos e Valores a Longo Prazo</w:t>
            </w:r>
          </w:p>
        </w:tc>
        <w:tc>
          <w:tcPr>
            <w:tcW w:w="767" w:type="dxa"/>
            <w:tcBorders>
              <w:top w:val="nil"/>
              <w:bottom w:val="nil"/>
              <w:right w:val="single" w:sz="8" w:space="0" w:color="auto"/>
            </w:tcBorders>
            <w:shd w:val="clear" w:color="auto" w:fill="auto"/>
            <w:noWrap/>
            <w:vAlign w:val="center"/>
          </w:tcPr>
          <w:p w14:paraId="5510000E" w14:textId="77777777" w:rsidR="00AF12EA" w:rsidRPr="00806700" w:rsidRDefault="00AF12EA" w:rsidP="00AF12EA">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61DF0F05" w14:textId="7207C220" w:rsidR="00AF12EA" w:rsidRPr="00806700" w:rsidRDefault="00AF12EA"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BPA.D037</w:t>
            </w:r>
          </w:p>
        </w:tc>
        <w:tc>
          <w:tcPr>
            <w:tcW w:w="1262" w:type="dxa"/>
            <w:tcBorders>
              <w:top w:val="nil"/>
              <w:left w:val="nil"/>
              <w:bottom w:val="nil"/>
              <w:right w:val="single" w:sz="8" w:space="0" w:color="auto"/>
            </w:tcBorders>
            <w:shd w:val="clear" w:color="auto" w:fill="auto"/>
            <w:noWrap/>
            <w:vAlign w:val="center"/>
            <w:hideMark/>
          </w:tcPr>
          <w:p w14:paraId="45502F46" w14:textId="1544A5B2" w:rsidR="00AF12EA" w:rsidRPr="00806700" w:rsidRDefault="00AF12EA"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BPA.E037</w:t>
            </w:r>
          </w:p>
        </w:tc>
        <w:tc>
          <w:tcPr>
            <w:tcW w:w="4562" w:type="dxa"/>
            <w:tcBorders>
              <w:top w:val="nil"/>
              <w:left w:val="nil"/>
              <w:bottom w:val="nil"/>
            </w:tcBorders>
            <w:shd w:val="clear" w:color="auto" w:fill="auto"/>
            <w:noWrap/>
            <w:vAlign w:val="center"/>
            <w:hideMark/>
          </w:tcPr>
          <w:p w14:paraId="30325EF5" w14:textId="5958550F" w:rsidR="00AF12EA" w:rsidRPr="009548D7" w:rsidRDefault="00283510" w:rsidP="00283510">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AF12EA" w:rsidRPr="009548D7">
              <w:rPr>
                <w:rFonts w:ascii="Arial Narrow" w:eastAsia="Times New Roman" w:hAnsi="Arial Narrow" w:cs="Arial"/>
                <w:sz w:val="16"/>
                <w:szCs w:val="16"/>
                <w:lang w:eastAsia="pt-BR"/>
              </w:rPr>
              <w:t>Provisões para Riscos Trabalhistas a Longo Prazo</w:t>
            </w:r>
          </w:p>
        </w:tc>
        <w:tc>
          <w:tcPr>
            <w:tcW w:w="775" w:type="dxa"/>
            <w:tcBorders>
              <w:top w:val="nil"/>
              <w:bottom w:val="nil"/>
              <w:right w:val="single" w:sz="8" w:space="0" w:color="auto"/>
            </w:tcBorders>
            <w:shd w:val="clear" w:color="auto" w:fill="auto"/>
            <w:noWrap/>
            <w:vAlign w:val="center"/>
          </w:tcPr>
          <w:p w14:paraId="17719E45"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7CD1788E"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BPA.H038</w:t>
            </w:r>
          </w:p>
        </w:tc>
        <w:tc>
          <w:tcPr>
            <w:tcW w:w="1420" w:type="dxa"/>
            <w:tcBorders>
              <w:top w:val="nil"/>
              <w:left w:val="nil"/>
              <w:bottom w:val="nil"/>
              <w:right w:val="single" w:sz="8" w:space="0" w:color="auto"/>
            </w:tcBorders>
            <w:shd w:val="clear" w:color="auto" w:fill="auto"/>
            <w:noWrap/>
            <w:vAlign w:val="center"/>
            <w:hideMark/>
          </w:tcPr>
          <w:p w14:paraId="0B0AE855"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BPA.I038</w:t>
            </w:r>
          </w:p>
        </w:tc>
      </w:tr>
      <w:tr w:rsidR="00AF12EA" w:rsidRPr="009548D7" w14:paraId="152F41F1" w14:textId="77777777" w:rsidTr="002315E1">
        <w:trPr>
          <w:trHeight w:val="255"/>
        </w:trPr>
        <w:tc>
          <w:tcPr>
            <w:tcW w:w="4410" w:type="dxa"/>
            <w:tcBorders>
              <w:top w:val="nil"/>
              <w:left w:val="single" w:sz="8" w:space="0" w:color="auto"/>
              <w:bottom w:val="nil"/>
            </w:tcBorders>
            <w:shd w:val="clear" w:color="auto" w:fill="auto"/>
            <w:noWrap/>
            <w:vAlign w:val="center"/>
            <w:hideMark/>
          </w:tcPr>
          <w:p w14:paraId="0DAA6BE3" w14:textId="5502D042" w:rsidR="00AF12EA" w:rsidRPr="009548D7" w:rsidRDefault="00777A02" w:rsidP="00777A02">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AF12EA" w:rsidRPr="009548D7">
              <w:rPr>
                <w:rFonts w:ascii="Arial Narrow" w:eastAsia="Times New Roman" w:hAnsi="Arial Narrow" w:cs="Arial"/>
                <w:sz w:val="16"/>
                <w:szCs w:val="16"/>
                <w:lang w:eastAsia="pt-BR"/>
              </w:rPr>
              <w:t>Investimentos e Aplicações Temporárias a Longo Prazo</w:t>
            </w:r>
          </w:p>
        </w:tc>
        <w:tc>
          <w:tcPr>
            <w:tcW w:w="767" w:type="dxa"/>
            <w:tcBorders>
              <w:top w:val="nil"/>
              <w:bottom w:val="nil"/>
              <w:right w:val="single" w:sz="8" w:space="0" w:color="auto"/>
            </w:tcBorders>
            <w:shd w:val="clear" w:color="auto" w:fill="auto"/>
            <w:noWrap/>
            <w:vAlign w:val="center"/>
          </w:tcPr>
          <w:p w14:paraId="5DF98B8D"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496B80E1" w14:textId="24045025" w:rsidR="00AF12EA" w:rsidRPr="009548D7" w:rsidRDefault="00AF12EA"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BPA.D038</w:t>
            </w:r>
          </w:p>
        </w:tc>
        <w:tc>
          <w:tcPr>
            <w:tcW w:w="1262" w:type="dxa"/>
            <w:tcBorders>
              <w:top w:val="nil"/>
              <w:left w:val="nil"/>
              <w:bottom w:val="nil"/>
              <w:right w:val="single" w:sz="8" w:space="0" w:color="auto"/>
            </w:tcBorders>
            <w:shd w:val="clear" w:color="auto" w:fill="auto"/>
            <w:noWrap/>
            <w:vAlign w:val="center"/>
            <w:hideMark/>
          </w:tcPr>
          <w:p w14:paraId="3C3C1DB7" w14:textId="4EECE2B8" w:rsidR="00AF12EA" w:rsidRPr="009548D7" w:rsidRDefault="00AF12EA"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BPA.E038</w:t>
            </w:r>
          </w:p>
        </w:tc>
        <w:tc>
          <w:tcPr>
            <w:tcW w:w="4562" w:type="dxa"/>
            <w:tcBorders>
              <w:top w:val="nil"/>
              <w:left w:val="nil"/>
              <w:bottom w:val="nil"/>
            </w:tcBorders>
            <w:shd w:val="clear" w:color="000000" w:fill="FFFFFF"/>
            <w:noWrap/>
            <w:vAlign w:val="center"/>
            <w:hideMark/>
          </w:tcPr>
          <w:p w14:paraId="694CD77C" w14:textId="4AC84054" w:rsidR="00AF12EA" w:rsidRPr="009548D7" w:rsidRDefault="00283510" w:rsidP="00283510">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AF12EA" w:rsidRPr="009548D7">
              <w:rPr>
                <w:rFonts w:ascii="Arial Narrow" w:eastAsia="Times New Roman" w:hAnsi="Arial Narrow" w:cs="Arial"/>
                <w:sz w:val="16"/>
                <w:szCs w:val="16"/>
                <w:lang w:eastAsia="pt-BR"/>
              </w:rPr>
              <w:t>Provisões Matemáticas Previdenciárias a Longo Prazo</w:t>
            </w:r>
          </w:p>
        </w:tc>
        <w:tc>
          <w:tcPr>
            <w:tcW w:w="775" w:type="dxa"/>
            <w:tcBorders>
              <w:top w:val="nil"/>
              <w:bottom w:val="nil"/>
              <w:right w:val="single" w:sz="8" w:space="0" w:color="auto"/>
            </w:tcBorders>
            <w:shd w:val="clear" w:color="auto" w:fill="auto"/>
            <w:noWrap/>
            <w:vAlign w:val="center"/>
          </w:tcPr>
          <w:p w14:paraId="43F3A05D"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745BF456"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BPA.H039</w:t>
            </w:r>
          </w:p>
        </w:tc>
        <w:tc>
          <w:tcPr>
            <w:tcW w:w="1420" w:type="dxa"/>
            <w:tcBorders>
              <w:top w:val="nil"/>
              <w:left w:val="nil"/>
              <w:bottom w:val="nil"/>
              <w:right w:val="single" w:sz="8" w:space="0" w:color="auto"/>
            </w:tcBorders>
            <w:shd w:val="clear" w:color="auto" w:fill="auto"/>
            <w:noWrap/>
            <w:vAlign w:val="center"/>
            <w:hideMark/>
          </w:tcPr>
          <w:p w14:paraId="06B97E4F"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BPA.I039</w:t>
            </w:r>
          </w:p>
        </w:tc>
      </w:tr>
      <w:tr w:rsidR="00AF12EA" w:rsidRPr="009548D7" w14:paraId="200147B1" w14:textId="77777777" w:rsidTr="002315E1">
        <w:trPr>
          <w:trHeight w:val="255"/>
        </w:trPr>
        <w:tc>
          <w:tcPr>
            <w:tcW w:w="4410" w:type="dxa"/>
            <w:tcBorders>
              <w:top w:val="nil"/>
              <w:left w:val="single" w:sz="8" w:space="0" w:color="auto"/>
              <w:bottom w:val="nil"/>
            </w:tcBorders>
            <w:shd w:val="clear" w:color="auto" w:fill="auto"/>
            <w:noWrap/>
            <w:vAlign w:val="center"/>
            <w:hideMark/>
          </w:tcPr>
          <w:p w14:paraId="51017897" w14:textId="7A1E27D6" w:rsidR="00AF12EA" w:rsidRPr="009548D7" w:rsidRDefault="00777A02" w:rsidP="00777A02">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AF12EA" w:rsidRPr="009548D7">
              <w:rPr>
                <w:rFonts w:ascii="Arial Narrow" w:eastAsia="Times New Roman" w:hAnsi="Arial Narrow" w:cs="Arial"/>
                <w:sz w:val="16"/>
                <w:szCs w:val="16"/>
                <w:lang w:eastAsia="pt-BR"/>
              </w:rPr>
              <w:t>Estoques</w:t>
            </w:r>
          </w:p>
        </w:tc>
        <w:tc>
          <w:tcPr>
            <w:tcW w:w="767" w:type="dxa"/>
            <w:tcBorders>
              <w:top w:val="nil"/>
              <w:bottom w:val="nil"/>
              <w:right w:val="single" w:sz="8" w:space="0" w:color="auto"/>
            </w:tcBorders>
            <w:shd w:val="clear" w:color="auto" w:fill="auto"/>
            <w:noWrap/>
            <w:vAlign w:val="center"/>
          </w:tcPr>
          <w:p w14:paraId="407C21FB"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75306DF3" w14:textId="4718B505" w:rsidR="00AF12EA" w:rsidRPr="009548D7" w:rsidRDefault="00AF12EA"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BPA.D039</w:t>
            </w:r>
          </w:p>
        </w:tc>
        <w:tc>
          <w:tcPr>
            <w:tcW w:w="1262" w:type="dxa"/>
            <w:tcBorders>
              <w:top w:val="nil"/>
              <w:left w:val="nil"/>
              <w:bottom w:val="nil"/>
              <w:right w:val="single" w:sz="8" w:space="0" w:color="auto"/>
            </w:tcBorders>
            <w:shd w:val="clear" w:color="auto" w:fill="auto"/>
            <w:noWrap/>
            <w:vAlign w:val="center"/>
            <w:hideMark/>
          </w:tcPr>
          <w:p w14:paraId="5DF70653" w14:textId="0E8EB3CF" w:rsidR="00AF12EA" w:rsidRPr="009548D7" w:rsidRDefault="00AF12EA"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BPA.E039</w:t>
            </w:r>
          </w:p>
        </w:tc>
        <w:tc>
          <w:tcPr>
            <w:tcW w:w="4562" w:type="dxa"/>
            <w:tcBorders>
              <w:top w:val="nil"/>
              <w:left w:val="nil"/>
              <w:bottom w:val="nil"/>
            </w:tcBorders>
            <w:shd w:val="clear" w:color="000000" w:fill="FFFFFF"/>
            <w:noWrap/>
            <w:vAlign w:val="center"/>
            <w:hideMark/>
          </w:tcPr>
          <w:p w14:paraId="68BA9284" w14:textId="6122361A" w:rsidR="00AF12EA" w:rsidRPr="009548D7" w:rsidRDefault="00283510" w:rsidP="00283510">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AF12EA" w:rsidRPr="009548D7">
              <w:rPr>
                <w:rFonts w:ascii="Arial Narrow" w:eastAsia="Times New Roman" w:hAnsi="Arial Narrow" w:cs="Arial"/>
                <w:sz w:val="16"/>
                <w:szCs w:val="16"/>
                <w:lang w:eastAsia="pt-BR"/>
              </w:rPr>
              <w:t>Provisões para Riscos Fiscais a Longo Prazo</w:t>
            </w:r>
          </w:p>
        </w:tc>
        <w:tc>
          <w:tcPr>
            <w:tcW w:w="775" w:type="dxa"/>
            <w:tcBorders>
              <w:top w:val="nil"/>
              <w:bottom w:val="nil"/>
              <w:right w:val="single" w:sz="8" w:space="0" w:color="auto"/>
            </w:tcBorders>
            <w:shd w:val="clear" w:color="auto" w:fill="auto"/>
            <w:noWrap/>
            <w:vAlign w:val="center"/>
          </w:tcPr>
          <w:p w14:paraId="5893AF2A"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34B3B699"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BPA.H040</w:t>
            </w:r>
          </w:p>
        </w:tc>
        <w:tc>
          <w:tcPr>
            <w:tcW w:w="1420" w:type="dxa"/>
            <w:tcBorders>
              <w:top w:val="nil"/>
              <w:left w:val="nil"/>
              <w:bottom w:val="nil"/>
              <w:right w:val="single" w:sz="8" w:space="0" w:color="auto"/>
            </w:tcBorders>
            <w:shd w:val="clear" w:color="auto" w:fill="auto"/>
            <w:noWrap/>
            <w:vAlign w:val="center"/>
            <w:hideMark/>
          </w:tcPr>
          <w:p w14:paraId="6D70EB57"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BPA.I040</w:t>
            </w:r>
          </w:p>
        </w:tc>
      </w:tr>
      <w:tr w:rsidR="00AF12EA" w:rsidRPr="009548D7" w14:paraId="070C456C" w14:textId="77777777" w:rsidTr="002315E1">
        <w:trPr>
          <w:trHeight w:val="255"/>
        </w:trPr>
        <w:tc>
          <w:tcPr>
            <w:tcW w:w="4410" w:type="dxa"/>
            <w:tcBorders>
              <w:top w:val="nil"/>
              <w:left w:val="single" w:sz="8" w:space="0" w:color="auto"/>
              <w:bottom w:val="nil"/>
            </w:tcBorders>
            <w:shd w:val="clear" w:color="auto" w:fill="auto"/>
            <w:noWrap/>
            <w:vAlign w:val="center"/>
            <w:hideMark/>
          </w:tcPr>
          <w:p w14:paraId="6C28181B" w14:textId="43E61184" w:rsidR="00AF12EA" w:rsidRPr="009548D7" w:rsidRDefault="00777A02" w:rsidP="00777A02">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AF12EA" w:rsidRPr="009548D7">
              <w:rPr>
                <w:rFonts w:ascii="Arial Narrow" w:eastAsia="Times New Roman" w:hAnsi="Arial Narrow" w:cs="Arial"/>
                <w:sz w:val="16"/>
                <w:szCs w:val="16"/>
                <w:lang w:eastAsia="pt-BR"/>
              </w:rPr>
              <w:t>VPD Pagas Antecipadamente</w:t>
            </w:r>
          </w:p>
        </w:tc>
        <w:tc>
          <w:tcPr>
            <w:tcW w:w="767" w:type="dxa"/>
            <w:tcBorders>
              <w:top w:val="nil"/>
              <w:bottom w:val="nil"/>
              <w:right w:val="single" w:sz="8" w:space="0" w:color="auto"/>
            </w:tcBorders>
            <w:shd w:val="clear" w:color="auto" w:fill="auto"/>
            <w:noWrap/>
            <w:vAlign w:val="center"/>
          </w:tcPr>
          <w:p w14:paraId="5931B699"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6336EFE9" w14:textId="41DDFCC8" w:rsidR="00AF12EA" w:rsidRPr="009548D7" w:rsidRDefault="00AF12EA"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BPA.D040</w:t>
            </w:r>
          </w:p>
        </w:tc>
        <w:tc>
          <w:tcPr>
            <w:tcW w:w="1262" w:type="dxa"/>
            <w:tcBorders>
              <w:top w:val="nil"/>
              <w:left w:val="nil"/>
              <w:bottom w:val="nil"/>
              <w:right w:val="single" w:sz="8" w:space="0" w:color="auto"/>
            </w:tcBorders>
            <w:shd w:val="clear" w:color="auto" w:fill="auto"/>
            <w:noWrap/>
            <w:vAlign w:val="center"/>
            <w:hideMark/>
          </w:tcPr>
          <w:p w14:paraId="4D9E9FCD" w14:textId="73423F08" w:rsidR="00AF12EA" w:rsidRPr="009548D7" w:rsidRDefault="00AF12EA"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BPA.E040</w:t>
            </w:r>
          </w:p>
        </w:tc>
        <w:tc>
          <w:tcPr>
            <w:tcW w:w="4562" w:type="dxa"/>
            <w:tcBorders>
              <w:top w:val="nil"/>
              <w:left w:val="nil"/>
              <w:bottom w:val="nil"/>
            </w:tcBorders>
            <w:shd w:val="clear" w:color="000000" w:fill="FFFFFF"/>
            <w:noWrap/>
            <w:vAlign w:val="center"/>
            <w:hideMark/>
          </w:tcPr>
          <w:p w14:paraId="5965535D" w14:textId="446C82B1" w:rsidR="00AF12EA" w:rsidRPr="009548D7" w:rsidRDefault="00283510" w:rsidP="00283510">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AF12EA" w:rsidRPr="009548D7">
              <w:rPr>
                <w:rFonts w:ascii="Arial Narrow" w:eastAsia="Times New Roman" w:hAnsi="Arial Narrow" w:cs="Arial"/>
                <w:sz w:val="16"/>
                <w:szCs w:val="16"/>
                <w:lang w:eastAsia="pt-BR"/>
              </w:rPr>
              <w:t>Provisões para Riscos Cíveis a Longo Prazo</w:t>
            </w:r>
          </w:p>
        </w:tc>
        <w:tc>
          <w:tcPr>
            <w:tcW w:w="775" w:type="dxa"/>
            <w:tcBorders>
              <w:top w:val="nil"/>
              <w:bottom w:val="nil"/>
              <w:right w:val="single" w:sz="8" w:space="0" w:color="auto"/>
            </w:tcBorders>
            <w:shd w:val="clear" w:color="auto" w:fill="auto"/>
            <w:noWrap/>
            <w:vAlign w:val="center"/>
          </w:tcPr>
          <w:p w14:paraId="1F3BF319"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59E9D787"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BPA.H041</w:t>
            </w:r>
          </w:p>
        </w:tc>
        <w:tc>
          <w:tcPr>
            <w:tcW w:w="1420" w:type="dxa"/>
            <w:tcBorders>
              <w:top w:val="nil"/>
              <w:left w:val="nil"/>
              <w:bottom w:val="nil"/>
              <w:right w:val="single" w:sz="8" w:space="0" w:color="auto"/>
            </w:tcBorders>
            <w:shd w:val="clear" w:color="auto" w:fill="auto"/>
            <w:noWrap/>
            <w:vAlign w:val="center"/>
            <w:hideMark/>
          </w:tcPr>
          <w:p w14:paraId="7AFE40E3"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BPA.I041</w:t>
            </w:r>
          </w:p>
        </w:tc>
      </w:tr>
      <w:tr w:rsidR="00AF12EA" w:rsidRPr="009548D7" w14:paraId="6D6D46B9" w14:textId="77777777" w:rsidTr="00AF12EA">
        <w:trPr>
          <w:trHeight w:val="285"/>
        </w:trPr>
        <w:tc>
          <w:tcPr>
            <w:tcW w:w="4410" w:type="dxa"/>
            <w:tcBorders>
              <w:top w:val="nil"/>
              <w:left w:val="single" w:sz="8" w:space="0" w:color="auto"/>
              <w:bottom w:val="nil"/>
            </w:tcBorders>
            <w:shd w:val="clear" w:color="auto" w:fill="auto"/>
            <w:noWrap/>
            <w:vAlign w:val="center"/>
          </w:tcPr>
          <w:p w14:paraId="7CCFE492" w14:textId="6FB57977" w:rsidR="00AF12EA" w:rsidRPr="009548D7" w:rsidRDefault="00AF12EA" w:rsidP="00AF12EA">
            <w:pPr>
              <w:spacing w:after="0" w:line="240" w:lineRule="auto"/>
              <w:ind w:firstLineChars="100" w:firstLine="160"/>
              <w:rPr>
                <w:rFonts w:ascii="Arial Narrow" w:eastAsia="Times New Roman" w:hAnsi="Arial Narrow" w:cs="Arial"/>
                <w:sz w:val="16"/>
                <w:szCs w:val="16"/>
                <w:lang w:eastAsia="pt-BR"/>
              </w:rPr>
            </w:pPr>
          </w:p>
        </w:tc>
        <w:tc>
          <w:tcPr>
            <w:tcW w:w="767" w:type="dxa"/>
            <w:tcBorders>
              <w:top w:val="nil"/>
              <w:bottom w:val="nil"/>
              <w:right w:val="single" w:sz="8" w:space="0" w:color="auto"/>
            </w:tcBorders>
            <w:shd w:val="clear" w:color="auto" w:fill="auto"/>
            <w:noWrap/>
            <w:vAlign w:val="center"/>
          </w:tcPr>
          <w:p w14:paraId="4E80B8EA"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tcPr>
          <w:p w14:paraId="3B42B6DC" w14:textId="6F8C2D5F" w:rsidR="00AF12EA" w:rsidRPr="009548D7" w:rsidRDefault="00AF12EA" w:rsidP="00AF12EA">
            <w:pPr>
              <w:spacing w:after="0" w:line="240" w:lineRule="auto"/>
              <w:jc w:val="center"/>
              <w:rPr>
                <w:rFonts w:ascii="Arial Narrow" w:eastAsia="Times New Roman" w:hAnsi="Arial Narrow" w:cs="Arial"/>
                <w:sz w:val="16"/>
                <w:szCs w:val="16"/>
                <w:lang w:eastAsia="pt-BR"/>
              </w:rPr>
            </w:pPr>
          </w:p>
        </w:tc>
        <w:tc>
          <w:tcPr>
            <w:tcW w:w="1262" w:type="dxa"/>
            <w:tcBorders>
              <w:top w:val="nil"/>
              <w:left w:val="nil"/>
              <w:bottom w:val="nil"/>
              <w:right w:val="single" w:sz="8" w:space="0" w:color="auto"/>
            </w:tcBorders>
            <w:shd w:val="clear" w:color="auto" w:fill="auto"/>
            <w:noWrap/>
            <w:vAlign w:val="center"/>
          </w:tcPr>
          <w:p w14:paraId="096DE533" w14:textId="4F78FCEF" w:rsidR="00AF12EA" w:rsidRPr="009548D7" w:rsidRDefault="00AF12EA" w:rsidP="00AF12EA">
            <w:pPr>
              <w:spacing w:after="0" w:line="240" w:lineRule="auto"/>
              <w:jc w:val="center"/>
              <w:rPr>
                <w:rFonts w:ascii="Arial Narrow" w:eastAsia="Times New Roman" w:hAnsi="Arial Narrow" w:cs="Arial"/>
                <w:sz w:val="16"/>
                <w:szCs w:val="16"/>
                <w:lang w:eastAsia="pt-BR"/>
              </w:rPr>
            </w:pPr>
          </w:p>
        </w:tc>
        <w:tc>
          <w:tcPr>
            <w:tcW w:w="4562" w:type="dxa"/>
            <w:tcBorders>
              <w:top w:val="nil"/>
              <w:left w:val="nil"/>
              <w:bottom w:val="nil"/>
            </w:tcBorders>
            <w:shd w:val="clear" w:color="000000" w:fill="FFFFFF"/>
            <w:noWrap/>
            <w:vAlign w:val="center"/>
            <w:hideMark/>
          </w:tcPr>
          <w:p w14:paraId="57FE8FBF" w14:textId="35CF66AB" w:rsidR="00AF12EA" w:rsidRPr="009548D7" w:rsidRDefault="00283510" w:rsidP="00283510">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AF12EA" w:rsidRPr="008459C1">
              <w:rPr>
                <w:rFonts w:ascii="Arial Narrow" w:eastAsia="Times New Roman" w:hAnsi="Arial Narrow" w:cs="Arial"/>
                <w:sz w:val="16"/>
                <w:szCs w:val="16"/>
                <w:lang w:eastAsia="pt-BR"/>
              </w:rPr>
              <w:t>Provisão para Repartição de Créditos a Longo Prazo</w:t>
            </w:r>
          </w:p>
        </w:tc>
        <w:tc>
          <w:tcPr>
            <w:tcW w:w="775" w:type="dxa"/>
            <w:tcBorders>
              <w:top w:val="nil"/>
              <w:bottom w:val="nil"/>
              <w:right w:val="single" w:sz="8" w:space="0" w:color="auto"/>
            </w:tcBorders>
            <w:shd w:val="clear" w:color="auto" w:fill="auto"/>
            <w:noWrap/>
            <w:vAlign w:val="center"/>
          </w:tcPr>
          <w:p w14:paraId="5BDD7165"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595415D1"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r w:rsidRPr="008459C1">
              <w:rPr>
                <w:rFonts w:ascii="Arial Narrow" w:eastAsia="Times New Roman" w:hAnsi="Arial Narrow" w:cs="Arial"/>
                <w:sz w:val="16"/>
                <w:szCs w:val="16"/>
                <w:lang w:eastAsia="pt-BR"/>
              </w:rPr>
              <w:t>BPA.H090</w:t>
            </w:r>
          </w:p>
        </w:tc>
        <w:tc>
          <w:tcPr>
            <w:tcW w:w="1420" w:type="dxa"/>
            <w:tcBorders>
              <w:top w:val="nil"/>
              <w:left w:val="nil"/>
              <w:bottom w:val="nil"/>
              <w:right w:val="single" w:sz="8" w:space="0" w:color="auto"/>
            </w:tcBorders>
            <w:shd w:val="clear" w:color="auto" w:fill="auto"/>
            <w:noWrap/>
            <w:vAlign w:val="center"/>
            <w:hideMark/>
          </w:tcPr>
          <w:p w14:paraId="09D5E2DF"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r w:rsidRPr="008459C1">
              <w:rPr>
                <w:rFonts w:ascii="Arial Narrow" w:eastAsia="Times New Roman" w:hAnsi="Arial Narrow" w:cs="Arial"/>
                <w:sz w:val="16"/>
                <w:szCs w:val="16"/>
                <w:lang w:eastAsia="pt-BR"/>
              </w:rPr>
              <w:t>BPA.I090</w:t>
            </w:r>
          </w:p>
        </w:tc>
      </w:tr>
      <w:tr w:rsidR="00AF12EA" w:rsidRPr="009548D7" w14:paraId="333DE40B" w14:textId="77777777" w:rsidTr="002315E1">
        <w:trPr>
          <w:trHeight w:val="240"/>
        </w:trPr>
        <w:tc>
          <w:tcPr>
            <w:tcW w:w="4410" w:type="dxa"/>
            <w:tcBorders>
              <w:top w:val="nil"/>
              <w:left w:val="single" w:sz="8" w:space="0" w:color="auto"/>
              <w:bottom w:val="nil"/>
            </w:tcBorders>
            <w:shd w:val="clear" w:color="auto" w:fill="auto"/>
            <w:vAlign w:val="center"/>
          </w:tcPr>
          <w:p w14:paraId="143F0C83" w14:textId="77777777" w:rsidR="00AF12EA" w:rsidRPr="009548D7" w:rsidRDefault="00AF12EA" w:rsidP="00AF12EA">
            <w:pPr>
              <w:spacing w:after="0" w:line="240" w:lineRule="auto"/>
              <w:ind w:firstLineChars="100" w:firstLine="161"/>
              <w:rPr>
                <w:rFonts w:ascii="Arial Narrow" w:eastAsia="Times New Roman" w:hAnsi="Arial Narrow" w:cs="Arial"/>
                <w:b/>
                <w:bCs/>
                <w:sz w:val="16"/>
                <w:szCs w:val="16"/>
                <w:lang w:eastAsia="pt-BR"/>
              </w:rPr>
            </w:pPr>
          </w:p>
        </w:tc>
        <w:tc>
          <w:tcPr>
            <w:tcW w:w="767" w:type="dxa"/>
            <w:tcBorders>
              <w:top w:val="nil"/>
              <w:bottom w:val="nil"/>
              <w:right w:val="single" w:sz="8" w:space="0" w:color="auto"/>
            </w:tcBorders>
            <w:shd w:val="clear" w:color="auto" w:fill="auto"/>
            <w:noWrap/>
            <w:vAlign w:val="center"/>
          </w:tcPr>
          <w:p w14:paraId="51CFC73E" w14:textId="77777777" w:rsidR="00AF12EA" w:rsidRPr="009548D7" w:rsidRDefault="00AF12EA" w:rsidP="00AF12EA">
            <w:pPr>
              <w:spacing w:after="0" w:line="240" w:lineRule="auto"/>
              <w:jc w:val="center"/>
              <w:rPr>
                <w:rFonts w:ascii="Arial Narrow" w:eastAsia="Times New Roman" w:hAnsi="Arial Narrow" w:cs="Arial"/>
                <w:b/>
                <w:bCs/>
                <w:sz w:val="16"/>
                <w:szCs w:val="16"/>
                <w:lang w:eastAsia="pt-BR"/>
              </w:rPr>
            </w:pPr>
          </w:p>
        </w:tc>
        <w:tc>
          <w:tcPr>
            <w:tcW w:w="1063" w:type="dxa"/>
            <w:tcBorders>
              <w:top w:val="nil"/>
              <w:left w:val="nil"/>
              <w:bottom w:val="nil"/>
              <w:right w:val="single" w:sz="8" w:space="0" w:color="auto"/>
            </w:tcBorders>
            <w:shd w:val="clear" w:color="auto" w:fill="auto"/>
            <w:noWrap/>
            <w:vAlign w:val="center"/>
          </w:tcPr>
          <w:p w14:paraId="2B1B8492" w14:textId="77777777" w:rsidR="00AF12EA" w:rsidRPr="009548D7" w:rsidRDefault="00AF12EA" w:rsidP="00AF12EA">
            <w:pPr>
              <w:spacing w:after="0" w:line="240" w:lineRule="auto"/>
              <w:jc w:val="center"/>
              <w:rPr>
                <w:rFonts w:ascii="Arial Narrow" w:eastAsia="Times New Roman" w:hAnsi="Arial Narrow" w:cs="Arial"/>
                <w:b/>
                <w:bCs/>
                <w:sz w:val="16"/>
                <w:szCs w:val="16"/>
                <w:lang w:eastAsia="pt-BR"/>
              </w:rPr>
            </w:pPr>
          </w:p>
        </w:tc>
        <w:tc>
          <w:tcPr>
            <w:tcW w:w="1262" w:type="dxa"/>
            <w:tcBorders>
              <w:top w:val="nil"/>
              <w:left w:val="nil"/>
              <w:bottom w:val="nil"/>
              <w:right w:val="single" w:sz="8" w:space="0" w:color="auto"/>
            </w:tcBorders>
            <w:shd w:val="clear" w:color="auto" w:fill="auto"/>
            <w:noWrap/>
            <w:vAlign w:val="center"/>
          </w:tcPr>
          <w:p w14:paraId="59B98FDB" w14:textId="77777777" w:rsidR="00AF12EA" w:rsidRPr="009548D7" w:rsidRDefault="00AF12EA" w:rsidP="00AF12EA">
            <w:pPr>
              <w:spacing w:after="0" w:line="240" w:lineRule="auto"/>
              <w:jc w:val="center"/>
              <w:rPr>
                <w:rFonts w:ascii="Arial Narrow" w:eastAsia="Times New Roman" w:hAnsi="Arial Narrow" w:cs="Arial"/>
                <w:b/>
                <w:bCs/>
                <w:sz w:val="16"/>
                <w:szCs w:val="16"/>
                <w:lang w:eastAsia="pt-BR"/>
              </w:rPr>
            </w:pPr>
          </w:p>
        </w:tc>
        <w:tc>
          <w:tcPr>
            <w:tcW w:w="4562" w:type="dxa"/>
            <w:tcBorders>
              <w:top w:val="nil"/>
              <w:left w:val="nil"/>
              <w:bottom w:val="nil"/>
            </w:tcBorders>
            <w:shd w:val="clear" w:color="000000" w:fill="FFFFFF"/>
            <w:noWrap/>
            <w:vAlign w:val="center"/>
          </w:tcPr>
          <w:p w14:paraId="3ED0B4F4" w14:textId="257FB0C4" w:rsidR="00AF12EA" w:rsidRPr="009548D7" w:rsidRDefault="00283510" w:rsidP="00283510">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AF12EA" w:rsidRPr="009548D7">
              <w:rPr>
                <w:rFonts w:ascii="Arial Narrow" w:eastAsia="Times New Roman" w:hAnsi="Arial Narrow" w:cs="Arial"/>
                <w:sz w:val="16"/>
                <w:szCs w:val="16"/>
                <w:lang w:eastAsia="pt-BR"/>
              </w:rPr>
              <w:t>Provisões p</w:t>
            </w:r>
            <w:r w:rsidR="00AF12EA">
              <w:rPr>
                <w:rFonts w:ascii="Arial Narrow" w:eastAsia="Times New Roman" w:hAnsi="Arial Narrow" w:cs="Arial"/>
                <w:sz w:val="16"/>
                <w:szCs w:val="16"/>
                <w:lang w:eastAsia="pt-BR"/>
              </w:rPr>
              <w:t>/</w:t>
            </w:r>
            <w:r w:rsidR="00AF12EA" w:rsidRPr="009548D7">
              <w:rPr>
                <w:rFonts w:ascii="Arial Narrow" w:eastAsia="Times New Roman" w:hAnsi="Arial Narrow" w:cs="Arial"/>
                <w:sz w:val="16"/>
                <w:szCs w:val="16"/>
                <w:lang w:eastAsia="pt-BR"/>
              </w:rPr>
              <w:t>Riscos Decorrentes de Contratos de PPP a Longo Prazo</w:t>
            </w:r>
          </w:p>
        </w:tc>
        <w:tc>
          <w:tcPr>
            <w:tcW w:w="775" w:type="dxa"/>
            <w:tcBorders>
              <w:top w:val="nil"/>
              <w:bottom w:val="nil"/>
              <w:right w:val="single" w:sz="8" w:space="0" w:color="auto"/>
            </w:tcBorders>
            <w:shd w:val="clear" w:color="auto" w:fill="auto"/>
            <w:noWrap/>
            <w:vAlign w:val="center"/>
          </w:tcPr>
          <w:p w14:paraId="67BAB9CC" w14:textId="77777777" w:rsidR="00AF12EA" w:rsidRPr="008459C1" w:rsidRDefault="00AF12EA" w:rsidP="00AF12EA">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tcPr>
          <w:p w14:paraId="0176BA0E" w14:textId="77777777" w:rsidR="00AF12EA" w:rsidRPr="008459C1" w:rsidRDefault="00AF12EA"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BPA.H042</w:t>
            </w:r>
          </w:p>
        </w:tc>
        <w:tc>
          <w:tcPr>
            <w:tcW w:w="1420" w:type="dxa"/>
            <w:tcBorders>
              <w:top w:val="nil"/>
              <w:left w:val="nil"/>
              <w:bottom w:val="nil"/>
              <w:right w:val="single" w:sz="8" w:space="0" w:color="auto"/>
            </w:tcBorders>
            <w:shd w:val="clear" w:color="auto" w:fill="auto"/>
            <w:noWrap/>
            <w:vAlign w:val="center"/>
          </w:tcPr>
          <w:p w14:paraId="42CC50A0" w14:textId="77777777" w:rsidR="00AF12EA" w:rsidRPr="008459C1" w:rsidRDefault="00AF12EA"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BPA.I042</w:t>
            </w:r>
          </w:p>
        </w:tc>
      </w:tr>
      <w:tr w:rsidR="00AF12EA" w:rsidRPr="009548D7" w14:paraId="69F52F90" w14:textId="77777777" w:rsidTr="002315E1">
        <w:trPr>
          <w:trHeight w:val="240"/>
        </w:trPr>
        <w:tc>
          <w:tcPr>
            <w:tcW w:w="4410" w:type="dxa"/>
            <w:tcBorders>
              <w:top w:val="nil"/>
              <w:left w:val="single" w:sz="8" w:space="0" w:color="auto"/>
              <w:bottom w:val="nil"/>
            </w:tcBorders>
            <w:shd w:val="clear" w:color="auto" w:fill="auto"/>
            <w:vAlign w:val="center"/>
            <w:hideMark/>
          </w:tcPr>
          <w:p w14:paraId="686237BC" w14:textId="77777777" w:rsidR="00AF12EA" w:rsidRPr="009548D7" w:rsidRDefault="00AF12EA" w:rsidP="00AF12EA">
            <w:pPr>
              <w:spacing w:after="0" w:line="240" w:lineRule="auto"/>
              <w:ind w:firstLineChars="100" w:firstLine="161"/>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Investimentos</w:t>
            </w:r>
          </w:p>
        </w:tc>
        <w:tc>
          <w:tcPr>
            <w:tcW w:w="767" w:type="dxa"/>
            <w:tcBorders>
              <w:top w:val="nil"/>
              <w:bottom w:val="nil"/>
              <w:right w:val="single" w:sz="8" w:space="0" w:color="auto"/>
            </w:tcBorders>
            <w:shd w:val="clear" w:color="auto" w:fill="auto"/>
            <w:noWrap/>
            <w:vAlign w:val="center"/>
          </w:tcPr>
          <w:p w14:paraId="1B011AEA" w14:textId="77777777" w:rsidR="00AF12EA" w:rsidRPr="009548D7" w:rsidRDefault="00AF12EA" w:rsidP="00AF12EA">
            <w:pPr>
              <w:spacing w:after="0" w:line="240" w:lineRule="auto"/>
              <w:jc w:val="center"/>
              <w:rPr>
                <w:rFonts w:ascii="Arial Narrow" w:eastAsia="Times New Roman" w:hAnsi="Arial Narrow" w:cs="Arial"/>
                <w:b/>
                <w:bCs/>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147240E7" w14:textId="77777777" w:rsidR="00AF12EA" w:rsidRPr="009548D7" w:rsidRDefault="00AF12EA" w:rsidP="00AF12EA">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BPA.D041</w:t>
            </w:r>
          </w:p>
        </w:tc>
        <w:tc>
          <w:tcPr>
            <w:tcW w:w="1262" w:type="dxa"/>
            <w:tcBorders>
              <w:top w:val="nil"/>
              <w:left w:val="nil"/>
              <w:bottom w:val="nil"/>
              <w:right w:val="single" w:sz="8" w:space="0" w:color="auto"/>
            </w:tcBorders>
            <w:shd w:val="clear" w:color="auto" w:fill="auto"/>
            <w:noWrap/>
            <w:vAlign w:val="center"/>
            <w:hideMark/>
          </w:tcPr>
          <w:p w14:paraId="7E3092BD" w14:textId="77777777" w:rsidR="00AF12EA" w:rsidRPr="009548D7" w:rsidRDefault="00AF12EA" w:rsidP="00AF12EA">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BPA.E041</w:t>
            </w:r>
          </w:p>
        </w:tc>
        <w:tc>
          <w:tcPr>
            <w:tcW w:w="4562" w:type="dxa"/>
            <w:tcBorders>
              <w:top w:val="nil"/>
              <w:left w:val="nil"/>
              <w:bottom w:val="nil"/>
            </w:tcBorders>
            <w:shd w:val="clear" w:color="000000" w:fill="FFFFFF"/>
            <w:noWrap/>
            <w:vAlign w:val="center"/>
            <w:hideMark/>
          </w:tcPr>
          <w:p w14:paraId="287A5F0A" w14:textId="5AE59C6E" w:rsidR="00AF12EA" w:rsidRPr="009548D7" w:rsidRDefault="00283510" w:rsidP="00283510">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AF12EA" w:rsidRPr="00C12313">
              <w:rPr>
                <w:rFonts w:ascii="Arial Narrow" w:eastAsia="Times New Roman" w:hAnsi="Arial Narrow" w:cs="Arial"/>
                <w:sz w:val="16"/>
                <w:szCs w:val="16"/>
                <w:lang w:eastAsia="pt-BR"/>
              </w:rPr>
              <w:t>Provisão p/ Obrigações Decorr. da Atuação Govern. a Longo Prazo</w:t>
            </w:r>
          </w:p>
        </w:tc>
        <w:tc>
          <w:tcPr>
            <w:tcW w:w="775" w:type="dxa"/>
            <w:tcBorders>
              <w:top w:val="nil"/>
              <w:bottom w:val="nil"/>
              <w:right w:val="single" w:sz="8" w:space="0" w:color="auto"/>
            </w:tcBorders>
            <w:shd w:val="clear" w:color="auto" w:fill="auto"/>
            <w:noWrap/>
            <w:vAlign w:val="center"/>
          </w:tcPr>
          <w:p w14:paraId="799CB834"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0C539E3A"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r w:rsidRPr="00C12313">
              <w:rPr>
                <w:rFonts w:ascii="Arial Narrow" w:eastAsia="Times New Roman" w:hAnsi="Arial Narrow" w:cs="Arial"/>
                <w:sz w:val="16"/>
                <w:szCs w:val="16"/>
                <w:lang w:eastAsia="pt-BR"/>
              </w:rPr>
              <w:t>BPA.H073</w:t>
            </w:r>
          </w:p>
        </w:tc>
        <w:tc>
          <w:tcPr>
            <w:tcW w:w="1420" w:type="dxa"/>
            <w:tcBorders>
              <w:top w:val="nil"/>
              <w:left w:val="nil"/>
              <w:bottom w:val="nil"/>
              <w:right w:val="single" w:sz="8" w:space="0" w:color="auto"/>
            </w:tcBorders>
            <w:shd w:val="clear" w:color="auto" w:fill="auto"/>
            <w:noWrap/>
            <w:vAlign w:val="center"/>
            <w:hideMark/>
          </w:tcPr>
          <w:p w14:paraId="7EE9C9F1"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r w:rsidRPr="00C12313">
              <w:rPr>
                <w:rFonts w:ascii="Arial Narrow" w:eastAsia="Times New Roman" w:hAnsi="Arial Narrow" w:cs="Arial"/>
                <w:sz w:val="16"/>
                <w:szCs w:val="16"/>
                <w:lang w:eastAsia="pt-BR"/>
              </w:rPr>
              <w:t>BPA.I073</w:t>
            </w:r>
          </w:p>
        </w:tc>
      </w:tr>
      <w:tr w:rsidR="00AF12EA" w:rsidRPr="009548D7" w14:paraId="1A32C61E" w14:textId="77777777" w:rsidTr="002315E1">
        <w:trPr>
          <w:trHeight w:val="255"/>
        </w:trPr>
        <w:tc>
          <w:tcPr>
            <w:tcW w:w="4410" w:type="dxa"/>
            <w:tcBorders>
              <w:top w:val="nil"/>
              <w:left w:val="single" w:sz="8" w:space="0" w:color="auto"/>
              <w:bottom w:val="nil"/>
            </w:tcBorders>
            <w:shd w:val="clear" w:color="auto" w:fill="auto"/>
            <w:noWrap/>
            <w:vAlign w:val="center"/>
            <w:hideMark/>
          </w:tcPr>
          <w:p w14:paraId="7E2EA1D1" w14:textId="3C5D7BAD" w:rsidR="00AF12EA" w:rsidRPr="009548D7" w:rsidRDefault="00777A02" w:rsidP="00777A02">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AF12EA" w:rsidRPr="009548D7">
              <w:rPr>
                <w:rFonts w:ascii="Arial Narrow" w:eastAsia="Times New Roman" w:hAnsi="Arial Narrow" w:cs="Arial"/>
                <w:sz w:val="16"/>
                <w:szCs w:val="16"/>
                <w:lang w:eastAsia="pt-BR"/>
              </w:rPr>
              <w:t>Participações Permanentes</w:t>
            </w:r>
          </w:p>
        </w:tc>
        <w:tc>
          <w:tcPr>
            <w:tcW w:w="767" w:type="dxa"/>
            <w:tcBorders>
              <w:top w:val="nil"/>
              <w:bottom w:val="nil"/>
              <w:right w:val="single" w:sz="8" w:space="0" w:color="auto"/>
            </w:tcBorders>
            <w:shd w:val="clear" w:color="auto" w:fill="auto"/>
            <w:noWrap/>
            <w:vAlign w:val="center"/>
          </w:tcPr>
          <w:p w14:paraId="5E02CE74"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2CB717FA"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BPA.D042</w:t>
            </w:r>
          </w:p>
        </w:tc>
        <w:tc>
          <w:tcPr>
            <w:tcW w:w="1262" w:type="dxa"/>
            <w:tcBorders>
              <w:top w:val="nil"/>
              <w:left w:val="nil"/>
              <w:bottom w:val="nil"/>
              <w:right w:val="single" w:sz="8" w:space="0" w:color="auto"/>
            </w:tcBorders>
            <w:shd w:val="clear" w:color="auto" w:fill="auto"/>
            <w:noWrap/>
            <w:vAlign w:val="center"/>
            <w:hideMark/>
          </w:tcPr>
          <w:p w14:paraId="071F9183"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BPA.E042</w:t>
            </w:r>
          </w:p>
        </w:tc>
        <w:tc>
          <w:tcPr>
            <w:tcW w:w="4562" w:type="dxa"/>
            <w:tcBorders>
              <w:top w:val="nil"/>
              <w:left w:val="nil"/>
              <w:bottom w:val="nil"/>
            </w:tcBorders>
            <w:shd w:val="clear" w:color="000000" w:fill="FFFFFF"/>
            <w:noWrap/>
            <w:vAlign w:val="center"/>
            <w:hideMark/>
          </w:tcPr>
          <w:p w14:paraId="611E1133" w14:textId="6AA7CA4B" w:rsidR="00AF12EA" w:rsidRPr="006B69C6" w:rsidRDefault="00283510" w:rsidP="00283510">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AF12EA" w:rsidRPr="009548D7">
              <w:rPr>
                <w:rFonts w:ascii="Arial Narrow" w:eastAsia="Times New Roman" w:hAnsi="Arial Narrow" w:cs="Arial"/>
                <w:sz w:val="16"/>
                <w:szCs w:val="16"/>
                <w:lang w:eastAsia="pt-BR"/>
              </w:rPr>
              <w:t>Outras Provisões a Longo Prazo</w:t>
            </w:r>
          </w:p>
        </w:tc>
        <w:tc>
          <w:tcPr>
            <w:tcW w:w="775" w:type="dxa"/>
            <w:tcBorders>
              <w:top w:val="nil"/>
              <w:bottom w:val="nil"/>
              <w:right w:val="single" w:sz="8" w:space="0" w:color="auto"/>
            </w:tcBorders>
            <w:shd w:val="clear" w:color="auto" w:fill="auto"/>
            <w:noWrap/>
            <w:vAlign w:val="center"/>
          </w:tcPr>
          <w:p w14:paraId="5986BDB9" w14:textId="77777777" w:rsidR="00AF12EA" w:rsidRPr="006B69C6" w:rsidRDefault="00AF12EA" w:rsidP="00AF12EA">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21294723" w14:textId="77777777" w:rsidR="00AF12EA" w:rsidRPr="006B69C6" w:rsidRDefault="00AF12EA"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BPA.H043</w:t>
            </w:r>
          </w:p>
        </w:tc>
        <w:tc>
          <w:tcPr>
            <w:tcW w:w="1420" w:type="dxa"/>
            <w:tcBorders>
              <w:top w:val="nil"/>
              <w:left w:val="nil"/>
              <w:bottom w:val="nil"/>
              <w:right w:val="single" w:sz="8" w:space="0" w:color="auto"/>
            </w:tcBorders>
            <w:shd w:val="clear" w:color="auto" w:fill="auto"/>
            <w:noWrap/>
            <w:vAlign w:val="center"/>
            <w:hideMark/>
          </w:tcPr>
          <w:p w14:paraId="479AD6E4" w14:textId="77777777" w:rsidR="00AF12EA" w:rsidRPr="006B69C6" w:rsidRDefault="00AF12EA"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BPA.I043</w:t>
            </w:r>
          </w:p>
        </w:tc>
      </w:tr>
      <w:tr w:rsidR="00777A02" w:rsidRPr="009548D7" w14:paraId="7E9A67C7" w14:textId="77777777" w:rsidTr="002936F7">
        <w:trPr>
          <w:trHeight w:hRule="exact" w:val="312"/>
        </w:trPr>
        <w:tc>
          <w:tcPr>
            <w:tcW w:w="5177" w:type="dxa"/>
            <w:gridSpan w:val="2"/>
            <w:tcBorders>
              <w:top w:val="nil"/>
              <w:left w:val="single" w:sz="8" w:space="0" w:color="auto"/>
              <w:bottom w:val="nil"/>
              <w:right w:val="single" w:sz="8" w:space="0" w:color="auto"/>
            </w:tcBorders>
            <w:shd w:val="clear" w:color="auto" w:fill="auto"/>
            <w:noWrap/>
            <w:vAlign w:val="center"/>
          </w:tcPr>
          <w:p w14:paraId="46A3AB1B" w14:textId="1997C87E" w:rsidR="00777A02" w:rsidRPr="009548D7" w:rsidRDefault="00777A02" w:rsidP="00777A02">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Pr="009548D7">
              <w:rPr>
                <w:rFonts w:ascii="Arial Narrow" w:eastAsia="Times New Roman" w:hAnsi="Arial Narrow" w:cs="Arial"/>
                <w:sz w:val="16"/>
                <w:szCs w:val="16"/>
                <w:lang w:eastAsia="pt-BR"/>
              </w:rPr>
              <w:t>Participações Avaliadas pelo Método de Equivalência Patrimonial</w:t>
            </w:r>
          </w:p>
        </w:tc>
        <w:tc>
          <w:tcPr>
            <w:tcW w:w="1063" w:type="dxa"/>
            <w:tcBorders>
              <w:top w:val="nil"/>
              <w:left w:val="nil"/>
              <w:bottom w:val="nil"/>
              <w:right w:val="single" w:sz="8" w:space="0" w:color="auto"/>
            </w:tcBorders>
            <w:shd w:val="clear" w:color="auto" w:fill="auto"/>
            <w:noWrap/>
          </w:tcPr>
          <w:p w14:paraId="0FE80A45" w14:textId="77777777" w:rsidR="00777A02" w:rsidRPr="009548D7" w:rsidRDefault="00777A02"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BPA.D043</w:t>
            </w:r>
          </w:p>
        </w:tc>
        <w:tc>
          <w:tcPr>
            <w:tcW w:w="1262" w:type="dxa"/>
            <w:tcBorders>
              <w:top w:val="nil"/>
              <w:left w:val="nil"/>
              <w:bottom w:val="nil"/>
              <w:right w:val="single" w:sz="8" w:space="0" w:color="auto"/>
            </w:tcBorders>
            <w:shd w:val="clear" w:color="auto" w:fill="auto"/>
            <w:noWrap/>
          </w:tcPr>
          <w:p w14:paraId="53DEBC47" w14:textId="77777777" w:rsidR="00777A02" w:rsidRPr="009548D7" w:rsidRDefault="00777A02"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BPA.E043</w:t>
            </w:r>
          </w:p>
        </w:tc>
        <w:tc>
          <w:tcPr>
            <w:tcW w:w="4562" w:type="dxa"/>
            <w:tcBorders>
              <w:top w:val="nil"/>
              <w:left w:val="nil"/>
              <w:bottom w:val="nil"/>
            </w:tcBorders>
            <w:shd w:val="clear" w:color="000000" w:fill="FFFFFF"/>
            <w:noWrap/>
            <w:vAlign w:val="center"/>
          </w:tcPr>
          <w:p w14:paraId="22E9C703" w14:textId="100E06EC" w:rsidR="00777A02" w:rsidRPr="009548D7" w:rsidRDefault="00777A02" w:rsidP="00283510">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Pr="009548D7">
              <w:rPr>
                <w:rFonts w:ascii="Arial Narrow" w:eastAsia="Times New Roman" w:hAnsi="Arial Narrow" w:cs="Arial"/>
                <w:sz w:val="16"/>
                <w:szCs w:val="16"/>
                <w:lang w:eastAsia="pt-BR"/>
              </w:rPr>
              <w:t>Demais Obrigações a Longo Prazo</w:t>
            </w:r>
          </w:p>
        </w:tc>
        <w:tc>
          <w:tcPr>
            <w:tcW w:w="775" w:type="dxa"/>
            <w:tcBorders>
              <w:top w:val="nil"/>
              <w:bottom w:val="nil"/>
              <w:right w:val="single" w:sz="8" w:space="0" w:color="auto"/>
            </w:tcBorders>
            <w:shd w:val="clear" w:color="auto" w:fill="auto"/>
            <w:noWrap/>
            <w:vAlign w:val="center"/>
          </w:tcPr>
          <w:p w14:paraId="7D84820C" w14:textId="77777777" w:rsidR="00777A02" w:rsidRPr="009548D7" w:rsidRDefault="00777A02" w:rsidP="00AF12EA">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tcPr>
          <w:p w14:paraId="5F7DFCE5" w14:textId="77777777" w:rsidR="00777A02" w:rsidRPr="009548D7" w:rsidRDefault="00777A02"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BPA.H044</w:t>
            </w:r>
          </w:p>
        </w:tc>
        <w:tc>
          <w:tcPr>
            <w:tcW w:w="1420" w:type="dxa"/>
            <w:tcBorders>
              <w:top w:val="nil"/>
              <w:left w:val="nil"/>
              <w:bottom w:val="nil"/>
              <w:right w:val="single" w:sz="8" w:space="0" w:color="auto"/>
            </w:tcBorders>
            <w:shd w:val="clear" w:color="auto" w:fill="auto"/>
            <w:noWrap/>
            <w:vAlign w:val="center"/>
          </w:tcPr>
          <w:p w14:paraId="7F5BC4D0" w14:textId="77777777" w:rsidR="00777A02" w:rsidRPr="009548D7" w:rsidRDefault="00777A02"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BPA.I044</w:t>
            </w:r>
          </w:p>
        </w:tc>
      </w:tr>
      <w:tr w:rsidR="00AF12EA" w:rsidRPr="009548D7" w14:paraId="35752682" w14:textId="77777777" w:rsidTr="002315E1">
        <w:trPr>
          <w:trHeight w:val="255"/>
        </w:trPr>
        <w:tc>
          <w:tcPr>
            <w:tcW w:w="4410" w:type="dxa"/>
            <w:tcBorders>
              <w:top w:val="nil"/>
              <w:left w:val="single" w:sz="8" w:space="0" w:color="auto"/>
              <w:bottom w:val="nil"/>
            </w:tcBorders>
            <w:shd w:val="clear" w:color="auto" w:fill="auto"/>
            <w:noWrap/>
            <w:vAlign w:val="center"/>
            <w:hideMark/>
          </w:tcPr>
          <w:p w14:paraId="048C4631" w14:textId="3EA70CB6" w:rsidR="00AF12EA" w:rsidRPr="009548D7" w:rsidRDefault="00777A02" w:rsidP="00777A02">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AF12EA" w:rsidRPr="009548D7">
              <w:rPr>
                <w:rFonts w:ascii="Arial Narrow" w:eastAsia="Times New Roman" w:hAnsi="Arial Narrow" w:cs="Arial"/>
                <w:sz w:val="16"/>
                <w:szCs w:val="16"/>
                <w:lang w:eastAsia="pt-BR"/>
              </w:rPr>
              <w:t>Participações Avaliadas pelo Método de Custo</w:t>
            </w:r>
          </w:p>
        </w:tc>
        <w:tc>
          <w:tcPr>
            <w:tcW w:w="767" w:type="dxa"/>
            <w:tcBorders>
              <w:top w:val="nil"/>
              <w:bottom w:val="nil"/>
              <w:right w:val="single" w:sz="8" w:space="0" w:color="auto"/>
            </w:tcBorders>
            <w:shd w:val="clear" w:color="auto" w:fill="auto"/>
            <w:noWrap/>
            <w:vAlign w:val="center"/>
          </w:tcPr>
          <w:p w14:paraId="146D73E2"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460373C7"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BPA.D044</w:t>
            </w:r>
          </w:p>
        </w:tc>
        <w:tc>
          <w:tcPr>
            <w:tcW w:w="1262" w:type="dxa"/>
            <w:tcBorders>
              <w:top w:val="nil"/>
              <w:left w:val="nil"/>
              <w:bottom w:val="nil"/>
              <w:right w:val="single" w:sz="8" w:space="0" w:color="auto"/>
            </w:tcBorders>
            <w:shd w:val="clear" w:color="auto" w:fill="auto"/>
            <w:noWrap/>
            <w:vAlign w:val="center"/>
            <w:hideMark/>
          </w:tcPr>
          <w:p w14:paraId="0D7D687F"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BPA.E044</w:t>
            </w:r>
          </w:p>
        </w:tc>
        <w:tc>
          <w:tcPr>
            <w:tcW w:w="4562" w:type="dxa"/>
            <w:tcBorders>
              <w:top w:val="nil"/>
              <w:left w:val="nil"/>
              <w:bottom w:val="nil"/>
            </w:tcBorders>
            <w:shd w:val="clear" w:color="000000" w:fill="FFFFFF"/>
            <w:noWrap/>
            <w:vAlign w:val="center"/>
            <w:hideMark/>
          </w:tcPr>
          <w:p w14:paraId="1F1E8364" w14:textId="2BF43BE1" w:rsidR="00AF12EA" w:rsidRPr="009548D7" w:rsidRDefault="00283510" w:rsidP="00283510">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AF12EA" w:rsidRPr="009548D7">
              <w:rPr>
                <w:rFonts w:ascii="Arial Narrow" w:eastAsia="Times New Roman" w:hAnsi="Arial Narrow" w:cs="Arial"/>
                <w:sz w:val="16"/>
                <w:szCs w:val="16"/>
                <w:lang w:eastAsia="pt-BR"/>
              </w:rPr>
              <w:t>Resultado Diferido</w:t>
            </w:r>
          </w:p>
        </w:tc>
        <w:tc>
          <w:tcPr>
            <w:tcW w:w="775" w:type="dxa"/>
            <w:tcBorders>
              <w:top w:val="nil"/>
              <w:bottom w:val="nil"/>
              <w:right w:val="single" w:sz="8" w:space="0" w:color="auto"/>
            </w:tcBorders>
            <w:shd w:val="clear" w:color="auto" w:fill="auto"/>
            <w:noWrap/>
            <w:vAlign w:val="center"/>
          </w:tcPr>
          <w:p w14:paraId="70A35018"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44448E79"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BPA.H045</w:t>
            </w:r>
          </w:p>
        </w:tc>
        <w:tc>
          <w:tcPr>
            <w:tcW w:w="1420" w:type="dxa"/>
            <w:tcBorders>
              <w:top w:val="nil"/>
              <w:left w:val="nil"/>
              <w:bottom w:val="nil"/>
              <w:right w:val="single" w:sz="8" w:space="0" w:color="auto"/>
            </w:tcBorders>
            <w:shd w:val="clear" w:color="auto" w:fill="auto"/>
            <w:noWrap/>
            <w:vAlign w:val="center"/>
            <w:hideMark/>
          </w:tcPr>
          <w:p w14:paraId="151A8536"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BPA.I045</w:t>
            </w:r>
          </w:p>
        </w:tc>
      </w:tr>
      <w:tr w:rsidR="00777A02" w:rsidRPr="009548D7" w14:paraId="759D0136" w14:textId="77777777" w:rsidTr="002936F7">
        <w:trPr>
          <w:trHeight w:val="255"/>
        </w:trPr>
        <w:tc>
          <w:tcPr>
            <w:tcW w:w="5177" w:type="dxa"/>
            <w:gridSpan w:val="2"/>
            <w:tcBorders>
              <w:top w:val="nil"/>
              <w:left w:val="single" w:sz="8" w:space="0" w:color="auto"/>
              <w:bottom w:val="nil"/>
              <w:right w:val="single" w:sz="8" w:space="0" w:color="auto"/>
            </w:tcBorders>
            <w:shd w:val="clear" w:color="auto" w:fill="auto"/>
            <w:noWrap/>
            <w:vAlign w:val="center"/>
            <w:hideMark/>
          </w:tcPr>
          <w:p w14:paraId="12A8D286" w14:textId="4DE5075C" w:rsidR="00777A02" w:rsidRPr="009548D7" w:rsidRDefault="00777A02" w:rsidP="00777A02">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lastRenderedPageBreak/>
              <w:t xml:space="preserve">               </w:t>
            </w:r>
            <w:r w:rsidRPr="009548D7">
              <w:rPr>
                <w:rFonts w:ascii="Arial Narrow" w:eastAsia="Times New Roman" w:hAnsi="Arial Narrow" w:cs="Arial"/>
                <w:sz w:val="16"/>
                <w:szCs w:val="16"/>
                <w:lang w:eastAsia="pt-BR"/>
              </w:rPr>
              <w:t>(-) Redução ao Valor Recuperável de Participações Permanentes</w:t>
            </w:r>
          </w:p>
        </w:tc>
        <w:tc>
          <w:tcPr>
            <w:tcW w:w="1063" w:type="dxa"/>
            <w:tcBorders>
              <w:top w:val="nil"/>
              <w:left w:val="nil"/>
              <w:bottom w:val="nil"/>
              <w:right w:val="single" w:sz="8" w:space="0" w:color="auto"/>
            </w:tcBorders>
            <w:shd w:val="clear" w:color="auto" w:fill="auto"/>
            <w:noWrap/>
            <w:vAlign w:val="center"/>
            <w:hideMark/>
          </w:tcPr>
          <w:p w14:paraId="71A11440" w14:textId="77777777" w:rsidR="00777A02" w:rsidRPr="009548D7" w:rsidRDefault="00777A02"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BPA.D045</w:t>
            </w:r>
          </w:p>
        </w:tc>
        <w:tc>
          <w:tcPr>
            <w:tcW w:w="1262" w:type="dxa"/>
            <w:tcBorders>
              <w:top w:val="nil"/>
              <w:left w:val="nil"/>
              <w:bottom w:val="nil"/>
              <w:right w:val="single" w:sz="8" w:space="0" w:color="auto"/>
            </w:tcBorders>
            <w:shd w:val="clear" w:color="auto" w:fill="auto"/>
            <w:noWrap/>
            <w:vAlign w:val="center"/>
            <w:hideMark/>
          </w:tcPr>
          <w:p w14:paraId="4B92D695" w14:textId="77777777" w:rsidR="00777A02" w:rsidRPr="009548D7" w:rsidRDefault="00777A02"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BPA.E045</w:t>
            </w:r>
          </w:p>
        </w:tc>
        <w:tc>
          <w:tcPr>
            <w:tcW w:w="4562" w:type="dxa"/>
            <w:tcBorders>
              <w:top w:val="nil"/>
              <w:left w:val="nil"/>
              <w:bottom w:val="nil"/>
            </w:tcBorders>
            <w:shd w:val="clear" w:color="auto" w:fill="auto"/>
            <w:noWrap/>
            <w:vAlign w:val="center"/>
          </w:tcPr>
          <w:p w14:paraId="5B3EEB5E" w14:textId="77777777" w:rsidR="00777A02" w:rsidRPr="009548D7" w:rsidRDefault="00777A02" w:rsidP="00AF12EA">
            <w:pPr>
              <w:spacing w:after="0" w:line="240" w:lineRule="auto"/>
              <w:ind w:firstLineChars="100" w:firstLine="160"/>
              <w:rPr>
                <w:rFonts w:ascii="Arial Narrow" w:eastAsia="Times New Roman" w:hAnsi="Arial Narrow" w:cs="Arial"/>
                <w:sz w:val="16"/>
                <w:szCs w:val="16"/>
                <w:lang w:eastAsia="pt-BR"/>
              </w:rPr>
            </w:pPr>
          </w:p>
        </w:tc>
        <w:tc>
          <w:tcPr>
            <w:tcW w:w="775" w:type="dxa"/>
            <w:tcBorders>
              <w:top w:val="nil"/>
              <w:bottom w:val="nil"/>
              <w:right w:val="single" w:sz="8" w:space="0" w:color="auto"/>
            </w:tcBorders>
            <w:shd w:val="clear" w:color="auto" w:fill="auto"/>
            <w:noWrap/>
            <w:vAlign w:val="center"/>
          </w:tcPr>
          <w:p w14:paraId="17D85BCE" w14:textId="77777777" w:rsidR="00777A02" w:rsidRPr="009548D7" w:rsidRDefault="00777A02" w:rsidP="00AF12EA">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tcPr>
          <w:p w14:paraId="62469B77" w14:textId="77777777" w:rsidR="00777A02" w:rsidRPr="009548D7" w:rsidRDefault="00777A02" w:rsidP="00AF12EA">
            <w:pPr>
              <w:spacing w:after="0" w:line="240" w:lineRule="auto"/>
              <w:jc w:val="center"/>
              <w:rPr>
                <w:rFonts w:ascii="Arial Narrow" w:eastAsia="Times New Roman" w:hAnsi="Arial Narrow" w:cs="Arial"/>
                <w:sz w:val="16"/>
                <w:szCs w:val="16"/>
                <w:lang w:eastAsia="pt-BR"/>
              </w:rPr>
            </w:pPr>
          </w:p>
        </w:tc>
        <w:tc>
          <w:tcPr>
            <w:tcW w:w="1420" w:type="dxa"/>
            <w:tcBorders>
              <w:top w:val="nil"/>
              <w:left w:val="nil"/>
              <w:bottom w:val="nil"/>
              <w:right w:val="single" w:sz="8" w:space="0" w:color="auto"/>
            </w:tcBorders>
            <w:shd w:val="clear" w:color="auto" w:fill="auto"/>
            <w:noWrap/>
            <w:vAlign w:val="center"/>
          </w:tcPr>
          <w:p w14:paraId="49C715D2" w14:textId="77777777" w:rsidR="00777A02" w:rsidRPr="009548D7" w:rsidRDefault="00777A02" w:rsidP="00AF12EA">
            <w:pPr>
              <w:spacing w:after="0" w:line="240" w:lineRule="auto"/>
              <w:jc w:val="center"/>
              <w:rPr>
                <w:rFonts w:ascii="Arial Narrow" w:eastAsia="Times New Roman" w:hAnsi="Arial Narrow" w:cs="Arial"/>
                <w:sz w:val="16"/>
                <w:szCs w:val="16"/>
                <w:lang w:eastAsia="pt-BR"/>
              </w:rPr>
            </w:pPr>
          </w:p>
        </w:tc>
      </w:tr>
      <w:tr w:rsidR="00AF12EA" w:rsidRPr="009548D7" w14:paraId="5BD12716" w14:textId="77777777" w:rsidTr="002315E1">
        <w:trPr>
          <w:trHeight w:val="255"/>
        </w:trPr>
        <w:tc>
          <w:tcPr>
            <w:tcW w:w="4410" w:type="dxa"/>
            <w:tcBorders>
              <w:top w:val="nil"/>
              <w:left w:val="single" w:sz="8" w:space="0" w:color="auto"/>
              <w:bottom w:val="nil"/>
            </w:tcBorders>
            <w:shd w:val="clear" w:color="auto" w:fill="auto"/>
            <w:noWrap/>
            <w:vAlign w:val="center"/>
            <w:hideMark/>
          </w:tcPr>
          <w:p w14:paraId="23447259" w14:textId="111456C5" w:rsidR="00AF12EA" w:rsidRPr="009548D7" w:rsidRDefault="00777A02" w:rsidP="00777A02">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AF12EA" w:rsidRPr="009548D7">
              <w:rPr>
                <w:rFonts w:ascii="Arial Narrow" w:eastAsia="Times New Roman" w:hAnsi="Arial Narrow" w:cs="Arial"/>
                <w:sz w:val="16"/>
                <w:szCs w:val="16"/>
                <w:lang w:eastAsia="pt-BR"/>
              </w:rPr>
              <w:t>Propriedades para Investimento</w:t>
            </w:r>
          </w:p>
        </w:tc>
        <w:tc>
          <w:tcPr>
            <w:tcW w:w="767" w:type="dxa"/>
            <w:tcBorders>
              <w:top w:val="nil"/>
              <w:bottom w:val="nil"/>
              <w:right w:val="single" w:sz="8" w:space="0" w:color="auto"/>
            </w:tcBorders>
            <w:shd w:val="clear" w:color="auto" w:fill="auto"/>
            <w:noWrap/>
            <w:vAlign w:val="center"/>
          </w:tcPr>
          <w:p w14:paraId="13E39262"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1C73691C"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BPA.D046</w:t>
            </w:r>
          </w:p>
        </w:tc>
        <w:tc>
          <w:tcPr>
            <w:tcW w:w="1262" w:type="dxa"/>
            <w:tcBorders>
              <w:top w:val="nil"/>
              <w:left w:val="nil"/>
              <w:bottom w:val="nil"/>
              <w:right w:val="single" w:sz="8" w:space="0" w:color="auto"/>
            </w:tcBorders>
            <w:shd w:val="clear" w:color="auto" w:fill="auto"/>
            <w:noWrap/>
            <w:vAlign w:val="center"/>
            <w:hideMark/>
          </w:tcPr>
          <w:p w14:paraId="129410CB"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BPA.E046</w:t>
            </w:r>
          </w:p>
        </w:tc>
        <w:tc>
          <w:tcPr>
            <w:tcW w:w="4562" w:type="dxa"/>
            <w:tcBorders>
              <w:top w:val="nil"/>
              <w:left w:val="nil"/>
              <w:bottom w:val="nil"/>
            </w:tcBorders>
            <w:shd w:val="clear" w:color="auto" w:fill="auto"/>
            <w:noWrap/>
            <w:vAlign w:val="center"/>
            <w:hideMark/>
          </w:tcPr>
          <w:p w14:paraId="5555095F" w14:textId="77777777" w:rsidR="00AF12EA" w:rsidRPr="009548D7" w:rsidRDefault="00AF12EA" w:rsidP="00AF12EA">
            <w:pPr>
              <w:spacing w:after="0" w:line="240" w:lineRule="auto"/>
              <w:ind w:firstLineChars="100" w:firstLine="160"/>
              <w:rPr>
                <w:rFonts w:ascii="Arial Narrow" w:eastAsia="Times New Roman" w:hAnsi="Arial Narrow" w:cs="Arial"/>
                <w:sz w:val="16"/>
                <w:szCs w:val="16"/>
                <w:lang w:eastAsia="pt-BR"/>
              </w:rPr>
            </w:pPr>
          </w:p>
        </w:tc>
        <w:tc>
          <w:tcPr>
            <w:tcW w:w="775" w:type="dxa"/>
            <w:tcBorders>
              <w:top w:val="nil"/>
              <w:bottom w:val="nil"/>
              <w:right w:val="single" w:sz="8" w:space="0" w:color="auto"/>
            </w:tcBorders>
            <w:shd w:val="clear" w:color="auto" w:fill="auto"/>
            <w:noWrap/>
            <w:vAlign w:val="center"/>
          </w:tcPr>
          <w:p w14:paraId="3A55623F"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78A6D177"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p>
        </w:tc>
        <w:tc>
          <w:tcPr>
            <w:tcW w:w="1420" w:type="dxa"/>
            <w:tcBorders>
              <w:top w:val="nil"/>
              <w:left w:val="nil"/>
              <w:bottom w:val="nil"/>
              <w:right w:val="single" w:sz="8" w:space="0" w:color="auto"/>
            </w:tcBorders>
            <w:shd w:val="clear" w:color="auto" w:fill="auto"/>
            <w:noWrap/>
            <w:vAlign w:val="center"/>
            <w:hideMark/>
          </w:tcPr>
          <w:p w14:paraId="32BEC67B"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p>
        </w:tc>
      </w:tr>
      <w:tr w:rsidR="00AF12EA" w:rsidRPr="009548D7" w14:paraId="0E11795C" w14:textId="77777777" w:rsidTr="002315E1">
        <w:trPr>
          <w:trHeight w:val="255"/>
        </w:trPr>
        <w:tc>
          <w:tcPr>
            <w:tcW w:w="4410" w:type="dxa"/>
            <w:tcBorders>
              <w:top w:val="nil"/>
              <w:left w:val="single" w:sz="8" w:space="0" w:color="auto"/>
              <w:bottom w:val="nil"/>
            </w:tcBorders>
            <w:shd w:val="clear" w:color="auto" w:fill="auto"/>
            <w:noWrap/>
            <w:vAlign w:val="center"/>
            <w:hideMark/>
          </w:tcPr>
          <w:p w14:paraId="01D55EFF" w14:textId="215264E7" w:rsidR="00AF12EA" w:rsidRPr="009548D7" w:rsidRDefault="00777A02" w:rsidP="00777A02">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AF12EA" w:rsidRPr="009548D7">
              <w:rPr>
                <w:rFonts w:ascii="Arial Narrow" w:eastAsia="Times New Roman" w:hAnsi="Arial Narrow" w:cs="Arial"/>
                <w:sz w:val="16"/>
                <w:szCs w:val="16"/>
                <w:lang w:eastAsia="pt-BR"/>
              </w:rPr>
              <w:t>(-) Depreciação Acumulada de Propriedades para Investimento</w:t>
            </w:r>
          </w:p>
        </w:tc>
        <w:tc>
          <w:tcPr>
            <w:tcW w:w="767" w:type="dxa"/>
            <w:tcBorders>
              <w:top w:val="nil"/>
              <w:bottom w:val="nil"/>
              <w:right w:val="single" w:sz="8" w:space="0" w:color="auto"/>
            </w:tcBorders>
            <w:shd w:val="clear" w:color="auto" w:fill="auto"/>
            <w:noWrap/>
            <w:vAlign w:val="center"/>
          </w:tcPr>
          <w:p w14:paraId="71AA149B"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24E57274"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BPA.D047</w:t>
            </w:r>
          </w:p>
        </w:tc>
        <w:tc>
          <w:tcPr>
            <w:tcW w:w="1262" w:type="dxa"/>
            <w:tcBorders>
              <w:top w:val="nil"/>
              <w:left w:val="nil"/>
              <w:bottom w:val="nil"/>
              <w:right w:val="single" w:sz="8" w:space="0" w:color="auto"/>
            </w:tcBorders>
            <w:shd w:val="clear" w:color="auto" w:fill="auto"/>
            <w:noWrap/>
            <w:vAlign w:val="center"/>
            <w:hideMark/>
          </w:tcPr>
          <w:p w14:paraId="1164852A"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BPA.E047</w:t>
            </w:r>
          </w:p>
        </w:tc>
        <w:tc>
          <w:tcPr>
            <w:tcW w:w="4562" w:type="dxa"/>
            <w:tcBorders>
              <w:top w:val="nil"/>
              <w:left w:val="nil"/>
              <w:bottom w:val="nil"/>
            </w:tcBorders>
            <w:shd w:val="clear" w:color="auto" w:fill="auto"/>
            <w:noWrap/>
            <w:vAlign w:val="center"/>
            <w:hideMark/>
          </w:tcPr>
          <w:p w14:paraId="58555880" w14:textId="77777777" w:rsidR="00AF12EA" w:rsidRPr="009548D7" w:rsidRDefault="00AF12EA" w:rsidP="00AF12EA">
            <w:pPr>
              <w:spacing w:after="0" w:line="240" w:lineRule="auto"/>
              <w:rPr>
                <w:rFonts w:ascii="Arial Narrow" w:eastAsia="Times New Roman" w:hAnsi="Arial Narrow" w:cs="Arial"/>
                <w:color w:val="0070C0"/>
                <w:sz w:val="16"/>
                <w:szCs w:val="16"/>
                <w:lang w:eastAsia="pt-BR"/>
              </w:rPr>
            </w:pPr>
            <w:r w:rsidRPr="009548D7">
              <w:rPr>
                <w:rFonts w:ascii="Arial Narrow" w:eastAsia="Times New Roman" w:hAnsi="Arial Narrow" w:cs="Arial"/>
                <w:color w:val="0070C0"/>
                <w:sz w:val="16"/>
                <w:szCs w:val="16"/>
                <w:lang w:eastAsia="pt-BR"/>
              </w:rPr>
              <w:t> </w:t>
            </w:r>
          </w:p>
        </w:tc>
        <w:tc>
          <w:tcPr>
            <w:tcW w:w="775" w:type="dxa"/>
            <w:tcBorders>
              <w:top w:val="nil"/>
              <w:bottom w:val="nil"/>
              <w:right w:val="single" w:sz="8" w:space="0" w:color="auto"/>
            </w:tcBorders>
            <w:shd w:val="clear" w:color="auto" w:fill="auto"/>
            <w:noWrap/>
            <w:vAlign w:val="center"/>
          </w:tcPr>
          <w:p w14:paraId="5D3101D6" w14:textId="77777777" w:rsidR="00AF12EA" w:rsidRPr="009548D7" w:rsidRDefault="00AF12EA" w:rsidP="00AF12EA">
            <w:pPr>
              <w:spacing w:after="0" w:line="240" w:lineRule="auto"/>
              <w:rPr>
                <w:rFonts w:ascii="Arial Narrow" w:eastAsia="Times New Roman" w:hAnsi="Arial Narrow" w:cs="Arial"/>
                <w:color w:val="0070C0"/>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3C2058B1" w14:textId="77777777" w:rsidR="00AF12EA" w:rsidRPr="009548D7" w:rsidRDefault="00AF12EA" w:rsidP="00AF12EA">
            <w:pPr>
              <w:spacing w:after="0" w:line="240" w:lineRule="auto"/>
              <w:jc w:val="center"/>
              <w:rPr>
                <w:rFonts w:ascii="Arial Narrow" w:eastAsia="Times New Roman" w:hAnsi="Arial Narrow" w:cs="Arial"/>
                <w:color w:val="0070C0"/>
                <w:sz w:val="16"/>
                <w:szCs w:val="16"/>
                <w:lang w:eastAsia="pt-BR"/>
              </w:rPr>
            </w:pPr>
            <w:r w:rsidRPr="009548D7">
              <w:rPr>
                <w:rFonts w:ascii="Arial Narrow" w:eastAsia="Times New Roman" w:hAnsi="Arial Narrow" w:cs="Arial"/>
                <w:color w:val="0070C0"/>
                <w:sz w:val="16"/>
                <w:szCs w:val="16"/>
                <w:lang w:eastAsia="pt-BR"/>
              </w:rPr>
              <w:t> </w:t>
            </w:r>
          </w:p>
        </w:tc>
        <w:tc>
          <w:tcPr>
            <w:tcW w:w="1420" w:type="dxa"/>
            <w:tcBorders>
              <w:top w:val="nil"/>
              <w:left w:val="nil"/>
              <w:bottom w:val="nil"/>
              <w:right w:val="single" w:sz="8" w:space="0" w:color="auto"/>
            </w:tcBorders>
            <w:shd w:val="clear" w:color="auto" w:fill="auto"/>
            <w:noWrap/>
            <w:vAlign w:val="center"/>
            <w:hideMark/>
          </w:tcPr>
          <w:p w14:paraId="3FF751FF" w14:textId="77777777" w:rsidR="00AF12EA" w:rsidRPr="009548D7" w:rsidRDefault="00AF12EA" w:rsidP="00AF12EA">
            <w:pPr>
              <w:spacing w:after="0" w:line="240" w:lineRule="auto"/>
              <w:rPr>
                <w:rFonts w:ascii="Arial Narrow" w:eastAsia="Times New Roman" w:hAnsi="Arial Narrow" w:cs="Arial"/>
                <w:color w:val="0070C0"/>
                <w:sz w:val="16"/>
                <w:szCs w:val="16"/>
                <w:lang w:eastAsia="pt-BR"/>
              </w:rPr>
            </w:pPr>
            <w:r w:rsidRPr="009548D7">
              <w:rPr>
                <w:rFonts w:ascii="Arial Narrow" w:eastAsia="Times New Roman" w:hAnsi="Arial Narrow" w:cs="Arial"/>
                <w:color w:val="0070C0"/>
                <w:sz w:val="16"/>
                <w:szCs w:val="16"/>
                <w:lang w:eastAsia="pt-BR"/>
              </w:rPr>
              <w:t> </w:t>
            </w:r>
          </w:p>
        </w:tc>
      </w:tr>
      <w:tr w:rsidR="00777A02" w:rsidRPr="009548D7" w14:paraId="413AEEE1" w14:textId="77777777" w:rsidTr="002936F7">
        <w:trPr>
          <w:trHeight w:val="270"/>
        </w:trPr>
        <w:tc>
          <w:tcPr>
            <w:tcW w:w="5177" w:type="dxa"/>
            <w:gridSpan w:val="2"/>
            <w:tcBorders>
              <w:top w:val="nil"/>
              <w:left w:val="single" w:sz="8" w:space="0" w:color="auto"/>
              <w:bottom w:val="nil"/>
              <w:right w:val="single" w:sz="8" w:space="0" w:color="auto"/>
            </w:tcBorders>
            <w:shd w:val="clear" w:color="auto" w:fill="auto"/>
            <w:noWrap/>
            <w:vAlign w:val="center"/>
            <w:hideMark/>
          </w:tcPr>
          <w:p w14:paraId="1A1863AE" w14:textId="7160CDC7" w:rsidR="00777A02" w:rsidRPr="009548D7" w:rsidRDefault="00777A02" w:rsidP="00777A02">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Pr="009548D7">
              <w:rPr>
                <w:rFonts w:ascii="Arial Narrow" w:eastAsia="Times New Roman" w:hAnsi="Arial Narrow" w:cs="Arial"/>
                <w:sz w:val="16"/>
                <w:szCs w:val="16"/>
                <w:lang w:eastAsia="pt-BR"/>
              </w:rPr>
              <w:t>(-) Redução ao Valor Recuperável de Propriedades para Investimento</w:t>
            </w:r>
          </w:p>
        </w:tc>
        <w:tc>
          <w:tcPr>
            <w:tcW w:w="1063" w:type="dxa"/>
            <w:tcBorders>
              <w:top w:val="nil"/>
              <w:left w:val="nil"/>
              <w:bottom w:val="nil"/>
              <w:right w:val="single" w:sz="8" w:space="0" w:color="auto"/>
            </w:tcBorders>
            <w:shd w:val="clear" w:color="auto" w:fill="auto"/>
            <w:noWrap/>
            <w:vAlign w:val="center"/>
            <w:hideMark/>
          </w:tcPr>
          <w:p w14:paraId="34B4C3D5" w14:textId="77777777" w:rsidR="00777A02" w:rsidRPr="009548D7" w:rsidRDefault="00777A02"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BPA.D048</w:t>
            </w:r>
          </w:p>
        </w:tc>
        <w:tc>
          <w:tcPr>
            <w:tcW w:w="1262" w:type="dxa"/>
            <w:tcBorders>
              <w:top w:val="nil"/>
              <w:left w:val="nil"/>
              <w:bottom w:val="nil"/>
              <w:right w:val="single" w:sz="8" w:space="0" w:color="auto"/>
            </w:tcBorders>
            <w:shd w:val="clear" w:color="auto" w:fill="auto"/>
            <w:noWrap/>
            <w:vAlign w:val="center"/>
            <w:hideMark/>
          </w:tcPr>
          <w:p w14:paraId="15C99002" w14:textId="77777777" w:rsidR="00777A02" w:rsidRPr="009548D7" w:rsidRDefault="00777A02"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BPA.E048</w:t>
            </w:r>
          </w:p>
        </w:tc>
        <w:tc>
          <w:tcPr>
            <w:tcW w:w="4562" w:type="dxa"/>
            <w:tcBorders>
              <w:top w:val="nil"/>
              <w:left w:val="nil"/>
              <w:bottom w:val="nil"/>
            </w:tcBorders>
            <w:shd w:val="clear" w:color="auto" w:fill="auto"/>
            <w:noWrap/>
            <w:vAlign w:val="center"/>
            <w:hideMark/>
          </w:tcPr>
          <w:p w14:paraId="70A65718" w14:textId="77777777" w:rsidR="00777A02" w:rsidRPr="009548D7" w:rsidRDefault="00777A02" w:rsidP="00AF12EA">
            <w:pPr>
              <w:spacing w:after="0" w:line="240" w:lineRule="auto"/>
              <w:rPr>
                <w:rFonts w:ascii="Arial Narrow" w:eastAsia="Times New Roman" w:hAnsi="Arial Narrow" w:cs="Arial"/>
                <w:color w:val="0070C0"/>
                <w:sz w:val="16"/>
                <w:szCs w:val="16"/>
                <w:lang w:eastAsia="pt-BR"/>
              </w:rPr>
            </w:pPr>
            <w:r w:rsidRPr="009548D7">
              <w:rPr>
                <w:rFonts w:ascii="Arial Narrow" w:eastAsia="Times New Roman" w:hAnsi="Arial Narrow" w:cs="Arial"/>
                <w:color w:val="0070C0"/>
                <w:sz w:val="16"/>
                <w:szCs w:val="16"/>
                <w:lang w:eastAsia="pt-BR"/>
              </w:rPr>
              <w:t> </w:t>
            </w:r>
          </w:p>
        </w:tc>
        <w:tc>
          <w:tcPr>
            <w:tcW w:w="775" w:type="dxa"/>
            <w:tcBorders>
              <w:top w:val="nil"/>
              <w:bottom w:val="single" w:sz="8" w:space="0" w:color="auto"/>
              <w:right w:val="single" w:sz="8" w:space="0" w:color="auto"/>
            </w:tcBorders>
            <w:shd w:val="clear" w:color="auto" w:fill="auto"/>
            <w:noWrap/>
            <w:vAlign w:val="center"/>
          </w:tcPr>
          <w:p w14:paraId="386820AA" w14:textId="77777777" w:rsidR="00777A02" w:rsidRPr="009548D7" w:rsidRDefault="00777A02" w:rsidP="00AF12EA">
            <w:pPr>
              <w:spacing w:after="0" w:line="240" w:lineRule="auto"/>
              <w:rPr>
                <w:rFonts w:ascii="Arial Narrow" w:eastAsia="Times New Roman" w:hAnsi="Arial Narrow" w:cs="Arial"/>
                <w:color w:val="0070C0"/>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0DB9F7CC" w14:textId="77777777" w:rsidR="00777A02" w:rsidRPr="009548D7" w:rsidRDefault="00777A02" w:rsidP="00AF12EA">
            <w:pPr>
              <w:spacing w:after="0" w:line="240" w:lineRule="auto"/>
              <w:jc w:val="center"/>
              <w:rPr>
                <w:rFonts w:ascii="Arial Narrow" w:eastAsia="Times New Roman" w:hAnsi="Arial Narrow" w:cs="Arial"/>
                <w:color w:val="0070C0"/>
                <w:sz w:val="16"/>
                <w:szCs w:val="16"/>
                <w:lang w:eastAsia="pt-BR"/>
              </w:rPr>
            </w:pPr>
            <w:r w:rsidRPr="009548D7">
              <w:rPr>
                <w:rFonts w:ascii="Arial Narrow" w:eastAsia="Times New Roman" w:hAnsi="Arial Narrow" w:cs="Arial"/>
                <w:color w:val="0070C0"/>
                <w:sz w:val="16"/>
                <w:szCs w:val="16"/>
                <w:lang w:eastAsia="pt-BR"/>
              </w:rPr>
              <w:t> </w:t>
            </w:r>
          </w:p>
        </w:tc>
        <w:tc>
          <w:tcPr>
            <w:tcW w:w="1420" w:type="dxa"/>
            <w:tcBorders>
              <w:top w:val="nil"/>
              <w:left w:val="nil"/>
              <w:bottom w:val="nil"/>
              <w:right w:val="single" w:sz="8" w:space="0" w:color="auto"/>
            </w:tcBorders>
            <w:shd w:val="clear" w:color="auto" w:fill="auto"/>
            <w:noWrap/>
            <w:vAlign w:val="center"/>
            <w:hideMark/>
          </w:tcPr>
          <w:p w14:paraId="3263FF03" w14:textId="77777777" w:rsidR="00777A02" w:rsidRPr="009548D7" w:rsidRDefault="00777A02" w:rsidP="00AF12EA">
            <w:pPr>
              <w:spacing w:after="0" w:line="240" w:lineRule="auto"/>
              <w:rPr>
                <w:rFonts w:ascii="Arial Narrow" w:eastAsia="Times New Roman" w:hAnsi="Arial Narrow" w:cs="Arial"/>
                <w:color w:val="0070C0"/>
                <w:sz w:val="16"/>
                <w:szCs w:val="16"/>
                <w:lang w:eastAsia="pt-BR"/>
              </w:rPr>
            </w:pPr>
            <w:r w:rsidRPr="009548D7">
              <w:rPr>
                <w:rFonts w:ascii="Arial Narrow" w:eastAsia="Times New Roman" w:hAnsi="Arial Narrow" w:cs="Arial"/>
                <w:color w:val="0070C0"/>
                <w:sz w:val="16"/>
                <w:szCs w:val="16"/>
                <w:lang w:eastAsia="pt-BR"/>
              </w:rPr>
              <w:t> </w:t>
            </w:r>
          </w:p>
        </w:tc>
      </w:tr>
      <w:tr w:rsidR="00AF12EA" w:rsidRPr="009548D7" w14:paraId="500FA8B2" w14:textId="77777777" w:rsidTr="002315E1">
        <w:trPr>
          <w:trHeight w:val="270"/>
        </w:trPr>
        <w:tc>
          <w:tcPr>
            <w:tcW w:w="4410" w:type="dxa"/>
            <w:tcBorders>
              <w:top w:val="nil"/>
              <w:left w:val="single" w:sz="8" w:space="0" w:color="auto"/>
              <w:bottom w:val="nil"/>
            </w:tcBorders>
            <w:shd w:val="clear" w:color="auto" w:fill="auto"/>
            <w:noWrap/>
            <w:vAlign w:val="center"/>
            <w:hideMark/>
          </w:tcPr>
          <w:p w14:paraId="0CEB10F2" w14:textId="4FDE662A" w:rsidR="00AF12EA" w:rsidRPr="009548D7" w:rsidRDefault="00777A02" w:rsidP="00777A02">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AF12EA" w:rsidRPr="009548D7">
              <w:rPr>
                <w:rFonts w:ascii="Arial Narrow" w:eastAsia="Times New Roman" w:hAnsi="Arial Narrow" w:cs="Arial"/>
                <w:sz w:val="16"/>
                <w:szCs w:val="16"/>
                <w:lang w:eastAsia="pt-BR"/>
              </w:rPr>
              <w:t>Investimentos do RPPS de Longo Prazo</w:t>
            </w:r>
          </w:p>
        </w:tc>
        <w:tc>
          <w:tcPr>
            <w:tcW w:w="767" w:type="dxa"/>
            <w:tcBorders>
              <w:top w:val="nil"/>
              <w:bottom w:val="nil"/>
              <w:right w:val="single" w:sz="8" w:space="0" w:color="auto"/>
            </w:tcBorders>
            <w:shd w:val="clear" w:color="auto" w:fill="auto"/>
            <w:noWrap/>
            <w:vAlign w:val="center"/>
          </w:tcPr>
          <w:p w14:paraId="30F5DA46"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62C37868"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BPA.D049</w:t>
            </w:r>
          </w:p>
        </w:tc>
        <w:tc>
          <w:tcPr>
            <w:tcW w:w="1262" w:type="dxa"/>
            <w:tcBorders>
              <w:top w:val="nil"/>
              <w:left w:val="nil"/>
              <w:bottom w:val="nil"/>
              <w:right w:val="single" w:sz="8" w:space="0" w:color="auto"/>
            </w:tcBorders>
            <w:shd w:val="clear" w:color="auto" w:fill="auto"/>
            <w:noWrap/>
            <w:vAlign w:val="center"/>
            <w:hideMark/>
          </w:tcPr>
          <w:p w14:paraId="7FEF2AD5"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BPA.E049</w:t>
            </w:r>
          </w:p>
        </w:tc>
        <w:tc>
          <w:tcPr>
            <w:tcW w:w="4562" w:type="dxa"/>
            <w:tcBorders>
              <w:top w:val="single" w:sz="8" w:space="0" w:color="auto"/>
              <w:left w:val="nil"/>
              <w:bottom w:val="single" w:sz="8" w:space="0" w:color="auto"/>
            </w:tcBorders>
            <w:shd w:val="clear" w:color="auto" w:fill="auto"/>
            <w:noWrap/>
            <w:vAlign w:val="center"/>
            <w:hideMark/>
          </w:tcPr>
          <w:p w14:paraId="154B33A7" w14:textId="77777777" w:rsidR="00AF12EA" w:rsidRPr="009548D7" w:rsidRDefault="00AF12EA" w:rsidP="00AF12EA">
            <w:pPr>
              <w:spacing w:after="0" w:line="240" w:lineRule="auto"/>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TOTAL DO PASSIVO</w:t>
            </w:r>
          </w:p>
        </w:tc>
        <w:tc>
          <w:tcPr>
            <w:tcW w:w="775" w:type="dxa"/>
            <w:tcBorders>
              <w:top w:val="nil"/>
              <w:bottom w:val="nil"/>
              <w:right w:val="single" w:sz="8" w:space="0" w:color="auto"/>
            </w:tcBorders>
            <w:shd w:val="clear" w:color="auto" w:fill="auto"/>
            <w:noWrap/>
            <w:vAlign w:val="center"/>
          </w:tcPr>
          <w:p w14:paraId="01095454" w14:textId="77777777" w:rsidR="00AF12EA" w:rsidRPr="009548D7" w:rsidRDefault="00AF12EA" w:rsidP="00AF12EA">
            <w:pPr>
              <w:spacing w:after="0" w:line="240" w:lineRule="auto"/>
              <w:jc w:val="center"/>
              <w:rPr>
                <w:rFonts w:ascii="Arial Narrow" w:eastAsia="Times New Roman" w:hAnsi="Arial Narrow" w:cs="Arial"/>
                <w:b/>
                <w:bCs/>
                <w:sz w:val="16"/>
                <w:szCs w:val="16"/>
                <w:lang w:eastAsia="pt-BR"/>
              </w:rPr>
            </w:pPr>
          </w:p>
        </w:tc>
        <w:tc>
          <w:tcPr>
            <w:tcW w:w="1063" w:type="dxa"/>
            <w:tcBorders>
              <w:top w:val="single" w:sz="8" w:space="0" w:color="auto"/>
              <w:left w:val="nil"/>
              <w:bottom w:val="single" w:sz="8" w:space="0" w:color="auto"/>
              <w:right w:val="single" w:sz="8" w:space="0" w:color="auto"/>
            </w:tcBorders>
            <w:shd w:val="clear" w:color="auto" w:fill="auto"/>
            <w:noWrap/>
            <w:vAlign w:val="center"/>
            <w:hideMark/>
          </w:tcPr>
          <w:p w14:paraId="5DF4D901" w14:textId="77777777" w:rsidR="00AF12EA" w:rsidRPr="009548D7" w:rsidRDefault="00AF12EA" w:rsidP="00AF12EA">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BPA.H048</w:t>
            </w:r>
          </w:p>
        </w:tc>
        <w:tc>
          <w:tcPr>
            <w:tcW w:w="1420" w:type="dxa"/>
            <w:tcBorders>
              <w:top w:val="single" w:sz="8" w:space="0" w:color="auto"/>
              <w:left w:val="nil"/>
              <w:bottom w:val="single" w:sz="8" w:space="0" w:color="auto"/>
              <w:right w:val="single" w:sz="8" w:space="0" w:color="auto"/>
            </w:tcBorders>
            <w:shd w:val="clear" w:color="auto" w:fill="auto"/>
            <w:noWrap/>
            <w:vAlign w:val="center"/>
            <w:hideMark/>
          </w:tcPr>
          <w:p w14:paraId="1535E7F0" w14:textId="77777777" w:rsidR="00AF12EA" w:rsidRPr="009548D7" w:rsidRDefault="00AF12EA" w:rsidP="00AF12EA">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BPA.I48</w:t>
            </w:r>
          </w:p>
        </w:tc>
      </w:tr>
      <w:tr w:rsidR="00AF12EA" w:rsidRPr="009548D7" w14:paraId="7EDB6D13" w14:textId="77777777" w:rsidTr="002315E1">
        <w:trPr>
          <w:trHeight w:val="270"/>
        </w:trPr>
        <w:tc>
          <w:tcPr>
            <w:tcW w:w="4410" w:type="dxa"/>
            <w:tcBorders>
              <w:top w:val="nil"/>
              <w:left w:val="single" w:sz="8" w:space="0" w:color="auto"/>
              <w:bottom w:val="nil"/>
            </w:tcBorders>
            <w:shd w:val="clear" w:color="auto" w:fill="auto"/>
            <w:noWrap/>
            <w:vAlign w:val="center"/>
            <w:hideMark/>
          </w:tcPr>
          <w:p w14:paraId="03C78B96" w14:textId="4E6D1D0C" w:rsidR="00AF12EA" w:rsidRPr="009548D7" w:rsidRDefault="00777A02" w:rsidP="00777A02">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AF12EA" w:rsidRPr="009548D7">
              <w:rPr>
                <w:rFonts w:ascii="Arial Narrow" w:eastAsia="Times New Roman" w:hAnsi="Arial Narrow" w:cs="Arial"/>
                <w:sz w:val="16"/>
                <w:szCs w:val="16"/>
                <w:lang w:eastAsia="pt-BR"/>
              </w:rPr>
              <w:t xml:space="preserve">(-) Redução ao Valor Recuperável de Investimentos do RPPS </w:t>
            </w:r>
          </w:p>
        </w:tc>
        <w:tc>
          <w:tcPr>
            <w:tcW w:w="767" w:type="dxa"/>
            <w:tcBorders>
              <w:top w:val="nil"/>
              <w:bottom w:val="nil"/>
              <w:right w:val="single" w:sz="8" w:space="0" w:color="auto"/>
            </w:tcBorders>
            <w:shd w:val="clear" w:color="auto" w:fill="auto"/>
            <w:noWrap/>
            <w:vAlign w:val="center"/>
          </w:tcPr>
          <w:p w14:paraId="1942A195"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2C3D8B6D"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BPA.D050</w:t>
            </w:r>
          </w:p>
        </w:tc>
        <w:tc>
          <w:tcPr>
            <w:tcW w:w="1262" w:type="dxa"/>
            <w:tcBorders>
              <w:top w:val="nil"/>
              <w:left w:val="nil"/>
              <w:bottom w:val="nil"/>
              <w:right w:val="single" w:sz="8" w:space="0" w:color="auto"/>
            </w:tcBorders>
            <w:shd w:val="clear" w:color="auto" w:fill="auto"/>
            <w:noWrap/>
            <w:vAlign w:val="center"/>
            <w:hideMark/>
          </w:tcPr>
          <w:p w14:paraId="501A9436"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BPA.E050</w:t>
            </w:r>
          </w:p>
        </w:tc>
        <w:tc>
          <w:tcPr>
            <w:tcW w:w="7820" w:type="dxa"/>
            <w:gridSpan w:val="4"/>
            <w:tcBorders>
              <w:top w:val="single" w:sz="8" w:space="0" w:color="auto"/>
              <w:left w:val="nil"/>
              <w:bottom w:val="single" w:sz="8" w:space="0" w:color="auto"/>
              <w:right w:val="single" w:sz="8" w:space="0" w:color="000000"/>
            </w:tcBorders>
            <w:shd w:val="clear" w:color="000000" w:fill="D9D9D9"/>
            <w:noWrap/>
            <w:vAlign w:val="center"/>
            <w:hideMark/>
          </w:tcPr>
          <w:p w14:paraId="26B4BDA0" w14:textId="77777777" w:rsidR="00AF12EA" w:rsidRPr="009548D7" w:rsidRDefault="00AF12EA" w:rsidP="00AF12EA">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PATRIMÔNIO LÍQUIDO</w:t>
            </w:r>
          </w:p>
        </w:tc>
      </w:tr>
      <w:tr w:rsidR="00AF12EA" w:rsidRPr="009548D7" w14:paraId="6C74066A" w14:textId="77777777" w:rsidTr="002315E1">
        <w:trPr>
          <w:trHeight w:val="240"/>
        </w:trPr>
        <w:tc>
          <w:tcPr>
            <w:tcW w:w="4410" w:type="dxa"/>
            <w:tcBorders>
              <w:top w:val="nil"/>
              <w:left w:val="single" w:sz="8" w:space="0" w:color="auto"/>
              <w:bottom w:val="nil"/>
            </w:tcBorders>
            <w:shd w:val="clear" w:color="auto" w:fill="auto"/>
            <w:noWrap/>
            <w:vAlign w:val="center"/>
            <w:hideMark/>
          </w:tcPr>
          <w:p w14:paraId="42F47CD2" w14:textId="31E45ABA" w:rsidR="00AF12EA" w:rsidRPr="009548D7" w:rsidRDefault="00777A02" w:rsidP="00777A02">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AF12EA" w:rsidRPr="009548D7">
              <w:rPr>
                <w:rFonts w:ascii="Arial Narrow" w:eastAsia="Times New Roman" w:hAnsi="Arial Narrow" w:cs="Arial"/>
                <w:sz w:val="16"/>
                <w:szCs w:val="16"/>
                <w:lang w:eastAsia="pt-BR"/>
              </w:rPr>
              <w:t>Demais Investimentos Permanentes</w:t>
            </w:r>
          </w:p>
        </w:tc>
        <w:tc>
          <w:tcPr>
            <w:tcW w:w="767" w:type="dxa"/>
            <w:tcBorders>
              <w:top w:val="nil"/>
              <w:bottom w:val="nil"/>
              <w:right w:val="single" w:sz="8" w:space="0" w:color="auto"/>
            </w:tcBorders>
            <w:shd w:val="clear" w:color="auto" w:fill="auto"/>
            <w:noWrap/>
            <w:vAlign w:val="center"/>
          </w:tcPr>
          <w:p w14:paraId="38655523"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227FF92E"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BPA.D051</w:t>
            </w:r>
          </w:p>
        </w:tc>
        <w:tc>
          <w:tcPr>
            <w:tcW w:w="1262" w:type="dxa"/>
            <w:tcBorders>
              <w:top w:val="nil"/>
              <w:left w:val="nil"/>
              <w:bottom w:val="nil"/>
              <w:right w:val="single" w:sz="8" w:space="0" w:color="auto"/>
            </w:tcBorders>
            <w:shd w:val="clear" w:color="auto" w:fill="auto"/>
            <w:noWrap/>
            <w:vAlign w:val="center"/>
            <w:hideMark/>
          </w:tcPr>
          <w:p w14:paraId="22872EE8"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BPA.E051</w:t>
            </w:r>
          </w:p>
        </w:tc>
        <w:tc>
          <w:tcPr>
            <w:tcW w:w="4562" w:type="dxa"/>
            <w:tcBorders>
              <w:top w:val="nil"/>
              <w:left w:val="nil"/>
              <w:bottom w:val="single" w:sz="8" w:space="0" w:color="auto"/>
            </w:tcBorders>
            <w:shd w:val="clear" w:color="000000" w:fill="D9D9D9"/>
            <w:noWrap/>
            <w:vAlign w:val="center"/>
            <w:hideMark/>
          </w:tcPr>
          <w:p w14:paraId="371F41EA" w14:textId="77777777" w:rsidR="00AF12EA" w:rsidRPr="009548D7" w:rsidRDefault="00AF12EA" w:rsidP="00AF12EA">
            <w:pPr>
              <w:spacing w:after="0" w:line="240" w:lineRule="auto"/>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ESPECIFICAÇÃO</w:t>
            </w:r>
          </w:p>
        </w:tc>
        <w:tc>
          <w:tcPr>
            <w:tcW w:w="775" w:type="dxa"/>
            <w:tcBorders>
              <w:top w:val="nil"/>
              <w:bottom w:val="single" w:sz="8" w:space="0" w:color="auto"/>
              <w:right w:val="single" w:sz="8" w:space="0" w:color="auto"/>
            </w:tcBorders>
            <w:shd w:val="clear" w:color="000000" w:fill="D9D9D9"/>
            <w:noWrap/>
            <w:vAlign w:val="center"/>
          </w:tcPr>
          <w:p w14:paraId="45307A5C" w14:textId="77777777" w:rsidR="00AF12EA" w:rsidRPr="009548D7" w:rsidRDefault="00AF12EA" w:rsidP="00AF12EA">
            <w:pPr>
              <w:spacing w:after="0" w:line="240" w:lineRule="auto"/>
              <w:rPr>
                <w:rFonts w:ascii="Arial Narrow" w:eastAsia="Times New Roman" w:hAnsi="Arial Narrow" w:cs="Arial"/>
                <w:b/>
                <w:bCs/>
                <w:sz w:val="16"/>
                <w:szCs w:val="16"/>
                <w:lang w:eastAsia="pt-BR"/>
              </w:rPr>
            </w:pPr>
          </w:p>
        </w:tc>
        <w:tc>
          <w:tcPr>
            <w:tcW w:w="1063" w:type="dxa"/>
            <w:tcBorders>
              <w:top w:val="nil"/>
              <w:left w:val="nil"/>
              <w:bottom w:val="single" w:sz="8" w:space="0" w:color="auto"/>
              <w:right w:val="single" w:sz="8" w:space="0" w:color="auto"/>
            </w:tcBorders>
            <w:shd w:val="clear" w:color="000000" w:fill="D9D9D9"/>
            <w:noWrap/>
            <w:vAlign w:val="center"/>
            <w:hideMark/>
          </w:tcPr>
          <w:p w14:paraId="6FD2F8C8" w14:textId="77777777" w:rsidR="00AF12EA" w:rsidRPr="009548D7" w:rsidRDefault="00AF12EA" w:rsidP="00AF12EA">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Exercício Atual</w:t>
            </w:r>
          </w:p>
        </w:tc>
        <w:tc>
          <w:tcPr>
            <w:tcW w:w="1420" w:type="dxa"/>
            <w:tcBorders>
              <w:top w:val="nil"/>
              <w:left w:val="nil"/>
              <w:bottom w:val="single" w:sz="8" w:space="0" w:color="auto"/>
              <w:right w:val="single" w:sz="8" w:space="0" w:color="auto"/>
            </w:tcBorders>
            <w:shd w:val="clear" w:color="000000" w:fill="D9D9D9"/>
            <w:noWrap/>
            <w:vAlign w:val="center"/>
            <w:hideMark/>
          </w:tcPr>
          <w:p w14:paraId="0B9EF6F0" w14:textId="77777777" w:rsidR="00AF12EA" w:rsidRPr="009548D7" w:rsidRDefault="00AF12EA" w:rsidP="00AF12EA">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Exercício Anterior</w:t>
            </w:r>
          </w:p>
        </w:tc>
      </w:tr>
      <w:tr w:rsidR="00777A02" w:rsidRPr="009548D7" w14:paraId="0CF7896D" w14:textId="77777777" w:rsidTr="002936F7">
        <w:trPr>
          <w:trHeight w:val="255"/>
        </w:trPr>
        <w:tc>
          <w:tcPr>
            <w:tcW w:w="5177" w:type="dxa"/>
            <w:gridSpan w:val="2"/>
            <w:tcBorders>
              <w:top w:val="nil"/>
              <w:left w:val="single" w:sz="8" w:space="0" w:color="auto"/>
              <w:bottom w:val="nil"/>
              <w:right w:val="single" w:sz="8" w:space="0" w:color="auto"/>
            </w:tcBorders>
            <w:shd w:val="clear" w:color="auto" w:fill="auto"/>
            <w:noWrap/>
            <w:vAlign w:val="center"/>
            <w:hideMark/>
          </w:tcPr>
          <w:p w14:paraId="03EA73A2" w14:textId="1C8FD78E" w:rsidR="00777A02" w:rsidRPr="009548D7" w:rsidRDefault="00777A02" w:rsidP="00777A02">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Pr="009548D7">
              <w:rPr>
                <w:rFonts w:ascii="Arial Narrow" w:eastAsia="Times New Roman" w:hAnsi="Arial Narrow" w:cs="Arial"/>
                <w:sz w:val="16"/>
                <w:szCs w:val="16"/>
                <w:lang w:eastAsia="pt-BR"/>
              </w:rPr>
              <w:t>(-) Redução ao Valor Recuperável de Demais Investimentos Permanentes</w:t>
            </w:r>
          </w:p>
        </w:tc>
        <w:tc>
          <w:tcPr>
            <w:tcW w:w="1063" w:type="dxa"/>
            <w:tcBorders>
              <w:top w:val="nil"/>
              <w:left w:val="nil"/>
              <w:bottom w:val="nil"/>
              <w:right w:val="single" w:sz="8" w:space="0" w:color="auto"/>
            </w:tcBorders>
            <w:shd w:val="clear" w:color="auto" w:fill="auto"/>
            <w:noWrap/>
            <w:vAlign w:val="center"/>
            <w:hideMark/>
          </w:tcPr>
          <w:p w14:paraId="5462D0D6" w14:textId="77777777" w:rsidR="00777A02" w:rsidRPr="009548D7" w:rsidRDefault="00777A02"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BPA.D052</w:t>
            </w:r>
          </w:p>
        </w:tc>
        <w:tc>
          <w:tcPr>
            <w:tcW w:w="1262" w:type="dxa"/>
            <w:tcBorders>
              <w:top w:val="nil"/>
              <w:left w:val="nil"/>
              <w:bottom w:val="nil"/>
              <w:right w:val="single" w:sz="8" w:space="0" w:color="auto"/>
            </w:tcBorders>
            <w:shd w:val="clear" w:color="auto" w:fill="auto"/>
            <w:noWrap/>
            <w:vAlign w:val="center"/>
            <w:hideMark/>
          </w:tcPr>
          <w:p w14:paraId="6DF28A6A" w14:textId="77777777" w:rsidR="00777A02" w:rsidRPr="009548D7" w:rsidRDefault="00777A02"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BPA.E052</w:t>
            </w:r>
          </w:p>
        </w:tc>
        <w:tc>
          <w:tcPr>
            <w:tcW w:w="4562" w:type="dxa"/>
            <w:tcBorders>
              <w:top w:val="nil"/>
              <w:left w:val="nil"/>
              <w:bottom w:val="nil"/>
            </w:tcBorders>
            <w:shd w:val="clear" w:color="auto" w:fill="auto"/>
            <w:vAlign w:val="center"/>
            <w:hideMark/>
          </w:tcPr>
          <w:p w14:paraId="0CB4FB33" w14:textId="77777777" w:rsidR="00777A02" w:rsidRPr="009548D7" w:rsidRDefault="00777A02" w:rsidP="00AF12EA">
            <w:pPr>
              <w:spacing w:after="0" w:line="240" w:lineRule="auto"/>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xml:space="preserve">Patrimônio Social/Capital Social  </w:t>
            </w:r>
          </w:p>
        </w:tc>
        <w:tc>
          <w:tcPr>
            <w:tcW w:w="775" w:type="dxa"/>
            <w:tcBorders>
              <w:top w:val="nil"/>
              <w:bottom w:val="nil"/>
              <w:right w:val="single" w:sz="8" w:space="0" w:color="auto"/>
            </w:tcBorders>
            <w:shd w:val="clear" w:color="auto" w:fill="auto"/>
            <w:noWrap/>
            <w:vAlign w:val="center"/>
          </w:tcPr>
          <w:p w14:paraId="16157C37" w14:textId="77777777" w:rsidR="00777A02" w:rsidRPr="009548D7" w:rsidRDefault="00777A02" w:rsidP="00AF12EA">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514B15A8" w14:textId="77777777" w:rsidR="00777A02" w:rsidRPr="009548D7" w:rsidRDefault="00777A02"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BPA.H051</w:t>
            </w:r>
          </w:p>
        </w:tc>
        <w:tc>
          <w:tcPr>
            <w:tcW w:w="1420" w:type="dxa"/>
            <w:tcBorders>
              <w:top w:val="nil"/>
              <w:left w:val="nil"/>
              <w:bottom w:val="nil"/>
              <w:right w:val="single" w:sz="8" w:space="0" w:color="auto"/>
            </w:tcBorders>
            <w:shd w:val="clear" w:color="auto" w:fill="auto"/>
            <w:noWrap/>
            <w:vAlign w:val="center"/>
            <w:hideMark/>
          </w:tcPr>
          <w:p w14:paraId="488AB967" w14:textId="77777777" w:rsidR="00777A02" w:rsidRPr="009548D7" w:rsidRDefault="00777A02"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BPA.I051</w:t>
            </w:r>
          </w:p>
        </w:tc>
      </w:tr>
      <w:tr w:rsidR="00AF12EA" w:rsidRPr="009548D7" w14:paraId="25322DBE" w14:textId="77777777" w:rsidTr="002315E1">
        <w:trPr>
          <w:trHeight w:val="255"/>
        </w:trPr>
        <w:tc>
          <w:tcPr>
            <w:tcW w:w="4410" w:type="dxa"/>
            <w:tcBorders>
              <w:top w:val="nil"/>
              <w:left w:val="single" w:sz="8" w:space="0" w:color="auto"/>
              <w:bottom w:val="nil"/>
            </w:tcBorders>
            <w:shd w:val="clear" w:color="auto" w:fill="auto"/>
            <w:noWrap/>
            <w:vAlign w:val="center"/>
          </w:tcPr>
          <w:p w14:paraId="0F5FC862" w14:textId="38259376" w:rsidR="00AF12EA" w:rsidRPr="00806700" w:rsidRDefault="00777A02" w:rsidP="00777A02">
            <w:pPr>
              <w:spacing w:after="0" w:line="240" w:lineRule="auto"/>
              <w:rPr>
                <w:rFonts w:ascii="Arial Narrow" w:eastAsia="Times New Roman" w:hAnsi="Arial Narrow" w:cs="Arial"/>
                <w:sz w:val="16"/>
                <w:szCs w:val="16"/>
                <w:lang w:eastAsia="pt-BR"/>
              </w:rPr>
            </w:pPr>
            <w:r>
              <w:rPr>
                <w:rFonts w:ascii="Arial Narrow" w:eastAsia="Times New Roman" w:hAnsi="Arial Narrow" w:cs="Arial"/>
                <w:bCs/>
                <w:sz w:val="16"/>
                <w:szCs w:val="16"/>
                <w:lang w:eastAsia="pt-BR"/>
              </w:rPr>
              <w:t xml:space="preserve">          </w:t>
            </w:r>
            <w:r w:rsidR="00AF12EA" w:rsidRPr="00806700">
              <w:rPr>
                <w:rFonts w:ascii="Arial Narrow" w:eastAsia="Times New Roman" w:hAnsi="Arial Narrow" w:cs="Arial"/>
                <w:bCs/>
                <w:sz w:val="16"/>
                <w:szCs w:val="16"/>
                <w:lang w:eastAsia="pt-BR"/>
              </w:rPr>
              <w:t>(-) Depreciação Acumulada de Outros Investimentos</w:t>
            </w:r>
          </w:p>
        </w:tc>
        <w:tc>
          <w:tcPr>
            <w:tcW w:w="767" w:type="dxa"/>
            <w:tcBorders>
              <w:top w:val="nil"/>
              <w:bottom w:val="nil"/>
              <w:right w:val="single" w:sz="8" w:space="0" w:color="auto"/>
            </w:tcBorders>
            <w:shd w:val="clear" w:color="auto" w:fill="auto"/>
            <w:noWrap/>
            <w:vAlign w:val="center"/>
          </w:tcPr>
          <w:p w14:paraId="68970A67" w14:textId="77777777" w:rsidR="00AF12EA" w:rsidRPr="00806700" w:rsidRDefault="00AF12EA" w:rsidP="00AF12EA">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tcPr>
          <w:p w14:paraId="0576F11B" w14:textId="77777777" w:rsidR="00AF12EA" w:rsidRPr="00806700" w:rsidRDefault="00AF12EA" w:rsidP="00AF12EA">
            <w:pPr>
              <w:spacing w:after="0" w:line="240" w:lineRule="auto"/>
              <w:jc w:val="center"/>
              <w:rPr>
                <w:rFonts w:ascii="Arial Narrow" w:eastAsia="Times New Roman" w:hAnsi="Arial Narrow" w:cs="Arial"/>
                <w:sz w:val="16"/>
                <w:szCs w:val="16"/>
                <w:lang w:eastAsia="pt-BR"/>
              </w:rPr>
            </w:pPr>
            <w:r w:rsidRPr="00806700">
              <w:rPr>
                <w:rFonts w:ascii="Arial Narrow" w:eastAsia="Times New Roman" w:hAnsi="Arial Narrow" w:cs="Arial"/>
                <w:bCs/>
                <w:sz w:val="16"/>
                <w:szCs w:val="16"/>
                <w:lang w:eastAsia="pt-BR"/>
              </w:rPr>
              <w:t>BPA.D091</w:t>
            </w:r>
          </w:p>
        </w:tc>
        <w:tc>
          <w:tcPr>
            <w:tcW w:w="1262" w:type="dxa"/>
            <w:tcBorders>
              <w:top w:val="nil"/>
              <w:left w:val="nil"/>
              <w:bottom w:val="nil"/>
              <w:right w:val="single" w:sz="8" w:space="0" w:color="auto"/>
            </w:tcBorders>
            <w:shd w:val="clear" w:color="auto" w:fill="auto"/>
            <w:noWrap/>
            <w:vAlign w:val="center"/>
          </w:tcPr>
          <w:p w14:paraId="3F0C4A90" w14:textId="77777777" w:rsidR="00AF12EA" w:rsidRPr="00806700" w:rsidRDefault="00AF12EA" w:rsidP="00AF12EA">
            <w:pPr>
              <w:spacing w:after="0" w:line="240" w:lineRule="auto"/>
              <w:jc w:val="center"/>
              <w:rPr>
                <w:rFonts w:ascii="Arial Narrow" w:eastAsia="Times New Roman" w:hAnsi="Arial Narrow" w:cs="Arial"/>
                <w:sz w:val="16"/>
                <w:szCs w:val="16"/>
                <w:lang w:eastAsia="pt-BR"/>
              </w:rPr>
            </w:pPr>
            <w:r w:rsidRPr="00806700">
              <w:rPr>
                <w:rFonts w:ascii="Arial Narrow" w:eastAsia="Times New Roman" w:hAnsi="Arial Narrow" w:cs="Arial"/>
                <w:bCs/>
                <w:sz w:val="16"/>
                <w:szCs w:val="16"/>
                <w:lang w:eastAsia="pt-BR"/>
              </w:rPr>
              <w:t>BPA.E091</w:t>
            </w:r>
          </w:p>
        </w:tc>
        <w:tc>
          <w:tcPr>
            <w:tcW w:w="4562" w:type="dxa"/>
            <w:tcBorders>
              <w:top w:val="nil"/>
              <w:left w:val="nil"/>
              <w:bottom w:val="nil"/>
            </w:tcBorders>
            <w:shd w:val="clear" w:color="auto" w:fill="auto"/>
            <w:vAlign w:val="center"/>
          </w:tcPr>
          <w:p w14:paraId="5595412A" w14:textId="77777777" w:rsidR="00AF12EA" w:rsidRPr="009548D7" w:rsidRDefault="00AF12EA" w:rsidP="00AF12EA">
            <w:pPr>
              <w:spacing w:after="0" w:line="240" w:lineRule="auto"/>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Adiantamento para Futuro Aumento de Capital</w:t>
            </w:r>
          </w:p>
        </w:tc>
        <w:tc>
          <w:tcPr>
            <w:tcW w:w="775" w:type="dxa"/>
            <w:tcBorders>
              <w:top w:val="nil"/>
              <w:bottom w:val="nil"/>
              <w:right w:val="single" w:sz="8" w:space="0" w:color="auto"/>
            </w:tcBorders>
            <w:shd w:val="clear" w:color="auto" w:fill="auto"/>
            <w:noWrap/>
            <w:vAlign w:val="center"/>
          </w:tcPr>
          <w:p w14:paraId="59F1D3B4"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tcPr>
          <w:p w14:paraId="2D538C5D"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BPA.H052</w:t>
            </w:r>
          </w:p>
        </w:tc>
        <w:tc>
          <w:tcPr>
            <w:tcW w:w="1420" w:type="dxa"/>
            <w:tcBorders>
              <w:top w:val="nil"/>
              <w:left w:val="nil"/>
              <w:bottom w:val="nil"/>
              <w:right w:val="single" w:sz="8" w:space="0" w:color="auto"/>
            </w:tcBorders>
            <w:shd w:val="clear" w:color="auto" w:fill="auto"/>
            <w:noWrap/>
            <w:vAlign w:val="center"/>
          </w:tcPr>
          <w:p w14:paraId="793C9BCE"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BPA.I052</w:t>
            </w:r>
          </w:p>
        </w:tc>
      </w:tr>
      <w:tr w:rsidR="00AF12EA" w:rsidRPr="009548D7" w14:paraId="67D07374" w14:textId="77777777" w:rsidTr="002315E1">
        <w:trPr>
          <w:trHeight w:val="225"/>
        </w:trPr>
        <w:tc>
          <w:tcPr>
            <w:tcW w:w="4410" w:type="dxa"/>
            <w:tcBorders>
              <w:top w:val="nil"/>
              <w:left w:val="single" w:sz="8" w:space="0" w:color="auto"/>
              <w:bottom w:val="nil"/>
            </w:tcBorders>
            <w:shd w:val="clear" w:color="auto" w:fill="auto"/>
            <w:noWrap/>
            <w:vAlign w:val="center"/>
            <w:hideMark/>
          </w:tcPr>
          <w:p w14:paraId="111187E6" w14:textId="47AE6B8C" w:rsidR="00AF12EA" w:rsidRPr="00806700" w:rsidRDefault="00777A02" w:rsidP="00777A02">
            <w:pPr>
              <w:spacing w:after="0" w:line="240" w:lineRule="auto"/>
              <w:rPr>
                <w:rFonts w:ascii="Arial Narrow" w:eastAsia="Times New Roman" w:hAnsi="Arial Narrow" w:cs="Arial"/>
                <w:b/>
                <w:bCs/>
                <w:sz w:val="16"/>
                <w:szCs w:val="16"/>
                <w:lang w:eastAsia="pt-BR"/>
              </w:rPr>
            </w:pPr>
            <w:r>
              <w:rPr>
                <w:rFonts w:ascii="Arial Narrow" w:eastAsia="Times New Roman" w:hAnsi="Arial Narrow" w:cs="Arial"/>
                <w:b/>
                <w:bCs/>
                <w:sz w:val="16"/>
                <w:szCs w:val="16"/>
                <w:lang w:eastAsia="pt-BR"/>
              </w:rPr>
              <w:t xml:space="preserve">     </w:t>
            </w:r>
            <w:r w:rsidR="00AF12EA" w:rsidRPr="00806700">
              <w:rPr>
                <w:rFonts w:ascii="Arial Narrow" w:eastAsia="Times New Roman" w:hAnsi="Arial Narrow" w:cs="Arial"/>
                <w:b/>
                <w:bCs/>
                <w:sz w:val="16"/>
                <w:szCs w:val="16"/>
                <w:lang w:eastAsia="pt-BR"/>
              </w:rPr>
              <w:t>Imobilizado</w:t>
            </w:r>
          </w:p>
        </w:tc>
        <w:tc>
          <w:tcPr>
            <w:tcW w:w="767" w:type="dxa"/>
            <w:tcBorders>
              <w:top w:val="nil"/>
              <w:bottom w:val="nil"/>
              <w:right w:val="single" w:sz="8" w:space="0" w:color="auto"/>
            </w:tcBorders>
            <w:shd w:val="clear" w:color="auto" w:fill="auto"/>
            <w:noWrap/>
            <w:vAlign w:val="center"/>
          </w:tcPr>
          <w:p w14:paraId="68974D08" w14:textId="77777777" w:rsidR="00AF12EA" w:rsidRPr="00806700" w:rsidRDefault="00AF12EA" w:rsidP="00AF12EA">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0F731AE1" w14:textId="77777777" w:rsidR="00AF12EA" w:rsidRPr="00806700" w:rsidRDefault="00AF12EA" w:rsidP="00AF12EA">
            <w:pPr>
              <w:spacing w:after="0" w:line="240" w:lineRule="auto"/>
              <w:jc w:val="center"/>
              <w:rPr>
                <w:rFonts w:ascii="Arial Narrow" w:eastAsia="Times New Roman" w:hAnsi="Arial Narrow" w:cs="Arial"/>
                <w:sz w:val="16"/>
                <w:szCs w:val="16"/>
                <w:lang w:eastAsia="pt-BR"/>
              </w:rPr>
            </w:pPr>
            <w:r w:rsidRPr="00806700">
              <w:rPr>
                <w:rFonts w:ascii="Arial Narrow" w:eastAsia="Times New Roman" w:hAnsi="Arial Narrow" w:cs="Arial"/>
                <w:b/>
                <w:bCs/>
                <w:sz w:val="16"/>
                <w:szCs w:val="16"/>
                <w:lang w:eastAsia="pt-BR"/>
              </w:rPr>
              <w:t>BPA.D053</w:t>
            </w:r>
          </w:p>
        </w:tc>
        <w:tc>
          <w:tcPr>
            <w:tcW w:w="1262" w:type="dxa"/>
            <w:tcBorders>
              <w:top w:val="nil"/>
              <w:left w:val="nil"/>
              <w:bottom w:val="nil"/>
              <w:right w:val="single" w:sz="8" w:space="0" w:color="auto"/>
            </w:tcBorders>
            <w:shd w:val="clear" w:color="auto" w:fill="auto"/>
            <w:noWrap/>
            <w:vAlign w:val="center"/>
            <w:hideMark/>
          </w:tcPr>
          <w:p w14:paraId="4DDADD97" w14:textId="77777777" w:rsidR="00AF12EA" w:rsidRPr="00806700" w:rsidRDefault="00AF12EA" w:rsidP="00AF12EA">
            <w:pPr>
              <w:spacing w:after="0" w:line="240" w:lineRule="auto"/>
              <w:jc w:val="center"/>
              <w:rPr>
                <w:rFonts w:ascii="Arial Narrow" w:eastAsia="Times New Roman" w:hAnsi="Arial Narrow" w:cs="Arial"/>
                <w:sz w:val="16"/>
                <w:szCs w:val="16"/>
                <w:lang w:eastAsia="pt-BR"/>
              </w:rPr>
            </w:pPr>
            <w:r w:rsidRPr="00806700">
              <w:rPr>
                <w:rFonts w:ascii="Arial Narrow" w:eastAsia="Times New Roman" w:hAnsi="Arial Narrow" w:cs="Arial"/>
                <w:b/>
                <w:bCs/>
                <w:sz w:val="16"/>
                <w:szCs w:val="16"/>
                <w:lang w:eastAsia="pt-BR"/>
              </w:rPr>
              <w:t>BPA.E053</w:t>
            </w:r>
          </w:p>
        </w:tc>
        <w:tc>
          <w:tcPr>
            <w:tcW w:w="4562" w:type="dxa"/>
            <w:tcBorders>
              <w:top w:val="nil"/>
              <w:left w:val="nil"/>
              <w:bottom w:val="nil"/>
            </w:tcBorders>
            <w:shd w:val="clear" w:color="auto" w:fill="auto"/>
            <w:vAlign w:val="center"/>
            <w:hideMark/>
          </w:tcPr>
          <w:p w14:paraId="6073B801" w14:textId="77777777" w:rsidR="00AF12EA" w:rsidRPr="009548D7" w:rsidRDefault="00AF12EA" w:rsidP="00AF12EA">
            <w:pPr>
              <w:spacing w:after="0" w:line="240" w:lineRule="auto"/>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Reservas de Capital</w:t>
            </w:r>
          </w:p>
        </w:tc>
        <w:tc>
          <w:tcPr>
            <w:tcW w:w="775" w:type="dxa"/>
            <w:tcBorders>
              <w:top w:val="nil"/>
              <w:bottom w:val="nil"/>
              <w:right w:val="single" w:sz="8" w:space="0" w:color="auto"/>
            </w:tcBorders>
            <w:shd w:val="clear" w:color="auto" w:fill="auto"/>
            <w:noWrap/>
            <w:vAlign w:val="center"/>
          </w:tcPr>
          <w:p w14:paraId="5266E983"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511916B0"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BPA.H053</w:t>
            </w:r>
          </w:p>
        </w:tc>
        <w:tc>
          <w:tcPr>
            <w:tcW w:w="1420" w:type="dxa"/>
            <w:tcBorders>
              <w:top w:val="nil"/>
              <w:left w:val="nil"/>
              <w:bottom w:val="nil"/>
              <w:right w:val="single" w:sz="8" w:space="0" w:color="auto"/>
            </w:tcBorders>
            <w:shd w:val="clear" w:color="auto" w:fill="auto"/>
            <w:noWrap/>
            <w:vAlign w:val="center"/>
            <w:hideMark/>
          </w:tcPr>
          <w:p w14:paraId="4A883E72"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BPA.I053</w:t>
            </w:r>
          </w:p>
        </w:tc>
      </w:tr>
      <w:tr w:rsidR="00AF12EA" w:rsidRPr="009548D7" w14:paraId="79E6FE6F" w14:textId="77777777" w:rsidTr="002315E1">
        <w:trPr>
          <w:trHeight w:val="255"/>
        </w:trPr>
        <w:tc>
          <w:tcPr>
            <w:tcW w:w="4410" w:type="dxa"/>
            <w:tcBorders>
              <w:top w:val="nil"/>
              <w:left w:val="single" w:sz="8" w:space="0" w:color="auto"/>
              <w:bottom w:val="nil"/>
            </w:tcBorders>
            <w:shd w:val="clear" w:color="auto" w:fill="auto"/>
            <w:vAlign w:val="center"/>
            <w:hideMark/>
          </w:tcPr>
          <w:p w14:paraId="42EA1364" w14:textId="60E5A6B8" w:rsidR="00AF12EA" w:rsidRPr="009548D7" w:rsidRDefault="00777A02" w:rsidP="00777A02">
            <w:pPr>
              <w:spacing w:after="0" w:line="240" w:lineRule="auto"/>
              <w:rPr>
                <w:rFonts w:ascii="Arial Narrow" w:eastAsia="Times New Roman" w:hAnsi="Arial Narrow" w:cs="Arial"/>
                <w:b/>
                <w:bCs/>
                <w:sz w:val="16"/>
                <w:szCs w:val="16"/>
                <w:lang w:eastAsia="pt-BR"/>
              </w:rPr>
            </w:pPr>
            <w:r>
              <w:rPr>
                <w:rFonts w:ascii="Arial Narrow" w:eastAsia="Times New Roman" w:hAnsi="Arial Narrow" w:cs="Arial"/>
                <w:sz w:val="16"/>
                <w:szCs w:val="16"/>
                <w:lang w:eastAsia="pt-BR"/>
              </w:rPr>
              <w:t xml:space="preserve">          </w:t>
            </w:r>
            <w:r w:rsidR="00AF12EA" w:rsidRPr="009548D7">
              <w:rPr>
                <w:rFonts w:ascii="Arial Narrow" w:eastAsia="Times New Roman" w:hAnsi="Arial Narrow" w:cs="Arial"/>
                <w:sz w:val="16"/>
                <w:szCs w:val="16"/>
                <w:lang w:eastAsia="pt-BR"/>
              </w:rPr>
              <w:t>Bens Móveis</w:t>
            </w:r>
          </w:p>
        </w:tc>
        <w:tc>
          <w:tcPr>
            <w:tcW w:w="767" w:type="dxa"/>
            <w:tcBorders>
              <w:top w:val="nil"/>
              <w:bottom w:val="nil"/>
              <w:right w:val="single" w:sz="8" w:space="0" w:color="auto"/>
            </w:tcBorders>
            <w:shd w:val="clear" w:color="auto" w:fill="auto"/>
            <w:noWrap/>
            <w:vAlign w:val="center"/>
          </w:tcPr>
          <w:p w14:paraId="28F6AC89" w14:textId="77777777" w:rsidR="00AF12EA" w:rsidRPr="009548D7" w:rsidRDefault="00AF12EA" w:rsidP="00AF12EA">
            <w:pPr>
              <w:spacing w:after="0" w:line="240" w:lineRule="auto"/>
              <w:jc w:val="center"/>
              <w:rPr>
                <w:rFonts w:ascii="Arial Narrow" w:eastAsia="Times New Roman" w:hAnsi="Arial Narrow" w:cs="Arial"/>
                <w:b/>
                <w:bCs/>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1A45C902" w14:textId="77777777" w:rsidR="00AF12EA" w:rsidRPr="009548D7" w:rsidRDefault="00AF12EA" w:rsidP="00AF12EA">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sz w:val="16"/>
                <w:szCs w:val="16"/>
                <w:lang w:eastAsia="pt-BR"/>
              </w:rPr>
              <w:t>BPA.D054</w:t>
            </w:r>
          </w:p>
        </w:tc>
        <w:tc>
          <w:tcPr>
            <w:tcW w:w="1262" w:type="dxa"/>
            <w:tcBorders>
              <w:top w:val="nil"/>
              <w:left w:val="nil"/>
              <w:bottom w:val="nil"/>
              <w:right w:val="single" w:sz="8" w:space="0" w:color="auto"/>
            </w:tcBorders>
            <w:shd w:val="clear" w:color="auto" w:fill="auto"/>
            <w:noWrap/>
            <w:vAlign w:val="center"/>
            <w:hideMark/>
          </w:tcPr>
          <w:p w14:paraId="023CFEEA" w14:textId="77777777" w:rsidR="00AF12EA" w:rsidRPr="009548D7" w:rsidRDefault="00AF12EA" w:rsidP="00AF12EA">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sz w:val="16"/>
                <w:szCs w:val="16"/>
                <w:lang w:eastAsia="pt-BR"/>
              </w:rPr>
              <w:t>BPA.E054</w:t>
            </w:r>
          </w:p>
        </w:tc>
        <w:tc>
          <w:tcPr>
            <w:tcW w:w="4562" w:type="dxa"/>
            <w:tcBorders>
              <w:top w:val="nil"/>
              <w:left w:val="nil"/>
              <w:bottom w:val="nil"/>
            </w:tcBorders>
            <w:shd w:val="clear" w:color="auto" w:fill="auto"/>
            <w:noWrap/>
            <w:vAlign w:val="center"/>
            <w:hideMark/>
          </w:tcPr>
          <w:p w14:paraId="790BF86C" w14:textId="77777777" w:rsidR="00AF12EA" w:rsidRPr="009548D7" w:rsidRDefault="00AF12EA" w:rsidP="00AF12EA">
            <w:pPr>
              <w:spacing w:after="0" w:line="240" w:lineRule="auto"/>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Ajustes de Avaliação Patrimonial</w:t>
            </w:r>
          </w:p>
        </w:tc>
        <w:tc>
          <w:tcPr>
            <w:tcW w:w="775" w:type="dxa"/>
            <w:tcBorders>
              <w:top w:val="nil"/>
              <w:bottom w:val="nil"/>
              <w:right w:val="single" w:sz="8" w:space="0" w:color="auto"/>
            </w:tcBorders>
            <w:shd w:val="clear" w:color="auto" w:fill="auto"/>
            <w:noWrap/>
            <w:vAlign w:val="center"/>
          </w:tcPr>
          <w:p w14:paraId="5B4647E3"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3240BB96"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BPA.H054</w:t>
            </w:r>
          </w:p>
        </w:tc>
        <w:tc>
          <w:tcPr>
            <w:tcW w:w="1420" w:type="dxa"/>
            <w:tcBorders>
              <w:top w:val="nil"/>
              <w:left w:val="nil"/>
              <w:bottom w:val="nil"/>
              <w:right w:val="single" w:sz="8" w:space="0" w:color="auto"/>
            </w:tcBorders>
            <w:shd w:val="clear" w:color="auto" w:fill="auto"/>
            <w:noWrap/>
            <w:vAlign w:val="center"/>
            <w:hideMark/>
          </w:tcPr>
          <w:p w14:paraId="78694773"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BPA.I054</w:t>
            </w:r>
          </w:p>
        </w:tc>
      </w:tr>
      <w:tr w:rsidR="00777A02" w:rsidRPr="009548D7" w14:paraId="3E44A9E8" w14:textId="77777777" w:rsidTr="002936F7">
        <w:trPr>
          <w:trHeight w:val="255"/>
        </w:trPr>
        <w:tc>
          <w:tcPr>
            <w:tcW w:w="5177" w:type="dxa"/>
            <w:gridSpan w:val="2"/>
            <w:tcBorders>
              <w:top w:val="nil"/>
              <w:left w:val="single" w:sz="8" w:space="0" w:color="auto"/>
              <w:bottom w:val="nil"/>
              <w:right w:val="single" w:sz="8" w:space="0" w:color="auto"/>
            </w:tcBorders>
            <w:shd w:val="clear" w:color="auto" w:fill="auto"/>
            <w:noWrap/>
            <w:vAlign w:val="center"/>
            <w:hideMark/>
          </w:tcPr>
          <w:p w14:paraId="1D4D0F5C" w14:textId="24CD7596" w:rsidR="00777A02" w:rsidRPr="009548D7" w:rsidRDefault="00777A02" w:rsidP="00777A02">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Pr="009548D7">
              <w:rPr>
                <w:rFonts w:ascii="Arial Narrow" w:eastAsia="Times New Roman" w:hAnsi="Arial Narrow" w:cs="Arial"/>
                <w:sz w:val="16"/>
                <w:szCs w:val="16"/>
                <w:lang w:eastAsia="pt-BR"/>
              </w:rPr>
              <w:t>(-) Depreciação, Exaustão e Amortização Acumuladas de Bens Móveis</w:t>
            </w:r>
          </w:p>
        </w:tc>
        <w:tc>
          <w:tcPr>
            <w:tcW w:w="1063" w:type="dxa"/>
            <w:tcBorders>
              <w:top w:val="nil"/>
              <w:left w:val="nil"/>
              <w:bottom w:val="nil"/>
              <w:right w:val="single" w:sz="8" w:space="0" w:color="auto"/>
            </w:tcBorders>
            <w:shd w:val="clear" w:color="auto" w:fill="auto"/>
            <w:noWrap/>
            <w:vAlign w:val="center"/>
            <w:hideMark/>
          </w:tcPr>
          <w:p w14:paraId="30530926" w14:textId="77777777" w:rsidR="00777A02" w:rsidRPr="009548D7" w:rsidRDefault="00777A02"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BPA.D055</w:t>
            </w:r>
          </w:p>
        </w:tc>
        <w:tc>
          <w:tcPr>
            <w:tcW w:w="1262" w:type="dxa"/>
            <w:tcBorders>
              <w:top w:val="nil"/>
              <w:left w:val="nil"/>
              <w:bottom w:val="nil"/>
              <w:right w:val="single" w:sz="8" w:space="0" w:color="auto"/>
            </w:tcBorders>
            <w:shd w:val="clear" w:color="auto" w:fill="auto"/>
            <w:noWrap/>
            <w:vAlign w:val="center"/>
            <w:hideMark/>
          </w:tcPr>
          <w:p w14:paraId="7C92D0A4" w14:textId="77777777" w:rsidR="00777A02" w:rsidRPr="009548D7" w:rsidRDefault="00777A02"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BPA.E055</w:t>
            </w:r>
          </w:p>
        </w:tc>
        <w:tc>
          <w:tcPr>
            <w:tcW w:w="4562" w:type="dxa"/>
            <w:tcBorders>
              <w:top w:val="nil"/>
              <w:left w:val="nil"/>
              <w:bottom w:val="nil"/>
            </w:tcBorders>
            <w:shd w:val="clear" w:color="auto" w:fill="auto"/>
            <w:noWrap/>
            <w:vAlign w:val="center"/>
            <w:hideMark/>
          </w:tcPr>
          <w:p w14:paraId="275B1B9D" w14:textId="77777777" w:rsidR="00777A02" w:rsidRPr="009548D7" w:rsidRDefault="00777A02" w:rsidP="00AF12EA">
            <w:pPr>
              <w:spacing w:after="0" w:line="240" w:lineRule="auto"/>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Reservas de Lucros</w:t>
            </w:r>
          </w:p>
        </w:tc>
        <w:tc>
          <w:tcPr>
            <w:tcW w:w="775" w:type="dxa"/>
            <w:tcBorders>
              <w:top w:val="nil"/>
              <w:bottom w:val="nil"/>
              <w:right w:val="single" w:sz="8" w:space="0" w:color="auto"/>
            </w:tcBorders>
            <w:shd w:val="clear" w:color="auto" w:fill="auto"/>
            <w:noWrap/>
            <w:vAlign w:val="center"/>
          </w:tcPr>
          <w:p w14:paraId="6D3F2F92" w14:textId="77777777" w:rsidR="00777A02" w:rsidRPr="009548D7" w:rsidRDefault="00777A02" w:rsidP="00AF12EA">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2C10F691" w14:textId="77777777" w:rsidR="00777A02" w:rsidRPr="009548D7" w:rsidRDefault="00777A02"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BPA.H055</w:t>
            </w:r>
          </w:p>
        </w:tc>
        <w:tc>
          <w:tcPr>
            <w:tcW w:w="1420" w:type="dxa"/>
            <w:tcBorders>
              <w:top w:val="nil"/>
              <w:left w:val="nil"/>
              <w:bottom w:val="nil"/>
              <w:right w:val="single" w:sz="8" w:space="0" w:color="auto"/>
            </w:tcBorders>
            <w:shd w:val="clear" w:color="auto" w:fill="auto"/>
            <w:noWrap/>
            <w:vAlign w:val="center"/>
            <w:hideMark/>
          </w:tcPr>
          <w:p w14:paraId="21CFDC57" w14:textId="77777777" w:rsidR="00777A02" w:rsidRPr="009548D7" w:rsidRDefault="00777A02"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BPA.I055</w:t>
            </w:r>
          </w:p>
        </w:tc>
      </w:tr>
      <w:tr w:rsidR="00AF12EA" w:rsidRPr="009548D7" w14:paraId="25222529" w14:textId="77777777" w:rsidTr="002315E1">
        <w:trPr>
          <w:trHeight w:val="255"/>
        </w:trPr>
        <w:tc>
          <w:tcPr>
            <w:tcW w:w="4410" w:type="dxa"/>
            <w:tcBorders>
              <w:top w:val="nil"/>
              <w:left w:val="single" w:sz="8" w:space="0" w:color="auto"/>
              <w:bottom w:val="nil"/>
            </w:tcBorders>
            <w:shd w:val="clear" w:color="auto" w:fill="auto"/>
            <w:noWrap/>
            <w:vAlign w:val="center"/>
            <w:hideMark/>
          </w:tcPr>
          <w:p w14:paraId="6B36FAE0" w14:textId="47AAC2F0" w:rsidR="00AF12EA" w:rsidRPr="009548D7" w:rsidRDefault="00777A02" w:rsidP="00777A02">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AF12EA" w:rsidRPr="009548D7">
              <w:rPr>
                <w:rFonts w:ascii="Arial Narrow" w:eastAsia="Times New Roman" w:hAnsi="Arial Narrow" w:cs="Arial"/>
                <w:sz w:val="16"/>
                <w:szCs w:val="16"/>
                <w:lang w:eastAsia="pt-BR"/>
              </w:rPr>
              <w:t>(-) Redução ao Valor Recuperável de Bens Móveis</w:t>
            </w:r>
          </w:p>
        </w:tc>
        <w:tc>
          <w:tcPr>
            <w:tcW w:w="767" w:type="dxa"/>
            <w:tcBorders>
              <w:top w:val="nil"/>
              <w:bottom w:val="nil"/>
              <w:right w:val="single" w:sz="8" w:space="0" w:color="auto"/>
            </w:tcBorders>
            <w:shd w:val="clear" w:color="auto" w:fill="auto"/>
            <w:noWrap/>
            <w:vAlign w:val="center"/>
          </w:tcPr>
          <w:p w14:paraId="37435C29"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2E33633E"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BPA.D056</w:t>
            </w:r>
          </w:p>
        </w:tc>
        <w:tc>
          <w:tcPr>
            <w:tcW w:w="1262" w:type="dxa"/>
            <w:tcBorders>
              <w:top w:val="nil"/>
              <w:left w:val="nil"/>
              <w:bottom w:val="nil"/>
              <w:right w:val="single" w:sz="8" w:space="0" w:color="auto"/>
            </w:tcBorders>
            <w:shd w:val="clear" w:color="auto" w:fill="auto"/>
            <w:noWrap/>
            <w:vAlign w:val="center"/>
            <w:hideMark/>
          </w:tcPr>
          <w:p w14:paraId="04730CE8"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BPA.E056</w:t>
            </w:r>
          </w:p>
        </w:tc>
        <w:tc>
          <w:tcPr>
            <w:tcW w:w="4562" w:type="dxa"/>
            <w:tcBorders>
              <w:top w:val="nil"/>
              <w:left w:val="nil"/>
              <w:bottom w:val="nil"/>
            </w:tcBorders>
            <w:shd w:val="clear" w:color="auto" w:fill="auto"/>
            <w:noWrap/>
            <w:vAlign w:val="center"/>
            <w:hideMark/>
          </w:tcPr>
          <w:p w14:paraId="4CC2C96B" w14:textId="77777777" w:rsidR="00AF12EA" w:rsidRPr="009548D7" w:rsidRDefault="00AF12EA" w:rsidP="00AF12EA">
            <w:pPr>
              <w:spacing w:after="0" w:line="240" w:lineRule="auto"/>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Demais Reservas</w:t>
            </w:r>
          </w:p>
        </w:tc>
        <w:tc>
          <w:tcPr>
            <w:tcW w:w="775" w:type="dxa"/>
            <w:tcBorders>
              <w:top w:val="nil"/>
              <w:bottom w:val="nil"/>
              <w:right w:val="single" w:sz="8" w:space="0" w:color="auto"/>
            </w:tcBorders>
            <w:shd w:val="clear" w:color="auto" w:fill="auto"/>
            <w:noWrap/>
            <w:vAlign w:val="center"/>
          </w:tcPr>
          <w:p w14:paraId="67B5DCFE"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46EBF548"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BPA.H056</w:t>
            </w:r>
          </w:p>
        </w:tc>
        <w:tc>
          <w:tcPr>
            <w:tcW w:w="1420" w:type="dxa"/>
            <w:tcBorders>
              <w:top w:val="nil"/>
              <w:left w:val="nil"/>
              <w:bottom w:val="nil"/>
              <w:right w:val="single" w:sz="8" w:space="0" w:color="auto"/>
            </w:tcBorders>
            <w:shd w:val="clear" w:color="auto" w:fill="auto"/>
            <w:noWrap/>
            <w:vAlign w:val="center"/>
            <w:hideMark/>
          </w:tcPr>
          <w:p w14:paraId="652DB268"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BPA.I056</w:t>
            </w:r>
          </w:p>
        </w:tc>
      </w:tr>
      <w:tr w:rsidR="00AF12EA" w:rsidRPr="009548D7" w14:paraId="59494086" w14:textId="77777777" w:rsidTr="002315E1">
        <w:trPr>
          <w:trHeight w:val="255"/>
        </w:trPr>
        <w:tc>
          <w:tcPr>
            <w:tcW w:w="4410" w:type="dxa"/>
            <w:tcBorders>
              <w:top w:val="nil"/>
              <w:left w:val="single" w:sz="8" w:space="0" w:color="auto"/>
              <w:bottom w:val="nil"/>
            </w:tcBorders>
            <w:shd w:val="clear" w:color="auto" w:fill="auto"/>
            <w:noWrap/>
            <w:vAlign w:val="center"/>
            <w:hideMark/>
          </w:tcPr>
          <w:p w14:paraId="29F86685" w14:textId="07E3247A" w:rsidR="00AF12EA" w:rsidRPr="009548D7" w:rsidRDefault="00777A02" w:rsidP="00777A02">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AF12EA" w:rsidRPr="009548D7">
              <w:rPr>
                <w:rFonts w:ascii="Arial Narrow" w:eastAsia="Times New Roman" w:hAnsi="Arial Narrow" w:cs="Arial"/>
                <w:sz w:val="16"/>
                <w:szCs w:val="16"/>
                <w:lang w:eastAsia="pt-BR"/>
              </w:rPr>
              <w:t>Bens Imóveis</w:t>
            </w:r>
          </w:p>
        </w:tc>
        <w:tc>
          <w:tcPr>
            <w:tcW w:w="767" w:type="dxa"/>
            <w:tcBorders>
              <w:top w:val="nil"/>
              <w:bottom w:val="nil"/>
              <w:right w:val="single" w:sz="8" w:space="0" w:color="auto"/>
            </w:tcBorders>
            <w:shd w:val="clear" w:color="auto" w:fill="auto"/>
            <w:noWrap/>
            <w:vAlign w:val="center"/>
          </w:tcPr>
          <w:p w14:paraId="3981C0E0"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41D132EF"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BPA.D057</w:t>
            </w:r>
          </w:p>
        </w:tc>
        <w:tc>
          <w:tcPr>
            <w:tcW w:w="1262" w:type="dxa"/>
            <w:tcBorders>
              <w:top w:val="nil"/>
              <w:left w:val="nil"/>
              <w:bottom w:val="nil"/>
              <w:right w:val="single" w:sz="8" w:space="0" w:color="auto"/>
            </w:tcBorders>
            <w:shd w:val="clear" w:color="auto" w:fill="auto"/>
            <w:noWrap/>
            <w:vAlign w:val="center"/>
            <w:hideMark/>
          </w:tcPr>
          <w:p w14:paraId="119BC156"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BPA.E057</w:t>
            </w:r>
          </w:p>
        </w:tc>
        <w:tc>
          <w:tcPr>
            <w:tcW w:w="4562" w:type="dxa"/>
            <w:tcBorders>
              <w:top w:val="nil"/>
              <w:left w:val="nil"/>
              <w:bottom w:val="nil"/>
            </w:tcBorders>
            <w:shd w:val="clear" w:color="auto" w:fill="auto"/>
            <w:noWrap/>
            <w:vAlign w:val="center"/>
            <w:hideMark/>
          </w:tcPr>
          <w:p w14:paraId="1F54B0CC" w14:textId="77777777" w:rsidR="00AF12EA" w:rsidRPr="009548D7" w:rsidRDefault="00AF12EA" w:rsidP="00AF12EA">
            <w:pPr>
              <w:spacing w:after="0" w:line="240" w:lineRule="auto"/>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Resultados Acumulados</w:t>
            </w:r>
          </w:p>
        </w:tc>
        <w:tc>
          <w:tcPr>
            <w:tcW w:w="775" w:type="dxa"/>
            <w:tcBorders>
              <w:top w:val="nil"/>
              <w:bottom w:val="nil"/>
              <w:right w:val="single" w:sz="8" w:space="0" w:color="auto"/>
            </w:tcBorders>
            <w:shd w:val="clear" w:color="auto" w:fill="auto"/>
            <w:noWrap/>
            <w:vAlign w:val="center"/>
          </w:tcPr>
          <w:p w14:paraId="0F0F5090"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59925E9B"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BPA.H057</w:t>
            </w:r>
          </w:p>
        </w:tc>
        <w:tc>
          <w:tcPr>
            <w:tcW w:w="1420" w:type="dxa"/>
            <w:tcBorders>
              <w:top w:val="nil"/>
              <w:left w:val="nil"/>
              <w:bottom w:val="nil"/>
              <w:right w:val="single" w:sz="8" w:space="0" w:color="auto"/>
            </w:tcBorders>
            <w:shd w:val="clear" w:color="auto" w:fill="auto"/>
            <w:noWrap/>
            <w:vAlign w:val="center"/>
            <w:hideMark/>
          </w:tcPr>
          <w:p w14:paraId="5F444649"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BPA.I057</w:t>
            </w:r>
          </w:p>
        </w:tc>
      </w:tr>
      <w:tr w:rsidR="00777A02" w:rsidRPr="009548D7" w14:paraId="31DF896B" w14:textId="77777777" w:rsidTr="002936F7">
        <w:trPr>
          <w:trHeight w:val="255"/>
        </w:trPr>
        <w:tc>
          <w:tcPr>
            <w:tcW w:w="5177" w:type="dxa"/>
            <w:gridSpan w:val="2"/>
            <w:tcBorders>
              <w:top w:val="nil"/>
              <w:left w:val="single" w:sz="8" w:space="0" w:color="auto"/>
              <w:right w:val="single" w:sz="8" w:space="0" w:color="auto"/>
            </w:tcBorders>
            <w:shd w:val="clear" w:color="auto" w:fill="auto"/>
            <w:noWrap/>
            <w:vAlign w:val="center"/>
            <w:hideMark/>
          </w:tcPr>
          <w:p w14:paraId="4B8CCF31" w14:textId="6B79163C" w:rsidR="00777A02" w:rsidRPr="009548D7" w:rsidRDefault="00777A02" w:rsidP="00777A02">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Pr="009548D7">
              <w:rPr>
                <w:rFonts w:ascii="Arial Narrow" w:eastAsia="Times New Roman" w:hAnsi="Arial Narrow" w:cs="Arial"/>
                <w:sz w:val="16"/>
                <w:szCs w:val="16"/>
                <w:lang w:eastAsia="pt-BR"/>
              </w:rPr>
              <w:t>(-) Depreciação, Exaustão e Amortização Acumuladas de Bens Imóveis</w:t>
            </w:r>
          </w:p>
        </w:tc>
        <w:tc>
          <w:tcPr>
            <w:tcW w:w="1063" w:type="dxa"/>
            <w:tcBorders>
              <w:top w:val="nil"/>
              <w:left w:val="nil"/>
              <w:right w:val="single" w:sz="8" w:space="0" w:color="auto"/>
            </w:tcBorders>
            <w:shd w:val="clear" w:color="auto" w:fill="auto"/>
            <w:noWrap/>
            <w:vAlign w:val="center"/>
            <w:hideMark/>
          </w:tcPr>
          <w:p w14:paraId="73F55B7F" w14:textId="77777777" w:rsidR="00777A02" w:rsidRPr="009548D7" w:rsidRDefault="00777A02"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BPA.D058</w:t>
            </w:r>
          </w:p>
        </w:tc>
        <w:tc>
          <w:tcPr>
            <w:tcW w:w="1262" w:type="dxa"/>
            <w:tcBorders>
              <w:top w:val="nil"/>
              <w:left w:val="nil"/>
              <w:right w:val="single" w:sz="8" w:space="0" w:color="auto"/>
            </w:tcBorders>
            <w:shd w:val="clear" w:color="auto" w:fill="auto"/>
            <w:noWrap/>
            <w:vAlign w:val="center"/>
            <w:hideMark/>
          </w:tcPr>
          <w:p w14:paraId="26C40908" w14:textId="77777777" w:rsidR="00777A02" w:rsidRPr="009548D7" w:rsidRDefault="00777A02"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BPA.E058</w:t>
            </w:r>
          </w:p>
        </w:tc>
        <w:tc>
          <w:tcPr>
            <w:tcW w:w="4562" w:type="dxa"/>
            <w:tcBorders>
              <w:top w:val="nil"/>
              <w:left w:val="nil"/>
              <w:bottom w:val="nil"/>
            </w:tcBorders>
            <w:shd w:val="clear" w:color="auto" w:fill="auto"/>
            <w:noWrap/>
            <w:vAlign w:val="center"/>
            <w:hideMark/>
          </w:tcPr>
          <w:p w14:paraId="499B2EFA" w14:textId="77777777" w:rsidR="00777A02" w:rsidRPr="009548D7" w:rsidRDefault="00777A02" w:rsidP="00AF12EA">
            <w:pPr>
              <w:spacing w:after="0" w:line="240" w:lineRule="auto"/>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Resultado do Exercício</w:t>
            </w:r>
          </w:p>
        </w:tc>
        <w:tc>
          <w:tcPr>
            <w:tcW w:w="775" w:type="dxa"/>
            <w:tcBorders>
              <w:top w:val="nil"/>
              <w:bottom w:val="nil"/>
              <w:right w:val="single" w:sz="8" w:space="0" w:color="auto"/>
            </w:tcBorders>
            <w:shd w:val="clear" w:color="auto" w:fill="auto"/>
            <w:noWrap/>
            <w:vAlign w:val="center"/>
          </w:tcPr>
          <w:p w14:paraId="61661A10" w14:textId="77777777" w:rsidR="00777A02" w:rsidRPr="009548D7" w:rsidRDefault="00777A02" w:rsidP="00AF12EA">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2502D193" w14:textId="77777777" w:rsidR="00777A02" w:rsidRPr="009548D7" w:rsidRDefault="00777A02"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BPA.H058</w:t>
            </w:r>
          </w:p>
        </w:tc>
        <w:tc>
          <w:tcPr>
            <w:tcW w:w="1420" w:type="dxa"/>
            <w:tcBorders>
              <w:top w:val="nil"/>
              <w:left w:val="nil"/>
              <w:bottom w:val="nil"/>
              <w:right w:val="single" w:sz="8" w:space="0" w:color="auto"/>
            </w:tcBorders>
            <w:shd w:val="clear" w:color="auto" w:fill="auto"/>
            <w:noWrap/>
            <w:vAlign w:val="center"/>
            <w:hideMark/>
          </w:tcPr>
          <w:p w14:paraId="782EAE3E" w14:textId="77777777" w:rsidR="00777A02" w:rsidRPr="009548D7" w:rsidRDefault="00777A02"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BPA.I058</w:t>
            </w:r>
          </w:p>
        </w:tc>
      </w:tr>
      <w:tr w:rsidR="00AF12EA" w:rsidRPr="009548D7" w14:paraId="12222C72" w14:textId="77777777" w:rsidTr="002315E1">
        <w:trPr>
          <w:trHeight w:val="255"/>
        </w:trPr>
        <w:tc>
          <w:tcPr>
            <w:tcW w:w="4410" w:type="dxa"/>
            <w:tcBorders>
              <w:top w:val="nil"/>
              <w:left w:val="single" w:sz="8" w:space="0" w:color="auto"/>
            </w:tcBorders>
            <w:shd w:val="clear" w:color="auto" w:fill="auto"/>
            <w:noWrap/>
            <w:vAlign w:val="center"/>
            <w:hideMark/>
          </w:tcPr>
          <w:p w14:paraId="67A7A250" w14:textId="26BF03E8" w:rsidR="00AF12EA" w:rsidRPr="009548D7" w:rsidRDefault="00777A02" w:rsidP="00777A02">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AF12EA" w:rsidRPr="009548D7">
              <w:rPr>
                <w:rFonts w:ascii="Arial Narrow" w:eastAsia="Times New Roman" w:hAnsi="Arial Narrow" w:cs="Arial"/>
                <w:sz w:val="16"/>
                <w:szCs w:val="16"/>
                <w:lang w:eastAsia="pt-BR"/>
              </w:rPr>
              <w:t>(-) Redução ao Valor Recuperável de Bens Imóveis</w:t>
            </w:r>
          </w:p>
        </w:tc>
        <w:tc>
          <w:tcPr>
            <w:tcW w:w="767" w:type="dxa"/>
            <w:tcBorders>
              <w:top w:val="nil"/>
              <w:right w:val="single" w:sz="8" w:space="0" w:color="auto"/>
            </w:tcBorders>
            <w:shd w:val="clear" w:color="auto" w:fill="auto"/>
            <w:noWrap/>
            <w:vAlign w:val="center"/>
          </w:tcPr>
          <w:p w14:paraId="250ACC1A"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p>
        </w:tc>
        <w:tc>
          <w:tcPr>
            <w:tcW w:w="1063" w:type="dxa"/>
            <w:tcBorders>
              <w:top w:val="nil"/>
              <w:left w:val="nil"/>
              <w:right w:val="single" w:sz="8" w:space="0" w:color="auto"/>
            </w:tcBorders>
            <w:shd w:val="clear" w:color="auto" w:fill="auto"/>
            <w:noWrap/>
            <w:vAlign w:val="center"/>
            <w:hideMark/>
          </w:tcPr>
          <w:p w14:paraId="2A44D0A5"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BPA.D059</w:t>
            </w:r>
          </w:p>
        </w:tc>
        <w:tc>
          <w:tcPr>
            <w:tcW w:w="1262" w:type="dxa"/>
            <w:tcBorders>
              <w:top w:val="nil"/>
              <w:left w:val="nil"/>
              <w:right w:val="single" w:sz="8" w:space="0" w:color="auto"/>
            </w:tcBorders>
            <w:shd w:val="clear" w:color="auto" w:fill="auto"/>
            <w:noWrap/>
            <w:vAlign w:val="center"/>
            <w:hideMark/>
          </w:tcPr>
          <w:p w14:paraId="2D05238F"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BPA.E059</w:t>
            </w:r>
          </w:p>
        </w:tc>
        <w:tc>
          <w:tcPr>
            <w:tcW w:w="4562" w:type="dxa"/>
            <w:tcBorders>
              <w:top w:val="nil"/>
              <w:left w:val="nil"/>
            </w:tcBorders>
            <w:shd w:val="clear" w:color="auto" w:fill="auto"/>
            <w:noWrap/>
            <w:vAlign w:val="center"/>
            <w:hideMark/>
          </w:tcPr>
          <w:p w14:paraId="3931E1B8" w14:textId="59EACDA6" w:rsidR="00AF12EA" w:rsidRPr="009548D7" w:rsidRDefault="00283510" w:rsidP="00283510">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AF12EA" w:rsidRPr="009548D7">
              <w:rPr>
                <w:rFonts w:ascii="Arial Narrow" w:eastAsia="Times New Roman" w:hAnsi="Arial Narrow" w:cs="Arial"/>
                <w:sz w:val="16"/>
                <w:szCs w:val="16"/>
                <w:lang w:eastAsia="pt-BR"/>
              </w:rPr>
              <w:t>Resultado de Exercícios Anteriores</w:t>
            </w:r>
          </w:p>
        </w:tc>
        <w:tc>
          <w:tcPr>
            <w:tcW w:w="775" w:type="dxa"/>
            <w:tcBorders>
              <w:top w:val="nil"/>
              <w:right w:val="single" w:sz="8" w:space="0" w:color="auto"/>
            </w:tcBorders>
            <w:shd w:val="clear" w:color="auto" w:fill="auto"/>
            <w:noWrap/>
            <w:vAlign w:val="center"/>
          </w:tcPr>
          <w:p w14:paraId="49AD0F3C"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p>
        </w:tc>
        <w:tc>
          <w:tcPr>
            <w:tcW w:w="1063" w:type="dxa"/>
            <w:tcBorders>
              <w:top w:val="nil"/>
              <w:left w:val="nil"/>
              <w:right w:val="single" w:sz="8" w:space="0" w:color="auto"/>
            </w:tcBorders>
            <w:shd w:val="clear" w:color="auto" w:fill="auto"/>
            <w:noWrap/>
            <w:vAlign w:val="center"/>
            <w:hideMark/>
          </w:tcPr>
          <w:p w14:paraId="0F2E3DE7"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BPA.H059</w:t>
            </w:r>
          </w:p>
        </w:tc>
        <w:tc>
          <w:tcPr>
            <w:tcW w:w="1420" w:type="dxa"/>
            <w:tcBorders>
              <w:top w:val="nil"/>
              <w:left w:val="nil"/>
              <w:right w:val="single" w:sz="8" w:space="0" w:color="auto"/>
            </w:tcBorders>
            <w:shd w:val="clear" w:color="auto" w:fill="auto"/>
            <w:noWrap/>
            <w:vAlign w:val="center"/>
            <w:hideMark/>
          </w:tcPr>
          <w:p w14:paraId="7C0976DE"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BPA.I059</w:t>
            </w:r>
          </w:p>
        </w:tc>
      </w:tr>
      <w:tr w:rsidR="00AF12EA" w:rsidRPr="009548D7" w14:paraId="5D28BF8D" w14:textId="77777777" w:rsidTr="002315E1">
        <w:trPr>
          <w:trHeight w:val="255"/>
        </w:trPr>
        <w:tc>
          <w:tcPr>
            <w:tcW w:w="4410" w:type="dxa"/>
            <w:tcBorders>
              <w:top w:val="nil"/>
              <w:left w:val="single" w:sz="8" w:space="0" w:color="auto"/>
            </w:tcBorders>
            <w:shd w:val="clear" w:color="auto" w:fill="auto"/>
            <w:noWrap/>
            <w:vAlign w:val="center"/>
          </w:tcPr>
          <w:p w14:paraId="440FC663" w14:textId="1BF04A48" w:rsidR="00AF12EA" w:rsidRPr="001C4FCB" w:rsidRDefault="00777A02" w:rsidP="00777A02">
            <w:pPr>
              <w:spacing w:after="0" w:line="240" w:lineRule="auto"/>
              <w:rPr>
                <w:rFonts w:ascii="Arial Narrow" w:eastAsia="Times New Roman" w:hAnsi="Arial Narrow" w:cs="Arial"/>
                <w:b/>
                <w:bCs/>
                <w:sz w:val="16"/>
                <w:szCs w:val="16"/>
                <w:lang w:eastAsia="pt-BR"/>
              </w:rPr>
            </w:pPr>
            <w:r>
              <w:rPr>
                <w:rFonts w:ascii="Arial Narrow" w:eastAsia="Times New Roman" w:hAnsi="Arial Narrow" w:cs="Arial"/>
                <w:sz w:val="16"/>
                <w:szCs w:val="16"/>
                <w:lang w:eastAsia="pt-BR"/>
              </w:rPr>
              <w:t xml:space="preserve">          </w:t>
            </w:r>
            <w:r w:rsidR="00AF12EA" w:rsidRPr="001C4FCB">
              <w:rPr>
                <w:rFonts w:ascii="Arial Narrow" w:eastAsia="Times New Roman" w:hAnsi="Arial Narrow" w:cs="Arial"/>
                <w:sz w:val="16"/>
                <w:szCs w:val="16"/>
                <w:lang w:eastAsia="pt-BR"/>
              </w:rPr>
              <w:t>(-) Subvenção Governamental para Investimentos</w:t>
            </w:r>
          </w:p>
        </w:tc>
        <w:tc>
          <w:tcPr>
            <w:tcW w:w="767" w:type="dxa"/>
            <w:tcBorders>
              <w:top w:val="nil"/>
              <w:right w:val="single" w:sz="8" w:space="0" w:color="auto"/>
            </w:tcBorders>
            <w:shd w:val="clear" w:color="auto" w:fill="auto"/>
            <w:noWrap/>
            <w:vAlign w:val="center"/>
          </w:tcPr>
          <w:p w14:paraId="2C3AADEA" w14:textId="77777777" w:rsidR="00AF12EA" w:rsidRPr="001C4FCB" w:rsidRDefault="00AF12EA" w:rsidP="00AF12EA">
            <w:pPr>
              <w:spacing w:after="0" w:line="240" w:lineRule="auto"/>
              <w:jc w:val="center"/>
              <w:rPr>
                <w:rFonts w:ascii="Arial Narrow" w:eastAsia="Times New Roman" w:hAnsi="Arial Narrow" w:cs="Arial"/>
                <w:sz w:val="16"/>
                <w:szCs w:val="16"/>
                <w:lang w:eastAsia="pt-BR"/>
              </w:rPr>
            </w:pPr>
          </w:p>
        </w:tc>
        <w:tc>
          <w:tcPr>
            <w:tcW w:w="1063" w:type="dxa"/>
            <w:tcBorders>
              <w:top w:val="nil"/>
              <w:left w:val="nil"/>
              <w:right w:val="single" w:sz="8" w:space="0" w:color="auto"/>
            </w:tcBorders>
            <w:shd w:val="clear" w:color="auto" w:fill="auto"/>
            <w:noWrap/>
            <w:vAlign w:val="center"/>
          </w:tcPr>
          <w:p w14:paraId="622EBDB3" w14:textId="77777777" w:rsidR="00AF12EA" w:rsidRPr="001C4FCB" w:rsidRDefault="00AF12EA" w:rsidP="00AF12EA">
            <w:pPr>
              <w:spacing w:after="0" w:line="240" w:lineRule="auto"/>
              <w:jc w:val="center"/>
              <w:rPr>
                <w:rFonts w:ascii="Arial Narrow" w:eastAsia="Times New Roman" w:hAnsi="Arial Narrow" w:cs="Arial"/>
                <w:sz w:val="16"/>
                <w:szCs w:val="16"/>
                <w:lang w:eastAsia="pt-BR"/>
              </w:rPr>
            </w:pPr>
            <w:r w:rsidRPr="001C4FCB">
              <w:rPr>
                <w:rFonts w:ascii="Arial Narrow" w:eastAsia="Times New Roman" w:hAnsi="Arial Narrow" w:cs="Arial"/>
                <w:sz w:val="16"/>
                <w:szCs w:val="16"/>
                <w:lang w:eastAsia="pt-BR"/>
              </w:rPr>
              <w:t>BPA.D074</w:t>
            </w:r>
          </w:p>
        </w:tc>
        <w:tc>
          <w:tcPr>
            <w:tcW w:w="1262" w:type="dxa"/>
            <w:tcBorders>
              <w:top w:val="nil"/>
              <w:left w:val="nil"/>
              <w:right w:val="single" w:sz="8" w:space="0" w:color="auto"/>
            </w:tcBorders>
            <w:shd w:val="clear" w:color="auto" w:fill="auto"/>
            <w:noWrap/>
            <w:vAlign w:val="center"/>
          </w:tcPr>
          <w:p w14:paraId="3630781C" w14:textId="77777777" w:rsidR="00AF12EA" w:rsidRPr="001C4FCB" w:rsidRDefault="00AF12EA" w:rsidP="00AF12EA">
            <w:pPr>
              <w:spacing w:after="0" w:line="240" w:lineRule="auto"/>
              <w:jc w:val="center"/>
              <w:rPr>
                <w:rFonts w:ascii="Arial Narrow" w:eastAsia="Times New Roman" w:hAnsi="Arial Narrow" w:cs="Arial"/>
                <w:sz w:val="16"/>
                <w:szCs w:val="16"/>
                <w:lang w:eastAsia="pt-BR"/>
              </w:rPr>
            </w:pPr>
            <w:r w:rsidRPr="001C4FCB">
              <w:rPr>
                <w:rFonts w:ascii="Arial Narrow" w:eastAsia="Times New Roman" w:hAnsi="Arial Narrow" w:cs="Arial"/>
                <w:sz w:val="16"/>
                <w:szCs w:val="16"/>
                <w:lang w:eastAsia="pt-BR"/>
              </w:rPr>
              <w:t>BPA.E074</w:t>
            </w:r>
          </w:p>
        </w:tc>
        <w:tc>
          <w:tcPr>
            <w:tcW w:w="4562" w:type="dxa"/>
            <w:tcBorders>
              <w:top w:val="nil"/>
              <w:left w:val="nil"/>
            </w:tcBorders>
            <w:shd w:val="clear" w:color="auto" w:fill="auto"/>
            <w:noWrap/>
            <w:vAlign w:val="center"/>
            <w:hideMark/>
          </w:tcPr>
          <w:p w14:paraId="7C7C9C37" w14:textId="1BB1CF11" w:rsidR="00AF12EA" w:rsidRPr="009548D7" w:rsidRDefault="00283510" w:rsidP="00283510">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AF12EA" w:rsidRPr="009548D7">
              <w:rPr>
                <w:rFonts w:ascii="Arial Narrow" w:eastAsia="Times New Roman" w:hAnsi="Arial Narrow" w:cs="Arial"/>
                <w:sz w:val="16"/>
                <w:szCs w:val="16"/>
                <w:lang w:eastAsia="pt-BR"/>
              </w:rPr>
              <w:t>Ajustes de Exercícios Anteriores</w:t>
            </w:r>
          </w:p>
        </w:tc>
        <w:tc>
          <w:tcPr>
            <w:tcW w:w="775" w:type="dxa"/>
            <w:tcBorders>
              <w:top w:val="nil"/>
              <w:right w:val="single" w:sz="8" w:space="0" w:color="auto"/>
            </w:tcBorders>
            <w:shd w:val="clear" w:color="auto" w:fill="auto"/>
            <w:noWrap/>
            <w:vAlign w:val="center"/>
          </w:tcPr>
          <w:p w14:paraId="5381E636"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p>
        </w:tc>
        <w:tc>
          <w:tcPr>
            <w:tcW w:w="1063" w:type="dxa"/>
            <w:tcBorders>
              <w:top w:val="nil"/>
              <w:left w:val="nil"/>
              <w:right w:val="single" w:sz="8" w:space="0" w:color="auto"/>
            </w:tcBorders>
            <w:shd w:val="clear" w:color="auto" w:fill="auto"/>
            <w:noWrap/>
            <w:vAlign w:val="center"/>
            <w:hideMark/>
          </w:tcPr>
          <w:p w14:paraId="396985C0"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BPA.H060</w:t>
            </w:r>
          </w:p>
        </w:tc>
        <w:tc>
          <w:tcPr>
            <w:tcW w:w="1420" w:type="dxa"/>
            <w:tcBorders>
              <w:top w:val="nil"/>
              <w:left w:val="nil"/>
              <w:right w:val="single" w:sz="8" w:space="0" w:color="auto"/>
            </w:tcBorders>
            <w:shd w:val="clear" w:color="auto" w:fill="auto"/>
            <w:noWrap/>
            <w:vAlign w:val="center"/>
            <w:hideMark/>
          </w:tcPr>
          <w:p w14:paraId="203CF251"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BPA.I060</w:t>
            </w:r>
          </w:p>
        </w:tc>
      </w:tr>
      <w:tr w:rsidR="00AF12EA" w:rsidRPr="009548D7" w14:paraId="395B0D11" w14:textId="77777777" w:rsidTr="002315E1">
        <w:trPr>
          <w:trHeight w:val="225"/>
        </w:trPr>
        <w:tc>
          <w:tcPr>
            <w:tcW w:w="4410" w:type="dxa"/>
            <w:tcBorders>
              <w:top w:val="nil"/>
              <w:left w:val="single" w:sz="8" w:space="0" w:color="auto"/>
            </w:tcBorders>
            <w:shd w:val="clear" w:color="auto" w:fill="auto"/>
            <w:vAlign w:val="center"/>
            <w:hideMark/>
          </w:tcPr>
          <w:p w14:paraId="7F4971EA" w14:textId="1E919677" w:rsidR="00AF12EA" w:rsidRPr="009548D7" w:rsidRDefault="00777A02" w:rsidP="00777A02">
            <w:pPr>
              <w:spacing w:after="0" w:line="240" w:lineRule="auto"/>
              <w:rPr>
                <w:rFonts w:ascii="Arial Narrow" w:eastAsia="Times New Roman" w:hAnsi="Arial Narrow" w:cs="Arial"/>
                <w:sz w:val="16"/>
                <w:szCs w:val="16"/>
                <w:lang w:eastAsia="pt-BR"/>
              </w:rPr>
            </w:pPr>
            <w:r>
              <w:rPr>
                <w:rFonts w:ascii="Arial Narrow" w:eastAsia="Times New Roman" w:hAnsi="Arial Narrow" w:cs="Arial"/>
                <w:b/>
                <w:bCs/>
                <w:sz w:val="16"/>
                <w:szCs w:val="16"/>
                <w:lang w:eastAsia="pt-BR"/>
              </w:rPr>
              <w:t xml:space="preserve">     </w:t>
            </w:r>
            <w:r w:rsidR="00AF12EA" w:rsidRPr="009548D7">
              <w:rPr>
                <w:rFonts w:ascii="Arial Narrow" w:eastAsia="Times New Roman" w:hAnsi="Arial Narrow" w:cs="Arial"/>
                <w:b/>
                <w:bCs/>
                <w:sz w:val="16"/>
                <w:szCs w:val="16"/>
                <w:lang w:eastAsia="pt-BR"/>
              </w:rPr>
              <w:t>Intangível</w:t>
            </w:r>
          </w:p>
        </w:tc>
        <w:tc>
          <w:tcPr>
            <w:tcW w:w="767" w:type="dxa"/>
            <w:tcBorders>
              <w:top w:val="nil"/>
              <w:right w:val="single" w:sz="8" w:space="0" w:color="auto"/>
            </w:tcBorders>
            <w:shd w:val="clear" w:color="auto" w:fill="auto"/>
            <w:noWrap/>
            <w:vAlign w:val="center"/>
          </w:tcPr>
          <w:p w14:paraId="3FA41B37"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p>
        </w:tc>
        <w:tc>
          <w:tcPr>
            <w:tcW w:w="1063" w:type="dxa"/>
            <w:tcBorders>
              <w:top w:val="nil"/>
              <w:left w:val="nil"/>
              <w:right w:val="single" w:sz="8" w:space="0" w:color="auto"/>
            </w:tcBorders>
            <w:shd w:val="clear" w:color="auto" w:fill="auto"/>
            <w:noWrap/>
            <w:vAlign w:val="center"/>
            <w:hideMark/>
          </w:tcPr>
          <w:p w14:paraId="15B4D48A"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b/>
                <w:bCs/>
                <w:sz w:val="16"/>
                <w:szCs w:val="16"/>
                <w:lang w:eastAsia="pt-BR"/>
              </w:rPr>
              <w:t>BPA.D060</w:t>
            </w:r>
          </w:p>
        </w:tc>
        <w:tc>
          <w:tcPr>
            <w:tcW w:w="1262" w:type="dxa"/>
            <w:tcBorders>
              <w:top w:val="nil"/>
              <w:left w:val="nil"/>
              <w:right w:val="single" w:sz="8" w:space="0" w:color="auto"/>
            </w:tcBorders>
            <w:shd w:val="clear" w:color="auto" w:fill="auto"/>
            <w:noWrap/>
            <w:vAlign w:val="center"/>
            <w:hideMark/>
          </w:tcPr>
          <w:p w14:paraId="554A7784"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b/>
                <w:bCs/>
                <w:sz w:val="16"/>
                <w:szCs w:val="16"/>
                <w:lang w:eastAsia="pt-BR"/>
              </w:rPr>
              <w:t>BPA.E060</w:t>
            </w:r>
          </w:p>
        </w:tc>
        <w:tc>
          <w:tcPr>
            <w:tcW w:w="4562" w:type="dxa"/>
            <w:tcBorders>
              <w:top w:val="nil"/>
              <w:left w:val="nil"/>
              <w:bottom w:val="nil"/>
            </w:tcBorders>
            <w:shd w:val="clear" w:color="auto" w:fill="auto"/>
            <w:noWrap/>
            <w:vAlign w:val="center"/>
            <w:hideMark/>
          </w:tcPr>
          <w:p w14:paraId="24D7E470" w14:textId="23732EBA" w:rsidR="00AF12EA" w:rsidRPr="009548D7" w:rsidRDefault="00283510" w:rsidP="00283510">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AF12EA" w:rsidRPr="009548D7">
              <w:rPr>
                <w:rFonts w:ascii="Arial Narrow" w:eastAsia="Times New Roman" w:hAnsi="Arial Narrow" w:cs="Arial"/>
                <w:sz w:val="16"/>
                <w:szCs w:val="16"/>
                <w:lang w:eastAsia="pt-BR"/>
              </w:rPr>
              <w:t>Outros resultados</w:t>
            </w:r>
          </w:p>
        </w:tc>
        <w:tc>
          <w:tcPr>
            <w:tcW w:w="775" w:type="dxa"/>
            <w:tcBorders>
              <w:top w:val="nil"/>
              <w:bottom w:val="nil"/>
              <w:right w:val="single" w:sz="8" w:space="0" w:color="auto"/>
            </w:tcBorders>
            <w:shd w:val="clear" w:color="auto" w:fill="auto"/>
            <w:noWrap/>
            <w:vAlign w:val="center"/>
          </w:tcPr>
          <w:p w14:paraId="09635C3B"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43D5F81C"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BPA.H061</w:t>
            </w:r>
          </w:p>
        </w:tc>
        <w:tc>
          <w:tcPr>
            <w:tcW w:w="1420" w:type="dxa"/>
            <w:tcBorders>
              <w:top w:val="nil"/>
              <w:left w:val="nil"/>
              <w:bottom w:val="nil"/>
              <w:right w:val="single" w:sz="8" w:space="0" w:color="auto"/>
            </w:tcBorders>
            <w:shd w:val="clear" w:color="auto" w:fill="auto"/>
            <w:noWrap/>
            <w:vAlign w:val="center"/>
            <w:hideMark/>
          </w:tcPr>
          <w:p w14:paraId="029C1840"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BPA.I061</w:t>
            </w:r>
          </w:p>
        </w:tc>
      </w:tr>
      <w:tr w:rsidR="00AF12EA" w:rsidRPr="009548D7" w14:paraId="1B1D32CF" w14:textId="77777777" w:rsidTr="002315E1">
        <w:trPr>
          <w:trHeight w:val="255"/>
        </w:trPr>
        <w:tc>
          <w:tcPr>
            <w:tcW w:w="4410" w:type="dxa"/>
            <w:tcBorders>
              <w:left w:val="single" w:sz="8" w:space="0" w:color="auto"/>
              <w:bottom w:val="nil"/>
            </w:tcBorders>
            <w:shd w:val="clear" w:color="auto" w:fill="auto"/>
            <w:noWrap/>
            <w:vAlign w:val="center"/>
            <w:hideMark/>
          </w:tcPr>
          <w:p w14:paraId="75111965" w14:textId="72226637" w:rsidR="00AF12EA" w:rsidRPr="009548D7" w:rsidRDefault="00777A02" w:rsidP="00777A02">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AF12EA" w:rsidRPr="009548D7">
              <w:rPr>
                <w:rFonts w:ascii="Arial Narrow" w:eastAsia="Times New Roman" w:hAnsi="Arial Narrow" w:cs="Arial"/>
                <w:sz w:val="16"/>
                <w:szCs w:val="16"/>
                <w:lang w:eastAsia="pt-BR"/>
              </w:rPr>
              <w:t>Softwares</w:t>
            </w:r>
          </w:p>
        </w:tc>
        <w:tc>
          <w:tcPr>
            <w:tcW w:w="767" w:type="dxa"/>
            <w:tcBorders>
              <w:bottom w:val="nil"/>
              <w:right w:val="single" w:sz="8" w:space="0" w:color="auto"/>
            </w:tcBorders>
            <w:shd w:val="clear" w:color="auto" w:fill="auto"/>
            <w:noWrap/>
            <w:vAlign w:val="center"/>
          </w:tcPr>
          <w:p w14:paraId="2C082ED4"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p>
        </w:tc>
        <w:tc>
          <w:tcPr>
            <w:tcW w:w="1063" w:type="dxa"/>
            <w:tcBorders>
              <w:left w:val="nil"/>
              <w:bottom w:val="nil"/>
              <w:right w:val="single" w:sz="8" w:space="0" w:color="auto"/>
            </w:tcBorders>
            <w:shd w:val="clear" w:color="auto" w:fill="auto"/>
            <w:noWrap/>
            <w:vAlign w:val="center"/>
            <w:hideMark/>
          </w:tcPr>
          <w:p w14:paraId="50F94DA9"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BPA.D061</w:t>
            </w:r>
          </w:p>
        </w:tc>
        <w:tc>
          <w:tcPr>
            <w:tcW w:w="1262" w:type="dxa"/>
            <w:tcBorders>
              <w:left w:val="nil"/>
              <w:bottom w:val="nil"/>
              <w:right w:val="single" w:sz="8" w:space="0" w:color="auto"/>
            </w:tcBorders>
            <w:shd w:val="clear" w:color="auto" w:fill="auto"/>
            <w:noWrap/>
            <w:vAlign w:val="center"/>
            <w:hideMark/>
          </w:tcPr>
          <w:p w14:paraId="072533A6"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BPA.E061</w:t>
            </w:r>
          </w:p>
        </w:tc>
        <w:tc>
          <w:tcPr>
            <w:tcW w:w="4562" w:type="dxa"/>
            <w:tcBorders>
              <w:top w:val="nil"/>
              <w:left w:val="nil"/>
              <w:bottom w:val="nil"/>
            </w:tcBorders>
            <w:shd w:val="clear" w:color="auto" w:fill="auto"/>
            <w:noWrap/>
            <w:vAlign w:val="center"/>
            <w:hideMark/>
          </w:tcPr>
          <w:p w14:paraId="393B2652" w14:textId="77777777" w:rsidR="00AF12EA" w:rsidRPr="009548D7" w:rsidRDefault="00AF12EA" w:rsidP="00AF12EA">
            <w:pPr>
              <w:spacing w:after="0" w:line="240" w:lineRule="auto"/>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Ações/Cotas em Tesouraria</w:t>
            </w:r>
          </w:p>
        </w:tc>
        <w:tc>
          <w:tcPr>
            <w:tcW w:w="775" w:type="dxa"/>
            <w:tcBorders>
              <w:top w:val="nil"/>
              <w:bottom w:val="nil"/>
              <w:right w:val="single" w:sz="8" w:space="0" w:color="auto"/>
            </w:tcBorders>
            <w:shd w:val="clear" w:color="auto" w:fill="auto"/>
            <w:noWrap/>
            <w:vAlign w:val="center"/>
          </w:tcPr>
          <w:p w14:paraId="2D39E86A"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2195EF12"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BPA.H062</w:t>
            </w:r>
          </w:p>
        </w:tc>
        <w:tc>
          <w:tcPr>
            <w:tcW w:w="1420" w:type="dxa"/>
            <w:tcBorders>
              <w:top w:val="nil"/>
              <w:left w:val="nil"/>
              <w:bottom w:val="nil"/>
              <w:right w:val="single" w:sz="8" w:space="0" w:color="auto"/>
            </w:tcBorders>
            <w:shd w:val="clear" w:color="auto" w:fill="auto"/>
            <w:noWrap/>
            <w:vAlign w:val="center"/>
            <w:hideMark/>
          </w:tcPr>
          <w:p w14:paraId="100140BC"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BPA.I062</w:t>
            </w:r>
          </w:p>
        </w:tc>
      </w:tr>
      <w:tr w:rsidR="00AF12EA" w:rsidRPr="009548D7" w14:paraId="124B491D" w14:textId="77777777" w:rsidTr="002315E1">
        <w:trPr>
          <w:trHeight w:val="255"/>
        </w:trPr>
        <w:tc>
          <w:tcPr>
            <w:tcW w:w="4410" w:type="dxa"/>
            <w:tcBorders>
              <w:top w:val="nil"/>
              <w:left w:val="single" w:sz="8" w:space="0" w:color="auto"/>
              <w:bottom w:val="nil"/>
            </w:tcBorders>
            <w:shd w:val="clear" w:color="auto" w:fill="auto"/>
            <w:noWrap/>
            <w:vAlign w:val="center"/>
            <w:hideMark/>
          </w:tcPr>
          <w:p w14:paraId="4A32DFC1" w14:textId="6DE9A0A5" w:rsidR="00AF12EA" w:rsidRPr="009548D7" w:rsidRDefault="00777A02" w:rsidP="00777A02">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AF12EA" w:rsidRPr="009548D7">
              <w:rPr>
                <w:rFonts w:ascii="Arial Narrow" w:eastAsia="Times New Roman" w:hAnsi="Arial Narrow" w:cs="Arial"/>
                <w:sz w:val="16"/>
                <w:szCs w:val="16"/>
                <w:lang w:eastAsia="pt-BR"/>
              </w:rPr>
              <w:t>(-) Amortização Acumulada de softwares</w:t>
            </w:r>
          </w:p>
        </w:tc>
        <w:tc>
          <w:tcPr>
            <w:tcW w:w="767" w:type="dxa"/>
            <w:tcBorders>
              <w:top w:val="nil"/>
              <w:bottom w:val="nil"/>
              <w:right w:val="single" w:sz="8" w:space="0" w:color="auto"/>
            </w:tcBorders>
            <w:shd w:val="clear" w:color="auto" w:fill="auto"/>
            <w:noWrap/>
            <w:vAlign w:val="center"/>
          </w:tcPr>
          <w:p w14:paraId="1CBEBD91"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5C7B1DF8"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BPA.D062</w:t>
            </w:r>
          </w:p>
        </w:tc>
        <w:tc>
          <w:tcPr>
            <w:tcW w:w="1262" w:type="dxa"/>
            <w:tcBorders>
              <w:top w:val="nil"/>
              <w:left w:val="nil"/>
              <w:bottom w:val="nil"/>
              <w:right w:val="single" w:sz="8" w:space="0" w:color="auto"/>
            </w:tcBorders>
            <w:shd w:val="clear" w:color="auto" w:fill="auto"/>
            <w:noWrap/>
            <w:vAlign w:val="center"/>
            <w:hideMark/>
          </w:tcPr>
          <w:p w14:paraId="7A399911"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BPA.E062</w:t>
            </w:r>
          </w:p>
        </w:tc>
        <w:tc>
          <w:tcPr>
            <w:tcW w:w="4562" w:type="dxa"/>
            <w:tcBorders>
              <w:top w:val="nil"/>
              <w:left w:val="nil"/>
              <w:bottom w:val="nil"/>
            </w:tcBorders>
            <w:shd w:val="clear" w:color="auto" w:fill="auto"/>
            <w:vAlign w:val="center"/>
          </w:tcPr>
          <w:p w14:paraId="0EB2298C" w14:textId="77777777" w:rsidR="00AF12EA" w:rsidRPr="009548D7" w:rsidRDefault="00AF12EA" w:rsidP="00AF12EA">
            <w:pPr>
              <w:spacing w:after="0" w:line="240" w:lineRule="auto"/>
              <w:rPr>
                <w:rFonts w:ascii="Arial Narrow" w:eastAsia="Times New Roman" w:hAnsi="Arial Narrow" w:cs="Arial"/>
                <w:sz w:val="16"/>
                <w:szCs w:val="16"/>
                <w:lang w:eastAsia="pt-BR"/>
              </w:rPr>
            </w:pPr>
          </w:p>
        </w:tc>
        <w:tc>
          <w:tcPr>
            <w:tcW w:w="775" w:type="dxa"/>
            <w:tcBorders>
              <w:top w:val="nil"/>
              <w:bottom w:val="nil"/>
              <w:right w:val="single" w:sz="8" w:space="0" w:color="auto"/>
            </w:tcBorders>
            <w:shd w:val="clear" w:color="auto" w:fill="auto"/>
            <w:noWrap/>
            <w:vAlign w:val="center"/>
          </w:tcPr>
          <w:p w14:paraId="63F0A9D0"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tcPr>
          <w:p w14:paraId="22AF751E"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p>
        </w:tc>
        <w:tc>
          <w:tcPr>
            <w:tcW w:w="1420" w:type="dxa"/>
            <w:tcBorders>
              <w:top w:val="nil"/>
              <w:left w:val="nil"/>
              <w:bottom w:val="nil"/>
              <w:right w:val="single" w:sz="8" w:space="0" w:color="auto"/>
            </w:tcBorders>
            <w:shd w:val="clear" w:color="auto" w:fill="auto"/>
            <w:noWrap/>
            <w:vAlign w:val="center"/>
          </w:tcPr>
          <w:p w14:paraId="402CD099"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p>
        </w:tc>
      </w:tr>
      <w:tr w:rsidR="00AF12EA" w:rsidRPr="009548D7" w14:paraId="6CA015EA" w14:textId="77777777" w:rsidTr="002315E1">
        <w:trPr>
          <w:trHeight w:val="255"/>
        </w:trPr>
        <w:tc>
          <w:tcPr>
            <w:tcW w:w="4410" w:type="dxa"/>
            <w:tcBorders>
              <w:top w:val="nil"/>
              <w:left w:val="single" w:sz="8" w:space="0" w:color="auto"/>
              <w:bottom w:val="nil"/>
            </w:tcBorders>
            <w:shd w:val="clear" w:color="auto" w:fill="auto"/>
            <w:noWrap/>
            <w:vAlign w:val="center"/>
            <w:hideMark/>
          </w:tcPr>
          <w:p w14:paraId="6D40949B" w14:textId="4B3B640E" w:rsidR="00AF12EA" w:rsidRPr="009548D7" w:rsidRDefault="00777A02" w:rsidP="00777A02">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AF12EA" w:rsidRPr="009548D7">
              <w:rPr>
                <w:rFonts w:ascii="Arial Narrow" w:eastAsia="Times New Roman" w:hAnsi="Arial Narrow" w:cs="Arial"/>
                <w:sz w:val="16"/>
                <w:szCs w:val="16"/>
                <w:lang w:eastAsia="pt-BR"/>
              </w:rPr>
              <w:t>(-) Redução ao Valor Recuperável de softwares</w:t>
            </w:r>
          </w:p>
        </w:tc>
        <w:tc>
          <w:tcPr>
            <w:tcW w:w="767" w:type="dxa"/>
            <w:tcBorders>
              <w:top w:val="nil"/>
              <w:bottom w:val="nil"/>
              <w:right w:val="single" w:sz="8" w:space="0" w:color="auto"/>
            </w:tcBorders>
            <w:shd w:val="clear" w:color="auto" w:fill="auto"/>
            <w:noWrap/>
            <w:vAlign w:val="center"/>
          </w:tcPr>
          <w:p w14:paraId="6191EB8D"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36067A22"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BPA.D063</w:t>
            </w:r>
          </w:p>
        </w:tc>
        <w:tc>
          <w:tcPr>
            <w:tcW w:w="1262" w:type="dxa"/>
            <w:tcBorders>
              <w:top w:val="nil"/>
              <w:left w:val="nil"/>
              <w:bottom w:val="nil"/>
              <w:right w:val="single" w:sz="8" w:space="0" w:color="auto"/>
            </w:tcBorders>
            <w:shd w:val="clear" w:color="auto" w:fill="auto"/>
            <w:noWrap/>
            <w:vAlign w:val="center"/>
            <w:hideMark/>
          </w:tcPr>
          <w:p w14:paraId="31883222"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BPA.E063</w:t>
            </w:r>
          </w:p>
        </w:tc>
        <w:tc>
          <w:tcPr>
            <w:tcW w:w="4562" w:type="dxa"/>
            <w:tcBorders>
              <w:top w:val="nil"/>
              <w:left w:val="nil"/>
              <w:bottom w:val="nil"/>
            </w:tcBorders>
            <w:shd w:val="clear" w:color="auto" w:fill="auto"/>
            <w:noWrap/>
            <w:vAlign w:val="center"/>
            <w:hideMark/>
          </w:tcPr>
          <w:p w14:paraId="50F81CA4" w14:textId="77777777" w:rsidR="00AF12EA" w:rsidRPr="009548D7" w:rsidRDefault="00AF12EA" w:rsidP="00AF12EA">
            <w:pPr>
              <w:spacing w:after="0" w:line="240" w:lineRule="auto"/>
              <w:ind w:firstLineChars="100" w:firstLine="16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w:t>
            </w:r>
          </w:p>
        </w:tc>
        <w:tc>
          <w:tcPr>
            <w:tcW w:w="775" w:type="dxa"/>
            <w:tcBorders>
              <w:top w:val="nil"/>
              <w:bottom w:val="nil"/>
              <w:right w:val="single" w:sz="8" w:space="0" w:color="auto"/>
            </w:tcBorders>
            <w:shd w:val="clear" w:color="auto" w:fill="auto"/>
            <w:noWrap/>
            <w:vAlign w:val="center"/>
          </w:tcPr>
          <w:p w14:paraId="596F94B2" w14:textId="77777777" w:rsidR="00AF12EA" w:rsidRPr="009548D7" w:rsidRDefault="00AF12EA" w:rsidP="00AF12EA">
            <w:pPr>
              <w:spacing w:after="0" w:line="240" w:lineRule="auto"/>
              <w:ind w:firstLineChars="100" w:firstLine="160"/>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28A857B1"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w:t>
            </w:r>
          </w:p>
        </w:tc>
        <w:tc>
          <w:tcPr>
            <w:tcW w:w="1420" w:type="dxa"/>
            <w:tcBorders>
              <w:top w:val="nil"/>
              <w:left w:val="nil"/>
              <w:bottom w:val="nil"/>
              <w:right w:val="single" w:sz="8" w:space="0" w:color="auto"/>
            </w:tcBorders>
            <w:shd w:val="clear" w:color="auto" w:fill="auto"/>
            <w:noWrap/>
            <w:vAlign w:val="center"/>
            <w:hideMark/>
          </w:tcPr>
          <w:p w14:paraId="5D38F1C6"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w:t>
            </w:r>
          </w:p>
        </w:tc>
      </w:tr>
      <w:tr w:rsidR="00AF12EA" w:rsidRPr="009548D7" w14:paraId="4AC24AEF" w14:textId="77777777" w:rsidTr="002315E1">
        <w:trPr>
          <w:trHeight w:val="255"/>
        </w:trPr>
        <w:tc>
          <w:tcPr>
            <w:tcW w:w="4410" w:type="dxa"/>
            <w:tcBorders>
              <w:top w:val="nil"/>
              <w:left w:val="single" w:sz="8" w:space="0" w:color="auto"/>
              <w:bottom w:val="nil"/>
            </w:tcBorders>
            <w:shd w:val="clear" w:color="auto" w:fill="auto"/>
            <w:noWrap/>
            <w:vAlign w:val="center"/>
            <w:hideMark/>
          </w:tcPr>
          <w:p w14:paraId="54759BCE" w14:textId="25367B5C" w:rsidR="00AF12EA" w:rsidRPr="009548D7" w:rsidRDefault="00777A02" w:rsidP="00777A02">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AF12EA" w:rsidRPr="009548D7">
              <w:rPr>
                <w:rFonts w:ascii="Arial Narrow" w:eastAsia="Times New Roman" w:hAnsi="Arial Narrow" w:cs="Arial"/>
                <w:sz w:val="16"/>
                <w:szCs w:val="16"/>
                <w:lang w:eastAsia="pt-BR"/>
              </w:rPr>
              <w:t>Marcas, Direitos e Patentes Industriais</w:t>
            </w:r>
          </w:p>
        </w:tc>
        <w:tc>
          <w:tcPr>
            <w:tcW w:w="767" w:type="dxa"/>
            <w:tcBorders>
              <w:top w:val="nil"/>
              <w:bottom w:val="nil"/>
              <w:right w:val="single" w:sz="8" w:space="0" w:color="auto"/>
            </w:tcBorders>
            <w:shd w:val="clear" w:color="auto" w:fill="auto"/>
            <w:noWrap/>
            <w:vAlign w:val="center"/>
          </w:tcPr>
          <w:p w14:paraId="3EE719F5"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42DBA9F7"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BPA.D064</w:t>
            </w:r>
          </w:p>
        </w:tc>
        <w:tc>
          <w:tcPr>
            <w:tcW w:w="1262" w:type="dxa"/>
            <w:tcBorders>
              <w:top w:val="nil"/>
              <w:left w:val="nil"/>
              <w:bottom w:val="nil"/>
              <w:right w:val="single" w:sz="8" w:space="0" w:color="auto"/>
            </w:tcBorders>
            <w:shd w:val="clear" w:color="auto" w:fill="auto"/>
            <w:noWrap/>
            <w:vAlign w:val="center"/>
            <w:hideMark/>
          </w:tcPr>
          <w:p w14:paraId="00143A08"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BPA.E064</w:t>
            </w:r>
          </w:p>
        </w:tc>
        <w:tc>
          <w:tcPr>
            <w:tcW w:w="4562" w:type="dxa"/>
            <w:tcBorders>
              <w:top w:val="nil"/>
              <w:left w:val="nil"/>
              <w:bottom w:val="nil"/>
            </w:tcBorders>
            <w:shd w:val="clear" w:color="auto" w:fill="auto"/>
            <w:noWrap/>
            <w:vAlign w:val="center"/>
            <w:hideMark/>
          </w:tcPr>
          <w:p w14:paraId="2302FB75" w14:textId="77777777" w:rsidR="00AF12EA" w:rsidRPr="009548D7" w:rsidRDefault="00AF12EA" w:rsidP="00AF12EA">
            <w:pPr>
              <w:spacing w:after="0" w:line="240" w:lineRule="auto"/>
              <w:rPr>
                <w:rFonts w:ascii="Arial Narrow" w:eastAsia="Times New Roman" w:hAnsi="Arial Narrow" w:cs="Arial"/>
                <w:color w:val="0070C0"/>
                <w:sz w:val="16"/>
                <w:szCs w:val="16"/>
                <w:lang w:eastAsia="pt-BR"/>
              </w:rPr>
            </w:pPr>
          </w:p>
        </w:tc>
        <w:tc>
          <w:tcPr>
            <w:tcW w:w="775" w:type="dxa"/>
            <w:tcBorders>
              <w:top w:val="nil"/>
              <w:bottom w:val="nil"/>
              <w:right w:val="single" w:sz="8" w:space="0" w:color="auto"/>
            </w:tcBorders>
            <w:shd w:val="clear" w:color="auto" w:fill="auto"/>
            <w:noWrap/>
            <w:vAlign w:val="center"/>
          </w:tcPr>
          <w:p w14:paraId="447573F9" w14:textId="77777777" w:rsidR="00AF12EA" w:rsidRPr="009548D7" w:rsidRDefault="00AF12EA" w:rsidP="00AF12EA">
            <w:pPr>
              <w:spacing w:after="0" w:line="240" w:lineRule="auto"/>
              <w:rPr>
                <w:rFonts w:ascii="Arial Narrow" w:eastAsia="Times New Roman" w:hAnsi="Arial Narrow" w:cs="Arial"/>
                <w:color w:val="0070C0"/>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68EEEEF9"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w:t>
            </w:r>
          </w:p>
        </w:tc>
        <w:tc>
          <w:tcPr>
            <w:tcW w:w="1420" w:type="dxa"/>
            <w:tcBorders>
              <w:top w:val="nil"/>
              <w:left w:val="nil"/>
              <w:bottom w:val="nil"/>
              <w:right w:val="single" w:sz="8" w:space="0" w:color="auto"/>
            </w:tcBorders>
            <w:shd w:val="clear" w:color="auto" w:fill="auto"/>
            <w:noWrap/>
            <w:vAlign w:val="center"/>
            <w:hideMark/>
          </w:tcPr>
          <w:p w14:paraId="3152A64B"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w:t>
            </w:r>
          </w:p>
        </w:tc>
      </w:tr>
      <w:tr w:rsidR="00777A02" w:rsidRPr="009548D7" w14:paraId="46DAFE80" w14:textId="77777777" w:rsidTr="002936F7">
        <w:trPr>
          <w:trHeight w:val="255"/>
        </w:trPr>
        <w:tc>
          <w:tcPr>
            <w:tcW w:w="5177" w:type="dxa"/>
            <w:gridSpan w:val="2"/>
            <w:tcBorders>
              <w:top w:val="nil"/>
              <w:left w:val="single" w:sz="8" w:space="0" w:color="auto"/>
              <w:bottom w:val="nil"/>
              <w:right w:val="single" w:sz="8" w:space="0" w:color="auto"/>
            </w:tcBorders>
            <w:shd w:val="clear" w:color="auto" w:fill="auto"/>
            <w:noWrap/>
            <w:vAlign w:val="center"/>
            <w:hideMark/>
          </w:tcPr>
          <w:p w14:paraId="1082CD4F" w14:textId="48BD22DF" w:rsidR="00777A02" w:rsidRPr="009548D7" w:rsidRDefault="00777A02" w:rsidP="00777A02">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Pr="009548D7">
              <w:rPr>
                <w:rFonts w:ascii="Arial Narrow" w:eastAsia="Times New Roman" w:hAnsi="Arial Narrow" w:cs="Arial"/>
                <w:sz w:val="16"/>
                <w:szCs w:val="16"/>
                <w:lang w:eastAsia="pt-BR"/>
              </w:rPr>
              <w:t>(-) Amortização Acumulada de Marcas, Direitos e Patentes Industriais</w:t>
            </w:r>
          </w:p>
        </w:tc>
        <w:tc>
          <w:tcPr>
            <w:tcW w:w="1063" w:type="dxa"/>
            <w:tcBorders>
              <w:top w:val="nil"/>
              <w:left w:val="nil"/>
              <w:bottom w:val="nil"/>
              <w:right w:val="single" w:sz="8" w:space="0" w:color="auto"/>
            </w:tcBorders>
            <w:shd w:val="clear" w:color="auto" w:fill="auto"/>
            <w:noWrap/>
            <w:vAlign w:val="center"/>
            <w:hideMark/>
          </w:tcPr>
          <w:p w14:paraId="050B0E45" w14:textId="77777777" w:rsidR="00777A02" w:rsidRPr="009548D7" w:rsidRDefault="00777A02"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BPA.D065</w:t>
            </w:r>
          </w:p>
        </w:tc>
        <w:tc>
          <w:tcPr>
            <w:tcW w:w="1262" w:type="dxa"/>
            <w:tcBorders>
              <w:top w:val="nil"/>
              <w:left w:val="nil"/>
              <w:bottom w:val="nil"/>
              <w:right w:val="single" w:sz="8" w:space="0" w:color="auto"/>
            </w:tcBorders>
            <w:shd w:val="clear" w:color="auto" w:fill="auto"/>
            <w:noWrap/>
            <w:vAlign w:val="center"/>
            <w:hideMark/>
          </w:tcPr>
          <w:p w14:paraId="142F13E2" w14:textId="77777777" w:rsidR="00777A02" w:rsidRPr="009548D7" w:rsidRDefault="00777A02"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BPA.E065</w:t>
            </w:r>
          </w:p>
        </w:tc>
        <w:tc>
          <w:tcPr>
            <w:tcW w:w="4562" w:type="dxa"/>
            <w:tcBorders>
              <w:top w:val="nil"/>
              <w:left w:val="nil"/>
              <w:bottom w:val="nil"/>
            </w:tcBorders>
            <w:shd w:val="clear" w:color="auto" w:fill="auto"/>
            <w:noWrap/>
            <w:vAlign w:val="center"/>
            <w:hideMark/>
          </w:tcPr>
          <w:p w14:paraId="6D1A7C06" w14:textId="77777777" w:rsidR="00777A02" w:rsidRPr="009548D7" w:rsidRDefault="00777A02" w:rsidP="00AF12EA">
            <w:pPr>
              <w:spacing w:after="0" w:line="240" w:lineRule="auto"/>
              <w:ind w:firstLineChars="100" w:firstLine="160"/>
              <w:rPr>
                <w:rFonts w:ascii="Arial Narrow" w:eastAsia="Times New Roman" w:hAnsi="Arial Narrow" w:cs="Arial"/>
                <w:color w:val="00B050"/>
                <w:sz w:val="16"/>
                <w:szCs w:val="16"/>
                <w:lang w:eastAsia="pt-BR"/>
              </w:rPr>
            </w:pPr>
            <w:r w:rsidRPr="009548D7">
              <w:rPr>
                <w:rFonts w:ascii="Arial Narrow" w:eastAsia="Times New Roman" w:hAnsi="Arial Narrow" w:cs="Arial"/>
                <w:color w:val="00B050"/>
                <w:sz w:val="16"/>
                <w:szCs w:val="16"/>
                <w:lang w:eastAsia="pt-BR"/>
              </w:rPr>
              <w:t> </w:t>
            </w:r>
          </w:p>
        </w:tc>
        <w:tc>
          <w:tcPr>
            <w:tcW w:w="775" w:type="dxa"/>
            <w:tcBorders>
              <w:top w:val="nil"/>
              <w:bottom w:val="nil"/>
              <w:right w:val="single" w:sz="8" w:space="0" w:color="auto"/>
            </w:tcBorders>
            <w:shd w:val="clear" w:color="auto" w:fill="auto"/>
            <w:noWrap/>
            <w:vAlign w:val="center"/>
          </w:tcPr>
          <w:p w14:paraId="2C14D17D" w14:textId="77777777" w:rsidR="00777A02" w:rsidRPr="009548D7" w:rsidRDefault="00777A02" w:rsidP="00AF12EA">
            <w:pPr>
              <w:spacing w:after="0" w:line="240" w:lineRule="auto"/>
              <w:ind w:firstLineChars="100" w:firstLine="160"/>
              <w:rPr>
                <w:rFonts w:ascii="Arial Narrow" w:eastAsia="Times New Roman" w:hAnsi="Arial Narrow" w:cs="Arial"/>
                <w:color w:val="00B050"/>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35B5840C" w14:textId="77777777" w:rsidR="00777A02" w:rsidRPr="009548D7" w:rsidRDefault="00777A02"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w:t>
            </w:r>
          </w:p>
        </w:tc>
        <w:tc>
          <w:tcPr>
            <w:tcW w:w="1420" w:type="dxa"/>
            <w:tcBorders>
              <w:top w:val="nil"/>
              <w:left w:val="nil"/>
              <w:bottom w:val="nil"/>
              <w:right w:val="single" w:sz="8" w:space="0" w:color="auto"/>
            </w:tcBorders>
            <w:shd w:val="clear" w:color="auto" w:fill="auto"/>
            <w:noWrap/>
            <w:vAlign w:val="center"/>
            <w:hideMark/>
          </w:tcPr>
          <w:p w14:paraId="0F979FD2" w14:textId="77777777" w:rsidR="00777A02" w:rsidRPr="009548D7" w:rsidRDefault="00777A02"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w:t>
            </w:r>
          </w:p>
        </w:tc>
      </w:tr>
      <w:tr w:rsidR="00777A02" w:rsidRPr="009548D7" w14:paraId="2F23DD96" w14:textId="77777777" w:rsidTr="002936F7">
        <w:trPr>
          <w:trHeight w:val="255"/>
        </w:trPr>
        <w:tc>
          <w:tcPr>
            <w:tcW w:w="5177" w:type="dxa"/>
            <w:gridSpan w:val="2"/>
            <w:tcBorders>
              <w:top w:val="nil"/>
              <w:left w:val="single" w:sz="8" w:space="0" w:color="auto"/>
              <w:bottom w:val="nil"/>
              <w:right w:val="single" w:sz="8" w:space="0" w:color="auto"/>
            </w:tcBorders>
            <w:shd w:val="clear" w:color="auto" w:fill="auto"/>
            <w:noWrap/>
            <w:vAlign w:val="center"/>
            <w:hideMark/>
          </w:tcPr>
          <w:p w14:paraId="07FF95CF" w14:textId="20812CC3" w:rsidR="00777A02" w:rsidRPr="009548D7" w:rsidRDefault="00777A02" w:rsidP="00777A02">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Pr="009548D7">
              <w:rPr>
                <w:rFonts w:ascii="Arial Narrow" w:eastAsia="Times New Roman" w:hAnsi="Arial Narrow" w:cs="Arial"/>
                <w:sz w:val="16"/>
                <w:szCs w:val="16"/>
                <w:lang w:eastAsia="pt-BR"/>
              </w:rPr>
              <w:t>(-) Redução ao Valor Recuperável de Marcas, Direitos e Patentes Industriais</w:t>
            </w:r>
          </w:p>
        </w:tc>
        <w:tc>
          <w:tcPr>
            <w:tcW w:w="1063" w:type="dxa"/>
            <w:tcBorders>
              <w:top w:val="nil"/>
              <w:left w:val="nil"/>
              <w:bottom w:val="nil"/>
              <w:right w:val="single" w:sz="8" w:space="0" w:color="auto"/>
            </w:tcBorders>
            <w:shd w:val="clear" w:color="auto" w:fill="auto"/>
            <w:noWrap/>
            <w:vAlign w:val="center"/>
            <w:hideMark/>
          </w:tcPr>
          <w:p w14:paraId="7322D002" w14:textId="77777777" w:rsidR="00777A02" w:rsidRPr="009548D7" w:rsidRDefault="00777A02"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BPA.D066</w:t>
            </w:r>
          </w:p>
        </w:tc>
        <w:tc>
          <w:tcPr>
            <w:tcW w:w="1262" w:type="dxa"/>
            <w:tcBorders>
              <w:top w:val="nil"/>
              <w:left w:val="nil"/>
              <w:bottom w:val="nil"/>
              <w:right w:val="single" w:sz="8" w:space="0" w:color="auto"/>
            </w:tcBorders>
            <w:shd w:val="clear" w:color="auto" w:fill="auto"/>
            <w:noWrap/>
            <w:vAlign w:val="center"/>
            <w:hideMark/>
          </w:tcPr>
          <w:p w14:paraId="1992C435" w14:textId="77777777" w:rsidR="00777A02" w:rsidRPr="009548D7" w:rsidRDefault="00777A02"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BPA.E066</w:t>
            </w:r>
          </w:p>
        </w:tc>
        <w:tc>
          <w:tcPr>
            <w:tcW w:w="4562" w:type="dxa"/>
            <w:tcBorders>
              <w:top w:val="nil"/>
              <w:left w:val="nil"/>
              <w:bottom w:val="nil"/>
            </w:tcBorders>
            <w:shd w:val="clear" w:color="auto" w:fill="auto"/>
            <w:noWrap/>
            <w:vAlign w:val="center"/>
            <w:hideMark/>
          </w:tcPr>
          <w:p w14:paraId="2E7DD2E3" w14:textId="77777777" w:rsidR="00777A02" w:rsidRPr="009548D7" w:rsidRDefault="00777A02" w:rsidP="00AF12EA">
            <w:pPr>
              <w:spacing w:after="0" w:line="240" w:lineRule="auto"/>
              <w:ind w:firstLineChars="100" w:firstLine="16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w:t>
            </w:r>
          </w:p>
        </w:tc>
        <w:tc>
          <w:tcPr>
            <w:tcW w:w="775" w:type="dxa"/>
            <w:tcBorders>
              <w:top w:val="nil"/>
              <w:bottom w:val="nil"/>
              <w:right w:val="single" w:sz="8" w:space="0" w:color="auto"/>
            </w:tcBorders>
            <w:shd w:val="clear" w:color="auto" w:fill="auto"/>
            <w:noWrap/>
            <w:vAlign w:val="center"/>
          </w:tcPr>
          <w:p w14:paraId="2C1019B2" w14:textId="77777777" w:rsidR="00777A02" w:rsidRPr="009548D7" w:rsidRDefault="00777A02" w:rsidP="00AF12EA">
            <w:pPr>
              <w:spacing w:after="0" w:line="240" w:lineRule="auto"/>
              <w:ind w:firstLineChars="100" w:firstLine="160"/>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00B6833B" w14:textId="77777777" w:rsidR="00777A02" w:rsidRPr="009548D7" w:rsidRDefault="00777A02"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w:t>
            </w:r>
          </w:p>
        </w:tc>
        <w:tc>
          <w:tcPr>
            <w:tcW w:w="1420" w:type="dxa"/>
            <w:tcBorders>
              <w:top w:val="nil"/>
              <w:left w:val="nil"/>
              <w:bottom w:val="nil"/>
              <w:right w:val="single" w:sz="8" w:space="0" w:color="auto"/>
            </w:tcBorders>
            <w:shd w:val="clear" w:color="auto" w:fill="auto"/>
            <w:noWrap/>
            <w:vAlign w:val="center"/>
            <w:hideMark/>
          </w:tcPr>
          <w:p w14:paraId="74D51F6F" w14:textId="77777777" w:rsidR="00777A02" w:rsidRPr="009548D7" w:rsidRDefault="00777A02"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w:t>
            </w:r>
          </w:p>
        </w:tc>
      </w:tr>
      <w:tr w:rsidR="00AF12EA" w:rsidRPr="009548D7" w14:paraId="7E835810" w14:textId="77777777" w:rsidTr="002315E1">
        <w:trPr>
          <w:trHeight w:val="255"/>
        </w:trPr>
        <w:tc>
          <w:tcPr>
            <w:tcW w:w="4410" w:type="dxa"/>
            <w:tcBorders>
              <w:top w:val="nil"/>
              <w:left w:val="single" w:sz="8" w:space="0" w:color="auto"/>
              <w:bottom w:val="nil"/>
            </w:tcBorders>
            <w:shd w:val="clear" w:color="auto" w:fill="auto"/>
            <w:noWrap/>
            <w:vAlign w:val="center"/>
            <w:hideMark/>
          </w:tcPr>
          <w:p w14:paraId="0DF8970A" w14:textId="3AF4696A" w:rsidR="00AF12EA" w:rsidRPr="009548D7" w:rsidRDefault="00777A02" w:rsidP="00777A02">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AF12EA" w:rsidRPr="009548D7">
              <w:rPr>
                <w:rFonts w:ascii="Arial Narrow" w:eastAsia="Times New Roman" w:hAnsi="Arial Narrow" w:cs="Arial"/>
                <w:sz w:val="16"/>
                <w:szCs w:val="16"/>
                <w:lang w:eastAsia="pt-BR"/>
              </w:rPr>
              <w:t>Direitos de Uso de Imóveis</w:t>
            </w:r>
          </w:p>
        </w:tc>
        <w:tc>
          <w:tcPr>
            <w:tcW w:w="767" w:type="dxa"/>
            <w:tcBorders>
              <w:top w:val="nil"/>
              <w:bottom w:val="nil"/>
              <w:right w:val="single" w:sz="8" w:space="0" w:color="auto"/>
            </w:tcBorders>
            <w:shd w:val="clear" w:color="auto" w:fill="auto"/>
            <w:noWrap/>
            <w:vAlign w:val="center"/>
          </w:tcPr>
          <w:p w14:paraId="14C7226B"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368016CC"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BPA.D067</w:t>
            </w:r>
          </w:p>
        </w:tc>
        <w:tc>
          <w:tcPr>
            <w:tcW w:w="1262" w:type="dxa"/>
            <w:tcBorders>
              <w:top w:val="nil"/>
              <w:left w:val="nil"/>
              <w:bottom w:val="nil"/>
              <w:right w:val="single" w:sz="8" w:space="0" w:color="auto"/>
            </w:tcBorders>
            <w:shd w:val="clear" w:color="auto" w:fill="auto"/>
            <w:noWrap/>
            <w:vAlign w:val="center"/>
            <w:hideMark/>
          </w:tcPr>
          <w:p w14:paraId="6AF7653A"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BPA.E067</w:t>
            </w:r>
          </w:p>
        </w:tc>
        <w:tc>
          <w:tcPr>
            <w:tcW w:w="4562" w:type="dxa"/>
            <w:tcBorders>
              <w:top w:val="nil"/>
              <w:left w:val="nil"/>
              <w:bottom w:val="nil"/>
            </w:tcBorders>
            <w:shd w:val="clear" w:color="auto" w:fill="auto"/>
            <w:noWrap/>
            <w:vAlign w:val="center"/>
            <w:hideMark/>
          </w:tcPr>
          <w:p w14:paraId="2FF34919" w14:textId="77777777" w:rsidR="00AF12EA" w:rsidRPr="009548D7" w:rsidRDefault="00AF12EA" w:rsidP="00AF12EA">
            <w:pPr>
              <w:spacing w:after="0" w:line="240" w:lineRule="auto"/>
              <w:ind w:firstLineChars="100" w:firstLine="160"/>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 </w:t>
            </w:r>
          </w:p>
        </w:tc>
        <w:tc>
          <w:tcPr>
            <w:tcW w:w="775" w:type="dxa"/>
            <w:tcBorders>
              <w:top w:val="nil"/>
              <w:bottom w:val="nil"/>
              <w:right w:val="single" w:sz="8" w:space="0" w:color="auto"/>
            </w:tcBorders>
            <w:shd w:val="clear" w:color="auto" w:fill="auto"/>
            <w:noWrap/>
            <w:vAlign w:val="center"/>
          </w:tcPr>
          <w:p w14:paraId="234814A2" w14:textId="77777777" w:rsidR="00AF12EA" w:rsidRPr="009548D7" w:rsidRDefault="00AF12EA" w:rsidP="00AF12EA">
            <w:pPr>
              <w:spacing w:after="0" w:line="240" w:lineRule="auto"/>
              <w:ind w:firstLineChars="100" w:firstLine="160"/>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1F4C4872" w14:textId="77777777" w:rsidR="00AF12EA" w:rsidRPr="009548D7" w:rsidRDefault="00AF12EA" w:rsidP="00AF12EA">
            <w:pPr>
              <w:spacing w:after="0" w:line="240" w:lineRule="auto"/>
              <w:jc w:val="center"/>
              <w:rPr>
                <w:rFonts w:ascii="Arial Narrow" w:eastAsia="Times New Roman" w:hAnsi="Arial Narrow" w:cs="Arial"/>
                <w:color w:val="0070C0"/>
                <w:sz w:val="16"/>
                <w:szCs w:val="16"/>
                <w:lang w:eastAsia="pt-BR"/>
              </w:rPr>
            </w:pPr>
            <w:r w:rsidRPr="009548D7">
              <w:rPr>
                <w:rFonts w:ascii="Arial Narrow" w:eastAsia="Times New Roman" w:hAnsi="Arial Narrow" w:cs="Arial"/>
                <w:color w:val="0070C0"/>
                <w:sz w:val="16"/>
                <w:szCs w:val="16"/>
                <w:lang w:eastAsia="pt-BR"/>
              </w:rPr>
              <w:t> </w:t>
            </w:r>
          </w:p>
        </w:tc>
        <w:tc>
          <w:tcPr>
            <w:tcW w:w="1420" w:type="dxa"/>
            <w:tcBorders>
              <w:top w:val="nil"/>
              <w:left w:val="nil"/>
              <w:bottom w:val="nil"/>
              <w:right w:val="single" w:sz="8" w:space="0" w:color="auto"/>
            </w:tcBorders>
            <w:shd w:val="clear" w:color="auto" w:fill="auto"/>
            <w:noWrap/>
            <w:vAlign w:val="center"/>
            <w:hideMark/>
          </w:tcPr>
          <w:p w14:paraId="4C83FCBA" w14:textId="77777777" w:rsidR="00AF12EA" w:rsidRPr="009548D7" w:rsidRDefault="00AF12EA" w:rsidP="00AF12EA">
            <w:pPr>
              <w:spacing w:after="0" w:line="240" w:lineRule="auto"/>
              <w:jc w:val="center"/>
              <w:rPr>
                <w:rFonts w:ascii="Arial Narrow" w:eastAsia="Times New Roman" w:hAnsi="Arial Narrow" w:cs="Arial"/>
                <w:color w:val="0070C0"/>
                <w:sz w:val="16"/>
                <w:szCs w:val="16"/>
                <w:lang w:eastAsia="pt-BR"/>
              </w:rPr>
            </w:pPr>
            <w:r w:rsidRPr="009548D7">
              <w:rPr>
                <w:rFonts w:ascii="Arial Narrow" w:eastAsia="Times New Roman" w:hAnsi="Arial Narrow" w:cs="Arial"/>
                <w:color w:val="0070C0"/>
                <w:sz w:val="16"/>
                <w:szCs w:val="16"/>
                <w:lang w:eastAsia="pt-BR"/>
              </w:rPr>
              <w:t> </w:t>
            </w:r>
          </w:p>
        </w:tc>
      </w:tr>
      <w:tr w:rsidR="00AF12EA" w:rsidRPr="009548D7" w14:paraId="7C8A203E" w14:textId="77777777" w:rsidTr="002315E1">
        <w:trPr>
          <w:trHeight w:val="255"/>
        </w:trPr>
        <w:tc>
          <w:tcPr>
            <w:tcW w:w="4410" w:type="dxa"/>
            <w:tcBorders>
              <w:top w:val="nil"/>
              <w:left w:val="single" w:sz="8" w:space="0" w:color="auto"/>
              <w:bottom w:val="nil"/>
            </w:tcBorders>
            <w:shd w:val="clear" w:color="auto" w:fill="auto"/>
            <w:noWrap/>
            <w:vAlign w:val="center"/>
            <w:hideMark/>
          </w:tcPr>
          <w:p w14:paraId="0FD65E9E" w14:textId="7C4CB703" w:rsidR="00AF12EA" w:rsidRPr="009548D7" w:rsidRDefault="00777A02" w:rsidP="00777A02">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00AF12EA" w:rsidRPr="009548D7">
              <w:rPr>
                <w:rFonts w:ascii="Arial Narrow" w:eastAsia="Times New Roman" w:hAnsi="Arial Narrow" w:cs="Arial"/>
                <w:sz w:val="16"/>
                <w:szCs w:val="16"/>
                <w:lang w:eastAsia="pt-BR"/>
              </w:rPr>
              <w:t>(-) Amortização Acumulada de Direitos de uso de Imóveis</w:t>
            </w:r>
          </w:p>
        </w:tc>
        <w:tc>
          <w:tcPr>
            <w:tcW w:w="767" w:type="dxa"/>
            <w:tcBorders>
              <w:top w:val="nil"/>
              <w:bottom w:val="nil"/>
              <w:right w:val="single" w:sz="8" w:space="0" w:color="auto"/>
            </w:tcBorders>
            <w:shd w:val="clear" w:color="auto" w:fill="auto"/>
            <w:noWrap/>
            <w:vAlign w:val="center"/>
          </w:tcPr>
          <w:p w14:paraId="2DF8902B"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33BF8103"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BPA.D068</w:t>
            </w:r>
          </w:p>
        </w:tc>
        <w:tc>
          <w:tcPr>
            <w:tcW w:w="1262" w:type="dxa"/>
            <w:tcBorders>
              <w:top w:val="nil"/>
              <w:left w:val="nil"/>
              <w:bottom w:val="nil"/>
              <w:right w:val="single" w:sz="8" w:space="0" w:color="auto"/>
            </w:tcBorders>
            <w:shd w:val="clear" w:color="auto" w:fill="auto"/>
            <w:noWrap/>
            <w:vAlign w:val="center"/>
            <w:hideMark/>
          </w:tcPr>
          <w:p w14:paraId="54C51D31" w14:textId="77777777" w:rsidR="00AF12EA" w:rsidRPr="009548D7" w:rsidRDefault="00AF12EA" w:rsidP="00AF12EA">
            <w:pPr>
              <w:spacing w:after="0" w:line="240" w:lineRule="auto"/>
              <w:jc w:val="center"/>
              <w:rPr>
                <w:rFonts w:ascii="Arial Narrow" w:eastAsia="Times New Roman" w:hAnsi="Arial Narrow" w:cs="Arial"/>
                <w:sz w:val="16"/>
                <w:szCs w:val="16"/>
                <w:lang w:eastAsia="pt-BR"/>
              </w:rPr>
            </w:pPr>
            <w:r w:rsidRPr="009548D7">
              <w:rPr>
                <w:rFonts w:ascii="Arial Narrow" w:eastAsia="Times New Roman" w:hAnsi="Arial Narrow" w:cs="Arial"/>
                <w:sz w:val="16"/>
                <w:szCs w:val="16"/>
                <w:lang w:eastAsia="pt-BR"/>
              </w:rPr>
              <w:t>BPA.E068</w:t>
            </w:r>
          </w:p>
        </w:tc>
        <w:tc>
          <w:tcPr>
            <w:tcW w:w="4562" w:type="dxa"/>
            <w:tcBorders>
              <w:top w:val="nil"/>
              <w:left w:val="nil"/>
              <w:bottom w:val="nil"/>
            </w:tcBorders>
            <w:shd w:val="clear" w:color="auto" w:fill="auto"/>
            <w:noWrap/>
            <w:vAlign w:val="center"/>
            <w:hideMark/>
          </w:tcPr>
          <w:p w14:paraId="28FDB71F" w14:textId="77777777" w:rsidR="00AF12EA" w:rsidRPr="009548D7" w:rsidRDefault="00AF12EA" w:rsidP="00AF12EA">
            <w:pPr>
              <w:spacing w:after="0" w:line="240" w:lineRule="auto"/>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 </w:t>
            </w:r>
          </w:p>
        </w:tc>
        <w:tc>
          <w:tcPr>
            <w:tcW w:w="775" w:type="dxa"/>
            <w:tcBorders>
              <w:top w:val="nil"/>
              <w:bottom w:val="nil"/>
              <w:right w:val="single" w:sz="8" w:space="0" w:color="auto"/>
            </w:tcBorders>
            <w:shd w:val="clear" w:color="auto" w:fill="auto"/>
            <w:noWrap/>
            <w:vAlign w:val="center"/>
          </w:tcPr>
          <w:p w14:paraId="2866DD54" w14:textId="77777777" w:rsidR="00AF12EA" w:rsidRPr="009548D7" w:rsidRDefault="00AF12EA" w:rsidP="00AF12EA">
            <w:pPr>
              <w:spacing w:after="0" w:line="240" w:lineRule="auto"/>
              <w:rPr>
                <w:rFonts w:ascii="Arial Narrow" w:eastAsia="Times New Roman" w:hAnsi="Arial Narrow" w:cs="Arial"/>
                <w:b/>
                <w:bCs/>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0D45BAC8" w14:textId="77777777" w:rsidR="00AF12EA" w:rsidRPr="009548D7" w:rsidRDefault="00AF12EA" w:rsidP="00AF12EA">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 </w:t>
            </w:r>
          </w:p>
        </w:tc>
        <w:tc>
          <w:tcPr>
            <w:tcW w:w="1420" w:type="dxa"/>
            <w:tcBorders>
              <w:top w:val="nil"/>
              <w:left w:val="nil"/>
              <w:bottom w:val="nil"/>
              <w:right w:val="single" w:sz="8" w:space="0" w:color="auto"/>
            </w:tcBorders>
            <w:shd w:val="clear" w:color="auto" w:fill="auto"/>
            <w:noWrap/>
            <w:vAlign w:val="center"/>
            <w:hideMark/>
          </w:tcPr>
          <w:p w14:paraId="471B4746" w14:textId="77777777" w:rsidR="00AF12EA" w:rsidRPr="009548D7" w:rsidRDefault="00AF12EA" w:rsidP="00AF12EA">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 </w:t>
            </w:r>
          </w:p>
        </w:tc>
      </w:tr>
      <w:tr w:rsidR="00AF12EA" w:rsidRPr="009548D7" w14:paraId="0E822475" w14:textId="77777777" w:rsidTr="002315E1">
        <w:trPr>
          <w:trHeight w:val="255"/>
        </w:trPr>
        <w:tc>
          <w:tcPr>
            <w:tcW w:w="4410" w:type="dxa"/>
            <w:tcBorders>
              <w:top w:val="nil"/>
              <w:left w:val="single" w:sz="8" w:space="0" w:color="auto"/>
              <w:bottom w:val="nil"/>
            </w:tcBorders>
            <w:shd w:val="clear" w:color="auto" w:fill="auto"/>
            <w:noWrap/>
            <w:vAlign w:val="center"/>
            <w:hideMark/>
          </w:tcPr>
          <w:p w14:paraId="5A03E63B" w14:textId="0AB8B868" w:rsidR="00AF12EA" w:rsidRPr="009548D7" w:rsidRDefault="00777A02" w:rsidP="00777A02">
            <w:pPr>
              <w:spacing w:after="0" w:line="240" w:lineRule="auto"/>
              <w:rPr>
                <w:rFonts w:ascii="Arial Narrow" w:eastAsia="Times New Roman" w:hAnsi="Arial Narrow" w:cs="Arial"/>
                <w:b/>
                <w:bCs/>
                <w:sz w:val="16"/>
                <w:szCs w:val="16"/>
                <w:lang w:eastAsia="pt-BR"/>
              </w:rPr>
            </w:pPr>
            <w:r>
              <w:rPr>
                <w:rFonts w:ascii="Arial Narrow" w:eastAsia="Times New Roman" w:hAnsi="Arial Narrow" w:cs="Arial"/>
                <w:sz w:val="16"/>
                <w:szCs w:val="16"/>
                <w:lang w:eastAsia="pt-BR"/>
              </w:rPr>
              <w:t xml:space="preserve">          </w:t>
            </w:r>
            <w:r w:rsidR="00AF12EA" w:rsidRPr="009548D7">
              <w:rPr>
                <w:rFonts w:ascii="Arial Narrow" w:eastAsia="Times New Roman" w:hAnsi="Arial Narrow" w:cs="Arial"/>
                <w:sz w:val="16"/>
                <w:szCs w:val="16"/>
                <w:lang w:eastAsia="pt-BR"/>
              </w:rPr>
              <w:t>(-) Redução ao Valor Recuperável de Direitos de Uso de Imóveis</w:t>
            </w:r>
          </w:p>
        </w:tc>
        <w:tc>
          <w:tcPr>
            <w:tcW w:w="767" w:type="dxa"/>
            <w:tcBorders>
              <w:top w:val="nil"/>
              <w:bottom w:val="nil"/>
              <w:right w:val="single" w:sz="8" w:space="0" w:color="auto"/>
            </w:tcBorders>
            <w:shd w:val="clear" w:color="auto" w:fill="auto"/>
            <w:noWrap/>
            <w:vAlign w:val="center"/>
          </w:tcPr>
          <w:p w14:paraId="62A43B13" w14:textId="77777777" w:rsidR="00AF12EA" w:rsidRPr="009548D7" w:rsidRDefault="00AF12EA" w:rsidP="00AF12EA">
            <w:pPr>
              <w:spacing w:after="0" w:line="240" w:lineRule="auto"/>
              <w:jc w:val="center"/>
              <w:rPr>
                <w:rFonts w:ascii="Arial Narrow" w:eastAsia="Times New Roman" w:hAnsi="Arial Narrow" w:cs="Arial"/>
                <w:b/>
                <w:bCs/>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517B3958" w14:textId="77777777" w:rsidR="00AF12EA" w:rsidRPr="009548D7" w:rsidRDefault="00AF12EA" w:rsidP="00AF12EA">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sz w:val="16"/>
                <w:szCs w:val="16"/>
                <w:lang w:eastAsia="pt-BR"/>
              </w:rPr>
              <w:t>BPA.D069</w:t>
            </w:r>
          </w:p>
        </w:tc>
        <w:tc>
          <w:tcPr>
            <w:tcW w:w="1262" w:type="dxa"/>
            <w:tcBorders>
              <w:top w:val="nil"/>
              <w:left w:val="nil"/>
              <w:bottom w:val="nil"/>
              <w:right w:val="single" w:sz="8" w:space="0" w:color="auto"/>
            </w:tcBorders>
            <w:shd w:val="clear" w:color="auto" w:fill="auto"/>
            <w:noWrap/>
            <w:vAlign w:val="center"/>
            <w:hideMark/>
          </w:tcPr>
          <w:p w14:paraId="7F53BEF4" w14:textId="77777777" w:rsidR="00AF12EA" w:rsidRPr="009548D7" w:rsidRDefault="00AF12EA" w:rsidP="00AF12EA">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sz w:val="16"/>
                <w:szCs w:val="16"/>
                <w:lang w:eastAsia="pt-BR"/>
              </w:rPr>
              <w:t>BPA.E069</w:t>
            </w:r>
          </w:p>
        </w:tc>
        <w:tc>
          <w:tcPr>
            <w:tcW w:w="4562" w:type="dxa"/>
            <w:tcBorders>
              <w:top w:val="nil"/>
              <w:left w:val="nil"/>
            </w:tcBorders>
            <w:shd w:val="clear" w:color="auto" w:fill="auto"/>
            <w:noWrap/>
            <w:vAlign w:val="center"/>
          </w:tcPr>
          <w:p w14:paraId="4AD19C9D" w14:textId="77777777" w:rsidR="00AF12EA" w:rsidRPr="009548D7" w:rsidRDefault="00AF12EA" w:rsidP="00AF12EA">
            <w:pPr>
              <w:spacing w:after="0" w:line="240" w:lineRule="auto"/>
              <w:rPr>
                <w:rFonts w:ascii="Arial Narrow" w:eastAsia="Times New Roman" w:hAnsi="Arial Narrow" w:cs="Arial"/>
                <w:b/>
                <w:bCs/>
                <w:sz w:val="16"/>
                <w:szCs w:val="16"/>
                <w:lang w:eastAsia="pt-BR"/>
              </w:rPr>
            </w:pPr>
          </w:p>
        </w:tc>
        <w:tc>
          <w:tcPr>
            <w:tcW w:w="775" w:type="dxa"/>
            <w:tcBorders>
              <w:top w:val="nil"/>
              <w:right w:val="single" w:sz="8" w:space="0" w:color="auto"/>
            </w:tcBorders>
            <w:shd w:val="clear" w:color="auto" w:fill="auto"/>
            <w:noWrap/>
            <w:vAlign w:val="center"/>
          </w:tcPr>
          <w:p w14:paraId="6672042E" w14:textId="77777777" w:rsidR="00AF12EA" w:rsidRPr="009548D7" w:rsidRDefault="00AF12EA" w:rsidP="00AF12EA">
            <w:pPr>
              <w:spacing w:after="0" w:line="240" w:lineRule="auto"/>
              <w:jc w:val="center"/>
              <w:rPr>
                <w:rFonts w:ascii="Arial Narrow" w:eastAsia="Times New Roman" w:hAnsi="Arial Narrow" w:cs="Arial"/>
                <w:b/>
                <w:bCs/>
                <w:sz w:val="16"/>
                <w:szCs w:val="16"/>
                <w:lang w:eastAsia="pt-BR"/>
              </w:rPr>
            </w:pPr>
          </w:p>
        </w:tc>
        <w:tc>
          <w:tcPr>
            <w:tcW w:w="1063" w:type="dxa"/>
            <w:tcBorders>
              <w:top w:val="nil"/>
              <w:left w:val="nil"/>
              <w:right w:val="single" w:sz="8" w:space="0" w:color="auto"/>
            </w:tcBorders>
            <w:shd w:val="clear" w:color="auto" w:fill="auto"/>
            <w:noWrap/>
            <w:vAlign w:val="center"/>
          </w:tcPr>
          <w:p w14:paraId="3F174E0D" w14:textId="77777777" w:rsidR="00AF12EA" w:rsidRPr="009548D7" w:rsidRDefault="00AF12EA" w:rsidP="00AF12EA">
            <w:pPr>
              <w:spacing w:after="0" w:line="240" w:lineRule="auto"/>
              <w:jc w:val="center"/>
              <w:rPr>
                <w:rFonts w:ascii="Arial Narrow" w:eastAsia="Times New Roman" w:hAnsi="Arial Narrow" w:cs="Arial"/>
                <w:b/>
                <w:bCs/>
                <w:sz w:val="16"/>
                <w:szCs w:val="16"/>
                <w:lang w:eastAsia="pt-BR"/>
              </w:rPr>
            </w:pPr>
          </w:p>
        </w:tc>
        <w:tc>
          <w:tcPr>
            <w:tcW w:w="1420" w:type="dxa"/>
            <w:tcBorders>
              <w:top w:val="nil"/>
              <w:left w:val="nil"/>
              <w:right w:val="single" w:sz="8" w:space="0" w:color="auto"/>
            </w:tcBorders>
            <w:shd w:val="clear" w:color="auto" w:fill="auto"/>
            <w:noWrap/>
            <w:vAlign w:val="center"/>
          </w:tcPr>
          <w:p w14:paraId="7C1A0D6E" w14:textId="77777777" w:rsidR="00AF12EA" w:rsidRPr="009548D7" w:rsidRDefault="00AF12EA" w:rsidP="00AF12EA">
            <w:pPr>
              <w:spacing w:after="0" w:line="240" w:lineRule="auto"/>
              <w:jc w:val="center"/>
              <w:rPr>
                <w:rFonts w:ascii="Arial Narrow" w:eastAsia="Times New Roman" w:hAnsi="Arial Narrow" w:cs="Arial"/>
                <w:b/>
                <w:bCs/>
                <w:sz w:val="16"/>
                <w:szCs w:val="16"/>
                <w:lang w:eastAsia="pt-BR"/>
              </w:rPr>
            </w:pPr>
          </w:p>
        </w:tc>
      </w:tr>
      <w:tr w:rsidR="00AF12EA" w:rsidRPr="009548D7" w14:paraId="591A1C2A" w14:textId="77777777" w:rsidTr="002315E1">
        <w:trPr>
          <w:trHeight w:val="255"/>
        </w:trPr>
        <w:tc>
          <w:tcPr>
            <w:tcW w:w="4410" w:type="dxa"/>
            <w:tcBorders>
              <w:top w:val="nil"/>
              <w:left w:val="single" w:sz="8" w:space="0" w:color="auto"/>
              <w:bottom w:val="nil"/>
            </w:tcBorders>
            <w:shd w:val="clear" w:color="auto" w:fill="auto"/>
            <w:noWrap/>
            <w:vAlign w:val="center"/>
          </w:tcPr>
          <w:p w14:paraId="31BD5AC5" w14:textId="0FE4A746" w:rsidR="00AF12EA" w:rsidRPr="00853884" w:rsidRDefault="00777A02" w:rsidP="00777A02">
            <w:pPr>
              <w:spacing w:after="0" w:line="240" w:lineRule="auto"/>
              <w:rPr>
                <w:rFonts w:ascii="Arial Narrow" w:eastAsia="Times New Roman" w:hAnsi="Arial Narrow" w:cs="Arial"/>
                <w:sz w:val="16"/>
                <w:szCs w:val="16"/>
                <w:lang w:eastAsia="pt-BR"/>
              </w:rPr>
            </w:pPr>
            <w:r>
              <w:rPr>
                <w:rFonts w:ascii="Arial Narrow" w:eastAsia="Times New Roman" w:hAnsi="Arial Narrow" w:cs="Arial"/>
                <w:bCs/>
                <w:sz w:val="16"/>
                <w:szCs w:val="16"/>
                <w:lang w:eastAsia="pt-BR"/>
              </w:rPr>
              <w:t xml:space="preserve">          </w:t>
            </w:r>
            <w:r w:rsidR="00AF12EA" w:rsidRPr="00853884">
              <w:rPr>
                <w:rFonts w:ascii="Arial Narrow" w:eastAsia="Times New Roman" w:hAnsi="Arial Narrow" w:cs="Arial"/>
                <w:bCs/>
                <w:sz w:val="16"/>
                <w:szCs w:val="16"/>
                <w:lang w:eastAsia="pt-BR"/>
              </w:rPr>
              <w:t>(-) Outras Amortizações Acumuladas</w:t>
            </w:r>
          </w:p>
        </w:tc>
        <w:tc>
          <w:tcPr>
            <w:tcW w:w="767" w:type="dxa"/>
            <w:tcBorders>
              <w:top w:val="nil"/>
              <w:bottom w:val="nil"/>
              <w:right w:val="single" w:sz="8" w:space="0" w:color="auto"/>
            </w:tcBorders>
            <w:shd w:val="clear" w:color="auto" w:fill="auto"/>
            <w:noWrap/>
            <w:vAlign w:val="center"/>
          </w:tcPr>
          <w:p w14:paraId="48500F3B" w14:textId="77777777" w:rsidR="00AF12EA" w:rsidRPr="00853884" w:rsidRDefault="00AF12EA" w:rsidP="00AF12EA">
            <w:pPr>
              <w:spacing w:after="0" w:line="240" w:lineRule="auto"/>
              <w:jc w:val="center"/>
              <w:rPr>
                <w:rFonts w:ascii="Arial Narrow" w:eastAsia="Times New Roman" w:hAnsi="Arial Narrow" w:cs="Arial"/>
                <w:b/>
                <w:bCs/>
                <w:sz w:val="16"/>
                <w:szCs w:val="16"/>
                <w:lang w:eastAsia="pt-BR"/>
              </w:rPr>
            </w:pPr>
          </w:p>
        </w:tc>
        <w:tc>
          <w:tcPr>
            <w:tcW w:w="1063" w:type="dxa"/>
            <w:tcBorders>
              <w:top w:val="nil"/>
              <w:left w:val="nil"/>
              <w:bottom w:val="nil"/>
              <w:right w:val="single" w:sz="8" w:space="0" w:color="auto"/>
            </w:tcBorders>
            <w:shd w:val="clear" w:color="auto" w:fill="auto"/>
            <w:noWrap/>
            <w:vAlign w:val="center"/>
          </w:tcPr>
          <w:p w14:paraId="42653834" w14:textId="77777777" w:rsidR="00AF12EA" w:rsidRPr="00853884" w:rsidRDefault="00AF12EA" w:rsidP="00AF12EA">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bCs/>
                <w:sz w:val="16"/>
                <w:szCs w:val="16"/>
                <w:lang w:eastAsia="pt-BR"/>
              </w:rPr>
              <w:t>BPA.D092</w:t>
            </w:r>
          </w:p>
        </w:tc>
        <w:tc>
          <w:tcPr>
            <w:tcW w:w="1262" w:type="dxa"/>
            <w:tcBorders>
              <w:top w:val="nil"/>
              <w:left w:val="nil"/>
              <w:bottom w:val="nil"/>
              <w:right w:val="single" w:sz="8" w:space="0" w:color="auto"/>
            </w:tcBorders>
            <w:shd w:val="clear" w:color="auto" w:fill="auto"/>
            <w:noWrap/>
            <w:vAlign w:val="center"/>
          </w:tcPr>
          <w:p w14:paraId="402A00B3" w14:textId="77777777" w:rsidR="00AF12EA" w:rsidRPr="00853884" w:rsidRDefault="00AF12EA" w:rsidP="00AF12EA">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bCs/>
                <w:sz w:val="16"/>
                <w:szCs w:val="16"/>
                <w:lang w:eastAsia="pt-BR"/>
              </w:rPr>
              <w:t>BPA.E092</w:t>
            </w:r>
          </w:p>
        </w:tc>
        <w:tc>
          <w:tcPr>
            <w:tcW w:w="4562" w:type="dxa"/>
            <w:tcBorders>
              <w:top w:val="nil"/>
              <w:left w:val="nil"/>
            </w:tcBorders>
            <w:shd w:val="clear" w:color="auto" w:fill="auto"/>
            <w:noWrap/>
            <w:vAlign w:val="center"/>
          </w:tcPr>
          <w:p w14:paraId="2669BCC1" w14:textId="77777777" w:rsidR="00AF12EA" w:rsidRPr="009548D7" w:rsidRDefault="00AF12EA" w:rsidP="00AF12EA">
            <w:pPr>
              <w:spacing w:after="0" w:line="240" w:lineRule="auto"/>
              <w:rPr>
                <w:rFonts w:ascii="Arial Narrow" w:eastAsia="Times New Roman" w:hAnsi="Arial Narrow" w:cs="Arial"/>
                <w:b/>
                <w:bCs/>
                <w:sz w:val="16"/>
                <w:szCs w:val="16"/>
                <w:lang w:eastAsia="pt-BR"/>
              </w:rPr>
            </w:pPr>
          </w:p>
        </w:tc>
        <w:tc>
          <w:tcPr>
            <w:tcW w:w="775" w:type="dxa"/>
            <w:tcBorders>
              <w:top w:val="nil"/>
              <w:right w:val="single" w:sz="8" w:space="0" w:color="auto"/>
            </w:tcBorders>
            <w:shd w:val="clear" w:color="auto" w:fill="auto"/>
            <w:noWrap/>
            <w:vAlign w:val="center"/>
          </w:tcPr>
          <w:p w14:paraId="417AF6E7" w14:textId="77777777" w:rsidR="00AF12EA" w:rsidRPr="009548D7" w:rsidRDefault="00AF12EA" w:rsidP="00AF12EA">
            <w:pPr>
              <w:spacing w:after="0" w:line="240" w:lineRule="auto"/>
              <w:jc w:val="center"/>
              <w:rPr>
                <w:rFonts w:ascii="Arial Narrow" w:eastAsia="Times New Roman" w:hAnsi="Arial Narrow" w:cs="Arial"/>
                <w:b/>
                <w:bCs/>
                <w:sz w:val="16"/>
                <w:szCs w:val="16"/>
                <w:lang w:eastAsia="pt-BR"/>
              </w:rPr>
            </w:pPr>
          </w:p>
        </w:tc>
        <w:tc>
          <w:tcPr>
            <w:tcW w:w="1063" w:type="dxa"/>
            <w:tcBorders>
              <w:top w:val="nil"/>
              <w:left w:val="nil"/>
              <w:right w:val="single" w:sz="8" w:space="0" w:color="auto"/>
            </w:tcBorders>
            <w:shd w:val="clear" w:color="auto" w:fill="auto"/>
            <w:noWrap/>
            <w:vAlign w:val="center"/>
          </w:tcPr>
          <w:p w14:paraId="255EDE00" w14:textId="77777777" w:rsidR="00AF12EA" w:rsidRPr="009548D7" w:rsidRDefault="00AF12EA" w:rsidP="00AF12EA">
            <w:pPr>
              <w:spacing w:after="0" w:line="240" w:lineRule="auto"/>
              <w:jc w:val="center"/>
              <w:rPr>
                <w:rFonts w:ascii="Arial Narrow" w:eastAsia="Times New Roman" w:hAnsi="Arial Narrow" w:cs="Arial"/>
                <w:b/>
                <w:bCs/>
                <w:sz w:val="16"/>
                <w:szCs w:val="16"/>
                <w:lang w:eastAsia="pt-BR"/>
              </w:rPr>
            </w:pPr>
          </w:p>
        </w:tc>
        <w:tc>
          <w:tcPr>
            <w:tcW w:w="1420" w:type="dxa"/>
            <w:tcBorders>
              <w:top w:val="nil"/>
              <w:left w:val="nil"/>
              <w:right w:val="single" w:sz="8" w:space="0" w:color="auto"/>
            </w:tcBorders>
            <w:shd w:val="clear" w:color="auto" w:fill="auto"/>
            <w:noWrap/>
            <w:vAlign w:val="center"/>
          </w:tcPr>
          <w:p w14:paraId="437776EC" w14:textId="77777777" w:rsidR="00AF12EA" w:rsidRPr="009548D7" w:rsidRDefault="00AF12EA" w:rsidP="00AF12EA">
            <w:pPr>
              <w:spacing w:after="0" w:line="240" w:lineRule="auto"/>
              <w:jc w:val="center"/>
              <w:rPr>
                <w:rFonts w:ascii="Arial Narrow" w:eastAsia="Times New Roman" w:hAnsi="Arial Narrow" w:cs="Arial"/>
                <w:b/>
                <w:bCs/>
                <w:sz w:val="16"/>
                <w:szCs w:val="16"/>
                <w:lang w:eastAsia="pt-BR"/>
              </w:rPr>
            </w:pPr>
          </w:p>
        </w:tc>
      </w:tr>
      <w:tr w:rsidR="00AF12EA" w:rsidRPr="009548D7" w14:paraId="56C96F4A" w14:textId="77777777" w:rsidTr="002315E1">
        <w:trPr>
          <w:trHeight w:val="255"/>
        </w:trPr>
        <w:tc>
          <w:tcPr>
            <w:tcW w:w="4410" w:type="dxa"/>
            <w:tcBorders>
              <w:top w:val="nil"/>
              <w:left w:val="single" w:sz="8" w:space="0" w:color="auto"/>
              <w:bottom w:val="nil"/>
            </w:tcBorders>
            <w:shd w:val="clear" w:color="auto" w:fill="auto"/>
            <w:noWrap/>
            <w:vAlign w:val="center"/>
          </w:tcPr>
          <w:p w14:paraId="59B76EB1" w14:textId="4BA60ED7" w:rsidR="00AF12EA" w:rsidRPr="00853884" w:rsidRDefault="00777A02" w:rsidP="00777A02">
            <w:pPr>
              <w:spacing w:after="0" w:line="240" w:lineRule="auto"/>
              <w:rPr>
                <w:rFonts w:ascii="Arial Narrow" w:eastAsia="Times New Roman" w:hAnsi="Arial Narrow" w:cs="Arial"/>
                <w:sz w:val="16"/>
                <w:szCs w:val="16"/>
                <w:lang w:eastAsia="pt-BR"/>
              </w:rPr>
            </w:pPr>
            <w:r>
              <w:rPr>
                <w:rFonts w:ascii="Arial Narrow" w:eastAsia="Times New Roman" w:hAnsi="Arial Narrow" w:cs="Arial"/>
                <w:bCs/>
                <w:sz w:val="16"/>
                <w:szCs w:val="16"/>
                <w:lang w:eastAsia="pt-BR"/>
              </w:rPr>
              <w:t xml:space="preserve">          </w:t>
            </w:r>
            <w:r w:rsidR="00AF12EA" w:rsidRPr="00853884">
              <w:rPr>
                <w:rFonts w:ascii="Arial Narrow" w:eastAsia="Times New Roman" w:hAnsi="Arial Narrow" w:cs="Arial"/>
                <w:bCs/>
                <w:sz w:val="16"/>
                <w:szCs w:val="16"/>
                <w:lang w:eastAsia="pt-BR"/>
              </w:rPr>
              <w:t>(-) Otras Reduções ao Valor Recuperável de Intangível</w:t>
            </w:r>
          </w:p>
        </w:tc>
        <w:tc>
          <w:tcPr>
            <w:tcW w:w="767" w:type="dxa"/>
            <w:tcBorders>
              <w:top w:val="nil"/>
              <w:bottom w:val="nil"/>
              <w:right w:val="single" w:sz="8" w:space="0" w:color="auto"/>
            </w:tcBorders>
            <w:shd w:val="clear" w:color="auto" w:fill="auto"/>
            <w:noWrap/>
            <w:vAlign w:val="center"/>
          </w:tcPr>
          <w:p w14:paraId="6D1E6AAB" w14:textId="77777777" w:rsidR="00AF12EA" w:rsidRPr="00853884" w:rsidRDefault="00AF12EA" w:rsidP="00AF12EA">
            <w:pPr>
              <w:spacing w:after="0" w:line="240" w:lineRule="auto"/>
              <w:jc w:val="center"/>
              <w:rPr>
                <w:rFonts w:ascii="Arial Narrow" w:eastAsia="Times New Roman" w:hAnsi="Arial Narrow" w:cs="Arial"/>
                <w:b/>
                <w:bCs/>
                <w:sz w:val="16"/>
                <w:szCs w:val="16"/>
                <w:lang w:eastAsia="pt-BR"/>
              </w:rPr>
            </w:pPr>
          </w:p>
        </w:tc>
        <w:tc>
          <w:tcPr>
            <w:tcW w:w="1063" w:type="dxa"/>
            <w:tcBorders>
              <w:top w:val="nil"/>
              <w:left w:val="nil"/>
              <w:bottom w:val="nil"/>
              <w:right w:val="single" w:sz="8" w:space="0" w:color="auto"/>
            </w:tcBorders>
            <w:shd w:val="clear" w:color="auto" w:fill="auto"/>
            <w:noWrap/>
            <w:vAlign w:val="center"/>
          </w:tcPr>
          <w:p w14:paraId="42EF1151" w14:textId="77777777" w:rsidR="00AF12EA" w:rsidRPr="00853884" w:rsidRDefault="00AF12EA" w:rsidP="00AF12EA">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bCs/>
                <w:sz w:val="16"/>
                <w:szCs w:val="16"/>
                <w:lang w:eastAsia="pt-BR"/>
              </w:rPr>
              <w:t>BPA.D093</w:t>
            </w:r>
          </w:p>
        </w:tc>
        <w:tc>
          <w:tcPr>
            <w:tcW w:w="1262" w:type="dxa"/>
            <w:tcBorders>
              <w:top w:val="nil"/>
              <w:left w:val="nil"/>
              <w:bottom w:val="nil"/>
              <w:right w:val="single" w:sz="8" w:space="0" w:color="auto"/>
            </w:tcBorders>
            <w:shd w:val="clear" w:color="auto" w:fill="auto"/>
            <w:noWrap/>
            <w:vAlign w:val="center"/>
          </w:tcPr>
          <w:p w14:paraId="6878192E" w14:textId="77777777" w:rsidR="00AF12EA" w:rsidRPr="00853884" w:rsidRDefault="00AF12EA" w:rsidP="00AF12EA">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bCs/>
                <w:sz w:val="16"/>
                <w:szCs w:val="16"/>
                <w:lang w:eastAsia="pt-BR"/>
              </w:rPr>
              <w:t>BPA.E093</w:t>
            </w:r>
          </w:p>
        </w:tc>
        <w:tc>
          <w:tcPr>
            <w:tcW w:w="4562" w:type="dxa"/>
            <w:tcBorders>
              <w:top w:val="nil"/>
              <w:left w:val="nil"/>
            </w:tcBorders>
            <w:shd w:val="clear" w:color="auto" w:fill="auto"/>
            <w:noWrap/>
            <w:vAlign w:val="center"/>
          </w:tcPr>
          <w:p w14:paraId="626AE1DC" w14:textId="77777777" w:rsidR="00AF12EA" w:rsidRPr="009548D7" w:rsidRDefault="00AF12EA" w:rsidP="00AF12EA">
            <w:pPr>
              <w:spacing w:after="0" w:line="240" w:lineRule="auto"/>
              <w:rPr>
                <w:rFonts w:ascii="Arial Narrow" w:eastAsia="Times New Roman" w:hAnsi="Arial Narrow" w:cs="Arial"/>
                <w:b/>
                <w:bCs/>
                <w:sz w:val="16"/>
                <w:szCs w:val="16"/>
                <w:lang w:eastAsia="pt-BR"/>
              </w:rPr>
            </w:pPr>
          </w:p>
        </w:tc>
        <w:tc>
          <w:tcPr>
            <w:tcW w:w="775" w:type="dxa"/>
            <w:tcBorders>
              <w:top w:val="nil"/>
              <w:right w:val="single" w:sz="8" w:space="0" w:color="auto"/>
            </w:tcBorders>
            <w:shd w:val="clear" w:color="auto" w:fill="auto"/>
            <w:noWrap/>
            <w:vAlign w:val="center"/>
          </w:tcPr>
          <w:p w14:paraId="3967A132" w14:textId="77777777" w:rsidR="00AF12EA" w:rsidRPr="009548D7" w:rsidRDefault="00AF12EA" w:rsidP="00AF12EA">
            <w:pPr>
              <w:spacing w:after="0" w:line="240" w:lineRule="auto"/>
              <w:jc w:val="center"/>
              <w:rPr>
                <w:rFonts w:ascii="Arial Narrow" w:eastAsia="Times New Roman" w:hAnsi="Arial Narrow" w:cs="Arial"/>
                <w:b/>
                <w:bCs/>
                <w:sz w:val="16"/>
                <w:szCs w:val="16"/>
                <w:lang w:eastAsia="pt-BR"/>
              </w:rPr>
            </w:pPr>
          </w:p>
        </w:tc>
        <w:tc>
          <w:tcPr>
            <w:tcW w:w="1063" w:type="dxa"/>
            <w:tcBorders>
              <w:top w:val="nil"/>
              <w:left w:val="nil"/>
              <w:right w:val="single" w:sz="8" w:space="0" w:color="auto"/>
            </w:tcBorders>
            <w:shd w:val="clear" w:color="auto" w:fill="auto"/>
            <w:noWrap/>
            <w:vAlign w:val="center"/>
          </w:tcPr>
          <w:p w14:paraId="579FC0B2" w14:textId="77777777" w:rsidR="00AF12EA" w:rsidRPr="009548D7" w:rsidRDefault="00AF12EA" w:rsidP="00AF12EA">
            <w:pPr>
              <w:spacing w:after="0" w:line="240" w:lineRule="auto"/>
              <w:jc w:val="center"/>
              <w:rPr>
                <w:rFonts w:ascii="Arial Narrow" w:eastAsia="Times New Roman" w:hAnsi="Arial Narrow" w:cs="Arial"/>
                <w:b/>
                <w:bCs/>
                <w:sz w:val="16"/>
                <w:szCs w:val="16"/>
                <w:lang w:eastAsia="pt-BR"/>
              </w:rPr>
            </w:pPr>
          </w:p>
        </w:tc>
        <w:tc>
          <w:tcPr>
            <w:tcW w:w="1420" w:type="dxa"/>
            <w:tcBorders>
              <w:top w:val="nil"/>
              <w:left w:val="nil"/>
              <w:right w:val="single" w:sz="8" w:space="0" w:color="auto"/>
            </w:tcBorders>
            <w:shd w:val="clear" w:color="auto" w:fill="auto"/>
            <w:noWrap/>
            <w:vAlign w:val="center"/>
          </w:tcPr>
          <w:p w14:paraId="26B05C16" w14:textId="77777777" w:rsidR="00AF12EA" w:rsidRPr="009548D7" w:rsidRDefault="00AF12EA" w:rsidP="00AF12EA">
            <w:pPr>
              <w:spacing w:after="0" w:line="240" w:lineRule="auto"/>
              <w:jc w:val="center"/>
              <w:rPr>
                <w:rFonts w:ascii="Arial Narrow" w:eastAsia="Times New Roman" w:hAnsi="Arial Narrow" w:cs="Arial"/>
                <w:b/>
                <w:bCs/>
                <w:sz w:val="16"/>
                <w:szCs w:val="16"/>
                <w:lang w:eastAsia="pt-BR"/>
              </w:rPr>
            </w:pPr>
          </w:p>
        </w:tc>
      </w:tr>
      <w:tr w:rsidR="00AF12EA" w:rsidRPr="009548D7" w14:paraId="3B38CA84" w14:textId="77777777" w:rsidTr="002315E1">
        <w:trPr>
          <w:trHeight w:val="270"/>
        </w:trPr>
        <w:tc>
          <w:tcPr>
            <w:tcW w:w="4410" w:type="dxa"/>
            <w:tcBorders>
              <w:top w:val="nil"/>
              <w:left w:val="single" w:sz="8" w:space="0" w:color="auto"/>
              <w:bottom w:val="nil"/>
            </w:tcBorders>
            <w:shd w:val="clear" w:color="auto" w:fill="auto"/>
            <w:noWrap/>
            <w:vAlign w:val="center"/>
            <w:hideMark/>
          </w:tcPr>
          <w:p w14:paraId="08BF45AC" w14:textId="136144CA" w:rsidR="00AF12EA" w:rsidRPr="00853884" w:rsidRDefault="00777A02" w:rsidP="00777A02">
            <w:pPr>
              <w:spacing w:after="0" w:line="240" w:lineRule="auto"/>
              <w:rPr>
                <w:rFonts w:ascii="Arial Narrow" w:eastAsia="Times New Roman" w:hAnsi="Arial Narrow" w:cs="Arial"/>
                <w:b/>
                <w:bCs/>
                <w:sz w:val="16"/>
                <w:szCs w:val="16"/>
                <w:lang w:eastAsia="pt-BR"/>
              </w:rPr>
            </w:pPr>
            <w:r>
              <w:rPr>
                <w:rFonts w:ascii="Arial Narrow" w:eastAsia="Times New Roman" w:hAnsi="Arial Narrow" w:cs="Arial"/>
                <w:b/>
                <w:bCs/>
                <w:sz w:val="16"/>
                <w:szCs w:val="16"/>
                <w:lang w:eastAsia="pt-BR"/>
              </w:rPr>
              <w:t xml:space="preserve">     </w:t>
            </w:r>
            <w:r w:rsidR="00AF12EA" w:rsidRPr="00853884">
              <w:rPr>
                <w:rFonts w:ascii="Arial Narrow" w:eastAsia="Times New Roman" w:hAnsi="Arial Narrow" w:cs="Arial"/>
                <w:b/>
                <w:bCs/>
                <w:sz w:val="16"/>
                <w:szCs w:val="16"/>
                <w:lang w:eastAsia="pt-BR"/>
              </w:rPr>
              <w:t>Diferido</w:t>
            </w:r>
          </w:p>
        </w:tc>
        <w:tc>
          <w:tcPr>
            <w:tcW w:w="767" w:type="dxa"/>
            <w:tcBorders>
              <w:top w:val="nil"/>
              <w:bottom w:val="nil"/>
              <w:right w:val="single" w:sz="8" w:space="0" w:color="auto"/>
            </w:tcBorders>
            <w:shd w:val="clear" w:color="auto" w:fill="auto"/>
            <w:noWrap/>
            <w:vAlign w:val="center"/>
          </w:tcPr>
          <w:p w14:paraId="2CE09E85" w14:textId="77777777" w:rsidR="00AF12EA" w:rsidRPr="00853884" w:rsidRDefault="00AF12EA" w:rsidP="00AF12EA">
            <w:pPr>
              <w:spacing w:after="0" w:line="240" w:lineRule="auto"/>
              <w:jc w:val="center"/>
              <w:rPr>
                <w:rFonts w:ascii="Arial Narrow" w:eastAsia="Times New Roman" w:hAnsi="Arial Narrow" w:cs="Arial"/>
                <w:b/>
                <w:bCs/>
                <w:sz w:val="16"/>
                <w:szCs w:val="16"/>
                <w:lang w:eastAsia="pt-BR"/>
              </w:rPr>
            </w:pPr>
          </w:p>
        </w:tc>
        <w:tc>
          <w:tcPr>
            <w:tcW w:w="1063" w:type="dxa"/>
            <w:tcBorders>
              <w:top w:val="nil"/>
              <w:left w:val="nil"/>
              <w:bottom w:val="nil"/>
              <w:right w:val="single" w:sz="8" w:space="0" w:color="auto"/>
            </w:tcBorders>
            <w:shd w:val="clear" w:color="auto" w:fill="auto"/>
            <w:noWrap/>
            <w:vAlign w:val="center"/>
            <w:hideMark/>
          </w:tcPr>
          <w:p w14:paraId="402E0F49" w14:textId="77777777" w:rsidR="00AF12EA" w:rsidRPr="00853884" w:rsidRDefault="00AF12EA" w:rsidP="00AF12EA">
            <w:pPr>
              <w:spacing w:after="0" w:line="240" w:lineRule="auto"/>
              <w:jc w:val="center"/>
              <w:rPr>
                <w:rFonts w:ascii="Arial Narrow" w:eastAsia="Times New Roman" w:hAnsi="Arial Narrow" w:cs="Arial"/>
                <w:b/>
                <w:bCs/>
                <w:sz w:val="16"/>
                <w:szCs w:val="16"/>
                <w:lang w:eastAsia="pt-BR"/>
              </w:rPr>
            </w:pPr>
            <w:r w:rsidRPr="00853884">
              <w:rPr>
                <w:rFonts w:ascii="Arial Narrow" w:eastAsia="Times New Roman" w:hAnsi="Arial Narrow" w:cs="Arial"/>
                <w:b/>
                <w:bCs/>
                <w:sz w:val="16"/>
                <w:szCs w:val="16"/>
                <w:lang w:eastAsia="pt-BR"/>
              </w:rPr>
              <w:t>BPA.D070</w:t>
            </w:r>
          </w:p>
        </w:tc>
        <w:tc>
          <w:tcPr>
            <w:tcW w:w="1262" w:type="dxa"/>
            <w:tcBorders>
              <w:top w:val="nil"/>
              <w:left w:val="nil"/>
              <w:bottom w:val="nil"/>
              <w:right w:val="single" w:sz="8" w:space="0" w:color="auto"/>
            </w:tcBorders>
            <w:shd w:val="clear" w:color="auto" w:fill="auto"/>
            <w:noWrap/>
            <w:vAlign w:val="center"/>
            <w:hideMark/>
          </w:tcPr>
          <w:p w14:paraId="420D3B7C" w14:textId="77777777" w:rsidR="00AF12EA" w:rsidRPr="00853884" w:rsidRDefault="00AF12EA" w:rsidP="00AF12EA">
            <w:pPr>
              <w:spacing w:after="0" w:line="240" w:lineRule="auto"/>
              <w:jc w:val="center"/>
              <w:rPr>
                <w:rFonts w:ascii="Arial Narrow" w:eastAsia="Times New Roman" w:hAnsi="Arial Narrow" w:cs="Arial"/>
                <w:b/>
                <w:bCs/>
                <w:sz w:val="16"/>
                <w:szCs w:val="16"/>
                <w:lang w:eastAsia="pt-BR"/>
              </w:rPr>
            </w:pPr>
            <w:r w:rsidRPr="00853884">
              <w:rPr>
                <w:rFonts w:ascii="Arial Narrow" w:eastAsia="Times New Roman" w:hAnsi="Arial Narrow" w:cs="Arial"/>
                <w:b/>
                <w:bCs/>
                <w:sz w:val="16"/>
                <w:szCs w:val="16"/>
                <w:lang w:eastAsia="pt-BR"/>
              </w:rPr>
              <w:t>BPA.E070</w:t>
            </w:r>
          </w:p>
        </w:tc>
        <w:tc>
          <w:tcPr>
            <w:tcW w:w="4562" w:type="dxa"/>
            <w:tcBorders>
              <w:left w:val="nil"/>
              <w:bottom w:val="single" w:sz="8" w:space="0" w:color="auto"/>
            </w:tcBorders>
            <w:shd w:val="clear" w:color="000000" w:fill="auto"/>
            <w:noWrap/>
            <w:vAlign w:val="center"/>
            <w:hideMark/>
          </w:tcPr>
          <w:p w14:paraId="10AFE754" w14:textId="77777777" w:rsidR="00AF12EA" w:rsidRPr="009548D7" w:rsidRDefault="00AF12EA" w:rsidP="00AF12EA">
            <w:pPr>
              <w:spacing w:after="0" w:line="240" w:lineRule="auto"/>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TOTAL DO PATRIMÔNIO LÍQUIDO</w:t>
            </w:r>
          </w:p>
        </w:tc>
        <w:tc>
          <w:tcPr>
            <w:tcW w:w="775" w:type="dxa"/>
            <w:tcBorders>
              <w:bottom w:val="single" w:sz="8" w:space="0" w:color="auto"/>
              <w:right w:val="single" w:sz="8" w:space="0" w:color="auto"/>
            </w:tcBorders>
            <w:shd w:val="clear" w:color="000000" w:fill="auto"/>
            <w:noWrap/>
            <w:vAlign w:val="center"/>
          </w:tcPr>
          <w:p w14:paraId="474A4ED7" w14:textId="77777777" w:rsidR="00AF12EA" w:rsidRPr="009548D7" w:rsidRDefault="00AF12EA" w:rsidP="00AF12EA">
            <w:pPr>
              <w:spacing w:after="0" w:line="240" w:lineRule="auto"/>
              <w:jc w:val="center"/>
              <w:rPr>
                <w:rFonts w:ascii="Arial Narrow" w:eastAsia="Times New Roman" w:hAnsi="Arial Narrow" w:cs="Arial"/>
                <w:b/>
                <w:bCs/>
                <w:sz w:val="16"/>
                <w:szCs w:val="16"/>
                <w:lang w:eastAsia="pt-BR"/>
              </w:rPr>
            </w:pPr>
          </w:p>
        </w:tc>
        <w:tc>
          <w:tcPr>
            <w:tcW w:w="1063" w:type="dxa"/>
            <w:tcBorders>
              <w:left w:val="nil"/>
              <w:bottom w:val="single" w:sz="8" w:space="0" w:color="auto"/>
              <w:right w:val="single" w:sz="8" w:space="0" w:color="auto"/>
            </w:tcBorders>
            <w:shd w:val="clear" w:color="000000" w:fill="auto"/>
            <w:noWrap/>
            <w:vAlign w:val="center"/>
            <w:hideMark/>
          </w:tcPr>
          <w:p w14:paraId="08BF7955" w14:textId="77777777" w:rsidR="00AF12EA" w:rsidRPr="009548D7" w:rsidRDefault="00AF12EA" w:rsidP="00AF12EA">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BPA.H070</w:t>
            </w:r>
          </w:p>
        </w:tc>
        <w:tc>
          <w:tcPr>
            <w:tcW w:w="1420" w:type="dxa"/>
            <w:tcBorders>
              <w:left w:val="nil"/>
              <w:bottom w:val="single" w:sz="8" w:space="0" w:color="auto"/>
              <w:right w:val="single" w:sz="8" w:space="0" w:color="auto"/>
            </w:tcBorders>
            <w:shd w:val="clear" w:color="000000" w:fill="auto"/>
            <w:noWrap/>
            <w:vAlign w:val="center"/>
            <w:hideMark/>
          </w:tcPr>
          <w:p w14:paraId="349E6295" w14:textId="77777777" w:rsidR="00AF12EA" w:rsidRPr="009548D7" w:rsidRDefault="00AF12EA" w:rsidP="00AF12EA">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BPA.I070</w:t>
            </w:r>
          </w:p>
        </w:tc>
      </w:tr>
      <w:tr w:rsidR="00AF12EA" w:rsidRPr="009548D7" w14:paraId="73D18739" w14:textId="77777777" w:rsidTr="002315E1">
        <w:trPr>
          <w:trHeight w:val="270"/>
        </w:trPr>
        <w:tc>
          <w:tcPr>
            <w:tcW w:w="4410" w:type="dxa"/>
            <w:tcBorders>
              <w:top w:val="single" w:sz="8" w:space="0" w:color="auto"/>
              <w:left w:val="single" w:sz="8" w:space="0" w:color="auto"/>
              <w:bottom w:val="single" w:sz="8" w:space="0" w:color="auto"/>
            </w:tcBorders>
            <w:shd w:val="clear" w:color="000000" w:fill="auto"/>
            <w:noWrap/>
            <w:vAlign w:val="center"/>
          </w:tcPr>
          <w:p w14:paraId="0CBE025F" w14:textId="77777777" w:rsidR="00AF12EA" w:rsidRPr="009548D7" w:rsidRDefault="00AF12EA" w:rsidP="00AF12EA">
            <w:pPr>
              <w:spacing w:after="0" w:line="240" w:lineRule="auto"/>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TOTAL DO ATIVO</w:t>
            </w:r>
          </w:p>
        </w:tc>
        <w:tc>
          <w:tcPr>
            <w:tcW w:w="767" w:type="dxa"/>
            <w:tcBorders>
              <w:top w:val="single" w:sz="8" w:space="0" w:color="auto"/>
              <w:bottom w:val="single" w:sz="8" w:space="0" w:color="auto"/>
              <w:right w:val="single" w:sz="8" w:space="0" w:color="auto"/>
            </w:tcBorders>
            <w:shd w:val="clear" w:color="000000" w:fill="auto"/>
            <w:noWrap/>
            <w:vAlign w:val="center"/>
          </w:tcPr>
          <w:p w14:paraId="706DB6DF" w14:textId="77777777" w:rsidR="00AF12EA" w:rsidRPr="009548D7" w:rsidRDefault="00AF12EA" w:rsidP="00AF12EA">
            <w:pPr>
              <w:spacing w:after="0" w:line="240" w:lineRule="auto"/>
              <w:jc w:val="center"/>
              <w:rPr>
                <w:rFonts w:ascii="Arial Narrow" w:eastAsia="Times New Roman" w:hAnsi="Arial Narrow" w:cs="Arial"/>
                <w:b/>
                <w:bCs/>
                <w:sz w:val="16"/>
                <w:szCs w:val="16"/>
                <w:lang w:eastAsia="pt-BR"/>
              </w:rPr>
            </w:pPr>
          </w:p>
        </w:tc>
        <w:tc>
          <w:tcPr>
            <w:tcW w:w="1063" w:type="dxa"/>
            <w:tcBorders>
              <w:top w:val="single" w:sz="8" w:space="0" w:color="auto"/>
              <w:left w:val="nil"/>
              <w:bottom w:val="single" w:sz="8" w:space="0" w:color="auto"/>
              <w:right w:val="single" w:sz="8" w:space="0" w:color="auto"/>
            </w:tcBorders>
            <w:shd w:val="clear" w:color="000000" w:fill="auto"/>
            <w:noWrap/>
            <w:vAlign w:val="center"/>
          </w:tcPr>
          <w:p w14:paraId="3C0D8A57" w14:textId="77777777" w:rsidR="00AF12EA" w:rsidRPr="009548D7" w:rsidRDefault="00AF12EA" w:rsidP="00AF12EA">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BPA.D071</w:t>
            </w:r>
          </w:p>
        </w:tc>
        <w:tc>
          <w:tcPr>
            <w:tcW w:w="1262" w:type="dxa"/>
            <w:tcBorders>
              <w:top w:val="single" w:sz="8" w:space="0" w:color="auto"/>
              <w:left w:val="nil"/>
              <w:bottom w:val="single" w:sz="8" w:space="0" w:color="auto"/>
              <w:right w:val="single" w:sz="8" w:space="0" w:color="auto"/>
            </w:tcBorders>
            <w:shd w:val="clear" w:color="000000" w:fill="auto"/>
            <w:noWrap/>
            <w:vAlign w:val="center"/>
          </w:tcPr>
          <w:p w14:paraId="6E80F2DC" w14:textId="77777777" w:rsidR="00AF12EA" w:rsidRPr="009548D7" w:rsidRDefault="00AF12EA" w:rsidP="00AF12EA">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BPA.E071</w:t>
            </w:r>
          </w:p>
        </w:tc>
        <w:tc>
          <w:tcPr>
            <w:tcW w:w="4562" w:type="dxa"/>
            <w:tcBorders>
              <w:top w:val="single" w:sz="8" w:space="0" w:color="auto"/>
              <w:left w:val="nil"/>
              <w:bottom w:val="single" w:sz="8" w:space="0" w:color="auto"/>
            </w:tcBorders>
            <w:shd w:val="clear" w:color="000000" w:fill="auto"/>
            <w:noWrap/>
            <w:vAlign w:val="center"/>
          </w:tcPr>
          <w:p w14:paraId="63F1D828" w14:textId="77777777" w:rsidR="00AF12EA" w:rsidRPr="009548D7" w:rsidRDefault="00AF12EA" w:rsidP="00AF12EA">
            <w:pPr>
              <w:spacing w:after="0" w:line="240" w:lineRule="auto"/>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TOTAL DO PASSIVO E DO PATRIMÔNIO LÍQUIDO</w:t>
            </w:r>
          </w:p>
        </w:tc>
        <w:tc>
          <w:tcPr>
            <w:tcW w:w="775" w:type="dxa"/>
            <w:tcBorders>
              <w:top w:val="single" w:sz="8" w:space="0" w:color="auto"/>
              <w:bottom w:val="single" w:sz="8" w:space="0" w:color="auto"/>
              <w:right w:val="single" w:sz="8" w:space="0" w:color="auto"/>
            </w:tcBorders>
            <w:shd w:val="clear" w:color="000000" w:fill="auto"/>
            <w:noWrap/>
            <w:vAlign w:val="center"/>
          </w:tcPr>
          <w:p w14:paraId="4FFE68A5" w14:textId="77777777" w:rsidR="00AF12EA" w:rsidRPr="009548D7" w:rsidRDefault="00AF12EA" w:rsidP="00AF12EA">
            <w:pPr>
              <w:spacing w:after="0" w:line="240" w:lineRule="auto"/>
              <w:jc w:val="center"/>
              <w:rPr>
                <w:rFonts w:ascii="Arial Narrow" w:eastAsia="Times New Roman" w:hAnsi="Arial Narrow" w:cs="Arial"/>
                <w:b/>
                <w:bCs/>
                <w:sz w:val="16"/>
                <w:szCs w:val="16"/>
                <w:lang w:eastAsia="pt-BR"/>
              </w:rPr>
            </w:pPr>
          </w:p>
        </w:tc>
        <w:tc>
          <w:tcPr>
            <w:tcW w:w="1063" w:type="dxa"/>
            <w:tcBorders>
              <w:top w:val="single" w:sz="8" w:space="0" w:color="auto"/>
              <w:left w:val="nil"/>
              <w:bottom w:val="single" w:sz="8" w:space="0" w:color="auto"/>
              <w:right w:val="single" w:sz="8" w:space="0" w:color="auto"/>
            </w:tcBorders>
            <w:shd w:val="clear" w:color="000000" w:fill="auto"/>
            <w:noWrap/>
            <w:vAlign w:val="center"/>
          </w:tcPr>
          <w:p w14:paraId="6E017448" w14:textId="77777777" w:rsidR="00AF12EA" w:rsidRPr="009548D7" w:rsidRDefault="00AF12EA" w:rsidP="00AF12EA">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BPA.H071</w:t>
            </w:r>
          </w:p>
        </w:tc>
        <w:tc>
          <w:tcPr>
            <w:tcW w:w="1420" w:type="dxa"/>
            <w:tcBorders>
              <w:top w:val="single" w:sz="8" w:space="0" w:color="auto"/>
              <w:left w:val="nil"/>
              <w:bottom w:val="single" w:sz="8" w:space="0" w:color="auto"/>
              <w:right w:val="single" w:sz="8" w:space="0" w:color="auto"/>
            </w:tcBorders>
            <w:shd w:val="clear" w:color="000000" w:fill="auto"/>
            <w:noWrap/>
            <w:vAlign w:val="center"/>
          </w:tcPr>
          <w:p w14:paraId="48D6CF0A" w14:textId="77777777" w:rsidR="00AF12EA" w:rsidRPr="009548D7" w:rsidRDefault="00AF12EA" w:rsidP="00AF12EA">
            <w:pPr>
              <w:spacing w:after="0" w:line="240" w:lineRule="auto"/>
              <w:jc w:val="center"/>
              <w:rPr>
                <w:rFonts w:ascii="Arial Narrow" w:eastAsia="Times New Roman" w:hAnsi="Arial Narrow" w:cs="Arial"/>
                <w:b/>
                <w:bCs/>
                <w:sz w:val="16"/>
                <w:szCs w:val="16"/>
                <w:lang w:eastAsia="pt-BR"/>
              </w:rPr>
            </w:pPr>
            <w:r w:rsidRPr="009548D7">
              <w:rPr>
                <w:rFonts w:ascii="Arial Narrow" w:eastAsia="Times New Roman" w:hAnsi="Arial Narrow" w:cs="Arial"/>
                <w:b/>
                <w:bCs/>
                <w:sz w:val="16"/>
                <w:szCs w:val="16"/>
                <w:lang w:eastAsia="pt-BR"/>
              </w:rPr>
              <w:t>BPA.I071</w:t>
            </w:r>
          </w:p>
        </w:tc>
      </w:tr>
    </w:tbl>
    <w:p w14:paraId="3EAFB7C7" w14:textId="29649478" w:rsidR="00047A17" w:rsidRDefault="00047A17" w:rsidP="00047A17">
      <w:pPr>
        <w:spacing w:after="0" w:line="240" w:lineRule="auto"/>
        <w:rPr>
          <w:rFonts w:ascii="Arial" w:eastAsia="Times New Roman" w:hAnsi="Arial" w:cs="Arial"/>
          <w:sz w:val="20"/>
          <w:szCs w:val="20"/>
          <w:lang w:eastAsia="pt-BR"/>
        </w:rPr>
      </w:pPr>
    </w:p>
    <w:p w14:paraId="12A08581" w14:textId="332E6B66" w:rsidR="00B35196" w:rsidRDefault="00B35196" w:rsidP="00047A17">
      <w:pPr>
        <w:spacing w:after="0" w:line="240" w:lineRule="auto"/>
        <w:rPr>
          <w:rFonts w:ascii="Arial" w:eastAsia="Times New Roman" w:hAnsi="Arial" w:cs="Arial"/>
          <w:sz w:val="20"/>
          <w:szCs w:val="20"/>
          <w:lang w:eastAsia="pt-BR"/>
        </w:rPr>
      </w:pPr>
    </w:p>
    <w:p w14:paraId="16DAF11D" w14:textId="68609CD5" w:rsidR="00B35196" w:rsidRDefault="00B35196" w:rsidP="00047A17">
      <w:pPr>
        <w:spacing w:after="0" w:line="240" w:lineRule="auto"/>
        <w:rPr>
          <w:rFonts w:ascii="Arial" w:eastAsia="Times New Roman" w:hAnsi="Arial" w:cs="Arial"/>
          <w:sz w:val="20"/>
          <w:szCs w:val="20"/>
          <w:lang w:eastAsia="pt-BR"/>
        </w:rPr>
      </w:pPr>
    </w:p>
    <w:p w14:paraId="4860A53C" w14:textId="46C911B8" w:rsidR="00047A17" w:rsidRPr="00047A17" w:rsidRDefault="00047A17" w:rsidP="00047A17">
      <w:pPr>
        <w:pStyle w:val="Ttulo2"/>
        <w:ind w:left="578" w:hanging="578"/>
        <w:rPr>
          <w:lang w:val="pt-BR"/>
        </w:rPr>
      </w:pPr>
      <w:bookmarkStart w:id="112" w:name="_Toc94806382"/>
      <w:r w:rsidRPr="00613437">
        <w:rPr>
          <w:rFonts w:cs="Arial"/>
          <w:sz w:val="24"/>
          <w:szCs w:val="24"/>
          <w:lang w:val="pt-BR"/>
        </w:rPr>
        <w:lastRenderedPageBreak/>
        <w:t>Alterou o Demonstrativo do Superávit/Déficit Financeiro Apurado no Balanço Patrimonial para Municípios/Consórcios</w:t>
      </w:r>
      <w:bookmarkEnd w:id="112"/>
    </w:p>
    <w:p w14:paraId="7FB1B6DC" w14:textId="3ACE3605" w:rsidR="005A1123" w:rsidRDefault="005A1123" w:rsidP="00E54BC3">
      <w:pPr>
        <w:spacing w:after="0" w:line="240" w:lineRule="auto"/>
        <w:rPr>
          <w:rFonts w:ascii="Arial" w:eastAsia="Times New Roman" w:hAnsi="Arial" w:cs="Arial"/>
          <w:sz w:val="20"/>
          <w:szCs w:val="20"/>
          <w:lang w:eastAsia="pt-BR"/>
        </w:rPr>
      </w:pPr>
    </w:p>
    <w:tbl>
      <w:tblPr>
        <w:tblW w:w="14301" w:type="dxa"/>
        <w:tblInd w:w="-431" w:type="dxa"/>
        <w:tblCellMar>
          <w:left w:w="70" w:type="dxa"/>
          <w:right w:w="70" w:type="dxa"/>
        </w:tblCellMar>
        <w:tblLook w:val="04A0" w:firstRow="1" w:lastRow="0" w:firstColumn="1" w:lastColumn="0" w:noHBand="0" w:noVBand="1"/>
      </w:tblPr>
      <w:tblGrid>
        <w:gridCol w:w="852"/>
        <w:gridCol w:w="9714"/>
        <w:gridCol w:w="906"/>
        <w:gridCol w:w="1309"/>
        <w:gridCol w:w="1520"/>
      </w:tblGrid>
      <w:tr w:rsidR="00A21E9D" w:rsidRPr="00853884" w14:paraId="446CA2DC" w14:textId="77777777" w:rsidTr="00155A88">
        <w:trPr>
          <w:trHeight w:val="330"/>
        </w:trPr>
        <w:tc>
          <w:tcPr>
            <w:tcW w:w="11472" w:type="dxa"/>
            <w:gridSpan w:val="3"/>
            <w:tcBorders>
              <w:top w:val="single" w:sz="4" w:space="0" w:color="auto"/>
              <w:left w:val="single" w:sz="4" w:space="0" w:color="auto"/>
              <w:bottom w:val="single" w:sz="4" w:space="0" w:color="auto"/>
              <w:right w:val="single" w:sz="4" w:space="0" w:color="000000"/>
            </w:tcBorders>
            <w:shd w:val="clear" w:color="auto" w:fill="F2F2F2"/>
            <w:noWrap/>
            <w:vAlign w:val="bottom"/>
            <w:hideMark/>
          </w:tcPr>
          <w:p w14:paraId="25DB2D7E" w14:textId="77777777" w:rsidR="00A21E9D" w:rsidRPr="00853884" w:rsidRDefault="00A21E9D" w:rsidP="002315E1">
            <w:pPr>
              <w:spacing w:after="0" w:line="240" w:lineRule="auto"/>
              <w:jc w:val="center"/>
              <w:rPr>
                <w:rFonts w:ascii="Arial Narrow" w:eastAsia="Times New Roman" w:hAnsi="Arial Narrow" w:cs="Arial"/>
                <w:b/>
                <w:bCs/>
                <w:lang w:eastAsia="pt-BR"/>
              </w:rPr>
            </w:pPr>
            <w:r w:rsidRPr="00853884">
              <w:rPr>
                <w:rFonts w:ascii="Arial Narrow" w:eastAsia="Times New Roman" w:hAnsi="Arial Narrow" w:cs="Arial"/>
                <w:b/>
                <w:bCs/>
                <w:lang w:eastAsia="pt-BR"/>
              </w:rPr>
              <w:t>FONTES DE RECURSOS</w:t>
            </w:r>
          </w:p>
        </w:tc>
        <w:tc>
          <w:tcPr>
            <w:tcW w:w="2829" w:type="dxa"/>
            <w:gridSpan w:val="2"/>
            <w:tcBorders>
              <w:top w:val="single" w:sz="4" w:space="0" w:color="auto"/>
              <w:left w:val="nil"/>
              <w:bottom w:val="single" w:sz="4" w:space="0" w:color="auto"/>
              <w:right w:val="single" w:sz="4" w:space="0" w:color="000000"/>
            </w:tcBorders>
            <w:shd w:val="clear" w:color="auto" w:fill="F2F2F2"/>
            <w:noWrap/>
            <w:vAlign w:val="bottom"/>
            <w:hideMark/>
          </w:tcPr>
          <w:p w14:paraId="646CFE82" w14:textId="77777777" w:rsidR="00A21E9D" w:rsidRPr="00853884" w:rsidRDefault="00A21E9D" w:rsidP="002315E1">
            <w:pPr>
              <w:spacing w:after="0" w:line="240" w:lineRule="auto"/>
              <w:jc w:val="center"/>
              <w:rPr>
                <w:rFonts w:ascii="Arial Narrow" w:eastAsia="Times New Roman" w:hAnsi="Arial Narrow" w:cs="Arial"/>
                <w:b/>
                <w:bCs/>
                <w:sz w:val="20"/>
                <w:szCs w:val="20"/>
                <w:lang w:eastAsia="pt-BR"/>
              </w:rPr>
            </w:pPr>
            <w:r w:rsidRPr="00853884">
              <w:rPr>
                <w:rFonts w:ascii="Arial Narrow" w:eastAsia="Times New Roman" w:hAnsi="Arial Narrow" w:cs="Arial"/>
                <w:b/>
                <w:bCs/>
                <w:sz w:val="20"/>
                <w:szCs w:val="20"/>
                <w:lang w:eastAsia="pt-BR"/>
              </w:rPr>
              <w:t>SUPERÁVIT/DÉFICIT FINANCEIRO</w:t>
            </w:r>
          </w:p>
        </w:tc>
      </w:tr>
      <w:tr w:rsidR="00A21E9D" w:rsidRPr="00853884" w14:paraId="34B1ECD7" w14:textId="77777777" w:rsidTr="00155A88">
        <w:trPr>
          <w:trHeight w:val="211"/>
        </w:trPr>
        <w:tc>
          <w:tcPr>
            <w:tcW w:w="852" w:type="dxa"/>
            <w:vMerge w:val="restart"/>
            <w:tcBorders>
              <w:top w:val="nil"/>
              <w:left w:val="single" w:sz="4" w:space="0" w:color="auto"/>
              <w:right w:val="single" w:sz="4" w:space="0" w:color="auto"/>
            </w:tcBorders>
            <w:shd w:val="clear" w:color="auto" w:fill="F2F2F2"/>
            <w:noWrap/>
            <w:vAlign w:val="bottom"/>
            <w:hideMark/>
          </w:tcPr>
          <w:p w14:paraId="16B09F67" w14:textId="77777777" w:rsidR="00A21E9D" w:rsidRPr="00853884" w:rsidRDefault="00A21E9D" w:rsidP="002315E1">
            <w:pPr>
              <w:spacing w:after="0" w:line="240" w:lineRule="auto"/>
              <w:jc w:val="center"/>
              <w:rPr>
                <w:rFonts w:ascii="Arial Narrow" w:eastAsia="Times New Roman" w:hAnsi="Arial Narrow" w:cs="Arial"/>
                <w:b/>
                <w:bCs/>
                <w:sz w:val="20"/>
                <w:szCs w:val="20"/>
                <w:lang w:eastAsia="pt-BR"/>
              </w:rPr>
            </w:pPr>
            <w:r w:rsidRPr="00853884">
              <w:rPr>
                <w:rFonts w:ascii="Arial Narrow" w:eastAsia="Times New Roman" w:hAnsi="Arial Narrow" w:cs="Arial"/>
                <w:b/>
                <w:bCs/>
                <w:sz w:val="20"/>
                <w:szCs w:val="20"/>
                <w:lang w:eastAsia="pt-BR"/>
              </w:rPr>
              <w:t xml:space="preserve">Código </w:t>
            </w:r>
          </w:p>
        </w:tc>
        <w:tc>
          <w:tcPr>
            <w:tcW w:w="9714" w:type="dxa"/>
            <w:vMerge w:val="restart"/>
            <w:tcBorders>
              <w:top w:val="nil"/>
              <w:left w:val="nil"/>
            </w:tcBorders>
            <w:shd w:val="clear" w:color="auto" w:fill="F2F2F2"/>
            <w:noWrap/>
            <w:vAlign w:val="bottom"/>
            <w:hideMark/>
          </w:tcPr>
          <w:p w14:paraId="10DFDEDB" w14:textId="77777777" w:rsidR="00A21E9D" w:rsidRPr="00853884" w:rsidRDefault="00A21E9D" w:rsidP="002315E1">
            <w:pPr>
              <w:spacing w:after="0" w:line="240" w:lineRule="auto"/>
              <w:jc w:val="center"/>
              <w:rPr>
                <w:rFonts w:ascii="Arial Narrow" w:eastAsia="Times New Roman" w:hAnsi="Arial Narrow" w:cs="Arial"/>
                <w:b/>
                <w:bCs/>
                <w:sz w:val="20"/>
                <w:szCs w:val="20"/>
                <w:lang w:eastAsia="pt-BR"/>
              </w:rPr>
            </w:pPr>
            <w:r w:rsidRPr="00853884">
              <w:rPr>
                <w:rFonts w:ascii="Arial Narrow" w:eastAsia="Times New Roman" w:hAnsi="Arial Narrow" w:cs="Arial"/>
                <w:b/>
                <w:bCs/>
                <w:sz w:val="20"/>
                <w:szCs w:val="20"/>
                <w:lang w:eastAsia="pt-BR"/>
              </w:rPr>
              <w:t>Descrição</w:t>
            </w:r>
          </w:p>
        </w:tc>
        <w:tc>
          <w:tcPr>
            <w:tcW w:w="906" w:type="dxa"/>
            <w:tcBorders>
              <w:top w:val="nil"/>
              <w:right w:val="single" w:sz="4" w:space="0" w:color="auto"/>
            </w:tcBorders>
            <w:shd w:val="clear" w:color="auto" w:fill="F2F2F2"/>
            <w:noWrap/>
            <w:vAlign w:val="bottom"/>
          </w:tcPr>
          <w:p w14:paraId="77752004" w14:textId="77777777" w:rsidR="00A21E9D" w:rsidRPr="00853884" w:rsidRDefault="00A21E9D" w:rsidP="002315E1">
            <w:pPr>
              <w:spacing w:after="0" w:line="240" w:lineRule="auto"/>
              <w:jc w:val="center"/>
              <w:rPr>
                <w:rFonts w:ascii="Arial Narrow" w:eastAsia="Times New Roman" w:hAnsi="Arial Narrow" w:cs="Arial"/>
                <w:b/>
                <w:bCs/>
                <w:sz w:val="20"/>
                <w:szCs w:val="20"/>
                <w:lang w:eastAsia="pt-BR"/>
              </w:rPr>
            </w:pPr>
          </w:p>
        </w:tc>
        <w:tc>
          <w:tcPr>
            <w:tcW w:w="1309" w:type="dxa"/>
            <w:vMerge w:val="restart"/>
            <w:tcBorders>
              <w:top w:val="nil"/>
              <w:left w:val="nil"/>
              <w:right w:val="single" w:sz="4" w:space="0" w:color="auto"/>
            </w:tcBorders>
            <w:shd w:val="clear" w:color="auto" w:fill="F2F2F2"/>
            <w:noWrap/>
            <w:vAlign w:val="bottom"/>
            <w:hideMark/>
          </w:tcPr>
          <w:p w14:paraId="635A3CF3" w14:textId="77777777" w:rsidR="00A21E9D" w:rsidRPr="00853884" w:rsidRDefault="00A21E9D" w:rsidP="002315E1">
            <w:pPr>
              <w:spacing w:after="0" w:line="240" w:lineRule="auto"/>
              <w:jc w:val="center"/>
              <w:rPr>
                <w:rFonts w:ascii="Arial Narrow" w:eastAsia="Times New Roman" w:hAnsi="Arial Narrow" w:cs="Arial"/>
                <w:b/>
                <w:bCs/>
                <w:sz w:val="20"/>
                <w:szCs w:val="20"/>
                <w:lang w:eastAsia="pt-BR"/>
              </w:rPr>
            </w:pPr>
            <w:r w:rsidRPr="00853884">
              <w:rPr>
                <w:rFonts w:ascii="Arial Narrow" w:eastAsia="Times New Roman" w:hAnsi="Arial Narrow" w:cs="Arial"/>
                <w:b/>
                <w:bCs/>
                <w:sz w:val="20"/>
                <w:szCs w:val="20"/>
                <w:lang w:eastAsia="pt-BR"/>
              </w:rPr>
              <w:t>Exercício Atual</w:t>
            </w:r>
          </w:p>
        </w:tc>
        <w:tc>
          <w:tcPr>
            <w:tcW w:w="1520" w:type="dxa"/>
            <w:vMerge w:val="restart"/>
            <w:tcBorders>
              <w:top w:val="nil"/>
              <w:left w:val="nil"/>
              <w:right w:val="single" w:sz="4" w:space="0" w:color="auto"/>
            </w:tcBorders>
            <w:shd w:val="clear" w:color="auto" w:fill="F2F2F2"/>
            <w:noWrap/>
            <w:vAlign w:val="bottom"/>
            <w:hideMark/>
          </w:tcPr>
          <w:p w14:paraId="17E12E17" w14:textId="77777777" w:rsidR="00A21E9D" w:rsidRPr="00853884" w:rsidRDefault="00A21E9D" w:rsidP="002315E1">
            <w:pPr>
              <w:spacing w:after="0" w:line="240" w:lineRule="auto"/>
              <w:jc w:val="center"/>
              <w:rPr>
                <w:rFonts w:ascii="Arial Narrow" w:eastAsia="Times New Roman" w:hAnsi="Arial Narrow" w:cs="Arial"/>
                <w:b/>
                <w:bCs/>
                <w:sz w:val="20"/>
                <w:szCs w:val="20"/>
                <w:lang w:eastAsia="pt-BR"/>
              </w:rPr>
            </w:pPr>
            <w:r w:rsidRPr="00853884">
              <w:rPr>
                <w:rFonts w:ascii="Arial Narrow" w:eastAsia="Times New Roman" w:hAnsi="Arial Narrow" w:cs="Arial"/>
                <w:b/>
                <w:bCs/>
                <w:sz w:val="20"/>
                <w:szCs w:val="20"/>
                <w:lang w:eastAsia="pt-BR"/>
              </w:rPr>
              <w:t>Exercício Anterior</w:t>
            </w:r>
          </w:p>
        </w:tc>
      </w:tr>
      <w:tr w:rsidR="00A21E9D" w:rsidRPr="00853884" w14:paraId="57245D26" w14:textId="77777777" w:rsidTr="00155A88">
        <w:trPr>
          <w:trHeight w:val="210"/>
        </w:trPr>
        <w:tc>
          <w:tcPr>
            <w:tcW w:w="852" w:type="dxa"/>
            <w:vMerge/>
            <w:tcBorders>
              <w:left w:val="single" w:sz="4" w:space="0" w:color="auto"/>
              <w:bottom w:val="single" w:sz="4" w:space="0" w:color="auto"/>
              <w:right w:val="single" w:sz="4" w:space="0" w:color="auto"/>
            </w:tcBorders>
            <w:shd w:val="clear" w:color="auto" w:fill="F2F2F2"/>
            <w:noWrap/>
            <w:vAlign w:val="bottom"/>
          </w:tcPr>
          <w:p w14:paraId="28D7CEB2" w14:textId="77777777" w:rsidR="00A21E9D" w:rsidRPr="00853884" w:rsidRDefault="00A21E9D" w:rsidP="002315E1">
            <w:pPr>
              <w:spacing w:after="0" w:line="240" w:lineRule="auto"/>
              <w:jc w:val="center"/>
              <w:rPr>
                <w:rFonts w:ascii="Arial Narrow" w:eastAsia="Times New Roman" w:hAnsi="Arial Narrow" w:cs="Arial"/>
                <w:b/>
                <w:bCs/>
                <w:sz w:val="20"/>
                <w:szCs w:val="20"/>
                <w:lang w:eastAsia="pt-BR"/>
              </w:rPr>
            </w:pPr>
          </w:p>
        </w:tc>
        <w:tc>
          <w:tcPr>
            <w:tcW w:w="9714" w:type="dxa"/>
            <w:vMerge/>
            <w:tcBorders>
              <w:left w:val="nil"/>
              <w:bottom w:val="single" w:sz="4" w:space="0" w:color="auto"/>
            </w:tcBorders>
            <w:shd w:val="clear" w:color="auto" w:fill="F2F2F2"/>
            <w:noWrap/>
            <w:vAlign w:val="bottom"/>
          </w:tcPr>
          <w:p w14:paraId="7A214D4A" w14:textId="77777777" w:rsidR="00A21E9D" w:rsidRPr="00853884" w:rsidRDefault="00A21E9D" w:rsidP="002315E1">
            <w:pPr>
              <w:spacing w:after="0" w:line="240" w:lineRule="auto"/>
              <w:jc w:val="center"/>
              <w:rPr>
                <w:rFonts w:ascii="Arial Narrow" w:eastAsia="Times New Roman" w:hAnsi="Arial Narrow" w:cs="Arial"/>
                <w:b/>
                <w:bCs/>
                <w:sz w:val="20"/>
                <w:szCs w:val="20"/>
                <w:lang w:eastAsia="pt-BR"/>
              </w:rPr>
            </w:pPr>
          </w:p>
        </w:tc>
        <w:tc>
          <w:tcPr>
            <w:tcW w:w="906" w:type="dxa"/>
            <w:tcBorders>
              <w:top w:val="nil"/>
              <w:bottom w:val="single" w:sz="4" w:space="0" w:color="auto"/>
              <w:right w:val="single" w:sz="4" w:space="0" w:color="auto"/>
            </w:tcBorders>
            <w:shd w:val="clear" w:color="auto" w:fill="F2F2F2"/>
            <w:noWrap/>
            <w:vAlign w:val="bottom"/>
          </w:tcPr>
          <w:p w14:paraId="6A9F0CC9" w14:textId="77777777" w:rsidR="00A21E9D" w:rsidRPr="00853884" w:rsidRDefault="00A21E9D" w:rsidP="002315E1">
            <w:pPr>
              <w:spacing w:after="0" w:line="240" w:lineRule="auto"/>
              <w:jc w:val="center"/>
              <w:rPr>
                <w:rFonts w:ascii="Arial Narrow" w:eastAsia="Times New Roman" w:hAnsi="Arial Narrow" w:cs="Arial"/>
                <w:b/>
                <w:bCs/>
                <w:sz w:val="20"/>
                <w:szCs w:val="20"/>
                <w:lang w:eastAsia="pt-BR"/>
              </w:rPr>
            </w:pPr>
          </w:p>
        </w:tc>
        <w:tc>
          <w:tcPr>
            <w:tcW w:w="1309" w:type="dxa"/>
            <w:vMerge/>
            <w:tcBorders>
              <w:left w:val="nil"/>
              <w:bottom w:val="single" w:sz="4" w:space="0" w:color="auto"/>
              <w:right w:val="single" w:sz="4" w:space="0" w:color="auto"/>
            </w:tcBorders>
            <w:shd w:val="clear" w:color="auto" w:fill="F2F2F2"/>
            <w:noWrap/>
            <w:vAlign w:val="bottom"/>
          </w:tcPr>
          <w:p w14:paraId="72BA736D" w14:textId="77777777" w:rsidR="00A21E9D" w:rsidRPr="00853884" w:rsidRDefault="00A21E9D" w:rsidP="002315E1">
            <w:pPr>
              <w:spacing w:after="0" w:line="240" w:lineRule="auto"/>
              <w:jc w:val="center"/>
              <w:rPr>
                <w:rFonts w:ascii="Arial Narrow" w:eastAsia="Times New Roman" w:hAnsi="Arial Narrow" w:cs="Arial"/>
                <w:b/>
                <w:bCs/>
                <w:sz w:val="20"/>
                <w:szCs w:val="20"/>
                <w:lang w:eastAsia="pt-BR"/>
              </w:rPr>
            </w:pPr>
          </w:p>
        </w:tc>
        <w:tc>
          <w:tcPr>
            <w:tcW w:w="1520" w:type="dxa"/>
            <w:vMerge/>
            <w:tcBorders>
              <w:left w:val="nil"/>
              <w:bottom w:val="single" w:sz="4" w:space="0" w:color="auto"/>
              <w:right w:val="single" w:sz="4" w:space="0" w:color="auto"/>
            </w:tcBorders>
            <w:shd w:val="clear" w:color="auto" w:fill="F2F2F2"/>
            <w:noWrap/>
            <w:vAlign w:val="bottom"/>
          </w:tcPr>
          <w:p w14:paraId="75EB18D3" w14:textId="77777777" w:rsidR="00A21E9D" w:rsidRPr="00853884" w:rsidRDefault="00A21E9D" w:rsidP="002315E1">
            <w:pPr>
              <w:spacing w:after="0" w:line="240" w:lineRule="auto"/>
              <w:jc w:val="center"/>
              <w:rPr>
                <w:rFonts w:ascii="Arial Narrow" w:eastAsia="Times New Roman" w:hAnsi="Arial Narrow" w:cs="Arial"/>
                <w:b/>
                <w:bCs/>
                <w:sz w:val="20"/>
                <w:szCs w:val="20"/>
                <w:lang w:eastAsia="pt-BR"/>
              </w:rPr>
            </w:pPr>
          </w:p>
        </w:tc>
      </w:tr>
      <w:tr w:rsidR="00A21E9D" w:rsidRPr="00853884" w14:paraId="03EDC384" w14:textId="77777777" w:rsidTr="00155A88">
        <w:trPr>
          <w:trHeight w:val="255"/>
        </w:trPr>
        <w:tc>
          <w:tcPr>
            <w:tcW w:w="852" w:type="dxa"/>
            <w:tcBorders>
              <w:top w:val="nil"/>
              <w:left w:val="single" w:sz="4" w:space="0" w:color="auto"/>
              <w:bottom w:val="nil"/>
              <w:right w:val="single" w:sz="4" w:space="0" w:color="auto"/>
            </w:tcBorders>
            <w:shd w:val="clear" w:color="auto" w:fill="auto"/>
            <w:noWrap/>
            <w:vAlign w:val="bottom"/>
            <w:hideMark/>
          </w:tcPr>
          <w:p w14:paraId="29165672" w14:textId="77777777" w:rsidR="00A21E9D" w:rsidRPr="00853884" w:rsidRDefault="00A21E9D" w:rsidP="002315E1">
            <w:pPr>
              <w:spacing w:after="0" w:line="240" w:lineRule="auto"/>
              <w:jc w:val="center"/>
              <w:rPr>
                <w:rFonts w:ascii="Arial Narrow" w:eastAsia="Times New Roman" w:hAnsi="Arial Narrow" w:cs="Arial"/>
                <w:b/>
                <w:bCs/>
                <w:sz w:val="16"/>
                <w:szCs w:val="16"/>
                <w:lang w:eastAsia="pt-BR"/>
              </w:rPr>
            </w:pPr>
            <w:r w:rsidRPr="00853884">
              <w:rPr>
                <w:rFonts w:ascii="Arial Narrow" w:eastAsia="Times New Roman" w:hAnsi="Arial Narrow" w:cs="Arial"/>
                <w:b/>
                <w:bCs/>
                <w:sz w:val="16"/>
                <w:szCs w:val="16"/>
                <w:lang w:eastAsia="pt-BR"/>
              </w:rPr>
              <w:t> </w:t>
            </w:r>
          </w:p>
        </w:tc>
        <w:tc>
          <w:tcPr>
            <w:tcW w:w="9714" w:type="dxa"/>
            <w:tcBorders>
              <w:top w:val="nil"/>
              <w:left w:val="nil"/>
              <w:bottom w:val="nil"/>
            </w:tcBorders>
            <w:shd w:val="clear" w:color="auto" w:fill="auto"/>
            <w:noWrap/>
            <w:vAlign w:val="bottom"/>
            <w:hideMark/>
          </w:tcPr>
          <w:p w14:paraId="58FF0C82" w14:textId="77777777" w:rsidR="00A21E9D" w:rsidRPr="00853884" w:rsidRDefault="00A21E9D" w:rsidP="002315E1">
            <w:pPr>
              <w:spacing w:after="0" w:line="240" w:lineRule="auto"/>
              <w:rPr>
                <w:rFonts w:ascii="Arial Narrow" w:eastAsia="Times New Roman" w:hAnsi="Arial Narrow" w:cs="Arial"/>
                <w:b/>
                <w:bCs/>
                <w:sz w:val="16"/>
                <w:szCs w:val="16"/>
                <w:lang w:eastAsia="pt-BR"/>
              </w:rPr>
            </w:pPr>
            <w:r w:rsidRPr="00853884">
              <w:rPr>
                <w:rFonts w:ascii="Arial Narrow" w:eastAsia="Times New Roman" w:hAnsi="Arial Narrow" w:cs="Arial"/>
                <w:b/>
                <w:bCs/>
                <w:sz w:val="16"/>
                <w:szCs w:val="16"/>
                <w:lang w:eastAsia="pt-BR"/>
              </w:rPr>
              <w:t>ORDINÁRIA</w:t>
            </w:r>
          </w:p>
        </w:tc>
        <w:tc>
          <w:tcPr>
            <w:tcW w:w="906" w:type="dxa"/>
            <w:tcBorders>
              <w:top w:val="nil"/>
              <w:bottom w:val="nil"/>
              <w:right w:val="single" w:sz="4" w:space="0" w:color="auto"/>
            </w:tcBorders>
            <w:shd w:val="clear" w:color="auto" w:fill="auto"/>
            <w:noWrap/>
            <w:vAlign w:val="bottom"/>
          </w:tcPr>
          <w:p w14:paraId="4B8FC0CD" w14:textId="77777777" w:rsidR="00A21E9D" w:rsidRPr="00853884" w:rsidRDefault="00A21E9D" w:rsidP="002315E1">
            <w:pPr>
              <w:spacing w:after="0" w:line="240" w:lineRule="auto"/>
              <w:jc w:val="center"/>
              <w:rPr>
                <w:rFonts w:ascii="Arial Narrow" w:eastAsia="Times New Roman" w:hAnsi="Arial Narrow" w:cs="Arial"/>
                <w:b/>
                <w:bCs/>
                <w:sz w:val="16"/>
                <w:szCs w:val="16"/>
                <w:lang w:eastAsia="pt-BR"/>
              </w:rPr>
            </w:pPr>
          </w:p>
        </w:tc>
        <w:tc>
          <w:tcPr>
            <w:tcW w:w="1309" w:type="dxa"/>
            <w:tcBorders>
              <w:top w:val="nil"/>
              <w:left w:val="nil"/>
              <w:bottom w:val="nil"/>
              <w:right w:val="single" w:sz="4" w:space="0" w:color="auto"/>
            </w:tcBorders>
            <w:shd w:val="clear" w:color="auto" w:fill="auto"/>
            <w:noWrap/>
            <w:vAlign w:val="bottom"/>
            <w:hideMark/>
          </w:tcPr>
          <w:p w14:paraId="64E44FB0" w14:textId="77777777" w:rsidR="00A21E9D" w:rsidRPr="00853884" w:rsidRDefault="00A21E9D" w:rsidP="002315E1">
            <w:pPr>
              <w:spacing w:after="0" w:line="240" w:lineRule="auto"/>
              <w:jc w:val="center"/>
              <w:rPr>
                <w:rFonts w:ascii="Arial Narrow" w:eastAsia="Times New Roman" w:hAnsi="Arial Narrow" w:cs="Arial"/>
                <w:b/>
                <w:bCs/>
                <w:sz w:val="16"/>
                <w:szCs w:val="16"/>
                <w:lang w:eastAsia="pt-BR"/>
              </w:rPr>
            </w:pPr>
            <w:r w:rsidRPr="00853884">
              <w:rPr>
                <w:rFonts w:ascii="Arial Narrow" w:eastAsia="Times New Roman" w:hAnsi="Arial Narrow" w:cs="Arial"/>
                <w:b/>
                <w:bCs/>
                <w:sz w:val="16"/>
                <w:szCs w:val="16"/>
                <w:lang w:eastAsia="pt-BR"/>
              </w:rPr>
              <w:t>SDF.D006</w:t>
            </w:r>
          </w:p>
        </w:tc>
        <w:tc>
          <w:tcPr>
            <w:tcW w:w="1520" w:type="dxa"/>
            <w:tcBorders>
              <w:top w:val="nil"/>
              <w:left w:val="nil"/>
              <w:bottom w:val="nil"/>
              <w:right w:val="single" w:sz="4" w:space="0" w:color="auto"/>
            </w:tcBorders>
            <w:shd w:val="clear" w:color="auto" w:fill="auto"/>
            <w:noWrap/>
            <w:vAlign w:val="bottom"/>
            <w:hideMark/>
          </w:tcPr>
          <w:p w14:paraId="25D1FD43" w14:textId="77777777" w:rsidR="00A21E9D" w:rsidRPr="00853884" w:rsidRDefault="00A21E9D" w:rsidP="002315E1">
            <w:pPr>
              <w:spacing w:after="0" w:line="240" w:lineRule="auto"/>
              <w:jc w:val="center"/>
              <w:rPr>
                <w:rFonts w:ascii="Arial Narrow" w:eastAsia="Times New Roman" w:hAnsi="Arial Narrow" w:cs="Arial"/>
                <w:b/>
                <w:bCs/>
                <w:sz w:val="16"/>
                <w:szCs w:val="16"/>
                <w:lang w:eastAsia="pt-BR"/>
              </w:rPr>
            </w:pPr>
            <w:r w:rsidRPr="00853884">
              <w:rPr>
                <w:rFonts w:ascii="Arial Narrow" w:eastAsia="Times New Roman" w:hAnsi="Arial Narrow" w:cs="Arial"/>
                <w:b/>
                <w:bCs/>
                <w:sz w:val="16"/>
                <w:szCs w:val="16"/>
                <w:lang w:eastAsia="pt-BR"/>
              </w:rPr>
              <w:t>SDF.E006</w:t>
            </w:r>
          </w:p>
        </w:tc>
      </w:tr>
      <w:tr w:rsidR="00A21E9D" w:rsidRPr="00853884" w14:paraId="00329DD1" w14:textId="77777777" w:rsidTr="00155A88">
        <w:trPr>
          <w:trHeight w:val="255"/>
        </w:trPr>
        <w:tc>
          <w:tcPr>
            <w:tcW w:w="852" w:type="dxa"/>
            <w:tcBorders>
              <w:top w:val="nil"/>
              <w:left w:val="single" w:sz="4" w:space="0" w:color="auto"/>
              <w:bottom w:val="nil"/>
              <w:right w:val="single" w:sz="4" w:space="0" w:color="auto"/>
            </w:tcBorders>
            <w:shd w:val="clear" w:color="auto" w:fill="auto"/>
            <w:noWrap/>
            <w:vAlign w:val="bottom"/>
            <w:hideMark/>
          </w:tcPr>
          <w:p w14:paraId="53726011"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001</w:t>
            </w:r>
          </w:p>
        </w:tc>
        <w:tc>
          <w:tcPr>
            <w:tcW w:w="9714" w:type="dxa"/>
            <w:tcBorders>
              <w:top w:val="nil"/>
              <w:left w:val="nil"/>
              <w:bottom w:val="nil"/>
            </w:tcBorders>
            <w:shd w:val="clear" w:color="auto" w:fill="auto"/>
            <w:noWrap/>
            <w:vAlign w:val="bottom"/>
            <w:hideMark/>
          </w:tcPr>
          <w:p w14:paraId="65DC4018" w14:textId="77777777" w:rsidR="00A21E9D" w:rsidRPr="00853884" w:rsidRDefault="00A21E9D"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RECURSOS ORDINÁRIOS</w:t>
            </w:r>
          </w:p>
        </w:tc>
        <w:tc>
          <w:tcPr>
            <w:tcW w:w="906" w:type="dxa"/>
            <w:tcBorders>
              <w:top w:val="nil"/>
              <w:bottom w:val="nil"/>
              <w:right w:val="single" w:sz="4" w:space="0" w:color="auto"/>
            </w:tcBorders>
            <w:shd w:val="clear" w:color="auto" w:fill="auto"/>
            <w:noWrap/>
            <w:vAlign w:val="bottom"/>
          </w:tcPr>
          <w:p w14:paraId="4D93C357"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hideMark/>
          </w:tcPr>
          <w:p w14:paraId="38B9CCA7"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SDF.D007</w:t>
            </w:r>
          </w:p>
        </w:tc>
        <w:tc>
          <w:tcPr>
            <w:tcW w:w="1520" w:type="dxa"/>
            <w:tcBorders>
              <w:top w:val="nil"/>
              <w:left w:val="nil"/>
              <w:bottom w:val="nil"/>
              <w:right w:val="single" w:sz="4" w:space="0" w:color="auto"/>
            </w:tcBorders>
            <w:shd w:val="clear" w:color="auto" w:fill="auto"/>
            <w:noWrap/>
            <w:vAlign w:val="bottom"/>
            <w:hideMark/>
          </w:tcPr>
          <w:p w14:paraId="4AECF9A9"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SDF.E007</w:t>
            </w:r>
          </w:p>
        </w:tc>
      </w:tr>
      <w:tr w:rsidR="00A21E9D" w:rsidRPr="00853884" w14:paraId="09357DED" w14:textId="77777777" w:rsidTr="00155A88">
        <w:trPr>
          <w:trHeight w:val="255"/>
        </w:trPr>
        <w:tc>
          <w:tcPr>
            <w:tcW w:w="852" w:type="dxa"/>
            <w:tcBorders>
              <w:top w:val="nil"/>
              <w:left w:val="single" w:sz="4" w:space="0" w:color="auto"/>
              <w:bottom w:val="nil"/>
              <w:right w:val="single" w:sz="4" w:space="0" w:color="auto"/>
            </w:tcBorders>
            <w:shd w:val="clear" w:color="auto" w:fill="auto"/>
            <w:noWrap/>
            <w:vAlign w:val="bottom"/>
          </w:tcPr>
          <w:p w14:paraId="30DD111A"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090</w:t>
            </w:r>
          </w:p>
        </w:tc>
        <w:tc>
          <w:tcPr>
            <w:tcW w:w="9714" w:type="dxa"/>
            <w:tcBorders>
              <w:top w:val="nil"/>
              <w:left w:val="nil"/>
              <w:bottom w:val="nil"/>
            </w:tcBorders>
            <w:shd w:val="clear" w:color="auto" w:fill="auto"/>
            <w:noWrap/>
            <w:vAlign w:val="bottom"/>
          </w:tcPr>
          <w:p w14:paraId="2BE5D270" w14:textId="77777777" w:rsidR="00A21E9D" w:rsidRPr="00853884" w:rsidRDefault="00A21E9D"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OUTROS RECURSOS NÃO VINCULADOS</w:t>
            </w:r>
          </w:p>
        </w:tc>
        <w:tc>
          <w:tcPr>
            <w:tcW w:w="906" w:type="dxa"/>
            <w:tcBorders>
              <w:top w:val="nil"/>
              <w:bottom w:val="nil"/>
              <w:right w:val="single" w:sz="4" w:space="0" w:color="auto"/>
            </w:tcBorders>
            <w:shd w:val="clear" w:color="auto" w:fill="auto"/>
            <w:noWrap/>
            <w:vAlign w:val="bottom"/>
          </w:tcPr>
          <w:p w14:paraId="2AC6D932"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tcPr>
          <w:p w14:paraId="29872A15"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SDF.D061</w:t>
            </w:r>
          </w:p>
        </w:tc>
        <w:tc>
          <w:tcPr>
            <w:tcW w:w="1520" w:type="dxa"/>
            <w:tcBorders>
              <w:top w:val="nil"/>
              <w:left w:val="nil"/>
              <w:bottom w:val="nil"/>
              <w:right w:val="single" w:sz="4" w:space="0" w:color="auto"/>
            </w:tcBorders>
            <w:shd w:val="clear" w:color="auto" w:fill="auto"/>
            <w:noWrap/>
            <w:vAlign w:val="bottom"/>
          </w:tcPr>
          <w:p w14:paraId="41663614"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SDF.E061</w:t>
            </w:r>
          </w:p>
        </w:tc>
      </w:tr>
      <w:tr w:rsidR="00A21E9D" w:rsidRPr="00853884" w14:paraId="2838E804" w14:textId="77777777" w:rsidTr="00155A88">
        <w:trPr>
          <w:trHeight w:val="255"/>
        </w:trPr>
        <w:tc>
          <w:tcPr>
            <w:tcW w:w="852" w:type="dxa"/>
            <w:tcBorders>
              <w:top w:val="nil"/>
              <w:left w:val="single" w:sz="4" w:space="0" w:color="auto"/>
              <w:bottom w:val="nil"/>
              <w:right w:val="single" w:sz="4" w:space="0" w:color="auto"/>
            </w:tcBorders>
            <w:shd w:val="clear" w:color="auto" w:fill="auto"/>
            <w:noWrap/>
            <w:vAlign w:val="bottom"/>
            <w:hideMark/>
          </w:tcPr>
          <w:p w14:paraId="642CACB6" w14:textId="77777777" w:rsidR="00A21E9D" w:rsidRPr="00853884" w:rsidRDefault="00A21E9D" w:rsidP="002315E1">
            <w:pPr>
              <w:spacing w:after="0" w:line="240" w:lineRule="auto"/>
              <w:jc w:val="center"/>
              <w:rPr>
                <w:rFonts w:ascii="Arial Narrow" w:eastAsia="Times New Roman" w:hAnsi="Arial Narrow" w:cs="Arial"/>
                <w:b/>
                <w:bCs/>
                <w:sz w:val="16"/>
                <w:szCs w:val="16"/>
                <w:lang w:eastAsia="pt-BR"/>
              </w:rPr>
            </w:pPr>
            <w:r w:rsidRPr="00853884">
              <w:rPr>
                <w:rFonts w:ascii="Arial Narrow" w:eastAsia="Times New Roman" w:hAnsi="Arial Narrow" w:cs="Arial"/>
                <w:b/>
                <w:bCs/>
                <w:sz w:val="16"/>
                <w:szCs w:val="16"/>
                <w:lang w:eastAsia="pt-BR"/>
              </w:rPr>
              <w:t> </w:t>
            </w:r>
          </w:p>
        </w:tc>
        <w:tc>
          <w:tcPr>
            <w:tcW w:w="9714" w:type="dxa"/>
            <w:tcBorders>
              <w:top w:val="nil"/>
              <w:left w:val="nil"/>
              <w:bottom w:val="nil"/>
            </w:tcBorders>
            <w:shd w:val="clear" w:color="auto" w:fill="auto"/>
            <w:noWrap/>
            <w:vAlign w:val="bottom"/>
            <w:hideMark/>
          </w:tcPr>
          <w:p w14:paraId="20EAA420" w14:textId="77777777" w:rsidR="00A21E9D" w:rsidRPr="00853884" w:rsidRDefault="00A21E9D" w:rsidP="002315E1">
            <w:pPr>
              <w:spacing w:after="0" w:line="240" w:lineRule="auto"/>
              <w:rPr>
                <w:rFonts w:ascii="Arial Narrow" w:eastAsia="Times New Roman" w:hAnsi="Arial Narrow" w:cs="Arial"/>
                <w:b/>
                <w:bCs/>
                <w:sz w:val="16"/>
                <w:szCs w:val="16"/>
                <w:lang w:eastAsia="pt-BR"/>
              </w:rPr>
            </w:pPr>
            <w:r w:rsidRPr="00853884">
              <w:rPr>
                <w:rFonts w:ascii="Arial Narrow" w:eastAsia="Times New Roman" w:hAnsi="Arial Narrow" w:cs="Arial"/>
                <w:b/>
                <w:bCs/>
                <w:sz w:val="16"/>
                <w:szCs w:val="16"/>
                <w:lang w:eastAsia="pt-BR"/>
              </w:rPr>
              <w:t>VINCULADA</w:t>
            </w:r>
          </w:p>
        </w:tc>
        <w:tc>
          <w:tcPr>
            <w:tcW w:w="906" w:type="dxa"/>
            <w:tcBorders>
              <w:top w:val="nil"/>
              <w:bottom w:val="nil"/>
              <w:right w:val="single" w:sz="4" w:space="0" w:color="auto"/>
            </w:tcBorders>
            <w:shd w:val="clear" w:color="auto" w:fill="auto"/>
            <w:noWrap/>
            <w:vAlign w:val="bottom"/>
          </w:tcPr>
          <w:p w14:paraId="64A72994" w14:textId="77777777" w:rsidR="00A21E9D" w:rsidRPr="00853884" w:rsidRDefault="00A21E9D" w:rsidP="002315E1">
            <w:pPr>
              <w:spacing w:after="0" w:line="240" w:lineRule="auto"/>
              <w:jc w:val="center"/>
              <w:rPr>
                <w:rFonts w:ascii="Arial Narrow" w:eastAsia="Times New Roman" w:hAnsi="Arial Narrow" w:cs="Arial"/>
                <w:b/>
                <w:bCs/>
                <w:sz w:val="16"/>
                <w:szCs w:val="16"/>
                <w:lang w:eastAsia="pt-BR"/>
              </w:rPr>
            </w:pPr>
          </w:p>
        </w:tc>
        <w:tc>
          <w:tcPr>
            <w:tcW w:w="1309" w:type="dxa"/>
            <w:tcBorders>
              <w:top w:val="nil"/>
              <w:left w:val="nil"/>
              <w:bottom w:val="nil"/>
              <w:right w:val="single" w:sz="4" w:space="0" w:color="auto"/>
            </w:tcBorders>
            <w:shd w:val="clear" w:color="auto" w:fill="auto"/>
            <w:noWrap/>
            <w:vAlign w:val="bottom"/>
            <w:hideMark/>
          </w:tcPr>
          <w:p w14:paraId="7BF2F751" w14:textId="77777777" w:rsidR="00A21E9D" w:rsidRPr="00853884" w:rsidRDefault="00A21E9D" w:rsidP="002315E1">
            <w:pPr>
              <w:spacing w:after="0" w:line="240" w:lineRule="auto"/>
              <w:jc w:val="center"/>
              <w:rPr>
                <w:rFonts w:ascii="Arial Narrow" w:eastAsia="Times New Roman" w:hAnsi="Arial Narrow" w:cs="Arial"/>
                <w:b/>
                <w:bCs/>
                <w:sz w:val="16"/>
                <w:szCs w:val="16"/>
                <w:lang w:eastAsia="pt-BR"/>
              </w:rPr>
            </w:pPr>
            <w:r w:rsidRPr="00853884">
              <w:rPr>
                <w:rFonts w:ascii="Arial Narrow" w:eastAsia="Times New Roman" w:hAnsi="Arial Narrow" w:cs="Arial"/>
                <w:b/>
                <w:bCs/>
                <w:sz w:val="16"/>
                <w:szCs w:val="16"/>
                <w:lang w:eastAsia="pt-BR"/>
              </w:rPr>
              <w:t>SDF.D008</w:t>
            </w:r>
          </w:p>
        </w:tc>
        <w:tc>
          <w:tcPr>
            <w:tcW w:w="1520" w:type="dxa"/>
            <w:tcBorders>
              <w:top w:val="nil"/>
              <w:left w:val="nil"/>
              <w:bottom w:val="nil"/>
              <w:right w:val="single" w:sz="4" w:space="0" w:color="auto"/>
            </w:tcBorders>
            <w:shd w:val="clear" w:color="auto" w:fill="auto"/>
            <w:noWrap/>
            <w:vAlign w:val="bottom"/>
            <w:hideMark/>
          </w:tcPr>
          <w:p w14:paraId="3306D57D" w14:textId="77777777" w:rsidR="00A21E9D" w:rsidRPr="00853884" w:rsidRDefault="00A21E9D" w:rsidP="002315E1">
            <w:pPr>
              <w:spacing w:after="0" w:line="240" w:lineRule="auto"/>
              <w:jc w:val="center"/>
              <w:rPr>
                <w:rFonts w:ascii="Arial Narrow" w:eastAsia="Times New Roman" w:hAnsi="Arial Narrow" w:cs="Arial"/>
                <w:b/>
                <w:bCs/>
                <w:sz w:val="16"/>
                <w:szCs w:val="16"/>
                <w:lang w:eastAsia="pt-BR"/>
              </w:rPr>
            </w:pPr>
            <w:r w:rsidRPr="00853884">
              <w:rPr>
                <w:rFonts w:ascii="Arial Narrow" w:eastAsia="Times New Roman" w:hAnsi="Arial Narrow" w:cs="Arial"/>
                <w:b/>
                <w:bCs/>
                <w:sz w:val="16"/>
                <w:szCs w:val="16"/>
                <w:lang w:eastAsia="pt-BR"/>
              </w:rPr>
              <w:t>SDF.E008</w:t>
            </w:r>
          </w:p>
        </w:tc>
      </w:tr>
      <w:tr w:rsidR="00A21E9D" w:rsidRPr="00853884" w14:paraId="77507725" w14:textId="77777777" w:rsidTr="00155A88">
        <w:trPr>
          <w:trHeight w:val="255"/>
        </w:trPr>
        <w:tc>
          <w:tcPr>
            <w:tcW w:w="852" w:type="dxa"/>
            <w:tcBorders>
              <w:top w:val="nil"/>
              <w:left w:val="single" w:sz="4" w:space="0" w:color="auto"/>
              <w:bottom w:val="nil"/>
              <w:right w:val="single" w:sz="4" w:space="0" w:color="auto"/>
            </w:tcBorders>
            <w:shd w:val="clear" w:color="auto" w:fill="auto"/>
            <w:noWrap/>
            <w:vAlign w:val="bottom"/>
          </w:tcPr>
          <w:p w14:paraId="2A299F7F" w14:textId="77777777" w:rsidR="00A21E9D" w:rsidRPr="00853884" w:rsidRDefault="00A21E9D" w:rsidP="002315E1">
            <w:pPr>
              <w:spacing w:after="0" w:line="240" w:lineRule="auto"/>
              <w:jc w:val="center"/>
              <w:rPr>
                <w:rFonts w:ascii="Arial Narrow" w:eastAsia="Times New Roman" w:hAnsi="Arial Narrow" w:cs="Arial"/>
                <w:b/>
                <w:bCs/>
                <w:sz w:val="16"/>
                <w:szCs w:val="16"/>
                <w:lang w:eastAsia="pt-BR"/>
              </w:rPr>
            </w:pPr>
          </w:p>
        </w:tc>
        <w:tc>
          <w:tcPr>
            <w:tcW w:w="9714" w:type="dxa"/>
            <w:tcBorders>
              <w:top w:val="nil"/>
              <w:left w:val="nil"/>
              <w:bottom w:val="nil"/>
            </w:tcBorders>
            <w:shd w:val="clear" w:color="auto" w:fill="auto"/>
            <w:noWrap/>
            <w:vAlign w:val="bottom"/>
          </w:tcPr>
          <w:p w14:paraId="19D88DE7" w14:textId="77777777" w:rsidR="00A21E9D" w:rsidRPr="00853884" w:rsidRDefault="00A21E9D" w:rsidP="002315E1">
            <w:pPr>
              <w:spacing w:after="0" w:line="240" w:lineRule="auto"/>
              <w:rPr>
                <w:rFonts w:ascii="Arial Narrow" w:eastAsia="Times New Roman" w:hAnsi="Arial Narrow" w:cs="Arial"/>
                <w:b/>
                <w:bCs/>
                <w:sz w:val="16"/>
                <w:szCs w:val="16"/>
                <w:lang w:eastAsia="pt-BR"/>
              </w:rPr>
            </w:pPr>
            <w:r w:rsidRPr="00853884">
              <w:rPr>
                <w:rFonts w:ascii="Arial Narrow" w:eastAsia="Times New Roman" w:hAnsi="Arial Narrow" w:cs="Arial"/>
                <w:b/>
                <w:bCs/>
                <w:sz w:val="16"/>
                <w:szCs w:val="16"/>
                <w:lang w:eastAsia="pt-BR"/>
              </w:rPr>
              <w:t>RECURSOS VINCULADOS À EDUCAÇÃO</w:t>
            </w:r>
          </w:p>
        </w:tc>
        <w:tc>
          <w:tcPr>
            <w:tcW w:w="906" w:type="dxa"/>
            <w:tcBorders>
              <w:top w:val="nil"/>
              <w:bottom w:val="nil"/>
              <w:right w:val="single" w:sz="4" w:space="0" w:color="auto"/>
            </w:tcBorders>
            <w:shd w:val="clear" w:color="auto" w:fill="auto"/>
            <w:noWrap/>
            <w:vAlign w:val="bottom"/>
          </w:tcPr>
          <w:p w14:paraId="23C88454" w14:textId="77777777" w:rsidR="00A21E9D" w:rsidRPr="00853884" w:rsidRDefault="00A21E9D" w:rsidP="002315E1">
            <w:pPr>
              <w:spacing w:after="0" w:line="240" w:lineRule="auto"/>
              <w:jc w:val="center"/>
              <w:rPr>
                <w:rFonts w:ascii="Arial Narrow" w:eastAsia="Times New Roman" w:hAnsi="Arial Narrow" w:cs="Arial"/>
                <w:b/>
                <w:bCs/>
                <w:sz w:val="16"/>
                <w:szCs w:val="16"/>
                <w:lang w:eastAsia="pt-BR"/>
              </w:rPr>
            </w:pPr>
          </w:p>
        </w:tc>
        <w:tc>
          <w:tcPr>
            <w:tcW w:w="1309" w:type="dxa"/>
            <w:tcBorders>
              <w:top w:val="nil"/>
              <w:left w:val="nil"/>
              <w:bottom w:val="nil"/>
              <w:right w:val="single" w:sz="4" w:space="0" w:color="auto"/>
            </w:tcBorders>
            <w:shd w:val="clear" w:color="auto" w:fill="auto"/>
            <w:noWrap/>
            <w:vAlign w:val="bottom"/>
          </w:tcPr>
          <w:p w14:paraId="5E8940D6" w14:textId="77777777" w:rsidR="00A21E9D" w:rsidRPr="00853884" w:rsidRDefault="00A21E9D" w:rsidP="002315E1">
            <w:pPr>
              <w:spacing w:after="0" w:line="240" w:lineRule="auto"/>
              <w:jc w:val="center"/>
              <w:rPr>
                <w:rFonts w:ascii="Arial Narrow" w:eastAsia="Times New Roman" w:hAnsi="Arial Narrow" w:cs="Arial"/>
                <w:b/>
                <w:bCs/>
                <w:sz w:val="16"/>
                <w:szCs w:val="16"/>
                <w:lang w:eastAsia="pt-BR"/>
              </w:rPr>
            </w:pPr>
            <w:r w:rsidRPr="00853884">
              <w:rPr>
                <w:rFonts w:ascii="Arial Narrow" w:eastAsia="Times New Roman" w:hAnsi="Arial Narrow" w:cs="Arial"/>
                <w:b/>
                <w:bCs/>
                <w:sz w:val="16"/>
                <w:szCs w:val="16"/>
                <w:lang w:eastAsia="pt-BR"/>
              </w:rPr>
              <w:t>SDF.D077</w:t>
            </w:r>
          </w:p>
        </w:tc>
        <w:tc>
          <w:tcPr>
            <w:tcW w:w="1520" w:type="dxa"/>
            <w:tcBorders>
              <w:top w:val="nil"/>
              <w:left w:val="nil"/>
              <w:bottom w:val="nil"/>
              <w:right w:val="single" w:sz="4" w:space="0" w:color="auto"/>
            </w:tcBorders>
            <w:shd w:val="clear" w:color="auto" w:fill="auto"/>
            <w:noWrap/>
            <w:vAlign w:val="bottom"/>
          </w:tcPr>
          <w:p w14:paraId="52894608" w14:textId="77777777" w:rsidR="00A21E9D" w:rsidRPr="00853884" w:rsidRDefault="00A21E9D" w:rsidP="002315E1">
            <w:pPr>
              <w:spacing w:after="0" w:line="240" w:lineRule="auto"/>
              <w:jc w:val="center"/>
              <w:rPr>
                <w:rFonts w:ascii="Arial Narrow" w:eastAsia="Times New Roman" w:hAnsi="Arial Narrow" w:cs="Arial"/>
                <w:b/>
                <w:bCs/>
                <w:sz w:val="16"/>
                <w:szCs w:val="16"/>
                <w:lang w:eastAsia="pt-BR"/>
              </w:rPr>
            </w:pPr>
            <w:r w:rsidRPr="00853884">
              <w:rPr>
                <w:rFonts w:ascii="Arial Narrow" w:eastAsia="Times New Roman" w:hAnsi="Arial Narrow" w:cs="Arial"/>
                <w:b/>
                <w:bCs/>
                <w:sz w:val="16"/>
                <w:szCs w:val="16"/>
                <w:lang w:eastAsia="pt-BR"/>
              </w:rPr>
              <w:t>SDF.E077</w:t>
            </w:r>
          </w:p>
        </w:tc>
      </w:tr>
      <w:tr w:rsidR="00A21E9D" w:rsidRPr="00853884" w14:paraId="2902DC39" w14:textId="77777777" w:rsidTr="00155A88">
        <w:trPr>
          <w:trHeight w:val="255"/>
        </w:trPr>
        <w:tc>
          <w:tcPr>
            <w:tcW w:w="852" w:type="dxa"/>
            <w:tcBorders>
              <w:top w:val="nil"/>
              <w:left w:val="single" w:sz="4" w:space="0" w:color="auto"/>
              <w:bottom w:val="nil"/>
              <w:right w:val="single" w:sz="4" w:space="0" w:color="auto"/>
            </w:tcBorders>
            <w:shd w:val="clear" w:color="auto" w:fill="auto"/>
            <w:noWrap/>
            <w:vAlign w:val="bottom"/>
            <w:hideMark/>
          </w:tcPr>
          <w:p w14:paraId="64F7C944"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111</w:t>
            </w:r>
          </w:p>
        </w:tc>
        <w:tc>
          <w:tcPr>
            <w:tcW w:w="9714" w:type="dxa"/>
            <w:tcBorders>
              <w:top w:val="nil"/>
              <w:left w:val="nil"/>
              <w:bottom w:val="nil"/>
            </w:tcBorders>
            <w:shd w:val="clear" w:color="auto" w:fill="auto"/>
            <w:noWrap/>
            <w:vAlign w:val="bottom"/>
            <w:hideMark/>
          </w:tcPr>
          <w:p w14:paraId="10F1153D" w14:textId="77777777" w:rsidR="00A21E9D" w:rsidRPr="00853884" w:rsidRDefault="00A21E9D"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RECEITA DE IMPOSTOS E DE TRANSFERÊNCIA DE IMPOSTOS - EDUCAÇÃO</w:t>
            </w:r>
          </w:p>
        </w:tc>
        <w:tc>
          <w:tcPr>
            <w:tcW w:w="906" w:type="dxa"/>
            <w:tcBorders>
              <w:top w:val="nil"/>
              <w:bottom w:val="nil"/>
              <w:right w:val="single" w:sz="4" w:space="0" w:color="auto"/>
            </w:tcBorders>
            <w:shd w:val="clear" w:color="auto" w:fill="auto"/>
            <w:noWrap/>
            <w:vAlign w:val="bottom"/>
          </w:tcPr>
          <w:p w14:paraId="0BC88F58"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hideMark/>
          </w:tcPr>
          <w:p w14:paraId="282FCFB4"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SDF.D009</w:t>
            </w:r>
          </w:p>
        </w:tc>
        <w:tc>
          <w:tcPr>
            <w:tcW w:w="1520" w:type="dxa"/>
            <w:tcBorders>
              <w:top w:val="nil"/>
              <w:left w:val="nil"/>
              <w:bottom w:val="nil"/>
              <w:right w:val="single" w:sz="4" w:space="0" w:color="auto"/>
            </w:tcBorders>
            <w:shd w:val="clear" w:color="auto" w:fill="auto"/>
            <w:noWrap/>
            <w:vAlign w:val="bottom"/>
            <w:hideMark/>
          </w:tcPr>
          <w:p w14:paraId="4D3FF0BA"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SDF.E009</w:t>
            </w:r>
          </w:p>
        </w:tc>
      </w:tr>
      <w:tr w:rsidR="00A21E9D" w:rsidRPr="00853884" w14:paraId="5F565897" w14:textId="77777777" w:rsidTr="00155A88">
        <w:trPr>
          <w:trHeight w:val="255"/>
        </w:trPr>
        <w:tc>
          <w:tcPr>
            <w:tcW w:w="852" w:type="dxa"/>
            <w:tcBorders>
              <w:top w:val="nil"/>
              <w:left w:val="single" w:sz="4" w:space="0" w:color="auto"/>
              <w:bottom w:val="nil"/>
              <w:right w:val="single" w:sz="4" w:space="0" w:color="auto"/>
            </w:tcBorders>
            <w:shd w:val="clear" w:color="auto" w:fill="auto"/>
            <w:noWrap/>
            <w:vAlign w:val="bottom"/>
          </w:tcPr>
          <w:p w14:paraId="6DC74993"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150</w:t>
            </w:r>
          </w:p>
        </w:tc>
        <w:tc>
          <w:tcPr>
            <w:tcW w:w="9714" w:type="dxa"/>
            <w:tcBorders>
              <w:top w:val="nil"/>
              <w:left w:val="nil"/>
              <w:bottom w:val="nil"/>
            </w:tcBorders>
            <w:shd w:val="clear" w:color="auto" w:fill="auto"/>
            <w:noWrap/>
            <w:vAlign w:val="bottom"/>
          </w:tcPr>
          <w:p w14:paraId="115E8890" w14:textId="77777777" w:rsidR="00A21E9D" w:rsidRPr="00853884" w:rsidRDefault="00A21E9D"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 xml:space="preserve">RECEITA DE IMPOSTOS E DE TRANSF. DE IMP.  – EDUCAÇÃO -  REMUN. DE DEPÓSITOS BANCÁRIOS </w:t>
            </w:r>
          </w:p>
        </w:tc>
        <w:tc>
          <w:tcPr>
            <w:tcW w:w="906" w:type="dxa"/>
            <w:tcBorders>
              <w:top w:val="nil"/>
              <w:bottom w:val="nil"/>
              <w:right w:val="single" w:sz="4" w:space="0" w:color="auto"/>
            </w:tcBorders>
            <w:shd w:val="clear" w:color="auto" w:fill="auto"/>
            <w:noWrap/>
            <w:vAlign w:val="bottom"/>
          </w:tcPr>
          <w:p w14:paraId="72A9AF09"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tcPr>
          <w:p w14:paraId="72ACEB58"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SDF.D012</w:t>
            </w:r>
          </w:p>
        </w:tc>
        <w:tc>
          <w:tcPr>
            <w:tcW w:w="1520" w:type="dxa"/>
            <w:tcBorders>
              <w:top w:val="nil"/>
              <w:left w:val="nil"/>
              <w:bottom w:val="nil"/>
              <w:right w:val="single" w:sz="4" w:space="0" w:color="auto"/>
            </w:tcBorders>
            <w:shd w:val="clear" w:color="auto" w:fill="auto"/>
            <w:noWrap/>
            <w:vAlign w:val="bottom"/>
          </w:tcPr>
          <w:p w14:paraId="6ECD9191"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SDF.E012</w:t>
            </w:r>
          </w:p>
        </w:tc>
      </w:tr>
      <w:tr w:rsidR="00A21E9D" w:rsidRPr="00853884" w14:paraId="29255CE1" w14:textId="77777777" w:rsidTr="00155A88">
        <w:trPr>
          <w:trHeight w:val="255"/>
        </w:trPr>
        <w:tc>
          <w:tcPr>
            <w:tcW w:w="852" w:type="dxa"/>
            <w:tcBorders>
              <w:top w:val="nil"/>
              <w:left w:val="single" w:sz="4" w:space="0" w:color="auto"/>
              <w:bottom w:val="nil"/>
              <w:right w:val="single" w:sz="4" w:space="0" w:color="auto"/>
            </w:tcBorders>
            <w:shd w:val="clear" w:color="auto" w:fill="auto"/>
            <w:noWrap/>
            <w:vAlign w:val="bottom"/>
            <w:hideMark/>
          </w:tcPr>
          <w:p w14:paraId="0E918EDF"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113</w:t>
            </w:r>
          </w:p>
        </w:tc>
        <w:tc>
          <w:tcPr>
            <w:tcW w:w="9714" w:type="dxa"/>
            <w:tcBorders>
              <w:top w:val="nil"/>
              <w:left w:val="nil"/>
              <w:bottom w:val="nil"/>
            </w:tcBorders>
            <w:shd w:val="clear" w:color="auto" w:fill="auto"/>
            <w:noWrap/>
            <w:vAlign w:val="bottom"/>
            <w:hideMark/>
          </w:tcPr>
          <w:p w14:paraId="0122B7B7" w14:textId="33523450" w:rsidR="00A21E9D" w:rsidRPr="00853884" w:rsidRDefault="00A21E9D"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 xml:space="preserve">TRANSFERÊNCIAS DO FUNDEB </w:t>
            </w:r>
            <w:r w:rsidR="00EB4F89" w:rsidRPr="00EB4F89">
              <w:rPr>
                <w:rFonts w:ascii="Arial Narrow" w:eastAsia="Times New Roman" w:hAnsi="Arial Narrow" w:cs="Arial"/>
                <w:color w:val="0070C0"/>
                <w:sz w:val="16"/>
                <w:szCs w:val="16"/>
                <w:lang w:eastAsia="pt-BR"/>
              </w:rPr>
              <w:t xml:space="preserve">– IMPOSTOS 30% </w:t>
            </w:r>
            <w:r w:rsidRPr="00EB4F89">
              <w:rPr>
                <w:rFonts w:ascii="Arial Narrow" w:eastAsia="Times New Roman" w:hAnsi="Arial Narrow" w:cs="Arial"/>
                <w:strike/>
                <w:color w:val="FF0000"/>
                <w:sz w:val="16"/>
                <w:szCs w:val="16"/>
                <w:lang w:eastAsia="pt-BR"/>
              </w:rPr>
              <w:t>(40%)</w:t>
            </w:r>
          </w:p>
        </w:tc>
        <w:tc>
          <w:tcPr>
            <w:tcW w:w="906" w:type="dxa"/>
            <w:tcBorders>
              <w:top w:val="nil"/>
              <w:bottom w:val="nil"/>
              <w:right w:val="single" w:sz="4" w:space="0" w:color="auto"/>
            </w:tcBorders>
            <w:shd w:val="clear" w:color="auto" w:fill="auto"/>
            <w:noWrap/>
            <w:vAlign w:val="bottom"/>
          </w:tcPr>
          <w:p w14:paraId="2BEE8B86"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hideMark/>
          </w:tcPr>
          <w:p w14:paraId="796B5551"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SDF.D010</w:t>
            </w:r>
          </w:p>
        </w:tc>
        <w:tc>
          <w:tcPr>
            <w:tcW w:w="1520" w:type="dxa"/>
            <w:tcBorders>
              <w:top w:val="nil"/>
              <w:left w:val="nil"/>
              <w:bottom w:val="nil"/>
              <w:right w:val="single" w:sz="4" w:space="0" w:color="auto"/>
            </w:tcBorders>
            <w:shd w:val="clear" w:color="auto" w:fill="auto"/>
            <w:noWrap/>
            <w:vAlign w:val="bottom"/>
            <w:hideMark/>
          </w:tcPr>
          <w:p w14:paraId="25B4EE44"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SDF.E010</w:t>
            </w:r>
          </w:p>
        </w:tc>
      </w:tr>
      <w:tr w:rsidR="00A21E9D" w:rsidRPr="00853884" w14:paraId="5A8F3C4C" w14:textId="77777777" w:rsidTr="00155A88">
        <w:trPr>
          <w:trHeight w:val="255"/>
        </w:trPr>
        <w:tc>
          <w:tcPr>
            <w:tcW w:w="852" w:type="dxa"/>
            <w:tcBorders>
              <w:top w:val="nil"/>
              <w:left w:val="single" w:sz="4" w:space="0" w:color="auto"/>
              <w:bottom w:val="nil"/>
              <w:right w:val="single" w:sz="4" w:space="0" w:color="auto"/>
            </w:tcBorders>
            <w:shd w:val="clear" w:color="auto" w:fill="auto"/>
            <w:noWrap/>
            <w:vAlign w:val="bottom"/>
            <w:hideMark/>
          </w:tcPr>
          <w:p w14:paraId="1968E3BB"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112</w:t>
            </w:r>
          </w:p>
        </w:tc>
        <w:tc>
          <w:tcPr>
            <w:tcW w:w="9714" w:type="dxa"/>
            <w:tcBorders>
              <w:top w:val="nil"/>
              <w:left w:val="nil"/>
              <w:bottom w:val="nil"/>
            </w:tcBorders>
            <w:shd w:val="clear" w:color="auto" w:fill="auto"/>
            <w:noWrap/>
            <w:vAlign w:val="bottom"/>
            <w:hideMark/>
          </w:tcPr>
          <w:p w14:paraId="67F5350E" w14:textId="4B922728" w:rsidR="00A21E9D" w:rsidRPr="00853884" w:rsidRDefault="00A21E9D"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 xml:space="preserve">TRANSFERÊNCIAS DO FUNDEB </w:t>
            </w:r>
            <w:r w:rsidR="00EB4F89" w:rsidRPr="00EB4F89">
              <w:rPr>
                <w:rFonts w:ascii="Arial Narrow" w:eastAsia="Times New Roman" w:hAnsi="Arial Narrow" w:cs="Arial"/>
                <w:color w:val="0070C0"/>
                <w:sz w:val="16"/>
                <w:szCs w:val="16"/>
                <w:lang w:eastAsia="pt-BR"/>
              </w:rPr>
              <w:t xml:space="preserve">– IMPOSTOS 70% </w:t>
            </w:r>
            <w:r w:rsidRPr="00EB4F89">
              <w:rPr>
                <w:rFonts w:ascii="Arial Narrow" w:eastAsia="Times New Roman" w:hAnsi="Arial Narrow" w:cs="Arial"/>
                <w:strike/>
                <w:color w:val="FF0000"/>
                <w:sz w:val="16"/>
                <w:szCs w:val="16"/>
                <w:lang w:eastAsia="pt-BR"/>
              </w:rPr>
              <w:t>(60%)</w:t>
            </w:r>
          </w:p>
        </w:tc>
        <w:tc>
          <w:tcPr>
            <w:tcW w:w="906" w:type="dxa"/>
            <w:tcBorders>
              <w:top w:val="nil"/>
              <w:bottom w:val="nil"/>
              <w:right w:val="single" w:sz="4" w:space="0" w:color="auto"/>
            </w:tcBorders>
            <w:shd w:val="clear" w:color="auto" w:fill="auto"/>
            <w:noWrap/>
            <w:vAlign w:val="bottom"/>
          </w:tcPr>
          <w:p w14:paraId="450135CC"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hideMark/>
          </w:tcPr>
          <w:p w14:paraId="5A79B989"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SDF.D011</w:t>
            </w:r>
          </w:p>
        </w:tc>
        <w:tc>
          <w:tcPr>
            <w:tcW w:w="1520" w:type="dxa"/>
            <w:tcBorders>
              <w:top w:val="nil"/>
              <w:left w:val="nil"/>
              <w:bottom w:val="nil"/>
              <w:right w:val="single" w:sz="4" w:space="0" w:color="auto"/>
            </w:tcBorders>
            <w:shd w:val="clear" w:color="auto" w:fill="auto"/>
            <w:noWrap/>
            <w:vAlign w:val="bottom"/>
            <w:hideMark/>
          </w:tcPr>
          <w:p w14:paraId="0ACFA23A"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SDF.E011</w:t>
            </w:r>
          </w:p>
        </w:tc>
      </w:tr>
      <w:tr w:rsidR="00A21E9D" w:rsidRPr="00853884" w14:paraId="08EF5F4A" w14:textId="77777777" w:rsidTr="00155A88">
        <w:trPr>
          <w:trHeight w:val="255"/>
        </w:trPr>
        <w:tc>
          <w:tcPr>
            <w:tcW w:w="852" w:type="dxa"/>
            <w:tcBorders>
              <w:top w:val="nil"/>
              <w:left w:val="single" w:sz="4" w:space="0" w:color="auto"/>
              <w:bottom w:val="nil"/>
              <w:right w:val="single" w:sz="4" w:space="0" w:color="auto"/>
            </w:tcBorders>
            <w:shd w:val="clear" w:color="auto" w:fill="auto"/>
            <w:noWrap/>
            <w:vAlign w:val="bottom"/>
          </w:tcPr>
          <w:p w14:paraId="44091669"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151</w:t>
            </w:r>
          </w:p>
        </w:tc>
        <w:tc>
          <w:tcPr>
            <w:tcW w:w="9714" w:type="dxa"/>
            <w:tcBorders>
              <w:top w:val="nil"/>
              <w:left w:val="nil"/>
              <w:bottom w:val="nil"/>
            </w:tcBorders>
            <w:shd w:val="clear" w:color="auto" w:fill="auto"/>
            <w:noWrap/>
            <w:vAlign w:val="bottom"/>
          </w:tcPr>
          <w:p w14:paraId="2BAD9C14" w14:textId="0CB9DBC5" w:rsidR="00A21E9D" w:rsidRPr="00853884" w:rsidRDefault="00A21E9D"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 xml:space="preserve">TRANSFERÊNCIAS DO FUNDEB – REMUNERAÇÃO DE DEPÓSITOS BANCÁRIOS </w:t>
            </w:r>
            <w:r w:rsidRPr="00202F2D">
              <w:rPr>
                <w:rFonts w:ascii="Arial Narrow" w:eastAsia="Times New Roman" w:hAnsi="Arial Narrow" w:cs="Arial"/>
                <w:color w:val="0070C0"/>
                <w:sz w:val="16"/>
                <w:szCs w:val="16"/>
                <w:lang w:eastAsia="pt-BR"/>
              </w:rPr>
              <w:t>(</w:t>
            </w:r>
            <w:r w:rsidR="00202F2D" w:rsidRPr="00202F2D">
              <w:rPr>
                <w:rFonts w:ascii="Arial Narrow" w:eastAsia="Times New Roman" w:hAnsi="Arial Narrow" w:cs="Arial"/>
                <w:color w:val="0070C0"/>
                <w:sz w:val="16"/>
                <w:szCs w:val="16"/>
                <w:lang w:eastAsia="pt-BR"/>
              </w:rPr>
              <w:t xml:space="preserve">30% + 70%) </w:t>
            </w:r>
            <w:r w:rsidR="00202F2D" w:rsidRPr="00202F2D">
              <w:rPr>
                <w:rFonts w:ascii="Arial Narrow" w:eastAsia="Times New Roman" w:hAnsi="Arial Narrow" w:cs="Arial"/>
                <w:strike/>
                <w:color w:val="FF0000"/>
                <w:sz w:val="16"/>
                <w:szCs w:val="16"/>
                <w:lang w:eastAsia="pt-BR"/>
              </w:rPr>
              <w:t>(</w:t>
            </w:r>
            <w:r w:rsidRPr="00202F2D">
              <w:rPr>
                <w:rFonts w:ascii="Arial Narrow" w:eastAsia="Times New Roman" w:hAnsi="Arial Narrow" w:cs="Arial"/>
                <w:strike/>
                <w:color w:val="FF0000"/>
                <w:sz w:val="16"/>
                <w:szCs w:val="16"/>
                <w:lang w:eastAsia="pt-BR"/>
              </w:rPr>
              <w:t>40% + 60%)</w:t>
            </w:r>
          </w:p>
        </w:tc>
        <w:tc>
          <w:tcPr>
            <w:tcW w:w="906" w:type="dxa"/>
            <w:tcBorders>
              <w:top w:val="nil"/>
              <w:bottom w:val="nil"/>
              <w:right w:val="single" w:sz="4" w:space="0" w:color="auto"/>
            </w:tcBorders>
            <w:shd w:val="clear" w:color="auto" w:fill="auto"/>
            <w:noWrap/>
            <w:vAlign w:val="bottom"/>
          </w:tcPr>
          <w:p w14:paraId="3E496E40"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tcPr>
          <w:p w14:paraId="221775ED" w14:textId="77777777" w:rsidR="00A21E9D" w:rsidRPr="00853884" w:rsidRDefault="00A21E9D" w:rsidP="002315E1">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SDF.D062</w:t>
            </w:r>
          </w:p>
        </w:tc>
        <w:tc>
          <w:tcPr>
            <w:tcW w:w="1520" w:type="dxa"/>
            <w:tcBorders>
              <w:top w:val="nil"/>
              <w:left w:val="nil"/>
              <w:bottom w:val="nil"/>
              <w:right w:val="single" w:sz="4" w:space="0" w:color="auto"/>
            </w:tcBorders>
            <w:shd w:val="clear" w:color="auto" w:fill="auto"/>
            <w:noWrap/>
            <w:vAlign w:val="bottom"/>
          </w:tcPr>
          <w:p w14:paraId="7913D56B" w14:textId="77777777" w:rsidR="00A21E9D" w:rsidRPr="00853884" w:rsidRDefault="00A21E9D" w:rsidP="002315E1">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SDF.E062</w:t>
            </w:r>
          </w:p>
        </w:tc>
      </w:tr>
      <w:tr w:rsidR="00A21E9D" w:rsidRPr="00853884" w14:paraId="5DFD00C4" w14:textId="77777777" w:rsidTr="00155A88">
        <w:trPr>
          <w:trHeight w:val="255"/>
        </w:trPr>
        <w:tc>
          <w:tcPr>
            <w:tcW w:w="852" w:type="dxa"/>
            <w:tcBorders>
              <w:top w:val="nil"/>
              <w:left w:val="single" w:sz="4" w:space="0" w:color="auto"/>
              <w:bottom w:val="nil"/>
              <w:right w:val="single" w:sz="4" w:space="0" w:color="auto"/>
            </w:tcBorders>
            <w:shd w:val="clear" w:color="auto" w:fill="auto"/>
            <w:noWrap/>
            <w:vAlign w:val="bottom"/>
          </w:tcPr>
          <w:p w14:paraId="62273F45"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115</w:t>
            </w:r>
          </w:p>
        </w:tc>
        <w:tc>
          <w:tcPr>
            <w:tcW w:w="9714" w:type="dxa"/>
            <w:tcBorders>
              <w:top w:val="nil"/>
              <w:left w:val="nil"/>
              <w:bottom w:val="nil"/>
            </w:tcBorders>
            <w:shd w:val="clear" w:color="auto" w:fill="auto"/>
            <w:noWrap/>
            <w:vAlign w:val="bottom"/>
          </w:tcPr>
          <w:p w14:paraId="16B32C69" w14:textId="6F992276" w:rsidR="00A21E9D" w:rsidRPr="00853884" w:rsidRDefault="00A21E9D"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 xml:space="preserve">TRANSFERÊNCIAS DO FUNDEB </w:t>
            </w:r>
            <w:r w:rsidR="00047A17" w:rsidRPr="00047A17">
              <w:rPr>
                <w:rFonts w:ascii="Arial Narrow" w:eastAsia="Times New Roman" w:hAnsi="Arial Narrow" w:cs="Arial"/>
                <w:color w:val="0070C0"/>
                <w:sz w:val="16"/>
                <w:szCs w:val="16"/>
                <w:lang w:eastAsia="pt-BR"/>
              </w:rPr>
              <w:t xml:space="preserve">30% </w:t>
            </w:r>
            <w:r w:rsidRPr="00047A17">
              <w:rPr>
                <w:rFonts w:ascii="Arial Narrow" w:eastAsia="Times New Roman" w:hAnsi="Arial Narrow" w:cs="Arial"/>
                <w:strike/>
                <w:color w:val="FF0000"/>
                <w:sz w:val="16"/>
                <w:szCs w:val="16"/>
                <w:lang w:eastAsia="pt-BR"/>
              </w:rPr>
              <w:t>40%</w:t>
            </w:r>
            <w:r w:rsidRPr="00047A17">
              <w:rPr>
                <w:rFonts w:ascii="Arial Narrow" w:eastAsia="Times New Roman" w:hAnsi="Arial Narrow" w:cs="Arial"/>
                <w:color w:val="FF0000"/>
                <w:sz w:val="16"/>
                <w:szCs w:val="16"/>
                <w:lang w:eastAsia="pt-BR"/>
              </w:rPr>
              <w:t xml:space="preserve"> </w:t>
            </w:r>
            <w:r w:rsidRPr="00853884">
              <w:rPr>
                <w:rFonts w:ascii="Arial Narrow" w:eastAsia="Times New Roman" w:hAnsi="Arial Narrow" w:cs="Arial"/>
                <w:sz w:val="16"/>
                <w:szCs w:val="16"/>
                <w:lang w:eastAsia="pt-BR"/>
              </w:rPr>
              <w:t>- COMPLEMENTAÇÃO DA UNIÃO</w:t>
            </w:r>
            <w:r w:rsidR="00047A17">
              <w:rPr>
                <w:rFonts w:ascii="Arial Narrow" w:eastAsia="Times New Roman" w:hAnsi="Arial Narrow" w:cs="Arial"/>
                <w:sz w:val="16"/>
                <w:szCs w:val="16"/>
                <w:lang w:eastAsia="pt-BR"/>
              </w:rPr>
              <w:t xml:space="preserve"> </w:t>
            </w:r>
            <w:r w:rsidR="00047A17" w:rsidRPr="00047A17">
              <w:rPr>
                <w:rFonts w:ascii="Arial Narrow" w:eastAsia="Times New Roman" w:hAnsi="Arial Narrow" w:cs="Arial"/>
                <w:color w:val="0070C0"/>
                <w:sz w:val="16"/>
                <w:szCs w:val="16"/>
                <w:lang w:eastAsia="pt-BR"/>
              </w:rPr>
              <w:t>– VAAF</w:t>
            </w:r>
          </w:p>
        </w:tc>
        <w:tc>
          <w:tcPr>
            <w:tcW w:w="906" w:type="dxa"/>
            <w:tcBorders>
              <w:top w:val="nil"/>
              <w:bottom w:val="nil"/>
              <w:right w:val="single" w:sz="4" w:space="0" w:color="auto"/>
            </w:tcBorders>
            <w:shd w:val="clear" w:color="auto" w:fill="auto"/>
            <w:noWrap/>
            <w:vAlign w:val="bottom"/>
          </w:tcPr>
          <w:p w14:paraId="72BB72A9"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tcPr>
          <w:p w14:paraId="1C2AB848" w14:textId="77777777" w:rsidR="00A21E9D" w:rsidRPr="00853884" w:rsidRDefault="00A21E9D" w:rsidP="002315E1">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SDF.D048</w:t>
            </w:r>
          </w:p>
        </w:tc>
        <w:tc>
          <w:tcPr>
            <w:tcW w:w="1520" w:type="dxa"/>
            <w:tcBorders>
              <w:top w:val="nil"/>
              <w:left w:val="nil"/>
              <w:bottom w:val="nil"/>
              <w:right w:val="single" w:sz="4" w:space="0" w:color="auto"/>
            </w:tcBorders>
            <w:shd w:val="clear" w:color="auto" w:fill="auto"/>
            <w:noWrap/>
            <w:vAlign w:val="bottom"/>
          </w:tcPr>
          <w:p w14:paraId="2DEC5170" w14:textId="77777777" w:rsidR="00A21E9D" w:rsidRPr="00853884" w:rsidRDefault="00A21E9D" w:rsidP="002315E1">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SDF.E048</w:t>
            </w:r>
          </w:p>
        </w:tc>
      </w:tr>
      <w:tr w:rsidR="00A21E9D" w:rsidRPr="00853884" w14:paraId="64581DD1" w14:textId="77777777" w:rsidTr="00155A88">
        <w:trPr>
          <w:trHeight w:val="255"/>
        </w:trPr>
        <w:tc>
          <w:tcPr>
            <w:tcW w:w="852" w:type="dxa"/>
            <w:tcBorders>
              <w:top w:val="nil"/>
              <w:left w:val="single" w:sz="4" w:space="0" w:color="auto"/>
              <w:bottom w:val="nil"/>
              <w:right w:val="single" w:sz="4" w:space="0" w:color="auto"/>
            </w:tcBorders>
            <w:shd w:val="clear" w:color="auto" w:fill="auto"/>
            <w:noWrap/>
            <w:vAlign w:val="bottom"/>
          </w:tcPr>
          <w:p w14:paraId="4E133931"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Calibri" w:hAnsi="Arial Narrow" w:cs="Arial"/>
                <w:sz w:val="16"/>
                <w:szCs w:val="16"/>
              </w:rPr>
              <w:t>114</w:t>
            </w:r>
          </w:p>
        </w:tc>
        <w:tc>
          <w:tcPr>
            <w:tcW w:w="9714" w:type="dxa"/>
            <w:tcBorders>
              <w:top w:val="nil"/>
              <w:left w:val="nil"/>
              <w:bottom w:val="nil"/>
            </w:tcBorders>
            <w:shd w:val="clear" w:color="auto" w:fill="auto"/>
            <w:noWrap/>
            <w:vAlign w:val="bottom"/>
          </w:tcPr>
          <w:p w14:paraId="5285EC69" w14:textId="58B42F62" w:rsidR="00A21E9D" w:rsidRPr="00853884" w:rsidRDefault="00A21E9D" w:rsidP="002315E1">
            <w:pPr>
              <w:spacing w:after="0" w:line="240" w:lineRule="auto"/>
              <w:rPr>
                <w:rFonts w:ascii="Arial Narrow" w:eastAsia="Times New Roman" w:hAnsi="Arial Narrow" w:cs="Arial"/>
                <w:sz w:val="16"/>
                <w:szCs w:val="16"/>
                <w:lang w:eastAsia="pt-BR"/>
              </w:rPr>
            </w:pPr>
            <w:r w:rsidRPr="00853884">
              <w:rPr>
                <w:rFonts w:ascii="Arial Narrow" w:eastAsia="Calibri" w:hAnsi="Arial Narrow" w:cs="Arial"/>
                <w:sz w:val="16"/>
                <w:szCs w:val="16"/>
              </w:rPr>
              <w:t>TRANSFERÊNCIAS DO FUNDEB</w:t>
            </w:r>
            <w:r w:rsidR="00047A17">
              <w:rPr>
                <w:rFonts w:ascii="Arial Narrow" w:eastAsia="Calibri" w:hAnsi="Arial Narrow" w:cs="Arial"/>
                <w:sz w:val="16"/>
                <w:szCs w:val="16"/>
              </w:rPr>
              <w:t xml:space="preserve"> </w:t>
            </w:r>
            <w:r w:rsidR="00047A17" w:rsidRPr="00047A17">
              <w:rPr>
                <w:rFonts w:ascii="Arial Narrow" w:eastAsia="Calibri" w:hAnsi="Arial Narrow" w:cs="Arial"/>
                <w:color w:val="0070C0"/>
                <w:sz w:val="16"/>
                <w:szCs w:val="16"/>
              </w:rPr>
              <w:t>70%</w:t>
            </w:r>
            <w:r w:rsidR="00047A17">
              <w:rPr>
                <w:rFonts w:ascii="Arial Narrow" w:eastAsia="Calibri" w:hAnsi="Arial Narrow" w:cs="Arial"/>
                <w:sz w:val="16"/>
                <w:szCs w:val="16"/>
              </w:rPr>
              <w:t xml:space="preserve"> </w:t>
            </w:r>
            <w:r w:rsidRPr="00853884">
              <w:rPr>
                <w:rFonts w:ascii="Arial Narrow" w:eastAsia="Calibri" w:hAnsi="Arial Narrow" w:cs="Arial"/>
                <w:sz w:val="16"/>
                <w:szCs w:val="16"/>
              </w:rPr>
              <w:t xml:space="preserve"> </w:t>
            </w:r>
            <w:r w:rsidRPr="00047A17">
              <w:rPr>
                <w:rFonts w:ascii="Arial Narrow" w:eastAsia="Calibri" w:hAnsi="Arial Narrow" w:cs="Arial"/>
                <w:strike/>
                <w:color w:val="FF0000"/>
                <w:sz w:val="16"/>
                <w:szCs w:val="16"/>
              </w:rPr>
              <w:t xml:space="preserve">60% </w:t>
            </w:r>
            <w:r w:rsidRPr="00853884">
              <w:rPr>
                <w:rFonts w:ascii="Arial Narrow" w:eastAsia="Calibri" w:hAnsi="Arial Narrow" w:cs="Arial"/>
                <w:sz w:val="16"/>
                <w:szCs w:val="16"/>
              </w:rPr>
              <w:t>- COMPLEMENTAÇÃO DA UNIÃO</w:t>
            </w:r>
            <w:r w:rsidR="00047A17">
              <w:rPr>
                <w:rFonts w:ascii="Arial Narrow" w:eastAsia="Calibri" w:hAnsi="Arial Narrow" w:cs="Arial"/>
                <w:sz w:val="16"/>
                <w:szCs w:val="16"/>
              </w:rPr>
              <w:t xml:space="preserve"> </w:t>
            </w:r>
            <w:r w:rsidR="00047A17" w:rsidRPr="00047A17">
              <w:rPr>
                <w:rFonts w:ascii="Arial Narrow" w:eastAsia="Times New Roman" w:hAnsi="Arial Narrow" w:cs="Arial"/>
                <w:color w:val="0070C0"/>
                <w:sz w:val="16"/>
                <w:szCs w:val="16"/>
                <w:lang w:eastAsia="pt-BR"/>
              </w:rPr>
              <w:t>– VAAF</w:t>
            </w:r>
          </w:p>
        </w:tc>
        <w:tc>
          <w:tcPr>
            <w:tcW w:w="906" w:type="dxa"/>
            <w:tcBorders>
              <w:top w:val="nil"/>
              <w:bottom w:val="nil"/>
              <w:right w:val="single" w:sz="4" w:space="0" w:color="auto"/>
            </w:tcBorders>
            <w:shd w:val="clear" w:color="auto" w:fill="auto"/>
            <w:noWrap/>
            <w:vAlign w:val="bottom"/>
          </w:tcPr>
          <w:p w14:paraId="76CB494A"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tcPr>
          <w:p w14:paraId="6FC79138" w14:textId="77777777" w:rsidR="00A21E9D" w:rsidRPr="00853884" w:rsidRDefault="00A21E9D" w:rsidP="002315E1">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853884">
              <w:rPr>
                <w:rFonts w:ascii="Arial Narrow" w:eastAsia="Calibri" w:hAnsi="Arial Narrow" w:cs="Arial"/>
                <w:sz w:val="16"/>
                <w:szCs w:val="16"/>
              </w:rPr>
              <w:t>SDF.D049</w:t>
            </w:r>
          </w:p>
        </w:tc>
        <w:tc>
          <w:tcPr>
            <w:tcW w:w="1520" w:type="dxa"/>
            <w:tcBorders>
              <w:top w:val="nil"/>
              <w:left w:val="nil"/>
              <w:bottom w:val="nil"/>
              <w:right w:val="single" w:sz="4" w:space="0" w:color="auto"/>
            </w:tcBorders>
            <w:shd w:val="clear" w:color="auto" w:fill="auto"/>
            <w:noWrap/>
            <w:vAlign w:val="bottom"/>
          </w:tcPr>
          <w:p w14:paraId="561AFC91" w14:textId="77777777" w:rsidR="00A21E9D" w:rsidRPr="00853884" w:rsidRDefault="00A21E9D" w:rsidP="002315E1">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853884">
              <w:rPr>
                <w:rFonts w:ascii="Arial Narrow" w:eastAsia="Calibri" w:hAnsi="Arial Narrow" w:cs="Arial"/>
                <w:sz w:val="16"/>
                <w:szCs w:val="16"/>
              </w:rPr>
              <w:t>SDF.E049</w:t>
            </w:r>
          </w:p>
        </w:tc>
      </w:tr>
      <w:tr w:rsidR="00A21E9D" w:rsidRPr="00853884" w14:paraId="58826F93" w14:textId="77777777" w:rsidTr="00155A88">
        <w:trPr>
          <w:trHeight w:val="255"/>
        </w:trPr>
        <w:tc>
          <w:tcPr>
            <w:tcW w:w="852" w:type="dxa"/>
            <w:tcBorders>
              <w:top w:val="nil"/>
              <w:left w:val="single" w:sz="4" w:space="0" w:color="auto"/>
              <w:bottom w:val="nil"/>
              <w:right w:val="single" w:sz="4" w:space="0" w:color="auto"/>
            </w:tcBorders>
            <w:shd w:val="clear" w:color="auto" w:fill="auto"/>
            <w:noWrap/>
            <w:vAlign w:val="bottom"/>
          </w:tcPr>
          <w:p w14:paraId="237CBE48"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Calibri" w:hAnsi="Arial Narrow" w:cs="Arial"/>
                <w:sz w:val="16"/>
                <w:szCs w:val="16"/>
              </w:rPr>
              <w:t>152</w:t>
            </w:r>
          </w:p>
        </w:tc>
        <w:tc>
          <w:tcPr>
            <w:tcW w:w="9714" w:type="dxa"/>
            <w:tcBorders>
              <w:top w:val="nil"/>
              <w:left w:val="nil"/>
              <w:bottom w:val="nil"/>
            </w:tcBorders>
            <w:shd w:val="clear" w:color="auto" w:fill="auto"/>
            <w:noWrap/>
            <w:vAlign w:val="bottom"/>
          </w:tcPr>
          <w:p w14:paraId="039CA474" w14:textId="5B1D9842" w:rsidR="00A21E9D" w:rsidRPr="00853884" w:rsidRDefault="00A21E9D" w:rsidP="002315E1">
            <w:pPr>
              <w:spacing w:after="0" w:line="240" w:lineRule="auto"/>
              <w:rPr>
                <w:rFonts w:ascii="Arial Narrow" w:eastAsia="Times New Roman" w:hAnsi="Arial Narrow" w:cs="Arial"/>
                <w:sz w:val="16"/>
                <w:szCs w:val="16"/>
                <w:lang w:eastAsia="pt-BR"/>
              </w:rPr>
            </w:pPr>
            <w:r w:rsidRPr="00853884">
              <w:rPr>
                <w:rFonts w:ascii="Arial Narrow" w:eastAsia="Calibri" w:hAnsi="Arial Narrow" w:cs="Arial"/>
                <w:sz w:val="16"/>
                <w:szCs w:val="16"/>
              </w:rPr>
              <w:t xml:space="preserve">TRANSFERÊNCIAS DO FUNDEB - COMPLEM. DA UNIÃO – REMUNERAÇÃO DEP. BANCÁRIOS </w:t>
            </w:r>
            <w:r w:rsidR="00337C23" w:rsidRPr="00202F2D">
              <w:rPr>
                <w:rFonts w:ascii="Arial Narrow" w:eastAsia="Times New Roman" w:hAnsi="Arial Narrow" w:cs="Arial"/>
                <w:color w:val="0070C0"/>
                <w:sz w:val="16"/>
                <w:szCs w:val="16"/>
                <w:lang w:eastAsia="pt-BR"/>
              </w:rPr>
              <w:t xml:space="preserve">(30% + 70%) </w:t>
            </w:r>
            <w:r w:rsidR="00337C23" w:rsidRPr="00202F2D">
              <w:rPr>
                <w:rFonts w:ascii="Arial Narrow" w:eastAsia="Times New Roman" w:hAnsi="Arial Narrow" w:cs="Arial"/>
                <w:strike/>
                <w:color w:val="FF0000"/>
                <w:sz w:val="16"/>
                <w:szCs w:val="16"/>
                <w:lang w:eastAsia="pt-BR"/>
              </w:rPr>
              <w:t>(40% + 60%)</w:t>
            </w:r>
          </w:p>
        </w:tc>
        <w:tc>
          <w:tcPr>
            <w:tcW w:w="906" w:type="dxa"/>
            <w:tcBorders>
              <w:top w:val="nil"/>
              <w:bottom w:val="nil"/>
              <w:right w:val="single" w:sz="4" w:space="0" w:color="auto"/>
            </w:tcBorders>
            <w:shd w:val="clear" w:color="auto" w:fill="auto"/>
            <w:noWrap/>
            <w:vAlign w:val="bottom"/>
          </w:tcPr>
          <w:p w14:paraId="2B5DB6E1"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tcPr>
          <w:p w14:paraId="453DAD2E" w14:textId="77777777" w:rsidR="00A21E9D" w:rsidRPr="00853884" w:rsidRDefault="00A21E9D" w:rsidP="002315E1">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SDF.D067</w:t>
            </w:r>
          </w:p>
        </w:tc>
        <w:tc>
          <w:tcPr>
            <w:tcW w:w="1520" w:type="dxa"/>
            <w:tcBorders>
              <w:top w:val="nil"/>
              <w:left w:val="nil"/>
              <w:bottom w:val="nil"/>
              <w:right w:val="single" w:sz="4" w:space="0" w:color="auto"/>
            </w:tcBorders>
            <w:shd w:val="clear" w:color="auto" w:fill="auto"/>
            <w:noWrap/>
            <w:vAlign w:val="bottom"/>
          </w:tcPr>
          <w:p w14:paraId="6A299693" w14:textId="77777777" w:rsidR="00A21E9D" w:rsidRPr="00853884" w:rsidRDefault="00A21E9D" w:rsidP="002315E1">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SDF.E067</w:t>
            </w:r>
          </w:p>
        </w:tc>
      </w:tr>
      <w:tr w:rsidR="00047A17" w:rsidRPr="00853884" w14:paraId="49980B36" w14:textId="77777777" w:rsidTr="00155A88">
        <w:trPr>
          <w:trHeight w:val="255"/>
        </w:trPr>
        <w:tc>
          <w:tcPr>
            <w:tcW w:w="852" w:type="dxa"/>
            <w:tcBorders>
              <w:top w:val="nil"/>
              <w:left w:val="single" w:sz="4" w:space="0" w:color="auto"/>
              <w:bottom w:val="nil"/>
              <w:right w:val="single" w:sz="4" w:space="0" w:color="auto"/>
            </w:tcBorders>
            <w:shd w:val="clear" w:color="auto" w:fill="auto"/>
            <w:noWrap/>
            <w:vAlign w:val="bottom"/>
          </w:tcPr>
          <w:p w14:paraId="66044C17" w14:textId="012109FC" w:rsidR="00047A17" w:rsidRPr="00047A17" w:rsidRDefault="00047A17" w:rsidP="002315E1">
            <w:pPr>
              <w:spacing w:after="0" w:line="240" w:lineRule="auto"/>
              <w:jc w:val="center"/>
              <w:rPr>
                <w:rFonts w:ascii="Arial Narrow" w:eastAsia="Calibri" w:hAnsi="Arial Narrow" w:cs="Arial"/>
                <w:color w:val="0070C0"/>
                <w:sz w:val="16"/>
                <w:szCs w:val="16"/>
              </w:rPr>
            </w:pPr>
            <w:r w:rsidRPr="00047A17">
              <w:rPr>
                <w:rFonts w:ascii="Arial Narrow" w:eastAsia="Calibri" w:hAnsi="Arial Narrow" w:cs="Arial"/>
                <w:color w:val="0070C0"/>
                <w:sz w:val="16"/>
                <w:szCs w:val="16"/>
              </w:rPr>
              <w:t>118</w:t>
            </w:r>
          </w:p>
        </w:tc>
        <w:tc>
          <w:tcPr>
            <w:tcW w:w="9714" w:type="dxa"/>
            <w:tcBorders>
              <w:top w:val="nil"/>
              <w:left w:val="nil"/>
              <w:bottom w:val="nil"/>
            </w:tcBorders>
            <w:shd w:val="clear" w:color="auto" w:fill="auto"/>
            <w:noWrap/>
            <w:vAlign w:val="bottom"/>
          </w:tcPr>
          <w:p w14:paraId="4DE804F7" w14:textId="404A330F" w:rsidR="00047A17" w:rsidRPr="00047A17" w:rsidRDefault="00047A17" w:rsidP="002315E1">
            <w:pPr>
              <w:spacing w:after="0" w:line="240" w:lineRule="auto"/>
              <w:rPr>
                <w:rFonts w:ascii="Arial Narrow" w:eastAsia="Calibri" w:hAnsi="Arial Narrow" w:cs="Arial"/>
                <w:color w:val="0070C0"/>
                <w:sz w:val="16"/>
                <w:szCs w:val="16"/>
              </w:rPr>
            </w:pPr>
            <w:r w:rsidRPr="00047A17">
              <w:rPr>
                <w:rFonts w:ascii="Arial Narrow" w:eastAsia="Calibri" w:hAnsi="Arial Narrow" w:cs="Arial"/>
                <w:color w:val="0070C0"/>
                <w:sz w:val="16"/>
                <w:szCs w:val="16"/>
              </w:rPr>
              <w:t>TRANSFERÊNCIAS DO FUNDEB 70% - COMPLEMENTAÇÃO DA UNIÃO – VAAT</w:t>
            </w:r>
            <w:r>
              <w:rPr>
                <w:rFonts w:ascii="Arial Narrow" w:eastAsia="Calibri" w:hAnsi="Arial Narrow" w:cs="Arial"/>
                <w:color w:val="0070C0"/>
                <w:sz w:val="16"/>
                <w:szCs w:val="16"/>
              </w:rPr>
              <w:t xml:space="preserve"> </w:t>
            </w:r>
            <w:r w:rsidRPr="00047A17">
              <w:rPr>
                <w:rFonts w:ascii="Arial Narrow" w:eastAsia="Calibri" w:hAnsi="Arial Narrow" w:cs="Arial"/>
                <w:color w:val="0070C0"/>
                <w:sz w:val="16"/>
                <w:szCs w:val="16"/>
              </w:rPr>
              <w:t>(Valor Aluno/Ano Total)</w:t>
            </w:r>
          </w:p>
        </w:tc>
        <w:tc>
          <w:tcPr>
            <w:tcW w:w="906" w:type="dxa"/>
            <w:tcBorders>
              <w:top w:val="nil"/>
              <w:bottom w:val="nil"/>
              <w:right w:val="single" w:sz="4" w:space="0" w:color="auto"/>
            </w:tcBorders>
            <w:shd w:val="clear" w:color="auto" w:fill="auto"/>
            <w:noWrap/>
            <w:vAlign w:val="bottom"/>
          </w:tcPr>
          <w:p w14:paraId="5913662C" w14:textId="77777777" w:rsidR="00047A17" w:rsidRPr="00047A17" w:rsidRDefault="00047A17" w:rsidP="002315E1">
            <w:pPr>
              <w:spacing w:after="0" w:line="240" w:lineRule="auto"/>
              <w:jc w:val="center"/>
              <w:rPr>
                <w:rFonts w:ascii="Arial Narrow" w:eastAsia="Times New Roman" w:hAnsi="Arial Narrow" w:cs="Arial"/>
                <w:color w:val="0070C0"/>
                <w:sz w:val="16"/>
                <w:szCs w:val="16"/>
                <w:lang w:eastAsia="pt-BR"/>
              </w:rPr>
            </w:pPr>
          </w:p>
        </w:tc>
        <w:tc>
          <w:tcPr>
            <w:tcW w:w="1309" w:type="dxa"/>
            <w:tcBorders>
              <w:top w:val="nil"/>
              <w:left w:val="nil"/>
              <w:bottom w:val="nil"/>
              <w:right w:val="single" w:sz="4" w:space="0" w:color="auto"/>
            </w:tcBorders>
            <w:shd w:val="clear" w:color="auto" w:fill="auto"/>
            <w:noWrap/>
            <w:vAlign w:val="bottom"/>
          </w:tcPr>
          <w:p w14:paraId="58439C25" w14:textId="032A1A5A" w:rsidR="00047A17" w:rsidRPr="00047A17" w:rsidRDefault="00047A17" w:rsidP="002315E1">
            <w:pPr>
              <w:overflowPunct w:val="0"/>
              <w:autoSpaceDE w:val="0"/>
              <w:autoSpaceDN w:val="0"/>
              <w:adjustRightInd w:val="0"/>
              <w:spacing w:after="0" w:line="240" w:lineRule="auto"/>
              <w:jc w:val="center"/>
              <w:textAlignment w:val="baseline"/>
              <w:rPr>
                <w:rFonts w:ascii="Arial Narrow" w:eastAsia="Times New Roman" w:hAnsi="Arial Narrow" w:cs="Arial"/>
                <w:color w:val="0070C0"/>
                <w:sz w:val="16"/>
                <w:szCs w:val="16"/>
                <w:lang w:eastAsia="pt-BR"/>
              </w:rPr>
            </w:pPr>
            <w:r w:rsidRPr="00047A17">
              <w:rPr>
                <w:rFonts w:ascii="Arial Narrow" w:eastAsia="Times New Roman" w:hAnsi="Arial Narrow" w:cs="Arial"/>
                <w:color w:val="0070C0"/>
                <w:sz w:val="16"/>
                <w:szCs w:val="16"/>
                <w:lang w:eastAsia="pt-BR"/>
              </w:rPr>
              <w:t>SDF.D087</w:t>
            </w:r>
          </w:p>
        </w:tc>
        <w:tc>
          <w:tcPr>
            <w:tcW w:w="1520" w:type="dxa"/>
            <w:tcBorders>
              <w:top w:val="nil"/>
              <w:left w:val="nil"/>
              <w:bottom w:val="nil"/>
              <w:right w:val="single" w:sz="4" w:space="0" w:color="auto"/>
            </w:tcBorders>
            <w:shd w:val="clear" w:color="auto" w:fill="auto"/>
            <w:noWrap/>
            <w:vAlign w:val="bottom"/>
          </w:tcPr>
          <w:p w14:paraId="34CA2271" w14:textId="7D779CD8" w:rsidR="00047A17" w:rsidRPr="00047A17" w:rsidRDefault="00047A17" w:rsidP="002315E1">
            <w:pPr>
              <w:overflowPunct w:val="0"/>
              <w:autoSpaceDE w:val="0"/>
              <w:autoSpaceDN w:val="0"/>
              <w:adjustRightInd w:val="0"/>
              <w:spacing w:after="0" w:line="240" w:lineRule="auto"/>
              <w:jc w:val="center"/>
              <w:textAlignment w:val="baseline"/>
              <w:rPr>
                <w:rFonts w:ascii="Arial Narrow" w:eastAsia="Times New Roman" w:hAnsi="Arial Narrow" w:cs="Arial"/>
                <w:color w:val="0070C0"/>
                <w:sz w:val="16"/>
                <w:szCs w:val="16"/>
                <w:lang w:eastAsia="pt-BR"/>
              </w:rPr>
            </w:pPr>
            <w:r w:rsidRPr="00047A17">
              <w:rPr>
                <w:rFonts w:ascii="Arial Narrow" w:eastAsia="Times New Roman" w:hAnsi="Arial Narrow" w:cs="Arial"/>
                <w:color w:val="0070C0"/>
                <w:sz w:val="16"/>
                <w:szCs w:val="16"/>
                <w:lang w:eastAsia="pt-BR"/>
              </w:rPr>
              <w:t>SDF.E087</w:t>
            </w:r>
          </w:p>
        </w:tc>
      </w:tr>
      <w:tr w:rsidR="005F7984" w:rsidRPr="00853884" w14:paraId="4C63D826" w14:textId="77777777" w:rsidTr="00155A88">
        <w:trPr>
          <w:trHeight w:val="255"/>
        </w:trPr>
        <w:tc>
          <w:tcPr>
            <w:tcW w:w="852" w:type="dxa"/>
            <w:tcBorders>
              <w:top w:val="nil"/>
              <w:left w:val="single" w:sz="4" w:space="0" w:color="auto"/>
              <w:bottom w:val="nil"/>
              <w:right w:val="single" w:sz="4" w:space="0" w:color="auto"/>
            </w:tcBorders>
            <w:shd w:val="clear" w:color="auto" w:fill="auto"/>
            <w:noWrap/>
            <w:vAlign w:val="bottom"/>
          </w:tcPr>
          <w:p w14:paraId="0C228223" w14:textId="4049FB61" w:rsidR="005F7984" w:rsidRPr="005F7984" w:rsidRDefault="005F7984" w:rsidP="005F7984">
            <w:pPr>
              <w:spacing w:after="0" w:line="240" w:lineRule="auto"/>
              <w:jc w:val="center"/>
              <w:rPr>
                <w:rFonts w:ascii="Arial Narrow" w:eastAsia="Calibri" w:hAnsi="Arial Narrow" w:cs="Arial"/>
                <w:color w:val="0070C0"/>
                <w:sz w:val="16"/>
                <w:szCs w:val="16"/>
              </w:rPr>
            </w:pPr>
            <w:r w:rsidRPr="005F7984">
              <w:rPr>
                <w:rFonts w:ascii="Arial Narrow" w:eastAsia="Calibri" w:hAnsi="Arial Narrow" w:cs="Arial"/>
                <w:color w:val="0070C0"/>
                <w:sz w:val="16"/>
                <w:szCs w:val="16"/>
              </w:rPr>
              <w:t>119</w:t>
            </w:r>
          </w:p>
        </w:tc>
        <w:tc>
          <w:tcPr>
            <w:tcW w:w="9714" w:type="dxa"/>
            <w:tcBorders>
              <w:top w:val="nil"/>
              <w:left w:val="nil"/>
              <w:bottom w:val="nil"/>
            </w:tcBorders>
            <w:shd w:val="clear" w:color="auto" w:fill="auto"/>
            <w:noWrap/>
            <w:vAlign w:val="bottom"/>
          </w:tcPr>
          <w:p w14:paraId="22E721ED" w14:textId="62397983" w:rsidR="005F7984" w:rsidRPr="005F7984" w:rsidRDefault="005F7984" w:rsidP="005F7984">
            <w:pPr>
              <w:spacing w:after="0" w:line="240" w:lineRule="auto"/>
              <w:rPr>
                <w:rFonts w:ascii="Arial Narrow" w:eastAsia="Calibri" w:hAnsi="Arial Narrow" w:cs="Arial"/>
                <w:color w:val="0070C0"/>
                <w:sz w:val="16"/>
                <w:szCs w:val="16"/>
              </w:rPr>
            </w:pPr>
            <w:r w:rsidRPr="005F7984">
              <w:rPr>
                <w:rFonts w:ascii="Arial Narrow" w:eastAsia="Calibri" w:hAnsi="Arial Narrow" w:cs="Arial"/>
                <w:color w:val="0070C0"/>
                <w:sz w:val="16"/>
                <w:szCs w:val="16"/>
              </w:rPr>
              <w:t>TRANSFERÊNCIAS DO FUNDEB 30% - COMPLEMENTAÇÃO DA UNIÃO – VAAT (Valor Aluno/Ano Total)</w:t>
            </w:r>
          </w:p>
        </w:tc>
        <w:tc>
          <w:tcPr>
            <w:tcW w:w="906" w:type="dxa"/>
            <w:tcBorders>
              <w:top w:val="nil"/>
              <w:bottom w:val="nil"/>
              <w:right w:val="single" w:sz="4" w:space="0" w:color="auto"/>
            </w:tcBorders>
            <w:shd w:val="clear" w:color="auto" w:fill="auto"/>
            <w:noWrap/>
            <w:vAlign w:val="bottom"/>
          </w:tcPr>
          <w:p w14:paraId="180D5731" w14:textId="77777777" w:rsidR="005F7984" w:rsidRPr="005F7984" w:rsidRDefault="005F7984" w:rsidP="005F7984">
            <w:pPr>
              <w:spacing w:after="0" w:line="240" w:lineRule="auto"/>
              <w:jc w:val="center"/>
              <w:rPr>
                <w:rFonts w:ascii="Arial Narrow" w:eastAsia="Times New Roman" w:hAnsi="Arial Narrow" w:cs="Arial"/>
                <w:color w:val="0070C0"/>
                <w:sz w:val="16"/>
                <w:szCs w:val="16"/>
                <w:lang w:eastAsia="pt-BR"/>
              </w:rPr>
            </w:pPr>
          </w:p>
        </w:tc>
        <w:tc>
          <w:tcPr>
            <w:tcW w:w="1309" w:type="dxa"/>
            <w:tcBorders>
              <w:top w:val="nil"/>
              <w:left w:val="nil"/>
              <w:bottom w:val="nil"/>
              <w:right w:val="single" w:sz="4" w:space="0" w:color="auto"/>
            </w:tcBorders>
            <w:shd w:val="clear" w:color="auto" w:fill="auto"/>
            <w:noWrap/>
            <w:vAlign w:val="bottom"/>
          </w:tcPr>
          <w:p w14:paraId="52D6C153" w14:textId="569C2961" w:rsidR="005F7984" w:rsidRPr="005F7984" w:rsidRDefault="005F7984" w:rsidP="005F7984">
            <w:pPr>
              <w:overflowPunct w:val="0"/>
              <w:autoSpaceDE w:val="0"/>
              <w:autoSpaceDN w:val="0"/>
              <w:adjustRightInd w:val="0"/>
              <w:spacing w:after="0" w:line="240" w:lineRule="auto"/>
              <w:jc w:val="center"/>
              <w:textAlignment w:val="baseline"/>
              <w:rPr>
                <w:rFonts w:ascii="Arial Narrow" w:eastAsia="Times New Roman" w:hAnsi="Arial Narrow" w:cs="Arial"/>
                <w:color w:val="0070C0"/>
                <w:sz w:val="16"/>
                <w:szCs w:val="16"/>
                <w:lang w:eastAsia="pt-BR"/>
              </w:rPr>
            </w:pPr>
            <w:r w:rsidRPr="00047A17">
              <w:rPr>
                <w:rFonts w:ascii="Arial Narrow" w:eastAsia="Times New Roman" w:hAnsi="Arial Narrow" w:cs="Arial"/>
                <w:color w:val="0070C0"/>
                <w:sz w:val="16"/>
                <w:szCs w:val="16"/>
                <w:lang w:eastAsia="pt-BR"/>
              </w:rPr>
              <w:t>SDF.D08</w:t>
            </w:r>
            <w:r>
              <w:rPr>
                <w:rFonts w:ascii="Arial Narrow" w:eastAsia="Times New Roman" w:hAnsi="Arial Narrow" w:cs="Arial"/>
                <w:color w:val="0070C0"/>
                <w:sz w:val="16"/>
                <w:szCs w:val="16"/>
                <w:lang w:eastAsia="pt-BR"/>
              </w:rPr>
              <w:t>8</w:t>
            </w:r>
          </w:p>
        </w:tc>
        <w:tc>
          <w:tcPr>
            <w:tcW w:w="1520" w:type="dxa"/>
            <w:tcBorders>
              <w:top w:val="nil"/>
              <w:left w:val="nil"/>
              <w:bottom w:val="nil"/>
              <w:right w:val="single" w:sz="4" w:space="0" w:color="auto"/>
            </w:tcBorders>
            <w:shd w:val="clear" w:color="auto" w:fill="auto"/>
            <w:noWrap/>
            <w:vAlign w:val="bottom"/>
          </w:tcPr>
          <w:p w14:paraId="13C374C8" w14:textId="6570C620" w:rsidR="005F7984" w:rsidRPr="005F7984" w:rsidRDefault="005F7984" w:rsidP="005F7984">
            <w:pPr>
              <w:overflowPunct w:val="0"/>
              <w:autoSpaceDE w:val="0"/>
              <w:autoSpaceDN w:val="0"/>
              <w:adjustRightInd w:val="0"/>
              <w:spacing w:after="0" w:line="240" w:lineRule="auto"/>
              <w:jc w:val="center"/>
              <w:textAlignment w:val="baseline"/>
              <w:rPr>
                <w:rFonts w:ascii="Arial Narrow" w:eastAsia="Times New Roman" w:hAnsi="Arial Narrow" w:cs="Arial"/>
                <w:color w:val="0070C0"/>
                <w:sz w:val="16"/>
                <w:szCs w:val="16"/>
                <w:lang w:eastAsia="pt-BR"/>
              </w:rPr>
            </w:pPr>
            <w:r w:rsidRPr="00047A17">
              <w:rPr>
                <w:rFonts w:ascii="Arial Narrow" w:eastAsia="Times New Roman" w:hAnsi="Arial Narrow" w:cs="Arial"/>
                <w:color w:val="0070C0"/>
                <w:sz w:val="16"/>
                <w:szCs w:val="16"/>
                <w:lang w:eastAsia="pt-BR"/>
              </w:rPr>
              <w:t>SDF.E08</w:t>
            </w:r>
            <w:r>
              <w:rPr>
                <w:rFonts w:ascii="Arial Narrow" w:eastAsia="Times New Roman" w:hAnsi="Arial Narrow" w:cs="Arial"/>
                <w:color w:val="0070C0"/>
                <w:sz w:val="16"/>
                <w:szCs w:val="16"/>
                <w:lang w:eastAsia="pt-BR"/>
              </w:rPr>
              <w:t>8</w:t>
            </w:r>
          </w:p>
        </w:tc>
      </w:tr>
      <w:tr w:rsidR="00A21E9D" w:rsidRPr="00853884" w14:paraId="70D256F8" w14:textId="77777777" w:rsidTr="00155A88">
        <w:trPr>
          <w:trHeight w:val="255"/>
        </w:trPr>
        <w:tc>
          <w:tcPr>
            <w:tcW w:w="852" w:type="dxa"/>
            <w:tcBorders>
              <w:top w:val="nil"/>
              <w:left w:val="single" w:sz="4" w:space="0" w:color="auto"/>
              <w:bottom w:val="nil"/>
              <w:right w:val="single" w:sz="4" w:space="0" w:color="auto"/>
            </w:tcBorders>
            <w:shd w:val="clear" w:color="auto" w:fill="auto"/>
            <w:noWrap/>
            <w:vAlign w:val="bottom"/>
          </w:tcPr>
          <w:p w14:paraId="1EFF4301" w14:textId="77777777" w:rsidR="00A21E9D" w:rsidRPr="00853884" w:rsidRDefault="00A21E9D" w:rsidP="002315E1">
            <w:pPr>
              <w:spacing w:after="0" w:line="240" w:lineRule="auto"/>
              <w:jc w:val="center"/>
              <w:rPr>
                <w:rFonts w:ascii="Arial Narrow" w:eastAsia="Calibri" w:hAnsi="Arial Narrow" w:cs="Arial"/>
                <w:sz w:val="16"/>
                <w:szCs w:val="16"/>
              </w:rPr>
            </w:pPr>
            <w:r w:rsidRPr="00853884">
              <w:rPr>
                <w:rFonts w:ascii="Arial Narrow" w:eastAsia="Calibri" w:hAnsi="Arial Narrow" w:cs="Arial"/>
                <w:sz w:val="16"/>
                <w:szCs w:val="16"/>
              </w:rPr>
              <w:t>120</w:t>
            </w:r>
          </w:p>
        </w:tc>
        <w:tc>
          <w:tcPr>
            <w:tcW w:w="9714" w:type="dxa"/>
            <w:tcBorders>
              <w:top w:val="nil"/>
              <w:left w:val="nil"/>
              <w:bottom w:val="nil"/>
            </w:tcBorders>
            <w:shd w:val="clear" w:color="auto" w:fill="auto"/>
            <w:noWrap/>
            <w:vAlign w:val="bottom"/>
          </w:tcPr>
          <w:p w14:paraId="41BA46B8" w14:textId="77777777" w:rsidR="00A21E9D" w:rsidRPr="00853884" w:rsidRDefault="00A21E9D" w:rsidP="002315E1">
            <w:pPr>
              <w:spacing w:after="0" w:line="240" w:lineRule="auto"/>
              <w:rPr>
                <w:rFonts w:ascii="Arial Narrow" w:eastAsia="Calibri" w:hAnsi="Arial Narrow" w:cs="Arial"/>
                <w:sz w:val="16"/>
                <w:szCs w:val="16"/>
              </w:rPr>
            </w:pPr>
            <w:r w:rsidRPr="00853884">
              <w:rPr>
                <w:rFonts w:ascii="Arial Narrow" w:eastAsia="Calibri" w:hAnsi="Arial Narrow" w:cs="Arial"/>
                <w:sz w:val="16"/>
                <w:szCs w:val="16"/>
              </w:rPr>
              <w:t>TRANSFERÊNCIA DO SALÁRIO EDUCAÇÃO</w:t>
            </w:r>
          </w:p>
        </w:tc>
        <w:tc>
          <w:tcPr>
            <w:tcW w:w="906" w:type="dxa"/>
            <w:tcBorders>
              <w:top w:val="nil"/>
              <w:bottom w:val="nil"/>
              <w:right w:val="single" w:sz="4" w:space="0" w:color="auto"/>
            </w:tcBorders>
            <w:shd w:val="clear" w:color="auto" w:fill="auto"/>
            <w:noWrap/>
            <w:vAlign w:val="bottom"/>
          </w:tcPr>
          <w:p w14:paraId="2237D404"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tcPr>
          <w:p w14:paraId="52CD68C1" w14:textId="77777777" w:rsidR="00A21E9D" w:rsidRPr="00853884" w:rsidRDefault="00A21E9D" w:rsidP="002315E1">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853884">
              <w:rPr>
                <w:rFonts w:ascii="Arial Narrow" w:eastAsia="Calibri" w:hAnsi="Arial Narrow" w:cs="Arial"/>
                <w:sz w:val="16"/>
                <w:szCs w:val="16"/>
              </w:rPr>
              <w:t>SDF.D054</w:t>
            </w:r>
          </w:p>
        </w:tc>
        <w:tc>
          <w:tcPr>
            <w:tcW w:w="1520" w:type="dxa"/>
            <w:tcBorders>
              <w:top w:val="nil"/>
              <w:left w:val="nil"/>
              <w:bottom w:val="nil"/>
              <w:right w:val="single" w:sz="4" w:space="0" w:color="auto"/>
            </w:tcBorders>
            <w:shd w:val="clear" w:color="auto" w:fill="auto"/>
            <w:noWrap/>
            <w:vAlign w:val="bottom"/>
          </w:tcPr>
          <w:p w14:paraId="2D38A302" w14:textId="77777777" w:rsidR="00A21E9D" w:rsidRPr="00853884" w:rsidRDefault="00A21E9D" w:rsidP="002315E1">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853884">
              <w:rPr>
                <w:rFonts w:ascii="Arial Narrow" w:eastAsia="Calibri" w:hAnsi="Arial Narrow" w:cs="Arial"/>
                <w:sz w:val="16"/>
                <w:szCs w:val="16"/>
              </w:rPr>
              <w:t>SDF.E054</w:t>
            </w:r>
          </w:p>
        </w:tc>
      </w:tr>
      <w:tr w:rsidR="00A21E9D" w:rsidRPr="00853884" w14:paraId="5F657055" w14:textId="77777777" w:rsidTr="00155A88">
        <w:trPr>
          <w:trHeight w:val="255"/>
        </w:trPr>
        <w:tc>
          <w:tcPr>
            <w:tcW w:w="852" w:type="dxa"/>
            <w:tcBorders>
              <w:top w:val="nil"/>
              <w:left w:val="single" w:sz="4" w:space="0" w:color="auto"/>
              <w:bottom w:val="nil"/>
              <w:right w:val="single" w:sz="4" w:space="0" w:color="auto"/>
            </w:tcBorders>
            <w:shd w:val="clear" w:color="auto" w:fill="auto"/>
            <w:noWrap/>
            <w:vAlign w:val="bottom"/>
          </w:tcPr>
          <w:p w14:paraId="505F60BA"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121</w:t>
            </w:r>
          </w:p>
        </w:tc>
        <w:tc>
          <w:tcPr>
            <w:tcW w:w="9714" w:type="dxa"/>
            <w:tcBorders>
              <w:top w:val="nil"/>
              <w:left w:val="nil"/>
              <w:bottom w:val="nil"/>
            </w:tcBorders>
            <w:shd w:val="clear" w:color="auto" w:fill="auto"/>
            <w:noWrap/>
            <w:vAlign w:val="bottom"/>
          </w:tcPr>
          <w:p w14:paraId="760EAA7D" w14:textId="77777777" w:rsidR="00A21E9D" w:rsidRPr="00853884" w:rsidRDefault="00A21E9D"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TRANSFERÊNCIAS DE RECURSOS DO FNDE REFERENTES AO PROGRAMA DINHEIRO DIRETO NA ESCOLA (PDDE)</w:t>
            </w:r>
          </w:p>
        </w:tc>
        <w:tc>
          <w:tcPr>
            <w:tcW w:w="906" w:type="dxa"/>
            <w:tcBorders>
              <w:top w:val="nil"/>
              <w:bottom w:val="nil"/>
              <w:right w:val="single" w:sz="4" w:space="0" w:color="auto"/>
            </w:tcBorders>
            <w:shd w:val="clear" w:color="auto" w:fill="auto"/>
            <w:noWrap/>
            <w:vAlign w:val="bottom"/>
          </w:tcPr>
          <w:p w14:paraId="2BAF8555"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tcPr>
          <w:p w14:paraId="079AD48A" w14:textId="77777777" w:rsidR="00A21E9D" w:rsidRPr="00853884" w:rsidRDefault="00A21E9D" w:rsidP="002315E1">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SDF.D063</w:t>
            </w:r>
          </w:p>
        </w:tc>
        <w:tc>
          <w:tcPr>
            <w:tcW w:w="1520" w:type="dxa"/>
            <w:tcBorders>
              <w:top w:val="nil"/>
              <w:left w:val="nil"/>
              <w:bottom w:val="nil"/>
              <w:right w:val="single" w:sz="4" w:space="0" w:color="auto"/>
            </w:tcBorders>
            <w:shd w:val="clear" w:color="auto" w:fill="auto"/>
            <w:noWrap/>
            <w:vAlign w:val="bottom"/>
          </w:tcPr>
          <w:p w14:paraId="59D8709F" w14:textId="77777777" w:rsidR="00A21E9D" w:rsidRPr="00853884" w:rsidRDefault="00A21E9D" w:rsidP="002315E1">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SDF.E063</w:t>
            </w:r>
          </w:p>
        </w:tc>
      </w:tr>
      <w:tr w:rsidR="00A21E9D" w:rsidRPr="00853884" w14:paraId="640ED2C5" w14:textId="77777777" w:rsidTr="00155A88">
        <w:trPr>
          <w:trHeight w:val="255"/>
        </w:trPr>
        <w:tc>
          <w:tcPr>
            <w:tcW w:w="852" w:type="dxa"/>
            <w:tcBorders>
              <w:top w:val="nil"/>
              <w:left w:val="single" w:sz="4" w:space="0" w:color="auto"/>
              <w:bottom w:val="nil"/>
              <w:right w:val="single" w:sz="4" w:space="0" w:color="auto"/>
            </w:tcBorders>
            <w:shd w:val="clear" w:color="auto" w:fill="auto"/>
            <w:noWrap/>
            <w:vAlign w:val="bottom"/>
          </w:tcPr>
          <w:p w14:paraId="51934E49"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122</w:t>
            </w:r>
          </w:p>
        </w:tc>
        <w:tc>
          <w:tcPr>
            <w:tcW w:w="9714" w:type="dxa"/>
            <w:tcBorders>
              <w:top w:val="nil"/>
              <w:left w:val="nil"/>
              <w:bottom w:val="nil"/>
            </w:tcBorders>
            <w:shd w:val="clear" w:color="auto" w:fill="auto"/>
            <w:noWrap/>
            <w:vAlign w:val="bottom"/>
          </w:tcPr>
          <w:p w14:paraId="1B2F2575" w14:textId="77777777" w:rsidR="00A21E9D" w:rsidRPr="00853884" w:rsidRDefault="00A21E9D"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TRANSFERÊNCIAS DE RECURSOS DO FNDE REF. AO PROGRAMA NACIONAL DE ALIMENTAÇÃO ESCOLAR (PNAE)</w:t>
            </w:r>
          </w:p>
        </w:tc>
        <w:tc>
          <w:tcPr>
            <w:tcW w:w="906" w:type="dxa"/>
            <w:tcBorders>
              <w:top w:val="nil"/>
              <w:bottom w:val="nil"/>
              <w:right w:val="single" w:sz="4" w:space="0" w:color="auto"/>
            </w:tcBorders>
            <w:shd w:val="clear" w:color="auto" w:fill="auto"/>
            <w:noWrap/>
            <w:vAlign w:val="bottom"/>
          </w:tcPr>
          <w:p w14:paraId="7ABCB24C"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tcPr>
          <w:p w14:paraId="341101AD" w14:textId="77777777" w:rsidR="00A21E9D" w:rsidRPr="00853884" w:rsidRDefault="00A21E9D" w:rsidP="002315E1">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SDF.D064</w:t>
            </w:r>
          </w:p>
        </w:tc>
        <w:tc>
          <w:tcPr>
            <w:tcW w:w="1520" w:type="dxa"/>
            <w:tcBorders>
              <w:top w:val="nil"/>
              <w:left w:val="nil"/>
              <w:bottom w:val="nil"/>
              <w:right w:val="single" w:sz="4" w:space="0" w:color="auto"/>
            </w:tcBorders>
            <w:shd w:val="clear" w:color="auto" w:fill="auto"/>
            <w:noWrap/>
            <w:vAlign w:val="bottom"/>
          </w:tcPr>
          <w:p w14:paraId="0B7A0B43" w14:textId="77777777" w:rsidR="00A21E9D" w:rsidRPr="00853884" w:rsidRDefault="00A21E9D" w:rsidP="002315E1">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SDF.E064</w:t>
            </w:r>
          </w:p>
        </w:tc>
      </w:tr>
      <w:tr w:rsidR="00A21E9D" w:rsidRPr="00853884" w14:paraId="5C48AB57" w14:textId="77777777" w:rsidTr="00155A88">
        <w:trPr>
          <w:trHeight w:val="255"/>
        </w:trPr>
        <w:tc>
          <w:tcPr>
            <w:tcW w:w="852" w:type="dxa"/>
            <w:tcBorders>
              <w:top w:val="nil"/>
              <w:left w:val="single" w:sz="4" w:space="0" w:color="auto"/>
              <w:bottom w:val="nil"/>
              <w:right w:val="single" w:sz="4" w:space="0" w:color="auto"/>
            </w:tcBorders>
            <w:shd w:val="clear" w:color="auto" w:fill="auto"/>
            <w:noWrap/>
            <w:vAlign w:val="bottom"/>
          </w:tcPr>
          <w:p w14:paraId="27B8A9B5"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123</w:t>
            </w:r>
          </w:p>
        </w:tc>
        <w:tc>
          <w:tcPr>
            <w:tcW w:w="9714" w:type="dxa"/>
            <w:tcBorders>
              <w:top w:val="nil"/>
              <w:left w:val="nil"/>
              <w:bottom w:val="nil"/>
            </w:tcBorders>
            <w:shd w:val="clear" w:color="auto" w:fill="auto"/>
            <w:noWrap/>
            <w:vAlign w:val="bottom"/>
          </w:tcPr>
          <w:p w14:paraId="72534BEF" w14:textId="77777777" w:rsidR="00A21E9D" w:rsidRPr="00853884" w:rsidRDefault="00A21E9D"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TRANSFERÊNCIAS DE REC. DO FNDE REF. AO PROGRAMA NACIONAL DE APOIO AO TRANSPORTE ESCOLAR (PNATE)</w:t>
            </w:r>
          </w:p>
        </w:tc>
        <w:tc>
          <w:tcPr>
            <w:tcW w:w="906" w:type="dxa"/>
            <w:tcBorders>
              <w:top w:val="nil"/>
              <w:bottom w:val="nil"/>
              <w:right w:val="single" w:sz="4" w:space="0" w:color="auto"/>
            </w:tcBorders>
            <w:shd w:val="clear" w:color="auto" w:fill="auto"/>
            <w:noWrap/>
            <w:vAlign w:val="bottom"/>
          </w:tcPr>
          <w:p w14:paraId="0094FF19"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tcPr>
          <w:p w14:paraId="6F0B0B84" w14:textId="77777777" w:rsidR="00A21E9D" w:rsidRPr="00853884" w:rsidRDefault="00A21E9D" w:rsidP="002315E1">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SDF.D065</w:t>
            </w:r>
          </w:p>
        </w:tc>
        <w:tc>
          <w:tcPr>
            <w:tcW w:w="1520" w:type="dxa"/>
            <w:tcBorders>
              <w:top w:val="nil"/>
              <w:left w:val="nil"/>
              <w:bottom w:val="nil"/>
              <w:right w:val="single" w:sz="4" w:space="0" w:color="auto"/>
            </w:tcBorders>
            <w:shd w:val="clear" w:color="auto" w:fill="auto"/>
            <w:noWrap/>
            <w:vAlign w:val="bottom"/>
          </w:tcPr>
          <w:p w14:paraId="15C5B1F4" w14:textId="77777777" w:rsidR="00A21E9D" w:rsidRPr="00853884" w:rsidRDefault="00A21E9D" w:rsidP="002315E1">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SDF.E065</w:t>
            </w:r>
          </w:p>
        </w:tc>
      </w:tr>
      <w:tr w:rsidR="00A21E9D" w:rsidRPr="00853884" w14:paraId="29590455" w14:textId="77777777" w:rsidTr="00155A88">
        <w:trPr>
          <w:trHeight w:val="255"/>
        </w:trPr>
        <w:tc>
          <w:tcPr>
            <w:tcW w:w="852" w:type="dxa"/>
            <w:tcBorders>
              <w:top w:val="nil"/>
              <w:left w:val="single" w:sz="4" w:space="0" w:color="auto"/>
              <w:bottom w:val="nil"/>
              <w:right w:val="single" w:sz="4" w:space="0" w:color="auto"/>
            </w:tcBorders>
            <w:shd w:val="clear" w:color="auto" w:fill="auto"/>
            <w:noWrap/>
            <w:vAlign w:val="bottom"/>
          </w:tcPr>
          <w:p w14:paraId="6AE2104E"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124</w:t>
            </w:r>
          </w:p>
        </w:tc>
        <w:tc>
          <w:tcPr>
            <w:tcW w:w="9714" w:type="dxa"/>
            <w:tcBorders>
              <w:top w:val="nil"/>
              <w:left w:val="nil"/>
              <w:bottom w:val="nil"/>
            </w:tcBorders>
            <w:shd w:val="clear" w:color="auto" w:fill="auto"/>
            <w:noWrap/>
            <w:vAlign w:val="bottom"/>
          </w:tcPr>
          <w:p w14:paraId="7D986928" w14:textId="77777777" w:rsidR="00A21E9D" w:rsidRPr="00853884" w:rsidRDefault="00A21E9D"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OUTRAS TRANSFERÊNCIAS DE RECURSOS DO FNDE</w:t>
            </w:r>
          </w:p>
        </w:tc>
        <w:tc>
          <w:tcPr>
            <w:tcW w:w="906" w:type="dxa"/>
            <w:tcBorders>
              <w:top w:val="nil"/>
              <w:bottom w:val="nil"/>
              <w:right w:val="single" w:sz="4" w:space="0" w:color="auto"/>
            </w:tcBorders>
            <w:shd w:val="clear" w:color="auto" w:fill="auto"/>
            <w:noWrap/>
            <w:vAlign w:val="bottom"/>
          </w:tcPr>
          <w:p w14:paraId="5B07283A"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tcPr>
          <w:p w14:paraId="3C9F2D49" w14:textId="77777777" w:rsidR="00A21E9D" w:rsidRPr="00853884" w:rsidRDefault="00A21E9D" w:rsidP="002315E1">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SDF.D066</w:t>
            </w:r>
          </w:p>
        </w:tc>
        <w:tc>
          <w:tcPr>
            <w:tcW w:w="1520" w:type="dxa"/>
            <w:tcBorders>
              <w:top w:val="nil"/>
              <w:left w:val="nil"/>
              <w:bottom w:val="nil"/>
              <w:right w:val="single" w:sz="4" w:space="0" w:color="auto"/>
            </w:tcBorders>
            <w:shd w:val="clear" w:color="auto" w:fill="auto"/>
            <w:noWrap/>
            <w:vAlign w:val="bottom"/>
          </w:tcPr>
          <w:p w14:paraId="419918CB" w14:textId="77777777" w:rsidR="00A21E9D" w:rsidRPr="00853884" w:rsidRDefault="00A21E9D" w:rsidP="002315E1">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SDF.E066</w:t>
            </w:r>
          </w:p>
        </w:tc>
      </w:tr>
      <w:tr w:rsidR="00A21E9D" w:rsidRPr="00853884" w14:paraId="0FC739CC" w14:textId="77777777" w:rsidTr="00155A88">
        <w:trPr>
          <w:trHeight w:val="255"/>
        </w:trPr>
        <w:tc>
          <w:tcPr>
            <w:tcW w:w="852" w:type="dxa"/>
            <w:tcBorders>
              <w:top w:val="nil"/>
              <w:left w:val="single" w:sz="4" w:space="0" w:color="auto"/>
              <w:bottom w:val="nil"/>
              <w:right w:val="single" w:sz="4" w:space="0" w:color="auto"/>
            </w:tcBorders>
            <w:shd w:val="clear" w:color="auto" w:fill="auto"/>
            <w:noWrap/>
            <w:vAlign w:val="bottom"/>
            <w:hideMark/>
          </w:tcPr>
          <w:p w14:paraId="5707E986" w14:textId="77777777" w:rsidR="00A21E9D" w:rsidRPr="00853884" w:rsidRDefault="00A21E9D" w:rsidP="002315E1">
            <w:pPr>
              <w:spacing w:after="0"/>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130</w:t>
            </w:r>
          </w:p>
        </w:tc>
        <w:tc>
          <w:tcPr>
            <w:tcW w:w="9714" w:type="dxa"/>
            <w:tcBorders>
              <w:top w:val="nil"/>
              <w:left w:val="nil"/>
              <w:bottom w:val="nil"/>
            </w:tcBorders>
            <w:shd w:val="clear" w:color="auto" w:fill="auto"/>
            <w:noWrap/>
            <w:vAlign w:val="bottom"/>
            <w:hideMark/>
          </w:tcPr>
          <w:p w14:paraId="65969FCE" w14:textId="77777777" w:rsidR="00A21E9D" w:rsidRPr="00853884" w:rsidRDefault="00A21E9D" w:rsidP="002315E1">
            <w:pPr>
              <w:spacing w:after="0"/>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OPERAÇÕES DE CRÉDITO VINCULADAS Á EDUCAÇÃO</w:t>
            </w:r>
          </w:p>
        </w:tc>
        <w:tc>
          <w:tcPr>
            <w:tcW w:w="906" w:type="dxa"/>
            <w:tcBorders>
              <w:top w:val="nil"/>
              <w:bottom w:val="nil"/>
              <w:right w:val="single" w:sz="4" w:space="0" w:color="auto"/>
            </w:tcBorders>
            <w:shd w:val="clear" w:color="auto" w:fill="auto"/>
            <w:noWrap/>
            <w:vAlign w:val="bottom"/>
          </w:tcPr>
          <w:p w14:paraId="5E7D91C7" w14:textId="77777777" w:rsidR="00A21E9D" w:rsidRPr="00853884" w:rsidRDefault="00A21E9D" w:rsidP="002315E1">
            <w:pPr>
              <w:spacing w:after="0"/>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hideMark/>
          </w:tcPr>
          <w:p w14:paraId="124E675F" w14:textId="77777777" w:rsidR="00A21E9D" w:rsidRPr="00853884" w:rsidRDefault="00A21E9D" w:rsidP="002315E1">
            <w:pPr>
              <w:spacing w:after="0"/>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SDF.D019</w:t>
            </w:r>
          </w:p>
        </w:tc>
        <w:tc>
          <w:tcPr>
            <w:tcW w:w="1520" w:type="dxa"/>
            <w:tcBorders>
              <w:top w:val="nil"/>
              <w:left w:val="nil"/>
              <w:bottom w:val="nil"/>
              <w:right w:val="single" w:sz="4" w:space="0" w:color="auto"/>
            </w:tcBorders>
            <w:shd w:val="clear" w:color="auto" w:fill="auto"/>
            <w:noWrap/>
            <w:vAlign w:val="bottom"/>
            <w:hideMark/>
          </w:tcPr>
          <w:p w14:paraId="64E06673" w14:textId="77777777" w:rsidR="00A21E9D" w:rsidRPr="00853884" w:rsidRDefault="00A21E9D" w:rsidP="002315E1">
            <w:pPr>
              <w:spacing w:after="0"/>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SDF.E019</w:t>
            </w:r>
          </w:p>
        </w:tc>
      </w:tr>
      <w:tr w:rsidR="00A21E9D" w:rsidRPr="00853884" w14:paraId="3C4A1065" w14:textId="77777777" w:rsidTr="00155A88">
        <w:trPr>
          <w:trHeight w:val="255"/>
        </w:trPr>
        <w:tc>
          <w:tcPr>
            <w:tcW w:w="852" w:type="dxa"/>
            <w:tcBorders>
              <w:top w:val="nil"/>
              <w:left w:val="single" w:sz="4" w:space="0" w:color="auto"/>
              <w:bottom w:val="nil"/>
              <w:right w:val="single" w:sz="4" w:space="0" w:color="auto"/>
            </w:tcBorders>
            <w:shd w:val="clear" w:color="auto" w:fill="auto"/>
            <w:noWrap/>
            <w:vAlign w:val="bottom"/>
          </w:tcPr>
          <w:p w14:paraId="69010FCA"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140</w:t>
            </w:r>
          </w:p>
        </w:tc>
        <w:tc>
          <w:tcPr>
            <w:tcW w:w="9714" w:type="dxa"/>
            <w:tcBorders>
              <w:top w:val="nil"/>
              <w:left w:val="nil"/>
              <w:bottom w:val="nil"/>
            </w:tcBorders>
            <w:shd w:val="clear" w:color="auto" w:fill="auto"/>
            <w:noWrap/>
            <w:vAlign w:val="bottom"/>
          </w:tcPr>
          <w:p w14:paraId="68C79990" w14:textId="77777777" w:rsidR="00A21E9D" w:rsidRPr="00853884" w:rsidRDefault="00A21E9D"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ROYALTIES DO PETRÓLEO VINCULADOS À EDUCAÇÃO</w:t>
            </w:r>
          </w:p>
        </w:tc>
        <w:tc>
          <w:tcPr>
            <w:tcW w:w="906" w:type="dxa"/>
            <w:tcBorders>
              <w:top w:val="nil"/>
              <w:bottom w:val="nil"/>
              <w:right w:val="single" w:sz="4" w:space="0" w:color="auto"/>
            </w:tcBorders>
            <w:shd w:val="clear" w:color="auto" w:fill="auto"/>
            <w:noWrap/>
            <w:vAlign w:val="bottom"/>
          </w:tcPr>
          <w:p w14:paraId="4C5B19B4"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tcPr>
          <w:p w14:paraId="5DF5F9E9"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SDF.D057</w:t>
            </w:r>
          </w:p>
        </w:tc>
        <w:tc>
          <w:tcPr>
            <w:tcW w:w="1520" w:type="dxa"/>
            <w:tcBorders>
              <w:top w:val="nil"/>
              <w:left w:val="nil"/>
              <w:bottom w:val="nil"/>
              <w:right w:val="single" w:sz="4" w:space="0" w:color="auto"/>
            </w:tcBorders>
            <w:shd w:val="clear" w:color="auto" w:fill="auto"/>
            <w:noWrap/>
            <w:vAlign w:val="bottom"/>
          </w:tcPr>
          <w:p w14:paraId="40815296"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SDF.E057</w:t>
            </w:r>
          </w:p>
        </w:tc>
      </w:tr>
      <w:tr w:rsidR="00A21E9D" w:rsidRPr="00853884" w14:paraId="7208595F" w14:textId="77777777" w:rsidTr="00155A88">
        <w:trPr>
          <w:trHeight w:val="255"/>
        </w:trPr>
        <w:tc>
          <w:tcPr>
            <w:tcW w:w="852" w:type="dxa"/>
            <w:tcBorders>
              <w:top w:val="nil"/>
              <w:left w:val="single" w:sz="4" w:space="0" w:color="auto"/>
              <w:bottom w:val="nil"/>
              <w:right w:val="single" w:sz="4" w:space="0" w:color="auto"/>
            </w:tcBorders>
            <w:shd w:val="clear" w:color="auto" w:fill="auto"/>
            <w:noWrap/>
            <w:vAlign w:val="bottom"/>
          </w:tcPr>
          <w:p w14:paraId="0063CC9C"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125</w:t>
            </w:r>
          </w:p>
        </w:tc>
        <w:tc>
          <w:tcPr>
            <w:tcW w:w="9714" w:type="dxa"/>
            <w:tcBorders>
              <w:top w:val="nil"/>
              <w:left w:val="nil"/>
              <w:bottom w:val="nil"/>
            </w:tcBorders>
            <w:shd w:val="clear" w:color="auto" w:fill="auto"/>
            <w:noWrap/>
            <w:vAlign w:val="bottom"/>
          </w:tcPr>
          <w:p w14:paraId="0FAD2EF4" w14:textId="77777777" w:rsidR="00A21E9D" w:rsidRPr="00853884" w:rsidRDefault="00A21E9D"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TRANSFERÊNCIAS DE CONVÊNIOS OU DE CONTRATOS DE REPASSES VINCULADOS À - EDUCAÇÃO</w:t>
            </w:r>
          </w:p>
        </w:tc>
        <w:tc>
          <w:tcPr>
            <w:tcW w:w="906" w:type="dxa"/>
            <w:tcBorders>
              <w:top w:val="nil"/>
              <w:bottom w:val="nil"/>
              <w:right w:val="single" w:sz="4" w:space="0" w:color="auto"/>
            </w:tcBorders>
            <w:shd w:val="clear" w:color="auto" w:fill="auto"/>
            <w:noWrap/>
            <w:vAlign w:val="bottom"/>
          </w:tcPr>
          <w:p w14:paraId="01EEF58D"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tcPr>
          <w:p w14:paraId="474ED8D4"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SDF.D016</w:t>
            </w:r>
          </w:p>
        </w:tc>
        <w:tc>
          <w:tcPr>
            <w:tcW w:w="1520" w:type="dxa"/>
            <w:tcBorders>
              <w:top w:val="nil"/>
              <w:left w:val="nil"/>
              <w:bottom w:val="nil"/>
              <w:right w:val="single" w:sz="4" w:space="0" w:color="auto"/>
            </w:tcBorders>
            <w:shd w:val="clear" w:color="auto" w:fill="auto"/>
            <w:noWrap/>
            <w:vAlign w:val="bottom"/>
          </w:tcPr>
          <w:p w14:paraId="36E1084E"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SDF.E016</w:t>
            </w:r>
          </w:p>
        </w:tc>
      </w:tr>
      <w:tr w:rsidR="00A21E9D" w:rsidRPr="00853884" w14:paraId="3B9822E2" w14:textId="77777777" w:rsidTr="00155A88">
        <w:trPr>
          <w:trHeight w:val="255"/>
        </w:trPr>
        <w:tc>
          <w:tcPr>
            <w:tcW w:w="852" w:type="dxa"/>
            <w:tcBorders>
              <w:top w:val="nil"/>
              <w:left w:val="single" w:sz="4" w:space="0" w:color="auto"/>
              <w:bottom w:val="nil"/>
              <w:right w:val="single" w:sz="4" w:space="0" w:color="auto"/>
            </w:tcBorders>
            <w:shd w:val="clear" w:color="auto" w:fill="auto"/>
            <w:noWrap/>
            <w:vAlign w:val="bottom"/>
            <w:hideMark/>
          </w:tcPr>
          <w:p w14:paraId="455984D4"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190</w:t>
            </w:r>
          </w:p>
        </w:tc>
        <w:tc>
          <w:tcPr>
            <w:tcW w:w="9714" w:type="dxa"/>
            <w:tcBorders>
              <w:top w:val="nil"/>
              <w:left w:val="nil"/>
              <w:bottom w:val="nil"/>
            </w:tcBorders>
            <w:shd w:val="clear" w:color="auto" w:fill="auto"/>
            <w:noWrap/>
            <w:vAlign w:val="bottom"/>
            <w:hideMark/>
          </w:tcPr>
          <w:p w14:paraId="16498179" w14:textId="77777777" w:rsidR="00A21E9D" w:rsidRPr="00853884" w:rsidRDefault="00A21E9D"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OUTROS RECURSOS VINCULADOS À EDUCAÇÃO</w:t>
            </w:r>
          </w:p>
        </w:tc>
        <w:tc>
          <w:tcPr>
            <w:tcW w:w="906" w:type="dxa"/>
            <w:tcBorders>
              <w:top w:val="nil"/>
              <w:bottom w:val="nil"/>
              <w:right w:val="single" w:sz="4" w:space="0" w:color="auto"/>
            </w:tcBorders>
            <w:shd w:val="clear" w:color="auto" w:fill="auto"/>
            <w:noWrap/>
            <w:vAlign w:val="bottom"/>
          </w:tcPr>
          <w:p w14:paraId="1CF8CB3D"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hideMark/>
          </w:tcPr>
          <w:p w14:paraId="0F999331"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SDF.D020</w:t>
            </w:r>
          </w:p>
        </w:tc>
        <w:tc>
          <w:tcPr>
            <w:tcW w:w="1520" w:type="dxa"/>
            <w:tcBorders>
              <w:top w:val="nil"/>
              <w:left w:val="nil"/>
              <w:bottom w:val="nil"/>
              <w:right w:val="single" w:sz="4" w:space="0" w:color="auto"/>
            </w:tcBorders>
            <w:shd w:val="clear" w:color="auto" w:fill="auto"/>
            <w:noWrap/>
            <w:vAlign w:val="bottom"/>
            <w:hideMark/>
          </w:tcPr>
          <w:p w14:paraId="11B082D7"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SDF.E020</w:t>
            </w:r>
          </w:p>
        </w:tc>
      </w:tr>
      <w:tr w:rsidR="00A21E9D" w:rsidRPr="00853884" w14:paraId="0FB5BE3D" w14:textId="77777777" w:rsidTr="00155A88">
        <w:trPr>
          <w:trHeight w:val="255"/>
        </w:trPr>
        <w:tc>
          <w:tcPr>
            <w:tcW w:w="852" w:type="dxa"/>
            <w:tcBorders>
              <w:top w:val="nil"/>
              <w:left w:val="single" w:sz="4" w:space="0" w:color="auto"/>
              <w:bottom w:val="nil"/>
              <w:right w:val="single" w:sz="4" w:space="0" w:color="auto"/>
            </w:tcBorders>
            <w:shd w:val="clear" w:color="auto" w:fill="auto"/>
            <w:noWrap/>
            <w:vAlign w:val="bottom"/>
          </w:tcPr>
          <w:p w14:paraId="567F1B75"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p>
        </w:tc>
        <w:tc>
          <w:tcPr>
            <w:tcW w:w="9714" w:type="dxa"/>
            <w:tcBorders>
              <w:top w:val="nil"/>
              <w:left w:val="nil"/>
              <w:bottom w:val="nil"/>
            </w:tcBorders>
            <w:shd w:val="clear" w:color="auto" w:fill="auto"/>
            <w:noWrap/>
            <w:vAlign w:val="bottom"/>
          </w:tcPr>
          <w:p w14:paraId="654D2BCC" w14:textId="77777777" w:rsidR="00A21E9D" w:rsidRPr="00853884" w:rsidRDefault="00A21E9D"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b/>
                <w:bCs/>
                <w:sz w:val="16"/>
                <w:szCs w:val="16"/>
                <w:lang w:eastAsia="pt-BR"/>
              </w:rPr>
              <w:t>RECURSOS VINCULADOS À SAÚDE</w:t>
            </w:r>
          </w:p>
        </w:tc>
        <w:tc>
          <w:tcPr>
            <w:tcW w:w="906" w:type="dxa"/>
            <w:tcBorders>
              <w:top w:val="nil"/>
              <w:bottom w:val="nil"/>
              <w:right w:val="single" w:sz="4" w:space="0" w:color="auto"/>
            </w:tcBorders>
            <w:shd w:val="clear" w:color="auto" w:fill="auto"/>
            <w:noWrap/>
            <w:vAlign w:val="bottom"/>
          </w:tcPr>
          <w:p w14:paraId="5C961836"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tcPr>
          <w:p w14:paraId="052BA710"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b/>
                <w:bCs/>
                <w:sz w:val="16"/>
                <w:szCs w:val="16"/>
                <w:lang w:eastAsia="pt-BR"/>
              </w:rPr>
              <w:t>SDF.D078</w:t>
            </w:r>
          </w:p>
        </w:tc>
        <w:tc>
          <w:tcPr>
            <w:tcW w:w="1520" w:type="dxa"/>
            <w:tcBorders>
              <w:top w:val="nil"/>
              <w:left w:val="nil"/>
              <w:bottom w:val="nil"/>
              <w:right w:val="single" w:sz="4" w:space="0" w:color="auto"/>
            </w:tcBorders>
            <w:shd w:val="clear" w:color="auto" w:fill="auto"/>
            <w:noWrap/>
            <w:vAlign w:val="bottom"/>
          </w:tcPr>
          <w:p w14:paraId="76B4C350"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b/>
                <w:bCs/>
                <w:sz w:val="16"/>
                <w:szCs w:val="16"/>
                <w:lang w:eastAsia="pt-BR"/>
              </w:rPr>
              <w:t>SDF.E078</w:t>
            </w:r>
          </w:p>
        </w:tc>
      </w:tr>
      <w:tr w:rsidR="00A21E9D" w:rsidRPr="00853884" w14:paraId="453AE225" w14:textId="77777777" w:rsidTr="00155A88">
        <w:trPr>
          <w:trHeight w:val="255"/>
        </w:trPr>
        <w:tc>
          <w:tcPr>
            <w:tcW w:w="852" w:type="dxa"/>
            <w:tcBorders>
              <w:top w:val="nil"/>
              <w:left w:val="single" w:sz="4" w:space="0" w:color="auto"/>
              <w:bottom w:val="nil"/>
              <w:right w:val="single" w:sz="4" w:space="0" w:color="auto"/>
            </w:tcBorders>
            <w:shd w:val="clear" w:color="auto" w:fill="auto"/>
            <w:noWrap/>
            <w:vAlign w:val="bottom"/>
            <w:hideMark/>
          </w:tcPr>
          <w:p w14:paraId="4A4FEC79"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211</w:t>
            </w:r>
          </w:p>
        </w:tc>
        <w:tc>
          <w:tcPr>
            <w:tcW w:w="9714" w:type="dxa"/>
            <w:tcBorders>
              <w:top w:val="nil"/>
              <w:left w:val="nil"/>
              <w:bottom w:val="nil"/>
            </w:tcBorders>
            <w:shd w:val="clear" w:color="auto" w:fill="auto"/>
            <w:noWrap/>
            <w:vAlign w:val="bottom"/>
            <w:hideMark/>
          </w:tcPr>
          <w:p w14:paraId="772FAE47" w14:textId="77777777" w:rsidR="00A21E9D" w:rsidRPr="00853884" w:rsidRDefault="00A21E9D"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RECEITA DE IMPOSTOS E TRANSFERÊNCIA DE IMPOSTOS - SAÚDE</w:t>
            </w:r>
          </w:p>
        </w:tc>
        <w:tc>
          <w:tcPr>
            <w:tcW w:w="906" w:type="dxa"/>
            <w:tcBorders>
              <w:top w:val="nil"/>
              <w:bottom w:val="nil"/>
              <w:right w:val="single" w:sz="4" w:space="0" w:color="auto"/>
            </w:tcBorders>
            <w:shd w:val="clear" w:color="auto" w:fill="auto"/>
            <w:noWrap/>
            <w:vAlign w:val="bottom"/>
          </w:tcPr>
          <w:p w14:paraId="7B3DCF34"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hideMark/>
          </w:tcPr>
          <w:p w14:paraId="0D42F003"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SDF.D021</w:t>
            </w:r>
          </w:p>
        </w:tc>
        <w:tc>
          <w:tcPr>
            <w:tcW w:w="1520" w:type="dxa"/>
            <w:tcBorders>
              <w:top w:val="nil"/>
              <w:left w:val="nil"/>
              <w:bottom w:val="nil"/>
              <w:right w:val="single" w:sz="4" w:space="0" w:color="auto"/>
            </w:tcBorders>
            <w:shd w:val="clear" w:color="auto" w:fill="auto"/>
            <w:noWrap/>
            <w:vAlign w:val="bottom"/>
            <w:hideMark/>
          </w:tcPr>
          <w:p w14:paraId="5BFE48C7"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SDF.E021</w:t>
            </w:r>
          </w:p>
        </w:tc>
      </w:tr>
      <w:tr w:rsidR="00A21E9D" w:rsidRPr="00853884" w14:paraId="70C57C43" w14:textId="77777777" w:rsidTr="00155A88">
        <w:trPr>
          <w:trHeight w:val="255"/>
        </w:trPr>
        <w:tc>
          <w:tcPr>
            <w:tcW w:w="852" w:type="dxa"/>
            <w:tcBorders>
              <w:top w:val="nil"/>
              <w:left w:val="single" w:sz="4" w:space="0" w:color="auto"/>
              <w:bottom w:val="nil"/>
              <w:right w:val="single" w:sz="4" w:space="0" w:color="auto"/>
            </w:tcBorders>
            <w:shd w:val="clear" w:color="auto" w:fill="auto"/>
            <w:noWrap/>
            <w:vAlign w:val="bottom"/>
          </w:tcPr>
          <w:p w14:paraId="7F0275D6"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240</w:t>
            </w:r>
          </w:p>
        </w:tc>
        <w:tc>
          <w:tcPr>
            <w:tcW w:w="9714" w:type="dxa"/>
            <w:tcBorders>
              <w:top w:val="nil"/>
              <w:left w:val="nil"/>
              <w:bottom w:val="nil"/>
            </w:tcBorders>
            <w:shd w:val="clear" w:color="auto" w:fill="auto"/>
            <w:noWrap/>
            <w:vAlign w:val="bottom"/>
          </w:tcPr>
          <w:p w14:paraId="1C6F8F20" w14:textId="77777777" w:rsidR="00A21E9D" w:rsidRPr="00853884" w:rsidRDefault="00A21E9D"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ROYALTIES DO PETRÓLEO VINCULADOS À SAÚDE</w:t>
            </w:r>
          </w:p>
        </w:tc>
        <w:tc>
          <w:tcPr>
            <w:tcW w:w="906" w:type="dxa"/>
            <w:tcBorders>
              <w:top w:val="nil"/>
              <w:bottom w:val="nil"/>
              <w:right w:val="single" w:sz="4" w:space="0" w:color="auto"/>
            </w:tcBorders>
            <w:shd w:val="clear" w:color="auto" w:fill="auto"/>
            <w:noWrap/>
            <w:vAlign w:val="bottom"/>
          </w:tcPr>
          <w:p w14:paraId="7ED2862E"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tcPr>
          <w:p w14:paraId="6D727E75"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SDF.D058</w:t>
            </w:r>
          </w:p>
        </w:tc>
        <w:tc>
          <w:tcPr>
            <w:tcW w:w="1520" w:type="dxa"/>
            <w:tcBorders>
              <w:top w:val="nil"/>
              <w:left w:val="nil"/>
              <w:bottom w:val="nil"/>
              <w:right w:val="single" w:sz="4" w:space="0" w:color="auto"/>
            </w:tcBorders>
            <w:shd w:val="clear" w:color="auto" w:fill="auto"/>
            <w:noWrap/>
            <w:vAlign w:val="bottom"/>
          </w:tcPr>
          <w:p w14:paraId="5C6A3022"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SDF.E058</w:t>
            </w:r>
          </w:p>
        </w:tc>
      </w:tr>
      <w:tr w:rsidR="00A21E9D" w:rsidRPr="00853884" w14:paraId="7BD03376" w14:textId="77777777" w:rsidTr="00630125">
        <w:trPr>
          <w:trHeight w:val="255"/>
        </w:trPr>
        <w:tc>
          <w:tcPr>
            <w:tcW w:w="852" w:type="dxa"/>
            <w:tcBorders>
              <w:top w:val="nil"/>
              <w:left w:val="single" w:sz="4" w:space="0" w:color="auto"/>
              <w:bottom w:val="nil"/>
              <w:right w:val="single" w:sz="4" w:space="0" w:color="auto"/>
            </w:tcBorders>
            <w:shd w:val="clear" w:color="auto" w:fill="auto"/>
            <w:noWrap/>
          </w:tcPr>
          <w:p w14:paraId="633D1677" w14:textId="77777777" w:rsidR="00A21E9D" w:rsidRPr="00853884" w:rsidRDefault="00A21E9D" w:rsidP="00630125">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lastRenderedPageBreak/>
              <w:t>214</w:t>
            </w:r>
          </w:p>
        </w:tc>
        <w:tc>
          <w:tcPr>
            <w:tcW w:w="9714" w:type="dxa"/>
            <w:tcBorders>
              <w:top w:val="nil"/>
              <w:left w:val="nil"/>
              <w:bottom w:val="nil"/>
            </w:tcBorders>
            <w:shd w:val="clear" w:color="auto" w:fill="auto"/>
            <w:noWrap/>
            <w:vAlign w:val="bottom"/>
          </w:tcPr>
          <w:p w14:paraId="3993C473" w14:textId="57F6AE3C" w:rsidR="00A21E9D" w:rsidRPr="00853884" w:rsidRDefault="00A21E9D"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TRANSFERÊNCIAS FUNDO A FUNDO DE RECURSOS DO SUS PROVENIENTES DO GOVERNO FEDERAL (Bloco de</w:t>
            </w:r>
            <w:r w:rsidR="00630125" w:rsidRPr="00630125">
              <w:rPr>
                <w:rFonts w:ascii="Arial Narrow" w:eastAsia="Times New Roman" w:hAnsi="Arial Narrow" w:cs="Arial"/>
                <w:color w:val="0070C0"/>
                <w:sz w:val="16"/>
                <w:szCs w:val="16"/>
                <w:lang w:eastAsia="pt-BR"/>
              </w:rPr>
              <w:t xml:space="preserve"> Manutenção</w:t>
            </w:r>
            <w:r w:rsidRPr="00853884">
              <w:rPr>
                <w:rFonts w:ascii="Arial Narrow" w:eastAsia="Times New Roman" w:hAnsi="Arial Narrow" w:cs="Arial"/>
                <w:sz w:val="16"/>
                <w:szCs w:val="16"/>
                <w:lang w:eastAsia="pt-BR"/>
              </w:rPr>
              <w:t xml:space="preserve"> </w:t>
            </w:r>
            <w:r w:rsidRPr="00630125">
              <w:rPr>
                <w:rFonts w:ascii="Arial Narrow" w:eastAsia="Times New Roman" w:hAnsi="Arial Narrow" w:cs="Arial"/>
                <w:strike/>
                <w:color w:val="FF0000"/>
                <w:sz w:val="16"/>
                <w:szCs w:val="16"/>
                <w:lang w:eastAsia="pt-BR"/>
              </w:rPr>
              <w:t>Custeio</w:t>
            </w:r>
            <w:r w:rsidRPr="00853884">
              <w:rPr>
                <w:rFonts w:ascii="Arial Narrow" w:eastAsia="Times New Roman" w:hAnsi="Arial Narrow" w:cs="Arial"/>
                <w:sz w:val="16"/>
                <w:szCs w:val="16"/>
                <w:lang w:eastAsia="pt-BR"/>
              </w:rPr>
              <w:t xml:space="preserve"> das Ações e Serviços Públicos de Saúde)</w:t>
            </w:r>
          </w:p>
        </w:tc>
        <w:tc>
          <w:tcPr>
            <w:tcW w:w="906" w:type="dxa"/>
            <w:tcBorders>
              <w:top w:val="nil"/>
              <w:bottom w:val="nil"/>
              <w:right w:val="single" w:sz="4" w:space="0" w:color="auto"/>
            </w:tcBorders>
            <w:shd w:val="clear" w:color="auto" w:fill="auto"/>
            <w:noWrap/>
            <w:vAlign w:val="bottom"/>
          </w:tcPr>
          <w:p w14:paraId="74E434DC"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tcPr>
          <w:p w14:paraId="71CCC7E4" w14:textId="77777777" w:rsidR="00A21E9D" w:rsidRPr="00853884" w:rsidRDefault="00A21E9D" w:rsidP="00630125">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SDF.D059</w:t>
            </w:r>
          </w:p>
        </w:tc>
        <w:tc>
          <w:tcPr>
            <w:tcW w:w="1520" w:type="dxa"/>
            <w:tcBorders>
              <w:top w:val="nil"/>
              <w:left w:val="nil"/>
              <w:bottom w:val="nil"/>
              <w:right w:val="single" w:sz="4" w:space="0" w:color="auto"/>
            </w:tcBorders>
            <w:shd w:val="clear" w:color="auto" w:fill="auto"/>
            <w:noWrap/>
          </w:tcPr>
          <w:p w14:paraId="581D6C4A" w14:textId="77777777" w:rsidR="00A21E9D" w:rsidRPr="00853884" w:rsidRDefault="00A21E9D" w:rsidP="00630125">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SDF.E059</w:t>
            </w:r>
          </w:p>
        </w:tc>
      </w:tr>
      <w:tr w:rsidR="00A21E9D" w:rsidRPr="00853884" w14:paraId="4678FE4E" w14:textId="77777777" w:rsidTr="00630125">
        <w:trPr>
          <w:trHeight w:val="255"/>
        </w:trPr>
        <w:tc>
          <w:tcPr>
            <w:tcW w:w="852" w:type="dxa"/>
            <w:tcBorders>
              <w:top w:val="nil"/>
              <w:left w:val="single" w:sz="4" w:space="0" w:color="auto"/>
              <w:bottom w:val="nil"/>
              <w:right w:val="single" w:sz="4" w:space="0" w:color="auto"/>
            </w:tcBorders>
            <w:shd w:val="clear" w:color="auto" w:fill="auto"/>
            <w:noWrap/>
          </w:tcPr>
          <w:p w14:paraId="7D533B3C" w14:textId="77777777" w:rsidR="00A21E9D" w:rsidRPr="00853884" w:rsidRDefault="00A21E9D" w:rsidP="00630125">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215</w:t>
            </w:r>
          </w:p>
        </w:tc>
        <w:tc>
          <w:tcPr>
            <w:tcW w:w="9714" w:type="dxa"/>
            <w:tcBorders>
              <w:top w:val="nil"/>
              <w:left w:val="nil"/>
              <w:bottom w:val="nil"/>
            </w:tcBorders>
            <w:shd w:val="clear" w:color="auto" w:fill="auto"/>
            <w:noWrap/>
            <w:vAlign w:val="bottom"/>
          </w:tcPr>
          <w:p w14:paraId="7D147949" w14:textId="48C1B397" w:rsidR="00A21E9D" w:rsidRPr="00853884" w:rsidRDefault="00A21E9D"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TRANSFERÊNCIAS FUNDO A FUNDO DE RECURSOS DO SUS PROVENIENTES DO GOVERNO FEDERAL (Bloco de</w:t>
            </w:r>
            <w:r w:rsidR="00630125" w:rsidRPr="00630125">
              <w:rPr>
                <w:rFonts w:ascii="Arial Narrow" w:eastAsia="Times New Roman" w:hAnsi="Arial Narrow" w:cs="Arial"/>
                <w:color w:val="0070C0"/>
                <w:sz w:val="16"/>
                <w:szCs w:val="16"/>
                <w:lang w:eastAsia="pt-BR"/>
              </w:rPr>
              <w:t xml:space="preserve"> Estruturação</w:t>
            </w:r>
            <w:r w:rsidRPr="00853884">
              <w:rPr>
                <w:rFonts w:ascii="Arial Narrow" w:eastAsia="Times New Roman" w:hAnsi="Arial Narrow" w:cs="Arial"/>
                <w:sz w:val="16"/>
                <w:szCs w:val="16"/>
                <w:lang w:eastAsia="pt-BR"/>
              </w:rPr>
              <w:t xml:space="preserve"> </w:t>
            </w:r>
            <w:r w:rsidRPr="00630125">
              <w:rPr>
                <w:rFonts w:ascii="Arial Narrow" w:eastAsia="Times New Roman" w:hAnsi="Arial Narrow" w:cs="Arial"/>
                <w:strike/>
                <w:color w:val="FF0000"/>
                <w:sz w:val="16"/>
                <w:szCs w:val="16"/>
                <w:lang w:eastAsia="pt-BR"/>
              </w:rPr>
              <w:t>Investimento</w:t>
            </w:r>
            <w:r w:rsidRPr="00853884">
              <w:rPr>
                <w:rFonts w:ascii="Arial Narrow" w:eastAsia="Times New Roman" w:hAnsi="Arial Narrow" w:cs="Arial"/>
                <w:sz w:val="16"/>
                <w:szCs w:val="16"/>
                <w:lang w:eastAsia="pt-BR"/>
              </w:rPr>
              <w:t xml:space="preserve"> na Rede de Serviços Públicos de Saúde)</w:t>
            </w:r>
          </w:p>
        </w:tc>
        <w:tc>
          <w:tcPr>
            <w:tcW w:w="906" w:type="dxa"/>
            <w:tcBorders>
              <w:top w:val="nil"/>
              <w:bottom w:val="nil"/>
              <w:right w:val="single" w:sz="4" w:space="0" w:color="auto"/>
            </w:tcBorders>
            <w:shd w:val="clear" w:color="auto" w:fill="auto"/>
            <w:noWrap/>
            <w:vAlign w:val="bottom"/>
          </w:tcPr>
          <w:p w14:paraId="157DD58A"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tcPr>
          <w:p w14:paraId="1775D7E4" w14:textId="77777777" w:rsidR="00A21E9D" w:rsidRPr="00853884" w:rsidRDefault="00A21E9D" w:rsidP="00630125">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SDF.D060</w:t>
            </w:r>
          </w:p>
        </w:tc>
        <w:tc>
          <w:tcPr>
            <w:tcW w:w="1520" w:type="dxa"/>
            <w:tcBorders>
              <w:top w:val="nil"/>
              <w:left w:val="nil"/>
              <w:bottom w:val="nil"/>
              <w:right w:val="single" w:sz="4" w:space="0" w:color="auto"/>
            </w:tcBorders>
            <w:shd w:val="clear" w:color="auto" w:fill="auto"/>
            <w:noWrap/>
          </w:tcPr>
          <w:p w14:paraId="1EE8079E" w14:textId="77777777" w:rsidR="00A21E9D" w:rsidRPr="00853884" w:rsidRDefault="00A21E9D" w:rsidP="00630125">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SDF.E060</w:t>
            </w:r>
          </w:p>
        </w:tc>
      </w:tr>
      <w:tr w:rsidR="00A21E9D" w:rsidRPr="00853884" w14:paraId="1E98B71F" w14:textId="77777777" w:rsidTr="00155A88">
        <w:trPr>
          <w:trHeight w:val="255"/>
        </w:trPr>
        <w:tc>
          <w:tcPr>
            <w:tcW w:w="852" w:type="dxa"/>
            <w:tcBorders>
              <w:top w:val="nil"/>
              <w:left w:val="single" w:sz="4" w:space="0" w:color="auto"/>
              <w:bottom w:val="nil"/>
              <w:right w:val="single" w:sz="4" w:space="0" w:color="auto"/>
            </w:tcBorders>
            <w:shd w:val="clear" w:color="auto" w:fill="auto"/>
            <w:noWrap/>
            <w:vAlign w:val="bottom"/>
            <w:hideMark/>
          </w:tcPr>
          <w:p w14:paraId="2AC0E23C"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250</w:t>
            </w:r>
          </w:p>
        </w:tc>
        <w:tc>
          <w:tcPr>
            <w:tcW w:w="9714" w:type="dxa"/>
            <w:tcBorders>
              <w:top w:val="nil"/>
              <w:left w:val="nil"/>
              <w:bottom w:val="nil"/>
            </w:tcBorders>
            <w:shd w:val="clear" w:color="auto" w:fill="auto"/>
            <w:noWrap/>
            <w:vAlign w:val="bottom"/>
            <w:hideMark/>
          </w:tcPr>
          <w:p w14:paraId="44B3E0DA" w14:textId="77777777" w:rsidR="00A21E9D" w:rsidRPr="00853884" w:rsidRDefault="00A21E9D"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RECEITA DE IMPOSTOS E TRANSF. DE IMP. – SAÚDE - REMUN. DE DEPÓSITOS BANCÁRIOS</w:t>
            </w:r>
          </w:p>
        </w:tc>
        <w:tc>
          <w:tcPr>
            <w:tcW w:w="906" w:type="dxa"/>
            <w:tcBorders>
              <w:top w:val="nil"/>
              <w:bottom w:val="nil"/>
              <w:right w:val="single" w:sz="4" w:space="0" w:color="auto"/>
            </w:tcBorders>
            <w:shd w:val="clear" w:color="auto" w:fill="auto"/>
            <w:noWrap/>
            <w:vAlign w:val="bottom"/>
          </w:tcPr>
          <w:p w14:paraId="43C5E8DB"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hideMark/>
          </w:tcPr>
          <w:p w14:paraId="1A82F559"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SDF.D022</w:t>
            </w:r>
          </w:p>
        </w:tc>
        <w:tc>
          <w:tcPr>
            <w:tcW w:w="1520" w:type="dxa"/>
            <w:tcBorders>
              <w:top w:val="nil"/>
              <w:left w:val="nil"/>
              <w:bottom w:val="nil"/>
              <w:right w:val="single" w:sz="4" w:space="0" w:color="auto"/>
            </w:tcBorders>
            <w:shd w:val="clear" w:color="auto" w:fill="auto"/>
            <w:noWrap/>
            <w:vAlign w:val="bottom"/>
            <w:hideMark/>
          </w:tcPr>
          <w:p w14:paraId="2D0B1E5E"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SDF.E022</w:t>
            </w:r>
          </w:p>
        </w:tc>
      </w:tr>
      <w:tr w:rsidR="00A21E9D" w:rsidRPr="00853884" w14:paraId="09A93E52" w14:textId="77777777" w:rsidTr="00155A88">
        <w:trPr>
          <w:trHeight w:val="255"/>
        </w:trPr>
        <w:tc>
          <w:tcPr>
            <w:tcW w:w="852" w:type="dxa"/>
            <w:tcBorders>
              <w:top w:val="nil"/>
              <w:left w:val="single" w:sz="4" w:space="0" w:color="auto"/>
              <w:bottom w:val="nil"/>
              <w:right w:val="single" w:sz="4" w:space="0" w:color="auto"/>
            </w:tcBorders>
            <w:shd w:val="clear" w:color="auto" w:fill="auto"/>
            <w:noWrap/>
          </w:tcPr>
          <w:p w14:paraId="63B5D1DD" w14:textId="77777777" w:rsidR="00A21E9D" w:rsidRPr="00853884" w:rsidRDefault="00A21E9D" w:rsidP="002315E1">
            <w:pPr>
              <w:spacing w:before="60"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212</w:t>
            </w:r>
          </w:p>
        </w:tc>
        <w:tc>
          <w:tcPr>
            <w:tcW w:w="9714" w:type="dxa"/>
            <w:tcBorders>
              <w:top w:val="nil"/>
              <w:left w:val="nil"/>
              <w:bottom w:val="nil"/>
            </w:tcBorders>
            <w:shd w:val="clear" w:color="auto" w:fill="auto"/>
            <w:noWrap/>
            <w:vAlign w:val="bottom"/>
          </w:tcPr>
          <w:p w14:paraId="5140EE90" w14:textId="77777777" w:rsidR="00A21E9D" w:rsidRPr="00853884" w:rsidRDefault="00A21E9D" w:rsidP="002315E1">
            <w:pPr>
              <w:spacing w:before="60"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TRANSFERÊNCIAS FUNDO A FUNDO DE RECURSOS DO SUS PROVENIENTES DOS GOVERNOS MUNICIPAIS</w:t>
            </w:r>
          </w:p>
        </w:tc>
        <w:tc>
          <w:tcPr>
            <w:tcW w:w="906" w:type="dxa"/>
            <w:tcBorders>
              <w:top w:val="nil"/>
              <w:bottom w:val="nil"/>
              <w:right w:val="single" w:sz="4" w:space="0" w:color="auto"/>
            </w:tcBorders>
            <w:shd w:val="clear" w:color="auto" w:fill="auto"/>
            <w:noWrap/>
            <w:vAlign w:val="bottom"/>
          </w:tcPr>
          <w:p w14:paraId="430CFE00"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tcPr>
          <w:p w14:paraId="64793138" w14:textId="77777777" w:rsidR="00A21E9D" w:rsidRPr="00853884" w:rsidRDefault="00A21E9D" w:rsidP="002315E1">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SDF.D068</w:t>
            </w:r>
          </w:p>
        </w:tc>
        <w:tc>
          <w:tcPr>
            <w:tcW w:w="1520" w:type="dxa"/>
            <w:tcBorders>
              <w:top w:val="nil"/>
              <w:left w:val="nil"/>
              <w:bottom w:val="nil"/>
              <w:right w:val="single" w:sz="4" w:space="0" w:color="auto"/>
            </w:tcBorders>
            <w:shd w:val="clear" w:color="auto" w:fill="auto"/>
            <w:noWrap/>
            <w:vAlign w:val="bottom"/>
          </w:tcPr>
          <w:p w14:paraId="18622EC7" w14:textId="77777777" w:rsidR="00A21E9D" w:rsidRPr="00853884" w:rsidRDefault="00A21E9D" w:rsidP="002315E1">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SDF.E068</w:t>
            </w:r>
          </w:p>
        </w:tc>
      </w:tr>
      <w:tr w:rsidR="00A21E9D" w:rsidRPr="00853884" w14:paraId="5C914784" w14:textId="77777777" w:rsidTr="00155A88">
        <w:trPr>
          <w:trHeight w:val="255"/>
        </w:trPr>
        <w:tc>
          <w:tcPr>
            <w:tcW w:w="852" w:type="dxa"/>
            <w:tcBorders>
              <w:top w:val="nil"/>
              <w:left w:val="single" w:sz="4" w:space="0" w:color="auto"/>
              <w:bottom w:val="nil"/>
              <w:right w:val="single" w:sz="4" w:space="0" w:color="auto"/>
            </w:tcBorders>
            <w:shd w:val="clear" w:color="auto" w:fill="auto"/>
            <w:noWrap/>
          </w:tcPr>
          <w:p w14:paraId="3CC881D7" w14:textId="77777777" w:rsidR="00A21E9D" w:rsidRPr="00853884" w:rsidRDefault="00A21E9D" w:rsidP="002315E1">
            <w:pPr>
              <w:spacing w:before="60"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213</w:t>
            </w:r>
          </w:p>
        </w:tc>
        <w:tc>
          <w:tcPr>
            <w:tcW w:w="9714" w:type="dxa"/>
            <w:tcBorders>
              <w:top w:val="nil"/>
              <w:left w:val="nil"/>
              <w:bottom w:val="nil"/>
            </w:tcBorders>
            <w:shd w:val="clear" w:color="auto" w:fill="auto"/>
            <w:noWrap/>
            <w:vAlign w:val="bottom"/>
          </w:tcPr>
          <w:p w14:paraId="7329FBD4" w14:textId="77777777" w:rsidR="00A21E9D" w:rsidRPr="00853884" w:rsidRDefault="00A21E9D" w:rsidP="002315E1">
            <w:pPr>
              <w:spacing w:before="60"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TRANSFERÊNCIAS FUNDO A FUNDO DE RECURSOS DO SUS PROVENIENTES DO GOVERNO ESTADUAL</w:t>
            </w:r>
          </w:p>
        </w:tc>
        <w:tc>
          <w:tcPr>
            <w:tcW w:w="906" w:type="dxa"/>
            <w:tcBorders>
              <w:top w:val="nil"/>
              <w:bottom w:val="nil"/>
              <w:right w:val="single" w:sz="4" w:space="0" w:color="auto"/>
            </w:tcBorders>
            <w:shd w:val="clear" w:color="auto" w:fill="auto"/>
            <w:noWrap/>
            <w:vAlign w:val="bottom"/>
          </w:tcPr>
          <w:p w14:paraId="2CAEF558"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tcPr>
          <w:p w14:paraId="4F06F83A" w14:textId="77777777" w:rsidR="00A21E9D" w:rsidRPr="00853884" w:rsidRDefault="00A21E9D" w:rsidP="002315E1">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SDF.D069</w:t>
            </w:r>
          </w:p>
        </w:tc>
        <w:tc>
          <w:tcPr>
            <w:tcW w:w="1520" w:type="dxa"/>
            <w:tcBorders>
              <w:top w:val="nil"/>
              <w:left w:val="nil"/>
              <w:bottom w:val="nil"/>
              <w:right w:val="single" w:sz="4" w:space="0" w:color="auto"/>
            </w:tcBorders>
            <w:shd w:val="clear" w:color="auto" w:fill="auto"/>
            <w:noWrap/>
            <w:vAlign w:val="bottom"/>
          </w:tcPr>
          <w:p w14:paraId="596D98F1" w14:textId="77777777" w:rsidR="00A21E9D" w:rsidRPr="00853884" w:rsidRDefault="00A21E9D" w:rsidP="002315E1">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SDF.E069</w:t>
            </w:r>
          </w:p>
        </w:tc>
      </w:tr>
      <w:tr w:rsidR="00A21E9D" w:rsidRPr="00853884" w14:paraId="4B927AB1" w14:textId="77777777" w:rsidTr="00155A88">
        <w:trPr>
          <w:trHeight w:val="255"/>
        </w:trPr>
        <w:tc>
          <w:tcPr>
            <w:tcW w:w="852" w:type="dxa"/>
            <w:tcBorders>
              <w:top w:val="nil"/>
              <w:left w:val="single" w:sz="4" w:space="0" w:color="auto"/>
              <w:bottom w:val="nil"/>
              <w:right w:val="single" w:sz="4" w:space="0" w:color="auto"/>
            </w:tcBorders>
            <w:shd w:val="clear" w:color="auto" w:fill="auto"/>
            <w:noWrap/>
            <w:vAlign w:val="bottom"/>
            <w:hideMark/>
          </w:tcPr>
          <w:p w14:paraId="4C71775B"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220</w:t>
            </w:r>
          </w:p>
        </w:tc>
        <w:tc>
          <w:tcPr>
            <w:tcW w:w="9714" w:type="dxa"/>
            <w:tcBorders>
              <w:top w:val="nil"/>
              <w:left w:val="nil"/>
              <w:bottom w:val="nil"/>
            </w:tcBorders>
            <w:shd w:val="clear" w:color="auto" w:fill="auto"/>
            <w:noWrap/>
            <w:vAlign w:val="bottom"/>
          </w:tcPr>
          <w:p w14:paraId="37FCC72F" w14:textId="77777777" w:rsidR="00A21E9D" w:rsidRPr="00853884" w:rsidRDefault="00A21E9D"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TRANSFERÊNCIAS DE CONVÊNIOS VINCULADOS À SAÚDE</w:t>
            </w:r>
          </w:p>
        </w:tc>
        <w:tc>
          <w:tcPr>
            <w:tcW w:w="906" w:type="dxa"/>
            <w:tcBorders>
              <w:top w:val="nil"/>
              <w:bottom w:val="nil"/>
              <w:right w:val="single" w:sz="4" w:space="0" w:color="auto"/>
            </w:tcBorders>
            <w:shd w:val="clear" w:color="auto" w:fill="auto"/>
            <w:noWrap/>
            <w:vAlign w:val="bottom"/>
          </w:tcPr>
          <w:p w14:paraId="777229D7"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hideMark/>
          </w:tcPr>
          <w:p w14:paraId="71BC2027"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SDF.D024</w:t>
            </w:r>
          </w:p>
        </w:tc>
        <w:tc>
          <w:tcPr>
            <w:tcW w:w="1520" w:type="dxa"/>
            <w:tcBorders>
              <w:top w:val="nil"/>
              <w:left w:val="nil"/>
              <w:bottom w:val="nil"/>
              <w:right w:val="single" w:sz="4" w:space="0" w:color="auto"/>
            </w:tcBorders>
            <w:shd w:val="clear" w:color="auto" w:fill="auto"/>
            <w:noWrap/>
            <w:vAlign w:val="bottom"/>
            <w:hideMark/>
          </w:tcPr>
          <w:p w14:paraId="592A6C88"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SDF.E024</w:t>
            </w:r>
          </w:p>
        </w:tc>
      </w:tr>
      <w:tr w:rsidR="00A21E9D" w:rsidRPr="00853884" w14:paraId="53796481" w14:textId="77777777" w:rsidTr="00155A88">
        <w:trPr>
          <w:trHeight w:val="255"/>
        </w:trPr>
        <w:tc>
          <w:tcPr>
            <w:tcW w:w="852" w:type="dxa"/>
            <w:tcBorders>
              <w:top w:val="nil"/>
              <w:left w:val="single" w:sz="4" w:space="0" w:color="auto"/>
              <w:bottom w:val="nil"/>
              <w:right w:val="single" w:sz="4" w:space="0" w:color="auto"/>
            </w:tcBorders>
            <w:shd w:val="clear" w:color="auto" w:fill="auto"/>
            <w:noWrap/>
            <w:vAlign w:val="bottom"/>
            <w:hideMark/>
          </w:tcPr>
          <w:p w14:paraId="4D79B79C"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230</w:t>
            </w:r>
          </w:p>
        </w:tc>
        <w:tc>
          <w:tcPr>
            <w:tcW w:w="9714" w:type="dxa"/>
            <w:tcBorders>
              <w:top w:val="nil"/>
              <w:left w:val="nil"/>
              <w:bottom w:val="nil"/>
            </w:tcBorders>
            <w:shd w:val="clear" w:color="auto" w:fill="auto"/>
            <w:noWrap/>
            <w:vAlign w:val="bottom"/>
            <w:hideMark/>
          </w:tcPr>
          <w:p w14:paraId="5185B74F" w14:textId="77777777" w:rsidR="00A21E9D" w:rsidRPr="00853884" w:rsidRDefault="00A21E9D"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OPERAÇÕES DE CRÉDITO VINCULADAS À SAÚDE</w:t>
            </w:r>
          </w:p>
        </w:tc>
        <w:tc>
          <w:tcPr>
            <w:tcW w:w="906" w:type="dxa"/>
            <w:tcBorders>
              <w:top w:val="nil"/>
              <w:bottom w:val="nil"/>
              <w:right w:val="single" w:sz="4" w:space="0" w:color="auto"/>
            </w:tcBorders>
            <w:shd w:val="clear" w:color="auto" w:fill="auto"/>
            <w:noWrap/>
            <w:vAlign w:val="bottom"/>
          </w:tcPr>
          <w:p w14:paraId="11D63129"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hideMark/>
          </w:tcPr>
          <w:p w14:paraId="6128B51A"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SDF.D025</w:t>
            </w:r>
          </w:p>
        </w:tc>
        <w:tc>
          <w:tcPr>
            <w:tcW w:w="1520" w:type="dxa"/>
            <w:tcBorders>
              <w:top w:val="nil"/>
              <w:left w:val="nil"/>
              <w:bottom w:val="nil"/>
              <w:right w:val="single" w:sz="4" w:space="0" w:color="auto"/>
            </w:tcBorders>
            <w:shd w:val="clear" w:color="auto" w:fill="auto"/>
            <w:noWrap/>
            <w:vAlign w:val="bottom"/>
            <w:hideMark/>
          </w:tcPr>
          <w:p w14:paraId="71B8A406"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SDF.E025</w:t>
            </w:r>
          </w:p>
        </w:tc>
      </w:tr>
      <w:tr w:rsidR="00A21E9D" w:rsidRPr="00853884" w14:paraId="2084BAB8" w14:textId="77777777" w:rsidTr="00155A88">
        <w:trPr>
          <w:trHeight w:val="255"/>
        </w:trPr>
        <w:tc>
          <w:tcPr>
            <w:tcW w:w="852" w:type="dxa"/>
            <w:tcBorders>
              <w:top w:val="nil"/>
              <w:left w:val="single" w:sz="4" w:space="0" w:color="auto"/>
              <w:bottom w:val="nil"/>
              <w:right w:val="single" w:sz="4" w:space="0" w:color="auto"/>
            </w:tcBorders>
            <w:shd w:val="clear" w:color="auto" w:fill="auto"/>
            <w:noWrap/>
            <w:vAlign w:val="bottom"/>
            <w:hideMark/>
          </w:tcPr>
          <w:p w14:paraId="7311791C"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290</w:t>
            </w:r>
          </w:p>
        </w:tc>
        <w:tc>
          <w:tcPr>
            <w:tcW w:w="9714" w:type="dxa"/>
            <w:tcBorders>
              <w:top w:val="nil"/>
              <w:left w:val="nil"/>
              <w:bottom w:val="nil"/>
            </w:tcBorders>
            <w:shd w:val="clear" w:color="auto" w:fill="auto"/>
            <w:noWrap/>
            <w:vAlign w:val="bottom"/>
            <w:hideMark/>
          </w:tcPr>
          <w:p w14:paraId="0060159F" w14:textId="77777777" w:rsidR="00A21E9D" w:rsidRPr="00853884" w:rsidRDefault="00A21E9D"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OUTROS RECURSOS VINCULADOS À SAÚDE</w:t>
            </w:r>
          </w:p>
        </w:tc>
        <w:tc>
          <w:tcPr>
            <w:tcW w:w="906" w:type="dxa"/>
            <w:tcBorders>
              <w:top w:val="nil"/>
              <w:bottom w:val="nil"/>
              <w:right w:val="single" w:sz="4" w:space="0" w:color="auto"/>
            </w:tcBorders>
            <w:shd w:val="clear" w:color="auto" w:fill="auto"/>
            <w:noWrap/>
            <w:vAlign w:val="bottom"/>
          </w:tcPr>
          <w:p w14:paraId="012A1E5A"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hideMark/>
          </w:tcPr>
          <w:p w14:paraId="47DB0EE8"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SDF.D026</w:t>
            </w:r>
          </w:p>
        </w:tc>
        <w:tc>
          <w:tcPr>
            <w:tcW w:w="1520" w:type="dxa"/>
            <w:tcBorders>
              <w:top w:val="nil"/>
              <w:left w:val="nil"/>
              <w:bottom w:val="nil"/>
              <w:right w:val="single" w:sz="4" w:space="0" w:color="auto"/>
            </w:tcBorders>
            <w:shd w:val="clear" w:color="auto" w:fill="auto"/>
            <w:noWrap/>
            <w:vAlign w:val="bottom"/>
            <w:hideMark/>
          </w:tcPr>
          <w:p w14:paraId="39D7A293"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SDF.E026</w:t>
            </w:r>
          </w:p>
        </w:tc>
      </w:tr>
      <w:tr w:rsidR="00A21E9D" w:rsidRPr="00853884" w14:paraId="02907039" w14:textId="77777777" w:rsidTr="00155A88">
        <w:trPr>
          <w:trHeight w:val="255"/>
        </w:trPr>
        <w:tc>
          <w:tcPr>
            <w:tcW w:w="852" w:type="dxa"/>
            <w:tcBorders>
              <w:top w:val="nil"/>
              <w:left w:val="single" w:sz="4" w:space="0" w:color="auto"/>
              <w:bottom w:val="nil"/>
              <w:right w:val="single" w:sz="4" w:space="0" w:color="auto"/>
            </w:tcBorders>
            <w:shd w:val="clear" w:color="auto" w:fill="auto"/>
            <w:noWrap/>
            <w:vAlign w:val="bottom"/>
          </w:tcPr>
          <w:p w14:paraId="1EFBEC1A"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p>
        </w:tc>
        <w:tc>
          <w:tcPr>
            <w:tcW w:w="9714" w:type="dxa"/>
            <w:tcBorders>
              <w:top w:val="nil"/>
              <w:left w:val="nil"/>
              <w:bottom w:val="nil"/>
            </w:tcBorders>
            <w:shd w:val="clear" w:color="auto" w:fill="auto"/>
            <w:noWrap/>
            <w:vAlign w:val="bottom"/>
          </w:tcPr>
          <w:p w14:paraId="419D7152" w14:textId="77777777" w:rsidR="00A21E9D" w:rsidRPr="00853884" w:rsidRDefault="00A21E9D"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b/>
                <w:bCs/>
                <w:sz w:val="16"/>
                <w:szCs w:val="16"/>
                <w:lang w:eastAsia="pt-BR"/>
              </w:rPr>
              <w:t>RECURSOS VINCULADOS À PREVIDÊNCIA SOCIAL - RPPS</w:t>
            </w:r>
          </w:p>
        </w:tc>
        <w:tc>
          <w:tcPr>
            <w:tcW w:w="906" w:type="dxa"/>
            <w:tcBorders>
              <w:top w:val="nil"/>
              <w:bottom w:val="nil"/>
              <w:right w:val="single" w:sz="4" w:space="0" w:color="auto"/>
            </w:tcBorders>
            <w:shd w:val="clear" w:color="auto" w:fill="auto"/>
            <w:noWrap/>
            <w:vAlign w:val="bottom"/>
          </w:tcPr>
          <w:p w14:paraId="50112264"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tcPr>
          <w:p w14:paraId="3C613ABC"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b/>
                <w:bCs/>
                <w:sz w:val="16"/>
                <w:szCs w:val="16"/>
                <w:lang w:eastAsia="pt-BR"/>
              </w:rPr>
              <w:t>SDF.D079</w:t>
            </w:r>
          </w:p>
        </w:tc>
        <w:tc>
          <w:tcPr>
            <w:tcW w:w="1520" w:type="dxa"/>
            <w:tcBorders>
              <w:top w:val="nil"/>
              <w:left w:val="nil"/>
              <w:bottom w:val="nil"/>
              <w:right w:val="single" w:sz="4" w:space="0" w:color="auto"/>
            </w:tcBorders>
            <w:shd w:val="clear" w:color="auto" w:fill="auto"/>
            <w:noWrap/>
            <w:vAlign w:val="bottom"/>
          </w:tcPr>
          <w:p w14:paraId="7917010E"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b/>
                <w:bCs/>
                <w:sz w:val="16"/>
                <w:szCs w:val="16"/>
                <w:lang w:eastAsia="pt-BR"/>
              </w:rPr>
              <w:t>SDF.E079</w:t>
            </w:r>
          </w:p>
        </w:tc>
      </w:tr>
      <w:tr w:rsidR="00A21E9D" w:rsidRPr="00853884" w14:paraId="4F88ED3A" w14:textId="77777777" w:rsidTr="00155A88">
        <w:trPr>
          <w:trHeight w:val="255"/>
        </w:trPr>
        <w:tc>
          <w:tcPr>
            <w:tcW w:w="852" w:type="dxa"/>
            <w:tcBorders>
              <w:top w:val="nil"/>
              <w:left w:val="single" w:sz="4" w:space="0" w:color="auto"/>
              <w:bottom w:val="nil"/>
              <w:right w:val="single" w:sz="4" w:space="0" w:color="auto"/>
            </w:tcBorders>
            <w:shd w:val="clear" w:color="auto" w:fill="auto"/>
            <w:noWrap/>
            <w:vAlign w:val="bottom"/>
          </w:tcPr>
          <w:p w14:paraId="7A2DF12D"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410</w:t>
            </w:r>
          </w:p>
        </w:tc>
        <w:tc>
          <w:tcPr>
            <w:tcW w:w="9714" w:type="dxa"/>
            <w:tcBorders>
              <w:top w:val="nil"/>
              <w:left w:val="nil"/>
              <w:bottom w:val="nil"/>
            </w:tcBorders>
            <w:shd w:val="clear" w:color="auto" w:fill="auto"/>
            <w:noWrap/>
            <w:vAlign w:val="bottom"/>
          </w:tcPr>
          <w:p w14:paraId="4F8A4D93" w14:textId="77777777" w:rsidR="00A21E9D" w:rsidRPr="00853884" w:rsidRDefault="00A21E9D"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RECURSOS VINCULADOS AO RPPS – PLANO PREVIDENCIÁRIO</w:t>
            </w:r>
          </w:p>
        </w:tc>
        <w:tc>
          <w:tcPr>
            <w:tcW w:w="906" w:type="dxa"/>
            <w:tcBorders>
              <w:top w:val="nil"/>
              <w:bottom w:val="nil"/>
              <w:right w:val="single" w:sz="4" w:space="0" w:color="auto"/>
            </w:tcBorders>
            <w:shd w:val="clear" w:color="auto" w:fill="auto"/>
            <w:noWrap/>
            <w:vAlign w:val="bottom"/>
          </w:tcPr>
          <w:p w14:paraId="07CEE57C"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tcPr>
          <w:p w14:paraId="27467ACC" w14:textId="77777777" w:rsidR="00A21E9D" w:rsidRPr="00853884" w:rsidRDefault="00A21E9D" w:rsidP="002315E1">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SDF.D070</w:t>
            </w:r>
          </w:p>
        </w:tc>
        <w:tc>
          <w:tcPr>
            <w:tcW w:w="1520" w:type="dxa"/>
            <w:tcBorders>
              <w:top w:val="nil"/>
              <w:left w:val="nil"/>
              <w:bottom w:val="nil"/>
              <w:right w:val="single" w:sz="4" w:space="0" w:color="auto"/>
            </w:tcBorders>
            <w:shd w:val="clear" w:color="auto" w:fill="auto"/>
            <w:noWrap/>
            <w:vAlign w:val="bottom"/>
          </w:tcPr>
          <w:p w14:paraId="55E1B927" w14:textId="77777777" w:rsidR="00A21E9D" w:rsidRPr="00853884" w:rsidRDefault="00A21E9D" w:rsidP="002315E1">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SDF.E070</w:t>
            </w:r>
          </w:p>
        </w:tc>
      </w:tr>
      <w:tr w:rsidR="00A21E9D" w:rsidRPr="00853884" w14:paraId="31CF6B6E" w14:textId="77777777" w:rsidTr="00155A88">
        <w:trPr>
          <w:trHeight w:val="255"/>
        </w:trPr>
        <w:tc>
          <w:tcPr>
            <w:tcW w:w="852" w:type="dxa"/>
            <w:tcBorders>
              <w:top w:val="nil"/>
              <w:left w:val="single" w:sz="4" w:space="0" w:color="auto"/>
              <w:bottom w:val="nil"/>
              <w:right w:val="single" w:sz="4" w:space="0" w:color="auto"/>
            </w:tcBorders>
            <w:shd w:val="clear" w:color="auto" w:fill="auto"/>
            <w:noWrap/>
            <w:vAlign w:val="bottom"/>
            <w:hideMark/>
          </w:tcPr>
          <w:p w14:paraId="53019EAA"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420</w:t>
            </w:r>
          </w:p>
        </w:tc>
        <w:tc>
          <w:tcPr>
            <w:tcW w:w="9714" w:type="dxa"/>
            <w:tcBorders>
              <w:top w:val="nil"/>
              <w:left w:val="nil"/>
              <w:bottom w:val="nil"/>
            </w:tcBorders>
            <w:shd w:val="clear" w:color="auto" w:fill="auto"/>
            <w:noWrap/>
            <w:vAlign w:val="bottom"/>
            <w:hideMark/>
          </w:tcPr>
          <w:p w14:paraId="0030BC60" w14:textId="77777777" w:rsidR="00A21E9D" w:rsidRPr="00853884" w:rsidRDefault="00A21E9D"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RECURSOS VINCULADOS AO RPPS – PLANO FINANCEIRO</w:t>
            </w:r>
          </w:p>
        </w:tc>
        <w:tc>
          <w:tcPr>
            <w:tcW w:w="906" w:type="dxa"/>
            <w:tcBorders>
              <w:top w:val="nil"/>
              <w:bottom w:val="nil"/>
              <w:right w:val="single" w:sz="4" w:space="0" w:color="auto"/>
            </w:tcBorders>
            <w:shd w:val="clear" w:color="auto" w:fill="auto"/>
            <w:noWrap/>
            <w:vAlign w:val="bottom"/>
          </w:tcPr>
          <w:p w14:paraId="68B74F77"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hideMark/>
          </w:tcPr>
          <w:p w14:paraId="5B7088F5"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SDF.D031</w:t>
            </w:r>
          </w:p>
        </w:tc>
        <w:tc>
          <w:tcPr>
            <w:tcW w:w="1520" w:type="dxa"/>
            <w:tcBorders>
              <w:top w:val="nil"/>
              <w:left w:val="nil"/>
              <w:bottom w:val="nil"/>
              <w:right w:val="single" w:sz="4" w:space="0" w:color="auto"/>
            </w:tcBorders>
            <w:shd w:val="clear" w:color="auto" w:fill="auto"/>
            <w:noWrap/>
            <w:vAlign w:val="bottom"/>
            <w:hideMark/>
          </w:tcPr>
          <w:p w14:paraId="0743097B"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SDF.E031</w:t>
            </w:r>
          </w:p>
        </w:tc>
      </w:tr>
      <w:tr w:rsidR="00A21E9D" w:rsidRPr="00853884" w14:paraId="3F69D476" w14:textId="77777777" w:rsidTr="00155A88">
        <w:trPr>
          <w:trHeight w:val="270"/>
        </w:trPr>
        <w:tc>
          <w:tcPr>
            <w:tcW w:w="852" w:type="dxa"/>
            <w:tcBorders>
              <w:top w:val="nil"/>
              <w:left w:val="single" w:sz="4" w:space="0" w:color="auto"/>
              <w:right w:val="single" w:sz="4" w:space="0" w:color="auto"/>
            </w:tcBorders>
            <w:shd w:val="clear" w:color="auto" w:fill="auto"/>
            <w:noWrap/>
            <w:vAlign w:val="bottom"/>
            <w:hideMark/>
          </w:tcPr>
          <w:p w14:paraId="7D593A31"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430</w:t>
            </w:r>
          </w:p>
        </w:tc>
        <w:tc>
          <w:tcPr>
            <w:tcW w:w="9714" w:type="dxa"/>
            <w:tcBorders>
              <w:top w:val="nil"/>
              <w:left w:val="nil"/>
            </w:tcBorders>
            <w:shd w:val="clear" w:color="auto" w:fill="auto"/>
            <w:noWrap/>
            <w:vAlign w:val="bottom"/>
            <w:hideMark/>
          </w:tcPr>
          <w:p w14:paraId="631A64D5" w14:textId="77777777" w:rsidR="00A21E9D" w:rsidRPr="00853884" w:rsidRDefault="00A21E9D"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RECURSOS VINCULADOS AO RPPS – TAXA DE ADMINISTRAÇÃO</w:t>
            </w:r>
          </w:p>
        </w:tc>
        <w:tc>
          <w:tcPr>
            <w:tcW w:w="906" w:type="dxa"/>
            <w:tcBorders>
              <w:top w:val="nil"/>
              <w:right w:val="single" w:sz="4" w:space="0" w:color="auto"/>
            </w:tcBorders>
            <w:shd w:val="clear" w:color="auto" w:fill="auto"/>
            <w:noWrap/>
            <w:vAlign w:val="bottom"/>
          </w:tcPr>
          <w:p w14:paraId="069B231D"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p>
        </w:tc>
        <w:tc>
          <w:tcPr>
            <w:tcW w:w="1309" w:type="dxa"/>
            <w:tcBorders>
              <w:top w:val="nil"/>
              <w:left w:val="nil"/>
              <w:right w:val="single" w:sz="4" w:space="0" w:color="auto"/>
            </w:tcBorders>
            <w:shd w:val="clear" w:color="auto" w:fill="auto"/>
            <w:noWrap/>
            <w:vAlign w:val="bottom"/>
            <w:hideMark/>
          </w:tcPr>
          <w:p w14:paraId="089EB9F3"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SDF.D033</w:t>
            </w:r>
          </w:p>
        </w:tc>
        <w:tc>
          <w:tcPr>
            <w:tcW w:w="1520" w:type="dxa"/>
            <w:tcBorders>
              <w:top w:val="nil"/>
              <w:left w:val="nil"/>
              <w:right w:val="single" w:sz="4" w:space="0" w:color="auto"/>
            </w:tcBorders>
            <w:shd w:val="clear" w:color="auto" w:fill="auto"/>
            <w:noWrap/>
            <w:vAlign w:val="bottom"/>
            <w:hideMark/>
          </w:tcPr>
          <w:p w14:paraId="4C504B69"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SDF.E033</w:t>
            </w:r>
          </w:p>
        </w:tc>
      </w:tr>
      <w:tr w:rsidR="00A21E9D" w:rsidRPr="00853884" w14:paraId="739053C5" w14:textId="77777777" w:rsidTr="00155A88">
        <w:trPr>
          <w:trHeight w:val="270"/>
        </w:trPr>
        <w:tc>
          <w:tcPr>
            <w:tcW w:w="852" w:type="dxa"/>
            <w:tcBorders>
              <w:top w:val="nil"/>
              <w:left w:val="single" w:sz="4" w:space="0" w:color="auto"/>
              <w:right w:val="single" w:sz="4" w:space="0" w:color="auto"/>
            </w:tcBorders>
            <w:shd w:val="clear" w:color="auto" w:fill="auto"/>
            <w:noWrap/>
            <w:vAlign w:val="bottom"/>
          </w:tcPr>
          <w:p w14:paraId="5A087A1F"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p>
        </w:tc>
        <w:tc>
          <w:tcPr>
            <w:tcW w:w="9714" w:type="dxa"/>
            <w:tcBorders>
              <w:top w:val="nil"/>
              <w:left w:val="nil"/>
            </w:tcBorders>
            <w:shd w:val="clear" w:color="auto" w:fill="auto"/>
            <w:noWrap/>
            <w:vAlign w:val="bottom"/>
          </w:tcPr>
          <w:p w14:paraId="1241ED80" w14:textId="77777777" w:rsidR="00A21E9D" w:rsidRPr="00853884" w:rsidRDefault="00A21E9D"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b/>
                <w:bCs/>
                <w:sz w:val="16"/>
                <w:szCs w:val="16"/>
                <w:lang w:eastAsia="pt-BR"/>
              </w:rPr>
              <w:t>RECURSOS VINCULADOS À SEGURIDADE SOCIAL</w:t>
            </w:r>
          </w:p>
        </w:tc>
        <w:tc>
          <w:tcPr>
            <w:tcW w:w="906" w:type="dxa"/>
            <w:tcBorders>
              <w:top w:val="nil"/>
              <w:right w:val="single" w:sz="4" w:space="0" w:color="auto"/>
            </w:tcBorders>
            <w:shd w:val="clear" w:color="auto" w:fill="auto"/>
            <w:noWrap/>
            <w:vAlign w:val="bottom"/>
          </w:tcPr>
          <w:p w14:paraId="0641131B"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tcPr>
          <w:p w14:paraId="0986B0DA"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b/>
                <w:bCs/>
                <w:sz w:val="16"/>
                <w:szCs w:val="16"/>
                <w:lang w:eastAsia="pt-BR"/>
              </w:rPr>
              <w:t>SDF.D080</w:t>
            </w:r>
          </w:p>
        </w:tc>
        <w:tc>
          <w:tcPr>
            <w:tcW w:w="1520" w:type="dxa"/>
            <w:tcBorders>
              <w:top w:val="nil"/>
              <w:left w:val="nil"/>
              <w:bottom w:val="nil"/>
              <w:right w:val="single" w:sz="4" w:space="0" w:color="auto"/>
            </w:tcBorders>
            <w:shd w:val="clear" w:color="auto" w:fill="auto"/>
            <w:noWrap/>
            <w:vAlign w:val="bottom"/>
          </w:tcPr>
          <w:p w14:paraId="0F3B5DF6"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b/>
                <w:bCs/>
                <w:sz w:val="16"/>
                <w:szCs w:val="16"/>
                <w:lang w:eastAsia="pt-BR"/>
              </w:rPr>
              <w:t>SDF.E080</w:t>
            </w:r>
          </w:p>
        </w:tc>
      </w:tr>
      <w:tr w:rsidR="00A21E9D" w:rsidRPr="00853884" w14:paraId="56752967" w14:textId="77777777" w:rsidTr="00155A88">
        <w:trPr>
          <w:trHeight w:val="270"/>
        </w:trPr>
        <w:tc>
          <w:tcPr>
            <w:tcW w:w="852" w:type="dxa"/>
            <w:tcBorders>
              <w:top w:val="nil"/>
              <w:left w:val="single" w:sz="4" w:space="0" w:color="auto"/>
              <w:right w:val="single" w:sz="4" w:space="0" w:color="auto"/>
            </w:tcBorders>
            <w:shd w:val="clear" w:color="auto" w:fill="auto"/>
            <w:noWrap/>
            <w:vAlign w:val="bottom"/>
          </w:tcPr>
          <w:p w14:paraId="02EAAF9F"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311</w:t>
            </w:r>
          </w:p>
        </w:tc>
        <w:tc>
          <w:tcPr>
            <w:tcW w:w="9714" w:type="dxa"/>
            <w:tcBorders>
              <w:top w:val="nil"/>
              <w:left w:val="nil"/>
            </w:tcBorders>
            <w:shd w:val="clear" w:color="auto" w:fill="auto"/>
            <w:noWrap/>
            <w:vAlign w:val="bottom"/>
          </w:tcPr>
          <w:p w14:paraId="00600E67" w14:textId="77777777" w:rsidR="00A21E9D" w:rsidRPr="00853884" w:rsidRDefault="00A21E9D" w:rsidP="002315E1">
            <w:pPr>
              <w:spacing w:after="0" w:line="240" w:lineRule="auto"/>
              <w:rPr>
                <w:rFonts w:ascii="Arial Narrow" w:eastAsia="Times New Roman" w:hAnsi="Arial Narrow" w:cs="Arial"/>
                <w:b/>
                <w:bCs/>
                <w:sz w:val="16"/>
                <w:szCs w:val="16"/>
                <w:lang w:eastAsia="pt-BR"/>
              </w:rPr>
            </w:pPr>
            <w:r w:rsidRPr="00853884">
              <w:rPr>
                <w:rFonts w:ascii="Arial Narrow" w:eastAsia="Times New Roman" w:hAnsi="Arial Narrow" w:cs="Arial"/>
                <w:sz w:val="16"/>
                <w:szCs w:val="16"/>
                <w:lang w:eastAsia="pt-BR"/>
              </w:rPr>
              <w:t>TRANSFERÊNCIA DE RECURSOS DO FUNDO NACIONAL DE ASSISTÊNCIA SOCIAL - FNAS</w:t>
            </w:r>
          </w:p>
        </w:tc>
        <w:tc>
          <w:tcPr>
            <w:tcW w:w="906" w:type="dxa"/>
            <w:tcBorders>
              <w:top w:val="nil"/>
              <w:right w:val="single" w:sz="4" w:space="0" w:color="auto"/>
            </w:tcBorders>
            <w:shd w:val="clear" w:color="auto" w:fill="auto"/>
            <w:noWrap/>
            <w:vAlign w:val="bottom"/>
          </w:tcPr>
          <w:p w14:paraId="00153C46"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p>
        </w:tc>
        <w:tc>
          <w:tcPr>
            <w:tcW w:w="1309" w:type="dxa"/>
            <w:tcBorders>
              <w:top w:val="nil"/>
              <w:left w:val="nil"/>
              <w:right w:val="single" w:sz="4" w:space="0" w:color="auto"/>
            </w:tcBorders>
            <w:shd w:val="clear" w:color="auto" w:fill="auto"/>
            <w:noWrap/>
            <w:vAlign w:val="bottom"/>
          </w:tcPr>
          <w:p w14:paraId="49B5EC0A"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SDF.D027</w:t>
            </w:r>
          </w:p>
        </w:tc>
        <w:tc>
          <w:tcPr>
            <w:tcW w:w="1520" w:type="dxa"/>
            <w:tcBorders>
              <w:top w:val="nil"/>
              <w:left w:val="nil"/>
              <w:right w:val="single" w:sz="4" w:space="0" w:color="auto"/>
            </w:tcBorders>
            <w:shd w:val="clear" w:color="auto" w:fill="auto"/>
            <w:noWrap/>
            <w:vAlign w:val="bottom"/>
          </w:tcPr>
          <w:p w14:paraId="632D2870"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SDF.E027</w:t>
            </w:r>
          </w:p>
        </w:tc>
      </w:tr>
      <w:tr w:rsidR="00A21E9D" w:rsidRPr="00853884" w14:paraId="45BD9D1D" w14:textId="77777777" w:rsidTr="00155A88">
        <w:trPr>
          <w:trHeight w:val="270"/>
        </w:trPr>
        <w:tc>
          <w:tcPr>
            <w:tcW w:w="852" w:type="dxa"/>
            <w:tcBorders>
              <w:top w:val="nil"/>
              <w:left w:val="single" w:sz="4" w:space="0" w:color="auto"/>
              <w:right w:val="single" w:sz="4" w:space="0" w:color="auto"/>
            </w:tcBorders>
            <w:shd w:val="clear" w:color="auto" w:fill="auto"/>
            <w:noWrap/>
            <w:vAlign w:val="bottom"/>
          </w:tcPr>
          <w:p w14:paraId="67C230A7"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312</w:t>
            </w:r>
          </w:p>
        </w:tc>
        <w:tc>
          <w:tcPr>
            <w:tcW w:w="9714" w:type="dxa"/>
            <w:tcBorders>
              <w:top w:val="nil"/>
              <w:left w:val="nil"/>
            </w:tcBorders>
            <w:shd w:val="clear" w:color="auto" w:fill="auto"/>
            <w:noWrap/>
            <w:vAlign w:val="bottom"/>
          </w:tcPr>
          <w:p w14:paraId="1FD16783" w14:textId="77777777" w:rsidR="00A21E9D" w:rsidRPr="00853884" w:rsidRDefault="00A21E9D" w:rsidP="002315E1">
            <w:pPr>
              <w:spacing w:after="0" w:line="240" w:lineRule="auto"/>
              <w:rPr>
                <w:rFonts w:ascii="Arial Narrow" w:eastAsia="Times New Roman" w:hAnsi="Arial Narrow" w:cs="Arial"/>
                <w:b/>
                <w:bCs/>
                <w:sz w:val="16"/>
                <w:szCs w:val="16"/>
                <w:lang w:eastAsia="pt-BR"/>
              </w:rPr>
            </w:pPr>
            <w:r w:rsidRPr="00853884">
              <w:rPr>
                <w:rFonts w:ascii="Arial Narrow" w:eastAsia="Times New Roman" w:hAnsi="Arial Narrow" w:cs="Arial"/>
                <w:sz w:val="16"/>
                <w:szCs w:val="16"/>
                <w:lang w:eastAsia="pt-BR"/>
              </w:rPr>
              <w:t>TRANSFERÊNCIAS DE CONVÊNIOS – ASSISTÊNCIA SOCIAL</w:t>
            </w:r>
          </w:p>
        </w:tc>
        <w:tc>
          <w:tcPr>
            <w:tcW w:w="906" w:type="dxa"/>
            <w:tcBorders>
              <w:top w:val="nil"/>
              <w:right w:val="single" w:sz="4" w:space="0" w:color="auto"/>
            </w:tcBorders>
            <w:shd w:val="clear" w:color="auto" w:fill="auto"/>
            <w:noWrap/>
            <w:vAlign w:val="bottom"/>
          </w:tcPr>
          <w:p w14:paraId="3F7CD532"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p>
        </w:tc>
        <w:tc>
          <w:tcPr>
            <w:tcW w:w="1309" w:type="dxa"/>
            <w:tcBorders>
              <w:top w:val="nil"/>
              <w:left w:val="nil"/>
              <w:right w:val="single" w:sz="4" w:space="0" w:color="auto"/>
            </w:tcBorders>
            <w:shd w:val="clear" w:color="auto" w:fill="auto"/>
            <w:noWrap/>
            <w:vAlign w:val="bottom"/>
          </w:tcPr>
          <w:p w14:paraId="330BB961"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SDF.D028</w:t>
            </w:r>
          </w:p>
        </w:tc>
        <w:tc>
          <w:tcPr>
            <w:tcW w:w="1520" w:type="dxa"/>
            <w:tcBorders>
              <w:top w:val="nil"/>
              <w:left w:val="nil"/>
              <w:right w:val="single" w:sz="4" w:space="0" w:color="auto"/>
            </w:tcBorders>
            <w:shd w:val="clear" w:color="auto" w:fill="auto"/>
            <w:noWrap/>
            <w:vAlign w:val="bottom"/>
          </w:tcPr>
          <w:p w14:paraId="63D38C63"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SDF.E028</w:t>
            </w:r>
          </w:p>
        </w:tc>
      </w:tr>
      <w:tr w:rsidR="00A21E9D" w:rsidRPr="00853884" w14:paraId="56AC731E" w14:textId="77777777" w:rsidTr="00155A88">
        <w:trPr>
          <w:trHeight w:val="270"/>
        </w:trPr>
        <w:tc>
          <w:tcPr>
            <w:tcW w:w="852" w:type="dxa"/>
            <w:tcBorders>
              <w:top w:val="nil"/>
              <w:left w:val="single" w:sz="4" w:space="0" w:color="auto"/>
              <w:right w:val="single" w:sz="4" w:space="0" w:color="auto"/>
            </w:tcBorders>
            <w:shd w:val="clear" w:color="auto" w:fill="auto"/>
            <w:noWrap/>
            <w:vAlign w:val="bottom"/>
          </w:tcPr>
          <w:p w14:paraId="164131A3"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390</w:t>
            </w:r>
          </w:p>
        </w:tc>
        <w:tc>
          <w:tcPr>
            <w:tcW w:w="9714" w:type="dxa"/>
            <w:tcBorders>
              <w:top w:val="nil"/>
              <w:left w:val="nil"/>
            </w:tcBorders>
            <w:shd w:val="clear" w:color="auto" w:fill="auto"/>
            <w:noWrap/>
            <w:vAlign w:val="bottom"/>
          </w:tcPr>
          <w:p w14:paraId="5E19F45C" w14:textId="77777777" w:rsidR="00A21E9D" w:rsidRPr="00853884" w:rsidRDefault="00A21E9D"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OUTROS RECURSOS VINCULADOS À ASSISTÊNCIA SOCIAL – DEMAIS RECURSOS</w:t>
            </w:r>
          </w:p>
        </w:tc>
        <w:tc>
          <w:tcPr>
            <w:tcW w:w="906" w:type="dxa"/>
            <w:tcBorders>
              <w:top w:val="nil"/>
              <w:right w:val="single" w:sz="4" w:space="0" w:color="auto"/>
            </w:tcBorders>
            <w:shd w:val="clear" w:color="auto" w:fill="auto"/>
            <w:noWrap/>
            <w:vAlign w:val="bottom"/>
          </w:tcPr>
          <w:p w14:paraId="24C04577"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p>
        </w:tc>
        <w:tc>
          <w:tcPr>
            <w:tcW w:w="1309" w:type="dxa"/>
            <w:tcBorders>
              <w:top w:val="nil"/>
              <w:left w:val="nil"/>
              <w:right w:val="single" w:sz="4" w:space="0" w:color="auto"/>
            </w:tcBorders>
            <w:shd w:val="clear" w:color="auto" w:fill="auto"/>
            <w:noWrap/>
            <w:vAlign w:val="bottom"/>
          </w:tcPr>
          <w:p w14:paraId="7F35AA1D"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SDF.D029</w:t>
            </w:r>
          </w:p>
        </w:tc>
        <w:tc>
          <w:tcPr>
            <w:tcW w:w="1520" w:type="dxa"/>
            <w:tcBorders>
              <w:top w:val="nil"/>
              <w:left w:val="nil"/>
              <w:right w:val="single" w:sz="4" w:space="0" w:color="auto"/>
            </w:tcBorders>
            <w:shd w:val="clear" w:color="auto" w:fill="auto"/>
            <w:noWrap/>
            <w:vAlign w:val="bottom"/>
          </w:tcPr>
          <w:p w14:paraId="48CC0A1A"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SDF.E029</w:t>
            </w:r>
          </w:p>
        </w:tc>
      </w:tr>
      <w:tr w:rsidR="00A21E9D" w:rsidRPr="00853884" w14:paraId="55EB7D22" w14:textId="77777777" w:rsidTr="00155A88">
        <w:trPr>
          <w:trHeight w:val="270"/>
        </w:trPr>
        <w:tc>
          <w:tcPr>
            <w:tcW w:w="852" w:type="dxa"/>
            <w:tcBorders>
              <w:top w:val="nil"/>
              <w:left w:val="single" w:sz="4" w:space="0" w:color="auto"/>
              <w:right w:val="single" w:sz="4" w:space="0" w:color="auto"/>
            </w:tcBorders>
            <w:shd w:val="clear" w:color="auto" w:fill="auto"/>
            <w:noWrap/>
            <w:vAlign w:val="bottom"/>
          </w:tcPr>
          <w:p w14:paraId="30C9206A"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p>
        </w:tc>
        <w:tc>
          <w:tcPr>
            <w:tcW w:w="9714" w:type="dxa"/>
            <w:tcBorders>
              <w:top w:val="nil"/>
              <w:left w:val="nil"/>
            </w:tcBorders>
            <w:shd w:val="clear" w:color="auto" w:fill="auto"/>
            <w:noWrap/>
            <w:vAlign w:val="bottom"/>
          </w:tcPr>
          <w:p w14:paraId="2EED462B" w14:textId="77777777" w:rsidR="00A21E9D" w:rsidRPr="00853884" w:rsidRDefault="00A21E9D"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b/>
                <w:bCs/>
                <w:sz w:val="16"/>
                <w:szCs w:val="16"/>
                <w:lang w:eastAsia="pt-BR"/>
              </w:rPr>
              <w:t>OUTRAS DESTINAÇÕES DE RECURSOS</w:t>
            </w:r>
          </w:p>
        </w:tc>
        <w:tc>
          <w:tcPr>
            <w:tcW w:w="906" w:type="dxa"/>
            <w:tcBorders>
              <w:top w:val="nil"/>
              <w:right w:val="single" w:sz="4" w:space="0" w:color="auto"/>
            </w:tcBorders>
            <w:shd w:val="clear" w:color="auto" w:fill="auto"/>
            <w:noWrap/>
            <w:vAlign w:val="bottom"/>
          </w:tcPr>
          <w:p w14:paraId="5FA9BA48"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p>
        </w:tc>
        <w:tc>
          <w:tcPr>
            <w:tcW w:w="1309" w:type="dxa"/>
            <w:tcBorders>
              <w:top w:val="nil"/>
              <w:left w:val="nil"/>
              <w:right w:val="single" w:sz="4" w:space="0" w:color="auto"/>
            </w:tcBorders>
            <w:shd w:val="clear" w:color="auto" w:fill="auto"/>
            <w:noWrap/>
            <w:vAlign w:val="bottom"/>
          </w:tcPr>
          <w:p w14:paraId="0D5C541F"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b/>
                <w:bCs/>
                <w:sz w:val="16"/>
                <w:szCs w:val="16"/>
                <w:lang w:eastAsia="pt-BR"/>
              </w:rPr>
              <w:t>SDF.D081</w:t>
            </w:r>
          </w:p>
        </w:tc>
        <w:tc>
          <w:tcPr>
            <w:tcW w:w="1520" w:type="dxa"/>
            <w:tcBorders>
              <w:top w:val="nil"/>
              <w:left w:val="nil"/>
              <w:right w:val="single" w:sz="4" w:space="0" w:color="auto"/>
            </w:tcBorders>
            <w:shd w:val="clear" w:color="auto" w:fill="auto"/>
            <w:noWrap/>
            <w:vAlign w:val="bottom"/>
          </w:tcPr>
          <w:p w14:paraId="2A13D552"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b/>
                <w:bCs/>
                <w:sz w:val="16"/>
                <w:szCs w:val="16"/>
                <w:lang w:eastAsia="pt-BR"/>
              </w:rPr>
              <w:t>SDF.E081</w:t>
            </w:r>
          </w:p>
        </w:tc>
      </w:tr>
      <w:tr w:rsidR="00A21E9D" w:rsidRPr="00853884" w14:paraId="0B1FBCAD" w14:textId="77777777" w:rsidTr="00155A88">
        <w:trPr>
          <w:trHeight w:val="270"/>
        </w:trPr>
        <w:tc>
          <w:tcPr>
            <w:tcW w:w="852" w:type="dxa"/>
            <w:tcBorders>
              <w:top w:val="nil"/>
              <w:left w:val="single" w:sz="4" w:space="0" w:color="auto"/>
              <w:right w:val="single" w:sz="4" w:space="0" w:color="auto"/>
            </w:tcBorders>
            <w:shd w:val="clear" w:color="auto" w:fill="auto"/>
            <w:noWrap/>
            <w:vAlign w:val="bottom"/>
          </w:tcPr>
          <w:p w14:paraId="462C7318"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510</w:t>
            </w:r>
          </w:p>
        </w:tc>
        <w:tc>
          <w:tcPr>
            <w:tcW w:w="9714" w:type="dxa"/>
            <w:tcBorders>
              <w:top w:val="nil"/>
              <w:left w:val="nil"/>
            </w:tcBorders>
            <w:shd w:val="clear" w:color="auto" w:fill="auto"/>
            <w:noWrap/>
            <w:vAlign w:val="bottom"/>
          </w:tcPr>
          <w:p w14:paraId="32482F38" w14:textId="77777777" w:rsidR="00A21E9D" w:rsidRPr="00853884" w:rsidRDefault="00A21E9D" w:rsidP="002315E1">
            <w:pPr>
              <w:spacing w:after="0" w:line="240" w:lineRule="auto"/>
              <w:rPr>
                <w:rFonts w:ascii="Arial Narrow" w:eastAsia="Times New Roman" w:hAnsi="Arial Narrow" w:cs="Arial"/>
                <w:b/>
                <w:bCs/>
                <w:color w:val="0070C0"/>
                <w:sz w:val="16"/>
                <w:szCs w:val="16"/>
                <w:lang w:eastAsia="pt-BR"/>
              </w:rPr>
            </w:pPr>
            <w:r w:rsidRPr="00853884">
              <w:rPr>
                <w:rFonts w:ascii="Arial Narrow" w:eastAsia="Times New Roman" w:hAnsi="Arial Narrow" w:cs="Arial"/>
                <w:sz w:val="16"/>
                <w:szCs w:val="16"/>
                <w:lang w:eastAsia="pt-BR"/>
              </w:rPr>
              <w:t>OUTRAS TRANSFERÊNCIAS DE CONVÊNIOS OU CONTRATOS DE REPASSE DA UNIÃO</w:t>
            </w:r>
          </w:p>
        </w:tc>
        <w:tc>
          <w:tcPr>
            <w:tcW w:w="906" w:type="dxa"/>
            <w:tcBorders>
              <w:top w:val="nil"/>
              <w:right w:val="single" w:sz="4" w:space="0" w:color="auto"/>
            </w:tcBorders>
            <w:shd w:val="clear" w:color="auto" w:fill="auto"/>
            <w:noWrap/>
            <w:vAlign w:val="bottom"/>
          </w:tcPr>
          <w:p w14:paraId="16484679"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p>
        </w:tc>
        <w:tc>
          <w:tcPr>
            <w:tcW w:w="1309" w:type="dxa"/>
            <w:tcBorders>
              <w:top w:val="nil"/>
              <w:left w:val="nil"/>
              <w:right w:val="single" w:sz="4" w:space="0" w:color="auto"/>
            </w:tcBorders>
            <w:shd w:val="clear" w:color="auto" w:fill="auto"/>
            <w:noWrap/>
            <w:vAlign w:val="bottom"/>
          </w:tcPr>
          <w:p w14:paraId="6DC43C3D" w14:textId="77777777" w:rsidR="00A21E9D" w:rsidRPr="00853884" w:rsidRDefault="00A21E9D" w:rsidP="002315E1">
            <w:pPr>
              <w:spacing w:after="0" w:line="240" w:lineRule="auto"/>
              <w:jc w:val="center"/>
              <w:rPr>
                <w:rFonts w:ascii="Arial Narrow" w:eastAsia="Times New Roman" w:hAnsi="Arial Narrow" w:cs="Arial"/>
                <w:b/>
                <w:bCs/>
                <w:sz w:val="16"/>
                <w:szCs w:val="16"/>
                <w:lang w:eastAsia="pt-BR"/>
              </w:rPr>
            </w:pPr>
            <w:r w:rsidRPr="00853884">
              <w:rPr>
                <w:rFonts w:ascii="Arial Narrow" w:eastAsia="Times New Roman" w:hAnsi="Arial Narrow" w:cs="Arial"/>
                <w:sz w:val="16"/>
                <w:szCs w:val="16"/>
                <w:lang w:eastAsia="pt-BR"/>
              </w:rPr>
              <w:t>SDF.D036</w:t>
            </w:r>
          </w:p>
        </w:tc>
        <w:tc>
          <w:tcPr>
            <w:tcW w:w="1520" w:type="dxa"/>
            <w:tcBorders>
              <w:top w:val="nil"/>
              <w:left w:val="nil"/>
              <w:right w:val="single" w:sz="4" w:space="0" w:color="auto"/>
            </w:tcBorders>
            <w:shd w:val="clear" w:color="auto" w:fill="auto"/>
            <w:noWrap/>
            <w:vAlign w:val="bottom"/>
          </w:tcPr>
          <w:p w14:paraId="1C47D76A" w14:textId="77777777" w:rsidR="00A21E9D" w:rsidRPr="00853884" w:rsidRDefault="00A21E9D" w:rsidP="002315E1">
            <w:pPr>
              <w:spacing w:after="0" w:line="240" w:lineRule="auto"/>
              <w:jc w:val="center"/>
              <w:rPr>
                <w:rFonts w:ascii="Arial Narrow" w:eastAsia="Times New Roman" w:hAnsi="Arial Narrow" w:cs="Arial"/>
                <w:b/>
                <w:bCs/>
                <w:sz w:val="16"/>
                <w:szCs w:val="16"/>
                <w:lang w:eastAsia="pt-BR"/>
              </w:rPr>
            </w:pPr>
            <w:r w:rsidRPr="00853884">
              <w:rPr>
                <w:rFonts w:ascii="Arial Narrow" w:eastAsia="Times New Roman" w:hAnsi="Arial Narrow" w:cs="Arial"/>
                <w:sz w:val="16"/>
                <w:szCs w:val="16"/>
                <w:lang w:eastAsia="pt-BR"/>
              </w:rPr>
              <w:t>SDF.E036</w:t>
            </w:r>
          </w:p>
        </w:tc>
      </w:tr>
      <w:tr w:rsidR="00A21E9D" w:rsidRPr="00853884" w14:paraId="45493FF4" w14:textId="77777777" w:rsidTr="00155A88">
        <w:trPr>
          <w:trHeight w:val="255"/>
        </w:trPr>
        <w:tc>
          <w:tcPr>
            <w:tcW w:w="852" w:type="dxa"/>
            <w:tcBorders>
              <w:top w:val="nil"/>
              <w:left w:val="single" w:sz="4" w:space="0" w:color="auto"/>
              <w:bottom w:val="nil"/>
              <w:right w:val="single" w:sz="4" w:space="0" w:color="auto"/>
            </w:tcBorders>
            <w:shd w:val="clear" w:color="auto" w:fill="auto"/>
            <w:noWrap/>
            <w:vAlign w:val="bottom"/>
            <w:hideMark/>
          </w:tcPr>
          <w:p w14:paraId="5B95F10B"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520</w:t>
            </w:r>
          </w:p>
        </w:tc>
        <w:tc>
          <w:tcPr>
            <w:tcW w:w="9714" w:type="dxa"/>
            <w:tcBorders>
              <w:top w:val="nil"/>
              <w:left w:val="nil"/>
              <w:bottom w:val="nil"/>
            </w:tcBorders>
            <w:shd w:val="clear" w:color="auto" w:fill="auto"/>
            <w:noWrap/>
            <w:vAlign w:val="bottom"/>
            <w:hideMark/>
          </w:tcPr>
          <w:p w14:paraId="224D15AE" w14:textId="77777777" w:rsidR="00A21E9D" w:rsidRPr="00853884" w:rsidRDefault="00A21E9D"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OUTRAS TRANSFERÊNCIAS DE CONVÊNIOS</w:t>
            </w:r>
            <w:r w:rsidRPr="00853884">
              <w:rPr>
                <w:rFonts w:ascii="Arial Narrow" w:eastAsia="Times New Roman" w:hAnsi="Arial Narrow" w:cs="Calibri"/>
                <w:color w:val="0070C0"/>
                <w:sz w:val="16"/>
                <w:szCs w:val="16"/>
                <w:lang w:eastAsia="pt-BR"/>
              </w:rPr>
              <w:t xml:space="preserve"> </w:t>
            </w:r>
            <w:r w:rsidRPr="00853884">
              <w:rPr>
                <w:rFonts w:ascii="Arial Narrow" w:eastAsia="Times New Roman" w:hAnsi="Arial Narrow" w:cs="Arial"/>
                <w:sz w:val="16"/>
                <w:szCs w:val="16"/>
                <w:lang w:eastAsia="pt-BR"/>
              </w:rPr>
              <w:t>OU CONTRATOS DE REPASSE DOS ESTADOS</w:t>
            </w:r>
          </w:p>
        </w:tc>
        <w:tc>
          <w:tcPr>
            <w:tcW w:w="906" w:type="dxa"/>
            <w:tcBorders>
              <w:top w:val="nil"/>
              <w:bottom w:val="nil"/>
              <w:right w:val="single" w:sz="4" w:space="0" w:color="auto"/>
            </w:tcBorders>
            <w:shd w:val="clear" w:color="auto" w:fill="auto"/>
            <w:noWrap/>
            <w:vAlign w:val="bottom"/>
          </w:tcPr>
          <w:p w14:paraId="02457028"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hideMark/>
          </w:tcPr>
          <w:p w14:paraId="3CEC6DFF"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SDF.D035</w:t>
            </w:r>
          </w:p>
        </w:tc>
        <w:tc>
          <w:tcPr>
            <w:tcW w:w="1520" w:type="dxa"/>
            <w:tcBorders>
              <w:top w:val="nil"/>
              <w:left w:val="nil"/>
              <w:bottom w:val="nil"/>
              <w:right w:val="single" w:sz="4" w:space="0" w:color="auto"/>
            </w:tcBorders>
            <w:shd w:val="clear" w:color="auto" w:fill="auto"/>
            <w:noWrap/>
            <w:vAlign w:val="bottom"/>
            <w:hideMark/>
          </w:tcPr>
          <w:p w14:paraId="5544A3B5"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SDF.E035</w:t>
            </w:r>
          </w:p>
        </w:tc>
      </w:tr>
      <w:tr w:rsidR="00A21E9D" w:rsidRPr="00853884" w14:paraId="560A26C1" w14:textId="77777777" w:rsidTr="00155A88">
        <w:trPr>
          <w:trHeight w:val="255"/>
        </w:trPr>
        <w:tc>
          <w:tcPr>
            <w:tcW w:w="852" w:type="dxa"/>
            <w:tcBorders>
              <w:top w:val="nil"/>
              <w:left w:val="single" w:sz="4" w:space="0" w:color="auto"/>
              <w:bottom w:val="nil"/>
              <w:right w:val="single" w:sz="4" w:space="0" w:color="auto"/>
            </w:tcBorders>
            <w:shd w:val="clear" w:color="auto" w:fill="auto"/>
            <w:noWrap/>
            <w:vAlign w:val="bottom"/>
          </w:tcPr>
          <w:p w14:paraId="26274E61"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550</w:t>
            </w:r>
          </w:p>
        </w:tc>
        <w:tc>
          <w:tcPr>
            <w:tcW w:w="9714" w:type="dxa"/>
            <w:tcBorders>
              <w:top w:val="nil"/>
              <w:left w:val="nil"/>
              <w:bottom w:val="nil"/>
            </w:tcBorders>
            <w:shd w:val="clear" w:color="auto" w:fill="auto"/>
            <w:noWrap/>
            <w:vAlign w:val="bottom"/>
          </w:tcPr>
          <w:p w14:paraId="4CF6B7CE" w14:textId="77777777" w:rsidR="00A21E9D" w:rsidRPr="00853884" w:rsidRDefault="00A21E9D"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TRANSFERÊNCIA ESPECIAL DA UNIÃO</w:t>
            </w:r>
          </w:p>
        </w:tc>
        <w:tc>
          <w:tcPr>
            <w:tcW w:w="906" w:type="dxa"/>
            <w:tcBorders>
              <w:top w:val="nil"/>
              <w:bottom w:val="nil"/>
              <w:right w:val="single" w:sz="4" w:space="0" w:color="auto"/>
            </w:tcBorders>
            <w:shd w:val="clear" w:color="auto" w:fill="auto"/>
            <w:noWrap/>
            <w:vAlign w:val="bottom"/>
          </w:tcPr>
          <w:p w14:paraId="2FF62823"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tcPr>
          <w:p w14:paraId="116E9970"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Pr>
                <w:rFonts w:ascii="Arial Narrow" w:eastAsia="Times New Roman" w:hAnsi="Arial Narrow" w:cs="Arial"/>
                <w:sz w:val="16"/>
                <w:szCs w:val="16"/>
                <w:lang w:eastAsia="pt-BR"/>
              </w:rPr>
              <w:t>SDF.D083</w:t>
            </w:r>
          </w:p>
        </w:tc>
        <w:tc>
          <w:tcPr>
            <w:tcW w:w="1520" w:type="dxa"/>
            <w:tcBorders>
              <w:top w:val="nil"/>
              <w:left w:val="nil"/>
              <w:bottom w:val="nil"/>
              <w:right w:val="single" w:sz="4" w:space="0" w:color="auto"/>
            </w:tcBorders>
            <w:shd w:val="clear" w:color="auto" w:fill="auto"/>
            <w:noWrap/>
            <w:vAlign w:val="bottom"/>
          </w:tcPr>
          <w:p w14:paraId="5B01258B"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Pr>
                <w:rFonts w:ascii="Arial Narrow" w:eastAsia="Times New Roman" w:hAnsi="Arial Narrow" w:cs="Arial"/>
                <w:sz w:val="16"/>
                <w:szCs w:val="16"/>
                <w:lang w:eastAsia="pt-BR"/>
              </w:rPr>
              <w:t>SDF.E083</w:t>
            </w:r>
          </w:p>
        </w:tc>
      </w:tr>
      <w:tr w:rsidR="00B35196" w:rsidRPr="00B35196" w14:paraId="51DCDB65" w14:textId="77777777" w:rsidTr="00155A88">
        <w:trPr>
          <w:trHeight w:val="255"/>
        </w:trPr>
        <w:tc>
          <w:tcPr>
            <w:tcW w:w="852" w:type="dxa"/>
            <w:tcBorders>
              <w:top w:val="nil"/>
              <w:left w:val="single" w:sz="4" w:space="0" w:color="auto"/>
              <w:bottom w:val="nil"/>
              <w:right w:val="single" w:sz="4" w:space="0" w:color="auto"/>
            </w:tcBorders>
            <w:shd w:val="clear" w:color="auto" w:fill="auto"/>
            <w:noWrap/>
            <w:vAlign w:val="bottom"/>
          </w:tcPr>
          <w:p w14:paraId="5E3399B8" w14:textId="5A11A395" w:rsidR="00B35196" w:rsidRPr="00B35196" w:rsidRDefault="00B35196" w:rsidP="00B35196">
            <w:pPr>
              <w:spacing w:after="0" w:line="240" w:lineRule="auto"/>
              <w:jc w:val="center"/>
              <w:rPr>
                <w:rFonts w:ascii="Arial Narrow" w:eastAsia="Times New Roman" w:hAnsi="Arial Narrow" w:cs="Arial"/>
                <w:color w:val="0070C0"/>
                <w:sz w:val="16"/>
                <w:szCs w:val="16"/>
                <w:lang w:eastAsia="pt-BR"/>
              </w:rPr>
            </w:pPr>
            <w:r>
              <w:rPr>
                <w:rFonts w:ascii="Arial Narrow" w:eastAsia="Times New Roman" w:hAnsi="Arial Narrow" w:cs="Arial"/>
                <w:color w:val="0070C0"/>
                <w:sz w:val="16"/>
                <w:szCs w:val="16"/>
                <w:lang w:eastAsia="pt-BR"/>
              </w:rPr>
              <w:t>560</w:t>
            </w:r>
          </w:p>
        </w:tc>
        <w:tc>
          <w:tcPr>
            <w:tcW w:w="9714" w:type="dxa"/>
            <w:tcBorders>
              <w:top w:val="nil"/>
              <w:left w:val="nil"/>
              <w:bottom w:val="nil"/>
            </w:tcBorders>
            <w:shd w:val="clear" w:color="auto" w:fill="auto"/>
            <w:noWrap/>
            <w:vAlign w:val="bottom"/>
          </w:tcPr>
          <w:p w14:paraId="7C9D0760" w14:textId="36E2D877" w:rsidR="00B35196" w:rsidRPr="00B35196" w:rsidRDefault="00B35196" w:rsidP="00B35196">
            <w:pPr>
              <w:spacing w:after="0" w:line="240" w:lineRule="auto"/>
              <w:rPr>
                <w:rFonts w:ascii="Arial Narrow" w:eastAsia="Times New Roman" w:hAnsi="Arial Narrow" w:cs="Arial"/>
                <w:color w:val="0070C0"/>
                <w:sz w:val="16"/>
                <w:szCs w:val="16"/>
                <w:lang w:eastAsia="pt-BR"/>
              </w:rPr>
            </w:pPr>
            <w:r w:rsidRPr="00B35196">
              <w:rPr>
                <w:rFonts w:ascii="Arial Narrow" w:eastAsia="Times New Roman" w:hAnsi="Arial Narrow" w:cs="Arial"/>
                <w:color w:val="0070C0"/>
                <w:sz w:val="16"/>
                <w:szCs w:val="16"/>
                <w:lang w:eastAsia="pt-BR"/>
              </w:rPr>
              <w:t>TRANSFERÊNCIAS DA UNIÃO - INCISO I DO ARTIGO 5º DA LC 173/2020</w:t>
            </w:r>
          </w:p>
        </w:tc>
        <w:tc>
          <w:tcPr>
            <w:tcW w:w="906" w:type="dxa"/>
            <w:tcBorders>
              <w:top w:val="nil"/>
              <w:bottom w:val="nil"/>
              <w:right w:val="single" w:sz="4" w:space="0" w:color="auto"/>
            </w:tcBorders>
            <w:shd w:val="clear" w:color="auto" w:fill="auto"/>
            <w:noWrap/>
            <w:vAlign w:val="bottom"/>
          </w:tcPr>
          <w:p w14:paraId="2F30DE6B" w14:textId="77777777" w:rsidR="00B35196" w:rsidRPr="00B35196" w:rsidRDefault="00B35196" w:rsidP="00B35196">
            <w:pPr>
              <w:spacing w:after="0" w:line="240" w:lineRule="auto"/>
              <w:jc w:val="center"/>
              <w:rPr>
                <w:rFonts w:ascii="Arial Narrow" w:eastAsia="Times New Roman" w:hAnsi="Arial Narrow" w:cs="Arial"/>
                <w:color w:val="0070C0"/>
                <w:sz w:val="16"/>
                <w:szCs w:val="16"/>
                <w:lang w:eastAsia="pt-BR"/>
              </w:rPr>
            </w:pPr>
          </w:p>
        </w:tc>
        <w:tc>
          <w:tcPr>
            <w:tcW w:w="1309" w:type="dxa"/>
            <w:tcBorders>
              <w:top w:val="nil"/>
              <w:left w:val="nil"/>
              <w:bottom w:val="nil"/>
              <w:right w:val="single" w:sz="4" w:space="0" w:color="auto"/>
            </w:tcBorders>
            <w:shd w:val="clear" w:color="auto" w:fill="auto"/>
            <w:noWrap/>
            <w:vAlign w:val="bottom"/>
          </w:tcPr>
          <w:p w14:paraId="00D1821F" w14:textId="7D2C1CCA" w:rsidR="00B35196" w:rsidRPr="00B35196" w:rsidRDefault="00B35196" w:rsidP="00B35196">
            <w:pPr>
              <w:spacing w:after="0" w:line="240" w:lineRule="auto"/>
              <w:jc w:val="center"/>
              <w:rPr>
                <w:rFonts w:ascii="Arial Narrow" w:eastAsia="Times New Roman" w:hAnsi="Arial Narrow" w:cs="Arial"/>
                <w:color w:val="0070C0"/>
                <w:sz w:val="16"/>
                <w:szCs w:val="16"/>
                <w:lang w:eastAsia="pt-BR"/>
              </w:rPr>
            </w:pPr>
            <w:r w:rsidRPr="00047A17">
              <w:rPr>
                <w:rFonts w:ascii="Arial Narrow" w:eastAsia="Times New Roman" w:hAnsi="Arial Narrow" w:cs="Arial"/>
                <w:color w:val="0070C0"/>
                <w:sz w:val="16"/>
                <w:szCs w:val="16"/>
                <w:lang w:eastAsia="pt-BR"/>
              </w:rPr>
              <w:t>SDF.D08</w:t>
            </w:r>
            <w:r>
              <w:rPr>
                <w:rFonts w:ascii="Arial Narrow" w:eastAsia="Times New Roman" w:hAnsi="Arial Narrow" w:cs="Arial"/>
                <w:color w:val="0070C0"/>
                <w:sz w:val="16"/>
                <w:szCs w:val="16"/>
                <w:lang w:eastAsia="pt-BR"/>
              </w:rPr>
              <w:t>9</w:t>
            </w:r>
          </w:p>
        </w:tc>
        <w:tc>
          <w:tcPr>
            <w:tcW w:w="1520" w:type="dxa"/>
            <w:tcBorders>
              <w:top w:val="nil"/>
              <w:left w:val="nil"/>
              <w:bottom w:val="nil"/>
              <w:right w:val="single" w:sz="4" w:space="0" w:color="auto"/>
            </w:tcBorders>
            <w:shd w:val="clear" w:color="auto" w:fill="auto"/>
            <w:noWrap/>
            <w:vAlign w:val="bottom"/>
          </w:tcPr>
          <w:p w14:paraId="00798B2D" w14:textId="1FDAD686" w:rsidR="00B35196" w:rsidRPr="00B35196" w:rsidRDefault="00B35196" w:rsidP="00B35196">
            <w:pPr>
              <w:spacing w:after="0" w:line="240" w:lineRule="auto"/>
              <w:jc w:val="center"/>
              <w:rPr>
                <w:rFonts w:ascii="Arial Narrow" w:eastAsia="Times New Roman" w:hAnsi="Arial Narrow" w:cs="Arial"/>
                <w:color w:val="0070C0"/>
                <w:sz w:val="16"/>
                <w:szCs w:val="16"/>
                <w:lang w:eastAsia="pt-BR"/>
              </w:rPr>
            </w:pPr>
            <w:r w:rsidRPr="00047A17">
              <w:rPr>
                <w:rFonts w:ascii="Arial Narrow" w:eastAsia="Times New Roman" w:hAnsi="Arial Narrow" w:cs="Arial"/>
                <w:color w:val="0070C0"/>
                <w:sz w:val="16"/>
                <w:szCs w:val="16"/>
                <w:lang w:eastAsia="pt-BR"/>
              </w:rPr>
              <w:t>SDF.E08</w:t>
            </w:r>
            <w:r>
              <w:rPr>
                <w:rFonts w:ascii="Arial Narrow" w:eastAsia="Times New Roman" w:hAnsi="Arial Narrow" w:cs="Arial"/>
                <w:color w:val="0070C0"/>
                <w:sz w:val="16"/>
                <w:szCs w:val="16"/>
                <w:lang w:eastAsia="pt-BR"/>
              </w:rPr>
              <w:t>9</w:t>
            </w:r>
          </w:p>
        </w:tc>
      </w:tr>
      <w:tr w:rsidR="00A21E9D" w:rsidRPr="00853884" w14:paraId="34FA46F0" w14:textId="77777777" w:rsidTr="00155A88">
        <w:trPr>
          <w:trHeight w:val="255"/>
        </w:trPr>
        <w:tc>
          <w:tcPr>
            <w:tcW w:w="852" w:type="dxa"/>
            <w:tcBorders>
              <w:top w:val="nil"/>
              <w:left w:val="single" w:sz="4" w:space="0" w:color="auto"/>
              <w:bottom w:val="nil"/>
              <w:right w:val="single" w:sz="4" w:space="0" w:color="auto"/>
            </w:tcBorders>
            <w:shd w:val="clear" w:color="auto" w:fill="auto"/>
            <w:noWrap/>
            <w:vAlign w:val="bottom"/>
            <w:hideMark/>
          </w:tcPr>
          <w:p w14:paraId="5E7D8B1C"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610</w:t>
            </w:r>
          </w:p>
        </w:tc>
        <w:tc>
          <w:tcPr>
            <w:tcW w:w="9714" w:type="dxa"/>
            <w:tcBorders>
              <w:top w:val="nil"/>
              <w:left w:val="nil"/>
              <w:bottom w:val="nil"/>
            </w:tcBorders>
            <w:shd w:val="clear" w:color="auto" w:fill="auto"/>
            <w:noWrap/>
            <w:vAlign w:val="bottom"/>
            <w:hideMark/>
          </w:tcPr>
          <w:p w14:paraId="114E9893" w14:textId="77777777" w:rsidR="00A21E9D" w:rsidRPr="00853884" w:rsidRDefault="00A21E9D"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CONTRIBUIÇÃO DE INTERVENÇÃO NO DOMÍNIO ECONÔMICO - CIDE</w:t>
            </w:r>
          </w:p>
        </w:tc>
        <w:tc>
          <w:tcPr>
            <w:tcW w:w="906" w:type="dxa"/>
            <w:tcBorders>
              <w:top w:val="nil"/>
              <w:bottom w:val="nil"/>
              <w:right w:val="single" w:sz="4" w:space="0" w:color="auto"/>
            </w:tcBorders>
            <w:shd w:val="clear" w:color="auto" w:fill="auto"/>
            <w:noWrap/>
            <w:vAlign w:val="bottom"/>
          </w:tcPr>
          <w:p w14:paraId="0F400C5B"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hideMark/>
          </w:tcPr>
          <w:p w14:paraId="2726C771"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SDF.D037</w:t>
            </w:r>
          </w:p>
        </w:tc>
        <w:tc>
          <w:tcPr>
            <w:tcW w:w="1520" w:type="dxa"/>
            <w:tcBorders>
              <w:top w:val="nil"/>
              <w:left w:val="nil"/>
              <w:bottom w:val="nil"/>
              <w:right w:val="single" w:sz="4" w:space="0" w:color="auto"/>
            </w:tcBorders>
            <w:shd w:val="clear" w:color="auto" w:fill="auto"/>
            <w:noWrap/>
            <w:vAlign w:val="bottom"/>
            <w:hideMark/>
          </w:tcPr>
          <w:p w14:paraId="15BDFF5D"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SDF.E037</w:t>
            </w:r>
          </w:p>
        </w:tc>
      </w:tr>
      <w:tr w:rsidR="00A21E9D" w:rsidRPr="00853884" w14:paraId="51F95F73" w14:textId="77777777" w:rsidTr="00155A88">
        <w:trPr>
          <w:trHeight w:val="255"/>
        </w:trPr>
        <w:tc>
          <w:tcPr>
            <w:tcW w:w="852" w:type="dxa"/>
            <w:tcBorders>
              <w:top w:val="nil"/>
              <w:left w:val="single" w:sz="4" w:space="0" w:color="auto"/>
              <w:bottom w:val="nil"/>
              <w:right w:val="single" w:sz="4" w:space="0" w:color="auto"/>
            </w:tcBorders>
            <w:shd w:val="clear" w:color="auto" w:fill="auto"/>
            <w:noWrap/>
            <w:vAlign w:val="bottom"/>
            <w:hideMark/>
          </w:tcPr>
          <w:p w14:paraId="008028DA"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620</w:t>
            </w:r>
          </w:p>
        </w:tc>
        <w:tc>
          <w:tcPr>
            <w:tcW w:w="9714" w:type="dxa"/>
            <w:tcBorders>
              <w:top w:val="nil"/>
              <w:left w:val="nil"/>
              <w:bottom w:val="nil"/>
            </w:tcBorders>
            <w:shd w:val="clear" w:color="auto" w:fill="auto"/>
            <w:noWrap/>
            <w:vAlign w:val="bottom"/>
            <w:hideMark/>
          </w:tcPr>
          <w:p w14:paraId="4FABE77F" w14:textId="77777777" w:rsidR="00A21E9D" w:rsidRPr="00853884" w:rsidRDefault="00A21E9D"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CONTRIBUIÇÃO PARA O CUSTEIO DO SERVIÇO DE ILUMINAÇÃO PÚBLICA - COSIP</w:t>
            </w:r>
          </w:p>
        </w:tc>
        <w:tc>
          <w:tcPr>
            <w:tcW w:w="906" w:type="dxa"/>
            <w:tcBorders>
              <w:top w:val="nil"/>
              <w:bottom w:val="nil"/>
              <w:right w:val="single" w:sz="4" w:space="0" w:color="auto"/>
            </w:tcBorders>
            <w:shd w:val="clear" w:color="auto" w:fill="auto"/>
            <w:noWrap/>
            <w:vAlign w:val="bottom"/>
          </w:tcPr>
          <w:p w14:paraId="10DCC4BD"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hideMark/>
          </w:tcPr>
          <w:p w14:paraId="00743E30"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SDF.D038</w:t>
            </w:r>
          </w:p>
        </w:tc>
        <w:tc>
          <w:tcPr>
            <w:tcW w:w="1520" w:type="dxa"/>
            <w:tcBorders>
              <w:top w:val="nil"/>
              <w:left w:val="nil"/>
              <w:bottom w:val="nil"/>
              <w:right w:val="single" w:sz="4" w:space="0" w:color="auto"/>
            </w:tcBorders>
            <w:shd w:val="clear" w:color="auto" w:fill="auto"/>
            <w:noWrap/>
            <w:vAlign w:val="bottom"/>
            <w:hideMark/>
          </w:tcPr>
          <w:p w14:paraId="06825B68"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SDF.E038</w:t>
            </w:r>
          </w:p>
        </w:tc>
      </w:tr>
      <w:tr w:rsidR="00A21E9D" w:rsidRPr="00853884" w14:paraId="65D152C7" w14:textId="77777777" w:rsidTr="00155A88">
        <w:trPr>
          <w:trHeight w:val="255"/>
        </w:trPr>
        <w:tc>
          <w:tcPr>
            <w:tcW w:w="852" w:type="dxa"/>
            <w:tcBorders>
              <w:top w:val="nil"/>
              <w:left w:val="single" w:sz="4" w:space="0" w:color="auto"/>
              <w:bottom w:val="nil"/>
              <w:right w:val="single" w:sz="4" w:space="0" w:color="auto"/>
            </w:tcBorders>
            <w:shd w:val="clear" w:color="auto" w:fill="auto"/>
            <w:noWrap/>
            <w:vAlign w:val="bottom"/>
            <w:hideMark/>
          </w:tcPr>
          <w:p w14:paraId="66CFACBA"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630</w:t>
            </w:r>
          </w:p>
        </w:tc>
        <w:tc>
          <w:tcPr>
            <w:tcW w:w="9714" w:type="dxa"/>
            <w:tcBorders>
              <w:top w:val="nil"/>
              <w:left w:val="nil"/>
              <w:bottom w:val="nil"/>
            </w:tcBorders>
            <w:shd w:val="clear" w:color="auto" w:fill="auto"/>
            <w:noWrap/>
            <w:vAlign w:val="bottom"/>
            <w:hideMark/>
          </w:tcPr>
          <w:p w14:paraId="48225661" w14:textId="77777777" w:rsidR="00A21E9D" w:rsidRPr="00853884" w:rsidRDefault="00A21E9D"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RECURSOS VINCULADOS AO TRÂNSITO</w:t>
            </w:r>
          </w:p>
        </w:tc>
        <w:tc>
          <w:tcPr>
            <w:tcW w:w="906" w:type="dxa"/>
            <w:tcBorders>
              <w:top w:val="nil"/>
              <w:bottom w:val="nil"/>
              <w:right w:val="single" w:sz="4" w:space="0" w:color="auto"/>
            </w:tcBorders>
            <w:shd w:val="clear" w:color="auto" w:fill="auto"/>
            <w:noWrap/>
            <w:vAlign w:val="bottom"/>
          </w:tcPr>
          <w:p w14:paraId="685895E9"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hideMark/>
          </w:tcPr>
          <w:p w14:paraId="297C0135"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SDF.D039</w:t>
            </w:r>
          </w:p>
        </w:tc>
        <w:tc>
          <w:tcPr>
            <w:tcW w:w="1520" w:type="dxa"/>
            <w:tcBorders>
              <w:top w:val="nil"/>
              <w:left w:val="nil"/>
              <w:bottom w:val="nil"/>
              <w:right w:val="single" w:sz="4" w:space="0" w:color="auto"/>
            </w:tcBorders>
            <w:shd w:val="clear" w:color="auto" w:fill="auto"/>
            <w:noWrap/>
            <w:vAlign w:val="bottom"/>
            <w:hideMark/>
          </w:tcPr>
          <w:p w14:paraId="154727DF"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SDF.E039</w:t>
            </w:r>
          </w:p>
        </w:tc>
      </w:tr>
      <w:tr w:rsidR="00A21E9D" w:rsidRPr="00853884" w14:paraId="10F6D89C" w14:textId="77777777" w:rsidTr="00155A88">
        <w:trPr>
          <w:trHeight w:val="255"/>
        </w:trPr>
        <w:tc>
          <w:tcPr>
            <w:tcW w:w="852" w:type="dxa"/>
            <w:tcBorders>
              <w:top w:val="nil"/>
              <w:left w:val="single" w:sz="4" w:space="0" w:color="auto"/>
              <w:bottom w:val="nil"/>
              <w:right w:val="single" w:sz="4" w:space="0" w:color="auto"/>
            </w:tcBorders>
            <w:shd w:val="clear" w:color="auto" w:fill="auto"/>
            <w:noWrap/>
            <w:vAlign w:val="bottom"/>
            <w:hideMark/>
          </w:tcPr>
          <w:p w14:paraId="2A61820C"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530</w:t>
            </w:r>
          </w:p>
        </w:tc>
        <w:tc>
          <w:tcPr>
            <w:tcW w:w="9714" w:type="dxa"/>
            <w:tcBorders>
              <w:top w:val="nil"/>
              <w:left w:val="nil"/>
              <w:bottom w:val="nil"/>
            </w:tcBorders>
            <w:shd w:val="clear" w:color="auto" w:fill="auto"/>
            <w:noWrap/>
            <w:vAlign w:val="bottom"/>
            <w:hideMark/>
          </w:tcPr>
          <w:p w14:paraId="79C6D375" w14:textId="77777777" w:rsidR="00A21E9D" w:rsidRPr="00853884" w:rsidRDefault="00A21E9D"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TRANSFERÊNCIA DA UNIÃO REFERENTE ROYALTIES DO PETRÓLEO</w:t>
            </w:r>
          </w:p>
        </w:tc>
        <w:tc>
          <w:tcPr>
            <w:tcW w:w="906" w:type="dxa"/>
            <w:tcBorders>
              <w:top w:val="nil"/>
              <w:bottom w:val="nil"/>
              <w:right w:val="single" w:sz="4" w:space="0" w:color="auto"/>
            </w:tcBorders>
            <w:shd w:val="clear" w:color="auto" w:fill="auto"/>
            <w:noWrap/>
            <w:vAlign w:val="bottom"/>
          </w:tcPr>
          <w:p w14:paraId="5BAB2C2F"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hideMark/>
          </w:tcPr>
          <w:p w14:paraId="50CAEA81"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SDF.D040</w:t>
            </w:r>
          </w:p>
        </w:tc>
        <w:tc>
          <w:tcPr>
            <w:tcW w:w="1520" w:type="dxa"/>
            <w:tcBorders>
              <w:top w:val="nil"/>
              <w:left w:val="nil"/>
              <w:bottom w:val="nil"/>
              <w:right w:val="single" w:sz="4" w:space="0" w:color="auto"/>
            </w:tcBorders>
            <w:shd w:val="clear" w:color="auto" w:fill="auto"/>
            <w:noWrap/>
            <w:vAlign w:val="bottom"/>
            <w:hideMark/>
          </w:tcPr>
          <w:p w14:paraId="13933221"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SDF.E040</w:t>
            </w:r>
          </w:p>
        </w:tc>
      </w:tr>
      <w:tr w:rsidR="00A21E9D" w:rsidRPr="00853884" w14:paraId="21348DB6" w14:textId="77777777" w:rsidTr="00155A88">
        <w:trPr>
          <w:trHeight w:val="255"/>
        </w:trPr>
        <w:tc>
          <w:tcPr>
            <w:tcW w:w="852" w:type="dxa"/>
            <w:tcBorders>
              <w:top w:val="nil"/>
              <w:left w:val="single" w:sz="4" w:space="0" w:color="auto"/>
              <w:bottom w:val="nil"/>
              <w:right w:val="single" w:sz="4" w:space="0" w:color="auto"/>
            </w:tcBorders>
            <w:shd w:val="clear" w:color="auto" w:fill="auto"/>
            <w:noWrap/>
            <w:vAlign w:val="bottom"/>
            <w:hideMark/>
          </w:tcPr>
          <w:p w14:paraId="68E08A1F"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540</w:t>
            </w:r>
          </w:p>
        </w:tc>
        <w:tc>
          <w:tcPr>
            <w:tcW w:w="9714" w:type="dxa"/>
            <w:tcBorders>
              <w:top w:val="nil"/>
              <w:left w:val="nil"/>
              <w:bottom w:val="nil"/>
            </w:tcBorders>
            <w:shd w:val="clear" w:color="auto" w:fill="auto"/>
            <w:noWrap/>
            <w:vAlign w:val="bottom"/>
            <w:hideMark/>
          </w:tcPr>
          <w:p w14:paraId="091FC2F9" w14:textId="77777777" w:rsidR="00A21E9D" w:rsidRPr="00853884" w:rsidRDefault="00A21E9D"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TRANSFERÊNCIA DOS ESTADOS REFERENTE  ROYALTIES DO PETRÓLEO</w:t>
            </w:r>
          </w:p>
        </w:tc>
        <w:tc>
          <w:tcPr>
            <w:tcW w:w="906" w:type="dxa"/>
            <w:tcBorders>
              <w:top w:val="nil"/>
              <w:bottom w:val="nil"/>
              <w:right w:val="single" w:sz="4" w:space="0" w:color="auto"/>
            </w:tcBorders>
            <w:shd w:val="clear" w:color="auto" w:fill="auto"/>
            <w:noWrap/>
            <w:vAlign w:val="bottom"/>
          </w:tcPr>
          <w:p w14:paraId="228779AA"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hideMark/>
          </w:tcPr>
          <w:p w14:paraId="425332DE"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SDF.D041</w:t>
            </w:r>
          </w:p>
        </w:tc>
        <w:tc>
          <w:tcPr>
            <w:tcW w:w="1520" w:type="dxa"/>
            <w:tcBorders>
              <w:top w:val="nil"/>
              <w:left w:val="nil"/>
              <w:bottom w:val="nil"/>
              <w:right w:val="single" w:sz="4" w:space="0" w:color="auto"/>
            </w:tcBorders>
            <w:shd w:val="clear" w:color="auto" w:fill="auto"/>
            <w:noWrap/>
            <w:vAlign w:val="bottom"/>
            <w:hideMark/>
          </w:tcPr>
          <w:p w14:paraId="0CD34CC3"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SDF.E041</w:t>
            </w:r>
          </w:p>
        </w:tc>
      </w:tr>
      <w:tr w:rsidR="00A21E9D" w:rsidRPr="00853884" w14:paraId="0633ED60" w14:textId="77777777" w:rsidTr="00155A88">
        <w:trPr>
          <w:trHeight w:val="255"/>
        </w:trPr>
        <w:tc>
          <w:tcPr>
            <w:tcW w:w="852" w:type="dxa"/>
            <w:tcBorders>
              <w:top w:val="nil"/>
              <w:left w:val="single" w:sz="4" w:space="0" w:color="auto"/>
              <w:bottom w:val="nil"/>
              <w:right w:val="single" w:sz="4" w:space="0" w:color="auto"/>
            </w:tcBorders>
            <w:shd w:val="clear" w:color="auto" w:fill="auto"/>
            <w:noWrap/>
            <w:vAlign w:val="bottom"/>
          </w:tcPr>
          <w:p w14:paraId="782D53C8" w14:textId="77777777" w:rsidR="00A21E9D" w:rsidRPr="00B35196" w:rsidRDefault="00A21E9D" w:rsidP="002315E1">
            <w:pPr>
              <w:spacing w:after="0" w:line="240" w:lineRule="auto"/>
              <w:jc w:val="center"/>
              <w:rPr>
                <w:rFonts w:ascii="Arial Narrow" w:eastAsia="Times New Roman" w:hAnsi="Arial Narrow" w:cs="Arial"/>
                <w:strike/>
                <w:color w:val="FF0000"/>
                <w:sz w:val="16"/>
                <w:szCs w:val="16"/>
                <w:lang w:eastAsia="pt-BR"/>
              </w:rPr>
            </w:pPr>
            <w:r w:rsidRPr="00B35196">
              <w:rPr>
                <w:rFonts w:ascii="Arial Narrow" w:eastAsia="Times New Roman" w:hAnsi="Arial Narrow" w:cs="Arial"/>
                <w:strike/>
                <w:color w:val="FF0000"/>
                <w:sz w:val="16"/>
                <w:szCs w:val="16"/>
                <w:lang w:eastAsia="pt-BR"/>
              </w:rPr>
              <w:t>710</w:t>
            </w:r>
          </w:p>
        </w:tc>
        <w:tc>
          <w:tcPr>
            <w:tcW w:w="9714" w:type="dxa"/>
            <w:tcBorders>
              <w:top w:val="nil"/>
              <w:left w:val="nil"/>
              <w:bottom w:val="nil"/>
            </w:tcBorders>
            <w:shd w:val="clear" w:color="auto" w:fill="auto"/>
            <w:noWrap/>
            <w:vAlign w:val="bottom"/>
          </w:tcPr>
          <w:p w14:paraId="7DF42999" w14:textId="77777777" w:rsidR="00A21E9D" w:rsidRPr="00B35196" w:rsidRDefault="00A21E9D" w:rsidP="002315E1">
            <w:pPr>
              <w:spacing w:after="0" w:line="240" w:lineRule="auto"/>
              <w:rPr>
                <w:rFonts w:ascii="Arial Narrow" w:eastAsia="Times New Roman" w:hAnsi="Arial Narrow" w:cs="Arial"/>
                <w:strike/>
                <w:color w:val="FF0000"/>
                <w:sz w:val="16"/>
                <w:szCs w:val="16"/>
                <w:lang w:eastAsia="pt-BR"/>
              </w:rPr>
            </w:pPr>
            <w:r w:rsidRPr="00B35196">
              <w:rPr>
                <w:rFonts w:ascii="Arial Narrow" w:eastAsia="Times New Roman" w:hAnsi="Arial Narrow" w:cs="Arial"/>
                <w:strike/>
                <w:color w:val="FF0000"/>
                <w:sz w:val="16"/>
                <w:szCs w:val="16"/>
                <w:lang w:eastAsia="pt-BR"/>
              </w:rPr>
              <w:t>RECURSOS VINCULADOS AOS VALORES RECEBIDOS CONFORME INCISO I DO ARTIGO 5° DA LC FEDERAL N° 173/2020</w:t>
            </w:r>
          </w:p>
        </w:tc>
        <w:tc>
          <w:tcPr>
            <w:tcW w:w="906" w:type="dxa"/>
            <w:tcBorders>
              <w:top w:val="nil"/>
              <w:bottom w:val="nil"/>
              <w:right w:val="single" w:sz="4" w:space="0" w:color="auto"/>
            </w:tcBorders>
            <w:shd w:val="clear" w:color="auto" w:fill="auto"/>
            <w:noWrap/>
            <w:vAlign w:val="bottom"/>
          </w:tcPr>
          <w:p w14:paraId="1AECBBDC" w14:textId="77777777" w:rsidR="00A21E9D" w:rsidRPr="00B35196" w:rsidRDefault="00A21E9D" w:rsidP="002315E1">
            <w:pPr>
              <w:spacing w:after="0" w:line="240" w:lineRule="auto"/>
              <w:jc w:val="center"/>
              <w:rPr>
                <w:rFonts w:ascii="Arial Narrow" w:eastAsia="Times New Roman" w:hAnsi="Arial Narrow" w:cs="Arial"/>
                <w:strike/>
                <w:color w:val="FF0000"/>
                <w:sz w:val="16"/>
                <w:szCs w:val="16"/>
                <w:lang w:eastAsia="pt-BR"/>
              </w:rPr>
            </w:pPr>
          </w:p>
        </w:tc>
        <w:tc>
          <w:tcPr>
            <w:tcW w:w="1309" w:type="dxa"/>
            <w:tcBorders>
              <w:top w:val="nil"/>
              <w:left w:val="nil"/>
              <w:bottom w:val="nil"/>
              <w:right w:val="single" w:sz="4" w:space="0" w:color="auto"/>
            </w:tcBorders>
            <w:shd w:val="clear" w:color="auto" w:fill="auto"/>
            <w:noWrap/>
            <w:vAlign w:val="bottom"/>
          </w:tcPr>
          <w:p w14:paraId="06EFA258" w14:textId="77777777" w:rsidR="00A21E9D" w:rsidRPr="00B35196" w:rsidRDefault="00A21E9D" w:rsidP="002315E1">
            <w:pPr>
              <w:spacing w:after="0" w:line="240" w:lineRule="auto"/>
              <w:jc w:val="center"/>
              <w:rPr>
                <w:rFonts w:ascii="Arial Narrow" w:eastAsia="Times New Roman" w:hAnsi="Arial Narrow" w:cs="Arial"/>
                <w:strike/>
                <w:color w:val="FF0000"/>
                <w:sz w:val="16"/>
                <w:szCs w:val="16"/>
                <w:lang w:eastAsia="pt-BR"/>
              </w:rPr>
            </w:pPr>
            <w:r w:rsidRPr="00B35196">
              <w:rPr>
                <w:rFonts w:ascii="Arial Narrow" w:eastAsia="Times New Roman" w:hAnsi="Arial Narrow" w:cs="Arial"/>
                <w:strike/>
                <w:color w:val="FF0000"/>
                <w:sz w:val="16"/>
                <w:szCs w:val="16"/>
                <w:lang w:eastAsia="pt-BR"/>
              </w:rPr>
              <w:t>SDF.D084</w:t>
            </w:r>
          </w:p>
        </w:tc>
        <w:tc>
          <w:tcPr>
            <w:tcW w:w="1520" w:type="dxa"/>
            <w:tcBorders>
              <w:top w:val="nil"/>
              <w:left w:val="nil"/>
              <w:bottom w:val="nil"/>
              <w:right w:val="single" w:sz="4" w:space="0" w:color="auto"/>
            </w:tcBorders>
            <w:shd w:val="clear" w:color="auto" w:fill="auto"/>
            <w:noWrap/>
            <w:vAlign w:val="bottom"/>
          </w:tcPr>
          <w:p w14:paraId="3233BF05" w14:textId="77777777" w:rsidR="00A21E9D" w:rsidRPr="00B35196" w:rsidRDefault="00A21E9D" w:rsidP="002315E1">
            <w:pPr>
              <w:spacing w:after="0" w:line="240" w:lineRule="auto"/>
              <w:jc w:val="center"/>
              <w:rPr>
                <w:rFonts w:ascii="Arial Narrow" w:eastAsia="Times New Roman" w:hAnsi="Arial Narrow" w:cs="Arial"/>
                <w:strike/>
                <w:color w:val="FF0000"/>
                <w:sz w:val="16"/>
                <w:szCs w:val="16"/>
                <w:lang w:eastAsia="pt-BR"/>
              </w:rPr>
            </w:pPr>
            <w:r w:rsidRPr="00B35196">
              <w:rPr>
                <w:rFonts w:ascii="Arial Narrow" w:eastAsia="Times New Roman" w:hAnsi="Arial Narrow" w:cs="Arial"/>
                <w:strike/>
                <w:color w:val="FF0000"/>
                <w:sz w:val="16"/>
                <w:szCs w:val="16"/>
                <w:lang w:eastAsia="pt-BR"/>
              </w:rPr>
              <w:t>SDF.E084</w:t>
            </w:r>
          </w:p>
        </w:tc>
      </w:tr>
      <w:tr w:rsidR="00A21E9D" w:rsidRPr="00853884" w14:paraId="12EE154C" w14:textId="77777777" w:rsidTr="00155A88">
        <w:trPr>
          <w:trHeight w:val="255"/>
        </w:trPr>
        <w:tc>
          <w:tcPr>
            <w:tcW w:w="852" w:type="dxa"/>
            <w:tcBorders>
              <w:top w:val="nil"/>
              <w:left w:val="single" w:sz="4" w:space="0" w:color="auto"/>
              <w:bottom w:val="nil"/>
              <w:right w:val="single" w:sz="4" w:space="0" w:color="auto"/>
            </w:tcBorders>
            <w:shd w:val="clear" w:color="auto" w:fill="auto"/>
            <w:noWrap/>
            <w:vAlign w:val="bottom"/>
          </w:tcPr>
          <w:p w14:paraId="11262517"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910</w:t>
            </w:r>
          </w:p>
        </w:tc>
        <w:tc>
          <w:tcPr>
            <w:tcW w:w="9714" w:type="dxa"/>
            <w:tcBorders>
              <w:top w:val="nil"/>
              <w:left w:val="nil"/>
              <w:bottom w:val="nil"/>
            </w:tcBorders>
            <w:shd w:val="clear" w:color="auto" w:fill="auto"/>
            <w:noWrap/>
            <w:vAlign w:val="bottom"/>
          </w:tcPr>
          <w:p w14:paraId="7F699315" w14:textId="77777777" w:rsidR="00A21E9D" w:rsidRPr="00853884" w:rsidRDefault="00A21E9D"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RECURSOS PRÓPRIOS DOS CONSÓRCIOS</w:t>
            </w:r>
          </w:p>
        </w:tc>
        <w:tc>
          <w:tcPr>
            <w:tcW w:w="906" w:type="dxa"/>
            <w:tcBorders>
              <w:top w:val="nil"/>
              <w:bottom w:val="nil"/>
              <w:right w:val="single" w:sz="4" w:space="0" w:color="auto"/>
            </w:tcBorders>
            <w:shd w:val="clear" w:color="auto" w:fill="auto"/>
            <w:noWrap/>
            <w:vAlign w:val="bottom"/>
          </w:tcPr>
          <w:p w14:paraId="103C8185"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tcPr>
          <w:p w14:paraId="7C418C93"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SDF.D082</w:t>
            </w:r>
          </w:p>
        </w:tc>
        <w:tc>
          <w:tcPr>
            <w:tcW w:w="1520" w:type="dxa"/>
            <w:tcBorders>
              <w:top w:val="nil"/>
              <w:left w:val="nil"/>
              <w:bottom w:val="nil"/>
              <w:right w:val="single" w:sz="4" w:space="0" w:color="auto"/>
            </w:tcBorders>
            <w:shd w:val="clear" w:color="auto" w:fill="auto"/>
            <w:noWrap/>
            <w:vAlign w:val="bottom"/>
          </w:tcPr>
          <w:p w14:paraId="79BAEB9E"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SDF.E082</w:t>
            </w:r>
          </w:p>
        </w:tc>
      </w:tr>
      <w:tr w:rsidR="00A21E9D" w:rsidRPr="00853884" w14:paraId="411EB81C" w14:textId="77777777" w:rsidTr="00155A88">
        <w:trPr>
          <w:trHeight w:val="255"/>
        </w:trPr>
        <w:tc>
          <w:tcPr>
            <w:tcW w:w="852" w:type="dxa"/>
            <w:tcBorders>
              <w:top w:val="nil"/>
              <w:left w:val="single" w:sz="4" w:space="0" w:color="auto"/>
              <w:bottom w:val="nil"/>
              <w:right w:val="single" w:sz="4" w:space="0" w:color="auto"/>
            </w:tcBorders>
            <w:shd w:val="clear" w:color="auto" w:fill="auto"/>
            <w:noWrap/>
            <w:vAlign w:val="bottom"/>
          </w:tcPr>
          <w:p w14:paraId="52B3B2B1"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920</w:t>
            </w:r>
          </w:p>
        </w:tc>
        <w:tc>
          <w:tcPr>
            <w:tcW w:w="9714" w:type="dxa"/>
            <w:tcBorders>
              <w:top w:val="nil"/>
              <w:left w:val="nil"/>
              <w:bottom w:val="nil"/>
            </w:tcBorders>
            <w:shd w:val="clear" w:color="auto" w:fill="auto"/>
            <w:noWrap/>
            <w:vAlign w:val="bottom"/>
          </w:tcPr>
          <w:p w14:paraId="52DAFEFA" w14:textId="77777777" w:rsidR="00A21E9D" w:rsidRPr="00853884" w:rsidRDefault="00A21E9D"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RECURSOS DE OPERAÇÕES DE CRÉDITO - INTERNA E EXTERNA</w:t>
            </w:r>
          </w:p>
        </w:tc>
        <w:tc>
          <w:tcPr>
            <w:tcW w:w="906" w:type="dxa"/>
            <w:tcBorders>
              <w:top w:val="nil"/>
              <w:right w:val="single" w:sz="4" w:space="0" w:color="auto"/>
            </w:tcBorders>
            <w:shd w:val="clear" w:color="auto" w:fill="auto"/>
            <w:noWrap/>
            <w:vAlign w:val="bottom"/>
          </w:tcPr>
          <w:p w14:paraId="36748C05"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tcPr>
          <w:p w14:paraId="302C756F" w14:textId="77777777" w:rsidR="00A21E9D" w:rsidRPr="00853884" w:rsidRDefault="00A21E9D" w:rsidP="002315E1">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SDF.D071</w:t>
            </w:r>
          </w:p>
        </w:tc>
        <w:tc>
          <w:tcPr>
            <w:tcW w:w="1520" w:type="dxa"/>
            <w:tcBorders>
              <w:top w:val="nil"/>
              <w:left w:val="nil"/>
              <w:bottom w:val="nil"/>
              <w:right w:val="single" w:sz="4" w:space="0" w:color="auto"/>
            </w:tcBorders>
            <w:shd w:val="clear" w:color="auto" w:fill="auto"/>
            <w:noWrap/>
            <w:vAlign w:val="bottom"/>
          </w:tcPr>
          <w:p w14:paraId="34A1E018" w14:textId="77777777" w:rsidR="00A21E9D" w:rsidRPr="00853884" w:rsidRDefault="00A21E9D" w:rsidP="002315E1">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SDF.E071</w:t>
            </w:r>
          </w:p>
        </w:tc>
      </w:tr>
      <w:tr w:rsidR="00A21E9D" w:rsidRPr="00853884" w14:paraId="3397D1B0" w14:textId="77777777" w:rsidTr="00155A88">
        <w:trPr>
          <w:trHeight w:val="255"/>
        </w:trPr>
        <w:tc>
          <w:tcPr>
            <w:tcW w:w="852" w:type="dxa"/>
            <w:tcBorders>
              <w:top w:val="nil"/>
              <w:left w:val="single" w:sz="4" w:space="0" w:color="auto"/>
              <w:bottom w:val="nil"/>
              <w:right w:val="single" w:sz="4" w:space="0" w:color="auto"/>
            </w:tcBorders>
            <w:shd w:val="clear" w:color="auto" w:fill="auto"/>
            <w:noWrap/>
            <w:vAlign w:val="bottom"/>
            <w:hideMark/>
          </w:tcPr>
          <w:p w14:paraId="5289D746"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930</w:t>
            </w:r>
          </w:p>
        </w:tc>
        <w:tc>
          <w:tcPr>
            <w:tcW w:w="9714" w:type="dxa"/>
            <w:tcBorders>
              <w:top w:val="nil"/>
              <w:left w:val="nil"/>
              <w:bottom w:val="nil"/>
            </w:tcBorders>
            <w:shd w:val="clear" w:color="auto" w:fill="auto"/>
            <w:noWrap/>
            <w:vAlign w:val="bottom"/>
            <w:hideMark/>
          </w:tcPr>
          <w:p w14:paraId="0D146EC0" w14:textId="77777777" w:rsidR="00A21E9D" w:rsidRPr="00853884" w:rsidRDefault="00A21E9D"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RECURSOS DE ALIENAÇÃO DE BENS/ATIVOS</w:t>
            </w:r>
          </w:p>
        </w:tc>
        <w:tc>
          <w:tcPr>
            <w:tcW w:w="906" w:type="dxa"/>
            <w:tcBorders>
              <w:top w:val="nil"/>
              <w:bottom w:val="nil"/>
              <w:right w:val="single" w:sz="4" w:space="0" w:color="auto"/>
            </w:tcBorders>
            <w:shd w:val="clear" w:color="auto" w:fill="auto"/>
            <w:noWrap/>
            <w:vAlign w:val="bottom"/>
          </w:tcPr>
          <w:p w14:paraId="63E978D1"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hideMark/>
          </w:tcPr>
          <w:p w14:paraId="0ECCC531"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SDF.D044</w:t>
            </w:r>
          </w:p>
        </w:tc>
        <w:tc>
          <w:tcPr>
            <w:tcW w:w="1520" w:type="dxa"/>
            <w:tcBorders>
              <w:top w:val="nil"/>
              <w:left w:val="nil"/>
              <w:bottom w:val="nil"/>
              <w:right w:val="single" w:sz="4" w:space="0" w:color="auto"/>
            </w:tcBorders>
            <w:shd w:val="clear" w:color="auto" w:fill="auto"/>
            <w:noWrap/>
            <w:vAlign w:val="bottom"/>
            <w:hideMark/>
          </w:tcPr>
          <w:p w14:paraId="60B5A56B"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SDF.E044</w:t>
            </w:r>
          </w:p>
        </w:tc>
      </w:tr>
      <w:tr w:rsidR="00A21E9D" w:rsidRPr="00853884" w14:paraId="1C0850DA" w14:textId="77777777" w:rsidTr="00155A88">
        <w:trPr>
          <w:trHeight w:val="255"/>
        </w:trPr>
        <w:tc>
          <w:tcPr>
            <w:tcW w:w="852" w:type="dxa"/>
            <w:tcBorders>
              <w:top w:val="nil"/>
              <w:left w:val="single" w:sz="4" w:space="0" w:color="auto"/>
              <w:bottom w:val="nil"/>
              <w:right w:val="single" w:sz="4" w:space="0" w:color="auto"/>
            </w:tcBorders>
            <w:shd w:val="clear" w:color="auto" w:fill="auto"/>
            <w:noWrap/>
            <w:vAlign w:val="bottom"/>
          </w:tcPr>
          <w:p w14:paraId="62542247"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940</w:t>
            </w:r>
          </w:p>
        </w:tc>
        <w:tc>
          <w:tcPr>
            <w:tcW w:w="9714" w:type="dxa"/>
            <w:tcBorders>
              <w:top w:val="nil"/>
              <w:left w:val="nil"/>
              <w:bottom w:val="nil"/>
            </w:tcBorders>
            <w:shd w:val="clear" w:color="auto" w:fill="auto"/>
            <w:noWrap/>
            <w:vAlign w:val="bottom"/>
          </w:tcPr>
          <w:p w14:paraId="50B3F9B9" w14:textId="77777777" w:rsidR="00A21E9D" w:rsidRPr="00853884" w:rsidRDefault="00A21E9D"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OUTRAS VINCULAÇÕES DE TRANSFERÊNCIAS</w:t>
            </w:r>
          </w:p>
        </w:tc>
        <w:tc>
          <w:tcPr>
            <w:tcW w:w="906" w:type="dxa"/>
            <w:tcBorders>
              <w:top w:val="nil"/>
              <w:bottom w:val="nil"/>
              <w:right w:val="single" w:sz="4" w:space="0" w:color="auto"/>
            </w:tcBorders>
            <w:shd w:val="clear" w:color="auto" w:fill="auto"/>
            <w:noWrap/>
            <w:vAlign w:val="bottom"/>
          </w:tcPr>
          <w:p w14:paraId="238018AF"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tcPr>
          <w:p w14:paraId="043FA953"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SDF.D072</w:t>
            </w:r>
          </w:p>
        </w:tc>
        <w:tc>
          <w:tcPr>
            <w:tcW w:w="1520" w:type="dxa"/>
            <w:tcBorders>
              <w:top w:val="nil"/>
              <w:left w:val="nil"/>
              <w:bottom w:val="nil"/>
              <w:right w:val="single" w:sz="4" w:space="0" w:color="auto"/>
            </w:tcBorders>
            <w:shd w:val="clear" w:color="auto" w:fill="auto"/>
            <w:noWrap/>
            <w:vAlign w:val="bottom"/>
          </w:tcPr>
          <w:p w14:paraId="194F8E07"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SDF.E072</w:t>
            </w:r>
          </w:p>
        </w:tc>
      </w:tr>
      <w:tr w:rsidR="00A21E9D" w:rsidRPr="00853884" w14:paraId="2E88B414" w14:textId="77777777" w:rsidTr="00155A88">
        <w:trPr>
          <w:trHeight w:val="255"/>
        </w:trPr>
        <w:tc>
          <w:tcPr>
            <w:tcW w:w="852" w:type="dxa"/>
            <w:tcBorders>
              <w:top w:val="nil"/>
              <w:left w:val="single" w:sz="4" w:space="0" w:color="auto"/>
              <w:bottom w:val="nil"/>
              <w:right w:val="single" w:sz="4" w:space="0" w:color="auto"/>
            </w:tcBorders>
            <w:shd w:val="clear" w:color="auto" w:fill="auto"/>
            <w:noWrap/>
            <w:vAlign w:val="bottom"/>
          </w:tcPr>
          <w:p w14:paraId="0612786A"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950</w:t>
            </w:r>
          </w:p>
        </w:tc>
        <w:tc>
          <w:tcPr>
            <w:tcW w:w="9714" w:type="dxa"/>
            <w:tcBorders>
              <w:top w:val="nil"/>
              <w:left w:val="nil"/>
              <w:bottom w:val="nil"/>
            </w:tcBorders>
            <w:shd w:val="clear" w:color="auto" w:fill="auto"/>
            <w:noWrap/>
            <w:vAlign w:val="bottom"/>
          </w:tcPr>
          <w:p w14:paraId="0DA23D59" w14:textId="77777777" w:rsidR="00A21E9D" w:rsidRPr="00853884" w:rsidRDefault="00A21E9D"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OUTRAS VINCULAÇÕES DE TAXAS E CONTRIBUIÇÕES</w:t>
            </w:r>
          </w:p>
        </w:tc>
        <w:tc>
          <w:tcPr>
            <w:tcW w:w="906" w:type="dxa"/>
            <w:tcBorders>
              <w:top w:val="nil"/>
              <w:bottom w:val="nil"/>
              <w:right w:val="single" w:sz="4" w:space="0" w:color="auto"/>
            </w:tcBorders>
            <w:shd w:val="clear" w:color="auto" w:fill="auto"/>
            <w:noWrap/>
            <w:vAlign w:val="bottom"/>
          </w:tcPr>
          <w:p w14:paraId="241833B5"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tcPr>
          <w:p w14:paraId="4F847F52"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SDF.D073</w:t>
            </w:r>
          </w:p>
        </w:tc>
        <w:tc>
          <w:tcPr>
            <w:tcW w:w="1520" w:type="dxa"/>
            <w:tcBorders>
              <w:top w:val="nil"/>
              <w:left w:val="nil"/>
              <w:bottom w:val="nil"/>
              <w:right w:val="single" w:sz="4" w:space="0" w:color="auto"/>
            </w:tcBorders>
            <w:shd w:val="clear" w:color="auto" w:fill="auto"/>
            <w:noWrap/>
            <w:vAlign w:val="bottom"/>
          </w:tcPr>
          <w:p w14:paraId="29153B17"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SDF.E073</w:t>
            </w:r>
          </w:p>
        </w:tc>
      </w:tr>
      <w:tr w:rsidR="00A21E9D" w:rsidRPr="00853884" w14:paraId="3B8CA175" w14:textId="77777777" w:rsidTr="00155A88">
        <w:trPr>
          <w:trHeight w:val="255"/>
        </w:trPr>
        <w:tc>
          <w:tcPr>
            <w:tcW w:w="852" w:type="dxa"/>
            <w:tcBorders>
              <w:top w:val="nil"/>
              <w:left w:val="single" w:sz="4" w:space="0" w:color="auto"/>
              <w:bottom w:val="nil"/>
              <w:right w:val="single" w:sz="4" w:space="0" w:color="auto"/>
            </w:tcBorders>
            <w:shd w:val="clear" w:color="auto" w:fill="auto"/>
            <w:noWrap/>
            <w:vAlign w:val="bottom"/>
          </w:tcPr>
          <w:p w14:paraId="4D712B1F"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961</w:t>
            </w:r>
          </w:p>
        </w:tc>
        <w:tc>
          <w:tcPr>
            <w:tcW w:w="9714" w:type="dxa"/>
            <w:tcBorders>
              <w:top w:val="nil"/>
              <w:left w:val="nil"/>
              <w:bottom w:val="nil"/>
            </w:tcBorders>
            <w:shd w:val="clear" w:color="auto" w:fill="auto"/>
            <w:noWrap/>
            <w:vAlign w:val="bottom"/>
          </w:tcPr>
          <w:p w14:paraId="09902586" w14:textId="77777777" w:rsidR="00A21E9D" w:rsidRPr="00853884" w:rsidRDefault="00A21E9D"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RECURSOS DE DEPÓSITOS JUDICIAIS – LIDES DAS QUAIS O ENTE FAZ PARTE</w:t>
            </w:r>
          </w:p>
        </w:tc>
        <w:tc>
          <w:tcPr>
            <w:tcW w:w="906" w:type="dxa"/>
            <w:tcBorders>
              <w:top w:val="nil"/>
              <w:bottom w:val="nil"/>
              <w:right w:val="single" w:sz="4" w:space="0" w:color="auto"/>
            </w:tcBorders>
            <w:shd w:val="clear" w:color="auto" w:fill="auto"/>
            <w:noWrap/>
            <w:vAlign w:val="bottom"/>
          </w:tcPr>
          <w:p w14:paraId="79FC3050"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tcPr>
          <w:p w14:paraId="5AD65476"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Pr>
                <w:rFonts w:ascii="Arial Narrow" w:eastAsia="Times New Roman" w:hAnsi="Arial Narrow" w:cs="Arial"/>
                <w:sz w:val="16"/>
                <w:szCs w:val="16"/>
                <w:lang w:eastAsia="pt-BR"/>
              </w:rPr>
              <w:t>SDF.D085</w:t>
            </w:r>
          </w:p>
        </w:tc>
        <w:tc>
          <w:tcPr>
            <w:tcW w:w="1520" w:type="dxa"/>
            <w:tcBorders>
              <w:top w:val="nil"/>
              <w:left w:val="nil"/>
              <w:bottom w:val="nil"/>
              <w:right w:val="single" w:sz="4" w:space="0" w:color="auto"/>
            </w:tcBorders>
            <w:shd w:val="clear" w:color="auto" w:fill="auto"/>
            <w:noWrap/>
            <w:vAlign w:val="bottom"/>
          </w:tcPr>
          <w:p w14:paraId="6B73262E"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Pr>
                <w:rFonts w:ascii="Arial Narrow" w:eastAsia="Times New Roman" w:hAnsi="Arial Narrow" w:cs="Arial"/>
                <w:sz w:val="16"/>
                <w:szCs w:val="16"/>
                <w:lang w:eastAsia="pt-BR"/>
              </w:rPr>
              <w:t>SDF.E085</w:t>
            </w:r>
          </w:p>
        </w:tc>
      </w:tr>
      <w:tr w:rsidR="00A21E9D" w:rsidRPr="00853884" w14:paraId="446A42EC" w14:textId="77777777" w:rsidTr="00155A88">
        <w:trPr>
          <w:trHeight w:val="255"/>
        </w:trPr>
        <w:tc>
          <w:tcPr>
            <w:tcW w:w="852" w:type="dxa"/>
            <w:tcBorders>
              <w:top w:val="nil"/>
              <w:left w:val="single" w:sz="4" w:space="0" w:color="auto"/>
              <w:bottom w:val="nil"/>
              <w:right w:val="single" w:sz="4" w:space="0" w:color="auto"/>
            </w:tcBorders>
            <w:shd w:val="clear" w:color="auto" w:fill="auto"/>
            <w:noWrap/>
            <w:vAlign w:val="bottom"/>
          </w:tcPr>
          <w:p w14:paraId="1D1ACAF7"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lastRenderedPageBreak/>
              <w:t>962</w:t>
            </w:r>
          </w:p>
        </w:tc>
        <w:tc>
          <w:tcPr>
            <w:tcW w:w="9714" w:type="dxa"/>
            <w:tcBorders>
              <w:top w:val="nil"/>
              <w:left w:val="nil"/>
              <w:bottom w:val="nil"/>
            </w:tcBorders>
            <w:shd w:val="clear" w:color="auto" w:fill="auto"/>
            <w:noWrap/>
            <w:vAlign w:val="bottom"/>
          </w:tcPr>
          <w:p w14:paraId="27E927D2" w14:textId="77777777" w:rsidR="00A21E9D" w:rsidRPr="00853884" w:rsidRDefault="00A21E9D"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RECURSOS DE DEPÓSITOS JUDICIAIS – LIDES DAS QUAIS O ENTE NÃO FAZ PARTE</w:t>
            </w:r>
          </w:p>
        </w:tc>
        <w:tc>
          <w:tcPr>
            <w:tcW w:w="906" w:type="dxa"/>
            <w:tcBorders>
              <w:top w:val="nil"/>
              <w:bottom w:val="nil"/>
              <w:right w:val="single" w:sz="4" w:space="0" w:color="auto"/>
            </w:tcBorders>
            <w:shd w:val="clear" w:color="auto" w:fill="auto"/>
            <w:noWrap/>
            <w:vAlign w:val="bottom"/>
          </w:tcPr>
          <w:p w14:paraId="36A95EB5"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tcPr>
          <w:p w14:paraId="1AA3212B"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Pr>
                <w:rFonts w:ascii="Arial Narrow" w:eastAsia="Times New Roman" w:hAnsi="Arial Narrow" w:cs="Arial"/>
                <w:sz w:val="16"/>
                <w:szCs w:val="16"/>
                <w:lang w:eastAsia="pt-BR"/>
              </w:rPr>
              <w:t>SDF.D086</w:t>
            </w:r>
          </w:p>
        </w:tc>
        <w:tc>
          <w:tcPr>
            <w:tcW w:w="1520" w:type="dxa"/>
            <w:tcBorders>
              <w:top w:val="nil"/>
              <w:left w:val="nil"/>
              <w:bottom w:val="nil"/>
              <w:right w:val="single" w:sz="4" w:space="0" w:color="auto"/>
            </w:tcBorders>
            <w:shd w:val="clear" w:color="auto" w:fill="auto"/>
            <w:noWrap/>
            <w:vAlign w:val="bottom"/>
          </w:tcPr>
          <w:p w14:paraId="7F3C392C"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Pr>
                <w:rFonts w:ascii="Arial Narrow" w:eastAsia="Times New Roman" w:hAnsi="Arial Narrow" w:cs="Arial"/>
                <w:sz w:val="16"/>
                <w:szCs w:val="16"/>
                <w:lang w:eastAsia="pt-BR"/>
              </w:rPr>
              <w:t>SDF.E086</w:t>
            </w:r>
          </w:p>
        </w:tc>
      </w:tr>
      <w:tr w:rsidR="00A21E9D" w:rsidRPr="00853884" w14:paraId="458D42A9" w14:textId="77777777" w:rsidTr="00155A88">
        <w:trPr>
          <w:trHeight w:val="255"/>
        </w:trPr>
        <w:tc>
          <w:tcPr>
            <w:tcW w:w="852" w:type="dxa"/>
            <w:tcBorders>
              <w:top w:val="nil"/>
              <w:left w:val="single" w:sz="4" w:space="0" w:color="auto"/>
              <w:bottom w:val="nil"/>
              <w:right w:val="single" w:sz="4" w:space="0" w:color="auto"/>
            </w:tcBorders>
            <w:shd w:val="clear" w:color="auto" w:fill="auto"/>
            <w:noWrap/>
            <w:vAlign w:val="bottom"/>
          </w:tcPr>
          <w:p w14:paraId="3B962DFA"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971</w:t>
            </w:r>
          </w:p>
        </w:tc>
        <w:tc>
          <w:tcPr>
            <w:tcW w:w="9714" w:type="dxa"/>
            <w:tcBorders>
              <w:top w:val="nil"/>
              <w:left w:val="nil"/>
              <w:bottom w:val="nil"/>
            </w:tcBorders>
            <w:shd w:val="clear" w:color="auto" w:fill="auto"/>
            <w:noWrap/>
            <w:vAlign w:val="bottom"/>
          </w:tcPr>
          <w:p w14:paraId="0B6EAC49" w14:textId="77777777" w:rsidR="00A21E9D" w:rsidRPr="00853884" w:rsidRDefault="00A21E9D"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RECURSOS EXTRAORÇAMENTÁRIOS VINCULADOS A PRECATÓRIOS</w:t>
            </w:r>
          </w:p>
        </w:tc>
        <w:tc>
          <w:tcPr>
            <w:tcW w:w="906" w:type="dxa"/>
            <w:tcBorders>
              <w:top w:val="nil"/>
              <w:bottom w:val="nil"/>
              <w:right w:val="single" w:sz="4" w:space="0" w:color="auto"/>
            </w:tcBorders>
            <w:shd w:val="clear" w:color="auto" w:fill="auto"/>
            <w:noWrap/>
            <w:vAlign w:val="bottom"/>
          </w:tcPr>
          <w:p w14:paraId="2FD4258B"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tcPr>
          <w:p w14:paraId="78B101BC"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SDF.D074</w:t>
            </w:r>
          </w:p>
        </w:tc>
        <w:tc>
          <w:tcPr>
            <w:tcW w:w="1520" w:type="dxa"/>
            <w:tcBorders>
              <w:top w:val="nil"/>
              <w:left w:val="nil"/>
              <w:bottom w:val="nil"/>
              <w:right w:val="single" w:sz="4" w:space="0" w:color="auto"/>
            </w:tcBorders>
            <w:shd w:val="clear" w:color="auto" w:fill="auto"/>
            <w:noWrap/>
            <w:vAlign w:val="bottom"/>
          </w:tcPr>
          <w:p w14:paraId="399C8B00"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SDF.E074</w:t>
            </w:r>
          </w:p>
        </w:tc>
      </w:tr>
      <w:tr w:rsidR="00A21E9D" w:rsidRPr="00853884" w14:paraId="7A843785" w14:textId="77777777" w:rsidTr="00155A88">
        <w:trPr>
          <w:trHeight w:val="255"/>
        </w:trPr>
        <w:tc>
          <w:tcPr>
            <w:tcW w:w="852" w:type="dxa"/>
            <w:tcBorders>
              <w:top w:val="nil"/>
              <w:left w:val="single" w:sz="4" w:space="0" w:color="auto"/>
              <w:bottom w:val="nil"/>
              <w:right w:val="single" w:sz="4" w:space="0" w:color="auto"/>
            </w:tcBorders>
            <w:shd w:val="clear" w:color="auto" w:fill="auto"/>
            <w:noWrap/>
            <w:vAlign w:val="bottom"/>
          </w:tcPr>
          <w:p w14:paraId="5743280F"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972</w:t>
            </w:r>
          </w:p>
        </w:tc>
        <w:tc>
          <w:tcPr>
            <w:tcW w:w="9714" w:type="dxa"/>
            <w:tcBorders>
              <w:top w:val="nil"/>
              <w:left w:val="nil"/>
              <w:bottom w:val="nil"/>
            </w:tcBorders>
            <w:shd w:val="clear" w:color="auto" w:fill="auto"/>
            <w:noWrap/>
            <w:vAlign w:val="bottom"/>
          </w:tcPr>
          <w:p w14:paraId="4664990C" w14:textId="77777777" w:rsidR="00A21E9D" w:rsidRPr="00853884" w:rsidRDefault="00A21E9D"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RECURSOS EXTRAORÇAMENTÁRIOS VINCULADOS A DEPÓSITOS JUDICIAIS</w:t>
            </w:r>
          </w:p>
        </w:tc>
        <w:tc>
          <w:tcPr>
            <w:tcW w:w="906" w:type="dxa"/>
            <w:tcBorders>
              <w:top w:val="nil"/>
              <w:bottom w:val="nil"/>
              <w:right w:val="single" w:sz="4" w:space="0" w:color="auto"/>
            </w:tcBorders>
            <w:shd w:val="clear" w:color="auto" w:fill="auto"/>
            <w:noWrap/>
            <w:vAlign w:val="bottom"/>
          </w:tcPr>
          <w:p w14:paraId="1C5033C8"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tcPr>
          <w:p w14:paraId="4BDF5201"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SDF.D075</w:t>
            </w:r>
          </w:p>
        </w:tc>
        <w:tc>
          <w:tcPr>
            <w:tcW w:w="1520" w:type="dxa"/>
            <w:tcBorders>
              <w:top w:val="nil"/>
              <w:left w:val="nil"/>
              <w:bottom w:val="nil"/>
              <w:right w:val="single" w:sz="4" w:space="0" w:color="auto"/>
            </w:tcBorders>
            <w:shd w:val="clear" w:color="auto" w:fill="auto"/>
            <w:noWrap/>
            <w:vAlign w:val="bottom"/>
          </w:tcPr>
          <w:p w14:paraId="5159BBBE"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SDF.E075</w:t>
            </w:r>
          </w:p>
        </w:tc>
      </w:tr>
      <w:tr w:rsidR="00A21E9D" w:rsidRPr="00853884" w14:paraId="12E55163" w14:textId="77777777" w:rsidTr="00155A88">
        <w:trPr>
          <w:trHeight w:val="255"/>
        </w:trPr>
        <w:tc>
          <w:tcPr>
            <w:tcW w:w="852" w:type="dxa"/>
            <w:tcBorders>
              <w:top w:val="nil"/>
              <w:left w:val="single" w:sz="4" w:space="0" w:color="auto"/>
              <w:bottom w:val="nil"/>
              <w:right w:val="single" w:sz="4" w:space="0" w:color="auto"/>
            </w:tcBorders>
            <w:shd w:val="clear" w:color="auto" w:fill="auto"/>
            <w:noWrap/>
            <w:vAlign w:val="bottom"/>
          </w:tcPr>
          <w:p w14:paraId="3D52DECE"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979</w:t>
            </w:r>
          </w:p>
        </w:tc>
        <w:tc>
          <w:tcPr>
            <w:tcW w:w="9714" w:type="dxa"/>
            <w:tcBorders>
              <w:top w:val="nil"/>
              <w:left w:val="nil"/>
              <w:bottom w:val="nil"/>
            </w:tcBorders>
            <w:shd w:val="clear" w:color="auto" w:fill="auto"/>
            <w:noWrap/>
            <w:vAlign w:val="bottom"/>
          </w:tcPr>
          <w:p w14:paraId="2F3A577C" w14:textId="77777777" w:rsidR="00A21E9D" w:rsidRPr="00853884" w:rsidRDefault="00A21E9D"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OUTROS RECURSOS EXTRAORÇAMENTÁRIOS</w:t>
            </w:r>
          </w:p>
        </w:tc>
        <w:tc>
          <w:tcPr>
            <w:tcW w:w="906" w:type="dxa"/>
            <w:tcBorders>
              <w:top w:val="nil"/>
              <w:bottom w:val="nil"/>
              <w:right w:val="single" w:sz="4" w:space="0" w:color="auto"/>
            </w:tcBorders>
            <w:shd w:val="clear" w:color="auto" w:fill="auto"/>
            <w:noWrap/>
            <w:vAlign w:val="bottom"/>
          </w:tcPr>
          <w:p w14:paraId="6C3AF0EF"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nil"/>
              <w:right w:val="single" w:sz="4" w:space="0" w:color="auto"/>
            </w:tcBorders>
            <w:shd w:val="clear" w:color="auto" w:fill="auto"/>
            <w:noWrap/>
            <w:vAlign w:val="bottom"/>
          </w:tcPr>
          <w:p w14:paraId="2C39E634"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SDF.D076</w:t>
            </w:r>
          </w:p>
        </w:tc>
        <w:tc>
          <w:tcPr>
            <w:tcW w:w="1520" w:type="dxa"/>
            <w:tcBorders>
              <w:top w:val="nil"/>
              <w:left w:val="nil"/>
              <w:bottom w:val="nil"/>
              <w:right w:val="single" w:sz="4" w:space="0" w:color="auto"/>
            </w:tcBorders>
            <w:shd w:val="clear" w:color="auto" w:fill="auto"/>
            <w:noWrap/>
            <w:vAlign w:val="bottom"/>
          </w:tcPr>
          <w:p w14:paraId="44412997"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SDF.E076</w:t>
            </w:r>
          </w:p>
        </w:tc>
      </w:tr>
      <w:tr w:rsidR="00A21E9D" w:rsidRPr="00853884" w14:paraId="5B699F8F" w14:textId="77777777" w:rsidTr="00155A88">
        <w:trPr>
          <w:trHeight w:val="255"/>
        </w:trPr>
        <w:tc>
          <w:tcPr>
            <w:tcW w:w="852" w:type="dxa"/>
            <w:tcBorders>
              <w:top w:val="nil"/>
              <w:left w:val="single" w:sz="4" w:space="0" w:color="auto"/>
              <w:bottom w:val="single" w:sz="4" w:space="0" w:color="auto"/>
              <w:right w:val="single" w:sz="4" w:space="0" w:color="auto"/>
            </w:tcBorders>
            <w:shd w:val="clear" w:color="auto" w:fill="auto"/>
            <w:noWrap/>
            <w:vAlign w:val="bottom"/>
            <w:hideMark/>
          </w:tcPr>
          <w:p w14:paraId="026FFA0B"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990</w:t>
            </w:r>
          </w:p>
        </w:tc>
        <w:tc>
          <w:tcPr>
            <w:tcW w:w="9714" w:type="dxa"/>
            <w:tcBorders>
              <w:top w:val="nil"/>
              <w:left w:val="nil"/>
              <w:bottom w:val="single" w:sz="4" w:space="0" w:color="auto"/>
            </w:tcBorders>
            <w:shd w:val="clear" w:color="auto" w:fill="auto"/>
            <w:noWrap/>
            <w:vAlign w:val="bottom"/>
            <w:hideMark/>
          </w:tcPr>
          <w:p w14:paraId="1CD81884" w14:textId="77777777" w:rsidR="00A21E9D" w:rsidRPr="00853884" w:rsidRDefault="00A21E9D"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OUTROS RECURSOS VINCULADOS</w:t>
            </w:r>
          </w:p>
        </w:tc>
        <w:tc>
          <w:tcPr>
            <w:tcW w:w="906" w:type="dxa"/>
            <w:tcBorders>
              <w:top w:val="nil"/>
              <w:bottom w:val="single" w:sz="4" w:space="0" w:color="auto"/>
              <w:right w:val="single" w:sz="4" w:space="0" w:color="auto"/>
            </w:tcBorders>
            <w:shd w:val="clear" w:color="auto" w:fill="auto"/>
            <w:noWrap/>
            <w:vAlign w:val="bottom"/>
          </w:tcPr>
          <w:p w14:paraId="2931535A"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p>
        </w:tc>
        <w:tc>
          <w:tcPr>
            <w:tcW w:w="1309" w:type="dxa"/>
            <w:tcBorders>
              <w:top w:val="nil"/>
              <w:left w:val="nil"/>
              <w:bottom w:val="single" w:sz="4" w:space="0" w:color="auto"/>
              <w:right w:val="single" w:sz="4" w:space="0" w:color="auto"/>
            </w:tcBorders>
            <w:shd w:val="clear" w:color="auto" w:fill="auto"/>
            <w:noWrap/>
            <w:vAlign w:val="bottom"/>
            <w:hideMark/>
          </w:tcPr>
          <w:p w14:paraId="6457748B"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SDF.D045</w:t>
            </w:r>
          </w:p>
        </w:tc>
        <w:tc>
          <w:tcPr>
            <w:tcW w:w="1520" w:type="dxa"/>
            <w:tcBorders>
              <w:top w:val="nil"/>
              <w:left w:val="nil"/>
              <w:bottom w:val="single" w:sz="4" w:space="0" w:color="auto"/>
              <w:right w:val="single" w:sz="4" w:space="0" w:color="auto"/>
            </w:tcBorders>
            <w:shd w:val="clear" w:color="auto" w:fill="auto"/>
            <w:noWrap/>
            <w:vAlign w:val="bottom"/>
            <w:hideMark/>
          </w:tcPr>
          <w:p w14:paraId="0A1ED1F7" w14:textId="77777777" w:rsidR="00A21E9D" w:rsidRPr="00853884" w:rsidRDefault="00A21E9D"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SDF.E045</w:t>
            </w:r>
          </w:p>
        </w:tc>
      </w:tr>
      <w:tr w:rsidR="00A21E9D" w:rsidRPr="00853884" w14:paraId="094AFBA3" w14:textId="77777777" w:rsidTr="00155A88">
        <w:trPr>
          <w:trHeight w:val="255"/>
        </w:trPr>
        <w:tc>
          <w:tcPr>
            <w:tcW w:w="10566" w:type="dxa"/>
            <w:gridSpan w:val="2"/>
            <w:tcBorders>
              <w:top w:val="single" w:sz="4" w:space="0" w:color="auto"/>
              <w:left w:val="single" w:sz="4" w:space="0" w:color="auto"/>
              <w:bottom w:val="single" w:sz="4" w:space="0" w:color="auto"/>
            </w:tcBorders>
            <w:shd w:val="clear" w:color="000000" w:fill="auto"/>
            <w:noWrap/>
            <w:vAlign w:val="bottom"/>
            <w:hideMark/>
          </w:tcPr>
          <w:p w14:paraId="7E1B1EF1" w14:textId="77777777" w:rsidR="00A21E9D" w:rsidRPr="00853884" w:rsidRDefault="00A21E9D" w:rsidP="002315E1">
            <w:pPr>
              <w:spacing w:after="0" w:line="240" w:lineRule="auto"/>
              <w:rPr>
                <w:rFonts w:ascii="Arial Narrow" w:eastAsia="Times New Roman" w:hAnsi="Arial Narrow" w:cs="Arial"/>
                <w:b/>
                <w:bCs/>
                <w:sz w:val="16"/>
                <w:szCs w:val="16"/>
                <w:lang w:eastAsia="pt-BR"/>
              </w:rPr>
            </w:pPr>
            <w:r w:rsidRPr="00853884">
              <w:rPr>
                <w:rFonts w:ascii="Arial Narrow" w:eastAsia="Times New Roman" w:hAnsi="Arial Narrow" w:cs="Arial"/>
                <w:b/>
                <w:bCs/>
                <w:sz w:val="16"/>
                <w:szCs w:val="16"/>
                <w:lang w:eastAsia="pt-BR"/>
              </w:rPr>
              <w:t>TOTAL DAS FONTES</w:t>
            </w:r>
          </w:p>
        </w:tc>
        <w:tc>
          <w:tcPr>
            <w:tcW w:w="906" w:type="dxa"/>
            <w:tcBorders>
              <w:top w:val="single" w:sz="4" w:space="0" w:color="auto"/>
              <w:bottom w:val="single" w:sz="4" w:space="0" w:color="auto"/>
              <w:right w:val="single" w:sz="4" w:space="0" w:color="auto"/>
            </w:tcBorders>
            <w:shd w:val="clear" w:color="000000" w:fill="auto"/>
            <w:noWrap/>
            <w:vAlign w:val="bottom"/>
          </w:tcPr>
          <w:p w14:paraId="717EF643" w14:textId="77777777" w:rsidR="00A21E9D" w:rsidRPr="00853884" w:rsidRDefault="00A21E9D" w:rsidP="002315E1">
            <w:pPr>
              <w:spacing w:after="0" w:line="240" w:lineRule="auto"/>
              <w:jc w:val="center"/>
              <w:rPr>
                <w:rFonts w:ascii="Arial Narrow" w:eastAsia="Times New Roman" w:hAnsi="Arial Narrow" w:cs="Arial"/>
                <w:b/>
                <w:bCs/>
                <w:sz w:val="16"/>
                <w:szCs w:val="16"/>
                <w:lang w:eastAsia="pt-BR"/>
              </w:rPr>
            </w:pPr>
          </w:p>
        </w:tc>
        <w:tc>
          <w:tcPr>
            <w:tcW w:w="1309" w:type="dxa"/>
            <w:tcBorders>
              <w:top w:val="single" w:sz="4" w:space="0" w:color="auto"/>
              <w:left w:val="nil"/>
              <w:bottom w:val="single" w:sz="4" w:space="0" w:color="auto"/>
              <w:right w:val="single" w:sz="4" w:space="0" w:color="auto"/>
            </w:tcBorders>
            <w:shd w:val="clear" w:color="000000" w:fill="auto"/>
            <w:noWrap/>
            <w:vAlign w:val="bottom"/>
            <w:hideMark/>
          </w:tcPr>
          <w:p w14:paraId="2EBA6C24" w14:textId="77777777" w:rsidR="00A21E9D" w:rsidRPr="00853884" w:rsidRDefault="00A21E9D" w:rsidP="002315E1">
            <w:pPr>
              <w:spacing w:after="0" w:line="240" w:lineRule="auto"/>
              <w:jc w:val="center"/>
              <w:rPr>
                <w:rFonts w:ascii="Arial Narrow" w:eastAsia="Times New Roman" w:hAnsi="Arial Narrow" w:cs="Arial"/>
                <w:b/>
                <w:bCs/>
                <w:sz w:val="16"/>
                <w:szCs w:val="16"/>
                <w:lang w:eastAsia="pt-BR"/>
              </w:rPr>
            </w:pPr>
            <w:r w:rsidRPr="00853884">
              <w:rPr>
                <w:rFonts w:ascii="Arial Narrow" w:eastAsia="Times New Roman" w:hAnsi="Arial Narrow" w:cs="Arial"/>
                <w:b/>
                <w:bCs/>
                <w:sz w:val="16"/>
                <w:szCs w:val="16"/>
                <w:lang w:eastAsia="pt-BR"/>
              </w:rPr>
              <w:t>SDF.D046</w:t>
            </w:r>
          </w:p>
        </w:tc>
        <w:tc>
          <w:tcPr>
            <w:tcW w:w="1520" w:type="dxa"/>
            <w:tcBorders>
              <w:top w:val="single" w:sz="4" w:space="0" w:color="auto"/>
              <w:left w:val="nil"/>
              <w:bottom w:val="single" w:sz="4" w:space="0" w:color="auto"/>
              <w:right w:val="single" w:sz="4" w:space="0" w:color="auto"/>
            </w:tcBorders>
            <w:shd w:val="clear" w:color="000000" w:fill="auto"/>
            <w:noWrap/>
            <w:vAlign w:val="bottom"/>
            <w:hideMark/>
          </w:tcPr>
          <w:p w14:paraId="40D36809" w14:textId="77777777" w:rsidR="00A21E9D" w:rsidRPr="00853884" w:rsidRDefault="00A21E9D" w:rsidP="002315E1">
            <w:pPr>
              <w:spacing w:after="0" w:line="240" w:lineRule="auto"/>
              <w:jc w:val="center"/>
              <w:rPr>
                <w:rFonts w:ascii="Arial Narrow" w:eastAsia="Times New Roman" w:hAnsi="Arial Narrow" w:cs="Arial"/>
                <w:b/>
                <w:bCs/>
                <w:sz w:val="16"/>
                <w:szCs w:val="16"/>
                <w:lang w:eastAsia="pt-BR"/>
              </w:rPr>
            </w:pPr>
            <w:r w:rsidRPr="00853884">
              <w:rPr>
                <w:rFonts w:ascii="Arial Narrow" w:eastAsia="Times New Roman" w:hAnsi="Arial Narrow" w:cs="Arial"/>
                <w:b/>
                <w:bCs/>
                <w:sz w:val="16"/>
                <w:szCs w:val="16"/>
                <w:lang w:eastAsia="pt-BR"/>
              </w:rPr>
              <w:t>SDF.E046</w:t>
            </w:r>
          </w:p>
        </w:tc>
      </w:tr>
    </w:tbl>
    <w:p w14:paraId="13FB2C32" w14:textId="5E1A30E4" w:rsidR="00A21E9D" w:rsidRDefault="00A21E9D" w:rsidP="00E54BC3">
      <w:pPr>
        <w:spacing w:after="0" w:line="240" w:lineRule="auto"/>
        <w:rPr>
          <w:rFonts w:ascii="Arial" w:eastAsia="Times New Roman" w:hAnsi="Arial" w:cs="Arial"/>
          <w:sz w:val="20"/>
          <w:szCs w:val="20"/>
          <w:lang w:eastAsia="pt-BR"/>
        </w:rPr>
      </w:pPr>
    </w:p>
    <w:p w14:paraId="2DD27A07" w14:textId="7EA01C95" w:rsidR="00E67116" w:rsidRDefault="00E67116" w:rsidP="00E54BC3">
      <w:pPr>
        <w:spacing w:after="0" w:line="240" w:lineRule="auto"/>
        <w:rPr>
          <w:rFonts w:ascii="Arial" w:eastAsia="Times New Roman" w:hAnsi="Arial" w:cs="Arial"/>
          <w:sz w:val="20"/>
          <w:szCs w:val="20"/>
          <w:lang w:eastAsia="pt-BR"/>
        </w:rPr>
      </w:pPr>
    </w:p>
    <w:p w14:paraId="5F756940" w14:textId="3653B675" w:rsidR="00E67116" w:rsidRDefault="00E67116" w:rsidP="00E54BC3">
      <w:pPr>
        <w:spacing w:after="0" w:line="240" w:lineRule="auto"/>
        <w:rPr>
          <w:rFonts w:ascii="Arial" w:eastAsia="Times New Roman" w:hAnsi="Arial" w:cs="Arial"/>
          <w:sz w:val="20"/>
          <w:szCs w:val="20"/>
          <w:lang w:eastAsia="pt-BR"/>
        </w:rPr>
      </w:pPr>
    </w:p>
    <w:p w14:paraId="448B8A29" w14:textId="384010B3" w:rsidR="00E67116" w:rsidRDefault="00E67116" w:rsidP="00E54BC3">
      <w:pPr>
        <w:spacing w:after="0" w:line="240" w:lineRule="auto"/>
        <w:rPr>
          <w:rFonts w:ascii="Arial" w:eastAsia="Times New Roman" w:hAnsi="Arial" w:cs="Arial"/>
          <w:sz w:val="20"/>
          <w:szCs w:val="20"/>
          <w:lang w:eastAsia="pt-BR"/>
        </w:rPr>
      </w:pPr>
    </w:p>
    <w:p w14:paraId="0CCD79A6" w14:textId="41C087E2" w:rsidR="00E67116" w:rsidRDefault="00E67116" w:rsidP="00E54BC3">
      <w:pPr>
        <w:spacing w:after="0" w:line="240" w:lineRule="auto"/>
        <w:rPr>
          <w:rFonts w:ascii="Arial" w:eastAsia="Times New Roman" w:hAnsi="Arial" w:cs="Arial"/>
          <w:sz w:val="20"/>
          <w:szCs w:val="20"/>
          <w:lang w:eastAsia="pt-BR"/>
        </w:rPr>
      </w:pPr>
    </w:p>
    <w:p w14:paraId="7F106512" w14:textId="3302598D" w:rsidR="00E67116" w:rsidRDefault="00E67116" w:rsidP="00E54BC3">
      <w:pPr>
        <w:spacing w:after="0" w:line="240" w:lineRule="auto"/>
        <w:rPr>
          <w:rFonts w:ascii="Arial" w:eastAsia="Times New Roman" w:hAnsi="Arial" w:cs="Arial"/>
          <w:sz w:val="20"/>
          <w:szCs w:val="20"/>
          <w:lang w:eastAsia="pt-BR"/>
        </w:rPr>
      </w:pPr>
    </w:p>
    <w:p w14:paraId="7C32535B" w14:textId="31B4C1CC" w:rsidR="00E67116" w:rsidRDefault="00E67116" w:rsidP="00E54BC3">
      <w:pPr>
        <w:spacing w:after="0" w:line="240" w:lineRule="auto"/>
        <w:rPr>
          <w:rFonts w:ascii="Arial" w:eastAsia="Times New Roman" w:hAnsi="Arial" w:cs="Arial"/>
          <w:sz w:val="20"/>
          <w:szCs w:val="20"/>
          <w:lang w:eastAsia="pt-BR"/>
        </w:rPr>
      </w:pPr>
    </w:p>
    <w:p w14:paraId="7E7B6CC6" w14:textId="6008D493" w:rsidR="00E67116" w:rsidRDefault="00E67116" w:rsidP="00E54BC3">
      <w:pPr>
        <w:spacing w:after="0" w:line="240" w:lineRule="auto"/>
        <w:rPr>
          <w:rFonts w:ascii="Arial" w:eastAsia="Times New Roman" w:hAnsi="Arial" w:cs="Arial"/>
          <w:sz w:val="20"/>
          <w:szCs w:val="20"/>
          <w:lang w:eastAsia="pt-BR"/>
        </w:rPr>
      </w:pPr>
    </w:p>
    <w:p w14:paraId="4DCFF3ED" w14:textId="3DCDB3D9" w:rsidR="00E67116" w:rsidRDefault="00E67116" w:rsidP="00E54BC3">
      <w:pPr>
        <w:spacing w:after="0" w:line="240" w:lineRule="auto"/>
        <w:rPr>
          <w:rFonts w:ascii="Arial" w:eastAsia="Times New Roman" w:hAnsi="Arial" w:cs="Arial"/>
          <w:sz w:val="20"/>
          <w:szCs w:val="20"/>
          <w:lang w:eastAsia="pt-BR"/>
        </w:rPr>
      </w:pPr>
    </w:p>
    <w:p w14:paraId="17796320" w14:textId="26DC8D8E" w:rsidR="00E67116" w:rsidRDefault="00E67116" w:rsidP="00E54BC3">
      <w:pPr>
        <w:spacing w:after="0" w:line="240" w:lineRule="auto"/>
        <w:rPr>
          <w:rFonts w:ascii="Arial" w:eastAsia="Times New Roman" w:hAnsi="Arial" w:cs="Arial"/>
          <w:sz w:val="20"/>
          <w:szCs w:val="20"/>
          <w:lang w:eastAsia="pt-BR"/>
        </w:rPr>
      </w:pPr>
    </w:p>
    <w:p w14:paraId="762F4CA3" w14:textId="0F9BF112" w:rsidR="00E67116" w:rsidRDefault="00E67116" w:rsidP="00E54BC3">
      <w:pPr>
        <w:spacing w:after="0" w:line="240" w:lineRule="auto"/>
        <w:rPr>
          <w:rFonts w:ascii="Arial" w:eastAsia="Times New Roman" w:hAnsi="Arial" w:cs="Arial"/>
          <w:sz w:val="20"/>
          <w:szCs w:val="20"/>
          <w:lang w:eastAsia="pt-BR"/>
        </w:rPr>
      </w:pPr>
    </w:p>
    <w:p w14:paraId="6C7BE9B9" w14:textId="68C24229" w:rsidR="00E67116" w:rsidRDefault="00E67116" w:rsidP="00E54BC3">
      <w:pPr>
        <w:spacing w:after="0" w:line="240" w:lineRule="auto"/>
        <w:rPr>
          <w:rFonts w:ascii="Arial" w:eastAsia="Times New Roman" w:hAnsi="Arial" w:cs="Arial"/>
          <w:sz w:val="20"/>
          <w:szCs w:val="20"/>
          <w:lang w:eastAsia="pt-BR"/>
        </w:rPr>
      </w:pPr>
    </w:p>
    <w:p w14:paraId="7F7104B8" w14:textId="2DCF0147" w:rsidR="00E67116" w:rsidRDefault="00E67116" w:rsidP="00E54BC3">
      <w:pPr>
        <w:spacing w:after="0" w:line="240" w:lineRule="auto"/>
        <w:rPr>
          <w:rFonts w:ascii="Arial" w:eastAsia="Times New Roman" w:hAnsi="Arial" w:cs="Arial"/>
          <w:sz w:val="20"/>
          <w:szCs w:val="20"/>
          <w:lang w:eastAsia="pt-BR"/>
        </w:rPr>
      </w:pPr>
    </w:p>
    <w:p w14:paraId="7970D323" w14:textId="7860D774" w:rsidR="00E67116" w:rsidRDefault="00E67116" w:rsidP="00E54BC3">
      <w:pPr>
        <w:spacing w:after="0" w:line="240" w:lineRule="auto"/>
        <w:rPr>
          <w:rFonts w:ascii="Arial" w:eastAsia="Times New Roman" w:hAnsi="Arial" w:cs="Arial"/>
          <w:sz w:val="20"/>
          <w:szCs w:val="20"/>
          <w:lang w:eastAsia="pt-BR"/>
        </w:rPr>
      </w:pPr>
    </w:p>
    <w:p w14:paraId="36367327" w14:textId="61EC7C4D" w:rsidR="00E67116" w:rsidRDefault="00E67116" w:rsidP="00E54BC3">
      <w:pPr>
        <w:spacing w:after="0" w:line="240" w:lineRule="auto"/>
        <w:rPr>
          <w:rFonts w:ascii="Arial" w:eastAsia="Times New Roman" w:hAnsi="Arial" w:cs="Arial"/>
          <w:sz w:val="20"/>
          <w:szCs w:val="20"/>
          <w:lang w:eastAsia="pt-BR"/>
        </w:rPr>
      </w:pPr>
    </w:p>
    <w:p w14:paraId="48698DB5" w14:textId="146E3CA3" w:rsidR="00E67116" w:rsidRDefault="00E67116" w:rsidP="00E54BC3">
      <w:pPr>
        <w:spacing w:after="0" w:line="240" w:lineRule="auto"/>
        <w:rPr>
          <w:rFonts w:ascii="Arial" w:eastAsia="Times New Roman" w:hAnsi="Arial" w:cs="Arial"/>
          <w:sz w:val="20"/>
          <w:szCs w:val="20"/>
          <w:lang w:eastAsia="pt-BR"/>
        </w:rPr>
      </w:pPr>
    </w:p>
    <w:p w14:paraId="6418F18F" w14:textId="2BF7EB91" w:rsidR="00E67116" w:rsidRDefault="00E67116" w:rsidP="00E54BC3">
      <w:pPr>
        <w:spacing w:after="0" w:line="240" w:lineRule="auto"/>
        <w:rPr>
          <w:rFonts w:ascii="Arial" w:eastAsia="Times New Roman" w:hAnsi="Arial" w:cs="Arial"/>
          <w:sz w:val="20"/>
          <w:szCs w:val="20"/>
          <w:lang w:eastAsia="pt-BR"/>
        </w:rPr>
      </w:pPr>
    </w:p>
    <w:p w14:paraId="6114F3BD" w14:textId="7BD7803C" w:rsidR="00E67116" w:rsidRDefault="00E67116" w:rsidP="00E54BC3">
      <w:pPr>
        <w:spacing w:after="0" w:line="240" w:lineRule="auto"/>
        <w:rPr>
          <w:rFonts w:ascii="Arial" w:eastAsia="Times New Roman" w:hAnsi="Arial" w:cs="Arial"/>
          <w:sz w:val="20"/>
          <w:szCs w:val="20"/>
          <w:lang w:eastAsia="pt-BR"/>
        </w:rPr>
      </w:pPr>
    </w:p>
    <w:p w14:paraId="155F7130" w14:textId="09860DCA" w:rsidR="00E67116" w:rsidRDefault="00E67116" w:rsidP="00E54BC3">
      <w:pPr>
        <w:spacing w:after="0" w:line="240" w:lineRule="auto"/>
        <w:rPr>
          <w:rFonts w:ascii="Arial" w:eastAsia="Times New Roman" w:hAnsi="Arial" w:cs="Arial"/>
          <w:sz w:val="20"/>
          <w:szCs w:val="20"/>
          <w:lang w:eastAsia="pt-BR"/>
        </w:rPr>
      </w:pPr>
    </w:p>
    <w:p w14:paraId="76CBBF91" w14:textId="01811EEE" w:rsidR="00E67116" w:rsidRDefault="00E67116" w:rsidP="00E54BC3">
      <w:pPr>
        <w:spacing w:after="0" w:line="240" w:lineRule="auto"/>
        <w:rPr>
          <w:rFonts w:ascii="Arial" w:eastAsia="Times New Roman" w:hAnsi="Arial" w:cs="Arial"/>
          <w:sz w:val="20"/>
          <w:szCs w:val="20"/>
          <w:lang w:eastAsia="pt-BR"/>
        </w:rPr>
      </w:pPr>
    </w:p>
    <w:p w14:paraId="518C50AC" w14:textId="0EFFC9E1" w:rsidR="00E67116" w:rsidRDefault="00E67116" w:rsidP="00E54BC3">
      <w:pPr>
        <w:spacing w:after="0" w:line="240" w:lineRule="auto"/>
        <w:rPr>
          <w:rFonts w:ascii="Arial" w:eastAsia="Times New Roman" w:hAnsi="Arial" w:cs="Arial"/>
          <w:sz w:val="20"/>
          <w:szCs w:val="20"/>
          <w:lang w:eastAsia="pt-BR"/>
        </w:rPr>
      </w:pPr>
    </w:p>
    <w:p w14:paraId="05F07131" w14:textId="74331DF8" w:rsidR="00E67116" w:rsidRDefault="00E67116" w:rsidP="00E54BC3">
      <w:pPr>
        <w:spacing w:after="0" w:line="240" w:lineRule="auto"/>
        <w:rPr>
          <w:rFonts w:ascii="Arial" w:eastAsia="Times New Roman" w:hAnsi="Arial" w:cs="Arial"/>
          <w:sz w:val="20"/>
          <w:szCs w:val="20"/>
          <w:lang w:eastAsia="pt-BR"/>
        </w:rPr>
      </w:pPr>
    </w:p>
    <w:p w14:paraId="6811A3A2" w14:textId="07BF7777" w:rsidR="00E67116" w:rsidRDefault="00E67116" w:rsidP="00E54BC3">
      <w:pPr>
        <w:spacing w:after="0" w:line="240" w:lineRule="auto"/>
        <w:rPr>
          <w:rFonts w:ascii="Arial" w:eastAsia="Times New Roman" w:hAnsi="Arial" w:cs="Arial"/>
          <w:sz w:val="20"/>
          <w:szCs w:val="20"/>
          <w:lang w:eastAsia="pt-BR"/>
        </w:rPr>
      </w:pPr>
    </w:p>
    <w:p w14:paraId="5756BC23" w14:textId="357C757D" w:rsidR="00E67116" w:rsidRDefault="00E67116" w:rsidP="00E54BC3">
      <w:pPr>
        <w:spacing w:after="0" w:line="240" w:lineRule="auto"/>
        <w:rPr>
          <w:rFonts w:ascii="Arial" w:eastAsia="Times New Roman" w:hAnsi="Arial" w:cs="Arial"/>
          <w:sz w:val="20"/>
          <w:szCs w:val="20"/>
          <w:lang w:eastAsia="pt-BR"/>
        </w:rPr>
      </w:pPr>
    </w:p>
    <w:p w14:paraId="02B41009" w14:textId="50D7D1A8" w:rsidR="00E67116" w:rsidRDefault="00E67116" w:rsidP="00E54BC3">
      <w:pPr>
        <w:spacing w:after="0" w:line="240" w:lineRule="auto"/>
        <w:rPr>
          <w:rFonts w:ascii="Arial" w:eastAsia="Times New Roman" w:hAnsi="Arial" w:cs="Arial"/>
          <w:sz w:val="20"/>
          <w:szCs w:val="20"/>
          <w:lang w:eastAsia="pt-BR"/>
        </w:rPr>
      </w:pPr>
    </w:p>
    <w:p w14:paraId="0292F035" w14:textId="5A15C106" w:rsidR="00E67116" w:rsidRDefault="00E67116" w:rsidP="00E54BC3">
      <w:pPr>
        <w:spacing w:after="0" w:line="240" w:lineRule="auto"/>
        <w:rPr>
          <w:rFonts w:ascii="Arial" w:eastAsia="Times New Roman" w:hAnsi="Arial" w:cs="Arial"/>
          <w:sz w:val="20"/>
          <w:szCs w:val="20"/>
          <w:lang w:eastAsia="pt-BR"/>
        </w:rPr>
      </w:pPr>
    </w:p>
    <w:p w14:paraId="0F9ADDA0" w14:textId="4334F075" w:rsidR="00E67116" w:rsidRDefault="00E67116" w:rsidP="00E54BC3">
      <w:pPr>
        <w:spacing w:after="0" w:line="240" w:lineRule="auto"/>
        <w:rPr>
          <w:rFonts w:ascii="Arial" w:eastAsia="Times New Roman" w:hAnsi="Arial" w:cs="Arial"/>
          <w:sz w:val="20"/>
          <w:szCs w:val="20"/>
          <w:lang w:eastAsia="pt-BR"/>
        </w:rPr>
      </w:pPr>
    </w:p>
    <w:p w14:paraId="60F98E38" w14:textId="60D1F2C0" w:rsidR="00E67116" w:rsidRDefault="00E67116" w:rsidP="00E54BC3">
      <w:pPr>
        <w:spacing w:after="0" w:line="240" w:lineRule="auto"/>
        <w:rPr>
          <w:rFonts w:ascii="Arial" w:eastAsia="Times New Roman" w:hAnsi="Arial" w:cs="Arial"/>
          <w:sz w:val="20"/>
          <w:szCs w:val="20"/>
          <w:lang w:eastAsia="pt-BR"/>
        </w:rPr>
      </w:pPr>
    </w:p>
    <w:p w14:paraId="715AABFA" w14:textId="3E849C2B" w:rsidR="00E67116" w:rsidRDefault="00E67116" w:rsidP="00E54BC3">
      <w:pPr>
        <w:spacing w:after="0" w:line="240" w:lineRule="auto"/>
        <w:rPr>
          <w:rFonts w:ascii="Arial" w:eastAsia="Times New Roman" w:hAnsi="Arial" w:cs="Arial"/>
          <w:sz w:val="20"/>
          <w:szCs w:val="20"/>
          <w:lang w:eastAsia="pt-BR"/>
        </w:rPr>
      </w:pPr>
    </w:p>
    <w:p w14:paraId="0FA2F43D" w14:textId="77777777" w:rsidR="00E67116" w:rsidRDefault="00E67116" w:rsidP="00E54BC3">
      <w:pPr>
        <w:spacing w:after="0" w:line="240" w:lineRule="auto"/>
        <w:rPr>
          <w:rFonts w:ascii="Arial" w:eastAsia="Times New Roman" w:hAnsi="Arial" w:cs="Arial"/>
          <w:sz w:val="20"/>
          <w:szCs w:val="20"/>
          <w:lang w:eastAsia="pt-BR"/>
        </w:rPr>
      </w:pPr>
    </w:p>
    <w:p w14:paraId="29B6FA9A" w14:textId="77777777" w:rsidR="00B35196" w:rsidRDefault="00B35196" w:rsidP="00E54BC3">
      <w:pPr>
        <w:spacing w:after="0" w:line="240" w:lineRule="auto"/>
        <w:rPr>
          <w:rFonts w:ascii="Arial" w:eastAsia="Times New Roman" w:hAnsi="Arial" w:cs="Arial"/>
          <w:sz w:val="20"/>
          <w:szCs w:val="20"/>
          <w:lang w:eastAsia="pt-BR"/>
        </w:rPr>
      </w:pPr>
    </w:p>
    <w:p w14:paraId="1AAE43ED" w14:textId="037458B7" w:rsidR="00E67116" w:rsidRPr="00287C23" w:rsidRDefault="005F7984" w:rsidP="00E67116">
      <w:pPr>
        <w:pStyle w:val="Ttulo2"/>
        <w:ind w:left="578" w:hanging="578"/>
        <w:rPr>
          <w:lang w:val="pt-BR"/>
        </w:rPr>
      </w:pPr>
      <w:bookmarkStart w:id="113" w:name="_Toc94806383"/>
      <w:r w:rsidRPr="00613437">
        <w:rPr>
          <w:rFonts w:cs="Arial"/>
          <w:sz w:val="24"/>
          <w:szCs w:val="24"/>
          <w:lang w:val="pt-BR"/>
        </w:rPr>
        <w:lastRenderedPageBreak/>
        <w:t>Alterou o Demonstrativo do Superávit/Déficit Financeiro Apurado no Balanço Patrimonial para Estado</w:t>
      </w:r>
      <w:bookmarkEnd w:id="113"/>
    </w:p>
    <w:p w14:paraId="6BDB4F10" w14:textId="1E98AAD8" w:rsidR="00287C23" w:rsidRDefault="00287C23" w:rsidP="00287C23">
      <w:pPr>
        <w:spacing w:after="0" w:line="240" w:lineRule="auto"/>
      </w:pPr>
    </w:p>
    <w:p w14:paraId="61DEE194" w14:textId="77777777" w:rsidR="00287C23" w:rsidRPr="00E67116" w:rsidRDefault="00287C23" w:rsidP="00287C23">
      <w:pPr>
        <w:spacing w:after="0" w:line="240" w:lineRule="auto"/>
      </w:pPr>
    </w:p>
    <w:tbl>
      <w:tblPr>
        <w:tblW w:w="14406" w:type="dxa"/>
        <w:tblInd w:w="-289" w:type="dxa"/>
        <w:tblCellMar>
          <w:left w:w="70" w:type="dxa"/>
          <w:right w:w="70" w:type="dxa"/>
        </w:tblCellMar>
        <w:tblLook w:val="04A0" w:firstRow="1" w:lastRow="0" w:firstColumn="1" w:lastColumn="0" w:noHBand="0" w:noVBand="1"/>
      </w:tblPr>
      <w:tblGrid>
        <w:gridCol w:w="938"/>
        <w:gridCol w:w="9866"/>
        <w:gridCol w:w="970"/>
        <w:gridCol w:w="1386"/>
        <w:gridCol w:w="1246"/>
      </w:tblGrid>
      <w:tr w:rsidR="005F7984" w:rsidRPr="00853884" w14:paraId="32CC8841" w14:textId="77777777" w:rsidTr="00287C23">
        <w:trPr>
          <w:trHeight w:val="332"/>
        </w:trPr>
        <w:tc>
          <w:tcPr>
            <w:tcW w:w="11774" w:type="dxa"/>
            <w:gridSpan w:val="3"/>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684DB12E" w14:textId="77777777" w:rsidR="005F7984" w:rsidRPr="00853884" w:rsidRDefault="005F7984" w:rsidP="002315E1">
            <w:pPr>
              <w:spacing w:after="0" w:line="240" w:lineRule="auto"/>
              <w:jc w:val="center"/>
              <w:rPr>
                <w:rFonts w:ascii="Arial Narrow" w:eastAsia="Times New Roman" w:hAnsi="Arial Narrow" w:cs="Calibri"/>
                <w:b/>
                <w:bCs/>
                <w:sz w:val="16"/>
                <w:szCs w:val="16"/>
                <w:lang w:eastAsia="pt-BR"/>
              </w:rPr>
            </w:pPr>
            <w:r w:rsidRPr="00853884">
              <w:rPr>
                <w:rFonts w:ascii="Arial Narrow" w:eastAsia="Times New Roman" w:hAnsi="Arial Narrow" w:cs="Calibri"/>
                <w:b/>
                <w:bCs/>
                <w:sz w:val="16"/>
                <w:szCs w:val="16"/>
                <w:lang w:eastAsia="pt-BR"/>
              </w:rPr>
              <w:t>FONTES DE RECURSOS</w:t>
            </w:r>
          </w:p>
        </w:tc>
        <w:tc>
          <w:tcPr>
            <w:tcW w:w="2632" w:type="dxa"/>
            <w:gridSpan w:val="2"/>
            <w:tcBorders>
              <w:top w:val="single" w:sz="4" w:space="0" w:color="auto"/>
              <w:left w:val="nil"/>
              <w:bottom w:val="single" w:sz="4" w:space="0" w:color="auto"/>
              <w:right w:val="single" w:sz="4" w:space="0" w:color="000000"/>
            </w:tcBorders>
            <w:shd w:val="clear" w:color="000000" w:fill="D9D9D9"/>
            <w:noWrap/>
            <w:vAlign w:val="center"/>
            <w:hideMark/>
          </w:tcPr>
          <w:p w14:paraId="079323AE" w14:textId="77777777" w:rsidR="005F7984" w:rsidRPr="00853884" w:rsidRDefault="005F7984" w:rsidP="002315E1">
            <w:pPr>
              <w:spacing w:after="0" w:line="240" w:lineRule="auto"/>
              <w:jc w:val="center"/>
              <w:rPr>
                <w:rFonts w:ascii="Arial Narrow" w:eastAsia="Times New Roman" w:hAnsi="Arial Narrow" w:cs="Arial"/>
                <w:b/>
                <w:bCs/>
                <w:sz w:val="16"/>
                <w:szCs w:val="16"/>
                <w:lang w:eastAsia="pt-BR"/>
              </w:rPr>
            </w:pPr>
            <w:r w:rsidRPr="00853884">
              <w:rPr>
                <w:rFonts w:ascii="Arial Narrow" w:eastAsia="Times New Roman" w:hAnsi="Arial Narrow" w:cs="Arial"/>
                <w:b/>
                <w:bCs/>
                <w:sz w:val="16"/>
                <w:szCs w:val="16"/>
                <w:lang w:eastAsia="pt-BR"/>
              </w:rPr>
              <w:t>SUPERÁVIT/DÉFICIT FINANCEIRO</w:t>
            </w:r>
          </w:p>
        </w:tc>
      </w:tr>
      <w:tr w:rsidR="005F7984" w:rsidRPr="00853884" w14:paraId="2560C49E" w14:textId="77777777" w:rsidTr="00E67116">
        <w:trPr>
          <w:trHeight w:val="302"/>
        </w:trPr>
        <w:tc>
          <w:tcPr>
            <w:tcW w:w="938" w:type="dxa"/>
            <w:tcBorders>
              <w:top w:val="nil"/>
              <w:left w:val="single" w:sz="4" w:space="0" w:color="auto"/>
              <w:bottom w:val="single" w:sz="4" w:space="0" w:color="auto"/>
              <w:right w:val="single" w:sz="4" w:space="0" w:color="auto"/>
            </w:tcBorders>
            <w:shd w:val="clear" w:color="auto" w:fill="auto"/>
            <w:noWrap/>
            <w:vAlign w:val="bottom"/>
            <w:hideMark/>
          </w:tcPr>
          <w:p w14:paraId="6B93E85F" w14:textId="77777777" w:rsidR="005F7984" w:rsidRPr="00853884" w:rsidRDefault="005F7984" w:rsidP="002315E1">
            <w:pPr>
              <w:spacing w:after="0" w:line="240" w:lineRule="auto"/>
              <w:jc w:val="center"/>
              <w:rPr>
                <w:rFonts w:ascii="Arial Narrow" w:eastAsia="Times New Roman" w:hAnsi="Arial Narrow" w:cs="Calibri"/>
                <w:b/>
                <w:bCs/>
                <w:sz w:val="16"/>
                <w:szCs w:val="16"/>
                <w:lang w:eastAsia="pt-BR"/>
              </w:rPr>
            </w:pPr>
            <w:r w:rsidRPr="00853884">
              <w:rPr>
                <w:rFonts w:ascii="Arial Narrow" w:eastAsia="Times New Roman" w:hAnsi="Arial Narrow" w:cs="Calibri"/>
                <w:b/>
                <w:bCs/>
                <w:sz w:val="16"/>
                <w:szCs w:val="16"/>
                <w:lang w:eastAsia="pt-BR"/>
              </w:rPr>
              <w:t xml:space="preserve">Código </w:t>
            </w:r>
          </w:p>
        </w:tc>
        <w:tc>
          <w:tcPr>
            <w:tcW w:w="9866" w:type="dxa"/>
            <w:tcBorders>
              <w:top w:val="nil"/>
              <w:left w:val="nil"/>
              <w:bottom w:val="single" w:sz="4" w:space="0" w:color="auto"/>
            </w:tcBorders>
            <w:shd w:val="clear" w:color="auto" w:fill="auto"/>
            <w:noWrap/>
            <w:vAlign w:val="bottom"/>
            <w:hideMark/>
          </w:tcPr>
          <w:p w14:paraId="24467EA6" w14:textId="77777777" w:rsidR="005F7984" w:rsidRPr="00853884" w:rsidRDefault="005F7984" w:rsidP="002315E1">
            <w:pPr>
              <w:spacing w:after="0" w:line="240" w:lineRule="auto"/>
              <w:jc w:val="center"/>
              <w:rPr>
                <w:rFonts w:ascii="Arial Narrow" w:eastAsia="Times New Roman" w:hAnsi="Arial Narrow" w:cs="Calibri"/>
                <w:b/>
                <w:bCs/>
                <w:sz w:val="16"/>
                <w:szCs w:val="16"/>
                <w:lang w:eastAsia="pt-BR"/>
              </w:rPr>
            </w:pPr>
            <w:r w:rsidRPr="00853884">
              <w:rPr>
                <w:rFonts w:ascii="Arial Narrow" w:eastAsia="Times New Roman" w:hAnsi="Arial Narrow" w:cs="Calibri"/>
                <w:b/>
                <w:bCs/>
                <w:sz w:val="16"/>
                <w:szCs w:val="16"/>
                <w:lang w:eastAsia="pt-BR"/>
              </w:rPr>
              <w:t>Descrição</w:t>
            </w:r>
          </w:p>
        </w:tc>
        <w:tc>
          <w:tcPr>
            <w:tcW w:w="970" w:type="dxa"/>
            <w:tcBorders>
              <w:top w:val="nil"/>
              <w:bottom w:val="single" w:sz="4" w:space="0" w:color="auto"/>
              <w:right w:val="single" w:sz="4" w:space="0" w:color="auto"/>
            </w:tcBorders>
            <w:shd w:val="clear" w:color="auto" w:fill="auto"/>
            <w:noWrap/>
            <w:vAlign w:val="bottom"/>
          </w:tcPr>
          <w:p w14:paraId="3F755CC7" w14:textId="77777777" w:rsidR="005F7984" w:rsidRPr="00853884" w:rsidRDefault="005F7984" w:rsidP="002315E1">
            <w:pPr>
              <w:spacing w:after="0" w:line="240" w:lineRule="auto"/>
              <w:jc w:val="center"/>
              <w:rPr>
                <w:rFonts w:ascii="Arial Narrow" w:eastAsia="Times New Roman" w:hAnsi="Arial Narrow" w:cs="Calibri"/>
                <w:b/>
                <w:bCs/>
                <w:color w:val="FF0000"/>
                <w:sz w:val="16"/>
                <w:szCs w:val="16"/>
                <w:lang w:eastAsia="pt-BR"/>
              </w:rPr>
            </w:pPr>
          </w:p>
        </w:tc>
        <w:tc>
          <w:tcPr>
            <w:tcW w:w="1386" w:type="dxa"/>
            <w:tcBorders>
              <w:top w:val="nil"/>
              <w:left w:val="nil"/>
              <w:bottom w:val="single" w:sz="4" w:space="0" w:color="auto"/>
              <w:right w:val="single" w:sz="4" w:space="0" w:color="auto"/>
            </w:tcBorders>
            <w:shd w:val="clear" w:color="auto" w:fill="auto"/>
            <w:noWrap/>
            <w:vAlign w:val="bottom"/>
            <w:hideMark/>
          </w:tcPr>
          <w:p w14:paraId="14751A28" w14:textId="77777777" w:rsidR="005F7984" w:rsidRPr="00853884" w:rsidRDefault="005F7984" w:rsidP="002315E1">
            <w:pPr>
              <w:spacing w:after="0" w:line="240" w:lineRule="auto"/>
              <w:jc w:val="center"/>
              <w:rPr>
                <w:rFonts w:ascii="Arial Narrow" w:eastAsia="Times New Roman" w:hAnsi="Arial Narrow" w:cs="Arial"/>
                <w:b/>
                <w:bCs/>
                <w:sz w:val="16"/>
                <w:szCs w:val="16"/>
                <w:lang w:eastAsia="pt-BR"/>
              </w:rPr>
            </w:pPr>
            <w:r w:rsidRPr="00853884">
              <w:rPr>
                <w:rFonts w:ascii="Arial Narrow" w:eastAsia="Times New Roman" w:hAnsi="Arial Narrow" w:cs="Arial"/>
                <w:b/>
                <w:bCs/>
                <w:sz w:val="16"/>
                <w:szCs w:val="16"/>
                <w:lang w:eastAsia="pt-BR"/>
              </w:rPr>
              <w:t>Exercício Atual</w:t>
            </w:r>
          </w:p>
        </w:tc>
        <w:tc>
          <w:tcPr>
            <w:tcW w:w="1246" w:type="dxa"/>
            <w:tcBorders>
              <w:top w:val="nil"/>
              <w:left w:val="nil"/>
              <w:bottom w:val="single" w:sz="4" w:space="0" w:color="auto"/>
              <w:right w:val="single" w:sz="4" w:space="0" w:color="auto"/>
            </w:tcBorders>
            <w:shd w:val="clear" w:color="auto" w:fill="auto"/>
            <w:noWrap/>
            <w:vAlign w:val="bottom"/>
            <w:hideMark/>
          </w:tcPr>
          <w:p w14:paraId="6B793E87" w14:textId="77777777" w:rsidR="005F7984" w:rsidRPr="00853884" w:rsidRDefault="005F7984" w:rsidP="002315E1">
            <w:pPr>
              <w:spacing w:after="0" w:line="240" w:lineRule="auto"/>
              <w:jc w:val="center"/>
              <w:rPr>
                <w:rFonts w:ascii="Arial Narrow" w:eastAsia="Times New Roman" w:hAnsi="Arial Narrow" w:cs="Arial"/>
                <w:b/>
                <w:bCs/>
                <w:sz w:val="16"/>
                <w:szCs w:val="16"/>
                <w:lang w:eastAsia="pt-BR"/>
              </w:rPr>
            </w:pPr>
            <w:r w:rsidRPr="00853884">
              <w:rPr>
                <w:rFonts w:ascii="Arial Narrow" w:eastAsia="Times New Roman" w:hAnsi="Arial Narrow" w:cs="Arial"/>
                <w:b/>
                <w:bCs/>
                <w:sz w:val="16"/>
                <w:szCs w:val="16"/>
                <w:lang w:eastAsia="pt-BR"/>
              </w:rPr>
              <w:t>Exercício Anterior</w:t>
            </w:r>
          </w:p>
        </w:tc>
      </w:tr>
      <w:tr w:rsidR="005F7984" w:rsidRPr="00853884" w14:paraId="2BA9DE6D" w14:textId="77777777" w:rsidTr="00E67116">
        <w:trPr>
          <w:trHeight w:val="302"/>
        </w:trPr>
        <w:tc>
          <w:tcPr>
            <w:tcW w:w="938" w:type="dxa"/>
            <w:tcBorders>
              <w:top w:val="single" w:sz="4" w:space="0" w:color="auto"/>
              <w:left w:val="single" w:sz="4" w:space="0" w:color="auto"/>
              <w:bottom w:val="single" w:sz="4" w:space="0" w:color="FFFFFF" w:themeColor="background1"/>
              <w:right w:val="single" w:sz="4" w:space="0" w:color="auto"/>
            </w:tcBorders>
            <w:shd w:val="clear" w:color="auto" w:fill="auto"/>
            <w:noWrap/>
            <w:vAlign w:val="center"/>
            <w:hideMark/>
          </w:tcPr>
          <w:p w14:paraId="0C63B9BE" w14:textId="77777777" w:rsidR="005F7984" w:rsidRPr="00853884" w:rsidRDefault="005F7984" w:rsidP="002315E1">
            <w:pPr>
              <w:spacing w:after="0" w:line="240" w:lineRule="auto"/>
              <w:jc w:val="center"/>
              <w:rPr>
                <w:rFonts w:ascii="Arial Narrow" w:eastAsia="Times New Roman" w:hAnsi="Arial Narrow" w:cs="Calibri"/>
                <w:b/>
                <w:bCs/>
                <w:color w:val="00B050"/>
                <w:sz w:val="16"/>
                <w:szCs w:val="16"/>
                <w:lang w:eastAsia="pt-BR"/>
              </w:rPr>
            </w:pPr>
            <w:r w:rsidRPr="00853884">
              <w:rPr>
                <w:rFonts w:ascii="Arial Narrow" w:eastAsia="Times New Roman" w:hAnsi="Arial Narrow" w:cs="Calibri"/>
                <w:b/>
                <w:bCs/>
                <w:color w:val="00B050"/>
                <w:sz w:val="16"/>
                <w:szCs w:val="16"/>
                <w:lang w:eastAsia="pt-BR"/>
              </w:rPr>
              <w:t> </w:t>
            </w:r>
          </w:p>
        </w:tc>
        <w:tc>
          <w:tcPr>
            <w:tcW w:w="9866" w:type="dxa"/>
            <w:tcBorders>
              <w:top w:val="nil"/>
              <w:left w:val="nil"/>
              <w:bottom w:val="nil"/>
            </w:tcBorders>
            <w:shd w:val="clear" w:color="auto" w:fill="auto"/>
            <w:noWrap/>
            <w:vAlign w:val="center"/>
            <w:hideMark/>
          </w:tcPr>
          <w:p w14:paraId="68D9676B" w14:textId="77777777" w:rsidR="005F7984" w:rsidRPr="00853884" w:rsidRDefault="005F7984" w:rsidP="002315E1">
            <w:pPr>
              <w:spacing w:after="0" w:line="240" w:lineRule="auto"/>
              <w:rPr>
                <w:rFonts w:ascii="Arial Narrow" w:eastAsia="Times New Roman" w:hAnsi="Arial Narrow" w:cs="Calibri"/>
                <w:b/>
                <w:bCs/>
                <w:sz w:val="16"/>
                <w:szCs w:val="16"/>
                <w:lang w:eastAsia="pt-BR"/>
              </w:rPr>
            </w:pPr>
            <w:r w:rsidRPr="00853884">
              <w:rPr>
                <w:rFonts w:ascii="Arial Narrow" w:eastAsia="Times New Roman" w:hAnsi="Arial Narrow" w:cs="Calibri"/>
                <w:b/>
                <w:bCs/>
                <w:sz w:val="16"/>
                <w:szCs w:val="16"/>
                <w:lang w:eastAsia="pt-BR"/>
              </w:rPr>
              <w:t>ORDINÁRIA</w:t>
            </w:r>
          </w:p>
        </w:tc>
        <w:tc>
          <w:tcPr>
            <w:tcW w:w="970" w:type="dxa"/>
            <w:tcBorders>
              <w:top w:val="nil"/>
              <w:bottom w:val="nil"/>
              <w:right w:val="single" w:sz="4" w:space="0" w:color="auto"/>
            </w:tcBorders>
            <w:shd w:val="clear" w:color="auto" w:fill="auto"/>
            <w:noWrap/>
            <w:vAlign w:val="center"/>
          </w:tcPr>
          <w:p w14:paraId="776152F4" w14:textId="77777777" w:rsidR="005F7984" w:rsidRPr="00853884" w:rsidRDefault="005F7984" w:rsidP="002315E1">
            <w:pPr>
              <w:spacing w:after="0" w:line="240" w:lineRule="auto"/>
              <w:jc w:val="center"/>
              <w:rPr>
                <w:rFonts w:ascii="Arial Narrow" w:eastAsia="Times New Roman" w:hAnsi="Arial Narrow" w:cs="Calibri"/>
                <w:b/>
                <w:bCs/>
                <w:color w:val="FF0000"/>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6BB847BC" w14:textId="77777777" w:rsidR="005F7984" w:rsidRPr="00853884" w:rsidRDefault="005F7984" w:rsidP="002315E1">
            <w:pPr>
              <w:spacing w:after="0" w:line="240" w:lineRule="auto"/>
              <w:jc w:val="center"/>
              <w:rPr>
                <w:rFonts w:ascii="Arial Narrow" w:eastAsia="Times New Roman" w:hAnsi="Arial Narrow" w:cs="Arial"/>
                <w:b/>
                <w:bCs/>
                <w:sz w:val="16"/>
                <w:szCs w:val="16"/>
                <w:lang w:eastAsia="pt-BR"/>
              </w:rPr>
            </w:pPr>
            <w:r w:rsidRPr="00853884">
              <w:rPr>
                <w:rFonts w:ascii="Arial Narrow" w:eastAsia="Times New Roman" w:hAnsi="Arial Narrow" w:cs="Arial"/>
                <w:b/>
                <w:bCs/>
                <w:sz w:val="16"/>
                <w:szCs w:val="16"/>
                <w:lang w:eastAsia="pt-BR"/>
              </w:rPr>
              <w:t>SDF.D006</w:t>
            </w:r>
          </w:p>
        </w:tc>
        <w:tc>
          <w:tcPr>
            <w:tcW w:w="1246" w:type="dxa"/>
            <w:tcBorders>
              <w:top w:val="nil"/>
              <w:left w:val="nil"/>
              <w:bottom w:val="nil"/>
              <w:right w:val="single" w:sz="4" w:space="0" w:color="auto"/>
            </w:tcBorders>
            <w:shd w:val="clear" w:color="auto" w:fill="auto"/>
            <w:noWrap/>
            <w:vAlign w:val="center"/>
            <w:hideMark/>
          </w:tcPr>
          <w:p w14:paraId="17A4E31F" w14:textId="77777777" w:rsidR="005F7984" w:rsidRPr="00853884" w:rsidRDefault="005F7984" w:rsidP="002315E1">
            <w:pPr>
              <w:spacing w:after="0" w:line="240" w:lineRule="auto"/>
              <w:jc w:val="center"/>
              <w:rPr>
                <w:rFonts w:ascii="Arial Narrow" w:eastAsia="Times New Roman" w:hAnsi="Arial Narrow" w:cs="Arial"/>
                <w:b/>
                <w:bCs/>
                <w:sz w:val="16"/>
                <w:szCs w:val="16"/>
                <w:lang w:eastAsia="pt-BR"/>
              </w:rPr>
            </w:pPr>
            <w:r w:rsidRPr="00853884">
              <w:rPr>
                <w:rFonts w:ascii="Arial Narrow" w:eastAsia="Times New Roman" w:hAnsi="Arial Narrow" w:cs="Arial"/>
                <w:b/>
                <w:bCs/>
                <w:sz w:val="16"/>
                <w:szCs w:val="16"/>
                <w:lang w:eastAsia="pt-BR"/>
              </w:rPr>
              <w:t>SDF.E006</w:t>
            </w:r>
          </w:p>
        </w:tc>
      </w:tr>
      <w:tr w:rsidR="005F7984" w:rsidRPr="00853884" w14:paraId="2D48DFD9" w14:textId="77777777" w:rsidTr="00E67116">
        <w:trPr>
          <w:trHeight w:val="302"/>
        </w:trPr>
        <w:tc>
          <w:tcPr>
            <w:tcW w:w="938" w:type="dxa"/>
            <w:tcBorders>
              <w:top w:val="single" w:sz="4" w:space="0" w:color="FFFFFF" w:themeColor="background1"/>
              <w:left w:val="single" w:sz="4" w:space="0" w:color="auto"/>
              <w:bottom w:val="nil"/>
              <w:right w:val="single" w:sz="4" w:space="0" w:color="auto"/>
            </w:tcBorders>
            <w:shd w:val="clear" w:color="auto" w:fill="auto"/>
            <w:noWrap/>
            <w:vAlign w:val="center"/>
            <w:hideMark/>
          </w:tcPr>
          <w:p w14:paraId="2EC6BDFC"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101</w:t>
            </w:r>
          </w:p>
        </w:tc>
        <w:tc>
          <w:tcPr>
            <w:tcW w:w="9866" w:type="dxa"/>
            <w:tcBorders>
              <w:top w:val="nil"/>
              <w:left w:val="nil"/>
            </w:tcBorders>
            <w:shd w:val="clear" w:color="auto" w:fill="auto"/>
            <w:noWrap/>
            <w:vAlign w:val="center"/>
            <w:hideMark/>
          </w:tcPr>
          <w:p w14:paraId="197343D7" w14:textId="77777777" w:rsidR="005F7984" w:rsidRPr="00853884" w:rsidRDefault="005F7984"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RECURSOS ORDINÁRIOS</w:t>
            </w:r>
          </w:p>
        </w:tc>
        <w:tc>
          <w:tcPr>
            <w:tcW w:w="970" w:type="dxa"/>
            <w:tcBorders>
              <w:top w:val="nil"/>
              <w:bottom w:val="nil"/>
              <w:right w:val="single" w:sz="4" w:space="0" w:color="auto"/>
            </w:tcBorders>
            <w:shd w:val="clear" w:color="auto" w:fill="auto"/>
            <w:noWrap/>
            <w:vAlign w:val="center"/>
          </w:tcPr>
          <w:p w14:paraId="75FE5A08" w14:textId="77777777" w:rsidR="005F7984" w:rsidRPr="00853884" w:rsidRDefault="005F7984" w:rsidP="002315E1">
            <w:pPr>
              <w:spacing w:after="0" w:line="240" w:lineRule="auto"/>
              <w:jc w:val="center"/>
              <w:rPr>
                <w:rFonts w:ascii="Arial Narrow" w:eastAsia="Times New Roman" w:hAnsi="Arial Narrow" w:cs="Arial"/>
                <w:color w:val="FF0000"/>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39D0D753"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SDF.D501</w:t>
            </w:r>
          </w:p>
        </w:tc>
        <w:tc>
          <w:tcPr>
            <w:tcW w:w="1246" w:type="dxa"/>
            <w:tcBorders>
              <w:top w:val="nil"/>
              <w:left w:val="nil"/>
              <w:bottom w:val="nil"/>
              <w:right w:val="single" w:sz="4" w:space="0" w:color="auto"/>
            </w:tcBorders>
            <w:shd w:val="clear" w:color="auto" w:fill="auto"/>
            <w:noWrap/>
            <w:vAlign w:val="center"/>
            <w:hideMark/>
          </w:tcPr>
          <w:p w14:paraId="1BE14CB8"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SDF.E501</w:t>
            </w:r>
          </w:p>
        </w:tc>
      </w:tr>
      <w:tr w:rsidR="005F7984" w:rsidRPr="00853884" w14:paraId="4D07670C" w14:textId="77777777" w:rsidTr="00E67116">
        <w:trPr>
          <w:trHeight w:val="302"/>
        </w:trPr>
        <w:tc>
          <w:tcPr>
            <w:tcW w:w="938" w:type="dxa"/>
            <w:tcBorders>
              <w:top w:val="single" w:sz="4" w:space="0" w:color="D9D9D9"/>
              <w:left w:val="single" w:sz="4" w:space="0" w:color="auto"/>
              <w:bottom w:val="single" w:sz="4" w:space="0" w:color="D9D9D9"/>
              <w:right w:val="single" w:sz="4" w:space="0" w:color="auto"/>
            </w:tcBorders>
            <w:shd w:val="clear" w:color="auto" w:fill="auto"/>
            <w:vAlign w:val="center"/>
            <w:hideMark/>
          </w:tcPr>
          <w:p w14:paraId="5FC059BA"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301</w:t>
            </w:r>
          </w:p>
        </w:tc>
        <w:tc>
          <w:tcPr>
            <w:tcW w:w="9866" w:type="dxa"/>
            <w:tcBorders>
              <w:left w:val="nil"/>
              <w:bottom w:val="single" w:sz="4" w:space="0" w:color="D9D9D9"/>
            </w:tcBorders>
            <w:shd w:val="clear" w:color="auto" w:fill="auto"/>
            <w:vAlign w:val="center"/>
            <w:hideMark/>
          </w:tcPr>
          <w:p w14:paraId="713F22DD" w14:textId="77777777" w:rsidR="005F7984" w:rsidRPr="00853884" w:rsidRDefault="005F7984"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SUPERÁVIT FINANCEIRO - RECURSOS ORDINÁRIOS</w:t>
            </w:r>
          </w:p>
        </w:tc>
        <w:tc>
          <w:tcPr>
            <w:tcW w:w="970" w:type="dxa"/>
            <w:tcBorders>
              <w:top w:val="nil"/>
              <w:bottom w:val="nil"/>
              <w:right w:val="single" w:sz="4" w:space="0" w:color="auto"/>
            </w:tcBorders>
            <w:shd w:val="clear" w:color="auto" w:fill="auto"/>
            <w:noWrap/>
            <w:vAlign w:val="center"/>
          </w:tcPr>
          <w:p w14:paraId="1E296083" w14:textId="77777777" w:rsidR="005F7984" w:rsidRPr="00853884" w:rsidRDefault="005F7984" w:rsidP="002315E1">
            <w:pPr>
              <w:spacing w:after="0" w:line="240" w:lineRule="auto"/>
              <w:jc w:val="center"/>
              <w:rPr>
                <w:rFonts w:ascii="Arial Narrow" w:eastAsia="Times New Roman" w:hAnsi="Arial Narrow" w:cs="Arial"/>
                <w:color w:val="FF0000"/>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34684E8B"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SDF.D502</w:t>
            </w:r>
          </w:p>
        </w:tc>
        <w:tc>
          <w:tcPr>
            <w:tcW w:w="1246" w:type="dxa"/>
            <w:tcBorders>
              <w:top w:val="nil"/>
              <w:left w:val="nil"/>
              <w:bottom w:val="nil"/>
              <w:right w:val="single" w:sz="4" w:space="0" w:color="auto"/>
            </w:tcBorders>
            <w:shd w:val="clear" w:color="auto" w:fill="auto"/>
            <w:noWrap/>
            <w:vAlign w:val="center"/>
            <w:hideMark/>
          </w:tcPr>
          <w:p w14:paraId="2099F2E1"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SDF.E502</w:t>
            </w:r>
          </w:p>
        </w:tc>
      </w:tr>
      <w:tr w:rsidR="005F7984" w:rsidRPr="00853884" w14:paraId="2DA78F40" w14:textId="77777777" w:rsidTr="00E67116">
        <w:trPr>
          <w:trHeight w:val="302"/>
        </w:trPr>
        <w:tc>
          <w:tcPr>
            <w:tcW w:w="938" w:type="dxa"/>
            <w:tcBorders>
              <w:top w:val="nil"/>
              <w:left w:val="single" w:sz="4" w:space="0" w:color="auto"/>
              <w:bottom w:val="nil"/>
              <w:right w:val="single" w:sz="4" w:space="0" w:color="auto"/>
            </w:tcBorders>
            <w:shd w:val="clear" w:color="auto" w:fill="auto"/>
            <w:noWrap/>
            <w:vAlign w:val="center"/>
            <w:hideMark/>
          </w:tcPr>
          <w:p w14:paraId="300911E0" w14:textId="77777777" w:rsidR="005F7984" w:rsidRPr="00853884" w:rsidRDefault="005F7984" w:rsidP="002315E1">
            <w:pPr>
              <w:spacing w:after="0" w:line="240" w:lineRule="auto"/>
              <w:jc w:val="center"/>
              <w:rPr>
                <w:rFonts w:ascii="Arial Narrow" w:eastAsia="Times New Roman" w:hAnsi="Arial Narrow" w:cs="Calibri"/>
                <w:b/>
                <w:bCs/>
                <w:sz w:val="16"/>
                <w:szCs w:val="16"/>
                <w:lang w:eastAsia="pt-BR"/>
              </w:rPr>
            </w:pPr>
            <w:r w:rsidRPr="00853884">
              <w:rPr>
                <w:rFonts w:ascii="Arial Narrow" w:eastAsia="Times New Roman" w:hAnsi="Arial Narrow" w:cs="Calibri"/>
                <w:b/>
                <w:bCs/>
                <w:sz w:val="16"/>
                <w:szCs w:val="16"/>
                <w:lang w:eastAsia="pt-BR"/>
              </w:rPr>
              <w:t> </w:t>
            </w:r>
          </w:p>
        </w:tc>
        <w:tc>
          <w:tcPr>
            <w:tcW w:w="9866" w:type="dxa"/>
            <w:tcBorders>
              <w:top w:val="nil"/>
              <w:left w:val="nil"/>
              <w:bottom w:val="nil"/>
            </w:tcBorders>
            <w:shd w:val="clear" w:color="auto" w:fill="auto"/>
            <w:noWrap/>
            <w:vAlign w:val="center"/>
            <w:hideMark/>
          </w:tcPr>
          <w:p w14:paraId="66FF8208" w14:textId="77777777" w:rsidR="005F7984" w:rsidRPr="00853884" w:rsidRDefault="005F7984" w:rsidP="002315E1">
            <w:pPr>
              <w:spacing w:after="0" w:line="240" w:lineRule="auto"/>
              <w:rPr>
                <w:rFonts w:ascii="Arial Narrow" w:eastAsia="Times New Roman" w:hAnsi="Arial Narrow" w:cs="Calibri"/>
                <w:b/>
                <w:bCs/>
                <w:sz w:val="16"/>
                <w:szCs w:val="16"/>
                <w:lang w:eastAsia="pt-BR"/>
              </w:rPr>
            </w:pPr>
            <w:r w:rsidRPr="00853884">
              <w:rPr>
                <w:rFonts w:ascii="Arial Narrow" w:eastAsia="Times New Roman" w:hAnsi="Arial Narrow" w:cs="Calibri"/>
                <w:b/>
                <w:bCs/>
                <w:sz w:val="16"/>
                <w:szCs w:val="16"/>
                <w:lang w:eastAsia="pt-BR"/>
              </w:rPr>
              <w:t>VINCULADA</w:t>
            </w:r>
          </w:p>
        </w:tc>
        <w:tc>
          <w:tcPr>
            <w:tcW w:w="970" w:type="dxa"/>
            <w:tcBorders>
              <w:top w:val="nil"/>
              <w:bottom w:val="nil"/>
              <w:right w:val="single" w:sz="4" w:space="0" w:color="auto"/>
            </w:tcBorders>
            <w:shd w:val="clear" w:color="auto" w:fill="auto"/>
            <w:noWrap/>
            <w:vAlign w:val="center"/>
          </w:tcPr>
          <w:p w14:paraId="732C6DEE" w14:textId="77777777" w:rsidR="005F7984" w:rsidRPr="00853884" w:rsidRDefault="005F7984" w:rsidP="002315E1">
            <w:pPr>
              <w:spacing w:after="0" w:line="240" w:lineRule="auto"/>
              <w:jc w:val="center"/>
              <w:rPr>
                <w:rFonts w:ascii="Arial Narrow" w:eastAsia="Times New Roman" w:hAnsi="Arial Narrow" w:cs="Calibri"/>
                <w:b/>
                <w:bCs/>
                <w:color w:val="FF0000"/>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0A823B6D" w14:textId="77777777" w:rsidR="005F7984" w:rsidRPr="00853884" w:rsidRDefault="005F7984" w:rsidP="002315E1">
            <w:pPr>
              <w:spacing w:after="0" w:line="240" w:lineRule="auto"/>
              <w:jc w:val="center"/>
              <w:rPr>
                <w:rFonts w:ascii="Arial Narrow" w:eastAsia="Times New Roman" w:hAnsi="Arial Narrow" w:cs="Arial"/>
                <w:b/>
                <w:bCs/>
                <w:sz w:val="16"/>
                <w:szCs w:val="16"/>
                <w:lang w:eastAsia="pt-BR"/>
              </w:rPr>
            </w:pPr>
            <w:r w:rsidRPr="00853884">
              <w:rPr>
                <w:rFonts w:ascii="Arial Narrow" w:eastAsia="Times New Roman" w:hAnsi="Arial Narrow" w:cs="Arial"/>
                <w:b/>
                <w:bCs/>
                <w:sz w:val="16"/>
                <w:szCs w:val="16"/>
                <w:lang w:eastAsia="pt-BR"/>
              </w:rPr>
              <w:t>SDF.D008</w:t>
            </w:r>
          </w:p>
        </w:tc>
        <w:tc>
          <w:tcPr>
            <w:tcW w:w="1246" w:type="dxa"/>
            <w:tcBorders>
              <w:top w:val="nil"/>
              <w:left w:val="nil"/>
              <w:bottom w:val="nil"/>
              <w:right w:val="single" w:sz="4" w:space="0" w:color="auto"/>
            </w:tcBorders>
            <w:shd w:val="clear" w:color="auto" w:fill="auto"/>
            <w:noWrap/>
            <w:vAlign w:val="center"/>
            <w:hideMark/>
          </w:tcPr>
          <w:p w14:paraId="412E70BB" w14:textId="77777777" w:rsidR="005F7984" w:rsidRPr="00853884" w:rsidRDefault="005F7984" w:rsidP="002315E1">
            <w:pPr>
              <w:spacing w:after="0" w:line="240" w:lineRule="auto"/>
              <w:jc w:val="center"/>
              <w:rPr>
                <w:rFonts w:ascii="Arial Narrow" w:eastAsia="Times New Roman" w:hAnsi="Arial Narrow" w:cs="Arial"/>
                <w:b/>
                <w:bCs/>
                <w:sz w:val="16"/>
                <w:szCs w:val="16"/>
                <w:lang w:eastAsia="pt-BR"/>
              </w:rPr>
            </w:pPr>
            <w:r w:rsidRPr="00853884">
              <w:rPr>
                <w:rFonts w:ascii="Arial Narrow" w:eastAsia="Times New Roman" w:hAnsi="Arial Narrow" w:cs="Arial"/>
                <w:b/>
                <w:bCs/>
                <w:sz w:val="16"/>
                <w:szCs w:val="16"/>
                <w:lang w:eastAsia="pt-BR"/>
              </w:rPr>
              <w:t>SDF.E008</w:t>
            </w:r>
          </w:p>
        </w:tc>
      </w:tr>
      <w:tr w:rsidR="005F7984" w:rsidRPr="00853884" w14:paraId="65C029CC" w14:textId="77777777" w:rsidTr="00E67116">
        <w:trPr>
          <w:trHeight w:val="302"/>
        </w:trPr>
        <w:tc>
          <w:tcPr>
            <w:tcW w:w="938" w:type="dxa"/>
            <w:tcBorders>
              <w:top w:val="nil"/>
              <w:left w:val="single" w:sz="4" w:space="0" w:color="auto"/>
              <w:bottom w:val="nil"/>
              <w:right w:val="single" w:sz="4" w:space="0" w:color="auto"/>
            </w:tcBorders>
            <w:shd w:val="clear" w:color="auto" w:fill="auto"/>
            <w:noWrap/>
            <w:vAlign w:val="center"/>
            <w:hideMark/>
          </w:tcPr>
          <w:p w14:paraId="102F5183" w14:textId="77777777" w:rsidR="005F7984" w:rsidRPr="00853884" w:rsidRDefault="005F7984" w:rsidP="002315E1">
            <w:pPr>
              <w:spacing w:after="0" w:line="240" w:lineRule="auto"/>
              <w:jc w:val="center"/>
              <w:rPr>
                <w:rFonts w:ascii="Arial Narrow" w:eastAsia="Times New Roman" w:hAnsi="Arial Narrow" w:cs="Arial"/>
                <w:b/>
                <w:bCs/>
                <w:sz w:val="16"/>
                <w:szCs w:val="16"/>
                <w:lang w:eastAsia="pt-BR"/>
              </w:rPr>
            </w:pPr>
            <w:r w:rsidRPr="00853884">
              <w:rPr>
                <w:rFonts w:ascii="Arial Narrow" w:eastAsia="Times New Roman" w:hAnsi="Arial Narrow" w:cs="Arial"/>
                <w:b/>
                <w:bCs/>
                <w:sz w:val="16"/>
                <w:szCs w:val="16"/>
                <w:lang w:eastAsia="pt-BR"/>
              </w:rPr>
              <w:t> </w:t>
            </w:r>
          </w:p>
        </w:tc>
        <w:tc>
          <w:tcPr>
            <w:tcW w:w="9866" w:type="dxa"/>
            <w:tcBorders>
              <w:top w:val="nil"/>
              <w:left w:val="nil"/>
              <w:bottom w:val="nil"/>
            </w:tcBorders>
            <w:shd w:val="clear" w:color="auto" w:fill="auto"/>
            <w:noWrap/>
            <w:vAlign w:val="center"/>
            <w:hideMark/>
          </w:tcPr>
          <w:p w14:paraId="0256B81B" w14:textId="77777777" w:rsidR="005F7984" w:rsidRPr="00853884" w:rsidRDefault="005F7984" w:rsidP="002315E1">
            <w:pPr>
              <w:spacing w:after="0" w:line="240" w:lineRule="auto"/>
              <w:rPr>
                <w:rFonts w:ascii="Arial Narrow" w:eastAsia="Times New Roman" w:hAnsi="Arial Narrow" w:cs="Arial"/>
                <w:b/>
                <w:bCs/>
                <w:sz w:val="16"/>
                <w:szCs w:val="16"/>
                <w:lang w:eastAsia="pt-BR"/>
              </w:rPr>
            </w:pPr>
            <w:r w:rsidRPr="00853884">
              <w:rPr>
                <w:rFonts w:ascii="Arial Narrow" w:eastAsia="Times New Roman" w:hAnsi="Arial Narrow" w:cs="Arial"/>
                <w:b/>
                <w:bCs/>
                <w:sz w:val="16"/>
                <w:szCs w:val="16"/>
                <w:lang w:eastAsia="pt-BR"/>
              </w:rPr>
              <w:t>RECURSOS VINCULADOS À EDUCAÇÃO</w:t>
            </w:r>
          </w:p>
        </w:tc>
        <w:tc>
          <w:tcPr>
            <w:tcW w:w="970" w:type="dxa"/>
            <w:tcBorders>
              <w:top w:val="nil"/>
              <w:bottom w:val="nil"/>
              <w:right w:val="single" w:sz="4" w:space="0" w:color="auto"/>
            </w:tcBorders>
            <w:shd w:val="clear" w:color="auto" w:fill="auto"/>
            <w:noWrap/>
            <w:vAlign w:val="center"/>
          </w:tcPr>
          <w:p w14:paraId="53E1890C" w14:textId="77777777" w:rsidR="005F7984" w:rsidRPr="00853884" w:rsidRDefault="005F7984" w:rsidP="002315E1">
            <w:pPr>
              <w:spacing w:after="0" w:line="240" w:lineRule="auto"/>
              <w:jc w:val="center"/>
              <w:rPr>
                <w:rFonts w:ascii="Arial Narrow" w:eastAsia="Times New Roman" w:hAnsi="Arial Narrow" w:cs="Arial"/>
                <w:b/>
                <w:bCs/>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0E5375C5" w14:textId="77777777" w:rsidR="005F7984" w:rsidRPr="00853884" w:rsidRDefault="005F7984" w:rsidP="002315E1">
            <w:pPr>
              <w:spacing w:after="0" w:line="240" w:lineRule="auto"/>
              <w:jc w:val="center"/>
              <w:rPr>
                <w:rFonts w:ascii="Arial Narrow" w:eastAsia="Times New Roman" w:hAnsi="Arial Narrow" w:cs="Arial"/>
                <w:b/>
                <w:bCs/>
                <w:sz w:val="16"/>
                <w:szCs w:val="16"/>
                <w:lang w:eastAsia="pt-BR"/>
              </w:rPr>
            </w:pPr>
            <w:r w:rsidRPr="00853884">
              <w:rPr>
                <w:rFonts w:ascii="Arial Narrow" w:eastAsia="Times New Roman" w:hAnsi="Arial Narrow" w:cs="Arial"/>
                <w:b/>
                <w:bCs/>
                <w:sz w:val="16"/>
                <w:szCs w:val="16"/>
                <w:lang w:eastAsia="pt-BR"/>
              </w:rPr>
              <w:t>SDF.D077</w:t>
            </w:r>
          </w:p>
        </w:tc>
        <w:tc>
          <w:tcPr>
            <w:tcW w:w="1246" w:type="dxa"/>
            <w:tcBorders>
              <w:top w:val="nil"/>
              <w:left w:val="nil"/>
              <w:bottom w:val="nil"/>
              <w:right w:val="single" w:sz="4" w:space="0" w:color="auto"/>
            </w:tcBorders>
            <w:shd w:val="clear" w:color="auto" w:fill="auto"/>
            <w:noWrap/>
            <w:vAlign w:val="center"/>
            <w:hideMark/>
          </w:tcPr>
          <w:p w14:paraId="32D9B9F8" w14:textId="77777777" w:rsidR="005F7984" w:rsidRPr="00853884" w:rsidRDefault="005F7984" w:rsidP="002315E1">
            <w:pPr>
              <w:spacing w:after="0" w:line="240" w:lineRule="auto"/>
              <w:jc w:val="center"/>
              <w:rPr>
                <w:rFonts w:ascii="Arial Narrow" w:eastAsia="Times New Roman" w:hAnsi="Arial Narrow" w:cs="Arial"/>
                <w:b/>
                <w:bCs/>
                <w:sz w:val="16"/>
                <w:szCs w:val="16"/>
                <w:lang w:eastAsia="pt-BR"/>
              </w:rPr>
            </w:pPr>
            <w:r w:rsidRPr="00853884">
              <w:rPr>
                <w:rFonts w:ascii="Arial Narrow" w:eastAsia="Times New Roman" w:hAnsi="Arial Narrow" w:cs="Arial"/>
                <w:b/>
                <w:bCs/>
                <w:sz w:val="16"/>
                <w:szCs w:val="16"/>
                <w:lang w:eastAsia="pt-BR"/>
              </w:rPr>
              <w:t>SDF.E077</w:t>
            </w:r>
          </w:p>
        </w:tc>
      </w:tr>
      <w:tr w:rsidR="005F7984" w:rsidRPr="00853884" w14:paraId="33A62863" w14:textId="77777777" w:rsidTr="00E67116">
        <w:trPr>
          <w:trHeight w:val="302"/>
        </w:trPr>
        <w:tc>
          <w:tcPr>
            <w:tcW w:w="938" w:type="dxa"/>
            <w:tcBorders>
              <w:top w:val="single" w:sz="4" w:space="0" w:color="D9D9D9"/>
              <w:left w:val="single" w:sz="4" w:space="0" w:color="auto"/>
              <w:bottom w:val="single" w:sz="4" w:space="0" w:color="D9D9D9"/>
              <w:right w:val="single" w:sz="4" w:space="0" w:color="auto"/>
            </w:tcBorders>
            <w:shd w:val="clear" w:color="auto" w:fill="auto"/>
            <w:vAlign w:val="center"/>
            <w:hideMark/>
          </w:tcPr>
          <w:p w14:paraId="1810549F"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102</w:t>
            </w:r>
          </w:p>
        </w:tc>
        <w:tc>
          <w:tcPr>
            <w:tcW w:w="9866" w:type="dxa"/>
            <w:tcBorders>
              <w:top w:val="single" w:sz="4" w:space="0" w:color="D9D9D9"/>
              <w:left w:val="nil"/>
              <w:bottom w:val="single" w:sz="4" w:space="0" w:color="D9D9D9"/>
            </w:tcBorders>
            <w:shd w:val="clear" w:color="auto" w:fill="auto"/>
            <w:vAlign w:val="center"/>
            <w:hideMark/>
          </w:tcPr>
          <w:p w14:paraId="458B259D" w14:textId="77777777" w:rsidR="005F7984" w:rsidRPr="00853884" w:rsidRDefault="005F7984"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MANUTENÇÃO E DESENVOLVIMENTO DO ENSINO</w:t>
            </w:r>
          </w:p>
        </w:tc>
        <w:tc>
          <w:tcPr>
            <w:tcW w:w="970" w:type="dxa"/>
            <w:tcBorders>
              <w:top w:val="nil"/>
              <w:bottom w:val="nil"/>
              <w:right w:val="single" w:sz="4" w:space="0" w:color="auto"/>
            </w:tcBorders>
            <w:shd w:val="clear" w:color="auto" w:fill="auto"/>
            <w:noWrap/>
            <w:vAlign w:val="center"/>
          </w:tcPr>
          <w:p w14:paraId="062EC750" w14:textId="77777777" w:rsidR="005F7984" w:rsidRPr="00853884" w:rsidRDefault="005F7984" w:rsidP="002315E1">
            <w:pPr>
              <w:spacing w:after="0" w:line="240" w:lineRule="auto"/>
              <w:jc w:val="center"/>
              <w:rPr>
                <w:rFonts w:ascii="Arial Narrow" w:eastAsia="Times New Roman" w:hAnsi="Arial Narrow" w:cs="Arial"/>
                <w:color w:val="FF0000"/>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4BA10248"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SDF.D504</w:t>
            </w:r>
          </w:p>
        </w:tc>
        <w:tc>
          <w:tcPr>
            <w:tcW w:w="1246" w:type="dxa"/>
            <w:tcBorders>
              <w:top w:val="nil"/>
              <w:left w:val="nil"/>
              <w:bottom w:val="nil"/>
              <w:right w:val="single" w:sz="4" w:space="0" w:color="auto"/>
            </w:tcBorders>
            <w:shd w:val="clear" w:color="auto" w:fill="auto"/>
            <w:noWrap/>
            <w:vAlign w:val="center"/>
            <w:hideMark/>
          </w:tcPr>
          <w:p w14:paraId="7AE16329"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SDF.E504</w:t>
            </w:r>
          </w:p>
        </w:tc>
      </w:tr>
      <w:tr w:rsidR="005F7984" w:rsidRPr="00853884" w14:paraId="548E72EC" w14:textId="77777777" w:rsidTr="00E67116">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086827A0"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113</w:t>
            </w:r>
          </w:p>
        </w:tc>
        <w:tc>
          <w:tcPr>
            <w:tcW w:w="9866" w:type="dxa"/>
            <w:tcBorders>
              <w:top w:val="nil"/>
              <w:left w:val="nil"/>
              <w:bottom w:val="single" w:sz="4" w:space="0" w:color="D9D9D9"/>
            </w:tcBorders>
            <w:shd w:val="clear" w:color="auto" w:fill="auto"/>
            <w:vAlign w:val="center"/>
            <w:hideMark/>
          </w:tcPr>
          <w:p w14:paraId="1EC4C772" w14:textId="0D475413" w:rsidR="005F7984" w:rsidRPr="00853884" w:rsidRDefault="005F7984"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 xml:space="preserve">MANUTENÇÃO E DESENVOLVIMENTO DA EDUCAÇÃO BÁSICA E DE VALORIZAÇÃO DOS PROFISSIONAIS DA EDUCAÇÃO </w:t>
            </w:r>
            <w:r w:rsidR="0055312B">
              <w:rPr>
                <w:rFonts w:ascii="Arial Narrow" w:eastAsia="Times New Roman" w:hAnsi="Arial Narrow" w:cs="Arial"/>
                <w:sz w:val="16"/>
                <w:szCs w:val="16"/>
                <w:lang w:eastAsia="pt-BR"/>
              </w:rPr>
              <w:t>–</w:t>
            </w:r>
            <w:r w:rsidRPr="00853884">
              <w:rPr>
                <w:rFonts w:ascii="Arial Narrow" w:eastAsia="Times New Roman" w:hAnsi="Arial Narrow" w:cs="Arial"/>
                <w:sz w:val="16"/>
                <w:szCs w:val="16"/>
                <w:lang w:eastAsia="pt-BR"/>
              </w:rPr>
              <w:t xml:space="preserve"> FUNDEB</w:t>
            </w:r>
            <w:r w:rsidR="0055312B">
              <w:rPr>
                <w:rFonts w:ascii="Arial Narrow" w:eastAsia="Times New Roman" w:hAnsi="Arial Narrow" w:cs="Arial"/>
                <w:sz w:val="16"/>
                <w:szCs w:val="16"/>
                <w:lang w:eastAsia="pt-BR"/>
              </w:rPr>
              <w:t xml:space="preserve"> </w:t>
            </w:r>
            <w:r w:rsidR="0055312B" w:rsidRPr="0055312B">
              <w:rPr>
                <w:rFonts w:ascii="Arial Narrow" w:eastAsia="Times New Roman" w:hAnsi="Arial Narrow" w:cs="Arial"/>
                <w:color w:val="0070C0"/>
                <w:sz w:val="16"/>
                <w:szCs w:val="16"/>
                <w:lang w:eastAsia="pt-BR"/>
              </w:rPr>
              <w:t>(70%)</w:t>
            </w:r>
            <w:r w:rsidR="0055312B">
              <w:rPr>
                <w:rFonts w:ascii="Arial Narrow" w:eastAsia="Times New Roman" w:hAnsi="Arial Narrow" w:cs="Arial"/>
                <w:sz w:val="16"/>
                <w:szCs w:val="16"/>
                <w:lang w:eastAsia="pt-BR"/>
              </w:rPr>
              <w:t xml:space="preserve"> </w:t>
            </w:r>
            <w:r w:rsidRPr="00853884">
              <w:rPr>
                <w:rFonts w:ascii="Arial Narrow" w:eastAsia="Times New Roman" w:hAnsi="Arial Narrow" w:cs="Arial"/>
                <w:sz w:val="16"/>
                <w:szCs w:val="16"/>
                <w:lang w:eastAsia="pt-BR"/>
              </w:rPr>
              <w:t xml:space="preserve"> </w:t>
            </w:r>
            <w:r w:rsidRPr="0055312B">
              <w:rPr>
                <w:rFonts w:ascii="Arial Narrow" w:eastAsia="Times New Roman" w:hAnsi="Arial Narrow" w:cs="Arial"/>
                <w:strike/>
                <w:color w:val="FF0000"/>
                <w:sz w:val="16"/>
                <w:szCs w:val="16"/>
                <w:lang w:eastAsia="pt-BR"/>
              </w:rPr>
              <w:t>(60%)</w:t>
            </w:r>
          </w:p>
        </w:tc>
        <w:tc>
          <w:tcPr>
            <w:tcW w:w="970" w:type="dxa"/>
            <w:tcBorders>
              <w:top w:val="nil"/>
              <w:bottom w:val="nil"/>
              <w:right w:val="single" w:sz="4" w:space="0" w:color="auto"/>
            </w:tcBorders>
            <w:shd w:val="clear" w:color="auto" w:fill="auto"/>
            <w:noWrap/>
            <w:vAlign w:val="center"/>
          </w:tcPr>
          <w:p w14:paraId="7E241B3B" w14:textId="77777777" w:rsidR="005F7984" w:rsidRPr="00853884" w:rsidRDefault="005F7984" w:rsidP="002315E1">
            <w:pPr>
              <w:spacing w:after="0" w:line="240" w:lineRule="auto"/>
              <w:jc w:val="center"/>
              <w:rPr>
                <w:rFonts w:ascii="Arial Narrow" w:eastAsia="Times New Roman" w:hAnsi="Arial Narrow" w:cs="Arial"/>
                <w:color w:val="FF0000"/>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4A3596D3"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SDF.D507</w:t>
            </w:r>
          </w:p>
        </w:tc>
        <w:tc>
          <w:tcPr>
            <w:tcW w:w="1246" w:type="dxa"/>
            <w:tcBorders>
              <w:top w:val="nil"/>
              <w:left w:val="nil"/>
              <w:bottom w:val="nil"/>
              <w:right w:val="single" w:sz="4" w:space="0" w:color="auto"/>
            </w:tcBorders>
            <w:shd w:val="clear" w:color="auto" w:fill="auto"/>
            <w:noWrap/>
            <w:vAlign w:val="center"/>
            <w:hideMark/>
          </w:tcPr>
          <w:p w14:paraId="04E8082E"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SDF.E507</w:t>
            </w:r>
          </w:p>
        </w:tc>
      </w:tr>
      <w:tr w:rsidR="005F7984" w:rsidRPr="00853884" w14:paraId="75817155" w14:textId="77777777" w:rsidTr="00E67116">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77DBB9FF"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114</w:t>
            </w:r>
          </w:p>
        </w:tc>
        <w:tc>
          <w:tcPr>
            <w:tcW w:w="9866" w:type="dxa"/>
            <w:tcBorders>
              <w:top w:val="nil"/>
              <w:left w:val="nil"/>
              <w:bottom w:val="single" w:sz="4" w:space="0" w:color="D9D9D9"/>
            </w:tcBorders>
            <w:shd w:val="clear" w:color="auto" w:fill="auto"/>
            <w:vAlign w:val="center"/>
            <w:hideMark/>
          </w:tcPr>
          <w:p w14:paraId="437B6BEA" w14:textId="591F36E1" w:rsidR="005F7984" w:rsidRPr="00853884" w:rsidRDefault="005F7984"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 xml:space="preserve">MANUTENÇÃO E DESENVOLVIMENTO DA EDUCAÇÃO BÁSICA E DE VALORIZAÇÃO DOS PROFISSIONAIS DA EDUCAÇÃO </w:t>
            </w:r>
            <w:r w:rsidR="0055312B">
              <w:rPr>
                <w:rFonts w:ascii="Arial Narrow" w:eastAsia="Times New Roman" w:hAnsi="Arial Narrow" w:cs="Arial"/>
                <w:sz w:val="16"/>
                <w:szCs w:val="16"/>
                <w:lang w:eastAsia="pt-BR"/>
              </w:rPr>
              <w:t>–</w:t>
            </w:r>
            <w:r w:rsidRPr="00853884">
              <w:rPr>
                <w:rFonts w:ascii="Arial Narrow" w:eastAsia="Times New Roman" w:hAnsi="Arial Narrow" w:cs="Arial"/>
                <w:sz w:val="16"/>
                <w:szCs w:val="16"/>
                <w:lang w:eastAsia="pt-BR"/>
              </w:rPr>
              <w:t xml:space="preserve"> FUNDEB</w:t>
            </w:r>
            <w:r w:rsidR="0055312B">
              <w:rPr>
                <w:rFonts w:ascii="Arial Narrow" w:eastAsia="Times New Roman" w:hAnsi="Arial Narrow" w:cs="Arial"/>
                <w:sz w:val="16"/>
                <w:szCs w:val="16"/>
                <w:lang w:eastAsia="pt-BR"/>
              </w:rPr>
              <w:t xml:space="preserve"> </w:t>
            </w:r>
            <w:r w:rsidR="0055312B" w:rsidRPr="0055312B">
              <w:rPr>
                <w:rFonts w:ascii="Arial Narrow" w:eastAsia="Times New Roman" w:hAnsi="Arial Narrow" w:cs="Arial"/>
                <w:color w:val="0070C0"/>
                <w:sz w:val="16"/>
                <w:szCs w:val="16"/>
                <w:lang w:eastAsia="pt-BR"/>
              </w:rPr>
              <w:t>(30%)</w:t>
            </w:r>
            <w:r w:rsidR="0055312B">
              <w:rPr>
                <w:rFonts w:ascii="Arial Narrow" w:eastAsia="Times New Roman" w:hAnsi="Arial Narrow" w:cs="Arial"/>
                <w:sz w:val="16"/>
                <w:szCs w:val="16"/>
                <w:lang w:eastAsia="pt-BR"/>
              </w:rPr>
              <w:t xml:space="preserve"> </w:t>
            </w:r>
            <w:r w:rsidRPr="00853884">
              <w:rPr>
                <w:rFonts w:ascii="Arial Narrow" w:eastAsia="Times New Roman" w:hAnsi="Arial Narrow" w:cs="Arial"/>
                <w:sz w:val="16"/>
                <w:szCs w:val="16"/>
                <w:lang w:eastAsia="pt-BR"/>
              </w:rPr>
              <w:t xml:space="preserve"> </w:t>
            </w:r>
            <w:r w:rsidRPr="0055312B">
              <w:rPr>
                <w:rFonts w:ascii="Arial Narrow" w:eastAsia="Times New Roman" w:hAnsi="Arial Narrow" w:cs="Arial"/>
                <w:strike/>
                <w:color w:val="FF0000"/>
                <w:sz w:val="16"/>
                <w:szCs w:val="16"/>
                <w:lang w:eastAsia="pt-BR"/>
              </w:rPr>
              <w:t>(40%)</w:t>
            </w:r>
          </w:p>
        </w:tc>
        <w:tc>
          <w:tcPr>
            <w:tcW w:w="970" w:type="dxa"/>
            <w:tcBorders>
              <w:top w:val="nil"/>
              <w:bottom w:val="nil"/>
              <w:right w:val="single" w:sz="4" w:space="0" w:color="auto"/>
            </w:tcBorders>
            <w:shd w:val="clear" w:color="auto" w:fill="auto"/>
            <w:noWrap/>
            <w:vAlign w:val="center"/>
          </w:tcPr>
          <w:p w14:paraId="70E7C8A5" w14:textId="77777777" w:rsidR="005F7984" w:rsidRPr="00853884" w:rsidRDefault="005F7984" w:rsidP="002315E1">
            <w:pPr>
              <w:spacing w:after="0" w:line="240" w:lineRule="auto"/>
              <w:jc w:val="center"/>
              <w:rPr>
                <w:rFonts w:ascii="Arial Narrow" w:eastAsia="Times New Roman" w:hAnsi="Arial Narrow" w:cs="Arial"/>
                <w:color w:val="FF0000"/>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07095D94"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SDF.D508</w:t>
            </w:r>
          </w:p>
        </w:tc>
        <w:tc>
          <w:tcPr>
            <w:tcW w:w="1246" w:type="dxa"/>
            <w:tcBorders>
              <w:top w:val="nil"/>
              <w:left w:val="nil"/>
              <w:bottom w:val="nil"/>
              <w:right w:val="single" w:sz="4" w:space="0" w:color="auto"/>
            </w:tcBorders>
            <w:shd w:val="clear" w:color="auto" w:fill="auto"/>
            <w:noWrap/>
            <w:vAlign w:val="center"/>
            <w:hideMark/>
          </w:tcPr>
          <w:p w14:paraId="0D579F28"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SDF.E508</w:t>
            </w:r>
          </w:p>
        </w:tc>
      </w:tr>
      <w:tr w:rsidR="005F7984" w:rsidRPr="00853884" w14:paraId="6CAC21AC" w14:textId="77777777" w:rsidTr="00E67116">
        <w:trPr>
          <w:trHeight w:val="302"/>
        </w:trPr>
        <w:tc>
          <w:tcPr>
            <w:tcW w:w="938" w:type="dxa"/>
            <w:tcBorders>
              <w:top w:val="nil"/>
              <w:left w:val="single" w:sz="4" w:space="0" w:color="auto"/>
              <w:right w:val="single" w:sz="4" w:space="0" w:color="auto"/>
            </w:tcBorders>
            <w:shd w:val="clear" w:color="auto" w:fill="auto"/>
            <w:vAlign w:val="center"/>
            <w:hideMark/>
          </w:tcPr>
          <w:p w14:paraId="01E5C5BD"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131</w:t>
            </w:r>
          </w:p>
        </w:tc>
        <w:tc>
          <w:tcPr>
            <w:tcW w:w="9866" w:type="dxa"/>
            <w:tcBorders>
              <w:top w:val="nil"/>
              <w:left w:val="nil"/>
              <w:bottom w:val="single" w:sz="4" w:space="0" w:color="D9D9D9"/>
            </w:tcBorders>
            <w:shd w:val="clear" w:color="auto" w:fill="auto"/>
            <w:vAlign w:val="center"/>
            <w:hideMark/>
          </w:tcPr>
          <w:p w14:paraId="66DFA0E0" w14:textId="77777777" w:rsidR="005F7984" w:rsidRPr="00853884" w:rsidRDefault="005F7984"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COTA PARTE ESTADUAL DO SALÁRIO EDUCAÇÃO</w:t>
            </w:r>
          </w:p>
        </w:tc>
        <w:tc>
          <w:tcPr>
            <w:tcW w:w="970" w:type="dxa"/>
            <w:tcBorders>
              <w:top w:val="nil"/>
              <w:bottom w:val="nil"/>
              <w:right w:val="single" w:sz="4" w:space="0" w:color="auto"/>
            </w:tcBorders>
            <w:shd w:val="clear" w:color="auto" w:fill="auto"/>
            <w:noWrap/>
            <w:vAlign w:val="center"/>
          </w:tcPr>
          <w:p w14:paraId="2C2B9A94" w14:textId="77777777" w:rsidR="005F7984" w:rsidRPr="00853884" w:rsidRDefault="005F7984" w:rsidP="002315E1">
            <w:pPr>
              <w:spacing w:after="0" w:line="240" w:lineRule="auto"/>
              <w:jc w:val="center"/>
              <w:rPr>
                <w:rFonts w:ascii="Arial Narrow" w:eastAsia="Times New Roman" w:hAnsi="Arial Narrow" w:cs="Arial"/>
                <w:color w:val="FF0000"/>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1FD5EB25"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SDF.D511</w:t>
            </w:r>
          </w:p>
        </w:tc>
        <w:tc>
          <w:tcPr>
            <w:tcW w:w="1246" w:type="dxa"/>
            <w:tcBorders>
              <w:top w:val="nil"/>
              <w:left w:val="nil"/>
              <w:bottom w:val="nil"/>
              <w:right w:val="single" w:sz="4" w:space="0" w:color="auto"/>
            </w:tcBorders>
            <w:shd w:val="clear" w:color="auto" w:fill="auto"/>
            <w:noWrap/>
            <w:vAlign w:val="center"/>
            <w:hideMark/>
          </w:tcPr>
          <w:p w14:paraId="6CAAB9F0"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SDF.E511</w:t>
            </w:r>
          </w:p>
        </w:tc>
      </w:tr>
      <w:tr w:rsidR="005F7984" w:rsidRPr="00853884" w14:paraId="32B21F4B" w14:textId="77777777" w:rsidTr="00E67116">
        <w:trPr>
          <w:trHeight w:val="302"/>
        </w:trPr>
        <w:tc>
          <w:tcPr>
            <w:tcW w:w="938" w:type="dxa"/>
            <w:tcBorders>
              <w:left w:val="single" w:sz="4" w:space="0" w:color="auto"/>
              <w:bottom w:val="single" w:sz="4" w:space="0" w:color="D9D9D9"/>
              <w:right w:val="single" w:sz="4" w:space="0" w:color="auto"/>
            </w:tcBorders>
            <w:shd w:val="clear" w:color="auto" w:fill="auto"/>
            <w:vAlign w:val="center"/>
            <w:hideMark/>
          </w:tcPr>
          <w:p w14:paraId="2294BC7F"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146</w:t>
            </w:r>
          </w:p>
        </w:tc>
        <w:tc>
          <w:tcPr>
            <w:tcW w:w="9866" w:type="dxa"/>
            <w:tcBorders>
              <w:top w:val="nil"/>
              <w:left w:val="nil"/>
              <w:bottom w:val="single" w:sz="4" w:space="0" w:color="D9D9D9"/>
            </w:tcBorders>
            <w:shd w:val="clear" w:color="auto" w:fill="auto"/>
            <w:vAlign w:val="center"/>
            <w:hideMark/>
          </w:tcPr>
          <w:p w14:paraId="3F10151A" w14:textId="77777777" w:rsidR="005F7984" w:rsidRPr="00853884" w:rsidRDefault="005F7984"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PROGRAMA DINHEIRO DIRETO NA ESCOLA - PDDE</w:t>
            </w:r>
          </w:p>
        </w:tc>
        <w:tc>
          <w:tcPr>
            <w:tcW w:w="970" w:type="dxa"/>
            <w:tcBorders>
              <w:top w:val="nil"/>
              <w:bottom w:val="nil"/>
              <w:right w:val="single" w:sz="4" w:space="0" w:color="auto"/>
            </w:tcBorders>
            <w:shd w:val="clear" w:color="auto" w:fill="auto"/>
            <w:noWrap/>
            <w:vAlign w:val="center"/>
          </w:tcPr>
          <w:p w14:paraId="67064C6D" w14:textId="77777777" w:rsidR="005F7984" w:rsidRPr="00853884" w:rsidRDefault="005F7984" w:rsidP="002315E1">
            <w:pPr>
              <w:spacing w:after="0" w:line="240" w:lineRule="auto"/>
              <w:jc w:val="center"/>
              <w:rPr>
                <w:rFonts w:ascii="Arial Narrow" w:eastAsia="Times New Roman" w:hAnsi="Arial Narrow" w:cs="Arial"/>
                <w:color w:val="FF0000"/>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77AEE476"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SDF.D523</w:t>
            </w:r>
          </w:p>
        </w:tc>
        <w:tc>
          <w:tcPr>
            <w:tcW w:w="1246" w:type="dxa"/>
            <w:tcBorders>
              <w:top w:val="nil"/>
              <w:left w:val="nil"/>
              <w:bottom w:val="nil"/>
              <w:right w:val="single" w:sz="4" w:space="0" w:color="auto"/>
            </w:tcBorders>
            <w:shd w:val="clear" w:color="auto" w:fill="auto"/>
            <w:noWrap/>
            <w:vAlign w:val="center"/>
            <w:hideMark/>
          </w:tcPr>
          <w:p w14:paraId="0B7F6E2B"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SDF.E523</w:t>
            </w:r>
          </w:p>
        </w:tc>
      </w:tr>
      <w:tr w:rsidR="005F7984" w:rsidRPr="00853884" w14:paraId="3355C06E" w14:textId="77777777" w:rsidTr="00E67116">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76675882"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147</w:t>
            </w:r>
          </w:p>
        </w:tc>
        <w:tc>
          <w:tcPr>
            <w:tcW w:w="9866" w:type="dxa"/>
            <w:tcBorders>
              <w:top w:val="nil"/>
              <w:left w:val="nil"/>
              <w:bottom w:val="single" w:sz="4" w:space="0" w:color="D9D9D9"/>
            </w:tcBorders>
            <w:shd w:val="clear" w:color="auto" w:fill="auto"/>
            <w:vAlign w:val="center"/>
            <w:hideMark/>
          </w:tcPr>
          <w:p w14:paraId="75BB7260" w14:textId="77777777" w:rsidR="005F7984" w:rsidRPr="00853884" w:rsidRDefault="005F7984"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PROGRAMA NACIONAL DE ALIMENTAÇÃO ESCOLAR - PNAE</w:t>
            </w:r>
          </w:p>
        </w:tc>
        <w:tc>
          <w:tcPr>
            <w:tcW w:w="970" w:type="dxa"/>
            <w:tcBorders>
              <w:top w:val="nil"/>
              <w:bottom w:val="nil"/>
              <w:right w:val="single" w:sz="4" w:space="0" w:color="auto"/>
            </w:tcBorders>
            <w:shd w:val="clear" w:color="auto" w:fill="auto"/>
            <w:noWrap/>
            <w:vAlign w:val="center"/>
          </w:tcPr>
          <w:p w14:paraId="331FD685" w14:textId="77777777" w:rsidR="005F7984" w:rsidRPr="00853884" w:rsidRDefault="005F7984" w:rsidP="002315E1">
            <w:pPr>
              <w:spacing w:after="0" w:line="240" w:lineRule="auto"/>
              <w:jc w:val="center"/>
              <w:rPr>
                <w:rFonts w:ascii="Arial Narrow" w:eastAsia="Times New Roman" w:hAnsi="Arial Narrow" w:cs="Arial"/>
                <w:color w:val="FF0000"/>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677579B7"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SDF.D524</w:t>
            </w:r>
          </w:p>
        </w:tc>
        <w:tc>
          <w:tcPr>
            <w:tcW w:w="1246" w:type="dxa"/>
            <w:tcBorders>
              <w:top w:val="nil"/>
              <w:left w:val="nil"/>
              <w:bottom w:val="nil"/>
              <w:right w:val="single" w:sz="4" w:space="0" w:color="auto"/>
            </w:tcBorders>
            <w:shd w:val="clear" w:color="auto" w:fill="auto"/>
            <w:noWrap/>
            <w:vAlign w:val="center"/>
            <w:hideMark/>
          </w:tcPr>
          <w:p w14:paraId="20CB53AC"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SDF.E524</w:t>
            </w:r>
          </w:p>
        </w:tc>
      </w:tr>
      <w:tr w:rsidR="005F7984" w:rsidRPr="00853884" w14:paraId="5B1D3158" w14:textId="77777777" w:rsidTr="00E67116">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7BC418B8"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148</w:t>
            </w:r>
          </w:p>
        </w:tc>
        <w:tc>
          <w:tcPr>
            <w:tcW w:w="9866" w:type="dxa"/>
            <w:tcBorders>
              <w:top w:val="nil"/>
              <w:left w:val="nil"/>
              <w:bottom w:val="single" w:sz="4" w:space="0" w:color="D9D9D9"/>
            </w:tcBorders>
            <w:shd w:val="clear" w:color="auto" w:fill="auto"/>
            <w:vAlign w:val="center"/>
            <w:hideMark/>
          </w:tcPr>
          <w:p w14:paraId="2CF5461A" w14:textId="77777777" w:rsidR="005F7984" w:rsidRPr="00853884" w:rsidRDefault="005F7984"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PROGRAMA NACIONAL DE APOIO AO TRANSPORTE  ESCOLAR - PNATE</w:t>
            </w:r>
          </w:p>
        </w:tc>
        <w:tc>
          <w:tcPr>
            <w:tcW w:w="970" w:type="dxa"/>
            <w:tcBorders>
              <w:top w:val="nil"/>
              <w:bottom w:val="nil"/>
              <w:right w:val="single" w:sz="4" w:space="0" w:color="auto"/>
            </w:tcBorders>
            <w:shd w:val="clear" w:color="auto" w:fill="auto"/>
            <w:noWrap/>
            <w:vAlign w:val="center"/>
          </w:tcPr>
          <w:p w14:paraId="588F25A4" w14:textId="77777777" w:rsidR="005F7984" w:rsidRPr="00853884" w:rsidRDefault="005F7984" w:rsidP="002315E1">
            <w:pPr>
              <w:spacing w:after="0" w:line="240" w:lineRule="auto"/>
              <w:jc w:val="center"/>
              <w:rPr>
                <w:rFonts w:ascii="Arial Narrow" w:eastAsia="Times New Roman" w:hAnsi="Arial Narrow" w:cs="Arial"/>
                <w:color w:val="FF0000"/>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06A3E863"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SDF.D525</w:t>
            </w:r>
          </w:p>
        </w:tc>
        <w:tc>
          <w:tcPr>
            <w:tcW w:w="1246" w:type="dxa"/>
            <w:tcBorders>
              <w:top w:val="nil"/>
              <w:left w:val="nil"/>
              <w:bottom w:val="nil"/>
              <w:right w:val="single" w:sz="4" w:space="0" w:color="auto"/>
            </w:tcBorders>
            <w:shd w:val="clear" w:color="auto" w:fill="auto"/>
            <w:noWrap/>
            <w:vAlign w:val="center"/>
            <w:hideMark/>
          </w:tcPr>
          <w:p w14:paraId="5916CF57"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SDF.E525</w:t>
            </w:r>
          </w:p>
        </w:tc>
      </w:tr>
      <w:tr w:rsidR="005F7984" w:rsidRPr="00853884" w14:paraId="3D80BAB8" w14:textId="77777777" w:rsidTr="00E67116">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09FAD6A9"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149</w:t>
            </w:r>
          </w:p>
        </w:tc>
        <w:tc>
          <w:tcPr>
            <w:tcW w:w="9866" w:type="dxa"/>
            <w:tcBorders>
              <w:top w:val="nil"/>
              <w:left w:val="nil"/>
              <w:bottom w:val="single" w:sz="4" w:space="0" w:color="D9D9D9"/>
            </w:tcBorders>
            <w:shd w:val="clear" w:color="auto" w:fill="auto"/>
            <w:vAlign w:val="center"/>
            <w:hideMark/>
          </w:tcPr>
          <w:p w14:paraId="7709D520" w14:textId="77777777" w:rsidR="005F7984" w:rsidRPr="00853884" w:rsidRDefault="005F7984"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PROGRAMA BRASIL ALFABETIZADO</w:t>
            </w:r>
          </w:p>
        </w:tc>
        <w:tc>
          <w:tcPr>
            <w:tcW w:w="970" w:type="dxa"/>
            <w:tcBorders>
              <w:top w:val="nil"/>
              <w:bottom w:val="nil"/>
              <w:right w:val="single" w:sz="4" w:space="0" w:color="auto"/>
            </w:tcBorders>
            <w:shd w:val="clear" w:color="auto" w:fill="auto"/>
            <w:noWrap/>
            <w:vAlign w:val="center"/>
          </w:tcPr>
          <w:p w14:paraId="4F42349F" w14:textId="77777777" w:rsidR="005F7984" w:rsidRPr="00853884" w:rsidRDefault="005F7984" w:rsidP="002315E1">
            <w:pPr>
              <w:spacing w:after="0" w:line="240" w:lineRule="auto"/>
              <w:jc w:val="center"/>
              <w:rPr>
                <w:rFonts w:ascii="Arial Narrow" w:eastAsia="Times New Roman" w:hAnsi="Arial Narrow" w:cs="Arial"/>
                <w:color w:val="FF0000"/>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39E98550"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SDF.D526</w:t>
            </w:r>
          </w:p>
        </w:tc>
        <w:tc>
          <w:tcPr>
            <w:tcW w:w="1246" w:type="dxa"/>
            <w:tcBorders>
              <w:top w:val="nil"/>
              <w:left w:val="nil"/>
              <w:bottom w:val="nil"/>
              <w:right w:val="single" w:sz="4" w:space="0" w:color="auto"/>
            </w:tcBorders>
            <w:shd w:val="clear" w:color="auto" w:fill="auto"/>
            <w:noWrap/>
            <w:vAlign w:val="center"/>
            <w:hideMark/>
          </w:tcPr>
          <w:p w14:paraId="4EAC27D3"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SDF.E526</w:t>
            </w:r>
          </w:p>
        </w:tc>
      </w:tr>
      <w:tr w:rsidR="005F7984" w:rsidRPr="00853884" w14:paraId="15D00F6F" w14:textId="77777777" w:rsidTr="00E67116">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0E88025C"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151</w:t>
            </w:r>
          </w:p>
        </w:tc>
        <w:tc>
          <w:tcPr>
            <w:tcW w:w="9866" w:type="dxa"/>
            <w:tcBorders>
              <w:top w:val="nil"/>
              <w:left w:val="nil"/>
              <w:bottom w:val="single" w:sz="4" w:space="0" w:color="D9D9D9"/>
            </w:tcBorders>
            <w:shd w:val="clear" w:color="auto" w:fill="auto"/>
            <w:vAlign w:val="center"/>
            <w:hideMark/>
          </w:tcPr>
          <w:p w14:paraId="12CF2AEA" w14:textId="77777777" w:rsidR="005F7984" w:rsidRPr="00853884" w:rsidRDefault="005F7984"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PROGRAMA DE APOIO SISTEMA DE ENSINO PARA ATENDIMENTO AO EJA</w:t>
            </w:r>
          </w:p>
        </w:tc>
        <w:tc>
          <w:tcPr>
            <w:tcW w:w="970" w:type="dxa"/>
            <w:tcBorders>
              <w:top w:val="nil"/>
              <w:bottom w:val="nil"/>
              <w:right w:val="single" w:sz="4" w:space="0" w:color="auto"/>
            </w:tcBorders>
            <w:shd w:val="clear" w:color="auto" w:fill="auto"/>
            <w:noWrap/>
            <w:vAlign w:val="center"/>
          </w:tcPr>
          <w:p w14:paraId="30ADFBEC" w14:textId="77777777" w:rsidR="005F7984" w:rsidRPr="00853884" w:rsidRDefault="005F7984" w:rsidP="002315E1">
            <w:pPr>
              <w:spacing w:after="0" w:line="240" w:lineRule="auto"/>
              <w:jc w:val="center"/>
              <w:rPr>
                <w:rFonts w:ascii="Arial Narrow" w:eastAsia="Times New Roman" w:hAnsi="Arial Narrow" w:cs="Arial"/>
                <w:color w:val="FF0000"/>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1DA646F5"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SDF.D528</w:t>
            </w:r>
          </w:p>
        </w:tc>
        <w:tc>
          <w:tcPr>
            <w:tcW w:w="1246" w:type="dxa"/>
            <w:tcBorders>
              <w:top w:val="nil"/>
              <w:left w:val="nil"/>
              <w:bottom w:val="nil"/>
              <w:right w:val="single" w:sz="4" w:space="0" w:color="auto"/>
            </w:tcBorders>
            <w:shd w:val="clear" w:color="auto" w:fill="auto"/>
            <w:noWrap/>
            <w:vAlign w:val="center"/>
            <w:hideMark/>
          </w:tcPr>
          <w:p w14:paraId="0EFCDDA7"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SDF.E528</w:t>
            </w:r>
          </w:p>
        </w:tc>
      </w:tr>
      <w:tr w:rsidR="005F7984" w:rsidRPr="00853884" w14:paraId="47358031" w14:textId="77777777" w:rsidTr="00E67116">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69ECDEE7"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152</w:t>
            </w:r>
          </w:p>
        </w:tc>
        <w:tc>
          <w:tcPr>
            <w:tcW w:w="9866" w:type="dxa"/>
            <w:tcBorders>
              <w:top w:val="nil"/>
              <w:left w:val="nil"/>
              <w:bottom w:val="single" w:sz="4" w:space="0" w:color="D9D9D9"/>
            </w:tcBorders>
            <w:shd w:val="clear" w:color="auto" w:fill="auto"/>
            <w:vAlign w:val="center"/>
            <w:hideMark/>
          </w:tcPr>
          <w:p w14:paraId="3F302BFE" w14:textId="77777777" w:rsidR="005F7984" w:rsidRPr="00853884" w:rsidRDefault="005F7984"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PROGRAMA DE FOMENTO ÀS ESCOLAS DE ENSINO MÉDIO EM TEMPO INTEGRAL</w:t>
            </w:r>
          </w:p>
        </w:tc>
        <w:tc>
          <w:tcPr>
            <w:tcW w:w="970" w:type="dxa"/>
            <w:tcBorders>
              <w:top w:val="nil"/>
              <w:bottom w:val="nil"/>
              <w:right w:val="single" w:sz="4" w:space="0" w:color="auto"/>
            </w:tcBorders>
            <w:shd w:val="clear" w:color="auto" w:fill="auto"/>
            <w:noWrap/>
            <w:vAlign w:val="center"/>
          </w:tcPr>
          <w:p w14:paraId="36149494" w14:textId="77777777" w:rsidR="005F7984" w:rsidRPr="00853884" w:rsidRDefault="005F7984" w:rsidP="002315E1">
            <w:pPr>
              <w:spacing w:after="0" w:line="240" w:lineRule="auto"/>
              <w:jc w:val="center"/>
              <w:rPr>
                <w:rFonts w:ascii="Arial Narrow" w:eastAsia="Times New Roman" w:hAnsi="Arial Narrow" w:cs="Arial"/>
                <w:color w:val="FF0000"/>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4E94BB6B"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SDF.D529</w:t>
            </w:r>
          </w:p>
        </w:tc>
        <w:tc>
          <w:tcPr>
            <w:tcW w:w="1246" w:type="dxa"/>
            <w:tcBorders>
              <w:top w:val="nil"/>
              <w:left w:val="nil"/>
              <w:bottom w:val="nil"/>
              <w:right w:val="single" w:sz="4" w:space="0" w:color="auto"/>
            </w:tcBorders>
            <w:shd w:val="clear" w:color="auto" w:fill="auto"/>
            <w:noWrap/>
            <w:vAlign w:val="center"/>
            <w:hideMark/>
          </w:tcPr>
          <w:p w14:paraId="3AE6E6EA"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SDF.E529</w:t>
            </w:r>
          </w:p>
        </w:tc>
      </w:tr>
      <w:tr w:rsidR="005F7984" w:rsidRPr="00853884" w14:paraId="64EAB492" w14:textId="77777777" w:rsidTr="00E67116">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6A83A1D4"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165</w:t>
            </w:r>
          </w:p>
        </w:tc>
        <w:tc>
          <w:tcPr>
            <w:tcW w:w="9866" w:type="dxa"/>
            <w:tcBorders>
              <w:top w:val="nil"/>
              <w:left w:val="nil"/>
              <w:bottom w:val="single" w:sz="4" w:space="0" w:color="D9D9D9"/>
            </w:tcBorders>
            <w:shd w:val="clear" w:color="auto" w:fill="auto"/>
            <w:vAlign w:val="center"/>
            <w:hideMark/>
          </w:tcPr>
          <w:p w14:paraId="56E42D89" w14:textId="77777777" w:rsidR="005F7984" w:rsidRPr="00853884" w:rsidRDefault="005F7984"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PROGRAMA NACIONAL DE ACESSO AO ENSINO TÉCNICO E EMPREGO - PRONATEC</w:t>
            </w:r>
          </w:p>
        </w:tc>
        <w:tc>
          <w:tcPr>
            <w:tcW w:w="970" w:type="dxa"/>
            <w:tcBorders>
              <w:top w:val="nil"/>
              <w:bottom w:val="nil"/>
              <w:right w:val="single" w:sz="4" w:space="0" w:color="auto"/>
            </w:tcBorders>
            <w:shd w:val="clear" w:color="auto" w:fill="auto"/>
            <w:noWrap/>
            <w:vAlign w:val="center"/>
          </w:tcPr>
          <w:p w14:paraId="0AB3D3B7" w14:textId="77777777" w:rsidR="005F7984" w:rsidRPr="00853884" w:rsidRDefault="005F7984" w:rsidP="002315E1">
            <w:pPr>
              <w:spacing w:after="0" w:line="240" w:lineRule="auto"/>
              <w:jc w:val="center"/>
              <w:rPr>
                <w:rFonts w:ascii="Arial Narrow" w:eastAsia="Times New Roman" w:hAnsi="Arial Narrow" w:cs="Arial"/>
                <w:color w:val="FF0000"/>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2FCDB905"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SDF.D538</w:t>
            </w:r>
          </w:p>
        </w:tc>
        <w:tc>
          <w:tcPr>
            <w:tcW w:w="1246" w:type="dxa"/>
            <w:tcBorders>
              <w:top w:val="nil"/>
              <w:left w:val="nil"/>
              <w:bottom w:val="nil"/>
              <w:right w:val="single" w:sz="4" w:space="0" w:color="auto"/>
            </w:tcBorders>
            <w:shd w:val="clear" w:color="auto" w:fill="auto"/>
            <w:noWrap/>
            <w:vAlign w:val="center"/>
            <w:hideMark/>
          </w:tcPr>
          <w:p w14:paraId="023FCEBC"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SDF.E538</w:t>
            </w:r>
          </w:p>
        </w:tc>
      </w:tr>
      <w:tr w:rsidR="005F7984" w:rsidRPr="00853884" w14:paraId="222A566F" w14:textId="77777777" w:rsidTr="00E67116">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1B1E40AD"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302</w:t>
            </w:r>
          </w:p>
        </w:tc>
        <w:tc>
          <w:tcPr>
            <w:tcW w:w="9866" w:type="dxa"/>
            <w:tcBorders>
              <w:top w:val="nil"/>
              <w:left w:val="nil"/>
              <w:bottom w:val="single" w:sz="4" w:space="0" w:color="D9D9D9"/>
            </w:tcBorders>
            <w:shd w:val="clear" w:color="auto" w:fill="auto"/>
            <w:vAlign w:val="center"/>
            <w:hideMark/>
          </w:tcPr>
          <w:p w14:paraId="72A3EC16" w14:textId="77777777" w:rsidR="005F7984" w:rsidRPr="00853884" w:rsidRDefault="005F7984"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SUPERÁVIT FINANCEIRO - MDE</w:t>
            </w:r>
          </w:p>
        </w:tc>
        <w:tc>
          <w:tcPr>
            <w:tcW w:w="970" w:type="dxa"/>
            <w:tcBorders>
              <w:top w:val="nil"/>
              <w:bottom w:val="nil"/>
              <w:right w:val="single" w:sz="4" w:space="0" w:color="auto"/>
            </w:tcBorders>
            <w:shd w:val="clear" w:color="auto" w:fill="auto"/>
            <w:noWrap/>
            <w:vAlign w:val="center"/>
          </w:tcPr>
          <w:p w14:paraId="15A4ED86" w14:textId="77777777" w:rsidR="005F7984" w:rsidRPr="00853884" w:rsidRDefault="005F7984" w:rsidP="002315E1">
            <w:pPr>
              <w:spacing w:after="0" w:line="240" w:lineRule="auto"/>
              <w:jc w:val="center"/>
              <w:rPr>
                <w:rFonts w:ascii="Arial Narrow" w:eastAsia="Times New Roman" w:hAnsi="Arial Narrow" w:cs="Arial"/>
                <w:color w:val="FF0000"/>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7338E5F3"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SDF.D548</w:t>
            </w:r>
          </w:p>
        </w:tc>
        <w:tc>
          <w:tcPr>
            <w:tcW w:w="1246" w:type="dxa"/>
            <w:tcBorders>
              <w:top w:val="nil"/>
              <w:left w:val="nil"/>
              <w:bottom w:val="nil"/>
              <w:right w:val="single" w:sz="4" w:space="0" w:color="auto"/>
            </w:tcBorders>
            <w:shd w:val="clear" w:color="auto" w:fill="auto"/>
            <w:noWrap/>
            <w:vAlign w:val="center"/>
            <w:hideMark/>
          </w:tcPr>
          <w:p w14:paraId="68DA84ED"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SDF.E548</w:t>
            </w:r>
          </w:p>
        </w:tc>
      </w:tr>
      <w:tr w:rsidR="005F7984" w:rsidRPr="00853884" w14:paraId="0F1511F4" w14:textId="77777777" w:rsidTr="00E67116">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4D42AE19"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313</w:t>
            </w:r>
          </w:p>
        </w:tc>
        <w:tc>
          <w:tcPr>
            <w:tcW w:w="9866" w:type="dxa"/>
            <w:tcBorders>
              <w:top w:val="nil"/>
              <w:left w:val="nil"/>
              <w:bottom w:val="single" w:sz="4" w:space="0" w:color="D9D9D9"/>
            </w:tcBorders>
            <w:shd w:val="clear" w:color="auto" w:fill="auto"/>
            <w:vAlign w:val="center"/>
            <w:hideMark/>
          </w:tcPr>
          <w:p w14:paraId="121DE3C1" w14:textId="318788C5" w:rsidR="005F7984" w:rsidRPr="00853884" w:rsidRDefault="005F7984"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 xml:space="preserve">SUPERÁVIT FINANCEIRO - FUNDEB </w:t>
            </w:r>
            <w:r w:rsidR="0055312B" w:rsidRPr="0055312B">
              <w:rPr>
                <w:rFonts w:ascii="Arial Narrow" w:eastAsia="Times New Roman" w:hAnsi="Arial Narrow" w:cs="Arial"/>
                <w:color w:val="0070C0"/>
                <w:sz w:val="16"/>
                <w:szCs w:val="16"/>
                <w:lang w:eastAsia="pt-BR"/>
              </w:rPr>
              <w:t>(70%)</w:t>
            </w:r>
            <w:r w:rsidR="0055312B">
              <w:rPr>
                <w:rFonts w:ascii="Arial Narrow" w:eastAsia="Times New Roman" w:hAnsi="Arial Narrow" w:cs="Arial"/>
                <w:sz w:val="16"/>
                <w:szCs w:val="16"/>
                <w:lang w:eastAsia="pt-BR"/>
              </w:rPr>
              <w:t xml:space="preserve"> </w:t>
            </w:r>
            <w:r w:rsidR="0055312B" w:rsidRPr="00853884">
              <w:rPr>
                <w:rFonts w:ascii="Arial Narrow" w:eastAsia="Times New Roman" w:hAnsi="Arial Narrow" w:cs="Arial"/>
                <w:sz w:val="16"/>
                <w:szCs w:val="16"/>
                <w:lang w:eastAsia="pt-BR"/>
              </w:rPr>
              <w:t xml:space="preserve"> </w:t>
            </w:r>
            <w:r w:rsidR="0055312B" w:rsidRPr="0055312B">
              <w:rPr>
                <w:rFonts w:ascii="Arial Narrow" w:eastAsia="Times New Roman" w:hAnsi="Arial Narrow" w:cs="Arial"/>
                <w:strike/>
                <w:color w:val="FF0000"/>
                <w:sz w:val="16"/>
                <w:szCs w:val="16"/>
                <w:lang w:eastAsia="pt-BR"/>
              </w:rPr>
              <w:t>(60%)</w:t>
            </w:r>
          </w:p>
        </w:tc>
        <w:tc>
          <w:tcPr>
            <w:tcW w:w="970" w:type="dxa"/>
            <w:tcBorders>
              <w:top w:val="nil"/>
              <w:bottom w:val="nil"/>
              <w:right w:val="single" w:sz="4" w:space="0" w:color="auto"/>
            </w:tcBorders>
            <w:shd w:val="clear" w:color="auto" w:fill="auto"/>
            <w:noWrap/>
            <w:vAlign w:val="center"/>
          </w:tcPr>
          <w:p w14:paraId="1FB72175" w14:textId="77777777" w:rsidR="005F7984" w:rsidRPr="00853884" w:rsidRDefault="005F7984" w:rsidP="002315E1">
            <w:pPr>
              <w:spacing w:after="0" w:line="240" w:lineRule="auto"/>
              <w:jc w:val="center"/>
              <w:rPr>
                <w:rFonts w:ascii="Arial Narrow" w:eastAsia="Times New Roman" w:hAnsi="Arial Narrow" w:cs="Arial"/>
                <w:color w:val="FF0000"/>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4F8B3DC6"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SDF.D551</w:t>
            </w:r>
          </w:p>
        </w:tc>
        <w:tc>
          <w:tcPr>
            <w:tcW w:w="1246" w:type="dxa"/>
            <w:tcBorders>
              <w:top w:val="nil"/>
              <w:left w:val="nil"/>
              <w:bottom w:val="nil"/>
              <w:right w:val="single" w:sz="4" w:space="0" w:color="auto"/>
            </w:tcBorders>
            <w:shd w:val="clear" w:color="auto" w:fill="auto"/>
            <w:noWrap/>
            <w:vAlign w:val="center"/>
            <w:hideMark/>
          </w:tcPr>
          <w:p w14:paraId="2BCDBE95"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SDF.E551</w:t>
            </w:r>
          </w:p>
        </w:tc>
      </w:tr>
      <w:tr w:rsidR="005F7984" w:rsidRPr="00853884" w14:paraId="3829D557" w14:textId="77777777" w:rsidTr="00E67116">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365E7D7B"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314</w:t>
            </w:r>
          </w:p>
        </w:tc>
        <w:tc>
          <w:tcPr>
            <w:tcW w:w="9866" w:type="dxa"/>
            <w:tcBorders>
              <w:top w:val="nil"/>
              <w:left w:val="nil"/>
              <w:bottom w:val="single" w:sz="4" w:space="0" w:color="D9D9D9"/>
            </w:tcBorders>
            <w:shd w:val="clear" w:color="auto" w:fill="auto"/>
            <w:vAlign w:val="center"/>
            <w:hideMark/>
          </w:tcPr>
          <w:p w14:paraId="6200A83B" w14:textId="04899A21" w:rsidR="005F7984" w:rsidRPr="00853884" w:rsidRDefault="005F7984"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 xml:space="preserve">SUPERÁVIT FINANCEIRO - FUNDEB </w:t>
            </w:r>
            <w:r w:rsidR="0055312B" w:rsidRPr="0055312B">
              <w:rPr>
                <w:rFonts w:ascii="Arial Narrow" w:eastAsia="Times New Roman" w:hAnsi="Arial Narrow" w:cs="Arial"/>
                <w:color w:val="0070C0"/>
                <w:sz w:val="16"/>
                <w:szCs w:val="16"/>
                <w:lang w:eastAsia="pt-BR"/>
              </w:rPr>
              <w:t>(30%)</w:t>
            </w:r>
            <w:r w:rsidR="0055312B">
              <w:rPr>
                <w:rFonts w:ascii="Arial Narrow" w:eastAsia="Times New Roman" w:hAnsi="Arial Narrow" w:cs="Arial"/>
                <w:sz w:val="16"/>
                <w:szCs w:val="16"/>
                <w:lang w:eastAsia="pt-BR"/>
              </w:rPr>
              <w:t xml:space="preserve"> </w:t>
            </w:r>
            <w:r w:rsidR="0055312B" w:rsidRPr="00853884">
              <w:rPr>
                <w:rFonts w:ascii="Arial Narrow" w:eastAsia="Times New Roman" w:hAnsi="Arial Narrow" w:cs="Arial"/>
                <w:sz w:val="16"/>
                <w:szCs w:val="16"/>
                <w:lang w:eastAsia="pt-BR"/>
              </w:rPr>
              <w:t xml:space="preserve"> </w:t>
            </w:r>
            <w:r w:rsidR="0055312B" w:rsidRPr="0055312B">
              <w:rPr>
                <w:rFonts w:ascii="Arial Narrow" w:eastAsia="Times New Roman" w:hAnsi="Arial Narrow" w:cs="Arial"/>
                <w:strike/>
                <w:color w:val="FF0000"/>
                <w:sz w:val="16"/>
                <w:szCs w:val="16"/>
                <w:lang w:eastAsia="pt-BR"/>
              </w:rPr>
              <w:t>(40%)</w:t>
            </w:r>
          </w:p>
        </w:tc>
        <w:tc>
          <w:tcPr>
            <w:tcW w:w="970" w:type="dxa"/>
            <w:tcBorders>
              <w:top w:val="nil"/>
              <w:bottom w:val="nil"/>
              <w:right w:val="single" w:sz="4" w:space="0" w:color="auto"/>
            </w:tcBorders>
            <w:shd w:val="clear" w:color="auto" w:fill="auto"/>
            <w:noWrap/>
            <w:vAlign w:val="center"/>
          </w:tcPr>
          <w:p w14:paraId="4E42C363" w14:textId="77777777" w:rsidR="005F7984" w:rsidRPr="00853884" w:rsidRDefault="005F7984" w:rsidP="002315E1">
            <w:pPr>
              <w:spacing w:after="0" w:line="240" w:lineRule="auto"/>
              <w:jc w:val="center"/>
              <w:rPr>
                <w:rFonts w:ascii="Arial Narrow" w:eastAsia="Times New Roman" w:hAnsi="Arial Narrow" w:cs="Arial"/>
                <w:color w:val="FF0000"/>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724E92A4"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SDF.D552</w:t>
            </w:r>
          </w:p>
        </w:tc>
        <w:tc>
          <w:tcPr>
            <w:tcW w:w="1246" w:type="dxa"/>
            <w:tcBorders>
              <w:top w:val="nil"/>
              <w:left w:val="nil"/>
              <w:bottom w:val="nil"/>
              <w:right w:val="single" w:sz="4" w:space="0" w:color="auto"/>
            </w:tcBorders>
            <w:shd w:val="clear" w:color="auto" w:fill="auto"/>
            <w:noWrap/>
            <w:vAlign w:val="center"/>
            <w:hideMark/>
          </w:tcPr>
          <w:p w14:paraId="4B5C8A13"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SDF.E552</w:t>
            </w:r>
          </w:p>
        </w:tc>
      </w:tr>
      <w:tr w:rsidR="005F7984" w:rsidRPr="00853884" w14:paraId="6C220FE7" w14:textId="77777777" w:rsidTr="00E67116">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37EA4DA9"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331</w:t>
            </w:r>
          </w:p>
        </w:tc>
        <w:tc>
          <w:tcPr>
            <w:tcW w:w="9866" w:type="dxa"/>
            <w:tcBorders>
              <w:top w:val="nil"/>
              <w:left w:val="nil"/>
              <w:bottom w:val="single" w:sz="4" w:space="0" w:color="D9D9D9"/>
            </w:tcBorders>
            <w:shd w:val="clear" w:color="auto" w:fill="auto"/>
            <w:vAlign w:val="center"/>
            <w:hideMark/>
          </w:tcPr>
          <w:p w14:paraId="32B22B2E" w14:textId="77777777" w:rsidR="005F7984" w:rsidRPr="00853884" w:rsidRDefault="005F7984"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SUPERÁVIT FINANCEIRO - COTA PARTE ESTADUAL DO SALÁRIO EDUCAÇÃO</w:t>
            </w:r>
          </w:p>
        </w:tc>
        <w:tc>
          <w:tcPr>
            <w:tcW w:w="970" w:type="dxa"/>
            <w:tcBorders>
              <w:top w:val="nil"/>
              <w:bottom w:val="nil"/>
              <w:right w:val="single" w:sz="4" w:space="0" w:color="auto"/>
            </w:tcBorders>
            <w:shd w:val="clear" w:color="auto" w:fill="auto"/>
            <w:noWrap/>
            <w:vAlign w:val="center"/>
          </w:tcPr>
          <w:p w14:paraId="782F54EE" w14:textId="77777777" w:rsidR="005F7984" w:rsidRPr="00853884" w:rsidRDefault="005F7984" w:rsidP="002315E1">
            <w:pPr>
              <w:spacing w:after="0" w:line="240" w:lineRule="auto"/>
              <w:jc w:val="center"/>
              <w:rPr>
                <w:rFonts w:ascii="Arial Narrow" w:eastAsia="Times New Roman" w:hAnsi="Arial Narrow" w:cs="Arial"/>
                <w:color w:val="FF0000"/>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4ADA2AC4"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SDF.D555</w:t>
            </w:r>
          </w:p>
        </w:tc>
        <w:tc>
          <w:tcPr>
            <w:tcW w:w="1246" w:type="dxa"/>
            <w:tcBorders>
              <w:top w:val="nil"/>
              <w:left w:val="nil"/>
              <w:bottom w:val="nil"/>
              <w:right w:val="single" w:sz="4" w:space="0" w:color="auto"/>
            </w:tcBorders>
            <w:shd w:val="clear" w:color="auto" w:fill="auto"/>
            <w:noWrap/>
            <w:vAlign w:val="center"/>
            <w:hideMark/>
          </w:tcPr>
          <w:p w14:paraId="2EA7883B"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SDF.E555</w:t>
            </w:r>
          </w:p>
        </w:tc>
      </w:tr>
      <w:tr w:rsidR="005F7984" w:rsidRPr="00853884" w14:paraId="49D9B459" w14:textId="77777777" w:rsidTr="00E67116">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71C91444"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346</w:t>
            </w:r>
          </w:p>
        </w:tc>
        <w:tc>
          <w:tcPr>
            <w:tcW w:w="9866" w:type="dxa"/>
            <w:tcBorders>
              <w:top w:val="nil"/>
              <w:left w:val="nil"/>
              <w:bottom w:val="single" w:sz="4" w:space="0" w:color="D9D9D9"/>
            </w:tcBorders>
            <w:shd w:val="clear" w:color="auto" w:fill="auto"/>
            <w:vAlign w:val="center"/>
            <w:hideMark/>
          </w:tcPr>
          <w:p w14:paraId="4A1B5E94" w14:textId="77777777" w:rsidR="005F7984" w:rsidRPr="00853884" w:rsidRDefault="005F7984"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SUPERÁVIT FINANCEIRO - PROGRAMA DINHEIRO DIRETO NA ESCOLA - PDDE</w:t>
            </w:r>
          </w:p>
        </w:tc>
        <w:tc>
          <w:tcPr>
            <w:tcW w:w="970" w:type="dxa"/>
            <w:tcBorders>
              <w:top w:val="nil"/>
              <w:bottom w:val="nil"/>
              <w:right w:val="single" w:sz="4" w:space="0" w:color="auto"/>
            </w:tcBorders>
            <w:shd w:val="clear" w:color="auto" w:fill="auto"/>
            <w:noWrap/>
            <w:vAlign w:val="center"/>
          </w:tcPr>
          <w:p w14:paraId="17082092" w14:textId="77777777" w:rsidR="005F7984" w:rsidRPr="00853884" w:rsidRDefault="005F7984" w:rsidP="002315E1">
            <w:pPr>
              <w:spacing w:after="0" w:line="240" w:lineRule="auto"/>
              <w:jc w:val="center"/>
              <w:rPr>
                <w:rFonts w:ascii="Arial Narrow" w:eastAsia="Times New Roman" w:hAnsi="Arial Narrow" w:cs="Arial"/>
                <w:color w:val="FF0000"/>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2DD63B7C"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SDF.D567</w:t>
            </w:r>
          </w:p>
        </w:tc>
        <w:tc>
          <w:tcPr>
            <w:tcW w:w="1246" w:type="dxa"/>
            <w:tcBorders>
              <w:top w:val="nil"/>
              <w:left w:val="nil"/>
              <w:bottom w:val="nil"/>
              <w:right w:val="single" w:sz="4" w:space="0" w:color="auto"/>
            </w:tcBorders>
            <w:shd w:val="clear" w:color="auto" w:fill="auto"/>
            <w:noWrap/>
            <w:vAlign w:val="center"/>
            <w:hideMark/>
          </w:tcPr>
          <w:p w14:paraId="0EB4D19A"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SDF.E567</w:t>
            </w:r>
          </w:p>
        </w:tc>
      </w:tr>
      <w:tr w:rsidR="005F7984" w:rsidRPr="00853884" w14:paraId="15B4A6A4" w14:textId="77777777" w:rsidTr="00E67116">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3FE88509"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347</w:t>
            </w:r>
          </w:p>
        </w:tc>
        <w:tc>
          <w:tcPr>
            <w:tcW w:w="9866" w:type="dxa"/>
            <w:tcBorders>
              <w:top w:val="nil"/>
              <w:left w:val="nil"/>
              <w:bottom w:val="single" w:sz="4" w:space="0" w:color="D9D9D9"/>
            </w:tcBorders>
            <w:shd w:val="clear" w:color="auto" w:fill="auto"/>
            <w:vAlign w:val="center"/>
            <w:hideMark/>
          </w:tcPr>
          <w:p w14:paraId="564487C7" w14:textId="77777777" w:rsidR="005F7984" w:rsidRPr="00853884" w:rsidRDefault="005F7984"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SUPERÁVIT FINANCEIRO - PROGRAMA NACIONAL DE ALIMENTAÇÃO ESCOLAR - PNAE</w:t>
            </w:r>
          </w:p>
        </w:tc>
        <w:tc>
          <w:tcPr>
            <w:tcW w:w="970" w:type="dxa"/>
            <w:tcBorders>
              <w:top w:val="nil"/>
              <w:bottom w:val="nil"/>
              <w:right w:val="single" w:sz="4" w:space="0" w:color="auto"/>
            </w:tcBorders>
            <w:shd w:val="clear" w:color="auto" w:fill="auto"/>
            <w:noWrap/>
            <w:vAlign w:val="center"/>
          </w:tcPr>
          <w:p w14:paraId="1E19D182" w14:textId="77777777" w:rsidR="005F7984" w:rsidRPr="00853884" w:rsidRDefault="005F7984" w:rsidP="002315E1">
            <w:pPr>
              <w:spacing w:after="0" w:line="240" w:lineRule="auto"/>
              <w:jc w:val="center"/>
              <w:rPr>
                <w:rFonts w:ascii="Arial Narrow" w:eastAsia="Times New Roman" w:hAnsi="Arial Narrow" w:cs="Arial"/>
                <w:color w:val="FF0000"/>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5F873780"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SDF.D568</w:t>
            </w:r>
          </w:p>
        </w:tc>
        <w:tc>
          <w:tcPr>
            <w:tcW w:w="1246" w:type="dxa"/>
            <w:tcBorders>
              <w:top w:val="nil"/>
              <w:left w:val="nil"/>
              <w:bottom w:val="nil"/>
              <w:right w:val="single" w:sz="4" w:space="0" w:color="auto"/>
            </w:tcBorders>
            <w:shd w:val="clear" w:color="auto" w:fill="auto"/>
            <w:noWrap/>
            <w:vAlign w:val="center"/>
            <w:hideMark/>
          </w:tcPr>
          <w:p w14:paraId="61690A15"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SDF.E568</w:t>
            </w:r>
          </w:p>
        </w:tc>
      </w:tr>
      <w:tr w:rsidR="005F7984" w:rsidRPr="00853884" w14:paraId="3D9817B2" w14:textId="77777777" w:rsidTr="00E67116">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4E69A157"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348</w:t>
            </w:r>
          </w:p>
        </w:tc>
        <w:tc>
          <w:tcPr>
            <w:tcW w:w="9866" w:type="dxa"/>
            <w:tcBorders>
              <w:top w:val="nil"/>
              <w:left w:val="nil"/>
              <w:bottom w:val="single" w:sz="4" w:space="0" w:color="D9D9D9"/>
            </w:tcBorders>
            <w:shd w:val="clear" w:color="auto" w:fill="auto"/>
            <w:vAlign w:val="center"/>
            <w:hideMark/>
          </w:tcPr>
          <w:p w14:paraId="455F768C" w14:textId="77777777" w:rsidR="005F7984" w:rsidRPr="00853884" w:rsidRDefault="005F7984"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SUPERÁVIT FINANCEIRO - PROGRAMA NACIONAL DE APOIO AO TRANSPORTE ESCOLAR - PNATE</w:t>
            </w:r>
          </w:p>
        </w:tc>
        <w:tc>
          <w:tcPr>
            <w:tcW w:w="970" w:type="dxa"/>
            <w:tcBorders>
              <w:top w:val="nil"/>
              <w:bottom w:val="nil"/>
              <w:right w:val="single" w:sz="4" w:space="0" w:color="auto"/>
            </w:tcBorders>
            <w:shd w:val="clear" w:color="auto" w:fill="auto"/>
            <w:noWrap/>
            <w:vAlign w:val="center"/>
          </w:tcPr>
          <w:p w14:paraId="7A53C0EE" w14:textId="77777777" w:rsidR="005F7984" w:rsidRPr="00853884" w:rsidRDefault="005F7984" w:rsidP="002315E1">
            <w:pPr>
              <w:spacing w:after="0" w:line="240" w:lineRule="auto"/>
              <w:jc w:val="center"/>
              <w:rPr>
                <w:rFonts w:ascii="Arial Narrow" w:eastAsia="Times New Roman" w:hAnsi="Arial Narrow" w:cs="Arial"/>
                <w:color w:val="FF0000"/>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7A1D7620"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SDF.D569</w:t>
            </w:r>
          </w:p>
        </w:tc>
        <w:tc>
          <w:tcPr>
            <w:tcW w:w="1246" w:type="dxa"/>
            <w:tcBorders>
              <w:top w:val="nil"/>
              <w:left w:val="nil"/>
              <w:bottom w:val="nil"/>
              <w:right w:val="single" w:sz="4" w:space="0" w:color="auto"/>
            </w:tcBorders>
            <w:shd w:val="clear" w:color="auto" w:fill="auto"/>
            <w:noWrap/>
            <w:vAlign w:val="center"/>
            <w:hideMark/>
          </w:tcPr>
          <w:p w14:paraId="574999A4"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SDF.E569</w:t>
            </w:r>
          </w:p>
        </w:tc>
      </w:tr>
      <w:tr w:rsidR="005F7984" w:rsidRPr="00853884" w14:paraId="42414082" w14:textId="77777777" w:rsidTr="00E67116">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0ED1EFD1"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lastRenderedPageBreak/>
              <w:t>349</w:t>
            </w:r>
          </w:p>
        </w:tc>
        <w:tc>
          <w:tcPr>
            <w:tcW w:w="9866" w:type="dxa"/>
            <w:tcBorders>
              <w:top w:val="nil"/>
              <w:left w:val="nil"/>
              <w:bottom w:val="single" w:sz="4" w:space="0" w:color="D9D9D9"/>
            </w:tcBorders>
            <w:shd w:val="clear" w:color="auto" w:fill="auto"/>
            <w:vAlign w:val="center"/>
            <w:hideMark/>
          </w:tcPr>
          <w:p w14:paraId="26E9EAD6" w14:textId="77777777" w:rsidR="005F7984" w:rsidRPr="00853884" w:rsidRDefault="005F7984"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SUPERÁVIT FINANCEIRO - PROGRAMA BRASIL ALFABETIZADO</w:t>
            </w:r>
          </w:p>
        </w:tc>
        <w:tc>
          <w:tcPr>
            <w:tcW w:w="970" w:type="dxa"/>
            <w:tcBorders>
              <w:top w:val="nil"/>
              <w:bottom w:val="nil"/>
              <w:right w:val="single" w:sz="4" w:space="0" w:color="auto"/>
            </w:tcBorders>
            <w:shd w:val="clear" w:color="auto" w:fill="auto"/>
            <w:noWrap/>
            <w:vAlign w:val="center"/>
          </w:tcPr>
          <w:p w14:paraId="76E2D946" w14:textId="77777777" w:rsidR="005F7984" w:rsidRPr="00853884" w:rsidRDefault="005F7984" w:rsidP="002315E1">
            <w:pPr>
              <w:spacing w:after="0" w:line="240" w:lineRule="auto"/>
              <w:jc w:val="center"/>
              <w:rPr>
                <w:rFonts w:ascii="Arial Narrow" w:eastAsia="Times New Roman" w:hAnsi="Arial Narrow" w:cs="Arial"/>
                <w:color w:val="FF0000"/>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77B641D8"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SDF.D570</w:t>
            </w:r>
          </w:p>
        </w:tc>
        <w:tc>
          <w:tcPr>
            <w:tcW w:w="1246" w:type="dxa"/>
            <w:tcBorders>
              <w:top w:val="nil"/>
              <w:left w:val="nil"/>
              <w:bottom w:val="nil"/>
              <w:right w:val="single" w:sz="4" w:space="0" w:color="auto"/>
            </w:tcBorders>
            <w:shd w:val="clear" w:color="auto" w:fill="auto"/>
            <w:noWrap/>
            <w:vAlign w:val="center"/>
            <w:hideMark/>
          </w:tcPr>
          <w:p w14:paraId="2608FF92"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SDF.E570</w:t>
            </w:r>
          </w:p>
        </w:tc>
      </w:tr>
      <w:tr w:rsidR="005F7984" w:rsidRPr="00853884" w14:paraId="5A9AC6AB" w14:textId="77777777" w:rsidTr="00E67116">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5C54851B"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351</w:t>
            </w:r>
          </w:p>
        </w:tc>
        <w:tc>
          <w:tcPr>
            <w:tcW w:w="9866" w:type="dxa"/>
            <w:tcBorders>
              <w:top w:val="nil"/>
              <w:left w:val="nil"/>
              <w:bottom w:val="single" w:sz="4" w:space="0" w:color="D9D9D9"/>
            </w:tcBorders>
            <w:shd w:val="clear" w:color="auto" w:fill="auto"/>
            <w:vAlign w:val="center"/>
            <w:hideMark/>
          </w:tcPr>
          <w:p w14:paraId="31833A65" w14:textId="77777777" w:rsidR="005F7984" w:rsidRPr="00853884" w:rsidRDefault="005F7984"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SUPERÁVIT FINANCEIRO - PROGRAMA DE APOIO SISTEMA DE ENSINO PARA ATENDIMENTO AO EJA</w:t>
            </w:r>
          </w:p>
        </w:tc>
        <w:tc>
          <w:tcPr>
            <w:tcW w:w="970" w:type="dxa"/>
            <w:tcBorders>
              <w:top w:val="nil"/>
              <w:bottom w:val="nil"/>
              <w:right w:val="single" w:sz="4" w:space="0" w:color="auto"/>
            </w:tcBorders>
            <w:shd w:val="clear" w:color="auto" w:fill="auto"/>
            <w:noWrap/>
            <w:vAlign w:val="center"/>
          </w:tcPr>
          <w:p w14:paraId="12640983" w14:textId="77777777" w:rsidR="005F7984" w:rsidRPr="00853884" w:rsidRDefault="005F7984" w:rsidP="002315E1">
            <w:pPr>
              <w:spacing w:after="0" w:line="240" w:lineRule="auto"/>
              <w:jc w:val="center"/>
              <w:rPr>
                <w:rFonts w:ascii="Arial Narrow" w:eastAsia="Times New Roman" w:hAnsi="Arial Narrow" w:cs="Arial"/>
                <w:color w:val="FF0000"/>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22CDB1BF"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SDF.D572</w:t>
            </w:r>
          </w:p>
        </w:tc>
        <w:tc>
          <w:tcPr>
            <w:tcW w:w="1246" w:type="dxa"/>
            <w:tcBorders>
              <w:top w:val="nil"/>
              <w:left w:val="nil"/>
              <w:bottom w:val="nil"/>
              <w:right w:val="single" w:sz="4" w:space="0" w:color="auto"/>
            </w:tcBorders>
            <w:shd w:val="clear" w:color="auto" w:fill="auto"/>
            <w:noWrap/>
            <w:vAlign w:val="center"/>
            <w:hideMark/>
          </w:tcPr>
          <w:p w14:paraId="4828A6FB"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SDF.E572</w:t>
            </w:r>
          </w:p>
        </w:tc>
      </w:tr>
      <w:tr w:rsidR="005F7984" w:rsidRPr="00853884" w14:paraId="003DB92E" w14:textId="77777777" w:rsidTr="00E67116">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7EC48601"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352</w:t>
            </w:r>
          </w:p>
        </w:tc>
        <w:tc>
          <w:tcPr>
            <w:tcW w:w="9866" w:type="dxa"/>
            <w:tcBorders>
              <w:top w:val="nil"/>
              <w:left w:val="nil"/>
              <w:bottom w:val="single" w:sz="4" w:space="0" w:color="D9D9D9"/>
            </w:tcBorders>
            <w:shd w:val="clear" w:color="auto" w:fill="auto"/>
            <w:vAlign w:val="center"/>
            <w:hideMark/>
          </w:tcPr>
          <w:p w14:paraId="5455C62E" w14:textId="77777777" w:rsidR="005F7984" w:rsidRPr="00853884" w:rsidRDefault="005F7984"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SUPERÁVIT FINANCEIRO -  PROGRAMA DE FOMENTO ÀS ESCOLAS DE ENSINO MÉDIO EM TEMPO INTEGRAL</w:t>
            </w:r>
          </w:p>
        </w:tc>
        <w:tc>
          <w:tcPr>
            <w:tcW w:w="970" w:type="dxa"/>
            <w:tcBorders>
              <w:top w:val="nil"/>
              <w:bottom w:val="nil"/>
              <w:right w:val="single" w:sz="4" w:space="0" w:color="auto"/>
            </w:tcBorders>
            <w:shd w:val="clear" w:color="auto" w:fill="auto"/>
            <w:noWrap/>
            <w:vAlign w:val="center"/>
          </w:tcPr>
          <w:p w14:paraId="79A0A940" w14:textId="77777777" w:rsidR="005F7984" w:rsidRPr="00853884" w:rsidRDefault="005F7984" w:rsidP="002315E1">
            <w:pPr>
              <w:spacing w:after="0" w:line="240" w:lineRule="auto"/>
              <w:jc w:val="center"/>
              <w:rPr>
                <w:rFonts w:ascii="Arial Narrow" w:eastAsia="Times New Roman" w:hAnsi="Arial Narrow" w:cs="Arial"/>
                <w:color w:val="FF0000"/>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2389F496"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SDF.D573</w:t>
            </w:r>
          </w:p>
        </w:tc>
        <w:tc>
          <w:tcPr>
            <w:tcW w:w="1246" w:type="dxa"/>
            <w:tcBorders>
              <w:top w:val="nil"/>
              <w:left w:val="nil"/>
              <w:bottom w:val="nil"/>
              <w:right w:val="single" w:sz="4" w:space="0" w:color="auto"/>
            </w:tcBorders>
            <w:shd w:val="clear" w:color="auto" w:fill="auto"/>
            <w:noWrap/>
            <w:vAlign w:val="center"/>
            <w:hideMark/>
          </w:tcPr>
          <w:p w14:paraId="7E78ED8A"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SDF.E573</w:t>
            </w:r>
          </w:p>
        </w:tc>
      </w:tr>
      <w:tr w:rsidR="005F7984" w:rsidRPr="00853884" w14:paraId="27362F46" w14:textId="77777777" w:rsidTr="00E67116">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5AF5B881"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365</w:t>
            </w:r>
          </w:p>
        </w:tc>
        <w:tc>
          <w:tcPr>
            <w:tcW w:w="9866" w:type="dxa"/>
            <w:tcBorders>
              <w:top w:val="nil"/>
              <w:left w:val="nil"/>
              <w:bottom w:val="single" w:sz="4" w:space="0" w:color="D9D9D9"/>
            </w:tcBorders>
            <w:shd w:val="clear" w:color="auto" w:fill="auto"/>
            <w:vAlign w:val="center"/>
            <w:hideMark/>
          </w:tcPr>
          <w:p w14:paraId="1FB41FCF" w14:textId="77777777" w:rsidR="005F7984" w:rsidRPr="00853884" w:rsidRDefault="005F7984"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SUPERÁVIT FINANCEIRO - PRONATEC</w:t>
            </w:r>
          </w:p>
        </w:tc>
        <w:tc>
          <w:tcPr>
            <w:tcW w:w="970" w:type="dxa"/>
            <w:tcBorders>
              <w:top w:val="nil"/>
              <w:bottom w:val="nil"/>
              <w:right w:val="single" w:sz="4" w:space="0" w:color="auto"/>
            </w:tcBorders>
            <w:shd w:val="clear" w:color="auto" w:fill="auto"/>
            <w:noWrap/>
            <w:vAlign w:val="center"/>
          </w:tcPr>
          <w:p w14:paraId="5C34FC20" w14:textId="77777777" w:rsidR="005F7984" w:rsidRPr="00853884" w:rsidRDefault="005F7984" w:rsidP="002315E1">
            <w:pPr>
              <w:spacing w:after="0" w:line="240" w:lineRule="auto"/>
              <w:jc w:val="center"/>
              <w:rPr>
                <w:rFonts w:ascii="Arial Narrow" w:eastAsia="Times New Roman" w:hAnsi="Arial Narrow" w:cs="Arial"/>
                <w:color w:val="FF0000"/>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77B92CBE"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SDF.D582</w:t>
            </w:r>
          </w:p>
        </w:tc>
        <w:tc>
          <w:tcPr>
            <w:tcW w:w="1246" w:type="dxa"/>
            <w:tcBorders>
              <w:top w:val="nil"/>
              <w:left w:val="nil"/>
              <w:bottom w:val="nil"/>
              <w:right w:val="single" w:sz="4" w:space="0" w:color="auto"/>
            </w:tcBorders>
            <w:shd w:val="clear" w:color="auto" w:fill="auto"/>
            <w:noWrap/>
            <w:vAlign w:val="center"/>
            <w:hideMark/>
          </w:tcPr>
          <w:p w14:paraId="15F65C0E"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SDF.E582</w:t>
            </w:r>
          </w:p>
        </w:tc>
      </w:tr>
      <w:tr w:rsidR="005F7984" w:rsidRPr="00853884" w14:paraId="12D67B29" w14:textId="77777777" w:rsidTr="00E67116">
        <w:trPr>
          <w:trHeight w:val="302"/>
        </w:trPr>
        <w:tc>
          <w:tcPr>
            <w:tcW w:w="938" w:type="dxa"/>
            <w:tcBorders>
              <w:top w:val="nil"/>
              <w:left w:val="single" w:sz="4" w:space="0" w:color="auto"/>
              <w:bottom w:val="nil"/>
              <w:right w:val="single" w:sz="4" w:space="0" w:color="auto"/>
            </w:tcBorders>
            <w:shd w:val="clear" w:color="auto" w:fill="auto"/>
            <w:noWrap/>
            <w:vAlign w:val="center"/>
            <w:hideMark/>
          </w:tcPr>
          <w:p w14:paraId="64C04E05" w14:textId="77777777" w:rsidR="005F7984" w:rsidRPr="00853884" w:rsidRDefault="005F7984" w:rsidP="002315E1">
            <w:pPr>
              <w:spacing w:after="0" w:line="240" w:lineRule="auto"/>
              <w:jc w:val="center"/>
              <w:rPr>
                <w:rFonts w:ascii="Arial Narrow" w:eastAsia="Times New Roman" w:hAnsi="Arial Narrow" w:cs="Calibri"/>
                <w:sz w:val="16"/>
                <w:szCs w:val="16"/>
                <w:lang w:eastAsia="pt-BR"/>
              </w:rPr>
            </w:pPr>
            <w:r w:rsidRPr="00853884">
              <w:rPr>
                <w:rFonts w:ascii="Arial Narrow" w:eastAsia="Times New Roman" w:hAnsi="Arial Narrow" w:cs="Calibri"/>
                <w:sz w:val="16"/>
                <w:szCs w:val="16"/>
                <w:lang w:eastAsia="pt-BR"/>
              </w:rPr>
              <w:t> </w:t>
            </w:r>
          </w:p>
        </w:tc>
        <w:tc>
          <w:tcPr>
            <w:tcW w:w="9866" w:type="dxa"/>
            <w:tcBorders>
              <w:top w:val="nil"/>
              <w:left w:val="nil"/>
              <w:bottom w:val="nil"/>
            </w:tcBorders>
            <w:shd w:val="clear" w:color="auto" w:fill="auto"/>
            <w:noWrap/>
            <w:vAlign w:val="center"/>
            <w:hideMark/>
          </w:tcPr>
          <w:p w14:paraId="407DFB7F" w14:textId="77777777" w:rsidR="005F7984" w:rsidRPr="00853884" w:rsidRDefault="005F7984" w:rsidP="002315E1">
            <w:pPr>
              <w:spacing w:after="0" w:line="240" w:lineRule="auto"/>
              <w:rPr>
                <w:rFonts w:ascii="Arial Narrow" w:eastAsia="Times New Roman" w:hAnsi="Arial Narrow" w:cs="Arial"/>
                <w:b/>
                <w:bCs/>
                <w:sz w:val="16"/>
                <w:szCs w:val="16"/>
                <w:lang w:eastAsia="pt-BR"/>
              </w:rPr>
            </w:pPr>
            <w:r w:rsidRPr="00853884">
              <w:rPr>
                <w:rFonts w:ascii="Arial Narrow" w:eastAsia="Times New Roman" w:hAnsi="Arial Narrow" w:cs="Arial"/>
                <w:b/>
                <w:bCs/>
                <w:sz w:val="16"/>
                <w:szCs w:val="16"/>
                <w:lang w:eastAsia="pt-BR"/>
              </w:rPr>
              <w:t xml:space="preserve">  RECURSOS VINCULADOS À SAÚDE</w:t>
            </w:r>
          </w:p>
        </w:tc>
        <w:tc>
          <w:tcPr>
            <w:tcW w:w="970" w:type="dxa"/>
            <w:tcBorders>
              <w:top w:val="nil"/>
              <w:bottom w:val="nil"/>
              <w:right w:val="single" w:sz="4" w:space="0" w:color="auto"/>
            </w:tcBorders>
            <w:shd w:val="clear" w:color="auto" w:fill="auto"/>
            <w:noWrap/>
            <w:vAlign w:val="center"/>
          </w:tcPr>
          <w:p w14:paraId="3C25FD45" w14:textId="77777777" w:rsidR="005F7984" w:rsidRPr="00853884" w:rsidRDefault="005F7984" w:rsidP="002315E1">
            <w:pPr>
              <w:spacing w:after="0" w:line="240" w:lineRule="auto"/>
              <w:jc w:val="center"/>
              <w:rPr>
                <w:rFonts w:ascii="Arial Narrow" w:eastAsia="Times New Roman" w:hAnsi="Arial Narrow" w:cs="Arial"/>
                <w:b/>
                <w:bCs/>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18721A82" w14:textId="77777777" w:rsidR="005F7984" w:rsidRPr="00853884" w:rsidRDefault="005F7984" w:rsidP="002315E1">
            <w:pPr>
              <w:spacing w:after="0" w:line="240" w:lineRule="auto"/>
              <w:jc w:val="center"/>
              <w:rPr>
                <w:rFonts w:ascii="Arial Narrow" w:eastAsia="Times New Roman" w:hAnsi="Arial Narrow" w:cs="Arial"/>
                <w:b/>
                <w:bCs/>
                <w:sz w:val="16"/>
                <w:szCs w:val="16"/>
                <w:lang w:eastAsia="pt-BR"/>
              </w:rPr>
            </w:pPr>
            <w:r w:rsidRPr="00853884">
              <w:rPr>
                <w:rFonts w:ascii="Arial Narrow" w:eastAsia="Times New Roman" w:hAnsi="Arial Narrow" w:cs="Arial"/>
                <w:b/>
                <w:bCs/>
                <w:sz w:val="16"/>
                <w:szCs w:val="16"/>
                <w:lang w:eastAsia="pt-BR"/>
              </w:rPr>
              <w:t>SDF.D078</w:t>
            </w:r>
          </w:p>
        </w:tc>
        <w:tc>
          <w:tcPr>
            <w:tcW w:w="1246" w:type="dxa"/>
            <w:tcBorders>
              <w:top w:val="nil"/>
              <w:left w:val="nil"/>
              <w:bottom w:val="nil"/>
              <w:right w:val="single" w:sz="4" w:space="0" w:color="auto"/>
            </w:tcBorders>
            <w:shd w:val="clear" w:color="auto" w:fill="auto"/>
            <w:noWrap/>
            <w:vAlign w:val="center"/>
            <w:hideMark/>
          </w:tcPr>
          <w:p w14:paraId="6C6FA9EB" w14:textId="77777777" w:rsidR="005F7984" w:rsidRPr="00853884" w:rsidRDefault="005F7984" w:rsidP="002315E1">
            <w:pPr>
              <w:spacing w:after="0" w:line="240" w:lineRule="auto"/>
              <w:jc w:val="center"/>
              <w:rPr>
                <w:rFonts w:ascii="Arial Narrow" w:eastAsia="Times New Roman" w:hAnsi="Arial Narrow" w:cs="Arial"/>
                <w:b/>
                <w:bCs/>
                <w:sz w:val="16"/>
                <w:szCs w:val="16"/>
                <w:lang w:eastAsia="pt-BR"/>
              </w:rPr>
            </w:pPr>
            <w:r w:rsidRPr="00853884">
              <w:rPr>
                <w:rFonts w:ascii="Arial Narrow" w:eastAsia="Times New Roman" w:hAnsi="Arial Narrow" w:cs="Arial"/>
                <w:b/>
                <w:bCs/>
                <w:sz w:val="16"/>
                <w:szCs w:val="16"/>
                <w:lang w:eastAsia="pt-BR"/>
              </w:rPr>
              <w:t>SDF.E078</w:t>
            </w:r>
          </w:p>
        </w:tc>
      </w:tr>
      <w:tr w:rsidR="005F7984" w:rsidRPr="00853884" w14:paraId="38A40070" w14:textId="77777777" w:rsidTr="00E67116">
        <w:trPr>
          <w:trHeight w:val="302"/>
        </w:trPr>
        <w:tc>
          <w:tcPr>
            <w:tcW w:w="938" w:type="dxa"/>
            <w:tcBorders>
              <w:top w:val="single" w:sz="4" w:space="0" w:color="D9D9D9"/>
              <w:left w:val="single" w:sz="4" w:space="0" w:color="auto"/>
              <w:bottom w:val="single" w:sz="4" w:space="0" w:color="D9D9D9"/>
              <w:right w:val="single" w:sz="4" w:space="0" w:color="auto"/>
            </w:tcBorders>
            <w:shd w:val="clear" w:color="auto" w:fill="auto"/>
            <w:vAlign w:val="center"/>
            <w:hideMark/>
          </w:tcPr>
          <w:p w14:paraId="493F7ED4" w14:textId="77777777" w:rsidR="005F7984" w:rsidRPr="00853884" w:rsidRDefault="005F7984" w:rsidP="002315E1">
            <w:pPr>
              <w:spacing w:after="0" w:line="240" w:lineRule="auto"/>
              <w:jc w:val="center"/>
              <w:rPr>
                <w:rFonts w:ascii="Arial Narrow" w:eastAsia="Times New Roman" w:hAnsi="Arial Narrow" w:cs="Calibri"/>
                <w:sz w:val="16"/>
                <w:szCs w:val="16"/>
                <w:lang w:eastAsia="pt-BR"/>
              </w:rPr>
            </w:pPr>
            <w:r w:rsidRPr="00853884">
              <w:rPr>
                <w:rFonts w:ascii="Arial Narrow" w:eastAsia="Times New Roman" w:hAnsi="Arial Narrow" w:cs="Calibri"/>
                <w:sz w:val="16"/>
                <w:szCs w:val="16"/>
                <w:lang w:eastAsia="pt-BR"/>
              </w:rPr>
              <w:t>104</w:t>
            </w:r>
          </w:p>
        </w:tc>
        <w:tc>
          <w:tcPr>
            <w:tcW w:w="9866" w:type="dxa"/>
            <w:tcBorders>
              <w:top w:val="single" w:sz="4" w:space="0" w:color="D9D9D9"/>
              <w:left w:val="nil"/>
              <w:bottom w:val="single" w:sz="4" w:space="0" w:color="D9D9D9"/>
            </w:tcBorders>
            <w:shd w:val="clear" w:color="auto" w:fill="auto"/>
            <w:vAlign w:val="center"/>
            <w:hideMark/>
          </w:tcPr>
          <w:p w14:paraId="23F167EE" w14:textId="77777777" w:rsidR="005F7984" w:rsidRPr="00853884" w:rsidRDefault="005F7984" w:rsidP="002315E1">
            <w:pPr>
              <w:spacing w:after="0" w:line="240" w:lineRule="auto"/>
              <w:rPr>
                <w:rFonts w:ascii="Arial Narrow" w:eastAsia="Times New Roman" w:hAnsi="Arial Narrow" w:cs="Calibri"/>
                <w:sz w:val="16"/>
                <w:szCs w:val="16"/>
                <w:lang w:eastAsia="pt-BR"/>
              </w:rPr>
            </w:pPr>
            <w:r w:rsidRPr="00853884">
              <w:rPr>
                <w:rFonts w:ascii="Arial Narrow" w:eastAsia="Times New Roman" w:hAnsi="Arial Narrow" w:cs="Calibri"/>
                <w:sz w:val="16"/>
                <w:szCs w:val="16"/>
                <w:lang w:eastAsia="pt-BR"/>
              </w:rPr>
              <w:t>AÇÕES E SERVIÇOS DE SAÚDE</w:t>
            </w:r>
          </w:p>
        </w:tc>
        <w:tc>
          <w:tcPr>
            <w:tcW w:w="970" w:type="dxa"/>
            <w:tcBorders>
              <w:top w:val="nil"/>
              <w:bottom w:val="nil"/>
              <w:right w:val="single" w:sz="4" w:space="0" w:color="auto"/>
            </w:tcBorders>
            <w:shd w:val="clear" w:color="auto" w:fill="auto"/>
            <w:noWrap/>
            <w:vAlign w:val="center"/>
          </w:tcPr>
          <w:p w14:paraId="7F2CD1ED" w14:textId="77777777" w:rsidR="005F7984" w:rsidRPr="00853884" w:rsidRDefault="005F7984" w:rsidP="002315E1">
            <w:pPr>
              <w:spacing w:after="0" w:line="240" w:lineRule="auto"/>
              <w:jc w:val="center"/>
              <w:rPr>
                <w:rFonts w:ascii="Arial Narrow" w:eastAsia="Times New Roman" w:hAnsi="Arial Narrow" w:cs="Calibri"/>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757E6156"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SDF.D505</w:t>
            </w:r>
          </w:p>
        </w:tc>
        <w:tc>
          <w:tcPr>
            <w:tcW w:w="1246" w:type="dxa"/>
            <w:tcBorders>
              <w:top w:val="nil"/>
              <w:left w:val="nil"/>
              <w:bottom w:val="nil"/>
              <w:right w:val="single" w:sz="4" w:space="0" w:color="auto"/>
            </w:tcBorders>
            <w:shd w:val="clear" w:color="auto" w:fill="auto"/>
            <w:noWrap/>
            <w:vAlign w:val="center"/>
            <w:hideMark/>
          </w:tcPr>
          <w:p w14:paraId="0C692458"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SDF.E505</w:t>
            </w:r>
          </w:p>
        </w:tc>
      </w:tr>
      <w:tr w:rsidR="005F7984" w:rsidRPr="00853884" w14:paraId="04D6E4EB" w14:textId="77777777" w:rsidTr="00E67116">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06B19292"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130</w:t>
            </w:r>
          </w:p>
        </w:tc>
        <w:tc>
          <w:tcPr>
            <w:tcW w:w="9866" w:type="dxa"/>
            <w:tcBorders>
              <w:top w:val="nil"/>
              <w:left w:val="nil"/>
              <w:bottom w:val="nil"/>
            </w:tcBorders>
            <w:shd w:val="clear" w:color="auto" w:fill="auto"/>
            <w:noWrap/>
            <w:vAlign w:val="center"/>
            <w:hideMark/>
          </w:tcPr>
          <w:p w14:paraId="6550A242" w14:textId="77777777" w:rsidR="005F7984" w:rsidRPr="00853884" w:rsidRDefault="005F7984"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PROGRAMA FEDERATIVO DE ENFRENTAMENTO AO COVID-19 VINCULADO ÀS AÇÕES DE SAÚDE E ASSISTÊNCIA SOCIAL – LC 173/20</w:t>
            </w:r>
          </w:p>
        </w:tc>
        <w:tc>
          <w:tcPr>
            <w:tcW w:w="970" w:type="dxa"/>
            <w:tcBorders>
              <w:top w:val="nil"/>
              <w:bottom w:val="nil"/>
              <w:right w:val="single" w:sz="4" w:space="0" w:color="auto"/>
            </w:tcBorders>
            <w:shd w:val="clear" w:color="auto" w:fill="auto"/>
            <w:noWrap/>
            <w:vAlign w:val="center"/>
          </w:tcPr>
          <w:p w14:paraId="616DB928"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4965250C"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SDF.D596</w:t>
            </w:r>
          </w:p>
        </w:tc>
        <w:tc>
          <w:tcPr>
            <w:tcW w:w="1246" w:type="dxa"/>
            <w:tcBorders>
              <w:top w:val="nil"/>
              <w:left w:val="nil"/>
              <w:bottom w:val="nil"/>
              <w:right w:val="single" w:sz="4" w:space="0" w:color="auto"/>
            </w:tcBorders>
            <w:shd w:val="clear" w:color="auto" w:fill="auto"/>
            <w:noWrap/>
            <w:vAlign w:val="center"/>
            <w:hideMark/>
          </w:tcPr>
          <w:p w14:paraId="484B1E51"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SDF.E596</w:t>
            </w:r>
          </w:p>
        </w:tc>
      </w:tr>
      <w:tr w:rsidR="005F7984" w:rsidRPr="00853884" w14:paraId="1392FD4A" w14:textId="77777777" w:rsidTr="00E67116">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4318B688" w14:textId="77777777" w:rsidR="005F7984" w:rsidRPr="00853884" w:rsidRDefault="005F7984" w:rsidP="002315E1">
            <w:pPr>
              <w:spacing w:after="0" w:line="240" w:lineRule="auto"/>
              <w:jc w:val="center"/>
              <w:rPr>
                <w:rFonts w:ascii="Arial Narrow" w:eastAsia="Times New Roman" w:hAnsi="Arial Narrow" w:cs="Calibri"/>
                <w:sz w:val="16"/>
                <w:szCs w:val="16"/>
                <w:lang w:eastAsia="pt-BR"/>
              </w:rPr>
            </w:pPr>
            <w:r w:rsidRPr="00853884">
              <w:rPr>
                <w:rFonts w:ascii="Arial Narrow" w:eastAsia="Times New Roman" w:hAnsi="Arial Narrow" w:cs="Calibri"/>
                <w:sz w:val="16"/>
                <w:szCs w:val="16"/>
                <w:lang w:eastAsia="pt-BR"/>
              </w:rPr>
              <w:t>134</w:t>
            </w:r>
          </w:p>
        </w:tc>
        <w:tc>
          <w:tcPr>
            <w:tcW w:w="9866" w:type="dxa"/>
            <w:tcBorders>
              <w:top w:val="single" w:sz="4" w:space="0" w:color="D9D9D9"/>
              <w:left w:val="nil"/>
              <w:bottom w:val="single" w:sz="4" w:space="0" w:color="D9D9D9"/>
            </w:tcBorders>
            <w:shd w:val="clear" w:color="auto" w:fill="auto"/>
            <w:vAlign w:val="center"/>
            <w:hideMark/>
          </w:tcPr>
          <w:p w14:paraId="261F4ADC" w14:textId="77777777" w:rsidR="005F7984" w:rsidRPr="00853884" w:rsidRDefault="005F7984" w:rsidP="002315E1">
            <w:pPr>
              <w:spacing w:after="0" w:line="240" w:lineRule="auto"/>
              <w:rPr>
                <w:rFonts w:ascii="Arial Narrow" w:eastAsia="Times New Roman" w:hAnsi="Arial Narrow" w:cs="Calibri"/>
                <w:sz w:val="16"/>
                <w:szCs w:val="16"/>
                <w:lang w:eastAsia="pt-BR"/>
              </w:rPr>
            </w:pPr>
            <w:r w:rsidRPr="00853884">
              <w:rPr>
                <w:rFonts w:ascii="Arial Narrow" w:eastAsia="Times New Roman" w:hAnsi="Arial Narrow" w:cs="Calibri"/>
                <w:sz w:val="16"/>
                <w:szCs w:val="16"/>
                <w:lang w:eastAsia="pt-BR"/>
              </w:rPr>
              <w:t>INCENTIVO SUS - UNIÃO</w:t>
            </w:r>
          </w:p>
        </w:tc>
        <w:tc>
          <w:tcPr>
            <w:tcW w:w="970" w:type="dxa"/>
            <w:tcBorders>
              <w:top w:val="nil"/>
              <w:bottom w:val="nil"/>
              <w:right w:val="single" w:sz="4" w:space="0" w:color="auto"/>
            </w:tcBorders>
            <w:shd w:val="clear" w:color="auto" w:fill="auto"/>
            <w:noWrap/>
            <w:vAlign w:val="center"/>
          </w:tcPr>
          <w:p w14:paraId="1987B064" w14:textId="77777777" w:rsidR="005F7984" w:rsidRPr="00853884" w:rsidRDefault="005F7984" w:rsidP="002315E1">
            <w:pPr>
              <w:spacing w:after="0" w:line="240" w:lineRule="auto"/>
              <w:jc w:val="center"/>
              <w:rPr>
                <w:rFonts w:ascii="Arial Narrow" w:eastAsia="Times New Roman" w:hAnsi="Arial Narrow" w:cs="Calibri"/>
                <w:color w:val="FF0000"/>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0586B756"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SDF.D514</w:t>
            </w:r>
          </w:p>
        </w:tc>
        <w:tc>
          <w:tcPr>
            <w:tcW w:w="1246" w:type="dxa"/>
            <w:tcBorders>
              <w:top w:val="nil"/>
              <w:left w:val="nil"/>
              <w:bottom w:val="nil"/>
              <w:right w:val="single" w:sz="4" w:space="0" w:color="auto"/>
            </w:tcBorders>
            <w:shd w:val="clear" w:color="auto" w:fill="auto"/>
            <w:noWrap/>
            <w:vAlign w:val="center"/>
            <w:hideMark/>
          </w:tcPr>
          <w:p w14:paraId="1C340AE7"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SDF.E514</w:t>
            </w:r>
          </w:p>
        </w:tc>
      </w:tr>
      <w:tr w:rsidR="005F7984" w:rsidRPr="00853884" w14:paraId="611AF17F" w14:textId="77777777" w:rsidTr="00E67116">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090BAA4C" w14:textId="77777777" w:rsidR="005F7984" w:rsidRPr="00853884" w:rsidRDefault="005F7984" w:rsidP="002315E1">
            <w:pPr>
              <w:spacing w:after="0" w:line="240" w:lineRule="auto"/>
              <w:jc w:val="center"/>
              <w:rPr>
                <w:rFonts w:ascii="Arial Narrow" w:eastAsia="Times New Roman" w:hAnsi="Arial Narrow" w:cs="Calibri"/>
                <w:sz w:val="16"/>
                <w:szCs w:val="16"/>
                <w:lang w:eastAsia="pt-BR"/>
              </w:rPr>
            </w:pPr>
            <w:r w:rsidRPr="00853884">
              <w:rPr>
                <w:rFonts w:ascii="Arial Narrow" w:eastAsia="Times New Roman" w:hAnsi="Arial Narrow" w:cs="Calibri"/>
                <w:sz w:val="16"/>
                <w:szCs w:val="16"/>
                <w:lang w:eastAsia="pt-BR"/>
              </w:rPr>
              <w:t>135</w:t>
            </w:r>
          </w:p>
        </w:tc>
        <w:tc>
          <w:tcPr>
            <w:tcW w:w="9866" w:type="dxa"/>
            <w:tcBorders>
              <w:top w:val="nil"/>
              <w:left w:val="nil"/>
              <w:bottom w:val="single" w:sz="4" w:space="0" w:color="D9D9D9"/>
            </w:tcBorders>
            <w:shd w:val="clear" w:color="auto" w:fill="auto"/>
            <w:vAlign w:val="center"/>
            <w:hideMark/>
          </w:tcPr>
          <w:p w14:paraId="1F90D1BF" w14:textId="77777777" w:rsidR="005F7984" w:rsidRPr="00853884" w:rsidRDefault="005F7984" w:rsidP="002315E1">
            <w:pPr>
              <w:spacing w:after="0" w:line="240" w:lineRule="auto"/>
              <w:rPr>
                <w:rFonts w:ascii="Arial Narrow" w:eastAsia="Times New Roman" w:hAnsi="Arial Narrow" w:cs="Calibri"/>
                <w:sz w:val="16"/>
                <w:szCs w:val="16"/>
                <w:lang w:eastAsia="pt-BR"/>
              </w:rPr>
            </w:pPr>
            <w:r w:rsidRPr="00853884">
              <w:rPr>
                <w:rFonts w:ascii="Arial Narrow" w:eastAsia="Times New Roman" w:hAnsi="Arial Narrow" w:cs="Calibri"/>
                <w:sz w:val="16"/>
                <w:szCs w:val="16"/>
                <w:lang w:eastAsia="pt-BR"/>
              </w:rPr>
              <w:t>SUS - PRODUÇÃO</w:t>
            </w:r>
          </w:p>
        </w:tc>
        <w:tc>
          <w:tcPr>
            <w:tcW w:w="970" w:type="dxa"/>
            <w:tcBorders>
              <w:top w:val="nil"/>
              <w:bottom w:val="nil"/>
              <w:right w:val="single" w:sz="4" w:space="0" w:color="auto"/>
            </w:tcBorders>
            <w:shd w:val="clear" w:color="auto" w:fill="auto"/>
            <w:noWrap/>
            <w:vAlign w:val="center"/>
          </w:tcPr>
          <w:p w14:paraId="11CB3F57" w14:textId="77777777" w:rsidR="005F7984" w:rsidRPr="00853884" w:rsidRDefault="005F7984" w:rsidP="002315E1">
            <w:pPr>
              <w:spacing w:after="0" w:line="240" w:lineRule="auto"/>
              <w:jc w:val="center"/>
              <w:rPr>
                <w:rFonts w:ascii="Arial Narrow" w:eastAsia="Times New Roman" w:hAnsi="Arial Narrow" w:cs="Calibri"/>
                <w:color w:val="FF0000"/>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3D49B3DD"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SDF.D515</w:t>
            </w:r>
          </w:p>
        </w:tc>
        <w:tc>
          <w:tcPr>
            <w:tcW w:w="1246" w:type="dxa"/>
            <w:tcBorders>
              <w:top w:val="nil"/>
              <w:left w:val="nil"/>
              <w:bottom w:val="nil"/>
              <w:right w:val="single" w:sz="4" w:space="0" w:color="auto"/>
            </w:tcBorders>
            <w:shd w:val="clear" w:color="auto" w:fill="auto"/>
            <w:noWrap/>
            <w:vAlign w:val="center"/>
            <w:hideMark/>
          </w:tcPr>
          <w:p w14:paraId="4F85F528"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SDF.E515</w:t>
            </w:r>
          </w:p>
        </w:tc>
      </w:tr>
      <w:tr w:rsidR="005F7984" w:rsidRPr="00853884" w14:paraId="6A870420" w14:textId="77777777" w:rsidTr="00E67116">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61AF798A" w14:textId="77777777" w:rsidR="005F7984" w:rsidRPr="00853884" w:rsidRDefault="005F7984" w:rsidP="002315E1">
            <w:pPr>
              <w:spacing w:after="0" w:line="240" w:lineRule="auto"/>
              <w:jc w:val="center"/>
              <w:rPr>
                <w:rFonts w:ascii="Arial Narrow" w:eastAsia="Times New Roman" w:hAnsi="Arial Narrow" w:cs="Calibri"/>
                <w:sz w:val="16"/>
                <w:szCs w:val="16"/>
                <w:lang w:eastAsia="pt-BR"/>
              </w:rPr>
            </w:pPr>
            <w:r w:rsidRPr="00853884">
              <w:rPr>
                <w:rFonts w:ascii="Arial Narrow" w:eastAsia="Times New Roman" w:hAnsi="Arial Narrow" w:cs="Calibri"/>
                <w:sz w:val="16"/>
                <w:szCs w:val="16"/>
                <w:lang w:eastAsia="pt-BR"/>
              </w:rPr>
              <w:t>155</w:t>
            </w:r>
          </w:p>
        </w:tc>
        <w:tc>
          <w:tcPr>
            <w:tcW w:w="9866" w:type="dxa"/>
            <w:tcBorders>
              <w:top w:val="nil"/>
              <w:left w:val="nil"/>
              <w:bottom w:val="single" w:sz="4" w:space="0" w:color="D9D9D9"/>
            </w:tcBorders>
            <w:shd w:val="clear" w:color="auto" w:fill="auto"/>
            <w:vAlign w:val="center"/>
            <w:hideMark/>
          </w:tcPr>
          <w:p w14:paraId="23D68C42" w14:textId="77777777" w:rsidR="005F7984" w:rsidRPr="00853884" w:rsidRDefault="005F7984" w:rsidP="002315E1">
            <w:pPr>
              <w:spacing w:after="0" w:line="240" w:lineRule="auto"/>
              <w:rPr>
                <w:rFonts w:ascii="Arial Narrow" w:eastAsia="Times New Roman" w:hAnsi="Arial Narrow" w:cs="Calibri"/>
                <w:sz w:val="16"/>
                <w:szCs w:val="16"/>
                <w:lang w:eastAsia="pt-BR"/>
              </w:rPr>
            </w:pPr>
            <w:r w:rsidRPr="00853884">
              <w:rPr>
                <w:rFonts w:ascii="Arial Narrow" w:eastAsia="Times New Roman" w:hAnsi="Arial Narrow" w:cs="Calibri"/>
                <w:sz w:val="16"/>
                <w:szCs w:val="16"/>
                <w:lang w:eastAsia="pt-BR"/>
              </w:rPr>
              <w:t>BLOCO DE CUSTEIO DAS AÇÕES E SERVIÇOS PÚBLICOS DE SAÚDE - SUS - FEDERAL</w:t>
            </w:r>
          </w:p>
        </w:tc>
        <w:tc>
          <w:tcPr>
            <w:tcW w:w="970" w:type="dxa"/>
            <w:tcBorders>
              <w:top w:val="nil"/>
              <w:bottom w:val="nil"/>
              <w:right w:val="single" w:sz="4" w:space="0" w:color="auto"/>
            </w:tcBorders>
            <w:shd w:val="clear" w:color="auto" w:fill="auto"/>
            <w:noWrap/>
            <w:vAlign w:val="center"/>
          </w:tcPr>
          <w:p w14:paraId="78CF93BE" w14:textId="77777777" w:rsidR="005F7984" w:rsidRPr="00853884" w:rsidRDefault="005F7984" w:rsidP="002315E1">
            <w:pPr>
              <w:spacing w:after="0" w:line="240" w:lineRule="auto"/>
              <w:jc w:val="center"/>
              <w:rPr>
                <w:rFonts w:ascii="Arial Narrow" w:eastAsia="Times New Roman" w:hAnsi="Arial Narrow" w:cs="Calibri"/>
                <w:color w:val="FF0000"/>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4E63E313"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SDF.D592</w:t>
            </w:r>
          </w:p>
        </w:tc>
        <w:tc>
          <w:tcPr>
            <w:tcW w:w="1246" w:type="dxa"/>
            <w:tcBorders>
              <w:top w:val="nil"/>
              <w:left w:val="nil"/>
              <w:bottom w:val="nil"/>
              <w:right w:val="single" w:sz="4" w:space="0" w:color="auto"/>
            </w:tcBorders>
            <w:shd w:val="clear" w:color="auto" w:fill="auto"/>
            <w:noWrap/>
            <w:vAlign w:val="center"/>
            <w:hideMark/>
          </w:tcPr>
          <w:p w14:paraId="690B1DE7"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SDF.E592</w:t>
            </w:r>
          </w:p>
        </w:tc>
      </w:tr>
      <w:tr w:rsidR="005F7984" w:rsidRPr="00853884" w14:paraId="630F8224" w14:textId="77777777" w:rsidTr="00E67116">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58B63E54" w14:textId="77777777" w:rsidR="005F7984" w:rsidRPr="00853884" w:rsidRDefault="005F7984" w:rsidP="002315E1">
            <w:pPr>
              <w:spacing w:after="0" w:line="240" w:lineRule="auto"/>
              <w:jc w:val="center"/>
              <w:rPr>
                <w:rFonts w:ascii="Arial Narrow" w:eastAsia="Times New Roman" w:hAnsi="Arial Narrow" w:cs="Calibri"/>
                <w:sz w:val="16"/>
                <w:szCs w:val="16"/>
                <w:lang w:eastAsia="pt-BR"/>
              </w:rPr>
            </w:pPr>
            <w:r w:rsidRPr="00853884">
              <w:rPr>
                <w:rFonts w:ascii="Arial Narrow" w:eastAsia="Times New Roman" w:hAnsi="Arial Narrow" w:cs="Calibri"/>
                <w:sz w:val="16"/>
                <w:szCs w:val="16"/>
                <w:lang w:eastAsia="pt-BR"/>
              </w:rPr>
              <w:t>156</w:t>
            </w:r>
          </w:p>
        </w:tc>
        <w:tc>
          <w:tcPr>
            <w:tcW w:w="9866" w:type="dxa"/>
            <w:tcBorders>
              <w:top w:val="nil"/>
              <w:left w:val="nil"/>
            </w:tcBorders>
            <w:shd w:val="clear" w:color="auto" w:fill="auto"/>
            <w:vAlign w:val="center"/>
            <w:hideMark/>
          </w:tcPr>
          <w:p w14:paraId="6281FC46" w14:textId="77777777" w:rsidR="005F7984" w:rsidRPr="00853884" w:rsidRDefault="005F7984" w:rsidP="002315E1">
            <w:pPr>
              <w:spacing w:after="0" w:line="240" w:lineRule="auto"/>
              <w:rPr>
                <w:rFonts w:ascii="Arial Narrow" w:eastAsia="Times New Roman" w:hAnsi="Arial Narrow" w:cs="Calibri"/>
                <w:sz w:val="16"/>
                <w:szCs w:val="16"/>
                <w:lang w:eastAsia="pt-BR"/>
              </w:rPr>
            </w:pPr>
            <w:r w:rsidRPr="00853884">
              <w:rPr>
                <w:rFonts w:ascii="Arial Narrow" w:eastAsia="Times New Roman" w:hAnsi="Arial Narrow" w:cs="Calibri"/>
                <w:sz w:val="16"/>
                <w:szCs w:val="16"/>
                <w:lang w:eastAsia="pt-BR"/>
              </w:rPr>
              <w:t>BLOCO DE INVESTIMENTO NA REDE DE SERVIÇOS PÚBLICOS DE SAÚDE - SUS - FEDERAL</w:t>
            </w:r>
          </w:p>
        </w:tc>
        <w:tc>
          <w:tcPr>
            <w:tcW w:w="970" w:type="dxa"/>
            <w:tcBorders>
              <w:top w:val="nil"/>
              <w:bottom w:val="nil"/>
              <w:right w:val="single" w:sz="4" w:space="0" w:color="auto"/>
            </w:tcBorders>
            <w:shd w:val="clear" w:color="auto" w:fill="auto"/>
            <w:noWrap/>
            <w:vAlign w:val="center"/>
          </w:tcPr>
          <w:p w14:paraId="2FB7E884" w14:textId="77777777" w:rsidR="005F7984" w:rsidRPr="00853884" w:rsidRDefault="005F7984" w:rsidP="002315E1">
            <w:pPr>
              <w:spacing w:after="0" w:line="240" w:lineRule="auto"/>
              <w:jc w:val="center"/>
              <w:rPr>
                <w:rFonts w:ascii="Arial Narrow" w:eastAsia="Times New Roman" w:hAnsi="Arial Narrow" w:cs="Calibri"/>
                <w:color w:val="FF0000"/>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3D5FD6B0"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SDF.D593</w:t>
            </w:r>
          </w:p>
        </w:tc>
        <w:tc>
          <w:tcPr>
            <w:tcW w:w="1246" w:type="dxa"/>
            <w:tcBorders>
              <w:top w:val="nil"/>
              <w:left w:val="nil"/>
              <w:bottom w:val="nil"/>
              <w:right w:val="single" w:sz="4" w:space="0" w:color="auto"/>
            </w:tcBorders>
            <w:shd w:val="clear" w:color="auto" w:fill="auto"/>
            <w:noWrap/>
            <w:vAlign w:val="center"/>
            <w:hideMark/>
          </w:tcPr>
          <w:p w14:paraId="20BBE366"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SDF.E593</w:t>
            </w:r>
          </w:p>
        </w:tc>
      </w:tr>
      <w:tr w:rsidR="005F7984" w:rsidRPr="00853884" w14:paraId="0CAFEE64" w14:textId="77777777" w:rsidTr="00E67116">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650080DC"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169</w:t>
            </w:r>
          </w:p>
        </w:tc>
        <w:tc>
          <w:tcPr>
            <w:tcW w:w="9866" w:type="dxa"/>
            <w:tcBorders>
              <w:top w:val="nil"/>
              <w:left w:val="nil"/>
              <w:bottom w:val="single" w:sz="4" w:space="0" w:color="D9D9D9"/>
            </w:tcBorders>
            <w:shd w:val="clear" w:color="auto" w:fill="auto"/>
            <w:vAlign w:val="center"/>
            <w:hideMark/>
          </w:tcPr>
          <w:p w14:paraId="5F5C5355" w14:textId="77777777" w:rsidR="005F7984" w:rsidRPr="00853884" w:rsidRDefault="005F7984"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DECISÕES JUDICIAIS DESTINADAS AO COMBATE DA COVID-19</w:t>
            </w:r>
          </w:p>
        </w:tc>
        <w:tc>
          <w:tcPr>
            <w:tcW w:w="970" w:type="dxa"/>
            <w:tcBorders>
              <w:top w:val="nil"/>
              <w:bottom w:val="nil"/>
              <w:right w:val="single" w:sz="4" w:space="0" w:color="auto"/>
            </w:tcBorders>
            <w:shd w:val="clear" w:color="auto" w:fill="auto"/>
            <w:noWrap/>
            <w:vAlign w:val="center"/>
          </w:tcPr>
          <w:p w14:paraId="73F5D4CB" w14:textId="77777777" w:rsidR="005F7984" w:rsidRPr="00853884" w:rsidRDefault="005F7984" w:rsidP="002315E1">
            <w:pPr>
              <w:spacing w:after="0" w:line="240" w:lineRule="auto"/>
              <w:jc w:val="center"/>
              <w:rPr>
                <w:rFonts w:ascii="Arial Narrow" w:eastAsia="Times New Roman" w:hAnsi="Arial Narrow" w:cs="Calibri"/>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38F165AF"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SDF.D597</w:t>
            </w:r>
          </w:p>
        </w:tc>
        <w:tc>
          <w:tcPr>
            <w:tcW w:w="1246" w:type="dxa"/>
            <w:tcBorders>
              <w:top w:val="nil"/>
              <w:left w:val="nil"/>
              <w:bottom w:val="nil"/>
              <w:right w:val="single" w:sz="4" w:space="0" w:color="auto"/>
            </w:tcBorders>
            <w:shd w:val="clear" w:color="auto" w:fill="auto"/>
            <w:noWrap/>
            <w:vAlign w:val="center"/>
            <w:hideMark/>
          </w:tcPr>
          <w:p w14:paraId="1FD6C0D2"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SDF.E597</w:t>
            </w:r>
          </w:p>
        </w:tc>
      </w:tr>
      <w:tr w:rsidR="005F7984" w:rsidRPr="00853884" w14:paraId="4783DD8E" w14:textId="77777777" w:rsidTr="00E67116">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54592B59"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304</w:t>
            </w:r>
          </w:p>
        </w:tc>
        <w:tc>
          <w:tcPr>
            <w:tcW w:w="9866" w:type="dxa"/>
            <w:tcBorders>
              <w:top w:val="nil"/>
              <w:left w:val="nil"/>
              <w:bottom w:val="single" w:sz="4" w:space="0" w:color="D9D9D9"/>
            </w:tcBorders>
            <w:shd w:val="clear" w:color="auto" w:fill="auto"/>
            <w:vAlign w:val="center"/>
            <w:hideMark/>
          </w:tcPr>
          <w:p w14:paraId="7BE0D7EF" w14:textId="77777777" w:rsidR="005F7984" w:rsidRPr="00853884" w:rsidRDefault="005F7984"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SUPERÁVIT FINANCEIRO - AÇÕES E SERVIÇOS DE SAÚDE</w:t>
            </w:r>
          </w:p>
        </w:tc>
        <w:tc>
          <w:tcPr>
            <w:tcW w:w="970" w:type="dxa"/>
            <w:tcBorders>
              <w:top w:val="nil"/>
              <w:bottom w:val="nil"/>
              <w:right w:val="single" w:sz="4" w:space="0" w:color="auto"/>
            </w:tcBorders>
            <w:shd w:val="clear" w:color="auto" w:fill="auto"/>
            <w:noWrap/>
            <w:vAlign w:val="center"/>
          </w:tcPr>
          <w:p w14:paraId="7BC8ED86" w14:textId="77777777" w:rsidR="005F7984" w:rsidRPr="00853884" w:rsidRDefault="005F7984" w:rsidP="002315E1">
            <w:pPr>
              <w:spacing w:after="0" w:line="240" w:lineRule="auto"/>
              <w:jc w:val="center"/>
              <w:rPr>
                <w:rFonts w:ascii="Arial Narrow" w:eastAsia="Times New Roman" w:hAnsi="Arial Narrow" w:cs="Calibri"/>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664D17B4"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SDF.D549</w:t>
            </w:r>
          </w:p>
        </w:tc>
        <w:tc>
          <w:tcPr>
            <w:tcW w:w="1246" w:type="dxa"/>
            <w:tcBorders>
              <w:top w:val="nil"/>
              <w:left w:val="nil"/>
              <w:bottom w:val="nil"/>
              <w:right w:val="single" w:sz="4" w:space="0" w:color="auto"/>
            </w:tcBorders>
            <w:shd w:val="clear" w:color="auto" w:fill="auto"/>
            <w:noWrap/>
            <w:vAlign w:val="center"/>
            <w:hideMark/>
          </w:tcPr>
          <w:p w14:paraId="36932F21"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SDF.E549</w:t>
            </w:r>
          </w:p>
        </w:tc>
      </w:tr>
      <w:tr w:rsidR="005F7984" w:rsidRPr="00853884" w14:paraId="54834852" w14:textId="77777777" w:rsidTr="00E67116">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28D75EE3"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334</w:t>
            </w:r>
          </w:p>
        </w:tc>
        <w:tc>
          <w:tcPr>
            <w:tcW w:w="9866" w:type="dxa"/>
            <w:tcBorders>
              <w:top w:val="nil"/>
              <w:left w:val="nil"/>
              <w:bottom w:val="single" w:sz="4" w:space="0" w:color="D9D9D9"/>
            </w:tcBorders>
            <w:shd w:val="clear" w:color="auto" w:fill="auto"/>
            <w:vAlign w:val="center"/>
            <w:hideMark/>
          </w:tcPr>
          <w:p w14:paraId="695FFD2F" w14:textId="77777777" w:rsidR="005F7984" w:rsidRPr="00853884" w:rsidRDefault="005F7984"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SUPERÁVIT FINANCEIRO - INCENTIVO SUS UNIÃO</w:t>
            </w:r>
          </w:p>
        </w:tc>
        <w:tc>
          <w:tcPr>
            <w:tcW w:w="970" w:type="dxa"/>
            <w:tcBorders>
              <w:top w:val="nil"/>
              <w:right w:val="single" w:sz="4" w:space="0" w:color="auto"/>
            </w:tcBorders>
            <w:shd w:val="clear" w:color="auto" w:fill="auto"/>
            <w:noWrap/>
            <w:vAlign w:val="center"/>
          </w:tcPr>
          <w:p w14:paraId="2280E24C" w14:textId="77777777" w:rsidR="005F7984" w:rsidRPr="00853884" w:rsidRDefault="005F7984" w:rsidP="002315E1">
            <w:pPr>
              <w:spacing w:after="0" w:line="240" w:lineRule="auto"/>
              <w:jc w:val="center"/>
              <w:rPr>
                <w:rFonts w:ascii="Arial Narrow" w:eastAsia="Times New Roman" w:hAnsi="Arial Narrow" w:cs="Calibri"/>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45763881"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SDF.D558</w:t>
            </w:r>
          </w:p>
        </w:tc>
        <w:tc>
          <w:tcPr>
            <w:tcW w:w="1246" w:type="dxa"/>
            <w:tcBorders>
              <w:top w:val="nil"/>
              <w:left w:val="nil"/>
              <w:bottom w:val="nil"/>
              <w:right w:val="single" w:sz="4" w:space="0" w:color="auto"/>
            </w:tcBorders>
            <w:shd w:val="clear" w:color="auto" w:fill="auto"/>
            <w:noWrap/>
            <w:vAlign w:val="center"/>
            <w:hideMark/>
          </w:tcPr>
          <w:p w14:paraId="63627DDC"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SDF.E558</w:t>
            </w:r>
          </w:p>
        </w:tc>
      </w:tr>
      <w:tr w:rsidR="005F7984" w:rsidRPr="00853884" w14:paraId="7D5D113E" w14:textId="77777777" w:rsidTr="00E67116">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4B7A651A"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335</w:t>
            </w:r>
          </w:p>
        </w:tc>
        <w:tc>
          <w:tcPr>
            <w:tcW w:w="9866" w:type="dxa"/>
            <w:tcBorders>
              <w:top w:val="nil"/>
              <w:left w:val="nil"/>
            </w:tcBorders>
            <w:shd w:val="clear" w:color="auto" w:fill="auto"/>
            <w:vAlign w:val="center"/>
            <w:hideMark/>
          </w:tcPr>
          <w:p w14:paraId="31858531" w14:textId="77777777" w:rsidR="005F7984" w:rsidRPr="00853884" w:rsidRDefault="005F7984"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SUPERÁVIT FINANCEIRO - SUS PRODUÇÃO</w:t>
            </w:r>
          </w:p>
        </w:tc>
        <w:tc>
          <w:tcPr>
            <w:tcW w:w="970" w:type="dxa"/>
            <w:tcBorders>
              <w:top w:val="nil"/>
              <w:bottom w:val="nil"/>
              <w:right w:val="single" w:sz="4" w:space="0" w:color="auto"/>
            </w:tcBorders>
            <w:shd w:val="clear" w:color="auto" w:fill="auto"/>
            <w:noWrap/>
            <w:vAlign w:val="center"/>
          </w:tcPr>
          <w:p w14:paraId="6A536E1B" w14:textId="77777777" w:rsidR="005F7984" w:rsidRPr="00853884" w:rsidRDefault="005F7984" w:rsidP="002315E1">
            <w:pPr>
              <w:spacing w:after="0" w:line="240" w:lineRule="auto"/>
              <w:jc w:val="center"/>
              <w:rPr>
                <w:rFonts w:ascii="Arial Narrow" w:eastAsia="Times New Roman" w:hAnsi="Arial Narrow" w:cs="Calibri"/>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1DB402B0"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SDF.D559</w:t>
            </w:r>
          </w:p>
        </w:tc>
        <w:tc>
          <w:tcPr>
            <w:tcW w:w="1246" w:type="dxa"/>
            <w:tcBorders>
              <w:top w:val="nil"/>
              <w:left w:val="nil"/>
              <w:bottom w:val="nil"/>
              <w:right w:val="single" w:sz="4" w:space="0" w:color="auto"/>
            </w:tcBorders>
            <w:shd w:val="clear" w:color="auto" w:fill="auto"/>
            <w:noWrap/>
            <w:vAlign w:val="center"/>
            <w:hideMark/>
          </w:tcPr>
          <w:p w14:paraId="1DD7DD9A"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SDF.E559</w:t>
            </w:r>
          </w:p>
        </w:tc>
      </w:tr>
      <w:tr w:rsidR="005F7984" w:rsidRPr="00853884" w14:paraId="732ECC0F" w14:textId="77777777" w:rsidTr="00E67116">
        <w:trPr>
          <w:trHeight w:val="302"/>
        </w:trPr>
        <w:tc>
          <w:tcPr>
            <w:tcW w:w="938" w:type="dxa"/>
            <w:tcBorders>
              <w:top w:val="nil"/>
              <w:left w:val="single" w:sz="4" w:space="0" w:color="auto"/>
              <w:bottom w:val="nil"/>
              <w:right w:val="single" w:sz="4" w:space="0" w:color="auto"/>
            </w:tcBorders>
            <w:shd w:val="clear" w:color="auto" w:fill="auto"/>
            <w:vAlign w:val="center"/>
            <w:hideMark/>
          </w:tcPr>
          <w:p w14:paraId="766B6F7B"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355</w:t>
            </w:r>
          </w:p>
        </w:tc>
        <w:tc>
          <w:tcPr>
            <w:tcW w:w="9866" w:type="dxa"/>
            <w:tcBorders>
              <w:left w:val="nil"/>
              <w:bottom w:val="nil"/>
            </w:tcBorders>
            <w:shd w:val="clear" w:color="auto" w:fill="auto"/>
            <w:vAlign w:val="center"/>
            <w:hideMark/>
          </w:tcPr>
          <w:p w14:paraId="12A0BA8C" w14:textId="77777777" w:rsidR="005F7984" w:rsidRPr="00853884" w:rsidRDefault="005F7984"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SUPERÁVIT FINANCEIRO - BLOCO DE CUSTEIO DAS AÇÕES E SERVIÇOS PÚBLICOS DE SAÚDE - SUS – FEDERAL</w:t>
            </w:r>
          </w:p>
        </w:tc>
        <w:tc>
          <w:tcPr>
            <w:tcW w:w="970" w:type="dxa"/>
            <w:tcBorders>
              <w:top w:val="nil"/>
              <w:bottom w:val="nil"/>
              <w:right w:val="single" w:sz="4" w:space="0" w:color="auto"/>
            </w:tcBorders>
            <w:shd w:val="clear" w:color="auto" w:fill="auto"/>
            <w:noWrap/>
            <w:vAlign w:val="center"/>
          </w:tcPr>
          <w:p w14:paraId="3B213FE3" w14:textId="77777777" w:rsidR="005F7984" w:rsidRPr="00853884" w:rsidRDefault="005F7984" w:rsidP="002315E1">
            <w:pPr>
              <w:spacing w:after="0" w:line="240" w:lineRule="auto"/>
              <w:jc w:val="center"/>
              <w:rPr>
                <w:rFonts w:ascii="Arial Narrow" w:eastAsia="Times New Roman" w:hAnsi="Arial Narrow" w:cs="Calibri"/>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059CB5B2"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SDF.D598</w:t>
            </w:r>
          </w:p>
        </w:tc>
        <w:tc>
          <w:tcPr>
            <w:tcW w:w="1246" w:type="dxa"/>
            <w:tcBorders>
              <w:top w:val="nil"/>
              <w:left w:val="nil"/>
              <w:bottom w:val="nil"/>
              <w:right w:val="single" w:sz="4" w:space="0" w:color="auto"/>
            </w:tcBorders>
            <w:shd w:val="clear" w:color="auto" w:fill="auto"/>
            <w:noWrap/>
            <w:vAlign w:val="center"/>
            <w:hideMark/>
          </w:tcPr>
          <w:p w14:paraId="67F3130D"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SDF.E598</w:t>
            </w:r>
          </w:p>
        </w:tc>
      </w:tr>
      <w:tr w:rsidR="005F7984" w:rsidRPr="00853884" w14:paraId="2539DB30" w14:textId="77777777" w:rsidTr="00E67116">
        <w:trPr>
          <w:trHeight w:val="302"/>
        </w:trPr>
        <w:tc>
          <w:tcPr>
            <w:tcW w:w="938" w:type="dxa"/>
            <w:tcBorders>
              <w:top w:val="nil"/>
              <w:left w:val="single" w:sz="4" w:space="0" w:color="auto"/>
              <w:bottom w:val="nil"/>
              <w:right w:val="single" w:sz="4" w:space="0" w:color="auto"/>
            </w:tcBorders>
            <w:shd w:val="clear" w:color="auto" w:fill="auto"/>
            <w:vAlign w:val="center"/>
            <w:hideMark/>
          </w:tcPr>
          <w:p w14:paraId="655762B1"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356</w:t>
            </w:r>
          </w:p>
        </w:tc>
        <w:tc>
          <w:tcPr>
            <w:tcW w:w="9866" w:type="dxa"/>
            <w:tcBorders>
              <w:top w:val="nil"/>
              <w:left w:val="nil"/>
              <w:bottom w:val="nil"/>
            </w:tcBorders>
            <w:shd w:val="clear" w:color="auto" w:fill="auto"/>
            <w:vAlign w:val="center"/>
            <w:hideMark/>
          </w:tcPr>
          <w:p w14:paraId="64721B42" w14:textId="77777777" w:rsidR="005F7984" w:rsidRPr="00853884" w:rsidRDefault="005F7984"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SUPERÁVIT FINANCEIRO - BLOCO DE INVESTIMENTO NA REDE DE SERVIÇOS PÚBLICOS DE SAÚDE - SUS – FEDERAL</w:t>
            </w:r>
          </w:p>
        </w:tc>
        <w:tc>
          <w:tcPr>
            <w:tcW w:w="970" w:type="dxa"/>
            <w:tcBorders>
              <w:top w:val="nil"/>
              <w:bottom w:val="nil"/>
              <w:right w:val="single" w:sz="4" w:space="0" w:color="auto"/>
            </w:tcBorders>
            <w:shd w:val="clear" w:color="auto" w:fill="auto"/>
            <w:noWrap/>
            <w:vAlign w:val="center"/>
          </w:tcPr>
          <w:p w14:paraId="088C8F97" w14:textId="77777777" w:rsidR="005F7984" w:rsidRPr="00853884" w:rsidRDefault="005F7984" w:rsidP="002315E1">
            <w:pPr>
              <w:spacing w:after="0" w:line="240" w:lineRule="auto"/>
              <w:jc w:val="center"/>
              <w:rPr>
                <w:rFonts w:ascii="Arial Narrow" w:eastAsia="Times New Roman" w:hAnsi="Arial Narrow" w:cs="Calibri"/>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136D5AD1"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SDF.D599</w:t>
            </w:r>
          </w:p>
        </w:tc>
        <w:tc>
          <w:tcPr>
            <w:tcW w:w="1246" w:type="dxa"/>
            <w:tcBorders>
              <w:top w:val="nil"/>
              <w:left w:val="nil"/>
              <w:bottom w:val="nil"/>
              <w:right w:val="single" w:sz="4" w:space="0" w:color="auto"/>
            </w:tcBorders>
            <w:shd w:val="clear" w:color="auto" w:fill="auto"/>
            <w:noWrap/>
            <w:vAlign w:val="center"/>
            <w:hideMark/>
          </w:tcPr>
          <w:p w14:paraId="6541B7ED"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SDF.E599</w:t>
            </w:r>
          </w:p>
        </w:tc>
      </w:tr>
      <w:tr w:rsidR="005F7984" w:rsidRPr="00853884" w14:paraId="2FDABC51" w14:textId="77777777" w:rsidTr="00E67116">
        <w:trPr>
          <w:trHeight w:val="302"/>
        </w:trPr>
        <w:tc>
          <w:tcPr>
            <w:tcW w:w="938" w:type="dxa"/>
            <w:tcBorders>
              <w:top w:val="nil"/>
              <w:left w:val="single" w:sz="4" w:space="0" w:color="auto"/>
              <w:bottom w:val="nil"/>
              <w:right w:val="single" w:sz="4" w:space="0" w:color="auto"/>
            </w:tcBorders>
            <w:shd w:val="clear" w:color="auto" w:fill="auto"/>
            <w:vAlign w:val="center"/>
            <w:hideMark/>
          </w:tcPr>
          <w:p w14:paraId="379A7CFB"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357</w:t>
            </w:r>
          </w:p>
        </w:tc>
        <w:tc>
          <w:tcPr>
            <w:tcW w:w="9866" w:type="dxa"/>
            <w:tcBorders>
              <w:top w:val="nil"/>
              <w:left w:val="nil"/>
              <w:bottom w:val="nil"/>
            </w:tcBorders>
            <w:shd w:val="clear" w:color="auto" w:fill="auto"/>
            <w:vAlign w:val="center"/>
            <w:hideMark/>
          </w:tcPr>
          <w:p w14:paraId="3CB97A08" w14:textId="77777777" w:rsidR="005F7984" w:rsidRPr="00853884" w:rsidRDefault="005F7984"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SUPERÁVIT FINANCEIRO - DECISÕES JUDICIAIS DESTINADAS AO COMBATE DA COVID-19</w:t>
            </w:r>
          </w:p>
        </w:tc>
        <w:tc>
          <w:tcPr>
            <w:tcW w:w="970" w:type="dxa"/>
            <w:tcBorders>
              <w:top w:val="nil"/>
              <w:bottom w:val="nil"/>
              <w:right w:val="single" w:sz="4" w:space="0" w:color="auto"/>
            </w:tcBorders>
            <w:shd w:val="clear" w:color="auto" w:fill="auto"/>
            <w:noWrap/>
            <w:vAlign w:val="center"/>
          </w:tcPr>
          <w:p w14:paraId="328B5E5F" w14:textId="77777777" w:rsidR="005F7984" w:rsidRPr="00853884" w:rsidRDefault="005F7984" w:rsidP="002315E1">
            <w:pPr>
              <w:spacing w:after="0" w:line="240" w:lineRule="auto"/>
              <w:jc w:val="center"/>
              <w:rPr>
                <w:rFonts w:ascii="Arial Narrow" w:eastAsia="Times New Roman" w:hAnsi="Arial Narrow" w:cs="Calibri"/>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27B037B5"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SDF.D600</w:t>
            </w:r>
          </w:p>
        </w:tc>
        <w:tc>
          <w:tcPr>
            <w:tcW w:w="1246" w:type="dxa"/>
            <w:tcBorders>
              <w:top w:val="nil"/>
              <w:left w:val="nil"/>
              <w:bottom w:val="nil"/>
              <w:right w:val="single" w:sz="4" w:space="0" w:color="auto"/>
            </w:tcBorders>
            <w:shd w:val="clear" w:color="auto" w:fill="auto"/>
            <w:noWrap/>
            <w:vAlign w:val="center"/>
            <w:hideMark/>
          </w:tcPr>
          <w:p w14:paraId="2E55E263"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SDF.E600</w:t>
            </w:r>
          </w:p>
        </w:tc>
      </w:tr>
      <w:tr w:rsidR="006027D4" w:rsidRPr="006027D4" w14:paraId="4127E458" w14:textId="77777777" w:rsidTr="00E67116">
        <w:trPr>
          <w:trHeight w:val="302"/>
        </w:trPr>
        <w:tc>
          <w:tcPr>
            <w:tcW w:w="938" w:type="dxa"/>
            <w:tcBorders>
              <w:top w:val="nil"/>
              <w:left w:val="single" w:sz="4" w:space="0" w:color="auto"/>
              <w:bottom w:val="nil"/>
              <w:right w:val="single" w:sz="4" w:space="0" w:color="auto"/>
            </w:tcBorders>
            <w:shd w:val="clear" w:color="auto" w:fill="auto"/>
            <w:vAlign w:val="center"/>
          </w:tcPr>
          <w:p w14:paraId="5B8F987F" w14:textId="5B778C07" w:rsidR="006027D4" w:rsidRPr="006027D4" w:rsidRDefault="006027D4" w:rsidP="002315E1">
            <w:pPr>
              <w:spacing w:after="0" w:line="240" w:lineRule="auto"/>
              <w:jc w:val="center"/>
              <w:rPr>
                <w:rFonts w:ascii="Arial Narrow" w:eastAsia="Times New Roman" w:hAnsi="Arial Narrow" w:cs="Arial"/>
                <w:color w:val="0070C0"/>
                <w:sz w:val="16"/>
                <w:szCs w:val="16"/>
                <w:lang w:eastAsia="pt-BR"/>
              </w:rPr>
            </w:pPr>
            <w:r>
              <w:rPr>
                <w:rFonts w:ascii="Arial Narrow" w:eastAsia="Times New Roman" w:hAnsi="Arial Narrow" w:cs="Arial"/>
                <w:color w:val="0070C0"/>
                <w:sz w:val="16"/>
                <w:szCs w:val="16"/>
                <w:lang w:eastAsia="pt-BR"/>
              </w:rPr>
              <w:t>369</w:t>
            </w:r>
          </w:p>
        </w:tc>
        <w:tc>
          <w:tcPr>
            <w:tcW w:w="9866" w:type="dxa"/>
            <w:tcBorders>
              <w:top w:val="nil"/>
              <w:left w:val="nil"/>
              <w:bottom w:val="nil"/>
            </w:tcBorders>
            <w:shd w:val="clear" w:color="auto" w:fill="auto"/>
            <w:vAlign w:val="center"/>
          </w:tcPr>
          <w:p w14:paraId="2EDA26DD" w14:textId="5037CAA1" w:rsidR="006027D4" w:rsidRPr="006027D4" w:rsidRDefault="006027D4" w:rsidP="002315E1">
            <w:pPr>
              <w:spacing w:after="0" w:line="240" w:lineRule="auto"/>
              <w:rPr>
                <w:rFonts w:ascii="Arial Narrow" w:eastAsia="Times New Roman" w:hAnsi="Arial Narrow" w:cs="Arial"/>
                <w:color w:val="0070C0"/>
                <w:sz w:val="16"/>
                <w:szCs w:val="16"/>
                <w:lang w:eastAsia="pt-BR"/>
              </w:rPr>
            </w:pPr>
            <w:r w:rsidRPr="006027D4">
              <w:rPr>
                <w:rFonts w:ascii="Arial Narrow" w:eastAsia="Times New Roman" w:hAnsi="Arial Narrow" w:cs="Arial"/>
                <w:color w:val="0070C0"/>
                <w:sz w:val="16"/>
                <w:szCs w:val="16"/>
                <w:lang w:eastAsia="pt-BR"/>
              </w:rPr>
              <w:t>SUPERÁVIT FINANCEIRO - DECISÕES JUDICIAIS DESTINADAS AO COMBATE DA COVID-19 (RECURSOS VINCULADOS À SAÚDE)</w:t>
            </w:r>
          </w:p>
        </w:tc>
        <w:tc>
          <w:tcPr>
            <w:tcW w:w="970" w:type="dxa"/>
            <w:tcBorders>
              <w:top w:val="nil"/>
              <w:bottom w:val="nil"/>
              <w:right w:val="single" w:sz="4" w:space="0" w:color="auto"/>
            </w:tcBorders>
            <w:shd w:val="clear" w:color="auto" w:fill="auto"/>
            <w:noWrap/>
            <w:vAlign w:val="center"/>
          </w:tcPr>
          <w:p w14:paraId="0211C741" w14:textId="77777777" w:rsidR="006027D4" w:rsidRPr="006027D4" w:rsidRDefault="006027D4" w:rsidP="002315E1">
            <w:pPr>
              <w:spacing w:after="0" w:line="240" w:lineRule="auto"/>
              <w:jc w:val="center"/>
              <w:rPr>
                <w:rFonts w:ascii="Arial Narrow" w:eastAsia="Times New Roman" w:hAnsi="Arial Narrow" w:cs="Calibri"/>
                <w:color w:val="0070C0"/>
                <w:sz w:val="16"/>
                <w:szCs w:val="16"/>
                <w:lang w:eastAsia="pt-BR"/>
              </w:rPr>
            </w:pPr>
          </w:p>
        </w:tc>
        <w:tc>
          <w:tcPr>
            <w:tcW w:w="1386" w:type="dxa"/>
            <w:tcBorders>
              <w:top w:val="nil"/>
              <w:left w:val="nil"/>
              <w:bottom w:val="nil"/>
              <w:right w:val="single" w:sz="4" w:space="0" w:color="auto"/>
            </w:tcBorders>
            <w:shd w:val="clear" w:color="auto" w:fill="auto"/>
            <w:noWrap/>
            <w:vAlign w:val="center"/>
          </w:tcPr>
          <w:p w14:paraId="7F15A95A" w14:textId="32B98F78" w:rsidR="006027D4" w:rsidRPr="006027D4" w:rsidRDefault="00EE1E89" w:rsidP="002315E1">
            <w:pPr>
              <w:spacing w:after="0" w:line="240" w:lineRule="auto"/>
              <w:jc w:val="center"/>
              <w:rPr>
                <w:rFonts w:ascii="Arial Narrow" w:eastAsia="Times New Roman" w:hAnsi="Arial Narrow" w:cs="Arial"/>
                <w:color w:val="0070C0"/>
                <w:sz w:val="16"/>
                <w:szCs w:val="16"/>
                <w:lang w:eastAsia="pt-BR"/>
              </w:rPr>
            </w:pPr>
            <w:r>
              <w:rPr>
                <w:rFonts w:ascii="Arial Narrow" w:eastAsia="Times New Roman" w:hAnsi="Arial Narrow" w:cs="Arial"/>
                <w:color w:val="0070C0"/>
                <w:sz w:val="16"/>
                <w:szCs w:val="16"/>
                <w:lang w:eastAsia="pt-BR"/>
              </w:rPr>
              <w:t>SDF.D606</w:t>
            </w:r>
          </w:p>
        </w:tc>
        <w:tc>
          <w:tcPr>
            <w:tcW w:w="1246" w:type="dxa"/>
            <w:tcBorders>
              <w:top w:val="nil"/>
              <w:left w:val="nil"/>
              <w:bottom w:val="nil"/>
              <w:right w:val="single" w:sz="4" w:space="0" w:color="auto"/>
            </w:tcBorders>
            <w:shd w:val="clear" w:color="auto" w:fill="auto"/>
            <w:noWrap/>
            <w:vAlign w:val="center"/>
          </w:tcPr>
          <w:p w14:paraId="7D0EF05C" w14:textId="283B3B08" w:rsidR="006027D4" w:rsidRPr="006027D4" w:rsidRDefault="00EE1E89" w:rsidP="002315E1">
            <w:pPr>
              <w:spacing w:after="0" w:line="240" w:lineRule="auto"/>
              <w:jc w:val="center"/>
              <w:rPr>
                <w:rFonts w:ascii="Arial Narrow" w:eastAsia="Times New Roman" w:hAnsi="Arial Narrow" w:cs="Arial"/>
                <w:color w:val="0070C0"/>
                <w:sz w:val="16"/>
                <w:szCs w:val="16"/>
                <w:lang w:eastAsia="pt-BR"/>
              </w:rPr>
            </w:pPr>
            <w:r>
              <w:rPr>
                <w:rFonts w:ascii="Arial Narrow" w:eastAsia="Times New Roman" w:hAnsi="Arial Narrow" w:cs="Arial"/>
                <w:color w:val="0070C0"/>
                <w:sz w:val="16"/>
                <w:szCs w:val="16"/>
                <w:lang w:eastAsia="pt-BR"/>
              </w:rPr>
              <w:t>SDF.E606</w:t>
            </w:r>
          </w:p>
        </w:tc>
      </w:tr>
      <w:tr w:rsidR="005F7984" w:rsidRPr="00853884" w14:paraId="0329BBA9" w14:textId="77777777" w:rsidTr="00E67116">
        <w:trPr>
          <w:trHeight w:val="302"/>
        </w:trPr>
        <w:tc>
          <w:tcPr>
            <w:tcW w:w="938" w:type="dxa"/>
            <w:tcBorders>
              <w:top w:val="nil"/>
              <w:left w:val="single" w:sz="4" w:space="0" w:color="auto"/>
              <w:bottom w:val="nil"/>
              <w:right w:val="single" w:sz="4" w:space="0" w:color="auto"/>
            </w:tcBorders>
            <w:shd w:val="clear" w:color="auto" w:fill="auto"/>
            <w:noWrap/>
            <w:vAlign w:val="center"/>
            <w:hideMark/>
          </w:tcPr>
          <w:p w14:paraId="75774CC9"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 </w:t>
            </w:r>
          </w:p>
        </w:tc>
        <w:tc>
          <w:tcPr>
            <w:tcW w:w="9866" w:type="dxa"/>
            <w:tcBorders>
              <w:top w:val="nil"/>
              <w:left w:val="nil"/>
            </w:tcBorders>
            <w:shd w:val="clear" w:color="auto" w:fill="auto"/>
            <w:noWrap/>
            <w:vAlign w:val="center"/>
            <w:hideMark/>
          </w:tcPr>
          <w:p w14:paraId="7CC9A14B" w14:textId="77777777" w:rsidR="005F7984" w:rsidRPr="00853884" w:rsidRDefault="005F7984" w:rsidP="002315E1">
            <w:pPr>
              <w:spacing w:after="0" w:line="240" w:lineRule="auto"/>
              <w:rPr>
                <w:rFonts w:ascii="Arial Narrow" w:eastAsia="Times New Roman" w:hAnsi="Arial Narrow" w:cs="Arial"/>
                <w:b/>
                <w:bCs/>
                <w:sz w:val="16"/>
                <w:szCs w:val="16"/>
                <w:lang w:eastAsia="pt-BR"/>
              </w:rPr>
            </w:pPr>
            <w:r w:rsidRPr="00853884">
              <w:rPr>
                <w:rFonts w:ascii="Arial Narrow" w:eastAsia="Times New Roman" w:hAnsi="Arial Narrow" w:cs="Arial"/>
                <w:b/>
                <w:bCs/>
                <w:sz w:val="16"/>
                <w:szCs w:val="16"/>
                <w:lang w:eastAsia="pt-BR"/>
              </w:rPr>
              <w:t xml:space="preserve">  RECURSOS VINCULADOS À PREVIDÊNCIA SOCIAL - RPPS</w:t>
            </w:r>
          </w:p>
        </w:tc>
        <w:tc>
          <w:tcPr>
            <w:tcW w:w="970" w:type="dxa"/>
            <w:tcBorders>
              <w:top w:val="nil"/>
              <w:bottom w:val="nil"/>
              <w:right w:val="single" w:sz="4" w:space="0" w:color="auto"/>
            </w:tcBorders>
            <w:shd w:val="clear" w:color="auto" w:fill="auto"/>
            <w:noWrap/>
            <w:vAlign w:val="center"/>
          </w:tcPr>
          <w:p w14:paraId="5E3DB833" w14:textId="77777777" w:rsidR="005F7984" w:rsidRPr="00853884" w:rsidRDefault="005F7984" w:rsidP="002315E1">
            <w:pPr>
              <w:spacing w:after="0" w:line="240" w:lineRule="auto"/>
              <w:jc w:val="center"/>
              <w:rPr>
                <w:rFonts w:ascii="Arial Narrow" w:eastAsia="Times New Roman" w:hAnsi="Arial Narrow" w:cs="Calibri"/>
                <w:b/>
                <w:bCs/>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00D06368" w14:textId="77777777" w:rsidR="005F7984" w:rsidRPr="00853884" w:rsidRDefault="005F7984" w:rsidP="002315E1">
            <w:pPr>
              <w:spacing w:after="0" w:line="240" w:lineRule="auto"/>
              <w:jc w:val="center"/>
              <w:rPr>
                <w:rFonts w:ascii="Arial Narrow" w:eastAsia="Times New Roman" w:hAnsi="Arial Narrow" w:cs="Arial"/>
                <w:b/>
                <w:bCs/>
                <w:sz w:val="16"/>
                <w:szCs w:val="16"/>
                <w:lang w:eastAsia="pt-BR"/>
              </w:rPr>
            </w:pPr>
            <w:r w:rsidRPr="00853884">
              <w:rPr>
                <w:rFonts w:ascii="Arial Narrow" w:eastAsia="Times New Roman" w:hAnsi="Arial Narrow" w:cs="Arial"/>
                <w:b/>
                <w:bCs/>
                <w:sz w:val="16"/>
                <w:szCs w:val="16"/>
                <w:lang w:eastAsia="pt-BR"/>
              </w:rPr>
              <w:t>SDF.D079</w:t>
            </w:r>
          </w:p>
        </w:tc>
        <w:tc>
          <w:tcPr>
            <w:tcW w:w="1246" w:type="dxa"/>
            <w:tcBorders>
              <w:top w:val="nil"/>
              <w:left w:val="nil"/>
              <w:bottom w:val="nil"/>
              <w:right w:val="single" w:sz="4" w:space="0" w:color="auto"/>
            </w:tcBorders>
            <w:shd w:val="clear" w:color="auto" w:fill="auto"/>
            <w:noWrap/>
            <w:vAlign w:val="center"/>
            <w:hideMark/>
          </w:tcPr>
          <w:p w14:paraId="55824F51" w14:textId="77777777" w:rsidR="005F7984" w:rsidRPr="00853884" w:rsidRDefault="005F7984" w:rsidP="002315E1">
            <w:pPr>
              <w:spacing w:after="0" w:line="240" w:lineRule="auto"/>
              <w:jc w:val="center"/>
              <w:rPr>
                <w:rFonts w:ascii="Arial Narrow" w:eastAsia="Times New Roman" w:hAnsi="Arial Narrow" w:cs="Arial"/>
                <w:b/>
                <w:bCs/>
                <w:sz w:val="16"/>
                <w:szCs w:val="16"/>
                <w:lang w:eastAsia="pt-BR"/>
              </w:rPr>
            </w:pPr>
            <w:r w:rsidRPr="00853884">
              <w:rPr>
                <w:rFonts w:ascii="Arial Narrow" w:eastAsia="Times New Roman" w:hAnsi="Arial Narrow" w:cs="Arial"/>
                <w:b/>
                <w:bCs/>
                <w:sz w:val="16"/>
                <w:szCs w:val="16"/>
                <w:lang w:eastAsia="pt-BR"/>
              </w:rPr>
              <w:t>SDF.E079</w:t>
            </w:r>
          </w:p>
        </w:tc>
      </w:tr>
      <w:tr w:rsidR="005F7984" w:rsidRPr="00853884" w14:paraId="5CF77B64" w14:textId="77777777" w:rsidTr="00E67116">
        <w:trPr>
          <w:trHeight w:val="302"/>
        </w:trPr>
        <w:tc>
          <w:tcPr>
            <w:tcW w:w="938" w:type="dxa"/>
            <w:tcBorders>
              <w:top w:val="single" w:sz="4" w:space="0" w:color="D9D9D9"/>
              <w:left w:val="single" w:sz="4" w:space="0" w:color="auto"/>
              <w:bottom w:val="single" w:sz="4" w:space="0" w:color="D9D9D9"/>
              <w:right w:val="single" w:sz="4" w:space="0" w:color="auto"/>
            </w:tcBorders>
            <w:shd w:val="clear" w:color="auto" w:fill="auto"/>
            <w:vAlign w:val="center"/>
            <w:hideMark/>
          </w:tcPr>
          <w:p w14:paraId="7310EA2E"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270</w:t>
            </w:r>
          </w:p>
        </w:tc>
        <w:tc>
          <w:tcPr>
            <w:tcW w:w="9866" w:type="dxa"/>
            <w:tcBorders>
              <w:left w:val="nil"/>
              <w:bottom w:val="single" w:sz="4" w:space="0" w:color="D9D9D9"/>
            </w:tcBorders>
            <w:shd w:val="clear" w:color="auto" w:fill="auto"/>
            <w:vAlign w:val="center"/>
            <w:hideMark/>
          </w:tcPr>
          <w:p w14:paraId="6AF4D1DC" w14:textId="77777777" w:rsidR="005F7984" w:rsidRPr="00853884" w:rsidRDefault="005F7984"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RECURSOS DA PREVIDÊNCIA</w:t>
            </w:r>
          </w:p>
        </w:tc>
        <w:tc>
          <w:tcPr>
            <w:tcW w:w="970" w:type="dxa"/>
            <w:tcBorders>
              <w:top w:val="nil"/>
              <w:bottom w:val="nil"/>
              <w:right w:val="single" w:sz="4" w:space="0" w:color="auto"/>
            </w:tcBorders>
            <w:shd w:val="clear" w:color="auto" w:fill="auto"/>
            <w:noWrap/>
            <w:vAlign w:val="center"/>
          </w:tcPr>
          <w:p w14:paraId="4D23CC19" w14:textId="77777777" w:rsidR="005F7984" w:rsidRPr="00853884" w:rsidRDefault="005F7984" w:rsidP="002315E1">
            <w:pPr>
              <w:spacing w:after="0" w:line="240" w:lineRule="auto"/>
              <w:jc w:val="center"/>
              <w:rPr>
                <w:rFonts w:ascii="Arial Narrow" w:eastAsia="Times New Roman" w:hAnsi="Arial Narrow" w:cs="Calibri"/>
                <w:color w:val="FF0000"/>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7159B990"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SDF.D542</w:t>
            </w:r>
          </w:p>
        </w:tc>
        <w:tc>
          <w:tcPr>
            <w:tcW w:w="1246" w:type="dxa"/>
            <w:tcBorders>
              <w:top w:val="nil"/>
              <w:left w:val="nil"/>
              <w:bottom w:val="nil"/>
              <w:right w:val="single" w:sz="4" w:space="0" w:color="auto"/>
            </w:tcBorders>
            <w:shd w:val="clear" w:color="auto" w:fill="auto"/>
            <w:noWrap/>
            <w:vAlign w:val="center"/>
            <w:hideMark/>
          </w:tcPr>
          <w:p w14:paraId="1A30CB64"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SDF.E542</w:t>
            </w:r>
          </w:p>
        </w:tc>
      </w:tr>
      <w:tr w:rsidR="005F7984" w:rsidRPr="00853884" w14:paraId="48A85476" w14:textId="77777777" w:rsidTr="00E67116">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1D4590C9"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670</w:t>
            </w:r>
          </w:p>
        </w:tc>
        <w:tc>
          <w:tcPr>
            <w:tcW w:w="9866" w:type="dxa"/>
            <w:tcBorders>
              <w:top w:val="nil"/>
              <w:left w:val="nil"/>
              <w:bottom w:val="single" w:sz="4" w:space="0" w:color="D9D9D9"/>
            </w:tcBorders>
            <w:shd w:val="clear" w:color="auto" w:fill="auto"/>
            <w:vAlign w:val="center"/>
            <w:hideMark/>
          </w:tcPr>
          <w:p w14:paraId="10D02040" w14:textId="77777777" w:rsidR="005F7984" w:rsidRPr="00853884" w:rsidRDefault="005F7984"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SUPERÁVIT FINANCEIRO - RECURSOS DA PREVIDÊNCIA</w:t>
            </w:r>
          </w:p>
        </w:tc>
        <w:tc>
          <w:tcPr>
            <w:tcW w:w="970" w:type="dxa"/>
            <w:tcBorders>
              <w:top w:val="nil"/>
              <w:bottom w:val="nil"/>
              <w:right w:val="single" w:sz="4" w:space="0" w:color="auto"/>
            </w:tcBorders>
            <w:shd w:val="clear" w:color="auto" w:fill="auto"/>
            <w:noWrap/>
            <w:vAlign w:val="center"/>
          </w:tcPr>
          <w:p w14:paraId="1B71F7B1" w14:textId="77777777" w:rsidR="005F7984" w:rsidRPr="00853884" w:rsidRDefault="005F7984" w:rsidP="002315E1">
            <w:pPr>
              <w:spacing w:after="0" w:line="240" w:lineRule="auto"/>
              <w:jc w:val="center"/>
              <w:rPr>
                <w:rFonts w:ascii="Arial Narrow" w:eastAsia="Times New Roman" w:hAnsi="Arial Narrow" w:cs="Calibri"/>
                <w:color w:val="FF0000"/>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7E37FCDE"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SDF.D586</w:t>
            </w:r>
          </w:p>
        </w:tc>
        <w:tc>
          <w:tcPr>
            <w:tcW w:w="1246" w:type="dxa"/>
            <w:tcBorders>
              <w:top w:val="nil"/>
              <w:left w:val="nil"/>
              <w:bottom w:val="nil"/>
              <w:right w:val="single" w:sz="4" w:space="0" w:color="auto"/>
            </w:tcBorders>
            <w:shd w:val="clear" w:color="auto" w:fill="auto"/>
            <w:noWrap/>
            <w:vAlign w:val="center"/>
            <w:hideMark/>
          </w:tcPr>
          <w:p w14:paraId="44ECB9FF"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SDF.E586</w:t>
            </w:r>
          </w:p>
        </w:tc>
      </w:tr>
      <w:tr w:rsidR="0055312B" w:rsidRPr="0055312B" w14:paraId="76A99374" w14:textId="77777777" w:rsidTr="00E67116">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tcPr>
          <w:p w14:paraId="144DC9B1" w14:textId="04F052A0" w:rsidR="0055312B" w:rsidRPr="0055312B" w:rsidRDefault="0055312B" w:rsidP="002315E1">
            <w:pPr>
              <w:spacing w:after="0" w:line="240" w:lineRule="auto"/>
              <w:jc w:val="center"/>
              <w:rPr>
                <w:rFonts w:ascii="Arial Narrow" w:eastAsia="Times New Roman" w:hAnsi="Arial Narrow" w:cs="Arial"/>
                <w:color w:val="0070C0"/>
                <w:sz w:val="16"/>
                <w:szCs w:val="16"/>
                <w:lang w:eastAsia="pt-BR"/>
              </w:rPr>
            </w:pPr>
            <w:r w:rsidRPr="0055312B">
              <w:rPr>
                <w:rFonts w:ascii="Arial Narrow" w:eastAsia="Times New Roman" w:hAnsi="Arial Narrow" w:cs="Arial"/>
                <w:color w:val="0070C0"/>
                <w:sz w:val="16"/>
                <w:szCs w:val="16"/>
                <w:lang w:eastAsia="pt-BR"/>
              </w:rPr>
              <w:t>676</w:t>
            </w:r>
          </w:p>
        </w:tc>
        <w:tc>
          <w:tcPr>
            <w:tcW w:w="9866" w:type="dxa"/>
            <w:tcBorders>
              <w:top w:val="nil"/>
              <w:left w:val="nil"/>
              <w:bottom w:val="single" w:sz="4" w:space="0" w:color="D9D9D9"/>
            </w:tcBorders>
            <w:shd w:val="clear" w:color="auto" w:fill="auto"/>
            <w:vAlign w:val="center"/>
          </w:tcPr>
          <w:p w14:paraId="073F34E4" w14:textId="68ADEA91" w:rsidR="0055312B" w:rsidRPr="0055312B" w:rsidRDefault="0055312B" w:rsidP="002315E1">
            <w:pPr>
              <w:spacing w:after="0" w:line="240" w:lineRule="auto"/>
              <w:rPr>
                <w:rFonts w:ascii="Arial Narrow" w:eastAsia="Times New Roman" w:hAnsi="Arial Narrow" w:cs="Arial"/>
                <w:color w:val="0070C0"/>
                <w:sz w:val="16"/>
                <w:szCs w:val="16"/>
                <w:lang w:eastAsia="pt-BR"/>
              </w:rPr>
            </w:pPr>
            <w:r w:rsidRPr="0055312B">
              <w:rPr>
                <w:rFonts w:ascii="Arial Narrow" w:eastAsia="Times New Roman" w:hAnsi="Arial Narrow" w:cs="Arial"/>
                <w:color w:val="0070C0"/>
                <w:sz w:val="16"/>
                <w:szCs w:val="16"/>
                <w:lang w:eastAsia="pt-BR"/>
              </w:rPr>
              <w:t>SUPERÁVIT FINANCEIRO - FUNDO DE PROTEÇÃO SOCIAL DOS MILITARES (OUTRAS DESTINAÇÕES DE RECURSOS).</w:t>
            </w:r>
          </w:p>
        </w:tc>
        <w:tc>
          <w:tcPr>
            <w:tcW w:w="970" w:type="dxa"/>
            <w:tcBorders>
              <w:top w:val="nil"/>
              <w:bottom w:val="nil"/>
              <w:right w:val="single" w:sz="4" w:space="0" w:color="auto"/>
            </w:tcBorders>
            <w:shd w:val="clear" w:color="auto" w:fill="auto"/>
            <w:noWrap/>
            <w:vAlign w:val="center"/>
          </w:tcPr>
          <w:p w14:paraId="1EDCBB0A" w14:textId="77777777" w:rsidR="0055312B" w:rsidRPr="0055312B" w:rsidRDefault="0055312B" w:rsidP="002315E1">
            <w:pPr>
              <w:spacing w:after="0" w:line="240" w:lineRule="auto"/>
              <w:jc w:val="center"/>
              <w:rPr>
                <w:rFonts w:ascii="Arial Narrow" w:eastAsia="Times New Roman" w:hAnsi="Arial Narrow" w:cs="Calibri"/>
                <w:color w:val="0070C0"/>
                <w:sz w:val="16"/>
                <w:szCs w:val="16"/>
                <w:lang w:eastAsia="pt-BR"/>
              </w:rPr>
            </w:pPr>
          </w:p>
        </w:tc>
        <w:tc>
          <w:tcPr>
            <w:tcW w:w="1386" w:type="dxa"/>
            <w:tcBorders>
              <w:top w:val="nil"/>
              <w:left w:val="nil"/>
              <w:bottom w:val="nil"/>
              <w:right w:val="single" w:sz="4" w:space="0" w:color="auto"/>
            </w:tcBorders>
            <w:shd w:val="clear" w:color="auto" w:fill="auto"/>
            <w:noWrap/>
            <w:vAlign w:val="center"/>
          </w:tcPr>
          <w:p w14:paraId="1500288E" w14:textId="5927F68F" w:rsidR="0055312B" w:rsidRPr="0055312B" w:rsidRDefault="00585CD7" w:rsidP="002315E1">
            <w:pPr>
              <w:spacing w:after="0" w:line="240" w:lineRule="auto"/>
              <w:jc w:val="center"/>
              <w:rPr>
                <w:rFonts w:ascii="Arial Narrow" w:eastAsia="Times New Roman" w:hAnsi="Arial Narrow" w:cs="Arial"/>
                <w:color w:val="0070C0"/>
                <w:sz w:val="16"/>
                <w:szCs w:val="16"/>
                <w:lang w:eastAsia="pt-BR"/>
              </w:rPr>
            </w:pPr>
            <w:r>
              <w:rPr>
                <w:rFonts w:ascii="Arial Narrow" w:eastAsia="Times New Roman" w:hAnsi="Arial Narrow" w:cs="Arial"/>
                <w:color w:val="0070C0"/>
                <w:sz w:val="16"/>
                <w:szCs w:val="16"/>
                <w:lang w:eastAsia="pt-BR"/>
              </w:rPr>
              <w:t>SDF.D60</w:t>
            </w:r>
            <w:r w:rsidR="00EE1E89">
              <w:rPr>
                <w:rFonts w:ascii="Arial Narrow" w:eastAsia="Times New Roman" w:hAnsi="Arial Narrow" w:cs="Arial"/>
                <w:color w:val="0070C0"/>
                <w:sz w:val="16"/>
                <w:szCs w:val="16"/>
                <w:lang w:eastAsia="pt-BR"/>
              </w:rPr>
              <w:t>7</w:t>
            </w:r>
          </w:p>
        </w:tc>
        <w:tc>
          <w:tcPr>
            <w:tcW w:w="1246" w:type="dxa"/>
            <w:tcBorders>
              <w:top w:val="nil"/>
              <w:left w:val="nil"/>
              <w:bottom w:val="nil"/>
              <w:right w:val="single" w:sz="4" w:space="0" w:color="auto"/>
            </w:tcBorders>
            <w:shd w:val="clear" w:color="auto" w:fill="auto"/>
            <w:noWrap/>
            <w:vAlign w:val="center"/>
          </w:tcPr>
          <w:p w14:paraId="422092B9" w14:textId="1C0F720E" w:rsidR="0055312B" w:rsidRPr="0055312B" w:rsidRDefault="00585CD7" w:rsidP="002315E1">
            <w:pPr>
              <w:spacing w:after="0" w:line="240" w:lineRule="auto"/>
              <w:jc w:val="center"/>
              <w:rPr>
                <w:rFonts w:ascii="Arial Narrow" w:eastAsia="Times New Roman" w:hAnsi="Arial Narrow" w:cs="Arial"/>
                <w:color w:val="0070C0"/>
                <w:sz w:val="16"/>
                <w:szCs w:val="16"/>
                <w:lang w:eastAsia="pt-BR"/>
              </w:rPr>
            </w:pPr>
            <w:r>
              <w:rPr>
                <w:rFonts w:ascii="Arial Narrow" w:eastAsia="Times New Roman" w:hAnsi="Arial Narrow" w:cs="Arial"/>
                <w:color w:val="0070C0"/>
                <w:sz w:val="16"/>
                <w:szCs w:val="16"/>
                <w:lang w:eastAsia="pt-BR"/>
              </w:rPr>
              <w:t>SDF.E60</w:t>
            </w:r>
            <w:r w:rsidR="00EE1E89">
              <w:rPr>
                <w:rFonts w:ascii="Arial Narrow" w:eastAsia="Times New Roman" w:hAnsi="Arial Narrow" w:cs="Arial"/>
                <w:color w:val="0070C0"/>
                <w:sz w:val="16"/>
                <w:szCs w:val="16"/>
                <w:lang w:eastAsia="pt-BR"/>
              </w:rPr>
              <w:t>7</w:t>
            </w:r>
          </w:p>
        </w:tc>
      </w:tr>
      <w:tr w:rsidR="005F7984" w:rsidRPr="00853884" w14:paraId="66DFCA24" w14:textId="77777777" w:rsidTr="00E67116">
        <w:trPr>
          <w:trHeight w:val="302"/>
        </w:trPr>
        <w:tc>
          <w:tcPr>
            <w:tcW w:w="938" w:type="dxa"/>
            <w:tcBorders>
              <w:top w:val="nil"/>
              <w:left w:val="single" w:sz="4" w:space="0" w:color="auto"/>
              <w:bottom w:val="nil"/>
              <w:right w:val="single" w:sz="4" w:space="0" w:color="auto"/>
            </w:tcBorders>
            <w:shd w:val="clear" w:color="auto" w:fill="auto"/>
            <w:noWrap/>
            <w:vAlign w:val="center"/>
            <w:hideMark/>
          </w:tcPr>
          <w:p w14:paraId="7CBD1120"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 </w:t>
            </w:r>
          </w:p>
        </w:tc>
        <w:tc>
          <w:tcPr>
            <w:tcW w:w="9866" w:type="dxa"/>
            <w:tcBorders>
              <w:top w:val="nil"/>
              <w:left w:val="nil"/>
              <w:bottom w:val="nil"/>
            </w:tcBorders>
            <w:shd w:val="clear" w:color="auto" w:fill="auto"/>
            <w:noWrap/>
            <w:vAlign w:val="center"/>
            <w:hideMark/>
          </w:tcPr>
          <w:p w14:paraId="7C46E5CB" w14:textId="77777777" w:rsidR="005F7984" w:rsidRPr="00853884" w:rsidRDefault="005F7984" w:rsidP="002315E1">
            <w:pPr>
              <w:spacing w:after="0" w:line="240" w:lineRule="auto"/>
              <w:rPr>
                <w:rFonts w:ascii="Arial Narrow" w:eastAsia="Times New Roman" w:hAnsi="Arial Narrow" w:cs="Arial"/>
                <w:b/>
                <w:bCs/>
                <w:sz w:val="16"/>
                <w:szCs w:val="16"/>
                <w:lang w:eastAsia="pt-BR"/>
              </w:rPr>
            </w:pPr>
            <w:r w:rsidRPr="00853884">
              <w:rPr>
                <w:rFonts w:ascii="Arial Narrow" w:eastAsia="Times New Roman" w:hAnsi="Arial Narrow" w:cs="Arial"/>
                <w:b/>
                <w:bCs/>
                <w:sz w:val="16"/>
                <w:szCs w:val="16"/>
                <w:lang w:eastAsia="pt-BR"/>
              </w:rPr>
              <w:t xml:space="preserve">  RECURSOS VINCULADOS À SEGURIDADE SOCIAL</w:t>
            </w:r>
          </w:p>
        </w:tc>
        <w:tc>
          <w:tcPr>
            <w:tcW w:w="970" w:type="dxa"/>
            <w:tcBorders>
              <w:top w:val="nil"/>
              <w:bottom w:val="nil"/>
              <w:right w:val="single" w:sz="4" w:space="0" w:color="auto"/>
            </w:tcBorders>
            <w:shd w:val="clear" w:color="auto" w:fill="auto"/>
            <w:noWrap/>
            <w:vAlign w:val="center"/>
          </w:tcPr>
          <w:p w14:paraId="46EA8F9C" w14:textId="77777777" w:rsidR="005F7984" w:rsidRPr="00853884" w:rsidRDefault="005F7984" w:rsidP="002315E1">
            <w:pPr>
              <w:spacing w:after="0" w:line="240" w:lineRule="auto"/>
              <w:jc w:val="center"/>
              <w:rPr>
                <w:rFonts w:ascii="Arial Narrow" w:eastAsia="Times New Roman" w:hAnsi="Arial Narrow" w:cs="Arial"/>
                <w:b/>
                <w:bCs/>
                <w:color w:val="0070C0"/>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2F943F0C" w14:textId="77777777" w:rsidR="005F7984" w:rsidRPr="00853884" w:rsidRDefault="005F7984" w:rsidP="002315E1">
            <w:pPr>
              <w:spacing w:after="0" w:line="240" w:lineRule="auto"/>
              <w:jc w:val="center"/>
              <w:rPr>
                <w:rFonts w:ascii="Arial Narrow" w:eastAsia="Times New Roman" w:hAnsi="Arial Narrow" w:cs="Arial"/>
                <w:b/>
                <w:bCs/>
                <w:sz w:val="16"/>
                <w:szCs w:val="16"/>
                <w:lang w:eastAsia="pt-BR"/>
              </w:rPr>
            </w:pPr>
            <w:r w:rsidRPr="00853884">
              <w:rPr>
                <w:rFonts w:ascii="Arial Narrow" w:eastAsia="Times New Roman" w:hAnsi="Arial Narrow" w:cs="Arial"/>
                <w:b/>
                <w:bCs/>
                <w:sz w:val="16"/>
                <w:szCs w:val="16"/>
                <w:lang w:eastAsia="pt-BR"/>
              </w:rPr>
              <w:t>SDF.D080</w:t>
            </w:r>
          </w:p>
        </w:tc>
        <w:tc>
          <w:tcPr>
            <w:tcW w:w="1246" w:type="dxa"/>
            <w:tcBorders>
              <w:top w:val="nil"/>
              <w:left w:val="nil"/>
              <w:bottom w:val="nil"/>
              <w:right w:val="single" w:sz="4" w:space="0" w:color="auto"/>
            </w:tcBorders>
            <w:shd w:val="clear" w:color="auto" w:fill="auto"/>
            <w:noWrap/>
            <w:vAlign w:val="center"/>
            <w:hideMark/>
          </w:tcPr>
          <w:p w14:paraId="65436DFF" w14:textId="77777777" w:rsidR="005F7984" w:rsidRPr="00853884" w:rsidRDefault="005F7984" w:rsidP="002315E1">
            <w:pPr>
              <w:spacing w:after="0" w:line="240" w:lineRule="auto"/>
              <w:jc w:val="center"/>
              <w:rPr>
                <w:rFonts w:ascii="Arial Narrow" w:eastAsia="Times New Roman" w:hAnsi="Arial Narrow" w:cs="Arial"/>
                <w:b/>
                <w:bCs/>
                <w:sz w:val="16"/>
                <w:szCs w:val="16"/>
                <w:lang w:eastAsia="pt-BR"/>
              </w:rPr>
            </w:pPr>
            <w:r w:rsidRPr="00853884">
              <w:rPr>
                <w:rFonts w:ascii="Arial Narrow" w:eastAsia="Times New Roman" w:hAnsi="Arial Narrow" w:cs="Arial"/>
                <w:b/>
                <w:bCs/>
                <w:sz w:val="16"/>
                <w:szCs w:val="16"/>
                <w:lang w:eastAsia="pt-BR"/>
              </w:rPr>
              <w:t>SDF.E080</w:t>
            </w:r>
          </w:p>
        </w:tc>
      </w:tr>
      <w:tr w:rsidR="005F7984" w:rsidRPr="00853884" w14:paraId="5516F881" w14:textId="77777777" w:rsidTr="00E67116">
        <w:trPr>
          <w:trHeight w:val="302"/>
        </w:trPr>
        <w:tc>
          <w:tcPr>
            <w:tcW w:w="938" w:type="dxa"/>
            <w:tcBorders>
              <w:top w:val="single" w:sz="4" w:space="0" w:color="D9D9D9"/>
              <w:left w:val="single" w:sz="4" w:space="0" w:color="auto"/>
              <w:bottom w:val="single" w:sz="4" w:space="0" w:color="D9D9D9"/>
              <w:right w:val="single" w:sz="4" w:space="0" w:color="auto"/>
            </w:tcBorders>
            <w:shd w:val="clear" w:color="auto" w:fill="auto"/>
            <w:vAlign w:val="center"/>
            <w:hideMark/>
          </w:tcPr>
          <w:p w14:paraId="325AC69B"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130</w:t>
            </w:r>
          </w:p>
        </w:tc>
        <w:tc>
          <w:tcPr>
            <w:tcW w:w="9866" w:type="dxa"/>
            <w:tcBorders>
              <w:top w:val="nil"/>
              <w:left w:val="nil"/>
              <w:bottom w:val="nil"/>
            </w:tcBorders>
            <w:shd w:val="clear" w:color="auto" w:fill="auto"/>
            <w:noWrap/>
            <w:vAlign w:val="center"/>
            <w:hideMark/>
          </w:tcPr>
          <w:p w14:paraId="5F8207FE" w14:textId="77777777" w:rsidR="005F7984" w:rsidRPr="00853884" w:rsidRDefault="005F7984"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PROGRAMA FEDERATIVO DE ENFRENTAMENTO AO COVID-19 VINCULADO ÀS AÇÕES DE SAÚDE E ASSISTÊNCIA SOCIAL – LC 173/20</w:t>
            </w:r>
          </w:p>
        </w:tc>
        <w:tc>
          <w:tcPr>
            <w:tcW w:w="970" w:type="dxa"/>
            <w:tcBorders>
              <w:top w:val="nil"/>
              <w:bottom w:val="nil"/>
              <w:right w:val="single" w:sz="4" w:space="0" w:color="auto"/>
            </w:tcBorders>
            <w:shd w:val="clear" w:color="auto" w:fill="auto"/>
            <w:noWrap/>
            <w:vAlign w:val="center"/>
          </w:tcPr>
          <w:p w14:paraId="1A797364" w14:textId="77777777" w:rsidR="005F7984" w:rsidRPr="00853884" w:rsidRDefault="005F7984" w:rsidP="002315E1">
            <w:pPr>
              <w:spacing w:after="0" w:line="240" w:lineRule="auto"/>
              <w:jc w:val="center"/>
              <w:rPr>
                <w:rFonts w:ascii="Arial Narrow" w:eastAsia="Times New Roman" w:hAnsi="Arial Narrow" w:cs="Arial"/>
                <w:color w:val="FF0000"/>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404C8E2F"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SDF.D601</w:t>
            </w:r>
          </w:p>
        </w:tc>
        <w:tc>
          <w:tcPr>
            <w:tcW w:w="1246" w:type="dxa"/>
            <w:tcBorders>
              <w:top w:val="nil"/>
              <w:left w:val="nil"/>
              <w:bottom w:val="nil"/>
              <w:right w:val="single" w:sz="4" w:space="0" w:color="auto"/>
            </w:tcBorders>
            <w:shd w:val="clear" w:color="auto" w:fill="auto"/>
            <w:noWrap/>
            <w:vAlign w:val="center"/>
            <w:hideMark/>
          </w:tcPr>
          <w:p w14:paraId="53F76628"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SDF.E601</w:t>
            </w:r>
          </w:p>
        </w:tc>
      </w:tr>
      <w:tr w:rsidR="005F7984" w:rsidRPr="00853884" w14:paraId="5681AD2E" w14:textId="77777777" w:rsidTr="00E67116">
        <w:trPr>
          <w:trHeight w:val="302"/>
        </w:trPr>
        <w:tc>
          <w:tcPr>
            <w:tcW w:w="938" w:type="dxa"/>
            <w:tcBorders>
              <w:top w:val="nil"/>
              <w:left w:val="single" w:sz="4" w:space="0" w:color="auto"/>
              <w:bottom w:val="nil"/>
              <w:right w:val="single" w:sz="4" w:space="0" w:color="auto"/>
            </w:tcBorders>
            <w:shd w:val="clear" w:color="auto" w:fill="auto"/>
            <w:noWrap/>
            <w:vAlign w:val="center"/>
            <w:hideMark/>
          </w:tcPr>
          <w:p w14:paraId="6D483CE2"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 </w:t>
            </w:r>
          </w:p>
        </w:tc>
        <w:tc>
          <w:tcPr>
            <w:tcW w:w="9866" w:type="dxa"/>
            <w:tcBorders>
              <w:top w:val="nil"/>
              <w:left w:val="nil"/>
              <w:bottom w:val="nil"/>
            </w:tcBorders>
            <w:shd w:val="clear" w:color="auto" w:fill="auto"/>
            <w:noWrap/>
            <w:vAlign w:val="center"/>
            <w:hideMark/>
          </w:tcPr>
          <w:p w14:paraId="0754AA02" w14:textId="77777777" w:rsidR="005F7984" w:rsidRPr="00853884" w:rsidRDefault="005F7984" w:rsidP="002315E1">
            <w:pPr>
              <w:spacing w:after="0" w:line="240" w:lineRule="auto"/>
              <w:rPr>
                <w:rFonts w:ascii="Arial Narrow" w:eastAsia="Times New Roman" w:hAnsi="Arial Narrow" w:cs="Arial"/>
                <w:b/>
                <w:bCs/>
                <w:sz w:val="16"/>
                <w:szCs w:val="16"/>
                <w:lang w:eastAsia="pt-BR"/>
              </w:rPr>
            </w:pPr>
            <w:r w:rsidRPr="00853884">
              <w:rPr>
                <w:rFonts w:ascii="Arial Narrow" w:eastAsia="Times New Roman" w:hAnsi="Arial Narrow" w:cs="Arial"/>
                <w:b/>
                <w:bCs/>
                <w:sz w:val="16"/>
                <w:szCs w:val="16"/>
                <w:lang w:eastAsia="pt-BR"/>
              </w:rPr>
              <w:t xml:space="preserve"> OUTRAS DESTINAÇÕES DE RECURSOS</w:t>
            </w:r>
          </w:p>
        </w:tc>
        <w:tc>
          <w:tcPr>
            <w:tcW w:w="970" w:type="dxa"/>
            <w:tcBorders>
              <w:top w:val="nil"/>
              <w:bottom w:val="nil"/>
              <w:right w:val="single" w:sz="4" w:space="0" w:color="auto"/>
            </w:tcBorders>
            <w:shd w:val="clear" w:color="auto" w:fill="auto"/>
            <w:noWrap/>
            <w:vAlign w:val="center"/>
          </w:tcPr>
          <w:p w14:paraId="560AC499" w14:textId="77777777" w:rsidR="005F7984" w:rsidRPr="00853884" w:rsidRDefault="005F7984" w:rsidP="002315E1">
            <w:pPr>
              <w:spacing w:after="0" w:line="240" w:lineRule="auto"/>
              <w:jc w:val="center"/>
              <w:rPr>
                <w:rFonts w:ascii="Arial Narrow" w:eastAsia="Times New Roman" w:hAnsi="Arial Narrow" w:cs="Arial"/>
                <w:b/>
                <w:bCs/>
                <w:color w:val="0070C0"/>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7625126C" w14:textId="77777777" w:rsidR="005F7984" w:rsidRPr="00853884" w:rsidRDefault="005F7984" w:rsidP="002315E1">
            <w:pPr>
              <w:spacing w:after="0" w:line="240" w:lineRule="auto"/>
              <w:jc w:val="center"/>
              <w:rPr>
                <w:rFonts w:ascii="Arial Narrow" w:eastAsia="Times New Roman" w:hAnsi="Arial Narrow" w:cs="Arial"/>
                <w:b/>
                <w:bCs/>
                <w:sz w:val="16"/>
                <w:szCs w:val="16"/>
                <w:lang w:eastAsia="pt-BR"/>
              </w:rPr>
            </w:pPr>
            <w:r w:rsidRPr="00853884">
              <w:rPr>
                <w:rFonts w:ascii="Arial Narrow" w:eastAsia="Times New Roman" w:hAnsi="Arial Narrow" w:cs="Arial"/>
                <w:b/>
                <w:bCs/>
                <w:sz w:val="16"/>
                <w:szCs w:val="16"/>
                <w:lang w:eastAsia="pt-BR"/>
              </w:rPr>
              <w:t>SDF.D081</w:t>
            </w:r>
          </w:p>
        </w:tc>
        <w:tc>
          <w:tcPr>
            <w:tcW w:w="1246" w:type="dxa"/>
            <w:tcBorders>
              <w:top w:val="nil"/>
              <w:left w:val="nil"/>
              <w:bottom w:val="nil"/>
              <w:right w:val="single" w:sz="4" w:space="0" w:color="auto"/>
            </w:tcBorders>
            <w:shd w:val="clear" w:color="auto" w:fill="auto"/>
            <w:noWrap/>
            <w:vAlign w:val="center"/>
            <w:hideMark/>
          </w:tcPr>
          <w:p w14:paraId="0740A835" w14:textId="77777777" w:rsidR="005F7984" w:rsidRPr="00853884" w:rsidRDefault="005F7984" w:rsidP="002315E1">
            <w:pPr>
              <w:spacing w:after="0" w:line="240" w:lineRule="auto"/>
              <w:jc w:val="center"/>
              <w:rPr>
                <w:rFonts w:ascii="Arial Narrow" w:eastAsia="Times New Roman" w:hAnsi="Arial Narrow" w:cs="Arial"/>
                <w:b/>
                <w:bCs/>
                <w:sz w:val="16"/>
                <w:szCs w:val="16"/>
                <w:lang w:eastAsia="pt-BR"/>
              </w:rPr>
            </w:pPr>
            <w:r w:rsidRPr="00853884">
              <w:rPr>
                <w:rFonts w:ascii="Arial Narrow" w:eastAsia="Times New Roman" w:hAnsi="Arial Narrow" w:cs="Arial"/>
                <w:b/>
                <w:bCs/>
                <w:sz w:val="16"/>
                <w:szCs w:val="16"/>
                <w:lang w:eastAsia="pt-BR"/>
              </w:rPr>
              <w:t>SDF.E081</w:t>
            </w:r>
          </w:p>
        </w:tc>
      </w:tr>
      <w:tr w:rsidR="005F7984" w:rsidRPr="00853884" w14:paraId="1E785770" w14:textId="77777777" w:rsidTr="00E67116">
        <w:trPr>
          <w:trHeight w:val="302"/>
        </w:trPr>
        <w:tc>
          <w:tcPr>
            <w:tcW w:w="938" w:type="dxa"/>
            <w:tcBorders>
              <w:top w:val="single" w:sz="4" w:space="0" w:color="D9D9D9"/>
              <w:left w:val="single" w:sz="4" w:space="0" w:color="auto"/>
              <w:bottom w:val="single" w:sz="4" w:space="0" w:color="D9D9D9"/>
              <w:right w:val="single" w:sz="4" w:space="0" w:color="auto"/>
            </w:tcBorders>
            <w:shd w:val="clear" w:color="auto" w:fill="auto"/>
            <w:vAlign w:val="center"/>
            <w:hideMark/>
          </w:tcPr>
          <w:p w14:paraId="47DD92D4"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000</w:t>
            </w:r>
          </w:p>
        </w:tc>
        <w:tc>
          <w:tcPr>
            <w:tcW w:w="9866" w:type="dxa"/>
            <w:tcBorders>
              <w:top w:val="single" w:sz="4" w:space="0" w:color="D9D9D9"/>
              <w:left w:val="nil"/>
              <w:bottom w:val="single" w:sz="4" w:space="0" w:color="D9D9D9"/>
            </w:tcBorders>
            <w:shd w:val="clear" w:color="auto" w:fill="auto"/>
            <w:vAlign w:val="center"/>
            <w:hideMark/>
          </w:tcPr>
          <w:p w14:paraId="1A56B60B" w14:textId="77777777" w:rsidR="005F7984" w:rsidRPr="00853884" w:rsidRDefault="005F7984"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CAUÇÕES E VALORES RESTITUÍVEIS</w:t>
            </w:r>
          </w:p>
        </w:tc>
        <w:tc>
          <w:tcPr>
            <w:tcW w:w="970" w:type="dxa"/>
            <w:tcBorders>
              <w:top w:val="nil"/>
              <w:bottom w:val="nil"/>
              <w:right w:val="single" w:sz="4" w:space="0" w:color="auto"/>
            </w:tcBorders>
            <w:shd w:val="clear" w:color="auto" w:fill="auto"/>
            <w:noWrap/>
            <w:vAlign w:val="center"/>
          </w:tcPr>
          <w:p w14:paraId="0B929479" w14:textId="77777777" w:rsidR="005F7984" w:rsidRPr="00853884" w:rsidRDefault="005F7984" w:rsidP="002315E1">
            <w:pPr>
              <w:spacing w:after="0" w:line="240" w:lineRule="auto"/>
              <w:jc w:val="center"/>
              <w:rPr>
                <w:rFonts w:ascii="Arial Narrow" w:eastAsia="Times New Roman" w:hAnsi="Arial Narrow" w:cs="Calibri"/>
                <w:color w:val="FF0000"/>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11569C95"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SDF.D503</w:t>
            </w:r>
          </w:p>
        </w:tc>
        <w:tc>
          <w:tcPr>
            <w:tcW w:w="1246" w:type="dxa"/>
            <w:tcBorders>
              <w:top w:val="nil"/>
              <w:left w:val="nil"/>
              <w:bottom w:val="nil"/>
              <w:right w:val="single" w:sz="4" w:space="0" w:color="auto"/>
            </w:tcBorders>
            <w:shd w:val="clear" w:color="auto" w:fill="auto"/>
            <w:noWrap/>
            <w:vAlign w:val="center"/>
            <w:hideMark/>
          </w:tcPr>
          <w:p w14:paraId="42C1C391"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SDF.E503</w:t>
            </w:r>
          </w:p>
        </w:tc>
      </w:tr>
      <w:tr w:rsidR="005F7984" w:rsidRPr="00853884" w14:paraId="2ECB9EBE" w14:textId="77777777" w:rsidTr="00E67116">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09BF1B4A"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107</w:t>
            </w:r>
          </w:p>
        </w:tc>
        <w:tc>
          <w:tcPr>
            <w:tcW w:w="9866" w:type="dxa"/>
            <w:tcBorders>
              <w:top w:val="nil"/>
              <w:left w:val="nil"/>
              <w:bottom w:val="single" w:sz="4" w:space="0" w:color="D9D9D9"/>
            </w:tcBorders>
            <w:shd w:val="clear" w:color="auto" w:fill="auto"/>
            <w:vAlign w:val="center"/>
            <w:hideMark/>
          </w:tcPr>
          <w:p w14:paraId="038690D2" w14:textId="77777777" w:rsidR="005F7984" w:rsidRPr="00853884" w:rsidRDefault="005F7984"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ROYALTIES, PARTICIPAÇÃO ESPECIAL E FUNDO ESPECIAL DO PETRÓLEO</w:t>
            </w:r>
          </w:p>
        </w:tc>
        <w:tc>
          <w:tcPr>
            <w:tcW w:w="970" w:type="dxa"/>
            <w:tcBorders>
              <w:top w:val="nil"/>
              <w:bottom w:val="nil"/>
              <w:right w:val="single" w:sz="4" w:space="0" w:color="auto"/>
            </w:tcBorders>
            <w:shd w:val="clear" w:color="auto" w:fill="auto"/>
            <w:noWrap/>
            <w:vAlign w:val="center"/>
          </w:tcPr>
          <w:p w14:paraId="5C6E7ED6" w14:textId="77777777" w:rsidR="005F7984" w:rsidRPr="00853884" w:rsidRDefault="005F7984" w:rsidP="002315E1">
            <w:pPr>
              <w:spacing w:after="0" w:line="240" w:lineRule="auto"/>
              <w:jc w:val="center"/>
              <w:rPr>
                <w:rFonts w:ascii="Arial Narrow" w:eastAsia="Times New Roman" w:hAnsi="Arial Narrow" w:cs="Calibri"/>
                <w:color w:val="FF0000"/>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1604BA93"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SDF.D594</w:t>
            </w:r>
          </w:p>
        </w:tc>
        <w:tc>
          <w:tcPr>
            <w:tcW w:w="1246" w:type="dxa"/>
            <w:tcBorders>
              <w:top w:val="nil"/>
              <w:left w:val="nil"/>
              <w:bottom w:val="nil"/>
              <w:right w:val="single" w:sz="4" w:space="0" w:color="auto"/>
            </w:tcBorders>
            <w:shd w:val="clear" w:color="auto" w:fill="auto"/>
            <w:noWrap/>
            <w:vAlign w:val="center"/>
            <w:hideMark/>
          </w:tcPr>
          <w:p w14:paraId="4E766348"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SDF.E594</w:t>
            </w:r>
          </w:p>
        </w:tc>
      </w:tr>
      <w:tr w:rsidR="005F7984" w:rsidRPr="00853884" w14:paraId="702CE2DE" w14:textId="77777777" w:rsidTr="00E67116">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5495B3D7"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lastRenderedPageBreak/>
              <w:t>108</w:t>
            </w:r>
          </w:p>
        </w:tc>
        <w:tc>
          <w:tcPr>
            <w:tcW w:w="9866" w:type="dxa"/>
            <w:tcBorders>
              <w:top w:val="nil"/>
              <w:left w:val="nil"/>
              <w:bottom w:val="single" w:sz="4" w:space="0" w:color="D9D9D9"/>
            </w:tcBorders>
            <w:shd w:val="clear" w:color="auto" w:fill="auto"/>
            <w:vAlign w:val="center"/>
            <w:hideMark/>
          </w:tcPr>
          <w:p w14:paraId="0E2130A0" w14:textId="77777777" w:rsidR="005F7984" w:rsidRPr="00853884" w:rsidRDefault="005F7984"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DISTRIBUIÇÃO DA CESSÃO ONEROSA DO BÔNUS DE ASSINATURA DO PRÉ-SAL - LEI Nº 13.885/2019</w:t>
            </w:r>
          </w:p>
        </w:tc>
        <w:tc>
          <w:tcPr>
            <w:tcW w:w="970" w:type="dxa"/>
            <w:tcBorders>
              <w:top w:val="nil"/>
              <w:bottom w:val="nil"/>
              <w:right w:val="single" w:sz="4" w:space="0" w:color="auto"/>
            </w:tcBorders>
            <w:shd w:val="clear" w:color="auto" w:fill="auto"/>
            <w:noWrap/>
            <w:vAlign w:val="center"/>
          </w:tcPr>
          <w:p w14:paraId="2A5324B8" w14:textId="77777777" w:rsidR="005F7984" w:rsidRPr="00853884" w:rsidRDefault="005F7984" w:rsidP="002315E1">
            <w:pPr>
              <w:spacing w:after="0" w:line="240" w:lineRule="auto"/>
              <w:jc w:val="center"/>
              <w:rPr>
                <w:rFonts w:ascii="Arial Narrow" w:eastAsia="Times New Roman" w:hAnsi="Arial Narrow" w:cs="Calibri"/>
                <w:color w:val="FF0000"/>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52B48255"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SDF.D595</w:t>
            </w:r>
          </w:p>
        </w:tc>
        <w:tc>
          <w:tcPr>
            <w:tcW w:w="1246" w:type="dxa"/>
            <w:tcBorders>
              <w:top w:val="nil"/>
              <w:left w:val="nil"/>
              <w:bottom w:val="nil"/>
              <w:right w:val="single" w:sz="4" w:space="0" w:color="auto"/>
            </w:tcBorders>
            <w:shd w:val="clear" w:color="auto" w:fill="auto"/>
            <w:noWrap/>
            <w:vAlign w:val="center"/>
            <w:hideMark/>
          </w:tcPr>
          <w:p w14:paraId="71F8C866"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SDF.E595</w:t>
            </w:r>
          </w:p>
        </w:tc>
      </w:tr>
      <w:tr w:rsidR="005F7984" w:rsidRPr="00853884" w14:paraId="12FD3450" w14:textId="77777777" w:rsidTr="00E67116">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05085B8F"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112</w:t>
            </w:r>
          </w:p>
        </w:tc>
        <w:tc>
          <w:tcPr>
            <w:tcW w:w="9866" w:type="dxa"/>
            <w:tcBorders>
              <w:top w:val="nil"/>
              <w:left w:val="nil"/>
              <w:bottom w:val="single" w:sz="4" w:space="0" w:color="D9D9D9"/>
            </w:tcBorders>
            <w:shd w:val="clear" w:color="auto" w:fill="auto"/>
            <w:vAlign w:val="center"/>
            <w:hideMark/>
          </w:tcPr>
          <w:p w14:paraId="2CAD28A2" w14:textId="77777777" w:rsidR="005F7984" w:rsidRPr="00853884" w:rsidRDefault="005F7984"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SUPERÁVIT FINANCEIRO - DEC 2.829-R, DE 17/08/11</w:t>
            </w:r>
          </w:p>
        </w:tc>
        <w:tc>
          <w:tcPr>
            <w:tcW w:w="970" w:type="dxa"/>
            <w:tcBorders>
              <w:top w:val="nil"/>
              <w:bottom w:val="nil"/>
              <w:right w:val="single" w:sz="4" w:space="0" w:color="auto"/>
            </w:tcBorders>
            <w:shd w:val="clear" w:color="auto" w:fill="auto"/>
            <w:noWrap/>
            <w:vAlign w:val="center"/>
          </w:tcPr>
          <w:p w14:paraId="09FCA4B9" w14:textId="77777777" w:rsidR="005F7984" w:rsidRPr="00853884" w:rsidRDefault="005F7984" w:rsidP="002315E1">
            <w:pPr>
              <w:spacing w:after="0" w:line="240" w:lineRule="auto"/>
              <w:jc w:val="center"/>
              <w:rPr>
                <w:rFonts w:ascii="Arial Narrow" w:eastAsia="Times New Roman" w:hAnsi="Arial Narrow" w:cs="Calibri"/>
                <w:color w:val="FF0000"/>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3C4806D4"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SDF.D506</w:t>
            </w:r>
          </w:p>
        </w:tc>
        <w:tc>
          <w:tcPr>
            <w:tcW w:w="1246" w:type="dxa"/>
            <w:tcBorders>
              <w:top w:val="nil"/>
              <w:left w:val="nil"/>
              <w:bottom w:val="nil"/>
              <w:right w:val="single" w:sz="4" w:space="0" w:color="auto"/>
            </w:tcBorders>
            <w:shd w:val="clear" w:color="auto" w:fill="auto"/>
            <w:noWrap/>
            <w:vAlign w:val="center"/>
            <w:hideMark/>
          </w:tcPr>
          <w:p w14:paraId="323AC0A4"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SDF.E506</w:t>
            </w:r>
          </w:p>
        </w:tc>
      </w:tr>
      <w:tr w:rsidR="005F7984" w:rsidRPr="00853884" w14:paraId="537F75E7" w14:textId="77777777" w:rsidTr="00E67116">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16CCA7A6"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115</w:t>
            </w:r>
          </w:p>
        </w:tc>
        <w:tc>
          <w:tcPr>
            <w:tcW w:w="9866" w:type="dxa"/>
            <w:tcBorders>
              <w:top w:val="nil"/>
              <w:left w:val="nil"/>
              <w:bottom w:val="single" w:sz="4" w:space="0" w:color="D9D9D9"/>
            </w:tcBorders>
            <w:shd w:val="clear" w:color="auto" w:fill="auto"/>
            <w:vAlign w:val="center"/>
            <w:hideMark/>
          </w:tcPr>
          <w:p w14:paraId="444842D4" w14:textId="77777777" w:rsidR="005F7984" w:rsidRPr="00853884" w:rsidRDefault="005F7984"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ALIENAÇÃO DE BENS</w:t>
            </w:r>
          </w:p>
        </w:tc>
        <w:tc>
          <w:tcPr>
            <w:tcW w:w="970" w:type="dxa"/>
            <w:tcBorders>
              <w:top w:val="nil"/>
              <w:bottom w:val="nil"/>
              <w:right w:val="single" w:sz="4" w:space="0" w:color="auto"/>
            </w:tcBorders>
            <w:shd w:val="clear" w:color="auto" w:fill="auto"/>
            <w:noWrap/>
            <w:vAlign w:val="center"/>
          </w:tcPr>
          <w:p w14:paraId="23388959" w14:textId="77777777" w:rsidR="005F7984" w:rsidRPr="00853884" w:rsidRDefault="005F7984" w:rsidP="002315E1">
            <w:pPr>
              <w:spacing w:after="0" w:line="240" w:lineRule="auto"/>
              <w:jc w:val="center"/>
              <w:rPr>
                <w:rFonts w:ascii="Arial Narrow" w:eastAsia="Times New Roman" w:hAnsi="Arial Narrow" w:cs="Calibri"/>
                <w:color w:val="FF0000"/>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4AF9D600"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SDF.D509</w:t>
            </w:r>
          </w:p>
        </w:tc>
        <w:tc>
          <w:tcPr>
            <w:tcW w:w="1246" w:type="dxa"/>
            <w:tcBorders>
              <w:top w:val="nil"/>
              <w:left w:val="nil"/>
              <w:bottom w:val="nil"/>
              <w:right w:val="single" w:sz="4" w:space="0" w:color="auto"/>
            </w:tcBorders>
            <w:shd w:val="clear" w:color="auto" w:fill="auto"/>
            <w:noWrap/>
            <w:vAlign w:val="center"/>
            <w:hideMark/>
          </w:tcPr>
          <w:p w14:paraId="6D93A074"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SDF.E509</w:t>
            </w:r>
          </w:p>
        </w:tc>
      </w:tr>
      <w:tr w:rsidR="005F7984" w:rsidRPr="00853884" w14:paraId="2C2135DE" w14:textId="77777777" w:rsidTr="00E67116">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5BDB112F"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116</w:t>
            </w:r>
          </w:p>
        </w:tc>
        <w:tc>
          <w:tcPr>
            <w:tcW w:w="9866" w:type="dxa"/>
            <w:tcBorders>
              <w:top w:val="nil"/>
              <w:left w:val="nil"/>
              <w:bottom w:val="single" w:sz="4" w:space="0" w:color="D9D9D9"/>
            </w:tcBorders>
            <w:shd w:val="clear" w:color="auto" w:fill="auto"/>
            <w:vAlign w:val="center"/>
            <w:hideMark/>
          </w:tcPr>
          <w:p w14:paraId="7E2F11FC" w14:textId="77777777" w:rsidR="005F7984" w:rsidRPr="00853884" w:rsidRDefault="005F7984"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DEPÓSITOS JUDICIAIS - LEI 10.549, DE 01/07/16</w:t>
            </w:r>
          </w:p>
        </w:tc>
        <w:tc>
          <w:tcPr>
            <w:tcW w:w="970" w:type="dxa"/>
            <w:tcBorders>
              <w:top w:val="nil"/>
              <w:bottom w:val="nil"/>
              <w:right w:val="single" w:sz="4" w:space="0" w:color="auto"/>
            </w:tcBorders>
            <w:shd w:val="clear" w:color="auto" w:fill="auto"/>
            <w:noWrap/>
            <w:vAlign w:val="center"/>
          </w:tcPr>
          <w:p w14:paraId="6ED1EF8C" w14:textId="77777777" w:rsidR="005F7984" w:rsidRPr="00853884" w:rsidRDefault="005F7984" w:rsidP="002315E1">
            <w:pPr>
              <w:spacing w:after="0" w:line="240" w:lineRule="auto"/>
              <w:jc w:val="center"/>
              <w:rPr>
                <w:rFonts w:ascii="Arial Narrow" w:eastAsia="Times New Roman" w:hAnsi="Arial Narrow" w:cs="Calibri"/>
                <w:color w:val="FF0000"/>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06DFC992"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SDF.D510</w:t>
            </w:r>
          </w:p>
        </w:tc>
        <w:tc>
          <w:tcPr>
            <w:tcW w:w="1246" w:type="dxa"/>
            <w:tcBorders>
              <w:top w:val="nil"/>
              <w:left w:val="nil"/>
              <w:bottom w:val="nil"/>
              <w:right w:val="single" w:sz="4" w:space="0" w:color="auto"/>
            </w:tcBorders>
            <w:shd w:val="clear" w:color="auto" w:fill="auto"/>
            <w:noWrap/>
            <w:vAlign w:val="center"/>
            <w:hideMark/>
          </w:tcPr>
          <w:p w14:paraId="52449551"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SDF.E510</w:t>
            </w:r>
          </w:p>
        </w:tc>
      </w:tr>
      <w:tr w:rsidR="005F7984" w:rsidRPr="00853884" w14:paraId="3F82AD9E" w14:textId="77777777" w:rsidTr="00E67116">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tcPr>
          <w:p w14:paraId="111C5FA4"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Pr>
                <w:rFonts w:ascii="Arial Narrow" w:eastAsia="Times New Roman" w:hAnsi="Arial Narrow" w:cs="Arial"/>
                <w:sz w:val="16"/>
                <w:szCs w:val="16"/>
                <w:lang w:eastAsia="pt-BR"/>
              </w:rPr>
              <w:t>129</w:t>
            </w:r>
          </w:p>
        </w:tc>
        <w:tc>
          <w:tcPr>
            <w:tcW w:w="9866" w:type="dxa"/>
            <w:tcBorders>
              <w:top w:val="nil"/>
              <w:left w:val="nil"/>
              <w:bottom w:val="single" w:sz="4" w:space="0" w:color="D9D9D9"/>
            </w:tcBorders>
            <w:shd w:val="clear" w:color="auto" w:fill="auto"/>
            <w:vAlign w:val="center"/>
          </w:tcPr>
          <w:p w14:paraId="088DCFD4" w14:textId="77777777" w:rsidR="005F7984" w:rsidRPr="00853884" w:rsidRDefault="005F7984" w:rsidP="002315E1">
            <w:pPr>
              <w:spacing w:after="0" w:line="240" w:lineRule="auto"/>
              <w:rPr>
                <w:rFonts w:ascii="Arial Narrow" w:eastAsia="Times New Roman" w:hAnsi="Arial Narrow" w:cs="Arial"/>
                <w:sz w:val="16"/>
                <w:szCs w:val="16"/>
                <w:lang w:eastAsia="pt-BR"/>
              </w:rPr>
            </w:pPr>
            <w:r>
              <w:rPr>
                <w:rFonts w:ascii="Arial Narrow" w:eastAsia="Times New Roman" w:hAnsi="Arial Narrow" w:cs="Arial"/>
                <w:sz w:val="16"/>
                <w:szCs w:val="16"/>
                <w:lang w:eastAsia="pt-BR"/>
              </w:rPr>
              <w:t>CONVÊNIOS COM INSTITUIÇÕES PRIVADAS</w:t>
            </w:r>
          </w:p>
        </w:tc>
        <w:tc>
          <w:tcPr>
            <w:tcW w:w="970" w:type="dxa"/>
            <w:tcBorders>
              <w:top w:val="nil"/>
              <w:bottom w:val="nil"/>
              <w:right w:val="single" w:sz="4" w:space="0" w:color="auto"/>
            </w:tcBorders>
            <w:shd w:val="clear" w:color="auto" w:fill="auto"/>
            <w:noWrap/>
            <w:vAlign w:val="center"/>
          </w:tcPr>
          <w:p w14:paraId="436AA2CD" w14:textId="77777777" w:rsidR="005F7984" w:rsidRPr="00853884" w:rsidRDefault="005F7984" w:rsidP="002315E1">
            <w:pPr>
              <w:spacing w:after="0" w:line="240" w:lineRule="auto"/>
              <w:jc w:val="center"/>
              <w:rPr>
                <w:rFonts w:ascii="Arial Narrow" w:eastAsia="Times New Roman" w:hAnsi="Arial Narrow" w:cs="Calibri"/>
                <w:color w:val="FF0000"/>
                <w:sz w:val="16"/>
                <w:szCs w:val="16"/>
                <w:lang w:eastAsia="pt-BR"/>
              </w:rPr>
            </w:pPr>
          </w:p>
        </w:tc>
        <w:tc>
          <w:tcPr>
            <w:tcW w:w="1386" w:type="dxa"/>
            <w:tcBorders>
              <w:top w:val="nil"/>
              <w:left w:val="nil"/>
              <w:bottom w:val="nil"/>
              <w:right w:val="single" w:sz="4" w:space="0" w:color="auto"/>
            </w:tcBorders>
            <w:shd w:val="clear" w:color="auto" w:fill="auto"/>
            <w:noWrap/>
            <w:vAlign w:val="center"/>
          </w:tcPr>
          <w:p w14:paraId="6CF46172"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Pr>
                <w:rFonts w:ascii="Arial Narrow" w:eastAsia="Times New Roman" w:hAnsi="Arial Narrow" w:cs="Arial"/>
                <w:sz w:val="16"/>
                <w:szCs w:val="16"/>
                <w:lang w:eastAsia="pt-BR"/>
              </w:rPr>
              <w:t>SDF.D605</w:t>
            </w:r>
          </w:p>
        </w:tc>
        <w:tc>
          <w:tcPr>
            <w:tcW w:w="1246" w:type="dxa"/>
            <w:tcBorders>
              <w:top w:val="nil"/>
              <w:left w:val="nil"/>
              <w:bottom w:val="nil"/>
              <w:right w:val="single" w:sz="4" w:space="0" w:color="auto"/>
            </w:tcBorders>
            <w:shd w:val="clear" w:color="auto" w:fill="auto"/>
            <w:noWrap/>
            <w:vAlign w:val="center"/>
          </w:tcPr>
          <w:p w14:paraId="764B3D7C"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Pr>
                <w:rFonts w:ascii="Arial Narrow" w:eastAsia="Times New Roman" w:hAnsi="Arial Narrow" w:cs="Arial"/>
                <w:sz w:val="16"/>
                <w:szCs w:val="16"/>
                <w:lang w:eastAsia="pt-BR"/>
              </w:rPr>
              <w:t>SDF.E605</w:t>
            </w:r>
          </w:p>
        </w:tc>
      </w:tr>
      <w:tr w:rsidR="005F7984" w:rsidRPr="00853884" w14:paraId="7DD33D1C" w14:textId="77777777" w:rsidTr="00E67116">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134B4BB6"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133</w:t>
            </w:r>
          </w:p>
        </w:tc>
        <w:tc>
          <w:tcPr>
            <w:tcW w:w="9866" w:type="dxa"/>
            <w:tcBorders>
              <w:top w:val="nil"/>
              <w:left w:val="nil"/>
              <w:bottom w:val="single" w:sz="4" w:space="0" w:color="D9D9D9"/>
            </w:tcBorders>
            <w:shd w:val="clear" w:color="auto" w:fill="auto"/>
            <w:vAlign w:val="center"/>
            <w:hideMark/>
          </w:tcPr>
          <w:p w14:paraId="4AA43944" w14:textId="77777777" w:rsidR="005F7984" w:rsidRPr="00853884" w:rsidRDefault="005F7984"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CONVÊNIOS - UNIÃO</w:t>
            </w:r>
          </w:p>
        </w:tc>
        <w:tc>
          <w:tcPr>
            <w:tcW w:w="970" w:type="dxa"/>
            <w:tcBorders>
              <w:top w:val="nil"/>
              <w:bottom w:val="nil"/>
              <w:right w:val="single" w:sz="4" w:space="0" w:color="auto"/>
            </w:tcBorders>
            <w:shd w:val="clear" w:color="auto" w:fill="auto"/>
            <w:noWrap/>
            <w:vAlign w:val="center"/>
          </w:tcPr>
          <w:p w14:paraId="1935CFBB" w14:textId="77777777" w:rsidR="005F7984" w:rsidRPr="00853884" w:rsidRDefault="005F7984" w:rsidP="002315E1">
            <w:pPr>
              <w:spacing w:after="0" w:line="240" w:lineRule="auto"/>
              <w:jc w:val="center"/>
              <w:rPr>
                <w:rFonts w:ascii="Arial Narrow" w:eastAsia="Times New Roman" w:hAnsi="Arial Narrow" w:cs="Calibri"/>
                <w:color w:val="FF0000"/>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406EED3C"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SDF.D513</w:t>
            </w:r>
          </w:p>
        </w:tc>
        <w:tc>
          <w:tcPr>
            <w:tcW w:w="1246" w:type="dxa"/>
            <w:tcBorders>
              <w:top w:val="nil"/>
              <w:left w:val="nil"/>
              <w:bottom w:val="nil"/>
              <w:right w:val="single" w:sz="4" w:space="0" w:color="auto"/>
            </w:tcBorders>
            <w:shd w:val="clear" w:color="auto" w:fill="auto"/>
            <w:noWrap/>
            <w:vAlign w:val="center"/>
            <w:hideMark/>
          </w:tcPr>
          <w:p w14:paraId="7A8FE864"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SDF.E513</w:t>
            </w:r>
          </w:p>
        </w:tc>
      </w:tr>
      <w:tr w:rsidR="005F7984" w:rsidRPr="00853884" w14:paraId="0568A17B" w14:textId="77777777" w:rsidTr="00E67116">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2BDC53E2"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136</w:t>
            </w:r>
          </w:p>
        </w:tc>
        <w:tc>
          <w:tcPr>
            <w:tcW w:w="9866" w:type="dxa"/>
            <w:tcBorders>
              <w:top w:val="nil"/>
              <w:left w:val="nil"/>
              <w:bottom w:val="single" w:sz="4" w:space="0" w:color="D9D9D9"/>
            </w:tcBorders>
            <w:shd w:val="clear" w:color="auto" w:fill="auto"/>
            <w:vAlign w:val="center"/>
            <w:hideMark/>
          </w:tcPr>
          <w:p w14:paraId="3E8AD08E" w14:textId="77777777" w:rsidR="005F7984" w:rsidRPr="00853884" w:rsidRDefault="005F7984"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TRANSFERÊNCIAS CONSTITUCIONAIS A MUNICÍPIOS</w:t>
            </w:r>
          </w:p>
        </w:tc>
        <w:tc>
          <w:tcPr>
            <w:tcW w:w="970" w:type="dxa"/>
            <w:tcBorders>
              <w:top w:val="nil"/>
              <w:bottom w:val="nil"/>
              <w:right w:val="single" w:sz="4" w:space="0" w:color="auto"/>
            </w:tcBorders>
            <w:shd w:val="clear" w:color="auto" w:fill="auto"/>
            <w:noWrap/>
            <w:vAlign w:val="center"/>
          </w:tcPr>
          <w:p w14:paraId="6E6FAE0D" w14:textId="77777777" w:rsidR="005F7984" w:rsidRPr="00853884" w:rsidRDefault="005F7984" w:rsidP="002315E1">
            <w:pPr>
              <w:spacing w:after="0" w:line="240" w:lineRule="auto"/>
              <w:jc w:val="center"/>
              <w:rPr>
                <w:rFonts w:ascii="Arial Narrow" w:eastAsia="Times New Roman" w:hAnsi="Arial Narrow" w:cs="Calibri"/>
                <w:color w:val="FF0000"/>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4D751A17"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SDF.D516</w:t>
            </w:r>
          </w:p>
        </w:tc>
        <w:tc>
          <w:tcPr>
            <w:tcW w:w="1246" w:type="dxa"/>
            <w:tcBorders>
              <w:top w:val="nil"/>
              <w:left w:val="nil"/>
              <w:bottom w:val="nil"/>
              <w:right w:val="single" w:sz="4" w:space="0" w:color="auto"/>
            </w:tcBorders>
            <w:shd w:val="clear" w:color="auto" w:fill="auto"/>
            <w:noWrap/>
            <w:vAlign w:val="center"/>
            <w:hideMark/>
          </w:tcPr>
          <w:p w14:paraId="2076B774"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SDF.E516</w:t>
            </w:r>
          </w:p>
        </w:tc>
      </w:tr>
      <w:tr w:rsidR="005F7984" w:rsidRPr="00853884" w14:paraId="5FDC6A6D" w14:textId="77777777" w:rsidTr="00E67116">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1A0791F9"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138</w:t>
            </w:r>
          </w:p>
        </w:tc>
        <w:tc>
          <w:tcPr>
            <w:tcW w:w="9866" w:type="dxa"/>
            <w:tcBorders>
              <w:top w:val="nil"/>
              <w:left w:val="nil"/>
              <w:bottom w:val="single" w:sz="4" w:space="0" w:color="D9D9D9"/>
            </w:tcBorders>
            <w:shd w:val="clear" w:color="auto" w:fill="auto"/>
            <w:vAlign w:val="center"/>
            <w:hideMark/>
          </w:tcPr>
          <w:p w14:paraId="2F77D054" w14:textId="77777777" w:rsidR="005F7984" w:rsidRPr="00853884" w:rsidRDefault="005F7984"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FUNDAP</w:t>
            </w:r>
          </w:p>
        </w:tc>
        <w:tc>
          <w:tcPr>
            <w:tcW w:w="970" w:type="dxa"/>
            <w:tcBorders>
              <w:top w:val="nil"/>
              <w:bottom w:val="nil"/>
              <w:right w:val="single" w:sz="4" w:space="0" w:color="auto"/>
            </w:tcBorders>
            <w:shd w:val="clear" w:color="auto" w:fill="auto"/>
            <w:noWrap/>
            <w:vAlign w:val="center"/>
          </w:tcPr>
          <w:p w14:paraId="227FFC50" w14:textId="77777777" w:rsidR="005F7984" w:rsidRPr="00853884" w:rsidRDefault="005F7984" w:rsidP="002315E1">
            <w:pPr>
              <w:spacing w:after="0" w:line="240" w:lineRule="auto"/>
              <w:jc w:val="center"/>
              <w:rPr>
                <w:rFonts w:ascii="Arial Narrow" w:eastAsia="Times New Roman" w:hAnsi="Arial Narrow" w:cs="Calibri"/>
                <w:color w:val="FF0000"/>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22FF3BB7"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SDF.D517</w:t>
            </w:r>
          </w:p>
        </w:tc>
        <w:tc>
          <w:tcPr>
            <w:tcW w:w="1246" w:type="dxa"/>
            <w:tcBorders>
              <w:top w:val="nil"/>
              <w:left w:val="nil"/>
              <w:bottom w:val="nil"/>
              <w:right w:val="single" w:sz="4" w:space="0" w:color="auto"/>
            </w:tcBorders>
            <w:shd w:val="clear" w:color="auto" w:fill="auto"/>
            <w:noWrap/>
            <w:vAlign w:val="center"/>
            <w:hideMark/>
          </w:tcPr>
          <w:p w14:paraId="34A2AD3A"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SDF.E517</w:t>
            </w:r>
          </w:p>
        </w:tc>
      </w:tr>
      <w:tr w:rsidR="005F7984" w:rsidRPr="00853884" w14:paraId="01A06771" w14:textId="77777777" w:rsidTr="00E67116">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25EBC811"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139</w:t>
            </w:r>
          </w:p>
        </w:tc>
        <w:tc>
          <w:tcPr>
            <w:tcW w:w="9866" w:type="dxa"/>
            <w:tcBorders>
              <w:top w:val="nil"/>
              <w:left w:val="nil"/>
              <w:bottom w:val="single" w:sz="4" w:space="0" w:color="D9D9D9"/>
            </w:tcBorders>
            <w:shd w:val="clear" w:color="auto" w:fill="auto"/>
            <w:vAlign w:val="center"/>
            <w:hideMark/>
          </w:tcPr>
          <w:p w14:paraId="6167004D" w14:textId="77777777" w:rsidR="005F7984" w:rsidRPr="00853884" w:rsidRDefault="005F7984"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DOAÇÕES</w:t>
            </w:r>
          </w:p>
        </w:tc>
        <w:tc>
          <w:tcPr>
            <w:tcW w:w="970" w:type="dxa"/>
            <w:tcBorders>
              <w:top w:val="nil"/>
              <w:bottom w:val="nil"/>
              <w:right w:val="single" w:sz="4" w:space="0" w:color="auto"/>
            </w:tcBorders>
            <w:shd w:val="clear" w:color="auto" w:fill="auto"/>
            <w:noWrap/>
            <w:vAlign w:val="center"/>
          </w:tcPr>
          <w:p w14:paraId="478378CB" w14:textId="77777777" w:rsidR="005F7984" w:rsidRPr="00853884" w:rsidRDefault="005F7984" w:rsidP="002315E1">
            <w:pPr>
              <w:spacing w:after="0" w:line="240" w:lineRule="auto"/>
              <w:jc w:val="center"/>
              <w:rPr>
                <w:rFonts w:ascii="Arial Narrow" w:eastAsia="Times New Roman" w:hAnsi="Arial Narrow" w:cs="Calibri"/>
                <w:color w:val="FF0000"/>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19BDD007"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SDF.D518</w:t>
            </w:r>
          </w:p>
        </w:tc>
        <w:tc>
          <w:tcPr>
            <w:tcW w:w="1246" w:type="dxa"/>
            <w:tcBorders>
              <w:top w:val="nil"/>
              <w:left w:val="nil"/>
              <w:bottom w:val="nil"/>
              <w:right w:val="single" w:sz="4" w:space="0" w:color="auto"/>
            </w:tcBorders>
            <w:shd w:val="clear" w:color="auto" w:fill="auto"/>
            <w:noWrap/>
            <w:vAlign w:val="center"/>
            <w:hideMark/>
          </w:tcPr>
          <w:p w14:paraId="21E24C93"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SDF.E518</w:t>
            </w:r>
          </w:p>
        </w:tc>
      </w:tr>
      <w:tr w:rsidR="005F7984" w:rsidRPr="00853884" w14:paraId="7DD585FC" w14:textId="77777777" w:rsidTr="00E67116">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01AD0AD5"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141</w:t>
            </w:r>
          </w:p>
        </w:tc>
        <w:tc>
          <w:tcPr>
            <w:tcW w:w="9866" w:type="dxa"/>
            <w:tcBorders>
              <w:top w:val="nil"/>
              <w:left w:val="nil"/>
              <w:bottom w:val="single" w:sz="4" w:space="0" w:color="D9D9D9"/>
            </w:tcBorders>
            <w:shd w:val="clear" w:color="auto" w:fill="auto"/>
            <w:vAlign w:val="center"/>
            <w:hideMark/>
          </w:tcPr>
          <w:p w14:paraId="66854A5F" w14:textId="77777777" w:rsidR="005F7984" w:rsidRPr="00853884" w:rsidRDefault="005F7984"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CONVÊNIOS COM ÓRGÃOS NÃO FEDERAIS</w:t>
            </w:r>
          </w:p>
        </w:tc>
        <w:tc>
          <w:tcPr>
            <w:tcW w:w="970" w:type="dxa"/>
            <w:tcBorders>
              <w:top w:val="nil"/>
              <w:bottom w:val="nil"/>
              <w:right w:val="single" w:sz="4" w:space="0" w:color="auto"/>
            </w:tcBorders>
            <w:shd w:val="clear" w:color="auto" w:fill="auto"/>
            <w:noWrap/>
            <w:vAlign w:val="center"/>
          </w:tcPr>
          <w:p w14:paraId="2282FE4F" w14:textId="77777777" w:rsidR="005F7984" w:rsidRPr="00853884" w:rsidRDefault="005F7984" w:rsidP="002315E1">
            <w:pPr>
              <w:spacing w:after="0" w:line="240" w:lineRule="auto"/>
              <w:jc w:val="center"/>
              <w:rPr>
                <w:rFonts w:ascii="Arial Narrow" w:eastAsia="Times New Roman" w:hAnsi="Arial Narrow" w:cs="Calibri"/>
                <w:color w:val="FF0000"/>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1662D520"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SDF.D519</w:t>
            </w:r>
          </w:p>
        </w:tc>
        <w:tc>
          <w:tcPr>
            <w:tcW w:w="1246" w:type="dxa"/>
            <w:tcBorders>
              <w:top w:val="nil"/>
              <w:left w:val="nil"/>
              <w:bottom w:val="nil"/>
              <w:right w:val="single" w:sz="4" w:space="0" w:color="auto"/>
            </w:tcBorders>
            <w:shd w:val="clear" w:color="auto" w:fill="auto"/>
            <w:noWrap/>
            <w:vAlign w:val="center"/>
            <w:hideMark/>
          </w:tcPr>
          <w:p w14:paraId="6896D77B"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SDF.E519</w:t>
            </w:r>
          </w:p>
        </w:tc>
      </w:tr>
      <w:tr w:rsidR="005F7984" w:rsidRPr="00853884" w14:paraId="09AF9620" w14:textId="77777777" w:rsidTr="00E67116">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038221DE"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142</w:t>
            </w:r>
          </w:p>
        </w:tc>
        <w:tc>
          <w:tcPr>
            <w:tcW w:w="9866" w:type="dxa"/>
            <w:tcBorders>
              <w:top w:val="nil"/>
              <w:left w:val="nil"/>
              <w:bottom w:val="single" w:sz="4" w:space="0" w:color="D9D9D9"/>
            </w:tcBorders>
            <w:shd w:val="clear" w:color="auto" w:fill="auto"/>
            <w:vAlign w:val="center"/>
            <w:hideMark/>
          </w:tcPr>
          <w:p w14:paraId="3259E4F1" w14:textId="77777777" w:rsidR="005F7984" w:rsidRPr="00853884" w:rsidRDefault="005F7984"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OPERAÇÕES DE CRÉDITO INTERNAS</w:t>
            </w:r>
          </w:p>
        </w:tc>
        <w:tc>
          <w:tcPr>
            <w:tcW w:w="970" w:type="dxa"/>
            <w:tcBorders>
              <w:top w:val="nil"/>
              <w:bottom w:val="nil"/>
              <w:right w:val="single" w:sz="4" w:space="0" w:color="auto"/>
            </w:tcBorders>
            <w:shd w:val="clear" w:color="auto" w:fill="auto"/>
            <w:noWrap/>
            <w:vAlign w:val="center"/>
          </w:tcPr>
          <w:p w14:paraId="3DB0BA3B" w14:textId="77777777" w:rsidR="005F7984" w:rsidRPr="00853884" w:rsidRDefault="005F7984" w:rsidP="002315E1">
            <w:pPr>
              <w:spacing w:after="0" w:line="240" w:lineRule="auto"/>
              <w:jc w:val="center"/>
              <w:rPr>
                <w:rFonts w:ascii="Arial Narrow" w:eastAsia="Times New Roman" w:hAnsi="Arial Narrow" w:cs="Calibri"/>
                <w:color w:val="FF0000"/>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3FE54A9E"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SDF.D520</w:t>
            </w:r>
          </w:p>
        </w:tc>
        <w:tc>
          <w:tcPr>
            <w:tcW w:w="1246" w:type="dxa"/>
            <w:tcBorders>
              <w:top w:val="nil"/>
              <w:left w:val="nil"/>
              <w:bottom w:val="nil"/>
              <w:right w:val="single" w:sz="4" w:space="0" w:color="auto"/>
            </w:tcBorders>
            <w:shd w:val="clear" w:color="auto" w:fill="auto"/>
            <w:noWrap/>
            <w:vAlign w:val="center"/>
            <w:hideMark/>
          </w:tcPr>
          <w:p w14:paraId="5A6C596D"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SDF.E520</w:t>
            </w:r>
          </w:p>
        </w:tc>
      </w:tr>
      <w:tr w:rsidR="005F7984" w:rsidRPr="00853884" w14:paraId="3EE31BA3" w14:textId="77777777" w:rsidTr="00E67116">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301EEFD7"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143</w:t>
            </w:r>
          </w:p>
        </w:tc>
        <w:tc>
          <w:tcPr>
            <w:tcW w:w="9866" w:type="dxa"/>
            <w:tcBorders>
              <w:top w:val="nil"/>
              <w:left w:val="nil"/>
              <w:bottom w:val="single" w:sz="4" w:space="0" w:color="D9D9D9"/>
            </w:tcBorders>
            <w:shd w:val="clear" w:color="auto" w:fill="auto"/>
            <w:vAlign w:val="center"/>
            <w:hideMark/>
          </w:tcPr>
          <w:p w14:paraId="2DE3D702" w14:textId="77777777" w:rsidR="005F7984" w:rsidRPr="00853884" w:rsidRDefault="005F7984"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OPERAÇÕES DE CRÉDITO EXTERNAS</w:t>
            </w:r>
          </w:p>
        </w:tc>
        <w:tc>
          <w:tcPr>
            <w:tcW w:w="970" w:type="dxa"/>
            <w:tcBorders>
              <w:top w:val="nil"/>
              <w:bottom w:val="nil"/>
              <w:right w:val="single" w:sz="4" w:space="0" w:color="auto"/>
            </w:tcBorders>
            <w:shd w:val="clear" w:color="auto" w:fill="auto"/>
            <w:noWrap/>
            <w:vAlign w:val="center"/>
          </w:tcPr>
          <w:p w14:paraId="18BC41A5" w14:textId="77777777" w:rsidR="005F7984" w:rsidRPr="00853884" w:rsidRDefault="005F7984" w:rsidP="002315E1">
            <w:pPr>
              <w:spacing w:after="0" w:line="240" w:lineRule="auto"/>
              <w:jc w:val="center"/>
              <w:rPr>
                <w:rFonts w:ascii="Arial Narrow" w:eastAsia="Times New Roman" w:hAnsi="Arial Narrow" w:cs="Calibri"/>
                <w:color w:val="FF0000"/>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092F0939"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SDF.D521</w:t>
            </w:r>
          </w:p>
        </w:tc>
        <w:tc>
          <w:tcPr>
            <w:tcW w:w="1246" w:type="dxa"/>
            <w:tcBorders>
              <w:top w:val="nil"/>
              <w:left w:val="nil"/>
              <w:bottom w:val="nil"/>
              <w:right w:val="single" w:sz="4" w:space="0" w:color="auto"/>
            </w:tcBorders>
            <w:shd w:val="clear" w:color="auto" w:fill="auto"/>
            <w:noWrap/>
            <w:vAlign w:val="center"/>
            <w:hideMark/>
          </w:tcPr>
          <w:p w14:paraId="6C817E9C"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SDF.E521</w:t>
            </w:r>
          </w:p>
        </w:tc>
      </w:tr>
      <w:tr w:rsidR="005F7984" w:rsidRPr="00853884" w14:paraId="3C357FDC" w14:textId="77777777" w:rsidTr="00E67116">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29A80486"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144</w:t>
            </w:r>
          </w:p>
        </w:tc>
        <w:tc>
          <w:tcPr>
            <w:tcW w:w="9866" w:type="dxa"/>
            <w:tcBorders>
              <w:top w:val="nil"/>
              <w:left w:val="nil"/>
              <w:bottom w:val="single" w:sz="4" w:space="0" w:color="D9D9D9"/>
            </w:tcBorders>
            <w:shd w:val="clear" w:color="auto" w:fill="auto"/>
            <w:vAlign w:val="center"/>
            <w:hideMark/>
          </w:tcPr>
          <w:p w14:paraId="2DC24705" w14:textId="77777777" w:rsidR="005F7984" w:rsidRPr="00853884" w:rsidRDefault="005F7984"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TRANSFERÊNCIAS A MUNICÍPIOS - CIDE</w:t>
            </w:r>
          </w:p>
        </w:tc>
        <w:tc>
          <w:tcPr>
            <w:tcW w:w="970" w:type="dxa"/>
            <w:tcBorders>
              <w:top w:val="nil"/>
              <w:bottom w:val="nil"/>
              <w:right w:val="single" w:sz="4" w:space="0" w:color="auto"/>
            </w:tcBorders>
            <w:shd w:val="clear" w:color="auto" w:fill="auto"/>
            <w:noWrap/>
            <w:vAlign w:val="center"/>
          </w:tcPr>
          <w:p w14:paraId="112B6974" w14:textId="77777777" w:rsidR="005F7984" w:rsidRPr="00853884" w:rsidRDefault="005F7984" w:rsidP="002315E1">
            <w:pPr>
              <w:spacing w:after="0" w:line="240" w:lineRule="auto"/>
              <w:jc w:val="center"/>
              <w:rPr>
                <w:rFonts w:ascii="Arial Narrow" w:eastAsia="Times New Roman" w:hAnsi="Arial Narrow" w:cs="Calibri"/>
                <w:color w:val="FF0000"/>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49794A6D"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SDF.D522</w:t>
            </w:r>
          </w:p>
        </w:tc>
        <w:tc>
          <w:tcPr>
            <w:tcW w:w="1246" w:type="dxa"/>
            <w:tcBorders>
              <w:top w:val="nil"/>
              <w:left w:val="nil"/>
              <w:bottom w:val="nil"/>
              <w:right w:val="single" w:sz="4" w:space="0" w:color="auto"/>
            </w:tcBorders>
            <w:shd w:val="clear" w:color="auto" w:fill="auto"/>
            <w:noWrap/>
            <w:vAlign w:val="center"/>
            <w:hideMark/>
          </w:tcPr>
          <w:p w14:paraId="4D2915C8"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SDF.E522</w:t>
            </w:r>
          </w:p>
        </w:tc>
      </w:tr>
      <w:tr w:rsidR="005F7984" w:rsidRPr="00853884" w14:paraId="0AD5F98B" w14:textId="77777777" w:rsidTr="00E67116">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6B76EB78"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150</w:t>
            </w:r>
          </w:p>
        </w:tc>
        <w:tc>
          <w:tcPr>
            <w:tcW w:w="9866" w:type="dxa"/>
            <w:tcBorders>
              <w:top w:val="nil"/>
              <w:left w:val="nil"/>
              <w:bottom w:val="single" w:sz="4" w:space="0" w:color="D9D9D9"/>
            </w:tcBorders>
            <w:shd w:val="clear" w:color="auto" w:fill="auto"/>
            <w:vAlign w:val="center"/>
            <w:hideMark/>
          </w:tcPr>
          <w:p w14:paraId="4C343E8C" w14:textId="77777777" w:rsidR="005F7984" w:rsidRPr="00853884" w:rsidRDefault="005F7984"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PACTO NACIONAL PELA GESTÃO DAS ÁGUAS - PROGESTÃO</w:t>
            </w:r>
          </w:p>
        </w:tc>
        <w:tc>
          <w:tcPr>
            <w:tcW w:w="970" w:type="dxa"/>
            <w:tcBorders>
              <w:top w:val="nil"/>
              <w:bottom w:val="nil"/>
              <w:right w:val="single" w:sz="4" w:space="0" w:color="auto"/>
            </w:tcBorders>
            <w:shd w:val="clear" w:color="auto" w:fill="auto"/>
            <w:noWrap/>
            <w:vAlign w:val="center"/>
          </w:tcPr>
          <w:p w14:paraId="0B5066B1" w14:textId="77777777" w:rsidR="005F7984" w:rsidRPr="00853884" w:rsidRDefault="005F7984" w:rsidP="002315E1">
            <w:pPr>
              <w:spacing w:after="0" w:line="240" w:lineRule="auto"/>
              <w:jc w:val="center"/>
              <w:rPr>
                <w:rFonts w:ascii="Arial Narrow" w:eastAsia="Times New Roman" w:hAnsi="Arial Narrow" w:cs="Calibri"/>
                <w:color w:val="FF0000"/>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26804202"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SDF.D527</w:t>
            </w:r>
          </w:p>
        </w:tc>
        <w:tc>
          <w:tcPr>
            <w:tcW w:w="1246" w:type="dxa"/>
            <w:tcBorders>
              <w:top w:val="nil"/>
              <w:left w:val="nil"/>
              <w:bottom w:val="nil"/>
              <w:right w:val="single" w:sz="4" w:space="0" w:color="auto"/>
            </w:tcBorders>
            <w:shd w:val="clear" w:color="auto" w:fill="auto"/>
            <w:noWrap/>
            <w:vAlign w:val="center"/>
            <w:hideMark/>
          </w:tcPr>
          <w:p w14:paraId="217118ED"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SDF.E527</w:t>
            </w:r>
          </w:p>
        </w:tc>
      </w:tr>
      <w:tr w:rsidR="005F7984" w:rsidRPr="00853884" w14:paraId="1A85B226" w14:textId="77777777" w:rsidTr="00E67116">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4DD2FAE0"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154</w:t>
            </w:r>
          </w:p>
        </w:tc>
        <w:tc>
          <w:tcPr>
            <w:tcW w:w="9866" w:type="dxa"/>
            <w:tcBorders>
              <w:top w:val="nil"/>
              <w:left w:val="nil"/>
              <w:bottom w:val="single" w:sz="4" w:space="0" w:color="D9D9D9"/>
            </w:tcBorders>
            <w:shd w:val="clear" w:color="auto" w:fill="auto"/>
            <w:vAlign w:val="center"/>
            <w:hideMark/>
          </w:tcPr>
          <w:p w14:paraId="31EF31C0" w14:textId="77777777" w:rsidR="005F7984" w:rsidRPr="00853884" w:rsidRDefault="005F7984"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CONTRIBUIÇÃO DE INTERVENÇÃO NO DOMÍNIO ECONÔMICO</w:t>
            </w:r>
          </w:p>
        </w:tc>
        <w:tc>
          <w:tcPr>
            <w:tcW w:w="970" w:type="dxa"/>
            <w:tcBorders>
              <w:top w:val="nil"/>
              <w:bottom w:val="nil"/>
              <w:right w:val="single" w:sz="4" w:space="0" w:color="auto"/>
            </w:tcBorders>
            <w:shd w:val="clear" w:color="auto" w:fill="auto"/>
            <w:noWrap/>
            <w:vAlign w:val="center"/>
          </w:tcPr>
          <w:p w14:paraId="40546C71" w14:textId="77777777" w:rsidR="005F7984" w:rsidRPr="00853884" w:rsidRDefault="005F7984" w:rsidP="002315E1">
            <w:pPr>
              <w:spacing w:after="0" w:line="240" w:lineRule="auto"/>
              <w:jc w:val="center"/>
              <w:rPr>
                <w:rFonts w:ascii="Arial Narrow" w:eastAsia="Times New Roman" w:hAnsi="Arial Narrow" w:cs="Calibri"/>
                <w:color w:val="FF0000"/>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01D0EECA"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SDF.D530</w:t>
            </w:r>
          </w:p>
        </w:tc>
        <w:tc>
          <w:tcPr>
            <w:tcW w:w="1246" w:type="dxa"/>
            <w:tcBorders>
              <w:top w:val="nil"/>
              <w:left w:val="nil"/>
              <w:bottom w:val="nil"/>
              <w:right w:val="single" w:sz="4" w:space="0" w:color="auto"/>
            </w:tcBorders>
            <w:shd w:val="clear" w:color="auto" w:fill="auto"/>
            <w:noWrap/>
            <w:vAlign w:val="center"/>
            <w:hideMark/>
          </w:tcPr>
          <w:p w14:paraId="476576A7"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SDF.E530</w:t>
            </w:r>
          </w:p>
        </w:tc>
      </w:tr>
      <w:tr w:rsidR="005F7984" w:rsidRPr="00853884" w14:paraId="7D78A5BB" w14:textId="77777777" w:rsidTr="00E67116">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16101F3E"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157</w:t>
            </w:r>
          </w:p>
        </w:tc>
        <w:tc>
          <w:tcPr>
            <w:tcW w:w="9866" w:type="dxa"/>
            <w:tcBorders>
              <w:top w:val="nil"/>
              <w:left w:val="nil"/>
              <w:bottom w:val="single" w:sz="4" w:space="0" w:color="D9D9D9"/>
            </w:tcBorders>
            <w:shd w:val="clear" w:color="auto" w:fill="auto"/>
            <w:vAlign w:val="center"/>
            <w:hideMark/>
          </w:tcPr>
          <w:p w14:paraId="038B5349" w14:textId="77777777" w:rsidR="005F7984" w:rsidRPr="00853884" w:rsidRDefault="005F7984"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INCENTIVO SUAS - UNIÃO</w:t>
            </w:r>
          </w:p>
        </w:tc>
        <w:tc>
          <w:tcPr>
            <w:tcW w:w="970" w:type="dxa"/>
            <w:tcBorders>
              <w:top w:val="nil"/>
              <w:bottom w:val="nil"/>
              <w:right w:val="single" w:sz="4" w:space="0" w:color="auto"/>
            </w:tcBorders>
            <w:shd w:val="clear" w:color="auto" w:fill="auto"/>
            <w:noWrap/>
            <w:vAlign w:val="center"/>
          </w:tcPr>
          <w:p w14:paraId="1306CF1F" w14:textId="77777777" w:rsidR="005F7984" w:rsidRPr="00853884" w:rsidRDefault="005F7984" w:rsidP="002315E1">
            <w:pPr>
              <w:spacing w:after="0" w:line="240" w:lineRule="auto"/>
              <w:jc w:val="center"/>
              <w:rPr>
                <w:rFonts w:ascii="Arial Narrow" w:eastAsia="Times New Roman" w:hAnsi="Arial Narrow" w:cs="Calibri"/>
                <w:color w:val="FF0000"/>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07448333"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SDF.D531</w:t>
            </w:r>
          </w:p>
        </w:tc>
        <w:tc>
          <w:tcPr>
            <w:tcW w:w="1246" w:type="dxa"/>
            <w:tcBorders>
              <w:top w:val="nil"/>
              <w:left w:val="nil"/>
              <w:bottom w:val="nil"/>
              <w:right w:val="single" w:sz="4" w:space="0" w:color="auto"/>
            </w:tcBorders>
            <w:shd w:val="clear" w:color="auto" w:fill="auto"/>
            <w:noWrap/>
            <w:vAlign w:val="center"/>
            <w:hideMark/>
          </w:tcPr>
          <w:p w14:paraId="6A69F213"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SDF.E531</w:t>
            </w:r>
          </w:p>
        </w:tc>
      </w:tr>
      <w:tr w:rsidR="005F7984" w:rsidRPr="00853884" w14:paraId="01A67814" w14:textId="77777777" w:rsidTr="00E67116">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187AE72E"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158</w:t>
            </w:r>
          </w:p>
        </w:tc>
        <w:tc>
          <w:tcPr>
            <w:tcW w:w="9866" w:type="dxa"/>
            <w:tcBorders>
              <w:top w:val="nil"/>
              <w:left w:val="nil"/>
              <w:bottom w:val="single" w:sz="4" w:space="0" w:color="D9D9D9"/>
            </w:tcBorders>
            <w:shd w:val="clear" w:color="auto" w:fill="auto"/>
            <w:vAlign w:val="center"/>
            <w:hideMark/>
          </w:tcPr>
          <w:p w14:paraId="3E038715" w14:textId="77777777" w:rsidR="005F7984" w:rsidRPr="00853884" w:rsidRDefault="005F7984"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TRANSFERÊNCIAS A MUNICÍPIOS - LEI PELÉ</w:t>
            </w:r>
          </w:p>
        </w:tc>
        <w:tc>
          <w:tcPr>
            <w:tcW w:w="970" w:type="dxa"/>
            <w:tcBorders>
              <w:top w:val="nil"/>
              <w:right w:val="single" w:sz="4" w:space="0" w:color="auto"/>
            </w:tcBorders>
            <w:shd w:val="clear" w:color="auto" w:fill="auto"/>
            <w:noWrap/>
            <w:vAlign w:val="center"/>
          </w:tcPr>
          <w:p w14:paraId="28621363" w14:textId="77777777" w:rsidR="005F7984" w:rsidRPr="00853884" w:rsidRDefault="005F7984" w:rsidP="002315E1">
            <w:pPr>
              <w:spacing w:after="0" w:line="240" w:lineRule="auto"/>
              <w:jc w:val="center"/>
              <w:rPr>
                <w:rFonts w:ascii="Arial Narrow" w:eastAsia="Times New Roman" w:hAnsi="Arial Narrow" w:cs="Calibri"/>
                <w:color w:val="FF0000"/>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558E7FE0"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SDF.D532</w:t>
            </w:r>
          </w:p>
        </w:tc>
        <w:tc>
          <w:tcPr>
            <w:tcW w:w="1246" w:type="dxa"/>
            <w:tcBorders>
              <w:top w:val="nil"/>
              <w:left w:val="nil"/>
              <w:bottom w:val="nil"/>
              <w:right w:val="single" w:sz="4" w:space="0" w:color="auto"/>
            </w:tcBorders>
            <w:shd w:val="clear" w:color="auto" w:fill="auto"/>
            <w:noWrap/>
            <w:vAlign w:val="center"/>
            <w:hideMark/>
          </w:tcPr>
          <w:p w14:paraId="56CC9615"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SDF.E532</w:t>
            </w:r>
          </w:p>
        </w:tc>
      </w:tr>
      <w:tr w:rsidR="005F7984" w:rsidRPr="00853884" w14:paraId="336B16C2" w14:textId="77777777" w:rsidTr="00E67116">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6A593F93"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159</w:t>
            </w:r>
          </w:p>
        </w:tc>
        <w:tc>
          <w:tcPr>
            <w:tcW w:w="9866" w:type="dxa"/>
            <w:tcBorders>
              <w:top w:val="nil"/>
              <w:left w:val="nil"/>
              <w:bottom w:val="single" w:sz="4" w:space="0" w:color="D9D9D9"/>
            </w:tcBorders>
            <w:shd w:val="clear" w:color="auto" w:fill="auto"/>
            <w:vAlign w:val="center"/>
            <w:hideMark/>
          </w:tcPr>
          <w:p w14:paraId="7CE8DFF6" w14:textId="77777777" w:rsidR="005F7984" w:rsidRPr="00853884" w:rsidRDefault="005F7984"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TRANSFERÊNCIAS FINANCEIRAS A FUNDOS</w:t>
            </w:r>
          </w:p>
        </w:tc>
        <w:tc>
          <w:tcPr>
            <w:tcW w:w="970" w:type="dxa"/>
            <w:tcBorders>
              <w:top w:val="nil"/>
              <w:bottom w:val="nil"/>
              <w:right w:val="single" w:sz="4" w:space="0" w:color="auto"/>
            </w:tcBorders>
            <w:shd w:val="clear" w:color="auto" w:fill="auto"/>
            <w:noWrap/>
            <w:vAlign w:val="center"/>
          </w:tcPr>
          <w:p w14:paraId="0CE4EBD0" w14:textId="77777777" w:rsidR="005F7984" w:rsidRPr="00853884" w:rsidRDefault="005F7984" w:rsidP="002315E1">
            <w:pPr>
              <w:spacing w:after="0" w:line="240" w:lineRule="auto"/>
              <w:jc w:val="center"/>
              <w:rPr>
                <w:rFonts w:ascii="Arial Narrow" w:eastAsia="Times New Roman" w:hAnsi="Arial Narrow" w:cs="Calibri"/>
                <w:color w:val="FF0000"/>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45373F63"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SDF.D533</w:t>
            </w:r>
          </w:p>
        </w:tc>
        <w:tc>
          <w:tcPr>
            <w:tcW w:w="1246" w:type="dxa"/>
            <w:tcBorders>
              <w:top w:val="nil"/>
              <w:left w:val="nil"/>
              <w:bottom w:val="nil"/>
              <w:right w:val="single" w:sz="4" w:space="0" w:color="auto"/>
            </w:tcBorders>
            <w:shd w:val="clear" w:color="auto" w:fill="auto"/>
            <w:noWrap/>
            <w:vAlign w:val="center"/>
            <w:hideMark/>
          </w:tcPr>
          <w:p w14:paraId="738794F9"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SDF.E533</w:t>
            </w:r>
          </w:p>
        </w:tc>
      </w:tr>
      <w:tr w:rsidR="005F7984" w:rsidRPr="00853884" w14:paraId="5889A3FB" w14:textId="77777777" w:rsidTr="00E67116">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2E54E586"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161</w:t>
            </w:r>
          </w:p>
        </w:tc>
        <w:tc>
          <w:tcPr>
            <w:tcW w:w="9866" w:type="dxa"/>
            <w:tcBorders>
              <w:top w:val="nil"/>
              <w:left w:val="nil"/>
              <w:bottom w:val="single" w:sz="4" w:space="0" w:color="D9D9D9"/>
            </w:tcBorders>
            <w:shd w:val="clear" w:color="auto" w:fill="auto"/>
            <w:vAlign w:val="center"/>
            <w:hideMark/>
          </w:tcPr>
          <w:p w14:paraId="09F5FF61" w14:textId="77777777" w:rsidR="005F7984" w:rsidRPr="00853884" w:rsidRDefault="005F7984"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FUNDO DE COMBATE A POBREZA - FUNCOP</w:t>
            </w:r>
          </w:p>
        </w:tc>
        <w:tc>
          <w:tcPr>
            <w:tcW w:w="970" w:type="dxa"/>
            <w:tcBorders>
              <w:top w:val="nil"/>
              <w:bottom w:val="nil"/>
              <w:right w:val="single" w:sz="4" w:space="0" w:color="auto"/>
            </w:tcBorders>
            <w:shd w:val="clear" w:color="auto" w:fill="auto"/>
            <w:noWrap/>
            <w:vAlign w:val="center"/>
          </w:tcPr>
          <w:p w14:paraId="3D52DA78" w14:textId="77777777" w:rsidR="005F7984" w:rsidRPr="00853884" w:rsidRDefault="005F7984" w:rsidP="002315E1">
            <w:pPr>
              <w:spacing w:after="0" w:line="240" w:lineRule="auto"/>
              <w:jc w:val="center"/>
              <w:rPr>
                <w:rFonts w:ascii="Arial Narrow" w:eastAsia="Times New Roman" w:hAnsi="Arial Narrow" w:cs="Calibri"/>
                <w:color w:val="FF0000"/>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2E940A35"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SDF.D534</w:t>
            </w:r>
          </w:p>
        </w:tc>
        <w:tc>
          <w:tcPr>
            <w:tcW w:w="1246" w:type="dxa"/>
            <w:tcBorders>
              <w:top w:val="nil"/>
              <w:left w:val="nil"/>
              <w:bottom w:val="nil"/>
              <w:right w:val="single" w:sz="4" w:space="0" w:color="auto"/>
            </w:tcBorders>
            <w:shd w:val="clear" w:color="auto" w:fill="auto"/>
            <w:noWrap/>
            <w:vAlign w:val="center"/>
            <w:hideMark/>
          </w:tcPr>
          <w:p w14:paraId="00585A37"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SDF.E534</w:t>
            </w:r>
          </w:p>
        </w:tc>
      </w:tr>
      <w:tr w:rsidR="005F7984" w:rsidRPr="00853884" w14:paraId="240ED69A" w14:textId="77777777" w:rsidTr="00E67116">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3364B046"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163</w:t>
            </w:r>
          </w:p>
        </w:tc>
        <w:tc>
          <w:tcPr>
            <w:tcW w:w="9866" w:type="dxa"/>
            <w:tcBorders>
              <w:top w:val="nil"/>
              <w:left w:val="nil"/>
              <w:bottom w:val="single" w:sz="4" w:space="0" w:color="D9D9D9"/>
            </w:tcBorders>
            <w:shd w:val="clear" w:color="auto" w:fill="auto"/>
            <w:vAlign w:val="center"/>
            <w:hideMark/>
          </w:tcPr>
          <w:p w14:paraId="38CB385C" w14:textId="77777777" w:rsidR="005F7984" w:rsidRPr="00853884" w:rsidRDefault="005F7984"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RECURSOS LEI PELÉ</w:t>
            </w:r>
          </w:p>
        </w:tc>
        <w:tc>
          <w:tcPr>
            <w:tcW w:w="970" w:type="dxa"/>
            <w:tcBorders>
              <w:top w:val="nil"/>
              <w:bottom w:val="nil"/>
              <w:right w:val="single" w:sz="4" w:space="0" w:color="auto"/>
            </w:tcBorders>
            <w:shd w:val="clear" w:color="auto" w:fill="auto"/>
            <w:noWrap/>
            <w:vAlign w:val="center"/>
          </w:tcPr>
          <w:p w14:paraId="673DED79" w14:textId="77777777" w:rsidR="005F7984" w:rsidRPr="00853884" w:rsidRDefault="005F7984" w:rsidP="002315E1">
            <w:pPr>
              <w:spacing w:after="0" w:line="240" w:lineRule="auto"/>
              <w:jc w:val="center"/>
              <w:rPr>
                <w:rFonts w:ascii="Arial Narrow" w:eastAsia="Times New Roman" w:hAnsi="Arial Narrow" w:cs="Calibri"/>
                <w:color w:val="FF0000"/>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4DCC22CF"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SDF.D536</w:t>
            </w:r>
          </w:p>
        </w:tc>
        <w:tc>
          <w:tcPr>
            <w:tcW w:w="1246" w:type="dxa"/>
            <w:tcBorders>
              <w:top w:val="nil"/>
              <w:left w:val="nil"/>
              <w:bottom w:val="nil"/>
              <w:right w:val="single" w:sz="4" w:space="0" w:color="auto"/>
            </w:tcBorders>
            <w:shd w:val="clear" w:color="auto" w:fill="auto"/>
            <w:noWrap/>
            <w:vAlign w:val="center"/>
            <w:hideMark/>
          </w:tcPr>
          <w:p w14:paraId="2B602F99"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SDF.E536</w:t>
            </w:r>
          </w:p>
        </w:tc>
      </w:tr>
      <w:tr w:rsidR="005F7984" w:rsidRPr="00853884" w14:paraId="47B7D4EA" w14:textId="77777777" w:rsidTr="00E67116">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684B9980"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164</w:t>
            </w:r>
          </w:p>
        </w:tc>
        <w:tc>
          <w:tcPr>
            <w:tcW w:w="9866" w:type="dxa"/>
            <w:tcBorders>
              <w:top w:val="nil"/>
              <w:left w:val="nil"/>
              <w:bottom w:val="single" w:sz="4" w:space="0" w:color="D9D9D9"/>
            </w:tcBorders>
            <w:shd w:val="clear" w:color="auto" w:fill="auto"/>
            <w:vAlign w:val="center"/>
            <w:hideMark/>
          </w:tcPr>
          <w:p w14:paraId="374CAF3F" w14:textId="77777777" w:rsidR="005F7984" w:rsidRPr="00853884" w:rsidRDefault="005F7984"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TRANSFERÊNCIA A MUNICÍPIOS ROYALTIES LEI 8.308/06</w:t>
            </w:r>
          </w:p>
        </w:tc>
        <w:tc>
          <w:tcPr>
            <w:tcW w:w="970" w:type="dxa"/>
            <w:tcBorders>
              <w:top w:val="nil"/>
              <w:bottom w:val="nil"/>
              <w:right w:val="single" w:sz="4" w:space="0" w:color="auto"/>
            </w:tcBorders>
            <w:shd w:val="clear" w:color="auto" w:fill="auto"/>
            <w:noWrap/>
            <w:vAlign w:val="center"/>
          </w:tcPr>
          <w:p w14:paraId="13EBE55F" w14:textId="77777777" w:rsidR="005F7984" w:rsidRPr="00853884" w:rsidRDefault="005F7984" w:rsidP="002315E1">
            <w:pPr>
              <w:spacing w:after="0" w:line="240" w:lineRule="auto"/>
              <w:jc w:val="center"/>
              <w:rPr>
                <w:rFonts w:ascii="Arial Narrow" w:eastAsia="Times New Roman" w:hAnsi="Arial Narrow" w:cs="Calibri"/>
                <w:color w:val="FF0000"/>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5BCB2D0D"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SDF.D537</w:t>
            </w:r>
          </w:p>
        </w:tc>
        <w:tc>
          <w:tcPr>
            <w:tcW w:w="1246" w:type="dxa"/>
            <w:tcBorders>
              <w:top w:val="nil"/>
              <w:left w:val="nil"/>
              <w:bottom w:val="nil"/>
              <w:right w:val="single" w:sz="4" w:space="0" w:color="auto"/>
            </w:tcBorders>
            <w:shd w:val="clear" w:color="auto" w:fill="auto"/>
            <w:noWrap/>
            <w:vAlign w:val="center"/>
            <w:hideMark/>
          </w:tcPr>
          <w:p w14:paraId="1C8C26C3"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SDF.E537</w:t>
            </w:r>
          </w:p>
        </w:tc>
      </w:tr>
      <w:tr w:rsidR="005F7984" w:rsidRPr="00853884" w14:paraId="7A0180FC" w14:textId="77777777" w:rsidTr="00E67116">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726FF92F"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166</w:t>
            </w:r>
          </w:p>
        </w:tc>
        <w:tc>
          <w:tcPr>
            <w:tcW w:w="9866" w:type="dxa"/>
            <w:tcBorders>
              <w:top w:val="nil"/>
              <w:left w:val="nil"/>
              <w:bottom w:val="single" w:sz="4" w:space="0" w:color="D9D9D9"/>
            </w:tcBorders>
            <w:shd w:val="clear" w:color="auto" w:fill="auto"/>
            <w:vAlign w:val="center"/>
            <w:hideMark/>
          </w:tcPr>
          <w:p w14:paraId="4CB77AA8" w14:textId="77777777" w:rsidR="005F7984" w:rsidRPr="00853884" w:rsidRDefault="005F7984"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PLANO DE AÇÕES ARTICULADAS - PAR</w:t>
            </w:r>
          </w:p>
        </w:tc>
        <w:tc>
          <w:tcPr>
            <w:tcW w:w="970" w:type="dxa"/>
            <w:tcBorders>
              <w:top w:val="nil"/>
              <w:bottom w:val="nil"/>
              <w:right w:val="single" w:sz="4" w:space="0" w:color="auto"/>
            </w:tcBorders>
            <w:shd w:val="clear" w:color="auto" w:fill="auto"/>
            <w:noWrap/>
            <w:vAlign w:val="center"/>
          </w:tcPr>
          <w:p w14:paraId="35E95F2A" w14:textId="77777777" w:rsidR="005F7984" w:rsidRPr="00853884" w:rsidRDefault="005F7984" w:rsidP="002315E1">
            <w:pPr>
              <w:spacing w:after="0" w:line="240" w:lineRule="auto"/>
              <w:jc w:val="center"/>
              <w:rPr>
                <w:rFonts w:ascii="Arial Narrow" w:eastAsia="Times New Roman" w:hAnsi="Arial Narrow" w:cs="Calibri"/>
                <w:color w:val="FF0000"/>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54F4A9D2"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SDF.D539</w:t>
            </w:r>
          </w:p>
        </w:tc>
        <w:tc>
          <w:tcPr>
            <w:tcW w:w="1246" w:type="dxa"/>
            <w:tcBorders>
              <w:top w:val="nil"/>
              <w:left w:val="nil"/>
              <w:bottom w:val="nil"/>
              <w:right w:val="single" w:sz="4" w:space="0" w:color="auto"/>
            </w:tcBorders>
            <w:shd w:val="clear" w:color="auto" w:fill="auto"/>
            <w:noWrap/>
            <w:vAlign w:val="center"/>
            <w:hideMark/>
          </w:tcPr>
          <w:p w14:paraId="4923B5C7"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SDF.E539</w:t>
            </w:r>
          </w:p>
        </w:tc>
      </w:tr>
      <w:tr w:rsidR="005F7984" w:rsidRPr="00853884" w14:paraId="54F4E4CC" w14:textId="77777777" w:rsidTr="00E67116">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26BE40C1"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167</w:t>
            </w:r>
          </w:p>
        </w:tc>
        <w:tc>
          <w:tcPr>
            <w:tcW w:w="9866" w:type="dxa"/>
            <w:tcBorders>
              <w:top w:val="nil"/>
              <w:left w:val="nil"/>
              <w:bottom w:val="single" w:sz="4" w:space="0" w:color="D9D9D9"/>
            </w:tcBorders>
            <w:shd w:val="clear" w:color="auto" w:fill="auto"/>
            <w:vAlign w:val="center"/>
            <w:hideMark/>
          </w:tcPr>
          <w:p w14:paraId="6BC6F3AB" w14:textId="77777777" w:rsidR="005F7984" w:rsidRPr="00853884" w:rsidRDefault="005F7984" w:rsidP="002315E1">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TRANSFERÊNCIAS OBRIGATÓRIAS PARA AÇÕES DE DEFESA CIVIL</w:t>
            </w:r>
          </w:p>
        </w:tc>
        <w:tc>
          <w:tcPr>
            <w:tcW w:w="970" w:type="dxa"/>
            <w:tcBorders>
              <w:top w:val="nil"/>
              <w:bottom w:val="nil"/>
              <w:right w:val="single" w:sz="4" w:space="0" w:color="auto"/>
            </w:tcBorders>
            <w:shd w:val="clear" w:color="auto" w:fill="auto"/>
            <w:noWrap/>
            <w:vAlign w:val="center"/>
          </w:tcPr>
          <w:p w14:paraId="4A7ED2DE" w14:textId="77777777" w:rsidR="005F7984" w:rsidRPr="00853884" w:rsidRDefault="005F7984" w:rsidP="002315E1">
            <w:pPr>
              <w:spacing w:after="0" w:line="240" w:lineRule="auto"/>
              <w:jc w:val="center"/>
              <w:rPr>
                <w:rFonts w:ascii="Arial Narrow" w:eastAsia="Times New Roman" w:hAnsi="Arial Narrow" w:cs="Calibri"/>
                <w:color w:val="FF0000"/>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7E6C7047"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SDF.D540</w:t>
            </w:r>
          </w:p>
        </w:tc>
        <w:tc>
          <w:tcPr>
            <w:tcW w:w="1246" w:type="dxa"/>
            <w:tcBorders>
              <w:top w:val="nil"/>
              <w:left w:val="nil"/>
              <w:bottom w:val="nil"/>
              <w:right w:val="single" w:sz="4" w:space="0" w:color="auto"/>
            </w:tcBorders>
            <w:shd w:val="clear" w:color="auto" w:fill="auto"/>
            <w:noWrap/>
            <w:vAlign w:val="center"/>
            <w:hideMark/>
          </w:tcPr>
          <w:p w14:paraId="211C47A2" w14:textId="77777777" w:rsidR="005F7984" w:rsidRPr="00853884" w:rsidRDefault="005F7984" w:rsidP="002315E1">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SDF.E540</w:t>
            </w:r>
          </w:p>
        </w:tc>
      </w:tr>
      <w:tr w:rsidR="00881A15" w:rsidRPr="00881A15" w14:paraId="7A1F37F7" w14:textId="77777777" w:rsidTr="00E67116">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tcPr>
          <w:p w14:paraId="6CAB3B51" w14:textId="129E4138" w:rsidR="00881A15" w:rsidRPr="00881A15" w:rsidRDefault="00881A15" w:rsidP="002315E1">
            <w:pPr>
              <w:spacing w:after="0" w:line="240" w:lineRule="auto"/>
              <w:jc w:val="center"/>
              <w:rPr>
                <w:rFonts w:ascii="Arial Narrow" w:eastAsia="Times New Roman" w:hAnsi="Arial Narrow" w:cs="Arial"/>
                <w:color w:val="0070C0"/>
                <w:sz w:val="16"/>
                <w:szCs w:val="16"/>
                <w:lang w:eastAsia="pt-BR"/>
              </w:rPr>
            </w:pPr>
            <w:r>
              <w:rPr>
                <w:rFonts w:ascii="Arial Narrow" w:eastAsia="Times New Roman" w:hAnsi="Arial Narrow" w:cs="Arial"/>
                <w:color w:val="0070C0"/>
                <w:sz w:val="16"/>
                <w:szCs w:val="16"/>
                <w:lang w:eastAsia="pt-BR"/>
              </w:rPr>
              <w:t>177</w:t>
            </w:r>
          </w:p>
        </w:tc>
        <w:tc>
          <w:tcPr>
            <w:tcW w:w="9866" w:type="dxa"/>
            <w:tcBorders>
              <w:top w:val="nil"/>
              <w:left w:val="nil"/>
              <w:bottom w:val="single" w:sz="4" w:space="0" w:color="D9D9D9"/>
            </w:tcBorders>
            <w:shd w:val="clear" w:color="auto" w:fill="auto"/>
            <w:vAlign w:val="center"/>
          </w:tcPr>
          <w:p w14:paraId="000F7689" w14:textId="5F7B01C9" w:rsidR="00881A15" w:rsidRPr="00881A15" w:rsidRDefault="00881A15" w:rsidP="002315E1">
            <w:pPr>
              <w:spacing w:after="0" w:line="240" w:lineRule="auto"/>
              <w:rPr>
                <w:rFonts w:ascii="Arial Narrow" w:eastAsia="Times New Roman" w:hAnsi="Arial Narrow" w:cs="Arial"/>
                <w:color w:val="0070C0"/>
                <w:sz w:val="16"/>
                <w:szCs w:val="16"/>
                <w:lang w:eastAsia="pt-BR"/>
              </w:rPr>
            </w:pPr>
            <w:r w:rsidRPr="00881A15">
              <w:rPr>
                <w:rFonts w:ascii="Arial Narrow" w:eastAsia="Times New Roman" w:hAnsi="Arial Narrow" w:cs="Arial"/>
                <w:color w:val="0070C0"/>
                <w:sz w:val="16"/>
                <w:szCs w:val="16"/>
                <w:lang w:eastAsia="pt-BR"/>
              </w:rPr>
              <w:t>TRANSFERÊNCIA ESPECIAL DA UNIÃO – EMENDAS PARLAMENTARES INDIVIDUAIS IMPOSITIVAS (Art. 166-A, I CF/88),</w:t>
            </w:r>
          </w:p>
        </w:tc>
        <w:tc>
          <w:tcPr>
            <w:tcW w:w="970" w:type="dxa"/>
            <w:tcBorders>
              <w:top w:val="nil"/>
              <w:bottom w:val="nil"/>
              <w:right w:val="single" w:sz="4" w:space="0" w:color="auto"/>
            </w:tcBorders>
            <w:shd w:val="clear" w:color="auto" w:fill="auto"/>
            <w:noWrap/>
            <w:vAlign w:val="center"/>
          </w:tcPr>
          <w:p w14:paraId="6C430CA8" w14:textId="77777777" w:rsidR="00881A15" w:rsidRPr="00881A15" w:rsidRDefault="00881A15" w:rsidP="002315E1">
            <w:pPr>
              <w:spacing w:after="0" w:line="240" w:lineRule="auto"/>
              <w:jc w:val="center"/>
              <w:rPr>
                <w:rFonts w:ascii="Arial Narrow" w:eastAsia="Times New Roman" w:hAnsi="Arial Narrow" w:cs="Calibri"/>
                <w:color w:val="0070C0"/>
                <w:sz w:val="16"/>
                <w:szCs w:val="16"/>
                <w:lang w:eastAsia="pt-BR"/>
              </w:rPr>
            </w:pPr>
          </w:p>
        </w:tc>
        <w:tc>
          <w:tcPr>
            <w:tcW w:w="1386" w:type="dxa"/>
            <w:tcBorders>
              <w:top w:val="nil"/>
              <w:left w:val="nil"/>
              <w:bottom w:val="nil"/>
              <w:right w:val="single" w:sz="4" w:space="0" w:color="auto"/>
            </w:tcBorders>
            <w:shd w:val="clear" w:color="auto" w:fill="auto"/>
            <w:noWrap/>
            <w:vAlign w:val="center"/>
          </w:tcPr>
          <w:p w14:paraId="63496D49" w14:textId="348EBFE4" w:rsidR="00881A15" w:rsidRPr="00881A15" w:rsidRDefault="00881A15" w:rsidP="002315E1">
            <w:pPr>
              <w:spacing w:after="0" w:line="240" w:lineRule="auto"/>
              <w:jc w:val="center"/>
              <w:rPr>
                <w:rFonts w:ascii="Arial Narrow" w:eastAsia="Times New Roman" w:hAnsi="Arial Narrow" w:cs="Arial"/>
                <w:color w:val="0070C0"/>
                <w:sz w:val="16"/>
                <w:szCs w:val="16"/>
                <w:lang w:eastAsia="pt-BR"/>
              </w:rPr>
            </w:pPr>
            <w:r>
              <w:rPr>
                <w:rFonts w:ascii="Arial Narrow" w:eastAsia="Times New Roman" w:hAnsi="Arial Narrow" w:cs="Arial"/>
                <w:color w:val="0070C0"/>
                <w:sz w:val="16"/>
                <w:szCs w:val="16"/>
                <w:lang w:eastAsia="pt-BR"/>
              </w:rPr>
              <w:t>SDF.D608</w:t>
            </w:r>
          </w:p>
        </w:tc>
        <w:tc>
          <w:tcPr>
            <w:tcW w:w="1246" w:type="dxa"/>
            <w:tcBorders>
              <w:top w:val="nil"/>
              <w:left w:val="nil"/>
              <w:bottom w:val="nil"/>
              <w:right w:val="single" w:sz="4" w:space="0" w:color="auto"/>
            </w:tcBorders>
            <w:shd w:val="clear" w:color="auto" w:fill="auto"/>
            <w:noWrap/>
            <w:vAlign w:val="center"/>
          </w:tcPr>
          <w:p w14:paraId="12F2727F" w14:textId="70E40F21" w:rsidR="00881A15" w:rsidRPr="00881A15" w:rsidRDefault="00881A15" w:rsidP="002315E1">
            <w:pPr>
              <w:spacing w:after="0" w:line="240" w:lineRule="auto"/>
              <w:jc w:val="center"/>
              <w:rPr>
                <w:rFonts w:ascii="Arial Narrow" w:eastAsia="Times New Roman" w:hAnsi="Arial Narrow" w:cs="Arial"/>
                <w:color w:val="0070C0"/>
                <w:sz w:val="16"/>
                <w:szCs w:val="16"/>
                <w:lang w:eastAsia="pt-BR"/>
              </w:rPr>
            </w:pPr>
            <w:r>
              <w:rPr>
                <w:rFonts w:ascii="Arial Narrow" w:eastAsia="Times New Roman" w:hAnsi="Arial Narrow" w:cs="Arial"/>
                <w:color w:val="0070C0"/>
                <w:sz w:val="16"/>
                <w:szCs w:val="16"/>
                <w:lang w:eastAsia="pt-BR"/>
              </w:rPr>
              <w:t>SDF.E608</w:t>
            </w:r>
          </w:p>
        </w:tc>
      </w:tr>
      <w:tr w:rsidR="00696B6D" w:rsidRPr="00881A15" w14:paraId="45E8D9F2" w14:textId="77777777" w:rsidTr="00E67116">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tcPr>
          <w:p w14:paraId="304EF31E" w14:textId="3984610E" w:rsidR="00696B6D" w:rsidRDefault="00696B6D" w:rsidP="00696B6D">
            <w:pPr>
              <w:spacing w:after="0" w:line="240" w:lineRule="auto"/>
              <w:jc w:val="center"/>
              <w:rPr>
                <w:rFonts w:ascii="Arial Narrow" w:eastAsia="Times New Roman" w:hAnsi="Arial Narrow" w:cs="Arial"/>
                <w:color w:val="0070C0"/>
                <w:sz w:val="16"/>
                <w:szCs w:val="16"/>
                <w:lang w:eastAsia="pt-BR"/>
              </w:rPr>
            </w:pPr>
            <w:r>
              <w:rPr>
                <w:rFonts w:ascii="Arial Narrow" w:eastAsia="Times New Roman" w:hAnsi="Arial Narrow" w:cs="Arial"/>
                <w:color w:val="0070C0"/>
                <w:sz w:val="16"/>
                <w:szCs w:val="16"/>
                <w:lang w:eastAsia="pt-BR"/>
              </w:rPr>
              <w:t>179</w:t>
            </w:r>
          </w:p>
        </w:tc>
        <w:tc>
          <w:tcPr>
            <w:tcW w:w="9866" w:type="dxa"/>
            <w:tcBorders>
              <w:top w:val="nil"/>
              <w:left w:val="nil"/>
              <w:bottom w:val="single" w:sz="4" w:space="0" w:color="D9D9D9"/>
            </w:tcBorders>
            <w:shd w:val="clear" w:color="auto" w:fill="auto"/>
            <w:vAlign w:val="center"/>
          </w:tcPr>
          <w:p w14:paraId="5FD18450" w14:textId="77ED8B61" w:rsidR="00696B6D" w:rsidRPr="00881A15" w:rsidRDefault="00696B6D" w:rsidP="00696B6D">
            <w:pPr>
              <w:spacing w:after="0" w:line="240" w:lineRule="auto"/>
              <w:rPr>
                <w:rFonts w:ascii="Arial Narrow" w:eastAsia="Times New Roman" w:hAnsi="Arial Narrow" w:cs="Arial"/>
                <w:color w:val="0070C0"/>
                <w:sz w:val="16"/>
                <w:szCs w:val="16"/>
                <w:lang w:eastAsia="pt-BR"/>
              </w:rPr>
            </w:pPr>
            <w:r>
              <w:rPr>
                <w:rFonts w:ascii="Arial Narrow" w:eastAsia="Times New Roman" w:hAnsi="Arial Narrow" w:cs="Arial"/>
                <w:color w:val="0070C0"/>
                <w:sz w:val="16"/>
                <w:szCs w:val="16"/>
                <w:lang w:eastAsia="pt-BR"/>
              </w:rPr>
              <w:t>OUTROS RECURSOS VINCULADOS</w:t>
            </w:r>
          </w:p>
        </w:tc>
        <w:tc>
          <w:tcPr>
            <w:tcW w:w="970" w:type="dxa"/>
            <w:tcBorders>
              <w:top w:val="nil"/>
              <w:bottom w:val="nil"/>
              <w:right w:val="single" w:sz="4" w:space="0" w:color="auto"/>
            </w:tcBorders>
            <w:shd w:val="clear" w:color="auto" w:fill="auto"/>
            <w:noWrap/>
            <w:vAlign w:val="center"/>
          </w:tcPr>
          <w:p w14:paraId="03CDD6AB" w14:textId="77777777" w:rsidR="00696B6D" w:rsidRPr="00881A15" w:rsidRDefault="00696B6D" w:rsidP="00696B6D">
            <w:pPr>
              <w:spacing w:after="0" w:line="240" w:lineRule="auto"/>
              <w:jc w:val="center"/>
              <w:rPr>
                <w:rFonts w:ascii="Arial Narrow" w:eastAsia="Times New Roman" w:hAnsi="Arial Narrow" w:cs="Calibri"/>
                <w:color w:val="0070C0"/>
                <w:sz w:val="16"/>
                <w:szCs w:val="16"/>
                <w:lang w:eastAsia="pt-BR"/>
              </w:rPr>
            </w:pPr>
          </w:p>
        </w:tc>
        <w:tc>
          <w:tcPr>
            <w:tcW w:w="1386" w:type="dxa"/>
            <w:tcBorders>
              <w:top w:val="nil"/>
              <w:left w:val="nil"/>
              <w:bottom w:val="nil"/>
              <w:right w:val="single" w:sz="4" w:space="0" w:color="auto"/>
            </w:tcBorders>
            <w:shd w:val="clear" w:color="auto" w:fill="auto"/>
            <w:noWrap/>
            <w:vAlign w:val="center"/>
          </w:tcPr>
          <w:p w14:paraId="0AB11D4A" w14:textId="28D048A4" w:rsidR="00696B6D" w:rsidRDefault="00696B6D" w:rsidP="00696B6D">
            <w:pPr>
              <w:spacing w:after="0" w:line="240" w:lineRule="auto"/>
              <w:jc w:val="center"/>
              <w:rPr>
                <w:rFonts w:ascii="Arial Narrow" w:eastAsia="Times New Roman" w:hAnsi="Arial Narrow" w:cs="Arial"/>
                <w:color w:val="0070C0"/>
                <w:sz w:val="16"/>
                <w:szCs w:val="16"/>
                <w:lang w:eastAsia="pt-BR"/>
              </w:rPr>
            </w:pPr>
            <w:r>
              <w:rPr>
                <w:rFonts w:ascii="Arial Narrow" w:eastAsia="Times New Roman" w:hAnsi="Arial Narrow" w:cs="Arial"/>
                <w:color w:val="0070C0"/>
                <w:sz w:val="16"/>
                <w:szCs w:val="16"/>
                <w:lang w:eastAsia="pt-BR"/>
              </w:rPr>
              <w:t>SDF.D609</w:t>
            </w:r>
          </w:p>
        </w:tc>
        <w:tc>
          <w:tcPr>
            <w:tcW w:w="1246" w:type="dxa"/>
            <w:tcBorders>
              <w:top w:val="nil"/>
              <w:left w:val="nil"/>
              <w:bottom w:val="nil"/>
              <w:right w:val="single" w:sz="4" w:space="0" w:color="auto"/>
            </w:tcBorders>
            <w:shd w:val="clear" w:color="auto" w:fill="auto"/>
            <w:noWrap/>
            <w:vAlign w:val="center"/>
          </w:tcPr>
          <w:p w14:paraId="47BD5814" w14:textId="0E18611B" w:rsidR="00696B6D" w:rsidRDefault="00696B6D" w:rsidP="00696B6D">
            <w:pPr>
              <w:spacing w:after="0" w:line="240" w:lineRule="auto"/>
              <w:jc w:val="center"/>
              <w:rPr>
                <w:rFonts w:ascii="Arial Narrow" w:eastAsia="Times New Roman" w:hAnsi="Arial Narrow" w:cs="Arial"/>
                <w:color w:val="0070C0"/>
                <w:sz w:val="16"/>
                <w:szCs w:val="16"/>
                <w:lang w:eastAsia="pt-BR"/>
              </w:rPr>
            </w:pPr>
            <w:r>
              <w:rPr>
                <w:rFonts w:ascii="Arial Narrow" w:eastAsia="Times New Roman" w:hAnsi="Arial Narrow" w:cs="Arial"/>
                <w:color w:val="0070C0"/>
                <w:sz w:val="16"/>
                <w:szCs w:val="16"/>
                <w:lang w:eastAsia="pt-BR"/>
              </w:rPr>
              <w:t>SDF.E609</w:t>
            </w:r>
          </w:p>
        </w:tc>
      </w:tr>
      <w:tr w:rsidR="00696B6D" w:rsidRPr="00853884" w14:paraId="3ABDCE52" w14:textId="77777777" w:rsidTr="00E67116">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51FA42DF"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271</w:t>
            </w:r>
          </w:p>
        </w:tc>
        <w:tc>
          <w:tcPr>
            <w:tcW w:w="9866" w:type="dxa"/>
            <w:tcBorders>
              <w:top w:val="nil"/>
              <w:left w:val="nil"/>
              <w:bottom w:val="single" w:sz="4" w:space="0" w:color="D9D9D9"/>
            </w:tcBorders>
            <w:shd w:val="clear" w:color="auto" w:fill="auto"/>
            <w:vAlign w:val="center"/>
            <w:hideMark/>
          </w:tcPr>
          <w:p w14:paraId="08E439E9" w14:textId="77777777" w:rsidR="00696B6D" w:rsidRPr="00853884" w:rsidRDefault="00696B6D" w:rsidP="00696B6D">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ARRECADADO PELO ÓRGÃO</w:t>
            </w:r>
          </w:p>
        </w:tc>
        <w:tc>
          <w:tcPr>
            <w:tcW w:w="970" w:type="dxa"/>
            <w:tcBorders>
              <w:top w:val="nil"/>
              <w:bottom w:val="nil"/>
              <w:right w:val="single" w:sz="4" w:space="0" w:color="auto"/>
            </w:tcBorders>
            <w:shd w:val="clear" w:color="auto" w:fill="auto"/>
            <w:noWrap/>
            <w:vAlign w:val="center"/>
          </w:tcPr>
          <w:p w14:paraId="368E4B67" w14:textId="77777777" w:rsidR="00696B6D" w:rsidRPr="00853884" w:rsidRDefault="00696B6D" w:rsidP="00696B6D">
            <w:pPr>
              <w:spacing w:after="0" w:line="240" w:lineRule="auto"/>
              <w:jc w:val="center"/>
              <w:rPr>
                <w:rFonts w:ascii="Arial Narrow" w:eastAsia="Times New Roman" w:hAnsi="Arial Narrow" w:cs="Calibri"/>
                <w:color w:val="FF0000"/>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0BEF8B42"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SDF.D543</w:t>
            </w:r>
          </w:p>
        </w:tc>
        <w:tc>
          <w:tcPr>
            <w:tcW w:w="1246" w:type="dxa"/>
            <w:tcBorders>
              <w:top w:val="nil"/>
              <w:left w:val="nil"/>
              <w:bottom w:val="nil"/>
              <w:right w:val="single" w:sz="4" w:space="0" w:color="auto"/>
            </w:tcBorders>
            <w:shd w:val="clear" w:color="auto" w:fill="auto"/>
            <w:noWrap/>
            <w:vAlign w:val="center"/>
            <w:hideMark/>
          </w:tcPr>
          <w:p w14:paraId="7FBE1879"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SDF.E543</w:t>
            </w:r>
          </w:p>
        </w:tc>
      </w:tr>
      <w:tr w:rsidR="00696B6D" w:rsidRPr="00853884" w14:paraId="7E89107D" w14:textId="77777777" w:rsidTr="00E67116">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1EA0FD14"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272</w:t>
            </w:r>
          </w:p>
        </w:tc>
        <w:tc>
          <w:tcPr>
            <w:tcW w:w="9866" w:type="dxa"/>
            <w:tcBorders>
              <w:top w:val="nil"/>
              <w:left w:val="nil"/>
              <w:bottom w:val="single" w:sz="4" w:space="0" w:color="D9D9D9"/>
            </w:tcBorders>
            <w:shd w:val="clear" w:color="auto" w:fill="auto"/>
            <w:vAlign w:val="center"/>
            <w:hideMark/>
          </w:tcPr>
          <w:p w14:paraId="2119A137" w14:textId="77777777" w:rsidR="00696B6D" w:rsidRPr="00853884" w:rsidRDefault="00696B6D" w:rsidP="00696B6D">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CONVÊNIOS COM ÓRGÃOS FEDERAIS</w:t>
            </w:r>
          </w:p>
        </w:tc>
        <w:tc>
          <w:tcPr>
            <w:tcW w:w="970" w:type="dxa"/>
            <w:tcBorders>
              <w:top w:val="nil"/>
              <w:bottom w:val="nil"/>
              <w:right w:val="single" w:sz="4" w:space="0" w:color="auto"/>
            </w:tcBorders>
            <w:shd w:val="clear" w:color="auto" w:fill="auto"/>
            <w:noWrap/>
            <w:vAlign w:val="center"/>
          </w:tcPr>
          <w:p w14:paraId="6F4A7040" w14:textId="77777777" w:rsidR="00696B6D" w:rsidRPr="00853884" w:rsidRDefault="00696B6D" w:rsidP="00696B6D">
            <w:pPr>
              <w:spacing w:after="0" w:line="240" w:lineRule="auto"/>
              <w:jc w:val="center"/>
              <w:rPr>
                <w:rFonts w:ascii="Arial Narrow" w:eastAsia="Times New Roman" w:hAnsi="Arial Narrow" w:cs="Calibri"/>
                <w:color w:val="FF0000"/>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15C14D13"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SDF.D544</w:t>
            </w:r>
          </w:p>
        </w:tc>
        <w:tc>
          <w:tcPr>
            <w:tcW w:w="1246" w:type="dxa"/>
            <w:tcBorders>
              <w:top w:val="nil"/>
              <w:left w:val="nil"/>
              <w:bottom w:val="nil"/>
              <w:right w:val="single" w:sz="4" w:space="0" w:color="auto"/>
            </w:tcBorders>
            <w:shd w:val="clear" w:color="auto" w:fill="auto"/>
            <w:noWrap/>
            <w:vAlign w:val="center"/>
            <w:hideMark/>
          </w:tcPr>
          <w:p w14:paraId="33B69544"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SDF.E544</w:t>
            </w:r>
          </w:p>
        </w:tc>
      </w:tr>
      <w:tr w:rsidR="00696B6D" w:rsidRPr="00853884" w14:paraId="577A68B5" w14:textId="77777777" w:rsidTr="00E67116">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6B4A93DA"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273</w:t>
            </w:r>
          </w:p>
        </w:tc>
        <w:tc>
          <w:tcPr>
            <w:tcW w:w="9866" w:type="dxa"/>
            <w:tcBorders>
              <w:top w:val="nil"/>
              <w:left w:val="nil"/>
              <w:bottom w:val="single" w:sz="4" w:space="0" w:color="D9D9D9"/>
            </w:tcBorders>
            <w:shd w:val="clear" w:color="auto" w:fill="auto"/>
            <w:vAlign w:val="center"/>
            <w:hideMark/>
          </w:tcPr>
          <w:p w14:paraId="2717098F" w14:textId="77777777" w:rsidR="00696B6D" w:rsidRPr="00853884" w:rsidRDefault="00696B6D" w:rsidP="00696B6D">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CONVÊNIOS COM ÓRGÃOS NÃO FEDERAIS</w:t>
            </w:r>
          </w:p>
        </w:tc>
        <w:tc>
          <w:tcPr>
            <w:tcW w:w="970" w:type="dxa"/>
            <w:tcBorders>
              <w:top w:val="nil"/>
              <w:bottom w:val="nil"/>
              <w:right w:val="single" w:sz="4" w:space="0" w:color="auto"/>
            </w:tcBorders>
            <w:shd w:val="clear" w:color="auto" w:fill="auto"/>
            <w:noWrap/>
            <w:vAlign w:val="center"/>
          </w:tcPr>
          <w:p w14:paraId="39D67410" w14:textId="77777777" w:rsidR="00696B6D" w:rsidRPr="00853884" w:rsidRDefault="00696B6D" w:rsidP="00696B6D">
            <w:pPr>
              <w:spacing w:after="0" w:line="240" w:lineRule="auto"/>
              <w:jc w:val="center"/>
              <w:rPr>
                <w:rFonts w:ascii="Arial Narrow" w:eastAsia="Times New Roman" w:hAnsi="Arial Narrow" w:cs="Calibri"/>
                <w:color w:val="FF0000"/>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732F5DBB"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SDF.D545</w:t>
            </w:r>
          </w:p>
        </w:tc>
        <w:tc>
          <w:tcPr>
            <w:tcW w:w="1246" w:type="dxa"/>
            <w:tcBorders>
              <w:top w:val="nil"/>
              <w:left w:val="nil"/>
              <w:bottom w:val="nil"/>
              <w:right w:val="single" w:sz="4" w:space="0" w:color="auto"/>
            </w:tcBorders>
            <w:shd w:val="clear" w:color="auto" w:fill="auto"/>
            <w:noWrap/>
            <w:vAlign w:val="center"/>
            <w:hideMark/>
          </w:tcPr>
          <w:p w14:paraId="7B2BB98E"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SDF.E545</w:t>
            </w:r>
          </w:p>
        </w:tc>
      </w:tr>
      <w:tr w:rsidR="00696B6D" w:rsidRPr="00853884" w14:paraId="77CC717B" w14:textId="77777777" w:rsidTr="00E67116">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0E0FC5CB"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lastRenderedPageBreak/>
              <w:t>274</w:t>
            </w:r>
          </w:p>
        </w:tc>
        <w:tc>
          <w:tcPr>
            <w:tcW w:w="9866" w:type="dxa"/>
            <w:tcBorders>
              <w:top w:val="nil"/>
              <w:left w:val="nil"/>
              <w:bottom w:val="single" w:sz="4" w:space="0" w:color="D9D9D9"/>
            </w:tcBorders>
            <w:shd w:val="clear" w:color="auto" w:fill="auto"/>
            <w:vAlign w:val="center"/>
            <w:hideMark/>
          </w:tcPr>
          <w:p w14:paraId="0E23AEA7" w14:textId="77777777" w:rsidR="00696B6D" w:rsidRPr="00853884" w:rsidRDefault="00696B6D" w:rsidP="00696B6D">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TRANSFERÊNCIA DE INSTITUIÇÕES PRIVADAS</w:t>
            </w:r>
          </w:p>
        </w:tc>
        <w:tc>
          <w:tcPr>
            <w:tcW w:w="970" w:type="dxa"/>
            <w:tcBorders>
              <w:top w:val="nil"/>
              <w:bottom w:val="nil"/>
              <w:right w:val="single" w:sz="4" w:space="0" w:color="auto"/>
            </w:tcBorders>
            <w:shd w:val="clear" w:color="auto" w:fill="auto"/>
            <w:noWrap/>
            <w:vAlign w:val="center"/>
          </w:tcPr>
          <w:p w14:paraId="09EFEF19" w14:textId="77777777" w:rsidR="00696B6D" w:rsidRPr="00853884" w:rsidRDefault="00696B6D" w:rsidP="00696B6D">
            <w:pPr>
              <w:spacing w:after="0" w:line="240" w:lineRule="auto"/>
              <w:jc w:val="center"/>
              <w:rPr>
                <w:rFonts w:ascii="Arial Narrow" w:eastAsia="Times New Roman" w:hAnsi="Arial Narrow" w:cs="Calibri"/>
                <w:color w:val="FF0000"/>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54B44EEC"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SDF.D546</w:t>
            </w:r>
          </w:p>
        </w:tc>
        <w:tc>
          <w:tcPr>
            <w:tcW w:w="1246" w:type="dxa"/>
            <w:tcBorders>
              <w:top w:val="nil"/>
              <w:left w:val="nil"/>
              <w:bottom w:val="nil"/>
              <w:right w:val="single" w:sz="4" w:space="0" w:color="auto"/>
            </w:tcBorders>
            <w:shd w:val="clear" w:color="auto" w:fill="auto"/>
            <w:noWrap/>
            <w:vAlign w:val="center"/>
            <w:hideMark/>
          </w:tcPr>
          <w:p w14:paraId="2444A075"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SDF.E546</w:t>
            </w:r>
          </w:p>
        </w:tc>
      </w:tr>
      <w:tr w:rsidR="00696B6D" w:rsidRPr="00853884" w14:paraId="2B61F18D" w14:textId="77777777" w:rsidTr="00E67116">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792A78BC"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275</w:t>
            </w:r>
          </w:p>
        </w:tc>
        <w:tc>
          <w:tcPr>
            <w:tcW w:w="9866" w:type="dxa"/>
            <w:tcBorders>
              <w:top w:val="nil"/>
              <w:left w:val="nil"/>
              <w:bottom w:val="single" w:sz="4" w:space="0" w:color="D9D9D9"/>
            </w:tcBorders>
            <w:shd w:val="clear" w:color="auto" w:fill="auto"/>
            <w:vAlign w:val="center"/>
            <w:hideMark/>
          </w:tcPr>
          <w:p w14:paraId="6D66CAA4" w14:textId="77777777" w:rsidR="00696B6D" w:rsidRPr="00853884" w:rsidRDefault="00696B6D" w:rsidP="00696B6D">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OUTRAS TRANSFERÊNCIAS DA UNIÃO</w:t>
            </w:r>
          </w:p>
        </w:tc>
        <w:tc>
          <w:tcPr>
            <w:tcW w:w="970" w:type="dxa"/>
            <w:tcBorders>
              <w:top w:val="nil"/>
              <w:bottom w:val="nil"/>
              <w:right w:val="single" w:sz="4" w:space="0" w:color="auto"/>
            </w:tcBorders>
            <w:shd w:val="clear" w:color="auto" w:fill="auto"/>
            <w:noWrap/>
            <w:vAlign w:val="center"/>
          </w:tcPr>
          <w:p w14:paraId="1B78E9A5" w14:textId="77777777" w:rsidR="00696B6D" w:rsidRPr="00853884" w:rsidRDefault="00696B6D" w:rsidP="00696B6D">
            <w:pPr>
              <w:spacing w:after="0" w:line="240" w:lineRule="auto"/>
              <w:jc w:val="center"/>
              <w:rPr>
                <w:rFonts w:ascii="Arial Narrow" w:eastAsia="Times New Roman" w:hAnsi="Arial Narrow" w:cs="Calibri"/>
                <w:color w:val="FF0000"/>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08A8205C"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SDF.D547</w:t>
            </w:r>
          </w:p>
        </w:tc>
        <w:tc>
          <w:tcPr>
            <w:tcW w:w="1246" w:type="dxa"/>
            <w:tcBorders>
              <w:top w:val="nil"/>
              <w:left w:val="nil"/>
              <w:bottom w:val="nil"/>
              <w:right w:val="single" w:sz="4" w:space="0" w:color="auto"/>
            </w:tcBorders>
            <w:shd w:val="clear" w:color="auto" w:fill="auto"/>
            <w:noWrap/>
            <w:vAlign w:val="center"/>
            <w:hideMark/>
          </w:tcPr>
          <w:p w14:paraId="34EE0C7D"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SDF.E547</w:t>
            </w:r>
          </w:p>
        </w:tc>
      </w:tr>
      <w:tr w:rsidR="00696B6D" w:rsidRPr="00853884" w14:paraId="3EFA981D" w14:textId="77777777" w:rsidTr="00E67116">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677C7567"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276</w:t>
            </w:r>
          </w:p>
        </w:tc>
        <w:tc>
          <w:tcPr>
            <w:tcW w:w="9866" w:type="dxa"/>
            <w:tcBorders>
              <w:top w:val="nil"/>
              <w:left w:val="nil"/>
              <w:bottom w:val="single" w:sz="4" w:space="0" w:color="D9D9D9"/>
            </w:tcBorders>
            <w:shd w:val="clear" w:color="auto" w:fill="auto"/>
            <w:vAlign w:val="center"/>
            <w:hideMark/>
          </w:tcPr>
          <w:p w14:paraId="2CB0DFB0" w14:textId="77777777" w:rsidR="00696B6D" w:rsidRPr="00853884" w:rsidRDefault="00696B6D" w:rsidP="00696B6D">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FUNDO DE PROTEÇÃO SOCIAL DOS MILITARES</w:t>
            </w:r>
          </w:p>
        </w:tc>
        <w:tc>
          <w:tcPr>
            <w:tcW w:w="970" w:type="dxa"/>
            <w:tcBorders>
              <w:top w:val="nil"/>
              <w:bottom w:val="nil"/>
              <w:right w:val="single" w:sz="4" w:space="0" w:color="auto"/>
            </w:tcBorders>
            <w:shd w:val="clear" w:color="auto" w:fill="auto"/>
            <w:noWrap/>
            <w:vAlign w:val="center"/>
          </w:tcPr>
          <w:p w14:paraId="188232AA" w14:textId="77777777" w:rsidR="00696B6D" w:rsidRPr="00853884" w:rsidRDefault="00696B6D" w:rsidP="00696B6D">
            <w:pPr>
              <w:spacing w:after="0" w:line="240" w:lineRule="auto"/>
              <w:jc w:val="center"/>
              <w:rPr>
                <w:rFonts w:ascii="Arial Narrow" w:eastAsia="Times New Roman" w:hAnsi="Arial Narrow" w:cs="Calibri"/>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55DE616C"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SDF.D602</w:t>
            </w:r>
          </w:p>
        </w:tc>
        <w:tc>
          <w:tcPr>
            <w:tcW w:w="1246" w:type="dxa"/>
            <w:tcBorders>
              <w:top w:val="nil"/>
              <w:left w:val="nil"/>
              <w:bottom w:val="nil"/>
              <w:right w:val="single" w:sz="4" w:space="0" w:color="auto"/>
            </w:tcBorders>
            <w:shd w:val="clear" w:color="auto" w:fill="auto"/>
            <w:noWrap/>
            <w:vAlign w:val="center"/>
            <w:hideMark/>
          </w:tcPr>
          <w:p w14:paraId="4F4C58E1"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SDF.E602</w:t>
            </w:r>
          </w:p>
        </w:tc>
      </w:tr>
      <w:tr w:rsidR="00696B6D" w:rsidRPr="00853884" w14:paraId="11B055AB" w14:textId="77777777" w:rsidTr="00E67116">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2EAA6B5A"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307</w:t>
            </w:r>
          </w:p>
        </w:tc>
        <w:tc>
          <w:tcPr>
            <w:tcW w:w="9866" w:type="dxa"/>
            <w:tcBorders>
              <w:top w:val="nil"/>
              <w:left w:val="nil"/>
              <w:bottom w:val="single" w:sz="4" w:space="0" w:color="D9D9D9"/>
            </w:tcBorders>
            <w:shd w:val="clear" w:color="auto" w:fill="auto"/>
            <w:vAlign w:val="center"/>
            <w:hideMark/>
          </w:tcPr>
          <w:p w14:paraId="5AE514DD" w14:textId="77777777" w:rsidR="00696B6D" w:rsidRPr="00853884" w:rsidRDefault="00696B6D" w:rsidP="00696B6D">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SUPERÁVIT FINANCEIRO - ROYALTIES, PARTICIPAÇÃO ESPECIAL E FUNDO ESPECIAL DO PETRÓLEO</w:t>
            </w:r>
          </w:p>
        </w:tc>
        <w:tc>
          <w:tcPr>
            <w:tcW w:w="970" w:type="dxa"/>
            <w:tcBorders>
              <w:top w:val="nil"/>
              <w:bottom w:val="nil"/>
              <w:right w:val="single" w:sz="4" w:space="0" w:color="auto"/>
            </w:tcBorders>
            <w:shd w:val="clear" w:color="auto" w:fill="auto"/>
            <w:noWrap/>
            <w:vAlign w:val="center"/>
          </w:tcPr>
          <w:p w14:paraId="215E52D4" w14:textId="77777777" w:rsidR="00696B6D" w:rsidRPr="00853884" w:rsidRDefault="00696B6D" w:rsidP="00696B6D">
            <w:pPr>
              <w:spacing w:after="0" w:line="240" w:lineRule="auto"/>
              <w:jc w:val="center"/>
              <w:rPr>
                <w:rFonts w:ascii="Arial Narrow" w:eastAsia="Times New Roman" w:hAnsi="Arial Narrow" w:cs="Calibri"/>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3A9C621D"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SDF.D603</w:t>
            </w:r>
          </w:p>
        </w:tc>
        <w:tc>
          <w:tcPr>
            <w:tcW w:w="1246" w:type="dxa"/>
            <w:tcBorders>
              <w:top w:val="nil"/>
              <w:left w:val="nil"/>
              <w:bottom w:val="nil"/>
              <w:right w:val="single" w:sz="4" w:space="0" w:color="auto"/>
            </w:tcBorders>
            <w:shd w:val="clear" w:color="auto" w:fill="auto"/>
            <w:noWrap/>
            <w:vAlign w:val="center"/>
            <w:hideMark/>
          </w:tcPr>
          <w:p w14:paraId="1C6CB6DF"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SDF.E603</w:t>
            </w:r>
          </w:p>
        </w:tc>
      </w:tr>
      <w:tr w:rsidR="00696B6D" w:rsidRPr="00853884" w14:paraId="2B5BB45A" w14:textId="77777777" w:rsidTr="00E67116">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34D32DA1"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308</w:t>
            </w:r>
          </w:p>
        </w:tc>
        <w:tc>
          <w:tcPr>
            <w:tcW w:w="9866" w:type="dxa"/>
            <w:tcBorders>
              <w:top w:val="nil"/>
              <w:left w:val="nil"/>
              <w:bottom w:val="single" w:sz="4" w:space="0" w:color="D9D9D9"/>
            </w:tcBorders>
            <w:shd w:val="clear" w:color="auto" w:fill="auto"/>
            <w:vAlign w:val="center"/>
            <w:hideMark/>
          </w:tcPr>
          <w:p w14:paraId="248A4F48" w14:textId="77777777" w:rsidR="00696B6D" w:rsidRPr="00853884" w:rsidRDefault="00696B6D" w:rsidP="00696B6D">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SUPERÁVIT FINANCEIRO - DISTRIBUIÇÃO DA CESSÃO ONEROSA DO BÔNUS DE ASSINATURA DO PRÉ-SAL - LEI Nº 13.885/2019</w:t>
            </w:r>
          </w:p>
        </w:tc>
        <w:tc>
          <w:tcPr>
            <w:tcW w:w="970" w:type="dxa"/>
            <w:tcBorders>
              <w:top w:val="nil"/>
              <w:bottom w:val="nil"/>
              <w:right w:val="single" w:sz="4" w:space="0" w:color="auto"/>
            </w:tcBorders>
            <w:shd w:val="clear" w:color="auto" w:fill="auto"/>
            <w:noWrap/>
            <w:vAlign w:val="center"/>
          </w:tcPr>
          <w:p w14:paraId="6910562B" w14:textId="77777777" w:rsidR="00696B6D" w:rsidRPr="00853884" w:rsidRDefault="00696B6D" w:rsidP="00696B6D">
            <w:pPr>
              <w:spacing w:after="0" w:line="240" w:lineRule="auto"/>
              <w:jc w:val="center"/>
              <w:rPr>
                <w:rFonts w:ascii="Arial Narrow" w:eastAsia="Times New Roman" w:hAnsi="Arial Narrow" w:cs="Calibri"/>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32C6A7BB"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SDF.D604</w:t>
            </w:r>
          </w:p>
        </w:tc>
        <w:tc>
          <w:tcPr>
            <w:tcW w:w="1246" w:type="dxa"/>
            <w:tcBorders>
              <w:top w:val="nil"/>
              <w:left w:val="nil"/>
              <w:bottom w:val="nil"/>
              <w:right w:val="single" w:sz="4" w:space="0" w:color="auto"/>
            </w:tcBorders>
            <w:shd w:val="clear" w:color="auto" w:fill="auto"/>
            <w:noWrap/>
            <w:vAlign w:val="center"/>
            <w:hideMark/>
          </w:tcPr>
          <w:p w14:paraId="0A1D914C"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SDF.E604</w:t>
            </w:r>
          </w:p>
        </w:tc>
      </w:tr>
      <w:tr w:rsidR="00696B6D" w:rsidRPr="00853884" w14:paraId="6ACFBE29" w14:textId="77777777" w:rsidTr="00E67116">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7822ACD2"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312</w:t>
            </w:r>
          </w:p>
        </w:tc>
        <w:tc>
          <w:tcPr>
            <w:tcW w:w="9866" w:type="dxa"/>
            <w:tcBorders>
              <w:top w:val="single" w:sz="4" w:space="0" w:color="D9D9D9"/>
              <w:left w:val="nil"/>
              <w:bottom w:val="single" w:sz="4" w:space="0" w:color="D9D9D9"/>
            </w:tcBorders>
            <w:shd w:val="clear" w:color="auto" w:fill="auto"/>
            <w:vAlign w:val="center"/>
            <w:hideMark/>
          </w:tcPr>
          <w:p w14:paraId="654CE31B" w14:textId="77777777" w:rsidR="00696B6D" w:rsidRPr="00853884" w:rsidRDefault="00696B6D" w:rsidP="00696B6D">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SUPERÁVIT FINANCEIRO - DEC. 2.829-R, DE 17/08/11</w:t>
            </w:r>
          </w:p>
        </w:tc>
        <w:tc>
          <w:tcPr>
            <w:tcW w:w="970" w:type="dxa"/>
            <w:tcBorders>
              <w:top w:val="nil"/>
              <w:bottom w:val="nil"/>
              <w:right w:val="single" w:sz="4" w:space="0" w:color="auto"/>
            </w:tcBorders>
            <w:shd w:val="clear" w:color="auto" w:fill="auto"/>
            <w:noWrap/>
            <w:vAlign w:val="center"/>
          </w:tcPr>
          <w:p w14:paraId="51B17586" w14:textId="77777777" w:rsidR="00696B6D" w:rsidRPr="00853884" w:rsidRDefault="00696B6D" w:rsidP="00696B6D">
            <w:pPr>
              <w:spacing w:after="0" w:line="240" w:lineRule="auto"/>
              <w:jc w:val="center"/>
              <w:rPr>
                <w:rFonts w:ascii="Arial Narrow" w:eastAsia="Times New Roman" w:hAnsi="Arial Narrow" w:cs="Calibri"/>
                <w:color w:val="FF0000"/>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1FF6730B"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SDF.D550</w:t>
            </w:r>
          </w:p>
        </w:tc>
        <w:tc>
          <w:tcPr>
            <w:tcW w:w="1246" w:type="dxa"/>
            <w:tcBorders>
              <w:top w:val="nil"/>
              <w:left w:val="nil"/>
              <w:bottom w:val="nil"/>
              <w:right w:val="single" w:sz="4" w:space="0" w:color="auto"/>
            </w:tcBorders>
            <w:shd w:val="clear" w:color="auto" w:fill="auto"/>
            <w:noWrap/>
            <w:vAlign w:val="center"/>
            <w:hideMark/>
          </w:tcPr>
          <w:p w14:paraId="4CA82CE9"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SDF.E550</w:t>
            </w:r>
          </w:p>
        </w:tc>
      </w:tr>
      <w:tr w:rsidR="00696B6D" w:rsidRPr="00853884" w14:paraId="560B26EF" w14:textId="77777777" w:rsidTr="00E67116">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3EBF0ABA"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315</w:t>
            </w:r>
          </w:p>
        </w:tc>
        <w:tc>
          <w:tcPr>
            <w:tcW w:w="9866" w:type="dxa"/>
            <w:tcBorders>
              <w:top w:val="single" w:sz="4" w:space="0" w:color="D9D9D9"/>
              <w:left w:val="nil"/>
              <w:bottom w:val="single" w:sz="4" w:space="0" w:color="D9D9D9"/>
            </w:tcBorders>
            <w:shd w:val="clear" w:color="auto" w:fill="auto"/>
            <w:vAlign w:val="center"/>
            <w:hideMark/>
          </w:tcPr>
          <w:p w14:paraId="420B67B3" w14:textId="77777777" w:rsidR="00696B6D" w:rsidRPr="00853884" w:rsidRDefault="00696B6D" w:rsidP="00696B6D">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SUPERÁVIT FINANCEIRO - ALIENAÇÃO DE BENS</w:t>
            </w:r>
          </w:p>
        </w:tc>
        <w:tc>
          <w:tcPr>
            <w:tcW w:w="970" w:type="dxa"/>
            <w:tcBorders>
              <w:top w:val="nil"/>
              <w:bottom w:val="nil"/>
              <w:right w:val="single" w:sz="4" w:space="0" w:color="auto"/>
            </w:tcBorders>
            <w:shd w:val="clear" w:color="auto" w:fill="auto"/>
            <w:noWrap/>
            <w:vAlign w:val="center"/>
          </w:tcPr>
          <w:p w14:paraId="4A96079B" w14:textId="77777777" w:rsidR="00696B6D" w:rsidRPr="00853884" w:rsidRDefault="00696B6D" w:rsidP="00696B6D">
            <w:pPr>
              <w:spacing w:after="0" w:line="240" w:lineRule="auto"/>
              <w:jc w:val="center"/>
              <w:rPr>
                <w:rFonts w:ascii="Arial Narrow" w:eastAsia="Times New Roman" w:hAnsi="Arial Narrow" w:cs="Calibri"/>
                <w:color w:val="FF0000"/>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78AEAD61"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SDF.D553</w:t>
            </w:r>
          </w:p>
        </w:tc>
        <w:tc>
          <w:tcPr>
            <w:tcW w:w="1246" w:type="dxa"/>
            <w:tcBorders>
              <w:top w:val="nil"/>
              <w:left w:val="nil"/>
              <w:bottom w:val="nil"/>
              <w:right w:val="single" w:sz="4" w:space="0" w:color="auto"/>
            </w:tcBorders>
            <w:shd w:val="clear" w:color="auto" w:fill="auto"/>
            <w:noWrap/>
            <w:vAlign w:val="center"/>
            <w:hideMark/>
          </w:tcPr>
          <w:p w14:paraId="603E6DE7"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SDF.E553</w:t>
            </w:r>
          </w:p>
        </w:tc>
      </w:tr>
      <w:tr w:rsidR="00696B6D" w:rsidRPr="00853884" w14:paraId="2D4D78E9" w14:textId="77777777" w:rsidTr="00E67116">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04E18DDF"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316</w:t>
            </w:r>
          </w:p>
        </w:tc>
        <w:tc>
          <w:tcPr>
            <w:tcW w:w="9866" w:type="dxa"/>
            <w:tcBorders>
              <w:top w:val="single" w:sz="4" w:space="0" w:color="D9D9D9"/>
              <w:left w:val="nil"/>
              <w:bottom w:val="single" w:sz="4" w:space="0" w:color="D9D9D9"/>
            </w:tcBorders>
            <w:shd w:val="clear" w:color="auto" w:fill="auto"/>
            <w:vAlign w:val="center"/>
            <w:hideMark/>
          </w:tcPr>
          <w:p w14:paraId="5C0C5ED4" w14:textId="77777777" w:rsidR="00696B6D" w:rsidRPr="00853884" w:rsidRDefault="00696B6D" w:rsidP="00696B6D">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SUPERÁVIT FINANCEIRO - DEPÓSITOS JUDICIAIS – LEI 10.549, DE 1º JULHO DE 2016</w:t>
            </w:r>
          </w:p>
        </w:tc>
        <w:tc>
          <w:tcPr>
            <w:tcW w:w="970" w:type="dxa"/>
            <w:tcBorders>
              <w:top w:val="nil"/>
              <w:bottom w:val="nil"/>
              <w:right w:val="single" w:sz="4" w:space="0" w:color="auto"/>
            </w:tcBorders>
            <w:shd w:val="clear" w:color="auto" w:fill="auto"/>
            <w:noWrap/>
            <w:vAlign w:val="center"/>
          </w:tcPr>
          <w:p w14:paraId="619EDB68" w14:textId="77777777" w:rsidR="00696B6D" w:rsidRPr="00853884" w:rsidRDefault="00696B6D" w:rsidP="00696B6D">
            <w:pPr>
              <w:spacing w:after="0" w:line="240" w:lineRule="auto"/>
              <w:jc w:val="center"/>
              <w:rPr>
                <w:rFonts w:ascii="Arial Narrow" w:eastAsia="Times New Roman" w:hAnsi="Arial Narrow" w:cs="Calibri"/>
                <w:color w:val="FF0000"/>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2654104E"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SDF.D554</w:t>
            </w:r>
          </w:p>
        </w:tc>
        <w:tc>
          <w:tcPr>
            <w:tcW w:w="1246" w:type="dxa"/>
            <w:tcBorders>
              <w:top w:val="nil"/>
              <w:left w:val="nil"/>
              <w:bottom w:val="nil"/>
              <w:right w:val="single" w:sz="4" w:space="0" w:color="auto"/>
            </w:tcBorders>
            <w:shd w:val="clear" w:color="auto" w:fill="auto"/>
            <w:noWrap/>
            <w:vAlign w:val="center"/>
            <w:hideMark/>
          </w:tcPr>
          <w:p w14:paraId="02024CEB"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SDF.E554</w:t>
            </w:r>
          </w:p>
        </w:tc>
      </w:tr>
      <w:tr w:rsidR="00696B6D" w:rsidRPr="00853884" w14:paraId="16812CFE" w14:textId="77777777" w:rsidTr="00E67116">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10245C90"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333</w:t>
            </w:r>
          </w:p>
        </w:tc>
        <w:tc>
          <w:tcPr>
            <w:tcW w:w="9866" w:type="dxa"/>
            <w:tcBorders>
              <w:top w:val="single" w:sz="4" w:space="0" w:color="D9D9D9"/>
              <w:left w:val="nil"/>
              <w:bottom w:val="single" w:sz="4" w:space="0" w:color="D9D9D9"/>
            </w:tcBorders>
            <w:shd w:val="clear" w:color="auto" w:fill="auto"/>
            <w:vAlign w:val="center"/>
            <w:hideMark/>
          </w:tcPr>
          <w:p w14:paraId="5DFFC997" w14:textId="77777777" w:rsidR="00696B6D" w:rsidRPr="00853884" w:rsidRDefault="00696B6D" w:rsidP="00696B6D">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SUPERÁVIT FINANCEIRO - CONVÊNIOS UNIÃO</w:t>
            </w:r>
          </w:p>
        </w:tc>
        <w:tc>
          <w:tcPr>
            <w:tcW w:w="970" w:type="dxa"/>
            <w:tcBorders>
              <w:top w:val="nil"/>
              <w:bottom w:val="nil"/>
              <w:right w:val="single" w:sz="4" w:space="0" w:color="auto"/>
            </w:tcBorders>
            <w:shd w:val="clear" w:color="auto" w:fill="auto"/>
            <w:noWrap/>
            <w:vAlign w:val="center"/>
          </w:tcPr>
          <w:p w14:paraId="38E5986C" w14:textId="77777777" w:rsidR="00696B6D" w:rsidRPr="00853884" w:rsidRDefault="00696B6D" w:rsidP="00696B6D">
            <w:pPr>
              <w:spacing w:after="0" w:line="240" w:lineRule="auto"/>
              <w:jc w:val="center"/>
              <w:rPr>
                <w:rFonts w:ascii="Arial Narrow" w:eastAsia="Times New Roman" w:hAnsi="Arial Narrow" w:cs="Calibri"/>
                <w:color w:val="FF0000"/>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5B1536A8"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SDF.D557</w:t>
            </w:r>
          </w:p>
        </w:tc>
        <w:tc>
          <w:tcPr>
            <w:tcW w:w="1246" w:type="dxa"/>
            <w:tcBorders>
              <w:top w:val="nil"/>
              <w:left w:val="nil"/>
              <w:bottom w:val="nil"/>
              <w:right w:val="single" w:sz="4" w:space="0" w:color="auto"/>
            </w:tcBorders>
            <w:shd w:val="clear" w:color="auto" w:fill="auto"/>
            <w:noWrap/>
            <w:vAlign w:val="center"/>
            <w:hideMark/>
          </w:tcPr>
          <w:p w14:paraId="57DEB98D"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SDF.E557</w:t>
            </w:r>
          </w:p>
        </w:tc>
      </w:tr>
      <w:tr w:rsidR="00696B6D" w:rsidRPr="00853884" w14:paraId="577AF38D" w14:textId="77777777" w:rsidTr="00E67116">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74A7CCC9"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336</w:t>
            </w:r>
          </w:p>
        </w:tc>
        <w:tc>
          <w:tcPr>
            <w:tcW w:w="9866" w:type="dxa"/>
            <w:tcBorders>
              <w:top w:val="single" w:sz="4" w:space="0" w:color="D9D9D9"/>
              <w:left w:val="nil"/>
              <w:bottom w:val="single" w:sz="4" w:space="0" w:color="D9D9D9"/>
            </w:tcBorders>
            <w:shd w:val="clear" w:color="auto" w:fill="auto"/>
            <w:vAlign w:val="center"/>
            <w:hideMark/>
          </w:tcPr>
          <w:p w14:paraId="646823EB" w14:textId="77777777" w:rsidR="00696B6D" w:rsidRPr="00853884" w:rsidRDefault="00696B6D" w:rsidP="00696B6D">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SUPERÁVIT FINANCEIRO - TRANSFERÊNCIAS CONSTITUCIONAIS A MUNICÍPIOS</w:t>
            </w:r>
          </w:p>
        </w:tc>
        <w:tc>
          <w:tcPr>
            <w:tcW w:w="970" w:type="dxa"/>
            <w:tcBorders>
              <w:top w:val="nil"/>
              <w:bottom w:val="nil"/>
              <w:right w:val="single" w:sz="4" w:space="0" w:color="auto"/>
            </w:tcBorders>
            <w:shd w:val="clear" w:color="auto" w:fill="auto"/>
            <w:noWrap/>
            <w:vAlign w:val="center"/>
          </w:tcPr>
          <w:p w14:paraId="0A36D39A" w14:textId="77777777" w:rsidR="00696B6D" w:rsidRPr="00853884" w:rsidRDefault="00696B6D" w:rsidP="00696B6D">
            <w:pPr>
              <w:spacing w:after="0" w:line="240" w:lineRule="auto"/>
              <w:jc w:val="center"/>
              <w:rPr>
                <w:rFonts w:ascii="Arial Narrow" w:eastAsia="Times New Roman" w:hAnsi="Arial Narrow" w:cs="Calibri"/>
                <w:color w:val="FF0000"/>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74607DA1"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SDF.D560</w:t>
            </w:r>
          </w:p>
        </w:tc>
        <w:tc>
          <w:tcPr>
            <w:tcW w:w="1246" w:type="dxa"/>
            <w:tcBorders>
              <w:top w:val="nil"/>
              <w:left w:val="nil"/>
              <w:bottom w:val="nil"/>
              <w:right w:val="single" w:sz="4" w:space="0" w:color="auto"/>
            </w:tcBorders>
            <w:shd w:val="clear" w:color="auto" w:fill="auto"/>
            <w:noWrap/>
            <w:vAlign w:val="center"/>
            <w:hideMark/>
          </w:tcPr>
          <w:p w14:paraId="34C07CA7"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SDF.E560</w:t>
            </w:r>
          </w:p>
        </w:tc>
      </w:tr>
      <w:tr w:rsidR="00696B6D" w:rsidRPr="00853884" w14:paraId="40264F76" w14:textId="77777777" w:rsidTr="00E67116">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22DE3CBE"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338</w:t>
            </w:r>
          </w:p>
        </w:tc>
        <w:tc>
          <w:tcPr>
            <w:tcW w:w="9866" w:type="dxa"/>
            <w:tcBorders>
              <w:top w:val="single" w:sz="4" w:space="0" w:color="D9D9D9"/>
              <w:left w:val="nil"/>
              <w:bottom w:val="single" w:sz="4" w:space="0" w:color="D9D9D9"/>
            </w:tcBorders>
            <w:shd w:val="clear" w:color="auto" w:fill="auto"/>
            <w:vAlign w:val="center"/>
            <w:hideMark/>
          </w:tcPr>
          <w:p w14:paraId="42CD1AAB" w14:textId="77777777" w:rsidR="00696B6D" w:rsidRPr="00853884" w:rsidRDefault="00696B6D" w:rsidP="00696B6D">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SUPERÁVIT FINANCEIRO - FUNDAP</w:t>
            </w:r>
          </w:p>
        </w:tc>
        <w:tc>
          <w:tcPr>
            <w:tcW w:w="970" w:type="dxa"/>
            <w:tcBorders>
              <w:top w:val="nil"/>
              <w:bottom w:val="nil"/>
              <w:right w:val="single" w:sz="4" w:space="0" w:color="auto"/>
            </w:tcBorders>
            <w:shd w:val="clear" w:color="auto" w:fill="auto"/>
            <w:noWrap/>
            <w:vAlign w:val="center"/>
          </w:tcPr>
          <w:p w14:paraId="5184DD33" w14:textId="77777777" w:rsidR="00696B6D" w:rsidRPr="00853884" w:rsidRDefault="00696B6D" w:rsidP="00696B6D">
            <w:pPr>
              <w:spacing w:after="0" w:line="240" w:lineRule="auto"/>
              <w:jc w:val="center"/>
              <w:rPr>
                <w:rFonts w:ascii="Arial Narrow" w:eastAsia="Times New Roman" w:hAnsi="Arial Narrow" w:cs="Calibri"/>
                <w:color w:val="FF0000"/>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7126C783"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SDF.D561</w:t>
            </w:r>
          </w:p>
        </w:tc>
        <w:tc>
          <w:tcPr>
            <w:tcW w:w="1246" w:type="dxa"/>
            <w:tcBorders>
              <w:top w:val="nil"/>
              <w:left w:val="nil"/>
              <w:bottom w:val="nil"/>
              <w:right w:val="single" w:sz="4" w:space="0" w:color="auto"/>
            </w:tcBorders>
            <w:shd w:val="clear" w:color="auto" w:fill="auto"/>
            <w:noWrap/>
            <w:vAlign w:val="center"/>
            <w:hideMark/>
          </w:tcPr>
          <w:p w14:paraId="77C0F28F"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SDF.E561</w:t>
            </w:r>
          </w:p>
        </w:tc>
      </w:tr>
      <w:tr w:rsidR="00696B6D" w:rsidRPr="00853884" w14:paraId="7A73850A" w14:textId="77777777" w:rsidTr="00E67116">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18C330EB"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339</w:t>
            </w:r>
          </w:p>
        </w:tc>
        <w:tc>
          <w:tcPr>
            <w:tcW w:w="9866" w:type="dxa"/>
            <w:tcBorders>
              <w:top w:val="single" w:sz="4" w:space="0" w:color="D9D9D9"/>
              <w:left w:val="nil"/>
              <w:bottom w:val="single" w:sz="4" w:space="0" w:color="D9D9D9"/>
            </w:tcBorders>
            <w:shd w:val="clear" w:color="auto" w:fill="auto"/>
            <w:vAlign w:val="center"/>
            <w:hideMark/>
          </w:tcPr>
          <w:p w14:paraId="1338730D" w14:textId="77777777" w:rsidR="00696B6D" w:rsidRPr="00853884" w:rsidRDefault="00696B6D" w:rsidP="00696B6D">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SUPERÁVIT FINANCEIRO - DOAÇÕES</w:t>
            </w:r>
          </w:p>
        </w:tc>
        <w:tc>
          <w:tcPr>
            <w:tcW w:w="970" w:type="dxa"/>
            <w:tcBorders>
              <w:top w:val="nil"/>
              <w:bottom w:val="nil"/>
              <w:right w:val="single" w:sz="4" w:space="0" w:color="auto"/>
            </w:tcBorders>
            <w:shd w:val="clear" w:color="auto" w:fill="auto"/>
            <w:noWrap/>
            <w:vAlign w:val="center"/>
          </w:tcPr>
          <w:p w14:paraId="77A27EBB" w14:textId="77777777" w:rsidR="00696B6D" w:rsidRPr="00853884" w:rsidRDefault="00696B6D" w:rsidP="00696B6D">
            <w:pPr>
              <w:spacing w:after="0" w:line="240" w:lineRule="auto"/>
              <w:jc w:val="center"/>
              <w:rPr>
                <w:rFonts w:ascii="Arial Narrow" w:eastAsia="Times New Roman" w:hAnsi="Arial Narrow" w:cs="Calibri"/>
                <w:color w:val="FF0000"/>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2FE4B0F0"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SDF.D562</w:t>
            </w:r>
          </w:p>
        </w:tc>
        <w:tc>
          <w:tcPr>
            <w:tcW w:w="1246" w:type="dxa"/>
            <w:tcBorders>
              <w:top w:val="nil"/>
              <w:left w:val="nil"/>
              <w:bottom w:val="nil"/>
              <w:right w:val="single" w:sz="4" w:space="0" w:color="auto"/>
            </w:tcBorders>
            <w:shd w:val="clear" w:color="auto" w:fill="auto"/>
            <w:noWrap/>
            <w:vAlign w:val="center"/>
            <w:hideMark/>
          </w:tcPr>
          <w:p w14:paraId="7364BB54"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SDF.E562</w:t>
            </w:r>
          </w:p>
        </w:tc>
      </w:tr>
      <w:tr w:rsidR="00696B6D" w:rsidRPr="00853884" w14:paraId="5A0B3301" w14:textId="77777777" w:rsidTr="00E67116">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3CC3D6D4"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341</w:t>
            </w:r>
          </w:p>
        </w:tc>
        <w:tc>
          <w:tcPr>
            <w:tcW w:w="9866" w:type="dxa"/>
            <w:tcBorders>
              <w:top w:val="nil"/>
              <w:left w:val="nil"/>
              <w:bottom w:val="single" w:sz="4" w:space="0" w:color="D9D9D9"/>
            </w:tcBorders>
            <w:shd w:val="clear" w:color="auto" w:fill="auto"/>
            <w:vAlign w:val="center"/>
            <w:hideMark/>
          </w:tcPr>
          <w:p w14:paraId="40156925" w14:textId="77777777" w:rsidR="00696B6D" w:rsidRPr="00853884" w:rsidRDefault="00696B6D" w:rsidP="00696B6D">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SUPERÁVIT FINANCEIRO - CONVÊNIOS COM ÓRGÃOS NÃO FEDERAIS</w:t>
            </w:r>
          </w:p>
        </w:tc>
        <w:tc>
          <w:tcPr>
            <w:tcW w:w="970" w:type="dxa"/>
            <w:tcBorders>
              <w:top w:val="nil"/>
              <w:bottom w:val="nil"/>
              <w:right w:val="single" w:sz="4" w:space="0" w:color="auto"/>
            </w:tcBorders>
            <w:shd w:val="clear" w:color="auto" w:fill="auto"/>
            <w:noWrap/>
            <w:vAlign w:val="center"/>
          </w:tcPr>
          <w:p w14:paraId="106F7A06" w14:textId="77777777" w:rsidR="00696B6D" w:rsidRPr="00853884" w:rsidRDefault="00696B6D" w:rsidP="00696B6D">
            <w:pPr>
              <w:spacing w:after="0" w:line="240" w:lineRule="auto"/>
              <w:jc w:val="center"/>
              <w:rPr>
                <w:rFonts w:ascii="Arial Narrow" w:eastAsia="Times New Roman" w:hAnsi="Arial Narrow" w:cs="Calibri"/>
                <w:color w:val="FF0000"/>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1FA8F9E5"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SDF.D563</w:t>
            </w:r>
          </w:p>
        </w:tc>
        <w:tc>
          <w:tcPr>
            <w:tcW w:w="1246" w:type="dxa"/>
            <w:tcBorders>
              <w:top w:val="nil"/>
              <w:left w:val="nil"/>
              <w:bottom w:val="nil"/>
              <w:right w:val="single" w:sz="4" w:space="0" w:color="auto"/>
            </w:tcBorders>
            <w:shd w:val="clear" w:color="auto" w:fill="auto"/>
            <w:noWrap/>
            <w:vAlign w:val="center"/>
            <w:hideMark/>
          </w:tcPr>
          <w:p w14:paraId="30878522"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SDF.E563</w:t>
            </w:r>
          </w:p>
        </w:tc>
      </w:tr>
      <w:tr w:rsidR="00696B6D" w:rsidRPr="00853884" w14:paraId="3BC396DF" w14:textId="77777777" w:rsidTr="00E67116">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7AB09C67"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342</w:t>
            </w:r>
          </w:p>
        </w:tc>
        <w:tc>
          <w:tcPr>
            <w:tcW w:w="9866" w:type="dxa"/>
            <w:tcBorders>
              <w:top w:val="nil"/>
              <w:left w:val="nil"/>
              <w:bottom w:val="single" w:sz="4" w:space="0" w:color="D9D9D9"/>
            </w:tcBorders>
            <w:shd w:val="clear" w:color="auto" w:fill="auto"/>
            <w:vAlign w:val="center"/>
            <w:hideMark/>
          </w:tcPr>
          <w:p w14:paraId="646D22F6" w14:textId="77777777" w:rsidR="00696B6D" w:rsidRPr="00853884" w:rsidRDefault="00696B6D" w:rsidP="00696B6D">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SUPERÁVIT FINANCEIRO - OPERAÇÕES DE CRÉDITO INTERNAS</w:t>
            </w:r>
          </w:p>
        </w:tc>
        <w:tc>
          <w:tcPr>
            <w:tcW w:w="970" w:type="dxa"/>
            <w:tcBorders>
              <w:top w:val="nil"/>
              <w:bottom w:val="nil"/>
              <w:right w:val="single" w:sz="4" w:space="0" w:color="auto"/>
            </w:tcBorders>
            <w:shd w:val="clear" w:color="auto" w:fill="auto"/>
            <w:noWrap/>
            <w:vAlign w:val="center"/>
          </w:tcPr>
          <w:p w14:paraId="49E327D6" w14:textId="77777777" w:rsidR="00696B6D" w:rsidRPr="00853884" w:rsidRDefault="00696B6D" w:rsidP="00696B6D">
            <w:pPr>
              <w:spacing w:after="0" w:line="240" w:lineRule="auto"/>
              <w:jc w:val="center"/>
              <w:rPr>
                <w:rFonts w:ascii="Arial Narrow" w:eastAsia="Times New Roman" w:hAnsi="Arial Narrow" w:cs="Calibri"/>
                <w:color w:val="FF0000"/>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2A7C08DF"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SDF.D564</w:t>
            </w:r>
          </w:p>
        </w:tc>
        <w:tc>
          <w:tcPr>
            <w:tcW w:w="1246" w:type="dxa"/>
            <w:tcBorders>
              <w:top w:val="nil"/>
              <w:left w:val="nil"/>
              <w:bottom w:val="nil"/>
              <w:right w:val="single" w:sz="4" w:space="0" w:color="auto"/>
            </w:tcBorders>
            <w:shd w:val="clear" w:color="auto" w:fill="auto"/>
            <w:noWrap/>
            <w:vAlign w:val="center"/>
            <w:hideMark/>
          </w:tcPr>
          <w:p w14:paraId="736D1B77"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SDF.E564</w:t>
            </w:r>
          </w:p>
        </w:tc>
      </w:tr>
      <w:tr w:rsidR="00696B6D" w:rsidRPr="00853884" w14:paraId="6453F0F1" w14:textId="77777777" w:rsidTr="00E67116">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597FBF8D"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343</w:t>
            </w:r>
          </w:p>
        </w:tc>
        <w:tc>
          <w:tcPr>
            <w:tcW w:w="9866" w:type="dxa"/>
            <w:tcBorders>
              <w:top w:val="nil"/>
              <w:left w:val="nil"/>
              <w:bottom w:val="single" w:sz="4" w:space="0" w:color="D9D9D9"/>
            </w:tcBorders>
            <w:shd w:val="clear" w:color="auto" w:fill="auto"/>
            <w:vAlign w:val="center"/>
            <w:hideMark/>
          </w:tcPr>
          <w:p w14:paraId="14E47C8F" w14:textId="77777777" w:rsidR="00696B6D" w:rsidRPr="00853884" w:rsidRDefault="00696B6D" w:rsidP="00696B6D">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SUPERÁVIT FINANCEIRO - OPERAÇÕES DE CRÉDITO EXTERNAS</w:t>
            </w:r>
          </w:p>
        </w:tc>
        <w:tc>
          <w:tcPr>
            <w:tcW w:w="970" w:type="dxa"/>
            <w:tcBorders>
              <w:top w:val="nil"/>
              <w:bottom w:val="nil"/>
              <w:right w:val="single" w:sz="4" w:space="0" w:color="auto"/>
            </w:tcBorders>
            <w:shd w:val="clear" w:color="auto" w:fill="auto"/>
            <w:noWrap/>
            <w:vAlign w:val="center"/>
          </w:tcPr>
          <w:p w14:paraId="1C8B48DA" w14:textId="77777777" w:rsidR="00696B6D" w:rsidRPr="00853884" w:rsidRDefault="00696B6D" w:rsidP="00696B6D">
            <w:pPr>
              <w:spacing w:after="0" w:line="240" w:lineRule="auto"/>
              <w:jc w:val="center"/>
              <w:rPr>
                <w:rFonts w:ascii="Arial Narrow" w:eastAsia="Times New Roman" w:hAnsi="Arial Narrow" w:cs="Calibri"/>
                <w:color w:val="FF0000"/>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267690F0"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SDF.D565</w:t>
            </w:r>
          </w:p>
        </w:tc>
        <w:tc>
          <w:tcPr>
            <w:tcW w:w="1246" w:type="dxa"/>
            <w:tcBorders>
              <w:top w:val="nil"/>
              <w:left w:val="nil"/>
              <w:bottom w:val="nil"/>
              <w:right w:val="single" w:sz="4" w:space="0" w:color="auto"/>
            </w:tcBorders>
            <w:shd w:val="clear" w:color="auto" w:fill="auto"/>
            <w:noWrap/>
            <w:vAlign w:val="center"/>
            <w:hideMark/>
          </w:tcPr>
          <w:p w14:paraId="2DA31471"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SDF.E565</w:t>
            </w:r>
          </w:p>
        </w:tc>
      </w:tr>
      <w:tr w:rsidR="00696B6D" w:rsidRPr="00853884" w14:paraId="0E2D6D35" w14:textId="77777777" w:rsidTr="00E67116">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034F28BE"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344</w:t>
            </w:r>
          </w:p>
        </w:tc>
        <w:tc>
          <w:tcPr>
            <w:tcW w:w="9866" w:type="dxa"/>
            <w:tcBorders>
              <w:top w:val="nil"/>
              <w:left w:val="nil"/>
              <w:bottom w:val="single" w:sz="4" w:space="0" w:color="D9D9D9"/>
            </w:tcBorders>
            <w:shd w:val="clear" w:color="auto" w:fill="auto"/>
            <w:vAlign w:val="center"/>
            <w:hideMark/>
          </w:tcPr>
          <w:p w14:paraId="0EDAB6AD" w14:textId="77777777" w:rsidR="00696B6D" w:rsidRPr="00853884" w:rsidRDefault="00696B6D" w:rsidP="00696B6D">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SUPERÁVIT FINANCEIRO - TRANSFERÊNCIAS A MUNICÍPIOS - CIDE</w:t>
            </w:r>
          </w:p>
        </w:tc>
        <w:tc>
          <w:tcPr>
            <w:tcW w:w="970" w:type="dxa"/>
            <w:tcBorders>
              <w:top w:val="nil"/>
              <w:bottom w:val="nil"/>
              <w:right w:val="single" w:sz="4" w:space="0" w:color="auto"/>
            </w:tcBorders>
            <w:shd w:val="clear" w:color="auto" w:fill="auto"/>
            <w:noWrap/>
            <w:vAlign w:val="center"/>
          </w:tcPr>
          <w:p w14:paraId="779EC06C" w14:textId="77777777" w:rsidR="00696B6D" w:rsidRPr="00853884" w:rsidRDefault="00696B6D" w:rsidP="00696B6D">
            <w:pPr>
              <w:spacing w:after="0" w:line="240" w:lineRule="auto"/>
              <w:jc w:val="center"/>
              <w:rPr>
                <w:rFonts w:ascii="Arial Narrow" w:eastAsia="Times New Roman" w:hAnsi="Arial Narrow" w:cs="Calibri"/>
                <w:color w:val="FF0000"/>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2048DB35"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SDF.D566</w:t>
            </w:r>
          </w:p>
        </w:tc>
        <w:tc>
          <w:tcPr>
            <w:tcW w:w="1246" w:type="dxa"/>
            <w:tcBorders>
              <w:top w:val="nil"/>
              <w:left w:val="nil"/>
              <w:bottom w:val="nil"/>
              <w:right w:val="single" w:sz="4" w:space="0" w:color="auto"/>
            </w:tcBorders>
            <w:shd w:val="clear" w:color="auto" w:fill="auto"/>
            <w:noWrap/>
            <w:vAlign w:val="center"/>
            <w:hideMark/>
          </w:tcPr>
          <w:p w14:paraId="260E505B"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SDF.E566</w:t>
            </w:r>
          </w:p>
        </w:tc>
      </w:tr>
      <w:tr w:rsidR="00696B6D" w:rsidRPr="00853884" w14:paraId="21D433AB" w14:textId="77777777" w:rsidTr="00E67116">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7FC33BEE"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350</w:t>
            </w:r>
          </w:p>
        </w:tc>
        <w:tc>
          <w:tcPr>
            <w:tcW w:w="9866" w:type="dxa"/>
            <w:tcBorders>
              <w:top w:val="nil"/>
              <w:left w:val="nil"/>
              <w:bottom w:val="single" w:sz="4" w:space="0" w:color="D9D9D9"/>
            </w:tcBorders>
            <w:shd w:val="clear" w:color="auto" w:fill="auto"/>
            <w:vAlign w:val="center"/>
            <w:hideMark/>
          </w:tcPr>
          <w:p w14:paraId="7FDF03B5" w14:textId="77777777" w:rsidR="00696B6D" w:rsidRPr="00853884" w:rsidRDefault="00696B6D" w:rsidP="00696B6D">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SUPERÁVIT FINANCEIRO - PACTO NACIONAL PELA GESTÃO DAS ÁGUAS – PROGESTÃO</w:t>
            </w:r>
          </w:p>
        </w:tc>
        <w:tc>
          <w:tcPr>
            <w:tcW w:w="970" w:type="dxa"/>
            <w:tcBorders>
              <w:top w:val="nil"/>
              <w:bottom w:val="nil"/>
              <w:right w:val="single" w:sz="4" w:space="0" w:color="auto"/>
            </w:tcBorders>
            <w:shd w:val="clear" w:color="auto" w:fill="auto"/>
            <w:noWrap/>
            <w:vAlign w:val="center"/>
          </w:tcPr>
          <w:p w14:paraId="299E2679" w14:textId="77777777" w:rsidR="00696B6D" w:rsidRPr="00853884" w:rsidRDefault="00696B6D" w:rsidP="00696B6D">
            <w:pPr>
              <w:spacing w:after="0" w:line="240" w:lineRule="auto"/>
              <w:jc w:val="center"/>
              <w:rPr>
                <w:rFonts w:ascii="Arial Narrow" w:eastAsia="Times New Roman" w:hAnsi="Arial Narrow" w:cs="Calibri"/>
                <w:color w:val="FF0000"/>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3336C334"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SDF.D571</w:t>
            </w:r>
          </w:p>
        </w:tc>
        <w:tc>
          <w:tcPr>
            <w:tcW w:w="1246" w:type="dxa"/>
            <w:tcBorders>
              <w:top w:val="nil"/>
              <w:left w:val="nil"/>
              <w:bottom w:val="nil"/>
              <w:right w:val="single" w:sz="4" w:space="0" w:color="auto"/>
            </w:tcBorders>
            <w:shd w:val="clear" w:color="auto" w:fill="auto"/>
            <w:noWrap/>
            <w:vAlign w:val="center"/>
            <w:hideMark/>
          </w:tcPr>
          <w:p w14:paraId="56EB7429"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SDF.E571</w:t>
            </w:r>
          </w:p>
        </w:tc>
      </w:tr>
      <w:tr w:rsidR="00696B6D" w:rsidRPr="00853884" w14:paraId="364DA34B" w14:textId="77777777" w:rsidTr="00E67116">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64CEFABD"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354</w:t>
            </w:r>
          </w:p>
        </w:tc>
        <w:tc>
          <w:tcPr>
            <w:tcW w:w="9866" w:type="dxa"/>
            <w:tcBorders>
              <w:top w:val="nil"/>
              <w:left w:val="nil"/>
              <w:bottom w:val="single" w:sz="4" w:space="0" w:color="D9D9D9"/>
            </w:tcBorders>
            <w:shd w:val="clear" w:color="auto" w:fill="auto"/>
            <w:vAlign w:val="center"/>
            <w:hideMark/>
          </w:tcPr>
          <w:p w14:paraId="737619C5" w14:textId="77777777" w:rsidR="00696B6D" w:rsidRPr="00853884" w:rsidRDefault="00696B6D" w:rsidP="00696B6D">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SUPERÁVIT FINANCEIRO - CIDE</w:t>
            </w:r>
          </w:p>
        </w:tc>
        <w:tc>
          <w:tcPr>
            <w:tcW w:w="970" w:type="dxa"/>
            <w:tcBorders>
              <w:top w:val="nil"/>
              <w:bottom w:val="nil"/>
              <w:right w:val="single" w:sz="4" w:space="0" w:color="auto"/>
            </w:tcBorders>
            <w:shd w:val="clear" w:color="auto" w:fill="auto"/>
            <w:noWrap/>
            <w:vAlign w:val="center"/>
          </w:tcPr>
          <w:p w14:paraId="14C7971A" w14:textId="77777777" w:rsidR="00696B6D" w:rsidRPr="00853884" w:rsidRDefault="00696B6D" w:rsidP="00696B6D">
            <w:pPr>
              <w:spacing w:after="0" w:line="240" w:lineRule="auto"/>
              <w:jc w:val="center"/>
              <w:rPr>
                <w:rFonts w:ascii="Arial Narrow" w:eastAsia="Times New Roman" w:hAnsi="Arial Narrow" w:cs="Calibri"/>
                <w:color w:val="FF0000"/>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47FC6FBA"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SDF.D574</w:t>
            </w:r>
          </w:p>
        </w:tc>
        <w:tc>
          <w:tcPr>
            <w:tcW w:w="1246" w:type="dxa"/>
            <w:tcBorders>
              <w:top w:val="nil"/>
              <w:left w:val="nil"/>
              <w:bottom w:val="nil"/>
              <w:right w:val="single" w:sz="4" w:space="0" w:color="auto"/>
            </w:tcBorders>
            <w:shd w:val="clear" w:color="auto" w:fill="auto"/>
            <w:noWrap/>
            <w:vAlign w:val="center"/>
            <w:hideMark/>
          </w:tcPr>
          <w:p w14:paraId="3A56FDA6"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SDF.E574</w:t>
            </w:r>
          </w:p>
        </w:tc>
      </w:tr>
      <w:tr w:rsidR="00696B6D" w:rsidRPr="00853884" w14:paraId="4258872B" w14:textId="77777777" w:rsidTr="00E67116">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5B7E53DA"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357</w:t>
            </w:r>
          </w:p>
        </w:tc>
        <w:tc>
          <w:tcPr>
            <w:tcW w:w="9866" w:type="dxa"/>
            <w:tcBorders>
              <w:top w:val="nil"/>
              <w:left w:val="nil"/>
              <w:bottom w:val="single" w:sz="4" w:space="0" w:color="D9D9D9"/>
            </w:tcBorders>
            <w:shd w:val="clear" w:color="auto" w:fill="auto"/>
            <w:vAlign w:val="center"/>
            <w:hideMark/>
          </w:tcPr>
          <w:p w14:paraId="1863C9B5" w14:textId="77777777" w:rsidR="00696B6D" w:rsidRPr="00853884" w:rsidRDefault="00696B6D" w:rsidP="00696B6D">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SUPERÁVIT FINANCEIRO - INCENTIVO SUAS - UNIÃO</w:t>
            </w:r>
          </w:p>
        </w:tc>
        <w:tc>
          <w:tcPr>
            <w:tcW w:w="970" w:type="dxa"/>
            <w:tcBorders>
              <w:top w:val="nil"/>
              <w:bottom w:val="nil"/>
              <w:right w:val="single" w:sz="4" w:space="0" w:color="auto"/>
            </w:tcBorders>
            <w:shd w:val="clear" w:color="auto" w:fill="auto"/>
            <w:noWrap/>
            <w:vAlign w:val="center"/>
          </w:tcPr>
          <w:p w14:paraId="473DF3BA" w14:textId="77777777" w:rsidR="00696B6D" w:rsidRPr="00853884" w:rsidRDefault="00696B6D" w:rsidP="00696B6D">
            <w:pPr>
              <w:spacing w:after="0" w:line="240" w:lineRule="auto"/>
              <w:jc w:val="center"/>
              <w:rPr>
                <w:rFonts w:ascii="Arial Narrow" w:eastAsia="Times New Roman" w:hAnsi="Arial Narrow" w:cs="Calibri"/>
                <w:color w:val="FF0000"/>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2EBC11A5"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SDF.D575</w:t>
            </w:r>
          </w:p>
        </w:tc>
        <w:tc>
          <w:tcPr>
            <w:tcW w:w="1246" w:type="dxa"/>
            <w:tcBorders>
              <w:top w:val="nil"/>
              <w:left w:val="nil"/>
              <w:bottom w:val="nil"/>
              <w:right w:val="single" w:sz="4" w:space="0" w:color="auto"/>
            </w:tcBorders>
            <w:shd w:val="clear" w:color="auto" w:fill="auto"/>
            <w:noWrap/>
            <w:vAlign w:val="center"/>
            <w:hideMark/>
          </w:tcPr>
          <w:p w14:paraId="7FFDB011"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SDF.E575</w:t>
            </w:r>
          </w:p>
        </w:tc>
      </w:tr>
      <w:tr w:rsidR="00696B6D" w:rsidRPr="00853884" w14:paraId="6843C0C1" w14:textId="77777777" w:rsidTr="00E67116">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5946545C"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358</w:t>
            </w:r>
          </w:p>
        </w:tc>
        <w:tc>
          <w:tcPr>
            <w:tcW w:w="9866" w:type="dxa"/>
            <w:tcBorders>
              <w:top w:val="nil"/>
              <w:left w:val="nil"/>
              <w:bottom w:val="single" w:sz="4" w:space="0" w:color="D9D9D9"/>
            </w:tcBorders>
            <w:shd w:val="clear" w:color="auto" w:fill="auto"/>
            <w:vAlign w:val="center"/>
            <w:hideMark/>
          </w:tcPr>
          <w:p w14:paraId="7A1F4228" w14:textId="77777777" w:rsidR="00696B6D" w:rsidRPr="00853884" w:rsidRDefault="00696B6D" w:rsidP="00696B6D">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SUPERÁVIT FINANCEIRO - TRANSFERÊNCIAS A MUNICÍPIOS - LEI PELÉ</w:t>
            </w:r>
          </w:p>
        </w:tc>
        <w:tc>
          <w:tcPr>
            <w:tcW w:w="970" w:type="dxa"/>
            <w:tcBorders>
              <w:top w:val="nil"/>
              <w:bottom w:val="nil"/>
              <w:right w:val="single" w:sz="4" w:space="0" w:color="auto"/>
            </w:tcBorders>
            <w:shd w:val="clear" w:color="auto" w:fill="auto"/>
            <w:noWrap/>
            <w:vAlign w:val="center"/>
          </w:tcPr>
          <w:p w14:paraId="1C39F896" w14:textId="77777777" w:rsidR="00696B6D" w:rsidRPr="00853884" w:rsidRDefault="00696B6D" w:rsidP="00696B6D">
            <w:pPr>
              <w:spacing w:after="0" w:line="240" w:lineRule="auto"/>
              <w:jc w:val="center"/>
              <w:rPr>
                <w:rFonts w:ascii="Arial Narrow" w:eastAsia="Times New Roman" w:hAnsi="Arial Narrow" w:cs="Calibri"/>
                <w:color w:val="FF0000"/>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7702564D"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SDF.D576</w:t>
            </w:r>
          </w:p>
        </w:tc>
        <w:tc>
          <w:tcPr>
            <w:tcW w:w="1246" w:type="dxa"/>
            <w:tcBorders>
              <w:top w:val="nil"/>
              <w:left w:val="nil"/>
              <w:bottom w:val="nil"/>
              <w:right w:val="single" w:sz="4" w:space="0" w:color="auto"/>
            </w:tcBorders>
            <w:shd w:val="clear" w:color="auto" w:fill="auto"/>
            <w:noWrap/>
            <w:vAlign w:val="center"/>
            <w:hideMark/>
          </w:tcPr>
          <w:p w14:paraId="2FB5B093"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SDF.E576</w:t>
            </w:r>
          </w:p>
        </w:tc>
      </w:tr>
      <w:tr w:rsidR="00696B6D" w:rsidRPr="00853884" w14:paraId="4BD5B578" w14:textId="77777777" w:rsidTr="00E67116">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0A46A5A7"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359</w:t>
            </w:r>
          </w:p>
        </w:tc>
        <w:tc>
          <w:tcPr>
            <w:tcW w:w="9866" w:type="dxa"/>
            <w:tcBorders>
              <w:top w:val="nil"/>
              <w:left w:val="nil"/>
              <w:bottom w:val="single" w:sz="4" w:space="0" w:color="D9D9D9"/>
            </w:tcBorders>
            <w:shd w:val="clear" w:color="auto" w:fill="auto"/>
            <w:vAlign w:val="center"/>
            <w:hideMark/>
          </w:tcPr>
          <w:p w14:paraId="534D9C9B" w14:textId="77777777" w:rsidR="00696B6D" w:rsidRPr="00853884" w:rsidRDefault="00696B6D" w:rsidP="00696B6D">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SUPERÁVIT FINANCEIRO - TRANSFERÊNCIAS FINANCEIRAS A FUNDOS</w:t>
            </w:r>
          </w:p>
        </w:tc>
        <w:tc>
          <w:tcPr>
            <w:tcW w:w="970" w:type="dxa"/>
            <w:tcBorders>
              <w:top w:val="nil"/>
              <w:bottom w:val="nil"/>
              <w:right w:val="single" w:sz="4" w:space="0" w:color="auto"/>
            </w:tcBorders>
            <w:shd w:val="clear" w:color="auto" w:fill="auto"/>
            <w:noWrap/>
            <w:vAlign w:val="center"/>
          </w:tcPr>
          <w:p w14:paraId="637DD533" w14:textId="77777777" w:rsidR="00696B6D" w:rsidRPr="00853884" w:rsidRDefault="00696B6D" w:rsidP="00696B6D">
            <w:pPr>
              <w:spacing w:after="0" w:line="240" w:lineRule="auto"/>
              <w:jc w:val="center"/>
              <w:rPr>
                <w:rFonts w:ascii="Arial Narrow" w:eastAsia="Times New Roman" w:hAnsi="Arial Narrow" w:cs="Calibri"/>
                <w:color w:val="FF0000"/>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6D68FF22"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SDF.D577</w:t>
            </w:r>
          </w:p>
        </w:tc>
        <w:tc>
          <w:tcPr>
            <w:tcW w:w="1246" w:type="dxa"/>
            <w:tcBorders>
              <w:top w:val="nil"/>
              <w:left w:val="nil"/>
              <w:bottom w:val="nil"/>
              <w:right w:val="single" w:sz="4" w:space="0" w:color="auto"/>
            </w:tcBorders>
            <w:shd w:val="clear" w:color="auto" w:fill="auto"/>
            <w:noWrap/>
            <w:vAlign w:val="center"/>
            <w:hideMark/>
          </w:tcPr>
          <w:p w14:paraId="7010B3FC"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SDF.E577</w:t>
            </w:r>
          </w:p>
        </w:tc>
      </w:tr>
      <w:tr w:rsidR="00696B6D" w:rsidRPr="00853884" w14:paraId="5B90EC1C" w14:textId="77777777" w:rsidTr="00E67116">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609F9E39"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361</w:t>
            </w:r>
          </w:p>
        </w:tc>
        <w:tc>
          <w:tcPr>
            <w:tcW w:w="9866" w:type="dxa"/>
            <w:tcBorders>
              <w:top w:val="nil"/>
              <w:left w:val="nil"/>
              <w:bottom w:val="single" w:sz="4" w:space="0" w:color="D9D9D9"/>
            </w:tcBorders>
            <w:shd w:val="clear" w:color="auto" w:fill="auto"/>
            <w:vAlign w:val="center"/>
            <w:hideMark/>
          </w:tcPr>
          <w:p w14:paraId="6685E48B" w14:textId="77777777" w:rsidR="00696B6D" w:rsidRPr="00853884" w:rsidRDefault="00696B6D" w:rsidP="00696B6D">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SUPERÁVIT FINANCEIRO - FUNCOP</w:t>
            </w:r>
          </w:p>
        </w:tc>
        <w:tc>
          <w:tcPr>
            <w:tcW w:w="970" w:type="dxa"/>
            <w:tcBorders>
              <w:top w:val="nil"/>
              <w:bottom w:val="nil"/>
              <w:right w:val="single" w:sz="4" w:space="0" w:color="auto"/>
            </w:tcBorders>
            <w:shd w:val="clear" w:color="auto" w:fill="auto"/>
            <w:noWrap/>
            <w:vAlign w:val="center"/>
          </w:tcPr>
          <w:p w14:paraId="399DA1A8" w14:textId="77777777" w:rsidR="00696B6D" w:rsidRPr="00853884" w:rsidRDefault="00696B6D" w:rsidP="00696B6D">
            <w:pPr>
              <w:spacing w:after="0" w:line="240" w:lineRule="auto"/>
              <w:jc w:val="center"/>
              <w:rPr>
                <w:rFonts w:ascii="Arial Narrow" w:eastAsia="Times New Roman" w:hAnsi="Arial Narrow" w:cs="Calibri"/>
                <w:color w:val="FF0000"/>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6F4F78DA"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SDF.D578</w:t>
            </w:r>
          </w:p>
        </w:tc>
        <w:tc>
          <w:tcPr>
            <w:tcW w:w="1246" w:type="dxa"/>
            <w:tcBorders>
              <w:top w:val="nil"/>
              <w:left w:val="nil"/>
              <w:bottom w:val="nil"/>
              <w:right w:val="single" w:sz="4" w:space="0" w:color="auto"/>
            </w:tcBorders>
            <w:shd w:val="clear" w:color="auto" w:fill="auto"/>
            <w:noWrap/>
            <w:vAlign w:val="center"/>
            <w:hideMark/>
          </w:tcPr>
          <w:p w14:paraId="56DC46B2"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SDF.E578</w:t>
            </w:r>
          </w:p>
        </w:tc>
      </w:tr>
      <w:tr w:rsidR="00696B6D" w:rsidRPr="00853884" w14:paraId="5D97876A" w14:textId="77777777" w:rsidTr="00E67116">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61BED905"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363</w:t>
            </w:r>
          </w:p>
        </w:tc>
        <w:tc>
          <w:tcPr>
            <w:tcW w:w="9866" w:type="dxa"/>
            <w:tcBorders>
              <w:top w:val="nil"/>
              <w:left w:val="nil"/>
              <w:bottom w:val="single" w:sz="4" w:space="0" w:color="D9D9D9"/>
            </w:tcBorders>
            <w:shd w:val="clear" w:color="auto" w:fill="auto"/>
            <w:vAlign w:val="center"/>
            <w:hideMark/>
          </w:tcPr>
          <w:p w14:paraId="71986F67" w14:textId="77777777" w:rsidR="00696B6D" w:rsidRPr="00853884" w:rsidRDefault="00696B6D" w:rsidP="00696B6D">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SUPERÁVIT FINANCEIRO - RECURSOS LEI PELÉ</w:t>
            </w:r>
          </w:p>
        </w:tc>
        <w:tc>
          <w:tcPr>
            <w:tcW w:w="970" w:type="dxa"/>
            <w:tcBorders>
              <w:top w:val="nil"/>
              <w:bottom w:val="nil"/>
              <w:right w:val="single" w:sz="4" w:space="0" w:color="auto"/>
            </w:tcBorders>
            <w:shd w:val="clear" w:color="auto" w:fill="auto"/>
            <w:noWrap/>
            <w:vAlign w:val="center"/>
          </w:tcPr>
          <w:p w14:paraId="7FF6B368" w14:textId="77777777" w:rsidR="00696B6D" w:rsidRPr="00853884" w:rsidRDefault="00696B6D" w:rsidP="00696B6D">
            <w:pPr>
              <w:spacing w:after="0" w:line="240" w:lineRule="auto"/>
              <w:jc w:val="center"/>
              <w:rPr>
                <w:rFonts w:ascii="Arial Narrow" w:eastAsia="Times New Roman" w:hAnsi="Arial Narrow" w:cs="Calibri"/>
                <w:color w:val="FF0000"/>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364D99B0"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SDF.D580</w:t>
            </w:r>
          </w:p>
        </w:tc>
        <w:tc>
          <w:tcPr>
            <w:tcW w:w="1246" w:type="dxa"/>
            <w:tcBorders>
              <w:top w:val="nil"/>
              <w:left w:val="nil"/>
              <w:bottom w:val="nil"/>
              <w:right w:val="single" w:sz="4" w:space="0" w:color="auto"/>
            </w:tcBorders>
            <w:shd w:val="clear" w:color="auto" w:fill="auto"/>
            <w:noWrap/>
            <w:vAlign w:val="center"/>
            <w:hideMark/>
          </w:tcPr>
          <w:p w14:paraId="5A0DC6FC"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SDF.E580</w:t>
            </w:r>
          </w:p>
        </w:tc>
      </w:tr>
      <w:tr w:rsidR="00696B6D" w:rsidRPr="00853884" w14:paraId="44034CBA" w14:textId="77777777" w:rsidTr="00E67116">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1932CD7E"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364</w:t>
            </w:r>
          </w:p>
        </w:tc>
        <w:tc>
          <w:tcPr>
            <w:tcW w:w="9866" w:type="dxa"/>
            <w:tcBorders>
              <w:top w:val="nil"/>
              <w:left w:val="nil"/>
              <w:bottom w:val="single" w:sz="4" w:space="0" w:color="D9D9D9"/>
            </w:tcBorders>
            <w:shd w:val="clear" w:color="auto" w:fill="auto"/>
            <w:vAlign w:val="center"/>
            <w:hideMark/>
          </w:tcPr>
          <w:p w14:paraId="4D022866" w14:textId="77777777" w:rsidR="00696B6D" w:rsidRPr="00853884" w:rsidRDefault="00696B6D" w:rsidP="00696B6D">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SUPERÁVIT FINANCEIRO - TRANSFERÊNCIA A MUNICÍPIOS - ROYALTIES</w:t>
            </w:r>
          </w:p>
        </w:tc>
        <w:tc>
          <w:tcPr>
            <w:tcW w:w="970" w:type="dxa"/>
            <w:tcBorders>
              <w:top w:val="nil"/>
              <w:bottom w:val="nil"/>
              <w:right w:val="single" w:sz="4" w:space="0" w:color="auto"/>
            </w:tcBorders>
            <w:shd w:val="clear" w:color="auto" w:fill="auto"/>
            <w:noWrap/>
            <w:vAlign w:val="center"/>
          </w:tcPr>
          <w:p w14:paraId="66D4B1C9" w14:textId="77777777" w:rsidR="00696B6D" w:rsidRPr="00853884" w:rsidRDefault="00696B6D" w:rsidP="00696B6D">
            <w:pPr>
              <w:spacing w:after="0" w:line="240" w:lineRule="auto"/>
              <w:jc w:val="center"/>
              <w:rPr>
                <w:rFonts w:ascii="Arial Narrow" w:eastAsia="Times New Roman" w:hAnsi="Arial Narrow" w:cs="Calibri"/>
                <w:color w:val="FF0000"/>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08B558F8"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SDF.D581</w:t>
            </w:r>
          </w:p>
        </w:tc>
        <w:tc>
          <w:tcPr>
            <w:tcW w:w="1246" w:type="dxa"/>
            <w:tcBorders>
              <w:top w:val="nil"/>
              <w:left w:val="nil"/>
              <w:bottom w:val="nil"/>
              <w:right w:val="single" w:sz="4" w:space="0" w:color="auto"/>
            </w:tcBorders>
            <w:shd w:val="clear" w:color="auto" w:fill="auto"/>
            <w:noWrap/>
            <w:vAlign w:val="center"/>
            <w:hideMark/>
          </w:tcPr>
          <w:p w14:paraId="3022D99E"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SDF.E581</w:t>
            </w:r>
          </w:p>
        </w:tc>
      </w:tr>
      <w:tr w:rsidR="00696B6D" w:rsidRPr="00853884" w14:paraId="0D02513B" w14:textId="77777777" w:rsidTr="00E67116">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4DA35C9A"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366</w:t>
            </w:r>
          </w:p>
        </w:tc>
        <w:tc>
          <w:tcPr>
            <w:tcW w:w="9866" w:type="dxa"/>
            <w:tcBorders>
              <w:top w:val="nil"/>
              <w:left w:val="nil"/>
              <w:bottom w:val="single" w:sz="4" w:space="0" w:color="D9D9D9"/>
            </w:tcBorders>
            <w:shd w:val="clear" w:color="auto" w:fill="auto"/>
            <w:vAlign w:val="center"/>
            <w:hideMark/>
          </w:tcPr>
          <w:p w14:paraId="0F246268" w14:textId="77777777" w:rsidR="00696B6D" w:rsidRPr="00853884" w:rsidRDefault="00696B6D" w:rsidP="00696B6D">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SUPERÁVIT FINANCEIRO - PAR</w:t>
            </w:r>
          </w:p>
        </w:tc>
        <w:tc>
          <w:tcPr>
            <w:tcW w:w="970" w:type="dxa"/>
            <w:tcBorders>
              <w:top w:val="nil"/>
              <w:bottom w:val="nil"/>
              <w:right w:val="single" w:sz="4" w:space="0" w:color="auto"/>
            </w:tcBorders>
            <w:shd w:val="clear" w:color="auto" w:fill="auto"/>
            <w:noWrap/>
            <w:vAlign w:val="center"/>
          </w:tcPr>
          <w:p w14:paraId="01DFD6D3" w14:textId="77777777" w:rsidR="00696B6D" w:rsidRPr="00853884" w:rsidRDefault="00696B6D" w:rsidP="00696B6D">
            <w:pPr>
              <w:spacing w:after="0" w:line="240" w:lineRule="auto"/>
              <w:jc w:val="center"/>
              <w:rPr>
                <w:rFonts w:ascii="Arial Narrow" w:eastAsia="Times New Roman" w:hAnsi="Arial Narrow" w:cs="Calibri"/>
                <w:color w:val="FF0000"/>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0341021F"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SDF.D583</w:t>
            </w:r>
          </w:p>
        </w:tc>
        <w:tc>
          <w:tcPr>
            <w:tcW w:w="1246" w:type="dxa"/>
            <w:tcBorders>
              <w:top w:val="nil"/>
              <w:left w:val="nil"/>
              <w:bottom w:val="nil"/>
              <w:right w:val="single" w:sz="4" w:space="0" w:color="auto"/>
            </w:tcBorders>
            <w:shd w:val="clear" w:color="auto" w:fill="auto"/>
            <w:noWrap/>
            <w:vAlign w:val="center"/>
            <w:hideMark/>
          </w:tcPr>
          <w:p w14:paraId="6FFB0BD8"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SDF.E583</w:t>
            </w:r>
          </w:p>
        </w:tc>
      </w:tr>
      <w:tr w:rsidR="00696B6D" w:rsidRPr="00853884" w14:paraId="6EA5690B" w14:textId="77777777" w:rsidTr="00E67116">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2CF308B2"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367</w:t>
            </w:r>
          </w:p>
        </w:tc>
        <w:tc>
          <w:tcPr>
            <w:tcW w:w="9866" w:type="dxa"/>
            <w:tcBorders>
              <w:top w:val="nil"/>
              <w:left w:val="nil"/>
              <w:bottom w:val="single" w:sz="4" w:space="0" w:color="D9D9D9"/>
            </w:tcBorders>
            <w:shd w:val="clear" w:color="auto" w:fill="auto"/>
            <w:vAlign w:val="center"/>
            <w:hideMark/>
          </w:tcPr>
          <w:p w14:paraId="02A15A5A" w14:textId="77777777" w:rsidR="00696B6D" w:rsidRPr="00853884" w:rsidRDefault="00696B6D" w:rsidP="00696B6D">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SUPERÁVIT FINANCEIRO - TRANSFERÊNCIAS OBRIGATÓRIAS PARA AÇÕES DE DEFESA CIVIL</w:t>
            </w:r>
          </w:p>
        </w:tc>
        <w:tc>
          <w:tcPr>
            <w:tcW w:w="970" w:type="dxa"/>
            <w:tcBorders>
              <w:top w:val="nil"/>
              <w:right w:val="single" w:sz="4" w:space="0" w:color="auto"/>
            </w:tcBorders>
            <w:shd w:val="clear" w:color="auto" w:fill="auto"/>
            <w:noWrap/>
            <w:vAlign w:val="center"/>
          </w:tcPr>
          <w:p w14:paraId="0313DF54" w14:textId="77777777" w:rsidR="00696B6D" w:rsidRPr="00853884" w:rsidRDefault="00696B6D" w:rsidP="00696B6D">
            <w:pPr>
              <w:spacing w:after="0" w:line="240" w:lineRule="auto"/>
              <w:jc w:val="center"/>
              <w:rPr>
                <w:rFonts w:ascii="Arial Narrow" w:eastAsia="Times New Roman" w:hAnsi="Arial Narrow" w:cs="Calibri"/>
                <w:color w:val="FF0000"/>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2C6B4893"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SDF.D584</w:t>
            </w:r>
          </w:p>
        </w:tc>
        <w:tc>
          <w:tcPr>
            <w:tcW w:w="1246" w:type="dxa"/>
            <w:tcBorders>
              <w:top w:val="nil"/>
              <w:left w:val="nil"/>
              <w:bottom w:val="nil"/>
              <w:right w:val="single" w:sz="4" w:space="0" w:color="auto"/>
            </w:tcBorders>
            <w:shd w:val="clear" w:color="auto" w:fill="auto"/>
            <w:noWrap/>
            <w:vAlign w:val="center"/>
            <w:hideMark/>
          </w:tcPr>
          <w:p w14:paraId="2ACBFC93"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SDF.E584</w:t>
            </w:r>
          </w:p>
        </w:tc>
      </w:tr>
      <w:tr w:rsidR="00696B6D" w:rsidRPr="00853884" w14:paraId="093A6D0B" w14:textId="77777777" w:rsidTr="00E67116">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5ABBBC70"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671</w:t>
            </w:r>
          </w:p>
        </w:tc>
        <w:tc>
          <w:tcPr>
            <w:tcW w:w="9866" w:type="dxa"/>
            <w:tcBorders>
              <w:top w:val="nil"/>
              <w:left w:val="nil"/>
              <w:bottom w:val="single" w:sz="4" w:space="0" w:color="D9D9D9"/>
            </w:tcBorders>
            <w:shd w:val="clear" w:color="auto" w:fill="auto"/>
            <w:vAlign w:val="center"/>
            <w:hideMark/>
          </w:tcPr>
          <w:p w14:paraId="6F38EED3" w14:textId="77777777" w:rsidR="00696B6D" w:rsidRPr="00853884" w:rsidRDefault="00696B6D" w:rsidP="00696B6D">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SUPERÁVIT FINANCEIRO - ARRECADADO PELO ÓRGÃO</w:t>
            </w:r>
          </w:p>
        </w:tc>
        <w:tc>
          <w:tcPr>
            <w:tcW w:w="970" w:type="dxa"/>
            <w:tcBorders>
              <w:top w:val="nil"/>
              <w:bottom w:val="nil"/>
              <w:right w:val="single" w:sz="4" w:space="0" w:color="auto"/>
            </w:tcBorders>
            <w:shd w:val="clear" w:color="auto" w:fill="auto"/>
            <w:noWrap/>
            <w:vAlign w:val="center"/>
          </w:tcPr>
          <w:p w14:paraId="762F0232" w14:textId="77777777" w:rsidR="00696B6D" w:rsidRPr="00853884" w:rsidRDefault="00696B6D" w:rsidP="00696B6D">
            <w:pPr>
              <w:spacing w:after="0" w:line="240" w:lineRule="auto"/>
              <w:jc w:val="center"/>
              <w:rPr>
                <w:rFonts w:ascii="Arial Narrow" w:eastAsia="Times New Roman" w:hAnsi="Arial Narrow" w:cs="Calibri"/>
                <w:color w:val="FF0000"/>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04742796"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SDF.D587</w:t>
            </w:r>
          </w:p>
        </w:tc>
        <w:tc>
          <w:tcPr>
            <w:tcW w:w="1246" w:type="dxa"/>
            <w:tcBorders>
              <w:top w:val="nil"/>
              <w:left w:val="nil"/>
              <w:bottom w:val="nil"/>
              <w:right w:val="single" w:sz="4" w:space="0" w:color="auto"/>
            </w:tcBorders>
            <w:shd w:val="clear" w:color="auto" w:fill="auto"/>
            <w:noWrap/>
            <w:vAlign w:val="center"/>
            <w:hideMark/>
          </w:tcPr>
          <w:p w14:paraId="771F5CDC"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SDF.E587</w:t>
            </w:r>
          </w:p>
        </w:tc>
      </w:tr>
      <w:tr w:rsidR="00696B6D" w:rsidRPr="00853884" w14:paraId="4FF2A790" w14:textId="77777777" w:rsidTr="00E67116">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2176020F"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672</w:t>
            </w:r>
          </w:p>
        </w:tc>
        <w:tc>
          <w:tcPr>
            <w:tcW w:w="9866" w:type="dxa"/>
            <w:tcBorders>
              <w:top w:val="nil"/>
              <w:left w:val="nil"/>
              <w:bottom w:val="single" w:sz="4" w:space="0" w:color="D9D9D9"/>
            </w:tcBorders>
            <w:shd w:val="clear" w:color="auto" w:fill="auto"/>
            <w:vAlign w:val="center"/>
            <w:hideMark/>
          </w:tcPr>
          <w:p w14:paraId="4739C2BB" w14:textId="77777777" w:rsidR="00696B6D" w:rsidRPr="00853884" w:rsidRDefault="00696B6D" w:rsidP="00696B6D">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SUPERÁVIT FINANCEIRO - CONVÊNIOS COM ÓRGÃOS FEDERAIS</w:t>
            </w:r>
          </w:p>
        </w:tc>
        <w:tc>
          <w:tcPr>
            <w:tcW w:w="970" w:type="dxa"/>
            <w:tcBorders>
              <w:top w:val="nil"/>
              <w:bottom w:val="nil"/>
              <w:right w:val="single" w:sz="4" w:space="0" w:color="auto"/>
            </w:tcBorders>
            <w:shd w:val="clear" w:color="auto" w:fill="auto"/>
            <w:noWrap/>
            <w:vAlign w:val="center"/>
          </w:tcPr>
          <w:p w14:paraId="0DF04C24" w14:textId="77777777" w:rsidR="00696B6D" w:rsidRPr="00853884" w:rsidRDefault="00696B6D" w:rsidP="00696B6D">
            <w:pPr>
              <w:spacing w:after="0" w:line="240" w:lineRule="auto"/>
              <w:jc w:val="center"/>
              <w:rPr>
                <w:rFonts w:ascii="Arial Narrow" w:eastAsia="Times New Roman" w:hAnsi="Arial Narrow" w:cs="Calibri"/>
                <w:color w:val="FF0000"/>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56A5AA23"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SDF.D588</w:t>
            </w:r>
          </w:p>
        </w:tc>
        <w:tc>
          <w:tcPr>
            <w:tcW w:w="1246" w:type="dxa"/>
            <w:tcBorders>
              <w:top w:val="nil"/>
              <w:left w:val="nil"/>
              <w:bottom w:val="nil"/>
              <w:right w:val="single" w:sz="4" w:space="0" w:color="auto"/>
            </w:tcBorders>
            <w:shd w:val="clear" w:color="auto" w:fill="auto"/>
            <w:noWrap/>
            <w:vAlign w:val="center"/>
            <w:hideMark/>
          </w:tcPr>
          <w:p w14:paraId="2C7CEF3C"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SDF.E588</w:t>
            </w:r>
          </w:p>
        </w:tc>
      </w:tr>
      <w:tr w:rsidR="00696B6D" w:rsidRPr="00853884" w14:paraId="79865BD4" w14:textId="77777777" w:rsidTr="00E67116">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2B132631"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lastRenderedPageBreak/>
              <w:t>673</w:t>
            </w:r>
          </w:p>
        </w:tc>
        <w:tc>
          <w:tcPr>
            <w:tcW w:w="9866" w:type="dxa"/>
            <w:tcBorders>
              <w:top w:val="nil"/>
              <w:left w:val="nil"/>
              <w:bottom w:val="single" w:sz="4" w:space="0" w:color="D9D9D9"/>
            </w:tcBorders>
            <w:shd w:val="clear" w:color="auto" w:fill="auto"/>
            <w:vAlign w:val="center"/>
            <w:hideMark/>
          </w:tcPr>
          <w:p w14:paraId="18ACE857" w14:textId="77777777" w:rsidR="00696B6D" w:rsidRPr="00853884" w:rsidRDefault="00696B6D" w:rsidP="00696B6D">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SUPERÁVIT FINANCEIRO - CONVÊNIOS COM ÓRGÃOS NÃO FEDERAIS</w:t>
            </w:r>
          </w:p>
        </w:tc>
        <w:tc>
          <w:tcPr>
            <w:tcW w:w="970" w:type="dxa"/>
            <w:tcBorders>
              <w:top w:val="nil"/>
              <w:bottom w:val="nil"/>
              <w:right w:val="single" w:sz="4" w:space="0" w:color="auto"/>
            </w:tcBorders>
            <w:shd w:val="clear" w:color="auto" w:fill="auto"/>
            <w:noWrap/>
            <w:vAlign w:val="center"/>
          </w:tcPr>
          <w:p w14:paraId="3C5A1079" w14:textId="77777777" w:rsidR="00696B6D" w:rsidRPr="00853884" w:rsidRDefault="00696B6D" w:rsidP="00696B6D">
            <w:pPr>
              <w:spacing w:after="0" w:line="240" w:lineRule="auto"/>
              <w:jc w:val="center"/>
              <w:rPr>
                <w:rFonts w:ascii="Arial Narrow" w:eastAsia="Times New Roman" w:hAnsi="Arial Narrow" w:cs="Calibri"/>
                <w:color w:val="FF0000"/>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6636B4A4"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SDF.D589</w:t>
            </w:r>
          </w:p>
        </w:tc>
        <w:tc>
          <w:tcPr>
            <w:tcW w:w="1246" w:type="dxa"/>
            <w:tcBorders>
              <w:top w:val="nil"/>
              <w:left w:val="nil"/>
              <w:bottom w:val="nil"/>
              <w:right w:val="single" w:sz="4" w:space="0" w:color="auto"/>
            </w:tcBorders>
            <w:shd w:val="clear" w:color="auto" w:fill="auto"/>
            <w:noWrap/>
            <w:vAlign w:val="center"/>
            <w:hideMark/>
          </w:tcPr>
          <w:p w14:paraId="5BBCEABE"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SDF.E589</w:t>
            </w:r>
          </w:p>
        </w:tc>
      </w:tr>
      <w:tr w:rsidR="00696B6D" w:rsidRPr="00853884" w14:paraId="1EE08790" w14:textId="77777777" w:rsidTr="00E67116">
        <w:trPr>
          <w:trHeight w:val="302"/>
        </w:trPr>
        <w:tc>
          <w:tcPr>
            <w:tcW w:w="938" w:type="dxa"/>
            <w:tcBorders>
              <w:top w:val="nil"/>
              <w:left w:val="single" w:sz="4" w:space="0" w:color="auto"/>
              <w:bottom w:val="single" w:sz="4" w:space="0" w:color="D9D9D9"/>
              <w:right w:val="single" w:sz="4" w:space="0" w:color="auto"/>
            </w:tcBorders>
            <w:shd w:val="clear" w:color="auto" w:fill="auto"/>
            <w:vAlign w:val="center"/>
            <w:hideMark/>
          </w:tcPr>
          <w:p w14:paraId="327DC7EE"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674</w:t>
            </w:r>
          </w:p>
        </w:tc>
        <w:tc>
          <w:tcPr>
            <w:tcW w:w="9866" w:type="dxa"/>
            <w:tcBorders>
              <w:top w:val="nil"/>
              <w:left w:val="nil"/>
            </w:tcBorders>
            <w:shd w:val="clear" w:color="auto" w:fill="auto"/>
            <w:vAlign w:val="center"/>
            <w:hideMark/>
          </w:tcPr>
          <w:p w14:paraId="1E6BCF4D" w14:textId="77777777" w:rsidR="00696B6D" w:rsidRPr="00853884" w:rsidRDefault="00696B6D" w:rsidP="00696B6D">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SUPERÁVIT FINANCEIRO - TRANSFERÊNCIAS DE INSTITUIÇÕES PRIVADAS</w:t>
            </w:r>
          </w:p>
        </w:tc>
        <w:tc>
          <w:tcPr>
            <w:tcW w:w="970" w:type="dxa"/>
            <w:tcBorders>
              <w:top w:val="nil"/>
              <w:bottom w:val="nil"/>
              <w:right w:val="single" w:sz="4" w:space="0" w:color="auto"/>
            </w:tcBorders>
            <w:shd w:val="clear" w:color="auto" w:fill="auto"/>
            <w:noWrap/>
            <w:vAlign w:val="center"/>
          </w:tcPr>
          <w:p w14:paraId="28FC8EA5" w14:textId="77777777" w:rsidR="00696B6D" w:rsidRPr="00853884" w:rsidRDefault="00696B6D" w:rsidP="00696B6D">
            <w:pPr>
              <w:spacing w:after="0" w:line="240" w:lineRule="auto"/>
              <w:jc w:val="center"/>
              <w:rPr>
                <w:rFonts w:ascii="Arial Narrow" w:eastAsia="Times New Roman" w:hAnsi="Arial Narrow" w:cs="Calibri"/>
                <w:color w:val="FF0000"/>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7BF92954"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SDF.D590</w:t>
            </w:r>
          </w:p>
        </w:tc>
        <w:tc>
          <w:tcPr>
            <w:tcW w:w="1246" w:type="dxa"/>
            <w:tcBorders>
              <w:top w:val="nil"/>
              <w:left w:val="nil"/>
              <w:bottom w:val="nil"/>
              <w:right w:val="single" w:sz="4" w:space="0" w:color="auto"/>
            </w:tcBorders>
            <w:shd w:val="clear" w:color="auto" w:fill="auto"/>
            <w:noWrap/>
            <w:vAlign w:val="center"/>
            <w:hideMark/>
          </w:tcPr>
          <w:p w14:paraId="20B3701B"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SDF.E590</w:t>
            </w:r>
          </w:p>
        </w:tc>
      </w:tr>
      <w:tr w:rsidR="00696B6D" w:rsidRPr="00853884" w14:paraId="4D596891" w14:textId="77777777" w:rsidTr="00E67116">
        <w:trPr>
          <w:trHeight w:val="302"/>
        </w:trPr>
        <w:tc>
          <w:tcPr>
            <w:tcW w:w="938" w:type="dxa"/>
            <w:tcBorders>
              <w:top w:val="nil"/>
              <w:left w:val="single" w:sz="4" w:space="0" w:color="auto"/>
              <w:bottom w:val="nil"/>
              <w:right w:val="single" w:sz="4" w:space="0" w:color="auto"/>
            </w:tcBorders>
            <w:shd w:val="clear" w:color="auto" w:fill="auto"/>
            <w:vAlign w:val="center"/>
            <w:hideMark/>
          </w:tcPr>
          <w:p w14:paraId="26BD6B4B"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675</w:t>
            </w:r>
          </w:p>
        </w:tc>
        <w:tc>
          <w:tcPr>
            <w:tcW w:w="9866" w:type="dxa"/>
            <w:tcBorders>
              <w:left w:val="nil"/>
              <w:bottom w:val="nil"/>
            </w:tcBorders>
            <w:shd w:val="clear" w:color="auto" w:fill="auto"/>
            <w:vAlign w:val="center"/>
            <w:hideMark/>
          </w:tcPr>
          <w:p w14:paraId="4BC9D6C4" w14:textId="77777777" w:rsidR="00696B6D" w:rsidRPr="00853884" w:rsidRDefault="00696B6D" w:rsidP="00696B6D">
            <w:pPr>
              <w:spacing w:after="0" w:line="240" w:lineRule="auto"/>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SUPERÁVIT FINANCEIRO - OUTRAS TRANSFERÊNCIAS DA UNIÃO</w:t>
            </w:r>
          </w:p>
        </w:tc>
        <w:tc>
          <w:tcPr>
            <w:tcW w:w="970" w:type="dxa"/>
            <w:tcBorders>
              <w:top w:val="nil"/>
              <w:bottom w:val="nil"/>
              <w:right w:val="single" w:sz="4" w:space="0" w:color="auto"/>
            </w:tcBorders>
            <w:shd w:val="clear" w:color="auto" w:fill="auto"/>
            <w:noWrap/>
            <w:vAlign w:val="center"/>
          </w:tcPr>
          <w:p w14:paraId="1940F1BA" w14:textId="77777777" w:rsidR="00696B6D" w:rsidRPr="00853884" w:rsidRDefault="00696B6D" w:rsidP="00696B6D">
            <w:pPr>
              <w:spacing w:after="0" w:line="240" w:lineRule="auto"/>
              <w:jc w:val="center"/>
              <w:rPr>
                <w:rFonts w:ascii="Arial Narrow" w:eastAsia="Times New Roman" w:hAnsi="Arial Narrow" w:cs="Calibri"/>
                <w:color w:val="FF0000"/>
                <w:sz w:val="16"/>
                <w:szCs w:val="16"/>
                <w:lang w:eastAsia="pt-BR"/>
              </w:rPr>
            </w:pPr>
          </w:p>
        </w:tc>
        <w:tc>
          <w:tcPr>
            <w:tcW w:w="1386" w:type="dxa"/>
            <w:tcBorders>
              <w:top w:val="nil"/>
              <w:left w:val="nil"/>
              <w:bottom w:val="nil"/>
              <w:right w:val="single" w:sz="4" w:space="0" w:color="auto"/>
            </w:tcBorders>
            <w:shd w:val="clear" w:color="auto" w:fill="auto"/>
            <w:noWrap/>
            <w:vAlign w:val="center"/>
            <w:hideMark/>
          </w:tcPr>
          <w:p w14:paraId="6B861BD9"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SDF.D591</w:t>
            </w:r>
          </w:p>
        </w:tc>
        <w:tc>
          <w:tcPr>
            <w:tcW w:w="1246" w:type="dxa"/>
            <w:tcBorders>
              <w:top w:val="nil"/>
              <w:left w:val="nil"/>
              <w:bottom w:val="nil"/>
              <w:right w:val="single" w:sz="4" w:space="0" w:color="auto"/>
            </w:tcBorders>
            <w:shd w:val="clear" w:color="auto" w:fill="auto"/>
            <w:noWrap/>
            <w:vAlign w:val="center"/>
            <w:hideMark/>
          </w:tcPr>
          <w:p w14:paraId="12E74547" w14:textId="77777777" w:rsidR="00696B6D" w:rsidRPr="00853884" w:rsidRDefault="00696B6D" w:rsidP="00696B6D">
            <w:pPr>
              <w:spacing w:after="0" w:line="240" w:lineRule="auto"/>
              <w:jc w:val="center"/>
              <w:rPr>
                <w:rFonts w:ascii="Arial Narrow" w:eastAsia="Times New Roman" w:hAnsi="Arial Narrow" w:cs="Arial"/>
                <w:sz w:val="16"/>
                <w:szCs w:val="16"/>
                <w:lang w:eastAsia="pt-BR"/>
              </w:rPr>
            </w:pPr>
            <w:r w:rsidRPr="00853884">
              <w:rPr>
                <w:rFonts w:ascii="Arial Narrow" w:eastAsia="Times New Roman" w:hAnsi="Arial Narrow" w:cs="Arial"/>
                <w:sz w:val="16"/>
                <w:szCs w:val="16"/>
                <w:lang w:eastAsia="pt-BR"/>
              </w:rPr>
              <w:t>SDF.E591</w:t>
            </w:r>
          </w:p>
        </w:tc>
      </w:tr>
      <w:tr w:rsidR="00696B6D" w:rsidRPr="00853884" w14:paraId="157C7E59" w14:textId="77777777" w:rsidTr="00E67116">
        <w:trPr>
          <w:trHeight w:val="302"/>
        </w:trPr>
        <w:tc>
          <w:tcPr>
            <w:tcW w:w="10804" w:type="dxa"/>
            <w:gridSpan w:val="2"/>
            <w:tcBorders>
              <w:top w:val="single" w:sz="4" w:space="0" w:color="auto"/>
              <w:left w:val="single" w:sz="4" w:space="0" w:color="auto"/>
            </w:tcBorders>
            <w:shd w:val="clear" w:color="000000" w:fill="D9D9D9"/>
            <w:noWrap/>
            <w:vAlign w:val="center"/>
            <w:hideMark/>
          </w:tcPr>
          <w:p w14:paraId="7A0D7038" w14:textId="77777777" w:rsidR="00696B6D" w:rsidRPr="00853884" w:rsidRDefault="00696B6D" w:rsidP="00696B6D">
            <w:pPr>
              <w:spacing w:after="0" w:line="240" w:lineRule="auto"/>
              <w:rPr>
                <w:rFonts w:ascii="Arial Narrow" w:eastAsia="Times New Roman" w:hAnsi="Arial Narrow" w:cs="Calibri"/>
                <w:b/>
                <w:bCs/>
                <w:sz w:val="16"/>
                <w:szCs w:val="16"/>
                <w:lang w:eastAsia="pt-BR"/>
              </w:rPr>
            </w:pPr>
            <w:r w:rsidRPr="00853884">
              <w:rPr>
                <w:rFonts w:ascii="Arial Narrow" w:eastAsia="Times New Roman" w:hAnsi="Arial Narrow" w:cs="Calibri"/>
                <w:b/>
                <w:bCs/>
                <w:sz w:val="16"/>
                <w:szCs w:val="16"/>
                <w:lang w:eastAsia="pt-BR"/>
              </w:rPr>
              <w:t>TOTAL DAS FONTES</w:t>
            </w:r>
          </w:p>
        </w:tc>
        <w:tc>
          <w:tcPr>
            <w:tcW w:w="970" w:type="dxa"/>
            <w:tcBorders>
              <w:top w:val="single" w:sz="4" w:space="0" w:color="auto"/>
              <w:right w:val="single" w:sz="4" w:space="0" w:color="auto"/>
            </w:tcBorders>
            <w:shd w:val="clear" w:color="000000" w:fill="D9D9D9"/>
            <w:noWrap/>
            <w:vAlign w:val="center"/>
          </w:tcPr>
          <w:p w14:paraId="7097039C" w14:textId="77777777" w:rsidR="00696B6D" w:rsidRPr="00853884" w:rsidRDefault="00696B6D" w:rsidP="00696B6D">
            <w:pPr>
              <w:spacing w:after="0" w:line="240" w:lineRule="auto"/>
              <w:jc w:val="center"/>
              <w:rPr>
                <w:rFonts w:ascii="Arial Narrow" w:eastAsia="Times New Roman" w:hAnsi="Arial Narrow" w:cs="Calibri"/>
                <w:b/>
                <w:bCs/>
                <w:color w:val="FF0000"/>
                <w:sz w:val="16"/>
                <w:szCs w:val="16"/>
                <w:lang w:eastAsia="pt-BR"/>
              </w:rPr>
            </w:pPr>
          </w:p>
        </w:tc>
        <w:tc>
          <w:tcPr>
            <w:tcW w:w="1386" w:type="dxa"/>
            <w:tcBorders>
              <w:top w:val="single" w:sz="4" w:space="0" w:color="auto"/>
              <w:left w:val="nil"/>
              <w:right w:val="single" w:sz="4" w:space="0" w:color="auto"/>
            </w:tcBorders>
            <w:shd w:val="clear" w:color="000000" w:fill="D9D9D9"/>
            <w:noWrap/>
            <w:vAlign w:val="center"/>
            <w:hideMark/>
          </w:tcPr>
          <w:p w14:paraId="6C726DD5" w14:textId="77777777" w:rsidR="00696B6D" w:rsidRPr="00853884" w:rsidRDefault="00696B6D" w:rsidP="00696B6D">
            <w:pPr>
              <w:spacing w:after="0" w:line="240" w:lineRule="auto"/>
              <w:jc w:val="center"/>
              <w:rPr>
                <w:rFonts w:ascii="Arial Narrow" w:eastAsia="Times New Roman" w:hAnsi="Arial Narrow" w:cs="Arial"/>
                <w:b/>
                <w:bCs/>
                <w:sz w:val="16"/>
                <w:szCs w:val="16"/>
                <w:lang w:eastAsia="pt-BR"/>
              </w:rPr>
            </w:pPr>
            <w:r w:rsidRPr="00853884">
              <w:rPr>
                <w:rFonts w:ascii="Arial Narrow" w:eastAsia="Times New Roman" w:hAnsi="Arial Narrow" w:cs="Arial"/>
                <w:b/>
                <w:bCs/>
                <w:sz w:val="16"/>
                <w:szCs w:val="16"/>
                <w:lang w:eastAsia="pt-BR"/>
              </w:rPr>
              <w:t>SDF.D046</w:t>
            </w:r>
          </w:p>
        </w:tc>
        <w:tc>
          <w:tcPr>
            <w:tcW w:w="1246" w:type="dxa"/>
            <w:tcBorders>
              <w:top w:val="single" w:sz="4" w:space="0" w:color="auto"/>
              <w:left w:val="nil"/>
              <w:right w:val="single" w:sz="4" w:space="0" w:color="auto"/>
            </w:tcBorders>
            <w:shd w:val="clear" w:color="000000" w:fill="D9D9D9"/>
            <w:noWrap/>
            <w:vAlign w:val="center"/>
            <w:hideMark/>
          </w:tcPr>
          <w:p w14:paraId="7CEC6F73" w14:textId="77777777" w:rsidR="00696B6D" w:rsidRPr="00853884" w:rsidRDefault="00696B6D" w:rsidP="00696B6D">
            <w:pPr>
              <w:spacing w:after="0" w:line="240" w:lineRule="auto"/>
              <w:jc w:val="center"/>
              <w:rPr>
                <w:rFonts w:ascii="Arial Narrow" w:eastAsia="Times New Roman" w:hAnsi="Arial Narrow" w:cs="Arial"/>
                <w:b/>
                <w:bCs/>
                <w:sz w:val="16"/>
                <w:szCs w:val="16"/>
                <w:lang w:eastAsia="pt-BR"/>
              </w:rPr>
            </w:pPr>
            <w:r w:rsidRPr="00853884">
              <w:rPr>
                <w:rFonts w:ascii="Arial Narrow" w:eastAsia="Times New Roman" w:hAnsi="Arial Narrow" w:cs="Arial"/>
                <w:b/>
                <w:bCs/>
                <w:sz w:val="16"/>
                <w:szCs w:val="16"/>
                <w:lang w:eastAsia="pt-BR"/>
              </w:rPr>
              <w:t>SDF.E046</w:t>
            </w:r>
          </w:p>
        </w:tc>
      </w:tr>
    </w:tbl>
    <w:p w14:paraId="39F09D2B" w14:textId="5941191E" w:rsidR="005F7984" w:rsidRDefault="005F7984" w:rsidP="00E54BC3">
      <w:pPr>
        <w:spacing w:after="0" w:line="240" w:lineRule="auto"/>
        <w:rPr>
          <w:rFonts w:ascii="Arial" w:eastAsia="Times New Roman" w:hAnsi="Arial" w:cs="Arial"/>
          <w:sz w:val="20"/>
          <w:szCs w:val="20"/>
          <w:lang w:eastAsia="pt-BR"/>
        </w:rPr>
      </w:pPr>
    </w:p>
    <w:p w14:paraId="316D7B3A" w14:textId="501D260D" w:rsidR="005C5A70" w:rsidRDefault="005C5A70" w:rsidP="00E54BC3">
      <w:pPr>
        <w:spacing w:after="0" w:line="240" w:lineRule="auto"/>
        <w:rPr>
          <w:rFonts w:ascii="Arial" w:eastAsia="Times New Roman" w:hAnsi="Arial" w:cs="Arial"/>
          <w:sz w:val="20"/>
          <w:szCs w:val="20"/>
          <w:lang w:eastAsia="pt-BR"/>
        </w:rPr>
      </w:pPr>
    </w:p>
    <w:p w14:paraId="0949B397" w14:textId="77777777" w:rsidR="005C5A70" w:rsidRDefault="005C5A70" w:rsidP="00E54BC3">
      <w:pPr>
        <w:spacing w:after="0" w:line="240" w:lineRule="auto"/>
        <w:rPr>
          <w:rFonts w:ascii="Arial" w:eastAsia="Times New Roman" w:hAnsi="Arial" w:cs="Arial"/>
          <w:sz w:val="20"/>
          <w:szCs w:val="20"/>
          <w:lang w:eastAsia="pt-BR"/>
        </w:rPr>
      </w:pPr>
    </w:p>
    <w:p w14:paraId="543C4774" w14:textId="6B7B6CCA" w:rsidR="00906DAD" w:rsidRPr="00613437" w:rsidRDefault="002315E1" w:rsidP="00906DAD">
      <w:pPr>
        <w:pStyle w:val="Ttulo2"/>
        <w:rPr>
          <w:rFonts w:cs="Arial"/>
          <w:sz w:val="24"/>
          <w:szCs w:val="24"/>
          <w:lang w:val="pt-BR"/>
        </w:rPr>
      </w:pPr>
      <w:bookmarkStart w:id="114" w:name="_Toc94806384"/>
      <w:r w:rsidRPr="00613437">
        <w:rPr>
          <w:rFonts w:cs="Arial"/>
          <w:sz w:val="24"/>
          <w:szCs w:val="24"/>
          <w:lang w:val="pt-BR"/>
        </w:rPr>
        <w:t xml:space="preserve">Alterou </w:t>
      </w:r>
      <w:r w:rsidR="009C57B5" w:rsidRPr="00613437">
        <w:rPr>
          <w:rFonts w:cs="Arial"/>
          <w:sz w:val="24"/>
          <w:szCs w:val="24"/>
          <w:lang w:val="pt-BR"/>
        </w:rPr>
        <w:t xml:space="preserve">a </w:t>
      </w:r>
      <w:r w:rsidR="006A5208" w:rsidRPr="00613437">
        <w:rPr>
          <w:rFonts w:cs="Arial"/>
          <w:sz w:val="24"/>
          <w:szCs w:val="24"/>
          <w:lang w:val="pt-BR"/>
        </w:rPr>
        <w:t>tabela</w:t>
      </w:r>
      <w:r w:rsidR="009C57B5" w:rsidRPr="00613437">
        <w:rPr>
          <w:rFonts w:cs="Arial"/>
          <w:sz w:val="24"/>
          <w:szCs w:val="24"/>
          <w:lang w:val="pt-BR"/>
        </w:rPr>
        <w:t xml:space="preserve"> 3 - </w:t>
      </w:r>
      <w:r w:rsidR="00906DAD" w:rsidRPr="00613437">
        <w:rPr>
          <w:rFonts w:cs="Arial"/>
          <w:sz w:val="24"/>
          <w:szCs w:val="24"/>
          <w:lang w:val="pt-BR"/>
        </w:rPr>
        <w:t xml:space="preserve">Demonstração das Variações Patrimoniais </w:t>
      </w:r>
      <w:r w:rsidR="009C57B5" w:rsidRPr="00613437">
        <w:rPr>
          <w:rFonts w:cs="Arial"/>
          <w:sz w:val="24"/>
          <w:szCs w:val="24"/>
          <w:lang w:val="pt-BR"/>
        </w:rPr>
        <w:t>(Anexo 15 - Lei nº 4.320/64)</w:t>
      </w:r>
      <w:r w:rsidR="00904365" w:rsidRPr="00613437">
        <w:rPr>
          <w:rFonts w:cs="Arial"/>
          <w:sz w:val="24"/>
          <w:szCs w:val="24"/>
          <w:lang w:val="pt-BR"/>
        </w:rPr>
        <w:t xml:space="preserve"> -</w:t>
      </w:r>
      <w:r w:rsidR="00904365" w:rsidRPr="00613437">
        <w:rPr>
          <w:rFonts w:cs="Arial"/>
          <w:sz w:val="24"/>
          <w:szCs w:val="24"/>
          <w:lang w:val="pt-BR"/>
        </w:rPr>
        <w:tab/>
      </w:r>
      <w:r w:rsidR="00906DAD" w:rsidRPr="00613437">
        <w:rPr>
          <w:rFonts w:cs="Arial"/>
          <w:sz w:val="24"/>
          <w:szCs w:val="24"/>
          <w:lang w:val="pt-BR"/>
        </w:rPr>
        <w:t>Municípios e Consórcios.</w:t>
      </w:r>
      <w:bookmarkEnd w:id="114"/>
    </w:p>
    <w:p w14:paraId="79095F6A" w14:textId="059660E9" w:rsidR="005C5A70" w:rsidRDefault="005C5A70" w:rsidP="005C5A70">
      <w:pPr>
        <w:spacing w:after="0" w:line="240" w:lineRule="auto"/>
        <w:rPr>
          <w:rFonts w:cs="Arial"/>
          <w:sz w:val="24"/>
          <w:szCs w:val="24"/>
        </w:rPr>
      </w:pPr>
    </w:p>
    <w:p w14:paraId="75106DDC" w14:textId="77777777" w:rsidR="005C5A70" w:rsidRPr="00906DAD" w:rsidRDefault="005C5A70" w:rsidP="005C5A70">
      <w:pPr>
        <w:spacing w:after="0" w:line="240" w:lineRule="auto"/>
        <w:rPr>
          <w:rFonts w:cs="Arial"/>
          <w:sz w:val="24"/>
          <w:szCs w:val="24"/>
        </w:rPr>
      </w:pPr>
    </w:p>
    <w:tbl>
      <w:tblPr>
        <w:tblW w:w="14885" w:type="dxa"/>
        <w:tblInd w:w="-214" w:type="dxa"/>
        <w:tblCellMar>
          <w:left w:w="70" w:type="dxa"/>
          <w:right w:w="70" w:type="dxa"/>
        </w:tblCellMar>
        <w:tblLook w:val="04A0" w:firstRow="1" w:lastRow="0" w:firstColumn="1" w:lastColumn="0" w:noHBand="0" w:noVBand="1"/>
      </w:tblPr>
      <w:tblGrid>
        <w:gridCol w:w="4410"/>
        <w:gridCol w:w="835"/>
        <w:gridCol w:w="1149"/>
        <w:gridCol w:w="1134"/>
        <w:gridCol w:w="4346"/>
        <w:gridCol w:w="846"/>
        <w:gridCol w:w="1045"/>
        <w:gridCol w:w="1120"/>
      </w:tblGrid>
      <w:tr w:rsidR="009C57B5" w:rsidRPr="001118B5" w14:paraId="432FBD6A" w14:textId="77777777" w:rsidTr="00E67116">
        <w:trPr>
          <w:trHeight w:val="345"/>
        </w:trPr>
        <w:tc>
          <w:tcPr>
            <w:tcW w:w="14885" w:type="dxa"/>
            <w:gridSpan w:val="8"/>
            <w:tcBorders>
              <w:top w:val="single" w:sz="8" w:space="0" w:color="auto"/>
              <w:left w:val="single" w:sz="8" w:space="0" w:color="auto"/>
              <w:bottom w:val="single" w:sz="8" w:space="0" w:color="auto"/>
              <w:right w:val="single" w:sz="8" w:space="0" w:color="000000"/>
            </w:tcBorders>
            <w:shd w:val="clear" w:color="000000" w:fill="F2F2F2"/>
            <w:noWrap/>
            <w:vAlign w:val="center"/>
            <w:hideMark/>
          </w:tcPr>
          <w:p w14:paraId="39350C90" w14:textId="77777777" w:rsidR="009C57B5" w:rsidRPr="001118B5" w:rsidRDefault="009C57B5" w:rsidP="00E67116">
            <w:pPr>
              <w:spacing w:after="0" w:line="240" w:lineRule="auto"/>
              <w:jc w:val="center"/>
              <w:rPr>
                <w:rFonts w:ascii="Arial Narrow" w:eastAsia="Times New Roman" w:hAnsi="Arial Narrow" w:cs="Arial"/>
                <w:b/>
                <w:bCs/>
                <w:lang w:eastAsia="pt-BR"/>
              </w:rPr>
            </w:pPr>
            <w:r w:rsidRPr="001118B5">
              <w:rPr>
                <w:rFonts w:ascii="Arial Narrow" w:eastAsia="Times New Roman" w:hAnsi="Arial Narrow" w:cs="Arial"/>
                <w:b/>
                <w:bCs/>
                <w:lang w:eastAsia="pt-BR"/>
              </w:rPr>
              <w:t>VARIAÇÕES PATRIMONIAIS QUANTITATIVAS</w:t>
            </w:r>
          </w:p>
        </w:tc>
      </w:tr>
      <w:tr w:rsidR="009C57B5" w:rsidRPr="001118B5" w14:paraId="087828A5" w14:textId="77777777" w:rsidTr="00E67116">
        <w:trPr>
          <w:trHeight w:val="231"/>
        </w:trPr>
        <w:tc>
          <w:tcPr>
            <w:tcW w:w="4410" w:type="dxa"/>
            <w:vMerge w:val="restart"/>
            <w:tcBorders>
              <w:top w:val="nil"/>
              <w:left w:val="single" w:sz="8" w:space="0" w:color="auto"/>
            </w:tcBorders>
            <w:shd w:val="clear" w:color="000000" w:fill="F2F2F2"/>
            <w:noWrap/>
            <w:vAlign w:val="center"/>
            <w:hideMark/>
          </w:tcPr>
          <w:p w14:paraId="198261D4" w14:textId="77777777" w:rsidR="009C57B5" w:rsidRPr="001118B5" w:rsidRDefault="009C57B5" w:rsidP="00E67116">
            <w:pPr>
              <w:spacing w:after="0" w:line="240" w:lineRule="auto"/>
              <w:jc w:val="center"/>
              <w:rPr>
                <w:rFonts w:ascii="Arial Narrow" w:eastAsia="Times New Roman" w:hAnsi="Arial Narrow" w:cs="Arial"/>
                <w:b/>
                <w:bCs/>
                <w:lang w:eastAsia="pt-BR"/>
              </w:rPr>
            </w:pPr>
            <w:r w:rsidRPr="001118B5">
              <w:rPr>
                <w:rFonts w:ascii="Arial Narrow" w:eastAsia="Times New Roman" w:hAnsi="Arial Narrow" w:cs="Arial"/>
                <w:b/>
                <w:bCs/>
                <w:lang w:eastAsia="pt-BR"/>
              </w:rPr>
              <w:t>VARIAÇÕES PATRIMONIAIS AUMENTATIVAS</w:t>
            </w:r>
          </w:p>
        </w:tc>
        <w:tc>
          <w:tcPr>
            <w:tcW w:w="835" w:type="dxa"/>
            <w:tcBorders>
              <w:top w:val="nil"/>
              <w:right w:val="single" w:sz="8" w:space="0" w:color="auto"/>
            </w:tcBorders>
            <w:shd w:val="clear" w:color="000000" w:fill="F2F2F2"/>
            <w:noWrap/>
            <w:vAlign w:val="center"/>
          </w:tcPr>
          <w:p w14:paraId="39EFBF15" w14:textId="77777777" w:rsidR="009C57B5" w:rsidRPr="001118B5" w:rsidRDefault="009C57B5" w:rsidP="00E67116">
            <w:pPr>
              <w:spacing w:after="0" w:line="240" w:lineRule="auto"/>
              <w:jc w:val="center"/>
              <w:rPr>
                <w:rFonts w:ascii="Arial Narrow" w:eastAsia="Times New Roman" w:hAnsi="Arial Narrow" w:cs="Arial"/>
                <w:b/>
                <w:bCs/>
                <w:lang w:eastAsia="pt-BR"/>
              </w:rPr>
            </w:pPr>
          </w:p>
        </w:tc>
        <w:tc>
          <w:tcPr>
            <w:tcW w:w="1149" w:type="dxa"/>
            <w:vMerge w:val="restart"/>
            <w:tcBorders>
              <w:top w:val="nil"/>
              <w:left w:val="nil"/>
              <w:right w:val="single" w:sz="8" w:space="0" w:color="auto"/>
            </w:tcBorders>
            <w:shd w:val="clear" w:color="000000" w:fill="F2F2F2"/>
            <w:noWrap/>
            <w:vAlign w:val="center"/>
            <w:hideMark/>
          </w:tcPr>
          <w:p w14:paraId="3D8263E4" w14:textId="77777777" w:rsidR="009C57B5" w:rsidRPr="001118B5" w:rsidRDefault="009C57B5" w:rsidP="00E67116">
            <w:pPr>
              <w:spacing w:after="0" w:line="240" w:lineRule="auto"/>
              <w:jc w:val="center"/>
              <w:rPr>
                <w:rFonts w:ascii="Arial Narrow" w:eastAsia="Times New Roman" w:hAnsi="Arial Narrow" w:cs="Arial"/>
                <w:b/>
                <w:bCs/>
                <w:lang w:eastAsia="pt-BR"/>
              </w:rPr>
            </w:pPr>
            <w:r w:rsidRPr="001118B5">
              <w:rPr>
                <w:rFonts w:ascii="Arial Narrow" w:eastAsia="Times New Roman" w:hAnsi="Arial Narrow" w:cs="Arial"/>
                <w:b/>
                <w:bCs/>
                <w:lang w:eastAsia="pt-BR"/>
              </w:rPr>
              <w:t>Exercício Atual</w:t>
            </w:r>
          </w:p>
        </w:tc>
        <w:tc>
          <w:tcPr>
            <w:tcW w:w="1134" w:type="dxa"/>
            <w:vMerge w:val="restart"/>
            <w:tcBorders>
              <w:top w:val="nil"/>
              <w:left w:val="nil"/>
              <w:right w:val="single" w:sz="8" w:space="0" w:color="auto"/>
            </w:tcBorders>
            <w:shd w:val="clear" w:color="000000" w:fill="F2F2F2"/>
            <w:noWrap/>
            <w:vAlign w:val="center"/>
            <w:hideMark/>
          </w:tcPr>
          <w:p w14:paraId="4E3F04CF" w14:textId="77777777" w:rsidR="009C57B5" w:rsidRPr="001118B5" w:rsidRDefault="009C57B5" w:rsidP="00E67116">
            <w:pPr>
              <w:spacing w:after="0" w:line="240" w:lineRule="auto"/>
              <w:jc w:val="center"/>
              <w:rPr>
                <w:rFonts w:ascii="Arial Narrow" w:eastAsia="Times New Roman" w:hAnsi="Arial Narrow" w:cs="Arial"/>
                <w:b/>
                <w:bCs/>
                <w:lang w:eastAsia="pt-BR"/>
              </w:rPr>
            </w:pPr>
            <w:r w:rsidRPr="001118B5">
              <w:rPr>
                <w:rFonts w:ascii="Arial Narrow" w:eastAsia="Times New Roman" w:hAnsi="Arial Narrow" w:cs="Arial"/>
                <w:b/>
                <w:bCs/>
                <w:lang w:eastAsia="pt-BR"/>
              </w:rPr>
              <w:t>Exercício Anterior</w:t>
            </w:r>
          </w:p>
        </w:tc>
        <w:tc>
          <w:tcPr>
            <w:tcW w:w="4346" w:type="dxa"/>
            <w:vMerge w:val="restart"/>
            <w:tcBorders>
              <w:top w:val="nil"/>
              <w:left w:val="nil"/>
            </w:tcBorders>
            <w:shd w:val="clear" w:color="000000" w:fill="F2F2F2"/>
            <w:noWrap/>
            <w:vAlign w:val="center"/>
            <w:hideMark/>
          </w:tcPr>
          <w:p w14:paraId="62A85103" w14:textId="77777777" w:rsidR="009C57B5" w:rsidRPr="001118B5" w:rsidRDefault="009C57B5" w:rsidP="00E67116">
            <w:pPr>
              <w:spacing w:after="0" w:line="240" w:lineRule="auto"/>
              <w:jc w:val="center"/>
              <w:rPr>
                <w:rFonts w:ascii="Arial Narrow" w:eastAsia="Times New Roman" w:hAnsi="Arial Narrow" w:cs="Arial"/>
                <w:b/>
                <w:bCs/>
                <w:lang w:eastAsia="pt-BR"/>
              </w:rPr>
            </w:pPr>
            <w:r w:rsidRPr="001118B5">
              <w:rPr>
                <w:rFonts w:ascii="Arial Narrow" w:eastAsia="Times New Roman" w:hAnsi="Arial Narrow" w:cs="Arial"/>
                <w:b/>
                <w:bCs/>
                <w:lang w:eastAsia="pt-BR"/>
              </w:rPr>
              <w:t>VARIAÇÕES PATRIMONIAIS DIMINUTIVAS</w:t>
            </w:r>
          </w:p>
        </w:tc>
        <w:tc>
          <w:tcPr>
            <w:tcW w:w="846" w:type="dxa"/>
            <w:vMerge w:val="restart"/>
            <w:tcBorders>
              <w:top w:val="nil"/>
              <w:right w:val="single" w:sz="8" w:space="0" w:color="auto"/>
            </w:tcBorders>
            <w:shd w:val="clear" w:color="000000" w:fill="F2F2F2"/>
            <w:noWrap/>
            <w:vAlign w:val="center"/>
          </w:tcPr>
          <w:p w14:paraId="6E38DBCB" w14:textId="77777777" w:rsidR="009C57B5" w:rsidRPr="001118B5" w:rsidRDefault="009C57B5" w:rsidP="00E67116">
            <w:pPr>
              <w:spacing w:after="0" w:line="240" w:lineRule="auto"/>
              <w:jc w:val="center"/>
              <w:rPr>
                <w:rFonts w:ascii="Arial Narrow" w:eastAsia="Times New Roman" w:hAnsi="Arial Narrow" w:cs="Arial"/>
                <w:b/>
                <w:bCs/>
                <w:lang w:eastAsia="pt-BR"/>
              </w:rPr>
            </w:pPr>
          </w:p>
        </w:tc>
        <w:tc>
          <w:tcPr>
            <w:tcW w:w="1045" w:type="dxa"/>
            <w:vMerge w:val="restart"/>
            <w:tcBorders>
              <w:top w:val="nil"/>
              <w:left w:val="nil"/>
              <w:right w:val="single" w:sz="8" w:space="0" w:color="auto"/>
            </w:tcBorders>
            <w:shd w:val="clear" w:color="000000" w:fill="F2F2F2"/>
            <w:noWrap/>
            <w:vAlign w:val="center"/>
            <w:hideMark/>
          </w:tcPr>
          <w:p w14:paraId="1654F6AE" w14:textId="77777777" w:rsidR="009C57B5" w:rsidRPr="001118B5" w:rsidRDefault="009C57B5" w:rsidP="00E67116">
            <w:pPr>
              <w:spacing w:after="0" w:line="240" w:lineRule="auto"/>
              <w:jc w:val="center"/>
              <w:rPr>
                <w:rFonts w:ascii="Arial Narrow" w:eastAsia="Times New Roman" w:hAnsi="Arial Narrow" w:cs="Arial"/>
                <w:b/>
                <w:bCs/>
                <w:lang w:eastAsia="pt-BR"/>
              </w:rPr>
            </w:pPr>
            <w:r w:rsidRPr="001118B5">
              <w:rPr>
                <w:rFonts w:ascii="Arial Narrow" w:eastAsia="Times New Roman" w:hAnsi="Arial Narrow" w:cs="Arial"/>
                <w:b/>
                <w:bCs/>
                <w:lang w:eastAsia="pt-BR"/>
              </w:rPr>
              <w:t>Exercício Atual</w:t>
            </w:r>
          </w:p>
        </w:tc>
        <w:tc>
          <w:tcPr>
            <w:tcW w:w="1120" w:type="dxa"/>
            <w:vMerge w:val="restart"/>
            <w:tcBorders>
              <w:top w:val="nil"/>
              <w:left w:val="nil"/>
              <w:right w:val="single" w:sz="8" w:space="0" w:color="auto"/>
            </w:tcBorders>
            <w:shd w:val="clear" w:color="000000" w:fill="F2F2F2"/>
            <w:noWrap/>
            <w:vAlign w:val="center"/>
            <w:hideMark/>
          </w:tcPr>
          <w:p w14:paraId="54883578" w14:textId="77777777" w:rsidR="009C57B5" w:rsidRPr="001118B5" w:rsidRDefault="009C57B5" w:rsidP="00E67116">
            <w:pPr>
              <w:spacing w:after="0" w:line="240" w:lineRule="auto"/>
              <w:jc w:val="center"/>
              <w:rPr>
                <w:rFonts w:ascii="Arial Narrow" w:eastAsia="Times New Roman" w:hAnsi="Arial Narrow" w:cs="Arial"/>
                <w:b/>
                <w:bCs/>
                <w:lang w:eastAsia="pt-BR"/>
              </w:rPr>
            </w:pPr>
            <w:r w:rsidRPr="001118B5">
              <w:rPr>
                <w:rFonts w:ascii="Arial Narrow" w:eastAsia="Times New Roman" w:hAnsi="Arial Narrow" w:cs="Arial"/>
                <w:b/>
                <w:bCs/>
                <w:lang w:eastAsia="pt-BR"/>
              </w:rPr>
              <w:t>Exercício Anterior</w:t>
            </w:r>
          </w:p>
        </w:tc>
      </w:tr>
      <w:tr w:rsidR="009C57B5" w:rsidRPr="001118B5" w14:paraId="28BB5F68" w14:textId="77777777" w:rsidTr="00E67116">
        <w:trPr>
          <w:trHeight w:val="231"/>
        </w:trPr>
        <w:tc>
          <w:tcPr>
            <w:tcW w:w="4410" w:type="dxa"/>
            <w:vMerge/>
            <w:tcBorders>
              <w:left w:val="single" w:sz="8" w:space="0" w:color="auto"/>
              <w:bottom w:val="single" w:sz="8" w:space="0" w:color="auto"/>
            </w:tcBorders>
            <w:shd w:val="clear" w:color="000000" w:fill="F2F2F2"/>
            <w:noWrap/>
            <w:vAlign w:val="center"/>
          </w:tcPr>
          <w:p w14:paraId="04BBF293" w14:textId="77777777" w:rsidR="009C57B5" w:rsidRPr="001118B5" w:rsidRDefault="009C57B5" w:rsidP="00E67116">
            <w:pPr>
              <w:spacing w:after="0" w:line="240" w:lineRule="auto"/>
              <w:jc w:val="center"/>
              <w:rPr>
                <w:rFonts w:ascii="Arial Narrow" w:eastAsia="Times New Roman" w:hAnsi="Arial Narrow" w:cs="Arial"/>
                <w:b/>
                <w:bCs/>
                <w:lang w:eastAsia="pt-BR"/>
              </w:rPr>
            </w:pPr>
          </w:p>
        </w:tc>
        <w:tc>
          <w:tcPr>
            <w:tcW w:w="835" w:type="dxa"/>
            <w:tcBorders>
              <w:bottom w:val="single" w:sz="8" w:space="0" w:color="auto"/>
              <w:right w:val="single" w:sz="8" w:space="0" w:color="auto"/>
            </w:tcBorders>
            <w:shd w:val="clear" w:color="000000" w:fill="F2F2F2"/>
            <w:noWrap/>
            <w:vAlign w:val="center"/>
          </w:tcPr>
          <w:p w14:paraId="3955A075" w14:textId="77777777" w:rsidR="009C57B5" w:rsidRPr="001118B5" w:rsidRDefault="009C57B5" w:rsidP="00E67116">
            <w:pPr>
              <w:spacing w:after="0" w:line="240" w:lineRule="auto"/>
              <w:jc w:val="center"/>
              <w:rPr>
                <w:rFonts w:ascii="Arial Narrow" w:eastAsia="Times New Roman" w:hAnsi="Arial Narrow" w:cs="Arial"/>
                <w:b/>
                <w:bCs/>
                <w:lang w:eastAsia="pt-BR"/>
              </w:rPr>
            </w:pPr>
          </w:p>
        </w:tc>
        <w:tc>
          <w:tcPr>
            <w:tcW w:w="1149" w:type="dxa"/>
            <w:vMerge/>
            <w:tcBorders>
              <w:left w:val="nil"/>
              <w:bottom w:val="single" w:sz="8" w:space="0" w:color="auto"/>
              <w:right w:val="single" w:sz="8" w:space="0" w:color="auto"/>
            </w:tcBorders>
            <w:shd w:val="clear" w:color="000000" w:fill="F2F2F2"/>
            <w:noWrap/>
            <w:vAlign w:val="center"/>
          </w:tcPr>
          <w:p w14:paraId="24F9850B" w14:textId="77777777" w:rsidR="009C57B5" w:rsidRPr="001118B5" w:rsidRDefault="009C57B5" w:rsidP="00E67116">
            <w:pPr>
              <w:spacing w:after="0" w:line="240" w:lineRule="auto"/>
              <w:jc w:val="center"/>
              <w:rPr>
                <w:rFonts w:ascii="Arial Narrow" w:eastAsia="Times New Roman" w:hAnsi="Arial Narrow" w:cs="Arial"/>
                <w:b/>
                <w:bCs/>
                <w:lang w:eastAsia="pt-BR"/>
              </w:rPr>
            </w:pPr>
          </w:p>
        </w:tc>
        <w:tc>
          <w:tcPr>
            <w:tcW w:w="1134" w:type="dxa"/>
            <w:vMerge/>
            <w:tcBorders>
              <w:left w:val="nil"/>
              <w:bottom w:val="single" w:sz="8" w:space="0" w:color="auto"/>
              <w:right w:val="single" w:sz="8" w:space="0" w:color="auto"/>
            </w:tcBorders>
            <w:shd w:val="clear" w:color="000000" w:fill="F2F2F2"/>
            <w:noWrap/>
            <w:vAlign w:val="center"/>
          </w:tcPr>
          <w:p w14:paraId="1371B6FD" w14:textId="77777777" w:rsidR="009C57B5" w:rsidRPr="001118B5" w:rsidRDefault="009C57B5" w:rsidP="00E67116">
            <w:pPr>
              <w:spacing w:after="0" w:line="240" w:lineRule="auto"/>
              <w:jc w:val="center"/>
              <w:rPr>
                <w:rFonts w:ascii="Arial Narrow" w:eastAsia="Times New Roman" w:hAnsi="Arial Narrow" w:cs="Arial"/>
                <w:b/>
                <w:bCs/>
                <w:lang w:eastAsia="pt-BR"/>
              </w:rPr>
            </w:pPr>
          </w:p>
        </w:tc>
        <w:tc>
          <w:tcPr>
            <w:tcW w:w="4346" w:type="dxa"/>
            <w:vMerge/>
            <w:tcBorders>
              <w:left w:val="nil"/>
              <w:bottom w:val="single" w:sz="8" w:space="0" w:color="auto"/>
            </w:tcBorders>
            <w:shd w:val="clear" w:color="000000" w:fill="F2F2F2"/>
            <w:noWrap/>
            <w:vAlign w:val="center"/>
          </w:tcPr>
          <w:p w14:paraId="0C85C009" w14:textId="77777777" w:rsidR="009C57B5" w:rsidRPr="001118B5" w:rsidRDefault="009C57B5" w:rsidP="00E67116">
            <w:pPr>
              <w:spacing w:after="0" w:line="240" w:lineRule="auto"/>
              <w:jc w:val="center"/>
              <w:rPr>
                <w:rFonts w:ascii="Arial Narrow" w:eastAsia="Times New Roman" w:hAnsi="Arial Narrow" w:cs="Arial"/>
                <w:b/>
                <w:bCs/>
                <w:lang w:eastAsia="pt-BR"/>
              </w:rPr>
            </w:pPr>
          </w:p>
        </w:tc>
        <w:tc>
          <w:tcPr>
            <w:tcW w:w="846" w:type="dxa"/>
            <w:vMerge/>
            <w:tcBorders>
              <w:bottom w:val="single" w:sz="8" w:space="0" w:color="auto"/>
              <w:right w:val="single" w:sz="8" w:space="0" w:color="auto"/>
            </w:tcBorders>
            <w:shd w:val="clear" w:color="000000" w:fill="F2F2F2"/>
            <w:noWrap/>
            <w:vAlign w:val="center"/>
          </w:tcPr>
          <w:p w14:paraId="0224CE9F" w14:textId="77777777" w:rsidR="009C57B5" w:rsidRPr="001118B5" w:rsidRDefault="009C57B5" w:rsidP="00E67116">
            <w:pPr>
              <w:spacing w:after="0" w:line="240" w:lineRule="auto"/>
              <w:jc w:val="center"/>
              <w:rPr>
                <w:rFonts w:ascii="Arial Narrow" w:eastAsia="Times New Roman" w:hAnsi="Arial Narrow" w:cs="Arial"/>
                <w:b/>
                <w:bCs/>
                <w:lang w:eastAsia="pt-BR"/>
              </w:rPr>
            </w:pPr>
          </w:p>
        </w:tc>
        <w:tc>
          <w:tcPr>
            <w:tcW w:w="1045" w:type="dxa"/>
            <w:vMerge/>
            <w:tcBorders>
              <w:left w:val="nil"/>
              <w:bottom w:val="single" w:sz="8" w:space="0" w:color="auto"/>
              <w:right w:val="single" w:sz="8" w:space="0" w:color="auto"/>
            </w:tcBorders>
            <w:shd w:val="clear" w:color="000000" w:fill="F2F2F2"/>
            <w:noWrap/>
            <w:vAlign w:val="center"/>
          </w:tcPr>
          <w:p w14:paraId="591769D3" w14:textId="77777777" w:rsidR="009C57B5" w:rsidRPr="001118B5" w:rsidRDefault="009C57B5" w:rsidP="00E67116">
            <w:pPr>
              <w:spacing w:after="0" w:line="240" w:lineRule="auto"/>
              <w:jc w:val="center"/>
              <w:rPr>
                <w:rFonts w:ascii="Arial Narrow" w:eastAsia="Times New Roman" w:hAnsi="Arial Narrow" w:cs="Arial"/>
                <w:b/>
                <w:bCs/>
                <w:lang w:eastAsia="pt-BR"/>
              </w:rPr>
            </w:pPr>
          </w:p>
        </w:tc>
        <w:tc>
          <w:tcPr>
            <w:tcW w:w="1120" w:type="dxa"/>
            <w:vMerge/>
            <w:tcBorders>
              <w:left w:val="nil"/>
              <w:bottom w:val="single" w:sz="8" w:space="0" w:color="auto"/>
              <w:right w:val="single" w:sz="8" w:space="0" w:color="auto"/>
            </w:tcBorders>
            <w:shd w:val="clear" w:color="000000" w:fill="F2F2F2"/>
            <w:noWrap/>
            <w:vAlign w:val="center"/>
          </w:tcPr>
          <w:p w14:paraId="7243A91B" w14:textId="77777777" w:rsidR="009C57B5" w:rsidRPr="001118B5" w:rsidRDefault="009C57B5" w:rsidP="00E67116">
            <w:pPr>
              <w:spacing w:after="0" w:line="240" w:lineRule="auto"/>
              <w:jc w:val="center"/>
              <w:rPr>
                <w:rFonts w:ascii="Arial Narrow" w:eastAsia="Times New Roman" w:hAnsi="Arial Narrow" w:cs="Arial"/>
                <w:b/>
                <w:bCs/>
                <w:lang w:eastAsia="pt-BR"/>
              </w:rPr>
            </w:pPr>
          </w:p>
        </w:tc>
      </w:tr>
      <w:tr w:rsidR="009C57B5" w:rsidRPr="001118B5" w14:paraId="3A5A976B" w14:textId="77777777" w:rsidTr="00E67116">
        <w:trPr>
          <w:trHeight w:val="255"/>
        </w:trPr>
        <w:tc>
          <w:tcPr>
            <w:tcW w:w="4410" w:type="dxa"/>
            <w:tcBorders>
              <w:top w:val="nil"/>
              <w:left w:val="single" w:sz="8" w:space="0" w:color="auto"/>
              <w:bottom w:val="nil"/>
            </w:tcBorders>
            <w:shd w:val="clear" w:color="auto" w:fill="auto"/>
            <w:noWrap/>
            <w:vAlign w:val="center"/>
            <w:hideMark/>
          </w:tcPr>
          <w:p w14:paraId="3747D027" w14:textId="77777777" w:rsidR="009C57B5" w:rsidRPr="001118B5" w:rsidRDefault="009C57B5" w:rsidP="00E67116">
            <w:pPr>
              <w:spacing w:after="0" w:line="240" w:lineRule="auto"/>
              <w:rPr>
                <w:rFonts w:ascii="Arial Narrow" w:eastAsia="Times New Roman" w:hAnsi="Arial Narrow" w:cs="Arial"/>
                <w:b/>
                <w:bCs/>
                <w:sz w:val="16"/>
                <w:szCs w:val="16"/>
                <w:u w:val="single"/>
                <w:lang w:eastAsia="pt-BR"/>
              </w:rPr>
            </w:pPr>
            <w:r w:rsidRPr="001118B5">
              <w:rPr>
                <w:rFonts w:ascii="Arial Narrow" w:eastAsia="Times New Roman" w:hAnsi="Arial Narrow" w:cs="Arial"/>
                <w:b/>
                <w:bCs/>
                <w:sz w:val="16"/>
                <w:szCs w:val="16"/>
                <w:u w:val="single"/>
                <w:lang w:eastAsia="pt-BR"/>
              </w:rPr>
              <w:t>Impostos, Taxas e Contribuições de Melhoria</w:t>
            </w:r>
          </w:p>
        </w:tc>
        <w:tc>
          <w:tcPr>
            <w:tcW w:w="835" w:type="dxa"/>
            <w:tcBorders>
              <w:top w:val="nil"/>
              <w:bottom w:val="nil"/>
              <w:right w:val="single" w:sz="8" w:space="0" w:color="auto"/>
            </w:tcBorders>
            <w:shd w:val="clear" w:color="auto" w:fill="auto"/>
            <w:noWrap/>
            <w:vAlign w:val="center"/>
          </w:tcPr>
          <w:p w14:paraId="59094AEC" w14:textId="77777777" w:rsidR="009C57B5" w:rsidRPr="001118B5" w:rsidRDefault="009C57B5" w:rsidP="00E67116">
            <w:pPr>
              <w:spacing w:after="0" w:line="240" w:lineRule="auto"/>
              <w:jc w:val="center"/>
              <w:rPr>
                <w:rFonts w:ascii="Arial Narrow" w:eastAsia="Times New Roman" w:hAnsi="Arial Narrow" w:cs="Arial"/>
                <w:b/>
                <w:bCs/>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548C2902" w14:textId="77777777" w:rsidR="009C57B5" w:rsidRPr="001118B5" w:rsidRDefault="009C57B5" w:rsidP="00E67116">
            <w:pPr>
              <w:spacing w:after="0" w:line="240" w:lineRule="auto"/>
              <w:jc w:val="center"/>
              <w:rPr>
                <w:rFonts w:ascii="Arial Narrow" w:eastAsia="Times New Roman" w:hAnsi="Arial Narrow" w:cs="Arial"/>
                <w:b/>
                <w:bCs/>
                <w:sz w:val="16"/>
                <w:szCs w:val="16"/>
                <w:lang w:eastAsia="pt-BR"/>
              </w:rPr>
            </w:pPr>
            <w:r w:rsidRPr="001118B5">
              <w:rPr>
                <w:rFonts w:ascii="Arial Narrow" w:eastAsia="Times New Roman" w:hAnsi="Arial Narrow" w:cs="Arial"/>
                <w:b/>
                <w:bCs/>
                <w:sz w:val="16"/>
                <w:szCs w:val="16"/>
                <w:lang w:eastAsia="pt-BR"/>
              </w:rPr>
              <w:t>DVP.D009</w:t>
            </w:r>
          </w:p>
        </w:tc>
        <w:tc>
          <w:tcPr>
            <w:tcW w:w="1134" w:type="dxa"/>
            <w:tcBorders>
              <w:top w:val="nil"/>
              <w:left w:val="nil"/>
              <w:bottom w:val="nil"/>
              <w:right w:val="single" w:sz="8" w:space="0" w:color="auto"/>
            </w:tcBorders>
            <w:shd w:val="clear" w:color="auto" w:fill="auto"/>
            <w:noWrap/>
            <w:vAlign w:val="center"/>
            <w:hideMark/>
          </w:tcPr>
          <w:p w14:paraId="200E136F" w14:textId="77777777" w:rsidR="009C57B5" w:rsidRPr="001118B5" w:rsidRDefault="009C57B5" w:rsidP="00E67116">
            <w:pPr>
              <w:spacing w:after="0" w:line="240" w:lineRule="auto"/>
              <w:jc w:val="center"/>
              <w:rPr>
                <w:rFonts w:ascii="Arial Narrow" w:eastAsia="Times New Roman" w:hAnsi="Arial Narrow" w:cs="Arial"/>
                <w:b/>
                <w:bCs/>
                <w:sz w:val="16"/>
                <w:szCs w:val="16"/>
                <w:lang w:eastAsia="pt-BR"/>
              </w:rPr>
            </w:pPr>
            <w:r w:rsidRPr="001118B5">
              <w:rPr>
                <w:rFonts w:ascii="Arial Narrow" w:eastAsia="Times New Roman" w:hAnsi="Arial Narrow" w:cs="Arial"/>
                <w:b/>
                <w:bCs/>
                <w:sz w:val="16"/>
                <w:szCs w:val="16"/>
                <w:lang w:eastAsia="pt-BR"/>
              </w:rPr>
              <w:t>DVP.E009</w:t>
            </w:r>
          </w:p>
        </w:tc>
        <w:tc>
          <w:tcPr>
            <w:tcW w:w="4346" w:type="dxa"/>
            <w:tcBorders>
              <w:top w:val="nil"/>
              <w:left w:val="nil"/>
              <w:bottom w:val="nil"/>
            </w:tcBorders>
            <w:shd w:val="clear" w:color="auto" w:fill="auto"/>
            <w:noWrap/>
            <w:vAlign w:val="center"/>
            <w:hideMark/>
          </w:tcPr>
          <w:p w14:paraId="570C5DC4" w14:textId="77777777" w:rsidR="009C57B5" w:rsidRPr="001118B5" w:rsidRDefault="009C57B5" w:rsidP="00E67116">
            <w:pPr>
              <w:spacing w:after="0" w:line="240" w:lineRule="auto"/>
              <w:rPr>
                <w:rFonts w:ascii="Arial Narrow" w:eastAsia="Times New Roman" w:hAnsi="Arial Narrow" w:cs="Arial"/>
                <w:b/>
                <w:bCs/>
                <w:sz w:val="16"/>
                <w:szCs w:val="16"/>
                <w:u w:val="single"/>
                <w:lang w:eastAsia="pt-BR"/>
              </w:rPr>
            </w:pPr>
            <w:r w:rsidRPr="001118B5">
              <w:rPr>
                <w:rFonts w:ascii="Arial Narrow" w:eastAsia="Times New Roman" w:hAnsi="Arial Narrow" w:cs="Arial"/>
                <w:b/>
                <w:bCs/>
                <w:sz w:val="16"/>
                <w:szCs w:val="16"/>
                <w:u w:val="single"/>
                <w:lang w:eastAsia="pt-BR"/>
              </w:rPr>
              <w:t xml:space="preserve">Pessoal e Encargos </w:t>
            </w:r>
          </w:p>
        </w:tc>
        <w:tc>
          <w:tcPr>
            <w:tcW w:w="846" w:type="dxa"/>
            <w:tcBorders>
              <w:top w:val="nil"/>
              <w:bottom w:val="nil"/>
              <w:right w:val="single" w:sz="8" w:space="0" w:color="auto"/>
            </w:tcBorders>
            <w:shd w:val="clear" w:color="auto" w:fill="auto"/>
            <w:noWrap/>
            <w:vAlign w:val="center"/>
          </w:tcPr>
          <w:p w14:paraId="10761D3F" w14:textId="77777777" w:rsidR="009C57B5" w:rsidRPr="001118B5" w:rsidRDefault="009C57B5" w:rsidP="00E67116">
            <w:pPr>
              <w:spacing w:after="0" w:line="240" w:lineRule="auto"/>
              <w:jc w:val="center"/>
              <w:rPr>
                <w:rFonts w:ascii="Arial Narrow" w:eastAsia="Times New Roman" w:hAnsi="Arial Narrow" w:cs="Arial"/>
                <w:b/>
                <w:bCs/>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1E4CA2BA" w14:textId="77777777" w:rsidR="009C57B5" w:rsidRPr="001118B5" w:rsidRDefault="009C57B5" w:rsidP="00E67116">
            <w:pPr>
              <w:spacing w:after="0" w:line="240" w:lineRule="auto"/>
              <w:jc w:val="center"/>
              <w:rPr>
                <w:rFonts w:ascii="Arial Narrow" w:eastAsia="Times New Roman" w:hAnsi="Arial Narrow" w:cs="Arial"/>
                <w:b/>
                <w:bCs/>
                <w:sz w:val="16"/>
                <w:szCs w:val="16"/>
                <w:lang w:eastAsia="pt-BR"/>
              </w:rPr>
            </w:pPr>
            <w:r w:rsidRPr="001118B5">
              <w:rPr>
                <w:rFonts w:ascii="Arial Narrow" w:eastAsia="Times New Roman" w:hAnsi="Arial Narrow" w:cs="Arial"/>
                <w:b/>
                <w:bCs/>
                <w:sz w:val="16"/>
                <w:szCs w:val="16"/>
                <w:lang w:eastAsia="pt-BR"/>
              </w:rPr>
              <w:t>DVP.H009</w:t>
            </w:r>
          </w:p>
        </w:tc>
        <w:tc>
          <w:tcPr>
            <w:tcW w:w="1120" w:type="dxa"/>
            <w:tcBorders>
              <w:top w:val="nil"/>
              <w:left w:val="nil"/>
              <w:bottom w:val="nil"/>
              <w:right w:val="single" w:sz="8" w:space="0" w:color="auto"/>
            </w:tcBorders>
            <w:shd w:val="clear" w:color="auto" w:fill="auto"/>
            <w:noWrap/>
            <w:vAlign w:val="center"/>
            <w:hideMark/>
          </w:tcPr>
          <w:p w14:paraId="7D0B6CD1" w14:textId="77777777" w:rsidR="009C57B5" w:rsidRPr="001118B5" w:rsidRDefault="009C57B5" w:rsidP="00E67116">
            <w:pPr>
              <w:spacing w:after="0" w:line="240" w:lineRule="auto"/>
              <w:jc w:val="center"/>
              <w:rPr>
                <w:rFonts w:ascii="Arial Narrow" w:eastAsia="Times New Roman" w:hAnsi="Arial Narrow" w:cs="Arial"/>
                <w:b/>
                <w:bCs/>
                <w:sz w:val="16"/>
                <w:szCs w:val="16"/>
                <w:lang w:eastAsia="pt-BR"/>
              </w:rPr>
            </w:pPr>
            <w:r w:rsidRPr="001118B5">
              <w:rPr>
                <w:rFonts w:ascii="Arial Narrow" w:eastAsia="Times New Roman" w:hAnsi="Arial Narrow" w:cs="Arial"/>
                <w:b/>
                <w:bCs/>
                <w:sz w:val="16"/>
                <w:szCs w:val="16"/>
                <w:lang w:eastAsia="pt-BR"/>
              </w:rPr>
              <w:t>DVP.I009</w:t>
            </w:r>
          </w:p>
        </w:tc>
      </w:tr>
      <w:tr w:rsidR="009C57B5" w:rsidRPr="001118B5" w14:paraId="5147F730" w14:textId="77777777" w:rsidTr="00E67116">
        <w:trPr>
          <w:trHeight w:val="255"/>
        </w:trPr>
        <w:tc>
          <w:tcPr>
            <w:tcW w:w="4410" w:type="dxa"/>
            <w:tcBorders>
              <w:top w:val="nil"/>
              <w:left w:val="single" w:sz="8" w:space="0" w:color="auto"/>
              <w:bottom w:val="nil"/>
            </w:tcBorders>
            <w:shd w:val="clear" w:color="auto" w:fill="auto"/>
            <w:noWrap/>
            <w:vAlign w:val="center"/>
            <w:hideMark/>
          </w:tcPr>
          <w:p w14:paraId="406FC9B3" w14:textId="77777777" w:rsidR="009C57B5" w:rsidRPr="001118B5" w:rsidRDefault="009C57B5" w:rsidP="00E67116">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Impostos</w:t>
            </w:r>
          </w:p>
        </w:tc>
        <w:tc>
          <w:tcPr>
            <w:tcW w:w="835" w:type="dxa"/>
            <w:tcBorders>
              <w:top w:val="nil"/>
              <w:bottom w:val="nil"/>
              <w:right w:val="single" w:sz="8" w:space="0" w:color="auto"/>
            </w:tcBorders>
            <w:shd w:val="clear" w:color="auto" w:fill="auto"/>
            <w:noWrap/>
            <w:vAlign w:val="center"/>
          </w:tcPr>
          <w:p w14:paraId="1B99AC19" w14:textId="77777777" w:rsidR="009C57B5" w:rsidRPr="001118B5" w:rsidRDefault="009C57B5" w:rsidP="00E67116">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716C0D47" w14:textId="77777777" w:rsidR="009C57B5" w:rsidRPr="001118B5" w:rsidRDefault="009C57B5"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DVP.D010</w:t>
            </w:r>
          </w:p>
        </w:tc>
        <w:tc>
          <w:tcPr>
            <w:tcW w:w="1134" w:type="dxa"/>
            <w:tcBorders>
              <w:top w:val="nil"/>
              <w:left w:val="nil"/>
              <w:bottom w:val="nil"/>
              <w:right w:val="single" w:sz="8" w:space="0" w:color="auto"/>
            </w:tcBorders>
            <w:shd w:val="clear" w:color="auto" w:fill="auto"/>
            <w:noWrap/>
            <w:vAlign w:val="center"/>
            <w:hideMark/>
          </w:tcPr>
          <w:p w14:paraId="59464099" w14:textId="77777777" w:rsidR="009C57B5" w:rsidRPr="001118B5" w:rsidRDefault="009C57B5"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DVP.E010</w:t>
            </w:r>
          </w:p>
        </w:tc>
        <w:tc>
          <w:tcPr>
            <w:tcW w:w="4346" w:type="dxa"/>
            <w:tcBorders>
              <w:top w:val="nil"/>
              <w:left w:val="nil"/>
              <w:bottom w:val="nil"/>
            </w:tcBorders>
            <w:shd w:val="clear" w:color="auto" w:fill="auto"/>
            <w:noWrap/>
            <w:vAlign w:val="center"/>
            <w:hideMark/>
          </w:tcPr>
          <w:p w14:paraId="77290552" w14:textId="77777777" w:rsidR="009C57B5" w:rsidRPr="001118B5" w:rsidRDefault="009C57B5" w:rsidP="00E67116">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Remuneração a Pessoal</w:t>
            </w:r>
          </w:p>
        </w:tc>
        <w:tc>
          <w:tcPr>
            <w:tcW w:w="846" w:type="dxa"/>
            <w:tcBorders>
              <w:top w:val="nil"/>
              <w:bottom w:val="nil"/>
              <w:right w:val="single" w:sz="8" w:space="0" w:color="auto"/>
            </w:tcBorders>
            <w:shd w:val="clear" w:color="auto" w:fill="auto"/>
            <w:noWrap/>
            <w:vAlign w:val="center"/>
          </w:tcPr>
          <w:p w14:paraId="7BBE0F86" w14:textId="77777777" w:rsidR="009C57B5" w:rsidRPr="001118B5" w:rsidRDefault="009C57B5" w:rsidP="00E67116">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456687E2" w14:textId="77777777" w:rsidR="009C57B5" w:rsidRPr="001118B5" w:rsidRDefault="009C57B5"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DVP.H010</w:t>
            </w:r>
          </w:p>
        </w:tc>
        <w:tc>
          <w:tcPr>
            <w:tcW w:w="1120" w:type="dxa"/>
            <w:tcBorders>
              <w:top w:val="nil"/>
              <w:left w:val="nil"/>
              <w:bottom w:val="nil"/>
              <w:right w:val="single" w:sz="8" w:space="0" w:color="auto"/>
            </w:tcBorders>
            <w:shd w:val="clear" w:color="auto" w:fill="auto"/>
            <w:noWrap/>
            <w:vAlign w:val="center"/>
            <w:hideMark/>
          </w:tcPr>
          <w:p w14:paraId="0977BADA" w14:textId="77777777" w:rsidR="009C57B5" w:rsidRPr="001118B5" w:rsidRDefault="009C57B5"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DVP.I010</w:t>
            </w:r>
          </w:p>
        </w:tc>
      </w:tr>
      <w:tr w:rsidR="009C57B5" w:rsidRPr="001118B5" w14:paraId="693E55E4" w14:textId="77777777" w:rsidTr="00E67116">
        <w:trPr>
          <w:trHeight w:val="240"/>
        </w:trPr>
        <w:tc>
          <w:tcPr>
            <w:tcW w:w="4410" w:type="dxa"/>
            <w:tcBorders>
              <w:top w:val="nil"/>
              <w:left w:val="single" w:sz="8" w:space="0" w:color="auto"/>
              <w:bottom w:val="nil"/>
            </w:tcBorders>
            <w:shd w:val="clear" w:color="auto" w:fill="auto"/>
            <w:noWrap/>
            <w:vAlign w:val="center"/>
            <w:hideMark/>
          </w:tcPr>
          <w:p w14:paraId="50E2DCE7" w14:textId="77777777" w:rsidR="009C57B5" w:rsidRPr="001118B5" w:rsidRDefault="009C57B5" w:rsidP="00E67116">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Taxas</w:t>
            </w:r>
          </w:p>
        </w:tc>
        <w:tc>
          <w:tcPr>
            <w:tcW w:w="835" w:type="dxa"/>
            <w:tcBorders>
              <w:top w:val="nil"/>
              <w:bottom w:val="nil"/>
              <w:right w:val="single" w:sz="8" w:space="0" w:color="auto"/>
            </w:tcBorders>
            <w:shd w:val="clear" w:color="auto" w:fill="auto"/>
            <w:noWrap/>
            <w:vAlign w:val="center"/>
          </w:tcPr>
          <w:p w14:paraId="2A417C69" w14:textId="77777777" w:rsidR="009C57B5" w:rsidRPr="001118B5" w:rsidRDefault="009C57B5" w:rsidP="00E67116">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2D4E909A" w14:textId="77777777" w:rsidR="009C57B5" w:rsidRPr="001118B5" w:rsidRDefault="009C57B5"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DVP.D011</w:t>
            </w:r>
          </w:p>
        </w:tc>
        <w:tc>
          <w:tcPr>
            <w:tcW w:w="1134" w:type="dxa"/>
            <w:tcBorders>
              <w:top w:val="nil"/>
              <w:left w:val="nil"/>
              <w:bottom w:val="nil"/>
              <w:right w:val="single" w:sz="8" w:space="0" w:color="auto"/>
            </w:tcBorders>
            <w:shd w:val="clear" w:color="auto" w:fill="auto"/>
            <w:noWrap/>
            <w:vAlign w:val="center"/>
            <w:hideMark/>
          </w:tcPr>
          <w:p w14:paraId="3A0E3039" w14:textId="77777777" w:rsidR="009C57B5" w:rsidRPr="001118B5" w:rsidRDefault="009C57B5"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DVP.E011</w:t>
            </w:r>
          </w:p>
        </w:tc>
        <w:tc>
          <w:tcPr>
            <w:tcW w:w="4346" w:type="dxa"/>
            <w:tcBorders>
              <w:top w:val="nil"/>
              <w:left w:val="nil"/>
              <w:bottom w:val="nil"/>
            </w:tcBorders>
            <w:shd w:val="clear" w:color="auto" w:fill="auto"/>
            <w:noWrap/>
            <w:vAlign w:val="center"/>
            <w:hideMark/>
          </w:tcPr>
          <w:p w14:paraId="4D5CD119" w14:textId="77777777" w:rsidR="009C57B5" w:rsidRPr="001118B5" w:rsidRDefault="009C57B5" w:rsidP="00E67116">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Encargos Patronais</w:t>
            </w:r>
          </w:p>
        </w:tc>
        <w:tc>
          <w:tcPr>
            <w:tcW w:w="846" w:type="dxa"/>
            <w:tcBorders>
              <w:top w:val="nil"/>
              <w:bottom w:val="nil"/>
              <w:right w:val="single" w:sz="8" w:space="0" w:color="auto"/>
            </w:tcBorders>
            <w:shd w:val="clear" w:color="auto" w:fill="auto"/>
            <w:noWrap/>
            <w:vAlign w:val="center"/>
          </w:tcPr>
          <w:p w14:paraId="7CCE967A" w14:textId="77777777" w:rsidR="009C57B5" w:rsidRPr="001118B5" w:rsidRDefault="009C57B5" w:rsidP="00E67116">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1C6FC3D4" w14:textId="77777777" w:rsidR="009C57B5" w:rsidRPr="001118B5" w:rsidRDefault="009C57B5"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DVP.H011</w:t>
            </w:r>
          </w:p>
        </w:tc>
        <w:tc>
          <w:tcPr>
            <w:tcW w:w="1120" w:type="dxa"/>
            <w:tcBorders>
              <w:top w:val="nil"/>
              <w:left w:val="nil"/>
              <w:bottom w:val="nil"/>
              <w:right w:val="single" w:sz="8" w:space="0" w:color="auto"/>
            </w:tcBorders>
            <w:shd w:val="clear" w:color="auto" w:fill="auto"/>
            <w:noWrap/>
            <w:vAlign w:val="center"/>
            <w:hideMark/>
          </w:tcPr>
          <w:p w14:paraId="06B85916" w14:textId="77777777" w:rsidR="009C57B5" w:rsidRPr="001118B5" w:rsidRDefault="009C57B5"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DVP.I011</w:t>
            </w:r>
          </w:p>
        </w:tc>
      </w:tr>
      <w:tr w:rsidR="009C57B5" w:rsidRPr="001118B5" w14:paraId="702D004D" w14:textId="77777777" w:rsidTr="00E67116">
        <w:trPr>
          <w:trHeight w:val="240"/>
        </w:trPr>
        <w:tc>
          <w:tcPr>
            <w:tcW w:w="4410" w:type="dxa"/>
            <w:tcBorders>
              <w:top w:val="nil"/>
              <w:left w:val="single" w:sz="8" w:space="0" w:color="auto"/>
              <w:bottom w:val="nil"/>
            </w:tcBorders>
            <w:shd w:val="clear" w:color="auto" w:fill="auto"/>
            <w:noWrap/>
            <w:vAlign w:val="center"/>
            <w:hideMark/>
          </w:tcPr>
          <w:p w14:paraId="1771EED0" w14:textId="77777777" w:rsidR="009C57B5" w:rsidRPr="001118B5" w:rsidRDefault="009C57B5" w:rsidP="00E67116">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Contribuições de Melhoria</w:t>
            </w:r>
          </w:p>
        </w:tc>
        <w:tc>
          <w:tcPr>
            <w:tcW w:w="835" w:type="dxa"/>
            <w:tcBorders>
              <w:top w:val="nil"/>
              <w:bottom w:val="nil"/>
              <w:right w:val="single" w:sz="8" w:space="0" w:color="auto"/>
            </w:tcBorders>
            <w:shd w:val="clear" w:color="auto" w:fill="auto"/>
            <w:noWrap/>
            <w:vAlign w:val="center"/>
          </w:tcPr>
          <w:p w14:paraId="08E35305" w14:textId="77777777" w:rsidR="009C57B5" w:rsidRPr="001118B5" w:rsidRDefault="009C57B5" w:rsidP="00E67116">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13F495CD" w14:textId="77777777" w:rsidR="009C57B5" w:rsidRPr="001118B5" w:rsidRDefault="009C57B5"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DVP.D012</w:t>
            </w:r>
          </w:p>
        </w:tc>
        <w:tc>
          <w:tcPr>
            <w:tcW w:w="1134" w:type="dxa"/>
            <w:tcBorders>
              <w:top w:val="nil"/>
              <w:left w:val="nil"/>
              <w:bottom w:val="nil"/>
              <w:right w:val="single" w:sz="8" w:space="0" w:color="auto"/>
            </w:tcBorders>
            <w:shd w:val="clear" w:color="auto" w:fill="auto"/>
            <w:noWrap/>
            <w:vAlign w:val="center"/>
            <w:hideMark/>
          </w:tcPr>
          <w:p w14:paraId="292388AE" w14:textId="77777777" w:rsidR="009C57B5" w:rsidRPr="001118B5" w:rsidRDefault="009C57B5"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DVP.E012</w:t>
            </w:r>
          </w:p>
        </w:tc>
        <w:tc>
          <w:tcPr>
            <w:tcW w:w="4346" w:type="dxa"/>
            <w:tcBorders>
              <w:top w:val="nil"/>
              <w:left w:val="nil"/>
              <w:bottom w:val="nil"/>
            </w:tcBorders>
            <w:shd w:val="clear" w:color="auto" w:fill="auto"/>
            <w:noWrap/>
            <w:vAlign w:val="center"/>
            <w:hideMark/>
          </w:tcPr>
          <w:p w14:paraId="533F3F52" w14:textId="77777777" w:rsidR="009C57B5" w:rsidRPr="001118B5" w:rsidRDefault="009C57B5" w:rsidP="00E67116">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Benefícios a Pessoal</w:t>
            </w:r>
          </w:p>
        </w:tc>
        <w:tc>
          <w:tcPr>
            <w:tcW w:w="846" w:type="dxa"/>
            <w:tcBorders>
              <w:top w:val="nil"/>
              <w:bottom w:val="nil"/>
              <w:right w:val="single" w:sz="8" w:space="0" w:color="auto"/>
            </w:tcBorders>
            <w:shd w:val="clear" w:color="auto" w:fill="auto"/>
            <w:noWrap/>
            <w:vAlign w:val="center"/>
          </w:tcPr>
          <w:p w14:paraId="3C6D0AE6" w14:textId="77777777" w:rsidR="009C57B5" w:rsidRPr="001118B5" w:rsidRDefault="009C57B5" w:rsidP="00E67116">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3E47F8CA" w14:textId="77777777" w:rsidR="009C57B5" w:rsidRPr="001118B5" w:rsidRDefault="009C57B5"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DVP.H012</w:t>
            </w:r>
          </w:p>
        </w:tc>
        <w:tc>
          <w:tcPr>
            <w:tcW w:w="1120" w:type="dxa"/>
            <w:tcBorders>
              <w:top w:val="nil"/>
              <w:left w:val="nil"/>
              <w:bottom w:val="nil"/>
              <w:right w:val="single" w:sz="8" w:space="0" w:color="auto"/>
            </w:tcBorders>
            <w:shd w:val="clear" w:color="auto" w:fill="auto"/>
            <w:noWrap/>
            <w:vAlign w:val="center"/>
            <w:hideMark/>
          </w:tcPr>
          <w:p w14:paraId="6A20320D" w14:textId="77777777" w:rsidR="009C57B5" w:rsidRPr="001118B5" w:rsidRDefault="009C57B5"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DVP.I012</w:t>
            </w:r>
          </w:p>
        </w:tc>
      </w:tr>
      <w:tr w:rsidR="009C57B5" w:rsidRPr="001118B5" w14:paraId="704625CB" w14:textId="77777777" w:rsidTr="00E67116">
        <w:trPr>
          <w:trHeight w:val="240"/>
        </w:trPr>
        <w:tc>
          <w:tcPr>
            <w:tcW w:w="4410" w:type="dxa"/>
            <w:tcBorders>
              <w:top w:val="nil"/>
              <w:left w:val="single" w:sz="8" w:space="0" w:color="auto"/>
              <w:bottom w:val="nil"/>
            </w:tcBorders>
            <w:shd w:val="clear" w:color="auto" w:fill="auto"/>
            <w:noWrap/>
            <w:vAlign w:val="center"/>
            <w:hideMark/>
          </w:tcPr>
          <w:p w14:paraId="0971732D" w14:textId="77777777" w:rsidR="009C57B5" w:rsidRPr="001118B5" w:rsidRDefault="009C57B5" w:rsidP="00E67116">
            <w:pPr>
              <w:spacing w:after="0" w:line="240" w:lineRule="auto"/>
              <w:rPr>
                <w:rFonts w:ascii="Arial Narrow" w:eastAsia="Times New Roman" w:hAnsi="Arial Narrow" w:cs="Arial"/>
                <w:b/>
                <w:bCs/>
                <w:sz w:val="16"/>
                <w:szCs w:val="16"/>
                <w:u w:val="single"/>
                <w:lang w:eastAsia="pt-BR"/>
              </w:rPr>
            </w:pPr>
            <w:r w:rsidRPr="001118B5">
              <w:rPr>
                <w:rFonts w:ascii="Arial Narrow" w:eastAsia="Times New Roman" w:hAnsi="Arial Narrow" w:cs="Arial"/>
                <w:b/>
                <w:bCs/>
                <w:sz w:val="16"/>
                <w:szCs w:val="16"/>
                <w:u w:val="single"/>
                <w:lang w:eastAsia="pt-BR"/>
              </w:rPr>
              <w:t>Contribuições</w:t>
            </w:r>
          </w:p>
        </w:tc>
        <w:tc>
          <w:tcPr>
            <w:tcW w:w="835" w:type="dxa"/>
            <w:tcBorders>
              <w:top w:val="nil"/>
              <w:bottom w:val="nil"/>
              <w:right w:val="single" w:sz="8" w:space="0" w:color="auto"/>
            </w:tcBorders>
            <w:shd w:val="clear" w:color="auto" w:fill="auto"/>
            <w:noWrap/>
            <w:vAlign w:val="center"/>
          </w:tcPr>
          <w:p w14:paraId="605C39B9" w14:textId="77777777" w:rsidR="009C57B5" w:rsidRPr="001118B5" w:rsidRDefault="009C57B5" w:rsidP="00E67116">
            <w:pPr>
              <w:spacing w:after="0" w:line="240" w:lineRule="auto"/>
              <w:jc w:val="center"/>
              <w:rPr>
                <w:rFonts w:ascii="Arial Narrow" w:eastAsia="Times New Roman" w:hAnsi="Arial Narrow" w:cs="Arial"/>
                <w:b/>
                <w:bCs/>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4D1F46C6" w14:textId="77777777" w:rsidR="009C57B5" w:rsidRPr="001118B5" w:rsidRDefault="009C57B5" w:rsidP="00E67116">
            <w:pPr>
              <w:spacing w:after="0" w:line="240" w:lineRule="auto"/>
              <w:jc w:val="center"/>
              <w:rPr>
                <w:rFonts w:ascii="Arial Narrow" w:eastAsia="Times New Roman" w:hAnsi="Arial Narrow" w:cs="Arial"/>
                <w:b/>
                <w:bCs/>
                <w:sz w:val="16"/>
                <w:szCs w:val="16"/>
                <w:lang w:eastAsia="pt-BR"/>
              </w:rPr>
            </w:pPr>
            <w:r w:rsidRPr="001118B5">
              <w:rPr>
                <w:rFonts w:ascii="Arial Narrow" w:eastAsia="Times New Roman" w:hAnsi="Arial Narrow" w:cs="Arial"/>
                <w:b/>
                <w:bCs/>
                <w:sz w:val="16"/>
                <w:szCs w:val="16"/>
                <w:lang w:eastAsia="pt-BR"/>
              </w:rPr>
              <w:t>DVP.D013</w:t>
            </w:r>
          </w:p>
        </w:tc>
        <w:tc>
          <w:tcPr>
            <w:tcW w:w="1134" w:type="dxa"/>
            <w:tcBorders>
              <w:top w:val="nil"/>
              <w:left w:val="nil"/>
              <w:bottom w:val="nil"/>
              <w:right w:val="single" w:sz="8" w:space="0" w:color="auto"/>
            </w:tcBorders>
            <w:shd w:val="clear" w:color="auto" w:fill="auto"/>
            <w:noWrap/>
            <w:vAlign w:val="center"/>
            <w:hideMark/>
          </w:tcPr>
          <w:p w14:paraId="43EAE83B" w14:textId="77777777" w:rsidR="009C57B5" w:rsidRPr="001118B5" w:rsidRDefault="009C57B5" w:rsidP="00E67116">
            <w:pPr>
              <w:spacing w:after="0" w:line="240" w:lineRule="auto"/>
              <w:jc w:val="center"/>
              <w:rPr>
                <w:rFonts w:ascii="Arial Narrow" w:eastAsia="Times New Roman" w:hAnsi="Arial Narrow" w:cs="Arial"/>
                <w:b/>
                <w:bCs/>
                <w:sz w:val="16"/>
                <w:szCs w:val="16"/>
                <w:lang w:eastAsia="pt-BR"/>
              </w:rPr>
            </w:pPr>
            <w:r w:rsidRPr="001118B5">
              <w:rPr>
                <w:rFonts w:ascii="Arial Narrow" w:eastAsia="Times New Roman" w:hAnsi="Arial Narrow" w:cs="Arial"/>
                <w:b/>
                <w:bCs/>
                <w:sz w:val="16"/>
                <w:szCs w:val="16"/>
                <w:lang w:eastAsia="pt-BR"/>
              </w:rPr>
              <w:t>DVP.E013</w:t>
            </w:r>
          </w:p>
        </w:tc>
        <w:tc>
          <w:tcPr>
            <w:tcW w:w="4346" w:type="dxa"/>
            <w:tcBorders>
              <w:top w:val="nil"/>
              <w:left w:val="nil"/>
              <w:bottom w:val="nil"/>
            </w:tcBorders>
            <w:shd w:val="clear" w:color="auto" w:fill="auto"/>
            <w:noWrap/>
            <w:vAlign w:val="center"/>
            <w:hideMark/>
          </w:tcPr>
          <w:p w14:paraId="25DBF228" w14:textId="77777777" w:rsidR="009C57B5" w:rsidRPr="001118B5" w:rsidRDefault="009C57B5" w:rsidP="00E67116">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Outras Variações Patrimonais Diminutivas - Pessoal e Encargos</w:t>
            </w:r>
          </w:p>
        </w:tc>
        <w:tc>
          <w:tcPr>
            <w:tcW w:w="846" w:type="dxa"/>
            <w:tcBorders>
              <w:top w:val="nil"/>
              <w:bottom w:val="nil"/>
              <w:right w:val="single" w:sz="8" w:space="0" w:color="auto"/>
            </w:tcBorders>
            <w:shd w:val="clear" w:color="auto" w:fill="auto"/>
            <w:noWrap/>
            <w:vAlign w:val="center"/>
          </w:tcPr>
          <w:p w14:paraId="01E5B064" w14:textId="77777777" w:rsidR="009C57B5" w:rsidRPr="001118B5" w:rsidRDefault="009C57B5" w:rsidP="00E67116">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63ACA738" w14:textId="77777777" w:rsidR="009C57B5" w:rsidRPr="001118B5" w:rsidRDefault="009C57B5"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DVP.H013</w:t>
            </w:r>
          </w:p>
        </w:tc>
        <w:tc>
          <w:tcPr>
            <w:tcW w:w="1120" w:type="dxa"/>
            <w:tcBorders>
              <w:top w:val="nil"/>
              <w:left w:val="nil"/>
              <w:bottom w:val="nil"/>
              <w:right w:val="single" w:sz="8" w:space="0" w:color="auto"/>
            </w:tcBorders>
            <w:shd w:val="clear" w:color="auto" w:fill="auto"/>
            <w:noWrap/>
            <w:vAlign w:val="center"/>
            <w:hideMark/>
          </w:tcPr>
          <w:p w14:paraId="719806B4" w14:textId="77777777" w:rsidR="009C57B5" w:rsidRPr="001118B5" w:rsidRDefault="009C57B5"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DVP.I013</w:t>
            </w:r>
          </w:p>
        </w:tc>
      </w:tr>
      <w:tr w:rsidR="009C57B5" w:rsidRPr="001118B5" w14:paraId="7D07D704" w14:textId="77777777" w:rsidTr="00E67116">
        <w:trPr>
          <w:trHeight w:val="255"/>
        </w:trPr>
        <w:tc>
          <w:tcPr>
            <w:tcW w:w="4410" w:type="dxa"/>
            <w:tcBorders>
              <w:top w:val="nil"/>
              <w:left w:val="single" w:sz="8" w:space="0" w:color="auto"/>
              <w:bottom w:val="nil"/>
            </w:tcBorders>
            <w:shd w:val="clear" w:color="auto" w:fill="auto"/>
            <w:noWrap/>
            <w:vAlign w:val="center"/>
            <w:hideMark/>
          </w:tcPr>
          <w:p w14:paraId="4E24C712" w14:textId="77777777" w:rsidR="009C57B5" w:rsidRPr="001118B5" w:rsidRDefault="009C57B5" w:rsidP="00E67116">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Contribuições Sociais</w:t>
            </w:r>
          </w:p>
        </w:tc>
        <w:tc>
          <w:tcPr>
            <w:tcW w:w="835" w:type="dxa"/>
            <w:tcBorders>
              <w:top w:val="nil"/>
              <w:bottom w:val="nil"/>
              <w:right w:val="single" w:sz="8" w:space="0" w:color="auto"/>
            </w:tcBorders>
            <w:shd w:val="clear" w:color="auto" w:fill="auto"/>
            <w:noWrap/>
            <w:vAlign w:val="center"/>
          </w:tcPr>
          <w:p w14:paraId="73F5CDC9" w14:textId="77777777" w:rsidR="009C57B5" w:rsidRPr="001118B5" w:rsidRDefault="009C57B5" w:rsidP="00E67116">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37E48677" w14:textId="77777777" w:rsidR="009C57B5" w:rsidRPr="001118B5" w:rsidRDefault="009C57B5"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DVP.D014</w:t>
            </w:r>
          </w:p>
        </w:tc>
        <w:tc>
          <w:tcPr>
            <w:tcW w:w="1134" w:type="dxa"/>
            <w:tcBorders>
              <w:top w:val="nil"/>
              <w:left w:val="nil"/>
              <w:bottom w:val="nil"/>
              <w:right w:val="single" w:sz="8" w:space="0" w:color="auto"/>
            </w:tcBorders>
            <w:shd w:val="clear" w:color="auto" w:fill="auto"/>
            <w:noWrap/>
            <w:vAlign w:val="center"/>
            <w:hideMark/>
          </w:tcPr>
          <w:p w14:paraId="5507532E" w14:textId="77777777" w:rsidR="009C57B5" w:rsidRPr="001118B5" w:rsidRDefault="009C57B5"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DVP.E014</w:t>
            </w:r>
          </w:p>
        </w:tc>
        <w:tc>
          <w:tcPr>
            <w:tcW w:w="4346" w:type="dxa"/>
            <w:tcBorders>
              <w:top w:val="nil"/>
              <w:left w:val="nil"/>
              <w:bottom w:val="nil"/>
            </w:tcBorders>
            <w:shd w:val="clear" w:color="auto" w:fill="auto"/>
            <w:noWrap/>
            <w:vAlign w:val="center"/>
            <w:hideMark/>
          </w:tcPr>
          <w:p w14:paraId="150EDE49" w14:textId="77777777" w:rsidR="009C57B5" w:rsidRPr="001118B5" w:rsidRDefault="009C57B5" w:rsidP="00E67116">
            <w:pPr>
              <w:spacing w:after="0" w:line="240" w:lineRule="auto"/>
              <w:rPr>
                <w:rFonts w:ascii="Arial Narrow" w:eastAsia="Times New Roman" w:hAnsi="Arial Narrow" w:cs="Arial"/>
                <w:b/>
                <w:bCs/>
                <w:sz w:val="16"/>
                <w:szCs w:val="16"/>
                <w:u w:val="single"/>
                <w:lang w:eastAsia="pt-BR"/>
              </w:rPr>
            </w:pPr>
            <w:r w:rsidRPr="001118B5">
              <w:rPr>
                <w:rFonts w:ascii="Arial Narrow" w:eastAsia="Times New Roman" w:hAnsi="Arial Narrow" w:cs="Arial"/>
                <w:b/>
                <w:bCs/>
                <w:sz w:val="16"/>
                <w:szCs w:val="16"/>
                <w:u w:val="single"/>
                <w:lang w:eastAsia="pt-BR"/>
              </w:rPr>
              <w:t>Benefícios Previdenciários e Assistenciais</w:t>
            </w:r>
          </w:p>
        </w:tc>
        <w:tc>
          <w:tcPr>
            <w:tcW w:w="846" w:type="dxa"/>
            <w:tcBorders>
              <w:top w:val="nil"/>
              <w:bottom w:val="nil"/>
              <w:right w:val="single" w:sz="8" w:space="0" w:color="auto"/>
            </w:tcBorders>
            <w:shd w:val="clear" w:color="auto" w:fill="auto"/>
            <w:noWrap/>
            <w:vAlign w:val="center"/>
          </w:tcPr>
          <w:p w14:paraId="76725070" w14:textId="77777777" w:rsidR="009C57B5" w:rsidRPr="001118B5" w:rsidRDefault="009C57B5" w:rsidP="00E67116">
            <w:pPr>
              <w:spacing w:after="0" w:line="240" w:lineRule="auto"/>
              <w:jc w:val="center"/>
              <w:rPr>
                <w:rFonts w:ascii="Arial Narrow" w:eastAsia="Times New Roman" w:hAnsi="Arial Narrow" w:cs="Arial"/>
                <w:b/>
                <w:bCs/>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1A84C230" w14:textId="77777777" w:rsidR="009C57B5" w:rsidRPr="001118B5" w:rsidRDefault="009C57B5" w:rsidP="00E67116">
            <w:pPr>
              <w:spacing w:after="0" w:line="240" w:lineRule="auto"/>
              <w:jc w:val="center"/>
              <w:rPr>
                <w:rFonts w:ascii="Arial Narrow" w:eastAsia="Times New Roman" w:hAnsi="Arial Narrow" w:cs="Arial"/>
                <w:b/>
                <w:bCs/>
                <w:sz w:val="16"/>
                <w:szCs w:val="16"/>
                <w:lang w:eastAsia="pt-BR"/>
              </w:rPr>
            </w:pPr>
            <w:r w:rsidRPr="001118B5">
              <w:rPr>
                <w:rFonts w:ascii="Arial Narrow" w:eastAsia="Times New Roman" w:hAnsi="Arial Narrow" w:cs="Arial"/>
                <w:b/>
                <w:bCs/>
                <w:sz w:val="16"/>
                <w:szCs w:val="16"/>
                <w:lang w:eastAsia="pt-BR"/>
              </w:rPr>
              <w:t>DVP.H014</w:t>
            </w:r>
          </w:p>
        </w:tc>
        <w:tc>
          <w:tcPr>
            <w:tcW w:w="1120" w:type="dxa"/>
            <w:tcBorders>
              <w:top w:val="nil"/>
              <w:left w:val="nil"/>
              <w:bottom w:val="nil"/>
              <w:right w:val="single" w:sz="8" w:space="0" w:color="auto"/>
            </w:tcBorders>
            <w:shd w:val="clear" w:color="auto" w:fill="auto"/>
            <w:noWrap/>
            <w:vAlign w:val="center"/>
            <w:hideMark/>
          </w:tcPr>
          <w:p w14:paraId="721A7BAF" w14:textId="77777777" w:rsidR="009C57B5" w:rsidRPr="001118B5" w:rsidRDefault="009C57B5" w:rsidP="00E67116">
            <w:pPr>
              <w:spacing w:after="0" w:line="240" w:lineRule="auto"/>
              <w:jc w:val="center"/>
              <w:rPr>
                <w:rFonts w:ascii="Arial Narrow" w:eastAsia="Times New Roman" w:hAnsi="Arial Narrow" w:cs="Arial"/>
                <w:b/>
                <w:bCs/>
                <w:sz w:val="16"/>
                <w:szCs w:val="16"/>
                <w:lang w:eastAsia="pt-BR"/>
              </w:rPr>
            </w:pPr>
            <w:r w:rsidRPr="001118B5">
              <w:rPr>
                <w:rFonts w:ascii="Arial Narrow" w:eastAsia="Times New Roman" w:hAnsi="Arial Narrow" w:cs="Arial"/>
                <w:b/>
                <w:bCs/>
                <w:sz w:val="16"/>
                <w:szCs w:val="16"/>
                <w:lang w:eastAsia="pt-BR"/>
              </w:rPr>
              <w:t>DVP.I014</w:t>
            </w:r>
          </w:p>
        </w:tc>
      </w:tr>
      <w:tr w:rsidR="009C57B5" w:rsidRPr="001118B5" w14:paraId="21EF0902" w14:textId="77777777" w:rsidTr="00E67116">
        <w:trPr>
          <w:trHeight w:val="240"/>
        </w:trPr>
        <w:tc>
          <w:tcPr>
            <w:tcW w:w="4410" w:type="dxa"/>
            <w:tcBorders>
              <w:top w:val="nil"/>
              <w:left w:val="single" w:sz="8" w:space="0" w:color="auto"/>
              <w:bottom w:val="nil"/>
            </w:tcBorders>
            <w:shd w:val="clear" w:color="auto" w:fill="auto"/>
            <w:noWrap/>
            <w:vAlign w:val="center"/>
            <w:hideMark/>
          </w:tcPr>
          <w:p w14:paraId="30D0AAC4" w14:textId="77777777" w:rsidR="009C57B5" w:rsidRPr="001118B5" w:rsidRDefault="009C57B5" w:rsidP="00E67116">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Contribuições de Intervenção no Domínio Econômico</w:t>
            </w:r>
          </w:p>
        </w:tc>
        <w:tc>
          <w:tcPr>
            <w:tcW w:w="835" w:type="dxa"/>
            <w:tcBorders>
              <w:top w:val="nil"/>
              <w:bottom w:val="nil"/>
              <w:right w:val="single" w:sz="8" w:space="0" w:color="auto"/>
            </w:tcBorders>
            <w:shd w:val="clear" w:color="auto" w:fill="auto"/>
            <w:noWrap/>
            <w:vAlign w:val="center"/>
          </w:tcPr>
          <w:p w14:paraId="5033F3D9" w14:textId="77777777" w:rsidR="009C57B5" w:rsidRPr="001118B5" w:rsidRDefault="009C57B5" w:rsidP="00E67116">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741EB315" w14:textId="77777777" w:rsidR="009C57B5" w:rsidRPr="001118B5" w:rsidRDefault="009C57B5"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DVP.D015</w:t>
            </w:r>
          </w:p>
        </w:tc>
        <w:tc>
          <w:tcPr>
            <w:tcW w:w="1134" w:type="dxa"/>
            <w:tcBorders>
              <w:top w:val="nil"/>
              <w:left w:val="nil"/>
              <w:bottom w:val="nil"/>
              <w:right w:val="single" w:sz="8" w:space="0" w:color="auto"/>
            </w:tcBorders>
            <w:shd w:val="clear" w:color="auto" w:fill="auto"/>
            <w:noWrap/>
            <w:vAlign w:val="center"/>
            <w:hideMark/>
          </w:tcPr>
          <w:p w14:paraId="58C91201" w14:textId="77777777" w:rsidR="009C57B5" w:rsidRPr="001118B5" w:rsidRDefault="009C57B5"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DVP.E015</w:t>
            </w:r>
          </w:p>
        </w:tc>
        <w:tc>
          <w:tcPr>
            <w:tcW w:w="4346" w:type="dxa"/>
            <w:tcBorders>
              <w:top w:val="nil"/>
              <w:left w:val="nil"/>
              <w:bottom w:val="nil"/>
            </w:tcBorders>
            <w:shd w:val="clear" w:color="auto" w:fill="auto"/>
            <w:noWrap/>
            <w:vAlign w:val="center"/>
            <w:hideMark/>
          </w:tcPr>
          <w:p w14:paraId="34C4A76D" w14:textId="77777777" w:rsidR="009C57B5" w:rsidRPr="001118B5" w:rsidRDefault="009C57B5" w:rsidP="00E67116">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Aposentadorias e Reformas</w:t>
            </w:r>
          </w:p>
        </w:tc>
        <w:tc>
          <w:tcPr>
            <w:tcW w:w="846" w:type="dxa"/>
            <w:tcBorders>
              <w:top w:val="nil"/>
              <w:bottom w:val="nil"/>
              <w:right w:val="single" w:sz="8" w:space="0" w:color="auto"/>
            </w:tcBorders>
            <w:shd w:val="clear" w:color="auto" w:fill="auto"/>
            <w:noWrap/>
            <w:vAlign w:val="center"/>
          </w:tcPr>
          <w:p w14:paraId="7757CC1F" w14:textId="77777777" w:rsidR="009C57B5" w:rsidRPr="001118B5" w:rsidRDefault="009C57B5" w:rsidP="00E67116">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7E3EC50F" w14:textId="77777777" w:rsidR="009C57B5" w:rsidRPr="001118B5" w:rsidRDefault="009C57B5"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DVP.H015</w:t>
            </w:r>
          </w:p>
        </w:tc>
        <w:tc>
          <w:tcPr>
            <w:tcW w:w="1120" w:type="dxa"/>
            <w:tcBorders>
              <w:top w:val="nil"/>
              <w:left w:val="nil"/>
              <w:bottom w:val="nil"/>
              <w:right w:val="single" w:sz="8" w:space="0" w:color="auto"/>
            </w:tcBorders>
            <w:shd w:val="clear" w:color="auto" w:fill="auto"/>
            <w:noWrap/>
            <w:vAlign w:val="center"/>
            <w:hideMark/>
          </w:tcPr>
          <w:p w14:paraId="491ABDC5" w14:textId="77777777" w:rsidR="009C57B5" w:rsidRPr="001118B5" w:rsidRDefault="009C57B5"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DVP.I015</w:t>
            </w:r>
          </w:p>
        </w:tc>
      </w:tr>
      <w:tr w:rsidR="009C57B5" w:rsidRPr="001118B5" w14:paraId="1E299343" w14:textId="77777777" w:rsidTr="00E67116">
        <w:trPr>
          <w:trHeight w:val="240"/>
        </w:trPr>
        <w:tc>
          <w:tcPr>
            <w:tcW w:w="4410" w:type="dxa"/>
            <w:tcBorders>
              <w:top w:val="nil"/>
              <w:left w:val="single" w:sz="8" w:space="0" w:color="auto"/>
              <w:bottom w:val="nil"/>
            </w:tcBorders>
            <w:shd w:val="clear" w:color="auto" w:fill="auto"/>
            <w:noWrap/>
            <w:vAlign w:val="center"/>
            <w:hideMark/>
          </w:tcPr>
          <w:p w14:paraId="6A394E6B" w14:textId="77777777" w:rsidR="009C57B5" w:rsidRPr="001118B5" w:rsidRDefault="009C57B5" w:rsidP="00E67116">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Contribuição de Iluminação Pública</w:t>
            </w:r>
          </w:p>
        </w:tc>
        <w:tc>
          <w:tcPr>
            <w:tcW w:w="835" w:type="dxa"/>
            <w:tcBorders>
              <w:top w:val="nil"/>
              <w:bottom w:val="nil"/>
              <w:right w:val="single" w:sz="8" w:space="0" w:color="auto"/>
            </w:tcBorders>
            <w:shd w:val="clear" w:color="auto" w:fill="auto"/>
            <w:noWrap/>
            <w:vAlign w:val="center"/>
          </w:tcPr>
          <w:p w14:paraId="33823DA8" w14:textId="77777777" w:rsidR="009C57B5" w:rsidRPr="001118B5" w:rsidRDefault="009C57B5" w:rsidP="00E67116">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26842741" w14:textId="77777777" w:rsidR="009C57B5" w:rsidRPr="001118B5" w:rsidRDefault="009C57B5"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DVP.D016</w:t>
            </w:r>
          </w:p>
        </w:tc>
        <w:tc>
          <w:tcPr>
            <w:tcW w:w="1134" w:type="dxa"/>
            <w:tcBorders>
              <w:top w:val="nil"/>
              <w:left w:val="nil"/>
              <w:bottom w:val="nil"/>
              <w:right w:val="single" w:sz="8" w:space="0" w:color="auto"/>
            </w:tcBorders>
            <w:shd w:val="clear" w:color="auto" w:fill="auto"/>
            <w:noWrap/>
            <w:vAlign w:val="center"/>
            <w:hideMark/>
          </w:tcPr>
          <w:p w14:paraId="36E2BE8F" w14:textId="77777777" w:rsidR="009C57B5" w:rsidRPr="001118B5" w:rsidRDefault="009C57B5"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DVP.E016</w:t>
            </w:r>
          </w:p>
        </w:tc>
        <w:tc>
          <w:tcPr>
            <w:tcW w:w="4346" w:type="dxa"/>
            <w:tcBorders>
              <w:top w:val="nil"/>
              <w:left w:val="nil"/>
              <w:bottom w:val="nil"/>
            </w:tcBorders>
            <w:shd w:val="clear" w:color="auto" w:fill="auto"/>
            <w:noWrap/>
            <w:vAlign w:val="center"/>
            <w:hideMark/>
          </w:tcPr>
          <w:p w14:paraId="33B5348A" w14:textId="77777777" w:rsidR="009C57B5" w:rsidRPr="001118B5" w:rsidRDefault="009C57B5" w:rsidP="00E67116">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Pensões</w:t>
            </w:r>
          </w:p>
        </w:tc>
        <w:tc>
          <w:tcPr>
            <w:tcW w:w="846" w:type="dxa"/>
            <w:tcBorders>
              <w:top w:val="nil"/>
              <w:bottom w:val="nil"/>
              <w:right w:val="single" w:sz="8" w:space="0" w:color="auto"/>
            </w:tcBorders>
            <w:shd w:val="clear" w:color="auto" w:fill="auto"/>
            <w:noWrap/>
            <w:vAlign w:val="center"/>
          </w:tcPr>
          <w:p w14:paraId="49AD5BA3" w14:textId="77777777" w:rsidR="009C57B5" w:rsidRPr="001118B5" w:rsidRDefault="009C57B5" w:rsidP="00E67116">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1AA15D53" w14:textId="77777777" w:rsidR="009C57B5" w:rsidRPr="001118B5" w:rsidRDefault="009C57B5"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DVP.H016</w:t>
            </w:r>
          </w:p>
        </w:tc>
        <w:tc>
          <w:tcPr>
            <w:tcW w:w="1120" w:type="dxa"/>
            <w:tcBorders>
              <w:top w:val="nil"/>
              <w:left w:val="nil"/>
              <w:bottom w:val="nil"/>
              <w:right w:val="single" w:sz="8" w:space="0" w:color="auto"/>
            </w:tcBorders>
            <w:shd w:val="clear" w:color="auto" w:fill="auto"/>
            <w:noWrap/>
            <w:vAlign w:val="center"/>
            <w:hideMark/>
          </w:tcPr>
          <w:p w14:paraId="3B85FC37" w14:textId="77777777" w:rsidR="009C57B5" w:rsidRPr="001118B5" w:rsidRDefault="009C57B5"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DVP.I016</w:t>
            </w:r>
          </w:p>
        </w:tc>
      </w:tr>
      <w:tr w:rsidR="009C57B5" w:rsidRPr="001118B5" w14:paraId="63C02BE3" w14:textId="77777777" w:rsidTr="00E67116">
        <w:trPr>
          <w:trHeight w:val="240"/>
        </w:trPr>
        <w:tc>
          <w:tcPr>
            <w:tcW w:w="4410" w:type="dxa"/>
            <w:tcBorders>
              <w:top w:val="nil"/>
              <w:left w:val="single" w:sz="8" w:space="0" w:color="auto"/>
              <w:bottom w:val="nil"/>
            </w:tcBorders>
            <w:shd w:val="clear" w:color="auto" w:fill="auto"/>
            <w:noWrap/>
            <w:vAlign w:val="center"/>
            <w:hideMark/>
          </w:tcPr>
          <w:p w14:paraId="3C033D8B" w14:textId="77777777" w:rsidR="009C57B5" w:rsidRPr="001118B5" w:rsidRDefault="009C57B5" w:rsidP="00E67116">
            <w:pPr>
              <w:spacing w:after="0" w:line="240" w:lineRule="auto"/>
              <w:rPr>
                <w:rFonts w:ascii="Arial Narrow" w:eastAsia="Times New Roman" w:hAnsi="Arial Narrow" w:cs="Arial"/>
                <w:b/>
                <w:bCs/>
                <w:sz w:val="16"/>
                <w:szCs w:val="16"/>
                <w:u w:val="single"/>
                <w:lang w:eastAsia="pt-BR"/>
              </w:rPr>
            </w:pPr>
            <w:r w:rsidRPr="001118B5">
              <w:rPr>
                <w:rFonts w:ascii="Arial Narrow" w:eastAsia="Times New Roman" w:hAnsi="Arial Narrow" w:cs="Arial"/>
                <w:b/>
                <w:bCs/>
                <w:sz w:val="16"/>
                <w:szCs w:val="16"/>
                <w:u w:val="single"/>
                <w:lang w:eastAsia="pt-BR"/>
              </w:rPr>
              <w:t>Exploração e Venda de Bens, Serviços e Direitos</w:t>
            </w:r>
          </w:p>
        </w:tc>
        <w:tc>
          <w:tcPr>
            <w:tcW w:w="835" w:type="dxa"/>
            <w:tcBorders>
              <w:top w:val="nil"/>
              <w:bottom w:val="nil"/>
              <w:right w:val="single" w:sz="8" w:space="0" w:color="auto"/>
            </w:tcBorders>
            <w:shd w:val="clear" w:color="auto" w:fill="auto"/>
            <w:noWrap/>
            <w:vAlign w:val="center"/>
          </w:tcPr>
          <w:p w14:paraId="635CCCEB" w14:textId="77777777" w:rsidR="009C57B5" w:rsidRPr="001118B5" w:rsidRDefault="009C57B5" w:rsidP="00E67116">
            <w:pPr>
              <w:spacing w:after="0" w:line="240" w:lineRule="auto"/>
              <w:jc w:val="center"/>
              <w:rPr>
                <w:rFonts w:ascii="Arial Narrow" w:eastAsia="Times New Roman" w:hAnsi="Arial Narrow" w:cs="Arial"/>
                <w:b/>
                <w:bCs/>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7A2E41E3" w14:textId="77777777" w:rsidR="009C57B5" w:rsidRPr="001118B5" w:rsidRDefault="009C57B5" w:rsidP="00E67116">
            <w:pPr>
              <w:spacing w:after="0" w:line="240" w:lineRule="auto"/>
              <w:jc w:val="center"/>
              <w:rPr>
                <w:rFonts w:ascii="Arial Narrow" w:eastAsia="Times New Roman" w:hAnsi="Arial Narrow" w:cs="Arial"/>
                <w:b/>
                <w:bCs/>
                <w:sz w:val="16"/>
                <w:szCs w:val="16"/>
                <w:lang w:eastAsia="pt-BR"/>
              </w:rPr>
            </w:pPr>
            <w:r w:rsidRPr="001118B5">
              <w:rPr>
                <w:rFonts w:ascii="Arial Narrow" w:eastAsia="Times New Roman" w:hAnsi="Arial Narrow" w:cs="Arial"/>
                <w:b/>
                <w:bCs/>
                <w:sz w:val="16"/>
                <w:szCs w:val="16"/>
                <w:lang w:eastAsia="pt-BR"/>
              </w:rPr>
              <w:t>DVP.D017</w:t>
            </w:r>
          </w:p>
        </w:tc>
        <w:tc>
          <w:tcPr>
            <w:tcW w:w="1134" w:type="dxa"/>
            <w:tcBorders>
              <w:top w:val="nil"/>
              <w:left w:val="nil"/>
              <w:bottom w:val="nil"/>
              <w:right w:val="single" w:sz="8" w:space="0" w:color="auto"/>
            </w:tcBorders>
            <w:shd w:val="clear" w:color="auto" w:fill="auto"/>
            <w:noWrap/>
            <w:vAlign w:val="center"/>
            <w:hideMark/>
          </w:tcPr>
          <w:p w14:paraId="5BA29E98" w14:textId="77777777" w:rsidR="009C57B5" w:rsidRPr="001118B5" w:rsidRDefault="009C57B5" w:rsidP="00E67116">
            <w:pPr>
              <w:spacing w:after="0" w:line="240" w:lineRule="auto"/>
              <w:jc w:val="center"/>
              <w:rPr>
                <w:rFonts w:ascii="Arial Narrow" w:eastAsia="Times New Roman" w:hAnsi="Arial Narrow" w:cs="Arial"/>
                <w:b/>
                <w:bCs/>
                <w:sz w:val="16"/>
                <w:szCs w:val="16"/>
                <w:lang w:eastAsia="pt-BR"/>
              </w:rPr>
            </w:pPr>
            <w:r w:rsidRPr="001118B5">
              <w:rPr>
                <w:rFonts w:ascii="Arial Narrow" w:eastAsia="Times New Roman" w:hAnsi="Arial Narrow" w:cs="Arial"/>
                <w:b/>
                <w:bCs/>
                <w:sz w:val="16"/>
                <w:szCs w:val="16"/>
                <w:lang w:eastAsia="pt-BR"/>
              </w:rPr>
              <w:t>DVP.E017</w:t>
            </w:r>
          </w:p>
        </w:tc>
        <w:tc>
          <w:tcPr>
            <w:tcW w:w="4346" w:type="dxa"/>
            <w:tcBorders>
              <w:top w:val="nil"/>
              <w:left w:val="nil"/>
              <w:bottom w:val="nil"/>
            </w:tcBorders>
            <w:shd w:val="clear" w:color="auto" w:fill="auto"/>
            <w:noWrap/>
            <w:vAlign w:val="center"/>
            <w:hideMark/>
          </w:tcPr>
          <w:p w14:paraId="08AB1440" w14:textId="77777777" w:rsidR="009C57B5" w:rsidRPr="001118B5" w:rsidRDefault="009C57B5" w:rsidP="00E67116">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Benefícios de Prestação Continuada</w:t>
            </w:r>
          </w:p>
        </w:tc>
        <w:tc>
          <w:tcPr>
            <w:tcW w:w="846" w:type="dxa"/>
            <w:tcBorders>
              <w:top w:val="nil"/>
              <w:bottom w:val="nil"/>
              <w:right w:val="single" w:sz="8" w:space="0" w:color="auto"/>
            </w:tcBorders>
            <w:shd w:val="clear" w:color="auto" w:fill="auto"/>
            <w:noWrap/>
            <w:vAlign w:val="center"/>
          </w:tcPr>
          <w:p w14:paraId="2634855D" w14:textId="77777777" w:rsidR="009C57B5" w:rsidRPr="001118B5" w:rsidRDefault="009C57B5" w:rsidP="00E67116">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47ECF768" w14:textId="77777777" w:rsidR="009C57B5" w:rsidRPr="001118B5" w:rsidRDefault="009C57B5"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DVP.H017</w:t>
            </w:r>
          </w:p>
        </w:tc>
        <w:tc>
          <w:tcPr>
            <w:tcW w:w="1120" w:type="dxa"/>
            <w:tcBorders>
              <w:top w:val="nil"/>
              <w:left w:val="nil"/>
              <w:bottom w:val="nil"/>
              <w:right w:val="single" w:sz="8" w:space="0" w:color="auto"/>
            </w:tcBorders>
            <w:shd w:val="clear" w:color="auto" w:fill="auto"/>
            <w:noWrap/>
            <w:vAlign w:val="center"/>
            <w:hideMark/>
          </w:tcPr>
          <w:p w14:paraId="68DC3A94" w14:textId="77777777" w:rsidR="009C57B5" w:rsidRPr="001118B5" w:rsidRDefault="009C57B5"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DVP.I017</w:t>
            </w:r>
          </w:p>
        </w:tc>
      </w:tr>
      <w:tr w:rsidR="009C57B5" w:rsidRPr="001118B5" w14:paraId="7086C16F" w14:textId="77777777" w:rsidTr="00E67116">
        <w:trPr>
          <w:trHeight w:val="255"/>
        </w:trPr>
        <w:tc>
          <w:tcPr>
            <w:tcW w:w="4410" w:type="dxa"/>
            <w:tcBorders>
              <w:top w:val="nil"/>
              <w:left w:val="single" w:sz="8" w:space="0" w:color="auto"/>
              <w:bottom w:val="nil"/>
            </w:tcBorders>
            <w:shd w:val="clear" w:color="auto" w:fill="auto"/>
            <w:noWrap/>
            <w:vAlign w:val="center"/>
            <w:hideMark/>
          </w:tcPr>
          <w:p w14:paraId="5E60816C" w14:textId="77777777" w:rsidR="009C57B5" w:rsidRPr="001118B5" w:rsidRDefault="009C57B5" w:rsidP="00E67116">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Vendas de Mercadorias</w:t>
            </w:r>
          </w:p>
        </w:tc>
        <w:tc>
          <w:tcPr>
            <w:tcW w:w="835" w:type="dxa"/>
            <w:tcBorders>
              <w:top w:val="nil"/>
              <w:right w:val="single" w:sz="8" w:space="0" w:color="auto"/>
            </w:tcBorders>
            <w:shd w:val="clear" w:color="auto" w:fill="auto"/>
            <w:noWrap/>
            <w:vAlign w:val="center"/>
          </w:tcPr>
          <w:p w14:paraId="375203E5" w14:textId="77777777" w:rsidR="009C57B5" w:rsidRPr="001118B5" w:rsidRDefault="009C57B5" w:rsidP="00E67116">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606C451A" w14:textId="77777777" w:rsidR="009C57B5" w:rsidRPr="001118B5" w:rsidRDefault="009C57B5"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DVP.D018</w:t>
            </w:r>
          </w:p>
        </w:tc>
        <w:tc>
          <w:tcPr>
            <w:tcW w:w="1134" w:type="dxa"/>
            <w:tcBorders>
              <w:top w:val="nil"/>
              <w:left w:val="nil"/>
              <w:bottom w:val="nil"/>
              <w:right w:val="single" w:sz="8" w:space="0" w:color="auto"/>
            </w:tcBorders>
            <w:shd w:val="clear" w:color="auto" w:fill="auto"/>
            <w:noWrap/>
            <w:vAlign w:val="center"/>
            <w:hideMark/>
          </w:tcPr>
          <w:p w14:paraId="34A3D947" w14:textId="77777777" w:rsidR="009C57B5" w:rsidRPr="001118B5" w:rsidRDefault="009C57B5"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DVP.E018</w:t>
            </w:r>
          </w:p>
        </w:tc>
        <w:tc>
          <w:tcPr>
            <w:tcW w:w="4346" w:type="dxa"/>
            <w:tcBorders>
              <w:top w:val="nil"/>
              <w:left w:val="nil"/>
              <w:bottom w:val="nil"/>
            </w:tcBorders>
            <w:shd w:val="clear" w:color="auto" w:fill="auto"/>
            <w:noWrap/>
            <w:vAlign w:val="center"/>
            <w:hideMark/>
          </w:tcPr>
          <w:p w14:paraId="0CD342AD" w14:textId="77777777" w:rsidR="009C57B5" w:rsidRPr="001118B5" w:rsidRDefault="009C57B5" w:rsidP="00E67116">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Benefícios Eventuais</w:t>
            </w:r>
          </w:p>
        </w:tc>
        <w:tc>
          <w:tcPr>
            <w:tcW w:w="846" w:type="dxa"/>
            <w:tcBorders>
              <w:top w:val="nil"/>
              <w:bottom w:val="nil"/>
              <w:right w:val="single" w:sz="8" w:space="0" w:color="auto"/>
            </w:tcBorders>
            <w:shd w:val="clear" w:color="auto" w:fill="auto"/>
            <w:noWrap/>
            <w:vAlign w:val="center"/>
          </w:tcPr>
          <w:p w14:paraId="1FB19E12" w14:textId="77777777" w:rsidR="009C57B5" w:rsidRPr="001118B5" w:rsidRDefault="009C57B5" w:rsidP="00E67116">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7C09ED5B" w14:textId="77777777" w:rsidR="009C57B5" w:rsidRPr="001118B5" w:rsidRDefault="009C57B5"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DVP.H018</w:t>
            </w:r>
          </w:p>
        </w:tc>
        <w:tc>
          <w:tcPr>
            <w:tcW w:w="1120" w:type="dxa"/>
            <w:tcBorders>
              <w:top w:val="nil"/>
              <w:left w:val="nil"/>
              <w:bottom w:val="nil"/>
              <w:right w:val="single" w:sz="8" w:space="0" w:color="auto"/>
            </w:tcBorders>
            <w:shd w:val="clear" w:color="auto" w:fill="auto"/>
            <w:noWrap/>
            <w:vAlign w:val="center"/>
            <w:hideMark/>
          </w:tcPr>
          <w:p w14:paraId="23E3AD94" w14:textId="77777777" w:rsidR="009C57B5" w:rsidRPr="001118B5" w:rsidRDefault="009C57B5"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DVP.I018</w:t>
            </w:r>
          </w:p>
        </w:tc>
      </w:tr>
      <w:tr w:rsidR="009C57B5" w:rsidRPr="001118B5" w14:paraId="2C88A255" w14:textId="77777777" w:rsidTr="00E67116">
        <w:trPr>
          <w:trHeight w:val="240"/>
        </w:trPr>
        <w:tc>
          <w:tcPr>
            <w:tcW w:w="4410" w:type="dxa"/>
            <w:tcBorders>
              <w:top w:val="nil"/>
              <w:left w:val="single" w:sz="8" w:space="0" w:color="auto"/>
              <w:bottom w:val="nil"/>
            </w:tcBorders>
            <w:shd w:val="clear" w:color="auto" w:fill="auto"/>
            <w:noWrap/>
            <w:vAlign w:val="center"/>
            <w:hideMark/>
          </w:tcPr>
          <w:p w14:paraId="7CB7A1C7" w14:textId="77777777" w:rsidR="009C57B5" w:rsidRPr="001118B5" w:rsidRDefault="009C57B5" w:rsidP="00E67116">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Vendas de Produtos</w:t>
            </w:r>
          </w:p>
        </w:tc>
        <w:tc>
          <w:tcPr>
            <w:tcW w:w="835" w:type="dxa"/>
            <w:tcBorders>
              <w:top w:val="nil"/>
              <w:bottom w:val="nil"/>
              <w:right w:val="single" w:sz="8" w:space="0" w:color="auto"/>
            </w:tcBorders>
            <w:shd w:val="clear" w:color="auto" w:fill="auto"/>
            <w:noWrap/>
            <w:vAlign w:val="center"/>
          </w:tcPr>
          <w:p w14:paraId="2BC64335" w14:textId="77777777" w:rsidR="009C57B5" w:rsidRPr="001118B5" w:rsidRDefault="009C57B5" w:rsidP="00E67116">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700D2217" w14:textId="77777777" w:rsidR="009C57B5" w:rsidRPr="001118B5" w:rsidRDefault="009C57B5"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DVP.D019</w:t>
            </w:r>
          </w:p>
        </w:tc>
        <w:tc>
          <w:tcPr>
            <w:tcW w:w="1134" w:type="dxa"/>
            <w:tcBorders>
              <w:top w:val="nil"/>
              <w:left w:val="nil"/>
              <w:bottom w:val="nil"/>
              <w:right w:val="single" w:sz="8" w:space="0" w:color="auto"/>
            </w:tcBorders>
            <w:shd w:val="clear" w:color="auto" w:fill="auto"/>
            <w:noWrap/>
            <w:vAlign w:val="center"/>
            <w:hideMark/>
          </w:tcPr>
          <w:p w14:paraId="42E1C464" w14:textId="77777777" w:rsidR="009C57B5" w:rsidRPr="001118B5" w:rsidRDefault="009C57B5"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DVP.E019</w:t>
            </w:r>
          </w:p>
        </w:tc>
        <w:tc>
          <w:tcPr>
            <w:tcW w:w="4346" w:type="dxa"/>
            <w:tcBorders>
              <w:top w:val="nil"/>
              <w:left w:val="nil"/>
              <w:bottom w:val="nil"/>
            </w:tcBorders>
            <w:shd w:val="clear" w:color="auto" w:fill="auto"/>
            <w:noWrap/>
            <w:vAlign w:val="center"/>
            <w:hideMark/>
          </w:tcPr>
          <w:p w14:paraId="6A3809DD" w14:textId="77777777" w:rsidR="009C57B5" w:rsidRPr="001118B5" w:rsidRDefault="009C57B5" w:rsidP="00E67116">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Políticas Públicas de Transferência de Renda</w:t>
            </w:r>
          </w:p>
        </w:tc>
        <w:tc>
          <w:tcPr>
            <w:tcW w:w="846" w:type="dxa"/>
            <w:tcBorders>
              <w:top w:val="nil"/>
              <w:bottom w:val="nil"/>
              <w:right w:val="single" w:sz="8" w:space="0" w:color="auto"/>
            </w:tcBorders>
            <w:shd w:val="clear" w:color="auto" w:fill="auto"/>
            <w:noWrap/>
            <w:vAlign w:val="center"/>
          </w:tcPr>
          <w:p w14:paraId="02DF65D0" w14:textId="77777777" w:rsidR="009C57B5" w:rsidRPr="001118B5" w:rsidRDefault="009C57B5" w:rsidP="00E67116">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4F51A013" w14:textId="77777777" w:rsidR="009C57B5" w:rsidRPr="001118B5" w:rsidRDefault="009C57B5"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DVP.H019</w:t>
            </w:r>
          </w:p>
        </w:tc>
        <w:tc>
          <w:tcPr>
            <w:tcW w:w="1120" w:type="dxa"/>
            <w:tcBorders>
              <w:top w:val="nil"/>
              <w:left w:val="nil"/>
              <w:bottom w:val="nil"/>
              <w:right w:val="single" w:sz="8" w:space="0" w:color="auto"/>
            </w:tcBorders>
            <w:shd w:val="clear" w:color="auto" w:fill="auto"/>
            <w:noWrap/>
            <w:vAlign w:val="center"/>
            <w:hideMark/>
          </w:tcPr>
          <w:p w14:paraId="0976C5A3" w14:textId="77777777" w:rsidR="009C57B5" w:rsidRPr="001118B5" w:rsidRDefault="009C57B5"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DVP.I019</w:t>
            </w:r>
          </w:p>
        </w:tc>
      </w:tr>
      <w:tr w:rsidR="009C57B5" w:rsidRPr="001118B5" w14:paraId="781CB58C" w14:textId="77777777" w:rsidTr="00E67116">
        <w:trPr>
          <w:trHeight w:val="240"/>
        </w:trPr>
        <w:tc>
          <w:tcPr>
            <w:tcW w:w="4410" w:type="dxa"/>
            <w:tcBorders>
              <w:top w:val="nil"/>
              <w:left w:val="single" w:sz="8" w:space="0" w:color="auto"/>
              <w:bottom w:val="nil"/>
            </w:tcBorders>
            <w:shd w:val="clear" w:color="auto" w:fill="auto"/>
            <w:noWrap/>
            <w:vAlign w:val="center"/>
            <w:hideMark/>
          </w:tcPr>
          <w:p w14:paraId="10C85F7D" w14:textId="77777777" w:rsidR="009C57B5" w:rsidRPr="001118B5" w:rsidRDefault="009C57B5" w:rsidP="00E67116">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Exploração de Bens, Direitos e Prestação de Serviços</w:t>
            </w:r>
          </w:p>
        </w:tc>
        <w:tc>
          <w:tcPr>
            <w:tcW w:w="835" w:type="dxa"/>
            <w:tcBorders>
              <w:top w:val="nil"/>
              <w:bottom w:val="nil"/>
              <w:right w:val="single" w:sz="8" w:space="0" w:color="auto"/>
            </w:tcBorders>
            <w:shd w:val="clear" w:color="auto" w:fill="auto"/>
            <w:noWrap/>
            <w:vAlign w:val="center"/>
          </w:tcPr>
          <w:p w14:paraId="7203F242" w14:textId="77777777" w:rsidR="009C57B5" w:rsidRPr="001118B5" w:rsidRDefault="009C57B5" w:rsidP="00E67116">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1C71C27E" w14:textId="77777777" w:rsidR="009C57B5" w:rsidRPr="001118B5" w:rsidRDefault="009C57B5"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DVP.D020</w:t>
            </w:r>
          </w:p>
        </w:tc>
        <w:tc>
          <w:tcPr>
            <w:tcW w:w="1134" w:type="dxa"/>
            <w:tcBorders>
              <w:top w:val="nil"/>
              <w:left w:val="nil"/>
              <w:bottom w:val="nil"/>
              <w:right w:val="single" w:sz="8" w:space="0" w:color="auto"/>
            </w:tcBorders>
            <w:shd w:val="clear" w:color="auto" w:fill="auto"/>
            <w:noWrap/>
            <w:vAlign w:val="center"/>
            <w:hideMark/>
          </w:tcPr>
          <w:p w14:paraId="533F20A2" w14:textId="77777777" w:rsidR="009C57B5" w:rsidRPr="001118B5" w:rsidRDefault="009C57B5"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DVP.E020</w:t>
            </w:r>
          </w:p>
        </w:tc>
        <w:tc>
          <w:tcPr>
            <w:tcW w:w="4346" w:type="dxa"/>
            <w:tcBorders>
              <w:top w:val="nil"/>
              <w:left w:val="nil"/>
              <w:bottom w:val="nil"/>
            </w:tcBorders>
            <w:shd w:val="clear" w:color="auto" w:fill="auto"/>
            <w:noWrap/>
            <w:vAlign w:val="center"/>
            <w:hideMark/>
          </w:tcPr>
          <w:p w14:paraId="37D3BDEB" w14:textId="77777777" w:rsidR="009C57B5" w:rsidRPr="001118B5" w:rsidRDefault="009C57B5" w:rsidP="00E67116">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Outros Benefícios Previdenciários e Assistenciais</w:t>
            </w:r>
          </w:p>
        </w:tc>
        <w:tc>
          <w:tcPr>
            <w:tcW w:w="846" w:type="dxa"/>
            <w:tcBorders>
              <w:top w:val="nil"/>
              <w:bottom w:val="nil"/>
              <w:right w:val="single" w:sz="8" w:space="0" w:color="auto"/>
            </w:tcBorders>
            <w:shd w:val="clear" w:color="auto" w:fill="auto"/>
            <w:noWrap/>
            <w:vAlign w:val="center"/>
          </w:tcPr>
          <w:p w14:paraId="5129BCC2" w14:textId="77777777" w:rsidR="009C57B5" w:rsidRPr="001118B5" w:rsidRDefault="009C57B5" w:rsidP="00E67116">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493B36E4" w14:textId="77777777" w:rsidR="009C57B5" w:rsidRPr="001118B5" w:rsidRDefault="009C57B5"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DVP.H020</w:t>
            </w:r>
          </w:p>
        </w:tc>
        <w:tc>
          <w:tcPr>
            <w:tcW w:w="1120" w:type="dxa"/>
            <w:tcBorders>
              <w:top w:val="nil"/>
              <w:left w:val="nil"/>
              <w:bottom w:val="nil"/>
              <w:right w:val="single" w:sz="8" w:space="0" w:color="auto"/>
            </w:tcBorders>
            <w:shd w:val="clear" w:color="auto" w:fill="auto"/>
            <w:noWrap/>
            <w:vAlign w:val="center"/>
            <w:hideMark/>
          </w:tcPr>
          <w:p w14:paraId="7FB5AF8D" w14:textId="77777777" w:rsidR="009C57B5" w:rsidRPr="001118B5" w:rsidRDefault="009C57B5"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DVP.I020</w:t>
            </w:r>
          </w:p>
        </w:tc>
      </w:tr>
      <w:tr w:rsidR="009C57B5" w:rsidRPr="001118B5" w14:paraId="3F9EFABE" w14:textId="77777777" w:rsidTr="00E67116">
        <w:trPr>
          <w:trHeight w:val="240"/>
        </w:trPr>
        <w:tc>
          <w:tcPr>
            <w:tcW w:w="4410" w:type="dxa"/>
            <w:tcBorders>
              <w:top w:val="nil"/>
              <w:left w:val="single" w:sz="8" w:space="0" w:color="auto"/>
              <w:bottom w:val="nil"/>
            </w:tcBorders>
            <w:shd w:val="clear" w:color="auto" w:fill="auto"/>
            <w:noWrap/>
            <w:vAlign w:val="center"/>
            <w:hideMark/>
          </w:tcPr>
          <w:p w14:paraId="006DA97C" w14:textId="77777777" w:rsidR="009C57B5" w:rsidRPr="001118B5" w:rsidRDefault="009C57B5" w:rsidP="00E67116">
            <w:pPr>
              <w:spacing w:after="0" w:line="240" w:lineRule="auto"/>
              <w:rPr>
                <w:rFonts w:ascii="Arial Narrow" w:eastAsia="Times New Roman" w:hAnsi="Arial Narrow" w:cs="Arial"/>
                <w:b/>
                <w:bCs/>
                <w:sz w:val="16"/>
                <w:szCs w:val="16"/>
                <w:u w:val="single"/>
                <w:lang w:eastAsia="pt-BR"/>
              </w:rPr>
            </w:pPr>
            <w:r w:rsidRPr="001118B5">
              <w:rPr>
                <w:rFonts w:ascii="Arial Narrow" w:eastAsia="Times New Roman" w:hAnsi="Arial Narrow" w:cs="Arial"/>
                <w:b/>
                <w:bCs/>
                <w:sz w:val="16"/>
                <w:szCs w:val="16"/>
                <w:u w:val="single"/>
                <w:lang w:eastAsia="pt-BR"/>
              </w:rPr>
              <w:t>Variações Patrimoniais Aumentativas Financeiras</w:t>
            </w:r>
          </w:p>
        </w:tc>
        <w:tc>
          <w:tcPr>
            <w:tcW w:w="835" w:type="dxa"/>
            <w:tcBorders>
              <w:top w:val="nil"/>
              <w:bottom w:val="nil"/>
              <w:right w:val="single" w:sz="8" w:space="0" w:color="auto"/>
            </w:tcBorders>
            <w:shd w:val="clear" w:color="auto" w:fill="auto"/>
            <w:noWrap/>
            <w:vAlign w:val="center"/>
          </w:tcPr>
          <w:p w14:paraId="0A0BA3A3" w14:textId="77777777" w:rsidR="009C57B5" w:rsidRPr="001118B5" w:rsidRDefault="009C57B5" w:rsidP="00E67116">
            <w:pPr>
              <w:spacing w:after="0" w:line="240" w:lineRule="auto"/>
              <w:jc w:val="center"/>
              <w:rPr>
                <w:rFonts w:ascii="Arial Narrow" w:eastAsia="Times New Roman" w:hAnsi="Arial Narrow" w:cs="Arial"/>
                <w:b/>
                <w:bCs/>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7B91506C" w14:textId="77777777" w:rsidR="009C57B5" w:rsidRPr="001118B5" w:rsidRDefault="009C57B5" w:rsidP="00E67116">
            <w:pPr>
              <w:spacing w:after="0" w:line="240" w:lineRule="auto"/>
              <w:jc w:val="center"/>
              <w:rPr>
                <w:rFonts w:ascii="Arial Narrow" w:eastAsia="Times New Roman" w:hAnsi="Arial Narrow" w:cs="Arial"/>
                <w:b/>
                <w:bCs/>
                <w:sz w:val="16"/>
                <w:szCs w:val="16"/>
                <w:lang w:eastAsia="pt-BR"/>
              </w:rPr>
            </w:pPr>
            <w:r w:rsidRPr="001118B5">
              <w:rPr>
                <w:rFonts w:ascii="Arial Narrow" w:eastAsia="Times New Roman" w:hAnsi="Arial Narrow" w:cs="Arial"/>
                <w:b/>
                <w:bCs/>
                <w:sz w:val="16"/>
                <w:szCs w:val="16"/>
                <w:lang w:eastAsia="pt-BR"/>
              </w:rPr>
              <w:t>DVP.D021</w:t>
            </w:r>
          </w:p>
        </w:tc>
        <w:tc>
          <w:tcPr>
            <w:tcW w:w="1134" w:type="dxa"/>
            <w:tcBorders>
              <w:top w:val="nil"/>
              <w:left w:val="nil"/>
              <w:bottom w:val="nil"/>
              <w:right w:val="single" w:sz="8" w:space="0" w:color="auto"/>
            </w:tcBorders>
            <w:shd w:val="clear" w:color="auto" w:fill="auto"/>
            <w:noWrap/>
            <w:vAlign w:val="center"/>
            <w:hideMark/>
          </w:tcPr>
          <w:p w14:paraId="10C72B06" w14:textId="77777777" w:rsidR="009C57B5" w:rsidRPr="001118B5" w:rsidRDefault="009C57B5" w:rsidP="00E67116">
            <w:pPr>
              <w:spacing w:after="0" w:line="240" w:lineRule="auto"/>
              <w:jc w:val="center"/>
              <w:rPr>
                <w:rFonts w:ascii="Arial Narrow" w:eastAsia="Times New Roman" w:hAnsi="Arial Narrow" w:cs="Arial"/>
                <w:b/>
                <w:bCs/>
                <w:sz w:val="16"/>
                <w:szCs w:val="16"/>
                <w:lang w:eastAsia="pt-BR"/>
              </w:rPr>
            </w:pPr>
            <w:r w:rsidRPr="001118B5">
              <w:rPr>
                <w:rFonts w:ascii="Arial Narrow" w:eastAsia="Times New Roman" w:hAnsi="Arial Narrow" w:cs="Arial"/>
                <w:b/>
                <w:bCs/>
                <w:sz w:val="16"/>
                <w:szCs w:val="16"/>
                <w:lang w:eastAsia="pt-BR"/>
              </w:rPr>
              <w:t>DVP.E021</w:t>
            </w:r>
          </w:p>
        </w:tc>
        <w:tc>
          <w:tcPr>
            <w:tcW w:w="4346" w:type="dxa"/>
            <w:tcBorders>
              <w:top w:val="nil"/>
              <w:left w:val="nil"/>
              <w:bottom w:val="nil"/>
            </w:tcBorders>
            <w:shd w:val="clear" w:color="auto" w:fill="auto"/>
            <w:noWrap/>
            <w:vAlign w:val="center"/>
            <w:hideMark/>
          </w:tcPr>
          <w:p w14:paraId="43CA30B7" w14:textId="77777777" w:rsidR="009C57B5" w:rsidRPr="001118B5" w:rsidRDefault="009C57B5" w:rsidP="00E67116">
            <w:pPr>
              <w:spacing w:after="0" w:line="240" w:lineRule="auto"/>
              <w:rPr>
                <w:rFonts w:ascii="Arial Narrow" w:eastAsia="Times New Roman" w:hAnsi="Arial Narrow" w:cs="Arial"/>
                <w:b/>
                <w:bCs/>
                <w:sz w:val="16"/>
                <w:szCs w:val="16"/>
                <w:u w:val="single"/>
                <w:lang w:eastAsia="pt-BR"/>
              </w:rPr>
            </w:pPr>
            <w:r w:rsidRPr="001118B5">
              <w:rPr>
                <w:rFonts w:ascii="Arial Narrow" w:eastAsia="Times New Roman" w:hAnsi="Arial Narrow" w:cs="Arial"/>
                <w:b/>
                <w:bCs/>
                <w:sz w:val="16"/>
                <w:szCs w:val="16"/>
                <w:u w:val="single"/>
                <w:lang w:eastAsia="pt-BR"/>
              </w:rPr>
              <w:t>Uso de Bens, Serviços e Consumo de Capital Fixo</w:t>
            </w:r>
          </w:p>
        </w:tc>
        <w:tc>
          <w:tcPr>
            <w:tcW w:w="846" w:type="dxa"/>
            <w:tcBorders>
              <w:top w:val="nil"/>
              <w:bottom w:val="nil"/>
              <w:right w:val="single" w:sz="8" w:space="0" w:color="auto"/>
            </w:tcBorders>
            <w:shd w:val="clear" w:color="auto" w:fill="auto"/>
            <w:noWrap/>
            <w:vAlign w:val="center"/>
          </w:tcPr>
          <w:p w14:paraId="3EBBA469" w14:textId="77777777" w:rsidR="009C57B5" w:rsidRPr="001118B5" w:rsidRDefault="009C57B5" w:rsidP="00E67116">
            <w:pPr>
              <w:spacing w:after="0" w:line="240" w:lineRule="auto"/>
              <w:jc w:val="center"/>
              <w:rPr>
                <w:rFonts w:ascii="Arial Narrow" w:eastAsia="Times New Roman" w:hAnsi="Arial Narrow" w:cs="Arial"/>
                <w:b/>
                <w:bCs/>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3F9F385F" w14:textId="77777777" w:rsidR="009C57B5" w:rsidRPr="001118B5" w:rsidRDefault="009C57B5" w:rsidP="00E67116">
            <w:pPr>
              <w:spacing w:after="0" w:line="240" w:lineRule="auto"/>
              <w:jc w:val="center"/>
              <w:rPr>
                <w:rFonts w:ascii="Arial Narrow" w:eastAsia="Times New Roman" w:hAnsi="Arial Narrow" w:cs="Arial"/>
                <w:b/>
                <w:bCs/>
                <w:sz w:val="16"/>
                <w:szCs w:val="16"/>
                <w:lang w:eastAsia="pt-BR"/>
              </w:rPr>
            </w:pPr>
            <w:r w:rsidRPr="001118B5">
              <w:rPr>
                <w:rFonts w:ascii="Arial Narrow" w:eastAsia="Times New Roman" w:hAnsi="Arial Narrow" w:cs="Arial"/>
                <w:b/>
                <w:bCs/>
                <w:sz w:val="16"/>
                <w:szCs w:val="16"/>
                <w:lang w:eastAsia="pt-BR"/>
              </w:rPr>
              <w:t>DVP.H021</w:t>
            </w:r>
          </w:p>
        </w:tc>
        <w:tc>
          <w:tcPr>
            <w:tcW w:w="1120" w:type="dxa"/>
            <w:tcBorders>
              <w:top w:val="nil"/>
              <w:left w:val="nil"/>
              <w:bottom w:val="nil"/>
              <w:right w:val="single" w:sz="8" w:space="0" w:color="auto"/>
            </w:tcBorders>
            <w:shd w:val="clear" w:color="auto" w:fill="auto"/>
            <w:noWrap/>
            <w:vAlign w:val="center"/>
            <w:hideMark/>
          </w:tcPr>
          <w:p w14:paraId="5A426163" w14:textId="77777777" w:rsidR="009C57B5" w:rsidRPr="001118B5" w:rsidRDefault="009C57B5" w:rsidP="00E67116">
            <w:pPr>
              <w:spacing w:after="0" w:line="240" w:lineRule="auto"/>
              <w:jc w:val="center"/>
              <w:rPr>
                <w:rFonts w:ascii="Arial Narrow" w:eastAsia="Times New Roman" w:hAnsi="Arial Narrow" w:cs="Arial"/>
                <w:b/>
                <w:bCs/>
                <w:sz w:val="16"/>
                <w:szCs w:val="16"/>
                <w:lang w:eastAsia="pt-BR"/>
              </w:rPr>
            </w:pPr>
            <w:r w:rsidRPr="001118B5">
              <w:rPr>
                <w:rFonts w:ascii="Arial Narrow" w:eastAsia="Times New Roman" w:hAnsi="Arial Narrow" w:cs="Arial"/>
                <w:b/>
                <w:bCs/>
                <w:sz w:val="16"/>
                <w:szCs w:val="16"/>
                <w:lang w:eastAsia="pt-BR"/>
              </w:rPr>
              <w:t>DVP.I021</w:t>
            </w:r>
          </w:p>
        </w:tc>
      </w:tr>
      <w:tr w:rsidR="009C57B5" w:rsidRPr="001118B5" w14:paraId="65CF12BD" w14:textId="77777777" w:rsidTr="00E67116">
        <w:trPr>
          <w:trHeight w:val="240"/>
        </w:trPr>
        <w:tc>
          <w:tcPr>
            <w:tcW w:w="4410" w:type="dxa"/>
            <w:tcBorders>
              <w:top w:val="nil"/>
              <w:left w:val="single" w:sz="8" w:space="0" w:color="auto"/>
              <w:bottom w:val="nil"/>
            </w:tcBorders>
            <w:shd w:val="clear" w:color="auto" w:fill="auto"/>
            <w:noWrap/>
            <w:vAlign w:val="center"/>
            <w:hideMark/>
          </w:tcPr>
          <w:p w14:paraId="51061474" w14:textId="77777777" w:rsidR="009C57B5" w:rsidRPr="001118B5" w:rsidRDefault="009C57B5" w:rsidP="00E67116">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Juros e Encargos de Empréstimos e Financiamentos Concedidos</w:t>
            </w:r>
          </w:p>
        </w:tc>
        <w:tc>
          <w:tcPr>
            <w:tcW w:w="835" w:type="dxa"/>
            <w:tcBorders>
              <w:top w:val="nil"/>
              <w:bottom w:val="nil"/>
              <w:right w:val="single" w:sz="8" w:space="0" w:color="auto"/>
            </w:tcBorders>
            <w:shd w:val="clear" w:color="auto" w:fill="auto"/>
            <w:noWrap/>
            <w:vAlign w:val="center"/>
          </w:tcPr>
          <w:p w14:paraId="714B8047" w14:textId="77777777" w:rsidR="009C57B5" w:rsidRPr="001118B5" w:rsidRDefault="009C57B5" w:rsidP="00E67116">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78851156" w14:textId="77777777" w:rsidR="009C57B5" w:rsidRPr="001118B5" w:rsidRDefault="009C57B5"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DVP.D022</w:t>
            </w:r>
          </w:p>
        </w:tc>
        <w:tc>
          <w:tcPr>
            <w:tcW w:w="1134" w:type="dxa"/>
            <w:tcBorders>
              <w:top w:val="nil"/>
              <w:left w:val="nil"/>
              <w:bottom w:val="nil"/>
              <w:right w:val="single" w:sz="8" w:space="0" w:color="auto"/>
            </w:tcBorders>
            <w:shd w:val="clear" w:color="auto" w:fill="auto"/>
            <w:noWrap/>
            <w:vAlign w:val="center"/>
            <w:hideMark/>
          </w:tcPr>
          <w:p w14:paraId="23F6FFAA" w14:textId="77777777" w:rsidR="009C57B5" w:rsidRPr="001118B5" w:rsidRDefault="009C57B5"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DVP.E022</w:t>
            </w:r>
          </w:p>
        </w:tc>
        <w:tc>
          <w:tcPr>
            <w:tcW w:w="4346" w:type="dxa"/>
            <w:tcBorders>
              <w:top w:val="nil"/>
              <w:left w:val="nil"/>
              <w:bottom w:val="nil"/>
            </w:tcBorders>
            <w:shd w:val="clear" w:color="auto" w:fill="auto"/>
            <w:noWrap/>
            <w:vAlign w:val="center"/>
            <w:hideMark/>
          </w:tcPr>
          <w:p w14:paraId="55BAD421" w14:textId="77777777" w:rsidR="009C57B5" w:rsidRPr="001118B5" w:rsidRDefault="009C57B5" w:rsidP="00E67116">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Uso de Material de Consumo</w:t>
            </w:r>
          </w:p>
        </w:tc>
        <w:tc>
          <w:tcPr>
            <w:tcW w:w="846" w:type="dxa"/>
            <w:tcBorders>
              <w:top w:val="nil"/>
              <w:bottom w:val="nil"/>
              <w:right w:val="single" w:sz="8" w:space="0" w:color="auto"/>
            </w:tcBorders>
            <w:shd w:val="clear" w:color="auto" w:fill="auto"/>
            <w:noWrap/>
            <w:vAlign w:val="center"/>
          </w:tcPr>
          <w:p w14:paraId="7B68D8BE" w14:textId="77777777" w:rsidR="009C57B5" w:rsidRPr="001118B5" w:rsidRDefault="009C57B5" w:rsidP="00E67116">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004FDA4D" w14:textId="77777777" w:rsidR="009C57B5" w:rsidRPr="001118B5" w:rsidRDefault="009C57B5"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DVP.H022</w:t>
            </w:r>
          </w:p>
        </w:tc>
        <w:tc>
          <w:tcPr>
            <w:tcW w:w="1120" w:type="dxa"/>
            <w:tcBorders>
              <w:top w:val="nil"/>
              <w:left w:val="nil"/>
              <w:bottom w:val="nil"/>
              <w:right w:val="single" w:sz="8" w:space="0" w:color="auto"/>
            </w:tcBorders>
            <w:shd w:val="clear" w:color="auto" w:fill="auto"/>
            <w:noWrap/>
            <w:vAlign w:val="center"/>
            <w:hideMark/>
          </w:tcPr>
          <w:p w14:paraId="12767765" w14:textId="77777777" w:rsidR="009C57B5" w:rsidRPr="001118B5" w:rsidRDefault="009C57B5"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DVP.I022</w:t>
            </w:r>
          </w:p>
        </w:tc>
      </w:tr>
      <w:tr w:rsidR="009C57B5" w:rsidRPr="001118B5" w14:paraId="69E50F9E" w14:textId="77777777" w:rsidTr="00E67116">
        <w:trPr>
          <w:trHeight w:val="240"/>
        </w:trPr>
        <w:tc>
          <w:tcPr>
            <w:tcW w:w="4410" w:type="dxa"/>
            <w:tcBorders>
              <w:top w:val="nil"/>
              <w:left w:val="single" w:sz="8" w:space="0" w:color="auto"/>
              <w:bottom w:val="nil"/>
            </w:tcBorders>
            <w:shd w:val="clear" w:color="auto" w:fill="auto"/>
            <w:noWrap/>
            <w:vAlign w:val="center"/>
            <w:hideMark/>
          </w:tcPr>
          <w:p w14:paraId="540EDBF2" w14:textId="77777777" w:rsidR="009C57B5" w:rsidRPr="001118B5" w:rsidRDefault="009C57B5" w:rsidP="00E67116">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Juros e Encargos de Mora</w:t>
            </w:r>
          </w:p>
        </w:tc>
        <w:tc>
          <w:tcPr>
            <w:tcW w:w="835" w:type="dxa"/>
            <w:tcBorders>
              <w:top w:val="nil"/>
              <w:bottom w:val="nil"/>
              <w:right w:val="single" w:sz="8" w:space="0" w:color="auto"/>
            </w:tcBorders>
            <w:shd w:val="clear" w:color="auto" w:fill="auto"/>
            <w:noWrap/>
            <w:vAlign w:val="center"/>
          </w:tcPr>
          <w:p w14:paraId="5918A58F" w14:textId="77777777" w:rsidR="009C57B5" w:rsidRPr="001118B5" w:rsidRDefault="009C57B5" w:rsidP="00E67116">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21944634" w14:textId="77777777" w:rsidR="009C57B5" w:rsidRPr="001118B5" w:rsidRDefault="009C57B5"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DVP.D023</w:t>
            </w:r>
          </w:p>
        </w:tc>
        <w:tc>
          <w:tcPr>
            <w:tcW w:w="1134" w:type="dxa"/>
            <w:tcBorders>
              <w:top w:val="nil"/>
              <w:left w:val="nil"/>
              <w:bottom w:val="nil"/>
              <w:right w:val="single" w:sz="8" w:space="0" w:color="auto"/>
            </w:tcBorders>
            <w:shd w:val="clear" w:color="auto" w:fill="auto"/>
            <w:noWrap/>
            <w:vAlign w:val="center"/>
            <w:hideMark/>
          </w:tcPr>
          <w:p w14:paraId="5055F7E8" w14:textId="77777777" w:rsidR="009C57B5" w:rsidRPr="001118B5" w:rsidRDefault="009C57B5"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DVP.E023</w:t>
            </w:r>
          </w:p>
        </w:tc>
        <w:tc>
          <w:tcPr>
            <w:tcW w:w="4346" w:type="dxa"/>
            <w:tcBorders>
              <w:top w:val="nil"/>
              <w:left w:val="nil"/>
              <w:bottom w:val="nil"/>
            </w:tcBorders>
            <w:shd w:val="clear" w:color="auto" w:fill="auto"/>
            <w:noWrap/>
            <w:vAlign w:val="center"/>
            <w:hideMark/>
          </w:tcPr>
          <w:p w14:paraId="0D144FE8" w14:textId="77777777" w:rsidR="009C57B5" w:rsidRPr="001118B5" w:rsidRDefault="009C57B5" w:rsidP="00E67116">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Serviços</w:t>
            </w:r>
          </w:p>
        </w:tc>
        <w:tc>
          <w:tcPr>
            <w:tcW w:w="846" w:type="dxa"/>
            <w:tcBorders>
              <w:top w:val="nil"/>
              <w:bottom w:val="nil"/>
              <w:right w:val="single" w:sz="8" w:space="0" w:color="auto"/>
            </w:tcBorders>
            <w:shd w:val="clear" w:color="auto" w:fill="auto"/>
            <w:noWrap/>
            <w:vAlign w:val="center"/>
          </w:tcPr>
          <w:p w14:paraId="5F4A3BD7" w14:textId="77777777" w:rsidR="009C57B5" w:rsidRPr="001118B5" w:rsidRDefault="009C57B5" w:rsidP="00E67116">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3DE688AA" w14:textId="77777777" w:rsidR="009C57B5" w:rsidRPr="001118B5" w:rsidRDefault="009C57B5"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DVP.H023</w:t>
            </w:r>
          </w:p>
        </w:tc>
        <w:tc>
          <w:tcPr>
            <w:tcW w:w="1120" w:type="dxa"/>
            <w:tcBorders>
              <w:top w:val="nil"/>
              <w:left w:val="nil"/>
              <w:bottom w:val="nil"/>
              <w:right w:val="single" w:sz="8" w:space="0" w:color="auto"/>
            </w:tcBorders>
            <w:shd w:val="clear" w:color="auto" w:fill="auto"/>
            <w:noWrap/>
            <w:vAlign w:val="center"/>
            <w:hideMark/>
          </w:tcPr>
          <w:p w14:paraId="5015A844" w14:textId="77777777" w:rsidR="009C57B5" w:rsidRPr="001118B5" w:rsidRDefault="009C57B5"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DVP.I023</w:t>
            </w:r>
          </w:p>
        </w:tc>
      </w:tr>
      <w:tr w:rsidR="009C57B5" w:rsidRPr="001118B5" w14:paraId="734497C9" w14:textId="77777777" w:rsidTr="00E67116">
        <w:trPr>
          <w:trHeight w:val="240"/>
        </w:trPr>
        <w:tc>
          <w:tcPr>
            <w:tcW w:w="4410" w:type="dxa"/>
            <w:tcBorders>
              <w:top w:val="nil"/>
              <w:left w:val="single" w:sz="8" w:space="0" w:color="auto"/>
              <w:bottom w:val="nil"/>
            </w:tcBorders>
            <w:shd w:val="clear" w:color="auto" w:fill="auto"/>
            <w:noWrap/>
            <w:vAlign w:val="center"/>
            <w:hideMark/>
          </w:tcPr>
          <w:p w14:paraId="13951537" w14:textId="77777777" w:rsidR="009C57B5" w:rsidRPr="001118B5" w:rsidRDefault="009C57B5" w:rsidP="00E67116">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Variações Monetárias e Cambiais</w:t>
            </w:r>
          </w:p>
        </w:tc>
        <w:tc>
          <w:tcPr>
            <w:tcW w:w="835" w:type="dxa"/>
            <w:tcBorders>
              <w:top w:val="nil"/>
              <w:bottom w:val="nil"/>
              <w:right w:val="single" w:sz="8" w:space="0" w:color="auto"/>
            </w:tcBorders>
            <w:shd w:val="clear" w:color="auto" w:fill="auto"/>
            <w:noWrap/>
            <w:vAlign w:val="center"/>
          </w:tcPr>
          <w:p w14:paraId="595B9946" w14:textId="77777777" w:rsidR="009C57B5" w:rsidRPr="001118B5" w:rsidRDefault="009C57B5" w:rsidP="00E67116">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2A13F869" w14:textId="77777777" w:rsidR="009C57B5" w:rsidRPr="001118B5" w:rsidRDefault="009C57B5"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DVP.D024</w:t>
            </w:r>
          </w:p>
        </w:tc>
        <w:tc>
          <w:tcPr>
            <w:tcW w:w="1134" w:type="dxa"/>
            <w:tcBorders>
              <w:top w:val="nil"/>
              <w:left w:val="nil"/>
              <w:bottom w:val="nil"/>
              <w:right w:val="single" w:sz="8" w:space="0" w:color="auto"/>
            </w:tcBorders>
            <w:shd w:val="clear" w:color="auto" w:fill="auto"/>
            <w:noWrap/>
            <w:vAlign w:val="center"/>
            <w:hideMark/>
          </w:tcPr>
          <w:p w14:paraId="5B2D8FC9" w14:textId="77777777" w:rsidR="009C57B5" w:rsidRPr="001118B5" w:rsidRDefault="009C57B5"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DVP.E024</w:t>
            </w:r>
          </w:p>
        </w:tc>
        <w:tc>
          <w:tcPr>
            <w:tcW w:w="4346" w:type="dxa"/>
            <w:tcBorders>
              <w:top w:val="nil"/>
              <w:left w:val="nil"/>
              <w:bottom w:val="nil"/>
            </w:tcBorders>
            <w:shd w:val="clear" w:color="auto" w:fill="auto"/>
            <w:noWrap/>
            <w:vAlign w:val="center"/>
            <w:hideMark/>
          </w:tcPr>
          <w:p w14:paraId="7DF20255" w14:textId="77777777" w:rsidR="009C57B5" w:rsidRPr="001118B5" w:rsidRDefault="009C57B5" w:rsidP="00E67116">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Depreciação, Amortização e Exaustão</w:t>
            </w:r>
          </w:p>
        </w:tc>
        <w:tc>
          <w:tcPr>
            <w:tcW w:w="846" w:type="dxa"/>
            <w:tcBorders>
              <w:top w:val="nil"/>
              <w:bottom w:val="nil"/>
              <w:right w:val="single" w:sz="8" w:space="0" w:color="auto"/>
            </w:tcBorders>
            <w:shd w:val="clear" w:color="auto" w:fill="auto"/>
            <w:noWrap/>
            <w:vAlign w:val="center"/>
          </w:tcPr>
          <w:p w14:paraId="485081CC" w14:textId="77777777" w:rsidR="009C57B5" w:rsidRPr="001118B5" w:rsidRDefault="009C57B5" w:rsidP="00E67116">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53903FF5" w14:textId="77777777" w:rsidR="009C57B5" w:rsidRPr="001118B5" w:rsidRDefault="009C57B5"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DVP.H024</w:t>
            </w:r>
          </w:p>
        </w:tc>
        <w:tc>
          <w:tcPr>
            <w:tcW w:w="1120" w:type="dxa"/>
            <w:tcBorders>
              <w:top w:val="nil"/>
              <w:left w:val="nil"/>
              <w:bottom w:val="nil"/>
              <w:right w:val="single" w:sz="8" w:space="0" w:color="auto"/>
            </w:tcBorders>
            <w:shd w:val="clear" w:color="auto" w:fill="auto"/>
            <w:noWrap/>
            <w:vAlign w:val="center"/>
            <w:hideMark/>
          </w:tcPr>
          <w:p w14:paraId="5FF27377" w14:textId="77777777" w:rsidR="009C57B5" w:rsidRPr="001118B5" w:rsidRDefault="009C57B5"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DVP.I024</w:t>
            </w:r>
          </w:p>
        </w:tc>
      </w:tr>
      <w:tr w:rsidR="009C57B5" w:rsidRPr="001118B5" w14:paraId="3590834B" w14:textId="77777777" w:rsidTr="00E67116">
        <w:trPr>
          <w:trHeight w:val="240"/>
        </w:trPr>
        <w:tc>
          <w:tcPr>
            <w:tcW w:w="4410" w:type="dxa"/>
            <w:tcBorders>
              <w:top w:val="nil"/>
              <w:left w:val="single" w:sz="8" w:space="0" w:color="auto"/>
              <w:bottom w:val="nil"/>
            </w:tcBorders>
            <w:shd w:val="clear" w:color="auto" w:fill="auto"/>
            <w:noWrap/>
            <w:vAlign w:val="center"/>
            <w:hideMark/>
          </w:tcPr>
          <w:p w14:paraId="297FE804" w14:textId="77777777" w:rsidR="009C57B5" w:rsidRPr="001118B5" w:rsidRDefault="009C57B5" w:rsidP="00E67116">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Descontos Financeiros Obtidos</w:t>
            </w:r>
          </w:p>
        </w:tc>
        <w:tc>
          <w:tcPr>
            <w:tcW w:w="835" w:type="dxa"/>
            <w:tcBorders>
              <w:top w:val="nil"/>
              <w:bottom w:val="nil"/>
              <w:right w:val="single" w:sz="8" w:space="0" w:color="auto"/>
            </w:tcBorders>
            <w:shd w:val="clear" w:color="auto" w:fill="auto"/>
            <w:noWrap/>
            <w:vAlign w:val="center"/>
          </w:tcPr>
          <w:p w14:paraId="2AF4ADCF" w14:textId="77777777" w:rsidR="009C57B5" w:rsidRPr="001118B5" w:rsidRDefault="009C57B5" w:rsidP="00E67116">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07BC9533" w14:textId="77777777" w:rsidR="009C57B5" w:rsidRPr="001118B5" w:rsidRDefault="009C57B5"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DVP.D025</w:t>
            </w:r>
          </w:p>
        </w:tc>
        <w:tc>
          <w:tcPr>
            <w:tcW w:w="1134" w:type="dxa"/>
            <w:tcBorders>
              <w:top w:val="nil"/>
              <w:left w:val="nil"/>
              <w:bottom w:val="nil"/>
              <w:right w:val="single" w:sz="8" w:space="0" w:color="auto"/>
            </w:tcBorders>
            <w:shd w:val="clear" w:color="auto" w:fill="auto"/>
            <w:noWrap/>
            <w:vAlign w:val="center"/>
            <w:hideMark/>
          </w:tcPr>
          <w:p w14:paraId="68B48570" w14:textId="77777777" w:rsidR="009C57B5" w:rsidRPr="001118B5" w:rsidRDefault="009C57B5"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DVP.E025</w:t>
            </w:r>
          </w:p>
        </w:tc>
        <w:tc>
          <w:tcPr>
            <w:tcW w:w="4346" w:type="dxa"/>
            <w:tcBorders>
              <w:top w:val="nil"/>
              <w:left w:val="nil"/>
              <w:bottom w:val="nil"/>
            </w:tcBorders>
            <w:shd w:val="clear" w:color="auto" w:fill="auto"/>
            <w:noWrap/>
            <w:vAlign w:val="center"/>
            <w:hideMark/>
          </w:tcPr>
          <w:p w14:paraId="70701790" w14:textId="77777777" w:rsidR="009C57B5" w:rsidRPr="001118B5" w:rsidRDefault="009C57B5" w:rsidP="00E67116">
            <w:pPr>
              <w:spacing w:after="0" w:line="240" w:lineRule="auto"/>
              <w:rPr>
                <w:rFonts w:ascii="Arial Narrow" w:eastAsia="Times New Roman" w:hAnsi="Arial Narrow" w:cs="Arial"/>
                <w:b/>
                <w:bCs/>
                <w:sz w:val="16"/>
                <w:szCs w:val="16"/>
                <w:u w:val="single"/>
                <w:lang w:eastAsia="pt-BR"/>
              </w:rPr>
            </w:pPr>
            <w:r w:rsidRPr="001118B5">
              <w:rPr>
                <w:rFonts w:ascii="Arial Narrow" w:eastAsia="Times New Roman" w:hAnsi="Arial Narrow" w:cs="Arial"/>
                <w:b/>
                <w:bCs/>
                <w:sz w:val="16"/>
                <w:szCs w:val="16"/>
                <w:u w:val="single"/>
                <w:lang w:eastAsia="pt-BR"/>
              </w:rPr>
              <w:t>Variações Patrimoniais Diminutivas Financeiras</w:t>
            </w:r>
          </w:p>
        </w:tc>
        <w:tc>
          <w:tcPr>
            <w:tcW w:w="846" w:type="dxa"/>
            <w:tcBorders>
              <w:top w:val="nil"/>
              <w:bottom w:val="nil"/>
              <w:right w:val="single" w:sz="8" w:space="0" w:color="auto"/>
            </w:tcBorders>
            <w:shd w:val="clear" w:color="auto" w:fill="auto"/>
            <w:noWrap/>
            <w:vAlign w:val="center"/>
          </w:tcPr>
          <w:p w14:paraId="1744F583" w14:textId="77777777" w:rsidR="009C57B5" w:rsidRPr="001118B5" w:rsidRDefault="009C57B5" w:rsidP="00E67116">
            <w:pPr>
              <w:spacing w:after="0" w:line="240" w:lineRule="auto"/>
              <w:jc w:val="center"/>
              <w:rPr>
                <w:rFonts w:ascii="Arial Narrow" w:eastAsia="Times New Roman" w:hAnsi="Arial Narrow" w:cs="Arial"/>
                <w:b/>
                <w:bCs/>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4B8B625A" w14:textId="77777777" w:rsidR="009C57B5" w:rsidRPr="001118B5" w:rsidRDefault="009C57B5" w:rsidP="00E67116">
            <w:pPr>
              <w:spacing w:after="0" w:line="240" w:lineRule="auto"/>
              <w:jc w:val="center"/>
              <w:rPr>
                <w:rFonts w:ascii="Arial Narrow" w:eastAsia="Times New Roman" w:hAnsi="Arial Narrow" w:cs="Arial"/>
                <w:b/>
                <w:bCs/>
                <w:sz w:val="16"/>
                <w:szCs w:val="16"/>
                <w:lang w:eastAsia="pt-BR"/>
              </w:rPr>
            </w:pPr>
            <w:r w:rsidRPr="001118B5">
              <w:rPr>
                <w:rFonts w:ascii="Arial Narrow" w:eastAsia="Times New Roman" w:hAnsi="Arial Narrow" w:cs="Arial"/>
                <w:b/>
                <w:bCs/>
                <w:sz w:val="16"/>
                <w:szCs w:val="16"/>
                <w:lang w:eastAsia="pt-BR"/>
              </w:rPr>
              <w:t>DVP.H025</w:t>
            </w:r>
          </w:p>
        </w:tc>
        <w:tc>
          <w:tcPr>
            <w:tcW w:w="1120" w:type="dxa"/>
            <w:tcBorders>
              <w:top w:val="nil"/>
              <w:left w:val="nil"/>
              <w:bottom w:val="nil"/>
              <w:right w:val="single" w:sz="8" w:space="0" w:color="auto"/>
            </w:tcBorders>
            <w:shd w:val="clear" w:color="auto" w:fill="auto"/>
            <w:noWrap/>
            <w:vAlign w:val="center"/>
            <w:hideMark/>
          </w:tcPr>
          <w:p w14:paraId="3D4906A3" w14:textId="77777777" w:rsidR="009C57B5" w:rsidRPr="001118B5" w:rsidRDefault="009C57B5" w:rsidP="00E67116">
            <w:pPr>
              <w:spacing w:after="0" w:line="240" w:lineRule="auto"/>
              <w:jc w:val="center"/>
              <w:rPr>
                <w:rFonts w:ascii="Arial Narrow" w:eastAsia="Times New Roman" w:hAnsi="Arial Narrow" w:cs="Arial"/>
                <w:b/>
                <w:bCs/>
                <w:sz w:val="16"/>
                <w:szCs w:val="16"/>
                <w:lang w:eastAsia="pt-BR"/>
              </w:rPr>
            </w:pPr>
            <w:r w:rsidRPr="001118B5">
              <w:rPr>
                <w:rFonts w:ascii="Arial Narrow" w:eastAsia="Times New Roman" w:hAnsi="Arial Narrow" w:cs="Arial"/>
                <w:b/>
                <w:bCs/>
                <w:sz w:val="16"/>
                <w:szCs w:val="16"/>
                <w:lang w:eastAsia="pt-BR"/>
              </w:rPr>
              <w:t>DVP.I025</w:t>
            </w:r>
          </w:p>
        </w:tc>
      </w:tr>
      <w:tr w:rsidR="009C57B5" w:rsidRPr="001118B5" w14:paraId="393014A7" w14:textId="77777777" w:rsidTr="00E67116">
        <w:trPr>
          <w:trHeight w:val="240"/>
        </w:trPr>
        <w:tc>
          <w:tcPr>
            <w:tcW w:w="4410" w:type="dxa"/>
            <w:tcBorders>
              <w:top w:val="nil"/>
              <w:left w:val="single" w:sz="8" w:space="0" w:color="auto"/>
              <w:bottom w:val="nil"/>
            </w:tcBorders>
            <w:shd w:val="clear" w:color="auto" w:fill="auto"/>
            <w:noWrap/>
            <w:vAlign w:val="center"/>
            <w:hideMark/>
          </w:tcPr>
          <w:p w14:paraId="04099331" w14:textId="77777777" w:rsidR="009C57B5" w:rsidRPr="001118B5" w:rsidRDefault="009C57B5" w:rsidP="00E67116">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Remuneração de Depósitos Bancários e Aplicações Financeiras</w:t>
            </w:r>
          </w:p>
        </w:tc>
        <w:tc>
          <w:tcPr>
            <w:tcW w:w="835" w:type="dxa"/>
            <w:tcBorders>
              <w:top w:val="nil"/>
              <w:bottom w:val="nil"/>
              <w:right w:val="single" w:sz="8" w:space="0" w:color="auto"/>
            </w:tcBorders>
            <w:shd w:val="clear" w:color="auto" w:fill="auto"/>
            <w:noWrap/>
            <w:vAlign w:val="center"/>
          </w:tcPr>
          <w:p w14:paraId="7E606217" w14:textId="77777777" w:rsidR="009C57B5" w:rsidRPr="001118B5" w:rsidRDefault="009C57B5" w:rsidP="00E67116">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529FFB66" w14:textId="77777777" w:rsidR="009C57B5" w:rsidRPr="001118B5" w:rsidRDefault="009C57B5"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DVP.D026</w:t>
            </w:r>
          </w:p>
        </w:tc>
        <w:tc>
          <w:tcPr>
            <w:tcW w:w="1134" w:type="dxa"/>
            <w:tcBorders>
              <w:top w:val="nil"/>
              <w:left w:val="nil"/>
              <w:bottom w:val="nil"/>
              <w:right w:val="single" w:sz="8" w:space="0" w:color="auto"/>
            </w:tcBorders>
            <w:shd w:val="clear" w:color="auto" w:fill="auto"/>
            <w:noWrap/>
            <w:vAlign w:val="center"/>
            <w:hideMark/>
          </w:tcPr>
          <w:p w14:paraId="5E7C5963" w14:textId="77777777" w:rsidR="009C57B5" w:rsidRPr="001118B5" w:rsidRDefault="009C57B5"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DVP.E026</w:t>
            </w:r>
          </w:p>
        </w:tc>
        <w:tc>
          <w:tcPr>
            <w:tcW w:w="4346" w:type="dxa"/>
            <w:tcBorders>
              <w:top w:val="nil"/>
              <w:left w:val="nil"/>
              <w:bottom w:val="nil"/>
            </w:tcBorders>
            <w:shd w:val="clear" w:color="auto" w:fill="auto"/>
            <w:noWrap/>
            <w:vAlign w:val="center"/>
            <w:hideMark/>
          </w:tcPr>
          <w:p w14:paraId="637E02EE" w14:textId="77777777" w:rsidR="009C57B5" w:rsidRPr="001118B5" w:rsidRDefault="009C57B5" w:rsidP="00E67116">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Juros e Encargos de Empréstimos e Financiamentos Obtidos</w:t>
            </w:r>
          </w:p>
        </w:tc>
        <w:tc>
          <w:tcPr>
            <w:tcW w:w="846" w:type="dxa"/>
            <w:tcBorders>
              <w:top w:val="nil"/>
              <w:bottom w:val="nil"/>
              <w:right w:val="single" w:sz="8" w:space="0" w:color="auto"/>
            </w:tcBorders>
            <w:shd w:val="clear" w:color="auto" w:fill="auto"/>
            <w:noWrap/>
            <w:vAlign w:val="center"/>
          </w:tcPr>
          <w:p w14:paraId="744347BD" w14:textId="77777777" w:rsidR="009C57B5" w:rsidRPr="001118B5" w:rsidRDefault="009C57B5" w:rsidP="00E67116">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54241159" w14:textId="77777777" w:rsidR="009C57B5" w:rsidRPr="001118B5" w:rsidRDefault="009C57B5"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DVP.H026</w:t>
            </w:r>
          </w:p>
        </w:tc>
        <w:tc>
          <w:tcPr>
            <w:tcW w:w="1120" w:type="dxa"/>
            <w:tcBorders>
              <w:top w:val="nil"/>
              <w:left w:val="nil"/>
              <w:bottom w:val="nil"/>
              <w:right w:val="single" w:sz="8" w:space="0" w:color="auto"/>
            </w:tcBorders>
            <w:shd w:val="clear" w:color="auto" w:fill="auto"/>
            <w:noWrap/>
            <w:vAlign w:val="center"/>
            <w:hideMark/>
          </w:tcPr>
          <w:p w14:paraId="06BA6E8F" w14:textId="77777777" w:rsidR="009C57B5" w:rsidRPr="001118B5" w:rsidRDefault="009C57B5"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DVP.I026</w:t>
            </w:r>
          </w:p>
        </w:tc>
      </w:tr>
      <w:tr w:rsidR="0008665A" w:rsidRPr="001118B5" w14:paraId="6EE72514" w14:textId="77777777" w:rsidTr="00E67116">
        <w:trPr>
          <w:trHeight w:val="240"/>
        </w:trPr>
        <w:tc>
          <w:tcPr>
            <w:tcW w:w="4410" w:type="dxa"/>
            <w:tcBorders>
              <w:top w:val="nil"/>
              <w:left w:val="single" w:sz="8" w:space="0" w:color="auto"/>
              <w:bottom w:val="nil"/>
            </w:tcBorders>
            <w:shd w:val="clear" w:color="auto" w:fill="auto"/>
            <w:noWrap/>
            <w:vAlign w:val="center"/>
          </w:tcPr>
          <w:p w14:paraId="67FBA9C9" w14:textId="42D1E372" w:rsidR="0008665A" w:rsidRPr="0008665A" w:rsidRDefault="0008665A" w:rsidP="0008665A">
            <w:pPr>
              <w:spacing w:after="0" w:line="240" w:lineRule="auto"/>
              <w:ind w:firstLineChars="200" w:firstLine="320"/>
              <w:rPr>
                <w:rFonts w:ascii="Arial Narrow" w:eastAsia="Times New Roman" w:hAnsi="Arial Narrow" w:cs="Arial"/>
                <w:color w:val="0070C0"/>
                <w:sz w:val="16"/>
                <w:szCs w:val="16"/>
                <w:lang w:eastAsia="pt-BR"/>
              </w:rPr>
            </w:pPr>
            <w:r>
              <w:rPr>
                <w:rFonts w:ascii="Arial Narrow" w:eastAsia="Times New Roman" w:hAnsi="Arial Narrow" w:cs="Arial"/>
                <w:color w:val="0070C0"/>
                <w:sz w:val="16"/>
                <w:szCs w:val="16"/>
                <w:lang w:eastAsia="pt-BR"/>
              </w:rPr>
              <w:t>Juros e Encargos de Empréstimos Obtidos</w:t>
            </w:r>
          </w:p>
        </w:tc>
        <w:tc>
          <w:tcPr>
            <w:tcW w:w="835" w:type="dxa"/>
            <w:tcBorders>
              <w:top w:val="nil"/>
              <w:bottom w:val="nil"/>
              <w:right w:val="single" w:sz="8" w:space="0" w:color="auto"/>
            </w:tcBorders>
            <w:shd w:val="clear" w:color="auto" w:fill="auto"/>
            <w:noWrap/>
            <w:vAlign w:val="center"/>
          </w:tcPr>
          <w:p w14:paraId="3CAD7D67" w14:textId="77777777" w:rsidR="0008665A" w:rsidRPr="0008665A" w:rsidRDefault="0008665A" w:rsidP="0008665A">
            <w:pPr>
              <w:spacing w:after="0" w:line="240" w:lineRule="auto"/>
              <w:jc w:val="center"/>
              <w:rPr>
                <w:rFonts w:ascii="Arial Narrow" w:eastAsia="Times New Roman" w:hAnsi="Arial Narrow" w:cs="Arial"/>
                <w:color w:val="0070C0"/>
                <w:sz w:val="16"/>
                <w:szCs w:val="16"/>
                <w:lang w:eastAsia="pt-BR"/>
              </w:rPr>
            </w:pPr>
          </w:p>
        </w:tc>
        <w:tc>
          <w:tcPr>
            <w:tcW w:w="1149" w:type="dxa"/>
            <w:tcBorders>
              <w:top w:val="nil"/>
              <w:left w:val="nil"/>
              <w:bottom w:val="nil"/>
              <w:right w:val="single" w:sz="8" w:space="0" w:color="auto"/>
            </w:tcBorders>
            <w:shd w:val="clear" w:color="auto" w:fill="auto"/>
            <w:noWrap/>
            <w:vAlign w:val="center"/>
          </w:tcPr>
          <w:p w14:paraId="66B0BC25" w14:textId="617BDDA7" w:rsidR="0008665A" w:rsidRPr="0008665A" w:rsidRDefault="0008665A" w:rsidP="0008665A">
            <w:pPr>
              <w:spacing w:after="0" w:line="240" w:lineRule="auto"/>
              <w:jc w:val="center"/>
              <w:rPr>
                <w:rFonts w:ascii="Arial Narrow" w:eastAsia="Times New Roman" w:hAnsi="Arial Narrow" w:cs="Arial"/>
                <w:color w:val="0070C0"/>
                <w:sz w:val="16"/>
                <w:szCs w:val="16"/>
                <w:lang w:eastAsia="pt-BR"/>
              </w:rPr>
            </w:pPr>
            <w:r>
              <w:rPr>
                <w:rFonts w:ascii="Arial Narrow" w:eastAsia="Times New Roman" w:hAnsi="Arial Narrow" w:cs="Arial"/>
                <w:color w:val="0070C0"/>
                <w:sz w:val="16"/>
                <w:szCs w:val="16"/>
                <w:lang w:eastAsia="pt-BR"/>
              </w:rPr>
              <w:t>DVP.D051</w:t>
            </w:r>
          </w:p>
        </w:tc>
        <w:tc>
          <w:tcPr>
            <w:tcW w:w="1134" w:type="dxa"/>
            <w:tcBorders>
              <w:top w:val="nil"/>
              <w:left w:val="nil"/>
              <w:bottom w:val="nil"/>
              <w:right w:val="single" w:sz="8" w:space="0" w:color="auto"/>
            </w:tcBorders>
            <w:shd w:val="clear" w:color="auto" w:fill="auto"/>
            <w:noWrap/>
            <w:vAlign w:val="center"/>
          </w:tcPr>
          <w:p w14:paraId="252ECE94" w14:textId="29C45B0A" w:rsidR="0008665A" w:rsidRPr="0008665A" w:rsidRDefault="0008665A" w:rsidP="0008665A">
            <w:pPr>
              <w:spacing w:after="0" w:line="240" w:lineRule="auto"/>
              <w:jc w:val="center"/>
              <w:rPr>
                <w:rFonts w:ascii="Arial Narrow" w:eastAsia="Times New Roman" w:hAnsi="Arial Narrow" w:cs="Arial"/>
                <w:color w:val="0070C0"/>
                <w:sz w:val="16"/>
                <w:szCs w:val="16"/>
                <w:lang w:eastAsia="pt-BR"/>
              </w:rPr>
            </w:pPr>
            <w:r>
              <w:rPr>
                <w:rFonts w:ascii="Arial Narrow" w:eastAsia="Times New Roman" w:hAnsi="Arial Narrow" w:cs="Arial"/>
                <w:color w:val="0070C0"/>
                <w:sz w:val="16"/>
                <w:szCs w:val="16"/>
                <w:lang w:eastAsia="pt-BR"/>
              </w:rPr>
              <w:t>DVP.I051</w:t>
            </w:r>
          </w:p>
        </w:tc>
        <w:tc>
          <w:tcPr>
            <w:tcW w:w="4346" w:type="dxa"/>
            <w:tcBorders>
              <w:top w:val="nil"/>
              <w:left w:val="nil"/>
              <w:bottom w:val="nil"/>
            </w:tcBorders>
            <w:shd w:val="clear" w:color="auto" w:fill="auto"/>
            <w:noWrap/>
            <w:vAlign w:val="center"/>
          </w:tcPr>
          <w:p w14:paraId="0FB7D644" w14:textId="3D7C56D1" w:rsidR="0008665A" w:rsidRPr="001118B5" w:rsidRDefault="0008665A" w:rsidP="0008665A">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Juros e Encargos de Mora</w:t>
            </w:r>
          </w:p>
        </w:tc>
        <w:tc>
          <w:tcPr>
            <w:tcW w:w="846" w:type="dxa"/>
            <w:tcBorders>
              <w:top w:val="nil"/>
              <w:bottom w:val="nil"/>
              <w:right w:val="single" w:sz="8" w:space="0" w:color="auto"/>
            </w:tcBorders>
            <w:shd w:val="clear" w:color="auto" w:fill="auto"/>
            <w:noWrap/>
            <w:vAlign w:val="center"/>
          </w:tcPr>
          <w:p w14:paraId="1AA3A1A8"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tcPr>
          <w:p w14:paraId="127D714B" w14:textId="661B76BA"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DVP.H027</w:t>
            </w:r>
          </w:p>
        </w:tc>
        <w:tc>
          <w:tcPr>
            <w:tcW w:w="1120" w:type="dxa"/>
            <w:tcBorders>
              <w:top w:val="nil"/>
              <w:left w:val="nil"/>
              <w:bottom w:val="nil"/>
              <w:right w:val="single" w:sz="8" w:space="0" w:color="auto"/>
            </w:tcBorders>
            <w:shd w:val="clear" w:color="auto" w:fill="auto"/>
            <w:noWrap/>
            <w:vAlign w:val="center"/>
          </w:tcPr>
          <w:p w14:paraId="716FF3C1" w14:textId="46A69F80"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DVP.I027</w:t>
            </w:r>
          </w:p>
        </w:tc>
      </w:tr>
      <w:tr w:rsidR="0008665A" w:rsidRPr="001118B5" w14:paraId="5F6E9E0B" w14:textId="77777777" w:rsidTr="0008665A">
        <w:trPr>
          <w:trHeight w:val="240"/>
        </w:trPr>
        <w:tc>
          <w:tcPr>
            <w:tcW w:w="4410" w:type="dxa"/>
            <w:tcBorders>
              <w:top w:val="nil"/>
              <w:left w:val="single" w:sz="8" w:space="0" w:color="auto"/>
              <w:bottom w:val="nil"/>
            </w:tcBorders>
            <w:shd w:val="clear" w:color="auto" w:fill="auto"/>
            <w:noWrap/>
            <w:vAlign w:val="center"/>
            <w:hideMark/>
          </w:tcPr>
          <w:p w14:paraId="0495270F" w14:textId="77777777" w:rsidR="0008665A" w:rsidRPr="001118B5" w:rsidRDefault="0008665A" w:rsidP="0008665A">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lastRenderedPageBreak/>
              <w:t>Outras Variações Patrimoniais Aumentativas - Financeiras</w:t>
            </w:r>
          </w:p>
        </w:tc>
        <w:tc>
          <w:tcPr>
            <w:tcW w:w="835" w:type="dxa"/>
            <w:tcBorders>
              <w:top w:val="nil"/>
              <w:bottom w:val="nil"/>
              <w:right w:val="single" w:sz="8" w:space="0" w:color="auto"/>
            </w:tcBorders>
            <w:shd w:val="clear" w:color="auto" w:fill="auto"/>
            <w:noWrap/>
            <w:vAlign w:val="center"/>
          </w:tcPr>
          <w:p w14:paraId="69081C80"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773A4139"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DVP.D027</w:t>
            </w:r>
          </w:p>
        </w:tc>
        <w:tc>
          <w:tcPr>
            <w:tcW w:w="1134" w:type="dxa"/>
            <w:tcBorders>
              <w:top w:val="nil"/>
              <w:left w:val="nil"/>
              <w:bottom w:val="nil"/>
              <w:right w:val="single" w:sz="8" w:space="0" w:color="auto"/>
            </w:tcBorders>
            <w:shd w:val="clear" w:color="auto" w:fill="auto"/>
            <w:noWrap/>
            <w:vAlign w:val="center"/>
            <w:hideMark/>
          </w:tcPr>
          <w:p w14:paraId="10E52909"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DVP.E027</w:t>
            </w:r>
          </w:p>
        </w:tc>
        <w:tc>
          <w:tcPr>
            <w:tcW w:w="4346" w:type="dxa"/>
            <w:tcBorders>
              <w:top w:val="nil"/>
              <w:left w:val="nil"/>
              <w:bottom w:val="nil"/>
            </w:tcBorders>
            <w:shd w:val="clear" w:color="auto" w:fill="auto"/>
            <w:noWrap/>
            <w:vAlign w:val="center"/>
          </w:tcPr>
          <w:p w14:paraId="42640587" w14:textId="0141DADA" w:rsidR="0008665A" w:rsidRPr="001118B5" w:rsidRDefault="0008665A" w:rsidP="0008665A">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Variações Monetárias e Cambiais</w:t>
            </w:r>
          </w:p>
        </w:tc>
        <w:tc>
          <w:tcPr>
            <w:tcW w:w="846" w:type="dxa"/>
            <w:tcBorders>
              <w:top w:val="nil"/>
              <w:bottom w:val="nil"/>
              <w:right w:val="single" w:sz="8" w:space="0" w:color="auto"/>
            </w:tcBorders>
            <w:shd w:val="clear" w:color="auto" w:fill="auto"/>
            <w:noWrap/>
            <w:vAlign w:val="center"/>
          </w:tcPr>
          <w:p w14:paraId="1234DBEB"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tcPr>
          <w:p w14:paraId="10E591FA" w14:textId="56759F81"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DVP.H028</w:t>
            </w:r>
          </w:p>
        </w:tc>
        <w:tc>
          <w:tcPr>
            <w:tcW w:w="1120" w:type="dxa"/>
            <w:tcBorders>
              <w:top w:val="nil"/>
              <w:left w:val="nil"/>
              <w:bottom w:val="nil"/>
              <w:right w:val="single" w:sz="8" w:space="0" w:color="auto"/>
            </w:tcBorders>
            <w:shd w:val="clear" w:color="auto" w:fill="auto"/>
            <w:noWrap/>
            <w:vAlign w:val="center"/>
          </w:tcPr>
          <w:p w14:paraId="521DE1DC" w14:textId="79750E8C"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DVP.I028</w:t>
            </w:r>
          </w:p>
        </w:tc>
      </w:tr>
      <w:tr w:rsidR="0008665A" w:rsidRPr="001118B5" w14:paraId="132CD0FF" w14:textId="77777777" w:rsidTr="0008665A">
        <w:trPr>
          <w:trHeight w:val="240"/>
        </w:trPr>
        <w:tc>
          <w:tcPr>
            <w:tcW w:w="4410" w:type="dxa"/>
            <w:tcBorders>
              <w:top w:val="nil"/>
              <w:left w:val="single" w:sz="8" w:space="0" w:color="auto"/>
              <w:bottom w:val="nil"/>
            </w:tcBorders>
            <w:shd w:val="clear" w:color="auto" w:fill="auto"/>
            <w:noWrap/>
            <w:vAlign w:val="center"/>
            <w:hideMark/>
          </w:tcPr>
          <w:p w14:paraId="31B20621" w14:textId="77777777" w:rsidR="0008665A" w:rsidRPr="001118B5" w:rsidRDefault="0008665A" w:rsidP="0008665A">
            <w:pPr>
              <w:spacing w:after="0" w:line="240" w:lineRule="auto"/>
              <w:rPr>
                <w:rFonts w:ascii="Arial Narrow" w:eastAsia="Times New Roman" w:hAnsi="Arial Narrow" w:cs="Arial"/>
                <w:b/>
                <w:bCs/>
                <w:sz w:val="16"/>
                <w:szCs w:val="16"/>
                <w:u w:val="single"/>
                <w:lang w:eastAsia="pt-BR"/>
              </w:rPr>
            </w:pPr>
            <w:r w:rsidRPr="001118B5">
              <w:rPr>
                <w:rFonts w:ascii="Arial Narrow" w:eastAsia="Times New Roman" w:hAnsi="Arial Narrow" w:cs="Arial"/>
                <w:b/>
                <w:bCs/>
                <w:sz w:val="16"/>
                <w:szCs w:val="16"/>
                <w:u w:val="single"/>
                <w:lang w:eastAsia="pt-BR"/>
              </w:rPr>
              <w:t>Transferências e Delegações Recebidas</w:t>
            </w:r>
          </w:p>
        </w:tc>
        <w:tc>
          <w:tcPr>
            <w:tcW w:w="835" w:type="dxa"/>
            <w:tcBorders>
              <w:top w:val="nil"/>
              <w:bottom w:val="nil"/>
              <w:right w:val="single" w:sz="8" w:space="0" w:color="auto"/>
            </w:tcBorders>
            <w:shd w:val="clear" w:color="auto" w:fill="auto"/>
            <w:noWrap/>
            <w:vAlign w:val="center"/>
          </w:tcPr>
          <w:p w14:paraId="15A1FCAD" w14:textId="77777777" w:rsidR="0008665A" w:rsidRPr="001118B5" w:rsidRDefault="0008665A" w:rsidP="0008665A">
            <w:pPr>
              <w:spacing w:after="0" w:line="240" w:lineRule="auto"/>
              <w:jc w:val="center"/>
              <w:rPr>
                <w:rFonts w:ascii="Arial Narrow" w:eastAsia="Times New Roman" w:hAnsi="Arial Narrow" w:cs="Arial"/>
                <w:b/>
                <w:bCs/>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026746C7" w14:textId="77777777" w:rsidR="0008665A" w:rsidRPr="001118B5" w:rsidRDefault="0008665A" w:rsidP="0008665A">
            <w:pPr>
              <w:spacing w:after="0" w:line="240" w:lineRule="auto"/>
              <w:jc w:val="center"/>
              <w:rPr>
                <w:rFonts w:ascii="Arial Narrow" w:eastAsia="Times New Roman" w:hAnsi="Arial Narrow" w:cs="Arial"/>
                <w:b/>
                <w:bCs/>
                <w:sz w:val="16"/>
                <w:szCs w:val="16"/>
                <w:lang w:eastAsia="pt-BR"/>
              </w:rPr>
            </w:pPr>
            <w:r w:rsidRPr="001118B5">
              <w:rPr>
                <w:rFonts w:ascii="Arial Narrow" w:eastAsia="Times New Roman" w:hAnsi="Arial Narrow" w:cs="Arial"/>
                <w:b/>
                <w:bCs/>
                <w:sz w:val="16"/>
                <w:szCs w:val="16"/>
                <w:lang w:eastAsia="pt-BR"/>
              </w:rPr>
              <w:t>DVP.D028</w:t>
            </w:r>
          </w:p>
        </w:tc>
        <w:tc>
          <w:tcPr>
            <w:tcW w:w="1134" w:type="dxa"/>
            <w:tcBorders>
              <w:top w:val="nil"/>
              <w:left w:val="nil"/>
              <w:bottom w:val="nil"/>
              <w:right w:val="single" w:sz="8" w:space="0" w:color="auto"/>
            </w:tcBorders>
            <w:shd w:val="clear" w:color="auto" w:fill="auto"/>
            <w:noWrap/>
            <w:vAlign w:val="center"/>
            <w:hideMark/>
          </w:tcPr>
          <w:p w14:paraId="4F12F02C" w14:textId="77777777" w:rsidR="0008665A" w:rsidRPr="001118B5" w:rsidRDefault="0008665A" w:rsidP="0008665A">
            <w:pPr>
              <w:spacing w:after="0" w:line="240" w:lineRule="auto"/>
              <w:jc w:val="center"/>
              <w:rPr>
                <w:rFonts w:ascii="Arial Narrow" w:eastAsia="Times New Roman" w:hAnsi="Arial Narrow" w:cs="Arial"/>
                <w:b/>
                <w:bCs/>
                <w:sz w:val="16"/>
                <w:szCs w:val="16"/>
                <w:lang w:eastAsia="pt-BR"/>
              </w:rPr>
            </w:pPr>
            <w:r w:rsidRPr="001118B5">
              <w:rPr>
                <w:rFonts w:ascii="Arial Narrow" w:eastAsia="Times New Roman" w:hAnsi="Arial Narrow" w:cs="Arial"/>
                <w:b/>
                <w:bCs/>
                <w:sz w:val="16"/>
                <w:szCs w:val="16"/>
                <w:lang w:eastAsia="pt-BR"/>
              </w:rPr>
              <w:t>DVP.E028</w:t>
            </w:r>
          </w:p>
        </w:tc>
        <w:tc>
          <w:tcPr>
            <w:tcW w:w="4346" w:type="dxa"/>
            <w:tcBorders>
              <w:top w:val="nil"/>
              <w:left w:val="nil"/>
              <w:bottom w:val="nil"/>
            </w:tcBorders>
            <w:shd w:val="clear" w:color="auto" w:fill="auto"/>
            <w:noWrap/>
            <w:vAlign w:val="center"/>
          </w:tcPr>
          <w:p w14:paraId="2494A473" w14:textId="1ABC11BD" w:rsidR="0008665A" w:rsidRPr="001118B5" w:rsidRDefault="0008665A" w:rsidP="0008665A">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Descontos Financeiros Concedidos</w:t>
            </w:r>
          </w:p>
        </w:tc>
        <w:tc>
          <w:tcPr>
            <w:tcW w:w="846" w:type="dxa"/>
            <w:tcBorders>
              <w:top w:val="nil"/>
              <w:bottom w:val="nil"/>
              <w:right w:val="single" w:sz="8" w:space="0" w:color="auto"/>
            </w:tcBorders>
            <w:shd w:val="clear" w:color="auto" w:fill="auto"/>
            <w:noWrap/>
            <w:vAlign w:val="center"/>
          </w:tcPr>
          <w:p w14:paraId="75759FCC"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tcPr>
          <w:p w14:paraId="3C805503" w14:textId="3C014352"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DVP.H029</w:t>
            </w:r>
          </w:p>
        </w:tc>
        <w:tc>
          <w:tcPr>
            <w:tcW w:w="1120" w:type="dxa"/>
            <w:tcBorders>
              <w:top w:val="nil"/>
              <w:left w:val="nil"/>
              <w:bottom w:val="nil"/>
              <w:right w:val="single" w:sz="8" w:space="0" w:color="auto"/>
            </w:tcBorders>
            <w:shd w:val="clear" w:color="auto" w:fill="auto"/>
            <w:noWrap/>
            <w:vAlign w:val="center"/>
          </w:tcPr>
          <w:p w14:paraId="224A3054" w14:textId="17807B75"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DVP.I029</w:t>
            </w:r>
          </w:p>
        </w:tc>
      </w:tr>
      <w:tr w:rsidR="0008665A" w:rsidRPr="001118B5" w14:paraId="24642BCD" w14:textId="77777777" w:rsidTr="0008665A">
        <w:trPr>
          <w:trHeight w:val="255"/>
        </w:trPr>
        <w:tc>
          <w:tcPr>
            <w:tcW w:w="4410" w:type="dxa"/>
            <w:tcBorders>
              <w:top w:val="nil"/>
              <w:left w:val="single" w:sz="8" w:space="0" w:color="auto"/>
              <w:bottom w:val="nil"/>
            </w:tcBorders>
            <w:shd w:val="clear" w:color="auto" w:fill="auto"/>
            <w:noWrap/>
            <w:vAlign w:val="center"/>
            <w:hideMark/>
          </w:tcPr>
          <w:p w14:paraId="395A8F3E" w14:textId="77777777" w:rsidR="0008665A" w:rsidRPr="001118B5" w:rsidRDefault="0008665A" w:rsidP="0008665A">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Transferências Intragovermamentais</w:t>
            </w:r>
          </w:p>
        </w:tc>
        <w:tc>
          <w:tcPr>
            <w:tcW w:w="835" w:type="dxa"/>
            <w:tcBorders>
              <w:top w:val="nil"/>
              <w:bottom w:val="nil"/>
              <w:right w:val="single" w:sz="8" w:space="0" w:color="auto"/>
            </w:tcBorders>
            <w:shd w:val="clear" w:color="auto" w:fill="auto"/>
            <w:noWrap/>
            <w:vAlign w:val="center"/>
          </w:tcPr>
          <w:p w14:paraId="623617BC"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50397BCF"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DVP.D029</w:t>
            </w:r>
          </w:p>
        </w:tc>
        <w:tc>
          <w:tcPr>
            <w:tcW w:w="1134" w:type="dxa"/>
            <w:tcBorders>
              <w:top w:val="nil"/>
              <w:left w:val="nil"/>
              <w:bottom w:val="nil"/>
              <w:right w:val="single" w:sz="8" w:space="0" w:color="auto"/>
            </w:tcBorders>
            <w:shd w:val="clear" w:color="auto" w:fill="auto"/>
            <w:noWrap/>
            <w:vAlign w:val="center"/>
            <w:hideMark/>
          </w:tcPr>
          <w:p w14:paraId="484F9F59"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DVP.E029</w:t>
            </w:r>
          </w:p>
        </w:tc>
        <w:tc>
          <w:tcPr>
            <w:tcW w:w="4346" w:type="dxa"/>
            <w:tcBorders>
              <w:top w:val="nil"/>
              <w:left w:val="nil"/>
              <w:bottom w:val="nil"/>
            </w:tcBorders>
            <w:shd w:val="clear" w:color="auto" w:fill="auto"/>
            <w:noWrap/>
            <w:vAlign w:val="center"/>
          </w:tcPr>
          <w:p w14:paraId="31A0E96E" w14:textId="441D2E6B" w:rsidR="0008665A" w:rsidRPr="001118B5" w:rsidRDefault="0008665A" w:rsidP="0008665A">
            <w:pPr>
              <w:spacing w:after="0" w:line="240" w:lineRule="auto"/>
              <w:ind w:firstLineChars="200" w:firstLine="320"/>
              <w:rPr>
                <w:rFonts w:ascii="Arial Narrow" w:eastAsia="Times New Roman" w:hAnsi="Arial Narrow" w:cs="Arial"/>
                <w:sz w:val="16"/>
                <w:szCs w:val="16"/>
                <w:lang w:eastAsia="pt-BR"/>
              </w:rPr>
            </w:pPr>
            <w:r>
              <w:rPr>
                <w:rFonts w:ascii="Arial Narrow" w:eastAsia="Times New Roman" w:hAnsi="Arial Narrow" w:cs="Arial"/>
                <w:color w:val="0070C0"/>
                <w:sz w:val="16"/>
                <w:szCs w:val="16"/>
                <w:lang w:eastAsia="pt-BR"/>
              </w:rPr>
              <w:t>Juros e Encargos de Emprestimos e Financiamentos Concedidos</w:t>
            </w:r>
          </w:p>
        </w:tc>
        <w:tc>
          <w:tcPr>
            <w:tcW w:w="846" w:type="dxa"/>
            <w:tcBorders>
              <w:top w:val="nil"/>
              <w:bottom w:val="nil"/>
              <w:right w:val="single" w:sz="8" w:space="0" w:color="auto"/>
            </w:tcBorders>
            <w:shd w:val="clear" w:color="auto" w:fill="auto"/>
            <w:noWrap/>
            <w:vAlign w:val="center"/>
          </w:tcPr>
          <w:p w14:paraId="05280179"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tcPr>
          <w:p w14:paraId="6ACD30A2" w14:textId="2E8AA393" w:rsidR="0008665A" w:rsidRPr="001118B5" w:rsidRDefault="0008665A" w:rsidP="0008665A">
            <w:pPr>
              <w:spacing w:after="0" w:line="240" w:lineRule="auto"/>
              <w:jc w:val="center"/>
              <w:rPr>
                <w:rFonts w:ascii="Arial Narrow" w:eastAsia="Times New Roman" w:hAnsi="Arial Narrow" w:cs="Arial"/>
                <w:sz w:val="16"/>
                <w:szCs w:val="16"/>
                <w:lang w:eastAsia="pt-BR"/>
              </w:rPr>
            </w:pPr>
            <w:r>
              <w:rPr>
                <w:rFonts w:ascii="Arial Narrow" w:eastAsia="Times New Roman" w:hAnsi="Arial Narrow" w:cs="Arial"/>
                <w:color w:val="0070C0"/>
                <w:sz w:val="16"/>
                <w:szCs w:val="16"/>
                <w:lang w:eastAsia="pt-BR"/>
              </w:rPr>
              <w:t>DVP.H063</w:t>
            </w:r>
          </w:p>
        </w:tc>
        <w:tc>
          <w:tcPr>
            <w:tcW w:w="1120" w:type="dxa"/>
            <w:tcBorders>
              <w:top w:val="nil"/>
              <w:left w:val="nil"/>
              <w:bottom w:val="nil"/>
              <w:right w:val="single" w:sz="8" w:space="0" w:color="auto"/>
            </w:tcBorders>
            <w:shd w:val="clear" w:color="auto" w:fill="auto"/>
            <w:noWrap/>
            <w:vAlign w:val="center"/>
          </w:tcPr>
          <w:p w14:paraId="5CCFA119" w14:textId="17B21D0A" w:rsidR="0008665A" w:rsidRPr="001118B5" w:rsidRDefault="0008665A" w:rsidP="0008665A">
            <w:pPr>
              <w:spacing w:after="0" w:line="240" w:lineRule="auto"/>
              <w:jc w:val="center"/>
              <w:rPr>
                <w:rFonts w:ascii="Arial Narrow" w:eastAsia="Times New Roman" w:hAnsi="Arial Narrow" w:cs="Arial"/>
                <w:sz w:val="16"/>
                <w:szCs w:val="16"/>
                <w:lang w:eastAsia="pt-BR"/>
              </w:rPr>
            </w:pPr>
            <w:r>
              <w:rPr>
                <w:rFonts w:ascii="Arial Narrow" w:eastAsia="Times New Roman" w:hAnsi="Arial Narrow" w:cs="Arial"/>
                <w:color w:val="0070C0"/>
                <w:sz w:val="16"/>
                <w:szCs w:val="16"/>
                <w:lang w:eastAsia="pt-BR"/>
              </w:rPr>
              <w:t>DVP.I063</w:t>
            </w:r>
          </w:p>
        </w:tc>
      </w:tr>
      <w:tr w:rsidR="0008665A" w:rsidRPr="001118B5" w14:paraId="29B96E07" w14:textId="77777777" w:rsidTr="00E67116">
        <w:trPr>
          <w:trHeight w:val="255"/>
        </w:trPr>
        <w:tc>
          <w:tcPr>
            <w:tcW w:w="4410" w:type="dxa"/>
            <w:tcBorders>
              <w:top w:val="nil"/>
              <w:left w:val="single" w:sz="8" w:space="0" w:color="auto"/>
              <w:bottom w:val="nil"/>
            </w:tcBorders>
            <w:shd w:val="clear" w:color="auto" w:fill="auto"/>
            <w:noWrap/>
            <w:vAlign w:val="center"/>
            <w:hideMark/>
          </w:tcPr>
          <w:p w14:paraId="31F12AA5" w14:textId="77777777" w:rsidR="0008665A" w:rsidRPr="001118B5" w:rsidRDefault="0008665A" w:rsidP="0008665A">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Transferências Intergovermamentais</w:t>
            </w:r>
          </w:p>
        </w:tc>
        <w:tc>
          <w:tcPr>
            <w:tcW w:w="835" w:type="dxa"/>
            <w:tcBorders>
              <w:top w:val="nil"/>
              <w:bottom w:val="nil"/>
              <w:right w:val="single" w:sz="8" w:space="0" w:color="auto"/>
            </w:tcBorders>
            <w:shd w:val="clear" w:color="auto" w:fill="auto"/>
            <w:noWrap/>
            <w:vAlign w:val="center"/>
          </w:tcPr>
          <w:p w14:paraId="0BFDC73F"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21D1846B"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DVP.D030</w:t>
            </w:r>
          </w:p>
        </w:tc>
        <w:tc>
          <w:tcPr>
            <w:tcW w:w="1134" w:type="dxa"/>
            <w:tcBorders>
              <w:top w:val="nil"/>
              <w:left w:val="nil"/>
              <w:bottom w:val="nil"/>
              <w:right w:val="single" w:sz="8" w:space="0" w:color="auto"/>
            </w:tcBorders>
            <w:shd w:val="clear" w:color="auto" w:fill="auto"/>
            <w:noWrap/>
            <w:vAlign w:val="center"/>
            <w:hideMark/>
          </w:tcPr>
          <w:p w14:paraId="7DD1D01D"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DVP.E030</w:t>
            </w:r>
          </w:p>
        </w:tc>
        <w:tc>
          <w:tcPr>
            <w:tcW w:w="4346" w:type="dxa"/>
            <w:tcBorders>
              <w:top w:val="nil"/>
              <w:left w:val="nil"/>
              <w:bottom w:val="nil"/>
            </w:tcBorders>
            <w:shd w:val="clear" w:color="auto" w:fill="auto"/>
            <w:noWrap/>
            <w:vAlign w:val="center"/>
            <w:hideMark/>
          </w:tcPr>
          <w:p w14:paraId="7529E12B" w14:textId="77777777" w:rsidR="0008665A" w:rsidRPr="001118B5" w:rsidRDefault="0008665A" w:rsidP="0008665A">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Outras Variações Patrimoniais Diminutivas - Financeiras</w:t>
            </w:r>
          </w:p>
        </w:tc>
        <w:tc>
          <w:tcPr>
            <w:tcW w:w="846" w:type="dxa"/>
            <w:tcBorders>
              <w:top w:val="nil"/>
              <w:bottom w:val="nil"/>
              <w:right w:val="single" w:sz="8" w:space="0" w:color="auto"/>
            </w:tcBorders>
            <w:shd w:val="clear" w:color="auto" w:fill="auto"/>
            <w:noWrap/>
            <w:vAlign w:val="center"/>
          </w:tcPr>
          <w:p w14:paraId="62B0198B"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18D0CB21"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DVP.H030</w:t>
            </w:r>
          </w:p>
        </w:tc>
        <w:tc>
          <w:tcPr>
            <w:tcW w:w="1120" w:type="dxa"/>
            <w:tcBorders>
              <w:top w:val="nil"/>
              <w:left w:val="nil"/>
              <w:bottom w:val="nil"/>
              <w:right w:val="single" w:sz="8" w:space="0" w:color="auto"/>
            </w:tcBorders>
            <w:shd w:val="clear" w:color="auto" w:fill="auto"/>
            <w:noWrap/>
            <w:vAlign w:val="center"/>
            <w:hideMark/>
          </w:tcPr>
          <w:p w14:paraId="1D0D7E77"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DVP.I030</w:t>
            </w:r>
          </w:p>
        </w:tc>
      </w:tr>
      <w:tr w:rsidR="0008665A" w:rsidRPr="001118B5" w14:paraId="57C019C6" w14:textId="77777777" w:rsidTr="00E67116">
        <w:trPr>
          <w:trHeight w:val="255"/>
        </w:trPr>
        <w:tc>
          <w:tcPr>
            <w:tcW w:w="4410" w:type="dxa"/>
            <w:tcBorders>
              <w:top w:val="nil"/>
              <w:left w:val="single" w:sz="8" w:space="0" w:color="auto"/>
              <w:bottom w:val="nil"/>
            </w:tcBorders>
            <w:shd w:val="clear" w:color="auto" w:fill="auto"/>
            <w:noWrap/>
            <w:vAlign w:val="center"/>
            <w:hideMark/>
          </w:tcPr>
          <w:p w14:paraId="49BED15E" w14:textId="77777777" w:rsidR="0008665A" w:rsidRPr="001118B5" w:rsidRDefault="0008665A" w:rsidP="0008665A">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Transferências das Instutuições Privadas</w:t>
            </w:r>
          </w:p>
        </w:tc>
        <w:tc>
          <w:tcPr>
            <w:tcW w:w="835" w:type="dxa"/>
            <w:tcBorders>
              <w:top w:val="nil"/>
              <w:bottom w:val="nil"/>
              <w:right w:val="single" w:sz="8" w:space="0" w:color="auto"/>
            </w:tcBorders>
            <w:shd w:val="clear" w:color="auto" w:fill="auto"/>
            <w:noWrap/>
            <w:vAlign w:val="center"/>
          </w:tcPr>
          <w:p w14:paraId="3872E049"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2A1321E5"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DVP.D031</w:t>
            </w:r>
          </w:p>
        </w:tc>
        <w:tc>
          <w:tcPr>
            <w:tcW w:w="1134" w:type="dxa"/>
            <w:tcBorders>
              <w:top w:val="nil"/>
              <w:left w:val="nil"/>
              <w:bottom w:val="nil"/>
              <w:right w:val="single" w:sz="8" w:space="0" w:color="auto"/>
            </w:tcBorders>
            <w:shd w:val="clear" w:color="auto" w:fill="auto"/>
            <w:noWrap/>
            <w:vAlign w:val="center"/>
            <w:hideMark/>
          </w:tcPr>
          <w:p w14:paraId="3B080BB5"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DVP.E031</w:t>
            </w:r>
          </w:p>
        </w:tc>
        <w:tc>
          <w:tcPr>
            <w:tcW w:w="4346" w:type="dxa"/>
            <w:tcBorders>
              <w:top w:val="nil"/>
              <w:left w:val="nil"/>
              <w:bottom w:val="nil"/>
            </w:tcBorders>
            <w:shd w:val="clear" w:color="auto" w:fill="auto"/>
            <w:noWrap/>
            <w:vAlign w:val="center"/>
            <w:hideMark/>
          </w:tcPr>
          <w:p w14:paraId="3EB5FD77" w14:textId="77777777" w:rsidR="0008665A" w:rsidRPr="001118B5" w:rsidRDefault="0008665A" w:rsidP="0008665A">
            <w:pPr>
              <w:spacing w:after="0" w:line="240" w:lineRule="auto"/>
              <w:rPr>
                <w:rFonts w:ascii="Arial Narrow" w:eastAsia="Times New Roman" w:hAnsi="Arial Narrow" w:cs="Arial"/>
                <w:b/>
                <w:bCs/>
                <w:sz w:val="16"/>
                <w:szCs w:val="16"/>
                <w:u w:val="single"/>
                <w:lang w:eastAsia="pt-BR"/>
              </w:rPr>
            </w:pPr>
            <w:r w:rsidRPr="001118B5">
              <w:rPr>
                <w:rFonts w:ascii="Arial Narrow" w:eastAsia="Times New Roman" w:hAnsi="Arial Narrow" w:cs="Arial"/>
                <w:b/>
                <w:bCs/>
                <w:sz w:val="16"/>
                <w:szCs w:val="16"/>
                <w:u w:val="single"/>
                <w:lang w:eastAsia="pt-BR"/>
              </w:rPr>
              <w:t>Transferências e Delegações Concedidas</w:t>
            </w:r>
          </w:p>
        </w:tc>
        <w:tc>
          <w:tcPr>
            <w:tcW w:w="846" w:type="dxa"/>
            <w:tcBorders>
              <w:top w:val="nil"/>
              <w:right w:val="single" w:sz="8" w:space="0" w:color="auto"/>
            </w:tcBorders>
            <w:shd w:val="clear" w:color="auto" w:fill="auto"/>
            <w:noWrap/>
            <w:vAlign w:val="center"/>
          </w:tcPr>
          <w:p w14:paraId="66C9887B" w14:textId="77777777" w:rsidR="0008665A" w:rsidRPr="001118B5" w:rsidRDefault="0008665A" w:rsidP="0008665A">
            <w:pPr>
              <w:spacing w:after="0" w:line="240" w:lineRule="auto"/>
              <w:jc w:val="center"/>
              <w:rPr>
                <w:rFonts w:ascii="Arial Narrow" w:eastAsia="Times New Roman" w:hAnsi="Arial Narrow" w:cs="Arial"/>
                <w:b/>
                <w:bCs/>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5C85D71C" w14:textId="77777777" w:rsidR="0008665A" w:rsidRPr="001118B5" w:rsidRDefault="0008665A" w:rsidP="0008665A">
            <w:pPr>
              <w:spacing w:after="0" w:line="240" w:lineRule="auto"/>
              <w:jc w:val="center"/>
              <w:rPr>
                <w:rFonts w:ascii="Arial Narrow" w:eastAsia="Times New Roman" w:hAnsi="Arial Narrow" w:cs="Arial"/>
                <w:b/>
                <w:bCs/>
                <w:sz w:val="16"/>
                <w:szCs w:val="16"/>
                <w:lang w:eastAsia="pt-BR"/>
              </w:rPr>
            </w:pPr>
            <w:r w:rsidRPr="001118B5">
              <w:rPr>
                <w:rFonts w:ascii="Arial Narrow" w:eastAsia="Times New Roman" w:hAnsi="Arial Narrow" w:cs="Arial"/>
                <w:b/>
                <w:bCs/>
                <w:sz w:val="16"/>
                <w:szCs w:val="16"/>
                <w:lang w:eastAsia="pt-BR"/>
              </w:rPr>
              <w:t>DVP.H031</w:t>
            </w:r>
          </w:p>
        </w:tc>
        <w:tc>
          <w:tcPr>
            <w:tcW w:w="1120" w:type="dxa"/>
            <w:tcBorders>
              <w:top w:val="nil"/>
              <w:left w:val="nil"/>
              <w:bottom w:val="nil"/>
              <w:right w:val="single" w:sz="8" w:space="0" w:color="auto"/>
            </w:tcBorders>
            <w:shd w:val="clear" w:color="auto" w:fill="auto"/>
            <w:noWrap/>
            <w:vAlign w:val="center"/>
            <w:hideMark/>
          </w:tcPr>
          <w:p w14:paraId="159A33C0" w14:textId="77777777" w:rsidR="0008665A" w:rsidRPr="001118B5" w:rsidRDefault="0008665A" w:rsidP="0008665A">
            <w:pPr>
              <w:spacing w:after="0" w:line="240" w:lineRule="auto"/>
              <w:jc w:val="center"/>
              <w:rPr>
                <w:rFonts w:ascii="Arial Narrow" w:eastAsia="Times New Roman" w:hAnsi="Arial Narrow" w:cs="Arial"/>
                <w:b/>
                <w:bCs/>
                <w:sz w:val="16"/>
                <w:szCs w:val="16"/>
                <w:lang w:eastAsia="pt-BR"/>
              </w:rPr>
            </w:pPr>
            <w:r w:rsidRPr="001118B5">
              <w:rPr>
                <w:rFonts w:ascii="Arial Narrow" w:eastAsia="Times New Roman" w:hAnsi="Arial Narrow" w:cs="Arial"/>
                <w:b/>
                <w:bCs/>
                <w:sz w:val="16"/>
                <w:szCs w:val="16"/>
                <w:lang w:eastAsia="pt-BR"/>
              </w:rPr>
              <w:t>DVP.I031</w:t>
            </w:r>
          </w:p>
        </w:tc>
      </w:tr>
      <w:tr w:rsidR="0008665A" w:rsidRPr="001118B5" w14:paraId="5C3C0F9F" w14:textId="77777777" w:rsidTr="00E67116">
        <w:trPr>
          <w:trHeight w:val="255"/>
        </w:trPr>
        <w:tc>
          <w:tcPr>
            <w:tcW w:w="4410" w:type="dxa"/>
            <w:tcBorders>
              <w:top w:val="nil"/>
              <w:left w:val="single" w:sz="8" w:space="0" w:color="auto"/>
              <w:bottom w:val="nil"/>
            </w:tcBorders>
            <w:shd w:val="clear" w:color="auto" w:fill="auto"/>
            <w:noWrap/>
            <w:vAlign w:val="center"/>
            <w:hideMark/>
          </w:tcPr>
          <w:p w14:paraId="7FA9B6A3" w14:textId="77777777" w:rsidR="0008665A" w:rsidRPr="001118B5" w:rsidRDefault="0008665A" w:rsidP="0008665A">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Transferências das Instituições Multigovernamentais</w:t>
            </w:r>
          </w:p>
        </w:tc>
        <w:tc>
          <w:tcPr>
            <w:tcW w:w="835" w:type="dxa"/>
            <w:tcBorders>
              <w:top w:val="nil"/>
              <w:bottom w:val="nil"/>
              <w:right w:val="single" w:sz="8" w:space="0" w:color="auto"/>
            </w:tcBorders>
            <w:shd w:val="clear" w:color="auto" w:fill="auto"/>
            <w:noWrap/>
            <w:vAlign w:val="center"/>
          </w:tcPr>
          <w:p w14:paraId="2CD09921"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598F6206"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DVP.D032</w:t>
            </w:r>
          </w:p>
        </w:tc>
        <w:tc>
          <w:tcPr>
            <w:tcW w:w="1134" w:type="dxa"/>
            <w:tcBorders>
              <w:top w:val="nil"/>
              <w:left w:val="nil"/>
              <w:bottom w:val="nil"/>
              <w:right w:val="single" w:sz="8" w:space="0" w:color="auto"/>
            </w:tcBorders>
            <w:shd w:val="clear" w:color="auto" w:fill="auto"/>
            <w:noWrap/>
            <w:vAlign w:val="center"/>
            <w:hideMark/>
          </w:tcPr>
          <w:p w14:paraId="6CB0749E"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DVP.E032</w:t>
            </w:r>
          </w:p>
        </w:tc>
        <w:tc>
          <w:tcPr>
            <w:tcW w:w="4346" w:type="dxa"/>
            <w:tcBorders>
              <w:top w:val="nil"/>
              <w:left w:val="nil"/>
              <w:bottom w:val="nil"/>
            </w:tcBorders>
            <w:shd w:val="clear" w:color="auto" w:fill="auto"/>
            <w:noWrap/>
            <w:vAlign w:val="center"/>
            <w:hideMark/>
          </w:tcPr>
          <w:p w14:paraId="4876B594" w14:textId="77777777" w:rsidR="0008665A" w:rsidRPr="001118B5" w:rsidRDefault="0008665A" w:rsidP="0008665A">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Transferências Intragovernamentais</w:t>
            </w:r>
          </w:p>
        </w:tc>
        <w:tc>
          <w:tcPr>
            <w:tcW w:w="846" w:type="dxa"/>
            <w:tcBorders>
              <w:top w:val="nil"/>
              <w:bottom w:val="nil"/>
              <w:right w:val="single" w:sz="8" w:space="0" w:color="auto"/>
            </w:tcBorders>
            <w:shd w:val="clear" w:color="auto" w:fill="auto"/>
            <w:noWrap/>
            <w:vAlign w:val="center"/>
          </w:tcPr>
          <w:p w14:paraId="0D20C310"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3CE7FD8D"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DVP.H032</w:t>
            </w:r>
          </w:p>
        </w:tc>
        <w:tc>
          <w:tcPr>
            <w:tcW w:w="1120" w:type="dxa"/>
            <w:tcBorders>
              <w:top w:val="nil"/>
              <w:left w:val="nil"/>
              <w:bottom w:val="nil"/>
              <w:right w:val="single" w:sz="8" w:space="0" w:color="auto"/>
            </w:tcBorders>
            <w:shd w:val="clear" w:color="auto" w:fill="auto"/>
            <w:noWrap/>
            <w:vAlign w:val="center"/>
            <w:hideMark/>
          </w:tcPr>
          <w:p w14:paraId="2AF6E1AA"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DVP.I032</w:t>
            </w:r>
          </w:p>
        </w:tc>
      </w:tr>
      <w:tr w:rsidR="0008665A" w:rsidRPr="001118B5" w14:paraId="4CC3357B" w14:textId="77777777" w:rsidTr="00E67116">
        <w:trPr>
          <w:trHeight w:val="255"/>
        </w:trPr>
        <w:tc>
          <w:tcPr>
            <w:tcW w:w="4410" w:type="dxa"/>
            <w:tcBorders>
              <w:top w:val="nil"/>
              <w:left w:val="single" w:sz="8" w:space="0" w:color="auto"/>
              <w:bottom w:val="nil"/>
            </w:tcBorders>
            <w:shd w:val="clear" w:color="auto" w:fill="auto"/>
            <w:noWrap/>
            <w:vAlign w:val="center"/>
            <w:hideMark/>
          </w:tcPr>
          <w:p w14:paraId="073030F0" w14:textId="77777777" w:rsidR="0008665A" w:rsidRPr="001118B5" w:rsidRDefault="0008665A" w:rsidP="0008665A">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Transferências de Consórcios Públicos</w:t>
            </w:r>
          </w:p>
        </w:tc>
        <w:tc>
          <w:tcPr>
            <w:tcW w:w="835" w:type="dxa"/>
            <w:tcBorders>
              <w:top w:val="nil"/>
              <w:bottom w:val="nil"/>
              <w:right w:val="single" w:sz="8" w:space="0" w:color="auto"/>
            </w:tcBorders>
            <w:shd w:val="clear" w:color="auto" w:fill="auto"/>
            <w:noWrap/>
            <w:vAlign w:val="center"/>
          </w:tcPr>
          <w:p w14:paraId="5ED2296C"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3F8C03F4"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DVP.D033</w:t>
            </w:r>
          </w:p>
        </w:tc>
        <w:tc>
          <w:tcPr>
            <w:tcW w:w="1134" w:type="dxa"/>
            <w:tcBorders>
              <w:top w:val="nil"/>
              <w:left w:val="nil"/>
              <w:bottom w:val="nil"/>
              <w:right w:val="single" w:sz="8" w:space="0" w:color="auto"/>
            </w:tcBorders>
            <w:shd w:val="clear" w:color="auto" w:fill="auto"/>
            <w:noWrap/>
            <w:vAlign w:val="center"/>
            <w:hideMark/>
          </w:tcPr>
          <w:p w14:paraId="79807ACF"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DVP.E033</w:t>
            </w:r>
          </w:p>
        </w:tc>
        <w:tc>
          <w:tcPr>
            <w:tcW w:w="4346" w:type="dxa"/>
            <w:tcBorders>
              <w:top w:val="nil"/>
              <w:left w:val="nil"/>
              <w:bottom w:val="nil"/>
            </w:tcBorders>
            <w:shd w:val="clear" w:color="auto" w:fill="auto"/>
            <w:noWrap/>
            <w:vAlign w:val="center"/>
            <w:hideMark/>
          </w:tcPr>
          <w:p w14:paraId="50F448DD" w14:textId="77777777" w:rsidR="0008665A" w:rsidRPr="001118B5" w:rsidRDefault="0008665A" w:rsidP="0008665A">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Transferências Intergovernamentais</w:t>
            </w:r>
          </w:p>
        </w:tc>
        <w:tc>
          <w:tcPr>
            <w:tcW w:w="846" w:type="dxa"/>
            <w:tcBorders>
              <w:top w:val="nil"/>
              <w:bottom w:val="nil"/>
              <w:right w:val="single" w:sz="8" w:space="0" w:color="auto"/>
            </w:tcBorders>
            <w:shd w:val="clear" w:color="auto" w:fill="auto"/>
            <w:noWrap/>
            <w:vAlign w:val="center"/>
          </w:tcPr>
          <w:p w14:paraId="469C3541"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71B3D8D3"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DVP.H033</w:t>
            </w:r>
          </w:p>
        </w:tc>
        <w:tc>
          <w:tcPr>
            <w:tcW w:w="1120" w:type="dxa"/>
            <w:tcBorders>
              <w:top w:val="nil"/>
              <w:left w:val="nil"/>
              <w:bottom w:val="nil"/>
              <w:right w:val="single" w:sz="8" w:space="0" w:color="auto"/>
            </w:tcBorders>
            <w:shd w:val="clear" w:color="auto" w:fill="auto"/>
            <w:noWrap/>
            <w:vAlign w:val="center"/>
            <w:hideMark/>
          </w:tcPr>
          <w:p w14:paraId="1B920B2B"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DVP.I033</w:t>
            </w:r>
          </w:p>
        </w:tc>
      </w:tr>
      <w:tr w:rsidR="0008665A" w:rsidRPr="001118B5" w14:paraId="31F1BB48" w14:textId="77777777" w:rsidTr="00E67116">
        <w:trPr>
          <w:trHeight w:val="240"/>
        </w:trPr>
        <w:tc>
          <w:tcPr>
            <w:tcW w:w="4410" w:type="dxa"/>
            <w:tcBorders>
              <w:top w:val="nil"/>
              <w:left w:val="single" w:sz="8" w:space="0" w:color="auto"/>
              <w:bottom w:val="nil"/>
            </w:tcBorders>
            <w:shd w:val="clear" w:color="auto" w:fill="auto"/>
            <w:noWrap/>
            <w:vAlign w:val="center"/>
            <w:hideMark/>
          </w:tcPr>
          <w:p w14:paraId="77E786BF" w14:textId="77777777" w:rsidR="0008665A" w:rsidRPr="001118B5" w:rsidRDefault="0008665A" w:rsidP="0008665A">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Transferências do Exterior</w:t>
            </w:r>
          </w:p>
        </w:tc>
        <w:tc>
          <w:tcPr>
            <w:tcW w:w="835" w:type="dxa"/>
            <w:tcBorders>
              <w:top w:val="nil"/>
              <w:bottom w:val="nil"/>
              <w:right w:val="single" w:sz="8" w:space="0" w:color="auto"/>
            </w:tcBorders>
            <w:shd w:val="clear" w:color="auto" w:fill="auto"/>
            <w:noWrap/>
            <w:vAlign w:val="center"/>
          </w:tcPr>
          <w:p w14:paraId="08295024"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33F42735"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DVP.D034</w:t>
            </w:r>
          </w:p>
        </w:tc>
        <w:tc>
          <w:tcPr>
            <w:tcW w:w="1134" w:type="dxa"/>
            <w:tcBorders>
              <w:top w:val="nil"/>
              <w:left w:val="nil"/>
              <w:bottom w:val="nil"/>
              <w:right w:val="single" w:sz="8" w:space="0" w:color="auto"/>
            </w:tcBorders>
            <w:shd w:val="clear" w:color="auto" w:fill="auto"/>
            <w:noWrap/>
            <w:vAlign w:val="center"/>
            <w:hideMark/>
          </w:tcPr>
          <w:p w14:paraId="3890E396"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DVP.E034</w:t>
            </w:r>
          </w:p>
        </w:tc>
        <w:tc>
          <w:tcPr>
            <w:tcW w:w="4346" w:type="dxa"/>
            <w:tcBorders>
              <w:top w:val="nil"/>
              <w:left w:val="nil"/>
              <w:bottom w:val="nil"/>
            </w:tcBorders>
            <w:shd w:val="clear" w:color="auto" w:fill="auto"/>
            <w:noWrap/>
            <w:vAlign w:val="center"/>
            <w:hideMark/>
          </w:tcPr>
          <w:p w14:paraId="2977C856" w14:textId="77777777" w:rsidR="0008665A" w:rsidRPr="001118B5" w:rsidRDefault="0008665A" w:rsidP="0008665A">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Transferências a Instituições Privadas</w:t>
            </w:r>
          </w:p>
        </w:tc>
        <w:tc>
          <w:tcPr>
            <w:tcW w:w="846" w:type="dxa"/>
            <w:tcBorders>
              <w:top w:val="nil"/>
              <w:bottom w:val="nil"/>
              <w:right w:val="single" w:sz="8" w:space="0" w:color="auto"/>
            </w:tcBorders>
            <w:shd w:val="clear" w:color="auto" w:fill="auto"/>
            <w:noWrap/>
            <w:vAlign w:val="center"/>
          </w:tcPr>
          <w:p w14:paraId="734D52B9"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786B67FC"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DVP.H034</w:t>
            </w:r>
          </w:p>
        </w:tc>
        <w:tc>
          <w:tcPr>
            <w:tcW w:w="1120" w:type="dxa"/>
            <w:tcBorders>
              <w:top w:val="nil"/>
              <w:left w:val="nil"/>
              <w:bottom w:val="nil"/>
              <w:right w:val="single" w:sz="8" w:space="0" w:color="auto"/>
            </w:tcBorders>
            <w:shd w:val="clear" w:color="auto" w:fill="auto"/>
            <w:noWrap/>
            <w:vAlign w:val="center"/>
            <w:hideMark/>
          </w:tcPr>
          <w:p w14:paraId="4B811439"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DVP.I034</w:t>
            </w:r>
          </w:p>
        </w:tc>
      </w:tr>
      <w:tr w:rsidR="0008665A" w:rsidRPr="001118B5" w14:paraId="64DA6FE3" w14:textId="77777777" w:rsidTr="00E67116">
        <w:trPr>
          <w:trHeight w:val="240"/>
        </w:trPr>
        <w:tc>
          <w:tcPr>
            <w:tcW w:w="4410" w:type="dxa"/>
            <w:tcBorders>
              <w:top w:val="nil"/>
              <w:left w:val="single" w:sz="8" w:space="0" w:color="auto"/>
              <w:bottom w:val="nil"/>
            </w:tcBorders>
            <w:shd w:val="clear" w:color="auto" w:fill="auto"/>
            <w:noWrap/>
            <w:vAlign w:val="center"/>
            <w:hideMark/>
          </w:tcPr>
          <w:p w14:paraId="21AA7434" w14:textId="77777777" w:rsidR="0008665A" w:rsidRPr="001118B5" w:rsidRDefault="0008665A" w:rsidP="0008665A">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Execuçã</w:t>
            </w:r>
            <w:r>
              <w:rPr>
                <w:rFonts w:ascii="Arial Narrow" w:eastAsia="Times New Roman" w:hAnsi="Arial Narrow" w:cs="Arial"/>
                <w:sz w:val="16"/>
                <w:szCs w:val="16"/>
                <w:lang w:eastAsia="pt-BR"/>
              </w:rPr>
              <w:t>o Orçamentária Delegada</w:t>
            </w:r>
          </w:p>
        </w:tc>
        <w:tc>
          <w:tcPr>
            <w:tcW w:w="835" w:type="dxa"/>
            <w:tcBorders>
              <w:top w:val="nil"/>
              <w:bottom w:val="nil"/>
              <w:right w:val="single" w:sz="8" w:space="0" w:color="auto"/>
            </w:tcBorders>
            <w:shd w:val="clear" w:color="auto" w:fill="auto"/>
            <w:noWrap/>
            <w:vAlign w:val="center"/>
          </w:tcPr>
          <w:p w14:paraId="2338A777"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4F7D3907"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DVP.D035</w:t>
            </w:r>
          </w:p>
        </w:tc>
        <w:tc>
          <w:tcPr>
            <w:tcW w:w="1134" w:type="dxa"/>
            <w:tcBorders>
              <w:top w:val="nil"/>
              <w:left w:val="nil"/>
              <w:bottom w:val="nil"/>
              <w:right w:val="single" w:sz="8" w:space="0" w:color="auto"/>
            </w:tcBorders>
            <w:shd w:val="clear" w:color="auto" w:fill="auto"/>
            <w:noWrap/>
            <w:vAlign w:val="center"/>
            <w:hideMark/>
          </w:tcPr>
          <w:p w14:paraId="12018F3F"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DVP.E035</w:t>
            </w:r>
          </w:p>
        </w:tc>
        <w:tc>
          <w:tcPr>
            <w:tcW w:w="4346" w:type="dxa"/>
            <w:tcBorders>
              <w:top w:val="nil"/>
              <w:left w:val="nil"/>
              <w:bottom w:val="nil"/>
            </w:tcBorders>
            <w:shd w:val="clear" w:color="auto" w:fill="auto"/>
            <w:noWrap/>
            <w:vAlign w:val="center"/>
            <w:hideMark/>
          </w:tcPr>
          <w:p w14:paraId="60E12539" w14:textId="77777777" w:rsidR="0008665A" w:rsidRPr="001118B5" w:rsidRDefault="0008665A" w:rsidP="0008665A">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Transferências a Instituições Multigovernamentais</w:t>
            </w:r>
          </w:p>
        </w:tc>
        <w:tc>
          <w:tcPr>
            <w:tcW w:w="846" w:type="dxa"/>
            <w:tcBorders>
              <w:top w:val="nil"/>
              <w:bottom w:val="nil"/>
              <w:right w:val="single" w:sz="8" w:space="0" w:color="auto"/>
            </w:tcBorders>
            <w:shd w:val="clear" w:color="auto" w:fill="auto"/>
            <w:noWrap/>
            <w:vAlign w:val="center"/>
          </w:tcPr>
          <w:p w14:paraId="385DE488"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051513AC"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DVP.H035</w:t>
            </w:r>
          </w:p>
        </w:tc>
        <w:tc>
          <w:tcPr>
            <w:tcW w:w="1120" w:type="dxa"/>
            <w:tcBorders>
              <w:top w:val="nil"/>
              <w:left w:val="nil"/>
              <w:bottom w:val="nil"/>
              <w:right w:val="single" w:sz="8" w:space="0" w:color="auto"/>
            </w:tcBorders>
            <w:shd w:val="clear" w:color="auto" w:fill="auto"/>
            <w:noWrap/>
            <w:vAlign w:val="center"/>
            <w:hideMark/>
          </w:tcPr>
          <w:p w14:paraId="14A04DEE"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DVP.I035</w:t>
            </w:r>
          </w:p>
        </w:tc>
      </w:tr>
      <w:tr w:rsidR="0008665A" w:rsidRPr="001118B5" w14:paraId="1595220C" w14:textId="77777777" w:rsidTr="00E67116">
        <w:trPr>
          <w:trHeight w:val="240"/>
        </w:trPr>
        <w:tc>
          <w:tcPr>
            <w:tcW w:w="4410" w:type="dxa"/>
            <w:tcBorders>
              <w:top w:val="nil"/>
              <w:left w:val="single" w:sz="8" w:space="0" w:color="auto"/>
            </w:tcBorders>
            <w:shd w:val="clear" w:color="auto" w:fill="auto"/>
            <w:noWrap/>
            <w:vAlign w:val="center"/>
            <w:hideMark/>
          </w:tcPr>
          <w:p w14:paraId="2B033BCC" w14:textId="77777777" w:rsidR="0008665A" w:rsidRPr="001118B5" w:rsidRDefault="0008665A" w:rsidP="0008665A">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Transferências de Pessoas Físicas</w:t>
            </w:r>
          </w:p>
        </w:tc>
        <w:tc>
          <w:tcPr>
            <w:tcW w:w="835" w:type="dxa"/>
            <w:tcBorders>
              <w:top w:val="nil"/>
              <w:right w:val="single" w:sz="8" w:space="0" w:color="auto"/>
            </w:tcBorders>
            <w:shd w:val="clear" w:color="auto" w:fill="auto"/>
            <w:noWrap/>
            <w:vAlign w:val="center"/>
          </w:tcPr>
          <w:p w14:paraId="3619BCE7"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p>
        </w:tc>
        <w:tc>
          <w:tcPr>
            <w:tcW w:w="1149" w:type="dxa"/>
            <w:tcBorders>
              <w:top w:val="nil"/>
              <w:left w:val="nil"/>
              <w:right w:val="single" w:sz="8" w:space="0" w:color="auto"/>
            </w:tcBorders>
            <w:shd w:val="clear" w:color="auto" w:fill="auto"/>
            <w:noWrap/>
            <w:vAlign w:val="center"/>
            <w:hideMark/>
          </w:tcPr>
          <w:p w14:paraId="1470C1D0"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DVP.D036</w:t>
            </w:r>
          </w:p>
        </w:tc>
        <w:tc>
          <w:tcPr>
            <w:tcW w:w="1134" w:type="dxa"/>
            <w:tcBorders>
              <w:top w:val="nil"/>
              <w:left w:val="nil"/>
              <w:right w:val="single" w:sz="8" w:space="0" w:color="auto"/>
            </w:tcBorders>
            <w:shd w:val="clear" w:color="auto" w:fill="auto"/>
            <w:noWrap/>
            <w:vAlign w:val="center"/>
            <w:hideMark/>
          </w:tcPr>
          <w:p w14:paraId="44C7FE83"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DVP.E036</w:t>
            </w:r>
          </w:p>
        </w:tc>
        <w:tc>
          <w:tcPr>
            <w:tcW w:w="4346" w:type="dxa"/>
            <w:tcBorders>
              <w:top w:val="nil"/>
              <w:left w:val="nil"/>
            </w:tcBorders>
            <w:shd w:val="clear" w:color="auto" w:fill="auto"/>
            <w:noWrap/>
            <w:vAlign w:val="center"/>
            <w:hideMark/>
          </w:tcPr>
          <w:p w14:paraId="477BB909" w14:textId="77777777" w:rsidR="0008665A" w:rsidRPr="001118B5" w:rsidRDefault="0008665A" w:rsidP="0008665A">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 xml:space="preserve">Transferências a Consórcios Públicos </w:t>
            </w:r>
          </w:p>
        </w:tc>
        <w:tc>
          <w:tcPr>
            <w:tcW w:w="846" w:type="dxa"/>
            <w:tcBorders>
              <w:top w:val="nil"/>
              <w:right w:val="single" w:sz="8" w:space="0" w:color="auto"/>
            </w:tcBorders>
            <w:shd w:val="clear" w:color="auto" w:fill="auto"/>
            <w:noWrap/>
            <w:vAlign w:val="center"/>
          </w:tcPr>
          <w:p w14:paraId="7076791D"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p>
        </w:tc>
        <w:tc>
          <w:tcPr>
            <w:tcW w:w="1045" w:type="dxa"/>
            <w:tcBorders>
              <w:top w:val="nil"/>
              <w:left w:val="nil"/>
              <w:right w:val="single" w:sz="8" w:space="0" w:color="auto"/>
            </w:tcBorders>
            <w:shd w:val="clear" w:color="auto" w:fill="auto"/>
            <w:noWrap/>
            <w:vAlign w:val="center"/>
            <w:hideMark/>
          </w:tcPr>
          <w:p w14:paraId="0C114E7E"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DVP.H036</w:t>
            </w:r>
          </w:p>
        </w:tc>
        <w:tc>
          <w:tcPr>
            <w:tcW w:w="1120" w:type="dxa"/>
            <w:tcBorders>
              <w:top w:val="nil"/>
              <w:left w:val="nil"/>
              <w:right w:val="single" w:sz="8" w:space="0" w:color="auto"/>
            </w:tcBorders>
            <w:shd w:val="clear" w:color="auto" w:fill="auto"/>
            <w:noWrap/>
            <w:vAlign w:val="center"/>
            <w:hideMark/>
          </w:tcPr>
          <w:p w14:paraId="0EFCDC1E"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DVP.I036</w:t>
            </w:r>
          </w:p>
        </w:tc>
      </w:tr>
      <w:tr w:rsidR="0008665A" w:rsidRPr="001118B5" w14:paraId="18759D0D" w14:textId="77777777" w:rsidTr="00E67116">
        <w:trPr>
          <w:trHeight w:val="240"/>
        </w:trPr>
        <w:tc>
          <w:tcPr>
            <w:tcW w:w="4410" w:type="dxa"/>
            <w:tcBorders>
              <w:top w:val="nil"/>
              <w:left w:val="single" w:sz="8" w:space="0" w:color="auto"/>
            </w:tcBorders>
            <w:shd w:val="clear" w:color="auto" w:fill="auto"/>
            <w:noWrap/>
            <w:vAlign w:val="center"/>
            <w:hideMark/>
          </w:tcPr>
          <w:p w14:paraId="1547F436" w14:textId="77777777" w:rsidR="0008665A" w:rsidRPr="001118B5" w:rsidRDefault="0008665A" w:rsidP="0008665A">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Outras Transferências e Delegações Recebidas</w:t>
            </w:r>
          </w:p>
        </w:tc>
        <w:tc>
          <w:tcPr>
            <w:tcW w:w="835" w:type="dxa"/>
            <w:tcBorders>
              <w:top w:val="nil"/>
              <w:right w:val="single" w:sz="8" w:space="0" w:color="auto"/>
            </w:tcBorders>
            <w:shd w:val="clear" w:color="auto" w:fill="auto"/>
            <w:noWrap/>
            <w:vAlign w:val="center"/>
          </w:tcPr>
          <w:p w14:paraId="04708AE5"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p>
        </w:tc>
        <w:tc>
          <w:tcPr>
            <w:tcW w:w="1149" w:type="dxa"/>
            <w:tcBorders>
              <w:top w:val="nil"/>
              <w:left w:val="nil"/>
              <w:right w:val="single" w:sz="8" w:space="0" w:color="auto"/>
            </w:tcBorders>
            <w:shd w:val="clear" w:color="auto" w:fill="auto"/>
            <w:noWrap/>
            <w:vAlign w:val="center"/>
            <w:hideMark/>
          </w:tcPr>
          <w:p w14:paraId="6C8D2D69"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DVP.D037</w:t>
            </w:r>
          </w:p>
        </w:tc>
        <w:tc>
          <w:tcPr>
            <w:tcW w:w="1134" w:type="dxa"/>
            <w:tcBorders>
              <w:top w:val="nil"/>
              <w:left w:val="nil"/>
              <w:right w:val="single" w:sz="8" w:space="0" w:color="auto"/>
            </w:tcBorders>
            <w:shd w:val="clear" w:color="auto" w:fill="auto"/>
            <w:noWrap/>
            <w:vAlign w:val="center"/>
            <w:hideMark/>
          </w:tcPr>
          <w:p w14:paraId="7F13F426"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DVP.E037</w:t>
            </w:r>
          </w:p>
        </w:tc>
        <w:tc>
          <w:tcPr>
            <w:tcW w:w="4346" w:type="dxa"/>
            <w:tcBorders>
              <w:top w:val="nil"/>
              <w:left w:val="nil"/>
            </w:tcBorders>
            <w:shd w:val="clear" w:color="auto" w:fill="auto"/>
            <w:noWrap/>
            <w:vAlign w:val="center"/>
            <w:hideMark/>
          </w:tcPr>
          <w:p w14:paraId="3B8A624C" w14:textId="77777777" w:rsidR="0008665A" w:rsidRPr="001118B5" w:rsidRDefault="0008665A" w:rsidP="0008665A">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Transferências ao Exterior</w:t>
            </w:r>
          </w:p>
        </w:tc>
        <w:tc>
          <w:tcPr>
            <w:tcW w:w="846" w:type="dxa"/>
            <w:tcBorders>
              <w:top w:val="nil"/>
              <w:right w:val="single" w:sz="8" w:space="0" w:color="auto"/>
            </w:tcBorders>
            <w:shd w:val="clear" w:color="auto" w:fill="auto"/>
            <w:noWrap/>
            <w:vAlign w:val="center"/>
          </w:tcPr>
          <w:p w14:paraId="46E9C744"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p>
        </w:tc>
        <w:tc>
          <w:tcPr>
            <w:tcW w:w="1045" w:type="dxa"/>
            <w:tcBorders>
              <w:top w:val="nil"/>
              <w:left w:val="nil"/>
              <w:right w:val="single" w:sz="8" w:space="0" w:color="auto"/>
            </w:tcBorders>
            <w:shd w:val="clear" w:color="auto" w:fill="auto"/>
            <w:noWrap/>
            <w:vAlign w:val="center"/>
            <w:hideMark/>
          </w:tcPr>
          <w:p w14:paraId="118E4463"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DVP.H037</w:t>
            </w:r>
          </w:p>
        </w:tc>
        <w:tc>
          <w:tcPr>
            <w:tcW w:w="1120" w:type="dxa"/>
            <w:tcBorders>
              <w:top w:val="nil"/>
              <w:left w:val="nil"/>
              <w:right w:val="single" w:sz="8" w:space="0" w:color="auto"/>
            </w:tcBorders>
            <w:shd w:val="clear" w:color="auto" w:fill="auto"/>
            <w:noWrap/>
            <w:vAlign w:val="center"/>
            <w:hideMark/>
          </w:tcPr>
          <w:p w14:paraId="19E244C9"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DVP.I037</w:t>
            </w:r>
          </w:p>
        </w:tc>
      </w:tr>
      <w:tr w:rsidR="0008665A" w:rsidRPr="001118B5" w14:paraId="74AA5418" w14:textId="77777777" w:rsidTr="00E67116">
        <w:trPr>
          <w:trHeight w:val="240"/>
        </w:trPr>
        <w:tc>
          <w:tcPr>
            <w:tcW w:w="4410" w:type="dxa"/>
            <w:tcBorders>
              <w:left w:val="single" w:sz="8" w:space="0" w:color="auto"/>
              <w:bottom w:val="nil"/>
            </w:tcBorders>
            <w:shd w:val="clear" w:color="auto" w:fill="auto"/>
            <w:noWrap/>
            <w:vAlign w:val="center"/>
            <w:hideMark/>
          </w:tcPr>
          <w:p w14:paraId="7316C0E1" w14:textId="77777777" w:rsidR="0008665A" w:rsidRPr="001118B5" w:rsidRDefault="0008665A" w:rsidP="0008665A">
            <w:pPr>
              <w:spacing w:after="0" w:line="240" w:lineRule="auto"/>
              <w:rPr>
                <w:rFonts w:ascii="Arial Narrow" w:eastAsia="Times New Roman" w:hAnsi="Arial Narrow" w:cs="Arial"/>
                <w:b/>
                <w:bCs/>
                <w:sz w:val="16"/>
                <w:szCs w:val="16"/>
                <w:u w:val="single"/>
                <w:lang w:eastAsia="pt-BR"/>
              </w:rPr>
            </w:pPr>
            <w:r w:rsidRPr="001118B5">
              <w:rPr>
                <w:rFonts w:ascii="Arial Narrow" w:eastAsia="Times New Roman" w:hAnsi="Arial Narrow" w:cs="Arial"/>
                <w:b/>
                <w:bCs/>
                <w:sz w:val="16"/>
                <w:szCs w:val="16"/>
                <w:u w:val="single"/>
                <w:lang w:eastAsia="pt-BR"/>
              </w:rPr>
              <w:t>Valorização e Ganhos com Ativos e Desincorporação de Passivos</w:t>
            </w:r>
          </w:p>
        </w:tc>
        <w:tc>
          <w:tcPr>
            <w:tcW w:w="835" w:type="dxa"/>
            <w:tcBorders>
              <w:bottom w:val="nil"/>
              <w:right w:val="single" w:sz="8" w:space="0" w:color="auto"/>
            </w:tcBorders>
            <w:shd w:val="clear" w:color="auto" w:fill="auto"/>
            <w:noWrap/>
            <w:vAlign w:val="center"/>
          </w:tcPr>
          <w:p w14:paraId="4AF26AAE" w14:textId="77777777" w:rsidR="0008665A" w:rsidRPr="001118B5" w:rsidRDefault="0008665A" w:rsidP="0008665A">
            <w:pPr>
              <w:spacing w:after="0" w:line="240" w:lineRule="auto"/>
              <w:jc w:val="center"/>
              <w:rPr>
                <w:rFonts w:ascii="Arial Narrow" w:eastAsia="Times New Roman" w:hAnsi="Arial Narrow" w:cs="Arial"/>
                <w:b/>
                <w:bCs/>
                <w:sz w:val="16"/>
                <w:szCs w:val="16"/>
                <w:lang w:eastAsia="pt-BR"/>
              </w:rPr>
            </w:pPr>
          </w:p>
        </w:tc>
        <w:tc>
          <w:tcPr>
            <w:tcW w:w="1149" w:type="dxa"/>
            <w:tcBorders>
              <w:left w:val="nil"/>
              <w:bottom w:val="nil"/>
              <w:right w:val="single" w:sz="8" w:space="0" w:color="auto"/>
            </w:tcBorders>
            <w:shd w:val="clear" w:color="auto" w:fill="auto"/>
            <w:noWrap/>
            <w:vAlign w:val="center"/>
            <w:hideMark/>
          </w:tcPr>
          <w:p w14:paraId="50F36143" w14:textId="77777777" w:rsidR="0008665A" w:rsidRPr="001118B5" w:rsidRDefault="0008665A" w:rsidP="0008665A">
            <w:pPr>
              <w:spacing w:after="0" w:line="240" w:lineRule="auto"/>
              <w:jc w:val="center"/>
              <w:rPr>
                <w:rFonts w:ascii="Arial Narrow" w:eastAsia="Times New Roman" w:hAnsi="Arial Narrow" w:cs="Arial"/>
                <w:b/>
                <w:bCs/>
                <w:sz w:val="16"/>
                <w:szCs w:val="16"/>
                <w:lang w:eastAsia="pt-BR"/>
              </w:rPr>
            </w:pPr>
            <w:r w:rsidRPr="001118B5">
              <w:rPr>
                <w:rFonts w:ascii="Arial Narrow" w:eastAsia="Times New Roman" w:hAnsi="Arial Narrow" w:cs="Arial"/>
                <w:b/>
                <w:bCs/>
                <w:sz w:val="16"/>
                <w:szCs w:val="16"/>
                <w:lang w:eastAsia="pt-BR"/>
              </w:rPr>
              <w:t>DVP.D038</w:t>
            </w:r>
          </w:p>
        </w:tc>
        <w:tc>
          <w:tcPr>
            <w:tcW w:w="1134" w:type="dxa"/>
            <w:tcBorders>
              <w:left w:val="nil"/>
              <w:bottom w:val="nil"/>
              <w:right w:val="single" w:sz="8" w:space="0" w:color="auto"/>
            </w:tcBorders>
            <w:shd w:val="clear" w:color="auto" w:fill="auto"/>
            <w:noWrap/>
            <w:vAlign w:val="center"/>
            <w:hideMark/>
          </w:tcPr>
          <w:p w14:paraId="23E72F31" w14:textId="77777777" w:rsidR="0008665A" w:rsidRPr="001118B5" w:rsidRDefault="0008665A" w:rsidP="0008665A">
            <w:pPr>
              <w:spacing w:after="0" w:line="240" w:lineRule="auto"/>
              <w:jc w:val="center"/>
              <w:rPr>
                <w:rFonts w:ascii="Arial Narrow" w:eastAsia="Times New Roman" w:hAnsi="Arial Narrow" w:cs="Arial"/>
                <w:b/>
                <w:bCs/>
                <w:sz w:val="16"/>
                <w:szCs w:val="16"/>
                <w:lang w:eastAsia="pt-BR"/>
              </w:rPr>
            </w:pPr>
            <w:r w:rsidRPr="001118B5">
              <w:rPr>
                <w:rFonts w:ascii="Arial Narrow" w:eastAsia="Times New Roman" w:hAnsi="Arial Narrow" w:cs="Arial"/>
                <w:b/>
                <w:bCs/>
                <w:sz w:val="16"/>
                <w:szCs w:val="16"/>
                <w:lang w:eastAsia="pt-BR"/>
              </w:rPr>
              <w:t>DVP.E038</w:t>
            </w:r>
          </w:p>
        </w:tc>
        <w:tc>
          <w:tcPr>
            <w:tcW w:w="4346" w:type="dxa"/>
            <w:tcBorders>
              <w:left w:val="nil"/>
              <w:bottom w:val="nil"/>
            </w:tcBorders>
            <w:shd w:val="clear" w:color="auto" w:fill="auto"/>
            <w:noWrap/>
            <w:vAlign w:val="center"/>
            <w:hideMark/>
          </w:tcPr>
          <w:p w14:paraId="770A3B32" w14:textId="77777777" w:rsidR="0008665A" w:rsidRPr="001118B5" w:rsidRDefault="0008665A" w:rsidP="0008665A">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Execuç</w:t>
            </w:r>
            <w:r>
              <w:rPr>
                <w:rFonts w:ascii="Arial Narrow" w:eastAsia="Times New Roman" w:hAnsi="Arial Narrow" w:cs="Arial"/>
                <w:sz w:val="16"/>
                <w:szCs w:val="16"/>
                <w:lang w:eastAsia="pt-BR"/>
              </w:rPr>
              <w:t>ão Orçamentária Delegada</w:t>
            </w:r>
          </w:p>
        </w:tc>
        <w:tc>
          <w:tcPr>
            <w:tcW w:w="846" w:type="dxa"/>
            <w:tcBorders>
              <w:bottom w:val="nil"/>
              <w:right w:val="single" w:sz="8" w:space="0" w:color="auto"/>
            </w:tcBorders>
            <w:shd w:val="clear" w:color="auto" w:fill="auto"/>
            <w:noWrap/>
            <w:vAlign w:val="center"/>
          </w:tcPr>
          <w:p w14:paraId="5E8DE98B"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p>
        </w:tc>
        <w:tc>
          <w:tcPr>
            <w:tcW w:w="1045" w:type="dxa"/>
            <w:tcBorders>
              <w:left w:val="nil"/>
              <w:bottom w:val="nil"/>
              <w:right w:val="single" w:sz="8" w:space="0" w:color="auto"/>
            </w:tcBorders>
            <w:shd w:val="clear" w:color="auto" w:fill="auto"/>
            <w:noWrap/>
            <w:vAlign w:val="center"/>
            <w:hideMark/>
          </w:tcPr>
          <w:p w14:paraId="0545676B"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DVP.H038</w:t>
            </w:r>
          </w:p>
        </w:tc>
        <w:tc>
          <w:tcPr>
            <w:tcW w:w="1120" w:type="dxa"/>
            <w:tcBorders>
              <w:left w:val="nil"/>
              <w:bottom w:val="nil"/>
              <w:right w:val="single" w:sz="8" w:space="0" w:color="auto"/>
            </w:tcBorders>
            <w:shd w:val="clear" w:color="auto" w:fill="auto"/>
            <w:noWrap/>
            <w:vAlign w:val="center"/>
            <w:hideMark/>
          </w:tcPr>
          <w:p w14:paraId="529D3941"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DVP.I038</w:t>
            </w:r>
          </w:p>
        </w:tc>
      </w:tr>
      <w:tr w:rsidR="0008665A" w:rsidRPr="001118B5" w14:paraId="06DAD92E" w14:textId="77777777" w:rsidTr="00E67116">
        <w:trPr>
          <w:trHeight w:val="240"/>
        </w:trPr>
        <w:tc>
          <w:tcPr>
            <w:tcW w:w="4410" w:type="dxa"/>
            <w:tcBorders>
              <w:top w:val="nil"/>
              <w:left w:val="single" w:sz="8" w:space="0" w:color="auto"/>
              <w:bottom w:val="nil"/>
            </w:tcBorders>
            <w:shd w:val="clear" w:color="auto" w:fill="auto"/>
            <w:noWrap/>
            <w:vAlign w:val="center"/>
            <w:hideMark/>
          </w:tcPr>
          <w:p w14:paraId="4569029F" w14:textId="77777777" w:rsidR="0008665A" w:rsidRPr="001118B5" w:rsidRDefault="0008665A" w:rsidP="0008665A">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Reavaliação de Ativos</w:t>
            </w:r>
          </w:p>
        </w:tc>
        <w:tc>
          <w:tcPr>
            <w:tcW w:w="835" w:type="dxa"/>
            <w:tcBorders>
              <w:top w:val="nil"/>
              <w:bottom w:val="nil"/>
              <w:right w:val="single" w:sz="8" w:space="0" w:color="auto"/>
            </w:tcBorders>
            <w:shd w:val="clear" w:color="auto" w:fill="auto"/>
            <w:noWrap/>
            <w:vAlign w:val="center"/>
          </w:tcPr>
          <w:p w14:paraId="689668CC"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6D3F4E8C"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DVP.D039</w:t>
            </w:r>
          </w:p>
        </w:tc>
        <w:tc>
          <w:tcPr>
            <w:tcW w:w="1134" w:type="dxa"/>
            <w:tcBorders>
              <w:top w:val="nil"/>
              <w:left w:val="nil"/>
              <w:bottom w:val="nil"/>
              <w:right w:val="single" w:sz="8" w:space="0" w:color="auto"/>
            </w:tcBorders>
            <w:shd w:val="clear" w:color="auto" w:fill="auto"/>
            <w:noWrap/>
            <w:vAlign w:val="center"/>
            <w:hideMark/>
          </w:tcPr>
          <w:p w14:paraId="30B5350A"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DVP.E039</w:t>
            </w:r>
          </w:p>
        </w:tc>
        <w:tc>
          <w:tcPr>
            <w:tcW w:w="4346" w:type="dxa"/>
            <w:tcBorders>
              <w:top w:val="nil"/>
              <w:left w:val="nil"/>
              <w:bottom w:val="nil"/>
            </w:tcBorders>
            <w:shd w:val="clear" w:color="auto" w:fill="auto"/>
            <w:noWrap/>
            <w:vAlign w:val="center"/>
            <w:hideMark/>
          </w:tcPr>
          <w:p w14:paraId="32C094EE" w14:textId="77777777" w:rsidR="0008665A" w:rsidRPr="001118B5" w:rsidRDefault="0008665A" w:rsidP="0008665A">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Outras Transferências e Delegações Concedidas</w:t>
            </w:r>
          </w:p>
        </w:tc>
        <w:tc>
          <w:tcPr>
            <w:tcW w:w="846" w:type="dxa"/>
            <w:tcBorders>
              <w:top w:val="nil"/>
              <w:bottom w:val="nil"/>
              <w:right w:val="single" w:sz="8" w:space="0" w:color="auto"/>
            </w:tcBorders>
            <w:shd w:val="clear" w:color="auto" w:fill="auto"/>
            <w:noWrap/>
            <w:vAlign w:val="center"/>
          </w:tcPr>
          <w:p w14:paraId="211E2F34"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1E058EF9"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DVP.H039</w:t>
            </w:r>
          </w:p>
        </w:tc>
        <w:tc>
          <w:tcPr>
            <w:tcW w:w="1120" w:type="dxa"/>
            <w:tcBorders>
              <w:top w:val="nil"/>
              <w:left w:val="nil"/>
              <w:bottom w:val="nil"/>
              <w:right w:val="single" w:sz="8" w:space="0" w:color="auto"/>
            </w:tcBorders>
            <w:shd w:val="clear" w:color="auto" w:fill="auto"/>
            <w:noWrap/>
            <w:vAlign w:val="center"/>
            <w:hideMark/>
          </w:tcPr>
          <w:p w14:paraId="564A98F5"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DVP.I039</w:t>
            </w:r>
          </w:p>
        </w:tc>
      </w:tr>
      <w:tr w:rsidR="0008665A" w:rsidRPr="001118B5" w14:paraId="52A6C5C9" w14:textId="77777777" w:rsidTr="00E67116">
        <w:trPr>
          <w:trHeight w:val="240"/>
        </w:trPr>
        <w:tc>
          <w:tcPr>
            <w:tcW w:w="4410" w:type="dxa"/>
            <w:tcBorders>
              <w:top w:val="nil"/>
              <w:left w:val="single" w:sz="8" w:space="0" w:color="auto"/>
              <w:bottom w:val="nil"/>
            </w:tcBorders>
            <w:shd w:val="clear" w:color="auto" w:fill="auto"/>
            <w:noWrap/>
            <w:vAlign w:val="center"/>
            <w:hideMark/>
          </w:tcPr>
          <w:p w14:paraId="14CA7BF3" w14:textId="77777777" w:rsidR="0008665A" w:rsidRPr="001118B5" w:rsidRDefault="0008665A" w:rsidP="0008665A">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Ganhos com Alienação</w:t>
            </w:r>
          </w:p>
        </w:tc>
        <w:tc>
          <w:tcPr>
            <w:tcW w:w="835" w:type="dxa"/>
            <w:tcBorders>
              <w:top w:val="nil"/>
              <w:bottom w:val="nil"/>
              <w:right w:val="single" w:sz="8" w:space="0" w:color="auto"/>
            </w:tcBorders>
            <w:shd w:val="clear" w:color="auto" w:fill="auto"/>
            <w:noWrap/>
            <w:vAlign w:val="center"/>
          </w:tcPr>
          <w:p w14:paraId="3701E2A2"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5E603405"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DVP.D040</w:t>
            </w:r>
          </w:p>
        </w:tc>
        <w:tc>
          <w:tcPr>
            <w:tcW w:w="1134" w:type="dxa"/>
            <w:tcBorders>
              <w:top w:val="nil"/>
              <w:left w:val="nil"/>
              <w:bottom w:val="nil"/>
              <w:right w:val="single" w:sz="8" w:space="0" w:color="auto"/>
            </w:tcBorders>
            <w:shd w:val="clear" w:color="auto" w:fill="auto"/>
            <w:noWrap/>
            <w:vAlign w:val="center"/>
            <w:hideMark/>
          </w:tcPr>
          <w:p w14:paraId="2BB8957C"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DVP.E040</w:t>
            </w:r>
          </w:p>
        </w:tc>
        <w:tc>
          <w:tcPr>
            <w:tcW w:w="4346" w:type="dxa"/>
            <w:tcBorders>
              <w:top w:val="nil"/>
              <w:left w:val="nil"/>
              <w:bottom w:val="nil"/>
            </w:tcBorders>
            <w:shd w:val="clear" w:color="auto" w:fill="auto"/>
            <w:noWrap/>
            <w:vAlign w:val="center"/>
            <w:hideMark/>
          </w:tcPr>
          <w:p w14:paraId="634B7E93" w14:textId="77777777" w:rsidR="0008665A" w:rsidRPr="001118B5" w:rsidRDefault="0008665A" w:rsidP="0008665A">
            <w:pPr>
              <w:spacing w:after="0" w:line="240" w:lineRule="auto"/>
              <w:rPr>
                <w:rFonts w:ascii="Arial Narrow" w:eastAsia="Times New Roman" w:hAnsi="Arial Narrow" w:cs="Arial"/>
                <w:b/>
                <w:bCs/>
                <w:sz w:val="16"/>
                <w:szCs w:val="16"/>
                <w:u w:val="single"/>
                <w:lang w:eastAsia="pt-BR"/>
              </w:rPr>
            </w:pPr>
            <w:r w:rsidRPr="001118B5">
              <w:rPr>
                <w:rFonts w:ascii="Arial Narrow" w:eastAsia="Times New Roman" w:hAnsi="Arial Narrow" w:cs="Arial"/>
                <w:b/>
                <w:bCs/>
                <w:sz w:val="16"/>
                <w:szCs w:val="16"/>
                <w:u w:val="single"/>
                <w:lang w:eastAsia="pt-BR"/>
              </w:rPr>
              <w:t>Desvalorização e Perdas de Ativos e Incorporação de Passivos</w:t>
            </w:r>
          </w:p>
        </w:tc>
        <w:tc>
          <w:tcPr>
            <w:tcW w:w="846" w:type="dxa"/>
            <w:tcBorders>
              <w:top w:val="nil"/>
              <w:bottom w:val="nil"/>
              <w:right w:val="single" w:sz="8" w:space="0" w:color="auto"/>
            </w:tcBorders>
            <w:shd w:val="clear" w:color="auto" w:fill="auto"/>
            <w:noWrap/>
            <w:vAlign w:val="center"/>
          </w:tcPr>
          <w:p w14:paraId="6243C702" w14:textId="77777777" w:rsidR="0008665A" w:rsidRPr="001118B5" w:rsidRDefault="0008665A" w:rsidP="0008665A">
            <w:pPr>
              <w:spacing w:after="0" w:line="240" w:lineRule="auto"/>
              <w:jc w:val="center"/>
              <w:rPr>
                <w:rFonts w:ascii="Arial Narrow" w:eastAsia="Times New Roman" w:hAnsi="Arial Narrow" w:cs="Arial"/>
                <w:b/>
                <w:bCs/>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5D36905C" w14:textId="77777777" w:rsidR="0008665A" w:rsidRPr="001118B5" w:rsidRDefault="0008665A" w:rsidP="0008665A">
            <w:pPr>
              <w:spacing w:after="0" w:line="240" w:lineRule="auto"/>
              <w:jc w:val="center"/>
              <w:rPr>
                <w:rFonts w:ascii="Arial Narrow" w:eastAsia="Times New Roman" w:hAnsi="Arial Narrow" w:cs="Arial"/>
                <w:b/>
                <w:bCs/>
                <w:sz w:val="16"/>
                <w:szCs w:val="16"/>
                <w:lang w:eastAsia="pt-BR"/>
              </w:rPr>
            </w:pPr>
            <w:r w:rsidRPr="001118B5">
              <w:rPr>
                <w:rFonts w:ascii="Arial Narrow" w:eastAsia="Times New Roman" w:hAnsi="Arial Narrow" w:cs="Arial"/>
                <w:b/>
                <w:bCs/>
                <w:sz w:val="16"/>
                <w:szCs w:val="16"/>
                <w:lang w:eastAsia="pt-BR"/>
              </w:rPr>
              <w:t>DVP.H040</w:t>
            </w:r>
          </w:p>
        </w:tc>
        <w:tc>
          <w:tcPr>
            <w:tcW w:w="1120" w:type="dxa"/>
            <w:tcBorders>
              <w:top w:val="nil"/>
              <w:left w:val="nil"/>
              <w:bottom w:val="nil"/>
              <w:right w:val="single" w:sz="8" w:space="0" w:color="auto"/>
            </w:tcBorders>
            <w:shd w:val="clear" w:color="auto" w:fill="auto"/>
            <w:noWrap/>
            <w:vAlign w:val="center"/>
            <w:hideMark/>
          </w:tcPr>
          <w:p w14:paraId="114D0433" w14:textId="77777777" w:rsidR="0008665A" w:rsidRPr="001118B5" w:rsidRDefault="0008665A" w:rsidP="0008665A">
            <w:pPr>
              <w:spacing w:after="0" w:line="240" w:lineRule="auto"/>
              <w:jc w:val="center"/>
              <w:rPr>
                <w:rFonts w:ascii="Arial Narrow" w:eastAsia="Times New Roman" w:hAnsi="Arial Narrow" w:cs="Arial"/>
                <w:b/>
                <w:bCs/>
                <w:sz w:val="16"/>
                <w:szCs w:val="16"/>
                <w:lang w:eastAsia="pt-BR"/>
              </w:rPr>
            </w:pPr>
            <w:r w:rsidRPr="001118B5">
              <w:rPr>
                <w:rFonts w:ascii="Arial Narrow" w:eastAsia="Times New Roman" w:hAnsi="Arial Narrow" w:cs="Arial"/>
                <w:b/>
                <w:bCs/>
                <w:sz w:val="16"/>
                <w:szCs w:val="16"/>
                <w:lang w:eastAsia="pt-BR"/>
              </w:rPr>
              <w:t>DVP.I040</w:t>
            </w:r>
          </w:p>
        </w:tc>
      </w:tr>
      <w:tr w:rsidR="0008665A" w:rsidRPr="001118B5" w14:paraId="70383DB4" w14:textId="77777777" w:rsidTr="00E67116">
        <w:trPr>
          <w:trHeight w:val="240"/>
        </w:trPr>
        <w:tc>
          <w:tcPr>
            <w:tcW w:w="4410" w:type="dxa"/>
            <w:tcBorders>
              <w:top w:val="nil"/>
              <w:left w:val="single" w:sz="8" w:space="0" w:color="auto"/>
              <w:bottom w:val="nil"/>
            </w:tcBorders>
            <w:shd w:val="clear" w:color="auto" w:fill="auto"/>
            <w:noWrap/>
            <w:vAlign w:val="center"/>
            <w:hideMark/>
          </w:tcPr>
          <w:p w14:paraId="62FE7EC4" w14:textId="77777777" w:rsidR="0008665A" w:rsidRPr="001118B5" w:rsidRDefault="0008665A" w:rsidP="0008665A">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Ganhos com Incorporação de Ativos</w:t>
            </w:r>
          </w:p>
        </w:tc>
        <w:tc>
          <w:tcPr>
            <w:tcW w:w="835" w:type="dxa"/>
            <w:tcBorders>
              <w:top w:val="nil"/>
              <w:bottom w:val="nil"/>
              <w:right w:val="single" w:sz="8" w:space="0" w:color="auto"/>
            </w:tcBorders>
            <w:shd w:val="clear" w:color="auto" w:fill="auto"/>
            <w:noWrap/>
            <w:vAlign w:val="center"/>
          </w:tcPr>
          <w:p w14:paraId="585221BC"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61E4FECA"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DVP.D041</w:t>
            </w:r>
          </w:p>
        </w:tc>
        <w:tc>
          <w:tcPr>
            <w:tcW w:w="1134" w:type="dxa"/>
            <w:tcBorders>
              <w:top w:val="nil"/>
              <w:left w:val="nil"/>
              <w:bottom w:val="nil"/>
              <w:right w:val="single" w:sz="8" w:space="0" w:color="auto"/>
            </w:tcBorders>
            <w:shd w:val="clear" w:color="auto" w:fill="auto"/>
            <w:noWrap/>
            <w:vAlign w:val="center"/>
            <w:hideMark/>
          </w:tcPr>
          <w:p w14:paraId="290F6EE4"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DVP.E041</w:t>
            </w:r>
          </w:p>
        </w:tc>
        <w:tc>
          <w:tcPr>
            <w:tcW w:w="4346" w:type="dxa"/>
            <w:tcBorders>
              <w:top w:val="nil"/>
              <w:left w:val="nil"/>
              <w:bottom w:val="nil"/>
            </w:tcBorders>
            <w:shd w:val="clear" w:color="auto" w:fill="auto"/>
            <w:noWrap/>
            <w:vAlign w:val="center"/>
            <w:hideMark/>
          </w:tcPr>
          <w:p w14:paraId="501DDCB2" w14:textId="77777777" w:rsidR="0008665A" w:rsidRPr="001118B5" w:rsidRDefault="0008665A" w:rsidP="0008665A">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Reavaliação, Redução a Valor Recuperável e Ajuste para Perdas</w:t>
            </w:r>
          </w:p>
        </w:tc>
        <w:tc>
          <w:tcPr>
            <w:tcW w:w="846" w:type="dxa"/>
            <w:tcBorders>
              <w:top w:val="nil"/>
              <w:bottom w:val="nil"/>
              <w:right w:val="single" w:sz="8" w:space="0" w:color="auto"/>
            </w:tcBorders>
            <w:shd w:val="clear" w:color="auto" w:fill="auto"/>
            <w:noWrap/>
            <w:vAlign w:val="center"/>
          </w:tcPr>
          <w:p w14:paraId="24A87786"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6DFE27DE"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DVP.H041</w:t>
            </w:r>
          </w:p>
        </w:tc>
        <w:tc>
          <w:tcPr>
            <w:tcW w:w="1120" w:type="dxa"/>
            <w:tcBorders>
              <w:top w:val="nil"/>
              <w:left w:val="nil"/>
              <w:bottom w:val="nil"/>
              <w:right w:val="single" w:sz="8" w:space="0" w:color="auto"/>
            </w:tcBorders>
            <w:shd w:val="clear" w:color="auto" w:fill="auto"/>
            <w:noWrap/>
            <w:vAlign w:val="center"/>
            <w:hideMark/>
          </w:tcPr>
          <w:p w14:paraId="4A4C67D5"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DVP.I041</w:t>
            </w:r>
          </w:p>
        </w:tc>
      </w:tr>
      <w:tr w:rsidR="0008665A" w:rsidRPr="001118B5" w14:paraId="4588A955" w14:textId="77777777" w:rsidTr="00E67116">
        <w:trPr>
          <w:trHeight w:val="240"/>
        </w:trPr>
        <w:tc>
          <w:tcPr>
            <w:tcW w:w="4410" w:type="dxa"/>
            <w:tcBorders>
              <w:top w:val="nil"/>
              <w:left w:val="single" w:sz="8" w:space="0" w:color="auto"/>
              <w:bottom w:val="nil"/>
            </w:tcBorders>
            <w:shd w:val="clear" w:color="auto" w:fill="auto"/>
            <w:noWrap/>
            <w:vAlign w:val="center"/>
            <w:hideMark/>
          </w:tcPr>
          <w:p w14:paraId="38A40EBD" w14:textId="77777777" w:rsidR="0008665A" w:rsidRPr="001118B5" w:rsidRDefault="0008665A" w:rsidP="0008665A">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Ganhos com Desincorporação de Passivos</w:t>
            </w:r>
          </w:p>
        </w:tc>
        <w:tc>
          <w:tcPr>
            <w:tcW w:w="835" w:type="dxa"/>
            <w:tcBorders>
              <w:top w:val="nil"/>
              <w:bottom w:val="nil"/>
              <w:right w:val="single" w:sz="8" w:space="0" w:color="auto"/>
            </w:tcBorders>
            <w:shd w:val="clear" w:color="auto" w:fill="auto"/>
            <w:noWrap/>
            <w:vAlign w:val="center"/>
          </w:tcPr>
          <w:p w14:paraId="08D63551"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1CC810F0"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DVP.D042</w:t>
            </w:r>
          </w:p>
        </w:tc>
        <w:tc>
          <w:tcPr>
            <w:tcW w:w="1134" w:type="dxa"/>
            <w:tcBorders>
              <w:top w:val="nil"/>
              <w:left w:val="nil"/>
              <w:bottom w:val="nil"/>
              <w:right w:val="single" w:sz="8" w:space="0" w:color="auto"/>
            </w:tcBorders>
            <w:shd w:val="clear" w:color="auto" w:fill="auto"/>
            <w:noWrap/>
            <w:vAlign w:val="center"/>
            <w:hideMark/>
          </w:tcPr>
          <w:p w14:paraId="423E769E"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DVP.E042</w:t>
            </w:r>
          </w:p>
        </w:tc>
        <w:tc>
          <w:tcPr>
            <w:tcW w:w="4346" w:type="dxa"/>
            <w:tcBorders>
              <w:top w:val="nil"/>
              <w:left w:val="nil"/>
              <w:bottom w:val="nil"/>
            </w:tcBorders>
            <w:shd w:val="clear" w:color="auto" w:fill="auto"/>
            <w:noWrap/>
            <w:vAlign w:val="center"/>
            <w:hideMark/>
          </w:tcPr>
          <w:p w14:paraId="71596469" w14:textId="77777777" w:rsidR="0008665A" w:rsidRPr="001118B5" w:rsidRDefault="0008665A" w:rsidP="0008665A">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Perdas com Alienação</w:t>
            </w:r>
          </w:p>
        </w:tc>
        <w:tc>
          <w:tcPr>
            <w:tcW w:w="846" w:type="dxa"/>
            <w:tcBorders>
              <w:top w:val="nil"/>
              <w:bottom w:val="nil"/>
              <w:right w:val="single" w:sz="8" w:space="0" w:color="auto"/>
            </w:tcBorders>
            <w:shd w:val="clear" w:color="auto" w:fill="auto"/>
            <w:noWrap/>
            <w:vAlign w:val="center"/>
          </w:tcPr>
          <w:p w14:paraId="0D6E0842"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513F860C"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DVP.H042</w:t>
            </w:r>
          </w:p>
        </w:tc>
        <w:tc>
          <w:tcPr>
            <w:tcW w:w="1120" w:type="dxa"/>
            <w:tcBorders>
              <w:top w:val="nil"/>
              <w:left w:val="nil"/>
              <w:bottom w:val="nil"/>
              <w:right w:val="single" w:sz="8" w:space="0" w:color="auto"/>
            </w:tcBorders>
            <w:shd w:val="clear" w:color="auto" w:fill="auto"/>
            <w:noWrap/>
            <w:vAlign w:val="center"/>
            <w:hideMark/>
          </w:tcPr>
          <w:p w14:paraId="0D064B6F"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DVP.I042</w:t>
            </w:r>
          </w:p>
        </w:tc>
      </w:tr>
      <w:tr w:rsidR="0008665A" w:rsidRPr="001118B5" w14:paraId="3EF88F09" w14:textId="77777777" w:rsidTr="00E67116">
        <w:trPr>
          <w:trHeight w:val="240"/>
        </w:trPr>
        <w:tc>
          <w:tcPr>
            <w:tcW w:w="4410" w:type="dxa"/>
            <w:tcBorders>
              <w:top w:val="nil"/>
              <w:left w:val="single" w:sz="8" w:space="0" w:color="auto"/>
              <w:bottom w:val="nil"/>
            </w:tcBorders>
            <w:shd w:val="clear" w:color="auto" w:fill="auto"/>
            <w:noWrap/>
            <w:vAlign w:val="center"/>
            <w:hideMark/>
          </w:tcPr>
          <w:p w14:paraId="26D4EAB6" w14:textId="77777777" w:rsidR="0008665A" w:rsidRPr="001118B5" w:rsidRDefault="0008665A" w:rsidP="0008665A">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Reversão de Redução ao Valor Recuperável</w:t>
            </w:r>
          </w:p>
        </w:tc>
        <w:tc>
          <w:tcPr>
            <w:tcW w:w="835" w:type="dxa"/>
            <w:tcBorders>
              <w:top w:val="nil"/>
              <w:bottom w:val="nil"/>
              <w:right w:val="single" w:sz="8" w:space="0" w:color="auto"/>
            </w:tcBorders>
            <w:shd w:val="clear" w:color="auto" w:fill="auto"/>
            <w:noWrap/>
            <w:vAlign w:val="center"/>
          </w:tcPr>
          <w:p w14:paraId="513D10DF"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2EBD232A"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DVP.D043</w:t>
            </w:r>
          </w:p>
        </w:tc>
        <w:tc>
          <w:tcPr>
            <w:tcW w:w="1134" w:type="dxa"/>
            <w:tcBorders>
              <w:top w:val="nil"/>
              <w:left w:val="nil"/>
              <w:bottom w:val="nil"/>
              <w:right w:val="single" w:sz="8" w:space="0" w:color="auto"/>
            </w:tcBorders>
            <w:shd w:val="clear" w:color="auto" w:fill="auto"/>
            <w:noWrap/>
            <w:vAlign w:val="center"/>
            <w:hideMark/>
          </w:tcPr>
          <w:p w14:paraId="28FAC82B"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DVP.E043</w:t>
            </w:r>
          </w:p>
        </w:tc>
        <w:tc>
          <w:tcPr>
            <w:tcW w:w="4346" w:type="dxa"/>
            <w:tcBorders>
              <w:top w:val="nil"/>
              <w:left w:val="nil"/>
              <w:bottom w:val="nil"/>
            </w:tcBorders>
            <w:shd w:val="clear" w:color="auto" w:fill="auto"/>
            <w:noWrap/>
            <w:vAlign w:val="center"/>
            <w:hideMark/>
          </w:tcPr>
          <w:p w14:paraId="37DDDF28" w14:textId="77777777" w:rsidR="0008665A" w:rsidRPr="001118B5" w:rsidRDefault="0008665A" w:rsidP="0008665A">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Perdas Involuntárias</w:t>
            </w:r>
          </w:p>
        </w:tc>
        <w:tc>
          <w:tcPr>
            <w:tcW w:w="846" w:type="dxa"/>
            <w:tcBorders>
              <w:top w:val="nil"/>
              <w:bottom w:val="nil"/>
              <w:right w:val="single" w:sz="8" w:space="0" w:color="auto"/>
            </w:tcBorders>
            <w:shd w:val="clear" w:color="auto" w:fill="auto"/>
            <w:noWrap/>
            <w:vAlign w:val="center"/>
          </w:tcPr>
          <w:p w14:paraId="55C6CA96"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4656BA27"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DVP.H043</w:t>
            </w:r>
          </w:p>
        </w:tc>
        <w:tc>
          <w:tcPr>
            <w:tcW w:w="1120" w:type="dxa"/>
            <w:tcBorders>
              <w:top w:val="nil"/>
              <w:left w:val="nil"/>
              <w:bottom w:val="nil"/>
              <w:right w:val="single" w:sz="8" w:space="0" w:color="auto"/>
            </w:tcBorders>
            <w:shd w:val="clear" w:color="auto" w:fill="auto"/>
            <w:noWrap/>
            <w:vAlign w:val="center"/>
            <w:hideMark/>
          </w:tcPr>
          <w:p w14:paraId="083045F5"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DVP.I043</w:t>
            </w:r>
          </w:p>
        </w:tc>
      </w:tr>
      <w:tr w:rsidR="0008665A" w:rsidRPr="001118B5" w14:paraId="56B07005" w14:textId="77777777" w:rsidTr="00E67116">
        <w:trPr>
          <w:trHeight w:val="240"/>
        </w:trPr>
        <w:tc>
          <w:tcPr>
            <w:tcW w:w="4410" w:type="dxa"/>
            <w:tcBorders>
              <w:top w:val="nil"/>
              <w:left w:val="single" w:sz="8" w:space="0" w:color="auto"/>
              <w:bottom w:val="nil"/>
            </w:tcBorders>
            <w:shd w:val="clear" w:color="auto" w:fill="auto"/>
            <w:noWrap/>
            <w:vAlign w:val="center"/>
            <w:hideMark/>
          </w:tcPr>
          <w:p w14:paraId="60942D9A" w14:textId="77777777" w:rsidR="0008665A" w:rsidRPr="001118B5" w:rsidRDefault="0008665A" w:rsidP="0008665A">
            <w:pPr>
              <w:spacing w:after="0" w:line="240" w:lineRule="auto"/>
              <w:rPr>
                <w:rFonts w:ascii="Arial Narrow" w:eastAsia="Times New Roman" w:hAnsi="Arial Narrow" w:cs="Arial"/>
                <w:b/>
                <w:bCs/>
                <w:sz w:val="16"/>
                <w:szCs w:val="16"/>
                <w:u w:val="single"/>
                <w:lang w:eastAsia="pt-BR"/>
              </w:rPr>
            </w:pPr>
            <w:r w:rsidRPr="001118B5">
              <w:rPr>
                <w:rFonts w:ascii="Arial Narrow" w:eastAsia="Times New Roman" w:hAnsi="Arial Narrow" w:cs="Arial"/>
                <w:b/>
                <w:bCs/>
                <w:sz w:val="16"/>
                <w:szCs w:val="16"/>
                <w:u w:val="single"/>
                <w:lang w:eastAsia="pt-BR"/>
              </w:rPr>
              <w:t>Outras  Variações Patrimoniais Aumentativas</w:t>
            </w:r>
          </w:p>
        </w:tc>
        <w:tc>
          <w:tcPr>
            <w:tcW w:w="835" w:type="dxa"/>
            <w:tcBorders>
              <w:top w:val="nil"/>
              <w:bottom w:val="nil"/>
              <w:right w:val="single" w:sz="8" w:space="0" w:color="auto"/>
            </w:tcBorders>
            <w:shd w:val="clear" w:color="auto" w:fill="auto"/>
            <w:noWrap/>
            <w:vAlign w:val="center"/>
          </w:tcPr>
          <w:p w14:paraId="2FA644EA" w14:textId="77777777" w:rsidR="0008665A" w:rsidRPr="001118B5" w:rsidRDefault="0008665A" w:rsidP="0008665A">
            <w:pPr>
              <w:spacing w:after="0" w:line="240" w:lineRule="auto"/>
              <w:jc w:val="center"/>
              <w:rPr>
                <w:rFonts w:ascii="Arial Narrow" w:eastAsia="Times New Roman" w:hAnsi="Arial Narrow" w:cs="Arial"/>
                <w:b/>
                <w:bCs/>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18AE81ED" w14:textId="77777777" w:rsidR="0008665A" w:rsidRPr="001118B5" w:rsidRDefault="0008665A" w:rsidP="0008665A">
            <w:pPr>
              <w:spacing w:after="0" w:line="240" w:lineRule="auto"/>
              <w:jc w:val="center"/>
              <w:rPr>
                <w:rFonts w:ascii="Arial Narrow" w:eastAsia="Times New Roman" w:hAnsi="Arial Narrow" w:cs="Arial"/>
                <w:b/>
                <w:bCs/>
                <w:sz w:val="16"/>
                <w:szCs w:val="16"/>
                <w:lang w:eastAsia="pt-BR"/>
              </w:rPr>
            </w:pPr>
            <w:r w:rsidRPr="001118B5">
              <w:rPr>
                <w:rFonts w:ascii="Arial Narrow" w:eastAsia="Times New Roman" w:hAnsi="Arial Narrow" w:cs="Arial"/>
                <w:b/>
                <w:bCs/>
                <w:sz w:val="16"/>
                <w:szCs w:val="16"/>
                <w:lang w:eastAsia="pt-BR"/>
              </w:rPr>
              <w:t>DVP.D044</w:t>
            </w:r>
          </w:p>
        </w:tc>
        <w:tc>
          <w:tcPr>
            <w:tcW w:w="1134" w:type="dxa"/>
            <w:tcBorders>
              <w:top w:val="nil"/>
              <w:left w:val="nil"/>
              <w:bottom w:val="nil"/>
              <w:right w:val="single" w:sz="8" w:space="0" w:color="auto"/>
            </w:tcBorders>
            <w:shd w:val="clear" w:color="auto" w:fill="auto"/>
            <w:noWrap/>
            <w:vAlign w:val="center"/>
            <w:hideMark/>
          </w:tcPr>
          <w:p w14:paraId="79BB2E6C" w14:textId="77777777" w:rsidR="0008665A" w:rsidRPr="001118B5" w:rsidRDefault="0008665A" w:rsidP="0008665A">
            <w:pPr>
              <w:spacing w:after="0" w:line="240" w:lineRule="auto"/>
              <w:jc w:val="center"/>
              <w:rPr>
                <w:rFonts w:ascii="Arial Narrow" w:eastAsia="Times New Roman" w:hAnsi="Arial Narrow" w:cs="Arial"/>
                <w:b/>
                <w:bCs/>
                <w:sz w:val="16"/>
                <w:szCs w:val="16"/>
                <w:lang w:eastAsia="pt-BR"/>
              </w:rPr>
            </w:pPr>
            <w:r w:rsidRPr="001118B5">
              <w:rPr>
                <w:rFonts w:ascii="Arial Narrow" w:eastAsia="Times New Roman" w:hAnsi="Arial Narrow" w:cs="Arial"/>
                <w:b/>
                <w:bCs/>
                <w:sz w:val="16"/>
                <w:szCs w:val="16"/>
                <w:lang w:eastAsia="pt-BR"/>
              </w:rPr>
              <w:t>DVP.E044</w:t>
            </w:r>
          </w:p>
        </w:tc>
        <w:tc>
          <w:tcPr>
            <w:tcW w:w="4346" w:type="dxa"/>
            <w:tcBorders>
              <w:top w:val="nil"/>
              <w:left w:val="nil"/>
              <w:bottom w:val="nil"/>
            </w:tcBorders>
            <w:shd w:val="clear" w:color="auto" w:fill="auto"/>
            <w:noWrap/>
            <w:vAlign w:val="center"/>
            <w:hideMark/>
          </w:tcPr>
          <w:p w14:paraId="1CF0D076" w14:textId="77777777" w:rsidR="0008665A" w:rsidRPr="001118B5" w:rsidRDefault="0008665A" w:rsidP="0008665A">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Incorporação de Passivos</w:t>
            </w:r>
          </w:p>
        </w:tc>
        <w:tc>
          <w:tcPr>
            <w:tcW w:w="846" w:type="dxa"/>
            <w:tcBorders>
              <w:top w:val="nil"/>
              <w:bottom w:val="nil"/>
              <w:right w:val="single" w:sz="8" w:space="0" w:color="auto"/>
            </w:tcBorders>
            <w:shd w:val="clear" w:color="auto" w:fill="auto"/>
            <w:noWrap/>
            <w:vAlign w:val="center"/>
          </w:tcPr>
          <w:p w14:paraId="5D79EFA5"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29EB704C"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DVP.H044</w:t>
            </w:r>
          </w:p>
        </w:tc>
        <w:tc>
          <w:tcPr>
            <w:tcW w:w="1120" w:type="dxa"/>
            <w:tcBorders>
              <w:top w:val="nil"/>
              <w:left w:val="nil"/>
              <w:bottom w:val="nil"/>
              <w:right w:val="single" w:sz="8" w:space="0" w:color="auto"/>
            </w:tcBorders>
            <w:shd w:val="clear" w:color="auto" w:fill="auto"/>
            <w:noWrap/>
            <w:vAlign w:val="center"/>
            <w:hideMark/>
          </w:tcPr>
          <w:p w14:paraId="483FE7E7"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DVP.I044</w:t>
            </w:r>
          </w:p>
        </w:tc>
      </w:tr>
      <w:tr w:rsidR="0008665A" w:rsidRPr="001118B5" w14:paraId="09B2FD6D" w14:textId="77777777" w:rsidTr="00E67116">
        <w:trPr>
          <w:trHeight w:val="240"/>
        </w:trPr>
        <w:tc>
          <w:tcPr>
            <w:tcW w:w="4410" w:type="dxa"/>
            <w:tcBorders>
              <w:top w:val="nil"/>
              <w:left w:val="single" w:sz="8" w:space="0" w:color="auto"/>
              <w:bottom w:val="nil"/>
            </w:tcBorders>
            <w:shd w:val="clear" w:color="auto" w:fill="auto"/>
            <w:noWrap/>
            <w:vAlign w:val="center"/>
            <w:hideMark/>
          </w:tcPr>
          <w:p w14:paraId="49C64742" w14:textId="77777777" w:rsidR="0008665A" w:rsidRPr="001118B5" w:rsidRDefault="0008665A" w:rsidP="0008665A">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Variação Patrimonial Aumentativa a Classificar</w:t>
            </w:r>
          </w:p>
        </w:tc>
        <w:tc>
          <w:tcPr>
            <w:tcW w:w="835" w:type="dxa"/>
            <w:tcBorders>
              <w:top w:val="nil"/>
              <w:bottom w:val="nil"/>
              <w:right w:val="single" w:sz="8" w:space="0" w:color="auto"/>
            </w:tcBorders>
            <w:shd w:val="clear" w:color="auto" w:fill="auto"/>
            <w:noWrap/>
            <w:vAlign w:val="center"/>
          </w:tcPr>
          <w:p w14:paraId="56A887D7"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1A702D48"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DVP.D045</w:t>
            </w:r>
          </w:p>
        </w:tc>
        <w:tc>
          <w:tcPr>
            <w:tcW w:w="1134" w:type="dxa"/>
            <w:tcBorders>
              <w:top w:val="nil"/>
              <w:left w:val="nil"/>
              <w:bottom w:val="nil"/>
              <w:right w:val="single" w:sz="8" w:space="0" w:color="auto"/>
            </w:tcBorders>
            <w:shd w:val="clear" w:color="auto" w:fill="auto"/>
            <w:noWrap/>
            <w:vAlign w:val="center"/>
            <w:hideMark/>
          </w:tcPr>
          <w:p w14:paraId="5C85E564"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DVP.E045</w:t>
            </w:r>
          </w:p>
        </w:tc>
        <w:tc>
          <w:tcPr>
            <w:tcW w:w="4346" w:type="dxa"/>
            <w:tcBorders>
              <w:top w:val="nil"/>
              <w:left w:val="nil"/>
              <w:bottom w:val="nil"/>
            </w:tcBorders>
            <w:shd w:val="clear" w:color="auto" w:fill="auto"/>
            <w:noWrap/>
            <w:vAlign w:val="center"/>
            <w:hideMark/>
          </w:tcPr>
          <w:p w14:paraId="17BE1D0D" w14:textId="77777777" w:rsidR="0008665A" w:rsidRPr="001118B5" w:rsidRDefault="0008665A" w:rsidP="0008665A">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Desicorporação de Ativos</w:t>
            </w:r>
          </w:p>
        </w:tc>
        <w:tc>
          <w:tcPr>
            <w:tcW w:w="846" w:type="dxa"/>
            <w:tcBorders>
              <w:top w:val="nil"/>
              <w:bottom w:val="nil"/>
              <w:right w:val="single" w:sz="8" w:space="0" w:color="auto"/>
            </w:tcBorders>
            <w:shd w:val="clear" w:color="auto" w:fill="auto"/>
            <w:noWrap/>
            <w:vAlign w:val="center"/>
          </w:tcPr>
          <w:p w14:paraId="736D2887"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3DB8B4B6"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DVP.H045</w:t>
            </w:r>
          </w:p>
        </w:tc>
        <w:tc>
          <w:tcPr>
            <w:tcW w:w="1120" w:type="dxa"/>
            <w:tcBorders>
              <w:top w:val="nil"/>
              <w:left w:val="nil"/>
              <w:bottom w:val="nil"/>
              <w:right w:val="single" w:sz="8" w:space="0" w:color="auto"/>
            </w:tcBorders>
            <w:shd w:val="clear" w:color="auto" w:fill="auto"/>
            <w:noWrap/>
            <w:vAlign w:val="center"/>
            <w:hideMark/>
          </w:tcPr>
          <w:p w14:paraId="71F972B8"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DVP.I045</w:t>
            </w:r>
          </w:p>
        </w:tc>
      </w:tr>
      <w:tr w:rsidR="0008665A" w:rsidRPr="001118B5" w14:paraId="3BE411DB" w14:textId="77777777" w:rsidTr="00E67116">
        <w:trPr>
          <w:trHeight w:val="240"/>
        </w:trPr>
        <w:tc>
          <w:tcPr>
            <w:tcW w:w="4410" w:type="dxa"/>
            <w:tcBorders>
              <w:top w:val="nil"/>
              <w:left w:val="single" w:sz="8" w:space="0" w:color="auto"/>
              <w:bottom w:val="nil"/>
            </w:tcBorders>
            <w:shd w:val="clear" w:color="auto" w:fill="auto"/>
            <w:noWrap/>
            <w:vAlign w:val="center"/>
            <w:hideMark/>
          </w:tcPr>
          <w:p w14:paraId="32B0E663" w14:textId="77777777" w:rsidR="0008665A" w:rsidRPr="001118B5" w:rsidRDefault="0008665A" w:rsidP="0008665A">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Resultado Positivo de Participações</w:t>
            </w:r>
          </w:p>
        </w:tc>
        <w:tc>
          <w:tcPr>
            <w:tcW w:w="835" w:type="dxa"/>
            <w:tcBorders>
              <w:top w:val="nil"/>
              <w:bottom w:val="nil"/>
              <w:right w:val="single" w:sz="8" w:space="0" w:color="auto"/>
            </w:tcBorders>
            <w:shd w:val="clear" w:color="auto" w:fill="auto"/>
            <w:noWrap/>
            <w:vAlign w:val="center"/>
          </w:tcPr>
          <w:p w14:paraId="478328C0"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0DBF1DDA"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DVP.D046</w:t>
            </w:r>
          </w:p>
        </w:tc>
        <w:tc>
          <w:tcPr>
            <w:tcW w:w="1134" w:type="dxa"/>
            <w:tcBorders>
              <w:top w:val="nil"/>
              <w:left w:val="nil"/>
              <w:bottom w:val="nil"/>
              <w:right w:val="single" w:sz="8" w:space="0" w:color="auto"/>
            </w:tcBorders>
            <w:shd w:val="clear" w:color="auto" w:fill="auto"/>
            <w:noWrap/>
            <w:vAlign w:val="center"/>
            <w:hideMark/>
          </w:tcPr>
          <w:p w14:paraId="77E8EE56"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DVP.E046</w:t>
            </w:r>
          </w:p>
        </w:tc>
        <w:tc>
          <w:tcPr>
            <w:tcW w:w="4346" w:type="dxa"/>
            <w:tcBorders>
              <w:top w:val="nil"/>
              <w:left w:val="nil"/>
              <w:bottom w:val="nil"/>
            </w:tcBorders>
            <w:shd w:val="clear" w:color="auto" w:fill="auto"/>
            <w:noWrap/>
            <w:vAlign w:val="center"/>
            <w:hideMark/>
          </w:tcPr>
          <w:p w14:paraId="3E0C57A6" w14:textId="77777777" w:rsidR="0008665A" w:rsidRPr="001118B5" w:rsidRDefault="0008665A" w:rsidP="0008665A">
            <w:pPr>
              <w:spacing w:after="0" w:line="240" w:lineRule="auto"/>
              <w:rPr>
                <w:rFonts w:ascii="Arial Narrow" w:eastAsia="Times New Roman" w:hAnsi="Arial Narrow" w:cs="Arial"/>
                <w:b/>
                <w:bCs/>
                <w:sz w:val="16"/>
                <w:szCs w:val="16"/>
                <w:u w:val="single"/>
                <w:lang w:eastAsia="pt-BR"/>
              </w:rPr>
            </w:pPr>
            <w:r w:rsidRPr="001118B5">
              <w:rPr>
                <w:rFonts w:ascii="Arial Narrow" w:eastAsia="Times New Roman" w:hAnsi="Arial Narrow" w:cs="Arial"/>
                <w:b/>
                <w:bCs/>
                <w:sz w:val="16"/>
                <w:szCs w:val="16"/>
                <w:u w:val="single"/>
                <w:lang w:eastAsia="pt-BR"/>
              </w:rPr>
              <w:t>Tributárias</w:t>
            </w:r>
          </w:p>
        </w:tc>
        <w:tc>
          <w:tcPr>
            <w:tcW w:w="846" w:type="dxa"/>
            <w:tcBorders>
              <w:top w:val="nil"/>
              <w:bottom w:val="nil"/>
              <w:right w:val="single" w:sz="8" w:space="0" w:color="auto"/>
            </w:tcBorders>
            <w:shd w:val="clear" w:color="auto" w:fill="auto"/>
            <w:noWrap/>
            <w:vAlign w:val="center"/>
          </w:tcPr>
          <w:p w14:paraId="7A8B3F43" w14:textId="77777777" w:rsidR="0008665A" w:rsidRPr="001118B5" w:rsidRDefault="0008665A" w:rsidP="0008665A">
            <w:pPr>
              <w:spacing w:after="0" w:line="240" w:lineRule="auto"/>
              <w:jc w:val="center"/>
              <w:rPr>
                <w:rFonts w:ascii="Arial Narrow" w:eastAsia="Times New Roman" w:hAnsi="Arial Narrow" w:cs="Arial"/>
                <w:b/>
                <w:bCs/>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4B06E3E0" w14:textId="77777777" w:rsidR="0008665A" w:rsidRPr="001118B5" w:rsidRDefault="0008665A" w:rsidP="0008665A">
            <w:pPr>
              <w:spacing w:after="0" w:line="240" w:lineRule="auto"/>
              <w:jc w:val="center"/>
              <w:rPr>
                <w:rFonts w:ascii="Arial Narrow" w:eastAsia="Times New Roman" w:hAnsi="Arial Narrow" w:cs="Arial"/>
                <w:b/>
                <w:bCs/>
                <w:sz w:val="16"/>
                <w:szCs w:val="16"/>
                <w:lang w:eastAsia="pt-BR"/>
              </w:rPr>
            </w:pPr>
            <w:r w:rsidRPr="001118B5">
              <w:rPr>
                <w:rFonts w:ascii="Arial Narrow" w:eastAsia="Times New Roman" w:hAnsi="Arial Narrow" w:cs="Arial"/>
                <w:b/>
                <w:bCs/>
                <w:sz w:val="16"/>
                <w:szCs w:val="16"/>
                <w:lang w:eastAsia="pt-BR"/>
              </w:rPr>
              <w:t>DVP.H046</w:t>
            </w:r>
          </w:p>
        </w:tc>
        <w:tc>
          <w:tcPr>
            <w:tcW w:w="1120" w:type="dxa"/>
            <w:tcBorders>
              <w:top w:val="nil"/>
              <w:left w:val="nil"/>
              <w:bottom w:val="nil"/>
              <w:right w:val="single" w:sz="8" w:space="0" w:color="auto"/>
            </w:tcBorders>
            <w:shd w:val="clear" w:color="auto" w:fill="auto"/>
            <w:noWrap/>
            <w:vAlign w:val="center"/>
            <w:hideMark/>
          </w:tcPr>
          <w:p w14:paraId="6260F000" w14:textId="77777777" w:rsidR="0008665A" w:rsidRPr="001118B5" w:rsidRDefault="0008665A" w:rsidP="0008665A">
            <w:pPr>
              <w:spacing w:after="0" w:line="240" w:lineRule="auto"/>
              <w:jc w:val="center"/>
              <w:rPr>
                <w:rFonts w:ascii="Arial Narrow" w:eastAsia="Times New Roman" w:hAnsi="Arial Narrow" w:cs="Arial"/>
                <w:b/>
                <w:bCs/>
                <w:sz w:val="16"/>
                <w:szCs w:val="16"/>
                <w:lang w:eastAsia="pt-BR"/>
              </w:rPr>
            </w:pPr>
            <w:r w:rsidRPr="001118B5">
              <w:rPr>
                <w:rFonts w:ascii="Arial Narrow" w:eastAsia="Times New Roman" w:hAnsi="Arial Narrow" w:cs="Arial"/>
                <w:b/>
                <w:bCs/>
                <w:sz w:val="16"/>
                <w:szCs w:val="16"/>
                <w:lang w:eastAsia="pt-BR"/>
              </w:rPr>
              <w:t>DVP.I046</w:t>
            </w:r>
          </w:p>
        </w:tc>
      </w:tr>
      <w:tr w:rsidR="0008665A" w:rsidRPr="001118B5" w14:paraId="7BAA4186" w14:textId="77777777" w:rsidTr="00E67116">
        <w:trPr>
          <w:trHeight w:val="255"/>
        </w:trPr>
        <w:tc>
          <w:tcPr>
            <w:tcW w:w="4410" w:type="dxa"/>
            <w:tcBorders>
              <w:top w:val="nil"/>
              <w:left w:val="single" w:sz="8" w:space="0" w:color="auto"/>
              <w:bottom w:val="nil"/>
            </w:tcBorders>
            <w:shd w:val="clear" w:color="auto" w:fill="auto"/>
            <w:noWrap/>
            <w:vAlign w:val="center"/>
          </w:tcPr>
          <w:p w14:paraId="378DE0F1" w14:textId="77777777" w:rsidR="0008665A" w:rsidRPr="00E07C84" w:rsidRDefault="0008665A" w:rsidP="0008665A">
            <w:pPr>
              <w:spacing w:after="0" w:line="240" w:lineRule="auto"/>
              <w:ind w:firstLineChars="200" w:firstLine="320"/>
              <w:rPr>
                <w:rFonts w:ascii="Arial Narrow" w:eastAsia="Times New Roman" w:hAnsi="Arial Narrow" w:cs="Arial"/>
                <w:sz w:val="16"/>
                <w:szCs w:val="16"/>
                <w:lang w:eastAsia="pt-BR"/>
              </w:rPr>
            </w:pPr>
            <w:r w:rsidRPr="00E07C84">
              <w:rPr>
                <w:rFonts w:ascii="Arial Narrow" w:eastAsia="Times New Roman" w:hAnsi="Arial Narrow" w:cs="Arial"/>
                <w:sz w:val="16"/>
                <w:szCs w:val="16"/>
                <w:lang w:eastAsia="pt-BR"/>
              </w:rPr>
              <w:t>Subvenções Econonômicas</w:t>
            </w:r>
          </w:p>
        </w:tc>
        <w:tc>
          <w:tcPr>
            <w:tcW w:w="835" w:type="dxa"/>
            <w:tcBorders>
              <w:top w:val="nil"/>
              <w:bottom w:val="nil"/>
              <w:right w:val="single" w:sz="8" w:space="0" w:color="auto"/>
            </w:tcBorders>
            <w:shd w:val="clear" w:color="auto" w:fill="auto"/>
            <w:noWrap/>
            <w:vAlign w:val="center"/>
          </w:tcPr>
          <w:p w14:paraId="58FB43FB" w14:textId="77777777" w:rsidR="0008665A" w:rsidRPr="00E07C84" w:rsidRDefault="0008665A" w:rsidP="0008665A">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tcPr>
          <w:p w14:paraId="3A6BEA7F" w14:textId="77777777" w:rsidR="0008665A" w:rsidRPr="00E07C84" w:rsidRDefault="0008665A" w:rsidP="0008665A">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E07C84">
              <w:rPr>
                <w:rFonts w:ascii="Arial Narrow" w:eastAsia="Times New Roman" w:hAnsi="Arial Narrow" w:cs="Arial"/>
                <w:sz w:val="16"/>
                <w:szCs w:val="16"/>
                <w:lang w:eastAsia="pt-BR"/>
              </w:rPr>
              <w:t>DVP.D050</w:t>
            </w:r>
          </w:p>
        </w:tc>
        <w:tc>
          <w:tcPr>
            <w:tcW w:w="1134" w:type="dxa"/>
            <w:tcBorders>
              <w:top w:val="nil"/>
              <w:left w:val="nil"/>
              <w:bottom w:val="nil"/>
              <w:right w:val="single" w:sz="8" w:space="0" w:color="auto"/>
            </w:tcBorders>
            <w:shd w:val="clear" w:color="auto" w:fill="auto"/>
            <w:noWrap/>
            <w:vAlign w:val="center"/>
          </w:tcPr>
          <w:p w14:paraId="590FDCB5" w14:textId="77777777" w:rsidR="0008665A" w:rsidRPr="00E07C84" w:rsidRDefault="0008665A" w:rsidP="0008665A">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E07C84">
              <w:rPr>
                <w:rFonts w:ascii="Arial Narrow" w:eastAsia="Times New Roman" w:hAnsi="Arial Narrow" w:cs="Arial"/>
                <w:sz w:val="16"/>
                <w:szCs w:val="16"/>
                <w:lang w:eastAsia="pt-BR"/>
              </w:rPr>
              <w:t>DVP.E050</w:t>
            </w:r>
          </w:p>
        </w:tc>
        <w:tc>
          <w:tcPr>
            <w:tcW w:w="4346" w:type="dxa"/>
            <w:tcBorders>
              <w:top w:val="nil"/>
              <w:left w:val="nil"/>
              <w:bottom w:val="nil"/>
            </w:tcBorders>
            <w:shd w:val="clear" w:color="auto" w:fill="auto"/>
            <w:noWrap/>
            <w:vAlign w:val="center"/>
            <w:hideMark/>
          </w:tcPr>
          <w:p w14:paraId="5092EC09" w14:textId="77777777" w:rsidR="0008665A" w:rsidRPr="001118B5" w:rsidRDefault="0008665A" w:rsidP="0008665A">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Impostos, Taxas e Contribuições de Melhoria</w:t>
            </w:r>
          </w:p>
        </w:tc>
        <w:tc>
          <w:tcPr>
            <w:tcW w:w="846" w:type="dxa"/>
            <w:tcBorders>
              <w:top w:val="nil"/>
              <w:bottom w:val="nil"/>
              <w:right w:val="single" w:sz="8" w:space="0" w:color="auto"/>
            </w:tcBorders>
            <w:shd w:val="clear" w:color="auto" w:fill="auto"/>
            <w:noWrap/>
            <w:vAlign w:val="center"/>
          </w:tcPr>
          <w:p w14:paraId="2F75FEC5"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5CBB9BD0"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DVP.H047</w:t>
            </w:r>
          </w:p>
        </w:tc>
        <w:tc>
          <w:tcPr>
            <w:tcW w:w="1120" w:type="dxa"/>
            <w:tcBorders>
              <w:top w:val="nil"/>
              <w:left w:val="nil"/>
              <w:bottom w:val="nil"/>
              <w:right w:val="single" w:sz="8" w:space="0" w:color="auto"/>
            </w:tcBorders>
            <w:shd w:val="clear" w:color="auto" w:fill="auto"/>
            <w:noWrap/>
            <w:vAlign w:val="center"/>
            <w:hideMark/>
          </w:tcPr>
          <w:p w14:paraId="24556902"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DVP.I047</w:t>
            </w:r>
          </w:p>
        </w:tc>
      </w:tr>
      <w:tr w:rsidR="0008665A" w:rsidRPr="001118B5" w14:paraId="1D170A84" w14:textId="77777777" w:rsidTr="00E67116">
        <w:trPr>
          <w:trHeight w:val="255"/>
        </w:trPr>
        <w:tc>
          <w:tcPr>
            <w:tcW w:w="4410" w:type="dxa"/>
            <w:tcBorders>
              <w:top w:val="nil"/>
              <w:left w:val="single" w:sz="8" w:space="0" w:color="auto"/>
              <w:bottom w:val="nil"/>
            </w:tcBorders>
            <w:shd w:val="clear" w:color="auto" w:fill="auto"/>
            <w:noWrap/>
            <w:vAlign w:val="center"/>
            <w:hideMark/>
          </w:tcPr>
          <w:p w14:paraId="4DA09CAD" w14:textId="77777777" w:rsidR="0008665A" w:rsidRPr="001118B5" w:rsidRDefault="0008665A" w:rsidP="0008665A">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Reversão de Provisões e Ajustes de Perdas</w:t>
            </w:r>
          </w:p>
        </w:tc>
        <w:tc>
          <w:tcPr>
            <w:tcW w:w="835" w:type="dxa"/>
            <w:tcBorders>
              <w:top w:val="nil"/>
              <w:bottom w:val="nil"/>
              <w:right w:val="single" w:sz="8" w:space="0" w:color="auto"/>
            </w:tcBorders>
            <w:shd w:val="clear" w:color="auto" w:fill="auto"/>
            <w:noWrap/>
            <w:vAlign w:val="center"/>
          </w:tcPr>
          <w:p w14:paraId="25A78160"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261B0243"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DVP.D047</w:t>
            </w:r>
          </w:p>
        </w:tc>
        <w:tc>
          <w:tcPr>
            <w:tcW w:w="1134" w:type="dxa"/>
            <w:tcBorders>
              <w:top w:val="nil"/>
              <w:left w:val="nil"/>
              <w:bottom w:val="nil"/>
              <w:right w:val="single" w:sz="8" w:space="0" w:color="auto"/>
            </w:tcBorders>
            <w:shd w:val="clear" w:color="auto" w:fill="auto"/>
            <w:noWrap/>
            <w:vAlign w:val="center"/>
            <w:hideMark/>
          </w:tcPr>
          <w:p w14:paraId="75329BA1"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DVP.E047</w:t>
            </w:r>
          </w:p>
        </w:tc>
        <w:tc>
          <w:tcPr>
            <w:tcW w:w="4346" w:type="dxa"/>
            <w:tcBorders>
              <w:top w:val="nil"/>
              <w:left w:val="nil"/>
              <w:bottom w:val="nil"/>
            </w:tcBorders>
            <w:shd w:val="clear" w:color="auto" w:fill="auto"/>
            <w:noWrap/>
            <w:vAlign w:val="center"/>
            <w:hideMark/>
          </w:tcPr>
          <w:p w14:paraId="318960C8" w14:textId="77777777" w:rsidR="0008665A" w:rsidRPr="001118B5" w:rsidRDefault="0008665A" w:rsidP="0008665A">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Contribuições</w:t>
            </w:r>
          </w:p>
        </w:tc>
        <w:tc>
          <w:tcPr>
            <w:tcW w:w="846" w:type="dxa"/>
            <w:tcBorders>
              <w:top w:val="nil"/>
              <w:bottom w:val="nil"/>
              <w:right w:val="single" w:sz="8" w:space="0" w:color="auto"/>
            </w:tcBorders>
            <w:shd w:val="clear" w:color="auto" w:fill="auto"/>
            <w:noWrap/>
            <w:vAlign w:val="center"/>
          </w:tcPr>
          <w:p w14:paraId="7E52A4B4"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43859B9B"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DVP.H048</w:t>
            </w:r>
          </w:p>
        </w:tc>
        <w:tc>
          <w:tcPr>
            <w:tcW w:w="1120" w:type="dxa"/>
            <w:tcBorders>
              <w:top w:val="nil"/>
              <w:left w:val="nil"/>
              <w:bottom w:val="nil"/>
              <w:right w:val="single" w:sz="8" w:space="0" w:color="auto"/>
            </w:tcBorders>
            <w:shd w:val="clear" w:color="auto" w:fill="auto"/>
            <w:noWrap/>
            <w:vAlign w:val="center"/>
            <w:hideMark/>
          </w:tcPr>
          <w:p w14:paraId="77AF59DA"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DVP.I048</w:t>
            </w:r>
          </w:p>
        </w:tc>
      </w:tr>
      <w:tr w:rsidR="0008665A" w:rsidRPr="001118B5" w14:paraId="2E670676" w14:textId="77777777" w:rsidTr="00E67116">
        <w:trPr>
          <w:trHeight w:val="240"/>
        </w:trPr>
        <w:tc>
          <w:tcPr>
            <w:tcW w:w="4410" w:type="dxa"/>
            <w:tcBorders>
              <w:top w:val="nil"/>
              <w:left w:val="single" w:sz="8" w:space="0" w:color="auto"/>
              <w:bottom w:val="nil"/>
            </w:tcBorders>
            <w:shd w:val="clear" w:color="auto" w:fill="auto"/>
            <w:noWrap/>
            <w:hideMark/>
          </w:tcPr>
          <w:p w14:paraId="17FB296C" w14:textId="77777777" w:rsidR="0008665A" w:rsidRPr="001118B5" w:rsidRDefault="0008665A" w:rsidP="0008665A">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 xml:space="preserve">Diversas Variações Patrimoniais Aumentativas </w:t>
            </w:r>
          </w:p>
        </w:tc>
        <w:tc>
          <w:tcPr>
            <w:tcW w:w="835" w:type="dxa"/>
            <w:tcBorders>
              <w:top w:val="nil"/>
              <w:bottom w:val="nil"/>
              <w:right w:val="single" w:sz="8" w:space="0" w:color="auto"/>
            </w:tcBorders>
            <w:shd w:val="clear" w:color="auto" w:fill="auto"/>
            <w:noWrap/>
          </w:tcPr>
          <w:p w14:paraId="1970C1F1"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hideMark/>
          </w:tcPr>
          <w:p w14:paraId="15CD0CC0"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DVP.D048</w:t>
            </w:r>
          </w:p>
        </w:tc>
        <w:tc>
          <w:tcPr>
            <w:tcW w:w="1134" w:type="dxa"/>
            <w:tcBorders>
              <w:top w:val="nil"/>
              <w:left w:val="nil"/>
              <w:bottom w:val="nil"/>
              <w:right w:val="single" w:sz="8" w:space="0" w:color="auto"/>
            </w:tcBorders>
            <w:shd w:val="clear" w:color="auto" w:fill="auto"/>
            <w:noWrap/>
            <w:hideMark/>
          </w:tcPr>
          <w:p w14:paraId="766EDF30"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DVP.E048</w:t>
            </w:r>
          </w:p>
        </w:tc>
        <w:tc>
          <w:tcPr>
            <w:tcW w:w="4346" w:type="dxa"/>
            <w:tcBorders>
              <w:top w:val="nil"/>
              <w:left w:val="nil"/>
              <w:bottom w:val="nil"/>
            </w:tcBorders>
            <w:shd w:val="clear" w:color="auto" w:fill="auto"/>
            <w:noWrap/>
            <w:vAlign w:val="center"/>
            <w:hideMark/>
          </w:tcPr>
          <w:p w14:paraId="1675328B" w14:textId="77777777" w:rsidR="0008665A" w:rsidRPr="001118B5" w:rsidRDefault="0008665A" w:rsidP="0008665A">
            <w:pPr>
              <w:spacing w:after="0" w:line="240" w:lineRule="auto"/>
              <w:rPr>
                <w:rFonts w:ascii="Arial Narrow" w:eastAsia="Times New Roman" w:hAnsi="Arial Narrow" w:cs="Arial"/>
                <w:b/>
                <w:bCs/>
                <w:sz w:val="16"/>
                <w:szCs w:val="16"/>
                <w:u w:val="single"/>
                <w:lang w:eastAsia="pt-BR"/>
              </w:rPr>
            </w:pPr>
            <w:r w:rsidRPr="001118B5">
              <w:rPr>
                <w:rFonts w:ascii="Arial Narrow" w:eastAsia="Times New Roman" w:hAnsi="Arial Narrow" w:cs="Arial"/>
                <w:b/>
                <w:bCs/>
                <w:sz w:val="16"/>
                <w:szCs w:val="16"/>
                <w:u w:val="single"/>
                <w:lang w:eastAsia="pt-BR"/>
              </w:rPr>
              <w:t>Custo das Mercadorias e dos Produtos Vendidos, e dos Serviços Prestados</w:t>
            </w:r>
          </w:p>
        </w:tc>
        <w:tc>
          <w:tcPr>
            <w:tcW w:w="846" w:type="dxa"/>
            <w:tcBorders>
              <w:top w:val="nil"/>
              <w:bottom w:val="nil"/>
              <w:right w:val="single" w:sz="8" w:space="0" w:color="auto"/>
            </w:tcBorders>
            <w:shd w:val="clear" w:color="auto" w:fill="auto"/>
            <w:noWrap/>
            <w:vAlign w:val="center"/>
          </w:tcPr>
          <w:p w14:paraId="2920CCF3" w14:textId="77777777" w:rsidR="0008665A" w:rsidRPr="001118B5" w:rsidRDefault="0008665A" w:rsidP="0008665A">
            <w:pPr>
              <w:spacing w:after="0" w:line="240" w:lineRule="auto"/>
              <w:jc w:val="center"/>
              <w:rPr>
                <w:rFonts w:ascii="Arial Narrow" w:eastAsia="Times New Roman" w:hAnsi="Arial Narrow" w:cs="Arial"/>
                <w:b/>
                <w:bCs/>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6A634092" w14:textId="77777777" w:rsidR="0008665A" w:rsidRPr="001118B5" w:rsidRDefault="0008665A" w:rsidP="0008665A">
            <w:pPr>
              <w:spacing w:after="0" w:line="240" w:lineRule="auto"/>
              <w:jc w:val="center"/>
              <w:rPr>
                <w:rFonts w:ascii="Arial Narrow" w:eastAsia="Times New Roman" w:hAnsi="Arial Narrow" w:cs="Arial"/>
                <w:b/>
                <w:bCs/>
                <w:sz w:val="16"/>
                <w:szCs w:val="16"/>
                <w:lang w:eastAsia="pt-BR"/>
              </w:rPr>
            </w:pPr>
            <w:r w:rsidRPr="001118B5">
              <w:rPr>
                <w:rFonts w:ascii="Arial Narrow" w:eastAsia="Times New Roman" w:hAnsi="Arial Narrow" w:cs="Arial"/>
                <w:b/>
                <w:bCs/>
                <w:sz w:val="16"/>
                <w:szCs w:val="16"/>
                <w:lang w:eastAsia="pt-BR"/>
              </w:rPr>
              <w:t>DVP.H049</w:t>
            </w:r>
          </w:p>
        </w:tc>
        <w:tc>
          <w:tcPr>
            <w:tcW w:w="1120" w:type="dxa"/>
            <w:tcBorders>
              <w:top w:val="nil"/>
              <w:left w:val="nil"/>
              <w:bottom w:val="nil"/>
              <w:right w:val="single" w:sz="8" w:space="0" w:color="auto"/>
            </w:tcBorders>
            <w:shd w:val="clear" w:color="auto" w:fill="auto"/>
            <w:noWrap/>
            <w:vAlign w:val="center"/>
            <w:hideMark/>
          </w:tcPr>
          <w:p w14:paraId="7CB10703" w14:textId="77777777" w:rsidR="0008665A" w:rsidRPr="001118B5" w:rsidRDefault="0008665A" w:rsidP="0008665A">
            <w:pPr>
              <w:spacing w:after="0" w:line="240" w:lineRule="auto"/>
              <w:jc w:val="center"/>
              <w:rPr>
                <w:rFonts w:ascii="Arial Narrow" w:eastAsia="Times New Roman" w:hAnsi="Arial Narrow" w:cs="Arial"/>
                <w:b/>
                <w:bCs/>
                <w:sz w:val="16"/>
                <w:szCs w:val="16"/>
                <w:lang w:eastAsia="pt-BR"/>
              </w:rPr>
            </w:pPr>
            <w:r w:rsidRPr="001118B5">
              <w:rPr>
                <w:rFonts w:ascii="Arial Narrow" w:eastAsia="Times New Roman" w:hAnsi="Arial Narrow" w:cs="Arial"/>
                <w:b/>
                <w:bCs/>
                <w:sz w:val="16"/>
                <w:szCs w:val="16"/>
                <w:lang w:eastAsia="pt-BR"/>
              </w:rPr>
              <w:t>DVP.I049</w:t>
            </w:r>
          </w:p>
        </w:tc>
      </w:tr>
      <w:tr w:rsidR="0008665A" w:rsidRPr="001118B5" w14:paraId="62DA5A05" w14:textId="77777777" w:rsidTr="00E67116">
        <w:trPr>
          <w:trHeight w:val="240"/>
        </w:trPr>
        <w:tc>
          <w:tcPr>
            <w:tcW w:w="4410" w:type="dxa"/>
            <w:tcBorders>
              <w:top w:val="nil"/>
              <w:left w:val="single" w:sz="8" w:space="0" w:color="auto"/>
              <w:bottom w:val="nil"/>
            </w:tcBorders>
            <w:shd w:val="clear" w:color="auto" w:fill="auto"/>
            <w:noWrap/>
            <w:vAlign w:val="center"/>
            <w:hideMark/>
          </w:tcPr>
          <w:p w14:paraId="416FA6D2" w14:textId="77777777" w:rsidR="0008665A" w:rsidRPr="001118B5" w:rsidRDefault="0008665A" w:rsidP="0008665A">
            <w:pPr>
              <w:spacing w:after="0" w:line="240" w:lineRule="auto"/>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 </w:t>
            </w:r>
          </w:p>
        </w:tc>
        <w:tc>
          <w:tcPr>
            <w:tcW w:w="835" w:type="dxa"/>
            <w:tcBorders>
              <w:top w:val="nil"/>
              <w:bottom w:val="nil"/>
              <w:right w:val="single" w:sz="8" w:space="0" w:color="auto"/>
            </w:tcBorders>
            <w:shd w:val="clear" w:color="auto" w:fill="auto"/>
            <w:noWrap/>
            <w:vAlign w:val="center"/>
          </w:tcPr>
          <w:p w14:paraId="735FAAD7"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3829F12B"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 </w:t>
            </w:r>
          </w:p>
        </w:tc>
        <w:tc>
          <w:tcPr>
            <w:tcW w:w="1134" w:type="dxa"/>
            <w:tcBorders>
              <w:top w:val="nil"/>
              <w:left w:val="nil"/>
              <w:bottom w:val="nil"/>
              <w:right w:val="single" w:sz="8" w:space="0" w:color="auto"/>
            </w:tcBorders>
            <w:shd w:val="clear" w:color="auto" w:fill="auto"/>
            <w:noWrap/>
            <w:vAlign w:val="center"/>
            <w:hideMark/>
          </w:tcPr>
          <w:p w14:paraId="3C15CA39"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 </w:t>
            </w:r>
          </w:p>
        </w:tc>
        <w:tc>
          <w:tcPr>
            <w:tcW w:w="4346" w:type="dxa"/>
            <w:tcBorders>
              <w:top w:val="nil"/>
              <w:left w:val="nil"/>
              <w:bottom w:val="nil"/>
            </w:tcBorders>
            <w:shd w:val="clear" w:color="auto" w:fill="auto"/>
            <w:noWrap/>
            <w:vAlign w:val="center"/>
            <w:hideMark/>
          </w:tcPr>
          <w:p w14:paraId="2AFBD11D" w14:textId="77777777" w:rsidR="0008665A" w:rsidRPr="001118B5" w:rsidRDefault="0008665A" w:rsidP="0008665A">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Custo das Mercadorias Vendidas</w:t>
            </w:r>
          </w:p>
        </w:tc>
        <w:tc>
          <w:tcPr>
            <w:tcW w:w="846" w:type="dxa"/>
            <w:tcBorders>
              <w:top w:val="nil"/>
              <w:bottom w:val="nil"/>
              <w:right w:val="single" w:sz="8" w:space="0" w:color="auto"/>
            </w:tcBorders>
            <w:shd w:val="clear" w:color="auto" w:fill="auto"/>
            <w:noWrap/>
            <w:vAlign w:val="center"/>
          </w:tcPr>
          <w:p w14:paraId="1992084D"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12551F62"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DVP.H050</w:t>
            </w:r>
          </w:p>
        </w:tc>
        <w:tc>
          <w:tcPr>
            <w:tcW w:w="1120" w:type="dxa"/>
            <w:tcBorders>
              <w:top w:val="nil"/>
              <w:left w:val="nil"/>
              <w:bottom w:val="nil"/>
              <w:right w:val="single" w:sz="8" w:space="0" w:color="auto"/>
            </w:tcBorders>
            <w:shd w:val="clear" w:color="auto" w:fill="auto"/>
            <w:noWrap/>
            <w:vAlign w:val="center"/>
            <w:hideMark/>
          </w:tcPr>
          <w:p w14:paraId="66A1A8EC"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DVP.I050</w:t>
            </w:r>
          </w:p>
        </w:tc>
      </w:tr>
      <w:tr w:rsidR="0008665A" w:rsidRPr="001118B5" w14:paraId="5DA45E7D" w14:textId="77777777" w:rsidTr="00E67116">
        <w:trPr>
          <w:trHeight w:val="240"/>
        </w:trPr>
        <w:tc>
          <w:tcPr>
            <w:tcW w:w="4410" w:type="dxa"/>
            <w:tcBorders>
              <w:top w:val="nil"/>
              <w:left w:val="single" w:sz="8" w:space="0" w:color="auto"/>
              <w:bottom w:val="nil"/>
            </w:tcBorders>
            <w:shd w:val="clear" w:color="auto" w:fill="auto"/>
            <w:noWrap/>
            <w:vAlign w:val="center"/>
            <w:hideMark/>
          </w:tcPr>
          <w:p w14:paraId="6DBC6E6B" w14:textId="77777777" w:rsidR="0008665A" w:rsidRPr="001118B5" w:rsidRDefault="0008665A" w:rsidP="0008665A">
            <w:pPr>
              <w:spacing w:after="0" w:line="240" w:lineRule="auto"/>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 </w:t>
            </w:r>
          </w:p>
        </w:tc>
        <w:tc>
          <w:tcPr>
            <w:tcW w:w="835" w:type="dxa"/>
            <w:tcBorders>
              <w:top w:val="nil"/>
              <w:bottom w:val="nil"/>
              <w:right w:val="single" w:sz="8" w:space="0" w:color="auto"/>
            </w:tcBorders>
            <w:shd w:val="clear" w:color="auto" w:fill="auto"/>
            <w:noWrap/>
            <w:vAlign w:val="center"/>
          </w:tcPr>
          <w:p w14:paraId="70E501B1"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1C7EE933"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 </w:t>
            </w:r>
          </w:p>
        </w:tc>
        <w:tc>
          <w:tcPr>
            <w:tcW w:w="1134" w:type="dxa"/>
            <w:tcBorders>
              <w:top w:val="nil"/>
              <w:left w:val="nil"/>
              <w:bottom w:val="nil"/>
              <w:right w:val="single" w:sz="8" w:space="0" w:color="auto"/>
            </w:tcBorders>
            <w:shd w:val="clear" w:color="auto" w:fill="auto"/>
            <w:noWrap/>
            <w:vAlign w:val="center"/>
            <w:hideMark/>
          </w:tcPr>
          <w:p w14:paraId="4BC513C8"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 </w:t>
            </w:r>
          </w:p>
        </w:tc>
        <w:tc>
          <w:tcPr>
            <w:tcW w:w="4346" w:type="dxa"/>
            <w:tcBorders>
              <w:top w:val="nil"/>
              <w:left w:val="nil"/>
              <w:bottom w:val="nil"/>
            </w:tcBorders>
            <w:shd w:val="clear" w:color="auto" w:fill="auto"/>
            <w:noWrap/>
            <w:vAlign w:val="center"/>
            <w:hideMark/>
          </w:tcPr>
          <w:p w14:paraId="6294B9B8" w14:textId="77777777" w:rsidR="0008665A" w:rsidRPr="001118B5" w:rsidRDefault="0008665A" w:rsidP="0008665A">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Custo dos Produtos Vendidos</w:t>
            </w:r>
          </w:p>
        </w:tc>
        <w:tc>
          <w:tcPr>
            <w:tcW w:w="846" w:type="dxa"/>
            <w:tcBorders>
              <w:top w:val="nil"/>
              <w:bottom w:val="nil"/>
              <w:right w:val="single" w:sz="8" w:space="0" w:color="auto"/>
            </w:tcBorders>
            <w:shd w:val="clear" w:color="auto" w:fill="auto"/>
            <w:noWrap/>
            <w:vAlign w:val="center"/>
          </w:tcPr>
          <w:p w14:paraId="7EA5AE6B"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35213243"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DVP.H051</w:t>
            </w:r>
          </w:p>
        </w:tc>
        <w:tc>
          <w:tcPr>
            <w:tcW w:w="1120" w:type="dxa"/>
            <w:tcBorders>
              <w:top w:val="nil"/>
              <w:left w:val="nil"/>
              <w:bottom w:val="nil"/>
              <w:right w:val="single" w:sz="8" w:space="0" w:color="auto"/>
            </w:tcBorders>
            <w:shd w:val="clear" w:color="auto" w:fill="auto"/>
            <w:noWrap/>
            <w:vAlign w:val="center"/>
            <w:hideMark/>
          </w:tcPr>
          <w:p w14:paraId="559203B0"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DVP.I051</w:t>
            </w:r>
          </w:p>
        </w:tc>
      </w:tr>
      <w:tr w:rsidR="0008665A" w:rsidRPr="001118B5" w14:paraId="763C18D7" w14:textId="77777777" w:rsidTr="00E67116">
        <w:trPr>
          <w:trHeight w:val="240"/>
        </w:trPr>
        <w:tc>
          <w:tcPr>
            <w:tcW w:w="4410" w:type="dxa"/>
            <w:tcBorders>
              <w:top w:val="nil"/>
              <w:left w:val="single" w:sz="8" w:space="0" w:color="auto"/>
              <w:bottom w:val="nil"/>
            </w:tcBorders>
            <w:shd w:val="clear" w:color="auto" w:fill="auto"/>
            <w:noWrap/>
            <w:vAlign w:val="center"/>
            <w:hideMark/>
          </w:tcPr>
          <w:p w14:paraId="05C9BC4D" w14:textId="77777777" w:rsidR="0008665A" w:rsidRPr="001118B5" w:rsidRDefault="0008665A" w:rsidP="0008665A">
            <w:pPr>
              <w:spacing w:after="0" w:line="240" w:lineRule="auto"/>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 </w:t>
            </w:r>
          </w:p>
        </w:tc>
        <w:tc>
          <w:tcPr>
            <w:tcW w:w="835" w:type="dxa"/>
            <w:tcBorders>
              <w:top w:val="nil"/>
              <w:bottom w:val="nil"/>
              <w:right w:val="single" w:sz="8" w:space="0" w:color="auto"/>
            </w:tcBorders>
            <w:shd w:val="clear" w:color="auto" w:fill="auto"/>
            <w:noWrap/>
            <w:vAlign w:val="center"/>
          </w:tcPr>
          <w:p w14:paraId="2749961D"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4D109C98"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 </w:t>
            </w:r>
          </w:p>
        </w:tc>
        <w:tc>
          <w:tcPr>
            <w:tcW w:w="1134" w:type="dxa"/>
            <w:tcBorders>
              <w:top w:val="nil"/>
              <w:left w:val="nil"/>
              <w:bottom w:val="nil"/>
              <w:right w:val="single" w:sz="8" w:space="0" w:color="auto"/>
            </w:tcBorders>
            <w:shd w:val="clear" w:color="auto" w:fill="auto"/>
            <w:noWrap/>
            <w:vAlign w:val="center"/>
            <w:hideMark/>
          </w:tcPr>
          <w:p w14:paraId="115446B1"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 </w:t>
            </w:r>
          </w:p>
        </w:tc>
        <w:tc>
          <w:tcPr>
            <w:tcW w:w="4346" w:type="dxa"/>
            <w:tcBorders>
              <w:top w:val="nil"/>
              <w:left w:val="nil"/>
              <w:bottom w:val="nil"/>
            </w:tcBorders>
            <w:shd w:val="clear" w:color="auto" w:fill="auto"/>
            <w:noWrap/>
            <w:vAlign w:val="center"/>
            <w:hideMark/>
          </w:tcPr>
          <w:p w14:paraId="6928B51D" w14:textId="77777777" w:rsidR="0008665A" w:rsidRPr="001118B5" w:rsidRDefault="0008665A" w:rsidP="0008665A">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Custo dos Serviços Prestados</w:t>
            </w:r>
          </w:p>
        </w:tc>
        <w:tc>
          <w:tcPr>
            <w:tcW w:w="846" w:type="dxa"/>
            <w:tcBorders>
              <w:top w:val="nil"/>
              <w:bottom w:val="nil"/>
              <w:right w:val="single" w:sz="8" w:space="0" w:color="auto"/>
            </w:tcBorders>
            <w:shd w:val="clear" w:color="auto" w:fill="auto"/>
            <w:noWrap/>
            <w:vAlign w:val="center"/>
          </w:tcPr>
          <w:p w14:paraId="59B8F7F2"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280CD3A9"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DVP.H052</w:t>
            </w:r>
          </w:p>
        </w:tc>
        <w:tc>
          <w:tcPr>
            <w:tcW w:w="1120" w:type="dxa"/>
            <w:tcBorders>
              <w:top w:val="nil"/>
              <w:left w:val="nil"/>
              <w:bottom w:val="nil"/>
              <w:right w:val="single" w:sz="8" w:space="0" w:color="auto"/>
            </w:tcBorders>
            <w:shd w:val="clear" w:color="auto" w:fill="auto"/>
            <w:noWrap/>
            <w:vAlign w:val="center"/>
            <w:hideMark/>
          </w:tcPr>
          <w:p w14:paraId="0F20BE95"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DVP.I052</w:t>
            </w:r>
          </w:p>
        </w:tc>
      </w:tr>
      <w:tr w:rsidR="0008665A" w:rsidRPr="001118B5" w14:paraId="698E3F90" w14:textId="77777777" w:rsidTr="00E67116">
        <w:trPr>
          <w:trHeight w:val="240"/>
        </w:trPr>
        <w:tc>
          <w:tcPr>
            <w:tcW w:w="4410" w:type="dxa"/>
            <w:tcBorders>
              <w:top w:val="nil"/>
              <w:left w:val="single" w:sz="8" w:space="0" w:color="auto"/>
              <w:bottom w:val="nil"/>
            </w:tcBorders>
            <w:shd w:val="clear" w:color="auto" w:fill="auto"/>
            <w:noWrap/>
            <w:vAlign w:val="center"/>
            <w:hideMark/>
          </w:tcPr>
          <w:p w14:paraId="7A91F194" w14:textId="77777777" w:rsidR="0008665A" w:rsidRPr="001118B5" w:rsidRDefault="0008665A" w:rsidP="0008665A">
            <w:pPr>
              <w:spacing w:after="0" w:line="240" w:lineRule="auto"/>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 </w:t>
            </w:r>
          </w:p>
        </w:tc>
        <w:tc>
          <w:tcPr>
            <w:tcW w:w="835" w:type="dxa"/>
            <w:tcBorders>
              <w:top w:val="nil"/>
              <w:bottom w:val="nil"/>
              <w:right w:val="single" w:sz="8" w:space="0" w:color="auto"/>
            </w:tcBorders>
            <w:shd w:val="clear" w:color="auto" w:fill="auto"/>
            <w:noWrap/>
            <w:vAlign w:val="center"/>
          </w:tcPr>
          <w:p w14:paraId="4BEDB62C" w14:textId="77777777" w:rsidR="0008665A" w:rsidRPr="001118B5" w:rsidRDefault="0008665A" w:rsidP="0008665A">
            <w:pPr>
              <w:spacing w:after="0" w:line="240" w:lineRule="auto"/>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7972961D"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 </w:t>
            </w:r>
          </w:p>
        </w:tc>
        <w:tc>
          <w:tcPr>
            <w:tcW w:w="1134" w:type="dxa"/>
            <w:tcBorders>
              <w:top w:val="nil"/>
              <w:left w:val="nil"/>
              <w:bottom w:val="nil"/>
              <w:right w:val="single" w:sz="8" w:space="0" w:color="auto"/>
            </w:tcBorders>
            <w:shd w:val="clear" w:color="auto" w:fill="auto"/>
            <w:noWrap/>
            <w:vAlign w:val="center"/>
            <w:hideMark/>
          </w:tcPr>
          <w:p w14:paraId="3BF5D876"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 </w:t>
            </w:r>
          </w:p>
        </w:tc>
        <w:tc>
          <w:tcPr>
            <w:tcW w:w="4346" w:type="dxa"/>
            <w:tcBorders>
              <w:top w:val="nil"/>
              <w:left w:val="nil"/>
              <w:bottom w:val="nil"/>
            </w:tcBorders>
            <w:shd w:val="clear" w:color="auto" w:fill="auto"/>
            <w:noWrap/>
            <w:vAlign w:val="center"/>
            <w:hideMark/>
          </w:tcPr>
          <w:p w14:paraId="617DFF81" w14:textId="77777777" w:rsidR="0008665A" w:rsidRPr="001118B5" w:rsidRDefault="0008665A" w:rsidP="0008665A">
            <w:pPr>
              <w:spacing w:after="0" w:line="240" w:lineRule="auto"/>
              <w:rPr>
                <w:rFonts w:ascii="Arial Narrow" w:eastAsia="Times New Roman" w:hAnsi="Arial Narrow" w:cs="Arial"/>
                <w:b/>
                <w:bCs/>
                <w:sz w:val="16"/>
                <w:szCs w:val="16"/>
                <w:u w:val="single"/>
                <w:lang w:eastAsia="pt-BR"/>
              </w:rPr>
            </w:pPr>
            <w:r w:rsidRPr="001118B5">
              <w:rPr>
                <w:rFonts w:ascii="Arial Narrow" w:eastAsia="Times New Roman" w:hAnsi="Arial Narrow" w:cs="Arial"/>
                <w:b/>
                <w:bCs/>
                <w:sz w:val="16"/>
                <w:szCs w:val="16"/>
                <w:u w:val="single"/>
                <w:lang w:eastAsia="pt-BR"/>
              </w:rPr>
              <w:t>Outras Variações Patrimoniais Diminutivas</w:t>
            </w:r>
          </w:p>
        </w:tc>
        <w:tc>
          <w:tcPr>
            <w:tcW w:w="846" w:type="dxa"/>
            <w:tcBorders>
              <w:top w:val="nil"/>
              <w:bottom w:val="nil"/>
              <w:right w:val="single" w:sz="8" w:space="0" w:color="auto"/>
            </w:tcBorders>
            <w:shd w:val="clear" w:color="auto" w:fill="auto"/>
            <w:noWrap/>
            <w:vAlign w:val="center"/>
          </w:tcPr>
          <w:p w14:paraId="39BFF37F" w14:textId="77777777" w:rsidR="0008665A" w:rsidRPr="001118B5" w:rsidRDefault="0008665A" w:rsidP="0008665A">
            <w:pPr>
              <w:spacing w:after="0" w:line="240" w:lineRule="auto"/>
              <w:jc w:val="center"/>
              <w:rPr>
                <w:rFonts w:ascii="Arial Narrow" w:eastAsia="Times New Roman" w:hAnsi="Arial Narrow" w:cs="Arial"/>
                <w:b/>
                <w:bCs/>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13ED1DBD" w14:textId="77777777" w:rsidR="0008665A" w:rsidRPr="001118B5" w:rsidRDefault="0008665A" w:rsidP="0008665A">
            <w:pPr>
              <w:spacing w:after="0" w:line="240" w:lineRule="auto"/>
              <w:jc w:val="center"/>
              <w:rPr>
                <w:rFonts w:ascii="Arial Narrow" w:eastAsia="Times New Roman" w:hAnsi="Arial Narrow" w:cs="Arial"/>
                <w:b/>
                <w:bCs/>
                <w:sz w:val="16"/>
                <w:szCs w:val="16"/>
                <w:lang w:eastAsia="pt-BR"/>
              </w:rPr>
            </w:pPr>
            <w:r w:rsidRPr="001118B5">
              <w:rPr>
                <w:rFonts w:ascii="Arial Narrow" w:eastAsia="Times New Roman" w:hAnsi="Arial Narrow" w:cs="Arial"/>
                <w:b/>
                <w:bCs/>
                <w:sz w:val="16"/>
                <w:szCs w:val="16"/>
                <w:lang w:eastAsia="pt-BR"/>
              </w:rPr>
              <w:t>DVP.H053</w:t>
            </w:r>
          </w:p>
        </w:tc>
        <w:tc>
          <w:tcPr>
            <w:tcW w:w="1120" w:type="dxa"/>
            <w:tcBorders>
              <w:top w:val="nil"/>
              <w:left w:val="nil"/>
              <w:bottom w:val="nil"/>
              <w:right w:val="single" w:sz="8" w:space="0" w:color="auto"/>
            </w:tcBorders>
            <w:shd w:val="clear" w:color="auto" w:fill="auto"/>
            <w:noWrap/>
            <w:vAlign w:val="center"/>
            <w:hideMark/>
          </w:tcPr>
          <w:p w14:paraId="0A9AA3E5" w14:textId="77777777" w:rsidR="0008665A" w:rsidRPr="001118B5" w:rsidRDefault="0008665A" w:rsidP="0008665A">
            <w:pPr>
              <w:spacing w:after="0" w:line="240" w:lineRule="auto"/>
              <w:jc w:val="center"/>
              <w:rPr>
                <w:rFonts w:ascii="Arial Narrow" w:eastAsia="Times New Roman" w:hAnsi="Arial Narrow" w:cs="Arial"/>
                <w:b/>
                <w:bCs/>
                <w:sz w:val="16"/>
                <w:szCs w:val="16"/>
                <w:lang w:eastAsia="pt-BR"/>
              </w:rPr>
            </w:pPr>
            <w:r w:rsidRPr="001118B5">
              <w:rPr>
                <w:rFonts w:ascii="Arial Narrow" w:eastAsia="Times New Roman" w:hAnsi="Arial Narrow" w:cs="Arial"/>
                <w:b/>
                <w:bCs/>
                <w:sz w:val="16"/>
                <w:szCs w:val="16"/>
                <w:lang w:eastAsia="pt-BR"/>
              </w:rPr>
              <w:t>DVP.I053</w:t>
            </w:r>
          </w:p>
        </w:tc>
      </w:tr>
      <w:tr w:rsidR="0008665A" w:rsidRPr="001118B5" w14:paraId="583D87E4" w14:textId="77777777" w:rsidTr="00E67116">
        <w:trPr>
          <w:trHeight w:val="255"/>
        </w:trPr>
        <w:tc>
          <w:tcPr>
            <w:tcW w:w="4410" w:type="dxa"/>
            <w:tcBorders>
              <w:top w:val="nil"/>
              <w:left w:val="single" w:sz="8" w:space="0" w:color="auto"/>
              <w:bottom w:val="nil"/>
            </w:tcBorders>
            <w:shd w:val="clear" w:color="auto" w:fill="auto"/>
            <w:noWrap/>
            <w:vAlign w:val="center"/>
            <w:hideMark/>
          </w:tcPr>
          <w:p w14:paraId="11295A12" w14:textId="77777777" w:rsidR="0008665A" w:rsidRPr="001118B5" w:rsidRDefault="0008665A" w:rsidP="0008665A">
            <w:pPr>
              <w:spacing w:after="0" w:line="240" w:lineRule="auto"/>
              <w:rPr>
                <w:rFonts w:ascii="Arial Narrow" w:eastAsia="Times New Roman" w:hAnsi="Arial Narrow" w:cs="Arial"/>
                <w:sz w:val="16"/>
                <w:szCs w:val="16"/>
                <w:u w:val="single"/>
                <w:lang w:eastAsia="pt-BR"/>
              </w:rPr>
            </w:pPr>
            <w:r w:rsidRPr="001118B5">
              <w:rPr>
                <w:rFonts w:ascii="Arial Narrow" w:eastAsia="Times New Roman" w:hAnsi="Arial Narrow" w:cs="Arial"/>
                <w:sz w:val="16"/>
                <w:szCs w:val="16"/>
                <w:lang w:eastAsia="pt-BR"/>
              </w:rPr>
              <w:t> </w:t>
            </w:r>
          </w:p>
        </w:tc>
        <w:tc>
          <w:tcPr>
            <w:tcW w:w="835" w:type="dxa"/>
            <w:tcBorders>
              <w:top w:val="nil"/>
              <w:bottom w:val="nil"/>
              <w:right w:val="single" w:sz="8" w:space="0" w:color="auto"/>
            </w:tcBorders>
            <w:shd w:val="clear" w:color="auto" w:fill="auto"/>
            <w:noWrap/>
            <w:vAlign w:val="center"/>
            <w:hideMark/>
          </w:tcPr>
          <w:p w14:paraId="7A712772" w14:textId="77777777" w:rsidR="0008665A" w:rsidRPr="001118B5" w:rsidRDefault="0008665A" w:rsidP="0008665A">
            <w:pPr>
              <w:spacing w:after="0" w:line="240" w:lineRule="auto"/>
              <w:rPr>
                <w:rFonts w:ascii="Arial Narrow" w:eastAsia="Times New Roman" w:hAnsi="Arial Narrow" w:cs="Arial"/>
                <w:sz w:val="16"/>
                <w:szCs w:val="16"/>
                <w:u w:val="single"/>
                <w:lang w:eastAsia="pt-BR"/>
              </w:rPr>
            </w:pPr>
            <w:r w:rsidRPr="001118B5">
              <w:rPr>
                <w:rFonts w:ascii="Arial Narrow" w:eastAsia="Times New Roman" w:hAnsi="Arial Narrow" w:cs="Arial"/>
                <w:sz w:val="16"/>
                <w:szCs w:val="16"/>
                <w:lang w:eastAsia="pt-BR"/>
              </w:rPr>
              <w:t> </w:t>
            </w:r>
          </w:p>
        </w:tc>
        <w:tc>
          <w:tcPr>
            <w:tcW w:w="1149" w:type="dxa"/>
            <w:tcBorders>
              <w:top w:val="nil"/>
              <w:left w:val="nil"/>
              <w:bottom w:val="nil"/>
              <w:right w:val="single" w:sz="8" w:space="0" w:color="auto"/>
            </w:tcBorders>
            <w:shd w:val="clear" w:color="auto" w:fill="auto"/>
            <w:noWrap/>
            <w:vAlign w:val="center"/>
            <w:hideMark/>
          </w:tcPr>
          <w:p w14:paraId="6203487B"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 </w:t>
            </w:r>
          </w:p>
        </w:tc>
        <w:tc>
          <w:tcPr>
            <w:tcW w:w="1134" w:type="dxa"/>
            <w:tcBorders>
              <w:top w:val="nil"/>
              <w:left w:val="nil"/>
              <w:bottom w:val="nil"/>
              <w:right w:val="single" w:sz="8" w:space="0" w:color="auto"/>
            </w:tcBorders>
            <w:shd w:val="clear" w:color="auto" w:fill="auto"/>
            <w:noWrap/>
            <w:vAlign w:val="center"/>
            <w:hideMark/>
          </w:tcPr>
          <w:p w14:paraId="3300917E"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 </w:t>
            </w:r>
          </w:p>
        </w:tc>
        <w:tc>
          <w:tcPr>
            <w:tcW w:w="4346" w:type="dxa"/>
            <w:tcBorders>
              <w:top w:val="nil"/>
              <w:left w:val="nil"/>
              <w:bottom w:val="nil"/>
            </w:tcBorders>
            <w:shd w:val="clear" w:color="auto" w:fill="auto"/>
            <w:noWrap/>
            <w:vAlign w:val="center"/>
            <w:hideMark/>
          </w:tcPr>
          <w:p w14:paraId="37DA5D73" w14:textId="77777777" w:rsidR="0008665A" w:rsidRPr="001118B5" w:rsidRDefault="0008665A" w:rsidP="0008665A">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Premiações</w:t>
            </w:r>
          </w:p>
        </w:tc>
        <w:tc>
          <w:tcPr>
            <w:tcW w:w="846" w:type="dxa"/>
            <w:tcBorders>
              <w:top w:val="nil"/>
              <w:bottom w:val="nil"/>
              <w:right w:val="single" w:sz="8" w:space="0" w:color="auto"/>
            </w:tcBorders>
            <w:shd w:val="clear" w:color="auto" w:fill="auto"/>
            <w:noWrap/>
            <w:vAlign w:val="center"/>
          </w:tcPr>
          <w:p w14:paraId="4F3FD3FA"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5EB3F76F"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DVP.H054</w:t>
            </w:r>
          </w:p>
        </w:tc>
        <w:tc>
          <w:tcPr>
            <w:tcW w:w="1120" w:type="dxa"/>
            <w:tcBorders>
              <w:top w:val="nil"/>
              <w:left w:val="nil"/>
              <w:bottom w:val="nil"/>
              <w:right w:val="single" w:sz="8" w:space="0" w:color="auto"/>
            </w:tcBorders>
            <w:shd w:val="clear" w:color="auto" w:fill="auto"/>
            <w:noWrap/>
            <w:vAlign w:val="center"/>
            <w:hideMark/>
          </w:tcPr>
          <w:p w14:paraId="39284075"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DVP.I054</w:t>
            </w:r>
          </w:p>
        </w:tc>
      </w:tr>
      <w:tr w:rsidR="0008665A" w:rsidRPr="001118B5" w14:paraId="3E4DE5D3" w14:textId="77777777" w:rsidTr="00E67116">
        <w:trPr>
          <w:trHeight w:val="255"/>
        </w:trPr>
        <w:tc>
          <w:tcPr>
            <w:tcW w:w="4410" w:type="dxa"/>
            <w:tcBorders>
              <w:top w:val="nil"/>
              <w:left w:val="single" w:sz="8" w:space="0" w:color="auto"/>
              <w:bottom w:val="nil"/>
            </w:tcBorders>
            <w:shd w:val="clear" w:color="auto" w:fill="auto"/>
            <w:noWrap/>
            <w:vAlign w:val="center"/>
            <w:hideMark/>
          </w:tcPr>
          <w:p w14:paraId="4B93294B" w14:textId="77777777" w:rsidR="0008665A" w:rsidRPr="001118B5" w:rsidRDefault="0008665A" w:rsidP="0008665A">
            <w:pPr>
              <w:spacing w:after="0" w:line="240" w:lineRule="auto"/>
              <w:rPr>
                <w:rFonts w:ascii="Arial Narrow" w:eastAsia="Times New Roman" w:hAnsi="Arial Narrow" w:cs="Arial"/>
                <w:sz w:val="16"/>
                <w:szCs w:val="16"/>
                <w:u w:val="single"/>
                <w:lang w:eastAsia="pt-BR"/>
              </w:rPr>
            </w:pPr>
          </w:p>
        </w:tc>
        <w:tc>
          <w:tcPr>
            <w:tcW w:w="835" w:type="dxa"/>
            <w:tcBorders>
              <w:top w:val="nil"/>
              <w:bottom w:val="nil"/>
              <w:right w:val="single" w:sz="8" w:space="0" w:color="auto"/>
            </w:tcBorders>
            <w:shd w:val="clear" w:color="auto" w:fill="auto"/>
            <w:noWrap/>
            <w:vAlign w:val="center"/>
            <w:hideMark/>
          </w:tcPr>
          <w:p w14:paraId="67A3F890" w14:textId="77777777" w:rsidR="0008665A" w:rsidRPr="001118B5" w:rsidRDefault="0008665A" w:rsidP="0008665A">
            <w:pPr>
              <w:spacing w:after="0" w:line="240" w:lineRule="auto"/>
              <w:rPr>
                <w:rFonts w:ascii="Arial Narrow" w:eastAsia="Times New Roman" w:hAnsi="Arial Narrow" w:cs="Arial"/>
                <w:sz w:val="16"/>
                <w:szCs w:val="16"/>
                <w:u w:val="single"/>
                <w:lang w:eastAsia="pt-BR"/>
              </w:rPr>
            </w:pPr>
          </w:p>
        </w:tc>
        <w:tc>
          <w:tcPr>
            <w:tcW w:w="1149" w:type="dxa"/>
            <w:tcBorders>
              <w:top w:val="nil"/>
              <w:left w:val="nil"/>
              <w:bottom w:val="nil"/>
              <w:right w:val="single" w:sz="8" w:space="0" w:color="auto"/>
            </w:tcBorders>
            <w:shd w:val="clear" w:color="auto" w:fill="auto"/>
            <w:noWrap/>
            <w:vAlign w:val="center"/>
            <w:hideMark/>
          </w:tcPr>
          <w:p w14:paraId="18838FBF"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 </w:t>
            </w:r>
          </w:p>
        </w:tc>
        <w:tc>
          <w:tcPr>
            <w:tcW w:w="1134" w:type="dxa"/>
            <w:tcBorders>
              <w:top w:val="nil"/>
              <w:left w:val="nil"/>
              <w:bottom w:val="nil"/>
              <w:right w:val="single" w:sz="8" w:space="0" w:color="auto"/>
            </w:tcBorders>
            <w:shd w:val="clear" w:color="auto" w:fill="auto"/>
            <w:noWrap/>
            <w:vAlign w:val="center"/>
            <w:hideMark/>
          </w:tcPr>
          <w:p w14:paraId="0A2E474A"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 </w:t>
            </w:r>
          </w:p>
        </w:tc>
        <w:tc>
          <w:tcPr>
            <w:tcW w:w="4346" w:type="dxa"/>
            <w:tcBorders>
              <w:top w:val="nil"/>
              <w:left w:val="nil"/>
              <w:bottom w:val="nil"/>
            </w:tcBorders>
            <w:shd w:val="clear" w:color="auto" w:fill="auto"/>
            <w:noWrap/>
            <w:vAlign w:val="center"/>
            <w:hideMark/>
          </w:tcPr>
          <w:p w14:paraId="2C719E80" w14:textId="77777777" w:rsidR="0008665A" w:rsidRPr="001118B5" w:rsidRDefault="0008665A" w:rsidP="0008665A">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Resultado Negativo de Participações</w:t>
            </w:r>
          </w:p>
        </w:tc>
        <w:tc>
          <w:tcPr>
            <w:tcW w:w="846" w:type="dxa"/>
            <w:tcBorders>
              <w:top w:val="nil"/>
              <w:bottom w:val="nil"/>
              <w:right w:val="single" w:sz="8" w:space="0" w:color="auto"/>
            </w:tcBorders>
            <w:shd w:val="clear" w:color="auto" w:fill="auto"/>
            <w:noWrap/>
            <w:vAlign w:val="center"/>
          </w:tcPr>
          <w:p w14:paraId="1DDA6C52"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5F7A34C4"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DVP.H055</w:t>
            </w:r>
          </w:p>
        </w:tc>
        <w:tc>
          <w:tcPr>
            <w:tcW w:w="1120" w:type="dxa"/>
            <w:tcBorders>
              <w:top w:val="nil"/>
              <w:left w:val="nil"/>
              <w:bottom w:val="nil"/>
              <w:right w:val="single" w:sz="8" w:space="0" w:color="auto"/>
            </w:tcBorders>
            <w:shd w:val="clear" w:color="auto" w:fill="auto"/>
            <w:noWrap/>
            <w:vAlign w:val="center"/>
            <w:hideMark/>
          </w:tcPr>
          <w:p w14:paraId="6E473F22"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DVP.I055</w:t>
            </w:r>
          </w:p>
        </w:tc>
      </w:tr>
      <w:tr w:rsidR="0008665A" w:rsidRPr="001118B5" w14:paraId="0A6DFA85" w14:textId="77777777" w:rsidTr="00E67116">
        <w:trPr>
          <w:trHeight w:val="255"/>
        </w:trPr>
        <w:tc>
          <w:tcPr>
            <w:tcW w:w="4410" w:type="dxa"/>
            <w:tcBorders>
              <w:top w:val="nil"/>
              <w:left w:val="single" w:sz="8" w:space="0" w:color="auto"/>
              <w:bottom w:val="nil"/>
            </w:tcBorders>
            <w:shd w:val="clear" w:color="auto" w:fill="auto"/>
            <w:noWrap/>
            <w:vAlign w:val="center"/>
            <w:hideMark/>
          </w:tcPr>
          <w:p w14:paraId="4D76ADD6" w14:textId="77777777" w:rsidR="0008665A" w:rsidRPr="001118B5" w:rsidRDefault="0008665A" w:rsidP="0008665A">
            <w:pPr>
              <w:spacing w:after="0" w:line="240" w:lineRule="auto"/>
              <w:rPr>
                <w:rFonts w:ascii="Arial Narrow" w:eastAsia="Times New Roman" w:hAnsi="Arial Narrow" w:cs="Arial"/>
                <w:sz w:val="16"/>
                <w:szCs w:val="16"/>
                <w:u w:val="single"/>
                <w:lang w:eastAsia="pt-BR"/>
              </w:rPr>
            </w:pPr>
          </w:p>
        </w:tc>
        <w:tc>
          <w:tcPr>
            <w:tcW w:w="835" w:type="dxa"/>
            <w:tcBorders>
              <w:top w:val="nil"/>
              <w:right w:val="single" w:sz="8" w:space="0" w:color="auto"/>
            </w:tcBorders>
            <w:shd w:val="clear" w:color="auto" w:fill="auto"/>
            <w:noWrap/>
            <w:vAlign w:val="center"/>
            <w:hideMark/>
          </w:tcPr>
          <w:p w14:paraId="5CF7D0F1" w14:textId="77777777" w:rsidR="0008665A" w:rsidRPr="001118B5" w:rsidRDefault="0008665A" w:rsidP="0008665A">
            <w:pPr>
              <w:spacing w:after="0" w:line="240" w:lineRule="auto"/>
              <w:rPr>
                <w:rFonts w:ascii="Arial Narrow" w:eastAsia="Times New Roman" w:hAnsi="Arial Narrow" w:cs="Arial"/>
                <w:sz w:val="16"/>
                <w:szCs w:val="16"/>
                <w:u w:val="single"/>
                <w:lang w:eastAsia="pt-BR"/>
              </w:rPr>
            </w:pPr>
          </w:p>
          <w:p w14:paraId="2A17A477" w14:textId="77777777" w:rsidR="0008665A" w:rsidRPr="001118B5" w:rsidRDefault="0008665A" w:rsidP="0008665A">
            <w:pPr>
              <w:spacing w:after="0" w:line="240" w:lineRule="auto"/>
              <w:rPr>
                <w:rFonts w:ascii="Arial Narrow" w:eastAsia="Times New Roman" w:hAnsi="Arial Narrow" w:cs="Arial"/>
                <w:sz w:val="16"/>
                <w:szCs w:val="16"/>
                <w:u w:val="single"/>
                <w:lang w:eastAsia="pt-BR"/>
              </w:rPr>
            </w:pPr>
          </w:p>
        </w:tc>
        <w:tc>
          <w:tcPr>
            <w:tcW w:w="1149" w:type="dxa"/>
            <w:tcBorders>
              <w:top w:val="nil"/>
              <w:left w:val="nil"/>
              <w:bottom w:val="nil"/>
              <w:right w:val="single" w:sz="8" w:space="0" w:color="auto"/>
            </w:tcBorders>
            <w:shd w:val="clear" w:color="auto" w:fill="auto"/>
            <w:noWrap/>
            <w:vAlign w:val="center"/>
            <w:hideMark/>
          </w:tcPr>
          <w:p w14:paraId="680D26D2"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 </w:t>
            </w:r>
          </w:p>
        </w:tc>
        <w:tc>
          <w:tcPr>
            <w:tcW w:w="1134" w:type="dxa"/>
            <w:tcBorders>
              <w:top w:val="nil"/>
              <w:left w:val="nil"/>
              <w:bottom w:val="nil"/>
              <w:right w:val="single" w:sz="8" w:space="0" w:color="auto"/>
            </w:tcBorders>
            <w:shd w:val="clear" w:color="auto" w:fill="auto"/>
            <w:noWrap/>
            <w:vAlign w:val="center"/>
            <w:hideMark/>
          </w:tcPr>
          <w:p w14:paraId="5B972BF7"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 </w:t>
            </w:r>
          </w:p>
        </w:tc>
        <w:tc>
          <w:tcPr>
            <w:tcW w:w="4346" w:type="dxa"/>
            <w:tcBorders>
              <w:top w:val="nil"/>
              <w:left w:val="nil"/>
              <w:bottom w:val="nil"/>
            </w:tcBorders>
            <w:shd w:val="clear" w:color="auto" w:fill="auto"/>
            <w:noWrap/>
            <w:vAlign w:val="center"/>
            <w:hideMark/>
          </w:tcPr>
          <w:p w14:paraId="517E8F3A" w14:textId="77777777" w:rsidR="0008665A" w:rsidRPr="001118B5" w:rsidRDefault="0008665A" w:rsidP="0008665A">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Incentivos</w:t>
            </w:r>
          </w:p>
        </w:tc>
        <w:tc>
          <w:tcPr>
            <w:tcW w:w="846" w:type="dxa"/>
            <w:tcBorders>
              <w:top w:val="nil"/>
              <w:right w:val="single" w:sz="8" w:space="0" w:color="auto"/>
            </w:tcBorders>
            <w:shd w:val="clear" w:color="auto" w:fill="auto"/>
            <w:noWrap/>
            <w:vAlign w:val="center"/>
          </w:tcPr>
          <w:p w14:paraId="7F497E81"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41872448"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DVP.H056</w:t>
            </w:r>
          </w:p>
        </w:tc>
        <w:tc>
          <w:tcPr>
            <w:tcW w:w="1120" w:type="dxa"/>
            <w:tcBorders>
              <w:top w:val="nil"/>
              <w:left w:val="nil"/>
              <w:bottom w:val="nil"/>
              <w:right w:val="single" w:sz="8" w:space="0" w:color="auto"/>
            </w:tcBorders>
            <w:shd w:val="clear" w:color="auto" w:fill="auto"/>
            <w:noWrap/>
            <w:vAlign w:val="center"/>
            <w:hideMark/>
          </w:tcPr>
          <w:p w14:paraId="7887BD16"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DVP.I056</w:t>
            </w:r>
          </w:p>
        </w:tc>
      </w:tr>
      <w:tr w:rsidR="0008665A" w:rsidRPr="001118B5" w14:paraId="42BD1F4F" w14:textId="77777777" w:rsidTr="00E67116">
        <w:trPr>
          <w:trHeight w:val="255"/>
        </w:trPr>
        <w:tc>
          <w:tcPr>
            <w:tcW w:w="4410" w:type="dxa"/>
            <w:tcBorders>
              <w:top w:val="nil"/>
              <w:left w:val="single" w:sz="8" w:space="0" w:color="auto"/>
              <w:bottom w:val="nil"/>
            </w:tcBorders>
            <w:shd w:val="clear" w:color="auto" w:fill="auto"/>
            <w:noWrap/>
            <w:vAlign w:val="center"/>
            <w:hideMark/>
          </w:tcPr>
          <w:p w14:paraId="383067CE" w14:textId="77777777" w:rsidR="0008665A" w:rsidRPr="001118B5" w:rsidRDefault="0008665A" w:rsidP="0008665A">
            <w:pPr>
              <w:spacing w:after="0" w:line="240" w:lineRule="auto"/>
              <w:rPr>
                <w:rFonts w:ascii="Arial Narrow" w:eastAsia="Times New Roman" w:hAnsi="Arial Narrow" w:cs="Arial"/>
                <w:sz w:val="16"/>
                <w:szCs w:val="16"/>
                <w:u w:val="single"/>
                <w:lang w:eastAsia="pt-BR"/>
              </w:rPr>
            </w:pPr>
          </w:p>
        </w:tc>
        <w:tc>
          <w:tcPr>
            <w:tcW w:w="835" w:type="dxa"/>
            <w:tcBorders>
              <w:top w:val="nil"/>
              <w:bottom w:val="nil"/>
              <w:right w:val="single" w:sz="8" w:space="0" w:color="auto"/>
            </w:tcBorders>
            <w:shd w:val="clear" w:color="auto" w:fill="auto"/>
            <w:noWrap/>
            <w:vAlign w:val="center"/>
            <w:hideMark/>
          </w:tcPr>
          <w:p w14:paraId="340B191C" w14:textId="77777777" w:rsidR="0008665A" w:rsidRPr="001118B5" w:rsidRDefault="0008665A" w:rsidP="0008665A">
            <w:pPr>
              <w:spacing w:after="0" w:line="240" w:lineRule="auto"/>
              <w:rPr>
                <w:rFonts w:ascii="Arial Narrow" w:eastAsia="Times New Roman" w:hAnsi="Arial Narrow" w:cs="Arial"/>
                <w:sz w:val="16"/>
                <w:szCs w:val="16"/>
                <w:u w:val="single"/>
                <w:lang w:eastAsia="pt-BR"/>
              </w:rPr>
            </w:pPr>
          </w:p>
        </w:tc>
        <w:tc>
          <w:tcPr>
            <w:tcW w:w="1149" w:type="dxa"/>
            <w:tcBorders>
              <w:top w:val="nil"/>
              <w:left w:val="nil"/>
              <w:bottom w:val="nil"/>
              <w:right w:val="single" w:sz="8" w:space="0" w:color="auto"/>
            </w:tcBorders>
            <w:shd w:val="clear" w:color="auto" w:fill="auto"/>
            <w:noWrap/>
            <w:vAlign w:val="center"/>
            <w:hideMark/>
          </w:tcPr>
          <w:p w14:paraId="28CF27C2"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 </w:t>
            </w:r>
          </w:p>
        </w:tc>
        <w:tc>
          <w:tcPr>
            <w:tcW w:w="1134" w:type="dxa"/>
            <w:tcBorders>
              <w:top w:val="nil"/>
              <w:left w:val="nil"/>
              <w:bottom w:val="nil"/>
              <w:right w:val="single" w:sz="8" w:space="0" w:color="auto"/>
            </w:tcBorders>
            <w:shd w:val="clear" w:color="auto" w:fill="auto"/>
            <w:noWrap/>
            <w:vAlign w:val="center"/>
            <w:hideMark/>
          </w:tcPr>
          <w:p w14:paraId="2E34F620"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 </w:t>
            </w:r>
          </w:p>
        </w:tc>
        <w:tc>
          <w:tcPr>
            <w:tcW w:w="4346" w:type="dxa"/>
            <w:tcBorders>
              <w:top w:val="nil"/>
              <w:left w:val="nil"/>
              <w:bottom w:val="nil"/>
            </w:tcBorders>
            <w:shd w:val="clear" w:color="auto" w:fill="auto"/>
            <w:noWrap/>
            <w:vAlign w:val="center"/>
            <w:hideMark/>
          </w:tcPr>
          <w:p w14:paraId="40D2E964" w14:textId="77777777" w:rsidR="0008665A" w:rsidRPr="001118B5" w:rsidRDefault="0008665A" w:rsidP="0008665A">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Subvenções Econômicas</w:t>
            </w:r>
          </w:p>
        </w:tc>
        <w:tc>
          <w:tcPr>
            <w:tcW w:w="846" w:type="dxa"/>
            <w:tcBorders>
              <w:top w:val="nil"/>
              <w:bottom w:val="nil"/>
              <w:right w:val="single" w:sz="8" w:space="0" w:color="auto"/>
            </w:tcBorders>
            <w:shd w:val="clear" w:color="auto" w:fill="auto"/>
            <w:noWrap/>
            <w:vAlign w:val="center"/>
          </w:tcPr>
          <w:p w14:paraId="76506AE8"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06222E5C"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DVP.H057</w:t>
            </w:r>
          </w:p>
        </w:tc>
        <w:tc>
          <w:tcPr>
            <w:tcW w:w="1120" w:type="dxa"/>
            <w:tcBorders>
              <w:top w:val="nil"/>
              <w:left w:val="nil"/>
              <w:bottom w:val="nil"/>
              <w:right w:val="single" w:sz="8" w:space="0" w:color="auto"/>
            </w:tcBorders>
            <w:shd w:val="clear" w:color="auto" w:fill="auto"/>
            <w:noWrap/>
            <w:vAlign w:val="center"/>
            <w:hideMark/>
          </w:tcPr>
          <w:p w14:paraId="68593E6F"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DVP.I057</w:t>
            </w:r>
          </w:p>
        </w:tc>
      </w:tr>
      <w:tr w:rsidR="0008665A" w:rsidRPr="001118B5" w14:paraId="0226886E" w14:textId="77777777" w:rsidTr="00E67116">
        <w:trPr>
          <w:trHeight w:val="255"/>
        </w:trPr>
        <w:tc>
          <w:tcPr>
            <w:tcW w:w="4410" w:type="dxa"/>
            <w:tcBorders>
              <w:top w:val="nil"/>
              <w:left w:val="single" w:sz="8" w:space="0" w:color="auto"/>
              <w:bottom w:val="nil"/>
            </w:tcBorders>
            <w:shd w:val="clear" w:color="auto" w:fill="auto"/>
            <w:noWrap/>
            <w:vAlign w:val="center"/>
            <w:hideMark/>
          </w:tcPr>
          <w:p w14:paraId="6C67049F" w14:textId="77777777" w:rsidR="0008665A" w:rsidRPr="001118B5" w:rsidRDefault="0008665A" w:rsidP="0008665A">
            <w:pPr>
              <w:spacing w:after="0" w:line="240" w:lineRule="auto"/>
              <w:rPr>
                <w:rFonts w:ascii="Arial Narrow" w:eastAsia="Times New Roman" w:hAnsi="Arial Narrow" w:cs="Arial"/>
                <w:sz w:val="16"/>
                <w:szCs w:val="16"/>
                <w:u w:val="single"/>
                <w:lang w:eastAsia="pt-BR"/>
              </w:rPr>
            </w:pPr>
          </w:p>
        </w:tc>
        <w:tc>
          <w:tcPr>
            <w:tcW w:w="835" w:type="dxa"/>
            <w:tcBorders>
              <w:top w:val="nil"/>
              <w:bottom w:val="nil"/>
              <w:right w:val="single" w:sz="8" w:space="0" w:color="auto"/>
            </w:tcBorders>
            <w:shd w:val="clear" w:color="auto" w:fill="auto"/>
            <w:noWrap/>
            <w:vAlign w:val="center"/>
            <w:hideMark/>
          </w:tcPr>
          <w:p w14:paraId="47292951" w14:textId="77777777" w:rsidR="0008665A" w:rsidRPr="001118B5" w:rsidRDefault="0008665A" w:rsidP="0008665A">
            <w:pPr>
              <w:spacing w:after="0" w:line="240" w:lineRule="auto"/>
              <w:rPr>
                <w:rFonts w:ascii="Arial Narrow" w:eastAsia="Times New Roman" w:hAnsi="Arial Narrow" w:cs="Arial"/>
                <w:sz w:val="16"/>
                <w:szCs w:val="16"/>
                <w:u w:val="single"/>
                <w:lang w:eastAsia="pt-BR"/>
              </w:rPr>
            </w:pPr>
          </w:p>
        </w:tc>
        <w:tc>
          <w:tcPr>
            <w:tcW w:w="1149" w:type="dxa"/>
            <w:tcBorders>
              <w:top w:val="nil"/>
              <w:left w:val="nil"/>
              <w:bottom w:val="nil"/>
              <w:right w:val="single" w:sz="8" w:space="0" w:color="auto"/>
            </w:tcBorders>
            <w:shd w:val="clear" w:color="auto" w:fill="auto"/>
            <w:noWrap/>
            <w:vAlign w:val="center"/>
            <w:hideMark/>
          </w:tcPr>
          <w:p w14:paraId="1122F573"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 </w:t>
            </w:r>
          </w:p>
        </w:tc>
        <w:tc>
          <w:tcPr>
            <w:tcW w:w="1134" w:type="dxa"/>
            <w:tcBorders>
              <w:top w:val="nil"/>
              <w:left w:val="nil"/>
              <w:bottom w:val="nil"/>
              <w:right w:val="single" w:sz="8" w:space="0" w:color="auto"/>
            </w:tcBorders>
            <w:shd w:val="clear" w:color="auto" w:fill="auto"/>
            <w:noWrap/>
            <w:vAlign w:val="center"/>
            <w:hideMark/>
          </w:tcPr>
          <w:p w14:paraId="052EFB45"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 </w:t>
            </w:r>
          </w:p>
        </w:tc>
        <w:tc>
          <w:tcPr>
            <w:tcW w:w="4346" w:type="dxa"/>
            <w:tcBorders>
              <w:top w:val="nil"/>
              <w:left w:val="nil"/>
              <w:bottom w:val="nil"/>
            </w:tcBorders>
            <w:shd w:val="clear" w:color="auto" w:fill="auto"/>
            <w:noWrap/>
            <w:vAlign w:val="center"/>
            <w:hideMark/>
          </w:tcPr>
          <w:p w14:paraId="766A4C45" w14:textId="77777777" w:rsidR="0008665A" w:rsidRPr="001118B5" w:rsidRDefault="0008665A" w:rsidP="0008665A">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Participações e Contribuições</w:t>
            </w:r>
          </w:p>
        </w:tc>
        <w:tc>
          <w:tcPr>
            <w:tcW w:w="846" w:type="dxa"/>
            <w:tcBorders>
              <w:top w:val="nil"/>
              <w:bottom w:val="nil"/>
              <w:right w:val="single" w:sz="8" w:space="0" w:color="auto"/>
            </w:tcBorders>
            <w:shd w:val="clear" w:color="auto" w:fill="auto"/>
            <w:noWrap/>
            <w:vAlign w:val="center"/>
          </w:tcPr>
          <w:p w14:paraId="66FCFAD6"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122FC2AE"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DVP.H058</w:t>
            </w:r>
          </w:p>
        </w:tc>
        <w:tc>
          <w:tcPr>
            <w:tcW w:w="1120" w:type="dxa"/>
            <w:tcBorders>
              <w:top w:val="nil"/>
              <w:left w:val="nil"/>
              <w:bottom w:val="nil"/>
              <w:right w:val="single" w:sz="8" w:space="0" w:color="auto"/>
            </w:tcBorders>
            <w:shd w:val="clear" w:color="auto" w:fill="auto"/>
            <w:noWrap/>
            <w:vAlign w:val="center"/>
            <w:hideMark/>
          </w:tcPr>
          <w:p w14:paraId="4D4C4602"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DVP.I058</w:t>
            </w:r>
          </w:p>
        </w:tc>
      </w:tr>
      <w:tr w:rsidR="0008665A" w:rsidRPr="001118B5" w14:paraId="23F101E1" w14:textId="77777777" w:rsidTr="00E67116">
        <w:trPr>
          <w:trHeight w:val="255"/>
        </w:trPr>
        <w:tc>
          <w:tcPr>
            <w:tcW w:w="4410" w:type="dxa"/>
            <w:tcBorders>
              <w:top w:val="nil"/>
              <w:left w:val="single" w:sz="8" w:space="0" w:color="auto"/>
              <w:bottom w:val="nil"/>
            </w:tcBorders>
            <w:shd w:val="clear" w:color="auto" w:fill="auto"/>
            <w:noWrap/>
            <w:vAlign w:val="center"/>
            <w:hideMark/>
          </w:tcPr>
          <w:p w14:paraId="1B4CA54D" w14:textId="77777777" w:rsidR="0008665A" w:rsidRPr="001118B5" w:rsidRDefault="0008665A" w:rsidP="0008665A">
            <w:pPr>
              <w:spacing w:after="0" w:line="240" w:lineRule="auto"/>
              <w:rPr>
                <w:rFonts w:ascii="Arial Narrow" w:eastAsia="Times New Roman" w:hAnsi="Arial Narrow" w:cs="Arial"/>
                <w:sz w:val="16"/>
                <w:szCs w:val="16"/>
                <w:u w:val="single"/>
                <w:lang w:eastAsia="pt-BR"/>
              </w:rPr>
            </w:pPr>
          </w:p>
        </w:tc>
        <w:tc>
          <w:tcPr>
            <w:tcW w:w="835" w:type="dxa"/>
            <w:tcBorders>
              <w:top w:val="nil"/>
              <w:bottom w:val="nil"/>
              <w:right w:val="single" w:sz="8" w:space="0" w:color="auto"/>
            </w:tcBorders>
            <w:shd w:val="clear" w:color="auto" w:fill="auto"/>
            <w:noWrap/>
            <w:vAlign w:val="center"/>
            <w:hideMark/>
          </w:tcPr>
          <w:p w14:paraId="666E3D6F" w14:textId="77777777" w:rsidR="0008665A" w:rsidRPr="001118B5" w:rsidRDefault="0008665A" w:rsidP="0008665A">
            <w:pPr>
              <w:spacing w:after="0" w:line="240" w:lineRule="auto"/>
              <w:rPr>
                <w:rFonts w:ascii="Arial Narrow" w:eastAsia="Times New Roman" w:hAnsi="Arial Narrow" w:cs="Arial"/>
                <w:sz w:val="16"/>
                <w:szCs w:val="16"/>
                <w:u w:val="single"/>
                <w:lang w:eastAsia="pt-BR"/>
              </w:rPr>
            </w:pPr>
          </w:p>
        </w:tc>
        <w:tc>
          <w:tcPr>
            <w:tcW w:w="1149" w:type="dxa"/>
            <w:tcBorders>
              <w:top w:val="nil"/>
              <w:left w:val="nil"/>
              <w:bottom w:val="nil"/>
              <w:right w:val="single" w:sz="8" w:space="0" w:color="auto"/>
            </w:tcBorders>
            <w:shd w:val="clear" w:color="auto" w:fill="auto"/>
            <w:noWrap/>
            <w:vAlign w:val="center"/>
            <w:hideMark/>
          </w:tcPr>
          <w:p w14:paraId="2E37C097"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 </w:t>
            </w:r>
          </w:p>
        </w:tc>
        <w:tc>
          <w:tcPr>
            <w:tcW w:w="1134" w:type="dxa"/>
            <w:tcBorders>
              <w:top w:val="nil"/>
              <w:left w:val="nil"/>
              <w:bottom w:val="nil"/>
              <w:right w:val="single" w:sz="8" w:space="0" w:color="auto"/>
            </w:tcBorders>
            <w:shd w:val="clear" w:color="auto" w:fill="auto"/>
            <w:noWrap/>
            <w:vAlign w:val="center"/>
            <w:hideMark/>
          </w:tcPr>
          <w:p w14:paraId="2BE41E99"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 </w:t>
            </w:r>
          </w:p>
        </w:tc>
        <w:tc>
          <w:tcPr>
            <w:tcW w:w="4346" w:type="dxa"/>
            <w:tcBorders>
              <w:top w:val="nil"/>
              <w:left w:val="nil"/>
              <w:bottom w:val="nil"/>
            </w:tcBorders>
            <w:shd w:val="clear" w:color="auto" w:fill="auto"/>
            <w:noWrap/>
            <w:vAlign w:val="center"/>
            <w:hideMark/>
          </w:tcPr>
          <w:p w14:paraId="6976A0D5" w14:textId="77777777" w:rsidR="0008665A" w:rsidRPr="001118B5" w:rsidRDefault="0008665A" w:rsidP="0008665A">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Constituição de Provisões</w:t>
            </w:r>
          </w:p>
        </w:tc>
        <w:tc>
          <w:tcPr>
            <w:tcW w:w="846" w:type="dxa"/>
            <w:tcBorders>
              <w:top w:val="nil"/>
              <w:bottom w:val="nil"/>
              <w:right w:val="single" w:sz="8" w:space="0" w:color="auto"/>
            </w:tcBorders>
            <w:shd w:val="clear" w:color="auto" w:fill="auto"/>
            <w:noWrap/>
            <w:vAlign w:val="center"/>
          </w:tcPr>
          <w:p w14:paraId="0704EFA3"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6369F50A"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DVP.H059</w:t>
            </w:r>
          </w:p>
        </w:tc>
        <w:tc>
          <w:tcPr>
            <w:tcW w:w="1120" w:type="dxa"/>
            <w:tcBorders>
              <w:top w:val="nil"/>
              <w:left w:val="nil"/>
              <w:bottom w:val="nil"/>
              <w:right w:val="single" w:sz="8" w:space="0" w:color="auto"/>
            </w:tcBorders>
            <w:shd w:val="clear" w:color="auto" w:fill="auto"/>
            <w:noWrap/>
            <w:vAlign w:val="center"/>
            <w:hideMark/>
          </w:tcPr>
          <w:p w14:paraId="72EA5CA4"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DVP.I059</w:t>
            </w:r>
          </w:p>
        </w:tc>
      </w:tr>
      <w:tr w:rsidR="0008665A" w:rsidRPr="001118B5" w14:paraId="28D2BCC1" w14:textId="77777777" w:rsidTr="00E67116">
        <w:trPr>
          <w:trHeight w:val="270"/>
        </w:trPr>
        <w:tc>
          <w:tcPr>
            <w:tcW w:w="4410" w:type="dxa"/>
            <w:tcBorders>
              <w:top w:val="nil"/>
              <w:left w:val="single" w:sz="8" w:space="0" w:color="auto"/>
              <w:bottom w:val="nil"/>
            </w:tcBorders>
            <w:shd w:val="clear" w:color="auto" w:fill="auto"/>
            <w:noWrap/>
            <w:vAlign w:val="center"/>
            <w:hideMark/>
          </w:tcPr>
          <w:p w14:paraId="6FE1E9C7" w14:textId="77777777" w:rsidR="0008665A" w:rsidRPr="001118B5" w:rsidRDefault="0008665A" w:rsidP="0008665A">
            <w:pPr>
              <w:spacing w:after="0" w:line="240" w:lineRule="auto"/>
              <w:rPr>
                <w:rFonts w:ascii="Arial Narrow" w:eastAsia="Times New Roman" w:hAnsi="Arial Narrow" w:cs="Arial"/>
                <w:sz w:val="16"/>
                <w:szCs w:val="16"/>
                <w:u w:val="single"/>
                <w:lang w:eastAsia="pt-BR"/>
              </w:rPr>
            </w:pPr>
          </w:p>
        </w:tc>
        <w:tc>
          <w:tcPr>
            <w:tcW w:w="835" w:type="dxa"/>
            <w:tcBorders>
              <w:top w:val="nil"/>
              <w:bottom w:val="nil"/>
              <w:right w:val="single" w:sz="8" w:space="0" w:color="auto"/>
            </w:tcBorders>
            <w:shd w:val="clear" w:color="auto" w:fill="auto"/>
            <w:noWrap/>
            <w:vAlign w:val="center"/>
            <w:hideMark/>
          </w:tcPr>
          <w:p w14:paraId="48D27DB7" w14:textId="77777777" w:rsidR="0008665A" w:rsidRPr="001118B5" w:rsidRDefault="0008665A" w:rsidP="0008665A">
            <w:pPr>
              <w:spacing w:after="0" w:line="240" w:lineRule="auto"/>
              <w:rPr>
                <w:rFonts w:ascii="Arial Narrow" w:eastAsia="Times New Roman" w:hAnsi="Arial Narrow" w:cs="Arial"/>
                <w:sz w:val="16"/>
                <w:szCs w:val="16"/>
                <w:u w:val="single"/>
                <w:lang w:eastAsia="pt-BR"/>
              </w:rPr>
            </w:pPr>
          </w:p>
        </w:tc>
        <w:tc>
          <w:tcPr>
            <w:tcW w:w="1149" w:type="dxa"/>
            <w:tcBorders>
              <w:top w:val="nil"/>
              <w:left w:val="nil"/>
              <w:bottom w:val="nil"/>
              <w:right w:val="single" w:sz="8" w:space="0" w:color="auto"/>
            </w:tcBorders>
            <w:shd w:val="clear" w:color="auto" w:fill="auto"/>
            <w:noWrap/>
            <w:vAlign w:val="center"/>
            <w:hideMark/>
          </w:tcPr>
          <w:p w14:paraId="4E2DAA39"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 </w:t>
            </w:r>
          </w:p>
        </w:tc>
        <w:tc>
          <w:tcPr>
            <w:tcW w:w="1134" w:type="dxa"/>
            <w:tcBorders>
              <w:top w:val="nil"/>
              <w:left w:val="nil"/>
              <w:bottom w:val="nil"/>
              <w:right w:val="single" w:sz="8" w:space="0" w:color="auto"/>
            </w:tcBorders>
            <w:shd w:val="clear" w:color="auto" w:fill="auto"/>
            <w:noWrap/>
            <w:vAlign w:val="center"/>
            <w:hideMark/>
          </w:tcPr>
          <w:p w14:paraId="48E83741"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 </w:t>
            </w:r>
          </w:p>
        </w:tc>
        <w:tc>
          <w:tcPr>
            <w:tcW w:w="4346" w:type="dxa"/>
            <w:tcBorders>
              <w:top w:val="nil"/>
              <w:left w:val="nil"/>
              <w:bottom w:val="nil"/>
            </w:tcBorders>
            <w:shd w:val="clear" w:color="auto" w:fill="auto"/>
            <w:noWrap/>
            <w:vAlign w:val="center"/>
            <w:hideMark/>
          </w:tcPr>
          <w:p w14:paraId="0F9C9DB2" w14:textId="77777777" w:rsidR="0008665A" w:rsidRPr="001118B5" w:rsidRDefault="0008665A" w:rsidP="0008665A">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Diversas Variações Patrimoniais Diminutivas</w:t>
            </w:r>
          </w:p>
        </w:tc>
        <w:tc>
          <w:tcPr>
            <w:tcW w:w="846" w:type="dxa"/>
            <w:tcBorders>
              <w:top w:val="nil"/>
              <w:bottom w:val="nil"/>
              <w:right w:val="single" w:sz="8" w:space="0" w:color="auto"/>
            </w:tcBorders>
            <w:shd w:val="clear" w:color="auto" w:fill="auto"/>
            <w:noWrap/>
            <w:vAlign w:val="center"/>
          </w:tcPr>
          <w:p w14:paraId="065A6A6B"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55B1398D"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DVP.H060</w:t>
            </w:r>
          </w:p>
        </w:tc>
        <w:tc>
          <w:tcPr>
            <w:tcW w:w="1120" w:type="dxa"/>
            <w:tcBorders>
              <w:top w:val="nil"/>
              <w:left w:val="nil"/>
              <w:bottom w:val="nil"/>
              <w:right w:val="single" w:sz="8" w:space="0" w:color="auto"/>
            </w:tcBorders>
            <w:shd w:val="clear" w:color="auto" w:fill="auto"/>
            <w:noWrap/>
            <w:vAlign w:val="center"/>
            <w:hideMark/>
          </w:tcPr>
          <w:p w14:paraId="0AF9B649" w14:textId="77777777" w:rsidR="0008665A" w:rsidRPr="001118B5" w:rsidRDefault="0008665A" w:rsidP="0008665A">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DVP.I060</w:t>
            </w:r>
          </w:p>
        </w:tc>
      </w:tr>
      <w:tr w:rsidR="0008665A" w:rsidRPr="001118B5" w14:paraId="0E518CEA" w14:textId="77777777" w:rsidTr="00E67116">
        <w:trPr>
          <w:trHeight w:val="270"/>
        </w:trPr>
        <w:tc>
          <w:tcPr>
            <w:tcW w:w="4410" w:type="dxa"/>
            <w:tcBorders>
              <w:top w:val="single" w:sz="8" w:space="0" w:color="auto"/>
              <w:left w:val="single" w:sz="8" w:space="0" w:color="auto"/>
              <w:bottom w:val="single" w:sz="8" w:space="0" w:color="auto"/>
            </w:tcBorders>
            <w:shd w:val="clear" w:color="auto" w:fill="auto"/>
            <w:noWrap/>
            <w:vAlign w:val="center"/>
            <w:hideMark/>
          </w:tcPr>
          <w:p w14:paraId="379FEE5D" w14:textId="77777777" w:rsidR="0008665A" w:rsidRPr="001118B5" w:rsidRDefault="0008665A" w:rsidP="0008665A">
            <w:pPr>
              <w:spacing w:after="0" w:line="240" w:lineRule="auto"/>
              <w:rPr>
                <w:rFonts w:ascii="Arial Narrow" w:eastAsia="Times New Roman" w:hAnsi="Arial Narrow" w:cs="Arial"/>
                <w:b/>
                <w:bCs/>
                <w:sz w:val="16"/>
                <w:szCs w:val="16"/>
                <w:lang w:eastAsia="pt-BR"/>
              </w:rPr>
            </w:pPr>
            <w:r w:rsidRPr="001118B5">
              <w:rPr>
                <w:rFonts w:ascii="Arial Narrow" w:eastAsia="Times New Roman" w:hAnsi="Arial Narrow" w:cs="Arial"/>
                <w:b/>
                <w:bCs/>
                <w:sz w:val="16"/>
                <w:szCs w:val="16"/>
                <w:lang w:eastAsia="pt-BR"/>
              </w:rPr>
              <w:lastRenderedPageBreak/>
              <w:t>Total das Variações Patrimonais Aumentativas (I)</w:t>
            </w:r>
          </w:p>
        </w:tc>
        <w:tc>
          <w:tcPr>
            <w:tcW w:w="835" w:type="dxa"/>
            <w:tcBorders>
              <w:top w:val="single" w:sz="8" w:space="0" w:color="auto"/>
              <w:bottom w:val="single" w:sz="8" w:space="0" w:color="auto"/>
              <w:right w:val="single" w:sz="8" w:space="0" w:color="auto"/>
            </w:tcBorders>
            <w:shd w:val="clear" w:color="auto" w:fill="auto"/>
            <w:noWrap/>
            <w:vAlign w:val="center"/>
            <w:hideMark/>
          </w:tcPr>
          <w:p w14:paraId="0D882CBF" w14:textId="77777777" w:rsidR="0008665A" w:rsidRPr="001118B5" w:rsidRDefault="0008665A" w:rsidP="0008665A">
            <w:pPr>
              <w:spacing w:after="0" w:line="240" w:lineRule="auto"/>
              <w:jc w:val="center"/>
              <w:rPr>
                <w:rFonts w:ascii="Arial Narrow" w:eastAsia="Times New Roman" w:hAnsi="Arial Narrow" w:cs="Arial"/>
                <w:b/>
                <w:bCs/>
                <w:sz w:val="16"/>
                <w:szCs w:val="16"/>
                <w:lang w:eastAsia="pt-BR"/>
              </w:rPr>
            </w:pPr>
          </w:p>
        </w:tc>
        <w:tc>
          <w:tcPr>
            <w:tcW w:w="1149" w:type="dxa"/>
            <w:tcBorders>
              <w:top w:val="single" w:sz="8" w:space="0" w:color="auto"/>
              <w:left w:val="nil"/>
              <w:bottom w:val="single" w:sz="8" w:space="0" w:color="auto"/>
              <w:right w:val="single" w:sz="8" w:space="0" w:color="auto"/>
            </w:tcBorders>
            <w:shd w:val="clear" w:color="auto" w:fill="auto"/>
            <w:noWrap/>
            <w:vAlign w:val="center"/>
            <w:hideMark/>
          </w:tcPr>
          <w:p w14:paraId="3C294F63" w14:textId="77777777" w:rsidR="0008665A" w:rsidRPr="001118B5" w:rsidRDefault="0008665A" w:rsidP="0008665A">
            <w:pPr>
              <w:spacing w:after="0" w:line="240" w:lineRule="auto"/>
              <w:jc w:val="center"/>
              <w:rPr>
                <w:rFonts w:ascii="Arial Narrow" w:eastAsia="Times New Roman" w:hAnsi="Arial Narrow" w:cs="Arial"/>
                <w:b/>
                <w:bCs/>
                <w:sz w:val="16"/>
                <w:szCs w:val="16"/>
                <w:lang w:eastAsia="pt-BR"/>
              </w:rPr>
            </w:pPr>
            <w:r w:rsidRPr="001118B5">
              <w:rPr>
                <w:rFonts w:ascii="Arial Narrow" w:eastAsia="Times New Roman" w:hAnsi="Arial Narrow" w:cs="Arial"/>
                <w:b/>
                <w:bCs/>
                <w:sz w:val="16"/>
                <w:szCs w:val="16"/>
                <w:lang w:eastAsia="pt-BR"/>
              </w:rPr>
              <w:t>DVP.D061</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14:paraId="17D7650E" w14:textId="77777777" w:rsidR="0008665A" w:rsidRPr="001118B5" w:rsidRDefault="0008665A" w:rsidP="0008665A">
            <w:pPr>
              <w:spacing w:after="0" w:line="240" w:lineRule="auto"/>
              <w:jc w:val="center"/>
              <w:rPr>
                <w:rFonts w:ascii="Arial Narrow" w:eastAsia="Times New Roman" w:hAnsi="Arial Narrow" w:cs="Arial"/>
                <w:b/>
                <w:bCs/>
                <w:sz w:val="16"/>
                <w:szCs w:val="16"/>
                <w:lang w:eastAsia="pt-BR"/>
              </w:rPr>
            </w:pPr>
            <w:r w:rsidRPr="001118B5">
              <w:rPr>
                <w:rFonts w:ascii="Arial Narrow" w:eastAsia="Times New Roman" w:hAnsi="Arial Narrow" w:cs="Arial"/>
                <w:b/>
                <w:bCs/>
                <w:sz w:val="16"/>
                <w:szCs w:val="16"/>
                <w:lang w:eastAsia="pt-BR"/>
              </w:rPr>
              <w:t>DVP.E061</w:t>
            </w:r>
          </w:p>
        </w:tc>
        <w:tc>
          <w:tcPr>
            <w:tcW w:w="4346" w:type="dxa"/>
            <w:tcBorders>
              <w:top w:val="single" w:sz="8" w:space="0" w:color="auto"/>
              <w:left w:val="nil"/>
              <w:bottom w:val="single" w:sz="8" w:space="0" w:color="auto"/>
            </w:tcBorders>
            <w:shd w:val="clear" w:color="auto" w:fill="auto"/>
            <w:noWrap/>
            <w:vAlign w:val="center"/>
            <w:hideMark/>
          </w:tcPr>
          <w:p w14:paraId="3D4C86A1" w14:textId="77777777" w:rsidR="0008665A" w:rsidRPr="001118B5" w:rsidRDefault="0008665A" w:rsidP="0008665A">
            <w:pPr>
              <w:spacing w:after="0" w:line="240" w:lineRule="auto"/>
              <w:rPr>
                <w:rFonts w:ascii="Arial Narrow" w:eastAsia="Times New Roman" w:hAnsi="Arial Narrow" w:cs="Arial"/>
                <w:b/>
                <w:bCs/>
                <w:sz w:val="16"/>
                <w:szCs w:val="16"/>
                <w:lang w:eastAsia="pt-BR"/>
              </w:rPr>
            </w:pPr>
            <w:r w:rsidRPr="001118B5">
              <w:rPr>
                <w:rFonts w:ascii="Arial Narrow" w:eastAsia="Times New Roman" w:hAnsi="Arial Narrow" w:cs="Arial"/>
                <w:b/>
                <w:bCs/>
                <w:sz w:val="16"/>
                <w:szCs w:val="16"/>
                <w:lang w:eastAsia="pt-BR"/>
              </w:rPr>
              <w:t>Total das Variações Patrimonais Diminutivas (II)</w:t>
            </w:r>
          </w:p>
        </w:tc>
        <w:tc>
          <w:tcPr>
            <w:tcW w:w="846" w:type="dxa"/>
            <w:tcBorders>
              <w:top w:val="single" w:sz="8" w:space="0" w:color="auto"/>
              <w:bottom w:val="single" w:sz="8" w:space="0" w:color="auto"/>
              <w:right w:val="single" w:sz="8" w:space="0" w:color="auto"/>
            </w:tcBorders>
            <w:shd w:val="clear" w:color="auto" w:fill="auto"/>
            <w:noWrap/>
            <w:vAlign w:val="center"/>
          </w:tcPr>
          <w:p w14:paraId="3BD59F56" w14:textId="77777777" w:rsidR="0008665A" w:rsidRPr="001118B5" w:rsidRDefault="0008665A" w:rsidP="0008665A">
            <w:pPr>
              <w:spacing w:after="0" w:line="240" w:lineRule="auto"/>
              <w:jc w:val="center"/>
              <w:rPr>
                <w:rFonts w:ascii="Arial Narrow" w:eastAsia="Times New Roman" w:hAnsi="Arial Narrow" w:cs="Arial"/>
                <w:b/>
                <w:bCs/>
                <w:sz w:val="16"/>
                <w:szCs w:val="16"/>
                <w:lang w:eastAsia="pt-BR"/>
              </w:rPr>
            </w:pPr>
          </w:p>
        </w:tc>
        <w:tc>
          <w:tcPr>
            <w:tcW w:w="1045" w:type="dxa"/>
            <w:tcBorders>
              <w:top w:val="single" w:sz="8" w:space="0" w:color="auto"/>
              <w:left w:val="nil"/>
              <w:bottom w:val="single" w:sz="8" w:space="0" w:color="auto"/>
              <w:right w:val="single" w:sz="8" w:space="0" w:color="auto"/>
            </w:tcBorders>
            <w:shd w:val="clear" w:color="auto" w:fill="auto"/>
            <w:noWrap/>
            <w:vAlign w:val="center"/>
            <w:hideMark/>
          </w:tcPr>
          <w:p w14:paraId="0D4E7FB6" w14:textId="77777777" w:rsidR="0008665A" w:rsidRPr="001118B5" w:rsidRDefault="0008665A" w:rsidP="0008665A">
            <w:pPr>
              <w:spacing w:after="0" w:line="240" w:lineRule="auto"/>
              <w:jc w:val="center"/>
              <w:rPr>
                <w:rFonts w:ascii="Arial Narrow" w:eastAsia="Times New Roman" w:hAnsi="Arial Narrow" w:cs="Arial"/>
                <w:b/>
                <w:bCs/>
                <w:sz w:val="16"/>
                <w:szCs w:val="16"/>
                <w:lang w:eastAsia="pt-BR"/>
              </w:rPr>
            </w:pPr>
            <w:r w:rsidRPr="001118B5">
              <w:rPr>
                <w:rFonts w:ascii="Arial Narrow" w:eastAsia="Times New Roman" w:hAnsi="Arial Narrow" w:cs="Arial"/>
                <w:b/>
                <w:bCs/>
                <w:sz w:val="16"/>
                <w:szCs w:val="16"/>
                <w:lang w:eastAsia="pt-BR"/>
              </w:rPr>
              <w:t>DVP.H061</w:t>
            </w:r>
          </w:p>
        </w:tc>
        <w:tc>
          <w:tcPr>
            <w:tcW w:w="1120" w:type="dxa"/>
            <w:tcBorders>
              <w:top w:val="single" w:sz="8" w:space="0" w:color="auto"/>
              <w:left w:val="nil"/>
              <w:bottom w:val="single" w:sz="4" w:space="0" w:color="auto"/>
              <w:right w:val="single" w:sz="8" w:space="0" w:color="auto"/>
            </w:tcBorders>
            <w:shd w:val="clear" w:color="auto" w:fill="auto"/>
            <w:noWrap/>
            <w:vAlign w:val="center"/>
            <w:hideMark/>
          </w:tcPr>
          <w:p w14:paraId="178617F3" w14:textId="77777777" w:rsidR="0008665A" w:rsidRPr="001118B5" w:rsidRDefault="0008665A" w:rsidP="0008665A">
            <w:pPr>
              <w:spacing w:after="0" w:line="240" w:lineRule="auto"/>
              <w:jc w:val="center"/>
              <w:rPr>
                <w:rFonts w:ascii="Arial Narrow" w:eastAsia="Times New Roman" w:hAnsi="Arial Narrow" w:cs="Arial"/>
                <w:b/>
                <w:bCs/>
                <w:sz w:val="16"/>
                <w:szCs w:val="16"/>
                <w:lang w:eastAsia="pt-BR"/>
              </w:rPr>
            </w:pPr>
            <w:r w:rsidRPr="001118B5">
              <w:rPr>
                <w:rFonts w:ascii="Arial Narrow" w:eastAsia="Times New Roman" w:hAnsi="Arial Narrow" w:cs="Arial"/>
                <w:b/>
                <w:bCs/>
                <w:sz w:val="16"/>
                <w:szCs w:val="16"/>
                <w:lang w:eastAsia="pt-BR"/>
              </w:rPr>
              <w:t>DVP.I061</w:t>
            </w:r>
          </w:p>
        </w:tc>
      </w:tr>
      <w:tr w:rsidR="0008665A" w:rsidRPr="001118B5" w14:paraId="1B1BA963" w14:textId="77777777" w:rsidTr="00E67116">
        <w:trPr>
          <w:trHeight w:val="270"/>
        </w:trPr>
        <w:tc>
          <w:tcPr>
            <w:tcW w:w="11874" w:type="dxa"/>
            <w:gridSpan w:val="5"/>
            <w:tcBorders>
              <w:top w:val="single" w:sz="8" w:space="0" w:color="auto"/>
              <w:left w:val="single" w:sz="8" w:space="0" w:color="auto"/>
              <w:bottom w:val="single" w:sz="8" w:space="0" w:color="auto"/>
            </w:tcBorders>
            <w:shd w:val="clear" w:color="000000" w:fill="auto"/>
            <w:noWrap/>
            <w:vAlign w:val="center"/>
            <w:hideMark/>
          </w:tcPr>
          <w:p w14:paraId="699792FF" w14:textId="77777777" w:rsidR="0008665A" w:rsidRPr="001118B5" w:rsidRDefault="0008665A" w:rsidP="0008665A">
            <w:pPr>
              <w:spacing w:after="0" w:line="240" w:lineRule="auto"/>
              <w:rPr>
                <w:rFonts w:ascii="Arial Narrow" w:eastAsia="Times New Roman" w:hAnsi="Arial Narrow" w:cs="Arial"/>
                <w:b/>
                <w:bCs/>
                <w:sz w:val="16"/>
                <w:szCs w:val="16"/>
                <w:lang w:eastAsia="pt-BR"/>
              </w:rPr>
            </w:pPr>
            <w:r w:rsidRPr="001118B5">
              <w:rPr>
                <w:rFonts w:ascii="Arial Narrow" w:eastAsia="Times New Roman" w:hAnsi="Arial Narrow" w:cs="Arial"/>
                <w:b/>
                <w:bCs/>
                <w:sz w:val="16"/>
                <w:szCs w:val="16"/>
                <w:lang w:eastAsia="pt-BR"/>
              </w:rPr>
              <w:t>Resultado Patrimonial do Período III = I - II</w:t>
            </w:r>
          </w:p>
        </w:tc>
        <w:tc>
          <w:tcPr>
            <w:tcW w:w="846" w:type="dxa"/>
            <w:tcBorders>
              <w:top w:val="nil"/>
              <w:bottom w:val="single" w:sz="8" w:space="0" w:color="auto"/>
              <w:right w:val="nil"/>
            </w:tcBorders>
            <w:shd w:val="clear" w:color="000000" w:fill="auto"/>
            <w:noWrap/>
            <w:vAlign w:val="center"/>
          </w:tcPr>
          <w:p w14:paraId="76EF1DFF" w14:textId="77777777" w:rsidR="0008665A" w:rsidRPr="001118B5" w:rsidRDefault="0008665A" w:rsidP="0008665A">
            <w:pPr>
              <w:spacing w:after="0" w:line="240" w:lineRule="auto"/>
              <w:jc w:val="center"/>
              <w:rPr>
                <w:rFonts w:ascii="Arial Narrow" w:eastAsia="Times New Roman" w:hAnsi="Arial Narrow" w:cs="Arial"/>
                <w:b/>
                <w:bCs/>
                <w:sz w:val="16"/>
                <w:szCs w:val="16"/>
                <w:lang w:eastAsia="pt-BR"/>
              </w:rPr>
            </w:pPr>
          </w:p>
        </w:tc>
        <w:tc>
          <w:tcPr>
            <w:tcW w:w="1045" w:type="dxa"/>
            <w:tcBorders>
              <w:top w:val="nil"/>
              <w:left w:val="single" w:sz="8" w:space="0" w:color="auto"/>
              <w:bottom w:val="single" w:sz="8" w:space="0" w:color="auto"/>
              <w:right w:val="single" w:sz="4" w:space="0" w:color="auto"/>
            </w:tcBorders>
            <w:shd w:val="clear" w:color="000000" w:fill="auto"/>
            <w:noWrap/>
            <w:vAlign w:val="center"/>
            <w:hideMark/>
          </w:tcPr>
          <w:p w14:paraId="4E5EA5EA" w14:textId="77777777" w:rsidR="0008665A" w:rsidRPr="001118B5" w:rsidRDefault="0008665A" w:rsidP="0008665A">
            <w:pPr>
              <w:spacing w:after="0" w:line="240" w:lineRule="auto"/>
              <w:jc w:val="center"/>
              <w:rPr>
                <w:rFonts w:ascii="Arial Narrow" w:eastAsia="Times New Roman" w:hAnsi="Arial Narrow" w:cs="Arial"/>
                <w:b/>
                <w:bCs/>
                <w:sz w:val="16"/>
                <w:szCs w:val="16"/>
                <w:lang w:eastAsia="pt-BR"/>
              </w:rPr>
            </w:pPr>
            <w:r w:rsidRPr="001118B5">
              <w:rPr>
                <w:rFonts w:ascii="Arial Narrow" w:eastAsia="Times New Roman" w:hAnsi="Arial Narrow" w:cs="Arial"/>
                <w:b/>
                <w:bCs/>
                <w:sz w:val="16"/>
                <w:szCs w:val="16"/>
                <w:lang w:eastAsia="pt-BR"/>
              </w:rPr>
              <w:t>DVP.H062</w:t>
            </w:r>
          </w:p>
        </w:tc>
        <w:tc>
          <w:tcPr>
            <w:tcW w:w="1120" w:type="dxa"/>
            <w:tcBorders>
              <w:top w:val="single" w:sz="4" w:space="0" w:color="auto"/>
              <w:left w:val="single" w:sz="4" w:space="0" w:color="auto"/>
              <w:bottom w:val="single" w:sz="4" w:space="0" w:color="auto"/>
              <w:right w:val="single" w:sz="4" w:space="0" w:color="auto"/>
            </w:tcBorders>
            <w:shd w:val="clear" w:color="000000" w:fill="auto"/>
            <w:noWrap/>
            <w:vAlign w:val="center"/>
            <w:hideMark/>
          </w:tcPr>
          <w:p w14:paraId="200FD99A" w14:textId="77777777" w:rsidR="0008665A" w:rsidRPr="001118B5" w:rsidRDefault="0008665A" w:rsidP="0008665A">
            <w:pPr>
              <w:spacing w:after="0" w:line="240" w:lineRule="auto"/>
              <w:jc w:val="center"/>
              <w:rPr>
                <w:rFonts w:ascii="Arial Narrow" w:eastAsia="Times New Roman" w:hAnsi="Arial Narrow" w:cs="Arial"/>
                <w:b/>
                <w:bCs/>
                <w:sz w:val="16"/>
                <w:szCs w:val="16"/>
                <w:lang w:eastAsia="pt-BR"/>
              </w:rPr>
            </w:pPr>
            <w:r w:rsidRPr="001118B5">
              <w:rPr>
                <w:rFonts w:ascii="Arial Narrow" w:eastAsia="Times New Roman" w:hAnsi="Arial Narrow" w:cs="Arial"/>
                <w:b/>
                <w:bCs/>
                <w:sz w:val="16"/>
                <w:szCs w:val="16"/>
                <w:lang w:eastAsia="pt-BR"/>
              </w:rPr>
              <w:t>DVP.I062</w:t>
            </w:r>
          </w:p>
        </w:tc>
      </w:tr>
    </w:tbl>
    <w:p w14:paraId="2D82F7AE" w14:textId="0210CDD2" w:rsidR="00E676B0" w:rsidRPr="00E676B0" w:rsidRDefault="00E676B0" w:rsidP="00E676B0">
      <w:pPr>
        <w:spacing w:after="0" w:line="240" w:lineRule="auto"/>
        <w:rPr>
          <w:rFonts w:ascii="Arial" w:eastAsia="Times New Roman" w:hAnsi="Arial" w:cs="Arial"/>
          <w:sz w:val="20"/>
          <w:szCs w:val="20"/>
          <w:lang w:eastAsia="pt-BR"/>
        </w:rPr>
      </w:pPr>
    </w:p>
    <w:p w14:paraId="512BEC1D" w14:textId="1D0DE277" w:rsidR="00E676B0" w:rsidRPr="00E676B0" w:rsidRDefault="00E676B0" w:rsidP="00E676B0">
      <w:pPr>
        <w:spacing w:after="0" w:line="240" w:lineRule="auto"/>
        <w:rPr>
          <w:rFonts w:ascii="Arial" w:eastAsia="Times New Roman" w:hAnsi="Arial" w:cs="Arial"/>
          <w:sz w:val="20"/>
          <w:szCs w:val="20"/>
          <w:lang w:eastAsia="pt-BR"/>
        </w:rPr>
      </w:pPr>
    </w:p>
    <w:p w14:paraId="38B5B61D" w14:textId="2E1849EF" w:rsidR="00E676B0" w:rsidRPr="00E676B0" w:rsidRDefault="00E676B0" w:rsidP="00E676B0">
      <w:pPr>
        <w:spacing w:after="0" w:line="240" w:lineRule="auto"/>
        <w:rPr>
          <w:rFonts w:ascii="Arial" w:eastAsia="Times New Roman" w:hAnsi="Arial" w:cs="Arial"/>
          <w:sz w:val="20"/>
          <w:szCs w:val="20"/>
          <w:lang w:eastAsia="pt-BR"/>
        </w:rPr>
      </w:pPr>
    </w:p>
    <w:p w14:paraId="76E148AA" w14:textId="77777777" w:rsidR="00E676B0" w:rsidRDefault="00E676B0" w:rsidP="00E676B0">
      <w:pPr>
        <w:spacing w:after="0" w:line="240" w:lineRule="auto"/>
      </w:pPr>
    </w:p>
    <w:p w14:paraId="7B96C355" w14:textId="7BBFF38D" w:rsidR="006A5208" w:rsidRPr="00613437" w:rsidRDefault="00906DAD" w:rsidP="00906DAD">
      <w:pPr>
        <w:pStyle w:val="Ttulo2"/>
        <w:rPr>
          <w:lang w:val="pt-BR"/>
        </w:rPr>
      </w:pPr>
      <w:bookmarkStart w:id="115" w:name="_Toc94806385"/>
      <w:r w:rsidRPr="00613437">
        <w:rPr>
          <w:lang w:val="pt-BR"/>
        </w:rPr>
        <w:t>Alterou a tabela 3 - Demonstração das Variações Patrimoniais (Anexo 15 - Lei nº 4.320/64) -Estado</w:t>
      </w:r>
      <w:r w:rsidR="006A5208" w:rsidRPr="00613437">
        <w:rPr>
          <w:lang w:val="pt-BR"/>
        </w:rPr>
        <w:t>.</w:t>
      </w:r>
      <w:bookmarkEnd w:id="115"/>
    </w:p>
    <w:p w14:paraId="2755B404" w14:textId="16EF1536" w:rsidR="005C5A70" w:rsidRDefault="005C5A70" w:rsidP="005C5A70">
      <w:pPr>
        <w:spacing w:after="0" w:line="240" w:lineRule="auto"/>
      </w:pPr>
    </w:p>
    <w:p w14:paraId="6D0D7F1F" w14:textId="77777777" w:rsidR="005C5A70" w:rsidRDefault="005C5A70" w:rsidP="005C5A70">
      <w:pPr>
        <w:spacing w:after="0" w:line="240" w:lineRule="auto"/>
      </w:pPr>
    </w:p>
    <w:tbl>
      <w:tblPr>
        <w:tblW w:w="14885" w:type="dxa"/>
        <w:tblInd w:w="-214" w:type="dxa"/>
        <w:tblCellMar>
          <w:left w:w="70" w:type="dxa"/>
          <w:right w:w="70" w:type="dxa"/>
        </w:tblCellMar>
        <w:tblLook w:val="04A0" w:firstRow="1" w:lastRow="0" w:firstColumn="1" w:lastColumn="0" w:noHBand="0" w:noVBand="1"/>
      </w:tblPr>
      <w:tblGrid>
        <w:gridCol w:w="4410"/>
        <w:gridCol w:w="835"/>
        <w:gridCol w:w="1149"/>
        <w:gridCol w:w="1134"/>
        <w:gridCol w:w="4346"/>
        <w:gridCol w:w="846"/>
        <w:gridCol w:w="1045"/>
        <w:gridCol w:w="1120"/>
      </w:tblGrid>
      <w:tr w:rsidR="006A5208" w:rsidRPr="001118B5" w14:paraId="19FE991B" w14:textId="77777777" w:rsidTr="00E67116">
        <w:trPr>
          <w:trHeight w:val="345"/>
        </w:trPr>
        <w:tc>
          <w:tcPr>
            <w:tcW w:w="14885" w:type="dxa"/>
            <w:gridSpan w:val="8"/>
            <w:tcBorders>
              <w:top w:val="single" w:sz="8" w:space="0" w:color="auto"/>
              <w:left w:val="single" w:sz="8" w:space="0" w:color="auto"/>
              <w:bottom w:val="single" w:sz="8" w:space="0" w:color="auto"/>
              <w:right w:val="single" w:sz="8" w:space="0" w:color="000000"/>
            </w:tcBorders>
            <w:shd w:val="clear" w:color="000000" w:fill="F2F2F2"/>
            <w:noWrap/>
            <w:vAlign w:val="center"/>
            <w:hideMark/>
          </w:tcPr>
          <w:p w14:paraId="61D0955A" w14:textId="77777777" w:rsidR="006A5208" w:rsidRPr="001118B5" w:rsidRDefault="006A5208" w:rsidP="00E67116">
            <w:pPr>
              <w:spacing w:after="0" w:line="240" w:lineRule="auto"/>
              <w:jc w:val="center"/>
              <w:rPr>
                <w:rFonts w:ascii="Arial Narrow" w:eastAsia="Times New Roman" w:hAnsi="Arial Narrow" w:cs="Arial"/>
                <w:b/>
                <w:bCs/>
                <w:lang w:eastAsia="pt-BR"/>
              </w:rPr>
            </w:pPr>
            <w:r w:rsidRPr="001118B5">
              <w:rPr>
                <w:rFonts w:ascii="Arial Narrow" w:eastAsia="Times New Roman" w:hAnsi="Arial Narrow" w:cs="Arial"/>
                <w:b/>
                <w:bCs/>
                <w:lang w:eastAsia="pt-BR"/>
              </w:rPr>
              <w:t>VARIAÇÕES PATRIMONIAIS QUANTITATIVAS</w:t>
            </w:r>
          </w:p>
        </w:tc>
      </w:tr>
      <w:tr w:rsidR="006A5208" w:rsidRPr="001118B5" w14:paraId="01A0DF8F" w14:textId="77777777" w:rsidTr="00E67116">
        <w:trPr>
          <w:trHeight w:val="345"/>
        </w:trPr>
        <w:tc>
          <w:tcPr>
            <w:tcW w:w="4410" w:type="dxa"/>
            <w:tcBorders>
              <w:top w:val="nil"/>
              <w:left w:val="single" w:sz="8" w:space="0" w:color="auto"/>
              <w:bottom w:val="single" w:sz="8" w:space="0" w:color="auto"/>
            </w:tcBorders>
            <w:shd w:val="clear" w:color="000000" w:fill="F2F2F2"/>
            <w:noWrap/>
            <w:vAlign w:val="center"/>
            <w:hideMark/>
          </w:tcPr>
          <w:p w14:paraId="57445A81" w14:textId="77777777" w:rsidR="006A5208" w:rsidRPr="001118B5" w:rsidRDefault="006A5208" w:rsidP="00E67116">
            <w:pPr>
              <w:spacing w:after="0" w:line="240" w:lineRule="auto"/>
              <w:jc w:val="center"/>
              <w:rPr>
                <w:rFonts w:ascii="Arial Narrow" w:eastAsia="Times New Roman" w:hAnsi="Arial Narrow" w:cs="Arial"/>
                <w:b/>
                <w:bCs/>
                <w:lang w:eastAsia="pt-BR"/>
              </w:rPr>
            </w:pPr>
            <w:r w:rsidRPr="001118B5">
              <w:rPr>
                <w:rFonts w:ascii="Arial Narrow" w:eastAsia="Times New Roman" w:hAnsi="Arial Narrow" w:cs="Arial"/>
                <w:b/>
                <w:bCs/>
                <w:lang w:eastAsia="pt-BR"/>
              </w:rPr>
              <w:t>VARIAÇÕES PATRIMONIAIS AUMENTATIVAS</w:t>
            </w:r>
          </w:p>
        </w:tc>
        <w:tc>
          <w:tcPr>
            <w:tcW w:w="835" w:type="dxa"/>
            <w:tcBorders>
              <w:top w:val="nil"/>
              <w:bottom w:val="single" w:sz="8" w:space="0" w:color="auto"/>
              <w:right w:val="single" w:sz="8" w:space="0" w:color="auto"/>
            </w:tcBorders>
            <w:shd w:val="clear" w:color="000000" w:fill="F2F2F2"/>
            <w:noWrap/>
            <w:vAlign w:val="center"/>
          </w:tcPr>
          <w:p w14:paraId="7450DB74" w14:textId="77777777" w:rsidR="006A5208" w:rsidRPr="001118B5" w:rsidRDefault="006A5208" w:rsidP="00E67116">
            <w:pPr>
              <w:spacing w:after="0" w:line="240" w:lineRule="auto"/>
              <w:jc w:val="center"/>
              <w:rPr>
                <w:rFonts w:ascii="Arial Narrow" w:eastAsia="Times New Roman" w:hAnsi="Arial Narrow" w:cs="Arial"/>
                <w:b/>
                <w:bCs/>
                <w:lang w:eastAsia="pt-BR"/>
              </w:rPr>
            </w:pPr>
          </w:p>
        </w:tc>
        <w:tc>
          <w:tcPr>
            <w:tcW w:w="1149" w:type="dxa"/>
            <w:tcBorders>
              <w:top w:val="nil"/>
              <w:left w:val="nil"/>
              <w:bottom w:val="single" w:sz="8" w:space="0" w:color="auto"/>
              <w:right w:val="single" w:sz="8" w:space="0" w:color="auto"/>
            </w:tcBorders>
            <w:shd w:val="clear" w:color="000000" w:fill="F2F2F2"/>
            <w:noWrap/>
            <w:vAlign w:val="center"/>
            <w:hideMark/>
          </w:tcPr>
          <w:p w14:paraId="5CFFF41D" w14:textId="77777777" w:rsidR="006A5208" w:rsidRPr="001118B5" w:rsidRDefault="006A5208" w:rsidP="00E67116">
            <w:pPr>
              <w:spacing w:after="0" w:line="240" w:lineRule="auto"/>
              <w:jc w:val="center"/>
              <w:rPr>
                <w:rFonts w:ascii="Arial Narrow" w:eastAsia="Times New Roman" w:hAnsi="Arial Narrow" w:cs="Arial"/>
                <w:b/>
                <w:bCs/>
                <w:lang w:eastAsia="pt-BR"/>
              </w:rPr>
            </w:pPr>
            <w:r w:rsidRPr="001118B5">
              <w:rPr>
                <w:rFonts w:ascii="Arial Narrow" w:eastAsia="Times New Roman" w:hAnsi="Arial Narrow" w:cs="Arial"/>
                <w:b/>
                <w:bCs/>
                <w:lang w:eastAsia="pt-BR"/>
              </w:rPr>
              <w:t>Exercício Atual</w:t>
            </w:r>
          </w:p>
        </w:tc>
        <w:tc>
          <w:tcPr>
            <w:tcW w:w="1134" w:type="dxa"/>
            <w:tcBorders>
              <w:top w:val="nil"/>
              <w:left w:val="nil"/>
              <w:bottom w:val="single" w:sz="8" w:space="0" w:color="auto"/>
              <w:right w:val="single" w:sz="8" w:space="0" w:color="auto"/>
            </w:tcBorders>
            <w:shd w:val="clear" w:color="000000" w:fill="F2F2F2"/>
            <w:noWrap/>
            <w:vAlign w:val="center"/>
            <w:hideMark/>
          </w:tcPr>
          <w:p w14:paraId="6244E9DB" w14:textId="77777777" w:rsidR="006A5208" w:rsidRPr="001118B5" w:rsidRDefault="006A5208" w:rsidP="00E67116">
            <w:pPr>
              <w:spacing w:after="0" w:line="240" w:lineRule="auto"/>
              <w:jc w:val="center"/>
              <w:rPr>
                <w:rFonts w:ascii="Arial Narrow" w:eastAsia="Times New Roman" w:hAnsi="Arial Narrow" w:cs="Arial"/>
                <w:b/>
                <w:bCs/>
                <w:lang w:eastAsia="pt-BR"/>
              </w:rPr>
            </w:pPr>
            <w:r w:rsidRPr="001118B5">
              <w:rPr>
                <w:rFonts w:ascii="Arial Narrow" w:eastAsia="Times New Roman" w:hAnsi="Arial Narrow" w:cs="Arial"/>
                <w:b/>
                <w:bCs/>
                <w:lang w:eastAsia="pt-BR"/>
              </w:rPr>
              <w:t>Exercício Anterior</w:t>
            </w:r>
          </w:p>
        </w:tc>
        <w:tc>
          <w:tcPr>
            <w:tcW w:w="4346" w:type="dxa"/>
            <w:tcBorders>
              <w:top w:val="nil"/>
              <w:left w:val="nil"/>
              <w:bottom w:val="single" w:sz="8" w:space="0" w:color="auto"/>
            </w:tcBorders>
            <w:shd w:val="clear" w:color="000000" w:fill="F2F2F2"/>
            <w:noWrap/>
            <w:vAlign w:val="center"/>
            <w:hideMark/>
          </w:tcPr>
          <w:p w14:paraId="08CC50ED" w14:textId="77777777" w:rsidR="006A5208" w:rsidRPr="001118B5" w:rsidRDefault="006A5208" w:rsidP="00E67116">
            <w:pPr>
              <w:spacing w:after="0" w:line="240" w:lineRule="auto"/>
              <w:jc w:val="center"/>
              <w:rPr>
                <w:rFonts w:ascii="Arial Narrow" w:eastAsia="Times New Roman" w:hAnsi="Arial Narrow" w:cs="Arial"/>
                <w:b/>
                <w:bCs/>
                <w:lang w:eastAsia="pt-BR"/>
              </w:rPr>
            </w:pPr>
            <w:r w:rsidRPr="001118B5">
              <w:rPr>
                <w:rFonts w:ascii="Arial Narrow" w:eastAsia="Times New Roman" w:hAnsi="Arial Narrow" w:cs="Arial"/>
                <w:b/>
                <w:bCs/>
                <w:lang w:eastAsia="pt-BR"/>
              </w:rPr>
              <w:t>VARIAÇÕES PATRIMONIAIS DIMINUTIVAS</w:t>
            </w:r>
          </w:p>
        </w:tc>
        <w:tc>
          <w:tcPr>
            <w:tcW w:w="846" w:type="dxa"/>
            <w:tcBorders>
              <w:top w:val="nil"/>
              <w:bottom w:val="single" w:sz="8" w:space="0" w:color="auto"/>
              <w:right w:val="single" w:sz="8" w:space="0" w:color="auto"/>
            </w:tcBorders>
            <w:shd w:val="clear" w:color="000000" w:fill="F2F2F2"/>
            <w:noWrap/>
            <w:vAlign w:val="center"/>
          </w:tcPr>
          <w:p w14:paraId="214949D3" w14:textId="77777777" w:rsidR="006A5208" w:rsidRPr="001118B5" w:rsidRDefault="006A5208" w:rsidP="00E67116">
            <w:pPr>
              <w:spacing w:after="0" w:line="240" w:lineRule="auto"/>
              <w:jc w:val="center"/>
              <w:rPr>
                <w:rFonts w:ascii="Arial Narrow" w:eastAsia="Times New Roman" w:hAnsi="Arial Narrow" w:cs="Arial"/>
                <w:b/>
                <w:bCs/>
                <w:lang w:eastAsia="pt-BR"/>
              </w:rPr>
            </w:pPr>
          </w:p>
        </w:tc>
        <w:tc>
          <w:tcPr>
            <w:tcW w:w="1045" w:type="dxa"/>
            <w:tcBorders>
              <w:top w:val="nil"/>
              <w:left w:val="nil"/>
              <w:bottom w:val="single" w:sz="8" w:space="0" w:color="auto"/>
              <w:right w:val="single" w:sz="8" w:space="0" w:color="auto"/>
            </w:tcBorders>
            <w:shd w:val="clear" w:color="000000" w:fill="F2F2F2"/>
            <w:noWrap/>
            <w:vAlign w:val="center"/>
            <w:hideMark/>
          </w:tcPr>
          <w:p w14:paraId="13A1E033" w14:textId="77777777" w:rsidR="006A5208" w:rsidRPr="001118B5" w:rsidRDefault="006A5208" w:rsidP="00E67116">
            <w:pPr>
              <w:spacing w:after="0" w:line="240" w:lineRule="auto"/>
              <w:jc w:val="center"/>
              <w:rPr>
                <w:rFonts w:ascii="Arial Narrow" w:eastAsia="Times New Roman" w:hAnsi="Arial Narrow" w:cs="Arial"/>
                <w:b/>
                <w:bCs/>
                <w:lang w:eastAsia="pt-BR"/>
              </w:rPr>
            </w:pPr>
            <w:r w:rsidRPr="001118B5">
              <w:rPr>
                <w:rFonts w:ascii="Arial Narrow" w:eastAsia="Times New Roman" w:hAnsi="Arial Narrow" w:cs="Arial"/>
                <w:b/>
                <w:bCs/>
                <w:lang w:eastAsia="pt-BR"/>
              </w:rPr>
              <w:t>Exercício Atual</w:t>
            </w:r>
          </w:p>
        </w:tc>
        <w:tc>
          <w:tcPr>
            <w:tcW w:w="1120" w:type="dxa"/>
            <w:tcBorders>
              <w:top w:val="nil"/>
              <w:left w:val="nil"/>
              <w:bottom w:val="single" w:sz="8" w:space="0" w:color="auto"/>
              <w:right w:val="single" w:sz="8" w:space="0" w:color="auto"/>
            </w:tcBorders>
            <w:shd w:val="clear" w:color="000000" w:fill="F2F2F2"/>
            <w:noWrap/>
            <w:vAlign w:val="center"/>
            <w:hideMark/>
          </w:tcPr>
          <w:p w14:paraId="4422AF03" w14:textId="77777777" w:rsidR="006A5208" w:rsidRPr="001118B5" w:rsidRDefault="006A5208" w:rsidP="00E67116">
            <w:pPr>
              <w:spacing w:after="0" w:line="240" w:lineRule="auto"/>
              <w:jc w:val="center"/>
              <w:rPr>
                <w:rFonts w:ascii="Arial Narrow" w:eastAsia="Times New Roman" w:hAnsi="Arial Narrow" w:cs="Arial"/>
                <w:b/>
                <w:bCs/>
                <w:lang w:eastAsia="pt-BR"/>
              </w:rPr>
            </w:pPr>
            <w:r w:rsidRPr="001118B5">
              <w:rPr>
                <w:rFonts w:ascii="Arial Narrow" w:eastAsia="Times New Roman" w:hAnsi="Arial Narrow" w:cs="Arial"/>
                <w:b/>
                <w:bCs/>
                <w:lang w:eastAsia="pt-BR"/>
              </w:rPr>
              <w:t>Exercício Anterior</w:t>
            </w:r>
          </w:p>
        </w:tc>
      </w:tr>
      <w:tr w:rsidR="006A5208" w:rsidRPr="001118B5" w14:paraId="149AA532" w14:textId="77777777" w:rsidTr="00E67116">
        <w:trPr>
          <w:trHeight w:val="255"/>
        </w:trPr>
        <w:tc>
          <w:tcPr>
            <w:tcW w:w="4410" w:type="dxa"/>
            <w:tcBorders>
              <w:top w:val="nil"/>
              <w:left w:val="single" w:sz="8" w:space="0" w:color="auto"/>
              <w:bottom w:val="nil"/>
            </w:tcBorders>
            <w:shd w:val="clear" w:color="auto" w:fill="auto"/>
            <w:noWrap/>
            <w:vAlign w:val="center"/>
            <w:hideMark/>
          </w:tcPr>
          <w:p w14:paraId="13AD1FC8" w14:textId="77777777" w:rsidR="006A5208" w:rsidRPr="001118B5" w:rsidRDefault="006A5208" w:rsidP="00E67116">
            <w:pPr>
              <w:spacing w:after="0" w:line="240" w:lineRule="auto"/>
              <w:rPr>
                <w:rFonts w:ascii="Arial Narrow" w:eastAsia="Times New Roman" w:hAnsi="Arial Narrow" w:cs="Arial"/>
                <w:b/>
                <w:bCs/>
                <w:sz w:val="16"/>
                <w:szCs w:val="16"/>
                <w:u w:val="single"/>
                <w:lang w:eastAsia="pt-BR"/>
              </w:rPr>
            </w:pPr>
            <w:r w:rsidRPr="001118B5">
              <w:rPr>
                <w:rFonts w:ascii="Arial Narrow" w:eastAsia="Times New Roman" w:hAnsi="Arial Narrow" w:cs="Arial"/>
                <w:b/>
                <w:bCs/>
                <w:sz w:val="16"/>
                <w:szCs w:val="16"/>
                <w:u w:val="single"/>
                <w:lang w:eastAsia="pt-BR"/>
              </w:rPr>
              <w:t>Impostos, Taxas e Contribuições de Melhoria</w:t>
            </w:r>
          </w:p>
        </w:tc>
        <w:tc>
          <w:tcPr>
            <w:tcW w:w="835" w:type="dxa"/>
            <w:tcBorders>
              <w:top w:val="nil"/>
              <w:bottom w:val="nil"/>
              <w:right w:val="single" w:sz="8" w:space="0" w:color="auto"/>
            </w:tcBorders>
            <w:shd w:val="clear" w:color="auto" w:fill="auto"/>
            <w:noWrap/>
            <w:vAlign w:val="center"/>
          </w:tcPr>
          <w:p w14:paraId="73A90349" w14:textId="77777777" w:rsidR="006A5208" w:rsidRPr="001118B5" w:rsidRDefault="006A5208" w:rsidP="00E67116">
            <w:pPr>
              <w:spacing w:after="0" w:line="240" w:lineRule="auto"/>
              <w:jc w:val="center"/>
              <w:rPr>
                <w:rFonts w:ascii="Arial Narrow" w:eastAsia="Times New Roman" w:hAnsi="Arial Narrow" w:cs="Arial"/>
                <w:b/>
                <w:bCs/>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35F005BD" w14:textId="77777777" w:rsidR="006A5208" w:rsidRPr="001118B5" w:rsidRDefault="006A5208" w:rsidP="00E67116">
            <w:pPr>
              <w:spacing w:after="0" w:line="240" w:lineRule="auto"/>
              <w:jc w:val="center"/>
              <w:rPr>
                <w:rFonts w:ascii="Arial Narrow" w:eastAsia="Times New Roman" w:hAnsi="Arial Narrow" w:cs="Arial"/>
                <w:b/>
                <w:bCs/>
                <w:sz w:val="16"/>
                <w:szCs w:val="16"/>
                <w:lang w:eastAsia="pt-BR"/>
              </w:rPr>
            </w:pPr>
            <w:r w:rsidRPr="001118B5">
              <w:rPr>
                <w:rFonts w:ascii="Arial Narrow" w:eastAsia="Times New Roman" w:hAnsi="Arial Narrow" w:cs="Arial"/>
                <w:b/>
                <w:bCs/>
                <w:sz w:val="16"/>
                <w:szCs w:val="16"/>
                <w:lang w:eastAsia="pt-BR"/>
              </w:rPr>
              <w:t>DVP.D009</w:t>
            </w:r>
          </w:p>
        </w:tc>
        <w:tc>
          <w:tcPr>
            <w:tcW w:w="1134" w:type="dxa"/>
            <w:tcBorders>
              <w:top w:val="nil"/>
              <w:left w:val="nil"/>
              <w:bottom w:val="nil"/>
              <w:right w:val="single" w:sz="8" w:space="0" w:color="auto"/>
            </w:tcBorders>
            <w:shd w:val="clear" w:color="auto" w:fill="auto"/>
            <w:noWrap/>
            <w:vAlign w:val="center"/>
            <w:hideMark/>
          </w:tcPr>
          <w:p w14:paraId="5418E96B" w14:textId="77777777" w:rsidR="006A5208" w:rsidRPr="001118B5" w:rsidRDefault="006A5208" w:rsidP="00E67116">
            <w:pPr>
              <w:spacing w:after="0" w:line="240" w:lineRule="auto"/>
              <w:jc w:val="center"/>
              <w:rPr>
                <w:rFonts w:ascii="Arial Narrow" w:eastAsia="Times New Roman" w:hAnsi="Arial Narrow" w:cs="Arial"/>
                <w:b/>
                <w:bCs/>
                <w:sz w:val="16"/>
                <w:szCs w:val="16"/>
                <w:lang w:eastAsia="pt-BR"/>
              </w:rPr>
            </w:pPr>
            <w:r w:rsidRPr="001118B5">
              <w:rPr>
                <w:rFonts w:ascii="Arial Narrow" w:eastAsia="Times New Roman" w:hAnsi="Arial Narrow" w:cs="Arial"/>
                <w:b/>
                <w:bCs/>
                <w:sz w:val="16"/>
                <w:szCs w:val="16"/>
                <w:lang w:eastAsia="pt-BR"/>
              </w:rPr>
              <w:t>DVP.E009</w:t>
            </w:r>
          </w:p>
        </w:tc>
        <w:tc>
          <w:tcPr>
            <w:tcW w:w="4346" w:type="dxa"/>
            <w:tcBorders>
              <w:top w:val="nil"/>
              <w:left w:val="nil"/>
              <w:bottom w:val="nil"/>
            </w:tcBorders>
            <w:shd w:val="clear" w:color="auto" w:fill="auto"/>
            <w:noWrap/>
            <w:vAlign w:val="center"/>
            <w:hideMark/>
          </w:tcPr>
          <w:p w14:paraId="5ABF8BD4" w14:textId="77777777" w:rsidR="006A5208" w:rsidRPr="001118B5" w:rsidRDefault="006A5208" w:rsidP="00E67116">
            <w:pPr>
              <w:spacing w:after="0" w:line="240" w:lineRule="auto"/>
              <w:rPr>
                <w:rFonts w:ascii="Arial Narrow" w:eastAsia="Times New Roman" w:hAnsi="Arial Narrow" w:cs="Arial"/>
                <w:b/>
                <w:bCs/>
                <w:sz w:val="16"/>
                <w:szCs w:val="16"/>
                <w:u w:val="single"/>
                <w:lang w:eastAsia="pt-BR"/>
              </w:rPr>
            </w:pPr>
            <w:r w:rsidRPr="001118B5">
              <w:rPr>
                <w:rFonts w:ascii="Arial Narrow" w:eastAsia="Times New Roman" w:hAnsi="Arial Narrow" w:cs="Arial"/>
                <w:b/>
                <w:bCs/>
                <w:sz w:val="16"/>
                <w:szCs w:val="16"/>
                <w:u w:val="single"/>
                <w:lang w:eastAsia="pt-BR"/>
              </w:rPr>
              <w:t xml:space="preserve">Pessoal e Encargos </w:t>
            </w:r>
          </w:p>
        </w:tc>
        <w:tc>
          <w:tcPr>
            <w:tcW w:w="846" w:type="dxa"/>
            <w:tcBorders>
              <w:top w:val="nil"/>
              <w:bottom w:val="nil"/>
              <w:right w:val="single" w:sz="8" w:space="0" w:color="auto"/>
            </w:tcBorders>
            <w:shd w:val="clear" w:color="auto" w:fill="auto"/>
            <w:noWrap/>
            <w:vAlign w:val="center"/>
          </w:tcPr>
          <w:p w14:paraId="01643BAE" w14:textId="77777777" w:rsidR="006A5208" w:rsidRPr="001118B5" w:rsidRDefault="006A5208" w:rsidP="00E67116">
            <w:pPr>
              <w:spacing w:after="0" w:line="240" w:lineRule="auto"/>
              <w:jc w:val="center"/>
              <w:rPr>
                <w:rFonts w:ascii="Arial Narrow" w:eastAsia="Times New Roman" w:hAnsi="Arial Narrow" w:cs="Arial"/>
                <w:b/>
                <w:bCs/>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7D5238C1" w14:textId="77777777" w:rsidR="006A5208" w:rsidRPr="001118B5" w:rsidRDefault="006A5208" w:rsidP="00E67116">
            <w:pPr>
              <w:spacing w:after="0" w:line="240" w:lineRule="auto"/>
              <w:jc w:val="center"/>
              <w:rPr>
                <w:rFonts w:ascii="Arial Narrow" w:eastAsia="Times New Roman" w:hAnsi="Arial Narrow" w:cs="Arial"/>
                <w:b/>
                <w:bCs/>
                <w:sz w:val="16"/>
                <w:szCs w:val="16"/>
                <w:lang w:eastAsia="pt-BR"/>
              </w:rPr>
            </w:pPr>
            <w:r w:rsidRPr="001118B5">
              <w:rPr>
                <w:rFonts w:ascii="Arial Narrow" w:eastAsia="Times New Roman" w:hAnsi="Arial Narrow" w:cs="Arial"/>
                <w:b/>
                <w:bCs/>
                <w:sz w:val="16"/>
                <w:szCs w:val="16"/>
                <w:lang w:eastAsia="pt-BR"/>
              </w:rPr>
              <w:t>DVP.H009</w:t>
            </w:r>
          </w:p>
        </w:tc>
        <w:tc>
          <w:tcPr>
            <w:tcW w:w="1120" w:type="dxa"/>
            <w:tcBorders>
              <w:top w:val="nil"/>
              <w:left w:val="nil"/>
              <w:bottom w:val="nil"/>
              <w:right w:val="single" w:sz="8" w:space="0" w:color="auto"/>
            </w:tcBorders>
            <w:shd w:val="clear" w:color="auto" w:fill="auto"/>
            <w:noWrap/>
            <w:vAlign w:val="center"/>
            <w:hideMark/>
          </w:tcPr>
          <w:p w14:paraId="56584D4F" w14:textId="77777777" w:rsidR="006A5208" w:rsidRPr="001118B5" w:rsidRDefault="006A5208" w:rsidP="00E67116">
            <w:pPr>
              <w:spacing w:after="0" w:line="240" w:lineRule="auto"/>
              <w:jc w:val="center"/>
              <w:rPr>
                <w:rFonts w:ascii="Arial Narrow" w:eastAsia="Times New Roman" w:hAnsi="Arial Narrow" w:cs="Arial"/>
                <w:b/>
                <w:bCs/>
                <w:sz w:val="16"/>
                <w:szCs w:val="16"/>
                <w:lang w:eastAsia="pt-BR"/>
              </w:rPr>
            </w:pPr>
            <w:r w:rsidRPr="001118B5">
              <w:rPr>
                <w:rFonts w:ascii="Arial Narrow" w:eastAsia="Times New Roman" w:hAnsi="Arial Narrow" w:cs="Arial"/>
                <w:b/>
                <w:bCs/>
                <w:sz w:val="16"/>
                <w:szCs w:val="16"/>
                <w:lang w:eastAsia="pt-BR"/>
              </w:rPr>
              <w:t>DVP.I009</w:t>
            </w:r>
          </w:p>
        </w:tc>
      </w:tr>
      <w:tr w:rsidR="006A5208" w:rsidRPr="001118B5" w14:paraId="1CEED07E" w14:textId="77777777" w:rsidTr="00E67116">
        <w:trPr>
          <w:trHeight w:val="255"/>
        </w:trPr>
        <w:tc>
          <w:tcPr>
            <w:tcW w:w="4410" w:type="dxa"/>
            <w:tcBorders>
              <w:top w:val="nil"/>
              <w:left w:val="single" w:sz="8" w:space="0" w:color="auto"/>
              <w:bottom w:val="nil"/>
            </w:tcBorders>
            <w:shd w:val="clear" w:color="auto" w:fill="auto"/>
            <w:noWrap/>
            <w:vAlign w:val="center"/>
            <w:hideMark/>
          </w:tcPr>
          <w:p w14:paraId="0BC02C4F" w14:textId="77777777" w:rsidR="006A5208" w:rsidRPr="001118B5" w:rsidRDefault="006A5208" w:rsidP="00E67116">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Impostos</w:t>
            </w:r>
          </w:p>
        </w:tc>
        <w:tc>
          <w:tcPr>
            <w:tcW w:w="835" w:type="dxa"/>
            <w:tcBorders>
              <w:top w:val="nil"/>
              <w:bottom w:val="nil"/>
              <w:right w:val="single" w:sz="8" w:space="0" w:color="auto"/>
            </w:tcBorders>
            <w:shd w:val="clear" w:color="auto" w:fill="auto"/>
            <w:noWrap/>
            <w:vAlign w:val="center"/>
          </w:tcPr>
          <w:p w14:paraId="66708E91" w14:textId="77777777" w:rsidR="006A5208" w:rsidRPr="001118B5" w:rsidRDefault="006A5208" w:rsidP="00E67116">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071A2F8A" w14:textId="77777777" w:rsidR="006A5208" w:rsidRPr="001118B5" w:rsidRDefault="006A5208"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DVP.D010</w:t>
            </w:r>
          </w:p>
        </w:tc>
        <w:tc>
          <w:tcPr>
            <w:tcW w:w="1134" w:type="dxa"/>
            <w:tcBorders>
              <w:top w:val="nil"/>
              <w:left w:val="nil"/>
              <w:bottom w:val="nil"/>
              <w:right w:val="single" w:sz="8" w:space="0" w:color="auto"/>
            </w:tcBorders>
            <w:shd w:val="clear" w:color="auto" w:fill="auto"/>
            <w:noWrap/>
            <w:vAlign w:val="center"/>
            <w:hideMark/>
          </w:tcPr>
          <w:p w14:paraId="129E72F7" w14:textId="77777777" w:rsidR="006A5208" w:rsidRPr="001118B5" w:rsidRDefault="006A5208"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DVP.E010</w:t>
            </w:r>
          </w:p>
        </w:tc>
        <w:tc>
          <w:tcPr>
            <w:tcW w:w="4346" w:type="dxa"/>
            <w:tcBorders>
              <w:top w:val="nil"/>
              <w:left w:val="nil"/>
              <w:bottom w:val="nil"/>
            </w:tcBorders>
            <w:shd w:val="clear" w:color="auto" w:fill="auto"/>
            <w:noWrap/>
            <w:vAlign w:val="center"/>
            <w:hideMark/>
          </w:tcPr>
          <w:p w14:paraId="63AD1930" w14:textId="77777777" w:rsidR="006A5208" w:rsidRPr="001118B5" w:rsidRDefault="006A5208" w:rsidP="00E67116">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Remuneração a Pessoal</w:t>
            </w:r>
          </w:p>
        </w:tc>
        <w:tc>
          <w:tcPr>
            <w:tcW w:w="846" w:type="dxa"/>
            <w:tcBorders>
              <w:top w:val="nil"/>
              <w:bottom w:val="nil"/>
              <w:right w:val="single" w:sz="8" w:space="0" w:color="auto"/>
            </w:tcBorders>
            <w:shd w:val="clear" w:color="auto" w:fill="auto"/>
            <w:noWrap/>
            <w:vAlign w:val="center"/>
          </w:tcPr>
          <w:p w14:paraId="02AC2DC5" w14:textId="77777777" w:rsidR="006A5208" w:rsidRPr="001118B5" w:rsidRDefault="006A5208" w:rsidP="00E67116">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22647E30" w14:textId="77777777" w:rsidR="006A5208" w:rsidRPr="001118B5" w:rsidRDefault="006A5208"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DVP.H010</w:t>
            </w:r>
          </w:p>
        </w:tc>
        <w:tc>
          <w:tcPr>
            <w:tcW w:w="1120" w:type="dxa"/>
            <w:tcBorders>
              <w:top w:val="nil"/>
              <w:left w:val="nil"/>
              <w:bottom w:val="nil"/>
              <w:right w:val="single" w:sz="8" w:space="0" w:color="auto"/>
            </w:tcBorders>
            <w:shd w:val="clear" w:color="auto" w:fill="auto"/>
            <w:noWrap/>
            <w:vAlign w:val="center"/>
            <w:hideMark/>
          </w:tcPr>
          <w:p w14:paraId="0449C3F2" w14:textId="77777777" w:rsidR="006A5208" w:rsidRPr="001118B5" w:rsidRDefault="006A5208"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DVP.I010</w:t>
            </w:r>
          </w:p>
        </w:tc>
      </w:tr>
      <w:tr w:rsidR="006A5208" w:rsidRPr="001118B5" w14:paraId="79337938" w14:textId="77777777" w:rsidTr="00E67116">
        <w:trPr>
          <w:trHeight w:val="240"/>
        </w:trPr>
        <w:tc>
          <w:tcPr>
            <w:tcW w:w="4410" w:type="dxa"/>
            <w:tcBorders>
              <w:top w:val="nil"/>
              <w:left w:val="single" w:sz="8" w:space="0" w:color="auto"/>
              <w:bottom w:val="nil"/>
            </w:tcBorders>
            <w:shd w:val="clear" w:color="auto" w:fill="auto"/>
            <w:noWrap/>
            <w:vAlign w:val="center"/>
            <w:hideMark/>
          </w:tcPr>
          <w:p w14:paraId="10C12062" w14:textId="77777777" w:rsidR="006A5208" w:rsidRPr="001118B5" w:rsidRDefault="006A5208" w:rsidP="00E67116">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Taxas</w:t>
            </w:r>
          </w:p>
        </w:tc>
        <w:tc>
          <w:tcPr>
            <w:tcW w:w="835" w:type="dxa"/>
            <w:tcBorders>
              <w:top w:val="nil"/>
              <w:bottom w:val="nil"/>
              <w:right w:val="single" w:sz="8" w:space="0" w:color="auto"/>
            </w:tcBorders>
            <w:shd w:val="clear" w:color="auto" w:fill="auto"/>
            <w:noWrap/>
            <w:vAlign w:val="center"/>
          </w:tcPr>
          <w:p w14:paraId="5C040254" w14:textId="77777777" w:rsidR="006A5208" w:rsidRPr="001118B5" w:rsidRDefault="006A5208" w:rsidP="00E67116">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20DA293C" w14:textId="77777777" w:rsidR="006A5208" w:rsidRPr="001118B5" w:rsidRDefault="006A5208"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DVP.D011</w:t>
            </w:r>
          </w:p>
        </w:tc>
        <w:tc>
          <w:tcPr>
            <w:tcW w:w="1134" w:type="dxa"/>
            <w:tcBorders>
              <w:top w:val="nil"/>
              <w:left w:val="nil"/>
              <w:bottom w:val="nil"/>
              <w:right w:val="single" w:sz="8" w:space="0" w:color="auto"/>
            </w:tcBorders>
            <w:shd w:val="clear" w:color="auto" w:fill="auto"/>
            <w:noWrap/>
            <w:vAlign w:val="center"/>
            <w:hideMark/>
          </w:tcPr>
          <w:p w14:paraId="6C6C98AB" w14:textId="77777777" w:rsidR="006A5208" w:rsidRPr="001118B5" w:rsidRDefault="006A5208"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DVP.E011</w:t>
            </w:r>
          </w:p>
        </w:tc>
        <w:tc>
          <w:tcPr>
            <w:tcW w:w="4346" w:type="dxa"/>
            <w:tcBorders>
              <w:top w:val="nil"/>
              <w:left w:val="nil"/>
              <w:bottom w:val="nil"/>
            </w:tcBorders>
            <w:shd w:val="clear" w:color="auto" w:fill="auto"/>
            <w:noWrap/>
            <w:vAlign w:val="center"/>
            <w:hideMark/>
          </w:tcPr>
          <w:p w14:paraId="1D29C8F7" w14:textId="77777777" w:rsidR="006A5208" w:rsidRPr="001118B5" w:rsidRDefault="006A5208" w:rsidP="00E67116">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Encargos Patronais</w:t>
            </w:r>
          </w:p>
        </w:tc>
        <w:tc>
          <w:tcPr>
            <w:tcW w:w="846" w:type="dxa"/>
            <w:tcBorders>
              <w:top w:val="nil"/>
              <w:bottom w:val="nil"/>
              <w:right w:val="single" w:sz="8" w:space="0" w:color="auto"/>
            </w:tcBorders>
            <w:shd w:val="clear" w:color="auto" w:fill="auto"/>
            <w:noWrap/>
            <w:vAlign w:val="center"/>
          </w:tcPr>
          <w:p w14:paraId="670F747C" w14:textId="77777777" w:rsidR="006A5208" w:rsidRPr="001118B5" w:rsidRDefault="006A5208" w:rsidP="00E67116">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56F4A132" w14:textId="77777777" w:rsidR="006A5208" w:rsidRPr="001118B5" w:rsidRDefault="006A5208"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DVP.H011</w:t>
            </w:r>
          </w:p>
        </w:tc>
        <w:tc>
          <w:tcPr>
            <w:tcW w:w="1120" w:type="dxa"/>
            <w:tcBorders>
              <w:top w:val="nil"/>
              <w:left w:val="nil"/>
              <w:bottom w:val="nil"/>
              <w:right w:val="single" w:sz="8" w:space="0" w:color="auto"/>
            </w:tcBorders>
            <w:shd w:val="clear" w:color="auto" w:fill="auto"/>
            <w:noWrap/>
            <w:vAlign w:val="center"/>
            <w:hideMark/>
          </w:tcPr>
          <w:p w14:paraId="01D8E771" w14:textId="77777777" w:rsidR="006A5208" w:rsidRPr="001118B5" w:rsidRDefault="006A5208"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DVP.I011</w:t>
            </w:r>
          </w:p>
        </w:tc>
      </w:tr>
      <w:tr w:rsidR="006A5208" w:rsidRPr="001118B5" w14:paraId="561F5985" w14:textId="77777777" w:rsidTr="00E67116">
        <w:trPr>
          <w:trHeight w:val="240"/>
        </w:trPr>
        <w:tc>
          <w:tcPr>
            <w:tcW w:w="4410" w:type="dxa"/>
            <w:tcBorders>
              <w:top w:val="nil"/>
              <w:left w:val="single" w:sz="8" w:space="0" w:color="auto"/>
              <w:bottom w:val="nil"/>
            </w:tcBorders>
            <w:shd w:val="clear" w:color="auto" w:fill="auto"/>
            <w:noWrap/>
            <w:vAlign w:val="center"/>
            <w:hideMark/>
          </w:tcPr>
          <w:p w14:paraId="46BE48C4" w14:textId="77777777" w:rsidR="006A5208" w:rsidRPr="001118B5" w:rsidRDefault="006A5208" w:rsidP="00E67116">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Contribuições de Melhoria</w:t>
            </w:r>
          </w:p>
        </w:tc>
        <w:tc>
          <w:tcPr>
            <w:tcW w:w="835" w:type="dxa"/>
            <w:tcBorders>
              <w:top w:val="nil"/>
              <w:bottom w:val="nil"/>
              <w:right w:val="single" w:sz="8" w:space="0" w:color="auto"/>
            </w:tcBorders>
            <w:shd w:val="clear" w:color="auto" w:fill="auto"/>
            <w:noWrap/>
            <w:vAlign w:val="center"/>
          </w:tcPr>
          <w:p w14:paraId="0CFA5582" w14:textId="77777777" w:rsidR="006A5208" w:rsidRPr="001118B5" w:rsidRDefault="006A5208" w:rsidP="00E67116">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7AAF0895" w14:textId="77777777" w:rsidR="006A5208" w:rsidRPr="001118B5" w:rsidRDefault="006A5208"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DVP.D012</w:t>
            </w:r>
          </w:p>
        </w:tc>
        <w:tc>
          <w:tcPr>
            <w:tcW w:w="1134" w:type="dxa"/>
            <w:tcBorders>
              <w:top w:val="nil"/>
              <w:left w:val="nil"/>
              <w:bottom w:val="nil"/>
              <w:right w:val="single" w:sz="8" w:space="0" w:color="auto"/>
            </w:tcBorders>
            <w:shd w:val="clear" w:color="auto" w:fill="auto"/>
            <w:noWrap/>
            <w:vAlign w:val="center"/>
            <w:hideMark/>
          </w:tcPr>
          <w:p w14:paraId="27E92A5A" w14:textId="77777777" w:rsidR="006A5208" w:rsidRPr="001118B5" w:rsidRDefault="006A5208"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DVP.E012</w:t>
            </w:r>
          </w:p>
        </w:tc>
        <w:tc>
          <w:tcPr>
            <w:tcW w:w="4346" w:type="dxa"/>
            <w:tcBorders>
              <w:top w:val="nil"/>
              <w:left w:val="nil"/>
              <w:bottom w:val="nil"/>
            </w:tcBorders>
            <w:shd w:val="clear" w:color="auto" w:fill="auto"/>
            <w:noWrap/>
            <w:vAlign w:val="center"/>
            <w:hideMark/>
          </w:tcPr>
          <w:p w14:paraId="370A79AA" w14:textId="77777777" w:rsidR="006A5208" w:rsidRPr="001118B5" w:rsidRDefault="006A5208" w:rsidP="00E67116">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Benefícios a Pessoal</w:t>
            </w:r>
          </w:p>
        </w:tc>
        <w:tc>
          <w:tcPr>
            <w:tcW w:w="846" w:type="dxa"/>
            <w:tcBorders>
              <w:top w:val="nil"/>
              <w:bottom w:val="nil"/>
              <w:right w:val="single" w:sz="8" w:space="0" w:color="auto"/>
            </w:tcBorders>
            <w:shd w:val="clear" w:color="auto" w:fill="auto"/>
            <w:noWrap/>
            <w:vAlign w:val="center"/>
          </w:tcPr>
          <w:p w14:paraId="27EA46BA" w14:textId="77777777" w:rsidR="006A5208" w:rsidRPr="001118B5" w:rsidRDefault="006A5208" w:rsidP="00E67116">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61A80A7C" w14:textId="77777777" w:rsidR="006A5208" w:rsidRPr="001118B5" w:rsidRDefault="006A5208"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DVP.H012</w:t>
            </w:r>
          </w:p>
        </w:tc>
        <w:tc>
          <w:tcPr>
            <w:tcW w:w="1120" w:type="dxa"/>
            <w:tcBorders>
              <w:top w:val="nil"/>
              <w:left w:val="nil"/>
              <w:bottom w:val="nil"/>
              <w:right w:val="single" w:sz="8" w:space="0" w:color="auto"/>
            </w:tcBorders>
            <w:shd w:val="clear" w:color="auto" w:fill="auto"/>
            <w:noWrap/>
            <w:vAlign w:val="center"/>
            <w:hideMark/>
          </w:tcPr>
          <w:p w14:paraId="06A72ABD" w14:textId="77777777" w:rsidR="006A5208" w:rsidRPr="001118B5" w:rsidRDefault="006A5208"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DVP.I012</w:t>
            </w:r>
          </w:p>
        </w:tc>
      </w:tr>
      <w:tr w:rsidR="006A5208" w:rsidRPr="001118B5" w14:paraId="4C2BA40F" w14:textId="77777777" w:rsidTr="00E67116">
        <w:trPr>
          <w:trHeight w:val="240"/>
        </w:trPr>
        <w:tc>
          <w:tcPr>
            <w:tcW w:w="4410" w:type="dxa"/>
            <w:tcBorders>
              <w:top w:val="nil"/>
              <w:left w:val="single" w:sz="8" w:space="0" w:color="auto"/>
              <w:bottom w:val="nil"/>
            </w:tcBorders>
            <w:shd w:val="clear" w:color="auto" w:fill="auto"/>
            <w:noWrap/>
            <w:vAlign w:val="center"/>
            <w:hideMark/>
          </w:tcPr>
          <w:p w14:paraId="0BBA1A63" w14:textId="77777777" w:rsidR="006A5208" w:rsidRPr="001118B5" w:rsidRDefault="006A5208" w:rsidP="00E67116">
            <w:pPr>
              <w:spacing w:after="0" w:line="240" w:lineRule="auto"/>
              <w:rPr>
                <w:rFonts w:ascii="Arial Narrow" w:eastAsia="Times New Roman" w:hAnsi="Arial Narrow" w:cs="Arial"/>
                <w:b/>
                <w:bCs/>
                <w:sz w:val="16"/>
                <w:szCs w:val="16"/>
                <w:u w:val="single"/>
                <w:lang w:eastAsia="pt-BR"/>
              </w:rPr>
            </w:pPr>
            <w:r w:rsidRPr="001118B5">
              <w:rPr>
                <w:rFonts w:ascii="Arial Narrow" w:eastAsia="Times New Roman" w:hAnsi="Arial Narrow" w:cs="Arial"/>
                <w:b/>
                <w:bCs/>
                <w:sz w:val="16"/>
                <w:szCs w:val="16"/>
                <w:u w:val="single"/>
                <w:lang w:eastAsia="pt-BR"/>
              </w:rPr>
              <w:t>Contribuições</w:t>
            </w:r>
          </w:p>
        </w:tc>
        <w:tc>
          <w:tcPr>
            <w:tcW w:w="835" w:type="dxa"/>
            <w:tcBorders>
              <w:top w:val="nil"/>
              <w:bottom w:val="nil"/>
              <w:right w:val="single" w:sz="8" w:space="0" w:color="auto"/>
            </w:tcBorders>
            <w:shd w:val="clear" w:color="auto" w:fill="auto"/>
            <w:noWrap/>
            <w:vAlign w:val="center"/>
          </w:tcPr>
          <w:p w14:paraId="7D92FDFC" w14:textId="77777777" w:rsidR="006A5208" w:rsidRPr="001118B5" w:rsidRDefault="006A5208" w:rsidP="00E67116">
            <w:pPr>
              <w:spacing w:after="0" w:line="240" w:lineRule="auto"/>
              <w:jc w:val="center"/>
              <w:rPr>
                <w:rFonts w:ascii="Arial Narrow" w:eastAsia="Times New Roman" w:hAnsi="Arial Narrow" w:cs="Arial"/>
                <w:b/>
                <w:bCs/>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0B26AB54" w14:textId="77777777" w:rsidR="006A5208" w:rsidRPr="001118B5" w:rsidRDefault="006A5208" w:rsidP="00E67116">
            <w:pPr>
              <w:spacing w:after="0" w:line="240" w:lineRule="auto"/>
              <w:jc w:val="center"/>
              <w:rPr>
                <w:rFonts w:ascii="Arial Narrow" w:eastAsia="Times New Roman" w:hAnsi="Arial Narrow" w:cs="Arial"/>
                <w:b/>
                <w:bCs/>
                <w:sz w:val="16"/>
                <w:szCs w:val="16"/>
                <w:lang w:eastAsia="pt-BR"/>
              </w:rPr>
            </w:pPr>
            <w:r w:rsidRPr="001118B5">
              <w:rPr>
                <w:rFonts w:ascii="Arial Narrow" w:eastAsia="Times New Roman" w:hAnsi="Arial Narrow" w:cs="Arial"/>
                <w:b/>
                <w:bCs/>
                <w:sz w:val="16"/>
                <w:szCs w:val="16"/>
                <w:lang w:eastAsia="pt-BR"/>
              </w:rPr>
              <w:t>DVP.D013</w:t>
            </w:r>
          </w:p>
        </w:tc>
        <w:tc>
          <w:tcPr>
            <w:tcW w:w="1134" w:type="dxa"/>
            <w:tcBorders>
              <w:top w:val="nil"/>
              <w:left w:val="nil"/>
              <w:bottom w:val="nil"/>
              <w:right w:val="single" w:sz="8" w:space="0" w:color="auto"/>
            </w:tcBorders>
            <w:shd w:val="clear" w:color="auto" w:fill="auto"/>
            <w:noWrap/>
            <w:vAlign w:val="center"/>
            <w:hideMark/>
          </w:tcPr>
          <w:p w14:paraId="658775E1" w14:textId="77777777" w:rsidR="006A5208" w:rsidRPr="001118B5" w:rsidRDefault="006A5208" w:rsidP="00E67116">
            <w:pPr>
              <w:spacing w:after="0" w:line="240" w:lineRule="auto"/>
              <w:jc w:val="center"/>
              <w:rPr>
                <w:rFonts w:ascii="Arial Narrow" w:eastAsia="Times New Roman" w:hAnsi="Arial Narrow" w:cs="Arial"/>
                <w:b/>
                <w:bCs/>
                <w:sz w:val="16"/>
                <w:szCs w:val="16"/>
                <w:lang w:eastAsia="pt-BR"/>
              </w:rPr>
            </w:pPr>
            <w:r w:rsidRPr="001118B5">
              <w:rPr>
                <w:rFonts w:ascii="Arial Narrow" w:eastAsia="Times New Roman" w:hAnsi="Arial Narrow" w:cs="Arial"/>
                <w:b/>
                <w:bCs/>
                <w:sz w:val="16"/>
                <w:szCs w:val="16"/>
                <w:lang w:eastAsia="pt-BR"/>
              </w:rPr>
              <w:t>DVP.E013</w:t>
            </w:r>
          </w:p>
        </w:tc>
        <w:tc>
          <w:tcPr>
            <w:tcW w:w="4346" w:type="dxa"/>
            <w:tcBorders>
              <w:top w:val="nil"/>
              <w:left w:val="nil"/>
              <w:bottom w:val="nil"/>
            </w:tcBorders>
            <w:shd w:val="clear" w:color="auto" w:fill="auto"/>
            <w:noWrap/>
            <w:vAlign w:val="center"/>
            <w:hideMark/>
          </w:tcPr>
          <w:p w14:paraId="18C213B4" w14:textId="77777777" w:rsidR="006A5208" w:rsidRPr="001118B5" w:rsidRDefault="006A5208" w:rsidP="00E67116">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Outras Variações Patrimonais Diminutivas - Pessoal e Encargos</w:t>
            </w:r>
          </w:p>
        </w:tc>
        <w:tc>
          <w:tcPr>
            <w:tcW w:w="846" w:type="dxa"/>
            <w:tcBorders>
              <w:top w:val="nil"/>
              <w:bottom w:val="nil"/>
              <w:right w:val="single" w:sz="8" w:space="0" w:color="auto"/>
            </w:tcBorders>
            <w:shd w:val="clear" w:color="auto" w:fill="auto"/>
            <w:noWrap/>
            <w:vAlign w:val="center"/>
          </w:tcPr>
          <w:p w14:paraId="687AA77F" w14:textId="77777777" w:rsidR="006A5208" w:rsidRPr="001118B5" w:rsidRDefault="006A5208" w:rsidP="00E67116">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44789B70" w14:textId="77777777" w:rsidR="006A5208" w:rsidRPr="001118B5" w:rsidRDefault="006A5208"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DVP.H013</w:t>
            </w:r>
          </w:p>
        </w:tc>
        <w:tc>
          <w:tcPr>
            <w:tcW w:w="1120" w:type="dxa"/>
            <w:tcBorders>
              <w:top w:val="nil"/>
              <w:left w:val="nil"/>
              <w:bottom w:val="nil"/>
              <w:right w:val="single" w:sz="8" w:space="0" w:color="auto"/>
            </w:tcBorders>
            <w:shd w:val="clear" w:color="auto" w:fill="auto"/>
            <w:noWrap/>
            <w:vAlign w:val="center"/>
            <w:hideMark/>
          </w:tcPr>
          <w:p w14:paraId="61EFEB88" w14:textId="77777777" w:rsidR="006A5208" w:rsidRPr="001118B5" w:rsidRDefault="006A5208"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DVP.I013</w:t>
            </w:r>
          </w:p>
        </w:tc>
      </w:tr>
      <w:tr w:rsidR="006A5208" w:rsidRPr="001118B5" w14:paraId="736CAFB7" w14:textId="77777777" w:rsidTr="00E67116">
        <w:trPr>
          <w:trHeight w:val="255"/>
        </w:trPr>
        <w:tc>
          <w:tcPr>
            <w:tcW w:w="4410" w:type="dxa"/>
            <w:tcBorders>
              <w:top w:val="nil"/>
              <w:left w:val="single" w:sz="8" w:space="0" w:color="auto"/>
              <w:bottom w:val="nil"/>
            </w:tcBorders>
            <w:shd w:val="clear" w:color="auto" w:fill="auto"/>
            <w:noWrap/>
            <w:vAlign w:val="center"/>
            <w:hideMark/>
          </w:tcPr>
          <w:p w14:paraId="4141C39E" w14:textId="77777777" w:rsidR="006A5208" w:rsidRPr="001118B5" w:rsidRDefault="006A5208" w:rsidP="00E67116">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Contribuições Sociais</w:t>
            </w:r>
          </w:p>
        </w:tc>
        <w:tc>
          <w:tcPr>
            <w:tcW w:w="835" w:type="dxa"/>
            <w:tcBorders>
              <w:top w:val="nil"/>
              <w:bottom w:val="nil"/>
              <w:right w:val="single" w:sz="8" w:space="0" w:color="auto"/>
            </w:tcBorders>
            <w:shd w:val="clear" w:color="auto" w:fill="auto"/>
            <w:noWrap/>
            <w:vAlign w:val="center"/>
          </w:tcPr>
          <w:p w14:paraId="12FA5B05" w14:textId="77777777" w:rsidR="006A5208" w:rsidRPr="001118B5" w:rsidRDefault="006A5208" w:rsidP="00E67116">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29828165" w14:textId="77777777" w:rsidR="006A5208" w:rsidRPr="001118B5" w:rsidRDefault="006A5208"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DVP.D014</w:t>
            </w:r>
          </w:p>
        </w:tc>
        <w:tc>
          <w:tcPr>
            <w:tcW w:w="1134" w:type="dxa"/>
            <w:tcBorders>
              <w:top w:val="nil"/>
              <w:left w:val="nil"/>
              <w:bottom w:val="nil"/>
              <w:right w:val="single" w:sz="8" w:space="0" w:color="auto"/>
            </w:tcBorders>
            <w:shd w:val="clear" w:color="auto" w:fill="auto"/>
            <w:noWrap/>
            <w:vAlign w:val="center"/>
            <w:hideMark/>
          </w:tcPr>
          <w:p w14:paraId="0EAACA79" w14:textId="77777777" w:rsidR="006A5208" w:rsidRPr="001118B5" w:rsidRDefault="006A5208"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DVP.E014</w:t>
            </w:r>
          </w:p>
        </w:tc>
        <w:tc>
          <w:tcPr>
            <w:tcW w:w="4346" w:type="dxa"/>
            <w:tcBorders>
              <w:top w:val="nil"/>
              <w:left w:val="nil"/>
              <w:bottom w:val="nil"/>
            </w:tcBorders>
            <w:shd w:val="clear" w:color="auto" w:fill="auto"/>
            <w:noWrap/>
            <w:vAlign w:val="center"/>
            <w:hideMark/>
          </w:tcPr>
          <w:p w14:paraId="49264213" w14:textId="77777777" w:rsidR="006A5208" w:rsidRPr="001118B5" w:rsidRDefault="006A5208" w:rsidP="00E67116">
            <w:pPr>
              <w:spacing w:after="0" w:line="240" w:lineRule="auto"/>
              <w:rPr>
                <w:rFonts w:ascii="Arial Narrow" w:eastAsia="Times New Roman" w:hAnsi="Arial Narrow" w:cs="Arial"/>
                <w:b/>
                <w:bCs/>
                <w:sz w:val="16"/>
                <w:szCs w:val="16"/>
                <w:u w:val="single"/>
                <w:lang w:eastAsia="pt-BR"/>
              </w:rPr>
            </w:pPr>
            <w:r w:rsidRPr="001118B5">
              <w:rPr>
                <w:rFonts w:ascii="Arial Narrow" w:eastAsia="Times New Roman" w:hAnsi="Arial Narrow" w:cs="Arial"/>
                <w:b/>
                <w:bCs/>
                <w:sz w:val="16"/>
                <w:szCs w:val="16"/>
                <w:u w:val="single"/>
                <w:lang w:eastAsia="pt-BR"/>
              </w:rPr>
              <w:t>Benefícios Previdenciários e Assistenciais</w:t>
            </w:r>
          </w:p>
        </w:tc>
        <w:tc>
          <w:tcPr>
            <w:tcW w:w="846" w:type="dxa"/>
            <w:tcBorders>
              <w:top w:val="nil"/>
              <w:bottom w:val="nil"/>
              <w:right w:val="single" w:sz="8" w:space="0" w:color="auto"/>
            </w:tcBorders>
            <w:shd w:val="clear" w:color="auto" w:fill="auto"/>
            <w:noWrap/>
            <w:vAlign w:val="center"/>
          </w:tcPr>
          <w:p w14:paraId="5BC19CA1" w14:textId="77777777" w:rsidR="006A5208" w:rsidRPr="001118B5" w:rsidRDefault="006A5208" w:rsidP="00E67116">
            <w:pPr>
              <w:spacing w:after="0" w:line="240" w:lineRule="auto"/>
              <w:jc w:val="center"/>
              <w:rPr>
                <w:rFonts w:ascii="Arial Narrow" w:eastAsia="Times New Roman" w:hAnsi="Arial Narrow" w:cs="Arial"/>
                <w:b/>
                <w:bCs/>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2DA2C280" w14:textId="77777777" w:rsidR="006A5208" w:rsidRPr="001118B5" w:rsidRDefault="006A5208" w:rsidP="00E67116">
            <w:pPr>
              <w:spacing w:after="0" w:line="240" w:lineRule="auto"/>
              <w:jc w:val="center"/>
              <w:rPr>
                <w:rFonts w:ascii="Arial Narrow" w:eastAsia="Times New Roman" w:hAnsi="Arial Narrow" w:cs="Arial"/>
                <w:b/>
                <w:bCs/>
                <w:sz w:val="16"/>
                <w:szCs w:val="16"/>
                <w:lang w:eastAsia="pt-BR"/>
              </w:rPr>
            </w:pPr>
            <w:r w:rsidRPr="001118B5">
              <w:rPr>
                <w:rFonts w:ascii="Arial Narrow" w:eastAsia="Times New Roman" w:hAnsi="Arial Narrow" w:cs="Arial"/>
                <w:b/>
                <w:bCs/>
                <w:sz w:val="16"/>
                <w:szCs w:val="16"/>
                <w:lang w:eastAsia="pt-BR"/>
              </w:rPr>
              <w:t>DVP.H014</w:t>
            </w:r>
          </w:p>
        </w:tc>
        <w:tc>
          <w:tcPr>
            <w:tcW w:w="1120" w:type="dxa"/>
            <w:tcBorders>
              <w:top w:val="nil"/>
              <w:left w:val="nil"/>
              <w:bottom w:val="nil"/>
              <w:right w:val="single" w:sz="8" w:space="0" w:color="auto"/>
            </w:tcBorders>
            <w:shd w:val="clear" w:color="auto" w:fill="auto"/>
            <w:noWrap/>
            <w:vAlign w:val="center"/>
            <w:hideMark/>
          </w:tcPr>
          <w:p w14:paraId="580C858F" w14:textId="77777777" w:rsidR="006A5208" w:rsidRPr="001118B5" w:rsidRDefault="006A5208" w:rsidP="00E67116">
            <w:pPr>
              <w:spacing w:after="0" w:line="240" w:lineRule="auto"/>
              <w:jc w:val="center"/>
              <w:rPr>
                <w:rFonts w:ascii="Arial Narrow" w:eastAsia="Times New Roman" w:hAnsi="Arial Narrow" w:cs="Arial"/>
                <w:b/>
                <w:bCs/>
                <w:sz w:val="16"/>
                <w:szCs w:val="16"/>
                <w:lang w:eastAsia="pt-BR"/>
              </w:rPr>
            </w:pPr>
            <w:r w:rsidRPr="001118B5">
              <w:rPr>
                <w:rFonts w:ascii="Arial Narrow" w:eastAsia="Times New Roman" w:hAnsi="Arial Narrow" w:cs="Arial"/>
                <w:b/>
                <w:bCs/>
                <w:sz w:val="16"/>
                <w:szCs w:val="16"/>
                <w:lang w:eastAsia="pt-BR"/>
              </w:rPr>
              <w:t>DVP.I014</w:t>
            </w:r>
          </w:p>
        </w:tc>
      </w:tr>
      <w:tr w:rsidR="006A5208" w:rsidRPr="001118B5" w14:paraId="03C548CA" w14:textId="77777777" w:rsidTr="00E67116">
        <w:trPr>
          <w:trHeight w:val="240"/>
        </w:trPr>
        <w:tc>
          <w:tcPr>
            <w:tcW w:w="4410" w:type="dxa"/>
            <w:tcBorders>
              <w:top w:val="nil"/>
              <w:left w:val="single" w:sz="8" w:space="0" w:color="auto"/>
              <w:bottom w:val="nil"/>
            </w:tcBorders>
            <w:shd w:val="clear" w:color="auto" w:fill="auto"/>
            <w:noWrap/>
            <w:vAlign w:val="center"/>
            <w:hideMark/>
          </w:tcPr>
          <w:p w14:paraId="2B9DE77C" w14:textId="77777777" w:rsidR="006A5208" w:rsidRPr="001118B5" w:rsidRDefault="006A5208" w:rsidP="00E67116">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Contribuições de Intervenção no Domínio Econômico</w:t>
            </w:r>
          </w:p>
        </w:tc>
        <w:tc>
          <w:tcPr>
            <w:tcW w:w="835" w:type="dxa"/>
            <w:tcBorders>
              <w:top w:val="nil"/>
              <w:bottom w:val="nil"/>
              <w:right w:val="single" w:sz="8" w:space="0" w:color="auto"/>
            </w:tcBorders>
            <w:shd w:val="clear" w:color="auto" w:fill="auto"/>
            <w:noWrap/>
            <w:vAlign w:val="center"/>
          </w:tcPr>
          <w:p w14:paraId="63C63804" w14:textId="77777777" w:rsidR="006A5208" w:rsidRPr="001118B5" w:rsidRDefault="006A5208" w:rsidP="00E67116">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465FE598" w14:textId="77777777" w:rsidR="006A5208" w:rsidRPr="001118B5" w:rsidRDefault="006A5208"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DVP.D015</w:t>
            </w:r>
          </w:p>
        </w:tc>
        <w:tc>
          <w:tcPr>
            <w:tcW w:w="1134" w:type="dxa"/>
            <w:tcBorders>
              <w:top w:val="nil"/>
              <w:left w:val="nil"/>
              <w:bottom w:val="nil"/>
              <w:right w:val="single" w:sz="8" w:space="0" w:color="auto"/>
            </w:tcBorders>
            <w:shd w:val="clear" w:color="auto" w:fill="auto"/>
            <w:noWrap/>
            <w:vAlign w:val="center"/>
            <w:hideMark/>
          </w:tcPr>
          <w:p w14:paraId="67F7C086" w14:textId="77777777" w:rsidR="006A5208" w:rsidRPr="001118B5" w:rsidRDefault="006A5208"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DVP.E015</w:t>
            </w:r>
          </w:p>
        </w:tc>
        <w:tc>
          <w:tcPr>
            <w:tcW w:w="4346" w:type="dxa"/>
            <w:tcBorders>
              <w:top w:val="nil"/>
              <w:left w:val="nil"/>
              <w:bottom w:val="nil"/>
            </w:tcBorders>
            <w:shd w:val="clear" w:color="auto" w:fill="auto"/>
            <w:noWrap/>
            <w:vAlign w:val="center"/>
            <w:hideMark/>
          </w:tcPr>
          <w:p w14:paraId="26A1B963" w14:textId="77777777" w:rsidR="006A5208" w:rsidRPr="001118B5" w:rsidRDefault="006A5208" w:rsidP="00E67116">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Aposentadorias e Reformas</w:t>
            </w:r>
          </w:p>
        </w:tc>
        <w:tc>
          <w:tcPr>
            <w:tcW w:w="846" w:type="dxa"/>
            <w:tcBorders>
              <w:top w:val="nil"/>
              <w:bottom w:val="nil"/>
              <w:right w:val="single" w:sz="8" w:space="0" w:color="auto"/>
            </w:tcBorders>
            <w:shd w:val="clear" w:color="auto" w:fill="auto"/>
            <w:noWrap/>
            <w:vAlign w:val="center"/>
          </w:tcPr>
          <w:p w14:paraId="2551C33D" w14:textId="77777777" w:rsidR="006A5208" w:rsidRPr="001118B5" w:rsidRDefault="006A5208" w:rsidP="00E67116">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4CBBBE72" w14:textId="77777777" w:rsidR="006A5208" w:rsidRPr="001118B5" w:rsidRDefault="006A5208"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DVP.H015</w:t>
            </w:r>
          </w:p>
        </w:tc>
        <w:tc>
          <w:tcPr>
            <w:tcW w:w="1120" w:type="dxa"/>
            <w:tcBorders>
              <w:top w:val="nil"/>
              <w:left w:val="nil"/>
              <w:bottom w:val="nil"/>
              <w:right w:val="single" w:sz="8" w:space="0" w:color="auto"/>
            </w:tcBorders>
            <w:shd w:val="clear" w:color="auto" w:fill="auto"/>
            <w:noWrap/>
            <w:vAlign w:val="center"/>
            <w:hideMark/>
          </w:tcPr>
          <w:p w14:paraId="5985F999" w14:textId="77777777" w:rsidR="006A5208" w:rsidRPr="001118B5" w:rsidRDefault="006A5208"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DVP.I015</w:t>
            </w:r>
          </w:p>
        </w:tc>
      </w:tr>
      <w:tr w:rsidR="006A5208" w:rsidRPr="001118B5" w14:paraId="339BBFDB" w14:textId="77777777" w:rsidTr="00E67116">
        <w:trPr>
          <w:trHeight w:val="240"/>
        </w:trPr>
        <w:tc>
          <w:tcPr>
            <w:tcW w:w="4410" w:type="dxa"/>
            <w:tcBorders>
              <w:top w:val="nil"/>
              <w:left w:val="single" w:sz="8" w:space="0" w:color="auto"/>
              <w:bottom w:val="nil"/>
            </w:tcBorders>
            <w:shd w:val="clear" w:color="auto" w:fill="auto"/>
            <w:noWrap/>
            <w:vAlign w:val="center"/>
            <w:hideMark/>
          </w:tcPr>
          <w:p w14:paraId="42861791" w14:textId="77777777" w:rsidR="006A5208" w:rsidRPr="001118B5" w:rsidRDefault="006A5208" w:rsidP="00E67116">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Contribuição de Iluminação Pública</w:t>
            </w:r>
          </w:p>
        </w:tc>
        <w:tc>
          <w:tcPr>
            <w:tcW w:w="835" w:type="dxa"/>
            <w:tcBorders>
              <w:top w:val="nil"/>
              <w:bottom w:val="nil"/>
              <w:right w:val="single" w:sz="8" w:space="0" w:color="auto"/>
            </w:tcBorders>
            <w:shd w:val="clear" w:color="auto" w:fill="auto"/>
            <w:noWrap/>
            <w:vAlign w:val="center"/>
          </w:tcPr>
          <w:p w14:paraId="2D42F9A2" w14:textId="77777777" w:rsidR="006A5208" w:rsidRPr="001118B5" w:rsidRDefault="006A5208" w:rsidP="00E67116">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7D6F7B2A" w14:textId="77777777" w:rsidR="006A5208" w:rsidRPr="001118B5" w:rsidRDefault="006A5208"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DVP.D016</w:t>
            </w:r>
          </w:p>
        </w:tc>
        <w:tc>
          <w:tcPr>
            <w:tcW w:w="1134" w:type="dxa"/>
            <w:tcBorders>
              <w:top w:val="nil"/>
              <w:left w:val="nil"/>
              <w:bottom w:val="nil"/>
              <w:right w:val="single" w:sz="8" w:space="0" w:color="auto"/>
            </w:tcBorders>
            <w:shd w:val="clear" w:color="auto" w:fill="auto"/>
            <w:noWrap/>
            <w:vAlign w:val="center"/>
            <w:hideMark/>
          </w:tcPr>
          <w:p w14:paraId="38D4E6C1" w14:textId="77777777" w:rsidR="006A5208" w:rsidRPr="001118B5" w:rsidRDefault="006A5208"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DVP.E016</w:t>
            </w:r>
          </w:p>
        </w:tc>
        <w:tc>
          <w:tcPr>
            <w:tcW w:w="4346" w:type="dxa"/>
            <w:tcBorders>
              <w:top w:val="nil"/>
              <w:left w:val="nil"/>
              <w:bottom w:val="nil"/>
            </w:tcBorders>
            <w:shd w:val="clear" w:color="auto" w:fill="auto"/>
            <w:noWrap/>
            <w:vAlign w:val="center"/>
            <w:hideMark/>
          </w:tcPr>
          <w:p w14:paraId="5AA5548D" w14:textId="77777777" w:rsidR="006A5208" w:rsidRPr="001118B5" w:rsidRDefault="006A5208" w:rsidP="00E67116">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Pensões</w:t>
            </w:r>
          </w:p>
        </w:tc>
        <w:tc>
          <w:tcPr>
            <w:tcW w:w="846" w:type="dxa"/>
            <w:tcBorders>
              <w:top w:val="nil"/>
              <w:bottom w:val="nil"/>
              <w:right w:val="single" w:sz="8" w:space="0" w:color="auto"/>
            </w:tcBorders>
            <w:shd w:val="clear" w:color="auto" w:fill="auto"/>
            <w:noWrap/>
            <w:vAlign w:val="center"/>
          </w:tcPr>
          <w:p w14:paraId="13A98848" w14:textId="77777777" w:rsidR="006A5208" w:rsidRPr="001118B5" w:rsidRDefault="006A5208" w:rsidP="00E67116">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69DDEA93" w14:textId="77777777" w:rsidR="006A5208" w:rsidRPr="001118B5" w:rsidRDefault="006A5208"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DVP.H016</w:t>
            </w:r>
          </w:p>
        </w:tc>
        <w:tc>
          <w:tcPr>
            <w:tcW w:w="1120" w:type="dxa"/>
            <w:tcBorders>
              <w:top w:val="nil"/>
              <w:left w:val="nil"/>
              <w:bottom w:val="nil"/>
              <w:right w:val="single" w:sz="8" w:space="0" w:color="auto"/>
            </w:tcBorders>
            <w:shd w:val="clear" w:color="auto" w:fill="auto"/>
            <w:noWrap/>
            <w:vAlign w:val="center"/>
            <w:hideMark/>
          </w:tcPr>
          <w:p w14:paraId="017D00FE" w14:textId="77777777" w:rsidR="006A5208" w:rsidRPr="001118B5" w:rsidRDefault="006A5208"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DVP.I016</w:t>
            </w:r>
          </w:p>
        </w:tc>
      </w:tr>
      <w:tr w:rsidR="006A5208" w:rsidRPr="001118B5" w14:paraId="65138490" w14:textId="77777777" w:rsidTr="00E67116">
        <w:trPr>
          <w:trHeight w:val="240"/>
        </w:trPr>
        <w:tc>
          <w:tcPr>
            <w:tcW w:w="4410" w:type="dxa"/>
            <w:tcBorders>
              <w:top w:val="nil"/>
              <w:left w:val="single" w:sz="8" w:space="0" w:color="auto"/>
              <w:bottom w:val="nil"/>
            </w:tcBorders>
            <w:shd w:val="clear" w:color="auto" w:fill="auto"/>
            <w:noWrap/>
            <w:vAlign w:val="center"/>
            <w:hideMark/>
          </w:tcPr>
          <w:p w14:paraId="791BF525" w14:textId="77777777" w:rsidR="006A5208" w:rsidRPr="001118B5" w:rsidRDefault="006A5208" w:rsidP="00E67116">
            <w:pPr>
              <w:spacing w:after="0" w:line="240" w:lineRule="auto"/>
              <w:rPr>
                <w:rFonts w:ascii="Arial Narrow" w:eastAsia="Times New Roman" w:hAnsi="Arial Narrow" w:cs="Arial"/>
                <w:b/>
                <w:bCs/>
                <w:sz w:val="16"/>
                <w:szCs w:val="16"/>
                <w:u w:val="single"/>
                <w:lang w:eastAsia="pt-BR"/>
              </w:rPr>
            </w:pPr>
            <w:r w:rsidRPr="001118B5">
              <w:rPr>
                <w:rFonts w:ascii="Arial Narrow" w:eastAsia="Times New Roman" w:hAnsi="Arial Narrow" w:cs="Arial"/>
                <w:b/>
                <w:bCs/>
                <w:sz w:val="16"/>
                <w:szCs w:val="16"/>
                <w:u w:val="single"/>
                <w:lang w:eastAsia="pt-BR"/>
              </w:rPr>
              <w:t>Exploração e Venda de Bens, Serviços e Direitos</w:t>
            </w:r>
          </w:p>
        </w:tc>
        <w:tc>
          <w:tcPr>
            <w:tcW w:w="835" w:type="dxa"/>
            <w:tcBorders>
              <w:top w:val="nil"/>
              <w:bottom w:val="nil"/>
              <w:right w:val="single" w:sz="8" w:space="0" w:color="auto"/>
            </w:tcBorders>
            <w:shd w:val="clear" w:color="auto" w:fill="auto"/>
            <w:noWrap/>
            <w:vAlign w:val="center"/>
          </w:tcPr>
          <w:p w14:paraId="409887D0" w14:textId="77777777" w:rsidR="006A5208" w:rsidRPr="001118B5" w:rsidRDefault="006A5208" w:rsidP="00E67116">
            <w:pPr>
              <w:spacing w:after="0" w:line="240" w:lineRule="auto"/>
              <w:jc w:val="center"/>
              <w:rPr>
                <w:rFonts w:ascii="Arial Narrow" w:eastAsia="Times New Roman" w:hAnsi="Arial Narrow" w:cs="Arial"/>
                <w:b/>
                <w:bCs/>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369F0011" w14:textId="77777777" w:rsidR="006A5208" w:rsidRPr="001118B5" w:rsidRDefault="006A5208" w:rsidP="00E67116">
            <w:pPr>
              <w:spacing w:after="0" w:line="240" w:lineRule="auto"/>
              <w:jc w:val="center"/>
              <w:rPr>
                <w:rFonts w:ascii="Arial Narrow" w:eastAsia="Times New Roman" w:hAnsi="Arial Narrow" w:cs="Arial"/>
                <w:b/>
                <w:bCs/>
                <w:sz w:val="16"/>
                <w:szCs w:val="16"/>
                <w:lang w:eastAsia="pt-BR"/>
              </w:rPr>
            </w:pPr>
            <w:r w:rsidRPr="001118B5">
              <w:rPr>
                <w:rFonts w:ascii="Arial Narrow" w:eastAsia="Times New Roman" w:hAnsi="Arial Narrow" w:cs="Arial"/>
                <w:b/>
                <w:bCs/>
                <w:sz w:val="16"/>
                <w:szCs w:val="16"/>
                <w:lang w:eastAsia="pt-BR"/>
              </w:rPr>
              <w:t>DVP.D017</w:t>
            </w:r>
          </w:p>
        </w:tc>
        <w:tc>
          <w:tcPr>
            <w:tcW w:w="1134" w:type="dxa"/>
            <w:tcBorders>
              <w:top w:val="nil"/>
              <w:left w:val="nil"/>
              <w:bottom w:val="nil"/>
              <w:right w:val="single" w:sz="8" w:space="0" w:color="auto"/>
            </w:tcBorders>
            <w:shd w:val="clear" w:color="auto" w:fill="auto"/>
            <w:noWrap/>
            <w:vAlign w:val="center"/>
            <w:hideMark/>
          </w:tcPr>
          <w:p w14:paraId="0CD26D49" w14:textId="77777777" w:rsidR="006A5208" w:rsidRPr="001118B5" w:rsidRDefault="006A5208" w:rsidP="00E67116">
            <w:pPr>
              <w:spacing w:after="0" w:line="240" w:lineRule="auto"/>
              <w:jc w:val="center"/>
              <w:rPr>
                <w:rFonts w:ascii="Arial Narrow" w:eastAsia="Times New Roman" w:hAnsi="Arial Narrow" w:cs="Arial"/>
                <w:b/>
                <w:bCs/>
                <w:sz w:val="16"/>
                <w:szCs w:val="16"/>
                <w:lang w:eastAsia="pt-BR"/>
              </w:rPr>
            </w:pPr>
            <w:r w:rsidRPr="001118B5">
              <w:rPr>
                <w:rFonts w:ascii="Arial Narrow" w:eastAsia="Times New Roman" w:hAnsi="Arial Narrow" w:cs="Arial"/>
                <w:b/>
                <w:bCs/>
                <w:sz w:val="16"/>
                <w:szCs w:val="16"/>
                <w:lang w:eastAsia="pt-BR"/>
              </w:rPr>
              <w:t>DVP.E017</w:t>
            </w:r>
          </w:p>
        </w:tc>
        <w:tc>
          <w:tcPr>
            <w:tcW w:w="4346" w:type="dxa"/>
            <w:tcBorders>
              <w:top w:val="nil"/>
              <w:left w:val="nil"/>
              <w:bottom w:val="nil"/>
            </w:tcBorders>
            <w:shd w:val="clear" w:color="auto" w:fill="auto"/>
            <w:noWrap/>
            <w:vAlign w:val="center"/>
            <w:hideMark/>
          </w:tcPr>
          <w:p w14:paraId="7FB74C94" w14:textId="77777777" w:rsidR="006A5208" w:rsidRPr="001118B5" w:rsidRDefault="006A5208" w:rsidP="00E67116">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Benefícios de Prestação Continuada</w:t>
            </w:r>
          </w:p>
        </w:tc>
        <w:tc>
          <w:tcPr>
            <w:tcW w:w="846" w:type="dxa"/>
            <w:tcBorders>
              <w:top w:val="nil"/>
              <w:bottom w:val="nil"/>
              <w:right w:val="single" w:sz="8" w:space="0" w:color="auto"/>
            </w:tcBorders>
            <w:shd w:val="clear" w:color="auto" w:fill="auto"/>
            <w:noWrap/>
            <w:vAlign w:val="center"/>
          </w:tcPr>
          <w:p w14:paraId="3601B969" w14:textId="77777777" w:rsidR="006A5208" w:rsidRPr="001118B5" w:rsidRDefault="006A5208" w:rsidP="00E67116">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7B32BD7E" w14:textId="77777777" w:rsidR="006A5208" w:rsidRPr="001118B5" w:rsidRDefault="006A5208"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DVP.H017</w:t>
            </w:r>
          </w:p>
        </w:tc>
        <w:tc>
          <w:tcPr>
            <w:tcW w:w="1120" w:type="dxa"/>
            <w:tcBorders>
              <w:top w:val="nil"/>
              <w:left w:val="nil"/>
              <w:bottom w:val="nil"/>
              <w:right w:val="single" w:sz="8" w:space="0" w:color="auto"/>
            </w:tcBorders>
            <w:shd w:val="clear" w:color="auto" w:fill="auto"/>
            <w:noWrap/>
            <w:vAlign w:val="center"/>
            <w:hideMark/>
          </w:tcPr>
          <w:p w14:paraId="649C8E7F" w14:textId="77777777" w:rsidR="006A5208" w:rsidRPr="001118B5" w:rsidRDefault="006A5208"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DVP.I017</w:t>
            </w:r>
          </w:p>
        </w:tc>
      </w:tr>
      <w:tr w:rsidR="006A5208" w:rsidRPr="001118B5" w14:paraId="6D5889B0" w14:textId="77777777" w:rsidTr="00E67116">
        <w:trPr>
          <w:trHeight w:val="255"/>
        </w:trPr>
        <w:tc>
          <w:tcPr>
            <w:tcW w:w="4410" w:type="dxa"/>
            <w:tcBorders>
              <w:top w:val="nil"/>
              <w:left w:val="single" w:sz="8" w:space="0" w:color="auto"/>
              <w:bottom w:val="nil"/>
            </w:tcBorders>
            <w:shd w:val="clear" w:color="auto" w:fill="auto"/>
            <w:noWrap/>
            <w:vAlign w:val="center"/>
            <w:hideMark/>
          </w:tcPr>
          <w:p w14:paraId="38D16DC4" w14:textId="77777777" w:rsidR="006A5208" w:rsidRPr="001118B5" w:rsidRDefault="006A5208" w:rsidP="00E67116">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Vendas de Mercadorias</w:t>
            </w:r>
          </w:p>
        </w:tc>
        <w:tc>
          <w:tcPr>
            <w:tcW w:w="835" w:type="dxa"/>
            <w:tcBorders>
              <w:top w:val="nil"/>
              <w:bottom w:val="nil"/>
              <w:right w:val="single" w:sz="8" w:space="0" w:color="auto"/>
            </w:tcBorders>
            <w:shd w:val="clear" w:color="auto" w:fill="auto"/>
            <w:noWrap/>
            <w:vAlign w:val="center"/>
          </w:tcPr>
          <w:p w14:paraId="556CCFCB" w14:textId="77777777" w:rsidR="006A5208" w:rsidRPr="001118B5" w:rsidRDefault="006A5208" w:rsidP="00E67116">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4A6C858C" w14:textId="77777777" w:rsidR="006A5208" w:rsidRPr="001118B5" w:rsidRDefault="006A5208"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DVP.D018</w:t>
            </w:r>
          </w:p>
        </w:tc>
        <w:tc>
          <w:tcPr>
            <w:tcW w:w="1134" w:type="dxa"/>
            <w:tcBorders>
              <w:top w:val="nil"/>
              <w:left w:val="nil"/>
              <w:bottom w:val="nil"/>
              <w:right w:val="single" w:sz="8" w:space="0" w:color="auto"/>
            </w:tcBorders>
            <w:shd w:val="clear" w:color="auto" w:fill="auto"/>
            <w:noWrap/>
            <w:vAlign w:val="center"/>
            <w:hideMark/>
          </w:tcPr>
          <w:p w14:paraId="404C2DCA" w14:textId="77777777" w:rsidR="006A5208" w:rsidRPr="001118B5" w:rsidRDefault="006A5208"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DVP.E018</w:t>
            </w:r>
          </w:p>
        </w:tc>
        <w:tc>
          <w:tcPr>
            <w:tcW w:w="4346" w:type="dxa"/>
            <w:tcBorders>
              <w:top w:val="nil"/>
              <w:left w:val="nil"/>
              <w:bottom w:val="nil"/>
            </w:tcBorders>
            <w:shd w:val="clear" w:color="auto" w:fill="auto"/>
            <w:noWrap/>
            <w:vAlign w:val="center"/>
            <w:hideMark/>
          </w:tcPr>
          <w:p w14:paraId="458587BB" w14:textId="77777777" w:rsidR="006A5208" w:rsidRPr="001118B5" w:rsidRDefault="006A5208" w:rsidP="00E67116">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Benefícios Eventuais</w:t>
            </w:r>
          </w:p>
        </w:tc>
        <w:tc>
          <w:tcPr>
            <w:tcW w:w="846" w:type="dxa"/>
            <w:tcBorders>
              <w:top w:val="nil"/>
              <w:bottom w:val="nil"/>
              <w:right w:val="single" w:sz="8" w:space="0" w:color="auto"/>
            </w:tcBorders>
            <w:shd w:val="clear" w:color="auto" w:fill="auto"/>
            <w:noWrap/>
            <w:vAlign w:val="center"/>
          </w:tcPr>
          <w:p w14:paraId="2EB4F99C" w14:textId="77777777" w:rsidR="006A5208" w:rsidRPr="001118B5" w:rsidRDefault="006A5208" w:rsidP="00E67116">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6FD8A5FE" w14:textId="77777777" w:rsidR="006A5208" w:rsidRPr="001118B5" w:rsidRDefault="006A5208"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DVP.H018</w:t>
            </w:r>
          </w:p>
        </w:tc>
        <w:tc>
          <w:tcPr>
            <w:tcW w:w="1120" w:type="dxa"/>
            <w:tcBorders>
              <w:top w:val="nil"/>
              <w:left w:val="nil"/>
              <w:bottom w:val="nil"/>
              <w:right w:val="single" w:sz="8" w:space="0" w:color="auto"/>
            </w:tcBorders>
            <w:shd w:val="clear" w:color="auto" w:fill="auto"/>
            <w:noWrap/>
            <w:vAlign w:val="center"/>
            <w:hideMark/>
          </w:tcPr>
          <w:p w14:paraId="6564F6AF" w14:textId="77777777" w:rsidR="006A5208" w:rsidRPr="001118B5" w:rsidRDefault="006A5208"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DVP.I018</w:t>
            </w:r>
          </w:p>
        </w:tc>
      </w:tr>
      <w:tr w:rsidR="006A5208" w:rsidRPr="001118B5" w14:paraId="12186957" w14:textId="77777777" w:rsidTr="00E67116">
        <w:trPr>
          <w:trHeight w:val="240"/>
        </w:trPr>
        <w:tc>
          <w:tcPr>
            <w:tcW w:w="4410" w:type="dxa"/>
            <w:tcBorders>
              <w:top w:val="nil"/>
              <w:left w:val="single" w:sz="8" w:space="0" w:color="auto"/>
              <w:bottom w:val="nil"/>
            </w:tcBorders>
            <w:shd w:val="clear" w:color="auto" w:fill="auto"/>
            <w:noWrap/>
            <w:vAlign w:val="center"/>
            <w:hideMark/>
          </w:tcPr>
          <w:p w14:paraId="78A71746" w14:textId="77777777" w:rsidR="006A5208" w:rsidRPr="001118B5" w:rsidRDefault="006A5208" w:rsidP="00E67116">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Vendas de Produtos</w:t>
            </w:r>
          </w:p>
        </w:tc>
        <w:tc>
          <w:tcPr>
            <w:tcW w:w="835" w:type="dxa"/>
            <w:tcBorders>
              <w:top w:val="nil"/>
              <w:bottom w:val="nil"/>
              <w:right w:val="single" w:sz="8" w:space="0" w:color="auto"/>
            </w:tcBorders>
            <w:shd w:val="clear" w:color="auto" w:fill="auto"/>
            <w:noWrap/>
            <w:vAlign w:val="center"/>
          </w:tcPr>
          <w:p w14:paraId="3D34DFD3" w14:textId="77777777" w:rsidR="006A5208" w:rsidRPr="001118B5" w:rsidRDefault="006A5208" w:rsidP="00E67116">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307B842F" w14:textId="77777777" w:rsidR="006A5208" w:rsidRPr="001118B5" w:rsidRDefault="006A5208"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DVP.D019</w:t>
            </w:r>
          </w:p>
        </w:tc>
        <w:tc>
          <w:tcPr>
            <w:tcW w:w="1134" w:type="dxa"/>
            <w:tcBorders>
              <w:top w:val="nil"/>
              <w:left w:val="nil"/>
              <w:bottom w:val="nil"/>
              <w:right w:val="single" w:sz="8" w:space="0" w:color="auto"/>
            </w:tcBorders>
            <w:shd w:val="clear" w:color="auto" w:fill="auto"/>
            <w:noWrap/>
            <w:vAlign w:val="center"/>
            <w:hideMark/>
          </w:tcPr>
          <w:p w14:paraId="0D8AD372" w14:textId="77777777" w:rsidR="006A5208" w:rsidRPr="001118B5" w:rsidRDefault="006A5208"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DVP.E019</w:t>
            </w:r>
          </w:p>
        </w:tc>
        <w:tc>
          <w:tcPr>
            <w:tcW w:w="4346" w:type="dxa"/>
            <w:tcBorders>
              <w:top w:val="nil"/>
              <w:left w:val="nil"/>
              <w:bottom w:val="nil"/>
            </w:tcBorders>
            <w:shd w:val="clear" w:color="auto" w:fill="auto"/>
            <w:noWrap/>
            <w:vAlign w:val="center"/>
            <w:hideMark/>
          </w:tcPr>
          <w:p w14:paraId="21DE841F" w14:textId="77777777" w:rsidR="006A5208" w:rsidRPr="001118B5" w:rsidRDefault="006A5208" w:rsidP="00E67116">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Políticas Públicas de Transferência de Renda</w:t>
            </w:r>
          </w:p>
        </w:tc>
        <w:tc>
          <w:tcPr>
            <w:tcW w:w="846" w:type="dxa"/>
            <w:tcBorders>
              <w:top w:val="nil"/>
              <w:bottom w:val="nil"/>
              <w:right w:val="single" w:sz="8" w:space="0" w:color="auto"/>
            </w:tcBorders>
            <w:shd w:val="clear" w:color="auto" w:fill="auto"/>
            <w:noWrap/>
            <w:vAlign w:val="center"/>
          </w:tcPr>
          <w:p w14:paraId="707F6C94" w14:textId="77777777" w:rsidR="006A5208" w:rsidRPr="001118B5" w:rsidRDefault="006A5208" w:rsidP="00E67116">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6375695E" w14:textId="77777777" w:rsidR="006A5208" w:rsidRPr="001118B5" w:rsidRDefault="006A5208"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DVP.H019</w:t>
            </w:r>
          </w:p>
        </w:tc>
        <w:tc>
          <w:tcPr>
            <w:tcW w:w="1120" w:type="dxa"/>
            <w:tcBorders>
              <w:top w:val="nil"/>
              <w:left w:val="nil"/>
              <w:bottom w:val="nil"/>
              <w:right w:val="single" w:sz="8" w:space="0" w:color="auto"/>
            </w:tcBorders>
            <w:shd w:val="clear" w:color="auto" w:fill="auto"/>
            <w:noWrap/>
            <w:vAlign w:val="center"/>
            <w:hideMark/>
          </w:tcPr>
          <w:p w14:paraId="2A5821E0" w14:textId="77777777" w:rsidR="006A5208" w:rsidRPr="001118B5" w:rsidRDefault="006A5208"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DVP.I019</w:t>
            </w:r>
          </w:p>
        </w:tc>
      </w:tr>
      <w:tr w:rsidR="006A5208" w:rsidRPr="001118B5" w14:paraId="0BAC6946" w14:textId="77777777" w:rsidTr="00E67116">
        <w:trPr>
          <w:trHeight w:val="240"/>
        </w:trPr>
        <w:tc>
          <w:tcPr>
            <w:tcW w:w="4410" w:type="dxa"/>
            <w:tcBorders>
              <w:top w:val="nil"/>
              <w:left w:val="single" w:sz="8" w:space="0" w:color="auto"/>
              <w:bottom w:val="nil"/>
            </w:tcBorders>
            <w:shd w:val="clear" w:color="auto" w:fill="auto"/>
            <w:noWrap/>
            <w:vAlign w:val="center"/>
            <w:hideMark/>
          </w:tcPr>
          <w:p w14:paraId="4D8DF5B6" w14:textId="77777777" w:rsidR="006A5208" w:rsidRPr="001118B5" w:rsidRDefault="006A5208" w:rsidP="00E67116">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Exploração de Bens, Direitos e Prestação de Serviços</w:t>
            </w:r>
          </w:p>
        </w:tc>
        <w:tc>
          <w:tcPr>
            <w:tcW w:w="835" w:type="dxa"/>
            <w:tcBorders>
              <w:top w:val="nil"/>
              <w:bottom w:val="nil"/>
              <w:right w:val="single" w:sz="8" w:space="0" w:color="auto"/>
            </w:tcBorders>
            <w:shd w:val="clear" w:color="auto" w:fill="auto"/>
            <w:noWrap/>
            <w:vAlign w:val="center"/>
          </w:tcPr>
          <w:p w14:paraId="5A182F6B" w14:textId="77777777" w:rsidR="006A5208" w:rsidRPr="001118B5" w:rsidRDefault="006A5208" w:rsidP="00E67116">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6CDFEFB7" w14:textId="77777777" w:rsidR="006A5208" w:rsidRPr="001118B5" w:rsidRDefault="006A5208"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DVP.D020</w:t>
            </w:r>
          </w:p>
        </w:tc>
        <w:tc>
          <w:tcPr>
            <w:tcW w:w="1134" w:type="dxa"/>
            <w:tcBorders>
              <w:top w:val="nil"/>
              <w:left w:val="nil"/>
              <w:bottom w:val="nil"/>
              <w:right w:val="single" w:sz="8" w:space="0" w:color="auto"/>
            </w:tcBorders>
            <w:shd w:val="clear" w:color="auto" w:fill="auto"/>
            <w:noWrap/>
            <w:vAlign w:val="center"/>
            <w:hideMark/>
          </w:tcPr>
          <w:p w14:paraId="65FC2322" w14:textId="77777777" w:rsidR="006A5208" w:rsidRPr="001118B5" w:rsidRDefault="006A5208"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DVP.E020</w:t>
            </w:r>
          </w:p>
        </w:tc>
        <w:tc>
          <w:tcPr>
            <w:tcW w:w="4346" w:type="dxa"/>
            <w:tcBorders>
              <w:top w:val="nil"/>
              <w:left w:val="nil"/>
              <w:bottom w:val="nil"/>
            </w:tcBorders>
            <w:shd w:val="clear" w:color="auto" w:fill="auto"/>
            <w:noWrap/>
            <w:vAlign w:val="center"/>
            <w:hideMark/>
          </w:tcPr>
          <w:p w14:paraId="14DCBFAC" w14:textId="77777777" w:rsidR="006A5208" w:rsidRPr="001118B5" w:rsidRDefault="006A5208" w:rsidP="00E67116">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Outros Benefícios Previdenciários e Assistenciais</w:t>
            </w:r>
          </w:p>
        </w:tc>
        <w:tc>
          <w:tcPr>
            <w:tcW w:w="846" w:type="dxa"/>
            <w:tcBorders>
              <w:top w:val="nil"/>
              <w:bottom w:val="nil"/>
              <w:right w:val="single" w:sz="8" w:space="0" w:color="auto"/>
            </w:tcBorders>
            <w:shd w:val="clear" w:color="auto" w:fill="auto"/>
            <w:noWrap/>
            <w:vAlign w:val="center"/>
          </w:tcPr>
          <w:p w14:paraId="73B1E7AC" w14:textId="77777777" w:rsidR="006A5208" w:rsidRPr="001118B5" w:rsidRDefault="006A5208" w:rsidP="00E67116">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0B11A88D" w14:textId="77777777" w:rsidR="006A5208" w:rsidRPr="001118B5" w:rsidRDefault="006A5208"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DVP.H020</w:t>
            </w:r>
          </w:p>
        </w:tc>
        <w:tc>
          <w:tcPr>
            <w:tcW w:w="1120" w:type="dxa"/>
            <w:tcBorders>
              <w:top w:val="nil"/>
              <w:left w:val="nil"/>
              <w:bottom w:val="nil"/>
              <w:right w:val="single" w:sz="8" w:space="0" w:color="auto"/>
            </w:tcBorders>
            <w:shd w:val="clear" w:color="auto" w:fill="auto"/>
            <w:noWrap/>
            <w:vAlign w:val="center"/>
            <w:hideMark/>
          </w:tcPr>
          <w:p w14:paraId="3F7BCE76" w14:textId="77777777" w:rsidR="006A5208" w:rsidRPr="001118B5" w:rsidRDefault="006A5208"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DVP.I020</w:t>
            </w:r>
          </w:p>
        </w:tc>
      </w:tr>
      <w:tr w:rsidR="006A5208" w:rsidRPr="001118B5" w14:paraId="56442A65" w14:textId="77777777" w:rsidTr="00E67116">
        <w:trPr>
          <w:trHeight w:val="240"/>
        </w:trPr>
        <w:tc>
          <w:tcPr>
            <w:tcW w:w="4410" w:type="dxa"/>
            <w:tcBorders>
              <w:top w:val="nil"/>
              <w:left w:val="single" w:sz="8" w:space="0" w:color="auto"/>
              <w:bottom w:val="nil"/>
            </w:tcBorders>
            <w:shd w:val="clear" w:color="auto" w:fill="auto"/>
            <w:noWrap/>
            <w:vAlign w:val="center"/>
            <w:hideMark/>
          </w:tcPr>
          <w:p w14:paraId="704F6530" w14:textId="77777777" w:rsidR="006A5208" w:rsidRPr="001118B5" w:rsidRDefault="006A5208" w:rsidP="00E67116">
            <w:pPr>
              <w:spacing w:after="0" w:line="240" w:lineRule="auto"/>
              <w:rPr>
                <w:rFonts w:ascii="Arial Narrow" w:eastAsia="Times New Roman" w:hAnsi="Arial Narrow" w:cs="Arial"/>
                <w:b/>
                <w:bCs/>
                <w:sz w:val="16"/>
                <w:szCs w:val="16"/>
                <w:u w:val="single"/>
                <w:lang w:eastAsia="pt-BR"/>
              </w:rPr>
            </w:pPr>
            <w:r w:rsidRPr="001118B5">
              <w:rPr>
                <w:rFonts w:ascii="Arial Narrow" w:eastAsia="Times New Roman" w:hAnsi="Arial Narrow" w:cs="Arial"/>
                <w:b/>
                <w:bCs/>
                <w:sz w:val="16"/>
                <w:szCs w:val="16"/>
                <w:u w:val="single"/>
                <w:lang w:eastAsia="pt-BR"/>
              </w:rPr>
              <w:t>Variações Patrimoniais Aumentativas Financeiras</w:t>
            </w:r>
          </w:p>
        </w:tc>
        <w:tc>
          <w:tcPr>
            <w:tcW w:w="835" w:type="dxa"/>
            <w:tcBorders>
              <w:top w:val="nil"/>
              <w:bottom w:val="nil"/>
              <w:right w:val="single" w:sz="8" w:space="0" w:color="auto"/>
            </w:tcBorders>
            <w:shd w:val="clear" w:color="auto" w:fill="auto"/>
            <w:noWrap/>
            <w:vAlign w:val="center"/>
          </w:tcPr>
          <w:p w14:paraId="30E9DC92" w14:textId="77777777" w:rsidR="006A5208" w:rsidRPr="001118B5" w:rsidRDefault="006A5208" w:rsidP="00E67116">
            <w:pPr>
              <w:spacing w:after="0" w:line="240" w:lineRule="auto"/>
              <w:jc w:val="center"/>
              <w:rPr>
                <w:rFonts w:ascii="Arial Narrow" w:eastAsia="Times New Roman" w:hAnsi="Arial Narrow" w:cs="Arial"/>
                <w:b/>
                <w:bCs/>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16BFA9E1" w14:textId="77777777" w:rsidR="006A5208" w:rsidRPr="001118B5" w:rsidRDefault="006A5208" w:rsidP="00E67116">
            <w:pPr>
              <w:spacing w:after="0" w:line="240" w:lineRule="auto"/>
              <w:jc w:val="center"/>
              <w:rPr>
                <w:rFonts w:ascii="Arial Narrow" w:eastAsia="Times New Roman" w:hAnsi="Arial Narrow" w:cs="Arial"/>
                <w:b/>
                <w:bCs/>
                <w:sz w:val="16"/>
                <w:szCs w:val="16"/>
                <w:lang w:eastAsia="pt-BR"/>
              </w:rPr>
            </w:pPr>
            <w:r w:rsidRPr="001118B5">
              <w:rPr>
                <w:rFonts w:ascii="Arial Narrow" w:eastAsia="Times New Roman" w:hAnsi="Arial Narrow" w:cs="Arial"/>
                <w:b/>
                <w:bCs/>
                <w:sz w:val="16"/>
                <w:szCs w:val="16"/>
                <w:lang w:eastAsia="pt-BR"/>
              </w:rPr>
              <w:t>DVP.D021</w:t>
            </w:r>
          </w:p>
        </w:tc>
        <w:tc>
          <w:tcPr>
            <w:tcW w:w="1134" w:type="dxa"/>
            <w:tcBorders>
              <w:top w:val="nil"/>
              <w:left w:val="nil"/>
              <w:bottom w:val="nil"/>
              <w:right w:val="single" w:sz="8" w:space="0" w:color="auto"/>
            </w:tcBorders>
            <w:shd w:val="clear" w:color="auto" w:fill="auto"/>
            <w:noWrap/>
            <w:vAlign w:val="center"/>
            <w:hideMark/>
          </w:tcPr>
          <w:p w14:paraId="51E4D23C" w14:textId="77777777" w:rsidR="006A5208" w:rsidRPr="001118B5" w:rsidRDefault="006A5208" w:rsidP="00E67116">
            <w:pPr>
              <w:spacing w:after="0" w:line="240" w:lineRule="auto"/>
              <w:jc w:val="center"/>
              <w:rPr>
                <w:rFonts w:ascii="Arial Narrow" w:eastAsia="Times New Roman" w:hAnsi="Arial Narrow" w:cs="Arial"/>
                <w:b/>
                <w:bCs/>
                <w:sz w:val="16"/>
                <w:szCs w:val="16"/>
                <w:lang w:eastAsia="pt-BR"/>
              </w:rPr>
            </w:pPr>
            <w:r w:rsidRPr="001118B5">
              <w:rPr>
                <w:rFonts w:ascii="Arial Narrow" w:eastAsia="Times New Roman" w:hAnsi="Arial Narrow" w:cs="Arial"/>
                <w:b/>
                <w:bCs/>
                <w:sz w:val="16"/>
                <w:szCs w:val="16"/>
                <w:lang w:eastAsia="pt-BR"/>
              </w:rPr>
              <w:t>DVP.E021</w:t>
            </w:r>
          </w:p>
        </w:tc>
        <w:tc>
          <w:tcPr>
            <w:tcW w:w="4346" w:type="dxa"/>
            <w:tcBorders>
              <w:top w:val="nil"/>
              <w:left w:val="nil"/>
              <w:bottom w:val="nil"/>
            </w:tcBorders>
            <w:shd w:val="clear" w:color="auto" w:fill="auto"/>
            <w:noWrap/>
            <w:vAlign w:val="center"/>
            <w:hideMark/>
          </w:tcPr>
          <w:p w14:paraId="52623C29" w14:textId="77777777" w:rsidR="006A5208" w:rsidRPr="001118B5" w:rsidRDefault="006A5208" w:rsidP="00E67116">
            <w:pPr>
              <w:spacing w:after="0" w:line="240" w:lineRule="auto"/>
              <w:rPr>
                <w:rFonts w:ascii="Arial Narrow" w:eastAsia="Times New Roman" w:hAnsi="Arial Narrow" w:cs="Arial"/>
                <w:b/>
                <w:bCs/>
                <w:sz w:val="16"/>
                <w:szCs w:val="16"/>
                <w:u w:val="single"/>
                <w:lang w:eastAsia="pt-BR"/>
              </w:rPr>
            </w:pPr>
            <w:r w:rsidRPr="001118B5">
              <w:rPr>
                <w:rFonts w:ascii="Arial Narrow" w:eastAsia="Times New Roman" w:hAnsi="Arial Narrow" w:cs="Arial"/>
                <w:b/>
                <w:bCs/>
                <w:sz w:val="16"/>
                <w:szCs w:val="16"/>
                <w:u w:val="single"/>
                <w:lang w:eastAsia="pt-BR"/>
              </w:rPr>
              <w:t>Uso de Bens, Serviços e Consumo de Capital Fixo</w:t>
            </w:r>
          </w:p>
        </w:tc>
        <w:tc>
          <w:tcPr>
            <w:tcW w:w="846" w:type="dxa"/>
            <w:tcBorders>
              <w:top w:val="nil"/>
              <w:bottom w:val="nil"/>
              <w:right w:val="single" w:sz="8" w:space="0" w:color="auto"/>
            </w:tcBorders>
            <w:shd w:val="clear" w:color="auto" w:fill="auto"/>
            <w:noWrap/>
            <w:vAlign w:val="center"/>
          </w:tcPr>
          <w:p w14:paraId="1DAACE1C" w14:textId="77777777" w:rsidR="006A5208" w:rsidRPr="001118B5" w:rsidRDefault="006A5208" w:rsidP="00E67116">
            <w:pPr>
              <w:spacing w:after="0" w:line="240" w:lineRule="auto"/>
              <w:jc w:val="center"/>
              <w:rPr>
                <w:rFonts w:ascii="Arial Narrow" w:eastAsia="Times New Roman" w:hAnsi="Arial Narrow" w:cs="Arial"/>
                <w:b/>
                <w:bCs/>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3CB1BA26" w14:textId="77777777" w:rsidR="006A5208" w:rsidRPr="001118B5" w:rsidRDefault="006A5208" w:rsidP="00E67116">
            <w:pPr>
              <w:spacing w:after="0" w:line="240" w:lineRule="auto"/>
              <w:jc w:val="center"/>
              <w:rPr>
                <w:rFonts w:ascii="Arial Narrow" w:eastAsia="Times New Roman" w:hAnsi="Arial Narrow" w:cs="Arial"/>
                <w:b/>
                <w:bCs/>
                <w:sz w:val="16"/>
                <w:szCs w:val="16"/>
                <w:lang w:eastAsia="pt-BR"/>
              </w:rPr>
            </w:pPr>
            <w:r w:rsidRPr="001118B5">
              <w:rPr>
                <w:rFonts w:ascii="Arial Narrow" w:eastAsia="Times New Roman" w:hAnsi="Arial Narrow" w:cs="Arial"/>
                <w:b/>
                <w:bCs/>
                <w:sz w:val="16"/>
                <w:szCs w:val="16"/>
                <w:lang w:eastAsia="pt-BR"/>
              </w:rPr>
              <w:t>DVP.H021</w:t>
            </w:r>
          </w:p>
        </w:tc>
        <w:tc>
          <w:tcPr>
            <w:tcW w:w="1120" w:type="dxa"/>
            <w:tcBorders>
              <w:top w:val="nil"/>
              <w:left w:val="nil"/>
              <w:bottom w:val="nil"/>
              <w:right w:val="single" w:sz="8" w:space="0" w:color="auto"/>
            </w:tcBorders>
            <w:shd w:val="clear" w:color="auto" w:fill="auto"/>
            <w:noWrap/>
            <w:vAlign w:val="center"/>
            <w:hideMark/>
          </w:tcPr>
          <w:p w14:paraId="093F2391" w14:textId="77777777" w:rsidR="006A5208" w:rsidRPr="001118B5" w:rsidRDefault="006A5208" w:rsidP="00E67116">
            <w:pPr>
              <w:spacing w:after="0" w:line="240" w:lineRule="auto"/>
              <w:jc w:val="center"/>
              <w:rPr>
                <w:rFonts w:ascii="Arial Narrow" w:eastAsia="Times New Roman" w:hAnsi="Arial Narrow" w:cs="Arial"/>
                <w:b/>
                <w:bCs/>
                <w:sz w:val="16"/>
                <w:szCs w:val="16"/>
                <w:lang w:eastAsia="pt-BR"/>
              </w:rPr>
            </w:pPr>
            <w:r w:rsidRPr="001118B5">
              <w:rPr>
                <w:rFonts w:ascii="Arial Narrow" w:eastAsia="Times New Roman" w:hAnsi="Arial Narrow" w:cs="Arial"/>
                <w:b/>
                <w:bCs/>
                <w:sz w:val="16"/>
                <w:szCs w:val="16"/>
                <w:lang w:eastAsia="pt-BR"/>
              </w:rPr>
              <w:t>DVP.I021</w:t>
            </w:r>
          </w:p>
        </w:tc>
      </w:tr>
      <w:tr w:rsidR="006A5208" w:rsidRPr="001118B5" w14:paraId="295CE746" w14:textId="77777777" w:rsidTr="00E67116">
        <w:trPr>
          <w:trHeight w:val="240"/>
        </w:trPr>
        <w:tc>
          <w:tcPr>
            <w:tcW w:w="4410" w:type="dxa"/>
            <w:tcBorders>
              <w:top w:val="nil"/>
              <w:left w:val="single" w:sz="8" w:space="0" w:color="auto"/>
              <w:bottom w:val="nil"/>
            </w:tcBorders>
            <w:shd w:val="clear" w:color="auto" w:fill="auto"/>
            <w:noWrap/>
            <w:vAlign w:val="center"/>
            <w:hideMark/>
          </w:tcPr>
          <w:p w14:paraId="101B51CA" w14:textId="77777777" w:rsidR="006A5208" w:rsidRPr="001118B5" w:rsidRDefault="006A5208" w:rsidP="00E67116">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Juros e Encargos de Empréstimos e Financiamentos Concedidos</w:t>
            </w:r>
          </w:p>
        </w:tc>
        <w:tc>
          <w:tcPr>
            <w:tcW w:w="835" w:type="dxa"/>
            <w:tcBorders>
              <w:top w:val="nil"/>
              <w:bottom w:val="nil"/>
              <w:right w:val="single" w:sz="8" w:space="0" w:color="auto"/>
            </w:tcBorders>
            <w:shd w:val="clear" w:color="auto" w:fill="auto"/>
            <w:noWrap/>
            <w:vAlign w:val="center"/>
          </w:tcPr>
          <w:p w14:paraId="031D77D8" w14:textId="77777777" w:rsidR="006A5208" w:rsidRPr="001118B5" w:rsidRDefault="006A5208" w:rsidP="00E67116">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1C8B5B8F" w14:textId="77777777" w:rsidR="006A5208" w:rsidRPr="001118B5" w:rsidRDefault="006A5208"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DVP.D022</w:t>
            </w:r>
          </w:p>
        </w:tc>
        <w:tc>
          <w:tcPr>
            <w:tcW w:w="1134" w:type="dxa"/>
            <w:tcBorders>
              <w:top w:val="nil"/>
              <w:left w:val="nil"/>
              <w:bottom w:val="nil"/>
              <w:right w:val="single" w:sz="8" w:space="0" w:color="auto"/>
            </w:tcBorders>
            <w:shd w:val="clear" w:color="auto" w:fill="auto"/>
            <w:noWrap/>
            <w:vAlign w:val="center"/>
            <w:hideMark/>
          </w:tcPr>
          <w:p w14:paraId="2944385F" w14:textId="77777777" w:rsidR="006A5208" w:rsidRPr="001118B5" w:rsidRDefault="006A5208"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DVP.E022</w:t>
            </w:r>
          </w:p>
        </w:tc>
        <w:tc>
          <w:tcPr>
            <w:tcW w:w="4346" w:type="dxa"/>
            <w:tcBorders>
              <w:top w:val="nil"/>
              <w:left w:val="nil"/>
              <w:bottom w:val="nil"/>
            </w:tcBorders>
            <w:shd w:val="clear" w:color="auto" w:fill="auto"/>
            <w:noWrap/>
            <w:vAlign w:val="center"/>
            <w:hideMark/>
          </w:tcPr>
          <w:p w14:paraId="39336091" w14:textId="77777777" w:rsidR="006A5208" w:rsidRPr="001118B5" w:rsidRDefault="006A5208" w:rsidP="00E67116">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Uso de Material de Consumo</w:t>
            </w:r>
          </w:p>
        </w:tc>
        <w:tc>
          <w:tcPr>
            <w:tcW w:w="846" w:type="dxa"/>
            <w:tcBorders>
              <w:top w:val="nil"/>
              <w:bottom w:val="nil"/>
              <w:right w:val="single" w:sz="8" w:space="0" w:color="auto"/>
            </w:tcBorders>
            <w:shd w:val="clear" w:color="auto" w:fill="auto"/>
            <w:noWrap/>
            <w:vAlign w:val="center"/>
          </w:tcPr>
          <w:p w14:paraId="030C5C2B" w14:textId="77777777" w:rsidR="006A5208" w:rsidRPr="001118B5" w:rsidRDefault="006A5208" w:rsidP="00E67116">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0C3887A9" w14:textId="77777777" w:rsidR="006A5208" w:rsidRPr="001118B5" w:rsidRDefault="006A5208"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DVP.H022</w:t>
            </w:r>
          </w:p>
        </w:tc>
        <w:tc>
          <w:tcPr>
            <w:tcW w:w="1120" w:type="dxa"/>
            <w:tcBorders>
              <w:top w:val="nil"/>
              <w:left w:val="nil"/>
              <w:bottom w:val="nil"/>
              <w:right w:val="single" w:sz="8" w:space="0" w:color="auto"/>
            </w:tcBorders>
            <w:shd w:val="clear" w:color="auto" w:fill="auto"/>
            <w:noWrap/>
            <w:vAlign w:val="center"/>
            <w:hideMark/>
          </w:tcPr>
          <w:p w14:paraId="6FB90E0C" w14:textId="77777777" w:rsidR="006A5208" w:rsidRPr="001118B5" w:rsidRDefault="006A5208"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DVP.I022</w:t>
            </w:r>
          </w:p>
        </w:tc>
      </w:tr>
      <w:tr w:rsidR="006A5208" w:rsidRPr="001118B5" w14:paraId="5B8AC31C" w14:textId="77777777" w:rsidTr="00E67116">
        <w:trPr>
          <w:trHeight w:val="240"/>
        </w:trPr>
        <w:tc>
          <w:tcPr>
            <w:tcW w:w="4410" w:type="dxa"/>
            <w:tcBorders>
              <w:top w:val="nil"/>
              <w:left w:val="single" w:sz="8" w:space="0" w:color="auto"/>
              <w:bottom w:val="nil"/>
            </w:tcBorders>
            <w:shd w:val="clear" w:color="auto" w:fill="auto"/>
            <w:noWrap/>
            <w:vAlign w:val="center"/>
            <w:hideMark/>
          </w:tcPr>
          <w:p w14:paraId="6C213BF9" w14:textId="77777777" w:rsidR="006A5208" w:rsidRPr="001118B5" w:rsidRDefault="006A5208" w:rsidP="00E67116">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Juros e Encargos de Mora</w:t>
            </w:r>
          </w:p>
        </w:tc>
        <w:tc>
          <w:tcPr>
            <w:tcW w:w="835" w:type="dxa"/>
            <w:tcBorders>
              <w:top w:val="nil"/>
              <w:bottom w:val="nil"/>
              <w:right w:val="single" w:sz="8" w:space="0" w:color="auto"/>
            </w:tcBorders>
            <w:shd w:val="clear" w:color="auto" w:fill="auto"/>
            <w:noWrap/>
            <w:vAlign w:val="center"/>
          </w:tcPr>
          <w:p w14:paraId="5206AD9A" w14:textId="77777777" w:rsidR="006A5208" w:rsidRPr="001118B5" w:rsidRDefault="006A5208" w:rsidP="00E67116">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653EC762" w14:textId="77777777" w:rsidR="006A5208" w:rsidRPr="001118B5" w:rsidRDefault="006A5208"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DVP.D023</w:t>
            </w:r>
          </w:p>
        </w:tc>
        <w:tc>
          <w:tcPr>
            <w:tcW w:w="1134" w:type="dxa"/>
            <w:tcBorders>
              <w:top w:val="nil"/>
              <w:left w:val="nil"/>
              <w:bottom w:val="nil"/>
              <w:right w:val="single" w:sz="8" w:space="0" w:color="auto"/>
            </w:tcBorders>
            <w:shd w:val="clear" w:color="auto" w:fill="auto"/>
            <w:noWrap/>
            <w:vAlign w:val="center"/>
            <w:hideMark/>
          </w:tcPr>
          <w:p w14:paraId="3473DDA8" w14:textId="77777777" w:rsidR="006A5208" w:rsidRPr="001118B5" w:rsidRDefault="006A5208"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DVP.E023</w:t>
            </w:r>
          </w:p>
        </w:tc>
        <w:tc>
          <w:tcPr>
            <w:tcW w:w="4346" w:type="dxa"/>
            <w:tcBorders>
              <w:top w:val="nil"/>
              <w:left w:val="nil"/>
              <w:bottom w:val="nil"/>
            </w:tcBorders>
            <w:shd w:val="clear" w:color="auto" w:fill="auto"/>
            <w:noWrap/>
            <w:vAlign w:val="center"/>
            <w:hideMark/>
          </w:tcPr>
          <w:p w14:paraId="5C0B54D0" w14:textId="77777777" w:rsidR="006A5208" w:rsidRPr="001118B5" w:rsidRDefault="006A5208" w:rsidP="00E67116">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Serviços</w:t>
            </w:r>
          </w:p>
        </w:tc>
        <w:tc>
          <w:tcPr>
            <w:tcW w:w="846" w:type="dxa"/>
            <w:tcBorders>
              <w:top w:val="nil"/>
              <w:bottom w:val="nil"/>
              <w:right w:val="single" w:sz="8" w:space="0" w:color="auto"/>
            </w:tcBorders>
            <w:shd w:val="clear" w:color="auto" w:fill="auto"/>
            <w:noWrap/>
            <w:vAlign w:val="center"/>
          </w:tcPr>
          <w:p w14:paraId="39C1A726" w14:textId="77777777" w:rsidR="006A5208" w:rsidRPr="001118B5" w:rsidRDefault="006A5208" w:rsidP="00E67116">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553632BF" w14:textId="77777777" w:rsidR="006A5208" w:rsidRPr="001118B5" w:rsidRDefault="006A5208"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DVP.H023</w:t>
            </w:r>
          </w:p>
        </w:tc>
        <w:tc>
          <w:tcPr>
            <w:tcW w:w="1120" w:type="dxa"/>
            <w:tcBorders>
              <w:top w:val="nil"/>
              <w:left w:val="nil"/>
              <w:bottom w:val="nil"/>
              <w:right w:val="single" w:sz="8" w:space="0" w:color="auto"/>
            </w:tcBorders>
            <w:shd w:val="clear" w:color="auto" w:fill="auto"/>
            <w:noWrap/>
            <w:vAlign w:val="center"/>
            <w:hideMark/>
          </w:tcPr>
          <w:p w14:paraId="1B45B057" w14:textId="77777777" w:rsidR="006A5208" w:rsidRPr="001118B5" w:rsidRDefault="006A5208"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DVP.I023</w:t>
            </w:r>
          </w:p>
        </w:tc>
      </w:tr>
      <w:tr w:rsidR="006A5208" w:rsidRPr="001118B5" w14:paraId="4F79B011" w14:textId="77777777" w:rsidTr="00E67116">
        <w:trPr>
          <w:trHeight w:val="240"/>
        </w:trPr>
        <w:tc>
          <w:tcPr>
            <w:tcW w:w="4410" w:type="dxa"/>
            <w:tcBorders>
              <w:top w:val="nil"/>
              <w:left w:val="single" w:sz="8" w:space="0" w:color="auto"/>
              <w:bottom w:val="nil"/>
            </w:tcBorders>
            <w:shd w:val="clear" w:color="auto" w:fill="auto"/>
            <w:noWrap/>
            <w:vAlign w:val="center"/>
            <w:hideMark/>
          </w:tcPr>
          <w:p w14:paraId="756BEA47" w14:textId="77777777" w:rsidR="006A5208" w:rsidRPr="001118B5" w:rsidRDefault="006A5208" w:rsidP="00E67116">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Variações Monetárias e Cambiais</w:t>
            </w:r>
          </w:p>
        </w:tc>
        <w:tc>
          <w:tcPr>
            <w:tcW w:w="835" w:type="dxa"/>
            <w:tcBorders>
              <w:top w:val="nil"/>
              <w:bottom w:val="nil"/>
              <w:right w:val="single" w:sz="8" w:space="0" w:color="auto"/>
            </w:tcBorders>
            <w:shd w:val="clear" w:color="auto" w:fill="auto"/>
            <w:noWrap/>
            <w:vAlign w:val="center"/>
          </w:tcPr>
          <w:p w14:paraId="48078F38" w14:textId="77777777" w:rsidR="006A5208" w:rsidRPr="001118B5" w:rsidRDefault="006A5208" w:rsidP="00E67116">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650E20B2" w14:textId="77777777" w:rsidR="006A5208" w:rsidRPr="001118B5" w:rsidRDefault="006A5208"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DVP.D024</w:t>
            </w:r>
          </w:p>
        </w:tc>
        <w:tc>
          <w:tcPr>
            <w:tcW w:w="1134" w:type="dxa"/>
            <w:tcBorders>
              <w:top w:val="nil"/>
              <w:left w:val="nil"/>
              <w:bottom w:val="nil"/>
              <w:right w:val="single" w:sz="8" w:space="0" w:color="auto"/>
            </w:tcBorders>
            <w:shd w:val="clear" w:color="auto" w:fill="auto"/>
            <w:noWrap/>
            <w:vAlign w:val="center"/>
            <w:hideMark/>
          </w:tcPr>
          <w:p w14:paraId="6A094632" w14:textId="77777777" w:rsidR="006A5208" w:rsidRPr="001118B5" w:rsidRDefault="006A5208"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DVP.E024</w:t>
            </w:r>
          </w:p>
        </w:tc>
        <w:tc>
          <w:tcPr>
            <w:tcW w:w="4346" w:type="dxa"/>
            <w:tcBorders>
              <w:top w:val="nil"/>
              <w:left w:val="nil"/>
              <w:bottom w:val="nil"/>
            </w:tcBorders>
            <w:shd w:val="clear" w:color="auto" w:fill="auto"/>
            <w:noWrap/>
            <w:vAlign w:val="center"/>
            <w:hideMark/>
          </w:tcPr>
          <w:p w14:paraId="00D6DDD6" w14:textId="77777777" w:rsidR="006A5208" w:rsidRPr="001118B5" w:rsidRDefault="006A5208" w:rsidP="00E67116">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Depreciação, Amortização e Exaustão</w:t>
            </w:r>
          </w:p>
        </w:tc>
        <w:tc>
          <w:tcPr>
            <w:tcW w:w="846" w:type="dxa"/>
            <w:tcBorders>
              <w:top w:val="nil"/>
              <w:bottom w:val="nil"/>
              <w:right w:val="single" w:sz="8" w:space="0" w:color="auto"/>
            </w:tcBorders>
            <w:shd w:val="clear" w:color="auto" w:fill="auto"/>
            <w:noWrap/>
            <w:vAlign w:val="center"/>
          </w:tcPr>
          <w:p w14:paraId="4E08FCE9" w14:textId="77777777" w:rsidR="006A5208" w:rsidRPr="001118B5" w:rsidRDefault="006A5208" w:rsidP="00E67116">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49DB49E4" w14:textId="77777777" w:rsidR="006A5208" w:rsidRPr="001118B5" w:rsidRDefault="006A5208"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DVP.H024</w:t>
            </w:r>
          </w:p>
        </w:tc>
        <w:tc>
          <w:tcPr>
            <w:tcW w:w="1120" w:type="dxa"/>
            <w:tcBorders>
              <w:top w:val="nil"/>
              <w:left w:val="nil"/>
              <w:bottom w:val="nil"/>
              <w:right w:val="single" w:sz="8" w:space="0" w:color="auto"/>
            </w:tcBorders>
            <w:shd w:val="clear" w:color="auto" w:fill="auto"/>
            <w:noWrap/>
            <w:vAlign w:val="center"/>
            <w:hideMark/>
          </w:tcPr>
          <w:p w14:paraId="7CAE8D8F" w14:textId="77777777" w:rsidR="006A5208" w:rsidRPr="001118B5" w:rsidRDefault="006A5208"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DVP.I024</w:t>
            </w:r>
          </w:p>
        </w:tc>
      </w:tr>
      <w:tr w:rsidR="006A5208" w:rsidRPr="001118B5" w14:paraId="50A4FB39" w14:textId="77777777" w:rsidTr="00E67116">
        <w:trPr>
          <w:trHeight w:val="240"/>
        </w:trPr>
        <w:tc>
          <w:tcPr>
            <w:tcW w:w="4410" w:type="dxa"/>
            <w:tcBorders>
              <w:top w:val="nil"/>
              <w:left w:val="single" w:sz="8" w:space="0" w:color="auto"/>
              <w:bottom w:val="nil"/>
            </w:tcBorders>
            <w:shd w:val="clear" w:color="auto" w:fill="auto"/>
            <w:noWrap/>
            <w:vAlign w:val="center"/>
            <w:hideMark/>
          </w:tcPr>
          <w:p w14:paraId="0A64659A" w14:textId="77777777" w:rsidR="006A5208" w:rsidRPr="001118B5" w:rsidRDefault="006A5208" w:rsidP="00E67116">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Descontos Financeiros Obtidos</w:t>
            </w:r>
          </w:p>
        </w:tc>
        <w:tc>
          <w:tcPr>
            <w:tcW w:w="835" w:type="dxa"/>
            <w:tcBorders>
              <w:top w:val="nil"/>
              <w:bottom w:val="nil"/>
              <w:right w:val="single" w:sz="8" w:space="0" w:color="auto"/>
            </w:tcBorders>
            <w:shd w:val="clear" w:color="auto" w:fill="auto"/>
            <w:noWrap/>
            <w:vAlign w:val="center"/>
          </w:tcPr>
          <w:p w14:paraId="489A8E3A" w14:textId="77777777" w:rsidR="006A5208" w:rsidRPr="001118B5" w:rsidRDefault="006A5208" w:rsidP="00E67116">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6C4F1345" w14:textId="77777777" w:rsidR="006A5208" w:rsidRPr="001118B5" w:rsidRDefault="006A5208"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DVP.D025</w:t>
            </w:r>
          </w:p>
        </w:tc>
        <w:tc>
          <w:tcPr>
            <w:tcW w:w="1134" w:type="dxa"/>
            <w:tcBorders>
              <w:top w:val="nil"/>
              <w:left w:val="nil"/>
              <w:bottom w:val="nil"/>
              <w:right w:val="single" w:sz="8" w:space="0" w:color="auto"/>
            </w:tcBorders>
            <w:shd w:val="clear" w:color="auto" w:fill="auto"/>
            <w:noWrap/>
            <w:vAlign w:val="center"/>
            <w:hideMark/>
          </w:tcPr>
          <w:p w14:paraId="30A333DB" w14:textId="77777777" w:rsidR="006A5208" w:rsidRPr="001118B5" w:rsidRDefault="006A5208"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DVP.E025</w:t>
            </w:r>
          </w:p>
        </w:tc>
        <w:tc>
          <w:tcPr>
            <w:tcW w:w="4346" w:type="dxa"/>
            <w:tcBorders>
              <w:top w:val="nil"/>
              <w:left w:val="nil"/>
              <w:bottom w:val="nil"/>
            </w:tcBorders>
            <w:shd w:val="clear" w:color="auto" w:fill="auto"/>
            <w:noWrap/>
            <w:vAlign w:val="center"/>
            <w:hideMark/>
          </w:tcPr>
          <w:p w14:paraId="000920B8" w14:textId="77777777" w:rsidR="006A5208" w:rsidRPr="001118B5" w:rsidRDefault="006A5208" w:rsidP="00E67116">
            <w:pPr>
              <w:spacing w:after="0" w:line="240" w:lineRule="auto"/>
              <w:rPr>
                <w:rFonts w:ascii="Arial Narrow" w:eastAsia="Times New Roman" w:hAnsi="Arial Narrow" w:cs="Arial"/>
                <w:b/>
                <w:bCs/>
                <w:sz w:val="16"/>
                <w:szCs w:val="16"/>
                <w:u w:val="single"/>
                <w:lang w:eastAsia="pt-BR"/>
              </w:rPr>
            </w:pPr>
            <w:r w:rsidRPr="001118B5">
              <w:rPr>
                <w:rFonts w:ascii="Arial Narrow" w:eastAsia="Times New Roman" w:hAnsi="Arial Narrow" w:cs="Arial"/>
                <w:b/>
                <w:bCs/>
                <w:sz w:val="16"/>
                <w:szCs w:val="16"/>
                <w:u w:val="single"/>
                <w:lang w:eastAsia="pt-BR"/>
              </w:rPr>
              <w:t>Variações Patrimoniais Diminutivas Financeiras</w:t>
            </w:r>
          </w:p>
        </w:tc>
        <w:tc>
          <w:tcPr>
            <w:tcW w:w="846" w:type="dxa"/>
            <w:tcBorders>
              <w:top w:val="nil"/>
              <w:bottom w:val="nil"/>
              <w:right w:val="single" w:sz="8" w:space="0" w:color="auto"/>
            </w:tcBorders>
            <w:shd w:val="clear" w:color="auto" w:fill="auto"/>
            <w:noWrap/>
            <w:vAlign w:val="center"/>
          </w:tcPr>
          <w:p w14:paraId="7938E33F" w14:textId="77777777" w:rsidR="006A5208" w:rsidRPr="001118B5" w:rsidRDefault="006A5208" w:rsidP="00E67116">
            <w:pPr>
              <w:spacing w:after="0" w:line="240" w:lineRule="auto"/>
              <w:jc w:val="center"/>
              <w:rPr>
                <w:rFonts w:ascii="Arial Narrow" w:eastAsia="Times New Roman" w:hAnsi="Arial Narrow" w:cs="Arial"/>
                <w:b/>
                <w:bCs/>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1672CEC4" w14:textId="77777777" w:rsidR="006A5208" w:rsidRPr="001118B5" w:rsidRDefault="006A5208" w:rsidP="00E67116">
            <w:pPr>
              <w:spacing w:after="0" w:line="240" w:lineRule="auto"/>
              <w:jc w:val="center"/>
              <w:rPr>
                <w:rFonts w:ascii="Arial Narrow" w:eastAsia="Times New Roman" w:hAnsi="Arial Narrow" w:cs="Arial"/>
                <w:b/>
                <w:bCs/>
                <w:sz w:val="16"/>
                <w:szCs w:val="16"/>
                <w:lang w:eastAsia="pt-BR"/>
              </w:rPr>
            </w:pPr>
            <w:r w:rsidRPr="001118B5">
              <w:rPr>
                <w:rFonts w:ascii="Arial Narrow" w:eastAsia="Times New Roman" w:hAnsi="Arial Narrow" w:cs="Arial"/>
                <w:b/>
                <w:bCs/>
                <w:sz w:val="16"/>
                <w:szCs w:val="16"/>
                <w:lang w:eastAsia="pt-BR"/>
              </w:rPr>
              <w:t>DVP.H025</w:t>
            </w:r>
          </w:p>
        </w:tc>
        <w:tc>
          <w:tcPr>
            <w:tcW w:w="1120" w:type="dxa"/>
            <w:tcBorders>
              <w:top w:val="nil"/>
              <w:left w:val="nil"/>
              <w:bottom w:val="nil"/>
              <w:right w:val="single" w:sz="8" w:space="0" w:color="auto"/>
            </w:tcBorders>
            <w:shd w:val="clear" w:color="auto" w:fill="auto"/>
            <w:noWrap/>
            <w:vAlign w:val="center"/>
            <w:hideMark/>
          </w:tcPr>
          <w:p w14:paraId="4D730573" w14:textId="77777777" w:rsidR="006A5208" w:rsidRPr="001118B5" w:rsidRDefault="006A5208" w:rsidP="00E67116">
            <w:pPr>
              <w:spacing w:after="0" w:line="240" w:lineRule="auto"/>
              <w:jc w:val="center"/>
              <w:rPr>
                <w:rFonts w:ascii="Arial Narrow" w:eastAsia="Times New Roman" w:hAnsi="Arial Narrow" w:cs="Arial"/>
                <w:b/>
                <w:bCs/>
                <w:sz w:val="16"/>
                <w:szCs w:val="16"/>
                <w:lang w:eastAsia="pt-BR"/>
              </w:rPr>
            </w:pPr>
            <w:r w:rsidRPr="001118B5">
              <w:rPr>
                <w:rFonts w:ascii="Arial Narrow" w:eastAsia="Times New Roman" w:hAnsi="Arial Narrow" w:cs="Arial"/>
                <w:b/>
                <w:bCs/>
                <w:sz w:val="16"/>
                <w:szCs w:val="16"/>
                <w:lang w:eastAsia="pt-BR"/>
              </w:rPr>
              <w:t>DVP.I025</w:t>
            </w:r>
          </w:p>
        </w:tc>
      </w:tr>
      <w:tr w:rsidR="006A5208" w:rsidRPr="001118B5" w14:paraId="00181E06" w14:textId="77777777" w:rsidTr="00E67116">
        <w:trPr>
          <w:trHeight w:val="240"/>
        </w:trPr>
        <w:tc>
          <w:tcPr>
            <w:tcW w:w="4410" w:type="dxa"/>
            <w:tcBorders>
              <w:top w:val="nil"/>
              <w:left w:val="single" w:sz="8" w:space="0" w:color="auto"/>
              <w:bottom w:val="nil"/>
            </w:tcBorders>
            <w:shd w:val="clear" w:color="auto" w:fill="auto"/>
            <w:noWrap/>
            <w:vAlign w:val="center"/>
            <w:hideMark/>
          </w:tcPr>
          <w:p w14:paraId="64468981" w14:textId="77777777" w:rsidR="006A5208" w:rsidRPr="001118B5" w:rsidRDefault="006A5208" w:rsidP="00E67116">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Remuneração de Depósitos Bancários e Aplicações Financeiras</w:t>
            </w:r>
          </w:p>
        </w:tc>
        <w:tc>
          <w:tcPr>
            <w:tcW w:w="835" w:type="dxa"/>
            <w:tcBorders>
              <w:top w:val="nil"/>
              <w:bottom w:val="nil"/>
              <w:right w:val="single" w:sz="8" w:space="0" w:color="auto"/>
            </w:tcBorders>
            <w:shd w:val="clear" w:color="auto" w:fill="auto"/>
            <w:noWrap/>
            <w:vAlign w:val="center"/>
          </w:tcPr>
          <w:p w14:paraId="011604DD" w14:textId="77777777" w:rsidR="006A5208" w:rsidRPr="001118B5" w:rsidRDefault="006A5208" w:rsidP="00E67116">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44C55472" w14:textId="77777777" w:rsidR="006A5208" w:rsidRPr="001118B5" w:rsidRDefault="006A5208"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DVP.D026</w:t>
            </w:r>
          </w:p>
        </w:tc>
        <w:tc>
          <w:tcPr>
            <w:tcW w:w="1134" w:type="dxa"/>
            <w:tcBorders>
              <w:top w:val="nil"/>
              <w:left w:val="nil"/>
              <w:bottom w:val="nil"/>
              <w:right w:val="single" w:sz="8" w:space="0" w:color="auto"/>
            </w:tcBorders>
            <w:shd w:val="clear" w:color="auto" w:fill="auto"/>
            <w:noWrap/>
            <w:vAlign w:val="center"/>
            <w:hideMark/>
          </w:tcPr>
          <w:p w14:paraId="6145822A" w14:textId="77777777" w:rsidR="006A5208" w:rsidRPr="001118B5" w:rsidRDefault="006A5208"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DVP.E026</w:t>
            </w:r>
          </w:p>
        </w:tc>
        <w:tc>
          <w:tcPr>
            <w:tcW w:w="4346" w:type="dxa"/>
            <w:tcBorders>
              <w:top w:val="nil"/>
              <w:left w:val="nil"/>
              <w:bottom w:val="nil"/>
            </w:tcBorders>
            <w:shd w:val="clear" w:color="auto" w:fill="auto"/>
            <w:noWrap/>
            <w:vAlign w:val="center"/>
            <w:hideMark/>
          </w:tcPr>
          <w:p w14:paraId="429F6803" w14:textId="77777777" w:rsidR="006A5208" w:rsidRPr="001118B5" w:rsidRDefault="006A5208" w:rsidP="00E67116">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Juros e Encargos de Empréstimos e Financiamentos Obtidos</w:t>
            </w:r>
          </w:p>
        </w:tc>
        <w:tc>
          <w:tcPr>
            <w:tcW w:w="846" w:type="dxa"/>
            <w:tcBorders>
              <w:top w:val="nil"/>
              <w:bottom w:val="nil"/>
              <w:right w:val="single" w:sz="8" w:space="0" w:color="auto"/>
            </w:tcBorders>
            <w:shd w:val="clear" w:color="auto" w:fill="auto"/>
            <w:noWrap/>
            <w:vAlign w:val="center"/>
          </w:tcPr>
          <w:p w14:paraId="7866245C" w14:textId="77777777" w:rsidR="006A5208" w:rsidRPr="001118B5" w:rsidRDefault="006A5208" w:rsidP="00E67116">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018DE57F" w14:textId="77777777" w:rsidR="006A5208" w:rsidRPr="001118B5" w:rsidRDefault="006A5208"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DVP.H026</w:t>
            </w:r>
          </w:p>
        </w:tc>
        <w:tc>
          <w:tcPr>
            <w:tcW w:w="1120" w:type="dxa"/>
            <w:tcBorders>
              <w:top w:val="nil"/>
              <w:left w:val="nil"/>
              <w:bottom w:val="nil"/>
              <w:right w:val="single" w:sz="8" w:space="0" w:color="auto"/>
            </w:tcBorders>
            <w:shd w:val="clear" w:color="auto" w:fill="auto"/>
            <w:noWrap/>
            <w:vAlign w:val="center"/>
            <w:hideMark/>
          </w:tcPr>
          <w:p w14:paraId="3BA9E738" w14:textId="77777777" w:rsidR="006A5208" w:rsidRPr="001118B5" w:rsidRDefault="006A5208" w:rsidP="00E67116">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DVP.I026</w:t>
            </w:r>
          </w:p>
        </w:tc>
      </w:tr>
      <w:tr w:rsidR="00B355BC" w:rsidRPr="001118B5" w14:paraId="208A9B56" w14:textId="77777777" w:rsidTr="00E67116">
        <w:trPr>
          <w:trHeight w:val="240"/>
        </w:trPr>
        <w:tc>
          <w:tcPr>
            <w:tcW w:w="4410" w:type="dxa"/>
            <w:tcBorders>
              <w:top w:val="nil"/>
              <w:left w:val="single" w:sz="8" w:space="0" w:color="auto"/>
              <w:bottom w:val="nil"/>
            </w:tcBorders>
            <w:shd w:val="clear" w:color="auto" w:fill="auto"/>
            <w:noWrap/>
            <w:vAlign w:val="center"/>
          </w:tcPr>
          <w:p w14:paraId="355F95BA" w14:textId="5D8FC7DE" w:rsidR="00B355BC" w:rsidRPr="001118B5" w:rsidRDefault="00B355BC" w:rsidP="00B355BC">
            <w:pPr>
              <w:spacing w:after="0" w:line="240" w:lineRule="auto"/>
              <w:ind w:firstLineChars="200" w:firstLine="320"/>
              <w:rPr>
                <w:rFonts w:ascii="Arial Narrow" w:eastAsia="Times New Roman" w:hAnsi="Arial Narrow" w:cs="Arial"/>
                <w:sz w:val="16"/>
                <w:szCs w:val="16"/>
                <w:lang w:eastAsia="pt-BR"/>
              </w:rPr>
            </w:pPr>
            <w:r>
              <w:rPr>
                <w:rFonts w:ascii="Arial Narrow" w:eastAsia="Times New Roman" w:hAnsi="Arial Narrow" w:cs="Arial"/>
                <w:color w:val="0070C0"/>
                <w:sz w:val="16"/>
                <w:szCs w:val="16"/>
                <w:lang w:eastAsia="pt-BR"/>
              </w:rPr>
              <w:t>Juros e Encargos de Empréstimos Obtidos</w:t>
            </w:r>
          </w:p>
        </w:tc>
        <w:tc>
          <w:tcPr>
            <w:tcW w:w="835" w:type="dxa"/>
            <w:tcBorders>
              <w:top w:val="nil"/>
              <w:bottom w:val="nil"/>
              <w:right w:val="single" w:sz="8" w:space="0" w:color="auto"/>
            </w:tcBorders>
            <w:shd w:val="clear" w:color="auto" w:fill="auto"/>
            <w:noWrap/>
            <w:vAlign w:val="center"/>
          </w:tcPr>
          <w:p w14:paraId="2EFFE3DA"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tcPr>
          <w:p w14:paraId="29D4EF86" w14:textId="6FF37E77" w:rsidR="00B355BC" w:rsidRPr="001118B5" w:rsidRDefault="00B355BC" w:rsidP="00B355BC">
            <w:pPr>
              <w:spacing w:after="0" w:line="240" w:lineRule="auto"/>
              <w:jc w:val="center"/>
              <w:rPr>
                <w:rFonts w:ascii="Arial Narrow" w:eastAsia="Times New Roman" w:hAnsi="Arial Narrow" w:cs="Arial"/>
                <w:sz w:val="16"/>
                <w:szCs w:val="16"/>
                <w:lang w:eastAsia="pt-BR"/>
              </w:rPr>
            </w:pPr>
            <w:r>
              <w:rPr>
                <w:rFonts w:ascii="Arial Narrow" w:eastAsia="Times New Roman" w:hAnsi="Arial Narrow" w:cs="Arial"/>
                <w:color w:val="0070C0"/>
                <w:sz w:val="16"/>
                <w:szCs w:val="16"/>
                <w:lang w:eastAsia="pt-BR"/>
              </w:rPr>
              <w:t>DVP.D051</w:t>
            </w:r>
          </w:p>
        </w:tc>
        <w:tc>
          <w:tcPr>
            <w:tcW w:w="1134" w:type="dxa"/>
            <w:tcBorders>
              <w:top w:val="nil"/>
              <w:left w:val="nil"/>
              <w:bottom w:val="nil"/>
              <w:right w:val="single" w:sz="8" w:space="0" w:color="auto"/>
            </w:tcBorders>
            <w:shd w:val="clear" w:color="auto" w:fill="auto"/>
            <w:noWrap/>
            <w:vAlign w:val="center"/>
          </w:tcPr>
          <w:p w14:paraId="68F5AC89" w14:textId="0DABE434" w:rsidR="00B355BC" w:rsidRPr="001118B5" w:rsidRDefault="00B355BC" w:rsidP="00B355BC">
            <w:pPr>
              <w:spacing w:after="0" w:line="240" w:lineRule="auto"/>
              <w:jc w:val="center"/>
              <w:rPr>
                <w:rFonts w:ascii="Arial Narrow" w:eastAsia="Times New Roman" w:hAnsi="Arial Narrow" w:cs="Arial"/>
                <w:sz w:val="16"/>
                <w:szCs w:val="16"/>
                <w:lang w:eastAsia="pt-BR"/>
              </w:rPr>
            </w:pPr>
            <w:r>
              <w:rPr>
                <w:rFonts w:ascii="Arial Narrow" w:eastAsia="Times New Roman" w:hAnsi="Arial Narrow" w:cs="Arial"/>
                <w:color w:val="0070C0"/>
                <w:sz w:val="16"/>
                <w:szCs w:val="16"/>
                <w:lang w:eastAsia="pt-BR"/>
              </w:rPr>
              <w:t>DVP.</w:t>
            </w:r>
            <w:r w:rsidR="004B7F05">
              <w:rPr>
                <w:rFonts w:ascii="Arial Narrow" w:eastAsia="Times New Roman" w:hAnsi="Arial Narrow" w:cs="Arial"/>
                <w:color w:val="0070C0"/>
                <w:sz w:val="16"/>
                <w:szCs w:val="16"/>
                <w:lang w:eastAsia="pt-BR"/>
              </w:rPr>
              <w:t>E</w:t>
            </w:r>
            <w:r>
              <w:rPr>
                <w:rFonts w:ascii="Arial Narrow" w:eastAsia="Times New Roman" w:hAnsi="Arial Narrow" w:cs="Arial"/>
                <w:color w:val="0070C0"/>
                <w:sz w:val="16"/>
                <w:szCs w:val="16"/>
                <w:lang w:eastAsia="pt-BR"/>
              </w:rPr>
              <w:t>051</w:t>
            </w:r>
          </w:p>
        </w:tc>
        <w:tc>
          <w:tcPr>
            <w:tcW w:w="4346" w:type="dxa"/>
            <w:tcBorders>
              <w:top w:val="nil"/>
              <w:left w:val="nil"/>
              <w:bottom w:val="nil"/>
            </w:tcBorders>
            <w:shd w:val="clear" w:color="auto" w:fill="auto"/>
            <w:noWrap/>
            <w:vAlign w:val="center"/>
          </w:tcPr>
          <w:p w14:paraId="33E90133" w14:textId="6EF36551" w:rsidR="00B355BC" w:rsidRPr="001118B5" w:rsidRDefault="00B355BC" w:rsidP="00B355BC">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Juros e Encargos de Mora</w:t>
            </w:r>
          </w:p>
        </w:tc>
        <w:tc>
          <w:tcPr>
            <w:tcW w:w="846" w:type="dxa"/>
            <w:tcBorders>
              <w:top w:val="nil"/>
              <w:bottom w:val="nil"/>
              <w:right w:val="single" w:sz="8" w:space="0" w:color="auto"/>
            </w:tcBorders>
            <w:shd w:val="clear" w:color="auto" w:fill="auto"/>
            <w:noWrap/>
            <w:vAlign w:val="center"/>
          </w:tcPr>
          <w:p w14:paraId="0CDFDDEB"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tcPr>
          <w:p w14:paraId="0351326D" w14:textId="0A82B78F"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DVP.H027</w:t>
            </w:r>
          </w:p>
        </w:tc>
        <w:tc>
          <w:tcPr>
            <w:tcW w:w="1120" w:type="dxa"/>
            <w:tcBorders>
              <w:top w:val="nil"/>
              <w:left w:val="nil"/>
              <w:bottom w:val="nil"/>
              <w:right w:val="single" w:sz="8" w:space="0" w:color="auto"/>
            </w:tcBorders>
            <w:shd w:val="clear" w:color="auto" w:fill="auto"/>
            <w:noWrap/>
            <w:vAlign w:val="center"/>
          </w:tcPr>
          <w:p w14:paraId="5D083FF6" w14:textId="53C8A86A"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DVP.I027</w:t>
            </w:r>
          </w:p>
        </w:tc>
      </w:tr>
      <w:tr w:rsidR="00B355BC" w:rsidRPr="001118B5" w14:paraId="62FB48F7" w14:textId="77777777" w:rsidTr="00B355BC">
        <w:trPr>
          <w:trHeight w:val="240"/>
        </w:trPr>
        <w:tc>
          <w:tcPr>
            <w:tcW w:w="4410" w:type="dxa"/>
            <w:tcBorders>
              <w:top w:val="nil"/>
              <w:left w:val="single" w:sz="8" w:space="0" w:color="auto"/>
              <w:bottom w:val="nil"/>
            </w:tcBorders>
            <w:shd w:val="clear" w:color="auto" w:fill="auto"/>
            <w:noWrap/>
            <w:vAlign w:val="center"/>
            <w:hideMark/>
          </w:tcPr>
          <w:p w14:paraId="3844807B" w14:textId="77777777" w:rsidR="00B355BC" w:rsidRPr="001118B5" w:rsidRDefault="00B355BC" w:rsidP="00B355BC">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Outras Variações Patrimoniais Aumentativas - Financeiras</w:t>
            </w:r>
          </w:p>
        </w:tc>
        <w:tc>
          <w:tcPr>
            <w:tcW w:w="835" w:type="dxa"/>
            <w:tcBorders>
              <w:top w:val="nil"/>
              <w:bottom w:val="nil"/>
              <w:right w:val="single" w:sz="8" w:space="0" w:color="auto"/>
            </w:tcBorders>
            <w:shd w:val="clear" w:color="auto" w:fill="auto"/>
            <w:noWrap/>
            <w:vAlign w:val="center"/>
          </w:tcPr>
          <w:p w14:paraId="3701C048"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593A6A37"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DVP.D027</w:t>
            </w:r>
          </w:p>
        </w:tc>
        <w:tc>
          <w:tcPr>
            <w:tcW w:w="1134" w:type="dxa"/>
            <w:tcBorders>
              <w:top w:val="nil"/>
              <w:left w:val="nil"/>
              <w:bottom w:val="nil"/>
              <w:right w:val="single" w:sz="8" w:space="0" w:color="auto"/>
            </w:tcBorders>
            <w:shd w:val="clear" w:color="auto" w:fill="auto"/>
            <w:noWrap/>
            <w:vAlign w:val="center"/>
            <w:hideMark/>
          </w:tcPr>
          <w:p w14:paraId="31099493"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DVP.E027</w:t>
            </w:r>
          </w:p>
        </w:tc>
        <w:tc>
          <w:tcPr>
            <w:tcW w:w="4346" w:type="dxa"/>
            <w:tcBorders>
              <w:top w:val="nil"/>
              <w:left w:val="nil"/>
              <w:bottom w:val="nil"/>
            </w:tcBorders>
            <w:shd w:val="clear" w:color="auto" w:fill="auto"/>
            <w:noWrap/>
            <w:vAlign w:val="center"/>
          </w:tcPr>
          <w:p w14:paraId="5795A803" w14:textId="53F1BE94" w:rsidR="00B355BC" w:rsidRPr="001118B5" w:rsidRDefault="00B355BC" w:rsidP="00B355BC">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Variações Monetárias e Cambiais</w:t>
            </w:r>
          </w:p>
        </w:tc>
        <w:tc>
          <w:tcPr>
            <w:tcW w:w="846" w:type="dxa"/>
            <w:tcBorders>
              <w:top w:val="nil"/>
              <w:bottom w:val="nil"/>
              <w:right w:val="single" w:sz="8" w:space="0" w:color="auto"/>
            </w:tcBorders>
            <w:shd w:val="clear" w:color="auto" w:fill="auto"/>
            <w:noWrap/>
            <w:vAlign w:val="center"/>
          </w:tcPr>
          <w:p w14:paraId="235B686A"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tcPr>
          <w:p w14:paraId="04C15E83" w14:textId="7C2905F5"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DVP.H028</w:t>
            </w:r>
          </w:p>
        </w:tc>
        <w:tc>
          <w:tcPr>
            <w:tcW w:w="1120" w:type="dxa"/>
            <w:tcBorders>
              <w:top w:val="nil"/>
              <w:left w:val="nil"/>
              <w:bottom w:val="nil"/>
              <w:right w:val="single" w:sz="8" w:space="0" w:color="auto"/>
            </w:tcBorders>
            <w:shd w:val="clear" w:color="auto" w:fill="auto"/>
            <w:noWrap/>
            <w:vAlign w:val="center"/>
          </w:tcPr>
          <w:p w14:paraId="09537D51" w14:textId="4CD6922C"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DVP.I028</w:t>
            </w:r>
          </w:p>
        </w:tc>
      </w:tr>
      <w:tr w:rsidR="00B355BC" w:rsidRPr="001118B5" w14:paraId="3ED135F0" w14:textId="77777777" w:rsidTr="00B355BC">
        <w:trPr>
          <w:trHeight w:val="240"/>
        </w:trPr>
        <w:tc>
          <w:tcPr>
            <w:tcW w:w="4410" w:type="dxa"/>
            <w:tcBorders>
              <w:top w:val="nil"/>
              <w:left w:val="single" w:sz="8" w:space="0" w:color="auto"/>
              <w:bottom w:val="nil"/>
            </w:tcBorders>
            <w:shd w:val="clear" w:color="auto" w:fill="auto"/>
            <w:noWrap/>
            <w:vAlign w:val="center"/>
            <w:hideMark/>
          </w:tcPr>
          <w:p w14:paraId="5D2B22F1" w14:textId="77777777" w:rsidR="00B355BC" w:rsidRPr="001118B5" w:rsidRDefault="00B355BC" w:rsidP="00B355BC">
            <w:pPr>
              <w:spacing w:after="0" w:line="240" w:lineRule="auto"/>
              <w:rPr>
                <w:rFonts w:ascii="Arial Narrow" w:eastAsia="Times New Roman" w:hAnsi="Arial Narrow" w:cs="Arial"/>
                <w:b/>
                <w:bCs/>
                <w:sz w:val="16"/>
                <w:szCs w:val="16"/>
                <w:u w:val="single"/>
                <w:lang w:eastAsia="pt-BR"/>
              </w:rPr>
            </w:pPr>
            <w:r w:rsidRPr="001118B5">
              <w:rPr>
                <w:rFonts w:ascii="Arial Narrow" w:eastAsia="Times New Roman" w:hAnsi="Arial Narrow" w:cs="Arial"/>
                <w:b/>
                <w:bCs/>
                <w:sz w:val="16"/>
                <w:szCs w:val="16"/>
                <w:u w:val="single"/>
                <w:lang w:eastAsia="pt-BR"/>
              </w:rPr>
              <w:lastRenderedPageBreak/>
              <w:t>Transferências e Delegações Recebidas</w:t>
            </w:r>
          </w:p>
        </w:tc>
        <w:tc>
          <w:tcPr>
            <w:tcW w:w="835" w:type="dxa"/>
            <w:tcBorders>
              <w:top w:val="nil"/>
              <w:bottom w:val="nil"/>
              <w:right w:val="single" w:sz="8" w:space="0" w:color="auto"/>
            </w:tcBorders>
            <w:shd w:val="clear" w:color="auto" w:fill="auto"/>
            <w:noWrap/>
            <w:vAlign w:val="center"/>
          </w:tcPr>
          <w:p w14:paraId="5AE85104" w14:textId="77777777" w:rsidR="00B355BC" w:rsidRPr="001118B5" w:rsidRDefault="00B355BC" w:rsidP="00B355BC">
            <w:pPr>
              <w:spacing w:after="0" w:line="240" w:lineRule="auto"/>
              <w:jc w:val="center"/>
              <w:rPr>
                <w:rFonts w:ascii="Arial Narrow" w:eastAsia="Times New Roman" w:hAnsi="Arial Narrow" w:cs="Arial"/>
                <w:b/>
                <w:bCs/>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1D78DBA6" w14:textId="77777777" w:rsidR="00B355BC" w:rsidRPr="001118B5" w:rsidRDefault="00B355BC" w:rsidP="00B355BC">
            <w:pPr>
              <w:spacing w:after="0" w:line="240" w:lineRule="auto"/>
              <w:jc w:val="center"/>
              <w:rPr>
                <w:rFonts w:ascii="Arial Narrow" w:eastAsia="Times New Roman" w:hAnsi="Arial Narrow" w:cs="Arial"/>
                <w:b/>
                <w:bCs/>
                <w:sz w:val="16"/>
                <w:szCs w:val="16"/>
                <w:lang w:eastAsia="pt-BR"/>
              </w:rPr>
            </w:pPr>
            <w:r w:rsidRPr="001118B5">
              <w:rPr>
                <w:rFonts w:ascii="Arial Narrow" w:eastAsia="Times New Roman" w:hAnsi="Arial Narrow" w:cs="Arial"/>
                <w:b/>
                <w:bCs/>
                <w:sz w:val="16"/>
                <w:szCs w:val="16"/>
                <w:lang w:eastAsia="pt-BR"/>
              </w:rPr>
              <w:t>DVP.D028</w:t>
            </w:r>
          </w:p>
        </w:tc>
        <w:tc>
          <w:tcPr>
            <w:tcW w:w="1134" w:type="dxa"/>
            <w:tcBorders>
              <w:top w:val="nil"/>
              <w:left w:val="nil"/>
              <w:bottom w:val="nil"/>
              <w:right w:val="single" w:sz="8" w:space="0" w:color="auto"/>
            </w:tcBorders>
            <w:shd w:val="clear" w:color="auto" w:fill="auto"/>
            <w:noWrap/>
            <w:vAlign w:val="center"/>
            <w:hideMark/>
          </w:tcPr>
          <w:p w14:paraId="408F36F0" w14:textId="77777777" w:rsidR="00B355BC" w:rsidRPr="001118B5" w:rsidRDefault="00B355BC" w:rsidP="00B355BC">
            <w:pPr>
              <w:spacing w:after="0" w:line="240" w:lineRule="auto"/>
              <w:jc w:val="center"/>
              <w:rPr>
                <w:rFonts w:ascii="Arial Narrow" w:eastAsia="Times New Roman" w:hAnsi="Arial Narrow" w:cs="Arial"/>
                <w:b/>
                <w:bCs/>
                <w:sz w:val="16"/>
                <w:szCs w:val="16"/>
                <w:lang w:eastAsia="pt-BR"/>
              </w:rPr>
            </w:pPr>
            <w:r w:rsidRPr="001118B5">
              <w:rPr>
                <w:rFonts w:ascii="Arial Narrow" w:eastAsia="Times New Roman" w:hAnsi="Arial Narrow" w:cs="Arial"/>
                <w:b/>
                <w:bCs/>
                <w:sz w:val="16"/>
                <w:szCs w:val="16"/>
                <w:lang w:eastAsia="pt-BR"/>
              </w:rPr>
              <w:t>DVP.E028</w:t>
            </w:r>
          </w:p>
        </w:tc>
        <w:tc>
          <w:tcPr>
            <w:tcW w:w="4346" w:type="dxa"/>
            <w:tcBorders>
              <w:top w:val="nil"/>
              <w:left w:val="nil"/>
              <w:bottom w:val="nil"/>
            </w:tcBorders>
            <w:shd w:val="clear" w:color="auto" w:fill="auto"/>
            <w:noWrap/>
            <w:vAlign w:val="center"/>
          </w:tcPr>
          <w:p w14:paraId="513B618A" w14:textId="5EB279B9" w:rsidR="00B355BC" w:rsidRPr="001118B5" w:rsidRDefault="00B355BC" w:rsidP="00B355BC">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Descontos Financeiros Concedidos</w:t>
            </w:r>
          </w:p>
        </w:tc>
        <w:tc>
          <w:tcPr>
            <w:tcW w:w="846" w:type="dxa"/>
            <w:tcBorders>
              <w:top w:val="nil"/>
              <w:bottom w:val="nil"/>
              <w:right w:val="single" w:sz="8" w:space="0" w:color="auto"/>
            </w:tcBorders>
            <w:shd w:val="clear" w:color="auto" w:fill="auto"/>
            <w:noWrap/>
            <w:vAlign w:val="center"/>
          </w:tcPr>
          <w:p w14:paraId="6E19C87E"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tcPr>
          <w:p w14:paraId="6E2D700C" w14:textId="7FF4A2F1"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DVP.H029</w:t>
            </w:r>
          </w:p>
        </w:tc>
        <w:tc>
          <w:tcPr>
            <w:tcW w:w="1120" w:type="dxa"/>
            <w:tcBorders>
              <w:top w:val="nil"/>
              <w:left w:val="nil"/>
              <w:bottom w:val="nil"/>
              <w:right w:val="single" w:sz="8" w:space="0" w:color="auto"/>
            </w:tcBorders>
            <w:shd w:val="clear" w:color="auto" w:fill="auto"/>
            <w:noWrap/>
            <w:vAlign w:val="center"/>
          </w:tcPr>
          <w:p w14:paraId="60307A50" w14:textId="671BF79A"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DVP.I029</w:t>
            </w:r>
          </w:p>
        </w:tc>
      </w:tr>
      <w:tr w:rsidR="00B355BC" w:rsidRPr="001118B5" w14:paraId="432F3058" w14:textId="77777777" w:rsidTr="00B355BC">
        <w:trPr>
          <w:trHeight w:val="255"/>
        </w:trPr>
        <w:tc>
          <w:tcPr>
            <w:tcW w:w="4410" w:type="dxa"/>
            <w:tcBorders>
              <w:top w:val="nil"/>
              <w:left w:val="single" w:sz="8" w:space="0" w:color="auto"/>
              <w:bottom w:val="nil"/>
            </w:tcBorders>
            <w:shd w:val="clear" w:color="auto" w:fill="auto"/>
            <w:noWrap/>
            <w:vAlign w:val="center"/>
            <w:hideMark/>
          </w:tcPr>
          <w:p w14:paraId="7B0F2115" w14:textId="77777777" w:rsidR="00B355BC" w:rsidRPr="001118B5" w:rsidRDefault="00B355BC" w:rsidP="00B355BC">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Transferências Intragovermamentais</w:t>
            </w:r>
          </w:p>
        </w:tc>
        <w:tc>
          <w:tcPr>
            <w:tcW w:w="835" w:type="dxa"/>
            <w:tcBorders>
              <w:top w:val="nil"/>
              <w:bottom w:val="nil"/>
              <w:right w:val="single" w:sz="8" w:space="0" w:color="auto"/>
            </w:tcBorders>
            <w:shd w:val="clear" w:color="auto" w:fill="auto"/>
            <w:noWrap/>
            <w:vAlign w:val="center"/>
          </w:tcPr>
          <w:p w14:paraId="0E752E39"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407B0378"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DVP.D029</w:t>
            </w:r>
          </w:p>
        </w:tc>
        <w:tc>
          <w:tcPr>
            <w:tcW w:w="1134" w:type="dxa"/>
            <w:tcBorders>
              <w:top w:val="nil"/>
              <w:left w:val="nil"/>
              <w:bottom w:val="nil"/>
              <w:right w:val="single" w:sz="8" w:space="0" w:color="auto"/>
            </w:tcBorders>
            <w:shd w:val="clear" w:color="auto" w:fill="auto"/>
            <w:noWrap/>
            <w:vAlign w:val="center"/>
            <w:hideMark/>
          </w:tcPr>
          <w:p w14:paraId="4A40E65D"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DVP.E029</w:t>
            </w:r>
          </w:p>
        </w:tc>
        <w:tc>
          <w:tcPr>
            <w:tcW w:w="4346" w:type="dxa"/>
            <w:tcBorders>
              <w:top w:val="nil"/>
              <w:left w:val="nil"/>
              <w:bottom w:val="nil"/>
            </w:tcBorders>
            <w:shd w:val="clear" w:color="auto" w:fill="auto"/>
            <w:noWrap/>
            <w:vAlign w:val="center"/>
          </w:tcPr>
          <w:p w14:paraId="36D25A79" w14:textId="79231B6E" w:rsidR="00B355BC" w:rsidRPr="001118B5" w:rsidRDefault="00B355BC" w:rsidP="00B355BC">
            <w:pPr>
              <w:spacing w:after="0" w:line="240" w:lineRule="auto"/>
              <w:ind w:firstLineChars="200" w:firstLine="320"/>
              <w:rPr>
                <w:rFonts w:ascii="Arial Narrow" w:eastAsia="Times New Roman" w:hAnsi="Arial Narrow" w:cs="Arial"/>
                <w:sz w:val="16"/>
                <w:szCs w:val="16"/>
                <w:lang w:eastAsia="pt-BR"/>
              </w:rPr>
            </w:pPr>
            <w:r>
              <w:rPr>
                <w:rFonts w:ascii="Arial Narrow" w:eastAsia="Times New Roman" w:hAnsi="Arial Narrow" w:cs="Arial"/>
                <w:color w:val="0070C0"/>
                <w:sz w:val="16"/>
                <w:szCs w:val="16"/>
                <w:lang w:eastAsia="pt-BR"/>
              </w:rPr>
              <w:t>Juros e Encargos de Empr</w:t>
            </w:r>
            <w:r w:rsidR="00F86B98">
              <w:rPr>
                <w:rFonts w:ascii="Arial Narrow" w:eastAsia="Times New Roman" w:hAnsi="Arial Narrow" w:cs="Arial"/>
                <w:color w:val="0070C0"/>
                <w:sz w:val="16"/>
                <w:szCs w:val="16"/>
                <w:lang w:eastAsia="pt-BR"/>
              </w:rPr>
              <w:t>é</w:t>
            </w:r>
            <w:r>
              <w:rPr>
                <w:rFonts w:ascii="Arial Narrow" w:eastAsia="Times New Roman" w:hAnsi="Arial Narrow" w:cs="Arial"/>
                <w:color w:val="0070C0"/>
                <w:sz w:val="16"/>
                <w:szCs w:val="16"/>
                <w:lang w:eastAsia="pt-BR"/>
              </w:rPr>
              <w:t>stimos e Financiamentos Concedidos</w:t>
            </w:r>
          </w:p>
        </w:tc>
        <w:tc>
          <w:tcPr>
            <w:tcW w:w="846" w:type="dxa"/>
            <w:tcBorders>
              <w:top w:val="nil"/>
              <w:bottom w:val="nil"/>
              <w:right w:val="single" w:sz="8" w:space="0" w:color="auto"/>
            </w:tcBorders>
            <w:shd w:val="clear" w:color="auto" w:fill="auto"/>
            <w:noWrap/>
            <w:vAlign w:val="center"/>
          </w:tcPr>
          <w:p w14:paraId="3EE5A1E2"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tcPr>
          <w:p w14:paraId="0A803159" w14:textId="56A012B8" w:rsidR="00B355BC" w:rsidRPr="001118B5" w:rsidRDefault="00B355BC" w:rsidP="00B355BC">
            <w:pPr>
              <w:spacing w:after="0" w:line="240" w:lineRule="auto"/>
              <w:jc w:val="center"/>
              <w:rPr>
                <w:rFonts w:ascii="Arial Narrow" w:eastAsia="Times New Roman" w:hAnsi="Arial Narrow" w:cs="Arial"/>
                <w:sz w:val="16"/>
                <w:szCs w:val="16"/>
                <w:lang w:eastAsia="pt-BR"/>
              </w:rPr>
            </w:pPr>
            <w:r>
              <w:rPr>
                <w:rFonts w:ascii="Arial Narrow" w:eastAsia="Times New Roman" w:hAnsi="Arial Narrow" w:cs="Arial"/>
                <w:color w:val="0070C0"/>
                <w:sz w:val="16"/>
                <w:szCs w:val="16"/>
                <w:lang w:eastAsia="pt-BR"/>
              </w:rPr>
              <w:t>DVP.H063</w:t>
            </w:r>
          </w:p>
        </w:tc>
        <w:tc>
          <w:tcPr>
            <w:tcW w:w="1120" w:type="dxa"/>
            <w:tcBorders>
              <w:top w:val="nil"/>
              <w:left w:val="nil"/>
              <w:bottom w:val="nil"/>
              <w:right w:val="single" w:sz="8" w:space="0" w:color="auto"/>
            </w:tcBorders>
            <w:shd w:val="clear" w:color="auto" w:fill="auto"/>
            <w:noWrap/>
            <w:vAlign w:val="center"/>
          </w:tcPr>
          <w:p w14:paraId="72F1D96D" w14:textId="55FB0717" w:rsidR="00B355BC" w:rsidRPr="001118B5" w:rsidRDefault="00B355BC" w:rsidP="00B355BC">
            <w:pPr>
              <w:spacing w:after="0" w:line="240" w:lineRule="auto"/>
              <w:jc w:val="center"/>
              <w:rPr>
                <w:rFonts w:ascii="Arial Narrow" w:eastAsia="Times New Roman" w:hAnsi="Arial Narrow" w:cs="Arial"/>
                <w:sz w:val="16"/>
                <w:szCs w:val="16"/>
                <w:lang w:eastAsia="pt-BR"/>
              </w:rPr>
            </w:pPr>
            <w:r>
              <w:rPr>
                <w:rFonts w:ascii="Arial Narrow" w:eastAsia="Times New Roman" w:hAnsi="Arial Narrow" w:cs="Arial"/>
                <w:color w:val="0070C0"/>
                <w:sz w:val="16"/>
                <w:szCs w:val="16"/>
                <w:lang w:eastAsia="pt-BR"/>
              </w:rPr>
              <w:t>DVP.I063</w:t>
            </w:r>
          </w:p>
        </w:tc>
      </w:tr>
      <w:tr w:rsidR="00B355BC" w:rsidRPr="001118B5" w14:paraId="09050AC2" w14:textId="77777777" w:rsidTr="00E67116">
        <w:trPr>
          <w:trHeight w:val="255"/>
        </w:trPr>
        <w:tc>
          <w:tcPr>
            <w:tcW w:w="4410" w:type="dxa"/>
            <w:tcBorders>
              <w:top w:val="nil"/>
              <w:left w:val="single" w:sz="8" w:space="0" w:color="auto"/>
              <w:bottom w:val="nil"/>
            </w:tcBorders>
            <w:shd w:val="clear" w:color="auto" w:fill="auto"/>
            <w:noWrap/>
            <w:vAlign w:val="center"/>
            <w:hideMark/>
          </w:tcPr>
          <w:p w14:paraId="045E82A7" w14:textId="77777777" w:rsidR="00B355BC" w:rsidRPr="001118B5" w:rsidRDefault="00B355BC" w:rsidP="00B355BC">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Transferências Intergovermamentais</w:t>
            </w:r>
          </w:p>
        </w:tc>
        <w:tc>
          <w:tcPr>
            <w:tcW w:w="835" w:type="dxa"/>
            <w:tcBorders>
              <w:top w:val="nil"/>
              <w:bottom w:val="nil"/>
              <w:right w:val="single" w:sz="8" w:space="0" w:color="auto"/>
            </w:tcBorders>
            <w:shd w:val="clear" w:color="auto" w:fill="auto"/>
            <w:noWrap/>
            <w:vAlign w:val="center"/>
          </w:tcPr>
          <w:p w14:paraId="38C6FC9D"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44D5D280"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DVP.D030</w:t>
            </w:r>
          </w:p>
        </w:tc>
        <w:tc>
          <w:tcPr>
            <w:tcW w:w="1134" w:type="dxa"/>
            <w:tcBorders>
              <w:top w:val="nil"/>
              <w:left w:val="nil"/>
              <w:bottom w:val="nil"/>
              <w:right w:val="single" w:sz="8" w:space="0" w:color="auto"/>
            </w:tcBorders>
            <w:shd w:val="clear" w:color="auto" w:fill="auto"/>
            <w:noWrap/>
            <w:vAlign w:val="center"/>
            <w:hideMark/>
          </w:tcPr>
          <w:p w14:paraId="59F94C91"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DVP.E030</w:t>
            </w:r>
          </w:p>
        </w:tc>
        <w:tc>
          <w:tcPr>
            <w:tcW w:w="4346" w:type="dxa"/>
            <w:tcBorders>
              <w:top w:val="nil"/>
              <w:left w:val="nil"/>
              <w:bottom w:val="nil"/>
            </w:tcBorders>
            <w:shd w:val="clear" w:color="auto" w:fill="auto"/>
            <w:noWrap/>
            <w:vAlign w:val="center"/>
            <w:hideMark/>
          </w:tcPr>
          <w:p w14:paraId="4BFB4F3C" w14:textId="77777777" w:rsidR="00B355BC" w:rsidRPr="001118B5" w:rsidRDefault="00B355BC" w:rsidP="00B355BC">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Outras Variações Patrimoniais Diminutivas - Financeiras</w:t>
            </w:r>
          </w:p>
        </w:tc>
        <w:tc>
          <w:tcPr>
            <w:tcW w:w="846" w:type="dxa"/>
            <w:tcBorders>
              <w:top w:val="nil"/>
              <w:bottom w:val="nil"/>
              <w:right w:val="single" w:sz="8" w:space="0" w:color="auto"/>
            </w:tcBorders>
            <w:shd w:val="clear" w:color="auto" w:fill="auto"/>
            <w:noWrap/>
            <w:vAlign w:val="center"/>
          </w:tcPr>
          <w:p w14:paraId="031B949B"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5420AFAF"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DVP.H030</w:t>
            </w:r>
          </w:p>
        </w:tc>
        <w:tc>
          <w:tcPr>
            <w:tcW w:w="1120" w:type="dxa"/>
            <w:tcBorders>
              <w:top w:val="nil"/>
              <w:left w:val="nil"/>
              <w:bottom w:val="nil"/>
              <w:right w:val="single" w:sz="8" w:space="0" w:color="auto"/>
            </w:tcBorders>
            <w:shd w:val="clear" w:color="auto" w:fill="auto"/>
            <w:noWrap/>
            <w:vAlign w:val="center"/>
            <w:hideMark/>
          </w:tcPr>
          <w:p w14:paraId="0500C152"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DVP.I030</w:t>
            </w:r>
          </w:p>
        </w:tc>
      </w:tr>
      <w:tr w:rsidR="00B355BC" w:rsidRPr="001118B5" w14:paraId="5ED2341E" w14:textId="77777777" w:rsidTr="00E67116">
        <w:trPr>
          <w:trHeight w:val="255"/>
        </w:trPr>
        <w:tc>
          <w:tcPr>
            <w:tcW w:w="4410" w:type="dxa"/>
            <w:tcBorders>
              <w:top w:val="nil"/>
              <w:left w:val="single" w:sz="8" w:space="0" w:color="auto"/>
              <w:bottom w:val="nil"/>
            </w:tcBorders>
            <w:shd w:val="clear" w:color="auto" w:fill="auto"/>
            <w:noWrap/>
            <w:vAlign w:val="center"/>
            <w:hideMark/>
          </w:tcPr>
          <w:p w14:paraId="217A6F26" w14:textId="77777777" w:rsidR="00B355BC" w:rsidRPr="001118B5" w:rsidRDefault="00B355BC" w:rsidP="00B355BC">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Transferências das Instutuições Privadas</w:t>
            </w:r>
          </w:p>
        </w:tc>
        <w:tc>
          <w:tcPr>
            <w:tcW w:w="835" w:type="dxa"/>
            <w:tcBorders>
              <w:top w:val="nil"/>
              <w:bottom w:val="nil"/>
              <w:right w:val="single" w:sz="8" w:space="0" w:color="auto"/>
            </w:tcBorders>
            <w:shd w:val="clear" w:color="auto" w:fill="auto"/>
            <w:noWrap/>
            <w:vAlign w:val="center"/>
          </w:tcPr>
          <w:p w14:paraId="7106C0E5"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2B2304F5"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DVP.D031</w:t>
            </w:r>
          </w:p>
        </w:tc>
        <w:tc>
          <w:tcPr>
            <w:tcW w:w="1134" w:type="dxa"/>
            <w:tcBorders>
              <w:top w:val="nil"/>
              <w:left w:val="nil"/>
              <w:bottom w:val="nil"/>
              <w:right w:val="single" w:sz="8" w:space="0" w:color="auto"/>
            </w:tcBorders>
            <w:shd w:val="clear" w:color="auto" w:fill="auto"/>
            <w:noWrap/>
            <w:vAlign w:val="center"/>
            <w:hideMark/>
          </w:tcPr>
          <w:p w14:paraId="7981F6E7"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DVP.E031</w:t>
            </w:r>
          </w:p>
        </w:tc>
        <w:tc>
          <w:tcPr>
            <w:tcW w:w="4346" w:type="dxa"/>
            <w:tcBorders>
              <w:top w:val="nil"/>
              <w:left w:val="nil"/>
              <w:bottom w:val="nil"/>
            </w:tcBorders>
            <w:shd w:val="clear" w:color="auto" w:fill="auto"/>
            <w:noWrap/>
            <w:vAlign w:val="center"/>
            <w:hideMark/>
          </w:tcPr>
          <w:p w14:paraId="09E9FC33" w14:textId="77777777" w:rsidR="00B355BC" w:rsidRPr="001118B5" w:rsidRDefault="00B355BC" w:rsidP="00B355BC">
            <w:pPr>
              <w:spacing w:after="0" w:line="240" w:lineRule="auto"/>
              <w:rPr>
                <w:rFonts w:ascii="Arial Narrow" w:eastAsia="Times New Roman" w:hAnsi="Arial Narrow" w:cs="Arial"/>
                <w:b/>
                <w:bCs/>
                <w:sz w:val="16"/>
                <w:szCs w:val="16"/>
                <w:u w:val="single"/>
                <w:lang w:eastAsia="pt-BR"/>
              </w:rPr>
            </w:pPr>
            <w:r w:rsidRPr="001118B5">
              <w:rPr>
                <w:rFonts w:ascii="Arial Narrow" w:eastAsia="Times New Roman" w:hAnsi="Arial Narrow" w:cs="Arial"/>
                <w:b/>
                <w:bCs/>
                <w:sz w:val="16"/>
                <w:szCs w:val="16"/>
                <w:u w:val="single"/>
                <w:lang w:eastAsia="pt-BR"/>
              </w:rPr>
              <w:t>Transferências e Delegações Concedidas</w:t>
            </w:r>
          </w:p>
        </w:tc>
        <w:tc>
          <w:tcPr>
            <w:tcW w:w="846" w:type="dxa"/>
            <w:tcBorders>
              <w:top w:val="nil"/>
              <w:bottom w:val="nil"/>
              <w:right w:val="single" w:sz="8" w:space="0" w:color="auto"/>
            </w:tcBorders>
            <w:shd w:val="clear" w:color="auto" w:fill="auto"/>
            <w:noWrap/>
            <w:vAlign w:val="center"/>
          </w:tcPr>
          <w:p w14:paraId="707CE2CD" w14:textId="77777777" w:rsidR="00B355BC" w:rsidRPr="001118B5" w:rsidRDefault="00B355BC" w:rsidP="00B355BC">
            <w:pPr>
              <w:spacing w:after="0" w:line="240" w:lineRule="auto"/>
              <w:jc w:val="center"/>
              <w:rPr>
                <w:rFonts w:ascii="Arial Narrow" w:eastAsia="Times New Roman" w:hAnsi="Arial Narrow" w:cs="Arial"/>
                <w:b/>
                <w:bCs/>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0215CE1C" w14:textId="77777777" w:rsidR="00B355BC" w:rsidRPr="001118B5" w:rsidRDefault="00B355BC" w:rsidP="00B355BC">
            <w:pPr>
              <w:spacing w:after="0" w:line="240" w:lineRule="auto"/>
              <w:jc w:val="center"/>
              <w:rPr>
                <w:rFonts w:ascii="Arial Narrow" w:eastAsia="Times New Roman" w:hAnsi="Arial Narrow" w:cs="Arial"/>
                <w:b/>
                <w:bCs/>
                <w:sz w:val="16"/>
                <w:szCs w:val="16"/>
                <w:lang w:eastAsia="pt-BR"/>
              </w:rPr>
            </w:pPr>
            <w:r w:rsidRPr="001118B5">
              <w:rPr>
                <w:rFonts w:ascii="Arial Narrow" w:eastAsia="Times New Roman" w:hAnsi="Arial Narrow" w:cs="Arial"/>
                <w:b/>
                <w:bCs/>
                <w:sz w:val="16"/>
                <w:szCs w:val="16"/>
                <w:lang w:eastAsia="pt-BR"/>
              </w:rPr>
              <w:t>DVP.H031</w:t>
            </w:r>
          </w:p>
        </w:tc>
        <w:tc>
          <w:tcPr>
            <w:tcW w:w="1120" w:type="dxa"/>
            <w:tcBorders>
              <w:top w:val="nil"/>
              <w:left w:val="nil"/>
              <w:bottom w:val="nil"/>
              <w:right w:val="single" w:sz="8" w:space="0" w:color="auto"/>
            </w:tcBorders>
            <w:shd w:val="clear" w:color="auto" w:fill="auto"/>
            <w:noWrap/>
            <w:vAlign w:val="center"/>
            <w:hideMark/>
          </w:tcPr>
          <w:p w14:paraId="1990B090" w14:textId="77777777" w:rsidR="00B355BC" w:rsidRPr="001118B5" w:rsidRDefault="00B355BC" w:rsidP="00B355BC">
            <w:pPr>
              <w:spacing w:after="0" w:line="240" w:lineRule="auto"/>
              <w:jc w:val="center"/>
              <w:rPr>
                <w:rFonts w:ascii="Arial Narrow" w:eastAsia="Times New Roman" w:hAnsi="Arial Narrow" w:cs="Arial"/>
                <w:b/>
                <w:bCs/>
                <w:sz w:val="16"/>
                <w:szCs w:val="16"/>
                <w:lang w:eastAsia="pt-BR"/>
              </w:rPr>
            </w:pPr>
            <w:r w:rsidRPr="001118B5">
              <w:rPr>
                <w:rFonts w:ascii="Arial Narrow" w:eastAsia="Times New Roman" w:hAnsi="Arial Narrow" w:cs="Arial"/>
                <w:b/>
                <w:bCs/>
                <w:sz w:val="16"/>
                <w:szCs w:val="16"/>
                <w:lang w:eastAsia="pt-BR"/>
              </w:rPr>
              <w:t>DVP.I031</w:t>
            </w:r>
          </w:p>
        </w:tc>
      </w:tr>
      <w:tr w:rsidR="00B355BC" w:rsidRPr="001118B5" w14:paraId="74D45020" w14:textId="77777777" w:rsidTr="00E67116">
        <w:trPr>
          <w:trHeight w:val="255"/>
        </w:trPr>
        <w:tc>
          <w:tcPr>
            <w:tcW w:w="4410" w:type="dxa"/>
            <w:tcBorders>
              <w:top w:val="nil"/>
              <w:left w:val="single" w:sz="8" w:space="0" w:color="auto"/>
              <w:bottom w:val="nil"/>
            </w:tcBorders>
            <w:shd w:val="clear" w:color="auto" w:fill="auto"/>
            <w:noWrap/>
            <w:vAlign w:val="center"/>
            <w:hideMark/>
          </w:tcPr>
          <w:p w14:paraId="41264F65" w14:textId="77777777" w:rsidR="00B355BC" w:rsidRPr="001118B5" w:rsidRDefault="00B355BC" w:rsidP="00B355BC">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Transferências das Instituições Multigovernamentais</w:t>
            </w:r>
          </w:p>
        </w:tc>
        <w:tc>
          <w:tcPr>
            <w:tcW w:w="835" w:type="dxa"/>
            <w:tcBorders>
              <w:top w:val="nil"/>
              <w:bottom w:val="nil"/>
              <w:right w:val="single" w:sz="8" w:space="0" w:color="auto"/>
            </w:tcBorders>
            <w:shd w:val="clear" w:color="auto" w:fill="auto"/>
            <w:noWrap/>
            <w:vAlign w:val="center"/>
          </w:tcPr>
          <w:p w14:paraId="75C0B020"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7C31C50A"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DVP.D032</w:t>
            </w:r>
          </w:p>
        </w:tc>
        <w:tc>
          <w:tcPr>
            <w:tcW w:w="1134" w:type="dxa"/>
            <w:tcBorders>
              <w:top w:val="nil"/>
              <w:left w:val="nil"/>
              <w:bottom w:val="nil"/>
              <w:right w:val="single" w:sz="8" w:space="0" w:color="auto"/>
            </w:tcBorders>
            <w:shd w:val="clear" w:color="auto" w:fill="auto"/>
            <w:noWrap/>
            <w:vAlign w:val="center"/>
            <w:hideMark/>
          </w:tcPr>
          <w:p w14:paraId="1C6115EF"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DVP.E032</w:t>
            </w:r>
          </w:p>
        </w:tc>
        <w:tc>
          <w:tcPr>
            <w:tcW w:w="4346" w:type="dxa"/>
            <w:tcBorders>
              <w:top w:val="nil"/>
              <w:left w:val="nil"/>
              <w:bottom w:val="nil"/>
            </w:tcBorders>
            <w:shd w:val="clear" w:color="auto" w:fill="auto"/>
            <w:noWrap/>
            <w:vAlign w:val="center"/>
            <w:hideMark/>
          </w:tcPr>
          <w:p w14:paraId="53932AB2" w14:textId="77777777" w:rsidR="00B355BC" w:rsidRPr="001118B5" w:rsidRDefault="00B355BC" w:rsidP="00B355BC">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Transferências Intragovernamentais</w:t>
            </w:r>
          </w:p>
        </w:tc>
        <w:tc>
          <w:tcPr>
            <w:tcW w:w="846" w:type="dxa"/>
            <w:tcBorders>
              <w:top w:val="nil"/>
              <w:bottom w:val="nil"/>
              <w:right w:val="single" w:sz="8" w:space="0" w:color="auto"/>
            </w:tcBorders>
            <w:shd w:val="clear" w:color="auto" w:fill="auto"/>
            <w:noWrap/>
            <w:vAlign w:val="center"/>
          </w:tcPr>
          <w:p w14:paraId="4FD9C355"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70277775"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DVP.H032</w:t>
            </w:r>
          </w:p>
        </w:tc>
        <w:tc>
          <w:tcPr>
            <w:tcW w:w="1120" w:type="dxa"/>
            <w:tcBorders>
              <w:top w:val="nil"/>
              <w:left w:val="nil"/>
              <w:bottom w:val="nil"/>
              <w:right w:val="single" w:sz="8" w:space="0" w:color="auto"/>
            </w:tcBorders>
            <w:shd w:val="clear" w:color="auto" w:fill="auto"/>
            <w:noWrap/>
            <w:vAlign w:val="center"/>
            <w:hideMark/>
          </w:tcPr>
          <w:p w14:paraId="351EACB4"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DVP.I032</w:t>
            </w:r>
          </w:p>
        </w:tc>
      </w:tr>
      <w:tr w:rsidR="00B355BC" w:rsidRPr="001118B5" w14:paraId="0409FC0A" w14:textId="77777777" w:rsidTr="00E67116">
        <w:trPr>
          <w:trHeight w:val="255"/>
        </w:trPr>
        <w:tc>
          <w:tcPr>
            <w:tcW w:w="4410" w:type="dxa"/>
            <w:tcBorders>
              <w:top w:val="nil"/>
              <w:left w:val="single" w:sz="8" w:space="0" w:color="auto"/>
              <w:bottom w:val="nil"/>
            </w:tcBorders>
            <w:shd w:val="clear" w:color="auto" w:fill="auto"/>
            <w:noWrap/>
            <w:vAlign w:val="center"/>
            <w:hideMark/>
          </w:tcPr>
          <w:p w14:paraId="1012DA8F" w14:textId="77777777" w:rsidR="00B355BC" w:rsidRPr="001118B5" w:rsidRDefault="00B355BC" w:rsidP="00B355BC">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Transferências de Consórcios Públicos</w:t>
            </w:r>
          </w:p>
        </w:tc>
        <w:tc>
          <w:tcPr>
            <w:tcW w:w="835" w:type="dxa"/>
            <w:tcBorders>
              <w:top w:val="nil"/>
              <w:bottom w:val="nil"/>
              <w:right w:val="single" w:sz="8" w:space="0" w:color="auto"/>
            </w:tcBorders>
            <w:shd w:val="clear" w:color="auto" w:fill="auto"/>
            <w:noWrap/>
            <w:vAlign w:val="center"/>
          </w:tcPr>
          <w:p w14:paraId="3E574809"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357361EE"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DVP.D033</w:t>
            </w:r>
          </w:p>
        </w:tc>
        <w:tc>
          <w:tcPr>
            <w:tcW w:w="1134" w:type="dxa"/>
            <w:tcBorders>
              <w:top w:val="nil"/>
              <w:left w:val="nil"/>
              <w:bottom w:val="nil"/>
              <w:right w:val="single" w:sz="8" w:space="0" w:color="auto"/>
            </w:tcBorders>
            <w:shd w:val="clear" w:color="auto" w:fill="auto"/>
            <w:noWrap/>
            <w:vAlign w:val="center"/>
            <w:hideMark/>
          </w:tcPr>
          <w:p w14:paraId="2680A714"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DVP.E033</w:t>
            </w:r>
          </w:p>
        </w:tc>
        <w:tc>
          <w:tcPr>
            <w:tcW w:w="4346" w:type="dxa"/>
            <w:tcBorders>
              <w:top w:val="nil"/>
              <w:left w:val="nil"/>
              <w:bottom w:val="nil"/>
            </w:tcBorders>
            <w:shd w:val="clear" w:color="auto" w:fill="auto"/>
            <w:noWrap/>
            <w:vAlign w:val="center"/>
            <w:hideMark/>
          </w:tcPr>
          <w:p w14:paraId="309665E9" w14:textId="77777777" w:rsidR="00B355BC" w:rsidRPr="001118B5" w:rsidRDefault="00B355BC" w:rsidP="00B355BC">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Transferências Intergovernamentais</w:t>
            </w:r>
          </w:p>
        </w:tc>
        <w:tc>
          <w:tcPr>
            <w:tcW w:w="846" w:type="dxa"/>
            <w:tcBorders>
              <w:top w:val="nil"/>
              <w:bottom w:val="nil"/>
              <w:right w:val="single" w:sz="8" w:space="0" w:color="auto"/>
            </w:tcBorders>
            <w:shd w:val="clear" w:color="auto" w:fill="auto"/>
            <w:noWrap/>
            <w:vAlign w:val="center"/>
          </w:tcPr>
          <w:p w14:paraId="14D0659A"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19D68323"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DVP.H033</w:t>
            </w:r>
          </w:p>
        </w:tc>
        <w:tc>
          <w:tcPr>
            <w:tcW w:w="1120" w:type="dxa"/>
            <w:tcBorders>
              <w:top w:val="nil"/>
              <w:left w:val="nil"/>
              <w:bottom w:val="nil"/>
              <w:right w:val="single" w:sz="8" w:space="0" w:color="auto"/>
            </w:tcBorders>
            <w:shd w:val="clear" w:color="auto" w:fill="auto"/>
            <w:noWrap/>
            <w:vAlign w:val="center"/>
            <w:hideMark/>
          </w:tcPr>
          <w:p w14:paraId="5571A669"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DVP.I033</w:t>
            </w:r>
          </w:p>
        </w:tc>
      </w:tr>
      <w:tr w:rsidR="00B355BC" w:rsidRPr="001118B5" w14:paraId="61BFAB54" w14:textId="77777777" w:rsidTr="00E67116">
        <w:trPr>
          <w:trHeight w:val="240"/>
        </w:trPr>
        <w:tc>
          <w:tcPr>
            <w:tcW w:w="4410" w:type="dxa"/>
            <w:tcBorders>
              <w:top w:val="nil"/>
              <w:left w:val="single" w:sz="8" w:space="0" w:color="auto"/>
              <w:bottom w:val="nil"/>
            </w:tcBorders>
            <w:shd w:val="clear" w:color="auto" w:fill="auto"/>
            <w:noWrap/>
            <w:vAlign w:val="center"/>
            <w:hideMark/>
          </w:tcPr>
          <w:p w14:paraId="0E16C2B5" w14:textId="77777777" w:rsidR="00B355BC" w:rsidRPr="001118B5" w:rsidRDefault="00B355BC" w:rsidP="00B355BC">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Transferências do Exterior</w:t>
            </w:r>
          </w:p>
        </w:tc>
        <w:tc>
          <w:tcPr>
            <w:tcW w:w="835" w:type="dxa"/>
            <w:tcBorders>
              <w:top w:val="nil"/>
              <w:bottom w:val="nil"/>
              <w:right w:val="single" w:sz="8" w:space="0" w:color="auto"/>
            </w:tcBorders>
            <w:shd w:val="clear" w:color="auto" w:fill="auto"/>
            <w:noWrap/>
            <w:vAlign w:val="center"/>
          </w:tcPr>
          <w:p w14:paraId="1A3860A4"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7FE0209B"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DVP.D034</w:t>
            </w:r>
          </w:p>
        </w:tc>
        <w:tc>
          <w:tcPr>
            <w:tcW w:w="1134" w:type="dxa"/>
            <w:tcBorders>
              <w:top w:val="nil"/>
              <w:left w:val="nil"/>
              <w:bottom w:val="nil"/>
              <w:right w:val="single" w:sz="8" w:space="0" w:color="auto"/>
            </w:tcBorders>
            <w:shd w:val="clear" w:color="auto" w:fill="auto"/>
            <w:noWrap/>
            <w:vAlign w:val="center"/>
            <w:hideMark/>
          </w:tcPr>
          <w:p w14:paraId="544FE0E1"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DVP.E034</w:t>
            </w:r>
          </w:p>
        </w:tc>
        <w:tc>
          <w:tcPr>
            <w:tcW w:w="4346" w:type="dxa"/>
            <w:tcBorders>
              <w:top w:val="nil"/>
              <w:left w:val="nil"/>
              <w:bottom w:val="nil"/>
            </w:tcBorders>
            <w:shd w:val="clear" w:color="auto" w:fill="auto"/>
            <w:noWrap/>
            <w:vAlign w:val="center"/>
            <w:hideMark/>
          </w:tcPr>
          <w:p w14:paraId="1772FA46" w14:textId="77777777" w:rsidR="00B355BC" w:rsidRPr="001118B5" w:rsidRDefault="00B355BC" w:rsidP="00B355BC">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Transferências a Instituições Privadas</w:t>
            </w:r>
          </w:p>
        </w:tc>
        <w:tc>
          <w:tcPr>
            <w:tcW w:w="846" w:type="dxa"/>
            <w:tcBorders>
              <w:top w:val="nil"/>
              <w:bottom w:val="nil"/>
              <w:right w:val="single" w:sz="8" w:space="0" w:color="auto"/>
            </w:tcBorders>
            <w:shd w:val="clear" w:color="auto" w:fill="auto"/>
            <w:noWrap/>
            <w:vAlign w:val="center"/>
          </w:tcPr>
          <w:p w14:paraId="30F7FD70"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34C27965"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DVP.H034</w:t>
            </w:r>
          </w:p>
        </w:tc>
        <w:tc>
          <w:tcPr>
            <w:tcW w:w="1120" w:type="dxa"/>
            <w:tcBorders>
              <w:top w:val="nil"/>
              <w:left w:val="nil"/>
              <w:bottom w:val="nil"/>
              <w:right w:val="single" w:sz="8" w:space="0" w:color="auto"/>
            </w:tcBorders>
            <w:shd w:val="clear" w:color="auto" w:fill="auto"/>
            <w:noWrap/>
            <w:vAlign w:val="center"/>
            <w:hideMark/>
          </w:tcPr>
          <w:p w14:paraId="23B7EB04"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DVP.I034</w:t>
            </w:r>
          </w:p>
        </w:tc>
      </w:tr>
      <w:tr w:rsidR="00B355BC" w:rsidRPr="001118B5" w14:paraId="6BA63415" w14:textId="77777777" w:rsidTr="00E67116">
        <w:trPr>
          <w:trHeight w:val="240"/>
        </w:trPr>
        <w:tc>
          <w:tcPr>
            <w:tcW w:w="4410" w:type="dxa"/>
            <w:tcBorders>
              <w:top w:val="nil"/>
              <w:left w:val="single" w:sz="8" w:space="0" w:color="auto"/>
              <w:bottom w:val="nil"/>
            </w:tcBorders>
            <w:shd w:val="clear" w:color="auto" w:fill="auto"/>
            <w:noWrap/>
            <w:vAlign w:val="center"/>
            <w:hideMark/>
          </w:tcPr>
          <w:p w14:paraId="111C9C2C" w14:textId="77777777" w:rsidR="00B355BC" w:rsidRPr="001118B5" w:rsidRDefault="00B355BC" w:rsidP="00B355BC">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Execução Orçam</w:t>
            </w:r>
            <w:r>
              <w:rPr>
                <w:rFonts w:ascii="Arial Narrow" w:eastAsia="Times New Roman" w:hAnsi="Arial Narrow" w:cs="Arial"/>
                <w:sz w:val="16"/>
                <w:szCs w:val="16"/>
                <w:lang w:eastAsia="pt-BR"/>
              </w:rPr>
              <w:t>entária Delegada</w:t>
            </w:r>
          </w:p>
        </w:tc>
        <w:tc>
          <w:tcPr>
            <w:tcW w:w="835" w:type="dxa"/>
            <w:tcBorders>
              <w:top w:val="nil"/>
              <w:bottom w:val="nil"/>
              <w:right w:val="single" w:sz="8" w:space="0" w:color="auto"/>
            </w:tcBorders>
            <w:shd w:val="clear" w:color="auto" w:fill="auto"/>
            <w:noWrap/>
            <w:vAlign w:val="center"/>
          </w:tcPr>
          <w:p w14:paraId="119FF19E"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400505A0"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DVP.D035</w:t>
            </w:r>
          </w:p>
        </w:tc>
        <w:tc>
          <w:tcPr>
            <w:tcW w:w="1134" w:type="dxa"/>
            <w:tcBorders>
              <w:top w:val="nil"/>
              <w:left w:val="nil"/>
              <w:bottom w:val="nil"/>
              <w:right w:val="single" w:sz="8" w:space="0" w:color="auto"/>
            </w:tcBorders>
            <w:shd w:val="clear" w:color="auto" w:fill="auto"/>
            <w:noWrap/>
            <w:vAlign w:val="center"/>
            <w:hideMark/>
          </w:tcPr>
          <w:p w14:paraId="1BB5B30E"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DVP.E035</w:t>
            </w:r>
          </w:p>
        </w:tc>
        <w:tc>
          <w:tcPr>
            <w:tcW w:w="4346" w:type="dxa"/>
            <w:tcBorders>
              <w:top w:val="nil"/>
              <w:left w:val="nil"/>
              <w:bottom w:val="nil"/>
            </w:tcBorders>
            <w:shd w:val="clear" w:color="auto" w:fill="auto"/>
            <w:noWrap/>
            <w:vAlign w:val="center"/>
            <w:hideMark/>
          </w:tcPr>
          <w:p w14:paraId="24A2D117" w14:textId="77777777" w:rsidR="00B355BC" w:rsidRPr="001118B5" w:rsidRDefault="00B355BC" w:rsidP="00B355BC">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Transferências a Instituições Multigovernamentais</w:t>
            </w:r>
          </w:p>
        </w:tc>
        <w:tc>
          <w:tcPr>
            <w:tcW w:w="846" w:type="dxa"/>
            <w:tcBorders>
              <w:top w:val="nil"/>
              <w:bottom w:val="nil"/>
              <w:right w:val="single" w:sz="8" w:space="0" w:color="auto"/>
            </w:tcBorders>
            <w:shd w:val="clear" w:color="auto" w:fill="auto"/>
            <w:noWrap/>
            <w:vAlign w:val="center"/>
          </w:tcPr>
          <w:p w14:paraId="153C3141"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413A528B"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DVP.H035</w:t>
            </w:r>
          </w:p>
        </w:tc>
        <w:tc>
          <w:tcPr>
            <w:tcW w:w="1120" w:type="dxa"/>
            <w:tcBorders>
              <w:top w:val="nil"/>
              <w:left w:val="nil"/>
              <w:bottom w:val="nil"/>
              <w:right w:val="single" w:sz="8" w:space="0" w:color="auto"/>
            </w:tcBorders>
            <w:shd w:val="clear" w:color="auto" w:fill="auto"/>
            <w:noWrap/>
            <w:vAlign w:val="center"/>
            <w:hideMark/>
          </w:tcPr>
          <w:p w14:paraId="757D86B8"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DVP.I035</w:t>
            </w:r>
          </w:p>
        </w:tc>
      </w:tr>
      <w:tr w:rsidR="00B355BC" w:rsidRPr="001118B5" w14:paraId="75AF81E1" w14:textId="77777777" w:rsidTr="00E67116">
        <w:trPr>
          <w:trHeight w:val="240"/>
        </w:trPr>
        <w:tc>
          <w:tcPr>
            <w:tcW w:w="4410" w:type="dxa"/>
            <w:tcBorders>
              <w:top w:val="nil"/>
              <w:left w:val="single" w:sz="8" w:space="0" w:color="auto"/>
            </w:tcBorders>
            <w:shd w:val="clear" w:color="auto" w:fill="auto"/>
            <w:noWrap/>
            <w:vAlign w:val="center"/>
            <w:hideMark/>
          </w:tcPr>
          <w:p w14:paraId="6228F18D" w14:textId="77777777" w:rsidR="00B355BC" w:rsidRPr="001118B5" w:rsidRDefault="00B355BC" w:rsidP="00B355BC">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Transferências de Pessoas Físicas</w:t>
            </w:r>
          </w:p>
        </w:tc>
        <w:tc>
          <w:tcPr>
            <w:tcW w:w="835" w:type="dxa"/>
            <w:tcBorders>
              <w:top w:val="nil"/>
              <w:right w:val="single" w:sz="8" w:space="0" w:color="auto"/>
            </w:tcBorders>
            <w:shd w:val="clear" w:color="auto" w:fill="auto"/>
            <w:noWrap/>
            <w:vAlign w:val="center"/>
          </w:tcPr>
          <w:p w14:paraId="57C7AC07"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p>
        </w:tc>
        <w:tc>
          <w:tcPr>
            <w:tcW w:w="1149" w:type="dxa"/>
            <w:tcBorders>
              <w:top w:val="nil"/>
              <w:left w:val="nil"/>
              <w:right w:val="single" w:sz="8" w:space="0" w:color="auto"/>
            </w:tcBorders>
            <w:shd w:val="clear" w:color="auto" w:fill="auto"/>
            <w:noWrap/>
            <w:vAlign w:val="center"/>
            <w:hideMark/>
          </w:tcPr>
          <w:p w14:paraId="221F6169"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DVP.D036</w:t>
            </w:r>
          </w:p>
        </w:tc>
        <w:tc>
          <w:tcPr>
            <w:tcW w:w="1134" w:type="dxa"/>
            <w:tcBorders>
              <w:top w:val="nil"/>
              <w:left w:val="nil"/>
              <w:right w:val="single" w:sz="8" w:space="0" w:color="auto"/>
            </w:tcBorders>
            <w:shd w:val="clear" w:color="auto" w:fill="auto"/>
            <w:noWrap/>
            <w:vAlign w:val="center"/>
            <w:hideMark/>
          </w:tcPr>
          <w:p w14:paraId="28E8BCF5"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DVP.E036</w:t>
            </w:r>
          </w:p>
        </w:tc>
        <w:tc>
          <w:tcPr>
            <w:tcW w:w="4346" w:type="dxa"/>
            <w:tcBorders>
              <w:top w:val="nil"/>
              <w:left w:val="nil"/>
            </w:tcBorders>
            <w:shd w:val="clear" w:color="auto" w:fill="auto"/>
            <w:noWrap/>
            <w:vAlign w:val="center"/>
            <w:hideMark/>
          </w:tcPr>
          <w:p w14:paraId="03A5C53F" w14:textId="77777777" w:rsidR="00B355BC" w:rsidRPr="001118B5" w:rsidRDefault="00B355BC" w:rsidP="00B355BC">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 xml:space="preserve">Transferências a Consórcios Públicos </w:t>
            </w:r>
          </w:p>
        </w:tc>
        <w:tc>
          <w:tcPr>
            <w:tcW w:w="846" w:type="dxa"/>
            <w:tcBorders>
              <w:top w:val="nil"/>
              <w:right w:val="single" w:sz="8" w:space="0" w:color="auto"/>
            </w:tcBorders>
            <w:shd w:val="clear" w:color="auto" w:fill="auto"/>
            <w:noWrap/>
            <w:vAlign w:val="center"/>
          </w:tcPr>
          <w:p w14:paraId="098CA4E2"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p>
        </w:tc>
        <w:tc>
          <w:tcPr>
            <w:tcW w:w="1045" w:type="dxa"/>
            <w:tcBorders>
              <w:top w:val="nil"/>
              <w:left w:val="nil"/>
              <w:right w:val="single" w:sz="8" w:space="0" w:color="auto"/>
            </w:tcBorders>
            <w:shd w:val="clear" w:color="auto" w:fill="auto"/>
            <w:noWrap/>
            <w:vAlign w:val="center"/>
            <w:hideMark/>
          </w:tcPr>
          <w:p w14:paraId="739E1EE8"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DVP.H036</w:t>
            </w:r>
          </w:p>
        </w:tc>
        <w:tc>
          <w:tcPr>
            <w:tcW w:w="1120" w:type="dxa"/>
            <w:tcBorders>
              <w:top w:val="nil"/>
              <w:left w:val="nil"/>
              <w:right w:val="single" w:sz="8" w:space="0" w:color="auto"/>
            </w:tcBorders>
            <w:shd w:val="clear" w:color="auto" w:fill="auto"/>
            <w:noWrap/>
            <w:vAlign w:val="center"/>
            <w:hideMark/>
          </w:tcPr>
          <w:p w14:paraId="14149BF3"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DVP.I036</w:t>
            </w:r>
          </w:p>
        </w:tc>
      </w:tr>
      <w:tr w:rsidR="00B355BC" w:rsidRPr="001118B5" w14:paraId="74E8910C" w14:textId="77777777" w:rsidTr="00E67116">
        <w:trPr>
          <w:trHeight w:val="240"/>
        </w:trPr>
        <w:tc>
          <w:tcPr>
            <w:tcW w:w="4410" w:type="dxa"/>
            <w:tcBorders>
              <w:top w:val="nil"/>
              <w:left w:val="single" w:sz="8" w:space="0" w:color="auto"/>
            </w:tcBorders>
            <w:shd w:val="clear" w:color="auto" w:fill="auto"/>
            <w:noWrap/>
            <w:vAlign w:val="center"/>
            <w:hideMark/>
          </w:tcPr>
          <w:p w14:paraId="69169550" w14:textId="77777777" w:rsidR="00B355BC" w:rsidRPr="001118B5" w:rsidRDefault="00B355BC" w:rsidP="00B355BC">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Outras Transferências e Delegações Recebidas</w:t>
            </w:r>
          </w:p>
        </w:tc>
        <w:tc>
          <w:tcPr>
            <w:tcW w:w="835" w:type="dxa"/>
            <w:tcBorders>
              <w:top w:val="nil"/>
              <w:right w:val="single" w:sz="8" w:space="0" w:color="auto"/>
            </w:tcBorders>
            <w:shd w:val="clear" w:color="auto" w:fill="auto"/>
            <w:noWrap/>
            <w:vAlign w:val="center"/>
          </w:tcPr>
          <w:p w14:paraId="226B1294"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p>
        </w:tc>
        <w:tc>
          <w:tcPr>
            <w:tcW w:w="1149" w:type="dxa"/>
            <w:tcBorders>
              <w:top w:val="nil"/>
              <w:left w:val="nil"/>
              <w:right w:val="single" w:sz="8" w:space="0" w:color="auto"/>
            </w:tcBorders>
            <w:shd w:val="clear" w:color="auto" w:fill="auto"/>
            <w:noWrap/>
            <w:vAlign w:val="center"/>
            <w:hideMark/>
          </w:tcPr>
          <w:p w14:paraId="00B47C8E"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DVP.D037</w:t>
            </w:r>
          </w:p>
        </w:tc>
        <w:tc>
          <w:tcPr>
            <w:tcW w:w="1134" w:type="dxa"/>
            <w:tcBorders>
              <w:top w:val="nil"/>
              <w:left w:val="nil"/>
              <w:right w:val="single" w:sz="8" w:space="0" w:color="auto"/>
            </w:tcBorders>
            <w:shd w:val="clear" w:color="auto" w:fill="auto"/>
            <w:noWrap/>
            <w:vAlign w:val="center"/>
            <w:hideMark/>
          </w:tcPr>
          <w:p w14:paraId="271AFD53"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DVP.E037</w:t>
            </w:r>
          </w:p>
        </w:tc>
        <w:tc>
          <w:tcPr>
            <w:tcW w:w="4346" w:type="dxa"/>
            <w:tcBorders>
              <w:top w:val="nil"/>
              <w:left w:val="nil"/>
            </w:tcBorders>
            <w:shd w:val="clear" w:color="auto" w:fill="auto"/>
            <w:noWrap/>
            <w:vAlign w:val="center"/>
            <w:hideMark/>
          </w:tcPr>
          <w:p w14:paraId="5175134C" w14:textId="77777777" w:rsidR="00B355BC" w:rsidRPr="001118B5" w:rsidRDefault="00B355BC" w:rsidP="00B355BC">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Transferências ao Exterior</w:t>
            </w:r>
          </w:p>
        </w:tc>
        <w:tc>
          <w:tcPr>
            <w:tcW w:w="846" w:type="dxa"/>
            <w:tcBorders>
              <w:top w:val="nil"/>
              <w:right w:val="single" w:sz="8" w:space="0" w:color="auto"/>
            </w:tcBorders>
            <w:shd w:val="clear" w:color="auto" w:fill="auto"/>
            <w:noWrap/>
            <w:vAlign w:val="center"/>
          </w:tcPr>
          <w:p w14:paraId="13722E28"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p>
        </w:tc>
        <w:tc>
          <w:tcPr>
            <w:tcW w:w="1045" w:type="dxa"/>
            <w:tcBorders>
              <w:top w:val="nil"/>
              <w:left w:val="nil"/>
              <w:right w:val="single" w:sz="8" w:space="0" w:color="auto"/>
            </w:tcBorders>
            <w:shd w:val="clear" w:color="auto" w:fill="auto"/>
            <w:noWrap/>
            <w:vAlign w:val="center"/>
            <w:hideMark/>
          </w:tcPr>
          <w:p w14:paraId="1E6160BE"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DVP.H037</w:t>
            </w:r>
          </w:p>
        </w:tc>
        <w:tc>
          <w:tcPr>
            <w:tcW w:w="1120" w:type="dxa"/>
            <w:tcBorders>
              <w:top w:val="nil"/>
              <w:left w:val="nil"/>
              <w:right w:val="single" w:sz="8" w:space="0" w:color="auto"/>
            </w:tcBorders>
            <w:shd w:val="clear" w:color="auto" w:fill="auto"/>
            <w:noWrap/>
            <w:vAlign w:val="center"/>
            <w:hideMark/>
          </w:tcPr>
          <w:p w14:paraId="18C912F2"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DVP.I037</w:t>
            </w:r>
          </w:p>
        </w:tc>
      </w:tr>
      <w:tr w:rsidR="00B355BC" w:rsidRPr="001118B5" w14:paraId="404C3E9B" w14:textId="77777777" w:rsidTr="00E67116">
        <w:trPr>
          <w:trHeight w:val="240"/>
        </w:trPr>
        <w:tc>
          <w:tcPr>
            <w:tcW w:w="4410" w:type="dxa"/>
            <w:tcBorders>
              <w:left w:val="single" w:sz="8" w:space="0" w:color="auto"/>
              <w:bottom w:val="nil"/>
            </w:tcBorders>
            <w:shd w:val="clear" w:color="auto" w:fill="auto"/>
            <w:noWrap/>
            <w:vAlign w:val="center"/>
            <w:hideMark/>
          </w:tcPr>
          <w:p w14:paraId="19116FF9" w14:textId="77777777" w:rsidR="00B355BC" w:rsidRPr="001118B5" w:rsidRDefault="00B355BC" w:rsidP="00B355BC">
            <w:pPr>
              <w:spacing w:after="0" w:line="240" w:lineRule="auto"/>
              <w:rPr>
                <w:rFonts w:ascii="Arial Narrow" w:eastAsia="Times New Roman" w:hAnsi="Arial Narrow" w:cs="Arial"/>
                <w:b/>
                <w:bCs/>
                <w:sz w:val="16"/>
                <w:szCs w:val="16"/>
                <w:u w:val="single"/>
                <w:lang w:eastAsia="pt-BR"/>
              </w:rPr>
            </w:pPr>
            <w:r w:rsidRPr="001118B5">
              <w:rPr>
                <w:rFonts w:ascii="Arial Narrow" w:eastAsia="Times New Roman" w:hAnsi="Arial Narrow" w:cs="Arial"/>
                <w:b/>
                <w:bCs/>
                <w:sz w:val="16"/>
                <w:szCs w:val="16"/>
                <w:u w:val="single"/>
                <w:lang w:eastAsia="pt-BR"/>
              </w:rPr>
              <w:t>Valorização e Ganhos com Ativos e Desincorporação de Passivos</w:t>
            </w:r>
          </w:p>
        </w:tc>
        <w:tc>
          <w:tcPr>
            <w:tcW w:w="835" w:type="dxa"/>
            <w:tcBorders>
              <w:right w:val="single" w:sz="8" w:space="0" w:color="auto"/>
            </w:tcBorders>
            <w:shd w:val="clear" w:color="auto" w:fill="auto"/>
            <w:noWrap/>
            <w:vAlign w:val="center"/>
          </w:tcPr>
          <w:p w14:paraId="4D016B9D" w14:textId="77777777" w:rsidR="00B355BC" w:rsidRPr="001118B5" w:rsidRDefault="00B355BC" w:rsidP="00B355BC">
            <w:pPr>
              <w:spacing w:after="0" w:line="240" w:lineRule="auto"/>
              <w:jc w:val="center"/>
              <w:rPr>
                <w:rFonts w:ascii="Arial Narrow" w:eastAsia="Times New Roman" w:hAnsi="Arial Narrow" w:cs="Arial"/>
                <w:b/>
                <w:bCs/>
                <w:sz w:val="16"/>
                <w:szCs w:val="16"/>
                <w:lang w:eastAsia="pt-BR"/>
              </w:rPr>
            </w:pPr>
          </w:p>
        </w:tc>
        <w:tc>
          <w:tcPr>
            <w:tcW w:w="1149" w:type="dxa"/>
            <w:tcBorders>
              <w:left w:val="nil"/>
              <w:bottom w:val="nil"/>
              <w:right w:val="single" w:sz="8" w:space="0" w:color="auto"/>
            </w:tcBorders>
            <w:shd w:val="clear" w:color="auto" w:fill="auto"/>
            <w:noWrap/>
            <w:vAlign w:val="center"/>
            <w:hideMark/>
          </w:tcPr>
          <w:p w14:paraId="4A8A3CCD" w14:textId="77777777" w:rsidR="00B355BC" w:rsidRPr="001118B5" w:rsidRDefault="00B355BC" w:rsidP="00B355BC">
            <w:pPr>
              <w:spacing w:after="0" w:line="240" w:lineRule="auto"/>
              <w:jc w:val="center"/>
              <w:rPr>
                <w:rFonts w:ascii="Arial Narrow" w:eastAsia="Times New Roman" w:hAnsi="Arial Narrow" w:cs="Arial"/>
                <w:b/>
                <w:bCs/>
                <w:sz w:val="16"/>
                <w:szCs w:val="16"/>
                <w:lang w:eastAsia="pt-BR"/>
              </w:rPr>
            </w:pPr>
            <w:r w:rsidRPr="001118B5">
              <w:rPr>
                <w:rFonts w:ascii="Arial Narrow" w:eastAsia="Times New Roman" w:hAnsi="Arial Narrow" w:cs="Arial"/>
                <w:b/>
                <w:bCs/>
                <w:sz w:val="16"/>
                <w:szCs w:val="16"/>
                <w:lang w:eastAsia="pt-BR"/>
              </w:rPr>
              <w:t>DVP.D038</w:t>
            </w:r>
          </w:p>
        </w:tc>
        <w:tc>
          <w:tcPr>
            <w:tcW w:w="1134" w:type="dxa"/>
            <w:tcBorders>
              <w:left w:val="nil"/>
              <w:bottom w:val="nil"/>
              <w:right w:val="single" w:sz="8" w:space="0" w:color="auto"/>
            </w:tcBorders>
            <w:shd w:val="clear" w:color="auto" w:fill="auto"/>
            <w:noWrap/>
            <w:vAlign w:val="center"/>
            <w:hideMark/>
          </w:tcPr>
          <w:p w14:paraId="344B6B5A" w14:textId="77777777" w:rsidR="00B355BC" w:rsidRPr="001118B5" w:rsidRDefault="00B355BC" w:rsidP="00B355BC">
            <w:pPr>
              <w:spacing w:after="0" w:line="240" w:lineRule="auto"/>
              <w:jc w:val="center"/>
              <w:rPr>
                <w:rFonts w:ascii="Arial Narrow" w:eastAsia="Times New Roman" w:hAnsi="Arial Narrow" w:cs="Arial"/>
                <w:b/>
                <w:bCs/>
                <w:sz w:val="16"/>
                <w:szCs w:val="16"/>
                <w:lang w:eastAsia="pt-BR"/>
              </w:rPr>
            </w:pPr>
            <w:r w:rsidRPr="001118B5">
              <w:rPr>
                <w:rFonts w:ascii="Arial Narrow" w:eastAsia="Times New Roman" w:hAnsi="Arial Narrow" w:cs="Arial"/>
                <w:b/>
                <w:bCs/>
                <w:sz w:val="16"/>
                <w:szCs w:val="16"/>
                <w:lang w:eastAsia="pt-BR"/>
              </w:rPr>
              <w:t>DVP.E038</w:t>
            </w:r>
          </w:p>
        </w:tc>
        <w:tc>
          <w:tcPr>
            <w:tcW w:w="4346" w:type="dxa"/>
            <w:tcBorders>
              <w:left w:val="nil"/>
              <w:bottom w:val="nil"/>
            </w:tcBorders>
            <w:shd w:val="clear" w:color="auto" w:fill="auto"/>
            <w:noWrap/>
            <w:vAlign w:val="center"/>
            <w:hideMark/>
          </w:tcPr>
          <w:p w14:paraId="4C621E3B" w14:textId="77777777" w:rsidR="00B355BC" w:rsidRPr="001118B5" w:rsidRDefault="00B355BC" w:rsidP="00B355BC">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Execuç</w:t>
            </w:r>
            <w:r>
              <w:rPr>
                <w:rFonts w:ascii="Arial Narrow" w:eastAsia="Times New Roman" w:hAnsi="Arial Narrow" w:cs="Arial"/>
                <w:sz w:val="16"/>
                <w:szCs w:val="16"/>
                <w:lang w:eastAsia="pt-BR"/>
              </w:rPr>
              <w:t>ão Orçamentária Delegada</w:t>
            </w:r>
          </w:p>
        </w:tc>
        <w:tc>
          <w:tcPr>
            <w:tcW w:w="846" w:type="dxa"/>
            <w:tcBorders>
              <w:bottom w:val="nil"/>
              <w:right w:val="single" w:sz="8" w:space="0" w:color="auto"/>
            </w:tcBorders>
            <w:shd w:val="clear" w:color="auto" w:fill="auto"/>
            <w:noWrap/>
            <w:vAlign w:val="center"/>
          </w:tcPr>
          <w:p w14:paraId="6B2EA2A9"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p>
        </w:tc>
        <w:tc>
          <w:tcPr>
            <w:tcW w:w="1045" w:type="dxa"/>
            <w:tcBorders>
              <w:left w:val="nil"/>
              <w:bottom w:val="nil"/>
              <w:right w:val="single" w:sz="8" w:space="0" w:color="auto"/>
            </w:tcBorders>
            <w:shd w:val="clear" w:color="auto" w:fill="auto"/>
            <w:noWrap/>
            <w:vAlign w:val="center"/>
            <w:hideMark/>
          </w:tcPr>
          <w:p w14:paraId="77231671"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DVP.H038</w:t>
            </w:r>
          </w:p>
        </w:tc>
        <w:tc>
          <w:tcPr>
            <w:tcW w:w="1120" w:type="dxa"/>
            <w:tcBorders>
              <w:left w:val="nil"/>
              <w:bottom w:val="nil"/>
              <w:right w:val="single" w:sz="8" w:space="0" w:color="auto"/>
            </w:tcBorders>
            <w:shd w:val="clear" w:color="auto" w:fill="auto"/>
            <w:noWrap/>
            <w:vAlign w:val="center"/>
            <w:hideMark/>
          </w:tcPr>
          <w:p w14:paraId="1820E05E"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DVP.I038</w:t>
            </w:r>
          </w:p>
        </w:tc>
      </w:tr>
      <w:tr w:rsidR="00B355BC" w:rsidRPr="001118B5" w14:paraId="7D9A5D35" w14:textId="77777777" w:rsidTr="00E67116">
        <w:trPr>
          <w:trHeight w:val="240"/>
        </w:trPr>
        <w:tc>
          <w:tcPr>
            <w:tcW w:w="4410" w:type="dxa"/>
            <w:tcBorders>
              <w:top w:val="nil"/>
              <w:left w:val="single" w:sz="8" w:space="0" w:color="auto"/>
              <w:bottom w:val="nil"/>
            </w:tcBorders>
            <w:shd w:val="clear" w:color="auto" w:fill="auto"/>
            <w:noWrap/>
            <w:vAlign w:val="center"/>
            <w:hideMark/>
          </w:tcPr>
          <w:p w14:paraId="480A8C96" w14:textId="77777777" w:rsidR="00B355BC" w:rsidRPr="001118B5" w:rsidRDefault="00B355BC" w:rsidP="00B355BC">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Reavaliação de Ativos</w:t>
            </w:r>
          </w:p>
        </w:tc>
        <w:tc>
          <w:tcPr>
            <w:tcW w:w="835" w:type="dxa"/>
            <w:tcBorders>
              <w:top w:val="nil"/>
              <w:bottom w:val="nil"/>
              <w:right w:val="single" w:sz="8" w:space="0" w:color="auto"/>
            </w:tcBorders>
            <w:shd w:val="clear" w:color="auto" w:fill="auto"/>
            <w:noWrap/>
            <w:vAlign w:val="center"/>
          </w:tcPr>
          <w:p w14:paraId="57C02CE2"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0286C481"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DVP.D039</w:t>
            </w:r>
          </w:p>
        </w:tc>
        <w:tc>
          <w:tcPr>
            <w:tcW w:w="1134" w:type="dxa"/>
            <w:tcBorders>
              <w:top w:val="nil"/>
              <w:left w:val="nil"/>
              <w:bottom w:val="nil"/>
              <w:right w:val="single" w:sz="8" w:space="0" w:color="auto"/>
            </w:tcBorders>
            <w:shd w:val="clear" w:color="auto" w:fill="auto"/>
            <w:noWrap/>
            <w:vAlign w:val="center"/>
            <w:hideMark/>
          </w:tcPr>
          <w:p w14:paraId="072D39A5"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DVP.E039</w:t>
            </w:r>
          </w:p>
        </w:tc>
        <w:tc>
          <w:tcPr>
            <w:tcW w:w="4346" w:type="dxa"/>
            <w:tcBorders>
              <w:top w:val="nil"/>
              <w:left w:val="nil"/>
              <w:bottom w:val="nil"/>
            </w:tcBorders>
            <w:shd w:val="clear" w:color="auto" w:fill="auto"/>
            <w:noWrap/>
            <w:vAlign w:val="center"/>
            <w:hideMark/>
          </w:tcPr>
          <w:p w14:paraId="6D092BEF" w14:textId="77777777" w:rsidR="00B355BC" w:rsidRPr="001118B5" w:rsidRDefault="00B355BC" w:rsidP="00B355BC">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Outras Transferências e Delegações Concedidas</w:t>
            </w:r>
          </w:p>
        </w:tc>
        <w:tc>
          <w:tcPr>
            <w:tcW w:w="846" w:type="dxa"/>
            <w:tcBorders>
              <w:top w:val="nil"/>
              <w:bottom w:val="nil"/>
              <w:right w:val="single" w:sz="8" w:space="0" w:color="auto"/>
            </w:tcBorders>
            <w:shd w:val="clear" w:color="auto" w:fill="auto"/>
            <w:noWrap/>
            <w:vAlign w:val="center"/>
          </w:tcPr>
          <w:p w14:paraId="13E75B1D"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2D9F3670"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DVP.H039</w:t>
            </w:r>
          </w:p>
        </w:tc>
        <w:tc>
          <w:tcPr>
            <w:tcW w:w="1120" w:type="dxa"/>
            <w:tcBorders>
              <w:top w:val="nil"/>
              <w:left w:val="nil"/>
              <w:bottom w:val="nil"/>
              <w:right w:val="single" w:sz="8" w:space="0" w:color="auto"/>
            </w:tcBorders>
            <w:shd w:val="clear" w:color="auto" w:fill="auto"/>
            <w:noWrap/>
            <w:vAlign w:val="center"/>
            <w:hideMark/>
          </w:tcPr>
          <w:p w14:paraId="4FF8246E"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DVP.I039</w:t>
            </w:r>
          </w:p>
        </w:tc>
      </w:tr>
      <w:tr w:rsidR="00B355BC" w:rsidRPr="001118B5" w14:paraId="49C5EB37" w14:textId="77777777" w:rsidTr="00E67116">
        <w:trPr>
          <w:trHeight w:val="240"/>
        </w:trPr>
        <w:tc>
          <w:tcPr>
            <w:tcW w:w="4410" w:type="dxa"/>
            <w:tcBorders>
              <w:top w:val="nil"/>
              <w:left w:val="single" w:sz="8" w:space="0" w:color="auto"/>
              <w:bottom w:val="nil"/>
            </w:tcBorders>
            <w:shd w:val="clear" w:color="auto" w:fill="auto"/>
            <w:noWrap/>
            <w:vAlign w:val="center"/>
            <w:hideMark/>
          </w:tcPr>
          <w:p w14:paraId="25F6C4E0" w14:textId="77777777" w:rsidR="00B355BC" w:rsidRPr="001118B5" w:rsidRDefault="00B355BC" w:rsidP="00B355BC">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Ganhos com Alienação</w:t>
            </w:r>
          </w:p>
        </w:tc>
        <w:tc>
          <w:tcPr>
            <w:tcW w:w="835" w:type="dxa"/>
            <w:tcBorders>
              <w:top w:val="nil"/>
              <w:bottom w:val="nil"/>
              <w:right w:val="single" w:sz="8" w:space="0" w:color="auto"/>
            </w:tcBorders>
            <w:shd w:val="clear" w:color="auto" w:fill="auto"/>
            <w:noWrap/>
            <w:vAlign w:val="center"/>
          </w:tcPr>
          <w:p w14:paraId="06EB7A5A"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12C19249"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DVP.D040</w:t>
            </w:r>
          </w:p>
        </w:tc>
        <w:tc>
          <w:tcPr>
            <w:tcW w:w="1134" w:type="dxa"/>
            <w:tcBorders>
              <w:top w:val="nil"/>
              <w:left w:val="nil"/>
              <w:bottom w:val="nil"/>
              <w:right w:val="single" w:sz="8" w:space="0" w:color="auto"/>
            </w:tcBorders>
            <w:shd w:val="clear" w:color="auto" w:fill="auto"/>
            <w:noWrap/>
            <w:vAlign w:val="center"/>
            <w:hideMark/>
          </w:tcPr>
          <w:p w14:paraId="2715A7DA"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DVP.E040</w:t>
            </w:r>
          </w:p>
        </w:tc>
        <w:tc>
          <w:tcPr>
            <w:tcW w:w="4346" w:type="dxa"/>
            <w:tcBorders>
              <w:top w:val="nil"/>
              <w:left w:val="nil"/>
              <w:bottom w:val="nil"/>
            </w:tcBorders>
            <w:shd w:val="clear" w:color="auto" w:fill="auto"/>
            <w:noWrap/>
            <w:vAlign w:val="center"/>
            <w:hideMark/>
          </w:tcPr>
          <w:p w14:paraId="04D52BEB" w14:textId="77777777" w:rsidR="00B355BC" w:rsidRPr="001118B5" w:rsidRDefault="00B355BC" w:rsidP="00B355BC">
            <w:pPr>
              <w:spacing w:after="0" w:line="240" w:lineRule="auto"/>
              <w:rPr>
                <w:rFonts w:ascii="Arial Narrow" w:eastAsia="Times New Roman" w:hAnsi="Arial Narrow" w:cs="Arial"/>
                <w:b/>
                <w:bCs/>
                <w:sz w:val="16"/>
                <w:szCs w:val="16"/>
                <w:u w:val="single"/>
                <w:lang w:eastAsia="pt-BR"/>
              </w:rPr>
            </w:pPr>
            <w:r w:rsidRPr="001118B5">
              <w:rPr>
                <w:rFonts w:ascii="Arial Narrow" w:eastAsia="Times New Roman" w:hAnsi="Arial Narrow" w:cs="Arial"/>
                <w:b/>
                <w:bCs/>
                <w:sz w:val="16"/>
                <w:szCs w:val="16"/>
                <w:u w:val="single"/>
                <w:lang w:eastAsia="pt-BR"/>
              </w:rPr>
              <w:t>Desvalorização e Perdas de Ativos e Incorporação de Passivos</w:t>
            </w:r>
          </w:p>
        </w:tc>
        <w:tc>
          <w:tcPr>
            <w:tcW w:w="846" w:type="dxa"/>
            <w:tcBorders>
              <w:top w:val="nil"/>
              <w:bottom w:val="nil"/>
              <w:right w:val="single" w:sz="8" w:space="0" w:color="auto"/>
            </w:tcBorders>
            <w:shd w:val="clear" w:color="auto" w:fill="auto"/>
            <w:noWrap/>
            <w:vAlign w:val="center"/>
          </w:tcPr>
          <w:p w14:paraId="0102820F" w14:textId="77777777" w:rsidR="00B355BC" w:rsidRPr="001118B5" w:rsidRDefault="00B355BC" w:rsidP="00B355BC">
            <w:pPr>
              <w:spacing w:after="0" w:line="240" w:lineRule="auto"/>
              <w:jc w:val="center"/>
              <w:rPr>
                <w:rFonts w:ascii="Arial Narrow" w:eastAsia="Times New Roman" w:hAnsi="Arial Narrow" w:cs="Arial"/>
                <w:b/>
                <w:bCs/>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584428F4" w14:textId="77777777" w:rsidR="00B355BC" w:rsidRPr="001118B5" w:rsidRDefault="00B355BC" w:rsidP="00B355BC">
            <w:pPr>
              <w:spacing w:after="0" w:line="240" w:lineRule="auto"/>
              <w:jc w:val="center"/>
              <w:rPr>
                <w:rFonts w:ascii="Arial Narrow" w:eastAsia="Times New Roman" w:hAnsi="Arial Narrow" w:cs="Arial"/>
                <w:b/>
                <w:bCs/>
                <w:sz w:val="16"/>
                <w:szCs w:val="16"/>
                <w:lang w:eastAsia="pt-BR"/>
              </w:rPr>
            </w:pPr>
            <w:r w:rsidRPr="001118B5">
              <w:rPr>
                <w:rFonts w:ascii="Arial Narrow" w:eastAsia="Times New Roman" w:hAnsi="Arial Narrow" w:cs="Arial"/>
                <w:b/>
                <w:bCs/>
                <w:sz w:val="16"/>
                <w:szCs w:val="16"/>
                <w:lang w:eastAsia="pt-BR"/>
              </w:rPr>
              <w:t>DVP.H040</w:t>
            </w:r>
          </w:p>
        </w:tc>
        <w:tc>
          <w:tcPr>
            <w:tcW w:w="1120" w:type="dxa"/>
            <w:tcBorders>
              <w:top w:val="nil"/>
              <w:left w:val="nil"/>
              <w:bottom w:val="nil"/>
              <w:right w:val="single" w:sz="8" w:space="0" w:color="auto"/>
            </w:tcBorders>
            <w:shd w:val="clear" w:color="auto" w:fill="auto"/>
            <w:noWrap/>
            <w:vAlign w:val="center"/>
            <w:hideMark/>
          </w:tcPr>
          <w:p w14:paraId="49E3F8A0" w14:textId="77777777" w:rsidR="00B355BC" w:rsidRPr="001118B5" w:rsidRDefault="00B355BC" w:rsidP="00B355BC">
            <w:pPr>
              <w:spacing w:after="0" w:line="240" w:lineRule="auto"/>
              <w:jc w:val="center"/>
              <w:rPr>
                <w:rFonts w:ascii="Arial Narrow" w:eastAsia="Times New Roman" w:hAnsi="Arial Narrow" w:cs="Arial"/>
                <w:b/>
                <w:bCs/>
                <w:sz w:val="16"/>
                <w:szCs w:val="16"/>
                <w:lang w:eastAsia="pt-BR"/>
              </w:rPr>
            </w:pPr>
            <w:r w:rsidRPr="001118B5">
              <w:rPr>
                <w:rFonts w:ascii="Arial Narrow" w:eastAsia="Times New Roman" w:hAnsi="Arial Narrow" w:cs="Arial"/>
                <w:b/>
                <w:bCs/>
                <w:sz w:val="16"/>
                <w:szCs w:val="16"/>
                <w:lang w:eastAsia="pt-BR"/>
              </w:rPr>
              <w:t>DVP.I040</w:t>
            </w:r>
          </w:p>
        </w:tc>
      </w:tr>
      <w:tr w:rsidR="00B355BC" w:rsidRPr="001118B5" w14:paraId="7DF0BD56" w14:textId="77777777" w:rsidTr="00E67116">
        <w:trPr>
          <w:trHeight w:val="240"/>
        </w:trPr>
        <w:tc>
          <w:tcPr>
            <w:tcW w:w="4410" w:type="dxa"/>
            <w:tcBorders>
              <w:top w:val="nil"/>
              <w:left w:val="single" w:sz="8" w:space="0" w:color="auto"/>
              <w:bottom w:val="nil"/>
            </w:tcBorders>
            <w:shd w:val="clear" w:color="auto" w:fill="auto"/>
            <w:noWrap/>
            <w:vAlign w:val="center"/>
            <w:hideMark/>
          </w:tcPr>
          <w:p w14:paraId="48DD75B2" w14:textId="77777777" w:rsidR="00B355BC" w:rsidRPr="001118B5" w:rsidRDefault="00B355BC" w:rsidP="00B355BC">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Ganhos com Incorporação de Ativos</w:t>
            </w:r>
          </w:p>
        </w:tc>
        <w:tc>
          <w:tcPr>
            <w:tcW w:w="835" w:type="dxa"/>
            <w:tcBorders>
              <w:top w:val="nil"/>
              <w:bottom w:val="nil"/>
              <w:right w:val="single" w:sz="8" w:space="0" w:color="auto"/>
            </w:tcBorders>
            <w:shd w:val="clear" w:color="auto" w:fill="auto"/>
            <w:noWrap/>
            <w:vAlign w:val="center"/>
          </w:tcPr>
          <w:p w14:paraId="72F909E6"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56FDAD65"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DVP.D041</w:t>
            </w:r>
          </w:p>
        </w:tc>
        <w:tc>
          <w:tcPr>
            <w:tcW w:w="1134" w:type="dxa"/>
            <w:tcBorders>
              <w:top w:val="nil"/>
              <w:left w:val="nil"/>
              <w:bottom w:val="nil"/>
              <w:right w:val="single" w:sz="8" w:space="0" w:color="auto"/>
            </w:tcBorders>
            <w:shd w:val="clear" w:color="auto" w:fill="auto"/>
            <w:noWrap/>
            <w:vAlign w:val="center"/>
            <w:hideMark/>
          </w:tcPr>
          <w:p w14:paraId="5CF1EACF"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DVP.E041</w:t>
            </w:r>
          </w:p>
        </w:tc>
        <w:tc>
          <w:tcPr>
            <w:tcW w:w="4346" w:type="dxa"/>
            <w:tcBorders>
              <w:top w:val="nil"/>
              <w:left w:val="nil"/>
              <w:bottom w:val="nil"/>
            </w:tcBorders>
            <w:shd w:val="clear" w:color="auto" w:fill="auto"/>
            <w:noWrap/>
            <w:vAlign w:val="center"/>
            <w:hideMark/>
          </w:tcPr>
          <w:p w14:paraId="47C9EF59" w14:textId="77777777" w:rsidR="00B355BC" w:rsidRPr="001118B5" w:rsidRDefault="00B355BC" w:rsidP="00B355BC">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Reavaliação, Redução a Valor Recuperável e Ajuste para Perdas</w:t>
            </w:r>
          </w:p>
        </w:tc>
        <w:tc>
          <w:tcPr>
            <w:tcW w:w="846" w:type="dxa"/>
            <w:tcBorders>
              <w:top w:val="nil"/>
              <w:right w:val="single" w:sz="8" w:space="0" w:color="auto"/>
            </w:tcBorders>
            <w:shd w:val="clear" w:color="auto" w:fill="auto"/>
            <w:noWrap/>
            <w:vAlign w:val="center"/>
          </w:tcPr>
          <w:p w14:paraId="28F0159B"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1D79A0D8"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DVP.H041</w:t>
            </w:r>
          </w:p>
        </w:tc>
        <w:tc>
          <w:tcPr>
            <w:tcW w:w="1120" w:type="dxa"/>
            <w:tcBorders>
              <w:top w:val="nil"/>
              <w:left w:val="nil"/>
              <w:bottom w:val="nil"/>
              <w:right w:val="single" w:sz="8" w:space="0" w:color="auto"/>
            </w:tcBorders>
            <w:shd w:val="clear" w:color="auto" w:fill="auto"/>
            <w:noWrap/>
            <w:vAlign w:val="center"/>
            <w:hideMark/>
          </w:tcPr>
          <w:p w14:paraId="5E1C4786"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DVP.I041</w:t>
            </w:r>
          </w:p>
        </w:tc>
      </w:tr>
      <w:tr w:rsidR="00B355BC" w:rsidRPr="001118B5" w14:paraId="4ABEABEF" w14:textId="77777777" w:rsidTr="00E67116">
        <w:trPr>
          <w:trHeight w:val="240"/>
        </w:trPr>
        <w:tc>
          <w:tcPr>
            <w:tcW w:w="4410" w:type="dxa"/>
            <w:tcBorders>
              <w:top w:val="nil"/>
              <w:left w:val="single" w:sz="8" w:space="0" w:color="auto"/>
              <w:bottom w:val="nil"/>
            </w:tcBorders>
            <w:shd w:val="clear" w:color="auto" w:fill="auto"/>
            <w:noWrap/>
            <w:vAlign w:val="center"/>
            <w:hideMark/>
          </w:tcPr>
          <w:p w14:paraId="179C8E65" w14:textId="77777777" w:rsidR="00B355BC" w:rsidRPr="001118B5" w:rsidRDefault="00B355BC" w:rsidP="00B355BC">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Ganhos com Desincorporação de Passivos</w:t>
            </w:r>
          </w:p>
        </w:tc>
        <w:tc>
          <w:tcPr>
            <w:tcW w:w="835" w:type="dxa"/>
            <w:tcBorders>
              <w:top w:val="nil"/>
              <w:bottom w:val="nil"/>
              <w:right w:val="single" w:sz="8" w:space="0" w:color="auto"/>
            </w:tcBorders>
            <w:shd w:val="clear" w:color="auto" w:fill="auto"/>
            <w:noWrap/>
            <w:vAlign w:val="center"/>
          </w:tcPr>
          <w:p w14:paraId="6C0F7FCC"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29A69D69"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DVP.D042</w:t>
            </w:r>
          </w:p>
        </w:tc>
        <w:tc>
          <w:tcPr>
            <w:tcW w:w="1134" w:type="dxa"/>
            <w:tcBorders>
              <w:top w:val="nil"/>
              <w:left w:val="nil"/>
              <w:bottom w:val="nil"/>
              <w:right w:val="single" w:sz="8" w:space="0" w:color="auto"/>
            </w:tcBorders>
            <w:shd w:val="clear" w:color="auto" w:fill="auto"/>
            <w:noWrap/>
            <w:vAlign w:val="center"/>
            <w:hideMark/>
          </w:tcPr>
          <w:p w14:paraId="77F198FC"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DVP.E042</w:t>
            </w:r>
          </w:p>
        </w:tc>
        <w:tc>
          <w:tcPr>
            <w:tcW w:w="4346" w:type="dxa"/>
            <w:tcBorders>
              <w:top w:val="nil"/>
              <w:left w:val="nil"/>
              <w:bottom w:val="nil"/>
            </w:tcBorders>
            <w:shd w:val="clear" w:color="auto" w:fill="auto"/>
            <w:noWrap/>
            <w:vAlign w:val="center"/>
            <w:hideMark/>
          </w:tcPr>
          <w:p w14:paraId="0A870592" w14:textId="77777777" w:rsidR="00B355BC" w:rsidRPr="001118B5" w:rsidRDefault="00B355BC" w:rsidP="00B355BC">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Perdas com Alienação</w:t>
            </w:r>
          </w:p>
        </w:tc>
        <w:tc>
          <w:tcPr>
            <w:tcW w:w="846" w:type="dxa"/>
            <w:tcBorders>
              <w:top w:val="nil"/>
              <w:bottom w:val="nil"/>
              <w:right w:val="single" w:sz="8" w:space="0" w:color="auto"/>
            </w:tcBorders>
            <w:shd w:val="clear" w:color="auto" w:fill="auto"/>
            <w:noWrap/>
            <w:vAlign w:val="center"/>
          </w:tcPr>
          <w:p w14:paraId="78ED55A0"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43FAE60B"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DVP.H042</w:t>
            </w:r>
          </w:p>
        </w:tc>
        <w:tc>
          <w:tcPr>
            <w:tcW w:w="1120" w:type="dxa"/>
            <w:tcBorders>
              <w:top w:val="nil"/>
              <w:left w:val="nil"/>
              <w:bottom w:val="nil"/>
              <w:right w:val="single" w:sz="8" w:space="0" w:color="auto"/>
            </w:tcBorders>
            <w:shd w:val="clear" w:color="auto" w:fill="auto"/>
            <w:noWrap/>
            <w:vAlign w:val="center"/>
            <w:hideMark/>
          </w:tcPr>
          <w:p w14:paraId="0B5804D9"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DVP.I042</w:t>
            </w:r>
          </w:p>
        </w:tc>
      </w:tr>
      <w:tr w:rsidR="00B355BC" w:rsidRPr="001118B5" w14:paraId="7725EF7B" w14:textId="77777777" w:rsidTr="00E67116">
        <w:trPr>
          <w:trHeight w:val="240"/>
        </w:trPr>
        <w:tc>
          <w:tcPr>
            <w:tcW w:w="4410" w:type="dxa"/>
            <w:tcBorders>
              <w:top w:val="nil"/>
              <w:left w:val="single" w:sz="8" w:space="0" w:color="auto"/>
              <w:bottom w:val="nil"/>
            </w:tcBorders>
            <w:shd w:val="clear" w:color="auto" w:fill="auto"/>
            <w:noWrap/>
            <w:vAlign w:val="center"/>
            <w:hideMark/>
          </w:tcPr>
          <w:p w14:paraId="0FD6C505" w14:textId="77777777" w:rsidR="00B355BC" w:rsidRPr="001118B5" w:rsidRDefault="00B355BC" w:rsidP="00B355BC">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Reversão de Redução ao Valor Recuperável</w:t>
            </w:r>
          </w:p>
        </w:tc>
        <w:tc>
          <w:tcPr>
            <w:tcW w:w="835" w:type="dxa"/>
            <w:tcBorders>
              <w:top w:val="nil"/>
              <w:bottom w:val="nil"/>
              <w:right w:val="single" w:sz="8" w:space="0" w:color="auto"/>
            </w:tcBorders>
            <w:shd w:val="clear" w:color="auto" w:fill="auto"/>
            <w:noWrap/>
            <w:vAlign w:val="center"/>
          </w:tcPr>
          <w:p w14:paraId="3D511873"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6B23C021"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DVP.D043</w:t>
            </w:r>
          </w:p>
        </w:tc>
        <w:tc>
          <w:tcPr>
            <w:tcW w:w="1134" w:type="dxa"/>
            <w:tcBorders>
              <w:top w:val="nil"/>
              <w:left w:val="nil"/>
              <w:bottom w:val="nil"/>
              <w:right w:val="single" w:sz="8" w:space="0" w:color="auto"/>
            </w:tcBorders>
            <w:shd w:val="clear" w:color="auto" w:fill="auto"/>
            <w:noWrap/>
            <w:vAlign w:val="center"/>
            <w:hideMark/>
          </w:tcPr>
          <w:p w14:paraId="558E8F59"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DVP.E043</w:t>
            </w:r>
          </w:p>
        </w:tc>
        <w:tc>
          <w:tcPr>
            <w:tcW w:w="4346" w:type="dxa"/>
            <w:tcBorders>
              <w:top w:val="nil"/>
              <w:left w:val="nil"/>
              <w:bottom w:val="nil"/>
            </w:tcBorders>
            <w:shd w:val="clear" w:color="auto" w:fill="auto"/>
            <w:noWrap/>
            <w:vAlign w:val="center"/>
            <w:hideMark/>
          </w:tcPr>
          <w:p w14:paraId="591E2FC2" w14:textId="77777777" w:rsidR="00B355BC" w:rsidRPr="001118B5" w:rsidRDefault="00B355BC" w:rsidP="00B355BC">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Perdas Involuntárias</w:t>
            </w:r>
          </w:p>
        </w:tc>
        <w:tc>
          <w:tcPr>
            <w:tcW w:w="846" w:type="dxa"/>
            <w:tcBorders>
              <w:top w:val="nil"/>
              <w:bottom w:val="nil"/>
              <w:right w:val="single" w:sz="8" w:space="0" w:color="auto"/>
            </w:tcBorders>
            <w:shd w:val="clear" w:color="auto" w:fill="auto"/>
            <w:noWrap/>
            <w:vAlign w:val="center"/>
          </w:tcPr>
          <w:p w14:paraId="761B0AED"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067F240E"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DVP.H043</w:t>
            </w:r>
          </w:p>
        </w:tc>
        <w:tc>
          <w:tcPr>
            <w:tcW w:w="1120" w:type="dxa"/>
            <w:tcBorders>
              <w:top w:val="nil"/>
              <w:left w:val="nil"/>
              <w:bottom w:val="nil"/>
              <w:right w:val="single" w:sz="8" w:space="0" w:color="auto"/>
            </w:tcBorders>
            <w:shd w:val="clear" w:color="auto" w:fill="auto"/>
            <w:noWrap/>
            <w:vAlign w:val="center"/>
            <w:hideMark/>
          </w:tcPr>
          <w:p w14:paraId="5696ED99"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DVP.I043</w:t>
            </w:r>
          </w:p>
        </w:tc>
      </w:tr>
      <w:tr w:rsidR="00B355BC" w:rsidRPr="001118B5" w14:paraId="5DF0C7B4" w14:textId="77777777" w:rsidTr="00E67116">
        <w:trPr>
          <w:trHeight w:val="240"/>
        </w:trPr>
        <w:tc>
          <w:tcPr>
            <w:tcW w:w="4410" w:type="dxa"/>
            <w:tcBorders>
              <w:top w:val="nil"/>
              <w:left w:val="single" w:sz="8" w:space="0" w:color="auto"/>
              <w:bottom w:val="nil"/>
            </w:tcBorders>
            <w:shd w:val="clear" w:color="auto" w:fill="auto"/>
            <w:noWrap/>
            <w:vAlign w:val="center"/>
            <w:hideMark/>
          </w:tcPr>
          <w:p w14:paraId="056126EA" w14:textId="77777777" w:rsidR="00B355BC" w:rsidRPr="001118B5" w:rsidRDefault="00B355BC" w:rsidP="00B355BC">
            <w:pPr>
              <w:spacing w:after="0" w:line="240" w:lineRule="auto"/>
              <w:rPr>
                <w:rFonts w:ascii="Arial Narrow" w:eastAsia="Times New Roman" w:hAnsi="Arial Narrow" w:cs="Arial"/>
                <w:b/>
                <w:bCs/>
                <w:sz w:val="16"/>
                <w:szCs w:val="16"/>
                <w:u w:val="single"/>
                <w:lang w:eastAsia="pt-BR"/>
              </w:rPr>
            </w:pPr>
            <w:r w:rsidRPr="001118B5">
              <w:rPr>
                <w:rFonts w:ascii="Arial Narrow" w:eastAsia="Times New Roman" w:hAnsi="Arial Narrow" w:cs="Arial"/>
                <w:b/>
                <w:bCs/>
                <w:sz w:val="16"/>
                <w:szCs w:val="16"/>
                <w:u w:val="single"/>
                <w:lang w:eastAsia="pt-BR"/>
              </w:rPr>
              <w:t>Outras  Variações Patrimoniais Aumentativas</w:t>
            </w:r>
          </w:p>
        </w:tc>
        <w:tc>
          <w:tcPr>
            <w:tcW w:w="835" w:type="dxa"/>
            <w:tcBorders>
              <w:top w:val="nil"/>
              <w:bottom w:val="nil"/>
              <w:right w:val="single" w:sz="8" w:space="0" w:color="auto"/>
            </w:tcBorders>
            <w:shd w:val="clear" w:color="auto" w:fill="auto"/>
            <w:noWrap/>
            <w:vAlign w:val="center"/>
          </w:tcPr>
          <w:p w14:paraId="7B1EA1C4" w14:textId="77777777" w:rsidR="00B355BC" w:rsidRPr="001118B5" w:rsidRDefault="00B355BC" w:rsidP="00B355BC">
            <w:pPr>
              <w:spacing w:after="0" w:line="240" w:lineRule="auto"/>
              <w:jc w:val="center"/>
              <w:rPr>
                <w:rFonts w:ascii="Arial Narrow" w:eastAsia="Times New Roman" w:hAnsi="Arial Narrow" w:cs="Arial"/>
                <w:b/>
                <w:bCs/>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6130D656" w14:textId="77777777" w:rsidR="00B355BC" w:rsidRPr="001118B5" w:rsidRDefault="00B355BC" w:rsidP="00B355BC">
            <w:pPr>
              <w:spacing w:after="0" w:line="240" w:lineRule="auto"/>
              <w:jc w:val="center"/>
              <w:rPr>
                <w:rFonts w:ascii="Arial Narrow" w:eastAsia="Times New Roman" w:hAnsi="Arial Narrow" w:cs="Arial"/>
                <w:b/>
                <w:bCs/>
                <w:sz w:val="16"/>
                <w:szCs w:val="16"/>
                <w:lang w:eastAsia="pt-BR"/>
              </w:rPr>
            </w:pPr>
            <w:r w:rsidRPr="001118B5">
              <w:rPr>
                <w:rFonts w:ascii="Arial Narrow" w:eastAsia="Times New Roman" w:hAnsi="Arial Narrow" w:cs="Arial"/>
                <w:b/>
                <w:bCs/>
                <w:sz w:val="16"/>
                <w:szCs w:val="16"/>
                <w:lang w:eastAsia="pt-BR"/>
              </w:rPr>
              <w:t>DVP.D044</w:t>
            </w:r>
          </w:p>
        </w:tc>
        <w:tc>
          <w:tcPr>
            <w:tcW w:w="1134" w:type="dxa"/>
            <w:tcBorders>
              <w:top w:val="nil"/>
              <w:left w:val="nil"/>
              <w:bottom w:val="nil"/>
              <w:right w:val="single" w:sz="8" w:space="0" w:color="auto"/>
            </w:tcBorders>
            <w:shd w:val="clear" w:color="auto" w:fill="auto"/>
            <w:noWrap/>
            <w:vAlign w:val="center"/>
            <w:hideMark/>
          </w:tcPr>
          <w:p w14:paraId="299B7E14" w14:textId="77777777" w:rsidR="00B355BC" w:rsidRPr="001118B5" w:rsidRDefault="00B355BC" w:rsidP="00B355BC">
            <w:pPr>
              <w:spacing w:after="0" w:line="240" w:lineRule="auto"/>
              <w:jc w:val="center"/>
              <w:rPr>
                <w:rFonts w:ascii="Arial Narrow" w:eastAsia="Times New Roman" w:hAnsi="Arial Narrow" w:cs="Arial"/>
                <w:b/>
                <w:bCs/>
                <w:sz w:val="16"/>
                <w:szCs w:val="16"/>
                <w:lang w:eastAsia="pt-BR"/>
              </w:rPr>
            </w:pPr>
            <w:r w:rsidRPr="001118B5">
              <w:rPr>
                <w:rFonts w:ascii="Arial Narrow" w:eastAsia="Times New Roman" w:hAnsi="Arial Narrow" w:cs="Arial"/>
                <w:b/>
                <w:bCs/>
                <w:sz w:val="16"/>
                <w:szCs w:val="16"/>
                <w:lang w:eastAsia="pt-BR"/>
              </w:rPr>
              <w:t>DVP.E044</w:t>
            </w:r>
          </w:p>
        </w:tc>
        <w:tc>
          <w:tcPr>
            <w:tcW w:w="4346" w:type="dxa"/>
            <w:tcBorders>
              <w:top w:val="nil"/>
              <w:left w:val="nil"/>
              <w:bottom w:val="nil"/>
            </w:tcBorders>
            <w:shd w:val="clear" w:color="auto" w:fill="auto"/>
            <w:noWrap/>
            <w:vAlign w:val="center"/>
            <w:hideMark/>
          </w:tcPr>
          <w:p w14:paraId="4D40A121" w14:textId="77777777" w:rsidR="00B355BC" w:rsidRPr="001118B5" w:rsidRDefault="00B355BC" w:rsidP="00B355BC">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Incorporação de Passivos</w:t>
            </w:r>
          </w:p>
        </w:tc>
        <w:tc>
          <w:tcPr>
            <w:tcW w:w="846" w:type="dxa"/>
            <w:tcBorders>
              <w:top w:val="nil"/>
              <w:bottom w:val="nil"/>
              <w:right w:val="single" w:sz="8" w:space="0" w:color="auto"/>
            </w:tcBorders>
            <w:shd w:val="clear" w:color="auto" w:fill="auto"/>
            <w:noWrap/>
            <w:vAlign w:val="center"/>
          </w:tcPr>
          <w:p w14:paraId="43723CFD"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109A9320"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DVP.H044</w:t>
            </w:r>
          </w:p>
        </w:tc>
        <w:tc>
          <w:tcPr>
            <w:tcW w:w="1120" w:type="dxa"/>
            <w:tcBorders>
              <w:top w:val="nil"/>
              <w:left w:val="nil"/>
              <w:bottom w:val="nil"/>
              <w:right w:val="single" w:sz="8" w:space="0" w:color="auto"/>
            </w:tcBorders>
            <w:shd w:val="clear" w:color="auto" w:fill="auto"/>
            <w:noWrap/>
            <w:vAlign w:val="center"/>
            <w:hideMark/>
          </w:tcPr>
          <w:p w14:paraId="150AE49B"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DVP.I044</w:t>
            </w:r>
          </w:p>
        </w:tc>
      </w:tr>
      <w:tr w:rsidR="00B355BC" w:rsidRPr="001118B5" w14:paraId="0935141F" w14:textId="77777777" w:rsidTr="00E67116">
        <w:trPr>
          <w:trHeight w:val="240"/>
        </w:trPr>
        <w:tc>
          <w:tcPr>
            <w:tcW w:w="4410" w:type="dxa"/>
            <w:tcBorders>
              <w:top w:val="nil"/>
              <w:left w:val="single" w:sz="8" w:space="0" w:color="auto"/>
              <w:bottom w:val="nil"/>
            </w:tcBorders>
            <w:shd w:val="clear" w:color="auto" w:fill="auto"/>
            <w:noWrap/>
            <w:vAlign w:val="center"/>
            <w:hideMark/>
          </w:tcPr>
          <w:p w14:paraId="792A2379" w14:textId="77777777" w:rsidR="00B355BC" w:rsidRPr="001118B5" w:rsidRDefault="00B355BC" w:rsidP="00B355BC">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Variação Patrimonial Aumentativa a Classificar</w:t>
            </w:r>
          </w:p>
        </w:tc>
        <w:tc>
          <w:tcPr>
            <w:tcW w:w="835" w:type="dxa"/>
            <w:tcBorders>
              <w:top w:val="nil"/>
              <w:bottom w:val="nil"/>
              <w:right w:val="single" w:sz="8" w:space="0" w:color="auto"/>
            </w:tcBorders>
            <w:shd w:val="clear" w:color="auto" w:fill="auto"/>
            <w:noWrap/>
            <w:vAlign w:val="center"/>
          </w:tcPr>
          <w:p w14:paraId="609FC60D"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6C7DCC8B"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DVP.D045</w:t>
            </w:r>
          </w:p>
        </w:tc>
        <w:tc>
          <w:tcPr>
            <w:tcW w:w="1134" w:type="dxa"/>
            <w:tcBorders>
              <w:top w:val="nil"/>
              <w:left w:val="nil"/>
              <w:bottom w:val="nil"/>
              <w:right w:val="single" w:sz="8" w:space="0" w:color="auto"/>
            </w:tcBorders>
            <w:shd w:val="clear" w:color="auto" w:fill="auto"/>
            <w:noWrap/>
            <w:vAlign w:val="center"/>
            <w:hideMark/>
          </w:tcPr>
          <w:p w14:paraId="311CD8F3"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DVP.E045</w:t>
            </w:r>
          </w:p>
        </w:tc>
        <w:tc>
          <w:tcPr>
            <w:tcW w:w="4346" w:type="dxa"/>
            <w:tcBorders>
              <w:top w:val="nil"/>
              <w:left w:val="nil"/>
              <w:bottom w:val="nil"/>
            </w:tcBorders>
            <w:shd w:val="clear" w:color="auto" w:fill="auto"/>
            <w:noWrap/>
            <w:vAlign w:val="center"/>
            <w:hideMark/>
          </w:tcPr>
          <w:p w14:paraId="3ABB9DD9" w14:textId="77777777" w:rsidR="00B355BC" w:rsidRPr="001118B5" w:rsidRDefault="00B355BC" w:rsidP="00B355BC">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Desicorporação de Ativos</w:t>
            </w:r>
          </w:p>
        </w:tc>
        <w:tc>
          <w:tcPr>
            <w:tcW w:w="846" w:type="dxa"/>
            <w:tcBorders>
              <w:top w:val="nil"/>
              <w:bottom w:val="nil"/>
              <w:right w:val="single" w:sz="8" w:space="0" w:color="auto"/>
            </w:tcBorders>
            <w:shd w:val="clear" w:color="auto" w:fill="auto"/>
            <w:noWrap/>
            <w:vAlign w:val="center"/>
          </w:tcPr>
          <w:p w14:paraId="4AA350D1"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76604A99"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DVP.H045</w:t>
            </w:r>
          </w:p>
        </w:tc>
        <w:tc>
          <w:tcPr>
            <w:tcW w:w="1120" w:type="dxa"/>
            <w:tcBorders>
              <w:top w:val="nil"/>
              <w:left w:val="nil"/>
              <w:bottom w:val="nil"/>
              <w:right w:val="single" w:sz="8" w:space="0" w:color="auto"/>
            </w:tcBorders>
            <w:shd w:val="clear" w:color="auto" w:fill="auto"/>
            <w:noWrap/>
            <w:vAlign w:val="center"/>
            <w:hideMark/>
          </w:tcPr>
          <w:p w14:paraId="671AC644"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DVP.I045</w:t>
            </w:r>
          </w:p>
        </w:tc>
      </w:tr>
      <w:tr w:rsidR="00B355BC" w:rsidRPr="001118B5" w14:paraId="2A44359F" w14:textId="77777777" w:rsidTr="00E67116">
        <w:trPr>
          <w:trHeight w:val="240"/>
        </w:trPr>
        <w:tc>
          <w:tcPr>
            <w:tcW w:w="4410" w:type="dxa"/>
            <w:tcBorders>
              <w:top w:val="nil"/>
              <w:left w:val="single" w:sz="8" w:space="0" w:color="auto"/>
              <w:bottom w:val="nil"/>
            </w:tcBorders>
            <w:shd w:val="clear" w:color="auto" w:fill="auto"/>
            <w:noWrap/>
            <w:vAlign w:val="center"/>
            <w:hideMark/>
          </w:tcPr>
          <w:p w14:paraId="54518E93" w14:textId="77777777" w:rsidR="00B355BC" w:rsidRPr="001118B5" w:rsidRDefault="00B355BC" w:rsidP="00B355BC">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Resultado Positivo de Participações</w:t>
            </w:r>
          </w:p>
        </w:tc>
        <w:tc>
          <w:tcPr>
            <w:tcW w:w="835" w:type="dxa"/>
            <w:tcBorders>
              <w:top w:val="nil"/>
              <w:right w:val="single" w:sz="8" w:space="0" w:color="auto"/>
            </w:tcBorders>
            <w:shd w:val="clear" w:color="auto" w:fill="auto"/>
            <w:noWrap/>
            <w:vAlign w:val="center"/>
          </w:tcPr>
          <w:p w14:paraId="57D788C6"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02A6F8F0"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DVP.D046</w:t>
            </w:r>
          </w:p>
        </w:tc>
        <w:tc>
          <w:tcPr>
            <w:tcW w:w="1134" w:type="dxa"/>
            <w:tcBorders>
              <w:top w:val="nil"/>
              <w:left w:val="nil"/>
              <w:bottom w:val="nil"/>
              <w:right w:val="single" w:sz="8" w:space="0" w:color="auto"/>
            </w:tcBorders>
            <w:shd w:val="clear" w:color="auto" w:fill="auto"/>
            <w:noWrap/>
            <w:vAlign w:val="center"/>
            <w:hideMark/>
          </w:tcPr>
          <w:p w14:paraId="5AA8BCF8"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DVP.E046</w:t>
            </w:r>
          </w:p>
        </w:tc>
        <w:tc>
          <w:tcPr>
            <w:tcW w:w="4346" w:type="dxa"/>
            <w:tcBorders>
              <w:top w:val="nil"/>
              <w:left w:val="nil"/>
              <w:bottom w:val="nil"/>
            </w:tcBorders>
            <w:shd w:val="clear" w:color="auto" w:fill="auto"/>
            <w:noWrap/>
            <w:vAlign w:val="center"/>
            <w:hideMark/>
          </w:tcPr>
          <w:p w14:paraId="16664F43" w14:textId="77777777" w:rsidR="00B355BC" w:rsidRPr="001118B5" w:rsidRDefault="00B355BC" w:rsidP="00B355BC">
            <w:pPr>
              <w:spacing w:after="0" w:line="240" w:lineRule="auto"/>
              <w:rPr>
                <w:rFonts w:ascii="Arial Narrow" w:eastAsia="Times New Roman" w:hAnsi="Arial Narrow" w:cs="Arial"/>
                <w:b/>
                <w:bCs/>
                <w:sz w:val="16"/>
                <w:szCs w:val="16"/>
                <w:u w:val="single"/>
                <w:lang w:eastAsia="pt-BR"/>
              </w:rPr>
            </w:pPr>
            <w:r w:rsidRPr="001118B5">
              <w:rPr>
                <w:rFonts w:ascii="Arial Narrow" w:eastAsia="Times New Roman" w:hAnsi="Arial Narrow" w:cs="Arial"/>
                <w:b/>
                <w:bCs/>
                <w:sz w:val="16"/>
                <w:szCs w:val="16"/>
                <w:u w:val="single"/>
                <w:lang w:eastAsia="pt-BR"/>
              </w:rPr>
              <w:t>Tributárias</w:t>
            </w:r>
          </w:p>
        </w:tc>
        <w:tc>
          <w:tcPr>
            <w:tcW w:w="846" w:type="dxa"/>
            <w:tcBorders>
              <w:top w:val="nil"/>
              <w:bottom w:val="nil"/>
              <w:right w:val="single" w:sz="8" w:space="0" w:color="auto"/>
            </w:tcBorders>
            <w:shd w:val="clear" w:color="auto" w:fill="auto"/>
            <w:noWrap/>
            <w:vAlign w:val="center"/>
          </w:tcPr>
          <w:p w14:paraId="6DFB8DA9" w14:textId="77777777" w:rsidR="00B355BC" w:rsidRPr="001118B5" w:rsidRDefault="00B355BC" w:rsidP="00B355BC">
            <w:pPr>
              <w:spacing w:after="0" w:line="240" w:lineRule="auto"/>
              <w:jc w:val="center"/>
              <w:rPr>
                <w:rFonts w:ascii="Arial Narrow" w:eastAsia="Times New Roman" w:hAnsi="Arial Narrow" w:cs="Arial"/>
                <w:b/>
                <w:bCs/>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667681CE" w14:textId="77777777" w:rsidR="00B355BC" w:rsidRPr="001118B5" w:rsidRDefault="00B355BC" w:rsidP="00B355BC">
            <w:pPr>
              <w:spacing w:after="0" w:line="240" w:lineRule="auto"/>
              <w:jc w:val="center"/>
              <w:rPr>
                <w:rFonts w:ascii="Arial Narrow" w:eastAsia="Times New Roman" w:hAnsi="Arial Narrow" w:cs="Arial"/>
                <w:b/>
                <w:bCs/>
                <w:sz w:val="16"/>
                <w:szCs w:val="16"/>
                <w:lang w:eastAsia="pt-BR"/>
              </w:rPr>
            </w:pPr>
            <w:r w:rsidRPr="001118B5">
              <w:rPr>
                <w:rFonts w:ascii="Arial Narrow" w:eastAsia="Times New Roman" w:hAnsi="Arial Narrow" w:cs="Arial"/>
                <w:b/>
                <w:bCs/>
                <w:sz w:val="16"/>
                <w:szCs w:val="16"/>
                <w:lang w:eastAsia="pt-BR"/>
              </w:rPr>
              <w:t>DVP.H046</w:t>
            </w:r>
          </w:p>
        </w:tc>
        <w:tc>
          <w:tcPr>
            <w:tcW w:w="1120" w:type="dxa"/>
            <w:tcBorders>
              <w:top w:val="nil"/>
              <w:left w:val="nil"/>
              <w:bottom w:val="nil"/>
              <w:right w:val="single" w:sz="8" w:space="0" w:color="auto"/>
            </w:tcBorders>
            <w:shd w:val="clear" w:color="auto" w:fill="auto"/>
            <w:noWrap/>
            <w:vAlign w:val="center"/>
            <w:hideMark/>
          </w:tcPr>
          <w:p w14:paraId="6B5EADF3" w14:textId="77777777" w:rsidR="00B355BC" w:rsidRPr="001118B5" w:rsidRDefault="00B355BC" w:rsidP="00B355BC">
            <w:pPr>
              <w:spacing w:after="0" w:line="240" w:lineRule="auto"/>
              <w:jc w:val="center"/>
              <w:rPr>
                <w:rFonts w:ascii="Arial Narrow" w:eastAsia="Times New Roman" w:hAnsi="Arial Narrow" w:cs="Arial"/>
                <w:b/>
                <w:bCs/>
                <w:sz w:val="16"/>
                <w:szCs w:val="16"/>
                <w:lang w:eastAsia="pt-BR"/>
              </w:rPr>
            </w:pPr>
            <w:r w:rsidRPr="001118B5">
              <w:rPr>
                <w:rFonts w:ascii="Arial Narrow" w:eastAsia="Times New Roman" w:hAnsi="Arial Narrow" w:cs="Arial"/>
                <w:b/>
                <w:bCs/>
                <w:sz w:val="16"/>
                <w:szCs w:val="16"/>
                <w:lang w:eastAsia="pt-BR"/>
              </w:rPr>
              <w:t>DVP.I046</w:t>
            </w:r>
          </w:p>
        </w:tc>
      </w:tr>
      <w:tr w:rsidR="00B355BC" w:rsidRPr="001118B5" w14:paraId="3C9D042D" w14:textId="77777777" w:rsidTr="00E67116">
        <w:trPr>
          <w:trHeight w:val="255"/>
        </w:trPr>
        <w:tc>
          <w:tcPr>
            <w:tcW w:w="4410" w:type="dxa"/>
            <w:tcBorders>
              <w:top w:val="nil"/>
              <w:left w:val="single" w:sz="8" w:space="0" w:color="auto"/>
              <w:bottom w:val="nil"/>
            </w:tcBorders>
            <w:shd w:val="clear" w:color="auto" w:fill="auto"/>
            <w:noWrap/>
            <w:vAlign w:val="center"/>
          </w:tcPr>
          <w:p w14:paraId="15C9CF6F" w14:textId="77777777" w:rsidR="00B355BC" w:rsidRPr="00E07C84" w:rsidRDefault="00B355BC" w:rsidP="00B355BC">
            <w:pPr>
              <w:spacing w:after="0" w:line="240" w:lineRule="auto"/>
              <w:ind w:firstLineChars="200" w:firstLine="320"/>
              <w:rPr>
                <w:rFonts w:ascii="Arial Narrow" w:eastAsia="Times New Roman" w:hAnsi="Arial Narrow" w:cs="Arial"/>
                <w:sz w:val="16"/>
                <w:szCs w:val="16"/>
                <w:lang w:eastAsia="pt-BR"/>
              </w:rPr>
            </w:pPr>
            <w:r w:rsidRPr="00E07C84">
              <w:rPr>
                <w:rFonts w:ascii="Arial Narrow" w:eastAsia="Times New Roman" w:hAnsi="Arial Narrow" w:cs="Arial"/>
                <w:sz w:val="16"/>
                <w:szCs w:val="16"/>
                <w:lang w:eastAsia="pt-BR"/>
              </w:rPr>
              <w:t>Subvenções Econonômicas</w:t>
            </w:r>
          </w:p>
        </w:tc>
        <w:tc>
          <w:tcPr>
            <w:tcW w:w="835" w:type="dxa"/>
            <w:tcBorders>
              <w:top w:val="nil"/>
              <w:bottom w:val="nil"/>
              <w:right w:val="single" w:sz="8" w:space="0" w:color="auto"/>
            </w:tcBorders>
            <w:shd w:val="clear" w:color="auto" w:fill="auto"/>
            <w:noWrap/>
            <w:vAlign w:val="center"/>
          </w:tcPr>
          <w:p w14:paraId="7A27916A" w14:textId="77777777" w:rsidR="00B355BC" w:rsidRPr="00E07C84" w:rsidRDefault="00B355BC" w:rsidP="00B355BC">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tcPr>
          <w:p w14:paraId="5B028345" w14:textId="77777777" w:rsidR="00B355BC" w:rsidRPr="00E07C84" w:rsidRDefault="00B355BC" w:rsidP="00B355B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E07C84">
              <w:rPr>
                <w:rFonts w:ascii="Arial Narrow" w:eastAsia="Times New Roman" w:hAnsi="Arial Narrow" w:cs="Arial"/>
                <w:sz w:val="16"/>
                <w:szCs w:val="16"/>
                <w:lang w:eastAsia="pt-BR"/>
              </w:rPr>
              <w:t>DVP.D050</w:t>
            </w:r>
          </w:p>
        </w:tc>
        <w:tc>
          <w:tcPr>
            <w:tcW w:w="1134" w:type="dxa"/>
            <w:tcBorders>
              <w:top w:val="nil"/>
              <w:left w:val="nil"/>
              <w:bottom w:val="nil"/>
              <w:right w:val="single" w:sz="8" w:space="0" w:color="auto"/>
            </w:tcBorders>
            <w:shd w:val="clear" w:color="auto" w:fill="auto"/>
            <w:noWrap/>
            <w:vAlign w:val="center"/>
          </w:tcPr>
          <w:p w14:paraId="0A72E056" w14:textId="77777777" w:rsidR="00B355BC" w:rsidRPr="00E07C84" w:rsidRDefault="00B355BC" w:rsidP="00B355BC">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E07C84">
              <w:rPr>
                <w:rFonts w:ascii="Arial Narrow" w:eastAsia="Times New Roman" w:hAnsi="Arial Narrow" w:cs="Arial"/>
                <w:sz w:val="16"/>
                <w:szCs w:val="16"/>
                <w:lang w:eastAsia="pt-BR"/>
              </w:rPr>
              <w:t>DVP.E050</w:t>
            </w:r>
          </w:p>
        </w:tc>
        <w:tc>
          <w:tcPr>
            <w:tcW w:w="4346" w:type="dxa"/>
            <w:tcBorders>
              <w:top w:val="nil"/>
              <w:left w:val="nil"/>
              <w:bottom w:val="nil"/>
            </w:tcBorders>
            <w:shd w:val="clear" w:color="auto" w:fill="auto"/>
            <w:noWrap/>
            <w:vAlign w:val="center"/>
            <w:hideMark/>
          </w:tcPr>
          <w:p w14:paraId="7414F6CA" w14:textId="77777777" w:rsidR="00B355BC" w:rsidRPr="001118B5" w:rsidRDefault="00B355BC" w:rsidP="00B355BC">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Impostos, Taxas e Contribuições de Melhoria</w:t>
            </w:r>
          </w:p>
        </w:tc>
        <w:tc>
          <w:tcPr>
            <w:tcW w:w="846" w:type="dxa"/>
            <w:tcBorders>
              <w:top w:val="nil"/>
              <w:bottom w:val="nil"/>
              <w:right w:val="single" w:sz="8" w:space="0" w:color="auto"/>
            </w:tcBorders>
            <w:shd w:val="clear" w:color="auto" w:fill="auto"/>
            <w:noWrap/>
            <w:vAlign w:val="center"/>
          </w:tcPr>
          <w:p w14:paraId="634CA262"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0DFE8550"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DVP.H047</w:t>
            </w:r>
          </w:p>
        </w:tc>
        <w:tc>
          <w:tcPr>
            <w:tcW w:w="1120" w:type="dxa"/>
            <w:tcBorders>
              <w:top w:val="nil"/>
              <w:left w:val="nil"/>
              <w:bottom w:val="nil"/>
              <w:right w:val="single" w:sz="8" w:space="0" w:color="auto"/>
            </w:tcBorders>
            <w:shd w:val="clear" w:color="auto" w:fill="auto"/>
            <w:noWrap/>
            <w:vAlign w:val="center"/>
            <w:hideMark/>
          </w:tcPr>
          <w:p w14:paraId="784CFD44"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DVP.I047</w:t>
            </w:r>
          </w:p>
        </w:tc>
      </w:tr>
      <w:tr w:rsidR="00B355BC" w:rsidRPr="001118B5" w14:paraId="3A8FDEC2" w14:textId="77777777" w:rsidTr="00E67116">
        <w:trPr>
          <w:trHeight w:val="255"/>
        </w:trPr>
        <w:tc>
          <w:tcPr>
            <w:tcW w:w="4410" w:type="dxa"/>
            <w:tcBorders>
              <w:top w:val="nil"/>
              <w:left w:val="single" w:sz="8" w:space="0" w:color="auto"/>
              <w:bottom w:val="nil"/>
            </w:tcBorders>
            <w:shd w:val="clear" w:color="auto" w:fill="auto"/>
            <w:noWrap/>
            <w:vAlign w:val="center"/>
            <w:hideMark/>
          </w:tcPr>
          <w:p w14:paraId="6EB61088" w14:textId="77777777" w:rsidR="00B355BC" w:rsidRPr="001118B5" w:rsidRDefault="00B355BC" w:rsidP="00B355BC">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Reversão de Provisões e Ajustes de Perdas</w:t>
            </w:r>
          </w:p>
        </w:tc>
        <w:tc>
          <w:tcPr>
            <w:tcW w:w="835" w:type="dxa"/>
            <w:tcBorders>
              <w:top w:val="nil"/>
              <w:bottom w:val="nil"/>
              <w:right w:val="single" w:sz="8" w:space="0" w:color="auto"/>
            </w:tcBorders>
            <w:shd w:val="clear" w:color="auto" w:fill="auto"/>
            <w:noWrap/>
            <w:vAlign w:val="center"/>
          </w:tcPr>
          <w:p w14:paraId="59A5179B"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2D878C39"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DVP.D047</w:t>
            </w:r>
          </w:p>
        </w:tc>
        <w:tc>
          <w:tcPr>
            <w:tcW w:w="1134" w:type="dxa"/>
            <w:tcBorders>
              <w:top w:val="nil"/>
              <w:left w:val="nil"/>
              <w:bottom w:val="nil"/>
              <w:right w:val="single" w:sz="8" w:space="0" w:color="auto"/>
            </w:tcBorders>
            <w:shd w:val="clear" w:color="auto" w:fill="auto"/>
            <w:noWrap/>
            <w:vAlign w:val="center"/>
            <w:hideMark/>
          </w:tcPr>
          <w:p w14:paraId="441B244C"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DVP.E047</w:t>
            </w:r>
          </w:p>
        </w:tc>
        <w:tc>
          <w:tcPr>
            <w:tcW w:w="4346" w:type="dxa"/>
            <w:tcBorders>
              <w:top w:val="nil"/>
              <w:left w:val="nil"/>
              <w:bottom w:val="nil"/>
            </w:tcBorders>
            <w:shd w:val="clear" w:color="auto" w:fill="auto"/>
            <w:noWrap/>
            <w:vAlign w:val="center"/>
            <w:hideMark/>
          </w:tcPr>
          <w:p w14:paraId="604C5D49" w14:textId="77777777" w:rsidR="00B355BC" w:rsidRPr="001118B5" w:rsidRDefault="00B355BC" w:rsidP="00B355BC">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Contribuições</w:t>
            </w:r>
          </w:p>
        </w:tc>
        <w:tc>
          <w:tcPr>
            <w:tcW w:w="846" w:type="dxa"/>
            <w:tcBorders>
              <w:top w:val="nil"/>
              <w:bottom w:val="nil"/>
              <w:right w:val="single" w:sz="8" w:space="0" w:color="auto"/>
            </w:tcBorders>
            <w:shd w:val="clear" w:color="auto" w:fill="auto"/>
            <w:noWrap/>
            <w:vAlign w:val="center"/>
          </w:tcPr>
          <w:p w14:paraId="6CA3A603"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5D24C1E4"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DVP.H048</w:t>
            </w:r>
          </w:p>
        </w:tc>
        <w:tc>
          <w:tcPr>
            <w:tcW w:w="1120" w:type="dxa"/>
            <w:tcBorders>
              <w:top w:val="nil"/>
              <w:left w:val="nil"/>
              <w:bottom w:val="nil"/>
              <w:right w:val="single" w:sz="8" w:space="0" w:color="auto"/>
            </w:tcBorders>
            <w:shd w:val="clear" w:color="auto" w:fill="auto"/>
            <w:noWrap/>
            <w:vAlign w:val="center"/>
            <w:hideMark/>
          </w:tcPr>
          <w:p w14:paraId="662F2AF5"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DVP.I048</w:t>
            </w:r>
          </w:p>
        </w:tc>
      </w:tr>
      <w:tr w:rsidR="00B355BC" w:rsidRPr="001118B5" w14:paraId="3DA0D7F0" w14:textId="77777777" w:rsidTr="00E67116">
        <w:trPr>
          <w:trHeight w:val="240"/>
        </w:trPr>
        <w:tc>
          <w:tcPr>
            <w:tcW w:w="4410" w:type="dxa"/>
            <w:tcBorders>
              <w:top w:val="nil"/>
              <w:left w:val="single" w:sz="8" w:space="0" w:color="auto"/>
              <w:bottom w:val="nil"/>
            </w:tcBorders>
            <w:shd w:val="clear" w:color="auto" w:fill="auto"/>
            <w:noWrap/>
            <w:hideMark/>
          </w:tcPr>
          <w:p w14:paraId="3C618594" w14:textId="77777777" w:rsidR="00B355BC" w:rsidRPr="001118B5" w:rsidRDefault="00B355BC" w:rsidP="00B355BC">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 xml:space="preserve">Diversas Variações Patrimoniais Aumentativas </w:t>
            </w:r>
          </w:p>
        </w:tc>
        <w:tc>
          <w:tcPr>
            <w:tcW w:w="835" w:type="dxa"/>
            <w:tcBorders>
              <w:top w:val="nil"/>
              <w:bottom w:val="nil"/>
              <w:right w:val="single" w:sz="8" w:space="0" w:color="auto"/>
            </w:tcBorders>
            <w:shd w:val="clear" w:color="auto" w:fill="auto"/>
            <w:noWrap/>
          </w:tcPr>
          <w:p w14:paraId="044E5516"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hideMark/>
          </w:tcPr>
          <w:p w14:paraId="4C22EA0F"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DVP.D048</w:t>
            </w:r>
          </w:p>
        </w:tc>
        <w:tc>
          <w:tcPr>
            <w:tcW w:w="1134" w:type="dxa"/>
            <w:tcBorders>
              <w:top w:val="nil"/>
              <w:left w:val="nil"/>
              <w:bottom w:val="nil"/>
              <w:right w:val="single" w:sz="8" w:space="0" w:color="auto"/>
            </w:tcBorders>
            <w:shd w:val="clear" w:color="auto" w:fill="auto"/>
            <w:noWrap/>
            <w:hideMark/>
          </w:tcPr>
          <w:p w14:paraId="727A1CB6"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DVP.E048</w:t>
            </w:r>
          </w:p>
        </w:tc>
        <w:tc>
          <w:tcPr>
            <w:tcW w:w="4346" w:type="dxa"/>
            <w:tcBorders>
              <w:top w:val="nil"/>
              <w:left w:val="nil"/>
              <w:bottom w:val="nil"/>
            </w:tcBorders>
            <w:shd w:val="clear" w:color="auto" w:fill="auto"/>
            <w:noWrap/>
            <w:vAlign w:val="center"/>
            <w:hideMark/>
          </w:tcPr>
          <w:p w14:paraId="51AC5519" w14:textId="77777777" w:rsidR="00B355BC" w:rsidRPr="001118B5" w:rsidRDefault="00B355BC" w:rsidP="00B355BC">
            <w:pPr>
              <w:spacing w:after="0" w:line="240" w:lineRule="auto"/>
              <w:rPr>
                <w:rFonts w:ascii="Arial Narrow" w:eastAsia="Times New Roman" w:hAnsi="Arial Narrow" w:cs="Arial"/>
                <w:b/>
                <w:bCs/>
                <w:sz w:val="16"/>
                <w:szCs w:val="16"/>
                <w:u w:val="single"/>
                <w:lang w:eastAsia="pt-BR"/>
              </w:rPr>
            </w:pPr>
            <w:r w:rsidRPr="001118B5">
              <w:rPr>
                <w:rFonts w:ascii="Arial Narrow" w:eastAsia="Times New Roman" w:hAnsi="Arial Narrow" w:cs="Arial"/>
                <w:b/>
                <w:bCs/>
                <w:sz w:val="16"/>
                <w:szCs w:val="16"/>
                <w:u w:val="single"/>
                <w:lang w:eastAsia="pt-BR"/>
              </w:rPr>
              <w:t>Custo das Mercadorias e dos Produtos Vendidos, e dos Serviços Prestados</w:t>
            </w:r>
          </w:p>
        </w:tc>
        <w:tc>
          <w:tcPr>
            <w:tcW w:w="846" w:type="dxa"/>
            <w:tcBorders>
              <w:top w:val="nil"/>
              <w:bottom w:val="nil"/>
              <w:right w:val="single" w:sz="8" w:space="0" w:color="auto"/>
            </w:tcBorders>
            <w:shd w:val="clear" w:color="auto" w:fill="auto"/>
            <w:noWrap/>
            <w:vAlign w:val="center"/>
          </w:tcPr>
          <w:p w14:paraId="5B4977F9" w14:textId="77777777" w:rsidR="00B355BC" w:rsidRPr="001118B5" w:rsidRDefault="00B355BC" w:rsidP="00B355BC">
            <w:pPr>
              <w:spacing w:after="0" w:line="240" w:lineRule="auto"/>
              <w:jc w:val="center"/>
              <w:rPr>
                <w:rFonts w:ascii="Arial Narrow" w:eastAsia="Times New Roman" w:hAnsi="Arial Narrow" w:cs="Arial"/>
                <w:b/>
                <w:bCs/>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2C8C67C5" w14:textId="77777777" w:rsidR="00B355BC" w:rsidRPr="001118B5" w:rsidRDefault="00B355BC" w:rsidP="00B355BC">
            <w:pPr>
              <w:spacing w:after="0" w:line="240" w:lineRule="auto"/>
              <w:jc w:val="center"/>
              <w:rPr>
                <w:rFonts w:ascii="Arial Narrow" w:eastAsia="Times New Roman" w:hAnsi="Arial Narrow" w:cs="Arial"/>
                <w:b/>
                <w:bCs/>
                <w:sz w:val="16"/>
                <w:szCs w:val="16"/>
                <w:lang w:eastAsia="pt-BR"/>
              </w:rPr>
            </w:pPr>
            <w:r w:rsidRPr="001118B5">
              <w:rPr>
                <w:rFonts w:ascii="Arial Narrow" w:eastAsia="Times New Roman" w:hAnsi="Arial Narrow" w:cs="Arial"/>
                <w:b/>
                <w:bCs/>
                <w:sz w:val="16"/>
                <w:szCs w:val="16"/>
                <w:lang w:eastAsia="pt-BR"/>
              </w:rPr>
              <w:t>DVP.H049</w:t>
            </w:r>
          </w:p>
        </w:tc>
        <w:tc>
          <w:tcPr>
            <w:tcW w:w="1120" w:type="dxa"/>
            <w:tcBorders>
              <w:top w:val="nil"/>
              <w:left w:val="nil"/>
              <w:bottom w:val="nil"/>
              <w:right w:val="single" w:sz="8" w:space="0" w:color="auto"/>
            </w:tcBorders>
            <w:shd w:val="clear" w:color="auto" w:fill="auto"/>
            <w:noWrap/>
            <w:vAlign w:val="center"/>
            <w:hideMark/>
          </w:tcPr>
          <w:p w14:paraId="2175C204" w14:textId="77777777" w:rsidR="00B355BC" w:rsidRPr="001118B5" w:rsidRDefault="00B355BC" w:rsidP="00B355BC">
            <w:pPr>
              <w:spacing w:after="0" w:line="240" w:lineRule="auto"/>
              <w:jc w:val="center"/>
              <w:rPr>
                <w:rFonts w:ascii="Arial Narrow" w:eastAsia="Times New Roman" w:hAnsi="Arial Narrow" w:cs="Arial"/>
                <w:b/>
                <w:bCs/>
                <w:sz w:val="16"/>
                <w:szCs w:val="16"/>
                <w:lang w:eastAsia="pt-BR"/>
              </w:rPr>
            </w:pPr>
            <w:r w:rsidRPr="001118B5">
              <w:rPr>
                <w:rFonts w:ascii="Arial Narrow" w:eastAsia="Times New Roman" w:hAnsi="Arial Narrow" w:cs="Arial"/>
                <w:b/>
                <w:bCs/>
                <w:sz w:val="16"/>
                <w:szCs w:val="16"/>
                <w:lang w:eastAsia="pt-BR"/>
              </w:rPr>
              <w:t>DVP.I049</w:t>
            </w:r>
          </w:p>
        </w:tc>
      </w:tr>
      <w:tr w:rsidR="00B355BC" w:rsidRPr="001118B5" w14:paraId="445FF6AD" w14:textId="77777777" w:rsidTr="00E67116">
        <w:trPr>
          <w:trHeight w:val="240"/>
        </w:trPr>
        <w:tc>
          <w:tcPr>
            <w:tcW w:w="4410" w:type="dxa"/>
            <w:tcBorders>
              <w:top w:val="nil"/>
              <w:left w:val="single" w:sz="8" w:space="0" w:color="auto"/>
              <w:bottom w:val="nil"/>
            </w:tcBorders>
            <w:shd w:val="clear" w:color="auto" w:fill="auto"/>
            <w:noWrap/>
            <w:vAlign w:val="center"/>
            <w:hideMark/>
          </w:tcPr>
          <w:p w14:paraId="5E88ECC6" w14:textId="77777777" w:rsidR="00B355BC" w:rsidRPr="001118B5" w:rsidRDefault="00B355BC" w:rsidP="00B355BC">
            <w:pPr>
              <w:spacing w:after="0" w:line="240" w:lineRule="auto"/>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 </w:t>
            </w:r>
          </w:p>
        </w:tc>
        <w:tc>
          <w:tcPr>
            <w:tcW w:w="835" w:type="dxa"/>
            <w:tcBorders>
              <w:top w:val="nil"/>
              <w:bottom w:val="nil"/>
              <w:right w:val="single" w:sz="8" w:space="0" w:color="auto"/>
            </w:tcBorders>
            <w:shd w:val="clear" w:color="auto" w:fill="auto"/>
            <w:noWrap/>
            <w:vAlign w:val="center"/>
          </w:tcPr>
          <w:p w14:paraId="45F058EC"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30902C47"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 </w:t>
            </w:r>
          </w:p>
        </w:tc>
        <w:tc>
          <w:tcPr>
            <w:tcW w:w="1134" w:type="dxa"/>
            <w:tcBorders>
              <w:top w:val="nil"/>
              <w:left w:val="nil"/>
              <w:bottom w:val="nil"/>
              <w:right w:val="single" w:sz="8" w:space="0" w:color="auto"/>
            </w:tcBorders>
            <w:shd w:val="clear" w:color="auto" w:fill="auto"/>
            <w:noWrap/>
            <w:vAlign w:val="center"/>
            <w:hideMark/>
          </w:tcPr>
          <w:p w14:paraId="25FF71C4"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 </w:t>
            </w:r>
          </w:p>
        </w:tc>
        <w:tc>
          <w:tcPr>
            <w:tcW w:w="4346" w:type="dxa"/>
            <w:tcBorders>
              <w:top w:val="nil"/>
              <w:left w:val="nil"/>
              <w:bottom w:val="nil"/>
            </w:tcBorders>
            <w:shd w:val="clear" w:color="auto" w:fill="auto"/>
            <w:noWrap/>
            <w:vAlign w:val="center"/>
            <w:hideMark/>
          </w:tcPr>
          <w:p w14:paraId="53BC3B1A" w14:textId="77777777" w:rsidR="00B355BC" w:rsidRPr="001118B5" w:rsidRDefault="00B355BC" w:rsidP="00B355BC">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Custo das Mercadorias Vendidas</w:t>
            </w:r>
          </w:p>
        </w:tc>
        <w:tc>
          <w:tcPr>
            <w:tcW w:w="846" w:type="dxa"/>
            <w:tcBorders>
              <w:top w:val="nil"/>
              <w:bottom w:val="nil"/>
              <w:right w:val="single" w:sz="8" w:space="0" w:color="auto"/>
            </w:tcBorders>
            <w:shd w:val="clear" w:color="auto" w:fill="auto"/>
            <w:noWrap/>
            <w:vAlign w:val="center"/>
          </w:tcPr>
          <w:p w14:paraId="7734388C"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296A467A"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DVP.H050</w:t>
            </w:r>
          </w:p>
        </w:tc>
        <w:tc>
          <w:tcPr>
            <w:tcW w:w="1120" w:type="dxa"/>
            <w:tcBorders>
              <w:top w:val="nil"/>
              <w:left w:val="nil"/>
              <w:bottom w:val="nil"/>
              <w:right w:val="single" w:sz="8" w:space="0" w:color="auto"/>
            </w:tcBorders>
            <w:shd w:val="clear" w:color="auto" w:fill="auto"/>
            <w:noWrap/>
            <w:vAlign w:val="center"/>
            <w:hideMark/>
          </w:tcPr>
          <w:p w14:paraId="6D1E7449"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DVP.I050</w:t>
            </w:r>
          </w:p>
        </w:tc>
      </w:tr>
      <w:tr w:rsidR="00B355BC" w:rsidRPr="001118B5" w14:paraId="1F049FE6" w14:textId="77777777" w:rsidTr="00E67116">
        <w:trPr>
          <w:trHeight w:val="240"/>
        </w:trPr>
        <w:tc>
          <w:tcPr>
            <w:tcW w:w="4410" w:type="dxa"/>
            <w:tcBorders>
              <w:top w:val="nil"/>
              <w:left w:val="single" w:sz="8" w:space="0" w:color="auto"/>
              <w:bottom w:val="nil"/>
            </w:tcBorders>
            <w:shd w:val="clear" w:color="auto" w:fill="auto"/>
            <w:noWrap/>
            <w:vAlign w:val="center"/>
            <w:hideMark/>
          </w:tcPr>
          <w:p w14:paraId="308722E4" w14:textId="77777777" w:rsidR="00B355BC" w:rsidRPr="001118B5" w:rsidRDefault="00B355BC" w:rsidP="00B355BC">
            <w:pPr>
              <w:spacing w:after="0" w:line="240" w:lineRule="auto"/>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 </w:t>
            </w:r>
          </w:p>
        </w:tc>
        <w:tc>
          <w:tcPr>
            <w:tcW w:w="835" w:type="dxa"/>
            <w:tcBorders>
              <w:top w:val="nil"/>
              <w:bottom w:val="nil"/>
              <w:right w:val="single" w:sz="8" w:space="0" w:color="auto"/>
            </w:tcBorders>
            <w:shd w:val="clear" w:color="auto" w:fill="auto"/>
            <w:noWrap/>
            <w:vAlign w:val="center"/>
          </w:tcPr>
          <w:p w14:paraId="4B5248B6"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2EBC5DB0"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 </w:t>
            </w:r>
          </w:p>
        </w:tc>
        <w:tc>
          <w:tcPr>
            <w:tcW w:w="1134" w:type="dxa"/>
            <w:tcBorders>
              <w:top w:val="nil"/>
              <w:left w:val="nil"/>
              <w:bottom w:val="nil"/>
              <w:right w:val="single" w:sz="8" w:space="0" w:color="auto"/>
            </w:tcBorders>
            <w:shd w:val="clear" w:color="auto" w:fill="auto"/>
            <w:noWrap/>
            <w:vAlign w:val="center"/>
            <w:hideMark/>
          </w:tcPr>
          <w:p w14:paraId="0B62EE2D"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 </w:t>
            </w:r>
          </w:p>
        </w:tc>
        <w:tc>
          <w:tcPr>
            <w:tcW w:w="4346" w:type="dxa"/>
            <w:tcBorders>
              <w:top w:val="nil"/>
              <w:left w:val="nil"/>
              <w:bottom w:val="nil"/>
            </w:tcBorders>
            <w:shd w:val="clear" w:color="auto" w:fill="auto"/>
            <w:noWrap/>
            <w:vAlign w:val="center"/>
            <w:hideMark/>
          </w:tcPr>
          <w:p w14:paraId="6D57E187" w14:textId="77777777" w:rsidR="00B355BC" w:rsidRPr="001118B5" w:rsidRDefault="00B355BC" w:rsidP="00B355BC">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Custo dos Produtos Vendidos</w:t>
            </w:r>
          </w:p>
        </w:tc>
        <w:tc>
          <w:tcPr>
            <w:tcW w:w="846" w:type="dxa"/>
            <w:tcBorders>
              <w:top w:val="nil"/>
              <w:bottom w:val="nil"/>
              <w:right w:val="single" w:sz="8" w:space="0" w:color="auto"/>
            </w:tcBorders>
            <w:shd w:val="clear" w:color="auto" w:fill="auto"/>
            <w:noWrap/>
            <w:vAlign w:val="center"/>
          </w:tcPr>
          <w:p w14:paraId="5F73E630"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7C5299DF"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DVP.H051</w:t>
            </w:r>
          </w:p>
        </w:tc>
        <w:tc>
          <w:tcPr>
            <w:tcW w:w="1120" w:type="dxa"/>
            <w:tcBorders>
              <w:top w:val="nil"/>
              <w:left w:val="nil"/>
              <w:bottom w:val="nil"/>
              <w:right w:val="single" w:sz="8" w:space="0" w:color="auto"/>
            </w:tcBorders>
            <w:shd w:val="clear" w:color="auto" w:fill="auto"/>
            <w:noWrap/>
            <w:vAlign w:val="center"/>
            <w:hideMark/>
          </w:tcPr>
          <w:p w14:paraId="07E6096F"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DVP.I051</w:t>
            </w:r>
          </w:p>
        </w:tc>
      </w:tr>
      <w:tr w:rsidR="00B355BC" w:rsidRPr="001118B5" w14:paraId="69823CEF" w14:textId="77777777" w:rsidTr="00E67116">
        <w:trPr>
          <w:trHeight w:val="240"/>
        </w:trPr>
        <w:tc>
          <w:tcPr>
            <w:tcW w:w="4410" w:type="dxa"/>
            <w:tcBorders>
              <w:top w:val="nil"/>
              <w:left w:val="single" w:sz="8" w:space="0" w:color="auto"/>
              <w:bottom w:val="nil"/>
            </w:tcBorders>
            <w:shd w:val="clear" w:color="auto" w:fill="auto"/>
            <w:noWrap/>
            <w:vAlign w:val="center"/>
            <w:hideMark/>
          </w:tcPr>
          <w:p w14:paraId="0F76F35B" w14:textId="77777777" w:rsidR="00B355BC" w:rsidRPr="001118B5" w:rsidRDefault="00B355BC" w:rsidP="00B355BC">
            <w:pPr>
              <w:spacing w:after="0" w:line="240" w:lineRule="auto"/>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 </w:t>
            </w:r>
          </w:p>
        </w:tc>
        <w:tc>
          <w:tcPr>
            <w:tcW w:w="835" w:type="dxa"/>
            <w:tcBorders>
              <w:top w:val="nil"/>
              <w:bottom w:val="nil"/>
              <w:right w:val="single" w:sz="8" w:space="0" w:color="auto"/>
            </w:tcBorders>
            <w:shd w:val="clear" w:color="auto" w:fill="auto"/>
            <w:noWrap/>
            <w:vAlign w:val="center"/>
          </w:tcPr>
          <w:p w14:paraId="61629165"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1D70B765"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 </w:t>
            </w:r>
          </w:p>
        </w:tc>
        <w:tc>
          <w:tcPr>
            <w:tcW w:w="1134" w:type="dxa"/>
            <w:tcBorders>
              <w:top w:val="nil"/>
              <w:left w:val="nil"/>
              <w:bottom w:val="nil"/>
              <w:right w:val="single" w:sz="8" w:space="0" w:color="auto"/>
            </w:tcBorders>
            <w:shd w:val="clear" w:color="auto" w:fill="auto"/>
            <w:noWrap/>
            <w:vAlign w:val="center"/>
            <w:hideMark/>
          </w:tcPr>
          <w:p w14:paraId="08386028"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 </w:t>
            </w:r>
          </w:p>
        </w:tc>
        <w:tc>
          <w:tcPr>
            <w:tcW w:w="4346" w:type="dxa"/>
            <w:tcBorders>
              <w:top w:val="nil"/>
              <w:left w:val="nil"/>
              <w:bottom w:val="nil"/>
            </w:tcBorders>
            <w:shd w:val="clear" w:color="auto" w:fill="auto"/>
            <w:noWrap/>
            <w:vAlign w:val="center"/>
            <w:hideMark/>
          </w:tcPr>
          <w:p w14:paraId="75CD966D" w14:textId="77777777" w:rsidR="00B355BC" w:rsidRPr="001118B5" w:rsidRDefault="00B355BC" w:rsidP="00B355BC">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Custo dos Serviços Prestados</w:t>
            </w:r>
          </w:p>
        </w:tc>
        <w:tc>
          <w:tcPr>
            <w:tcW w:w="846" w:type="dxa"/>
            <w:tcBorders>
              <w:top w:val="nil"/>
              <w:bottom w:val="nil"/>
              <w:right w:val="single" w:sz="8" w:space="0" w:color="auto"/>
            </w:tcBorders>
            <w:shd w:val="clear" w:color="auto" w:fill="auto"/>
            <w:noWrap/>
            <w:vAlign w:val="center"/>
          </w:tcPr>
          <w:p w14:paraId="6B10C0C4"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7CC01211"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DVP.H052</w:t>
            </w:r>
          </w:p>
        </w:tc>
        <w:tc>
          <w:tcPr>
            <w:tcW w:w="1120" w:type="dxa"/>
            <w:tcBorders>
              <w:top w:val="nil"/>
              <w:left w:val="nil"/>
              <w:bottom w:val="nil"/>
              <w:right w:val="single" w:sz="8" w:space="0" w:color="auto"/>
            </w:tcBorders>
            <w:shd w:val="clear" w:color="auto" w:fill="auto"/>
            <w:noWrap/>
            <w:vAlign w:val="center"/>
            <w:hideMark/>
          </w:tcPr>
          <w:p w14:paraId="6F82018C"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DVP.I052</w:t>
            </w:r>
          </w:p>
        </w:tc>
      </w:tr>
      <w:tr w:rsidR="00B355BC" w:rsidRPr="001118B5" w14:paraId="27B0D919" w14:textId="77777777" w:rsidTr="00E67116">
        <w:trPr>
          <w:trHeight w:val="240"/>
        </w:trPr>
        <w:tc>
          <w:tcPr>
            <w:tcW w:w="4410" w:type="dxa"/>
            <w:tcBorders>
              <w:top w:val="nil"/>
              <w:left w:val="single" w:sz="8" w:space="0" w:color="auto"/>
              <w:bottom w:val="nil"/>
            </w:tcBorders>
            <w:shd w:val="clear" w:color="auto" w:fill="auto"/>
            <w:noWrap/>
            <w:vAlign w:val="center"/>
            <w:hideMark/>
          </w:tcPr>
          <w:p w14:paraId="44689E60" w14:textId="77777777" w:rsidR="00B355BC" w:rsidRPr="001118B5" w:rsidRDefault="00B355BC" w:rsidP="00B355BC">
            <w:pPr>
              <w:spacing w:after="0" w:line="240" w:lineRule="auto"/>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 </w:t>
            </w:r>
          </w:p>
        </w:tc>
        <w:tc>
          <w:tcPr>
            <w:tcW w:w="835" w:type="dxa"/>
            <w:tcBorders>
              <w:top w:val="nil"/>
              <w:bottom w:val="nil"/>
              <w:right w:val="single" w:sz="8" w:space="0" w:color="auto"/>
            </w:tcBorders>
            <w:shd w:val="clear" w:color="auto" w:fill="auto"/>
            <w:noWrap/>
            <w:vAlign w:val="center"/>
          </w:tcPr>
          <w:p w14:paraId="7C90A4E2" w14:textId="77777777" w:rsidR="00B355BC" w:rsidRPr="001118B5" w:rsidRDefault="00B355BC" w:rsidP="00B355BC">
            <w:pPr>
              <w:spacing w:after="0" w:line="240" w:lineRule="auto"/>
              <w:rPr>
                <w:rFonts w:ascii="Arial Narrow" w:eastAsia="Times New Roman" w:hAnsi="Arial Narrow" w:cs="Arial"/>
                <w:sz w:val="16"/>
                <w:szCs w:val="16"/>
                <w:lang w:eastAsia="pt-BR"/>
              </w:rPr>
            </w:pPr>
          </w:p>
        </w:tc>
        <w:tc>
          <w:tcPr>
            <w:tcW w:w="1149" w:type="dxa"/>
            <w:tcBorders>
              <w:top w:val="nil"/>
              <w:left w:val="nil"/>
              <w:bottom w:val="nil"/>
              <w:right w:val="single" w:sz="8" w:space="0" w:color="auto"/>
            </w:tcBorders>
            <w:shd w:val="clear" w:color="auto" w:fill="auto"/>
            <w:noWrap/>
            <w:vAlign w:val="center"/>
            <w:hideMark/>
          </w:tcPr>
          <w:p w14:paraId="54127467"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 </w:t>
            </w:r>
          </w:p>
        </w:tc>
        <w:tc>
          <w:tcPr>
            <w:tcW w:w="1134" w:type="dxa"/>
            <w:tcBorders>
              <w:top w:val="nil"/>
              <w:left w:val="nil"/>
              <w:bottom w:val="nil"/>
              <w:right w:val="single" w:sz="8" w:space="0" w:color="auto"/>
            </w:tcBorders>
            <w:shd w:val="clear" w:color="auto" w:fill="auto"/>
            <w:noWrap/>
            <w:vAlign w:val="center"/>
            <w:hideMark/>
          </w:tcPr>
          <w:p w14:paraId="63086876"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 </w:t>
            </w:r>
          </w:p>
        </w:tc>
        <w:tc>
          <w:tcPr>
            <w:tcW w:w="4346" w:type="dxa"/>
            <w:tcBorders>
              <w:top w:val="nil"/>
              <w:left w:val="nil"/>
              <w:bottom w:val="nil"/>
            </w:tcBorders>
            <w:shd w:val="clear" w:color="auto" w:fill="auto"/>
            <w:noWrap/>
            <w:vAlign w:val="center"/>
            <w:hideMark/>
          </w:tcPr>
          <w:p w14:paraId="549C56ED" w14:textId="77777777" w:rsidR="00B355BC" w:rsidRPr="001118B5" w:rsidRDefault="00B355BC" w:rsidP="00B355BC">
            <w:pPr>
              <w:spacing w:after="0" w:line="240" w:lineRule="auto"/>
              <w:rPr>
                <w:rFonts w:ascii="Arial Narrow" w:eastAsia="Times New Roman" w:hAnsi="Arial Narrow" w:cs="Arial"/>
                <w:b/>
                <w:bCs/>
                <w:sz w:val="16"/>
                <w:szCs w:val="16"/>
                <w:u w:val="single"/>
                <w:lang w:eastAsia="pt-BR"/>
              </w:rPr>
            </w:pPr>
            <w:r w:rsidRPr="001118B5">
              <w:rPr>
                <w:rFonts w:ascii="Arial Narrow" w:eastAsia="Times New Roman" w:hAnsi="Arial Narrow" w:cs="Arial"/>
                <w:b/>
                <w:bCs/>
                <w:sz w:val="16"/>
                <w:szCs w:val="16"/>
                <w:u w:val="single"/>
                <w:lang w:eastAsia="pt-BR"/>
              </w:rPr>
              <w:t>Outras Variações Patrimoniais Diminutivas</w:t>
            </w:r>
          </w:p>
        </w:tc>
        <w:tc>
          <w:tcPr>
            <w:tcW w:w="846" w:type="dxa"/>
            <w:tcBorders>
              <w:top w:val="nil"/>
              <w:bottom w:val="nil"/>
              <w:right w:val="single" w:sz="8" w:space="0" w:color="auto"/>
            </w:tcBorders>
            <w:shd w:val="clear" w:color="auto" w:fill="auto"/>
            <w:noWrap/>
            <w:vAlign w:val="center"/>
          </w:tcPr>
          <w:p w14:paraId="0CBF96B2" w14:textId="77777777" w:rsidR="00B355BC" w:rsidRPr="001118B5" w:rsidRDefault="00B355BC" w:rsidP="00B355BC">
            <w:pPr>
              <w:spacing w:after="0" w:line="240" w:lineRule="auto"/>
              <w:jc w:val="center"/>
              <w:rPr>
                <w:rFonts w:ascii="Arial Narrow" w:eastAsia="Times New Roman" w:hAnsi="Arial Narrow" w:cs="Arial"/>
                <w:b/>
                <w:bCs/>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2D04E0EA" w14:textId="77777777" w:rsidR="00B355BC" w:rsidRPr="001118B5" w:rsidRDefault="00B355BC" w:rsidP="00B355BC">
            <w:pPr>
              <w:spacing w:after="0" w:line="240" w:lineRule="auto"/>
              <w:jc w:val="center"/>
              <w:rPr>
                <w:rFonts w:ascii="Arial Narrow" w:eastAsia="Times New Roman" w:hAnsi="Arial Narrow" w:cs="Arial"/>
                <w:b/>
                <w:bCs/>
                <w:sz w:val="16"/>
                <w:szCs w:val="16"/>
                <w:lang w:eastAsia="pt-BR"/>
              </w:rPr>
            </w:pPr>
            <w:r w:rsidRPr="001118B5">
              <w:rPr>
                <w:rFonts w:ascii="Arial Narrow" w:eastAsia="Times New Roman" w:hAnsi="Arial Narrow" w:cs="Arial"/>
                <w:b/>
                <w:bCs/>
                <w:sz w:val="16"/>
                <w:szCs w:val="16"/>
                <w:lang w:eastAsia="pt-BR"/>
              </w:rPr>
              <w:t>DVP.H053</w:t>
            </w:r>
          </w:p>
        </w:tc>
        <w:tc>
          <w:tcPr>
            <w:tcW w:w="1120" w:type="dxa"/>
            <w:tcBorders>
              <w:top w:val="nil"/>
              <w:left w:val="nil"/>
              <w:bottom w:val="nil"/>
              <w:right w:val="single" w:sz="8" w:space="0" w:color="auto"/>
            </w:tcBorders>
            <w:shd w:val="clear" w:color="auto" w:fill="auto"/>
            <w:noWrap/>
            <w:vAlign w:val="center"/>
            <w:hideMark/>
          </w:tcPr>
          <w:p w14:paraId="2F3537F7" w14:textId="77777777" w:rsidR="00B355BC" w:rsidRPr="001118B5" w:rsidRDefault="00B355BC" w:rsidP="00B355BC">
            <w:pPr>
              <w:spacing w:after="0" w:line="240" w:lineRule="auto"/>
              <w:jc w:val="center"/>
              <w:rPr>
                <w:rFonts w:ascii="Arial Narrow" w:eastAsia="Times New Roman" w:hAnsi="Arial Narrow" w:cs="Arial"/>
                <w:b/>
                <w:bCs/>
                <w:sz w:val="16"/>
                <w:szCs w:val="16"/>
                <w:lang w:eastAsia="pt-BR"/>
              </w:rPr>
            </w:pPr>
            <w:r w:rsidRPr="001118B5">
              <w:rPr>
                <w:rFonts w:ascii="Arial Narrow" w:eastAsia="Times New Roman" w:hAnsi="Arial Narrow" w:cs="Arial"/>
                <w:b/>
                <w:bCs/>
                <w:sz w:val="16"/>
                <w:szCs w:val="16"/>
                <w:lang w:eastAsia="pt-BR"/>
              </w:rPr>
              <w:t>DVP.I053</w:t>
            </w:r>
          </w:p>
        </w:tc>
      </w:tr>
      <w:tr w:rsidR="00B355BC" w:rsidRPr="001118B5" w14:paraId="3BBF6151" w14:textId="77777777" w:rsidTr="00E67116">
        <w:trPr>
          <w:trHeight w:val="255"/>
        </w:trPr>
        <w:tc>
          <w:tcPr>
            <w:tcW w:w="4410" w:type="dxa"/>
            <w:tcBorders>
              <w:top w:val="nil"/>
              <w:left w:val="single" w:sz="8" w:space="0" w:color="auto"/>
              <w:bottom w:val="nil"/>
            </w:tcBorders>
            <w:shd w:val="clear" w:color="auto" w:fill="auto"/>
            <w:noWrap/>
            <w:vAlign w:val="center"/>
            <w:hideMark/>
          </w:tcPr>
          <w:p w14:paraId="468549CE" w14:textId="77777777" w:rsidR="00B355BC" w:rsidRPr="001118B5" w:rsidRDefault="00B355BC" w:rsidP="00B355BC">
            <w:pPr>
              <w:spacing w:after="0" w:line="240" w:lineRule="auto"/>
              <w:rPr>
                <w:rFonts w:ascii="Arial Narrow" w:eastAsia="Times New Roman" w:hAnsi="Arial Narrow" w:cs="Arial"/>
                <w:sz w:val="16"/>
                <w:szCs w:val="16"/>
                <w:u w:val="single"/>
                <w:lang w:eastAsia="pt-BR"/>
              </w:rPr>
            </w:pPr>
            <w:r w:rsidRPr="001118B5">
              <w:rPr>
                <w:rFonts w:ascii="Arial Narrow" w:eastAsia="Times New Roman" w:hAnsi="Arial Narrow" w:cs="Arial"/>
                <w:sz w:val="16"/>
                <w:szCs w:val="16"/>
                <w:lang w:eastAsia="pt-BR"/>
              </w:rPr>
              <w:t> </w:t>
            </w:r>
          </w:p>
        </w:tc>
        <w:tc>
          <w:tcPr>
            <w:tcW w:w="835" w:type="dxa"/>
            <w:tcBorders>
              <w:top w:val="nil"/>
              <w:bottom w:val="nil"/>
              <w:right w:val="single" w:sz="8" w:space="0" w:color="auto"/>
            </w:tcBorders>
            <w:shd w:val="clear" w:color="auto" w:fill="auto"/>
            <w:noWrap/>
            <w:vAlign w:val="center"/>
          </w:tcPr>
          <w:p w14:paraId="026D46BF" w14:textId="77777777" w:rsidR="00B355BC" w:rsidRPr="001118B5" w:rsidRDefault="00B355BC" w:rsidP="00B355BC">
            <w:pPr>
              <w:spacing w:after="0" w:line="240" w:lineRule="auto"/>
              <w:rPr>
                <w:rFonts w:ascii="Arial Narrow" w:eastAsia="Times New Roman" w:hAnsi="Arial Narrow" w:cs="Arial"/>
                <w:sz w:val="16"/>
                <w:szCs w:val="16"/>
                <w:u w:val="single"/>
                <w:lang w:eastAsia="pt-BR"/>
              </w:rPr>
            </w:pPr>
          </w:p>
        </w:tc>
        <w:tc>
          <w:tcPr>
            <w:tcW w:w="1149" w:type="dxa"/>
            <w:tcBorders>
              <w:top w:val="nil"/>
              <w:left w:val="nil"/>
              <w:bottom w:val="nil"/>
              <w:right w:val="single" w:sz="8" w:space="0" w:color="auto"/>
            </w:tcBorders>
            <w:shd w:val="clear" w:color="auto" w:fill="auto"/>
            <w:noWrap/>
            <w:vAlign w:val="center"/>
            <w:hideMark/>
          </w:tcPr>
          <w:p w14:paraId="353FB7DF"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 </w:t>
            </w:r>
          </w:p>
        </w:tc>
        <w:tc>
          <w:tcPr>
            <w:tcW w:w="1134" w:type="dxa"/>
            <w:tcBorders>
              <w:top w:val="nil"/>
              <w:left w:val="nil"/>
              <w:bottom w:val="nil"/>
              <w:right w:val="single" w:sz="8" w:space="0" w:color="auto"/>
            </w:tcBorders>
            <w:shd w:val="clear" w:color="auto" w:fill="auto"/>
            <w:noWrap/>
            <w:vAlign w:val="center"/>
            <w:hideMark/>
          </w:tcPr>
          <w:p w14:paraId="687DBF7A"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 </w:t>
            </w:r>
          </w:p>
        </w:tc>
        <w:tc>
          <w:tcPr>
            <w:tcW w:w="4346" w:type="dxa"/>
            <w:tcBorders>
              <w:top w:val="nil"/>
              <w:left w:val="nil"/>
              <w:bottom w:val="nil"/>
            </w:tcBorders>
            <w:shd w:val="clear" w:color="auto" w:fill="auto"/>
            <w:noWrap/>
            <w:vAlign w:val="center"/>
            <w:hideMark/>
          </w:tcPr>
          <w:p w14:paraId="3B279784" w14:textId="77777777" w:rsidR="00B355BC" w:rsidRPr="001118B5" w:rsidRDefault="00B355BC" w:rsidP="00B355BC">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Premiações</w:t>
            </w:r>
          </w:p>
        </w:tc>
        <w:tc>
          <w:tcPr>
            <w:tcW w:w="846" w:type="dxa"/>
            <w:tcBorders>
              <w:top w:val="nil"/>
              <w:bottom w:val="nil"/>
              <w:right w:val="single" w:sz="8" w:space="0" w:color="auto"/>
            </w:tcBorders>
            <w:shd w:val="clear" w:color="auto" w:fill="auto"/>
            <w:noWrap/>
            <w:vAlign w:val="center"/>
          </w:tcPr>
          <w:p w14:paraId="78EC87E1"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2525B648"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DVP.H054</w:t>
            </w:r>
          </w:p>
        </w:tc>
        <w:tc>
          <w:tcPr>
            <w:tcW w:w="1120" w:type="dxa"/>
            <w:tcBorders>
              <w:top w:val="nil"/>
              <w:left w:val="nil"/>
              <w:bottom w:val="nil"/>
              <w:right w:val="single" w:sz="8" w:space="0" w:color="auto"/>
            </w:tcBorders>
            <w:shd w:val="clear" w:color="auto" w:fill="auto"/>
            <w:noWrap/>
            <w:vAlign w:val="center"/>
            <w:hideMark/>
          </w:tcPr>
          <w:p w14:paraId="32CE9F3B"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DVP.I054</w:t>
            </w:r>
          </w:p>
        </w:tc>
      </w:tr>
      <w:tr w:rsidR="00B355BC" w:rsidRPr="001118B5" w14:paraId="6E2E4550" w14:textId="77777777" w:rsidTr="00E67116">
        <w:trPr>
          <w:trHeight w:val="255"/>
        </w:trPr>
        <w:tc>
          <w:tcPr>
            <w:tcW w:w="4410" w:type="dxa"/>
            <w:tcBorders>
              <w:top w:val="nil"/>
              <w:left w:val="single" w:sz="8" w:space="0" w:color="auto"/>
              <w:bottom w:val="nil"/>
            </w:tcBorders>
            <w:shd w:val="clear" w:color="auto" w:fill="auto"/>
            <w:noWrap/>
            <w:vAlign w:val="center"/>
            <w:hideMark/>
          </w:tcPr>
          <w:p w14:paraId="380533D2" w14:textId="77777777" w:rsidR="00B355BC" w:rsidRPr="001118B5" w:rsidRDefault="00B355BC" w:rsidP="00B355BC">
            <w:pPr>
              <w:spacing w:after="0" w:line="240" w:lineRule="auto"/>
              <w:rPr>
                <w:rFonts w:ascii="Arial Narrow" w:eastAsia="Times New Roman" w:hAnsi="Arial Narrow" w:cs="Arial"/>
                <w:sz w:val="16"/>
                <w:szCs w:val="16"/>
                <w:u w:val="single"/>
                <w:lang w:eastAsia="pt-BR"/>
              </w:rPr>
            </w:pPr>
          </w:p>
        </w:tc>
        <w:tc>
          <w:tcPr>
            <w:tcW w:w="835" w:type="dxa"/>
            <w:tcBorders>
              <w:top w:val="nil"/>
              <w:bottom w:val="nil"/>
              <w:right w:val="single" w:sz="8" w:space="0" w:color="auto"/>
            </w:tcBorders>
            <w:shd w:val="clear" w:color="auto" w:fill="auto"/>
            <w:noWrap/>
            <w:vAlign w:val="center"/>
          </w:tcPr>
          <w:p w14:paraId="3AA1DF7F" w14:textId="77777777" w:rsidR="00B355BC" w:rsidRPr="001118B5" w:rsidRDefault="00B355BC" w:rsidP="00B355BC">
            <w:pPr>
              <w:spacing w:after="0" w:line="240" w:lineRule="auto"/>
              <w:rPr>
                <w:rFonts w:ascii="Arial Narrow" w:eastAsia="Times New Roman" w:hAnsi="Arial Narrow" w:cs="Arial"/>
                <w:sz w:val="16"/>
                <w:szCs w:val="16"/>
                <w:u w:val="single"/>
                <w:lang w:eastAsia="pt-BR"/>
              </w:rPr>
            </w:pPr>
          </w:p>
        </w:tc>
        <w:tc>
          <w:tcPr>
            <w:tcW w:w="1149" w:type="dxa"/>
            <w:tcBorders>
              <w:top w:val="nil"/>
              <w:left w:val="nil"/>
              <w:bottom w:val="nil"/>
              <w:right w:val="single" w:sz="8" w:space="0" w:color="auto"/>
            </w:tcBorders>
            <w:shd w:val="clear" w:color="auto" w:fill="auto"/>
            <w:noWrap/>
            <w:vAlign w:val="center"/>
            <w:hideMark/>
          </w:tcPr>
          <w:p w14:paraId="6F07EDAA"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 </w:t>
            </w:r>
          </w:p>
        </w:tc>
        <w:tc>
          <w:tcPr>
            <w:tcW w:w="1134" w:type="dxa"/>
            <w:tcBorders>
              <w:top w:val="nil"/>
              <w:left w:val="nil"/>
              <w:bottom w:val="nil"/>
              <w:right w:val="single" w:sz="8" w:space="0" w:color="auto"/>
            </w:tcBorders>
            <w:shd w:val="clear" w:color="auto" w:fill="auto"/>
            <w:noWrap/>
            <w:vAlign w:val="center"/>
            <w:hideMark/>
          </w:tcPr>
          <w:p w14:paraId="1E358D7E"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 </w:t>
            </w:r>
          </w:p>
        </w:tc>
        <w:tc>
          <w:tcPr>
            <w:tcW w:w="4346" w:type="dxa"/>
            <w:tcBorders>
              <w:top w:val="nil"/>
              <w:left w:val="nil"/>
              <w:bottom w:val="nil"/>
            </w:tcBorders>
            <w:shd w:val="clear" w:color="auto" w:fill="auto"/>
            <w:noWrap/>
            <w:vAlign w:val="center"/>
            <w:hideMark/>
          </w:tcPr>
          <w:p w14:paraId="0781E2A2" w14:textId="77777777" w:rsidR="00B355BC" w:rsidRPr="001118B5" w:rsidRDefault="00B355BC" w:rsidP="00B355BC">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Resultado Negativo de Participações</w:t>
            </w:r>
          </w:p>
        </w:tc>
        <w:tc>
          <w:tcPr>
            <w:tcW w:w="846" w:type="dxa"/>
            <w:tcBorders>
              <w:top w:val="nil"/>
              <w:bottom w:val="nil"/>
              <w:right w:val="single" w:sz="8" w:space="0" w:color="auto"/>
            </w:tcBorders>
            <w:shd w:val="clear" w:color="auto" w:fill="auto"/>
            <w:noWrap/>
            <w:vAlign w:val="center"/>
          </w:tcPr>
          <w:p w14:paraId="1CE01BBF"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5C953F62"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DVP.H055</w:t>
            </w:r>
          </w:p>
        </w:tc>
        <w:tc>
          <w:tcPr>
            <w:tcW w:w="1120" w:type="dxa"/>
            <w:tcBorders>
              <w:top w:val="nil"/>
              <w:left w:val="nil"/>
              <w:bottom w:val="nil"/>
              <w:right w:val="single" w:sz="8" w:space="0" w:color="auto"/>
            </w:tcBorders>
            <w:shd w:val="clear" w:color="auto" w:fill="auto"/>
            <w:noWrap/>
            <w:vAlign w:val="center"/>
            <w:hideMark/>
          </w:tcPr>
          <w:p w14:paraId="64AD7A00"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DVP.I055</w:t>
            </w:r>
          </w:p>
        </w:tc>
      </w:tr>
      <w:tr w:rsidR="00B355BC" w:rsidRPr="001118B5" w14:paraId="09EB7E2F" w14:textId="77777777" w:rsidTr="00E67116">
        <w:trPr>
          <w:trHeight w:val="255"/>
        </w:trPr>
        <w:tc>
          <w:tcPr>
            <w:tcW w:w="4410" w:type="dxa"/>
            <w:tcBorders>
              <w:top w:val="nil"/>
              <w:left w:val="single" w:sz="8" w:space="0" w:color="auto"/>
              <w:bottom w:val="nil"/>
            </w:tcBorders>
            <w:shd w:val="clear" w:color="auto" w:fill="auto"/>
            <w:noWrap/>
            <w:vAlign w:val="center"/>
            <w:hideMark/>
          </w:tcPr>
          <w:p w14:paraId="0025FCD0" w14:textId="77777777" w:rsidR="00B355BC" w:rsidRPr="001118B5" w:rsidRDefault="00B355BC" w:rsidP="00B355BC">
            <w:pPr>
              <w:spacing w:after="0" w:line="240" w:lineRule="auto"/>
              <w:rPr>
                <w:rFonts w:ascii="Arial Narrow" w:eastAsia="Times New Roman" w:hAnsi="Arial Narrow" w:cs="Arial"/>
                <w:sz w:val="16"/>
                <w:szCs w:val="16"/>
                <w:u w:val="single"/>
                <w:lang w:eastAsia="pt-BR"/>
              </w:rPr>
            </w:pPr>
          </w:p>
        </w:tc>
        <w:tc>
          <w:tcPr>
            <w:tcW w:w="835" w:type="dxa"/>
            <w:tcBorders>
              <w:top w:val="nil"/>
              <w:bottom w:val="nil"/>
              <w:right w:val="single" w:sz="8" w:space="0" w:color="auto"/>
            </w:tcBorders>
            <w:shd w:val="clear" w:color="auto" w:fill="auto"/>
            <w:noWrap/>
            <w:vAlign w:val="center"/>
          </w:tcPr>
          <w:p w14:paraId="4C6056A8" w14:textId="77777777" w:rsidR="00B355BC" w:rsidRPr="001118B5" w:rsidRDefault="00B355BC" w:rsidP="00B355BC">
            <w:pPr>
              <w:spacing w:after="0" w:line="240" w:lineRule="auto"/>
              <w:rPr>
                <w:rFonts w:ascii="Arial Narrow" w:eastAsia="Times New Roman" w:hAnsi="Arial Narrow" w:cs="Arial"/>
                <w:sz w:val="16"/>
                <w:szCs w:val="16"/>
                <w:u w:val="single"/>
                <w:lang w:eastAsia="pt-BR"/>
              </w:rPr>
            </w:pPr>
          </w:p>
        </w:tc>
        <w:tc>
          <w:tcPr>
            <w:tcW w:w="1149" w:type="dxa"/>
            <w:tcBorders>
              <w:top w:val="nil"/>
              <w:left w:val="nil"/>
              <w:bottom w:val="nil"/>
              <w:right w:val="single" w:sz="8" w:space="0" w:color="auto"/>
            </w:tcBorders>
            <w:shd w:val="clear" w:color="auto" w:fill="auto"/>
            <w:noWrap/>
            <w:vAlign w:val="center"/>
            <w:hideMark/>
          </w:tcPr>
          <w:p w14:paraId="26E9537C"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 </w:t>
            </w:r>
          </w:p>
        </w:tc>
        <w:tc>
          <w:tcPr>
            <w:tcW w:w="1134" w:type="dxa"/>
            <w:tcBorders>
              <w:top w:val="nil"/>
              <w:left w:val="nil"/>
              <w:bottom w:val="nil"/>
              <w:right w:val="single" w:sz="8" w:space="0" w:color="auto"/>
            </w:tcBorders>
            <w:shd w:val="clear" w:color="auto" w:fill="auto"/>
            <w:noWrap/>
            <w:vAlign w:val="center"/>
            <w:hideMark/>
          </w:tcPr>
          <w:p w14:paraId="603485D9"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 </w:t>
            </w:r>
          </w:p>
        </w:tc>
        <w:tc>
          <w:tcPr>
            <w:tcW w:w="4346" w:type="dxa"/>
            <w:tcBorders>
              <w:top w:val="nil"/>
              <w:left w:val="nil"/>
              <w:bottom w:val="nil"/>
            </w:tcBorders>
            <w:shd w:val="clear" w:color="auto" w:fill="auto"/>
            <w:noWrap/>
            <w:vAlign w:val="center"/>
            <w:hideMark/>
          </w:tcPr>
          <w:p w14:paraId="59FFD2D0" w14:textId="77777777" w:rsidR="00B355BC" w:rsidRPr="001118B5" w:rsidRDefault="00B355BC" w:rsidP="00B355BC">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Incentivos</w:t>
            </w:r>
          </w:p>
        </w:tc>
        <w:tc>
          <w:tcPr>
            <w:tcW w:w="846" w:type="dxa"/>
            <w:tcBorders>
              <w:top w:val="nil"/>
              <w:bottom w:val="nil"/>
              <w:right w:val="single" w:sz="8" w:space="0" w:color="auto"/>
            </w:tcBorders>
            <w:shd w:val="clear" w:color="auto" w:fill="auto"/>
            <w:noWrap/>
            <w:vAlign w:val="center"/>
          </w:tcPr>
          <w:p w14:paraId="46474E81"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389B75A4"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DVP.H056</w:t>
            </w:r>
          </w:p>
        </w:tc>
        <w:tc>
          <w:tcPr>
            <w:tcW w:w="1120" w:type="dxa"/>
            <w:tcBorders>
              <w:top w:val="nil"/>
              <w:left w:val="nil"/>
              <w:bottom w:val="nil"/>
              <w:right w:val="single" w:sz="8" w:space="0" w:color="auto"/>
            </w:tcBorders>
            <w:shd w:val="clear" w:color="auto" w:fill="auto"/>
            <w:noWrap/>
            <w:vAlign w:val="center"/>
            <w:hideMark/>
          </w:tcPr>
          <w:p w14:paraId="3EFCF90F"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DVP.I056</w:t>
            </w:r>
          </w:p>
        </w:tc>
      </w:tr>
      <w:tr w:rsidR="00B355BC" w:rsidRPr="001118B5" w14:paraId="13B40499" w14:textId="77777777" w:rsidTr="00E67116">
        <w:trPr>
          <w:trHeight w:val="255"/>
        </w:trPr>
        <w:tc>
          <w:tcPr>
            <w:tcW w:w="4410" w:type="dxa"/>
            <w:tcBorders>
              <w:top w:val="nil"/>
              <w:left w:val="single" w:sz="8" w:space="0" w:color="auto"/>
              <w:bottom w:val="nil"/>
            </w:tcBorders>
            <w:shd w:val="clear" w:color="auto" w:fill="auto"/>
            <w:noWrap/>
            <w:vAlign w:val="center"/>
            <w:hideMark/>
          </w:tcPr>
          <w:p w14:paraId="2A547A5D" w14:textId="77777777" w:rsidR="00B355BC" w:rsidRPr="001118B5" w:rsidRDefault="00B355BC" w:rsidP="00B355BC">
            <w:pPr>
              <w:spacing w:after="0" w:line="240" w:lineRule="auto"/>
              <w:rPr>
                <w:rFonts w:ascii="Arial Narrow" w:eastAsia="Times New Roman" w:hAnsi="Arial Narrow" w:cs="Arial"/>
                <w:sz w:val="16"/>
                <w:szCs w:val="16"/>
                <w:u w:val="single"/>
                <w:lang w:eastAsia="pt-BR"/>
              </w:rPr>
            </w:pPr>
          </w:p>
        </w:tc>
        <w:tc>
          <w:tcPr>
            <w:tcW w:w="835" w:type="dxa"/>
            <w:tcBorders>
              <w:top w:val="nil"/>
              <w:bottom w:val="nil"/>
              <w:right w:val="single" w:sz="8" w:space="0" w:color="auto"/>
            </w:tcBorders>
            <w:shd w:val="clear" w:color="auto" w:fill="auto"/>
            <w:noWrap/>
            <w:vAlign w:val="center"/>
          </w:tcPr>
          <w:p w14:paraId="05E6F87D" w14:textId="77777777" w:rsidR="00B355BC" w:rsidRPr="001118B5" w:rsidRDefault="00B355BC" w:rsidP="00B355BC">
            <w:pPr>
              <w:spacing w:after="0" w:line="240" w:lineRule="auto"/>
              <w:rPr>
                <w:rFonts w:ascii="Arial Narrow" w:eastAsia="Times New Roman" w:hAnsi="Arial Narrow" w:cs="Arial"/>
                <w:sz w:val="16"/>
                <w:szCs w:val="16"/>
                <w:u w:val="single"/>
                <w:lang w:eastAsia="pt-BR"/>
              </w:rPr>
            </w:pPr>
          </w:p>
        </w:tc>
        <w:tc>
          <w:tcPr>
            <w:tcW w:w="1149" w:type="dxa"/>
            <w:tcBorders>
              <w:top w:val="nil"/>
              <w:left w:val="nil"/>
              <w:bottom w:val="nil"/>
              <w:right w:val="single" w:sz="8" w:space="0" w:color="auto"/>
            </w:tcBorders>
            <w:shd w:val="clear" w:color="auto" w:fill="auto"/>
            <w:noWrap/>
            <w:vAlign w:val="center"/>
            <w:hideMark/>
          </w:tcPr>
          <w:p w14:paraId="08D77774"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 </w:t>
            </w:r>
          </w:p>
        </w:tc>
        <w:tc>
          <w:tcPr>
            <w:tcW w:w="1134" w:type="dxa"/>
            <w:tcBorders>
              <w:top w:val="nil"/>
              <w:left w:val="nil"/>
              <w:bottom w:val="nil"/>
              <w:right w:val="single" w:sz="8" w:space="0" w:color="auto"/>
            </w:tcBorders>
            <w:shd w:val="clear" w:color="auto" w:fill="auto"/>
            <w:noWrap/>
            <w:vAlign w:val="center"/>
            <w:hideMark/>
          </w:tcPr>
          <w:p w14:paraId="4D0E5EC7"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 </w:t>
            </w:r>
          </w:p>
        </w:tc>
        <w:tc>
          <w:tcPr>
            <w:tcW w:w="4346" w:type="dxa"/>
            <w:tcBorders>
              <w:top w:val="nil"/>
              <w:left w:val="nil"/>
              <w:bottom w:val="nil"/>
            </w:tcBorders>
            <w:shd w:val="clear" w:color="auto" w:fill="auto"/>
            <w:noWrap/>
            <w:vAlign w:val="center"/>
            <w:hideMark/>
          </w:tcPr>
          <w:p w14:paraId="3B56D6A1" w14:textId="77777777" w:rsidR="00B355BC" w:rsidRPr="001118B5" w:rsidRDefault="00B355BC" w:rsidP="00B355BC">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Subvenções Econômicas</w:t>
            </w:r>
          </w:p>
        </w:tc>
        <w:tc>
          <w:tcPr>
            <w:tcW w:w="846" w:type="dxa"/>
            <w:tcBorders>
              <w:top w:val="nil"/>
              <w:bottom w:val="nil"/>
              <w:right w:val="single" w:sz="8" w:space="0" w:color="auto"/>
            </w:tcBorders>
            <w:shd w:val="clear" w:color="auto" w:fill="auto"/>
            <w:noWrap/>
            <w:vAlign w:val="center"/>
          </w:tcPr>
          <w:p w14:paraId="0D74AC44"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50017502"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DVP.H057</w:t>
            </w:r>
          </w:p>
        </w:tc>
        <w:tc>
          <w:tcPr>
            <w:tcW w:w="1120" w:type="dxa"/>
            <w:tcBorders>
              <w:top w:val="nil"/>
              <w:left w:val="nil"/>
              <w:bottom w:val="nil"/>
              <w:right w:val="single" w:sz="8" w:space="0" w:color="auto"/>
            </w:tcBorders>
            <w:shd w:val="clear" w:color="auto" w:fill="auto"/>
            <w:noWrap/>
            <w:vAlign w:val="center"/>
            <w:hideMark/>
          </w:tcPr>
          <w:p w14:paraId="62F2B26E"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DVP.I057</w:t>
            </w:r>
          </w:p>
        </w:tc>
      </w:tr>
      <w:tr w:rsidR="00B355BC" w:rsidRPr="001118B5" w14:paraId="1B7AD25B" w14:textId="77777777" w:rsidTr="00E67116">
        <w:trPr>
          <w:trHeight w:val="255"/>
        </w:trPr>
        <w:tc>
          <w:tcPr>
            <w:tcW w:w="4410" w:type="dxa"/>
            <w:tcBorders>
              <w:top w:val="nil"/>
              <w:left w:val="single" w:sz="8" w:space="0" w:color="auto"/>
              <w:bottom w:val="nil"/>
            </w:tcBorders>
            <w:shd w:val="clear" w:color="auto" w:fill="auto"/>
            <w:noWrap/>
            <w:vAlign w:val="center"/>
            <w:hideMark/>
          </w:tcPr>
          <w:p w14:paraId="7C2124DD" w14:textId="77777777" w:rsidR="00B355BC" w:rsidRPr="001118B5" w:rsidRDefault="00B355BC" w:rsidP="00B355BC">
            <w:pPr>
              <w:spacing w:after="0" w:line="240" w:lineRule="auto"/>
              <w:rPr>
                <w:rFonts w:ascii="Arial Narrow" w:eastAsia="Times New Roman" w:hAnsi="Arial Narrow" w:cs="Arial"/>
                <w:sz w:val="16"/>
                <w:szCs w:val="16"/>
                <w:u w:val="single"/>
                <w:lang w:eastAsia="pt-BR"/>
              </w:rPr>
            </w:pPr>
          </w:p>
        </w:tc>
        <w:tc>
          <w:tcPr>
            <w:tcW w:w="835" w:type="dxa"/>
            <w:tcBorders>
              <w:top w:val="nil"/>
              <w:bottom w:val="nil"/>
              <w:right w:val="single" w:sz="8" w:space="0" w:color="auto"/>
            </w:tcBorders>
            <w:shd w:val="clear" w:color="auto" w:fill="auto"/>
            <w:noWrap/>
            <w:vAlign w:val="center"/>
          </w:tcPr>
          <w:p w14:paraId="1E9036D6" w14:textId="77777777" w:rsidR="00B355BC" w:rsidRPr="001118B5" w:rsidRDefault="00B355BC" w:rsidP="00B355BC">
            <w:pPr>
              <w:spacing w:after="0" w:line="240" w:lineRule="auto"/>
              <w:rPr>
                <w:rFonts w:ascii="Arial Narrow" w:eastAsia="Times New Roman" w:hAnsi="Arial Narrow" w:cs="Arial"/>
                <w:sz w:val="16"/>
                <w:szCs w:val="16"/>
                <w:u w:val="single"/>
                <w:lang w:eastAsia="pt-BR"/>
              </w:rPr>
            </w:pPr>
          </w:p>
        </w:tc>
        <w:tc>
          <w:tcPr>
            <w:tcW w:w="1149" w:type="dxa"/>
            <w:tcBorders>
              <w:top w:val="nil"/>
              <w:left w:val="nil"/>
              <w:bottom w:val="nil"/>
              <w:right w:val="single" w:sz="8" w:space="0" w:color="auto"/>
            </w:tcBorders>
            <w:shd w:val="clear" w:color="auto" w:fill="auto"/>
            <w:noWrap/>
            <w:vAlign w:val="center"/>
            <w:hideMark/>
          </w:tcPr>
          <w:p w14:paraId="1D946FA9"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 </w:t>
            </w:r>
          </w:p>
        </w:tc>
        <w:tc>
          <w:tcPr>
            <w:tcW w:w="1134" w:type="dxa"/>
            <w:tcBorders>
              <w:top w:val="nil"/>
              <w:left w:val="nil"/>
              <w:bottom w:val="nil"/>
              <w:right w:val="single" w:sz="8" w:space="0" w:color="auto"/>
            </w:tcBorders>
            <w:shd w:val="clear" w:color="auto" w:fill="auto"/>
            <w:noWrap/>
            <w:vAlign w:val="center"/>
            <w:hideMark/>
          </w:tcPr>
          <w:p w14:paraId="628C578C"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 </w:t>
            </w:r>
          </w:p>
        </w:tc>
        <w:tc>
          <w:tcPr>
            <w:tcW w:w="4346" w:type="dxa"/>
            <w:tcBorders>
              <w:top w:val="nil"/>
              <w:left w:val="nil"/>
              <w:bottom w:val="nil"/>
            </w:tcBorders>
            <w:shd w:val="clear" w:color="auto" w:fill="auto"/>
            <w:noWrap/>
            <w:vAlign w:val="center"/>
            <w:hideMark/>
          </w:tcPr>
          <w:p w14:paraId="3D0775B1" w14:textId="77777777" w:rsidR="00B355BC" w:rsidRPr="001118B5" w:rsidRDefault="00B355BC" w:rsidP="00B355BC">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Participações e Contribuições</w:t>
            </w:r>
          </w:p>
        </w:tc>
        <w:tc>
          <w:tcPr>
            <w:tcW w:w="846" w:type="dxa"/>
            <w:tcBorders>
              <w:top w:val="nil"/>
              <w:bottom w:val="nil"/>
              <w:right w:val="single" w:sz="8" w:space="0" w:color="auto"/>
            </w:tcBorders>
            <w:shd w:val="clear" w:color="auto" w:fill="auto"/>
            <w:noWrap/>
            <w:vAlign w:val="center"/>
          </w:tcPr>
          <w:p w14:paraId="623AED5A"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09B07EAC"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DVP.H058</w:t>
            </w:r>
          </w:p>
        </w:tc>
        <w:tc>
          <w:tcPr>
            <w:tcW w:w="1120" w:type="dxa"/>
            <w:tcBorders>
              <w:top w:val="nil"/>
              <w:left w:val="nil"/>
              <w:bottom w:val="nil"/>
              <w:right w:val="single" w:sz="8" w:space="0" w:color="auto"/>
            </w:tcBorders>
            <w:shd w:val="clear" w:color="auto" w:fill="auto"/>
            <w:noWrap/>
            <w:vAlign w:val="center"/>
            <w:hideMark/>
          </w:tcPr>
          <w:p w14:paraId="52F85251"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DVP.I058</w:t>
            </w:r>
          </w:p>
        </w:tc>
      </w:tr>
      <w:tr w:rsidR="00B355BC" w:rsidRPr="001118B5" w14:paraId="6160373D" w14:textId="77777777" w:rsidTr="00E67116">
        <w:trPr>
          <w:trHeight w:val="255"/>
        </w:trPr>
        <w:tc>
          <w:tcPr>
            <w:tcW w:w="4410" w:type="dxa"/>
            <w:tcBorders>
              <w:top w:val="nil"/>
              <w:left w:val="single" w:sz="8" w:space="0" w:color="auto"/>
              <w:bottom w:val="nil"/>
            </w:tcBorders>
            <w:shd w:val="clear" w:color="auto" w:fill="auto"/>
            <w:noWrap/>
            <w:vAlign w:val="center"/>
            <w:hideMark/>
          </w:tcPr>
          <w:p w14:paraId="51E4BA3C" w14:textId="77777777" w:rsidR="00B355BC" w:rsidRPr="001118B5" w:rsidRDefault="00B355BC" w:rsidP="00B355BC">
            <w:pPr>
              <w:spacing w:after="0" w:line="240" w:lineRule="auto"/>
              <w:rPr>
                <w:rFonts w:ascii="Arial Narrow" w:eastAsia="Times New Roman" w:hAnsi="Arial Narrow" w:cs="Arial"/>
                <w:sz w:val="16"/>
                <w:szCs w:val="16"/>
                <w:u w:val="single"/>
                <w:lang w:eastAsia="pt-BR"/>
              </w:rPr>
            </w:pPr>
          </w:p>
        </w:tc>
        <w:tc>
          <w:tcPr>
            <w:tcW w:w="835" w:type="dxa"/>
            <w:tcBorders>
              <w:top w:val="nil"/>
              <w:bottom w:val="nil"/>
              <w:right w:val="single" w:sz="8" w:space="0" w:color="auto"/>
            </w:tcBorders>
            <w:shd w:val="clear" w:color="auto" w:fill="auto"/>
            <w:noWrap/>
            <w:vAlign w:val="center"/>
          </w:tcPr>
          <w:p w14:paraId="4EC96D15" w14:textId="77777777" w:rsidR="00B355BC" w:rsidRPr="001118B5" w:rsidRDefault="00B355BC" w:rsidP="00B355BC">
            <w:pPr>
              <w:spacing w:after="0" w:line="240" w:lineRule="auto"/>
              <w:rPr>
                <w:rFonts w:ascii="Arial Narrow" w:eastAsia="Times New Roman" w:hAnsi="Arial Narrow" w:cs="Arial"/>
                <w:sz w:val="16"/>
                <w:szCs w:val="16"/>
                <w:u w:val="single"/>
                <w:lang w:eastAsia="pt-BR"/>
              </w:rPr>
            </w:pPr>
          </w:p>
        </w:tc>
        <w:tc>
          <w:tcPr>
            <w:tcW w:w="1149" w:type="dxa"/>
            <w:tcBorders>
              <w:top w:val="nil"/>
              <w:left w:val="nil"/>
              <w:bottom w:val="nil"/>
              <w:right w:val="single" w:sz="8" w:space="0" w:color="auto"/>
            </w:tcBorders>
            <w:shd w:val="clear" w:color="auto" w:fill="auto"/>
            <w:noWrap/>
            <w:vAlign w:val="center"/>
            <w:hideMark/>
          </w:tcPr>
          <w:p w14:paraId="206A9DF1"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 </w:t>
            </w:r>
          </w:p>
        </w:tc>
        <w:tc>
          <w:tcPr>
            <w:tcW w:w="1134" w:type="dxa"/>
            <w:tcBorders>
              <w:top w:val="nil"/>
              <w:left w:val="nil"/>
              <w:bottom w:val="nil"/>
              <w:right w:val="single" w:sz="8" w:space="0" w:color="auto"/>
            </w:tcBorders>
            <w:shd w:val="clear" w:color="auto" w:fill="auto"/>
            <w:noWrap/>
            <w:vAlign w:val="center"/>
            <w:hideMark/>
          </w:tcPr>
          <w:p w14:paraId="3539DBD3"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 </w:t>
            </w:r>
          </w:p>
        </w:tc>
        <w:tc>
          <w:tcPr>
            <w:tcW w:w="4346" w:type="dxa"/>
            <w:tcBorders>
              <w:top w:val="nil"/>
              <w:left w:val="nil"/>
              <w:bottom w:val="nil"/>
            </w:tcBorders>
            <w:shd w:val="clear" w:color="auto" w:fill="auto"/>
            <w:noWrap/>
            <w:vAlign w:val="center"/>
            <w:hideMark/>
          </w:tcPr>
          <w:p w14:paraId="07B30D1D" w14:textId="77777777" w:rsidR="00B355BC" w:rsidRPr="001118B5" w:rsidRDefault="00B355BC" w:rsidP="00B355BC">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Constituição de Provisões</w:t>
            </w:r>
          </w:p>
        </w:tc>
        <w:tc>
          <w:tcPr>
            <w:tcW w:w="846" w:type="dxa"/>
            <w:tcBorders>
              <w:top w:val="nil"/>
              <w:bottom w:val="nil"/>
              <w:right w:val="single" w:sz="8" w:space="0" w:color="auto"/>
            </w:tcBorders>
            <w:shd w:val="clear" w:color="auto" w:fill="auto"/>
            <w:noWrap/>
            <w:vAlign w:val="center"/>
          </w:tcPr>
          <w:p w14:paraId="7B0AD4BE"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69907A9A"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DVP.H059</w:t>
            </w:r>
          </w:p>
        </w:tc>
        <w:tc>
          <w:tcPr>
            <w:tcW w:w="1120" w:type="dxa"/>
            <w:tcBorders>
              <w:top w:val="nil"/>
              <w:left w:val="nil"/>
              <w:bottom w:val="nil"/>
              <w:right w:val="single" w:sz="8" w:space="0" w:color="auto"/>
            </w:tcBorders>
            <w:shd w:val="clear" w:color="auto" w:fill="auto"/>
            <w:noWrap/>
            <w:vAlign w:val="center"/>
            <w:hideMark/>
          </w:tcPr>
          <w:p w14:paraId="66BC5044"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DVP.I059</w:t>
            </w:r>
          </w:p>
        </w:tc>
      </w:tr>
      <w:tr w:rsidR="00B355BC" w:rsidRPr="001118B5" w14:paraId="6EE09C7F" w14:textId="77777777" w:rsidTr="00E67116">
        <w:trPr>
          <w:trHeight w:val="270"/>
        </w:trPr>
        <w:tc>
          <w:tcPr>
            <w:tcW w:w="4410" w:type="dxa"/>
            <w:tcBorders>
              <w:top w:val="nil"/>
              <w:left w:val="single" w:sz="8" w:space="0" w:color="auto"/>
              <w:bottom w:val="nil"/>
            </w:tcBorders>
            <w:shd w:val="clear" w:color="auto" w:fill="auto"/>
            <w:noWrap/>
            <w:vAlign w:val="center"/>
            <w:hideMark/>
          </w:tcPr>
          <w:p w14:paraId="433406A3" w14:textId="77777777" w:rsidR="00B355BC" w:rsidRPr="001118B5" w:rsidRDefault="00B355BC" w:rsidP="00B355BC">
            <w:pPr>
              <w:spacing w:after="0" w:line="240" w:lineRule="auto"/>
              <w:rPr>
                <w:rFonts w:ascii="Arial Narrow" w:eastAsia="Times New Roman" w:hAnsi="Arial Narrow" w:cs="Arial"/>
                <w:sz w:val="16"/>
                <w:szCs w:val="16"/>
                <w:u w:val="single"/>
                <w:lang w:eastAsia="pt-BR"/>
              </w:rPr>
            </w:pPr>
          </w:p>
        </w:tc>
        <w:tc>
          <w:tcPr>
            <w:tcW w:w="835" w:type="dxa"/>
            <w:tcBorders>
              <w:top w:val="nil"/>
              <w:bottom w:val="nil"/>
              <w:right w:val="single" w:sz="8" w:space="0" w:color="auto"/>
            </w:tcBorders>
            <w:shd w:val="clear" w:color="auto" w:fill="auto"/>
            <w:noWrap/>
            <w:vAlign w:val="center"/>
          </w:tcPr>
          <w:p w14:paraId="3DEF6F23" w14:textId="77777777" w:rsidR="00B355BC" w:rsidRPr="001118B5" w:rsidRDefault="00B355BC" w:rsidP="00B355BC">
            <w:pPr>
              <w:spacing w:after="0" w:line="240" w:lineRule="auto"/>
              <w:rPr>
                <w:rFonts w:ascii="Arial Narrow" w:eastAsia="Times New Roman" w:hAnsi="Arial Narrow" w:cs="Arial"/>
                <w:sz w:val="16"/>
                <w:szCs w:val="16"/>
                <w:u w:val="single"/>
                <w:lang w:eastAsia="pt-BR"/>
              </w:rPr>
            </w:pPr>
          </w:p>
        </w:tc>
        <w:tc>
          <w:tcPr>
            <w:tcW w:w="1149" w:type="dxa"/>
            <w:tcBorders>
              <w:top w:val="nil"/>
              <w:left w:val="nil"/>
              <w:bottom w:val="nil"/>
              <w:right w:val="single" w:sz="8" w:space="0" w:color="auto"/>
            </w:tcBorders>
            <w:shd w:val="clear" w:color="auto" w:fill="auto"/>
            <w:noWrap/>
            <w:vAlign w:val="center"/>
            <w:hideMark/>
          </w:tcPr>
          <w:p w14:paraId="258755FA"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 </w:t>
            </w:r>
          </w:p>
        </w:tc>
        <w:tc>
          <w:tcPr>
            <w:tcW w:w="1134" w:type="dxa"/>
            <w:tcBorders>
              <w:top w:val="nil"/>
              <w:left w:val="nil"/>
              <w:bottom w:val="nil"/>
              <w:right w:val="single" w:sz="8" w:space="0" w:color="auto"/>
            </w:tcBorders>
            <w:shd w:val="clear" w:color="auto" w:fill="auto"/>
            <w:noWrap/>
            <w:vAlign w:val="center"/>
            <w:hideMark/>
          </w:tcPr>
          <w:p w14:paraId="53FA1D81"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 </w:t>
            </w:r>
          </w:p>
        </w:tc>
        <w:tc>
          <w:tcPr>
            <w:tcW w:w="4346" w:type="dxa"/>
            <w:tcBorders>
              <w:top w:val="nil"/>
              <w:left w:val="nil"/>
              <w:bottom w:val="nil"/>
            </w:tcBorders>
            <w:shd w:val="clear" w:color="auto" w:fill="auto"/>
            <w:noWrap/>
            <w:vAlign w:val="center"/>
            <w:hideMark/>
          </w:tcPr>
          <w:p w14:paraId="3D4AB4DB" w14:textId="77777777" w:rsidR="00B355BC" w:rsidRPr="001118B5" w:rsidRDefault="00B355BC" w:rsidP="00B355BC">
            <w:pPr>
              <w:spacing w:after="0" w:line="240" w:lineRule="auto"/>
              <w:ind w:firstLineChars="200" w:firstLine="320"/>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Diversas Variações Patrimoniais Diminutivas</w:t>
            </w:r>
          </w:p>
        </w:tc>
        <w:tc>
          <w:tcPr>
            <w:tcW w:w="846" w:type="dxa"/>
            <w:tcBorders>
              <w:top w:val="nil"/>
              <w:bottom w:val="nil"/>
              <w:right w:val="single" w:sz="8" w:space="0" w:color="auto"/>
            </w:tcBorders>
            <w:shd w:val="clear" w:color="auto" w:fill="auto"/>
            <w:noWrap/>
            <w:vAlign w:val="center"/>
          </w:tcPr>
          <w:p w14:paraId="76090AF9"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p>
        </w:tc>
        <w:tc>
          <w:tcPr>
            <w:tcW w:w="1045" w:type="dxa"/>
            <w:tcBorders>
              <w:top w:val="nil"/>
              <w:left w:val="nil"/>
              <w:bottom w:val="nil"/>
              <w:right w:val="single" w:sz="8" w:space="0" w:color="auto"/>
            </w:tcBorders>
            <w:shd w:val="clear" w:color="auto" w:fill="auto"/>
            <w:noWrap/>
            <w:vAlign w:val="center"/>
            <w:hideMark/>
          </w:tcPr>
          <w:p w14:paraId="53F6F55B"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DVP.H060</w:t>
            </w:r>
          </w:p>
        </w:tc>
        <w:tc>
          <w:tcPr>
            <w:tcW w:w="1120" w:type="dxa"/>
            <w:tcBorders>
              <w:top w:val="nil"/>
              <w:left w:val="nil"/>
              <w:bottom w:val="nil"/>
              <w:right w:val="single" w:sz="8" w:space="0" w:color="auto"/>
            </w:tcBorders>
            <w:shd w:val="clear" w:color="auto" w:fill="auto"/>
            <w:noWrap/>
            <w:vAlign w:val="center"/>
            <w:hideMark/>
          </w:tcPr>
          <w:p w14:paraId="442F8A7C" w14:textId="77777777" w:rsidR="00B355BC" w:rsidRPr="001118B5" w:rsidRDefault="00B355BC" w:rsidP="00B355BC">
            <w:pPr>
              <w:spacing w:after="0" w:line="240" w:lineRule="auto"/>
              <w:jc w:val="center"/>
              <w:rPr>
                <w:rFonts w:ascii="Arial Narrow" w:eastAsia="Times New Roman" w:hAnsi="Arial Narrow" w:cs="Arial"/>
                <w:sz w:val="16"/>
                <w:szCs w:val="16"/>
                <w:lang w:eastAsia="pt-BR"/>
              </w:rPr>
            </w:pPr>
            <w:r w:rsidRPr="001118B5">
              <w:rPr>
                <w:rFonts w:ascii="Arial Narrow" w:eastAsia="Times New Roman" w:hAnsi="Arial Narrow" w:cs="Arial"/>
                <w:sz w:val="16"/>
                <w:szCs w:val="16"/>
                <w:lang w:eastAsia="pt-BR"/>
              </w:rPr>
              <w:t>DVP.I060</w:t>
            </w:r>
          </w:p>
        </w:tc>
      </w:tr>
      <w:tr w:rsidR="00B355BC" w:rsidRPr="001118B5" w14:paraId="70325B07" w14:textId="77777777" w:rsidTr="00E67116">
        <w:trPr>
          <w:trHeight w:val="270"/>
        </w:trPr>
        <w:tc>
          <w:tcPr>
            <w:tcW w:w="4410" w:type="dxa"/>
            <w:tcBorders>
              <w:top w:val="single" w:sz="8" w:space="0" w:color="auto"/>
              <w:left w:val="single" w:sz="8" w:space="0" w:color="auto"/>
              <w:bottom w:val="single" w:sz="8" w:space="0" w:color="auto"/>
            </w:tcBorders>
            <w:shd w:val="clear" w:color="auto" w:fill="auto"/>
            <w:noWrap/>
            <w:vAlign w:val="center"/>
            <w:hideMark/>
          </w:tcPr>
          <w:p w14:paraId="39E0B218" w14:textId="77777777" w:rsidR="00B355BC" w:rsidRPr="001118B5" w:rsidRDefault="00B355BC" w:rsidP="00B355BC">
            <w:pPr>
              <w:spacing w:after="0" w:line="240" w:lineRule="auto"/>
              <w:rPr>
                <w:rFonts w:ascii="Arial Narrow" w:eastAsia="Times New Roman" w:hAnsi="Arial Narrow" w:cs="Arial"/>
                <w:b/>
                <w:bCs/>
                <w:sz w:val="16"/>
                <w:szCs w:val="16"/>
                <w:lang w:eastAsia="pt-BR"/>
              </w:rPr>
            </w:pPr>
            <w:r w:rsidRPr="001118B5">
              <w:rPr>
                <w:rFonts w:ascii="Arial Narrow" w:eastAsia="Times New Roman" w:hAnsi="Arial Narrow" w:cs="Arial"/>
                <w:b/>
                <w:bCs/>
                <w:sz w:val="16"/>
                <w:szCs w:val="16"/>
                <w:lang w:eastAsia="pt-BR"/>
              </w:rPr>
              <w:t>Total das Variações Patrimonais Aumentativas (I)</w:t>
            </w:r>
          </w:p>
        </w:tc>
        <w:tc>
          <w:tcPr>
            <w:tcW w:w="835" w:type="dxa"/>
            <w:tcBorders>
              <w:top w:val="single" w:sz="8" w:space="0" w:color="auto"/>
              <w:bottom w:val="single" w:sz="8" w:space="0" w:color="auto"/>
              <w:right w:val="single" w:sz="8" w:space="0" w:color="auto"/>
            </w:tcBorders>
            <w:shd w:val="clear" w:color="auto" w:fill="auto"/>
            <w:noWrap/>
            <w:vAlign w:val="center"/>
          </w:tcPr>
          <w:p w14:paraId="7C1D033B" w14:textId="77777777" w:rsidR="00B355BC" w:rsidRPr="001118B5" w:rsidRDefault="00B355BC" w:rsidP="00B355BC">
            <w:pPr>
              <w:spacing w:after="0" w:line="240" w:lineRule="auto"/>
              <w:jc w:val="center"/>
              <w:rPr>
                <w:rFonts w:ascii="Arial Narrow" w:eastAsia="Times New Roman" w:hAnsi="Arial Narrow" w:cs="Arial"/>
                <w:b/>
                <w:bCs/>
                <w:sz w:val="16"/>
                <w:szCs w:val="16"/>
                <w:lang w:eastAsia="pt-BR"/>
              </w:rPr>
            </w:pPr>
          </w:p>
        </w:tc>
        <w:tc>
          <w:tcPr>
            <w:tcW w:w="1149" w:type="dxa"/>
            <w:tcBorders>
              <w:top w:val="single" w:sz="8" w:space="0" w:color="auto"/>
              <w:left w:val="nil"/>
              <w:bottom w:val="single" w:sz="8" w:space="0" w:color="auto"/>
              <w:right w:val="single" w:sz="8" w:space="0" w:color="auto"/>
            </w:tcBorders>
            <w:shd w:val="clear" w:color="auto" w:fill="auto"/>
            <w:noWrap/>
            <w:vAlign w:val="center"/>
            <w:hideMark/>
          </w:tcPr>
          <w:p w14:paraId="0011D756" w14:textId="77777777" w:rsidR="00B355BC" w:rsidRPr="001118B5" w:rsidRDefault="00B355BC" w:rsidP="00B355BC">
            <w:pPr>
              <w:spacing w:after="0" w:line="240" w:lineRule="auto"/>
              <w:jc w:val="center"/>
              <w:rPr>
                <w:rFonts w:ascii="Arial Narrow" w:eastAsia="Times New Roman" w:hAnsi="Arial Narrow" w:cs="Arial"/>
                <w:b/>
                <w:bCs/>
                <w:sz w:val="16"/>
                <w:szCs w:val="16"/>
                <w:lang w:eastAsia="pt-BR"/>
              </w:rPr>
            </w:pPr>
            <w:r w:rsidRPr="001118B5">
              <w:rPr>
                <w:rFonts w:ascii="Arial Narrow" w:eastAsia="Times New Roman" w:hAnsi="Arial Narrow" w:cs="Arial"/>
                <w:b/>
                <w:bCs/>
                <w:sz w:val="16"/>
                <w:szCs w:val="16"/>
                <w:lang w:eastAsia="pt-BR"/>
              </w:rPr>
              <w:t>DVP.D061</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14:paraId="477EBD1B" w14:textId="77777777" w:rsidR="00B355BC" w:rsidRPr="001118B5" w:rsidRDefault="00B355BC" w:rsidP="00B355BC">
            <w:pPr>
              <w:spacing w:after="0" w:line="240" w:lineRule="auto"/>
              <w:jc w:val="center"/>
              <w:rPr>
                <w:rFonts w:ascii="Arial Narrow" w:eastAsia="Times New Roman" w:hAnsi="Arial Narrow" w:cs="Arial"/>
                <w:b/>
                <w:bCs/>
                <w:sz w:val="16"/>
                <w:szCs w:val="16"/>
                <w:lang w:eastAsia="pt-BR"/>
              </w:rPr>
            </w:pPr>
            <w:r w:rsidRPr="001118B5">
              <w:rPr>
                <w:rFonts w:ascii="Arial Narrow" w:eastAsia="Times New Roman" w:hAnsi="Arial Narrow" w:cs="Arial"/>
                <w:b/>
                <w:bCs/>
                <w:sz w:val="16"/>
                <w:szCs w:val="16"/>
                <w:lang w:eastAsia="pt-BR"/>
              </w:rPr>
              <w:t>DVP.E061</w:t>
            </w:r>
          </w:p>
        </w:tc>
        <w:tc>
          <w:tcPr>
            <w:tcW w:w="4346" w:type="dxa"/>
            <w:tcBorders>
              <w:top w:val="single" w:sz="8" w:space="0" w:color="auto"/>
              <w:left w:val="nil"/>
              <w:bottom w:val="single" w:sz="8" w:space="0" w:color="auto"/>
            </w:tcBorders>
            <w:shd w:val="clear" w:color="auto" w:fill="auto"/>
            <w:noWrap/>
            <w:vAlign w:val="center"/>
            <w:hideMark/>
          </w:tcPr>
          <w:p w14:paraId="64299DDC" w14:textId="77777777" w:rsidR="00B355BC" w:rsidRPr="001118B5" w:rsidRDefault="00B355BC" w:rsidP="00B355BC">
            <w:pPr>
              <w:spacing w:after="0" w:line="240" w:lineRule="auto"/>
              <w:rPr>
                <w:rFonts w:ascii="Arial Narrow" w:eastAsia="Times New Roman" w:hAnsi="Arial Narrow" w:cs="Arial"/>
                <w:b/>
                <w:bCs/>
                <w:sz w:val="16"/>
                <w:szCs w:val="16"/>
                <w:lang w:eastAsia="pt-BR"/>
              </w:rPr>
            </w:pPr>
            <w:r w:rsidRPr="001118B5">
              <w:rPr>
                <w:rFonts w:ascii="Arial Narrow" w:eastAsia="Times New Roman" w:hAnsi="Arial Narrow" w:cs="Arial"/>
                <w:b/>
                <w:bCs/>
                <w:sz w:val="16"/>
                <w:szCs w:val="16"/>
                <w:lang w:eastAsia="pt-BR"/>
              </w:rPr>
              <w:t>Total das Variações Patrimonais Diminutivas (II)</w:t>
            </w:r>
          </w:p>
        </w:tc>
        <w:tc>
          <w:tcPr>
            <w:tcW w:w="846" w:type="dxa"/>
            <w:tcBorders>
              <w:top w:val="single" w:sz="8" w:space="0" w:color="auto"/>
              <w:bottom w:val="single" w:sz="8" w:space="0" w:color="auto"/>
              <w:right w:val="single" w:sz="8" w:space="0" w:color="auto"/>
            </w:tcBorders>
            <w:shd w:val="clear" w:color="auto" w:fill="auto"/>
            <w:noWrap/>
            <w:vAlign w:val="center"/>
          </w:tcPr>
          <w:p w14:paraId="2B99DB5D" w14:textId="77777777" w:rsidR="00B355BC" w:rsidRPr="001118B5" w:rsidRDefault="00B355BC" w:rsidP="00B355BC">
            <w:pPr>
              <w:spacing w:after="0" w:line="240" w:lineRule="auto"/>
              <w:jc w:val="center"/>
              <w:rPr>
                <w:rFonts w:ascii="Arial Narrow" w:eastAsia="Times New Roman" w:hAnsi="Arial Narrow" w:cs="Arial"/>
                <w:b/>
                <w:bCs/>
                <w:sz w:val="16"/>
                <w:szCs w:val="16"/>
                <w:lang w:eastAsia="pt-BR"/>
              </w:rPr>
            </w:pPr>
          </w:p>
        </w:tc>
        <w:tc>
          <w:tcPr>
            <w:tcW w:w="1045" w:type="dxa"/>
            <w:tcBorders>
              <w:top w:val="single" w:sz="8" w:space="0" w:color="auto"/>
              <w:left w:val="nil"/>
              <w:bottom w:val="single" w:sz="8" w:space="0" w:color="auto"/>
              <w:right w:val="single" w:sz="8" w:space="0" w:color="auto"/>
            </w:tcBorders>
            <w:shd w:val="clear" w:color="auto" w:fill="auto"/>
            <w:noWrap/>
            <w:vAlign w:val="center"/>
            <w:hideMark/>
          </w:tcPr>
          <w:p w14:paraId="48813B7A" w14:textId="77777777" w:rsidR="00B355BC" w:rsidRPr="001118B5" w:rsidRDefault="00B355BC" w:rsidP="00B355BC">
            <w:pPr>
              <w:spacing w:after="0" w:line="240" w:lineRule="auto"/>
              <w:jc w:val="center"/>
              <w:rPr>
                <w:rFonts w:ascii="Arial Narrow" w:eastAsia="Times New Roman" w:hAnsi="Arial Narrow" w:cs="Arial"/>
                <w:b/>
                <w:bCs/>
                <w:sz w:val="16"/>
                <w:szCs w:val="16"/>
                <w:lang w:eastAsia="pt-BR"/>
              </w:rPr>
            </w:pPr>
            <w:r w:rsidRPr="001118B5">
              <w:rPr>
                <w:rFonts w:ascii="Arial Narrow" w:eastAsia="Times New Roman" w:hAnsi="Arial Narrow" w:cs="Arial"/>
                <w:b/>
                <w:bCs/>
                <w:sz w:val="16"/>
                <w:szCs w:val="16"/>
                <w:lang w:eastAsia="pt-BR"/>
              </w:rPr>
              <w:t>DVP.H061</w:t>
            </w:r>
          </w:p>
        </w:tc>
        <w:tc>
          <w:tcPr>
            <w:tcW w:w="1120" w:type="dxa"/>
            <w:tcBorders>
              <w:top w:val="single" w:sz="8" w:space="0" w:color="auto"/>
              <w:left w:val="nil"/>
              <w:bottom w:val="single" w:sz="4" w:space="0" w:color="auto"/>
              <w:right w:val="single" w:sz="8" w:space="0" w:color="auto"/>
            </w:tcBorders>
            <w:shd w:val="clear" w:color="auto" w:fill="auto"/>
            <w:noWrap/>
            <w:vAlign w:val="center"/>
            <w:hideMark/>
          </w:tcPr>
          <w:p w14:paraId="20D3961B" w14:textId="77777777" w:rsidR="00B355BC" w:rsidRPr="001118B5" w:rsidRDefault="00B355BC" w:rsidP="00B355BC">
            <w:pPr>
              <w:spacing w:after="0" w:line="240" w:lineRule="auto"/>
              <w:jc w:val="center"/>
              <w:rPr>
                <w:rFonts w:ascii="Arial Narrow" w:eastAsia="Times New Roman" w:hAnsi="Arial Narrow" w:cs="Arial"/>
                <w:b/>
                <w:bCs/>
                <w:sz w:val="16"/>
                <w:szCs w:val="16"/>
                <w:lang w:eastAsia="pt-BR"/>
              </w:rPr>
            </w:pPr>
            <w:r w:rsidRPr="001118B5">
              <w:rPr>
                <w:rFonts w:ascii="Arial Narrow" w:eastAsia="Times New Roman" w:hAnsi="Arial Narrow" w:cs="Arial"/>
                <w:b/>
                <w:bCs/>
                <w:sz w:val="16"/>
                <w:szCs w:val="16"/>
                <w:lang w:eastAsia="pt-BR"/>
              </w:rPr>
              <w:t>DVP.I061</w:t>
            </w:r>
          </w:p>
        </w:tc>
      </w:tr>
      <w:tr w:rsidR="00B355BC" w:rsidRPr="001118B5" w14:paraId="1B605FA6" w14:textId="77777777" w:rsidTr="00E7482B">
        <w:trPr>
          <w:trHeight w:val="270"/>
        </w:trPr>
        <w:tc>
          <w:tcPr>
            <w:tcW w:w="11874" w:type="dxa"/>
            <w:gridSpan w:val="5"/>
            <w:tcBorders>
              <w:top w:val="single" w:sz="8" w:space="0" w:color="auto"/>
              <w:left w:val="single" w:sz="8" w:space="0" w:color="auto"/>
              <w:bottom w:val="single" w:sz="8" w:space="0" w:color="auto"/>
            </w:tcBorders>
            <w:shd w:val="clear" w:color="000000" w:fill="auto"/>
            <w:noWrap/>
            <w:vAlign w:val="center"/>
            <w:hideMark/>
          </w:tcPr>
          <w:p w14:paraId="56DB17D9" w14:textId="77777777" w:rsidR="00B355BC" w:rsidRPr="001118B5" w:rsidRDefault="00B355BC" w:rsidP="00B355BC">
            <w:pPr>
              <w:spacing w:after="0" w:line="240" w:lineRule="auto"/>
              <w:rPr>
                <w:rFonts w:ascii="Arial Narrow" w:eastAsia="Times New Roman" w:hAnsi="Arial Narrow" w:cs="Arial"/>
                <w:b/>
                <w:bCs/>
                <w:sz w:val="16"/>
                <w:szCs w:val="16"/>
                <w:lang w:eastAsia="pt-BR"/>
              </w:rPr>
            </w:pPr>
            <w:r w:rsidRPr="001118B5">
              <w:rPr>
                <w:rFonts w:ascii="Arial Narrow" w:eastAsia="Times New Roman" w:hAnsi="Arial Narrow" w:cs="Arial"/>
                <w:b/>
                <w:bCs/>
                <w:sz w:val="16"/>
                <w:szCs w:val="16"/>
                <w:lang w:eastAsia="pt-BR"/>
              </w:rPr>
              <w:lastRenderedPageBreak/>
              <w:t>Resultado Patrimonial do Período III = I - II</w:t>
            </w:r>
          </w:p>
        </w:tc>
        <w:tc>
          <w:tcPr>
            <w:tcW w:w="846" w:type="dxa"/>
            <w:tcBorders>
              <w:top w:val="nil"/>
              <w:bottom w:val="single" w:sz="4" w:space="0" w:color="auto"/>
              <w:right w:val="nil"/>
            </w:tcBorders>
            <w:shd w:val="clear" w:color="000000" w:fill="auto"/>
            <w:noWrap/>
            <w:vAlign w:val="center"/>
          </w:tcPr>
          <w:p w14:paraId="2E2EC6DC" w14:textId="77777777" w:rsidR="00B355BC" w:rsidRPr="001118B5" w:rsidRDefault="00B355BC" w:rsidP="00B355BC">
            <w:pPr>
              <w:spacing w:after="0" w:line="240" w:lineRule="auto"/>
              <w:jc w:val="center"/>
              <w:rPr>
                <w:rFonts w:ascii="Arial Narrow" w:eastAsia="Times New Roman" w:hAnsi="Arial Narrow" w:cs="Arial"/>
                <w:b/>
                <w:bCs/>
                <w:sz w:val="16"/>
                <w:szCs w:val="16"/>
                <w:lang w:eastAsia="pt-BR"/>
              </w:rPr>
            </w:pPr>
          </w:p>
        </w:tc>
        <w:tc>
          <w:tcPr>
            <w:tcW w:w="1045" w:type="dxa"/>
            <w:tcBorders>
              <w:top w:val="nil"/>
              <w:left w:val="single" w:sz="8" w:space="0" w:color="auto"/>
              <w:bottom w:val="single" w:sz="4" w:space="0" w:color="auto"/>
              <w:right w:val="single" w:sz="4" w:space="0" w:color="auto"/>
            </w:tcBorders>
            <w:shd w:val="clear" w:color="000000" w:fill="auto"/>
            <w:noWrap/>
            <w:vAlign w:val="center"/>
            <w:hideMark/>
          </w:tcPr>
          <w:p w14:paraId="538FB665" w14:textId="77777777" w:rsidR="00B355BC" w:rsidRPr="001118B5" w:rsidRDefault="00B355BC" w:rsidP="00B355BC">
            <w:pPr>
              <w:spacing w:after="0" w:line="240" w:lineRule="auto"/>
              <w:jc w:val="center"/>
              <w:rPr>
                <w:rFonts w:ascii="Arial Narrow" w:eastAsia="Times New Roman" w:hAnsi="Arial Narrow" w:cs="Arial"/>
                <w:b/>
                <w:bCs/>
                <w:sz w:val="16"/>
                <w:szCs w:val="16"/>
                <w:lang w:eastAsia="pt-BR"/>
              </w:rPr>
            </w:pPr>
            <w:r w:rsidRPr="001118B5">
              <w:rPr>
                <w:rFonts w:ascii="Arial Narrow" w:eastAsia="Times New Roman" w:hAnsi="Arial Narrow" w:cs="Arial"/>
                <w:b/>
                <w:bCs/>
                <w:sz w:val="16"/>
                <w:szCs w:val="16"/>
                <w:lang w:eastAsia="pt-BR"/>
              </w:rPr>
              <w:t>DVP.H062</w:t>
            </w:r>
          </w:p>
        </w:tc>
        <w:tc>
          <w:tcPr>
            <w:tcW w:w="1120" w:type="dxa"/>
            <w:tcBorders>
              <w:top w:val="single" w:sz="4" w:space="0" w:color="auto"/>
              <w:left w:val="single" w:sz="4" w:space="0" w:color="auto"/>
              <w:bottom w:val="single" w:sz="4" w:space="0" w:color="auto"/>
              <w:right w:val="single" w:sz="4" w:space="0" w:color="auto"/>
            </w:tcBorders>
            <w:shd w:val="clear" w:color="000000" w:fill="auto"/>
            <w:noWrap/>
            <w:vAlign w:val="center"/>
            <w:hideMark/>
          </w:tcPr>
          <w:p w14:paraId="4B551DAD" w14:textId="77777777" w:rsidR="00B355BC" w:rsidRPr="001118B5" w:rsidRDefault="00B355BC" w:rsidP="00B355BC">
            <w:pPr>
              <w:spacing w:after="0" w:line="240" w:lineRule="auto"/>
              <w:jc w:val="center"/>
              <w:rPr>
                <w:rFonts w:ascii="Arial Narrow" w:eastAsia="Times New Roman" w:hAnsi="Arial Narrow" w:cs="Arial"/>
                <w:b/>
                <w:bCs/>
                <w:sz w:val="16"/>
                <w:szCs w:val="16"/>
                <w:lang w:eastAsia="pt-BR"/>
              </w:rPr>
            </w:pPr>
            <w:r w:rsidRPr="001118B5">
              <w:rPr>
                <w:rFonts w:ascii="Arial Narrow" w:eastAsia="Times New Roman" w:hAnsi="Arial Narrow" w:cs="Arial"/>
                <w:b/>
                <w:bCs/>
                <w:sz w:val="16"/>
                <w:szCs w:val="16"/>
                <w:lang w:eastAsia="pt-BR"/>
              </w:rPr>
              <w:t>DVP.I062</w:t>
            </w:r>
          </w:p>
        </w:tc>
      </w:tr>
    </w:tbl>
    <w:p w14:paraId="6008A8BC" w14:textId="7131FC20" w:rsidR="00413462" w:rsidRPr="00613437" w:rsidRDefault="00E7482B" w:rsidP="00AE574F">
      <w:pPr>
        <w:pStyle w:val="Ttulo2"/>
        <w:rPr>
          <w:lang w:val="pt-BR"/>
        </w:rPr>
      </w:pPr>
      <w:bookmarkStart w:id="116" w:name="_Toc94806386"/>
      <w:r w:rsidRPr="00613437">
        <w:rPr>
          <w:lang w:val="pt-BR"/>
        </w:rPr>
        <w:t xml:space="preserve">Alterou a tabela </w:t>
      </w:r>
      <w:r w:rsidR="00413462" w:rsidRPr="00613437">
        <w:rPr>
          <w:lang w:val="pt-BR"/>
        </w:rPr>
        <w:t>4</w:t>
      </w:r>
      <w:r w:rsidRPr="00613437">
        <w:rPr>
          <w:lang w:val="pt-BR"/>
        </w:rPr>
        <w:t xml:space="preserve"> - </w:t>
      </w:r>
      <w:r w:rsidR="00413462" w:rsidRPr="00613437">
        <w:rPr>
          <w:lang w:val="pt-BR"/>
        </w:rPr>
        <w:t xml:space="preserve"> Balanço Financeiro (Anexo 13 - Lei nº 4.320/64)</w:t>
      </w:r>
      <w:r w:rsidR="00146369" w:rsidRPr="00613437">
        <w:rPr>
          <w:lang w:val="pt-BR"/>
        </w:rPr>
        <w:t xml:space="preserve"> e o Quadro Anexo ao Balanço Financeiro, para Municípios/Consórcios.</w:t>
      </w:r>
      <w:bookmarkEnd w:id="116"/>
    </w:p>
    <w:p w14:paraId="0566BCDF" w14:textId="77777777" w:rsidR="00146369" w:rsidRDefault="00146369" w:rsidP="00146369">
      <w:pPr>
        <w:spacing w:after="0" w:line="240" w:lineRule="auto"/>
        <w:jc w:val="center"/>
        <w:rPr>
          <w:rFonts w:ascii="Arial" w:eastAsia="Times New Roman" w:hAnsi="Arial" w:cs="Arial"/>
          <w:b/>
          <w:bCs/>
          <w:sz w:val="18"/>
          <w:szCs w:val="18"/>
          <w:lang w:eastAsia="pt-BR"/>
        </w:rPr>
      </w:pPr>
    </w:p>
    <w:p w14:paraId="1DBD1787" w14:textId="1735C8D8" w:rsidR="00146369" w:rsidRPr="009F38DB" w:rsidRDefault="00146369" w:rsidP="00146369">
      <w:pPr>
        <w:spacing w:after="0" w:line="240" w:lineRule="auto"/>
        <w:jc w:val="center"/>
        <w:rPr>
          <w:rFonts w:ascii="Arial" w:eastAsia="Times New Roman" w:hAnsi="Arial" w:cs="Arial"/>
          <w:b/>
          <w:bCs/>
          <w:sz w:val="18"/>
          <w:szCs w:val="18"/>
          <w:lang w:eastAsia="pt-BR"/>
        </w:rPr>
      </w:pPr>
      <w:r w:rsidRPr="009F38DB">
        <w:rPr>
          <w:rFonts w:ascii="Arial" w:eastAsia="Times New Roman" w:hAnsi="Arial" w:cs="Arial"/>
          <w:b/>
          <w:bCs/>
          <w:sz w:val="18"/>
          <w:szCs w:val="18"/>
          <w:lang w:eastAsia="pt-BR"/>
        </w:rPr>
        <w:t xml:space="preserve">TABELA 4 - BALANÇO FINANCEIRO (Anexo 13 - Lei </w:t>
      </w:r>
      <w:r>
        <w:rPr>
          <w:rFonts w:ascii="Arial" w:eastAsia="Times New Roman" w:hAnsi="Arial" w:cs="Arial"/>
          <w:b/>
          <w:bCs/>
          <w:sz w:val="18"/>
          <w:szCs w:val="18"/>
          <w:lang w:eastAsia="pt-BR"/>
        </w:rPr>
        <w:t>n</w:t>
      </w:r>
      <w:r w:rsidRPr="009F38DB">
        <w:rPr>
          <w:rFonts w:ascii="Arial" w:eastAsia="Times New Roman" w:hAnsi="Arial" w:cs="Arial"/>
          <w:b/>
          <w:bCs/>
          <w:sz w:val="18"/>
          <w:szCs w:val="18"/>
          <w:lang w:eastAsia="pt-BR"/>
        </w:rPr>
        <w:t>º 4.320/64)</w:t>
      </w:r>
    </w:p>
    <w:p w14:paraId="7A3C6923" w14:textId="77777777" w:rsidR="00146369" w:rsidRDefault="00146369" w:rsidP="00146369">
      <w:pPr>
        <w:jc w:val="center"/>
        <w:rPr>
          <w:rFonts w:ascii="Arial" w:hAnsi="Arial" w:cs="Arial"/>
          <w:b/>
          <w:sz w:val="24"/>
          <w:szCs w:val="24"/>
        </w:rPr>
      </w:pPr>
      <w:r w:rsidRPr="009F38DB">
        <w:rPr>
          <w:rFonts w:ascii="Arial" w:eastAsia="Times New Roman" w:hAnsi="Arial" w:cs="Arial"/>
          <w:b/>
          <w:bCs/>
          <w:sz w:val="18"/>
          <w:szCs w:val="18"/>
          <w:lang w:eastAsia="pt-BR"/>
        </w:rPr>
        <w:t>MUNICÍPIOS E CONSÓRCIOS</w:t>
      </w:r>
    </w:p>
    <w:p w14:paraId="0E97AE12" w14:textId="77777777" w:rsidR="0082721C" w:rsidRPr="009F38DB" w:rsidRDefault="0082721C" w:rsidP="0082721C">
      <w:pPr>
        <w:spacing w:after="0" w:line="240" w:lineRule="auto"/>
        <w:jc w:val="both"/>
        <w:rPr>
          <w:rFonts w:ascii="Arial" w:eastAsia="Calibri" w:hAnsi="Arial" w:cs="Arial"/>
          <w:sz w:val="24"/>
          <w:szCs w:val="24"/>
        </w:rPr>
      </w:pPr>
    </w:p>
    <w:tbl>
      <w:tblPr>
        <w:tblW w:w="14034" w:type="dxa"/>
        <w:tblInd w:w="-152" w:type="dxa"/>
        <w:tblCellMar>
          <w:left w:w="70" w:type="dxa"/>
          <w:right w:w="70" w:type="dxa"/>
        </w:tblCellMar>
        <w:tblLook w:val="04A0" w:firstRow="1" w:lastRow="0" w:firstColumn="1" w:lastColumn="0" w:noHBand="0" w:noVBand="1"/>
      </w:tblPr>
      <w:tblGrid>
        <w:gridCol w:w="284"/>
        <w:gridCol w:w="4536"/>
        <w:gridCol w:w="1134"/>
        <w:gridCol w:w="1276"/>
        <w:gridCol w:w="4243"/>
        <w:gridCol w:w="875"/>
        <w:gridCol w:w="410"/>
        <w:gridCol w:w="1008"/>
        <w:gridCol w:w="268"/>
      </w:tblGrid>
      <w:tr w:rsidR="0082721C" w:rsidRPr="003042F6" w14:paraId="200B59B3" w14:textId="77777777" w:rsidTr="00E450A4">
        <w:trPr>
          <w:trHeight w:val="270"/>
        </w:trPr>
        <w:tc>
          <w:tcPr>
            <w:tcW w:w="7230" w:type="dxa"/>
            <w:gridSpan w:val="4"/>
            <w:tcBorders>
              <w:top w:val="single" w:sz="8" w:space="0" w:color="auto"/>
              <w:left w:val="single" w:sz="8" w:space="0" w:color="auto"/>
              <w:bottom w:val="single" w:sz="8" w:space="0" w:color="000000"/>
              <w:right w:val="single" w:sz="8" w:space="0" w:color="auto"/>
            </w:tcBorders>
            <w:shd w:val="clear" w:color="auto" w:fill="F2F2F2"/>
            <w:noWrap/>
            <w:vAlign w:val="center"/>
          </w:tcPr>
          <w:p w14:paraId="6BFD998A" w14:textId="77777777" w:rsidR="0082721C" w:rsidRPr="00446D2A" w:rsidRDefault="0082721C" w:rsidP="00E67116">
            <w:pPr>
              <w:spacing w:after="0" w:line="240" w:lineRule="auto"/>
              <w:jc w:val="center"/>
              <w:rPr>
                <w:rFonts w:ascii="Arial Narrow" w:eastAsia="Times New Roman" w:hAnsi="Arial Narrow" w:cs="Arial"/>
                <w:b/>
                <w:bCs/>
                <w:sz w:val="16"/>
                <w:szCs w:val="16"/>
                <w:lang w:eastAsia="pt-BR"/>
              </w:rPr>
            </w:pPr>
            <w:r w:rsidRPr="000A068E">
              <w:rPr>
                <w:rFonts w:ascii="Arial Narrow" w:eastAsia="Times New Roman" w:hAnsi="Arial Narrow" w:cs="Arial"/>
                <w:b/>
                <w:bCs/>
                <w:sz w:val="16"/>
                <w:szCs w:val="16"/>
                <w:lang w:eastAsia="pt-BR"/>
              </w:rPr>
              <w:t>INGRESSOS</w:t>
            </w:r>
          </w:p>
        </w:tc>
        <w:tc>
          <w:tcPr>
            <w:tcW w:w="6804" w:type="dxa"/>
            <w:gridSpan w:val="5"/>
            <w:tcBorders>
              <w:top w:val="single" w:sz="8" w:space="0" w:color="auto"/>
              <w:left w:val="single" w:sz="8" w:space="0" w:color="auto"/>
              <w:bottom w:val="single" w:sz="8" w:space="0" w:color="000000"/>
              <w:right w:val="single" w:sz="8" w:space="0" w:color="auto"/>
            </w:tcBorders>
            <w:shd w:val="clear" w:color="auto" w:fill="F2F2F2"/>
            <w:noWrap/>
            <w:vAlign w:val="center"/>
          </w:tcPr>
          <w:p w14:paraId="7AF83B64" w14:textId="77777777" w:rsidR="0082721C" w:rsidRPr="00446D2A" w:rsidRDefault="0082721C" w:rsidP="00E67116">
            <w:pPr>
              <w:spacing w:after="0" w:line="240" w:lineRule="auto"/>
              <w:jc w:val="center"/>
              <w:rPr>
                <w:rFonts w:ascii="Arial Narrow" w:eastAsia="Times New Roman" w:hAnsi="Arial Narrow" w:cs="Arial"/>
                <w:b/>
                <w:bCs/>
                <w:sz w:val="16"/>
                <w:szCs w:val="16"/>
                <w:lang w:eastAsia="pt-BR"/>
              </w:rPr>
            </w:pPr>
            <w:r w:rsidRPr="000A068E">
              <w:rPr>
                <w:rFonts w:ascii="Arial Narrow" w:eastAsia="Times New Roman" w:hAnsi="Arial Narrow" w:cs="Arial"/>
                <w:b/>
                <w:bCs/>
                <w:sz w:val="16"/>
                <w:szCs w:val="16"/>
                <w:lang w:eastAsia="pt-BR"/>
              </w:rPr>
              <w:t>DISPÊNDIOS</w:t>
            </w:r>
          </w:p>
        </w:tc>
      </w:tr>
      <w:tr w:rsidR="0082721C" w:rsidRPr="003042F6" w14:paraId="3F90F405" w14:textId="77777777" w:rsidTr="00E450A4">
        <w:trPr>
          <w:trHeight w:val="270"/>
        </w:trPr>
        <w:tc>
          <w:tcPr>
            <w:tcW w:w="4820" w:type="dxa"/>
            <w:gridSpan w:val="2"/>
            <w:vMerge w:val="restart"/>
            <w:tcBorders>
              <w:top w:val="single" w:sz="8" w:space="0" w:color="auto"/>
              <w:left w:val="single" w:sz="8" w:space="0" w:color="auto"/>
              <w:bottom w:val="single" w:sz="8" w:space="0" w:color="000000"/>
              <w:right w:val="single" w:sz="8" w:space="0" w:color="auto"/>
            </w:tcBorders>
            <w:shd w:val="clear" w:color="auto" w:fill="F2F2F2"/>
            <w:noWrap/>
            <w:vAlign w:val="center"/>
            <w:hideMark/>
          </w:tcPr>
          <w:p w14:paraId="6E7CF0EE" w14:textId="77777777" w:rsidR="0082721C" w:rsidRPr="00446D2A" w:rsidRDefault="0082721C" w:rsidP="00E67116">
            <w:pPr>
              <w:spacing w:after="0" w:line="240" w:lineRule="auto"/>
              <w:jc w:val="center"/>
              <w:rPr>
                <w:rFonts w:ascii="Arial Narrow" w:eastAsia="Times New Roman" w:hAnsi="Arial Narrow" w:cs="Arial"/>
                <w:b/>
                <w:bCs/>
                <w:sz w:val="16"/>
                <w:szCs w:val="16"/>
                <w:lang w:eastAsia="pt-BR"/>
              </w:rPr>
            </w:pPr>
            <w:r w:rsidRPr="00446D2A">
              <w:rPr>
                <w:rFonts w:ascii="Arial Narrow" w:eastAsia="Times New Roman" w:hAnsi="Arial Narrow" w:cs="Arial"/>
                <w:b/>
                <w:bCs/>
                <w:sz w:val="16"/>
                <w:szCs w:val="16"/>
                <w:lang w:eastAsia="pt-BR"/>
              </w:rPr>
              <w:t>ESPECIFICAÇÃO</w:t>
            </w:r>
          </w:p>
        </w:tc>
        <w:tc>
          <w:tcPr>
            <w:tcW w:w="1134" w:type="dxa"/>
            <w:tcBorders>
              <w:top w:val="single" w:sz="8" w:space="0" w:color="auto"/>
              <w:left w:val="nil"/>
              <w:bottom w:val="single" w:sz="8" w:space="0" w:color="auto"/>
              <w:right w:val="single" w:sz="8" w:space="0" w:color="auto"/>
            </w:tcBorders>
            <w:shd w:val="clear" w:color="auto" w:fill="F2F2F2"/>
            <w:noWrap/>
            <w:vAlign w:val="center"/>
            <w:hideMark/>
          </w:tcPr>
          <w:p w14:paraId="4A33D08C" w14:textId="77777777" w:rsidR="0082721C" w:rsidRPr="00446D2A" w:rsidRDefault="0082721C" w:rsidP="00E67116">
            <w:pPr>
              <w:spacing w:after="0" w:line="240" w:lineRule="auto"/>
              <w:jc w:val="center"/>
              <w:rPr>
                <w:rFonts w:ascii="Arial Narrow" w:eastAsia="Times New Roman" w:hAnsi="Arial Narrow" w:cs="Arial"/>
                <w:b/>
                <w:bCs/>
                <w:sz w:val="16"/>
                <w:szCs w:val="16"/>
                <w:lang w:eastAsia="pt-BR"/>
              </w:rPr>
            </w:pPr>
            <w:r w:rsidRPr="00446D2A">
              <w:rPr>
                <w:rFonts w:ascii="Arial Narrow" w:eastAsia="Times New Roman" w:hAnsi="Arial Narrow" w:cs="Arial"/>
                <w:b/>
                <w:bCs/>
                <w:sz w:val="16"/>
                <w:szCs w:val="16"/>
                <w:lang w:eastAsia="pt-BR"/>
              </w:rPr>
              <w:t>Exercício Atual</w:t>
            </w:r>
          </w:p>
        </w:tc>
        <w:tc>
          <w:tcPr>
            <w:tcW w:w="1276" w:type="dxa"/>
            <w:tcBorders>
              <w:top w:val="single" w:sz="8" w:space="0" w:color="auto"/>
              <w:left w:val="nil"/>
              <w:bottom w:val="single" w:sz="8" w:space="0" w:color="auto"/>
              <w:right w:val="single" w:sz="8" w:space="0" w:color="auto"/>
            </w:tcBorders>
            <w:shd w:val="clear" w:color="auto" w:fill="F2F2F2"/>
            <w:noWrap/>
            <w:vAlign w:val="center"/>
            <w:hideMark/>
          </w:tcPr>
          <w:p w14:paraId="40D46EE4" w14:textId="77777777" w:rsidR="0082721C" w:rsidRPr="00446D2A" w:rsidRDefault="0082721C" w:rsidP="00E67116">
            <w:pPr>
              <w:spacing w:after="0" w:line="240" w:lineRule="auto"/>
              <w:jc w:val="center"/>
              <w:rPr>
                <w:rFonts w:ascii="Arial Narrow" w:eastAsia="Times New Roman" w:hAnsi="Arial Narrow" w:cs="Arial"/>
                <w:b/>
                <w:bCs/>
                <w:sz w:val="16"/>
                <w:szCs w:val="16"/>
                <w:lang w:eastAsia="pt-BR"/>
              </w:rPr>
            </w:pPr>
            <w:r w:rsidRPr="00446D2A">
              <w:rPr>
                <w:rFonts w:ascii="Arial Narrow" w:eastAsia="Times New Roman" w:hAnsi="Arial Narrow" w:cs="Arial"/>
                <w:b/>
                <w:bCs/>
                <w:sz w:val="16"/>
                <w:szCs w:val="16"/>
                <w:lang w:eastAsia="pt-BR"/>
              </w:rPr>
              <w:t>Exercício Anterior</w:t>
            </w:r>
          </w:p>
        </w:tc>
        <w:tc>
          <w:tcPr>
            <w:tcW w:w="4243" w:type="dxa"/>
            <w:vMerge w:val="restart"/>
            <w:tcBorders>
              <w:top w:val="single" w:sz="8" w:space="0" w:color="auto"/>
              <w:left w:val="single" w:sz="8" w:space="0" w:color="auto"/>
              <w:bottom w:val="single" w:sz="8" w:space="0" w:color="000000"/>
              <w:right w:val="single" w:sz="8" w:space="0" w:color="auto"/>
            </w:tcBorders>
            <w:shd w:val="clear" w:color="auto" w:fill="F2F2F2"/>
            <w:noWrap/>
            <w:vAlign w:val="center"/>
            <w:hideMark/>
          </w:tcPr>
          <w:p w14:paraId="30AEE71D" w14:textId="77777777" w:rsidR="0082721C" w:rsidRPr="00446D2A" w:rsidRDefault="0082721C" w:rsidP="00E67116">
            <w:pPr>
              <w:spacing w:after="0" w:line="240" w:lineRule="auto"/>
              <w:jc w:val="center"/>
              <w:rPr>
                <w:rFonts w:ascii="Arial Narrow" w:eastAsia="Times New Roman" w:hAnsi="Arial Narrow" w:cs="Arial"/>
                <w:b/>
                <w:bCs/>
                <w:sz w:val="16"/>
                <w:szCs w:val="16"/>
                <w:lang w:eastAsia="pt-BR"/>
              </w:rPr>
            </w:pPr>
            <w:r w:rsidRPr="00446D2A">
              <w:rPr>
                <w:rFonts w:ascii="Arial Narrow" w:eastAsia="Times New Roman" w:hAnsi="Arial Narrow" w:cs="Arial"/>
                <w:b/>
                <w:bCs/>
                <w:sz w:val="16"/>
                <w:szCs w:val="16"/>
                <w:lang w:eastAsia="pt-BR"/>
              </w:rPr>
              <w:t>ESPECIFICAÇÃO</w:t>
            </w:r>
          </w:p>
        </w:tc>
        <w:tc>
          <w:tcPr>
            <w:tcW w:w="1285" w:type="dxa"/>
            <w:gridSpan w:val="2"/>
            <w:tcBorders>
              <w:top w:val="single" w:sz="8" w:space="0" w:color="auto"/>
              <w:left w:val="nil"/>
              <w:bottom w:val="single" w:sz="8" w:space="0" w:color="auto"/>
              <w:right w:val="single" w:sz="8" w:space="0" w:color="auto"/>
            </w:tcBorders>
            <w:shd w:val="clear" w:color="auto" w:fill="F2F2F2"/>
            <w:noWrap/>
            <w:vAlign w:val="center"/>
            <w:hideMark/>
          </w:tcPr>
          <w:p w14:paraId="40E5058C" w14:textId="77777777" w:rsidR="0082721C" w:rsidRPr="00446D2A" w:rsidRDefault="0082721C" w:rsidP="00E67116">
            <w:pPr>
              <w:spacing w:after="0" w:line="240" w:lineRule="auto"/>
              <w:jc w:val="center"/>
              <w:rPr>
                <w:rFonts w:ascii="Arial Narrow" w:eastAsia="Times New Roman" w:hAnsi="Arial Narrow" w:cs="Arial"/>
                <w:b/>
                <w:bCs/>
                <w:sz w:val="16"/>
                <w:szCs w:val="16"/>
                <w:lang w:eastAsia="pt-BR"/>
              </w:rPr>
            </w:pPr>
            <w:r w:rsidRPr="00446D2A">
              <w:rPr>
                <w:rFonts w:ascii="Arial Narrow" w:eastAsia="Times New Roman" w:hAnsi="Arial Narrow" w:cs="Arial"/>
                <w:b/>
                <w:bCs/>
                <w:sz w:val="16"/>
                <w:szCs w:val="16"/>
                <w:lang w:eastAsia="pt-BR"/>
              </w:rPr>
              <w:t>Exercício Atual</w:t>
            </w:r>
          </w:p>
        </w:tc>
        <w:tc>
          <w:tcPr>
            <w:tcW w:w="1276" w:type="dxa"/>
            <w:gridSpan w:val="2"/>
            <w:tcBorders>
              <w:top w:val="single" w:sz="8" w:space="0" w:color="auto"/>
              <w:left w:val="nil"/>
              <w:bottom w:val="single" w:sz="8" w:space="0" w:color="auto"/>
              <w:right w:val="single" w:sz="8" w:space="0" w:color="auto"/>
            </w:tcBorders>
            <w:shd w:val="clear" w:color="auto" w:fill="F2F2F2"/>
            <w:noWrap/>
            <w:vAlign w:val="center"/>
            <w:hideMark/>
          </w:tcPr>
          <w:p w14:paraId="2D12A6AD" w14:textId="77777777" w:rsidR="0082721C" w:rsidRPr="00446D2A" w:rsidRDefault="0082721C" w:rsidP="00E67116">
            <w:pPr>
              <w:spacing w:after="0" w:line="240" w:lineRule="auto"/>
              <w:jc w:val="center"/>
              <w:rPr>
                <w:rFonts w:ascii="Arial Narrow" w:eastAsia="Times New Roman" w:hAnsi="Arial Narrow" w:cs="Arial"/>
                <w:b/>
                <w:bCs/>
                <w:sz w:val="16"/>
                <w:szCs w:val="16"/>
                <w:lang w:eastAsia="pt-BR"/>
              </w:rPr>
            </w:pPr>
            <w:r w:rsidRPr="00446D2A">
              <w:rPr>
                <w:rFonts w:ascii="Arial Narrow" w:eastAsia="Times New Roman" w:hAnsi="Arial Narrow" w:cs="Arial"/>
                <w:b/>
                <w:bCs/>
                <w:sz w:val="16"/>
                <w:szCs w:val="16"/>
                <w:lang w:eastAsia="pt-BR"/>
              </w:rPr>
              <w:t>Exercício Anterior</w:t>
            </w:r>
          </w:p>
        </w:tc>
      </w:tr>
      <w:tr w:rsidR="0082721C" w:rsidRPr="003042F6" w14:paraId="335368BC" w14:textId="77777777" w:rsidTr="00E450A4">
        <w:trPr>
          <w:trHeight w:val="270"/>
        </w:trPr>
        <w:tc>
          <w:tcPr>
            <w:tcW w:w="4820" w:type="dxa"/>
            <w:gridSpan w:val="2"/>
            <w:vMerge/>
            <w:tcBorders>
              <w:top w:val="single" w:sz="8" w:space="0" w:color="auto"/>
              <w:left w:val="single" w:sz="8" w:space="0" w:color="auto"/>
              <w:bottom w:val="single" w:sz="8" w:space="0" w:color="000000"/>
              <w:right w:val="single" w:sz="8" w:space="0" w:color="auto"/>
            </w:tcBorders>
            <w:shd w:val="clear" w:color="auto" w:fill="F2F2F2"/>
            <w:vAlign w:val="center"/>
            <w:hideMark/>
          </w:tcPr>
          <w:p w14:paraId="36EE2DFF" w14:textId="77777777" w:rsidR="0082721C" w:rsidRPr="00446D2A" w:rsidRDefault="0082721C" w:rsidP="00E67116">
            <w:pPr>
              <w:spacing w:after="0" w:line="240" w:lineRule="auto"/>
              <w:rPr>
                <w:rFonts w:ascii="Arial Narrow" w:eastAsia="Times New Roman" w:hAnsi="Arial Narrow" w:cs="Arial"/>
                <w:b/>
                <w:bCs/>
                <w:sz w:val="16"/>
                <w:szCs w:val="16"/>
                <w:lang w:eastAsia="pt-BR"/>
              </w:rPr>
            </w:pPr>
          </w:p>
        </w:tc>
        <w:tc>
          <w:tcPr>
            <w:tcW w:w="2410" w:type="dxa"/>
            <w:gridSpan w:val="2"/>
            <w:tcBorders>
              <w:top w:val="nil"/>
              <w:left w:val="nil"/>
              <w:bottom w:val="single" w:sz="8" w:space="0" w:color="auto"/>
              <w:right w:val="single" w:sz="8" w:space="0" w:color="auto"/>
            </w:tcBorders>
            <w:shd w:val="clear" w:color="auto" w:fill="F2F2F2"/>
            <w:noWrap/>
            <w:vAlign w:val="center"/>
            <w:hideMark/>
          </w:tcPr>
          <w:p w14:paraId="6A6762BB" w14:textId="77777777" w:rsidR="0082721C" w:rsidRPr="00446D2A" w:rsidRDefault="0082721C" w:rsidP="00E67116">
            <w:pPr>
              <w:spacing w:after="0" w:line="240" w:lineRule="auto"/>
              <w:jc w:val="center"/>
              <w:rPr>
                <w:rFonts w:ascii="Arial Narrow" w:eastAsia="Times New Roman" w:hAnsi="Arial Narrow" w:cs="Arial"/>
                <w:b/>
                <w:bCs/>
                <w:sz w:val="16"/>
                <w:szCs w:val="16"/>
                <w:lang w:eastAsia="pt-BR"/>
              </w:rPr>
            </w:pPr>
            <w:r w:rsidRPr="00446D2A">
              <w:rPr>
                <w:rFonts w:ascii="Arial Narrow" w:eastAsia="Times New Roman" w:hAnsi="Arial Narrow" w:cs="Arial"/>
                <w:b/>
                <w:bCs/>
                <w:sz w:val="16"/>
                <w:szCs w:val="16"/>
                <w:lang w:eastAsia="pt-BR"/>
              </w:rPr>
              <w:t>VALOR</w:t>
            </w:r>
          </w:p>
        </w:tc>
        <w:tc>
          <w:tcPr>
            <w:tcW w:w="4243" w:type="dxa"/>
            <w:vMerge/>
            <w:tcBorders>
              <w:top w:val="single" w:sz="8" w:space="0" w:color="auto"/>
              <w:left w:val="single" w:sz="8" w:space="0" w:color="auto"/>
              <w:bottom w:val="single" w:sz="8" w:space="0" w:color="000000"/>
              <w:right w:val="single" w:sz="8" w:space="0" w:color="auto"/>
            </w:tcBorders>
            <w:shd w:val="clear" w:color="auto" w:fill="F2F2F2"/>
            <w:vAlign w:val="center"/>
            <w:hideMark/>
          </w:tcPr>
          <w:p w14:paraId="1B438AA2" w14:textId="77777777" w:rsidR="0082721C" w:rsidRPr="00446D2A" w:rsidRDefault="0082721C" w:rsidP="00E67116">
            <w:pPr>
              <w:spacing w:after="0" w:line="240" w:lineRule="auto"/>
              <w:rPr>
                <w:rFonts w:ascii="Arial Narrow" w:eastAsia="Times New Roman" w:hAnsi="Arial Narrow" w:cs="Arial"/>
                <w:b/>
                <w:bCs/>
                <w:sz w:val="16"/>
                <w:szCs w:val="16"/>
                <w:lang w:eastAsia="pt-BR"/>
              </w:rPr>
            </w:pPr>
          </w:p>
        </w:tc>
        <w:tc>
          <w:tcPr>
            <w:tcW w:w="2561" w:type="dxa"/>
            <w:gridSpan w:val="4"/>
            <w:tcBorders>
              <w:top w:val="nil"/>
              <w:left w:val="nil"/>
              <w:bottom w:val="single" w:sz="8" w:space="0" w:color="auto"/>
              <w:right w:val="single" w:sz="8" w:space="0" w:color="auto"/>
            </w:tcBorders>
            <w:shd w:val="clear" w:color="auto" w:fill="F2F2F2"/>
            <w:noWrap/>
            <w:vAlign w:val="center"/>
            <w:hideMark/>
          </w:tcPr>
          <w:p w14:paraId="092A3582" w14:textId="77777777" w:rsidR="0082721C" w:rsidRPr="00446D2A" w:rsidRDefault="0082721C" w:rsidP="00E67116">
            <w:pPr>
              <w:spacing w:after="0" w:line="240" w:lineRule="auto"/>
              <w:jc w:val="center"/>
              <w:rPr>
                <w:rFonts w:ascii="Arial Narrow" w:eastAsia="Times New Roman" w:hAnsi="Arial Narrow" w:cs="Arial"/>
                <w:b/>
                <w:bCs/>
                <w:sz w:val="16"/>
                <w:szCs w:val="16"/>
                <w:lang w:eastAsia="pt-BR"/>
              </w:rPr>
            </w:pPr>
            <w:r w:rsidRPr="00446D2A">
              <w:rPr>
                <w:rFonts w:ascii="Arial Narrow" w:eastAsia="Times New Roman" w:hAnsi="Arial Narrow" w:cs="Arial"/>
                <w:b/>
                <w:bCs/>
                <w:sz w:val="16"/>
                <w:szCs w:val="16"/>
                <w:lang w:eastAsia="pt-BR"/>
              </w:rPr>
              <w:t>VALOR</w:t>
            </w:r>
          </w:p>
        </w:tc>
      </w:tr>
      <w:tr w:rsidR="0082721C" w:rsidRPr="003042F6" w14:paraId="388F1153" w14:textId="77777777" w:rsidTr="00E450A4">
        <w:trPr>
          <w:trHeight w:val="255"/>
        </w:trPr>
        <w:tc>
          <w:tcPr>
            <w:tcW w:w="4820" w:type="dxa"/>
            <w:gridSpan w:val="2"/>
            <w:tcBorders>
              <w:top w:val="nil"/>
              <w:left w:val="single" w:sz="8" w:space="0" w:color="auto"/>
              <w:bottom w:val="nil"/>
              <w:right w:val="single" w:sz="8" w:space="0" w:color="auto"/>
            </w:tcBorders>
            <w:shd w:val="clear" w:color="auto" w:fill="auto"/>
            <w:noWrap/>
            <w:vAlign w:val="center"/>
            <w:hideMark/>
          </w:tcPr>
          <w:p w14:paraId="21E5CA18" w14:textId="77777777" w:rsidR="0082721C" w:rsidRPr="00446D2A" w:rsidRDefault="0082721C" w:rsidP="00E67116">
            <w:pPr>
              <w:spacing w:after="0" w:line="240" w:lineRule="auto"/>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 </w:t>
            </w:r>
          </w:p>
        </w:tc>
        <w:tc>
          <w:tcPr>
            <w:tcW w:w="1134" w:type="dxa"/>
            <w:tcBorders>
              <w:top w:val="nil"/>
              <w:left w:val="nil"/>
              <w:bottom w:val="nil"/>
              <w:right w:val="single" w:sz="8" w:space="0" w:color="auto"/>
            </w:tcBorders>
            <w:shd w:val="clear" w:color="auto" w:fill="auto"/>
            <w:noWrap/>
            <w:vAlign w:val="center"/>
            <w:hideMark/>
          </w:tcPr>
          <w:p w14:paraId="0786AD60" w14:textId="77777777" w:rsidR="0082721C" w:rsidRPr="00446D2A" w:rsidRDefault="0082721C" w:rsidP="00E67116">
            <w:pPr>
              <w:spacing w:after="0" w:line="240" w:lineRule="auto"/>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 </w:t>
            </w:r>
          </w:p>
        </w:tc>
        <w:tc>
          <w:tcPr>
            <w:tcW w:w="1276" w:type="dxa"/>
            <w:tcBorders>
              <w:top w:val="nil"/>
              <w:left w:val="nil"/>
              <w:bottom w:val="nil"/>
              <w:right w:val="single" w:sz="8" w:space="0" w:color="auto"/>
            </w:tcBorders>
            <w:shd w:val="clear" w:color="auto" w:fill="auto"/>
            <w:noWrap/>
            <w:vAlign w:val="center"/>
            <w:hideMark/>
          </w:tcPr>
          <w:p w14:paraId="54B5E742" w14:textId="77777777" w:rsidR="0082721C" w:rsidRPr="00446D2A" w:rsidRDefault="0082721C" w:rsidP="00E67116">
            <w:pPr>
              <w:spacing w:after="0" w:line="240" w:lineRule="auto"/>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 </w:t>
            </w:r>
          </w:p>
        </w:tc>
        <w:tc>
          <w:tcPr>
            <w:tcW w:w="4243" w:type="dxa"/>
            <w:tcBorders>
              <w:top w:val="nil"/>
              <w:left w:val="nil"/>
              <w:bottom w:val="nil"/>
              <w:right w:val="single" w:sz="8" w:space="0" w:color="auto"/>
            </w:tcBorders>
            <w:shd w:val="clear" w:color="auto" w:fill="auto"/>
            <w:noWrap/>
            <w:vAlign w:val="center"/>
            <w:hideMark/>
          </w:tcPr>
          <w:p w14:paraId="6175AF55" w14:textId="77777777" w:rsidR="0082721C" w:rsidRPr="00446D2A" w:rsidRDefault="0082721C" w:rsidP="00E67116">
            <w:pPr>
              <w:spacing w:after="0" w:line="240" w:lineRule="auto"/>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 </w:t>
            </w:r>
          </w:p>
        </w:tc>
        <w:tc>
          <w:tcPr>
            <w:tcW w:w="1285" w:type="dxa"/>
            <w:gridSpan w:val="2"/>
            <w:tcBorders>
              <w:top w:val="nil"/>
              <w:left w:val="nil"/>
              <w:bottom w:val="nil"/>
              <w:right w:val="single" w:sz="8" w:space="0" w:color="auto"/>
            </w:tcBorders>
            <w:shd w:val="clear" w:color="auto" w:fill="auto"/>
            <w:noWrap/>
            <w:vAlign w:val="center"/>
            <w:hideMark/>
          </w:tcPr>
          <w:p w14:paraId="7AD44058" w14:textId="77777777" w:rsidR="0082721C" w:rsidRPr="00446D2A" w:rsidRDefault="0082721C" w:rsidP="00E67116">
            <w:pPr>
              <w:spacing w:after="0" w:line="240" w:lineRule="auto"/>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 </w:t>
            </w:r>
          </w:p>
        </w:tc>
        <w:tc>
          <w:tcPr>
            <w:tcW w:w="1276" w:type="dxa"/>
            <w:gridSpan w:val="2"/>
            <w:tcBorders>
              <w:top w:val="nil"/>
              <w:left w:val="nil"/>
              <w:bottom w:val="nil"/>
              <w:right w:val="single" w:sz="8" w:space="0" w:color="auto"/>
            </w:tcBorders>
            <w:shd w:val="clear" w:color="auto" w:fill="auto"/>
            <w:noWrap/>
            <w:vAlign w:val="center"/>
            <w:hideMark/>
          </w:tcPr>
          <w:p w14:paraId="3BB56276" w14:textId="77777777" w:rsidR="0082721C" w:rsidRPr="00446D2A" w:rsidRDefault="0082721C" w:rsidP="00E67116">
            <w:pPr>
              <w:spacing w:after="0" w:line="240" w:lineRule="auto"/>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 </w:t>
            </w:r>
          </w:p>
        </w:tc>
      </w:tr>
      <w:tr w:rsidR="0082721C" w:rsidRPr="003042F6" w14:paraId="7AAF2B17" w14:textId="77777777" w:rsidTr="00E450A4">
        <w:trPr>
          <w:trHeight w:val="255"/>
        </w:trPr>
        <w:tc>
          <w:tcPr>
            <w:tcW w:w="4820" w:type="dxa"/>
            <w:gridSpan w:val="2"/>
            <w:tcBorders>
              <w:top w:val="nil"/>
              <w:left w:val="single" w:sz="8" w:space="0" w:color="auto"/>
              <w:bottom w:val="nil"/>
              <w:right w:val="single" w:sz="8" w:space="0" w:color="auto"/>
            </w:tcBorders>
            <w:shd w:val="clear" w:color="auto" w:fill="auto"/>
            <w:noWrap/>
            <w:vAlign w:val="center"/>
            <w:hideMark/>
          </w:tcPr>
          <w:p w14:paraId="6398696D" w14:textId="77777777" w:rsidR="0082721C" w:rsidRPr="00446D2A" w:rsidRDefault="0082721C" w:rsidP="00E67116">
            <w:pPr>
              <w:spacing w:after="0" w:line="240" w:lineRule="auto"/>
              <w:rPr>
                <w:rFonts w:ascii="Arial Narrow" w:eastAsia="Times New Roman" w:hAnsi="Arial Narrow" w:cs="Arial"/>
                <w:b/>
                <w:bCs/>
                <w:sz w:val="16"/>
                <w:szCs w:val="16"/>
                <w:lang w:eastAsia="pt-BR"/>
              </w:rPr>
            </w:pPr>
            <w:r w:rsidRPr="00446D2A">
              <w:rPr>
                <w:rFonts w:ascii="Arial Narrow" w:eastAsia="Times New Roman" w:hAnsi="Arial Narrow" w:cs="Arial"/>
                <w:b/>
                <w:bCs/>
                <w:sz w:val="16"/>
                <w:szCs w:val="16"/>
                <w:lang w:eastAsia="pt-BR"/>
              </w:rPr>
              <w:t>RECEITA ORÇAMENTÁRIA (I)</w:t>
            </w:r>
          </w:p>
        </w:tc>
        <w:tc>
          <w:tcPr>
            <w:tcW w:w="1134" w:type="dxa"/>
            <w:tcBorders>
              <w:top w:val="nil"/>
              <w:left w:val="nil"/>
              <w:bottom w:val="nil"/>
              <w:right w:val="single" w:sz="8" w:space="0" w:color="auto"/>
            </w:tcBorders>
            <w:shd w:val="clear" w:color="auto" w:fill="auto"/>
            <w:vAlign w:val="center"/>
            <w:hideMark/>
          </w:tcPr>
          <w:p w14:paraId="6911775A" w14:textId="77777777" w:rsidR="0082721C" w:rsidRPr="00446D2A" w:rsidRDefault="0082721C" w:rsidP="00E67116">
            <w:pPr>
              <w:spacing w:after="0" w:line="240" w:lineRule="auto"/>
              <w:jc w:val="center"/>
              <w:rPr>
                <w:rFonts w:ascii="Arial Narrow" w:eastAsia="Times New Roman" w:hAnsi="Arial Narrow" w:cs="Arial"/>
                <w:b/>
                <w:bCs/>
                <w:sz w:val="16"/>
                <w:szCs w:val="16"/>
                <w:lang w:eastAsia="pt-BR"/>
              </w:rPr>
            </w:pPr>
            <w:r w:rsidRPr="00446D2A">
              <w:rPr>
                <w:rFonts w:ascii="Arial Narrow" w:eastAsia="Times New Roman" w:hAnsi="Arial Narrow" w:cs="Arial"/>
                <w:b/>
                <w:bCs/>
                <w:sz w:val="16"/>
                <w:szCs w:val="16"/>
                <w:lang w:eastAsia="pt-BR"/>
              </w:rPr>
              <w:t>BFI.C010</w:t>
            </w:r>
          </w:p>
        </w:tc>
        <w:tc>
          <w:tcPr>
            <w:tcW w:w="1276" w:type="dxa"/>
            <w:tcBorders>
              <w:top w:val="nil"/>
              <w:left w:val="nil"/>
              <w:bottom w:val="nil"/>
              <w:right w:val="single" w:sz="8" w:space="0" w:color="auto"/>
            </w:tcBorders>
            <w:shd w:val="clear" w:color="auto" w:fill="auto"/>
            <w:vAlign w:val="center"/>
            <w:hideMark/>
          </w:tcPr>
          <w:p w14:paraId="5E1CA218" w14:textId="77777777" w:rsidR="0082721C" w:rsidRPr="00446D2A" w:rsidRDefault="0082721C" w:rsidP="00E67116">
            <w:pPr>
              <w:spacing w:after="0" w:line="240" w:lineRule="auto"/>
              <w:jc w:val="center"/>
              <w:rPr>
                <w:rFonts w:ascii="Arial Narrow" w:eastAsia="Times New Roman" w:hAnsi="Arial Narrow" w:cs="Arial"/>
                <w:b/>
                <w:bCs/>
                <w:sz w:val="16"/>
                <w:szCs w:val="16"/>
                <w:lang w:eastAsia="pt-BR"/>
              </w:rPr>
            </w:pPr>
            <w:r w:rsidRPr="00446D2A">
              <w:rPr>
                <w:rFonts w:ascii="Arial Narrow" w:eastAsia="Times New Roman" w:hAnsi="Arial Narrow" w:cs="Arial"/>
                <w:b/>
                <w:bCs/>
                <w:sz w:val="16"/>
                <w:szCs w:val="16"/>
                <w:lang w:eastAsia="pt-BR"/>
              </w:rPr>
              <w:t>BFI.D010</w:t>
            </w:r>
          </w:p>
        </w:tc>
        <w:tc>
          <w:tcPr>
            <w:tcW w:w="4243" w:type="dxa"/>
            <w:tcBorders>
              <w:top w:val="nil"/>
              <w:left w:val="nil"/>
              <w:bottom w:val="nil"/>
              <w:right w:val="single" w:sz="8" w:space="0" w:color="auto"/>
            </w:tcBorders>
            <w:shd w:val="clear" w:color="auto" w:fill="auto"/>
            <w:noWrap/>
            <w:vAlign w:val="center"/>
            <w:hideMark/>
          </w:tcPr>
          <w:p w14:paraId="0B8349DD" w14:textId="77777777" w:rsidR="0082721C" w:rsidRPr="00446D2A" w:rsidRDefault="0082721C" w:rsidP="00E67116">
            <w:pPr>
              <w:spacing w:after="0" w:line="240" w:lineRule="auto"/>
              <w:rPr>
                <w:rFonts w:ascii="Arial Narrow" w:eastAsia="Times New Roman" w:hAnsi="Arial Narrow" w:cs="Arial"/>
                <w:b/>
                <w:bCs/>
                <w:sz w:val="16"/>
                <w:szCs w:val="16"/>
                <w:lang w:eastAsia="pt-BR"/>
              </w:rPr>
            </w:pPr>
            <w:r w:rsidRPr="00446D2A">
              <w:rPr>
                <w:rFonts w:ascii="Arial Narrow" w:eastAsia="Times New Roman" w:hAnsi="Arial Narrow" w:cs="Arial"/>
                <w:b/>
                <w:bCs/>
                <w:sz w:val="16"/>
                <w:szCs w:val="16"/>
                <w:lang w:eastAsia="pt-BR"/>
              </w:rPr>
              <w:t>DESPESA ORÇAMENTÁRIA (VI)</w:t>
            </w:r>
          </w:p>
        </w:tc>
        <w:tc>
          <w:tcPr>
            <w:tcW w:w="1285" w:type="dxa"/>
            <w:gridSpan w:val="2"/>
            <w:tcBorders>
              <w:top w:val="nil"/>
              <w:left w:val="nil"/>
              <w:bottom w:val="nil"/>
              <w:right w:val="single" w:sz="8" w:space="0" w:color="auto"/>
            </w:tcBorders>
            <w:shd w:val="clear" w:color="auto" w:fill="auto"/>
            <w:vAlign w:val="center"/>
            <w:hideMark/>
          </w:tcPr>
          <w:p w14:paraId="46B56047" w14:textId="77777777" w:rsidR="0082721C" w:rsidRPr="00446D2A" w:rsidRDefault="0082721C" w:rsidP="00E67116">
            <w:pPr>
              <w:spacing w:after="0" w:line="240" w:lineRule="auto"/>
              <w:jc w:val="center"/>
              <w:rPr>
                <w:rFonts w:ascii="Arial Narrow" w:eastAsia="Times New Roman" w:hAnsi="Arial Narrow" w:cs="Arial"/>
                <w:b/>
                <w:bCs/>
                <w:sz w:val="16"/>
                <w:szCs w:val="16"/>
                <w:lang w:eastAsia="pt-BR"/>
              </w:rPr>
            </w:pPr>
            <w:r w:rsidRPr="00446D2A">
              <w:rPr>
                <w:rFonts w:ascii="Arial Narrow" w:eastAsia="Times New Roman" w:hAnsi="Arial Narrow" w:cs="Arial"/>
                <w:b/>
                <w:bCs/>
                <w:sz w:val="16"/>
                <w:szCs w:val="16"/>
                <w:lang w:eastAsia="pt-BR"/>
              </w:rPr>
              <w:t>BFI.G010</w:t>
            </w:r>
          </w:p>
        </w:tc>
        <w:tc>
          <w:tcPr>
            <w:tcW w:w="1276" w:type="dxa"/>
            <w:gridSpan w:val="2"/>
            <w:tcBorders>
              <w:top w:val="nil"/>
              <w:left w:val="nil"/>
              <w:bottom w:val="nil"/>
              <w:right w:val="single" w:sz="8" w:space="0" w:color="auto"/>
            </w:tcBorders>
            <w:shd w:val="clear" w:color="auto" w:fill="auto"/>
            <w:vAlign w:val="center"/>
            <w:hideMark/>
          </w:tcPr>
          <w:p w14:paraId="373B5817" w14:textId="77777777" w:rsidR="0082721C" w:rsidRPr="00446D2A" w:rsidRDefault="0082721C" w:rsidP="00E67116">
            <w:pPr>
              <w:spacing w:after="0" w:line="240" w:lineRule="auto"/>
              <w:jc w:val="center"/>
              <w:rPr>
                <w:rFonts w:ascii="Arial Narrow" w:eastAsia="Times New Roman" w:hAnsi="Arial Narrow" w:cs="Arial"/>
                <w:b/>
                <w:bCs/>
                <w:sz w:val="16"/>
                <w:szCs w:val="16"/>
                <w:lang w:eastAsia="pt-BR"/>
              </w:rPr>
            </w:pPr>
            <w:r w:rsidRPr="00446D2A">
              <w:rPr>
                <w:rFonts w:ascii="Arial Narrow" w:eastAsia="Times New Roman" w:hAnsi="Arial Narrow" w:cs="Arial"/>
                <w:b/>
                <w:bCs/>
                <w:sz w:val="16"/>
                <w:szCs w:val="16"/>
                <w:lang w:eastAsia="pt-BR"/>
              </w:rPr>
              <w:t>BFI.H010</w:t>
            </w:r>
          </w:p>
        </w:tc>
      </w:tr>
      <w:tr w:rsidR="0082721C" w:rsidRPr="003042F6" w14:paraId="2A3F2D40" w14:textId="77777777" w:rsidTr="00E450A4">
        <w:trPr>
          <w:trHeight w:val="255"/>
        </w:trPr>
        <w:tc>
          <w:tcPr>
            <w:tcW w:w="4820" w:type="dxa"/>
            <w:gridSpan w:val="2"/>
            <w:tcBorders>
              <w:top w:val="nil"/>
              <w:left w:val="single" w:sz="8" w:space="0" w:color="auto"/>
              <w:bottom w:val="nil"/>
              <w:right w:val="single" w:sz="8" w:space="0" w:color="auto"/>
            </w:tcBorders>
            <w:shd w:val="clear" w:color="auto" w:fill="auto"/>
            <w:noWrap/>
            <w:vAlign w:val="center"/>
            <w:hideMark/>
          </w:tcPr>
          <w:p w14:paraId="2D150F29" w14:textId="77777777" w:rsidR="0082721C" w:rsidRPr="00446D2A" w:rsidRDefault="0082721C" w:rsidP="00E67116">
            <w:pPr>
              <w:spacing w:after="0" w:line="240" w:lineRule="auto"/>
              <w:ind w:firstLineChars="100" w:firstLine="161"/>
              <w:rPr>
                <w:rFonts w:ascii="Arial Narrow" w:eastAsia="Times New Roman" w:hAnsi="Arial Narrow" w:cs="Arial"/>
                <w:b/>
                <w:bCs/>
                <w:sz w:val="16"/>
                <w:szCs w:val="16"/>
                <w:u w:val="single"/>
                <w:lang w:eastAsia="pt-BR"/>
              </w:rPr>
            </w:pPr>
            <w:r w:rsidRPr="00446D2A">
              <w:rPr>
                <w:rFonts w:ascii="Arial Narrow" w:eastAsia="Times New Roman" w:hAnsi="Arial Narrow" w:cs="Arial"/>
                <w:b/>
                <w:bCs/>
                <w:sz w:val="16"/>
                <w:szCs w:val="16"/>
                <w:u w:val="single"/>
                <w:lang w:eastAsia="pt-BR"/>
              </w:rPr>
              <w:t>Ordinária</w:t>
            </w:r>
          </w:p>
        </w:tc>
        <w:tc>
          <w:tcPr>
            <w:tcW w:w="1134" w:type="dxa"/>
            <w:tcBorders>
              <w:top w:val="nil"/>
              <w:left w:val="nil"/>
              <w:bottom w:val="nil"/>
              <w:right w:val="single" w:sz="8" w:space="0" w:color="auto"/>
            </w:tcBorders>
            <w:shd w:val="clear" w:color="auto" w:fill="auto"/>
            <w:vAlign w:val="center"/>
            <w:hideMark/>
          </w:tcPr>
          <w:p w14:paraId="1BF370D6" w14:textId="77777777" w:rsidR="0082721C" w:rsidRPr="00446D2A" w:rsidRDefault="0082721C" w:rsidP="00E67116">
            <w:pPr>
              <w:spacing w:after="0" w:line="240" w:lineRule="auto"/>
              <w:jc w:val="center"/>
              <w:rPr>
                <w:rFonts w:ascii="Arial Narrow" w:eastAsia="Times New Roman" w:hAnsi="Arial Narrow" w:cs="Arial"/>
                <w:b/>
                <w:bCs/>
                <w:sz w:val="16"/>
                <w:szCs w:val="16"/>
                <w:lang w:eastAsia="pt-BR"/>
              </w:rPr>
            </w:pPr>
            <w:r w:rsidRPr="00446D2A">
              <w:rPr>
                <w:rFonts w:ascii="Arial Narrow" w:eastAsia="Times New Roman" w:hAnsi="Arial Narrow" w:cs="Arial"/>
                <w:b/>
                <w:bCs/>
                <w:sz w:val="16"/>
                <w:szCs w:val="16"/>
                <w:lang w:eastAsia="pt-BR"/>
              </w:rPr>
              <w:t>BFI.C011</w:t>
            </w:r>
          </w:p>
        </w:tc>
        <w:tc>
          <w:tcPr>
            <w:tcW w:w="1276" w:type="dxa"/>
            <w:tcBorders>
              <w:top w:val="nil"/>
              <w:left w:val="nil"/>
              <w:bottom w:val="nil"/>
              <w:right w:val="single" w:sz="8" w:space="0" w:color="auto"/>
            </w:tcBorders>
            <w:shd w:val="clear" w:color="auto" w:fill="auto"/>
            <w:vAlign w:val="center"/>
            <w:hideMark/>
          </w:tcPr>
          <w:p w14:paraId="653C8C85" w14:textId="77777777" w:rsidR="0082721C" w:rsidRPr="00446D2A" w:rsidRDefault="0082721C" w:rsidP="00E67116">
            <w:pPr>
              <w:spacing w:after="0" w:line="240" w:lineRule="auto"/>
              <w:jc w:val="center"/>
              <w:rPr>
                <w:rFonts w:ascii="Arial Narrow" w:eastAsia="Times New Roman" w:hAnsi="Arial Narrow" w:cs="Arial"/>
                <w:b/>
                <w:bCs/>
                <w:sz w:val="16"/>
                <w:szCs w:val="16"/>
                <w:lang w:eastAsia="pt-BR"/>
              </w:rPr>
            </w:pPr>
            <w:r w:rsidRPr="00446D2A">
              <w:rPr>
                <w:rFonts w:ascii="Arial Narrow" w:eastAsia="Times New Roman" w:hAnsi="Arial Narrow" w:cs="Arial"/>
                <w:b/>
                <w:bCs/>
                <w:sz w:val="16"/>
                <w:szCs w:val="16"/>
                <w:lang w:eastAsia="pt-BR"/>
              </w:rPr>
              <w:t>BFI.D011</w:t>
            </w:r>
          </w:p>
        </w:tc>
        <w:tc>
          <w:tcPr>
            <w:tcW w:w="4243" w:type="dxa"/>
            <w:tcBorders>
              <w:top w:val="nil"/>
              <w:left w:val="nil"/>
              <w:bottom w:val="nil"/>
              <w:right w:val="single" w:sz="8" w:space="0" w:color="auto"/>
            </w:tcBorders>
            <w:shd w:val="clear" w:color="auto" w:fill="auto"/>
            <w:noWrap/>
            <w:vAlign w:val="center"/>
            <w:hideMark/>
          </w:tcPr>
          <w:p w14:paraId="5EE7AECB" w14:textId="77777777" w:rsidR="0082721C" w:rsidRPr="00446D2A" w:rsidRDefault="0082721C" w:rsidP="00E67116">
            <w:pPr>
              <w:spacing w:after="0" w:line="240" w:lineRule="auto"/>
              <w:ind w:firstLineChars="100" w:firstLine="161"/>
              <w:rPr>
                <w:rFonts w:ascii="Arial Narrow" w:eastAsia="Times New Roman" w:hAnsi="Arial Narrow" w:cs="Arial"/>
                <w:b/>
                <w:bCs/>
                <w:sz w:val="16"/>
                <w:szCs w:val="16"/>
                <w:u w:val="single"/>
                <w:lang w:eastAsia="pt-BR"/>
              </w:rPr>
            </w:pPr>
            <w:r w:rsidRPr="00446D2A">
              <w:rPr>
                <w:rFonts w:ascii="Arial Narrow" w:eastAsia="Times New Roman" w:hAnsi="Arial Narrow" w:cs="Arial"/>
                <w:b/>
                <w:bCs/>
                <w:sz w:val="16"/>
                <w:szCs w:val="16"/>
                <w:u w:val="single"/>
                <w:lang w:eastAsia="pt-BR"/>
              </w:rPr>
              <w:t>Ordinária</w:t>
            </w:r>
          </w:p>
        </w:tc>
        <w:tc>
          <w:tcPr>
            <w:tcW w:w="1285" w:type="dxa"/>
            <w:gridSpan w:val="2"/>
            <w:tcBorders>
              <w:top w:val="nil"/>
              <w:left w:val="nil"/>
              <w:bottom w:val="nil"/>
              <w:right w:val="single" w:sz="8" w:space="0" w:color="auto"/>
            </w:tcBorders>
            <w:shd w:val="clear" w:color="auto" w:fill="auto"/>
            <w:vAlign w:val="center"/>
            <w:hideMark/>
          </w:tcPr>
          <w:p w14:paraId="792991D6" w14:textId="77777777" w:rsidR="0082721C" w:rsidRPr="00446D2A" w:rsidRDefault="0082721C" w:rsidP="00E67116">
            <w:pPr>
              <w:spacing w:after="0" w:line="240" w:lineRule="auto"/>
              <w:jc w:val="center"/>
              <w:rPr>
                <w:rFonts w:ascii="Arial Narrow" w:eastAsia="Times New Roman" w:hAnsi="Arial Narrow" w:cs="Arial"/>
                <w:b/>
                <w:bCs/>
                <w:sz w:val="16"/>
                <w:szCs w:val="16"/>
                <w:lang w:eastAsia="pt-BR"/>
              </w:rPr>
            </w:pPr>
            <w:r w:rsidRPr="00446D2A">
              <w:rPr>
                <w:rFonts w:ascii="Arial Narrow" w:eastAsia="Times New Roman" w:hAnsi="Arial Narrow" w:cs="Arial"/>
                <w:b/>
                <w:bCs/>
                <w:sz w:val="16"/>
                <w:szCs w:val="16"/>
                <w:lang w:eastAsia="pt-BR"/>
              </w:rPr>
              <w:t>BFI.G011</w:t>
            </w:r>
          </w:p>
        </w:tc>
        <w:tc>
          <w:tcPr>
            <w:tcW w:w="1276" w:type="dxa"/>
            <w:gridSpan w:val="2"/>
            <w:tcBorders>
              <w:top w:val="nil"/>
              <w:left w:val="nil"/>
              <w:bottom w:val="nil"/>
              <w:right w:val="single" w:sz="8" w:space="0" w:color="auto"/>
            </w:tcBorders>
            <w:shd w:val="clear" w:color="auto" w:fill="auto"/>
            <w:vAlign w:val="center"/>
            <w:hideMark/>
          </w:tcPr>
          <w:p w14:paraId="4ACCB4C1" w14:textId="77777777" w:rsidR="0082721C" w:rsidRPr="00446D2A" w:rsidRDefault="0082721C" w:rsidP="00E67116">
            <w:pPr>
              <w:spacing w:after="0" w:line="240" w:lineRule="auto"/>
              <w:jc w:val="center"/>
              <w:rPr>
                <w:rFonts w:ascii="Arial Narrow" w:eastAsia="Times New Roman" w:hAnsi="Arial Narrow" w:cs="Arial"/>
                <w:b/>
                <w:bCs/>
                <w:sz w:val="16"/>
                <w:szCs w:val="16"/>
                <w:lang w:eastAsia="pt-BR"/>
              </w:rPr>
            </w:pPr>
            <w:r w:rsidRPr="00446D2A">
              <w:rPr>
                <w:rFonts w:ascii="Arial Narrow" w:eastAsia="Times New Roman" w:hAnsi="Arial Narrow" w:cs="Arial"/>
                <w:b/>
                <w:bCs/>
                <w:sz w:val="16"/>
                <w:szCs w:val="16"/>
                <w:lang w:eastAsia="pt-BR"/>
              </w:rPr>
              <w:t>BFI.H011</w:t>
            </w:r>
          </w:p>
        </w:tc>
      </w:tr>
      <w:tr w:rsidR="0082721C" w:rsidRPr="003042F6" w14:paraId="43C2A30A" w14:textId="77777777" w:rsidTr="00E450A4">
        <w:trPr>
          <w:trHeight w:val="255"/>
        </w:trPr>
        <w:tc>
          <w:tcPr>
            <w:tcW w:w="4820" w:type="dxa"/>
            <w:gridSpan w:val="2"/>
            <w:tcBorders>
              <w:top w:val="nil"/>
              <w:left w:val="single" w:sz="8" w:space="0" w:color="auto"/>
              <w:bottom w:val="nil"/>
              <w:right w:val="single" w:sz="8" w:space="0" w:color="auto"/>
            </w:tcBorders>
            <w:shd w:val="clear" w:color="auto" w:fill="auto"/>
            <w:noWrap/>
            <w:vAlign w:val="center"/>
          </w:tcPr>
          <w:p w14:paraId="54B7C19F" w14:textId="77777777" w:rsidR="0082721C" w:rsidRPr="00446D2A" w:rsidRDefault="0082721C" w:rsidP="00E67116">
            <w:pPr>
              <w:spacing w:after="0" w:line="240" w:lineRule="auto"/>
              <w:ind w:firstLineChars="221" w:firstLine="354"/>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001 - Recursos Ordinários</w:t>
            </w:r>
          </w:p>
        </w:tc>
        <w:tc>
          <w:tcPr>
            <w:tcW w:w="1134" w:type="dxa"/>
            <w:tcBorders>
              <w:top w:val="nil"/>
              <w:left w:val="nil"/>
              <w:bottom w:val="nil"/>
              <w:right w:val="single" w:sz="8" w:space="0" w:color="auto"/>
            </w:tcBorders>
            <w:shd w:val="clear" w:color="auto" w:fill="auto"/>
            <w:vAlign w:val="center"/>
          </w:tcPr>
          <w:p w14:paraId="288BD4A5"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BFI.C089</w:t>
            </w:r>
          </w:p>
        </w:tc>
        <w:tc>
          <w:tcPr>
            <w:tcW w:w="1276" w:type="dxa"/>
            <w:tcBorders>
              <w:top w:val="nil"/>
              <w:left w:val="nil"/>
              <w:bottom w:val="nil"/>
              <w:right w:val="single" w:sz="8" w:space="0" w:color="auto"/>
            </w:tcBorders>
            <w:shd w:val="clear" w:color="auto" w:fill="auto"/>
            <w:vAlign w:val="center"/>
          </w:tcPr>
          <w:p w14:paraId="1769764A"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BFI.D089</w:t>
            </w:r>
          </w:p>
        </w:tc>
        <w:tc>
          <w:tcPr>
            <w:tcW w:w="4243" w:type="dxa"/>
            <w:tcBorders>
              <w:top w:val="nil"/>
              <w:left w:val="nil"/>
              <w:bottom w:val="nil"/>
              <w:right w:val="single" w:sz="8" w:space="0" w:color="auto"/>
            </w:tcBorders>
            <w:shd w:val="clear" w:color="auto" w:fill="auto"/>
            <w:noWrap/>
            <w:vAlign w:val="center"/>
          </w:tcPr>
          <w:p w14:paraId="43EBBF23" w14:textId="77777777" w:rsidR="0082721C" w:rsidRPr="00446D2A" w:rsidRDefault="0082721C" w:rsidP="00E67116">
            <w:pPr>
              <w:spacing w:after="0" w:line="240" w:lineRule="auto"/>
              <w:ind w:firstLineChars="221" w:firstLine="354"/>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001 - Recursos Ordinários</w:t>
            </w:r>
          </w:p>
        </w:tc>
        <w:tc>
          <w:tcPr>
            <w:tcW w:w="1285" w:type="dxa"/>
            <w:gridSpan w:val="2"/>
            <w:tcBorders>
              <w:top w:val="nil"/>
              <w:left w:val="nil"/>
              <w:bottom w:val="nil"/>
              <w:right w:val="single" w:sz="8" w:space="0" w:color="auto"/>
            </w:tcBorders>
            <w:shd w:val="clear" w:color="auto" w:fill="auto"/>
            <w:vAlign w:val="center"/>
          </w:tcPr>
          <w:p w14:paraId="46107BC7"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BFI.G089</w:t>
            </w:r>
          </w:p>
        </w:tc>
        <w:tc>
          <w:tcPr>
            <w:tcW w:w="1276" w:type="dxa"/>
            <w:gridSpan w:val="2"/>
            <w:tcBorders>
              <w:top w:val="nil"/>
              <w:left w:val="nil"/>
              <w:bottom w:val="nil"/>
              <w:right w:val="single" w:sz="8" w:space="0" w:color="auto"/>
            </w:tcBorders>
            <w:shd w:val="clear" w:color="auto" w:fill="auto"/>
            <w:vAlign w:val="center"/>
          </w:tcPr>
          <w:p w14:paraId="016967E0"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BFI.H089</w:t>
            </w:r>
          </w:p>
        </w:tc>
      </w:tr>
      <w:tr w:rsidR="0082721C" w:rsidRPr="003042F6" w14:paraId="75D25B1F" w14:textId="77777777" w:rsidTr="00E450A4">
        <w:trPr>
          <w:trHeight w:val="255"/>
        </w:trPr>
        <w:tc>
          <w:tcPr>
            <w:tcW w:w="4820" w:type="dxa"/>
            <w:gridSpan w:val="2"/>
            <w:tcBorders>
              <w:top w:val="nil"/>
              <w:left w:val="single" w:sz="8" w:space="0" w:color="auto"/>
              <w:bottom w:val="nil"/>
              <w:right w:val="single" w:sz="8" w:space="0" w:color="auto"/>
            </w:tcBorders>
            <w:shd w:val="clear" w:color="auto" w:fill="auto"/>
            <w:noWrap/>
            <w:vAlign w:val="center"/>
          </w:tcPr>
          <w:p w14:paraId="1CF585FC" w14:textId="77777777" w:rsidR="0082721C" w:rsidRPr="00446D2A" w:rsidRDefault="0082721C" w:rsidP="00E67116">
            <w:pPr>
              <w:spacing w:after="0" w:line="240" w:lineRule="auto"/>
              <w:ind w:firstLineChars="221" w:firstLine="354"/>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090 – Outros Recursos Não Vinculados</w:t>
            </w:r>
          </w:p>
        </w:tc>
        <w:tc>
          <w:tcPr>
            <w:tcW w:w="1134" w:type="dxa"/>
            <w:tcBorders>
              <w:top w:val="nil"/>
              <w:left w:val="nil"/>
              <w:bottom w:val="nil"/>
              <w:right w:val="single" w:sz="8" w:space="0" w:color="auto"/>
            </w:tcBorders>
            <w:shd w:val="clear" w:color="auto" w:fill="auto"/>
            <w:vAlign w:val="center"/>
          </w:tcPr>
          <w:p w14:paraId="1221E134" w14:textId="77777777" w:rsidR="0082721C" w:rsidRPr="00446D2A" w:rsidRDefault="0082721C" w:rsidP="00E67116">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BFI.C097</w:t>
            </w:r>
          </w:p>
        </w:tc>
        <w:tc>
          <w:tcPr>
            <w:tcW w:w="1276" w:type="dxa"/>
            <w:tcBorders>
              <w:top w:val="nil"/>
              <w:left w:val="nil"/>
              <w:bottom w:val="nil"/>
              <w:right w:val="single" w:sz="8" w:space="0" w:color="auto"/>
            </w:tcBorders>
            <w:shd w:val="clear" w:color="auto" w:fill="auto"/>
            <w:vAlign w:val="center"/>
          </w:tcPr>
          <w:p w14:paraId="38C93466" w14:textId="77777777" w:rsidR="0082721C" w:rsidRPr="00446D2A" w:rsidRDefault="0082721C" w:rsidP="00E67116">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BFI.D097</w:t>
            </w:r>
          </w:p>
        </w:tc>
        <w:tc>
          <w:tcPr>
            <w:tcW w:w="4243" w:type="dxa"/>
            <w:tcBorders>
              <w:top w:val="nil"/>
              <w:left w:val="nil"/>
              <w:bottom w:val="nil"/>
              <w:right w:val="single" w:sz="8" w:space="0" w:color="auto"/>
            </w:tcBorders>
            <w:shd w:val="clear" w:color="auto" w:fill="auto"/>
            <w:noWrap/>
            <w:vAlign w:val="center"/>
          </w:tcPr>
          <w:p w14:paraId="19EC02DA" w14:textId="77777777" w:rsidR="0082721C" w:rsidRPr="00446D2A" w:rsidRDefault="0082721C" w:rsidP="00E67116">
            <w:pPr>
              <w:spacing w:after="0" w:line="240" w:lineRule="auto"/>
              <w:ind w:firstLineChars="224" w:firstLine="358"/>
              <w:rPr>
                <w:rFonts w:ascii="Arial Narrow" w:eastAsia="Times New Roman" w:hAnsi="Arial Narrow" w:cs="Arial"/>
                <w:b/>
                <w:bCs/>
                <w:sz w:val="16"/>
                <w:szCs w:val="16"/>
                <w:u w:val="single"/>
                <w:lang w:eastAsia="pt-BR"/>
              </w:rPr>
            </w:pPr>
            <w:r w:rsidRPr="00446D2A">
              <w:rPr>
                <w:rFonts w:ascii="Arial Narrow" w:eastAsia="Times New Roman" w:hAnsi="Arial Narrow" w:cs="Arial"/>
                <w:sz w:val="16"/>
                <w:szCs w:val="16"/>
                <w:lang w:eastAsia="pt-BR"/>
              </w:rPr>
              <w:t>090 – Outros Recursos Não Vinculados</w:t>
            </w:r>
          </w:p>
        </w:tc>
        <w:tc>
          <w:tcPr>
            <w:tcW w:w="1285" w:type="dxa"/>
            <w:gridSpan w:val="2"/>
            <w:tcBorders>
              <w:top w:val="nil"/>
              <w:left w:val="nil"/>
              <w:bottom w:val="nil"/>
              <w:right w:val="single" w:sz="8" w:space="0" w:color="auto"/>
            </w:tcBorders>
            <w:shd w:val="clear" w:color="auto" w:fill="auto"/>
            <w:vAlign w:val="center"/>
          </w:tcPr>
          <w:p w14:paraId="0E3617DA" w14:textId="77777777" w:rsidR="0082721C" w:rsidRPr="00446D2A" w:rsidRDefault="0082721C" w:rsidP="00E67116">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BFI.G097</w:t>
            </w:r>
          </w:p>
        </w:tc>
        <w:tc>
          <w:tcPr>
            <w:tcW w:w="1276" w:type="dxa"/>
            <w:gridSpan w:val="2"/>
            <w:tcBorders>
              <w:top w:val="nil"/>
              <w:left w:val="nil"/>
              <w:bottom w:val="nil"/>
              <w:right w:val="single" w:sz="8" w:space="0" w:color="auto"/>
            </w:tcBorders>
            <w:shd w:val="clear" w:color="auto" w:fill="auto"/>
            <w:vAlign w:val="center"/>
          </w:tcPr>
          <w:p w14:paraId="4C3DB194" w14:textId="77777777" w:rsidR="0082721C" w:rsidRPr="00446D2A" w:rsidRDefault="0082721C" w:rsidP="00E67116">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BFI.H097</w:t>
            </w:r>
          </w:p>
        </w:tc>
      </w:tr>
      <w:tr w:rsidR="0082721C" w:rsidRPr="003042F6" w14:paraId="5786FA56" w14:textId="77777777" w:rsidTr="00E450A4">
        <w:trPr>
          <w:trHeight w:val="255"/>
        </w:trPr>
        <w:tc>
          <w:tcPr>
            <w:tcW w:w="4820" w:type="dxa"/>
            <w:gridSpan w:val="2"/>
            <w:tcBorders>
              <w:top w:val="nil"/>
              <w:left w:val="single" w:sz="8" w:space="0" w:color="auto"/>
              <w:bottom w:val="nil"/>
              <w:right w:val="single" w:sz="8" w:space="0" w:color="auto"/>
            </w:tcBorders>
            <w:shd w:val="clear" w:color="auto" w:fill="auto"/>
            <w:noWrap/>
            <w:vAlign w:val="center"/>
            <w:hideMark/>
          </w:tcPr>
          <w:p w14:paraId="21FEA4BB" w14:textId="77777777" w:rsidR="0082721C" w:rsidRPr="00446D2A" w:rsidRDefault="0082721C" w:rsidP="00E67116">
            <w:pPr>
              <w:spacing w:after="0" w:line="240" w:lineRule="auto"/>
              <w:ind w:firstLineChars="100" w:firstLine="161"/>
              <w:rPr>
                <w:rFonts w:ascii="Arial Narrow" w:eastAsia="Times New Roman" w:hAnsi="Arial Narrow" w:cs="Arial"/>
                <w:b/>
                <w:bCs/>
                <w:sz w:val="16"/>
                <w:szCs w:val="16"/>
                <w:u w:val="single"/>
                <w:lang w:eastAsia="pt-BR"/>
              </w:rPr>
            </w:pPr>
            <w:r w:rsidRPr="00446D2A">
              <w:rPr>
                <w:rFonts w:ascii="Arial Narrow" w:eastAsia="Times New Roman" w:hAnsi="Arial Narrow" w:cs="Arial"/>
                <w:b/>
                <w:bCs/>
                <w:sz w:val="16"/>
                <w:szCs w:val="16"/>
                <w:u w:val="single"/>
                <w:lang w:eastAsia="pt-BR"/>
              </w:rPr>
              <w:t>Vinculada</w:t>
            </w:r>
          </w:p>
        </w:tc>
        <w:tc>
          <w:tcPr>
            <w:tcW w:w="1134" w:type="dxa"/>
            <w:tcBorders>
              <w:top w:val="nil"/>
              <w:left w:val="nil"/>
              <w:bottom w:val="nil"/>
              <w:right w:val="single" w:sz="8" w:space="0" w:color="auto"/>
            </w:tcBorders>
            <w:shd w:val="clear" w:color="auto" w:fill="auto"/>
            <w:vAlign w:val="center"/>
            <w:hideMark/>
          </w:tcPr>
          <w:p w14:paraId="41026623" w14:textId="77777777" w:rsidR="0082721C" w:rsidRPr="00446D2A" w:rsidRDefault="0082721C" w:rsidP="00E67116">
            <w:pPr>
              <w:spacing w:after="0" w:line="240" w:lineRule="auto"/>
              <w:jc w:val="center"/>
              <w:rPr>
                <w:rFonts w:ascii="Arial Narrow" w:eastAsia="Times New Roman" w:hAnsi="Arial Narrow" w:cs="Arial"/>
                <w:b/>
                <w:bCs/>
                <w:sz w:val="16"/>
                <w:szCs w:val="16"/>
                <w:lang w:eastAsia="pt-BR"/>
              </w:rPr>
            </w:pPr>
            <w:r w:rsidRPr="00446D2A">
              <w:rPr>
                <w:rFonts w:ascii="Arial Narrow" w:eastAsia="Times New Roman" w:hAnsi="Arial Narrow" w:cs="Arial"/>
                <w:b/>
                <w:bCs/>
                <w:sz w:val="16"/>
                <w:szCs w:val="16"/>
                <w:lang w:eastAsia="pt-BR"/>
              </w:rPr>
              <w:t>BFI.C012</w:t>
            </w:r>
          </w:p>
        </w:tc>
        <w:tc>
          <w:tcPr>
            <w:tcW w:w="1276" w:type="dxa"/>
            <w:tcBorders>
              <w:top w:val="nil"/>
              <w:left w:val="nil"/>
              <w:bottom w:val="nil"/>
              <w:right w:val="single" w:sz="8" w:space="0" w:color="auto"/>
            </w:tcBorders>
            <w:shd w:val="clear" w:color="auto" w:fill="auto"/>
            <w:vAlign w:val="center"/>
            <w:hideMark/>
          </w:tcPr>
          <w:p w14:paraId="14151C24" w14:textId="77777777" w:rsidR="0082721C" w:rsidRPr="00446D2A" w:rsidRDefault="0082721C" w:rsidP="00E67116">
            <w:pPr>
              <w:spacing w:after="0" w:line="240" w:lineRule="auto"/>
              <w:jc w:val="center"/>
              <w:rPr>
                <w:rFonts w:ascii="Arial Narrow" w:eastAsia="Times New Roman" w:hAnsi="Arial Narrow" w:cs="Arial"/>
                <w:b/>
                <w:bCs/>
                <w:sz w:val="16"/>
                <w:szCs w:val="16"/>
                <w:lang w:eastAsia="pt-BR"/>
              </w:rPr>
            </w:pPr>
            <w:r w:rsidRPr="00446D2A">
              <w:rPr>
                <w:rFonts w:ascii="Arial Narrow" w:eastAsia="Times New Roman" w:hAnsi="Arial Narrow" w:cs="Arial"/>
                <w:b/>
                <w:bCs/>
                <w:sz w:val="16"/>
                <w:szCs w:val="16"/>
                <w:lang w:eastAsia="pt-BR"/>
              </w:rPr>
              <w:t>BFI.D012</w:t>
            </w:r>
          </w:p>
        </w:tc>
        <w:tc>
          <w:tcPr>
            <w:tcW w:w="4243" w:type="dxa"/>
            <w:tcBorders>
              <w:top w:val="nil"/>
              <w:left w:val="nil"/>
              <w:bottom w:val="nil"/>
              <w:right w:val="single" w:sz="8" w:space="0" w:color="auto"/>
            </w:tcBorders>
            <w:shd w:val="clear" w:color="auto" w:fill="auto"/>
            <w:noWrap/>
            <w:vAlign w:val="center"/>
            <w:hideMark/>
          </w:tcPr>
          <w:p w14:paraId="08E5593D" w14:textId="77777777" w:rsidR="0082721C" w:rsidRPr="00446D2A" w:rsidRDefault="0082721C" w:rsidP="00E67116">
            <w:pPr>
              <w:spacing w:after="0" w:line="240" w:lineRule="auto"/>
              <w:ind w:firstLineChars="100" w:firstLine="161"/>
              <w:rPr>
                <w:rFonts w:ascii="Arial Narrow" w:eastAsia="Times New Roman" w:hAnsi="Arial Narrow" w:cs="Arial"/>
                <w:b/>
                <w:bCs/>
                <w:sz w:val="16"/>
                <w:szCs w:val="16"/>
                <w:u w:val="single"/>
                <w:lang w:eastAsia="pt-BR"/>
              </w:rPr>
            </w:pPr>
            <w:r w:rsidRPr="00446D2A">
              <w:rPr>
                <w:rFonts w:ascii="Arial Narrow" w:eastAsia="Times New Roman" w:hAnsi="Arial Narrow" w:cs="Arial"/>
                <w:b/>
                <w:bCs/>
                <w:sz w:val="16"/>
                <w:szCs w:val="16"/>
                <w:u w:val="single"/>
                <w:lang w:eastAsia="pt-BR"/>
              </w:rPr>
              <w:t>Vinculada</w:t>
            </w:r>
          </w:p>
        </w:tc>
        <w:tc>
          <w:tcPr>
            <w:tcW w:w="1285" w:type="dxa"/>
            <w:gridSpan w:val="2"/>
            <w:tcBorders>
              <w:top w:val="nil"/>
              <w:left w:val="nil"/>
              <w:bottom w:val="nil"/>
              <w:right w:val="single" w:sz="8" w:space="0" w:color="auto"/>
            </w:tcBorders>
            <w:shd w:val="clear" w:color="auto" w:fill="auto"/>
            <w:vAlign w:val="center"/>
            <w:hideMark/>
          </w:tcPr>
          <w:p w14:paraId="619D2990" w14:textId="77777777" w:rsidR="0082721C" w:rsidRPr="00446D2A" w:rsidRDefault="0082721C" w:rsidP="00E67116">
            <w:pPr>
              <w:spacing w:after="0" w:line="240" w:lineRule="auto"/>
              <w:jc w:val="center"/>
              <w:rPr>
                <w:rFonts w:ascii="Arial Narrow" w:eastAsia="Times New Roman" w:hAnsi="Arial Narrow" w:cs="Arial"/>
                <w:b/>
                <w:bCs/>
                <w:sz w:val="16"/>
                <w:szCs w:val="16"/>
                <w:lang w:eastAsia="pt-BR"/>
              </w:rPr>
            </w:pPr>
            <w:r w:rsidRPr="00446D2A">
              <w:rPr>
                <w:rFonts w:ascii="Arial Narrow" w:eastAsia="Times New Roman" w:hAnsi="Arial Narrow" w:cs="Arial"/>
                <w:b/>
                <w:bCs/>
                <w:sz w:val="16"/>
                <w:szCs w:val="16"/>
                <w:lang w:eastAsia="pt-BR"/>
              </w:rPr>
              <w:t>BFI.G012</w:t>
            </w:r>
          </w:p>
        </w:tc>
        <w:tc>
          <w:tcPr>
            <w:tcW w:w="1276" w:type="dxa"/>
            <w:gridSpan w:val="2"/>
            <w:tcBorders>
              <w:top w:val="nil"/>
              <w:left w:val="nil"/>
              <w:bottom w:val="nil"/>
              <w:right w:val="single" w:sz="8" w:space="0" w:color="auto"/>
            </w:tcBorders>
            <w:shd w:val="clear" w:color="auto" w:fill="auto"/>
            <w:vAlign w:val="center"/>
            <w:hideMark/>
          </w:tcPr>
          <w:p w14:paraId="65506030" w14:textId="77777777" w:rsidR="0082721C" w:rsidRPr="00446D2A" w:rsidRDefault="0082721C" w:rsidP="00E67116">
            <w:pPr>
              <w:spacing w:after="0" w:line="240" w:lineRule="auto"/>
              <w:jc w:val="center"/>
              <w:rPr>
                <w:rFonts w:ascii="Arial Narrow" w:eastAsia="Times New Roman" w:hAnsi="Arial Narrow" w:cs="Arial"/>
                <w:b/>
                <w:bCs/>
                <w:sz w:val="16"/>
                <w:szCs w:val="16"/>
                <w:lang w:eastAsia="pt-BR"/>
              </w:rPr>
            </w:pPr>
            <w:r w:rsidRPr="00446D2A">
              <w:rPr>
                <w:rFonts w:ascii="Arial Narrow" w:eastAsia="Times New Roman" w:hAnsi="Arial Narrow" w:cs="Arial"/>
                <w:b/>
                <w:bCs/>
                <w:sz w:val="16"/>
                <w:szCs w:val="16"/>
                <w:lang w:eastAsia="pt-BR"/>
              </w:rPr>
              <w:t>BFI.H012</w:t>
            </w:r>
          </w:p>
        </w:tc>
      </w:tr>
      <w:tr w:rsidR="0082721C" w:rsidRPr="003042F6" w14:paraId="29ACD783" w14:textId="77777777" w:rsidTr="00E450A4">
        <w:trPr>
          <w:trHeight w:val="255"/>
        </w:trPr>
        <w:tc>
          <w:tcPr>
            <w:tcW w:w="4820" w:type="dxa"/>
            <w:gridSpan w:val="2"/>
            <w:tcBorders>
              <w:top w:val="nil"/>
              <w:left w:val="single" w:sz="8" w:space="0" w:color="auto"/>
              <w:bottom w:val="nil"/>
              <w:right w:val="single" w:sz="8" w:space="0" w:color="auto"/>
            </w:tcBorders>
            <w:shd w:val="clear" w:color="auto" w:fill="auto"/>
            <w:noWrap/>
            <w:vAlign w:val="center"/>
            <w:hideMark/>
          </w:tcPr>
          <w:p w14:paraId="703E9A78" w14:textId="77777777" w:rsidR="0082721C" w:rsidRPr="00446D2A" w:rsidRDefault="0082721C" w:rsidP="00E67116">
            <w:pPr>
              <w:spacing w:after="0" w:line="240" w:lineRule="auto"/>
              <w:ind w:firstLineChars="100" w:firstLine="161"/>
              <w:rPr>
                <w:rFonts w:ascii="Arial Narrow" w:eastAsia="Times New Roman" w:hAnsi="Arial Narrow" w:cs="Arial"/>
                <w:b/>
                <w:bCs/>
                <w:sz w:val="16"/>
                <w:szCs w:val="16"/>
                <w:lang w:eastAsia="pt-BR"/>
              </w:rPr>
            </w:pPr>
            <w:r w:rsidRPr="00446D2A">
              <w:rPr>
                <w:rFonts w:ascii="Arial Narrow" w:eastAsia="Times New Roman" w:hAnsi="Arial Narrow" w:cs="Arial"/>
                <w:b/>
                <w:bCs/>
                <w:sz w:val="16"/>
                <w:szCs w:val="16"/>
                <w:lang w:eastAsia="pt-BR"/>
              </w:rPr>
              <w:t xml:space="preserve">  Recursos Vinculados à Educação </w:t>
            </w:r>
          </w:p>
        </w:tc>
        <w:tc>
          <w:tcPr>
            <w:tcW w:w="1134" w:type="dxa"/>
            <w:tcBorders>
              <w:top w:val="nil"/>
              <w:left w:val="nil"/>
              <w:bottom w:val="nil"/>
              <w:right w:val="single" w:sz="8" w:space="0" w:color="auto"/>
            </w:tcBorders>
            <w:shd w:val="clear" w:color="auto" w:fill="auto"/>
            <w:vAlign w:val="center"/>
            <w:hideMark/>
          </w:tcPr>
          <w:p w14:paraId="2CB8D6A5" w14:textId="77777777" w:rsidR="0082721C" w:rsidRPr="00446D2A" w:rsidRDefault="0082721C" w:rsidP="00E67116">
            <w:pPr>
              <w:spacing w:after="0" w:line="240" w:lineRule="auto"/>
              <w:jc w:val="center"/>
              <w:rPr>
                <w:rFonts w:ascii="Arial Narrow" w:eastAsia="Times New Roman" w:hAnsi="Arial Narrow" w:cs="Arial"/>
                <w:b/>
                <w:bCs/>
                <w:sz w:val="16"/>
                <w:szCs w:val="16"/>
                <w:lang w:eastAsia="pt-BR"/>
              </w:rPr>
            </w:pPr>
            <w:r w:rsidRPr="00446D2A">
              <w:rPr>
                <w:rFonts w:ascii="Arial Narrow" w:eastAsia="Times New Roman" w:hAnsi="Arial Narrow" w:cs="Arial"/>
                <w:b/>
                <w:bCs/>
                <w:sz w:val="16"/>
                <w:szCs w:val="16"/>
                <w:lang w:eastAsia="pt-BR"/>
              </w:rPr>
              <w:t>BFI.C013</w:t>
            </w:r>
          </w:p>
        </w:tc>
        <w:tc>
          <w:tcPr>
            <w:tcW w:w="1276" w:type="dxa"/>
            <w:tcBorders>
              <w:top w:val="nil"/>
              <w:left w:val="nil"/>
              <w:bottom w:val="nil"/>
              <w:right w:val="single" w:sz="8" w:space="0" w:color="auto"/>
            </w:tcBorders>
            <w:shd w:val="clear" w:color="auto" w:fill="auto"/>
            <w:vAlign w:val="center"/>
            <w:hideMark/>
          </w:tcPr>
          <w:p w14:paraId="4A0F44E4" w14:textId="77777777" w:rsidR="0082721C" w:rsidRPr="00446D2A" w:rsidRDefault="0082721C" w:rsidP="00E67116">
            <w:pPr>
              <w:spacing w:after="0" w:line="240" w:lineRule="auto"/>
              <w:jc w:val="center"/>
              <w:rPr>
                <w:rFonts w:ascii="Arial Narrow" w:eastAsia="Times New Roman" w:hAnsi="Arial Narrow" w:cs="Arial"/>
                <w:b/>
                <w:bCs/>
                <w:sz w:val="16"/>
                <w:szCs w:val="16"/>
                <w:lang w:eastAsia="pt-BR"/>
              </w:rPr>
            </w:pPr>
            <w:r w:rsidRPr="00446D2A">
              <w:rPr>
                <w:rFonts w:ascii="Arial Narrow" w:eastAsia="Times New Roman" w:hAnsi="Arial Narrow" w:cs="Arial"/>
                <w:b/>
                <w:bCs/>
                <w:sz w:val="16"/>
                <w:szCs w:val="16"/>
                <w:lang w:eastAsia="pt-BR"/>
              </w:rPr>
              <w:t>BFI.D013</w:t>
            </w:r>
          </w:p>
        </w:tc>
        <w:tc>
          <w:tcPr>
            <w:tcW w:w="4243" w:type="dxa"/>
            <w:tcBorders>
              <w:top w:val="nil"/>
              <w:left w:val="nil"/>
              <w:bottom w:val="nil"/>
              <w:right w:val="single" w:sz="8" w:space="0" w:color="auto"/>
            </w:tcBorders>
            <w:shd w:val="clear" w:color="auto" w:fill="auto"/>
            <w:noWrap/>
            <w:vAlign w:val="center"/>
            <w:hideMark/>
          </w:tcPr>
          <w:p w14:paraId="46D2CD92" w14:textId="77777777" w:rsidR="0082721C" w:rsidRPr="00446D2A" w:rsidRDefault="0082721C" w:rsidP="00E67116">
            <w:pPr>
              <w:spacing w:after="0" w:line="240" w:lineRule="auto"/>
              <w:ind w:firstLineChars="100" w:firstLine="161"/>
              <w:rPr>
                <w:rFonts w:ascii="Arial Narrow" w:eastAsia="Times New Roman" w:hAnsi="Arial Narrow" w:cs="Arial"/>
                <w:b/>
                <w:bCs/>
                <w:sz w:val="16"/>
                <w:szCs w:val="16"/>
                <w:lang w:eastAsia="pt-BR"/>
              </w:rPr>
            </w:pPr>
            <w:r w:rsidRPr="00446D2A">
              <w:rPr>
                <w:rFonts w:ascii="Arial Narrow" w:eastAsia="Times New Roman" w:hAnsi="Arial Narrow" w:cs="Arial"/>
                <w:b/>
                <w:bCs/>
                <w:sz w:val="16"/>
                <w:szCs w:val="16"/>
                <w:lang w:eastAsia="pt-BR"/>
              </w:rPr>
              <w:t xml:space="preserve">  Recursos Destinados à Educação </w:t>
            </w:r>
          </w:p>
        </w:tc>
        <w:tc>
          <w:tcPr>
            <w:tcW w:w="1285" w:type="dxa"/>
            <w:gridSpan w:val="2"/>
            <w:tcBorders>
              <w:top w:val="nil"/>
              <w:left w:val="nil"/>
              <w:bottom w:val="nil"/>
              <w:right w:val="single" w:sz="8" w:space="0" w:color="auto"/>
            </w:tcBorders>
            <w:shd w:val="clear" w:color="auto" w:fill="auto"/>
            <w:vAlign w:val="center"/>
            <w:hideMark/>
          </w:tcPr>
          <w:p w14:paraId="202545B7" w14:textId="77777777" w:rsidR="0082721C" w:rsidRPr="00446D2A" w:rsidRDefault="0082721C" w:rsidP="00E67116">
            <w:pPr>
              <w:spacing w:after="0" w:line="240" w:lineRule="auto"/>
              <w:jc w:val="center"/>
              <w:rPr>
                <w:rFonts w:ascii="Arial Narrow" w:eastAsia="Times New Roman" w:hAnsi="Arial Narrow" w:cs="Arial"/>
                <w:b/>
                <w:bCs/>
                <w:sz w:val="16"/>
                <w:szCs w:val="16"/>
                <w:lang w:eastAsia="pt-BR"/>
              </w:rPr>
            </w:pPr>
            <w:r w:rsidRPr="00446D2A">
              <w:rPr>
                <w:rFonts w:ascii="Arial Narrow" w:eastAsia="Times New Roman" w:hAnsi="Arial Narrow" w:cs="Arial"/>
                <w:b/>
                <w:bCs/>
                <w:sz w:val="16"/>
                <w:szCs w:val="16"/>
                <w:lang w:eastAsia="pt-BR"/>
              </w:rPr>
              <w:t>BFI.G013</w:t>
            </w:r>
          </w:p>
        </w:tc>
        <w:tc>
          <w:tcPr>
            <w:tcW w:w="1276" w:type="dxa"/>
            <w:gridSpan w:val="2"/>
            <w:tcBorders>
              <w:top w:val="nil"/>
              <w:left w:val="nil"/>
              <w:bottom w:val="nil"/>
              <w:right w:val="single" w:sz="8" w:space="0" w:color="auto"/>
            </w:tcBorders>
            <w:shd w:val="clear" w:color="auto" w:fill="auto"/>
            <w:vAlign w:val="center"/>
            <w:hideMark/>
          </w:tcPr>
          <w:p w14:paraId="50F031A1" w14:textId="77777777" w:rsidR="0082721C" w:rsidRPr="00446D2A" w:rsidRDefault="0082721C" w:rsidP="00E67116">
            <w:pPr>
              <w:spacing w:after="0" w:line="240" w:lineRule="auto"/>
              <w:jc w:val="center"/>
              <w:rPr>
                <w:rFonts w:ascii="Arial Narrow" w:eastAsia="Times New Roman" w:hAnsi="Arial Narrow" w:cs="Arial"/>
                <w:b/>
                <w:bCs/>
                <w:sz w:val="16"/>
                <w:szCs w:val="16"/>
                <w:lang w:eastAsia="pt-BR"/>
              </w:rPr>
            </w:pPr>
            <w:r w:rsidRPr="00446D2A">
              <w:rPr>
                <w:rFonts w:ascii="Arial Narrow" w:eastAsia="Times New Roman" w:hAnsi="Arial Narrow" w:cs="Arial"/>
                <w:b/>
                <w:bCs/>
                <w:sz w:val="16"/>
                <w:szCs w:val="16"/>
                <w:lang w:eastAsia="pt-BR"/>
              </w:rPr>
              <w:t>BFI.H013</w:t>
            </w:r>
          </w:p>
        </w:tc>
      </w:tr>
      <w:tr w:rsidR="0082721C" w:rsidRPr="003042F6" w14:paraId="09D95AB1" w14:textId="77777777" w:rsidTr="00E450A4">
        <w:trPr>
          <w:trHeight w:val="255"/>
        </w:trPr>
        <w:tc>
          <w:tcPr>
            <w:tcW w:w="4820" w:type="dxa"/>
            <w:gridSpan w:val="2"/>
            <w:tcBorders>
              <w:top w:val="nil"/>
              <w:left w:val="single" w:sz="8" w:space="0" w:color="auto"/>
              <w:bottom w:val="nil"/>
              <w:right w:val="single" w:sz="8" w:space="0" w:color="auto"/>
            </w:tcBorders>
            <w:shd w:val="clear" w:color="auto" w:fill="auto"/>
            <w:noWrap/>
            <w:vAlign w:val="center"/>
            <w:hideMark/>
          </w:tcPr>
          <w:p w14:paraId="66D49740" w14:textId="6D2265D3" w:rsidR="0082721C" w:rsidRPr="00446D2A" w:rsidRDefault="0082721C" w:rsidP="00E450A4">
            <w:pPr>
              <w:spacing w:after="0" w:line="240" w:lineRule="auto"/>
              <w:ind w:firstLineChars="221" w:firstLine="354"/>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111 - Receita de Impostos e de Transferência de Impostos - Educação</w:t>
            </w:r>
          </w:p>
        </w:tc>
        <w:tc>
          <w:tcPr>
            <w:tcW w:w="1134" w:type="dxa"/>
            <w:tcBorders>
              <w:top w:val="nil"/>
              <w:left w:val="nil"/>
              <w:bottom w:val="nil"/>
              <w:right w:val="single" w:sz="8" w:space="0" w:color="auto"/>
            </w:tcBorders>
            <w:shd w:val="clear" w:color="auto" w:fill="auto"/>
            <w:vAlign w:val="center"/>
            <w:hideMark/>
          </w:tcPr>
          <w:p w14:paraId="04BB6A37"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BFI.C014</w:t>
            </w:r>
          </w:p>
        </w:tc>
        <w:tc>
          <w:tcPr>
            <w:tcW w:w="1276" w:type="dxa"/>
            <w:tcBorders>
              <w:top w:val="nil"/>
              <w:left w:val="nil"/>
              <w:bottom w:val="nil"/>
              <w:right w:val="single" w:sz="8" w:space="0" w:color="auto"/>
            </w:tcBorders>
            <w:shd w:val="clear" w:color="auto" w:fill="auto"/>
            <w:vAlign w:val="center"/>
            <w:hideMark/>
          </w:tcPr>
          <w:p w14:paraId="24E66C0A"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BFI.D014</w:t>
            </w:r>
          </w:p>
        </w:tc>
        <w:tc>
          <w:tcPr>
            <w:tcW w:w="4243" w:type="dxa"/>
            <w:tcBorders>
              <w:top w:val="nil"/>
              <w:left w:val="nil"/>
              <w:bottom w:val="nil"/>
              <w:right w:val="single" w:sz="8" w:space="0" w:color="auto"/>
            </w:tcBorders>
            <w:shd w:val="clear" w:color="auto" w:fill="auto"/>
            <w:noWrap/>
            <w:vAlign w:val="center"/>
            <w:hideMark/>
          </w:tcPr>
          <w:p w14:paraId="36CB8DFB" w14:textId="77777777" w:rsidR="0082721C" w:rsidRPr="00446D2A" w:rsidRDefault="0082721C" w:rsidP="00E67116">
            <w:pPr>
              <w:spacing w:after="0" w:line="240" w:lineRule="auto"/>
              <w:ind w:firstLineChars="221" w:firstLine="354"/>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111 - Receita de Impostos e de Transferência de Impostos - Educação</w:t>
            </w:r>
          </w:p>
        </w:tc>
        <w:tc>
          <w:tcPr>
            <w:tcW w:w="1285" w:type="dxa"/>
            <w:gridSpan w:val="2"/>
            <w:tcBorders>
              <w:top w:val="nil"/>
              <w:left w:val="nil"/>
              <w:bottom w:val="nil"/>
              <w:right w:val="single" w:sz="8" w:space="0" w:color="auto"/>
            </w:tcBorders>
            <w:shd w:val="clear" w:color="auto" w:fill="auto"/>
            <w:vAlign w:val="center"/>
            <w:hideMark/>
          </w:tcPr>
          <w:p w14:paraId="3A12A190"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BFI.G014</w:t>
            </w:r>
          </w:p>
        </w:tc>
        <w:tc>
          <w:tcPr>
            <w:tcW w:w="1276" w:type="dxa"/>
            <w:gridSpan w:val="2"/>
            <w:tcBorders>
              <w:top w:val="nil"/>
              <w:left w:val="nil"/>
              <w:bottom w:val="nil"/>
              <w:right w:val="single" w:sz="8" w:space="0" w:color="auto"/>
            </w:tcBorders>
            <w:shd w:val="clear" w:color="auto" w:fill="auto"/>
            <w:vAlign w:val="center"/>
            <w:hideMark/>
          </w:tcPr>
          <w:p w14:paraId="77CCE0CF"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BFI.H014</w:t>
            </w:r>
          </w:p>
        </w:tc>
      </w:tr>
      <w:tr w:rsidR="0082721C" w:rsidRPr="003042F6" w14:paraId="6DA0123D" w14:textId="77777777" w:rsidTr="00E450A4">
        <w:trPr>
          <w:trHeight w:val="255"/>
        </w:trPr>
        <w:tc>
          <w:tcPr>
            <w:tcW w:w="4820" w:type="dxa"/>
            <w:gridSpan w:val="2"/>
            <w:tcBorders>
              <w:top w:val="nil"/>
              <w:left w:val="single" w:sz="8" w:space="0" w:color="auto"/>
              <w:bottom w:val="nil"/>
              <w:right w:val="single" w:sz="8" w:space="0" w:color="auto"/>
            </w:tcBorders>
            <w:shd w:val="clear" w:color="auto" w:fill="auto"/>
            <w:noWrap/>
            <w:vAlign w:val="center"/>
          </w:tcPr>
          <w:p w14:paraId="7278E495" w14:textId="77777777" w:rsidR="0082721C" w:rsidRPr="00446D2A" w:rsidRDefault="0082721C" w:rsidP="00E67116">
            <w:pPr>
              <w:spacing w:after="0" w:line="240" w:lineRule="auto"/>
              <w:ind w:firstLineChars="221" w:firstLine="354"/>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 xml:space="preserve">150 – Receita de Imp. Transf. Imp. – Educação - Rem. de Dep. Bancários </w:t>
            </w:r>
          </w:p>
        </w:tc>
        <w:tc>
          <w:tcPr>
            <w:tcW w:w="1134" w:type="dxa"/>
            <w:tcBorders>
              <w:top w:val="nil"/>
              <w:left w:val="nil"/>
              <w:bottom w:val="nil"/>
              <w:right w:val="single" w:sz="8" w:space="0" w:color="auto"/>
            </w:tcBorders>
            <w:shd w:val="clear" w:color="auto" w:fill="auto"/>
            <w:vAlign w:val="center"/>
          </w:tcPr>
          <w:p w14:paraId="22E60F62"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BFI.C017</w:t>
            </w:r>
          </w:p>
        </w:tc>
        <w:tc>
          <w:tcPr>
            <w:tcW w:w="1276" w:type="dxa"/>
            <w:tcBorders>
              <w:top w:val="nil"/>
              <w:left w:val="nil"/>
              <w:bottom w:val="nil"/>
              <w:right w:val="single" w:sz="8" w:space="0" w:color="auto"/>
            </w:tcBorders>
            <w:shd w:val="clear" w:color="auto" w:fill="auto"/>
            <w:vAlign w:val="center"/>
          </w:tcPr>
          <w:p w14:paraId="6EE8E1C3"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BFI.D017</w:t>
            </w:r>
          </w:p>
        </w:tc>
        <w:tc>
          <w:tcPr>
            <w:tcW w:w="4243" w:type="dxa"/>
            <w:tcBorders>
              <w:top w:val="nil"/>
              <w:left w:val="nil"/>
              <w:bottom w:val="nil"/>
              <w:right w:val="single" w:sz="8" w:space="0" w:color="auto"/>
            </w:tcBorders>
            <w:shd w:val="clear" w:color="auto" w:fill="auto"/>
            <w:noWrap/>
            <w:vAlign w:val="center"/>
          </w:tcPr>
          <w:p w14:paraId="7729FAC2" w14:textId="77777777" w:rsidR="0082721C" w:rsidRPr="00446D2A" w:rsidRDefault="0082721C" w:rsidP="00E67116">
            <w:pPr>
              <w:spacing w:after="0" w:line="240" w:lineRule="auto"/>
              <w:ind w:firstLineChars="221" w:firstLine="354"/>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150 – Receita de Imp. Transf. Imp. – Educação - Rem. de Dep. Bancários</w:t>
            </w:r>
          </w:p>
        </w:tc>
        <w:tc>
          <w:tcPr>
            <w:tcW w:w="1285" w:type="dxa"/>
            <w:gridSpan w:val="2"/>
            <w:tcBorders>
              <w:top w:val="nil"/>
              <w:left w:val="nil"/>
              <w:bottom w:val="nil"/>
              <w:right w:val="single" w:sz="8" w:space="0" w:color="auto"/>
            </w:tcBorders>
            <w:shd w:val="clear" w:color="auto" w:fill="auto"/>
            <w:vAlign w:val="center"/>
          </w:tcPr>
          <w:p w14:paraId="2085EDAC"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BFI.G017</w:t>
            </w:r>
          </w:p>
        </w:tc>
        <w:tc>
          <w:tcPr>
            <w:tcW w:w="1276" w:type="dxa"/>
            <w:gridSpan w:val="2"/>
            <w:tcBorders>
              <w:top w:val="nil"/>
              <w:left w:val="nil"/>
              <w:bottom w:val="nil"/>
              <w:right w:val="single" w:sz="8" w:space="0" w:color="auto"/>
            </w:tcBorders>
            <w:shd w:val="clear" w:color="auto" w:fill="auto"/>
            <w:vAlign w:val="center"/>
          </w:tcPr>
          <w:p w14:paraId="4CFBA970"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BFI.H017</w:t>
            </w:r>
          </w:p>
        </w:tc>
      </w:tr>
      <w:tr w:rsidR="0082721C" w:rsidRPr="003042F6" w14:paraId="530B5ADA" w14:textId="77777777" w:rsidTr="00E450A4">
        <w:trPr>
          <w:trHeight w:val="255"/>
        </w:trPr>
        <w:tc>
          <w:tcPr>
            <w:tcW w:w="4820" w:type="dxa"/>
            <w:gridSpan w:val="2"/>
            <w:tcBorders>
              <w:top w:val="nil"/>
              <w:left w:val="single" w:sz="8" w:space="0" w:color="auto"/>
              <w:bottom w:val="nil"/>
              <w:right w:val="single" w:sz="8" w:space="0" w:color="auto"/>
            </w:tcBorders>
            <w:shd w:val="clear" w:color="auto" w:fill="auto"/>
            <w:noWrap/>
            <w:vAlign w:val="center"/>
            <w:hideMark/>
          </w:tcPr>
          <w:p w14:paraId="30E8A539" w14:textId="0A351B1C" w:rsidR="0082721C" w:rsidRPr="00446D2A" w:rsidRDefault="0082721C" w:rsidP="00E67116">
            <w:pPr>
              <w:spacing w:after="0" w:line="240" w:lineRule="auto"/>
              <w:ind w:firstLineChars="221" w:firstLine="354"/>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 xml:space="preserve">113 – Transferências do FUNDEB </w:t>
            </w:r>
            <w:r w:rsidR="00491489" w:rsidRPr="00EB4F89">
              <w:rPr>
                <w:rFonts w:ascii="Arial Narrow" w:eastAsia="Times New Roman" w:hAnsi="Arial Narrow" w:cs="Arial"/>
                <w:color w:val="0070C0"/>
                <w:sz w:val="16"/>
                <w:szCs w:val="16"/>
                <w:lang w:eastAsia="pt-BR"/>
              </w:rPr>
              <w:t xml:space="preserve">– IMPOSTOS 30% </w:t>
            </w:r>
            <w:r w:rsidR="00491489" w:rsidRPr="00EB4F89">
              <w:rPr>
                <w:rFonts w:ascii="Arial Narrow" w:eastAsia="Times New Roman" w:hAnsi="Arial Narrow" w:cs="Arial"/>
                <w:strike/>
                <w:color w:val="FF0000"/>
                <w:sz w:val="16"/>
                <w:szCs w:val="16"/>
                <w:lang w:eastAsia="pt-BR"/>
              </w:rPr>
              <w:t>(40%)</w:t>
            </w:r>
          </w:p>
        </w:tc>
        <w:tc>
          <w:tcPr>
            <w:tcW w:w="1134" w:type="dxa"/>
            <w:tcBorders>
              <w:top w:val="nil"/>
              <w:left w:val="nil"/>
              <w:bottom w:val="nil"/>
              <w:right w:val="single" w:sz="8" w:space="0" w:color="auto"/>
            </w:tcBorders>
            <w:shd w:val="clear" w:color="auto" w:fill="auto"/>
            <w:vAlign w:val="center"/>
            <w:hideMark/>
          </w:tcPr>
          <w:p w14:paraId="6817474F"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BFI.C015</w:t>
            </w:r>
          </w:p>
        </w:tc>
        <w:tc>
          <w:tcPr>
            <w:tcW w:w="1276" w:type="dxa"/>
            <w:tcBorders>
              <w:top w:val="nil"/>
              <w:left w:val="nil"/>
              <w:bottom w:val="nil"/>
              <w:right w:val="single" w:sz="8" w:space="0" w:color="auto"/>
            </w:tcBorders>
            <w:shd w:val="clear" w:color="auto" w:fill="auto"/>
            <w:vAlign w:val="center"/>
            <w:hideMark/>
          </w:tcPr>
          <w:p w14:paraId="6017861A"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BFI.D015</w:t>
            </w:r>
          </w:p>
        </w:tc>
        <w:tc>
          <w:tcPr>
            <w:tcW w:w="4243" w:type="dxa"/>
            <w:tcBorders>
              <w:top w:val="nil"/>
              <w:left w:val="nil"/>
              <w:bottom w:val="nil"/>
              <w:right w:val="single" w:sz="8" w:space="0" w:color="auto"/>
            </w:tcBorders>
            <w:shd w:val="clear" w:color="auto" w:fill="auto"/>
            <w:noWrap/>
            <w:vAlign w:val="center"/>
            <w:hideMark/>
          </w:tcPr>
          <w:p w14:paraId="01807C93" w14:textId="3C45A7CD" w:rsidR="0082721C" w:rsidRPr="00446D2A" w:rsidRDefault="0082721C" w:rsidP="00E67116">
            <w:pPr>
              <w:spacing w:after="0" w:line="240" w:lineRule="auto"/>
              <w:ind w:firstLineChars="221" w:firstLine="354"/>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 xml:space="preserve">113 – Transferências do FUNDEB </w:t>
            </w:r>
            <w:r w:rsidR="00491489" w:rsidRPr="00EB4F89">
              <w:rPr>
                <w:rFonts w:ascii="Arial Narrow" w:eastAsia="Times New Roman" w:hAnsi="Arial Narrow" w:cs="Arial"/>
                <w:color w:val="0070C0"/>
                <w:sz w:val="16"/>
                <w:szCs w:val="16"/>
                <w:lang w:eastAsia="pt-BR"/>
              </w:rPr>
              <w:t xml:space="preserve">– IMPOSTOS 30% </w:t>
            </w:r>
            <w:r w:rsidR="00491489" w:rsidRPr="00EB4F89">
              <w:rPr>
                <w:rFonts w:ascii="Arial Narrow" w:eastAsia="Times New Roman" w:hAnsi="Arial Narrow" w:cs="Arial"/>
                <w:strike/>
                <w:color w:val="FF0000"/>
                <w:sz w:val="16"/>
                <w:szCs w:val="16"/>
                <w:lang w:eastAsia="pt-BR"/>
              </w:rPr>
              <w:t>(40%)</w:t>
            </w:r>
          </w:p>
        </w:tc>
        <w:tc>
          <w:tcPr>
            <w:tcW w:w="1285" w:type="dxa"/>
            <w:gridSpan w:val="2"/>
            <w:tcBorders>
              <w:top w:val="nil"/>
              <w:left w:val="nil"/>
              <w:bottom w:val="nil"/>
              <w:right w:val="single" w:sz="8" w:space="0" w:color="auto"/>
            </w:tcBorders>
            <w:shd w:val="clear" w:color="auto" w:fill="auto"/>
            <w:vAlign w:val="center"/>
            <w:hideMark/>
          </w:tcPr>
          <w:p w14:paraId="3937C0CF"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BFI.G015</w:t>
            </w:r>
          </w:p>
        </w:tc>
        <w:tc>
          <w:tcPr>
            <w:tcW w:w="1276" w:type="dxa"/>
            <w:gridSpan w:val="2"/>
            <w:tcBorders>
              <w:top w:val="nil"/>
              <w:left w:val="nil"/>
              <w:bottom w:val="nil"/>
              <w:right w:val="single" w:sz="8" w:space="0" w:color="auto"/>
            </w:tcBorders>
            <w:shd w:val="clear" w:color="auto" w:fill="auto"/>
            <w:vAlign w:val="center"/>
            <w:hideMark/>
          </w:tcPr>
          <w:p w14:paraId="2AECA1E3"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BFI.H015</w:t>
            </w:r>
          </w:p>
        </w:tc>
      </w:tr>
      <w:tr w:rsidR="0082721C" w:rsidRPr="003042F6" w14:paraId="179AD6D7" w14:textId="77777777" w:rsidTr="00E450A4">
        <w:trPr>
          <w:trHeight w:val="255"/>
        </w:trPr>
        <w:tc>
          <w:tcPr>
            <w:tcW w:w="4820" w:type="dxa"/>
            <w:gridSpan w:val="2"/>
            <w:tcBorders>
              <w:top w:val="nil"/>
              <w:left w:val="single" w:sz="8" w:space="0" w:color="auto"/>
              <w:bottom w:val="nil"/>
              <w:right w:val="single" w:sz="8" w:space="0" w:color="auto"/>
            </w:tcBorders>
            <w:shd w:val="clear" w:color="auto" w:fill="auto"/>
            <w:noWrap/>
            <w:vAlign w:val="center"/>
          </w:tcPr>
          <w:p w14:paraId="75A951C8" w14:textId="423BEACE" w:rsidR="0082721C" w:rsidRPr="00446D2A" w:rsidRDefault="0082721C" w:rsidP="00E67116">
            <w:pPr>
              <w:spacing w:after="0" w:line="240" w:lineRule="auto"/>
              <w:ind w:firstLineChars="221" w:firstLine="354"/>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 xml:space="preserve">112 – Transferências do FUNDEB </w:t>
            </w:r>
            <w:r w:rsidR="00491489" w:rsidRPr="00EB4F89">
              <w:rPr>
                <w:rFonts w:ascii="Arial Narrow" w:eastAsia="Times New Roman" w:hAnsi="Arial Narrow" w:cs="Arial"/>
                <w:color w:val="0070C0"/>
                <w:sz w:val="16"/>
                <w:szCs w:val="16"/>
                <w:lang w:eastAsia="pt-BR"/>
              </w:rPr>
              <w:t xml:space="preserve">– IMPOSTOS 70% </w:t>
            </w:r>
            <w:r w:rsidR="00491489" w:rsidRPr="00EB4F89">
              <w:rPr>
                <w:rFonts w:ascii="Arial Narrow" w:eastAsia="Times New Roman" w:hAnsi="Arial Narrow" w:cs="Arial"/>
                <w:strike/>
                <w:color w:val="FF0000"/>
                <w:sz w:val="16"/>
                <w:szCs w:val="16"/>
                <w:lang w:eastAsia="pt-BR"/>
              </w:rPr>
              <w:t>(60%)</w:t>
            </w:r>
          </w:p>
        </w:tc>
        <w:tc>
          <w:tcPr>
            <w:tcW w:w="1134" w:type="dxa"/>
            <w:tcBorders>
              <w:top w:val="nil"/>
              <w:left w:val="nil"/>
              <w:bottom w:val="nil"/>
              <w:right w:val="single" w:sz="8" w:space="0" w:color="auto"/>
            </w:tcBorders>
            <w:shd w:val="clear" w:color="auto" w:fill="auto"/>
            <w:vAlign w:val="center"/>
          </w:tcPr>
          <w:p w14:paraId="7BB357C5"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BFI.C016</w:t>
            </w:r>
          </w:p>
        </w:tc>
        <w:tc>
          <w:tcPr>
            <w:tcW w:w="1276" w:type="dxa"/>
            <w:tcBorders>
              <w:top w:val="nil"/>
              <w:left w:val="nil"/>
              <w:bottom w:val="nil"/>
              <w:right w:val="single" w:sz="8" w:space="0" w:color="auto"/>
            </w:tcBorders>
            <w:shd w:val="clear" w:color="auto" w:fill="auto"/>
            <w:vAlign w:val="center"/>
          </w:tcPr>
          <w:p w14:paraId="2A3B12FC"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BFI.D016</w:t>
            </w:r>
          </w:p>
        </w:tc>
        <w:tc>
          <w:tcPr>
            <w:tcW w:w="4243" w:type="dxa"/>
            <w:tcBorders>
              <w:top w:val="nil"/>
              <w:left w:val="nil"/>
              <w:bottom w:val="nil"/>
              <w:right w:val="single" w:sz="8" w:space="0" w:color="auto"/>
            </w:tcBorders>
            <w:shd w:val="clear" w:color="auto" w:fill="auto"/>
            <w:noWrap/>
            <w:vAlign w:val="center"/>
          </w:tcPr>
          <w:p w14:paraId="37540F1C" w14:textId="3E708CE9" w:rsidR="0082721C" w:rsidRPr="00446D2A" w:rsidRDefault="0082721C" w:rsidP="00E67116">
            <w:pPr>
              <w:spacing w:after="0" w:line="240" w:lineRule="auto"/>
              <w:ind w:firstLineChars="221" w:firstLine="354"/>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 xml:space="preserve">112 – Transferências do FUNDEB </w:t>
            </w:r>
            <w:r w:rsidR="00491489" w:rsidRPr="00EB4F89">
              <w:rPr>
                <w:rFonts w:ascii="Arial Narrow" w:eastAsia="Times New Roman" w:hAnsi="Arial Narrow" w:cs="Arial"/>
                <w:color w:val="0070C0"/>
                <w:sz w:val="16"/>
                <w:szCs w:val="16"/>
                <w:lang w:eastAsia="pt-BR"/>
              </w:rPr>
              <w:t xml:space="preserve">– IMPOSTOS 70% </w:t>
            </w:r>
            <w:r w:rsidR="00491489" w:rsidRPr="00EB4F89">
              <w:rPr>
                <w:rFonts w:ascii="Arial Narrow" w:eastAsia="Times New Roman" w:hAnsi="Arial Narrow" w:cs="Arial"/>
                <w:strike/>
                <w:color w:val="FF0000"/>
                <w:sz w:val="16"/>
                <w:szCs w:val="16"/>
                <w:lang w:eastAsia="pt-BR"/>
              </w:rPr>
              <w:t>(60%)</w:t>
            </w:r>
          </w:p>
        </w:tc>
        <w:tc>
          <w:tcPr>
            <w:tcW w:w="1285" w:type="dxa"/>
            <w:gridSpan w:val="2"/>
            <w:tcBorders>
              <w:top w:val="nil"/>
              <w:left w:val="nil"/>
              <w:bottom w:val="nil"/>
              <w:right w:val="single" w:sz="8" w:space="0" w:color="auto"/>
            </w:tcBorders>
            <w:shd w:val="clear" w:color="auto" w:fill="auto"/>
            <w:vAlign w:val="center"/>
          </w:tcPr>
          <w:p w14:paraId="2ED47C8A"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BFI.G016</w:t>
            </w:r>
          </w:p>
        </w:tc>
        <w:tc>
          <w:tcPr>
            <w:tcW w:w="1276" w:type="dxa"/>
            <w:gridSpan w:val="2"/>
            <w:tcBorders>
              <w:top w:val="nil"/>
              <w:left w:val="nil"/>
              <w:bottom w:val="nil"/>
              <w:right w:val="single" w:sz="8" w:space="0" w:color="auto"/>
            </w:tcBorders>
            <w:shd w:val="clear" w:color="auto" w:fill="auto"/>
            <w:vAlign w:val="center"/>
          </w:tcPr>
          <w:p w14:paraId="28BA8C08"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BFI.H016</w:t>
            </w:r>
          </w:p>
        </w:tc>
      </w:tr>
      <w:tr w:rsidR="0082721C" w:rsidRPr="003042F6" w14:paraId="7A55C573" w14:textId="77777777" w:rsidTr="00E450A4">
        <w:trPr>
          <w:trHeight w:val="255"/>
        </w:trPr>
        <w:tc>
          <w:tcPr>
            <w:tcW w:w="4820" w:type="dxa"/>
            <w:gridSpan w:val="2"/>
            <w:tcBorders>
              <w:top w:val="nil"/>
              <w:left w:val="single" w:sz="8" w:space="0" w:color="auto"/>
              <w:bottom w:val="nil"/>
              <w:right w:val="single" w:sz="8" w:space="0" w:color="auto"/>
            </w:tcBorders>
            <w:shd w:val="clear" w:color="auto" w:fill="auto"/>
            <w:noWrap/>
            <w:vAlign w:val="center"/>
          </w:tcPr>
          <w:p w14:paraId="2A30B7F8" w14:textId="7A660DB1" w:rsidR="0082721C" w:rsidRPr="00446D2A" w:rsidRDefault="0082721C" w:rsidP="00E67116">
            <w:pPr>
              <w:spacing w:after="0" w:line="240" w:lineRule="auto"/>
              <w:ind w:left="355"/>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 xml:space="preserve">151 - Transferências do FUNDEB – Remuneração de Depósitos Bancários </w:t>
            </w:r>
            <w:r w:rsidR="0079245A" w:rsidRPr="00202F2D">
              <w:rPr>
                <w:rFonts w:ascii="Arial Narrow" w:eastAsia="Times New Roman" w:hAnsi="Arial Narrow" w:cs="Arial"/>
                <w:color w:val="0070C0"/>
                <w:sz w:val="16"/>
                <w:szCs w:val="16"/>
                <w:lang w:eastAsia="pt-BR"/>
              </w:rPr>
              <w:t xml:space="preserve">(30% + 70%) </w:t>
            </w:r>
            <w:r w:rsidR="0079245A" w:rsidRPr="00202F2D">
              <w:rPr>
                <w:rFonts w:ascii="Arial Narrow" w:eastAsia="Times New Roman" w:hAnsi="Arial Narrow" w:cs="Arial"/>
                <w:strike/>
                <w:color w:val="FF0000"/>
                <w:sz w:val="16"/>
                <w:szCs w:val="16"/>
                <w:lang w:eastAsia="pt-BR"/>
              </w:rPr>
              <w:t>(40% + 60%)</w:t>
            </w:r>
          </w:p>
        </w:tc>
        <w:tc>
          <w:tcPr>
            <w:tcW w:w="1134" w:type="dxa"/>
            <w:tcBorders>
              <w:top w:val="nil"/>
              <w:left w:val="nil"/>
              <w:bottom w:val="nil"/>
              <w:right w:val="single" w:sz="8" w:space="0" w:color="auto"/>
            </w:tcBorders>
            <w:shd w:val="clear" w:color="auto" w:fill="auto"/>
            <w:vAlign w:val="center"/>
          </w:tcPr>
          <w:p w14:paraId="2A0E71F9" w14:textId="77777777" w:rsidR="0082721C" w:rsidRPr="00446D2A" w:rsidRDefault="0082721C" w:rsidP="00E67116">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BFI.C098</w:t>
            </w:r>
          </w:p>
        </w:tc>
        <w:tc>
          <w:tcPr>
            <w:tcW w:w="1276" w:type="dxa"/>
            <w:tcBorders>
              <w:top w:val="nil"/>
              <w:left w:val="nil"/>
              <w:bottom w:val="nil"/>
              <w:right w:val="single" w:sz="8" w:space="0" w:color="auto"/>
            </w:tcBorders>
            <w:shd w:val="clear" w:color="auto" w:fill="auto"/>
            <w:vAlign w:val="center"/>
          </w:tcPr>
          <w:p w14:paraId="07371EE0" w14:textId="77777777" w:rsidR="0082721C" w:rsidRPr="00446D2A" w:rsidRDefault="0082721C" w:rsidP="00E67116">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BFI.D098</w:t>
            </w:r>
          </w:p>
        </w:tc>
        <w:tc>
          <w:tcPr>
            <w:tcW w:w="4243" w:type="dxa"/>
            <w:tcBorders>
              <w:top w:val="nil"/>
              <w:left w:val="nil"/>
              <w:bottom w:val="nil"/>
              <w:right w:val="single" w:sz="8" w:space="0" w:color="auto"/>
            </w:tcBorders>
            <w:shd w:val="clear" w:color="auto" w:fill="auto"/>
            <w:noWrap/>
            <w:vAlign w:val="center"/>
          </w:tcPr>
          <w:p w14:paraId="68A81A70" w14:textId="793BF601" w:rsidR="0082721C" w:rsidRPr="00446D2A" w:rsidRDefault="0082721C" w:rsidP="00E67116">
            <w:pPr>
              <w:spacing w:after="0" w:line="240" w:lineRule="auto"/>
              <w:ind w:left="355"/>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 xml:space="preserve">151 - Transferências do FUNDEB – Remuneração de Depósitos Bancários </w:t>
            </w:r>
            <w:r w:rsidR="0079245A" w:rsidRPr="00202F2D">
              <w:rPr>
                <w:rFonts w:ascii="Arial Narrow" w:eastAsia="Times New Roman" w:hAnsi="Arial Narrow" w:cs="Arial"/>
                <w:color w:val="0070C0"/>
                <w:sz w:val="16"/>
                <w:szCs w:val="16"/>
                <w:lang w:eastAsia="pt-BR"/>
              </w:rPr>
              <w:t xml:space="preserve">(30% + 70%) </w:t>
            </w:r>
            <w:r w:rsidR="0079245A" w:rsidRPr="00202F2D">
              <w:rPr>
                <w:rFonts w:ascii="Arial Narrow" w:eastAsia="Times New Roman" w:hAnsi="Arial Narrow" w:cs="Arial"/>
                <w:strike/>
                <w:color w:val="FF0000"/>
                <w:sz w:val="16"/>
                <w:szCs w:val="16"/>
                <w:lang w:eastAsia="pt-BR"/>
              </w:rPr>
              <w:t>(40% + 60%)</w:t>
            </w:r>
          </w:p>
        </w:tc>
        <w:tc>
          <w:tcPr>
            <w:tcW w:w="1285" w:type="dxa"/>
            <w:gridSpan w:val="2"/>
            <w:tcBorders>
              <w:top w:val="nil"/>
              <w:left w:val="nil"/>
              <w:bottom w:val="nil"/>
              <w:right w:val="single" w:sz="8" w:space="0" w:color="auto"/>
            </w:tcBorders>
            <w:shd w:val="clear" w:color="auto" w:fill="auto"/>
            <w:vAlign w:val="center"/>
          </w:tcPr>
          <w:p w14:paraId="140B3B31" w14:textId="77777777" w:rsidR="0082721C" w:rsidRPr="00446D2A" w:rsidRDefault="0082721C" w:rsidP="00E67116">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BFI.G098</w:t>
            </w:r>
          </w:p>
        </w:tc>
        <w:tc>
          <w:tcPr>
            <w:tcW w:w="1276" w:type="dxa"/>
            <w:gridSpan w:val="2"/>
            <w:tcBorders>
              <w:top w:val="nil"/>
              <w:left w:val="nil"/>
              <w:bottom w:val="nil"/>
              <w:right w:val="single" w:sz="8" w:space="0" w:color="auto"/>
            </w:tcBorders>
            <w:shd w:val="clear" w:color="auto" w:fill="auto"/>
            <w:vAlign w:val="center"/>
          </w:tcPr>
          <w:p w14:paraId="0DEA8DFC" w14:textId="77777777" w:rsidR="0082721C" w:rsidRPr="00446D2A" w:rsidRDefault="0082721C" w:rsidP="00E67116">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BFI.H098</w:t>
            </w:r>
          </w:p>
        </w:tc>
      </w:tr>
      <w:tr w:rsidR="0082721C" w:rsidRPr="003042F6" w14:paraId="28CCA7E8" w14:textId="77777777" w:rsidTr="00E450A4">
        <w:trPr>
          <w:trHeight w:val="255"/>
        </w:trPr>
        <w:tc>
          <w:tcPr>
            <w:tcW w:w="4820" w:type="dxa"/>
            <w:gridSpan w:val="2"/>
            <w:tcBorders>
              <w:top w:val="nil"/>
              <w:left w:val="single" w:sz="8" w:space="0" w:color="auto"/>
              <w:bottom w:val="nil"/>
              <w:right w:val="single" w:sz="8" w:space="0" w:color="auto"/>
            </w:tcBorders>
            <w:shd w:val="clear" w:color="auto" w:fill="auto"/>
            <w:noWrap/>
            <w:vAlign w:val="center"/>
          </w:tcPr>
          <w:p w14:paraId="4784C2DD" w14:textId="4F915473" w:rsidR="0082721C" w:rsidRPr="00446D2A" w:rsidRDefault="0082721C" w:rsidP="00E67116">
            <w:pPr>
              <w:spacing w:after="0" w:line="240" w:lineRule="auto"/>
              <w:ind w:firstLineChars="221" w:firstLine="354"/>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 xml:space="preserve">115 – Transferências do FUNDEB </w:t>
            </w:r>
            <w:r w:rsidR="00FF5EE2" w:rsidRPr="00FF5EE2">
              <w:rPr>
                <w:rFonts w:ascii="Arial Narrow" w:eastAsia="Times New Roman" w:hAnsi="Arial Narrow" w:cs="Arial"/>
                <w:color w:val="0070C0"/>
                <w:sz w:val="16"/>
                <w:szCs w:val="16"/>
                <w:lang w:eastAsia="pt-BR"/>
              </w:rPr>
              <w:t xml:space="preserve">30% </w:t>
            </w:r>
            <w:r w:rsidRPr="00302520">
              <w:rPr>
                <w:rFonts w:ascii="Arial Narrow" w:eastAsia="Times New Roman" w:hAnsi="Arial Narrow" w:cs="Arial"/>
                <w:strike/>
                <w:color w:val="FF0000"/>
                <w:sz w:val="16"/>
                <w:szCs w:val="16"/>
                <w:lang w:eastAsia="pt-BR"/>
              </w:rPr>
              <w:t xml:space="preserve">40% </w:t>
            </w:r>
            <w:r w:rsidRPr="00446D2A">
              <w:rPr>
                <w:rFonts w:ascii="Arial Narrow" w:eastAsia="Times New Roman" w:hAnsi="Arial Narrow" w:cs="Arial"/>
                <w:sz w:val="16"/>
                <w:szCs w:val="16"/>
                <w:lang w:eastAsia="pt-BR"/>
              </w:rPr>
              <w:t>- Complementação da União</w:t>
            </w:r>
            <w:r w:rsidR="00FF5EE2">
              <w:rPr>
                <w:rFonts w:ascii="Arial Narrow" w:eastAsia="Times New Roman" w:hAnsi="Arial Narrow" w:cs="Arial"/>
                <w:sz w:val="16"/>
                <w:szCs w:val="16"/>
                <w:lang w:eastAsia="pt-BR"/>
              </w:rPr>
              <w:t xml:space="preserve"> </w:t>
            </w:r>
            <w:r w:rsidR="00FF5EE2" w:rsidRPr="00FF5EE2">
              <w:rPr>
                <w:rFonts w:ascii="Arial Narrow" w:eastAsia="Times New Roman" w:hAnsi="Arial Narrow" w:cs="Arial"/>
                <w:color w:val="0070C0"/>
                <w:sz w:val="16"/>
                <w:szCs w:val="16"/>
                <w:lang w:eastAsia="pt-BR"/>
              </w:rPr>
              <w:t>- VAAF</w:t>
            </w:r>
          </w:p>
        </w:tc>
        <w:tc>
          <w:tcPr>
            <w:tcW w:w="1134" w:type="dxa"/>
            <w:tcBorders>
              <w:top w:val="nil"/>
              <w:left w:val="nil"/>
              <w:bottom w:val="nil"/>
              <w:right w:val="single" w:sz="8" w:space="0" w:color="auto"/>
            </w:tcBorders>
            <w:shd w:val="clear" w:color="auto" w:fill="auto"/>
            <w:vAlign w:val="center"/>
          </w:tcPr>
          <w:p w14:paraId="4B347C50"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BFI.C078</w:t>
            </w:r>
          </w:p>
        </w:tc>
        <w:tc>
          <w:tcPr>
            <w:tcW w:w="1276" w:type="dxa"/>
            <w:tcBorders>
              <w:top w:val="nil"/>
              <w:left w:val="nil"/>
              <w:bottom w:val="nil"/>
              <w:right w:val="single" w:sz="8" w:space="0" w:color="auto"/>
            </w:tcBorders>
            <w:shd w:val="clear" w:color="auto" w:fill="auto"/>
            <w:vAlign w:val="center"/>
          </w:tcPr>
          <w:p w14:paraId="3791F5B6"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BFI.D078</w:t>
            </w:r>
          </w:p>
        </w:tc>
        <w:tc>
          <w:tcPr>
            <w:tcW w:w="4243" w:type="dxa"/>
            <w:tcBorders>
              <w:top w:val="nil"/>
              <w:left w:val="nil"/>
              <w:bottom w:val="nil"/>
              <w:right w:val="single" w:sz="8" w:space="0" w:color="auto"/>
            </w:tcBorders>
            <w:shd w:val="clear" w:color="auto" w:fill="auto"/>
            <w:noWrap/>
            <w:vAlign w:val="center"/>
          </w:tcPr>
          <w:p w14:paraId="758C0920" w14:textId="670A6FD3" w:rsidR="0082721C" w:rsidRPr="00446D2A" w:rsidRDefault="0082721C" w:rsidP="00E67116">
            <w:pPr>
              <w:spacing w:after="0" w:line="240" w:lineRule="auto"/>
              <w:ind w:firstLineChars="221" w:firstLine="354"/>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 xml:space="preserve">115 – Transferências do FUNDEB </w:t>
            </w:r>
            <w:r w:rsidR="00FF5EE2" w:rsidRPr="00FF5EE2">
              <w:rPr>
                <w:rFonts w:ascii="Arial Narrow" w:eastAsia="Times New Roman" w:hAnsi="Arial Narrow" w:cs="Arial"/>
                <w:color w:val="0070C0"/>
                <w:sz w:val="16"/>
                <w:szCs w:val="16"/>
                <w:lang w:eastAsia="pt-BR"/>
              </w:rPr>
              <w:t xml:space="preserve">30% </w:t>
            </w:r>
            <w:r w:rsidR="00FF5EE2" w:rsidRPr="00302520">
              <w:rPr>
                <w:rFonts w:ascii="Arial Narrow" w:eastAsia="Times New Roman" w:hAnsi="Arial Narrow" w:cs="Arial"/>
                <w:strike/>
                <w:color w:val="FF0000"/>
                <w:sz w:val="16"/>
                <w:szCs w:val="16"/>
                <w:lang w:eastAsia="pt-BR"/>
              </w:rPr>
              <w:t>40%</w:t>
            </w:r>
            <w:r w:rsidR="00FF5EE2" w:rsidRPr="00FF5EE2">
              <w:rPr>
                <w:rFonts w:ascii="Arial Narrow" w:eastAsia="Times New Roman" w:hAnsi="Arial Narrow" w:cs="Arial"/>
                <w:color w:val="FF0000"/>
                <w:sz w:val="16"/>
                <w:szCs w:val="16"/>
                <w:lang w:eastAsia="pt-BR"/>
              </w:rPr>
              <w:t xml:space="preserve"> </w:t>
            </w:r>
            <w:r w:rsidR="00FF5EE2" w:rsidRPr="00446D2A">
              <w:rPr>
                <w:rFonts w:ascii="Arial Narrow" w:eastAsia="Times New Roman" w:hAnsi="Arial Narrow" w:cs="Arial"/>
                <w:sz w:val="16"/>
                <w:szCs w:val="16"/>
                <w:lang w:eastAsia="pt-BR"/>
              </w:rPr>
              <w:t>- Complementação da União</w:t>
            </w:r>
            <w:r w:rsidR="00FF5EE2">
              <w:rPr>
                <w:rFonts w:ascii="Arial Narrow" w:eastAsia="Times New Roman" w:hAnsi="Arial Narrow" w:cs="Arial"/>
                <w:sz w:val="16"/>
                <w:szCs w:val="16"/>
                <w:lang w:eastAsia="pt-BR"/>
              </w:rPr>
              <w:t xml:space="preserve"> </w:t>
            </w:r>
            <w:r w:rsidR="00FF5EE2" w:rsidRPr="00FF5EE2">
              <w:rPr>
                <w:rFonts w:ascii="Arial Narrow" w:eastAsia="Times New Roman" w:hAnsi="Arial Narrow" w:cs="Arial"/>
                <w:color w:val="0070C0"/>
                <w:sz w:val="16"/>
                <w:szCs w:val="16"/>
                <w:lang w:eastAsia="pt-BR"/>
              </w:rPr>
              <w:t>- VAAF</w:t>
            </w:r>
          </w:p>
        </w:tc>
        <w:tc>
          <w:tcPr>
            <w:tcW w:w="1285" w:type="dxa"/>
            <w:gridSpan w:val="2"/>
            <w:tcBorders>
              <w:top w:val="nil"/>
              <w:left w:val="nil"/>
              <w:bottom w:val="nil"/>
              <w:right w:val="single" w:sz="8" w:space="0" w:color="auto"/>
            </w:tcBorders>
            <w:shd w:val="clear" w:color="auto" w:fill="auto"/>
            <w:vAlign w:val="center"/>
          </w:tcPr>
          <w:p w14:paraId="184711CE"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BFI.G078</w:t>
            </w:r>
          </w:p>
        </w:tc>
        <w:tc>
          <w:tcPr>
            <w:tcW w:w="1276" w:type="dxa"/>
            <w:gridSpan w:val="2"/>
            <w:tcBorders>
              <w:top w:val="nil"/>
              <w:left w:val="nil"/>
              <w:bottom w:val="nil"/>
              <w:right w:val="single" w:sz="8" w:space="0" w:color="auto"/>
            </w:tcBorders>
            <w:shd w:val="clear" w:color="auto" w:fill="auto"/>
            <w:vAlign w:val="center"/>
          </w:tcPr>
          <w:p w14:paraId="7982C501"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BFI.H078</w:t>
            </w:r>
          </w:p>
        </w:tc>
      </w:tr>
      <w:tr w:rsidR="0082721C" w:rsidRPr="003042F6" w14:paraId="0F3E4EAF" w14:textId="77777777" w:rsidTr="00E450A4">
        <w:trPr>
          <w:trHeight w:val="255"/>
        </w:trPr>
        <w:tc>
          <w:tcPr>
            <w:tcW w:w="4820" w:type="dxa"/>
            <w:gridSpan w:val="2"/>
            <w:tcBorders>
              <w:top w:val="nil"/>
              <w:left w:val="single" w:sz="8" w:space="0" w:color="auto"/>
              <w:bottom w:val="nil"/>
              <w:right w:val="single" w:sz="8" w:space="0" w:color="auto"/>
            </w:tcBorders>
            <w:shd w:val="clear" w:color="auto" w:fill="auto"/>
            <w:noWrap/>
            <w:vAlign w:val="center"/>
          </w:tcPr>
          <w:p w14:paraId="4E524287" w14:textId="76B7F7A8" w:rsidR="0082721C" w:rsidRPr="00446D2A" w:rsidRDefault="0082721C" w:rsidP="00E67116">
            <w:pPr>
              <w:spacing w:after="0" w:line="240" w:lineRule="auto"/>
              <w:ind w:left="355"/>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 xml:space="preserve">114 – Transferências do FUNDEB </w:t>
            </w:r>
            <w:r w:rsidR="00FF5EE2" w:rsidRPr="00FF5EE2">
              <w:rPr>
                <w:rFonts w:ascii="Arial Narrow" w:eastAsia="Times New Roman" w:hAnsi="Arial Narrow" w:cs="Arial"/>
                <w:color w:val="0070C0"/>
                <w:sz w:val="16"/>
                <w:szCs w:val="16"/>
                <w:lang w:eastAsia="pt-BR"/>
              </w:rPr>
              <w:t>70%</w:t>
            </w:r>
            <w:r w:rsidR="00FF5EE2">
              <w:rPr>
                <w:rFonts w:ascii="Arial Narrow" w:eastAsia="Times New Roman" w:hAnsi="Arial Narrow" w:cs="Arial"/>
                <w:sz w:val="16"/>
                <w:szCs w:val="16"/>
                <w:lang w:eastAsia="pt-BR"/>
              </w:rPr>
              <w:t xml:space="preserve"> </w:t>
            </w:r>
            <w:r w:rsidRPr="00302520">
              <w:rPr>
                <w:rFonts w:ascii="Arial Narrow" w:eastAsia="Times New Roman" w:hAnsi="Arial Narrow" w:cs="Arial"/>
                <w:strike/>
                <w:color w:val="FF0000"/>
                <w:sz w:val="16"/>
                <w:szCs w:val="16"/>
                <w:lang w:eastAsia="pt-BR"/>
              </w:rPr>
              <w:t>60%</w:t>
            </w:r>
            <w:r w:rsidRPr="00FF5EE2">
              <w:rPr>
                <w:rFonts w:ascii="Arial Narrow" w:eastAsia="Times New Roman" w:hAnsi="Arial Narrow" w:cs="Arial"/>
                <w:color w:val="FF0000"/>
                <w:sz w:val="16"/>
                <w:szCs w:val="16"/>
                <w:lang w:eastAsia="pt-BR"/>
              </w:rPr>
              <w:t xml:space="preserve"> </w:t>
            </w:r>
            <w:r w:rsidRPr="00446D2A">
              <w:rPr>
                <w:rFonts w:ascii="Arial Narrow" w:eastAsia="Times New Roman" w:hAnsi="Arial Narrow" w:cs="Arial"/>
                <w:sz w:val="16"/>
                <w:szCs w:val="16"/>
                <w:lang w:eastAsia="pt-BR"/>
              </w:rPr>
              <w:t>- Complementação da União</w:t>
            </w:r>
            <w:r w:rsidR="00FF5EE2">
              <w:rPr>
                <w:rFonts w:ascii="Arial Narrow" w:eastAsia="Times New Roman" w:hAnsi="Arial Narrow" w:cs="Arial"/>
                <w:sz w:val="16"/>
                <w:szCs w:val="16"/>
                <w:lang w:eastAsia="pt-BR"/>
              </w:rPr>
              <w:t xml:space="preserve"> </w:t>
            </w:r>
            <w:r w:rsidR="00FF5EE2" w:rsidRPr="00FF5EE2">
              <w:rPr>
                <w:rFonts w:ascii="Arial Narrow" w:eastAsia="Times New Roman" w:hAnsi="Arial Narrow" w:cs="Arial"/>
                <w:color w:val="0070C0"/>
                <w:sz w:val="16"/>
                <w:szCs w:val="16"/>
                <w:lang w:eastAsia="pt-BR"/>
              </w:rPr>
              <w:t>- VAAF</w:t>
            </w:r>
          </w:p>
        </w:tc>
        <w:tc>
          <w:tcPr>
            <w:tcW w:w="1134" w:type="dxa"/>
            <w:tcBorders>
              <w:top w:val="nil"/>
              <w:left w:val="nil"/>
              <w:bottom w:val="nil"/>
              <w:right w:val="single" w:sz="8" w:space="0" w:color="auto"/>
            </w:tcBorders>
            <w:shd w:val="clear" w:color="auto" w:fill="auto"/>
            <w:vAlign w:val="center"/>
          </w:tcPr>
          <w:p w14:paraId="44CF0750"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BFI.C079</w:t>
            </w:r>
          </w:p>
        </w:tc>
        <w:tc>
          <w:tcPr>
            <w:tcW w:w="1276" w:type="dxa"/>
            <w:tcBorders>
              <w:top w:val="nil"/>
              <w:left w:val="nil"/>
              <w:bottom w:val="nil"/>
              <w:right w:val="single" w:sz="8" w:space="0" w:color="auto"/>
            </w:tcBorders>
            <w:shd w:val="clear" w:color="auto" w:fill="auto"/>
            <w:vAlign w:val="center"/>
          </w:tcPr>
          <w:p w14:paraId="555872D6"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BFI.D079</w:t>
            </w:r>
          </w:p>
        </w:tc>
        <w:tc>
          <w:tcPr>
            <w:tcW w:w="4243" w:type="dxa"/>
            <w:tcBorders>
              <w:top w:val="nil"/>
              <w:left w:val="nil"/>
              <w:bottom w:val="nil"/>
              <w:right w:val="single" w:sz="8" w:space="0" w:color="auto"/>
            </w:tcBorders>
            <w:shd w:val="clear" w:color="auto" w:fill="auto"/>
            <w:noWrap/>
            <w:vAlign w:val="center"/>
          </w:tcPr>
          <w:p w14:paraId="3D3A4F5D" w14:textId="3576971E" w:rsidR="0082721C" w:rsidRPr="00446D2A" w:rsidRDefault="0082721C" w:rsidP="00E67116">
            <w:pPr>
              <w:spacing w:after="0" w:line="240" w:lineRule="auto"/>
              <w:ind w:left="355"/>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 xml:space="preserve">114 – Transferências do FUNDEB </w:t>
            </w:r>
            <w:r w:rsidR="00FF5EE2" w:rsidRPr="00FF5EE2">
              <w:rPr>
                <w:rFonts w:ascii="Arial Narrow" w:eastAsia="Times New Roman" w:hAnsi="Arial Narrow" w:cs="Arial"/>
                <w:color w:val="0070C0"/>
                <w:sz w:val="16"/>
                <w:szCs w:val="16"/>
                <w:lang w:eastAsia="pt-BR"/>
              </w:rPr>
              <w:t>70%</w:t>
            </w:r>
            <w:r w:rsidR="00FF5EE2">
              <w:rPr>
                <w:rFonts w:ascii="Arial Narrow" w:eastAsia="Times New Roman" w:hAnsi="Arial Narrow" w:cs="Arial"/>
                <w:sz w:val="16"/>
                <w:szCs w:val="16"/>
                <w:lang w:eastAsia="pt-BR"/>
              </w:rPr>
              <w:t xml:space="preserve"> </w:t>
            </w:r>
            <w:r w:rsidR="00FF5EE2" w:rsidRPr="00302520">
              <w:rPr>
                <w:rFonts w:ascii="Arial Narrow" w:eastAsia="Times New Roman" w:hAnsi="Arial Narrow" w:cs="Arial"/>
                <w:strike/>
                <w:color w:val="FF0000"/>
                <w:sz w:val="16"/>
                <w:szCs w:val="16"/>
                <w:lang w:eastAsia="pt-BR"/>
              </w:rPr>
              <w:t>60%</w:t>
            </w:r>
            <w:r w:rsidR="00FF5EE2" w:rsidRPr="00FF5EE2">
              <w:rPr>
                <w:rFonts w:ascii="Arial Narrow" w:eastAsia="Times New Roman" w:hAnsi="Arial Narrow" w:cs="Arial"/>
                <w:color w:val="FF0000"/>
                <w:sz w:val="16"/>
                <w:szCs w:val="16"/>
                <w:lang w:eastAsia="pt-BR"/>
              </w:rPr>
              <w:t xml:space="preserve"> </w:t>
            </w:r>
            <w:r w:rsidR="00FF5EE2" w:rsidRPr="00446D2A">
              <w:rPr>
                <w:rFonts w:ascii="Arial Narrow" w:eastAsia="Times New Roman" w:hAnsi="Arial Narrow" w:cs="Arial"/>
                <w:sz w:val="16"/>
                <w:szCs w:val="16"/>
                <w:lang w:eastAsia="pt-BR"/>
              </w:rPr>
              <w:t>- Complementação da União</w:t>
            </w:r>
            <w:r w:rsidR="00FF5EE2">
              <w:rPr>
                <w:rFonts w:ascii="Arial Narrow" w:eastAsia="Times New Roman" w:hAnsi="Arial Narrow" w:cs="Arial"/>
                <w:sz w:val="16"/>
                <w:szCs w:val="16"/>
                <w:lang w:eastAsia="pt-BR"/>
              </w:rPr>
              <w:t xml:space="preserve"> </w:t>
            </w:r>
            <w:r w:rsidR="00FF5EE2" w:rsidRPr="00FF5EE2">
              <w:rPr>
                <w:rFonts w:ascii="Arial Narrow" w:eastAsia="Times New Roman" w:hAnsi="Arial Narrow" w:cs="Arial"/>
                <w:color w:val="0070C0"/>
                <w:sz w:val="16"/>
                <w:szCs w:val="16"/>
                <w:lang w:eastAsia="pt-BR"/>
              </w:rPr>
              <w:t>- VAAF</w:t>
            </w:r>
          </w:p>
        </w:tc>
        <w:tc>
          <w:tcPr>
            <w:tcW w:w="1285" w:type="dxa"/>
            <w:gridSpan w:val="2"/>
            <w:tcBorders>
              <w:top w:val="nil"/>
              <w:left w:val="nil"/>
              <w:bottom w:val="nil"/>
              <w:right w:val="single" w:sz="8" w:space="0" w:color="auto"/>
            </w:tcBorders>
            <w:shd w:val="clear" w:color="auto" w:fill="auto"/>
            <w:vAlign w:val="center"/>
          </w:tcPr>
          <w:p w14:paraId="0103718A"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BFI.G079</w:t>
            </w:r>
          </w:p>
        </w:tc>
        <w:tc>
          <w:tcPr>
            <w:tcW w:w="1276" w:type="dxa"/>
            <w:gridSpan w:val="2"/>
            <w:tcBorders>
              <w:top w:val="nil"/>
              <w:left w:val="nil"/>
              <w:bottom w:val="nil"/>
              <w:right w:val="single" w:sz="8" w:space="0" w:color="auto"/>
            </w:tcBorders>
            <w:shd w:val="clear" w:color="auto" w:fill="auto"/>
            <w:vAlign w:val="center"/>
          </w:tcPr>
          <w:p w14:paraId="7C276AEF"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BFI.H079</w:t>
            </w:r>
          </w:p>
        </w:tc>
      </w:tr>
      <w:tr w:rsidR="0082721C" w:rsidRPr="003042F6" w14:paraId="7F7BA095" w14:textId="77777777" w:rsidTr="00E450A4">
        <w:trPr>
          <w:trHeight w:val="255"/>
        </w:trPr>
        <w:tc>
          <w:tcPr>
            <w:tcW w:w="4820" w:type="dxa"/>
            <w:gridSpan w:val="2"/>
            <w:tcBorders>
              <w:top w:val="nil"/>
              <w:left w:val="single" w:sz="8" w:space="0" w:color="auto"/>
              <w:bottom w:val="nil"/>
              <w:right w:val="single" w:sz="8" w:space="0" w:color="auto"/>
            </w:tcBorders>
            <w:shd w:val="clear" w:color="auto" w:fill="auto"/>
            <w:noWrap/>
            <w:vAlign w:val="center"/>
          </w:tcPr>
          <w:p w14:paraId="645D5854" w14:textId="4A63215F" w:rsidR="0082721C" w:rsidRPr="00446D2A" w:rsidRDefault="0082721C" w:rsidP="00E67116">
            <w:pPr>
              <w:spacing w:after="0" w:line="240" w:lineRule="auto"/>
              <w:ind w:left="355"/>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 xml:space="preserve">152 – Transferências do FUNDEB – Complementação da União – Remuneração Depósitos Bancários </w:t>
            </w:r>
            <w:r w:rsidR="00FF5EE2" w:rsidRPr="00202F2D">
              <w:rPr>
                <w:rFonts w:ascii="Arial Narrow" w:eastAsia="Times New Roman" w:hAnsi="Arial Narrow" w:cs="Arial"/>
                <w:color w:val="0070C0"/>
                <w:sz w:val="16"/>
                <w:szCs w:val="16"/>
                <w:lang w:eastAsia="pt-BR"/>
              </w:rPr>
              <w:t xml:space="preserve">(30% + 70%) </w:t>
            </w:r>
            <w:r w:rsidR="00FF5EE2" w:rsidRPr="00202F2D">
              <w:rPr>
                <w:rFonts w:ascii="Arial Narrow" w:eastAsia="Times New Roman" w:hAnsi="Arial Narrow" w:cs="Arial"/>
                <w:strike/>
                <w:color w:val="FF0000"/>
                <w:sz w:val="16"/>
                <w:szCs w:val="16"/>
                <w:lang w:eastAsia="pt-BR"/>
              </w:rPr>
              <w:t>(40% + 60%)</w:t>
            </w:r>
          </w:p>
        </w:tc>
        <w:tc>
          <w:tcPr>
            <w:tcW w:w="1134" w:type="dxa"/>
            <w:tcBorders>
              <w:top w:val="nil"/>
              <w:left w:val="nil"/>
              <w:bottom w:val="nil"/>
              <w:right w:val="single" w:sz="8" w:space="0" w:color="auto"/>
            </w:tcBorders>
            <w:shd w:val="clear" w:color="auto" w:fill="auto"/>
            <w:vAlign w:val="center"/>
          </w:tcPr>
          <w:p w14:paraId="6C1276AA" w14:textId="77777777" w:rsidR="0082721C" w:rsidRPr="00446D2A" w:rsidRDefault="0082721C" w:rsidP="00E67116">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BFI.C099</w:t>
            </w:r>
          </w:p>
        </w:tc>
        <w:tc>
          <w:tcPr>
            <w:tcW w:w="1276" w:type="dxa"/>
            <w:tcBorders>
              <w:top w:val="nil"/>
              <w:left w:val="nil"/>
              <w:bottom w:val="nil"/>
              <w:right w:val="single" w:sz="8" w:space="0" w:color="auto"/>
            </w:tcBorders>
            <w:shd w:val="clear" w:color="auto" w:fill="auto"/>
            <w:vAlign w:val="center"/>
          </w:tcPr>
          <w:p w14:paraId="1B5F4408" w14:textId="77777777" w:rsidR="0082721C" w:rsidRPr="00446D2A" w:rsidRDefault="0082721C" w:rsidP="00E67116">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BFI.D099</w:t>
            </w:r>
          </w:p>
        </w:tc>
        <w:tc>
          <w:tcPr>
            <w:tcW w:w="4243" w:type="dxa"/>
            <w:tcBorders>
              <w:top w:val="nil"/>
              <w:left w:val="nil"/>
              <w:bottom w:val="nil"/>
              <w:right w:val="single" w:sz="8" w:space="0" w:color="auto"/>
            </w:tcBorders>
            <w:shd w:val="clear" w:color="auto" w:fill="auto"/>
            <w:noWrap/>
            <w:vAlign w:val="center"/>
          </w:tcPr>
          <w:p w14:paraId="30C1AC84" w14:textId="2D0E7066" w:rsidR="0082721C" w:rsidRPr="00446D2A" w:rsidRDefault="0082721C" w:rsidP="00E67116">
            <w:pPr>
              <w:spacing w:after="0" w:line="240" w:lineRule="auto"/>
              <w:ind w:left="355"/>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 xml:space="preserve">152 – Transferências do FUNDEB – Complementação da União – Remuneração Depósitos Bancários </w:t>
            </w:r>
            <w:r w:rsidR="00FF5EE2" w:rsidRPr="00202F2D">
              <w:rPr>
                <w:rFonts w:ascii="Arial Narrow" w:eastAsia="Times New Roman" w:hAnsi="Arial Narrow" w:cs="Arial"/>
                <w:color w:val="0070C0"/>
                <w:sz w:val="16"/>
                <w:szCs w:val="16"/>
                <w:lang w:eastAsia="pt-BR"/>
              </w:rPr>
              <w:t xml:space="preserve">(30% + 70%) </w:t>
            </w:r>
            <w:r w:rsidR="00FF5EE2" w:rsidRPr="00202F2D">
              <w:rPr>
                <w:rFonts w:ascii="Arial Narrow" w:eastAsia="Times New Roman" w:hAnsi="Arial Narrow" w:cs="Arial"/>
                <w:strike/>
                <w:color w:val="FF0000"/>
                <w:sz w:val="16"/>
                <w:szCs w:val="16"/>
                <w:lang w:eastAsia="pt-BR"/>
              </w:rPr>
              <w:t>(40% + 60%)</w:t>
            </w:r>
          </w:p>
        </w:tc>
        <w:tc>
          <w:tcPr>
            <w:tcW w:w="1285" w:type="dxa"/>
            <w:gridSpan w:val="2"/>
            <w:tcBorders>
              <w:top w:val="nil"/>
              <w:left w:val="nil"/>
              <w:bottom w:val="nil"/>
              <w:right w:val="single" w:sz="8" w:space="0" w:color="auto"/>
            </w:tcBorders>
            <w:shd w:val="clear" w:color="auto" w:fill="auto"/>
            <w:vAlign w:val="center"/>
          </w:tcPr>
          <w:p w14:paraId="110413FB" w14:textId="77777777" w:rsidR="0082721C" w:rsidRPr="00446D2A" w:rsidRDefault="0082721C" w:rsidP="00E67116">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BFI.G099</w:t>
            </w:r>
          </w:p>
        </w:tc>
        <w:tc>
          <w:tcPr>
            <w:tcW w:w="1276" w:type="dxa"/>
            <w:gridSpan w:val="2"/>
            <w:tcBorders>
              <w:top w:val="nil"/>
              <w:left w:val="nil"/>
              <w:bottom w:val="nil"/>
              <w:right w:val="single" w:sz="8" w:space="0" w:color="auto"/>
            </w:tcBorders>
            <w:shd w:val="clear" w:color="auto" w:fill="auto"/>
            <w:vAlign w:val="center"/>
          </w:tcPr>
          <w:p w14:paraId="647F375C" w14:textId="77777777" w:rsidR="0082721C" w:rsidRPr="00446D2A" w:rsidRDefault="0082721C" w:rsidP="00E67116">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BFI.H099</w:t>
            </w:r>
          </w:p>
        </w:tc>
      </w:tr>
      <w:tr w:rsidR="00613D06" w:rsidRPr="00613D06" w14:paraId="4ABDDE26" w14:textId="77777777" w:rsidTr="00E450A4">
        <w:trPr>
          <w:trHeight w:val="255"/>
        </w:trPr>
        <w:tc>
          <w:tcPr>
            <w:tcW w:w="4820" w:type="dxa"/>
            <w:gridSpan w:val="2"/>
            <w:tcBorders>
              <w:top w:val="nil"/>
              <w:left w:val="single" w:sz="8" w:space="0" w:color="auto"/>
              <w:bottom w:val="nil"/>
              <w:right w:val="single" w:sz="8" w:space="0" w:color="auto"/>
            </w:tcBorders>
            <w:shd w:val="clear" w:color="auto" w:fill="auto"/>
            <w:noWrap/>
            <w:vAlign w:val="center"/>
          </w:tcPr>
          <w:p w14:paraId="2560CAE4" w14:textId="0AE11F2A" w:rsidR="00613D06" w:rsidRPr="00613D06" w:rsidRDefault="00613D06" w:rsidP="00E67116">
            <w:pPr>
              <w:spacing w:after="0" w:line="240" w:lineRule="auto"/>
              <w:ind w:left="355"/>
              <w:rPr>
                <w:rFonts w:ascii="Arial Narrow" w:eastAsia="Times New Roman" w:hAnsi="Arial Narrow" w:cs="Arial"/>
                <w:color w:val="0070C0"/>
                <w:sz w:val="16"/>
                <w:szCs w:val="16"/>
                <w:lang w:eastAsia="pt-BR"/>
              </w:rPr>
            </w:pPr>
            <w:r w:rsidRPr="00613D06">
              <w:rPr>
                <w:rFonts w:ascii="Arial Narrow" w:eastAsia="Times New Roman" w:hAnsi="Arial Narrow" w:cs="Arial"/>
                <w:color w:val="0070C0"/>
                <w:sz w:val="16"/>
                <w:szCs w:val="16"/>
                <w:lang w:eastAsia="pt-BR"/>
              </w:rPr>
              <w:t xml:space="preserve">118 </w:t>
            </w:r>
            <w:r>
              <w:rPr>
                <w:rFonts w:ascii="Arial Narrow" w:eastAsia="Times New Roman" w:hAnsi="Arial Narrow" w:cs="Arial"/>
                <w:color w:val="0070C0"/>
                <w:sz w:val="16"/>
                <w:szCs w:val="16"/>
                <w:lang w:eastAsia="pt-BR"/>
              </w:rPr>
              <w:t>– Trasnferência do FUNDEB 70% - Complementação da União – VAAT – (Valor Aluno/Ano Total</w:t>
            </w:r>
          </w:p>
        </w:tc>
        <w:tc>
          <w:tcPr>
            <w:tcW w:w="1134" w:type="dxa"/>
            <w:tcBorders>
              <w:top w:val="nil"/>
              <w:left w:val="nil"/>
              <w:bottom w:val="nil"/>
              <w:right w:val="single" w:sz="8" w:space="0" w:color="auto"/>
            </w:tcBorders>
            <w:shd w:val="clear" w:color="auto" w:fill="auto"/>
            <w:vAlign w:val="center"/>
          </w:tcPr>
          <w:p w14:paraId="0D546399" w14:textId="098641B1" w:rsidR="00613D06" w:rsidRPr="00613D06" w:rsidRDefault="00613D06" w:rsidP="00E67116">
            <w:pPr>
              <w:overflowPunct w:val="0"/>
              <w:autoSpaceDE w:val="0"/>
              <w:autoSpaceDN w:val="0"/>
              <w:adjustRightInd w:val="0"/>
              <w:spacing w:after="0" w:line="240" w:lineRule="auto"/>
              <w:jc w:val="center"/>
              <w:textAlignment w:val="baseline"/>
              <w:rPr>
                <w:rFonts w:ascii="Arial Narrow" w:eastAsia="Times New Roman" w:hAnsi="Arial Narrow" w:cs="Arial"/>
                <w:color w:val="0070C0"/>
                <w:sz w:val="16"/>
                <w:szCs w:val="16"/>
                <w:lang w:eastAsia="pt-BR"/>
              </w:rPr>
            </w:pPr>
            <w:r>
              <w:rPr>
                <w:rFonts w:ascii="Arial Narrow" w:eastAsia="Times New Roman" w:hAnsi="Arial Narrow" w:cs="Arial"/>
                <w:color w:val="0070C0"/>
                <w:sz w:val="16"/>
                <w:szCs w:val="16"/>
                <w:lang w:eastAsia="pt-BR"/>
              </w:rPr>
              <w:t>BFI.C116</w:t>
            </w:r>
          </w:p>
        </w:tc>
        <w:tc>
          <w:tcPr>
            <w:tcW w:w="1276" w:type="dxa"/>
            <w:tcBorders>
              <w:top w:val="nil"/>
              <w:left w:val="nil"/>
              <w:bottom w:val="nil"/>
              <w:right w:val="single" w:sz="8" w:space="0" w:color="auto"/>
            </w:tcBorders>
            <w:shd w:val="clear" w:color="auto" w:fill="auto"/>
            <w:vAlign w:val="center"/>
          </w:tcPr>
          <w:p w14:paraId="797DA518" w14:textId="53113F90" w:rsidR="00613D06" w:rsidRPr="00613D06" w:rsidRDefault="00613D06" w:rsidP="00E67116">
            <w:pPr>
              <w:overflowPunct w:val="0"/>
              <w:autoSpaceDE w:val="0"/>
              <w:autoSpaceDN w:val="0"/>
              <w:adjustRightInd w:val="0"/>
              <w:spacing w:after="0" w:line="240" w:lineRule="auto"/>
              <w:jc w:val="center"/>
              <w:textAlignment w:val="baseline"/>
              <w:rPr>
                <w:rFonts w:ascii="Arial Narrow" w:eastAsia="Times New Roman" w:hAnsi="Arial Narrow" w:cs="Arial"/>
                <w:color w:val="0070C0"/>
                <w:sz w:val="16"/>
                <w:szCs w:val="16"/>
                <w:lang w:eastAsia="pt-BR"/>
              </w:rPr>
            </w:pPr>
            <w:r>
              <w:rPr>
                <w:rFonts w:ascii="Arial Narrow" w:eastAsia="Times New Roman" w:hAnsi="Arial Narrow" w:cs="Arial"/>
                <w:color w:val="0070C0"/>
                <w:sz w:val="16"/>
                <w:szCs w:val="16"/>
                <w:lang w:eastAsia="pt-BR"/>
              </w:rPr>
              <w:t>BFI.D116</w:t>
            </w:r>
          </w:p>
        </w:tc>
        <w:tc>
          <w:tcPr>
            <w:tcW w:w="4243" w:type="dxa"/>
            <w:tcBorders>
              <w:top w:val="nil"/>
              <w:left w:val="nil"/>
              <w:bottom w:val="nil"/>
              <w:right w:val="single" w:sz="8" w:space="0" w:color="auto"/>
            </w:tcBorders>
            <w:shd w:val="clear" w:color="auto" w:fill="auto"/>
            <w:noWrap/>
            <w:vAlign w:val="center"/>
          </w:tcPr>
          <w:p w14:paraId="6433729E" w14:textId="36926414" w:rsidR="00613D06" w:rsidRPr="00613D06" w:rsidRDefault="00613D06" w:rsidP="00E67116">
            <w:pPr>
              <w:spacing w:after="0" w:line="240" w:lineRule="auto"/>
              <w:ind w:left="355"/>
              <w:rPr>
                <w:rFonts w:ascii="Arial Narrow" w:eastAsia="Times New Roman" w:hAnsi="Arial Narrow" w:cs="Arial"/>
                <w:color w:val="0070C0"/>
                <w:sz w:val="16"/>
                <w:szCs w:val="16"/>
                <w:lang w:eastAsia="pt-BR"/>
              </w:rPr>
            </w:pPr>
            <w:r w:rsidRPr="00613D06">
              <w:rPr>
                <w:rFonts w:ascii="Arial Narrow" w:eastAsia="Times New Roman" w:hAnsi="Arial Narrow" w:cs="Arial"/>
                <w:color w:val="0070C0"/>
                <w:sz w:val="16"/>
                <w:szCs w:val="16"/>
                <w:lang w:eastAsia="pt-BR"/>
              </w:rPr>
              <w:t xml:space="preserve">118 </w:t>
            </w:r>
            <w:r>
              <w:rPr>
                <w:rFonts w:ascii="Arial Narrow" w:eastAsia="Times New Roman" w:hAnsi="Arial Narrow" w:cs="Arial"/>
                <w:color w:val="0070C0"/>
                <w:sz w:val="16"/>
                <w:szCs w:val="16"/>
                <w:lang w:eastAsia="pt-BR"/>
              </w:rPr>
              <w:t>– Trasnferência do FUNDEB 70% - Complementação da União – VAAT – (Valor Aluno/Ano Total</w:t>
            </w:r>
          </w:p>
        </w:tc>
        <w:tc>
          <w:tcPr>
            <w:tcW w:w="1285" w:type="dxa"/>
            <w:gridSpan w:val="2"/>
            <w:tcBorders>
              <w:top w:val="nil"/>
              <w:left w:val="nil"/>
              <w:bottom w:val="nil"/>
              <w:right w:val="single" w:sz="8" w:space="0" w:color="auto"/>
            </w:tcBorders>
            <w:shd w:val="clear" w:color="auto" w:fill="auto"/>
            <w:vAlign w:val="center"/>
          </w:tcPr>
          <w:p w14:paraId="24C0FCA1" w14:textId="4568782B" w:rsidR="00613D06" w:rsidRPr="00613D06" w:rsidRDefault="00613D06" w:rsidP="00E67116">
            <w:pPr>
              <w:overflowPunct w:val="0"/>
              <w:autoSpaceDE w:val="0"/>
              <w:autoSpaceDN w:val="0"/>
              <w:adjustRightInd w:val="0"/>
              <w:spacing w:after="0" w:line="240" w:lineRule="auto"/>
              <w:jc w:val="center"/>
              <w:textAlignment w:val="baseline"/>
              <w:rPr>
                <w:rFonts w:ascii="Arial Narrow" w:eastAsia="Times New Roman" w:hAnsi="Arial Narrow" w:cs="Arial"/>
                <w:color w:val="0070C0"/>
                <w:sz w:val="16"/>
                <w:szCs w:val="16"/>
                <w:lang w:eastAsia="pt-BR"/>
              </w:rPr>
            </w:pPr>
            <w:r>
              <w:rPr>
                <w:rFonts w:ascii="Arial Narrow" w:eastAsia="Times New Roman" w:hAnsi="Arial Narrow" w:cs="Arial"/>
                <w:color w:val="0070C0"/>
                <w:sz w:val="16"/>
                <w:szCs w:val="16"/>
                <w:lang w:eastAsia="pt-BR"/>
              </w:rPr>
              <w:t>BFI.G116</w:t>
            </w:r>
          </w:p>
        </w:tc>
        <w:tc>
          <w:tcPr>
            <w:tcW w:w="1276" w:type="dxa"/>
            <w:gridSpan w:val="2"/>
            <w:tcBorders>
              <w:top w:val="nil"/>
              <w:left w:val="nil"/>
              <w:bottom w:val="nil"/>
              <w:right w:val="single" w:sz="8" w:space="0" w:color="auto"/>
            </w:tcBorders>
            <w:shd w:val="clear" w:color="auto" w:fill="auto"/>
            <w:vAlign w:val="center"/>
          </w:tcPr>
          <w:p w14:paraId="1AA86F2D" w14:textId="1C2F2B27" w:rsidR="00613D06" w:rsidRPr="00613D06" w:rsidRDefault="00613D06" w:rsidP="00E67116">
            <w:pPr>
              <w:overflowPunct w:val="0"/>
              <w:autoSpaceDE w:val="0"/>
              <w:autoSpaceDN w:val="0"/>
              <w:adjustRightInd w:val="0"/>
              <w:spacing w:after="0" w:line="240" w:lineRule="auto"/>
              <w:jc w:val="center"/>
              <w:textAlignment w:val="baseline"/>
              <w:rPr>
                <w:rFonts w:ascii="Arial Narrow" w:eastAsia="Times New Roman" w:hAnsi="Arial Narrow" w:cs="Arial"/>
                <w:color w:val="0070C0"/>
                <w:sz w:val="16"/>
                <w:szCs w:val="16"/>
                <w:lang w:eastAsia="pt-BR"/>
              </w:rPr>
            </w:pPr>
            <w:r>
              <w:rPr>
                <w:rFonts w:ascii="Arial Narrow" w:eastAsia="Times New Roman" w:hAnsi="Arial Narrow" w:cs="Arial"/>
                <w:color w:val="0070C0"/>
                <w:sz w:val="16"/>
                <w:szCs w:val="16"/>
                <w:lang w:eastAsia="pt-BR"/>
              </w:rPr>
              <w:t>BFI.H116</w:t>
            </w:r>
          </w:p>
        </w:tc>
      </w:tr>
      <w:tr w:rsidR="00E676B0" w:rsidRPr="00613D06" w14:paraId="6EF8851B" w14:textId="77777777" w:rsidTr="00E450A4">
        <w:trPr>
          <w:trHeight w:val="255"/>
        </w:trPr>
        <w:tc>
          <w:tcPr>
            <w:tcW w:w="4820" w:type="dxa"/>
            <w:gridSpan w:val="2"/>
            <w:tcBorders>
              <w:top w:val="nil"/>
              <w:left w:val="single" w:sz="8" w:space="0" w:color="auto"/>
              <w:bottom w:val="nil"/>
              <w:right w:val="single" w:sz="8" w:space="0" w:color="auto"/>
            </w:tcBorders>
            <w:shd w:val="clear" w:color="auto" w:fill="auto"/>
            <w:noWrap/>
            <w:vAlign w:val="center"/>
          </w:tcPr>
          <w:p w14:paraId="439AFA52" w14:textId="44B28884" w:rsidR="00E676B0" w:rsidRPr="00613D06" w:rsidRDefault="00E676B0" w:rsidP="00E676B0">
            <w:pPr>
              <w:spacing w:after="0" w:line="240" w:lineRule="auto"/>
              <w:ind w:left="355"/>
              <w:rPr>
                <w:rFonts w:ascii="Arial Narrow" w:eastAsia="Times New Roman" w:hAnsi="Arial Narrow" w:cs="Arial"/>
                <w:color w:val="0070C0"/>
                <w:sz w:val="16"/>
                <w:szCs w:val="16"/>
                <w:lang w:eastAsia="pt-BR"/>
              </w:rPr>
            </w:pPr>
            <w:r w:rsidRPr="00613D06">
              <w:rPr>
                <w:rFonts w:ascii="Arial Narrow" w:eastAsia="Times New Roman" w:hAnsi="Arial Narrow" w:cs="Arial"/>
                <w:color w:val="0070C0"/>
                <w:sz w:val="16"/>
                <w:szCs w:val="16"/>
                <w:lang w:eastAsia="pt-BR"/>
              </w:rPr>
              <w:t>11</w:t>
            </w:r>
            <w:r>
              <w:rPr>
                <w:rFonts w:ascii="Arial Narrow" w:eastAsia="Times New Roman" w:hAnsi="Arial Narrow" w:cs="Arial"/>
                <w:color w:val="0070C0"/>
                <w:sz w:val="16"/>
                <w:szCs w:val="16"/>
                <w:lang w:eastAsia="pt-BR"/>
              </w:rPr>
              <w:t>9</w:t>
            </w:r>
            <w:r w:rsidRPr="00613D06">
              <w:rPr>
                <w:rFonts w:ascii="Arial Narrow" w:eastAsia="Times New Roman" w:hAnsi="Arial Narrow" w:cs="Arial"/>
                <w:color w:val="0070C0"/>
                <w:sz w:val="16"/>
                <w:szCs w:val="16"/>
                <w:lang w:eastAsia="pt-BR"/>
              </w:rPr>
              <w:t xml:space="preserve"> </w:t>
            </w:r>
            <w:r>
              <w:rPr>
                <w:rFonts w:ascii="Arial Narrow" w:eastAsia="Times New Roman" w:hAnsi="Arial Narrow" w:cs="Arial"/>
                <w:color w:val="0070C0"/>
                <w:sz w:val="16"/>
                <w:szCs w:val="16"/>
                <w:lang w:eastAsia="pt-BR"/>
              </w:rPr>
              <w:t>– Trasnferência do FUNDEB 30% - Complementação da União – VAAT – (Valor Aluno/Ano Total</w:t>
            </w:r>
          </w:p>
        </w:tc>
        <w:tc>
          <w:tcPr>
            <w:tcW w:w="1134" w:type="dxa"/>
            <w:tcBorders>
              <w:top w:val="nil"/>
              <w:left w:val="nil"/>
              <w:bottom w:val="nil"/>
              <w:right w:val="single" w:sz="8" w:space="0" w:color="auto"/>
            </w:tcBorders>
            <w:shd w:val="clear" w:color="auto" w:fill="auto"/>
            <w:vAlign w:val="center"/>
          </w:tcPr>
          <w:p w14:paraId="2B8205AA" w14:textId="240C3731" w:rsidR="00E676B0" w:rsidRDefault="00E676B0" w:rsidP="00E676B0">
            <w:pPr>
              <w:overflowPunct w:val="0"/>
              <w:autoSpaceDE w:val="0"/>
              <w:autoSpaceDN w:val="0"/>
              <w:adjustRightInd w:val="0"/>
              <w:spacing w:after="0" w:line="240" w:lineRule="auto"/>
              <w:jc w:val="center"/>
              <w:textAlignment w:val="baseline"/>
              <w:rPr>
                <w:rFonts w:ascii="Arial Narrow" w:eastAsia="Times New Roman" w:hAnsi="Arial Narrow" w:cs="Arial"/>
                <w:color w:val="0070C0"/>
                <w:sz w:val="16"/>
                <w:szCs w:val="16"/>
                <w:lang w:eastAsia="pt-BR"/>
              </w:rPr>
            </w:pPr>
            <w:r>
              <w:rPr>
                <w:rFonts w:ascii="Arial Narrow" w:eastAsia="Times New Roman" w:hAnsi="Arial Narrow" w:cs="Arial"/>
                <w:color w:val="0070C0"/>
                <w:sz w:val="16"/>
                <w:szCs w:val="16"/>
                <w:lang w:eastAsia="pt-BR"/>
              </w:rPr>
              <w:t>BFI.C117</w:t>
            </w:r>
          </w:p>
        </w:tc>
        <w:tc>
          <w:tcPr>
            <w:tcW w:w="1276" w:type="dxa"/>
            <w:tcBorders>
              <w:top w:val="nil"/>
              <w:left w:val="nil"/>
              <w:bottom w:val="nil"/>
              <w:right w:val="single" w:sz="8" w:space="0" w:color="auto"/>
            </w:tcBorders>
            <w:shd w:val="clear" w:color="auto" w:fill="auto"/>
            <w:vAlign w:val="center"/>
          </w:tcPr>
          <w:p w14:paraId="3620177C" w14:textId="492A8153" w:rsidR="00E676B0" w:rsidRDefault="00E676B0" w:rsidP="00E676B0">
            <w:pPr>
              <w:overflowPunct w:val="0"/>
              <w:autoSpaceDE w:val="0"/>
              <w:autoSpaceDN w:val="0"/>
              <w:adjustRightInd w:val="0"/>
              <w:spacing w:after="0" w:line="240" w:lineRule="auto"/>
              <w:jc w:val="center"/>
              <w:textAlignment w:val="baseline"/>
              <w:rPr>
                <w:rFonts w:ascii="Arial Narrow" w:eastAsia="Times New Roman" w:hAnsi="Arial Narrow" w:cs="Arial"/>
                <w:color w:val="0070C0"/>
                <w:sz w:val="16"/>
                <w:szCs w:val="16"/>
                <w:lang w:eastAsia="pt-BR"/>
              </w:rPr>
            </w:pPr>
            <w:r>
              <w:rPr>
                <w:rFonts w:ascii="Arial Narrow" w:eastAsia="Times New Roman" w:hAnsi="Arial Narrow" w:cs="Arial"/>
                <w:color w:val="0070C0"/>
                <w:sz w:val="16"/>
                <w:szCs w:val="16"/>
                <w:lang w:eastAsia="pt-BR"/>
              </w:rPr>
              <w:t>BFI.D117</w:t>
            </w:r>
          </w:p>
        </w:tc>
        <w:tc>
          <w:tcPr>
            <w:tcW w:w="4243" w:type="dxa"/>
            <w:tcBorders>
              <w:top w:val="nil"/>
              <w:left w:val="nil"/>
              <w:bottom w:val="nil"/>
              <w:right w:val="single" w:sz="8" w:space="0" w:color="auto"/>
            </w:tcBorders>
            <w:shd w:val="clear" w:color="auto" w:fill="auto"/>
            <w:noWrap/>
            <w:vAlign w:val="center"/>
          </w:tcPr>
          <w:p w14:paraId="0831C9E4" w14:textId="45D0EDEE" w:rsidR="00E676B0" w:rsidRPr="00613D06" w:rsidRDefault="00E676B0" w:rsidP="00E676B0">
            <w:pPr>
              <w:spacing w:after="0" w:line="240" w:lineRule="auto"/>
              <w:ind w:left="355"/>
              <w:rPr>
                <w:rFonts w:ascii="Arial Narrow" w:eastAsia="Times New Roman" w:hAnsi="Arial Narrow" w:cs="Arial"/>
                <w:color w:val="0070C0"/>
                <w:sz w:val="16"/>
                <w:szCs w:val="16"/>
                <w:lang w:eastAsia="pt-BR"/>
              </w:rPr>
            </w:pPr>
            <w:r w:rsidRPr="00613D06">
              <w:rPr>
                <w:rFonts w:ascii="Arial Narrow" w:eastAsia="Times New Roman" w:hAnsi="Arial Narrow" w:cs="Arial"/>
                <w:color w:val="0070C0"/>
                <w:sz w:val="16"/>
                <w:szCs w:val="16"/>
                <w:lang w:eastAsia="pt-BR"/>
              </w:rPr>
              <w:t>11</w:t>
            </w:r>
            <w:r>
              <w:rPr>
                <w:rFonts w:ascii="Arial Narrow" w:eastAsia="Times New Roman" w:hAnsi="Arial Narrow" w:cs="Arial"/>
                <w:color w:val="0070C0"/>
                <w:sz w:val="16"/>
                <w:szCs w:val="16"/>
                <w:lang w:eastAsia="pt-BR"/>
              </w:rPr>
              <w:t>9</w:t>
            </w:r>
            <w:r w:rsidRPr="00613D06">
              <w:rPr>
                <w:rFonts w:ascii="Arial Narrow" w:eastAsia="Times New Roman" w:hAnsi="Arial Narrow" w:cs="Arial"/>
                <w:color w:val="0070C0"/>
                <w:sz w:val="16"/>
                <w:szCs w:val="16"/>
                <w:lang w:eastAsia="pt-BR"/>
              </w:rPr>
              <w:t xml:space="preserve"> </w:t>
            </w:r>
            <w:r>
              <w:rPr>
                <w:rFonts w:ascii="Arial Narrow" w:eastAsia="Times New Roman" w:hAnsi="Arial Narrow" w:cs="Arial"/>
                <w:color w:val="0070C0"/>
                <w:sz w:val="16"/>
                <w:szCs w:val="16"/>
                <w:lang w:eastAsia="pt-BR"/>
              </w:rPr>
              <w:t>– Trasnferência do FUNDEB 30% - Complementação da União – VAAT – (Valor Aluno/Ano Total</w:t>
            </w:r>
          </w:p>
        </w:tc>
        <w:tc>
          <w:tcPr>
            <w:tcW w:w="1285" w:type="dxa"/>
            <w:gridSpan w:val="2"/>
            <w:tcBorders>
              <w:top w:val="nil"/>
              <w:left w:val="nil"/>
              <w:bottom w:val="nil"/>
              <w:right w:val="single" w:sz="8" w:space="0" w:color="auto"/>
            </w:tcBorders>
            <w:shd w:val="clear" w:color="auto" w:fill="auto"/>
            <w:vAlign w:val="center"/>
          </w:tcPr>
          <w:p w14:paraId="791ADB22" w14:textId="11C96ADB" w:rsidR="00E676B0" w:rsidRDefault="00E676B0" w:rsidP="00E676B0">
            <w:pPr>
              <w:overflowPunct w:val="0"/>
              <w:autoSpaceDE w:val="0"/>
              <w:autoSpaceDN w:val="0"/>
              <w:adjustRightInd w:val="0"/>
              <w:spacing w:after="0" w:line="240" w:lineRule="auto"/>
              <w:jc w:val="center"/>
              <w:textAlignment w:val="baseline"/>
              <w:rPr>
                <w:rFonts w:ascii="Arial Narrow" w:eastAsia="Times New Roman" w:hAnsi="Arial Narrow" w:cs="Arial"/>
                <w:color w:val="0070C0"/>
                <w:sz w:val="16"/>
                <w:szCs w:val="16"/>
                <w:lang w:eastAsia="pt-BR"/>
              </w:rPr>
            </w:pPr>
            <w:r>
              <w:rPr>
                <w:rFonts w:ascii="Arial Narrow" w:eastAsia="Times New Roman" w:hAnsi="Arial Narrow" w:cs="Arial"/>
                <w:color w:val="0070C0"/>
                <w:sz w:val="16"/>
                <w:szCs w:val="16"/>
                <w:lang w:eastAsia="pt-BR"/>
              </w:rPr>
              <w:t>BFI.G117</w:t>
            </w:r>
          </w:p>
        </w:tc>
        <w:tc>
          <w:tcPr>
            <w:tcW w:w="1276" w:type="dxa"/>
            <w:gridSpan w:val="2"/>
            <w:tcBorders>
              <w:top w:val="nil"/>
              <w:left w:val="nil"/>
              <w:bottom w:val="nil"/>
              <w:right w:val="single" w:sz="8" w:space="0" w:color="auto"/>
            </w:tcBorders>
            <w:shd w:val="clear" w:color="auto" w:fill="auto"/>
            <w:vAlign w:val="center"/>
          </w:tcPr>
          <w:p w14:paraId="1655A71B" w14:textId="7D962C1C" w:rsidR="00E676B0" w:rsidRDefault="00E676B0" w:rsidP="00E676B0">
            <w:pPr>
              <w:overflowPunct w:val="0"/>
              <w:autoSpaceDE w:val="0"/>
              <w:autoSpaceDN w:val="0"/>
              <w:adjustRightInd w:val="0"/>
              <w:spacing w:after="0" w:line="240" w:lineRule="auto"/>
              <w:jc w:val="center"/>
              <w:textAlignment w:val="baseline"/>
              <w:rPr>
                <w:rFonts w:ascii="Arial Narrow" w:eastAsia="Times New Roman" w:hAnsi="Arial Narrow" w:cs="Arial"/>
                <w:color w:val="0070C0"/>
                <w:sz w:val="16"/>
                <w:szCs w:val="16"/>
                <w:lang w:eastAsia="pt-BR"/>
              </w:rPr>
            </w:pPr>
            <w:r>
              <w:rPr>
                <w:rFonts w:ascii="Arial Narrow" w:eastAsia="Times New Roman" w:hAnsi="Arial Narrow" w:cs="Arial"/>
                <w:color w:val="0070C0"/>
                <w:sz w:val="16"/>
                <w:szCs w:val="16"/>
                <w:lang w:eastAsia="pt-BR"/>
              </w:rPr>
              <w:t>BFI.H117</w:t>
            </w:r>
          </w:p>
        </w:tc>
      </w:tr>
      <w:tr w:rsidR="0082721C" w:rsidRPr="003042F6" w14:paraId="30B7096D" w14:textId="77777777" w:rsidTr="00E450A4">
        <w:trPr>
          <w:trHeight w:val="255"/>
        </w:trPr>
        <w:tc>
          <w:tcPr>
            <w:tcW w:w="4820" w:type="dxa"/>
            <w:gridSpan w:val="2"/>
            <w:tcBorders>
              <w:top w:val="nil"/>
              <w:left w:val="single" w:sz="8" w:space="0" w:color="auto"/>
              <w:bottom w:val="nil"/>
              <w:right w:val="single" w:sz="8" w:space="0" w:color="auto"/>
            </w:tcBorders>
            <w:shd w:val="clear" w:color="auto" w:fill="auto"/>
            <w:noWrap/>
            <w:vAlign w:val="center"/>
          </w:tcPr>
          <w:p w14:paraId="44CC5E01" w14:textId="77777777" w:rsidR="0082721C" w:rsidRPr="00446D2A" w:rsidRDefault="0082721C" w:rsidP="00E67116">
            <w:pPr>
              <w:spacing w:after="0" w:line="240" w:lineRule="auto"/>
              <w:ind w:firstLineChars="221" w:firstLine="354"/>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lastRenderedPageBreak/>
              <w:t>120 – Transferência do Salário Educação</w:t>
            </w:r>
          </w:p>
        </w:tc>
        <w:tc>
          <w:tcPr>
            <w:tcW w:w="1134" w:type="dxa"/>
            <w:tcBorders>
              <w:top w:val="nil"/>
              <w:left w:val="nil"/>
              <w:bottom w:val="nil"/>
              <w:right w:val="single" w:sz="8" w:space="0" w:color="auto"/>
            </w:tcBorders>
            <w:shd w:val="clear" w:color="auto" w:fill="auto"/>
            <w:vAlign w:val="center"/>
          </w:tcPr>
          <w:p w14:paraId="6F3F192A"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BFI.C085</w:t>
            </w:r>
          </w:p>
        </w:tc>
        <w:tc>
          <w:tcPr>
            <w:tcW w:w="1276" w:type="dxa"/>
            <w:tcBorders>
              <w:top w:val="nil"/>
              <w:left w:val="nil"/>
              <w:bottom w:val="nil"/>
              <w:right w:val="single" w:sz="8" w:space="0" w:color="auto"/>
            </w:tcBorders>
            <w:shd w:val="clear" w:color="auto" w:fill="auto"/>
            <w:vAlign w:val="center"/>
          </w:tcPr>
          <w:p w14:paraId="62B54110"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BFI.D085</w:t>
            </w:r>
          </w:p>
        </w:tc>
        <w:tc>
          <w:tcPr>
            <w:tcW w:w="4243" w:type="dxa"/>
            <w:tcBorders>
              <w:top w:val="nil"/>
              <w:left w:val="nil"/>
              <w:bottom w:val="nil"/>
              <w:right w:val="single" w:sz="8" w:space="0" w:color="auto"/>
            </w:tcBorders>
            <w:shd w:val="clear" w:color="auto" w:fill="auto"/>
            <w:noWrap/>
            <w:vAlign w:val="center"/>
          </w:tcPr>
          <w:p w14:paraId="5E8DF6BA" w14:textId="77777777" w:rsidR="0082721C" w:rsidRPr="00446D2A" w:rsidRDefault="0082721C" w:rsidP="00E67116">
            <w:pPr>
              <w:spacing w:after="0" w:line="240" w:lineRule="auto"/>
              <w:ind w:firstLineChars="221" w:firstLine="354"/>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120 – Transferência do Salário Educação</w:t>
            </w:r>
          </w:p>
        </w:tc>
        <w:tc>
          <w:tcPr>
            <w:tcW w:w="1285" w:type="dxa"/>
            <w:gridSpan w:val="2"/>
            <w:tcBorders>
              <w:top w:val="nil"/>
              <w:left w:val="nil"/>
              <w:bottom w:val="nil"/>
              <w:right w:val="single" w:sz="8" w:space="0" w:color="auto"/>
            </w:tcBorders>
            <w:shd w:val="clear" w:color="auto" w:fill="auto"/>
            <w:vAlign w:val="center"/>
          </w:tcPr>
          <w:p w14:paraId="073F1757"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BFI.G085</w:t>
            </w:r>
          </w:p>
        </w:tc>
        <w:tc>
          <w:tcPr>
            <w:tcW w:w="1276" w:type="dxa"/>
            <w:gridSpan w:val="2"/>
            <w:tcBorders>
              <w:top w:val="nil"/>
              <w:left w:val="nil"/>
              <w:bottom w:val="nil"/>
              <w:right w:val="single" w:sz="8" w:space="0" w:color="auto"/>
            </w:tcBorders>
            <w:shd w:val="clear" w:color="auto" w:fill="auto"/>
            <w:vAlign w:val="center"/>
          </w:tcPr>
          <w:p w14:paraId="1A6F08F3"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BFI.H085</w:t>
            </w:r>
          </w:p>
        </w:tc>
      </w:tr>
      <w:tr w:rsidR="0082721C" w:rsidRPr="003042F6" w14:paraId="087EDD15" w14:textId="77777777" w:rsidTr="00E450A4">
        <w:trPr>
          <w:trHeight w:val="255"/>
        </w:trPr>
        <w:tc>
          <w:tcPr>
            <w:tcW w:w="4820" w:type="dxa"/>
            <w:gridSpan w:val="2"/>
            <w:tcBorders>
              <w:top w:val="nil"/>
              <w:left w:val="single" w:sz="8" w:space="0" w:color="auto"/>
              <w:bottom w:val="nil"/>
              <w:right w:val="single" w:sz="8" w:space="0" w:color="auto"/>
            </w:tcBorders>
            <w:shd w:val="clear" w:color="auto" w:fill="auto"/>
            <w:noWrap/>
            <w:vAlign w:val="center"/>
          </w:tcPr>
          <w:p w14:paraId="78F16872" w14:textId="77777777" w:rsidR="0082721C" w:rsidRPr="00446D2A" w:rsidRDefault="0082721C" w:rsidP="00E67116">
            <w:pPr>
              <w:spacing w:after="0" w:line="240" w:lineRule="auto"/>
              <w:ind w:left="355"/>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121 - Transferências de Recursos do FNDE ref. ao Programa Dinheiro Direto na Escola (PDDE)</w:t>
            </w:r>
          </w:p>
        </w:tc>
        <w:tc>
          <w:tcPr>
            <w:tcW w:w="1134" w:type="dxa"/>
            <w:tcBorders>
              <w:top w:val="nil"/>
              <w:left w:val="nil"/>
              <w:bottom w:val="nil"/>
              <w:right w:val="single" w:sz="8" w:space="0" w:color="auto"/>
            </w:tcBorders>
            <w:shd w:val="clear" w:color="auto" w:fill="auto"/>
            <w:vAlign w:val="center"/>
          </w:tcPr>
          <w:p w14:paraId="6040D30D" w14:textId="77777777" w:rsidR="0082721C" w:rsidRPr="00446D2A" w:rsidRDefault="0082721C" w:rsidP="00E67116">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BFI.C100</w:t>
            </w:r>
          </w:p>
        </w:tc>
        <w:tc>
          <w:tcPr>
            <w:tcW w:w="1276" w:type="dxa"/>
            <w:tcBorders>
              <w:top w:val="nil"/>
              <w:left w:val="nil"/>
              <w:bottom w:val="nil"/>
              <w:right w:val="single" w:sz="8" w:space="0" w:color="auto"/>
            </w:tcBorders>
            <w:shd w:val="clear" w:color="auto" w:fill="auto"/>
            <w:vAlign w:val="center"/>
          </w:tcPr>
          <w:p w14:paraId="31ED7A75" w14:textId="77777777" w:rsidR="0082721C" w:rsidRPr="00446D2A" w:rsidRDefault="0082721C" w:rsidP="00E67116">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BFI.D100</w:t>
            </w:r>
          </w:p>
        </w:tc>
        <w:tc>
          <w:tcPr>
            <w:tcW w:w="4243" w:type="dxa"/>
            <w:tcBorders>
              <w:top w:val="nil"/>
              <w:left w:val="nil"/>
              <w:bottom w:val="nil"/>
              <w:right w:val="single" w:sz="8" w:space="0" w:color="auto"/>
            </w:tcBorders>
            <w:shd w:val="clear" w:color="auto" w:fill="auto"/>
            <w:noWrap/>
            <w:vAlign w:val="center"/>
          </w:tcPr>
          <w:p w14:paraId="7E7FA115" w14:textId="77777777" w:rsidR="0082721C" w:rsidRPr="00446D2A" w:rsidRDefault="0082721C" w:rsidP="00E67116">
            <w:pPr>
              <w:spacing w:after="0" w:line="240" w:lineRule="auto"/>
              <w:ind w:left="355"/>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121 - Transferências de Recursos do FNDE ref. ao Programa Dinheiro Direto na Escola (PDDE)</w:t>
            </w:r>
          </w:p>
        </w:tc>
        <w:tc>
          <w:tcPr>
            <w:tcW w:w="1285" w:type="dxa"/>
            <w:gridSpan w:val="2"/>
            <w:tcBorders>
              <w:top w:val="nil"/>
              <w:left w:val="nil"/>
              <w:bottom w:val="nil"/>
              <w:right w:val="single" w:sz="8" w:space="0" w:color="auto"/>
            </w:tcBorders>
            <w:shd w:val="clear" w:color="auto" w:fill="auto"/>
            <w:vAlign w:val="center"/>
          </w:tcPr>
          <w:p w14:paraId="0153A6E2" w14:textId="77777777" w:rsidR="0082721C" w:rsidRPr="00446D2A" w:rsidRDefault="0082721C" w:rsidP="00E67116">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BFI.G100</w:t>
            </w:r>
          </w:p>
        </w:tc>
        <w:tc>
          <w:tcPr>
            <w:tcW w:w="1276" w:type="dxa"/>
            <w:gridSpan w:val="2"/>
            <w:tcBorders>
              <w:top w:val="nil"/>
              <w:left w:val="nil"/>
              <w:bottom w:val="nil"/>
              <w:right w:val="single" w:sz="8" w:space="0" w:color="auto"/>
            </w:tcBorders>
            <w:shd w:val="clear" w:color="auto" w:fill="auto"/>
            <w:vAlign w:val="center"/>
          </w:tcPr>
          <w:p w14:paraId="0135D025" w14:textId="77777777" w:rsidR="0082721C" w:rsidRPr="00446D2A" w:rsidRDefault="0082721C" w:rsidP="00E67116">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BFI.H100</w:t>
            </w:r>
          </w:p>
        </w:tc>
      </w:tr>
      <w:tr w:rsidR="0082721C" w:rsidRPr="003042F6" w14:paraId="46D74CC9" w14:textId="77777777" w:rsidTr="00E450A4">
        <w:trPr>
          <w:trHeight w:val="255"/>
        </w:trPr>
        <w:tc>
          <w:tcPr>
            <w:tcW w:w="4820" w:type="dxa"/>
            <w:gridSpan w:val="2"/>
            <w:tcBorders>
              <w:top w:val="nil"/>
              <w:left w:val="single" w:sz="8" w:space="0" w:color="auto"/>
              <w:bottom w:val="nil"/>
              <w:right w:val="single" w:sz="8" w:space="0" w:color="auto"/>
            </w:tcBorders>
            <w:shd w:val="clear" w:color="auto" w:fill="auto"/>
            <w:noWrap/>
            <w:vAlign w:val="center"/>
          </w:tcPr>
          <w:p w14:paraId="05F4321A" w14:textId="77777777" w:rsidR="0082721C" w:rsidRPr="00446D2A" w:rsidRDefault="0082721C" w:rsidP="00E67116">
            <w:pPr>
              <w:spacing w:after="0" w:line="240" w:lineRule="auto"/>
              <w:ind w:left="355"/>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122 - Transferências de Recursos do FNDE ref. ao Programa Nacional de Alimentação Escolar (PNAE)</w:t>
            </w:r>
          </w:p>
        </w:tc>
        <w:tc>
          <w:tcPr>
            <w:tcW w:w="1134" w:type="dxa"/>
            <w:tcBorders>
              <w:top w:val="nil"/>
              <w:left w:val="nil"/>
              <w:bottom w:val="nil"/>
              <w:right w:val="single" w:sz="8" w:space="0" w:color="auto"/>
            </w:tcBorders>
            <w:shd w:val="clear" w:color="auto" w:fill="auto"/>
            <w:vAlign w:val="center"/>
          </w:tcPr>
          <w:p w14:paraId="0432D4E1" w14:textId="77777777" w:rsidR="0082721C" w:rsidRPr="00446D2A" w:rsidRDefault="0082721C" w:rsidP="00E67116">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BFI.C101</w:t>
            </w:r>
          </w:p>
        </w:tc>
        <w:tc>
          <w:tcPr>
            <w:tcW w:w="1276" w:type="dxa"/>
            <w:tcBorders>
              <w:top w:val="nil"/>
              <w:left w:val="nil"/>
              <w:bottom w:val="nil"/>
              <w:right w:val="single" w:sz="8" w:space="0" w:color="auto"/>
            </w:tcBorders>
            <w:shd w:val="clear" w:color="auto" w:fill="auto"/>
            <w:vAlign w:val="center"/>
          </w:tcPr>
          <w:p w14:paraId="2D1D766B" w14:textId="77777777" w:rsidR="0082721C" w:rsidRPr="00446D2A" w:rsidRDefault="0082721C" w:rsidP="00E67116">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BFI.D101</w:t>
            </w:r>
          </w:p>
        </w:tc>
        <w:tc>
          <w:tcPr>
            <w:tcW w:w="4243" w:type="dxa"/>
            <w:tcBorders>
              <w:top w:val="nil"/>
              <w:left w:val="nil"/>
              <w:bottom w:val="nil"/>
              <w:right w:val="single" w:sz="8" w:space="0" w:color="auto"/>
            </w:tcBorders>
            <w:shd w:val="clear" w:color="auto" w:fill="auto"/>
            <w:noWrap/>
            <w:vAlign w:val="center"/>
          </w:tcPr>
          <w:p w14:paraId="5E54B238" w14:textId="77777777" w:rsidR="0082721C" w:rsidRPr="00446D2A" w:rsidRDefault="0082721C" w:rsidP="00E67116">
            <w:pPr>
              <w:spacing w:after="0" w:line="240" w:lineRule="auto"/>
              <w:ind w:left="355"/>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122 - Transferências de Recursos do FNDE ref. ao Programa Nacional de Alimentação Escolar (PNAE)</w:t>
            </w:r>
          </w:p>
        </w:tc>
        <w:tc>
          <w:tcPr>
            <w:tcW w:w="1285" w:type="dxa"/>
            <w:gridSpan w:val="2"/>
            <w:tcBorders>
              <w:top w:val="nil"/>
              <w:left w:val="nil"/>
              <w:bottom w:val="nil"/>
              <w:right w:val="single" w:sz="8" w:space="0" w:color="auto"/>
            </w:tcBorders>
            <w:shd w:val="clear" w:color="auto" w:fill="auto"/>
            <w:vAlign w:val="center"/>
          </w:tcPr>
          <w:p w14:paraId="7245FCC9" w14:textId="77777777" w:rsidR="0082721C" w:rsidRPr="00446D2A" w:rsidRDefault="0082721C" w:rsidP="00E67116">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BFI.G101</w:t>
            </w:r>
          </w:p>
        </w:tc>
        <w:tc>
          <w:tcPr>
            <w:tcW w:w="1276" w:type="dxa"/>
            <w:gridSpan w:val="2"/>
            <w:tcBorders>
              <w:top w:val="nil"/>
              <w:left w:val="nil"/>
              <w:bottom w:val="nil"/>
              <w:right w:val="single" w:sz="8" w:space="0" w:color="auto"/>
            </w:tcBorders>
            <w:shd w:val="clear" w:color="auto" w:fill="auto"/>
            <w:vAlign w:val="center"/>
          </w:tcPr>
          <w:p w14:paraId="01FFA130" w14:textId="77777777" w:rsidR="0082721C" w:rsidRPr="00446D2A" w:rsidRDefault="0082721C" w:rsidP="00E67116">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BFI.H101</w:t>
            </w:r>
          </w:p>
        </w:tc>
      </w:tr>
      <w:tr w:rsidR="0082721C" w:rsidRPr="003042F6" w14:paraId="33302B90" w14:textId="77777777" w:rsidTr="00E450A4">
        <w:trPr>
          <w:trHeight w:val="255"/>
        </w:trPr>
        <w:tc>
          <w:tcPr>
            <w:tcW w:w="4820" w:type="dxa"/>
            <w:gridSpan w:val="2"/>
            <w:tcBorders>
              <w:top w:val="nil"/>
              <w:left w:val="single" w:sz="8" w:space="0" w:color="auto"/>
              <w:bottom w:val="nil"/>
              <w:right w:val="single" w:sz="8" w:space="0" w:color="auto"/>
            </w:tcBorders>
            <w:shd w:val="clear" w:color="auto" w:fill="auto"/>
            <w:noWrap/>
            <w:vAlign w:val="center"/>
          </w:tcPr>
          <w:p w14:paraId="4CA98427" w14:textId="77777777" w:rsidR="0082721C" w:rsidRPr="00446D2A" w:rsidRDefault="0082721C" w:rsidP="00E67116">
            <w:pPr>
              <w:spacing w:after="0" w:line="240" w:lineRule="auto"/>
              <w:ind w:left="355"/>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123 - Transferências de Recursos do FNDE ref. ao Programa Nacional de Apoio ao Transporte Escolar (PNATE)</w:t>
            </w:r>
          </w:p>
        </w:tc>
        <w:tc>
          <w:tcPr>
            <w:tcW w:w="1134" w:type="dxa"/>
            <w:tcBorders>
              <w:top w:val="nil"/>
              <w:left w:val="nil"/>
              <w:bottom w:val="nil"/>
              <w:right w:val="single" w:sz="8" w:space="0" w:color="auto"/>
            </w:tcBorders>
            <w:shd w:val="clear" w:color="auto" w:fill="auto"/>
            <w:vAlign w:val="center"/>
          </w:tcPr>
          <w:p w14:paraId="1E3FA170" w14:textId="77777777" w:rsidR="0082721C" w:rsidRPr="00446D2A" w:rsidRDefault="0082721C" w:rsidP="00E67116">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BFI.C102</w:t>
            </w:r>
          </w:p>
        </w:tc>
        <w:tc>
          <w:tcPr>
            <w:tcW w:w="1276" w:type="dxa"/>
            <w:tcBorders>
              <w:top w:val="nil"/>
              <w:left w:val="nil"/>
              <w:bottom w:val="nil"/>
              <w:right w:val="single" w:sz="8" w:space="0" w:color="auto"/>
            </w:tcBorders>
            <w:shd w:val="clear" w:color="auto" w:fill="auto"/>
            <w:vAlign w:val="center"/>
          </w:tcPr>
          <w:p w14:paraId="0A21144A" w14:textId="77777777" w:rsidR="0082721C" w:rsidRPr="00446D2A" w:rsidRDefault="0082721C" w:rsidP="00E67116">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BFI.D102</w:t>
            </w:r>
          </w:p>
        </w:tc>
        <w:tc>
          <w:tcPr>
            <w:tcW w:w="4243" w:type="dxa"/>
            <w:tcBorders>
              <w:top w:val="nil"/>
              <w:left w:val="nil"/>
              <w:bottom w:val="nil"/>
              <w:right w:val="single" w:sz="8" w:space="0" w:color="auto"/>
            </w:tcBorders>
            <w:shd w:val="clear" w:color="auto" w:fill="auto"/>
            <w:noWrap/>
            <w:vAlign w:val="center"/>
          </w:tcPr>
          <w:p w14:paraId="3214231D" w14:textId="77777777" w:rsidR="0082721C" w:rsidRPr="00446D2A" w:rsidRDefault="0082721C" w:rsidP="00E67116">
            <w:pPr>
              <w:spacing w:after="0" w:line="240" w:lineRule="auto"/>
              <w:ind w:left="355"/>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123 - Transferências de Recursos do FNDE ref. ao Programa Nacional de Apoio ao Transporte Escolar (PNATE)</w:t>
            </w:r>
          </w:p>
        </w:tc>
        <w:tc>
          <w:tcPr>
            <w:tcW w:w="1285" w:type="dxa"/>
            <w:gridSpan w:val="2"/>
            <w:tcBorders>
              <w:top w:val="nil"/>
              <w:left w:val="nil"/>
              <w:bottom w:val="nil"/>
              <w:right w:val="single" w:sz="8" w:space="0" w:color="auto"/>
            </w:tcBorders>
            <w:shd w:val="clear" w:color="auto" w:fill="auto"/>
            <w:vAlign w:val="center"/>
          </w:tcPr>
          <w:p w14:paraId="4993ED45" w14:textId="77777777" w:rsidR="0082721C" w:rsidRPr="00446D2A" w:rsidRDefault="0082721C" w:rsidP="00E67116">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BFI.G102</w:t>
            </w:r>
          </w:p>
        </w:tc>
        <w:tc>
          <w:tcPr>
            <w:tcW w:w="1276" w:type="dxa"/>
            <w:gridSpan w:val="2"/>
            <w:tcBorders>
              <w:top w:val="nil"/>
              <w:left w:val="nil"/>
              <w:bottom w:val="nil"/>
              <w:right w:val="single" w:sz="8" w:space="0" w:color="auto"/>
            </w:tcBorders>
            <w:shd w:val="clear" w:color="auto" w:fill="auto"/>
            <w:vAlign w:val="center"/>
          </w:tcPr>
          <w:p w14:paraId="4B0252D2" w14:textId="77777777" w:rsidR="0082721C" w:rsidRPr="00446D2A" w:rsidRDefault="0082721C" w:rsidP="00E67116">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BFI.H102</w:t>
            </w:r>
          </w:p>
        </w:tc>
      </w:tr>
      <w:tr w:rsidR="0082721C" w:rsidRPr="003042F6" w14:paraId="25ADD146" w14:textId="77777777" w:rsidTr="00E450A4">
        <w:trPr>
          <w:trHeight w:val="255"/>
        </w:trPr>
        <w:tc>
          <w:tcPr>
            <w:tcW w:w="4820" w:type="dxa"/>
            <w:gridSpan w:val="2"/>
            <w:tcBorders>
              <w:top w:val="nil"/>
              <w:left w:val="single" w:sz="8" w:space="0" w:color="auto"/>
              <w:bottom w:val="nil"/>
              <w:right w:val="single" w:sz="8" w:space="0" w:color="auto"/>
            </w:tcBorders>
            <w:shd w:val="clear" w:color="auto" w:fill="auto"/>
            <w:noWrap/>
            <w:vAlign w:val="center"/>
          </w:tcPr>
          <w:p w14:paraId="5A041505" w14:textId="77777777" w:rsidR="0082721C" w:rsidRPr="00446D2A" w:rsidRDefault="0082721C" w:rsidP="00E67116">
            <w:pPr>
              <w:spacing w:after="0" w:line="240" w:lineRule="auto"/>
              <w:ind w:firstLineChars="221" w:firstLine="354"/>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124 – Outras Transferências de Recursos do FNDE</w:t>
            </w:r>
          </w:p>
        </w:tc>
        <w:tc>
          <w:tcPr>
            <w:tcW w:w="1134" w:type="dxa"/>
            <w:tcBorders>
              <w:top w:val="nil"/>
              <w:left w:val="nil"/>
              <w:bottom w:val="nil"/>
              <w:right w:val="single" w:sz="8" w:space="0" w:color="auto"/>
            </w:tcBorders>
            <w:shd w:val="clear" w:color="auto" w:fill="auto"/>
            <w:vAlign w:val="center"/>
          </w:tcPr>
          <w:p w14:paraId="69A73542" w14:textId="77777777" w:rsidR="0082721C" w:rsidRPr="00446D2A" w:rsidRDefault="0082721C" w:rsidP="00E67116">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BFI.C103</w:t>
            </w:r>
          </w:p>
        </w:tc>
        <w:tc>
          <w:tcPr>
            <w:tcW w:w="1276" w:type="dxa"/>
            <w:tcBorders>
              <w:top w:val="nil"/>
              <w:left w:val="nil"/>
              <w:bottom w:val="nil"/>
              <w:right w:val="single" w:sz="8" w:space="0" w:color="auto"/>
            </w:tcBorders>
            <w:shd w:val="clear" w:color="auto" w:fill="auto"/>
            <w:vAlign w:val="center"/>
          </w:tcPr>
          <w:p w14:paraId="4EB31A04" w14:textId="77777777" w:rsidR="0082721C" w:rsidRPr="00446D2A" w:rsidRDefault="0082721C" w:rsidP="00E67116">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BFI.D103</w:t>
            </w:r>
          </w:p>
        </w:tc>
        <w:tc>
          <w:tcPr>
            <w:tcW w:w="4243" w:type="dxa"/>
            <w:tcBorders>
              <w:top w:val="nil"/>
              <w:left w:val="nil"/>
              <w:bottom w:val="nil"/>
              <w:right w:val="single" w:sz="8" w:space="0" w:color="auto"/>
            </w:tcBorders>
            <w:shd w:val="clear" w:color="auto" w:fill="auto"/>
            <w:noWrap/>
            <w:vAlign w:val="center"/>
          </w:tcPr>
          <w:p w14:paraId="47F9DAA7" w14:textId="77777777" w:rsidR="0082721C" w:rsidRPr="00446D2A" w:rsidRDefault="0082721C" w:rsidP="00E67116">
            <w:pPr>
              <w:spacing w:after="0" w:line="240" w:lineRule="auto"/>
              <w:ind w:firstLineChars="221" w:firstLine="354"/>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124 – Outras Transferências de Recursos do FNDE</w:t>
            </w:r>
          </w:p>
        </w:tc>
        <w:tc>
          <w:tcPr>
            <w:tcW w:w="1285" w:type="dxa"/>
            <w:gridSpan w:val="2"/>
            <w:tcBorders>
              <w:top w:val="nil"/>
              <w:left w:val="nil"/>
              <w:bottom w:val="nil"/>
              <w:right w:val="single" w:sz="8" w:space="0" w:color="auto"/>
            </w:tcBorders>
            <w:shd w:val="clear" w:color="auto" w:fill="auto"/>
            <w:vAlign w:val="center"/>
          </w:tcPr>
          <w:p w14:paraId="57461248" w14:textId="77777777" w:rsidR="0082721C" w:rsidRPr="00446D2A" w:rsidRDefault="0082721C" w:rsidP="00E67116">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BFI.G103</w:t>
            </w:r>
          </w:p>
        </w:tc>
        <w:tc>
          <w:tcPr>
            <w:tcW w:w="1276" w:type="dxa"/>
            <w:gridSpan w:val="2"/>
            <w:tcBorders>
              <w:top w:val="nil"/>
              <w:left w:val="nil"/>
              <w:bottom w:val="nil"/>
              <w:right w:val="single" w:sz="8" w:space="0" w:color="auto"/>
            </w:tcBorders>
            <w:shd w:val="clear" w:color="auto" w:fill="auto"/>
            <w:vAlign w:val="center"/>
          </w:tcPr>
          <w:p w14:paraId="3638374A" w14:textId="77777777" w:rsidR="0082721C" w:rsidRPr="00446D2A" w:rsidRDefault="0082721C" w:rsidP="00E67116">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BFI.H103</w:t>
            </w:r>
          </w:p>
        </w:tc>
      </w:tr>
      <w:tr w:rsidR="0082721C" w:rsidRPr="003042F6" w14:paraId="19D528BB" w14:textId="77777777" w:rsidTr="00E450A4">
        <w:trPr>
          <w:trHeight w:val="255"/>
        </w:trPr>
        <w:tc>
          <w:tcPr>
            <w:tcW w:w="4820" w:type="dxa"/>
            <w:gridSpan w:val="2"/>
            <w:tcBorders>
              <w:top w:val="nil"/>
              <w:left w:val="single" w:sz="8" w:space="0" w:color="auto"/>
              <w:bottom w:val="nil"/>
              <w:right w:val="single" w:sz="8" w:space="0" w:color="auto"/>
            </w:tcBorders>
            <w:shd w:val="clear" w:color="auto" w:fill="auto"/>
            <w:noWrap/>
            <w:vAlign w:val="center"/>
          </w:tcPr>
          <w:p w14:paraId="18423789" w14:textId="77777777" w:rsidR="0082721C" w:rsidRPr="00446D2A" w:rsidRDefault="0082721C" w:rsidP="00E67116">
            <w:pPr>
              <w:spacing w:after="0" w:line="240" w:lineRule="auto"/>
              <w:ind w:firstLineChars="221" w:firstLine="354"/>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 xml:space="preserve">140 - Royalties do Petróleo vinculados à Educação </w:t>
            </w:r>
          </w:p>
        </w:tc>
        <w:tc>
          <w:tcPr>
            <w:tcW w:w="1134" w:type="dxa"/>
            <w:tcBorders>
              <w:top w:val="nil"/>
              <w:left w:val="nil"/>
              <w:bottom w:val="nil"/>
              <w:right w:val="single" w:sz="8" w:space="0" w:color="auto"/>
            </w:tcBorders>
            <w:shd w:val="clear" w:color="auto" w:fill="auto"/>
            <w:vAlign w:val="center"/>
          </w:tcPr>
          <w:p w14:paraId="3F5932B9"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BFI.C091</w:t>
            </w:r>
          </w:p>
        </w:tc>
        <w:tc>
          <w:tcPr>
            <w:tcW w:w="1276" w:type="dxa"/>
            <w:tcBorders>
              <w:top w:val="nil"/>
              <w:left w:val="nil"/>
              <w:bottom w:val="nil"/>
              <w:right w:val="single" w:sz="8" w:space="0" w:color="auto"/>
            </w:tcBorders>
            <w:shd w:val="clear" w:color="auto" w:fill="auto"/>
            <w:vAlign w:val="center"/>
          </w:tcPr>
          <w:p w14:paraId="5BFBC6A3"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BFI.D091</w:t>
            </w:r>
          </w:p>
        </w:tc>
        <w:tc>
          <w:tcPr>
            <w:tcW w:w="4243" w:type="dxa"/>
            <w:tcBorders>
              <w:top w:val="nil"/>
              <w:left w:val="nil"/>
              <w:bottom w:val="nil"/>
              <w:right w:val="single" w:sz="8" w:space="0" w:color="auto"/>
            </w:tcBorders>
            <w:shd w:val="clear" w:color="auto" w:fill="auto"/>
            <w:noWrap/>
            <w:vAlign w:val="center"/>
          </w:tcPr>
          <w:p w14:paraId="6500367A" w14:textId="77777777" w:rsidR="0082721C" w:rsidRPr="00446D2A" w:rsidRDefault="0082721C" w:rsidP="00E67116">
            <w:pPr>
              <w:spacing w:after="0" w:line="240" w:lineRule="auto"/>
              <w:ind w:firstLineChars="221" w:firstLine="354"/>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140 - Royalties do Petróleo vinculados à Educação</w:t>
            </w:r>
          </w:p>
        </w:tc>
        <w:tc>
          <w:tcPr>
            <w:tcW w:w="1285" w:type="dxa"/>
            <w:gridSpan w:val="2"/>
            <w:tcBorders>
              <w:top w:val="nil"/>
              <w:left w:val="nil"/>
              <w:bottom w:val="nil"/>
              <w:right w:val="single" w:sz="8" w:space="0" w:color="auto"/>
            </w:tcBorders>
            <w:shd w:val="clear" w:color="auto" w:fill="auto"/>
            <w:vAlign w:val="center"/>
          </w:tcPr>
          <w:p w14:paraId="5436C94D"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BFI.G091</w:t>
            </w:r>
          </w:p>
        </w:tc>
        <w:tc>
          <w:tcPr>
            <w:tcW w:w="1276" w:type="dxa"/>
            <w:gridSpan w:val="2"/>
            <w:tcBorders>
              <w:top w:val="nil"/>
              <w:left w:val="nil"/>
              <w:bottom w:val="nil"/>
              <w:right w:val="single" w:sz="8" w:space="0" w:color="auto"/>
            </w:tcBorders>
            <w:shd w:val="clear" w:color="auto" w:fill="auto"/>
            <w:vAlign w:val="center"/>
          </w:tcPr>
          <w:p w14:paraId="54D566CA"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BFI.H091</w:t>
            </w:r>
          </w:p>
        </w:tc>
      </w:tr>
      <w:tr w:rsidR="0082721C" w:rsidRPr="003042F6" w14:paraId="25A5EF22" w14:textId="77777777" w:rsidTr="00E450A4">
        <w:trPr>
          <w:trHeight w:val="255"/>
        </w:trPr>
        <w:tc>
          <w:tcPr>
            <w:tcW w:w="4820" w:type="dxa"/>
            <w:gridSpan w:val="2"/>
            <w:tcBorders>
              <w:top w:val="nil"/>
              <w:left w:val="single" w:sz="8" w:space="0" w:color="auto"/>
              <w:bottom w:val="nil"/>
              <w:right w:val="single" w:sz="8" w:space="0" w:color="auto"/>
            </w:tcBorders>
            <w:shd w:val="clear" w:color="auto" w:fill="auto"/>
            <w:noWrap/>
            <w:vAlign w:val="center"/>
          </w:tcPr>
          <w:p w14:paraId="21883D24" w14:textId="77777777" w:rsidR="0082721C" w:rsidRPr="00446D2A" w:rsidRDefault="0082721C" w:rsidP="00E67116">
            <w:pPr>
              <w:spacing w:after="0" w:line="240" w:lineRule="auto"/>
              <w:ind w:firstLineChars="221" w:firstLine="354"/>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125 – Transferências de Convênios</w:t>
            </w:r>
            <w:r>
              <w:rPr>
                <w:rFonts w:ascii="Arial Narrow" w:eastAsia="Times New Roman" w:hAnsi="Arial Narrow" w:cs="Arial"/>
                <w:sz w:val="16"/>
                <w:szCs w:val="16"/>
                <w:lang w:eastAsia="pt-BR"/>
              </w:rPr>
              <w:t xml:space="preserve"> ou de Contratos de Repasse vinculados à</w:t>
            </w:r>
            <w:r w:rsidRPr="00446D2A">
              <w:rPr>
                <w:rFonts w:ascii="Arial Narrow" w:eastAsia="Times New Roman" w:hAnsi="Arial Narrow" w:cs="Arial"/>
                <w:sz w:val="16"/>
                <w:szCs w:val="16"/>
                <w:lang w:eastAsia="pt-BR"/>
              </w:rPr>
              <w:t xml:space="preserve"> Educação</w:t>
            </w:r>
          </w:p>
        </w:tc>
        <w:tc>
          <w:tcPr>
            <w:tcW w:w="1134" w:type="dxa"/>
            <w:tcBorders>
              <w:top w:val="nil"/>
              <w:left w:val="nil"/>
              <w:bottom w:val="nil"/>
              <w:right w:val="single" w:sz="8" w:space="0" w:color="auto"/>
            </w:tcBorders>
            <w:shd w:val="clear" w:color="auto" w:fill="auto"/>
            <w:vAlign w:val="center"/>
          </w:tcPr>
          <w:p w14:paraId="029E5231"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BFI.C021</w:t>
            </w:r>
          </w:p>
        </w:tc>
        <w:tc>
          <w:tcPr>
            <w:tcW w:w="1276" w:type="dxa"/>
            <w:tcBorders>
              <w:top w:val="nil"/>
              <w:left w:val="nil"/>
              <w:bottom w:val="nil"/>
              <w:right w:val="single" w:sz="8" w:space="0" w:color="auto"/>
            </w:tcBorders>
            <w:shd w:val="clear" w:color="auto" w:fill="auto"/>
            <w:vAlign w:val="center"/>
          </w:tcPr>
          <w:p w14:paraId="0EC3D98D"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BFI.D021</w:t>
            </w:r>
          </w:p>
        </w:tc>
        <w:tc>
          <w:tcPr>
            <w:tcW w:w="4243" w:type="dxa"/>
            <w:tcBorders>
              <w:top w:val="nil"/>
              <w:left w:val="nil"/>
              <w:bottom w:val="nil"/>
              <w:right w:val="single" w:sz="8" w:space="0" w:color="auto"/>
            </w:tcBorders>
            <w:shd w:val="clear" w:color="auto" w:fill="auto"/>
            <w:noWrap/>
            <w:vAlign w:val="center"/>
          </w:tcPr>
          <w:p w14:paraId="0A7DAF19" w14:textId="77777777" w:rsidR="0082721C" w:rsidRPr="00446D2A" w:rsidRDefault="0082721C" w:rsidP="00E67116">
            <w:pPr>
              <w:spacing w:after="0" w:line="240" w:lineRule="auto"/>
              <w:ind w:firstLineChars="221" w:firstLine="354"/>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 xml:space="preserve">125 – Transferências de Convênios </w:t>
            </w:r>
            <w:r>
              <w:rPr>
                <w:rFonts w:ascii="Arial Narrow" w:eastAsia="Times New Roman" w:hAnsi="Arial Narrow" w:cs="Arial"/>
                <w:sz w:val="16"/>
                <w:szCs w:val="16"/>
                <w:lang w:eastAsia="pt-BR"/>
              </w:rPr>
              <w:t>ou de Contratos de Repasse vinculados à</w:t>
            </w:r>
            <w:r w:rsidRPr="00446D2A">
              <w:rPr>
                <w:rFonts w:ascii="Arial Narrow" w:eastAsia="Times New Roman" w:hAnsi="Arial Narrow" w:cs="Arial"/>
                <w:sz w:val="16"/>
                <w:szCs w:val="16"/>
                <w:lang w:eastAsia="pt-BR"/>
              </w:rPr>
              <w:t xml:space="preserve"> Educação</w:t>
            </w:r>
          </w:p>
        </w:tc>
        <w:tc>
          <w:tcPr>
            <w:tcW w:w="1285" w:type="dxa"/>
            <w:gridSpan w:val="2"/>
            <w:tcBorders>
              <w:top w:val="nil"/>
              <w:left w:val="nil"/>
              <w:bottom w:val="nil"/>
              <w:right w:val="single" w:sz="8" w:space="0" w:color="auto"/>
            </w:tcBorders>
            <w:shd w:val="clear" w:color="auto" w:fill="auto"/>
            <w:vAlign w:val="center"/>
          </w:tcPr>
          <w:p w14:paraId="12B31765"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BFI.G021</w:t>
            </w:r>
          </w:p>
        </w:tc>
        <w:tc>
          <w:tcPr>
            <w:tcW w:w="1276" w:type="dxa"/>
            <w:gridSpan w:val="2"/>
            <w:tcBorders>
              <w:top w:val="nil"/>
              <w:left w:val="nil"/>
              <w:bottom w:val="nil"/>
              <w:right w:val="single" w:sz="8" w:space="0" w:color="auto"/>
            </w:tcBorders>
            <w:shd w:val="clear" w:color="auto" w:fill="auto"/>
            <w:vAlign w:val="center"/>
          </w:tcPr>
          <w:p w14:paraId="7B9531D7"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BFI.H021</w:t>
            </w:r>
          </w:p>
        </w:tc>
      </w:tr>
      <w:tr w:rsidR="0082721C" w:rsidRPr="003042F6" w14:paraId="1D3986E6" w14:textId="77777777" w:rsidTr="00E450A4">
        <w:trPr>
          <w:trHeight w:val="255"/>
        </w:trPr>
        <w:tc>
          <w:tcPr>
            <w:tcW w:w="4820" w:type="dxa"/>
            <w:gridSpan w:val="2"/>
            <w:tcBorders>
              <w:top w:val="nil"/>
              <w:left w:val="single" w:sz="8" w:space="0" w:color="auto"/>
              <w:bottom w:val="nil"/>
              <w:right w:val="single" w:sz="8" w:space="0" w:color="auto"/>
            </w:tcBorders>
            <w:shd w:val="clear" w:color="auto" w:fill="auto"/>
            <w:noWrap/>
            <w:vAlign w:val="center"/>
          </w:tcPr>
          <w:p w14:paraId="69D39FB9" w14:textId="77777777" w:rsidR="0082721C" w:rsidRPr="00446D2A" w:rsidRDefault="0082721C" w:rsidP="00E67116">
            <w:pPr>
              <w:spacing w:after="0" w:line="240" w:lineRule="auto"/>
              <w:ind w:firstLineChars="221" w:firstLine="354"/>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130 - Operações de Crédito vinculadas à Educação</w:t>
            </w:r>
          </w:p>
        </w:tc>
        <w:tc>
          <w:tcPr>
            <w:tcW w:w="1134" w:type="dxa"/>
            <w:tcBorders>
              <w:top w:val="nil"/>
              <w:left w:val="nil"/>
              <w:bottom w:val="nil"/>
              <w:right w:val="single" w:sz="8" w:space="0" w:color="auto"/>
            </w:tcBorders>
            <w:shd w:val="clear" w:color="auto" w:fill="auto"/>
            <w:vAlign w:val="center"/>
          </w:tcPr>
          <w:p w14:paraId="76A37B22"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BFI.C024</w:t>
            </w:r>
          </w:p>
        </w:tc>
        <w:tc>
          <w:tcPr>
            <w:tcW w:w="1276" w:type="dxa"/>
            <w:tcBorders>
              <w:top w:val="nil"/>
              <w:left w:val="nil"/>
              <w:bottom w:val="nil"/>
              <w:right w:val="single" w:sz="8" w:space="0" w:color="auto"/>
            </w:tcBorders>
            <w:shd w:val="clear" w:color="auto" w:fill="auto"/>
            <w:vAlign w:val="center"/>
          </w:tcPr>
          <w:p w14:paraId="78B7BC03"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BFI.D024</w:t>
            </w:r>
          </w:p>
        </w:tc>
        <w:tc>
          <w:tcPr>
            <w:tcW w:w="4243" w:type="dxa"/>
            <w:tcBorders>
              <w:top w:val="nil"/>
              <w:left w:val="nil"/>
              <w:bottom w:val="nil"/>
              <w:right w:val="single" w:sz="8" w:space="0" w:color="auto"/>
            </w:tcBorders>
            <w:shd w:val="clear" w:color="auto" w:fill="auto"/>
            <w:noWrap/>
            <w:vAlign w:val="center"/>
          </w:tcPr>
          <w:p w14:paraId="3BB4B840" w14:textId="77777777" w:rsidR="0082721C" w:rsidRPr="00446D2A" w:rsidRDefault="0082721C" w:rsidP="00E67116">
            <w:pPr>
              <w:spacing w:after="0" w:line="240" w:lineRule="auto"/>
              <w:ind w:firstLineChars="221" w:firstLine="354"/>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130 - Operações de Crédito vinculadas à Educação</w:t>
            </w:r>
          </w:p>
        </w:tc>
        <w:tc>
          <w:tcPr>
            <w:tcW w:w="1285" w:type="dxa"/>
            <w:gridSpan w:val="2"/>
            <w:tcBorders>
              <w:top w:val="nil"/>
              <w:left w:val="nil"/>
              <w:bottom w:val="nil"/>
              <w:right w:val="single" w:sz="8" w:space="0" w:color="auto"/>
            </w:tcBorders>
            <w:shd w:val="clear" w:color="auto" w:fill="auto"/>
            <w:vAlign w:val="center"/>
          </w:tcPr>
          <w:p w14:paraId="1F0D3E27"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BFI.G024</w:t>
            </w:r>
          </w:p>
        </w:tc>
        <w:tc>
          <w:tcPr>
            <w:tcW w:w="1276" w:type="dxa"/>
            <w:gridSpan w:val="2"/>
            <w:tcBorders>
              <w:top w:val="nil"/>
              <w:left w:val="nil"/>
              <w:bottom w:val="nil"/>
              <w:right w:val="single" w:sz="8" w:space="0" w:color="auto"/>
            </w:tcBorders>
            <w:shd w:val="clear" w:color="auto" w:fill="auto"/>
            <w:vAlign w:val="center"/>
          </w:tcPr>
          <w:p w14:paraId="5A161BE8"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BFI.H024</w:t>
            </w:r>
          </w:p>
        </w:tc>
      </w:tr>
      <w:tr w:rsidR="0082721C" w:rsidRPr="003042F6" w14:paraId="5BE30F92" w14:textId="77777777" w:rsidTr="00E450A4">
        <w:trPr>
          <w:trHeight w:val="255"/>
        </w:trPr>
        <w:tc>
          <w:tcPr>
            <w:tcW w:w="4820" w:type="dxa"/>
            <w:gridSpan w:val="2"/>
            <w:tcBorders>
              <w:top w:val="nil"/>
              <w:left w:val="single" w:sz="8" w:space="0" w:color="auto"/>
              <w:right w:val="single" w:sz="8" w:space="0" w:color="auto"/>
            </w:tcBorders>
            <w:shd w:val="clear" w:color="auto" w:fill="auto"/>
            <w:noWrap/>
            <w:vAlign w:val="center"/>
          </w:tcPr>
          <w:p w14:paraId="42F8E372" w14:textId="77777777" w:rsidR="0082721C" w:rsidRPr="00446D2A" w:rsidRDefault="0082721C" w:rsidP="00E67116">
            <w:pPr>
              <w:spacing w:after="0" w:line="240" w:lineRule="auto"/>
              <w:ind w:firstLineChars="221" w:firstLine="354"/>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190 – Outros Recursos vinculados à Educação</w:t>
            </w:r>
          </w:p>
        </w:tc>
        <w:tc>
          <w:tcPr>
            <w:tcW w:w="1134" w:type="dxa"/>
            <w:tcBorders>
              <w:top w:val="nil"/>
              <w:left w:val="nil"/>
              <w:right w:val="single" w:sz="8" w:space="0" w:color="auto"/>
            </w:tcBorders>
            <w:shd w:val="clear" w:color="auto" w:fill="auto"/>
            <w:vAlign w:val="center"/>
          </w:tcPr>
          <w:p w14:paraId="613A679A"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BFI.C025</w:t>
            </w:r>
          </w:p>
        </w:tc>
        <w:tc>
          <w:tcPr>
            <w:tcW w:w="1276" w:type="dxa"/>
            <w:tcBorders>
              <w:top w:val="nil"/>
              <w:left w:val="nil"/>
              <w:right w:val="single" w:sz="8" w:space="0" w:color="auto"/>
            </w:tcBorders>
            <w:shd w:val="clear" w:color="auto" w:fill="auto"/>
            <w:vAlign w:val="center"/>
          </w:tcPr>
          <w:p w14:paraId="18A55AF6"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BFI.D025</w:t>
            </w:r>
          </w:p>
        </w:tc>
        <w:tc>
          <w:tcPr>
            <w:tcW w:w="4243" w:type="dxa"/>
            <w:tcBorders>
              <w:top w:val="nil"/>
              <w:left w:val="nil"/>
              <w:right w:val="single" w:sz="8" w:space="0" w:color="auto"/>
            </w:tcBorders>
            <w:shd w:val="clear" w:color="auto" w:fill="auto"/>
            <w:noWrap/>
            <w:vAlign w:val="center"/>
          </w:tcPr>
          <w:p w14:paraId="1A9F44F2" w14:textId="77777777" w:rsidR="0082721C" w:rsidRPr="00446D2A" w:rsidRDefault="0082721C" w:rsidP="00E67116">
            <w:pPr>
              <w:spacing w:after="0" w:line="240" w:lineRule="auto"/>
              <w:ind w:firstLineChars="221" w:firstLine="354"/>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190 – Outros Recursos vinculados à Educação</w:t>
            </w:r>
          </w:p>
        </w:tc>
        <w:tc>
          <w:tcPr>
            <w:tcW w:w="1285" w:type="dxa"/>
            <w:gridSpan w:val="2"/>
            <w:tcBorders>
              <w:top w:val="nil"/>
              <w:left w:val="nil"/>
              <w:right w:val="single" w:sz="8" w:space="0" w:color="auto"/>
            </w:tcBorders>
            <w:shd w:val="clear" w:color="auto" w:fill="auto"/>
            <w:vAlign w:val="center"/>
          </w:tcPr>
          <w:p w14:paraId="6B24A684"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BFI.G025</w:t>
            </w:r>
          </w:p>
        </w:tc>
        <w:tc>
          <w:tcPr>
            <w:tcW w:w="1276" w:type="dxa"/>
            <w:gridSpan w:val="2"/>
            <w:tcBorders>
              <w:top w:val="nil"/>
              <w:left w:val="nil"/>
              <w:right w:val="single" w:sz="8" w:space="0" w:color="auto"/>
            </w:tcBorders>
            <w:shd w:val="clear" w:color="auto" w:fill="auto"/>
            <w:vAlign w:val="center"/>
          </w:tcPr>
          <w:p w14:paraId="78151567"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BFI.H025</w:t>
            </w:r>
          </w:p>
        </w:tc>
      </w:tr>
      <w:tr w:rsidR="0082721C" w:rsidRPr="003042F6" w14:paraId="78FA9A67" w14:textId="77777777" w:rsidTr="00E450A4">
        <w:trPr>
          <w:trHeight w:val="255"/>
        </w:trPr>
        <w:tc>
          <w:tcPr>
            <w:tcW w:w="4820" w:type="dxa"/>
            <w:gridSpan w:val="2"/>
            <w:tcBorders>
              <w:left w:val="single" w:sz="8" w:space="0" w:color="auto"/>
              <w:bottom w:val="nil"/>
              <w:right w:val="single" w:sz="8" w:space="0" w:color="auto"/>
            </w:tcBorders>
            <w:shd w:val="clear" w:color="auto" w:fill="auto"/>
            <w:noWrap/>
            <w:vAlign w:val="center"/>
            <w:hideMark/>
          </w:tcPr>
          <w:p w14:paraId="30D93752" w14:textId="77777777" w:rsidR="0082721C" w:rsidRPr="00446D2A" w:rsidRDefault="0082721C" w:rsidP="00E67116">
            <w:pPr>
              <w:spacing w:after="0" w:line="240" w:lineRule="auto"/>
              <w:ind w:firstLineChars="100" w:firstLine="161"/>
              <w:rPr>
                <w:rFonts w:ascii="Arial Narrow" w:eastAsia="Times New Roman" w:hAnsi="Arial Narrow" w:cs="Arial"/>
                <w:b/>
                <w:bCs/>
                <w:sz w:val="16"/>
                <w:szCs w:val="16"/>
                <w:lang w:eastAsia="pt-BR"/>
              </w:rPr>
            </w:pPr>
            <w:r w:rsidRPr="00446D2A">
              <w:rPr>
                <w:rFonts w:ascii="Arial Narrow" w:eastAsia="Times New Roman" w:hAnsi="Arial Narrow" w:cs="Arial"/>
                <w:b/>
                <w:bCs/>
                <w:sz w:val="16"/>
                <w:szCs w:val="16"/>
                <w:lang w:eastAsia="pt-BR"/>
              </w:rPr>
              <w:t xml:space="preserve">  Recursos Vinculados à Saúde</w:t>
            </w:r>
          </w:p>
        </w:tc>
        <w:tc>
          <w:tcPr>
            <w:tcW w:w="1134" w:type="dxa"/>
            <w:tcBorders>
              <w:left w:val="nil"/>
              <w:bottom w:val="nil"/>
              <w:right w:val="single" w:sz="8" w:space="0" w:color="auto"/>
            </w:tcBorders>
            <w:shd w:val="clear" w:color="auto" w:fill="auto"/>
            <w:vAlign w:val="center"/>
            <w:hideMark/>
          </w:tcPr>
          <w:p w14:paraId="182C121E" w14:textId="77777777" w:rsidR="0082721C" w:rsidRPr="00446D2A" w:rsidRDefault="0082721C" w:rsidP="00E67116">
            <w:pPr>
              <w:spacing w:after="0" w:line="240" w:lineRule="auto"/>
              <w:jc w:val="center"/>
              <w:rPr>
                <w:rFonts w:ascii="Arial Narrow" w:eastAsia="Times New Roman" w:hAnsi="Arial Narrow" w:cs="Arial"/>
                <w:b/>
                <w:bCs/>
                <w:sz w:val="16"/>
                <w:szCs w:val="16"/>
                <w:lang w:eastAsia="pt-BR"/>
              </w:rPr>
            </w:pPr>
            <w:r w:rsidRPr="00446D2A">
              <w:rPr>
                <w:rFonts w:ascii="Arial Narrow" w:eastAsia="Times New Roman" w:hAnsi="Arial Narrow" w:cs="Arial"/>
                <w:b/>
                <w:bCs/>
                <w:sz w:val="16"/>
                <w:szCs w:val="16"/>
                <w:lang w:eastAsia="pt-BR"/>
              </w:rPr>
              <w:t>BFI.C026</w:t>
            </w:r>
          </w:p>
        </w:tc>
        <w:tc>
          <w:tcPr>
            <w:tcW w:w="1276" w:type="dxa"/>
            <w:tcBorders>
              <w:left w:val="nil"/>
              <w:bottom w:val="nil"/>
              <w:right w:val="single" w:sz="8" w:space="0" w:color="auto"/>
            </w:tcBorders>
            <w:shd w:val="clear" w:color="auto" w:fill="auto"/>
            <w:vAlign w:val="center"/>
            <w:hideMark/>
          </w:tcPr>
          <w:p w14:paraId="6DBFCDC1" w14:textId="77777777" w:rsidR="0082721C" w:rsidRPr="00446D2A" w:rsidRDefault="0082721C" w:rsidP="00E67116">
            <w:pPr>
              <w:spacing w:after="0" w:line="240" w:lineRule="auto"/>
              <w:jc w:val="center"/>
              <w:rPr>
                <w:rFonts w:ascii="Arial Narrow" w:eastAsia="Times New Roman" w:hAnsi="Arial Narrow" w:cs="Arial"/>
                <w:b/>
                <w:bCs/>
                <w:sz w:val="16"/>
                <w:szCs w:val="16"/>
                <w:lang w:eastAsia="pt-BR"/>
              </w:rPr>
            </w:pPr>
            <w:r w:rsidRPr="00446D2A">
              <w:rPr>
                <w:rFonts w:ascii="Arial Narrow" w:eastAsia="Times New Roman" w:hAnsi="Arial Narrow" w:cs="Arial"/>
                <w:b/>
                <w:bCs/>
                <w:sz w:val="16"/>
                <w:szCs w:val="16"/>
                <w:lang w:eastAsia="pt-BR"/>
              </w:rPr>
              <w:t>BFI.D026</w:t>
            </w:r>
          </w:p>
        </w:tc>
        <w:tc>
          <w:tcPr>
            <w:tcW w:w="4243" w:type="dxa"/>
            <w:tcBorders>
              <w:left w:val="nil"/>
              <w:bottom w:val="nil"/>
              <w:right w:val="single" w:sz="8" w:space="0" w:color="auto"/>
            </w:tcBorders>
            <w:shd w:val="clear" w:color="auto" w:fill="auto"/>
            <w:noWrap/>
            <w:vAlign w:val="center"/>
            <w:hideMark/>
          </w:tcPr>
          <w:p w14:paraId="7245628A" w14:textId="77777777" w:rsidR="0082721C" w:rsidRPr="00446D2A" w:rsidRDefault="0082721C" w:rsidP="00E67116">
            <w:pPr>
              <w:spacing w:after="0" w:line="240" w:lineRule="auto"/>
              <w:ind w:firstLineChars="100" w:firstLine="161"/>
              <w:rPr>
                <w:rFonts w:ascii="Arial Narrow" w:eastAsia="Times New Roman" w:hAnsi="Arial Narrow" w:cs="Arial"/>
                <w:b/>
                <w:bCs/>
                <w:sz w:val="16"/>
                <w:szCs w:val="16"/>
                <w:lang w:eastAsia="pt-BR"/>
              </w:rPr>
            </w:pPr>
            <w:r w:rsidRPr="00446D2A">
              <w:rPr>
                <w:rFonts w:ascii="Arial Narrow" w:eastAsia="Times New Roman" w:hAnsi="Arial Narrow" w:cs="Arial"/>
                <w:b/>
                <w:bCs/>
                <w:sz w:val="16"/>
                <w:szCs w:val="16"/>
                <w:lang w:eastAsia="pt-BR"/>
              </w:rPr>
              <w:t xml:space="preserve">  Recursos Destinados à Saúde</w:t>
            </w:r>
          </w:p>
        </w:tc>
        <w:tc>
          <w:tcPr>
            <w:tcW w:w="1285" w:type="dxa"/>
            <w:gridSpan w:val="2"/>
            <w:tcBorders>
              <w:left w:val="nil"/>
              <w:bottom w:val="nil"/>
              <w:right w:val="single" w:sz="8" w:space="0" w:color="auto"/>
            </w:tcBorders>
            <w:shd w:val="clear" w:color="auto" w:fill="auto"/>
            <w:vAlign w:val="center"/>
            <w:hideMark/>
          </w:tcPr>
          <w:p w14:paraId="6AE24B08" w14:textId="77777777" w:rsidR="0082721C" w:rsidRPr="00446D2A" w:rsidRDefault="0082721C" w:rsidP="00E67116">
            <w:pPr>
              <w:spacing w:after="0" w:line="240" w:lineRule="auto"/>
              <w:jc w:val="center"/>
              <w:rPr>
                <w:rFonts w:ascii="Arial Narrow" w:eastAsia="Times New Roman" w:hAnsi="Arial Narrow" w:cs="Arial"/>
                <w:b/>
                <w:bCs/>
                <w:sz w:val="16"/>
                <w:szCs w:val="16"/>
                <w:lang w:eastAsia="pt-BR"/>
              </w:rPr>
            </w:pPr>
            <w:r w:rsidRPr="00446D2A">
              <w:rPr>
                <w:rFonts w:ascii="Arial Narrow" w:eastAsia="Times New Roman" w:hAnsi="Arial Narrow" w:cs="Arial"/>
                <w:b/>
                <w:bCs/>
                <w:sz w:val="16"/>
                <w:szCs w:val="16"/>
                <w:lang w:eastAsia="pt-BR"/>
              </w:rPr>
              <w:t>BFI.G026</w:t>
            </w:r>
          </w:p>
        </w:tc>
        <w:tc>
          <w:tcPr>
            <w:tcW w:w="1276" w:type="dxa"/>
            <w:gridSpan w:val="2"/>
            <w:tcBorders>
              <w:left w:val="nil"/>
              <w:bottom w:val="nil"/>
              <w:right w:val="single" w:sz="8" w:space="0" w:color="auto"/>
            </w:tcBorders>
            <w:shd w:val="clear" w:color="auto" w:fill="auto"/>
            <w:vAlign w:val="center"/>
            <w:hideMark/>
          </w:tcPr>
          <w:p w14:paraId="06655856" w14:textId="77777777" w:rsidR="0082721C" w:rsidRPr="00446D2A" w:rsidRDefault="0082721C" w:rsidP="00E67116">
            <w:pPr>
              <w:spacing w:after="0" w:line="240" w:lineRule="auto"/>
              <w:jc w:val="center"/>
              <w:rPr>
                <w:rFonts w:ascii="Arial Narrow" w:eastAsia="Times New Roman" w:hAnsi="Arial Narrow" w:cs="Arial"/>
                <w:b/>
                <w:bCs/>
                <w:sz w:val="16"/>
                <w:szCs w:val="16"/>
                <w:lang w:eastAsia="pt-BR"/>
              </w:rPr>
            </w:pPr>
            <w:r w:rsidRPr="00446D2A">
              <w:rPr>
                <w:rFonts w:ascii="Arial Narrow" w:eastAsia="Times New Roman" w:hAnsi="Arial Narrow" w:cs="Arial"/>
                <w:b/>
                <w:bCs/>
                <w:sz w:val="16"/>
                <w:szCs w:val="16"/>
                <w:lang w:eastAsia="pt-BR"/>
              </w:rPr>
              <w:t>BFI.H026</w:t>
            </w:r>
          </w:p>
        </w:tc>
      </w:tr>
      <w:tr w:rsidR="0082721C" w:rsidRPr="003042F6" w14:paraId="3AE29051" w14:textId="77777777" w:rsidTr="00E450A4">
        <w:trPr>
          <w:trHeight w:val="255"/>
        </w:trPr>
        <w:tc>
          <w:tcPr>
            <w:tcW w:w="4820" w:type="dxa"/>
            <w:gridSpan w:val="2"/>
            <w:tcBorders>
              <w:top w:val="nil"/>
              <w:left w:val="single" w:sz="8" w:space="0" w:color="auto"/>
              <w:bottom w:val="nil"/>
              <w:right w:val="single" w:sz="8" w:space="0" w:color="auto"/>
            </w:tcBorders>
            <w:shd w:val="clear" w:color="auto" w:fill="auto"/>
            <w:noWrap/>
            <w:vAlign w:val="center"/>
          </w:tcPr>
          <w:p w14:paraId="41026657" w14:textId="77777777" w:rsidR="0082721C" w:rsidRPr="00446D2A" w:rsidRDefault="0082721C" w:rsidP="00E67116">
            <w:pPr>
              <w:spacing w:after="0" w:line="240" w:lineRule="auto"/>
              <w:ind w:firstLineChars="221" w:firstLine="354"/>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211 – Receita de Impostos e Transferência de Impostos – Saúde</w:t>
            </w:r>
          </w:p>
        </w:tc>
        <w:tc>
          <w:tcPr>
            <w:tcW w:w="1134" w:type="dxa"/>
            <w:tcBorders>
              <w:top w:val="nil"/>
              <w:left w:val="nil"/>
              <w:bottom w:val="nil"/>
              <w:right w:val="single" w:sz="8" w:space="0" w:color="auto"/>
            </w:tcBorders>
            <w:shd w:val="clear" w:color="auto" w:fill="auto"/>
            <w:vAlign w:val="center"/>
          </w:tcPr>
          <w:p w14:paraId="141CFA70"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BFI.C086</w:t>
            </w:r>
          </w:p>
        </w:tc>
        <w:tc>
          <w:tcPr>
            <w:tcW w:w="1276" w:type="dxa"/>
            <w:tcBorders>
              <w:top w:val="nil"/>
              <w:left w:val="nil"/>
              <w:bottom w:val="nil"/>
              <w:right w:val="single" w:sz="8" w:space="0" w:color="auto"/>
            </w:tcBorders>
            <w:shd w:val="clear" w:color="auto" w:fill="auto"/>
            <w:vAlign w:val="center"/>
          </w:tcPr>
          <w:p w14:paraId="36C06491"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BFI.D086</w:t>
            </w:r>
          </w:p>
        </w:tc>
        <w:tc>
          <w:tcPr>
            <w:tcW w:w="4243" w:type="dxa"/>
            <w:tcBorders>
              <w:top w:val="nil"/>
              <w:left w:val="nil"/>
              <w:bottom w:val="nil"/>
              <w:right w:val="single" w:sz="8" w:space="0" w:color="auto"/>
            </w:tcBorders>
            <w:shd w:val="clear" w:color="auto" w:fill="auto"/>
            <w:noWrap/>
            <w:vAlign w:val="center"/>
          </w:tcPr>
          <w:p w14:paraId="0DDEEC44" w14:textId="77777777" w:rsidR="0082721C" w:rsidRPr="00446D2A" w:rsidRDefault="0082721C" w:rsidP="00E67116">
            <w:pPr>
              <w:spacing w:after="0" w:line="240" w:lineRule="auto"/>
              <w:ind w:firstLineChars="221" w:firstLine="354"/>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211 – Receita de Impostos e Transferência de Impostos – Saúde</w:t>
            </w:r>
          </w:p>
        </w:tc>
        <w:tc>
          <w:tcPr>
            <w:tcW w:w="1285" w:type="dxa"/>
            <w:gridSpan w:val="2"/>
            <w:tcBorders>
              <w:top w:val="nil"/>
              <w:left w:val="nil"/>
              <w:bottom w:val="nil"/>
              <w:right w:val="single" w:sz="8" w:space="0" w:color="auto"/>
            </w:tcBorders>
            <w:shd w:val="clear" w:color="auto" w:fill="auto"/>
            <w:vAlign w:val="center"/>
          </w:tcPr>
          <w:p w14:paraId="3C1A9B29"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BFI.G086</w:t>
            </w:r>
          </w:p>
        </w:tc>
        <w:tc>
          <w:tcPr>
            <w:tcW w:w="1276" w:type="dxa"/>
            <w:gridSpan w:val="2"/>
            <w:tcBorders>
              <w:top w:val="nil"/>
              <w:left w:val="nil"/>
              <w:bottom w:val="nil"/>
              <w:right w:val="single" w:sz="8" w:space="0" w:color="auto"/>
            </w:tcBorders>
            <w:shd w:val="clear" w:color="auto" w:fill="auto"/>
            <w:vAlign w:val="center"/>
          </w:tcPr>
          <w:p w14:paraId="63BF3F0C"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BFI.H086</w:t>
            </w:r>
          </w:p>
        </w:tc>
      </w:tr>
      <w:tr w:rsidR="0082721C" w:rsidRPr="003042F6" w14:paraId="362D5749" w14:textId="77777777" w:rsidTr="00E450A4">
        <w:trPr>
          <w:trHeight w:val="255"/>
        </w:trPr>
        <w:tc>
          <w:tcPr>
            <w:tcW w:w="4820" w:type="dxa"/>
            <w:gridSpan w:val="2"/>
            <w:tcBorders>
              <w:top w:val="nil"/>
              <w:left w:val="single" w:sz="8" w:space="0" w:color="auto"/>
              <w:bottom w:val="nil"/>
              <w:right w:val="single" w:sz="8" w:space="0" w:color="auto"/>
            </w:tcBorders>
            <w:shd w:val="clear" w:color="auto" w:fill="auto"/>
            <w:noWrap/>
            <w:vAlign w:val="center"/>
          </w:tcPr>
          <w:p w14:paraId="20C74EEA" w14:textId="77777777" w:rsidR="0082721C" w:rsidRPr="00446D2A" w:rsidRDefault="0082721C" w:rsidP="00E67116">
            <w:pPr>
              <w:spacing w:after="0" w:line="240" w:lineRule="auto"/>
              <w:ind w:firstLineChars="221" w:firstLine="354"/>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 xml:space="preserve">240 - Royalties do Petróleo vinculados à Saúde </w:t>
            </w:r>
          </w:p>
        </w:tc>
        <w:tc>
          <w:tcPr>
            <w:tcW w:w="1134" w:type="dxa"/>
            <w:tcBorders>
              <w:top w:val="nil"/>
              <w:left w:val="nil"/>
              <w:bottom w:val="nil"/>
              <w:right w:val="single" w:sz="8" w:space="0" w:color="auto"/>
            </w:tcBorders>
            <w:shd w:val="clear" w:color="auto" w:fill="auto"/>
            <w:vAlign w:val="center"/>
          </w:tcPr>
          <w:p w14:paraId="192B3888"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BFI.C092</w:t>
            </w:r>
          </w:p>
        </w:tc>
        <w:tc>
          <w:tcPr>
            <w:tcW w:w="1276" w:type="dxa"/>
            <w:tcBorders>
              <w:top w:val="nil"/>
              <w:left w:val="nil"/>
              <w:bottom w:val="nil"/>
              <w:right w:val="single" w:sz="8" w:space="0" w:color="auto"/>
            </w:tcBorders>
            <w:shd w:val="clear" w:color="auto" w:fill="auto"/>
            <w:vAlign w:val="center"/>
          </w:tcPr>
          <w:p w14:paraId="2A2484DC"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BFI.D092</w:t>
            </w:r>
          </w:p>
        </w:tc>
        <w:tc>
          <w:tcPr>
            <w:tcW w:w="4243" w:type="dxa"/>
            <w:tcBorders>
              <w:top w:val="nil"/>
              <w:left w:val="nil"/>
              <w:bottom w:val="nil"/>
              <w:right w:val="single" w:sz="8" w:space="0" w:color="auto"/>
            </w:tcBorders>
            <w:shd w:val="clear" w:color="auto" w:fill="auto"/>
            <w:noWrap/>
            <w:vAlign w:val="center"/>
          </w:tcPr>
          <w:p w14:paraId="5609C263" w14:textId="77777777" w:rsidR="0082721C" w:rsidRPr="00446D2A" w:rsidRDefault="0082721C" w:rsidP="00E67116">
            <w:pPr>
              <w:spacing w:after="0" w:line="240" w:lineRule="auto"/>
              <w:ind w:firstLineChars="221" w:firstLine="354"/>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240 - Royalties do Petróleo vinculados à Saúde</w:t>
            </w:r>
          </w:p>
        </w:tc>
        <w:tc>
          <w:tcPr>
            <w:tcW w:w="1285" w:type="dxa"/>
            <w:gridSpan w:val="2"/>
            <w:tcBorders>
              <w:top w:val="nil"/>
              <w:left w:val="nil"/>
              <w:bottom w:val="nil"/>
              <w:right w:val="single" w:sz="8" w:space="0" w:color="auto"/>
            </w:tcBorders>
            <w:shd w:val="clear" w:color="auto" w:fill="auto"/>
            <w:vAlign w:val="center"/>
          </w:tcPr>
          <w:p w14:paraId="4F734155"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BFI.G092</w:t>
            </w:r>
          </w:p>
        </w:tc>
        <w:tc>
          <w:tcPr>
            <w:tcW w:w="1276" w:type="dxa"/>
            <w:gridSpan w:val="2"/>
            <w:tcBorders>
              <w:top w:val="nil"/>
              <w:left w:val="nil"/>
              <w:bottom w:val="nil"/>
              <w:right w:val="single" w:sz="8" w:space="0" w:color="auto"/>
            </w:tcBorders>
            <w:shd w:val="clear" w:color="auto" w:fill="auto"/>
            <w:vAlign w:val="center"/>
          </w:tcPr>
          <w:p w14:paraId="139E2CE7"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BFI.H092</w:t>
            </w:r>
          </w:p>
        </w:tc>
      </w:tr>
      <w:tr w:rsidR="0082721C" w:rsidRPr="003042F6" w14:paraId="5D9153D6" w14:textId="77777777" w:rsidTr="00E450A4">
        <w:trPr>
          <w:trHeight w:val="255"/>
        </w:trPr>
        <w:tc>
          <w:tcPr>
            <w:tcW w:w="4820" w:type="dxa"/>
            <w:gridSpan w:val="2"/>
            <w:tcBorders>
              <w:top w:val="nil"/>
              <w:left w:val="single" w:sz="8" w:space="0" w:color="auto"/>
              <w:bottom w:val="nil"/>
              <w:right w:val="single" w:sz="8" w:space="0" w:color="auto"/>
            </w:tcBorders>
            <w:shd w:val="clear" w:color="auto" w:fill="auto"/>
            <w:noWrap/>
            <w:vAlign w:val="center"/>
          </w:tcPr>
          <w:p w14:paraId="047A5C4C" w14:textId="2E7F0719" w:rsidR="0082721C" w:rsidRPr="006D5837" w:rsidRDefault="0082721C" w:rsidP="00E67116">
            <w:pPr>
              <w:spacing w:after="0" w:line="240" w:lineRule="auto"/>
              <w:ind w:left="355"/>
              <w:rPr>
                <w:rFonts w:ascii="Arial Narrow" w:eastAsia="Times New Roman" w:hAnsi="Arial Narrow" w:cs="Arial"/>
                <w:sz w:val="16"/>
                <w:szCs w:val="16"/>
                <w:lang w:eastAsia="pt-BR"/>
              </w:rPr>
            </w:pPr>
            <w:r w:rsidRPr="006D5837">
              <w:rPr>
                <w:rFonts w:ascii="Arial Narrow" w:eastAsia="Times New Roman" w:hAnsi="Arial Narrow" w:cs="Arial"/>
                <w:sz w:val="16"/>
                <w:szCs w:val="16"/>
                <w:lang w:eastAsia="pt-BR"/>
              </w:rPr>
              <w:t xml:space="preserve">214 - Transferências Fundo a Fundo de Rec. do SUS provenientes do Governo Federal (Bloco de </w:t>
            </w:r>
            <w:r w:rsidR="00E676B0" w:rsidRPr="00E676B0">
              <w:rPr>
                <w:rFonts w:ascii="Arial Narrow" w:eastAsia="Times New Roman" w:hAnsi="Arial Narrow" w:cs="Arial"/>
                <w:color w:val="0070C0"/>
                <w:sz w:val="16"/>
                <w:szCs w:val="16"/>
                <w:lang w:eastAsia="pt-BR"/>
              </w:rPr>
              <w:t>Manutenção</w:t>
            </w:r>
            <w:r w:rsidR="00E676B0">
              <w:rPr>
                <w:rFonts w:ascii="Arial Narrow" w:eastAsia="Times New Roman" w:hAnsi="Arial Narrow" w:cs="Arial"/>
                <w:sz w:val="16"/>
                <w:szCs w:val="16"/>
                <w:lang w:eastAsia="pt-BR"/>
              </w:rPr>
              <w:t xml:space="preserve"> </w:t>
            </w:r>
            <w:r w:rsidRPr="00E676B0">
              <w:rPr>
                <w:rFonts w:ascii="Arial Narrow" w:eastAsia="Times New Roman" w:hAnsi="Arial Narrow" w:cs="Arial"/>
                <w:strike/>
                <w:color w:val="FF0000"/>
                <w:sz w:val="16"/>
                <w:szCs w:val="16"/>
                <w:lang w:eastAsia="pt-BR"/>
              </w:rPr>
              <w:t xml:space="preserve">Custeio </w:t>
            </w:r>
            <w:r w:rsidRPr="006D5837">
              <w:rPr>
                <w:rFonts w:ascii="Arial Narrow" w:eastAsia="Times New Roman" w:hAnsi="Arial Narrow" w:cs="Arial"/>
                <w:sz w:val="16"/>
                <w:szCs w:val="16"/>
                <w:lang w:eastAsia="pt-BR"/>
              </w:rPr>
              <w:t>das Ações e Serviços Públicos de Saúde)</w:t>
            </w:r>
          </w:p>
        </w:tc>
        <w:tc>
          <w:tcPr>
            <w:tcW w:w="1134" w:type="dxa"/>
            <w:tcBorders>
              <w:top w:val="nil"/>
              <w:left w:val="nil"/>
              <w:bottom w:val="nil"/>
              <w:right w:val="single" w:sz="8" w:space="0" w:color="auto"/>
            </w:tcBorders>
            <w:shd w:val="clear" w:color="auto" w:fill="auto"/>
            <w:vAlign w:val="center"/>
          </w:tcPr>
          <w:p w14:paraId="65337BBD"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BFI.C093</w:t>
            </w:r>
          </w:p>
        </w:tc>
        <w:tc>
          <w:tcPr>
            <w:tcW w:w="1276" w:type="dxa"/>
            <w:tcBorders>
              <w:top w:val="nil"/>
              <w:left w:val="nil"/>
              <w:bottom w:val="nil"/>
              <w:right w:val="single" w:sz="8" w:space="0" w:color="auto"/>
            </w:tcBorders>
            <w:shd w:val="clear" w:color="auto" w:fill="auto"/>
            <w:vAlign w:val="center"/>
          </w:tcPr>
          <w:p w14:paraId="031F0158"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BFI.D093</w:t>
            </w:r>
          </w:p>
        </w:tc>
        <w:tc>
          <w:tcPr>
            <w:tcW w:w="4243" w:type="dxa"/>
            <w:tcBorders>
              <w:top w:val="nil"/>
              <w:left w:val="nil"/>
              <w:bottom w:val="nil"/>
              <w:right w:val="single" w:sz="8" w:space="0" w:color="auto"/>
            </w:tcBorders>
            <w:shd w:val="clear" w:color="auto" w:fill="auto"/>
            <w:noWrap/>
            <w:vAlign w:val="center"/>
          </w:tcPr>
          <w:p w14:paraId="57832DDC" w14:textId="4D5B2F45" w:rsidR="0082721C" w:rsidRPr="006D5837" w:rsidRDefault="0082721C" w:rsidP="00E67116">
            <w:pPr>
              <w:spacing w:after="0" w:line="240" w:lineRule="auto"/>
              <w:ind w:left="355"/>
              <w:rPr>
                <w:rFonts w:ascii="Arial Narrow" w:eastAsia="Times New Roman" w:hAnsi="Arial Narrow" w:cs="Arial"/>
                <w:sz w:val="16"/>
                <w:szCs w:val="16"/>
                <w:lang w:eastAsia="pt-BR"/>
              </w:rPr>
            </w:pPr>
            <w:r w:rsidRPr="006D5837">
              <w:rPr>
                <w:rFonts w:ascii="Arial Narrow" w:eastAsia="Times New Roman" w:hAnsi="Arial Narrow" w:cs="Arial"/>
                <w:sz w:val="16"/>
                <w:szCs w:val="16"/>
                <w:lang w:eastAsia="pt-BR"/>
              </w:rPr>
              <w:t xml:space="preserve">214 - Transferências Fundo a Fundo de Rec. do SUS provenientes do Governo Federal (Bloco de </w:t>
            </w:r>
            <w:r w:rsidR="00302520" w:rsidRPr="00E676B0">
              <w:rPr>
                <w:rFonts w:ascii="Arial Narrow" w:eastAsia="Times New Roman" w:hAnsi="Arial Narrow" w:cs="Arial"/>
                <w:color w:val="0070C0"/>
                <w:sz w:val="16"/>
                <w:szCs w:val="16"/>
                <w:lang w:eastAsia="pt-BR"/>
              </w:rPr>
              <w:t>Manutenção</w:t>
            </w:r>
            <w:r w:rsidR="00302520">
              <w:rPr>
                <w:rFonts w:ascii="Arial Narrow" w:eastAsia="Times New Roman" w:hAnsi="Arial Narrow" w:cs="Arial"/>
                <w:sz w:val="16"/>
                <w:szCs w:val="16"/>
                <w:lang w:eastAsia="pt-BR"/>
              </w:rPr>
              <w:t xml:space="preserve"> </w:t>
            </w:r>
            <w:r w:rsidR="00302520" w:rsidRPr="00E676B0">
              <w:rPr>
                <w:rFonts w:ascii="Arial Narrow" w:eastAsia="Times New Roman" w:hAnsi="Arial Narrow" w:cs="Arial"/>
                <w:strike/>
                <w:color w:val="FF0000"/>
                <w:sz w:val="16"/>
                <w:szCs w:val="16"/>
                <w:lang w:eastAsia="pt-BR"/>
              </w:rPr>
              <w:t>Custeio</w:t>
            </w:r>
            <w:r w:rsidRPr="006D5837">
              <w:rPr>
                <w:rFonts w:ascii="Arial Narrow" w:eastAsia="Times New Roman" w:hAnsi="Arial Narrow" w:cs="Arial"/>
                <w:sz w:val="16"/>
                <w:szCs w:val="16"/>
                <w:lang w:eastAsia="pt-BR"/>
              </w:rPr>
              <w:t xml:space="preserve"> das Ações e Serviços Públicos de Saúde)</w:t>
            </w:r>
          </w:p>
        </w:tc>
        <w:tc>
          <w:tcPr>
            <w:tcW w:w="1285" w:type="dxa"/>
            <w:gridSpan w:val="2"/>
            <w:tcBorders>
              <w:top w:val="nil"/>
              <w:left w:val="nil"/>
              <w:bottom w:val="nil"/>
              <w:right w:val="single" w:sz="8" w:space="0" w:color="auto"/>
            </w:tcBorders>
            <w:shd w:val="clear" w:color="auto" w:fill="auto"/>
            <w:vAlign w:val="center"/>
          </w:tcPr>
          <w:p w14:paraId="5E834729"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BFI.G093</w:t>
            </w:r>
          </w:p>
        </w:tc>
        <w:tc>
          <w:tcPr>
            <w:tcW w:w="1276" w:type="dxa"/>
            <w:gridSpan w:val="2"/>
            <w:tcBorders>
              <w:top w:val="nil"/>
              <w:left w:val="nil"/>
              <w:bottom w:val="nil"/>
              <w:right w:val="single" w:sz="8" w:space="0" w:color="auto"/>
            </w:tcBorders>
            <w:shd w:val="clear" w:color="auto" w:fill="auto"/>
            <w:vAlign w:val="center"/>
          </w:tcPr>
          <w:p w14:paraId="6D4DD27F"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BFI.H093</w:t>
            </w:r>
          </w:p>
        </w:tc>
      </w:tr>
      <w:tr w:rsidR="0082721C" w:rsidRPr="003042F6" w14:paraId="52130A4F" w14:textId="77777777" w:rsidTr="00E450A4">
        <w:trPr>
          <w:trHeight w:val="255"/>
        </w:trPr>
        <w:tc>
          <w:tcPr>
            <w:tcW w:w="4820" w:type="dxa"/>
            <w:gridSpan w:val="2"/>
            <w:tcBorders>
              <w:top w:val="nil"/>
              <w:left w:val="single" w:sz="8" w:space="0" w:color="auto"/>
              <w:bottom w:val="nil"/>
              <w:right w:val="single" w:sz="8" w:space="0" w:color="auto"/>
            </w:tcBorders>
            <w:shd w:val="clear" w:color="auto" w:fill="auto"/>
            <w:noWrap/>
            <w:vAlign w:val="center"/>
          </w:tcPr>
          <w:p w14:paraId="2B4A22C4" w14:textId="782FFF6E" w:rsidR="0082721C" w:rsidRPr="006D5837" w:rsidRDefault="0082721C" w:rsidP="00E67116">
            <w:pPr>
              <w:spacing w:after="0" w:line="240" w:lineRule="auto"/>
              <w:ind w:left="355"/>
              <w:rPr>
                <w:rFonts w:ascii="Arial Narrow" w:eastAsia="Times New Roman" w:hAnsi="Arial Narrow" w:cs="Arial"/>
                <w:sz w:val="16"/>
                <w:szCs w:val="16"/>
                <w:lang w:eastAsia="pt-BR"/>
              </w:rPr>
            </w:pPr>
            <w:r w:rsidRPr="006D5837">
              <w:rPr>
                <w:rFonts w:ascii="Arial Narrow" w:eastAsia="Times New Roman" w:hAnsi="Arial Narrow" w:cs="Arial"/>
                <w:sz w:val="16"/>
                <w:szCs w:val="16"/>
                <w:lang w:eastAsia="pt-BR"/>
              </w:rPr>
              <w:t xml:space="preserve">215 - Transferências Fundo a Fundo de Rec. do SUS provenientes do Governo Federal (Bloco de </w:t>
            </w:r>
            <w:r w:rsidR="000B19AE" w:rsidRPr="000B19AE">
              <w:rPr>
                <w:rFonts w:ascii="Arial Narrow" w:eastAsia="Times New Roman" w:hAnsi="Arial Narrow" w:cs="Arial"/>
                <w:color w:val="0070C0"/>
                <w:sz w:val="16"/>
                <w:szCs w:val="16"/>
                <w:lang w:eastAsia="pt-BR"/>
              </w:rPr>
              <w:t>Estruturação</w:t>
            </w:r>
            <w:r w:rsidR="000B19AE">
              <w:rPr>
                <w:rFonts w:ascii="Arial Narrow" w:eastAsia="Times New Roman" w:hAnsi="Arial Narrow" w:cs="Arial"/>
                <w:sz w:val="16"/>
                <w:szCs w:val="16"/>
                <w:lang w:eastAsia="pt-BR"/>
              </w:rPr>
              <w:t xml:space="preserve"> </w:t>
            </w:r>
            <w:r w:rsidRPr="000B19AE">
              <w:rPr>
                <w:rFonts w:ascii="Arial Narrow" w:eastAsia="Times New Roman" w:hAnsi="Arial Narrow" w:cs="Arial"/>
                <w:strike/>
                <w:color w:val="FF0000"/>
                <w:sz w:val="16"/>
                <w:szCs w:val="16"/>
                <w:lang w:eastAsia="pt-BR"/>
              </w:rPr>
              <w:t>Investimento</w:t>
            </w:r>
            <w:r w:rsidRPr="006D5837">
              <w:rPr>
                <w:rFonts w:ascii="Arial Narrow" w:eastAsia="Times New Roman" w:hAnsi="Arial Narrow" w:cs="Arial"/>
                <w:sz w:val="16"/>
                <w:szCs w:val="16"/>
                <w:lang w:eastAsia="pt-BR"/>
              </w:rPr>
              <w:t xml:space="preserve"> na Rede de Serviços Públicos de Saúde)</w:t>
            </w:r>
          </w:p>
        </w:tc>
        <w:tc>
          <w:tcPr>
            <w:tcW w:w="1134" w:type="dxa"/>
            <w:tcBorders>
              <w:top w:val="nil"/>
              <w:left w:val="nil"/>
              <w:bottom w:val="nil"/>
              <w:right w:val="single" w:sz="8" w:space="0" w:color="auto"/>
            </w:tcBorders>
            <w:shd w:val="clear" w:color="auto" w:fill="auto"/>
            <w:vAlign w:val="center"/>
          </w:tcPr>
          <w:p w14:paraId="562493DE"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BFI.C094</w:t>
            </w:r>
          </w:p>
        </w:tc>
        <w:tc>
          <w:tcPr>
            <w:tcW w:w="1276" w:type="dxa"/>
            <w:tcBorders>
              <w:top w:val="nil"/>
              <w:left w:val="nil"/>
              <w:bottom w:val="nil"/>
              <w:right w:val="single" w:sz="8" w:space="0" w:color="auto"/>
            </w:tcBorders>
            <w:shd w:val="clear" w:color="auto" w:fill="auto"/>
            <w:vAlign w:val="center"/>
          </w:tcPr>
          <w:p w14:paraId="54497D3F"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BFI.D094</w:t>
            </w:r>
          </w:p>
        </w:tc>
        <w:tc>
          <w:tcPr>
            <w:tcW w:w="4243" w:type="dxa"/>
            <w:tcBorders>
              <w:top w:val="nil"/>
              <w:left w:val="nil"/>
              <w:bottom w:val="nil"/>
              <w:right w:val="single" w:sz="8" w:space="0" w:color="auto"/>
            </w:tcBorders>
            <w:shd w:val="clear" w:color="auto" w:fill="auto"/>
            <w:noWrap/>
            <w:vAlign w:val="center"/>
          </w:tcPr>
          <w:p w14:paraId="2256AC4F" w14:textId="4DB60A8E" w:rsidR="0082721C" w:rsidRPr="006D5837" w:rsidRDefault="0082721C" w:rsidP="00E67116">
            <w:pPr>
              <w:spacing w:after="0" w:line="240" w:lineRule="auto"/>
              <w:ind w:left="355"/>
              <w:rPr>
                <w:rFonts w:ascii="Arial Narrow" w:eastAsia="Times New Roman" w:hAnsi="Arial Narrow" w:cs="Arial"/>
                <w:sz w:val="16"/>
                <w:szCs w:val="16"/>
                <w:lang w:eastAsia="pt-BR"/>
              </w:rPr>
            </w:pPr>
            <w:r w:rsidRPr="006D5837">
              <w:rPr>
                <w:rFonts w:ascii="Arial Narrow" w:eastAsia="Times New Roman" w:hAnsi="Arial Narrow" w:cs="Arial"/>
                <w:sz w:val="16"/>
                <w:szCs w:val="16"/>
                <w:lang w:eastAsia="pt-BR"/>
              </w:rPr>
              <w:t xml:space="preserve">215 - Transferências Fundo a Fundo de Rec. do SUS provenientes do Governo Federal (Bloco de </w:t>
            </w:r>
            <w:r w:rsidR="000B19AE" w:rsidRPr="000B19AE">
              <w:rPr>
                <w:rFonts w:ascii="Arial Narrow" w:eastAsia="Times New Roman" w:hAnsi="Arial Narrow" w:cs="Arial"/>
                <w:color w:val="0070C0"/>
                <w:sz w:val="16"/>
                <w:szCs w:val="16"/>
                <w:lang w:eastAsia="pt-BR"/>
              </w:rPr>
              <w:t>Estruturação</w:t>
            </w:r>
            <w:r w:rsidR="000B19AE">
              <w:rPr>
                <w:rFonts w:ascii="Arial Narrow" w:eastAsia="Times New Roman" w:hAnsi="Arial Narrow" w:cs="Arial"/>
                <w:sz w:val="16"/>
                <w:szCs w:val="16"/>
                <w:lang w:eastAsia="pt-BR"/>
              </w:rPr>
              <w:t xml:space="preserve"> </w:t>
            </w:r>
            <w:r w:rsidR="000B19AE" w:rsidRPr="000B19AE">
              <w:rPr>
                <w:rFonts w:ascii="Arial Narrow" w:eastAsia="Times New Roman" w:hAnsi="Arial Narrow" w:cs="Arial"/>
                <w:strike/>
                <w:color w:val="FF0000"/>
                <w:sz w:val="16"/>
                <w:szCs w:val="16"/>
                <w:lang w:eastAsia="pt-BR"/>
              </w:rPr>
              <w:t>Investimento</w:t>
            </w:r>
            <w:r w:rsidRPr="006D5837">
              <w:rPr>
                <w:rFonts w:ascii="Arial Narrow" w:eastAsia="Times New Roman" w:hAnsi="Arial Narrow" w:cs="Arial"/>
                <w:sz w:val="16"/>
                <w:szCs w:val="16"/>
                <w:lang w:eastAsia="pt-BR"/>
              </w:rPr>
              <w:t xml:space="preserve"> na Rede de Serviços Públicos de Saúde)</w:t>
            </w:r>
          </w:p>
        </w:tc>
        <w:tc>
          <w:tcPr>
            <w:tcW w:w="1285" w:type="dxa"/>
            <w:gridSpan w:val="2"/>
            <w:tcBorders>
              <w:top w:val="nil"/>
              <w:left w:val="nil"/>
              <w:bottom w:val="nil"/>
              <w:right w:val="single" w:sz="8" w:space="0" w:color="auto"/>
            </w:tcBorders>
            <w:shd w:val="clear" w:color="auto" w:fill="auto"/>
            <w:vAlign w:val="center"/>
          </w:tcPr>
          <w:p w14:paraId="721D250B"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BFI.G094</w:t>
            </w:r>
          </w:p>
        </w:tc>
        <w:tc>
          <w:tcPr>
            <w:tcW w:w="1276" w:type="dxa"/>
            <w:gridSpan w:val="2"/>
            <w:tcBorders>
              <w:top w:val="nil"/>
              <w:left w:val="nil"/>
              <w:bottom w:val="nil"/>
              <w:right w:val="single" w:sz="8" w:space="0" w:color="auto"/>
            </w:tcBorders>
            <w:shd w:val="clear" w:color="auto" w:fill="auto"/>
            <w:vAlign w:val="center"/>
          </w:tcPr>
          <w:p w14:paraId="632308BC"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BFI.H094</w:t>
            </w:r>
          </w:p>
        </w:tc>
      </w:tr>
      <w:tr w:rsidR="0082721C" w:rsidRPr="003042F6" w14:paraId="46C6E841" w14:textId="77777777" w:rsidTr="00E450A4">
        <w:trPr>
          <w:trHeight w:val="255"/>
        </w:trPr>
        <w:tc>
          <w:tcPr>
            <w:tcW w:w="4820" w:type="dxa"/>
            <w:gridSpan w:val="2"/>
            <w:tcBorders>
              <w:top w:val="nil"/>
              <w:left w:val="single" w:sz="8" w:space="0" w:color="auto"/>
              <w:bottom w:val="nil"/>
              <w:right w:val="single" w:sz="8" w:space="0" w:color="auto"/>
            </w:tcBorders>
            <w:shd w:val="clear" w:color="auto" w:fill="auto"/>
            <w:noWrap/>
            <w:vAlign w:val="center"/>
            <w:hideMark/>
          </w:tcPr>
          <w:p w14:paraId="3F7F55C3" w14:textId="303FE3A8" w:rsidR="0082721C" w:rsidRPr="006D5837" w:rsidRDefault="0082721C" w:rsidP="00E67116">
            <w:pPr>
              <w:spacing w:after="0" w:line="240" w:lineRule="auto"/>
              <w:ind w:left="355"/>
              <w:rPr>
                <w:rFonts w:ascii="Arial Narrow" w:eastAsia="Times New Roman" w:hAnsi="Arial Narrow" w:cs="Arial"/>
                <w:sz w:val="16"/>
                <w:szCs w:val="16"/>
                <w:lang w:eastAsia="pt-BR"/>
              </w:rPr>
            </w:pPr>
            <w:r w:rsidRPr="006D5837">
              <w:rPr>
                <w:rFonts w:ascii="Arial Narrow" w:eastAsia="Times New Roman" w:hAnsi="Arial Narrow" w:cs="Arial"/>
                <w:sz w:val="16"/>
                <w:szCs w:val="16"/>
                <w:lang w:eastAsia="pt-BR"/>
              </w:rPr>
              <w:t xml:space="preserve">250 – Receitas de Impostos e Transferência de Impostos – Saúde </w:t>
            </w:r>
            <w:r w:rsidR="000B19AE">
              <w:rPr>
                <w:rFonts w:ascii="Arial Narrow" w:eastAsia="Times New Roman" w:hAnsi="Arial Narrow" w:cs="Arial"/>
                <w:sz w:val="16"/>
                <w:szCs w:val="16"/>
                <w:lang w:eastAsia="pt-BR"/>
              </w:rPr>
              <w:t>–</w:t>
            </w:r>
            <w:r w:rsidRPr="006D5837">
              <w:rPr>
                <w:rFonts w:ascii="Arial Narrow" w:eastAsia="Times New Roman" w:hAnsi="Arial Narrow" w:cs="Arial"/>
                <w:sz w:val="16"/>
                <w:szCs w:val="16"/>
                <w:lang w:eastAsia="pt-BR"/>
              </w:rPr>
              <w:t xml:space="preserve"> Remuneração de Depósitos Bancários</w:t>
            </w:r>
          </w:p>
        </w:tc>
        <w:tc>
          <w:tcPr>
            <w:tcW w:w="1134" w:type="dxa"/>
            <w:tcBorders>
              <w:top w:val="nil"/>
              <w:left w:val="nil"/>
              <w:bottom w:val="nil"/>
              <w:right w:val="single" w:sz="8" w:space="0" w:color="auto"/>
            </w:tcBorders>
            <w:shd w:val="clear" w:color="auto" w:fill="auto"/>
            <w:vAlign w:val="center"/>
            <w:hideMark/>
          </w:tcPr>
          <w:p w14:paraId="1309E43F"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BFI.C028</w:t>
            </w:r>
          </w:p>
        </w:tc>
        <w:tc>
          <w:tcPr>
            <w:tcW w:w="1276" w:type="dxa"/>
            <w:tcBorders>
              <w:top w:val="nil"/>
              <w:left w:val="nil"/>
              <w:bottom w:val="nil"/>
              <w:right w:val="single" w:sz="8" w:space="0" w:color="auto"/>
            </w:tcBorders>
            <w:shd w:val="clear" w:color="auto" w:fill="auto"/>
            <w:vAlign w:val="center"/>
            <w:hideMark/>
          </w:tcPr>
          <w:p w14:paraId="7D860685"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BFI.D028</w:t>
            </w:r>
          </w:p>
        </w:tc>
        <w:tc>
          <w:tcPr>
            <w:tcW w:w="4243" w:type="dxa"/>
            <w:tcBorders>
              <w:top w:val="nil"/>
              <w:left w:val="nil"/>
              <w:bottom w:val="nil"/>
              <w:right w:val="single" w:sz="8" w:space="0" w:color="auto"/>
            </w:tcBorders>
            <w:shd w:val="clear" w:color="auto" w:fill="auto"/>
            <w:noWrap/>
            <w:vAlign w:val="center"/>
            <w:hideMark/>
          </w:tcPr>
          <w:p w14:paraId="19B52104" w14:textId="0255B738" w:rsidR="0082721C" w:rsidRPr="006D5837" w:rsidRDefault="0082721C" w:rsidP="00E67116">
            <w:pPr>
              <w:spacing w:after="0" w:line="240" w:lineRule="auto"/>
              <w:ind w:left="355"/>
              <w:rPr>
                <w:rFonts w:ascii="Arial Narrow" w:eastAsia="Times New Roman" w:hAnsi="Arial Narrow" w:cs="Arial"/>
                <w:sz w:val="16"/>
                <w:szCs w:val="16"/>
                <w:lang w:eastAsia="pt-BR"/>
              </w:rPr>
            </w:pPr>
            <w:r w:rsidRPr="006D5837">
              <w:rPr>
                <w:rFonts w:ascii="Arial Narrow" w:eastAsia="Times New Roman" w:hAnsi="Arial Narrow" w:cs="Arial"/>
                <w:sz w:val="16"/>
                <w:szCs w:val="16"/>
                <w:lang w:eastAsia="pt-BR"/>
              </w:rPr>
              <w:t xml:space="preserve">250 – Receitas de Impostos e Transferência de Impostos – Saúde </w:t>
            </w:r>
            <w:r w:rsidR="000B19AE">
              <w:rPr>
                <w:rFonts w:ascii="Arial Narrow" w:eastAsia="Times New Roman" w:hAnsi="Arial Narrow" w:cs="Arial"/>
                <w:sz w:val="16"/>
                <w:szCs w:val="16"/>
                <w:lang w:eastAsia="pt-BR"/>
              </w:rPr>
              <w:t>–</w:t>
            </w:r>
            <w:r w:rsidRPr="006D5837">
              <w:rPr>
                <w:rFonts w:ascii="Arial Narrow" w:eastAsia="Times New Roman" w:hAnsi="Arial Narrow" w:cs="Arial"/>
                <w:sz w:val="16"/>
                <w:szCs w:val="16"/>
                <w:lang w:eastAsia="pt-BR"/>
              </w:rPr>
              <w:t xml:space="preserve"> Remuneração de Depósitos Bancários</w:t>
            </w:r>
          </w:p>
        </w:tc>
        <w:tc>
          <w:tcPr>
            <w:tcW w:w="1285" w:type="dxa"/>
            <w:gridSpan w:val="2"/>
            <w:tcBorders>
              <w:top w:val="nil"/>
              <w:left w:val="nil"/>
              <w:bottom w:val="nil"/>
              <w:right w:val="single" w:sz="8" w:space="0" w:color="auto"/>
            </w:tcBorders>
            <w:shd w:val="clear" w:color="auto" w:fill="auto"/>
            <w:vAlign w:val="center"/>
            <w:hideMark/>
          </w:tcPr>
          <w:p w14:paraId="54C0644D"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BFI.G028</w:t>
            </w:r>
          </w:p>
        </w:tc>
        <w:tc>
          <w:tcPr>
            <w:tcW w:w="1276" w:type="dxa"/>
            <w:gridSpan w:val="2"/>
            <w:tcBorders>
              <w:top w:val="nil"/>
              <w:left w:val="nil"/>
              <w:bottom w:val="nil"/>
              <w:right w:val="single" w:sz="8" w:space="0" w:color="auto"/>
            </w:tcBorders>
            <w:shd w:val="clear" w:color="auto" w:fill="auto"/>
            <w:vAlign w:val="center"/>
            <w:hideMark/>
          </w:tcPr>
          <w:p w14:paraId="73D4D39B"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BFI.H028</w:t>
            </w:r>
          </w:p>
        </w:tc>
      </w:tr>
      <w:tr w:rsidR="0082721C" w:rsidRPr="003042F6" w14:paraId="22F28555" w14:textId="77777777" w:rsidTr="00E450A4">
        <w:trPr>
          <w:trHeight w:val="255"/>
        </w:trPr>
        <w:tc>
          <w:tcPr>
            <w:tcW w:w="4820" w:type="dxa"/>
            <w:gridSpan w:val="2"/>
            <w:tcBorders>
              <w:top w:val="nil"/>
              <w:left w:val="single" w:sz="8" w:space="0" w:color="auto"/>
              <w:bottom w:val="nil"/>
              <w:right w:val="single" w:sz="8" w:space="0" w:color="auto"/>
            </w:tcBorders>
            <w:shd w:val="clear" w:color="auto" w:fill="auto"/>
            <w:noWrap/>
            <w:vAlign w:val="center"/>
          </w:tcPr>
          <w:p w14:paraId="57C8E4B2" w14:textId="77777777" w:rsidR="0082721C" w:rsidRPr="006D5837" w:rsidRDefault="0082721C" w:rsidP="00E67116">
            <w:pPr>
              <w:spacing w:after="0" w:line="240" w:lineRule="auto"/>
              <w:ind w:left="355"/>
              <w:rPr>
                <w:rFonts w:ascii="Arial Narrow" w:eastAsia="Times New Roman" w:hAnsi="Arial Narrow" w:cs="Arial"/>
                <w:sz w:val="16"/>
                <w:szCs w:val="16"/>
                <w:lang w:eastAsia="pt-BR"/>
              </w:rPr>
            </w:pPr>
            <w:r w:rsidRPr="006D5837">
              <w:rPr>
                <w:rFonts w:ascii="Arial Narrow" w:eastAsia="Times New Roman" w:hAnsi="Arial Narrow" w:cs="Arial"/>
                <w:sz w:val="16"/>
                <w:szCs w:val="16"/>
                <w:lang w:eastAsia="pt-BR"/>
              </w:rPr>
              <w:t>212 – Transferências Fundo a Fundo de Recursos do SUS Provenientes dos Governos Municipais</w:t>
            </w:r>
          </w:p>
        </w:tc>
        <w:tc>
          <w:tcPr>
            <w:tcW w:w="1134" w:type="dxa"/>
            <w:tcBorders>
              <w:top w:val="nil"/>
              <w:left w:val="nil"/>
              <w:bottom w:val="nil"/>
              <w:right w:val="single" w:sz="8" w:space="0" w:color="auto"/>
            </w:tcBorders>
            <w:shd w:val="clear" w:color="auto" w:fill="auto"/>
            <w:vAlign w:val="center"/>
          </w:tcPr>
          <w:p w14:paraId="50FA6DC2" w14:textId="77777777" w:rsidR="0082721C" w:rsidRPr="00446D2A" w:rsidRDefault="0082721C" w:rsidP="00E67116">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BFI.C104</w:t>
            </w:r>
          </w:p>
        </w:tc>
        <w:tc>
          <w:tcPr>
            <w:tcW w:w="1276" w:type="dxa"/>
            <w:tcBorders>
              <w:top w:val="nil"/>
              <w:left w:val="nil"/>
              <w:bottom w:val="nil"/>
              <w:right w:val="single" w:sz="8" w:space="0" w:color="auto"/>
            </w:tcBorders>
            <w:shd w:val="clear" w:color="auto" w:fill="auto"/>
            <w:vAlign w:val="center"/>
          </w:tcPr>
          <w:p w14:paraId="3251974D" w14:textId="77777777" w:rsidR="0082721C" w:rsidRPr="00446D2A" w:rsidRDefault="0082721C" w:rsidP="00E67116">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BFI.D104</w:t>
            </w:r>
          </w:p>
        </w:tc>
        <w:tc>
          <w:tcPr>
            <w:tcW w:w="4243" w:type="dxa"/>
            <w:tcBorders>
              <w:top w:val="nil"/>
              <w:left w:val="nil"/>
              <w:bottom w:val="nil"/>
              <w:right w:val="single" w:sz="8" w:space="0" w:color="auto"/>
            </w:tcBorders>
            <w:shd w:val="clear" w:color="auto" w:fill="auto"/>
            <w:noWrap/>
            <w:vAlign w:val="center"/>
          </w:tcPr>
          <w:p w14:paraId="7F26270E" w14:textId="77777777" w:rsidR="0082721C" w:rsidRPr="006D5837" w:rsidRDefault="0082721C" w:rsidP="00E67116">
            <w:pPr>
              <w:spacing w:after="0" w:line="240" w:lineRule="auto"/>
              <w:ind w:left="355"/>
              <w:rPr>
                <w:rFonts w:ascii="Arial Narrow" w:eastAsia="Times New Roman" w:hAnsi="Arial Narrow" w:cs="Arial"/>
                <w:sz w:val="16"/>
                <w:szCs w:val="16"/>
                <w:lang w:eastAsia="pt-BR"/>
              </w:rPr>
            </w:pPr>
            <w:r w:rsidRPr="006D5837">
              <w:rPr>
                <w:rFonts w:ascii="Arial Narrow" w:eastAsia="Times New Roman" w:hAnsi="Arial Narrow" w:cs="Arial"/>
                <w:sz w:val="16"/>
                <w:szCs w:val="16"/>
                <w:lang w:eastAsia="pt-BR"/>
              </w:rPr>
              <w:t>212 – Transferências Fundo a Fundo de Recursos do SUS Provenientes dos Governos Municipais</w:t>
            </w:r>
          </w:p>
        </w:tc>
        <w:tc>
          <w:tcPr>
            <w:tcW w:w="1285" w:type="dxa"/>
            <w:gridSpan w:val="2"/>
            <w:tcBorders>
              <w:top w:val="nil"/>
              <w:left w:val="nil"/>
              <w:bottom w:val="nil"/>
              <w:right w:val="single" w:sz="8" w:space="0" w:color="auto"/>
            </w:tcBorders>
            <w:shd w:val="clear" w:color="auto" w:fill="auto"/>
            <w:vAlign w:val="center"/>
          </w:tcPr>
          <w:p w14:paraId="75B54C3A" w14:textId="77777777" w:rsidR="0082721C" w:rsidRPr="00446D2A" w:rsidRDefault="0082721C" w:rsidP="00E67116">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BFI.G104</w:t>
            </w:r>
          </w:p>
        </w:tc>
        <w:tc>
          <w:tcPr>
            <w:tcW w:w="1276" w:type="dxa"/>
            <w:gridSpan w:val="2"/>
            <w:tcBorders>
              <w:top w:val="nil"/>
              <w:left w:val="nil"/>
              <w:bottom w:val="nil"/>
              <w:right w:val="single" w:sz="8" w:space="0" w:color="auto"/>
            </w:tcBorders>
            <w:shd w:val="clear" w:color="auto" w:fill="auto"/>
            <w:vAlign w:val="center"/>
          </w:tcPr>
          <w:p w14:paraId="473A4EEC" w14:textId="77777777" w:rsidR="0082721C" w:rsidRPr="00446D2A" w:rsidRDefault="0082721C" w:rsidP="00E67116">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BFI.H104</w:t>
            </w:r>
          </w:p>
        </w:tc>
      </w:tr>
      <w:tr w:rsidR="0082721C" w:rsidRPr="003042F6" w14:paraId="2BE27A55" w14:textId="77777777" w:rsidTr="00E450A4">
        <w:trPr>
          <w:trHeight w:val="255"/>
        </w:trPr>
        <w:tc>
          <w:tcPr>
            <w:tcW w:w="4820" w:type="dxa"/>
            <w:gridSpan w:val="2"/>
            <w:tcBorders>
              <w:top w:val="nil"/>
              <w:left w:val="single" w:sz="8" w:space="0" w:color="auto"/>
              <w:bottom w:val="nil"/>
              <w:right w:val="single" w:sz="8" w:space="0" w:color="auto"/>
            </w:tcBorders>
            <w:shd w:val="clear" w:color="auto" w:fill="auto"/>
            <w:noWrap/>
            <w:vAlign w:val="center"/>
          </w:tcPr>
          <w:p w14:paraId="4CF1E04D" w14:textId="77777777" w:rsidR="0082721C" w:rsidRPr="006D5837" w:rsidRDefault="0082721C" w:rsidP="00E67116">
            <w:pPr>
              <w:spacing w:after="0" w:line="240" w:lineRule="auto"/>
              <w:ind w:left="355"/>
              <w:rPr>
                <w:rFonts w:ascii="Arial Narrow" w:eastAsia="Times New Roman" w:hAnsi="Arial Narrow" w:cs="Arial"/>
                <w:sz w:val="16"/>
                <w:szCs w:val="16"/>
                <w:lang w:eastAsia="pt-BR"/>
              </w:rPr>
            </w:pPr>
            <w:r w:rsidRPr="006D5837">
              <w:rPr>
                <w:rFonts w:ascii="Arial Narrow" w:eastAsia="Times New Roman" w:hAnsi="Arial Narrow" w:cs="Arial"/>
                <w:sz w:val="16"/>
                <w:szCs w:val="16"/>
                <w:lang w:eastAsia="pt-BR"/>
              </w:rPr>
              <w:t>213 – Transferências Fundo a Fundo de Recursos Do SUS Provenientes do Governo Estadual</w:t>
            </w:r>
          </w:p>
        </w:tc>
        <w:tc>
          <w:tcPr>
            <w:tcW w:w="1134" w:type="dxa"/>
            <w:tcBorders>
              <w:top w:val="nil"/>
              <w:left w:val="nil"/>
              <w:bottom w:val="nil"/>
              <w:right w:val="single" w:sz="8" w:space="0" w:color="auto"/>
            </w:tcBorders>
            <w:shd w:val="clear" w:color="auto" w:fill="auto"/>
            <w:vAlign w:val="center"/>
          </w:tcPr>
          <w:p w14:paraId="7636BC51" w14:textId="77777777" w:rsidR="0082721C" w:rsidRPr="00446D2A" w:rsidRDefault="0082721C" w:rsidP="00E67116">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BFI.C105</w:t>
            </w:r>
          </w:p>
        </w:tc>
        <w:tc>
          <w:tcPr>
            <w:tcW w:w="1276" w:type="dxa"/>
            <w:tcBorders>
              <w:top w:val="nil"/>
              <w:left w:val="nil"/>
              <w:bottom w:val="nil"/>
              <w:right w:val="single" w:sz="8" w:space="0" w:color="auto"/>
            </w:tcBorders>
            <w:shd w:val="clear" w:color="auto" w:fill="auto"/>
            <w:vAlign w:val="center"/>
          </w:tcPr>
          <w:p w14:paraId="2CE3612B" w14:textId="77777777" w:rsidR="0082721C" w:rsidRPr="00446D2A" w:rsidRDefault="0082721C" w:rsidP="00E67116">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BFI.D105</w:t>
            </w:r>
          </w:p>
        </w:tc>
        <w:tc>
          <w:tcPr>
            <w:tcW w:w="4243" w:type="dxa"/>
            <w:tcBorders>
              <w:top w:val="nil"/>
              <w:left w:val="nil"/>
              <w:bottom w:val="nil"/>
              <w:right w:val="single" w:sz="8" w:space="0" w:color="auto"/>
            </w:tcBorders>
            <w:shd w:val="clear" w:color="auto" w:fill="auto"/>
            <w:noWrap/>
            <w:vAlign w:val="center"/>
          </w:tcPr>
          <w:p w14:paraId="2A137E46" w14:textId="77777777" w:rsidR="0082721C" w:rsidRPr="00446D2A" w:rsidRDefault="0082721C" w:rsidP="00E67116">
            <w:pPr>
              <w:spacing w:after="0" w:line="240" w:lineRule="auto"/>
              <w:ind w:left="355"/>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 xml:space="preserve">213 – </w:t>
            </w:r>
            <w:r>
              <w:rPr>
                <w:rFonts w:ascii="Arial Narrow" w:eastAsia="Times New Roman" w:hAnsi="Arial Narrow" w:cs="Arial"/>
                <w:sz w:val="16"/>
                <w:szCs w:val="16"/>
                <w:lang w:eastAsia="pt-BR"/>
              </w:rPr>
              <w:t>Transferências Fundo a Fundo de Recursos Do SUS Provenientes d</w:t>
            </w:r>
            <w:r w:rsidRPr="006D5837">
              <w:rPr>
                <w:rFonts w:ascii="Arial Narrow" w:eastAsia="Times New Roman" w:hAnsi="Arial Narrow" w:cs="Arial"/>
                <w:sz w:val="16"/>
                <w:szCs w:val="16"/>
                <w:lang w:eastAsia="pt-BR"/>
              </w:rPr>
              <w:t>o Governo Estadual</w:t>
            </w:r>
          </w:p>
        </w:tc>
        <w:tc>
          <w:tcPr>
            <w:tcW w:w="1285" w:type="dxa"/>
            <w:gridSpan w:val="2"/>
            <w:tcBorders>
              <w:top w:val="nil"/>
              <w:left w:val="nil"/>
              <w:bottom w:val="nil"/>
              <w:right w:val="single" w:sz="8" w:space="0" w:color="auto"/>
            </w:tcBorders>
            <w:shd w:val="clear" w:color="auto" w:fill="auto"/>
            <w:vAlign w:val="center"/>
          </w:tcPr>
          <w:p w14:paraId="48DFFA21" w14:textId="77777777" w:rsidR="0082721C" w:rsidRPr="00446D2A" w:rsidRDefault="0082721C" w:rsidP="00E67116">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BFI.G105</w:t>
            </w:r>
          </w:p>
        </w:tc>
        <w:tc>
          <w:tcPr>
            <w:tcW w:w="1276" w:type="dxa"/>
            <w:gridSpan w:val="2"/>
            <w:tcBorders>
              <w:top w:val="nil"/>
              <w:left w:val="nil"/>
              <w:bottom w:val="nil"/>
              <w:right w:val="single" w:sz="8" w:space="0" w:color="auto"/>
            </w:tcBorders>
            <w:shd w:val="clear" w:color="auto" w:fill="auto"/>
            <w:vAlign w:val="center"/>
          </w:tcPr>
          <w:p w14:paraId="538B8E64" w14:textId="77777777" w:rsidR="0082721C" w:rsidRPr="00446D2A" w:rsidRDefault="0082721C" w:rsidP="00E67116">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BFI.H105</w:t>
            </w:r>
          </w:p>
        </w:tc>
      </w:tr>
      <w:tr w:rsidR="0082721C" w:rsidRPr="003042F6" w14:paraId="35F6FC67" w14:textId="77777777" w:rsidTr="00E450A4">
        <w:trPr>
          <w:trHeight w:val="255"/>
        </w:trPr>
        <w:tc>
          <w:tcPr>
            <w:tcW w:w="4820" w:type="dxa"/>
            <w:gridSpan w:val="2"/>
            <w:tcBorders>
              <w:top w:val="nil"/>
              <w:left w:val="single" w:sz="8" w:space="0" w:color="auto"/>
              <w:bottom w:val="nil"/>
              <w:right w:val="single" w:sz="8" w:space="0" w:color="auto"/>
            </w:tcBorders>
            <w:shd w:val="clear" w:color="auto" w:fill="auto"/>
            <w:noWrap/>
            <w:vAlign w:val="center"/>
            <w:hideMark/>
          </w:tcPr>
          <w:p w14:paraId="2A7BC6DA" w14:textId="77777777" w:rsidR="0082721C" w:rsidRPr="00446D2A" w:rsidRDefault="0082721C" w:rsidP="00E67116">
            <w:pPr>
              <w:spacing w:after="0" w:line="240" w:lineRule="auto"/>
              <w:ind w:firstLineChars="221" w:firstLine="354"/>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220 – Transferência de Convênios</w:t>
            </w:r>
            <w:r>
              <w:rPr>
                <w:rFonts w:ascii="Arial Narrow" w:eastAsia="Times New Roman" w:hAnsi="Arial Narrow" w:cs="Arial"/>
                <w:sz w:val="16"/>
                <w:szCs w:val="16"/>
                <w:lang w:eastAsia="pt-BR"/>
              </w:rPr>
              <w:t xml:space="preserve"> ou de Contratos de Repasses</w:t>
            </w:r>
            <w:r w:rsidRPr="00446D2A">
              <w:rPr>
                <w:rFonts w:ascii="Arial Narrow" w:eastAsia="Times New Roman" w:hAnsi="Arial Narrow" w:cs="Arial"/>
                <w:sz w:val="16"/>
                <w:szCs w:val="16"/>
                <w:lang w:eastAsia="pt-BR"/>
              </w:rPr>
              <w:t xml:space="preserve"> vinculados à Saúde</w:t>
            </w:r>
          </w:p>
        </w:tc>
        <w:tc>
          <w:tcPr>
            <w:tcW w:w="1134" w:type="dxa"/>
            <w:tcBorders>
              <w:top w:val="nil"/>
              <w:left w:val="nil"/>
              <w:bottom w:val="nil"/>
              <w:right w:val="single" w:sz="8" w:space="0" w:color="auto"/>
            </w:tcBorders>
            <w:shd w:val="clear" w:color="auto" w:fill="auto"/>
            <w:vAlign w:val="center"/>
            <w:hideMark/>
          </w:tcPr>
          <w:p w14:paraId="698866F8"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BFI.C030</w:t>
            </w:r>
          </w:p>
        </w:tc>
        <w:tc>
          <w:tcPr>
            <w:tcW w:w="1276" w:type="dxa"/>
            <w:tcBorders>
              <w:top w:val="nil"/>
              <w:left w:val="nil"/>
              <w:bottom w:val="nil"/>
              <w:right w:val="single" w:sz="8" w:space="0" w:color="auto"/>
            </w:tcBorders>
            <w:shd w:val="clear" w:color="auto" w:fill="auto"/>
            <w:vAlign w:val="center"/>
            <w:hideMark/>
          </w:tcPr>
          <w:p w14:paraId="30E326C4"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BFI.D030</w:t>
            </w:r>
          </w:p>
        </w:tc>
        <w:tc>
          <w:tcPr>
            <w:tcW w:w="4243" w:type="dxa"/>
            <w:tcBorders>
              <w:top w:val="nil"/>
              <w:left w:val="nil"/>
              <w:bottom w:val="nil"/>
              <w:right w:val="single" w:sz="8" w:space="0" w:color="auto"/>
            </w:tcBorders>
            <w:shd w:val="clear" w:color="auto" w:fill="auto"/>
            <w:noWrap/>
            <w:vAlign w:val="center"/>
            <w:hideMark/>
          </w:tcPr>
          <w:p w14:paraId="1552EB8C" w14:textId="77777777" w:rsidR="0082721C" w:rsidRPr="00446D2A" w:rsidRDefault="0082721C" w:rsidP="00E67116">
            <w:pPr>
              <w:spacing w:after="0" w:line="240" w:lineRule="auto"/>
              <w:ind w:firstLineChars="221" w:firstLine="354"/>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220 – Transferência de Convênios</w:t>
            </w:r>
            <w:r>
              <w:rPr>
                <w:rFonts w:ascii="Arial Narrow" w:eastAsia="Times New Roman" w:hAnsi="Arial Narrow" w:cs="Arial"/>
                <w:sz w:val="16"/>
                <w:szCs w:val="16"/>
                <w:lang w:eastAsia="pt-BR"/>
              </w:rPr>
              <w:t xml:space="preserve"> ou de Contratos de Repasses</w:t>
            </w:r>
            <w:r w:rsidRPr="00446D2A">
              <w:rPr>
                <w:rFonts w:ascii="Arial Narrow" w:eastAsia="Times New Roman" w:hAnsi="Arial Narrow" w:cs="Arial"/>
                <w:sz w:val="16"/>
                <w:szCs w:val="16"/>
                <w:lang w:eastAsia="pt-BR"/>
              </w:rPr>
              <w:t xml:space="preserve"> vinculados à Saúde</w:t>
            </w:r>
          </w:p>
        </w:tc>
        <w:tc>
          <w:tcPr>
            <w:tcW w:w="1285" w:type="dxa"/>
            <w:gridSpan w:val="2"/>
            <w:tcBorders>
              <w:top w:val="nil"/>
              <w:left w:val="nil"/>
              <w:bottom w:val="nil"/>
              <w:right w:val="single" w:sz="8" w:space="0" w:color="auto"/>
            </w:tcBorders>
            <w:shd w:val="clear" w:color="auto" w:fill="auto"/>
            <w:vAlign w:val="center"/>
            <w:hideMark/>
          </w:tcPr>
          <w:p w14:paraId="29231222"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BFI.G030</w:t>
            </w:r>
          </w:p>
        </w:tc>
        <w:tc>
          <w:tcPr>
            <w:tcW w:w="1276" w:type="dxa"/>
            <w:gridSpan w:val="2"/>
            <w:tcBorders>
              <w:top w:val="nil"/>
              <w:left w:val="nil"/>
              <w:bottom w:val="nil"/>
              <w:right w:val="single" w:sz="8" w:space="0" w:color="auto"/>
            </w:tcBorders>
            <w:shd w:val="clear" w:color="auto" w:fill="auto"/>
            <w:vAlign w:val="center"/>
            <w:hideMark/>
          </w:tcPr>
          <w:p w14:paraId="417B65A3"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BFI.H030</w:t>
            </w:r>
          </w:p>
        </w:tc>
      </w:tr>
      <w:tr w:rsidR="0082721C" w:rsidRPr="003042F6" w14:paraId="444C0618" w14:textId="77777777" w:rsidTr="00E450A4">
        <w:trPr>
          <w:trHeight w:val="255"/>
        </w:trPr>
        <w:tc>
          <w:tcPr>
            <w:tcW w:w="4820" w:type="dxa"/>
            <w:gridSpan w:val="2"/>
            <w:tcBorders>
              <w:top w:val="nil"/>
              <w:left w:val="single" w:sz="8" w:space="0" w:color="auto"/>
              <w:bottom w:val="nil"/>
              <w:right w:val="single" w:sz="8" w:space="0" w:color="auto"/>
            </w:tcBorders>
            <w:shd w:val="clear" w:color="auto" w:fill="auto"/>
            <w:noWrap/>
            <w:vAlign w:val="center"/>
            <w:hideMark/>
          </w:tcPr>
          <w:p w14:paraId="5F3DBB41" w14:textId="3A67EB4D" w:rsidR="0082721C" w:rsidRPr="00446D2A" w:rsidRDefault="0082721C" w:rsidP="00E67116">
            <w:pPr>
              <w:spacing w:after="0" w:line="240" w:lineRule="auto"/>
              <w:ind w:firstLineChars="221" w:firstLine="354"/>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 xml:space="preserve">230 </w:t>
            </w:r>
            <w:r w:rsidR="000B19AE">
              <w:rPr>
                <w:rFonts w:ascii="Arial Narrow" w:eastAsia="Times New Roman" w:hAnsi="Arial Narrow" w:cs="Arial"/>
                <w:sz w:val="16"/>
                <w:szCs w:val="16"/>
                <w:lang w:eastAsia="pt-BR"/>
              </w:rPr>
              <w:t>–</w:t>
            </w:r>
            <w:r w:rsidRPr="00446D2A">
              <w:rPr>
                <w:rFonts w:ascii="Arial Narrow" w:eastAsia="Times New Roman" w:hAnsi="Arial Narrow" w:cs="Arial"/>
                <w:sz w:val="16"/>
                <w:szCs w:val="16"/>
                <w:lang w:eastAsia="pt-BR"/>
              </w:rPr>
              <w:t xml:space="preserve"> Operações de Crédito vinculadas à Saúde</w:t>
            </w:r>
          </w:p>
        </w:tc>
        <w:tc>
          <w:tcPr>
            <w:tcW w:w="1134" w:type="dxa"/>
            <w:tcBorders>
              <w:top w:val="nil"/>
              <w:left w:val="nil"/>
              <w:bottom w:val="nil"/>
              <w:right w:val="single" w:sz="8" w:space="0" w:color="auto"/>
            </w:tcBorders>
            <w:shd w:val="clear" w:color="auto" w:fill="auto"/>
            <w:vAlign w:val="center"/>
            <w:hideMark/>
          </w:tcPr>
          <w:p w14:paraId="5E45A386"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BFI.C031</w:t>
            </w:r>
          </w:p>
        </w:tc>
        <w:tc>
          <w:tcPr>
            <w:tcW w:w="1276" w:type="dxa"/>
            <w:tcBorders>
              <w:top w:val="nil"/>
              <w:left w:val="nil"/>
              <w:bottom w:val="nil"/>
              <w:right w:val="single" w:sz="8" w:space="0" w:color="auto"/>
            </w:tcBorders>
            <w:shd w:val="clear" w:color="auto" w:fill="auto"/>
            <w:vAlign w:val="center"/>
            <w:hideMark/>
          </w:tcPr>
          <w:p w14:paraId="309F2FA3"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BFI.D031</w:t>
            </w:r>
          </w:p>
        </w:tc>
        <w:tc>
          <w:tcPr>
            <w:tcW w:w="4243" w:type="dxa"/>
            <w:tcBorders>
              <w:top w:val="nil"/>
              <w:left w:val="nil"/>
              <w:bottom w:val="nil"/>
              <w:right w:val="single" w:sz="8" w:space="0" w:color="auto"/>
            </w:tcBorders>
            <w:shd w:val="clear" w:color="auto" w:fill="auto"/>
            <w:noWrap/>
            <w:vAlign w:val="center"/>
            <w:hideMark/>
          </w:tcPr>
          <w:p w14:paraId="65F33F87" w14:textId="774F9F95" w:rsidR="0082721C" w:rsidRPr="00446D2A" w:rsidRDefault="0082721C" w:rsidP="00E67116">
            <w:pPr>
              <w:spacing w:after="0" w:line="240" w:lineRule="auto"/>
              <w:ind w:firstLineChars="221" w:firstLine="354"/>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 xml:space="preserve">230 </w:t>
            </w:r>
            <w:r w:rsidR="000B19AE">
              <w:rPr>
                <w:rFonts w:ascii="Arial Narrow" w:eastAsia="Times New Roman" w:hAnsi="Arial Narrow" w:cs="Arial"/>
                <w:sz w:val="16"/>
                <w:szCs w:val="16"/>
                <w:lang w:eastAsia="pt-BR"/>
              </w:rPr>
              <w:t>–</w:t>
            </w:r>
            <w:r w:rsidRPr="00446D2A">
              <w:rPr>
                <w:rFonts w:ascii="Arial Narrow" w:eastAsia="Times New Roman" w:hAnsi="Arial Narrow" w:cs="Arial"/>
                <w:sz w:val="16"/>
                <w:szCs w:val="16"/>
                <w:lang w:eastAsia="pt-BR"/>
              </w:rPr>
              <w:t xml:space="preserve"> Operações de Crédito vinculadas à Saúde</w:t>
            </w:r>
          </w:p>
        </w:tc>
        <w:tc>
          <w:tcPr>
            <w:tcW w:w="1285" w:type="dxa"/>
            <w:gridSpan w:val="2"/>
            <w:tcBorders>
              <w:top w:val="nil"/>
              <w:left w:val="nil"/>
              <w:bottom w:val="nil"/>
              <w:right w:val="single" w:sz="8" w:space="0" w:color="auto"/>
            </w:tcBorders>
            <w:shd w:val="clear" w:color="auto" w:fill="auto"/>
            <w:vAlign w:val="center"/>
            <w:hideMark/>
          </w:tcPr>
          <w:p w14:paraId="3FD90A8A"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BFI.G031</w:t>
            </w:r>
          </w:p>
        </w:tc>
        <w:tc>
          <w:tcPr>
            <w:tcW w:w="1276" w:type="dxa"/>
            <w:gridSpan w:val="2"/>
            <w:tcBorders>
              <w:top w:val="nil"/>
              <w:left w:val="nil"/>
              <w:bottom w:val="nil"/>
              <w:right w:val="single" w:sz="8" w:space="0" w:color="auto"/>
            </w:tcBorders>
            <w:shd w:val="clear" w:color="auto" w:fill="auto"/>
            <w:vAlign w:val="center"/>
            <w:hideMark/>
          </w:tcPr>
          <w:p w14:paraId="04762A93"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BFI.H031</w:t>
            </w:r>
          </w:p>
        </w:tc>
      </w:tr>
      <w:tr w:rsidR="0082721C" w:rsidRPr="003042F6" w14:paraId="713D7067" w14:textId="77777777" w:rsidTr="00E450A4">
        <w:trPr>
          <w:trHeight w:val="255"/>
        </w:trPr>
        <w:tc>
          <w:tcPr>
            <w:tcW w:w="4820" w:type="dxa"/>
            <w:gridSpan w:val="2"/>
            <w:tcBorders>
              <w:top w:val="nil"/>
              <w:left w:val="single" w:sz="8" w:space="0" w:color="auto"/>
              <w:bottom w:val="nil"/>
              <w:right w:val="single" w:sz="8" w:space="0" w:color="auto"/>
            </w:tcBorders>
            <w:shd w:val="clear" w:color="auto" w:fill="auto"/>
            <w:noWrap/>
            <w:vAlign w:val="center"/>
            <w:hideMark/>
          </w:tcPr>
          <w:p w14:paraId="3392A581" w14:textId="77777777" w:rsidR="0082721C" w:rsidRPr="00446D2A" w:rsidRDefault="0082721C" w:rsidP="00E67116">
            <w:pPr>
              <w:spacing w:after="0" w:line="240" w:lineRule="auto"/>
              <w:ind w:firstLineChars="221" w:firstLine="354"/>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290 – Outros Recursos vinculados à Saúde</w:t>
            </w:r>
          </w:p>
        </w:tc>
        <w:tc>
          <w:tcPr>
            <w:tcW w:w="1134" w:type="dxa"/>
            <w:tcBorders>
              <w:top w:val="nil"/>
              <w:left w:val="nil"/>
              <w:bottom w:val="nil"/>
              <w:right w:val="single" w:sz="8" w:space="0" w:color="auto"/>
            </w:tcBorders>
            <w:shd w:val="clear" w:color="auto" w:fill="auto"/>
            <w:vAlign w:val="center"/>
            <w:hideMark/>
          </w:tcPr>
          <w:p w14:paraId="1BE41717"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BFI.C032</w:t>
            </w:r>
          </w:p>
        </w:tc>
        <w:tc>
          <w:tcPr>
            <w:tcW w:w="1276" w:type="dxa"/>
            <w:tcBorders>
              <w:top w:val="nil"/>
              <w:left w:val="nil"/>
              <w:bottom w:val="nil"/>
              <w:right w:val="single" w:sz="8" w:space="0" w:color="auto"/>
            </w:tcBorders>
            <w:shd w:val="clear" w:color="auto" w:fill="auto"/>
            <w:vAlign w:val="center"/>
            <w:hideMark/>
          </w:tcPr>
          <w:p w14:paraId="18567CF0"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BFI.D032</w:t>
            </w:r>
          </w:p>
        </w:tc>
        <w:tc>
          <w:tcPr>
            <w:tcW w:w="4243" w:type="dxa"/>
            <w:tcBorders>
              <w:top w:val="nil"/>
              <w:left w:val="nil"/>
              <w:bottom w:val="nil"/>
              <w:right w:val="single" w:sz="8" w:space="0" w:color="auto"/>
            </w:tcBorders>
            <w:shd w:val="clear" w:color="auto" w:fill="auto"/>
            <w:noWrap/>
            <w:vAlign w:val="center"/>
            <w:hideMark/>
          </w:tcPr>
          <w:p w14:paraId="4903C3C7" w14:textId="77777777" w:rsidR="0082721C" w:rsidRPr="00446D2A" w:rsidRDefault="0082721C" w:rsidP="00E67116">
            <w:pPr>
              <w:spacing w:after="0" w:line="240" w:lineRule="auto"/>
              <w:ind w:firstLineChars="221" w:firstLine="354"/>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290 – Outros Recursos vinculados à Saúde</w:t>
            </w:r>
          </w:p>
        </w:tc>
        <w:tc>
          <w:tcPr>
            <w:tcW w:w="1285" w:type="dxa"/>
            <w:gridSpan w:val="2"/>
            <w:tcBorders>
              <w:top w:val="nil"/>
              <w:left w:val="nil"/>
              <w:bottom w:val="nil"/>
              <w:right w:val="single" w:sz="8" w:space="0" w:color="auto"/>
            </w:tcBorders>
            <w:shd w:val="clear" w:color="auto" w:fill="auto"/>
            <w:vAlign w:val="center"/>
            <w:hideMark/>
          </w:tcPr>
          <w:p w14:paraId="307A72CD"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BFI.G032</w:t>
            </w:r>
          </w:p>
        </w:tc>
        <w:tc>
          <w:tcPr>
            <w:tcW w:w="1276" w:type="dxa"/>
            <w:gridSpan w:val="2"/>
            <w:tcBorders>
              <w:top w:val="nil"/>
              <w:left w:val="nil"/>
              <w:bottom w:val="nil"/>
              <w:right w:val="single" w:sz="8" w:space="0" w:color="auto"/>
            </w:tcBorders>
            <w:shd w:val="clear" w:color="auto" w:fill="auto"/>
            <w:vAlign w:val="center"/>
            <w:hideMark/>
          </w:tcPr>
          <w:p w14:paraId="6492DD37"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BFI.H032</w:t>
            </w:r>
          </w:p>
        </w:tc>
      </w:tr>
      <w:tr w:rsidR="0082721C" w:rsidRPr="003042F6" w14:paraId="33FB92DB" w14:textId="77777777" w:rsidTr="00E450A4">
        <w:trPr>
          <w:trHeight w:val="255"/>
        </w:trPr>
        <w:tc>
          <w:tcPr>
            <w:tcW w:w="4820" w:type="dxa"/>
            <w:gridSpan w:val="2"/>
            <w:tcBorders>
              <w:top w:val="nil"/>
              <w:left w:val="single" w:sz="8" w:space="0" w:color="auto"/>
              <w:bottom w:val="nil"/>
              <w:right w:val="single" w:sz="8" w:space="0" w:color="auto"/>
            </w:tcBorders>
            <w:shd w:val="clear" w:color="auto" w:fill="auto"/>
            <w:noWrap/>
            <w:vAlign w:val="center"/>
            <w:hideMark/>
          </w:tcPr>
          <w:p w14:paraId="5D0E0F0F" w14:textId="4973CA79" w:rsidR="0082721C" w:rsidRPr="00446D2A" w:rsidRDefault="0082721C" w:rsidP="00E67116">
            <w:pPr>
              <w:spacing w:after="0" w:line="240" w:lineRule="auto"/>
              <w:ind w:firstLineChars="100" w:firstLine="161"/>
              <w:rPr>
                <w:rFonts w:ascii="Arial Narrow" w:eastAsia="Times New Roman" w:hAnsi="Arial Narrow" w:cs="Arial"/>
                <w:b/>
                <w:bCs/>
                <w:sz w:val="16"/>
                <w:szCs w:val="16"/>
                <w:lang w:eastAsia="pt-BR"/>
              </w:rPr>
            </w:pPr>
            <w:r w:rsidRPr="00446D2A">
              <w:rPr>
                <w:rFonts w:ascii="Arial Narrow" w:eastAsia="Times New Roman" w:hAnsi="Arial Narrow" w:cs="Arial"/>
                <w:b/>
                <w:bCs/>
                <w:sz w:val="16"/>
                <w:szCs w:val="16"/>
                <w:lang w:eastAsia="pt-BR"/>
              </w:rPr>
              <w:t xml:space="preserve">  Recursos vinculados à Previdência Social </w:t>
            </w:r>
            <w:r w:rsidR="000B19AE">
              <w:rPr>
                <w:rFonts w:ascii="Arial Narrow" w:eastAsia="Times New Roman" w:hAnsi="Arial Narrow" w:cs="Arial"/>
                <w:b/>
                <w:bCs/>
                <w:sz w:val="16"/>
                <w:szCs w:val="16"/>
                <w:lang w:eastAsia="pt-BR"/>
              </w:rPr>
              <w:t>–</w:t>
            </w:r>
            <w:r w:rsidRPr="00446D2A">
              <w:rPr>
                <w:rFonts w:ascii="Arial Narrow" w:eastAsia="Times New Roman" w:hAnsi="Arial Narrow" w:cs="Arial"/>
                <w:b/>
                <w:bCs/>
                <w:sz w:val="16"/>
                <w:szCs w:val="16"/>
                <w:lang w:eastAsia="pt-BR"/>
              </w:rPr>
              <w:t xml:space="preserve"> RPPS</w:t>
            </w:r>
          </w:p>
        </w:tc>
        <w:tc>
          <w:tcPr>
            <w:tcW w:w="1134" w:type="dxa"/>
            <w:tcBorders>
              <w:top w:val="nil"/>
              <w:left w:val="nil"/>
              <w:bottom w:val="nil"/>
              <w:right w:val="single" w:sz="8" w:space="0" w:color="auto"/>
            </w:tcBorders>
            <w:shd w:val="clear" w:color="auto" w:fill="auto"/>
            <w:vAlign w:val="center"/>
            <w:hideMark/>
          </w:tcPr>
          <w:p w14:paraId="7F64A529" w14:textId="77777777" w:rsidR="0082721C" w:rsidRPr="00446D2A" w:rsidRDefault="0082721C" w:rsidP="00E67116">
            <w:pPr>
              <w:spacing w:after="0" w:line="240" w:lineRule="auto"/>
              <w:jc w:val="center"/>
              <w:rPr>
                <w:rFonts w:ascii="Arial Narrow" w:eastAsia="Times New Roman" w:hAnsi="Arial Narrow" w:cs="Arial"/>
                <w:b/>
                <w:bCs/>
                <w:sz w:val="16"/>
                <w:szCs w:val="16"/>
                <w:lang w:eastAsia="pt-BR"/>
              </w:rPr>
            </w:pPr>
            <w:r w:rsidRPr="00446D2A">
              <w:rPr>
                <w:rFonts w:ascii="Arial Narrow" w:eastAsia="Times New Roman" w:hAnsi="Arial Narrow" w:cs="Arial"/>
                <w:b/>
                <w:bCs/>
                <w:sz w:val="16"/>
                <w:szCs w:val="16"/>
                <w:lang w:eastAsia="pt-BR"/>
              </w:rPr>
              <w:t>BFI.C033</w:t>
            </w:r>
          </w:p>
        </w:tc>
        <w:tc>
          <w:tcPr>
            <w:tcW w:w="1276" w:type="dxa"/>
            <w:tcBorders>
              <w:top w:val="nil"/>
              <w:left w:val="nil"/>
              <w:bottom w:val="nil"/>
              <w:right w:val="single" w:sz="8" w:space="0" w:color="auto"/>
            </w:tcBorders>
            <w:shd w:val="clear" w:color="auto" w:fill="auto"/>
            <w:vAlign w:val="center"/>
            <w:hideMark/>
          </w:tcPr>
          <w:p w14:paraId="5321199E" w14:textId="77777777" w:rsidR="0082721C" w:rsidRPr="00446D2A" w:rsidRDefault="0082721C" w:rsidP="00E67116">
            <w:pPr>
              <w:spacing w:after="0" w:line="240" w:lineRule="auto"/>
              <w:jc w:val="center"/>
              <w:rPr>
                <w:rFonts w:ascii="Arial Narrow" w:eastAsia="Times New Roman" w:hAnsi="Arial Narrow" w:cs="Arial"/>
                <w:b/>
                <w:bCs/>
                <w:sz w:val="16"/>
                <w:szCs w:val="16"/>
                <w:lang w:eastAsia="pt-BR"/>
              </w:rPr>
            </w:pPr>
            <w:r w:rsidRPr="00446D2A">
              <w:rPr>
                <w:rFonts w:ascii="Arial Narrow" w:eastAsia="Times New Roman" w:hAnsi="Arial Narrow" w:cs="Arial"/>
                <w:b/>
                <w:bCs/>
                <w:sz w:val="16"/>
                <w:szCs w:val="16"/>
                <w:lang w:eastAsia="pt-BR"/>
              </w:rPr>
              <w:t>BFI.D033</w:t>
            </w:r>
          </w:p>
        </w:tc>
        <w:tc>
          <w:tcPr>
            <w:tcW w:w="4243" w:type="dxa"/>
            <w:tcBorders>
              <w:top w:val="nil"/>
              <w:left w:val="nil"/>
              <w:bottom w:val="nil"/>
              <w:right w:val="single" w:sz="8" w:space="0" w:color="auto"/>
            </w:tcBorders>
            <w:shd w:val="clear" w:color="auto" w:fill="auto"/>
            <w:noWrap/>
            <w:vAlign w:val="center"/>
            <w:hideMark/>
          </w:tcPr>
          <w:p w14:paraId="37E0A8D4" w14:textId="6F57EEA5" w:rsidR="0082721C" w:rsidRPr="00446D2A" w:rsidRDefault="0082721C" w:rsidP="00E67116">
            <w:pPr>
              <w:spacing w:after="0" w:line="240" w:lineRule="auto"/>
              <w:ind w:firstLineChars="100" w:firstLine="161"/>
              <w:rPr>
                <w:rFonts w:ascii="Arial Narrow" w:eastAsia="Times New Roman" w:hAnsi="Arial Narrow" w:cs="Arial"/>
                <w:b/>
                <w:bCs/>
                <w:sz w:val="16"/>
                <w:szCs w:val="16"/>
                <w:lang w:eastAsia="pt-BR"/>
              </w:rPr>
            </w:pPr>
            <w:r w:rsidRPr="00446D2A">
              <w:rPr>
                <w:rFonts w:ascii="Arial Narrow" w:eastAsia="Times New Roman" w:hAnsi="Arial Narrow" w:cs="Arial"/>
                <w:b/>
                <w:bCs/>
                <w:sz w:val="16"/>
                <w:szCs w:val="16"/>
                <w:lang w:eastAsia="pt-BR"/>
              </w:rPr>
              <w:t xml:space="preserve">  Recursos Destinado à Previdência Social </w:t>
            </w:r>
            <w:r w:rsidR="000B19AE">
              <w:rPr>
                <w:rFonts w:ascii="Arial Narrow" w:eastAsia="Times New Roman" w:hAnsi="Arial Narrow" w:cs="Arial"/>
                <w:b/>
                <w:bCs/>
                <w:sz w:val="16"/>
                <w:szCs w:val="16"/>
                <w:lang w:eastAsia="pt-BR"/>
              </w:rPr>
              <w:t>–</w:t>
            </w:r>
            <w:r w:rsidRPr="00446D2A">
              <w:rPr>
                <w:rFonts w:ascii="Arial Narrow" w:eastAsia="Times New Roman" w:hAnsi="Arial Narrow" w:cs="Arial"/>
                <w:b/>
                <w:bCs/>
                <w:sz w:val="16"/>
                <w:szCs w:val="16"/>
                <w:lang w:eastAsia="pt-BR"/>
              </w:rPr>
              <w:t xml:space="preserve"> RPPS</w:t>
            </w:r>
          </w:p>
        </w:tc>
        <w:tc>
          <w:tcPr>
            <w:tcW w:w="1285" w:type="dxa"/>
            <w:gridSpan w:val="2"/>
            <w:tcBorders>
              <w:top w:val="nil"/>
              <w:left w:val="nil"/>
              <w:bottom w:val="nil"/>
              <w:right w:val="single" w:sz="8" w:space="0" w:color="auto"/>
            </w:tcBorders>
            <w:shd w:val="clear" w:color="auto" w:fill="auto"/>
            <w:vAlign w:val="center"/>
            <w:hideMark/>
          </w:tcPr>
          <w:p w14:paraId="40B98C1B" w14:textId="77777777" w:rsidR="0082721C" w:rsidRPr="00446D2A" w:rsidRDefault="0082721C" w:rsidP="00E67116">
            <w:pPr>
              <w:spacing w:after="0" w:line="240" w:lineRule="auto"/>
              <w:jc w:val="center"/>
              <w:rPr>
                <w:rFonts w:ascii="Arial Narrow" w:eastAsia="Times New Roman" w:hAnsi="Arial Narrow" w:cs="Arial"/>
                <w:b/>
                <w:bCs/>
                <w:sz w:val="16"/>
                <w:szCs w:val="16"/>
                <w:lang w:eastAsia="pt-BR"/>
              </w:rPr>
            </w:pPr>
            <w:r w:rsidRPr="00446D2A">
              <w:rPr>
                <w:rFonts w:ascii="Arial Narrow" w:eastAsia="Times New Roman" w:hAnsi="Arial Narrow" w:cs="Arial"/>
                <w:b/>
                <w:bCs/>
                <w:sz w:val="16"/>
                <w:szCs w:val="16"/>
                <w:lang w:eastAsia="pt-BR"/>
              </w:rPr>
              <w:t>BFI.G033</w:t>
            </w:r>
          </w:p>
        </w:tc>
        <w:tc>
          <w:tcPr>
            <w:tcW w:w="1276" w:type="dxa"/>
            <w:gridSpan w:val="2"/>
            <w:tcBorders>
              <w:top w:val="nil"/>
              <w:left w:val="nil"/>
              <w:bottom w:val="nil"/>
              <w:right w:val="single" w:sz="8" w:space="0" w:color="auto"/>
            </w:tcBorders>
            <w:shd w:val="clear" w:color="auto" w:fill="auto"/>
            <w:vAlign w:val="center"/>
            <w:hideMark/>
          </w:tcPr>
          <w:p w14:paraId="2940BF67" w14:textId="77777777" w:rsidR="0082721C" w:rsidRPr="00446D2A" w:rsidRDefault="0082721C" w:rsidP="00E67116">
            <w:pPr>
              <w:spacing w:after="0" w:line="240" w:lineRule="auto"/>
              <w:jc w:val="center"/>
              <w:rPr>
                <w:rFonts w:ascii="Arial Narrow" w:eastAsia="Times New Roman" w:hAnsi="Arial Narrow" w:cs="Arial"/>
                <w:b/>
                <w:bCs/>
                <w:sz w:val="16"/>
                <w:szCs w:val="16"/>
                <w:lang w:eastAsia="pt-BR"/>
              </w:rPr>
            </w:pPr>
            <w:r w:rsidRPr="00446D2A">
              <w:rPr>
                <w:rFonts w:ascii="Arial Narrow" w:eastAsia="Times New Roman" w:hAnsi="Arial Narrow" w:cs="Arial"/>
                <w:b/>
                <w:bCs/>
                <w:sz w:val="16"/>
                <w:szCs w:val="16"/>
                <w:lang w:eastAsia="pt-BR"/>
              </w:rPr>
              <w:t>BFI.H033</w:t>
            </w:r>
          </w:p>
        </w:tc>
      </w:tr>
      <w:tr w:rsidR="0082721C" w:rsidRPr="003042F6" w14:paraId="14FBAFE4" w14:textId="77777777" w:rsidTr="00E450A4">
        <w:trPr>
          <w:trHeight w:val="255"/>
        </w:trPr>
        <w:tc>
          <w:tcPr>
            <w:tcW w:w="4820" w:type="dxa"/>
            <w:gridSpan w:val="2"/>
            <w:tcBorders>
              <w:top w:val="nil"/>
              <w:left w:val="single" w:sz="8" w:space="0" w:color="auto"/>
              <w:right w:val="single" w:sz="8" w:space="0" w:color="auto"/>
            </w:tcBorders>
            <w:shd w:val="clear" w:color="auto" w:fill="auto"/>
            <w:noWrap/>
            <w:vAlign w:val="center"/>
          </w:tcPr>
          <w:p w14:paraId="553DBD7D" w14:textId="77777777" w:rsidR="0082721C" w:rsidRPr="00446D2A" w:rsidRDefault="0082721C" w:rsidP="00E67116">
            <w:pPr>
              <w:spacing w:after="0" w:line="240" w:lineRule="auto"/>
              <w:ind w:firstLineChars="221" w:firstLine="354"/>
              <w:rPr>
                <w:rFonts w:ascii="Arial Narrow" w:eastAsia="Times New Roman" w:hAnsi="Arial Narrow" w:cs="Arial"/>
                <w:strike/>
                <w:sz w:val="16"/>
                <w:szCs w:val="16"/>
                <w:lang w:eastAsia="pt-BR"/>
              </w:rPr>
            </w:pPr>
            <w:r w:rsidRPr="00446D2A">
              <w:rPr>
                <w:rFonts w:ascii="Arial Narrow" w:eastAsia="Times New Roman" w:hAnsi="Arial Narrow" w:cs="Arial"/>
                <w:sz w:val="16"/>
                <w:szCs w:val="16"/>
                <w:lang w:eastAsia="pt-BR"/>
              </w:rPr>
              <w:t>410 – Recursos Vinculados ao RPPS – Plano Previdenciário</w:t>
            </w:r>
          </w:p>
        </w:tc>
        <w:tc>
          <w:tcPr>
            <w:tcW w:w="1134" w:type="dxa"/>
            <w:tcBorders>
              <w:top w:val="nil"/>
              <w:left w:val="nil"/>
              <w:right w:val="single" w:sz="8" w:space="0" w:color="auto"/>
            </w:tcBorders>
            <w:shd w:val="clear" w:color="auto" w:fill="auto"/>
            <w:vAlign w:val="center"/>
          </w:tcPr>
          <w:p w14:paraId="3C9B4DC3" w14:textId="77777777" w:rsidR="0082721C" w:rsidRPr="00446D2A" w:rsidRDefault="0082721C" w:rsidP="00E67116">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BFI.C106</w:t>
            </w:r>
          </w:p>
        </w:tc>
        <w:tc>
          <w:tcPr>
            <w:tcW w:w="1276" w:type="dxa"/>
            <w:tcBorders>
              <w:top w:val="nil"/>
              <w:left w:val="nil"/>
              <w:right w:val="single" w:sz="8" w:space="0" w:color="auto"/>
            </w:tcBorders>
            <w:shd w:val="clear" w:color="auto" w:fill="auto"/>
            <w:vAlign w:val="center"/>
          </w:tcPr>
          <w:p w14:paraId="2D02F427" w14:textId="77777777" w:rsidR="0082721C" w:rsidRPr="00446D2A" w:rsidRDefault="0082721C" w:rsidP="00E67116">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BFI.D106</w:t>
            </w:r>
          </w:p>
        </w:tc>
        <w:tc>
          <w:tcPr>
            <w:tcW w:w="4243" w:type="dxa"/>
            <w:tcBorders>
              <w:top w:val="nil"/>
              <w:left w:val="nil"/>
              <w:right w:val="single" w:sz="8" w:space="0" w:color="auto"/>
            </w:tcBorders>
            <w:shd w:val="clear" w:color="auto" w:fill="auto"/>
            <w:noWrap/>
            <w:vAlign w:val="center"/>
          </w:tcPr>
          <w:p w14:paraId="655D4C7D" w14:textId="77777777" w:rsidR="0082721C" w:rsidRPr="00446D2A" w:rsidRDefault="0082721C" w:rsidP="00E67116">
            <w:pPr>
              <w:spacing w:after="0" w:line="240" w:lineRule="auto"/>
              <w:ind w:firstLineChars="221" w:firstLine="354"/>
              <w:rPr>
                <w:rFonts w:ascii="Arial Narrow" w:eastAsia="Times New Roman" w:hAnsi="Arial Narrow" w:cs="Arial"/>
                <w:strike/>
                <w:sz w:val="16"/>
                <w:szCs w:val="16"/>
                <w:lang w:eastAsia="pt-BR"/>
              </w:rPr>
            </w:pPr>
            <w:r w:rsidRPr="00446D2A">
              <w:rPr>
                <w:rFonts w:ascii="Arial Narrow" w:eastAsia="Times New Roman" w:hAnsi="Arial Narrow" w:cs="Arial"/>
                <w:sz w:val="16"/>
                <w:szCs w:val="16"/>
                <w:lang w:eastAsia="pt-BR"/>
              </w:rPr>
              <w:t>410 – Recursos Vinculados ao RPPS – Plano Previdenciário</w:t>
            </w:r>
          </w:p>
        </w:tc>
        <w:tc>
          <w:tcPr>
            <w:tcW w:w="1285" w:type="dxa"/>
            <w:gridSpan w:val="2"/>
            <w:tcBorders>
              <w:top w:val="nil"/>
              <w:left w:val="nil"/>
              <w:right w:val="single" w:sz="8" w:space="0" w:color="auto"/>
            </w:tcBorders>
            <w:shd w:val="clear" w:color="auto" w:fill="auto"/>
            <w:vAlign w:val="center"/>
          </w:tcPr>
          <w:p w14:paraId="474C4CD3" w14:textId="77777777" w:rsidR="0082721C" w:rsidRPr="00446D2A" w:rsidRDefault="0082721C" w:rsidP="00E67116">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BFI.G106</w:t>
            </w:r>
          </w:p>
        </w:tc>
        <w:tc>
          <w:tcPr>
            <w:tcW w:w="1276" w:type="dxa"/>
            <w:gridSpan w:val="2"/>
            <w:tcBorders>
              <w:top w:val="nil"/>
              <w:left w:val="nil"/>
              <w:right w:val="single" w:sz="8" w:space="0" w:color="auto"/>
            </w:tcBorders>
            <w:shd w:val="clear" w:color="auto" w:fill="auto"/>
            <w:vAlign w:val="center"/>
          </w:tcPr>
          <w:p w14:paraId="552C0654" w14:textId="77777777" w:rsidR="0082721C" w:rsidRPr="00446D2A" w:rsidRDefault="0082721C" w:rsidP="00E67116">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BFI.H106</w:t>
            </w:r>
          </w:p>
        </w:tc>
      </w:tr>
      <w:tr w:rsidR="0082721C" w:rsidRPr="003042F6" w14:paraId="15464FF4" w14:textId="77777777" w:rsidTr="00E450A4">
        <w:trPr>
          <w:trHeight w:val="255"/>
        </w:trPr>
        <w:tc>
          <w:tcPr>
            <w:tcW w:w="4820" w:type="dxa"/>
            <w:gridSpan w:val="2"/>
            <w:tcBorders>
              <w:top w:val="nil"/>
              <w:left w:val="single" w:sz="8" w:space="0" w:color="auto"/>
              <w:right w:val="single" w:sz="8" w:space="0" w:color="auto"/>
            </w:tcBorders>
            <w:shd w:val="clear" w:color="auto" w:fill="auto"/>
            <w:noWrap/>
            <w:vAlign w:val="center"/>
            <w:hideMark/>
          </w:tcPr>
          <w:p w14:paraId="16977C79" w14:textId="77777777" w:rsidR="0082721C" w:rsidRPr="00446D2A" w:rsidRDefault="0082721C" w:rsidP="00E67116">
            <w:pPr>
              <w:spacing w:after="0" w:line="240" w:lineRule="auto"/>
              <w:ind w:firstLineChars="221" w:firstLine="354"/>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420 – Recursos Vinculados ao RPPS – Plano Financeiro</w:t>
            </w:r>
          </w:p>
        </w:tc>
        <w:tc>
          <w:tcPr>
            <w:tcW w:w="1134" w:type="dxa"/>
            <w:tcBorders>
              <w:top w:val="nil"/>
              <w:left w:val="nil"/>
              <w:right w:val="single" w:sz="8" w:space="0" w:color="auto"/>
            </w:tcBorders>
            <w:shd w:val="clear" w:color="auto" w:fill="auto"/>
            <w:vAlign w:val="center"/>
            <w:hideMark/>
          </w:tcPr>
          <w:p w14:paraId="4C8EDBBD"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BFI.C035</w:t>
            </w:r>
          </w:p>
        </w:tc>
        <w:tc>
          <w:tcPr>
            <w:tcW w:w="1276" w:type="dxa"/>
            <w:tcBorders>
              <w:top w:val="nil"/>
              <w:left w:val="nil"/>
              <w:right w:val="single" w:sz="8" w:space="0" w:color="auto"/>
            </w:tcBorders>
            <w:shd w:val="clear" w:color="auto" w:fill="auto"/>
            <w:vAlign w:val="center"/>
            <w:hideMark/>
          </w:tcPr>
          <w:p w14:paraId="1F90BAD4"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BFI.D035</w:t>
            </w:r>
          </w:p>
        </w:tc>
        <w:tc>
          <w:tcPr>
            <w:tcW w:w="4243" w:type="dxa"/>
            <w:tcBorders>
              <w:top w:val="nil"/>
              <w:left w:val="nil"/>
              <w:right w:val="single" w:sz="8" w:space="0" w:color="auto"/>
            </w:tcBorders>
            <w:shd w:val="clear" w:color="auto" w:fill="auto"/>
            <w:noWrap/>
            <w:vAlign w:val="center"/>
            <w:hideMark/>
          </w:tcPr>
          <w:p w14:paraId="0E5C1057" w14:textId="77777777" w:rsidR="0082721C" w:rsidRPr="00446D2A" w:rsidRDefault="0082721C" w:rsidP="00E67116">
            <w:pPr>
              <w:spacing w:after="0" w:line="240" w:lineRule="auto"/>
              <w:ind w:firstLineChars="221" w:firstLine="354"/>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420 – Recursos Vinculados ao RPPS – Plano Financeiro</w:t>
            </w:r>
          </w:p>
        </w:tc>
        <w:tc>
          <w:tcPr>
            <w:tcW w:w="1285" w:type="dxa"/>
            <w:gridSpan w:val="2"/>
            <w:tcBorders>
              <w:top w:val="nil"/>
              <w:left w:val="nil"/>
              <w:right w:val="single" w:sz="8" w:space="0" w:color="auto"/>
            </w:tcBorders>
            <w:shd w:val="clear" w:color="auto" w:fill="auto"/>
            <w:vAlign w:val="center"/>
            <w:hideMark/>
          </w:tcPr>
          <w:p w14:paraId="7CEB8B5B"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BFI.G035</w:t>
            </w:r>
          </w:p>
        </w:tc>
        <w:tc>
          <w:tcPr>
            <w:tcW w:w="1276" w:type="dxa"/>
            <w:gridSpan w:val="2"/>
            <w:tcBorders>
              <w:top w:val="nil"/>
              <w:left w:val="nil"/>
              <w:right w:val="single" w:sz="8" w:space="0" w:color="auto"/>
            </w:tcBorders>
            <w:shd w:val="clear" w:color="auto" w:fill="auto"/>
            <w:vAlign w:val="center"/>
            <w:hideMark/>
          </w:tcPr>
          <w:p w14:paraId="734E1346"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BFI.H035</w:t>
            </w:r>
          </w:p>
        </w:tc>
      </w:tr>
      <w:tr w:rsidR="0082721C" w:rsidRPr="003042F6" w14:paraId="22F2BE13" w14:textId="77777777" w:rsidTr="00E450A4">
        <w:trPr>
          <w:trHeight w:val="255"/>
        </w:trPr>
        <w:tc>
          <w:tcPr>
            <w:tcW w:w="4820" w:type="dxa"/>
            <w:gridSpan w:val="2"/>
            <w:tcBorders>
              <w:top w:val="nil"/>
              <w:left w:val="single" w:sz="8" w:space="0" w:color="auto"/>
              <w:bottom w:val="nil"/>
              <w:right w:val="single" w:sz="8" w:space="0" w:color="auto"/>
            </w:tcBorders>
            <w:shd w:val="clear" w:color="auto" w:fill="auto"/>
            <w:noWrap/>
            <w:vAlign w:val="center"/>
            <w:hideMark/>
          </w:tcPr>
          <w:p w14:paraId="4576104B" w14:textId="33B13A4F" w:rsidR="0082721C" w:rsidRPr="00446D2A" w:rsidRDefault="0082721C" w:rsidP="00E67116">
            <w:pPr>
              <w:spacing w:after="0" w:line="240" w:lineRule="auto"/>
              <w:ind w:firstLineChars="221" w:firstLine="354"/>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 xml:space="preserve">430 </w:t>
            </w:r>
            <w:r w:rsidR="000B19AE">
              <w:rPr>
                <w:rFonts w:ascii="Arial Narrow" w:eastAsia="Times New Roman" w:hAnsi="Arial Narrow" w:cs="Arial"/>
                <w:sz w:val="16"/>
                <w:szCs w:val="16"/>
                <w:lang w:eastAsia="pt-BR"/>
              </w:rPr>
              <w:t>–</w:t>
            </w:r>
            <w:r w:rsidRPr="00446D2A">
              <w:rPr>
                <w:rFonts w:ascii="Arial Narrow" w:eastAsia="Times New Roman" w:hAnsi="Arial Narrow" w:cs="Arial"/>
                <w:sz w:val="16"/>
                <w:szCs w:val="16"/>
                <w:lang w:eastAsia="pt-BR"/>
              </w:rPr>
              <w:t xml:space="preserve"> Recursos Vinculados ao RPPS </w:t>
            </w:r>
            <w:r w:rsidR="000B19AE">
              <w:rPr>
                <w:rFonts w:ascii="Arial Narrow" w:eastAsia="Times New Roman" w:hAnsi="Arial Narrow" w:cs="Arial"/>
                <w:sz w:val="16"/>
                <w:szCs w:val="16"/>
                <w:lang w:eastAsia="pt-BR"/>
              </w:rPr>
              <w:t>–</w:t>
            </w:r>
            <w:r w:rsidRPr="00446D2A">
              <w:rPr>
                <w:rFonts w:ascii="Arial Narrow" w:eastAsia="Times New Roman" w:hAnsi="Arial Narrow" w:cs="Arial"/>
                <w:sz w:val="16"/>
                <w:szCs w:val="16"/>
                <w:lang w:eastAsia="pt-BR"/>
              </w:rPr>
              <w:t xml:space="preserve"> Taxa de Administração</w:t>
            </w:r>
          </w:p>
        </w:tc>
        <w:tc>
          <w:tcPr>
            <w:tcW w:w="1134" w:type="dxa"/>
            <w:tcBorders>
              <w:top w:val="nil"/>
              <w:left w:val="nil"/>
              <w:bottom w:val="nil"/>
              <w:right w:val="single" w:sz="8" w:space="0" w:color="auto"/>
            </w:tcBorders>
            <w:shd w:val="clear" w:color="auto" w:fill="auto"/>
            <w:vAlign w:val="center"/>
            <w:hideMark/>
          </w:tcPr>
          <w:p w14:paraId="5D5BE01E"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BFI.C037</w:t>
            </w:r>
          </w:p>
        </w:tc>
        <w:tc>
          <w:tcPr>
            <w:tcW w:w="1276" w:type="dxa"/>
            <w:tcBorders>
              <w:top w:val="nil"/>
              <w:left w:val="nil"/>
              <w:bottom w:val="nil"/>
              <w:right w:val="single" w:sz="8" w:space="0" w:color="auto"/>
            </w:tcBorders>
            <w:shd w:val="clear" w:color="auto" w:fill="auto"/>
            <w:vAlign w:val="center"/>
            <w:hideMark/>
          </w:tcPr>
          <w:p w14:paraId="28B1B4B1"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BFI.D037</w:t>
            </w:r>
          </w:p>
        </w:tc>
        <w:tc>
          <w:tcPr>
            <w:tcW w:w="4243" w:type="dxa"/>
            <w:tcBorders>
              <w:top w:val="nil"/>
              <w:left w:val="nil"/>
              <w:bottom w:val="nil"/>
              <w:right w:val="single" w:sz="8" w:space="0" w:color="auto"/>
            </w:tcBorders>
            <w:shd w:val="clear" w:color="auto" w:fill="auto"/>
            <w:noWrap/>
            <w:vAlign w:val="center"/>
            <w:hideMark/>
          </w:tcPr>
          <w:p w14:paraId="446DC351" w14:textId="583377DF" w:rsidR="0082721C" w:rsidRPr="00446D2A" w:rsidRDefault="0082721C" w:rsidP="00E67116">
            <w:pPr>
              <w:spacing w:after="0" w:line="240" w:lineRule="auto"/>
              <w:ind w:firstLineChars="221" w:firstLine="354"/>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 xml:space="preserve">430 </w:t>
            </w:r>
            <w:r w:rsidR="000B19AE">
              <w:rPr>
                <w:rFonts w:ascii="Arial Narrow" w:eastAsia="Times New Roman" w:hAnsi="Arial Narrow" w:cs="Arial"/>
                <w:sz w:val="16"/>
                <w:szCs w:val="16"/>
                <w:lang w:eastAsia="pt-BR"/>
              </w:rPr>
              <w:t>–</w:t>
            </w:r>
            <w:r w:rsidRPr="00446D2A">
              <w:rPr>
                <w:rFonts w:ascii="Arial Narrow" w:eastAsia="Times New Roman" w:hAnsi="Arial Narrow" w:cs="Arial"/>
                <w:sz w:val="16"/>
                <w:szCs w:val="16"/>
                <w:lang w:eastAsia="pt-BR"/>
              </w:rPr>
              <w:t xml:space="preserve"> Recursos Vinculados ao RPPS </w:t>
            </w:r>
            <w:r w:rsidR="000B19AE">
              <w:rPr>
                <w:rFonts w:ascii="Arial Narrow" w:eastAsia="Times New Roman" w:hAnsi="Arial Narrow" w:cs="Arial"/>
                <w:sz w:val="16"/>
                <w:szCs w:val="16"/>
                <w:lang w:eastAsia="pt-BR"/>
              </w:rPr>
              <w:t>–</w:t>
            </w:r>
            <w:r w:rsidRPr="00446D2A">
              <w:rPr>
                <w:rFonts w:ascii="Arial Narrow" w:eastAsia="Times New Roman" w:hAnsi="Arial Narrow" w:cs="Arial"/>
                <w:sz w:val="16"/>
                <w:szCs w:val="16"/>
                <w:lang w:eastAsia="pt-BR"/>
              </w:rPr>
              <w:t xml:space="preserve"> Taxa de Administração</w:t>
            </w:r>
          </w:p>
        </w:tc>
        <w:tc>
          <w:tcPr>
            <w:tcW w:w="1285" w:type="dxa"/>
            <w:gridSpan w:val="2"/>
            <w:tcBorders>
              <w:top w:val="nil"/>
              <w:left w:val="nil"/>
              <w:bottom w:val="nil"/>
              <w:right w:val="single" w:sz="8" w:space="0" w:color="auto"/>
            </w:tcBorders>
            <w:shd w:val="clear" w:color="auto" w:fill="auto"/>
            <w:vAlign w:val="center"/>
            <w:hideMark/>
          </w:tcPr>
          <w:p w14:paraId="41EACC2C"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BFI.G037</w:t>
            </w:r>
          </w:p>
        </w:tc>
        <w:tc>
          <w:tcPr>
            <w:tcW w:w="1276" w:type="dxa"/>
            <w:gridSpan w:val="2"/>
            <w:tcBorders>
              <w:top w:val="nil"/>
              <w:left w:val="nil"/>
              <w:bottom w:val="nil"/>
              <w:right w:val="single" w:sz="8" w:space="0" w:color="auto"/>
            </w:tcBorders>
            <w:shd w:val="clear" w:color="auto" w:fill="auto"/>
            <w:vAlign w:val="center"/>
            <w:hideMark/>
          </w:tcPr>
          <w:p w14:paraId="67A79457"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BFI.H037</w:t>
            </w:r>
          </w:p>
        </w:tc>
      </w:tr>
      <w:tr w:rsidR="0082721C" w:rsidRPr="003042F6" w14:paraId="21021689" w14:textId="77777777" w:rsidTr="00E450A4">
        <w:trPr>
          <w:trHeight w:val="255"/>
        </w:trPr>
        <w:tc>
          <w:tcPr>
            <w:tcW w:w="4820" w:type="dxa"/>
            <w:gridSpan w:val="2"/>
            <w:tcBorders>
              <w:top w:val="nil"/>
              <w:left w:val="single" w:sz="8" w:space="0" w:color="auto"/>
              <w:bottom w:val="nil"/>
              <w:right w:val="single" w:sz="8" w:space="0" w:color="auto"/>
            </w:tcBorders>
            <w:shd w:val="clear" w:color="auto" w:fill="auto"/>
            <w:noWrap/>
            <w:vAlign w:val="center"/>
            <w:hideMark/>
          </w:tcPr>
          <w:p w14:paraId="5572AB07" w14:textId="77777777" w:rsidR="0082721C" w:rsidRPr="00446D2A" w:rsidRDefault="0082721C" w:rsidP="00E67116">
            <w:pPr>
              <w:spacing w:after="0" w:line="240" w:lineRule="auto"/>
              <w:ind w:firstLineChars="100" w:firstLine="161"/>
              <w:rPr>
                <w:rFonts w:ascii="Arial Narrow" w:eastAsia="Times New Roman" w:hAnsi="Arial Narrow" w:cs="Arial"/>
                <w:b/>
                <w:bCs/>
                <w:sz w:val="16"/>
                <w:szCs w:val="16"/>
                <w:lang w:eastAsia="pt-BR"/>
              </w:rPr>
            </w:pPr>
            <w:r w:rsidRPr="00446D2A">
              <w:rPr>
                <w:rFonts w:ascii="Arial Narrow" w:eastAsia="Times New Roman" w:hAnsi="Arial Narrow" w:cs="Arial"/>
                <w:b/>
                <w:bCs/>
                <w:sz w:val="16"/>
                <w:szCs w:val="16"/>
                <w:lang w:eastAsia="pt-BR"/>
              </w:rPr>
              <w:t xml:space="preserve">  Recursos Vinculados à Seguridade Social</w:t>
            </w:r>
          </w:p>
        </w:tc>
        <w:tc>
          <w:tcPr>
            <w:tcW w:w="1134" w:type="dxa"/>
            <w:tcBorders>
              <w:top w:val="nil"/>
              <w:left w:val="nil"/>
              <w:bottom w:val="nil"/>
              <w:right w:val="single" w:sz="8" w:space="0" w:color="auto"/>
            </w:tcBorders>
            <w:shd w:val="clear" w:color="auto" w:fill="auto"/>
            <w:vAlign w:val="center"/>
            <w:hideMark/>
          </w:tcPr>
          <w:p w14:paraId="2B181A5D" w14:textId="77777777" w:rsidR="0082721C" w:rsidRPr="00446D2A" w:rsidRDefault="0082721C" w:rsidP="00E67116">
            <w:pPr>
              <w:spacing w:after="0" w:line="240" w:lineRule="auto"/>
              <w:jc w:val="center"/>
              <w:rPr>
                <w:rFonts w:ascii="Arial Narrow" w:eastAsia="Times New Roman" w:hAnsi="Arial Narrow" w:cs="Arial"/>
                <w:b/>
                <w:bCs/>
                <w:sz w:val="16"/>
                <w:szCs w:val="16"/>
                <w:lang w:eastAsia="pt-BR"/>
              </w:rPr>
            </w:pPr>
            <w:r w:rsidRPr="00446D2A">
              <w:rPr>
                <w:rFonts w:ascii="Arial Narrow" w:eastAsia="Times New Roman" w:hAnsi="Arial Narrow" w:cs="Arial"/>
                <w:b/>
                <w:bCs/>
                <w:sz w:val="16"/>
                <w:szCs w:val="16"/>
                <w:lang w:eastAsia="pt-BR"/>
              </w:rPr>
              <w:t>BFI.C039</w:t>
            </w:r>
          </w:p>
        </w:tc>
        <w:tc>
          <w:tcPr>
            <w:tcW w:w="1276" w:type="dxa"/>
            <w:tcBorders>
              <w:top w:val="nil"/>
              <w:left w:val="nil"/>
              <w:bottom w:val="nil"/>
              <w:right w:val="single" w:sz="8" w:space="0" w:color="auto"/>
            </w:tcBorders>
            <w:shd w:val="clear" w:color="auto" w:fill="auto"/>
            <w:vAlign w:val="center"/>
            <w:hideMark/>
          </w:tcPr>
          <w:p w14:paraId="56B82E10" w14:textId="77777777" w:rsidR="0082721C" w:rsidRPr="00446D2A" w:rsidRDefault="0082721C" w:rsidP="00E67116">
            <w:pPr>
              <w:spacing w:after="0" w:line="240" w:lineRule="auto"/>
              <w:jc w:val="center"/>
              <w:rPr>
                <w:rFonts w:ascii="Arial Narrow" w:eastAsia="Times New Roman" w:hAnsi="Arial Narrow" w:cs="Arial"/>
                <w:b/>
                <w:bCs/>
                <w:sz w:val="16"/>
                <w:szCs w:val="16"/>
                <w:lang w:eastAsia="pt-BR"/>
              </w:rPr>
            </w:pPr>
            <w:r w:rsidRPr="00446D2A">
              <w:rPr>
                <w:rFonts w:ascii="Arial Narrow" w:eastAsia="Times New Roman" w:hAnsi="Arial Narrow" w:cs="Arial"/>
                <w:b/>
                <w:bCs/>
                <w:sz w:val="16"/>
                <w:szCs w:val="16"/>
                <w:lang w:eastAsia="pt-BR"/>
              </w:rPr>
              <w:t>BFI.D039</w:t>
            </w:r>
          </w:p>
        </w:tc>
        <w:tc>
          <w:tcPr>
            <w:tcW w:w="4243" w:type="dxa"/>
            <w:tcBorders>
              <w:top w:val="nil"/>
              <w:left w:val="nil"/>
              <w:bottom w:val="nil"/>
              <w:right w:val="single" w:sz="8" w:space="0" w:color="auto"/>
            </w:tcBorders>
            <w:shd w:val="clear" w:color="auto" w:fill="auto"/>
            <w:noWrap/>
            <w:vAlign w:val="center"/>
            <w:hideMark/>
          </w:tcPr>
          <w:p w14:paraId="72CBF234" w14:textId="77777777" w:rsidR="0082721C" w:rsidRPr="00446D2A" w:rsidRDefault="0082721C" w:rsidP="00E67116">
            <w:pPr>
              <w:spacing w:after="0" w:line="240" w:lineRule="auto"/>
              <w:ind w:firstLineChars="100" w:firstLine="161"/>
              <w:rPr>
                <w:rFonts w:ascii="Arial Narrow" w:eastAsia="Times New Roman" w:hAnsi="Arial Narrow" w:cs="Arial"/>
                <w:b/>
                <w:bCs/>
                <w:sz w:val="16"/>
                <w:szCs w:val="16"/>
                <w:lang w:eastAsia="pt-BR"/>
              </w:rPr>
            </w:pPr>
            <w:r w:rsidRPr="00446D2A">
              <w:rPr>
                <w:rFonts w:ascii="Arial Narrow" w:eastAsia="Times New Roman" w:hAnsi="Arial Narrow" w:cs="Arial"/>
                <w:b/>
                <w:bCs/>
                <w:sz w:val="16"/>
                <w:szCs w:val="16"/>
                <w:lang w:eastAsia="pt-BR"/>
              </w:rPr>
              <w:t xml:space="preserve">  Recursos Destinado à Seguridade Social</w:t>
            </w:r>
          </w:p>
        </w:tc>
        <w:tc>
          <w:tcPr>
            <w:tcW w:w="1285" w:type="dxa"/>
            <w:gridSpan w:val="2"/>
            <w:tcBorders>
              <w:top w:val="nil"/>
              <w:left w:val="nil"/>
              <w:bottom w:val="nil"/>
              <w:right w:val="single" w:sz="8" w:space="0" w:color="auto"/>
            </w:tcBorders>
            <w:shd w:val="clear" w:color="auto" w:fill="auto"/>
            <w:vAlign w:val="center"/>
            <w:hideMark/>
          </w:tcPr>
          <w:p w14:paraId="15179F4B" w14:textId="77777777" w:rsidR="0082721C" w:rsidRPr="00446D2A" w:rsidRDefault="0082721C" w:rsidP="00E67116">
            <w:pPr>
              <w:spacing w:after="0" w:line="240" w:lineRule="auto"/>
              <w:jc w:val="center"/>
              <w:rPr>
                <w:rFonts w:ascii="Arial Narrow" w:eastAsia="Times New Roman" w:hAnsi="Arial Narrow" w:cs="Arial"/>
                <w:b/>
                <w:bCs/>
                <w:sz w:val="16"/>
                <w:szCs w:val="16"/>
                <w:lang w:eastAsia="pt-BR"/>
              </w:rPr>
            </w:pPr>
            <w:r w:rsidRPr="00446D2A">
              <w:rPr>
                <w:rFonts w:ascii="Arial Narrow" w:eastAsia="Times New Roman" w:hAnsi="Arial Narrow" w:cs="Arial"/>
                <w:b/>
                <w:bCs/>
                <w:sz w:val="16"/>
                <w:szCs w:val="16"/>
                <w:lang w:eastAsia="pt-BR"/>
              </w:rPr>
              <w:t>BFI.G039</w:t>
            </w:r>
          </w:p>
        </w:tc>
        <w:tc>
          <w:tcPr>
            <w:tcW w:w="1276" w:type="dxa"/>
            <w:gridSpan w:val="2"/>
            <w:tcBorders>
              <w:top w:val="nil"/>
              <w:left w:val="nil"/>
              <w:bottom w:val="nil"/>
              <w:right w:val="single" w:sz="8" w:space="0" w:color="auto"/>
            </w:tcBorders>
            <w:shd w:val="clear" w:color="auto" w:fill="auto"/>
            <w:vAlign w:val="center"/>
            <w:hideMark/>
          </w:tcPr>
          <w:p w14:paraId="4646B106" w14:textId="77777777" w:rsidR="0082721C" w:rsidRPr="00446D2A" w:rsidRDefault="0082721C" w:rsidP="00E67116">
            <w:pPr>
              <w:spacing w:after="0" w:line="240" w:lineRule="auto"/>
              <w:jc w:val="center"/>
              <w:rPr>
                <w:rFonts w:ascii="Arial Narrow" w:eastAsia="Times New Roman" w:hAnsi="Arial Narrow" w:cs="Arial"/>
                <w:b/>
                <w:bCs/>
                <w:sz w:val="16"/>
                <w:szCs w:val="16"/>
                <w:lang w:eastAsia="pt-BR"/>
              </w:rPr>
            </w:pPr>
            <w:r w:rsidRPr="00446D2A">
              <w:rPr>
                <w:rFonts w:ascii="Arial Narrow" w:eastAsia="Times New Roman" w:hAnsi="Arial Narrow" w:cs="Arial"/>
                <w:b/>
                <w:bCs/>
                <w:sz w:val="16"/>
                <w:szCs w:val="16"/>
                <w:lang w:eastAsia="pt-BR"/>
              </w:rPr>
              <w:t>BFI.H039</w:t>
            </w:r>
          </w:p>
        </w:tc>
      </w:tr>
      <w:tr w:rsidR="0082721C" w:rsidRPr="003042F6" w14:paraId="3D66930D" w14:textId="77777777" w:rsidTr="00E450A4">
        <w:trPr>
          <w:trHeight w:val="255"/>
        </w:trPr>
        <w:tc>
          <w:tcPr>
            <w:tcW w:w="4820" w:type="dxa"/>
            <w:gridSpan w:val="2"/>
            <w:tcBorders>
              <w:top w:val="nil"/>
              <w:left w:val="single" w:sz="8" w:space="0" w:color="auto"/>
              <w:bottom w:val="nil"/>
              <w:right w:val="single" w:sz="8" w:space="0" w:color="auto"/>
            </w:tcBorders>
            <w:shd w:val="clear" w:color="auto" w:fill="auto"/>
            <w:noWrap/>
            <w:vAlign w:val="center"/>
            <w:hideMark/>
          </w:tcPr>
          <w:p w14:paraId="68275A10" w14:textId="61BC3B57" w:rsidR="0082721C" w:rsidRPr="00446D2A" w:rsidRDefault="0082721C" w:rsidP="00E67116">
            <w:pPr>
              <w:spacing w:after="0" w:line="240" w:lineRule="auto"/>
              <w:ind w:left="355"/>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 xml:space="preserve">311 – Transferência de Recursos do Fundo Nacional de Assistência Social </w:t>
            </w:r>
            <w:r w:rsidR="000B19AE">
              <w:rPr>
                <w:rFonts w:ascii="Arial Narrow" w:eastAsia="Times New Roman" w:hAnsi="Arial Narrow" w:cs="Arial"/>
                <w:sz w:val="16"/>
                <w:szCs w:val="16"/>
                <w:lang w:eastAsia="pt-BR"/>
              </w:rPr>
              <w:t>–</w:t>
            </w:r>
            <w:r w:rsidRPr="00446D2A">
              <w:rPr>
                <w:rFonts w:ascii="Arial Narrow" w:eastAsia="Times New Roman" w:hAnsi="Arial Narrow" w:cs="Arial"/>
                <w:sz w:val="16"/>
                <w:szCs w:val="16"/>
                <w:lang w:eastAsia="pt-BR"/>
              </w:rPr>
              <w:t xml:space="preserve"> FNAS</w:t>
            </w:r>
          </w:p>
        </w:tc>
        <w:tc>
          <w:tcPr>
            <w:tcW w:w="1134" w:type="dxa"/>
            <w:tcBorders>
              <w:top w:val="nil"/>
              <w:left w:val="nil"/>
              <w:bottom w:val="nil"/>
              <w:right w:val="single" w:sz="8" w:space="0" w:color="auto"/>
            </w:tcBorders>
            <w:shd w:val="clear" w:color="auto" w:fill="auto"/>
            <w:vAlign w:val="center"/>
            <w:hideMark/>
          </w:tcPr>
          <w:p w14:paraId="48B6FEEA"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BFI.C040</w:t>
            </w:r>
          </w:p>
        </w:tc>
        <w:tc>
          <w:tcPr>
            <w:tcW w:w="1276" w:type="dxa"/>
            <w:tcBorders>
              <w:top w:val="nil"/>
              <w:left w:val="nil"/>
              <w:bottom w:val="nil"/>
              <w:right w:val="single" w:sz="8" w:space="0" w:color="auto"/>
            </w:tcBorders>
            <w:shd w:val="clear" w:color="auto" w:fill="auto"/>
            <w:vAlign w:val="center"/>
            <w:hideMark/>
          </w:tcPr>
          <w:p w14:paraId="2F5E2E73"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BFI.D040</w:t>
            </w:r>
          </w:p>
        </w:tc>
        <w:tc>
          <w:tcPr>
            <w:tcW w:w="4243" w:type="dxa"/>
            <w:tcBorders>
              <w:top w:val="nil"/>
              <w:left w:val="nil"/>
              <w:bottom w:val="nil"/>
              <w:right w:val="single" w:sz="8" w:space="0" w:color="auto"/>
            </w:tcBorders>
            <w:shd w:val="clear" w:color="auto" w:fill="auto"/>
            <w:noWrap/>
            <w:vAlign w:val="center"/>
            <w:hideMark/>
          </w:tcPr>
          <w:p w14:paraId="4B28CAA4" w14:textId="05E101F5" w:rsidR="0082721C" w:rsidRPr="00446D2A" w:rsidRDefault="0082721C" w:rsidP="00E67116">
            <w:pPr>
              <w:spacing w:after="0" w:line="240" w:lineRule="auto"/>
              <w:ind w:left="355"/>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 xml:space="preserve">311 – Transferência de Recursos do Fundo Nacional de Assistência Social </w:t>
            </w:r>
            <w:r w:rsidR="000B19AE">
              <w:rPr>
                <w:rFonts w:ascii="Arial Narrow" w:eastAsia="Times New Roman" w:hAnsi="Arial Narrow" w:cs="Arial"/>
                <w:sz w:val="16"/>
                <w:szCs w:val="16"/>
                <w:lang w:eastAsia="pt-BR"/>
              </w:rPr>
              <w:t>–</w:t>
            </w:r>
            <w:r w:rsidRPr="00446D2A">
              <w:rPr>
                <w:rFonts w:ascii="Arial Narrow" w:eastAsia="Times New Roman" w:hAnsi="Arial Narrow" w:cs="Arial"/>
                <w:sz w:val="16"/>
                <w:szCs w:val="16"/>
                <w:lang w:eastAsia="pt-BR"/>
              </w:rPr>
              <w:t xml:space="preserve"> FNAS</w:t>
            </w:r>
          </w:p>
        </w:tc>
        <w:tc>
          <w:tcPr>
            <w:tcW w:w="1285" w:type="dxa"/>
            <w:gridSpan w:val="2"/>
            <w:tcBorders>
              <w:top w:val="nil"/>
              <w:left w:val="nil"/>
              <w:bottom w:val="nil"/>
              <w:right w:val="single" w:sz="8" w:space="0" w:color="auto"/>
            </w:tcBorders>
            <w:shd w:val="clear" w:color="auto" w:fill="auto"/>
            <w:vAlign w:val="center"/>
            <w:hideMark/>
          </w:tcPr>
          <w:p w14:paraId="76F2DFC0"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BFI.G040</w:t>
            </w:r>
          </w:p>
        </w:tc>
        <w:tc>
          <w:tcPr>
            <w:tcW w:w="1276" w:type="dxa"/>
            <w:gridSpan w:val="2"/>
            <w:tcBorders>
              <w:top w:val="nil"/>
              <w:left w:val="nil"/>
              <w:bottom w:val="nil"/>
              <w:right w:val="single" w:sz="8" w:space="0" w:color="auto"/>
            </w:tcBorders>
            <w:shd w:val="clear" w:color="auto" w:fill="auto"/>
            <w:vAlign w:val="center"/>
            <w:hideMark/>
          </w:tcPr>
          <w:p w14:paraId="5E7EB159"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BFI.H040</w:t>
            </w:r>
          </w:p>
        </w:tc>
      </w:tr>
      <w:tr w:rsidR="0082721C" w:rsidRPr="003042F6" w14:paraId="43DA4390" w14:textId="77777777" w:rsidTr="00E450A4">
        <w:trPr>
          <w:trHeight w:val="255"/>
        </w:trPr>
        <w:tc>
          <w:tcPr>
            <w:tcW w:w="4820" w:type="dxa"/>
            <w:gridSpan w:val="2"/>
            <w:tcBorders>
              <w:top w:val="nil"/>
              <w:left w:val="single" w:sz="8" w:space="0" w:color="auto"/>
              <w:bottom w:val="nil"/>
              <w:right w:val="single" w:sz="8" w:space="0" w:color="auto"/>
            </w:tcBorders>
            <w:shd w:val="clear" w:color="auto" w:fill="auto"/>
            <w:noWrap/>
            <w:vAlign w:val="center"/>
            <w:hideMark/>
          </w:tcPr>
          <w:p w14:paraId="23242CE5" w14:textId="4E9F8F8D" w:rsidR="0082721C" w:rsidRPr="00446D2A" w:rsidRDefault="0082721C" w:rsidP="00E67116">
            <w:pPr>
              <w:spacing w:after="0" w:line="240" w:lineRule="auto"/>
              <w:ind w:firstLineChars="221" w:firstLine="354"/>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 xml:space="preserve">312 – Transferências de Convênios </w:t>
            </w:r>
            <w:r w:rsidR="000B19AE">
              <w:rPr>
                <w:rFonts w:ascii="Arial Narrow" w:eastAsia="Times New Roman" w:hAnsi="Arial Narrow" w:cs="Arial"/>
                <w:sz w:val="16"/>
                <w:szCs w:val="16"/>
                <w:lang w:eastAsia="pt-BR"/>
              </w:rPr>
              <w:t>–</w:t>
            </w:r>
            <w:r w:rsidRPr="00446D2A">
              <w:rPr>
                <w:rFonts w:ascii="Arial Narrow" w:eastAsia="Times New Roman" w:hAnsi="Arial Narrow" w:cs="Arial"/>
                <w:sz w:val="16"/>
                <w:szCs w:val="16"/>
                <w:lang w:eastAsia="pt-BR"/>
              </w:rPr>
              <w:t xml:space="preserve"> Assistência Social</w:t>
            </w:r>
          </w:p>
        </w:tc>
        <w:tc>
          <w:tcPr>
            <w:tcW w:w="1134" w:type="dxa"/>
            <w:tcBorders>
              <w:top w:val="nil"/>
              <w:left w:val="nil"/>
              <w:bottom w:val="nil"/>
              <w:right w:val="single" w:sz="8" w:space="0" w:color="auto"/>
            </w:tcBorders>
            <w:shd w:val="clear" w:color="auto" w:fill="auto"/>
            <w:vAlign w:val="center"/>
            <w:hideMark/>
          </w:tcPr>
          <w:p w14:paraId="3DDB187F"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BFI.C041</w:t>
            </w:r>
          </w:p>
        </w:tc>
        <w:tc>
          <w:tcPr>
            <w:tcW w:w="1276" w:type="dxa"/>
            <w:tcBorders>
              <w:top w:val="nil"/>
              <w:left w:val="nil"/>
              <w:bottom w:val="nil"/>
              <w:right w:val="single" w:sz="8" w:space="0" w:color="auto"/>
            </w:tcBorders>
            <w:shd w:val="clear" w:color="auto" w:fill="auto"/>
            <w:vAlign w:val="center"/>
            <w:hideMark/>
          </w:tcPr>
          <w:p w14:paraId="194788AC"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BFI.D041</w:t>
            </w:r>
          </w:p>
        </w:tc>
        <w:tc>
          <w:tcPr>
            <w:tcW w:w="4243" w:type="dxa"/>
            <w:tcBorders>
              <w:top w:val="nil"/>
              <w:left w:val="nil"/>
              <w:bottom w:val="nil"/>
              <w:right w:val="single" w:sz="8" w:space="0" w:color="auto"/>
            </w:tcBorders>
            <w:shd w:val="clear" w:color="auto" w:fill="auto"/>
            <w:noWrap/>
            <w:vAlign w:val="center"/>
            <w:hideMark/>
          </w:tcPr>
          <w:p w14:paraId="6852DB5D" w14:textId="39E59499" w:rsidR="0082721C" w:rsidRPr="00446D2A" w:rsidRDefault="0082721C" w:rsidP="00E67116">
            <w:pPr>
              <w:spacing w:after="0" w:line="240" w:lineRule="auto"/>
              <w:ind w:firstLineChars="221" w:firstLine="354"/>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 xml:space="preserve">312 – Transferências de Convênios </w:t>
            </w:r>
            <w:r w:rsidR="000B19AE">
              <w:rPr>
                <w:rFonts w:ascii="Arial Narrow" w:eastAsia="Times New Roman" w:hAnsi="Arial Narrow" w:cs="Arial"/>
                <w:sz w:val="16"/>
                <w:szCs w:val="16"/>
                <w:lang w:eastAsia="pt-BR"/>
              </w:rPr>
              <w:t>–</w:t>
            </w:r>
            <w:r w:rsidRPr="00446D2A">
              <w:rPr>
                <w:rFonts w:ascii="Arial Narrow" w:eastAsia="Times New Roman" w:hAnsi="Arial Narrow" w:cs="Arial"/>
                <w:sz w:val="16"/>
                <w:szCs w:val="16"/>
                <w:lang w:eastAsia="pt-BR"/>
              </w:rPr>
              <w:t xml:space="preserve"> Assistência Social</w:t>
            </w:r>
          </w:p>
        </w:tc>
        <w:tc>
          <w:tcPr>
            <w:tcW w:w="1285" w:type="dxa"/>
            <w:gridSpan w:val="2"/>
            <w:tcBorders>
              <w:top w:val="nil"/>
              <w:left w:val="nil"/>
              <w:bottom w:val="nil"/>
              <w:right w:val="single" w:sz="8" w:space="0" w:color="auto"/>
            </w:tcBorders>
            <w:shd w:val="clear" w:color="auto" w:fill="auto"/>
            <w:vAlign w:val="center"/>
            <w:hideMark/>
          </w:tcPr>
          <w:p w14:paraId="4DB6776B"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BFI.G041</w:t>
            </w:r>
          </w:p>
        </w:tc>
        <w:tc>
          <w:tcPr>
            <w:tcW w:w="1276" w:type="dxa"/>
            <w:gridSpan w:val="2"/>
            <w:tcBorders>
              <w:top w:val="nil"/>
              <w:left w:val="nil"/>
              <w:bottom w:val="nil"/>
              <w:right w:val="single" w:sz="8" w:space="0" w:color="auto"/>
            </w:tcBorders>
            <w:shd w:val="clear" w:color="auto" w:fill="auto"/>
            <w:vAlign w:val="center"/>
            <w:hideMark/>
          </w:tcPr>
          <w:p w14:paraId="6C102EA4"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BFI.H041</w:t>
            </w:r>
          </w:p>
        </w:tc>
      </w:tr>
      <w:tr w:rsidR="0082721C" w:rsidRPr="003042F6" w14:paraId="60D43278" w14:textId="77777777" w:rsidTr="00E450A4">
        <w:trPr>
          <w:trHeight w:val="255"/>
        </w:trPr>
        <w:tc>
          <w:tcPr>
            <w:tcW w:w="4820" w:type="dxa"/>
            <w:gridSpan w:val="2"/>
            <w:tcBorders>
              <w:top w:val="nil"/>
              <w:left w:val="single" w:sz="8" w:space="0" w:color="auto"/>
              <w:bottom w:val="nil"/>
              <w:right w:val="single" w:sz="8" w:space="0" w:color="auto"/>
            </w:tcBorders>
            <w:shd w:val="clear" w:color="auto" w:fill="auto"/>
            <w:noWrap/>
            <w:vAlign w:val="center"/>
            <w:hideMark/>
          </w:tcPr>
          <w:p w14:paraId="275EBA10" w14:textId="77777777" w:rsidR="0082721C" w:rsidRPr="00446D2A" w:rsidRDefault="0082721C" w:rsidP="00E67116">
            <w:pPr>
              <w:spacing w:after="0" w:line="240" w:lineRule="auto"/>
              <w:ind w:firstLineChars="221" w:firstLine="354"/>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lastRenderedPageBreak/>
              <w:t>390 – Outros Recursos destinados à Assistência Social – Demais Recursos</w:t>
            </w:r>
          </w:p>
        </w:tc>
        <w:tc>
          <w:tcPr>
            <w:tcW w:w="1134" w:type="dxa"/>
            <w:tcBorders>
              <w:top w:val="nil"/>
              <w:left w:val="nil"/>
              <w:bottom w:val="nil"/>
              <w:right w:val="single" w:sz="8" w:space="0" w:color="auto"/>
            </w:tcBorders>
            <w:shd w:val="clear" w:color="auto" w:fill="auto"/>
            <w:vAlign w:val="center"/>
            <w:hideMark/>
          </w:tcPr>
          <w:p w14:paraId="7814CDFA"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BFI.C042</w:t>
            </w:r>
          </w:p>
        </w:tc>
        <w:tc>
          <w:tcPr>
            <w:tcW w:w="1276" w:type="dxa"/>
            <w:tcBorders>
              <w:top w:val="nil"/>
              <w:left w:val="nil"/>
              <w:bottom w:val="nil"/>
              <w:right w:val="single" w:sz="8" w:space="0" w:color="auto"/>
            </w:tcBorders>
            <w:shd w:val="clear" w:color="auto" w:fill="auto"/>
            <w:vAlign w:val="center"/>
            <w:hideMark/>
          </w:tcPr>
          <w:p w14:paraId="512EEBAD"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BFI.D042</w:t>
            </w:r>
          </w:p>
        </w:tc>
        <w:tc>
          <w:tcPr>
            <w:tcW w:w="4243" w:type="dxa"/>
            <w:tcBorders>
              <w:top w:val="nil"/>
              <w:left w:val="nil"/>
              <w:bottom w:val="nil"/>
              <w:right w:val="single" w:sz="8" w:space="0" w:color="auto"/>
            </w:tcBorders>
            <w:shd w:val="clear" w:color="auto" w:fill="auto"/>
            <w:noWrap/>
            <w:vAlign w:val="center"/>
            <w:hideMark/>
          </w:tcPr>
          <w:p w14:paraId="10142F6E" w14:textId="77777777" w:rsidR="0082721C" w:rsidRPr="00446D2A" w:rsidRDefault="0082721C" w:rsidP="00E67116">
            <w:pPr>
              <w:spacing w:after="0" w:line="240" w:lineRule="auto"/>
              <w:ind w:firstLineChars="221" w:firstLine="354"/>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390 – Outros Recursos destinados à Assistência Social – Demais Recursos</w:t>
            </w:r>
          </w:p>
        </w:tc>
        <w:tc>
          <w:tcPr>
            <w:tcW w:w="1285" w:type="dxa"/>
            <w:gridSpan w:val="2"/>
            <w:tcBorders>
              <w:top w:val="nil"/>
              <w:left w:val="nil"/>
              <w:bottom w:val="nil"/>
              <w:right w:val="single" w:sz="8" w:space="0" w:color="auto"/>
            </w:tcBorders>
            <w:shd w:val="clear" w:color="auto" w:fill="auto"/>
            <w:vAlign w:val="center"/>
            <w:hideMark/>
          </w:tcPr>
          <w:p w14:paraId="716C51CB"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BFI.G042</w:t>
            </w:r>
          </w:p>
        </w:tc>
        <w:tc>
          <w:tcPr>
            <w:tcW w:w="1276" w:type="dxa"/>
            <w:gridSpan w:val="2"/>
            <w:tcBorders>
              <w:top w:val="nil"/>
              <w:left w:val="nil"/>
              <w:bottom w:val="nil"/>
              <w:right w:val="single" w:sz="8" w:space="0" w:color="auto"/>
            </w:tcBorders>
            <w:shd w:val="clear" w:color="auto" w:fill="auto"/>
            <w:vAlign w:val="center"/>
            <w:hideMark/>
          </w:tcPr>
          <w:p w14:paraId="638AD9D8"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BFI.H042</w:t>
            </w:r>
          </w:p>
        </w:tc>
      </w:tr>
      <w:tr w:rsidR="0082721C" w:rsidRPr="003042F6" w14:paraId="669619A2" w14:textId="77777777" w:rsidTr="00E450A4">
        <w:trPr>
          <w:trHeight w:val="255"/>
        </w:trPr>
        <w:tc>
          <w:tcPr>
            <w:tcW w:w="4820" w:type="dxa"/>
            <w:gridSpan w:val="2"/>
            <w:tcBorders>
              <w:top w:val="nil"/>
              <w:left w:val="single" w:sz="8" w:space="0" w:color="auto"/>
              <w:bottom w:val="nil"/>
              <w:right w:val="single" w:sz="8" w:space="0" w:color="auto"/>
            </w:tcBorders>
            <w:shd w:val="clear" w:color="auto" w:fill="auto"/>
            <w:noWrap/>
            <w:vAlign w:val="center"/>
            <w:hideMark/>
          </w:tcPr>
          <w:p w14:paraId="47A1213A" w14:textId="77777777" w:rsidR="0082721C" w:rsidRPr="00446D2A" w:rsidRDefault="0082721C" w:rsidP="00E67116">
            <w:pPr>
              <w:spacing w:after="0" w:line="240" w:lineRule="auto"/>
              <w:ind w:firstLineChars="100" w:firstLine="161"/>
              <w:rPr>
                <w:rFonts w:ascii="Arial Narrow" w:eastAsia="Times New Roman" w:hAnsi="Arial Narrow" w:cs="Arial"/>
                <w:b/>
                <w:bCs/>
                <w:sz w:val="16"/>
                <w:szCs w:val="16"/>
                <w:lang w:eastAsia="pt-BR"/>
              </w:rPr>
            </w:pPr>
            <w:r w:rsidRPr="00446D2A">
              <w:rPr>
                <w:rFonts w:ascii="Arial Narrow" w:eastAsia="Times New Roman" w:hAnsi="Arial Narrow" w:cs="Arial"/>
                <w:b/>
                <w:bCs/>
                <w:sz w:val="16"/>
                <w:szCs w:val="16"/>
                <w:lang w:eastAsia="pt-BR"/>
              </w:rPr>
              <w:t xml:space="preserve"> Outras Destinações de Recursos</w:t>
            </w:r>
          </w:p>
        </w:tc>
        <w:tc>
          <w:tcPr>
            <w:tcW w:w="1134" w:type="dxa"/>
            <w:tcBorders>
              <w:top w:val="nil"/>
              <w:left w:val="nil"/>
              <w:bottom w:val="nil"/>
              <w:right w:val="single" w:sz="8" w:space="0" w:color="auto"/>
            </w:tcBorders>
            <w:shd w:val="clear" w:color="auto" w:fill="auto"/>
            <w:vAlign w:val="center"/>
            <w:hideMark/>
          </w:tcPr>
          <w:p w14:paraId="0B847CAC" w14:textId="77777777" w:rsidR="0082721C" w:rsidRPr="00446D2A" w:rsidRDefault="0082721C" w:rsidP="00E67116">
            <w:pPr>
              <w:spacing w:after="0" w:line="240" w:lineRule="auto"/>
              <w:jc w:val="center"/>
              <w:rPr>
                <w:rFonts w:ascii="Arial Narrow" w:eastAsia="Times New Roman" w:hAnsi="Arial Narrow" w:cs="Arial"/>
                <w:b/>
                <w:bCs/>
                <w:sz w:val="16"/>
                <w:szCs w:val="16"/>
                <w:lang w:eastAsia="pt-BR"/>
              </w:rPr>
            </w:pPr>
            <w:r w:rsidRPr="00446D2A">
              <w:rPr>
                <w:rFonts w:ascii="Arial Narrow" w:eastAsia="Times New Roman" w:hAnsi="Arial Narrow" w:cs="Arial"/>
                <w:b/>
                <w:bCs/>
                <w:sz w:val="16"/>
                <w:szCs w:val="16"/>
                <w:lang w:eastAsia="pt-BR"/>
              </w:rPr>
              <w:t>BFI.C043</w:t>
            </w:r>
          </w:p>
        </w:tc>
        <w:tc>
          <w:tcPr>
            <w:tcW w:w="1276" w:type="dxa"/>
            <w:tcBorders>
              <w:top w:val="nil"/>
              <w:left w:val="nil"/>
              <w:bottom w:val="nil"/>
              <w:right w:val="single" w:sz="8" w:space="0" w:color="auto"/>
            </w:tcBorders>
            <w:shd w:val="clear" w:color="auto" w:fill="auto"/>
            <w:vAlign w:val="center"/>
            <w:hideMark/>
          </w:tcPr>
          <w:p w14:paraId="74AF9AB6" w14:textId="77777777" w:rsidR="0082721C" w:rsidRPr="00446D2A" w:rsidRDefault="0082721C" w:rsidP="00E67116">
            <w:pPr>
              <w:spacing w:after="0" w:line="240" w:lineRule="auto"/>
              <w:jc w:val="center"/>
              <w:rPr>
                <w:rFonts w:ascii="Arial Narrow" w:eastAsia="Times New Roman" w:hAnsi="Arial Narrow" w:cs="Arial"/>
                <w:b/>
                <w:bCs/>
                <w:sz w:val="16"/>
                <w:szCs w:val="16"/>
                <w:lang w:eastAsia="pt-BR"/>
              </w:rPr>
            </w:pPr>
            <w:r w:rsidRPr="00446D2A">
              <w:rPr>
                <w:rFonts w:ascii="Arial Narrow" w:eastAsia="Times New Roman" w:hAnsi="Arial Narrow" w:cs="Arial"/>
                <w:b/>
                <w:bCs/>
                <w:sz w:val="16"/>
                <w:szCs w:val="16"/>
                <w:lang w:eastAsia="pt-BR"/>
              </w:rPr>
              <w:t>BFI.D043</w:t>
            </w:r>
          </w:p>
        </w:tc>
        <w:tc>
          <w:tcPr>
            <w:tcW w:w="4243" w:type="dxa"/>
            <w:tcBorders>
              <w:top w:val="nil"/>
              <w:left w:val="nil"/>
              <w:bottom w:val="nil"/>
              <w:right w:val="single" w:sz="8" w:space="0" w:color="auto"/>
            </w:tcBorders>
            <w:shd w:val="clear" w:color="auto" w:fill="auto"/>
            <w:noWrap/>
            <w:vAlign w:val="center"/>
            <w:hideMark/>
          </w:tcPr>
          <w:p w14:paraId="0FCF3C38" w14:textId="77777777" w:rsidR="0082721C" w:rsidRPr="00446D2A" w:rsidRDefault="0082721C" w:rsidP="00E67116">
            <w:pPr>
              <w:spacing w:after="0" w:line="240" w:lineRule="auto"/>
              <w:ind w:firstLineChars="100" w:firstLine="161"/>
              <w:rPr>
                <w:rFonts w:ascii="Arial Narrow" w:eastAsia="Times New Roman" w:hAnsi="Arial Narrow" w:cs="Arial"/>
                <w:b/>
                <w:bCs/>
                <w:sz w:val="16"/>
                <w:szCs w:val="16"/>
                <w:lang w:eastAsia="pt-BR"/>
              </w:rPr>
            </w:pPr>
            <w:r w:rsidRPr="00446D2A">
              <w:rPr>
                <w:rFonts w:ascii="Arial Narrow" w:eastAsia="Times New Roman" w:hAnsi="Arial Narrow" w:cs="Arial"/>
                <w:b/>
                <w:bCs/>
                <w:sz w:val="16"/>
                <w:szCs w:val="16"/>
                <w:lang w:eastAsia="pt-BR"/>
              </w:rPr>
              <w:t xml:space="preserve"> Outras Destinações de Recursos</w:t>
            </w:r>
          </w:p>
        </w:tc>
        <w:tc>
          <w:tcPr>
            <w:tcW w:w="1285" w:type="dxa"/>
            <w:gridSpan w:val="2"/>
            <w:tcBorders>
              <w:top w:val="nil"/>
              <w:left w:val="nil"/>
              <w:bottom w:val="nil"/>
              <w:right w:val="single" w:sz="8" w:space="0" w:color="auto"/>
            </w:tcBorders>
            <w:shd w:val="clear" w:color="auto" w:fill="auto"/>
            <w:vAlign w:val="center"/>
            <w:hideMark/>
          </w:tcPr>
          <w:p w14:paraId="1C45ECD0" w14:textId="77777777" w:rsidR="0082721C" w:rsidRPr="00446D2A" w:rsidRDefault="0082721C" w:rsidP="00E67116">
            <w:pPr>
              <w:spacing w:after="0" w:line="240" w:lineRule="auto"/>
              <w:jc w:val="center"/>
              <w:rPr>
                <w:rFonts w:ascii="Arial Narrow" w:eastAsia="Times New Roman" w:hAnsi="Arial Narrow" w:cs="Arial"/>
                <w:b/>
                <w:bCs/>
                <w:sz w:val="16"/>
                <w:szCs w:val="16"/>
                <w:lang w:eastAsia="pt-BR"/>
              </w:rPr>
            </w:pPr>
            <w:r w:rsidRPr="00446D2A">
              <w:rPr>
                <w:rFonts w:ascii="Arial Narrow" w:eastAsia="Times New Roman" w:hAnsi="Arial Narrow" w:cs="Arial"/>
                <w:b/>
                <w:bCs/>
                <w:sz w:val="16"/>
                <w:szCs w:val="16"/>
                <w:lang w:eastAsia="pt-BR"/>
              </w:rPr>
              <w:t>BFI.G043</w:t>
            </w:r>
          </w:p>
        </w:tc>
        <w:tc>
          <w:tcPr>
            <w:tcW w:w="1276" w:type="dxa"/>
            <w:gridSpan w:val="2"/>
            <w:tcBorders>
              <w:top w:val="nil"/>
              <w:left w:val="nil"/>
              <w:bottom w:val="nil"/>
              <w:right w:val="single" w:sz="8" w:space="0" w:color="auto"/>
            </w:tcBorders>
            <w:shd w:val="clear" w:color="auto" w:fill="auto"/>
            <w:vAlign w:val="center"/>
            <w:hideMark/>
          </w:tcPr>
          <w:p w14:paraId="419AB171" w14:textId="77777777" w:rsidR="0082721C" w:rsidRPr="00446D2A" w:rsidRDefault="0082721C" w:rsidP="00E67116">
            <w:pPr>
              <w:spacing w:after="0" w:line="240" w:lineRule="auto"/>
              <w:jc w:val="center"/>
              <w:rPr>
                <w:rFonts w:ascii="Arial Narrow" w:eastAsia="Times New Roman" w:hAnsi="Arial Narrow" w:cs="Arial"/>
                <w:b/>
                <w:bCs/>
                <w:sz w:val="16"/>
                <w:szCs w:val="16"/>
                <w:lang w:eastAsia="pt-BR"/>
              </w:rPr>
            </w:pPr>
            <w:r w:rsidRPr="00446D2A">
              <w:rPr>
                <w:rFonts w:ascii="Arial Narrow" w:eastAsia="Times New Roman" w:hAnsi="Arial Narrow" w:cs="Arial"/>
                <w:b/>
                <w:bCs/>
                <w:sz w:val="16"/>
                <w:szCs w:val="16"/>
                <w:lang w:eastAsia="pt-BR"/>
              </w:rPr>
              <w:t>BFI.H043</w:t>
            </w:r>
          </w:p>
        </w:tc>
      </w:tr>
      <w:tr w:rsidR="0082721C" w:rsidRPr="003042F6" w14:paraId="728217D8" w14:textId="77777777" w:rsidTr="00E450A4">
        <w:trPr>
          <w:trHeight w:val="255"/>
        </w:trPr>
        <w:tc>
          <w:tcPr>
            <w:tcW w:w="4820" w:type="dxa"/>
            <w:gridSpan w:val="2"/>
            <w:tcBorders>
              <w:top w:val="nil"/>
              <w:left w:val="single" w:sz="8" w:space="0" w:color="auto"/>
              <w:bottom w:val="nil"/>
              <w:right w:val="single" w:sz="8" w:space="0" w:color="auto"/>
            </w:tcBorders>
            <w:shd w:val="clear" w:color="auto" w:fill="auto"/>
            <w:noWrap/>
            <w:vAlign w:val="center"/>
            <w:hideMark/>
          </w:tcPr>
          <w:p w14:paraId="27625709" w14:textId="77777777" w:rsidR="0082721C" w:rsidRPr="00446D2A" w:rsidRDefault="0082721C" w:rsidP="00E67116">
            <w:pPr>
              <w:spacing w:after="0" w:line="240" w:lineRule="auto"/>
              <w:ind w:firstLineChars="133" w:firstLine="213"/>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 xml:space="preserve">    510 – Outras Transferências de Convênios </w:t>
            </w:r>
            <w:r>
              <w:rPr>
                <w:rFonts w:ascii="Arial Narrow" w:eastAsia="Times New Roman" w:hAnsi="Arial Narrow" w:cs="Arial"/>
                <w:sz w:val="16"/>
                <w:szCs w:val="16"/>
                <w:lang w:eastAsia="pt-BR"/>
              </w:rPr>
              <w:t xml:space="preserve">ou Contratos de Repasses </w:t>
            </w:r>
            <w:r w:rsidRPr="00446D2A">
              <w:rPr>
                <w:rFonts w:ascii="Arial Narrow" w:eastAsia="Times New Roman" w:hAnsi="Arial Narrow" w:cs="Arial"/>
                <w:sz w:val="16"/>
                <w:szCs w:val="16"/>
                <w:lang w:eastAsia="pt-BR"/>
              </w:rPr>
              <w:t>da União</w:t>
            </w:r>
          </w:p>
        </w:tc>
        <w:tc>
          <w:tcPr>
            <w:tcW w:w="1134" w:type="dxa"/>
            <w:tcBorders>
              <w:top w:val="nil"/>
              <w:left w:val="nil"/>
              <w:bottom w:val="nil"/>
              <w:right w:val="single" w:sz="8" w:space="0" w:color="auto"/>
            </w:tcBorders>
            <w:shd w:val="clear" w:color="auto" w:fill="auto"/>
            <w:vAlign w:val="center"/>
            <w:hideMark/>
          </w:tcPr>
          <w:p w14:paraId="02B1BF6D"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BFI.C044</w:t>
            </w:r>
          </w:p>
        </w:tc>
        <w:tc>
          <w:tcPr>
            <w:tcW w:w="1276" w:type="dxa"/>
            <w:tcBorders>
              <w:top w:val="nil"/>
              <w:left w:val="nil"/>
              <w:bottom w:val="nil"/>
              <w:right w:val="single" w:sz="8" w:space="0" w:color="auto"/>
            </w:tcBorders>
            <w:shd w:val="clear" w:color="auto" w:fill="auto"/>
            <w:vAlign w:val="center"/>
            <w:hideMark/>
          </w:tcPr>
          <w:p w14:paraId="78097330"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BFI.D044</w:t>
            </w:r>
          </w:p>
        </w:tc>
        <w:tc>
          <w:tcPr>
            <w:tcW w:w="4243" w:type="dxa"/>
            <w:tcBorders>
              <w:top w:val="nil"/>
              <w:left w:val="nil"/>
              <w:bottom w:val="nil"/>
              <w:right w:val="single" w:sz="8" w:space="0" w:color="auto"/>
            </w:tcBorders>
            <w:shd w:val="clear" w:color="auto" w:fill="auto"/>
            <w:noWrap/>
            <w:vAlign w:val="center"/>
            <w:hideMark/>
          </w:tcPr>
          <w:p w14:paraId="1D94FA4B" w14:textId="77777777" w:rsidR="0082721C" w:rsidRPr="00446D2A" w:rsidRDefault="0082721C" w:rsidP="00E67116">
            <w:pPr>
              <w:spacing w:after="0" w:line="240" w:lineRule="auto"/>
              <w:ind w:firstLineChars="221" w:firstLine="354"/>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 xml:space="preserve">510 – Outras Transferências de Convênios </w:t>
            </w:r>
            <w:r>
              <w:rPr>
                <w:rFonts w:ascii="Arial Narrow" w:eastAsia="Times New Roman" w:hAnsi="Arial Narrow" w:cs="Arial"/>
                <w:sz w:val="16"/>
                <w:szCs w:val="16"/>
                <w:lang w:eastAsia="pt-BR"/>
              </w:rPr>
              <w:t xml:space="preserve">ou Contratos de Repasses </w:t>
            </w:r>
            <w:r w:rsidRPr="00446D2A">
              <w:rPr>
                <w:rFonts w:ascii="Arial Narrow" w:eastAsia="Times New Roman" w:hAnsi="Arial Narrow" w:cs="Arial"/>
                <w:sz w:val="16"/>
                <w:szCs w:val="16"/>
                <w:lang w:eastAsia="pt-BR"/>
              </w:rPr>
              <w:t>da União</w:t>
            </w:r>
          </w:p>
        </w:tc>
        <w:tc>
          <w:tcPr>
            <w:tcW w:w="1285" w:type="dxa"/>
            <w:gridSpan w:val="2"/>
            <w:tcBorders>
              <w:top w:val="nil"/>
              <w:left w:val="nil"/>
              <w:bottom w:val="nil"/>
              <w:right w:val="single" w:sz="8" w:space="0" w:color="auto"/>
            </w:tcBorders>
            <w:shd w:val="clear" w:color="auto" w:fill="auto"/>
            <w:vAlign w:val="center"/>
            <w:hideMark/>
          </w:tcPr>
          <w:p w14:paraId="7752D168"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BFI.G044</w:t>
            </w:r>
          </w:p>
        </w:tc>
        <w:tc>
          <w:tcPr>
            <w:tcW w:w="1276" w:type="dxa"/>
            <w:gridSpan w:val="2"/>
            <w:tcBorders>
              <w:top w:val="nil"/>
              <w:left w:val="nil"/>
              <w:bottom w:val="nil"/>
              <w:right w:val="single" w:sz="8" w:space="0" w:color="auto"/>
            </w:tcBorders>
            <w:shd w:val="clear" w:color="auto" w:fill="auto"/>
            <w:vAlign w:val="center"/>
            <w:hideMark/>
          </w:tcPr>
          <w:p w14:paraId="3F386B88"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BFI.H044</w:t>
            </w:r>
          </w:p>
        </w:tc>
      </w:tr>
      <w:tr w:rsidR="0082721C" w:rsidRPr="003042F6" w14:paraId="4A0CADD9" w14:textId="77777777" w:rsidTr="00E450A4">
        <w:trPr>
          <w:trHeight w:val="255"/>
        </w:trPr>
        <w:tc>
          <w:tcPr>
            <w:tcW w:w="4820" w:type="dxa"/>
            <w:gridSpan w:val="2"/>
            <w:tcBorders>
              <w:top w:val="nil"/>
              <w:left w:val="single" w:sz="8" w:space="0" w:color="auto"/>
              <w:bottom w:val="nil"/>
              <w:right w:val="single" w:sz="8" w:space="0" w:color="auto"/>
            </w:tcBorders>
            <w:shd w:val="clear" w:color="auto" w:fill="auto"/>
            <w:noWrap/>
            <w:vAlign w:val="center"/>
            <w:hideMark/>
          </w:tcPr>
          <w:p w14:paraId="03D9B8B3" w14:textId="77777777" w:rsidR="0082721C" w:rsidRPr="00446D2A" w:rsidRDefault="0082721C" w:rsidP="00E67116">
            <w:pPr>
              <w:spacing w:after="0" w:line="240" w:lineRule="auto"/>
              <w:ind w:firstLineChars="133" w:firstLine="213"/>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 xml:space="preserve">    520 – Outras Transferências de Convênios</w:t>
            </w:r>
            <w:r>
              <w:rPr>
                <w:rFonts w:ascii="Arial Narrow" w:eastAsia="Times New Roman" w:hAnsi="Arial Narrow" w:cs="Arial"/>
                <w:sz w:val="16"/>
                <w:szCs w:val="16"/>
                <w:lang w:eastAsia="pt-BR"/>
              </w:rPr>
              <w:t xml:space="preserve"> ou Contratos de Repasses</w:t>
            </w:r>
            <w:r w:rsidRPr="00446D2A">
              <w:rPr>
                <w:rFonts w:ascii="Arial Narrow" w:eastAsia="Times New Roman" w:hAnsi="Arial Narrow" w:cs="Arial"/>
                <w:sz w:val="16"/>
                <w:szCs w:val="16"/>
                <w:lang w:eastAsia="pt-BR"/>
              </w:rPr>
              <w:t xml:space="preserve"> dos Estados</w:t>
            </w:r>
          </w:p>
        </w:tc>
        <w:tc>
          <w:tcPr>
            <w:tcW w:w="1134" w:type="dxa"/>
            <w:tcBorders>
              <w:top w:val="nil"/>
              <w:left w:val="nil"/>
              <w:bottom w:val="nil"/>
              <w:right w:val="single" w:sz="8" w:space="0" w:color="auto"/>
            </w:tcBorders>
            <w:shd w:val="clear" w:color="auto" w:fill="auto"/>
            <w:vAlign w:val="center"/>
            <w:hideMark/>
          </w:tcPr>
          <w:p w14:paraId="528F6EFD"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BFI.C045</w:t>
            </w:r>
          </w:p>
        </w:tc>
        <w:tc>
          <w:tcPr>
            <w:tcW w:w="1276" w:type="dxa"/>
            <w:tcBorders>
              <w:top w:val="nil"/>
              <w:left w:val="nil"/>
              <w:bottom w:val="nil"/>
              <w:right w:val="single" w:sz="8" w:space="0" w:color="auto"/>
            </w:tcBorders>
            <w:shd w:val="clear" w:color="auto" w:fill="auto"/>
            <w:vAlign w:val="center"/>
            <w:hideMark/>
          </w:tcPr>
          <w:p w14:paraId="63A1B015"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BFI.D045</w:t>
            </w:r>
          </w:p>
        </w:tc>
        <w:tc>
          <w:tcPr>
            <w:tcW w:w="4243" w:type="dxa"/>
            <w:tcBorders>
              <w:top w:val="nil"/>
              <w:left w:val="nil"/>
              <w:bottom w:val="nil"/>
              <w:right w:val="single" w:sz="8" w:space="0" w:color="auto"/>
            </w:tcBorders>
            <w:shd w:val="clear" w:color="auto" w:fill="auto"/>
            <w:noWrap/>
            <w:vAlign w:val="center"/>
            <w:hideMark/>
          </w:tcPr>
          <w:p w14:paraId="4CECFD1B" w14:textId="77777777" w:rsidR="0082721C" w:rsidRPr="00446D2A" w:rsidRDefault="0082721C" w:rsidP="00E67116">
            <w:pPr>
              <w:spacing w:after="0" w:line="240" w:lineRule="auto"/>
              <w:ind w:firstLineChars="221" w:firstLine="354"/>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520 – Outras Transferências de Convênios</w:t>
            </w:r>
            <w:r>
              <w:rPr>
                <w:rFonts w:ascii="Arial Narrow" w:eastAsia="Times New Roman" w:hAnsi="Arial Narrow" w:cs="Arial"/>
                <w:sz w:val="16"/>
                <w:szCs w:val="16"/>
                <w:lang w:eastAsia="pt-BR"/>
              </w:rPr>
              <w:t xml:space="preserve"> ou Contratos de Repasses</w:t>
            </w:r>
            <w:r w:rsidRPr="00446D2A">
              <w:rPr>
                <w:rFonts w:ascii="Arial Narrow" w:eastAsia="Times New Roman" w:hAnsi="Arial Narrow" w:cs="Arial"/>
                <w:sz w:val="16"/>
                <w:szCs w:val="16"/>
                <w:lang w:eastAsia="pt-BR"/>
              </w:rPr>
              <w:t xml:space="preserve"> dos Estados</w:t>
            </w:r>
          </w:p>
        </w:tc>
        <w:tc>
          <w:tcPr>
            <w:tcW w:w="1285" w:type="dxa"/>
            <w:gridSpan w:val="2"/>
            <w:tcBorders>
              <w:top w:val="nil"/>
              <w:left w:val="nil"/>
              <w:bottom w:val="nil"/>
              <w:right w:val="single" w:sz="8" w:space="0" w:color="auto"/>
            </w:tcBorders>
            <w:shd w:val="clear" w:color="auto" w:fill="auto"/>
            <w:vAlign w:val="center"/>
            <w:hideMark/>
          </w:tcPr>
          <w:p w14:paraId="3AB6C8BB"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BFI.G045</w:t>
            </w:r>
          </w:p>
        </w:tc>
        <w:tc>
          <w:tcPr>
            <w:tcW w:w="1276" w:type="dxa"/>
            <w:gridSpan w:val="2"/>
            <w:tcBorders>
              <w:top w:val="nil"/>
              <w:left w:val="nil"/>
              <w:bottom w:val="nil"/>
              <w:right w:val="single" w:sz="8" w:space="0" w:color="auto"/>
            </w:tcBorders>
            <w:shd w:val="clear" w:color="auto" w:fill="auto"/>
            <w:vAlign w:val="center"/>
            <w:hideMark/>
          </w:tcPr>
          <w:p w14:paraId="113F7232" w14:textId="77777777" w:rsidR="0082721C" w:rsidRPr="00446D2A" w:rsidRDefault="0082721C" w:rsidP="00E67116">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BFI.H045</w:t>
            </w:r>
          </w:p>
        </w:tc>
      </w:tr>
      <w:tr w:rsidR="0082721C" w:rsidRPr="003042F6" w14:paraId="26E1B22D" w14:textId="77777777" w:rsidTr="00E450A4">
        <w:trPr>
          <w:trHeight w:val="255"/>
        </w:trPr>
        <w:tc>
          <w:tcPr>
            <w:tcW w:w="4820" w:type="dxa"/>
            <w:gridSpan w:val="2"/>
            <w:tcBorders>
              <w:top w:val="nil"/>
              <w:left w:val="single" w:sz="8" w:space="0" w:color="auto"/>
              <w:bottom w:val="nil"/>
              <w:right w:val="single" w:sz="8" w:space="0" w:color="auto"/>
            </w:tcBorders>
            <w:shd w:val="clear" w:color="auto" w:fill="auto"/>
            <w:noWrap/>
            <w:vAlign w:val="center"/>
          </w:tcPr>
          <w:p w14:paraId="637634D2" w14:textId="77777777" w:rsidR="0082721C" w:rsidRPr="00446D2A" w:rsidRDefault="0082721C" w:rsidP="00E67116">
            <w:pPr>
              <w:spacing w:after="0" w:line="240" w:lineRule="auto"/>
              <w:ind w:firstLineChars="133" w:firstLine="213"/>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550 – Transferência Especial da União</w:t>
            </w:r>
          </w:p>
        </w:tc>
        <w:tc>
          <w:tcPr>
            <w:tcW w:w="1134" w:type="dxa"/>
            <w:tcBorders>
              <w:top w:val="nil"/>
              <w:left w:val="nil"/>
              <w:bottom w:val="nil"/>
              <w:right w:val="single" w:sz="8" w:space="0" w:color="auto"/>
            </w:tcBorders>
            <w:shd w:val="clear" w:color="auto" w:fill="auto"/>
            <w:vAlign w:val="center"/>
          </w:tcPr>
          <w:p w14:paraId="48D55812" w14:textId="77777777" w:rsidR="0082721C" w:rsidRPr="000A3CD5" w:rsidRDefault="0082721C" w:rsidP="00E67116">
            <w:pPr>
              <w:spacing w:after="0" w:line="240" w:lineRule="auto"/>
              <w:jc w:val="center"/>
              <w:rPr>
                <w:rFonts w:ascii="Arial Narrow" w:eastAsia="Times New Roman" w:hAnsi="Arial Narrow" w:cs="Arial"/>
                <w:sz w:val="16"/>
                <w:szCs w:val="16"/>
                <w:lang w:eastAsia="pt-BR"/>
              </w:rPr>
            </w:pPr>
            <w:r w:rsidRPr="000A3CD5">
              <w:rPr>
                <w:rFonts w:ascii="Arial Narrow" w:eastAsia="Times New Roman" w:hAnsi="Arial Narrow" w:cs="Arial"/>
                <w:sz w:val="16"/>
                <w:szCs w:val="16"/>
                <w:lang w:eastAsia="pt-BR"/>
              </w:rPr>
              <w:t>BFI.C111</w:t>
            </w:r>
          </w:p>
        </w:tc>
        <w:tc>
          <w:tcPr>
            <w:tcW w:w="1276" w:type="dxa"/>
            <w:tcBorders>
              <w:top w:val="nil"/>
              <w:left w:val="nil"/>
              <w:bottom w:val="nil"/>
              <w:right w:val="single" w:sz="8" w:space="0" w:color="auto"/>
            </w:tcBorders>
            <w:shd w:val="clear" w:color="auto" w:fill="auto"/>
            <w:vAlign w:val="center"/>
          </w:tcPr>
          <w:p w14:paraId="3BA08713" w14:textId="77777777" w:rsidR="0082721C" w:rsidRPr="000A3CD5" w:rsidRDefault="0082721C" w:rsidP="00E67116">
            <w:pPr>
              <w:spacing w:after="0" w:line="240" w:lineRule="auto"/>
              <w:jc w:val="center"/>
              <w:rPr>
                <w:rFonts w:ascii="Arial Narrow" w:eastAsia="Times New Roman" w:hAnsi="Arial Narrow" w:cs="Arial"/>
                <w:sz w:val="16"/>
                <w:szCs w:val="16"/>
                <w:lang w:eastAsia="pt-BR"/>
              </w:rPr>
            </w:pPr>
            <w:r w:rsidRPr="000A3CD5">
              <w:rPr>
                <w:rFonts w:ascii="Arial Narrow" w:eastAsia="Times New Roman" w:hAnsi="Arial Narrow" w:cs="Arial"/>
                <w:sz w:val="16"/>
                <w:szCs w:val="16"/>
                <w:lang w:eastAsia="pt-BR"/>
              </w:rPr>
              <w:t>BFI.D111</w:t>
            </w:r>
          </w:p>
        </w:tc>
        <w:tc>
          <w:tcPr>
            <w:tcW w:w="4243" w:type="dxa"/>
            <w:tcBorders>
              <w:top w:val="nil"/>
              <w:left w:val="nil"/>
              <w:bottom w:val="nil"/>
              <w:right w:val="single" w:sz="8" w:space="0" w:color="auto"/>
            </w:tcBorders>
            <w:shd w:val="clear" w:color="auto" w:fill="auto"/>
            <w:noWrap/>
            <w:vAlign w:val="center"/>
          </w:tcPr>
          <w:p w14:paraId="186ACA42" w14:textId="77777777" w:rsidR="0082721C" w:rsidRPr="000A3CD5" w:rsidRDefault="0082721C" w:rsidP="00E67116">
            <w:pPr>
              <w:spacing w:after="0" w:line="240" w:lineRule="auto"/>
              <w:ind w:firstLineChars="221" w:firstLine="354"/>
              <w:rPr>
                <w:rFonts w:ascii="Arial Narrow" w:eastAsia="Times New Roman" w:hAnsi="Arial Narrow" w:cs="Arial"/>
                <w:sz w:val="16"/>
                <w:szCs w:val="16"/>
                <w:lang w:eastAsia="pt-BR"/>
              </w:rPr>
            </w:pPr>
            <w:r w:rsidRPr="000A3CD5">
              <w:rPr>
                <w:rFonts w:ascii="Arial Narrow" w:eastAsia="Times New Roman" w:hAnsi="Arial Narrow" w:cs="Arial"/>
                <w:sz w:val="16"/>
                <w:szCs w:val="16"/>
                <w:lang w:eastAsia="pt-BR"/>
              </w:rPr>
              <w:t>550 – Transferência Especial da União</w:t>
            </w:r>
          </w:p>
        </w:tc>
        <w:tc>
          <w:tcPr>
            <w:tcW w:w="1285" w:type="dxa"/>
            <w:gridSpan w:val="2"/>
            <w:tcBorders>
              <w:top w:val="nil"/>
              <w:left w:val="nil"/>
              <w:bottom w:val="nil"/>
              <w:right w:val="single" w:sz="8" w:space="0" w:color="auto"/>
            </w:tcBorders>
            <w:shd w:val="clear" w:color="auto" w:fill="auto"/>
            <w:vAlign w:val="center"/>
          </w:tcPr>
          <w:p w14:paraId="53DDFE19" w14:textId="77777777" w:rsidR="0082721C" w:rsidRPr="000A3CD5" w:rsidRDefault="0082721C" w:rsidP="00E67116">
            <w:pPr>
              <w:spacing w:after="0" w:line="240" w:lineRule="auto"/>
              <w:jc w:val="center"/>
              <w:rPr>
                <w:rFonts w:ascii="Arial Narrow" w:eastAsia="Times New Roman" w:hAnsi="Arial Narrow" w:cs="Arial"/>
                <w:sz w:val="16"/>
                <w:szCs w:val="16"/>
                <w:lang w:eastAsia="pt-BR"/>
              </w:rPr>
            </w:pPr>
            <w:r w:rsidRPr="000A3CD5">
              <w:rPr>
                <w:rFonts w:ascii="Arial Narrow" w:eastAsia="Times New Roman" w:hAnsi="Arial Narrow" w:cs="Arial"/>
                <w:sz w:val="16"/>
                <w:szCs w:val="16"/>
                <w:lang w:eastAsia="pt-BR"/>
              </w:rPr>
              <w:t>BFI.G111</w:t>
            </w:r>
          </w:p>
        </w:tc>
        <w:tc>
          <w:tcPr>
            <w:tcW w:w="1276" w:type="dxa"/>
            <w:gridSpan w:val="2"/>
            <w:tcBorders>
              <w:top w:val="nil"/>
              <w:left w:val="nil"/>
              <w:bottom w:val="nil"/>
              <w:right w:val="single" w:sz="8" w:space="0" w:color="auto"/>
            </w:tcBorders>
            <w:shd w:val="clear" w:color="auto" w:fill="auto"/>
            <w:vAlign w:val="center"/>
          </w:tcPr>
          <w:p w14:paraId="0669E0CC" w14:textId="77777777" w:rsidR="0082721C" w:rsidRPr="000A3CD5" w:rsidRDefault="0082721C" w:rsidP="00E67116">
            <w:pPr>
              <w:spacing w:after="0" w:line="240" w:lineRule="auto"/>
              <w:jc w:val="center"/>
              <w:rPr>
                <w:rFonts w:ascii="Arial Narrow" w:eastAsia="Times New Roman" w:hAnsi="Arial Narrow" w:cs="Arial"/>
                <w:sz w:val="16"/>
                <w:szCs w:val="16"/>
                <w:lang w:eastAsia="pt-BR"/>
              </w:rPr>
            </w:pPr>
            <w:r w:rsidRPr="000A3CD5">
              <w:rPr>
                <w:rFonts w:ascii="Arial Narrow" w:eastAsia="Times New Roman" w:hAnsi="Arial Narrow" w:cs="Arial"/>
                <w:sz w:val="16"/>
                <w:szCs w:val="16"/>
                <w:lang w:eastAsia="pt-BR"/>
              </w:rPr>
              <w:t>BFI.H111</w:t>
            </w:r>
          </w:p>
        </w:tc>
      </w:tr>
      <w:tr w:rsidR="000B19AE" w:rsidRPr="003042F6" w14:paraId="40836F3D" w14:textId="77777777" w:rsidTr="00E450A4">
        <w:trPr>
          <w:trHeight w:val="255"/>
        </w:trPr>
        <w:tc>
          <w:tcPr>
            <w:tcW w:w="4820" w:type="dxa"/>
            <w:gridSpan w:val="2"/>
            <w:tcBorders>
              <w:top w:val="nil"/>
              <w:left w:val="single" w:sz="8" w:space="0" w:color="auto"/>
              <w:bottom w:val="nil"/>
              <w:right w:val="single" w:sz="8" w:space="0" w:color="auto"/>
            </w:tcBorders>
            <w:shd w:val="clear" w:color="auto" w:fill="auto"/>
            <w:noWrap/>
            <w:vAlign w:val="center"/>
          </w:tcPr>
          <w:p w14:paraId="14E09007" w14:textId="1CAD8E03" w:rsidR="000B19AE" w:rsidRPr="000B19AE" w:rsidRDefault="000B19AE" w:rsidP="000B19AE">
            <w:pPr>
              <w:spacing w:after="0" w:line="240" w:lineRule="auto"/>
              <w:ind w:firstLineChars="169" w:firstLine="270"/>
              <w:rPr>
                <w:rFonts w:ascii="Arial Narrow" w:eastAsia="Times New Roman" w:hAnsi="Arial Narrow" w:cs="Arial"/>
                <w:color w:val="0070C0"/>
                <w:sz w:val="16"/>
                <w:szCs w:val="16"/>
                <w:lang w:eastAsia="pt-BR"/>
              </w:rPr>
            </w:pPr>
            <w:r w:rsidRPr="000B19AE">
              <w:rPr>
                <w:rFonts w:ascii="Arial Narrow" w:eastAsia="Times New Roman" w:hAnsi="Arial Narrow" w:cs="Arial"/>
                <w:color w:val="0070C0"/>
                <w:sz w:val="16"/>
                <w:szCs w:val="16"/>
                <w:lang w:eastAsia="pt-BR"/>
              </w:rPr>
              <w:t xml:space="preserve">  560 – Trasnsferências da União – Inciso I do Artigo 5º da LC 173/2020</w:t>
            </w:r>
          </w:p>
        </w:tc>
        <w:tc>
          <w:tcPr>
            <w:tcW w:w="1134" w:type="dxa"/>
            <w:tcBorders>
              <w:top w:val="nil"/>
              <w:left w:val="nil"/>
              <w:bottom w:val="nil"/>
              <w:right w:val="single" w:sz="8" w:space="0" w:color="auto"/>
            </w:tcBorders>
            <w:shd w:val="clear" w:color="auto" w:fill="auto"/>
            <w:vAlign w:val="center"/>
          </w:tcPr>
          <w:p w14:paraId="0602205B" w14:textId="1695BEB4" w:rsidR="000B19AE" w:rsidRPr="000B19AE" w:rsidRDefault="000B19AE" w:rsidP="000B19AE">
            <w:pPr>
              <w:spacing w:after="0" w:line="240" w:lineRule="auto"/>
              <w:jc w:val="center"/>
              <w:rPr>
                <w:rFonts w:ascii="Arial Narrow" w:eastAsia="Times New Roman" w:hAnsi="Arial Narrow" w:cs="Arial"/>
                <w:color w:val="0070C0"/>
                <w:sz w:val="16"/>
                <w:szCs w:val="16"/>
                <w:lang w:eastAsia="pt-BR"/>
              </w:rPr>
            </w:pPr>
            <w:r>
              <w:rPr>
                <w:rFonts w:ascii="Arial Narrow" w:eastAsia="Times New Roman" w:hAnsi="Arial Narrow" w:cs="Arial"/>
                <w:color w:val="0070C0"/>
                <w:sz w:val="16"/>
                <w:szCs w:val="16"/>
                <w:lang w:eastAsia="pt-BR"/>
              </w:rPr>
              <w:t>BFI.C118</w:t>
            </w:r>
          </w:p>
        </w:tc>
        <w:tc>
          <w:tcPr>
            <w:tcW w:w="1276" w:type="dxa"/>
            <w:tcBorders>
              <w:top w:val="nil"/>
              <w:left w:val="nil"/>
              <w:bottom w:val="nil"/>
              <w:right w:val="single" w:sz="8" w:space="0" w:color="auto"/>
            </w:tcBorders>
            <w:shd w:val="clear" w:color="auto" w:fill="auto"/>
            <w:vAlign w:val="center"/>
          </w:tcPr>
          <w:p w14:paraId="1AA0054C" w14:textId="66E3A139" w:rsidR="000B19AE" w:rsidRPr="000B19AE" w:rsidRDefault="000B19AE" w:rsidP="000B19AE">
            <w:pPr>
              <w:spacing w:after="0" w:line="240" w:lineRule="auto"/>
              <w:jc w:val="center"/>
              <w:rPr>
                <w:rFonts w:ascii="Arial Narrow" w:eastAsia="Times New Roman" w:hAnsi="Arial Narrow" w:cs="Arial"/>
                <w:color w:val="0070C0"/>
                <w:sz w:val="16"/>
                <w:szCs w:val="16"/>
                <w:lang w:eastAsia="pt-BR"/>
              </w:rPr>
            </w:pPr>
            <w:r>
              <w:rPr>
                <w:rFonts w:ascii="Arial Narrow" w:eastAsia="Times New Roman" w:hAnsi="Arial Narrow" w:cs="Arial"/>
                <w:color w:val="0070C0"/>
                <w:sz w:val="16"/>
                <w:szCs w:val="16"/>
                <w:lang w:eastAsia="pt-BR"/>
              </w:rPr>
              <w:t>BFI.D118</w:t>
            </w:r>
          </w:p>
        </w:tc>
        <w:tc>
          <w:tcPr>
            <w:tcW w:w="4243" w:type="dxa"/>
            <w:tcBorders>
              <w:top w:val="nil"/>
              <w:left w:val="nil"/>
              <w:bottom w:val="nil"/>
              <w:right w:val="single" w:sz="8" w:space="0" w:color="auto"/>
            </w:tcBorders>
            <w:shd w:val="clear" w:color="auto" w:fill="auto"/>
            <w:noWrap/>
            <w:vAlign w:val="center"/>
          </w:tcPr>
          <w:p w14:paraId="07F7FDF8" w14:textId="44DE3187" w:rsidR="000B19AE" w:rsidRPr="000B19AE" w:rsidRDefault="000B19AE" w:rsidP="000B19AE">
            <w:pPr>
              <w:spacing w:after="0" w:line="240" w:lineRule="auto"/>
              <w:ind w:firstLineChars="221" w:firstLine="354"/>
              <w:rPr>
                <w:rFonts w:ascii="Arial Narrow" w:eastAsia="Times New Roman" w:hAnsi="Arial Narrow" w:cs="Arial"/>
                <w:color w:val="0070C0"/>
                <w:sz w:val="16"/>
                <w:szCs w:val="16"/>
                <w:lang w:eastAsia="pt-BR"/>
              </w:rPr>
            </w:pPr>
            <w:r w:rsidRPr="000B19AE">
              <w:rPr>
                <w:rFonts w:ascii="Arial Narrow" w:eastAsia="Times New Roman" w:hAnsi="Arial Narrow" w:cs="Arial"/>
                <w:color w:val="0070C0"/>
                <w:sz w:val="16"/>
                <w:szCs w:val="16"/>
                <w:lang w:eastAsia="pt-BR"/>
              </w:rPr>
              <w:t>560 – Trasnsferências da União – Inciso I do Artigo 5º da LC 173/2020</w:t>
            </w:r>
          </w:p>
        </w:tc>
        <w:tc>
          <w:tcPr>
            <w:tcW w:w="1285" w:type="dxa"/>
            <w:gridSpan w:val="2"/>
            <w:tcBorders>
              <w:top w:val="nil"/>
              <w:left w:val="nil"/>
              <w:bottom w:val="nil"/>
              <w:right w:val="single" w:sz="8" w:space="0" w:color="auto"/>
            </w:tcBorders>
            <w:shd w:val="clear" w:color="auto" w:fill="auto"/>
            <w:vAlign w:val="center"/>
          </w:tcPr>
          <w:p w14:paraId="4FD6BFE6" w14:textId="4C46753F" w:rsidR="000B19AE" w:rsidRPr="000B19AE" w:rsidRDefault="000B19AE" w:rsidP="000B19AE">
            <w:pPr>
              <w:spacing w:after="0" w:line="240" w:lineRule="auto"/>
              <w:jc w:val="center"/>
              <w:rPr>
                <w:rFonts w:ascii="Arial Narrow" w:eastAsia="Times New Roman" w:hAnsi="Arial Narrow" w:cs="Arial"/>
                <w:color w:val="0070C0"/>
                <w:sz w:val="16"/>
                <w:szCs w:val="16"/>
                <w:lang w:eastAsia="pt-BR"/>
              </w:rPr>
            </w:pPr>
            <w:r>
              <w:rPr>
                <w:rFonts w:ascii="Arial Narrow" w:eastAsia="Times New Roman" w:hAnsi="Arial Narrow" w:cs="Arial"/>
                <w:color w:val="0070C0"/>
                <w:sz w:val="16"/>
                <w:szCs w:val="16"/>
                <w:lang w:eastAsia="pt-BR"/>
              </w:rPr>
              <w:t>BFI.G118</w:t>
            </w:r>
          </w:p>
        </w:tc>
        <w:tc>
          <w:tcPr>
            <w:tcW w:w="1276" w:type="dxa"/>
            <w:gridSpan w:val="2"/>
            <w:tcBorders>
              <w:top w:val="nil"/>
              <w:left w:val="nil"/>
              <w:bottom w:val="nil"/>
              <w:right w:val="single" w:sz="8" w:space="0" w:color="auto"/>
            </w:tcBorders>
            <w:shd w:val="clear" w:color="auto" w:fill="auto"/>
            <w:vAlign w:val="center"/>
          </w:tcPr>
          <w:p w14:paraId="7C8CCC38" w14:textId="74B10793" w:rsidR="000B19AE" w:rsidRPr="000B19AE" w:rsidRDefault="000B19AE" w:rsidP="000B19AE">
            <w:pPr>
              <w:spacing w:after="0" w:line="240" w:lineRule="auto"/>
              <w:jc w:val="center"/>
              <w:rPr>
                <w:rFonts w:ascii="Arial Narrow" w:eastAsia="Times New Roman" w:hAnsi="Arial Narrow" w:cs="Arial"/>
                <w:color w:val="0070C0"/>
                <w:sz w:val="16"/>
                <w:szCs w:val="16"/>
                <w:lang w:eastAsia="pt-BR"/>
              </w:rPr>
            </w:pPr>
            <w:r>
              <w:rPr>
                <w:rFonts w:ascii="Arial Narrow" w:eastAsia="Times New Roman" w:hAnsi="Arial Narrow" w:cs="Arial"/>
                <w:color w:val="0070C0"/>
                <w:sz w:val="16"/>
                <w:szCs w:val="16"/>
                <w:lang w:eastAsia="pt-BR"/>
              </w:rPr>
              <w:t>BFI.H118</w:t>
            </w:r>
          </w:p>
        </w:tc>
      </w:tr>
      <w:tr w:rsidR="000B19AE" w:rsidRPr="003042F6" w14:paraId="3FD587CB" w14:textId="77777777" w:rsidTr="00E450A4">
        <w:trPr>
          <w:trHeight w:val="255"/>
        </w:trPr>
        <w:tc>
          <w:tcPr>
            <w:tcW w:w="4820" w:type="dxa"/>
            <w:gridSpan w:val="2"/>
            <w:tcBorders>
              <w:top w:val="nil"/>
              <w:left w:val="single" w:sz="8" w:space="0" w:color="auto"/>
              <w:bottom w:val="nil"/>
              <w:right w:val="single" w:sz="8" w:space="0" w:color="auto"/>
            </w:tcBorders>
            <w:shd w:val="clear" w:color="auto" w:fill="auto"/>
            <w:noWrap/>
            <w:vAlign w:val="center"/>
            <w:hideMark/>
          </w:tcPr>
          <w:p w14:paraId="3B7D2770" w14:textId="77777777" w:rsidR="000B19AE" w:rsidRPr="00446D2A" w:rsidRDefault="000B19AE" w:rsidP="000B19AE">
            <w:pPr>
              <w:spacing w:after="0" w:line="240" w:lineRule="auto"/>
              <w:ind w:firstLineChars="133" w:firstLine="213"/>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 xml:space="preserve">    610 – Contribuição de Intervenção no Domínio Econômico - CIDE</w:t>
            </w:r>
          </w:p>
        </w:tc>
        <w:tc>
          <w:tcPr>
            <w:tcW w:w="1134" w:type="dxa"/>
            <w:tcBorders>
              <w:top w:val="nil"/>
              <w:left w:val="nil"/>
              <w:bottom w:val="nil"/>
              <w:right w:val="single" w:sz="8" w:space="0" w:color="auto"/>
            </w:tcBorders>
            <w:shd w:val="clear" w:color="auto" w:fill="auto"/>
            <w:vAlign w:val="center"/>
            <w:hideMark/>
          </w:tcPr>
          <w:p w14:paraId="4B5ECB47" w14:textId="77777777" w:rsidR="000B19AE" w:rsidRPr="00446D2A" w:rsidRDefault="000B19AE" w:rsidP="000B19AE">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BFI.C046</w:t>
            </w:r>
          </w:p>
        </w:tc>
        <w:tc>
          <w:tcPr>
            <w:tcW w:w="1276" w:type="dxa"/>
            <w:tcBorders>
              <w:top w:val="nil"/>
              <w:left w:val="nil"/>
              <w:bottom w:val="nil"/>
              <w:right w:val="single" w:sz="8" w:space="0" w:color="auto"/>
            </w:tcBorders>
            <w:shd w:val="clear" w:color="auto" w:fill="auto"/>
            <w:vAlign w:val="center"/>
            <w:hideMark/>
          </w:tcPr>
          <w:p w14:paraId="0EA94999" w14:textId="77777777" w:rsidR="000B19AE" w:rsidRPr="00446D2A" w:rsidRDefault="000B19AE" w:rsidP="000B19AE">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BFI.D046</w:t>
            </w:r>
          </w:p>
        </w:tc>
        <w:tc>
          <w:tcPr>
            <w:tcW w:w="4243" w:type="dxa"/>
            <w:tcBorders>
              <w:top w:val="nil"/>
              <w:left w:val="nil"/>
              <w:bottom w:val="nil"/>
              <w:right w:val="single" w:sz="8" w:space="0" w:color="auto"/>
            </w:tcBorders>
            <w:shd w:val="clear" w:color="auto" w:fill="auto"/>
            <w:noWrap/>
            <w:vAlign w:val="center"/>
            <w:hideMark/>
          </w:tcPr>
          <w:p w14:paraId="0F792E27" w14:textId="77777777" w:rsidR="000B19AE" w:rsidRPr="00446D2A" w:rsidRDefault="000B19AE" w:rsidP="000B19AE">
            <w:pPr>
              <w:spacing w:after="0" w:line="240" w:lineRule="auto"/>
              <w:ind w:firstLineChars="221" w:firstLine="354"/>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610 – Contribuição de Intervenção no Domínio Econômico - CIDE</w:t>
            </w:r>
          </w:p>
        </w:tc>
        <w:tc>
          <w:tcPr>
            <w:tcW w:w="1285" w:type="dxa"/>
            <w:gridSpan w:val="2"/>
            <w:tcBorders>
              <w:top w:val="nil"/>
              <w:left w:val="nil"/>
              <w:bottom w:val="nil"/>
              <w:right w:val="single" w:sz="8" w:space="0" w:color="auto"/>
            </w:tcBorders>
            <w:shd w:val="clear" w:color="auto" w:fill="auto"/>
            <w:vAlign w:val="center"/>
            <w:hideMark/>
          </w:tcPr>
          <w:p w14:paraId="36EC5128" w14:textId="77777777" w:rsidR="000B19AE" w:rsidRPr="00446D2A" w:rsidRDefault="000B19AE" w:rsidP="000B19AE">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BFI.G046</w:t>
            </w:r>
          </w:p>
        </w:tc>
        <w:tc>
          <w:tcPr>
            <w:tcW w:w="1276" w:type="dxa"/>
            <w:gridSpan w:val="2"/>
            <w:tcBorders>
              <w:top w:val="nil"/>
              <w:left w:val="nil"/>
              <w:bottom w:val="nil"/>
              <w:right w:val="single" w:sz="8" w:space="0" w:color="auto"/>
            </w:tcBorders>
            <w:shd w:val="clear" w:color="auto" w:fill="auto"/>
            <w:vAlign w:val="center"/>
            <w:hideMark/>
          </w:tcPr>
          <w:p w14:paraId="22F22DD8" w14:textId="77777777" w:rsidR="000B19AE" w:rsidRPr="00446D2A" w:rsidRDefault="000B19AE" w:rsidP="000B19AE">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BFI.H046</w:t>
            </w:r>
          </w:p>
        </w:tc>
      </w:tr>
      <w:tr w:rsidR="000B19AE" w:rsidRPr="003042F6" w14:paraId="1D475F65" w14:textId="77777777" w:rsidTr="00E450A4">
        <w:trPr>
          <w:trHeight w:val="255"/>
        </w:trPr>
        <w:tc>
          <w:tcPr>
            <w:tcW w:w="4820" w:type="dxa"/>
            <w:gridSpan w:val="2"/>
            <w:tcBorders>
              <w:top w:val="nil"/>
              <w:left w:val="single" w:sz="8" w:space="0" w:color="auto"/>
              <w:bottom w:val="nil"/>
              <w:right w:val="single" w:sz="8" w:space="0" w:color="auto"/>
            </w:tcBorders>
            <w:shd w:val="clear" w:color="auto" w:fill="auto"/>
            <w:noWrap/>
            <w:vAlign w:val="center"/>
            <w:hideMark/>
          </w:tcPr>
          <w:p w14:paraId="7DC745CB" w14:textId="77777777" w:rsidR="000B19AE" w:rsidRPr="00446D2A" w:rsidRDefault="000B19AE" w:rsidP="000B19AE">
            <w:pPr>
              <w:spacing w:after="0" w:line="240" w:lineRule="auto"/>
              <w:ind w:firstLineChars="133" w:firstLine="213"/>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 xml:space="preserve">    620 – Contribuição para o Custeio do Serv. Iluminação Pública - COSIP</w:t>
            </w:r>
          </w:p>
        </w:tc>
        <w:tc>
          <w:tcPr>
            <w:tcW w:w="1134" w:type="dxa"/>
            <w:tcBorders>
              <w:top w:val="nil"/>
              <w:left w:val="nil"/>
              <w:bottom w:val="nil"/>
              <w:right w:val="single" w:sz="8" w:space="0" w:color="auto"/>
            </w:tcBorders>
            <w:shd w:val="clear" w:color="auto" w:fill="auto"/>
            <w:vAlign w:val="center"/>
            <w:hideMark/>
          </w:tcPr>
          <w:p w14:paraId="60CD6EC9" w14:textId="77777777" w:rsidR="000B19AE" w:rsidRPr="00446D2A" w:rsidRDefault="000B19AE" w:rsidP="000B19AE">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BFI.C047</w:t>
            </w:r>
          </w:p>
        </w:tc>
        <w:tc>
          <w:tcPr>
            <w:tcW w:w="1276" w:type="dxa"/>
            <w:tcBorders>
              <w:top w:val="nil"/>
              <w:left w:val="nil"/>
              <w:bottom w:val="nil"/>
              <w:right w:val="single" w:sz="8" w:space="0" w:color="auto"/>
            </w:tcBorders>
            <w:shd w:val="clear" w:color="auto" w:fill="auto"/>
            <w:vAlign w:val="center"/>
            <w:hideMark/>
          </w:tcPr>
          <w:p w14:paraId="4420008B" w14:textId="77777777" w:rsidR="000B19AE" w:rsidRPr="00446D2A" w:rsidRDefault="000B19AE" w:rsidP="000B19AE">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BFI.D047</w:t>
            </w:r>
          </w:p>
        </w:tc>
        <w:tc>
          <w:tcPr>
            <w:tcW w:w="4243" w:type="dxa"/>
            <w:tcBorders>
              <w:top w:val="nil"/>
              <w:left w:val="nil"/>
              <w:bottom w:val="nil"/>
              <w:right w:val="single" w:sz="8" w:space="0" w:color="auto"/>
            </w:tcBorders>
            <w:shd w:val="clear" w:color="auto" w:fill="auto"/>
            <w:noWrap/>
            <w:vAlign w:val="center"/>
            <w:hideMark/>
          </w:tcPr>
          <w:p w14:paraId="1AC1A113" w14:textId="77777777" w:rsidR="000B19AE" w:rsidRPr="00446D2A" w:rsidRDefault="000B19AE" w:rsidP="000B19AE">
            <w:pPr>
              <w:spacing w:after="0" w:line="240" w:lineRule="auto"/>
              <w:ind w:firstLineChars="221" w:firstLine="354"/>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620 – Contribuição para o Custeio do Serv. Iluminação Pública - COSIP</w:t>
            </w:r>
          </w:p>
        </w:tc>
        <w:tc>
          <w:tcPr>
            <w:tcW w:w="1285" w:type="dxa"/>
            <w:gridSpan w:val="2"/>
            <w:tcBorders>
              <w:top w:val="nil"/>
              <w:left w:val="nil"/>
              <w:bottom w:val="nil"/>
              <w:right w:val="single" w:sz="8" w:space="0" w:color="auto"/>
            </w:tcBorders>
            <w:shd w:val="clear" w:color="auto" w:fill="auto"/>
            <w:vAlign w:val="center"/>
            <w:hideMark/>
          </w:tcPr>
          <w:p w14:paraId="114D21CF" w14:textId="77777777" w:rsidR="000B19AE" w:rsidRPr="00446D2A" w:rsidRDefault="000B19AE" w:rsidP="000B19AE">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BFI.G047</w:t>
            </w:r>
          </w:p>
        </w:tc>
        <w:tc>
          <w:tcPr>
            <w:tcW w:w="1276" w:type="dxa"/>
            <w:gridSpan w:val="2"/>
            <w:tcBorders>
              <w:top w:val="nil"/>
              <w:left w:val="nil"/>
              <w:bottom w:val="nil"/>
              <w:right w:val="single" w:sz="8" w:space="0" w:color="auto"/>
            </w:tcBorders>
            <w:shd w:val="clear" w:color="auto" w:fill="auto"/>
            <w:vAlign w:val="center"/>
            <w:hideMark/>
          </w:tcPr>
          <w:p w14:paraId="5716B5C0" w14:textId="77777777" w:rsidR="000B19AE" w:rsidRPr="00446D2A" w:rsidRDefault="000B19AE" w:rsidP="000B19AE">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BFI.H047</w:t>
            </w:r>
          </w:p>
        </w:tc>
      </w:tr>
      <w:tr w:rsidR="000B19AE" w:rsidRPr="003042F6" w14:paraId="111EE407" w14:textId="77777777" w:rsidTr="00E450A4">
        <w:trPr>
          <w:trHeight w:val="255"/>
        </w:trPr>
        <w:tc>
          <w:tcPr>
            <w:tcW w:w="4820" w:type="dxa"/>
            <w:gridSpan w:val="2"/>
            <w:tcBorders>
              <w:top w:val="nil"/>
              <w:left w:val="single" w:sz="8" w:space="0" w:color="auto"/>
              <w:bottom w:val="nil"/>
              <w:right w:val="single" w:sz="8" w:space="0" w:color="auto"/>
            </w:tcBorders>
            <w:shd w:val="clear" w:color="auto" w:fill="auto"/>
            <w:noWrap/>
            <w:vAlign w:val="center"/>
            <w:hideMark/>
          </w:tcPr>
          <w:p w14:paraId="56235498" w14:textId="77777777" w:rsidR="000B19AE" w:rsidRPr="00446D2A" w:rsidRDefault="000B19AE" w:rsidP="000B19AE">
            <w:pPr>
              <w:spacing w:after="0" w:line="240" w:lineRule="auto"/>
              <w:ind w:firstLineChars="133" w:firstLine="213"/>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 xml:space="preserve">    630 - Recursos Vinculados ao Trânsito</w:t>
            </w:r>
          </w:p>
        </w:tc>
        <w:tc>
          <w:tcPr>
            <w:tcW w:w="1134" w:type="dxa"/>
            <w:tcBorders>
              <w:top w:val="nil"/>
              <w:left w:val="nil"/>
              <w:bottom w:val="nil"/>
              <w:right w:val="single" w:sz="8" w:space="0" w:color="auto"/>
            </w:tcBorders>
            <w:shd w:val="clear" w:color="auto" w:fill="auto"/>
            <w:vAlign w:val="center"/>
            <w:hideMark/>
          </w:tcPr>
          <w:p w14:paraId="2471402F" w14:textId="77777777" w:rsidR="000B19AE" w:rsidRPr="00446D2A" w:rsidRDefault="000B19AE" w:rsidP="000B19AE">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BFI.C048</w:t>
            </w:r>
          </w:p>
        </w:tc>
        <w:tc>
          <w:tcPr>
            <w:tcW w:w="1276" w:type="dxa"/>
            <w:tcBorders>
              <w:top w:val="nil"/>
              <w:left w:val="nil"/>
              <w:bottom w:val="nil"/>
              <w:right w:val="single" w:sz="8" w:space="0" w:color="auto"/>
            </w:tcBorders>
            <w:shd w:val="clear" w:color="auto" w:fill="auto"/>
            <w:vAlign w:val="center"/>
            <w:hideMark/>
          </w:tcPr>
          <w:p w14:paraId="27B8134F" w14:textId="77777777" w:rsidR="000B19AE" w:rsidRPr="00446D2A" w:rsidRDefault="000B19AE" w:rsidP="000B19AE">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BFI.D048</w:t>
            </w:r>
          </w:p>
        </w:tc>
        <w:tc>
          <w:tcPr>
            <w:tcW w:w="4243" w:type="dxa"/>
            <w:tcBorders>
              <w:top w:val="nil"/>
              <w:left w:val="nil"/>
              <w:bottom w:val="nil"/>
              <w:right w:val="single" w:sz="8" w:space="0" w:color="auto"/>
            </w:tcBorders>
            <w:shd w:val="clear" w:color="auto" w:fill="auto"/>
            <w:noWrap/>
            <w:vAlign w:val="center"/>
            <w:hideMark/>
          </w:tcPr>
          <w:p w14:paraId="5BC97512" w14:textId="77777777" w:rsidR="000B19AE" w:rsidRPr="00446D2A" w:rsidRDefault="000B19AE" w:rsidP="000B19AE">
            <w:pPr>
              <w:spacing w:after="0" w:line="240" w:lineRule="auto"/>
              <w:ind w:firstLineChars="221" w:firstLine="354"/>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630 - Recursos Vinculados ao Trânsito</w:t>
            </w:r>
          </w:p>
        </w:tc>
        <w:tc>
          <w:tcPr>
            <w:tcW w:w="1285" w:type="dxa"/>
            <w:gridSpan w:val="2"/>
            <w:tcBorders>
              <w:top w:val="nil"/>
              <w:left w:val="nil"/>
              <w:bottom w:val="nil"/>
              <w:right w:val="single" w:sz="8" w:space="0" w:color="auto"/>
            </w:tcBorders>
            <w:shd w:val="clear" w:color="auto" w:fill="auto"/>
            <w:vAlign w:val="center"/>
            <w:hideMark/>
          </w:tcPr>
          <w:p w14:paraId="5A9D164B" w14:textId="77777777" w:rsidR="000B19AE" w:rsidRPr="00446D2A" w:rsidRDefault="000B19AE" w:rsidP="000B19AE">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BFI.G048</w:t>
            </w:r>
          </w:p>
        </w:tc>
        <w:tc>
          <w:tcPr>
            <w:tcW w:w="1276" w:type="dxa"/>
            <w:gridSpan w:val="2"/>
            <w:tcBorders>
              <w:top w:val="nil"/>
              <w:left w:val="nil"/>
              <w:bottom w:val="nil"/>
              <w:right w:val="single" w:sz="8" w:space="0" w:color="auto"/>
            </w:tcBorders>
            <w:shd w:val="clear" w:color="auto" w:fill="auto"/>
            <w:vAlign w:val="center"/>
            <w:hideMark/>
          </w:tcPr>
          <w:p w14:paraId="576D2485" w14:textId="77777777" w:rsidR="000B19AE" w:rsidRPr="00446D2A" w:rsidRDefault="000B19AE" w:rsidP="000B19AE">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BFI.H048</w:t>
            </w:r>
          </w:p>
        </w:tc>
      </w:tr>
      <w:tr w:rsidR="000B19AE" w:rsidRPr="003042F6" w14:paraId="0CD6819E" w14:textId="77777777" w:rsidTr="00E450A4">
        <w:trPr>
          <w:trHeight w:val="255"/>
        </w:trPr>
        <w:tc>
          <w:tcPr>
            <w:tcW w:w="4820" w:type="dxa"/>
            <w:gridSpan w:val="2"/>
            <w:tcBorders>
              <w:top w:val="nil"/>
              <w:left w:val="single" w:sz="8" w:space="0" w:color="auto"/>
              <w:bottom w:val="nil"/>
              <w:right w:val="single" w:sz="8" w:space="0" w:color="auto"/>
            </w:tcBorders>
            <w:shd w:val="clear" w:color="auto" w:fill="auto"/>
            <w:noWrap/>
            <w:vAlign w:val="center"/>
            <w:hideMark/>
          </w:tcPr>
          <w:p w14:paraId="691E8E9F" w14:textId="77777777" w:rsidR="000B19AE" w:rsidRPr="00446D2A" w:rsidRDefault="000B19AE" w:rsidP="000B19AE">
            <w:pPr>
              <w:spacing w:after="0" w:line="240" w:lineRule="auto"/>
              <w:ind w:firstLineChars="133" w:firstLine="213"/>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 xml:space="preserve">    530 – Transferência da União referente Royalties do Petróleo</w:t>
            </w:r>
          </w:p>
        </w:tc>
        <w:tc>
          <w:tcPr>
            <w:tcW w:w="1134" w:type="dxa"/>
            <w:tcBorders>
              <w:top w:val="nil"/>
              <w:left w:val="nil"/>
              <w:bottom w:val="nil"/>
              <w:right w:val="single" w:sz="8" w:space="0" w:color="auto"/>
            </w:tcBorders>
            <w:shd w:val="clear" w:color="auto" w:fill="auto"/>
            <w:vAlign w:val="center"/>
            <w:hideMark/>
          </w:tcPr>
          <w:p w14:paraId="54525ECC" w14:textId="77777777" w:rsidR="000B19AE" w:rsidRPr="00446D2A" w:rsidRDefault="000B19AE" w:rsidP="000B19AE">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BFI.C049</w:t>
            </w:r>
          </w:p>
        </w:tc>
        <w:tc>
          <w:tcPr>
            <w:tcW w:w="1276" w:type="dxa"/>
            <w:tcBorders>
              <w:top w:val="nil"/>
              <w:left w:val="nil"/>
              <w:bottom w:val="nil"/>
              <w:right w:val="single" w:sz="8" w:space="0" w:color="auto"/>
            </w:tcBorders>
            <w:shd w:val="clear" w:color="auto" w:fill="auto"/>
            <w:vAlign w:val="center"/>
            <w:hideMark/>
          </w:tcPr>
          <w:p w14:paraId="770BADAB" w14:textId="77777777" w:rsidR="000B19AE" w:rsidRPr="00446D2A" w:rsidRDefault="000B19AE" w:rsidP="000B19AE">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BFI.D049</w:t>
            </w:r>
          </w:p>
        </w:tc>
        <w:tc>
          <w:tcPr>
            <w:tcW w:w="4243" w:type="dxa"/>
            <w:tcBorders>
              <w:top w:val="nil"/>
              <w:left w:val="nil"/>
              <w:bottom w:val="nil"/>
              <w:right w:val="single" w:sz="8" w:space="0" w:color="auto"/>
            </w:tcBorders>
            <w:shd w:val="clear" w:color="auto" w:fill="auto"/>
            <w:noWrap/>
            <w:vAlign w:val="center"/>
            <w:hideMark/>
          </w:tcPr>
          <w:p w14:paraId="1612791A" w14:textId="77777777" w:rsidR="000B19AE" w:rsidRPr="00446D2A" w:rsidRDefault="000B19AE" w:rsidP="000B19AE">
            <w:pPr>
              <w:spacing w:after="0" w:line="240" w:lineRule="auto"/>
              <w:ind w:firstLineChars="133" w:firstLine="213"/>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 xml:space="preserve">    530 – Transferência da União referente Royalties do Petróleo</w:t>
            </w:r>
          </w:p>
        </w:tc>
        <w:tc>
          <w:tcPr>
            <w:tcW w:w="1285" w:type="dxa"/>
            <w:gridSpan w:val="2"/>
            <w:tcBorders>
              <w:top w:val="nil"/>
              <w:left w:val="nil"/>
              <w:bottom w:val="nil"/>
              <w:right w:val="single" w:sz="8" w:space="0" w:color="auto"/>
            </w:tcBorders>
            <w:shd w:val="clear" w:color="auto" w:fill="auto"/>
            <w:vAlign w:val="center"/>
            <w:hideMark/>
          </w:tcPr>
          <w:p w14:paraId="5DBC9736" w14:textId="77777777" w:rsidR="000B19AE" w:rsidRPr="00446D2A" w:rsidRDefault="000B19AE" w:rsidP="000B19AE">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BFI.G049</w:t>
            </w:r>
          </w:p>
        </w:tc>
        <w:tc>
          <w:tcPr>
            <w:tcW w:w="1276" w:type="dxa"/>
            <w:gridSpan w:val="2"/>
            <w:tcBorders>
              <w:top w:val="nil"/>
              <w:left w:val="nil"/>
              <w:bottom w:val="nil"/>
              <w:right w:val="single" w:sz="8" w:space="0" w:color="auto"/>
            </w:tcBorders>
            <w:shd w:val="clear" w:color="auto" w:fill="auto"/>
            <w:vAlign w:val="center"/>
            <w:hideMark/>
          </w:tcPr>
          <w:p w14:paraId="2701D85F" w14:textId="77777777" w:rsidR="000B19AE" w:rsidRPr="00446D2A" w:rsidRDefault="000B19AE" w:rsidP="000B19AE">
            <w:pPr>
              <w:spacing w:after="0" w:line="240" w:lineRule="auto"/>
              <w:jc w:val="center"/>
              <w:rPr>
                <w:rFonts w:ascii="Arial Narrow" w:eastAsia="Times New Roman" w:hAnsi="Arial Narrow" w:cs="Arial"/>
                <w:sz w:val="16"/>
                <w:szCs w:val="16"/>
                <w:lang w:eastAsia="pt-BR"/>
              </w:rPr>
            </w:pPr>
            <w:r w:rsidRPr="00446D2A">
              <w:rPr>
                <w:rFonts w:ascii="Arial Narrow" w:eastAsia="Times New Roman" w:hAnsi="Arial Narrow" w:cs="Arial"/>
                <w:sz w:val="16"/>
                <w:szCs w:val="16"/>
                <w:lang w:eastAsia="pt-BR"/>
              </w:rPr>
              <w:t>BFI.H049</w:t>
            </w:r>
          </w:p>
        </w:tc>
      </w:tr>
      <w:tr w:rsidR="000B19AE" w:rsidRPr="003042F6" w14:paraId="5C0ECBDC" w14:textId="77777777" w:rsidTr="00E450A4">
        <w:trPr>
          <w:trHeight w:val="255"/>
        </w:trPr>
        <w:tc>
          <w:tcPr>
            <w:tcW w:w="4820" w:type="dxa"/>
            <w:gridSpan w:val="2"/>
            <w:tcBorders>
              <w:top w:val="nil"/>
              <w:left w:val="single" w:sz="8" w:space="0" w:color="auto"/>
              <w:bottom w:val="nil"/>
              <w:right w:val="single" w:sz="8" w:space="0" w:color="auto"/>
            </w:tcBorders>
            <w:shd w:val="clear" w:color="auto" w:fill="auto"/>
            <w:noWrap/>
            <w:vAlign w:val="center"/>
            <w:hideMark/>
          </w:tcPr>
          <w:p w14:paraId="1C373A5B" w14:textId="77777777" w:rsidR="000B19AE" w:rsidRPr="00F1559C" w:rsidRDefault="000B19AE" w:rsidP="000B19AE">
            <w:pPr>
              <w:spacing w:after="0" w:line="240" w:lineRule="auto"/>
              <w:ind w:firstLineChars="133" w:firstLine="213"/>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 xml:space="preserve">    540 – Transferência dos Estados referente Royalties do Petróleo</w:t>
            </w:r>
          </w:p>
        </w:tc>
        <w:tc>
          <w:tcPr>
            <w:tcW w:w="1134" w:type="dxa"/>
            <w:tcBorders>
              <w:top w:val="nil"/>
              <w:left w:val="nil"/>
              <w:bottom w:val="nil"/>
              <w:right w:val="single" w:sz="8" w:space="0" w:color="auto"/>
            </w:tcBorders>
            <w:shd w:val="clear" w:color="auto" w:fill="auto"/>
            <w:vAlign w:val="center"/>
            <w:hideMark/>
          </w:tcPr>
          <w:p w14:paraId="0DC67221" w14:textId="77777777" w:rsidR="000B19AE" w:rsidRPr="00F1559C" w:rsidRDefault="000B19AE" w:rsidP="000B19AE">
            <w:pPr>
              <w:spacing w:after="0" w:line="240" w:lineRule="auto"/>
              <w:jc w:val="center"/>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BFI.C050</w:t>
            </w:r>
          </w:p>
        </w:tc>
        <w:tc>
          <w:tcPr>
            <w:tcW w:w="1276" w:type="dxa"/>
            <w:tcBorders>
              <w:top w:val="nil"/>
              <w:left w:val="nil"/>
              <w:bottom w:val="nil"/>
              <w:right w:val="single" w:sz="8" w:space="0" w:color="auto"/>
            </w:tcBorders>
            <w:shd w:val="clear" w:color="auto" w:fill="auto"/>
            <w:vAlign w:val="center"/>
            <w:hideMark/>
          </w:tcPr>
          <w:p w14:paraId="111510E4" w14:textId="77777777" w:rsidR="000B19AE" w:rsidRPr="00F1559C" w:rsidRDefault="000B19AE" w:rsidP="000B19AE">
            <w:pPr>
              <w:spacing w:after="0" w:line="240" w:lineRule="auto"/>
              <w:jc w:val="center"/>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BFI.D050</w:t>
            </w:r>
          </w:p>
        </w:tc>
        <w:tc>
          <w:tcPr>
            <w:tcW w:w="4243" w:type="dxa"/>
            <w:tcBorders>
              <w:top w:val="nil"/>
              <w:left w:val="nil"/>
              <w:bottom w:val="nil"/>
              <w:right w:val="single" w:sz="8" w:space="0" w:color="auto"/>
            </w:tcBorders>
            <w:shd w:val="clear" w:color="auto" w:fill="auto"/>
            <w:noWrap/>
            <w:vAlign w:val="center"/>
            <w:hideMark/>
          </w:tcPr>
          <w:p w14:paraId="7035B771" w14:textId="77777777" w:rsidR="000B19AE" w:rsidRPr="00F1559C" w:rsidRDefault="000B19AE" w:rsidP="000B19AE">
            <w:pPr>
              <w:spacing w:after="0" w:line="240" w:lineRule="auto"/>
              <w:ind w:firstLineChars="221" w:firstLine="354"/>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540 – Transferência dos Estados referente Royalties do Petróleo</w:t>
            </w:r>
          </w:p>
        </w:tc>
        <w:tc>
          <w:tcPr>
            <w:tcW w:w="1285" w:type="dxa"/>
            <w:gridSpan w:val="2"/>
            <w:tcBorders>
              <w:top w:val="nil"/>
              <w:left w:val="nil"/>
              <w:bottom w:val="nil"/>
              <w:right w:val="single" w:sz="8" w:space="0" w:color="auto"/>
            </w:tcBorders>
            <w:shd w:val="clear" w:color="auto" w:fill="auto"/>
            <w:vAlign w:val="center"/>
            <w:hideMark/>
          </w:tcPr>
          <w:p w14:paraId="57CB683B" w14:textId="77777777" w:rsidR="000B19AE" w:rsidRPr="00F1559C" w:rsidRDefault="000B19AE" w:rsidP="000B19AE">
            <w:pPr>
              <w:spacing w:after="0" w:line="240" w:lineRule="auto"/>
              <w:jc w:val="center"/>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BFI.G050</w:t>
            </w:r>
          </w:p>
        </w:tc>
        <w:tc>
          <w:tcPr>
            <w:tcW w:w="1276" w:type="dxa"/>
            <w:gridSpan w:val="2"/>
            <w:tcBorders>
              <w:top w:val="nil"/>
              <w:left w:val="nil"/>
              <w:bottom w:val="nil"/>
              <w:right w:val="single" w:sz="8" w:space="0" w:color="auto"/>
            </w:tcBorders>
            <w:shd w:val="clear" w:color="auto" w:fill="auto"/>
            <w:vAlign w:val="center"/>
            <w:hideMark/>
          </w:tcPr>
          <w:p w14:paraId="316A74C7" w14:textId="77777777" w:rsidR="000B19AE" w:rsidRPr="00F1559C" w:rsidRDefault="000B19AE" w:rsidP="000B19AE">
            <w:pPr>
              <w:spacing w:after="0" w:line="240" w:lineRule="auto"/>
              <w:jc w:val="center"/>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BFI.H050</w:t>
            </w:r>
          </w:p>
        </w:tc>
      </w:tr>
      <w:tr w:rsidR="000B19AE" w:rsidRPr="003042F6" w14:paraId="49308DDB" w14:textId="77777777" w:rsidTr="00E450A4">
        <w:trPr>
          <w:trHeight w:val="255"/>
        </w:trPr>
        <w:tc>
          <w:tcPr>
            <w:tcW w:w="4820" w:type="dxa"/>
            <w:gridSpan w:val="2"/>
            <w:tcBorders>
              <w:top w:val="nil"/>
              <w:left w:val="single" w:sz="8" w:space="0" w:color="auto"/>
              <w:bottom w:val="nil"/>
              <w:right w:val="single" w:sz="8" w:space="0" w:color="auto"/>
            </w:tcBorders>
            <w:shd w:val="clear" w:color="auto" w:fill="auto"/>
            <w:noWrap/>
            <w:vAlign w:val="center"/>
          </w:tcPr>
          <w:p w14:paraId="3EAFA165" w14:textId="77777777" w:rsidR="000B19AE" w:rsidRPr="000B19AE" w:rsidRDefault="000B19AE" w:rsidP="000B19AE">
            <w:pPr>
              <w:spacing w:after="0" w:line="240" w:lineRule="auto"/>
              <w:ind w:firstLineChars="133" w:firstLine="213"/>
              <w:rPr>
                <w:rFonts w:ascii="Arial Narrow" w:eastAsia="Times New Roman" w:hAnsi="Arial Narrow" w:cs="Arial"/>
                <w:strike/>
                <w:color w:val="FF0000"/>
                <w:sz w:val="16"/>
                <w:szCs w:val="16"/>
                <w:lang w:eastAsia="pt-BR"/>
              </w:rPr>
            </w:pPr>
            <w:r w:rsidRPr="000B19AE">
              <w:rPr>
                <w:rFonts w:ascii="Arial Narrow" w:eastAsia="Times New Roman" w:hAnsi="Arial Narrow" w:cs="Arial"/>
                <w:strike/>
                <w:color w:val="FF0000"/>
                <w:sz w:val="16"/>
                <w:szCs w:val="16"/>
                <w:lang w:eastAsia="pt-BR"/>
              </w:rPr>
              <w:t xml:space="preserve">    710 - Recursos Vinculados aos Valores Recebidos Conforme Inciso I do Artigo 5° Da LC Federal N° 173/2020</w:t>
            </w:r>
          </w:p>
        </w:tc>
        <w:tc>
          <w:tcPr>
            <w:tcW w:w="1134" w:type="dxa"/>
            <w:tcBorders>
              <w:top w:val="nil"/>
              <w:left w:val="nil"/>
              <w:bottom w:val="nil"/>
              <w:right w:val="single" w:sz="8" w:space="0" w:color="auto"/>
            </w:tcBorders>
            <w:shd w:val="clear" w:color="auto" w:fill="auto"/>
            <w:vAlign w:val="center"/>
          </w:tcPr>
          <w:p w14:paraId="72CF7DCC" w14:textId="77777777" w:rsidR="000B19AE" w:rsidRPr="000B19AE" w:rsidRDefault="000B19AE" w:rsidP="000B19AE">
            <w:pPr>
              <w:spacing w:after="0" w:line="240" w:lineRule="auto"/>
              <w:jc w:val="center"/>
              <w:rPr>
                <w:rFonts w:ascii="Arial Narrow" w:eastAsia="Times New Roman" w:hAnsi="Arial Narrow" w:cs="Arial"/>
                <w:strike/>
                <w:color w:val="FF0000"/>
                <w:sz w:val="16"/>
                <w:szCs w:val="16"/>
                <w:lang w:eastAsia="pt-BR"/>
              </w:rPr>
            </w:pPr>
            <w:r w:rsidRPr="000B19AE">
              <w:rPr>
                <w:rFonts w:ascii="Arial Narrow" w:eastAsia="Times New Roman" w:hAnsi="Arial Narrow" w:cs="Arial"/>
                <w:strike/>
                <w:color w:val="FF0000"/>
                <w:sz w:val="16"/>
                <w:szCs w:val="16"/>
                <w:lang w:eastAsia="pt-BR"/>
              </w:rPr>
              <w:t>BFI.C112</w:t>
            </w:r>
          </w:p>
        </w:tc>
        <w:tc>
          <w:tcPr>
            <w:tcW w:w="1276" w:type="dxa"/>
            <w:tcBorders>
              <w:top w:val="nil"/>
              <w:left w:val="nil"/>
              <w:bottom w:val="nil"/>
              <w:right w:val="single" w:sz="8" w:space="0" w:color="auto"/>
            </w:tcBorders>
            <w:shd w:val="clear" w:color="auto" w:fill="auto"/>
            <w:vAlign w:val="center"/>
          </w:tcPr>
          <w:p w14:paraId="1D1A00B5" w14:textId="77777777" w:rsidR="000B19AE" w:rsidRPr="000B19AE" w:rsidRDefault="000B19AE" w:rsidP="000B19AE">
            <w:pPr>
              <w:spacing w:after="0" w:line="240" w:lineRule="auto"/>
              <w:jc w:val="center"/>
              <w:rPr>
                <w:rFonts w:ascii="Arial Narrow" w:eastAsia="Times New Roman" w:hAnsi="Arial Narrow" w:cs="Arial"/>
                <w:strike/>
                <w:color w:val="FF0000"/>
                <w:sz w:val="16"/>
                <w:szCs w:val="16"/>
                <w:lang w:eastAsia="pt-BR"/>
              </w:rPr>
            </w:pPr>
            <w:r w:rsidRPr="000B19AE">
              <w:rPr>
                <w:rFonts w:ascii="Arial Narrow" w:eastAsia="Times New Roman" w:hAnsi="Arial Narrow" w:cs="Arial"/>
                <w:strike/>
                <w:color w:val="FF0000"/>
                <w:sz w:val="16"/>
                <w:szCs w:val="16"/>
                <w:lang w:eastAsia="pt-BR"/>
              </w:rPr>
              <w:t>BFI.D112</w:t>
            </w:r>
          </w:p>
        </w:tc>
        <w:tc>
          <w:tcPr>
            <w:tcW w:w="4243" w:type="dxa"/>
            <w:tcBorders>
              <w:top w:val="nil"/>
              <w:left w:val="nil"/>
              <w:bottom w:val="nil"/>
              <w:right w:val="single" w:sz="8" w:space="0" w:color="auto"/>
            </w:tcBorders>
            <w:shd w:val="clear" w:color="auto" w:fill="auto"/>
            <w:noWrap/>
            <w:vAlign w:val="center"/>
          </w:tcPr>
          <w:p w14:paraId="0999F480" w14:textId="77777777" w:rsidR="000B19AE" w:rsidRPr="000B19AE" w:rsidRDefault="000B19AE" w:rsidP="000B19AE">
            <w:pPr>
              <w:spacing w:after="0" w:line="240" w:lineRule="auto"/>
              <w:ind w:firstLineChars="221" w:firstLine="354"/>
              <w:rPr>
                <w:rFonts w:ascii="Arial Narrow" w:eastAsia="Times New Roman" w:hAnsi="Arial Narrow" w:cs="Arial"/>
                <w:strike/>
                <w:color w:val="FF0000"/>
                <w:sz w:val="16"/>
                <w:szCs w:val="16"/>
                <w:lang w:eastAsia="pt-BR"/>
              </w:rPr>
            </w:pPr>
            <w:r w:rsidRPr="000B19AE">
              <w:rPr>
                <w:rFonts w:ascii="Arial Narrow" w:eastAsia="Times New Roman" w:hAnsi="Arial Narrow" w:cs="Arial"/>
                <w:strike/>
                <w:color w:val="FF0000"/>
                <w:sz w:val="16"/>
                <w:szCs w:val="16"/>
                <w:lang w:eastAsia="pt-BR"/>
              </w:rPr>
              <w:t>710 - Recursos Vinculados aos Valores Recebidos Conforme Inciso I do Artigo 5° Da LC Federal N° 173/2020</w:t>
            </w:r>
          </w:p>
        </w:tc>
        <w:tc>
          <w:tcPr>
            <w:tcW w:w="1285" w:type="dxa"/>
            <w:gridSpan w:val="2"/>
            <w:tcBorders>
              <w:top w:val="nil"/>
              <w:left w:val="nil"/>
              <w:bottom w:val="nil"/>
              <w:right w:val="single" w:sz="8" w:space="0" w:color="auto"/>
            </w:tcBorders>
            <w:shd w:val="clear" w:color="auto" w:fill="auto"/>
            <w:vAlign w:val="center"/>
          </w:tcPr>
          <w:p w14:paraId="724596AF" w14:textId="77777777" w:rsidR="000B19AE" w:rsidRPr="000B19AE" w:rsidRDefault="000B19AE" w:rsidP="000B19AE">
            <w:pPr>
              <w:spacing w:after="0" w:line="240" w:lineRule="auto"/>
              <w:jc w:val="center"/>
              <w:rPr>
                <w:rFonts w:ascii="Arial Narrow" w:eastAsia="Times New Roman" w:hAnsi="Arial Narrow" w:cs="Arial"/>
                <w:strike/>
                <w:color w:val="FF0000"/>
                <w:sz w:val="16"/>
                <w:szCs w:val="16"/>
                <w:lang w:eastAsia="pt-BR"/>
              </w:rPr>
            </w:pPr>
            <w:r w:rsidRPr="000B19AE">
              <w:rPr>
                <w:rFonts w:ascii="Arial Narrow" w:eastAsia="Times New Roman" w:hAnsi="Arial Narrow" w:cs="Arial"/>
                <w:strike/>
                <w:color w:val="FF0000"/>
                <w:sz w:val="16"/>
                <w:szCs w:val="16"/>
                <w:lang w:eastAsia="pt-BR"/>
              </w:rPr>
              <w:t>BFI.G112</w:t>
            </w:r>
          </w:p>
        </w:tc>
        <w:tc>
          <w:tcPr>
            <w:tcW w:w="1276" w:type="dxa"/>
            <w:gridSpan w:val="2"/>
            <w:tcBorders>
              <w:top w:val="nil"/>
              <w:left w:val="nil"/>
              <w:bottom w:val="nil"/>
              <w:right w:val="single" w:sz="8" w:space="0" w:color="auto"/>
            </w:tcBorders>
            <w:shd w:val="clear" w:color="auto" w:fill="auto"/>
            <w:vAlign w:val="center"/>
          </w:tcPr>
          <w:p w14:paraId="72B29CA6" w14:textId="77777777" w:rsidR="000B19AE" w:rsidRPr="000B19AE" w:rsidRDefault="000B19AE" w:rsidP="000B19AE">
            <w:pPr>
              <w:spacing w:after="0" w:line="240" w:lineRule="auto"/>
              <w:jc w:val="center"/>
              <w:rPr>
                <w:rFonts w:ascii="Arial Narrow" w:eastAsia="Times New Roman" w:hAnsi="Arial Narrow" w:cs="Arial"/>
                <w:strike/>
                <w:color w:val="FF0000"/>
                <w:sz w:val="16"/>
                <w:szCs w:val="16"/>
                <w:lang w:eastAsia="pt-BR"/>
              </w:rPr>
            </w:pPr>
            <w:r w:rsidRPr="000B19AE">
              <w:rPr>
                <w:rFonts w:ascii="Arial Narrow" w:eastAsia="Times New Roman" w:hAnsi="Arial Narrow" w:cs="Arial"/>
                <w:strike/>
                <w:color w:val="FF0000"/>
                <w:sz w:val="16"/>
                <w:szCs w:val="16"/>
                <w:lang w:eastAsia="pt-BR"/>
              </w:rPr>
              <w:t>BFI.H112</w:t>
            </w:r>
          </w:p>
        </w:tc>
      </w:tr>
      <w:tr w:rsidR="000B19AE" w:rsidRPr="003042F6" w14:paraId="2B76BAD7" w14:textId="77777777" w:rsidTr="00E450A4">
        <w:trPr>
          <w:trHeight w:val="255"/>
        </w:trPr>
        <w:tc>
          <w:tcPr>
            <w:tcW w:w="4820" w:type="dxa"/>
            <w:gridSpan w:val="2"/>
            <w:tcBorders>
              <w:top w:val="nil"/>
              <w:left w:val="single" w:sz="8" w:space="0" w:color="auto"/>
              <w:bottom w:val="nil"/>
              <w:right w:val="single" w:sz="8" w:space="0" w:color="auto"/>
            </w:tcBorders>
            <w:shd w:val="clear" w:color="auto" w:fill="auto"/>
            <w:noWrap/>
            <w:vAlign w:val="center"/>
          </w:tcPr>
          <w:p w14:paraId="66BEE6A5" w14:textId="77777777" w:rsidR="000B19AE" w:rsidRPr="00F1559C" w:rsidRDefault="000B19AE" w:rsidP="000B19AE">
            <w:pPr>
              <w:spacing w:after="0" w:line="240" w:lineRule="auto"/>
              <w:ind w:firstLineChars="133" w:firstLine="213"/>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 xml:space="preserve">    910 – Recursos  Próprios dos Consórcios</w:t>
            </w:r>
          </w:p>
        </w:tc>
        <w:tc>
          <w:tcPr>
            <w:tcW w:w="1134" w:type="dxa"/>
            <w:tcBorders>
              <w:top w:val="nil"/>
              <w:left w:val="nil"/>
              <w:bottom w:val="nil"/>
              <w:right w:val="single" w:sz="8" w:space="0" w:color="auto"/>
            </w:tcBorders>
            <w:shd w:val="clear" w:color="auto" w:fill="auto"/>
            <w:vAlign w:val="center"/>
          </w:tcPr>
          <w:p w14:paraId="44A32AD9" w14:textId="77777777" w:rsidR="000B19AE" w:rsidRPr="00F1559C" w:rsidRDefault="000B19AE" w:rsidP="000B19AE">
            <w:pPr>
              <w:spacing w:after="0" w:line="240" w:lineRule="auto"/>
              <w:jc w:val="center"/>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BFI.C110</w:t>
            </w:r>
          </w:p>
        </w:tc>
        <w:tc>
          <w:tcPr>
            <w:tcW w:w="1276" w:type="dxa"/>
            <w:tcBorders>
              <w:top w:val="nil"/>
              <w:left w:val="nil"/>
              <w:bottom w:val="nil"/>
              <w:right w:val="single" w:sz="8" w:space="0" w:color="auto"/>
            </w:tcBorders>
            <w:shd w:val="clear" w:color="auto" w:fill="auto"/>
            <w:vAlign w:val="center"/>
          </w:tcPr>
          <w:p w14:paraId="42AF97AE" w14:textId="77777777" w:rsidR="000B19AE" w:rsidRPr="00F1559C" w:rsidRDefault="000B19AE" w:rsidP="000B19AE">
            <w:pPr>
              <w:spacing w:after="0" w:line="240" w:lineRule="auto"/>
              <w:jc w:val="center"/>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BFI.D110</w:t>
            </w:r>
          </w:p>
        </w:tc>
        <w:tc>
          <w:tcPr>
            <w:tcW w:w="4243" w:type="dxa"/>
            <w:tcBorders>
              <w:top w:val="nil"/>
              <w:left w:val="nil"/>
              <w:bottom w:val="nil"/>
              <w:right w:val="single" w:sz="8" w:space="0" w:color="auto"/>
            </w:tcBorders>
            <w:shd w:val="clear" w:color="auto" w:fill="auto"/>
            <w:noWrap/>
            <w:vAlign w:val="center"/>
          </w:tcPr>
          <w:p w14:paraId="655AC7AC" w14:textId="77777777" w:rsidR="000B19AE" w:rsidRPr="00F1559C" w:rsidRDefault="000B19AE" w:rsidP="000B19AE">
            <w:pPr>
              <w:spacing w:after="0" w:line="240" w:lineRule="auto"/>
              <w:ind w:firstLineChars="133" w:firstLine="213"/>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 xml:space="preserve">    910 – Recursos  Próprios dos Consórcios</w:t>
            </w:r>
          </w:p>
        </w:tc>
        <w:tc>
          <w:tcPr>
            <w:tcW w:w="1285" w:type="dxa"/>
            <w:gridSpan w:val="2"/>
            <w:tcBorders>
              <w:top w:val="nil"/>
              <w:left w:val="nil"/>
              <w:bottom w:val="nil"/>
              <w:right w:val="single" w:sz="8" w:space="0" w:color="auto"/>
            </w:tcBorders>
            <w:shd w:val="clear" w:color="auto" w:fill="auto"/>
            <w:vAlign w:val="center"/>
          </w:tcPr>
          <w:p w14:paraId="66AB0D0A" w14:textId="77777777" w:rsidR="000B19AE" w:rsidRPr="00F1559C" w:rsidRDefault="000B19AE" w:rsidP="000B19AE">
            <w:pPr>
              <w:spacing w:after="0" w:line="240" w:lineRule="auto"/>
              <w:jc w:val="center"/>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BFI.G110</w:t>
            </w:r>
          </w:p>
        </w:tc>
        <w:tc>
          <w:tcPr>
            <w:tcW w:w="1276" w:type="dxa"/>
            <w:gridSpan w:val="2"/>
            <w:tcBorders>
              <w:top w:val="nil"/>
              <w:left w:val="nil"/>
              <w:bottom w:val="nil"/>
              <w:right w:val="single" w:sz="8" w:space="0" w:color="auto"/>
            </w:tcBorders>
            <w:shd w:val="clear" w:color="auto" w:fill="auto"/>
            <w:vAlign w:val="center"/>
          </w:tcPr>
          <w:p w14:paraId="4B2026A1" w14:textId="77777777" w:rsidR="000B19AE" w:rsidRPr="00F1559C" w:rsidRDefault="000B19AE" w:rsidP="000B19AE">
            <w:pPr>
              <w:spacing w:after="0" w:line="240" w:lineRule="auto"/>
              <w:jc w:val="center"/>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BFI.H110</w:t>
            </w:r>
          </w:p>
        </w:tc>
      </w:tr>
      <w:tr w:rsidR="000B19AE" w:rsidRPr="003042F6" w14:paraId="697AF223" w14:textId="77777777" w:rsidTr="00E450A4">
        <w:trPr>
          <w:trHeight w:val="255"/>
        </w:trPr>
        <w:tc>
          <w:tcPr>
            <w:tcW w:w="4820" w:type="dxa"/>
            <w:gridSpan w:val="2"/>
            <w:tcBorders>
              <w:top w:val="nil"/>
              <w:left w:val="single" w:sz="8" w:space="0" w:color="auto"/>
              <w:bottom w:val="nil"/>
              <w:right w:val="single" w:sz="8" w:space="0" w:color="auto"/>
            </w:tcBorders>
            <w:shd w:val="clear" w:color="auto" w:fill="auto"/>
            <w:noWrap/>
            <w:vAlign w:val="center"/>
          </w:tcPr>
          <w:p w14:paraId="04EAA778" w14:textId="77777777" w:rsidR="000B19AE" w:rsidRPr="00F1559C" w:rsidRDefault="000B19AE" w:rsidP="000B19AE">
            <w:pPr>
              <w:spacing w:after="0" w:line="240" w:lineRule="auto"/>
              <w:ind w:firstLineChars="218" w:firstLine="349"/>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920 – Recursos de Operação de Crédito – Interna e Externa</w:t>
            </w:r>
          </w:p>
        </w:tc>
        <w:tc>
          <w:tcPr>
            <w:tcW w:w="1134" w:type="dxa"/>
            <w:tcBorders>
              <w:top w:val="nil"/>
              <w:left w:val="nil"/>
              <w:bottom w:val="nil"/>
              <w:right w:val="single" w:sz="8" w:space="0" w:color="auto"/>
            </w:tcBorders>
            <w:shd w:val="clear" w:color="auto" w:fill="auto"/>
            <w:vAlign w:val="center"/>
          </w:tcPr>
          <w:p w14:paraId="39276682" w14:textId="77777777" w:rsidR="000B19AE" w:rsidRPr="00F1559C" w:rsidRDefault="000B19AE" w:rsidP="000B19AE">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BFI.C107</w:t>
            </w:r>
          </w:p>
        </w:tc>
        <w:tc>
          <w:tcPr>
            <w:tcW w:w="1276" w:type="dxa"/>
            <w:tcBorders>
              <w:top w:val="nil"/>
              <w:left w:val="nil"/>
              <w:bottom w:val="nil"/>
              <w:right w:val="single" w:sz="8" w:space="0" w:color="auto"/>
            </w:tcBorders>
            <w:shd w:val="clear" w:color="auto" w:fill="auto"/>
            <w:vAlign w:val="center"/>
          </w:tcPr>
          <w:p w14:paraId="379460BE" w14:textId="77777777" w:rsidR="000B19AE" w:rsidRPr="00F1559C" w:rsidRDefault="000B19AE" w:rsidP="000B19AE">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BFI.D107</w:t>
            </w:r>
          </w:p>
        </w:tc>
        <w:tc>
          <w:tcPr>
            <w:tcW w:w="4243" w:type="dxa"/>
            <w:tcBorders>
              <w:top w:val="nil"/>
              <w:left w:val="nil"/>
              <w:bottom w:val="nil"/>
              <w:right w:val="single" w:sz="8" w:space="0" w:color="auto"/>
            </w:tcBorders>
            <w:shd w:val="clear" w:color="auto" w:fill="auto"/>
            <w:noWrap/>
            <w:vAlign w:val="center"/>
          </w:tcPr>
          <w:p w14:paraId="525038DB" w14:textId="77777777" w:rsidR="000B19AE" w:rsidRPr="00F1559C" w:rsidRDefault="000B19AE" w:rsidP="000B19AE">
            <w:pPr>
              <w:spacing w:after="0" w:line="240" w:lineRule="auto"/>
              <w:ind w:firstLineChars="218" w:firstLine="349"/>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920 – Recursos de Operação de Crédito – Interna e Externa</w:t>
            </w:r>
          </w:p>
        </w:tc>
        <w:tc>
          <w:tcPr>
            <w:tcW w:w="1285" w:type="dxa"/>
            <w:gridSpan w:val="2"/>
            <w:tcBorders>
              <w:top w:val="nil"/>
              <w:left w:val="nil"/>
              <w:bottom w:val="nil"/>
              <w:right w:val="single" w:sz="8" w:space="0" w:color="auto"/>
            </w:tcBorders>
            <w:shd w:val="clear" w:color="auto" w:fill="auto"/>
            <w:vAlign w:val="center"/>
          </w:tcPr>
          <w:p w14:paraId="6AA20F9C" w14:textId="77777777" w:rsidR="000B19AE" w:rsidRPr="00F1559C" w:rsidRDefault="000B19AE" w:rsidP="000B19AE">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BFI.G107</w:t>
            </w:r>
          </w:p>
        </w:tc>
        <w:tc>
          <w:tcPr>
            <w:tcW w:w="1276" w:type="dxa"/>
            <w:gridSpan w:val="2"/>
            <w:tcBorders>
              <w:top w:val="nil"/>
              <w:left w:val="nil"/>
              <w:bottom w:val="nil"/>
              <w:right w:val="single" w:sz="8" w:space="0" w:color="auto"/>
            </w:tcBorders>
            <w:shd w:val="clear" w:color="auto" w:fill="auto"/>
            <w:vAlign w:val="center"/>
          </w:tcPr>
          <w:p w14:paraId="663DBCA5" w14:textId="77777777" w:rsidR="000B19AE" w:rsidRPr="00F1559C" w:rsidRDefault="000B19AE" w:rsidP="000B19AE">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BFI.H107</w:t>
            </w:r>
          </w:p>
        </w:tc>
      </w:tr>
      <w:tr w:rsidR="000B19AE" w:rsidRPr="003042F6" w14:paraId="2E13BF20" w14:textId="77777777" w:rsidTr="00E450A4">
        <w:trPr>
          <w:trHeight w:val="255"/>
        </w:trPr>
        <w:tc>
          <w:tcPr>
            <w:tcW w:w="4820" w:type="dxa"/>
            <w:gridSpan w:val="2"/>
            <w:tcBorders>
              <w:left w:val="single" w:sz="8" w:space="0" w:color="auto"/>
              <w:bottom w:val="nil"/>
              <w:right w:val="single" w:sz="8" w:space="0" w:color="auto"/>
            </w:tcBorders>
            <w:shd w:val="clear" w:color="auto" w:fill="auto"/>
            <w:noWrap/>
            <w:vAlign w:val="center"/>
            <w:hideMark/>
          </w:tcPr>
          <w:p w14:paraId="2CA80DA5" w14:textId="77777777" w:rsidR="000B19AE" w:rsidRPr="00F1559C" w:rsidRDefault="000B19AE" w:rsidP="000B19AE">
            <w:pPr>
              <w:spacing w:after="0" w:line="240" w:lineRule="auto"/>
              <w:ind w:firstLineChars="133" w:firstLine="213"/>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 xml:space="preserve">    930 – Recursos de Alienação de Bens/Ativos</w:t>
            </w:r>
          </w:p>
        </w:tc>
        <w:tc>
          <w:tcPr>
            <w:tcW w:w="1134" w:type="dxa"/>
            <w:tcBorders>
              <w:left w:val="nil"/>
              <w:bottom w:val="nil"/>
              <w:right w:val="single" w:sz="8" w:space="0" w:color="auto"/>
            </w:tcBorders>
            <w:shd w:val="clear" w:color="auto" w:fill="auto"/>
            <w:vAlign w:val="center"/>
            <w:hideMark/>
          </w:tcPr>
          <w:p w14:paraId="4620401E" w14:textId="77777777" w:rsidR="000B19AE" w:rsidRPr="00F1559C" w:rsidRDefault="000B19AE" w:rsidP="000B19AE">
            <w:pPr>
              <w:spacing w:after="0" w:line="240" w:lineRule="auto"/>
              <w:jc w:val="center"/>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BFI.C053</w:t>
            </w:r>
          </w:p>
        </w:tc>
        <w:tc>
          <w:tcPr>
            <w:tcW w:w="1276" w:type="dxa"/>
            <w:tcBorders>
              <w:left w:val="nil"/>
              <w:bottom w:val="nil"/>
              <w:right w:val="single" w:sz="8" w:space="0" w:color="auto"/>
            </w:tcBorders>
            <w:shd w:val="clear" w:color="auto" w:fill="auto"/>
            <w:vAlign w:val="center"/>
            <w:hideMark/>
          </w:tcPr>
          <w:p w14:paraId="5E489C2F" w14:textId="77777777" w:rsidR="000B19AE" w:rsidRPr="00F1559C" w:rsidRDefault="000B19AE" w:rsidP="000B19AE">
            <w:pPr>
              <w:spacing w:after="0" w:line="240" w:lineRule="auto"/>
              <w:jc w:val="center"/>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BFI.D053</w:t>
            </w:r>
          </w:p>
        </w:tc>
        <w:tc>
          <w:tcPr>
            <w:tcW w:w="4243" w:type="dxa"/>
            <w:tcBorders>
              <w:left w:val="nil"/>
              <w:bottom w:val="nil"/>
              <w:right w:val="single" w:sz="8" w:space="0" w:color="auto"/>
            </w:tcBorders>
            <w:shd w:val="clear" w:color="auto" w:fill="auto"/>
            <w:noWrap/>
            <w:vAlign w:val="center"/>
            <w:hideMark/>
          </w:tcPr>
          <w:p w14:paraId="229C9663" w14:textId="77777777" w:rsidR="000B19AE" w:rsidRPr="00F1559C" w:rsidRDefault="000B19AE" w:rsidP="000B19AE">
            <w:pPr>
              <w:spacing w:after="0" w:line="240" w:lineRule="auto"/>
              <w:ind w:firstLineChars="133" w:firstLine="213"/>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 xml:space="preserve">    930 – Recursos de Alienação de Bens/Ativos</w:t>
            </w:r>
          </w:p>
        </w:tc>
        <w:tc>
          <w:tcPr>
            <w:tcW w:w="1285" w:type="dxa"/>
            <w:gridSpan w:val="2"/>
            <w:tcBorders>
              <w:left w:val="nil"/>
              <w:bottom w:val="nil"/>
              <w:right w:val="single" w:sz="8" w:space="0" w:color="auto"/>
            </w:tcBorders>
            <w:shd w:val="clear" w:color="auto" w:fill="auto"/>
            <w:vAlign w:val="center"/>
            <w:hideMark/>
          </w:tcPr>
          <w:p w14:paraId="6C42093D" w14:textId="77777777" w:rsidR="000B19AE" w:rsidRPr="00F1559C" w:rsidRDefault="000B19AE" w:rsidP="000B19AE">
            <w:pPr>
              <w:spacing w:after="0" w:line="240" w:lineRule="auto"/>
              <w:jc w:val="center"/>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BFI.G053</w:t>
            </w:r>
          </w:p>
        </w:tc>
        <w:tc>
          <w:tcPr>
            <w:tcW w:w="1276" w:type="dxa"/>
            <w:gridSpan w:val="2"/>
            <w:tcBorders>
              <w:left w:val="nil"/>
              <w:bottom w:val="nil"/>
              <w:right w:val="single" w:sz="8" w:space="0" w:color="auto"/>
            </w:tcBorders>
            <w:shd w:val="clear" w:color="auto" w:fill="auto"/>
            <w:vAlign w:val="center"/>
            <w:hideMark/>
          </w:tcPr>
          <w:p w14:paraId="3C69489F" w14:textId="77777777" w:rsidR="000B19AE" w:rsidRPr="00F1559C" w:rsidRDefault="000B19AE" w:rsidP="000B19AE">
            <w:pPr>
              <w:spacing w:after="0" w:line="240" w:lineRule="auto"/>
              <w:jc w:val="center"/>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BFI.H053</w:t>
            </w:r>
          </w:p>
        </w:tc>
      </w:tr>
      <w:tr w:rsidR="000B19AE" w:rsidRPr="003042F6" w14:paraId="411C941C" w14:textId="77777777" w:rsidTr="00E450A4">
        <w:trPr>
          <w:trHeight w:val="255"/>
        </w:trPr>
        <w:tc>
          <w:tcPr>
            <w:tcW w:w="4820" w:type="dxa"/>
            <w:gridSpan w:val="2"/>
            <w:tcBorders>
              <w:top w:val="nil"/>
              <w:left w:val="single" w:sz="8" w:space="0" w:color="auto"/>
              <w:bottom w:val="nil"/>
              <w:right w:val="single" w:sz="8" w:space="0" w:color="auto"/>
            </w:tcBorders>
            <w:shd w:val="clear" w:color="auto" w:fill="auto"/>
            <w:noWrap/>
            <w:vAlign w:val="center"/>
          </w:tcPr>
          <w:p w14:paraId="4697ED6A" w14:textId="77777777" w:rsidR="000B19AE" w:rsidRPr="00F1559C" w:rsidRDefault="000B19AE" w:rsidP="000B19AE">
            <w:pPr>
              <w:spacing w:after="0" w:line="240" w:lineRule="auto"/>
              <w:ind w:firstLineChars="218" w:firstLine="349"/>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940 - Outras Vinculações de Transferências</w:t>
            </w:r>
          </w:p>
        </w:tc>
        <w:tc>
          <w:tcPr>
            <w:tcW w:w="1134" w:type="dxa"/>
            <w:tcBorders>
              <w:top w:val="nil"/>
              <w:left w:val="nil"/>
              <w:bottom w:val="nil"/>
              <w:right w:val="single" w:sz="8" w:space="0" w:color="auto"/>
            </w:tcBorders>
            <w:shd w:val="clear" w:color="auto" w:fill="auto"/>
            <w:vAlign w:val="center"/>
          </w:tcPr>
          <w:p w14:paraId="4D7BDD97" w14:textId="77777777" w:rsidR="000B19AE" w:rsidRPr="00F1559C" w:rsidRDefault="000B19AE" w:rsidP="000B19AE">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BFI.C108</w:t>
            </w:r>
          </w:p>
        </w:tc>
        <w:tc>
          <w:tcPr>
            <w:tcW w:w="1276" w:type="dxa"/>
            <w:tcBorders>
              <w:top w:val="nil"/>
              <w:left w:val="nil"/>
              <w:bottom w:val="nil"/>
              <w:right w:val="single" w:sz="8" w:space="0" w:color="auto"/>
            </w:tcBorders>
            <w:shd w:val="clear" w:color="auto" w:fill="auto"/>
            <w:vAlign w:val="center"/>
          </w:tcPr>
          <w:p w14:paraId="23F0BAC8" w14:textId="77777777" w:rsidR="000B19AE" w:rsidRPr="00F1559C" w:rsidRDefault="000B19AE" w:rsidP="000B19AE">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BFI.D108</w:t>
            </w:r>
          </w:p>
        </w:tc>
        <w:tc>
          <w:tcPr>
            <w:tcW w:w="4243" w:type="dxa"/>
            <w:tcBorders>
              <w:top w:val="nil"/>
              <w:left w:val="nil"/>
              <w:bottom w:val="nil"/>
              <w:right w:val="single" w:sz="8" w:space="0" w:color="auto"/>
            </w:tcBorders>
            <w:shd w:val="clear" w:color="auto" w:fill="auto"/>
            <w:noWrap/>
            <w:vAlign w:val="center"/>
          </w:tcPr>
          <w:p w14:paraId="653A44B9" w14:textId="77777777" w:rsidR="000B19AE" w:rsidRPr="00F1559C" w:rsidRDefault="000B19AE" w:rsidP="000B19AE">
            <w:pPr>
              <w:spacing w:after="0" w:line="240" w:lineRule="auto"/>
              <w:ind w:firstLineChars="218" w:firstLine="349"/>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940 - Outras Vinculações de Transferências</w:t>
            </w:r>
          </w:p>
        </w:tc>
        <w:tc>
          <w:tcPr>
            <w:tcW w:w="1285" w:type="dxa"/>
            <w:gridSpan w:val="2"/>
            <w:tcBorders>
              <w:top w:val="nil"/>
              <w:left w:val="nil"/>
              <w:bottom w:val="nil"/>
              <w:right w:val="single" w:sz="8" w:space="0" w:color="auto"/>
            </w:tcBorders>
            <w:shd w:val="clear" w:color="auto" w:fill="auto"/>
            <w:vAlign w:val="center"/>
          </w:tcPr>
          <w:p w14:paraId="076B64A6" w14:textId="77777777" w:rsidR="000B19AE" w:rsidRPr="00F1559C" w:rsidRDefault="000B19AE" w:rsidP="000B19AE">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BFI.G108</w:t>
            </w:r>
          </w:p>
        </w:tc>
        <w:tc>
          <w:tcPr>
            <w:tcW w:w="1276" w:type="dxa"/>
            <w:gridSpan w:val="2"/>
            <w:tcBorders>
              <w:top w:val="nil"/>
              <w:left w:val="nil"/>
              <w:bottom w:val="nil"/>
              <w:right w:val="single" w:sz="8" w:space="0" w:color="auto"/>
            </w:tcBorders>
            <w:shd w:val="clear" w:color="auto" w:fill="auto"/>
            <w:vAlign w:val="center"/>
          </w:tcPr>
          <w:p w14:paraId="3E00D5F3" w14:textId="77777777" w:rsidR="000B19AE" w:rsidRPr="00F1559C" w:rsidRDefault="000B19AE" w:rsidP="000B19AE">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BFI.H108</w:t>
            </w:r>
          </w:p>
        </w:tc>
      </w:tr>
      <w:tr w:rsidR="000B19AE" w:rsidRPr="003042F6" w14:paraId="109E0C42" w14:textId="77777777" w:rsidTr="00E450A4">
        <w:trPr>
          <w:trHeight w:val="255"/>
        </w:trPr>
        <w:tc>
          <w:tcPr>
            <w:tcW w:w="4820" w:type="dxa"/>
            <w:gridSpan w:val="2"/>
            <w:tcBorders>
              <w:top w:val="nil"/>
              <w:left w:val="single" w:sz="8" w:space="0" w:color="auto"/>
              <w:bottom w:val="nil"/>
              <w:right w:val="single" w:sz="8" w:space="0" w:color="auto"/>
            </w:tcBorders>
            <w:shd w:val="clear" w:color="auto" w:fill="auto"/>
            <w:noWrap/>
            <w:vAlign w:val="center"/>
          </w:tcPr>
          <w:p w14:paraId="006ABEEE" w14:textId="77777777" w:rsidR="000B19AE" w:rsidRPr="00F1559C" w:rsidRDefault="000B19AE" w:rsidP="000B19AE">
            <w:pPr>
              <w:spacing w:after="0" w:line="240" w:lineRule="auto"/>
              <w:ind w:firstLineChars="218" w:firstLine="349"/>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950 - Outras Vinculações de Taxas e Contribuições</w:t>
            </w:r>
          </w:p>
        </w:tc>
        <w:tc>
          <w:tcPr>
            <w:tcW w:w="1134" w:type="dxa"/>
            <w:tcBorders>
              <w:top w:val="nil"/>
              <w:left w:val="nil"/>
              <w:bottom w:val="nil"/>
              <w:right w:val="single" w:sz="8" w:space="0" w:color="auto"/>
            </w:tcBorders>
            <w:shd w:val="clear" w:color="auto" w:fill="auto"/>
            <w:vAlign w:val="center"/>
          </w:tcPr>
          <w:p w14:paraId="1A2B7240" w14:textId="77777777" w:rsidR="000B19AE" w:rsidRPr="00F1559C" w:rsidRDefault="000B19AE" w:rsidP="000B19AE">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BFI.C109</w:t>
            </w:r>
          </w:p>
        </w:tc>
        <w:tc>
          <w:tcPr>
            <w:tcW w:w="1276" w:type="dxa"/>
            <w:tcBorders>
              <w:top w:val="nil"/>
              <w:left w:val="nil"/>
              <w:bottom w:val="nil"/>
              <w:right w:val="single" w:sz="8" w:space="0" w:color="auto"/>
            </w:tcBorders>
            <w:shd w:val="clear" w:color="auto" w:fill="auto"/>
            <w:vAlign w:val="center"/>
          </w:tcPr>
          <w:p w14:paraId="0FCAC72A" w14:textId="77777777" w:rsidR="000B19AE" w:rsidRPr="00F1559C" w:rsidRDefault="000B19AE" w:rsidP="000B19AE">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BFI.D109</w:t>
            </w:r>
          </w:p>
        </w:tc>
        <w:tc>
          <w:tcPr>
            <w:tcW w:w="4243" w:type="dxa"/>
            <w:tcBorders>
              <w:top w:val="nil"/>
              <w:left w:val="nil"/>
              <w:bottom w:val="nil"/>
              <w:right w:val="single" w:sz="8" w:space="0" w:color="auto"/>
            </w:tcBorders>
            <w:shd w:val="clear" w:color="auto" w:fill="auto"/>
            <w:noWrap/>
            <w:vAlign w:val="center"/>
          </w:tcPr>
          <w:p w14:paraId="714740ED" w14:textId="77777777" w:rsidR="000B19AE" w:rsidRPr="00F1559C" w:rsidRDefault="000B19AE" w:rsidP="000B19AE">
            <w:pPr>
              <w:spacing w:after="0" w:line="240" w:lineRule="auto"/>
              <w:ind w:firstLineChars="218" w:firstLine="349"/>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950 - Outras Vinculações de Taxas e Contribuições</w:t>
            </w:r>
          </w:p>
        </w:tc>
        <w:tc>
          <w:tcPr>
            <w:tcW w:w="1285" w:type="dxa"/>
            <w:gridSpan w:val="2"/>
            <w:tcBorders>
              <w:top w:val="nil"/>
              <w:left w:val="nil"/>
              <w:bottom w:val="nil"/>
              <w:right w:val="single" w:sz="8" w:space="0" w:color="auto"/>
            </w:tcBorders>
            <w:shd w:val="clear" w:color="auto" w:fill="auto"/>
            <w:vAlign w:val="center"/>
          </w:tcPr>
          <w:p w14:paraId="5592C22A" w14:textId="77777777" w:rsidR="000B19AE" w:rsidRPr="00F1559C" w:rsidRDefault="000B19AE" w:rsidP="000B19AE">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BFI.G109</w:t>
            </w:r>
          </w:p>
        </w:tc>
        <w:tc>
          <w:tcPr>
            <w:tcW w:w="1276" w:type="dxa"/>
            <w:gridSpan w:val="2"/>
            <w:tcBorders>
              <w:top w:val="nil"/>
              <w:left w:val="nil"/>
              <w:bottom w:val="nil"/>
              <w:right w:val="single" w:sz="8" w:space="0" w:color="auto"/>
            </w:tcBorders>
            <w:shd w:val="clear" w:color="auto" w:fill="auto"/>
            <w:vAlign w:val="center"/>
          </w:tcPr>
          <w:p w14:paraId="7A2FA370" w14:textId="77777777" w:rsidR="000B19AE" w:rsidRPr="00F1559C" w:rsidRDefault="000B19AE" w:rsidP="000B19AE">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BFI.H109</w:t>
            </w:r>
          </w:p>
        </w:tc>
      </w:tr>
      <w:tr w:rsidR="000B19AE" w:rsidRPr="003042F6" w14:paraId="53444B9F" w14:textId="77777777" w:rsidTr="00E450A4">
        <w:trPr>
          <w:trHeight w:val="255"/>
        </w:trPr>
        <w:tc>
          <w:tcPr>
            <w:tcW w:w="4820" w:type="dxa"/>
            <w:gridSpan w:val="2"/>
            <w:tcBorders>
              <w:top w:val="nil"/>
              <w:left w:val="single" w:sz="8" w:space="0" w:color="auto"/>
              <w:bottom w:val="nil"/>
              <w:right w:val="single" w:sz="8" w:space="0" w:color="auto"/>
            </w:tcBorders>
            <w:shd w:val="clear" w:color="auto" w:fill="auto"/>
            <w:noWrap/>
            <w:vAlign w:val="center"/>
          </w:tcPr>
          <w:p w14:paraId="1A48EA2A" w14:textId="77777777" w:rsidR="000B19AE" w:rsidRPr="00F1559C" w:rsidRDefault="000B19AE" w:rsidP="000B19AE">
            <w:pPr>
              <w:spacing w:after="0" w:line="240" w:lineRule="auto"/>
              <w:ind w:firstLineChars="218" w:firstLine="349"/>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961 - Recursos de Depósitos Judiciais – Lides das quais o Ente faz parte</w:t>
            </w:r>
          </w:p>
        </w:tc>
        <w:tc>
          <w:tcPr>
            <w:tcW w:w="1134" w:type="dxa"/>
            <w:tcBorders>
              <w:top w:val="nil"/>
              <w:left w:val="nil"/>
              <w:bottom w:val="nil"/>
              <w:right w:val="single" w:sz="8" w:space="0" w:color="auto"/>
            </w:tcBorders>
            <w:shd w:val="clear" w:color="auto" w:fill="auto"/>
            <w:vAlign w:val="center"/>
          </w:tcPr>
          <w:p w14:paraId="7A4C0AD8" w14:textId="77777777" w:rsidR="000B19AE" w:rsidRPr="00F1559C" w:rsidRDefault="000B19AE" w:rsidP="000B19AE">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BFI.C113</w:t>
            </w:r>
          </w:p>
        </w:tc>
        <w:tc>
          <w:tcPr>
            <w:tcW w:w="1276" w:type="dxa"/>
            <w:tcBorders>
              <w:top w:val="nil"/>
              <w:left w:val="nil"/>
              <w:bottom w:val="nil"/>
              <w:right w:val="single" w:sz="8" w:space="0" w:color="auto"/>
            </w:tcBorders>
            <w:shd w:val="clear" w:color="auto" w:fill="auto"/>
            <w:vAlign w:val="center"/>
          </w:tcPr>
          <w:p w14:paraId="52490C82" w14:textId="77777777" w:rsidR="000B19AE" w:rsidRPr="00F1559C" w:rsidRDefault="000B19AE" w:rsidP="000B19AE">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BFI.D113</w:t>
            </w:r>
          </w:p>
        </w:tc>
        <w:tc>
          <w:tcPr>
            <w:tcW w:w="4243" w:type="dxa"/>
            <w:tcBorders>
              <w:top w:val="nil"/>
              <w:left w:val="nil"/>
              <w:bottom w:val="nil"/>
              <w:right w:val="single" w:sz="8" w:space="0" w:color="auto"/>
            </w:tcBorders>
            <w:shd w:val="clear" w:color="auto" w:fill="auto"/>
            <w:noWrap/>
            <w:vAlign w:val="center"/>
          </w:tcPr>
          <w:p w14:paraId="5771C3CC" w14:textId="77777777" w:rsidR="000B19AE" w:rsidRPr="00F1559C" w:rsidRDefault="000B19AE" w:rsidP="000B19AE">
            <w:pPr>
              <w:spacing w:after="0" w:line="240" w:lineRule="auto"/>
              <w:ind w:firstLineChars="218" w:firstLine="349"/>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961 - Recursos de Depósitos Judiciais – Lides das quais o Ente faz parte</w:t>
            </w:r>
          </w:p>
        </w:tc>
        <w:tc>
          <w:tcPr>
            <w:tcW w:w="1285" w:type="dxa"/>
            <w:gridSpan w:val="2"/>
            <w:tcBorders>
              <w:top w:val="nil"/>
              <w:left w:val="nil"/>
              <w:bottom w:val="nil"/>
              <w:right w:val="single" w:sz="8" w:space="0" w:color="auto"/>
            </w:tcBorders>
            <w:shd w:val="clear" w:color="auto" w:fill="auto"/>
            <w:vAlign w:val="center"/>
          </w:tcPr>
          <w:p w14:paraId="42714A84" w14:textId="77777777" w:rsidR="000B19AE" w:rsidRPr="00F1559C" w:rsidRDefault="000B19AE" w:rsidP="000B19AE">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BFI.G113</w:t>
            </w:r>
          </w:p>
        </w:tc>
        <w:tc>
          <w:tcPr>
            <w:tcW w:w="1276" w:type="dxa"/>
            <w:gridSpan w:val="2"/>
            <w:tcBorders>
              <w:top w:val="nil"/>
              <w:left w:val="nil"/>
              <w:bottom w:val="nil"/>
              <w:right w:val="single" w:sz="8" w:space="0" w:color="auto"/>
            </w:tcBorders>
            <w:shd w:val="clear" w:color="auto" w:fill="auto"/>
            <w:vAlign w:val="center"/>
          </w:tcPr>
          <w:p w14:paraId="0F4488E4" w14:textId="77777777" w:rsidR="000B19AE" w:rsidRPr="00F1559C" w:rsidRDefault="000B19AE" w:rsidP="000B19AE">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BFI.H113</w:t>
            </w:r>
          </w:p>
        </w:tc>
      </w:tr>
      <w:tr w:rsidR="000B19AE" w:rsidRPr="003042F6" w14:paraId="3694F958" w14:textId="77777777" w:rsidTr="00E450A4">
        <w:trPr>
          <w:trHeight w:val="255"/>
        </w:trPr>
        <w:tc>
          <w:tcPr>
            <w:tcW w:w="4820" w:type="dxa"/>
            <w:gridSpan w:val="2"/>
            <w:tcBorders>
              <w:top w:val="nil"/>
              <w:left w:val="single" w:sz="8" w:space="0" w:color="auto"/>
              <w:bottom w:val="nil"/>
              <w:right w:val="single" w:sz="8" w:space="0" w:color="auto"/>
            </w:tcBorders>
            <w:shd w:val="clear" w:color="auto" w:fill="auto"/>
            <w:noWrap/>
            <w:vAlign w:val="center"/>
          </w:tcPr>
          <w:p w14:paraId="7E1606D2" w14:textId="77777777" w:rsidR="000B19AE" w:rsidRPr="00F1559C" w:rsidRDefault="000B19AE" w:rsidP="000B19AE">
            <w:pPr>
              <w:spacing w:after="0" w:line="240" w:lineRule="auto"/>
              <w:ind w:firstLineChars="218" w:firstLine="349"/>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962 - Recursos De Depósitos Judiciais Lides das quais o Ente não faz parte</w:t>
            </w:r>
          </w:p>
        </w:tc>
        <w:tc>
          <w:tcPr>
            <w:tcW w:w="1134" w:type="dxa"/>
            <w:tcBorders>
              <w:top w:val="nil"/>
              <w:left w:val="nil"/>
              <w:bottom w:val="nil"/>
              <w:right w:val="single" w:sz="8" w:space="0" w:color="auto"/>
            </w:tcBorders>
            <w:shd w:val="clear" w:color="auto" w:fill="auto"/>
            <w:vAlign w:val="center"/>
          </w:tcPr>
          <w:p w14:paraId="2E10B45B" w14:textId="77777777" w:rsidR="000B19AE" w:rsidRPr="00F1559C" w:rsidRDefault="000B19AE" w:rsidP="000B19AE">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BFI.C114</w:t>
            </w:r>
          </w:p>
        </w:tc>
        <w:tc>
          <w:tcPr>
            <w:tcW w:w="1276" w:type="dxa"/>
            <w:tcBorders>
              <w:top w:val="nil"/>
              <w:left w:val="nil"/>
              <w:bottom w:val="nil"/>
              <w:right w:val="single" w:sz="8" w:space="0" w:color="auto"/>
            </w:tcBorders>
            <w:shd w:val="clear" w:color="auto" w:fill="auto"/>
            <w:vAlign w:val="center"/>
          </w:tcPr>
          <w:p w14:paraId="51E3C985" w14:textId="77777777" w:rsidR="000B19AE" w:rsidRPr="00F1559C" w:rsidRDefault="000B19AE" w:rsidP="000B19AE">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BFI.D114</w:t>
            </w:r>
          </w:p>
        </w:tc>
        <w:tc>
          <w:tcPr>
            <w:tcW w:w="4243" w:type="dxa"/>
            <w:tcBorders>
              <w:top w:val="nil"/>
              <w:left w:val="nil"/>
              <w:bottom w:val="nil"/>
              <w:right w:val="single" w:sz="8" w:space="0" w:color="auto"/>
            </w:tcBorders>
            <w:shd w:val="clear" w:color="auto" w:fill="auto"/>
            <w:noWrap/>
            <w:vAlign w:val="center"/>
          </w:tcPr>
          <w:p w14:paraId="2AB6D194" w14:textId="77777777" w:rsidR="000B19AE" w:rsidRPr="00F1559C" w:rsidRDefault="000B19AE" w:rsidP="000B19AE">
            <w:pPr>
              <w:spacing w:after="0" w:line="240" w:lineRule="auto"/>
              <w:ind w:firstLineChars="218" w:firstLine="349"/>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962 - Recursos De Depósitos Judiciais Lides das quais o Ente não faz parte</w:t>
            </w:r>
          </w:p>
        </w:tc>
        <w:tc>
          <w:tcPr>
            <w:tcW w:w="1285" w:type="dxa"/>
            <w:gridSpan w:val="2"/>
            <w:tcBorders>
              <w:top w:val="nil"/>
              <w:left w:val="nil"/>
              <w:bottom w:val="nil"/>
              <w:right w:val="single" w:sz="8" w:space="0" w:color="auto"/>
            </w:tcBorders>
            <w:shd w:val="clear" w:color="auto" w:fill="auto"/>
            <w:vAlign w:val="center"/>
          </w:tcPr>
          <w:p w14:paraId="4292E193" w14:textId="77777777" w:rsidR="000B19AE" w:rsidRPr="00F1559C" w:rsidRDefault="000B19AE" w:rsidP="000B19AE">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BFI.G114</w:t>
            </w:r>
          </w:p>
        </w:tc>
        <w:tc>
          <w:tcPr>
            <w:tcW w:w="1276" w:type="dxa"/>
            <w:gridSpan w:val="2"/>
            <w:tcBorders>
              <w:top w:val="nil"/>
              <w:left w:val="nil"/>
              <w:bottom w:val="nil"/>
              <w:right w:val="single" w:sz="8" w:space="0" w:color="auto"/>
            </w:tcBorders>
            <w:shd w:val="clear" w:color="auto" w:fill="auto"/>
            <w:vAlign w:val="center"/>
          </w:tcPr>
          <w:p w14:paraId="17E490D5" w14:textId="77777777" w:rsidR="000B19AE" w:rsidRPr="00F1559C" w:rsidRDefault="000B19AE" w:rsidP="000B19AE">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BFI.H114</w:t>
            </w:r>
          </w:p>
        </w:tc>
      </w:tr>
      <w:tr w:rsidR="000B19AE" w:rsidRPr="003042F6" w14:paraId="56EFEB9B" w14:textId="77777777" w:rsidTr="00E450A4">
        <w:trPr>
          <w:trHeight w:val="255"/>
        </w:trPr>
        <w:tc>
          <w:tcPr>
            <w:tcW w:w="4820" w:type="dxa"/>
            <w:gridSpan w:val="2"/>
            <w:tcBorders>
              <w:top w:val="nil"/>
              <w:left w:val="single" w:sz="8" w:space="0" w:color="auto"/>
              <w:bottom w:val="nil"/>
              <w:right w:val="single" w:sz="8" w:space="0" w:color="auto"/>
            </w:tcBorders>
            <w:shd w:val="clear" w:color="auto" w:fill="auto"/>
            <w:noWrap/>
            <w:vAlign w:val="center"/>
            <w:hideMark/>
          </w:tcPr>
          <w:p w14:paraId="0C2E8721" w14:textId="77777777" w:rsidR="000B19AE" w:rsidRPr="00F1559C" w:rsidRDefault="000B19AE" w:rsidP="000B19AE">
            <w:pPr>
              <w:spacing w:after="0" w:line="240" w:lineRule="auto"/>
              <w:ind w:firstLineChars="133" w:firstLine="213"/>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 xml:space="preserve">    990 - Outros Recursos Vinculados</w:t>
            </w:r>
          </w:p>
        </w:tc>
        <w:tc>
          <w:tcPr>
            <w:tcW w:w="1134" w:type="dxa"/>
            <w:tcBorders>
              <w:top w:val="nil"/>
              <w:left w:val="nil"/>
              <w:bottom w:val="nil"/>
              <w:right w:val="single" w:sz="8" w:space="0" w:color="auto"/>
            </w:tcBorders>
            <w:shd w:val="clear" w:color="auto" w:fill="auto"/>
            <w:vAlign w:val="center"/>
            <w:hideMark/>
          </w:tcPr>
          <w:p w14:paraId="7002AE83" w14:textId="77777777" w:rsidR="000B19AE" w:rsidRPr="00F1559C" w:rsidRDefault="000B19AE" w:rsidP="000B19AE">
            <w:pPr>
              <w:spacing w:after="0" w:line="240" w:lineRule="auto"/>
              <w:jc w:val="center"/>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BFI.C054</w:t>
            </w:r>
          </w:p>
        </w:tc>
        <w:tc>
          <w:tcPr>
            <w:tcW w:w="1276" w:type="dxa"/>
            <w:tcBorders>
              <w:top w:val="nil"/>
              <w:left w:val="nil"/>
              <w:bottom w:val="nil"/>
              <w:right w:val="single" w:sz="8" w:space="0" w:color="auto"/>
            </w:tcBorders>
            <w:shd w:val="clear" w:color="auto" w:fill="auto"/>
            <w:vAlign w:val="center"/>
            <w:hideMark/>
          </w:tcPr>
          <w:p w14:paraId="31EDDA44" w14:textId="77777777" w:rsidR="000B19AE" w:rsidRPr="00F1559C" w:rsidRDefault="000B19AE" w:rsidP="000B19AE">
            <w:pPr>
              <w:spacing w:after="0" w:line="240" w:lineRule="auto"/>
              <w:jc w:val="center"/>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BFI.D054</w:t>
            </w:r>
          </w:p>
        </w:tc>
        <w:tc>
          <w:tcPr>
            <w:tcW w:w="4243" w:type="dxa"/>
            <w:tcBorders>
              <w:top w:val="nil"/>
              <w:left w:val="nil"/>
              <w:bottom w:val="nil"/>
              <w:right w:val="single" w:sz="8" w:space="0" w:color="auto"/>
            </w:tcBorders>
            <w:shd w:val="clear" w:color="auto" w:fill="auto"/>
            <w:noWrap/>
            <w:vAlign w:val="center"/>
            <w:hideMark/>
          </w:tcPr>
          <w:p w14:paraId="0CDB3427" w14:textId="77777777" w:rsidR="000B19AE" w:rsidRPr="00F1559C" w:rsidRDefault="000B19AE" w:rsidP="000B19AE">
            <w:pPr>
              <w:spacing w:after="0" w:line="240" w:lineRule="auto"/>
              <w:ind w:firstLineChars="133" w:firstLine="213"/>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 xml:space="preserve">    990 - Outros Recursos Vinculados</w:t>
            </w:r>
          </w:p>
        </w:tc>
        <w:tc>
          <w:tcPr>
            <w:tcW w:w="1285" w:type="dxa"/>
            <w:gridSpan w:val="2"/>
            <w:tcBorders>
              <w:top w:val="nil"/>
              <w:left w:val="nil"/>
              <w:bottom w:val="nil"/>
              <w:right w:val="single" w:sz="8" w:space="0" w:color="auto"/>
            </w:tcBorders>
            <w:shd w:val="clear" w:color="auto" w:fill="auto"/>
            <w:vAlign w:val="center"/>
            <w:hideMark/>
          </w:tcPr>
          <w:p w14:paraId="506C80A7" w14:textId="77777777" w:rsidR="000B19AE" w:rsidRPr="00F1559C" w:rsidRDefault="000B19AE" w:rsidP="000B19AE">
            <w:pPr>
              <w:spacing w:after="0" w:line="240" w:lineRule="auto"/>
              <w:jc w:val="center"/>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BFI.G054</w:t>
            </w:r>
          </w:p>
        </w:tc>
        <w:tc>
          <w:tcPr>
            <w:tcW w:w="1276" w:type="dxa"/>
            <w:gridSpan w:val="2"/>
            <w:tcBorders>
              <w:top w:val="nil"/>
              <w:left w:val="nil"/>
              <w:bottom w:val="nil"/>
              <w:right w:val="single" w:sz="8" w:space="0" w:color="auto"/>
            </w:tcBorders>
            <w:shd w:val="clear" w:color="auto" w:fill="auto"/>
            <w:vAlign w:val="center"/>
            <w:hideMark/>
          </w:tcPr>
          <w:p w14:paraId="6D906141" w14:textId="77777777" w:rsidR="000B19AE" w:rsidRPr="00F1559C" w:rsidRDefault="000B19AE" w:rsidP="000B19AE">
            <w:pPr>
              <w:spacing w:after="0" w:line="240" w:lineRule="auto"/>
              <w:jc w:val="center"/>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BFI.H054</w:t>
            </w:r>
          </w:p>
        </w:tc>
      </w:tr>
      <w:tr w:rsidR="000B19AE" w:rsidRPr="003042F6" w14:paraId="66182029" w14:textId="77777777" w:rsidTr="00E450A4">
        <w:trPr>
          <w:trHeight w:val="255"/>
        </w:trPr>
        <w:tc>
          <w:tcPr>
            <w:tcW w:w="4820" w:type="dxa"/>
            <w:gridSpan w:val="2"/>
            <w:tcBorders>
              <w:top w:val="nil"/>
              <w:left w:val="single" w:sz="8" w:space="0" w:color="auto"/>
              <w:bottom w:val="nil"/>
              <w:right w:val="single" w:sz="8" w:space="0" w:color="auto"/>
            </w:tcBorders>
            <w:shd w:val="clear" w:color="auto" w:fill="auto"/>
            <w:noWrap/>
            <w:vAlign w:val="center"/>
            <w:hideMark/>
          </w:tcPr>
          <w:p w14:paraId="4D2E6FDA" w14:textId="77777777" w:rsidR="000B19AE" w:rsidRPr="00F1559C" w:rsidRDefault="000B19AE" w:rsidP="000B19AE">
            <w:pPr>
              <w:spacing w:after="0" w:line="240" w:lineRule="auto"/>
              <w:ind w:firstLineChars="100" w:firstLine="161"/>
              <w:rPr>
                <w:rFonts w:ascii="Arial Narrow" w:eastAsia="Times New Roman" w:hAnsi="Arial Narrow" w:cs="Arial"/>
                <w:b/>
                <w:bCs/>
                <w:sz w:val="16"/>
                <w:szCs w:val="16"/>
                <w:lang w:eastAsia="pt-BR"/>
              </w:rPr>
            </w:pPr>
            <w:r w:rsidRPr="00F1559C">
              <w:rPr>
                <w:rFonts w:ascii="Arial Narrow" w:eastAsia="Times New Roman" w:hAnsi="Arial Narrow" w:cs="Arial"/>
                <w:b/>
                <w:bCs/>
                <w:sz w:val="16"/>
                <w:szCs w:val="16"/>
                <w:lang w:eastAsia="pt-BR"/>
              </w:rPr>
              <w:t> </w:t>
            </w:r>
          </w:p>
        </w:tc>
        <w:tc>
          <w:tcPr>
            <w:tcW w:w="1134" w:type="dxa"/>
            <w:tcBorders>
              <w:top w:val="nil"/>
              <w:left w:val="nil"/>
              <w:bottom w:val="nil"/>
              <w:right w:val="single" w:sz="8" w:space="0" w:color="auto"/>
            </w:tcBorders>
            <w:shd w:val="clear" w:color="auto" w:fill="auto"/>
            <w:vAlign w:val="center"/>
            <w:hideMark/>
          </w:tcPr>
          <w:p w14:paraId="0985D02C" w14:textId="77777777" w:rsidR="000B19AE" w:rsidRPr="00F1559C" w:rsidRDefault="000B19AE" w:rsidP="000B19AE">
            <w:pPr>
              <w:spacing w:after="0" w:line="240" w:lineRule="auto"/>
              <w:jc w:val="center"/>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 </w:t>
            </w:r>
          </w:p>
        </w:tc>
        <w:tc>
          <w:tcPr>
            <w:tcW w:w="1276" w:type="dxa"/>
            <w:tcBorders>
              <w:top w:val="nil"/>
              <w:left w:val="nil"/>
              <w:bottom w:val="nil"/>
              <w:right w:val="single" w:sz="8" w:space="0" w:color="auto"/>
            </w:tcBorders>
            <w:shd w:val="clear" w:color="auto" w:fill="auto"/>
            <w:vAlign w:val="center"/>
            <w:hideMark/>
          </w:tcPr>
          <w:p w14:paraId="6D8FD085" w14:textId="77777777" w:rsidR="000B19AE" w:rsidRPr="00F1559C" w:rsidRDefault="000B19AE" w:rsidP="000B19AE">
            <w:pPr>
              <w:spacing w:after="0" w:line="240" w:lineRule="auto"/>
              <w:jc w:val="center"/>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 </w:t>
            </w:r>
          </w:p>
        </w:tc>
        <w:tc>
          <w:tcPr>
            <w:tcW w:w="4243" w:type="dxa"/>
            <w:tcBorders>
              <w:top w:val="nil"/>
              <w:left w:val="nil"/>
              <w:bottom w:val="nil"/>
              <w:right w:val="single" w:sz="8" w:space="0" w:color="auto"/>
            </w:tcBorders>
            <w:shd w:val="clear" w:color="auto" w:fill="auto"/>
            <w:noWrap/>
            <w:vAlign w:val="center"/>
            <w:hideMark/>
          </w:tcPr>
          <w:p w14:paraId="413F626C" w14:textId="77777777" w:rsidR="000B19AE" w:rsidRPr="00F1559C" w:rsidRDefault="000B19AE" w:rsidP="000B19AE">
            <w:pPr>
              <w:spacing w:after="0" w:line="240" w:lineRule="auto"/>
              <w:ind w:firstLineChars="100" w:firstLine="161"/>
              <w:rPr>
                <w:rFonts w:ascii="Arial Narrow" w:eastAsia="Times New Roman" w:hAnsi="Arial Narrow" w:cs="Arial"/>
                <w:b/>
                <w:bCs/>
                <w:sz w:val="16"/>
                <w:szCs w:val="16"/>
                <w:lang w:eastAsia="pt-BR"/>
              </w:rPr>
            </w:pPr>
            <w:r w:rsidRPr="00F1559C">
              <w:rPr>
                <w:rFonts w:ascii="Arial Narrow" w:eastAsia="Times New Roman" w:hAnsi="Arial Narrow" w:cs="Arial"/>
                <w:b/>
                <w:bCs/>
                <w:sz w:val="16"/>
                <w:szCs w:val="16"/>
                <w:lang w:eastAsia="pt-BR"/>
              </w:rPr>
              <w:t> </w:t>
            </w:r>
          </w:p>
        </w:tc>
        <w:tc>
          <w:tcPr>
            <w:tcW w:w="1285" w:type="dxa"/>
            <w:gridSpan w:val="2"/>
            <w:tcBorders>
              <w:top w:val="nil"/>
              <w:left w:val="nil"/>
              <w:bottom w:val="nil"/>
              <w:right w:val="single" w:sz="8" w:space="0" w:color="auto"/>
            </w:tcBorders>
            <w:shd w:val="clear" w:color="auto" w:fill="auto"/>
            <w:vAlign w:val="center"/>
            <w:hideMark/>
          </w:tcPr>
          <w:p w14:paraId="37AF967C" w14:textId="77777777" w:rsidR="000B19AE" w:rsidRPr="00F1559C" w:rsidRDefault="000B19AE" w:rsidP="000B19AE">
            <w:pPr>
              <w:spacing w:after="0" w:line="240" w:lineRule="auto"/>
              <w:jc w:val="center"/>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 </w:t>
            </w:r>
          </w:p>
        </w:tc>
        <w:tc>
          <w:tcPr>
            <w:tcW w:w="1276" w:type="dxa"/>
            <w:gridSpan w:val="2"/>
            <w:tcBorders>
              <w:top w:val="nil"/>
              <w:left w:val="nil"/>
              <w:bottom w:val="nil"/>
              <w:right w:val="single" w:sz="8" w:space="0" w:color="auto"/>
            </w:tcBorders>
            <w:shd w:val="clear" w:color="auto" w:fill="auto"/>
            <w:vAlign w:val="center"/>
            <w:hideMark/>
          </w:tcPr>
          <w:p w14:paraId="662CF74D" w14:textId="77777777" w:rsidR="000B19AE" w:rsidRPr="00F1559C" w:rsidRDefault="000B19AE" w:rsidP="000B19AE">
            <w:pPr>
              <w:spacing w:after="0" w:line="240" w:lineRule="auto"/>
              <w:jc w:val="center"/>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 </w:t>
            </w:r>
          </w:p>
        </w:tc>
      </w:tr>
      <w:tr w:rsidR="000B19AE" w:rsidRPr="003042F6" w14:paraId="2A870D29" w14:textId="77777777" w:rsidTr="00E450A4">
        <w:trPr>
          <w:trHeight w:val="255"/>
        </w:trPr>
        <w:tc>
          <w:tcPr>
            <w:tcW w:w="4820" w:type="dxa"/>
            <w:gridSpan w:val="2"/>
            <w:tcBorders>
              <w:top w:val="nil"/>
              <w:left w:val="single" w:sz="8" w:space="0" w:color="auto"/>
              <w:bottom w:val="nil"/>
              <w:right w:val="single" w:sz="8" w:space="0" w:color="auto"/>
            </w:tcBorders>
            <w:shd w:val="clear" w:color="auto" w:fill="auto"/>
            <w:noWrap/>
            <w:vAlign w:val="center"/>
            <w:hideMark/>
          </w:tcPr>
          <w:p w14:paraId="4696A0E8" w14:textId="77777777" w:rsidR="000B19AE" w:rsidRPr="00F1559C" w:rsidRDefault="000B19AE" w:rsidP="000B19AE">
            <w:pPr>
              <w:spacing w:after="0" w:line="240" w:lineRule="auto"/>
              <w:rPr>
                <w:rFonts w:ascii="Arial Narrow" w:eastAsia="Times New Roman" w:hAnsi="Arial Narrow" w:cs="Arial"/>
                <w:b/>
                <w:bCs/>
                <w:sz w:val="16"/>
                <w:szCs w:val="16"/>
                <w:lang w:eastAsia="pt-BR"/>
              </w:rPr>
            </w:pPr>
            <w:r w:rsidRPr="00F1559C">
              <w:rPr>
                <w:rFonts w:ascii="Arial Narrow" w:eastAsia="Times New Roman" w:hAnsi="Arial Narrow" w:cs="Arial"/>
                <w:b/>
                <w:bCs/>
                <w:sz w:val="16"/>
                <w:szCs w:val="16"/>
                <w:lang w:eastAsia="pt-BR"/>
              </w:rPr>
              <w:t>TRANSFERÊNCIAS FINANCEIRAS RECEBIDAS (II)</w:t>
            </w:r>
          </w:p>
        </w:tc>
        <w:tc>
          <w:tcPr>
            <w:tcW w:w="1134" w:type="dxa"/>
            <w:tcBorders>
              <w:top w:val="nil"/>
              <w:left w:val="nil"/>
              <w:bottom w:val="nil"/>
              <w:right w:val="single" w:sz="8" w:space="0" w:color="auto"/>
            </w:tcBorders>
            <w:shd w:val="clear" w:color="auto" w:fill="auto"/>
            <w:vAlign w:val="center"/>
            <w:hideMark/>
          </w:tcPr>
          <w:p w14:paraId="1BA7C039" w14:textId="77777777" w:rsidR="000B19AE" w:rsidRPr="00F1559C" w:rsidRDefault="000B19AE" w:rsidP="000B19AE">
            <w:pPr>
              <w:spacing w:after="0" w:line="240" w:lineRule="auto"/>
              <w:jc w:val="center"/>
              <w:rPr>
                <w:rFonts w:ascii="Arial Narrow" w:eastAsia="Times New Roman" w:hAnsi="Arial Narrow" w:cs="Arial"/>
                <w:b/>
                <w:bCs/>
                <w:sz w:val="16"/>
                <w:szCs w:val="16"/>
                <w:lang w:eastAsia="pt-BR"/>
              </w:rPr>
            </w:pPr>
            <w:r w:rsidRPr="00F1559C">
              <w:rPr>
                <w:rFonts w:ascii="Arial Narrow" w:eastAsia="Times New Roman" w:hAnsi="Arial Narrow" w:cs="Arial"/>
                <w:b/>
                <w:bCs/>
                <w:sz w:val="16"/>
                <w:szCs w:val="16"/>
                <w:lang w:eastAsia="pt-BR"/>
              </w:rPr>
              <w:t>BFI.C056</w:t>
            </w:r>
          </w:p>
        </w:tc>
        <w:tc>
          <w:tcPr>
            <w:tcW w:w="1276" w:type="dxa"/>
            <w:tcBorders>
              <w:top w:val="nil"/>
              <w:left w:val="nil"/>
              <w:bottom w:val="nil"/>
              <w:right w:val="single" w:sz="8" w:space="0" w:color="auto"/>
            </w:tcBorders>
            <w:shd w:val="clear" w:color="auto" w:fill="auto"/>
            <w:vAlign w:val="center"/>
            <w:hideMark/>
          </w:tcPr>
          <w:p w14:paraId="0D85F951" w14:textId="77777777" w:rsidR="000B19AE" w:rsidRPr="00F1559C" w:rsidRDefault="000B19AE" w:rsidP="000B19AE">
            <w:pPr>
              <w:spacing w:after="0" w:line="240" w:lineRule="auto"/>
              <w:jc w:val="center"/>
              <w:rPr>
                <w:rFonts w:ascii="Arial Narrow" w:eastAsia="Times New Roman" w:hAnsi="Arial Narrow" w:cs="Arial"/>
                <w:b/>
                <w:bCs/>
                <w:sz w:val="16"/>
                <w:szCs w:val="16"/>
                <w:lang w:eastAsia="pt-BR"/>
              </w:rPr>
            </w:pPr>
            <w:r w:rsidRPr="00F1559C">
              <w:rPr>
                <w:rFonts w:ascii="Arial Narrow" w:eastAsia="Times New Roman" w:hAnsi="Arial Narrow" w:cs="Arial"/>
                <w:b/>
                <w:bCs/>
                <w:sz w:val="16"/>
                <w:szCs w:val="16"/>
                <w:lang w:eastAsia="pt-BR"/>
              </w:rPr>
              <w:t>BFI.D056</w:t>
            </w:r>
          </w:p>
        </w:tc>
        <w:tc>
          <w:tcPr>
            <w:tcW w:w="4243" w:type="dxa"/>
            <w:tcBorders>
              <w:top w:val="nil"/>
              <w:left w:val="nil"/>
              <w:bottom w:val="nil"/>
              <w:right w:val="single" w:sz="8" w:space="0" w:color="auto"/>
            </w:tcBorders>
            <w:shd w:val="clear" w:color="auto" w:fill="auto"/>
            <w:noWrap/>
            <w:vAlign w:val="center"/>
            <w:hideMark/>
          </w:tcPr>
          <w:p w14:paraId="67BA4B26" w14:textId="77777777" w:rsidR="000B19AE" w:rsidRPr="00F1559C" w:rsidRDefault="000B19AE" w:rsidP="000B19AE">
            <w:pPr>
              <w:spacing w:after="0" w:line="240" w:lineRule="auto"/>
              <w:rPr>
                <w:rFonts w:ascii="Arial Narrow" w:eastAsia="Times New Roman" w:hAnsi="Arial Narrow" w:cs="Arial"/>
                <w:b/>
                <w:bCs/>
                <w:sz w:val="16"/>
                <w:szCs w:val="16"/>
                <w:lang w:eastAsia="pt-BR"/>
              </w:rPr>
            </w:pPr>
            <w:r w:rsidRPr="00F1559C">
              <w:rPr>
                <w:rFonts w:ascii="Arial Narrow" w:eastAsia="Times New Roman" w:hAnsi="Arial Narrow" w:cs="Arial"/>
                <w:b/>
                <w:bCs/>
                <w:sz w:val="16"/>
                <w:szCs w:val="16"/>
                <w:lang w:eastAsia="pt-BR"/>
              </w:rPr>
              <w:t>TRANSFERÊNCIAS FINANCEIRAS CONCEDIDAS (VII)</w:t>
            </w:r>
          </w:p>
        </w:tc>
        <w:tc>
          <w:tcPr>
            <w:tcW w:w="1285" w:type="dxa"/>
            <w:gridSpan w:val="2"/>
            <w:tcBorders>
              <w:top w:val="nil"/>
              <w:left w:val="nil"/>
              <w:bottom w:val="nil"/>
              <w:right w:val="single" w:sz="8" w:space="0" w:color="auto"/>
            </w:tcBorders>
            <w:shd w:val="clear" w:color="auto" w:fill="auto"/>
            <w:vAlign w:val="center"/>
            <w:hideMark/>
          </w:tcPr>
          <w:p w14:paraId="70E1EFE1" w14:textId="77777777" w:rsidR="000B19AE" w:rsidRPr="00F1559C" w:rsidRDefault="000B19AE" w:rsidP="000B19AE">
            <w:pPr>
              <w:spacing w:after="0" w:line="240" w:lineRule="auto"/>
              <w:jc w:val="center"/>
              <w:rPr>
                <w:rFonts w:ascii="Arial Narrow" w:eastAsia="Times New Roman" w:hAnsi="Arial Narrow" w:cs="Arial"/>
                <w:b/>
                <w:bCs/>
                <w:sz w:val="16"/>
                <w:szCs w:val="16"/>
                <w:lang w:eastAsia="pt-BR"/>
              </w:rPr>
            </w:pPr>
            <w:r w:rsidRPr="00F1559C">
              <w:rPr>
                <w:rFonts w:ascii="Arial Narrow" w:eastAsia="Times New Roman" w:hAnsi="Arial Narrow" w:cs="Arial"/>
                <w:b/>
                <w:bCs/>
                <w:sz w:val="16"/>
                <w:szCs w:val="16"/>
                <w:lang w:eastAsia="pt-BR"/>
              </w:rPr>
              <w:t>BFI.G056</w:t>
            </w:r>
          </w:p>
        </w:tc>
        <w:tc>
          <w:tcPr>
            <w:tcW w:w="1276" w:type="dxa"/>
            <w:gridSpan w:val="2"/>
            <w:tcBorders>
              <w:top w:val="nil"/>
              <w:left w:val="nil"/>
              <w:bottom w:val="nil"/>
              <w:right w:val="single" w:sz="8" w:space="0" w:color="auto"/>
            </w:tcBorders>
            <w:shd w:val="clear" w:color="auto" w:fill="auto"/>
            <w:vAlign w:val="center"/>
            <w:hideMark/>
          </w:tcPr>
          <w:p w14:paraId="26BC8D57" w14:textId="77777777" w:rsidR="000B19AE" w:rsidRPr="00F1559C" w:rsidRDefault="000B19AE" w:rsidP="000B19AE">
            <w:pPr>
              <w:spacing w:after="0" w:line="240" w:lineRule="auto"/>
              <w:jc w:val="center"/>
              <w:rPr>
                <w:rFonts w:ascii="Arial Narrow" w:eastAsia="Times New Roman" w:hAnsi="Arial Narrow" w:cs="Arial"/>
                <w:b/>
                <w:bCs/>
                <w:sz w:val="16"/>
                <w:szCs w:val="16"/>
                <w:lang w:eastAsia="pt-BR"/>
              </w:rPr>
            </w:pPr>
            <w:r w:rsidRPr="00F1559C">
              <w:rPr>
                <w:rFonts w:ascii="Arial Narrow" w:eastAsia="Times New Roman" w:hAnsi="Arial Narrow" w:cs="Arial"/>
                <w:b/>
                <w:bCs/>
                <w:sz w:val="16"/>
                <w:szCs w:val="16"/>
                <w:lang w:eastAsia="pt-BR"/>
              </w:rPr>
              <w:t>BFI.H056</w:t>
            </w:r>
          </w:p>
        </w:tc>
      </w:tr>
      <w:tr w:rsidR="000B19AE" w:rsidRPr="003042F6" w14:paraId="334EE472" w14:textId="77777777" w:rsidTr="00E450A4">
        <w:trPr>
          <w:trHeight w:val="255"/>
        </w:trPr>
        <w:tc>
          <w:tcPr>
            <w:tcW w:w="4820" w:type="dxa"/>
            <w:gridSpan w:val="2"/>
            <w:tcBorders>
              <w:top w:val="nil"/>
              <w:left w:val="single" w:sz="8" w:space="0" w:color="auto"/>
              <w:bottom w:val="nil"/>
              <w:right w:val="single" w:sz="8" w:space="0" w:color="auto"/>
            </w:tcBorders>
            <w:shd w:val="clear" w:color="auto" w:fill="auto"/>
            <w:noWrap/>
            <w:vAlign w:val="center"/>
            <w:hideMark/>
          </w:tcPr>
          <w:p w14:paraId="1A10AD79" w14:textId="77777777" w:rsidR="000B19AE" w:rsidRPr="00F1559C" w:rsidRDefault="000B19AE" w:rsidP="000B19AE">
            <w:pPr>
              <w:spacing w:after="0" w:line="240" w:lineRule="auto"/>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 xml:space="preserve">   Transferências Recebidas para a Execução Orçamentária</w:t>
            </w:r>
          </w:p>
        </w:tc>
        <w:tc>
          <w:tcPr>
            <w:tcW w:w="1134" w:type="dxa"/>
            <w:tcBorders>
              <w:top w:val="nil"/>
              <w:left w:val="nil"/>
              <w:bottom w:val="nil"/>
              <w:right w:val="single" w:sz="8" w:space="0" w:color="auto"/>
            </w:tcBorders>
            <w:shd w:val="clear" w:color="auto" w:fill="auto"/>
            <w:vAlign w:val="center"/>
            <w:hideMark/>
          </w:tcPr>
          <w:p w14:paraId="0CDBAAB1" w14:textId="77777777" w:rsidR="000B19AE" w:rsidRPr="00F1559C" w:rsidRDefault="000B19AE" w:rsidP="000B19AE">
            <w:pPr>
              <w:spacing w:after="0" w:line="240" w:lineRule="auto"/>
              <w:jc w:val="center"/>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BFI.C057</w:t>
            </w:r>
          </w:p>
        </w:tc>
        <w:tc>
          <w:tcPr>
            <w:tcW w:w="1276" w:type="dxa"/>
            <w:tcBorders>
              <w:top w:val="nil"/>
              <w:left w:val="nil"/>
              <w:bottom w:val="nil"/>
              <w:right w:val="single" w:sz="8" w:space="0" w:color="auto"/>
            </w:tcBorders>
            <w:shd w:val="clear" w:color="auto" w:fill="auto"/>
            <w:vAlign w:val="center"/>
            <w:hideMark/>
          </w:tcPr>
          <w:p w14:paraId="622FF076" w14:textId="77777777" w:rsidR="000B19AE" w:rsidRPr="00F1559C" w:rsidRDefault="000B19AE" w:rsidP="000B19AE">
            <w:pPr>
              <w:spacing w:after="0" w:line="240" w:lineRule="auto"/>
              <w:jc w:val="center"/>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BFI.D057</w:t>
            </w:r>
          </w:p>
        </w:tc>
        <w:tc>
          <w:tcPr>
            <w:tcW w:w="4243" w:type="dxa"/>
            <w:tcBorders>
              <w:top w:val="nil"/>
              <w:left w:val="nil"/>
              <w:bottom w:val="nil"/>
              <w:right w:val="single" w:sz="8" w:space="0" w:color="auto"/>
            </w:tcBorders>
            <w:shd w:val="clear" w:color="auto" w:fill="auto"/>
            <w:noWrap/>
            <w:vAlign w:val="center"/>
            <w:hideMark/>
          </w:tcPr>
          <w:p w14:paraId="6428C67E" w14:textId="77777777" w:rsidR="000B19AE" w:rsidRPr="00F1559C" w:rsidRDefault="000B19AE" w:rsidP="000B19AE">
            <w:pPr>
              <w:spacing w:after="0" w:line="240" w:lineRule="auto"/>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 xml:space="preserve">   Transferências Concedidas para a Execução Orçamentária</w:t>
            </w:r>
          </w:p>
        </w:tc>
        <w:tc>
          <w:tcPr>
            <w:tcW w:w="1285" w:type="dxa"/>
            <w:gridSpan w:val="2"/>
            <w:tcBorders>
              <w:top w:val="nil"/>
              <w:left w:val="nil"/>
              <w:bottom w:val="nil"/>
              <w:right w:val="single" w:sz="8" w:space="0" w:color="auto"/>
            </w:tcBorders>
            <w:shd w:val="clear" w:color="auto" w:fill="auto"/>
            <w:vAlign w:val="center"/>
            <w:hideMark/>
          </w:tcPr>
          <w:p w14:paraId="0B53B1A2" w14:textId="77777777" w:rsidR="000B19AE" w:rsidRPr="00F1559C" w:rsidRDefault="000B19AE" w:rsidP="000B19AE">
            <w:pPr>
              <w:spacing w:after="0" w:line="240" w:lineRule="auto"/>
              <w:jc w:val="center"/>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BFI.G057</w:t>
            </w:r>
          </w:p>
        </w:tc>
        <w:tc>
          <w:tcPr>
            <w:tcW w:w="1276" w:type="dxa"/>
            <w:gridSpan w:val="2"/>
            <w:tcBorders>
              <w:top w:val="nil"/>
              <w:left w:val="nil"/>
              <w:bottom w:val="nil"/>
              <w:right w:val="single" w:sz="8" w:space="0" w:color="auto"/>
            </w:tcBorders>
            <w:shd w:val="clear" w:color="auto" w:fill="auto"/>
            <w:vAlign w:val="center"/>
            <w:hideMark/>
          </w:tcPr>
          <w:p w14:paraId="24D24FDF" w14:textId="77777777" w:rsidR="000B19AE" w:rsidRPr="00F1559C" w:rsidRDefault="000B19AE" w:rsidP="000B19AE">
            <w:pPr>
              <w:spacing w:after="0" w:line="240" w:lineRule="auto"/>
              <w:jc w:val="center"/>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BFI.H057</w:t>
            </w:r>
          </w:p>
        </w:tc>
      </w:tr>
      <w:tr w:rsidR="000B19AE" w:rsidRPr="003042F6" w14:paraId="614F63D0" w14:textId="77777777" w:rsidTr="00E450A4">
        <w:trPr>
          <w:trHeight w:val="255"/>
        </w:trPr>
        <w:tc>
          <w:tcPr>
            <w:tcW w:w="4820" w:type="dxa"/>
            <w:gridSpan w:val="2"/>
            <w:tcBorders>
              <w:top w:val="nil"/>
              <w:left w:val="single" w:sz="8" w:space="0" w:color="auto"/>
              <w:bottom w:val="nil"/>
              <w:right w:val="single" w:sz="8" w:space="0" w:color="auto"/>
            </w:tcBorders>
            <w:shd w:val="clear" w:color="auto" w:fill="auto"/>
            <w:noWrap/>
            <w:vAlign w:val="center"/>
            <w:hideMark/>
          </w:tcPr>
          <w:p w14:paraId="749EB95C" w14:textId="77777777" w:rsidR="000B19AE" w:rsidRPr="00F1559C" w:rsidRDefault="000B19AE" w:rsidP="000B19AE">
            <w:pPr>
              <w:spacing w:after="0" w:line="240" w:lineRule="auto"/>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 xml:space="preserve">   Transferências Recebidas Independentes de Execução Orçamentária</w:t>
            </w:r>
          </w:p>
        </w:tc>
        <w:tc>
          <w:tcPr>
            <w:tcW w:w="1134" w:type="dxa"/>
            <w:tcBorders>
              <w:top w:val="nil"/>
              <w:left w:val="nil"/>
              <w:bottom w:val="nil"/>
              <w:right w:val="single" w:sz="8" w:space="0" w:color="auto"/>
            </w:tcBorders>
            <w:shd w:val="clear" w:color="auto" w:fill="auto"/>
            <w:vAlign w:val="center"/>
            <w:hideMark/>
          </w:tcPr>
          <w:p w14:paraId="0839F75C" w14:textId="77777777" w:rsidR="000B19AE" w:rsidRPr="00F1559C" w:rsidRDefault="000B19AE" w:rsidP="000B19AE">
            <w:pPr>
              <w:spacing w:after="0" w:line="240" w:lineRule="auto"/>
              <w:jc w:val="center"/>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BFI.C058</w:t>
            </w:r>
          </w:p>
        </w:tc>
        <w:tc>
          <w:tcPr>
            <w:tcW w:w="1276" w:type="dxa"/>
            <w:tcBorders>
              <w:top w:val="nil"/>
              <w:left w:val="nil"/>
              <w:bottom w:val="nil"/>
              <w:right w:val="single" w:sz="8" w:space="0" w:color="auto"/>
            </w:tcBorders>
            <w:shd w:val="clear" w:color="auto" w:fill="auto"/>
            <w:vAlign w:val="center"/>
            <w:hideMark/>
          </w:tcPr>
          <w:p w14:paraId="32D33E7E" w14:textId="77777777" w:rsidR="000B19AE" w:rsidRPr="00F1559C" w:rsidRDefault="000B19AE" w:rsidP="000B19AE">
            <w:pPr>
              <w:spacing w:after="0" w:line="240" w:lineRule="auto"/>
              <w:jc w:val="center"/>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BFI.D058</w:t>
            </w:r>
          </w:p>
        </w:tc>
        <w:tc>
          <w:tcPr>
            <w:tcW w:w="4243" w:type="dxa"/>
            <w:tcBorders>
              <w:top w:val="nil"/>
              <w:left w:val="nil"/>
              <w:bottom w:val="nil"/>
              <w:right w:val="single" w:sz="8" w:space="0" w:color="auto"/>
            </w:tcBorders>
            <w:shd w:val="clear" w:color="auto" w:fill="auto"/>
            <w:noWrap/>
            <w:vAlign w:val="center"/>
            <w:hideMark/>
          </w:tcPr>
          <w:p w14:paraId="6D1138D8" w14:textId="77777777" w:rsidR="000B19AE" w:rsidRPr="00F1559C" w:rsidRDefault="000B19AE" w:rsidP="000B19AE">
            <w:pPr>
              <w:spacing w:after="0" w:line="240" w:lineRule="auto"/>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 xml:space="preserve">   Transferências Concedidas Independentes de Execução Orçamentária</w:t>
            </w:r>
          </w:p>
        </w:tc>
        <w:tc>
          <w:tcPr>
            <w:tcW w:w="1285" w:type="dxa"/>
            <w:gridSpan w:val="2"/>
            <w:tcBorders>
              <w:top w:val="nil"/>
              <w:left w:val="nil"/>
              <w:bottom w:val="nil"/>
              <w:right w:val="single" w:sz="8" w:space="0" w:color="auto"/>
            </w:tcBorders>
            <w:shd w:val="clear" w:color="auto" w:fill="auto"/>
            <w:vAlign w:val="center"/>
            <w:hideMark/>
          </w:tcPr>
          <w:p w14:paraId="48BEA4D7" w14:textId="77777777" w:rsidR="000B19AE" w:rsidRPr="00F1559C" w:rsidRDefault="000B19AE" w:rsidP="000B19AE">
            <w:pPr>
              <w:spacing w:after="0" w:line="240" w:lineRule="auto"/>
              <w:jc w:val="center"/>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BFI.G058</w:t>
            </w:r>
          </w:p>
        </w:tc>
        <w:tc>
          <w:tcPr>
            <w:tcW w:w="1276" w:type="dxa"/>
            <w:gridSpan w:val="2"/>
            <w:tcBorders>
              <w:top w:val="nil"/>
              <w:left w:val="nil"/>
              <w:bottom w:val="nil"/>
              <w:right w:val="single" w:sz="8" w:space="0" w:color="auto"/>
            </w:tcBorders>
            <w:shd w:val="clear" w:color="auto" w:fill="auto"/>
            <w:vAlign w:val="center"/>
            <w:hideMark/>
          </w:tcPr>
          <w:p w14:paraId="54C69502" w14:textId="77777777" w:rsidR="000B19AE" w:rsidRPr="00F1559C" w:rsidRDefault="000B19AE" w:rsidP="000B19AE">
            <w:pPr>
              <w:spacing w:after="0" w:line="240" w:lineRule="auto"/>
              <w:jc w:val="center"/>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BFI.H058</w:t>
            </w:r>
          </w:p>
        </w:tc>
      </w:tr>
      <w:tr w:rsidR="000B19AE" w:rsidRPr="003042F6" w14:paraId="581C734F" w14:textId="77777777" w:rsidTr="00E450A4">
        <w:trPr>
          <w:trHeight w:val="255"/>
        </w:trPr>
        <w:tc>
          <w:tcPr>
            <w:tcW w:w="4820" w:type="dxa"/>
            <w:gridSpan w:val="2"/>
            <w:tcBorders>
              <w:top w:val="nil"/>
              <w:left w:val="single" w:sz="8" w:space="0" w:color="auto"/>
              <w:bottom w:val="nil"/>
              <w:right w:val="single" w:sz="8" w:space="0" w:color="auto"/>
            </w:tcBorders>
            <w:shd w:val="clear" w:color="auto" w:fill="auto"/>
            <w:noWrap/>
            <w:vAlign w:val="center"/>
            <w:hideMark/>
          </w:tcPr>
          <w:p w14:paraId="3DB50698" w14:textId="77777777" w:rsidR="000B19AE" w:rsidRPr="00F1559C" w:rsidRDefault="000B19AE" w:rsidP="000B19AE">
            <w:pPr>
              <w:spacing w:after="0" w:line="240" w:lineRule="auto"/>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 xml:space="preserve">   Transferências Recebidas para Aportes de Recursos para o RPPS</w:t>
            </w:r>
          </w:p>
        </w:tc>
        <w:tc>
          <w:tcPr>
            <w:tcW w:w="1134" w:type="dxa"/>
            <w:tcBorders>
              <w:top w:val="nil"/>
              <w:left w:val="nil"/>
              <w:bottom w:val="nil"/>
              <w:right w:val="single" w:sz="8" w:space="0" w:color="auto"/>
            </w:tcBorders>
            <w:shd w:val="clear" w:color="auto" w:fill="auto"/>
            <w:vAlign w:val="center"/>
            <w:hideMark/>
          </w:tcPr>
          <w:p w14:paraId="64CABB80" w14:textId="77777777" w:rsidR="000B19AE" w:rsidRPr="00F1559C" w:rsidRDefault="000B19AE" w:rsidP="000B19AE">
            <w:pPr>
              <w:spacing w:after="0" w:line="240" w:lineRule="auto"/>
              <w:jc w:val="center"/>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BFI.C059</w:t>
            </w:r>
          </w:p>
        </w:tc>
        <w:tc>
          <w:tcPr>
            <w:tcW w:w="1276" w:type="dxa"/>
            <w:tcBorders>
              <w:top w:val="nil"/>
              <w:left w:val="nil"/>
              <w:bottom w:val="nil"/>
              <w:right w:val="single" w:sz="8" w:space="0" w:color="auto"/>
            </w:tcBorders>
            <w:shd w:val="clear" w:color="auto" w:fill="auto"/>
            <w:vAlign w:val="center"/>
            <w:hideMark/>
          </w:tcPr>
          <w:p w14:paraId="508805E0" w14:textId="77777777" w:rsidR="000B19AE" w:rsidRPr="00F1559C" w:rsidRDefault="000B19AE" w:rsidP="000B19AE">
            <w:pPr>
              <w:spacing w:after="0" w:line="240" w:lineRule="auto"/>
              <w:jc w:val="center"/>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BFI.D059</w:t>
            </w:r>
          </w:p>
        </w:tc>
        <w:tc>
          <w:tcPr>
            <w:tcW w:w="4243" w:type="dxa"/>
            <w:tcBorders>
              <w:top w:val="nil"/>
              <w:left w:val="nil"/>
              <w:bottom w:val="nil"/>
              <w:right w:val="single" w:sz="8" w:space="0" w:color="auto"/>
            </w:tcBorders>
            <w:shd w:val="clear" w:color="auto" w:fill="auto"/>
            <w:noWrap/>
            <w:vAlign w:val="center"/>
            <w:hideMark/>
          </w:tcPr>
          <w:p w14:paraId="0D563D31" w14:textId="77777777" w:rsidR="000B19AE" w:rsidRPr="00F1559C" w:rsidRDefault="000B19AE" w:rsidP="000B19AE">
            <w:pPr>
              <w:spacing w:after="0" w:line="240" w:lineRule="auto"/>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 xml:space="preserve">   Transferências Concedidas para Aportes de Recursos para o RPPS</w:t>
            </w:r>
          </w:p>
        </w:tc>
        <w:tc>
          <w:tcPr>
            <w:tcW w:w="1285" w:type="dxa"/>
            <w:gridSpan w:val="2"/>
            <w:tcBorders>
              <w:top w:val="nil"/>
              <w:left w:val="nil"/>
              <w:bottom w:val="nil"/>
              <w:right w:val="single" w:sz="8" w:space="0" w:color="auto"/>
            </w:tcBorders>
            <w:shd w:val="clear" w:color="auto" w:fill="auto"/>
            <w:vAlign w:val="center"/>
            <w:hideMark/>
          </w:tcPr>
          <w:p w14:paraId="407639F9" w14:textId="77777777" w:rsidR="000B19AE" w:rsidRPr="00F1559C" w:rsidRDefault="000B19AE" w:rsidP="000B19AE">
            <w:pPr>
              <w:spacing w:after="0" w:line="240" w:lineRule="auto"/>
              <w:jc w:val="center"/>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BFI.G059</w:t>
            </w:r>
          </w:p>
        </w:tc>
        <w:tc>
          <w:tcPr>
            <w:tcW w:w="1276" w:type="dxa"/>
            <w:gridSpan w:val="2"/>
            <w:tcBorders>
              <w:top w:val="nil"/>
              <w:left w:val="nil"/>
              <w:bottom w:val="nil"/>
              <w:right w:val="single" w:sz="8" w:space="0" w:color="auto"/>
            </w:tcBorders>
            <w:shd w:val="clear" w:color="auto" w:fill="auto"/>
            <w:vAlign w:val="center"/>
            <w:hideMark/>
          </w:tcPr>
          <w:p w14:paraId="129ACFA4" w14:textId="77777777" w:rsidR="000B19AE" w:rsidRPr="00F1559C" w:rsidRDefault="000B19AE" w:rsidP="000B19AE">
            <w:pPr>
              <w:spacing w:after="0" w:line="240" w:lineRule="auto"/>
              <w:jc w:val="center"/>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BFI.H059</w:t>
            </w:r>
          </w:p>
        </w:tc>
      </w:tr>
      <w:tr w:rsidR="000B19AE" w:rsidRPr="003042F6" w14:paraId="3F6DB77A" w14:textId="77777777" w:rsidTr="00E450A4">
        <w:trPr>
          <w:trHeight w:val="255"/>
        </w:trPr>
        <w:tc>
          <w:tcPr>
            <w:tcW w:w="4820" w:type="dxa"/>
            <w:gridSpan w:val="2"/>
            <w:tcBorders>
              <w:top w:val="nil"/>
              <w:left w:val="single" w:sz="8" w:space="0" w:color="auto"/>
              <w:bottom w:val="nil"/>
              <w:right w:val="single" w:sz="8" w:space="0" w:color="auto"/>
            </w:tcBorders>
            <w:shd w:val="clear" w:color="auto" w:fill="auto"/>
            <w:noWrap/>
            <w:vAlign w:val="center"/>
            <w:hideMark/>
          </w:tcPr>
          <w:p w14:paraId="56808865" w14:textId="77777777" w:rsidR="000B19AE" w:rsidRPr="00F1559C" w:rsidRDefault="000B19AE" w:rsidP="000B19AE">
            <w:pPr>
              <w:spacing w:after="0" w:line="240" w:lineRule="auto"/>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 </w:t>
            </w:r>
          </w:p>
        </w:tc>
        <w:tc>
          <w:tcPr>
            <w:tcW w:w="1134" w:type="dxa"/>
            <w:tcBorders>
              <w:top w:val="nil"/>
              <w:left w:val="nil"/>
              <w:bottom w:val="nil"/>
              <w:right w:val="single" w:sz="8" w:space="0" w:color="auto"/>
            </w:tcBorders>
            <w:shd w:val="clear" w:color="auto" w:fill="auto"/>
            <w:vAlign w:val="center"/>
            <w:hideMark/>
          </w:tcPr>
          <w:p w14:paraId="1BFD7DB5" w14:textId="77777777" w:rsidR="000B19AE" w:rsidRPr="00F1559C" w:rsidRDefault="000B19AE" w:rsidP="000B19AE">
            <w:pPr>
              <w:spacing w:after="0" w:line="240" w:lineRule="auto"/>
              <w:jc w:val="center"/>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 </w:t>
            </w:r>
          </w:p>
        </w:tc>
        <w:tc>
          <w:tcPr>
            <w:tcW w:w="1276" w:type="dxa"/>
            <w:tcBorders>
              <w:top w:val="nil"/>
              <w:left w:val="nil"/>
              <w:bottom w:val="nil"/>
              <w:right w:val="single" w:sz="8" w:space="0" w:color="auto"/>
            </w:tcBorders>
            <w:shd w:val="clear" w:color="auto" w:fill="auto"/>
            <w:vAlign w:val="center"/>
            <w:hideMark/>
          </w:tcPr>
          <w:p w14:paraId="66CC5B9F" w14:textId="77777777" w:rsidR="000B19AE" w:rsidRPr="00F1559C" w:rsidRDefault="000B19AE" w:rsidP="000B19AE">
            <w:pPr>
              <w:spacing w:after="0" w:line="240" w:lineRule="auto"/>
              <w:jc w:val="center"/>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 </w:t>
            </w:r>
          </w:p>
        </w:tc>
        <w:tc>
          <w:tcPr>
            <w:tcW w:w="4243" w:type="dxa"/>
            <w:tcBorders>
              <w:top w:val="nil"/>
              <w:left w:val="nil"/>
              <w:bottom w:val="nil"/>
              <w:right w:val="single" w:sz="8" w:space="0" w:color="auto"/>
            </w:tcBorders>
            <w:shd w:val="clear" w:color="auto" w:fill="auto"/>
            <w:hideMark/>
          </w:tcPr>
          <w:p w14:paraId="48E3DEEB" w14:textId="77777777" w:rsidR="000B19AE" w:rsidRPr="00F1559C" w:rsidRDefault="000B19AE" w:rsidP="000B19AE">
            <w:pPr>
              <w:spacing w:after="0" w:line="240" w:lineRule="auto"/>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 </w:t>
            </w:r>
          </w:p>
        </w:tc>
        <w:tc>
          <w:tcPr>
            <w:tcW w:w="1285" w:type="dxa"/>
            <w:gridSpan w:val="2"/>
            <w:tcBorders>
              <w:top w:val="nil"/>
              <w:left w:val="nil"/>
              <w:bottom w:val="nil"/>
              <w:right w:val="single" w:sz="8" w:space="0" w:color="auto"/>
            </w:tcBorders>
            <w:shd w:val="clear" w:color="auto" w:fill="auto"/>
            <w:vAlign w:val="center"/>
            <w:hideMark/>
          </w:tcPr>
          <w:p w14:paraId="68EBB662" w14:textId="77777777" w:rsidR="000B19AE" w:rsidRPr="00F1559C" w:rsidRDefault="000B19AE" w:rsidP="000B19AE">
            <w:pPr>
              <w:spacing w:after="0" w:line="240" w:lineRule="auto"/>
              <w:jc w:val="center"/>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 </w:t>
            </w:r>
          </w:p>
        </w:tc>
        <w:tc>
          <w:tcPr>
            <w:tcW w:w="1276" w:type="dxa"/>
            <w:gridSpan w:val="2"/>
            <w:tcBorders>
              <w:top w:val="nil"/>
              <w:left w:val="nil"/>
              <w:bottom w:val="nil"/>
              <w:right w:val="single" w:sz="8" w:space="0" w:color="auto"/>
            </w:tcBorders>
            <w:shd w:val="clear" w:color="auto" w:fill="auto"/>
            <w:vAlign w:val="center"/>
            <w:hideMark/>
          </w:tcPr>
          <w:p w14:paraId="35C0C5B6" w14:textId="77777777" w:rsidR="000B19AE" w:rsidRPr="00F1559C" w:rsidRDefault="000B19AE" w:rsidP="000B19AE">
            <w:pPr>
              <w:spacing w:after="0" w:line="240" w:lineRule="auto"/>
              <w:jc w:val="center"/>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 </w:t>
            </w:r>
          </w:p>
        </w:tc>
      </w:tr>
      <w:tr w:rsidR="000B19AE" w:rsidRPr="003042F6" w14:paraId="215F10D1" w14:textId="77777777" w:rsidTr="00E450A4">
        <w:trPr>
          <w:trHeight w:val="255"/>
        </w:trPr>
        <w:tc>
          <w:tcPr>
            <w:tcW w:w="4820" w:type="dxa"/>
            <w:gridSpan w:val="2"/>
            <w:tcBorders>
              <w:top w:val="nil"/>
              <w:left w:val="single" w:sz="8" w:space="0" w:color="auto"/>
              <w:bottom w:val="nil"/>
              <w:right w:val="single" w:sz="8" w:space="0" w:color="auto"/>
            </w:tcBorders>
            <w:shd w:val="clear" w:color="auto" w:fill="auto"/>
            <w:noWrap/>
            <w:vAlign w:val="center"/>
            <w:hideMark/>
          </w:tcPr>
          <w:p w14:paraId="6F248D6C" w14:textId="77777777" w:rsidR="000B19AE" w:rsidRPr="00F1559C" w:rsidRDefault="000B19AE" w:rsidP="000B19AE">
            <w:pPr>
              <w:spacing w:after="0" w:line="240" w:lineRule="auto"/>
              <w:rPr>
                <w:rFonts w:ascii="Arial Narrow" w:eastAsia="Times New Roman" w:hAnsi="Arial Narrow" w:cs="Arial"/>
                <w:b/>
                <w:bCs/>
                <w:sz w:val="16"/>
                <w:szCs w:val="16"/>
                <w:lang w:eastAsia="pt-BR"/>
              </w:rPr>
            </w:pPr>
            <w:r w:rsidRPr="00F1559C">
              <w:rPr>
                <w:rFonts w:ascii="Arial Narrow" w:eastAsia="Times New Roman" w:hAnsi="Arial Narrow" w:cs="Arial"/>
                <w:b/>
                <w:bCs/>
                <w:sz w:val="16"/>
                <w:szCs w:val="16"/>
                <w:lang w:eastAsia="pt-BR"/>
              </w:rPr>
              <w:t>RECEBIMENTOS EXTRAORÇAMENTÁRIOS (III)</w:t>
            </w:r>
          </w:p>
        </w:tc>
        <w:tc>
          <w:tcPr>
            <w:tcW w:w="1134" w:type="dxa"/>
            <w:tcBorders>
              <w:top w:val="nil"/>
              <w:left w:val="nil"/>
              <w:bottom w:val="nil"/>
              <w:right w:val="single" w:sz="8" w:space="0" w:color="auto"/>
            </w:tcBorders>
            <w:shd w:val="clear" w:color="auto" w:fill="auto"/>
            <w:vAlign w:val="center"/>
            <w:hideMark/>
          </w:tcPr>
          <w:p w14:paraId="68525AB9" w14:textId="77777777" w:rsidR="000B19AE" w:rsidRPr="00F1559C" w:rsidRDefault="000B19AE" w:rsidP="000B19AE">
            <w:pPr>
              <w:spacing w:after="0" w:line="240" w:lineRule="auto"/>
              <w:jc w:val="center"/>
              <w:rPr>
                <w:rFonts w:ascii="Arial Narrow" w:eastAsia="Times New Roman" w:hAnsi="Arial Narrow" w:cs="Arial"/>
                <w:b/>
                <w:bCs/>
                <w:sz w:val="16"/>
                <w:szCs w:val="16"/>
                <w:lang w:eastAsia="pt-BR"/>
              </w:rPr>
            </w:pPr>
            <w:r w:rsidRPr="00F1559C">
              <w:rPr>
                <w:rFonts w:ascii="Arial Narrow" w:eastAsia="Times New Roman" w:hAnsi="Arial Narrow" w:cs="Arial"/>
                <w:b/>
                <w:bCs/>
                <w:sz w:val="16"/>
                <w:szCs w:val="16"/>
                <w:lang w:eastAsia="pt-BR"/>
              </w:rPr>
              <w:t>BFI.C061</w:t>
            </w:r>
          </w:p>
        </w:tc>
        <w:tc>
          <w:tcPr>
            <w:tcW w:w="1276" w:type="dxa"/>
            <w:tcBorders>
              <w:top w:val="nil"/>
              <w:left w:val="nil"/>
              <w:bottom w:val="nil"/>
              <w:right w:val="single" w:sz="8" w:space="0" w:color="auto"/>
            </w:tcBorders>
            <w:shd w:val="clear" w:color="auto" w:fill="auto"/>
            <w:vAlign w:val="center"/>
            <w:hideMark/>
          </w:tcPr>
          <w:p w14:paraId="3A6F5A07" w14:textId="77777777" w:rsidR="000B19AE" w:rsidRPr="00F1559C" w:rsidRDefault="000B19AE" w:rsidP="000B19AE">
            <w:pPr>
              <w:spacing w:after="0" w:line="240" w:lineRule="auto"/>
              <w:jc w:val="center"/>
              <w:rPr>
                <w:rFonts w:ascii="Arial Narrow" w:eastAsia="Times New Roman" w:hAnsi="Arial Narrow" w:cs="Arial"/>
                <w:b/>
                <w:bCs/>
                <w:sz w:val="16"/>
                <w:szCs w:val="16"/>
                <w:lang w:eastAsia="pt-BR"/>
              </w:rPr>
            </w:pPr>
            <w:r w:rsidRPr="00F1559C">
              <w:rPr>
                <w:rFonts w:ascii="Arial Narrow" w:eastAsia="Times New Roman" w:hAnsi="Arial Narrow" w:cs="Arial"/>
                <w:b/>
                <w:bCs/>
                <w:sz w:val="16"/>
                <w:szCs w:val="16"/>
                <w:lang w:eastAsia="pt-BR"/>
              </w:rPr>
              <w:t>BFI.D061</w:t>
            </w:r>
          </w:p>
        </w:tc>
        <w:tc>
          <w:tcPr>
            <w:tcW w:w="4243" w:type="dxa"/>
            <w:tcBorders>
              <w:top w:val="nil"/>
              <w:left w:val="nil"/>
              <w:bottom w:val="nil"/>
              <w:right w:val="single" w:sz="8" w:space="0" w:color="auto"/>
            </w:tcBorders>
            <w:shd w:val="clear" w:color="auto" w:fill="auto"/>
            <w:noWrap/>
            <w:vAlign w:val="center"/>
            <w:hideMark/>
          </w:tcPr>
          <w:p w14:paraId="5CDD8AD2" w14:textId="77777777" w:rsidR="000B19AE" w:rsidRPr="00F1559C" w:rsidRDefault="000B19AE" w:rsidP="000B19AE">
            <w:pPr>
              <w:spacing w:after="0" w:line="240" w:lineRule="auto"/>
              <w:rPr>
                <w:rFonts w:ascii="Arial Narrow" w:eastAsia="Times New Roman" w:hAnsi="Arial Narrow" w:cs="Arial"/>
                <w:b/>
                <w:bCs/>
                <w:sz w:val="16"/>
                <w:szCs w:val="16"/>
                <w:lang w:eastAsia="pt-BR"/>
              </w:rPr>
            </w:pPr>
            <w:r w:rsidRPr="00F1559C">
              <w:rPr>
                <w:rFonts w:ascii="Arial Narrow" w:eastAsia="Times New Roman" w:hAnsi="Arial Narrow" w:cs="Arial"/>
                <w:b/>
                <w:bCs/>
                <w:sz w:val="16"/>
                <w:szCs w:val="16"/>
                <w:lang w:eastAsia="pt-BR"/>
              </w:rPr>
              <w:t>PAGAMENTOS  EXTRAORÇAMENTÁRIOS  (VIII)</w:t>
            </w:r>
          </w:p>
        </w:tc>
        <w:tc>
          <w:tcPr>
            <w:tcW w:w="1285" w:type="dxa"/>
            <w:gridSpan w:val="2"/>
            <w:tcBorders>
              <w:top w:val="nil"/>
              <w:left w:val="nil"/>
              <w:bottom w:val="nil"/>
              <w:right w:val="single" w:sz="8" w:space="0" w:color="auto"/>
            </w:tcBorders>
            <w:shd w:val="clear" w:color="auto" w:fill="auto"/>
            <w:vAlign w:val="center"/>
            <w:hideMark/>
          </w:tcPr>
          <w:p w14:paraId="3A2370AF" w14:textId="77777777" w:rsidR="000B19AE" w:rsidRPr="00F1559C" w:rsidRDefault="000B19AE" w:rsidP="000B19AE">
            <w:pPr>
              <w:spacing w:after="0" w:line="240" w:lineRule="auto"/>
              <w:jc w:val="center"/>
              <w:rPr>
                <w:rFonts w:ascii="Arial Narrow" w:eastAsia="Times New Roman" w:hAnsi="Arial Narrow" w:cs="Arial"/>
                <w:b/>
                <w:bCs/>
                <w:sz w:val="16"/>
                <w:szCs w:val="16"/>
                <w:lang w:eastAsia="pt-BR"/>
              </w:rPr>
            </w:pPr>
            <w:r w:rsidRPr="00F1559C">
              <w:rPr>
                <w:rFonts w:ascii="Arial Narrow" w:eastAsia="Times New Roman" w:hAnsi="Arial Narrow" w:cs="Arial"/>
                <w:b/>
                <w:bCs/>
                <w:sz w:val="16"/>
                <w:szCs w:val="16"/>
                <w:lang w:eastAsia="pt-BR"/>
              </w:rPr>
              <w:t>BFI.G061</w:t>
            </w:r>
          </w:p>
        </w:tc>
        <w:tc>
          <w:tcPr>
            <w:tcW w:w="1276" w:type="dxa"/>
            <w:gridSpan w:val="2"/>
            <w:tcBorders>
              <w:top w:val="nil"/>
              <w:left w:val="nil"/>
              <w:bottom w:val="nil"/>
              <w:right w:val="single" w:sz="8" w:space="0" w:color="auto"/>
            </w:tcBorders>
            <w:shd w:val="clear" w:color="auto" w:fill="auto"/>
            <w:vAlign w:val="center"/>
            <w:hideMark/>
          </w:tcPr>
          <w:p w14:paraId="7CA6AD9B" w14:textId="77777777" w:rsidR="000B19AE" w:rsidRPr="00F1559C" w:rsidRDefault="000B19AE" w:rsidP="000B19AE">
            <w:pPr>
              <w:spacing w:after="0" w:line="240" w:lineRule="auto"/>
              <w:jc w:val="center"/>
              <w:rPr>
                <w:rFonts w:ascii="Arial Narrow" w:eastAsia="Times New Roman" w:hAnsi="Arial Narrow" w:cs="Arial"/>
                <w:b/>
                <w:bCs/>
                <w:sz w:val="16"/>
                <w:szCs w:val="16"/>
                <w:lang w:eastAsia="pt-BR"/>
              </w:rPr>
            </w:pPr>
            <w:r w:rsidRPr="00F1559C">
              <w:rPr>
                <w:rFonts w:ascii="Arial Narrow" w:eastAsia="Times New Roman" w:hAnsi="Arial Narrow" w:cs="Arial"/>
                <w:b/>
                <w:bCs/>
                <w:sz w:val="16"/>
                <w:szCs w:val="16"/>
                <w:lang w:eastAsia="pt-BR"/>
              </w:rPr>
              <w:t>BFI.H061</w:t>
            </w:r>
          </w:p>
        </w:tc>
      </w:tr>
      <w:tr w:rsidR="000B19AE" w:rsidRPr="003042F6" w14:paraId="1722A33A" w14:textId="77777777" w:rsidTr="00E450A4">
        <w:trPr>
          <w:trHeight w:val="255"/>
        </w:trPr>
        <w:tc>
          <w:tcPr>
            <w:tcW w:w="4820" w:type="dxa"/>
            <w:gridSpan w:val="2"/>
            <w:tcBorders>
              <w:top w:val="nil"/>
              <w:left w:val="single" w:sz="8" w:space="0" w:color="auto"/>
              <w:bottom w:val="nil"/>
              <w:right w:val="single" w:sz="8" w:space="0" w:color="auto"/>
            </w:tcBorders>
            <w:shd w:val="clear" w:color="auto" w:fill="auto"/>
            <w:noWrap/>
            <w:vAlign w:val="center"/>
            <w:hideMark/>
          </w:tcPr>
          <w:p w14:paraId="5714DEFE" w14:textId="77777777" w:rsidR="000B19AE" w:rsidRPr="00F1559C" w:rsidRDefault="000B19AE" w:rsidP="000B19AE">
            <w:pPr>
              <w:spacing w:after="0" w:line="240" w:lineRule="auto"/>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 xml:space="preserve">   Incrição de Restos a Pagar Não Processados</w:t>
            </w:r>
          </w:p>
        </w:tc>
        <w:tc>
          <w:tcPr>
            <w:tcW w:w="1134" w:type="dxa"/>
            <w:tcBorders>
              <w:top w:val="nil"/>
              <w:left w:val="nil"/>
              <w:bottom w:val="nil"/>
              <w:right w:val="single" w:sz="8" w:space="0" w:color="auto"/>
            </w:tcBorders>
            <w:shd w:val="clear" w:color="auto" w:fill="auto"/>
            <w:vAlign w:val="center"/>
            <w:hideMark/>
          </w:tcPr>
          <w:p w14:paraId="56BB9189" w14:textId="77777777" w:rsidR="000B19AE" w:rsidRPr="00F1559C" w:rsidRDefault="000B19AE" w:rsidP="000B19AE">
            <w:pPr>
              <w:spacing w:after="0" w:line="240" w:lineRule="auto"/>
              <w:jc w:val="center"/>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BFI.C062</w:t>
            </w:r>
          </w:p>
        </w:tc>
        <w:tc>
          <w:tcPr>
            <w:tcW w:w="1276" w:type="dxa"/>
            <w:tcBorders>
              <w:top w:val="nil"/>
              <w:left w:val="nil"/>
              <w:bottom w:val="nil"/>
              <w:right w:val="single" w:sz="8" w:space="0" w:color="auto"/>
            </w:tcBorders>
            <w:shd w:val="clear" w:color="auto" w:fill="auto"/>
            <w:vAlign w:val="center"/>
            <w:hideMark/>
          </w:tcPr>
          <w:p w14:paraId="74CB17BF" w14:textId="77777777" w:rsidR="000B19AE" w:rsidRPr="00F1559C" w:rsidRDefault="000B19AE" w:rsidP="000B19AE">
            <w:pPr>
              <w:spacing w:after="0" w:line="240" w:lineRule="auto"/>
              <w:jc w:val="center"/>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BFI.D062</w:t>
            </w:r>
          </w:p>
        </w:tc>
        <w:tc>
          <w:tcPr>
            <w:tcW w:w="4243" w:type="dxa"/>
            <w:tcBorders>
              <w:top w:val="nil"/>
              <w:left w:val="nil"/>
              <w:bottom w:val="nil"/>
              <w:right w:val="single" w:sz="8" w:space="0" w:color="auto"/>
            </w:tcBorders>
            <w:shd w:val="clear" w:color="auto" w:fill="auto"/>
            <w:noWrap/>
            <w:vAlign w:val="center"/>
            <w:hideMark/>
          </w:tcPr>
          <w:p w14:paraId="2E5AF891" w14:textId="77777777" w:rsidR="000B19AE" w:rsidRPr="00F1559C" w:rsidRDefault="000B19AE" w:rsidP="000B19AE">
            <w:pPr>
              <w:spacing w:after="0" w:line="240" w:lineRule="auto"/>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 xml:space="preserve">   Pagamento de Restos a Pagar Não Processados</w:t>
            </w:r>
          </w:p>
        </w:tc>
        <w:tc>
          <w:tcPr>
            <w:tcW w:w="1285" w:type="dxa"/>
            <w:gridSpan w:val="2"/>
            <w:tcBorders>
              <w:top w:val="nil"/>
              <w:left w:val="nil"/>
              <w:bottom w:val="nil"/>
              <w:right w:val="single" w:sz="8" w:space="0" w:color="auto"/>
            </w:tcBorders>
            <w:shd w:val="clear" w:color="auto" w:fill="auto"/>
            <w:vAlign w:val="center"/>
            <w:hideMark/>
          </w:tcPr>
          <w:p w14:paraId="72FEA804" w14:textId="77777777" w:rsidR="000B19AE" w:rsidRPr="00F1559C" w:rsidRDefault="000B19AE" w:rsidP="000B19AE">
            <w:pPr>
              <w:spacing w:after="0" w:line="240" w:lineRule="auto"/>
              <w:jc w:val="center"/>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BFI.G062</w:t>
            </w:r>
          </w:p>
        </w:tc>
        <w:tc>
          <w:tcPr>
            <w:tcW w:w="1276" w:type="dxa"/>
            <w:gridSpan w:val="2"/>
            <w:tcBorders>
              <w:top w:val="nil"/>
              <w:left w:val="nil"/>
              <w:bottom w:val="nil"/>
              <w:right w:val="single" w:sz="8" w:space="0" w:color="auto"/>
            </w:tcBorders>
            <w:shd w:val="clear" w:color="auto" w:fill="auto"/>
            <w:vAlign w:val="center"/>
            <w:hideMark/>
          </w:tcPr>
          <w:p w14:paraId="2E809D63" w14:textId="77777777" w:rsidR="000B19AE" w:rsidRPr="00F1559C" w:rsidRDefault="000B19AE" w:rsidP="000B19AE">
            <w:pPr>
              <w:spacing w:after="0" w:line="240" w:lineRule="auto"/>
              <w:jc w:val="center"/>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BFI.H062</w:t>
            </w:r>
          </w:p>
        </w:tc>
      </w:tr>
      <w:tr w:rsidR="000B19AE" w:rsidRPr="003042F6" w14:paraId="6A2E5E73" w14:textId="77777777" w:rsidTr="00E450A4">
        <w:trPr>
          <w:trHeight w:val="255"/>
        </w:trPr>
        <w:tc>
          <w:tcPr>
            <w:tcW w:w="4820" w:type="dxa"/>
            <w:gridSpan w:val="2"/>
            <w:tcBorders>
              <w:top w:val="nil"/>
              <w:left w:val="single" w:sz="8" w:space="0" w:color="auto"/>
              <w:right w:val="single" w:sz="8" w:space="0" w:color="auto"/>
            </w:tcBorders>
            <w:shd w:val="clear" w:color="auto" w:fill="auto"/>
            <w:noWrap/>
            <w:vAlign w:val="center"/>
            <w:hideMark/>
          </w:tcPr>
          <w:p w14:paraId="26DCADC1" w14:textId="77777777" w:rsidR="000B19AE" w:rsidRPr="00F1559C" w:rsidRDefault="000B19AE" w:rsidP="000B19AE">
            <w:pPr>
              <w:spacing w:after="0" w:line="240" w:lineRule="auto"/>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 xml:space="preserve">   Incrição de Restos a Pagar Processados</w:t>
            </w:r>
          </w:p>
        </w:tc>
        <w:tc>
          <w:tcPr>
            <w:tcW w:w="1134" w:type="dxa"/>
            <w:tcBorders>
              <w:top w:val="nil"/>
              <w:left w:val="nil"/>
              <w:right w:val="single" w:sz="8" w:space="0" w:color="auto"/>
            </w:tcBorders>
            <w:shd w:val="clear" w:color="auto" w:fill="auto"/>
            <w:vAlign w:val="center"/>
            <w:hideMark/>
          </w:tcPr>
          <w:p w14:paraId="7B029C1A" w14:textId="77777777" w:rsidR="000B19AE" w:rsidRPr="00F1559C" w:rsidRDefault="000B19AE" w:rsidP="000B19AE">
            <w:pPr>
              <w:spacing w:after="0" w:line="240" w:lineRule="auto"/>
              <w:jc w:val="center"/>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BFI.C063</w:t>
            </w:r>
          </w:p>
        </w:tc>
        <w:tc>
          <w:tcPr>
            <w:tcW w:w="1276" w:type="dxa"/>
            <w:tcBorders>
              <w:top w:val="nil"/>
              <w:left w:val="nil"/>
              <w:right w:val="single" w:sz="8" w:space="0" w:color="auto"/>
            </w:tcBorders>
            <w:shd w:val="clear" w:color="auto" w:fill="auto"/>
            <w:vAlign w:val="center"/>
            <w:hideMark/>
          </w:tcPr>
          <w:p w14:paraId="2E2B8D3A" w14:textId="77777777" w:rsidR="000B19AE" w:rsidRPr="00F1559C" w:rsidRDefault="000B19AE" w:rsidP="000B19AE">
            <w:pPr>
              <w:spacing w:after="0" w:line="240" w:lineRule="auto"/>
              <w:jc w:val="center"/>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BFI.D063</w:t>
            </w:r>
          </w:p>
        </w:tc>
        <w:tc>
          <w:tcPr>
            <w:tcW w:w="4243" w:type="dxa"/>
            <w:tcBorders>
              <w:top w:val="nil"/>
              <w:left w:val="nil"/>
              <w:right w:val="single" w:sz="8" w:space="0" w:color="auto"/>
            </w:tcBorders>
            <w:shd w:val="clear" w:color="auto" w:fill="auto"/>
            <w:noWrap/>
            <w:vAlign w:val="center"/>
            <w:hideMark/>
          </w:tcPr>
          <w:p w14:paraId="57D5C69B" w14:textId="77777777" w:rsidR="000B19AE" w:rsidRPr="00F1559C" w:rsidRDefault="000B19AE" w:rsidP="000B19AE">
            <w:pPr>
              <w:spacing w:after="0" w:line="240" w:lineRule="auto"/>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 xml:space="preserve">   Pagamento de Restos a Pagar Processados</w:t>
            </w:r>
          </w:p>
        </w:tc>
        <w:tc>
          <w:tcPr>
            <w:tcW w:w="1285" w:type="dxa"/>
            <w:gridSpan w:val="2"/>
            <w:tcBorders>
              <w:top w:val="nil"/>
              <w:left w:val="nil"/>
              <w:right w:val="single" w:sz="8" w:space="0" w:color="auto"/>
            </w:tcBorders>
            <w:shd w:val="clear" w:color="auto" w:fill="auto"/>
            <w:vAlign w:val="center"/>
            <w:hideMark/>
          </w:tcPr>
          <w:p w14:paraId="3F310EA9" w14:textId="77777777" w:rsidR="000B19AE" w:rsidRPr="00F1559C" w:rsidRDefault="000B19AE" w:rsidP="000B19AE">
            <w:pPr>
              <w:spacing w:after="0" w:line="240" w:lineRule="auto"/>
              <w:jc w:val="center"/>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BFI.G063</w:t>
            </w:r>
          </w:p>
        </w:tc>
        <w:tc>
          <w:tcPr>
            <w:tcW w:w="1276" w:type="dxa"/>
            <w:gridSpan w:val="2"/>
            <w:tcBorders>
              <w:top w:val="nil"/>
              <w:left w:val="nil"/>
              <w:right w:val="single" w:sz="8" w:space="0" w:color="auto"/>
            </w:tcBorders>
            <w:shd w:val="clear" w:color="auto" w:fill="auto"/>
            <w:vAlign w:val="center"/>
            <w:hideMark/>
          </w:tcPr>
          <w:p w14:paraId="580C47E1" w14:textId="77777777" w:rsidR="000B19AE" w:rsidRPr="00F1559C" w:rsidRDefault="000B19AE" w:rsidP="000B19AE">
            <w:pPr>
              <w:spacing w:after="0" w:line="240" w:lineRule="auto"/>
              <w:jc w:val="center"/>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BFI.H063</w:t>
            </w:r>
          </w:p>
        </w:tc>
      </w:tr>
      <w:tr w:rsidR="000B19AE" w:rsidRPr="003042F6" w14:paraId="30D754A0" w14:textId="77777777" w:rsidTr="00E450A4">
        <w:trPr>
          <w:trHeight w:val="225"/>
        </w:trPr>
        <w:tc>
          <w:tcPr>
            <w:tcW w:w="4820" w:type="dxa"/>
            <w:gridSpan w:val="2"/>
            <w:tcBorders>
              <w:top w:val="nil"/>
              <w:left w:val="single" w:sz="8" w:space="0" w:color="auto"/>
              <w:right w:val="single" w:sz="8" w:space="0" w:color="auto"/>
            </w:tcBorders>
            <w:shd w:val="clear" w:color="auto" w:fill="auto"/>
            <w:noWrap/>
            <w:vAlign w:val="center"/>
            <w:hideMark/>
          </w:tcPr>
          <w:p w14:paraId="0FEA4835" w14:textId="77777777" w:rsidR="000B19AE" w:rsidRPr="00F1559C" w:rsidRDefault="000B19AE" w:rsidP="000B19AE">
            <w:pPr>
              <w:spacing w:after="0" w:line="240" w:lineRule="auto"/>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 xml:space="preserve">   Depósitos Restituíveis e Valores Vinculados</w:t>
            </w:r>
          </w:p>
        </w:tc>
        <w:tc>
          <w:tcPr>
            <w:tcW w:w="1134" w:type="dxa"/>
            <w:tcBorders>
              <w:top w:val="nil"/>
              <w:left w:val="nil"/>
              <w:right w:val="single" w:sz="8" w:space="0" w:color="auto"/>
            </w:tcBorders>
            <w:shd w:val="clear" w:color="auto" w:fill="auto"/>
            <w:vAlign w:val="center"/>
            <w:hideMark/>
          </w:tcPr>
          <w:p w14:paraId="29E0D858" w14:textId="77777777" w:rsidR="000B19AE" w:rsidRPr="00F1559C" w:rsidRDefault="000B19AE" w:rsidP="000B19AE">
            <w:pPr>
              <w:spacing w:after="0" w:line="240" w:lineRule="auto"/>
              <w:jc w:val="center"/>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BFI.C064</w:t>
            </w:r>
          </w:p>
        </w:tc>
        <w:tc>
          <w:tcPr>
            <w:tcW w:w="1276" w:type="dxa"/>
            <w:tcBorders>
              <w:top w:val="nil"/>
              <w:left w:val="nil"/>
              <w:right w:val="single" w:sz="8" w:space="0" w:color="auto"/>
            </w:tcBorders>
            <w:shd w:val="clear" w:color="auto" w:fill="auto"/>
            <w:vAlign w:val="center"/>
            <w:hideMark/>
          </w:tcPr>
          <w:p w14:paraId="31D87F90" w14:textId="77777777" w:rsidR="000B19AE" w:rsidRPr="00F1559C" w:rsidRDefault="000B19AE" w:rsidP="000B19AE">
            <w:pPr>
              <w:spacing w:after="0" w:line="240" w:lineRule="auto"/>
              <w:jc w:val="center"/>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BFI.D064</w:t>
            </w:r>
          </w:p>
        </w:tc>
        <w:tc>
          <w:tcPr>
            <w:tcW w:w="4243" w:type="dxa"/>
            <w:tcBorders>
              <w:top w:val="nil"/>
              <w:left w:val="nil"/>
              <w:right w:val="single" w:sz="8" w:space="0" w:color="auto"/>
            </w:tcBorders>
            <w:shd w:val="clear" w:color="auto" w:fill="auto"/>
            <w:noWrap/>
            <w:vAlign w:val="center"/>
            <w:hideMark/>
          </w:tcPr>
          <w:p w14:paraId="59A277C0" w14:textId="77777777" w:rsidR="000B19AE" w:rsidRPr="00F1559C" w:rsidRDefault="000B19AE" w:rsidP="000B19AE">
            <w:pPr>
              <w:spacing w:after="0" w:line="240" w:lineRule="auto"/>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 xml:space="preserve">   Depósitos Restituíveis e Valores Vinculados</w:t>
            </w:r>
          </w:p>
        </w:tc>
        <w:tc>
          <w:tcPr>
            <w:tcW w:w="1285" w:type="dxa"/>
            <w:gridSpan w:val="2"/>
            <w:tcBorders>
              <w:top w:val="nil"/>
              <w:left w:val="nil"/>
              <w:right w:val="single" w:sz="8" w:space="0" w:color="auto"/>
            </w:tcBorders>
            <w:shd w:val="clear" w:color="auto" w:fill="auto"/>
            <w:vAlign w:val="center"/>
            <w:hideMark/>
          </w:tcPr>
          <w:p w14:paraId="48D8E2AE" w14:textId="77777777" w:rsidR="000B19AE" w:rsidRPr="00F1559C" w:rsidRDefault="000B19AE" w:rsidP="000B19AE">
            <w:pPr>
              <w:spacing w:after="0" w:line="240" w:lineRule="auto"/>
              <w:jc w:val="center"/>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BFI.G064</w:t>
            </w:r>
          </w:p>
        </w:tc>
        <w:tc>
          <w:tcPr>
            <w:tcW w:w="1276" w:type="dxa"/>
            <w:gridSpan w:val="2"/>
            <w:tcBorders>
              <w:top w:val="nil"/>
              <w:left w:val="nil"/>
              <w:right w:val="single" w:sz="8" w:space="0" w:color="auto"/>
            </w:tcBorders>
            <w:shd w:val="clear" w:color="auto" w:fill="auto"/>
            <w:vAlign w:val="center"/>
            <w:hideMark/>
          </w:tcPr>
          <w:p w14:paraId="437D168F" w14:textId="77777777" w:rsidR="000B19AE" w:rsidRPr="00F1559C" w:rsidRDefault="000B19AE" w:rsidP="000B19AE">
            <w:pPr>
              <w:spacing w:after="0" w:line="240" w:lineRule="auto"/>
              <w:jc w:val="center"/>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BFI.H064</w:t>
            </w:r>
          </w:p>
        </w:tc>
      </w:tr>
      <w:tr w:rsidR="000B19AE" w:rsidRPr="003042F6" w14:paraId="1DDA9C29" w14:textId="77777777" w:rsidTr="00E450A4">
        <w:trPr>
          <w:trHeight w:val="255"/>
        </w:trPr>
        <w:tc>
          <w:tcPr>
            <w:tcW w:w="4820" w:type="dxa"/>
            <w:gridSpan w:val="2"/>
            <w:tcBorders>
              <w:top w:val="nil"/>
              <w:left w:val="single" w:sz="8" w:space="0" w:color="auto"/>
              <w:bottom w:val="nil"/>
              <w:right w:val="single" w:sz="8" w:space="0" w:color="auto"/>
            </w:tcBorders>
            <w:shd w:val="clear" w:color="auto" w:fill="auto"/>
            <w:hideMark/>
          </w:tcPr>
          <w:p w14:paraId="4FD64E73" w14:textId="77777777" w:rsidR="000B19AE" w:rsidRPr="00F1559C" w:rsidRDefault="000B19AE" w:rsidP="000B19AE">
            <w:pPr>
              <w:spacing w:after="0" w:line="240" w:lineRule="auto"/>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lastRenderedPageBreak/>
              <w:t xml:space="preserve">   Outros Recebimentos Extraorçamentários</w:t>
            </w:r>
          </w:p>
        </w:tc>
        <w:tc>
          <w:tcPr>
            <w:tcW w:w="1134" w:type="dxa"/>
            <w:tcBorders>
              <w:top w:val="nil"/>
              <w:left w:val="nil"/>
              <w:bottom w:val="nil"/>
              <w:right w:val="single" w:sz="8" w:space="0" w:color="auto"/>
            </w:tcBorders>
            <w:shd w:val="clear" w:color="auto" w:fill="auto"/>
            <w:vAlign w:val="center"/>
            <w:hideMark/>
          </w:tcPr>
          <w:p w14:paraId="6B8C60D3" w14:textId="77777777" w:rsidR="000B19AE" w:rsidRPr="00F1559C" w:rsidRDefault="000B19AE" w:rsidP="000B19AE">
            <w:pPr>
              <w:spacing w:after="0" w:line="240" w:lineRule="auto"/>
              <w:jc w:val="center"/>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BFI.C065</w:t>
            </w:r>
          </w:p>
        </w:tc>
        <w:tc>
          <w:tcPr>
            <w:tcW w:w="1276" w:type="dxa"/>
            <w:tcBorders>
              <w:top w:val="nil"/>
              <w:left w:val="nil"/>
              <w:bottom w:val="nil"/>
              <w:right w:val="single" w:sz="8" w:space="0" w:color="auto"/>
            </w:tcBorders>
            <w:shd w:val="clear" w:color="auto" w:fill="auto"/>
            <w:vAlign w:val="center"/>
            <w:hideMark/>
          </w:tcPr>
          <w:p w14:paraId="036B70B2" w14:textId="77777777" w:rsidR="000B19AE" w:rsidRPr="00F1559C" w:rsidRDefault="000B19AE" w:rsidP="000B19AE">
            <w:pPr>
              <w:spacing w:after="0" w:line="240" w:lineRule="auto"/>
              <w:jc w:val="center"/>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BFI.D065</w:t>
            </w:r>
          </w:p>
        </w:tc>
        <w:tc>
          <w:tcPr>
            <w:tcW w:w="4243" w:type="dxa"/>
            <w:tcBorders>
              <w:top w:val="nil"/>
              <w:left w:val="nil"/>
              <w:bottom w:val="nil"/>
              <w:right w:val="single" w:sz="8" w:space="0" w:color="auto"/>
            </w:tcBorders>
            <w:shd w:val="clear" w:color="auto" w:fill="auto"/>
            <w:hideMark/>
          </w:tcPr>
          <w:p w14:paraId="4BCF21D3" w14:textId="77777777" w:rsidR="000B19AE" w:rsidRPr="00F1559C" w:rsidRDefault="000B19AE" w:rsidP="000B19AE">
            <w:pPr>
              <w:spacing w:after="0" w:line="240" w:lineRule="auto"/>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 xml:space="preserve">   Outros Pagamentos Extraorçamentários</w:t>
            </w:r>
          </w:p>
        </w:tc>
        <w:tc>
          <w:tcPr>
            <w:tcW w:w="1285" w:type="dxa"/>
            <w:gridSpan w:val="2"/>
            <w:tcBorders>
              <w:top w:val="nil"/>
              <w:left w:val="nil"/>
              <w:bottom w:val="nil"/>
              <w:right w:val="single" w:sz="8" w:space="0" w:color="auto"/>
            </w:tcBorders>
            <w:shd w:val="clear" w:color="auto" w:fill="auto"/>
            <w:vAlign w:val="center"/>
            <w:hideMark/>
          </w:tcPr>
          <w:p w14:paraId="6451683A" w14:textId="77777777" w:rsidR="000B19AE" w:rsidRPr="00F1559C" w:rsidRDefault="000B19AE" w:rsidP="000B19AE">
            <w:pPr>
              <w:spacing w:after="0" w:line="240" w:lineRule="auto"/>
              <w:jc w:val="center"/>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BFI.G065</w:t>
            </w:r>
          </w:p>
        </w:tc>
        <w:tc>
          <w:tcPr>
            <w:tcW w:w="1276" w:type="dxa"/>
            <w:gridSpan w:val="2"/>
            <w:tcBorders>
              <w:top w:val="nil"/>
              <w:left w:val="nil"/>
              <w:bottom w:val="nil"/>
              <w:right w:val="single" w:sz="8" w:space="0" w:color="auto"/>
            </w:tcBorders>
            <w:shd w:val="clear" w:color="auto" w:fill="auto"/>
            <w:vAlign w:val="center"/>
            <w:hideMark/>
          </w:tcPr>
          <w:p w14:paraId="22186B57" w14:textId="77777777" w:rsidR="000B19AE" w:rsidRPr="00F1559C" w:rsidRDefault="000B19AE" w:rsidP="000B19AE">
            <w:pPr>
              <w:spacing w:after="0" w:line="240" w:lineRule="auto"/>
              <w:jc w:val="center"/>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BFI.H065</w:t>
            </w:r>
          </w:p>
        </w:tc>
      </w:tr>
      <w:tr w:rsidR="000B19AE" w:rsidRPr="003042F6" w14:paraId="78E581A3" w14:textId="77777777" w:rsidTr="00E450A4">
        <w:trPr>
          <w:trHeight w:val="255"/>
        </w:trPr>
        <w:tc>
          <w:tcPr>
            <w:tcW w:w="4820" w:type="dxa"/>
            <w:gridSpan w:val="2"/>
            <w:tcBorders>
              <w:top w:val="nil"/>
              <w:left w:val="single" w:sz="8" w:space="0" w:color="auto"/>
              <w:bottom w:val="nil"/>
              <w:right w:val="single" w:sz="8" w:space="0" w:color="auto"/>
            </w:tcBorders>
            <w:shd w:val="clear" w:color="auto" w:fill="auto"/>
            <w:noWrap/>
            <w:vAlign w:val="center"/>
            <w:hideMark/>
          </w:tcPr>
          <w:p w14:paraId="66A5832B" w14:textId="77777777" w:rsidR="000B19AE" w:rsidRPr="00F1559C" w:rsidRDefault="000B19AE" w:rsidP="000B19AE">
            <w:pPr>
              <w:spacing w:after="0" w:line="240" w:lineRule="auto"/>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 </w:t>
            </w:r>
          </w:p>
        </w:tc>
        <w:tc>
          <w:tcPr>
            <w:tcW w:w="1134" w:type="dxa"/>
            <w:tcBorders>
              <w:top w:val="nil"/>
              <w:left w:val="nil"/>
              <w:bottom w:val="nil"/>
              <w:right w:val="single" w:sz="8" w:space="0" w:color="auto"/>
            </w:tcBorders>
            <w:shd w:val="clear" w:color="auto" w:fill="auto"/>
            <w:vAlign w:val="center"/>
            <w:hideMark/>
          </w:tcPr>
          <w:p w14:paraId="76A60440" w14:textId="77777777" w:rsidR="000B19AE" w:rsidRPr="00F1559C" w:rsidRDefault="000B19AE" w:rsidP="000B19AE">
            <w:pPr>
              <w:spacing w:after="0" w:line="240" w:lineRule="auto"/>
              <w:jc w:val="center"/>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 </w:t>
            </w:r>
          </w:p>
        </w:tc>
        <w:tc>
          <w:tcPr>
            <w:tcW w:w="1276" w:type="dxa"/>
            <w:tcBorders>
              <w:top w:val="nil"/>
              <w:left w:val="nil"/>
              <w:bottom w:val="nil"/>
              <w:right w:val="single" w:sz="8" w:space="0" w:color="auto"/>
            </w:tcBorders>
            <w:shd w:val="clear" w:color="auto" w:fill="auto"/>
            <w:vAlign w:val="center"/>
            <w:hideMark/>
          </w:tcPr>
          <w:p w14:paraId="59FE0036" w14:textId="77777777" w:rsidR="000B19AE" w:rsidRPr="00F1559C" w:rsidRDefault="000B19AE" w:rsidP="000B19AE">
            <w:pPr>
              <w:spacing w:after="0" w:line="240" w:lineRule="auto"/>
              <w:jc w:val="center"/>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 </w:t>
            </w:r>
          </w:p>
        </w:tc>
        <w:tc>
          <w:tcPr>
            <w:tcW w:w="4243" w:type="dxa"/>
            <w:tcBorders>
              <w:top w:val="nil"/>
              <w:left w:val="nil"/>
              <w:bottom w:val="nil"/>
              <w:right w:val="single" w:sz="8" w:space="0" w:color="auto"/>
            </w:tcBorders>
            <w:shd w:val="clear" w:color="auto" w:fill="auto"/>
            <w:noWrap/>
            <w:vAlign w:val="center"/>
            <w:hideMark/>
          </w:tcPr>
          <w:p w14:paraId="005B064A" w14:textId="77777777" w:rsidR="000B19AE" w:rsidRPr="00F1559C" w:rsidRDefault="000B19AE" w:rsidP="000B19AE">
            <w:pPr>
              <w:spacing w:after="0" w:line="240" w:lineRule="auto"/>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 </w:t>
            </w:r>
          </w:p>
        </w:tc>
        <w:tc>
          <w:tcPr>
            <w:tcW w:w="1285" w:type="dxa"/>
            <w:gridSpan w:val="2"/>
            <w:tcBorders>
              <w:top w:val="nil"/>
              <w:left w:val="nil"/>
              <w:bottom w:val="nil"/>
              <w:right w:val="single" w:sz="8" w:space="0" w:color="auto"/>
            </w:tcBorders>
            <w:shd w:val="clear" w:color="auto" w:fill="auto"/>
            <w:vAlign w:val="center"/>
            <w:hideMark/>
          </w:tcPr>
          <w:p w14:paraId="3F0D0339" w14:textId="77777777" w:rsidR="000B19AE" w:rsidRPr="00F1559C" w:rsidRDefault="000B19AE" w:rsidP="000B19AE">
            <w:pPr>
              <w:spacing w:after="0" w:line="240" w:lineRule="auto"/>
              <w:jc w:val="center"/>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 </w:t>
            </w:r>
          </w:p>
        </w:tc>
        <w:tc>
          <w:tcPr>
            <w:tcW w:w="1276" w:type="dxa"/>
            <w:gridSpan w:val="2"/>
            <w:tcBorders>
              <w:top w:val="nil"/>
              <w:left w:val="nil"/>
              <w:bottom w:val="nil"/>
              <w:right w:val="single" w:sz="8" w:space="0" w:color="auto"/>
            </w:tcBorders>
            <w:shd w:val="clear" w:color="auto" w:fill="auto"/>
            <w:vAlign w:val="center"/>
            <w:hideMark/>
          </w:tcPr>
          <w:p w14:paraId="71418057" w14:textId="77777777" w:rsidR="000B19AE" w:rsidRPr="00F1559C" w:rsidRDefault="000B19AE" w:rsidP="000B19AE">
            <w:pPr>
              <w:spacing w:after="0" w:line="240" w:lineRule="auto"/>
              <w:jc w:val="center"/>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 </w:t>
            </w:r>
          </w:p>
        </w:tc>
      </w:tr>
      <w:tr w:rsidR="000B19AE" w:rsidRPr="003042F6" w14:paraId="71AE7EFB" w14:textId="77777777" w:rsidTr="00E450A4">
        <w:trPr>
          <w:trHeight w:val="255"/>
        </w:trPr>
        <w:tc>
          <w:tcPr>
            <w:tcW w:w="4820" w:type="dxa"/>
            <w:gridSpan w:val="2"/>
            <w:tcBorders>
              <w:top w:val="nil"/>
              <w:left w:val="single" w:sz="8" w:space="0" w:color="auto"/>
              <w:bottom w:val="nil"/>
              <w:right w:val="single" w:sz="8" w:space="0" w:color="auto"/>
            </w:tcBorders>
            <w:shd w:val="clear" w:color="auto" w:fill="auto"/>
            <w:noWrap/>
            <w:vAlign w:val="center"/>
            <w:hideMark/>
          </w:tcPr>
          <w:p w14:paraId="17AB4A1F" w14:textId="77777777" w:rsidR="000B19AE" w:rsidRPr="00F1559C" w:rsidRDefault="000B19AE" w:rsidP="000B19AE">
            <w:pPr>
              <w:spacing w:after="0" w:line="240" w:lineRule="auto"/>
              <w:rPr>
                <w:rFonts w:ascii="Arial Narrow" w:eastAsia="Times New Roman" w:hAnsi="Arial Narrow" w:cs="Arial"/>
                <w:b/>
                <w:bCs/>
                <w:sz w:val="16"/>
                <w:szCs w:val="16"/>
                <w:lang w:eastAsia="pt-BR"/>
              </w:rPr>
            </w:pPr>
            <w:r w:rsidRPr="00F1559C">
              <w:rPr>
                <w:rFonts w:ascii="Arial Narrow" w:eastAsia="Times New Roman" w:hAnsi="Arial Narrow" w:cs="Arial"/>
                <w:b/>
                <w:bCs/>
                <w:sz w:val="16"/>
                <w:szCs w:val="16"/>
                <w:lang w:eastAsia="pt-BR"/>
              </w:rPr>
              <w:t>SALDO DO EXERCÍCIO ANTERIOR (IV)</w:t>
            </w:r>
          </w:p>
        </w:tc>
        <w:tc>
          <w:tcPr>
            <w:tcW w:w="1134" w:type="dxa"/>
            <w:tcBorders>
              <w:top w:val="nil"/>
              <w:left w:val="nil"/>
              <w:bottom w:val="nil"/>
              <w:right w:val="single" w:sz="8" w:space="0" w:color="auto"/>
            </w:tcBorders>
            <w:shd w:val="clear" w:color="auto" w:fill="auto"/>
            <w:vAlign w:val="center"/>
            <w:hideMark/>
          </w:tcPr>
          <w:p w14:paraId="21473D23" w14:textId="77777777" w:rsidR="000B19AE" w:rsidRPr="00F1559C" w:rsidRDefault="000B19AE" w:rsidP="000B19AE">
            <w:pPr>
              <w:spacing w:after="0" w:line="240" w:lineRule="auto"/>
              <w:jc w:val="center"/>
              <w:rPr>
                <w:rFonts w:ascii="Arial Narrow" w:eastAsia="Times New Roman" w:hAnsi="Arial Narrow" w:cs="Arial"/>
                <w:b/>
                <w:bCs/>
                <w:sz w:val="16"/>
                <w:szCs w:val="16"/>
                <w:lang w:eastAsia="pt-BR"/>
              </w:rPr>
            </w:pPr>
            <w:r w:rsidRPr="00F1559C">
              <w:rPr>
                <w:rFonts w:ascii="Arial Narrow" w:eastAsia="Times New Roman" w:hAnsi="Arial Narrow" w:cs="Arial"/>
                <w:b/>
                <w:bCs/>
                <w:sz w:val="16"/>
                <w:szCs w:val="16"/>
                <w:lang w:eastAsia="pt-BR"/>
              </w:rPr>
              <w:t>BFI.C067</w:t>
            </w:r>
          </w:p>
        </w:tc>
        <w:tc>
          <w:tcPr>
            <w:tcW w:w="1276" w:type="dxa"/>
            <w:tcBorders>
              <w:top w:val="nil"/>
              <w:left w:val="nil"/>
              <w:bottom w:val="nil"/>
              <w:right w:val="single" w:sz="8" w:space="0" w:color="auto"/>
            </w:tcBorders>
            <w:shd w:val="clear" w:color="auto" w:fill="auto"/>
            <w:vAlign w:val="center"/>
            <w:hideMark/>
          </w:tcPr>
          <w:p w14:paraId="45013232" w14:textId="77777777" w:rsidR="000B19AE" w:rsidRPr="00F1559C" w:rsidRDefault="000B19AE" w:rsidP="000B19AE">
            <w:pPr>
              <w:spacing w:after="0" w:line="240" w:lineRule="auto"/>
              <w:jc w:val="center"/>
              <w:rPr>
                <w:rFonts w:ascii="Arial Narrow" w:eastAsia="Times New Roman" w:hAnsi="Arial Narrow" w:cs="Arial"/>
                <w:b/>
                <w:bCs/>
                <w:sz w:val="16"/>
                <w:szCs w:val="16"/>
                <w:lang w:eastAsia="pt-BR"/>
              </w:rPr>
            </w:pPr>
            <w:r w:rsidRPr="00F1559C">
              <w:rPr>
                <w:rFonts w:ascii="Arial Narrow" w:eastAsia="Times New Roman" w:hAnsi="Arial Narrow" w:cs="Arial"/>
                <w:b/>
                <w:bCs/>
                <w:sz w:val="16"/>
                <w:szCs w:val="16"/>
                <w:lang w:eastAsia="pt-BR"/>
              </w:rPr>
              <w:t>BFI.D067</w:t>
            </w:r>
          </w:p>
        </w:tc>
        <w:tc>
          <w:tcPr>
            <w:tcW w:w="4243" w:type="dxa"/>
            <w:tcBorders>
              <w:top w:val="nil"/>
              <w:left w:val="nil"/>
              <w:bottom w:val="nil"/>
              <w:right w:val="single" w:sz="8" w:space="0" w:color="auto"/>
            </w:tcBorders>
            <w:shd w:val="clear" w:color="auto" w:fill="auto"/>
            <w:noWrap/>
            <w:vAlign w:val="center"/>
            <w:hideMark/>
          </w:tcPr>
          <w:p w14:paraId="59EF70C5" w14:textId="77777777" w:rsidR="000B19AE" w:rsidRPr="00F1559C" w:rsidRDefault="000B19AE" w:rsidP="000B19AE">
            <w:pPr>
              <w:spacing w:after="0" w:line="240" w:lineRule="auto"/>
              <w:rPr>
                <w:rFonts w:ascii="Arial Narrow" w:eastAsia="Times New Roman" w:hAnsi="Arial Narrow" w:cs="Arial"/>
                <w:b/>
                <w:bCs/>
                <w:sz w:val="16"/>
                <w:szCs w:val="16"/>
                <w:lang w:eastAsia="pt-BR"/>
              </w:rPr>
            </w:pPr>
            <w:r w:rsidRPr="00F1559C">
              <w:rPr>
                <w:rFonts w:ascii="Arial Narrow" w:eastAsia="Times New Roman" w:hAnsi="Arial Narrow" w:cs="Arial"/>
                <w:b/>
                <w:bCs/>
                <w:sz w:val="16"/>
                <w:szCs w:val="16"/>
                <w:lang w:eastAsia="pt-BR"/>
              </w:rPr>
              <w:t>SALDO PARA O EXERCÍCIO SEGUINTE (IX)</w:t>
            </w:r>
          </w:p>
        </w:tc>
        <w:tc>
          <w:tcPr>
            <w:tcW w:w="1285" w:type="dxa"/>
            <w:gridSpan w:val="2"/>
            <w:tcBorders>
              <w:top w:val="nil"/>
              <w:left w:val="nil"/>
              <w:bottom w:val="nil"/>
              <w:right w:val="single" w:sz="8" w:space="0" w:color="auto"/>
            </w:tcBorders>
            <w:shd w:val="clear" w:color="auto" w:fill="auto"/>
            <w:vAlign w:val="center"/>
            <w:hideMark/>
          </w:tcPr>
          <w:p w14:paraId="51C60FC8" w14:textId="77777777" w:rsidR="000B19AE" w:rsidRPr="00F1559C" w:rsidRDefault="000B19AE" w:rsidP="000B19AE">
            <w:pPr>
              <w:spacing w:after="0" w:line="240" w:lineRule="auto"/>
              <w:jc w:val="center"/>
              <w:rPr>
                <w:rFonts w:ascii="Arial Narrow" w:eastAsia="Times New Roman" w:hAnsi="Arial Narrow" w:cs="Arial"/>
                <w:b/>
                <w:bCs/>
                <w:sz w:val="16"/>
                <w:szCs w:val="16"/>
                <w:lang w:eastAsia="pt-BR"/>
              </w:rPr>
            </w:pPr>
            <w:r w:rsidRPr="00F1559C">
              <w:rPr>
                <w:rFonts w:ascii="Arial Narrow" w:eastAsia="Times New Roman" w:hAnsi="Arial Narrow" w:cs="Arial"/>
                <w:b/>
                <w:bCs/>
                <w:sz w:val="16"/>
                <w:szCs w:val="16"/>
                <w:lang w:eastAsia="pt-BR"/>
              </w:rPr>
              <w:t>BFI.G067</w:t>
            </w:r>
          </w:p>
        </w:tc>
        <w:tc>
          <w:tcPr>
            <w:tcW w:w="1276" w:type="dxa"/>
            <w:gridSpan w:val="2"/>
            <w:tcBorders>
              <w:top w:val="nil"/>
              <w:left w:val="nil"/>
              <w:bottom w:val="nil"/>
              <w:right w:val="single" w:sz="8" w:space="0" w:color="auto"/>
            </w:tcBorders>
            <w:shd w:val="clear" w:color="auto" w:fill="auto"/>
            <w:vAlign w:val="center"/>
            <w:hideMark/>
          </w:tcPr>
          <w:p w14:paraId="365839CF" w14:textId="77777777" w:rsidR="000B19AE" w:rsidRPr="00F1559C" w:rsidRDefault="000B19AE" w:rsidP="000B19AE">
            <w:pPr>
              <w:spacing w:after="0" w:line="240" w:lineRule="auto"/>
              <w:jc w:val="center"/>
              <w:rPr>
                <w:rFonts w:ascii="Arial Narrow" w:eastAsia="Times New Roman" w:hAnsi="Arial Narrow" w:cs="Arial"/>
                <w:b/>
                <w:bCs/>
                <w:sz w:val="16"/>
                <w:szCs w:val="16"/>
                <w:lang w:eastAsia="pt-BR"/>
              </w:rPr>
            </w:pPr>
            <w:r w:rsidRPr="00F1559C">
              <w:rPr>
                <w:rFonts w:ascii="Arial Narrow" w:eastAsia="Times New Roman" w:hAnsi="Arial Narrow" w:cs="Arial"/>
                <w:b/>
                <w:bCs/>
                <w:sz w:val="16"/>
                <w:szCs w:val="16"/>
                <w:lang w:eastAsia="pt-BR"/>
              </w:rPr>
              <w:t>BFI.H067</w:t>
            </w:r>
          </w:p>
        </w:tc>
      </w:tr>
      <w:tr w:rsidR="000B19AE" w:rsidRPr="003042F6" w14:paraId="1022DBBE" w14:textId="77777777" w:rsidTr="00E450A4">
        <w:trPr>
          <w:trHeight w:val="255"/>
        </w:trPr>
        <w:tc>
          <w:tcPr>
            <w:tcW w:w="4820" w:type="dxa"/>
            <w:gridSpan w:val="2"/>
            <w:tcBorders>
              <w:top w:val="nil"/>
              <w:left w:val="single" w:sz="8" w:space="0" w:color="auto"/>
              <w:bottom w:val="nil"/>
              <w:right w:val="single" w:sz="8" w:space="0" w:color="auto"/>
            </w:tcBorders>
            <w:shd w:val="clear" w:color="auto" w:fill="auto"/>
            <w:noWrap/>
            <w:vAlign w:val="center"/>
            <w:hideMark/>
          </w:tcPr>
          <w:p w14:paraId="4E4A59A5" w14:textId="77777777" w:rsidR="000B19AE" w:rsidRPr="00F1559C" w:rsidRDefault="000B19AE" w:rsidP="000B19AE">
            <w:pPr>
              <w:spacing w:after="0" w:line="240" w:lineRule="auto"/>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 xml:space="preserve">   Caixa e Equivalentes de Caixa - Consolidação</w:t>
            </w:r>
          </w:p>
        </w:tc>
        <w:tc>
          <w:tcPr>
            <w:tcW w:w="1134" w:type="dxa"/>
            <w:tcBorders>
              <w:top w:val="nil"/>
              <w:left w:val="nil"/>
              <w:bottom w:val="nil"/>
              <w:right w:val="single" w:sz="8" w:space="0" w:color="auto"/>
            </w:tcBorders>
            <w:shd w:val="clear" w:color="auto" w:fill="auto"/>
            <w:vAlign w:val="center"/>
            <w:hideMark/>
          </w:tcPr>
          <w:p w14:paraId="155DEF87" w14:textId="77777777" w:rsidR="000B19AE" w:rsidRPr="00F1559C" w:rsidRDefault="000B19AE" w:rsidP="000B19AE">
            <w:pPr>
              <w:spacing w:after="0" w:line="240" w:lineRule="auto"/>
              <w:jc w:val="center"/>
              <w:rPr>
                <w:rFonts w:ascii="Arial Narrow" w:eastAsia="Times New Roman" w:hAnsi="Arial Narrow" w:cs="Arial"/>
                <w:b/>
                <w:bCs/>
                <w:sz w:val="16"/>
                <w:szCs w:val="16"/>
                <w:lang w:eastAsia="pt-BR"/>
              </w:rPr>
            </w:pPr>
            <w:r w:rsidRPr="00F1559C">
              <w:rPr>
                <w:rFonts w:ascii="Arial Narrow" w:eastAsia="Times New Roman" w:hAnsi="Arial Narrow" w:cs="Arial"/>
                <w:b/>
                <w:bCs/>
                <w:sz w:val="16"/>
                <w:szCs w:val="16"/>
                <w:lang w:eastAsia="pt-BR"/>
              </w:rPr>
              <w:t>BFI.C068</w:t>
            </w:r>
          </w:p>
        </w:tc>
        <w:tc>
          <w:tcPr>
            <w:tcW w:w="1276" w:type="dxa"/>
            <w:tcBorders>
              <w:top w:val="nil"/>
              <w:left w:val="nil"/>
              <w:bottom w:val="nil"/>
              <w:right w:val="single" w:sz="8" w:space="0" w:color="auto"/>
            </w:tcBorders>
            <w:shd w:val="clear" w:color="auto" w:fill="auto"/>
            <w:vAlign w:val="center"/>
            <w:hideMark/>
          </w:tcPr>
          <w:p w14:paraId="4FBAC6B0" w14:textId="77777777" w:rsidR="000B19AE" w:rsidRPr="00F1559C" w:rsidRDefault="000B19AE" w:rsidP="000B19AE">
            <w:pPr>
              <w:spacing w:after="0" w:line="240" w:lineRule="auto"/>
              <w:jc w:val="center"/>
              <w:rPr>
                <w:rFonts w:ascii="Arial Narrow" w:eastAsia="Times New Roman" w:hAnsi="Arial Narrow" w:cs="Arial"/>
                <w:b/>
                <w:bCs/>
                <w:sz w:val="16"/>
                <w:szCs w:val="16"/>
                <w:lang w:eastAsia="pt-BR"/>
              </w:rPr>
            </w:pPr>
            <w:r w:rsidRPr="00F1559C">
              <w:rPr>
                <w:rFonts w:ascii="Arial Narrow" w:eastAsia="Times New Roman" w:hAnsi="Arial Narrow" w:cs="Arial"/>
                <w:b/>
                <w:bCs/>
                <w:sz w:val="16"/>
                <w:szCs w:val="16"/>
                <w:lang w:eastAsia="pt-BR"/>
              </w:rPr>
              <w:t>BFI.D068</w:t>
            </w:r>
          </w:p>
        </w:tc>
        <w:tc>
          <w:tcPr>
            <w:tcW w:w="4243" w:type="dxa"/>
            <w:tcBorders>
              <w:top w:val="nil"/>
              <w:left w:val="nil"/>
              <w:bottom w:val="nil"/>
              <w:right w:val="single" w:sz="8" w:space="0" w:color="auto"/>
            </w:tcBorders>
            <w:shd w:val="clear" w:color="auto" w:fill="auto"/>
            <w:noWrap/>
            <w:vAlign w:val="center"/>
            <w:hideMark/>
          </w:tcPr>
          <w:p w14:paraId="4B653410" w14:textId="77777777" w:rsidR="000B19AE" w:rsidRPr="00F1559C" w:rsidRDefault="000B19AE" w:rsidP="000B19AE">
            <w:pPr>
              <w:spacing w:after="0" w:line="240" w:lineRule="auto"/>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 xml:space="preserve">   Caixa e Equivalentes de Caixa - Consolidação</w:t>
            </w:r>
          </w:p>
        </w:tc>
        <w:tc>
          <w:tcPr>
            <w:tcW w:w="1285" w:type="dxa"/>
            <w:gridSpan w:val="2"/>
            <w:tcBorders>
              <w:top w:val="nil"/>
              <w:left w:val="nil"/>
              <w:bottom w:val="nil"/>
              <w:right w:val="single" w:sz="8" w:space="0" w:color="auto"/>
            </w:tcBorders>
            <w:shd w:val="clear" w:color="auto" w:fill="auto"/>
            <w:vAlign w:val="center"/>
            <w:hideMark/>
          </w:tcPr>
          <w:p w14:paraId="048B39C2" w14:textId="77777777" w:rsidR="000B19AE" w:rsidRPr="00F1559C" w:rsidRDefault="000B19AE" w:rsidP="000B19AE">
            <w:pPr>
              <w:spacing w:after="0" w:line="240" w:lineRule="auto"/>
              <w:jc w:val="center"/>
              <w:rPr>
                <w:rFonts w:ascii="Arial Narrow" w:eastAsia="Times New Roman" w:hAnsi="Arial Narrow" w:cs="Arial"/>
                <w:b/>
                <w:bCs/>
                <w:sz w:val="16"/>
                <w:szCs w:val="16"/>
                <w:lang w:eastAsia="pt-BR"/>
              </w:rPr>
            </w:pPr>
            <w:r w:rsidRPr="00F1559C">
              <w:rPr>
                <w:rFonts w:ascii="Arial Narrow" w:eastAsia="Times New Roman" w:hAnsi="Arial Narrow" w:cs="Arial"/>
                <w:b/>
                <w:bCs/>
                <w:sz w:val="16"/>
                <w:szCs w:val="16"/>
                <w:lang w:eastAsia="pt-BR"/>
              </w:rPr>
              <w:t>BFI.G068</w:t>
            </w:r>
          </w:p>
        </w:tc>
        <w:tc>
          <w:tcPr>
            <w:tcW w:w="1276" w:type="dxa"/>
            <w:gridSpan w:val="2"/>
            <w:tcBorders>
              <w:top w:val="nil"/>
              <w:left w:val="nil"/>
              <w:bottom w:val="nil"/>
              <w:right w:val="single" w:sz="8" w:space="0" w:color="auto"/>
            </w:tcBorders>
            <w:shd w:val="clear" w:color="auto" w:fill="auto"/>
            <w:vAlign w:val="center"/>
            <w:hideMark/>
          </w:tcPr>
          <w:p w14:paraId="6C338930" w14:textId="77777777" w:rsidR="000B19AE" w:rsidRPr="00F1559C" w:rsidRDefault="000B19AE" w:rsidP="000B19AE">
            <w:pPr>
              <w:spacing w:after="0" w:line="240" w:lineRule="auto"/>
              <w:jc w:val="center"/>
              <w:rPr>
                <w:rFonts w:ascii="Arial Narrow" w:eastAsia="Times New Roman" w:hAnsi="Arial Narrow" w:cs="Arial"/>
                <w:b/>
                <w:bCs/>
                <w:sz w:val="16"/>
                <w:szCs w:val="16"/>
                <w:lang w:eastAsia="pt-BR"/>
              </w:rPr>
            </w:pPr>
            <w:r w:rsidRPr="00F1559C">
              <w:rPr>
                <w:rFonts w:ascii="Arial Narrow" w:eastAsia="Times New Roman" w:hAnsi="Arial Narrow" w:cs="Arial"/>
                <w:b/>
                <w:bCs/>
                <w:sz w:val="16"/>
                <w:szCs w:val="16"/>
                <w:lang w:eastAsia="pt-BR"/>
              </w:rPr>
              <w:t>BFI.H068</w:t>
            </w:r>
          </w:p>
        </w:tc>
      </w:tr>
      <w:tr w:rsidR="000B19AE" w:rsidRPr="003042F6" w14:paraId="49EF8577" w14:textId="77777777" w:rsidTr="00E450A4">
        <w:trPr>
          <w:trHeight w:val="255"/>
        </w:trPr>
        <w:tc>
          <w:tcPr>
            <w:tcW w:w="4820" w:type="dxa"/>
            <w:gridSpan w:val="2"/>
            <w:tcBorders>
              <w:top w:val="nil"/>
              <w:left w:val="single" w:sz="8" w:space="0" w:color="auto"/>
              <w:bottom w:val="nil"/>
              <w:right w:val="single" w:sz="8" w:space="0" w:color="auto"/>
            </w:tcBorders>
            <w:shd w:val="clear" w:color="auto" w:fill="auto"/>
            <w:noWrap/>
            <w:vAlign w:val="center"/>
            <w:hideMark/>
          </w:tcPr>
          <w:p w14:paraId="2454D1AE" w14:textId="77777777" w:rsidR="000B19AE" w:rsidRPr="00F1559C" w:rsidRDefault="000B19AE" w:rsidP="000B19AE">
            <w:pPr>
              <w:spacing w:after="0" w:line="240" w:lineRule="auto"/>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 xml:space="preserve">      Caixa</w:t>
            </w:r>
          </w:p>
        </w:tc>
        <w:tc>
          <w:tcPr>
            <w:tcW w:w="1134" w:type="dxa"/>
            <w:tcBorders>
              <w:top w:val="nil"/>
              <w:left w:val="nil"/>
              <w:bottom w:val="nil"/>
              <w:right w:val="single" w:sz="8" w:space="0" w:color="auto"/>
            </w:tcBorders>
            <w:shd w:val="clear" w:color="auto" w:fill="auto"/>
            <w:vAlign w:val="center"/>
            <w:hideMark/>
          </w:tcPr>
          <w:p w14:paraId="64FCC8E4" w14:textId="77777777" w:rsidR="000B19AE" w:rsidRPr="00F1559C" w:rsidRDefault="000B19AE" w:rsidP="000B19AE">
            <w:pPr>
              <w:spacing w:after="0" w:line="240" w:lineRule="auto"/>
              <w:jc w:val="center"/>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BFI.C069</w:t>
            </w:r>
          </w:p>
        </w:tc>
        <w:tc>
          <w:tcPr>
            <w:tcW w:w="1276" w:type="dxa"/>
            <w:tcBorders>
              <w:top w:val="nil"/>
              <w:left w:val="nil"/>
              <w:bottom w:val="nil"/>
              <w:right w:val="single" w:sz="8" w:space="0" w:color="auto"/>
            </w:tcBorders>
            <w:shd w:val="clear" w:color="auto" w:fill="auto"/>
            <w:vAlign w:val="center"/>
            <w:hideMark/>
          </w:tcPr>
          <w:p w14:paraId="50B3B402" w14:textId="77777777" w:rsidR="000B19AE" w:rsidRPr="00F1559C" w:rsidRDefault="000B19AE" w:rsidP="000B19AE">
            <w:pPr>
              <w:spacing w:after="0" w:line="240" w:lineRule="auto"/>
              <w:jc w:val="center"/>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BFI.D069</w:t>
            </w:r>
          </w:p>
        </w:tc>
        <w:tc>
          <w:tcPr>
            <w:tcW w:w="4243" w:type="dxa"/>
            <w:tcBorders>
              <w:top w:val="nil"/>
              <w:left w:val="nil"/>
              <w:bottom w:val="nil"/>
              <w:right w:val="single" w:sz="8" w:space="0" w:color="auto"/>
            </w:tcBorders>
            <w:shd w:val="clear" w:color="auto" w:fill="auto"/>
            <w:noWrap/>
            <w:vAlign w:val="center"/>
            <w:hideMark/>
          </w:tcPr>
          <w:p w14:paraId="190DA11F" w14:textId="77777777" w:rsidR="000B19AE" w:rsidRPr="00F1559C" w:rsidRDefault="000B19AE" w:rsidP="000B19AE">
            <w:pPr>
              <w:spacing w:after="0" w:line="240" w:lineRule="auto"/>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 xml:space="preserve">      Caixa</w:t>
            </w:r>
          </w:p>
        </w:tc>
        <w:tc>
          <w:tcPr>
            <w:tcW w:w="1285" w:type="dxa"/>
            <w:gridSpan w:val="2"/>
            <w:tcBorders>
              <w:top w:val="nil"/>
              <w:left w:val="nil"/>
              <w:bottom w:val="nil"/>
              <w:right w:val="single" w:sz="8" w:space="0" w:color="auto"/>
            </w:tcBorders>
            <w:shd w:val="clear" w:color="auto" w:fill="auto"/>
            <w:vAlign w:val="center"/>
            <w:hideMark/>
          </w:tcPr>
          <w:p w14:paraId="3AEAE76C" w14:textId="77777777" w:rsidR="000B19AE" w:rsidRPr="00F1559C" w:rsidRDefault="000B19AE" w:rsidP="000B19AE">
            <w:pPr>
              <w:spacing w:after="0" w:line="240" w:lineRule="auto"/>
              <w:jc w:val="center"/>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BFI.G069</w:t>
            </w:r>
          </w:p>
        </w:tc>
        <w:tc>
          <w:tcPr>
            <w:tcW w:w="1276" w:type="dxa"/>
            <w:gridSpan w:val="2"/>
            <w:tcBorders>
              <w:top w:val="nil"/>
              <w:left w:val="nil"/>
              <w:bottom w:val="nil"/>
              <w:right w:val="single" w:sz="8" w:space="0" w:color="auto"/>
            </w:tcBorders>
            <w:shd w:val="clear" w:color="auto" w:fill="auto"/>
            <w:vAlign w:val="center"/>
            <w:hideMark/>
          </w:tcPr>
          <w:p w14:paraId="60BCE6CF" w14:textId="77777777" w:rsidR="000B19AE" w:rsidRPr="00F1559C" w:rsidRDefault="000B19AE" w:rsidP="000B19AE">
            <w:pPr>
              <w:spacing w:after="0" w:line="240" w:lineRule="auto"/>
              <w:jc w:val="center"/>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BFI.H069</w:t>
            </w:r>
          </w:p>
        </w:tc>
      </w:tr>
      <w:tr w:rsidR="000B19AE" w:rsidRPr="003042F6" w14:paraId="02306A3D" w14:textId="77777777" w:rsidTr="00E450A4">
        <w:trPr>
          <w:trHeight w:val="255"/>
        </w:trPr>
        <w:tc>
          <w:tcPr>
            <w:tcW w:w="4820" w:type="dxa"/>
            <w:gridSpan w:val="2"/>
            <w:tcBorders>
              <w:top w:val="nil"/>
              <w:left w:val="single" w:sz="8" w:space="0" w:color="auto"/>
              <w:bottom w:val="nil"/>
              <w:right w:val="single" w:sz="8" w:space="0" w:color="auto"/>
            </w:tcBorders>
            <w:shd w:val="clear" w:color="auto" w:fill="auto"/>
            <w:noWrap/>
            <w:vAlign w:val="center"/>
            <w:hideMark/>
          </w:tcPr>
          <w:p w14:paraId="04E00026" w14:textId="77777777" w:rsidR="000B19AE" w:rsidRPr="00F1559C" w:rsidRDefault="000B19AE" w:rsidP="000B19AE">
            <w:pPr>
              <w:spacing w:after="0" w:line="240" w:lineRule="auto"/>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 xml:space="preserve">      Conta Única</w:t>
            </w:r>
          </w:p>
        </w:tc>
        <w:tc>
          <w:tcPr>
            <w:tcW w:w="1134" w:type="dxa"/>
            <w:tcBorders>
              <w:top w:val="nil"/>
              <w:left w:val="nil"/>
              <w:bottom w:val="nil"/>
              <w:right w:val="single" w:sz="8" w:space="0" w:color="auto"/>
            </w:tcBorders>
            <w:shd w:val="clear" w:color="auto" w:fill="auto"/>
            <w:vAlign w:val="center"/>
            <w:hideMark/>
          </w:tcPr>
          <w:p w14:paraId="20726415" w14:textId="77777777" w:rsidR="000B19AE" w:rsidRPr="00F1559C" w:rsidRDefault="000B19AE" w:rsidP="000B19AE">
            <w:pPr>
              <w:spacing w:after="0" w:line="240" w:lineRule="auto"/>
              <w:jc w:val="center"/>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BFI.C070</w:t>
            </w:r>
          </w:p>
        </w:tc>
        <w:tc>
          <w:tcPr>
            <w:tcW w:w="1276" w:type="dxa"/>
            <w:tcBorders>
              <w:top w:val="nil"/>
              <w:left w:val="nil"/>
              <w:bottom w:val="nil"/>
              <w:right w:val="single" w:sz="8" w:space="0" w:color="auto"/>
            </w:tcBorders>
            <w:shd w:val="clear" w:color="auto" w:fill="auto"/>
            <w:vAlign w:val="center"/>
            <w:hideMark/>
          </w:tcPr>
          <w:p w14:paraId="5F764EE5" w14:textId="77777777" w:rsidR="000B19AE" w:rsidRPr="00F1559C" w:rsidRDefault="000B19AE" w:rsidP="000B19AE">
            <w:pPr>
              <w:spacing w:after="0" w:line="240" w:lineRule="auto"/>
              <w:jc w:val="center"/>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BFI.D070</w:t>
            </w:r>
          </w:p>
        </w:tc>
        <w:tc>
          <w:tcPr>
            <w:tcW w:w="4243" w:type="dxa"/>
            <w:tcBorders>
              <w:top w:val="nil"/>
              <w:left w:val="nil"/>
              <w:bottom w:val="nil"/>
              <w:right w:val="single" w:sz="8" w:space="0" w:color="auto"/>
            </w:tcBorders>
            <w:shd w:val="clear" w:color="auto" w:fill="auto"/>
            <w:noWrap/>
            <w:vAlign w:val="center"/>
            <w:hideMark/>
          </w:tcPr>
          <w:p w14:paraId="58BD9C27" w14:textId="77777777" w:rsidR="000B19AE" w:rsidRPr="00F1559C" w:rsidRDefault="000B19AE" w:rsidP="000B19AE">
            <w:pPr>
              <w:spacing w:after="0" w:line="240" w:lineRule="auto"/>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 xml:space="preserve">      Conta Única</w:t>
            </w:r>
          </w:p>
        </w:tc>
        <w:tc>
          <w:tcPr>
            <w:tcW w:w="1285" w:type="dxa"/>
            <w:gridSpan w:val="2"/>
            <w:tcBorders>
              <w:top w:val="nil"/>
              <w:left w:val="nil"/>
              <w:bottom w:val="nil"/>
              <w:right w:val="single" w:sz="8" w:space="0" w:color="auto"/>
            </w:tcBorders>
            <w:shd w:val="clear" w:color="auto" w:fill="auto"/>
            <w:vAlign w:val="center"/>
            <w:hideMark/>
          </w:tcPr>
          <w:p w14:paraId="7D1C72C2" w14:textId="77777777" w:rsidR="000B19AE" w:rsidRPr="00F1559C" w:rsidRDefault="000B19AE" w:rsidP="000B19AE">
            <w:pPr>
              <w:spacing w:after="0" w:line="240" w:lineRule="auto"/>
              <w:jc w:val="center"/>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BFI.G070</w:t>
            </w:r>
          </w:p>
        </w:tc>
        <w:tc>
          <w:tcPr>
            <w:tcW w:w="1276" w:type="dxa"/>
            <w:gridSpan w:val="2"/>
            <w:tcBorders>
              <w:top w:val="nil"/>
              <w:left w:val="nil"/>
              <w:bottom w:val="nil"/>
              <w:right w:val="single" w:sz="8" w:space="0" w:color="auto"/>
            </w:tcBorders>
            <w:shd w:val="clear" w:color="auto" w:fill="auto"/>
            <w:vAlign w:val="center"/>
            <w:hideMark/>
          </w:tcPr>
          <w:p w14:paraId="476B8093" w14:textId="77777777" w:rsidR="000B19AE" w:rsidRPr="00F1559C" w:rsidRDefault="000B19AE" w:rsidP="000B19AE">
            <w:pPr>
              <w:spacing w:after="0" w:line="240" w:lineRule="auto"/>
              <w:jc w:val="center"/>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BFI.H070</w:t>
            </w:r>
          </w:p>
        </w:tc>
      </w:tr>
      <w:tr w:rsidR="000B19AE" w:rsidRPr="003042F6" w14:paraId="25259E8C" w14:textId="77777777" w:rsidTr="00E450A4">
        <w:trPr>
          <w:trHeight w:val="255"/>
        </w:trPr>
        <w:tc>
          <w:tcPr>
            <w:tcW w:w="4820" w:type="dxa"/>
            <w:gridSpan w:val="2"/>
            <w:tcBorders>
              <w:top w:val="nil"/>
              <w:left w:val="single" w:sz="8" w:space="0" w:color="auto"/>
              <w:bottom w:val="nil"/>
              <w:right w:val="single" w:sz="8" w:space="0" w:color="auto"/>
            </w:tcBorders>
            <w:shd w:val="clear" w:color="auto" w:fill="auto"/>
            <w:noWrap/>
            <w:vAlign w:val="center"/>
            <w:hideMark/>
          </w:tcPr>
          <w:p w14:paraId="166849AE" w14:textId="77777777" w:rsidR="000B19AE" w:rsidRPr="00F1559C" w:rsidRDefault="000B19AE" w:rsidP="000B19AE">
            <w:pPr>
              <w:spacing w:after="0" w:line="240" w:lineRule="auto"/>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 xml:space="preserve">      Conta Única RPPS</w:t>
            </w:r>
          </w:p>
        </w:tc>
        <w:tc>
          <w:tcPr>
            <w:tcW w:w="1134" w:type="dxa"/>
            <w:tcBorders>
              <w:top w:val="nil"/>
              <w:left w:val="nil"/>
              <w:bottom w:val="nil"/>
              <w:right w:val="single" w:sz="8" w:space="0" w:color="auto"/>
            </w:tcBorders>
            <w:shd w:val="clear" w:color="auto" w:fill="auto"/>
            <w:vAlign w:val="center"/>
            <w:hideMark/>
          </w:tcPr>
          <w:p w14:paraId="39DF4F70" w14:textId="77777777" w:rsidR="000B19AE" w:rsidRPr="00F1559C" w:rsidRDefault="000B19AE" w:rsidP="000B19AE">
            <w:pPr>
              <w:spacing w:after="0" w:line="240" w:lineRule="auto"/>
              <w:jc w:val="center"/>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BFI.C071</w:t>
            </w:r>
          </w:p>
        </w:tc>
        <w:tc>
          <w:tcPr>
            <w:tcW w:w="1276" w:type="dxa"/>
            <w:tcBorders>
              <w:top w:val="nil"/>
              <w:left w:val="nil"/>
              <w:bottom w:val="nil"/>
              <w:right w:val="single" w:sz="8" w:space="0" w:color="auto"/>
            </w:tcBorders>
            <w:shd w:val="clear" w:color="auto" w:fill="auto"/>
            <w:vAlign w:val="center"/>
            <w:hideMark/>
          </w:tcPr>
          <w:p w14:paraId="46F74125" w14:textId="77777777" w:rsidR="000B19AE" w:rsidRPr="00F1559C" w:rsidRDefault="000B19AE" w:rsidP="000B19AE">
            <w:pPr>
              <w:spacing w:after="0" w:line="240" w:lineRule="auto"/>
              <w:jc w:val="center"/>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BFI.D071</w:t>
            </w:r>
          </w:p>
        </w:tc>
        <w:tc>
          <w:tcPr>
            <w:tcW w:w="4243" w:type="dxa"/>
            <w:tcBorders>
              <w:top w:val="nil"/>
              <w:left w:val="nil"/>
              <w:bottom w:val="nil"/>
              <w:right w:val="single" w:sz="8" w:space="0" w:color="auto"/>
            </w:tcBorders>
            <w:shd w:val="clear" w:color="auto" w:fill="auto"/>
            <w:noWrap/>
            <w:vAlign w:val="center"/>
            <w:hideMark/>
          </w:tcPr>
          <w:p w14:paraId="168B10E5" w14:textId="77777777" w:rsidR="000B19AE" w:rsidRPr="00F1559C" w:rsidRDefault="000B19AE" w:rsidP="000B19AE">
            <w:pPr>
              <w:spacing w:after="0" w:line="240" w:lineRule="auto"/>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 xml:space="preserve">      Conta Única RPPS</w:t>
            </w:r>
          </w:p>
        </w:tc>
        <w:tc>
          <w:tcPr>
            <w:tcW w:w="1285" w:type="dxa"/>
            <w:gridSpan w:val="2"/>
            <w:tcBorders>
              <w:top w:val="nil"/>
              <w:left w:val="nil"/>
              <w:bottom w:val="nil"/>
              <w:right w:val="single" w:sz="8" w:space="0" w:color="auto"/>
            </w:tcBorders>
            <w:shd w:val="clear" w:color="auto" w:fill="auto"/>
            <w:vAlign w:val="center"/>
            <w:hideMark/>
          </w:tcPr>
          <w:p w14:paraId="7013DC9B" w14:textId="77777777" w:rsidR="000B19AE" w:rsidRPr="00F1559C" w:rsidRDefault="000B19AE" w:rsidP="000B19AE">
            <w:pPr>
              <w:spacing w:after="0" w:line="240" w:lineRule="auto"/>
              <w:jc w:val="center"/>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BFI.G071</w:t>
            </w:r>
          </w:p>
        </w:tc>
        <w:tc>
          <w:tcPr>
            <w:tcW w:w="1276" w:type="dxa"/>
            <w:gridSpan w:val="2"/>
            <w:tcBorders>
              <w:top w:val="nil"/>
              <w:left w:val="nil"/>
              <w:bottom w:val="nil"/>
              <w:right w:val="single" w:sz="8" w:space="0" w:color="auto"/>
            </w:tcBorders>
            <w:shd w:val="clear" w:color="auto" w:fill="auto"/>
            <w:vAlign w:val="center"/>
            <w:hideMark/>
          </w:tcPr>
          <w:p w14:paraId="45032816" w14:textId="77777777" w:rsidR="000B19AE" w:rsidRPr="00F1559C" w:rsidRDefault="000B19AE" w:rsidP="000B19AE">
            <w:pPr>
              <w:spacing w:after="0" w:line="240" w:lineRule="auto"/>
              <w:jc w:val="center"/>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BFI.H071</w:t>
            </w:r>
          </w:p>
        </w:tc>
      </w:tr>
      <w:tr w:rsidR="000B19AE" w:rsidRPr="003042F6" w14:paraId="3DB41E62" w14:textId="77777777" w:rsidTr="00E450A4">
        <w:trPr>
          <w:trHeight w:val="255"/>
        </w:trPr>
        <w:tc>
          <w:tcPr>
            <w:tcW w:w="4820" w:type="dxa"/>
            <w:gridSpan w:val="2"/>
            <w:tcBorders>
              <w:top w:val="nil"/>
              <w:left w:val="single" w:sz="8" w:space="0" w:color="auto"/>
              <w:bottom w:val="nil"/>
              <w:right w:val="single" w:sz="8" w:space="0" w:color="auto"/>
            </w:tcBorders>
            <w:shd w:val="clear" w:color="auto" w:fill="auto"/>
            <w:noWrap/>
            <w:vAlign w:val="center"/>
            <w:hideMark/>
          </w:tcPr>
          <w:p w14:paraId="2F40306F" w14:textId="77777777" w:rsidR="000B19AE" w:rsidRPr="00F1559C" w:rsidRDefault="000B19AE" w:rsidP="000B19AE">
            <w:pPr>
              <w:spacing w:after="0" w:line="240" w:lineRule="auto"/>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 xml:space="preserve">      Bancos Conta Movimento - Demais Contas</w:t>
            </w:r>
          </w:p>
        </w:tc>
        <w:tc>
          <w:tcPr>
            <w:tcW w:w="1134" w:type="dxa"/>
            <w:tcBorders>
              <w:top w:val="nil"/>
              <w:left w:val="nil"/>
              <w:bottom w:val="nil"/>
              <w:right w:val="single" w:sz="8" w:space="0" w:color="auto"/>
            </w:tcBorders>
            <w:shd w:val="clear" w:color="auto" w:fill="auto"/>
            <w:vAlign w:val="center"/>
            <w:hideMark/>
          </w:tcPr>
          <w:p w14:paraId="4C8EE86B" w14:textId="77777777" w:rsidR="000B19AE" w:rsidRPr="00F1559C" w:rsidRDefault="000B19AE" w:rsidP="000B19AE">
            <w:pPr>
              <w:spacing w:after="0" w:line="240" w:lineRule="auto"/>
              <w:jc w:val="center"/>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BFI.C072</w:t>
            </w:r>
          </w:p>
        </w:tc>
        <w:tc>
          <w:tcPr>
            <w:tcW w:w="1276" w:type="dxa"/>
            <w:tcBorders>
              <w:top w:val="nil"/>
              <w:left w:val="nil"/>
              <w:bottom w:val="nil"/>
              <w:right w:val="single" w:sz="8" w:space="0" w:color="auto"/>
            </w:tcBorders>
            <w:shd w:val="clear" w:color="auto" w:fill="auto"/>
            <w:vAlign w:val="center"/>
            <w:hideMark/>
          </w:tcPr>
          <w:p w14:paraId="21771F66" w14:textId="77777777" w:rsidR="000B19AE" w:rsidRPr="00F1559C" w:rsidRDefault="000B19AE" w:rsidP="000B19AE">
            <w:pPr>
              <w:spacing w:after="0" w:line="240" w:lineRule="auto"/>
              <w:jc w:val="center"/>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BFI.D072</w:t>
            </w:r>
          </w:p>
        </w:tc>
        <w:tc>
          <w:tcPr>
            <w:tcW w:w="4243" w:type="dxa"/>
            <w:tcBorders>
              <w:top w:val="nil"/>
              <w:left w:val="nil"/>
              <w:bottom w:val="nil"/>
              <w:right w:val="single" w:sz="8" w:space="0" w:color="auto"/>
            </w:tcBorders>
            <w:shd w:val="clear" w:color="auto" w:fill="auto"/>
            <w:noWrap/>
            <w:vAlign w:val="center"/>
            <w:hideMark/>
          </w:tcPr>
          <w:p w14:paraId="71FC4D51" w14:textId="77777777" w:rsidR="000B19AE" w:rsidRPr="00F1559C" w:rsidRDefault="000B19AE" w:rsidP="000B19AE">
            <w:pPr>
              <w:spacing w:after="0" w:line="240" w:lineRule="auto"/>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 xml:space="preserve">      Bancos Conta Movimento - Demais Contas</w:t>
            </w:r>
          </w:p>
        </w:tc>
        <w:tc>
          <w:tcPr>
            <w:tcW w:w="1285" w:type="dxa"/>
            <w:gridSpan w:val="2"/>
            <w:tcBorders>
              <w:top w:val="nil"/>
              <w:left w:val="nil"/>
              <w:bottom w:val="nil"/>
              <w:right w:val="single" w:sz="8" w:space="0" w:color="auto"/>
            </w:tcBorders>
            <w:shd w:val="clear" w:color="auto" w:fill="auto"/>
            <w:vAlign w:val="center"/>
            <w:hideMark/>
          </w:tcPr>
          <w:p w14:paraId="772EFE47" w14:textId="77777777" w:rsidR="000B19AE" w:rsidRPr="00F1559C" w:rsidRDefault="000B19AE" w:rsidP="000B19AE">
            <w:pPr>
              <w:spacing w:after="0" w:line="240" w:lineRule="auto"/>
              <w:jc w:val="center"/>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BFI.G072</w:t>
            </w:r>
          </w:p>
        </w:tc>
        <w:tc>
          <w:tcPr>
            <w:tcW w:w="1276" w:type="dxa"/>
            <w:gridSpan w:val="2"/>
            <w:tcBorders>
              <w:top w:val="nil"/>
              <w:left w:val="nil"/>
              <w:bottom w:val="nil"/>
              <w:right w:val="single" w:sz="8" w:space="0" w:color="auto"/>
            </w:tcBorders>
            <w:shd w:val="clear" w:color="auto" w:fill="auto"/>
            <w:vAlign w:val="center"/>
            <w:hideMark/>
          </w:tcPr>
          <w:p w14:paraId="60DDF2AF" w14:textId="77777777" w:rsidR="000B19AE" w:rsidRPr="00F1559C" w:rsidRDefault="000B19AE" w:rsidP="000B19AE">
            <w:pPr>
              <w:spacing w:after="0" w:line="240" w:lineRule="auto"/>
              <w:jc w:val="center"/>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BFI.H072</w:t>
            </w:r>
          </w:p>
        </w:tc>
      </w:tr>
      <w:tr w:rsidR="000B19AE" w:rsidRPr="003042F6" w14:paraId="26D8E345" w14:textId="77777777" w:rsidTr="00E450A4">
        <w:trPr>
          <w:trHeight w:val="255"/>
        </w:trPr>
        <w:tc>
          <w:tcPr>
            <w:tcW w:w="4820" w:type="dxa"/>
            <w:gridSpan w:val="2"/>
            <w:tcBorders>
              <w:top w:val="nil"/>
              <w:left w:val="single" w:sz="8" w:space="0" w:color="auto"/>
              <w:bottom w:val="nil"/>
              <w:right w:val="single" w:sz="8" w:space="0" w:color="auto"/>
            </w:tcBorders>
            <w:shd w:val="clear" w:color="auto" w:fill="auto"/>
            <w:noWrap/>
            <w:vAlign w:val="center"/>
            <w:hideMark/>
          </w:tcPr>
          <w:p w14:paraId="41FE6447" w14:textId="77777777" w:rsidR="000B19AE" w:rsidRPr="00F1559C" w:rsidRDefault="000B19AE" w:rsidP="000B19AE">
            <w:pPr>
              <w:spacing w:after="0" w:line="240" w:lineRule="auto"/>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 xml:space="preserve">      Rede Bancária - Arrecadação</w:t>
            </w:r>
          </w:p>
        </w:tc>
        <w:tc>
          <w:tcPr>
            <w:tcW w:w="1134" w:type="dxa"/>
            <w:tcBorders>
              <w:top w:val="nil"/>
              <w:left w:val="nil"/>
              <w:bottom w:val="nil"/>
              <w:right w:val="single" w:sz="8" w:space="0" w:color="auto"/>
            </w:tcBorders>
            <w:shd w:val="clear" w:color="auto" w:fill="auto"/>
            <w:vAlign w:val="center"/>
            <w:hideMark/>
          </w:tcPr>
          <w:p w14:paraId="5759C6FE" w14:textId="77777777" w:rsidR="000B19AE" w:rsidRPr="00F1559C" w:rsidRDefault="000B19AE" w:rsidP="000B19AE">
            <w:pPr>
              <w:spacing w:after="0" w:line="240" w:lineRule="auto"/>
              <w:jc w:val="center"/>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BFI.C073</w:t>
            </w:r>
          </w:p>
        </w:tc>
        <w:tc>
          <w:tcPr>
            <w:tcW w:w="1276" w:type="dxa"/>
            <w:tcBorders>
              <w:top w:val="nil"/>
              <w:left w:val="nil"/>
              <w:bottom w:val="nil"/>
              <w:right w:val="single" w:sz="8" w:space="0" w:color="auto"/>
            </w:tcBorders>
            <w:shd w:val="clear" w:color="auto" w:fill="auto"/>
            <w:vAlign w:val="center"/>
            <w:hideMark/>
          </w:tcPr>
          <w:p w14:paraId="2A33D7E4" w14:textId="77777777" w:rsidR="000B19AE" w:rsidRPr="00F1559C" w:rsidRDefault="000B19AE" w:rsidP="000B19AE">
            <w:pPr>
              <w:spacing w:after="0" w:line="240" w:lineRule="auto"/>
              <w:jc w:val="center"/>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BFI.D073</w:t>
            </w:r>
          </w:p>
        </w:tc>
        <w:tc>
          <w:tcPr>
            <w:tcW w:w="4243" w:type="dxa"/>
            <w:tcBorders>
              <w:top w:val="nil"/>
              <w:left w:val="nil"/>
              <w:bottom w:val="nil"/>
              <w:right w:val="single" w:sz="8" w:space="0" w:color="auto"/>
            </w:tcBorders>
            <w:shd w:val="clear" w:color="auto" w:fill="auto"/>
            <w:noWrap/>
            <w:vAlign w:val="center"/>
            <w:hideMark/>
          </w:tcPr>
          <w:p w14:paraId="21EE0299" w14:textId="77777777" w:rsidR="000B19AE" w:rsidRPr="00F1559C" w:rsidRDefault="000B19AE" w:rsidP="000B19AE">
            <w:pPr>
              <w:spacing w:after="0" w:line="240" w:lineRule="auto"/>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 xml:space="preserve">      Rede Bancária - Arrecadação</w:t>
            </w:r>
          </w:p>
        </w:tc>
        <w:tc>
          <w:tcPr>
            <w:tcW w:w="1285" w:type="dxa"/>
            <w:gridSpan w:val="2"/>
            <w:tcBorders>
              <w:top w:val="nil"/>
              <w:left w:val="nil"/>
              <w:bottom w:val="nil"/>
              <w:right w:val="single" w:sz="8" w:space="0" w:color="auto"/>
            </w:tcBorders>
            <w:shd w:val="clear" w:color="auto" w:fill="auto"/>
            <w:vAlign w:val="center"/>
            <w:hideMark/>
          </w:tcPr>
          <w:p w14:paraId="42E666F9" w14:textId="77777777" w:rsidR="000B19AE" w:rsidRPr="00F1559C" w:rsidRDefault="000B19AE" w:rsidP="000B19AE">
            <w:pPr>
              <w:spacing w:after="0" w:line="240" w:lineRule="auto"/>
              <w:jc w:val="center"/>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BFI.G073</w:t>
            </w:r>
          </w:p>
        </w:tc>
        <w:tc>
          <w:tcPr>
            <w:tcW w:w="1276" w:type="dxa"/>
            <w:gridSpan w:val="2"/>
            <w:tcBorders>
              <w:top w:val="nil"/>
              <w:left w:val="nil"/>
              <w:bottom w:val="nil"/>
              <w:right w:val="single" w:sz="8" w:space="0" w:color="auto"/>
            </w:tcBorders>
            <w:shd w:val="clear" w:color="auto" w:fill="auto"/>
            <w:vAlign w:val="center"/>
            <w:hideMark/>
          </w:tcPr>
          <w:p w14:paraId="1C092B90" w14:textId="77777777" w:rsidR="000B19AE" w:rsidRPr="00F1559C" w:rsidRDefault="000B19AE" w:rsidP="000B19AE">
            <w:pPr>
              <w:spacing w:after="0" w:line="240" w:lineRule="auto"/>
              <w:jc w:val="center"/>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BFI.H073</w:t>
            </w:r>
          </w:p>
        </w:tc>
      </w:tr>
      <w:tr w:rsidR="000B19AE" w:rsidRPr="003042F6" w14:paraId="7012B2BD" w14:textId="77777777" w:rsidTr="00E450A4">
        <w:trPr>
          <w:trHeight w:val="255"/>
        </w:trPr>
        <w:tc>
          <w:tcPr>
            <w:tcW w:w="4820" w:type="dxa"/>
            <w:gridSpan w:val="2"/>
            <w:tcBorders>
              <w:top w:val="nil"/>
              <w:left w:val="single" w:sz="8" w:space="0" w:color="auto"/>
              <w:bottom w:val="nil"/>
              <w:right w:val="single" w:sz="8" w:space="0" w:color="auto"/>
            </w:tcBorders>
            <w:shd w:val="clear" w:color="auto" w:fill="auto"/>
            <w:noWrap/>
            <w:vAlign w:val="center"/>
            <w:hideMark/>
          </w:tcPr>
          <w:p w14:paraId="69938B21" w14:textId="77777777" w:rsidR="000B19AE" w:rsidRPr="00F1559C" w:rsidRDefault="000B19AE" w:rsidP="000B19AE">
            <w:pPr>
              <w:spacing w:after="0" w:line="240" w:lineRule="auto"/>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 xml:space="preserve">      Aplicações Financeiras de Liquidez Imediata</w:t>
            </w:r>
          </w:p>
        </w:tc>
        <w:tc>
          <w:tcPr>
            <w:tcW w:w="1134" w:type="dxa"/>
            <w:tcBorders>
              <w:top w:val="nil"/>
              <w:left w:val="nil"/>
              <w:bottom w:val="nil"/>
              <w:right w:val="single" w:sz="8" w:space="0" w:color="auto"/>
            </w:tcBorders>
            <w:shd w:val="clear" w:color="auto" w:fill="auto"/>
            <w:vAlign w:val="center"/>
            <w:hideMark/>
          </w:tcPr>
          <w:p w14:paraId="5C4D729D" w14:textId="77777777" w:rsidR="000B19AE" w:rsidRPr="00F1559C" w:rsidRDefault="000B19AE" w:rsidP="000B19AE">
            <w:pPr>
              <w:spacing w:after="0" w:line="240" w:lineRule="auto"/>
              <w:jc w:val="center"/>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BFI.C074</w:t>
            </w:r>
          </w:p>
        </w:tc>
        <w:tc>
          <w:tcPr>
            <w:tcW w:w="1276" w:type="dxa"/>
            <w:tcBorders>
              <w:top w:val="nil"/>
              <w:left w:val="nil"/>
              <w:bottom w:val="nil"/>
              <w:right w:val="single" w:sz="8" w:space="0" w:color="auto"/>
            </w:tcBorders>
            <w:shd w:val="clear" w:color="auto" w:fill="auto"/>
            <w:vAlign w:val="center"/>
            <w:hideMark/>
          </w:tcPr>
          <w:p w14:paraId="2232D404" w14:textId="77777777" w:rsidR="000B19AE" w:rsidRPr="00F1559C" w:rsidRDefault="000B19AE" w:rsidP="000B19AE">
            <w:pPr>
              <w:spacing w:after="0" w:line="240" w:lineRule="auto"/>
              <w:jc w:val="center"/>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BFI.D074</w:t>
            </w:r>
          </w:p>
        </w:tc>
        <w:tc>
          <w:tcPr>
            <w:tcW w:w="4243" w:type="dxa"/>
            <w:tcBorders>
              <w:top w:val="nil"/>
              <w:left w:val="nil"/>
              <w:bottom w:val="nil"/>
              <w:right w:val="single" w:sz="8" w:space="0" w:color="auto"/>
            </w:tcBorders>
            <w:shd w:val="clear" w:color="auto" w:fill="auto"/>
            <w:noWrap/>
            <w:vAlign w:val="center"/>
            <w:hideMark/>
          </w:tcPr>
          <w:p w14:paraId="12FC7546" w14:textId="77777777" w:rsidR="000B19AE" w:rsidRPr="00F1559C" w:rsidRDefault="000B19AE" w:rsidP="000B19AE">
            <w:pPr>
              <w:spacing w:after="0" w:line="240" w:lineRule="auto"/>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 xml:space="preserve">      Aplicações Financeiras de Liquidez Imediata</w:t>
            </w:r>
          </w:p>
        </w:tc>
        <w:tc>
          <w:tcPr>
            <w:tcW w:w="1285" w:type="dxa"/>
            <w:gridSpan w:val="2"/>
            <w:tcBorders>
              <w:top w:val="nil"/>
              <w:left w:val="nil"/>
              <w:bottom w:val="nil"/>
              <w:right w:val="single" w:sz="8" w:space="0" w:color="auto"/>
            </w:tcBorders>
            <w:shd w:val="clear" w:color="auto" w:fill="auto"/>
            <w:vAlign w:val="center"/>
            <w:hideMark/>
          </w:tcPr>
          <w:p w14:paraId="7A2BAD68" w14:textId="77777777" w:rsidR="000B19AE" w:rsidRPr="00F1559C" w:rsidRDefault="000B19AE" w:rsidP="000B19AE">
            <w:pPr>
              <w:spacing w:after="0" w:line="240" w:lineRule="auto"/>
              <w:jc w:val="center"/>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BFI.G074</w:t>
            </w:r>
          </w:p>
        </w:tc>
        <w:tc>
          <w:tcPr>
            <w:tcW w:w="1276" w:type="dxa"/>
            <w:gridSpan w:val="2"/>
            <w:tcBorders>
              <w:top w:val="nil"/>
              <w:left w:val="nil"/>
              <w:bottom w:val="nil"/>
              <w:right w:val="single" w:sz="8" w:space="0" w:color="auto"/>
            </w:tcBorders>
            <w:shd w:val="clear" w:color="auto" w:fill="auto"/>
            <w:vAlign w:val="center"/>
            <w:hideMark/>
          </w:tcPr>
          <w:p w14:paraId="78A86AB6" w14:textId="77777777" w:rsidR="000B19AE" w:rsidRPr="00F1559C" w:rsidRDefault="000B19AE" w:rsidP="000B19AE">
            <w:pPr>
              <w:spacing w:after="0" w:line="240" w:lineRule="auto"/>
              <w:jc w:val="center"/>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BFI.H074</w:t>
            </w:r>
          </w:p>
        </w:tc>
      </w:tr>
      <w:tr w:rsidR="000B19AE" w:rsidRPr="003042F6" w14:paraId="74246369" w14:textId="77777777" w:rsidTr="00E450A4">
        <w:trPr>
          <w:trHeight w:val="255"/>
        </w:trPr>
        <w:tc>
          <w:tcPr>
            <w:tcW w:w="4820" w:type="dxa"/>
            <w:gridSpan w:val="2"/>
            <w:tcBorders>
              <w:top w:val="nil"/>
              <w:left w:val="single" w:sz="8" w:space="0" w:color="auto"/>
              <w:bottom w:val="nil"/>
              <w:right w:val="single" w:sz="8" w:space="0" w:color="auto"/>
            </w:tcBorders>
            <w:shd w:val="clear" w:color="auto" w:fill="auto"/>
            <w:noWrap/>
            <w:vAlign w:val="center"/>
          </w:tcPr>
          <w:p w14:paraId="185FE8C9" w14:textId="77777777" w:rsidR="000B19AE" w:rsidRPr="00F1559C" w:rsidRDefault="000B19AE" w:rsidP="000B19AE">
            <w:pPr>
              <w:spacing w:after="0" w:line="240" w:lineRule="auto"/>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 xml:space="preserve">   Caixa e Equivalentes de Caixa - Intra OFSS</w:t>
            </w:r>
          </w:p>
        </w:tc>
        <w:tc>
          <w:tcPr>
            <w:tcW w:w="1134" w:type="dxa"/>
            <w:tcBorders>
              <w:top w:val="nil"/>
              <w:left w:val="nil"/>
              <w:bottom w:val="nil"/>
              <w:right w:val="single" w:sz="8" w:space="0" w:color="auto"/>
            </w:tcBorders>
            <w:shd w:val="clear" w:color="auto" w:fill="auto"/>
            <w:vAlign w:val="center"/>
          </w:tcPr>
          <w:p w14:paraId="32721EB1" w14:textId="77777777" w:rsidR="000B19AE" w:rsidRPr="00F1559C" w:rsidRDefault="000B19AE" w:rsidP="000B19AE">
            <w:pPr>
              <w:spacing w:after="0" w:line="240" w:lineRule="auto"/>
              <w:jc w:val="center"/>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BFI.C077</w:t>
            </w:r>
          </w:p>
        </w:tc>
        <w:tc>
          <w:tcPr>
            <w:tcW w:w="1276" w:type="dxa"/>
            <w:tcBorders>
              <w:top w:val="nil"/>
              <w:left w:val="nil"/>
              <w:bottom w:val="nil"/>
              <w:right w:val="single" w:sz="8" w:space="0" w:color="auto"/>
            </w:tcBorders>
            <w:shd w:val="clear" w:color="auto" w:fill="auto"/>
            <w:vAlign w:val="center"/>
          </w:tcPr>
          <w:p w14:paraId="5F104491" w14:textId="77777777" w:rsidR="000B19AE" w:rsidRPr="00F1559C" w:rsidRDefault="000B19AE" w:rsidP="000B19AE">
            <w:pPr>
              <w:spacing w:after="0" w:line="240" w:lineRule="auto"/>
              <w:jc w:val="center"/>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BFI.D077</w:t>
            </w:r>
          </w:p>
        </w:tc>
        <w:tc>
          <w:tcPr>
            <w:tcW w:w="4243" w:type="dxa"/>
            <w:tcBorders>
              <w:top w:val="nil"/>
              <w:left w:val="nil"/>
              <w:bottom w:val="nil"/>
              <w:right w:val="single" w:sz="8" w:space="0" w:color="auto"/>
            </w:tcBorders>
            <w:shd w:val="clear" w:color="auto" w:fill="auto"/>
            <w:noWrap/>
            <w:vAlign w:val="center"/>
          </w:tcPr>
          <w:p w14:paraId="0E234778" w14:textId="77777777" w:rsidR="000B19AE" w:rsidRPr="00F1559C" w:rsidRDefault="000B19AE" w:rsidP="000B19AE">
            <w:pPr>
              <w:spacing w:after="0" w:line="240" w:lineRule="auto"/>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 xml:space="preserve">   Caixa e Equivalentes de Caixa - Intra OFSS</w:t>
            </w:r>
          </w:p>
        </w:tc>
        <w:tc>
          <w:tcPr>
            <w:tcW w:w="1285" w:type="dxa"/>
            <w:gridSpan w:val="2"/>
            <w:tcBorders>
              <w:top w:val="nil"/>
              <w:left w:val="nil"/>
              <w:bottom w:val="nil"/>
              <w:right w:val="single" w:sz="8" w:space="0" w:color="auto"/>
            </w:tcBorders>
            <w:shd w:val="clear" w:color="auto" w:fill="auto"/>
            <w:vAlign w:val="center"/>
          </w:tcPr>
          <w:p w14:paraId="7A79836F" w14:textId="77777777" w:rsidR="000B19AE" w:rsidRPr="00F1559C" w:rsidRDefault="000B19AE" w:rsidP="000B19AE">
            <w:pPr>
              <w:spacing w:after="0" w:line="240" w:lineRule="auto"/>
              <w:jc w:val="center"/>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BFI.G077</w:t>
            </w:r>
          </w:p>
        </w:tc>
        <w:tc>
          <w:tcPr>
            <w:tcW w:w="1276" w:type="dxa"/>
            <w:gridSpan w:val="2"/>
            <w:tcBorders>
              <w:top w:val="nil"/>
              <w:left w:val="nil"/>
              <w:bottom w:val="nil"/>
              <w:right w:val="single" w:sz="8" w:space="0" w:color="auto"/>
            </w:tcBorders>
            <w:shd w:val="clear" w:color="auto" w:fill="auto"/>
            <w:vAlign w:val="center"/>
          </w:tcPr>
          <w:p w14:paraId="22B4260C" w14:textId="77777777" w:rsidR="000B19AE" w:rsidRPr="00F1559C" w:rsidRDefault="000B19AE" w:rsidP="000B19AE">
            <w:pPr>
              <w:spacing w:after="0" w:line="240" w:lineRule="auto"/>
              <w:jc w:val="center"/>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BFI.H077</w:t>
            </w:r>
          </w:p>
        </w:tc>
      </w:tr>
      <w:tr w:rsidR="000B19AE" w:rsidRPr="003042F6" w14:paraId="485EA9A1" w14:textId="77777777" w:rsidTr="00E450A4">
        <w:trPr>
          <w:trHeight w:val="270"/>
        </w:trPr>
        <w:tc>
          <w:tcPr>
            <w:tcW w:w="4820" w:type="dxa"/>
            <w:gridSpan w:val="2"/>
            <w:tcBorders>
              <w:top w:val="nil"/>
              <w:left w:val="single" w:sz="8" w:space="0" w:color="auto"/>
              <w:bottom w:val="nil"/>
              <w:right w:val="single" w:sz="8" w:space="0" w:color="auto"/>
            </w:tcBorders>
            <w:shd w:val="clear" w:color="auto" w:fill="auto"/>
            <w:noWrap/>
            <w:vAlign w:val="center"/>
          </w:tcPr>
          <w:p w14:paraId="3306B72B" w14:textId="77777777" w:rsidR="000B19AE" w:rsidRPr="00F1559C" w:rsidRDefault="000B19AE" w:rsidP="000B19AE">
            <w:pPr>
              <w:spacing w:after="0" w:line="240" w:lineRule="auto"/>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 xml:space="preserve">   Depósitos Restituíveis e Valores Vinculados</w:t>
            </w:r>
          </w:p>
        </w:tc>
        <w:tc>
          <w:tcPr>
            <w:tcW w:w="1134" w:type="dxa"/>
            <w:tcBorders>
              <w:top w:val="nil"/>
              <w:left w:val="nil"/>
              <w:bottom w:val="nil"/>
              <w:right w:val="single" w:sz="8" w:space="0" w:color="auto"/>
            </w:tcBorders>
            <w:shd w:val="clear" w:color="auto" w:fill="auto"/>
            <w:vAlign w:val="center"/>
          </w:tcPr>
          <w:p w14:paraId="23ADC88F" w14:textId="77777777" w:rsidR="000B19AE" w:rsidRPr="00F1559C" w:rsidRDefault="000B19AE" w:rsidP="000B19AE">
            <w:pPr>
              <w:spacing w:after="0" w:line="240" w:lineRule="auto"/>
              <w:jc w:val="center"/>
              <w:rPr>
                <w:rFonts w:ascii="Arial Narrow" w:eastAsia="Times New Roman" w:hAnsi="Arial Narrow" w:cs="Arial"/>
                <w:b/>
                <w:bCs/>
                <w:sz w:val="16"/>
                <w:szCs w:val="16"/>
                <w:lang w:eastAsia="pt-BR"/>
              </w:rPr>
            </w:pPr>
            <w:r w:rsidRPr="00F1559C">
              <w:rPr>
                <w:rFonts w:ascii="Arial Narrow" w:eastAsia="Times New Roman" w:hAnsi="Arial Narrow" w:cs="Arial"/>
                <w:b/>
                <w:bCs/>
                <w:sz w:val="16"/>
                <w:szCs w:val="16"/>
                <w:lang w:eastAsia="pt-BR"/>
              </w:rPr>
              <w:t>BFI.C075</w:t>
            </w:r>
          </w:p>
        </w:tc>
        <w:tc>
          <w:tcPr>
            <w:tcW w:w="1276" w:type="dxa"/>
            <w:tcBorders>
              <w:top w:val="nil"/>
              <w:left w:val="nil"/>
              <w:bottom w:val="nil"/>
              <w:right w:val="single" w:sz="8" w:space="0" w:color="auto"/>
            </w:tcBorders>
            <w:shd w:val="clear" w:color="auto" w:fill="auto"/>
            <w:vAlign w:val="center"/>
          </w:tcPr>
          <w:p w14:paraId="5CF3EAEB" w14:textId="77777777" w:rsidR="000B19AE" w:rsidRPr="00F1559C" w:rsidRDefault="000B19AE" w:rsidP="000B19AE">
            <w:pPr>
              <w:spacing w:after="0" w:line="240" w:lineRule="auto"/>
              <w:jc w:val="center"/>
              <w:rPr>
                <w:rFonts w:ascii="Arial Narrow" w:eastAsia="Times New Roman" w:hAnsi="Arial Narrow" w:cs="Arial"/>
                <w:b/>
                <w:bCs/>
                <w:sz w:val="16"/>
                <w:szCs w:val="16"/>
                <w:lang w:eastAsia="pt-BR"/>
              </w:rPr>
            </w:pPr>
            <w:r w:rsidRPr="00F1559C">
              <w:rPr>
                <w:rFonts w:ascii="Arial Narrow" w:eastAsia="Times New Roman" w:hAnsi="Arial Narrow" w:cs="Arial"/>
                <w:b/>
                <w:bCs/>
                <w:sz w:val="16"/>
                <w:szCs w:val="16"/>
                <w:lang w:eastAsia="pt-BR"/>
              </w:rPr>
              <w:t>BFI.D075</w:t>
            </w:r>
          </w:p>
        </w:tc>
        <w:tc>
          <w:tcPr>
            <w:tcW w:w="4243" w:type="dxa"/>
            <w:tcBorders>
              <w:top w:val="nil"/>
              <w:left w:val="nil"/>
              <w:bottom w:val="nil"/>
              <w:right w:val="single" w:sz="8" w:space="0" w:color="auto"/>
            </w:tcBorders>
            <w:shd w:val="clear" w:color="auto" w:fill="auto"/>
            <w:noWrap/>
            <w:vAlign w:val="center"/>
          </w:tcPr>
          <w:p w14:paraId="14881277" w14:textId="77777777" w:rsidR="000B19AE" w:rsidRPr="00F1559C" w:rsidRDefault="000B19AE" w:rsidP="000B19AE">
            <w:pPr>
              <w:spacing w:after="0" w:line="240" w:lineRule="auto"/>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 xml:space="preserve">   Depósitos Restituíveis e Valores Vinculados</w:t>
            </w:r>
          </w:p>
        </w:tc>
        <w:tc>
          <w:tcPr>
            <w:tcW w:w="1285" w:type="dxa"/>
            <w:gridSpan w:val="2"/>
            <w:tcBorders>
              <w:top w:val="nil"/>
              <w:left w:val="nil"/>
              <w:bottom w:val="nil"/>
              <w:right w:val="single" w:sz="8" w:space="0" w:color="auto"/>
            </w:tcBorders>
            <w:shd w:val="clear" w:color="auto" w:fill="auto"/>
            <w:vAlign w:val="center"/>
          </w:tcPr>
          <w:p w14:paraId="43391195" w14:textId="77777777" w:rsidR="000B19AE" w:rsidRPr="00F1559C" w:rsidRDefault="000B19AE" w:rsidP="000B19AE">
            <w:pPr>
              <w:spacing w:after="0" w:line="240" w:lineRule="auto"/>
              <w:jc w:val="center"/>
              <w:rPr>
                <w:rFonts w:ascii="Arial Narrow" w:eastAsia="Times New Roman" w:hAnsi="Arial Narrow" w:cs="Arial"/>
                <w:b/>
                <w:bCs/>
                <w:sz w:val="16"/>
                <w:szCs w:val="16"/>
                <w:lang w:eastAsia="pt-BR"/>
              </w:rPr>
            </w:pPr>
            <w:r w:rsidRPr="00F1559C">
              <w:rPr>
                <w:rFonts w:ascii="Arial Narrow" w:eastAsia="Times New Roman" w:hAnsi="Arial Narrow" w:cs="Arial"/>
                <w:b/>
                <w:bCs/>
                <w:sz w:val="16"/>
                <w:szCs w:val="16"/>
                <w:lang w:eastAsia="pt-BR"/>
              </w:rPr>
              <w:t>BFI.G075</w:t>
            </w:r>
          </w:p>
        </w:tc>
        <w:tc>
          <w:tcPr>
            <w:tcW w:w="1276" w:type="dxa"/>
            <w:gridSpan w:val="2"/>
            <w:tcBorders>
              <w:top w:val="nil"/>
              <w:left w:val="nil"/>
              <w:bottom w:val="nil"/>
              <w:right w:val="single" w:sz="8" w:space="0" w:color="auto"/>
            </w:tcBorders>
            <w:shd w:val="clear" w:color="auto" w:fill="auto"/>
            <w:vAlign w:val="center"/>
          </w:tcPr>
          <w:p w14:paraId="7F645D5D" w14:textId="77777777" w:rsidR="000B19AE" w:rsidRPr="00F1559C" w:rsidRDefault="000B19AE" w:rsidP="000B19AE">
            <w:pPr>
              <w:spacing w:after="0" w:line="240" w:lineRule="auto"/>
              <w:jc w:val="center"/>
              <w:rPr>
                <w:rFonts w:ascii="Arial Narrow" w:eastAsia="Times New Roman" w:hAnsi="Arial Narrow" w:cs="Arial"/>
                <w:b/>
                <w:bCs/>
                <w:sz w:val="16"/>
                <w:szCs w:val="16"/>
                <w:lang w:eastAsia="pt-BR"/>
              </w:rPr>
            </w:pPr>
            <w:r w:rsidRPr="00F1559C">
              <w:rPr>
                <w:rFonts w:ascii="Arial Narrow" w:eastAsia="Times New Roman" w:hAnsi="Arial Narrow" w:cs="Arial"/>
                <w:b/>
                <w:bCs/>
                <w:sz w:val="16"/>
                <w:szCs w:val="16"/>
                <w:lang w:eastAsia="pt-BR"/>
              </w:rPr>
              <w:t>BFI.H075</w:t>
            </w:r>
          </w:p>
        </w:tc>
      </w:tr>
      <w:tr w:rsidR="000B19AE" w:rsidRPr="003042F6" w14:paraId="702922F8" w14:textId="77777777" w:rsidTr="00E450A4">
        <w:trPr>
          <w:trHeight w:val="270"/>
        </w:trPr>
        <w:tc>
          <w:tcPr>
            <w:tcW w:w="4820" w:type="dxa"/>
            <w:gridSpan w:val="2"/>
            <w:tcBorders>
              <w:top w:val="nil"/>
              <w:left w:val="single" w:sz="8" w:space="0" w:color="auto"/>
              <w:bottom w:val="nil"/>
              <w:right w:val="single" w:sz="8" w:space="0" w:color="auto"/>
            </w:tcBorders>
            <w:shd w:val="clear" w:color="auto" w:fill="auto"/>
            <w:noWrap/>
            <w:vAlign w:val="center"/>
            <w:hideMark/>
          </w:tcPr>
          <w:p w14:paraId="729E4E3E" w14:textId="77777777" w:rsidR="000B19AE" w:rsidRPr="00F1559C" w:rsidRDefault="000B19AE" w:rsidP="000B19AE">
            <w:pPr>
              <w:spacing w:after="0" w:line="240" w:lineRule="auto"/>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 xml:space="preserve">   Investimentos e Aplicações Temporárias a Curto Prazo - RPPS</w:t>
            </w:r>
          </w:p>
        </w:tc>
        <w:tc>
          <w:tcPr>
            <w:tcW w:w="1134" w:type="dxa"/>
            <w:tcBorders>
              <w:top w:val="nil"/>
              <w:left w:val="nil"/>
              <w:bottom w:val="nil"/>
              <w:right w:val="single" w:sz="8" w:space="0" w:color="auto"/>
            </w:tcBorders>
            <w:shd w:val="clear" w:color="auto" w:fill="auto"/>
            <w:vAlign w:val="center"/>
          </w:tcPr>
          <w:p w14:paraId="3E2C88AD" w14:textId="77777777" w:rsidR="000B19AE" w:rsidRPr="00F1559C" w:rsidRDefault="000B19AE" w:rsidP="000B19AE">
            <w:pPr>
              <w:spacing w:after="0" w:line="240" w:lineRule="auto"/>
              <w:jc w:val="center"/>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BFI.C095</w:t>
            </w:r>
          </w:p>
        </w:tc>
        <w:tc>
          <w:tcPr>
            <w:tcW w:w="1276" w:type="dxa"/>
            <w:tcBorders>
              <w:top w:val="nil"/>
              <w:left w:val="nil"/>
              <w:bottom w:val="nil"/>
              <w:right w:val="single" w:sz="8" w:space="0" w:color="auto"/>
            </w:tcBorders>
            <w:shd w:val="clear" w:color="auto" w:fill="auto"/>
            <w:vAlign w:val="center"/>
          </w:tcPr>
          <w:p w14:paraId="4D841AE8" w14:textId="77777777" w:rsidR="000B19AE" w:rsidRPr="00F1559C" w:rsidRDefault="000B19AE" w:rsidP="000B19AE">
            <w:pPr>
              <w:spacing w:after="0" w:line="240" w:lineRule="auto"/>
              <w:jc w:val="center"/>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BFI.D095</w:t>
            </w:r>
          </w:p>
        </w:tc>
        <w:tc>
          <w:tcPr>
            <w:tcW w:w="4243" w:type="dxa"/>
            <w:tcBorders>
              <w:top w:val="nil"/>
              <w:left w:val="nil"/>
              <w:bottom w:val="nil"/>
              <w:right w:val="single" w:sz="8" w:space="0" w:color="auto"/>
            </w:tcBorders>
            <w:shd w:val="clear" w:color="auto" w:fill="auto"/>
            <w:noWrap/>
            <w:vAlign w:val="center"/>
          </w:tcPr>
          <w:p w14:paraId="600909C0" w14:textId="77777777" w:rsidR="000B19AE" w:rsidRPr="00F1559C" w:rsidRDefault="000B19AE" w:rsidP="000B19AE">
            <w:pPr>
              <w:spacing w:after="0" w:line="240" w:lineRule="auto"/>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 xml:space="preserve">   Investimentos e Aplicações Temporárias a Curto Prazo - RPPS</w:t>
            </w:r>
          </w:p>
        </w:tc>
        <w:tc>
          <w:tcPr>
            <w:tcW w:w="1285" w:type="dxa"/>
            <w:gridSpan w:val="2"/>
            <w:tcBorders>
              <w:top w:val="nil"/>
              <w:left w:val="nil"/>
              <w:bottom w:val="nil"/>
              <w:right w:val="single" w:sz="8" w:space="0" w:color="auto"/>
            </w:tcBorders>
            <w:shd w:val="clear" w:color="auto" w:fill="auto"/>
            <w:vAlign w:val="center"/>
          </w:tcPr>
          <w:p w14:paraId="55C7F1ED" w14:textId="77777777" w:rsidR="000B19AE" w:rsidRPr="00F1559C" w:rsidRDefault="000B19AE" w:rsidP="000B19AE">
            <w:pPr>
              <w:spacing w:after="0" w:line="240" w:lineRule="auto"/>
              <w:jc w:val="center"/>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BFI.G095</w:t>
            </w:r>
          </w:p>
        </w:tc>
        <w:tc>
          <w:tcPr>
            <w:tcW w:w="1276" w:type="dxa"/>
            <w:gridSpan w:val="2"/>
            <w:tcBorders>
              <w:top w:val="nil"/>
              <w:left w:val="nil"/>
              <w:bottom w:val="nil"/>
              <w:right w:val="single" w:sz="8" w:space="0" w:color="auto"/>
            </w:tcBorders>
            <w:shd w:val="clear" w:color="auto" w:fill="auto"/>
            <w:vAlign w:val="center"/>
          </w:tcPr>
          <w:p w14:paraId="7298EF81" w14:textId="77777777" w:rsidR="000B19AE" w:rsidRPr="00F1559C" w:rsidRDefault="000B19AE" w:rsidP="000B19AE">
            <w:pPr>
              <w:spacing w:after="0" w:line="240" w:lineRule="auto"/>
              <w:jc w:val="center"/>
              <w:rPr>
                <w:rFonts w:ascii="Arial Narrow" w:eastAsia="Times New Roman" w:hAnsi="Arial Narrow" w:cs="Arial"/>
                <w:sz w:val="16"/>
                <w:szCs w:val="16"/>
                <w:lang w:eastAsia="pt-BR"/>
              </w:rPr>
            </w:pPr>
            <w:r w:rsidRPr="00F1559C">
              <w:rPr>
                <w:rFonts w:ascii="Arial Narrow" w:eastAsia="Times New Roman" w:hAnsi="Arial Narrow" w:cs="Arial"/>
                <w:sz w:val="16"/>
                <w:szCs w:val="16"/>
                <w:lang w:eastAsia="pt-BR"/>
              </w:rPr>
              <w:t>BFI.H095</w:t>
            </w:r>
          </w:p>
        </w:tc>
      </w:tr>
      <w:tr w:rsidR="000B19AE" w:rsidRPr="003042F6" w14:paraId="5C1FA175" w14:textId="77777777" w:rsidTr="00E450A4">
        <w:trPr>
          <w:trHeight w:val="270"/>
        </w:trPr>
        <w:tc>
          <w:tcPr>
            <w:tcW w:w="4820" w:type="dxa"/>
            <w:gridSpan w:val="2"/>
            <w:tcBorders>
              <w:top w:val="single" w:sz="8" w:space="0" w:color="auto"/>
              <w:left w:val="single" w:sz="8" w:space="0" w:color="auto"/>
              <w:bottom w:val="single" w:sz="8" w:space="0" w:color="auto"/>
              <w:right w:val="nil"/>
            </w:tcBorders>
            <w:shd w:val="clear" w:color="auto" w:fill="auto"/>
            <w:noWrap/>
            <w:vAlign w:val="center"/>
            <w:hideMark/>
          </w:tcPr>
          <w:p w14:paraId="752F6EB7" w14:textId="77777777" w:rsidR="000B19AE" w:rsidRPr="00F1559C" w:rsidRDefault="000B19AE" w:rsidP="000B19AE">
            <w:pPr>
              <w:spacing w:after="0" w:line="240" w:lineRule="auto"/>
              <w:rPr>
                <w:rFonts w:ascii="Arial Narrow" w:eastAsia="Times New Roman" w:hAnsi="Arial Narrow" w:cs="Arial"/>
                <w:b/>
                <w:bCs/>
                <w:sz w:val="16"/>
                <w:szCs w:val="16"/>
                <w:lang w:eastAsia="pt-BR"/>
              </w:rPr>
            </w:pPr>
            <w:r w:rsidRPr="00F1559C">
              <w:rPr>
                <w:rFonts w:ascii="Arial Narrow" w:eastAsia="Times New Roman" w:hAnsi="Arial Narrow" w:cs="Arial"/>
                <w:b/>
                <w:bCs/>
                <w:sz w:val="16"/>
                <w:szCs w:val="16"/>
                <w:lang w:eastAsia="pt-BR"/>
              </w:rPr>
              <w:t>TOTAL (V) = (I + II + III +IV)</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14:paraId="37B74E9A" w14:textId="77777777" w:rsidR="000B19AE" w:rsidRPr="00F1559C" w:rsidRDefault="000B19AE" w:rsidP="000B19AE">
            <w:pPr>
              <w:spacing w:after="0" w:line="240" w:lineRule="auto"/>
              <w:jc w:val="center"/>
              <w:rPr>
                <w:rFonts w:ascii="Arial Narrow" w:eastAsia="Times New Roman" w:hAnsi="Arial Narrow" w:cs="Arial"/>
                <w:b/>
                <w:bCs/>
                <w:sz w:val="16"/>
                <w:szCs w:val="16"/>
                <w:lang w:eastAsia="pt-BR"/>
              </w:rPr>
            </w:pPr>
            <w:r w:rsidRPr="00F1559C">
              <w:rPr>
                <w:rFonts w:ascii="Arial Narrow" w:eastAsia="Times New Roman" w:hAnsi="Arial Narrow" w:cs="Arial"/>
                <w:b/>
                <w:bCs/>
                <w:sz w:val="16"/>
                <w:szCs w:val="16"/>
                <w:lang w:eastAsia="pt-BR"/>
              </w:rPr>
              <w:t>BFI.C076</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14:paraId="0E4F47FC" w14:textId="77777777" w:rsidR="000B19AE" w:rsidRPr="00F1559C" w:rsidRDefault="000B19AE" w:rsidP="000B19AE">
            <w:pPr>
              <w:spacing w:after="0" w:line="240" w:lineRule="auto"/>
              <w:jc w:val="center"/>
              <w:rPr>
                <w:rFonts w:ascii="Arial Narrow" w:eastAsia="Times New Roman" w:hAnsi="Arial Narrow" w:cs="Arial"/>
                <w:b/>
                <w:bCs/>
                <w:sz w:val="16"/>
                <w:szCs w:val="16"/>
                <w:lang w:eastAsia="pt-BR"/>
              </w:rPr>
            </w:pPr>
            <w:r w:rsidRPr="00F1559C">
              <w:rPr>
                <w:rFonts w:ascii="Arial Narrow" w:eastAsia="Times New Roman" w:hAnsi="Arial Narrow" w:cs="Arial"/>
                <w:b/>
                <w:bCs/>
                <w:sz w:val="16"/>
                <w:szCs w:val="16"/>
                <w:lang w:eastAsia="pt-BR"/>
              </w:rPr>
              <w:t>BFI.D076</w:t>
            </w:r>
          </w:p>
        </w:tc>
        <w:tc>
          <w:tcPr>
            <w:tcW w:w="4243" w:type="dxa"/>
            <w:tcBorders>
              <w:top w:val="single" w:sz="8" w:space="0" w:color="auto"/>
              <w:left w:val="nil"/>
              <w:bottom w:val="single" w:sz="8" w:space="0" w:color="auto"/>
              <w:right w:val="nil"/>
            </w:tcBorders>
            <w:shd w:val="clear" w:color="auto" w:fill="auto"/>
            <w:noWrap/>
            <w:vAlign w:val="center"/>
            <w:hideMark/>
          </w:tcPr>
          <w:p w14:paraId="12894074" w14:textId="77777777" w:rsidR="000B19AE" w:rsidRPr="00F1559C" w:rsidRDefault="000B19AE" w:rsidP="000B19AE">
            <w:pPr>
              <w:spacing w:after="0" w:line="240" w:lineRule="auto"/>
              <w:rPr>
                <w:rFonts w:ascii="Arial Narrow" w:eastAsia="Times New Roman" w:hAnsi="Arial Narrow" w:cs="Arial"/>
                <w:b/>
                <w:bCs/>
                <w:sz w:val="16"/>
                <w:szCs w:val="16"/>
                <w:lang w:eastAsia="pt-BR"/>
              </w:rPr>
            </w:pPr>
            <w:r w:rsidRPr="00F1559C">
              <w:rPr>
                <w:rFonts w:ascii="Arial Narrow" w:eastAsia="Times New Roman" w:hAnsi="Arial Narrow" w:cs="Arial"/>
                <w:b/>
                <w:bCs/>
                <w:sz w:val="16"/>
                <w:szCs w:val="16"/>
                <w:lang w:eastAsia="pt-BR"/>
              </w:rPr>
              <w:t xml:space="preserve">TOTAL (X) = (VI + VII + VIII + IX) </w:t>
            </w:r>
          </w:p>
        </w:tc>
        <w:tc>
          <w:tcPr>
            <w:tcW w:w="1285" w:type="dxa"/>
            <w:gridSpan w:val="2"/>
            <w:tcBorders>
              <w:top w:val="single" w:sz="8" w:space="0" w:color="auto"/>
              <w:left w:val="nil"/>
              <w:bottom w:val="single" w:sz="8" w:space="0" w:color="auto"/>
              <w:right w:val="single" w:sz="8" w:space="0" w:color="auto"/>
            </w:tcBorders>
            <w:shd w:val="clear" w:color="auto" w:fill="auto"/>
            <w:vAlign w:val="center"/>
            <w:hideMark/>
          </w:tcPr>
          <w:p w14:paraId="367A5491" w14:textId="77777777" w:rsidR="000B19AE" w:rsidRPr="00F1559C" w:rsidRDefault="000B19AE" w:rsidP="000B19AE">
            <w:pPr>
              <w:spacing w:after="0" w:line="240" w:lineRule="auto"/>
              <w:jc w:val="center"/>
              <w:rPr>
                <w:rFonts w:ascii="Arial Narrow" w:eastAsia="Times New Roman" w:hAnsi="Arial Narrow" w:cs="Arial"/>
                <w:b/>
                <w:bCs/>
                <w:sz w:val="16"/>
                <w:szCs w:val="16"/>
                <w:lang w:eastAsia="pt-BR"/>
              </w:rPr>
            </w:pPr>
            <w:r w:rsidRPr="00F1559C">
              <w:rPr>
                <w:rFonts w:ascii="Arial Narrow" w:eastAsia="Times New Roman" w:hAnsi="Arial Narrow" w:cs="Arial"/>
                <w:b/>
                <w:bCs/>
                <w:sz w:val="16"/>
                <w:szCs w:val="16"/>
                <w:lang w:eastAsia="pt-BR"/>
              </w:rPr>
              <w:t>BFI.G076</w:t>
            </w:r>
          </w:p>
        </w:tc>
        <w:tc>
          <w:tcPr>
            <w:tcW w:w="1276" w:type="dxa"/>
            <w:gridSpan w:val="2"/>
            <w:tcBorders>
              <w:top w:val="single" w:sz="8" w:space="0" w:color="auto"/>
              <w:left w:val="nil"/>
              <w:bottom w:val="single" w:sz="8" w:space="0" w:color="auto"/>
              <w:right w:val="single" w:sz="8" w:space="0" w:color="auto"/>
            </w:tcBorders>
            <w:shd w:val="clear" w:color="auto" w:fill="auto"/>
            <w:vAlign w:val="center"/>
            <w:hideMark/>
          </w:tcPr>
          <w:p w14:paraId="0E0B21E2" w14:textId="77777777" w:rsidR="000B19AE" w:rsidRPr="00F1559C" w:rsidRDefault="000B19AE" w:rsidP="000B19AE">
            <w:pPr>
              <w:spacing w:after="0" w:line="240" w:lineRule="auto"/>
              <w:jc w:val="center"/>
              <w:rPr>
                <w:rFonts w:ascii="Arial Narrow" w:eastAsia="Times New Roman" w:hAnsi="Arial Narrow" w:cs="Arial"/>
                <w:b/>
                <w:bCs/>
                <w:sz w:val="16"/>
                <w:szCs w:val="16"/>
                <w:lang w:eastAsia="pt-BR"/>
              </w:rPr>
            </w:pPr>
            <w:r w:rsidRPr="00F1559C">
              <w:rPr>
                <w:rFonts w:ascii="Arial Narrow" w:eastAsia="Times New Roman" w:hAnsi="Arial Narrow" w:cs="Arial"/>
                <w:b/>
                <w:bCs/>
                <w:sz w:val="16"/>
                <w:szCs w:val="16"/>
                <w:lang w:eastAsia="pt-BR"/>
              </w:rPr>
              <w:t>BFI.H076</w:t>
            </w:r>
          </w:p>
        </w:tc>
      </w:tr>
      <w:tr w:rsidR="00146369" w:rsidRPr="002C5BC6" w14:paraId="606E8464" w14:textId="77777777" w:rsidTr="00E450A4">
        <w:trPr>
          <w:gridBefore w:val="1"/>
          <w:gridAfter w:val="1"/>
          <w:wBefore w:w="284" w:type="dxa"/>
          <w:wAfter w:w="268" w:type="dxa"/>
          <w:trHeight w:val="255"/>
        </w:trPr>
        <w:tc>
          <w:tcPr>
            <w:tcW w:w="12064" w:type="dxa"/>
            <w:gridSpan w:val="5"/>
            <w:shd w:val="clear" w:color="auto" w:fill="auto"/>
            <w:hideMark/>
          </w:tcPr>
          <w:p w14:paraId="2D0C579E" w14:textId="77777777" w:rsidR="00146369" w:rsidRDefault="00146369" w:rsidP="00080E19">
            <w:pPr>
              <w:spacing w:after="0" w:line="240" w:lineRule="auto"/>
              <w:ind w:right="-1482"/>
              <w:jc w:val="center"/>
              <w:rPr>
                <w:rFonts w:ascii="Arial" w:eastAsia="Times New Roman" w:hAnsi="Arial" w:cs="Arial"/>
                <w:b/>
                <w:bCs/>
                <w:sz w:val="16"/>
                <w:szCs w:val="16"/>
                <w:lang w:eastAsia="pt-BR"/>
              </w:rPr>
            </w:pPr>
          </w:p>
          <w:p w14:paraId="47C34AA9" w14:textId="77777777" w:rsidR="00146369" w:rsidRDefault="00146369" w:rsidP="00080E19">
            <w:pPr>
              <w:spacing w:after="0" w:line="240" w:lineRule="auto"/>
              <w:ind w:right="-1482"/>
              <w:jc w:val="center"/>
              <w:rPr>
                <w:rFonts w:ascii="Arial" w:eastAsia="Times New Roman" w:hAnsi="Arial" w:cs="Arial"/>
                <w:b/>
                <w:bCs/>
                <w:sz w:val="16"/>
                <w:szCs w:val="16"/>
                <w:lang w:eastAsia="pt-BR"/>
              </w:rPr>
            </w:pPr>
          </w:p>
          <w:p w14:paraId="5CD316E7" w14:textId="70C8B3EB" w:rsidR="00146369" w:rsidRDefault="00146369" w:rsidP="00080E19">
            <w:pPr>
              <w:spacing w:after="0" w:line="240" w:lineRule="auto"/>
              <w:ind w:right="-1482"/>
              <w:jc w:val="center"/>
              <w:rPr>
                <w:rFonts w:ascii="Arial" w:eastAsia="Times New Roman" w:hAnsi="Arial" w:cs="Arial"/>
                <w:b/>
                <w:bCs/>
                <w:sz w:val="16"/>
                <w:szCs w:val="16"/>
                <w:lang w:eastAsia="pt-BR"/>
              </w:rPr>
            </w:pPr>
          </w:p>
          <w:p w14:paraId="5EAB235F" w14:textId="6678EE04" w:rsidR="00B94FE3" w:rsidRDefault="00B94FE3" w:rsidP="00080E19">
            <w:pPr>
              <w:spacing w:after="0" w:line="240" w:lineRule="auto"/>
              <w:ind w:right="-1482"/>
              <w:jc w:val="center"/>
              <w:rPr>
                <w:rFonts w:ascii="Arial" w:eastAsia="Times New Roman" w:hAnsi="Arial" w:cs="Arial"/>
                <w:b/>
                <w:bCs/>
                <w:sz w:val="16"/>
                <w:szCs w:val="16"/>
                <w:lang w:eastAsia="pt-BR"/>
              </w:rPr>
            </w:pPr>
          </w:p>
          <w:p w14:paraId="29D2E7BD" w14:textId="77777777" w:rsidR="00146369" w:rsidRDefault="00146369" w:rsidP="00080E19">
            <w:pPr>
              <w:spacing w:after="0" w:line="240" w:lineRule="auto"/>
              <w:ind w:right="-1482"/>
              <w:jc w:val="center"/>
              <w:rPr>
                <w:rFonts w:ascii="Arial" w:eastAsia="Times New Roman" w:hAnsi="Arial" w:cs="Arial"/>
                <w:b/>
                <w:bCs/>
                <w:sz w:val="16"/>
                <w:szCs w:val="16"/>
                <w:lang w:eastAsia="pt-BR"/>
              </w:rPr>
            </w:pPr>
          </w:p>
          <w:p w14:paraId="1BAC2262" w14:textId="29227443" w:rsidR="00146369" w:rsidRPr="002C5BC6" w:rsidRDefault="00146369" w:rsidP="00080E19">
            <w:pPr>
              <w:spacing w:after="0" w:line="240" w:lineRule="auto"/>
              <w:ind w:right="-1482"/>
              <w:jc w:val="center"/>
              <w:rPr>
                <w:rFonts w:ascii="Arial" w:eastAsia="Times New Roman" w:hAnsi="Arial" w:cs="Arial"/>
                <w:b/>
                <w:bCs/>
                <w:sz w:val="16"/>
                <w:szCs w:val="16"/>
                <w:lang w:eastAsia="pt-BR"/>
              </w:rPr>
            </w:pPr>
            <w:r w:rsidRPr="002C5BC6">
              <w:rPr>
                <w:rFonts w:ascii="Arial" w:eastAsia="Times New Roman" w:hAnsi="Arial" w:cs="Arial"/>
                <w:b/>
                <w:bCs/>
                <w:sz w:val="16"/>
                <w:szCs w:val="16"/>
                <w:lang w:eastAsia="pt-BR"/>
              </w:rPr>
              <w:t>QUADRO ANEXO AO BALANÇO FINANCEIRO</w:t>
            </w:r>
          </w:p>
          <w:p w14:paraId="35AFC35F" w14:textId="77777777" w:rsidR="00146369" w:rsidRPr="002C5BC6" w:rsidRDefault="00146369" w:rsidP="00080E19">
            <w:pPr>
              <w:spacing w:after="0" w:line="240" w:lineRule="auto"/>
              <w:ind w:right="-1482"/>
              <w:jc w:val="center"/>
              <w:rPr>
                <w:rFonts w:ascii="Arial" w:eastAsia="Times New Roman" w:hAnsi="Arial" w:cs="Arial"/>
                <w:b/>
                <w:bCs/>
                <w:sz w:val="16"/>
                <w:szCs w:val="16"/>
                <w:lang w:eastAsia="pt-BR"/>
              </w:rPr>
            </w:pPr>
            <w:r w:rsidRPr="002C5BC6">
              <w:rPr>
                <w:rFonts w:ascii="Arial" w:eastAsia="Times New Roman" w:hAnsi="Arial" w:cs="Arial"/>
                <w:b/>
                <w:bCs/>
                <w:sz w:val="16"/>
                <w:szCs w:val="16"/>
                <w:lang w:eastAsia="pt-BR"/>
              </w:rPr>
              <w:t>MUNICÍPIOS E CONSÓRCIOS</w:t>
            </w:r>
          </w:p>
        </w:tc>
        <w:tc>
          <w:tcPr>
            <w:tcW w:w="1418" w:type="dxa"/>
            <w:gridSpan w:val="2"/>
            <w:shd w:val="clear" w:color="auto" w:fill="auto"/>
            <w:vAlign w:val="center"/>
            <w:hideMark/>
          </w:tcPr>
          <w:p w14:paraId="32E6EF13" w14:textId="77777777" w:rsidR="00146369" w:rsidRPr="002C5BC6" w:rsidRDefault="00146369" w:rsidP="00080E19">
            <w:pPr>
              <w:spacing w:after="0" w:line="240" w:lineRule="auto"/>
              <w:ind w:right="-1482"/>
              <w:jc w:val="right"/>
              <w:rPr>
                <w:rFonts w:ascii="Arial" w:eastAsia="Times New Roman" w:hAnsi="Arial" w:cs="Arial"/>
                <w:b/>
                <w:bCs/>
                <w:sz w:val="16"/>
                <w:szCs w:val="16"/>
                <w:lang w:eastAsia="pt-BR"/>
              </w:rPr>
            </w:pPr>
          </w:p>
        </w:tc>
      </w:tr>
    </w:tbl>
    <w:p w14:paraId="0AD9DE07" w14:textId="77777777" w:rsidR="00146369" w:rsidRPr="002C5BC6" w:rsidRDefault="00146369" w:rsidP="00146369">
      <w:pPr>
        <w:spacing w:after="0" w:line="240" w:lineRule="auto"/>
        <w:jc w:val="both"/>
        <w:rPr>
          <w:rFonts w:ascii="Arial" w:eastAsia="Calibri" w:hAnsi="Arial" w:cs="Arial"/>
          <w:b/>
          <w:sz w:val="24"/>
          <w:szCs w:val="24"/>
        </w:rPr>
      </w:pPr>
    </w:p>
    <w:tbl>
      <w:tblPr>
        <w:tblW w:w="0" w:type="auto"/>
        <w:tblInd w:w="55" w:type="dxa"/>
        <w:tblLayout w:type="fixed"/>
        <w:tblCellMar>
          <w:left w:w="70" w:type="dxa"/>
          <w:right w:w="70" w:type="dxa"/>
        </w:tblCellMar>
        <w:tblLook w:val="04A0" w:firstRow="1" w:lastRow="0" w:firstColumn="1" w:lastColumn="0" w:noHBand="0" w:noVBand="1"/>
      </w:tblPr>
      <w:tblGrid>
        <w:gridCol w:w="4977"/>
        <w:gridCol w:w="1275"/>
        <w:gridCol w:w="1560"/>
        <w:gridCol w:w="1275"/>
        <w:gridCol w:w="1276"/>
        <w:gridCol w:w="1701"/>
        <w:gridCol w:w="1418"/>
      </w:tblGrid>
      <w:tr w:rsidR="00146369" w:rsidRPr="00185426" w14:paraId="5BD899A9" w14:textId="77777777" w:rsidTr="00080E19">
        <w:trPr>
          <w:trHeight w:val="270"/>
        </w:trPr>
        <w:tc>
          <w:tcPr>
            <w:tcW w:w="4977" w:type="dxa"/>
            <w:vMerge w:val="restart"/>
            <w:tcBorders>
              <w:top w:val="single" w:sz="8" w:space="0" w:color="auto"/>
              <w:left w:val="single" w:sz="8" w:space="0" w:color="auto"/>
              <w:bottom w:val="single" w:sz="8" w:space="0" w:color="000000"/>
              <w:right w:val="nil"/>
            </w:tcBorders>
            <w:shd w:val="clear" w:color="auto" w:fill="F2F2F2"/>
            <w:noWrap/>
            <w:vAlign w:val="center"/>
            <w:hideMark/>
          </w:tcPr>
          <w:p w14:paraId="63276305" w14:textId="77777777" w:rsidR="00146369" w:rsidRPr="00185426" w:rsidRDefault="00146369" w:rsidP="00080E19">
            <w:pPr>
              <w:spacing w:after="0" w:line="240" w:lineRule="auto"/>
              <w:jc w:val="center"/>
              <w:rPr>
                <w:rFonts w:ascii="Arial Narrow" w:eastAsia="Times New Roman" w:hAnsi="Arial Narrow" w:cs="Arial"/>
                <w:b/>
                <w:bCs/>
                <w:sz w:val="16"/>
                <w:szCs w:val="16"/>
                <w:lang w:eastAsia="pt-BR"/>
              </w:rPr>
            </w:pPr>
            <w:r w:rsidRPr="00185426">
              <w:rPr>
                <w:rFonts w:ascii="Arial Narrow" w:eastAsia="Times New Roman" w:hAnsi="Arial Narrow" w:cs="Arial"/>
                <w:b/>
                <w:bCs/>
                <w:sz w:val="16"/>
                <w:szCs w:val="16"/>
                <w:lang w:eastAsia="pt-BR"/>
              </w:rPr>
              <w:t>ESPECIFICAÇÃO</w:t>
            </w:r>
          </w:p>
        </w:tc>
        <w:tc>
          <w:tcPr>
            <w:tcW w:w="4110" w:type="dxa"/>
            <w:gridSpan w:val="3"/>
            <w:tcBorders>
              <w:top w:val="single" w:sz="8" w:space="0" w:color="auto"/>
              <w:left w:val="single" w:sz="8" w:space="0" w:color="auto"/>
              <w:bottom w:val="single" w:sz="8" w:space="0" w:color="auto"/>
              <w:right w:val="single" w:sz="8" w:space="0" w:color="000000"/>
            </w:tcBorders>
            <w:shd w:val="clear" w:color="auto" w:fill="F2F2F2"/>
            <w:noWrap/>
            <w:vAlign w:val="center"/>
            <w:hideMark/>
          </w:tcPr>
          <w:p w14:paraId="790EA4A8" w14:textId="77777777" w:rsidR="00146369" w:rsidRPr="00185426" w:rsidRDefault="00146369" w:rsidP="00080E19">
            <w:pPr>
              <w:spacing w:after="0" w:line="240" w:lineRule="auto"/>
              <w:jc w:val="center"/>
              <w:rPr>
                <w:rFonts w:ascii="Arial Narrow" w:eastAsia="Times New Roman" w:hAnsi="Arial Narrow" w:cs="Arial"/>
                <w:b/>
                <w:bCs/>
                <w:sz w:val="16"/>
                <w:szCs w:val="16"/>
                <w:lang w:eastAsia="pt-BR"/>
              </w:rPr>
            </w:pPr>
            <w:r w:rsidRPr="00185426">
              <w:rPr>
                <w:rFonts w:ascii="Arial Narrow" w:eastAsia="Times New Roman" w:hAnsi="Arial Narrow" w:cs="Arial"/>
                <w:b/>
                <w:bCs/>
                <w:sz w:val="16"/>
                <w:szCs w:val="16"/>
                <w:lang w:eastAsia="pt-BR"/>
              </w:rPr>
              <w:t>Exercício Atual</w:t>
            </w:r>
          </w:p>
        </w:tc>
        <w:tc>
          <w:tcPr>
            <w:tcW w:w="4395" w:type="dxa"/>
            <w:gridSpan w:val="3"/>
            <w:tcBorders>
              <w:top w:val="single" w:sz="8" w:space="0" w:color="auto"/>
              <w:left w:val="nil"/>
              <w:bottom w:val="nil"/>
              <w:right w:val="single" w:sz="8" w:space="0" w:color="000000"/>
            </w:tcBorders>
            <w:shd w:val="clear" w:color="auto" w:fill="F2F2F2"/>
            <w:noWrap/>
            <w:vAlign w:val="center"/>
            <w:hideMark/>
          </w:tcPr>
          <w:p w14:paraId="41CFCC2C" w14:textId="77777777" w:rsidR="00146369" w:rsidRPr="00185426" w:rsidRDefault="00146369" w:rsidP="00080E19">
            <w:pPr>
              <w:spacing w:after="0" w:line="240" w:lineRule="auto"/>
              <w:jc w:val="center"/>
              <w:rPr>
                <w:rFonts w:ascii="Arial Narrow" w:eastAsia="Times New Roman" w:hAnsi="Arial Narrow" w:cs="Arial"/>
                <w:b/>
                <w:bCs/>
                <w:sz w:val="16"/>
                <w:szCs w:val="16"/>
                <w:lang w:eastAsia="pt-BR"/>
              </w:rPr>
            </w:pPr>
            <w:r w:rsidRPr="00185426">
              <w:rPr>
                <w:rFonts w:ascii="Arial Narrow" w:eastAsia="Times New Roman" w:hAnsi="Arial Narrow" w:cs="Arial"/>
                <w:b/>
                <w:bCs/>
                <w:sz w:val="16"/>
                <w:szCs w:val="16"/>
                <w:lang w:eastAsia="pt-BR"/>
              </w:rPr>
              <w:t>Exercício Anterior</w:t>
            </w:r>
          </w:p>
        </w:tc>
      </w:tr>
      <w:tr w:rsidR="00146369" w:rsidRPr="00185426" w14:paraId="4D96D22E" w14:textId="77777777" w:rsidTr="00080E19">
        <w:trPr>
          <w:trHeight w:val="525"/>
        </w:trPr>
        <w:tc>
          <w:tcPr>
            <w:tcW w:w="4977" w:type="dxa"/>
            <w:vMerge/>
            <w:tcBorders>
              <w:top w:val="single" w:sz="8" w:space="0" w:color="auto"/>
              <w:left w:val="single" w:sz="8" w:space="0" w:color="auto"/>
              <w:bottom w:val="single" w:sz="8" w:space="0" w:color="000000"/>
              <w:right w:val="nil"/>
            </w:tcBorders>
            <w:shd w:val="clear" w:color="auto" w:fill="F2F2F2"/>
            <w:vAlign w:val="center"/>
            <w:hideMark/>
          </w:tcPr>
          <w:p w14:paraId="1F8BD4E5" w14:textId="77777777" w:rsidR="00146369" w:rsidRPr="00185426" w:rsidRDefault="00146369" w:rsidP="00080E19">
            <w:pPr>
              <w:spacing w:after="0" w:line="240" w:lineRule="auto"/>
              <w:rPr>
                <w:rFonts w:ascii="Arial Narrow" w:eastAsia="Times New Roman" w:hAnsi="Arial Narrow" w:cs="Arial"/>
                <w:b/>
                <w:bCs/>
                <w:sz w:val="16"/>
                <w:szCs w:val="16"/>
                <w:lang w:eastAsia="pt-BR"/>
              </w:rPr>
            </w:pPr>
          </w:p>
        </w:tc>
        <w:tc>
          <w:tcPr>
            <w:tcW w:w="1275" w:type="dxa"/>
            <w:tcBorders>
              <w:top w:val="nil"/>
              <w:left w:val="single" w:sz="8" w:space="0" w:color="auto"/>
              <w:bottom w:val="single" w:sz="8" w:space="0" w:color="auto"/>
              <w:right w:val="nil"/>
            </w:tcBorders>
            <w:shd w:val="clear" w:color="auto" w:fill="F2F2F2"/>
            <w:vAlign w:val="center"/>
            <w:hideMark/>
          </w:tcPr>
          <w:p w14:paraId="52730944" w14:textId="77777777" w:rsidR="00146369" w:rsidRPr="00185426" w:rsidRDefault="00146369" w:rsidP="00080E19">
            <w:pPr>
              <w:spacing w:after="0" w:line="240" w:lineRule="auto"/>
              <w:jc w:val="center"/>
              <w:rPr>
                <w:rFonts w:ascii="Arial Narrow" w:eastAsia="Times New Roman" w:hAnsi="Arial Narrow" w:cs="Arial"/>
                <w:b/>
                <w:bCs/>
                <w:sz w:val="16"/>
                <w:szCs w:val="16"/>
                <w:lang w:eastAsia="pt-BR"/>
              </w:rPr>
            </w:pPr>
            <w:r w:rsidRPr="00185426">
              <w:rPr>
                <w:rFonts w:ascii="Arial Narrow" w:eastAsia="Times New Roman" w:hAnsi="Arial Narrow" w:cs="Arial"/>
                <w:b/>
                <w:bCs/>
                <w:sz w:val="16"/>
                <w:szCs w:val="16"/>
                <w:lang w:eastAsia="pt-BR"/>
              </w:rPr>
              <w:t>Receita Orçamentária (a)</w:t>
            </w:r>
          </w:p>
        </w:tc>
        <w:tc>
          <w:tcPr>
            <w:tcW w:w="1560" w:type="dxa"/>
            <w:tcBorders>
              <w:top w:val="nil"/>
              <w:left w:val="single" w:sz="8" w:space="0" w:color="auto"/>
              <w:bottom w:val="single" w:sz="8" w:space="0" w:color="auto"/>
              <w:right w:val="single" w:sz="8" w:space="0" w:color="auto"/>
            </w:tcBorders>
            <w:shd w:val="clear" w:color="auto" w:fill="F2F2F2"/>
            <w:vAlign w:val="center"/>
            <w:hideMark/>
          </w:tcPr>
          <w:p w14:paraId="223758C3" w14:textId="77777777" w:rsidR="00146369" w:rsidRPr="00185426" w:rsidRDefault="00146369" w:rsidP="00080E19">
            <w:pPr>
              <w:spacing w:after="0" w:line="240" w:lineRule="auto"/>
              <w:jc w:val="center"/>
              <w:rPr>
                <w:rFonts w:ascii="Arial Narrow" w:eastAsia="Times New Roman" w:hAnsi="Arial Narrow" w:cs="Arial"/>
                <w:b/>
                <w:bCs/>
                <w:sz w:val="16"/>
                <w:szCs w:val="16"/>
                <w:lang w:eastAsia="pt-BR"/>
              </w:rPr>
            </w:pPr>
            <w:r w:rsidRPr="00185426">
              <w:rPr>
                <w:rFonts w:ascii="Arial Narrow" w:eastAsia="Times New Roman" w:hAnsi="Arial Narrow" w:cs="Arial"/>
                <w:b/>
                <w:bCs/>
                <w:sz w:val="16"/>
                <w:szCs w:val="16"/>
                <w:lang w:eastAsia="pt-BR"/>
              </w:rPr>
              <w:t>Deduções da Receita Orçamentária (b)</w:t>
            </w:r>
          </w:p>
        </w:tc>
        <w:tc>
          <w:tcPr>
            <w:tcW w:w="1275" w:type="dxa"/>
            <w:tcBorders>
              <w:top w:val="nil"/>
              <w:left w:val="nil"/>
              <w:bottom w:val="single" w:sz="8" w:space="0" w:color="auto"/>
              <w:right w:val="single" w:sz="8" w:space="0" w:color="auto"/>
            </w:tcBorders>
            <w:shd w:val="clear" w:color="auto" w:fill="F2F2F2"/>
            <w:vAlign w:val="center"/>
            <w:hideMark/>
          </w:tcPr>
          <w:p w14:paraId="4054E943" w14:textId="77777777" w:rsidR="00146369" w:rsidRPr="00185426" w:rsidRDefault="00146369" w:rsidP="00080E19">
            <w:pPr>
              <w:spacing w:after="0" w:line="240" w:lineRule="auto"/>
              <w:jc w:val="center"/>
              <w:rPr>
                <w:rFonts w:ascii="Arial Narrow" w:eastAsia="Times New Roman" w:hAnsi="Arial Narrow" w:cs="Arial"/>
                <w:b/>
                <w:bCs/>
                <w:sz w:val="16"/>
                <w:szCs w:val="16"/>
                <w:lang w:eastAsia="pt-BR"/>
              </w:rPr>
            </w:pPr>
            <w:r w:rsidRPr="00185426">
              <w:rPr>
                <w:rFonts w:ascii="Arial Narrow" w:eastAsia="Times New Roman" w:hAnsi="Arial Narrow" w:cs="Arial"/>
                <w:b/>
                <w:bCs/>
                <w:sz w:val="16"/>
                <w:szCs w:val="16"/>
                <w:lang w:eastAsia="pt-BR"/>
              </w:rPr>
              <w:t>Saldo (c) = (a-b)</w:t>
            </w:r>
          </w:p>
        </w:tc>
        <w:tc>
          <w:tcPr>
            <w:tcW w:w="1276" w:type="dxa"/>
            <w:tcBorders>
              <w:top w:val="single" w:sz="8" w:space="0" w:color="auto"/>
              <w:left w:val="nil"/>
              <w:bottom w:val="single" w:sz="8" w:space="0" w:color="auto"/>
              <w:right w:val="nil"/>
            </w:tcBorders>
            <w:shd w:val="clear" w:color="auto" w:fill="F2F2F2"/>
            <w:vAlign w:val="center"/>
            <w:hideMark/>
          </w:tcPr>
          <w:p w14:paraId="14858091" w14:textId="77777777" w:rsidR="00146369" w:rsidRPr="00185426" w:rsidRDefault="00146369" w:rsidP="00080E19">
            <w:pPr>
              <w:spacing w:after="0" w:line="240" w:lineRule="auto"/>
              <w:jc w:val="center"/>
              <w:rPr>
                <w:rFonts w:ascii="Arial Narrow" w:eastAsia="Times New Roman" w:hAnsi="Arial Narrow" w:cs="Arial"/>
                <w:b/>
                <w:bCs/>
                <w:sz w:val="16"/>
                <w:szCs w:val="16"/>
                <w:lang w:eastAsia="pt-BR"/>
              </w:rPr>
            </w:pPr>
            <w:r w:rsidRPr="00185426">
              <w:rPr>
                <w:rFonts w:ascii="Arial Narrow" w:eastAsia="Times New Roman" w:hAnsi="Arial Narrow" w:cs="Arial"/>
                <w:b/>
                <w:bCs/>
                <w:sz w:val="16"/>
                <w:szCs w:val="16"/>
                <w:lang w:eastAsia="pt-BR"/>
              </w:rPr>
              <w:t>Receita Orçamentária (d)</w:t>
            </w:r>
          </w:p>
        </w:tc>
        <w:tc>
          <w:tcPr>
            <w:tcW w:w="1701" w:type="dxa"/>
            <w:tcBorders>
              <w:top w:val="single" w:sz="8" w:space="0" w:color="auto"/>
              <w:left w:val="single" w:sz="8" w:space="0" w:color="auto"/>
              <w:bottom w:val="single" w:sz="8" w:space="0" w:color="auto"/>
              <w:right w:val="single" w:sz="8" w:space="0" w:color="auto"/>
            </w:tcBorders>
            <w:shd w:val="clear" w:color="auto" w:fill="F2F2F2"/>
            <w:vAlign w:val="center"/>
            <w:hideMark/>
          </w:tcPr>
          <w:p w14:paraId="60A1EA41" w14:textId="77777777" w:rsidR="00146369" w:rsidRPr="00185426" w:rsidRDefault="00146369" w:rsidP="00080E19">
            <w:pPr>
              <w:spacing w:after="0" w:line="240" w:lineRule="auto"/>
              <w:jc w:val="center"/>
              <w:rPr>
                <w:rFonts w:ascii="Arial Narrow" w:eastAsia="Times New Roman" w:hAnsi="Arial Narrow" w:cs="Arial"/>
                <w:b/>
                <w:bCs/>
                <w:sz w:val="16"/>
                <w:szCs w:val="16"/>
                <w:lang w:eastAsia="pt-BR"/>
              </w:rPr>
            </w:pPr>
            <w:r w:rsidRPr="00185426">
              <w:rPr>
                <w:rFonts w:ascii="Arial Narrow" w:eastAsia="Times New Roman" w:hAnsi="Arial Narrow" w:cs="Arial"/>
                <w:b/>
                <w:bCs/>
                <w:sz w:val="16"/>
                <w:szCs w:val="16"/>
                <w:lang w:eastAsia="pt-BR"/>
              </w:rPr>
              <w:t>Deduções da Receita Orçamentária (e)</w:t>
            </w:r>
          </w:p>
        </w:tc>
        <w:tc>
          <w:tcPr>
            <w:tcW w:w="1418" w:type="dxa"/>
            <w:tcBorders>
              <w:top w:val="single" w:sz="8" w:space="0" w:color="auto"/>
              <w:left w:val="nil"/>
              <w:bottom w:val="single" w:sz="8" w:space="0" w:color="auto"/>
              <w:right w:val="single" w:sz="8" w:space="0" w:color="auto"/>
            </w:tcBorders>
            <w:shd w:val="clear" w:color="auto" w:fill="F2F2F2"/>
            <w:vAlign w:val="center"/>
            <w:hideMark/>
          </w:tcPr>
          <w:p w14:paraId="3EA4A691" w14:textId="77777777" w:rsidR="00146369" w:rsidRPr="00185426" w:rsidRDefault="00146369" w:rsidP="00080E19">
            <w:pPr>
              <w:spacing w:after="0" w:line="240" w:lineRule="auto"/>
              <w:jc w:val="center"/>
              <w:rPr>
                <w:rFonts w:ascii="Arial Narrow" w:eastAsia="Times New Roman" w:hAnsi="Arial Narrow" w:cs="Arial"/>
                <w:b/>
                <w:bCs/>
                <w:sz w:val="16"/>
                <w:szCs w:val="16"/>
                <w:lang w:eastAsia="pt-BR"/>
              </w:rPr>
            </w:pPr>
            <w:r w:rsidRPr="00185426">
              <w:rPr>
                <w:rFonts w:ascii="Arial Narrow" w:eastAsia="Times New Roman" w:hAnsi="Arial Narrow" w:cs="Arial"/>
                <w:b/>
                <w:bCs/>
                <w:sz w:val="16"/>
                <w:szCs w:val="16"/>
                <w:lang w:eastAsia="pt-BR"/>
              </w:rPr>
              <w:t>Saldo (f) = (d-e)</w:t>
            </w:r>
          </w:p>
        </w:tc>
      </w:tr>
      <w:tr w:rsidR="00146369" w:rsidRPr="00185426" w14:paraId="05D6E984" w14:textId="77777777" w:rsidTr="00080E19">
        <w:trPr>
          <w:trHeight w:val="255"/>
        </w:trPr>
        <w:tc>
          <w:tcPr>
            <w:tcW w:w="4977" w:type="dxa"/>
            <w:tcBorders>
              <w:top w:val="nil"/>
              <w:left w:val="single" w:sz="8" w:space="0" w:color="auto"/>
              <w:bottom w:val="nil"/>
              <w:right w:val="single" w:sz="8" w:space="0" w:color="auto"/>
            </w:tcBorders>
            <w:shd w:val="clear" w:color="auto" w:fill="auto"/>
            <w:noWrap/>
            <w:vAlign w:val="center"/>
            <w:hideMark/>
          </w:tcPr>
          <w:p w14:paraId="2E0A0FD2" w14:textId="77777777" w:rsidR="00146369" w:rsidRPr="00185426" w:rsidRDefault="00146369" w:rsidP="00080E19">
            <w:pPr>
              <w:spacing w:after="0" w:line="240" w:lineRule="auto"/>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 </w:t>
            </w:r>
          </w:p>
        </w:tc>
        <w:tc>
          <w:tcPr>
            <w:tcW w:w="1275" w:type="dxa"/>
            <w:tcBorders>
              <w:top w:val="nil"/>
              <w:left w:val="nil"/>
              <w:bottom w:val="nil"/>
              <w:right w:val="single" w:sz="8" w:space="0" w:color="auto"/>
            </w:tcBorders>
            <w:shd w:val="clear" w:color="auto" w:fill="auto"/>
            <w:noWrap/>
            <w:vAlign w:val="center"/>
            <w:hideMark/>
          </w:tcPr>
          <w:p w14:paraId="530DAE59" w14:textId="77777777" w:rsidR="00146369" w:rsidRPr="00185426" w:rsidRDefault="00146369" w:rsidP="00080E19">
            <w:pPr>
              <w:spacing w:after="0" w:line="240" w:lineRule="auto"/>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 </w:t>
            </w:r>
          </w:p>
        </w:tc>
        <w:tc>
          <w:tcPr>
            <w:tcW w:w="1560" w:type="dxa"/>
            <w:tcBorders>
              <w:top w:val="nil"/>
              <w:left w:val="nil"/>
              <w:bottom w:val="nil"/>
              <w:right w:val="single" w:sz="8" w:space="0" w:color="auto"/>
            </w:tcBorders>
            <w:shd w:val="clear" w:color="auto" w:fill="auto"/>
            <w:noWrap/>
            <w:vAlign w:val="center"/>
            <w:hideMark/>
          </w:tcPr>
          <w:p w14:paraId="4EE67BF9" w14:textId="77777777" w:rsidR="00146369" w:rsidRPr="00185426" w:rsidRDefault="00146369" w:rsidP="00080E19">
            <w:pPr>
              <w:spacing w:after="0" w:line="240" w:lineRule="auto"/>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 </w:t>
            </w:r>
          </w:p>
        </w:tc>
        <w:tc>
          <w:tcPr>
            <w:tcW w:w="1275" w:type="dxa"/>
            <w:tcBorders>
              <w:top w:val="nil"/>
              <w:left w:val="nil"/>
              <w:bottom w:val="nil"/>
              <w:right w:val="single" w:sz="8" w:space="0" w:color="auto"/>
            </w:tcBorders>
            <w:shd w:val="clear" w:color="auto" w:fill="auto"/>
            <w:noWrap/>
            <w:vAlign w:val="center"/>
            <w:hideMark/>
          </w:tcPr>
          <w:p w14:paraId="7B2EF205" w14:textId="77777777" w:rsidR="00146369" w:rsidRPr="00185426" w:rsidRDefault="00146369" w:rsidP="00080E19">
            <w:pPr>
              <w:spacing w:after="0" w:line="240" w:lineRule="auto"/>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 </w:t>
            </w:r>
          </w:p>
        </w:tc>
        <w:tc>
          <w:tcPr>
            <w:tcW w:w="1276" w:type="dxa"/>
            <w:tcBorders>
              <w:top w:val="nil"/>
              <w:left w:val="nil"/>
              <w:bottom w:val="nil"/>
              <w:right w:val="single" w:sz="8" w:space="0" w:color="auto"/>
            </w:tcBorders>
            <w:shd w:val="clear" w:color="auto" w:fill="auto"/>
            <w:noWrap/>
            <w:vAlign w:val="center"/>
            <w:hideMark/>
          </w:tcPr>
          <w:p w14:paraId="53079F9A" w14:textId="77777777" w:rsidR="00146369" w:rsidRPr="00185426" w:rsidRDefault="00146369" w:rsidP="00080E19">
            <w:pPr>
              <w:spacing w:after="0" w:line="240" w:lineRule="auto"/>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 </w:t>
            </w:r>
          </w:p>
        </w:tc>
        <w:tc>
          <w:tcPr>
            <w:tcW w:w="1701" w:type="dxa"/>
            <w:tcBorders>
              <w:top w:val="nil"/>
              <w:left w:val="nil"/>
              <w:bottom w:val="nil"/>
              <w:right w:val="single" w:sz="8" w:space="0" w:color="auto"/>
            </w:tcBorders>
            <w:shd w:val="clear" w:color="auto" w:fill="auto"/>
            <w:noWrap/>
            <w:vAlign w:val="center"/>
            <w:hideMark/>
          </w:tcPr>
          <w:p w14:paraId="6682C576" w14:textId="77777777" w:rsidR="00146369" w:rsidRPr="00185426" w:rsidRDefault="00146369" w:rsidP="00080E19">
            <w:pPr>
              <w:spacing w:after="0" w:line="240" w:lineRule="auto"/>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 </w:t>
            </w:r>
          </w:p>
        </w:tc>
        <w:tc>
          <w:tcPr>
            <w:tcW w:w="1418" w:type="dxa"/>
            <w:tcBorders>
              <w:top w:val="nil"/>
              <w:left w:val="nil"/>
              <w:bottom w:val="nil"/>
              <w:right w:val="single" w:sz="8" w:space="0" w:color="auto"/>
            </w:tcBorders>
            <w:shd w:val="clear" w:color="auto" w:fill="auto"/>
            <w:noWrap/>
            <w:vAlign w:val="center"/>
            <w:hideMark/>
          </w:tcPr>
          <w:p w14:paraId="41DE3CFF" w14:textId="77777777" w:rsidR="00146369" w:rsidRPr="00185426" w:rsidRDefault="00146369" w:rsidP="00080E19">
            <w:pPr>
              <w:spacing w:after="0" w:line="240" w:lineRule="auto"/>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 </w:t>
            </w:r>
          </w:p>
        </w:tc>
      </w:tr>
      <w:tr w:rsidR="00146369" w:rsidRPr="00185426" w14:paraId="630CDE2D" w14:textId="77777777" w:rsidTr="00080E19">
        <w:trPr>
          <w:trHeight w:val="255"/>
        </w:trPr>
        <w:tc>
          <w:tcPr>
            <w:tcW w:w="4977" w:type="dxa"/>
            <w:tcBorders>
              <w:top w:val="nil"/>
              <w:left w:val="single" w:sz="8" w:space="0" w:color="auto"/>
              <w:bottom w:val="nil"/>
              <w:right w:val="single" w:sz="8" w:space="0" w:color="auto"/>
            </w:tcBorders>
            <w:shd w:val="clear" w:color="auto" w:fill="auto"/>
            <w:noWrap/>
            <w:vAlign w:val="center"/>
            <w:hideMark/>
          </w:tcPr>
          <w:p w14:paraId="20C92F7E" w14:textId="77777777" w:rsidR="00146369" w:rsidRPr="00185426" w:rsidRDefault="00146369" w:rsidP="00080E19">
            <w:pPr>
              <w:spacing w:after="0" w:line="240" w:lineRule="auto"/>
              <w:rPr>
                <w:rFonts w:ascii="Arial Narrow" w:eastAsia="Times New Roman" w:hAnsi="Arial Narrow" w:cs="Arial"/>
                <w:b/>
                <w:bCs/>
                <w:sz w:val="16"/>
                <w:szCs w:val="16"/>
                <w:lang w:eastAsia="pt-BR"/>
              </w:rPr>
            </w:pPr>
            <w:r w:rsidRPr="00185426">
              <w:rPr>
                <w:rFonts w:ascii="Arial Narrow" w:eastAsia="Times New Roman" w:hAnsi="Arial Narrow" w:cs="Arial"/>
                <w:b/>
                <w:bCs/>
                <w:sz w:val="16"/>
                <w:szCs w:val="16"/>
                <w:lang w:eastAsia="pt-BR"/>
              </w:rPr>
              <w:t>RECEITA ORÇAMENTÁRIA (I)</w:t>
            </w:r>
          </w:p>
        </w:tc>
        <w:tc>
          <w:tcPr>
            <w:tcW w:w="1275" w:type="dxa"/>
            <w:tcBorders>
              <w:top w:val="nil"/>
              <w:left w:val="nil"/>
              <w:bottom w:val="nil"/>
              <w:right w:val="single" w:sz="8" w:space="0" w:color="auto"/>
            </w:tcBorders>
            <w:shd w:val="clear" w:color="auto" w:fill="auto"/>
            <w:vAlign w:val="center"/>
            <w:hideMark/>
          </w:tcPr>
          <w:p w14:paraId="612FB3A3" w14:textId="77777777" w:rsidR="00146369" w:rsidRPr="00185426" w:rsidRDefault="00146369" w:rsidP="00080E19">
            <w:pPr>
              <w:spacing w:after="0" w:line="240" w:lineRule="auto"/>
              <w:jc w:val="center"/>
              <w:rPr>
                <w:rFonts w:ascii="Arial Narrow" w:eastAsia="Times New Roman" w:hAnsi="Arial Narrow" w:cs="Arial"/>
                <w:b/>
                <w:bCs/>
                <w:sz w:val="16"/>
                <w:szCs w:val="16"/>
                <w:lang w:eastAsia="pt-BR"/>
              </w:rPr>
            </w:pPr>
            <w:r w:rsidRPr="00185426">
              <w:rPr>
                <w:rFonts w:ascii="Arial Narrow" w:eastAsia="Times New Roman" w:hAnsi="Arial Narrow" w:cs="Arial"/>
                <w:b/>
                <w:bCs/>
                <w:sz w:val="16"/>
                <w:szCs w:val="16"/>
                <w:lang w:eastAsia="pt-BR"/>
              </w:rPr>
              <w:t>ABF.B010</w:t>
            </w:r>
          </w:p>
        </w:tc>
        <w:tc>
          <w:tcPr>
            <w:tcW w:w="1560" w:type="dxa"/>
            <w:tcBorders>
              <w:top w:val="nil"/>
              <w:left w:val="nil"/>
              <w:bottom w:val="nil"/>
              <w:right w:val="single" w:sz="8" w:space="0" w:color="auto"/>
            </w:tcBorders>
            <w:shd w:val="clear" w:color="auto" w:fill="auto"/>
            <w:vAlign w:val="center"/>
            <w:hideMark/>
          </w:tcPr>
          <w:p w14:paraId="7E0B5D43" w14:textId="77777777" w:rsidR="00146369" w:rsidRPr="00185426" w:rsidRDefault="00146369" w:rsidP="00080E19">
            <w:pPr>
              <w:spacing w:after="0" w:line="240" w:lineRule="auto"/>
              <w:jc w:val="center"/>
              <w:rPr>
                <w:rFonts w:ascii="Arial Narrow" w:eastAsia="Times New Roman" w:hAnsi="Arial Narrow" w:cs="Arial"/>
                <w:b/>
                <w:bCs/>
                <w:sz w:val="16"/>
                <w:szCs w:val="16"/>
                <w:lang w:eastAsia="pt-BR"/>
              </w:rPr>
            </w:pPr>
            <w:r w:rsidRPr="00185426">
              <w:rPr>
                <w:rFonts w:ascii="Arial Narrow" w:eastAsia="Times New Roman" w:hAnsi="Arial Narrow" w:cs="Arial"/>
                <w:b/>
                <w:bCs/>
                <w:sz w:val="16"/>
                <w:szCs w:val="16"/>
                <w:lang w:eastAsia="pt-BR"/>
              </w:rPr>
              <w:t>ABF.C010</w:t>
            </w:r>
          </w:p>
        </w:tc>
        <w:tc>
          <w:tcPr>
            <w:tcW w:w="1275" w:type="dxa"/>
            <w:tcBorders>
              <w:top w:val="nil"/>
              <w:left w:val="nil"/>
              <w:bottom w:val="nil"/>
              <w:right w:val="single" w:sz="8" w:space="0" w:color="auto"/>
            </w:tcBorders>
            <w:shd w:val="clear" w:color="auto" w:fill="auto"/>
            <w:vAlign w:val="center"/>
            <w:hideMark/>
          </w:tcPr>
          <w:p w14:paraId="1505C682" w14:textId="77777777" w:rsidR="00146369" w:rsidRPr="00185426" w:rsidRDefault="00146369" w:rsidP="00080E19">
            <w:pPr>
              <w:spacing w:after="0" w:line="240" w:lineRule="auto"/>
              <w:jc w:val="center"/>
              <w:rPr>
                <w:rFonts w:ascii="Arial Narrow" w:eastAsia="Times New Roman" w:hAnsi="Arial Narrow" w:cs="Arial"/>
                <w:b/>
                <w:bCs/>
                <w:sz w:val="16"/>
                <w:szCs w:val="16"/>
                <w:lang w:eastAsia="pt-BR"/>
              </w:rPr>
            </w:pPr>
            <w:r w:rsidRPr="00185426">
              <w:rPr>
                <w:rFonts w:ascii="Arial Narrow" w:eastAsia="Times New Roman" w:hAnsi="Arial Narrow" w:cs="Arial"/>
                <w:b/>
                <w:bCs/>
                <w:sz w:val="16"/>
                <w:szCs w:val="16"/>
                <w:lang w:eastAsia="pt-BR"/>
              </w:rPr>
              <w:t>ABF.D010</w:t>
            </w:r>
          </w:p>
        </w:tc>
        <w:tc>
          <w:tcPr>
            <w:tcW w:w="1276" w:type="dxa"/>
            <w:tcBorders>
              <w:top w:val="nil"/>
              <w:left w:val="nil"/>
              <w:bottom w:val="nil"/>
              <w:right w:val="single" w:sz="8" w:space="0" w:color="auto"/>
            </w:tcBorders>
            <w:shd w:val="clear" w:color="auto" w:fill="auto"/>
            <w:vAlign w:val="center"/>
            <w:hideMark/>
          </w:tcPr>
          <w:p w14:paraId="199D23C0" w14:textId="77777777" w:rsidR="00146369" w:rsidRPr="00185426" w:rsidRDefault="00146369" w:rsidP="00080E19">
            <w:pPr>
              <w:spacing w:after="0" w:line="240" w:lineRule="auto"/>
              <w:jc w:val="center"/>
              <w:rPr>
                <w:rFonts w:ascii="Arial Narrow" w:eastAsia="Times New Roman" w:hAnsi="Arial Narrow" w:cs="Arial"/>
                <w:b/>
                <w:bCs/>
                <w:sz w:val="16"/>
                <w:szCs w:val="16"/>
                <w:lang w:eastAsia="pt-BR"/>
              </w:rPr>
            </w:pPr>
            <w:r w:rsidRPr="00185426">
              <w:rPr>
                <w:rFonts w:ascii="Arial Narrow" w:eastAsia="Times New Roman" w:hAnsi="Arial Narrow" w:cs="Arial"/>
                <w:b/>
                <w:bCs/>
                <w:sz w:val="16"/>
                <w:szCs w:val="16"/>
                <w:lang w:eastAsia="pt-BR"/>
              </w:rPr>
              <w:t>ABF.E010</w:t>
            </w:r>
          </w:p>
        </w:tc>
        <w:tc>
          <w:tcPr>
            <w:tcW w:w="1701" w:type="dxa"/>
            <w:tcBorders>
              <w:top w:val="nil"/>
              <w:left w:val="nil"/>
              <w:bottom w:val="nil"/>
              <w:right w:val="single" w:sz="8" w:space="0" w:color="auto"/>
            </w:tcBorders>
            <w:shd w:val="clear" w:color="auto" w:fill="auto"/>
            <w:vAlign w:val="center"/>
            <w:hideMark/>
          </w:tcPr>
          <w:p w14:paraId="3C712AE8" w14:textId="77777777" w:rsidR="00146369" w:rsidRPr="00185426" w:rsidRDefault="00146369" w:rsidP="00080E19">
            <w:pPr>
              <w:spacing w:after="0" w:line="240" w:lineRule="auto"/>
              <w:jc w:val="center"/>
              <w:rPr>
                <w:rFonts w:ascii="Arial Narrow" w:eastAsia="Times New Roman" w:hAnsi="Arial Narrow" w:cs="Arial"/>
                <w:b/>
                <w:bCs/>
                <w:sz w:val="16"/>
                <w:szCs w:val="16"/>
                <w:lang w:eastAsia="pt-BR"/>
              </w:rPr>
            </w:pPr>
            <w:r w:rsidRPr="00185426">
              <w:rPr>
                <w:rFonts w:ascii="Arial Narrow" w:eastAsia="Times New Roman" w:hAnsi="Arial Narrow" w:cs="Arial"/>
                <w:b/>
                <w:bCs/>
                <w:sz w:val="16"/>
                <w:szCs w:val="16"/>
                <w:lang w:eastAsia="pt-BR"/>
              </w:rPr>
              <w:t>ABF.F010</w:t>
            </w:r>
          </w:p>
        </w:tc>
        <w:tc>
          <w:tcPr>
            <w:tcW w:w="1418" w:type="dxa"/>
            <w:tcBorders>
              <w:top w:val="nil"/>
              <w:left w:val="nil"/>
              <w:bottom w:val="nil"/>
              <w:right w:val="single" w:sz="8" w:space="0" w:color="auto"/>
            </w:tcBorders>
            <w:shd w:val="clear" w:color="auto" w:fill="auto"/>
            <w:vAlign w:val="center"/>
            <w:hideMark/>
          </w:tcPr>
          <w:p w14:paraId="5C87DBEC" w14:textId="77777777" w:rsidR="00146369" w:rsidRPr="00185426" w:rsidRDefault="00146369" w:rsidP="00080E19">
            <w:pPr>
              <w:spacing w:after="0" w:line="240" w:lineRule="auto"/>
              <w:jc w:val="center"/>
              <w:rPr>
                <w:rFonts w:ascii="Arial Narrow" w:eastAsia="Times New Roman" w:hAnsi="Arial Narrow" w:cs="Arial"/>
                <w:b/>
                <w:bCs/>
                <w:sz w:val="16"/>
                <w:szCs w:val="16"/>
                <w:lang w:eastAsia="pt-BR"/>
              </w:rPr>
            </w:pPr>
            <w:r w:rsidRPr="00185426">
              <w:rPr>
                <w:rFonts w:ascii="Arial Narrow" w:eastAsia="Times New Roman" w:hAnsi="Arial Narrow" w:cs="Arial"/>
                <w:b/>
                <w:bCs/>
                <w:sz w:val="16"/>
                <w:szCs w:val="16"/>
                <w:lang w:eastAsia="pt-BR"/>
              </w:rPr>
              <w:t>ABF.G010</w:t>
            </w:r>
          </w:p>
        </w:tc>
      </w:tr>
      <w:tr w:rsidR="00146369" w:rsidRPr="00185426" w14:paraId="51097144" w14:textId="77777777" w:rsidTr="00080E19">
        <w:trPr>
          <w:trHeight w:val="255"/>
        </w:trPr>
        <w:tc>
          <w:tcPr>
            <w:tcW w:w="4977" w:type="dxa"/>
            <w:tcBorders>
              <w:top w:val="nil"/>
              <w:left w:val="single" w:sz="8" w:space="0" w:color="auto"/>
              <w:bottom w:val="nil"/>
              <w:right w:val="single" w:sz="8" w:space="0" w:color="auto"/>
            </w:tcBorders>
            <w:shd w:val="clear" w:color="auto" w:fill="auto"/>
            <w:noWrap/>
            <w:vAlign w:val="center"/>
            <w:hideMark/>
          </w:tcPr>
          <w:p w14:paraId="7FB43E55" w14:textId="77777777" w:rsidR="00146369" w:rsidRPr="00185426" w:rsidRDefault="00146369" w:rsidP="00080E19">
            <w:pPr>
              <w:spacing w:after="0" w:line="240" w:lineRule="auto"/>
              <w:ind w:firstLineChars="100" w:firstLine="161"/>
              <w:rPr>
                <w:rFonts w:ascii="Arial Narrow" w:eastAsia="Times New Roman" w:hAnsi="Arial Narrow" w:cs="Arial"/>
                <w:b/>
                <w:bCs/>
                <w:sz w:val="16"/>
                <w:szCs w:val="16"/>
                <w:u w:val="single"/>
                <w:lang w:eastAsia="pt-BR"/>
              </w:rPr>
            </w:pPr>
            <w:r w:rsidRPr="00185426">
              <w:rPr>
                <w:rFonts w:ascii="Arial Narrow" w:eastAsia="Times New Roman" w:hAnsi="Arial Narrow" w:cs="Arial"/>
                <w:b/>
                <w:bCs/>
                <w:sz w:val="16"/>
                <w:szCs w:val="16"/>
                <w:u w:val="single"/>
                <w:lang w:eastAsia="pt-BR"/>
              </w:rPr>
              <w:t>Ordinária</w:t>
            </w:r>
          </w:p>
        </w:tc>
        <w:tc>
          <w:tcPr>
            <w:tcW w:w="1275" w:type="dxa"/>
            <w:tcBorders>
              <w:top w:val="nil"/>
              <w:left w:val="nil"/>
              <w:bottom w:val="nil"/>
              <w:right w:val="single" w:sz="8" w:space="0" w:color="auto"/>
            </w:tcBorders>
            <w:shd w:val="clear" w:color="auto" w:fill="auto"/>
            <w:vAlign w:val="center"/>
            <w:hideMark/>
          </w:tcPr>
          <w:p w14:paraId="40C848DA" w14:textId="77777777" w:rsidR="00146369" w:rsidRPr="00185426" w:rsidRDefault="00146369" w:rsidP="00080E19">
            <w:pPr>
              <w:spacing w:after="0" w:line="240" w:lineRule="auto"/>
              <w:jc w:val="center"/>
              <w:rPr>
                <w:rFonts w:ascii="Arial Narrow" w:eastAsia="Times New Roman" w:hAnsi="Arial Narrow" w:cs="Arial"/>
                <w:b/>
                <w:bCs/>
                <w:sz w:val="16"/>
                <w:szCs w:val="16"/>
                <w:lang w:eastAsia="pt-BR"/>
              </w:rPr>
            </w:pPr>
            <w:r w:rsidRPr="00185426">
              <w:rPr>
                <w:rFonts w:ascii="Arial Narrow" w:eastAsia="Times New Roman" w:hAnsi="Arial Narrow" w:cs="Arial"/>
                <w:b/>
                <w:bCs/>
                <w:sz w:val="16"/>
                <w:szCs w:val="16"/>
                <w:lang w:eastAsia="pt-BR"/>
              </w:rPr>
              <w:t>ABF.B011</w:t>
            </w:r>
          </w:p>
        </w:tc>
        <w:tc>
          <w:tcPr>
            <w:tcW w:w="1560" w:type="dxa"/>
            <w:tcBorders>
              <w:top w:val="nil"/>
              <w:left w:val="nil"/>
              <w:bottom w:val="nil"/>
              <w:right w:val="single" w:sz="8" w:space="0" w:color="auto"/>
            </w:tcBorders>
            <w:shd w:val="clear" w:color="auto" w:fill="auto"/>
            <w:vAlign w:val="center"/>
            <w:hideMark/>
          </w:tcPr>
          <w:p w14:paraId="5E9FA457" w14:textId="77777777" w:rsidR="00146369" w:rsidRPr="00185426" w:rsidRDefault="00146369" w:rsidP="00080E19">
            <w:pPr>
              <w:spacing w:after="0" w:line="240" w:lineRule="auto"/>
              <w:jc w:val="center"/>
              <w:rPr>
                <w:rFonts w:ascii="Arial Narrow" w:eastAsia="Times New Roman" w:hAnsi="Arial Narrow" w:cs="Arial"/>
                <w:b/>
                <w:bCs/>
                <w:sz w:val="16"/>
                <w:szCs w:val="16"/>
                <w:lang w:eastAsia="pt-BR"/>
              </w:rPr>
            </w:pPr>
            <w:r w:rsidRPr="00185426">
              <w:rPr>
                <w:rFonts w:ascii="Arial Narrow" w:eastAsia="Times New Roman" w:hAnsi="Arial Narrow" w:cs="Arial"/>
                <w:b/>
                <w:bCs/>
                <w:sz w:val="16"/>
                <w:szCs w:val="16"/>
                <w:lang w:eastAsia="pt-BR"/>
              </w:rPr>
              <w:t>ABF.C011</w:t>
            </w:r>
          </w:p>
        </w:tc>
        <w:tc>
          <w:tcPr>
            <w:tcW w:w="1275" w:type="dxa"/>
            <w:tcBorders>
              <w:top w:val="nil"/>
              <w:left w:val="nil"/>
              <w:bottom w:val="nil"/>
              <w:right w:val="single" w:sz="8" w:space="0" w:color="auto"/>
            </w:tcBorders>
            <w:shd w:val="clear" w:color="auto" w:fill="auto"/>
            <w:vAlign w:val="center"/>
            <w:hideMark/>
          </w:tcPr>
          <w:p w14:paraId="2D7092F2" w14:textId="77777777" w:rsidR="00146369" w:rsidRPr="00185426" w:rsidRDefault="00146369" w:rsidP="00080E19">
            <w:pPr>
              <w:spacing w:after="0" w:line="240" w:lineRule="auto"/>
              <w:jc w:val="center"/>
              <w:rPr>
                <w:rFonts w:ascii="Arial Narrow" w:eastAsia="Times New Roman" w:hAnsi="Arial Narrow" w:cs="Arial"/>
                <w:b/>
                <w:bCs/>
                <w:sz w:val="16"/>
                <w:szCs w:val="16"/>
                <w:lang w:eastAsia="pt-BR"/>
              </w:rPr>
            </w:pPr>
            <w:r w:rsidRPr="00185426">
              <w:rPr>
                <w:rFonts w:ascii="Arial Narrow" w:eastAsia="Times New Roman" w:hAnsi="Arial Narrow" w:cs="Arial"/>
                <w:b/>
                <w:bCs/>
                <w:sz w:val="16"/>
                <w:szCs w:val="16"/>
                <w:lang w:eastAsia="pt-BR"/>
              </w:rPr>
              <w:t>ABF.D011</w:t>
            </w:r>
          </w:p>
        </w:tc>
        <w:tc>
          <w:tcPr>
            <w:tcW w:w="1276" w:type="dxa"/>
            <w:tcBorders>
              <w:top w:val="nil"/>
              <w:left w:val="nil"/>
              <w:bottom w:val="nil"/>
              <w:right w:val="single" w:sz="8" w:space="0" w:color="auto"/>
            </w:tcBorders>
            <w:shd w:val="clear" w:color="auto" w:fill="auto"/>
            <w:vAlign w:val="center"/>
            <w:hideMark/>
          </w:tcPr>
          <w:p w14:paraId="52C2129F" w14:textId="77777777" w:rsidR="00146369" w:rsidRPr="00185426" w:rsidRDefault="00146369" w:rsidP="00080E19">
            <w:pPr>
              <w:spacing w:after="0" w:line="240" w:lineRule="auto"/>
              <w:jc w:val="center"/>
              <w:rPr>
                <w:rFonts w:ascii="Arial Narrow" w:eastAsia="Times New Roman" w:hAnsi="Arial Narrow" w:cs="Arial"/>
                <w:b/>
                <w:bCs/>
                <w:sz w:val="16"/>
                <w:szCs w:val="16"/>
                <w:lang w:eastAsia="pt-BR"/>
              </w:rPr>
            </w:pPr>
            <w:r w:rsidRPr="00185426">
              <w:rPr>
                <w:rFonts w:ascii="Arial Narrow" w:eastAsia="Times New Roman" w:hAnsi="Arial Narrow" w:cs="Arial"/>
                <w:b/>
                <w:bCs/>
                <w:sz w:val="16"/>
                <w:szCs w:val="16"/>
                <w:lang w:eastAsia="pt-BR"/>
              </w:rPr>
              <w:t>ABF.E011</w:t>
            </w:r>
          </w:p>
        </w:tc>
        <w:tc>
          <w:tcPr>
            <w:tcW w:w="1701" w:type="dxa"/>
            <w:tcBorders>
              <w:top w:val="nil"/>
              <w:left w:val="nil"/>
              <w:bottom w:val="nil"/>
              <w:right w:val="single" w:sz="8" w:space="0" w:color="auto"/>
            </w:tcBorders>
            <w:shd w:val="clear" w:color="auto" w:fill="auto"/>
            <w:vAlign w:val="center"/>
            <w:hideMark/>
          </w:tcPr>
          <w:p w14:paraId="7A514D40" w14:textId="77777777" w:rsidR="00146369" w:rsidRPr="00185426" w:rsidRDefault="00146369" w:rsidP="00080E19">
            <w:pPr>
              <w:spacing w:after="0" w:line="240" w:lineRule="auto"/>
              <w:jc w:val="center"/>
              <w:rPr>
                <w:rFonts w:ascii="Arial Narrow" w:eastAsia="Times New Roman" w:hAnsi="Arial Narrow" w:cs="Arial"/>
                <w:b/>
                <w:bCs/>
                <w:sz w:val="16"/>
                <w:szCs w:val="16"/>
                <w:lang w:eastAsia="pt-BR"/>
              </w:rPr>
            </w:pPr>
            <w:r w:rsidRPr="00185426">
              <w:rPr>
                <w:rFonts w:ascii="Arial Narrow" w:eastAsia="Times New Roman" w:hAnsi="Arial Narrow" w:cs="Arial"/>
                <w:b/>
                <w:bCs/>
                <w:sz w:val="16"/>
                <w:szCs w:val="16"/>
                <w:lang w:eastAsia="pt-BR"/>
              </w:rPr>
              <w:t>ABF.F011</w:t>
            </w:r>
          </w:p>
        </w:tc>
        <w:tc>
          <w:tcPr>
            <w:tcW w:w="1418" w:type="dxa"/>
            <w:tcBorders>
              <w:top w:val="nil"/>
              <w:left w:val="nil"/>
              <w:bottom w:val="nil"/>
              <w:right w:val="single" w:sz="8" w:space="0" w:color="auto"/>
            </w:tcBorders>
            <w:shd w:val="clear" w:color="auto" w:fill="auto"/>
            <w:vAlign w:val="center"/>
            <w:hideMark/>
          </w:tcPr>
          <w:p w14:paraId="1C0D9B3F" w14:textId="77777777" w:rsidR="00146369" w:rsidRPr="00185426" w:rsidRDefault="00146369" w:rsidP="00080E19">
            <w:pPr>
              <w:spacing w:after="0" w:line="240" w:lineRule="auto"/>
              <w:jc w:val="center"/>
              <w:rPr>
                <w:rFonts w:ascii="Arial Narrow" w:eastAsia="Times New Roman" w:hAnsi="Arial Narrow" w:cs="Arial"/>
                <w:b/>
                <w:bCs/>
                <w:sz w:val="16"/>
                <w:szCs w:val="16"/>
                <w:lang w:eastAsia="pt-BR"/>
              </w:rPr>
            </w:pPr>
            <w:r w:rsidRPr="00185426">
              <w:rPr>
                <w:rFonts w:ascii="Arial Narrow" w:eastAsia="Times New Roman" w:hAnsi="Arial Narrow" w:cs="Arial"/>
                <w:b/>
                <w:bCs/>
                <w:sz w:val="16"/>
                <w:szCs w:val="16"/>
                <w:lang w:eastAsia="pt-BR"/>
              </w:rPr>
              <w:t>ABF.G011</w:t>
            </w:r>
          </w:p>
        </w:tc>
      </w:tr>
      <w:tr w:rsidR="00146369" w:rsidRPr="00185426" w14:paraId="5AE4EA7A" w14:textId="77777777" w:rsidTr="00080E19">
        <w:trPr>
          <w:trHeight w:val="255"/>
        </w:trPr>
        <w:tc>
          <w:tcPr>
            <w:tcW w:w="4977" w:type="dxa"/>
            <w:tcBorders>
              <w:top w:val="nil"/>
              <w:left w:val="single" w:sz="8" w:space="0" w:color="auto"/>
              <w:bottom w:val="nil"/>
              <w:right w:val="single" w:sz="8" w:space="0" w:color="auto"/>
            </w:tcBorders>
            <w:shd w:val="clear" w:color="auto" w:fill="auto"/>
            <w:noWrap/>
            <w:vAlign w:val="center"/>
          </w:tcPr>
          <w:p w14:paraId="724B0C13" w14:textId="77777777" w:rsidR="00146369" w:rsidRPr="00185426" w:rsidRDefault="00146369" w:rsidP="00080E19">
            <w:pPr>
              <w:spacing w:after="0" w:line="240" w:lineRule="auto"/>
              <w:ind w:left="371"/>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001 - Recursos Ordinários</w:t>
            </w:r>
          </w:p>
        </w:tc>
        <w:tc>
          <w:tcPr>
            <w:tcW w:w="1275" w:type="dxa"/>
            <w:tcBorders>
              <w:top w:val="nil"/>
              <w:left w:val="nil"/>
              <w:bottom w:val="nil"/>
              <w:right w:val="single" w:sz="8" w:space="0" w:color="auto"/>
            </w:tcBorders>
            <w:shd w:val="clear" w:color="auto" w:fill="auto"/>
            <w:vAlign w:val="center"/>
          </w:tcPr>
          <w:p w14:paraId="441B34F4" w14:textId="77777777" w:rsidR="00146369" w:rsidRPr="00185426" w:rsidRDefault="00146369" w:rsidP="00080E19">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ABF.B067</w:t>
            </w:r>
          </w:p>
        </w:tc>
        <w:tc>
          <w:tcPr>
            <w:tcW w:w="1560" w:type="dxa"/>
            <w:tcBorders>
              <w:top w:val="nil"/>
              <w:left w:val="nil"/>
              <w:bottom w:val="nil"/>
              <w:right w:val="single" w:sz="8" w:space="0" w:color="auto"/>
            </w:tcBorders>
            <w:shd w:val="clear" w:color="auto" w:fill="auto"/>
            <w:vAlign w:val="center"/>
          </w:tcPr>
          <w:p w14:paraId="62CB5ED0" w14:textId="77777777" w:rsidR="00146369" w:rsidRPr="00185426" w:rsidRDefault="00146369" w:rsidP="00080E19">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ABF.C067</w:t>
            </w:r>
          </w:p>
        </w:tc>
        <w:tc>
          <w:tcPr>
            <w:tcW w:w="1275" w:type="dxa"/>
            <w:tcBorders>
              <w:top w:val="nil"/>
              <w:left w:val="nil"/>
              <w:bottom w:val="nil"/>
              <w:right w:val="single" w:sz="8" w:space="0" w:color="auto"/>
            </w:tcBorders>
            <w:shd w:val="clear" w:color="auto" w:fill="auto"/>
            <w:vAlign w:val="center"/>
          </w:tcPr>
          <w:p w14:paraId="2F013A2A" w14:textId="77777777" w:rsidR="00146369" w:rsidRPr="00185426" w:rsidRDefault="00146369" w:rsidP="00080E19">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ABF.D067</w:t>
            </w:r>
          </w:p>
        </w:tc>
        <w:tc>
          <w:tcPr>
            <w:tcW w:w="1276" w:type="dxa"/>
            <w:tcBorders>
              <w:top w:val="nil"/>
              <w:left w:val="nil"/>
              <w:bottom w:val="nil"/>
              <w:right w:val="single" w:sz="8" w:space="0" w:color="auto"/>
            </w:tcBorders>
            <w:shd w:val="clear" w:color="auto" w:fill="auto"/>
            <w:vAlign w:val="center"/>
          </w:tcPr>
          <w:p w14:paraId="5D21269C" w14:textId="77777777" w:rsidR="00146369" w:rsidRPr="00185426" w:rsidRDefault="00146369" w:rsidP="00080E19">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ABF.E067</w:t>
            </w:r>
          </w:p>
        </w:tc>
        <w:tc>
          <w:tcPr>
            <w:tcW w:w="1701" w:type="dxa"/>
            <w:tcBorders>
              <w:top w:val="nil"/>
              <w:left w:val="nil"/>
              <w:bottom w:val="nil"/>
              <w:right w:val="single" w:sz="8" w:space="0" w:color="auto"/>
            </w:tcBorders>
            <w:shd w:val="clear" w:color="auto" w:fill="auto"/>
            <w:vAlign w:val="center"/>
          </w:tcPr>
          <w:p w14:paraId="5BD32834" w14:textId="77777777" w:rsidR="00146369" w:rsidRPr="00185426" w:rsidRDefault="00146369" w:rsidP="00080E19">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ABF.F067</w:t>
            </w:r>
          </w:p>
        </w:tc>
        <w:tc>
          <w:tcPr>
            <w:tcW w:w="1418" w:type="dxa"/>
            <w:tcBorders>
              <w:top w:val="nil"/>
              <w:left w:val="nil"/>
              <w:bottom w:val="nil"/>
              <w:right w:val="single" w:sz="8" w:space="0" w:color="auto"/>
            </w:tcBorders>
            <w:shd w:val="clear" w:color="auto" w:fill="auto"/>
            <w:vAlign w:val="center"/>
          </w:tcPr>
          <w:p w14:paraId="4EBA448E" w14:textId="77777777" w:rsidR="00146369" w:rsidRPr="00185426" w:rsidRDefault="00146369" w:rsidP="00080E19">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ABF.G067</w:t>
            </w:r>
          </w:p>
        </w:tc>
      </w:tr>
      <w:tr w:rsidR="00146369" w:rsidRPr="00185426" w14:paraId="4FE6332A" w14:textId="77777777" w:rsidTr="00080E19">
        <w:trPr>
          <w:trHeight w:val="255"/>
        </w:trPr>
        <w:tc>
          <w:tcPr>
            <w:tcW w:w="4977" w:type="dxa"/>
            <w:tcBorders>
              <w:top w:val="nil"/>
              <w:left w:val="single" w:sz="8" w:space="0" w:color="auto"/>
              <w:bottom w:val="nil"/>
              <w:right w:val="single" w:sz="8" w:space="0" w:color="auto"/>
            </w:tcBorders>
            <w:shd w:val="clear" w:color="auto" w:fill="auto"/>
            <w:noWrap/>
            <w:vAlign w:val="center"/>
          </w:tcPr>
          <w:p w14:paraId="1B0443EE" w14:textId="77777777" w:rsidR="00146369" w:rsidRPr="00185426" w:rsidRDefault="00146369" w:rsidP="00080E19">
            <w:pPr>
              <w:spacing w:after="0" w:line="240" w:lineRule="auto"/>
              <w:ind w:left="371"/>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090 – Outros Recursos Não Vinculados</w:t>
            </w:r>
          </w:p>
        </w:tc>
        <w:tc>
          <w:tcPr>
            <w:tcW w:w="1275" w:type="dxa"/>
            <w:tcBorders>
              <w:top w:val="nil"/>
              <w:left w:val="nil"/>
              <w:bottom w:val="nil"/>
              <w:right w:val="single" w:sz="8" w:space="0" w:color="auto"/>
            </w:tcBorders>
            <w:shd w:val="clear" w:color="auto" w:fill="auto"/>
            <w:vAlign w:val="center"/>
          </w:tcPr>
          <w:p w14:paraId="0DAED3BC" w14:textId="77777777" w:rsidR="00146369" w:rsidRPr="00185426" w:rsidRDefault="00146369" w:rsidP="00080E19">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ABF.B073</w:t>
            </w:r>
          </w:p>
        </w:tc>
        <w:tc>
          <w:tcPr>
            <w:tcW w:w="1560" w:type="dxa"/>
            <w:tcBorders>
              <w:top w:val="nil"/>
              <w:left w:val="nil"/>
              <w:bottom w:val="nil"/>
              <w:right w:val="single" w:sz="8" w:space="0" w:color="auto"/>
            </w:tcBorders>
            <w:shd w:val="clear" w:color="auto" w:fill="auto"/>
            <w:vAlign w:val="center"/>
          </w:tcPr>
          <w:p w14:paraId="06FD97B6" w14:textId="77777777" w:rsidR="00146369" w:rsidRPr="00185426" w:rsidRDefault="00146369" w:rsidP="00080E19">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ABF.C073</w:t>
            </w:r>
          </w:p>
        </w:tc>
        <w:tc>
          <w:tcPr>
            <w:tcW w:w="1275" w:type="dxa"/>
            <w:tcBorders>
              <w:top w:val="nil"/>
              <w:left w:val="nil"/>
              <w:bottom w:val="nil"/>
              <w:right w:val="single" w:sz="8" w:space="0" w:color="auto"/>
            </w:tcBorders>
            <w:shd w:val="clear" w:color="auto" w:fill="auto"/>
            <w:vAlign w:val="center"/>
          </w:tcPr>
          <w:p w14:paraId="49B1CE60" w14:textId="77777777" w:rsidR="00146369" w:rsidRPr="00185426" w:rsidRDefault="00146369" w:rsidP="00080E19">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ABF.D073</w:t>
            </w:r>
          </w:p>
        </w:tc>
        <w:tc>
          <w:tcPr>
            <w:tcW w:w="1276" w:type="dxa"/>
            <w:tcBorders>
              <w:top w:val="nil"/>
              <w:left w:val="nil"/>
              <w:bottom w:val="nil"/>
              <w:right w:val="single" w:sz="8" w:space="0" w:color="auto"/>
            </w:tcBorders>
            <w:shd w:val="clear" w:color="auto" w:fill="auto"/>
            <w:vAlign w:val="center"/>
          </w:tcPr>
          <w:p w14:paraId="454707A0" w14:textId="77777777" w:rsidR="00146369" w:rsidRPr="00185426" w:rsidRDefault="00146369" w:rsidP="00080E19">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ABF.E073</w:t>
            </w:r>
          </w:p>
        </w:tc>
        <w:tc>
          <w:tcPr>
            <w:tcW w:w="1701" w:type="dxa"/>
            <w:tcBorders>
              <w:top w:val="nil"/>
              <w:left w:val="nil"/>
              <w:bottom w:val="nil"/>
              <w:right w:val="single" w:sz="8" w:space="0" w:color="auto"/>
            </w:tcBorders>
            <w:shd w:val="clear" w:color="auto" w:fill="auto"/>
            <w:vAlign w:val="center"/>
          </w:tcPr>
          <w:p w14:paraId="50FC5B4B" w14:textId="77777777" w:rsidR="00146369" w:rsidRPr="00185426" w:rsidRDefault="00146369" w:rsidP="00080E19">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ABF.F073</w:t>
            </w:r>
          </w:p>
        </w:tc>
        <w:tc>
          <w:tcPr>
            <w:tcW w:w="1418" w:type="dxa"/>
            <w:tcBorders>
              <w:top w:val="nil"/>
              <w:left w:val="nil"/>
              <w:bottom w:val="nil"/>
              <w:right w:val="single" w:sz="8" w:space="0" w:color="auto"/>
            </w:tcBorders>
            <w:shd w:val="clear" w:color="auto" w:fill="auto"/>
            <w:vAlign w:val="center"/>
          </w:tcPr>
          <w:p w14:paraId="7C4721BC" w14:textId="77777777" w:rsidR="00146369" w:rsidRPr="00185426" w:rsidRDefault="00146369" w:rsidP="00080E19">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ABF.G073</w:t>
            </w:r>
          </w:p>
        </w:tc>
      </w:tr>
      <w:tr w:rsidR="00146369" w:rsidRPr="00185426" w14:paraId="151EA9D9" w14:textId="77777777" w:rsidTr="00080E19">
        <w:trPr>
          <w:trHeight w:val="255"/>
        </w:trPr>
        <w:tc>
          <w:tcPr>
            <w:tcW w:w="4977" w:type="dxa"/>
            <w:tcBorders>
              <w:top w:val="nil"/>
              <w:left w:val="single" w:sz="8" w:space="0" w:color="auto"/>
              <w:bottom w:val="nil"/>
              <w:right w:val="single" w:sz="8" w:space="0" w:color="auto"/>
            </w:tcBorders>
            <w:shd w:val="clear" w:color="auto" w:fill="auto"/>
            <w:noWrap/>
            <w:vAlign w:val="center"/>
            <w:hideMark/>
          </w:tcPr>
          <w:p w14:paraId="4D45B47D" w14:textId="77777777" w:rsidR="00146369" w:rsidRPr="00185426" w:rsidRDefault="00146369" w:rsidP="00080E19">
            <w:pPr>
              <w:spacing w:after="0" w:line="240" w:lineRule="auto"/>
              <w:ind w:firstLineChars="100" w:firstLine="161"/>
              <w:rPr>
                <w:rFonts w:ascii="Arial Narrow" w:eastAsia="Times New Roman" w:hAnsi="Arial Narrow" w:cs="Arial"/>
                <w:b/>
                <w:bCs/>
                <w:sz w:val="16"/>
                <w:szCs w:val="16"/>
                <w:u w:val="single"/>
                <w:lang w:eastAsia="pt-BR"/>
              </w:rPr>
            </w:pPr>
            <w:r w:rsidRPr="00185426">
              <w:rPr>
                <w:rFonts w:ascii="Arial Narrow" w:eastAsia="Times New Roman" w:hAnsi="Arial Narrow" w:cs="Arial"/>
                <w:b/>
                <w:bCs/>
                <w:sz w:val="16"/>
                <w:szCs w:val="16"/>
                <w:u w:val="single"/>
                <w:lang w:eastAsia="pt-BR"/>
              </w:rPr>
              <w:t>Vinculada</w:t>
            </w:r>
          </w:p>
        </w:tc>
        <w:tc>
          <w:tcPr>
            <w:tcW w:w="1275" w:type="dxa"/>
            <w:tcBorders>
              <w:top w:val="nil"/>
              <w:left w:val="nil"/>
              <w:bottom w:val="nil"/>
              <w:right w:val="single" w:sz="8" w:space="0" w:color="auto"/>
            </w:tcBorders>
            <w:shd w:val="clear" w:color="auto" w:fill="auto"/>
            <w:vAlign w:val="center"/>
            <w:hideMark/>
          </w:tcPr>
          <w:p w14:paraId="0629FE46" w14:textId="77777777" w:rsidR="00146369" w:rsidRPr="00185426" w:rsidRDefault="00146369" w:rsidP="00080E19">
            <w:pPr>
              <w:spacing w:after="0" w:line="240" w:lineRule="auto"/>
              <w:jc w:val="center"/>
              <w:rPr>
                <w:rFonts w:ascii="Arial Narrow" w:eastAsia="Times New Roman" w:hAnsi="Arial Narrow" w:cs="Arial"/>
                <w:b/>
                <w:bCs/>
                <w:sz w:val="16"/>
                <w:szCs w:val="16"/>
                <w:lang w:eastAsia="pt-BR"/>
              </w:rPr>
            </w:pPr>
            <w:r w:rsidRPr="00185426">
              <w:rPr>
                <w:rFonts w:ascii="Arial Narrow" w:eastAsia="Times New Roman" w:hAnsi="Arial Narrow" w:cs="Arial"/>
                <w:b/>
                <w:bCs/>
                <w:sz w:val="16"/>
                <w:szCs w:val="16"/>
                <w:lang w:eastAsia="pt-BR"/>
              </w:rPr>
              <w:t>ABF.B012</w:t>
            </w:r>
          </w:p>
        </w:tc>
        <w:tc>
          <w:tcPr>
            <w:tcW w:w="1560" w:type="dxa"/>
            <w:tcBorders>
              <w:top w:val="nil"/>
              <w:left w:val="nil"/>
              <w:bottom w:val="nil"/>
              <w:right w:val="single" w:sz="8" w:space="0" w:color="auto"/>
            </w:tcBorders>
            <w:shd w:val="clear" w:color="auto" w:fill="auto"/>
            <w:vAlign w:val="center"/>
            <w:hideMark/>
          </w:tcPr>
          <w:p w14:paraId="140C7543" w14:textId="77777777" w:rsidR="00146369" w:rsidRPr="00185426" w:rsidRDefault="00146369" w:rsidP="00080E19">
            <w:pPr>
              <w:spacing w:after="0" w:line="240" w:lineRule="auto"/>
              <w:jc w:val="center"/>
              <w:rPr>
                <w:rFonts w:ascii="Arial Narrow" w:eastAsia="Times New Roman" w:hAnsi="Arial Narrow" w:cs="Arial"/>
                <w:b/>
                <w:bCs/>
                <w:sz w:val="16"/>
                <w:szCs w:val="16"/>
                <w:lang w:eastAsia="pt-BR"/>
              </w:rPr>
            </w:pPr>
            <w:r w:rsidRPr="00185426">
              <w:rPr>
                <w:rFonts w:ascii="Arial Narrow" w:eastAsia="Times New Roman" w:hAnsi="Arial Narrow" w:cs="Arial"/>
                <w:b/>
                <w:bCs/>
                <w:sz w:val="16"/>
                <w:szCs w:val="16"/>
                <w:lang w:eastAsia="pt-BR"/>
              </w:rPr>
              <w:t>ABF.C012</w:t>
            </w:r>
          </w:p>
        </w:tc>
        <w:tc>
          <w:tcPr>
            <w:tcW w:w="1275" w:type="dxa"/>
            <w:tcBorders>
              <w:top w:val="nil"/>
              <w:left w:val="nil"/>
              <w:bottom w:val="nil"/>
              <w:right w:val="single" w:sz="8" w:space="0" w:color="auto"/>
            </w:tcBorders>
            <w:shd w:val="clear" w:color="auto" w:fill="auto"/>
            <w:vAlign w:val="center"/>
            <w:hideMark/>
          </w:tcPr>
          <w:p w14:paraId="3CFB36CC" w14:textId="77777777" w:rsidR="00146369" w:rsidRPr="00185426" w:rsidRDefault="00146369" w:rsidP="00080E19">
            <w:pPr>
              <w:spacing w:after="0" w:line="240" w:lineRule="auto"/>
              <w:jc w:val="center"/>
              <w:rPr>
                <w:rFonts w:ascii="Arial Narrow" w:eastAsia="Times New Roman" w:hAnsi="Arial Narrow" w:cs="Arial"/>
                <w:b/>
                <w:bCs/>
                <w:sz w:val="16"/>
                <w:szCs w:val="16"/>
                <w:lang w:eastAsia="pt-BR"/>
              </w:rPr>
            </w:pPr>
            <w:r w:rsidRPr="00185426">
              <w:rPr>
                <w:rFonts w:ascii="Arial Narrow" w:eastAsia="Times New Roman" w:hAnsi="Arial Narrow" w:cs="Arial"/>
                <w:b/>
                <w:bCs/>
                <w:sz w:val="16"/>
                <w:szCs w:val="16"/>
                <w:lang w:eastAsia="pt-BR"/>
              </w:rPr>
              <w:t>ABF.D012</w:t>
            </w:r>
          </w:p>
        </w:tc>
        <w:tc>
          <w:tcPr>
            <w:tcW w:w="1276" w:type="dxa"/>
            <w:tcBorders>
              <w:top w:val="nil"/>
              <w:left w:val="nil"/>
              <w:bottom w:val="nil"/>
              <w:right w:val="single" w:sz="8" w:space="0" w:color="auto"/>
            </w:tcBorders>
            <w:shd w:val="clear" w:color="auto" w:fill="auto"/>
            <w:vAlign w:val="center"/>
            <w:hideMark/>
          </w:tcPr>
          <w:p w14:paraId="0C721770" w14:textId="77777777" w:rsidR="00146369" w:rsidRPr="00185426" w:rsidRDefault="00146369" w:rsidP="00080E19">
            <w:pPr>
              <w:spacing w:after="0" w:line="240" w:lineRule="auto"/>
              <w:jc w:val="center"/>
              <w:rPr>
                <w:rFonts w:ascii="Arial Narrow" w:eastAsia="Times New Roman" w:hAnsi="Arial Narrow" w:cs="Arial"/>
                <w:b/>
                <w:bCs/>
                <w:sz w:val="16"/>
                <w:szCs w:val="16"/>
                <w:lang w:eastAsia="pt-BR"/>
              </w:rPr>
            </w:pPr>
            <w:r w:rsidRPr="00185426">
              <w:rPr>
                <w:rFonts w:ascii="Arial Narrow" w:eastAsia="Times New Roman" w:hAnsi="Arial Narrow" w:cs="Arial"/>
                <w:b/>
                <w:bCs/>
                <w:sz w:val="16"/>
                <w:szCs w:val="16"/>
                <w:lang w:eastAsia="pt-BR"/>
              </w:rPr>
              <w:t>ABF.E012</w:t>
            </w:r>
          </w:p>
        </w:tc>
        <w:tc>
          <w:tcPr>
            <w:tcW w:w="1701" w:type="dxa"/>
            <w:tcBorders>
              <w:top w:val="nil"/>
              <w:left w:val="nil"/>
              <w:bottom w:val="nil"/>
              <w:right w:val="single" w:sz="8" w:space="0" w:color="auto"/>
            </w:tcBorders>
            <w:shd w:val="clear" w:color="auto" w:fill="auto"/>
            <w:vAlign w:val="center"/>
            <w:hideMark/>
          </w:tcPr>
          <w:p w14:paraId="0FF9E9AC" w14:textId="77777777" w:rsidR="00146369" w:rsidRPr="00185426" w:rsidRDefault="00146369" w:rsidP="00080E19">
            <w:pPr>
              <w:spacing w:after="0" w:line="240" w:lineRule="auto"/>
              <w:jc w:val="center"/>
              <w:rPr>
                <w:rFonts w:ascii="Arial Narrow" w:eastAsia="Times New Roman" w:hAnsi="Arial Narrow" w:cs="Arial"/>
                <w:b/>
                <w:bCs/>
                <w:sz w:val="16"/>
                <w:szCs w:val="16"/>
                <w:lang w:eastAsia="pt-BR"/>
              </w:rPr>
            </w:pPr>
            <w:r w:rsidRPr="00185426">
              <w:rPr>
                <w:rFonts w:ascii="Arial Narrow" w:eastAsia="Times New Roman" w:hAnsi="Arial Narrow" w:cs="Arial"/>
                <w:b/>
                <w:bCs/>
                <w:sz w:val="16"/>
                <w:szCs w:val="16"/>
                <w:lang w:eastAsia="pt-BR"/>
              </w:rPr>
              <w:t>ABF.F012</w:t>
            </w:r>
          </w:p>
        </w:tc>
        <w:tc>
          <w:tcPr>
            <w:tcW w:w="1418" w:type="dxa"/>
            <w:tcBorders>
              <w:top w:val="nil"/>
              <w:left w:val="nil"/>
              <w:bottom w:val="nil"/>
              <w:right w:val="single" w:sz="8" w:space="0" w:color="auto"/>
            </w:tcBorders>
            <w:shd w:val="clear" w:color="auto" w:fill="auto"/>
            <w:vAlign w:val="center"/>
            <w:hideMark/>
          </w:tcPr>
          <w:p w14:paraId="018637FE" w14:textId="77777777" w:rsidR="00146369" w:rsidRPr="00185426" w:rsidRDefault="00146369" w:rsidP="00080E19">
            <w:pPr>
              <w:spacing w:after="0" w:line="240" w:lineRule="auto"/>
              <w:jc w:val="center"/>
              <w:rPr>
                <w:rFonts w:ascii="Arial Narrow" w:eastAsia="Times New Roman" w:hAnsi="Arial Narrow" w:cs="Arial"/>
                <w:b/>
                <w:bCs/>
                <w:sz w:val="16"/>
                <w:szCs w:val="16"/>
                <w:lang w:eastAsia="pt-BR"/>
              </w:rPr>
            </w:pPr>
            <w:r w:rsidRPr="00185426">
              <w:rPr>
                <w:rFonts w:ascii="Arial Narrow" w:eastAsia="Times New Roman" w:hAnsi="Arial Narrow" w:cs="Arial"/>
                <w:b/>
                <w:bCs/>
                <w:sz w:val="16"/>
                <w:szCs w:val="16"/>
                <w:lang w:eastAsia="pt-BR"/>
              </w:rPr>
              <w:t>ABF.G012</w:t>
            </w:r>
          </w:p>
        </w:tc>
      </w:tr>
      <w:tr w:rsidR="00146369" w:rsidRPr="00185426" w14:paraId="4CCE923B" w14:textId="77777777" w:rsidTr="00080E19">
        <w:trPr>
          <w:trHeight w:val="255"/>
        </w:trPr>
        <w:tc>
          <w:tcPr>
            <w:tcW w:w="4977" w:type="dxa"/>
            <w:tcBorders>
              <w:top w:val="nil"/>
              <w:left w:val="single" w:sz="8" w:space="0" w:color="auto"/>
              <w:bottom w:val="nil"/>
              <w:right w:val="single" w:sz="8" w:space="0" w:color="auto"/>
            </w:tcBorders>
            <w:shd w:val="clear" w:color="auto" w:fill="auto"/>
            <w:noWrap/>
            <w:vAlign w:val="center"/>
            <w:hideMark/>
          </w:tcPr>
          <w:p w14:paraId="5466A181" w14:textId="77777777" w:rsidR="00146369" w:rsidRPr="00185426" w:rsidRDefault="00146369" w:rsidP="00080E19">
            <w:pPr>
              <w:spacing w:after="0" w:line="240" w:lineRule="auto"/>
              <w:ind w:firstLineChars="100" w:firstLine="161"/>
              <w:rPr>
                <w:rFonts w:ascii="Arial Narrow" w:eastAsia="Times New Roman" w:hAnsi="Arial Narrow" w:cs="Arial"/>
                <w:b/>
                <w:bCs/>
                <w:sz w:val="16"/>
                <w:szCs w:val="16"/>
                <w:lang w:eastAsia="pt-BR"/>
              </w:rPr>
            </w:pPr>
            <w:r w:rsidRPr="00185426">
              <w:rPr>
                <w:rFonts w:ascii="Arial Narrow" w:eastAsia="Times New Roman" w:hAnsi="Arial Narrow" w:cs="Arial"/>
                <w:b/>
                <w:bCs/>
                <w:sz w:val="16"/>
                <w:szCs w:val="16"/>
                <w:lang w:eastAsia="pt-BR"/>
              </w:rPr>
              <w:t xml:space="preserve">  Recursos Vinculados à Educação </w:t>
            </w:r>
          </w:p>
        </w:tc>
        <w:tc>
          <w:tcPr>
            <w:tcW w:w="1275" w:type="dxa"/>
            <w:tcBorders>
              <w:top w:val="nil"/>
              <w:left w:val="nil"/>
              <w:bottom w:val="nil"/>
              <w:right w:val="single" w:sz="8" w:space="0" w:color="auto"/>
            </w:tcBorders>
            <w:shd w:val="clear" w:color="auto" w:fill="auto"/>
            <w:vAlign w:val="center"/>
            <w:hideMark/>
          </w:tcPr>
          <w:p w14:paraId="004EB5A2" w14:textId="77777777" w:rsidR="00146369" w:rsidRPr="00185426" w:rsidRDefault="00146369" w:rsidP="00080E19">
            <w:pPr>
              <w:spacing w:after="0" w:line="240" w:lineRule="auto"/>
              <w:jc w:val="center"/>
              <w:rPr>
                <w:rFonts w:ascii="Arial Narrow" w:eastAsia="Times New Roman" w:hAnsi="Arial Narrow" w:cs="Arial"/>
                <w:b/>
                <w:bCs/>
                <w:sz w:val="16"/>
                <w:szCs w:val="16"/>
                <w:lang w:eastAsia="pt-BR"/>
              </w:rPr>
            </w:pPr>
            <w:r w:rsidRPr="00185426">
              <w:rPr>
                <w:rFonts w:ascii="Arial Narrow" w:eastAsia="Times New Roman" w:hAnsi="Arial Narrow" w:cs="Arial"/>
                <w:b/>
                <w:bCs/>
                <w:sz w:val="16"/>
                <w:szCs w:val="16"/>
                <w:lang w:eastAsia="pt-BR"/>
              </w:rPr>
              <w:t>ABF.B013</w:t>
            </w:r>
          </w:p>
        </w:tc>
        <w:tc>
          <w:tcPr>
            <w:tcW w:w="1560" w:type="dxa"/>
            <w:tcBorders>
              <w:top w:val="nil"/>
              <w:left w:val="nil"/>
              <w:bottom w:val="nil"/>
              <w:right w:val="single" w:sz="8" w:space="0" w:color="auto"/>
            </w:tcBorders>
            <w:shd w:val="clear" w:color="auto" w:fill="auto"/>
            <w:vAlign w:val="center"/>
            <w:hideMark/>
          </w:tcPr>
          <w:p w14:paraId="669AC8E3" w14:textId="77777777" w:rsidR="00146369" w:rsidRPr="00185426" w:rsidRDefault="00146369" w:rsidP="00080E19">
            <w:pPr>
              <w:spacing w:after="0" w:line="240" w:lineRule="auto"/>
              <w:jc w:val="center"/>
              <w:rPr>
                <w:rFonts w:ascii="Arial Narrow" w:eastAsia="Times New Roman" w:hAnsi="Arial Narrow" w:cs="Arial"/>
                <w:b/>
                <w:bCs/>
                <w:sz w:val="16"/>
                <w:szCs w:val="16"/>
                <w:lang w:eastAsia="pt-BR"/>
              </w:rPr>
            </w:pPr>
            <w:r w:rsidRPr="00185426">
              <w:rPr>
                <w:rFonts w:ascii="Arial Narrow" w:eastAsia="Times New Roman" w:hAnsi="Arial Narrow" w:cs="Arial"/>
                <w:b/>
                <w:bCs/>
                <w:sz w:val="16"/>
                <w:szCs w:val="16"/>
                <w:lang w:eastAsia="pt-BR"/>
              </w:rPr>
              <w:t>ABF.C013</w:t>
            </w:r>
          </w:p>
        </w:tc>
        <w:tc>
          <w:tcPr>
            <w:tcW w:w="1275" w:type="dxa"/>
            <w:tcBorders>
              <w:top w:val="nil"/>
              <w:left w:val="nil"/>
              <w:bottom w:val="nil"/>
              <w:right w:val="single" w:sz="8" w:space="0" w:color="auto"/>
            </w:tcBorders>
            <w:shd w:val="clear" w:color="auto" w:fill="auto"/>
            <w:vAlign w:val="center"/>
            <w:hideMark/>
          </w:tcPr>
          <w:p w14:paraId="5B199FC8" w14:textId="77777777" w:rsidR="00146369" w:rsidRPr="00185426" w:rsidRDefault="00146369" w:rsidP="00080E19">
            <w:pPr>
              <w:spacing w:after="0" w:line="240" w:lineRule="auto"/>
              <w:jc w:val="center"/>
              <w:rPr>
                <w:rFonts w:ascii="Arial Narrow" w:eastAsia="Times New Roman" w:hAnsi="Arial Narrow" w:cs="Arial"/>
                <w:b/>
                <w:bCs/>
                <w:sz w:val="16"/>
                <w:szCs w:val="16"/>
                <w:lang w:eastAsia="pt-BR"/>
              </w:rPr>
            </w:pPr>
            <w:r w:rsidRPr="00185426">
              <w:rPr>
                <w:rFonts w:ascii="Arial Narrow" w:eastAsia="Times New Roman" w:hAnsi="Arial Narrow" w:cs="Arial"/>
                <w:b/>
                <w:bCs/>
                <w:sz w:val="16"/>
                <w:szCs w:val="16"/>
                <w:lang w:eastAsia="pt-BR"/>
              </w:rPr>
              <w:t>ABF.D013</w:t>
            </w:r>
          </w:p>
        </w:tc>
        <w:tc>
          <w:tcPr>
            <w:tcW w:w="1276" w:type="dxa"/>
            <w:tcBorders>
              <w:top w:val="nil"/>
              <w:left w:val="nil"/>
              <w:bottom w:val="nil"/>
              <w:right w:val="single" w:sz="8" w:space="0" w:color="auto"/>
            </w:tcBorders>
            <w:shd w:val="clear" w:color="auto" w:fill="auto"/>
            <w:vAlign w:val="center"/>
            <w:hideMark/>
          </w:tcPr>
          <w:p w14:paraId="0113926D" w14:textId="77777777" w:rsidR="00146369" w:rsidRPr="00185426" w:rsidRDefault="00146369" w:rsidP="00080E19">
            <w:pPr>
              <w:spacing w:after="0" w:line="240" w:lineRule="auto"/>
              <w:jc w:val="center"/>
              <w:rPr>
                <w:rFonts w:ascii="Arial Narrow" w:eastAsia="Times New Roman" w:hAnsi="Arial Narrow" w:cs="Arial"/>
                <w:b/>
                <w:bCs/>
                <w:sz w:val="16"/>
                <w:szCs w:val="16"/>
                <w:lang w:eastAsia="pt-BR"/>
              </w:rPr>
            </w:pPr>
            <w:r w:rsidRPr="00185426">
              <w:rPr>
                <w:rFonts w:ascii="Arial Narrow" w:eastAsia="Times New Roman" w:hAnsi="Arial Narrow" w:cs="Arial"/>
                <w:b/>
                <w:bCs/>
                <w:sz w:val="16"/>
                <w:szCs w:val="16"/>
                <w:lang w:eastAsia="pt-BR"/>
              </w:rPr>
              <w:t>ABF.E013</w:t>
            </w:r>
          </w:p>
        </w:tc>
        <w:tc>
          <w:tcPr>
            <w:tcW w:w="1701" w:type="dxa"/>
            <w:tcBorders>
              <w:top w:val="nil"/>
              <w:left w:val="nil"/>
              <w:bottom w:val="nil"/>
              <w:right w:val="single" w:sz="8" w:space="0" w:color="auto"/>
            </w:tcBorders>
            <w:shd w:val="clear" w:color="auto" w:fill="auto"/>
            <w:vAlign w:val="center"/>
            <w:hideMark/>
          </w:tcPr>
          <w:p w14:paraId="66E5201C" w14:textId="77777777" w:rsidR="00146369" w:rsidRPr="00185426" w:rsidRDefault="00146369" w:rsidP="00080E19">
            <w:pPr>
              <w:spacing w:after="0" w:line="240" w:lineRule="auto"/>
              <w:jc w:val="center"/>
              <w:rPr>
                <w:rFonts w:ascii="Arial Narrow" w:eastAsia="Times New Roman" w:hAnsi="Arial Narrow" w:cs="Arial"/>
                <w:b/>
                <w:bCs/>
                <w:sz w:val="16"/>
                <w:szCs w:val="16"/>
                <w:lang w:eastAsia="pt-BR"/>
              </w:rPr>
            </w:pPr>
            <w:r w:rsidRPr="00185426">
              <w:rPr>
                <w:rFonts w:ascii="Arial Narrow" w:eastAsia="Times New Roman" w:hAnsi="Arial Narrow" w:cs="Arial"/>
                <w:b/>
                <w:bCs/>
                <w:sz w:val="16"/>
                <w:szCs w:val="16"/>
                <w:lang w:eastAsia="pt-BR"/>
              </w:rPr>
              <w:t>ABF.F013</w:t>
            </w:r>
          </w:p>
        </w:tc>
        <w:tc>
          <w:tcPr>
            <w:tcW w:w="1418" w:type="dxa"/>
            <w:tcBorders>
              <w:top w:val="nil"/>
              <w:left w:val="nil"/>
              <w:bottom w:val="nil"/>
              <w:right w:val="single" w:sz="8" w:space="0" w:color="auto"/>
            </w:tcBorders>
            <w:shd w:val="clear" w:color="auto" w:fill="auto"/>
            <w:vAlign w:val="center"/>
            <w:hideMark/>
          </w:tcPr>
          <w:p w14:paraId="7F0DBB12" w14:textId="77777777" w:rsidR="00146369" w:rsidRPr="00185426" w:rsidRDefault="00146369" w:rsidP="00080E19">
            <w:pPr>
              <w:spacing w:after="0" w:line="240" w:lineRule="auto"/>
              <w:jc w:val="center"/>
              <w:rPr>
                <w:rFonts w:ascii="Arial Narrow" w:eastAsia="Times New Roman" w:hAnsi="Arial Narrow" w:cs="Arial"/>
                <w:b/>
                <w:bCs/>
                <w:sz w:val="16"/>
                <w:szCs w:val="16"/>
                <w:lang w:eastAsia="pt-BR"/>
              </w:rPr>
            </w:pPr>
            <w:r w:rsidRPr="00185426">
              <w:rPr>
                <w:rFonts w:ascii="Arial Narrow" w:eastAsia="Times New Roman" w:hAnsi="Arial Narrow" w:cs="Arial"/>
                <w:b/>
                <w:bCs/>
                <w:sz w:val="16"/>
                <w:szCs w:val="16"/>
                <w:lang w:eastAsia="pt-BR"/>
              </w:rPr>
              <w:t>ABF.G013</w:t>
            </w:r>
          </w:p>
        </w:tc>
      </w:tr>
      <w:tr w:rsidR="00146369" w:rsidRPr="00185426" w14:paraId="21D97511" w14:textId="77777777" w:rsidTr="00080E19">
        <w:trPr>
          <w:trHeight w:val="255"/>
        </w:trPr>
        <w:tc>
          <w:tcPr>
            <w:tcW w:w="4977" w:type="dxa"/>
            <w:tcBorders>
              <w:top w:val="nil"/>
              <w:left w:val="single" w:sz="8" w:space="0" w:color="auto"/>
              <w:bottom w:val="nil"/>
              <w:right w:val="single" w:sz="8" w:space="0" w:color="auto"/>
            </w:tcBorders>
            <w:shd w:val="clear" w:color="auto" w:fill="auto"/>
            <w:noWrap/>
            <w:vAlign w:val="center"/>
            <w:hideMark/>
          </w:tcPr>
          <w:p w14:paraId="2BCCC278" w14:textId="77777777" w:rsidR="00146369" w:rsidRPr="00185426" w:rsidRDefault="00146369" w:rsidP="00080E19">
            <w:pPr>
              <w:spacing w:after="0" w:line="240" w:lineRule="auto"/>
              <w:ind w:left="371"/>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111 – Receita de Impostos e de Transferência de Impostos - Educação</w:t>
            </w:r>
          </w:p>
        </w:tc>
        <w:tc>
          <w:tcPr>
            <w:tcW w:w="1275" w:type="dxa"/>
            <w:tcBorders>
              <w:top w:val="nil"/>
              <w:left w:val="nil"/>
              <w:bottom w:val="nil"/>
              <w:right w:val="single" w:sz="8" w:space="0" w:color="auto"/>
            </w:tcBorders>
            <w:shd w:val="clear" w:color="auto" w:fill="auto"/>
            <w:vAlign w:val="center"/>
            <w:hideMark/>
          </w:tcPr>
          <w:p w14:paraId="694D31AF" w14:textId="77777777" w:rsidR="00146369" w:rsidRPr="00185426" w:rsidRDefault="00146369" w:rsidP="00080E19">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ABF.B014</w:t>
            </w:r>
          </w:p>
        </w:tc>
        <w:tc>
          <w:tcPr>
            <w:tcW w:w="1560" w:type="dxa"/>
            <w:tcBorders>
              <w:top w:val="nil"/>
              <w:left w:val="nil"/>
              <w:bottom w:val="nil"/>
              <w:right w:val="single" w:sz="8" w:space="0" w:color="auto"/>
            </w:tcBorders>
            <w:shd w:val="clear" w:color="auto" w:fill="auto"/>
            <w:vAlign w:val="center"/>
            <w:hideMark/>
          </w:tcPr>
          <w:p w14:paraId="5177FA56" w14:textId="77777777" w:rsidR="00146369" w:rsidRPr="00185426" w:rsidRDefault="00146369" w:rsidP="00080E19">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ABF.C014</w:t>
            </w:r>
          </w:p>
        </w:tc>
        <w:tc>
          <w:tcPr>
            <w:tcW w:w="1275" w:type="dxa"/>
            <w:tcBorders>
              <w:top w:val="nil"/>
              <w:left w:val="nil"/>
              <w:bottom w:val="nil"/>
              <w:right w:val="single" w:sz="8" w:space="0" w:color="auto"/>
            </w:tcBorders>
            <w:shd w:val="clear" w:color="auto" w:fill="auto"/>
            <w:vAlign w:val="center"/>
            <w:hideMark/>
          </w:tcPr>
          <w:p w14:paraId="02CBA770" w14:textId="77777777" w:rsidR="00146369" w:rsidRPr="00185426" w:rsidRDefault="00146369" w:rsidP="00080E19">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ABF.D014</w:t>
            </w:r>
          </w:p>
        </w:tc>
        <w:tc>
          <w:tcPr>
            <w:tcW w:w="1276" w:type="dxa"/>
            <w:tcBorders>
              <w:top w:val="nil"/>
              <w:left w:val="nil"/>
              <w:bottom w:val="nil"/>
              <w:right w:val="single" w:sz="8" w:space="0" w:color="auto"/>
            </w:tcBorders>
            <w:shd w:val="clear" w:color="auto" w:fill="auto"/>
            <w:vAlign w:val="center"/>
            <w:hideMark/>
          </w:tcPr>
          <w:p w14:paraId="59E32045" w14:textId="77777777" w:rsidR="00146369" w:rsidRPr="00185426" w:rsidRDefault="00146369" w:rsidP="00080E19">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ABF.E014</w:t>
            </w:r>
          </w:p>
        </w:tc>
        <w:tc>
          <w:tcPr>
            <w:tcW w:w="1701" w:type="dxa"/>
            <w:tcBorders>
              <w:top w:val="nil"/>
              <w:left w:val="nil"/>
              <w:bottom w:val="nil"/>
              <w:right w:val="single" w:sz="8" w:space="0" w:color="auto"/>
            </w:tcBorders>
            <w:shd w:val="clear" w:color="auto" w:fill="auto"/>
            <w:vAlign w:val="center"/>
            <w:hideMark/>
          </w:tcPr>
          <w:p w14:paraId="7959D3D4" w14:textId="77777777" w:rsidR="00146369" w:rsidRPr="00185426" w:rsidRDefault="00146369" w:rsidP="00080E19">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ABF.F014</w:t>
            </w:r>
          </w:p>
        </w:tc>
        <w:tc>
          <w:tcPr>
            <w:tcW w:w="1418" w:type="dxa"/>
            <w:tcBorders>
              <w:top w:val="nil"/>
              <w:left w:val="nil"/>
              <w:bottom w:val="nil"/>
              <w:right w:val="single" w:sz="8" w:space="0" w:color="auto"/>
            </w:tcBorders>
            <w:shd w:val="clear" w:color="auto" w:fill="auto"/>
            <w:vAlign w:val="center"/>
            <w:hideMark/>
          </w:tcPr>
          <w:p w14:paraId="062057EB" w14:textId="77777777" w:rsidR="00146369" w:rsidRPr="00185426" w:rsidRDefault="00146369" w:rsidP="00080E19">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ABF.G014</w:t>
            </w:r>
          </w:p>
        </w:tc>
      </w:tr>
      <w:tr w:rsidR="00146369" w:rsidRPr="00185426" w14:paraId="1B7BCB1E" w14:textId="77777777" w:rsidTr="00080E19">
        <w:trPr>
          <w:trHeight w:val="255"/>
        </w:trPr>
        <w:tc>
          <w:tcPr>
            <w:tcW w:w="4977" w:type="dxa"/>
            <w:tcBorders>
              <w:top w:val="nil"/>
              <w:left w:val="single" w:sz="8" w:space="0" w:color="auto"/>
              <w:bottom w:val="nil"/>
              <w:right w:val="single" w:sz="8" w:space="0" w:color="auto"/>
            </w:tcBorders>
            <w:shd w:val="clear" w:color="auto" w:fill="auto"/>
            <w:noWrap/>
            <w:vAlign w:val="center"/>
          </w:tcPr>
          <w:p w14:paraId="2E6CC479" w14:textId="77777777" w:rsidR="00146369" w:rsidRPr="00185426" w:rsidRDefault="00146369" w:rsidP="00080E19">
            <w:pPr>
              <w:spacing w:after="0" w:line="240" w:lineRule="auto"/>
              <w:ind w:left="355"/>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150 - Receita de Impostos e de Transf. de Impostos – Educação – Rem. Depósitos Bancários</w:t>
            </w:r>
          </w:p>
        </w:tc>
        <w:tc>
          <w:tcPr>
            <w:tcW w:w="1275" w:type="dxa"/>
            <w:tcBorders>
              <w:top w:val="nil"/>
              <w:left w:val="nil"/>
              <w:bottom w:val="nil"/>
              <w:right w:val="single" w:sz="8" w:space="0" w:color="auto"/>
            </w:tcBorders>
            <w:shd w:val="clear" w:color="auto" w:fill="auto"/>
            <w:vAlign w:val="center"/>
          </w:tcPr>
          <w:p w14:paraId="1DBA31BF" w14:textId="77777777" w:rsidR="00146369" w:rsidRPr="00185426" w:rsidRDefault="00146369" w:rsidP="00080E19">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ABF.B017</w:t>
            </w:r>
          </w:p>
        </w:tc>
        <w:tc>
          <w:tcPr>
            <w:tcW w:w="1560" w:type="dxa"/>
            <w:tcBorders>
              <w:top w:val="nil"/>
              <w:left w:val="nil"/>
              <w:bottom w:val="nil"/>
              <w:right w:val="single" w:sz="8" w:space="0" w:color="auto"/>
            </w:tcBorders>
            <w:shd w:val="clear" w:color="auto" w:fill="auto"/>
            <w:vAlign w:val="center"/>
          </w:tcPr>
          <w:p w14:paraId="0B13336C" w14:textId="77777777" w:rsidR="00146369" w:rsidRPr="00185426" w:rsidRDefault="00146369" w:rsidP="00080E19">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ABF.C017</w:t>
            </w:r>
          </w:p>
        </w:tc>
        <w:tc>
          <w:tcPr>
            <w:tcW w:w="1275" w:type="dxa"/>
            <w:tcBorders>
              <w:top w:val="nil"/>
              <w:left w:val="nil"/>
              <w:bottom w:val="nil"/>
              <w:right w:val="single" w:sz="8" w:space="0" w:color="auto"/>
            </w:tcBorders>
            <w:shd w:val="clear" w:color="auto" w:fill="auto"/>
            <w:vAlign w:val="center"/>
          </w:tcPr>
          <w:p w14:paraId="7AA87133" w14:textId="77777777" w:rsidR="00146369" w:rsidRPr="00185426" w:rsidRDefault="00146369" w:rsidP="00080E19">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ABF.D017</w:t>
            </w:r>
          </w:p>
        </w:tc>
        <w:tc>
          <w:tcPr>
            <w:tcW w:w="1276" w:type="dxa"/>
            <w:tcBorders>
              <w:top w:val="nil"/>
              <w:left w:val="nil"/>
              <w:bottom w:val="nil"/>
              <w:right w:val="single" w:sz="8" w:space="0" w:color="auto"/>
            </w:tcBorders>
            <w:shd w:val="clear" w:color="auto" w:fill="auto"/>
            <w:vAlign w:val="center"/>
          </w:tcPr>
          <w:p w14:paraId="2B0BAFDC" w14:textId="77777777" w:rsidR="00146369" w:rsidRPr="00185426" w:rsidRDefault="00146369" w:rsidP="00080E19">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ABF.E017</w:t>
            </w:r>
          </w:p>
        </w:tc>
        <w:tc>
          <w:tcPr>
            <w:tcW w:w="1701" w:type="dxa"/>
            <w:tcBorders>
              <w:top w:val="nil"/>
              <w:left w:val="nil"/>
              <w:bottom w:val="nil"/>
              <w:right w:val="single" w:sz="8" w:space="0" w:color="auto"/>
            </w:tcBorders>
            <w:shd w:val="clear" w:color="auto" w:fill="auto"/>
            <w:vAlign w:val="center"/>
          </w:tcPr>
          <w:p w14:paraId="7A6647FC" w14:textId="77777777" w:rsidR="00146369" w:rsidRPr="00185426" w:rsidRDefault="00146369" w:rsidP="00080E19">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ABF.F017</w:t>
            </w:r>
          </w:p>
        </w:tc>
        <w:tc>
          <w:tcPr>
            <w:tcW w:w="1418" w:type="dxa"/>
            <w:tcBorders>
              <w:top w:val="nil"/>
              <w:left w:val="nil"/>
              <w:bottom w:val="nil"/>
              <w:right w:val="single" w:sz="8" w:space="0" w:color="auto"/>
            </w:tcBorders>
            <w:shd w:val="clear" w:color="auto" w:fill="auto"/>
            <w:vAlign w:val="center"/>
          </w:tcPr>
          <w:p w14:paraId="40E4902C" w14:textId="77777777" w:rsidR="00146369" w:rsidRPr="00185426" w:rsidRDefault="00146369" w:rsidP="00080E19">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ABF.G017</w:t>
            </w:r>
          </w:p>
        </w:tc>
      </w:tr>
      <w:tr w:rsidR="00146369" w:rsidRPr="00185426" w14:paraId="2DCB26CC" w14:textId="77777777" w:rsidTr="00080E19">
        <w:trPr>
          <w:trHeight w:val="255"/>
        </w:trPr>
        <w:tc>
          <w:tcPr>
            <w:tcW w:w="4977" w:type="dxa"/>
            <w:tcBorders>
              <w:top w:val="nil"/>
              <w:left w:val="single" w:sz="8" w:space="0" w:color="auto"/>
              <w:bottom w:val="nil"/>
              <w:right w:val="single" w:sz="8" w:space="0" w:color="auto"/>
            </w:tcBorders>
            <w:shd w:val="clear" w:color="auto" w:fill="auto"/>
            <w:noWrap/>
            <w:vAlign w:val="center"/>
          </w:tcPr>
          <w:p w14:paraId="772BFD49" w14:textId="0C01A591" w:rsidR="00146369" w:rsidRPr="00185426" w:rsidRDefault="00146369" w:rsidP="00080E19">
            <w:pPr>
              <w:spacing w:after="0" w:line="240" w:lineRule="auto"/>
              <w:ind w:firstLineChars="231" w:firstLine="370"/>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 xml:space="preserve">113 – Transferências do FUNDEB </w:t>
            </w:r>
            <w:r w:rsidR="00200271" w:rsidRPr="00EB4F89">
              <w:rPr>
                <w:rFonts w:ascii="Arial Narrow" w:eastAsia="Times New Roman" w:hAnsi="Arial Narrow" w:cs="Arial"/>
                <w:color w:val="0070C0"/>
                <w:sz w:val="16"/>
                <w:szCs w:val="16"/>
                <w:lang w:eastAsia="pt-BR"/>
              </w:rPr>
              <w:t xml:space="preserve">– IMPOSTOS 30% </w:t>
            </w:r>
            <w:r w:rsidR="00200271" w:rsidRPr="00EB4F89">
              <w:rPr>
                <w:rFonts w:ascii="Arial Narrow" w:eastAsia="Times New Roman" w:hAnsi="Arial Narrow" w:cs="Arial"/>
                <w:strike/>
                <w:color w:val="FF0000"/>
                <w:sz w:val="16"/>
                <w:szCs w:val="16"/>
                <w:lang w:eastAsia="pt-BR"/>
              </w:rPr>
              <w:t>(40%)</w:t>
            </w:r>
          </w:p>
        </w:tc>
        <w:tc>
          <w:tcPr>
            <w:tcW w:w="1275" w:type="dxa"/>
            <w:tcBorders>
              <w:top w:val="nil"/>
              <w:left w:val="nil"/>
              <w:bottom w:val="nil"/>
              <w:right w:val="single" w:sz="8" w:space="0" w:color="auto"/>
            </w:tcBorders>
            <w:shd w:val="clear" w:color="auto" w:fill="auto"/>
            <w:vAlign w:val="center"/>
          </w:tcPr>
          <w:p w14:paraId="6DA0CCFB" w14:textId="77777777" w:rsidR="00146369" w:rsidRPr="00185426" w:rsidRDefault="00146369" w:rsidP="00080E19">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ABF.B015</w:t>
            </w:r>
          </w:p>
        </w:tc>
        <w:tc>
          <w:tcPr>
            <w:tcW w:w="1560" w:type="dxa"/>
            <w:tcBorders>
              <w:top w:val="nil"/>
              <w:left w:val="nil"/>
              <w:bottom w:val="nil"/>
              <w:right w:val="single" w:sz="8" w:space="0" w:color="auto"/>
            </w:tcBorders>
            <w:shd w:val="clear" w:color="auto" w:fill="auto"/>
            <w:vAlign w:val="center"/>
          </w:tcPr>
          <w:p w14:paraId="4CE4B5F0" w14:textId="77777777" w:rsidR="00146369" w:rsidRPr="00185426" w:rsidRDefault="00146369" w:rsidP="00080E19">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ABF.C015</w:t>
            </w:r>
          </w:p>
        </w:tc>
        <w:tc>
          <w:tcPr>
            <w:tcW w:w="1275" w:type="dxa"/>
            <w:tcBorders>
              <w:top w:val="nil"/>
              <w:left w:val="nil"/>
              <w:bottom w:val="nil"/>
              <w:right w:val="single" w:sz="8" w:space="0" w:color="auto"/>
            </w:tcBorders>
            <w:shd w:val="clear" w:color="auto" w:fill="auto"/>
            <w:vAlign w:val="center"/>
          </w:tcPr>
          <w:p w14:paraId="7D24A2A8" w14:textId="77777777" w:rsidR="00146369" w:rsidRPr="00185426" w:rsidRDefault="00146369" w:rsidP="00080E19">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ABF.D015</w:t>
            </w:r>
          </w:p>
        </w:tc>
        <w:tc>
          <w:tcPr>
            <w:tcW w:w="1276" w:type="dxa"/>
            <w:tcBorders>
              <w:top w:val="nil"/>
              <w:left w:val="nil"/>
              <w:bottom w:val="nil"/>
              <w:right w:val="single" w:sz="8" w:space="0" w:color="auto"/>
            </w:tcBorders>
            <w:shd w:val="clear" w:color="auto" w:fill="auto"/>
            <w:vAlign w:val="center"/>
          </w:tcPr>
          <w:p w14:paraId="01810B82" w14:textId="77777777" w:rsidR="00146369" w:rsidRPr="00185426" w:rsidRDefault="00146369" w:rsidP="00080E19">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ABF.E015</w:t>
            </w:r>
          </w:p>
        </w:tc>
        <w:tc>
          <w:tcPr>
            <w:tcW w:w="1701" w:type="dxa"/>
            <w:tcBorders>
              <w:top w:val="nil"/>
              <w:left w:val="nil"/>
              <w:bottom w:val="nil"/>
              <w:right w:val="single" w:sz="8" w:space="0" w:color="auto"/>
            </w:tcBorders>
            <w:shd w:val="clear" w:color="auto" w:fill="auto"/>
            <w:vAlign w:val="center"/>
          </w:tcPr>
          <w:p w14:paraId="4EA33319" w14:textId="77777777" w:rsidR="00146369" w:rsidRPr="00185426" w:rsidRDefault="00146369" w:rsidP="00080E19">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ABF.F015</w:t>
            </w:r>
          </w:p>
        </w:tc>
        <w:tc>
          <w:tcPr>
            <w:tcW w:w="1418" w:type="dxa"/>
            <w:tcBorders>
              <w:top w:val="nil"/>
              <w:left w:val="nil"/>
              <w:bottom w:val="nil"/>
              <w:right w:val="single" w:sz="8" w:space="0" w:color="auto"/>
            </w:tcBorders>
            <w:shd w:val="clear" w:color="auto" w:fill="auto"/>
            <w:vAlign w:val="center"/>
          </w:tcPr>
          <w:p w14:paraId="65EC1AC0" w14:textId="77777777" w:rsidR="00146369" w:rsidRPr="00185426" w:rsidRDefault="00146369" w:rsidP="00080E19">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ABF.G015</w:t>
            </w:r>
          </w:p>
        </w:tc>
      </w:tr>
      <w:tr w:rsidR="00146369" w:rsidRPr="00185426" w14:paraId="66C9452C" w14:textId="77777777" w:rsidTr="00080E19">
        <w:trPr>
          <w:trHeight w:val="255"/>
        </w:trPr>
        <w:tc>
          <w:tcPr>
            <w:tcW w:w="4977" w:type="dxa"/>
            <w:tcBorders>
              <w:top w:val="nil"/>
              <w:left w:val="single" w:sz="8" w:space="0" w:color="auto"/>
              <w:bottom w:val="nil"/>
              <w:right w:val="single" w:sz="8" w:space="0" w:color="auto"/>
            </w:tcBorders>
            <w:shd w:val="clear" w:color="auto" w:fill="auto"/>
            <w:noWrap/>
            <w:vAlign w:val="center"/>
          </w:tcPr>
          <w:p w14:paraId="659C1AED" w14:textId="5CB814B9" w:rsidR="00146369" w:rsidRPr="00185426" w:rsidRDefault="00146369" w:rsidP="00080E19">
            <w:pPr>
              <w:spacing w:after="0" w:line="240" w:lineRule="auto"/>
              <w:ind w:firstLineChars="231" w:firstLine="370"/>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lastRenderedPageBreak/>
              <w:t xml:space="preserve">112 – Transferências do FUNDEB </w:t>
            </w:r>
            <w:r w:rsidR="00200271" w:rsidRPr="00EB4F89">
              <w:rPr>
                <w:rFonts w:ascii="Arial Narrow" w:eastAsia="Times New Roman" w:hAnsi="Arial Narrow" w:cs="Arial"/>
                <w:color w:val="0070C0"/>
                <w:sz w:val="16"/>
                <w:szCs w:val="16"/>
                <w:lang w:eastAsia="pt-BR"/>
              </w:rPr>
              <w:t xml:space="preserve">– IMPOSTOS 70% </w:t>
            </w:r>
            <w:r w:rsidR="00200271" w:rsidRPr="00EB4F89">
              <w:rPr>
                <w:rFonts w:ascii="Arial Narrow" w:eastAsia="Times New Roman" w:hAnsi="Arial Narrow" w:cs="Arial"/>
                <w:strike/>
                <w:color w:val="FF0000"/>
                <w:sz w:val="16"/>
                <w:szCs w:val="16"/>
                <w:lang w:eastAsia="pt-BR"/>
              </w:rPr>
              <w:t>(60%)</w:t>
            </w:r>
          </w:p>
        </w:tc>
        <w:tc>
          <w:tcPr>
            <w:tcW w:w="1275" w:type="dxa"/>
            <w:tcBorders>
              <w:top w:val="nil"/>
              <w:left w:val="nil"/>
              <w:bottom w:val="nil"/>
              <w:right w:val="single" w:sz="8" w:space="0" w:color="auto"/>
            </w:tcBorders>
            <w:shd w:val="clear" w:color="auto" w:fill="auto"/>
            <w:vAlign w:val="center"/>
          </w:tcPr>
          <w:p w14:paraId="30C1E67E" w14:textId="77777777" w:rsidR="00146369" w:rsidRPr="00185426" w:rsidRDefault="00146369" w:rsidP="00080E19">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ABF.B016</w:t>
            </w:r>
          </w:p>
        </w:tc>
        <w:tc>
          <w:tcPr>
            <w:tcW w:w="1560" w:type="dxa"/>
            <w:tcBorders>
              <w:top w:val="nil"/>
              <w:left w:val="nil"/>
              <w:bottom w:val="nil"/>
              <w:right w:val="single" w:sz="8" w:space="0" w:color="auto"/>
            </w:tcBorders>
            <w:shd w:val="clear" w:color="auto" w:fill="auto"/>
            <w:vAlign w:val="center"/>
          </w:tcPr>
          <w:p w14:paraId="19B434EF" w14:textId="77777777" w:rsidR="00146369" w:rsidRPr="00185426" w:rsidRDefault="00146369" w:rsidP="00080E19">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ABF.C016</w:t>
            </w:r>
          </w:p>
        </w:tc>
        <w:tc>
          <w:tcPr>
            <w:tcW w:w="1275" w:type="dxa"/>
            <w:tcBorders>
              <w:top w:val="nil"/>
              <w:left w:val="nil"/>
              <w:bottom w:val="nil"/>
              <w:right w:val="single" w:sz="8" w:space="0" w:color="auto"/>
            </w:tcBorders>
            <w:shd w:val="clear" w:color="auto" w:fill="auto"/>
            <w:vAlign w:val="center"/>
          </w:tcPr>
          <w:p w14:paraId="315F8167" w14:textId="77777777" w:rsidR="00146369" w:rsidRPr="00185426" w:rsidRDefault="00146369" w:rsidP="00080E19">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ABF.D016</w:t>
            </w:r>
          </w:p>
        </w:tc>
        <w:tc>
          <w:tcPr>
            <w:tcW w:w="1276" w:type="dxa"/>
            <w:tcBorders>
              <w:top w:val="nil"/>
              <w:left w:val="nil"/>
              <w:bottom w:val="nil"/>
              <w:right w:val="single" w:sz="8" w:space="0" w:color="auto"/>
            </w:tcBorders>
            <w:shd w:val="clear" w:color="auto" w:fill="auto"/>
            <w:vAlign w:val="center"/>
          </w:tcPr>
          <w:p w14:paraId="37F41852" w14:textId="77777777" w:rsidR="00146369" w:rsidRPr="00185426" w:rsidRDefault="00146369" w:rsidP="00080E19">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ABF.E016</w:t>
            </w:r>
          </w:p>
        </w:tc>
        <w:tc>
          <w:tcPr>
            <w:tcW w:w="1701" w:type="dxa"/>
            <w:tcBorders>
              <w:top w:val="nil"/>
              <w:left w:val="nil"/>
              <w:bottom w:val="nil"/>
              <w:right w:val="single" w:sz="8" w:space="0" w:color="auto"/>
            </w:tcBorders>
            <w:shd w:val="clear" w:color="auto" w:fill="auto"/>
            <w:vAlign w:val="center"/>
          </w:tcPr>
          <w:p w14:paraId="2A55DBB4" w14:textId="77777777" w:rsidR="00146369" w:rsidRPr="00185426" w:rsidRDefault="00146369" w:rsidP="00080E19">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ABF.F016</w:t>
            </w:r>
          </w:p>
        </w:tc>
        <w:tc>
          <w:tcPr>
            <w:tcW w:w="1418" w:type="dxa"/>
            <w:tcBorders>
              <w:top w:val="nil"/>
              <w:left w:val="nil"/>
              <w:bottom w:val="nil"/>
              <w:right w:val="single" w:sz="8" w:space="0" w:color="auto"/>
            </w:tcBorders>
            <w:shd w:val="clear" w:color="auto" w:fill="auto"/>
            <w:vAlign w:val="center"/>
          </w:tcPr>
          <w:p w14:paraId="3ADA6108" w14:textId="77777777" w:rsidR="00146369" w:rsidRPr="00185426" w:rsidRDefault="00146369" w:rsidP="00080E19">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ABF.G016</w:t>
            </w:r>
          </w:p>
        </w:tc>
      </w:tr>
      <w:tr w:rsidR="00146369" w:rsidRPr="00185426" w14:paraId="4D65F5C5" w14:textId="77777777" w:rsidTr="00080E19">
        <w:trPr>
          <w:trHeight w:val="454"/>
        </w:trPr>
        <w:tc>
          <w:tcPr>
            <w:tcW w:w="4977" w:type="dxa"/>
            <w:tcBorders>
              <w:top w:val="nil"/>
              <w:left w:val="single" w:sz="8" w:space="0" w:color="auto"/>
              <w:bottom w:val="nil"/>
              <w:right w:val="single" w:sz="8" w:space="0" w:color="auto"/>
            </w:tcBorders>
            <w:shd w:val="clear" w:color="auto" w:fill="auto"/>
            <w:noWrap/>
            <w:vAlign w:val="center"/>
          </w:tcPr>
          <w:p w14:paraId="526F9DF2" w14:textId="7AA1473E" w:rsidR="00146369" w:rsidRPr="00185426" w:rsidRDefault="00146369" w:rsidP="00080E19">
            <w:pPr>
              <w:spacing w:after="0" w:line="240" w:lineRule="auto"/>
              <w:ind w:left="371"/>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 xml:space="preserve">151 – Transferências do FUNDEB – Remuneração de Depósitos Bancários </w:t>
            </w:r>
            <w:r w:rsidR="00200271" w:rsidRPr="00202F2D">
              <w:rPr>
                <w:rFonts w:ascii="Arial Narrow" w:eastAsia="Times New Roman" w:hAnsi="Arial Narrow" w:cs="Arial"/>
                <w:color w:val="0070C0"/>
                <w:sz w:val="16"/>
                <w:szCs w:val="16"/>
                <w:lang w:eastAsia="pt-BR"/>
              </w:rPr>
              <w:t xml:space="preserve">(30% + 70%) </w:t>
            </w:r>
            <w:r w:rsidR="00200271" w:rsidRPr="00202F2D">
              <w:rPr>
                <w:rFonts w:ascii="Arial Narrow" w:eastAsia="Times New Roman" w:hAnsi="Arial Narrow" w:cs="Arial"/>
                <w:strike/>
                <w:color w:val="FF0000"/>
                <w:sz w:val="16"/>
                <w:szCs w:val="16"/>
                <w:lang w:eastAsia="pt-BR"/>
              </w:rPr>
              <w:t>(40% + 60%)</w:t>
            </w:r>
          </w:p>
        </w:tc>
        <w:tc>
          <w:tcPr>
            <w:tcW w:w="1275" w:type="dxa"/>
            <w:tcBorders>
              <w:top w:val="nil"/>
              <w:left w:val="nil"/>
              <w:bottom w:val="nil"/>
              <w:right w:val="single" w:sz="8" w:space="0" w:color="auto"/>
            </w:tcBorders>
            <w:shd w:val="clear" w:color="auto" w:fill="auto"/>
            <w:vAlign w:val="center"/>
          </w:tcPr>
          <w:p w14:paraId="1F0B3B83" w14:textId="77777777" w:rsidR="00146369" w:rsidRPr="00185426" w:rsidRDefault="00146369" w:rsidP="00080E19">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ABF.B074</w:t>
            </w:r>
          </w:p>
        </w:tc>
        <w:tc>
          <w:tcPr>
            <w:tcW w:w="1560" w:type="dxa"/>
            <w:tcBorders>
              <w:top w:val="nil"/>
              <w:left w:val="nil"/>
              <w:bottom w:val="nil"/>
              <w:right w:val="single" w:sz="8" w:space="0" w:color="auto"/>
            </w:tcBorders>
            <w:shd w:val="clear" w:color="auto" w:fill="auto"/>
            <w:vAlign w:val="center"/>
          </w:tcPr>
          <w:p w14:paraId="0CF6C7F7" w14:textId="77777777" w:rsidR="00146369" w:rsidRPr="00185426" w:rsidRDefault="00146369" w:rsidP="00080E19">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ABF.C074</w:t>
            </w:r>
          </w:p>
        </w:tc>
        <w:tc>
          <w:tcPr>
            <w:tcW w:w="1275" w:type="dxa"/>
            <w:tcBorders>
              <w:top w:val="nil"/>
              <w:left w:val="nil"/>
              <w:bottom w:val="nil"/>
              <w:right w:val="single" w:sz="8" w:space="0" w:color="auto"/>
            </w:tcBorders>
            <w:shd w:val="clear" w:color="auto" w:fill="auto"/>
            <w:vAlign w:val="center"/>
          </w:tcPr>
          <w:p w14:paraId="72620B1F" w14:textId="77777777" w:rsidR="00146369" w:rsidRPr="00185426" w:rsidRDefault="00146369" w:rsidP="00080E19">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ABF.D074</w:t>
            </w:r>
          </w:p>
        </w:tc>
        <w:tc>
          <w:tcPr>
            <w:tcW w:w="1276" w:type="dxa"/>
            <w:tcBorders>
              <w:top w:val="nil"/>
              <w:left w:val="nil"/>
              <w:bottom w:val="nil"/>
              <w:right w:val="single" w:sz="8" w:space="0" w:color="auto"/>
            </w:tcBorders>
            <w:shd w:val="clear" w:color="auto" w:fill="auto"/>
            <w:vAlign w:val="center"/>
          </w:tcPr>
          <w:p w14:paraId="36518D89" w14:textId="77777777" w:rsidR="00146369" w:rsidRPr="00185426" w:rsidRDefault="00146369" w:rsidP="00080E19">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ABF.E074</w:t>
            </w:r>
          </w:p>
        </w:tc>
        <w:tc>
          <w:tcPr>
            <w:tcW w:w="1701" w:type="dxa"/>
            <w:tcBorders>
              <w:top w:val="nil"/>
              <w:left w:val="nil"/>
              <w:bottom w:val="nil"/>
              <w:right w:val="single" w:sz="8" w:space="0" w:color="auto"/>
            </w:tcBorders>
            <w:shd w:val="clear" w:color="auto" w:fill="auto"/>
            <w:vAlign w:val="center"/>
          </w:tcPr>
          <w:p w14:paraId="71AFA28C" w14:textId="77777777" w:rsidR="00146369" w:rsidRPr="00185426" w:rsidRDefault="00146369" w:rsidP="00080E19">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ABF.F074</w:t>
            </w:r>
          </w:p>
        </w:tc>
        <w:tc>
          <w:tcPr>
            <w:tcW w:w="1418" w:type="dxa"/>
            <w:tcBorders>
              <w:top w:val="nil"/>
              <w:left w:val="nil"/>
              <w:bottom w:val="nil"/>
              <w:right w:val="single" w:sz="8" w:space="0" w:color="auto"/>
            </w:tcBorders>
            <w:shd w:val="clear" w:color="auto" w:fill="auto"/>
            <w:vAlign w:val="center"/>
          </w:tcPr>
          <w:p w14:paraId="79FBD6A2" w14:textId="77777777" w:rsidR="00146369" w:rsidRPr="00185426" w:rsidRDefault="00146369" w:rsidP="00080E19">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ABF.G074</w:t>
            </w:r>
          </w:p>
        </w:tc>
      </w:tr>
      <w:tr w:rsidR="00146369" w:rsidRPr="00185426" w14:paraId="045E5066" w14:textId="77777777" w:rsidTr="00080E19">
        <w:trPr>
          <w:trHeight w:val="255"/>
        </w:trPr>
        <w:tc>
          <w:tcPr>
            <w:tcW w:w="4977" w:type="dxa"/>
            <w:tcBorders>
              <w:top w:val="nil"/>
              <w:left w:val="single" w:sz="8" w:space="0" w:color="auto"/>
              <w:bottom w:val="nil"/>
              <w:right w:val="single" w:sz="8" w:space="0" w:color="auto"/>
            </w:tcBorders>
            <w:shd w:val="clear" w:color="auto" w:fill="auto"/>
            <w:noWrap/>
            <w:vAlign w:val="center"/>
          </w:tcPr>
          <w:p w14:paraId="5B925637" w14:textId="191285BD" w:rsidR="00146369" w:rsidRPr="00185426" w:rsidRDefault="00146369" w:rsidP="00080E19">
            <w:pPr>
              <w:spacing w:after="0" w:line="240" w:lineRule="auto"/>
              <w:ind w:firstLineChars="231" w:firstLine="370"/>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 xml:space="preserve">115 – Transferências do FUNDEB </w:t>
            </w:r>
            <w:r w:rsidR="00200271" w:rsidRPr="00FF5EE2">
              <w:rPr>
                <w:rFonts w:ascii="Arial Narrow" w:eastAsia="Times New Roman" w:hAnsi="Arial Narrow" w:cs="Arial"/>
                <w:color w:val="0070C0"/>
                <w:sz w:val="16"/>
                <w:szCs w:val="16"/>
                <w:lang w:eastAsia="pt-BR"/>
              </w:rPr>
              <w:t xml:space="preserve">30% </w:t>
            </w:r>
            <w:r w:rsidR="00200271" w:rsidRPr="00302520">
              <w:rPr>
                <w:rFonts w:ascii="Arial Narrow" w:eastAsia="Times New Roman" w:hAnsi="Arial Narrow" w:cs="Arial"/>
                <w:strike/>
                <w:color w:val="FF0000"/>
                <w:sz w:val="16"/>
                <w:szCs w:val="16"/>
                <w:lang w:eastAsia="pt-BR"/>
              </w:rPr>
              <w:t xml:space="preserve">40% </w:t>
            </w:r>
            <w:r w:rsidR="00200271" w:rsidRPr="00446D2A">
              <w:rPr>
                <w:rFonts w:ascii="Arial Narrow" w:eastAsia="Times New Roman" w:hAnsi="Arial Narrow" w:cs="Arial"/>
                <w:sz w:val="16"/>
                <w:szCs w:val="16"/>
                <w:lang w:eastAsia="pt-BR"/>
              </w:rPr>
              <w:t>- Complementação da União</w:t>
            </w:r>
            <w:r w:rsidR="00200271">
              <w:rPr>
                <w:rFonts w:ascii="Arial Narrow" w:eastAsia="Times New Roman" w:hAnsi="Arial Narrow" w:cs="Arial"/>
                <w:sz w:val="16"/>
                <w:szCs w:val="16"/>
                <w:lang w:eastAsia="pt-BR"/>
              </w:rPr>
              <w:t xml:space="preserve"> </w:t>
            </w:r>
            <w:r w:rsidR="00200271" w:rsidRPr="00FF5EE2">
              <w:rPr>
                <w:rFonts w:ascii="Arial Narrow" w:eastAsia="Times New Roman" w:hAnsi="Arial Narrow" w:cs="Arial"/>
                <w:color w:val="0070C0"/>
                <w:sz w:val="16"/>
                <w:szCs w:val="16"/>
                <w:lang w:eastAsia="pt-BR"/>
              </w:rPr>
              <w:t>- VAAF</w:t>
            </w:r>
          </w:p>
        </w:tc>
        <w:tc>
          <w:tcPr>
            <w:tcW w:w="1275" w:type="dxa"/>
            <w:tcBorders>
              <w:top w:val="nil"/>
              <w:left w:val="nil"/>
              <w:bottom w:val="nil"/>
              <w:right w:val="single" w:sz="8" w:space="0" w:color="auto"/>
            </w:tcBorders>
            <w:shd w:val="clear" w:color="auto" w:fill="auto"/>
            <w:vAlign w:val="center"/>
          </w:tcPr>
          <w:p w14:paraId="1802590B" w14:textId="77777777" w:rsidR="00146369" w:rsidRPr="00185426" w:rsidRDefault="00146369" w:rsidP="00080E19">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ABF.B057</w:t>
            </w:r>
          </w:p>
        </w:tc>
        <w:tc>
          <w:tcPr>
            <w:tcW w:w="1560" w:type="dxa"/>
            <w:tcBorders>
              <w:top w:val="nil"/>
              <w:left w:val="nil"/>
              <w:bottom w:val="nil"/>
              <w:right w:val="single" w:sz="8" w:space="0" w:color="auto"/>
            </w:tcBorders>
            <w:shd w:val="clear" w:color="auto" w:fill="auto"/>
            <w:vAlign w:val="center"/>
          </w:tcPr>
          <w:p w14:paraId="2D1EC567" w14:textId="77777777" w:rsidR="00146369" w:rsidRPr="00185426" w:rsidRDefault="00146369" w:rsidP="00080E19">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ABF.C057</w:t>
            </w:r>
          </w:p>
        </w:tc>
        <w:tc>
          <w:tcPr>
            <w:tcW w:w="1275" w:type="dxa"/>
            <w:tcBorders>
              <w:top w:val="nil"/>
              <w:left w:val="nil"/>
              <w:bottom w:val="nil"/>
              <w:right w:val="single" w:sz="8" w:space="0" w:color="auto"/>
            </w:tcBorders>
            <w:shd w:val="clear" w:color="auto" w:fill="auto"/>
            <w:vAlign w:val="center"/>
          </w:tcPr>
          <w:p w14:paraId="1087C20F" w14:textId="77777777" w:rsidR="00146369" w:rsidRPr="00185426" w:rsidRDefault="00146369" w:rsidP="00080E19">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ABF.D057</w:t>
            </w:r>
          </w:p>
        </w:tc>
        <w:tc>
          <w:tcPr>
            <w:tcW w:w="1276" w:type="dxa"/>
            <w:tcBorders>
              <w:top w:val="nil"/>
              <w:left w:val="nil"/>
              <w:bottom w:val="nil"/>
              <w:right w:val="single" w:sz="8" w:space="0" w:color="auto"/>
            </w:tcBorders>
            <w:shd w:val="clear" w:color="auto" w:fill="auto"/>
            <w:vAlign w:val="center"/>
          </w:tcPr>
          <w:p w14:paraId="432C716C" w14:textId="77777777" w:rsidR="00146369" w:rsidRPr="00185426" w:rsidRDefault="00146369" w:rsidP="00080E19">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ABF.E057</w:t>
            </w:r>
          </w:p>
        </w:tc>
        <w:tc>
          <w:tcPr>
            <w:tcW w:w="1701" w:type="dxa"/>
            <w:tcBorders>
              <w:top w:val="nil"/>
              <w:left w:val="nil"/>
              <w:bottom w:val="nil"/>
              <w:right w:val="single" w:sz="8" w:space="0" w:color="auto"/>
            </w:tcBorders>
            <w:shd w:val="clear" w:color="auto" w:fill="auto"/>
            <w:vAlign w:val="center"/>
          </w:tcPr>
          <w:p w14:paraId="1B080A03" w14:textId="77777777" w:rsidR="00146369" w:rsidRPr="00185426" w:rsidRDefault="00146369" w:rsidP="00080E19">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ABF.F057</w:t>
            </w:r>
          </w:p>
        </w:tc>
        <w:tc>
          <w:tcPr>
            <w:tcW w:w="1418" w:type="dxa"/>
            <w:tcBorders>
              <w:top w:val="nil"/>
              <w:left w:val="nil"/>
              <w:bottom w:val="nil"/>
              <w:right w:val="single" w:sz="8" w:space="0" w:color="auto"/>
            </w:tcBorders>
            <w:shd w:val="clear" w:color="auto" w:fill="auto"/>
            <w:vAlign w:val="center"/>
          </w:tcPr>
          <w:p w14:paraId="1E74DD66" w14:textId="77777777" w:rsidR="00146369" w:rsidRPr="00185426" w:rsidRDefault="00146369" w:rsidP="00080E19">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ABF.G057</w:t>
            </w:r>
          </w:p>
        </w:tc>
      </w:tr>
      <w:tr w:rsidR="00146369" w:rsidRPr="00185426" w14:paraId="28EB2762" w14:textId="77777777" w:rsidTr="00080E19">
        <w:trPr>
          <w:trHeight w:val="454"/>
        </w:trPr>
        <w:tc>
          <w:tcPr>
            <w:tcW w:w="4977" w:type="dxa"/>
            <w:tcBorders>
              <w:top w:val="nil"/>
              <w:left w:val="single" w:sz="8" w:space="0" w:color="auto"/>
              <w:bottom w:val="nil"/>
              <w:right w:val="single" w:sz="8" w:space="0" w:color="auto"/>
            </w:tcBorders>
            <w:shd w:val="clear" w:color="auto" w:fill="auto"/>
            <w:noWrap/>
            <w:vAlign w:val="center"/>
          </w:tcPr>
          <w:p w14:paraId="313F1154" w14:textId="6BAE6A74" w:rsidR="00146369" w:rsidRPr="00185426" w:rsidRDefault="00146369" w:rsidP="00080E19">
            <w:pPr>
              <w:spacing w:after="0" w:line="240" w:lineRule="auto"/>
              <w:ind w:left="371"/>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 xml:space="preserve">114 – Transferências do FUNDEB </w:t>
            </w:r>
            <w:r w:rsidR="00200271" w:rsidRPr="00FF5EE2">
              <w:rPr>
                <w:rFonts w:ascii="Arial Narrow" w:eastAsia="Times New Roman" w:hAnsi="Arial Narrow" w:cs="Arial"/>
                <w:color w:val="0070C0"/>
                <w:sz w:val="16"/>
                <w:szCs w:val="16"/>
                <w:lang w:eastAsia="pt-BR"/>
              </w:rPr>
              <w:t>70%</w:t>
            </w:r>
            <w:r w:rsidR="00200271">
              <w:rPr>
                <w:rFonts w:ascii="Arial Narrow" w:eastAsia="Times New Roman" w:hAnsi="Arial Narrow" w:cs="Arial"/>
                <w:sz w:val="16"/>
                <w:szCs w:val="16"/>
                <w:lang w:eastAsia="pt-BR"/>
              </w:rPr>
              <w:t xml:space="preserve"> </w:t>
            </w:r>
            <w:r w:rsidR="00200271" w:rsidRPr="00302520">
              <w:rPr>
                <w:rFonts w:ascii="Arial Narrow" w:eastAsia="Times New Roman" w:hAnsi="Arial Narrow" w:cs="Arial"/>
                <w:strike/>
                <w:color w:val="FF0000"/>
                <w:sz w:val="16"/>
                <w:szCs w:val="16"/>
                <w:lang w:eastAsia="pt-BR"/>
              </w:rPr>
              <w:t>60%</w:t>
            </w:r>
            <w:r w:rsidR="00200271" w:rsidRPr="00FF5EE2">
              <w:rPr>
                <w:rFonts w:ascii="Arial Narrow" w:eastAsia="Times New Roman" w:hAnsi="Arial Narrow" w:cs="Arial"/>
                <w:color w:val="FF0000"/>
                <w:sz w:val="16"/>
                <w:szCs w:val="16"/>
                <w:lang w:eastAsia="pt-BR"/>
              </w:rPr>
              <w:t xml:space="preserve"> </w:t>
            </w:r>
            <w:r w:rsidR="00200271" w:rsidRPr="00446D2A">
              <w:rPr>
                <w:rFonts w:ascii="Arial Narrow" w:eastAsia="Times New Roman" w:hAnsi="Arial Narrow" w:cs="Arial"/>
                <w:sz w:val="16"/>
                <w:szCs w:val="16"/>
                <w:lang w:eastAsia="pt-BR"/>
              </w:rPr>
              <w:t>- Complementação da União</w:t>
            </w:r>
            <w:r w:rsidR="00200271">
              <w:rPr>
                <w:rFonts w:ascii="Arial Narrow" w:eastAsia="Times New Roman" w:hAnsi="Arial Narrow" w:cs="Arial"/>
                <w:sz w:val="16"/>
                <w:szCs w:val="16"/>
                <w:lang w:eastAsia="pt-BR"/>
              </w:rPr>
              <w:t xml:space="preserve"> </w:t>
            </w:r>
            <w:r w:rsidR="00200271" w:rsidRPr="00FF5EE2">
              <w:rPr>
                <w:rFonts w:ascii="Arial Narrow" w:eastAsia="Times New Roman" w:hAnsi="Arial Narrow" w:cs="Arial"/>
                <w:color w:val="0070C0"/>
                <w:sz w:val="16"/>
                <w:szCs w:val="16"/>
                <w:lang w:eastAsia="pt-BR"/>
              </w:rPr>
              <w:t>- VAAF</w:t>
            </w:r>
          </w:p>
        </w:tc>
        <w:tc>
          <w:tcPr>
            <w:tcW w:w="1275" w:type="dxa"/>
            <w:tcBorders>
              <w:top w:val="nil"/>
              <w:left w:val="nil"/>
              <w:bottom w:val="nil"/>
              <w:right w:val="single" w:sz="8" w:space="0" w:color="auto"/>
            </w:tcBorders>
            <w:shd w:val="clear" w:color="auto" w:fill="auto"/>
            <w:vAlign w:val="center"/>
          </w:tcPr>
          <w:p w14:paraId="5B8886CD" w14:textId="77777777" w:rsidR="00146369" w:rsidRPr="00185426" w:rsidRDefault="00146369" w:rsidP="00080E19">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ABF.B058</w:t>
            </w:r>
          </w:p>
        </w:tc>
        <w:tc>
          <w:tcPr>
            <w:tcW w:w="1560" w:type="dxa"/>
            <w:tcBorders>
              <w:top w:val="nil"/>
              <w:left w:val="nil"/>
              <w:bottom w:val="nil"/>
              <w:right w:val="single" w:sz="8" w:space="0" w:color="auto"/>
            </w:tcBorders>
            <w:shd w:val="clear" w:color="auto" w:fill="auto"/>
            <w:vAlign w:val="center"/>
          </w:tcPr>
          <w:p w14:paraId="1FA844A9" w14:textId="77777777" w:rsidR="00146369" w:rsidRPr="00185426" w:rsidRDefault="00146369" w:rsidP="00080E19">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ABF.C058</w:t>
            </w:r>
          </w:p>
        </w:tc>
        <w:tc>
          <w:tcPr>
            <w:tcW w:w="1275" w:type="dxa"/>
            <w:tcBorders>
              <w:top w:val="nil"/>
              <w:left w:val="nil"/>
              <w:bottom w:val="nil"/>
              <w:right w:val="single" w:sz="8" w:space="0" w:color="auto"/>
            </w:tcBorders>
            <w:shd w:val="clear" w:color="auto" w:fill="auto"/>
            <w:vAlign w:val="center"/>
          </w:tcPr>
          <w:p w14:paraId="155EC73D" w14:textId="77777777" w:rsidR="00146369" w:rsidRPr="00185426" w:rsidRDefault="00146369" w:rsidP="00080E19">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ABF.D058</w:t>
            </w:r>
          </w:p>
        </w:tc>
        <w:tc>
          <w:tcPr>
            <w:tcW w:w="1276" w:type="dxa"/>
            <w:tcBorders>
              <w:top w:val="nil"/>
              <w:left w:val="nil"/>
              <w:bottom w:val="nil"/>
              <w:right w:val="single" w:sz="8" w:space="0" w:color="auto"/>
            </w:tcBorders>
            <w:shd w:val="clear" w:color="auto" w:fill="auto"/>
            <w:vAlign w:val="center"/>
          </w:tcPr>
          <w:p w14:paraId="700E1958" w14:textId="77777777" w:rsidR="00146369" w:rsidRPr="00185426" w:rsidRDefault="00146369" w:rsidP="00080E19">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ABF.E058</w:t>
            </w:r>
          </w:p>
        </w:tc>
        <w:tc>
          <w:tcPr>
            <w:tcW w:w="1701" w:type="dxa"/>
            <w:tcBorders>
              <w:top w:val="nil"/>
              <w:left w:val="nil"/>
              <w:bottom w:val="nil"/>
              <w:right w:val="single" w:sz="8" w:space="0" w:color="auto"/>
            </w:tcBorders>
            <w:shd w:val="clear" w:color="auto" w:fill="auto"/>
            <w:vAlign w:val="center"/>
          </w:tcPr>
          <w:p w14:paraId="67EF28EC" w14:textId="77777777" w:rsidR="00146369" w:rsidRPr="00185426" w:rsidRDefault="00146369" w:rsidP="00080E19">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ABF.F058</w:t>
            </w:r>
          </w:p>
        </w:tc>
        <w:tc>
          <w:tcPr>
            <w:tcW w:w="1418" w:type="dxa"/>
            <w:tcBorders>
              <w:top w:val="nil"/>
              <w:left w:val="nil"/>
              <w:bottom w:val="nil"/>
              <w:right w:val="single" w:sz="8" w:space="0" w:color="auto"/>
            </w:tcBorders>
            <w:shd w:val="clear" w:color="auto" w:fill="auto"/>
            <w:vAlign w:val="center"/>
          </w:tcPr>
          <w:p w14:paraId="5D01CB8F" w14:textId="77777777" w:rsidR="00146369" w:rsidRPr="00185426" w:rsidRDefault="00146369" w:rsidP="00080E19">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ABF.G058</w:t>
            </w:r>
          </w:p>
        </w:tc>
      </w:tr>
      <w:tr w:rsidR="00146369" w:rsidRPr="00185426" w14:paraId="364193ED" w14:textId="77777777" w:rsidTr="00080E19">
        <w:trPr>
          <w:trHeight w:val="454"/>
        </w:trPr>
        <w:tc>
          <w:tcPr>
            <w:tcW w:w="4977" w:type="dxa"/>
            <w:tcBorders>
              <w:top w:val="nil"/>
              <w:left w:val="single" w:sz="8" w:space="0" w:color="auto"/>
              <w:bottom w:val="nil"/>
              <w:right w:val="single" w:sz="8" w:space="0" w:color="auto"/>
            </w:tcBorders>
            <w:shd w:val="clear" w:color="auto" w:fill="auto"/>
            <w:noWrap/>
            <w:vAlign w:val="center"/>
          </w:tcPr>
          <w:p w14:paraId="6052ACCC" w14:textId="456344A5" w:rsidR="00146369" w:rsidRPr="00185426" w:rsidRDefault="00146369" w:rsidP="00080E19">
            <w:pPr>
              <w:spacing w:after="0" w:line="240" w:lineRule="auto"/>
              <w:ind w:left="371"/>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152 –Transferências do FUNDEB – Complementação da União – Remuneração Depósitos Bancários</w:t>
            </w:r>
            <w:r w:rsidR="00200271">
              <w:rPr>
                <w:rFonts w:ascii="Arial Narrow" w:eastAsia="Times New Roman" w:hAnsi="Arial Narrow" w:cs="Arial"/>
                <w:sz w:val="16"/>
                <w:szCs w:val="16"/>
                <w:lang w:eastAsia="pt-BR"/>
              </w:rPr>
              <w:t xml:space="preserve"> </w:t>
            </w:r>
            <w:r w:rsidR="00200271" w:rsidRPr="00202F2D">
              <w:rPr>
                <w:rFonts w:ascii="Arial Narrow" w:eastAsia="Times New Roman" w:hAnsi="Arial Narrow" w:cs="Arial"/>
                <w:color w:val="0070C0"/>
                <w:sz w:val="16"/>
                <w:szCs w:val="16"/>
                <w:lang w:eastAsia="pt-BR"/>
              </w:rPr>
              <w:t xml:space="preserve">(30% + 70%) </w:t>
            </w:r>
            <w:r w:rsidR="00200271" w:rsidRPr="00202F2D">
              <w:rPr>
                <w:rFonts w:ascii="Arial Narrow" w:eastAsia="Times New Roman" w:hAnsi="Arial Narrow" w:cs="Arial"/>
                <w:strike/>
                <w:color w:val="FF0000"/>
                <w:sz w:val="16"/>
                <w:szCs w:val="16"/>
                <w:lang w:eastAsia="pt-BR"/>
              </w:rPr>
              <w:t>(40% + 60%)</w:t>
            </w:r>
          </w:p>
        </w:tc>
        <w:tc>
          <w:tcPr>
            <w:tcW w:w="1275" w:type="dxa"/>
            <w:tcBorders>
              <w:top w:val="nil"/>
              <w:left w:val="nil"/>
              <w:bottom w:val="nil"/>
              <w:right w:val="single" w:sz="8" w:space="0" w:color="auto"/>
            </w:tcBorders>
            <w:shd w:val="clear" w:color="auto" w:fill="auto"/>
            <w:vAlign w:val="center"/>
          </w:tcPr>
          <w:p w14:paraId="5EBBF1EA" w14:textId="77777777" w:rsidR="00146369" w:rsidRPr="00185426" w:rsidRDefault="00146369" w:rsidP="00080E19">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ABF.B075</w:t>
            </w:r>
          </w:p>
        </w:tc>
        <w:tc>
          <w:tcPr>
            <w:tcW w:w="1560" w:type="dxa"/>
            <w:tcBorders>
              <w:top w:val="nil"/>
              <w:left w:val="nil"/>
              <w:bottom w:val="nil"/>
              <w:right w:val="single" w:sz="8" w:space="0" w:color="auto"/>
            </w:tcBorders>
            <w:shd w:val="clear" w:color="auto" w:fill="auto"/>
            <w:vAlign w:val="center"/>
          </w:tcPr>
          <w:p w14:paraId="6B3C75BF" w14:textId="77777777" w:rsidR="00146369" w:rsidRPr="00185426" w:rsidRDefault="00146369" w:rsidP="00080E19">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ABF.C075</w:t>
            </w:r>
          </w:p>
        </w:tc>
        <w:tc>
          <w:tcPr>
            <w:tcW w:w="1275" w:type="dxa"/>
            <w:tcBorders>
              <w:top w:val="nil"/>
              <w:left w:val="nil"/>
              <w:bottom w:val="nil"/>
              <w:right w:val="single" w:sz="8" w:space="0" w:color="auto"/>
            </w:tcBorders>
            <w:shd w:val="clear" w:color="auto" w:fill="auto"/>
            <w:vAlign w:val="center"/>
          </w:tcPr>
          <w:p w14:paraId="097E1521" w14:textId="77777777" w:rsidR="00146369" w:rsidRPr="00185426" w:rsidRDefault="00146369" w:rsidP="00080E19">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ABF.D075</w:t>
            </w:r>
          </w:p>
        </w:tc>
        <w:tc>
          <w:tcPr>
            <w:tcW w:w="1276" w:type="dxa"/>
            <w:tcBorders>
              <w:top w:val="nil"/>
              <w:left w:val="nil"/>
              <w:bottom w:val="nil"/>
              <w:right w:val="single" w:sz="8" w:space="0" w:color="auto"/>
            </w:tcBorders>
            <w:shd w:val="clear" w:color="auto" w:fill="auto"/>
            <w:vAlign w:val="center"/>
          </w:tcPr>
          <w:p w14:paraId="44FD4677" w14:textId="77777777" w:rsidR="00146369" w:rsidRPr="00185426" w:rsidRDefault="00146369" w:rsidP="00080E19">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ABF.E075</w:t>
            </w:r>
          </w:p>
        </w:tc>
        <w:tc>
          <w:tcPr>
            <w:tcW w:w="1701" w:type="dxa"/>
            <w:tcBorders>
              <w:top w:val="nil"/>
              <w:left w:val="nil"/>
              <w:bottom w:val="nil"/>
              <w:right w:val="single" w:sz="8" w:space="0" w:color="auto"/>
            </w:tcBorders>
            <w:shd w:val="clear" w:color="auto" w:fill="auto"/>
            <w:vAlign w:val="center"/>
          </w:tcPr>
          <w:p w14:paraId="438514E7" w14:textId="77777777" w:rsidR="00146369" w:rsidRPr="00185426" w:rsidRDefault="00146369" w:rsidP="00080E19">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ABF.F075</w:t>
            </w:r>
          </w:p>
        </w:tc>
        <w:tc>
          <w:tcPr>
            <w:tcW w:w="1418" w:type="dxa"/>
            <w:tcBorders>
              <w:top w:val="nil"/>
              <w:left w:val="nil"/>
              <w:bottom w:val="nil"/>
              <w:right w:val="single" w:sz="8" w:space="0" w:color="auto"/>
            </w:tcBorders>
            <w:shd w:val="clear" w:color="auto" w:fill="auto"/>
            <w:vAlign w:val="center"/>
          </w:tcPr>
          <w:p w14:paraId="637FBB4E" w14:textId="77777777" w:rsidR="00146369" w:rsidRPr="00185426" w:rsidRDefault="00146369" w:rsidP="00080E19">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ABF.G075</w:t>
            </w:r>
          </w:p>
        </w:tc>
      </w:tr>
      <w:tr w:rsidR="003F5898" w:rsidRPr="00185426" w14:paraId="78162970" w14:textId="77777777" w:rsidTr="00080E19">
        <w:trPr>
          <w:trHeight w:val="454"/>
        </w:trPr>
        <w:tc>
          <w:tcPr>
            <w:tcW w:w="4977" w:type="dxa"/>
            <w:tcBorders>
              <w:top w:val="nil"/>
              <w:left w:val="single" w:sz="8" w:space="0" w:color="auto"/>
              <w:bottom w:val="nil"/>
              <w:right w:val="single" w:sz="8" w:space="0" w:color="auto"/>
            </w:tcBorders>
            <w:shd w:val="clear" w:color="auto" w:fill="auto"/>
            <w:noWrap/>
            <w:vAlign w:val="center"/>
          </w:tcPr>
          <w:p w14:paraId="00490B47" w14:textId="31220041" w:rsidR="003F5898" w:rsidRPr="003F5898" w:rsidRDefault="003F5898" w:rsidP="003F5898">
            <w:pPr>
              <w:spacing w:after="0" w:line="240" w:lineRule="auto"/>
              <w:ind w:left="371"/>
              <w:rPr>
                <w:rFonts w:ascii="Arial Narrow" w:eastAsia="Times New Roman" w:hAnsi="Arial Narrow" w:cs="Arial"/>
                <w:color w:val="0070C0"/>
                <w:sz w:val="16"/>
                <w:szCs w:val="16"/>
                <w:lang w:eastAsia="pt-BR"/>
              </w:rPr>
            </w:pPr>
            <w:r w:rsidRPr="003F5898">
              <w:rPr>
                <w:rFonts w:ascii="Arial Narrow" w:eastAsia="Times New Roman" w:hAnsi="Arial Narrow" w:cs="Arial"/>
                <w:color w:val="0070C0"/>
                <w:sz w:val="16"/>
                <w:szCs w:val="16"/>
                <w:lang w:eastAsia="pt-BR"/>
              </w:rPr>
              <w:t>118 – Trasnferência do FUNDEB 70% - Complementação da União – VAAT – (Valor Aluno/Ano Total</w:t>
            </w:r>
          </w:p>
        </w:tc>
        <w:tc>
          <w:tcPr>
            <w:tcW w:w="1275" w:type="dxa"/>
            <w:tcBorders>
              <w:top w:val="nil"/>
              <w:left w:val="nil"/>
              <w:bottom w:val="nil"/>
              <w:right w:val="single" w:sz="8" w:space="0" w:color="auto"/>
            </w:tcBorders>
            <w:shd w:val="clear" w:color="auto" w:fill="auto"/>
            <w:vAlign w:val="center"/>
          </w:tcPr>
          <w:p w14:paraId="0D424231" w14:textId="753515F6" w:rsidR="003F5898" w:rsidRPr="003F5898" w:rsidRDefault="003F5898" w:rsidP="003F5898">
            <w:pPr>
              <w:spacing w:after="0" w:line="240" w:lineRule="auto"/>
              <w:jc w:val="center"/>
              <w:rPr>
                <w:rFonts w:ascii="Arial Narrow" w:eastAsia="Times New Roman" w:hAnsi="Arial Narrow" w:cs="Arial"/>
                <w:color w:val="0070C0"/>
                <w:sz w:val="16"/>
                <w:szCs w:val="16"/>
                <w:lang w:eastAsia="pt-BR"/>
              </w:rPr>
            </w:pPr>
            <w:r w:rsidRPr="003F5898">
              <w:rPr>
                <w:rFonts w:ascii="Arial Narrow" w:eastAsia="Times New Roman" w:hAnsi="Arial Narrow" w:cs="Arial"/>
                <w:color w:val="0070C0"/>
                <w:sz w:val="16"/>
                <w:szCs w:val="16"/>
                <w:lang w:eastAsia="pt-BR"/>
              </w:rPr>
              <w:t>ABF.B091</w:t>
            </w:r>
          </w:p>
        </w:tc>
        <w:tc>
          <w:tcPr>
            <w:tcW w:w="1560" w:type="dxa"/>
            <w:tcBorders>
              <w:top w:val="nil"/>
              <w:left w:val="nil"/>
              <w:bottom w:val="nil"/>
              <w:right w:val="single" w:sz="8" w:space="0" w:color="auto"/>
            </w:tcBorders>
            <w:shd w:val="clear" w:color="auto" w:fill="auto"/>
            <w:vAlign w:val="center"/>
          </w:tcPr>
          <w:p w14:paraId="41F20966" w14:textId="545753A5" w:rsidR="003F5898" w:rsidRPr="003F5898" w:rsidRDefault="003F5898" w:rsidP="003F5898">
            <w:pPr>
              <w:overflowPunct w:val="0"/>
              <w:autoSpaceDE w:val="0"/>
              <w:autoSpaceDN w:val="0"/>
              <w:adjustRightInd w:val="0"/>
              <w:spacing w:after="0" w:line="240" w:lineRule="auto"/>
              <w:jc w:val="center"/>
              <w:textAlignment w:val="baseline"/>
              <w:rPr>
                <w:rFonts w:ascii="Arial Narrow" w:eastAsia="Times New Roman" w:hAnsi="Arial Narrow" w:cs="Arial"/>
                <w:color w:val="0070C0"/>
                <w:sz w:val="16"/>
                <w:szCs w:val="16"/>
                <w:lang w:eastAsia="pt-BR"/>
              </w:rPr>
            </w:pPr>
            <w:r w:rsidRPr="003F5898">
              <w:rPr>
                <w:rFonts w:ascii="Arial Narrow" w:eastAsia="Times New Roman" w:hAnsi="Arial Narrow" w:cs="Arial"/>
                <w:color w:val="0070C0"/>
                <w:sz w:val="16"/>
                <w:szCs w:val="16"/>
                <w:lang w:eastAsia="pt-BR"/>
              </w:rPr>
              <w:t>ABF.</w:t>
            </w:r>
            <w:r>
              <w:rPr>
                <w:rFonts w:ascii="Arial Narrow" w:eastAsia="Times New Roman" w:hAnsi="Arial Narrow" w:cs="Arial"/>
                <w:color w:val="0070C0"/>
                <w:sz w:val="16"/>
                <w:szCs w:val="16"/>
                <w:lang w:eastAsia="pt-BR"/>
              </w:rPr>
              <w:t>C</w:t>
            </w:r>
            <w:r w:rsidRPr="003F5898">
              <w:rPr>
                <w:rFonts w:ascii="Arial Narrow" w:eastAsia="Times New Roman" w:hAnsi="Arial Narrow" w:cs="Arial"/>
                <w:color w:val="0070C0"/>
                <w:sz w:val="16"/>
                <w:szCs w:val="16"/>
                <w:lang w:eastAsia="pt-BR"/>
              </w:rPr>
              <w:t>091</w:t>
            </w:r>
          </w:p>
        </w:tc>
        <w:tc>
          <w:tcPr>
            <w:tcW w:w="1275" w:type="dxa"/>
            <w:tcBorders>
              <w:top w:val="nil"/>
              <w:left w:val="nil"/>
              <w:bottom w:val="nil"/>
              <w:right w:val="single" w:sz="8" w:space="0" w:color="auto"/>
            </w:tcBorders>
            <w:shd w:val="clear" w:color="auto" w:fill="auto"/>
            <w:vAlign w:val="center"/>
          </w:tcPr>
          <w:p w14:paraId="7D5F6DBA" w14:textId="3EEEB91F" w:rsidR="003F5898" w:rsidRPr="003F5898" w:rsidRDefault="003F5898" w:rsidP="003F5898">
            <w:pPr>
              <w:overflowPunct w:val="0"/>
              <w:autoSpaceDE w:val="0"/>
              <w:autoSpaceDN w:val="0"/>
              <w:adjustRightInd w:val="0"/>
              <w:spacing w:after="0" w:line="240" w:lineRule="auto"/>
              <w:jc w:val="center"/>
              <w:textAlignment w:val="baseline"/>
              <w:rPr>
                <w:rFonts w:ascii="Arial Narrow" w:eastAsia="Times New Roman" w:hAnsi="Arial Narrow" w:cs="Arial"/>
                <w:color w:val="0070C0"/>
                <w:sz w:val="16"/>
                <w:szCs w:val="16"/>
                <w:lang w:eastAsia="pt-BR"/>
              </w:rPr>
            </w:pPr>
            <w:r w:rsidRPr="003F5898">
              <w:rPr>
                <w:rFonts w:ascii="Arial Narrow" w:eastAsia="Times New Roman" w:hAnsi="Arial Narrow" w:cs="Arial"/>
                <w:color w:val="0070C0"/>
                <w:sz w:val="16"/>
                <w:szCs w:val="16"/>
                <w:lang w:eastAsia="pt-BR"/>
              </w:rPr>
              <w:t>ABF.</w:t>
            </w:r>
            <w:r>
              <w:rPr>
                <w:rFonts w:ascii="Arial Narrow" w:eastAsia="Times New Roman" w:hAnsi="Arial Narrow" w:cs="Arial"/>
                <w:color w:val="0070C0"/>
                <w:sz w:val="16"/>
                <w:szCs w:val="16"/>
                <w:lang w:eastAsia="pt-BR"/>
              </w:rPr>
              <w:t>D</w:t>
            </w:r>
            <w:r w:rsidRPr="003F5898">
              <w:rPr>
                <w:rFonts w:ascii="Arial Narrow" w:eastAsia="Times New Roman" w:hAnsi="Arial Narrow" w:cs="Arial"/>
                <w:color w:val="0070C0"/>
                <w:sz w:val="16"/>
                <w:szCs w:val="16"/>
                <w:lang w:eastAsia="pt-BR"/>
              </w:rPr>
              <w:t>091</w:t>
            </w:r>
          </w:p>
        </w:tc>
        <w:tc>
          <w:tcPr>
            <w:tcW w:w="1276" w:type="dxa"/>
            <w:tcBorders>
              <w:top w:val="nil"/>
              <w:left w:val="nil"/>
              <w:bottom w:val="nil"/>
              <w:right w:val="single" w:sz="8" w:space="0" w:color="auto"/>
            </w:tcBorders>
            <w:shd w:val="clear" w:color="auto" w:fill="auto"/>
            <w:vAlign w:val="center"/>
          </w:tcPr>
          <w:p w14:paraId="510167C3" w14:textId="67A947E8" w:rsidR="003F5898" w:rsidRPr="003F5898" w:rsidRDefault="003F5898" w:rsidP="003F5898">
            <w:pPr>
              <w:overflowPunct w:val="0"/>
              <w:autoSpaceDE w:val="0"/>
              <w:autoSpaceDN w:val="0"/>
              <w:adjustRightInd w:val="0"/>
              <w:spacing w:after="0" w:line="240" w:lineRule="auto"/>
              <w:jc w:val="center"/>
              <w:textAlignment w:val="baseline"/>
              <w:rPr>
                <w:rFonts w:ascii="Arial Narrow" w:eastAsia="Times New Roman" w:hAnsi="Arial Narrow" w:cs="Arial"/>
                <w:color w:val="0070C0"/>
                <w:sz w:val="16"/>
                <w:szCs w:val="16"/>
                <w:lang w:eastAsia="pt-BR"/>
              </w:rPr>
            </w:pPr>
            <w:r w:rsidRPr="003F5898">
              <w:rPr>
                <w:rFonts w:ascii="Arial Narrow" w:eastAsia="Times New Roman" w:hAnsi="Arial Narrow" w:cs="Arial"/>
                <w:color w:val="0070C0"/>
                <w:sz w:val="16"/>
                <w:szCs w:val="16"/>
                <w:lang w:eastAsia="pt-BR"/>
              </w:rPr>
              <w:t>ABF.</w:t>
            </w:r>
            <w:r>
              <w:rPr>
                <w:rFonts w:ascii="Arial Narrow" w:eastAsia="Times New Roman" w:hAnsi="Arial Narrow" w:cs="Arial"/>
                <w:color w:val="0070C0"/>
                <w:sz w:val="16"/>
                <w:szCs w:val="16"/>
                <w:lang w:eastAsia="pt-BR"/>
              </w:rPr>
              <w:t>E</w:t>
            </w:r>
            <w:r w:rsidRPr="003F5898">
              <w:rPr>
                <w:rFonts w:ascii="Arial Narrow" w:eastAsia="Times New Roman" w:hAnsi="Arial Narrow" w:cs="Arial"/>
                <w:color w:val="0070C0"/>
                <w:sz w:val="16"/>
                <w:szCs w:val="16"/>
                <w:lang w:eastAsia="pt-BR"/>
              </w:rPr>
              <w:t>091</w:t>
            </w:r>
          </w:p>
        </w:tc>
        <w:tc>
          <w:tcPr>
            <w:tcW w:w="1701" w:type="dxa"/>
            <w:tcBorders>
              <w:top w:val="nil"/>
              <w:left w:val="nil"/>
              <w:bottom w:val="nil"/>
              <w:right w:val="single" w:sz="8" w:space="0" w:color="auto"/>
            </w:tcBorders>
            <w:shd w:val="clear" w:color="auto" w:fill="auto"/>
            <w:vAlign w:val="center"/>
          </w:tcPr>
          <w:p w14:paraId="3DF692F5" w14:textId="7FA1DB32" w:rsidR="003F5898" w:rsidRPr="003F5898" w:rsidRDefault="003F5898" w:rsidP="003F5898">
            <w:pPr>
              <w:overflowPunct w:val="0"/>
              <w:autoSpaceDE w:val="0"/>
              <w:autoSpaceDN w:val="0"/>
              <w:adjustRightInd w:val="0"/>
              <w:spacing w:after="0" w:line="240" w:lineRule="auto"/>
              <w:jc w:val="center"/>
              <w:textAlignment w:val="baseline"/>
              <w:rPr>
                <w:rFonts w:ascii="Arial Narrow" w:eastAsia="Times New Roman" w:hAnsi="Arial Narrow" w:cs="Arial"/>
                <w:color w:val="0070C0"/>
                <w:sz w:val="16"/>
                <w:szCs w:val="16"/>
                <w:lang w:eastAsia="pt-BR"/>
              </w:rPr>
            </w:pPr>
            <w:r w:rsidRPr="003F5898">
              <w:rPr>
                <w:rFonts w:ascii="Arial Narrow" w:eastAsia="Times New Roman" w:hAnsi="Arial Narrow" w:cs="Arial"/>
                <w:color w:val="0070C0"/>
                <w:sz w:val="16"/>
                <w:szCs w:val="16"/>
                <w:lang w:eastAsia="pt-BR"/>
              </w:rPr>
              <w:t>ABF.</w:t>
            </w:r>
            <w:r>
              <w:rPr>
                <w:rFonts w:ascii="Arial Narrow" w:eastAsia="Times New Roman" w:hAnsi="Arial Narrow" w:cs="Arial"/>
                <w:color w:val="0070C0"/>
                <w:sz w:val="16"/>
                <w:szCs w:val="16"/>
                <w:lang w:eastAsia="pt-BR"/>
              </w:rPr>
              <w:t>F</w:t>
            </w:r>
            <w:r w:rsidRPr="003F5898">
              <w:rPr>
                <w:rFonts w:ascii="Arial Narrow" w:eastAsia="Times New Roman" w:hAnsi="Arial Narrow" w:cs="Arial"/>
                <w:color w:val="0070C0"/>
                <w:sz w:val="16"/>
                <w:szCs w:val="16"/>
                <w:lang w:eastAsia="pt-BR"/>
              </w:rPr>
              <w:t>091</w:t>
            </w:r>
          </w:p>
        </w:tc>
        <w:tc>
          <w:tcPr>
            <w:tcW w:w="1418" w:type="dxa"/>
            <w:tcBorders>
              <w:top w:val="nil"/>
              <w:left w:val="nil"/>
              <w:bottom w:val="nil"/>
              <w:right w:val="single" w:sz="8" w:space="0" w:color="auto"/>
            </w:tcBorders>
            <w:shd w:val="clear" w:color="auto" w:fill="auto"/>
            <w:vAlign w:val="center"/>
          </w:tcPr>
          <w:p w14:paraId="3770A928" w14:textId="1971AD90" w:rsidR="003F5898" w:rsidRPr="003F5898" w:rsidRDefault="003F5898" w:rsidP="003F5898">
            <w:pPr>
              <w:overflowPunct w:val="0"/>
              <w:autoSpaceDE w:val="0"/>
              <w:autoSpaceDN w:val="0"/>
              <w:adjustRightInd w:val="0"/>
              <w:spacing w:after="0" w:line="240" w:lineRule="auto"/>
              <w:jc w:val="center"/>
              <w:textAlignment w:val="baseline"/>
              <w:rPr>
                <w:rFonts w:ascii="Arial Narrow" w:eastAsia="Times New Roman" w:hAnsi="Arial Narrow" w:cs="Arial"/>
                <w:color w:val="0070C0"/>
                <w:sz w:val="16"/>
                <w:szCs w:val="16"/>
                <w:lang w:eastAsia="pt-BR"/>
              </w:rPr>
            </w:pPr>
            <w:r w:rsidRPr="003F5898">
              <w:rPr>
                <w:rFonts w:ascii="Arial Narrow" w:eastAsia="Times New Roman" w:hAnsi="Arial Narrow" w:cs="Arial"/>
                <w:color w:val="0070C0"/>
                <w:sz w:val="16"/>
                <w:szCs w:val="16"/>
                <w:lang w:eastAsia="pt-BR"/>
              </w:rPr>
              <w:t>ABF.</w:t>
            </w:r>
            <w:r>
              <w:rPr>
                <w:rFonts w:ascii="Arial Narrow" w:eastAsia="Times New Roman" w:hAnsi="Arial Narrow" w:cs="Arial"/>
                <w:color w:val="0070C0"/>
                <w:sz w:val="16"/>
                <w:szCs w:val="16"/>
                <w:lang w:eastAsia="pt-BR"/>
              </w:rPr>
              <w:t>G</w:t>
            </w:r>
            <w:r w:rsidRPr="003F5898">
              <w:rPr>
                <w:rFonts w:ascii="Arial Narrow" w:eastAsia="Times New Roman" w:hAnsi="Arial Narrow" w:cs="Arial"/>
                <w:color w:val="0070C0"/>
                <w:sz w:val="16"/>
                <w:szCs w:val="16"/>
                <w:lang w:eastAsia="pt-BR"/>
              </w:rPr>
              <w:t>091</w:t>
            </w:r>
          </w:p>
        </w:tc>
      </w:tr>
      <w:tr w:rsidR="003F5898" w:rsidRPr="00185426" w14:paraId="173EDFBD" w14:textId="77777777" w:rsidTr="00080E19">
        <w:trPr>
          <w:trHeight w:val="454"/>
        </w:trPr>
        <w:tc>
          <w:tcPr>
            <w:tcW w:w="4977" w:type="dxa"/>
            <w:tcBorders>
              <w:top w:val="nil"/>
              <w:left w:val="single" w:sz="8" w:space="0" w:color="auto"/>
              <w:bottom w:val="nil"/>
              <w:right w:val="single" w:sz="8" w:space="0" w:color="auto"/>
            </w:tcBorders>
            <w:shd w:val="clear" w:color="auto" w:fill="auto"/>
            <w:noWrap/>
            <w:vAlign w:val="center"/>
          </w:tcPr>
          <w:p w14:paraId="3E529ED2" w14:textId="00707C08" w:rsidR="003F5898" w:rsidRPr="003F5898" w:rsidRDefault="003F5898" w:rsidP="003F5898">
            <w:pPr>
              <w:spacing w:after="0" w:line="240" w:lineRule="auto"/>
              <w:ind w:left="371"/>
              <w:rPr>
                <w:rFonts w:ascii="Arial Narrow" w:eastAsia="Times New Roman" w:hAnsi="Arial Narrow" w:cs="Arial"/>
                <w:color w:val="0070C0"/>
                <w:sz w:val="16"/>
                <w:szCs w:val="16"/>
                <w:lang w:eastAsia="pt-BR"/>
              </w:rPr>
            </w:pPr>
            <w:r w:rsidRPr="003F5898">
              <w:rPr>
                <w:rFonts w:ascii="Arial Narrow" w:eastAsia="Times New Roman" w:hAnsi="Arial Narrow" w:cs="Arial"/>
                <w:color w:val="0070C0"/>
                <w:sz w:val="16"/>
                <w:szCs w:val="16"/>
                <w:lang w:eastAsia="pt-BR"/>
              </w:rPr>
              <w:t>119 – Trasnferência do FUNDEB 30% - Complementação da União – VAAT – (Valor Aluno/Ano Total</w:t>
            </w:r>
          </w:p>
        </w:tc>
        <w:tc>
          <w:tcPr>
            <w:tcW w:w="1275" w:type="dxa"/>
            <w:tcBorders>
              <w:top w:val="nil"/>
              <w:left w:val="nil"/>
              <w:bottom w:val="nil"/>
              <w:right w:val="single" w:sz="8" w:space="0" w:color="auto"/>
            </w:tcBorders>
            <w:shd w:val="clear" w:color="auto" w:fill="auto"/>
            <w:vAlign w:val="center"/>
          </w:tcPr>
          <w:p w14:paraId="02A3A7A6" w14:textId="19609C9A" w:rsidR="003F5898" w:rsidRPr="003F5898" w:rsidRDefault="003F5898" w:rsidP="003F5898">
            <w:pPr>
              <w:spacing w:after="0" w:line="240" w:lineRule="auto"/>
              <w:jc w:val="center"/>
              <w:rPr>
                <w:rFonts w:ascii="Arial Narrow" w:eastAsia="Times New Roman" w:hAnsi="Arial Narrow" w:cs="Arial"/>
                <w:color w:val="0070C0"/>
                <w:sz w:val="16"/>
                <w:szCs w:val="16"/>
                <w:lang w:eastAsia="pt-BR"/>
              </w:rPr>
            </w:pPr>
            <w:r w:rsidRPr="003F5898">
              <w:rPr>
                <w:rFonts w:ascii="Arial Narrow" w:eastAsia="Times New Roman" w:hAnsi="Arial Narrow" w:cs="Arial"/>
                <w:color w:val="0070C0"/>
                <w:sz w:val="16"/>
                <w:szCs w:val="16"/>
                <w:lang w:eastAsia="pt-BR"/>
              </w:rPr>
              <w:t>ABF.B09</w:t>
            </w:r>
            <w:r>
              <w:rPr>
                <w:rFonts w:ascii="Arial Narrow" w:eastAsia="Times New Roman" w:hAnsi="Arial Narrow" w:cs="Arial"/>
                <w:color w:val="0070C0"/>
                <w:sz w:val="16"/>
                <w:szCs w:val="16"/>
                <w:lang w:eastAsia="pt-BR"/>
              </w:rPr>
              <w:t>2</w:t>
            </w:r>
          </w:p>
        </w:tc>
        <w:tc>
          <w:tcPr>
            <w:tcW w:w="1560" w:type="dxa"/>
            <w:tcBorders>
              <w:top w:val="nil"/>
              <w:left w:val="nil"/>
              <w:bottom w:val="nil"/>
              <w:right w:val="single" w:sz="8" w:space="0" w:color="auto"/>
            </w:tcBorders>
            <w:shd w:val="clear" w:color="auto" w:fill="auto"/>
            <w:vAlign w:val="center"/>
          </w:tcPr>
          <w:p w14:paraId="5B63381C" w14:textId="0D2D3265" w:rsidR="003F5898" w:rsidRPr="003F5898" w:rsidRDefault="003F5898" w:rsidP="003F5898">
            <w:pPr>
              <w:overflowPunct w:val="0"/>
              <w:autoSpaceDE w:val="0"/>
              <w:autoSpaceDN w:val="0"/>
              <w:adjustRightInd w:val="0"/>
              <w:spacing w:after="0" w:line="240" w:lineRule="auto"/>
              <w:jc w:val="center"/>
              <w:textAlignment w:val="baseline"/>
              <w:rPr>
                <w:rFonts w:ascii="Arial Narrow" w:eastAsia="Times New Roman" w:hAnsi="Arial Narrow" w:cs="Arial"/>
                <w:color w:val="0070C0"/>
                <w:sz w:val="16"/>
                <w:szCs w:val="16"/>
                <w:lang w:eastAsia="pt-BR"/>
              </w:rPr>
            </w:pPr>
            <w:r w:rsidRPr="003F5898">
              <w:rPr>
                <w:rFonts w:ascii="Arial Narrow" w:eastAsia="Times New Roman" w:hAnsi="Arial Narrow" w:cs="Arial"/>
                <w:color w:val="0070C0"/>
                <w:sz w:val="16"/>
                <w:szCs w:val="16"/>
                <w:lang w:eastAsia="pt-BR"/>
              </w:rPr>
              <w:t>ABF.</w:t>
            </w:r>
            <w:r>
              <w:rPr>
                <w:rFonts w:ascii="Arial Narrow" w:eastAsia="Times New Roman" w:hAnsi="Arial Narrow" w:cs="Arial"/>
                <w:color w:val="0070C0"/>
                <w:sz w:val="16"/>
                <w:szCs w:val="16"/>
                <w:lang w:eastAsia="pt-BR"/>
              </w:rPr>
              <w:t>C</w:t>
            </w:r>
            <w:r w:rsidRPr="003F5898">
              <w:rPr>
                <w:rFonts w:ascii="Arial Narrow" w:eastAsia="Times New Roman" w:hAnsi="Arial Narrow" w:cs="Arial"/>
                <w:color w:val="0070C0"/>
                <w:sz w:val="16"/>
                <w:szCs w:val="16"/>
                <w:lang w:eastAsia="pt-BR"/>
              </w:rPr>
              <w:t>09</w:t>
            </w:r>
            <w:r>
              <w:rPr>
                <w:rFonts w:ascii="Arial Narrow" w:eastAsia="Times New Roman" w:hAnsi="Arial Narrow" w:cs="Arial"/>
                <w:color w:val="0070C0"/>
                <w:sz w:val="16"/>
                <w:szCs w:val="16"/>
                <w:lang w:eastAsia="pt-BR"/>
              </w:rPr>
              <w:t>2</w:t>
            </w:r>
          </w:p>
        </w:tc>
        <w:tc>
          <w:tcPr>
            <w:tcW w:w="1275" w:type="dxa"/>
            <w:tcBorders>
              <w:top w:val="nil"/>
              <w:left w:val="nil"/>
              <w:bottom w:val="nil"/>
              <w:right w:val="single" w:sz="8" w:space="0" w:color="auto"/>
            </w:tcBorders>
            <w:shd w:val="clear" w:color="auto" w:fill="auto"/>
            <w:vAlign w:val="center"/>
          </w:tcPr>
          <w:p w14:paraId="086C7BD8" w14:textId="00F33E9A" w:rsidR="003F5898" w:rsidRPr="003F5898" w:rsidRDefault="003F5898" w:rsidP="003F5898">
            <w:pPr>
              <w:overflowPunct w:val="0"/>
              <w:autoSpaceDE w:val="0"/>
              <w:autoSpaceDN w:val="0"/>
              <w:adjustRightInd w:val="0"/>
              <w:spacing w:after="0" w:line="240" w:lineRule="auto"/>
              <w:jc w:val="center"/>
              <w:textAlignment w:val="baseline"/>
              <w:rPr>
                <w:rFonts w:ascii="Arial Narrow" w:eastAsia="Times New Roman" w:hAnsi="Arial Narrow" w:cs="Arial"/>
                <w:color w:val="0070C0"/>
                <w:sz w:val="16"/>
                <w:szCs w:val="16"/>
                <w:lang w:eastAsia="pt-BR"/>
              </w:rPr>
            </w:pPr>
            <w:r w:rsidRPr="003F5898">
              <w:rPr>
                <w:rFonts w:ascii="Arial Narrow" w:eastAsia="Times New Roman" w:hAnsi="Arial Narrow" w:cs="Arial"/>
                <w:color w:val="0070C0"/>
                <w:sz w:val="16"/>
                <w:szCs w:val="16"/>
                <w:lang w:eastAsia="pt-BR"/>
              </w:rPr>
              <w:t>ABF.</w:t>
            </w:r>
            <w:r>
              <w:rPr>
                <w:rFonts w:ascii="Arial Narrow" w:eastAsia="Times New Roman" w:hAnsi="Arial Narrow" w:cs="Arial"/>
                <w:color w:val="0070C0"/>
                <w:sz w:val="16"/>
                <w:szCs w:val="16"/>
                <w:lang w:eastAsia="pt-BR"/>
              </w:rPr>
              <w:t>D</w:t>
            </w:r>
            <w:r w:rsidRPr="003F5898">
              <w:rPr>
                <w:rFonts w:ascii="Arial Narrow" w:eastAsia="Times New Roman" w:hAnsi="Arial Narrow" w:cs="Arial"/>
                <w:color w:val="0070C0"/>
                <w:sz w:val="16"/>
                <w:szCs w:val="16"/>
                <w:lang w:eastAsia="pt-BR"/>
              </w:rPr>
              <w:t>09</w:t>
            </w:r>
            <w:r>
              <w:rPr>
                <w:rFonts w:ascii="Arial Narrow" w:eastAsia="Times New Roman" w:hAnsi="Arial Narrow" w:cs="Arial"/>
                <w:color w:val="0070C0"/>
                <w:sz w:val="16"/>
                <w:szCs w:val="16"/>
                <w:lang w:eastAsia="pt-BR"/>
              </w:rPr>
              <w:t>2</w:t>
            </w:r>
          </w:p>
        </w:tc>
        <w:tc>
          <w:tcPr>
            <w:tcW w:w="1276" w:type="dxa"/>
            <w:tcBorders>
              <w:top w:val="nil"/>
              <w:left w:val="nil"/>
              <w:bottom w:val="nil"/>
              <w:right w:val="single" w:sz="8" w:space="0" w:color="auto"/>
            </w:tcBorders>
            <w:shd w:val="clear" w:color="auto" w:fill="auto"/>
            <w:vAlign w:val="center"/>
          </w:tcPr>
          <w:p w14:paraId="44D7C6A4" w14:textId="639896C2" w:rsidR="003F5898" w:rsidRPr="003F5898" w:rsidRDefault="003F5898" w:rsidP="003F5898">
            <w:pPr>
              <w:overflowPunct w:val="0"/>
              <w:autoSpaceDE w:val="0"/>
              <w:autoSpaceDN w:val="0"/>
              <w:adjustRightInd w:val="0"/>
              <w:spacing w:after="0" w:line="240" w:lineRule="auto"/>
              <w:jc w:val="center"/>
              <w:textAlignment w:val="baseline"/>
              <w:rPr>
                <w:rFonts w:ascii="Arial Narrow" w:eastAsia="Times New Roman" w:hAnsi="Arial Narrow" w:cs="Arial"/>
                <w:color w:val="0070C0"/>
                <w:sz w:val="16"/>
                <w:szCs w:val="16"/>
                <w:lang w:eastAsia="pt-BR"/>
              </w:rPr>
            </w:pPr>
            <w:r w:rsidRPr="003F5898">
              <w:rPr>
                <w:rFonts w:ascii="Arial Narrow" w:eastAsia="Times New Roman" w:hAnsi="Arial Narrow" w:cs="Arial"/>
                <w:color w:val="0070C0"/>
                <w:sz w:val="16"/>
                <w:szCs w:val="16"/>
                <w:lang w:eastAsia="pt-BR"/>
              </w:rPr>
              <w:t>ABF.</w:t>
            </w:r>
            <w:r>
              <w:rPr>
                <w:rFonts w:ascii="Arial Narrow" w:eastAsia="Times New Roman" w:hAnsi="Arial Narrow" w:cs="Arial"/>
                <w:color w:val="0070C0"/>
                <w:sz w:val="16"/>
                <w:szCs w:val="16"/>
                <w:lang w:eastAsia="pt-BR"/>
              </w:rPr>
              <w:t>E</w:t>
            </w:r>
            <w:r w:rsidRPr="003F5898">
              <w:rPr>
                <w:rFonts w:ascii="Arial Narrow" w:eastAsia="Times New Roman" w:hAnsi="Arial Narrow" w:cs="Arial"/>
                <w:color w:val="0070C0"/>
                <w:sz w:val="16"/>
                <w:szCs w:val="16"/>
                <w:lang w:eastAsia="pt-BR"/>
              </w:rPr>
              <w:t>09</w:t>
            </w:r>
            <w:r>
              <w:rPr>
                <w:rFonts w:ascii="Arial Narrow" w:eastAsia="Times New Roman" w:hAnsi="Arial Narrow" w:cs="Arial"/>
                <w:color w:val="0070C0"/>
                <w:sz w:val="16"/>
                <w:szCs w:val="16"/>
                <w:lang w:eastAsia="pt-BR"/>
              </w:rPr>
              <w:t>2</w:t>
            </w:r>
          </w:p>
        </w:tc>
        <w:tc>
          <w:tcPr>
            <w:tcW w:w="1701" w:type="dxa"/>
            <w:tcBorders>
              <w:top w:val="nil"/>
              <w:left w:val="nil"/>
              <w:bottom w:val="nil"/>
              <w:right w:val="single" w:sz="8" w:space="0" w:color="auto"/>
            </w:tcBorders>
            <w:shd w:val="clear" w:color="auto" w:fill="auto"/>
            <w:vAlign w:val="center"/>
          </w:tcPr>
          <w:p w14:paraId="24EC4BC2" w14:textId="141ED6D4" w:rsidR="003F5898" w:rsidRPr="003F5898" w:rsidRDefault="003F5898" w:rsidP="003F5898">
            <w:pPr>
              <w:overflowPunct w:val="0"/>
              <w:autoSpaceDE w:val="0"/>
              <w:autoSpaceDN w:val="0"/>
              <w:adjustRightInd w:val="0"/>
              <w:spacing w:after="0" w:line="240" w:lineRule="auto"/>
              <w:jc w:val="center"/>
              <w:textAlignment w:val="baseline"/>
              <w:rPr>
                <w:rFonts w:ascii="Arial Narrow" w:eastAsia="Times New Roman" w:hAnsi="Arial Narrow" w:cs="Arial"/>
                <w:color w:val="0070C0"/>
                <w:sz w:val="16"/>
                <w:szCs w:val="16"/>
                <w:lang w:eastAsia="pt-BR"/>
              </w:rPr>
            </w:pPr>
            <w:r w:rsidRPr="003F5898">
              <w:rPr>
                <w:rFonts w:ascii="Arial Narrow" w:eastAsia="Times New Roman" w:hAnsi="Arial Narrow" w:cs="Arial"/>
                <w:color w:val="0070C0"/>
                <w:sz w:val="16"/>
                <w:szCs w:val="16"/>
                <w:lang w:eastAsia="pt-BR"/>
              </w:rPr>
              <w:t>ABF.</w:t>
            </w:r>
            <w:r>
              <w:rPr>
                <w:rFonts w:ascii="Arial Narrow" w:eastAsia="Times New Roman" w:hAnsi="Arial Narrow" w:cs="Arial"/>
                <w:color w:val="0070C0"/>
                <w:sz w:val="16"/>
                <w:szCs w:val="16"/>
                <w:lang w:eastAsia="pt-BR"/>
              </w:rPr>
              <w:t>F</w:t>
            </w:r>
            <w:r w:rsidRPr="003F5898">
              <w:rPr>
                <w:rFonts w:ascii="Arial Narrow" w:eastAsia="Times New Roman" w:hAnsi="Arial Narrow" w:cs="Arial"/>
                <w:color w:val="0070C0"/>
                <w:sz w:val="16"/>
                <w:szCs w:val="16"/>
                <w:lang w:eastAsia="pt-BR"/>
              </w:rPr>
              <w:t>09</w:t>
            </w:r>
            <w:r>
              <w:rPr>
                <w:rFonts w:ascii="Arial Narrow" w:eastAsia="Times New Roman" w:hAnsi="Arial Narrow" w:cs="Arial"/>
                <w:color w:val="0070C0"/>
                <w:sz w:val="16"/>
                <w:szCs w:val="16"/>
                <w:lang w:eastAsia="pt-BR"/>
              </w:rPr>
              <w:t>2</w:t>
            </w:r>
          </w:p>
        </w:tc>
        <w:tc>
          <w:tcPr>
            <w:tcW w:w="1418" w:type="dxa"/>
            <w:tcBorders>
              <w:top w:val="nil"/>
              <w:left w:val="nil"/>
              <w:bottom w:val="nil"/>
              <w:right w:val="single" w:sz="8" w:space="0" w:color="auto"/>
            </w:tcBorders>
            <w:shd w:val="clear" w:color="auto" w:fill="auto"/>
            <w:vAlign w:val="center"/>
          </w:tcPr>
          <w:p w14:paraId="18232493" w14:textId="0B6CC5A8" w:rsidR="003F5898" w:rsidRPr="003F5898" w:rsidRDefault="003F5898" w:rsidP="003F5898">
            <w:pPr>
              <w:overflowPunct w:val="0"/>
              <w:autoSpaceDE w:val="0"/>
              <w:autoSpaceDN w:val="0"/>
              <w:adjustRightInd w:val="0"/>
              <w:spacing w:after="0" w:line="240" w:lineRule="auto"/>
              <w:jc w:val="center"/>
              <w:textAlignment w:val="baseline"/>
              <w:rPr>
                <w:rFonts w:ascii="Arial Narrow" w:eastAsia="Times New Roman" w:hAnsi="Arial Narrow" w:cs="Arial"/>
                <w:color w:val="0070C0"/>
                <w:sz w:val="16"/>
                <w:szCs w:val="16"/>
                <w:lang w:eastAsia="pt-BR"/>
              </w:rPr>
            </w:pPr>
            <w:r w:rsidRPr="003F5898">
              <w:rPr>
                <w:rFonts w:ascii="Arial Narrow" w:eastAsia="Times New Roman" w:hAnsi="Arial Narrow" w:cs="Arial"/>
                <w:color w:val="0070C0"/>
                <w:sz w:val="16"/>
                <w:szCs w:val="16"/>
                <w:lang w:eastAsia="pt-BR"/>
              </w:rPr>
              <w:t>ABF.</w:t>
            </w:r>
            <w:r>
              <w:rPr>
                <w:rFonts w:ascii="Arial Narrow" w:eastAsia="Times New Roman" w:hAnsi="Arial Narrow" w:cs="Arial"/>
                <w:color w:val="0070C0"/>
                <w:sz w:val="16"/>
                <w:szCs w:val="16"/>
                <w:lang w:eastAsia="pt-BR"/>
              </w:rPr>
              <w:t>G</w:t>
            </w:r>
            <w:r w:rsidRPr="003F5898">
              <w:rPr>
                <w:rFonts w:ascii="Arial Narrow" w:eastAsia="Times New Roman" w:hAnsi="Arial Narrow" w:cs="Arial"/>
                <w:color w:val="0070C0"/>
                <w:sz w:val="16"/>
                <w:szCs w:val="16"/>
                <w:lang w:eastAsia="pt-BR"/>
              </w:rPr>
              <w:t>09</w:t>
            </w:r>
            <w:r>
              <w:rPr>
                <w:rFonts w:ascii="Arial Narrow" w:eastAsia="Times New Roman" w:hAnsi="Arial Narrow" w:cs="Arial"/>
                <w:color w:val="0070C0"/>
                <w:sz w:val="16"/>
                <w:szCs w:val="16"/>
                <w:lang w:eastAsia="pt-BR"/>
              </w:rPr>
              <w:t>2</w:t>
            </w:r>
          </w:p>
        </w:tc>
      </w:tr>
      <w:tr w:rsidR="003F5898" w:rsidRPr="00185426" w14:paraId="46F0B150" w14:textId="77777777" w:rsidTr="00080E19">
        <w:trPr>
          <w:trHeight w:val="255"/>
        </w:trPr>
        <w:tc>
          <w:tcPr>
            <w:tcW w:w="4977" w:type="dxa"/>
            <w:tcBorders>
              <w:top w:val="nil"/>
              <w:left w:val="single" w:sz="8" w:space="0" w:color="auto"/>
              <w:bottom w:val="nil"/>
              <w:right w:val="single" w:sz="8" w:space="0" w:color="auto"/>
            </w:tcBorders>
            <w:shd w:val="clear" w:color="auto" w:fill="auto"/>
            <w:noWrap/>
            <w:vAlign w:val="center"/>
          </w:tcPr>
          <w:p w14:paraId="0CD4B6DB" w14:textId="77777777" w:rsidR="003F5898" w:rsidRPr="00185426" w:rsidRDefault="003F5898" w:rsidP="003F5898">
            <w:pPr>
              <w:spacing w:after="0" w:line="240" w:lineRule="auto"/>
              <w:ind w:firstLineChars="231" w:firstLine="370"/>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120 – Transferência do Salário Educação</w:t>
            </w:r>
          </w:p>
        </w:tc>
        <w:tc>
          <w:tcPr>
            <w:tcW w:w="1275" w:type="dxa"/>
            <w:tcBorders>
              <w:top w:val="nil"/>
              <w:left w:val="nil"/>
              <w:bottom w:val="nil"/>
              <w:right w:val="single" w:sz="8" w:space="0" w:color="auto"/>
            </w:tcBorders>
            <w:shd w:val="clear" w:color="auto" w:fill="auto"/>
            <w:vAlign w:val="center"/>
          </w:tcPr>
          <w:p w14:paraId="5777952C"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ABF.B064</w:t>
            </w:r>
          </w:p>
        </w:tc>
        <w:tc>
          <w:tcPr>
            <w:tcW w:w="1560" w:type="dxa"/>
            <w:tcBorders>
              <w:top w:val="nil"/>
              <w:left w:val="nil"/>
              <w:bottom w:val="nil"/>
              <w:right w:val="single" w:sz="8" w:space="0" w:color="auto"/>
            </w:tcBorders>
            <w:shd w:val="clear" w:color="auto" w:fill="auto"/>
            <w:vAlign w:val="center"/>
          </w:tcPr>
          <w:p w14:paraId="21A299DE"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ABF.C064</w:t>
            </w:r>
          </w:p>
        </w:tc>
        <w:tc>
          <w:tcPr>
            <w:tcW w:w="1275" w:type="dxa"/>
            <w:tcBorders>
              <w:top w:val="nil"/>
              <w:left w:val="nil"/>
              <w:bottom w:val="nil"/>
              <w:right w:val="single" w:sz="8" w:space="0" w:color="auto"/>
            </w:tcBorders>
            <w:shd w:val="clear" w:color="auto" w:fill="auto"/>
            <w:vAlign w:val="center"/>
          </w:tcPr>
          <w:p w14:paraId="75F5AE2A"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ABF.D064</w:t>
            </w:r>
          </w:p>
        </w:tc>
        <w:tc>
          <w:tcPr>
            <w:tcW w:w="1276" w:type="dxa"/>
            <w:tcBorders>
              <w:top w:val="nil"/>
              <w:left w:val="nil"/>
              <w:bottom w:val="nil"/>
              <w:right w:val="single" w:sz="8" w:space="0" w:color="auto"/>
            </w:tcBorders>
            <w:shd w:val="clear" w:color="auto" w:fill="auto"/>
            <w:vAlign w:val="center"/>
          </w:tcPr>
          <w:p w14:paraId="6D277D43"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ABF.E064</w:t>
            </w:r>
          </w:p>
        </w:tc>
        <w:tc>
          <w:tcPr>
            <w:tcW w:w="1701" w:type="dxa"/>
            <w:tcBorders>
              <w:top w:val="nil"/>
              <w:left w:val="nil"/>
              <w:bottom w:val="nil"/>
              <w:right w:val="single" w:sz="8" w:space="0" w:color="auto"/>
            </w:tcBorders>
            <w:shd w:val="clear" w:color="auto" w:fill="auto"/>
            <w:vAlign w:val="center"/>
          </w:tcPr>
          <w:p w14:paraId="1EFD64DC"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ABF.F064</w:t>
            </w:r>
          </w:p>
        </w:tc>
        <w:tc>
          <w:tcPr>
            <w:tcW w:w="1418" w:type="dxa"/>
            <w:tcBorders>
              <w:top w:val="nil"/>
              <w:left w:val="nil"/>
              <w:bottom w:val="nil"/>
              <w:right w:val="single" w:sz="8" w:space="0" w:color="auto"/>
            </w:tcBorders>
            <w:shd w:val="clear" w:color="auto" w:fill="auto"/>
            <w:vAlign w:val="center"/>
          </w:tcPr>
          <w:p w14:paraId="7A130696"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ABF.G064</w:t>
            </w:r>
          </w:p>
        </w:tc>
      </w:tr>
      <w:tr w:rsidR="003F5898" w:rsidRPr="00185426" w14:paraId="43BE0B02" w14:textId="77777777" w:rsidTr="00080E19">
        <w:trPr>
          <w:trHeight w:val="255"/>
        </w:trPr>
        <w:tc>
          <w:tcPr>
            <w:tcW w:w="4977" w:type="dxa"/>
            <w:tcBorders>
              <w:top w:val="nil"/>
              <w:left w:val="single" w:sz="8" w:space="0" w:color="auto"/>
              <w:right w:val="single" w:sz="8" w:space="0" w:color="auto"/>
            </w:tcBorders>
            <w:shd w:val="clear" w:color="auto" w:fill="auto"/>
            <w:noWrap/>
            <w:vAlign w:val="center"/>
          </w:tcPr>
          <w:p w14:paraId="1ACF179E" w14:textId="77777777" w:rsidR="003F5898" w:rsidRPr="00185426" w:rsidRDefault="003F5898" w:rsidP="003F5898">
            <w:pPr>
              <w:spacing w:after="0" w:line="240" w:lineRule="auto"/>
              <w:ind w:left="371"/>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121 - Transferências de Recursos do FNDE ref. ao Programa Dinheiro Direto na Escola (PDDE)</w:t>
            </w:r>
          </w:p>
        </w:tc>
        <w:tc>
          <w:tcPr>
            <w:tcW w:w="1275" w:type="dxa"/>
            <w:tcBorders>
              <w:top w:val="nil"/>
              <w:left w:val="nil"/>
              <w:right w:val="single" w:sz="8" w:space="0" w:color="auto"/>
            </w:tcBorders>
            <w:shd w:val="clear" w:color="auto" w:fill="auto"/>
            <w:vAlign w:val="center"/>
          </w:tcPr>
          <w:p w14:paraId="15C9BBCD"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ABF.B076</w:t>
            </w:r>
          </w:p>
        </w:tc>
        <w:tc>
          <w:tcPr>
            <w:tcW w:w="1560" w:type="dxa"/>
            <w:tcBorders>
              <w:top w:val="nil"/>
              <w:left w:val="nil"/>
              <w:right w:val="single" w:sz="8" w:space="0" w:color="auto"/>
            </w:tcBorders>
            <w:shd w:val="clear" w:color="auto" w:fill="auto"/>
            <w:vAlign w:val="center"/>
          </w:tcPr>
          <w:p w14:paraId="7736722C" w14:textId="77777777" w:rsidR="003F5898" w:rsidRPr="00185426" w:rsidRDefault="003F5898" w:rsidP="003F5898">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ABF.C076</w:t>
            </w:r>
          </w:p>
        </w:tc>
        <w:tc>
          <w:tcPr>
            <w:tcW w:w="1275" w:type="dxa"/>
            <w:tcBorders>
              <w:top w:val="nil"/>
              <w:left w:val="nil"/>
              <w:right w:val="single" w:sz="8" w:space="0" w:color="auto"/>
            </w:tcBorders>
            <w:shd w:val="clear" w:color="auto" w:fill="auto"/>
            <w:vAlign w:val="center"/>
          </w:tcPr>
          <w:p w14:paraId="7EC705DB" w14:textId="77777777" w:rsidR="003F5898" w:rsidRPr="00185426" w:rsidRDefault="003F5898" w:rsidP="003F5898">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ABF.D076</w:t>
            </w:r>
          </w:p>
        </w:tc>
        <w:tc>
          <w:tcPr>
            <w:tcW w:w="1276" w:type="dxa"/>
            <w:tcBorders>
              <w:top w:val="nil"/>
              <w:left w:val="nil"/>
              <w:right w:val="single" w:sz="8" w:space="0" w:color="auto"/>
            </w:tcBorders>
            <w:shd w:val="clear" w:color="auto" w:fill="auto"/>
            <w:vAlign w:val="center"/>
          </w:tcPr>
          <w:p w14:paraId="343896C6" w14:textId="77777777" w:rsidR="003F5898" w:rsidRPr="00185426" w:rsidRDefault="003F5898" w:rsidP="003F5898">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ABF.E076</w:t>
            </w:r>
          </w:p>
        </w:tc>
        <w:tc>
          <w:tcPr>
            <w:tcW w:w="1701" w:type="dxa"/>
            <w:tcBorders>
              <w:top w:val="nil"/>
              <w:left w:val="nil"/>
              <w:right w:val="single" w:sz="8" w:space="0" w:color="auto"/>
            </w:tcBorders>
            <w:shd w:val="clear" w:color="auto" w:fill="auto"/>
            <w:vAlign w:val="center"/>
          </w:tcPr>
          <w:p w14:paraId="79FCF947" w14:textId="77777777" w:rsidR="003F5898" w:rsidRPr="00185426" w:rsidRDefault="003F5898" w:rsidP="003F5898">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ABF.F076</w:t>
            </w:r>
          </w:p>
        </w:tc>
        <w:tc>
          <w:tcPr>
            <w:tcW w:w="1418" w:type="dxa"/>
            <w:tcBorders>
              <w:top w:val="nil"/>
              <w:left w:val="nil"/>
              <w:right w:val="single" w:sz="8" w:space="0" w:color="auto"/>
            </w:tcBorders>
            <w:shd w:val="clear" w:color="auto" w:fill="auto"/>
            <w:vAlign w:val="center"/>
          </w:tcPr>
          <w:p w14:paraId="78F40057" w14:textId="77777777" w:rsidR="003F5898" w:rsidRPr="00185426" w:rsidRDefault="003F5898" w:rsidP="003F5898">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ABF.G076</w:t>
            </w:r>
          </w:p>
        </w:tc>
      </w:tr>
      <w:tr w:rsidR="003F5898" w:rsidRPr="00185426" w14:paraId="3C77271C" w14:textId="77777777" w:rsidTr="00080E19">
        <w:trPr>
          <w:trHeight w:val="255"/>
        </w:trPr>
        <w:tc>
          <w:tcPr>
            <w:tcW w:w="4977" w:type="dxa"/>
            <w:tcBorders>
              <w:top w:val="nil"/>
              <w:left w:val="single" w:sz="8" w:space="0" w:color="auto"/>
              <w:right w:val="single" w:sz="8" w:space="0" w:color="auto"/>
            </w:tcBorders>
            <w:shd w:val="clear" w:color="auto" w:fill="auto"/>
            <w:noWrap/>
            <w:vAlign w:val="center"/>
          </w:tcPr>
          <w:p w14:paraId="6CB919E0" w14:textId="77777777" w:rsidR="003F5898" w:rsidRPr="00185426" w:rsidRDefault="003F5898" w:rsidP="003F5898">
            <w:pPr>
              <w:spacing w:after="0" w:line="240" w:lineRule="auto"/>
              <w:ind w:left="371"/>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122 - Transferências de Recursos do FNDE ref. ao Programa Nacional de Alimentação Escolar (PNAE)</w:t>
            </w:r>
          </w:p>
        </w:tc>
        <w:tc>
          <w:tcPr>
            <w:tcW w:w="1275" w:type="dxa"/>
            <w:tcBorders>
              <w:top w:val="nil"/>
              <w:left w:val="nil"/>
              <w:right w:val="single" w:sz="8" w:space="0" w:color="auto"/>
            </w:tcBorders>
            <w:shd w:val="clear" w:color="auto" w:fill="auto"/>
            <w:vAlign w:val="center"/>
          </w:tcPr>
          <w:p w14:paraId="14229187"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ABF.B077</w:t>
            </w:r>
          </w:p>
        </w:tc>
        <w:tc>
          <w:tcPr>
            <w:tcW w:w="1560" w:type="dxa"/>
            <w:tcBorders>
              <w:top w:val="nil"/>
              <w:left w:val="nil"/>
              <w:right w:val="single" w:sz="8" w:space="0" w:color="auto"/>
            </w:tcBorders>
            <w:shd w:val="clear" w:color="auto" w:fill="auto"/>
            <w:vAlign w:val="center"/>
          </w:tcPr>
          <w:p w14:paraId="0D3591EE" w14:textId="77777777" w:rsidR="003F5898" w:rsidRPr="00185426" w:rsidRDefault="003F5898" w:rsidP="003F5898">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ABF.C077</w:t>
            </w:r>
          </w:p>
        </w:tc>
        <w:tc>
          <w:tcPr>
            <w:tcW w:w="1275" w:type="dxa"/>
            <w:tcBorders>
              <w:top w:val="nil"/>
              <w:left w:val="nil"/>
              <w:right w:val="single" w:sz="8" w:space="0" w:color="auto"/>
            </w:tcBorders>
            <w:shd w:val="clear" w:color="auto" w:fill="auto"/>
            <w:vAlign w:val="center"/>
          </w:tcPr>
          <w:p w14:paraId="5B2C1F8A" w14:textId="77777777" w:rsidR="003F5898" w:rsidRPr="00185426" w:rsidRDefault="003F5898" w:rsidP="003F5898">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ABF.D077</w:t>
            </w:r>
          </w:p>
        </w:tc>
        <w:tc>
          <w:tcPr>
            <w:tcW w:w="1276" w:type="dxa"/>
            <w:tcBorders>
              <w:top w:val="nil"/>
              <w:left w:val="nil"/>
              <w:right w:val="single" w:sz="8" w:space="0" w:color="auto"/>
            </w:tcBorders>
            <w:shd w:val="clear" w:color="auto" w:fill="auto"/>
            <w:vAlign w:val="center"/>
          </w:tcPr>
          <w:p w14:paraId="46C2E74B" w14:textId="77777777" w:rsidR="003F5898" w:rsidRPr="00185426" w:rsidRDefault="003F5898" w:rsidP="003F5898">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ABF.E077</w:t>
            </w:r>
          </w:p>
        </w:tc>
        <w:tc>
          <w:tcPr>
            <w:tcW w:w="1701" w:type="dxa"/>
            <w:tcBorders>
              <w:top w:val="nil"/>
              <w:left w:val="nil"/>
              <w:right w:val="single" w:sz="8" w:space="0" w:color="auto"/>
            </w:tcBorders>
            <w:shd w:val="clear" w:color="auto" w:fill="auto"/>
            <w:vAlign w:val="center"/>
          </w:tcPr>
          <w:p w14:paraId="3E30133E" w14:textId="77777777" w:rsidR="003F5898" w:rsidRPr="00185426" w:rsidRDefault="003F5898" w:rsidP="003F5898">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ABF.F077</w:t>
            </w:r>
          </w:p>
        </w:tc>
        <w:tc>
          <w:tcPr>
            <w:tcW w:w="1418" w:type="dxa"/>
            <w:tcBorders>
              <w:top w:val="nil"/>
              <w:left w:val="nil"/>
              <w:right w:val="single" w:sz="8" w:space="0" w:color="auto"/>
            </w:tcBorders>
            <w:shd w:val="clear" w:color="auto" w:fill="auto"/>
            <w:vAlign w:val="center"/>
          </w:tcPr>
          <w:p w14:paraId="555F1A0C" w14:textId="77777777" w:rsidR="003F5898" w:rsidRPr="00185426" w:rsidRDefault="003F5898" w:rsidP="003F5898">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ABF.G077</w:t>
            </w:r>
          </w:p>
        </w:tc>
      </w:tr>
      <w:tr w:rsidR="003F5898" w:rsidRPr="00185426" w14:paraId="5E676E7A" w14:textId="77777777" w:rsidTr="00080E19">
        <w:trPr>
          <w:trHeight w:val="255"/>
        </w:trPr>
        <w:tc>
          <w:tcPr>
            <w:tcW w:w="4977" w:type="dxa"/>
            <w:tcBorders>
              <w:top w:val="nil"/>
              <w:left w:val="single" w:sz="8" w:space="0" w:color="auto"/>
              <w:right w:val="single" w:sz="8" w:space="0" w:color="auto"/>
            </w:tcBorders>
            <w:shd w:val="clear" w:color="auto" w:fill="auto"/>
            <w:noWrap/>
            <w:vAlign w:val="center"/>
          </w:tcPr>
          <w:p w14:paraId="42243477" w14:textId="77777777" w:rsidR="003F5898" w:rsidRPr="00185426" w:rsidRDefault="003F5898" w:rsidP="003F5898">
            <w:pPr>
              <w:spacing w:after="0" w:line="240" w:lineRule="auto"/>
              <w:ind w:left="371"/>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123 - Transferências de Recursos do FNDE ref. ao Programa Nacional de Apoio ao Transporte Escolar (PNATE)</w:t>
            </w:r>
          </w:p>
        </w:tc>
        <w:tc>
          <w:tcPr>
            <w:tcW w:w="1275" w:type="dxa"/>
            <w:tcBorders>
              <w:top w:val="nil"/>
              <w:left w:val="nil"/>
              <w:right w:val="single" w:sz="8" w:space="0" w:color="auto"/>
            </w:tcBorders>
            <w:shd w:val="clear" w:color="auto" w:fill="auto"/>
            <w:vAlign w:val="center"/>
          </w:tcPr>
          <w:p w14:paraId="01FD842A"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ABF.B078</w:t>
            </w:r>
          </w:p>
        </w:tc>
        <w:tc>
          <w:tcPr>
            <w:tcW w:w="1560" w:type="dxa"/>
            <w:tcBorders>
              <w:top w:val="nil"/>
              <w:left w:val="nil"/>
              <w:right w:val="single" w:sz="8" w:space="0" w:color="auto"/>
            </w:tcBorders>
            <w:shd w:val="clear" w:color="auto" w:fill="auto"/>
            <w:vAlign w:val="center"/>
          </w:tcPr>
          <w:p w14:paraId="75C3E4F2" w14:textId="77777777" w:rsidR="003F5898" w:rsidRPr="00185426" w:rsidRDefault="003F5898" w:rsidP="003F5898">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ABF.C078</w:t>
            </w:r>
          </w:p>
        </w:tc>
        <w:tc>
          <w:tcPr>
            <w:tcW w:w="1275" w:type="dxa"/>
            <w:tcBorders>
              <w:top w:val="nil"/>
              <w:left w:val="nil"/>
              <w:right w:val="single" w:sz="8" w:space="0" w:color="auto"/>
            </w:tcBorders>
            <w:shd w:val="clear" w:color="auto" w:fill="auto"/>
            <w:vAlign w:val="center"/>
          </w:tcPr>
          <w:p w14:paraId="7732FFC4" w14:textId="77777777" w:rsidR="003F5898" w:rsidRPr="00185426" w:rsidRDefault="003F5898" w:rsidP="003F5898">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ABF.D078</w:t>
            </w:r>
          </w:p>
        </w:tc>
        <w:tc>
          <w:tcPr>
            <w:tcW w:w="1276" w:type="dxa"/>
            <w:tcBorders>
              <w:top w:val="nil"/>
              <w:left w:val="nil"/>
              <w:right w:val="single" w:sz="8" w:space="0" w:color="auto"/>
            </w:tcBorders>
            <w:shd w:val="clear" w:color="auto" w:fill="auto"/>
            <w:vAlign w:val="center"/>
          </w:tcPr>
          <w:p w14:paraId="7A8AE9AD" w14:textId="77777777" w:rsidR="003F5898" w:rsidRPr="00185426" w:rsidRDefault="003F5898" w:rsidP="003F5898">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ABF.E078</w:t>
            </w:r>
          </w:p>
        </w:tc>
        <w:tc>
          <w:tcPr>
            <w:tcW w:w="1701" w:type="dxa"/>
            <w:tcBorders>
              <w:top w:val="nil"/>
              <w:left w:val="nil"/>
              <w:right w:val="single" w:sz="8" w:space="0" w:color="auto"/>
            </w:tcBorders>
            <w:shd w:val="clear" w:color="auto" w:fill="auto"/>
            <w:vAlign w:val="center"/>
          </w:tcPr>
          <w:p w14:paraId="3E338C35" w14:textId="77777777" w:rsidR="003F5898" w:rsidRPr="00185426" w:rsidRDefault="003F5898" w:rsidP="003F5898">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ABF.F078</w:t>
            </w:r>
          </w:p>
        </w:tc>
        <w:tc>
          <w:tcPr>
            <w:tcW w:w="1418" w:type="dxa"/>
            <w:tcBorders>
              <w:top w:val="nil"/>
              <w:left w:val="nil"/>
              <w:right w:val="single" w:sz="8" w:space="0" w:color="auto"/>
            </w:tcBorders>
            <w:shd w:val="clear" w:color="auto" w:fill="auto"/>
            <w:vAlign w:val="center"/>
          </w:tcPr>
          <w:p w14:paraId="5A96988E" w14:textId="77777777" w:rsidR="003F5898" w:rsidRPr="00185426" w:rsidRDefault="003F5898" w:rsidP="003F5898">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ABF.G078</w:t>
            </w:r>
          </w:p>
        </w:tc>
      </w:tr>
      <w:tr w:rsidR="003F5898" w:rsidRPr="00185426" w14:paraId="085B372B" w14:textId="77777777" w:rsidTr="00080E19">
        <w:trPr>
          <w:trHeight w:val="255"/>
        </w:trPr>
        <w:tc>
          <w:tcPr>
            <w:tcW w:w="4977" w:type="dxa"/>
            <w:tcBorders>
              <w:top w:val="nil"/>
              <w:left w:val="single" w:sz="8" w:space="0" w:color="auto"/>
              <w:right w:val="single" w:sz="8" w:space="0" w:color="auto"/>
            </w:tcBorders>
            <w:shd w:val="clear" w:color="auto" w:fill="auto"/>
            <w:noWrap/>
            <w:vAlign w:val="center"/>
          </w:tcPr>
          <w:p w14:paraId="410637EE" w14:textId="77777777" w:rsidR="003F5898" w:rsidRPr="00185426" w:rsidRDefault="003F5898" w:rsidP="003F5898">
            <w:pPr>
              <w:spacing w:after="0" w:line="240" w:lineRule="auto"/>
              <w:ind w:firstLineChars="231" w:firstLine="370"/>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124 – Outras Transferências de Recursos do FNDE</w:t>
            </w:r>
          </w:p>
        </w:tc>
        <w:tc>
          <w:tcPr>
            <w:tcW w:w="1275" w:type="dxa"/>
            <w:tcBorders>
              <w:top w:val="nil"/>
              <w:left w:val="nil"/>
              <w:right w:val="single" w:sz="8" w:space="0" w:color="auto"/>
            </w:tcBorders>
            <w:shd w:val="clear" w:color="auto" w:fill="auto"/>
            <w:vAlign w:val="center"/>
          </w:tcPr>
          <w:p w14:paraId="269C77BC"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ABF.B079</w:t>
            </w:r>
          </w:p>
        </w:tc>
        <w:tc>
          <w:tcPr>
            <w:tcW w:w="1560" w:type="dxa"/>
            <w:tcBorders>
              <w:top w:val="nil"/>
              <w:left w:val="nil"/>
              <w:right w:val="single" w:sz="8" w:space="0" w:color="auto"/>
            </w:tcBorders>
            <w:shd w:val="clear" w:color="auto" w:fill="auto"/>
            <w:vAlign w:val="center"/>
          </w:tcPr>
          <w:p w14:paraId="5BAA2BB4" w14:textId="77777777" w:rsidR="003F5898" w:rsidRPr="00185426" w:rsidRDefault="003F5898" w:rsidP="003F5898">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ABF.C079</w:t>
            </w:r>
          </w:p>
        </w:tc>
        <w:tc>
          <w:tcPr>
            <w:tcW w:w="1275" w:type="dxa"/>
            <w:tcBorders>
              <w:top w:val="nil"/>
              <w:left w:val="nil"/>
              <w:right w:val="single" w:sz="8" w:space="0" w:color="auto"/>
            </w:tcBorders>
            <w:shd w:val="clear" w:color="auto" w:fill="auto"/>
            <w:vAlign w:val="center"/>
          </w:tcPr>
          <w:p w14:paraId="2A5B9260" w14:textId="77777777" w:rsidR="003F5898" w:rsidRPr="00185426" w:rsidRDefault="003F5898" w:rsidP="003F5898">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ABF.D079</w:t>
            </w:r>
          </w:p>
        </w:tc>
        <w:tc>
          <w:tcPr>
            <w:tcW w:w="1276" w:type="dxa"/>
            <w:tcBorders>
              <w:top w:val="nil"/>
              <w:left w:val="nil"/>
              <w:right w:val="single" w:sz="8" w:space="0" w:color="auto"/>
            </w:tcBorders>
            <w:shd w:val="clear" w:color="auto" w:fill="auto"/>
            <w:vAlign w:val="center"/>
          </w:tcPr>
          <w:p w14:paraId="160B3BA1" w14:textId="77777777" w:rsidR="003F5898" w:rsidRPr="00185426" w:rsidRDefault="003F5898" w:rsidP="003F5898">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ABF.E079</w:t>
            </w:r>
          </w:p>
        </w:tc>
        <w:tc>
          <w:tcPr>
            <w:tcW w:w="1701" w:type="dxa"/>
            <w:tcBorders>
              <w:top w:val="nil"/>
              <w:left w:val="nil"/>
              <w:right w:val="single" w:sz="8" w:space="0" w:color="auto"/>
            </w:tcBorders>
            <w:shd w:val="clear" w:color="auto" w:fill="auto"/>
            <w:vAlign w:val="center"/>
          </w:tcPr>
          <w:p w14:paraId="47FB3F4B" w14:textId="77777777" w:rsidR="003F5898" w:rsidRPr="00185426" w:rsidRDefault="003F5898" w:rsidP="003F5898">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ABF.F079</w:t>
            </w:r>
          </w:p>
        </w:tc>
        <w:tc>
          <w:tcPr>
            <w:tcW w:w="1418" w:type="dxa"/>
            <w:tcBorders>
              <w:top w:val="nil"/>
              <w:left w:val="nil"/>
              <w:right w:val="single" w:sz="8" w:space="0" w:color="auto"/>
            </w:tcBorders>
            <w:shd w:val="clear" w:color="auto" w:fill="auto"/>
            <w:vAlign w:val="center"/>
          </w:tcPr>
          <w:p w14:paraId="0CB7F5BE" w14:textId="77777777" w:rsidR="003F5898" w:rsidRPr="00185426" w:rsidRDefault="003F5898" w:rsidP="003F5898">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ABF.G079</w:t>
            </w:r>
          </w:p>
        </w:tc>
      </w:tr>
      <w:tr w:rsidR="003F5898" w:rsidRPr="00185426" w14:paraId="361BED96" w14:textId="77777777" w:rsidTr="00080E19">
        <w:trPr>
          <w:trHeight w:val="255"/>
        </w:trPr>
        <w:tc>
          <w:tcPr>
            <w:tcW w:w="4977" w:type="dxa"/>
            <w:tcBorders>
              <w:top w:val="nil"/>
              <w:left w:val="single" w:sz="8" w:space="0" w:color="auto"/>
              <w:right w:val="single" w:sz="8" w:space="0" w:color="auto"/>
            </w:tcBorders>
            <w:shd w:val="clear" w:color="auto" w:fill="auto"/>
            <w:noWrap/>
            <w:vAlign w:val="center"/>
          </w:tcPr>
          <w:p w14:paraId="2E60287D" w14:textId="77777777" w:rsidR="003F5898" w:rsidRPr="00185426" w:rsidRDefault="003F5898" w:rsidP="003F5898">
            <w:pPr>
              <w:spacing w:after="0" w:line="240" w:lineRule="auto"/>
              <w:ind w:firstLineChars="231" w:firstLine="370"/>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 xml:space="preserve">140 - Royalties do Petróleo vinculados à Educação </w:t>
            </w:r>
          </w:p>
        </w:tc>
        <w:tc>
          <w:tcPr>
            <w:tcW w:w="1275" w:type="dxa"/>
            <w:tcBorders>
              <w:top w:val="nil"/>
              <w:left w:val="nil"/>
              <w:right w:val="single" w:sz="8" w:space="0" w:color="auto"/>
            </w:tcBorders>
            <w:shd w:val="clear" w:color="auto" w:fill="auto"/>
            <w:vAlign w:val="center"/>
          </w:tcPr>
          <w:p w14:paraId="39FE2245"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ABF.B069</w:t>
            </w:r>
          </w:p>
        </w:tc>
        <w:tc>
          <w:tcPr>
            <w:tcW w:w="1560" w:type="dxa"/>
            <w:tcBorders>
              <w:top w:val="nil"/>
              <w:left w:val="nil"/>
              <w:right w:val="single" w:sz="8" w:space="0" w:color="auto"/>
            </w:tcBorders>
            <w:shd w:val="clear" w:color="auto" w:fill="auto"/>
            <w:vAlign w:val="center"/>
          </w:tcPr>
          <w:p w14:paraId="65758941"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ABF.C069</w:t>
            </w:r>
          </w:p>
        </w:tc>
        <w:tc>
          <w:tcPr>
            <w:tcW w:w="1275" w:type="dxa"/>
            <w:tcBorders>
              <w:top w:val="nil"/>
              <w:left w:val="nil"/>
              <w:right w:val="single" w:sz="8" w:space="0" w:color="auto"/>
            </w:tcBorders>
            <w:shd w:val="clear" w:color="auto" w:fill="auto"/>
            <w:vAlign w:val="center"/>
          </w:tcPr>
          <w:p w14:paraId="691F7ACC"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ABF.D069</w:t>
            </w:r>
          </w:p>
        </w:tc>
        <w:tc>
          <w:tcPr>
            <w:tcW w:w="1276" w:type="dxa"/>
            <w:tcBorders>
              <w:top w:val="nil"/>
              <w:left w:val="nil"/>
              <w:right w:val="single" w:sz="8" w:space="0" w:color="auto"/>
            </w:tcBorders>
            <w:shd w:val="clear" w:color="auto" w:fill="auto"/>
            <w:vAlign w:val="center"/>
          </w:tcPr>
          <w:p w14:paraId="77B6CB6F"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ABF.E069</w:t>
            </w:r>
          </w:p>
        </w:tc>
        <w:tc>
          <w:tcPr>
            <w:tcW w:w="1701" w:type="dxa"/>
            <w:tcBorders>
              <w:top w:val="nil"/>
              <w:left w:val="nil"/>
              <w:right w:val="single" w:sz="8" w:space="0" w:color="auto"/>
            </w:tcBorders>
            <w:shd w:val="clear" w:color="auto" w:fill="auto"/>
            <w:vAlign w:val="center"/>
          </w:tcPr>
          <w:p w14:paraId="3AA74DAC"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ABF.F069</w:t>
            </w:r>
          </w:p>
        </w:tc>
        <w:tc>
          <w:tcPr>
            <w:tcW w:w="1418" w:type="dxa"/>
            <w:tcBorders>
              <w:top w:val="nil"/>
              <w:left w:val="nil"/>
              <w:right w:val="single" w:sz="8" w:space="0" w:color="auto"/>
            </w:tcBorders>
            <w:shd w:val="clear" w:color="auto" w:fill="auto"/>
            <w:vAlign w:val="center"/>
          </w:tcPr>
          <w:p w14:paraId="3F5B8C23"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ABF.G069</w:t>
            </w:r>
          </w:p>
        </w:tc>
      </w:tr>
      <w:tr w:rsidR="003F5898" w:rsidRPr="00185426" w14:paraId="6995E687" w14:textId="77777777" w:rsidTr="00080E19">
        <w:trPr>
          <w:trHeight w:val="255"/>
        </w:trPr>
        <w:tc>
          <w:tcPr>
            <w:tcW w:w="4977" w:type="dxa"/>
            <w:tcBorders>
              <w:top w:val="nil"/>
              <w:left w:val="single" w:sz="8" w:space="0" w:color="auto"/>
              <w:right w:val="single" w:sz="8" w:space="0" w:color="auto"/>
            </w:tcBorders>
            <w:shd w:val="clear" w:color="auto" w:fill="auto"/>
            <w:noWrap/>
            <w:vAlign w:val="center"/>
          </w:tcPr>
          <w:p w14:paraId="68766948" w14:textId="77777777" w:rsidR="003F5898" w:rsidRPr="00185426" w:rsidRDefault="003F5898" w:rsidP="003F5898">
            <w:pPr>
              <w:spacing w:after="0" w:line="240" w:lineRule="auto"/>
              <w:ind w:firstLineChars="231" w:firstLine="370"/>
              <w:rPr>
                <w:rFonts w:ascii="Arial Narrow" w:eastAsia="Times New Roman" w:hAnsi="Arial Narrow" w:cs="Arial"/>
                <w:sz w:val="16"/>
                <w:szCs w:val="16"/>
                <w:lang w:eastAsia="pt-BR"/>
              </w:rPr>
            </w:pPr>
            <w:r w:rsidRPr="00CA4C03">
              <w:rPr>
                <w:rFonts w:ascii="Arial Narrow" w:eastAsia="Times New Roman" w:hAnsi="Arial Narrow" w:cs="Arial"/>
                <w:sz w:val="16"/>
                <w:szCs w:val="16"/>
                <w:lang w:eastAsia="pt-BR"/>
              </w:rPr>
              <w:t>125 – Transferências de Convênios ou de Contratos de Repasses Vinculados  à Educação</w:t>
            </w:r>
          </w:p>
        </w:tc>
        <w:tc>
          <w:tcPr>
            <w:tcW w:w="1275" w:type="dxa"/>
            <w:tcBorders>
              <w:top w:val="nil"/>
              <w:left w:val="nil"/>
              <w:right w:val="single" w:sz="8" w:space="0" w:color="auto"/>
            </w:tcBorders>
            <w:shd w:val="clear" w:color="auto" w:fill="auto"/>
            <w:vAlign w:val="center"/>
          </w:tcPr>
          <w:p w14:paraId="21B1EE89"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ABF.B021</w:t>
            </w:r>
          </w:p>
        </w:tc>
        <w:tc>
          <w:tcPr>
            <w:tcW w:w="1560" w:type="dxa"/>
            <w:tcBorders>
              <w:top w:val="nil"/>
              <w:left w:val="nil"/>
              <w:right w:val="single" w:sz="8" w:space="0" w:color="auto"/>
            </w:tcBorders>
            <w:shd w:val="clear" w:color="auto" w:fill="auto"/>
            <w:vAlign w:val="center"/>
          </w:tcPr>
          <w:p w14:paraId="4218CF84"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ABF.C021</w:t>
            </w:r>
          </w:p>
        </w:tc>
        <w:tc>
          <w:tcPr>
            <w:tcW w:w="1275" w:type="dxa"/>
            <w:tcBorders>
              <w:top w:val="nil"/>
              <w:left w:val="nil"/>
              <w:right w:val="single" w:sz="8" w:space="0" w:color="auto"/>
            </w:tcBorders>
            <w:shd w:val="clear" w:color="auto" w:fill="auto"/>
            <w:vAlign w:val="center"/>
          </w:tcPr>
          <w:p w14:paraId="4CDDDB4F"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ABF.D021</w:t>
            </w:r>
          </w:p>
        </w:tc>
        <w:tc>
          <w:tcPr>
            <w:tcW w:w="1276" w:type="dxa"/>
            <w:tcBorders>
              <w:top w:val="nil"/>
              <w:left w:val="nil"/>
              <w:right w:val="single" w:sz="8" w:space="0" w:color="auto"/>
            </w:tcBorders>
            <w:shd w:val="clear" w:color="auto" w:fill="auto"/>
            <w:vAlign w:val="center"/>
          </w:tcPr>
          <w:p w14:paraId="7633562A"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ABF.E021</w:t>
            </w:r>
          </w:p>
        </w:tc>
        <w:tc>
          <w:tcPr>
            <w:tcW w:w="1701" w:type="dxa"/>
            <w:tcBorders>
              <w:top w:val="nil"/>
              <w:left w:val="nil"/>
              <w:right w:val="single" w:sz="8" w:space="0" w:color="auto"/>
            </w:tcBorders>
            <w:shd w:val="clear" w:color="auto" w:fill="auto"/>
            <w:vAlign w:val="center"/>
          </w:tcPr>
          <w:p w14:paraId="2A7D7BC0"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ABF.F021</w:t>
            </w:r>
          </w:p>
        </w:tc>
        <w:tc>
          <w:tcPr>
            <w:tcW w:w="1418" w:type="dxa"/>
            <w:tcBorders>
              <w:top w:val="nil"/>
              <w:left w:val="nil"/>
              <w:right w:val="single" w:sz="8" w:space="0" w:color="auto"/>
            </w:tcBorders>
            <w:shd w:val="clear" w:color="auto" w:fill="auto"/>
            <w:vAlign w:val="center"/>
          </w:tcPr>
          <w:p w14:paraId="2B013D35"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ABF.G021</w:t>
            </w:r>
          </w:p>
        </w:tc>
      </w:tr>
      <w:tr w:rsidR="003F5898" w:rsidRPr="00185426" w14:paraId="65F70E1C" w14:textId="77777777" w:rsidTr="00080E19">
        <w:trPr>
          <w:trHeight w:val="255"/>
        </w:trPr>
        <w:tc>
          <w:tcPr>
            <w:tcW w:w="4977" w:type="dxa"/>
            <w:tcBorders>
              <w:left w:val="single" w:sz="8" w:space="0" w:color="auto"/>
              <w:bottom w:val="nil"/>
              <w:right w:val="single" w:sz="8" w:space="0" w:color="auto"/>
            </w:tcBorders>
            <w:shd w:val="clear" w:color="auto" w:fill="auto"/>
            <w:noWrap/>
            <w:vAlign w:val="center"/>
          </w:tcPr>
          <w:p w14:paraId="36B9C5CD" w14:textId="77777777" w:rsidR="003F5898" w:rsidRPr="00185426" w:rsidRDefault="003F5898" w:rsidP="003F5898">
            <w:pPr>
              <w:spacing w:after="0" w:line="240" w:lineRule="auto"/>
              <w:ind w:firstLineChars="231" w:firstLine="370"/>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130 - Operações de Crédito vinculadas à Educação</w:t>
            </w:r>
          </w:p>
        </w:tc>
        <w:tc>
          <w:tcPr>
            <w:tcW w:w="1275" w:type="dxa"/>
            <w:tcBorders>
              <w:left w:val="nil"/>
              <w:bottom w:val="nil"/>
              <w:right w:val="single" w:sz="8" w:space="0" w:color="auto"/>
            </w:tcBorders>
            <w:shd w:val="clear" w:color="auto" w:fill="auto"/>
            <w:vAlign w:val="center"/>
          </w:tcPr>
          <w:p w14:paraId="0FE60D83"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ABF.B024</w:t>
            </w:r>
          </w:p>
        </w:tc>
        <w:tc>
          <w:tcPr>
            <w:tcW w:w="1560" w:type="dxa"/>
            <w:tcBorders>
              <w:left w:val="nil"/>
              <w:bottom w:val="nil"/>
              <w:right w:val="single" w:sz="8" w:space="0" w:color="auto"/>
            </w:tcBorders>
            <w:shd w:val="clear" w:color="auto" w:fill="auto"/>
            <w:vAlign w:val="center"/>
          </w:tcPr>
          <w:p w14:paraId="07A10B5F"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ABF.C024</w:t>
            </w:r>
          </w:p>
        </w:tc>
        <w:tc>
          <w:tcPr>
            <w:tcW w:w="1275" w:type="dxa"/>
            <w:tcBorders>
              <w:left w:val="nil"/>
              <w:bottom w:val="nil"/>
              <w:right w:val="single" w:sz="8" w:space="0" w:color="auto"/>
            </w:tcBorders>
            <w:shd w:val="clear" w:color="auto" w:fill="auto"/>
            <w:vAlign w:val="center"/>
          </w:tcPr>
          <w:p w14:paraId="483DF881"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ABF.D024</w:t>
            </w:r>
          </w:p>
        </w:tc>
        <w:tc>
          <w:tcPr>
            <w:tcW w:w="1276" w:type="dxa"/>
            <w:tcBorders>
              <w:left w:val="nil"/>
              <w:bottom w:val="nil"/>
              <w:right w:val="single" w:sz="8" w:space="0" w:color="auto"/>
            </w:tcBorders>
            <w:shd w:val="clear" w:color="auto" w:fill="auto"/>
            <w:vAlign w:val="center"/>
          </w:tcPr>
          <w:p w14:paraId="0C734129"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ABF.E024</w:t>
            </w:r>
          </w:p>
        </w:tc>
        <w:tc>
          <w:tcPr>
            <w:tcW w:w="1701" w:type="dxa"/>
            <w:tcBorders>
              <w:left w:val="nil"/>
              <w:bottom w:val="nil"/>
              <w:right w:val="single" w:sz="8" w:space="0" w:color="auto"/>
            </w:tcBorders>
            <w:shd w:val="clear" w:color="auto" w:fill="auto"/>
            <w:vAlign w:val="center"/>
          </w:tcPr>
          <w:p w14:paraId="3C9782A2"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ABF.F024</w:t>
            </w:r>
          </w:p>
        </w:tc>
        <w:tc>
          <w:tcPr>
            <w:tcW w:w="1418" w:type="dxa"/>
            <w:tcBorders>
              <w:left w:val="nil"/>
              <w:bottom w:val="nil"/>
              <w:right w:val="single" w:sz="8" w:space="0" w:color="auto"/>
            </w:tcBorders>
            <w:shd w:val="clear" w:color="auto" w:fill="auto"/>
            <w:vAlign w:val="center"/>
          </w:tcPr>
          <w:p w14:paraId="1B7B584C"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ABF.G024</w:t>
            </w:r>
          </w:p>
        </w:tc>
      </w:tr>
      <w:tr w:rsidR="003F5898" w:rsidRPr="00185426" w14:paraId="1D5A8FC8" w14:textId="77777777" w:rsidTr="00080E19">
        <w:trPr>
          <w:trHeight w:val="255"/>
        </w:trPr>
        <w:tc>
          <w:tcPr>
            <w:tcW w:w="4977" w:type="dxa"/>
            <w:tcBorders>
              <w:top w:val="nil"/>
              <w:left w:val="single" w:sz="8" w:space="0" w:color="auto"/>
              <w:bottom w:val="nil"/>
              <w:right w:val="single" w:sz="8" w:space="0" w:color="auto"/>
            </w:tcBorders>
            <w:shd w:val="clear" w:color="auto" w:fill="auto"/>
            <w:noWrap/>
            <w:vAlign w:val="center"/>
          </w:tcPr>
          <w:p w14:paraId="51E53258" w14:textId="77777777" w:rsidR="003F5898" w:rsidRPr="00185426" w:rsidRDefault="003F5898" w:rsidP="003F5898">
            <w:pPr>
              <w:spacing w:after="0" w:line="240" w:lineRule="auto"/>
              <w:ind w:firstLineChars="231" w:firstLine="370"/>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190 – Outros Recursos vinculados à Educação</w:t>
            </w:r>
          </w:p>
        </w:tc>
        <w:tc>
          <w:tcPr>
            <w:tcW w:w="1275" w:type="dxa"/>
            <w:tcBorders>
              <w:top w:val="nil"/>
              <w:left w:val="nil"/>
              <w:bottom w:val="nil"/>
              <w:right w:val="single" w:sz="8" w:space="0" w:color="auto"/>
            </w:tcBorders>
            <w:shd w:val="clear" w:color="auto" w:fill="auto"/>
            <w:vAlign w:val="center"/>
          </w:tcPr>
          <w:p w14:paraId="60C94291"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ABF.B025</w:t>
            </w:r>
          </w:p>
        </w:tc>
        <w:tc>
          <w:tcPr>
            <w:tcW w:w="1560" w:type="dxa"/>
            <w:tcBorders>
              <w:top w:val="nil"/>
              <w:left w:val="nil"/>
              <w:bottom w:val="nil"/>
              <w:right w:val="single" w:sz="8" w:space="0" w:color="auto"/>
            </w:tcBorders>
            <w:shd w:val="clear" w:color="auto" w:fill="auto"/>
            <w:vAlign w:val="center"/>
          </w:tcPr>
          <w:p w14:paraId="240BA465"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ABF.C025</w:t>
            </w:r>
          </w:p>
        </w:tc>
        <w:tc>
          <w:tcPr>
            <w:tcW w:w="1275" w:type="dxa"/>
            <w:tcBorders>
              <w:top w:val="nil"/>
              <w:left w:val="nil"/>
              <w:bottom w:val="nil"/>
              <w:right w:val="single" w:sz="8" w:space="0" w:color="auto"/>
            </w:tcBorders>
            <w:shd w:val="clear" w:color="auto" w:fill="auto"/>
            <w:vAlign w:val="center"/>
          </w:tcPr>
          <w:p w14:paraId="6DAE89DC"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ABF.D025</w:t>
            </w:r>
          </w:p>
        </w:tc>
        <w:tc>
          <w:tcPr>
            <w:tcW w:w="1276" w:type="dxa"/>
            <w:tcBorders>
              <w:top w:val="nil"/>
              <w:left w:val="nil"/>
              <w:bottom w:val="nil"/>
              <w:right w:val="single" w:sz="8" w:space="0" w:color="auto"/>
            </w:tcBorders>
            <w:shd w:val="clear" w:color="auto" w:fill="auto"/>
            <w:vAlign w:val="center"/>
          </w:tcPr>
          <w:p w14:paraId="5BEBAE96"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ABF.E025</w:t>
            </w:r>
          </w:p>
        </w:tc>
        <w:tc>
          <w:tcPr>
            <w:tcW w:w="1701" w:type="dxa"/>
            <w:tcBorders>
              <w:top w:val="nil"/>
              <w:left w:val="nil"/>
              <w:bottom w:val="nil"/>
              <w:right w:val="single" w:sz="8" w:space="0" w:color="auto"/>
            </w:tcBorders>
            <w:shd w:val="clear" w:color="auto" w:fill="auto"/>
            <w:vAlign w:val="center"/>
          </w:tcPr>
          <w:p w14:paraId="7B959F75"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ABF.F025</w:t>
            </w:r>
          </w:p>
        </w:tc>
        <w:tc>
          <w:tcPr>
            <w:tcW w:w="1418" w:type="dxa"/>
            <w:tcBorders>
              <w:top w:val="nil"/>
              <w:left w:val="nil"/>
              <w:bottom w:val="nil"/>
              <w:right w:val="single" w:sz="8" w:space="0" w:color="auto"/>
            </w:tcBorders>
            <w:shd w:val="clear" w:color="auto" w:fill="auto"/>
            <w:vAlign w:val="center"/>
          </w:tcPr>
          <w:p w14:paraId="36134C15"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ABF.G025</w:t>
            </w:r>
          </w:p>
        </w:tc>
      </w:tr>
      <w:tr w:rsidR="003F5898" w:rsidRPr="00185426" w14:paraId="04E27C87" w14:textId="77777777" w:rsidTr="00080E19">
        <w:trPr>
          <w:trHeight w:val="255"/>
        </w:trPr>
        <w:tc>
          <w:tcPr>
            <w:tcW w:w="4977" w:type="dxa"/>
            <w:tcBorders>
              <w:top w:val="nil"/>
              <w:left w:val="single" w:sz="8" w:space="0" w:color="auto"/>
              <w:bottom w:val="nil"/>
              <w:right w:val="single" w:sz="8" w:space="0" w:color="auto"/>
            </w:tcBorders>
            <w:shd w:val="clear" w:color="auto" w:fill="auto"/>
            <w:noWrap/>
            <w:vAlign w:val="center"/>
            <w:hideMark/>
          </w:tcPr>
          <w:p w14:paraId="364AB071" w14:textId="77777777" w:rsidR="003F5898" w:rsidRPr="00185426" w:rsidRDefault="003F5898" w:rsidP="003F5898">
            <w:pPr>
              <w:spacing w:after="0" w:line="240" w:lineRule="auto"/>
              <w:ind w:firstLineChars="100" w:firstLine="161"/>
              <w:rPr>
                <w:rFonts w:ascii="Arial Narrow" w:eastAsia="Times New Roman" w:hAnsi="Arial Narrow" w:cs="Arial"/>
                <w:b/>
                <w:bCs/>
                <w:sz w:val="16"/>
                <w:szCs w:val="16"/>
                <w:lang w:eastAsia="pt-BR"/>
              </w:rPr>
            </w:pPr>
            <w:r w:rsidRPr="00185426">
              <w:rPr>
                <w:rFonts w:ascii="Arial Narrow" w:eastAsia="Times New Roman" w:hAnsi="Arial Narrow" w:cs="Arial"/>
                <w:b/>
                <w:bCs/>
                <w:sz w:val="16"/>
                <w:szCs w:val="16"/>
                <w:lang w:eastAsia="pt-BR"/>
              </w:rPr>
              <w:t xml:space="preserve">  Recursos Vinculados à Saúde</w:t>
            </w:r>
          </w:p>
        </w:tc>
        <w:tc>
          <w:tcPr>
            <w:tcW w:w="1275" w:type="dxa"/>
            <w:tcBorders>
              <w:top w:val="nil"/>
              <w:left w:val="nil"/>
              <w:bottom w:val="nil"/>
              <w:right w:val="single" w:sz="8" w:space="0" w:color="auto"/>
            </w:tcBorders>
            <w:shd w:val="clear" w:color="auto" w:fill="auto"/>
            <w:vAlign w:val="center"/>
            <w:hideMark/>
          </w:tcPr>
          <w:p w14:paraId="6A5FAF26" w14:textId="77777777" w:rsidR="003F5898" w:rsidRPr="00185426" w:rsidRDefault="003F5898" w:rsidP="003F5898">
            <w:pPr>
              <w:spacing w:after="0" w:line="240" w:lineRule="auto"/>
              <w:jc w:val="center"/>
              <w:rPr>
                <w:rFonts w:ascii="Arial Narrow" w:eastAsia="Times New Roman" w:hAnsi="Arial Narrow" w:cs="Arial"/>
                <w:b/>
                <w:bCs/>
                <w:sz w:val="16"/>
                <w:szCs w:val="16"/>
                <w:lang w:eastAsia="pt-BR"/>
              </w:rPr>
            </w:pPr>
            <w:r w:rsidRPr="00185426">
              <w:rPr>
                <w:rFonts w:ascii="Arial Narrow" w:eastAsia="Times New Roman" w:hAnsi="Arial Narrow" w:cs="Arial"/>
                <w:b/>
                <w:bCs/>
                <w:sz w:val="16"/>
                <w:szCs w:val="16"/>
                <w:lang w:eastAsia="pt-BR"/>
              </w:rPr>
              <w:t>ABF.B026</w:t>
            </w:r>
          </w:p>
        </w:tc>
        <w:tc>
          <w:tcPr>
            <w:tcW w:w="1560" w:type="dxa"/>
            <w:tcBorders>
              <w:top w:val="nil"/>
              <w:left w:val="nil"/>
              <w:bottom w:val="nil"/>
              <w:right w:val="single" w:sz="8" w:space="0" w:color="auto"/>
            </w:tcBorders>
            <w:shd w:val="clear" w:color="auto" w:fill="auto"/>
            <w:vAlign w:val="center"/>
            <w:hideMark/>
          </w:tcPr>
          <w:p w14:paraId="73CF254F" w14:textId="77777777" w:rsidR="003F5898" w:rsidRPr="00185426" w:rsidRDefault="003F5898" w:rsidP="003F5898">
            <w:pPr>
              <w:spacing w:after="0" w:line="240" w:lineRule="auto"/>
              <w:jc w:val="center"/>
              <w:rPr>
                <w:rFonts w:ascii="Arial Narrow" w:eastAsia="Times New Roman" w:hAnsi="Arial Narrow" w:cs="Arial"/>
                <w:b/>
                <w:bCs/>
                <w:sz w:val="16"/>
                <w:szCs w:val="16"/>
                <w:lang w:eastAsia="pt-BR"/>
              </w:rPr>
            </w:pPr>
            <w:r w:rsidRPr="00185426">
              <w:rPr>
                <w:rFonts w:ascii="Arial Narrow" w:eastAsia="Times New Roman" w:hAnsi="Arial Narrow" w:cs="Arial"/>
                <w:b/>
                <w:bCs/>
                <w:sz w:val="16"/>
                <w:szCs w:val="16"/>
                <w:lang w:eastAsia="pt-BR"/>
              </w:rPr>
              <w:t>ABF.C026</w:t>
            </w:r>
          </w:p>
        </w:tc>
        <w:tc>
          <w:tcPr>
            <w:tcW w:w="1275" w:type="dxa"/>
            <w:tcBorders>
              <w:top w:val="nil"/>
              <w:left w:val="nil"/>
              <w:bottom w:val="nil"/>
              <w:right w:val="single" w:sz="8" w:space="0" w:color="auto"/>
            </w:tcBorders>
            <w:shd w:val="clear" w:color="auto" w:fill="auto"/>
            <w:vAlign w:val="center"/>
            <w:hideMark/>
          </w:tcPr>
          <w:p w14:paraId="6CD7461A" w14:textId="77777777" w:rsidR="003F5898" w:rsidRPr="00185426" w:rsidRDefault="003F5898" w:rsidP="003F5898">
            <w:pPr>
              <w:spacing w:after="0" w:line="240" w:lineRule="auto"/>
              <w:jc w:val="center"/>
              <w:rPr>
                <w:rFonts w:ascii="Arial Narrow" w:eastAsia="Times New Roman" w:hAnsi="Arial Narrow" w:cs="Arial"/>
                <w:b/>
                <w:bCs/>
                <w:sz w:val="16"/>
                <w:szCs w:val="16"/>
                <w:lang w:eastAsia="pt-BR"/>
              </w:rPr>
            </w:pPr>
            <w:r w:rsidRPr="00185426">
              <w:rPr>
                <w:rFonts w:ascii="Arial Narrow" w:eastAsia="Times New Roman" w:hAnsi="Arial Narrow" w:cs="Arial"/>
                <w:b/>
                <w:bCs/>
                <w:sz w:val="16"/>
                <w:szCs w:val="16"/>
                <w:lang w:eastAsia="pt-BR"/>
              </w:rPr>
              <w:t>ABF.D026</w:t>
            </w:r>
          </w:p>
        </w:tc>
        <w:tc>
          <w:tcPr>
            <w:tcW w:w="1276" w:type="dxa"/>
            <w:tcBorders>
              <w:top w:val="nil"/>
              <w:left w:val="nil"/>
              <w:bottom w:val="nil"/>
              <w:right w:val="single" w:sz="8" w:space="0" w:color="auto"/>
            </w:tcBorders>
            <w:shd w:val="clear" w:color="auto" w:fill="auto"/>
            <w:vAlign w:val="center"/>
            <w:hideMark/>
          </w:tcPr>
          <w:p w14:paraId="19A93DC5" w14:textId="77777777" w:rsidR="003F5898" w:rsidRPr="00185426" w:rsidRDefault="003F5898" w:rsidP="003F5898">
            <w:pPr>
              <w:spacing w:after="0" w:line="240" w:lineRule="auto"/>
              <w:jc w:val="center"/>
              <w:rPr>
                <w:rFonts w:ascii="Arial Narrow" w:eastAsia="Times New Roman" w:hAnsi="Arial Narrow" w:cs="Arial"/>
                <w:b/>
                <w:bCs/>
                <w:sz w:val="16"/>
                <w:szCs w:val="16"/>
                <w:lang w:eastAsia="pt-BR"/>
              </w:rPr>
            </w:pPr>
            <w:r w:rsidRPr="00185426">
              <w:rPr>
                <w:rFonts w:ascii="Arial Narrow" w:eastAsia="Times New Roman" w:hAnsi="Arial Narrow" w:cs="Arial"/>
                <w:b/>
                <w:bCs/>
                <w:sz w:val="16"/>
                <w:szCs w:val="16"/>
                <w:lang w:eastAsia="pt-BR"/>
              </w:rPr>
              <w:t>ABF.E026</w:t>
            </w:r>
          </w:p>
        </w:tc>
        <w:tc>
          <w:tcPr>
            <w:tcW w:w="1701" w:type="dxa"/>
            <w:tcBorders>
              <w:top w:val="nil"/>
              <w:left w:val="nil"/>
              <w:bottom w:val="nil"/>
              <w:right w:val="single" w:sz="8" w:space="0" w:color="auto"/>
            </w:tcBorders>
            <w:shd w:val="clear" w:color="auto" w:fill="auto"/>
            <w:vAlign w:val="center"/>
            <w:hideMark/>
          </w:tcPr>
          <w:p w14:paraId="0CB37ED1" w14:textId="77777777" w:rsidR="003F5898" w:rsidRPr="00185426" w:rsidRDefault="003F5898" w:rsidP="003F5898">
            <w:pPr>
              <w:spacing w:after="0" w:line="240" w:lineRule="auto"/>
              <w:jc w:val="center"/>
              <w:rPr>
                <w:rFonts w:ascii="Arial Narrow" w:eastAsia="Times New Roman" w:hAnsi="Arial Narrow" w:cs="Arial"/>
                <w:b/>
                <w:bCs/>
                <w:sz w:val="16"/>
                <w:szCs w:val="16"/>
                <w:lang w:eastAsia="pt-BR"/>
              </w:rPr>
            </w:pPr>
            <w:r w:rsidRPr="00185426">
              <w:rPr>
                <w:rFonts w:ascii="Arial Narrow" w:eastAsia="Times New Roman" w:hAnsi="Arial Narrow" w:cs="Arial"/>
                <w:b/>
                <w:bCs/>
                <w:sz w:val="16"/>
                <w:szCs w:val="16"/>
                <w:lang w:eastAsia="pt-BR"/>
              </w:rPr>
              <w:t>ABF.F026</w:t>
            </w:r>
          </w:p>
        </w:tc>
        <w:tc>
          <w:tcPr>
            <w:tcW w:w="1418" w:type="dxa"/>
            <w:tcBorders>
              <w:top w:val="nil"/>
              <w:left w:val="nil"/>
              <w:bottom w:val="nil"/>
              <w:right w:val="single" w:sz="8" w:space="0" w:color="auto"/>
            </w:tcBorders>
            <w:shd w:val="clear" w:color="auto" w:fill="auto"/>
            <w:vAlign w:val="center"/>
            <w:hideMark/>
          </w:tcPr>
          <w:p w14:paraId="5D14E001" w14:textId="77777777" w:rsidR="003F5898" w:rsidRPr="00185426" w:rsidRDefault="003F5898" w:rsidP="003F5898">
            <w:pPr>
              <w:spacing w:after="0" w:line="240" w:lineRule="auto"/>
              <w:jc w:val="center"/>
              <w:rPr>
                <w:rFonts w:ascii="Arial Narrow" w:eastAsia="Times New Roman" w:hAnsi="Arial Narrow" w:cs="Arial"/>
                <w:b/>
                <w:bCs/>
                <w:sz w:val="16"/>
                <w:szCs w:val="16"/>
                <w:lang w:eastAsia="pt-BR"/>
              </w:rPr>
            </w:pPr>
            <w:r w:rsidRPr="00185426">
              <w:rPr>
                <w:rFonts w:ascii="Arial Narrow" w:eastAsia="Times New Roman" w:hAnsi="Arial Narrow" w:cs="Arial"/>
                <w:b/>
                <w:bCs/>
                <w:sz w:val="16"/>
                <w:szCs w:val="16"/>
                <w:lang w:eastAsia="pt-BR"/>
              </w:rPr>
              <w:t>ABF.G026</w:t>
            </w:r>
          </w:p>
        </w:tc>
      </w:tr>
      <w:tr w:rsidR="003F5898" w:rsidRPr="00185426" w14:paraId="646862C3" w14:textId="77777777" w:rsidTr="00080E19">
        <w:trPr>
          <w:trHeight w:val="255"/>
        </w:trPr>
        <w:tc>
          <w:tcPr>
            <w:tcW w:w="4977" w:type="dxa"/>
            <w:tcBorders>
              <w:top w:val="nil"/>
              <w:left w:val="single" w:sz="8" w:space="0" w:color="auto"/>
              <w:bottom w:val="nil"/>
              <w:right w:val="single" w:sz="8" w:space="0" w:color="auto"/>
            </w:tcBorders>
            <w:shd w:val="clear" w:color="auto" w:fill="auto"/>
            <w:noWrap/>
            <w:vAlign w:val="center"/>
          </w:tcPr>
          <w:p w14:paraId="7FD00BAC" w14:textId="77777777" w:rsidR="003F5898" w:rsidRPr="00185426" w:rsidRDefault="003F5898" w:rsidP="003F5898">
            <w:pPr>
              <w:spacing w:after="0" w:line="240" w:lineRule="auto"/>
              <w:ind w:firstLineChars="231" w:firstLine="370"/>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211 – Receita de Impostos e Transferência de Impostos - Saúde</w:t>
            </w:r>
          </w:p>
        </w:tc>
        <w:tc>
          <w:tcPr>
            <w:tcW w:w="1275" w:type="dxa"/>
            <w:tcBorders>
              <w:top w:val="nil"/>
              <w:left w:val="nil"/>
              <w:bottom w:val="nil"/>
              <w:right w:val="single" w:sz="8" w:space="0" w:color="auto"/>
            </w:tcBorders>
            <w:shd w:val="clear" w:color="auto" w:fill="auto"/>
            <w:vAlign w:val="center"/>
          </w:tcPr>
          <w:p w14:paraId="6B5CD45F"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ABF.B065</w:t>
            </w:r>
          </w:p>
        </w:tc>
        <w:tc>
          <w:tcPr>
            <w:tcW w:w="1560" w:type="dxa"/>
            <w:tcBorders>
              <w:top w:val="nil"/>
              <w:left w:val="nil"/>
              <w:bottom w:val="nil"/>
              <w:right w:val="single" w:sz="8" w:space="0" w:color="auto"/>
            </w:tcBorders>
            <w:shd w:val="clear" w:color="auto" w:fill="auto"/>
            <w:vAlign w:val="center"/>
          </w:tcPr>
          <w:p w14:paraId="634C2956"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ABF.C065</w:t>
            </w:r>
          </w:p>
        </w:tc>
        <w:tc>
          <w:tcPr>
            <w:tcW w:w="1275" w:type="dxa"/>
            <w:tcBorders>
              <w:top w:val="nil"/>
              <w:left w:val="nil"/>
              <w:bottom w:val="nil"/>
              <w:right w:val="single" w:sz="8" w:space="0" w:color="auto"/>
            </w:tcBorders>
            <w:shd w:val="clear" w:color="auto" w:fill="auto"/>
            <w:vAlign w:val="center"/>
          </w:tcPr>
          <w:p w14:paraId="7BDAA693"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ABF.D065</w:t>
            </w:r>
          </w:p>
        </w:tc>
        <w:tc>
          <w:tcPr>
            <w:tcW w:w="1276" w:type="dxa"/>
            <w:tcBorders>
              <w:top w:val="nil"/>
              <w:left w:val="nil"/>
              <w:bottom w:val="nil"/>
              <w:right w:val="single" w:sz="8" w:space="0" w:color="auto"/>
            </w:tcBorders>
            <w:shd w:val="clear" w:color="auto" w:fill="auto"/>
            <w:vAlign w:val="center"/>
          </w:tcPr>
          <w:p w14:paraId="0E35498B"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ABF.E065</w:t>
            </w:r>
          </w:p>
        </w:tc>
        <w:tc>
          <w:tcPr>
            <w:tcW w:w="1701" w:type="dxa"/>
            <w:tcBorders>
              <w:top w:val="nil"/>
              <w:left w:val="nil"/>
              <w:bottom w:val="nil"/>
              <w:right w:val="single" w:sz="8" w:space="0" w:color="auto"/>
            </w:tcBorders>
            <w:shd w:val="clear" w:color="auto" w:fill="auto"/>
            <w:vAlign w:val="center"/>
          </w:tcPr>
          <w:p w14:paraId="2D5321F4"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ABF.F065</w:t>
            </w:r>
          </w:p>
        </w:tc>
        <w:tc>
          <w:tcPr>
            <w:tcW w:w="1418" w:type="dxa"/>
            <w:tcBorders>
              <w:top w:val="nil"/>
              <w:left w:val="nil"/>
              <w:bottom w:val="nil"/>
              <w:right w:val="single" w:sz="8" w:space="0" w:color="auto"/>
            </w:tcBorders>
            <w:shd w:val="clear" w:color="auto" w:fill="auto"/>
            <w:vAlign w:val="center"/>
          </w:tcPr>
          <w:p w14:paraId="694A59EA"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ABF.G065</w:t>
            </w:r>
          </w:p>
        </w:tc>
      </w:tr>
      <w:tr w:rsidR="003F5898" w:rsidRPr="00185426" w14:paraId="5C0551AF" w14:textId="77777777" w:rsidTr="00080E19">
        <w:trPr>
          <w:trHeight w:val="255"/>
        </w:trPr>
        <w:tc>
          <w:tcPr>
            <w:tcW w:w="4977" w:type="dxa"/>
            <w:tcBorders>
              <w:top w:val="nil"/>
              <w:left w:val="single" w:sz="8" w:space="0" w:color="auto"/>
              <w:bottom w:val="nil"/>
              <w:right w:val="single" w:sz="8" w:space="0" w:color="auto"/>
            </w:tcBorders>
            <w:shd w:val="clear" w:color="auto" w:fill="auto"/>
            <w:noWrap/>
            <w:vAlign w:val="center"/>
          </w:tcPr>
          <w:p w14:paraId="13A1BD3E" w14:textId="77777777" w:rsidR="003F5898" w:rsidRPr="00185426" w:rsidRDefault="003F5898" w:rsidP="003F5898">
            <w:pPr>
              <w:spacing w:after="0" w:line="240" w:lineRule="auto"/>
              <w:ind w:firstLineChars="231" w:firstLine="370"/>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 xml:space="preserve">240 - Royalties do Petróleo vinculados à Saúde </w:t>
            </w:r>
          </w:p>
        </w:tc>
        <w:tc>
          <w:tcPr>
            <w:tcW w:w="1275" w:type="dxa"/>
            <w:tcBorders>
              <w:top w:val="nil"/>
              <w:left w:val="nil"/>
              <w:bottom w:val="nil"/>
              <w:right w:val="single" w:sz="8" w:space="0" w:color="auto"/>
            </w:tcBorders>
            <w:shd w:val="clear" w:color="auto" w:fill="auto"/>
            <w:vAlign w:val="center"/>
          </w:tcPr>
          <w:p w14:paraId="3EE5A44D"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ABF.B070</w:t>
            </w:r>
          </w:p>
        </w:tc>
        <w:tc>
          <w:tcPr>
            <w:tcW w:w="1560" w:type="dxa"/>
            <w:tcBorders>
              <w:top w:val="nil"/>
              <w:left w:val="nil"/>
              <w:bottom w:val="nil"/>
              <w:right w:val="single" w:sz="8" w:space="0" w:color="auto"/>
            </w:tcBorders>
            <w:shd w:val="clear" w:color="auto" w:fill="auto"/>
            <w:vAlign w:val="center"/>
          </w:tcPr>
          <w:p w14:paraId="0ADD0155"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ABF.C070</w:t>
            </w:r>
          </w:p>
        </w:tc>
        <w:tc>
          <w:tcPr>
            <w:tcW w:w="1275" w:type="dxa"/>
            <w:tcBorders>
              <w:top w:val="nil"/>
              <w:left w:val="nil"/>
              <w:bottom w:val="nil"/>
              <w:right w:val="single" w:sz="8" w:space="0" w:color="auto"/>
            </w:tcBorders>
            <w:shd w:val="clear" w:color="auto" w:fill="auto"/>
            <w:vAlign w:val="center"/>
          </w:tcPr>
          <w:p w14:paraId="5B88C7CF"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ABF.D070</w:t>
            </w:r>
          </w:p>
        </w:tc>
        <w:tc>
          <w:tcPr>
            <w:tcW w:w="1276" w:type="dxa"/>
            <w:tcBorders>
              <w:top w:val="nil"/>
              <w:left w:val="nil"/>
              <w:bottom w:val="nil"/>
              <w:right w:val="single" w:sz="8" w:space="0" w:color="auto"/>
            </w:tcBorders>
            <w:shd w:val="clear" w:color="auto" w:fill="auto"/>
            <w:vAlign w:val="center"/>
          </w:tcPr>
          <w:p w14:paraId="2966374D"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ABF.E070</w:t>
            </w:r>
          </w:p>
        </w:tc>
        <w:tc>
          <w:tcPr>
            <w:tcW w:w="1701" w:type="dxa"/>
            <w:tcBorders>
              <w:top w:val="nil"/>
              <w:left w:val="nil"/>
              <w:bottom w:val="nil"/>
              <w:right w:val="single" w:sz="8" w:space="0" w:color="auto"/>
            </w:tcBorders>
            <w:shd w:val="clear" w:color="auto" w:fill="auto"/>
            <w:vAlign w:val="center"/>
          </w:tcPr>
          <w:p w14:paraId="51645C6A"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ABF.F070</w:t>
            </w:r>
          </w:p>
        </w:tc>
        <w:tc>
          <w:tcPr>
            <w:tcW w:w="1418" w:type="dxa"/>
            <w:tcBorders>
              <w:top w:val="nil"/>
              <w:left w:val="nil"/>
              <w:bottom w:val="nil"/>
              <w:right w:val="single" w:sz="8" w:space="0" w:color="auto"/>
            </w:tcBorders>
            <w:shd w:val="clear" w:color="auto" w:fill="auto"/>
            <w:vAlign w:val="center"/>
          </w:tcPr>
          <w:p w14:paraId="123A2760"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ABF.G070</w:t>
            </w:r>
          </w:p>
        </w:tc>
      </w:tr>
      <w:tr w:rsidR="003F5898" w:rsidRPr="00185426" w14:paraId="19E27DF5" w14:textId="77777777" w:rsidTr="00080E19">
        <w:trPr>
          <w:trHeight w:val="255"/>
        </w:trPr>
        <w:tc>
          <w:tcPr>
            <w:tcW w:w="4977" w:type="dxa"/>
            <w:tcBorders>
              <w:top w:val="nil"/>
              <w:left w:val="single" w:sz="8" w:space="0" w:color="auto"/>
              <w:bottom w:val="nil"/>
              <w:right w:val="single" w:sz="8" w:space="0" w:color="auto"/>
            </w:tcBorders>
            <w:shd w:val="clear" w:color="auto" w:fill="auto"/>
            <w:noWrap/>
            <w:vAlign w:val="center"/>
          </w:tcPr>
          <w:p w14:paraId="531B8F2C" w14:textId="77777777" w:rsidR="003F5898" w:rsidRPr="00185426" w:rsidRDefault="003F5898" w:rsidP="003F5898">
            <w:pPr>
              <w:spacing w:after="0" w:line="240" w:lineRule="auto"/>
              <w:ind w:left="371"/>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 xml:space="preserve">214 - </w:t>
            </w:r>
            <w:r>
              <w:rPr>
                <w:rFonts w:ascii="Arial Narrow" w:eastAsia="Times New Roman" w:hAnsi="Arial Narrow" w:cs="Arial"/>
                <w:sz w:val="16"/>
                <w:szCs w:val="16"/>
                <w:lang w:eastAsia="pt-BR"/>
              </w:rPr>
              <w:t>Transf. Fundo a Fundo Recursos</w:t>
            </w:r>
            <w:r w:rsidRPr="00185426">
              <w:rPr>
                <w:rFonts w:ascii="Arial Narrow" w:eastAsia="Times New Roman" w:hAnsi="Arial Narrow" w:cs="Arial"/>
                <w:sz w:val="16"/>
                <w:szCs w:val="16"/>
                <w:lang w:eastAsia="pt-BR"/>
              </w:rPr>
              <w:t xml:space="preserve"> do SUS provenientes do Governo Federal (Bloco de Custeio das Ações e Serv. Públicos de Saúde)</w:t>
            </w:r>
          </w:p>
        </w:tc>
        <w:tc>
          <w:tcPr>
            <w:tcW w:w="1275" w:type="dxa"/>
            <w:tcBorders>
              <w:top w:val="nil"/>
              <w:left w:val="nil"/>
              <w:bottom w:val="nil"/>
              <w:right w:val="single" w:sz="8" w:space="0" w:color="auto"/>
            </w:tcBorders>
            <w:shd w:val="clear" w:color="auto" w:fill="auto"/>
            <w:vAlign w:val="center"/>
          </w:tcPr>
          <w:p w14:paraId="63507AB3"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ABF.B071</w:t>
            </w:r>
          </w:p>
        </w:tc>
        <w:tc>
          <w:tcPr>
            <w:tcW w:w="1560" w:type="dxa"/>
            <w:tcBorders>
              <w:top w:val="nil"/>
              <w:left w:val="nil"/>
              <w:bottom w:val="nil"/>
              <w:right w:val="single" w:sz="8" w:space="0" w:color="auto"/>
            </w:tcBorders>
            <w:shd w:val="clear" w:color="auto" w:fill="auto"/>
            <w:vAlign w:val="center"/>
          </w:tcPr>
          <w:p w14:paraId="21801E90"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ABF.C071</w:t>
            </w:r>
          </w:p>
        </w:tc>
        <w:tc>
          <w:tcPr>
            <w:tcW w:w="1275" w:type="dxa"/>
            <w:tcBorders>
              <w:top w:val="nil"/>
              <w:left w:val="nil"/>
              <w:bottom w:val="nil"/>
              <w:right w:val="single" w:sz="8" w:space="0" w:color="auto"/>
            </w:tcBorders>
            <w:shd w:val="clear" w:color="auto" w:fill="auto"/>
            <w:vAlign w:val="center"/>
          </w:tcPr>
          <w:p w14:paraId="4B21459D"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ABF.D071</w:t>
            </w:r>
          </w:p>
        </w:tc>
        <w:tc>
          <w:tcPr>
            <w:tcW w:w="1276" w:type="dxa"/>
            <w:tcBorders>
              <w:top w:val="nil"/>
              <w:left w:val="nil"/>
              <w:bottom w:val="nil"/>
              <w:right w:val="single" w:sz="8" w:space="0" w:color="auto"/>
            </w:tcBorders>
            <w:shd w:val="clear" w:color="auto" w:fill="auto"/>
            <w:vAlign w:val="center"/>
          </w:tcPr>
          <w:p w14:paraId="567886EE"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ABF.E071</w:t>
            </w:r>
          </w:p>
        </w:tc>
        <w:tc>
          <w:tcPr>
            <w:tcW w:w="1701" w:type="dxa"/>
            <w:tcBorders>
              <w:top w:val="nil"/>
              <w:left w:val="nil"/>
              <w:bottom w:val="nil"/>
              <w:right w:val="single" w:sz="8" w:space="0" w:color="auto"/>
            </w:tcBorders>
            <w:shd w:val="clear" w:color="auto" w:fill="auto"/>
            <w:vAlign w:val="center"/>
          </w:tcPr>
          <w:p w14:paraId="68DD2BB4"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ABF.F071</w:t>
            </w:r>
          </w:p>
        </w:tc>
        <w:tc>
          <w:tcPr>
            <w:tcW w:w="1418" w:type="dxa"/>
            <w:tcBorders>
              <w:top w:val="nil"/>
              <w:left w:val="nil"/>
              <w:bottom w:val="nil"/>
              <w:right w:val="single" w:sz="8" w:space="0" w:color="auto"/>
            </w:tcBorders>
            <w:shd w:val="clear" w:color="auto" w:fill="auto"/>
            <w:vAlign w:val="center"/>
          </w:tcPr>
          <w:p w14:paraId="07E29107"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ABF.G071</w:t>
            </w:r>
          </w:p>
        </w:tc>
      </w:tr>
      <w:tr w:rsidR="003F5898" w:rsidRPr="00185426" w14:paraId="452D6B07" w14:textId="77777777" w:rsidTr="00080E19">
        <w:trPr>
          <w:trHeight w:val="255"/>
        </w:trPr>
        <w:tc>
          <w:tcPr>
            <w:tcW w:w="4977" w:type="dxa"/>
            <w:tcBorders>
              <w:top w:val="nil"/>
              <w:left w:val="single" w:sz="8" w:space="0" w:color="auto"/>
              <w:bottom w:val="nil"/>
              <w:right w:val="single" w:sz="8" w:space="0" w:color="auto"/>
            </w:tcBorders>
            <w:shd w:val="clear" w:color="auto" w:fill="auto"/>
            <w:noWrap/>
            <w:vAlign w:val="center"/>
          </w:tcPr>
          <w:p w14:paraId="2106CD43" w14:textId="77777777" w:rsidR="003F5898" w:rsidRPr="00185426" w:rsidRDefault="003F5898" w:rsidP="003F5898">
            <w:pPr>
              <w:spacing w:after="0" w:line="240" w:lineRule="auto"/>
              <w:ind w:left="371"/>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215 - Transf. Fundo a Fundo Rec</w:t>
            </w:r>
            <w:r>
              <w:rPr>
                <w:rFonts w:ascii="Arial Narrow" w:eastAsia="Times New Roman" w:hAnsi="Arial Narrow" w:cs="Arial"/>
                <w:sz w:val="16"/>
                <w:szCs w:val="16"/>
                <w:lang w:eastAsia="pt-BR"/>
              </w:rPr>
              <w:t>ursos</w:t>
            </w:r>
            <w:r w:rsidRPr="00185426">
              <w:rPr>
                <w:rFonts w:ascii="Arial Narrow" w:eastAsia="Times New Roman" w:hAnsi="Arial Narrow" w:cs="Arial"/>
                <w:sz w:val="16"/>
                <w:szCs w:val="16"/>
                <w:lang w:eastAsia="pt-BR"/>
              </w:rPr>
              <w:t xml:space="preserve"> do SUS provenientes do Governo Federal (Bloco de Invest. na Rede de Serv. Púb. de Saúde)</w:t>
            </w:r>
          </w:p>
        </w:tc>
        <w:tc>
          <w:tcPr>
            <w:tcW w:w="1275" w:type="dxa"/>
            <w:tcBorders>
              <w:top w:val="nil"/>
              <w:left w:val="nil"/>
              <w:bottom w:val="nil"/>
              <w:right w:val="single" w:sz="8" w:space="0" w:color="auto"/>
            </w:tcBorders>
            <w:shd w:val="clear" w:color="auto" w:fill="auto"/>
            <w:vAlign w:val="center"/>
          </w:tcPr>
          <w:p w14:paraId="1CFD5218"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ABF.B072</w:t>
            </w:r>
          </w:p>
        </w:tc>
        <w:tc>
          <w:tcPr>
            <w:tcW w:w="1560" w:type="dxa"/>
            <w:tcBorders>
              <w:top w:val="nil"/>
              <w:left w:val="nil"/>
              <w:bottom w:val="nil"/>
              <w:right w:val="single" w:sz="8" w:space="0" w:color="auto"/>
            </w:tcBorders>
            <w:shd w:val="clear" w:color="auto" w:fill="auto"/>
            <w:vAlign w:val="center"/>
          </w:tcPr>
          <w:p w14:paraId="3D431286"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ABF.C072</w:t>
            </w:r>
          </w:p>
        </w:tc>
        <w:tc>
          <w:tcPr>
            <w:tcW w:w="1275" w:type="dxa"/>
            <w:tcBorders>
              <w:top w:val="nil"/>
              <w:left w:val="nil"/>
              <w:bottom w:val="nil"/>
              <w:right w:val="single" w:sz="8" w:space="0" w:color="auto"/>
            </w:tcBorders>
            <w:shd w:val="clear" w:color="auto" w:fill="auto"/>
            <w:vAlign w:val="center"/>
          </w:tcPr>
          <w:p w14:paraId="512A742C"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ABF.D072</w:t>
            </w:r>
          </w:p>
        </w:tc>
        <w:tc>
          <w:tcPr>
            <w:tcW w:w="1276" w:type="dxa"/>
            <w:tcBorders>
              <w:top w:val="nil"/>
              <w:left w:val="nil"/>
              <w:bottom w:val="nil"/>
              <w:right w:val="single" w:sz="8" w:space="0" w:color="auto"/>
            </w:tcBorders>
            <w:shd w:val="clear" w:color="auto" w:fill="auto"/>
            <w:vAlign w:val="center"/>
          </w:tcPr>
          <w:p w14:paraId="64B79F7D"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ABF.E072</w:t>
            </w:r>
          </w:p>
        </w:tc>
        <w:tc>
          <w:tcPr>
            <w:tcW w:w="1701" w:type="dxa"/>
            <w:tcBorders>
              <w:top w:val="nil"/>
              <w:left w:val="nil"/>
              <w:bottom w:val="nil"/>
              <w:right w:val="single" w:sz="8" w:space="0" w:color="auto"/>
            </w:tcBorders>
            <w:shd w:val="clear" w:color="auto" w:fill="auto"/>
            <w:vAlign w:val="center"/>
          </w:tcPr>
          <w:p w14:paraId="736E60A3"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ABF.F072</w:t>
            </w:r>
          </w:p>
        </w:tc>
        <w:tc>
          <w:tcPr>
            <w:tcW w:w="1418" w:type="dxa"/>
            <w:tcBorders>
              <w:top w:val="nil"/>
              <w:left w:val="nil"/>
              <w:bottom w:val="nil"/>
              <w:right w:val="single" w:sz="8" w:space="0" w:color="auto"/>
            </w:tcBorders>
            <w:shd w:val="clear" w:color="auto" w:fill="auto"/>
            <w:vAlign w:val="center"/>
          </w:tcPr>
          <w:p w14:paraId="6C7E526F"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ABF.G072</w:t>
            </w:r>
          </w:p>
        </w:tc>
      </w:tr>
      <w:tr w:rsidR="003F5898" w:rsidRPr="00185426" w14:paraId="4BB72C2E" w14:textId="77777777" w:rsidTr="00080E19">
        <w:trPr>
          <w:trHeight w:val="255"/>
        </w:trPr>
        <w:tc>
          <w:tcPr>
            <w:tcW w:w="4977" w:type="dxa"/>
            <w:tcBorders>
              <w:top w:val="nil"/>
              <w:left w:val="single" w:sz="8" w:space="0" w:color="auto"/>
              <w:bottom w:val="nil"/>
              <w:right w:val="single" w:sz="8" w:space="0" w:color="auto"/>
            </w:tcBorders>
            <w:shd w:val="clear" w:color="auto" w:fill="auto"/>
            <w:noWrap/>
            <w:vAlign w:val="center"/>
            <w:hideMark/>
          </w:tcPr>
          <w:p w14:paraId="7A6FCB5F" w14:textId="77777777" w:rsidR="003F5898" w:rsidRPr="00185426" w:rsidRDefault="003F5898" w:rsidP="003F5898">
            <w:pPr>
              <w:spacing w:after="0" w:line="240" w:lineRule="auto"/>
              <w:ind w:left="371"/>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250 – Receita de Impostos e Transferência de Impostos – Saúde - Remuneração de Depósitos Bancários</w:t>
            </w:r>
          </w:p>
        </w:tc>
        <w:tc>
          <w:tcPr>
            <w:tcW w:w="1275" w:type="dxa"/>
            <w:tcBorders>
              <w:top w:val="nil"/>
              <w:left w:val="nil"/>
              <w:bottom w:val="nil"/>
              <w:right w:val="single" w:sz="8" w:space="0" w:color="auto"/>
            </w:tcBorders>
            <w:shd w:val="clear" w:color="auto" w:fill="auto"/>
            <w:vAlign w:val="center"/>
            <w:hideMark/>
          </w:tcPr>
          <w:p w14:paraId="2DDA07EE"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ABF.B028</w:t>
            </w:r>
          </w:p>
        </w:tc>
        <w:tc>
          <w:tcPr>
            <w:tcW w:w="1560" w:type="dxa"/>
            <w:tcBorders>
              <w:top w:val="nil"/>
              <w:left w:val="nil"/>
              <w:bottom w:val="nil"/>
              <w:right w:val="single" w:sz="8" w:space="0" w:color="auto"/>
            </w:tcBorders>
            <w:shd w:val="clear" w:color="auto" w:fill="auto"/>
            <w:vAlign w:val="center"/>
            <w:hideMark/>
          </w:tcPr>
          <w:p w14:paraId="206EF839"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ABF.C028</w:t>
            </w:r>
          </w:p>
        </w:tc>
        <w:tc>
          <w:tcPr>
            <w:tcW w:w="1275" w:type="dxa"/>
            <w:tcBorders>
              <w:top w:val="nil"/>
              <w:left w:val="nil"/>
              <w:bottom w:val="nil"/>
              <w:right w:val="single" w:sz="8" w:space="0" w:color="auto"/>
            </w:tcBorders>
            <w:shd w:val="clear" w:color="auto" w:fill="auto"/>
            <w:vAlign w:val="center"/>
            <w:hideMark/>
          </w:tcPr>
          <w:p w14:paraId="5C35767A"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ABF.D028</w:t>
            </w:r>
          </w:p>
        </w:tc>
        <w:tc>
          <w:tcPr>
            <w:tcW w:w="1276" w:type="dxa"/>
            <w:tcBorders>
              <w:top w:val="nil"/>
              <w:left w:val="nil"/>
              <w:bottom w:val="nil"/>
              <w:right w:val="single" w:sz="8" w:space="0" w:color="auto"/>
            </w:tcBorders>
            <w:shd w:val="clear" w:color="auto" w:fill="auto"/>
            <w:vAlign w:val="center"/>
            <w:hideMark/>
          </w:tcPr>
          <w:p w14:paraId="0A0F0303"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ABF.E028</w:t>
            </w:r>
          </w:p>
        </w:tc>
        <w:tc>
          <w:tcPr>
            <w:tcW w:w="1701" w:type="dxa"/>
            <w:tcBorders>
              <w:top w:val="nil"/>
              <w:left w:val="nil"/>
              <w:bottom w:val="nil"/>
              <w:right w:val="single" w:sz="8" w:space="0" w:color="auto"/>
            </w:tcBorders>
            <w:shd w:val="clear" w:color="auto" w:fill="auto"/>
            <w:vAlign w:val="center"/>
            <w:hideMark/>
          </w:tcPr>
          <w:p w14:paraId="7CF331A6"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ABF.F028</w:t>
            </w:r>
          </w:p>
        </w:tc>
        <w:tc>
          <w:tcPr>
            <w:tcW w:w="1418" w:type="dxa"/>
            <w:tcBorders>
              <w:top w:val="nil"/>
              <w:left w:val="nil"/>
              <w:bottom w:val="nil"/>
              <w:right w:val="single" w:sz="8" w:space="0" w:color="auto"/>
            </w:tcBorders>
            <w:shd w:val="clear" w:color="auto" w:fill="auto"/>
            <w:vAlign w:val="center"/>
            <w:hideMark/>
          </w:tcPr>
          <w:p w14:paraId="18C4A9EA"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ABF.G028</w:t>
            </w:r>
          </w:p>
        </w:tc>
      </w:tr>
      <w:tr w:rsidR="003F5898" w:rsidRPr="00185426" w14:paraId="7468CC21" w14:textId="77777777" w:rsidTr="00080E19">
        <w:trPr>
          <w:trHeight w:val="255"/>
        </w:trPr>
        <w:tc>
          <w:tcPr>
            <w:tcW w:w="4977" w:type="dxa"/>
            <w:tcBorders>
              <w:top w:val="nil"/>
              <w:left w:val="single" w:sz="8" w:space="0" w:color="auto"/>
              <w:bottom w:val="nil"/>
              <w:right w:val="single" w:sz="8" w:space="0" w:color="auto"/>
            </w:tcBorders>
            <w:shd w:val="clear" w:color="auto" w:fill="auto"/>
            <w:noWrap/>
            <w:vAlign w:val="center"/>
          </w:tcPr>
          <w:p w14:paraId="4D26C710" w14:textId="77777777" w:rsidR="003F5898" w:rsidRPr="00185426" w:rsidRDefault="003F5898" w:rsidP="003F5898">
            <w:pPr>
              <w:spacing w:after="0" w:line="240" w:lineRule="auto"/>
              <w:ind w:left="355"/>
              <w:rPr>
                <w:rFonts w:ascii="Arial Narrow" w:eastAsia="Times New Roman" w:hAnsi="Arial Narrow" w:cs="Arial"/>
                <w:sz w:val="16"/>
                <w:szCs w:val="16"/>
                <w:lang w:eastAsia="pt-BR"/>
              </w:rPr>
            </w:pPr>
            <w:r>
              <w:rPr>
                <w:rFonts w:ascii="Arial Narrow" w:eastAsia="Times New Roman" w:hAnsi="Arial Narrow" w:cs="Arial"/>
                <w:sz w:val="16"/>
                <w:szCs w:val="16"/>
                <w:lang w:eastAsia="pt-BR"/>
              </w:rPr>
              <w:t>212 – Transf. Fundo a Fundo Recursos</w:t>
            </w:r>
            <w:r w:rsidRPr="00185426">
              <w:rPr>
                <w:rFonts w:ascii="Arial Narrow" w:eastAsia="Times New Roman" w:hAnsi="Arial Narrow" w:cs="Arial"/>
                <w:sz w:val="16"/>
                <w:szCs w:val="16"/>
                <w:lang w:eastAsia="pt-BR"/>
              </w:rPr>
              <w:t xml:space="preserve"> do SUS provenientes do</w:t>
            </w:r>
            <w:r>
              <w:rPr>
                <w:rFonts w:ascii="Arial Narrow" w:eastAsia="Times New Roman" w:hAnsi="Arial Narrow" w:cs="Arial"/>
                <w:sz w:val="16"/>
                <w:szCs w:val="16"/>
                <w:lang w:eastAsia="pt-BR"/>
              </w:rPr>
              <w:t>s</w:t>
            </w:r>
            <w:r w:rsidRPr="00185426">
              <w:rPr>
                <w:rFonts w:ascii="Arial Narrow" w:eastAsia="Times New Roman" w:hAnsi="Arial Narrow" w:cs="Arial"/>
                <w:sz w:val="16"/>
                <w:szCs w:val="16"/>
                <w:lang w:eastAsia="pt-BR"/>
              </w:rPr>
              <w:t xml:space="preserve"> Governo</w:t>
            </w:r>
            <w:r>
              <w:rPr>
                <w:rFonts w:ascii="Arial Narrow" w:eastAsia="Times New Roman" w:hAnsi="Arial Narrow" w:cs="Arial"/>
                <w:sz w:val="16"/>
                <w:szCs w:val="16"/>
                <w:lang w:eastAsia="pt-BR"/>
              </w:rPr>
              <w:t>s</w:t>
            </w:r>
            <w:r w:rsidRPr="00185426">
              <w:rPr>
                <w:rFonts w:ascii="Arial Narrow" w:eastAsia="Times New Roman" w:hAnsi="Arial Narrow" w:cs="Arial"/>
                <w:sz w:val="16"/>
                <w:szCs w:val="16"/>
                <w:lang w:eastAsia="pt-BR"/>
              </w:rPr>
              <w:t xml:space="preserve"> </w:t>
            </w:r>
            <w:r>
              <w:rPr>
                <w:rFonts w:ascii="Arial Narrow" w:eastAsia="Times New Roman" w:hAnsi="Arial Narrow" w:cs="Arial"/>
                <w:sz w:val="16"/>
                <w:szCs w:val="16"/>
                <w:lang w:eastAsia="pt-BR"/>
              </w:rPr>
              <w:t>Municipais</w:t>
            </w:r>
          </w:p>
        </w:tc>
        <w:tc>
          <w:tcPr>
            <w:tcW w:w="1275" w:type="dxa"/>
            <w:tcBorders>
              <w:top w:val="nil"/>
              <w:left w:val="nil"/>
              <w:bottom w:val="nil"/>
              <w:right w:val="single" w:sz="8" w:space="0" w:color="auto"/>
            </w:tcBorders>
            <w:shd w:val="clear" w:color="auto" w:fill="auto"/>
            <w:vAlign w:val="center"/>
          </w:tcPr>
          <w:p w14:paraId="63AF8F4C"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ABF.B080</w:t>
            </w:r>
          </w:p>
        </w:tc>
        <w:tc>
          <w:tcPr>
            <w:tcW w:w="1560" w:type="dxa"/>
            <w:tcBorders>
              <w:top w:val="nil"/>
              <w:left w:val="nil"/>
              <w:bottom w:val="nil"/>
              <w:right w:val="single" w:sz="8" w:space="0" w:color="auto"/>
            </w:tcBorders>
            <w:shd w:val="clear" w:color="auto" w:fill="auto"/>
            <w:vAlign w:val="center"/>
          </w:tcPr>
          <w:p w14:paraId="61193252" w14:textId="77777777" w:rsidR="003F5898" w:rsidRPr="00185426" w:rsidRDefault="003F5898" w:rsidP="003F5898">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ABF.C080</w:t>
            </w:r>
          </w:p>
        </w:tc>
        <w:tc>
          <w:tcPr>
            <w:tcW w:w="1275" w:type="dxa"/>
            <w:tcBorders>
              <w:top w:val="nil"/>
              <w:left w:val="nil"/>
              <w:bottom w:val="nil"/>
              <w:right w:val="single" w:sz="8" w:space="0" w:color="auto"/>
            </w:tcBorders>
            <w:shd w:val="clear" w:color="auto" w:fill="auto"/>
            <w:vAlign w:val="center"/>
          </w:tcPr>
          <w:p w14:paraId="1EAC5A38" w14:textId="77777777" w:rsidR="003F5898" w:rsidRPr="00185426" w:rsidRDefault="003F5898" w:rsidP="003F5898">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ABF.D080</w:t>
            </w:r>
          </w:p>
        </w:tc>
        <w:tc>
          <w:tcPr>
            <w:tcW w:w="1276" w:type="dxa"/>
            <w:tcBorders>
              <w:top w:val="nil"/>
              <w:left w:val="nil"/>
              <w:bottom w:val="nil"/>
              <w:right w:val="single" w:sz="8" w:space="0" w:color="auto"/>
            </w:tcBorders>
            <w:shd w:val="clear" w:color="auto" w:fill="auto"/>
            <w:vAlign w:val="center"/>
          </w:tcPr>
          <w:p w14:paraId="550DD56F" w14:textId="77777777" w:rsidR="003F5898" w:rsidRPr="00185426" w:rsidRDefault="003F5898" w:rsidP="003F5898">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ABF.E080</w:t>
            </w:r>
          </w:p>
        </w:tc>
        <w:tc>
          <w:tcPr>
            <w:tcW w:w="1701" w:type="dxa"/>
            <w:tcBorders>
              <w:top w:val="nil"/>
              <w:left w:val="nil"/>
              <w:bottom w:val="nil"/>
              <w:right w:val="single" w:sz="8" w:space="0" w:color="auto"/>
            </w:tcBorders>
            <w:shd w:val="clear" w:color="auto" w:fill="auto"/>
            <w:vAlign w:val="center"/>
          </w:tcPr>
          <w:p w14:paraId="0EC1DAEB" w14:textId="77777777" w:rsidR="003F5898" w:rsidRPr="00185426" w:rsidRDefault="003F5898" w:rsidP="003F5898">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ABF.F080</w:t>
            </w:r>
          </w:p>
        </w:tc>
        <w:tc>
          <w:tcPr>
            <w:tcW w:w="1418" w:type="dxa"/>
            <w:tcBorders>
              <w:top w:val="nil"/>
              <w:left w:val="nil"/>
              <w:bottom w:val="nil"/>
              <w:right w:val="single" w:sz="8" w:space="0" w:color="auto"/>
            </w:tcBorders>
            <w:shd w:val="clear" w:color="auto" w:fill="auto"/>
            <w:vAlign w:val="center"/>
          </w:tcPr>
          <w:p w14:paraId="3DF829CF" w14:textId="77777777" w:rsidR="003F5898" w:rsidRPr="00185426" w:rsidRDefault="003F5898" w:rsidP="003F5898">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ABF.G080</w:t>
            </w:r>
          </w:p>
        </w:tc>
      </w:tr>
      <w:tr w:rsidR="003F5898" w:rsidRPr="00185426" w14:paraId="5AD79DFC" w14:textId="77777777" w:rsidTr="00080E19">
        <w:trPr>
          <w:trHeight w:val="255"/>
        </w:trPr>
        <w:tc>
          <w:tcPr>
            <w:tcW w:w="4977" w:type="dxa"/>
            <w:tcBorders>
              <w:top w:val="nil"/>
              <w:left w:val="single" w:sz="8" w:space="0" w:color="auto"/>
              <w:bottom w:val="nil"/>
              <w:right w:val="single" w:sz="8" w:space="0" w:color="auto"/>
            </w:tcBorders>
            <w:shd w:val="clear" w:color="auto" w:fill="auto"/>
            <w:noWrap/>
            <w:vAlign w:val="center"/>
          </w:tcPr>
          <w:p w14:paraId="736BF756" w14:textId="77777777" w:rsidR="003F5898" w:rsidRPr="00185426" w:rsidRDefault="003F5898" w:rsidP="003F5898">
            <w:pPr>
              <w:spacing w:after="0" w:line="240" w:lineRule="auto"/>
              <w:ind w:left="355"/>
              <w:rPr>
                <w:rFonts w:ascii="Arial Narrow" w:eastAsia="Times New Roman" w:hAnsi="Arial Narrow" w:cs="Arial"/>
                <w:sz w:val="16"/>
                <w:szCs w:val="16"/>
                <w:lang w:eastAsia="pt-BR"/>
              </w:rPr>
            </w:pPr>
            <w:r>
              <w:rPr>
                <w:rFonts w:ascii="Arial Narrow" w:eastAsia="Times New Roman" w:hAnsi="Arial Narrow" w:cs="Arial"/>
                <w:sz w:val="16"/>
                <w:szCs w:val="16"/>
                <w:lang w:eastAsia="pt-BR"/>
              </w:rPr>
              <w:t>213 – Transf. Fundo a Fundo Recursos</w:t>
            </w:r>
            <w:r w:rsidRPr="00185426">
              <w:rPr>
                <w:rFonts w:ascii="Arial Narrow" w:eastAsia="Times New Roman" w:hAnsi="Arial Narrow" w:cs="Arial"/>
                <w:sz w:val="16"/>
                <w:szCs w:val="16"/>
                <w:lang w:eastAsia="pt-BR"/>
              </w:rPr>
              <w:t xml:space="preserve"> do SUS provenientes do Governo </w:t>
            </w:r>
            <w:r>
              <w:rPr>
                <w:rFonts w:ascii="Arial Narrow" w:eastAsia="Times New Roman" w:hAnsi="Arial Narrow" w:cs="Arial"/>
                <w:sz w:val="16"/>
                <w:szCs w:val="16"/>
                <w:lang w:eastAsia="pt-BR"/>
              </w:rPr>
              <w:t>Estadual</w:t>
            </w:r>
          </w:p>
        </w:tc>
        <w:tc>
          <w:tcPr>
            <w:tcW w:w="1275" w:type="dxa"/>
            <w:tcBorders>
              <w:top w:val="nil"/>
              <w:left w:val="nil"/>
              <w:bottom w:val="nil"/>
              <w:right w:val="single" w:sz="8" w:space="0" w:color="auto"/>
            </w:tcBorders>
            <w:shd w:val="clear" w:color="auto" w:fill="auto"/>
            <w:vAlign w:val="center"/>
          </w:tcPr>
          <w:p w14:paraId="0FFC8712" w14:textId="77777777" w:rsidR="003F5898" w:rsidRPr="00185426" w:rsidRDefault="003F5898" w:rsidP="003F5898">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ABF.B081</w:t>
            </w:r>
          </w:p>
        </w:tc>
        <w:tc>
          <w:tcPr>
            <w:tcW w:w="1560" w:type="dxa"/>
            <w:tcBorders>
              <w:top w:val="nil"/>
              <w:left w:val="nil"/>
              <w:bottom w:val="nil"/>
              <w:right w:val="single" w:sz="8" w:space="0" w:color="auto"/>
            </w:tcBorders>
            <w:shd w:val="clear" w:color="auto" w:fill="auto"/>
            <w:vAlign w:val="center"/>
          </w:tcPr>
          <w:p w14:paraId="65D67582" w14:textId="77777777" w:rsidR="003F5898" w:rsidRPr="00185426" w:rsidRDefault="003F5898" w:rsidP="003F5898">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ABF.C081</w:t>
            </w:r>
          </w:p>
        </w:tc>
        <w:tc>
          <w:tcPr>
            <w:tcW w:w="1275" w:type="dxa"/>
            <w:tcBorders>
              <w:top w:val="nil"/>
              <w:left w:val="nil"/>
              <w:bottom w:val="nil"/>
              <w:right w:val="single" w:sz="8" w:space="0" w:color="auto"/>
            </w:tcBorders>
            <w:shd w:val="clear" w:color="auto" w:fill="auto"/>
            <w:vAlign w:val="center"/>
          </w:tcPr>
          <w:p w14:paraId="6F66F05D" w14:textId="77777777" w:rsidR="003F5898" w:rsidRPr="00185426" w:rsidRDefault="003F5898" w:rsidP="003F5898">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ABF.D081</w:t>
            </w:r>
          </w:p>
        </w:tc>
        <w:tc>
          <w:tcPr>
            <w:tcW w:w="1276" w:type="dxa"/>
            <w:tcBorders>
              <w:top w:val="nil"/>
              <w:left w:val="nil"/>
              <w:bottom w:val="nil"/>
              <w:right w:val="single" w:sz="8" w:space="0" w:color="auto"/>
            </w:tcBorders>
            <w:shd w:val="clear" w:color="auto" w:fill="auto"/>
            <w:vAlign w:val="center"/>
          </w:tcPr>
          <w:p w14:paraId="5B200E74" w14:textId="77777777" w:rsidR="003F5898" w:rsidRPr="00185426" w:rsidRDefault="003F5898" w:rsidP="003F5898">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ABF.E081</w:t>
            </w:r>
          </w:p>
        </w:tc>
        <w:tc>
          <w:tcPr>
            <w:tcW w:w="1701" w:type="dxa"/>
            <w:tcBorders>
              <w:top w:val="nil"/>
              <w:left w:val="nil"/>
              <w:bottom w:val="nil"/>
              <w:right w:val="single" w:sz="8" w:space="0" w:color="auto"/>
            </w:tcBorders>
            <w:shd w:val="clear" w:color="auto" w:fill="auto"/>
            <w:vAlign w:val="center"/>
          </w:tcPr>
          <w:p w14:paraId="77D75CEB" w14:textId="77777777" w:rsidR="003F5898" w:rsidRPr="00185426" w:rsidRDefault="003F5898" w:rsidP="003F5898">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ABF.F081</w:t>
            </w:r>
          </w:p>
        </w:tc>
        <w:tc>
          <w:tcPr>
            <w:tcW w:w="1418" w:type="dxa"/>
            <w:tcBorders>
              <w:top w:val="nil"/>
              <w:left w:val="nil"/>
              <w:bottom w:val="nil"/>
              <w:right w:val="single" w:sz="8" w:space="0" w:color="auto"/>
            </w:tcBorders>
            <w:shd w:val="clear" w:color="auto" w:fill="auto"/>
            <w:vAlign w:val="center"/>
          </w:tcPr>
          <w:p w14:paraId="1C1488FA" w14:textId="77777777" w:rsidR="003F5898" w:rsidRPr="00185426" w:rsidRDefault="003F5898" w:rsidP="003F5898">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ABF.G081</w:t>
            </w:r>
          </w:p>
        </w:tc>
      </w:tr>
      <w:tr w:rsidR="003F5898" w:rsidRPr="00185426" w14:paraId="5C15EEAE" w14:textId="77777777" w:rsidTr="00080E19">
        <w:trPr>
          <w:trHeight w:val="255"/>
        </w:trPr>
        <w:tc>
          <w:tcPr>
            <w:tcW w:w="4977" w:type="dxa"/>
            <w:tcBorders>
              <w:top w:val="nil"/>
              <w:left w:val="single" w:sz="8" w:space="0" w:color="auto"/>
              <w:bottom w:val="nil"/>
              <w:right w:val="single" w:sz="8" w:space="0" w:color="auto"/>
            </w:tcBorders>
            <w:shd w:val="clear" w:color="auto" w:fill="auto"/>
            <w:noWrap/>
            <w:vAlign w:val="center"/>
            <w:hideMark/>
          </w:tcPr>
          <w:p w14:paraId="1CD4AB1C" w14:textId="77777777" w:rsidR="003F5898" w:rsidRPr="00185426" w:rsidRDefault="003F5898" w:rsidP="003F5898">
            <w:pPr>
              <w:spacing w:after="0" w:line="240" w:lineRule="auto"/>
              <w:ind w:firstLineChars="231" w:firstLine="370"/>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220 – Transferências de Convênios vinculados à Saúde</w:t>
            </w:r>
          </w:p>
        </w:tc>
        <w:tc>
          <w:tcPr>
            <w:tcW w:w="1275" w:type="dxa"/>
            <w:tcBorders>
              <w:top w:val="nil"/>
              <w:left w:val="nil"/>
              <w:bottom w:val="nil"/>
              <w:right w:val="single" w:sz="8" w:space="0" w:color="auto"/>
            </w:tcBorders>
            <w:shd w:val="clear" w:color="auto" w:fill="auto"/>
            <w:vAlign w:val="center"/>
            <w:hideMark/>
          </w:tcPr>
          <w:p w14:paraId="25B50D7E"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ABF.B030</w:t>
            </w:r>
          </w:p>
        </w:tc>
        <w:tc>
          <w:tcPr>
            <w:tcW w:w="1560" w:type="dxa"/>
            <w:tcBorders>
              <w:top w:val="nil"/>
              <w:left w:val="nil"/>
              <w:bottom w:val="nil"/>
              <w:right w:val="single" w:sz="8" w:space="0" w:color="auto"/>
            </w:tcBorders>
            <w:shd w:val="clear" w:color="auto" w:fill="auto"/>
            <w:vAlign w:val="center"/>
            <w:hideMark/>
          </w:tcPr>
          <w:p w14:paraId="2DD356B8"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ABF.C030</w:t>
            </w:r>
          </w:p>
        </w:tc>
        <w:tc>
          <w:tcPr>
            <w:tcW w:w="1275" w:type="dxa"/>
            <w:tcBorders>
              <w:top w:val="nil"/>
              <w:left w:val="nil"/>
              <w:bottom w:val="nil"/>
              <w:right w:val="single" w:sz="8" w:space="0" w:color="auto"/>
            </w:tcBorders>
            <w:shd w:val="clear" w:color="auto" w:fill="auto"/>
            <w:vAlign w:val="center"/>
            <w:hideMark/>
          </w:tcPr>
          <w:p w14:paraId="1FB2904F"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ABF.D030</w:t>
            </w:r>
          </w:p>
        </w:tc>
        <w:tc>
          <w:tcPr>
            <w:tcW w:w="1276" w:type="dxa"/>
            <w:tcBorders>
              <w:top w:val="nil"/>
              <w:left w:val="nil"/>
              <w:bottom w:val="nil"/>
              <w:right w:val="single" w:sz="8" w:space="0" w:color="auto"/>
            </w:tcBorders>
            <w:shd w:val="clear" w:color="auto" w:fill="auto"/>
            <w:vAlign w:val="center"/>
            <w:hideMark/>
          </w:tcPr>
          <w:p w14:paraId="2056FAC5"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ABF.E030</w:t>
            </w:r>
          </w:p>
        </w:tc>
        <w:tc>
          <w:tcPr>
            <w:tcW w:w="1701" w:type="dxa"/>
            <w:tcBorders>
              <w:top w:val="nil"/>
              <w:left w:val="nil"/>
              <w:bottom w:val="nil"/>
              <w:right w:val="single" w:sz="8" w:space="0" w:color="auto"/>
            </w:tcBorders>
            <w:shd w:val="clear" w:color="auto" w:fill="auto"/>
            <w:vAlign w:val="center"/>
            <w:hideMark/>
          </w:tcPr>
          <w:p w14:paraId="43DF29C3"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ABF.F030</w:t>
            </w:r>
          </w:p>
        </w:tc>
        <w:tc>
          <w:tcPr>
            <w:tcW w:w="1418" w:type="dxa"/>
            <w:tcBorders>
              <w:top w:val="nil"/>
              <w:left w:val="nil"/>
              <w:bottom w:val="nil"/>
              <w:right w:val="single" w:sz="8" w:space="0" w:color="auto"/>
            </w:tcBorders>
            <w:shd w:val="clear" w:color="auto" w:fill="auto"/>
            <w:vAlign w:val="center"/>
            <w:hideMark/>
          </w:tcPr>
          <w:p w14:paraId="635201A4"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ABF.G030</w:t>
            </w:r>
          </w:p>
        </w:tc>
      </w:tr>
      <w:tr w:rsidR="003F5898" w:rsidRPr="00185426" w14:paraId="1E5ECFDE" w14:textId="77777777" w:rsidTr="00080E19">
        <w:trPr>
          <w:trHeight w:val="255"/>
        </w:trPr>
        <w:tc>
          <w:tcPr>
            <w:tcW w:w="4977" w:type="dxa"/>
            <w:tcBorders>
              <w:top w:val="nil"/>
              <w:left w:val="single" w:sz="8" w:space="0" w:color="auto"/>
              <w:bottom w:val="nil"/>
              <w:right w:val="single" w:sz="8" w:space="0" w:color="auto"/>
            </w:tcBorders>
            <w:shd w:val="clear" w:color="auto" w:fill="auto"/>
            <w:noWrap/>
            <w:vAlign w:val="center"/>
            <w:hideMark/>
          </w:tcPr>
          <w:p w14:paraId="50727DF3" w14:textId="77777777" w:rsidR="003F5898" w:rsidRPr="00185426" w:rsidRDefault="003F5898" w:rsidP="003F5898">
            <w:pPr>
              <w:spacing w:after="0" w:line="240" w:lineRule="auto"/>
              <w:ind w:firstLineChars="231" w:firstLine="370"/>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230 - Operações de Crédito vinculadas à Saúde</w:t>
            </w:r>
          </w:p>
        </w:tc>
        <w:tc>
          <w:tcPr>
            <w:tcW w:w="1275" w:type="dxa"/>
            <w:tcBorders>
              <w:top w:val="nil"/>
              <w:left w:val="nil"/>
              <w:bottom w:val="nil"/>
              <w:right w:val="single" w:sz="8" w:space="0" w:color="auto"/>
            </w:tcBorders>
            <w:shd w:val="clear" w:color="auto" w:fill="auto"/>
            <w:vAlign w:val="center"/>
            <w:hideMark/>
          </w:tcPr>
          <w:p w14:paraId="5356ACF7"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ABF.B031</w:t>
            </w:r>
          </w:p>
        </w:tc>
        <w:tc>
          <w:tcPr>
            <w:tcW w:w="1560" w:type="dxa"/>
            <w:tcBorders>
              <w:top w:val="nil"/>
              <w:left w:val="nil"/>
              <w:bottom w:val="nil"/>
              <w:right w:val="single" w:sz="8" w:space="0" w:color="auto"/>
            </w:tcBorders>
            <w:shd w:val="clear" w:color="auto" w:fill="auto"/>
            <w:vAlign w:val="center"/>
            <w:hideMark/>
          </w:tcPr>
          <w:p w14:paraId="3F3669D4"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ABF.C031</w:t>
            </w:r>
          </w:p>
        </w:tc>
        <w:tc>
          <w:tcPr>
            <w:tcW w:w="1275" w:type="dxa"/>
            <w:tcBorders>
              <w:top w:val="nil"/>
              <w:left w:val="nil"/>
              <w:bottom w:val="nil"/>
              <w:right w:val="single" w:sz="8" w:space="0" w:color="auto"/>
            </w:tcBorders>
            <w:shd w:val="clear" w:color="auto" w:fill="auto"/>
            <w:vAlign w:val="center"/>
            <w:hideMark/>
          </w:tcPr>
          <w:p w14:paraId="2586CBA6"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ABF.D031</w:t>
            </w:r>
          </w:p>
        </w:tc>
        <w:tc>
          <w:tcPr>
            <w:tcW w:w="1276" w:type="dxa"/>
            <w:tcBorders>
              <w:top w:val="nil"/>
              <w:left w:val="nil"/>
              <w:bottom w:val="nil"/>
              <w:right w:val="single" w:sz="8" w:space="0" w:color="auto"/>
            </w:tcBorders>
            <w:shd w:val="clear" w:color="auto" w:fill="auto"/>
            <w:vAlign w:val="center"/>
            <w:hideMark/>
          </w:tcPr>
          <w:p w14:paraId="3F3F6CC8"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ABF.E031</w:t>
            </w:r>
          </w:p>
        </w:tc>
        <w:tc>
          <w:tcPr>
            <w:tcW w:w="1701" w:type="dxa"/>
            <w:tcBorders>
              <w:top w:val="nil"/>
              <w:left w:val="nil"/>
              <w:bottom w:val="nil"/>
              <w:right w:val="single" w:sz="8" w:space="0" w:color="auto"/>
            </w:tcBorders>
            <w:shd w:val="clear" w:color="auto" w:fill="auto"/>
            <w:vAlign w:val="center"/>
            <w:hideMark/>
          </w:tcPr>
          <w:p w14:paraId="7F3D0773"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ABF.F031</w:t>
            </w:r>
          </w:p>
        </w:tc>
        <w:tc>
          <w:tcPr>
            <w:tcW w:w="1418" w:type="dxa"/>
            <w:tcBorders>
              <w:top w:val="nil"/>
              <w:left w:val="nil"/>
              <w:bottom w:val="nil"/>
              <w:right w:val="single" w:sz="8" w:space="0" w:color="auto"/>
            </w:tcBorders>
            <w:shd w:val="clear" w:color="auto" w:fill="auto"/>
            <w:vAlign w:val="center"/>
            <w:hideMark/>
          </w:tcPr>
          <w:p w14:paraId="6353BBF7"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ABF.G031</w:t>
            </w:r>
          </w:p>
        </w:tc>
      </w:tr>
      <w:tr w:rsidR="003F5898" w:rsidRPr="00185426" w14:paraId="3F6F17DC" w14:textId="77777777" w:rsidTr="00080E19">
        <w:trPr>
          <w:trHeight w:val="255"/>
        </w:trPr>
        <w:tc>
          <w:tcPr>
            <w:tcW w:w="4977" w:type="dxa"/>
            <w:tcBorders>
              <w:top w:val="nil"/>
              <w:left w:val="single" w:sz="8" w:space="0" w:color="auto"/>
              <w:bottom w:val="nil"/>
              <w:right w:val="single" w:sz="8" w:space="0" w:color="auto"/>
            </w:tcBorders>
            <w:shd w:val="clear" w:color="auto" w:fill="auto"/>
            <w:noWrap/>
            <w:vAlign w:val="center"/>
            <w:hideMark/>
          </w:tcPr>
          <w:p w14:paraId="36594905" w14:textId="77777777" w:rsidR="003F5898" w:rsidRPr="00185426" w:rsidRDefault="003F5898" w:rsidP="003F5898">
            <w:pPr>
              <w:spacing w:after="0" w:line="240" w:lineRule="auto"/>
              <w:ind w:firstLineChars="231" w:firstLine="370"/>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290 – Outros Recursos vinculados à Saúde</w:t>
            </w:r>
          </w:p>
        </w:tc>
        <w:tc>
          <w:tcPr>
            <w:tcW w:w="1275" w:type="dxa"/>
            <w:tcBorders>
              <w:top w:val="nil"/>
              <w:left w:val="nil"/>
              <w:bottom w:val="nil"/>
              <w:right w:val="single" w:sz="8" w:space="0" w:color="auto"/>
            </w:tcBorders>
            <w:shd w:val="clear" w:color="auto" w:fill="auto"/>
            <w:vAlign w:val="center"/>
            <w:hideMark/>
          </w:tcPr>
          <w:p w14:paraId="1A5328B3"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ABF.B032</w:t>
            </w:r>
          </w:p>
        </w:tc>
        <w:tc>
          <w:tcPr>
            <w:tcW w:w="1560" w:type="dxa"/>
            <w:tcBorders>
              <w:top w:val="nil"/>
              <w:left w:val="nil"/>
              <w:bottom w:val="nil"/>
              <w:right w:val="single" w:sz="8" w:space="0" w:color="auto"/>
            </w:tcBorders>
            <w:shd w:val="clear" w:color="auto" w:fill="auto"/>
            <w:vAlign w:val="center"/>
            <w:hideMark/>
          </w:tcPr>
          <w:p w14:paraId="034D1361"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ABF.C032</w:t>
            </w:r>
          </w:p>
        </w:tc>
        <w:tc>
          <w:tcPr>
            <w:tcW w:w="1275" w:type="dxa"/>
            <w:tcBorders>
              <w:top w:val="nil"/>
              <w:left w:val="nil"/>
              <w:bottom w:val="nil"/>
              <w:right w:val="single" w:sz="8" w:space="0" w:color="auto"/>
            </w:tcBorders>
            <w:shd w:val="clear" w:color="auto" w:fill="auto"/>
            <w:vAlign w:val="center"/>
            <w:hideMark/>
          </w:tcPr>
          <w:p w14:paraId="3EED1421"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ABF.D032</w:t>
            </w:r>
          </w:p>
        </w:tc>
        <w:tc>
          <w:tcPr>
            <w:tcW w:w="1276" w:type="dxa"/>
            <w:tcBorders>
              <w:top w:val="nil"/>
              <w:left w:val="nil"/>
              <w:bottom w:val="nil"/>
              <w:right w:val="single" w:sz="8" w:space="0" w:color="auto"/>
            </w:tcBorders>
            <w:shd w:val="clear" w:color="auto" w:fill="auto"/>
            <w:vAlign w:val="center"/>
            <w:hideMark/>
          </w:tcPr>
          <w:p w14:paraId="282A100E"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ABF.E032</w:t>
            </w:r>
          </w:p>
        </w:tc>
        <w:tc>
          <w:tcPr>
            <w:tcW w:w="1701" w:type="dxa"/>
            <w:tcBorders>
              <w:top w:val="nil"/>
              <w:left w:val="nil"/>
              <w:bottom w:val="nil"/>
              <w:right w:val="single" w:sz="8" w:space="0" w:color="auto"/>
            </w:tcBorders>
            <w:shd w:val="clear" w:color="auto" w:fill="auto"/>
            <w:vAlign w:val="center"/>
            <w:hideMark/>
          </w:tcPr>
          <w:p w14:paraId="70B6C04D"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ABF.F032</w:t>
            </w:r>
          </w:p>
        </w:tc>
        <w:tc>
          <w:tcPr>
            <w:tcW w:w="1418" w:type="dxa"/>
            <w:tcBorders>
              <w:top w:val="nil"/>
              <w:left w:val="nil"/>
              <w:bottom w:val="nil"/>
              <w:right w:val="single" w:sz="8" w:space="0" w:color="auto"/>
            </w:tcBorders>
            <w:shd w:val="clear" w:color="auto" w:fill="auto"/>
            <w:vAlign w:val="center"/>
            <w:hideMark/>
          </w:tcPr>
          <w:p w14:paraId="2DFC344C"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ABF.G032</w:t>
            </w:r>
          </w:p>
        </w:tc>
      </w:tr>
      <w:tr w:rsidR="003F5898" w:rsidRPr="00185426" w14:paraId="533FA347" w14:textId="77777777" w:rsidTr="00080E19">
        <w:trPr>
          <w:trHeight w:val="255"/>
        </w:trPr>
        <w:tc>
          <w:tcPr>
            <w:tcW w:w="4977" w:type="dxa"/>
            <w:tcBorders>
              <w:top w:val="nil"/>
              <w:left w:val="single" w:sz="8" w:space="0" w:color="auto"/>
              <w:bottom w:val="nil"/>
              <w:right w:val="single" w:sz="8" w:space="0" w:color="auto"/>
            </w:tcBorders>
            <w:shd w:val="clear" w:color="auto" w:fill="auto"/>
            <w:noWrap/>
            <w:vAlign w:val="center"/>
            <w:hideMark/>
          </w:tcPr>
          <w:p w14:paraId="23F31B01" w14:textId="77777777" w:rsidR="003F5898" w:rsidRPr="00185426" w:rsidRDefault="003F5898" w:rsidP="003F5898">
            <w:pPr>
              <w:spacing w:after="0" w:line="240" w:lineRule="auto"/>
              <w:ind w:firstLineChars="100" w:firstLine="161"/>
              <w:rPr>
                <w:rFonts w:ascii="Arial Narrow" w:eastAsia="Times New Roman" w:hAnsi="Arial Narrow" w:cs="Arial"/>
                <w:b/>
                <w:bCs/>
                <w:sz w:val="16"/>
                <w:szCs w:val="16"/>
                <w:lang w:eastAsia="pt-BR"/>
              </w:rPr>
            </w:pPr>
            <w:r w:rsidRPr="00185426">
              <w:rPr>
                <w:rFonts w:ascii="Arial Narrow" w:eastAsia="Times New Roman" w:hAnsi="Arial Narrow" w:cs="Arial"/>
                <w:b/>
                <w:bCs/>
                <w:sz w:val="16"/>
                <w:szCs w:val="16"/>
                <w:lang w:eastAsia="pt-BR"/>
              </w:rPr>
              <w:lastRenderedPageBreak/>
              <w:t xml:space="preserve">  Recursos vinculados à Previdência Social - RPPS</w:t>
            </w:r>
          </w:p>
        </w:tc>
        <w:tc>
          <w:tcPr>
            <w:tcW w:w="1275" w:type="dxa"/>
            <w:tcBorders>
              <w:top w:val="nil"/>
              <w:left w:val="nil"/>
              <w:bottom w:val="nil"/>
              <w:right w:val="single" w:sz="8" w:space="0" w:color="auto"/>
            </w:tcBorders>
            <w:shd w:val="clear" w:color="auto" w:fill="auto"/>
            <w:vAlign w:val="center"/>
            <w:hideMark/>
          </w:tcPr>
          <w:p w14:paraId="405FC52A" w14:textId="77777777" w:rsidR="003F5898" w:rsidRPr="00185426" w:rsidRDefault="003F5898" w:rsidP="003F5898">
            <w:pPr>
              <w:spacing w:after="0" w:line="240" w:lineRule="auto"/>
              <w:jc w:val="center"/>
              <w:rPr>
                <w:rFonts w:ascii="Arial Narrow" w:eastAsia="Times New Roman" w:hAnsi="Arial Narrow" w:cs="Arial"/>
                <w:b/>
                <w:bCs/>
                <w:sz w:val="16"/>
                <w:szCs w:val="16"/>
                <w:lang w:eastAsia="pt-BR"/>
              </w:rPr>
            </w:pPr>
            <w:r w:rsidRPr="00185426">
              <w:rPr>
                <w:rFonts w:ascii="Arial Narrow" w:eastAsia="Times New Roman" w:hAnsi="Arial Narrow" w:cs="Arial"/>
                <w:b/>
                <w:bCs/>
                <w:sz w:val="16"/>
                <w:szCs w:val="16"/>
                <w:lang w:eastAsia="pt-BR"/>
              </w:rPr>
              <w:t>ABF.B033</w:t>
            </w:r>
          </w:p>
        </w:tc>
        <w:tc>
          <w:tcPr>
            <w:tcW w:w="1560" w:type="dxa"/>
            <w:tcBorders>
              <w:top w:val="nil"/>
              <w:left w:val="nil"/>
              <w:bottom w:val="nil"/>
              <w:right w:val="single" w:sz="8" w:space="0" w:color="auto"/>
            </w:tcBorders>
            <w:shd w:val="clear" w:color="auto" w:fill="auto"/>
            <w:vAlign w:val="center"/>
            <w:hideMark/>
          </w:tcPr>
          <w:p w14:paraId="351BA0E5" w14:textId="77777777" w:rsidR="003F5898" w:rsidRPr="00185426" w:rsidRDefault="003F5898" w:rsidP="003F5898">
            <w:pPr>
              <w:spacing w:after="0" w:line="240" w:lineRule="auto"/>
              <w:jc w:val="center"/>
              <w:rPr>
                <w:rFonts w:ascii="Arial Narrow" w:eastAsia="Times New Roman" w:hAnsi="Arial Narrow" w:cs="Arial"/>
                <w:b/>
                <w:bCs/>
                <w:sz w:val="16"/>
                <w:szCs w:val="16"/>
                <w:lang w:eastAsia="pt-BR"/>
              </w:rPr>
            </w:pPr>
            <w:r w:rsidRPr="00185426">
              <w:rPr>
                <w:rFonts w:ascii="Arial Narrow" w:eastAsia="Times New Roman" w:hAnsi="Arial Narrow" w:cs="Arial"/>
                <w:b/>
                <w:bCs/>
                <w:sz w:val="16"/>
                <w:szCs w:val="16"/>
                <w:lang w:eastAsia="pt-BR"/>
              </w:rPr>
              <w:t>ABF.C033</w:t>
            </w:r>
          </w:p>
        </w:tc>
        <w:tc>
          <w:tcPr>
            <w:tcW w:w="1275" w:type="dxa"/>
            <w:tcBorders>
              <w:top w:val="nil"/>
              <w:left w:val="nil"/>
              <w:bottom w:val="nil"/>
              <w:right w:val="single" w:sz="8" w:space="0" w:color="auto"/>
            </w:tcBorders>
            <w:shd w:val="clear" w:color="auto" w:fill="auto"/>
            <w:vAlign w:val="center"/>
            <w:hideMark/>
          </w:tcPr>
          <w:p w14:paraId="7FF83359" w14:textId="77777777" w:rsidR="003F5898" w:rsidRPr="00185426" w:rsidRDefault="003F5898" w:rsidP="003F5898">
            <w:pPr>
              <w:spacing w:after="0" w:line="240" w:lineRule="auto"/>
              <w:jc w:val="center"/>
              <w:rPr>
                <w:rFonts w:ascii="Arial Narrow" w:eastAsia="Times New Roman" w:hAnsi="Arial Narrow" w:cs="Arial"/>
                <w:b/>
                <w:bCs/>
                <w:sz w:val="16"/>
                <w:szCs w:val="16"/>
                <w:lang w:eastAsia="pt-BR"/>
              </w:rPr>
            </w:pPr>
            <w:r w:rsidRPr="00185426">
              <w:rPr>
                <w:rFonts w:ascii="Arial Narrow" w:eastAsia="Times New Roman" w:hAnsi="Arial Narrow" w:cs="Arial"/>
                <w:b/>
                <w:bCs/>
                <w:sz w:val="16"/>
                <w:szCs w:val="16"/>
                <w:lang w:eastAsia="pt-BR"/>
              </w:rPr>
              <w:t>ABF.D033</w:t>
            </w:r>
          </w:p>
        </w:tc>
        <w:tc>
          <w:tcPr>
            <w:tcW w:w="1276" w:type="dxa"/>
            <w:tcBorders>
              <w:top w:val="nil"/>
              <w:left w:val="nil"/>
              <w:bottom w:val="nil"/>
              <w:right w:val="single" w:sz="8" w:space="0" w:color="auto"/>
            </w:tcBorders>
            <w:shd w:val="clear" w:color="auto" w:fill="auto"/>
            <w:vAlign w:val="center"/>
            <w:hideMark/>
          </w:tcPr>
          <w:p w14:paraId="6FD6EC71" w14:textId="77777777" w:rsidR="003F5898" w:rsidRPr="00185426" w:rsidRDefault="003F5898" w:rsidP="003F5898">
            <w:pPr>
              <w:spacing w:after="0" w:line="240" w:lineRule="auto"/>
              <w:jc w:val="center"/>
              <w:rPr>
                <w:rFonts w:ascii="Arial Narrow" w:eastAsia="Times New Roman" w:hAnsi="Arial Narrow" w:cs="Arial"/>
                <w:b/>
                <w:bCs/>
                <w:sz w:val="16"/>
                <w:szCs w:val="16"/>
                <w:lang w:eastAsia="pt-BR"/>
              </w:rPr>
            </w:pPr>
            <w:r w:rsidRPr="00185426">
              <w:rPr>
                <w:rFonts w:ascii="Arial Narrow" w:eastAsia="Times New Roman" w:hAnsi="Arial Narrow" w:cs="Arial"/>
                <w:b/>
                <w:bCs/>
                <w:sz w:val="16"/>
                <w:szCs w:val="16"/>
                <w:lang w:eastAsia="pt-BR"/>
              </w:rPr>
              <w:t>ABF.E033</w:t>
            </w:r>
          </w:p>
        </w:tc>
        <w:tc>
          <w:tcPr>
            <w:tcW w:w="1701" w:type="dxa"/>
            <w:tcBorders>
              <w:top w:val="nil"/>
              <w:left w:val="nil"/>
              <w:bottom w:val="nil"/>
              <w:right w:val="single" w:sz="8" w:space="0" w:color="auto"/>
            </w:tcBorders>
            <w:shd w:val="clear" w:color="auto" w:fill="auto"/>
            <w:vAlign w:val="center"/>
            <w:hideMark/>
          </w:tcPr>
          <w:p w14:paraId="2339A8DC" w14:textId="77777777" w:rsidR="003F5898" w:rsidRPr="00185426" w:rsidRDefault="003F5898" w:rsidP="003F5898">
            <w:pPr>
              <w:spacing w:after="0" w:line="240" w:lineRule="auto"/>
              <w:jc w:val="center"/>
              <w:rPr>
                <w:rFonts w:ascii="Arial Narrow" w:eastAsia="Times New Roman" w:hAnsi="Arial Narrow" w:cs="Arial"/>
                <w:b/>
                <w:bCs/>
                <w:sz w:val="16"/>
                <w:szCs w:val="16"/>
                <w:lang w:eastAsia="pt-BR"/>
              </w:rPr>
            </w:pPr>
            <w:r w:rsidRPr="00185426">
              <w:rPr>
                <w:rFonts w:ascii="Arial Narrow" w:eastAsia="Times New Roman" w:hAnsi="Arial Narrow" w:cs="Arial"/>
                <w:b/>
                <w:bCs/>
                <w:sz w:val="16"/>
                <w:szCs w:val="16"/>
                <w:lang w:eastAsia="pt-BR"/>
              </w:rPr>
              <w:t>ABF.F033</w:t>
            </w:r>
          </w:p>
        </w:tc>
        <w:tc>
          <w:tcPr>
            <w:tcW w:w="1418" w:type="dxa"/>
            <w:tcBorders>
              <w:top w:val="nil"/>
              <w:left w:val="nil"/>
              <w:bottom w:val="nil"/>
              <w:right w:val="single" w:sz="8" w:space="0" w:color="auto"/>
            </w:tcBorders>
            <w:shd w:val="clear" w:color="auto" w:fill="auto"/>
            <w:vAlign w:val="center"/>
            <w:hideMark/>
          </w:tcPr>
          <w:p w14:paraId="760FB27F" w14:textId="77777777" w:rsidR="003F5898" w:rsidRPr="00185426" w:rsidRDefault="003F5898" w:rsidP="003F5898">
            <w:pPr>
              <w:spacing w:after="0" w:line="240" w:lineRule="auto"/>
              <w:jc w:val="center"/>
              <w:rPr>
                <w:rFonts w:ascii="Arial Narrow" w:eastAsia="Times New Roman" w:hAnsi="Arial Narrow" w:cs="Arial"/>
                <w:b/>
                <w:bCs/>
                <w:sz w:val="16"/>
                <w:szCs w:val="16"/>
                <w:lang w:eastAsia="pt-BR"/>
              </w:rPr>
            </w:pPr>
            <w:r w:rsidRPr="00185426">
              <w:rPr>
                <w:rFonts w:ascii="Arial Narrow" w:eastAsia="Times New Roman" w:hAnsi="Arial Narrow" w:cs="Arial"/>
                <w:b/>
                <w:bCs/>
                <w:sz w:val="16"/>
                <w:szCs w:val="16"/>
                <w:lang w:eastAsia="pt-BR"/>
              </w:rPr>
              <w:t>ABF.G033</w:t>
            </w:r>
          </w:p>
        </w:tc>
      </w:tr>
      <w:tr w:rsidR="003F5898" w:rsidRPr="00185426" w14:paraId="060141B3" w14:textId="77777777" w:rsidTr="00080E19">
        <w:trPr>
          <w:trHeight w:val="255"/>
        </w:trPr>
        <w:tc>
          <w:tcPr>
            <w:tcW w:w="4977" w:type="dxa"/>
            <w:tcBorders>
              <w:top w:val="nil"/>
              <w:left w:val="single" w:sz="8" w:space="0" w:color="auto"/>
              <w:right w:val="single" w:sz="8" w:space="0" w:color="auto"/>
            </w:tcBorders>
            <w:shd w:val="clear" w:color="auto" w:fill="auto"/>
            <w:noWrap/>
            <w:vAlign w:val="center"/>
          </w:tcPr>
          <w:p w14:paraId="4B67BF6C" w14:textId="77777777" w:rsidR="003F5898" w:rsidRPr="00185426" w:rsidRDefault="003F5898" w:rsidP="003F5898">
            <w:pPr>
              <w:spacing w:after="0" w:line="240" w:lineRule="auto"/>
              <w:ind w:firstLineChars="231" w:firstLine="370"/>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410 – Recursos Vinculados ao RPPS – Plano Previdenciário</w:t>
            </w:r>
          </w:p>
        </w:tc>
        <w:tc>
          <w:tcPr>
            <w:tcW w:w="1275" w:type="dxa"/>
            <w:tcBorders>
              <w:top w:val="nil"/>
              <w:left w:val="nil"/>
              <w:right w:val="single" w:sz="8" w:space="0" w:color="auto"/>
            </w:tcBorders>
            <w:shd w:val="clear" w:color="auto" w:fill="auto"/>
            <w:vAlign w:val="center"/>
          </w:tcPr>
          <w:p w14:paraId="662769E6"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ABF.B082</w:t>
            </w:r>
          </w:p>
        </w:tc>
        <w:tc>
          <w:tcPr>
            <w:tcW w:w="1560" w:type="dxa"/>
            <w:tcBorders>
              <w:top w:val="nil"/>
              <w:left w:val="nil"/>
              <w:right w:val="single" w:sz="8" w:space="0" w:color="auto"/>
            </w:tcBorders>
            <w:shd w:val="clear" w:color="auto" w:fill="auto"/>
            <w:vAlign w:val="center"/>
          </w:tcPr>
          <w:p w14:paraId="11168A54" w14:textId="77777777" w:rsidR="003F5898" w:rsidRPr="00185426" w:rsidRDefault="003F5898" w:rsidP="003F5898">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ABF.C082</w:t>
            </w:r>
          </w:p>
        </w:tc>
        <w:tc>
          <w:tcPr>
            <w:tcW w:w="1275" w:type="dxa"/>
            <w:tcBorders>
              <w:top w:val="nil"/>
              <w:left w:val="nil"/>
              <w:right w:val="single" w:sz="8" w:space="0" w:color="auto"/>
            </w:tcBorders>
            <w:shd w:val="clear" w:color="auto" w:fill="auto"/>
            <w:vAlign w:val="center"/>
          </w:tcPr>
          <w:p w14:paraId="28C56FF7" w14:textId="77777777" w:rsidR="003F5898" w:rsidRPr="00185426" w:rsidRDefault="003F5898" w:rsidP="003F5898">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ABF.D082</w:t>
            </w:r>
          </w:p>
        </w:tc>
        <w:tc>
          <w:tcPr>
            <w:tcW w:w="1276" w:type="dxa"/>
            <w:tcBorders>
              <w:top w:val="nil"/>
              <w:left w:val="nil"/>
              <w:right w:val="single" w:sz="8" w:space="0" w:color="auto"/>
            </w:tcBorders>
            <w:shd w:val="clear" w:color="auto" w:fill="auto"/>
            <w:vAlign w:val="center"/>
          </w:tcPr>
          <w:p w14:paraId="39651A17" w14:textId="77777777" w:rsidR="003F5898" w:rsidRPr="00185426" w:rsidRDefault="003F5898" w:rsidP="003F5898">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ABF.E082</w:t>
            </w:r>
          </w:p>
        </w:tc>
        <w:tc>
          <w:tcPr>
            <w:tcW w:w="1701" w:type="dxa"/>
            <w:tcBorders>
              <w:top w:val="nil"/>
              <w:left w:val="nil"/>
              <w:right w:val="single" w:sz="8" w:space="0" w:color="auto"/>
            </w:tcBorders>
            <w:shd w:val="clear" w:color="auto" w:fill="auto"/>
            <w:vAlign w:val="center"/>
          </w:tcPr>
          <w:p w14:paraId="76A6C981" w14:textId="77777777" w:rsidR="003F5898" w:rsidRPr="00185426" w:rsidRDefault="003F5898" w:rsidP="003F5898">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ABF.F082</w:t>
            </w:r>
          </w:p>
        </w:tc>
        <w:tc>
          <w:tcPr>
            <w:tcW w:w="1418" w:type="dxa"/>
            <w:tcBorders>
              <w:top w:val="nil"/>
              <w:left w:val="nil"/>
              <w:right w:val="single" w:sz="8" w:space="0" w:color="auto"/>
            </w:tcBorders>
            <w:shd w:val="clear" w:color="auto" w:fill="auto"/>
            <w:vAlign w:val="center"/>
          </w:tcPr>
          <w:p w14:paraId="778D624E" w14:textId="77777777" w:rsidR="003F5898" w:rsidRPr="00185426" w:rsidRDefault="003F5898" w:rsidP="003F5898">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ABF.G082</w:t>
            </w:r>
          </w:p>
        </w:tc>
      </w:tr>
      <w:tr w:rsidR="003F5898" w:rsidRPr="00185426" w14:paraId="0297AD5E" w14:textId="77777777" w:rsidTr="00080E19">
        <w:trPr>
          <w:trHeight w:val="255"/>
        </w:trPr>
        <w:tc>
          <w:tcPr>
            <w:tcW w:w="4977" w:type="dxa"/>
            <w:tcBorders>
              <w:top w:val="nil"/>
              <w:left w:val="single" w:sz="8" w:space="0" w:color="auto"/>
              <w:right w:val="single" w:sz="8" w:space="0" w:color="auto"/>
            </w:tcBorders>
            <w:shd w:val="clear" w:color="auto" w:fill="auto"/>
            <w:noWrap/>
            <w:vAlign w:val="center"/>
            <w:hideMark/>
          </w:tcPr>
          <w:p w14:paraId="79423123" w14:textId="77777777" w:rsidR="003F5898" w:rsidRPr="00185426" w:rsidRDefault="003F5898" w:rsidP="003F5898">
            <w:pPr>
              <w:spacing w:after="0" w:line="240" w:lineRule="auto"/>
              <w:ind w:firstLineChars="231" w:firstLine="370"/>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420 - Recursos Vinculados ao RPPS – Plano Financeiro</w:t>
            </w:r>
          </w:p>
        </w:tc>
        <w:tc>
          <w:tcPr>
            <w:tcW w:w="1275" w:type="dxa"/>
            <w:tcBorders>
              <w:top w:val="nil"/>
              <w:left w:val="nil"/>
              <w:right w:val="single" w:sz="8" w:space="0" w:color="auto"/>
            </w:tcBorders>
            <w:shd w:val="clear" w:color="auto" w:fill="auto"/>
            <w:vAlign w:val="center"/>
            <w:hideMark/>
          </w:tcPr>
          <w:p w14:paraId="7B6405FF"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ABF.B035</w:t>
            </w:r>
          </w:p>
        </w:tc>
        <w:tc>
          <w:tcPr>
            <w:tcW w:w="1560" w:type="dxa"/>
            <w:tcBorders>
              <w:top w:val="nil"/>
              <w:left w:val="nil"/>
              <w:right w:val="single" w:sz="8" w:space="0" w:color="auto"/>
            </w:tcBorders>
            <w:shd w:val="clear" w:color="auto" w:fill="auto"/>
            <w:vAlign w:val="center"/>
            <w:hideMark/>
          </w:tcPr>
          <w:p w14:paraId="4746F242"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ABF.C035</w:t>
            </w:r>
          </w:p>
        </w:tc>
        <w:tc>
          <w:tcPr>
            <w:tcW w:w="1275" w:type="dxa"/>
            <w:tcBorders>
              <w:top w:val="nil"/>
              <w:left w:val="nil"/>
              <w:right w:val="single" w:sz="8" w:space="0" w:color="auto"/>
            </w:tcBorders>
            <w:shd w:val="clear" w:color="auto" w:fill="auto"/>
            <w:vAlign w:val="center"/>
            <w:hideMark/>
          </w:tcPr>
          <w:p w14:paraId="07C8BA1A"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ABF.D035</w:t>
            </w:r>
          </w:p>
        </w:tc>
        <w:tc>
          <w:tcPr>
            <w:tcW w:w="1276" w:type="dxa"/>
            <w:tcBorders>
              <w:top w:val="nil"/>
              <w:left w:val="nil"/>
              <w:right w:val="single" w:sz="8" w:space="0" w:color="auto"/>
            </w:tcBorders>
            <w:shd w:val="clear" w:color="auto" w:fill="auto"/>
            <w:vAlign w:val="center"/>
            <w:hideMark/>
          </w:tcPr>
          <w:p w14:paraId="3A982F0B"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ABF.E035</w:t>
            </w:r>
          </w:p>
        </w:tc>
        <w:tc>
          <w:tcPr>
            <w:tcW w:w="1701" w:type="dxa"/>
            <w:tcBorders>
              <w:top w:val="nil"/>
              <w:left w:val="nil"/>
              <w:right w:val="single" w:sz="8" w:space="0" w:color="auto"/>
            </w:tcBorders>
            <w:shd w:val="clear" w:color="auto" w:fill="auto"/>
            <w:vAlign w:val="center"/>
            <w:hideMark/>
          </w:tcPr>
          <w:p w14:paraId="7B518A4A"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ABF.F035</w:t>
            </w:r>
          </w:p>
        </w:tc>
        <w:tc>
          <w:tcPr>
            <w:tcW w:w="1418" w:type="dxa"/>
            <w:tcBorders>
              <w:top w:val="nil"/>
              <w:left w:val="nil"/>
              <w:right w:val="single" w:sz="8" w:space="0" w:color="auto"/>
            </w:tcBorders>
            <w:shd w:val="clear" w:color="auto" w:fill="auto"/>
            <w:vAlign w:val="center"/>
            <w:hideMark/>
          </w:tcPr>
          <w:p w14:paraId="02333C29"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ABF.G035</w:t>
            </w:r>
          </w:p>
        </w:tc>
      </w:tr>
      <w:tr w:rsidR="003F5898" w:rsidRPr="00185426" w14:paraId="2E178592" w14:textId="77777777" w:rsidTr="00080E19">
        <w:trPr>
          <w:trHeight w:val="255"/>
        </w:trPr>
        <w:tc>
          <w:tcPr>
            <w:tcW w:w="4977" w:type="dxa"/>
            <w:tcBorders>
              <w:top w:val="nil"/>
              <w:left w:val="single" w:sz="8" w:space="0" w:color="auto"/>
              <w:bottom w:val="nil"/>
              <w:right w:val="single" w:sz="8" w:space="0" w:color="auto"/>
            </w:tcBorders>
            <w:shd w:val="clear" w:color="auto" w:fill="auto"/>
            <w:noWrap/>
            <w:vAlign w:val="center"/>
            <w:hideMark/>
          </w:tcPr>
          <w:p w14:paraId="0FE292AC" w14:textId="77777777" w:rsidR="003F5898" w:rsidRPr="00185426" w:rsidRDefault="003F5898" w:rsidP="003F5898">
            <w:pPr>
              <w:spacing w:after="0" w:line="240" w:lineRule="auto"/>
              <w:ind w:firstLineChars="231" w:firstLine="370"/>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430 - Recursos Vinculados ao RPPS - Taxa de Administração</w:t>
            </w:r>
          </w:p>
        </w:tc>
        <w:tc>
          <w:tcPr>
            <w:tcW w:w="1275" w:type="dxa"/>
            <w:tcBorders>
              <w:top w:val="nil"/>
              <w:left w:val="nil"/>
              <w:bottom w:val="nil"/>
              <w:right w:val="single" w:sz="8" w:space="0" w:color="auto"/>
            </w:tcBorders>
            <w:shd w:val="clear" w:color="auto" w:fill="auto"/>
            <w:vAlign w:val="center"/>
            <w:hideMark/>
          </w:tcPr>
          <w:p w14:paraId="02217858"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ABF.B037</w:t>
            </w:r>
          </w:p>
        </w:tc>
        <w:tc>
          <w:tcPr>
            <w:tcW w:w="1560" w:type="dxa"/>
            <w:tcBorders>
              <w:top w:val="nil"/>
              <w:left w:val="nil"/>
              <w:bottom w:val="nil"/>
              <w:right w:val="single" w:sz="8" w:space="0" w:color="auto"/>
            </w:tcBorders>
            <w:shd w:val="clear" w:color="auto" w:fill="auto"/>
            <w:vAlign w:val="center"/>
            <w:hideMark/>
          </w:tcPr>
          <w:p w14:paraId="59128C19"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ABF.C037</w:t>
            </w:r>
          </w:p>
        </w:tc>
        <w:tc>
          <w:tcPr>
            <w:tcW w:w="1275" w:type="dxa"/>
            <w:tcBorders>
              <w:top w:val="nil"/>
              <w:left w:val="nil"/>
              <w:bottom w:val="nil"/>
              <w:right w:val="single" w:sz="8" w:space="0" w:color="auto"/>
            </w:tcBorders>
            <w:shd w:val="clear" w:color="auto" w:fill="auto"/>
            <w:vAlign w:val="center"/>
            <w:hideMark/>
          </w:tcPr>
          <w:p w14:paraId="37957159"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ABF.D037</w:t>
            </w:r>
          </w:p>
        </w:tc>
        <w:tc>
          <w:tcPr>
            <w:tcW w:w="1276" w:type="dxa"/>
            <w:tcBorders>
              <w:top w:val="nil"/>
              <w:left w:val="nil"/>
              <w:bottom w:val="nil"/>
              <w:right w:val="single" w:sz="8" w:space="0" w:color="auto"/>
            </w:tcBorders>
            <w:shd w:val="clear" w:color="auto" w:fill="auto"/>
            <w:vAlign w:val="center"/>
            <w:hideMark/>
          </w:tcPr>
          <w:p w14:paraId="7B2A2890"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ABF.E037</w:t>
            </w:r>
          </w:p>
        </w:tc>
        <w:tc>
          <w:tcPr>
            <w:tcW w:w="1701" w:type="dxa"/>
            <w:tcBorders>
              <w:top w:val="nil"/>
              <w:left w:val="nil"/>
              <w:bottom w:val="nil"/>
              <w:right w:val="single" w:sz="8" w:space="0" w:color="auto"/>
            </w:tcBorders>
            <w:shd w:val="clear" w:color="auto" w:fill="auto"/>
            <w:vAlign w:val="center"/>
            <w:hideMark/>
          </w:tcPr>
          <w:p w14:paraId="1B631639"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ABF.F037</w:t>
            </w:r>
          </w:p>
        </w:tc>
        <w:tc>
          <w:tcPr>
            <w:tcW w:w="1418" w:type="dxa"/>
            <w:tcBorders>
              <w:top w:val="nil"/>
              <w:left w:val="nil"/>
              <w:bottom w:val="nil"/>
              <w:right w:val="single" w:sz="8" w:space="0" w:color="auto"/>
            </w:tcBorders>
            <w:shd w:val="clear" w:color="auto" w:fill="auto"/>
            <w:vAlign w:val="center"/>
            <w:hideMark/>
          </w:tcPr>
          <w:p w14:paraId="43585090"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ABF.G037</w:t>
            </w:r>
          </w:p>
        </w:tc>
      </w:tr>
      <w:tr w:rsidR="003F5898" w:rsidRPr="00185426" w14:paraId="3DBDE103" w14:textId="77777777" w:rsidTr="00080E19">
        <w:trPr>
          <w:trHeight w:val="255"/>
        </w:trPr>
        <w:tc>
          <w:tcPr>
            <w:tcW w:w="4977" w:type="dxa"/>
            <w:tcBorders>
              <w:top w:val="nil"/>
              <w:left w:val="single" w:sz="8" w:space="0" w:color="auto"/>
              <w:bottom w:val="nil"/>
              <w:right w:val="single" w:sz="8" w:space="0" w:color="auto"/>
            </w:tcBorders>
            <w:shd w:val="clear" w:color="auto" w:fill="auto"/>
            <w:noWrap/>
            <w:vAlign w:val="center"/>
            <w:hideMark/>
          </w:tcPr>
          <w:p w14:paraId="576C0309" w14:textId="77777777" w:rsidR="003F5898" w:rsidRPr="00185426" w:rsidRDefault="003F5898" w:rsidP="003F5898">
            <w:pPr>
              <w:spacing w:after="0" w:line="240" w:lineRule="auto"/>
              <w:ind w:left="290" w:firstLineChars="3" w:firstLine="5"/>
              <w:rPr>
                <w:rFonts w:ascii="Arial Narrow" w:eastAsia="Times New Roman" w:hAnsi="Arial Narrow" w:cs="Arial"/>
                <w:b/>
                <w:bCs/>
                <w:sz w:val="16"/>
                <w:szCs w:val="16"/>
                <w:lang w:eastAsia="pt-BR"/>
              </w:rPr>
            </w:pPr>
            <w:r w:rsidRPr="00185426">
              <w:rPr>
                <w:rFonts w:ascii="Arial Narrow" w:eastAsia="Times New Roman" w:hAnsi="Arial Narrow" w:cs="Arial"/>
                <w:b/>
                <w:bCs/>
                <w:sz w:val="16"/>
                <w:szCs w:val="16"/>
                <w:lang w:eastAsia="pt-BR"/>
              </w:rPr>
              <w:t xml:space="preserve">  Recursos Vinculados à Seguridade Social</w:t>
            </w:r>
          </w:p>
        </w:tc>
        <w:tc>
          <w:tcPr>
            <w:tcW w:w="1275" w:type="dxa"/>
            <w:tcBorders>
              <w:top w:val="nil"/>
              <w:left w:val="nil"/>
              <w:bottom w:val="nil"/>
              <w:right w:val="single" w:sz="8" w:space="0" w:color="auto"/>
            </w:tcBorders>
            <w:shd w:val="clear" w:color="auto" w:fill="auto"/>
            <w:vAlign w:val="center"/>
            <w:hideMark/>
          </w:tcPr>
          <w:p w14:paraId="65BD57AB" w14:textId="77777777" w:rsidR="003F5898" w:rsidRPr="00185426" w:rsidRDefault="003F5898" w:rsidP="003F5898">
            <w:pPr>
              <w:spacing w:after="0" w:line="240" w:lineRule="auto"/>
              <w:jc w:val="center"/>
              <w:rPr>
                <w:rFonts w:ascii="Arial Narrow" w:eastAsia="Times New Roman" w:hAnsi="Arial Narrow" w:cs="Arial"/>
                <w:b/>
                <w:bCs/>
                <w:sz w:val="16"/>
                <w:szCs w:val="16"/>
                <w:lang w:eastAsia="pt-BR"/>
              </w:rPr>
            </w:pPr>
            <w:r w:rsidRPr="00185426">
              <w:rPr>
                <w:rFonts w:ascii="Arial Narrow" w:eastAsia="Times New Roman" w:hAnsi="Arial Narrow" w:cs="Arial"/>
                <w:b/>
                <w:bCs/>
                <w:sz w:val="16"/>
                <w:szCs w:val="16"/>
                <w:lang w:eastAsia="pt-BR"/>
              </w:rPr>
              <w:t>ABF.B039</w:t>
            </w:r>
          </w:p>
        </w:tc>
        <w:tc>
          <w:tcPr>
            <w:tcW w:w="1560" w:type="dxa"/>
            <w:tcBorders>
              <w:top w:val="nil"/>
              <w:left w:val="nil"/>
              <w:bottom w:val="nil"/>
              <w:right w:val="single" w:sz="8" w:space="0" w:color="auto"/>
            </w:tcBorders>
            <w:shd w:val="clear" w:color="auto" w:fill="auto"/>
            <w:vAlign w:val="center"/>
            <w:hideMark/>
          </w:tcPr>
          <w:p w14:paraId="2BD92E70" w14:textId="77777777" w:rsidR="003F5898" w:rsidRPr="00185426" w:rsidRDefault="003F5898" w:rsidP="003F5898">
            <w:pPr>
              <w:spacing w:after="0" w:line="240" w:lineRule="auto"/>
              <w:jc w:val="center"/>
              <w:rPr>
                <w:rFonts w:ascii="Arial Narrow" w:eastAsia="Times New Roman" w:hAnsi="Arial Narrow" w:cs="Arial"/>
                <w:b/>
                <w:bCs/>
                <w:sz w:val="16"/>
                <w:szCs w:val="16"/>
                <w:lang w:eastAsia="pt-BR"/>
              </w:rPr>
            </w:pPr>
            <w:r w:rsidRPr="00185426">
              <w:rPr>
                <w:rFonts w:ascii="Arial Narrow" w:eastAsia="Times New Roman" w:hAnsi="Arial Narrow" w:cs="Arial"/>
                <w:b/>
                <w:bCs/>
                <w:sz w:val="16"/>
                <w:szCs w:val="16"/>
                <w:lang w:eastAsia="pt-BR"/>
              </w:rPr>
              <w:t>ABF.C039</w:t>
            </w:r>
          </w:p>
        </w:tc>
        <w:tc>
          <w:tcPr>
            <w:tcW w:w="1275" w:type="dxa"/>
            <w:tcBorders>
              <w:top w:val="nil"/>
              <w:left w:val="nil"/>
              <w:bottom w:val="nil"/>
              <w:right w:val="single" w:sz="8" w:space="0" w:color="auto"/>
            </w:tcBorders>
            <w:shd w:val="clear" w:color="auto" w:fill="auto"/>
            <w:vAlign w:val="center"/>
            <w:hideMark/>
          </w:tcPr>
          <w:p w14:paraId="45D74711" w14:textId="77777777" w:rsidR="003F5898" w:rsidRPr="00185426" w:rsidRDefault="003F5898" w:rsidP="003F5898">
            <w:pPr>
              <w:spacing w:after="0" w:line="240" w:lineRule="auto"/>
              <w:jc w:val="center"/>
              <w:rPr>
                <w:rFonts w:ascii="Arial Narrow" w:eastAsia="Times New Roman" w:hAnsi="Arial Narrow" w:cs="Arial"/>
                <w:b/>
                <w:bCs/>
                <w:sz w:val="16"/>
                <w:szCs w:val="16"/>
                <w:lang w:eastAsia="pt-BR"/>
              </w:rPr>
            </w:pPr>
            <w:r w:rsidRPr="00185426">
              <w:rPr>
                <w:rFonts w:ascii="Arial Narrow" w:eastAsia="Times New Roman" w:hAnsi="Arial Narrow" w:cs="Arial"/>
                <w:b/>
                <w:bCs/>
                <w:sz w:val="16"/>
                <w:szCs w:val="16"/>
                <w:lang w:eastAsia="pt-BR"/>
              </w:rPr>
              <w:t>ABF.D039</w:t>
            </w:r>
          </w:p>
        </w:tc>
        <w:tc>
          <w:tcPr>
            <w:tcW w:w="1276" w:type="dxa"/>
            <w:tcBorders>
              <w:top w:val="nil"/>
              <w:left w:val="nil"/>
              <w:bottom w:val="nil"/>
              <w:right w:val="single" w:sz="8" w:space="0" w:color="auto"/>
            </w:tcBorders>
            <w:shd w:val="clear" w:color="auto" w:fill="auto"/>
            <w:vAlign w:val="center"/>
            <w:hideMark/>
          </w:tcPr>
          <w:p w14:paraId="6ECE42D8" w14:textId="77777777" w:rsidR="003F5898" w:rsidRPr="00185426" w:rsidRDefault="003F5898" w:rsidP="003F5898">
            <w:pPr>
              <w:spacing w:after="0" w:line="240" w:lineRule="auto"/>
              <w:jc w:val="center"/>
              <w:rPr>
                <w:rFonts w:ascii="Arial Narrow" w:eastAsia="Times New Roman" w:hAnsi="Arial Narrow" w:cs="Arial"/>
                <w:b/>
                <w:bCs/>
                <w:sz w:val="16"/>
                <w:szCs w:val="16"/>
                <w:lang w:eastAsia="pt-BR"/>
              </w:rPr>
            </w:pPr>
            <w:r w:rsidRPr="00185426">
              <w:rPr>
                <w:rFonts w:ascii="Arial Narrow" w:eastAsia="Times New Roman" w:hAnsi="Arial Narrow" w:cs="Arial"/>
                <w:b/>
                <w:bCs/>
                <w:sz w:val="16"/>
                <w:szCs w:val="16"/>
                <w:lang w:eastAsia="pt-BR"/>
              </w:rPr>
              <w:t>ABF.E039</w:t>
            </w:r>
          </w:p>
        </w:tc>
        <w:tc>
          <w:tcPr>
            <w:tcW w:w="1701" w:type="dxa"/>
            <w:tcBorders>
              <w:top w:val="nil"/>
              <w:left w:val="nil"/>
              <w:bottom w:val="nil"/>
              <w:right w:val="single" w:sz="8" w:space="0" w:color="auto"/>
            </w:tcBorders>
            <w:shd w:val="clear" w:color="auto" w:fill="auto"/>
            <w:vAlign w:val="center"/>
            <w:hideMark/>
          </w:tcPr>
          <w:p w14:paraId="79E75958" w14:textId="77777777" w:rsidR="003F5898" w:rsidRPr="00185426" w:rsidRDefault="003F5898" w:rsidP="003F5898">
            <w:pPr>
              <w:spacing w:after="0" w:line="240" w:lineRule="auto"/>
              <w:jc w:val="center"/>
              <w:rPr>
                <w:rFonts w:ascii="Arial Narrow" w:eastAsia="Times New Roman" w:hAnsi="Arial Narrow" w:cs="Arial"/>
                <w:b/>
                <w:bCs/>
                <w:sz w:val="16"/>
                <w:szCs w:val="16"/>
                <w:lang w:eastAsia="pt-BR"/>
              </w:rPr>
            </w:pPr>
            <w:r w:rsidRPr="00185426">
              <w:rPr>
                <w:rFonts w:ascii="Arial Narrow" w:eastAsia="Times New Roman" w:hAnsi="Arial Narrow" w:cs="Arial"/>
                <w:b/>
                <w:bCs/>
                <w:sz w:val="16"/>
                <w:szCs w:val="16"/>
                <w:lang w:eastAsia="pt-BR"/>
              </w:rPr>
              <w:t>ABF.F039</w:t>
            </w:r>
          </w:p>
        </w:tc>
        <w:tc>
          <w:tcPr>
            <w:tcW w:w="1418" w:type="dxa"/>
            <w:tcBorders>
              <w:top w:val="nil"/>
              <w:left w:val="nil"/>
              <w:bottom w:val="nil"/>
              <w:right w:val="single" w:sz="8" w:space="0" w:color="auto"/>
            </w:tcBorders>
            <w:shd w:val="clear" w:color="auto" w:fill="auto"/>
            <w:vAlign w:val="center"/>
            <w:hideMark/>
          </w:tcPr>
          <w:p w14:paraId="3B5B6EFE" w14:textId="77777777" w:rsidR="003F5898" w:rsidRPr="00185426" w:rsidRDefault="003F5898" w:rsidP="003F5898">
            <w:pPr>
              <w:spacing w:after="0" w:line="240" w:lineRule="auto"/>
              <w:jc w:val="center"/>
              <w:rPr>
                <w:rFonts w:ascii="Arial Narrow" w:eastAsia="Times New Roman" w:hAnsi="Arial Narrow" w:cs="Arial"/>
                <w:b/>
                <w:bCs/>
                <w:sz w:val="16"/>
                <w:szCs w:val="16"/>
                <w:lang w:eastAsia="pt-BR"/>
              </w:rPr>
            </w:pPr>
            <w:r w:rsidRPr="00185426">
              <w:rPr>
                <w:rFonts w:ascii="Arial Narrow" w:eastAsia="Times New Roman" w:hAnsi="Arial Narrow" w:cs="Arial"/>
                <w:b/>
                <w:bCs/>
                <w:sz w:val="16"/>
                <w:szCs w:val="16"/>
                <w:lang w:eastAsia="pt-BR"/>
              </w:rPr>
              <w:t>ABF.G039</w:t>
            </w:r>
          </w:p>
        </w:tc>
      </w:tr>
      <w:tr w:rsidR="003F5898" w:rsidRPr="00185426" w14:paraId="08FCF43D" w14:textId="77777777" w:rsidTr="00080E19">
        <w:trPr>
          <w:trHeight w:val="255"/>
        </w:trPr>
        <w:tc>
          <w:tcPr>
            <w:tcW w:w="4977" w:type="dxa"/>
            <w:tcBorders>
              <w:top w:val="nil"/>
              <w:left w:val="single" w:sz="8" w:space="0" w:color="auto"/>
              <w:bottom w:val="nil"/>
              <w:right w:val="single" w:sz="8" w:space="0" w:color="auto"/>
            </w:tcBorders>
            <w:shd w:val="clear" w:color="auto" w:fill="auto"/>
            <w:noWrap/>
            <w:vAlign w:val="center"/>
            <w:hideMark/>
          </w:tcPr>
          <w:p w14:paraId="386E08A8" w14:textId="77777777" w:rsidR="003F5898" w:rsidRPr="00185426" w:rsidRDefault="003F5898" w:rsidP="003F5898">
            <w:pPr>
              <w:spacing w:after="0" w:line="240" w:lineRule="auto"/>
              <w:ind w:left="355"/>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311 – Transferência de Recursos do Fundo Nacional de Assistência Social - FNAS</w:t>
            </w:r>
          </w:p>
        </w:tc>
        <w:tc>
          <w:tcPr>
            <w:tcW w:w="1275" w:type="dxa"/>
            <w:tcBorders>
              <w:top w:val="nil"/>
              <w:left w:val="nil"/>
              <w:bottom w:val="nil"/>
              <w:right w:val="single" w:sz="8" w:space="0" w:color="auto"/>
            </w:tcBorders>
            <w:shd w:val="clear" w:color="auto" w:fill="auto"/>
            <w:vAlign w:val="center"/>
            <w:hideMark/>
          </w:tcPr>
          <w:p w14:paraId="704EE354"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ABF.B040</w:t>
            </w:r>
          </w:p>
        </w:tc>
        <w:tc>
          <w:tcPr>
            <w:tcW w:w="1560" w:type="dxa"/>
            <w:tcBorders>
              <w:top w:val="nil"/>
              <w:left w:val="nil"/>
              <w:bottom w:val="nil"/>
              <w:right w:val="single" w:sz="8" w:space="0" w:color="auto"/>
            </w:tcBorders>
            <w:shd w:val="clear" w:color="auto" w:fill="auto"/>
            <w:vAlign w:val="center"/>
            <w:hideMark/>
          </w:tcPr>
          <w:p w14:paraId="1D74069A"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ABF.C040</w:t>
            </w:r>
          </w:p>
        </w:tc>
        <w:tc>
          <w:tcPr>
            <w:tcW w:w="1275" w:type="dxa"/>
            <w:tcBorders>
              <w:top w:val="nil"/>
              <w:left w:val="nil"/>
              <w:bottom w:val="nil"/>
              <w:right w:val="single" w:sz="8" w:space="0" w:color="auto"/>
            </w:tcBorders>
            <w:shd w:val="clear" w:color="auto" w:fill="auto"/>
            <w:vAlign w:val="center"/>
            <w:hideMark/>
          </w:tcPr>
          <w:p w14:paraId="072E09CE"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ABF.D040</w:t>
            </w:r>
          </w:p>
        </w:tc>
        <w:tc>
          <w:tcPr>
            <w:tcW w:w="1276" w:type="dxa"/>
            <w:tcBorders>
              <w:top w:val="nil"/>
              <w:left w:val="nil"/>
              <w:bottom w:val="nil"/>
              <w:right w:val="single" w:sz="8" w:space="0" w:color="auto"/>
            </w:tcBorders>
            <w:shd w:val="clear" w:color="auto" w:fill="auto"/>
            <w:vAlign w:val="center"/>
            <w:hideMark/>
          </w:tcPr>
          <w:p w14:paraId="0C3ADEBC"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ABF.E040</w:t>
            </w:r>
          </w:p>
        </w:tc>
        <w:tc>
          <w:tcPr>
            <w:tcW w:w="1701" w:type="dxa"/>
            <w:tcBorders>
              <w:top w:val="nil"/>
              <w:left w:val="nil"/>
              <w:bottom w:val="nil"/>
              <w:right w:val="single" w:sz="8" w:space="0" w:color="auto"/>
            </w:tcBorders>
            <w:shd w:val="clear" w:color="auto" w:fill="auto"/>
            <w:vAlign w:val="center"/>
            <w:hideMark/>
          </w:tcPr>
          <w:p w14:paraId="497F7CEE"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ABF.F040</w:t>
            </w:r>
          </w:p>
        </w:tc>
        <w:tc>
          <w:tcPr>
            <w:tcW w:w="1418" w:type="dxa"/>
            <w:tcBorders>
              <w:top w:val="nil"/>
              <w:left w:val="nil"/>
              <w:bottom w:val="nil"/>
              <w:right w:val="single" w:sz="8" w:space="0" w:color="auto"/>
            </w:tcBorders>
            <w:shd w:val="clear" w:color="auto" w:fill="auto"/>
            <w:vAlign w:val="center"/>
            <w:hideMark/>
          </w:tcPr>
          <w:p w14:paraId="3AE89DDD"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ABF.G040</w:t>
            </w:r>
          </w:p>
        </w:tc>
      </w:tr>
      <w:tr w:rsidR="003F5898" w:rsidRPr="00185426" w14:paraId="3FA9CF87" w14:textId="77777777" w:rsidTr="00080E19">
        <w:trPr>
          <w:trHeight w:val="255"/>
        </w:trPr>
        <w:tc>
          <w:tcPr>
            <w:tcW w:w="4977" w:type="dxa"/>
            <w:tcBorders>
              <w:top w:val="nil"/>
              <w:left w:val="single" w:sz="8" w:space="0" w:color="auto"/>
              <w:bottom w:val="nil"/>
              <w:right w:val="single" w:sz="8" w:space="0" w:color="auto"/>
            </w:tcBorders>
            <w:shd w:val="clear" w:color="auto" w:fill="auto"/>
            <w:noWrap/>
            <w:vAlign w:val="center"/>
            <w:hideMark/>
          </w:tcPr>
          <w:p w14:paraId="6B32908A" w14:textId="77777777" w:rsidR="003F5898" w:rsidRPr="00185426" w:rsidRDefault="003F5898" w:rsidP="003F5898">
            <w:pPr>
              <w:spacing w:after="0" w:line="240" w:lineRule="auto"/>
              <w:ind w:firstLineChars="221" w:firstLine="354"/>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312 – Transferências de Convênios - Assistência Social</w:t>
            </w:r>
          </w:p>
        </w:tc>
        <w:tc>
          <w:tcPr>
            <w:tcW w:w="1275" w:type="dxa"/>
            <w:tcBorders>
              <w:top w:val="nil"/>
              <w:left w:val="nil"/>
              <w:bottom w:val="nil"/>
              <w:right w:val="single" w:sz="8" w:space="0" w:color="auto"/>
            </w:tcBorders>
            <w:shd w:val="clear" w:color="auto" w:fill="auto"/>
            <w:vAlign w:val="center"/>
            <w:hideMark/>
          </w:tcPr>
          <w:p w14:paraId="0DDFE9CF"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ABF.B041</w:t>
            </w:r>
          </w:p>
        </w:tc>
        <w:tc>
          <w:tcPr>
            <w:tcW w:w="1560" w:type="dxa"/>
            <w:tcBorders>
              <w:top w:val="nil"/>
              <w:left w:val="nil"/>
              <w:bottom w:val="nil"/>
              <w:right w:val="single" w:sz="8" w:space="0" w:color="auto"/>
            </w:tcBorders>
            <w:shd w:val="clear" w:color="auto" w:fill="auto"/>
            <w:vAlign w:val="center"/>
            <w:hideMark/>
          </w:tcPr>
          <w:p w14:paraId="62195E6C"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ABF.C041</w:t>
            </w:r>
          </w:p>
        </w:tc>
        <w:tc>
          <w:tcPr>
            <w:tcW w:w="1275" w:type="dxa"/>
            <w:tcBorders>
              <w:top w:val="nil"/>
              <w:left w:val="nil"/>
              <w:bottom w:val="nil"/>
              <w:right w:val="single" w:sz="8" w:space="0" w:color="auto"/>
            </w:tcBorders>
            <w:shd w:val="clear" w:color="auto" w:fill="auto"/>
            <w:vAlign w:val="center"/>
            <w:hideMark/>
          </w:tcPr>
          <w:p w14:paraId="0248463B"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ABF.D041</w:t>
            </w:r>
          </w:p>
        </w:tc>
        <w:tc>
          <w:tcPr>
            <w:tcW w:w="1276" w:type="dxa"/>
            <w:tcBorders>
              <w:top w:val="nil"/>
              <w:left w:val="nil"/>
              <w:bottom w:val="nil"/>
              <w:right w:val="single" w:sz="8" w:space="0" w:color="auto"/>
            </w:tcBorders>
            <w:shd w:val="clear" w:color="auto" w:fill="auto"/>
            <w:vAlign w:val="center"/>
            <w:hideMark/>
          </w:tcPr>
          <w:p w14:paraId="29BAF59D"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ABF.E041</w:t>
            </w:r>
          </w:p>
        </w:tc>
        <w:tc>
          <w:tcPr>
            <w:tcW w:w="1701" w:type="dxa"/>
            <w:tcBorders>
              <w:top w:val="nil"/>
              <w:left w:val="nil"/>
              <w:bottom w:val="nil"/>
              <w:right w:val="single" w:sz="8" w:space="0" w:color="auto"/>
            </w:tcBorders>
            <w:shd w:val="clear" w:color="auto" w:fill="auto"/>
            <w:vAlign w:val="center"/>
            <w:hideMark/>
          </w:tcPr>
          <w:p w14:paraId="046D5A03"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ABF.F041</w:t>
            </w:r>
          </w:p>
        </w:tc>
        <w:tc>
          <w:tcPr>
            <w:tcW w:w="1418" w:type="dxa"/>
            <w:tcBorders>
              <w:top w:val="nil"/>
              <w:left w:val="nil"/>
              <w:bottom w:val="nil"/>
              <w:right w:val="single" w:sz="8" w:space="0" w:color="auto"/>
            </w:tcBorders>
            <w:shd w:val="clear" w:color="auto" w:fill="auto"/>
            <w:vAlign w:val="center"/>
            <w:hideMark/>
          </w:tcPr>
          <w:p w14:paraId="7222E4A0"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ABF.G041</w:t>
            </w:r>
          </w:p>
        </w:tc>
      </w:tr>
      <w:tr w:rsidR="003F5898" w:rsidRPr="00185426" w14:paraId="06CAF6D5" w14:textId="77777777" w:rsidTr="00080E19">
        <w:trPr>
          <w:trHeight w:val="255"/>
        </w:trPr>
        <w:tc>
          <w:tcPr>
            <w:tcW w:w="4977" w:type="dxa"/>
            <w:tcBorders>
              <w:top w:val="nil"/>
              <w:left w:val="single" w:sz="8" w:space="0" w:color="auto"/>
              <w:bottom w:val="nil"/>
              <w:right w:val="single" w:sz="8" w:space="0" w:color="auto"/>
            </w:tcBorders>
            <w:shd w:val="clear" w:color="auto" w:fill="auto"/>
            <w:noWrap/>
            <w:vAlign w:val="center"/>
            <w:hideMark/>
          </w:tcPr>
          <w:p w14:paraId="708B3C31" w14:textId="77777777" w:rsidR="003F5898" w:rsidRPr="00185426" w:rsidRDefault="003F5898" w:rsidP="003F5898">
            <w:pPr>
              <w:spacing w:after="0" w:line="240" w:lineRule="auto"/>
              <w:ind w:firstLineChars="221" w:firstLine="354"/>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390 – Outros Recursos destinados à Assistência Social – Demais Recursos</w:t>
            </w:r>
          </w:p>
        </w:tc>
        <w:tc>
          <w:tcPr>
            <w:tcW w:w="1275" w:type="dxa"/>
            <w:tcBorders>
              <w:top w:val="nil"/>
              <w:left w:val="nil"/>
              <w:bottom w:val="nil"/>
              <w:right w:val="single" w:sz="8" w:space="0" w:color="auto"/>
            </w:tcBorders>
            <w:shd w:val="clear" w:color="auto" w:fill="auto"/>
            <w:vAlign w:val="center"/>
            <w:hideMark/>
          </w:tcPr>
          <w:p w14:paraId="28910EF3"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ABF.B042</w:t>
            </w:r>
          </w:p>
        </w:tc>
        <w:tc>
          <w:tcPr>
            <w:tcW w:w="1560" w:type="dxa"/>
            <w:tcBorders>
              <w:top w:val="nil"/>
              <w:left w:val="nil"/>
              <w:bottom w:val="nil"/>
              <w:right w:val="single" w:sz="8" w:space="0" w:color="auto"/>
            </w:tcBorders>
            <w:shd w:val="clear" w:color="auto" w:fill="auto"/>
            <w:vAlign w:val="center"/>
            <w:hideMark/>
          </w:tcPr>
          <w:p w14:paraId="5FF75086"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ABF.C042</w:t>
            </w:r>
          </w:p>
        </w:tc>
        <w:tc>
          <w:tcPr>
            <w:tcW w:w="1275" w:type="dxa"/>
            <w:tcBorders>
              <w:top w:val="nil"/>
              <w:left w:val="nil"/>
              <w:bottom w:val="nil"/>
              <w:right w:val="single" w:sz="8" w:space="0" w:color="auto"/>
            </w:tcBorders>
            <w:shd w:val="clear" w:color="auto" w:fill="auto"/>
            <w:vAlign w:val="center"/>
            <w:hideMark/>
          </w:tcPr>
          <w:p w14:paraId="2DD91320"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ABF.D042</w:t>
            </w:r>
          </w:p>
        </w:tc>
        <w:tc>
          <w:tcPr>
            <w:tcW w:w="1276" w:type="dxa"/>
            <w:tcBorders>
              <w:top w:val="nil"/>
              <w:left w:val="nil"/>
              <w:bottom w:val="nil"/>
              <w:right w:val="single" w:sz="8" w:space="0" w:color="auto"/>
            </w:tcBorders>
            <w:shd w:val="clear" w:color="auto" w:fill="auto"/>
            <w:vAlign w:val="center"/>
            <w:hideMark/>
          </w:tcPr>
          <w:p w14:paraId="7BBF826C"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ABF.E042</w:t>
            </w:r>
          </w:p>
        </w:tc>
        <w:tc>
          <w:tcPr>
            <w:tcW w:w="1701" w:type="dxa"/>
            <w:tcBorders>
              <w:top w:val="nil"/>
              <w:left w:val="nil"/>
              <w:bottom w:val="nil"/>
              <w:right w:val="single" w:sz="8" w:space="0" w:color="auto"/>
            </w:tcBorders>
            <w:shd w:val="clear" w:color="auto" w:fill="auto"/>
            <w:vAlign w:val="center"/>
            <w:hideMark/>
          </w:tcPr>
          <w:p w14:paraId="7CFB543B"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ABF.F042</w:t>
            </w:r>
          </w:p>
        </w:tc>
        <w:tc>
          <w:tcPr>
            <w:tcW w:w="1418" w:type="dxa"/>
            <w:tcBorders>
              <w:top w:val="nil"/>
              <w:left w:val="nil"/>
              <w:bottom w:val="nil"/>
              <w:right w:val="single" w:sz="8" w:space="0" w:color="auto"/>
            </w:tcBorders>
            <w:shd w:val="clear" w:color="auto" w:fill="auto"/>
            <w:vAlign w:val="center"/>
            <w:hideMark/>
          </w:tcPr>
          <w:p w14:paraId="50DB43F5"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ABF.G042</w:t>
            </w:r>
          </w:p>
        </w:tc>
      </w:tr>
      <w:tr w:rsidR="003F5898" w:rsidRPr="00185426" w14:paraId="31F05AD6" w14:textId="77777777" w:rsidTr="00080E19">
        <w:trPr>
          <w:trHeight w:val="255"/>
        </w:trPr>
        <w:tc>
          <w:tcPr>
            <w:tcW w:w="4977" w:type="dxa"/>
            <w:tcBorders>
              <w:top w:val="nil"/>
              <w:left w:val="single" w:sz="8" w:space="0" w:color="auto"/>
              <w:bottom w:val="nil"/>
              <w:right w:val="single" w:sz="8" w:space="0" w:color="auto"/>
            </w:tcBorders>
            <w:shd w:val="clear" w:color="auto" w:fill="auto"/>
            <w:noWrap/>
            <w:vAlign w:val="center"/>
            <w:hideMark/>
          </w:tcPr>
          <w:p w14:paraId="336C0147" w14:textId="77777777" w:rsidR="003F5898" w:rsidRPr="00185426" w:rsidRDefault="003F5898" w:rsidP="003F5898">
            <w:pPr>
              <w:spacing w:after="0" w:line="240" w:lineRule="auto"/>
              <w:ind w:firstLineChars="100" w:firstLine="161"/>
              <w:rPr>
                <w:rFonts w:ascii="Arial Narrow" w:eastAsia="Times New Roman" w:hAnsi="Arial Narrow" w:cs="Arial"/>
                <w:b/>
                <w:bCs/>
                <w:sz w:val="16"/>
                <w:szCs w:val="16"/>
                <w:lang w:eastAsia="pt-BR"/>
              </w:rPr>
            </w:pPr>
            <w:r w:rsidRPr="00185426">
              <w:rPr>
                <w:rFonts w:ascii="Arial Narrow" w:eastAsia="Times New Roman" w:hAnsi="Arial Narrow" w:cs="Arial"/>
                <w:b/>
                <w:bCs/>
                <w:sz w:val="16"/>
                <w:szCs w:val="16"/>
                <w:lang w:eastAsia="pt-BR"/>
              </w:rPr>
              <w:t xml:space="preserve"> Outras Destinações de Recursos</w:t>
            </w:r>
          </w:p>
        </w:tc>
        <w:tc>
          <w:tcPr>
            <w:tcW w:w="1275" w:type="dxa"/>
            <w:tcBorders>
              <w:top w:val="nil"/>
              <w:left w:val="nil"/>
              <w:bottom w:val="nil"/>
              <w:right w:val="single" w:sz="8" w:space="0" w:color="auto"/>
            </w:tcBorders>
            <w:shd w:val="clear" w:color="auto" w:fill="auto"/>
            <w:vAlign w:val="center"/>
            <w:hideMark/>
          </w:tcPr>
          <w:p w14:paraId="5179C799" w14:textId="77777777" w:rsidR="003F5898" w:rsidRPr="00185426" w:rsidRDefault="003F5898" w:rsidP="003F5898">
            <w:pPr>
              <w:spacing w:after="0" w:line="240" w:lineRule="auto"/>
              <w:jc w:val="center"/>
              <w:rPr>
                <w:rFonts w:ascii="Arial Narrow" w:eastAsia="Times New Roman" w:hAnsi="Arial Narrow" w:cs="Arial"/>
                <w:b/>
                <w:bCs/>
                <w:sz w:val="16"/>
                <w:szCs w:val="16"/>
                <w:lang w:eastAsia="pt-BR"/>
              </w:rPr>
            </w:pPr>
            <w:r w:rsidRPr="00185426">
              <w:rPr>
                <w:rFonts w:ascii="Arial Narrow" w:eastAsia="Times New Roman" w:hAnsi="Arial Narrow" w:cs="Arial"/>
                <w:b/>
                <w:bCs/>
                <w:sz w:val="16"/>
                <w:szCs w:val="16"/>
                <w:lang w:eastAsia="pt-BR"/>
              </w:rPr>
              <w:t>ABF.B043</w:t>
            </w:r>
          </w:p>
        </w:tc>
        <w:tc>
          <w:tcPr>
            <w:tcW w:w="1560" w:type="dxa"/>
            <w:tcBorders>
              <w:top w:val="nil"/>
              <w:left w:val="nil"/>
              <w:bottom w:val="nil"/>
              <w:right w:val="single" w:sz="8" w:space="0" w:color="auto"/>
            </w:tcBorders>
            <w:shd w:val="clear" w:color="auto" w:fill="auto"/>
            <w:vAlign w:val="center"/>
            <w:hideMark/>
          </w:tcPr>
          <w:p w14:paraId="47EB2B5F" w14:textId="77777777" w:rsidR="003F5898" w:rsidRPr="00185426" w:rsidRDefault="003F5898" w:rsidP="003F5898">
            <w:pPr>
              <w:spacing w:after="0" w:line="240" w:lineRule="auto"/>
              <w:jc w:val="center"/>
              <w:rPr>
                <w:rFonts w:ascii="Arial Narrow" w:eastAsia="Times New Roman" w:hAnsi="Arial Narrow" w:cs="Arial"/>
                <w:b/>
                <w:bCs/>
                <w:sz w:val="16"/>
                <w:szCs w:val="16"/>
                <w:lang w:eastAsia="pt-BR"/>
              </w:rPr>
            </w:pPr>
            <w:r w:rsidRPr="00185426">
              <w:rPr>
                <w:rFonts w:ascii="Arial Narrow" w:eastAsia="Times New Roman" w:hAnsi="Arial Narrow" w:cs="Arial"/>
                <w:b/>
                <w:bCs/>
                <w:sz w:val="16"/>
                <w:szCs w:val="16"/>
                <w:lang w:eastAsia="pt-BR"/>
              </w:rPr>
              <w:t>ABF.C043</w:t>
            </w:r>
          </w:p>
        </w:tc>
        <w:tc>
          <w:tcPr>
            <w:tcW w:w="1275" w:type="dxa"/>
            <w:tcBorders>
              <w:top w:val="nil"/>
              <w:left w:val="nil"/>
              <w:bottom w:val="nil"/>
              <w:right w:val="single" w:sz="8" w:space="0" w:color="auto"/>
            </w:tcBorders>
            <w:shd w:val="clear" w:color="auto" w:fill="auto"/>
            <w:vAlign w:val="center"/>
            <w:hideMark/>
          </w:tcPr>
          <w:p w14:paraId="23EBBFD8" w14:textId="77777777" w:rsidR="003F5898" w:rsidRPr="00185426" w:rsidRDefault="003F5898" w:rsidP="003F5898">
            <w:pPr>
              <w:spacing w:after="0" w:line="240" w:lineRule="auto"/>
              <w:jc w:val="center"/>
              <w:rPr>
                <w:rFonts w:ascii="Arial Narrow" w:eastAsia="Times New Roman" w:hAnsi="Arial Narrow" w:cs="Arial"/>
                <w:b/>
                <w:bCs/>
                <w:sz w:val="16"/>
                <w:szCs w:val="16"/>
                <w:lang w:eastAsia="pt-BR"/>
              </w:rPr>
            </w:pPr>
            <w:r w:rsidRPr="00185426">
              <w:rPr>
                <w:rFonts w:ascii="Arial Narrow" w:eastAsia="Times New Roman" w:hAnsi="Arial Narrow" w:cs="Arial"/>
                <w:b/>
                <w:bCs/>
                <w:sz w:val="16"/>
                <w:szCs w:val="16"/>
                <w:lang w:eastAsia="pt-BR"/>
              </w:rPr>
              <w:t>ABF.D043</w:t>
            </w:r>
          </w:p>
        </w:tc>
        <w:tc>
          <w:tcPr>
            <w:tcW w:w="1276" w:type="dxa"/>
            <w:tcBorders>
              <w:top w:val="nil"/>
              <w:left w:val="nil"/>
              <w:bottom w:val="nil"/>
              <w:right w:val="single" w:sz="8" w:space="0" w:color="auto"/>
            </w:tcBorders>
            <w:shd w:val="clear" w:color="auto" w:fill="auto"/>
            <w:vAlign w:val="center"/>
            <w:hideMark/>
          </w:tcPr>
          <w:p w14:paraId="262B7D43" w14:textId="77777777" w:rsidR="003F5898" w:rsidRPr="00185426" w:rsidRDefault="003F5898" w:rsidP="003F5898">
            <w:pPr>
              <w:spacing w:after="0" w:line="240" w:lineRule="auto"/>
              <w:jc w:val="center"/>
              <w:rPr>
                <w:rFonts w:ascii="Arial Narrow" w:eastAsia="Times New Roman" w:hAnsi="Arial Narrow" w:cs="Arial"/>
                <w:b/>
                <w:bCs/>
                <w:sz w:val="16"/>
                <w:szCs w:val="16"/>
                <w:lang w:eastAsia="pt-BR"/>
              </w:rPr>
            </w:pPr>
            <w:r w:rsidRPr="00185426">
              <w:rPr>
                <w:rFonts w:ascii="Arial Narrow" w:eastAsia="Times New Roman" w:hAnsi="Arial Narrow" w:cs="Arial"/>
                <w:b/>
                <w:bCs/>
                <w:sz w:val="16"/>
                <w:szCs w:val="16"/>
                <w:lang w:eastAsia="pt-BR"/>
              </w:rPr>
              <w:t>ABF.E043</w:t>
            </w:r>
          </w:p>
        </w:tc>
        <w:tc>
          <w:tcPr>
            <w:tcW w:w="1701" w:type="dxa"/>
            <w:tcBorders>
              <w:top w:val="nil"/>
              <w:left w:val="nil"/>
              <w:bottom w:val="nil"/>
              <w:right w:val="single" w:sz="8" w:space="0" w:color="auto"/>
            </w:tcBorders>
            <w:shd w:val="clear" w:color="auto" w:fill="auto"/>
            <w:vAlign w:val="center"/>
            <w:hideMark/>
          </w:tcPr>
          <w:p w14:paraId="6D714B3A" w14:textId="77777777" w:rsidR="003F5898" w:rsidRPr="00185426" w:rsidRDefault="003F5898" w:rsidP="003F5898">
            <w:pPr>
              <w:spacing w:after="0" w:line="240" w:lineRule="auto"/>
              <w:jc w:val="center"/>
              <w:rPr>
                <w:rFonts w:ascii="Arial Narrow" w:eastAsia="Times New Roman" w:hAnsi="Arial Narrow" w:cs="Arial"/>
                <w:b/>
                <w:bCs/>
                <w:sz w:val="16"/>
                <w:szCs w:val="16"/>
                <w:lang w:eastAsia="pt-BR"/>
              </w:rPr>
            </w:pPr>
            <w:r w:rsidRPr="00185426">
              <w:rPr>
                <w:rFonts w:ascii="Arial Narrow" w:eastAsia="Times New Roman" w:hAnsi="Arial Narrow" w:cs="Arial"/>
                <w:b/>
                <w:bCs/>
                <w:sz w:val="16"/>
                <w:szCs w:val="16"/>
                <w:lang w:eastAsia="pt-BR"/>
              </w:rPr>
              <w:t>ABF.F043</w:t>
            </w:r>
          </w:p>
        </w:tc>
        <w:tc>
          <w:tcPr>
            <w:tcW w:w="1418" w:type="dxa"/>
            <w:tcBorders>
              <w:top w:val="nil"/>
              <w:left w:val="nil"/>
              <w:bottom w:val="nil"/>
              <w:right w:val="single" w:sz="8" w:space="0" w:color="auto"/>
            </w:tcBorders>
            <w:shd w:val="clear" w:color="auto" w:fill="auto"/>
            <w:vAlign w:val="center"/>
            <w:hideMark/>
          </w:tcPr>
          <w:p w14:paraId="2E5FF2BF" w14:textId="77777777" w:rsidR="003F5898" w:rsidRPr="00185426" w:rsidRDefault="003F5898" w:rsidP="003F5898">
            <w:pPr>
              <w:spacing w:after="0" w:line="240" w:lineRule="auto"/>
              <w:jc w:val="center"/>
              <w:rPr>
                <w:rFonts w:ascii="Arial Narrow" w:eastAsia="Times New Roman" w:hAnsi="Arial Narrow" w:cs="Arial"/>
                <w:b/>
                <w:bCs/>
                <w:sz w:val="16"/>
                <w:szCs w:val="16"/>
                <w:lang w:eastAsia="pt-BR"/>
              </w:rPr>
            </w:pPr>
            <w:r w:rsidRPr="00185426">
              <w:rPr>
                <w:rFonts w:ascii="Arial Narrow" w:eastAsia="Times New Roman" w:hAnsi="Arial Narrow" w:cs="Arial"/>
                <w:b/>
                <w:bCs/>
                <w:sz w:val="16"/>
                <w:szCs w:val="16"/>
                <w:lang w:eastAsia="pt-BR"/>
              </w:rPr>
              <w:t>ABF.G043</w:t>
            </w:r>
          </w:p>
        </w:tc>
      </w:tr>
      <w:tr w:rsidR="003F5898" w:rsidRPr="00185426" w14:paraId="557EACD2" w14:textId="77777777" w:rsidTr="00080E19">
        <w:trPr>
          <w:trHeight w:val="255"/>
        </w:trPr>
        <w:tc>
          <w:tcPr>
            <w:tcW w:w="4977" w:type="dxa"/>
            <w:tcBorders>
              <w:top w:val="nil"/>
              <w:left w:val="single" w:sz="8" w:space="0" w:color="auto"/>
              <w:bottom w:val="nil"/>
              <w:right w:val="single" w:sz="8" w:space="0" w:color="auto"/>
            </w:tcBorders>
            <w:shd w:val="clear" w:color="auto" w:fill="auto"/>
            <w:noWrap/>
            <w:vAlign w:val="center"/>
            <w:hideMark/>
          </w:tcPr>
          <w:p w14:paraId="6CD98839" w14:textId="77777777" w:rsidR="003F5898" w:rsidRPr="00185426" w:rsidRDefault="003F5898" w:rsidP="00942904">
            <w:pPr>
              <w:spacing w:after="0" w:line="240" w:lineRule="auto"/>
              <w:ind w:left="148" w:firstLineChars="133" w:firstLine="213"/>
              <w:rPr>
                <w:rFonts w:ascii="Arial Narrow" w:eastAsia="Times New Roman" w:hAnsi="Arial Narrow" w:cs="Arial"/>
                <w:sz w:val="16"/>
                <w:szCs w:val="16"/>
                <w:lang w:eastAsia="pt-BR"/>
              </w:rPr>
            </w:pPr>
            <w:r>
              <w:rPr>
                <w:rFonts w:ascii="Arial Narrow" w:eastAsia="Times New Roman" w:hAnsi="Arial Narrow" w:cs="Arial"/>
                <w:sz w:val="16"/>
                <w:szCs w:val="16"/>
                <w:lang w:eastAsia="pt-BR"/>
              </w:rPr>
              <w:t xml:space="preserve"> </w:t>
            </w:r>
            <w:r w:rsidRPr="00185426">
              <w:rPr>
                <w:rFonts w:ascii="Arial Narrow" w:eastAsia="Times New Roman" w:hAnsi="Arial Narrow" w:cs="Arial"/>
                <w:sz w:val="16"/>
                <w:szCs w:val="16"/>
                <w:lang w:eastAsia="pt-BR"/>
              </w:rPr>
              <w:t>510 – Outras Transferências de Convênios</w:t>
            </w:r>
            <w:r>
              <w:rPr>
                <w:rFonts w:ascii="Arial Narrow" w:eastAsia="Times New Roman" w:hAnsi="Arial Narrow" w:cs="Arial"/>
                <w:sz w:val="16"/>
                <w:szCs w:val="16"/>
                <w:lang w:eastAsia="pt-BR"/>
              </w:rPr>
              <w:t xml:space="preserve"> ou Contratos de Repasses da      União</w:t>
            </w:r>
          </w:p>
        </w:tc>
        <w:tc>
          <w:tcPr>
            <w:tcW w:w="1275" w:type="dxa"/>
            <w:tcBorders>
              <w:top w:val="nil"/>
              <w:left w:val="nil"/>
              <w:bottom w:val="nil"/>
              <w:right w:val="single" w:sz="8" w:space="0" w:color="auto"/>
            </w:tcBorders>
            <w:shd w:val="clear" w:color="auto" w:fill="auto"/>
            <w:vAlign w:val="center"/>
            <w:hideMark/>
          </w:tcPr>
          <w:p w14:paraId="704BF3A8"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ABF.B044</w:t>
            </w:r>
          </w:p>
        </w:tc>
        <w:tc>
          <w:tcPr>
            <w:tcW w:w="1560" w:type="dxa"/>
            <w:tcBorders>
              <w:top w:val="nil"/>
              <w:left w:val="nil"/>
              <w:bottom w:val="nil"/>
              <w:right w:val="single" w:sz="8" w:space="0" w:color="auto"/>
            </w:tcBorders>
            <w:shd w:val="clear" w:color="auto" w:fill="auto"/>
            <w:vAlign w:val="center"/>
            <w:hideMark/>
          </w:tcPr>
          <w:p w14:paraId="2CCF6519"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ABF.C044</w:t>
            </w:r>
          </w:p>
        </w:tc>
        <w:tc>
          <w:tcPr>
            <w:tcW w:w="1275" w:type="dxa"/>
            <w:tcBorders>
              <w:top w:val="nil"/>
              <w:left w:val="nil"/>
              <w:bottom w:val="nil"/>
              <w:right w:val="single" w:sz="8" w:space="0" w:color="auto"/>
            </w:tcBorders>
            <w:shd w:val="clear" w:color="auto" w:fill="auto"/>
            <w:vAlign w:val="center"/>
            <w:hideMark/>
          </w:tcPr>
          <w:p w14:paraId="2B664DAB"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ABF.D044</w:t>
            </w:r>
          </w:p>
        </w:tc>
        <w:tc>
          <w:tcPr>
            <w:tcW w:w="1276" w:type="dxa"/>
            <w:tcBorders>
              <w:top w:val="nil"/>
              <w:left w:val="nil"/>
              <w:bottom w:val="nil"/>
              <w:right w:val="single" w:sz="8" w:space="0" w:color="auto"/>
            </w:tcBorders>
            <w:shd w:val="clear" w:color="auto" w:fill="auto"/>
            <w:vAlign w:val="center"/>
            <w:hideMark/>
          </w:tcPr>
          <w:p w14:paraId="0EBE6DF1"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ABF.E044</w:t>
            </w:r>
          </w:p>
        </w:tc>
        <w:tc>
          <w:tcPr>
            <w:tcW w:w="1701" w:type="dxa"/>
            <w:tcBorders>
              <w:top w:val="nil"/>
              <w:left w:val="nil"/>
              <w:bottom w:val="nil"/>
              <w:right w:val="single" w:sz="8" w:space="0" w:color="auto"/>
            </w:tcBorders>
            <w:shd w:val="clear" w:color="auto" w:fill="auto"/>
            <w:vAlign w:val="center"/>
            <w:hideMark/>
          </w:tcPr>
          <w:p w14:paraId="3A8C81B4"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ABF.F044</w:t>
            </w:r>
          </w:p>
        </w:tc>
        <w:tc>
          <w:tcPr>
            <w:tcW w:w="1418" w:type="dxa"/>
            <w:tcBorders>
              <w:top w:val="nil"/>
              <w:left w:val="nil"/>
              <w:bottom w:val="nil"/>
              <w:right w:val="single" w:sz="8" w:space="0" w:color="auto"/>
            </w:tcBorders>
            <w:shd w:val="clear" w:color="auto" w:fill="auto"/>
            <w:vAlign w:val="center"/>
            <w:hideMark/>
          </w:tcPr>
          <w:p w14:paraId="3B58B759"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ABF.G044</w:t>
            </w:r>
          </w:p>
        </w:tc>
      </w:tr>
      <w:tr w:rsidR="003F5898" w:rsidRPr="00185426" w14:paraId="49CF8D8E" w14:textId="77777777" w:rsidTr="00080E19">
        <w:trPr>
          <w:trHeight w:val="255"/>
        </w:trPr>
        <w:tc>
          <w:tcPr>
            <w:tcW w:w="4977" w:type="dxa"/>
            <w:tcBorders>
              <w:top w:val="nil"/>
              <w:left w:val="single" w:sz="8" w:space="0" w:color="auto"/>
              <w:bottom w:val="nil"/>
              <w:right w:val="single" w:sz="8" w:space="0" w:color="auto"/>
            </w:tcBorders>
            <w:shd w:val="clear" w:color="auto" w:fill="auto"/>
            <w:noWrap/>
            <w:vAlign w:val="center"/>
            <w:hideMark/>
          </w:tcPr>
          <w:p w14:paraId="77B8C5CF" w14:textId="77777777" w:rsidR="003F5898" w:rsidRPr="00185426" w:rsidRDefault="003F5898" w:rsidP="00942904">
            <w:pPr>
              <w:spacing w:after="0" w:line="240" w:lineRule="auto"/>
              <w:ind w:left="148" w:firstLineChars="133" w:firstLine="213"/>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520 – Outras Transferências de Convênios</w:t>
            </w:r>
            <w:r>
              <w:rPr>
                <w:rFonts w:ascii="Arial Narrow" w:eastAsia="Times New Roman" w:hAnsi="Arial Narrow" w:cs="Arial"/>
                <w:sz w:val="16"/>
                <w:szCs w:val="16"/>
                <w:lang w:eastAsia="pt-BR"/>
              </w:rPr>
              <w:t xml:space="preserve"> ou Contratos de Repasses </w:t>
            </w:r>
            <w:r w:rsidRPr="00185426">
              <w:rPr>
                <w:rFonts w:ascii="Arial Narrow" w:eastAsia="Times New Roman" w:hAnsi="Arial Narrow" w:cs="Arial"/>
                <w:sz w:val="16"/>
                <w:szCs w:val="16"/>
                <w:lang w:eastAsia="pt-BR"/>
              </w:rPr>
              <w:t>dos Estados</w:t>
            </w:r>
          </w:p>
        </w:tc>
        <w:tc>
          <w:tcPr>
            <w:tcW w:w="1275" w:type="dxa"/>
            <w:tcBorders>
              <w:top w:val="nil"/>
              <w:left w:val="nil"/>
              <w:bottom w:val="nil"/>
              <w:right w:val="single" w:sz="8" w:space="0" w:color="auto"/>
            </w:tcBorders>
            <w:shd w:val="clear" w:color="auto" w:fill="auto"/>
            <w:vAlign w:val="center"/>
            <w:hideMark/>
          </w:tcPr>
          <w:p w14:paraId="06898805"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ABF.B045</w:t>
            </w:r>
          </w:p>
        </w:tc>
        <w:tc>
          <w:tcPr>
            <w:tcW w:w="1560" w:type="dxa"/>
            <w:tcBorders>
              <w:top w:val="nil"/>
              <w:left w:val="nil"/>
              <w:bottom w:val="nil"/>
              <w:right w:val="single" w:sz="8" w:space="0" w:color="auto"/>
            </w:tcBorders>
            <w:shd w:val="clear" w:color="auto" w:fill="auto"/>
            <w:vAlign w:val="center"/>
            <w:hideMark/>
          </w:tcPr>
          <w:p w14:paraId="6533D7FE"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ABF.C045</w:t>
            </w:r>
          </w:p>
        </w:tc>
        <w:tc>
          <w:tcPr>
            <w:tcW w:w="1275" w:type="dxa"/>
            <w:tcBorders>
              <w:top w:val="nil"/>
              <w:left w:val="nil"/>
              <w:bottom w:val="nil"/>
              <w:right w:val="single" w:sz="8" w:space="0" w:color="auto"/>
            </w:tcBorders>
            <w:shd w:val="clear" w:color="auto" w:fill="auto"/>
            <w:vAlign w:val="center"/>
            <w:hideMark/>
          </w:tcPr>
          <w:p w14:paraId="10F2239D"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ABF.D045</w:t>
            </w:r>
          </w:p>
        </w:tc>
        <w:tc>
          <w:tcPr>
            <w:tcW w:w="1276" w:type="dxa"/>
            <w:tcBorders>
              <w:top w:val="nil"/>
              <w:left w:val="nil"/>
              <w:bottom w:val="nil"/>
              <w:right w:val="single" w:sz="8" w:space="0" w:color="auto"/>
            </w:tcBorders>
            <w:shd w:val="clear" w:color="auto" w:fill="auto"/>
            <w:vAlign w:val="center"/>
            <w:hideMark/>
          </w:tcPr>
          <w:p w14:paraId="344CE693"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ABF.E045</w:t>
            </w:r>
          </w:p>
        </w:tc>
        <w:tc>
          <w:tcPr>
            <w:tcW w:w="1701" w:type="dxa"/>
            <w:tcBorders>
              <w:top w:val="nil"/>
              <w:left w:val="nil"/>
              <w:bottom w:val="nil"/>
              <w:right w:val="single" w:sz="8" w:space="0" w:color="auto"/>
            </w:tcBorders>
            <w:shd w:val="clear" w:color="auto" w:fill="auto"/>
            <w:vAlign w:val="center"/>
            <w:hideMark/>
          </w:tcPr>
          <w:p w14:paraId="05365326"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ABF.F045</w:t>
            </w:r>
          </w:p>
        </w:tc>
        <w:tc>
          <w:tcPr>
            <w:tcW w:w="1418" w:type="dxa"/>
            <w:tcBorders>
              <w:top w:val="nil"/>
              <w:left w:val="nil"/>
              <w:bottom w:val="nil"/>
              <w:right w:val="single" w:sz="8" w:space="0" w:color="auto"/>
            </w:tcBorders>
            <w:shd w:val="clear" w:color="auto" w:fill="auto"/>
            <w:vAlign w:val="center"/>
            <w:hideMark/>
          </w:tcPr>
          <w:p w14:paraId="10207FB2" w14:textId="77777777" w:rsidR="003F5898" w:rsidRPr="00185426" w:rsidRDefault="003F5898" w:rsidP="003F5898">
            <w:pPr>
              <w:spacing w:after="0" w:line="240" w:lineRule="auto"/>
              <w:jc w:val="center"/>
              <w:rPr>
                <w:rFonts w:ascii="Arial Narrow" w:eastAsia="Times New Roman" w:hAnsi="Arial Narrow" w:cs="Arial"/>
                <w:sz w:val="16"/>
                <w:szCs w:val="16"/>
                <w:lang w:eastAsia="pt-BR"/>
              </w:rPr>
            </w:pPr>
            <w:r w:rsidRPr="00185426">
              <w:rPr>
                <w:rFonts w:ascii="Arial Narrow" w:eastAsia="Times New Roman" w:hAnsi="Arial Narrow" w:cs="Arial"/>
                <w:sz w:val="16"/>
                <w:szCs w:val="16"/>
                <w:lang w:eastAsia="pt-BR"/>
              </w:rPr>
              <w:t>ABF.G045</w:t>
            </w:r>
          </w:p>
        </w:tc>
      </w:tr>
      <w:tr w:rsidR="003F5898" w:rsidRPr="00185426" w14:paraId="24C0045F" w14:textId="77777777" w:rsidTr="00080E19">
        <w:trPr>
          <w:trHeight w:val="255"/>
        </w:trPr>
        <w:tc>
          <w:tcPr>
            <w:tcW w:w="4977" w:type="dxa"/>
            <w:tcBorders>
              <w:top w:val="nil"/>
              <w:left w:val="single" w:sz="8" w:space="0" w:color="auto"/>
              <w:bottom w:val="nil"/>
              <w:right w:val="single" w:sz="8" w:space="0" w:color="auto"/>
            </w:tcBorders>
            <w:shd w:val="clear" w:color="auto" w:fill="auto"/>
            <w:noWrap/>
            <w:vAlign w:val="center"/>
          </w:tcPr>
          <w:p w14:paraId="3A765BC6" w14:textId="77777777" w:rsidR="003F5898" w:rsidRPr="00CA4C03" w:rsidRDefault="003F5898" w:rsidP="003F5898">
            <w:pPr>
              <w:spacing w:after="0" w:line="240" w:lineRule="auto"/>
              <w:ind w:left="148" w:firstLineChars="133" w:firstLine="213"/>
              <w:rPr>
                <w:rFonts w:ascii="Arial Narrow" w:eastAsia="Times New Roman" w:hAnsi="Arial Narrow" w:cs="Arial"/>
                <w:sz w:val="16"/>
                <w:szCs w:val="16"/>
                <w:lang w:eastAsia="pt-BR"/>
              </w:rPr>
            </w:pPr>
            <w:r w:rsidRPr="00CA4C03">
              <w:rPr>
                <w:rFonts w:ascii="Arial Narrow" w:eastAsia="Times New Roman" w:hAnsi="Arial Narrow" w:cs="Arial"/>
                <w:sz w:val="16"/>
                <w:szCs w:val="16"/>
                <w:lang w:eastAsia="pt-BR"/>
              </w:rPr>
              <w:t>550 - Transferência Especial da União</w:t>
            </w:r>
          </w:p>
        </w:tc>
        <w:tc>
          <w:tcPr>
            <w:tcW w:w="1275" w:type="dxa"/>
            <w:tcBorders>
              <w:top w:val="nil"/>
              <w:left w:val="nil"/>
              <w:bottom w:val="nil"/>
              <w:right w:val="single" w:sz="8" w:space="0" w:color="auto"/>
            </w:tcBorders>
            <w:shd w:val="clear" w:color="auto" w:fill="auto"/>
            <w:vAlign w:val="center"/>
          </w:tcPr>
          <w:p w14:paraId="69AB96F0" w14:textId="77777777" w:rsidR="003F5898" w:rsidRPr="00CA4C03" w:rsidRDefault="003F5898" w:rsidP="003F5898">
            <w:pPr>
              <w:spacing w:after="0" w:line="240" w:lineRule="auto"/>
              <w:jc w:val="center"/>
              <w:rPr>
                <w:rFonts w:ascii="Arial Narrow" w:eastAsia="Times New Roman" w:hAnsi="Arial Narrow" w:cs="Arial"/>
                <w:sz w:val="16"/>
                <w:szCs w:val="16"/>
                <w:lang w:eastAsia="pt-BR"/>
              </w:rPr>
            </w:pPr>
            <w:r w:rsidRPr="00CA4C03">
              <w:rPr>
                <w:rFonts w:ascii="Arial Narrow" w:eastAsia="Times New Roman" w:hAnsi="Arial Narrow" w:cs="Arial"/>
                <w:sz w:val="16"/>
                <w:szCs w:val="16"/>
                <w:lang w:eastAsia="pt-BR"/>
              </w:rPr>
              <w:t>ABF.B087</w:t>
            </w:r>
          </w:p>
        </w:tc>
        <w:tc>
          <w:tcPr>
            <w:tcW w:w="1560" w:type="dxa"/>
            <w:tcBorders>
              <w:top w:val="nil"/>
              <w:left w:val="nil"/>
              <w:bottom w:val="nil"/>
              <w:right w:val="single" w:sz="8" w:space="0" w:color="auto"/>
            </w:tcBorders>
            <w:shd w:val="clear" w:color="auto" w:fill="auto"/>
            <w:vAlign w:val="center"/>
          </w:tcPr>
          <w:p w14:paraId="76CA777C" w14:textId="77777777" w:rsidR="003F5898" w:rsidRPr="00CA4C03" w:rsidRDefault="003F5898" w:rsidP="003F5898">
            <w:pPr>
              <w:spacing w:after="0" w:line="240" w:lineRule="auto"/>
              <w:jc w:val="center"/>
              <w:rPr>
                <w:rFonts w:ascii="Arial Narrow" w:eastAsia="Times New Roman" w:hAnsi="Arial Narrow" w:cs="Arial"/>
                <w:sz w:val="16"/>
                <w:szCs w:val="16"/>
                <w:lang w:eastAsia="pt-BR"/>
              </w:rPr>
            </w:pPr>
            <w:r w:rsidRPr="00CA4C03">
              <w:rPr>
                <w:rFonts w:ascii="Arial Narrow" w:eastAsia="Times New Roman" w:hAnsi="Arial Narrow" w:cs="Arial"/>
                <w:sz w:val="16"/>
                <w:szCs w:val="16"/>
                <w:lang w:eastAsia="pt-BR"/>
              </w:rPr>
              <w:t>ABF.C087</w:t>
            </w:r>
          </w:p>
        </w:tc>
        <w:tc>
          <w:tcPr>
            <w:tcW w:w="1275" w:type="dxa"/>
            <w:tcBorders>
              <w:top w:val="nil"/>
              <w:left w:val="nil"/>
              <w:bottom w:val="nil"/>
              <w:right w:val="single" w:sz="8" w:space="0" w:color="auto"/>
            </w:tcBorders>
            <w:shd w:val="clear" w:color="auto" w:fill="auto"/>
            <w:vAlign w:val="center"/>
          </w:tcPr>
          <w:p w14:paraId="5056CB61" w14:textId="77777777" w:rsidR="003F5898" w:rsidRPr="00CA4C03" w:rsidRDefault="003F5898" w:rsidP="003F5898">
            <w:pPr>
              <w:spacing w:after="0" w:line="240" w:lineRule="auto"/>
              <w:jc w:val="center"/>
              <w:rPr>
                <w:rFonts w:ascii="Arial Narrow" w:eastAsia="Times New Roman" w:hAnsi="Arial Narrow" w:cs="Arial"/>
                <w:sz w:val="16"/>
                <w:szCs w:val="16"/>
                <w:lang w:eastAsia="pt-BR"/>
              </w:rPr>
            </w:pPr>
            <w:r w:rsidRPr="00CA4C03">
              <w:rPr>
                <w:rFonts w:ascii="Arial Narrow" w:eastAsia="Times New Roman" w:hAnsi="Arial Narrow" w:cs="Arial"/>
                <w:sz w:val="16"/>
                <w:szCs w:val="16"/>
                <w:lang w:eastAsia="pt-BR"/>
              </w:rPr>
              <w:t>ABF.D087</w:t>
            </w:r>
          </w:p>
        </w:tc>
        <w:tc>
          <w:tcPr>
            <w:tcW w:w="1276" w:type="dxa"/>
            <w:tcBorders>
              <w:top w:val="nil"/>
              <w:left w:val="nil"/>
              <w:bottom w:val="nil"/>
              <w:right w:val="single" w:sz="8" w:space="0" w:color="auto"/>
            </w:tcBorders>
            <w:shd w:val="clear" w:color="auto" w:fill="auto"/>
            <w:vAlign w:val="center"/>
          </w:tcPr>
          <w:p w14:paraId="2CC5217B" w14:textId="77777777" w:rsidR="003F5898" w:rsidRPr="00CA4C03" w:rsidRDefault="003F5898" w:rsidP="003F5898">
            <w:pPr>
              <w:spacing w:after="0" w:line="240" w:lineRule="auto"/>
              <w:jc w:val="center"/>
              <w:rPr>
                <w:rFonts w:ascii="Arial Narrow" w:eastAsia="Times New Roman" w:hAnsi="Arial Narrow" w:cs="Arial"/>
                <w:sz w:val="16"/>
                <w:szCs w:val="16"/>
                <w:lang w:eastAsia="pt-BR"/>
              </w:rPr>
            </w:pPr>
            <w:r w:rsidRPr="00CA4C03">
              <w:rPr>
                <w:rFonts w:ascii="Arial Narrow" w:eastAsia="Times New Roman" w:hAnsi="Arial Narrow" w:cs="Arial"/>
                <w:sz w:val="16"/>
                <w:szCs w:val="16"/>
                <w:lang w:eastAsia="pt-BR"/>
              </w:rPr>
              <w:t>ABF.E087</w:t>
            </w:r>
          </w:p>
        </w:tc>
        <w:tc>
          <w:tcPr>
            <w:tcW w:w="1701" w:type="dxa"/>
            <w:tcBorders>
              <w:top w:val="nil"/>
              <w:left w:val="nil"/>
              <w:bottom w:val="nil"/>
              <w:right w:val="single" w:sz="8" w:space="0" w:color="auto"/>
            </w:tcBorders>
            <w:shd w:val="clear" w:color="auto" w:fill="auto"/>
            <w:vAlign w:val="center"/>
          </w:tcPr>
          <w:p w14:paraId="21A22BF9" w14:textId="77777777" w:rsidR="003F5898" w:rsidRPr="00CA4C03" w:rsidRDefault="003F5898" w:rsidP="003F5898">
            <w:pPr>
              <w:spacing w:after="0" w:line="240" w:lineRule="auto"/>
              <w:jc w:val="center"/>
              <w:rPr>
                <w:rFonts w:ascii="Arial Narrow" w:eastAsia="Times New Roman" w:hAnsi="Arial Narrow" w:cs="Arial"/>
                <w:sz w:val="16"/>
                <w:szCs w:val="16"/>
                <w:lang w:eastAsia="pt-BR"/>
              </w:rPr>
            </w:pPr>
            <w:r w:rsidRPr="00CA4C03">
              <w:rPr>
                <w:rFonts w:ascii="Arial Narrow" w:eastAsia="Times New Roman" w:hAnsi="Arial Narrow" w:cs="Arial"/>
                <w:sz w:val="16"/>
                <w:szCs w:val="16"/>
                <w:lang w:eastAsia="pt-BR"/>
              </w:rPr>
              <w:t>ABF.F087</w:t>
            </w:r>
          </w:p>
        </w:tc>
        <w:tc>
          <w:tcPr>
            <w:tcW w:w="1418" w:type="dxa"/>
            <w:tcBorders>
              <w:top w:val="nil"/>
              <w:left w:val="nil"/>
              <w:bottom w:val="nil"/>
              <w:right w:val="single" w:sz="8" w:space="0" w:color="auto"/>
            </w:tcBorders>
            <w:shd w:val="clear" w:color="auto" w:fill="auto"/>
            <w:vAlign w:val="center"/>
          </w:tcPr>
          <w:p w14:paraId="657DC373" w14:textId="77777777" w:rsidR="003F5898" w:rsidRPr="00CA4C03" w:rsidRDefault="003F5898" w:rsidP="003F5898">
            <w:pPr>
              <w:spacing w:after="0" w:line="240" w:lineRule="auto"/>
              <w:jc w:val="center"/>
              <w:rPr>
                <w:rFonts w:ascii="Arial Narrow" w:eastAsia="Times New Roman" w:hAnsi="Arial Narrow" w:cs="Arial"/>
                <w:sz w:val="16"/>
                <w:szCs w:val="16"/>
                <w:lang w:eastAsia="pt-BR"/>
              </w:rPr>
            </w:pPr>
            <w:r w:rsidRPr="00CA4C03">
              <w:rPr>
                <w:rFonts w:ascii="Arial Narrow" w:eastAsia="Times New Roman" w:hAnsi="Arial Narrow" w:cs="Arial"/>
                <w:sz w:val="16"/>
                <w:szCs w:val="16"/>
                <w:lang w:eastAsia="pt-BR"/>
              </w:rPr>
              <w:t>ABF.G087</w:t>
            </w:r>
          </w:p>
        </w:tc>
      </w:tr>
      <w:tr w:rsidR="003F5898" w:rsidRPr="00185426" w14:paraId="3E099CBA" w14:textId="77777777" w:rsidTr="00080E19">
        <w:trPr>
          <w:trHeight w:val="255"/>
        </w:trPr>
        <w:tc>
          <w:tcPr>
            <w:tcW w:w="4977" w:type="dxa"/>
            <w:tcBorders>
              <w:top w:val="nil"/>
              <w:left w:val="single" w:sz="8" w:space="0" w:color="auto"/>
              <w:bottom w:val="nil"/>
              <w:right w:val="single" w:sz="8" w:space="0" w:color="auto"/>
            </w:tcBorders>
            <w:shd w:val="clear" w:color="auto" w:fill="auto"/>
            <w:noWrap/>
            <w:vAlign w:val="center"/>
          </w:tcPr>
          <w:p w14:paraId="42A34C29" w14:textId="37A1FB5B" w:rsidR="003F5898" w:rsidRPr="00CA4C03" w:rsidRDefault="003F5898" w:rsidP="003F5898">
            <w:pPr>
              <w:spacing w:after="0" w:line="240" w:lineRule="auto"/>
              <w:ind w:left="148" w:firstLineChars="133" w:firstLine="213"/>
              <w:rPr>
                <w:rFonts w:ascii="Arial Narrow" w:eastAsia="Times New Roman" w:hAnsi="Arial Narrow" w:cs="Arial"/>
                <w:sz w:val="16"/>
                <w:szCs w:val="16"/>
                <w:lang w:eastAsia="pt-BR"/>
              </w:rPr>
            </w:pPr>
            <w:r w:rsidRPr="000B19AE">
              <w:rPr>
                <w:rFonts w:ascii="Arial Narrow" w:eastAsia="Times New Roman" w:hAnsi="Arial Narrow" w:cs="Arial"/>
                <w:color w:val="0070C0"/>
                <w:sz w:val="16"/>
                <w:szCs w:val="16"/>
                <w:lang w:eastAsia="pt-BR"/>
              </w:rPr>
              <w:t>560 – Trasnsferências da União – Inciso I do Artigo 5º da LC 173/2020</w:t>
            </w:r>
          </w:p>
        </w:tc>
        <w:tc>
          <w:tcPr>
            <w:tcW w:w="1275" w:type="dxa"/>
            <w:tcBorders>
              <w:top w:val="nil"/>
              <w:left w:val="nil"/>
              <w:bottom w:val="nil"/>
              <w:right w:val="single" w:sz="8" w:space="0" w:color="auto"/>
            </w:tcBorders>
            <w:shd w:val="clear" w:color="auto" w:fill="auto"/>
            <w:vAlign w:val="center"/>
          </w:tcPr>
          <w:p w14:paraId="0DAD96EA" w14:textId="1D2A5981" w:rsidR="003F5898" w:rsidRPr="00CA4C03" w:rsidRDefault="003F5898" w:rsidP="003F5898">
            <w:pPr>
              <w:spacing w:after="0" w:line="240" w:lineRule="auto"/>
              <w:jc w:val="center"/>
              <w:rPr>
                <w:rFonts w:ascii="Arial Narrow" w:eastAsia="Times New Roman" w:hAnsi="Arial Narrow" w:cs="Arial"/>
                <w:sz w:val="16"/>
                <w:szCs w:val="16"/>
                <w:lang w:eastAsia="pt-BR"/>
              </w:rPr>
            </w:pPr>
            <w:r w:rsidRPr="003F5898">
              <w:rPr>
                <w:rFonts w:ascii="Arial Narrow" w:eastAsia="Times New Roman" w:hAnsi="Arial Narrow" w:cs="Arial"/>
                <w:color w:val="0070C0"/>
                <w:sz w:val="16"/>
                <w:szCs w:val="16"/>
                <w:lang w:eastAsia="pt-BR"/>
              </w:rPr>
              <w:t>ABF.B09</w:t>
            </w:r>
            <w:r>
              <w:rPr>
                <w:rFonts w:ascii="Arial Narrow" w:eastAsia="Times New Roman" w:hAnsi="Arial Narrow" w:cs="Arial"/>
                <w:color w:val="0070C0"/>
                <w:sz w:val="16"/>
                <w:szCs w:val="16"/>
                <w:lang w:eastAsia="pt-BR"/>
              </w:rPr>
              <w:t>3</w:t>
            </w:r>
          </w:p>
        </w:tc>
        <w:tc>
          <w:tcPr>
            <w:tcW w:w="1560" w:type="dxa"/>
            <w:tcBorders>
              <w:top w:val="nil"/>
              <w:left w:val="nil"/>
              <w:bottom w:val="nil"/>
              <w:right w:val="single" w:sz="8" w:space="0" w:color="auto"/>
            </w:tcBorders>
            <w:shd w:val="clear" w:color="auto" w:fill="auto"/>
            <w:vAlign w:val="center"/>
          </w:tcPr>
          <w:p w14:paraId="57835690" w14:textId="4C1D5385" w:rsidR="003F5898" w:rsidRPr="00CA4C03" w:rsidRDefault="003F5898" w:rsidP="003F5898">
            <w:pPr>
              <w:spacing w:after="0" w:line="240" w:lineRule="auto"/>
              <w:jc w:val="center"/>
              <w:rPr>
                <w:rFonts w:ascii="Arial Narrow" w:eastAsia="Times New Roman" w:hAnsi="Arial Narrow" w:cs="Arial"/>
                <w:sz w:val="16"/>
                <w:szCs w:val="16"/>
                <w:lang w:eastAsia="pt-BR"/>
              </w:rPr>
            </w:pPr>
            <w:r w:rsidRPr="003F5898">
              <w:rPr>
                <w:rFonts w:ascii="Arial Narrow" w:eastAsia="Times New Roman" w:hAnsi="Arial Narrow" w:cs="Arial"/>
                <w:color w:val="0070C0"/>
                <w:sz w:val="16"/>
                <w:szCs w:val="16"/>
                <w:lang w:eastAsia="pt-BR"/>
              </w:rPr>
              <w:t>ABF.</w:t>
            </w:r>
            <w:r>
              <w:rPr>
                <w:rFonts w:ascii="Arial Narrow" w:eastAsia="Times New Roman" w:hAnsi="Arial Narrow" w:cs="Arial"/>
                <w:color w:val="0070C0"/>
                <w:sz w:val="16"/>
                <w:szCs w:val="16"/>
                <w:lang w:eastAsia="pt-BR"/>
              </w:rPr>
              <w:t>C</w:t>
            </w:r>
            <w:r w:rsidRPr="003F5898">
              <w:rPr>
                <w:rFonts w:ascii="Arial Narrow" w:eastAsia="Times New Roman" w:hAnsi="Arial Narrow" w:cs="Arial"/>
                <w:color w:val="0070C0"/>
                <w:sz w:val="16"/>
                <w:szCs w:val="16"/>
                <w:lang w:eastAsia="pt-BR"/>
              </w:rPr>
              <w:t>09</w:t>
            </w:r>
            <w:r>
              <w:rPr>
                <w:rFonts w:ascii="Arial Narrow" w:eastAsia="Times New Roman" w:hAnsi="Arial Narrow" w:cs="Arial"/>
                <w:color w:val="0070C0"/>
                <w:sz w:val="16"/>
                <w:szCs w:val="16"/>
                <w:lang w:eastAsia="pt-BR"/>
              </w:rPr>
              <w:t>3</w:t>
            </w:r>
          </w:p>
        </w:tc>
        <w:tc>
          <w:tcPr>
            <w:tcW w:w="1275" w:type="dxa"/>
            <w:tcBorders>
              <w:top w:val="nil"/>
              <w:left w:val="nil"/>
              <w:bottom w:val="nil"/>
              <w:right w:val="single" w:sz="8" w:space="0" w:color="auto"/>
            </w:tcBorders>
            <w:shd w:val="clear" w:color="auto" w:fill="auto"/>
            <w:vAlign w:val="center"/>
          </w:tcPr>
          <w:p w14:paraId="649CBE0F" w14:textId="2CCD029D" w:rsidR="003F5898" w:rsidRPr="00CA4C03" w:rsidRDefault="003F5898" w:rsidP="003F5898">
            <w:pPr>
              <w:spacing w:after="0" w:line="240" w:lineRule="auto"/>
              <w:jc w:val="center"/>
              <w:rPr>
                <w:rFonts w:ascii="Arial Narrow" w:eastAsia="Times New Roman" w:hAnsi="Arial Narrow" w:cs="Arial"/>
                <w:sz w:val="16"/>
                <w:szCs w:val="16"/>
                <w:lang w:eastAsia="pt-BR"/>
              </w:rPr>
            </w:pPr>
            <w:r w:rsidRPr="003F5898">
              <w:rPr>
                <w:rFonts w:ascii="Arial Narrow" w:eastAsia="Times New Roman" w:hAnsi="Arial Narrow" w:cs="Arial"/>
                <w:color w:val="0070C0"/>
                <w:sz w:val="16"/>
                <w:szCs w:val="16"/>
                <w:lang w:eastAsia="pt-BR"/>
              </w:rPr>
              <w:t>ABF.</w:t>
            </w:r>
            <w:r>
              <w:rPr>
                <w:rFonts w:ascii="Arial Narrow" w:eastAsia="Times New Roman" w:hAnsi="Arial Narrow" w:cs="Arial"/>
                <w:color w:val="0070C0"/>
                <w:sz w:val="16"/>
                <w:szCs w:val="16"/>
                <w:lang w:eastAsia="pt-BR"/>
              </w:rPr>
              <w:t>D</w:t>
            </w:r>
            <w:r w:rsidRPr="003F5898">
              <w:rPr>
                <w:rFonts w:ascii="Arial Narrow" w:eastAsia="Times New Roman" w:hAnsi="Arial Narrow" w:cs="Arial"/>
                <w:color w:val="0070C0"/>
                <w:sz w:val="16"/>
                <w:szCs w:val="16"/>
                <w:lang w:eastAsia="pt-BR"/>
              </w:rPr>
              <w:t>09</w:t>
            </w:r>
            <w:r>
              <w:rPr>
                <w:rFonts w:ascii="Arial Narrow" w:eastAsia="Times New Roman" w:hAnsi="Arial Narrow" w:cs="Arial"/>
                <w:color w:val="0070C0"/>
                <w:sz w:val="16"/>
                <w:szCs w:val="16"/>
                <w:lang w:eastAsia="pt-BR"/>
              </w:rPr>
              <w:t>3</w:t>
            </w:r>
          </w:p>
        </w:tc>
        <w:tc>
          <w:tcPr>
            <w:tcW w:w="1276" w:type="dxa"/>
            <w:tcBorders>
              <w:top w:val="nil"/>
              <w:left w:val="nil"/>
              <w:bottom w:val="nil"/>
              <w:right w:val="single" w:sz="8" w:space="0" w:color="auto"/>
            </w:tcBorders>
            <w:shd w:val="clear" w:color="auto" w:fill="auto"/>
            <w:vAlign w:val="center"/>
          </w:tcPr>
          <w:p w14:paraId="6C3426EE" w14:textId="629D1A7A" w:rsidR="003F5898" w:rsidRPr="00CA4C03" w:rsidRDefault="003F5898" w:rsidP="003F5898">
            <w:pPr>
              <w:spacing w:after="0" w:line="240" w:lineRule="auto"/>
              <w:jc w:val="center"/>
              <w:rPr>
                <w:rFonts w:ascii="Arial Narrow" w:eastAsia="Times New Roman" w:hAnsi="Arial Narrow" w:cs="Arial"/>
                <w:sz w:val="16"/>
                <w:szCs w:val="16"/>
                <w:lang w:eastAsia="pt-BR"/>
              </w:rPr>
            </w:pPr>
            <w:r w:rsidRPr="003F5898">
              <w:rPr>
                <w:rFonts w:ascii="Arial Narrow" w:eastAsia="Times New Roman" w:hAnsi="Arial Narrow" w:cs="Arial"/>
                <w:color w:val="0070C0"/>
                <w:sz w:val="16"/>
                <w:szCs w:val="16"/>
                <w:lang w:eastAsia="pt-BR"/>
              </w:rPr>
              <w:t>ABF.</w:t>
            </w:r>
            <w:r>
              <w:rPr>
                <w:rFonts w:ascii="Arial Narrow" w:eastAsia="Times New Roman" w:hAnsi="Arial Narrow" w:cs="Arial"/>
                <w:color w:val="0070C0"/>
                <w:sz w:val="16"/>
                <w:szCs w:val="16"/>
                <w:lang w:eastAsia="pt-BR"/>
              </w:rPr>
              <w:t>E</w:t>
            </w:r>
            <w:r w:rsidRPr="003F5898">
              <w:rPr>
                <w:rFonts w:ascii="Arial Narrow" w:eastAsia="Times New Roman" w:hAnsi="Arial Narrow" w:cs="Arial"/>
                <w:color w:val="0070C0"/>
                <w:sz w:val="16"/>
                <w:szCs w:val="16"/>
                <w:lang w:eastAsia="pt-BR"/>
              </w:rPr>
              <w:t>09</w:t>
            </w:r>
            <w:r>
              <w:rPr>
                <w:rFonts w:ascii="Arial Narrow" w:eastAsia="Times New Roman" w:hAnsi="Arial Narrow" w:cs="Arial"/>
                <w:color w:val="0070C0"/>
                <w:sz w:val="16"/>
                <w:szCs w:val="16"/>
                <w:lang w:eastAsia="pt-BR"/>
              </w:rPr>
              <w:t>3</w:t>
            </w:r>
          </w:p>
        </w:tc>
        <w:tc>
          <w:tcPr>
            <w:tcW w:w="1701" w:type="dxa"/>
            <w:tcBorders>
              <w:top w:val="nil"/>
              <w:left w:val="nil"/>
              <w:bottom w:val="nil"/>
              <w:right w:val="single" w:sz="8" w:space="0" w:color="auto"/>
            </w:tcBorders>
            <w:shd w:val="clear" w:color="auto" w:fill="auto"/>
            <w:vAlign w:val="center"/>
          </w:tcPr>
          <w:p w14:paraId="27C65E5D" w14:textId="66D99975" w:rsidR="003F5898" w:rsidRPr="00CA4C03" w:rsidRDefault="003F5898" w:rsidP="003F5898">
            <w:pPr>
              <w:spacing w:after="0" w:line="240" w:lineRule="auto"/>
              <w:jc w:val="center"/>
              <w:rPr>
                <w:rFonts w:ascii="Arial Narrow" w:eastAsia="Times New Roman" w:hAnsi="Arial Narrow" w:cs="Arial"/>
                <w:sz w:val="16"/>
                <w:szCs w:val="16"/>
                <w:lang w:eastAsia="pt-BR"/>
              </w:rPr>
            </w:pPr>
            <w:r w:rsidRPr="003F5898">
              <w:rPr>
                <w:rFonts w:ascii="Arial Narrow" w:eastAsia="Times New Roman" w:hAnsi="Arial Narrow" w:cs="Arial"/>
                <w:color w:val="0070C0"/>
                <w:sz w:val="16"/>
                <w:szCs w:val="16"/>
                <w:lang w:eastAsia="pt-BR"/>
              </w:rPr>
              <w:t>ABF.</w:t>
            </w:r>
            <w:r>
              <w:rPr>
                <w:rFonts w:ascii="Arial Narrow" w:eastAsia="Times New Roman" w:hAnsi="Arial Narrow" w:cs="Arial"/>
                <w:color w:val="0070C0"/>
                <w:sz w:val="16"/>
                <w:szCs w:val="16"/>
                <w:lang w:eastAsia="pt-BR"/>
              </w:rPr>
              <w:t>F</w:t>
            </w:r>
            <w:r w:rsidRPr="003F5898">
              <w:rPr>
                <w:rFonts w:ascii="Arial Narrow" w:eastAsia="Times New Roman" w:hAnsi="Arial Narrow" w:cs="Arial"/>
                <w:color w:val="0070C0"/>
                <w:sz w:val="16"/>
                <w:szCs w:val="16"/>
                <w:lang w:eastAsia="pt-BR"/>
              </w:rPr>
              <w:t>09</w:t>
            </w:r>
            <w:r>
              <w:rPr>
                <w:rFonts w:ascii="Arial Narrow" w:eastAsia="Times New Roman" w:hAnsi="Arial Narrow" w:cs="Arial"/>
                <w:color w:val="0070C0"/>
                <w:sz w:val="16"/>
                <w:szCs w:val="16"/>
                <w:lang w:eastAsia="pt-BR"/>
              </w:rPr>
              <w:t>3</w:t>
            </w:r>
          </w:p>
        </w:tc>
        <w:tc>
          <w:tcPr>
            <w:tcW w:w="1418" w:type="dxa"/>
            <w:tcBorders>
              <w:top w:val="nil"/>
              <w:left w:val="nil"/>
              <w:bottom w:val="nil"/>
              <w:right w:val="single" w:sz="8" w:space="0" w:color="auto"/>
            </w:tcBorders>
            <w:shd w:val="clear" w:color="auto" w:fill="auto"/>
            <w:vAlign w:val="center"/>
          </w:tcPr>
          <w:p w14:paraId="001EF0D4" w14:textId="084C5C50" w:rsidR="003F5898" w:rsidRPr="00CA4C03" w:rsidRDefault="003F5898" w:rsidP="003F5898">
            <w:pPr>
              <w:spacing w:after="0" w:line="240" w:lineRule="auto"/>
              <w:jc w:val="center"/>
              <w:rPr>
                <w:rFonts w:ascii="Arial Narrow" w:eastAsia="Times New Roman" w:hAnsi="Arial Narrow" w:cs="Arial"/>
                <w:sz w:val="16"/>
                <w:szCs w:val="16"/>
                <w:lang w:eastAsia="pt-BR"/>
              </w:rPr>
            </w:pPr>
            <w:r w:rsidRPr="003F5898">
              <w:rPr>
                <w:rFonts w:ascii="Arial Narrow" w:eastAsia="Times New Roman" w:hAnsi="Arial Narrow" w:cs="Arial"/>
                <w:color w:val="0070C0"/>
                <w:sz w:val="16"/>
                <w:szCs w:val="16"/>
                <w:lang w:eastAsia="pt-BR"/>
              </w:rPr>
              <w:t>ABF.</w:t>
            </w:r>
            <w:r>
              <w:rPr>
                <w:rFonts w:ascii="Arial Narrow" w:eastAsia="Times New Roman" w:hAnsi="Arial Narrow" w:cs="Arial"/>
                <w:color w:val="0070C0"/>
                <w:sz w:val="16"/>
                <w:szCs w:val="16"/>
                <w:lang w:eastAsia="pt-BR"/>
              </w:rPr>
              <w:t>G</w:t>
            </w:r>
            <w:r w:rsidRPr="003F5898">
              <w:rPr>
                <w:rFonts w:ascii="Arial Narrow" w:eastAsia="Times New Roman" w:hAnsi="Arial Narrow" w:cs="Arial"/>
                <w:color w:val="0070C0"/>
                <w:sz w:val="16"/>
                <w:szCs w:val="16"/>
                <w:lang w:eastAsia="pt-BR"/>
              </w:rPr>
              <w:t>09</w:t>
            </w:r>
            <w:r>
              <w:rPr>
                <w:rFonts w:ascii="Arial Narrow" w:eastAsia="Times New Roman" w:hAnsi="Arial Narrow" w:cs="Arial"/>
                <w:color w:val="0070C0"/>
                <w:sz w:val="16"/>
                <w:szCs w:val="16"/>
                <w:lang w:eastAsia="pt-BR"/>
              </w:rPr>
              <w:t>3</w:t>
            </w:r>
          </w:p>
        </w:tc>
      </w:tr>
      <w:tr w:rsidR="003F5898" w:rsidRPr="00185426" w14:paraId="5997F419" w14:textId="77777777" w:rsidTr="00080E19">
        <w:trPr>
          <w:trHeight w:val="255"/>
        </w:trPr>
        <w:tc>
          <w:tcPr>
            <w:tcW w:w="4977" w:type="dxa"/>
            <w:tcBorders>
              <w:top w:val="nil"/>
              <w:left w:val="single" w:sz="8" w:space="0" w:color="auto"/>
              <w:bottom w:val="nil"/>
              <w:right w:val="single" w:sz="8" w:space="0" w:color="auto"/>
            </w:tcBorders>
            <w:shd w:val="clear" w:color="auto" w:fill="auto"/>
            <w:noWrap/>
            <w:vAlign w:val="center"/>
            <w:hideMark/>
          </w:tcPr>
          <w:p w14:paraId="75747212" w14:textId="77777777" w:rsidR="003F5898" w:rsidRPr="00CA4C03" w:rsidRDefault="003F5898" w:rsidP="003F5898">
            <w:pPr>
              <w:spacing w:after="0" w:line="240" w:lineRule="auto"/>
              <w:ind w:firstLineChars="133" w:firstLine="213"/>
              <w:rPr>
                <w:rFonts w:ascii="Arial Narrow" w:eastAsia="Times New Roman" w:hAnsi="Arial Narrow" w:cs="Arial"/>
                <w:sz w:val="16"/>
                <w:szCs w:val="16"/>
                <w:lang w:eastAsia="pt-BR"/>
              </w:rPr>
            </w:pPr>
            <w:r w:rsidRPr="00CA4C03">
              <w:rPr>
                <w:rFonts w:ascii="Arial Narrow" w:eastAsia="Times New Roman" w:hAnsi="Arial Narrow" w:cs="Arial"/>
                <w:sz w:val="16"/>
                <w:szCs w:val="16"/>
                <w:lang w:eastAsia="pt-BR"/>
              </w:rPr>
              <w:t xml:space="preserve">    610 – Contribuição de Intervenção no Domínio Econômico - CIDE</w:t>
            </w:r>
          </w:p>
        </w:tc>
        <w:tc>
          <w:tcPr>
            <w:tcW w:w="1275" w:type="dxa"/>
            <w:tcBorders>
              <w:top w:val="nil"/>
              <w:left w:val="nil"/>
              <w:bottom w:val="nil"/>
              <w:right w:val="single" w:sz="8" w:space="0" w:color="auto"/>
            </w:tcBorders>
            <w:shd w:val="clear" w:color="auto" w:fill="auto"/>
            <w:vAlign w:val="center"/>
            <w:hideMark/>
          </w:tcPr>
          <w:p w14:paraId="0F491A46" w14:textId="77777777" w:rsidR="003F5898" w:rsidRPr="00CA4C03" w:rsidRDefault="003F5898" w:rsidP="003F5898">
            <w:pPr>
              <w:spacing w:after="0" w:line="240" w:lineRule="auto"/>
              <w:jc w:val="center"/>
              <w:rPr>
                <w:rFonts w:ascii="Arial Narrow" w:eastAsia="Times New Roman" w:hAnsi="Arial Narrow" w:cs="Arial"/>
                <w:sz w:val="16"/>
                <w:szCs w:val="16"/>
                <w:lang w:eastAsia="pt-BR"/>
              </w:rPr>
            </w:pPr>
            <w:r w:rsidRPr="00CA4C03">
              <w:rPr>
                <w:rFonts w:ascii="Arial Narrow" w:eastAsia="Times New Roman" w:hAnsi="Arial Narrow" w:cs="Arial"/>
                <w:sz w:val="16"/>
                <w:szCs w:val="16"/>
                <w:lang w:eastAsia="pt-BR"/>
              </w:rPr>
              <w:t>ABF.B046</w:t>
            </w:r>
          </w:p>
        </w:tc>
        <w:tc>
          <w:tcPr>
            <w:tcW w:w="1560" w:type="dxa"/>
            <w:tcBorders>
              <w:top w:val="nil"/>
              <w:left w:val="nil"/>
              <w:bottom w:val="nil"/>
              <w:right w:val="single" w:sz="8" w:space="0" w:color="auto"/>
            </w:tcBorders>
            <w:shd w:val="clear" w:color="auto" w:fill="auto"/>
            <w:vAlign w:val="center"/>
            <w:hideMark/>
          </w:tcPr>
          <w:p w14:paraId="02819B1E" w14:textId="77777777" w:rsidR="003F5898" w:rsidRPr="00CA4C03" w:rsidRDefault="003F5898" w:rsidP="003F5898">
            <w:pPr>
              <w:spacing w:after="0" w:line="240" w:lineRule="auto"/>
              <w:jc w:val="center"/>
              <w:rPr>
                <w:rFonts w:ascii="Arial Narrow" w:eastAsia="Times New Roman" w:hAnsi="Arial Narrow" w:cs="Arial"/>
                <w:sz w:val="16"/>
                <w:szCs w:val="16"/>
                <w:lang w:eastAsia="pt-BR"/>
              </w:rPr>
            </w:pPr>
            <w:r w:rsidRPr="00CA4C03">
              <w:rPr>
                <w:rFonts w:ascii="Arial Narrow" w:eastAsia="Times New Roman" w:hAnsi="Arial Narrow" w:cs="Arial"/>
                <w:sz w:val="16"/>
                <w:szCs w:val="16"/>
                <w:lang w:eastAsia="pt-BR"/>
              </w:rPr>
              <w:t>ABF.C046</w:t>
            </w:r>
          </w:p>
        </w:tc>
        <w:tc>
          <w:tcPr>
            <w:tcW w:w="1275" w:type="dxa"/>
            <w:tcBorders>
              <w:top w:val="nil"/>
              <w:left w:val="nil"/>
              <w:bottom w:val="nil"/>
              <w:right w:val="single" w:sz="8" w:space="0" w:color="auto"/>
            </w:tcBorders>
            <w:shd w:val="clear" w:color="auto" w:fill="auto"/>
            <w:vAlign w:val="center"/>
            <w:hideMark/>
          </w:tcPr>
          <w:p w14:paraId="41287D67" w14:textId="77777777" w:rsidR="003F5898" w:rsidRPr="00CA4C03" w:rsidRDefault="003F5898" w:rsidP="003F5898">
            <w:pPr>
              <w:spacing w:after="0" w:line="240" w:lineRule="auto"/>
              <w:jc w:val="center"/>
              <w:rPr>
                <w:rFonts w:ascii="Arial Narrow" w:eastAsia="Times New Roman" w:hAnsi="Arial Narrow" w:cs="Arial"/>
                <w:sz w:val="16"/>
                <w:szCs w:val="16"/>
                <w:lang w:eastAsia="pt-BR"/>
              </w:rPr>
            </w:pPr>
            <w:r w:rsidRPr="00CA4C03">
              <w:rPr>
                <w:rFonts w:ascii="Arial Narrow" w:eastAsia="Times New Roman" w:hAnsi="Arial Narrow" w:cs="Arial"/>
                <w:sz w:val="16"/>
                <w:szCs w:val="16"/>
                <w:lang w:eastAsia="pt-BR"/>
              </w:rPr>
              <w:t>ABF.D046</w:t>
            </w:r>
          </w:p>
        </w:tc>
        <w:tc>
          <w:tcPr>
            <w:tcW w:w="1276" w:type="dxa"/>
            <w:tcBorders>
              <w:top w:val="nil"/>
              <w:left w:val="nil"/>
              <w:bottom w:val="nil"/>
              <w:right w:val="single" w:sz="8" w:space="0" w:color="auto"/>
            </w:tcBorders>
            <w:shd w:val="clear" w:color="auto" w:fill="auto"/>
            <w:vAlign w:val="center"/>
            <w:hideMark/>
          </w:tcPr>
          <w:p w14:paraId="495FB867" w14:textId="77777777" w:rsidR="003F5898" w:rsidRPr="00CA4C03" w:rsidRDefault="003F5898" w:rsidP="003F5898">
            <w:pPr>
              <w:spacing w:after="0" w:line="240" w:lineRule="auto"/>
              <w:jc w:val="center"/>
              <w:rPr>
                <w:rFonts w:ascii="Arial Narrow" w:eastAsia="Times New Roman" w:hAnsi="Arial Narrow" w:cs="Arial"/>
                <w:sz w:val="16"/>
                <w:szCs w:val="16"/>
                <w:lang w:eastAsia="pt-BR"/>
              </w:rPr>
            </w:pPr>
            <w:r w:rsidRPr="00CA4C03">
              <w:rPr>
                <w:rFonts w:ascii="Arial Narrow" w:eastAsia="Times New Roman" w:hAnsi="Arial Narrow" w:cs="Arial"/>
                <w:sz w:val="16"/>
                <w:szCs w:val="16"/>
                <w:lang w:eastAsia="pt-BR"/>
              </w:rPr>
              <w:t>ABF.E046</w:t>
            </w:r>
          </w:p>
        </w:tc>
        <w:tc>
          <w:tcPr>
            <w:tcW w:w="1701" w:type="dxa"/>
            <w:tcBorders>
              <w:top w:val="nil"/>
              <w:left w:val="nil"/>
              <w:bottom w:val="nil"/>
              <w:right w:val="single" w:sz="8" w:space="0" w:color="auto"/>
            </w:tcBorders>
            <w:shd w:val="clear" w:color="auto" w:fill="auto"/>
            <w:vAlign w:val="center"/>
            <w:hideMark/>
          </w:tcPr>
          <w:p w14:paraId="78322C0B" w14:textId="77777777" w:rsidR="003F5898" w:rsidRPr="00CA4C03" w:rsidRDefault="003F5898" w:rsidP="003F5898">
            <w:pPr>
              <w:spacing w:after="0" w:line="240" w:lineRule="auto"/>
              <w:jc w:val="center"/>
              <w:rPr>
                <w:rFonts w:ascii="Arial Narrow" w:eastAsia="Times New Roman" w:hAnsi="Arial Narrow" w:cs="Arial"/>
                <w:sz w:val="16"/>
                <w:szCs w:val="16"/>
                <w:lang w:eastAsia="pt-BR"/>
              </w:rPr>
            </w:pPr>
            <w:r w:rsidRPr="00CA4C03">
              <w:rPr>
                <w:rFonts w:ascii="Arial Narrow" w:eastAsia="Times New Roman" w:hAnsi="Arial Narrow" w:cs="Arial"/>
                <w:sz w:val="16"/>
                <w:szCs w:val="16"/>
                <w:lang w:eastAsia="pt-BR"/>
              </w:rPr>
              <w:t>ABF.F046</w:t>
            </w:r>
          </w:p>
        </w:tc>
        <w:tc>
          <w:tcPr>
            <w:tcW w:w="1418" w:type="dxa"/>
            <w:tcBorders>
              <w:top w:val="nil"/>
              <w:left w:val="nil"/>
              <w:bottom w:val="nil"/>
              <w:right w:val="single" w:sz="8" w:space="0" w:color="auto"/>
            </w:tcBorders>
            <w:shd w:val="clear" w:color="auto" w:fill="auto"/>
            <w:vAlign w:val="center"/>
            <w:hideMark/>
          </w:tcPr>
          <w:p w14:paraId="37D0A007" w14:textId="77777777" w:rsidR="003F5898" w:rsidRPr="00CA4C03" w:rsidRDefault="003F5898" w:rsidP="003F5898">
            <w:pPr>
              <w:spacing w:after="0" w:line="240" w:lineRule="auto"/>
              <w:jc w:val="center"/>
              <w:rPr>
                <w:rFonts w:ascii="Arial Narrow" w:eastAsia="Times New Roman" w:hAnsi="Arial Narrow" w:cs="Arial"/>
                <w:sz w:val="16"/>
                <w:szCs w:val="16"/>
                <w:lang w:eastAsia="pt-BR"/>
              </w:rPr>
            </w:pPr>
            <w:r w:rsidRPr="00CA4C03">
              <w:rPr>
                <w:rFonts w:ascii="Arial Narrow" w:eastAsia="Times New Roman" w:hAnsi="Arial Narrow" w:cs="Arial"/>
                <w:sz w:val="16"/>
                <w:szCs w:val="16"/>
                <w:lang w:eastAsia="pt-BR"/>
              </w:rPr>
              <w:t>ABF.G046</w:t>
            </w:r>
          </w:p>
        </w:tc>
      </w:tr>
      <w:tr w:rsidR="003F5898" w:rsidRPr="00185426" w14:paraId="69907162" w14:textId="77777777" w:rsidTr="00080E19">
        <w:trPr>
          <w:trHeight w:val="255"/>
        </w:trPr>
        <w:tc>
          <w:tcPr>
            <w:tcW w:w="4977" w:type="dxa"/>
            <w:tcBorders>
              <w:top w:val="nil"/>
              <w:left w:val="single" w:sz="8" w:space="0" w:color="auto"/>
              <w:bottom w:val="nil"/>
              <w:right w:val="single" w:sz="8" w:space="0" w:color="auto"/>
            </w:tcBorders>
            <w:shd w:val="clear" w:color="auto" w:fill="auto"/>
            <w:noWrap/>
            <w:vAlign w:val="center"/>
            <w:hideMark/>
          </w:tcPr>
          <w:p w14:paraId="357C4ED4" w14:textId="77777777" w:rsidR="003F5898" w:rsidRPr="00CA4C03" w:rsidRDefault="003F5898" w:rsidP="003F5898">
            <w:pPr>
              <w:spacing w:after="0" w:line="240" w:lineRule="auto"/>
              <w:ind w:firstLineChars="133" w:firstLine="213"/>
              <w:rPr>
                <w:rFonts w:ascii="Arial Narrow" w:eastAsia="Times New Roman" w:hAnsi="Arial Narrow" w:cs="Arial"/>
                <w:sz w:val="16"/>
                <w:szCs w:val="16"/>
                <w:lang w:eastAsia="pt-BR"/>
              </w:rPr>
            </w:pPr>
            <w:r w:rsidRPr="00CA4C03">
              <w:rPr>
                <w:rFonts w:ascii="Arial Narrow" w:eastAsia="Times New Roman" w:hAnsi="Arial Narrow" w:cs="Arial"/>
                <w:sz w:val="16"/>
                <w:szCs w:val="16"/>
                <w:lang w:eastAsia="pt-BR"/>
              </w:rPr>
              <w:t xml:space="preserve">    620 – Contribuição para o Custeio do Serv. Iluminação Pública - COSIP</w:t>
            </w:r>
          </w:p>
        </w:tc>
        <w:tc>
          <w:tcPr>
            <w:tcW w:w="1275" w:type="dxa"/>
            <w:tcBorders>
              <w:top w:val="nil"/>
              <w:left w:val="nil"/>
              <w:bottom w:val="nil"/>
              <w:right w:val="single" w:sz="8" w:space="0" w:color="auto"/>
            </w:tcBorders>
            <w:shd w:val="clear" w:color="auto" w:fill="auto"/>
            <w:vAlign w:val="center"/>
            <w:hideMark/>
          </w:tcPr>
          <w:p w14:paraId="7CE8FC7E" w14:textId="77777777" w:rsidR="003F5898" w:rsidRPr="00CA4C03" w:rsidRDefault="003F5898" w:rsidP="003F5898">
            <w:pPr>
              <w:spacing w:after="0" w:line="240" w:lineRule="auto"/>
              <w:jc w:val="center"/>
              <w:rPr>
                <w:rFonts w:ascii="Arial Narrow" w:eastAsia="Times New Roman" w:hAnsi="Arial Narrow" w:cs="Arial"/>
                <w:sz w:val="16"/>
                <w:szCs w:val="16"/>
                <w:lang w:eastAsia="pt-BR"/>
              </w:rPr>
            </w:pPr>
            <w:r w:rsidRPr="00CA4C03">
              <w:rPr>
                <w:rFonts w:ascii="Arial Narrow" w:eastAsia="Times New Roman" w:hAnsi="Arial Narrow" w:cs="Arial"/>
                <w:sz w:val="16"/>
                <w:szCs w:val="16"/>
                <w:lang w:eastAsia="pt-BR"/>
              </w:rPr>
              <w:t>ABF.B047</w:t>
            </w:r>
          </w:p>
        </w:tc>
        <w:tc>
          <w:tcPr>
            <w:tcW w:w="1560" w:type="dxa"/>
            <w:tcBorders>
              <w:top w:val="nil"/>
              <w:left w:val="nil"/>
              <w:bottom w:val="nil"/>
              <w:right w:val="single" w:sz="8" w:space="0" w:color="auto"/>
            </w:tcBorders>
            <w:shd w:val="clear" w:color="auto" w:fill="auto"/>
            <w:vAlign w:val="center"/>
            <w:hideMark/>
          </w:tcPr>
          <w:p w14:paraId="112B7A0B" w14:textId="77777777" w:rsidR="003F5898" w:rsidRPr="00CA4C03" w:rsidRDefault="003F5898" w:rsidP="003F5898">
            <w:pPr>
              <w:spacing w:after="0" w:line="240" w:lineRule="auto"/>
              <w:jc w:val="center"/>
              <w:rPr>
                <w:rFonts w:ascii="Arial Narrow" w:eastAsia="Times New Roman" w:hAnsi="Arial Narrow" w:cs="Arial"/>
                <w:sz w:val="16"/>
                <w:szCs w:val="16"/>
                <w:lang w:eastAsia="pt-BR"/>
              </w:rPr>
            </w:pPr>
            <w:r w:rsidRPr="00CA4C03">
              <w:rPr>
                <w:rFonts w:ascii="Arial Narrow" w:eastAsia="Times New Roman" w:hAnsi="Arial Narrow" w:cs="Arial"/>
                <w:sz w:val="16"/>
                <w:szCs w:val="16"/>
                <w:lang w:eastAsia="pt-BR"/>
              </w:rPr>
              <w:t>ABF.C047</w:t>
            </w:r>
          </w:p>
        </w:tc>
        <w:tc>
          <w:tcPr>
            <w:tcW w:w="1275" w:type="dxa"/>
            <w:tcBorders>
              <w:top w:val="nil"/>
              <w:left w:val="nil"/>
              <w:bottom w:val="nil"/>
              <w:right w:val="single" w:sz="8" w:space="0" w:color="auto"/>
            </w:tcBorders>
            <w:shd w:val="clear" w:color="auto" w:fill="auto"/>
            <w:vAlign w:val="center"/>
            <w:hideMark/>
          </w:tcPr>
          <w:p w14:paraId="4BF5ACAC" w14:textId="77777777" w:rsidR="003F5898" w:rsidRPr="00CA4C03" w:rsidRDefault="003F5898" w:rsidP="003F5898">
            <w:pPr>
              <w:spacing w:after="0" w:line="240" w:lineRule="auto"/>
              <w:jc w:val="center"/>
              <w:rPr>
                <w:rFonts w:ascii="Arial Narrow" w:eastAsia="Times New Roman" w:hAnsi="Arial Narrow" w:cs="Arial"/>
                <w:sz w:val="16"/>
                <w:szCs w:val="16"/>
                <w:lang w:eastAsia="pt-BR"/>
              </w:rPr>
            </w:pPr>
            <w:r w:rsidRPr="00CA4C03">
              <w:rPr>
                <w:rFonts w:ascii="Arial Narrow" w:eastAsia="Times New Roman" w:hAnsi="Arial Narrow" w:cs="Arial"/>
                <w:sz w:val="16"/>
                <w:szCs w:val="16"/>
                <w:lang w:eastAsia="pt-BR"/>
              </w:rPr>
              <w:t>ABF.D047</w:t>
            </w:r>
          </w:p>
        </w:tc>
        <w:tc>
          <w:tcPr>
            <w:tcW w:w="1276" w:type="dxa"/>
            <w:tcBorders>
              <w:top w:val="nil"/>
              <w:left w:val="nil"/>
              <w:bottom w:val="nil"/>
              <w:right w:val="single" w:sz="8" w:space="0" w:color="auto"/>
            </w:tcBorders>
            <w:shd w:val="clear" w:color="auto" w:fill="auto"/>
            <w:vAlign w:val="center"/>
            <w:hideMark/>
          </w:tcPr>
          <w:p w14:paraId="2AEE1090" w14:textId="77777777" w:rsidR="003F5898" w:rsidRPr="00CA4C03" w:rsidRDefault="003F5898" w:rsidP="003F5898">
            <w:pPr>
              <w:spacing w:after="0" w:line="240" w:lineRule="auto"/>
              <w:jc w:val="center"/>
              <w:rPr>
                <w:rFonts w:ascii="Arial Narrow" w:eastAsia="Times New Roman" w:hAnsi="Arial Narrow" w:cs="Arial"/>
                <w:sz w:val="16"/>
                <w:szCs w:val="16"/>
                <w:lang w:eastAsia="pt-BR"/>
              </w:rPr>
            </w:pPr>
            <w:r w:rsidRPr="00CA4C03">
              <w:rPr>
                <w:rFonts w:ascii="Arial Narrow" w:eastAsia="Times New Roman" w:hAnsi="Arial Narrow" w:cs="Arial"/>
                <w:sz w:val="16"/>
                <w:szCs w:val="16"/>
                <w:lang w:eastAsia="pt-BR"/>
              </w:rPr>
              <w:t>ABF.E047</w:t>
            </w:r>
          </w:p>
        </w:tc>
        <w:tc>
          <w:tcPr>
            <w:tcW w:w="1701" w:type="dxa"/>
            <w:tcBorders>
              <w:top w:val="nil"/>
              <w:left w:val="nil"/>
              <w:bottom w:val="nil"/>
              <w:right w:val="single" w:sz="8" w:space="0" w:color="auto"/>
            </w:tcBorders>
            <w:shd w:val="clear" w:color="auto" w:fill="auto"/>
            <w:vAlign w:val="center"/>
            <w:hideMark/>
          </w:tcPr>
          <w:p w14:paraId="09FE2222" w14:textId="77777777" w:rsidR="003F5898" w:rsidRPr="00CA4C03" w:rsidRDefault="003F5898" w:rsidP="003F5898">
            <w:pPr>
              <w:spacing w:after="0" w:line="240" w:lineRule="auto"/>
              <w:jc w:val="center"/>
              <w:rPr>
                <w:rFonts w:ascii="Arial Narrow" w:eastAsia="Times New Roman" w:hAnsi="Arial Narrow" w:cs="Arial"/>
                <w:sz w:val="16"/>
                <w:szCs w:val="16"/>
                <w:lang w:eastAsia="pt-BR"/>
              </w:rPr>
            </w:pPr>
            <w:r w:rsidRPr="00CA4C03">
              <w:rPr>
                <w:rFonts w:ascii="Arial Narrow" w:eastAsia="Times New Roman" w:hAnsi="Arial Narrow" w:cs="Arial"/>
                <w:sz w:val="16"/>
                <w:szCs w:val="16"/>
                <w:lang w:eastAsia="pt-BR"/>
              </w:rPr>
              <w:t>ABF.F047</w:t>
            </w:r>
          </w:p>
        </w:tc>
        <w:tc>
          <w:tcPr>
            <w:tcW w:w="1418" w:type="dxa"/>
            <w:tcBorders>
              <w:top w:val="nil"/>
              <w:left w:val="nil"/>
              <w:bottom w:val="nil"/>
              <w:right w:val="single" w:sz="8" w:space="0" w:color="auto"/>
            </w:tcBorders>
            <w:shd w:val="clear" w:color="auto" w:fill="auto"/>
            <w:vAlign w:val="center"/>
            <w:hideMark/>
          </w:tcPr>
          <w:p w14:paraId="75702034" w14:textId="77777777" w:rsidR="003F5898" w:rsidRPr="00CA4C03" w:rsidRDefault="003F5898" w:rsidP="003F5898">
            <w:pPr>
              <w:spacing w:after="0" w:line="240" w:lineRule="auto"/>
              <w:jc w:val="center"/>
              <w:rPr>
                <w:rFonts w:ascii="Arial Narrow" w:eastAsia="Times New Roman" w:hAnsi="Arial Narrow" w:cs="Arial"/>
                <w:sz w:val="16"/>
                <w:szCs w:val="16"/>
                <w:lang w:eastAsia="pt-BR"/>
              </w:rPr>
            </w:pPr>
            <w:r w:rsidRPr="00CA4C03">
              <w:rPr>
                <w:rFonts w:ascii="Arial Narrow" w:eastAsia="Times New Roman" w:hAnsi="Arial Narrow" w:cs="Arial"/>
                <w:sz w:val="16"/>
                <w:szCs w:val="16"/>
                <w:lang w:eastAsia="pt-BR"/>
              </w:rPr>
              <w:t>ABF.G047</w:t>
            </w:r>
          </w:p>
        </w:tc>
      </w:tr>
      <w:tr w:rsidR="003F5898" w:rsidRPr="00185426" w14:paraId="191D7276" w14:textId="77777777" w:rsidTr="00080E19">
        <w:trPr>
          <w:trHeight w:val="255"/>
        </w:trPr>
        <w:tc>
          <w:tcPr>
            <w:tcW w:w="4977" w:type="dxa"/>
            <w:tcBorders>
              <w:top w:val="nil"/>
              <w:left w:val="single" w:sz="8" w:space="0" w:color="auto"/>
              <w:bottom w:val="nil"/>
              <w:right w:val="single" w:sz="8" w:space="0" w:color="auto"/>
            </w:tcBorders>
            <w:shd w:val="clear" w:color="auto" w:fill="auto"/>
            <w:noWrap/>
            <w:vAlign w:val="center"/>
            <w:hideMark/>
          </w:tcPr>
          <w:p w14:paraId="655ABE9A" w14:textId="77777777" w:rsidR="003F5898" w:rsidRPr="00CA4C03" w:rsidRDefault="003F5898" w:rsidP="003F5898">
            <w:pPr>
              <w:spacing w:after="0" w:line="240" w:lineRule="auto"/>
              <w:ind w:firstLineChars="133" w:firstLine="213"/>
              <w:rPr>
                <w:rFonts w:ascii="Arial Narrow" w:eastAsia="Times New Roman" w:hAnsi="Arial Narrow" w:cs="Arial"/>
                <w:sz w:val="16"/>
                <w:szCs w:val="16"/>
                <w:lang w:eastAsia="pt-BR"/>
              </w:rPr>
            </w:pPr>
            <w:r w:rsidRPr="00CA4C03">
              <w:rPr>
                <w:rFonts w:ascii="Arial Narrow" w:eastAsia="Times New Roman" w:hAnsi="Arial Narrow" w:cs="Arial"/>
                <w:sz w:val="16"/>
                <w:szCs w:val="16"/>
                <w:lang w:eastAsia="pt-BR"/>
              </w:rPr>
              <w:t xml:space="preserve">    630 - Recursos Vinculados ao Trânsito</w:t>
            </w:r>
          </w:p>
        </w:tc>
        <w:tc>
          <w:tcPr>
            <w:tcW w:w="1275" w:type="dxa"/>
            <w:tcBorders>
              <w:top w:val="nil"/>
              <w:left w:val="nil"/>
              <w:bottom w:val="nil"/>
              <w:right w:val="single" w:sz="8" w:space="0" w:color="auto"/>
            </w:tcBorders>
            <w:shd w:val="clear" w:color="auto" w:fill="auto"/>
            <w:vAlign w:val="center"/>
            <w:hideMark/>
          </w:tcPr>
          <w:p w14:paraId="654EF967" w14:textId="77777777" w:rsidR="003F5898" w:rsidRPr="00CA4C03" w:rsidRDefault="003F5898" w:rsidP="003F5898">
            <w:pPr>
              <w:spacing w:after="0" w:line="240" w:lineRule="auto"/>
              <w:jc w:val="center"/>
              <w:rPr>
                <w:rFonts w:ascii="Arial Narrow" w:eastAsia="Times New Roman" w:hAnsi="Arial Narrow" w:cs="Arial"/>
                <w:sz w:val="16"/>
                <w:szCs w:val="16"/>
                <w:lang w:eastAsia="pt-BR"/>
              </w:rPr>
            </w:pPr>
            <w:r w:rsidRPr="00CA4C03">
              <w:rPr>
                <w:rFonts w:ascii="Arial Narrow" w:eastAsia="Times New Roman" w:hAnsi="Arial Narrow" w:cs="Arial"/>
                <w:sz w:val="16"/>
                <w:szCs w:val="16"/>
                <w:lang w:eastAsia="pt-BR"/>
              </w:rPr>
              <w:t>ABF.B048</w:t>
            </w:r>
          </w:p>
        </w:tc>
        <w:tc>
          <w:tcPr>
            <w:tcW w:w="1560" w:type="dxa"/>
            <w:tcBorders>
              <w:top w:val="nil"/>
              <w:left w:val="nil"/>
              <w:bottom w:val="nil"/>
              <w:right w:val="single" w:sz="8" w:space="0" w:color="auto"/>
            </w:tcBorders>
            <w:shd w:val="clear" w:color="auto" w:fill="auto"/>
            <w:vAlign w:val="center"/>
            <w:hideMark/>
          </w:tcPr>
          <w:p w14:paraId="21C2CDFE" w14:textId="77777777" w:rsidR="003F5898" w:rsidRPr="00CA4C03" w:rsidRDefault="003F5898" w:rsidP="003F5898">
            <w:pPr>
              <w:spacing w:after="0" w:line="240" w:lineRule="auto"/>
              <w:jc w:val="center"/>
              <w:rPr>
                <w:rFonts w:ascii="Arial Narrow" w:eastAsia="Times New Roman" w:hAnsi="Arial Narrow" w:cs="Arial"/>
                <w:sz w:val="16"/>
                <w:szCs w:val="16"/>
                <w:lang w:eastAsia="pt-BR"/>
              </w:rPr>
            </w:pPr>
            <w:r w:rsidRPr="00CA4C03">
              <w:rPr>
                <w:rFonts w:ascii="Arial Narrow" w:eastAsia="Times New Roman" w:hAnsi="Arial Narrow" w:cs="Arial"/>
                <w:sz w:val="16"/>
                <w:szCs w:val="16"/>
                <w:lang w:eastAsia="pt-BR"/>
              </w:rPr>
              <w:t>ABF.C048</w:t>
            </w:r>
          </w:p>
        </w:tc>
        <w:tc>
          <w:tcPr>
            <w:tcW w:w="1275" w:type="dxa"/>
            <w:tcBorders>
              <w:top w:val="nil"/>
              <w:left w:val="nil"/>
              <w:bottom w:val="nil"/>
              <w:right w:val="single" w:sz="8" w:space="0" w:color="auto"/>
            </w:tcBorders>
            <w:shd w:val="clear" w:color="auto" w:fill="auto"/>
            <w:vAlign w:val="center"/>
            <w:hideMark/>
          </w:tcPr>
          <w:p w14:paraId="4965607D" w14:textId="77777777" w:rsidR="003F5898" w:rsidRPr="00CA4C03" w:rsidRDefault="003F5898" w:rsidP="003F5898">
            <w:pPr>
              <w:spacing w:after="0" w:line="240" w:lineRule="auto"/>
              <w:jc w:val="center"/>
              <w:rPr>
                <w:rFonts w:ascii="Arial Narrow" w:eastAsia="Times New Roman" w:hAnsi="Arial Narrow" w:cs="Arial"/>
                <w:sz w:val="16"/>
                <w:szCs w:val="16"/>
                <w:lang w:eastAsia="pt-BR"/>
              </w:rPr>
            </w:pPr>
            <w:r w:rsidRPr="00CA4C03">
              <w:rPr>
                <w:rFonts w:ascii="Arial Narrow" w:eastAsia="Times New Roman" w:hAnsi="Arial Narrow" w:cs="Arial"/>
                <w:sz w:val="16"/>
                <w:szCs w:val="16"/>
                <w:lang w:eastAsia="pt-BR"/>
              </w:rPr>
              <w:t>ABF.D048</w:t>
            </w:r>
          </w:p>
        </w:tc>
        <w:tc>
          <w:tcPr>
            <w:tcW w:w="1276" w:type="dxa"/>
            <w:tcBorders>
              <w:top w:val="nil"/>
              <w:left w:val="nil"/>
              <w:bottom w:val="nil"/>
              <w:right w:val="single" w:sz="8" w:space="0" w:color="auto"/>
            </w:tcBorders>
            <w:shd w:val="clear" w:color="auto" w:fill="auto"/>
            <w:vAlign w:val="center"/>
            <w:hideMark/>
          </w:tcPr>
          <w:p w14:paraId="513385BC" w14:textId="77777777" w:rsidR="003F5898" w:rsidRPr="00CA4C03" w:rsidRDefault="003F5898" w:rsidP="003F5898">
            <w:pPr>
              <w:spacing w:after="0" w:line="240" w:lineRule="auto"/>
              <w:jc w:val="center"/>
              <w:rPr>
                <w:rFonts w:ascii="Arial Narrow" w:eastAsia="Times New Roman" w:hAnsi="Arial Narrow" w:cs="Arial"/>
                <w:sz w:val="16"/>
                <w:szCs w:val="16"/>
                <w:lang w:eastAsia="pt-BR"/>
              </w:rPr>
            </w:pPr>
            <w:r w:rsidRPr="00CA4C03">
              <w:rPr>
                <w:rFonts w:ascii="Arial Narrow" w:eastAsia="Times New Roman" w:hAnsi="Arial Narrow" w:cs="Arial"/>
                <w:sz w:val="16"/>
                <w:szCs w:val="16"/>
                <w:lang w:eastAsia="pt-BR"/>
              </w:rPr>
              <w:t>ABF.E048</w:t>
            </w:r>
          </w:p>
        </w:tc>
        <w:tc>
          <w:tcPr>
            <w:tcW w:w="1701" w:type="dxa"/>
            <w:tcBorders>
              <w:top w:val="nil"/>
              <w:left w:val="nil"/>
              <w:bottom w:val="nil"/>
              <w:right w:val="single" w:sz="8" w:space="0" w:color="auto"/>
            </w:tcBorders>
            <w:shd w:val="clear" w:color="auto" w:fill="auto"/>
            <w:vAlign w:val="center"/>
            <w:hideMark/>
          </w:tcPr>
          <w:p w14:paraId="409E4D78" w14:textId="77777777" w:rsidR="003F5898" w:rsidRPr="00CA4C03" w:rsidRDefault="003F5898" w:rsidP="003F5898">
            <w:pPr>
              <w:spacing w:after="0" w:line="240" w:lineRule="auto"/>
              <w:jc w:val="center"/>
              <w:rPr>
                <w:rFonts w:ascii="Arial Narrow" w:eastAsia="Times New Roman" w:hAnsi="Arial Narrow" w:cs="Arial"/>
                <w:sz w:val="16"/>
                <w:szCs w:val="16"/>
                <w:lang w:eastAsia="pt-BR"/>
              </w:rPr>
            </w:pPr>
            <w:r w:rsidRPr="00CA4C03">
              <w:rPr>
                <w:rFonts w:ascii="Arial Narrow" w:eastAsia="Times New Roman" w:hAnsi="Arial Narrow" w:cs="Arial"/>
                <w:sz w:val="16"/>
                <w:szCs w:val="16"/>
                <w:lang w:eastAsia="pt-BR"/>
              </w:rPr>
              <w:t>ABF.F048</w:t>
            </w:r>
          </w:p>
        </w:tc>
        <w:tc>
          <w:tcPr>
            <w:tcW w:w="1418" w:type="dxa"/>
            <w:tcBorders>
              <w:top w:val="nil"/>
              <w:left w:val="nil"/>
              <w:bottom w:val="nil"/>
              <w:right w:val="single" w:sz="8" w:space="0" w:color="auto"/>
            </w:tcBorders>
            <w:shd w:val="clear" w:color="auto" w:fill="auto"/>
            <w:vAlign w:val="center"/>
            <w:hideMark/>
          </w:tcPr>
          <w:p w14:paraId="140EDC13" w14:textId="77777777" w:rsidR="003F5898" w:rsidRPr="00CA4C03" w:rsidRDefault="003F5898" w:rsidP="003F5898">
            <w:pPr>
              <w:spacing w:after="0" w:line="240" w:lineRule="auto"/>
              <w:jc w:val="center"/>
              <w:rPr>
                <w:rFonts w:ascii="Arial Narrow" w:eastAsia="Times New Roman" w:hAnsi="Arial Narrow" w:cs="Arial"/>
                <w:sz w:val="16"/>
                <w:szCs w:val="16"/>
                <w:lang w:eastAsia="pt-BR"/>
              </w:rPr>
            </w:pPr>
            <w:r w:rsidRPr="00CA4C03">
              <w:rPr>
                <w:rFonts w:ascii="Arial Narrow" w:eastAsia="Times New Roman" w:hAnsi="Arial Narrow" w:cs="Arial"/>
                <w:sz w:val="16"/>
                <w:szCs w:val="16"/>
                <w:lang w:eastAsia="pt-BR"/>
              </w:rPr>
              <w:t>ABF.G048</w:t>
            </w:r>
          </w:p>
        </w:tc>
      </w:tr>
      <w:tr w:rsidR="003F5898" w:rsidRPr="00185426" w14:paraId="31D43EC5" w14:textId="77777777" w:rsidTr="00080E19">
        <w:trPr>
          <w:trHeight w:val="255"/>
        </w:trPr>
        <w:tc>
          <w:tcPr>
            <w:tcW w:w="4977" w:type="dxa"/>
            <w:tcBorders>
              <w:top w:val="nil"/>
              <w:left w:val="single" w:sz="8" w:space="0" w:color="auto"/>
              <w:bottom w:val="nil"/>
              <w:right w:val="single" w:sz="8" w:space="0" w:color="auto"/>
            </w:tcBorders>
            <w:shd w:val="clear" w:color="auto" w:fill="auto"/>
            <w:noWrap/>
            <w:vAlign w:val="center"/>
            <w:hideMark/>
          </w:tcPr>
          <w:p w14:paraId="19BCDD21" w14:textId="77777777" w:rsidR="003F5898" w:rsidRPr="00CA4C03" w:rsidRDefault="003F5898" w:rsidP="003F5898">
            <w:pPr>
              <w:spacing w:after="0" w:line="240" w:lineRule="auto"/>
              <w:ind w:firstLineChars="133" w:firstLine="213"/>
              <w:rPr>
                <w:rFonts w:ascii="Arial Narrow" w:eastAsia="Times New Roman" w:hAnsi="Arial Narrow" w:cs="Arial"/>
                <w:sz w:val="16"/>
                <w:szCs w:val="16"/>
                <w:lang w:eastAsia="pt-BR"/>
              </w:rPr>
            </w:pPr>
            <w:r w:rsidRPr="00CA4C03">
              <w:rPr>
                <w:rFonts w:ascii="Arial Narrow" w:eastAsia="Times New Roman" w:hAnsi="Arial Narrow" w:cs="Arial"/>
                <w:sz w:val="16"/>
                <w:szCs w:val="16"/>
                <w:lang w:eastAsia="pt-BR"/>
              </w:rPr>
              <w:t xml:space="preserve">    530 – Transferência da União referente Royalties do Petróleo</w:t>
            </w:r>
          </w:p>
        </w:tc>
        <w:tc>
          <w:tcPr>
            <w:tcW w:w="1275" w:type="dxa"/>
            <w:tcBorders>
              <w:top w:val="nil"/>
              <w:left w:val="nil"/>
              <w:bottom w:val="nil"/>
              <w:right w:val="single" w:sz="8" w:space="0" w:color="auto"/>
            </w:tcBorders>
            <w:shd w:val="clear" w:color="auto" w:fill="auto"/>
            <w:vAlign w:val="center"/>
            <w:hideMark/>
          </w:tcPr>
          <w:p w14:paraId="7D7C00AB" w14:textId="77777777" w:rsidR="003F5898" w:rsidRPr="00CA4C03" w:rsidRDefault="003F5898" w:rsidP="003F5898">
            <w:pPr>
              <w:spacing w:after="0" w:line="240" w:lineRule="auto"/>
              <w:jc w:val="center"/>
              <w:rPr>
                <w:rFonts w:ascii="Arial Narrow" w:eastAsia="Times New Roman" w:hAnsi="Arial Narrow" w:cs="Arial"/>
                <w:sz w:val="16"/>
                <w:szCs w:val="16"/>
                <w:lang w:eastAsia="pt-BR"/>
              </w:rPr>
            </w:pPr>
            <w:r w:rsidRPr="00CA4C03">
              <w:rPr>
                <w:rFonts w:ascii="Arial Narrow" w:eastAsia="Times New Roman" w:hAnsi="Arial Narrow" w:cs="Arial"/>
                <w:sz w:val="16"/>
                <w:szCs w:val="16"/>
                <w:lang w:eastAsia="pt-BR"/>
              </w:rPr>
              <w:t>ABF.B049</w:t>
            </w:r>
          </w:p>
        </w:tc>
        <w:tc>
          <w:tcPr>
            <w:tcW w:w="1560" w:type="dxa"/>
            <w:tcBorders>
              <w:top w:val="nil"/>
              <w:left w:val="nil"/>
              <w:bottom w:val="nil"/>
              <w:right w:val="single" w:sz="8" w:space="0" w:color="auto"/>
            </w:tcBorders>
            <w:shd w:val="clear" w:color="auto" w:fill="auto"/>
            <w:vAlign w:val="center"/>
            <w:hideMark/>
          </w:tcPr>
          <w:p w14:paraId="19329D7B" w14:textId="77777777" w:rsidR="003F5898" w:rsidRPr="00CA4C03" w:rsidRDefault="003F5898" w:rsidP="003F5898">
            <w:pPr>
              <w:spacing w:after="0" w:line="240" w:lineRule="auto"/>
              <w:jc w:val="center"/>
              <w:rPr>
                <w:rFonts w:ascii="Arial Narrow" w:eastAsia="Times New Roman" w:hAnsi="Arial Narrow" w:cs="Arial"/>
                <w:sz w:val="16"/>
                <w:szCs w:val="16"/>
                <w:lang w:eastAsia="pt-BR"/>
              </w:rPr>
            </w:pPr>
            <w:r w:rsidRPr="00CA4C03">
              <w:rPr>
                <w:rFonts w:ascii="Arial Narrow" w:eastAsia="Times New Roman" w:hAnsi="Arial Narrow" w:cs="Arial"/>
                <w:sz w:val="16"/>
                <w:szCs w:val="16"/>
                <w:lang w:eastAsia="pt-BR"/>
              </w:rPr>
              <w:t>ABF.C049</w:t>
            </w:r>
          </w:p>
        </w:tc>
        <w:tc>
          <w:tcPr>
            <w:tcW w:w="1275" w:type="dxa"/>
            <w:tcBorders>
              <w:top w:val="nil"/>
              <w:left w:val="nil"/>
              <w:bottom w:val="nil"/>
              <w:right w:val="single" w:sz="8" w:space="0" w:color="auto"/>
            </w:tcBorders>
            <w:shd w:val="clear" w:color="auto" w:fill="auto"/>
            <w:vAlign w:val="center"/>
            <w:hideMark/>
          </w:tcPr>
          <w:p w14:paraId="45D026D0" w14:textId="77777777" w:rsidR="003F5898" w:rsidRPr="00CA4C03" w:rsidRDefault="003F5898" w:rsidP="003F5898">
            <w:pPr>
              <w:spacing w:after="0" w:line="240" w:lineRule="auto"/>
              <w:jc w:val="center"/>
              <w:rPr>
                <w:rFonts w:ascii="Arial Narrow" w:eastAsia="Times New Roman" w:hAnsi="Arial Narrow" w:cs="Arial"/>
                <w:sz w:val="16"/>
                <w:szCs w:val="16"/>
                <w:lang w:eastAsia="pt-BR"/>
              </w:rPr>
            </w:pPr>
            <w:r w:rsidRPr="00CA4C03">
              <w:rPr>
                <w:rFonts w:ascii="Arial Narrow" w:eastAsia="Times New Roman" w:hAnsi="Arial Narrow" w:cs="Arial"/>
                <w:sz w:val="16"/>
                <w:szCs w:val="16"/>
                <w:lang w:eastAsia="pt-BR"/>
              </w:rPr>
              <w:t>ABF.D049</w:t>
            </w:r>
          </w:p>
        </w:tc>
        <w:tc>
          <w:tcPr>
            <w:tcW w:w="1276" w:type="dxa"/>
            <w:tcBorders>
              <w:top w:val="nil"/>
              <w:left w:val="nil"/>
              <w:bottom w:val="nil"/>
              <w:right w:val="single" w:sz="8" w:space="0" w:color="auto"/>
            </w:tcBorders>
            <w:shd w:val="clear" w:color="auto" w:fill="auto"/>
            <w:vAlign w:val="center"/>
            <w:hideMark/>
          </w:tcPr>
          <w:p w14:paraId="5D6DDD11" w14:textId="77777777" w:rsidR="003F5898" w:rsidRPr="00CA4C03" w:rsidRDefault="003F5898" w:rsidP="003F5898">
            <w:pPr>
              <w:spacing w:after="0" w:line="240" w:lineRule="auto"/>
              <w:jc w:val="center"/>
              <w:rPr>
                <w:rFonts w:ascii="Arial Narrow" w:eastAsia="Times New Roman" w:hAnsi="Arial Narrow" w:cs="Arial"/>
                <w:sz w:val="16"/>
                <w:szCs w:val="16"/>
                <w:lang w:eastAsia="pt-BR"/>
              </w:rPr>
            </w:pPr>
            <w:r w:rsidRPr="00CA4C03">
              <w:rPr>
                <w:rFonts w:ascii="Arial Narrow" w:eastAsia="Times New Roman" w:hAnsi="Arial Narrow" w:cs="Arial"/>
                <w:sz w:val="16"/>
                <w:szCs w:val="16"/>
                <w:lang w:eastAsia="pt-BR"/>
              </w:rPr>
              <w:t>ABF.E049</w:t>
            </w:r>
          </w:p>
        </w:tc>
        <w:tc>
          <w:tcPr>
            <w:tcW w:w="1701" w:type="dxa"/>
            <w:tcBorders>
              <w:top w:val="nil"/>
              <w:left w:val="nil"/>
              <w:bottom w:val="nil"/>
              <w:right w:val="single" w:sz="8" w:space="0" w:color="auto"/>
            </w:tcBorders>
            <w:shd w:val="clear" w:color="auto" w:fill="auto"/>
            <w:vAlign w:val="center"/>
            <w:hideMark/>
          </w:tcPr>
          <w:p w14:paraId="5AC6B768" w14:textId="77777777" w:rsidR="003F5898" w:rsidRPr="00CA4C03" w:rsidRDefault="003F5898" w:rsidP="003F5898">
            <w:pPr>
              <w:spacing w:after="0" w:line="240" w:lineRule="auto"/>
              <w:jc w:val="center"/>
              <w:rPr>
                <w:rFonts w:ascii="Arial Narrow" w:eastAsia="Times New Roman" w:hAnsi="Arial Narrow" w:cs="Arial"/>
                <w:sz w:val="16"/>
                <w:szCs w:val="16"/>
                <w:lang w:eastAsia="pt-BR"/>
              </w:rPr>
            </w:pPr>
            <w:r w:rsidRPr="00CA4C03">
              <w:rPr>
                <w:rFonts w:ascii="Arial Narrow" w:eastAsia="Times New Roman" w:hAnsi="Arial Narrow" w:cs="Arial"/>
                <w:sz w:val="16"/>
                <w:szCs w:val="16"/>
                <w:lang w:eastAsia="pt-BR"/>
              </w:rPr>
              <w:t>ABF.F049</w:t>
            </w:r>
          </w:p>
        </w:tc>
        <w:tc>
          <w:tcPr>
            <w:tcW w:w="1418" w:type="dxa"/>
            <w:tcBorders>
              <w:top w:val="nil"/>
              <w:left w:val="nil"/>
              <w:bottom w:val="nil"/>
              <w:right w:val="single" w:sz="8" w:space="0" w:color="auto"/>
            </w:tcBorders>
            <w:shd w:val="clear" w:color="auto" w:fill="auto"/>
            <w:vAlign w:val="center"/>
            <w:hideMark/>
          </w:tcPr>
          <w:p w14:paraId="1476EFA5" w14:textId="77777777" w:rsidR="003F5898" w:rsidRPr="00CA4C03" w:rsidRDefault="003F5898" w:rsidP="003F5898">
            <w:pPr>
              <w:spacing w:after="0" w:line="240" w:lineRule="auto"/>
              <w:jc w:val="center"/>
              <w:rPr>
                <w:rFonts w:ascii="Arial Narrow" w:eastAsia="Times New Roman" w:hAnsi="Arial Narrow" w:cs="Arial"/>
                <w:sz w:val="16"/>
                <w:szCs w:val="16"/>
                <w:lang w:eastAsia="pt-BR"/>
              </w:rPr>
            </w:pPr>
            <w:r w:rsidRPr="00CA4C03">
              <w:rPr>
                <w:rFonts w:ascii="Arial Narrow" w:eastAsia="Times New Roman" w:hAnsi="Arial Narrow" w:cs="Arial"/>
                <w:sz w:val="16"/>
                <w:szCs w:val="16"/>
                <w:lang w:eastAsia="pt-BR"/>
              </w:rPr>
              <w:t>ABF.G049</w:t>
            </w:r>
          </w:p>
        </w:tc>
      </w:tr>
      <w:tr w:rsidR="003F5898" w:rsidRPr="00185426" w14:paraId="0EAB8A43" w14:textId="77777777" w:rsidTr="00080E19">
        <w:trPr>
          <w:trHeight w:val="255"/>
        </w:trPr>
        <w:tc>
          <w:tcPr>
            <w:tcW w:w="4977" w:type="dxa"/>
            <w:tcBorders>
              <w:top w:val="nil"/>
              <w:left w:val="single" w:sz="8" w:space="0" w:color="auto"/>
              <w:bottom w:val="nil"/>
              <w:right w:val="single" w:sz="8" w:space="0" w:color="auto"/>
            </w:tcBorders>
            <w:shd w:val="clear" w:color="auto" w:fill="auto"/>
            <w:noWrap/>
            <w:vAlign w:val="center"/>
            <w:hideMark/>
          </w:tcPr>
          <w:p w14:paraId="3678DD64" w14:textId="77777777" w:rsidR="003F5898" w:rsidRPr="00CA4C03" w:rsidRDefault="003F5898" w:rsidP="003F5898">
            <w:pPr>
              <w:spacing w:after="0" w:line="240" w:lineRule="auto"/>
              <w:ind w:firstLineChars="133" w:firstLine="213"/>
              <w:rPr>
                <w:rFonts w:ascii="Arial Narrow" w:eastAsia="Times New Roman" w:hAnsi="Arial Narrow" w:cs="Arial"/>
                <w:sz w:val="16"/>
                <w:szCs w:val="16"/>
                <w:lang w:eastAsia="pt-BR"/>
              </w:rPr>
            </w:pPr>
            <w:r w:rsidRPr="00CA4C03">
              <w:rPr>
                <w:rFonts w:ascii="Arial Narrow" w:eastAsia="Times New Roman" w:hAnsi="Arial Narrow" w:cs="Arial"/>
                <w:sz w:val="16"/>
                <w:szCs w:val="16"/>
                <w:lang w:eastAsia="pt-BR"/>
              </w:rPr>
              <w:t xml:space="preserve">    540 – Transferência dos Estados referente Royalties do Petróleo</w:t>
            </w:r>
          </w:p>
        </w:tc>
        <w:tc>
          <w:tcPr>
            <w:tcW w:w="1275" w:type="dxa"/>
            <w:tcBorders>
              <w:top w:val="nil"/>
              <w:left w:val="nil"/>
              <w:bottom w:val="nil"/>
              <w:right w:val="single" w:sz="8" w:space="0" w:color="auto"/>
            </w:tcBorders>
            <w:shd w:val="clear" w:color="auto" w:fill="auto"/>
            <w:vAlign w:val="center"/>
            <w:hideMark/>
          </w:tcPr>
          <w:p w14:paraId="55D2064A" w14:textId="77777777" w:rsidR="003F5898" w:rsidRPr="00CA4C03" w:rsidRDefault="003F5898" w:rsidP="003F5898">
            <w:pPr>
              <w:spacing w:after="0" w:line="240" w:lineRule="auto"/>
              <w:jc w:val="center"/>
              <w:rPr>
                <w:rFonts w:ascii="Arial Narrow" w:eastAsia="Times New Roman" w:hAnsi="Arial Narrow" w:cs="Arial"/>
                <w:sz w:val="16"/>
                <w:szCs w:val="16"/>
                <w:lang w:eastAsia="pt-BR"/>
              </w:rPr>
            </w:pPr>
            <w:r w:rsidRPr="00CA4C03">
              <w:rPr>
                <w:rFonts w:ascii="Arial Narrow" w:eastAsia="Times New Roman" w:hAnsi="Arial Narrow" w:cs="Arial"/>
                <w:sz w:val="16"/>
                <w:szCs w:val="16"/>
                <w:lang w:eastAsia="pt-BR"/>
              </w:rPr>
              <w:t>ABF.B050</w:t>
            </w:r>
          </w:p>
        </w:tc>
        <w:tc>
          <w:tcPr>
            <w:tcW w:w="1560" w:type="dxa"/>
            <w:tcBorders>
              <w:top w:val="nil"/>
              <w:left w:val="nil"/>
              <w:bottom w:val="nil"/>
              <w:right w:val="single" w:sz="8" w:space="0" w:color="auto"/>
            </w:tcBorders>
            <w:shd w:val="clear" w:color="auto" w:fill="auto"/>
            <w:vAlign w:val="center"/>
            <w:hideMark/>
          </w:tcPr>
          <w:p w14:paraId="7548313A" w14:textId="77777777" w:rsidR="003F5898" w:rsidRPr="00CA4C03" w:rsidRDefault="003F5898" w:rsidP="003F5898">
            <w:pPr>
              <w:spacing w:after="0" w:line="240" w:lineRule="auto"/>
              <w:jc w:val="center"/>
              <w:rPr>
                <w:rFonts w:ascii="Arial Narrow" w:eastAsia="Times New Roman" w:hAnsi="Arial Narrow" w:cs="Arial"/>
                <w:sz w:val="16"/>
                <w:szCs w:val="16"/>
                <w:lang w:eastAsia="pt-BR"/>
              </w:rPr>
            </w:pPr>
            <w:r w:rsidRPr="00CA4C03">
              <w:rPr>
                <w:rFonts w:ascii="Arial Narrow" w:eastAsia="Times New Roman" w:hAnsi="Arial Narrow" w:cs="Arial"/>
                <w:sz w:val="16"/>
                <w:szCs w:val="16"/>
                <w:lang w:eastAsia="pt-BR"/>
              </w:rPr>
              <w:t>ABF.C050</w:t>
            </w:r>
          </w:p>
        </w:tc>
        <w:tc>
          <w:tcPr>
            <w:tcW w:w="1275" w:type="dxa"/>
            <w:tcBorders>
              <w:top w:val="nil"/>
              <w:left w:val="nil"/>
              <w:bottom w:val="nil"/>
              <w:right w:val="single" w:sz="8" w:space="0" w:color="auto"/>
            </w:tcBorders>
            <w:shd w:val="clear" w:color="auto" w:fill="auto"/>
            <w:vAlign w:val="center"/>
            <w:hideMark/>
          </w:tcPr>
          <w:p w14:paraId="6D9570EF" w14:textId="77777777" w:rsidR="003F5898" w:rsidRPr="00CA4C03" w:rsidRDefault="003F5898" w:rsidP="003F5898">
            <w:pPr>
              <w:spacing w:after="0" w:line="240" w:lineRule="auto"/>
              <w:jc w:val="center"/>
              <w:rPr>
                <w:rFonts w:ascii="Arial Narrow" w:eastAsia="Times New Roman" w:hAnsi="Arial Narrow" w:cs="Arial"/>
                <w:sz w:val="16"/>
                <w:szCs w:val="16"/>
                <w:lang w:eastAsia="pt-BR"/>
              </w:rPr>
            </w:pPr>
            <w:r w:rsidRPr="00CA4C03">
              <w:rPr>
                <w:rFonts w:ascii="Arial Narrow" w:eastAsia="Times New Roman" w:hAnsi="Arial Narrow" w:cs="Arial"/>
                <w:sz w:val="16"/>
                <w:szCs w:val="16"/>
                <w:lang w:eastAsia="pt-BR"/>
              </w:rPr>
              <w:t>ABF.D050</w:t>
            </w:r>
          </w:p>
        </w:tc>
        <w:tc>
          <w:tcPr>
            <w:tcW w:w="1276" w:type="dxa"/>
            <w:tcBorders>
              <w:top w:val="nil"/>
              <w:left w:val="nil"/>
              <w:bottom w:val="nil"/>
              <w:right w:val="single" w:sz="8" w:space="0" w:color="auto"/>
            </w:tcBorders>
            <w:shd w:val="clear" w:color="auto" w:fill="auto"/>
            <w:vAlign w:val="center"/>
            <w:hideMark/>
          </w:tcPr>
          <w:p w14:paraId="191A6C33" w14:textId="77777777" w:rsidR="003F5898" w:rsidRPr="00CA4C03" w:rsidRDefault="003F5898" w:rsidP="003F5898">
            <w:pPr>
              <w:spacing w:after="0" w:line="240" w:lineRule="auto"/>
              <w:jc w:val="center"/>
              <w:rPr>
                <w:rFonts w:ascii="Arial Narrow" w:eastAsia="Times New Roman" w:hAnsi="Arial Narrow" w:cs="Arial"/>
                <w:sz w:val="16"/>
                <w:szCs w:val="16"/>
                <w:lang w:eastAsia="pt-BR"/>
              </w:rPr>
            </w:pPr>
            <w:r w:rsidRPr="00CA4C03">
              <w:rPr>
                <w:rFonts w:ascii="Arial Narrow" w:eastAsia="Times New Roman" w:hAnsi="Arial Narrow" w:cs="Arial"/>
                <w:sz w:val="16"/>
                <w:szCs w:val="16"/>
                <w:lang w:eastAsia="pt-BR"/>
              </w:rPr>
              <w:t>ABF.E050</w:t>
            </w:r>
          </w:p>
        </w:tc>
        <w:tc>
          <w:tcPr>
            <w:tcW w:w="1701" w:type="dxa"/>
            <w:tcBorders>
              <w:top w:val="nil"/>
              <w:left w:val="nil"/>
              <w:bottom w:val="nil"/>
              <w:right w:val="single" w:sz="8" w:space="0" w:color="auto"/>
            </w:tcBorders>
            <w:shd w:val="clear" w:color="auto" w:fill="auto"/>
            <w:vAlign w:val="center"/>
            <w:hideMark/>
          </w:tcPr>
          <w:p w14:paraId="25B59F3F" w14:textId="77777777" w:rsidR="003F5898" w:rsidRPr="00CA4C03" w:rsidRDefault="003F5898" w:rsidP="003F5898">
            <w:pPr>
              <w:spacing w:after="0" w:line="240" w:lineRule="auto"/>
              <w:jc w:val="center"/>
              <w:rPr>
                <w:rFonts w:ascii="Arial Narrow" w:eastAsia="Times New Roman" w:hAnsi="Arial Narrow" w:cs="Arial"/>
                <w:sz w:val="16"/>
                <w:szCs w:val="16"/>
                <w:lang w:eastAsia="pt-BR"/>
              </w:rPr>
            </w:pPr>
            <w:r w:rsidRPr="00CA4C03">
              <w:rPr>
                <w:rFonts w:ascii="Arial Narrow" w:eastAsia="Times New Roman" w:hAnsi="Arial Narrow" w:cs="Arial"/>
                <w:sz w:val="16"/>
                <w:szCs w:val="16"/>
                <w:lang w:eastAsia="pt-BR"/>
              </w:rPr>
              <w:t>ABF.F050</w:t>
            </w:r>
          </w:p>
        </w:tc>
        <w:tc>
          <w:tcPr>
            <w:tcW w:w="1418" w:type="dxa"/>
            <w:tcBorders>
              <w:top w:val="nil"/>
              <w:left w:val="nil"/>
              <w:bottom w:val="nil"/>
              <w:right w:val="single" w:sz="8" w:space="0" w:color="auto"/>
            </w:tcBorders>
            <w:shd w:val="clear" w:color="auto" w:fill="auto"/>
            <w:vAlign w:val="center"/>
            <w:hideMark/>
          </w:tcPr>
          <w:p w14:paraId="43AAE8A3" w14:textId="77777777" w:rsidR="003F5898" w:rsidRPr="00CA4C03" w:rsidRDefault="003F5898" w:rsidP="003F5898">
            <w:pPr>
              <w:spacing w:after="0" w:line="240" w:lineRule="auto"/>
              <w:jc w:val="center"/>
              <w:rPr>
                <w:rFonts w:ascii="Arial Narrow" w:eastAsia="Times New Roman" w:hAnsi="Arial Narrow" w:cs="Arial"/>
                <w:sz w:val="16"/>
                <w:szCs w:val="16"/>
                <w:lang w:eastAsia="pt-BR"/>
              </w:rPr>
            </w:pPr>
            <w:r w:rsidRPr="00CA4C03">
              <w:rPr>
                <w:rFonts w:ascii="Arial Narrow" w:eastAsia="Times New Roman" w:hAnsi="Arial Narrow" w:cs="Arial"/>
                <w:sz w:val="16"/>
                <w:szCs w:val="16"/>
                <w:lang w:eastAsia="pt-BR"/>
              </w:rPr>
              <w:t>ABF.G050</w:t>
            </w:r>
          </w:p>
        </w:tc>
      </w:tr>
      <w:tr w:rsidR="003F5898" w:rsidRPr="00185426" w14:paraId="3F48192B" w14:textId="77777777" w:rsidTr="00080E19">
        <w:trPr>
          <w:trHeight w:val="255"/>
        </w:trPr>
        <w:tc>
          <w:tcPr>
            <w:tcW w:w="4977" w:type="dxa"/>
            <w:tcBorders>
              <w:top w:val="nil"/>
              <w:left w:val="single" w:sz="8" w:space="0" w:color="auto"/>
              <w:bottom w:val="nil"/>
              <w:right w:val="single" w:sz="8" w:space="0" w:color="auto"/>
            </w:tcBorders>
            <w:shd w:val="clear" w:color="auto" w:fill="auto"/>
            <w:noWrap/>
            <w:vAlign w:val="center"/>
          </w:tcPr>
          <w:p w14:paraId="65E3E608" w14:textId="77777777" w:rsidR="003F5898" w:rsidRPr="004A04A0" w:rsidRDefault="003F5898" w:rsidP="003F5898">
            <w:pPr>
              <w:spacing w:after="0" w:line="240" w:lineRule="auto"/>
              <w:ind w:left="290"/>
              <w:rPr>
                <w:rFonts w:ascii="Arial Narrow" w:eastAsia="Times New Roman" w:hAnsi="Arial Narrow" w:cs="Arial"/>
                <w:strike/>
                <w:color w:val="FF0000"/>
                <w:sz w:val="16"/>
                <w:szCs w:val="16"/>
                <w:lang w:eastAsia="pt-BR"/>
              </w:rPr>
            </w:pPr>
            <w:r w:rsidRPr="004A04A0">
              <w:rPr>
                <w:rFonts w:ascii="Arial Narrow" w:eastAsia="Times New Roman" w:hAnsi="Arial Narrow" w:cs="Arial"/>
                <w:strike/>
                <w:color w:val="FF0000"/>
                <w:sz w:val="16"/>
                <w:szCs w:val="16"/>
                <w:lang w:eastAsia="pt-BR"/>
              </w:rPr>
              <w:t xml:space="preserve"> 710 - Recursos Vinculados aos Valores Recebidos Conforme Inciso I do   Artigo 5° da LC Federal N° 173/2020</w:t>
            </w:r>
          </w:p>
        </w:tc>
        <w:tc>
          <w:tcPr>
            <w:tcW w:w="1275" w:type="dxa"/>
            <w:tcBorders>
              <w:top w:val="nil"/>
              <w:left w:val="nil"/>
              <w:bottom w:val="nil"/>
              <w:right w:val="single" w:sz="8" w:space="0" w:color="auto"/>
            </w:tcBorders>
            <w:shd w:val="clear" w:color="auto" w:fill="auto"/>
            <w:vAlign w:val="center"/>
          </w:tcPr>
          <w:p w14:paraId="72FCBBDC" w14:textId="77777777" w:rsidR="003F5898" w:rsidRPr="004A04A0" w:rsidRDefault="003F5898" w:rsidP="003F5898">
            <w:pPr>
              <w:spacing w:after="0" w:line="240" w:lineRule="auto"/>
              <w:jc w:val="center"/>
              <w:rPr>
                <w:rFonts w:ascii="Arial Narrow" w:eastAsia="Times New Roman" w:hAnsi="Arial Narrow" w:cs="Arial"/>
                <w:strike/>
                <w:color w:val="FF0000"/>
                <w:sz w:val="16"/>
                <w:szCs w:val="16"/>
                <w:lang w:eastAsia="pt-BR"/>
              </w:rPr>
            </w:pPr>
            <w:r w:rsidRPr="004A04A0">
              <w:rPr>
                <w:rFonts w:ascii="Arial Narrow" w:eastAsia="Times New Roman" w:hAnsi="Arial Narrow" w:cs="Arial"/>
                <w:strike/>
                <w:color w:val="FF0000"/>
                <w:sz w:val="16"/>
                <w:szCs w:val="16"/>
                <w:lang w:eastAsia="pt-BR"/>
              </w:rPr>
              <w:t>ABF.B088</w:t>
            </w:r>
          </w:p>
        </w:tc>
        <w:tc>
          <w:tcPr>
            <w:tcW w:w="1560" w:type="dxa"/>
            <w:tcBorders>
              <w:top w:val="nil"/>
              <w:left w:val="nil"/>
              <w:bottom w:val="nil"/>
              <w:right w:val="single" w:sz="8" w:space="0" w:color="auto"/>
            </w:tcBorders>
            <w:shd w:val="clear" w:color="auto" w:fill="auto"/>
            <w:vAlign w:val="center"/>
          </w:tcPr>
          <w:p w14:paraId="64BFE9E5" w14:textId="77777777" w:rsidR="003F5898" w:rsidRPr="004A04A0" w:rsidRDefault="003F5898" w:rsidP="003F5898">
            <w:pPr>
              <w:spacing w:after="0" w:line="240" w:lineRule="auto"/>
              <w:jc w:val="center"/>
              <w:rPr>
                <w:rFonts w:ascii="Arial Narrow" w:eastAsia="Times New Roman" w:hAnsi="Arial Narrow" w:cs="Arial"/>
                <w:strike/>
                <w:color w:val="FF0000"/>
                <w:sz w:val="16"/>
                <w:szCs w:val="16"/>
                <w:lang w:eastAsia="pt-BR"/>
              </w:rPr>
            </w:pPr>
            <w:r w:rsidRPr="004A04A0">
              <w:rPr>
                <w:rFonts w:ascii="Arial Narrow" w:eastAsia="Times New Roman" w:hAnsi="Arial Narrow" w:cs="Arial"/>
                <w:strike/>
                <w:color w:val="FF0000"/>
                <w:sz w:val="16"/>
                <w:szCs w:val="16"/>
                <w:lang w:eastAsia="pt-BR"/>
              </w:rPr>
              <w:t>ABF.C088</w:t>
            </w:r>
          </w:p>
        </w:tc>
        <w:tc>
          <w:tcPr>
            <w:tcW w:w="1275" w:type="dxa"/>
            <w:tcBorders>
              <w:top w:val="nil"/>
              <w:left w:val="nil"/>
              <w:bottom w:val="nil"/>
              <w:right w:val="single" w:sz="8" w:space="0" w:color="auto"/>
            </w:tcBorders>
            <w:shd w:val="clear" w:color="auto" w:fill="auto"/>
            <w:vAlign w:val="center"/>
          </w:tcPr>
          <w:p w14:paraId="317CE383" w14:textId="77777777" w:rsidR="003F5898" w:rsidRPr="004A04A0" w:rsidRDefault="003F5898" w:rsidP="003F5898">
            <w:pPr>
              <w:spacing w:after="0" w:line="240" w:lineRule="auto"/>
              <w:jc w:val="center"/>
              <w:rPr>
                <w:rFonts w:ascii="Arial Narrow" w:eastAsia="Times New Roman" w:hAnsi="Arial Narrow" w:cs="Arial"/>
                <w:strike/>
                <w:color w:val="FF0000"/>
                <w:sz w:val="16"/>
                <w:szCs w:val="16"/>
                <w:lang w:eastAsia="pt-BR"/>
              </w:rPr>
            </w:pPr>
            <w:r w:rsidRPr="004A04A0">
              <w:rPr>
                <w:rFonts w:ascii="Arial Narrow" w:eastAsia="Times New Roman" w:hAnsi="Arial Narrow" w:cs="Arial"/>
                <w:strike/>
                <w:color w:val="FF0000"/>
                <w:sz w:val="16"/>
                <w:szCs w:val="16"/>
                <w:lang w:eastAsia="pt-BR"/>
              </w:rPr>
              <w:t>ABF.D088</w:t>
            </w:r>
          </w:p>
        </w:tc>
        <w:tc>
          <w:tcPr>
            <w:tcW w:w="1276" w:type="dxa"/>
            <w:tcBorders>
              <w:top w:val="nil"/>
              <w:left w:val="nil"/>
              <w:bottom w:val="nil"/>
              <w:right w:val="single" w:sz="8" w:space="0" w:color="auto"/>
            </w:tcBorders>
            <w:shd w:val="clear" w:color="auto" w:fill="auto"/>
            <w:vAlign w:val="center"/>
          </w:tcPr>
          <w:p w14:paraId="1F30F2F5" w14:textId="77777777" w:rsidR="003F5898" w:rsidRPr="004A04A0" w:rsidRDefault="003F5898" w:rsidP="003F5898">
            <w:pPr>
              <w:spacing w:after="0" w:line="240" w:lineRule="auto"/>
              <w:jc w:val="center"/>
              <w:rPr>
                <w:rFonts w:ascii="Arial Narrow" w:eastAsia="Times New Roman" w:hAnsi="Arial Narrow" w:cs="Arial"/>
                <w:strike/>
                <w:color w:val="FF0000"/>
                <w:sz w:val="16"/>
                <w:szCs w:val="16"/>
                <w:lang w:eastAsia="pt-BR"/>
              </w:rPr>
            </w:pPr>
            <w:r w:rsidRPr="004A04A0">
              <w:rPr>
                <w:rFonts w:ascii="Arial Narrow" w:eastAsia="Times New Roman" w:hAnsi="Arial Narrow" w:cs="Arial"/>
                <w:strike/>
                <w:color w:val="FF0000"/>
                <w:sz w:val="16"/>
                <w:szCs w:val="16"/>
                <w:lang w:eastAsia="pt-BR"/>
              </w:rPr>
              <w:t>ABF.E088</w:t>
            </w:r>
          </w:p>
        </w:tc>
        <w:tc>
          <w:tcPr>
            <w:tcW w:w="1701" w:type="dxa"/>
            <w:tcBorders>
              <w:top w:val="nil"/>
              <w:left w:val="nil"/>
              <w:bottom w:val="nil"/>
              <w:right w:val="single" w:sz="8" w:space="0" w:color="auto"/>
            </w:tcBorders>
            <w:shd w:val="clear" w:color="auto" w:fill="auto"/>
            <w:vAlign w:val="center"/>
          </w:tcPr>
          <w:p w14:paraId="33E556BB" w14:textId="77777777" w:rsidR="003F5898" w:rsidRPr="004A04A0" w:rsidRDefault="003F5898" w:rsidP="003F5898">
            <w:pPr>
              <w:spacing w:after="0" w:line="240" w:lineRule="auto"/>
              <w:jc w:val="center"/>
              <w:rPr>
                <w:rFonts w:ascii="Arial Narrow" w:eastAsia="Times New Roman" w:hAnsi="Arial Narrow" w:cs="Arial"/>
                <w:strike/>
                <w:color w:val="FF0000"/>
                <w:sz w:val="16"/>
                <w:szCs w:val="16"/>
                <w:lang w:eastAsia="pt-BR"/>
              </w:rPr>
            </w:pPr>
            <w:r w:rsidRPr="004A04A0">
              <w:rPr>
                <w:rFonts w:ascii="Arial Narrow" w:eastAsia="Times New Roman" w:hAnsi="Arial Narrow" w:cs="Arial"/>
                <w:strike/>
                <w:color w:val="FF0000"/>
                <w:sz w:val="16"/>
                <w:szCs w:val="16"/>
                <w:lang w:eastAsia="pt-BR"/>
              </w:rPr>
              <w:t>ABF.F088</w:t>
            </w:r>
          </w:p>
        </w:tc>
        <w:tc>
          <w:tcPr>
            <w:tcW w:w="1418" w:type="dxa"/>
            <w:tcBorders>
              <w:top w:val="nil"/>
              <w:left w:val="nil"/>
              <w:bottom w:val="nil"/>
              <w:right w:val="single" w:sz="8" w:space="0" w:color="auto"/>
            </w:tcBorders>
            <w:shd w:val="clear" w:color="auto" w:fill="auto"/>
            <w:vAlign w:val="center"/>
          </w:tcPr>
          <w:p w14:paraId="003D007B" w14:textId="77777777" w:rsidR="003F5898" w:rsidRPr="004A04A0" w:rsidRDefault="003F5898" w:rsidP="003F5898">
            <w:pPr>
              <w:spacing w:after="0" w:line="240" w:lineRule="auto"/>
              <w:jc w:val="center"/>
              <w:rPr>
                <w:rFonts w:ascii="Arial Narrow" w:eastAsia="Times New Roman" w:hAnsi="Arial Narrow" w:cs="Arial"/>
                <w:strike/>
                <w:color w:val="FF0000"/>
                <w:sz w:val="16"/>
                <w:szCs w:val="16"/>
                <w:lang w:eastAsia="pt-BR"/>
              </w:rPr>
            </w:pPr>
            <w:r w:rsidRPr="004A04A0">
              <w:rPr>
                <w:rFonts w:ascii="Arial Narrow" w:eastAsia="Times New Roman" w:hAnsi="Arial Narrow" w:cs="Arial"/>
                <w:strike/>
                <w:color w:val="FF0000"/>
                <w:sz w:val="16"/>
                <w:szCs w:val="16"/>
                <w:lang w:eastAsia="pt-BR"/>
              </w:rPr>
              <w:t>ABF.G088</w:t>
            </w:r>
          </w:p>
        </w:tc>
      </w:tr>
      <w:tr w:rsidR="003F5898" w:rsidRPr="00185426" w14:paraId="55CC8E54" w14:textId="77777777" w:rsidTr="00080E19">
        <w:trPr>
          <w:trHeight w:val="255"/>
        </w:trPr>
        <w:tc>
          <w:tcPr>
            <w:tcW w:w="4977" w:type="dxa"/>
            <w:tcBorders>
              <w:top w:val="nil"/>
              <w:left w:val="single" w:sz="8" w:space="0" w:color="auto"/>
              <w:right w:val="single" w:sz="8" w:space="0" w:color="auto"/>
            </w:tcBorders>
            <w:shd w:val="clear" w:color="auto" w:fill="auto"/>
            <w:noWrap/>
            <w:vAlign w:val="center"/>
          </w:tcPr>
          <w:p w14:paraId="4BFA6016" w14:textId="77777777" w:rsidR="003F5898" w:rsidRPr="00CA4C03" w:rsidRDefault="003F5898" w:rsidP="003F5898">
            <w:pPr>
              <w:spacing w:after="0" w:line="240" w:lineRule="auto"/>
              <w:ind w:firstLineChars="133" w:firstLine="213"/>
              <w:rPr>
                <w:rFonts w:ascii="Arial Narrow" w:eastAsia="Times New Roman" w:hAnsi="Arial Narrow" w:cs="Arial"/>
                <w:sz w:val="16"/>
                <w:szCs w:val="16"/>
                <w:lang w:eastAsia="pt-BR"/>
              </w:rPr>
            </w:pPr>
            <w:r w:rsidRPr="00CA4C03">
              <w:rPr>
                <w:rFonts w:ascii="Arial Narrow" w:eastAsia="Times New Roman" w:hAnsi="Arial Narrow" w:cs="Arial"/>
                <w:sz w:val="16"/>
                <w:szCs w:val="16"/>
                <w:lang w:eastAsia="pt-BR"/>
              </w:rPr>
              <w:t xml:space="preserve">    910 – Recursos  Próprios dos Consórcios</w:t>
            </w:r>
          </w:p>
        </w:tc>
        <w:tc>
          <w:tcPr>
            <w:tcW w:w="1275" w:type="dxa"/>
            <w:tcBorders>
              <w:top w:val="nil"/>
              <w:left w:val="nil"/>
              <w:right w:val="single" w:sz="8" w:space="0" w:color="auto"/>
            </w:tcBorders>
            <w:shd w:val="clear" w:color="auto" w:fill="auto"/>
            <w:vAlign w:val="center"/>
          </w:tcPr>
          <w:p w14:paraId="5F450F92" w14:textId="77777777" w:rsidR="003F5898" w:rsidRPr="00CA4C03" w:rsidRDefault="003F5898" w:rsidP="003F5898">
            <w:pPr>
              <w:spacing w:after="0" w:line="240" w:lineRule="auto"/>
              <w:jc w:val="center"/>
              <w:rPr>
                <w:rFonts w:ascii="Arial Narrow" w:eastAsia="Times New Roman" w:hAnsi="Arial Narrow" w:cs="Arial"/>
                <w:sz w:val="16"/>
                <w:szCs w:val="16"/>
                <w:lang w:eastAsia="pt-BR"/>
              </w:rPr>
            </w:pPr>
            <w:r w:rsidRPr="00CA4C03">
              <w:rPr>
                <w:rFonts w:ascii="Arial Narrow" w:eastAsia="Times New Roman" w:hAnsi="Arial Narrow" w:cs="Arial"/>
                <w:sz w:val="16"/>
                <w:szCs w:val="16"/>
                <w:lang w:eastAsia="pt-BR"/>
              </w:rPr>
              <w:t>ABF.B086</w:t>
            </w:r>
          </w:p>
        </w:tc>
        <w:tc>
          <w:tcPr>
            <w:tcW w:w="1560" w:type="dxa"/>
            <w:tcBorders>
              <w:top w:val="nil"/>
              <w:left w:val="nil"/>
              <w:right w:val="single" w:sz="8" w:space="0" w:color="auto"/>
            </w:tcBorders>
            <w:shd w:val="clear" w:color="auto" w:fill="auto"/>
            <w:vAlign w:val="center"/>
          </w:tcPr>
          <w:p w14:paraId="77733D3C" w14:textId="77777777" w:rsidR="003F5898" w:rsidRPr="00CA4C03" w:rsidRDefault="003F5898" w:rsidP="003F5898">
            <w:pPr>
              <w:spacing w:after="0" w:line="240" w:lineRule="auto"/>
              <w:jc w:val="center"/>
              <w:rPr>
                <w:rFonts w:ascii="Arial Narrow" w:eastAsia="Times New Roman" w:hAnsi="Arial Narrow" w:cs="Arial"/>
                <w:sz w:val="16"/>
                <w:szCs w:val="16"/>
                <w:lang w:eastAsia="pt-BR"/>
              </w:rPr>
            </w:pPr>
            <w:r w:rsidRPr="00CA4C03">
              <w:rPr>
                <w:rFonts w:ascii="Arial Narrow" w:eastAsia="Times New Roman" w:hAnsi="Arial Narrow" w:cs="Arial"/>
                <w:sz w:val="16"/>
                <w:szCs w:val="16"/>
                <w:lang w:eastAsia="pt-BR"/>
              </w:rPr>
              <w:t>ABF.C086</w:t>
            </w:r>
          </w:p>
        </w:tc>
        <w:tc>
          <w:tcPr>
            <w:tcW w:w="1275" w:type="dxa"/>
            <w:tcBorders>
              <w:top w:val="nil"/>
              <w:left w:val="nil"/>
              <w:right w:val="single" w:sz="8" w:space="0" w:color="auto"/>
            </w:tcBorders>
            <w:shd w:val="clear" w:color="auto" w:fill="auto"/>
            <w:vAlign w:val="center"/>
          </w:tcPr>
          <w:p w14:paraId="1B0127E7" w14:textId="77777777" w:rsidR="003F5898" w:rsidRPr="00CA4C03" w:rsidRDefault="003F5898" w:rsidP="003F5898">
            <w:pPr>
              <w:spacing w:after="0" w:line="240" w:lineRule="auto"/>
              <w:jc w:val="center"/>
              <w:rPr>
                <w:rFonts w:ascii="Arial Narrow" w:eastAsia="Times New Roman" w:hAnsi="Arial Narrow" w:cs="Arial"/>
                <w:sz w:val="16"/>
                <w:szCs w:val="16"/>
                <w:lang w:eastAsia="pt-BR"/>
              </w:rPr>
            </w:pPr>
            <w:r w:rsidRPr="00CA4C03">
              <w:rPr>
                <w:rFonts w:ascii="Arial Narrow" w:eastAsia="Times New Roman" w:hAnsi="Arial Narrow" w:cs="Arial"/>
                <w:sz w:val="16"/>
                <w:szCs w:val="16"/>
                <w:lang w:eastAsia="pt-BR"/>
              </w:rPr>
              <w:t>ABF.D086</w:t>
            </w:r>
          </w:p>
        </w:tc>
        <w:tc>
          <w:tcPr>
            <w:tcW w:w="1276" w:type="dxa"/>
            <w:tcBorders>
              <w:top w:val="nil"/>
              <w:left w:val="nil"/>
              <w:right w:val="single" w:sz="8" w:space="0" w:color="auto"/>
            </w:tcBorders>
            <w:shd w:val="clear" w:color="auto" w:fill="auto"/>
            <w:vAlign w:val="center"/>
          </w:tcPr>
          <w:p w14:paraId="16647B33" w14:textId="77777777" w:rsidR="003F5898" w:rsidRPr="00CA4C03" w:rsidRDefault="003F5898" w:rsidP="003F5898">
            <w:pPr>
              <w:spacing w:after="0" w:line="240" w:lineRule="auto"/>
              <w:jc w:val="center"/>
              <w:rPr>
                <w:rFonts w:ascii="Arial Narrow" w:eastAsia="Times New Roman" w:hAnsi="Arial Narrow" w:cs="Arial"/>
                <w:sz w:val="16"/>
                <w:szCs w:val="16"/>
                <w:lang w:eastAsia="pt-BR"/>
              </w:rPr>
            </w:pPr>
            <w:r w:rsidRPr="00CA4C03">
              <w:rPr>
                <w:rFonts w:ascii="Arial Narrow" w:eastAsia="Times New Roman" w:hAnsi="Arial Narrow" w:cs="Arial"/>
                <w:sz w:val="16"/>
                <w:szCs w:val="16"/>
                <w:lang w:eastAsia="pt-BR"/>
              </w:rPr>
              <w:t>ABF.E086</w:t>
            </w:r>
          </w:p>
        </w:tc>
        <w:tc>
          <w:tcPr>
            <w:tcW w:w="1701" w:type="dxa"/>
            <w:tcBorders>
              <w:top w:val="nil"/>
              <w:left w:val="nil"/>
              <w:right w:val="single" w:sz="8" w:space="0" w:color="auto"/>
            </w:tcBorders>
            <w:shd w:val="clear" w:color="auto" w:fill="auto"/>
            <w:vAlign w:val="center"/>
          </w:tcPr>
          <w:p w14:paraId="27D7026F" w14:textId="77777777" w:rsidR="003F5898" w:rsidRPr="00CA4C03" w:rsidRDefault="003F5898" w:rsidP="003F5898">
            <w:pPr>
              <w:spacing w:after="0" w:line="240" w:lineRule="auto"/>
              <w:jc w:val="center"/>
              <w:rPr>
                <w:rFonts w:ascii="Arial Narrow" w:eastAsia="Times New Roman" w:hAnsi="Arial Narrow" w:cs="Arial"/>
                <w:sz w:val="16"/>
                <w:szCs w:val="16"/>
                <w:lang w:eastAsia="pt-BR"/>
              </w:rPr>
            </w:pPr>
            <w:r w:rsidRPr="00CA4C03">
              <w:rPr>
                <w:rFonts w:ascii="Arial Narrow" w:eastAsia="Times New Roman" w:hAnsi="Arial Narrow" w:cs="Arial"/>
                <w:sz w:val="16"/>
                <w:szCs w:val="16"/>
                <w:lang w:eastAsia="pt-BR"/>
              </w:rPr>
              <w:t>ABF.F086</w:t>
            </w:r>
          </w:p>
        </w:tc>
        <w:tc>
          <w:tcPr>
            <w:tcW w:w="1418" w:type="dxa"/>
            <w:tcBorders>
              <w:top w:val="nil"/>
              <w:left w:val="nil"/>
              <w:right w:val="single" w:sz="8" w:space="0" w:color="auto"/>
            </w:tcBorders>
            <w:shd w:val="clear" w:color="auto" w:fill="auto"/>
            <w:vAlign w:val="center"/>
          </w:tcPr>
          <w:p w14:paraId="7E852AEC" w14:textId="77777777" w:rsidR="003F5898" w:rsidRPr="00CA4C03" w:rsidRDefault="003F5898" w:rsidP="003F5898">
            <w:pPr>
              <w:spacing w:after="0" w:line="240" w:lineRule="auto"/>
              <w:jc w:val="center"/>
              <w:rPr>
                <w:rFonts w:ascii="Arial Narrow" w:eastAsia="Times New Roman" w:hAnsi="Arial Narrow" w:cs="Arial"/>
                <w:sz w:val="16"/>
                <w:szCs w:val="16"/>
                <w:lang w:eastAsia="pt-BR"/>
              </w:rPr>
            </w:pPr>
            <w:r w:rsidRPr="00CA4C03">
              <w:rPr>
                <w:rFonts w:ascii="Arial Narrow" w:eastAsia="Times New Roman" w:hAnsi="Arial Narrow" w:cs="Arial"/>
                <w:sz w:val="16"/>
                <w:szCs w:val="16"/>
                <w:lang w:eastAsia="pt-BR"/>
              </w:rPr>
              <w:t>ABF.G086</w:t>
            </w:r>
          </w:p>
        </w:tc>
      </w:tr>
      <w:tr w:rsidR="003F5898" w:rsidRPr="00185426" w14:paraId="57D6E7DF" w14:textId="77777777" w:rsidTr="00080E19">
        <w:trPr>
          <w:trHeight w:val="255"/>
        </w:trPr>
        <w:tc>
          <w:tcPr>
            <w:tcW w:w="4977" w:type="dxa"/>
            <w:tcBorders>
              <w:top w:val="nil"/>
              <w:left w:val="single" w:sz="8" w:space="0" w:color="auto"/>
              <w:right w:val="single" w:sz="8" w:space="0" w:color="auto"/>
            </w:tcBorders>
            <w:shd w:val="clear" w:color="auto" w:fill="auto"/>
            <w:noWrap/>
            <w:vAlign w:val="center"/>
          </w:tcPr>
          <w:p w14:paraId="237D0A41" w14:textId="77777777" w:rsidR="003F5898" w:rsidRPr="00CA4C03" w:rsidRDefault="003F5898" w:rsidP="003F5898">
            <w:pPr>
              <w:spacing w:after="0" w:line="240" w:lineRule="auto"/>
              <w:ind w:firstLineChars="230" w:firstLine="368"/>
              <w:rPr>
                <w:rFonts w:ascii="Arial Narrow" w:eastAsia="Times New Roman" w:hAnsi="Arial Narrow" w:cs="Arial"/>
                <w:sz w:val="16"/>
                <w:szCs w:val="16"/>
                <w:lang w:eastAsia="pt-BR"/>
              </w:rPr>
            </w:pPr>
            <w:r w:rsidRPr="00CA4C03">
              <w:rPr>
                <w:rFonts w:ascii="Arial Narrow" w:eastAsia="Times New Roman" w:hAnsi="Arial Narrow" w:cs="Arial"/>
                <w:sz w:val="16"/>
                <w:szCs w:val="16"/>
                <w:lang w:eastAsia="pt-BR"/>
              </w:rPr>
              <w:t>920 – Recursos de Operações de Crédito – Interna e Externa</w:t>
            </w:r>
          </w:p>
        </w:tc>
        <w:tc>
          <w:tcPr>
            <w:tcW w:w="1275" w:type="dxa"/>
            <w:tcBorders>
              <w:top w:val="nil"/>
              <w:left w:val="nil"/>
              <w:right w:val="single" w:sz="8" w:space="0" w:color="auto"/>
            </w:tcBorders>
            <w:shd w:val="clear" w:color="auto" w:fill="auto"/>
            <w:vAlign w:val="center"/>
          </w:tcPr>
          <w:p w14:paraId="0EFF1C02" w14:textId="77777777" w:rsidR="003F5898" w:rsidRPr="00CA4C03" w:rsidRDefault="003F5898" w:rsidP="003F5898">
            <w:pPr>
              <w:spacing w:after="0" w:line="240" w:lineRule="auto"/>
              <w:jc w:val="center"/>
              <w:rPr>
                <w:rFonts w:ascii="Arial Narrow" w:eastAsia="Times New Roman" w:hAnsi="Arial Narrow" w:cs="Arial"/>
                <w:sz w:val="16"/>
                <w:szCs w:val="16"/>
                <w:lang w:eastAsia="pt-BR"/>
              </w:rPr>
            </w:pPr>
            <w:r w:rsidRPr="00CA4C03">
              <w:rPr>
                <w:rFonts w:ascii="Arial Narrow" w:eastAsia="Times New Roman" w:hAnsi="Arial Narrow" w:cs="Arial"/>
                <w:sz w:val="16"/>
                <w:szCs w:val="16"/>
                <w:lang w:eastAsia="pt-BR"/>
              </w:rPr>
              <w:t>ABF.B083</w:t>
            </w:r>
          </w:p>
        </w:tc>
        <w:tc>
          <w:tcPr>
            <w:tcW w:w="1560" w:type="dxa"/>
            <w:tcBorders>
              <w:top w:val="nil"/>
              <w:left w:val="nil"/>
              <w:right w:val="single" w:sz="8" w:space="0" w:color="auto"/>
            </w:tcBorders>
            <w:shd w:val="clear" w:color="auto" w:fill="auto"/>
            <w:vAlign w:val="center"/>
          </w:tcPr>
          <w:p w14:paraId="6BE23BA3" w14:textId="77777777" w:rsidR="003F5898" w:rsidRPr="00CA4C03" w:rsidRDefault="003F5898" w:rsidP="003F5898">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CA4C03">
              <w:rPr>
                <w:rFonts w:ascii="Arial Narrow" w:eastAsia="Times New Roman" w:hAnsi="Arial Narrow" w:cs="Arial"/>
                <w:sz w:val="16"/>
                <w:szCs w:val="16"/>
                <w:lang w:eastAsia="pt-BR"/>
              </w:rPr>
              <w:t>ABF.C083</w:t>
            </w:r>
          </w:p>
        </w:tc>
        <w:tc>
          <w:tcPr>
            <w:tcW w:w="1275" w:type="dxa"/>
            <w:tcBorders>
              <w:top w:val="nil"/>
              <w:left w:val="nil"/>
              <w:right w:val="single" w:sz="8" w:space="0" w:color="auto"/>
            </w:tcBorders>
            <w:shd w:val="clear" w:color="auto" w:fill="auto"/>
            <w:vAlign w:val="center"/>
          </w:tcPr>
          <w:p w14:paraId="6116BDEB" w14:textId="77777777" w:rsidR="003F5898" w:rsidRPr="00CA4C03" w:rsidRDefault="003F5898" w:rsidP="003F5898">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CA4C03">
              <w:rPr>
                <w:rFonts w:ascii="Arial Narrow" w:eastAsia="Times New Roman" w:hAnsi="Arial Narrow" w:cs="Arial"/>
                <w:sz w:val="16"/>
                <w:szCs w:val="16"/>
                <w:lang w:eastAsia="pt-BR"/>
              </w:rPr>
              <w:t>ABF.D083</w:t>
            </w:r>
          </w:p>
        </w:tc>
        <w:tc>
          <w:tcPr>
            <w:tcW w:w="1276" w:type="dxa"/>
            <w:tcBorders>
              <w:top w:val="nil"/>
              <w:left w:val="nil"/>
              <w:right w:val="single" w:sz="8" w:space="0" w:color="auto"/>
            </w:tcBorders>
            <w:shd w:val="clear" w:color="auto" w:fill="auto"/>
            <w:vAlign w:val="center"/>
          </w:tcPr>
          <w:p w14:paraId="4080DB2E" w14:textId="77777777" w:rsidR="003F5898" w:rsidRPr="00CA4C03" w:rsidRDefault="003F5898" w:rsidP="003F5898">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CA4C03">
              <w:rPr>
                <w:rFonts w:ascii="Arial Narrow" w:eastAsia="Times New Roman" w:hAnsi="Arial Narrow" w:cs="Arial"/>
                <w:sz w:val="16"/>
                <w:szCs w:val="16"/>
                <w:lang w:eastAsia="pt-BR"/>
              </w:rPr>
              <w:t>ABF.E083</w:t>
            </w:r>
          </w:p>
        </w:tc>
        <w:tc>
          <w:tcPr>
            <w:tcW w:w="1701" w:type="dxa"/>
            <w:tcBorders>
              <w:top w:val="nil"/>
              <w:left w:val="nil"/>
              <w:right w:val="single" w:sz="8" w:space="0" w:color="auto"/>
            </w:tcBorders>
            <w:shd w:val="clear" w:color="auto" w:fill="auto"/>
            <w:vAlign w:val="center"/>
          </w:tcPr>
          <w:p w14:paraId="2A654263" w14:textId="77777777" w:rsidR="003F5898" w:rsidRPr="00CA4C03" w:rsidRDefault="003F5898" w:rsidP="003F5898">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CA4C03">
              <w:rPr>
                <w:rFonts w:ascii="Arial Narrow" w:eastAsia="Times New Roman" w:hAnsi="Arial Narrow" w:cs="Arial"/>
                <w:sz w:val="16"/>
                <w:szCs w:val="16"/>
                <w:lang w:eastAsia="pt-BR"/>
              </w:rPr>
              <w:t>ABF.F083</w:t>
            </w:r>
          </w:p>
        </w:tc>
        <w:tc>
          <w:tcPr>
            <w:tcW w:w="1418" w:type="dxa"/>
            <w:tcBorders>
              <w:top w:val="nil"/>
              <w:left w:val="nil"/>
              <w:right w:val="single" w:sz="8" w:space="0" w:color="auto"/>
            </w:tcBorders>
            <w:shd w:val="clear" w:color="auto" w:fill="auto"/>
            <w:vAlign w:val="center"/>
          </w:tcPr>
          <w:p w14:paraId="09B09F2B" w14:textId="77777777" w:rsidR="003F5898" w:rsidRPr="00CA4C03" w:rsidRDefault="003F5898" w:rsidP="003F5898">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CA4C03">
              <w:rPr>
                <w:rFonts w:ascii="Arial Narrow" w:eastAsia="Times New Roman" w:hAnsi="Arial Narrow" w:cs="Arial"/>
                <w:sz w:val="16"/>
                <w:szCs w:val="16"/>
                <w:lang w:eastAsia="pt-BR"/>
              </w:rPr>
              <w:t>ABF.G083</w:t>
            </w:r>
          </w:p>
        </w:tc>
      </w:tr>
      <w:tr w:rsidR="003F5898" w:rsidRPr="00185426" w14:paraId="6EA222D3" w14:textId="77777777" w:rsidTr="00080E19">
        <w:trPr>
          <w:trHeight w:val="255"/>
        </w:trPr>
        <w:tc>
          <w:tcPr>
            <w:tcW w:w="4977" w:type="dxa"/>
            <w:tcBorders>
              <w:top w:val="nil"/>
              <w:left w:val="single" w:sz="8" w:space="0" w:color="auto"/>
              <w:bottom w:val="nil"/>
              <w:right w:val="single" w:sz="8" w:space="0" w:color="auto"/>
            </w:tcBorders>
            <w:shd w:val="clear" w:color="auto" w:fill="auto"/>
            <w:noWrap/>
            <w:vAlign w:val="center"/>
            <w:hideMark/>
          </w:tcPr>
          <w:p w14:paraId="6A8A3924" w14:textId="77777777" w:rsidR="003F5898" w:rsidRPr="00CA4C03" w:rsidRDefault="003F5898" w:rsidP="003F5898">
            <w:pPr>
              <w:spacing w:after="0" w:line="240" w:lineRule="auto"/>
              <w:ind w:firstLineChars="143" w:firstLine="229"/>
              <w:rPr>
                <w:rFonts w:ascii="Arial Narrow" w:eastAsia="Times New Roman" w:hAnsi="Arial Narrow" w:cs="Arial"/>
                <w:sz w:val="16"/>
                <w:szCs w:val="16"/>
                <w:lang w:eastAsia="pt-BR"/>
              </w:rPr>
            </w:pPr>
            <w:r w:rsidRPr="00CA4C03">
              <w:rPr>
                <w:rFonts w:ascii="Arial Narrow" w:eastAsia="Times New Roman" w:hAnsi="Arial Narrow" w:cs="Arial"/>
                <w:sz w:val="16"/>
                <w:szCs w:val="16"/>
                <w:lang w:eastAsia="pt-BR"/>
              </w:rPr>
              <w:t xml:space="preserve">    930 – Recursos de Alienação de Bens/Ativos</w:t>
            </w:r>
          </w:p>
        </w:tc>
        <w:tc>
          <w:tcPr>
            <w:tcW w:w="1275" w:type="dxa"/>
            <w:tcBorders>
              <w:top w:val="nil"/>
              <w:left w:val="nil"/>
              <w:bottom w:val="nil"/>
              <w:right w:val="single" w:sz="8" w:space="0" w:color="auto"/>
            </w:tcBorders>
            <w:shd w:val="clear" w:color="auto" w:fill="auto"/>
            <w:vAlign w:val="center"/>
            <w:hideMark/>
          </w:tcPr>
          <w:p w14:paraId="53BEFFD4" w14:textId="77777777" w:rsidR="003F5898" w:rsidRPr="00CA4C03" w:rsidRDefault="003F5898" w:rsidP="003F5898">
            <w:pPr>
              <w:spacing w:after="0" w:line="240" w:lineRule="auto"/>
              <w:jc w:val="center"/>
              <w:rPr>
                <w:rFonts w:ascii="Arial Narrow" w:eastAsia="Times New Roman" w:hAnsi="Arial Narrow" w:cs="Arial"/>
                <w:sz w:val="16"/>
                <w:szCs w:val="16"/>
                <w:lang w:eastAsia="pt-BR"/>
              </w:rPr>
            </w:pPr>
            <w:r w:rsidRPr="00CA4C03">
              <w:rPr>
                <w:rFonts w:ascii="Arial Narrow" w:eastAsia="Times New Roman" w:hAnsi="Arial Narrow" w:cs="Arial"/>
                <w:sz w:val="16"/>
                <w:szCs w:val="16"/>
                <w:lang w:eastAsia="pt-BR"/>
              </w:rPr>
              <w:t>ABF.B053</w:t>
            </w:r>
          </w:p>
        </w:tc>
        <w:tc>
          <w:tcPr>
            <w:tcW w:w="1560" w:type="dxa"/>
            <w:tcBorders>
              <w:top w:val="nil"/>
              <w:left w:val="nil"/>
              <w:bottom w:val="nil"/>
              <w:right w:val="single" w:sz="8" w:space="0" w:color="auto"/>
            </w:tcBorders>
            <w:shd w:val="clear" w:color="auto" w:fill="auto"/>
            <w:vAlign w:val="center"/>
            <w:hideMark/>
          </w:tcPr>
          <w:p w14:paraId="61695B7A" w14:textId="77777777" w:rsidR="003F5898" w:rsidRPr="00CA4C03" w:rsidRDefault="003F5898" w:rsidP="003F5898">
            <w:pPr>
              <w:spacing w:after="0" w:line="240" w:lineRule="auto"/>
              <w:jc w:val="center"/>
              <w:rPr>
                <w:rFonts w:ascii="Arial Narrow" w:eastAsia="Times New Roman" w:hAnsi="Arial Narrow" w:cs="Arial"/>
                <w:sz w:val="16"/>
                <w:szCs w:val="16"/>
                <w:lang w:eastAsia="pt-BR"/>
              </w:rPr>
            </w:pPr>
            <w:r w:rsidRPr="00CA4C03">
              <w:rPr>
                <w:rFonts w:ascii="Arial Narrow" w:eastAsia="Times New Roman" w:hAnsi="Arial Narrow" w:cs="Arial"/>
                <w:sz w:val="16"/>
                <w:szCs w:val="16"/>
                <w:lang w:eastAsia="pt-BR"/>
              </w:rPr>
              <w:t>ABF.C053</w:t>
            </w:r>
          </w:p>
        </w:tc>
        <w:tc>
          <w:tcPr>
            <w:tcW w:w="1275" w:type="dxa"/>
            <w:tcBorders>
              <w:top w:val="nil"/>
              <w:left w:val="nil"/>
              <w:bottom w:val="nil"/>
              <w:right w:val="single" w:sz="8" w:space="0" w:color="auto"/>
            </w:tcBorders>
            <w:shd w:val="clear" w:color="auto" w:fill="auto"/>
            <w:vAlign w:val="center"/>
            <w:hideMark/>
          </w:tcPr>
          <w:p w14:paraId="21E75401" w14:textId="77777777" w:rsidR="003F5898" w:rsidRPr="00CA4C03" w:rsidRDefault="003F5898" w:rsidP="003F5898">
            <w:pPr>
              <w:spacing w:after="0" w:line="240" w:lineRule="auto"/>
              <w:jc w:val="center"/>
              <w:rPr>
                <w:rFonts w:ascii="Arial Narrow" w:eastAsia="Times New Roman" w:hAnsi="Arial Narrow" w:cs="Arial"/>
                <w:sz w:val="16"/>
                <w:szCs w:val="16"/>
                <w:lang w:eastAsia="pt-BR"/>
              </w:rPr>
            </w:pPr>
            <w:r w:rsidRPr="00CA4C03">
              <w:rPr>
                <w:rFonts w:ascii="Arial Narrow" w:eastAsia="Times New Roman" w:hAnsi="Arial Narrow" w:cs="Arial"/>
                <w:sz w:val="16"/>
                <w:szCs w:val="16"/>
                <w:lang w:eastAsia="pt-BR"/>
              </w:rPr>
              <w:t>ABF.D053</w:t>
            </w:r>
          </w:p>
        </w:tc>
        <w:tc>
          <w:tcPr>
            <w:tcW w:w="1276" w:type="dxa"/>
            <w:tcBorders>
              <w:top w:val="nil"/>
              <w:left w:val="nil"/>
              <w:bottom w:val="nil"/>
              <w:right w:val="single" w:sz="8" w:space="0" w:color="auto"/>
            </w:tcBorders>
            <w:shd w:val="clear" w:color="auto" w:fill="auto"/>
            <w:vAlign w:val="center"/>
            <w:hideMark/>
          </w:tcPr>
          <w:p w14:paraId="428E676E" w14:textId="77777777" w:rsidR="003F5898" w:rsidRPr="00CA4C03" w:rsidRDefault="003F5898" w:rsidP="003F5898">
            <w:pPr>
              <w:spacing w:after="0" w:line="240" w:lineRule="auto"/>
              <w:jc w:val="center"/>
              <w:rPr>
                <w:rFonts w:ascii="Arial Narrow" w:eastAsia="Times New Roman" w:hAnsi="Arial Narrow" w:cs="Arial"/>
                <w:sz w:val="16"/>
                <w:szCs w:val="16"/>
                <w:lang w:eastAsia="pt-BR"/>
              </w:rPr>
            </w:pPr>
            <w:r w:rsidRPr="00CA4C03">
              <w:rPr>
                <w:rFonts w:ascii="Arial Narrow" w:eastAsia="Times New Roman" w:hAnsi="Arial Narrow" w:cs="Arial"/>
                <w:sz w:val="16"/>
                <w:szCs w:val="16"/>
                <w:lang w:eastAsia="pt-BR"/>
              </w:rPr>
              <w:t>ABF.E053</w:t>
            </w:r>
          </w:p>
        </w:tc>
        <w:tc>
          <w:tcPr>
            <w:tcW w:w="1701" w:type="dxa"/>
            <w:tcBorders>
              <w:top w:val="nil"/>
              <w:left w:val="nil"/>
              <w:bottom w:val="nil"/>
              <w:right w:val="single" w:sz="8" w:space="0" w:color="auto"/>
            </w:tcBorders>
            <w:shd w:val="clear" w:color="auto" w:fill="auto"/>
            <w:vAlign w:val="center"/>
            <w:hideMark/>
          </w:tcPr>
          <w:p w14:paraId="6C22C239" w14:textId="77777777" w:rsidR="003F5898" w:rsidRPr="00CA4C03" w:rsidRDefault="003F5898" w:rsidP="003F5898">
            <w:pPr>
              <w:spacing w:after="0" w:line="240" w:lineRule="auto"/>
              <w:jc w:val="center"/>
              <w:rPr>
                <w:rFonts w:ascii="Arial Narrow" w:eastAsia="Times New Roman" w:hAnsi="Arial Narrow" w:cs="Arial"/>
                <w:sz w:val="16"/>
                <w:szCs w:val="16"/>
                <w:lang w:eastAsia="pt-BR"/>
              </w:rPr>
            </w:pPr>
            <w:r w:rsidRPr="00CA4C03">
              <w:rPr>
                <w:rFonts w:ascii="Arial Narrow" w:eastAsia="Times New Roman" w:hAnsi="Arial Narrow" w:cs="Arial"/>
                <w:sz w:val="16"/>
                <w:szCs w:val="16"/>
                <w:lang w:eastAsia="pt-BR"/>
              </w:rPr>
              <w:t>ABF.F053</w:t>
            </w:r>
          </w:p>
        </w:tc>
        <w:tc>
          <w:tcPr>
            <w:tcW w:w="1418" w:type="dxa"/>
            <w:tcBorders>
              <w:top w:val="nil"/>
              <w:left w:val="nil"/>
              <w:bottom w:val="nil"/>
              <w:right w:val="single" w:sz="8" w:space="0" w:color="auto"/>
            </w:tcBorders>
            <w:shd w:val="clear" w:color="auto" w:fill="auto"/>
            <w:vAlign w:val="center"/>
            <w:hideMark/>
          </w:tcPr>
          <w:p w14:paraId="0C81E7B1" w14:textId="77777777" w:rsidR="003F5898" w:rsidRPr="00CA4C03" w:rsidRDefault="003F5898" w:rsidP="003F5898">
            <w:pPr>
              <w:spacing w:after="0" w:line="240" w:lineRule="auto"/>
              <w:jc w:val="center"/>
              <w:rPr>
                <w:rFonts w:ascii="Arial Narrow" w:eastAsia="Times New Roman" w:hAnsi="Arial Narrow" w:cs="Arial"/>
                <w:sz w:val="16"/>
                <w:szCs w:val="16"/>
                <w:lang w:eastAsia="pt-BR"/>
              </w:rPr>
            </w:pPr>
            <w:r w:rsidRPr="00CA4C03">
              <w:rPr>
                <w:rFonts w:ascii="Arial Narrow" w:eastAsia="Times New Roman" w:hAnsi="Arial Narrow" w:cs="Arial"/>
                <w:sz w:val="16"/>
                <w:szCs w:val="16"/>
                <w:lang w:eastAsia="pt-BR"/>
              </w:rPr>
              <w:t>ABF.G053</w:t>
            </w:r>
          </w:p>
        </w:tc>
      </w:tr>
      <w:tr w:rsidR="003F5898" w:rsidRPr="00185426" w14:paraId="3D17C709" w14:textId="77777777" w:rsidTr="00080E19">
        <w:trPr>
          <w:trHeight w:val="270"/>
        </w:trPr>
        <w:tc>
          <w:tcPr>
            <w:tcW w:w="4977" w:type="dxa"/>
            <w:tcBorders>
              <w:top w:val="nil"/>
              <w:left w:val="single" w:sz="8" w:space="0" w:color="auto"/>
              <w:bottom w:val="nil"/>
              <w:right w:val="single" w:sz="8" w:space="0" w:color="auto"/>
            </w:tcBorders>
            <w:shd w:val="clear" w:color="auto" w:fill="auto"/>
            <w:noWrap/>
            <w:vAlign w:val="center"/>
          </w:tcPr>
          <w:p w14:paraId="5D1EFB53" w14:textId="77777777" w:rsidR="003F5898" w:rsidRPr="00CA4C03" w:rsidRDefault="003F5898" w:rsidP="003F5898">
            <w:pPr>
              <w:spacing w:after="0" w:line="240" w:lineRule="auto"/>
              <w:ind w:firstLineChars="230" w:firstLine="368"/>
              <w:rPr>
                <w:rFonts w:ascii="Arial Narrow" w:eastAsia="Times New Roman" w:hAnsi="Arial Narrow" w:cs="Arial"/>
                <w:sz w:val="16"/>
                <w:szCs w:val="16"/>
                <w:lang w:eastAsia="pt-BR"/>
              </w:rPr>
            </w:pPr>
            <w:r w:rsidRPr="00CA4C03">
              <w:rPr>
                <w:rFonts w:ascii="Arial Narrow" w:eastAsia="Times New Roman" w:hAnsi="Arial Narrow" w:cs="Arial"/>
                <w:sz w:val="16"/>
                <w:szCs w:val="16"/>
                <w:lang w:eastAsia="pt-BR"/>
              </w:rPr>
              <w:t>940 - Outras Vinculações de Transferências</w:t>
            </w:r>
          </w:p>
        </w:tc>
        <w:tc>
          <w:tcPr>
            <w:tcW w:w="1275" w:type="dxa"/>
            <w:tcBorders>
              <w:top w:val="nil"/>
              <w:left w:val="nil"/>
              <w:bottom w:val="nil"/>
              <w:right w:val="single" w:sz="8" w:space="0" w:color="auto"/>
            </w:tcBorders>
            <w:shd w:val="clear" w:color="auto" w:fill="auto"/>
            <w:vAlign w:val="center"/>
          </w:tcPr>
          <w:p w14:paraId="089C96F7" w14:textId="77777777" w:rsidR="003F5898" w:rsidRPr="00CA4C03" w:rsidRDefault="003F5898" w:rsidP="003F5898">
            <w:pPr>
              <w:spacing w:after="0" w:line="240" w:lineRule="auto"/>
              <w:jc w:val="center"/>
              <w:rPr>
                <w:rFonts w:ascii="Arial Narrow" w:eastAsia="Times New Roman" w:hAnsi="Arial Narrow" w:cs="Arial"/>
                <w:sz w:val="16"/>
                <w:szCs w:val="16"/>
                <w:lang w:eastAsia="pt-BR"/>
              </w:rPr>
            </w:pPr>
            <w:r w:rsidRPr="00CA4C03">
              <w:rPr>
                <w:rFonts w:ascii="Arial Narrow" w:eastAsia="Times New Roman" w:hAnsi="Arial Narrow" w:cs="Arial"/>
                <w:sz w:val="16"/>
                <w:szCs w:val="16"/>
                <w:lang w:eastAsia="pt-BR"/>
              </w:rPr>
              <w:t>ABF.B084</w:t>
            </w:r>
          </w:p>
        </w:tc>
        <w:tc>
          <w:tcPr>
            <w:tcW w:w="1560" w:type="dxa"/>
            <w:tcBorders>
              <w:top w:val="nil"/>
              <w:left w:val="nil"/>
              <w:bottom w:val="nil"/>
              <w:right w:val="single" w:sz="8" w:space="0" w:color="auto"/>
            </w:tcBorders>
            <w:shd w:val="clear" w:color="auto" w:fill="auto"/>
            <w:vAlign w:val="center"/>
          </w:tcPr>
          <w:p w14:paraId="7A584636" w14:textId="77777777" w:rsidR="003F5898" w:rsidRPr="00CA4C03" w:rsidRDefault="003F5898" w:rsidP="003F5898">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CA4C03">
              <w:rPr>
                <w:rFonts w:ascii="Arial Narrow" w:eastAsia="Times New Roman" w:hAnsi="Arial Narrow" w:cs="Arial"/>
                <w:sz w:val="16"/>
                <w:szCs w:val="16"/>
                <w:lang w:eastAsia="pt-BR"/>
              </w:rPr>
              <w:t>ABF.C084</w:t>
            </w:r>
          </w:p>
        </w:tc>
        <w:tc>
          <w:tcPr>
            <w:tcW w:w="1275" w:type="dxa"/>
            <w:tcBorders>
              <w:top w:val="nil"/>
              <w:left w:val="nil"/>
              <w:bottom w:val="nil"/>
              <w:right w:val="single" w:sz="8" w:space="0" w:color="auto"/>
            </w:tcBorders>
            <w:shd w:val="clear" w:color="auto" w:fill="auto"/>
            <w:vAlign w:val="center"/>
          </w:tcPr>
          <w:p w14:paraId="278A8692" w14:textId="77777777" w:rsidR="003F5898" w:rsidRPr="00CA4C03" w:rsidRDefault="003F5898" w:rsidP="003F5898">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CA4C03">
              <w:rPr>
                <w:rFonts w:ascii="Arial Narrow" w:eastAsia="Times New Roman" w:hAnsi="Arial Narrow" w:cs="Arial"/>
                <w:sz w:val="16"/>
                <w:szCs w:val="16"/>
                <w:lang w:eastAsia="pt-BR"/>
              </w:rPr>
              <w:t>ABF.D084</w:t>
            </w:r>
          </w:p>
        </w:tc>
        <w:tc>
          <w:tcPr>
            <w:tcW w:w="1276" w:type="dxa"/>
            <w:tcBorders>
              <w:top w:val="nil"/>
              <w:left w:val="nil"/>
              <w:bottom w:val="nil"/>
              <w:right w:val="single" w:sz="8" w:space="0" w:color="auto"/>
            </w:tcBorders>
            <w:shd w:val="clear" w:color="auto" w:fill="auto"/>
            <w:vAlign w:val="center"/>
          </w:tcPr>
          <w:p w14:paraId="085959BF" w14:textId="77777777" w:rsidR="003F5898" w:rsidRPr="00CA4C03" w:rsidRDefault="003F5898" w:rsidP="003F5898">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CA4C03">
              <w:rPr>
                <w:rFonts w:ascii="Arial Narrow" w:eastAsia="Times New Roman" w:hAnsi="Arial Narrow" w:cs="Arial"/>
                <w:sz w:val="16"/>
                <w:szCs w:val="16"/>
                <w:lang w:eastAsia="pt-BR"/>
              </w:rPr>
              <w:t>ABF.E084</w:t>
            </w:r>
          </w:p>
        </w:tc>
        <w:tc>
          <w:tcPr>
            <w:tcW w:w="1701" w:type="dxa"/>
            <w:tcBorders>
              <w:top w:val="nil"/>
              <w:left w:val="nil"/>
              <w:bottom w:val="nil"/>
              <w:right w:val="single" w:sz="8" w:space="0" w:color="auto"/>
            </w:tcBorders>
            <w:shd w:val="clear" w:color="auto" w:fill="auto"/>
            <w:vAlign w:val="center"/>
          </w:tcPr>
          <w:p w14:paraId="66D4AB88" w14:textId="77777777" w:rsidR="003F5898" w:rsidRPr="00CA4C03" w:rsidRDefault="003F5898" w:rsidP="003F5898">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CA4C03">
              <w:rPr>
                <w:rFonts w:ascii="Arial Narrow" w:eastAsia="Times New Roman" w:hAnsi="Arial Narrow" w:cs="Arial"/>
                <w:sz w:val="16"/>
                <w:szCs w:val="16"/>
                <w:lang w:eastAsia="pt-BR"/>
              </w:rPr>
              <w:t>ABF.F084</w:t>
            </w:r>
          </w:p>
        </w:tc>
        <w:tc>
          <w:tcPr>
            <w:tcW w:w="1418" w:type="dxa"/>
            <w:tcBorders>
              <w:top w:val="nil"/>
              <w:left w:val="nil"/>
              <w:bottom w:val="nil"/>
              <w:right w:val="single" w:sz="8" w:space="0" w:color="auto"/>
            </w:tcBorders>
            <w:shd w:val="clear" w:color="auto" w:fill="auto"/>
            <w:vAlign w:val="center"/>
          </w:tcPr>
          <w:p w14:paraId="07C574A0" w14:textId="77777777" w:rsidR="003F5898" w:rsidRPr="00CA4C03" w:rsidRDefault="003F5898" w:rsidP="003F5898">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CA4C03">
              <w:rPr>
                <w:rFonts w:ascii="Arial Narrow" w:eastAsia="Times New Roman" w:hAnsi="Arial Narrow" w:cs="Arial"/>
                <w:sz w:val="16"/>
                <w:szCs w:val="16"/>
                <w:lang w:eastAsia="pt-BR"/>
              </w:rPr>
              <w:t>ABF.G084</w:t>
            </w:r>
          </w:p>
        </w:tc>
      </w:tr>
      <w:tr w:rsidR="003F5898" w:rsidRPr="00185426" w14:paraId="0C3EF4C9" w14:textId="77777777" w:rsidTr="00080E19">
        <w:trPr>
          <w:trHeight w:val="270"/>
        </w:trPr>
        <w:tc>
          <w:tcPr>
            <w:tcW w:w="4977" w:type="dxa"/>
            <w:tcBorders>
              <w:top w:val="nil"/>
              <w:left w:val="single" w:sz="8" w:space="0" w:color="auto"/>
              <w:bottom w:val="nil"/>
              <w:right w:val="single" w:sz="8" w:space="0" w:color="auto"/>
            </w:tcBorders>
            <w:shd w:val="clear" w:color="auto" w:fill="auto"/>
            <w:noWrap/>
            <w:vAlign w:val="center"/>
          </w:tcPr>
          <w:p w14:paraId="543B84DA" w14:textId="77777777" w:rsidR="003F5898" w:rsidRPr="00CA4C03" w:rsidRDefault="003F5898" w:rsidP="003F5898">
            <w:pPr>
              <w:spacing w:after="0" w:line="240" w:lineRule="auto"/>
              <w:ind w:firstLineChars="230" w:firstLine="368"/>
              <w:rPr>
                <w:rFonts w:ascii="Arial Narrow" w:eastAsia="Times New Roman" w:hAnsi="Arial Narrow" w:cs="Arial"/>
                <w:sz w:val="16"/>
                <w:szCs w:val="16"/>
                <w:lang w:eastAsia="pt-BR"/>
              </w:rPr>
            </w:pPr>
            <w:r w:rsidRPr="00CA4C03">
              <w:rPr>
                <w:rFonts w:ascii="Arial Narrow" w:eastAsia="Times New Roman" w:hAnsi="Arial Narrow" w:cs="Arial"/>
                <w:sz w:val="16"/>
                <w:szCs w:val="16"/>
                <w:lang w:eastAsia="pt-BR"/>
              </w:rPr>
              <w:t>950 - Outras Vinculações de Taxas e Contribuições</w:t>
            </w:r>
          </w:p>
        </w:tc>
        <w:tc>
          <w:tcPr>
            <w:tcW w:w="1275" w:type="dxa"/>
            <w:tcBorders>
              <w:top w:val="nil"/>
              <w:left w:val="nil"/>
              <w:bottom w:val="nil"/>
              <w:right w:val="single" w:sz="8" w:space="0" w:color="auto"/>
            </w:tcBorders>
            <w:shd w:val="clear" w:color="auto" w:fill="auto"/>
            <w:vAlign w:val="center"/>
          </w:tcPr>
          <w:p w14:paraId="0A647E35" w14:textId="77777777" w:rsidR="003F5898" w:rsidRPr="00CA4C03" w:rsidRDefault="003F5898" w:rsidP="003F5898">
            <w:pPr>
              <w:spacing w:after="0" w:line="240" w:lineRule="auto"/>
              <w:jc w:val="center"/>
              <w:rPr>
                <w:rFonts w:ascii="Arial Narrow" w:eastAsia="Times New Roman" w:hAnsi="Arial Narrow" w:cs="Arial"/>
                <w:sz w:val="16"/>
                <w:szCs w:val="16"/>
                <w:lang w:eastAsia="pt-BR"/>
              </w:rPr>
            </w:pPr>
            <w:r w:rsidRPr="00CA4C03">
              <w:rPr>
                <w:rFonts w:ascii="Arial Narrow" w:eastAsia="Times New Roman" w:hAnsi="Arial Narrow" w:cs="Arial"/>
                <w:sz w:val="16"/>
                <w:szCs w:val="16"/>
                <w:lang w:eastAsia="pt-BR"/>
              </w:rPr>
              <w:t>ABF.B085</w:t>
            </w:r>
          </w:p>
        </w:tc>
        <w:tc>
          <w:tcPr>
            <w:tcW w:w="1560" w:type="dxa"/>
            <w:tcBorders>
              <w:top w:val="nil"/>
              <w:left w:val="nil"/>
              <w:bottom w:val="nil"/>
              <w:right w:val="single" w:sz="8" w:space="0" w:color="auto"/>
            </w:tcBorders>
            <w:shd w:val="clear" w:color="auto" w:fill="auto"/>
            <w:vAlign w:val="center"/>
          </w:tcPr>
          <w:p w14:paraId="4C4A7704" w14:textId="77777777" w:rsidR="003F5898" w:rsidRPr="00CA4C03" w:rsidRDefault="003F5898" w:rsidP="003F5898">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CA4C03">
              <w:rPr>
                <w:rFonts w:ascii="Arial Narrow" w:eastAsia="Times New Roman" w:hAnsi="Arial Narrow" w:cs="Arial"/>
                <w:sz w:val="16"/>
                <w:szCs w:val="16"/>
                <w:lang w:eastAsia="pt-BR"/>
              </w:rPr>
              <w:t>ABF.C085</w:t>
            </w:r>
          </w:p>
        </w:tc>
        <w:tc>
          <w:tcPr>
            <w:tcW w:w="1275" w:type="dxa"/>
            <w:tcBorders>
              <w:top w:val="nil"/>
              <w:left w:val="nil"/>
              <w:bottom w:val="nil"/>
              <w:right w:val="single" w:sz="8" w:space="0" w:color="auto"/>
            </w:tcBorders>
            <w:shd w:val="clear" w:color="auto" w:fill="auto"/>
            <w:vAlign w:val="center"/>
          </w:tcPr>
          <w:p w14:paraId="5FC4C465" w14:textId="77777777" w:rsidR="003F5898" w:rsidRPr="00CA4C03" w:rsidRDefault="003F5898" w:rsidP="003F5898">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CA4C03">
              <w:rPr>
                <w:rFonts w:ascii="Arial Narrow" w:eastAsia="Times New Roman" w:hAnsi="Arial Narrow" w:cs="Arial"/>
                <w:sz w:val="16"/>
                <w:szCs w:val="16"/>
                <w:lang w:eastAsia="pt-BR"/>
              </w:rPr>
              <w:t>ABF.D085</w:t>
            </w:r>
          </w:p>
        </w:tc>
        <w:tc>
          <w:tcPr>
            <w:tcW w:w="1276" w:type="dxa"/>
            <w:tcBorders>
              <w:top w:val="nil"/>
              <w:left w:val="nil"/>
              <w:bottom w:val="nil"/>
              <w:right w:val="single" w:sz="8" w:space="0" w:color="auto"/>
            </w:tcBorders>
            <w:shd w:val="clear" w:color="auto" w:fill="auto"/>
            <w:vAlign w:val="center"/>
          </w:tcPr>
          <w:p w14:paraId="1AAF3EC5" w14:textId="77777777" w:rsidR="003F5898" w:rsidRPr="00CA4C03" w:rsidRDefault="003F5898" w:rsidP="003F5898">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CA4C03">
              <w:rPr>
                <w:rFonts w:ascii="Arial Narrow" w:eastAsia="Times New Roman" w:hAnsi="Arial Narrow" w:cs="Arial"/>
                <w:sz w:val="16"/>
                <w:szCs w:val="16"/>
                <w:lang w:eastAsia="pt-BR"/>
              </w:rPr>
              <w:t>ABF.E085</w:t>
            </w:r>
          </w:p>
        </w:tc>
        <w:tc>
          <w:tcPr>
            <w:tcW w:w="1701" w:type="dxa"/>
            <w:tcBorders>
              <w:top w:val="nil"/>
              <w:left w:val="nil"/>
              <w:bottom w:val="nil"/>
              <w:right w:val="single" w:sz="8" w:space="0" w:color="auto"/>
            </w:tcBorders>
            <w:shd w:val="clear" w:color="auto" w:fill="auto"/>
            <w:vAlign w:val="center"/>
          </w:tcPr>
          <w:p w14:paraId="5007CA81" w14:textId="77777777" w:rsidR="003F5898" w:rsidRPr="00CA4C03" w:rsidRDefault="003F5898" w:rsidP="003F5898">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CA4C03">
              <w:rPr>
                <w:rFonts w:ascii="Arial Narrow" w:eastAsia="Times New Roman" w:hAnsi="Arial Narrow" w:cs="Arial"/>
                <w:sz w:val="16"/>
                <w:szCs w:val="16"/>
                <w:lang w:eastAsia="pt-BR"/>
              </w:rPr>
              <w:t>ABF.F085</w:t>
            </w:r>
          </w:p>
        </w:tc>
        <w:tc>
          <w:tcPr>
            <w:tcW w:w="1418" w:type="dxa"/>
            <w:tcBorders>
              <w:top w:val="nil"/>
              <w:left w:val="nil"/>
              <w:bottom w:val="nil"/>
              <w:right w:val="single" w:sz="8" w:space="0" w:color="auto"/>
            </w:tcBorders>
            <w:shd w:val="clear" w:color="auto" w:fill="auto"/>
            <w:vAlign w:val="center"/>
          </w:tcPr>
          <w:p w14:paraId="55F0A6E1" w14:textId="77777777" w:rsidR="003F5898" w:rsidRPr="00CA4C03" w:rsidRDefault="003F5898" w:rsidP="003F5898">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CA4C03">
              <w:rPr>
                <w:rFonts w:ascii="Arial Narrow" w:eastAsia="Times New Roman" w:hAnsi="Arial Narrow" w:cs="Arial"/>
                <w:sz w:val="16"/>
                <w:szCs w:val="16"/>
                <w:lang w:eastAsia="pt-BR"/>
              </w:rPr>
              <w:t>ABF.G085</w:t>
            </w:r>
          </w:p>
        </w:tc>
      </w:tr>
      <w:tr w:rsidR="003F5898" w:rsidRPr="00185426" w14:paraId="4A040087" w14:textId="77777777" w:rsidTr="00080E19">
        <w:trPr>
          <w:trHeight w:val="270"/>
        </w:trPr>
        <w:tc>
          <w:tcPr>
            <w:tcW w:w="4977" w:type="dxa"/>
            <w:tcBorders>
              <w:top w:val="nil"/>
              <w:left w:val="single" w:sz="8" w:space="0" w:color="auto"/>
              <w:bottom w:val="nil"/>
              <w:right w:val="single" w:sz="8" w:space="0" w:color="auto"/>
            </w:tcBorders>
            <w:shd w:val="clear" w:color="auto" w:fill="auto"/>
            <w:noWrap/>
            <w:vAlign w:val="center"/>
          </w:tcPr>
          <w:p w14:paraId="66417DD6" w14:textId="77777777" w:rsidR="003F5898" w:rsidRPr="00CA4C03" w:rsidRDefault="003F5898" w:rsidP="003F5898">
            <w:pPr>
              <w:spacing w:after="0" w:line="240" w:lineRule="auto"/>
              <w:ind w:left="290"/>
              <w:rPr>
                <w:rFonts w:ascii="Arial Narrow" w:eastAsia="Times New Roman" w:hAnsi="Arial Narrow" w:cs="Arial"/>
                <w:sz w:val="16"/>
                <w:szCs w:val="16"/>
                <w:lang w:eastAsia="pt-BR"/>
              </w:rPr>
            </w:pPr>
            <w:r w:rsidRPr="00CA4C03">
              <w:rPr>
                <w:rFonts w:ascii="Arial Narrow" w:eastAsia="Times New Roman" w:hAnsi="Arial Narrow" w:cs="Arial"/>
                <w:sz w:val="16"/>
                <w:szCs w:val="16"/>
                <w:lang w:eastAsia="pt-BR"/>
              </w:rPr>
              <w:t xml:space="preserve">  961 - Recursos de Depósitos Judiciais – Lides Das Quais o Ente faz parte</w:t>
            </w:r>
          </w:p>
        </w:tc>
        <w:tc>
          <w:tcPr>
            <w:tcW w:w="1275" w:type="dxa"/>
            <w:tcBorders>
              <w:top w:val="nil"/>
              <w:left w:val="nil"/>
              <w:bottom w:val="nil"/>
              <w:right w:val="single" w:sz="8" w:space="0" w:color="auto"/>
            </w:tcBorders>
            <w:shd w:val="clear" w:color="auto" w:fill="auto"/>
            <w:vAlign w:val="center"/>
          </w:tcPr>
          <w:p w14:paraId="79856B22" w14:textId="77777777" w:rsidR="003F5898" w:rsidRPr="00CA4C03" w:rsidRDefault="003F5898" w:rsidP="003F5898">
            <w:pPr>
              <w:spacing w:after="0" w:line="240" w:lineRule="auto"/>
              <w:jc w:val="center"/>
              <w:rPr>
                <w:rFonts w:ascii="Arial Narrow" w:eastAsia="Times New Roman" w:hAnsi="Arial Narrow" w:cs="Arial"/>
                <w:sz w:val="16"/>
                <w:szCs w:val="16"/>
                <w:lang w:eastAsia="pt-BR"/>
              </w:rPr>
            </w:pPr>
            <w:r>
              <w:rPr>
                <w:rFonts w:ascii="Arial Narrow" w:eastAsia="Times New Roman" w:hAnsi="Arial Narrow" w:cs="Arial"/>
                <w:sz w:val="16"/>
                <w:szCs w:val="16"/>
                <w:lang w:eastAsia="pt-BR"/>
              </w:rPr>
              <w:t>ABF.B089</w:t>
            </w:r>
          </w:p>
        </w:tc>
        <w:tc>
          <w:tcPr>
            <w:tcW w:w="1560" w:type="dxa"/>
            <w:tcBorders>
              <w:top w:val="nil"/>
              <w:left w:val="nil"/>
              <w:bottom w:val="nil"/>
              <w:right w:val="single" w:sz="8" w:space="0" w:color="auto"/>
            </w:tcBorders>
            <w:shd w:val="clear" w:color="auto" w:fill="auto"/>
            <w:vAlign w:val="center"/>
          </w:tcPr>
          <w:p w14:paraId="0E6BE2E1" w14:textId="77777777" w:rsidR="003F5898" w:rsidRPr="00CA4C03" w:rsidRDefault="003F5898" w:rsidP="003F5898">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Pr>
                <w:rFonts w:ascii="Arial Narrow" w:eastAsia="Times New Roman" w:hAnsi="Arial Narrow" w:cs="Arial"/>
                <w:sz w:val="16"/>
                <w:szCs w:val="16"/>
                <w:lang w:eastAsia="pt-BR"/>
              </w:rPr>
              <w:t>ABF.C089</w:t>
            </w:r>
          </w:p>
        </w:tc>
        <w:tc>
          <w:tcPr>
            <w:tcW w:w="1275" w:type="dxa"/>
            <w:tcBorders>
              <w:top w:val="nil"/>
              <w:left w:val="nil"/>
              <w:bottom w:val="nil"/>
              <w:right w:val="single" w:sz="8" w:space="0" w:color="auto"/>
            </w:tcBorders>
            <w:shd w:val="clear" w:color="auto" w:fill="auto"/>
            <w:vAlign w:val="center"/>
          </w:tcPr>
          <w:p w14:paraId="5BEB7806" w14:textId="77777777" w:rsidR="003F5898" w:rsidRPr="00CA4C03" w:rsidRDefault="003F5898" w:rsidP="003F5898">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Pr>
                <w:rFonts w:ascii="Arial Narrow" w:eastAsia="Times New Roman" w:hAnsi="Arial Narrow" w:cs="Arial"/>
                <w:sz w:val="16"/>
                <w:szCs w:val="16"/>
                <w:lang w:eastAsia="pt-BR"/>
              </w:rPr>
              <w:t>ABF.D089</w:t>
            </w:r>
          </w:p>
        </w:tc>
        <w:tc>
          <w:tcPr>
            <w:tcW w:w="1276" w:type="dxa"/>
            <w:tcBorders>
              <w:top w:val="nil"/>
              <w:left w:val="nil"/>
              <w:bottom w:val="nil"/>
              <w:right w:val="single" w:sz="8" w:space="0" w:color="auto"/>
            </w:tcBorders>
            <w:shd w:val="clear" w:color="auto" w:fill="auto"/>
            <w:vAlign w:val="center"/>
          </w:tcPr>
          <w:p w14:paraId="73687769" w14:textId="77777777" w:rsidR="003F5898" w:rsidRPr="00CA4C03" w:rsidRDefault="003F5898" w:rsidP="003F5898">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Pr>
                <w:rFonts w:ascii="Arial Narrow" w:eastAsia="Times New Roman" w:hAnsi="Arial Narrow" w:cs="Arial"/>
                <w:sz w:val="16"/>
                <w:szCs w:val="16"/>
                <w:lang w:eastAsia="pt-BR"/>
              </w:rPr>
              <w:t>ABF.E089</w:t>
            </w:r>
          </w:p>
        </w:tc>
        <w:tc>
          <w:tcPr>
            <w:tcW w:w="1701" w:type="dxa"/>
            <w:tcBorders>
              <w:top w:val="nil"/>
              <w:left w:val="nil"/>
              <w:bottom w:val="nil"/>
              <w:right w:val="single" w:sz="8" w:space="0" w:color="auto"/>
            </w:tcBorders>
            <w:shd w:val="clear" w:color="auto" w:fill="auto"/>
            <w:vAlign w:val="center"/>
          </w:tcPr>
          <w:p w14:paraId="09B9F34E" w14:textId="77777777" w:rsidR="003F5898" w:rsidRPr="00CA4C03" w:rsidRDefault="003F5898" w:rsidP="003F5898">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Pr>
                <w:rFonts w:ascii="Arial Narrow" w:eastAsia="Times New Roman" w:hAnsi="Arial Narrow" w:cs="Arial"/>
                <w:sz w:val="16"/>
                <w:szCs w:val="16"/>
                <w:lang w:eastAsia="pt-BR"/>
              </w:rPr>
              <w:t>ABF.F089</w:t>
            </w:r>
          </w:p>
        </w:tc>
        <w:tc>
          <w:tcPr>
            <w:tcW w:w="1418" w:type="dxa"/>
            <w:tcBorders>
              <w:top w:val="nil"/>
              <w:left w:val="nil"/>
              <w:bottom w:val="nil"/>
              <w:right w:val="single" w:sz="8" w:space="0" w:color="auto"/>
            </w:tcBorders>
            <w:shd w:val="clear" w:color="auto" w:fill="auto"/>
            <w:vAlign w:val="center"/>
          </w:tcPr>
          <w:p w14:paraId="3DB7AA10" w14:textId="77777777" w:rsidR="003F5898" w:rsidRPr="00CA4C03" w:rsidRDefault="003F5898" w:rsidP="003F5898">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Pr>
                <w:rFonts w:ascii="Arial Narrow" w:eastAsia="Times New Roman" w:hAnsi="Arial Narrow" w:cs="Arial"/>
                <w:sz w:val="16"/>
                <w:szCs w:val="16"/>
                <w:lang w:eastAsia="pt-BR"/>
              </w:rPr>
              <w:t>ABF.G089</w:t>
            </w:r>
          </w:p>
        </w:tc>
      </w:tr>
      <w:tr w:rsidR="003F5898" w:rsidRPr="00185426" w14:paraId="413316DA" w14:textId="77777777" w:rsidTr="00080E19">
        <w:trPr>
          <w:trHeight w:val="270"/>
        </w:trPr>
        <w:tc>
          <w:tcPr>
            <w:tcW w:w="4977" w:type="dxa"/>
            <w:tcBorders>
              <w:top w:val="nil"/>
              <w:left w:val="single" w:sz="8" w:space="0" w:color="auto"/>
              <w:bottom w:val="nil"/>
              <w:right w:val="single" w:sz="8" w:space="0" w:color="auto"/>
            </w:tcBorders>
            <w:shd w:val="clear" w:color="auto" w:fill="auto"/>
            <w:noWrap/>
            <w:vAlign w:val="center"/>
          </w:tcPr>
          <w:p w14:paraId="16951748" w14:textId="77777777" w:rsidR="003F5898" w:rsidRPr="00CA4C03" w:rsidRDefault="003F5898" w:rsidP="003F5898">
            <w:pPr>
              <w:spacing w:after="0" w:line="240" w:lineRule="auto"/>
              <w:ind w:leftChars="129" w:left="289" w:hangingChars="3" w:hanging="5"/>
              <w:rPr>
                <w:rFonts w:ascii="Arial Narrow" w:eastAsia="Times New Roman" w:hAnsi="Arial Narrow" w:cs="Arial"/>
                <w:sz w:val="16"/>
                <w:szCs w:val="16"/>
                <w:lang w:eastAsia="pt-BR"/>
              </w:rPr>
            </w:pPr>
            <w:r w:rsidRPr="00CA4C03">
              <w:rPr>
                <w:rFonts w:ascii="Arial Narrow" w:eastAsia="Times New Roman" w:hAnsi="Arial Narrow" w:cs="Arial"/>
                <w:sz w:val="16"/>
                <w:szCs w:val="16"/>
                <w:lang w:eastAsia="pt-BR"/>
              </w:rPr>
              <w:t xml:space="preserve">  962 - Recursos de Depósitos Judiciais – Lides Das Quais o Ente não faz parte</w:t>
            </w:r>
          </w:p>
        </w:tc>
        <w:tc>
          <w:tcPr>
            <w:tcW w:w="1275" w:type="dxa"/>
            <w:tcBorders>
              <w:top w:val="nil"/>
              <w:left w:val="nil"/>
              <w:bottom w:val="nil"/>
              <w:right w:val="single" w:sz="8" w:space="0" w:color="auto"/>
            </w:tcBorders>
            <w:shd w:val="clear" w:color="auto" w:fill="auto"/>
            <w:vAlign w:val="center"/>
          </w:tcPr>
          <w:p w14:paraId="70AAEFA2" w14:textId="77777777" w:rsidR="003F5898" w:rsidRPr="00CA4C03" w:rsidRDefault="003F5898" w:rsidP="003F5898">
            <w:pPr>
              <w:spacing w:after="0" w:line="240" w:lineRule="auto"/>
              <w:jc w:val="center"/>
              <w:rPr>
                <w:rFonts w:ascii="Arial Narrow" w:eastAsia="Times New Roman" w:hAnsi="Arial Narrow" w:cs="Arial"/>
                <w:sz w:val="16"/>
                <w:szCs w:val="16"/>
                <w:lang w:eastAsia="pt-BR"/>
              </w:rPr>
            </w:pPr>
            <w:r>
              <w:rPr>
                <w:rFonts w:ascii="Arial Narrow" w:eastAsia="Times New Roman" w:hAnsi="Arial Narrow" w:cs="Arial"/>
                <w:sz w:val="16"/>
                <w:szCs w:val="16"/>
                <w:lang w:eastAsia="pt-BR"/>
              </w:rPr>
              <w:t>ABF.B090</w:t>
            </w:r>
          </w:p>
        </w:tc>
        <w:tc>
          <w:tcPr>
            <w:tcW w:w="1560" w:type="dxa"/>
            <w:tcBorders>
              <w:top w:val="nil"/>
              <w:left w:val="nil"/>
              <w:bottom w:val="nil"/>
              <w:right w:val="single" w:sz="8" w:space="0" w:color="auto"/>
            </w:tcBorders>
            <w:shd w:val="clear" w:color="auto" w:fill="auto"/>
            <w:vAlign w:val="center"/>
          </w:tcPr>
          <w:p w14:paraId="68B808D1" w14:textId="77777777" w:rsidR="003F5898" w:rsidRPr="00CA4C03" w:rsidRDefault="003F5898" w:rsidP="003F5898">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Pr>
                <w:rFonts w:ascii="Arial Narrow" w:eastAsia="Times New Roman" w:hAnsi="Arial Narrow" w:cs="Arial"/>
                <w:sz w:val="16"/>
                <w:szCs w:val="16"/>
                <w:lang w:eastAsia="pt-BR"/>
              </w:rPr>
              <w:t>ABF.C090</w:t>
            </w:r>
          </w:p>
        </w:tc>
        <w:tc>
          <w:tcPr>
            <w:tcW w:w="1275" w:type="dxa"/>
            <w:tcBorders>
              <w:top w:val="nil"/>
              <w:left w:val="nil"/>
              <w:bottom w:val="nil"/>
              <w:right w:val="single" w:sz="8" w:space="0" w:color="auto"/>
            </w:tcBorders>
            <w:shd w:val="clear" w:color="auto" w:fill="auto"/>
            <w:vAlign w:val="center"/>
          </w:tcPr>
          <w:p w14:paraId="77373A93" w14:textId="77777777" w:rsidR="003F5898" w:rsidRPr="00CA4C03" w:rsidRDefault="003F5898" w:rsidP="003F5898">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Pr>
                <w:rFonts w:ascii="Arial Narrow" w:eastAsia="Times New Roman" w:hAnsi="Arial Narrow" w:cs="Arial"/>
                <w:sz w:val="16"/>
                <w:szCs w:val="16"/>
                <w:lang w:eastAsia="pt-BR"/>
              </w:rPr>
              <w:t>ABF.D090</w:t>
            </w:r>
          </w:p>
        </w:tc>
        <w:tc>
          <w:tcPr>
            <w:tcW w:w="1276" w:type="dxa"/>
            <w:tcBorders>
              <w:top w:val="nil"/>
              <w:left w:val="nil"/>
              <w:bottom w:val="nil"/>
              <w:right w:val="single" w:sz="8" w:space="0" w:color="auto"/>
            </w:tcBorders>
            <w:shd w:val="clear" w:color="auto" w:fill="auto"/>
            <w:vAlign w:val="center"/>
          </w:tcPr>
          <w:p w14:paraId="1CCF14E3" w14:textId="77777777" w:rsidR="003F5898" w:rsidRPr="00CA4C03" w:rsidRDefault="003F5898" w:rsidP="003F5898">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Pr>
                <w:rFonts w:ascii="Arial Narrow" w:eastAsia="Times New Roman" w:hAnsi="Arial Narrow" w:cs="Arial"/>
                <w:sz w:val="16"/>
                <w:szCs w:val="16"/>
                <w:lang w:eastAsia="pt-BR"/>
              </w:rPr>
              <w:t>ABF.E090</w:t>
            </w:r>
          </w:p>
        </w:tc>
        <w:tc>
          <w:tcPr>
            <w:tcW w:w="1701" w:type="dxa"/>
            <w:tcBorders>
              <w:top w:val="nil"/>
              <w:left w:val="nil"/>
              <w:bottom w:val="nil"/>
              <w:right w:val="single" w:sz="8" w:space="0" w:color="auto"/>
            </w:tcBorders>
            <w:shd w:val="clear" w:color="auto" w:fill="auto"/>
            <w:vAlign w:val="center"/>
          </w:tcPr>
          <w:p w14:paraId="4F610921" w14:textId="77777777" w:rsidR="003F5898" w:rsidRPr="00CA4C03" w:rsidRDefault="003F5898" w:rsidP="003F5898">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Pr>
                <w:rFonts w:ascii="Arial Narrow" w:eastAsia="Times New Roman" w:hAnsi="Arial Narrow" w:cs="Arial"/>
                <w:sz w:val="16"/>
                <w:szCs w:val="16"/>
                <w:lang w:eastAsia="pt-BR"/>
              </w:rPr>
              <w:t>ABF.F090</w:t>
            </w:r>
          </w:p>
        </w:tc>
        <w:tc>
          <w:tcPr>
            <w:tcW w:w="1418" w:type="dxa"/>
            <w:tcBorders>
              <w:top w:val="nil"/>
              <w:left w:val="nil"/>
              <w:bottom w:val="nil"/>
              <w:right w:val="single" w:sz="8" w:space="0" w:color="auto"/>
            </w:tcBorders>
            <w:shd w:val="clear" w:color="auto" w:fill="auto"/>
            <w:vAlign w:val="center"/>
          </w:tcPr>
          <w:p w14:paraId="58A80776" w14:textId="77777777" w:rsidR="003F5898" w:rsidRPr="00CA4C03" w:rsidRDefault="003F5898" w:rsidP="003F5898">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Pr>
                <w:rFonts w:ascii="Arial Narrow" w:eastAsia="Times New Roman" w:hAnsi="Arial Narrow" w:cs="Arial"/>
                <w:sz w:val="16"/>
                <w:szCs w:val="16"/>
                <w:lang w:eastAsia="pt-BR"/>
              </w:rPr>
              <w:t>ABF.G090</w:t>
            </w:r>
          </w:p>
        </w:tc>
      </w:tr>
      <w:tr w:rsidR="003F5898" w:rsidRPr="00185426" w14:paraId="4BF874A3" w14:textId="77777777" w:rsidTr="00080E19">
        <w:trPr>
          <w:trHeight w:val="270"/>
        </w:trPr>
        <w:tc>
          <w:tcPr>
            <w:tcW w:w="4977" w:type="dxa"/>
            <w:tcBorders>
              <w:top w:val="nil"/>
              <w:left w:val="single" w:sz="8" w:space="0" w:color="auto"/>
              <w:bottom w:val="nil"/>
              <w:right w:val="single" w:sz="8" w:space="0" w:color="auto"/>
            </w:tcBorders>
            <w:shd w:val="clear" w:color="auto" w:fill="auto"/>
            <w:noWrap/>
            <w:vAlign w:val="center"/>
            <w:hideMark/>
          </w:tcPr>
          <w:p w14:paraId="600092FE" w14:textId="77777777" w:rsidR="003F5898" w:rsidRPr="00CA4C03" w:rsidRDefault="003F5898" w:rsidP="003F5898">
            <w:pPr>
              <w:spacing w:after="0" w:line="240" w:lineRule="auto"/>
              <w:ind w:firstLineChars="143" w:firstLine="229"/>
              <w:rPr>
                <w:rFonts w:ascii="Arial Narrow" w:eastAsia="Times New Roman" w:hAnsi="Arial Narrow" w:cs="Arial"/>
                <w:sz w:val="16"/>
                <w:szCs w:val="16"/>
                <w:lang w:eastAsia="pt-BR"/>
              </w:rPr>
            </w:pPr>
            <w:r w:rsidRPr="00CA4C03">
              <w:rPr>
                <w:rFonts w:ascii="Arial Narrow" w:eastAsia="Times New Roman" w:hAnsi="Arial Narrow" w:cs="Arial"/>
                <w:sz w:val="16"/>
                <w:szCs w:val="16"/>
                <w:lang w:eastAsia="pt-BR"/>
              </w:rPr>
              <w:t xml:space="preserve">    990 - Outros Recursos Vinculados</w:t>
            </w:r>
          </w:p>
        </w:tc>
        <w:tc>
          <w:tcPr>
            <w:tcW w:w="1275" w:type="dxa"/>
            <w:tcBorders>
              <w:top w:val="nil"/>
              <w:left w:val="nil"/>
              <w:bottom w:val="nil"/>
              <w:right w:val="single" w:sz="8" w:space="0" w:color="auto"/>
            </w:tcBorders>
            <w:shd w:val="clear" w:color="auto" w:fill="auto"/>
            <w:vAlign w:val="center"/>
            <w:hideMark/>
          </w:tcPr>
          <w:p w14:paraId="11140666" w14:textId="77777777" w:rsidR="003F5898" w:rsidRPr="00CA4C03" w:rsidRDefault="003F5898" w:rsidP="003F5898">
            <w:pPr>
              <w:spacing w:after="0" w:line="240" w:lineRule="auto"/>
              <w:jc w:val="center"/>
              <w:rPr>
                <w:rFonts w:ascii="Arial Narrow" w:eastAsia="Times New Roman" w:hAnsi="Arial Narrow" w:cs="Arial"/>
                <w:sz w:val="16"/>
                <w:szCs w:val="16"/>
                <w:lang w:eastAsia="pt-BR"/>
              </w:rPr>
            </w:pPr>
            <w:r w:rsidRPr="00CA4C03">
              <w:rPr>
                <w:rFonts w:ascii="Arial Narrow" w:eastAsia="Times New Roman" w:hAnsi="Arial Narrow" w:cs="Arial"/>
                <w:sz w:val="16"/>
                <w:szCs w:val="16"/>
                <w:lang w:eastAsia="pt-BR"/>
              </w:rPr>
              <w:t>ABF.B054</w:t>
            </w:r>
          </w:p>
        </w:tc>
        <w:tc>
          <w:tcPr>
            <w:tcW w:w="1560" w:type="dxa"/>
            <w:tcBorders>
              <w:top w:val="nil"/>
              <w:left w:val="nil"/>
              <w:bottom w:val="nil"/>
              <w:right w:val="single" w:sz="8" w:space="0" w:color="auto"/>
            </w:tcBorders>
            <w:shd w:val="clear" w:color="auto" w:fill="auto"/>
            <w:vAlign w:val="center"/>
            <w:hideMark/>
          </w:tcPr>
          <w:p w14:paraId="48462EA7" w14:textId="77777777" w:rsidR="003F5898" w:rsidRPr="00CA4C03" w:rsidRDefault="003F5898" w:rsidP="003F5898">
            <w:pPr>
              <w:spacing w:after="0" w:line="240" w:lineRule="auto"/>
              <w:jc w:val="center"/>
              <w:rPr>
                <w:rFonts w:ascii="Arial Narrow" w:eastAsia="Times New Roman" w:hAnsi="Arial Narrow" w:cs="Arial"/>
                <w:sz w:val="16"/>
                <w:szCs w:val="16"/>
                <w:lang w:eastAsia="pt-BR"/>
              </w:rPr>
            </w:pPr>
            <w:r w:rsidRPr="00CA4C03">
              <w:rPr>
                <w:rFonts w:ascii="Arial Narrow" w:eastAsia="Times New Roman" w:hAnsi="Arial Narrow" w:cs="Arial"/>
                <w:sz w:val="16"/>
                <w:szCs w:val="16"/>
                <w:lang w:eastAsia="pt-BR"/>
              </w:rPr>
              <w:t>ABF.C054</w:t>
            </w:r>
          </w:p>
        </w:tc>
        <w:tc>
          <w:tcPr>
            <w:tcW w:w="1275" w:type="dxa"/>
            <w:tcBorders>
              <w:top w:val="nil"/>
              <w:left w:val="nil"/>
              <w:bottom w:val="nil"/>
              <w:right w:val="single" w:sz="8" w:space="0" w:color="auto"/>
            </w:tcBorders>
            <w:shd w:val="clear" w:color="auto" w:fill="auto"/>
            <w:vAlign w:val="center"/>
            <w:hideMark/>
          </w:tcPr>
          <w:p w14:paraId="47788DF7" w14:textId="77777777" w:rsidR="003F5898" w:rsidRPr="00CA4C03" w:rsidRDefault="003F5898" w:rsidP="003F5898">
            <w:pPr>
              <w:spacing w:after="0" w:line="240" w:lineRule="auto"/>
              <w:jc w:val="center"/>
              <w:rPr>
                <w:rFonts w:ascii="Arial Narrow" w:eastAsia="Times New Roman" w:hAnsi="Arial Narrow" w:cs="Arial"/>
                <w:sz w:val="16"/>
                <w:szCs w:val="16"/>
                <w:lang w:eastAsia="pt-BR"/>
              </w:rPr>
            </w:pPr>
            <w:r w:rsidRPr="00CA4C03">
              <w:rPr>
                <w:rFonts w:ascii="Arial Narrow" w:eastAsia="Times New Roman" w:hAnsi="Arial Narrow" w:cs="Arial"/>
                <w:sz w:val="16"/>
                <w:szCs w:val="16"/>
                <w:lang w:eastAsia="pt-BR"/>
              </w:rPr>
              <w:t>ABF.D054</w:t>
            </w:r>
          </w:p>
        </w:tc>
        <w:tc>
          <w:tcPr>
            <w:tcW w:w="1276" w:type="dxa"/>
            <w:tcBorders>
              <w:top w:val="nil"/>
              <w:left w:val="nil"/>
              <w:bottom w:val="nil"/>
              <w:right w:val="single" w:sz="8" w:space="0" w:color="auto"/>
            </w:tcBorders>
            <w:shd w:val="clear" w:color="auto" w:fill="auto"/>
            <w:vAlign w:val="center"/>
            <w:hideMark/>
          </w:tcPr>
          <w:p w14:paraId="76EB19A3" w14:textId="77777777" w:rsidR="003F5898" w:rsidRPr="00CA4C03" w:rsidRDefault="003F5898" w:rsidP="003F5898">
            <w:pPr>
              <w:spacing w:after="0" w:line="240" w:lineRule="auto"/>
              <w:jc w:val="center"/>
              <w:rPr>
                <w:rFonts w:ascii="Arial Narrow" w:eastAsia="Times New Roman" w:hAnsi="Arial Narrow" w:cs="Arial"/>
                <w:sz w:val="16"/>
                <w:szCs w:val="16"/>
                <w:lang w:eastAsia="pt-BR"/>
              </w:rPr>
            </w:pPr>
            <w:r w:rsidRPr="00CA4C03">
              <w:rPr>
                <w:rFonts w:ascii="Arial Narrow" w:eastAsia="Times New Roman" w:hAnsi="Arial Narrow" w:cs="Arial"/>
                <w:sz w:val="16"/>
                <w:szCs w:val="16"/>
                <w:lang w:eastAsia="pt-BR"/>
              </w:rPr>
              <w:t>ABF.E054</w:t>
            </w:r>
          </w:p>
        </w:tc>
        <w:tc>
          <w:tcPr>
            <w:tcW w:w="1701" w:type="dxa"/>
            <w:tcBorders>
              <w:top w:val="nil"/>
              <w:left w:val="nil"/>
              <w:bottom w:val="nil"/>
              <w:right w:val="single" w:sz="8" w:space="0" w:color="auto"/>
            </w:tcBorders>
            <w:shd w:val="clear" w:color="auto" w:fill="auto"/>
            <w:vAlign w:val="center"/>
            <w:hideMark/>
          </w:tcPr>
          <w:p w14:paraId="34438B69" w14:textId="77777777" w:rsidR="003F5898" w:rsidRPr="00CA4C03" w:rsidRDefault="003F5898" w:rsidP="003F5898">
            <w:pPr>
              <w:spacing w:after="0" w:line="240" w:lineRule="auto"/>
              <w:jc w:val="center"/>
              <w:rPr>
                <w:rFonts w:ascii="Arial Narrow" w:eastAsia="Times New Roman" w:hAnsi="Arial Narrow" w:cs="Arial"/>
                <w:sz w:val="16"/>
                <w:szCs w:val="16"/>
                <w:lang w:eastAsia="pt-BR"/>
              </w:rPr>
            </w:pPr>
            <w:r w:rsidRPr="00CA4C03">
              <w:rPr>
                <w:rFonts w:ascii="Arial Narrow" w:eastAsia="Times New Roman" w:hAnsi="Arial Narrow" w:cs="Arial"/>
                <w:sz w:val="16"/>
                <w:szCs w:val="16"/>
                <w:lang w:eastAsia="pt-BR"/>
              </w:rPr>
              <w:t>ABF.F054</w:t>
            </w:r>
          </w:p>
        </w:tc>
        <w:tc>
          <w:tcPr>
            <w:tcW w:w="1418" w:type="dxa"/>
            <w:tcBorders>
              <w:top w:val="nil"/>
              <w:left w:val="nil"/>
              <w:bottom w:val="nil"/>
              <w:right w:val="single" w:sz="8" w:space="0" w:color="auto"/>
            </w:tcBorders>
            <w:shd w:val="clear" w:color="auto" w:fill="auto"/>
            <w:vAlign w:val="center"/>
            <w:hideMark/>
          </w:tcPr>
          <w:p w14:paraId="1E48051A" w14:textId="77777777" w:rsidR="003F5898" w:rsidRPr="00CA4C03" w:rsidRDefault="003F5898" w:rsidP="003F5898">
            <w:pPr>
              <w:spacing w:after="0" w:line="240" w:lineRule="auto"/>
              <w:jc w:val="center"/>
              <w:rPr>
                <w:rFonts w:ascii="Arial Narrow" w:eastAsia="Times New Roman" w:hAnsi="Arial Narrow" w:cs="Arial"/>
                <w:sz w:val="16"/>
                <w:szCs w:val="16"/>
                <w:lang w:eastAsia="pt-BR"/>
              </w:rPr>
            </w:pPr>
            <w:r w:rsidRPr="00CA4C03">
              <w:rPr>
                <w:rFonts w:ascii="Arial Narrow" w:eastAsia="Times New Roman" w:hAnsi="Arial Narrow" w:cs="Arial"/>
                <w:sz w:val="16"/>
                <w:szCs w:val="16"/>
                <w:lang w:eastAsia="pt-BR"/>
              </w:rPr>
              <w:t>ABF.G054</w:t>
            </w:r>
          </w:p>
        </w:tc>
      </w:tr>
      <w:tr w:rsidR="003F5898" w:rsidRPr="00185426" w14:paraId="5194DEEF" w14:textId="77777777" w:rsidTr="00080E19">
        <w:trPr>
          <w:trHeight w:val="270"/>
        </w:trPr>
        <w:tc>
          <w:tcPr>
            <w:tcW w:w="4977" w:type="dxa"/>
            <w:tcBorders>
              <w:top w:val="single" w:sz="8" w:space="0" w:color="auto"/>
              <w:left w:val="single" w:sz="8" w:space="0" w:color="auto"/>
              <w:bottom w:val="single" w:sz="8" w:space="0" w:color="auto"/>
              <w:right w:val="nil"/>
            </w:tcBorders>
            <w:shd w:val="clear" w:color="auto" w:fill="auto"/>
            <w:noWrap/>
            <w:vAlign w:val="center"/>
            <w:hideMark/>
          </w:tcPr>
          <w:p w14:paraId="159F61EA" w14:textId="77777777" w:rsidR="003F5898" w:rsidRPr="00185426" w:rsidRDefault="003F5898" w:rsidP="003F5898">
            <w:pPr>
              <w:spacing w:after="0" w:line="240" w:lineRule="auto"/>
              <w:jc w:val="center"/>
              <w:rPr>
                <w:rFonts w:ascii="Arial Narrow" w:eastAsia="Times New Roman" w:hAnsi="Arial Narrow" w:cs="Arial"/>
                <w:b/>
                <w:bCs/>
                <w:sz w:val="16"/>
                <w:szCs w:val="16"/>
                <w:lang w:eastAsia="pt-BR"/>
              </w:rPr>
            </w:pPr>
            <w:r w:rsidRPr="00185426">
              <w:rPr>
                <w:rFonts w:ascii="Arial Narrow" w:eastAsia="Times New Roman" w:hAnsi="Arial Narrow" w:cs="Arial"/>
                <w:b/>
                <w:bCs/>
                <w:sz w:val="16"/>
                <w:szCs w:val="16"/>
                <w:lang w:eastAsia="pt-BR"/>
              </w:rPr>
              <w:t>TOTAL</w:t>
            </w:r>
          </w:p>
        </w:tc>
        <w:tc>
          <w:tcPr>
            <w:tcW w:w="127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E7C198A" w14:textId="77777777" w:rsidR="003F5898" w:rsidRPr="00185426" w:rsidRDefault="003F5898" w:rsidP="003F5898">
            <w:pPr>
              <w:spacing w:after="0" w:line="240" w:lineRule="auto"/>
              <w:jc w:val="center"/>
              <w:rPr>
                <w:rFonts w:ascii="Arial Narrow" w:eastAsia="Times New Roman" w:hAnsi="Arial Narrow" w:cs="Arial"/>
                <w:b/>
                <w:bCs/>
                <w:sz w:val="16"/>
                <w:szCs w:val="16"/>
                <w:lang w:eastAsia="pt-BR"/>
              </w:rPr>
            </w:pPr>
            <w:r w:rsidRPr="00185426">
              <w:rPr>
                <w:rFonts w:ascii="Arial Narrow" w:eastAsia="Times New Roman" w:hAnsi="Arial Narrow" w:cs="Arial"/>
                <w:b/>
                <w:bCs/>
                <w:sz w:val="16"/>
                <w:szCs w:val="16"/>
                <w:lang w:eastAsia="pt-BR"/>
              </w:rPr>
              <w:t>ABF.B055</w:t>
            </w:r>
          </w:p>
        </w:tc>
        <w:tc>
          <w:tcPr>
            <w:tcW w:w="1560" w:type="dxa"/>
            <w:tcBorders>
              <w:top w:val="single" w:sz="8" w:space="0" w:color="auto"/>
              <w:left w:val="nil"/>
              <w:bottom w:val="single" w:sz="8" w:space="0" w:color="auto"/>
              <w:right w:val="single" w:sz="8" w:space="0" w:color="auto"/>
            </w:tcBorders>
            <w:shd w:val="clear" w:color="auto" w:fill="auto"/>
            <w:vAlign w:val="center"/>
            <w:hideMark/>
          </w:tcPr>
          <w:p w14:paraId="19EC7A35" w14:textId="77777777" w:rsidR="003F5898" w:rsidRPr="00185426" w:rsidRDefault="003F5898" w:rsidP="003F5898">
            <w:pPr>
              <w:spacing w:after="0" w:line="240" w:lineRule="auto"/>
              <w:jc w:val="center"/>
              <w:rPr>
                <w:rFonts w:ascii="Arial Narrow" w:eastAsia="Times New Roman" w:hAnsi="Arial Narrow" w:cs="Arial"/>
                <w:b/>
                <w:bCs/>
                <w:sz w:val="16"/>
                <w:szCs w:val="16"/>
                <w:lang w:eastAsia="pt-BR"/>
              </w:rPr>
            </w:pPr>
            <w:r w:rsidRPr="00185426">
              <w:rPr>
                <w:rFonts w:ascii="Arial Narrow" w:eastAsia="Times New Roman" w:hAnsi="Arial Narrow" w:cs="Arial"/>
                <w:b/>
                <w:bCs/>
                <w:sz w:val="16"/>
                <w:szCs w:val="16"/>
                <w:lang w:eastAsia="pt-BR"/>
              </w:rPr>
              <w:t>ABF.C055</w:t>
            </w:r>
          </w:p>
        </w:tc>
        <w:tc>
          <w:tcPr>
            <w:tcW w:w="1275" w:type="dxa"/>
            <w:tcBorders>
              <w:top w:val="single" w:sz="8" w:space="0" w:color="auto"/>
              <w:left w:val="nil"/>
              <w:bottom w:val="single" w:sz="8" w:space="0" w:color="auto"/>
              <w:right w:val="single" w:sz="8" w:space="0" w:color="auto"/>
            </w:tcBorders>
            <w:shd w:val="clear" w:color="auto" w:fill="auto"/>
            <w:vAlign w:val="center"/>
            <w:hideMark/>
          </w:tcPr>
          <w:p w14:paraId="20190A23" w14:textId="77777777" w:rsidR="003F5898" w:rsidRPr="00185426" w:rsidRDefault="003F5898" w:rsidP="003F5898">
            <w:pPr>
              <w:spacing w:after="0" w:line="240" w:lineRule="auto"/>
              <w:jc w:val="center"/>
              <w:rPr>
                <w:rFonts w:ascii="Arial Narrow" w:eastAsia="Times New Roman" w:hAnsi="Arial Narrow" w:cs="Arial"/>
                <w:b/>
                <w:bCs/>
                <w:sz w:val="16"/>
                <w:szCs w:val="16"/>
                <w:lang w:eastAsia="pt-BR"/>
              </w:rPr>
            </w:pPr>
            <w:r w:rsidRPr="00185426">
              <w:rPr>
                <w:rFonts w:ascii="Arial Narrow" w:eastAsia="Times New Roman" w:hAnsi="Arial Narrow" w:cs="Arial"/>
                <w:b/>
                <w:bCs/>
                <w:sz w:val="16"/>
                <w:szCs w:val="16"/>
                <w:lang w:eastAsia="pt-BR"/>
              </w:rPr>
              <w:t>ABF.D055</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14:paraId="7BA6B41B" w14:textId="77777777" w:rsidR="003F5898" w:rsidRPr="00185426" w:rsidRDefault="003F5898" w:rsidP="003F5898">
            <w:pPr>
              <w:spacing w:after="0" w:line="240" w:lineRule="auto"/>
              <w:jc w:val="center"/>
              <w:rPr>
                <w:rFonts w:ascii="Arial Narrow" w:eastAsia="Times New Roman" w:hAnsi="Arial Narrow" w:cs="Arial"/>
                <w:b/>
                <w:bCs/>
                <w:sz w:val="16"/>
                <w:szCs w:val="16"/>
                <w:lang w:eastAsia="pt-BR"/>
              </w:rPr>
            </w:pPr>
            <w:r w:rsidRPr="00185426">
              <w:rPr>
                <w:rFonts w:ascii="Arial Narrow" w:eastAsia="Times New Roman" w:hAnsi="Arial Narrow" w:cs="Arial"/>
                <w:b/>
                <w:bCs/>
                <w:sz w:val="16"/>
                <w:szCs w:val="16"/>
                <w:lang w:eastAsia="pt-BR"/>
              </w:rPr>
              <w:t>ABF.E055</w:t>
            </w:r>
          </w:p>
        </w:tc>
        <w:tc>
          <w:tcPr>
            <w:tcW w:w="1701" w:type="dxa"/>
            <w:tcBorders>
              <w:top w:val="single" w:sz="8" w:space="0" w:color="auto"/>
              <w:left w:val="nil"/>
              <w:bottom w:val="single" w:sz="8" w:space="0" w:color="auto"/>
              <w:right w:val="single" w:sz="8" w:space="0" w:color="auto"/>
            </w:tcBorders>
            <w:shd w:val="clear" w:color="auto" w:fill="auto"/>
            <w:vAlign w:val="center"/>
            <w:hideMark/>
          </w:tcPr>
          <w:p w14:paraId="45587661" w14:textId="77777777" w:rsidR="003F5898" w:rsidRPr="00185426" w:rsidRDefault="003F5898" w:rsidP="003F5898">
            <w:pPr>
              <w:spacing w:after="0" w:line="240" w:lineRule="auto"/>
              <w:jc w:val="center"/>
              <w:rPr>
                <w:rFonts w:ascii="Arial Narrow" w:eastAsia="Times New Roman" w:hAnsi="Arial Narrow" w:cs="Arial"/>
                <w:b/>
                <w:bCs/>
                <w:sz w:val="16"/>
                <w:szCs w:val="16"/>
                <w:lang w:eastAsia="pt-BR"/>
              </w:rPr>
            </w:pPr>
            <w:r w:rsidRPr="00185426">
              <w:rPr>
                <w:rFonts w:ascii="Arial Narrow" w:eastAsia="Times New Roman" w:hAnsi="Arial Narrow" w:cs="Arial"/>
                <w:b/>
                <w:bCs/>
                <w:sz w:val="16"/>
                <w:szCs w:val="16"/>
                <w:lang w:eastAsia="pt-BR"/>
              </w:rPr>
              <w:t>ABF.F055</w:t>
            </w:r>
          </w:p>
        </w:tc>
        <w:tc>
          <w:tcPr>
            <w:tcW w:w="1418" w:type="dxa"/>
            <w:tcBorders>
              <w:top w:val="single" w:sz="8" w:space="0" w:color="auto"/>
              <w:left w:val="nil"/>
              <w:bottom w:val="single" w:sz="8" w:space="0" w:color="auto"/>
              <w:right w:val="single" w:sz="8" w:space="0" w:color="auto"/>
            </w:tcBorders>
            <w:shd w:val="clear" w:color="auto" w:fill="auto"/>
            <w:vAlign w:val="center"/>
            <w:hideMark/>
          </w:tcPr>
          <w:p w14:paraId="6DC249C4" w14:textId="77777777" w:rsidR="003F5898" w:rsidRPr="00185426" w:rsidRDefault="003F5898" w:rsidP="003F5898">
            <w:pPr>
              <w:spacing w:after="0" w:line="240" w:lineRule="auto"/>
              <w:jc w:val="center"/>
              <w:rPr>
                <w:rFonts w:ascii="Arial Narrow" w:eastAsia="Times New Roman" w:hAnsi="Arial Narrow" w:cs="Arial"/>
                <w:b/>
                <w:bCs/>
                <w:sz w:val="16"/>
                <w:szCs w:val="16"/>
                <w:lang w:eastAsia="pt-BR"/>
              </w:rPr>
            </w:pPr>
            <w:r w:rsidRPr="00185426">
              <w:rPr>
                <w:rFonts w:ascii="Arial Narrow" w:eastAsia="Times New Roman" w:hAnsi="Arial Narrow" w:cs="Arial"/>
                <w:b/>
                <w:bCs/>
                <w:sz w:val="16"/>
                <w:szCs w:val="16"/>
                <w:lang w:eastAsia="pt-BR"/>
              </w:rPr>
              <w:t>ABF.G055</w:t>
            </w:r>
          </w:p>
        </w:tc>
      </w:tr>
    </w:tbl>
    <w:p w14:paraId="4481F4D9" w14:textId="0DCAB66E" w:rsidR="0082721C" w:rsidRDefault="0082721C" w:rsidP="0082721C">
      <w:pPr>
        <w:spacing w:after="0" w:line="360" w:lineRule="auto"/>
        <w:jc w:val="both"/>
        <w:rPr>
          <w:rFonts w:ascii="Arial" w:hAnsi="Arial"/>
          <w:b/>
        </w:rPr>
      </w:pPr>
    </w:p>
    <w:p w14:paraId="34C55B86" w14:textId="7ABD9C79" w:rsidR="004A04A0" w:rsidRDefault="004A04A0" w:rsidP="0082721C">
      <w:pPr>
        <w:spacing w:after="0" w:line="360" w:lineRule="auto"/>
        <w:jc w:val="both"/>
        <w:rPr>
          <w:rFonts w:ascii="Arial" w:hAnsi="Arial"/>
          <w:b/>
        </w:rPr>
      </w:pPr>
    </w:p>
    <w:p w14:paraId="5728C16C" w14:textId="519122A0" w:rsidR="00A04566" w:rsidRDefault="00A04566" w:rsidP="0082721C">
      <w:pPr>
        <w:spacing w:after="0" w:line="360" w:lineRule="auto"/>
        <w:jc w:val="both"/>
        <w:rPr>
          <w:rFonts w:ascii="Arial" w:hAnsi="Arial"/>
          <w:b/>
        </w:rPr>
      </w:pPr>
    </w:p>
    <w:p w14:paraId="47EA3E86" w14:textId="006D71D3" w:rsidR="00A04566" w:rsidRDefault="00A04566" w:rsidP="0082721C">
      <w:pPr>
        <w:spacing w:after="0" w:line="360" w:lineRule="auto"/>
        <w:jc w:val="both"/>
        <w:rPr>
          <w:rFonts w:ascii="Arial" w:hAnsi="Arial"/>
          <w:b/>
        </w:rPr>
      </w:pPr>
    </w:p>
    <w:p w14:paraId="4BB97A06" w14:textId="7110A044" w:rsidR="00AE574F" w:rsidRPr="00613437" w:rsidRDefault="00AE574F">
      <w:pPr>
        <w:pStyle w:val="Ttulo2"/>
        <w:rPr>
          <w:lang w:val="pt-BR"/>
        </w:rPr>
      </w:pPr>
      <w:bookmarkStart w:id="117" w:name="_Toc94806387"/>
      <w:r w:rsidRPr="00613437">
        <w:rPr>
          <w:lang w:val="pt-BR"/>
        </w:rPr>
        <w:t>Alterou a tabela 4 -  Balanço Financeiro (Anexo 13 - Lei nº 4.320/64) e o Quadro Anexo ao Balanço Financeiro – Estado.</w:t>
      </w:r>
      <w:bookmarkEnd w:id="117"/>
    </w:p>
    <w:p w14:paraId="521A86F3" w14:textId="49D4B661" w:rsidR="00E60BB7" w:rsidRDefault="00E60BB7" w:rsidP="00E60BB7">
      <w:pPr>
        <w:spacing w:after="0" w:line="360" w:lineRule="auto"/>
        <w:jc w:val="both"/>
      </w:pPr>
    </w:p>
    <w:p w14:paraId="50AB52B9" w14:textId="77777777" w:rsidR="000643B5" w:rsidRPr="007A45C9" w:rsidRDefault="000643B5" w:rsidP="000643B5">
      <w:pPr>
        <w:spacing w:after="0" w:line="240" w:lineRule="auto"/>
        <w:jc w:val="center"/>
        <w:rPr>
          <w:rFonts w:ascii="Arial" w:eastAsia="Times New Roman" w:hAnsi="Arial" w:cs="Arial"/>
          <w:b/>
          <w:bCs/>
          <w:sz w:val="18"/>
          <w:szCs w:val="18"/>
          <w:lang w:eastAsia="pt-BR"/>
        </w:rPr>
      </w:pPr>
      <w:r w:rsidRPr="007A45C9">
        <w:rPr>
          <w:rFonts w:ascii="Arial" w:eastAsia="Times New Roman" w:hAnsi="Arial" w:cs="Arial"/>
          <w:b/>
          <w:bCs/>
          <w:sz w:val="18"/>
          <w:szCs w:val="18"/>
          <w:lang w:eastAsia="pt-BR"/>
        </w:rPr>
        <w:t>TABELA 4 - BALANÇO FINANCEIRO (Anexo 13 - Lei º 4.320/64)</w:t>
      </w:r>
    </w:p>
    <w:p w14:paraId="57915B9F" w14:textId="77777777" w:rsidR="000643B5" w:rsidRDefault="000643B5" w:rsidP="000643B5">
      <w:pPr>
        <w:spacing w:after="0" w:line="240" w:lineRule="auto"/>
        <w:jc w:val="center"/>
        <w:rPr>
          <w:rFonts w:ascii="Arial" w:eastAsia="Times New Roman" w:hAnsi="Arial" w:cs="Arial"/>
          <w:b/>
          <w:bCs/>
          <w:sz w:val="18"/>
          <w:szCs w:val="18"/>
          <w:lang w:eastAsia="pt-BR"/>
        </w:rPr>
      </w:pPr>
      <w:r w:rsidRPr="007A45C9">
        <w:rPr>
          <w:rFonts w:ascii="Arial" w:eastAsia="Times New Roman" w:hAnsi="Arial" w:cs="Arial"/>
          <w:b/>
          <w:bCs/>
          <w:sz w:val="18"/>
          <w:szCs w:val="18"/>
          <w:lang w:eastAsia="pt-BR"/>
        </w:rPr>
        <w:t>ESTADO</w:t>
      </w:r>
    </w:p>
    <w:p w14:paraId="3575940E" w14:textId="77777777" w:rsidR="00A04566" w:rsidRPr="007A45C9" w:rsidRDefault="00A04566" w:rsidP="000643B5">
      <w:pPr>
        <w:spacing w:after="0" w:line="240" w:lineRule="auto"/>
        <w:jc w:val="center"/>
        <w:rPr>
          <w:rFonts w:ascii="Arial" w:eastAsia="Times New Roman" w:hAnsi="Arial" w:cs="Arial"/>
          <w:b/>
          <w:bCs/>
          <w:sz w:val="18"/>
          <w:szCs w:val="18"/>
          <w:lang w:eastAsia="pt-BR"/>
        </w:rPr>
      </w:pPr>
    </w:p>
    <w:p w14:paraId="638A828A" w14:textId="77777777" w:rsidR="000643B5" w:rsidRPr="007A45C9" w:rsidRDefault="000643B5" w:rsidP="000643B5">
      <w:pPr>
        <w:tabs>
          <w:tab w:val="left" w:pos="13958"/>
        </w:tabs>
        <w:spacing w:after="0" w:line="240" w:lineRule="auto"/>
        <w:ind w:left="-639"/>
        <w:rPr>
          <w:rFonts w:ascii="Arial Narrow" w:eastAsia="Times New Roman" w:hAnsi="Arial Narrow" w:cs="Arial"/>
          <w:b/>
          <w:bCs/>
          <w:sz w:val="8"/>
          <w:szCs w:val="16"/>
          <w:lang w:eastAsia="pt-BR"/>
        </w:rPr>
      </w:pPr>
      <w:r w:rsidRPr="007A45C9">
        <w:rPr>
          <w:rFonts w:ascii="Arial Narrow" w:eastAsia="Times New Roman" w:hAnsi="Arial Narrow" w:cs="Arial"/>
          <w:b/>
          <w:bCs/>
          <w:sz w:val="16"/>
          <w:szCs w:val="16"/>
          <w:lang w:eastAsia="pt-BR"/>
        </w:rPr>
        <w:tab/>
      </w:r>
    </w:p>
    <w:tbl>
      <w:tblPr>
        <w:tblW w:w="14177" w:type="dxa"/>
        <w:tblInd w:w="-10" w:type="dxa"/>
        <w:tblCellMar>
          <w:left w:w="70" w:type="dxa"/>
          <w:right w:w="70" w:type="dxa"/>
        </w:tblCellMar>
        <w:tblLook w:val="04A0" w:firstRow="1" w:lastRow="0" w:firstColumn="1" w:lastColumn="0" w:noHBand="0" w:noVBand="1"/>
      </w:tblPr>
      <w:tblGrid>
        <w:gridCol w:w="5104"/>
        <w:gridCol w:w="993"/>
        <w:gridCol w:w="992"/>
        <w:gridCol w:w="5103"/>
        <w:gridCol w:w="993"/>
        <w:gridCol w:w="992"/>
      </w:tblGrid>
      <w:tr w:rsidR="000643B5" w:rsidRPr="00EA4CDC" w14:paraId="6F034C85" w14:textId="77777777" w:rsidTr="00B873F0">
        <w:trPr>
          <w:trHeight w:val="270"/>
        </w:trPr>
        <w:tc>
          <w:tcPr>
            <w:tcW w:w="7089" w:type="dxa"/>
            <w:gridSpan w:val="3"/>
            <w:tcBorders>
              <w:top w:val="single" w:sz="8" w:space="0" w:color="auto"/>
              <w:left w:val="single" w:sz="8" w:space="0" w:color="auto"/>
              <w:bottom w:val="single" w:sz="8" w:space="0" w:color="000000"/>
              <w:right w:val="single" w:sz="8" w:space="0" w:color="auto"/>
            </w:tcBorders>
            <w:shd w:val="clear" w:color="auto" w:fill="auto"/>
            <w:noWrap/>
            <w:vAlign w:val="center"/>
          </w:tcPr>
          <w:p w14:paraId="53BEE423" w14:textId="77777777" w:rsidR="000643B5" w:rsidRPr="00EA4CDC" w:rsidRDefault="000643B5" w:rsidP="00080E19">
            <w:pPr>
              <w:spacing w:after="0" w:line="240" w:lineRule="auto"/>
              <w:jc w:val="center"/>
              <w:rPr>
                <w:rFonts w:ascii="Arial Narrow" w:eastAsia="Times New Roman" w:hAnsi="Arial Narrow" w:cs="Arial"/>
                <w:b/>
                <w:bCs/>
                <w:sz w:val="16"/>
                <w:szCs w:val="16"/>
                <w:lang w:eastAsia="pt-BR"/>
              </w:rPr>
            </w:pPr>
            <w:r w:rsidRPr="00EA4CDC">
              <w:rPr>
                <w:rFonts w:ascii="Arial Narrow" w:eastAsia="Times New Roman" w:hAnsi="Arial Narrow" w:cs="Arial"/>
                <w:b/>
                <w:bCs/>
                <w:sz w:val="16"/>
                <w:szCs w:val="16"/>
                <w:lang w:eastAsia="pt-BR"/>
              </w:rPr>
              <w:t>INGRESSOS</w:t>
            </w:r>
          </w:p>
        </w:tc>
        <w:tc>
          <w:tcPr>
            <w:tcW w:w="7088" w:type="dxa"/>
            <w:gridSpan w:val="3"/>
            <w:tcBorders>
              <w:top w:val="single" w:sz="8" w:space="0" w:color="auto"/>
              <w:left w:val="single" w:sz="8" w:space="0" w:color="auto"/>
              <w:bottom w:val="single" w:sz="8" w:space="0" w:color="000000"/>
              <w:right w:val="single" w:sz="8" w:space="0" w:color="auto"/>
            </w:tcBorders>
            <w:shd w:val="clear" w:color="auto" w:fill="auto"/>
            <w:noWrap/>
            <w:vAlign w:val="center"/>
          </w:tcPr>
          <w:p w14:paraId="5D430428" w14:textId="77777777" w:rsidR="000643B5" w:rsidRPr="00EA4CDC" w:rsidRDefault="000643B5" w:rsidP="00080E19">
            <w:pPr>
              <w:spacing w:after="0" w:line="240" w:lineRule="auto"/>
              <w:jc w:val="center"/>
              <w:rPr>
                <w:rFonts w:ascii="Arial Narrow" w:eastAsia="Times New Roman" w:hAnsi="Arial Narrow" w:cs="Arial"/>
                <w:b/>
                <w:bCs/>
                <w:sz w:val="16"/>
                <w:szCs w:val="16"/>
                <w:lang w:eastAsia="pt-BR"/>
              </w:rPr>
            </w:pPr>
            <w:r w:rsidRPr="00EA4CDC">
              <w:rPr>
                <w:rFonts w:ascii="Arial Narrow" w:eastAsia="Times New Roman" w:hAnsi="Arial Narrow" w:cs="Arial"/>
                <w:b/>
                <w:bCs/>
                <w:sz w:val="16"/>
                <w:szCs w:val="16"/>
                <w:lang w:eastAsia="pt-BR"/>
              </w:rPr>
              <w:t>DISPÊNDIOS</w:t>
            </w:r>
          </w:p>
        </w:tc>
      </w:tr>
      <w:tr w:rsidR="000643B5" w:rsidRPr="00EA4CDC" w14:paraId="00796BB7" w14:textId="77777777" w:rsidTr="00B873F0">
        <w:trPr>
          <w:trHeight w:val="270"/>
        </w:trPr>
        <w:tc>
          <w:tcPr>
            <w:tcW w:w="5104"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6C9B69EC" w14:textId="77777777" w:rsidR="000643B5" w:rsidRPr="00EA4CDC" w:rsidRDefault="000643B5" w:rsidP="00080E19">
            <w:pPr>
              <w:spacing w:after="0" w:line="240" w:lineRule="auto"/>
              <w:jc w:val="center"/>
              <w:rPr>
                <w:rFonts w:ascii="Arial Narrow" w:eastAsia="Times New Roman" w:hAnsi="Arial Narrow" w:cs="Arial"/>
                <w:b/>
                <w:bCs/>
                <w:sz w:val="16"/>
                <w:szCs w:val="16"/>
                <w:lang w:eastAsia="pt-BR"/>
              </w:rPr>
            </w:pPr>
            <w:r w:rsidRPr="00EA4CDC">
              <w:rPr>
                <w:rFonts w:ascii="Arial Narrow" w:eastAsia="Times New Roman" w:hAnsi="Arial Narrow" w:cs="Arial"/>
                <w:b/>
                <w:bCs/>
                <w:sz w:val="16"/>
                <w:szCs w:val="16"/>
                <w:lang w:eastAsia="pt-BR"/>
              </w:rPr>
              <w:t>ESPECIFICAÇÃO</w:t>
            </w:r>
          </w:p>
        </w:tc>
        <w:tc>
          <w:tcPr>
            <w:tcW w:w="993" w:type="dxa"/>
            <w:tcBorders>
              <w:top w:val="single" w:sz="8" w:space="0" w:color="auto"/>
              <w:left w:val="nil"/>
              <w:bottom w:val="single" w:sz="8" w:space="0" w:color="auto"/>
              <w:right w:val="single" w:sz="8" w:space="0" w:color="auto"/>
            </w:tcBorders>
            <w:shd w:val="clear" w:color="auto" w:fill="auto"/>
            <w:noWrap/>
            <w:vAlign w:val="center"/>
            <w:hideMark/>
          </w:tcPr>
          <w:p w14:paraId="213B7A3F" w14:textId="77777777" w:rsidR="000643B5" w:rsidRPr="00EA4CDC" w:rsidRDefault="000643B5" w:rsidP="00080E19">
            <w:pPr>
              <w:spacing w:after="0" w:line="240" w:lineRule="auto"/>
              <w:jc w:val="center"/>
              <w:rPr>
                <w:rFonts w:ascii="Arial Narrow" w:eastAsia="Times New Roman" w:hAnsi="Arial Narrow" w:cs="Arial"/>
                <w:b/>
                <w:bCs/>
                <w:sz w:val="16"/>
                <w:szCs w:val="16"/>
                <w:lang w:eastAsia="pt-BR"/>
              </w:rPr>
            </w:pPr>
            <w:r w:rsidRPr="00EA4CDC">
              <w:rPr>
                <w:rFonts w:ascii="Arial Narrow" w:eastAsia="Times New Roman" w:hAnsi="Arial Narrow" w:cs="Arial"/>
                <w:b/>
                <w:bCs/>
                <w:sz w:val="16"/>
                <w:szCs w:val="16"/>
                <w:lang w:eastAsia="pt-BR"/>
              </w:rPr>
              <w:t>Exercício Atual</w:t>
            </w:r>
          </w:p>
        </w:tc>
        <w:tc>
          <w:tcPr>
            <w:tcW w:w="992" w:type="dxa"/>
            <w:tcBorders>
              <w:top w:val="single" w:sz="8" w:space="0" w:color="auto"/>
              <w:left w:val="nil"/>
              <w:bottom w:val="single" w:sz="8" w:space="0" w:color="auto"/>
              <w:right w:val="single" w:sz="8" w:space="0" w:color="auto"/>
            </w:tcBorders>
            <w:shd w:val="clear" w:color="auto" w:fill="auto"/>
            <w:noWrap/>
            <w:vAlign w:val="center"/>
            <w:hideMark/>
          </w:tcPr>
          <w:p w14:paraId="01CD91F1" w14:textId="77777777" w:rsidR="000643B5" w:rsidRPr="00EA4CDC" w:rsidRDefault="000643B5" w:rsidP="00080E19">
            <w:pPr>
              <w:spacing w:after="0" w:line="240" w:lineRule="auto"/>
              <w:jc w:val="center"/>
              <w:rPr>
                <w:rFonts w:ascii="Arial Narrow" w:eastAsia="Times New Roman" w:hAnsi="Arial Narrow" w:cs="Arial"/>
                <w:b/>
                <w:bCs/>
                <w:sz w:val="16"/>
                <w:szCs w:val="16"/>
                <w:lang w:eastAsia="pt-BR"/>
              </w:rPr>
            </w:pPr>
            <w:r w:rsidRPr="00EA4CDC">
              <w:rPr>
                <w:rFonts w:ascii="Arial Narrow" w:eastAsia="Times New Roman" w:hAnsi="Arial Narrow" w:cs="Arial"/>
                <w:b/>
                <w:bCs/>
                <w:sz w:val="16"/>
                <w:szCs w:val="16"/>
                <w:lang w:eastAsia="pt-BR"/>
              </w:rPr>
              <w:t>Exercício Anterior</w:t>
            </w:r>
          </w:p>
        </w:tc>
        <w:tc>
          <w:tcPr>
            <w:tcW w:w="5103"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46646FDD" w14:textId="77777777" w:rsidR="000643B5" w:rsidRPr="00EA4CDC" w:rsidRDefault="000643B5" w:rsidP="00080E19">
            <w:pPr>
              <w:spacing w:after="0" w:line="240" w:lineRule="auto"/>
              <w:jc w:val="center"/>
              <w:rPr>
                <w:rFonts w:ascii="Arial Narrow" w:eastAsia="Times New Roman" w:hAnsi="Arial Narrow" w:cs="Arial"/>
                <w:b/>
                <w:bCs/>
                <w:sz w:val="16"/>
                <w:szCs w:val="16"/>
                <w:lang w:eastAsia="pt-BR"/>
              </w:rPr>
            </w:pPr>
            <w:r w:rsidRPr="00EA4CDC">
              <w:rPr>
                <w:rFonts w:ascii="Arial Narrow" w:eastAsia="Times New Roman" w:hAnsi="Arial Narrow" w:cs="Arial"/>
                <w:b/>
                <w:bCs/>
                <w:sz w:val="16"/>
                <w:szCs w:val="16"/>
                <w:lang w:eastAsia="pt-BR"/>
              </w:rPr>
              <w:t>ESPECIFICAÇÃO</w:t>
            </w:r>
          </w:p>
        </w:tc>
        <w:tc>
          <w:tcPr>
            <w:tcW w:w="993" w:type="dxa"/>
            <w:tcBorders>
              <w:top w:val="single" w:sz="8" w:space="0" w:color="auto"/>
              <w:left w:val="nil"/>
              <w:bottom w:val="single" w:sz="8" w:space="0" w:color="auto"/>
              <w:right w:val="single" w:sz="8" w:space="0" w:color="auto"/>
            </w:tcBorders>
            <w:shd w:val="clear" w:color="auto" w:fill="auto"/>
            <w:noWrap/>
            <w:vAlign w:val="center"/>
            <w:hideMark/>
          </w:tcPr>
          <w:p w14:paraId="16245CAA" w14:textId="77777777" w:rsidR="000643B5" w:rsidRPr="00EA4CDC" w:rsidRDefault="000643B5" w:rsidP="00080E19">
            <w:pPr>
              <w:spacing w:after="0" w:line="240" w:lineRule="auto"/>
              <w:jc w:val="center"/>
              <w:rPr>
                <w:rFonts w:ascii="Arial Narrow" w:eastAsia="Times New Roman" w:hAnsi="Arial Narrow" w:cs="Arial"/>
                <w:b/>
                <w:bCs/>
                <w:sz w:val="16"/>
                <w:szCs w:val="16"/>
                <w:lang w:eastAsia="pt-BR"/>
              </w:rPr>
            </w:pPr>
            <w:r w:rsidRPr="00EA4CDC">
              <w:rPr>
                <w:rFonts w:ascii="Arial Narrow" w:eastAsia="Times New Roman" w:hAnsi="Arial Narrow" w:cs="Arial"/>
                <w:b/>
                <w:bCs/>
                <w:sz w:val="16"/>
                <w:szCs w:val="16"/>
                <w:lang w:eastAsia="pt-BR"/>
              </w:rPr>
              <w:t>Exercício Atual</w:t>
            </w:r>
          </w:p>
        </w:tc>
        <w:tc>
          <w:tcPr>
            <w:tcW w:w="992" w:type="dxa"/>
            <w:tcBorders>
              <w:top w:val="single" w:sz="8" w:space="0" w:color="auto"/>
              <w:left w:val="nil"/>
              <w:bottom w:val="single" w:sz="8" w:space="0" w:color="auto"/>
              <w:right w:val="single" w:sz="8" w:space="0" w:color="auto"/>
            </w:tcBorders>
            <w:shd w:val="clear" w:color="auto" w:fill="auto"/>
            <w:noWrap/>
            <w:vAlign w:val="center"/>
            <w:hideMark/>
          </w:tcPr>
          <w:p w14:paraId="0C03950B" w14:textId="77777777" w:rsidR="000643B5" w:rsidRPr="00EA4CDC" w:rsidRDefault="000643B5" w:rsidP="00080E19">
            <w:pPr>
              <w:spacing w:after="0" w:line="240" w:lineRule="auto"/>
              <w:jc w:val="center"/>
              <w:rPr>
                <w:rFonts w:ascii="Arial Narrow" w:eastAsia="Times New Roman" w:hAnsi="Arial Narrow" w:cs="Arial"/>
                <w:b/>
                <w:bCs/>
                <w:sz w:val="16"/>
                <w:szCs w:val="16"/>
                <w:lang w:eastAsia="pt-BR"/>
              </w:rPr>
            </w:pPr>
            <w:r w:rsidRPr="00EA4CDC">
              <w:rPr>
                <w:rFonts w:ascii="Arial Narrow" w:eastAsia="Times New Roman" w:hAnsi="Arial Narrow" w:cs="Arial"/>
                <w:b/>
                <w:bCs/>
                <w:sz w:val="16"/>
                <w:szCs w:val="16"/>
                <w:lang w:eastAsia="pt-BR"/>
              </w:rPr>
              <w:t>Exercício Anterior</w:t>
            </w:r>
          </w:p>
        </w:tc>
      </w:tr>
      <w:tr w:rsidR="000643B5" w:rsidRPr="00EA4CDC" w14:paraId="2C64FFBA" w14:textId="77777777" w:rsidTr="00B873F0">
        <w:trPr>
          <w:trHeight w:val="270"/>
        </w:trPr>
        <w:tc>
          <w:tcPr>
            <w:tcW w:w="5104"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4D25FF1B" w14:textId="77777777" w:rsidR="000643B5" w:rsidRPr="00EA4CDC" w:rsidRDefault="000643B5" w:rsidP="00080E19">
            <w:pPr>
              <w:spacing w:after="0" w:line="240" w:lineRule="auto"/>
              <w:rPr>
                <w:rFonts w:ascii="Arial Narrow" w:eastAsia="Times New Roman" w:hAnsi="Arial Narrow" w:cs="Arial"/>
                <w:b/>
                <w:bCs/>
                <w:sz w:val="16"/>
                <w:szCs w:val="16"/>
                <w:lang w:eastAsia="pt-BR"/>
              </w:rPr>
            </w:pPr>
          </w:p>
        </w:tc>
        <w:tc>
          <w:tcPr>
            <w:tcW w:w="1985" w:type="dxa"/>
            <w:gridSpan w:val="2"/>
            <w:tcBorders>
              <w:top w:val="nil"/>
              <w:left w:val="nil"/>
              <w:bottom w:val="single" w:sz="8" w:space="0" w:color="auto"/>
              <w:right w:val="single" w:sz="8" w:space="0" w:color="auto"/>
            </w:tcBorders>
            <w:shd w:val="clear" w:color="auto" w:fill="auto"/>
            <w:noWrap/>
            <w:vAlign w:val="center"/>
            <w:hideMark/>
          </w:tcPr>
          <w:p w14:paraId="45B88E6B" w14:textId="77777777" w:rsidR="000643B5" w:rsidRPr="00EA4CDC" w:rsidRDefault="000643B5" w:rsidP="00080E19">
            <w:pPr>
              <w:spacing w:after="0" w:line="240" w:lineRule="auto"/>
              <w:jc w:val="center"/>
              <w:rPr>
                <w:rFonts w:ascii="Arial Narrow" w:eastAsia="Times New Roman" w:hAnsi="Arial Narrow" w:cs="Arial"/>
                <w:b/>
                <w:bCs/>
                <w:sz w:val="16"/>
                <w:szCs w:val="16"/>
                <w:lang w:eastAsia="pt-BR"/>
              </w:rPr>
            </w:pPr>
            <w:r w:rsidRPr="00EA4CDC">
              <w:rPr>
                <w:rFonts w:ascii="Arial Narrow" w:eastAsia="Times New Roman" w:hAnsi="Arial Narrow" w:cs="Arial"/>
                <w:b/>
                <w:bCs/>
                <w:sz w:val="16"/>
                <w:szCs w:val="16"/>
                <w:lang w:eastAsia="pt-BR"/>
              </w:rPr>
              <w:t>VALOR</w:t>
            </w:r>
          </w:p>
        </w:tc>
        <w:tc>
          <w:tcPr>
            <w:tcW w:w="5103"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543C7B7B" w14:textId="77777777" w:rsidR="000643B5" w:rsidRPr="00EA4CDC" w:rsidRDefault="000643B5" w:rsidP="00080E19">
            <w:pPr>
              <w:spacing w:after="0" w:line="240" w:lineRule="auto"/>
              <w:rPr>
                <w:rFonts w:ascii="Arial Narrow" w:eastAsia="Times New Roman" w:hAnsi="Arial Narrow" w:cs="Arial"/>
                <w:b/>
                <w:bCs/>
                <w:sz w:val="16"/>
                <w:szCs w:val="16"/>
                <w:lang w:eastAsia="pt-BR"/>
              </w:rPr>
            </w:pPr>
          </w:p>
        </w:tc>
        <w:tc>
          <w:tcPr>
            <w:tcW w:w="1985" w:type="dxa"/>
            <w:gridSpan w:val="2"/>
            <w:tcBorders>
              <w:top w:val="nil"/>
              <w:left w:val="nil"/>
              <w:bottom w:val="single" w:sz="8" w:space="0" w:color="auto"/>
              <w:right w:val="single" w:sz="8" w:space="0" w:color="auto"/>
            </w:tcBorders>
            <w:shd w:val="clear" w:color="auto" w:fill="auto"/>
            <w:noWrap/>
            <w:vAlign w:val="center"/>
            <w:hideMark/>
          </w:tcPr>
          <w:p w14:paraId="2F5A0B01" w14:textId="77777777" w:rsidR="000643B5" w:rsidRPr="00EA4CDC" w:rsidRDefault="000643B5" w:rsidP="00080E19">
            <w:pPr>
              <w:spacing w:after="0" w:line="240" w:lineRule="auto"/>
              <w:jc w:val="center"/>
              <w:rPr>
                <w:rFonts w:ascii="Arial Narrow" w:eastAsia="Times New Roman" w:hAnsi="Arial Narrow" w:cs="Arial"/>
                <w:b/>
                <w:bCs/>
                <w:sz w:val="16"/>
                <w:szCs w:val="16"/>
                <w:lang w:eastAsia="pt-BR"/>
              </w:rPr>
            </w:pPr>
            <w:r w:rsidRPr="00EA4CDC">
              <w:rPr>
                <w:rFonts w:ascii="Arial Narrow" w:eastAsia="Times New Roman" w:hAnsi="Arial Narrow" w:cs="Arial"/>
                <w:b/>
                <w:bCs/>
                <w:sz w:val="16"/>
                <w:szCs w:val="16"/>
                <w:lang w:eastAsia="pt-BR"/>
              </w:rPr>
              <w:t>VALOR</w:t>
            </w:r>
          </w:p>
        </w:tc>
      </w:tr>
      <w:tr w:rsidR="000643B5" w:rsidRPr="00EA4CDC" w14:paraId="00F4B6EB"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39B35EA8" w14:textId="77777777" w:rsidR="000643B5" w:rsidRPr="00EA4CDC" w:rsidRDefault="000643B5" w:rsidP="00080E19">
            <w:pPr>
              <w:spacing w:after="0" w:line="240" w:lineRule="auto"/>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 </w:t>
            </w:r>
          </w:p>
        </w:tc>
        <w:tc>
          <w:tcPr>
            <w:tcW w:w="993" w:type="dxa"/>
            <w:tcBorders>
              <w:top w:val="nil"/>
              <w:left w:val="nil"/>
              <w:bottom w:val="nil"/>
              <w:right w:val="single" w:sz="8" w:space="0" w:color="auto"/>
            </w:tcBorders>
            <w:shd w:val="clear" w:color="auto" w:fill="auto"/>
            <w:noWrap/>
            <w:vAlign w:val="center"/>
            <w:hideMark/>
          </w:tcPr>
          <w:p w14:paraId="314335F0" w14:textId="77777777" w:rsidR="000643B5" w:rsidRPr="00EA4CDC" w:rsidRDefault="000643B5" w:rsidP="00080E19">
            <w:pPr>
              <w:spacing w:after="0" w:line="240" w:lineRule="auto"/>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 </w:t>
            </w:r>
          </w:p>
        </w:tc>
        <w:tc>
          <w:tcPr>
            <w:tcW w:w="992" w:type="dxa"/>
            <w:tcBorders>
              <w:top w:val="nil"/>
              <w:left w:val="nil"/>
              <w:bottom w:val="nil"/>
              <w:right w:val="single" w:sz="8" w:space="0" w:color="auto"/>
            </w:tcBorders>
            <w:shd w:val="clear" w:color="auto" w:fill="auto"/>
            <w:noWrap/>
            <w:vAlign w:val="center"/>
            <w:hideMark/>
          </w:tcPr>
          <w:p w14:paraId="7A790908" w14:textId="77777777" w:rsidR="000643B5" w:rsidRPr="00EA4CDC" w:rsidRDefault="000643B5" w:rsidP="00080E19">
            <w:pPr>
              <w:spacing w:after="0" w:line="240" w:lineRule="auto"/>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 </w:t>
            </w:r>
          </w:p>
        </w:tc>
        <w:tc>
          <w:tcPr>
            <w:tcW w:w="5103" w:type="dxa"/>
            <w:tcBorders>
              <w:top w:val="nil"/>
              <w:left w:val="nil"/>
              <w:bottom w:val="nil"/>
              <w:right w:val="single" w:sz="8" w:space="0" w:color="auto"/>
            </w:tcBorders>
            <w:shd w:val="clear" w:color="auto" w:fill="auto"/>
            <w:noWrap/>
            <w:vAlign w:val="center"/>
            <w:hideMark/>
          </w:tcPr>
          <w:p w14:paraId="105C77BD" w14:textId="77777777" w:rsidR="000643B5" w:rsidRPr="00EA4CDC" w:rsidRDefault="000643B5" w:rsidP="00080E19">
            <w:pPr>
              <w:spacing w:after="0" w:line="240" w:lineRule="auto"/>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 </w:t>
            </w:r>
          </w:p>
        </w:tc>
        <w:tc>
          <w:tcPr>
            <w:tcW w:w="993" w:type="dxa"/>
            <w:tcBorders>
              <w:top w:val="nil"/>
              <w:left w:val="nil"/>
              <w:bottom w:val="nil"/>
              <w:right w:val="single" w:sz="8" w:space="0" w:color="auto"/>
            </w:tcBorders>
            <w:shd w:val="clear" w:color="auto" w:fill="auto"/>
            <w:noWrap/>
            <w:vAlign w:val="center"/>
            <w:hideMark/>
          </w:tcPr>
          <w:p w14:paraId="466A3CA4" w14:textId="77777777" w:rsidR="000643B5" w:rsidRPr="00EA4CDC" w:rsidRDefault="000643B5" w:rsidP="00080E19">
            <w:pPr>
              <w:spacing w:after="0" w:line="240" w:lineRule="auto"/>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 </w:t>
            </w:r>
          </w:p>
        </w:tc>
        <w:tc>
          <w:tcPr>
            <w:tcW w:w="992" w:type="dxa"/>
            <w:tcBorders>
              <w:top w:val="nil"/>
              <w:left w:val="nil"/>
              <w:bottom w:val="nil"/>
              <w:right w:val="single" w:sz="8" w:space="0" w:color="auto"/>
            </w:tcBorders>
            <w:shd w:val="clear" w:color="auto" w:fill="auto"/>
            <w:noWrap/>
            <w:vAlign w:val="center"/>
            <w:hideMark/>
          </w:tcPr>
          <w:p w14:paraId="74A53525" w14:textId="77777777" w:rsidR="000643B5" w:rsidRPr="00EA4CDC" w:rsidRDefault="000643B5" w:rsidP="00080E19">
            <w:pPr>
              <w:spacing w:after="0" w:line="240" w:lineRule="auto"/>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 </w:t>
            </w:r>
          </w:p>
        </w:tc>
      </w:tr>
      <w:tr w:rsidR="000643B5" w:rsidRPr="00EA4CDC" w14:paraId="221F75EE"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471A0D31" w14:textId="77777777" w:rsidR="000643B5" w:rsidRPr="00EA4CDC" w:rsidRDefault="000643B5" w:rsidP="00080E19">
            <w:pPr>
              <w:spacing w:after="0" w:line="240" w:lineRule="auto"/>
              <w:rPr>
                <w:rFonts w:ascii="Arial Narrow" w:eastAsia="Times New Roman" w:hAnsi="Arial Narrow" w:cs="Arial"/>
                <w:b/>
                <w:bCs/>
                <w:sz w:val="16"/>
                <w:szCs w:val="16"/>
                <w:lang w:eastAsia="pt-BR"/>
              </w:rPr>
            </w:pPr>
            <w:r w:rsidRPr="00EA4CDC">
              <w:rPr>
                <w:rFonts w:ascii="Arial Narrow" w:eastAsia="Times New Roman" w:hAnsi="Arial Narrow" w:cs="Arial"/>
                <w:b/>
                <w:bCs/>
                <w:sz w:val="16"/>
                <w:szCs w:val="16"/>
                <w:lang w:eastAsia="pt-BR"/>
              </w:rPr>
              <w:t>RECEITA ORÇAMENTÁRIA (I)</w:t>
            </w:r>
          </w:p>
        </w:tc>
        <w:tc>
          <w:tcPr>
            <w:tcW w:w="993" w:type="dxa"/>
            <w:tcBorders>
              <w:top w:val="nil"/>
              <w:left w:val="nil"/>
              <w:bottom w:val="nil"/>
              <w:right w:val="single" w:sz="8" w:space="0" w:color="auto"/>
            </w:tcBorders>
            <w:shd w:val="clear" w:color="auto" w:fill="auto"/>
            <w:vAlign w:val="center"/>
            <w:hideMark/>
          </w:tcPr>
          <w:p w14:paraId="4D78F701" w14:textId="77777777" w:rsidR="000643B5" w:rsidRPr="00EA4CDC" w:rsidRDefault="000643B5" w:rsidP="00080E19">
            <w:pPr>
              <w:spacing w:after="0" w:line="240" w:lineRule="auto"/>
              <w:jc w:val="center"/>
              <w:rPr>
                <w:rFonts w:ascii="Arial Narrow" w:eastAsia="Times New Roman" w:hAnsi="Arial Narrow" w:cs="Arial"/>
                <w:b/>
                <w:bCs/>
                <w:sz w:val="16"/>
                <w:szCs w:val="16"/>
                <w:lang w:eastAsia="pt-BR"/>
              </w:rPr>
            </w:pPr>
            <w:r w:rsidRPr="00EA4CDC">
              <w:rPr>
                <w:rFonts w:ascii="Arial Narrow" w:eastAsia="Times New Roman" w:hAnsi="Arial Narrow" w:cs="Arial"/>
                <w:b/>
                <w:bCs/>
                <w:sz w:val="16"/>
                <w:szCs w:val="16"/>
                <w:lang w:eastAsia="pt-BR"/>
              </w:rPr>
              <w:t>BFI.C010</w:t>
            </w:r>
          </w:p>
        </w:tc>
        <w:tc>
          <w:tcPr>
            <w:tcW w:w="992" w:type="dxa"/>
            <w:tcBorders>
              <w:top w:val="nil"/>
              <w:left w:val="nil"/>
              <w:bottom w:val="nil"/>
              <w:right w:val="single" w:sz="8" w:space="0" w:color="auto"/>
            </w:tcBorders>
            <w:shd w:val="clear" w:color="auto" w:fill="auto"/>
            <w:vAlign w:val="center"/>
            <w:hideMark/>
          </w:tcPr>
          <w:p w14:paraId="34A8BD60" w14:textId="77777777" w:rsidR="000643B5" w:rsidRPr="00EA4CDC" w:rsidRDefault="000643B5" w:rsidP="00080E19">
            <w:pPr>
              <w:spacing w:after="0" w:line="240" w:lineRule="auto"/>
              <w:jc w:val="center"/>
              <w:rPr>
                <w:rFonts w:ascii="Arial Narrow" w:eastAsia="Times New Roman" w:hAnsi="Arial Narrow" w:cs="Arial"/>
                <w:b/>
                <w:bCs/>
                <w:sz w:val="16"/>
                <w:szCs w:val="16"/>
                <w:lang w:eastAsia="pt-BR"/>
              </w:rPr>
            </w:pPr>
            <w:r w:rsidRPr="00EA4CDC">
              <w:rPr>
                <w:rFonts w:ascii="Arial Narrow" w:eastAsia="Times New Roman" w:hAnsi="Arial Narrow" w:cs="Arial"/>
                <w:b/>
                <w:bCs/>
                <w:sz w:val="16"/>
                <w:szCs w:val="16"/>
                <w:lang w:eastAsia="pt-BR"/>
              </w:rPr>
              <w:t>BFI.D010</w:t>
            </w:r>
          </w:p>
        </w:tc>
        <w:tc>
          <w:tcPr>
            <w:tcW w:w="5103" w:type="dxa"/>
            <w:tcBorders>
              <w:top w:val="nil"/>
              <w:left w:val="nil"/>
              <w:bottom w:val="nil"/>
              <w:right w:val="single" w:sz="8" w:space="0" w:color="auto"/>
            </w:tcBorders>
            <w:shd w:val="clear" w:color="auto" w:fill="auto"/>
            <w:noWrap/>
            <w:vAlign w:val="center"/>
            <w:hideMark/>
          </w:tcPr>
          <w:p w14:paraId="4875E7D0" w14:textId="77777777" w:rsidR="000643B5" w:rsidRPr="00EA4CDC" w:rsidRDefault="000643B5" w:rsidP="00080E19">
            <w:pPr>
              <w:spacing w:after="0" w:line="240" w:lineRule="auto"/>
              <w:rPr>
                <w:rFonts w:ascii="Arial Narrow" w:eastAsia="Times New Roman" w:hAnsi="Arial Narrow" w:cs="Arial"/>
                <w:b/>
                <w:bCs/>
                <w:sz w:val="16"/>
                <w:szCs w:val="16"/>
                <w:lang w:eastAsia="pt-BR"/>
              </w:rPr>
            </w:pPr>
            <w:r w:rsidRPr="00EA4CDC">
              <w:rPr>
                <w:rFonts w:ascii="Arial Narrow" w:eastAsia="Times New Roman" w:hAnsi="Arial Narrow" w:cs="Arial"/>
                <w:b/>
                <w:bCs/>
                <w:sz w:val="16"/>
                <w:szCs w:val="16"/>
                <w:lang w:eastAsia="pt-BR"/>
              </w:rPr>
              <w:t>DESPESA ORÇAMENTÁRIA (VI)</w:t>
            </w:r>
          </w:p>
        </w:tc>
        <w:tc>
          <w:tcPr>
            <w:tcW w:w="993" w:type="dxa"/>
            <w:tcBorders>
              <w:top w:val="nil"/>
              <w:left w:val="nil"/>
              <w:bottom w:val="nil"/>
              <w:right w:val="single" w:sz="8" w:space="0" w:color="auto"/>
            </w:tcBorders>
            <w:shd w:val="clear" w:color="auto" w:fill="auto"/>
            <w:vAlign w:val="center"/>
            <w:hideMark/>
          </w:tcPr>
          <w:p w14:paraId="6E4AEB87" w14:textId="77777777" w:rsidR="000643B5" w:rsidRPr="00EA4CDC" w:rsidRDefault="000643B5" w:rsidP="00080E19">
            <w:pPr>
              <w:spacing w:after="0" w:line="240" w:lineRule="auto"/>
              <w:jc w:val="center"/>
              <w:rPr>
                <w:rFonts w:ascii="Arial Narrow" w:eastAsia="Times New Roman" w:hAnsi="Arial Narrow" w:cs="Arial"/>
                <w:b/>
                <w:bCs/>
                <w:sz w:val="16"/>
                <w:szCs w:val="16"/>
                <w:lang w:eastAsia="pt-BR"/>
              </w:rPr>
            </w:pPr>
            <w:r w:rsidRPr="00EA4CDC">
              <w:rPr>
                <w:rFonts w:ascii="Arial Narrow" w:eastAsia="Times New Roman" w:hAnsi="Arial Narrow" w:cs="Arial"/>
                <w:b/>
                <w:bCs/>
                <w:sz w:val="16"/>
                <w:szCs w:val="16"/>
                <w:lang w:eastAsia="pt-BR"/>
              </w:rPr>
              <w:t>BFI.G010</w:t>
            </w:r>
          </w:p>
        </w:tc>
        <w:tc>
          <w:tcPr>
            <w:tcW w:w="992" w:type="dxa"/>
            <w:tcBorders>
              <w:top w:val="nil"/>
              <w:left w:val="nil"/>
              <w:bottom w:val="nil"/>
              <w:right w:val="single" w:sz="8" w:space="0" w:color="auto"/>
            </w:tcBorders>
            <w:shd w:val="clear" w:color="auto" w:fill="auto"/>
            <w:vAlign w:val="center"/>
            <w:hideMark/>
          </w:tcPr>
          <w:p w14:paraId="4B3A997F" w14:textId="77777777" w:rsidR="000643B5" w:rsidRPr="00EA4CDC" w:rsidRDefault="000643B5" w:rsidP="00080E19">
            <w:pPr>
              <w:spacing w:after="0" w:line="240" w:lineRule="auto"/>
              <w:jc w:val="center"/>
              <w:rPr>
                <w:rFonts w:ascii="Arial Narrow" w:eastAsia="Times New Roman" w:hAnsi="Arial Narrow" w:cs="Arial"/>
                <w:b/>
                <w:bCs/>
                <w:sz w:val="16"/>
                <w:szCs w:val="16"/>
                <w:lang w:eastAsia="pt-BR"/>
              </w:rPr>
            </w:pPr>
            <w:r w:rsidRPr="00EA4CDC">
              <w:rPr>
                <w:rFonts w:ascii="Arial Narrow" w:eastAsia="Times New Roman" w:hAnsi="Arial Narrow" w:cs="Arial"/>
                <w:b/>
                <w:bCs/>
                <w:sz w:val="16"/>
                <w:szCs w:val="16"/>
                <w:lang w:eastAsia="pt-BR"/>
              </w:rPr>
              <w:t>BFI.H010</w:t>
            </w:r>
          </w:p>
        </w:tc>
      </w:tr>
      <w:tr w:rsidR="000643B5" w:rsidRPr="00EA4CDC" w14:paraId="4EF94178"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2BFBE84E" w14:textId="77777777" w:rsidR="000643B5" w:rsidRPr="00EA4CDC" w:rsidRDefault="000643B5" w:rsidP="00080E19">
            <w:pPr>
              <w:spacing w:after="0" w:line="240" w:lineRule="auto"/>
              <w:ind w:firstLineChars="100" w:firstLine="161"/>
              <w:rPr>
                <w:rFonts w:ascii="Arial Narrow" w:eastAsia="Times New Roman" w:hAnsi="Arial Narrow" w:cs="Arial"/>
                <w:b/>
                <w:bCs/>
                <w:sz w:val="16"/>
                <w:szCs w:val="16"/>
                <w:u w:val="single"/>
                <w:lang w:eastAsia="pt-BR"/>
              </w:rPr>
            </w:pPr>
            <w:r w:rsidRPr="00EA4CDC">
              <w:rPr>
                <w:rFonts w:ascii="Arial Narrow" w:eastAsia="Times New Roman" w:hAnsi="Arial Narrow" w:cs="Arial"/>
                <w:b/>
                <w:bCs/>
                <w:sz w:val="16"/>
                <w:szCs w:val="16"/>
                <w:u w:val="single"/>
                <w:lang w:eastAsia="pt-BR"/>
              </w:rPr>
              <w:t>Ordinária</w:t>
            </w:r>
          </w:p>
        </w:tc>
        <w:tc>
          <w:tcPr>
            <w:tcW w:w="993" w:type="dxa"/>
            <w:tcBorders>
              <w:top w:val="nil"/>
              <w:left w:val="nil"/>
              <w:bottom w:val="nil"/>
              <w:right w:val="single" w:sz="8" w:space="0" w:color="auto"/>
            </w:tcBorders>
            <w:shd w:val="clear" w:color="auto" w:fill="auto"/>
            <w:vAlign w:val="center"/>
            <w:hideMark/>
          </w:tcPr>
          <w:p w14:paraId="7A0BBEB1" w14:textId="77777777" w:rsidR="000643B5" w:rsidRPr="00EA4CDC" w:rsidRDefault="000643B5" w:rsidP="00080E19">
            <w:pPr>
              <w:spacing w:after="0" w:line="240" w:lineRule="auto"/>
              <w:jc w:val="center"/>
              <w:rPr>
                <w:rFonts w:ascii="Arial Narrow" w:eastAsia="Times New Roman" w:hAnsi="Arial Narrow" w:cs="Arial"/>
                <w:b/>
                <w:bCs/>
                <w:sz w:val="16"/>
                <w:szCs w:val="16"/>
                <w:lang w:eastAsia="pt-BR"/>
              </w:rPr>
            </w:pPr>
            <w:r w:rsidRPr="00EA4CDC">
              <w:rPr>
                <w:rFonts w:ascii="Arial Narrow" w:eastAsia="Times New Roman" w:hAnsi="Arial Narrow" w:cs="Arial"/>
                <w:b/>
                <w:bCs/>
                <w:sz w:val="16"/>
                <w:szCs w:val="16"/>
                <w:lang w:eastAsia="pt-BR"/>
              </w:rPr>
              <w:t>BFI.C011</w:t>
            </w:r>
          </w:p>
        </w:tc>
        <w:tc>
          <w:tcPr>
            <w:tcW w:w="992" w:type="dxa"/>
            <w:tcBorders>
              <w:top w:val="nil"/>
              <w:left w:val="nil"/>
              <w:bottom w:val="nil"/>
              <w:right w:val="single" w:sz="8" w:space="0" w:color="auto"/>
            </w:tcBorders>
            <w:shd w:val="clear" w:color="auto" w:fill="auto"/>
            <w:vAlign w:val="center"/>
            <w:hideMark/>
          </w:tcPr>
          <w:p w14:paraId="2F9F7BA5" w14:textId="77777777" w:rsidR="000643B5" w:rsidRPr="00EA4CDC" w:rsidRDefault="000643B5" w:rsidP="00080E19">
            <w:pPr>
              <w:spacing w:after="0" w:line="240" w:lineRule="auto"/>
              <w:jc w:val="center"/>
              <w:rPr>
                <w:rFonts w:ascii="Arial Narrow" w:eastAsia="Times New Roman" w:hAnsi="Arial Narrow" w:cs="Arial"/>
                <w:b/>
                <w:bCs/>
                <w:sz w:val="16"/>
                <w:szCs w:val="16"/>
                <w:lang w:eastAsia="pt-BR"/>
              </w:rPr>
            </w:pPr>
            <w:r w:rsidRPr="00EA4CDC">
              <w:rPr>
                <w:rFonts w:ascii="Arial Narrow" w:eastAsia="Times New Roman" w:hAnsi="Arial Narrow" w:cs="Arial"/>
                <w:b/>
                <w:bCs/>
                <w:sz w:val="16"/>
                <w:szCs w:val="16"/>
                <w:lang w:eastAsia="pt-BR"/>
              </w:rPr>
              <w:t>BFI.D011</w:t>
            </w:r>
          </w:p>
        </w:tc>
        <w:tc>
          <w:tcPr>
            <w:tcW w:w="5103" w:type="dxa"/>
            <w:tcBorders>
              <w:top w:val="nil"/>
              <w:left w:val="nil"/>
              <w:bottom w:val="nil"/>
              <w:right w:val="single" w:sz="8" w:space="0" w:color="auto"/>
            </w:tcBorders>
            <w:shd w:val="clear" w:color="auto" w:fill="auto"/>
            <w:noWrap/>
            <w:vAlign w:val="center"/>
            <w:hideMark/>
          </w:tcPr>
          <w:p w14:paraId="14573FC9" w14:textId="77777777" w:rsidR="000643B5" w:rsidRPr="00EA4CDC" w:rsidRDefault="000643B5" w:rsidP="00080E19">
            <w:pPr>
              <w:spacing w:after="0" w:line="240" w:lineRule="auto"/>
              <w:ind w:firstLineChars="100" w:firstLine="161"/>
              <w:rPr>
                <w:rFonts w:ascii="Arial Narrow" w:eastAsia="Times New Roman" w:hAnsi="Arial Narrow" w:cs="Arial"/>
                <w:b/>
                <w:bCs/>
                <w:sz w:val="16"/>
                <w:szCs w:val="16"/>
                <w:u w:val="single"/>
                <w:lang w:eastAsia="pt-BR"/>
              </w:rPr>
            </w:pPr>
            <w:r w:rsidRPr="00EA4CDC">
              <w:rPr>
                <w:rFonts w:ascii="Arial Narrow" w:eastAsia="Times New Roman" w:hAnsi="Arial Narrow" w:cs="Arial"/>
                <w:b/>
                <w:bCs/>
                <w:sz w:val="16"/>
                <w:szCs w:val="16"/>
                <w:u w:val="single"/>
                <w:lang w:eastAsia="pt-BR"/>
              </w:rPr>
              <w:t>Ordinária</w:t>
            </w:r>
          </w:p>
        </w:tc>
        <w:tc>
          <w:tcPr>
            <w:tcW w:w="993" w:type="dxa"/>
            <w:tcBorders>
              <w:top w:val="nil"/>
              <w:left w:val="nil"/>
              <w:bottom w:val="nil"/>
              <w:right w:val="single" w:sz="8" w:space="0" w:color="auto"/>
            </w:tcBorders>
            <w:shd w:val="clear" w:color="auto" w:fill="auto"/>
            <w:vAlign w:val="center"/>
            <w:hideMark/>
          </w:tcPr>
          <w:p w14:paraId="7236C980" w14:textId="77777777" w:rsidR="000643B5" w:rsidRPr="00EA4CDC" w:rsidRDefault="000643B5" w:rsidP="00080E19">
            <w:pPr>
              <w:spacing w:after="0" w:line="240" w:lineRule="auto"/>
              <w:jc w:val="center"/>
              <w:rPr>
                <w:rFonts w:ascii="Arial Narrow" w:eastAsia="Times New Roman" w:hAnsi="Arial Narrow" w:cs="Arial"/>
                <w:b/>
                <w:bCs/>
                <w:sz w:val="16"/>
                <w:szCs w:val="16"/>
                <w:lang w:eastAsia="pt-BR"/>
              </w:rPr>
            </w:pPr>
            <w:r w:rsidRPr="00EA4CDC">
              <w:rPr>
                <w:rFonts w:ascii="Arial Narrow" w:eastAsia="Times New Roman" w:hAnsi="Arial Narrow" w:cs="Arial"/>
                <w:b/>
                <w:bCs/>
                <w:sz w:val="16"/>
                <w:szCs w:val="16"/>
                <w:lang w:eastAsia="pt-BR"/>
              </w:rPr>
              <w:t>BFI.G011</w:t>
            </w:r>
          </w:p>
        </w:tc>
        <w:tc>
          <w:tcPr>
            <w:tcW w:w="992" w:type="dxa"/>
            <w:tcBorders>
              <w:top w:val="nil"/>
              <w:left w:val="nil"/>
              <w:bottom w:val="nil"/>
              <w:right w:val="single" w:sz="8" w:space="0" w:color="auto"/>
            </w:tcBorders>
            <w:shd w:val="clear" w:color="auto" w:fill="auto"/>
            <w:vAlign w:val="center"/>
            <w:hideMark/>
          </w:tcPr>
          <w:p w14:paraId="3ADD1847" w14:textId="77777777" w:rsidR="000643B5" w:rsidRPr="00EA4CDC" w:rsidRDefault="000643B5" w:rsidP="00080E19">
            <w:pPr>
              <w:spacing w:after="0" w:line="240" w:lineRule="auto"/>
              <w:jc w:val="center"/>
              <w:rPr>
                <w:rFonts w:ascii="Arial Narrow" w:eastAsia="Times New Roman" w:hAnsi="Arial Narrow" w:cs="Arial"/>
                <w:b/>
                <w:bCs/>
                <w:sz w:val="16"/>
                <w:szCs w:val="16"/>
                <w:lang w:eastAsia="pt-BR"/>
              </w:rPr>
            </w:pPr>
            <w:r w:rsidRPr="00EA4CDC">
              <w:rPr>
                <w:rFonts w:ascii="Arial Narrow" w:eastAsia="Times New Roman" w:hAnsi="Arial Narrow" w:cs="Arial"/>
                <w:b/>
                <w:bCs/>
                <w:sz w:val="16"/>
                <w:szCs w:val="16"/>
                <w:lang w:eastAsia="pt-BR"/>
              </w:rPr>
              <w:t>BFI.H011</w:t>
            </w:r>
          </w:p>
        </w:tc>
      </w:tr>
      <w:tr w:rsidR="000643B5" w:rsidRPr="00EA4CDC" w14:paraId="529B4B8B"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4B518517"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101 - RECURSOS ORDINÁRIOS</w:t>
            </w:r>
          </w:p>
        </w:tc>
        <w:tc>
          <w:tcPr>
            <w:tcW w:w="993" w:type="dxa"/>
            <w:tcBorders>
              <w:top w:val="nil"/>
              <w:left w:val="nil"/>
              <w:bottom w:val="nil"/>
              <w:right w:val="single" w:sz="8" w:space="0" w:color="auto"/>
            </w:tcBorders>
            <w:shd w:val="clear" w:color="auto" w:fill="auto"/>
            <w:vAlign w:val="center"/>
            <w:hideMark/>
          </w:tcPr>
          <w:p w14:paraId="116B9DCC"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BFI.C501</w:t>
            </w:r>
          </w:p>
        </w:tc>
        <w:tc>
          <w:tcPr>
            <w:tcW w:w="992" w:type="dxa"/>
            <w:tcBorders>
              <w:top w:val="nil"/>
              <w:left w:val="nil"/>
              <w:bottom w:val="nil"/>
              <w:right w:val="single" w:sz="8" w:space="0" w:color="auto"/>
            </w:tcBorders>
            <w:shd w:val="clear" w:color="auto" w:fill="auto"/>
            <w:vAlign w:val="center"/>
            <w:hideMark/>
          </w:tcPr>
          <w:p w14:paraId="689157CD"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BFI.D501</w:t>
            </w:r>
          </w:p>
        </w:tc>
        <w:tc>
          <w:tcPr>
            <w:tcW w:w="5103" w:type="dxa"/>
            <w:tcBorders>
              <w:top w:val="nil"/>
              <w:left w:val="nil"/>
              <w:bottom w:val="nil"/>
              <w:right w:val="single" w:sz="8" w:space="0" w:color="auto"/>
            </w:tcBorders>
            <w:shd w:val="clear" w:color="auto" w:fill="auto"/>
            <w:noWrap/>
            <w:vAlign w:val="center"/>
            <w:hideMark/>
          </w:tcPr>
          <w:p w14:paraId="2AE23242"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101 - RECURSOS ORDINÁRIOS</w:t>
            </w:r>
          </w:p>
        </w:tc>
        <w:tc>
          <w:tcPr>
            <w:tcW w:w="993" w:type="dxa"/>
            <w:tcBorders>
              <w:top w:val="nil"/>
              <w:left w:val="nil"/>
              <w:bottom w:val="nil"/>
              <w:right w:val="single" w:sz="8" w:space="0" w:color="auto"/>
            </w:tcBorders>
            <w:shd w:val="clear" w:color="auto" w:fill="auto"/>
            <w:vAlign w:val="center"/>
            <w:hideMark/>
          </w:tcPr>
          <w:p w14:paraId="42AEDF33"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BFI.G501</w:t>
            </w:r>
          </w:p>
        </w:tc>
        <w:tc>
          <w:tcPr>
            <w:tcW w:w="992" w:type="dxa"/>
            <w:tcBorders>
              <w:top w:val="nil"/>
              <w:left w:val="nil"/>
              <w:bottom w:val="nil"/>
              <w:right w:val="single" w:sz="8" w:space="0" w:color="auto"/>
            </w:tcBorders>
            <w:shd w:val="clear" w:color="auto" w:fill="auto"/>
            <w:vAlign w:val="center"/>
            <w:hideMark/>
          </w:tcPr>
          <w:p w14:paraId="49B57D78"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BFI.H501</w:t>
            </w:r>
          </w:p>
        </w:tc>
      </w:tr>
      <w:tr w:rsidR="000643B5" w:rsidRPr="00EA4CDC" w14:paraId="5A79D312"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2AAE035E"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301 - SUPERÁVIT FINANCEIRO - RECURSOS ORDINÁRIOS</w:t>
            </w:r>
          </w:p>
        </w:tc>
        <w:tc>
          <w:tcPr>
            <w:tcW w:w="993" w:type="dxa"/>
            <w:tcBorders>
              <w:top w:val="nil"/>
              <w:left w:val="nil"/>
              <w:bottom w:val="nil"/>
              <w:right w:val="single" w:sz="8" w:space="0" w:color="auto"/>
            </w:tcBorders>
            <w:shd w:val="clear" w:color="auto" w:fill="auto"/>
            <w:vAlign w:val="center"/>
            <w:hideMark/>
          </w:tcPr>
          <w:p w14:paraId="70C3E7E4"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BFI.C502</w:t>
            </w:r>
          </w:p>
        </w:tc>
        <w:tc>
          <w:tcPr>
            <w:tcW w:w="992" w:type="dxa"/>
            <w:tcBorders>
              <w:top w:val="nil"/>
              <w:left w:val="nil"/>
              <w:bottom w:val="nil"/>
              <w:right w:val="single" w:sz="8" w:space="0" w:color="auto"/>
            </w:tcBorders>
            <w:shd w:val="clear" w:color="auto" w:fill="auto"/>
            <w:vAlign w:val="center"/>
            <w:hideMark/>
          </w:tcPr>
          <w:p w14:paraId="26A3FF41"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BFI.D502</w:t>
            </w:r>
          </w:p>
        </w:tc>
        <w:tc>
          <w:tcPr>
            <w:tcW w:w="5103" w:type="dxa"/>
            <w:tcBorders>
              <w:top w:val="nil"/>
              <w:left w:val="nil"/>
              <w:bottom w:val="nil"/>
              <w:right w:val="single" w:sz="8" w:space="0" w:color="auto"/>
            </w:tcBorders>
            <w:shd w:val="clear" w:color="auto" w:fill="auto"/>
            <w:noWrap/>
            <w:vAlign w:val="center"/>
            <w:hideMark/>
          </w:tcPr>
          <w:p w14:paraId="7C8429F7"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301 - SUPERÁVIT FINANCEIRO - RECURSOS ORDINÁRIOS</w:t>
            </w:r>
          </w:p>
        </w:tc>
        <w:tc>
          <w:tcPr>
            <w:tcW w:w="993" w:type="dxa"/>
            <w:tcBorders>
              <w:top w:val="nil"/>
              <w:left w:val="nil"/>
              <w:bottom w:val="nil"/>
              <w:right w:val="single" w:sz="8" w:space="0" w:color="auto"/>
            </w:tcBorders>
            <w:shd w:val="clear" w:color="auto" w:fill="auto"/>
            <w:vAlign w:val="center"/>
            <w:hideMark/>
          </w:tcPr>
          <w:p w14:paraId="754AE243"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BFI.G502</w:t>
            </w:r>
          </w:p>
        </w:tc>
        <w:tc>
          <w:tcPr>
            <w:tcW w:w="992" w:type="dxa"/>
            <w:tcBorders>
              <w:top w:val="nil"/>
              <w:left w:val="nil"/>
              <w:bottom w:val="nil"/>
              <w:right w:val="single" w:sz="8" w:space="0" w:color="auto"/>
            </w:tcBorders>
            <w:shd w:val="clear" w:color="auto" w:fill="auto"/>
            <w:vAlign w:val="center"/>
            <w:hideMark/>
          </w:tcPr>
          <w:p w14:paraId="54D71628"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BFI.H502</w:t>
            </w:r>
          </w:p>
        </w:tc>
      </w:tr>
      <w:tr w:rsidR="000643B5" w:rsidRPr="00EA4CDC" w14:paraId="5EE45BA8"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0EA351E1" w14:textId="77777777" w:rsidR="000643B5" w:rsidRPr="00EA4CDC" w:rsidRDefault="000643B5" w:rsidP="00080E19">
            <w:pPr>
              <w:spacing w:after="0" w:line="240" w:lineRule="auto"/>
              <w:ind w:firstLineChars="100" w:firstLine="161"/>
              <w:rPr>
                <w:rFonts w:ascii="Arial Narrow" w:eastAsia="Times New Roman" w:hAnsi="Arial Narrow" w:cs="Arial"/>
                <w:b/>
                <w:bCs/>
                <w:sz w:val="16"/>
                <w:szCs w:val="16"/>
                <w:u w:val="single"/>
                <w:lang w:eastAsia="pt-BR"/>
              </w:rPr>
            </w:pPr>
            <w:r w:rsidRPr="00EA4CDC">
              <w:rPr>
                <w:rFonts w:ascii="Arial Narrow" w:eastAsia="Times New Roman" w:hAnsi="Arial Narrow" w:cs="Arial"/>
                <w:b/>
                <w:bCs/>
                <w:sz w:val="16"/>
                <w:szCs w:val="16"/>
                <w:u w:val="single"/>
                <w:lang w:eastAsia="pt-BR"/>
              </w:rPr>
              <w:t>Vinculada</w:t>
            </w:r>
          </w:p>
        </w:tc>
        <w:tc>
          <w:tcPr>
            <w:tcW w:w="993" w:type="dxa"/>
            <w:tcBorders>
              <w:top w:val="nil"/>
              <w:left w:val="nil"/>
              <w:bottom w:val="nil"/>
              <w:right w:val="single" w:sz="8" w:space="0" w:color="auto"/>
            </w:tcBorders>
            <w:shd w:val="clear" w:color="auto" w:fill="auto"/>
            <w:vAlign w:val="center"/>
            <w:hideMark/>
          </w:tcPr>
          <w:p w14:paraId="2A88CD47" w14:textId="77777777" w:rsidR="000643B5" w:rsidRPr="00EA4CDC" w:rsidRDefault="000643B5" w:rsidP="00080E19">
            <w:pPr>
              <w:spacing w:after="0" w:line="240" w:lineRule="auto"/>
              <w:jc w:val="center"/>
              <w:rPr>
                <w:rFonts w:ascii="Arial Narrow" w:eastAsia="Times New Roman" w:hAnsi="Arial Narrow" w:cs="Arial"/>
                <w:b/>
                <w:bCs/>
                <w:sz w:val="16"/>
                <w:szCs w:val="16"/>
                <w:lang w:eastAsia="pt-BR"/>
              </w:rPr>
            </w:pPr>
            <w:r w:rsidRPr="00EA4CDC">
              <w:rPr>
                <w:rFonts w:ascii="Arial Narrow" w:eastAsia="Times New Roman" w:hAnsi="Arial Narrow" w:cs="Arial"/>
                <w:b/>
                <w:bCs/>
                <w:sz w:val="16"/>
                <w:szCs w:val="16"/>
                <w:lang w:eastAsia="pt-BR"/>
              </w:rPr>
              <w:t>BFI.C012</w:t>
            </w:r>
          </w:p>
        </w:tc>
        <w:tc>
          <w:tcPr>
            <w:tcW w:w="992" w:type="dxa"/>
            <w:tcBorders>
              <w:top w:val="nil"/>
              <w:left w:val="nil"/>
              <w:bottom w:val="nil"/>
              <w:right w:val="single" w:sz="8" w:space="0" w:color="auto"/>
            </w:tcBorders>
            <w:shd w:val="clear" w:color="auto" w:fill="auto"/>
            <w:vAlign w:val="center"/>
            <w:hideMark/>
          </w:tcPr>
          <w:p w14:paraId="5D37DA88" w14:textId="77777777" w:rsidR="000643B5" w:rsidRPr="00EA4CDC" w:rsidRDefault="000643B5" w:rsidP="00080E19">
            <w:pPr>
              <w:spacing w:after="0" w:line="240" w:lineRule="auto"/>
              <w:jc w:val="center"/>
              <w:rPr>
                <w:rFonts w:ascii="Arial Narrow" w:eastAsia="Times New Roman" w:hAnsi="Arial Narrow" w:cs="Arial"/>
                <w:b/>
                <w:bCs/>
                <w:sz w:val="16"/>
                <w:szCs w:val="16"/>
                <w:lang w:eastAsia="pt-BR"/>
              </w:rPr>
            </w:pPr>
            <w:r w:rsidRPr="00EA4CDC">
              <w:rPr>
                <w:rFonts w:ascii="Arial Narrow" w:eastAsia="Times New Roman" w:hAnsi="Arial Narrow" w:cs="Arial"/>
                <w:b/>
                <w:bCs/>
                <w:sz w:val="16"/>
                <w:szCs w:val="16"/>
                <w:lang w:eastAsia="pt-BR"/>
              </w:rPr>
              <w:t>BFI.D012</w:t>
            </w:r>
          </w:p>
        </w:tc>
        <w:tc>
          <w:tcPr>
            <w:tcW w:w="5103" w:type="dxa"/>
            <w:tcBorders>
              <w:top w:val="nil"/>
              <w:left w:val="nil"/>
              <w:bottom w:val="nil"/>
              <w:right w:val="single" w:sz="8" w:space="0" w:color="auto"/>
            </w:tcBorders>
            <w:shd w:val="clear" w:color="auto" w:fill="auto"/>
            <w:noWrap/>
            <w:vAlign w:val="center"/>
            <w:hideMark/>
          </w:tcPr>
          <w:p w14:paraId="42C78705" w14:textId="77777777" w:rsidR="000643B5" w:rsidRPr="00EA4CDC" w:rsidRDefault="000643B5" w:rsidP="00080E19">
            <w:pPr>
              <w:spacing w:after="0" w:line="240" w:lineRule="auto"/>
              <w:ind w:firstLineChars="100" w:firstLine="161"/>
              <w:rPr>
                <w:rFonts w:ascii="Arial Narrow" w:eastAsia="Times New Roman" w:hAnsi="Arial Narrow" w:cs="Arial"/>
                <w:b/>
                <w:bCs/>
                <w:sz w:val="16"/>
                <w:szCs w:val="16"/>
                <w:u w:val="single"/>
                <w:lang w:eastAsia="pt-BR"/>
              </w:rPr>
            </w:pPr>
            <w:r w:rsidRPr="00EA4CDC">
              <w:rPr>
                <w:rFonts w:ascii="Arial Narrow" w:eastAsia="Times New Roman" w:hAnsi="Arial Narrow" w:cs="Arial"/>
                <w:b/>
                <w:bCs/>
                <w:sz w:val="16"/>
                <w:szCs w:val="16"/>
                <w:u w:val="single"/>
                <w:lang w:eastAsia="pt-BR"/>
              </w:rPr>
              <w:t>Vinculada</w:t>
            </w:r>
          </w:p>
        </w:tc>
        <w:tc>
          <w:tcPr>
            <w:tcW w:w="993" w:type="dxa"/>
            <w:tcBorders>
              <w:top w:val="nil"/>
              <w:left w:val="nil"/>
              <w:bottom w:val="nil"/>
              <w:right w:val="single" w:sz="8" w:space="0" w:color="auto"/>
            </w:tcBorders>
            <w:shd w:val="clear" w:color="auto" w:fill="auto"/>
            <w:vAlign w:val="center"/>
            <w:hideMark/>
          </w:tcPr>
          <w:p w14:paraId="7B93AF11" w14:textId="77777777" w:rsidR="000643B5" w:rsidRPr="00EA4CDC" w:rsidRDefault="000643B5" w:rsidP="00080E19">
            <w:pPr>
              <w:spacing w:after="0" w:line="240" w:lineRule="auto"/>
              <w:jc w:val="center"/>
              <w:rPr>
                <w:rFonts w:ascii="Arial Narrow" w:eastAsia="Times New Roman" w:hAnsi="Arial Narrow" w:cs="Arial"/>
                <w:b/>
                <w:bCs/>
                <w:sz w:val="16"/>
                <w:szCs w:val="16"/>
                <w:lang w:eastAsia="pt-BR"/>
              </w:rPr>
            </w:pPr>
            <w:r w:rsidRPr="00EA4CDC">
              <w:rPr>
                <w:rFonts w:ascii="Arial Narrow" w:eastAsia="Times New Roman" w:hAnsi="Arial Narrow" w:cs="Arial"/>
                <w:b/>
                <w:bCs/>
                <w:sz w:val="16"/>
                <w:szCs w:val="16"/>
                <w:lang w:eastAsia="pt-BR"/>
              </w:rPr>
              <w:t>BFI.G012</w:t>
            </w:r>
          </w:p>
        </w:tc>
        <w:tc>
          <w:tcPr>
            <w:tcW w:w="992" w:type="dxa"/>
            <w:tcBorders>
              <w:top w:val="nil"/>
              <w:left w:val="nil"/>
              <w:bottom w:val="nil"/>
              <w:right w:val="single" w:sz="8" w:space="0" w:color="auto"/>
            </w:tcBorders>
            <w:shd w:val="clear" w:color="auto" w:fill="auto"/>
            <w:vAlign w:val="center"/>
            <w:hideMark/>
          </w:tcPr>
          <w:p w14:paraId="6BB020B9" w14:textId="77777777" w:rsidR="000643B5" w:rsidRPr="00EA4CDC" w:rsidRDefault="000643B5" w:rsidP="00080E19">
            <w:pPr>
              <w:spacing w:after="0" w:line="240" w:lineRule="auto"/>
              <w:jc w:val="center"/>
              <w:rPr>
                <w:rFonts w:ascii="Arial Narrow" w:eastAsia="Times New Roman" w:hAnsi="Arial Narrow" w:cs="Arial"/>
                <w:b/>
                <w:bCs/>
                <w:sz w:val="16"/>
                <w:szCs w:val="16"/>
                <w:lang w:eastAsia="pt-BR"/>
              </w:rPr>
            </w:pPr>
            <w:r w:rsidRPr="00EA4CDC">
              <w:rPr>
                <w:rFonts w:ascii="Arial Narrow" w:eastAsia="Times New Roman" w:hAnsi="Arial Narrow" w:cs="Arial"/>
                <w:b/>
                <w:bCs/>
                <w:sz w:val="16"/>
                <w:szCs w:val="16"/>
                <w:lang w:eastAsia="pt-BR"/>
              </w:rPr>
              <w:t>BFI.H012</w:t>
            </w:r>
          </w:p>
        </w:tc>
      </w:tr>
      <w:tr w:rsidR="000643B5" w:rsidRPr="00EA4CDC" w14:paraId="66B0CDBC"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799D1F02" w14:textId="77777777" w:rsidR="000643B5" w:rsidRPr="00EA4CDC" w:rsidRDefault="000643B5" w:rsidP="00080E19">
            <w:pPr>
              <w:spacing w:after="0" w:line="240" w:lineRule="auto"/>
              <w:ind w:firstLineChars="100" w:firstLine="161"/>
              <w:rPr>
                <w:rFonts w:ascii="Arial Narrow" w:eastAsia="Times New Roman" w:hAnsi="Arial Narrow" w:cs="Arial"/>
                <w:b/>
                <w:bCs/>
                <w:sz w:val="16"/>
                <w:szCs w:val="16"/>
                <w:lang w:eastAsia="pt-BR"/>
              </w:rPr>
            </w:pPr>
            <w:r w:rsidRPr="00EA4CDC">
              <w:rPr>
                <w:rFonts w:ascii="Arial Narrow" w:eastAsia="Times New Roman" w:hAnsi="Arial Narrow" w:cs="Arial"/>
                <w:b/>
                <w:bCs/>
                <w:sz w:val="16"/>
                <w:szCs w:val="16"/>
                <w:lang w:eastAsia="pt-BR"/>
              </w:rPr>
              <w:t xml:space="preserve">  Recursos Vinculados à Educação </w:t>
            </w:r>
          </w:p>
        </w:tc>
        <w:tc>
          <w:tcPr>
            <w:tcW w:w="993" w:type="dxa"/>
            <w:tcBorders>
              <w:top w:val="nil"/>
              <w:left w:val="nil"/>
              <w:bottom w:val="nil"/>
              <w:right w:val="single" w:sz="8" w:space="0" w:color="auto"/>
            </w:tcBorders>
            <w:shd w:val="clear" w:color="auto" w:fill="auto"/>
            <w:vAlign w:val="center"/>
            <w:hideMark/>
          </w:tcPr>
          <w:p w14:paraId="1BBB8DE9" w14:textId="77777777" w:rsidR="000643B5" w:rsidRPr="00EA4CDC" w:rsidRDefault="000643B5" w:rsidP="00080E19">
            <w:pPr>
              <w:spacing w:after="0" w:line="240" w:lineRule="auto"/>
              <w:jc w:val="center"/>
              <w:rPr>
                <w:rFonts w:ascii="Arial Narrow" w:eastAsia="Times New Roman" w:hAnsi="Arial Narrow" w:cs="Arial"/>
                <w:b/>
                <w:bCs/>
                <w:sz w:val="16"/>
                <w:szCs w:val="16"/>
                <w:lang w:eastAsia="pt-BR"/>
              </w:rPr>
            </w:pPr>
            <w:r w:rsidRPr="00EA4CDC">
              <w:rPr>
                <w:rFonts w:ascii="Arial Narrow" w:eastAsia="Times New Roman" w:hAnsi="Arial Narrow" w:cs="Arial"/>
                <w:b/>
                <w:bCs/>
                <w:sz w:val="16"/>
                <w:szCs w:val="16"/>
                <w:lang w:eastAsia="pt-BR"/>
              </w:rPr>
              <w:t>BFI.C013</w:t>
            </w:r>
          </w:p>
        </w:tc>
        <w:tc>
          <w:tcPr>
            <w:tcW w:w="992" w:type="dxa"/>
            <w:tcBorders>
              <w:top w:val="nil"/>
              <w:left w:val="nil"/>
              <w:bottom w:val="nil"/>
              <w:right w:val="single" w:sz="8" w:space="0" w:color="auto"/>
            </w:tcBorders>
            <w:shd w:val="clear" w:color="auto" w:fill="auto"/>
            <w:vAlign w:val="center"/>
            <w:hideMark/>
          </w:tcPr>
          <w:p w14:paraId="053FD2A1" w14:textId="77777777" w:rsidR="000643B5" w:rsidRPr="00EA4CDC" w:rsidRDefault="000643B5" w:rsidP="00080E19">
            <w:pPr>
              <w:spacing w:after="0" w:line="240" w:lineRule="auto"/>
              <w:jc w:val="center"/>
              <w:rPr>
                <w:rFonts w:ascii="Arial Narrow" w:eastAsia="Times New Roman" w:hAnsi="Arial Narrow" w:cs="Arial"/>
                <w:b/>
                <w:bCs/>
                <w:sz w:val="16"/>
                <w:szCs w:val="16"/>
                <w:lang w:eastAsia="pt-BR"/>
              </w:rPr>
            </w:pPr>
            <w:r w:rsidRPr="00EA4CDC">
              <w:rPr>
                <w:rFonts w:ascii="Arial Narrow" w:eastAsia="Times New Roman" w:hAnsi="Arial Narrow" w:cs="Arial"/>
                <w:b/>
                <w:bCs/>
                <w:sz w:val="16"/>
                <w:szCs w:val="16"/>
                <w:lang w:eastAsia="pt-BR"/>
              </w:rPr>
              <w:t>BFI.D013</w:t>
            </w:r>
          </w:p>
        </w:tc>
        <w:tc>
          <w:tcPr>
            <w:tcW w:w="5103" w:type="dxa"/>
            <w:tcBorders>
              <w:top w:val="nil"/>
              <w:left w:val="nil"/>
              <w:bottom w:val="nil"/>
              <w:right w:val="single" w:sz="8" w:space="0" w:color="auto"/>
            </w:tcBorders>
            <w:shd w:val="clear" w:color="auto" w:fill="auto"/>
            <w:noWrap/>
            <w:vAlign w:val="center"/>
            <w:hideMark/>
          </w:tcPr>
          <w:p w14:paraId="7C8019B1" w14:textId="77777777" w:rsidR="000643B5" w:rsidRPr="00EA4CDC" w:rsidRDefault="000643B5" w:rsidP="00080E19">
            <w:pPr>
              <w:spacing w:after="0" w:line="240" w:lineRule="auto"/>
              <w:ind w:firstLineChars="100" w:firstLine="161"/>
              <w:rPr>
                <w:rFonts w:ascii="Arial Narrow" w:eastAsia="Times New Roman" w:hAnsi="Arial Narrow" w:cs="Arial"/>
                <w:b/>
                <w:bCs/>
                <w:sz w:val="16"/>
                <w:szCs w:val="16"/>
                <w:lang w:eastAsia="pt-BR"/>
              </w:rPr>
            </w:pPr>
            <w:r w:rsidRPr="00EA4CDC">
              <w:rPr>
                <w:rFonts w:ascii="Arial Narrow" w:eastAsia="Times New Roman" w:hAnsi="Arial Narrow" w:cs="Arial"/>
                <w:b/>
                <w:bCs/>
                <w:sz w:val="16"/>
                <w:szCs w:val="16"/>
                <w:lang w:eastAsia="pt-BR"/>
              </w:rPr>
              <w:t xml:space="preserve">  Recursos Vinculados à Educação </w:t>
            </w:r>
          </w:p>
        </w:tc>
        <w:tc>
          <w:tcPr>
            <w:tcW w:w="993" w:type="dxa"/>
            <w:tcBorders>
              <w:top w:val="nil"/>
              <w:left w:val="nil"/>
              <w:bottom w:val="nil"/>
              <w:right w:val="single" w:sz="8" w:space="0" w:color="auto"/>
            </w:tcBorders>
            <w:shd w:val="clear" w:color="auto" w:fill="auto"/>
            <w:vAlign w:val="center"/>
            <w:hideMark/>
          </w:tcPr>
          <w:p w14:paraId="596685C6" w14:textId="77777777" w:rsidR="000643B5" w:rsidRPr="00EA4CDC" w:rsidRDefault="000643B5" w:rsidP="00080E19">
            <w:pPr>
              <w:spacing w:after="0" w:line="240" w:lineRule="auto"/>
              <w:jc w:val="center"/>
              <w:rPr>
                <w:rFonts w:ascii="Arial Narrow" w:eastAsia="Times New Roman" w:hAnsi="Arial Narrow" w:cs="Arial"/>
                <w:b/>
                <w:bCs/>
                <w:sz w:val="16"/>
                <w:szCs w:val="16"/>
                <w:lang w:eastAsia="pt-BR"/>
              </w:rPr>
            </w:pPr>
            <w:r w:rsidRPr="00EA4CDC">
              <w:rPr>
                <w:rFonts w:ascii="Arial Narrow" w:eastAsia="Times New Roman" w:hAnsi="Arial Narrow" w:cs="Arial"/>
                <w:b/>
                <w:bCs/>
                <w:sz w:val="16"/>
                <w:szCs w:val="16"/>
                <w:lang w:eastAsia="pt-BR"/>
              </w:rPr>
              <w:t>BFI.G013</w:t>
            </w:r>
          </w:p>
        </w:tc>
        <w:tc>
          <w:tcPr>
            <w:tcW w:w="992" w:type="dxa"/>
            <w:tcBorders>
              <w:top w:val="nil"/>
              <w:left w:val="nil"/>
              <w:bottom w:val="nil"/>
              <w:right w:val="single" w:sz="8" w:space="0" w:color="auto"/>
            </w:tcBorders>
            <w:shd w:val="clear" w:color="auto" w:fill="auto"/>
            <w:vAlign w:val="center"/>
            <w:hideMark/>
          </w:tcPr>
          <w:p w14:paraId="4D26DB1D" w14:textId="77777777" w:rsidR="000643B5" w:rsidRPr="00EA4CDC" w:rsidRDefault="000643B5" w:rsidP="00080E19">
            <w:pPr>
              <w:spacing w:after="0" w:line="240" w:lineRule="auto"/>
              <w:jc w:val="center"/>
              <w:rPr>
                <w:rFonts w:ascii="Arial Narrow" w:eastAsia="Times New Roman" w:hAnsi="Arial Narrow" w:cs="Arial"/>
                <w:b/>
                <w:bCs/>
                <w:sz w:val="16"/>
                <w:szCs w:val="16"/>
                <w:lang w:eastAsia="pt-BR"/>
              </w:rPr>
            </w:pPr>
            <w:r w:rsidRPr="00EA4CDC">
              <w:rPr>
                <w:rFonts w:ascii="Arial Narrow" w:eastAsia="Times New Roman" w:hAnsi="Arial Narrow" w:cs="Arial"/>
                <w:b/>
                <w:bCs/>
                <w:sz w:val="16"/>
                <w:szCs w:val="16"/>
                <w:lang w:eastAsia="pt-BR"/>
              </w:rPr>
              <w:t>BFI.H013</w:t>
            </w:r>
          </w:p>
        </w:tc>
      </w:tr>
      <w:tr w:rsidR="000643B5" w:rsidRPr="00EA4CDC" w14:paraId="43371E98"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27D19C36"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102 - MANUTENÇÃO E DESENVOLVIMENTO DO ENSINO</w:t>
            </w:r>
          </w:p>
        </w:tc>
        <w:tc>
          <w:tcPr>
            <w:tcW w:w="993" w:type="dxa"/>
            <w:tcBorders>
              <w:top w:val="nil"/>
              <w:left w:val="nil"/>
              <w:bottom w:val="nil"/>
              <w:right w:val="single" w:sz="8" w:space="0" w:color="auto"/>
            </w:tcBorders>
            <w:shd w:val="clear" w:color="auto" w:fill="auto"/>
            <w:vAlign w:val="center"/>
            <w:hideMark/>
          </w:tcPr>
          <w:p w14:paraId="2F628136"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BFI.C503</w:t>
            </w:r>
          </w:p>
        </w:tc>
        <w:tc>
          <w:tcPr>
            <w:tcW w:w="992" w:type="dxa"/>
            <w:tcBorders>
              <w:top w:val="nil"/>
              <w:left w:val="nil"/>
              <w:bottom w:val="nil"/>
              <w:right w:val="single" w:sz="8" w:space="0" w:color="auto"/>
            </w:tcBorders>
            <w:shd w:val="clear" w:color="auto" w:fill="auto"/>
            <w:vAlign w:val="center"/>
            <w:hideMark/>
          </w:tcPr>
          <w:p w14:paraId="7103B3EE"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BFI.D503</w:t>
            </w:r>
          </w:p>
        </w:tc>
        <w:tc>
          <w:tcPr>
            <w:tcW w:w="5103" w:type="dxa"/>
            <w:tcBorders>
              <w:top w:val="nil"/>
              <w:left w:val="nil"/>
              <w:bottom w:val="nil"/>
              <w:right w:val="single" w:sz="8" w:space="0" w:color="auto"/>
            </w:tcBorders>
            <w:shd w:val="clear" w:color="auto" w:fill="auto"/>
            <w:noWrap/>
            <w:vAlign w:val="center"/>
            <w:hideMark/>
          </w:tcPr>
          <w:p w14:paraId="361A9DF5"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102 - MANUTENÇÃO E DESENVOLVIMENTO DO ENSINO</w:t>
            </w:r>
          </w:p>
        </w:tc>
        <w:tc>
          <w:tcPr>
            <w:tcW w:w="993" w:type="dxa"/>
            <w:tcBorders>
              <w:top w:val="nil"/>
              <w:left w:val="nil"/>
              <w:bottom w:val="nil"/>
              <w:right w:val="single" w:sz="8" w:space="0" w:color="auto"/>
            </w:tcBorders>
            <w:shd w:val="clear" w:color="auto" w:fill="auto"/>
            <w:vAlign w:val="center"/>
            <w:hideMark/>
          </w:tcPr>
          <w:p w14:paraId="362A9A71"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BFI.G503</w:t>
            </w:r>
          </w:p>
        </w:tc>
        <w:tc>
          <w:tcPr>
            <w:tcW w:w="992" w:type="dxa"/>
            <w:tcBorders>
              <w:top w:val="nil"/>
              <w:left w:val="nil"/>
              <w:bottom w:val="nil"/>
              <w:right w:val="single" w:sz="8" w:space="0" w:color="auto"/>
            </w:tcBorders>
            <w:shd w:val="clear" w:color="auto" w:fill="auto"/>
            <w:vAlign w:val="center"/>
            <w:hideMark/>
          </w:tcPr>
          <w:p w14:paraId="1B73C41C"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BFI.H503</w:t>
            </w:r>
          </w:p>
        </w:tc>
      </w:tr>
      <w:tr w:rsidR="000643B5" w:rsidRPr="00EA4CDC" w14:paraId="0FB360B6"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349D7E71" w14:textId="5812EC6D"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 xml:space="preserve">113 - MANUTENÇÃO E DESENVOLVIMENTO DA EDUCAÇÃO BÁSICA E DE VALORIZAÇÃO DOS PROFISSIONAIS DA EDUCAÇÃO - FUNDEB </w:t>
            </w:r>
            <w:r w:rsidR="00AB428A" w:rsidRPr="0055312B">
              <w:rPr>
                <w:rFonts w:ascii="Arial Narrow" w:eastAsia="Times New Roman" w:hAnsi="Arial Narrow" w:cs="Arial"/>
                <w:color w:val="0070C0"/>
                <w:sz w:val="16"/>
                <w:szCs w:val="16"/>
                <w:lang w:eastAsia="pt-BR"/>
              </w:rPr>
              <w:t>(70%)</w:t>
            </w:r>
            <w:r w:rsidR="00AB428A">
              <w:rPr>
                <w:rFonts w:ascii="Arial Narrow" w:eastAsia="Times New Roman" w:hAnsi="Arial Narrow" w:cs="Arial"/>
                <w:sz w:val="16"/>
                <w:szCs w:val="16"/>
                <w:lang w:eastAsia="pt-BR"/>
              </w:rPr>
              <w:t xml:space="preserve"> </w:t>
            </w:r>
            <w:r w:rsidR="00AB428A" w:rsidRPr="00853884">
              <w:rPr>
                <w:rFonts w:ascii="Arial Narrow" w:eastAsia="Times New Roman" w:hAnsi="Arial Narrow" w:cs="Arial"/>
                <w:sz w:val="16"/>
                <w:szCs w:val="16"/>
                <w:lang w:eastAsia="pt-BR"/>
              </w:rPr>
              <w:t xml:space="preserve"> </w:t>
            </w:r>
            <w:r w:rsidR="00AB428A" w:rsidRPr="0055312B">
              <w:rPr>
                <w:rFonts w:ascii="Arial Narrow" w:eastAsia="Times New Roman" w:hAnsi="Arial Narrow" w:cs="Arial"/>
                <w:strike/>
                <w:color w:val="FF0000"/>
                <w:sz w:val="16"/>
                <w:szCs w:val="16"/>
                <w:lang w:eastAsia="pt-BR"/>
              </w:rPr>
              <w:t>(60%)</w:t>
            </w:r>
          </w:p>
        </w:tc>
        <w:tc>
          <w:tcPr>
            <w:tcW w:w="993" w:type="dxa"/>
            <w:tcBorders>
              <w:top w:val="nil"/>
              <w:left w:val="nil"/>
              <w:bottom w:val="nil"/>
              <w:right w:val="single" w:sz="8" w:space="0" w:color="auto"/>
            </w:tcBorders>
            <w:shd w:val="clear" w:color="auto" w:fill="auto"/>
            <w:vAlign w:val="center"/>
            <w:hideMark/>
          </w:tcPr>
          <w:p w14:paraId="19088AFF"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BFI.C504</w:t>
            </w:r>
          </w:p>
        </w:tc>
        <w:tc>
          <w:tcPr>
            <w:tcW w:w="992" w:type="dxa"/>
            <w:tcBorders>
              <w:top w:val="nil"/>
              <w:left w:val="nil"/>
              <w:bottom w:val="nil"/>
              <w:right w:val="single" w:sz="8" w:space="0" w:color="auto"/>
            </w:tcBorders>
            <w:shd w:val="clear" w:color="auto" w:fill="auto"/>
            <w:vAlign w:val="center"/>
            <w:hideMark/>
          </w:tcPr>
          <w:p w14:paraId="77C91939"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BFI.D504</w:t>
            </w:r>
          </w:p>
        </w:tc>
        <w:tc>
          <w:tcPr>
            <w:tcW w:w="5103" w:type="dxa"/>
            <w:tcBorders>
              <w:top w:val="nil"/>
              <w:left w:val="nil"/>
              <w:bottom w:val="nil"/>
              <w:right w:val="single" w:sz="8" w:space="0" w:color="auto"/>
            </w:tcBorders>
            <w:shd w:val="clear" w:color="auto" w:fill="auto"/>
            <w:noWrap/>
            <w:vAlign w:val="center"/>
            <w:hideMark/>
          </w:tcPr>
          <w:p w14:paraId="78D98F92" w14:textId="3300B69F"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 xml:space="preserve">113 - MANUTENÇÃO E DESENVOLVIMENTO DA EDUCAÇÃO BÁSICA E DE VALORIZAÇÃO DOS PROFISSIONAIS DA EDUCAÇÃO - FUNDEB </w:t>
            </w:r>
            <w:r w:rsidR="00AB428A" w:rsidRPr="0055312B">
              <w:rPr>
                <w:rFonts w:ascii="Arial Narrow" w:eastAsia="Times New Roman" w:hAnsi="Arial Narrow" w:cs="Arial"/>
                <w:color w:val="0070C0"/>
                <w:sz w:val="16"/>
                <w:szCs w:val="16"/>
                <w:lang w:eastAsia="pt-BR"/>
              </w:rPr>
              <w:t>(70%)</w:t>
            </w:r>
            <w:r w:rsidR="00AB428A">
              <w:rPr>
                <w:rFonts w:ascii="Arial Narrow" w:eastAsia="Times New Roman" w:hAnsi="Arial Narrow" w:cs="Arial"/>
                <w:sz w:val="16"/>
                <w:szCs w:val="16"/>
                <w:lang w:eastAsia="pt-BR"/>
              </w:rPr>
              <w:t xml:space="preserve"> </w:t>
            </w:r>
            <w:r w:rsidR="00AB428A" w:rsidRPr="00853884">
              <w:rPr>
                <w:rFonts w:ascii="Arial Narrow" w:eastAsia="Times New Roman" w:hAnsi="Arial Narrow" w:cs="Arial"/>
                <w:sz w:val="16"/>
                <w:szCs w:val="16"/>
                <w:lang w:eastAsia="pt-BR"/>
              </w:rPr>
              <w:t xml:space="preserve"> </w:t>
            </w:r>
            <w:r w:rsidR="00AB428A" w:rsidRPr="0055312B">
              <w:rPr>
                <w:rFonts w:ascii="Arial Narrow" w:eastAsia="Times New Roman" w:hAnsi="Arial Narrow" w:cs="Arial"/>
                <w:strike/>
                <w:color w:val="FF0000"/>
                <w:sz w:val="16"/>
                <w:szCs w:val="16"/>
                <w:lang w:eastAsia="pt-BR"/>
              </w:rPr>
              <w:t>(60%)</w:t>
            </w:r>
          </w:p>
        </w:tc>
        <w:tc>
          <w:tcPr>
            <w:tcW w:w="993" w:type="dxa"/>
            <w:tcBorders>
              <w:top w:val="nil"/>
              <w:left w:val="nil"/>
              <w:bottom w:val="nil"/>
              <w:right w:val="single" w:sz="8" w:space="0" w:color="auto"/>
            </w:tcBorders>
            <w:shd w:val="clear" w:color="auto" w:fill="auto"/>
            <w:vAlign w:val="center"/>
            <w:hideMark/>
          </w:tcPr>
          <w:p w14:paraId="4D65DB95"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BFI.G504</w:t>
            </w:r>
          </w:p>
        </w:tc>
        <w:tc>
          <w:tcPr>
            <w:tcW w:w="992" w:type="dxa"/>
            <w:tcBorders>
              <w:top w:val="nil"/>
              <w:left w:val="nil"/>
              <w:bottom w:val="nil"/>
              <w:right w:val="single" w:sz="8" w:space="0" w:color="auto"/>
            </w:tcBorders>
            <w:shd w:val="clear" w:color="auto" w:fill="auto"/>
            <w:vAlign w:val="center"/>
            <w:hideMark/>
          </w:tcPr>
          <w:p w14:paraId="57A5D398"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BFI.H504</w:t>
            </w:r>
          </w:p>
        </w:tc>
      </w:tr>
      <w:tr w:rsidR="000643B5" w:rsidRPr="00EA4CDC" w14:paraId="69C8A213"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6F91EE92" w14:textId="42A4BE0F"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 xml:space="preserve">114 - MANUTENÇÃO E DESENVOLVIMENTO DA EDUCAÇÃO BÁSICA E DE VALORIZAÇÃO DOS PROFISSIONAIS DA EDUCAÇÃO - FUNDEB </w:t>
            </w:r>
            <w:r w:rsidR="00AB428A" w:rsidRPr="0055312B">
              <w:rPr>
                <w:rFonts w:ascii="Arial Narrow" w:eastAsia="Times New Roman" w:hAnsi="Arial Narrow" w:cs="Arial"/>
                <w:color w:val="0070C0"/>
                <w:sz w:val="16"/>
                <w:szCs w:val="16"/>
                <w:lang w:eastAsia="pt-BR"/>
              </w:rPr>
              <w:t>(</w:t>
            </w:r>
            <w:r w:rsidR="00AB428A">
              <w:rPr>
                <w:rFonts w:ascii="Arial Narrow" w:eastAsia="Times New Roman" w:hAnsi="Arial Narrow" w:cs="Arial"/>
                <w:color w:val="0070C0"/>
                <w:sz w:val="16"/>
                <w:szCs w:val="16"/>
                <w:lang w:eastAsia="pt-BR"/>
              </w:rPr>
              <w:t>3</w:t>
            </w:r>
            <w:r w:rsidR="00AB428A" w:rsidRPr="0055312B">
              <w:rPr>
                <w:rFonts w:ascii="Arial Narrow" w:eastAsia="Times New Roman" w:hAnsi="Arial Narrow" w:cs="Arial"/>
                <w:color w:val="0070C0"/>
                <w:sz w:val="16"/>
                <w:szCs w:val="16"/>
                <w:lang w:eastAsia="pt-BR"/>
              </w:rPr>
              <w:t>0%)</w:t>
            </w:r>
            <w:r w:rsidR="00AB428A">
              <w:rPr>
                <w:rFonts w:ascii="Arial Narrow" w:eastAsia="Times New Roman" w:hAnsi="Arial Narrow" w:cs="Arial"/>
                <w:sz w:val="16"/>
                <w:szCs w:val="16"/>
                <w:lang w:eastAsia="pt-BR"/>
              </w:rPr>
              <w:t xml:space="preserve"> </w:t>
            </w:r>
            <w:r w:rsidR="00AB428A" w:rsidRPr="00853884">
              <w:rPr>
                <w:rFonts w:ascii="Arial Narrow" w:eastAsia="Times New Roman" w:hAnsi="Arial Narrow" w:cs="Arial"/>
                <w:sz w:val="16"/>
                <w:szCs w:val="16"/>
                <w:lang w:eastAsia="pt-BR"/>
              </w:rPr>
              <w:t xml:space="preserve"> </w:t>
            </w:r>
            <w:r w:rsidR="00AB428A" w:rsidRPr="0055312B">
              <w:rPr>
                <w:rFonts w:ascii="Arial Narrow" w:eastAsia="Times New Roman" w:hAnsi="Arial Narrow" w:cs="Arial"/>
                <w:strike/>
                <w:color w:val="FF0000"/>
                <w:sz w:val="16"/>
                <w:szCs w:val="16"/>
                <w:lang w:eastAsia="pt-BR"/>
              </w:rPr>
              <w:t>(</w:t>
            </w:r>
            <w:r w:rsidR="00AB428A">
              <w:rPr>
                <w:rFonts w:ascii="Arial Narrow" w:eastAsia="Times New Roman" w:hAnsi="Arial Narrow" w:cs="Arial"/>
                <w:strike/>
                <w:color w:val="FF0000"/>
                <w:sz w:val="16"/>
                <w:szCs w:val="16"/>
                <w:lang w:eastAsia="pt-BR"/>
              </w:rPr>
              <w:t>4</w:t>
            </w:r>
            <w:r w:rsidR="00AB428A" w:rsidRPr="0055312B">
              <w:rPr>
                <w:rFonts w:ascii="Arial Narrow" w:eastAsia="Times New Roman" w:hAnsi="Arial Narrow" w:cs="Arial"/>
                <w:strike/>
                <w:color w:val="FF0000"/>
                <w:sz w:val="16"/>
                <w:szCs w:val="16"/>
                <w:lang w:eastAsia="pt-BR"/>
              </w:rPr>
              <w:t>0%)</w:t>
            </w:r>
          </w:p>
        </w:tc>
        <w:tc>
          <w:tcPr>
            <w:tcW w:w="993" w:type="dxa"/>
            <w:tcBorders>
              <w:top w:val="nil"/>
              <w:left w:val="nil"/>
              <w:bottom w:val="nil"/>
              <w:right w:val="single" w:sz="8" w:space="0" w:color="auto"/>
            </w:tcBorders>
            <w:shd w:val="clear" w:color="auto" w:fill="auto"/>
            <w:vAlign w:val="center"/>
            <w:hideMark/>
          </w:tcPr>
          <w:p w14:paraId="4C7A49AE"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BFI.C505</w:t>
            </w:r>
          </w:p>
        </w:tc>
        <w:tc>
          <w:tcPr>
            <w:tcW w:w="992" w:type="dxa"/>
            <w:tcBorders>
              <w:top w:val="nil"/>
              <w:left w:val="nil"/>
              <w:bottom w:val="nil"/>
              <w:right w:val="single" w:sz="8" w:space="0" w:color="auto"/>
            </w:tcBorders>
            <w:shd w:val="clear" w:color="auto" w:fill="auto"/>
            <w:vAlign w:val="center"/>
            <w:hideMark/>
          </w:tcPr>
          <w:p w14:paraId="0A696EC2"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BFI.D505</w:t>
            </w:r>
          </w:p>
        </w:tc>
        <w:tc>
          <w:tcPr>
            <w:tcW w:w="5103" w:type="dxa"/>
            <w:tcBorders>
              <w:top w:val="nil"/>
              <w:left w:val="nil"/>
              <w:bottom w:val="nil"/>
              <w:right w:val="single" w:sz="8" w:space="0" w:color="auto"/>
            </w:tcBorders>
            <w:shd w:val="clear" w:color="auto" w:fill="auto"/>
            <w:noWrap/>
            <w:vAlign w:val="center"/>
            <w:hideMark/>
          </w:tcPr>
          <w:p w14:paraId="09CAB417" w14:textId="60232B7F"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 xml:space="preserve">114 - MANUTENÇÃO E DESENVOLVIMENTO DA EDUCAÇÃO BÁSICA E DE VALORIZAÇÃO DOS PROFISSIONAIS DA EDUCAÇÃO - FUNDEB </w:t>
            </w:r>
            <w:r w:rsidR="00AB428A" w:rsidRPr="0055312B">
              <w:rPr>
                <w:rFonts w:ascii="Arial Narrow" w:eastAsia="Times New Roman" w:hAnsi="Arial Narrow" w:cs="Arial"/>
                <w:color w:val="0070C0"/>
                <w:sz w:val="16"/>
                <w:szCs w:val="16"/>
                <w:lang w:eastAsia="pt-BR"/>
              </w:rPr>
              <w:t>(</w:t>
            </w:r>
            <w:r w:rsidR="00AB428A">
              <w:rPr>
                <w:rFonts w:ascii="Arial Narrow" w:eastAsia="Times New Roman" w:hAnsi="Arial Narrow" w:cs="Arial"/>
                <w:color w:val="0070C0"/>
                <w:sz w:val="16"/>
                <w:szCs w:val="16"/>
                <w:lang w:eastAsia="pt-BR"/>
              </w:rPr>
              <w:t>3</w:t>
            </w:r>
            <w:r w:rsidR="00AB428A" w:rsidRPr="0055312B">
              <w:rPr>
                <w:rFonts w:ascii="Arial Narrow" w:eastAsia="Times New Roman" w:hAnsi="Arial Narrow" w:cs="Arial"/>
                <w:color w:val="0070C0"/>
                <w:sz w:val="16"/>
                <w:szCs w:val="16"/>
                <w:lang w:eastAsia="pt-BR"/>
              </w:rPr>
              <w:t>0%)</w:t>
            </w:r>
            <w:r w:rsidR="00AB428A">
              <w:rPr>
                <w:rFonts w:ascii="Arial Narrow" w:eastAsia="Times New Roman" w:hAnsi="Arial Narrow" w:cs="Arial"/>
                <w:sz w:val="16"/>
                <w:szCs w:val="16"/>
                <w:lang w:eastAsia="pt-BR"/>
              </w:rPr>
              <w:t xml:space="preserve"> </w:t>
            </w:r>
            <w:r w:rsidR="00AB428A" w:rsidRPr="00853884">
              <w:rPr>
                <w:rFonts w:ascii="Arial Narrow" w:eastAsia="Times New Roman" w:hAnsi="Arial Narrow" w:cs="Arial"/>
                <w:sz w:val="16"/>
                <w:szCs w:val="16"/>
                <w:lang w:eastAsia="pt-BR"/>
              </w:rPr>
              <w:t xml:space="preserve"> </w:t>
            </w:r>
            <w:r w:rsidR="00AB428A" w:rsidRPr="0055312B">
              <w:rPr>
                <w:rFonts w:ascii="Arial Narrow" w:eastAsia="Times New Roman" w:hAnsi="Arial Narrow" w:cs="Arial"/>
                <w:strike/>
                <w:color w:val="FF0000"/>
                <w:sz w:val="16"/>
                <w:szCs w:val="16"/>
                <w:lang w:eastAsia="pt-BR"/>
              </w:rPr>
              <w:t>(</w:t>
            </w:r>
            <w:r w:rsidR="00AB428A">
              <w:rPr>
                <w:rFonts w:ascii="Arial Narrow" w:eastAsia="Times New Roman" w:hAnsi="Arial Narrow" w:cs="Arial"/>
                <w:strike/>
                <w:color w:val="FF0000"/>
                <w:sz w:val="16"/>
                <w:szCs w:val="16"/>
                <w:lang w:eastAsia="pt-BR"/>
              </w:rPr>
              <w:t>4</w:t>
            </w:r>
            <w:r w:rsidR="00AB428A" w:rsidRPr="0055312B">
              <w:rPr>
                <w:rFonts w:ascii="Arial Narrow" w:eastAsia="Times New Roman" w:hAnsi="Arial Narrow" w:cs="Arial"/>
                <w:strike/>
                <w:color w:val="FF0000"/>
                <w:sz w:val="16"/>
                <w:szCs w:val="16"/>
                <w:lang w:eastAsia="pt-BR"/>
              </w:rPr>
              <w:t>0%)</w:t>
            </w:r>
          </w:p>
        </w:tc>
        <w:tc>
          <w:tcPr>
            <w:tcW w:w="993" w:type="dxa"/>
            <w:tcBorders>
              <w:top w:val="nil"/>
              <w:left w:val="nil"/>
              <w:bottom w:val="nil"/>
              <w:right w:val="single" w:sz="8" w:space="0" w:color="auto"/>
            </w:tcBorders>
            <w:shd w:val="clear" w:color="auto" w:fill="auto"/>
            <w:vAlign w:val="center"/>
            <w:hideMark/>
          </w:tcPr>
          <w:p w14:paraId="406B7EE4"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BFI.G505</w:t>
            </w:r>
          </w:p>
        </w:tc>
        <w:tc>
          <w:tcPr>
            <w:tcW w:w="992" w:type="dxa"/>
            <w:tcBorders>
              <w:top w:val="nil"/>
              <w:left w:val="nil"/>
              <w:bottom w:val="nil"/>
              <w:right w:val="single" w:sz="8" w:space="0" w:color="auto"/>
            </w:tcBorders>
            <w:shd w:val="clear" w:color="auto" w:fill="auto"/>
            <w:vAlign w:val="center"/>
            <w:hideMark/>
          </w:tcPr>
          <w:p w14:paraId="76EFD4EE"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BFI.H505</w:t>
            </w:r>
          </w:p>
        </w:tc>
      </w:tr>
      <w:tr w:rsidR="000643B5" w:rsidRPr="00EA4CDC" w14:paraId="3D1B1C4C"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50FE973B"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131 - COTA PARTE ESTADUAL DO SALÁRIO EDUCAÇÃO</w:t>
            </w:r>
          </w:p>
        </w:tc>
        <w:tc>
          <w:tcPr>
            <w:tcW w:w="993" w:type="dxa"/>
            <w:tcBorders>
              <w:top w:val="nil"/>
              <w:left w:val="nil"/>
              <w:bottom w:val="nil"/>
              <w:right w:val="single" w:sz="8" w:space="0" w:color="auto"/>
            </w:tcBorders>
            <w:shd w:val="clear" w:color="auto" w:fill="auto"/>
            <w:vAlign w:val="center"/>
            <w:hideMark/>
          </w:tcPr>
          <w:p w14:paraId="51FC9497"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BFI.C506</w:t>
            </w:r>
          </w:p>
        </w:tc>
        <w:tc>
          <w:tcPr>
            <w:tcW w:w="992" w:type="dxa"/>
            <w:tcBorders>
              <w:top w:val="nil"/>
              <w:left w:val="nil"/>
              <w:bottom w:val="nil"/>
              <w:right w:val="single" w:sz="8" w:space="0" w:color="auto"/>
            </w:tcBorders>
            <w:shd w:val="clear" w:color="auto" w:fill="auto"/>
            <w:vAlign w:val="center"/>
            <w:hideMark/>
          </w:tcPr>
          <w:p w14:paraId="61DD3CBF"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BFI.D506</w:t>
            </w:r>
          </w:p>
        </w:tc>
        <w:tc>
          <w:tcPr>
            <w:tcW w:w="5103" w:type="dxa"/>
            <w:tcBorders>
              <w:top w:val="nil"/>
              <w:left w:val="nil"/>
              <w:bottom w:val="nil"/>
              <w:right w:val="single" w:sz="8" w:space="0" w:color="auto"/>
            </w:tcBorders>
            <w:shd w:val="clear" w:color="auto" w:fill="auto"/>
            <w:noWrap/>
            <w:vAlign w:val="center"/>
            <w:hideMark/>
          </w:tcPr>
          <w:p w14:paraId="7F7047B2"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131 - COTA PARTE ESTADUAL DO SALÁRIO EDUCAÇÃO</w:t>
            </w:r>
          </w:p>
        </w:tc>
        <w:tc>
          <w:tcPr>
            <w:tcW w:w="993" w:type="dxa"/>
            <w:tcBorders>
              <w:top w:val="nil"/>
              <w:left w:val="nil"/>
              <w:bottom w:val="nil"/>
              <w:right w:val="single" w:sz="8" w:space="0" w:color="auto"/>
            </w:tcBorders>
            <w:shd w:val="clear" w:color="auto" w:fill="auto"/>
            <w:vAlign w:val="center"/>
            <w:hideMark/>
          </w:tcPr>
          <w:p w14:paraId="117B6F7A"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BFI.G506</w:t>
            </w:r>
          </w:p>
        </w:tc>
        <w:tc>
          <w:tcPr>
            <w:tcW w:w="992" w:type="dxa"/>
            <w:tcBorders>
              <w:top w:val="nil"/>
              <w:left w:val="nil"/>
              <w:bottom w:val="nil"/>
              <w:right w:val="single" w:sz="8" w:space="0" w:color="auto"/>
            </w:tcBorders>
            <w:shd w:val="clear" w:color="auto" w:fill="auto"/>
            <w:vAlign w:val="center"/>
            <w:hideMark/>
          </w:tcPr>
          <w:p w14:paraId="47705FE1"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BFI.H506</w:t>
            </w:r>
          </w:p>
        </w:tc>
      </w:tr>
      <w:tr w:rsidR="000643B5" w:rsidRPr="00EA4CDC" w14:paraId="6D1D6CD4"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5419561E"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146 - PROGRAMA DINHEIRO DIRETO NA ESCOLA - PDDE</w:t>
            </w:r>
          </w:p>
        </w:tc>
        <w:tc>
          <w:tcPr>
            <w:tcW w:w="993" w:type="dxa"/>
            <w:tcBorders>
              <w:top w:val="nil"/>
              <w:left w:val="nil"/>
              <w:bottom w:val="nil"/>
              <w:right w:val="single" w:sz="8" w:space="0" w:color="auto"/>
            </w:tcBorders>
            <w:shd w:val="clear" w:color="auto" w:fill="auto"/>
            <w:vAlign w:val="center"/>
            <w:hideMark/>
          </w:tcPr>
          <w:p w14:paraId="6B0993D0"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BFI.C508</w:t>
            </w:r>
          </w:p>
        </w:tc>
        <w:tc>
          <w:tcPr>
            <w:tcW w:w="992" w:type="dxa"/>
            <w:tcBorders>
              <w:top w:val="nil"/>
              <w:left w:val="nil"/>
              <w:bottom w:val="nil"/>
              <w:right w:val="single" w:sz="8" w:space="0" w:color="auto"/>
            </w:tcBorders>
            <w:shd w:val="clear" w:color="auto" w:fill="auto"/>
            <w:vAlign w:val="center"/>
            <w:hideMark/>
          </w:tcPr>
          <w:p w14:paraId="69788760"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BFI.D508</w:t>
            </w:r>
          </w:p>
        </w:tc>
        <w:tc>
          <w:tcPr>
            <w:tcW w:w="5103" w:type="dxa"/>
            <w:tcBorders>
              <w:top w:val="nil"/>
              <w:left w:val="nil"/>
              <w:bottom w:val="nil"/>
              <w:right w:val="single" w:sz="8" w:space="0" w:color="auto"/>
            </w:tcBorders>
            <w:shd w:val="clear" w:color="auto" w:fill="auto"/>
            <w:noWrap/>
            <w:vAlign w:val="center"/>
            <w:hideMark/>
          </w:tcPr>
          <w:p w14:paraId="4FEE4E9B"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146 - PROGRAMA DINHEIRO DIRETO NA ESCOLA - PDDE</w:t>
            </w:r>
          </w:p>
        </w:tc>
        <w:tc>
          <w:tcPr>
            <w:tcW w:w="993" w:type="dxa"/>
            <w:tcBorders>
              <w:top w:val="nil"/>
              <w:left w:val="nil"/>
              <w:bottom w:val="nil"/>
              <w:right w:val="single" w:sz="8" w:space="0" w:color="auto"/>
            </w:tcBorders>
            <w:shd w:val="clear" w:color="auto" w:fill="auto"/>
            <w:vAlign w:val="center"/>
            <w:hideMark/>
          </w:tcPr>
          <w:p w14:paraId="044A7D42"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BFI.G508</w:t>
            </w:r>
          </w:p>
        </w:tc>
        <w:tc>
          <w:tcPr>
            <w:tcW w:w="992" w:type="dxa"/>
            <w:tcBorders>
              <w:top w:val="nil"/>
              <w:left w:val="nil"/>
              <w:bottom w:val="nil"/>
              <w:right w:val="single" w:sz="8" w:space="0" w:color="auto"/>
            </w:tcBorders>
            <w:shd w:val="clear" w:color="auto" w:fill="auto"/>
            <w:vAlign w:val="center"/>
            <w:hideMark/>
          </w:tcPr>
          <w:p w14:paraId="38B40480"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BFI.H508</w:t>
            </w:r>
          </w:p>
        </w:tc>
      </w:tr>
      <w:tr w:rsidR="000643B5" w:rsidRPr="00EA4CDC" w14:paraId="17F3C05F"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1CE4E20D"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147 - PROGRAMA NACIONAL DE ALIMENTAÇÃO ESCOLAR - PNAE</w:t>
            </w:r>
          </w:p>
        </w:tc>
        <w:tc>
          <w:tcPr>
            <w:tcW w:w="993" w:type="dxa"/>
            <w:tcBorders>
              <w:top w:val="nil"/>
              <w:left w:val="nil"/>
              <w:bottom w:val="nil"/>
              <w:right w:val="single" w:sz="8" w:space="0" w:color="auto"/>
            </w:tcBorders>
            <w:shd w:val="clear" w:color="auto" w:fill="auto"/>
            <w:vAlign w:val="center"/>
            <w:hideMark/>
          </w:tcPr>
          <w:p w14:paraId="13C0C8E5"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BFI.C509</w:t>
            </w:r>
          </w:p>
        </w:tc>
        <w:tc>
          <w:tcPr>
            <w:tcW w:w="992" w:type="dxa"/>
            <w:tcBorders>
              <w:top w:val="nil"/>
              <w:left w:val="nil"/>
              <w:bottom w:val="nil"/>
              <w:right w:val="single" w:sz="8" w:space="0" w:color="auto"/>
            </w:tcBorders>
            <w:shd w:val="clear" w:color="auto" w:fill="auto"/>
            <w:vAlign w:val="center"/>
            <w:hideMark/>
          </w:tcPr>
          <w:p w14:paraId="65E7A732"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BFI.D509</w:t>
            </w:r>
          </w:p>
        </w:tc>
        <w:tc>
          <w:tcPr>
            <w:tcW w:w="5103" w:type="dxa"/>
            <w:tcBorders>
              <w:top w:val="nil"/>
              <w:left w:val="nil"/>
              <w:bottom w:val="nil"/>
              <w:right w:val="single" w:sz="8" w:space="0" w:color="auto"/>
            </w:tcBorders>
            <w:shd w:val="clear" w:color="auto" w:fill="auto"/>
            <w:noWrap/>
            <w:vAlign w:val="center"/>
            <w:hideMark/>
          </w:tcPr>
          <w:p w14:paraId="0306173D"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147 - PROGRAMA NACIONAL DE ALIMENTAÇÃO ESCOLAR - PNAE</w:t>
            </w:r>
          </w:p>
        </w:tc>
        <w:tc>
          <w:tcPr>
            <w:tcW w:w="993" w:type="dxa"/>
            <w:tcBorders>
              <w:top w:val="nil"/>
              <w:left w:val="nil"/>
              <w:bottom w:val="nil"/>
              <w:right w:val="single" w:sz="8" w:space="0" w:color="auto"/>
            </w:tcBorders>
            <w:shd w:val="clear" w:color="auto" w:fill="auto"/>
            <w:vAlign w:val="center"/>
            <w:hideMark/>
          </w:tcPr>
          <w:p w14:paraId="1BB62C1F"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BFI.G509</w:t>
            </w:r>
          </w:p>
        </w:tc>
        <w:tc>
          <w:tcPr>
            <w:tcW w:w="992" w:type="dxa"/>
            <w:tcBorders>
              <w:top w:val="nil"/>
              <w:left w:val="nil"/>
              <w:bottom w:val="nil"/>
              <w:right w:val="single" w:sz="8" w:space="0" w:color="auto"/>
            </w:tcBorders>
            <w:shd w:val="clear" w:color="auto" w:fill="auto"/>
            <w:vAlign w:val="center"/>
            <w:hideMark/>
          </w:tcPr>
          <w:p w14:paraId="36C75424"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BFI.H509</w:t>
            </w:r>
          </w:p>
        </w:tc>
      </w:tr>
      <w:tr w:rsidR="000643B5" w:rsidRPr="00EA4CDC" w14:paraId="22B449C3"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7D27C770"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148 - PROGRAMA NACIONAL DE APOIO AO TRANSPORTE ESCOLAR – PNATE</w:t>
            </w:r>
          </w:p>
        </w:tc>
        <w:tc>
          <w:tcPr>
            <w:tcW w:w="993" w:type="dxa"/>
            <w:tcBorders>
              <w:top w:val="nil"/>
              <w:left w:val="nil"/>
              <w:bottom w:val="nil"/>
              <w:right w:val="single" w:sz="8" w:space="0" w:color="auto"/>
            </w:tcBorders>
            <w:shd w:val="clear" w:color="auto" w:fill="auto"/>
            <w:vAlign w:val="center"/>
            <w:hideMark/>
          </w:tcPr>
          <w:p w14:paraId="7A1B061A"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BFI.C510</w:t>
            </w:r>
          </w:p>
        </w:tc>
        <w:tc>
          <w:tcPr>
            <w:tcW w:w="992" w:type="dxa"/>
            <w:tcBorders>
              <w:top w:val="nil"/>
              <w:left w:val="nil"/>
              <w:bottom w:val="nil"/>
              <w:right w:val="single" w:sz="8" w:space="0" w:color="auto"/>
            </w:tcBorders>
            <w:shd w:val="clear" w:color="auto" w:fill="auto"/>
            <w:vAlign w:val="center"/>
            <w:hideMark/>
          </w:tcPr>
          <w:p w14:paraId="79C5FB5E"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BFI.D510</w:t>
            </w:r>
          </w:p>
        </w:tc>
        <w:tc>
          <w:tcPr>
            <w:tcW w:w="5103" w:type="dxa"/>
            <w:tcBorders>
              <w:top w:val="nil"/>
              <w:left w:val="nil"/>
              <w:bottom w:val="nil"/>
              <w:right w:val="single" w:sz="8" w:space="0" w:color="auto"/>
            </w:tcBorders>
            <w:shd w:val="clear" w:color="auto" w:fill="auto"/>
            <w:noWrap/>
            <w:vAlign w:val="center"/>
            <w:hideMark/>
          </w:tcPr>
          <w:p w14:paraId="3B4942F4"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148 - PROGRAMA NACIONAL DE APOIO AO TRANSPORTE ESCOLAR - PNATE</w:t>
            </w:r>
          </w:p>
        </w:tc>
        <w:tc>
          <w:tcPr>
            <w:tcW w:w="993" w:type="dxa"/>
            <w:tcBorders>
              <w:top w:val="nil"/>
              <w:left w:val="nil"/>
              <w:bottom w:val="nil"/>
              <w:right w:val="single" w:sz="8" w:space="0" w:color="auto"/>
            </w:tcBorders>
            <w:shd w:val="clear" w:color="auto" w:fill="auto"/>
            <w:vAlign w:val="center"/>
            <w:hideMark/>
          </w:tcPr>
          <w:p w14:paraId="049A6396"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BFI.G510</w:t>
            </w:r>
          </w:p>
        </w:tc>
        <w:tc>
          <w:tcPr>
            <w:tcW w:w="992" w:type="dxa"/>
            <w:tcBorders>
              <w:top w:val="nil"/>
              <w:left w:val="nil"/>
              <w:bottom w:val="nil"/>
              <w:right w:val="single" w:sz="8" w:space="0" w:color="auto"/>
            </w:tcBorders>
            <w:shd w:val="clear" w:color="auto" w:fill="auto"/>
            <w:vAlign w:val="center"/>
            <w:hideMark/>
          </w:tcPr>
          <w:p w14:paraId="31EB15E9"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BFI.H510</w:t>
            </w:r>
          </w:p>
        </w:tc>
      </w:tr>
      <w:tr w:rsidR="000643B5" w:rsidRPr="00EA4CDC" w14:paraId="0206AE67"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797E8791"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149 - PROGRAMA BRASIL ALFABETIZADO</w:t>
            </w:r>
          </w:p>
        </w:tc>
        <w:tc>
          <w:tcPr>
            <w:tcW w:w="993" w:type="dxa"/>
            <w:tcBorders>
              <w:top w:val="nil"/>
              <w:left w:val="nil"/>
              <w:bottom w:val="nil"/>
              <w:right w:val="single" w:sz="8" w:space="0" w:color="auto"/>
            </w:tcBorders>
            <w:shd w:val="clear" w:color="auto" w:fill="auto"/>
            <w:vAlign w:val="center"/>
            <w:hideMark/>
          </w:tcPr>
          <w:p w14:paraId="0623BBB1"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BFI.C511</w:t>
            </w:r>
          </w:p>
        </w:tc>
        <w:tc>
          <w:tcPr>
            <w:tcW w:w="992" w:type="dxa"/>
            <w:tcBorders>
              <w:top w:val="nil"/>
              <w:left w:val="nil"/>
              <w:bottom w:val="nil"/>
              <w:right w:val="single" w:sz="8" w:space="0" w:color="auto"/>
            </w:tcBorders>
            <w:shd w:val="clear" w:color="auto" w:fill="auto"/>
            <w:vAlign w:val="center"/>
            <w:hideMark/>
          </w:tcPr>
          <w:p w14:paraId="23E42C13"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BFI.D511</w:t>
            </w:r>
          </w:p>
        </w:tc>
        <w:tc>
          <w:tcPr>
            <w:tcW w:w="5103" w:type="dxa"/>
            <w:tcBorders>
              <w:top w:val="nil"/>
              <w:left w:val="nil"/>
              <w:bottom w:val="nil"/>
              <w:right w:val="single" w:sz="8" w:space="0" w:color="auto"/>
            </w:tcBorders>
            <w:shd w:val="clear" w:color="auto" w:fill="auto"/>
            <w:noWrap/>
            <w:vAlign w:val="center"/>
            <w:hideMark/>
          </w:tcPr>
          <w:p w14:paraId="037BA647"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149 - PROGRAMA BRASIL ALFABETIZADO</w:t>
            </w:r>
          </w:p>
        </w:tc>
        <w:tc>
          <w:tcPr>
            <w:tcW w:w="993" w:type="dxa"/>
            <w:tcBorders>
              <w:top w:val="nil"/>
              <w:left w:val="nil"/>
              <w:bottom w:val="nil"/>
              <w:right w:val="single" w:sz="8" w:space="0" w:color="auto"/>
            </w:tcBorders>
            <w:shd w:val="clear" w:color="auto" w:fill="auto"/>
            <w:vAlign w:val="center"/>
            <w:hideMark/>
          </w:tcPr>
          <w:p w14:paraId="39A6AF4F"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BFI.G511</w:t>
            </w:r>
          </w:p>
        </w:tc>
        <w:tc>
          <w:tcPr>
            <w:tcW w:w="992" w:type="dxa"/>
            <w:tcBorders>
              <w:top w:val="nil"/>
              <w:left w:val="nil"/>
              <w:bottom w:val="nil"/>
              <w:right w:val="single" w:sz="8" w:space="0" w:color="auto"/>
            </w:tcBorders>
            <w:shd w:val="clear" w:color="auto" w:fill="auto"/>
            <w:vAlign w:val="center"/>
            <w:hideMark/>
          </w:tcPr>
          <w:p w14:paraId="4AA04869"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BFI.H511</w:t>
            </w:r>
          </w:p>
        </w:tc>
      </w:tr>
      <w:tr w:rsidR="000643B5" w:rsidRPr="00EA4CDC" w14:paraId="6C965D4C"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555D591E"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151 - PROGRAMA DE APOIO SISTEMA DE ENSINO PARA ATENDIMENTO AO EJA</w:t>
            </w:r>
          </w:p>
        </w:tc>
        <w:tc>
          <w:tcPr>
            <w:tcW w:w="993" w:type="dxa"/>
            <w:tcBorders>
              <w:top w:val="nil"/>
              <w:left w:val="nil"/>
              <w:bottom w:val="nil"/>
              <w:right w:val="single" w:sz="8" w:space="0" w:color="auto"/>
            </w:tcBorders>
            <w:shd w:val="clear" w:color="auto" w:fill="auto"/>
            <w:vAlign w:val="center"/>
            <w:hideMark/>
          </w:tcPr>
          <w:p w14:paraId="7930BA79"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BFI.C512</w:t>
            </w:r>
          </w:p>
        </w:tc>
        <w:tc>
          <w:tcPr>
            <w:tcW w:w="992" w:type="dxa"/>
            <w:tcBorders>
              <w:top w:val="nil"/>
              <w:left w:val="nil"/>
              <w:bottom w:val="nil"/>
              <w:right w:val="single" w:sz="8" w:space="0" w:color="auto"/>
            </w:tcBorders>
            <w:shd w:val="clear" w:color="auto" w:fill="auto"/>
            <w:vAlign w:val="center"/>
            <w:hideMark/>
          </w:tcPr>
          <w:p w14:paraId="5D6EBE59"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BFI.D512</w:t>
            </w:r>
          </w:p>
        </w:tc>
        <w:tc>
          <w:tcPr>
            <w:tcW w:w="5103" w:type="dxa"/>
            <w:tcBorders>
              <w:top w:val="nil"/>
              <w:left w:val="nil"/>
              <w:bottom w:val="nil"/>
              <w:right w:val="single" w:sz="8" w:space="0" w:color="auto"/>
            </w:tcBorders>
            <w:shd w:val="clear" w:color="auto" w:fill="auto"/>
            <w:noWrap/>
            <w:vAlign w:val="center"/>
            <w:hideMark/>
          </w:tcPr>
          <w:p w14:paraId="7C89490D"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151 - PROGRAMA DE APOIO SISTEMA DE ENSINO PARA ATENDIMENTO AO EJA</w:t>
            </w:r>
          </w:p>
        </w:tc>
        <w:tc>
          <w:tcPr>
            <w:tcW w:w="993" w:type="dxa"/>
            <w:tcBorders>
              <w:top w:val="nil"/>
              <w:left w:val="nil"/>
              <w:bottom w:val="nil"/>
              <w:right w:val="single" w:sz="8" w:space="0" w:color="auto"/>
            </w:tcBorders>
            <w:shd w:val="clear" w:color="auto" w:fill="auto"/>
            <w:vAlign w:val="center"/>
            <w:hideMark/>
          </w:tcPr>
          <w:p w14:paraId="39C46711"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BFI.G512</w:t>
            </w:r>
          </w:p>
        </w:tc>
        <w:tc>
          <w:tcPr>
            <w:tcW w:w="992" w:type="dxa"/>
            <w:tcBorders>
              <w:top w:val="nil"/>
              <w:left w:val="nil"/>
              <w:bottom w:val="nil"/>
              <w:right w:val="single" w:sz="8" w:space="0" w:color="auto"/>
            </w:tcBorders>
            <w:shd w:val="clear" w:color="auto" w:fill="auto"/>
            <w:vAlign w:val="center"/>
            <w:hideMark/>
          </w:tcPr>
          <w:p w14:paraId="3EB2CE05"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BFI.H512</w:t>
            </w:r>
          </w:p>
        </w:tc>
      </w:tr>
      <w:tr w:rsidR="000643B5" w:rsidRPr="00EA4CDC" w14:paraId="5D27B2AC"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5F861163"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152 - PROGRAMA DE FOMENTO ÀS ESCOLAS DE ENSINO MÉDIO EM TEMPO INTEGRAL</w:t>
            </w:r>
          </w:p>
        </w:tc>
        <w:tc>
          <w:tcPr>
            <w:tcW w:w="993" w:type="dxa"/>
            <w:tcBorders>
              <w:top w:val="nil"/>
              <w:left w:val="nil"/>
              <w:bottom w:val="nil"/>
              <w:right w:val="single" w:sz="8" w:space="0" w:color="auto"/>
            </w:tcBorders>
            <w:shd w:val="clear" w:color="auto" w:fill="auto"/>
            <w:vAlign w:val="center"/>
            <w:hideMark/>
          </w:tcPr>
          <w:p w14:paraId="3555E8A5"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BFI.C513</w:t>
            </w:r>
          </w:p>
        </w:tc>
        <w:tc>
          <w:tcPr>
            <w:tcW w:w="992" w:type="dxa"/>
            <w:tcBorders>
              <w:top w:val="nil"/>
              <w:left w:val="nil"/>
              <w:bottom w:val="nil"/>
              <w:right w:val="single" w:sz="8" w:space="0" w:color="auto"/>
            </w:tcBorders>
            <w:shd w:val="clear" w:color="auto" w:fill="auto"/>
            <w:vAlign w:val="center"/>
            <w:hideMark/>
          </w:tcPr>
          <w:p w14:paraId="3BCAC813"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BFI.D513</w:t>
            </w:r>
          </w:p>
        </w:tc>
        <w:tc>
          <w:tcPr>
            <w:tcW w:w="5103" w:type="dxa"/>
            <w:tcBorders>
              <w:top w:val="nil"/>
              <w:left w:val="nil"/>
              <w:bottom w:val="nil"/>
              <w:right w:val="single" w:sz="8" w:space="0" w:color="auto"/>
            </w:tcBorders>
            <w:shd w:val="clear" w:color="auto" w:fill="auto"/>
            <w:noWrap/>
            <w:vAlign w:val="center"/>
            <w:hideMark/>
          </w:tcPr>
          <w:p w14:paraId="6D6A5B57"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152 - PROGRAMA DE FOMENTO ÀS ESCOLAS DE ENSINO MÉDIO EM TEMPO INTEGRAL</w:t>
            </w:r>
          </w:p>
        </w:tc>
        <w:tc>
          <w:tcPr>
            <w:tcW w:w="993" w:type="dxa"/>
            <w:tcBorders>
              <w:top w:val="nil"/>
              <w:left w:val="nil"/>
              <w:bottom w:val="nil"/>
              <w:right w:val="single" w:sz="8" w:space="0" w:color="auto"/>
            </w:tcBorders>
            <w:shd w:val="clear" w:color="auto" w:fill="auto"/>
            <w:vAlign w:val="center"/>
            <w:hideMark/>
          </w:tcPr>
          <w:p w14:paraId="243EFBAA"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BFI.G513</w:t>
            </w:r>
          </w:p>
        </w:tc>
        <w:tc>
          <w:tcPr>
            <w:tcW w:w="992" w:type="dxa"/>
            <w:tcBorders>
              <w:top w:val="nil"/>
              <w:left w:val="nil"/>
              <w:bottom w:val="nil"/>
              <w:right w:val="single" w:sz="8" w:space="0" w:color="auto"/>
            </w:tcBorders>
            <w:shd w:val="clear" w:color="auto" w:fill="auto"/>
            <w:vAlign w:val="center"/>
            <w:hideMark/>
          </w:tcPr>
          <w:p w14:paraId="1F496155"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BFI.H513</w:t>
            </w:r>
          </w:p>
        </w:tc>
      </w:tr>
      <w:tr w:rsidR="000643B5" w:rsidRPr="00EA4CDC" w14:paraId="51D5C09D"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56FE648C"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165 - PROGRAMA NACIONAL DE ACESSO AO ENSINO TÉCNICO E EMPREGO – PRONATEC</w:t>
            </w:r>
          </w:p>
        </w:tc>
        <w:tc>
          <w:tcPr>
            <w:tcW w:w="993" w:type="dxa"/>
            <w:tcBorders>
              <w:top w:val="nil"/>
              <w:left w:val="nil"/>
              <w:bottom w:val="nil"/>
              <w:right w:val="single" w:sz="8" w:space="0" w:color="auto"/>
            </w:tcBorders>
            <w:shd w:val="clear" w:color="auto" w:fill="auto"/>
            <w:vAlign w:val="center"/>
            <w:hideMark/>
          </w:tcPr>
          <w:p w14:paraId="7864368F"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BFI.C514</w:t>
            </w:r>
          </w:p>
        </w:tc>
        <w:tc>
          <w:tcPr>
            <w:tcW w:w="992" w:type="dxa"/>
            <w:tcBorders>
              <w:top w:val="nil"/>
              <w:left w:val="nil"/>
              <w:bottom w:val="nil"/>
              <w:right w:val="single" w:sz="8" w:space="0" w:color="auto"/>
            </w:tcBorders>
            <w:shd w:val="clear" w:color="auto" w:fill="auto"/>
            <w:vAlign w:val="center"/>
            <w:hideMark/>
          </w:tcPr>
          <w:p w14:paraId="378DF4C6"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BFI.D514</w:t>
            </w:r>
          </w:p>
        </w:tc>
        <w:tc>
          <w:tcPr>
            <w:tcW w:w="5103" w:type="dxa"/>
            <w:tcBorders>
              <w:top w:val="nil"/>
              <w:left w:val="nil"/>
              <w:bottom w:val="nil"/>
              <w:right w:val="single" w:sz="8" w:space="0" w:color="auto"/>
            </w:tcBorders>
            <w:shd w:val="clear" w:color="auto" w:fill="auto"/>
            <w:noWrap/>
            <w:vAlign w:val="center"/>
            <w:hideMark/>
          </w:tcPr>
          <w:p w14:paraId="5BF42E43"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165 - PROGRAMA NACIONAL DE ACESSO AO ENSINO TÉCNICO E EMPREGO - PRONATEC</w:t>
            </w:r>
          </w:p>
        </w:tc>
        <w:tc>
          <w:tcPr>
            <w:tcW w:w="993" w:type="dxa"/>
            <w:tcBorders>
              <w:top w:val="nil"/>
              <w:left w:val="nil"/>
              <w:bottom w:val="nil"/>
              <w:right w:val="single" w:sz="8" w:space="0" w:color="auto"/>
            </w:tcBorders>
            <w:shd w:val="clear" w:color="auto" w:fill="auto"/>
            <w:vAlign w:val="center"/>
            <w:hideMark/>
          </w:tcPr>
          <w:p w14:paraId="419FB47B"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BFI.G514</w:t>
            </w:r>
          </w:p>
        </w:tc>
        <w:tc>
          <w:tcPr>
            <w:tcW w:w="992" w:type="dxa"/>
            <w:tcBorders>
              <w:top w:val="nil"/>
              <w:left w:val="nil"/>
              <w:bottom w:val="nil"/>
              <w:right w:val="single" w:sz="8" w:space="0" w:color="auto"/>
            </w:tcBorders>
            <w:shd w:val="clear" w:color="auto" w:fill="auto"/>
            <w:vAlign w:val="center"/>
            <w:hideMark/>
          </w:tcPr>
          <w:p w14:paraId="26DB9AFE"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BFI.H514</w:t>
            </w:r>
          </w:p>
        </w:tc>
      </w:tr>
      <w:tr w:rsidR="000643B5" w:rsidRPr="00EA4CDC" w14:paraId="276F4802"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104B25AC"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302 - SUPERÁVIT FINANCEIRO - MDE</w:t>
            </w:r>
          </w:p>
        </w:tc>
        <w:tc>
          <w:tcPr>
            <w:tcW w:w="993" w:type="dxa"/>
            <w:tcBorders>
              <w:top w:val="nil"/>
              <w:left w:val="nil"/>
              <w:bottom w:val="nil"/>
              <w:right w:val="single" w:sz="8" w:space="0" w:color="auto"/>
            </w:tcBorders>
            <w:shd w:val="clear" w:color="auto" w:fill="auto"/>
            <w:vAlign w:val="center"/>
            <w:hideMark/>
          </w:tcPr>
          <w:p w14:paraId="2DF0FAC5"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BFI.C515</w:t>
            </w:r>
          </w:p>
        </w:tc>
        <w:tc>
          <w:tcPr>
            <w:tcW w:w="992" w:type="dxa"/>
            <w:tcBorders>
              <w:top w:val="nil"/>
              <w:left w:val="nil"/>
              <w:bottom w:val="nil"/>
              <w:right w:val="single" w:sz="8" w:space="0" w:color="auto"/>
            </w:tcBorders>
            <w:shd w:val="clear" w:color="auto" w:fill="auto"/>
            <w:vAlign w:val="center"/>
            <w:hideMark/>
          </w:tcPr>
          <w:p w14:paraId="10D135C1"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BFI.D515</w:t>
            </w:r>
          </w:p>
        </w:tc>
        <w:tc>
          <w:tcPr>
            <w:tcW w:w="5103" w:type="dxa"/>
            <w:tcBorders>
              <w:top w:val="nil"/>
              <w:left w:val="nil"/>
              <w:bottom w:val="nil"/>
              <w:right w:val="single" w:sz="8" w:space="0" w:color="auto"/>
            </w:tcBorders>
            <w:shd w:val="clear" w:color="auto" w:fill="auto"/>
            <w:noWrap/>
            <w:vAlign w:val="center"/>
            <w:hideMark/>
          </w:tcPr>
          <w:p w14:paraId="4507ECF4"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302 - SUPERÁVIT FINANCEIRO - MDE</w:t>
            </w:r>
          </w:p>
        </w:tc>
        <w:tc>
          <w:tcPr>
            <w:tcW w:w="993" w:type="dxa"/>
            <w:tcBorders>
              <w:top w:val="nil"/>
              <w:left w:val="nil"/>
              <w:bottom w:val="nil"/>
              <w:right w:val="single" w:sz="8" w:space="0" w:color="auto"/>
            </w:tcBorders>
            <w:shd w:val="clear" w:color="auto" w:fill="auto"/>
            <w:vAlign w:val="center"/>
            <w:hideMark/>
          </w:tcPr>
          <w:p w14:paraId="5C1A1D30"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BFI.G515</w:t>
            </w:r>
          </w:p>
        </w:tc>
        <w:tc>
          <w:tcPr>
            <w:tcW w:w="992" w:type="dxa"/>
            <w:tcBorders>
              <w:top w:val="nil"/>
              <w:left w:val="nil"/>
              <w:bottom w:val="nil"/>
              <w:right w:val="single" w:sz="8" w:space="0" w:color="auto"/>
            </w:tcBorders>
            <w:shd w:val="clear" w:color="auto" w:fill="auto"/>
            <w:vAlign w:val="center"/>
            <w:hideMark/>
          </w:tcPr>
          <w:p w14:paraId="70DE9E64"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BFI.H515</w:t>
            </w:r>
          </w:p>
        </w:tc>
      </w:tr>
      <w:tr w:rsidR="000643B5" w:rsidRPr="00EA4CDC" w14:paraId="30E2DBF0"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732A3AEE" w14:textId="4C11FF9A"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lastRenderedPageBreak/>
              <w:t xml:space="preserve">313 - SUPERÁVIT FINANCEIRO - FUNDEB </w:t>
            </w:r>
            <w:r w:rsidR="00A04566" w:rsidRPr="0055312B">
              <w:rPr>
                <w:rFonts w:ascii="Arial Narrow" w:eastAsia="Times New Roman" w:hAnsi="Arial Narrow" w:cs="Arial"/>
                <w:color w:val="0070C0"/>
                <w:sz w:val="16"/>
                <w:szCs w:val="16"/>
                <w:lang w:eastAsia="pt-BR"/>
              </w:rPr>
              <w:t>(70%)</w:t>
            </w:r>
            <w:r w:rsidR="00A04566">
              <w:rPr>
                <w:rFonts w:ascii="Arial Narrow" w:eastAsia="Times New Roman" w:hAnsi="Arial Narrow" w:cs="Arial"/>
                <w:sz w:val="16"/>
                <w:szCs w:val="16"/>
                <w:lang w:eastAsia="pt-BR"/>
              </w:rPr>
              <w:t xml:space="preserve"> </w:t>
            </w:r>
            <w:r w:rsidR="00A04566" w:rsidRPr="00853884">
              <w:rPr>
                <w:rFonts w:ascii="Arial Narrow" w:eastAsia="Times New Roman" w:hAnsi="Arial Narrow" w:cs="Arial"/>
                <w:sz w:val="16"/>
                <w:szCs w:val="16"/>
                <w:lang w:eastAsia="pt-BR"/>
              </w:rPr>
              <w:t xml:space="preserve"> </w:t>
            </w:r>
            <w:r w:rsidR="00A04566" w:rsidRPr="0055312B">
              <w:rPr>
                <w:rFonts w:ascii="Arial Narrow" w:eastAsia="Times New Roman" w:hAnsi="Arial Narrow" w:cs="Arial"/>
                <w:strike/>
                <w:color w:val="FF0000"/>
                <w:sz w:val="16"/>
                <w:szCs w:val="16"/>
                <w:lang w:eastAsia="pt-BR"/>
              </w:rPr>
              <w:t>(60%)</w:t>
            </w:r>
          </w:p>
        </w:tc>
        <w:tc>
          <w:tcPr>
            <w:tcW w:w="993" w:type="dxa"/>
            <w:tcBorders>
              <w:top w:val="nil"/>
              <w:left w:val="nil"/>
              <w:bottom w:val="nil"/>
              <w:right w:val="single" w:sz="8" w:space="0" w:color="auto"/>
            </w:tcBorders>
            <w:shd w:val="clear" w:color="auto" w:fill="auto"/>
            <w:vAlign w:val="center"/>
            <w:hideMark/>
          </w:tcPr>
          <w:p w14:paraId="3623C43B"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BFI.C516</w:t>
            </w:r>
          </w:p>
        </w:tc>
        <w:tc>
          <w:tcPr>
            <w:tcW w:w="992" w:type="dxa"/>
            <w:tcBorders>
              <w:top w:val="nil"/>
              <w:left w:val="nil"/>
              <w:bottom w:val="nil"/>
              <w:right w:val="single" w:sz="8" w:space="0" w:color="auto"/>
            </w:tcBorders>
            <w:shd w:val="clear" w:color="auto" w:fill="auto"/>
            <w:vAlign w:val="center"/>
            <w:hideMark/>
          </w:tcPr>
          <w:p w14:paraId="152BEA5F"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BFI.D516</w:t>
            </w:r>
          </w:p>
        </w:tc>
        <w:tc>
          <w:tcPr>
            <w:tcW w:w="5103" w:type="dxa"/>
            <w:tcBorders>
              <w:top w:val="nil"/>
              <w:left w:val="nil"/>
              <w:bottom w:val="nil"/>
              <w:right w:val="single" w:sz="8" w:space="0" w:color="auto"/>
            </w:tcBorders>
            <w:shd w:val="clear" w:color="auto" w:fill="auto"/>
            <w:noWrap/>
            <w:vAlign w:val="center"/>
            <w:hideMark/>
          </w:tcPr>
          <w:p w14:paraId="50CAF74F" w14:textId="583CB305"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 xml:space="preserve">313 - SUPERÁVIT FINANCEIRO - FUNDEB </w:t>
            </w:r>
            <w:r w:rsidR="00C51EE8" w:rsidRPr="0055312B">
              <w:rPr>
                <w:rFonts w:ascii="Arial Narrow" w:eastAsia="Times New Roman" w:hAnsi="Arial Narrow" w:cs="Arial"/>
                <w:color w:val="0070C0"/>
                <w:sz w:val="16"/>
                <w:szCs w:val="16"/>
                <w:lang w:eastAsia="pt-BR"/>
              </w:rPr>
              <w:t>(70%)</w:t>
            </w:r>
            <w:r w:rsidR="00C51EE8">
              <w:rPr>
                <w:rFonts w:ascii="Arial Narrow" w:eastAsia="Times New Roman" w:hAnsi="Arial Narrow" w:cs="Arial"/>
                <w:sz w:val="16"/>
                <w:szCs w:val="16"/>
                <w:lang w:eastAsia="pt-BR"/>
              </w:rPr>
              <w:t xml:space="preserve"> </w:t>
            </w:r>
            <w:r w:rsidR="00C51EE8" w:rsidRPr="00853884">
              <w:rPr>
                <w:rFonts w:ascii="Arial Narrow" w:eastAsia="Times New Roman" w:hAnsi="Arial Narrow" w:cs="Arial"/>
                <w:sz w:val="16"/>
                <w:szCs w:val="16"/>
                <w:lang w:eastAsia="pt-BR"/>
              </w:rPr>
              <w:t xml:space="preserve"> </w:t>
            </w:r>
            <w:r w:rsidR="00C51EE8" w:rsidRPr="0055312B">
              <w:rPr>
                <w:rFonts w:ascii="Arial Narrow" w:eastAsia="Times New Roman" w:hAnsi="Arial Narrow" w:cs="Arial"/>
                <w:strike/>
                <w:color w:val="FF0000"/>
                <w:sz w:val="16"/>
                <w:szCs w:val="16"/>
                <w:lang w:eastAsia="pt-BR"/>
              </w:rPr>
              <w:t>(60%)</w:t>
            </w:r>
          </w:p>
        </w:tc>
        <w:tc>
          <w:tcPr>
            <w:tcW w:w="993" w:type="dxa"/>
            <w:tcBorders>
              <w:top w:val="nil"/>
              <w:left w:val="nil"/>
              <w:bottom w:val="nil"/>
              <w:right w:val="single" w:sz="8" w:space="0" w:color="auto"/>
            </w:tcBorders>
            <w:shd w:val="clear" w:color="auto" w:fill="auto"/>
            <w:vAlign w:val="center"/>
            <w:hideMark/>
          </w:tcPr>
          <w:p w14:paraId="157E5F67"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BFI.G516</w:t>
            </w:r>
          </w:p>
        </w:tc>
        <w:tc>
          <w:tcPr>
            <w:tcW w:w="992" w:type="dxa"/>
            <w:tcBorders>
              <w:top w:val="nil"/>
              <w:left w:val="nil"/>
              <w:bottom w:val="nil"/>
              <w:right w:val="single" w:sz="8" w:space="0" w:color="auto"/>
            </w:tcBorders>
            <w:shd w:val="clear" w:color="auto" w:fill="auto"/>
            <w:vAlign w:val="center"/>
            <w:hideMark/>
          </w:tcPr>
          <w:p w14:paraId="2C1EB3C2"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BFI.H516</w:t>
            </w:r>
          </w:p>
        </w:tc>
      </w:tr>
      <w:tr w:rsidR="000643B5" w:rsidRPr="00EA4CDC" w14:paraId="7A52ABE0"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0A1C6473" w14:textId="2861195F"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 xml:space="preserve">314 - SUPERÁVIT FINANCEIRO - FUNDEB </w:t>
            </w:r>
            <w:r w:rsidR="00A04566" w:rsidRPr="0055312B">
              <w:rPr>
                <w:rFonts w:ascii="Arial Narrow" w:eastAsia="Times New Roman" w:hAnsi="Arial Narrow" w:cs="Arial"/>
                <w:color w:val="0070C0"/>
                <w:sz w:val="16"/>
                <w:szCs w:val="16"/>
                <w:lang w:eastAsia="pt-BR"/>
              </w:rPr>
              <w:t>(</w:t>
            </w:r>
            <w:r w:rsidR="00A04566">
              <w:rPr>
                <w:rFonts w:ascii="Arial Narrow" w:eastAsia="Times New Roman" w:hAnsi="Arial Narrow" w:cs="Arial"/>
                <w:color w:val="0070C0"/>
                <w:sz w:val="16"/>
                <w:szCs w:val="16"/>
                <w:lang w:eastAsia="pt-BR"/>
              </w:rPr>
              <w:t>3</w:t>
            </w:r>
            <w:r w:rsidR="00A04566" w:rsidRPr="0055312B">
              <w:rPr>
                <w:rFonts w:ascii="Arial Narrow" w:eastAsia="Times New Roman" w:hAnsi="Arial Narrow" w:cs="Arial"/>
                <w:color w:val="0070C0"/>
                <w:sz w:val="16"/>
                <w:szCs w:val="16"/>
                <w:lang w:eastAsia="pt-BR"/>
              </w:rPr>
              <w:t>0%)</w:t>
            </w:r>
            <w:r w:rsidR="00A04566">
              <w:rPr>
                <w:rFonts w:ascii="Arial Narrow" w:eastAsia="Times New Roman" w:hAnsi="Arial Narrow" w:cs="Arial"/>
                <w:sz w:val="16"/>
                <w:szCs w:val="16"/>
                <w:lang w:eastAsia="pt-BR"/>
              </w:rPr>
              <w:t xml:space="preserve"> </w:t>
            </w:r>
            <w:r w:rsidR="00A04566" w:rsidRPr="00853884">
              <w:rPr>
                <w:rFonts w:ascii="Arial Narrow" w:eastAsia="Times New Roman" w:hAnsi="Arial Narrow" w:cs="Arial"/>
                <w:sz w:val="16"/>
                <w:szCs w:val="16"/>
                <w:lang w:eastAsia="pt-BR"/>
              </w:rPr>
              <w:t xml:space="preserve"> </w:t>
            </w:r>
            <w:r w:rsidR="00A04566" w:rsidRPr="0055312B">
              <w:rPr>
                <w:rFonts w:ascii="Arial Narrow" w:eastAsia="Times New Roman" w:hAnsi="Arial Narrow" w:cs="Arial"/>
                <w:strike/>
                <w:color w:val="FF0000"/>
                <w:sz w:val="16"/>
                <w:szCs w:val="16"/>
                <w:lang w:eastAsia="pt-BR"/>
              </w:rPr>
              <w:t>(</w:t>
            </w:r>
            <w:r w:rsidR="00A04566">
              <w:rPr>
                <w:rFonts w:ascii="Arial Narrow" w:eastAsia="Times New Roman" w:hAnsi="Arial Narrow" w:cs="Arial"/>
                <w:strike/>
                <w:color w:val="FF0000"/>
                <w:sz w:val="16"/>
                <w:szCs w:val="16"/>
                <w:lang w:eastAsia="pt-BR"/>
              </w:rPr>
              <w:t>4</w:t>
            </w:r>
            <w:r w:rsidR="00A04566" w:rsidRPr="0055312B">
              <w:rPr>
                <w:rFonts w:ascii="Arial Narrow" w:eastAsia="Times New Roman" w:hAnsi="Arial Narrow" w:cs="Arial"/>
                <w:strike/>
                <w:color w:val="FF0000"/>
                <w:sz w:val="16"/>
                <w:szCs w:val="16"/>
                <w:lang w:eastAsia="pt-BR"/>
              </w:rPr>
              <w:t>0%)</w:t>
            </w:r>
          </w:p>
        </w:tc>
        <w:tc>
          <w:tcPr>
            <w:tcW w:w="993" w:type="dxa"/>
            <w:tcBorders>
              <w:top w:val="nil"/>
              <w:left w:val="nil"/>
              <w:bottom w:val="nil"/>
              <w:right w:val="single" w:sz="8" w:space="0" w:color="auto"/>
            </w:tcBorders>
            <w:shd w:val="clear" w:color="auto" w:fill="auto"/>
            <w:vAlign w:val="center"/>
            <w:hideMark/>
          </w:tcPr>
          <w:p w14:paraId="7E465695"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BFI.C517</w:t>
            </w:r>
          </w:p>
        </w:tc>
        <w:tc>
          <w:tcPr>
            <w:tcW w:w="992" w:type="dxa"/>
            <w:tcBorders>
              <w:top w:val="nil"/>
              <w:left w:val="nil"/>
              <w:bottom w:val="nil"/>
              <w:right w:val="single" w:sz="8" w:space="0" w:color="auto"/>
            </w:tcBorders>
            <w:shd w:val="clear" w:color="auto" w:fill="auto"/>
            <w:vAlign w:val="center"/>
            <w:hideMark/>
          </w:tcPr>
          <w:p w14:paraId="6B7484EB"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BFI.D517</w:t>
            </w:r>
          </w:p>
        </w:tc>
        <w:tc>
          <w:tcPr>
            <w:tcW w:w="5103" w:type="dxa"/>
            <w:tcBorders>
              <w:top w:val="nil"/>
              <w:left w:val="nil"/>
              <w:bottom w:val="nil"/>
              <w:right w:val="single" w:sz="8" w:space="0" w:color="auto"/>
            </w:tcBorders>
            <w:shd w:val="clear" w:color="auto" w:fill="auto"/>
            <w:noWrap/>
            <w:vAlign w:val="center"/>
            <w:hideMark/>
          </w:tcPr>
          <w:p w14:paraId="701C0FB3" w14:textId="6B111048"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 xml:space="preserve">314 - SUPERÁVIT FINANCEIRO - FUNDEB </w:t>
            </w:r>
            <w:r w:rsidR="00C51EE8" w:rsidRPr="0055312B">
              <w:rPr>
                <w:rFonts w:ascii="Arial Narrow" w:eastAsia="Times New Roman" w:hAnsi="Arial Narrow" w:cs="Arial"/>
                <w:color w:val="0070C0"/>
                <w:sz w:val="16"/>
                <w:szCs w:val="16"/>
                <w:lang w:eastAsia="pt-BR"/>
              </w:rPr>
              <w:t>(</w:t>
            </w:r>
            <w:r w:rsidR="00C51EE8">
              <w:rPr>
                <w:rFonts w:ascii="Arial Narrow" w:eastAsia="Times New Roman" w:hAnsi="Arial Narrow" w:cs="Arial"/>
                <w:color w:val="0070C0"/>
                <w:sz w:val="16"/>
                <w:szCs w:val="16"/>
                <w:lang w:eastAsia="pt-BR"/>
              </w:rPr>
              <w:t>3</w:t>
            </w:r>
            <w:r w:rsidR="00C51EE8" w:rsidRPr="0055312B">
              <w:rPr>
                <w:rFonts w:ascii="Arial Narrow" w:eastAsia="Times New Roman" w:hAnsi="Arial Narrow" w:cs="Arial"/>
                <w:color w:val="0070C0"/>
                <w:sz w:val="16"/>
                <w:szCs w:val="16"/>
                <w:lang w:eastAsia="pt-BR"/>
              </w:rPr>
              <w:t>0%)</w:t>
            </w:r>
            <w:r w:rsidR="00C51EE8">
              <w:rPr>
                <w:rFonts w:ascii="Arial Narrow" w:eastAsia="Times New Roman" w:hAnsi="Arial Narrow" w:cs="Arial"/>
                <w:sz w:val="16"/>
                <w:szCs w:val="16"/>
                <w:lang w:eastAsia="pt-BR"/>
              </w:rPr>
              <w:t xml:space="preserve"> </w:t>
            </w:r>
            <w:r w:rsidR="00C51EE8" w:rsidRPr="00853884">
              <w:rPr>
                <w:rFonts w:ascii="Arial Narrow" w:eastAsia="Times New Roman" w:hAnsi="Arial Narrow" w:cs="Arial"/>
                <w:sz w:val="16"/>
                <w:szCs w:val="16"/>
                <w:lang w:eastAsia="pt-BR"/>
              </w:rPr>
              <w:t xml:space="preserve"> </w:t>
            </w:r>
            <w:r w:rsidR="00C51EE8" w:rsidRPr="0055312B">
              <w:rPr>
                <w:rFonts w:ascii="Arial Narrow" w:eastAsia="Times New Roman" w:hAnsi="Arial Narrow" w:cs="Arial"/>
                <w:strike/>
                <w:color w:val="FF0000"/>
                <w:sz w:val="16"/>
                <w:szCs w:val="16"/>
                <w:lang w:eastAsia="pt-BR"/>
              </w:rPr>
              <w:t>(</w:t>
            </w:r>
            <w:r w:rsidR="00C51EE8">
              <w:rPr>
                <w:rFonts w:ascii="Arial Narrow" w:eastAsia="Times New Roman" w:hAnsi="Arial Narrow" w:cs="Arial"/>
                <w:strike/>
                <w:color w:val="FF0000"/>
                <w:sz w:val="16"/>
                <w:szCs w:val="16"/>
                <w:lang w:eastAsia="pt-BR"/>
              </w:rPr>
              <w:t>4</w:t>
            </w:r>
            <w:r w:rsidR="00C51EE8" w:rsidRPr="0055312B">
              <w:rPr>
                <w:rFonts w:ascii="Arial Narrow" w:eastAsia="Times New Roman" w:hAnsi="Arial Narrow" w:cs="Arial"/>
                <w:strike/>
                <w:color w:val="FF0000"/>
                <w:sz w:val="16"/>
                <w:szCs w:val="16"/>
                <w:lang w:eastAsia="pt-BR"/>
              </w:rPr>
              <w:t>0%)</w:t>
            </w:r>
          </w:p>
        </w:tc>
        <w:tc>
          <w:tcPr>
            <w:tcW w:w="993" w:type="dxa"/>
            <w:tcBorders>
              <w:top w:val="nil"/>
              <w:left w:val="nil"/>
              <w:bottom w:val="nil"/>
              <w:right w:val="single" w:sz="8" w:space="0" w:color="auto"/>
            </w:tcBorders>
            <w:shd w:val="clear" w:color="auto" w:fill="auto"/>
            <w:vAlign w:val="center"/>
            <w:hideMark/>
          </w:tcPr>
          <w:p w14:paraId="7F932841"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BFI.G517</w:t>
            </w:r>
          </w:p>
        </w:tc>
        <w:tc>
          <w:tcPr>
            <w:tcW w:w="992" w:type="dxa"/>
            <w:tcBorders>
              <w:top w:val="nil"/>
              <w:left w:val="nil"/>
              <w:bottom w:val="nil"/>
              <w:right w:val="single" w:sz="8" w:space="0" w:color="auto"/>
            </w:tcBorders>
            <w:shd w:val="clear" w:color="auto" w:fill="auto"/>
            <w:vAlign w:val="center"/>
            <w:hideMark/>
          </w:tcPr>
          <w:p w14:paraId="4B7C4AE9"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BFI.H517</w:t>
            </w:r>
          </w:p>
        </w:tc>
      </w:tr>
      <w:tr w:rsidR="000643B5" w:rsidRPr="00EA4CDC" w14:paraId="2B4D41DB"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5098AB68"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331 - SUPERÁVIT FINANCEIRO - COTA PARTE ESTADUAL DO SALÁRIO EDUCAÇÃO</w:t>
            </w:r>
          </w:p>
        </w:tc>
        <w:tc>
          <w:tcPr>
            <w:tcW w:w="993" w:type="dxa"/>
            <w:tcBorders>
              <w:top w:val="nil"/>
              <w:left w:val="nil"/>
              <w:bottom w:val="nil"/>
              <w:right w:val="single" w:sz="8" w:space="0" w:color="auto"/>
            </w:tcBorders>
            <w:shd w:val="clear" w:color="auto" w:fill="auto"/>
            <w:vAlign w:val="center"/>
            <w:hideMark/>
          </w:tcPr>
          <w:p w14:paraId="0BF49884"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BFI.C518</w:t>
            </w:r>
          </w:p>
        </w:tc>
        <w:tc>
          <w:tcPr>
            <w:tcW w:w="992" w:type="dxa"/>
            <w:tcBorders>
              <w:top w:val="nil"/>
              <w:left w:val="nil"/>
              <w:bottom w:val="nil"/>
              <w:right w:val="single" w:sz="8" w:space="0" w:color="auto"/>
            </w:tcBorders>
            <w:shd w:val="clear" w:color="auto" w:fill="auto"/>
            <w:vAlign w:val="center"/>
            <w:hideMark/>
          </w:tcPr>
          <w:p w14:paraId="418BAA5D"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BFI.D518</w:t>
            </w:r>
          </w:p>
        </w:tc>
        <w:tc>
          <w:tcPr>
            <w:tcW w:w="5103" w:type="dxa"/>
            <w:tcBorders>
              <w:top w:val="nil"/>
              <w:left w:val="nil"/>
              <w:bottom w:val="nil"/>
              <w:right w:val="single" w:sz="8" w:space="0" w:color="auto"/>
            </w:tcBorders>
            <w:shd w:val="clear" w:color="auto" w:fill="auto"/>
            <w:noWrap/>
            <w:vAlign w:val="center"/>
            <w:hideMark/>
          </w:tcPr>
          <w:p w14:paraId="26138448"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331 - SUPERÁVIT FINANCEIRO - COTA PARTE ESTADUAL DO SALÁRIO EDUCAÇÃO</w:t>
            </w:r>
          </w:p>
        </w:tc>
        <w:tc>
          <w:tcPr>
            <w:tcW w:w="993" w:type="dxa"/>
            <w:tcBorders>
              <w:top w:val="nil"/>
              <w:left w:val="nil"/>
              <w:bottom w:val="nil"/>
              <w:right w:val="single" w:sz="8" w:space="0" w:color="auto"/>
            </w:tcBorders>
            <w:shd w:val="clear" w:color="auto" w:fill="auto"/>
            <w:vAlign w:val="center"/>
            <w:hideMark/>
          </w:tcPr>
          <w:p w14:paraId="55C69778"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BFI.G518</w:t>
            </w:r>
          </w:p>
        </w:tc>
        <w:tc>
          <w:tcPr>
            <w:tcW w:w="992" w:type="dxa"/>
            <w:tcBorders>
              <w:top w:val="nil"/>
              <w:left w:val="nil"/>
              <w:bottom w:val="nil"/>
              <w:right w:val="single" w:sz="8" w:space="0" w:color="auto"/>
            </w:tcBorders>
            <w:shd w:val="clear" w:color="auto" w:fill="auto"/>
            <w:vAlign w:val="center"/>
            <w:hideMark/>
          </w:tcPr>
          <w:p w14:paraId="3EADC437"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BFI.H518</w:t>
            </w:r>
          </w:p>
        </w:tc>
      </w:tr>
      <w:tr w:rsidR="000643B5" w:rsidRPr="00EA4CDC" w14:paraId="4D885CDC"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4DE43A29"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346 - SUPERÁVIT FINANCEIRO - PROGRAMA DINHEIRO DIRETO NA ESCOLA – PDDE</w:t>
            </w:r>
          </w:p>
        </w:tc>
        <w:tc>
          <w:tcPr>
            <w:tcW w:w="993" w:type="dxa"/>
            <w:tcBorders>
              <w:top w:val="nil"/>
              <w:left w:val="nil"/>
              <w:bottom w:val="nil"/>
              <w:right w:val="single" w:sz="8" w:space="0" w:color="auto"/>
            </w:tcBorders>
            <w:shd w:val="clear" w:color="auto" w:fill="auto"/>
            <w:vAlign w:val="center"/>
            <w:hideMark/>
          </w:tcPr>
          <w:p w14:paraId="47981B4C"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BFI.C520</w:t>
            </w:r>
          </w:p>
        </w:tc>
        <w:tc>
          <w:tcPr>
            <w:tcW w:w="992" w:type="dxa"/>
            <w:tcBorders>
              <w:top w:val="nil"/>
              <w:left w:val="nil"/>
              <w:bottom w:val="nil"/>
              <w:right w:val="single" w:sz="8" w:space="0" w:color="auto"/>
            </w:tcBorders>
            <w:shd w:val="clear" w:color="auto" w:fill="auto"/>
            <w:vAlign w:val="center"/>
            <w:hideMark/>
          </w:tcPr>
          <w:p w14:paraId="315C1BBC"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BFI.D520</w:t>
            </w:r>
          </w:p>
        </w:tc>
        <w:tc>
          <w:tcPr>
            <w:tcW w:w="5103" w:type="dxa"/>
            <w:tcBorders>
              <w:top w:val="nil"/>
              <w:left w:val="nil"/>
              <w:bottom w:val="nil"/>
              <w:right w:val="single" w:sz="8" w:space="0" w:color="auto"/>
            </w:tcBorders>
            <w:shd w:val="clear" w:color="auto" w:fill="auto"/>
            <w:noWrap/>
            <w:vAlign w:val="center"/>
            <w:hideMark/>
          </w:tcPr>
          <w:p w14:paraId="35A0CF11"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346 - SUPERÁVIT FINANCEIRO - PROGRAMA DINHEIRO DIRETO NA ESCOLA - PDDE</w:t>
            </w:r>
          </w:p>
        </w:tc>
        <w:tc>
          <w:tcPr>
            <w:tcW w:w="993" w:type="dxa"/>
            <w:tcBorders>
              <w:top w:val="nil"/>
              <w:left w:val="nil"/>
              <w:bottom w:val="nil"/>
              <w:right w:val="single" w:sz="8" w:space="0" w:color="auto"/>
            </w:tcBorders>
            <w:shd w:val="clear" w:color="auto" w:fill="auto"/>
            <w:vAlign w:val="center"/>
            <w:hideMark/>
          </w:tcPr>
          <w:p w14:paraId="75349BDC"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BFI.G520</w:t>
            </w:r>
          </w:p>
        </w:tc>
        <w:tc>
          <w:tcPr>
            <w:tcW w:w="992" w:type="dxa"/>
            <w:tcBorders>
              <w:top w:val="nil"/>
              <w:left w:val="nil"/>
              <w:bottom w:val="nil"/>
              <w:right w:val="single" w:sz="8" w:space="0" w:color="auto"/>
            </w:tcBorders>
            <w:shd w:val="clear" w:color="auto" w:fill="auto"/>
            <w:vAlign w:val="center"/>
            <w:hideMark/>
          </w:tcPr>
          <w:p w14:paraId="7E4C3B35"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BFI.H520</w:t>
            </w:r>
          </w:p>
        </w:tc>
      </w:tr>
      <w:tr w:rsidR="000643B5" w:rsidRPr="00EA4CDC" w14:paraId="2ED4D60E"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035F4076"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347 - SUPERÁVIT FINANCEIRO - PROGRAMA NACIONAL DE ALIMENTAÇÃO ESCOLAR – PNAE</w:t>
            </w:r>
          </w:p>
        </w:tc>
        <w:tc>
          <w:tcPr>
            <w:tcW w:w="993" w:type="dxa"/>
            <w:tcBorders>
              <w:top w:val="nil"/>
              <w:left w:val="nil"/>
              <w:bottom w:val="nil"/>
              <w:right w:val="single" w:sz="8" w:space="0" w:color="auto"/>
            </w:tcBorders>
            <w:shd w:val="clear" w:color="auto" w:fill="auto"/>
            <w:vAlign w:val="center"/>
            <w:hideMark/>
          </w:tcPr>
          <w:p w14:paraId="7838AEDA"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BFI.C521</w:t>
            </w:r>
          </w:p>
        </w:tc>
        <w:tc>
          <w:tcPr>
            <w:tcW w:w="992" w:type="dxa"/>
            <w:tcBorders>
              <w:top w:val="nil"/>
              <w:left w:val="nil"/>
              <w:bottom w:val="nil"/>
              <w:right w:val="single" w:sz="8" w:space="0" w:color="auto"/>
            </w:tcBorders>
            <w:shd w:val="clear" w:color="auto" w:fill="auto"/>
            <w:vAlign w:val="center"/>
            <w:hideMark/>
          </w:tcPr>
          <w:p w14:paraId="3198E60B"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BFI.D521</w:t>
            </w:r>
          </w:p>
        </w:tc>
        <w:tc>
          <w:tcPr>
            <w:tcW w:w="5103" w:type="dxa"/>
            <w:tcBorders>
              <w:top w:val="nil"/>
              <w:left w:val="nil"/>
              <w:bottom w:val="nil"/>
              <w:right w:val="single" w:sz="8" w:space="0" w:color="auto"/>
            </w:tcBorders>
            <w:shd w:val="clear" w:color="auto" w:fill="auto"/>
            <w:noWrap/>
            <w:vAlign w:val="center"/>
            <w:hideMark/>
          </w:tcPr>
          <w:p w14:paraId="51BE0FC8"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347 - SUPERÁVIT FINANCEIRO - PROGRAMA NACIONAL DE ALIMENTAÇÃO ESCOLAR - PNAE</w:t>
            </w:r>
          </w:p>
        </w:tc>
        <w:tc>
          <w:tcPr>
            <w:tcW w:w="993" w:type="dxa"/>
            <w:tcBorders>
              <w:top w:val="nil"/>
              <w:left w:val="nil"/>
              <w:bottom w:val="nil"/>
              <w:right w:val="single" w:sz="8" w:space="0" w:color="auto"/>
            </w:tcBorders>
            <w:shd w:val="clear" w:color="auto" w:fill="auto"/>
            <w:vAlign w:val="center"/>
            <w:hideMark/>
          </w:tcPr>
          <w:p w14:paraId="0370590E"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BFI.G521</w:t>
            </w:r>
          </w:p>
        </w:tc>
        <w:tc>
          <w:tcPr>
            <w:tcW w:w="992" w:type="dxa"/>
            <w:tcBorders>
              <w:top w:val="nil"/>
              <w:left w:val="nil"/>
              <w:bottom w:val="nil"/>
              <w:right w:val="single" w:sz="8" w:space="0" w:color="auto"/>
            </w:tcBorders>
            <w:shd w:val="clear" w:color="auto" w:fill="auto"/>
            <w:vAlign w:val="center"/>
            <w:hideMark/>
          </w:tcPr>
          <w:p w14:paraId="0815290F"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BFI.H521</w:t>
            </w:r>
          </w:p>
        </w:tc>
      </w:tr>
      <w:tr w:rsidR="000643B5" w:rsidRPr="00EA4CDC" w14:paraId="770023C4"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36249401"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348 - SUPERÁVIT FINANCEIRO - PROGRAMA NACIONAL DE APOIO AO TRANSPORTE ESCOLAR – PNATE</w:t>
            </w:r>
          </w:p>
        </w:tc>
        <w:tc>
          <w:tcPr>
            <w:tcW w:w="993" w:type="dxa"/>
            <w:tcBorders>
              <w:top w:val="nil"/>
              <w:left w:val="nil"/>
              <w:bottom w:val="nil"/>
              <w:right w:val="single" w:sz="8" w:space="0" w:color="auto"/>
            </w:tcBorders>
            <w:shd w:val="clear" w:color="auto" w:fill="auto"/>
            <w:vAlign w:val="center"/>
            <w:hideMark/>
          </w:tcPr>
          <w:p w14:paraId="344EB7B1"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BFI.C522</w:t>
            </w:r>
          </w:p>
        </w:tc>
        <w:tc>
          <w:tcPr>
            <w:tcW w:w="992" w:type="dxa"/>
            <w:tcBorders>
              <w:top w:val="nil"/>
              <w:left w:val="nil"/>
              <w:bottom w:val="nil"/>
              <w:right w:val="single" w:sz="8" w:space="0" w:color="auto"/>
            </w:tcBorders>
            <w:shd w:val="clear" w:color="auto" w:fill="auto"/>
            <w:vAlign w:val="center"/>
            <w:hideMark/>
          </w:tcPr>
          <w:p w14:paraId="4AE9C629"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BFI.D522</w:t>
            </w:r>
          </w:p>
        </w:tc>
        <w:tc>
          <w:tcPr>
            <w:tcW w:w="5103" w:type="dxa"/>
            <w:tcBorders>
              <w:top w:val="nil"/>
              <w:left w:val="nil"/>
              <w:bottom w:val="nil"/>
              <w:right w:val="single" w:sz="8" w:space="0" w:color="auto"/>
            </w:tcBorders>
            <w:shd w:val="clear" w:color="auto" w:fill="auto"/>
            <w:noWrap/>
            <w:vAlign w:val="center"/>
            <w:hideMark/>
          </w:tcPr>
          <w:p w14:paraId="0563E9F7"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348 - SUPERÁVIT FINANCEIRO - PROGRAMA NACIONAL DE APOIO AO TRANSPORTE ESCOLAR - PNATE</w:t>
            </w:r>
          </w:p>
        </w:tc>
        <w:tc>
          <w:tcPr>
            <w:tcW w:w="993" w:type="dxa"/>
            <w:tcBorders>
              <w:top w:val="nil"/>
              <w:left w:val="nil"/>
              <w:bottom w:val="nil"/>
              <w:right w:val="single" w:sz="8" w:space="0" w:color="auto"/>
            </w:tcBorders>
            <w:shd w:val="clear" w:color="auto" w:fill="auto"/>
            <w:vAlign w:val="center"/>
            <w:hideMark/>
          </w:tcPr>
          <w:p w14:paraId="65135EC0"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BFI.G522</w:t>
            </w:r>
          </w:p>
        </w:tc>
        <w:tc>
          <w:tcPr>
            <w:tcW w:w="992" w:type="dxa"/>
            <w:tcBorders>
              <w:top w:val="nil"/>
              <w:left w:val="nil"/>
              <w:bottom w:val="nil"/>
              <w:right w:val="single" w:sz="8" w:space="0" w:color="auto"/>
            </w:tcBorders>
            <w:shd w:val="clear" w:color="auto" w:fill="auto"/>
            <w:vAlign w:val="center"/>
            <w:hideMark/>
          </w:tcPr>
          <w:p w14:paraId="3326EA88"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BFI.H522</w:t>
            </w:r>
          </w:p>
        </w:tc>
      </w:tr>
      <w:tr w:rsidR="000643B5" w:rsidRPr="00EA4CDC" w14:paraId="46568088"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5B691787"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349 - SUPERÁVIT FINANCEIRO - PROGRAMA BRASIL ALFABETIZADO</w:t>
            </w:r>
          </w:p>
        </w:tc>
        <w:tc>
          <w:tcPr>
            <w:tcW w:w="993" w:type="dxa"/>
            <w:tcBorders>
              <w:top w:val="nil"/>
              <w:left w:val="nil"/>
              <w:bottom w:val="nil"/>
              <w:right w:val="single" w:sz="8" w:space="0" w:color="auto"/>
            </w:tcBorders>
            <w:shd w:val="clear" w:color="auto" w:fill="auto"/>
            <w:vAlign w:val="center"/>
            <w:hideMark/>
          </w:tcPr>
          <w:p w14:paraId="69B883A9"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BFI.C523</w:t>
            </w:r>
          </w:p>
        </w:tc>
        <w:tc>
          <w:tcPr>
            <w:tcW w:w="992" w:type="dxa"/>
            <w:tcBorders>
              <w:top w:val="nil"/>
              <w:left w:val="nil"/>
              <w:bottom w:val="nil"/>
              <w:right w:val="single" w:sz="8" w:space="0" w:color="auto"/>
            </w:tcBorders>
            <w:shd w:val="clear" w:color="auto" w:fill="auto"/>
            <w:vAlign w:val="center"/>
            <w:hideMark/>
          </w:tcPr>
          <w:p w14:paraId="669FE0A1"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BFI.D523</w:t>
            </w:r>
          </w:p>
        </w:tc>
        <w:tc>
          <w:tcPr>
            <w:tcW w:w="5103" w:type="dxa"/>
            <w:tcBorders>
              <w:top w:val="nil"/>
              <w:left w:val="nil"/>
              <w:bottom w:val="nil"/>
              <w:right w:val="single" w:sz="8" w:space="0" w:color="auto"/>
            </w:tcBorders>
            <w:shd w:val="clear" w:color="auto" w:fill="auto"/>
            <w:noWrap/>
            <w:vAlign w:val="center"/>
            <w:hideMark/>
          </w:tcPr>
          <w:p w14:paraId="1E797275"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349 - SUPERÁVIT FINANCEIRO - PROGRAMA BRASIL ALFABETIZADO</w:t>
            </w:r>
          </w:p>
        </w:tc>
        <w:tc>
          <w:tcPr>
            <w:tcW w:w="993" w:type="dxa"/>
            <w:tcBorders>
              <w:top w:val="nil"/>
              <w:left w:val="nil"/>
              <w:bottom w:val="nil"/>
              <w:right w:val="single" w:sz="8" w:space="0" w:color="auto"/>
            </w:tcBorders>
            <w:shd w:val="clear" w:color="auto" w:fill="auto"/>
            <w:vAlign w:val="center"/>
            <w:hideMark/>
          </w:tcPr>
          <w:p w14:paraId="3428B08C"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BFI.G523</w:t>
            </w:r>
          </w:p>
        </w:tc>
        <w:tc>
          <w:tcPr>
            <w:tcW w:w="992" w:type="dxa"/>
            <w:tcBorders>
              <w:top w:val="nil"/>
              <w:left w:val="nil"/>
              <w:bottom w:val="nil"/>
              <w:right w:val="single" w:sz="8" w:space="0" w:color="auto"/>
            </w:tcBorders>
            <w:shd w:val="clear" w:color="auto" w:fill="auto"/>
            <w:vAlign w:val="center"/>
            <w:hideMark/>
          </w:tcPr>
          <w:p w14:paraId="1809ADA0"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BFI.H523</w:t>
            </w:r>
          </w:p>
        </w:tc>
      </w:tr>
      <w:tr w:rsidR="000643B5" w:rsidRPr="00EA4CDC" w14:paraId="7B2FC15C"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7F8DBE17"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351 - SUPERÁVIT FINANCEIRO - PROGRAMA DE APOIO SISTEMA DE ENSINO PARA ATENDIMENTO AO EJA</w:t>
            </w:r>
          </w:p>
        </w:tc>
        <w:tc>
          <w:tcPr>
            <w:tcW w:w="993" w:type="dxa"/>
            <w:tcBorders>
              <w:top w:val="nil"/>
              <w:left w:val="nil"/>
              <w:bottom w:val="nil"/>
              <w:right w:val="single" w:sz="8" w:space="0" w:color="auto"/>
            </w:tcBorders>
            <w:shd w:val="clear" w:color="auto" w:fill="auto"/>
            <w:vAlign w:val="center"/>
            <w:hideMark/>
          </w:tcPr>
          <w:p w14:paraId="7BC26CA4"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BFI.C524</w:t>
            </w:r>
          </w:p>
        </w:tc>
        <w:tc>
          <w:tcPr>
            <w:tcW w:w="992" w:type="dxa"/>
            <w:tcBorders>
              <w:top w:val="nil"/>
              <w:left w:val="nil"/>
              <w:bottom w:val="nil"/>
              <w:right w:val="single" w:sz="8" w:space="0" w:color="auto"/>
            </w:tcBorders>
            <w:shd w:val="clear" w:color="auto" w:fill="auto"/>
            <w:vAlign w:val="center"/>
            <w:hideMark/>
          </w:tcPr>
          <w:p w14:paraId="6CCECC2E"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BFI.D524</w:t>
            </w:r>
          </w:p>
        </w:tc>
        <w:tc>
          <w:tcPr>
            <w:tcW w:w="5103" w:type="dxa"/>
            <w:tcBorders>
              <w:top w:val="nil"/>
              <w:left w:val="nil"/>
              <w:bottom w:val="nil"/>
              <w:right w:val="single" w:sz="8" w:space="0" w:color="auto"/>
            </w:tcBorders>
            <w:shd w:val="clear" w:color="auto" w:fill="auto"/>
            <w:noWrap/>
            <w:vAlign w:val="center"/>
            <w:hideMark/>
          </w:tcPr>
          <w:p w14:paraId="547C039C"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351 - SUPERÁVIT FINANCEIRO - PROGRAMA DE APOIO SISTEMA DE ENSINO PARA ATENDIMENTO AO EJA</w:t>
            </w:r>
          </w:p>
        </w:tc>
        <w:tc>
          <w:tcPr>
            <w:tcW w:w="993" w:type="dxa"/>
            <w:tcBorders>
              <w:top w:val="nil"/>
              <w:left w:val="nil"/>
              <w:bottom w:val="nil"/>
              <w:right w:val="single" w:sz="8" w:space="0" w:color="auto"/>
            </w:tcBorders>
            <w:shd w:val="clear" w:color="auto" w:fill="auto"/>
            <w:vAlign w:val="center"/>
            <w:hideMark/>
          </w:tcPr>
          <w:p w14:paraId="34A35E1A"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BFI.G524</w:t>
            </w:r>
          </w:p>
        </w:tc>
        <w:tc>
          <w:tcPr>
            <w:tcW w:w="992" w:type="dxa"/>
            <w:tcBorders>
              <w:top w:val="nil"/>
              <w:left w:val="nil"/>
              <w:bottom w:val="nil"/>
              <w:right w:val="single" w:sz="8" w:space="0" w:color="auto"/>
            </w:tcBorders>
            <w:shd w:val="clear" w:color="auto" w:fill="auto"/>
            <w:vAlign w:val="center"/>
            <w:hideMark/>
          </w:tcPr>
          <w:p w14:paraId="7A5DCA88"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BFI.H524</w:t>
            </w:r>
          </w:p>
        </w:tc>
      </w:tr>
      <w:tr w:rsidR="000643B5" w:rsidRPr="00EA4CDC" w14:paraId="7A80D3CF"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7219CD4C"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352 - SUPERÁVIT FINANCEIRO - PROGRAMA DE FOMENTO ÀS ESCOLAS DE ENSINO MÉDIO EM TEMPO INTEGRAL</w:t>
            </w:r>
          </w:p>
        </w:tc>
        <w:tc>
          <w:tcPr>
            <w:tcW w:w="993" w:type="dxa"/>
            <w:tcBorders>
              <w:top w:val="nil"/>
              <w:left w:val="nil"/>
              <w:bottom w:val="nil"/>
              <w:right w:val="single" w:sz="8" w:space="0" w:color="auto"/>
            </w:tcBorders>
            <w:shd w:val="clear" w:color="auto" w:fill="auto"/>
            <w:vAlign w:val="center"/>
            <w:hideMark/>
          </w:tcPr>
          <w:p w14:paraId="62E5C595"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BFI.C525</w:t>
            </w:r>
          </w:p>
        </w:tc>
        <w:tc>
          <w:tcPr>
            <w:tcW w:w="992" w:type="dxa"/>
            <w:tcBorders>
              <w:top w:val="nil"/>
              <w:left w:val="nil"/>
              <w:bottom w:val="nil"/>
              <w:right w:val="single" w:sz="8" w:space="0" w:color="auto"/>
            </w:tcBorders>
            <w:shd w:val="clear" w:color="auto" w:fill="auto"/>
            <w:vAlign w:val="center"/>
            <w:hideMark/>
          </w:tcPr>
          <w:p w14:paraId="23D9D167"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BFI.D525</w:t>
            </w:r>
          </w:p>
        </w:tc>
        <w:tc>
          <w:tcPr>
            <w:tcW w:w="5103" w:type="dxa"/>
            <w:tcBorders>
              <w:top w:val="nil"/>
              <w:left w:val="nil"/>
              <w:bottom w:val="nil"/>
              <w:right w:val="single" w:sz="8" w:space="0" w:color="auto"/>
            </w:tcBorders>
            <w:shd w:val="clear" w:color="auto" w:fill="auto"/>
            <w:noWrap/>
            <w:vAlign w:val="center"/>
            <w:hideMark/>
          </w:tcPr>
          <w:p w14:paraId="764321F3"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352 - SUPERÁVIT FINANCEIRO - PROGRAMA DE FOMENTO ÀS ESCOLAS DE ENSINO MÉDIO EM TEMPO INTEGRAL</w:t>
            </w:r>
          </w:p>
        </w:tc>
        <w:tc>
          <w:tcPr>
            <w:tcW w:w="993" w:type="dxa"/>
            <w:tcBorders>
              <w:top w:val="nil"/>
              <w:left w:val="nil"/>
              <w:bottom w:val="nil"/>
              <w:right w:val="single" w:sz="8" w:space="0" w:color="auto"/>
            </w:tcBorders>
            <w:shd w:val="clear" w:color="auto" w:fill="auto"/>
            <w:vAlign w:val="center"/>
            <w:hideMark/>
          </w:tcPr>
          <w:p w14:paraId="087A56B3"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BFI.G525</w:t>
            </w:r>
          </w:p>
        </w:tc>
        <w:tc>
          <w:tcPr>
            <w:tcW w:w="992" w:type="dxa"/>
            <w:tcBorders>
              <w:top w:val="nil"/>
              <w:left w:val="nil"/>
              <w:bottom w:val="nil"/>
              <w:right w:val="single" w:sz="8" w:space="0" w:color="auto"/>
            </w:tcBorders>
            <w:shd w:val="clear" w:color="auto" w:fill="auto"/>
            <w:vAlign w:val="center"/>
            <w:hideMark/>
          </w:tcPr>
          <w:p w14:paraId="585CC866"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BFI.H525</w:t>
            </w:r>
          </w:p>
        </w:tc>
      </w:tr>
      <w:tr w:rsidR="000643B5" w:rsidRPr="00EA4CDC" w14:paraId="714D21F2"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3B4A9579"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365 - SUPERÁVIT FINANCEIRO - PRONATEC</w:t>
            </w:r>
          </w:p>
        </w:tc>
        <w:tc>
          <w:tcPr>
            <w:tcW w:w="993" w:type="dxa"/>
            <w:tcBorders>
              <w:top w:val="nil"/>
              <w:left w:val="nil"/>
              <w:bottom w:val="nil"/>
              <w:right w:val="single" w:sz="8" w:space="0" w:color="auto"/>
            </w:tcBorders>
            <w:shd w:val="clear" w:color="auto" w:fill="auto"/>
            <w:vAlign w:val="center"/>
            <w:hideMark/>
          </w:tcPr>
          <w:p w14:paraId="375524BD"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BFI.C526</w:t>
            </w:r>
          </w:p>
        </w:tc>
        <w:tc>
          <w:tcPr>
            <w:tcW w:w="992" w:type="dxa"/>
            <w:tcBorders>
              <w:top w:val="nil"/>
              <w:left w:val="nil"/>
              <w:bottom w:val="nil"/>
              <w:right w:val="single" w:sz="8" w:space="0" w:color="auto"/>
            </w:tcBorders>
            <w:shd w:val="clear" w:color="auto" w:fill="auto"/>
            <w:vAlign w:val="center"/>
            <w:hideMark/>
          </w:tcPr>
          <w:p w14:paraId="586F4212"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BFI.D526</w:t>
            </w:r>
          </w:p>
        </w:tc>
        <w:tc>
          <w:tcPr>
            <w:tcW w:w="5103" w:type="dxa"/>
            <w:tcBorders>
              <w:top w:val="nil"/>
              <w:left w:val="nil"/>
              <w:bottom w:val="nil"/>
              <w:right w:val="single" w:sz="8" w:space="0" w:color="auto"/>
            </w:tcBorders>
            <w:shd w:val="clear" w:color="auto" w:fill="auto"/>
            <w:noWrap/>
            <w:vAlign w:val="center"/>
            <w:hideMark/>
          </w:tcPr>
          <w:p w14:paraId="3F469D75"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365 - SUPERÁVIT FINANCEIRO - PRONATEC</w:t>
            </w:r>
          </w:p>
        </w:tc>
        <w:tc>
          <w:tcPr>
            <w:tcW w:w="993" w:type="dxa"/>
            <w:tcBorders>
              <w:top w:val="nil"/>
              <w:left w:val="nil"/>
              <w:bottom w:val="nil"/>
              <w:right w:val="single" w:sz="8" w:space="0" w:color="auto"/>
            </w:tcBorders>
            <w:shd w:val="clear" w:color="auto" w:fill="auto"/>
            <w:vAlign w:val="center"/>
            <w:hideMark/>
          </w:tcPr>
          <w:p w14:paraId="13136115"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BFI.G526</w:t>
            </w:r>
          </w:p>
        </w:tc>
        <w:tc>
          <w:tcPr>
            <w:tcW w:w="992" w:type="dxa"/>
            <w:tcBorders>
              <w:top w:val="nil"/>
              <w:left w:val="nil"/>
              <w:bottom w:val="nil"/>
              <w:right w:val="single" w:sz="8" w:space="0" w:color="auto"/>
            </w:tcBorders>
            <w:shd w:val="clear" w:color="auto" w:fill="auto"/>
            <w:vAlign w:val="center"/>
            <w:hideMark/>
          </w:tcPr>
          <w:p w14:paraId="6980125B"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BFI.H526</w:t>
            </w:r>
          </w:p>
        </w:tc>
      </w:tr>
      <w:tr w:rsidR="000643B5" w:rsidRPr="00EA4CDC" w14:paraId="54E3D46B"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371C288A" w14:textId="77777777" w:rsidR="000643B5" w:rsidRPr="00EA4CDC" w:rsidRDefault="000643B5" w:rsidP="00080E19">
            <w:pPr>
              <w:spacing w:after="0" w:line="240" w:lineRule="auto"/>
              <w:ind w:firstLineChars="100" w:firstLine="161"/>
              <w:rPr>
                <w:rFonts w:ascii="Arial Narrow" w:eastAsia="Times New Roman" w:hAnsi="Arial Narrow" w:cs="Arial"/>
                <w:b/>
                <w:bCs/>
                <w:sz w:val="16"/>
                <w:szCs w:val="16"/>
                <w:lang w:eastAsia="pt-BR"/>
              </w:rPr>
            </w:pPr>
            <w:r w:rsidRPr="00EA4CDC">
              <w:rPr>
                <w:rFonts w:ascii="Arial Narrow" w:eastAsia="Times New Roman" w:hAnsi="Arial Narrow" w:cs="Arial"/>
                <w:b/>
                <w:bCs/>
                <w:sz w:val="16"/>
                <w:szCs w:val="16"/>
                <w:lang w:eastAsia="pt-BR"/>
              </w:rPr>
              <w:t xml:space="preserve">  Recursos Vinculados à Saúde</w:t>
            </w:r>
          </w:p>
        </w:tc>
        <w:tc>
          <w:tcPr>
            <w:tcW w:w="993" w:type="dxa"/>
            <w:tcBorders>
              <w:top w:val="nil"/>
              <w:left w:val="nil"/>
              <w:bottom w:val="nil"/>
              <w:right w:val="single" w:sz="8" w:space="0" w:color="auto"/>
            </w:tcBorders>
            <w:shd w:val="clear" w:color="auto" w:fill="auto"/>
            <w:vAlign w:val="center"/>
            <w:hideMark/>
          </w:tcPr>
          <w:p w14:paraId="4E4C1810" w14:textId="77777777" w:rsidR="000643B5" w:rsidRPr="00EA4CDC" w:rsidRDefault="000643B5" w:rsidP="00080E19">
            <w:pPr>
              <w:spacing w:after="0" w:line="240" w:lineRule="auto"/>
              <w:jc w:val="center"/>
              <w:rPr>
                <w:rFonts w:ascii="Arial Narrow" w:eastAsia="Times New Roman" w:hAnsi="Arial Narrow" w:cs="Arial"/>
                <w:b/>
                <w:bCs/>
                <w:sz w:val="16"/>
                <w:szCs w:val="16"/>
                <w:lang w:eastAsia="pt-BR"/>
              </w:rPr>
            </w:pPr>
            <w:r w:rsidRPr="00EA4CDC">
              <w:rPr>
                <w:rFonts w:ascii="Arial Narrow" w:eastAsia="Times New Roman" w:hAnsi="Arial Narrow" w:cs="Arial"/>
                <w:b/>
                <w:bCs/>
                <w:sz w:val="16"/>
                <w:szCs w:val="16"/>
                <w:lang w:eastAsia="pt-BR"/>
              </w:rPr>
              <w:t>BFI.C026</w:t>
            </w:r>
          </w:p>
        </w:tc>
        <w:tc>
          <w:tcPr>
            <w:tcW w:w="992" w:type="dxa"/>
            <w:tcBorders>
              <w:top w:val="nil"/>
              <w:left w:val="nil"/>
              <w:bottom w:val="nil"/>
              <w:right w:val="single" w:sz="8" w:space="0" w:color="auto"/>
            </w:tcBorders>
            <w:shd w:val="clear" w:color="auto" w:fill="auto"/>
            <w:vAlign w:val="center"/>
            <w:hideMark/>
          </w:tcPr>
          <w:p w14:paraId="58440729" w14:textId="77777777" w:rsidR="000643B5" w:rsidRPr="00EA4CDC" w:rsidRDefault="000643B5" w:rsidP="00080E19">
            <w:pPr>
              <w:spacing w:after="0" w:line="240" w:lineRule="auto"/>
              <w:jc w:val="center"/>
              <w:rPr>
                <w:rFonts w:ascii="Arial Narrow" w:eastAsia="Times New Roman" w:hAnsi="Arial Narrow" w:cs="Arial"/>
                <w:b/>
                <w:bCs/>
                <w:sz w:val="16"/>
                <w:szCs w:val="16"/>
                <w:lang w:eastAsia="pt-BR"/>
              </w:rPr>
            </w:pPr>
            <w:r w:rsidRPr="00EA4CDC">
              <w:rPr>
                <w:rFonts w:ascii="Arial Narrow" w:eastAsia="Times New Roman" w:hAnsi="Arial Narrow" w:cs="Arial"/>
                <w:b/>
                <w:bCs/>
                <w:sz w:val="16"/>
                <w:szCs w:val="16"/>
                <w:lang w:eastAsia="pt-BR"/>
              </w:rPr>
              <w:t>BFI.D026</w:t>
            </w:r>
          </w:p>
        </w:tc>
        <w:tc>
          <w:tcPr>
            <w:tcW w:w="5103" w:type="dxa"/>
            <w:tcBorders>
              <w:top w:val="nil"/>
              <w:left w:val="nil"/>
              <w:bottom w:val="nil"/>
              <w:right w:val="single" w:sz="8" w:space="0" w:color="auto"/>
            </w:tcBorders>
            <w:shd w:val="clear" w:color="auto" w:fill="auto"/>
            <w:noWrap/>
            <w:vAlign w:val="center"/>
            <w:hideMark/>
          </w:tcPr>
          <w:p w14:paraId="44D39892" w14:textId="77777777" w:rsidR="000643B5" w:rsidRPr="00EA4CDC" w:rsidRDefault="000643B5" w:rsidP="00080E19">
            <w:pPr>
              <w:spacing w:after="0" w:line="240" w:lineRule="auto"/>
              <w:ind w:firstLineChars="100" w:firstLine="161"/>
              <w:rPr>
                <w:rFonts w:ascii="Arial Narrow" w:eastAsia="Times New Roman" w:hAnsi="Arial Narrow" w:cs="Arial"/>
                <w:b/>
                <w:bCs/>
                <w:sz w:val="16"/>
                <w:szCs w:val="16"/>
                <w:lang w:eastAsia="pt-BR"/>
              </w:rPr>
            </w:pPr>
            <w:r w:rsidRPr="00EA4CDC">
              <w:rPr>
                <w:rFonts w:ascii="Arial Narrow" w:eastAsia="Times New Roman" w:hAnsi="Arial Narrow" w:cs="Arial"/>
                <w:b/>
                <w:bCs/>
                <w:sz w:val="16"/>
                <w:szCs w:val="16"/>
                <w:lang w:eastAsia="pt-BR"/>
              </w:rPr>
              <w:t xml:space="preserve">  Recursos Destinados à Saúde</w:t>
            </w:r>
          </w:p>
        </w:tc>
        <w:tc>
          <w:tcPr>
            <w:tcW w:w="993" w:type="dxa"/>
            <w:tcBorders>
              <w:top w:val="nil"/>
              <w:left w:val="nil"/>
              <w:bottom w:val="nil"/>
              <w:right w:val="single" w:sz="8" w:space="0" w:color="auto"/>
            </w:tcBorders>
            <w:shd w:val="clear" w:color="auto" w:fill="auto"/>
            <w:vAlign w:val="center"/>
            <w:hideMark/>
          </w:tcPr>
          <w:p w14:paraId="0490E95E" w14:textId="77777777" w:rsidR="000643B5" w:rsidRPr="00EA4CDC" w:rsidRDefault="000643B5" w:rsidP="00080E19">
            <w:pPr>
              <w:spacing w:after="0" w:line="240" w:lineRule="auto"/>
              <w:jc w:val="center"/>
              <w:rPr>
                <w:rFonts w:ascii="Arial Narrow" w:eastAsia="Times New Roman" w:hAnsi="Arial Narrow" w:cs="Arial"/>
                <w:b/>
                <w:bCs/>
                <w:sz w:val="16"/>
                <w:szCs w:val="16"/>
                <w:lang w:eastAsia="pt-BR"/>
              </w:rPr>
            </w:pPr>
            <w:r w:rsidRPr="00EA4CDC">
              <w:rPr>
                <w:rFonts w:ascii="Arial Narrow" w:eastAsia="Times New Roman" w:hAnsi="Arial Narrow" w:cs="Arial"/>
                <w:b/>
                <w:bCs/>
                <w:sz w:val="16"/>
                <w:szCs w:val="16"/>
                <w:lang w:eastAsia="pt-BR"/>
              </w:rPr>
              <w:t>BFI.G026</w:t>
            </w:r>
          </w:p>
        </w:tc>
        <w:tc>
          <w:tcPr>
            <w:tcW w:w="992" w:type="dxa"/>
            <w:tcBorders>
              <w:top w:val="nil"/>
              <w:left w:val="nil"/>
              <w:bottom w:val="nil"/>
              <w:right w:val="single" w:sz="8" w:space="0" w:color="auto"/>
            </w:tcBorders>
            <w:shd w:val="clear" w:color="auto" w:fill="auto"/>
            <w:vAlign w:val="center"/>
            <w:hideMark/>
          </w:tcPr>
          <w:p w14:paraId="465563D6" w14:textId="77777777" w:rsidR="000643B5" w:rsidRPr="00EA4CDC" w:rsidRDefault="000643B5" w:rsidP="00080E19">
            <w:pPr>
              <w:spacing w:after="0" w:line="240" w:lineRule="auto"/>
              <w:jc w:val="center"/>
              <w:rPr>
                <w:rFonts w:ascii="Arial Narrow" w:eastAsia="Times New Roman" w:hAnsi="Arial Narrow" w:cs="Arial"/>
                <w:b/>
                <w:bCs/>
                <w:sz w:val="16"/>
                <w:szCs w:val="16"/>
                <w:lang w:eastAsia="pt-BR"/>
              </w:rPr>
            </w:pPr>
            <w:r w:rsidRPr="00EA4CDC">
              <w:rPr>
                <w:rFonts w:ascii="Arial Narrow" w:eastAsia="Times New Roman" w:hAnsi="Arial Narrow" w:cs="Arial"/>
                <w:b/>
                <w:bCs/>
                <w:sz w:val="16"/>
                <w:szCs w:val="16"/>
                <w:lang w:eastAsia="pt-BR"/>
              </w:rPr>
              <w:t>BFI.H026</w:t>
            </w:r>
          </w:p>
        </w:tc>
      </w:tr>
      <w:tr w:rsidR="000643B5" w:rsidRPr="00EA4CDC" w14:paraId="607B1429"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4358F83E"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104 - AÇÕES E SERVIÇOS DE SAÚDE</w:t>
            </w:r>
          </w:p>
        </w:tc>
        <w:tc>
          <w:tcPr>
            <w:tcW w:w="993" w:type="dxa"/>
            <w:tcBorders>
              <w:top w:val="nil"/>
              <w:left w:val="nil"/>
              <w:bottom w:val="nil"/>
              <w:right w:val="single" w:sz="8" w:space="0" w:color="auto"/>
            </w:tcBorders>
            <w:shd w:val="clear" w:color="auto" w:fill="auto"/>
            <w:vAlign w:val="center"/>
            <w:hideMark/>
          </w:tcPr>
          <w:p w14:paraId="47384787"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BFI.C527</w:t>
            </w:r>
          </w:p>
        </w:tc>
        <w:tc>
          <w:tcPr>
            <w:tcW w:w="992" w:type="dxa"/>
            <w:tcBorders>
              <w:top w:val="nil"/>
              <w:left w:val="nil"/>
              <w:bottom w:val="nil"/>
              <w:right w:val="single" w:sz="8" w:space="0" w:color="auto"/>
            </w:tcBorders>
            <w:shd w:val="clear" w:color="auto" w:fill="auto"/>
            <w:vAlign w:val="center"/>
            <w:hideMark/>
          </w:tcPr>
          <w:p w14:paraId="551CDA30"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BFI.D527</w:t>
            </w:r>
          </w:p>
        </w:tc>
        <w:tc>
          <w:tcPr>
            <w:tcW w:w="5103" w:type="dxa"/>
            <w:tcBorders>
              <w:top w:val="nil"/>
              <w:left w:val="nil"/>
              <w:bottom w:val="nil"/>
              <w:right w:val="single" w:sz="8" w:space="0" w:color="auto"/>
            </w:tcBorders>
            <w:shd w:val="clear" w:color="auto" w:fill="auto"/>
            <w:noWrap/>
            <w:vAlign w:val="center"/>
            <w:hideMark/>
          </w:tcPr>
          <w:p w14:paraId="4EEB3C9A"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104 - AÇÕES E SERVIÇOS DE SAÚDE</w:t>
            </w:r>
          </w:p>
        </w:tc>
        <w:tc>
          <w:tcPr>
            <w:tcW w:w="993" w:type="dxa"/>
            <w:tcBorders>
              <w:top w:val="nil"/>
              <w:left w:val="nil"/>
              <w:bottom w:val="nil"/>
              <w:right w:val="single" w:sz="8" w:space="0" w:color="auto"/>
            </w:tcBorders>
            <w:shd w:val="clear" w:color="auto" w:fill="auto"/>
            <w:vAlign w:val="center"/>
            <w:hideMark/>
          </w:tcPr>
          <w:p w14:paraId="3180BFA1"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BFI.G527</w:t>
            </w:r>
          </w:p>
        </w:tc>
        <w:tc>
          <w:tcPr>
            <w:tcW w:w="992" w:type="dxa"/>
            <w:tcBorders>
              <w:top w:val="nil"/>
              <w:left w:val="nil"/>
              <w:bottom w:val="nil"/>
              <w:right w:val="single" w:sz="8" w:space="0" w:color="auto"/>
            </w:tcBorders>
            <w:shd w:val="clear" w:color="auto" w:fill="auto"/>
            <w:vAlign w:val="center"/>
            <w:hideMark/>
          </w:tcPr>
          <w:p w14:paraId="33445B9B"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BFI.H527</w:t>
            </w:r>
          </w:p>
        </w:tc>
      </w:tr>
      <w:tr w:rsidR="000643B5" w:rsidRPr="00EA4CDC" w14:paraId="4F448845"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6CC15457"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130 - PROGRAMA FEDERATIVO DE ENFRENTAMENTO AO COVID-19 VINCULADO ÀS AÇÕES DE SAÚDE E ASSISTÊNCIA SOCIAL – LC 173/20</w:t>
            </w:r>
          </w:p>
        </w:tc>
        <w:tc>
          <w:tcPr>
            <w:tcW w:w="993" w:type="dxa"/>
            <w:tcBorders>
              <w:top w:val="nil"/>
              <w:left w:val="nil"/>
              <w:bottom w:val="nil"/>
              <w:right w:val="single" w:sz="8" w:space="0" w:color="auto"/>
            </w:tcBorders>
            <w:shd w:val="clear" w:color="auto" w:fill="auto"/>
            <w:vAlign w:val="center"/>
            <w:hideMark/>
          </w:tcPr>
          <w:p w14:paraId="4FCD7994"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BFI.C596</w:t>
            </w:r>
          </w:p>
        </w:tc>
        <w:tc>
          <w:tcPr>
            <w:tcW w:w="992" w:type="dxa"/>
            <w:tcBorders>
              <w:top w:val="nil"/>
              <w:left w:val="nil"/>
              <w:bottom w:val="nil"/>
              <w:right w:val="single" w:sz="8" w:space="0" w:color="auto"/>
            </w:tcBorders>
            <w:shd w:val="clear" w:color="auto" w:fill="auto"/>
            <w:vAlign w:val="center"/>
            <w:hideMark/>
          </w:tcPr>
          <w:p w14:paraId="18BDF2DE"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BFI.D596</w:t>
            </w:r>
          </w:p>
        </w:tc>
        <w:tc>
          <w:tcPr>
            <w:tcW w:w="5103" w:type="dxa"/>
            <w:tcBorders>
              <w:top w:val="nil"/>
              <w:left w:val="nil"/>
              <w:bottom w:val="nil"/>
              <w:right w:val="single" w:sz="8" w:space="0" w:color="auto"/>
            </w:tcBorders>
            <w:shd w:val="clear" w:color="auto" w:fill="auto"/>
            <w:noWrap/>
            <w:vAlign w:val="center"/>
            <w:hideMark/>
          </w:tcPr>
          <w:p w14:paraId="4A1AE8CB"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130 - PROGRAMA FEDERATIVO DE ENFRENTAMENTO AO COVID-19 VINCULADO ÀS AÇÕES DE SAÚDE E ASSISTÊNCIA SOCIAL – LC 173/20</w:t>
            </w:r>
          </w:p>
        </w:tc>
        <w:tc>
          <w:tcPr>
            <w:tcW w:w="993" w:type="dxa"/>
            <w:tcBorders>
              <w:top w:val="nil"/>
              <w:left w:val="nil"/>
              <w:bottom w:val="nil"/>
              <w:right w:val="single" w:sz="8" w:space="0" w:color="auto"/>
            </w:tcBorders>
            <w:shd w:val="clear" w:color="auto" w:fill="auto"/>
            <w:vAlign w:val="center"/>
            <w:hideMark/>
          </w:tcPr>
          <w:p w14:paraId="05618BCA"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BFI.G596</w:t>
            </w:r>
          </w:p>
        </w:tc>
        <w:tc>
          <w:tcPr>
            <w:tcW w:w="992" w:type="dxa"/>
            <w:tcBorders>
              <w:top w:val="nil"/>
              <w:left w:val="nil"/>
              <w:bottom w:val="nil"/>
              <w:right w:val="single" w:sz="8" w:space="0" w:color="auto"/>
            </w:tcBorders>
            <w:shd w:val="clear" w:color="auto" w:fill="auto"/>
            <w:vAlign w:val="center"/>
            <w:hideMark/>
          </w:tcPr>
          <w:p w14:paraId="0A3C8845"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BFI.H596</w:t>
            </w:r>
          </w:p>
        </w:tc>
      </w:tr>
      <w:tr w:rsidR="000643B5" w:rsidRPr="00EA4CDC" w14:paraId="0A287284"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132CAAAB"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134 - INCENTIVO SUS - UNIÃO</w:t>
            </w:r>
          </w:p>
        </w:tc>
        <w:tc>
          <w:tcPr>
            <w:tcW w:w="993" w:type="dxa"/>
            <w:tcBorders>
              <w:top w:val="nil"/>
              <w:left w:val="nil"/>
              <w:bottom w:val="nil"/>
              <w:right w:val="single" w:sz="8" w:space="0" w:color="auto"/>
            </w:tcBorders>
            <w:shd w:val="clear" w:color="auto" w:fill="auto"/>
            <w:vAlign w:val="center"/>
            <w:hideMark/>
          </w:tcPr>
          <w:p w14:paraId="339C0F4E"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BFI.C528</w:t>
            </w:r>
          </w:p>
        </w:tc>
        <w:tc>
          <w:tcPr>
            <w:tcW w:w="992" w:type="dxa"/>
            <w:tcBorders>
              <w:top w:val="nil"/>
              <w:left w:val="nil"/>
              <w:bottom w:val="nil"/>
              <w:right w:val="single" w:sz="8" w:space="0" w:color="auto"/>
            </w:tcBorders>
            <w:shd w:val="clear" w:color="auto" w:fill="auto"/>
            <w:vAlign w:val="center"/>
            <w:hideMark/>
          </w:tcPr>
          <w:p w14:paraId="0503EB1F"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BFI.D528</w:t>
            </w:r>
          </w:p>
        </w:tc>
        <w:tc>
          <w:tcPr>
            <w:tcW w:w="5103" w:type="dxa"/>
            <w:tcBorders>
              <w:top w:val="nil"/>
              <w:left w:val="nil"/>
              <w:bottom w:val="nil"/>
              <w:right w:val="single" w:sz="8" w:space="0" w:color="auto"/>
            </w:tcBorders>
            <w:shd w:val="clear" w:color="auto" w:fill="auto"/>
            <w:noWrap/>
            <w:vAlign w:val="center"/>
            <w:hideMark/>
          </w:tcPr>
          <w:p w14:paraId="025FB831"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134 - INCENTIVO SUS - UNIÃO</w:t>
            </w:r>
          </w:p>
        </w:tc>
        <w:tc>
          <w:tcPr>
            <w:tcW w:w="993" w:type="dxa"/>
            <w:tcBorders>
              <w:top w:val="nil"/>
              <w:left w:val="nil"/>
              <w:bottom w:val="nil"/>
              <w:right w:val="single" w:sz="8" w:space="0" w:color="auto"/>
            </w:tcBorders>
            <w:shd w:val="clear" w:color="auto" w:fill="auto"/>
            <w:vAlign w:val="center"/>
            <w:hideMark/>
          </w:tcPr>
          <w:p w14:paraId="2D29DE8F"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BFI.G528</w:t>
            </w:r>
          </w:p>
        </w:tc>
        <w:tc>
          <w:tcPr>
            <w:tcW w:w="992" w:type="dxa"/>
            <w:tcBorders>
              <w:top w:val="nil"/>
              <w:left w:val="nil"/>
              <w:bottom w:val="nil"/>
              <w:right w:val="single" w:sz="8" w:space="0" w:color="auto"/>
            </w:tcBorders>
            <w:shd w:val="clear" w:color="auto" w:fill="auto"/>
            <w:vAlign w:val="center"/>
            <w:hideMark/>
          </w:tcPr>
          <w:p w14:paraId="3A4BD49E"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BFI.H528</w:t>
            </w:r>
          </w:p>
        </w:tc>
      </w:tr>
      <w:tr w:rsidR="000643B5" w:rsidRPr="00EA4CDC" w14:paraId="538683C9"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4CBDDF82"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135 - SUS - PRODUÇÃO</w:t>
            </w:r>
          </w:p>
        </w:tc>
        <w:tc>
          <w:tcPr>
            <w:tcW w:w="993" w:type="dxa"/>
            <w:tcBorders>
              <w:top w:val="nil"/>
              <w:left w:val="nil"/>
              <w:bottom w:val="nil"/>
              <w:right w:val="single" w:sz="8" w:space="0" w:color="auto"/>
            </w:tcBorders>
            <w:shd w:val="clear" w:color="auto" w:fill="auto"/>
            <w:vAlign w:val="center"/>
            <w:hideMark/>
          </w:tcPr>
          <w:p w14:paraId="2B3468DA"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BFI.C529</w:t>
            </w:r>
          </w:p>
        </w:tc>
        <w:tc>
          <w:tcPr>
            <w:tcW w:w="992" w:type="dxa"/>
            <w:tcBorders>
              <w:top w:val="nil"/>
              <w:left w:val="nil"/>
              <w:bottom w:val="nil"/>
              <w:right w:val="single" w:sz="8" w:space="0" w:color="auto"/>
            </w:tcBorders>
            <w:shd w:val="clear" w:color="auto" w:fill="auto"/>
            <w:vAlign w:val="center"/>
            <w:hideMark/>
          </w:tcPr>
          <w:p w14:paraId="14A738E2"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BFI.D529</w:t>
            </w:r>
          </w:p>
        </w:tc>
        <w:tc>
          <w:tcPr>
            <w:tcW w:w="5103" w:type="dxa"/>
            <w:tcBorders>
              <w:top w:val="nil"/>
              <w:left w:val="nil"/>
              <w:bottom w:val="nil"/>
              <w:right w:val="single" w:sz="8" w:space="0" w:color="auto"/>
            </w:tcBorders>
            <w:shd w:val="clear" w:color="auto" w:fill="auto"/>
            <w:noWrap/>
            <w:vAlign w:val="center"/>
            <w:hideMark/>
          </w:tcPr>
          <w:p w14:paraId="6E3DE6BA"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135 - SUS - PRODUÇÃO</w:t>
            </w:r>
          </w:p>
        </w:tc>
        <w:tc>
          <w:tcPr>
            <w:tcW w:w="993" w:type="dxa"/>
            <w:tcBorders>
              <w:top w:val="nil"/>
              <w:left w:val="nil"/>
              <w:bottom w:val="nil"/>
              <w:right w:val="single" w:sz="8" w:space="0" w:color="auto"/>
            </w:tcBorders>
            <w:shd w:val="clear" w:color="auto" w:fill="auto"/>
            <w:vAlign w:val="center"/>
            <w:hideMark/>
          </w:tcPr>
          <w:p w14:paraId="57C9695A"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BFI.G529</w:t>
            </w:r>
          </w:p>
        </w:tc>
        <w:tc>
          <w:tcPr>
            <w:tcW w:w="992" w:type="dxa"/>
            <w:tcBorders>
              <w:top w:val="nil"/>
              <w:left w:val="nil"/>
              <w:bottom w:val="nil"/>
              <w:right w:val="single" w:sz="8" w:space="0" w:color="auto"/>
            </w:tcBorders>
            <w:shd w:val="clear" w:color="auto" w:fill="auto"/>
            <w:vAlign w:val="center"/>
            <w:hideMark/>
          </w:tcPr>
          <w:p w14:paraId="64DB7E3B"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BFI.H529</w:t>
            </w:r>
          </w:p>
        </w:tc>
      </w:tr>
      <w:tr w:rsidR="000643B5" w:rsidRPr="00EA4CDC" w14:paraId="064CAE84"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6A7A9480"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155 - BLOCO DE CUSTEIO DAS AÇÕES E SERVIÇOS PÚBLICOS DE SAÚDE - SUS - FEDERAL</w:t>
            </w:r>
          </w:p>
        </w:tc>
        <w:tc>
          <w:tcPr>
            <w:tcW w:w="993" w:type="dxa"/>
            <w:tcBorders>
              <w:top w:val="nil"/>
              <w:left w:val="nil"/>
              <w:bottom w:val="nil"/>
              <w:right w:val="single" w:sz="8" w:space="0" w:color="auto"/>
            </w:tcBorders>
            <w:shd w:val="clear" w:color="auto" w:fill="auto"/>
            <w:vAlign w:val="center"/>
            <w:hideMark/>
          </w:tcPr>
          <w:p w14:paraId="7B9FF492"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BFI.C592</w:t>
            </w:r>
          </w:p>
        </w:tc>
        <w:tc>
          <w:tcPr>
            <w:tcW w:w="992" w:type="dxa"/>
            <w:tcBorders>
              <w:top w:val="nil"/>
              <w:left w:val="nil"/>
              <w:bottom w:val="nil"/>
              <w:right w:val="single" w:sz="8" w:space="0" w:color="auto"/>
            </w:tcBorders>
            <w:shd w:val="clear" w:color="auto" w:fill="auto"/>
            <w:vAlign w:val="center"/>
            <w:hideMark/>
          </w:tcPr>
          <w:p w14:paraId="427691D4"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BFI.D592</w:t>
            </w:r>
          </w:p>
        </w:tc>
        <w:tc>
          <w:tcPr>
            <w:tcW w:w="5103" w:type="dxa"/>
            <w:tcBorders>
              <w:top w:val="nil"/>
              <w:left w:val="nil"/>
              <w:bottom w:val="nil"/>
              <w:right w:val="single" w:sz="8" w:space="0" w:color="auto"/>
            </w:tcBorders>
            <w:shd w:val="clear" w:color="auto" w:fill="auto"/>
            <w:noWrap/>
            <w:vAlign w:val="center"/>
            <w:hideMark/>
          </w:tcPr>
          <w:p w14:paraId="59C5578B"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155 - BLOCO DE CUSTEIO DAS AÇÕES E SERVIÇOS PÚBLICOS DE SAÚDE - SUS - FEDERAL</w:t>
            </w:r>
          </w:p>
        </w:tc>
        <w:tc>
          <w:tcPr>
            <w:tcW w:w="993" w:type="dxa"/>
            <w:tcBorders>
              <w:top w:val="nil"/>
              <w:left w:val="nil"/>
              <w:bottom w:val="nil"/>
              <w:right w:val="single" w:sz="8" w:space="0" w:color="auto"/>
            </w:tcBorders>
            <w:shd w:val="clear" w:color="auto" w:fill="auto"/>
            <w:vAlign w:val="center"/>
            <w:hideMark/>
          </w:tcPr>
          <w:p w14:paraId="02BC4E0F"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BFI.G592</w:t>
            </w:r>
          </w:p>
        </w:tc>
        <w:tc>
          <w:tcPr>
            <w:tcW w:w="992" w:type="dxa"/>
            <w:tcBorders>
              <w:top w:val="nil"/>
              <w:left w:val="nil"/>
              <w:bottom w:val="nil"/>
              <w:right w:val="single" w:sz="8" w:space="0" w:color="auto"/>
            </w:tcBorders>
            <w:shd w:val="clear" w:color="auto" w:fill="auto"/>
            <w:vAlign w:val="center"/>
            <w:hideMark/>
          </w:tcPr>
          <w:p w14:paraId="0D0B51C5"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BFI.H592</w:t>
            </w:r>
          </w:p>
        </w:tc>
      </w:tr>
      <w:tr w:rsidR="000643B5" w:rsidRPr="00EA4CDC" w14:paraId="1B3957D0"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46CFAE0C"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156 - BLOCO DE INVESTIMENTO NA REDE DE SERVIÇOS PÚBLICOS DE SAÚDE - SUS - FEDERAL</w:t>
            </w:r>
          </w:p>
        </w:tc>
        <w:tc>
          <w:tcPr>
            <w:tcW w:w="993" w:type="dxa"/>
            <w:tcBorders>
              <w:top w:val="nil"/>
              <w:left w:val="nil"/>
              <w:bottom w:val="nil"/>
              <w:right w:val="single" w:sz="8" w:space="0" w:color="auto"/>
            </w:tcBorders>
            <w:shd w:val="clear" w:color="auto" w:fill="auto"/>
            <w:vAlign w:val="center"/>
            <w:hideMark/>
          </w:tcPr>
          <w:p w14:paraId="2854E478"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BFI.C593</w:t>
            </w:r>
          </w:p>
        </w:tc>
        <w:tc>
          <w:tcPr>
            <w:tcW w:w="992" w:type="dxa"/>
            <w:tcBorders>
              <w:top w:val="nil"/>
              <w:left w:val="nil"/>
              <w:bottom w:val="nil"/>
              <w:right w:val="single" w:sz="8" w:space="0" w:color="auto"/>
            </w:tcBorders>
            <w:shd w:val="clear" w:color="auto" w:fill="auto"/>
            <w:vAlign w:val="center"/>
            <w:hideMark/>
          </w:tcPr>
          <w:p w14:paraId="5BCDA7EF"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BFI.D593</w:t>
            </w:r>
          </w:p>
        </w:tc>
        <w:tc>
          <w:tcPr>
            <w:tcW w:w="5103" w:type="dxa"/>
            <w:tcBorders>
              <w:top w:val="nil"/>
              <w:left w:val="nil"/>
              <w:bottom w:val="nil"/>
              <w:right w:val="single" w:sz="8" w:space="0" w:color="auto"/>
            </w:tcBorders>
            <w:shd w:val="clear" w:color="auto" w:fill="auto"/>
            <w:noWrap/>
            <w:vAlign w:val="center"/>
            <w:hideMark/>
          </w:tcPr>
          <w:p w14:paraId="7BB05B94"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156 - BLOCO DE INVESTIMENTO NA REDE DE SERVIÇOS PÚBLICOS DE SAÚDE - SUS - FEDERAL</w:t>
            </w:r>
          </w:p>
        </w:tc>
        <w:tc>
          <w:tcPr>
            <w:tcW w:w="993" w:type="dxa"/>
            <w:tcBorders>
              <w:top w:val="nil"/>
              <w:left w:val="nil"/>
              <w:bottom w:val="nil"/>
              <w:right w:val="single" w:sz="8" w:space="0" w:color="auto"/>
            </w:tcBorders>
            <w:shd w:val="clear" w:color="auto" w:fill="auto"/>
            <w:vAlign w:val="center"/>
            <w:hideMark/>
          </w:tcPr>
          <w:p w14:paraId="37B64237"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BFI.G593</w:t>
            </w:r>
          </w:p>
        </w:tc>
        <w:tc>
          <w:tcPr>
            <w:tcW w:w="992" w:type="dxa"/>
            <w:tcBorders>
              <w:top w:val="nil"/>
              <w:left w:val="nil"/>
              <w:bottom w:val="nil"/>
              <w:right w:val="single" w:sz="8" w:space="0" w:color="auto"/>
            </w:tcBorders>
            <w:shd w:val="clear" w:color="auto" w:fill="auto"/>
            <w:vAlign w:val="center"/>
            <w:hideMark/>
          </w:tcPr>
          <w:p w14:paraId="6616FEC9"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BFI.H593</w:t>
            </w:r>
          </w:p>
        </w:tc>
      </w:tr>
      <w:tr w:rsidR="000643B5" w:rsidRPr="00EA4CDC" w14:paraId="03AB032F"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01EA8488"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169 - DECISÕES JUDICIAIS DESTINADAS AO COMBATE DA COVID-19</w:t>
            </w:r>
          </w:p>
        </w:tc>
        <w:tc>
          <w:tcPr>
            <w:tcW w:w="993" w:type="dxa"/>
            <w:tcBorders>
              <w:top w:val="nil"/>
              <w:left w:val="nil"/>
              <w:bottom w:val="nil"/>
              <w:right w:val="single" w:sz="8" w:space="0" w:color="auto"/>
            </w:tcBorders>
            <w:shd w:val="clear" w:color="auto" w:fill="auto"/>
            <w:vAlign w:val="center"/>
            <w:hideMark/>
          </w:tcPr>
          <w:p w14:paraId="1CEB1134"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BFI.C597</w:t>
            </w:r>
          </w:p>
        </w:tc>
        <w:tc>
          <w:tcPr>
            <w:tcW w:w="992" w:type="dxa"/>
            <w:tcBorders>
              <w:top w:val="nil"/>
              <w:left w:val="nil"/>
              <w:bottom w:val="nil"/>
              <w:right w:val="single" w:sz="8" w:space="0" w:color="auto"/>
            </w:tcBorders>
            <w:shd w:val="clear" w:color="auto" w:fill="auto"/>
            <w:vAlign w:val="center"/>
            <w:hideMark/>
          </w:tcPr>
          <w:p w14:paraId="00FFA96D"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BFI.D597</w:t>
            </w:r>
          </w:p>
        </w:tc>
        <w:tc>
          <w:tcPr>
            <w:tcW w:w="5103" w:type="dxa"/>
            <w:tcBorders>
              <w:top w:val="nil"/>
              <w:left w:val="nil"/>
              <w:bottom w:val="nil"/>
              <w:right w:val="single" w:sz="8" w:space="0" w:color="auto"/>
            </w:tcBorders>
            <w:shd w:val="clear" w:color="auto" w:fill="auto"/>
            <w:noWrap/>
            <w:vAlign w:val="center"/>
            <w:hideMark/>
          </w:tcPr>
          <w:p w14:paraId="6B13612F"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169 - DECISÕES JUDICIAIS DESTINADAS AO COMBATE DA COVID-19</w:t>
            </w:r>
          </w:p>
        </w:tc>
        <w:tc>
          <w:tcPr>
            <w:tcW w:w="993" w:type="dxa"/>
            <w:tcBorders>
              <w:top w:val="nil"/>
              <w:left w:val="nil"/>
              <w:bottom w:val="nil"/>
              <w:right w:val="single" w:sz="8" w:space="0" w:color="auto"/>
            </w:tcBorders>
            <w:shd w:val="clear" w:color="auto" w:fill="auto"/>
            <w:vAlign w:val="center"/>
            <w:hideMark/>
          </w:tcPr>
          <w:p w14:paraId="618436D1"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BFI.G597</w:t>
            </w:r>
          </w:p>
        </w:tc>
        <w:tc>
          <w:tcPr>
            <w:tcW w:w="992" w:type="dxa"/>
            <w:tcBorders>
              <w:top w:val="nil"/>
              <w:left w:val="nil"/>
              <w:bottom w:val="nil"/>
              <w:right w:val="single" w:sz="8" w:space="0" w:color="auto"/>
            </w:tcBorders>
            <w:shd w:val="clear" w:color="auto" w:fill="auto"/>
            <w:vAlign w:val="center"/>
            <w:hideMark/>
          </w:tcPr>
          <w:p w14:paraId="2837E723"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BFI.H597</w:t>
            </w:r>
          </w:p>
        </w:tc>
      </w:tr>
      <w:tr w:rsidR="000643B5" w:rsidRPr="00EA4CDC" w14:paraId="7AC1E96F"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52A5D0E7"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304 - SUPERÁVIT FINANCEIRO - AÇÕES E SERVIÇOS DE SAÚDE</w:t>
            </w:r>
          </w:p>
        </w:tc>
        <w:tc>
          <w:tcPr>
            <w:tcW w:w="993" w:type="dxa"/>
            <w:tcBorders>
              <w:top w:val="nil"/>
              <w:left w:val="nil"/>
              <w:bottom w:val="nil"/>
              <w:right w:val="single" w:sz="8" w:space="0" w:color="auto"/>
            </w:tcBorders>
            <w:shd w:val="clear" w:color="auto" w:fill="auto"/>
            <w:vAlign w:val="center"/>
            <w:hideMark/>
          </w:tcPr>
          <w:p w14:paraId="3E4C1BEA"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BFI.C530</w:t>
            </w:r>
          </w:p>
        </w:tc>
        <w:tc>
          <w:tcPr>
            <w:tcW w:w="992" w:type="dxa"/>
            <w:tcBorders>
              <w:top w:val="nil"/>
              <w:left w:val="nil"/>
              <w:bottom w:val="nil"/>
              <w:right w:val="single" w:sz="8" w:space="0" w:color="auto"/>
            </w:tcBorders>
            <w:shd w:val="clear" w:color="auto" w:fill="auto"/>
            <w:vAlign w:val="center"/>
            <w:hideMark/>
          </w:tcPr>
          <w:p w14:paraId="08D7AC5D"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BFI.D530</w:t>
            </w:r>
          </w:p>
        </w:tc>
        <w:tc>
          <w:tcPr>
            <w:tcW w:w="5103" w:type="dxa"/>
            <w:tcBorders>
              <w:top w:val="nil"/>
              <w:left w:val="nil"/>
              <w:bottom w:val="nil"/>
              <w:right w:val="single" w:sz="8" w:space="0" w:color="auto"/>
            </w:tcBorders>
            <w:shd w:val="clear" w:color="auto" w:fill="auto"/>
            <w:noWrap/>
            <w:vAlign w:val="center"/>
            <w:hideMark/>
          </w:tcPr>
          <w:p w14:paraId="54FC22C8"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304 - SUPERÁVIT FINANCEIRO - AÇÕES E SERVIÇOS DE SAÚDE</w:t>
            </w:r>
          </w:p>
        </w:tc>
        <w:tc>
          <w:tcPr>
            <w:tcW w:w="993" w:type="dxa"/>
            <w:tcBorders>
              <w:top w:val="nil"/>
              <w:left w:val="nil"/>
              <w:bottom w:val="nil"/>
              <w:right w:val="single" w:sz="8" w:space="0" w:color="auto"/>
            </w:tcBorders>
            <w:shd w:val="clear" w:color="auto" w:fill="auto"/>
            <w:vAlign w:val="center"/>
            <w:hideMark/>
          </w:tcPr>
          <w:p w14:paraId="67CF38EE"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BFI.G530</w:t>
            </w:r>
          </w:p>
        </w:tc>
        <w:tc>
          <w:tcPr>
            <w:tcW w:w="992" w:type="dxa"/>
            <w:tcBorders>
              <w:top w:val="nil"/>
              <w:left w:val="nil"/>
              <w:bottom w:val="nil"/>
              <w:right w:val="single" w:sz="8" w:space="0" w:color="auto"/>
            </w:tcBorders>
            <w:shd w:val="clear" w:color="auto" w:fill="auto"/>
            <w:vAlign w:val="center"/>
            <w:hideMark/>
          </w:tcPr>
          <w:p w14:paraId="13C80058"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BFI.H530</w:t>
            </w:r>
          </w:p>
        </w:tc>
      </w:tr>
      <w:tr w:rsidR="000643B5" w:rsidRPr="00EA4CDC" w14:paraId="485B6ACA"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7C2553BD"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334 - SUPERÁVIT FINANCEIRO - INCENTIVO SUS UNIÃO</w:t>
            </w:r>
          </w:p>
        </w:tc>
        <w:tc>
          <w:tcPr>
            <w:tcW w:w="993" w:type="dxa"/>
            <w:tcBorders>
              <w:top w:val="nil"/>
              <w:left w:val="nil"/>
              <w:bottom w:val="nil"/>
              <w:right w:val="single" w:sz="8" w:space="0" w:color="auto"/>
            </w:tcBorders>
            <w:shd w:val="clear" w:color="auto" w:fill="auto"/>
            <w:vAlign w:val="center"/>
            <w:hideMark/>
          </w:tcPr>
          <w:p w14:paraId="3F0A62C9"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BFI.C531</w:t>
            </w:r>
          </w:p>
        </w:tc>
        <w:tc>
          <w:tcPr>
            <w:tcW w:w="992" w:type="dxa"/>
            <w:tcBorders>
              <w:top w:val="nil"/>
              <w:left w:val="nil"/>
              <w:bottom w:val="nil"/>
              <w:right w:val="single" w:sz="8" w:space="0" w:color="auto"/>
            </w:tcBorders>
            <w:shd w:val="clear" w:color="auto" w:fill="auto"/>
            <w:vAlign w:val="center"/>
            <w:hideMark/>
          </w:tcPr>
          <w:p w14:paraId="0C7C8CDE"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BFI.D531</w:t>
            </w:r>
          </w:p>
        </w:tc>
        <w:tc>
          <w:tcPr>
            <w:tcW w:w="5103" w:type="dxa"/>
            <w:tcBorders>
              <w:top w:val="nil"/>
              <w:left w:val="nil"/>
              <w:bottom w:val="nil"/>
              <w:right w:val="single" w:sz="8" w:space="0" w:color="auto"/>
            </w:tcBorders>
            <w:shd w:val="clear" w:color="auto" w:fill="auto"/>
            <w:noWrap/>
            <w:vAlign w:val="center"/>
            <w:hideMark/>
          </w:tcPr>
          <w:p w14:paraId="2134DDF1"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334 - SUPERÁVIT FINANCEIRO - INCENTIVO SUS UNIÃO</w:t>
            </w:r>
          </w:p>
        </w:tc>
        <w:tc>
          <w:tcPr>
            <w:tcW w:w="993" w:type="dxa"/>
            <w:tcBorders>
              <w:top w:val="nil"/>
              <w:left w:val="nil"/>
              <w:bottom w:val="nil"/>
              <w:right w:val="single" w:sz="8" w:space="0" w:color="auto"/>
            </w:tcBorders>
            <w:shd w:val="clear" w:color="auto" w:fill="auto"/>
            <w:vAlign w:val="center"/>
            <w:hideMark/>
          </w:tcPr>
          <w:p w14:paraId="0433305C"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BFI.G531</w:t>
            </w:r>
          </w:p>
        </w:tc>
        <w:tc>
          <w:tcPr>
            <w:tcW w:w="992" w:type="dxa"/>
            <w:tcBorders>
              <w:top w:val="nil"/>
              <w:left w:val="nil"/>
              <w:bottom w:val="nil"/>
              <w:right w:val="single" w:sz="8" w:space="0" w:color="auto"/>
            </w:tcBorders>
            <w:shd w:val="clear" w:color="auto" w:fill="auto"/>
            <w:vAlign w:val="center"/>
            <w:hideMark/>
          </w:tcPr>
          <w:p w14:paraId="3AD2E9AD"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BFI.H531</w:t>
            </w:r>
          </w:p>
        </w:tc>
      </w:tr>
      <w:tr w:rsidR="000643B5" w:rsidRPr="00EA4CDC" w14:paraId="0992EF02"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761C9229"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335 - SUPERÁVIT FINANCEIRO - SUS PRODUÇÃO</w:t>
            </w:r>
          </w:p>
        </w:tc>
        <w:tc>
          <w:tcPr>
            <w:tcW w:w="993" w:type="dxa"/>
            <w:tcBorders>
              <w:top w:val="nil"/>
              <w:left w:val="nil"/>
              <w:bottom w:val="nil"/>
              <w:right w:val="single" w:sz="8" w:space="0" w:color="auto"/>
            </w:tcBorders>
            <w:shd w:val="clear" w:color="auto" w:fill="auto"/>
            <w:vAlign w:val="center"/>
            <w:hideMark/>
          </w:tcPr>
          <w:p w14:paraId="41201360"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BFI.C532</w:t>
            </w:r>
          </w:p>
        </w:tc>
        <w:tc>
          <w:tcPr>
            <w:tcW w:w="992" w:type="dxa"/>
            <w:tcBorders>
              <w:top w:val="nil"/>
              <w:left w:val="nil"/>
              <w:bottom w:val="nil"/>
              <w:right w:val="single" w:sz="8" w:space="0" w:color="auto"/>
            </w:tcBorders>
            <w:shd w:val="clear" w:color="auto" w:fill="auto"/>
            <w:vAlign w:val="center"/>
            <w:hideMark/>
          </w:tcPr>
          <w:p w14:paraId="069413AF"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BFI.D532</w:t>
            </w:r>
          </w:p>
        </w:tc>
        <w:tc>
          <w:tcPr>
            <w:tcW w:w="5103" w:type="dxa"/>
            <w:tcBorders>
              <w:top w:val="nil"/>
              <w:left w:val="nil"/>
              <w:bottom w:val="nil"/>
              <w:right w:val="single" w:sz="8" w:space="0" w:color="auto"/>
            </w:tcBorders>
            <w:shd w:val="clear" w:color="auto" w:fill="auto"/>
            <w:noWrap/>
            <w:vAlign w:val="center"/>
            <w:hideMark/>
          </w:tcPr>
          <w:p w14:paraId="79C3D0D3"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335 - SUPERÁVIT FINANCEIRO - SUS PRODUÇÃO</w:t>
            </w:r>
          </w:p>
        </w:tc>
        <w:tc>
          <w:tcPr>
            <w:tcW w:w="993" w:type="dxa"/>
            <w:tcBorders>
              <w:top w:val="nil"/>
              <w:left w:val="nil"/>
              <w:bottom w:val="nil"/>
              <w:right w:val="single" w:sz="8" w:space="0" w:color="auto"/>
            </w:tcBorders>
            <w:shd w:val="clear" w:color="auto" w:fill="auto"/>
            <w:vAlign w:val="center"/>
            <w:hideMark/>
          </w:tcPr>
          <w:p w14:paraId="682F2DF4"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BFI.G532</w:t>
            </w:r>
          </w:p>
        </w:tc>
        <w:tc>
          <w:tcPr>
            <w:tcW w:w="992" w:type="dxa"/>
            <w:tcBorders>
              <w:top w:val="nil"/>
              <w:left w:val="nil"/>
              <w:bottom w:val="nil"/>
              <w:right w:val="single" w:sz="8" w:space="0" w:color="auto"/>
            </w:tcBorders>
            <w:shd w:val="clear" w:color="auto" w:fill="auto"/>
            <w:vAlign w:val="center"/>
            <w:hideMark/>
          </w:tcPr>
          <w:p w14:paraId="7502DADB"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BFI.H532</w:t>
            </w:r>
          </w:p>
        </w:tc>
      </w:tr>
      <w:tr w:rsidR="000643B5" w:rsidRPr="00EA4CDC" w14:paraId="5BDC0E29"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64E7E57C"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355 - SUPERÁVIT FINANCEIRO - BLOCO DE CUSTEIO DAS AÇÕES E SERVIÇOS PÚBLICOS DE SAÚDE - SUS – FEDERAL</w:t>
            </w:r>
          </w:p>
        </w:tc>
        <w:tc>
          <w:tcPr>
            <w:tcW w:w="993" w:type="dxa"/>
            <w:tcBorders>
              <w:top w:val="nil"/>
              <w:left w:val="nil"/>
              <w:bottom w:val="nil"/>
              <w:right w:val="single" w:sz="8" w:space="0" w:color="auto"/>
            </w:tcBorders>
            <w:shd w:val="clear" w:color="auto" w:fill="auto"/>
            <w:vAlign w:val="center"/>
            <w:hideMark/>
          </w:tcPr>
          <w:p w14:paraId="2F5BA402"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BFI.C598</w:t>
            </w:r>
          </w:p>
        </w:tc>
        <w:tc>
          <w:tcPr>
            <w:tcW w:w="992" w:type="dxa"/>
            <w:tcBorders>
              <w:top w:val="nil"/>
              <w:left w:val="nil"/>
              <w:bottom w:val="nil"/>
              <w:right w:val="single" w:sz="8" w:space="0" w:color="auto"/>
            </w:tcBorders>
            <w:shd w:val="clear" w:color="auto" w:fill="auto"/>
            <w:vAlign w:val="center"/>
            <w:hideMark/>
          </w:tcPr>
          <w:p w14:paraId="69AFB206"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BFI.D598</w:t>
            </w:r>
          </w:p>
        </w:tc>
        <w:tc>
          <w:tcPr>
            <w:tcW w:w="5103" w:type="dxa"/>
            <w:tcBorders>
              <w:top w:val="nil"/>
              <w:left w:val="nil"/>
              <w:bottom w:val="nil"/>
              <w:right w:val="single" w:sz="8" w:space="0" w:color="auto"/>
            </w:tcBorders>
            <w:shd w:val="clear" w:color="auto" w:fill="auto"/>
            <w:noWrap/>
            <w:vAlign w:val="center"/>
            <w:hideMark/>
          </w:tcPr>
          <w:p w14:paraId="144D6D18"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355 - SUPERÁVIT FINANCEIRO - BLOCO DE CUSTEIO DAS AÇÕES E SERVIÇOS PÚBLICOS DE SAÚDE - SUS – FEDERAL</w:t>
            </w:r>
          </w:p>
        </w:tc>
        <w:tc>
          <w:tcPr>
            <w:tcW w:w="993" w:type="dxa"/>
            <w:tcBorders>
              <w:top w:val="nil"/>
              <w:left w:val="nil"/>
              <w:bottom w:val="nil"/>
              <w:right w:val="single" w:sz="8" w:space="0" w:color="auto"/>
            </w:tcBorders>
            <w:shd w:val="clear" w:color="auto" w:fill="auto"/>
            <w:vAlign w:val="center"/>
            <w:hideMark/>
          </w:tcPr>
          <w:p w14:paraId="795EEE2F"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BFI.G598</w:t>
            </w:r>
          </w:p>
        </w:tc>
        <w:tc>
          <w:tcPr>
            <w:tcW w:w="992" w:type="dxa"/>
            <w:tcBorders>
              <w:top w:val="nil"/>
              <w:left w:val="nil"/>
              <w:bottom w:val="nil"/>
              <w:right w:val="single" w:sz="8" w:space="0" w:color="auto"/>
            </w:tcBorders>
            <w:shd w:val="clear" w:color="auto" w:fill="auto"/>
            <w:vAlign w:val="center"/>
            <w:hideMark/>
          </w:tcPr>
          <w:p w14:paraId="49E47151"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BFI.H598</w:t>
            </w:r>
          </w:p>
        </w:tc>
      </w:tr>
      <w:tr w:rsidR="000643B5" w:rsidRPr="00EA4CDC" w14:paraId="0F572110"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24181DA7"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356 - SUPERÁVIT FINANCEIRO - BLOCO DE INVESTIMENTO NA REDE DE SERVIÇOS PÚBLICOS DE SAÚDE - SUS – FEDERAL</w:t>
            </w:r>
          </w:p>
        </w:tc>
        <w:tc>
          <w:tcPr>
            <w:tcW w:w="993" w:type="dxa"/>
            <w:tcBorders>
              <w:top w:val="nil"/>
              <w:left w:val="nil"/>
              <w:bottom w:val="nil"/>
              <w:right w:val="single" w:sz="8" w:space="0" w:color="auto"/>
            </w:tcBorders>
            <w:shd w:val="clear" w:color="auto" w:fill="auto"/>
            <w:vAlign w:val="center"/>
            <w:hideMark/>
          </w:tcPr>
          <w:p w14:paraId="4C365294"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BFI.C599</w:t>
            </w:r>
          </w:p>
        </w:tc>
        <w:tc>
          <w:tcPr>
            <w:tcW w:w="992" w:type="dxa"/>
            <w:tcBorders>
              <w:top w:val="nil"/>
              <w:left w:val="nil"/>
              <w:bottom w:val="nil"/>
              <w:right w:val="single" w:sz="8" w:space="0" w:color="auto"/>
            </w:tcBorders>
            <w:shd w:val="clear" w:color="auto" w:fill="auto"/>
            <w:vAlign w:val="center"/>
            <w:hideMark/>
          </w:tcPr>
          <w:p w14:paraId="5B0AD979"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BFI.D599</w:t>
            </w:r>
          </w:p>
        </w:tc>
        <w:tc>
          <w:tcPr>
            <w:tcW w:w="5103" w:type="dxa"/>
            <w:tcBorders>
              <w:top w:val="nil"/>
              <w:left w:val="nil"/>
              <w:bottom w:val="nil"/>
              <w:right w:val="single" w:sz="8" w:space="0" w:color="auto"/>
            </w:tcBorders>
            <w:shd w:val="clear" w:color="auto" w:fill="auto"/>
            <w:noWrap/>
            <w:vAlign w:val="center"/>
            <w:hideMark/>
          </w:tcPr>
          <w:p w14:paraId="4A45CB67"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356 - SUPERÁVIT FINANCEIRO - BLOCO DE INVESTIMENTO NA REDE DE SERVIÇOS PÚBLICOS DE SAÚDE - SUS – FEDERAL</w:t>
            </w:r>
          </w:p>
        </w:tc>
        <w:tc>
          <w:tcPr>
            <w:tcW w:w="993" w:type="dxa"/>
            <w:tcBorders>
              <w:top w:val="nil"/>
              <w:left w:val="nil"/>
              <w:bottom w:val="nil"/>
              <w:right w:val="single" w:sz="8" w:space="0" w:color="auto"/>
            </w:tcBorders>
            <w:shd w:val="clear" w:color="auto" w:fill="auto"/>
            <w:vAlign w:val="center"/>
            <w:hideMark/>
          </w:tcPr>
          <w:p w14:paraId="7298FD17"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BFI.G599</w:t>
            </w:r>
          </w:p>
        </w:tc>
        <w:tc>
          <w:tcPr>
            <w:tcW w:w="992" w:type="dxa"/>
            <w:tcBorders>
              <w:top w:val="nil"/>
              <w:left w:val="nil"/>
              <w:bottom w:val="nil"/>
              <w:right w:val="single" w:sz="8" w:space="0" w:color="auto"/>
            </w:tcBorders>
            <w:shd w:val="clear" w:color="auto" w:fill="auto"/>
            <w:vAlign w:val="center"/>
            <w:hideMark/>
          </w:tcPr>
          <w:p w14:paraId="723250EA"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BFI.H599</w:t>
            </w:r>
          </w:p>
        </w:tc>
      </w:tr>
      <w:tr w:rsidR="000643B5" w:rsidRPr="00EA4CDC" w14:paraId="254DD704"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1C9C26A0"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369 - SUPERÁVIT FINANCEIRO - DECISÕES JUDICIAIS DESTINADAS AO COMBATE DA COVID-19</w:t>
            </w:r>
          </w:p>
        </w:tc>
        <w:tc>
          <w:tcPr>
            <w:tcW w:w="993" w:type="dxa"/>
            <w:tcBorders>
              <w:top w:val="nil"/>
              <w:left w:val="nil"/>
              <w:bottom w:val="nil"/>
              <w:right w:val="single" w:sz="8" w:space="0" w:color="auto"/>
            </w:tcBorders>
            <w:shd w:val="clear" w:color="auto" w:fill="auto"/>
            <w:vAlign w:val="center"/>
            <w:hideMark/>
          </w:tcPr>
          <w:p w14:paraId="2D828A5D"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BFI.C600</w:t>
            </w:r>
          </w:p>
        </w:tc>
        <w:tc>
          <w:tcPr>
            <w:tcW w:w="992" w:type="dxa"/>
            <w:tcBorders>
              <w:top w:val="nil"/>
              <w:left w:val="nil"/>
              <w:bottom w:val="nil"/>
              <w:right w:val="single" w:sz="8" w:space="0" w:color="auto"/>
            </w:tcBorders>
            <w:shd w:val="clear" w:color="auto" w:fill="auto"/>
            <w:vAlign w:val="center"/>
            <w:hideMark/>
          </w:tcPr>
          <w:p w14:paraId="0402DB25"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BFI.D600</w:t>
            </w:r>
          </w:p>
        </w:tc>
        <w:tc>
          <w:tcPr>
            <w:tcW w:w="5103" w:type="dxa"/>
            <w:tcBorders>
              <w:top w:val="nil"/>
              <w:left w:val="nil"/>
              <w:bottom w:val="nil"/>
              <w:right w:val="single" w:sz="8" w:space="0" w:color="auto"/>
            </w:tcBorders>
            <w:shd w:val="clear" w:color="auto" w:fill="auto"/>
            <w:noWrap/>
            <w:vAlign w:val="center"/>
            <w:hideMark/>
          </w:tcPr>
          <w:p w14:paraId="7C9DC73F"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369 - SUPERÁVIT FINANCEIRO - DECISÕES JUDICIAIS DESTINADAS AO COMBATE DA COVID-19</w:t>
            </w:r>
          </w:p>
        </w:tc>
        <w:tc>
          <w:tcPr>
            <w:tcW w:w="993" w:type="dxa"/>
            <w:tcBorders>
              <w:top w:val="nil"/>
              <w:left w:val="nil"/>
              <w:bottom w:val="nil"/>
              <w:right w:val="single" w:sz="8" w:space="0" w:color="auto"/>
            </w:tcBorders>
            <w:shd w:val="clear" w:color="auto" w:fill="auto"/>
            <w:vAlign w:val="center"/>
            <w:hideMark/>
          </w:tcPr>
          <w:p w14:paraId="4BF1AD8D"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BFI.G600</w:t>
            </w:r>
          </w:p>
        </w:tc>
        <w:tc>
          <w:tcPr>
            <w:tcW w:w="992" w:type="dxa"/>
            <w:tcBorders>
              <w:top w:val="nil"/>
              <w:left w:val="nil"/>
              <w:bottom w:val="nil"/>
              <w:right w:val="single" w:sz="8" w:space="0" w:color="auto"/>
            </w:tcBorders>
            <w:shd w:val="clear" w:color="auto" w:fill="auto"/>
            <w:vAlign w:val="center"/>
            <w:hideMark/>
          </w:tcPr>
          <w:p w14:paraId="119BE932"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BFI.H600</w:t>
            </w:r>
          </w:p>
        </w:tc>
      </w:tr>
      <w:tr w:rsidR="000643B5" w:rsidRPr="00EA4CDC" w14:paraId="7BDDC579"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363E829B" w14:textId="77777777" w:rsidR="000643B5" w:rsidRPr="00EA4CDC" w:rsidRDefault="000643B5" w:rsidP="00080E19">
            <w:pPr>
              <w:spacing w:after="0" w:line="240" w:lineRule="auto"/>
              <w:ind w:firstLineChars="100" w:firstLine="161"/>
              <w:rPr>
                <w:rFonts w:ascii="Arial Narrow" w:eastAsia="Times New Roman" w:hAnsi="Arial Narrow" w:cs="Arial"/>
                <w:b/>
                <w:bCs/>
                <w:sz w:val="16"/>
                <w:szCs w:val="16"/>
                <w:lang w:eastAsia="pt-BR"/>
              </w:rPr>
            </w:pPr>
            <w:r w:rsidRPr="00EA4CDC">
              <w:rPr>
                <w:rFonts w:ascii="Arial Narrow" w:eastAsia="Times New Roman" w:hAnsi="Arial Narrow" w:cs="Arial"/>
                <w:b/>
                <w:bCs/>
                <w:sz w:val="16"/>
                <w:szCs w:val="16"/>
                <w:lang w:eastAsia="pt-BR"/>
              </w:rPr>
              <w:t xml:space="preserve">  Recursos vinculados à Previdência Social - RPPS</w:t>
            </w:r>
          </w:p>
        </w:tc>
        <w:tc>
          <w:tcPr>
            <w:tcW w:w="993" w:type="dxa"/>
            <w:tcBorders>
              <w:top w:val="nil"/>
              <w:left w:val="nil"/>
              <w:bottom w:val="nil"/>
              <w:right w:val="single" w:sz="8" w:space="0" w:color="auto"/>
            </w:tcBorders>
            <w:shd w:val="clear" w:color="auto" w:fill="auto"/>
            <w:vAlign w:val="center"/>
            <w:hideMark/>
          </w:tcPr>
          <w:p w14:paraId="17253918" w14:textId="77777777" w:rsidR="000643B5" w:rsidRPr="00EA4CDC" w:rsidRDefault="000643B5" w:rsidP="00080E19">
            <w:pPr>
              <w:spacing w:after="0" w:line="240" w:lineRule="auto"/>
              <w:jc w:val="center"/>
              <w:rPr>
                <w:rFonts w:ascii="Arial Narrow" w:eastAsia="Times New Roman" w:hAnsi="Arial Narrow" w:cs="Arial"/>
                <w:b/>
                <w:bCs/>
                <w:sz w:val="16"/>
                <w:szCs w:val="16"/>
                <w:lang w:eastAsia="pt-BR"/>
              </w:rPr>
            </w:pPr>
            <w:r w:rsidRPr="00EA4CDC">
              <w:rPr>
                <w:rFonts w:ascii="Arial Narrow" w:eastAsia="Times New Roman" w:hAnsi="Arial Narrow" w:cs="Arial"/>
                <w:b/>
                <w:bCs/>
                <w:sz w:val="16"/>
                <w:szCs w:val="16"/>
                <w:lang w:eastAsia="pt-BR"/>
              </w:rPr>
              <w:t>BFI.C033</w:t>
            </w:r>
          </w:p>
        </w:tc>
        <w:tc>
          <w:tcPr>
            <w:tcW w:w="992" w:type="dxa"/>
            <w:tcBorders>
              <w:top w:val="nil"/>
              <w:left w:val="nil"/>
              <w:bottom w:val="nil"/>
              <w:right w:val="single" w:sz="8" w:space="0" w:color="auto"/>
            </w:tcBorders>
            <w:shd w:val="clear" w:color="auto" w:fill="auto"/>
            <w:vAlign w:val="center"/>
            <w:hideMark/>
          </w:tcPr>
          <w:p w14:paraId="0A0C1DD2" w14:textId="77777777" w:rsidR="000643B5" w:rsidRPr="00EA4CDC" w:rsidRDefault="000643B5" w:rsidP="00080E19">
            <w:pPr>
              <w:spacing w:after="0" w:line="240" w:lineRule="auto"/>
              <w:jc w:val="center"/>
              <w:rPr>
                <w:rFonts w:ascii="Arial Narrow" w:eastAsia="Times New Roman" w:hAnsi="Arial Narrow" w:cs="Arial"/>
                <w:b/>
                <w:bCs/>
                <w:sz w:val="16"/>
                <w:szCs w:val="16"/>
                <w:lang w:eastAsia="pt-BR"/>
              </w:rPr>
            </w:pPr>
            <w:r w:rsidRPr="00EA4CDC">
              <w:rPr>
                <w:rFonts w:ascii="Arial Narrow" w:eastAsia="Times New Roman" w:hAnsi="Arial Narrow" w:cs="Arial"/>
                <w:b/>
                <w:bCs/>
                <w:sz w:val="16"/>
                <w:szCs w:val="16"/>
                <w:lang w:eastAsia="pt-BR"/>
              </w:rPr>
              <w:t>BFI.D033</w:t>
            </w:r>
          </w:p>
        </w:tc>
        <w:tc>
          <w:tcPr>
            <w:tcW w:w="5103" w:type="dxa"/>
            <w:tcBorders>
              <w:top w:val="nil"/>
              <w:left w:val="nil"/>
              <w:bottom w:val="nil"/>
              <w:right w:val="single" w:sz="8" w:space="0" w:color="auto"/>
            </w:tcBorders>
            <w:shd w:val="clear" w:color="auto" w:fill="auto"/>
            <w:noWrap/>
            <w:vAlign w:val="center"/>
            <w:hideMark/>
          </w:tcPr>
          <w:p w14:paraId="0DE0BB70" w14:textId="77777777" w:rsidR="000643B5" w:rsidRPr="00EA4CDC" w:rsidRDefault="000643B5" w:rsidP="00080E19">
            <w:pPr>
              <w:spacing w:after="0" w:line="240" w:lineRule="auto"/>
              <w:ind w:firstLineChars="100" w:firstLine="161"/>
              <w:rPr>
                <w:rFonts w:ascii="Arial Narrow" w:eastAsia="Times New Roman" w:hAnsi="Arial Narrow" w:cs="Arial"/>
                <w:b/>
                <w:bCs/>
                <w:sz w:val="16"/>
                <w:szCs w:val="16"/>
                <w:lang w:eastAsia="pt-BR"/>
              </w:rPr>
            </w:pPr>
            <w:r w:rsidRPr="00EA4CDC">
              <w:rPr>
                <w:rFonts w:ascii="Arial Narrow" w:eastAsia="Times New Roman" w:hAnsi="Arial Narrow" w:cs="Arial"/>
                <w:b/>
                <w:bCs/>
                <w:sz w:val="16"/>
                <w:szCs w:val="16"/>
                <w:lang w:eastAsia="pt-BR"/>
              </w:rPr>
              <w:t xml:space="preserve">  Recursos Destinado à Previdência Social - RPPS</w:t>
            </w:r>
          </w:p>
        </w:tc>
        <w:tc>
          <w:tcPr>
            <w:tcW w:w="993" w:type="dxa"/>
            <w:tcBorders>
              <w:top w:val="nil"/>
              <w:left w:val="nil"/>
              <w:bottom w:val="nil"/>
              <w:right w:val="single" w:sz="8" w:space="0" w:color="auto"/>
            </w:tcBorders>
            <w:shd w:val="clear" w:color="auto" w:fill="auto"/>
            <w:vAlign w:val="center"/>
            <w:hideMark/>
          </w:tcPr>
          <w:p w14:paraId="0183695E" w14:textId="77777777" w:rsidR="000643B5" w:rsidRPr="00EA4CDC" w:rsidRDefault="000643B5" w:rsidP="00080E19">
            <w:pPr>
              <w:spacing w:after="0" w:line="240" w:lineRule="auto"/>
              <w:jc w:val="center"/>
              <w:rPr>
                <w:rFonts w:ascii="Arial Narrow" w:eastAsia="Times New Roman" w:hAnsi="Arial Narrow" w:cs="Arial"/>
                <w:b/>
                <w:bCs/>
                <w:sz w:val="16"/>
                <w:szCs w:val="16"/>
                <w:lang w:eastAsia="pt-BR"/>
              </w:rPr>
            </w:pPr>
            <w:r w:rsidRPr="00EA4CDC">
              <w:rPr>
                <w:rFonts w:ascii="Arial Narrow" w:eastAsia="Times New Roman" w:hAnsi="Arial Narrow" w:cs="Arial"/>
                <w:b/>
                <w:bCs/>
                <w:sz w:val="16"/>
                <w:szCs w:val="16"/>
                <w:lang w:eastAsia="pt-BR"/>
              </w:rPr>
              <w:t>BFI.G033</w:t>
            </w:r>
          </w:p>
        </w:tc>
        <w:tc>
          <w:tcPr>
            <w:tcW w:w="992" w:type="dxa"/>
            <w:tcBorders>
              <w:top w:val="nil"/>
              <w:left w:val="nil"/>
              <w:bottom w:val="nil"/>
              <w:right w:val="single" w:sz="8" w:space="0" w:color="auto"/>
            </w:tcBorders>
            <w:shd w:val="clear" w:color="auto" w:fill="auto"/>
            <w:vAlign w:val="center"/>
            <w:hideMark/>
          </w:tcPr>
          <w:p w14:paraId="296DFF09" w14:textId="77777777" w:rsidR="000643B5" w:rsidRPr="00EA4CDC" w:rsidRDefault="000643B5" w:rsidP="00080E19">
            <w:pPr>
              <w:spacing w:after="0" w:line="240" w:lineRule="auto"/>
              <w:jc w:val="center"/>
              <w:rPr>
                <w:rFonts w:ascii="Arial Narrow" w:eastAsia="Times New Roman" w:hAnsi="Arial Narrow" w:cs="Arial"/>
                <w:b/>
                <w:bCs/>
                <w:sz w:val="16"/>
                <w:szCs w:val="16"/>
                <w:lang w:eastAsia="pt-BR"/>
              </w:rPr>
            </w:pPr>
            <w:r w:rsidRPr="00EA4CDC">
              <w:rPr>
                <w:rFonts w:ascii="Arial Narrow" w:eastAsia="Times New Roman" w:hAnsi="Arial Narrow" w:cs="Arial"/>
                <w:b/>
                <w:bCs/>
                <w:sz w:val="16"/>
                <w:szCs w:val="16"/>
                <w:lang w:eastAsia="pt-BR"/>
              </w:rPr>
              <w:t>BFI.H033</w:t>
            </w:r>
          </w:p>
        </w:tc>
      </w:tr>
      <w:tr w:rsidR="000643B5" w:rsidRPr="00EA4CDC" w14:paraId="5BC1C5EF"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05EDAA0F"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270 - RECURSOS DA PREVIDÊNCIA</w:t>
            </w:r>
          </w:p>
        </w:tc>
        <w:tc>
          <w:tcPr>
            <w:tcW w:w="993" w:type="dxa"/>
            <w:tcBorders>
              <w:top w:val="nil"/>
              <w:left w:val="nil"/>
              <w:bottom w:val="nil"/>
              <w:right w:val="single" w:sz="8" w:space="0" w:color="auto"/>
            </w:tcBorders>
            <w:shd w:val="clear" w:color="auto" w:fill="auto"/>
            <w:vAlign w:val="center"/>
            <w:hideMark/>
          </w:tcPr>
          <w:p w14:paraId="09A1BD52"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BFI.C533</w:t>
            </w:r>
          </w:p>
        </w:tc>
        <w:tc>
          <w:tcPr>
            <w:tcW w:w="992" w:type="dxa"/>
            <w:tcBorders>
              <w:top w:val="nil"/>
              <w:left w:val="nil"/>
              <w:bottom w:val="nil"/>
              <w:right w:val="single" w:sz="8" w:space="0" w:color="auto"/>
            </w:tcBorders>
            <w:shd w:val="clear" w:color="auto" w:fill="auto"/>
            <w:vAlign w:val="center"/>
            <w:hideMark/>
          </w:tcPr>
          <w:p w14:paraId="1CE8AB4A"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BFI.D533</w:t>
            </w:r>
          </w:p>
        </w:tc>
        <w:tc>
          <w:tcPr>
            <w:tcW w:w="5103" w:type="dxa"/>
            <w:tcBorders>
              <w:top w:val="nil"/>
              <w:left w:val="nil"/>
              <w:bottom w:val="nil"/>
              <w:right w:val="single" w:sz="8" w:space="0" w:color="auto"/>
            </w:tcBorders>
            <w:shd w:val="clear" w:color="auto" w:fill="auto"/>
            <w:noWrap/>
            <w:vAlign w:val="center"/>
            <w:hideMark/>
          </w:tcPr>
          <w:p w14:paraId="24FFE7B6"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270 - RECURSOS DA PREVIDÊNCIA</w:t>
            </w:r>
          </w:p>
        </w:tc>
        <w:tc>
          <w:tcPr>
            <w:tcW w:w="993" w:type="dxa"/>
            <w:tcBorders>
              <w:top w:val="nil"/>
              <w:left w:val="nil"/>
              <w:bottom w:val="nil"/>
              <w:right w:val="single" w:sz="8" w:space="0" w:color="auto"/>
            </w:tcBorders>
            <w:shd w:val="clear" w:color="auto" w:fill="auto"/>
            <w:vAlign w:val="center"/>
            <w:hideMark/>
          </w:tcPr>
          <w:p w14:paraId="086902F1"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BFI.G533</w:t>
            </w:r>
          </w:p>
        </w:tc>
        <w:tc>
          <w:tcPr>
            <w:tcW w:w="992" w:type="dxa"/>
            <w:tcBorders>
              <w:top w:val="nil"/>
              <w:left w:val="nil"/>
              <w:bottom w:val="nil"/>
              <w:right w:val="single" w:sz="8" w:space="0" w:color="auto"/>
            </w:tcBorders>
            <w:shd w:val="clear" w:color="auto" w:fill="auto"/>
            <w:vAlign w:val="center"/>
            <w:hideMark/>
          </w:tcPr>
          <w:p w14:paraId="3FA29884"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BFI.H533</w:t>
            </w:r>
          </w:p>
        </w:tc>
      </w:tr>
      <w:tr w:rsidR="000643B5" w:rsidRPr="00EA4CDC" w14:paraId="6852AF6F"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33D354B1"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670 - SUPERÁVIT FINANCEIRO - RECURSOS DA PREVIDÊNCIA</w:t>
            </w:r>
          </w:p>
        </w:tc>
        <w:tc>
          <w:tcPr>
            <w:tcW w:w="993" w:type="dxa"/>
            <w:tcBorders>
              <w:top w:val="nil"/>
              <w:left w:val="nil"/>
              <w:bottom w:val="nil"/>
              <w:right w:val="single" w:sz="8" w:space="0" w:color="auto"/>
            </w:tcBorders>
            <w:shd w:val="clear" w:color="auto" w:fill="auto"/>
            <w:vAlign w:val="center"/>
            <w:hideMark/>
          </w:tcPr>
          <w:p w14:paraId="4D64CF3C"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BFI.C534</w:t>
            </w:r>
          </w:p>
        </w:tc>
        <w:tc>
          <w:tcPr>
            <w:tcW w:w="992" w:type="dxa"/>
            <w:tcBorders>
              <w:top w:val="nil"/>
              <w:left w:val="nil"/>
              <w:bottom w:val="nil"/>
              <w:right w:val="single" w:sz="8" w:space="0" w:color="auto"/>
            </w:tcBorders>
            <w:shd w:val="clear" w:color="auto" w:fill="auto"/>
            <w:vAlign w:val="center"/>
            <w:hideMark/>
          </w:tcPr>
          <w:p w14:paraId="2F6F0ED5"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BFI.D534</w:t>
            </w:r>
          </w:p>
        </w:tc>
        <w:tc>
          <w:tcPr>
            <w:tcW w:w="5103" w:type="dxa"/>
            <w:tcBorders>
              <w:top w:val="nil"/>
              <w:left w:val="nil"/>
              <w:bottom w:val="nil"/>
              <w:right w:val="single" w:sz="8" w:space="0" w:color="auto"/>
            </w:tcBorders>
            <w:shd w:val="clear" w:color="auto" w:fill="auto"/>
            <w:noWrap/>
            <w:vAlign w:val="center"/>
            <w:hideMark/>
          </w:tcPr>
          <w:p w14:paraId="5298D9A5"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670 - SUPERÁVIT FINANCEIRO - RECURSOS DA PREVIDÊNCIA</w:t>
            </w:r>
          </w:p>
        </w:tc>
        <w:tc>
          <w:tcPr>
            <w:tcW w:w="993" w:type="dxa"/>
            <w:tcBorders>
              <w:top w:val="nil"/>
              <w:left w:val="nil"/>
              <w:bottom w:val="nil"/>
              <w:right w:val="single" w:sz="8" w:space="0" w:color="auto"/>
            </w:tcBorders>
            <w:shd w:val="clear" w:color="auto" w:fill="auto"/>
            <w:vAlign w:val="center"/>
            <w:hideMark/>
          </w:tcPr>
          <w:p w14:paraId="4CE267BB"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BFI.G534</w:t>
            </w:r>
          </w:p>
        </w:tc>
        <w:tc>
          <w:tcPr>
            <w:tcW w:w="992" w:type="dxa"/>
            <w:tcBorders>
              <w:top w:val="nil"/>
              <w:left w:val="nil"/>
              <w:bottom w:val="nil"/>
              <w:right w:val="single" w:sz="8" w:space="0" w:color="auto"/>
            </w:tcBorders>
            <w:shd w:val="clear" w:color="auto" w:fill="auto"/>
            <w:vAlign w:val="center"/>
            <w:hideMark/>
          </w:tcPr>
          <w:p w14:paraId="24B25424"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BFI.H534</w:t>
            </w:r>
          </w:p>
        </w:tc>
      </w:tr>
      <w:tr w:rsidR="00574F78" w:rsidRPr="00574F78" w14:paraId="7F035D41"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tcPr>
          <w:p w14:paraId="1FA18CEC" w14:textId="4B400937" w:rsidR="00574F78" w:rsidRPr="00574F78" w:rsidRDefault="00574F78" w:rsidP="00080E19">
            <w:pPr>
              <w:spacing w:after="0" w:line="240" w:lineRule="auto"/>
              <w:ind w:firstLineChars="200" w:firstLine="320"/>
              <w:rPr>
                <w:rFonts w:ascii="Arial Narrow" w:eastAsia="Times New Roman" w:hAnsi="Arial Narrow" w:cs="Arial"/>
                <w:color w:val="0070C0"/>
                <w:sz w:val="16"/>
                <w:szCs w:val="16"/>
                <w:lang w:eastAsia="pt-BR"/>
              </w:rPr>
            </w:pPr>
            <w:r w:rsidRPr="00574F78">
              <w:rPr>
                <w:rFonts w:ascii="Arial Narrow" w:eastAsia="Times New Roman" w:hAnsi="Arial Narrow" w:cs="Arial"/>
                <w:color w:val="0070C0"/>
                <w:sz w:val="16"/>
                <w:szCs w:val="16"/>
                <w:lang w:eastAsia="pt-BR"/>
              </w:rPr>
              <w:t>676 - SUPERÁVIT FINANCEIRO - FUNDO DE PROTEÇÃO SOCIAL DOS MILITARES (OUTRAS DESTINAÇÕES DE RECURSOS).</w:t>
            </w:r>
          </w:p>
        </w:tc>
        <w:tc>
          <w:tcPr>
            <w:tcW w:w="993" w:type="dxa"/>
            <w:tcBorders>
              <w:top w:val="nil"/>
              <w:left w:val="nil"/>
              <w:bottom w:val="nil"/>
              <w:right w:val="single" w:sz="8" w:space="0" w:color="auto"/>
            </w:tcBorders>
            <w:shd w:val="clear" w:color="auto" w:fill="auto"/>
            <w:vAlign w:val="center"/>
          </w:tcPr>
          <w:p w14:paraId="13A7FD06" w14:textId="6D17DDFB" w:rsidR="00574F78" w:rsidRPr="00574F78" w:rsidRDefault="006027D4" w:rsidP="00080E19">
            <w:pPr>
              <w:spacing w:after="0" w:line="240" w:lineRule="auto"/>
              <w:jc w:val="center"/>
              <w:rPr>
                <w:rFonts w:ascii="Arial Narrow" w:eastAsia="Times New Roman" w:hAnsi="Arial Narrow" w:cs="Arial"/>
                <w:color w:val="0070C0"/>
                <w:sz w:val="16"/>
                <w:szCs w:val="16"/>
                <w:lang w:eastAsia="pt-BR"/>
              </w:rPr>
            </w:pPr>
            <w:r>
              <w:rPr>
                <w:rFonts w:ascii="Arial Narrow" w:eastAsia="Times New Roman" w:hAnsi="Arial Narrow" w:cs="Arial"/>
                <w:color w:val="0070C0"/>
                <w:sz w:val="16"/>
                <w:szCs w:val="16"/>
                <w:lang w:eastAsia="pt-BR"/>
              </w:rPr>
              <w:t>BFI.C606</w:t>
            </w:r>
          </w:p>
        </w:tc>
        <w:tc>
          <w:tcPr>
            <w:tcW w:w="992" w:type="dxa"/>
            <w:tcBorders>
              <w:top w:val="nil"/>
              <w:left w:val="nil"/>
              <w:bottom w:val="nil"/>
              <w:right w:val="single" w:sz="8" w:space="0" w:color="auto"/>
            </w:tcBorders>
            <w:shd w:val="clear" w:color="auto" w:fill="auto"/>
            <w:vAlign w:val="center"/>
          </w:tcPr>
          <w:p w14:paraId="2EA28701" w14:textId="041D601C" w:rsidR="00574F78" w:rsidRPr="00574F78" w:rsidRDefault="006027D4" w:rsidP="00080E19">
            <w:pPr>
              <w:spacing w:after="0" w:line="240" w:lineRule="auto"/>
              <w:jc w:val="center"/>
              <w:rPr>
                <w:rFonts w:ascii="Arial Narrow" w:eastAsia="Times New Roman" w:hAnsi="Arial Narrow" w:cs="Arial"/>
                <w:color w:val="0070C0"/>
                <w:sz w:val="16"/>
                <w:szCs w:val="16"/>
                <w:lang w:eastAsia="pt-BR"/>
              </w:rPr>
            </w:pPr>
            <w:r>
              <w:rPr>
                <w:rFonts w:ascii="Arial Narrow" w:eastAsia="Times New Roman" w:hAnsi="Arial Narrow" w:cs="Arial"/>
                <w:color w:val="0070C0"/>
                <w:sz w:val="16"/>
                <w:szCs w:val="16"/>
                <w:lang w:eastAsia="pt-BR"/>
              </w:rPr>
              <w:t>BFI.D606</w:t>
            </w:r>
          </w:p>
        </w:tc>
        <w:tc>
          <w:tcPr>
            <w:tcW w:w="5103" w:type="dxa"/>
            <w:tcBorders>
              <w:top w:val="nil"/>
              <w:left w:val="nil"/>
              <w:bottom w:val="nil"/>
              <w:right w:val="single" w:sz="8" w:space="0" w:color="auto"/>
            </w:tcBorders>
            <w:shd w:val="clear" w:color="auto" w:fill="auto"/>
            <w:noWrap/>
            <w:vAlign w:val="center"/>
          </w:tcPr>
          <w:p w14:paraId="2C21F134" w14:textId="1189D9A9" w:rsidR="00574F78" w:rsidRPr="00574F78" w:rsidRDefault="00574F78" w:rsidP="00080E19">
            <w:pPr>
              <w:spacing w:after="0" w:line="240" w:lineRule="auto"/>
              <w:ind w:firstLineChars="200" w:firstLine="320"/>
              <w:rPr>
                <w:rFonts w:ascii="Arial Narrow" w:eastAsia="Times New Roman" w:hAnsi="Arial Narrow" w:cs="Arial"/>
                <w:color w:val="0070C0"/>
                <w:sz w:val="16"/>
                <w:szCs w:val="16"/>
                <w:lang w:eastAsia="pt-BR"/>
              </w:rPr>
            </w:pPr>
            <w:r w:rsidRPr="00574F78">
              <w:rPr>
                <w:rFonts w:ascii="Arial Narrow" w:eastAsia="Times New Roman" w:hAnsi="Arial Narrow" w:cs="Arial"/>
                <w:color w:val="0070C0"/>
                <w:sz w:val="16"/>
                <w:szCs w:val="16"/>
                <w:lang w:eastAsia="pt-BR"/>
              </w:rPr>
              <w:t>676 - SUPERÁVIT FINANCEIRO - FUNDO DE PROTEÇÃO SOCIAL DOS MILITARES (OUTRAS DESTINAÇÕES DE RECURSOS).</w:t>
            </w:r>
          </w:p>
        </w:tc>
        <w:tc>
          <w:tcPr>
            <w:tcW w:w="993" w:type="dxa"/>
            <w:tcBorders>
              <w:top w:val="nil"/>
              <w:left w:val="nil"/>
              <w:bottom w:val="nil"/>
              <w:right w:val="single" w:sz="8" w:space="0" w:color="auto"/>
            </w:tcBorders>
            <w:shd w:val="clear" w:color="auto" w:fill="auto"/>
            <w:vAlign w:val="center"/>
          </w:tcPr>
          <w:p w14:paraId="2D2F2871" w14:textId="1A66A785" w:rsidR="00574F78" w:rsidRPr="00574F78" w:rsidRDefault="006027D4" w:rsidP="00080E19">
            <w:pPr>
              <w:spacing w:after="0" w:line="240" w:lineRule="auto"/>
              <w:jc w:val="center"/>
              <w:rPr>
                <w:rFonts w:ascii="Arial Narrow" w:eastAsia="Times New Roman" w:hAnsi="Arial Narrow" w:cs="Arial"/>
                <w:color w:val="0070C0"/>
                <w:sz w:val="16"/>
                <w:szCs w:val="16"/>
                <w:lang w:eastAsia="pt-BR"/>
              </w:rPr>
            </w:pPr>
            <w:r>
              <w:rPr>
                <w:rFonts w:ascii="Arial Narrow" w:eastAsia="Times New Roman" w:hAnsi="Arial Narrow" w:cs="Arial"/>
                <w:color w:val="0070C0"/>
                <w:sz w:val="16"/>
                <w:szCs w:val="16"/>
                <w:lang w:eastAsia="pt-BR"/>
              </w:rPr>
              <w:t>BFI.G606</w:t>
            </w:r>
          </w:p>
        </w:tc>
        <w:tc>
          <w:tcPr>
            <w:tcW w:w="992" w:type="dxa"/>
            <w:tcBorders>
              <w:top w:val="nil"/>
              <w:left w:val="nil"/>
              <w:bottom w:val="nil"/>
              <w:right w:val="single" w:sz="8" w:space="0" w:color="auto"/>
            </w:tcBorders>
            <w:shd w:val="clear" w:color="auto" w:fill="auto"/>
            <w:vAlign w:val="center"/>
          </w:tcPr>
          <w:p w14:paraId="052F34A5" w14:textId="0CEE8EC1" w:rsidR="00574F78" w:rsidRPr="00574F78" w:rsidRDefault="006027D4" w:rsidP="00080E19">
            <w:pPr>
              <w:spacing w:after="0" w:line="240" w:lineRule="auto"/>
              <w:jc w:val="center"/>
              <w:rPr>
                <w:rFonts w:ascii="Arial Narrow" w:eastAsia="Times New Roman" w:hAnsi="Arial Narrow" w:cs="Arial"/>
                <w:color w:val="0070C0"/>
                <w:sz w:val="16"/>
                <w:szCs w:val="16"/>
                <w:lang w:eastAsia="pt-BR"/>
              </w:rPr>
            </w:pPr>
            <w:r>
              <w:rPr>
                <w:rFonts w:ascii="Arial Narrow" w:eastAsia="Times New Roman" w:hAnsi="Arial Narrow" w:cs="Arial"/>
                <w:color w:val="0070C0"/>
                <w:sz w:val="16"/>
                <w:szCs w:val="16"/>
                <w:lang w:eastAsia="pt-BR"/>
              </w:rPr>
              <w:t>BFI.</w:t>
            </w:r>
            <w:r w:rsidR="00262C6E">
              <w:rPr>
                <w:rFonts w:ascii="Arial Narrow" w:eastAsia="Times New Roman" w:hAnsi="Arial Narrow" w:cs="Arial"/>
                <w:color w:val="0070C0"/>
                <w:sz w:val="16"/>
                <w:szCs w:val="16"/>
                <w:lang w:eastAsia="pt-BR"/>
              </w:rPr>
              <w:t>H</w:t>
            </w:r>
            <w:r>
              <w:rPr>
                <w:rFonts w:ascii="Arial Narrow" w:eastAsia="Times New Roman" w:hAnsi="Arial Narrow" w:cs="Arial"/>
                <w:color w:val="0070C0"/>
                <w:sz w:val="16"/>
                <w:szCs w:val="16"/>
                <w:lang w:eastAsia="pt-BR"/>
              </w:rPr>
              <w:t>606</w:t>
            </w:r>
          </w:p>
        </w:tc>
      </w:tr>
      <w:tr w:rsidR="000643B5" w:rsidRPr="00EA4CDC" w14:paraId="4F750FAD"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472124AB" w14:textId="77777777" w:rsidR="000643B5" w:rsidRPr="00EA4CDC" w:rsidRDefault="000643B5" w:rsidP="00080E19">
            <w:pPr>
              <w:spacing w:after="0" w:line="240" w:lineRule="auto"/>
              <w:ind w:firstLineChars="100" w:firstLine="161"/>
              <w:rPr>
                <w:rFonts w:ascii="Arial Narrow" w:eastAsia="Times New Roman" w:hAnsi="Arial Narrow" w:cs="Arial"/>
                <w:b/>
                <w:bCs/>
                <w:sz w:val="16"/>
                <w:szCs w:val="16"/>
                <w:lang w:eastAsia="pt-BR"/>
              </w:rPr>
            </w:pPr>
            <w:r w:rsidRPr="00EA4CDC">
              <w:rPr>
                <w:rFonts w:ascii="Arial Narrow" w:eastAsia="Times New Roman" w:hAnsi="Arial Narrow" w:cs="Arial"/>
                <w:b/>
                <w:bCs/>
                <w:sz w:val="16"/>
                <w:szCs w:val="16"/>
                <w:lang w:eastAsia="pt-BR"/>
              </w:rPr>
              <w:t xml:space="preserve">  Recursos Vinculados à Seguridade Social</w:t>
            </w:r>
          </w:p>
        </w:tc>
        <w:tc>
          <w:tcPr>
            <w:tcW w:w="993" w:type="dxa"/>
            <w:tcBorders>
              <w:top w:val="nil"/>
              <w:left w:val="nil"/>
              <w:bottom w:val="nil"/>
              <w:right w:val="single" w:sz="8" w:space="0" w:color="auto"/>
            </w:tcBorders>
            <w:shd w:val="clear" w:color="auto" w:fill="auto"/>
            <w:vAlign w:val="center"/>
            <w:hideMark/>
          </w:tcPr>
          <w:p w14:paraId="5D888AD0" w14:textId="77777777" w:rsidR="000643B5" w:rsidRPr="00EA4CDC" w:rsidRDefault="000643B5" w:rsidP="00080E19">
            <w:pPr>
              <w:spacing w:after="0" w:line="240" w:lineRule="auto"/>
              <w:jc w:val="center"/>
              <w:rPr>
                <w:rFonts w:ascii="Arial Narrow" w:eastAsia="Times New Roman" w:hAnsi="Arial Narrow" w:cs="Arial"/>
                <w:b/>
                <w:bCs/>
                <w:sz w:val="16"/>
                <w:szCs w:val="16"/>
                <w:lang w:eastAsia="pt-BR"/>
              </w:rPr>
            </w:pPr>
            <w:r w:rsidRPr="00EA4CDC">
              <w:rPr>
                <w:rFonts w:ascii="Arial Narrow" w:eastAsia="Times New Roman" w:hAnsi="Arial Narrow" w:cs="Arial"/>
                <w:b/>
                <w:bCs/>
                <w:sz w:val="16"/>
                <w:szCs w:val="16"/>
                <w:lang w:eastAsia="pt-BR"/>
              </w:rPr>
              <w:t>BFI.C039</w:t>
            </w:r>
          </w:p>
        </w:tc>
        <w:tc>
          <w:tcPr>
            <w:tcW w:w="992" w:type="dxa"/>
            <w:tcBorders>
              <w:top w:val="nil"/>
              <w:left w:val="nil"/>
              <w:bottom w:val="nil"/>
              <w:right w:val="single" w:sz="8" w:space="0" w:color="auto"/>
            </w:tcBorders>
            <w:shd w:val="clear" w:color="auto" w:fill="auto"/>
            <w:vAlign w:val="center"/>
            <w:hideMark/>
          </w:tcPr>
          <w:p w14:paraId="5A422D78" w14:textId="77777777" w:rsidR="000643B5" w:rsidRPr="00EA4CDC" w:rsidRDefault="000643B5" w:rsidP="00080E19">
            <w:pPr>
              <w:spacing w:after="0" w:line="240" w:lineRule="auto"/>
              <w:jc w:val="center"/>
              <w:rPr>
                <w:rFonts w:ascii="Arial Narrow" w:eastAsia="Times New Roman" w:hAnsi="Arial Narrow" w:cs="Arial"/>
                <w:b/>
                <w:bCs/>
                <w:sz w:val="16"/>
                <w:szCs w:val="16"/>
                <w:lang w:eastAsia="pt-BR"/>
              </w:rPr>
            </w:pPr>
            <w:r w:rsidRPr="00EA4CDC">
              <w:rPr>
                <w:rFonts w:ascii="Arial Narrow" w:eastAsia="Times New Roman" w:hAnsi="Arial Narrow" w:cs="Arial"/>
                <w:b/>
                <w:bCs/>
                <w:sz w:val="16"/>
                <w:szCs w:val="16"/>
                <w:lang w:eastAsia="pt-BR"/>
              </w:rPr>
              <w:t>BFI.D039</w:t>
            </w:r>
          </w:p>
        </w:tc>
        <w:tc>
          <w:tcPr>
            <w:tcW w:w="5103" w:type="dxa"/>
            <w:tcBorders>
              <w:top w:val="nil"/>
              <w:left w:val="nil"/>
              <w:bottom w:val="nil"/>
              <w:right w:val="single" w:sz="8" w:space="0" w:color="auto"/>
            </w:tcBorders>
            <w:shd w:val="clear" w:color="auto" w:fill="auto"/>
            <w:noWrap/>
            <w:vAlign w:val="center"/>
            <w:hideMark/>
          </w:tcPr>
          <w:p w14:paraId="37D7419E" w14:textId="77777777" w:rsidR="000643B5" w:rsidRPr="00EA4CDC" w:rsidRDefault="000643B5" w:rsidP="00080E19">
            <w:pPr>
              <w:spacing w:after="0" w:line="240" w:lineRule="auto"/>
              <w:ind w:firstLineChars="100" w:firstLine="161"/>
              <w:rPr>
                <w:rFonts w:ascii="Arial Narrow" w:eastAsia="Times New Roman" w:hAnsi="Arial Narrow" w:cs="Arial"/>
                <w:b/>
                <w:bCs/>
                <w:sz w:val="16"/>
                <w:szCs w:val="16"/>
                <w:lang w:eastAsia="pt-BR"/>
              </w:rPr>
            </w:pPr>
            <w:r w:rsidRPr="00EA4CDC">
              <w:rPr>
                <w:rFonts w:ascii="Arial Narrow" w:eastAsia="Times New Roman" w:hAnsi="Arial Narrow" w:cs="Arial"/>
                <w:b/>
                <w:bCs/>
                <w:sz w:val="16"/>
                <w:szCs w:val="16"/>
                <w:lang w:eastAsia="pt-BR"/>
              </w:rPr>
              <w:t xml:space="preserve">  Recursos Destinado à Seguridade Social</w:t>
            </w:r>
          </w:p>
        </w:tc>
        <w:tc>
          <w:tcPr>
            <w:tcW w:w="993" w:type="dxa"/>
            <w:tcBorders>
              <w:top w:val="nil"/>
              <w:left w:val="nil"/>
              <w:bottom w:val="nil"/>
              <w:right w:val="single" w:sz="8" w:space="0" w:color="auto"/>
            </w:tcBorders>
            <w:shd w:val="clear" w:color="auto" w:fill="auto"/>
            <w:vAlign w:val="center"/>
            <w:hideMark/>
          </w:tcPr>
          <w:p w14:paraId="57FD08E3" w14:textId="77777777" w:rsidR="000643B5" w:rsidRPr="00EA4CDC" w:rsidRDefault="000643B5" w:rsidP="00080E19">
            <w:pPr>
              <w:spacing w:after="0" w:line="240" w:lineRule="auto"/>
              <w:jc w:val="center"/>
              <w:rPr>
                <w:rFonts w:ascii="Arial Narrow" w:eastAsia="Times New Roman" w:hAnsi="Arial Narrow" w:cs="Arial"/>
                <w:b/>
                <w:bCs/>
                <w:sz w:val="16"/>
                <w:szCs w:val="16"/>
                <w:lang w:eastAsia="pt-BR"/>
              </w:rPr>
            </w:pPr>
            <w:r w:rsidRPr="00EA4CDC">
              <w:rPr>
                <w:rFonts w:ascii="Arial Narrow" w:eastAsia="Times New Roman" w:hAnsi="Arial Narrow" w:cs="Arial"/>
                <w:b/>
                <w:bCs/>
                <w:sz w:val="16"/>
                <w:szCs w:val="16"/>
                <w:lang w:eastAsia="pt-BR"/>
              </w:rPr>
              <w:t>BFI.G039</w:t>
            </w:r>
          </w:p>
        </w:tc>
        <w:tc>
          <w:tcPr>
            <w:tcW w:w="992" w:type="dxa"/>
            <w:tcBorders>
              <w:top w:val="nil"/>
              <w:left w:val="nil"/>
              <w:bottom w:val="nil"/>
              <w:right w:val="single" w:sz="8" w:space="0" w:color="auto"/>
            </w:tcBorders>
            <w:shd w:val="clear" w:color="auto" w:fill="auto"/>
            <w:vAlign w:val="center"/>
            <w:hideMark/>
          </w:tcPr>
          <w:p w14:paraId="214AD90A" w14:textId="77777777" w:rsidR="000643B5" w:rsidRPr="00EA4CDC" w:rsidRDefault="000643B5" w:rsidP="00080E19">
            <w:pPr>
              <w:spacing w:after="0" w:line="240" w:lineRule="auto"/>
              <w:jc w:val="center"/>
              <w:rPr>
                <w:rFonts w:ascii="Arial Narrow" w:eastAsia="Times New Roman" w:hAnsi="Arial Narrow" w:cs="Arial"/>
                <w:b/>
                <w:bCs/>
                <w:sz w:val="16"/>
                <w:szCs w:val="16"/>
                <w:lang w:eastAsia="pt-BR"/>
              </w:rPr>
            </w:pPr>
            <w:r w:rsidRPr="00EA4CDC">
              <w:rPr>
                <w:rFonts w:ascii="Arial Narrow" w:eastAsia="Times New Roman" w:hAnsi="Arial Narrow" w:cs="Arial"/>
                <w:b/>
                <w:bCs/>
                <w:sz w:val="16"/>
                <w:szCs w:val="16"/>
                <w:lang w:eastAsia="pt-BR"/>
              </w:rPr>
              <w:t>BFI.H039</w:t>
            </w:r>
          </w:p>
        </w:tc>
      </w:tr>
      <w:tr w:rsidR="000643B5" w:rsidRPr="00EA4CDC" w14:paraId="2339B4F0"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58E73EC8"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lastRenderedPageBreak/>
              <w:t>130 - PROGRAMA FEDERATIVO DE ENFRENTAMENTO AO COVID-19 VINCULADO ÀS AÇÕES DE SAÚDE E ASSISTÊNCIA SOCIAL – LC 173/20</w:t>
            </w:r>
          </w:p>
        </w:tc>
        <w:tc>
          <w:tcPr>
            <w:tcW w:w="993" w:type="dxa"/>
            <w:tcBorders>
              <w:top w:val="nil"/>
              <w:left w:val="nil"/>
              <w:bottom w:val="nil"/>
              <w:right w:val="single" w:sz="8" w:space="0" w:color="auto"/>
            </w:tcBorders>
            <w:shd w:val="clear" w:color="auto" w:fill="auto"/>
            <w:vAlign w:val="center"/>
            <w:hideMark/>
          </w:tcPr>
          <w:p w14:paraId="3A605DD1"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BFI.C601</w:t>
            </w:r>
          </w:p>
        </w:tc>
        <w:tc>
          <w:tcPr>
            <w:tcW w:w="992" w:type="dxa"/>
            <w:tcBorders>
              <w:top w:val="nil"/>
              <w:left w:val="nil"/>
              <w:bottom w:val="nil"/>
              <w:right w:val="single" w:sz="8" w:space="0" w:color="auto"/>
            </w:tcBorders>
            <w:shd w:val="clear" w:color="auto" w:fill="auto"/>
            <w:vAlign w:val="center"/>
            <w:hideMark/>
          </w:tcPr>
          <w:p w14:paraId="1DFBE8A1"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BFI.D601</w:t>
            </w:r>
          </w:p>
        </w:tc>
        <w:tc>
          <w:tcPr>
            <w:tcW w:w="5103" w:type="dxa"/>
            <w:tcBorders>
              <w:top w:val="nil"/>
              <w:left w:val="nil"/>
              <w:bottom w:val="nil"/>
              <w:right w:val="single" w:sz="8" w:space="0" w:color="auto"/>
            </w:tcBorders>
            <w:shd w:val="clear" w:color="auto" w:fill="auto"/>
            <w:noWrap/>
            <w:vAlign w:val="center"/>
            <w:hideMark/>
          </w:tcPr>
          <w:p w14:paraId="641829D3"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130 - PROGRAMA FEDERATIVO DE ENFRENTAMENTO AO COVID-19 VINCULADO ÀS AÇÕES DE SAÚDE E ASSISTÊNCIA SOCIAL – LC 173/20</w:t>
            </w:r>
          </w:p>
        </w:tc>
        <w:tc>
          <w:tcPr>
            <w:tcW w:w="993" w:type="dxa"/>
            <w:tcBorders>
              <w:top w:val="nil"/>
              <w:left w:val="nil"/>
              <w:bottom w:val="nil"/>
              <w:right w:val="single" w:sz="8" w:space="0" w:color="auto"/>
            </w:tcBorders>
            <w:shd w:val="clear" w:color="auto" w:fill="auto"/>
            <w:vAlign w:val="center"/>
            <w:hideMark/>
          </w:tcPr>
          <w:p w14:paraId="0E096C7B"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BFI.G601</w:t>
            </w:r>
          </w:p>
        </w:tc>
        <w:tc>
          <w:tcPr>
            <w:tcW w:w="992" w:type="dxa"/>
            <w:tcBorders>
              <w:top w:val="nil"/>
              <w:left w:val="nil"/>
              <w:bottom w:val="nil"/>
              <w:right w:val="single" w:sz="8" w:space="0" w:color="auto"/>
            </w:tcBorders>
            <w:shd w:val="clear" w:color="auto" w:fill="auto"/>
            <w:vAlign w:val="center"/>
            <w:hideMark/>
          </w:tcPr>
          <w:p w14:paraId="1A936295"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BFI.H601</w:t>
            </w:r>
          </w:p>
        </w:tc>
      </w:tr>
      <w:tr w:rsidR="000643B5" w:rsidRPr="00EA4CDC" w14:paraId="537661A6"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77DF279C" w14:textId="77777777" w:rsidR="000643B5" w:rsidRPr="00EA4CDC" w:rsidRDefault="000643B5" w:rsidP="00080E19">
            <w:pPr>
              <w:spacing w:after="0" w:line="240" w:lineRule="auto"/>
              <w:ind w:firstLineChars="100" w:firstLine="161"/>
              <w:rPr>
                <w:rFonts w:ascii="Arial Narrow" w:eastAsia="Times New Roman" w:hAnsi="Arial Narrow" w:cs="Arial"/>
                <w:b/>
                <w:bCs/>
                <w:sz w:val="16"/>
                <w:szCs w:val="16"/>
                <w:lang w:eastAsia="pt-BR"/>
              </w:rPr>
            </w:pPr>
            <w:r w:rsidRPr="00EA4CDC">
              <w:rPr>
                <w:rFonts w:ascii="Arial Narrow" w:eastAsia="Times New Roman" w:hAnsi="Arial Narrow" w:cs="Arial"/>
                <w:b/>
                <w:bCs/>
                <w:sz w:val="16"/>
                <w:szCs w:val="16"/>
                <w:lang w:eastAsia="pt-BR"/>
              </w:rPr>
              <w:t xml:space="preserve"> Outras Destinações de Recursos</w:t>
            </w:r>
          </w:p>
        </w:tc>
        <w:tc>
          <w:tcPr>
            <w:tcW w:w="993" w:type="dxa"/>
            <w:tcBorders>
              <w:top w:val="nil"/>
              <w:left w:val="nil"/>
              <w:bottom w:val="nil"/>
              <w:right w:val="single" w:sz="8" w:space="0" w:color="auto"/>
            </w:tcBorders>
            <w:shd w:val="clear" w:color="auto" w:fill="auto"/>
            <w:vAlign w:val="center"/>
            <w:hideMark/>
          </w:tcPr>
          <w:p w14:paraId="46FF965D" w14:textId="77777777" w:rsidR="000643B5" w:rsidRPr="00EA4CDC" w:rsidRDefault="000643B5" w:rsidP="00080E19">
            <w:pPr>
              <w:spacing w:after="0" w:line="240" w:lineRule="auto"/>
              <w:jc w:val="center"/>
              <w:rPr>
                <w:rFonts w:ascii="Arial Narrow" w:eastAsia="Times New Roman" w:hAnsi="Arial Narrow" w:cs="Arial"/>
                <w:b/>
                <w:bCs/>
                <w:sz w:val="16"/>
                <w:szCs w:val="16"/>
                <w:lang w:eastAsia="pt-BR"/>
              </w:rPr>
            </w:pPr>
            <w:r w:rsidRPr="00EA4CDC">
              <w:rPr>
                <w:rFonts w:ascii="Arial Narrow" w:eastAsia="Times New Roman" w:hAnsi="Arial Narrow" w:cs="Arial"/>
                <w:b/>
                <w:bCs/>
                <w:sz w:val="16"/>
                <w:szCs w:val="16"/>
                <w:lang w:eastAsia="pt-BR"/>
              </w:rPr>
              <w:t>BFI.C043</w:t>
            </w:r>
          </w:p>
        </w:tc>
        <w:tc>
          <w:tcPr>
            <w:tcW w:w="992" w:type="dxa"/>
            <w:tcBorders>
              <w:top w:val="nil"/>
              <w:left w:val="nil"/>
              <w:bottom w:val="nil"/>
              <w:right w:val="single" w:sz="8" w:space="0" w:color="auto"/>
            </w:tcBorders>
            <w:shd w:val="clear" w:color="auto" w:fill="auto"/>
            <w:vAlign w:val="center"/>
            <w:hideMark/>
          </w:tcPr>
          <w:p w14:paraId="56385004" w14:textId="77777777" w:rsidR="000643B5" w:rsidRPr="00EA4CDC" w:rsidRDefault="000643B5" w:rsidP="00080E19">
            <w:pPr>
              <w:spacing w:after="0" w:line="240" w:lineRule="auto"/>
              <w:jc w:val="center"/>
              <w:rPr>
                <w:rFonts w:ascii="Arial Narrow" w:eastAsia="Times New Roman" w:hAnsi="Arial Narrow" w:cs="Arial"/>
                <w:b/>
                <w:bCs/>
                <w:sz w:val="16"/>
                <w:szCs w:val="16"/>
                <w:lang w:eastAsia="pt-BR"/>
              </w:rPr>
            </w:pPr>
            <w:r w:rsidRPr="00EA4CDC">
              <w:rPr>
                <w:rFonts w:ascii="Arial Narrow" w:eastAsia="Times New Roman" w:hAnsi="Arial Narrow" w:cs="Arial"/>
                <w:b/>
                <w:bCs/>
                <w:sz w:val="16"/>
                <w:szCs w:val="16"/>
                <w:lang w:eastAsia="pt-BR"/>
              </w:rPr>
              <w:t>BFI.D043</w:t>
            </w:r>
          </w:p>
        </w:tc>
        <w:tc>
          <w:tcPr>
            <w:tcW w:w="5103" w:type="dxa"/>
            <w:tcBorders>
              <w:top w:val="nil"/>
              <w:left w:val="nil"/>
              <w:bottom w:val="nil"/>
              <w:right w:val="single" w:sz="8" w:space="0" w:color="auto"/>
            </w:tcBorders>
            <w:shd w:val="clear" w:color="auto" w:fill="auto"/>
            <w:noWrap/>
            <w:vAlign w:val="center"/>
            <w:hideMark/>
          </w:tcPr>
          <w:p w14:paraId="49628850" w14:textId="77777777" w:rsidR="000643B5" w:rsidRPr="00EA4CDC" w:rsidRDefault="000643B5" w:rsidP="00080E19">
            <w:pPr>
              <w:spacing w:after="0" w:line="240" w:lineRule="auto"/>
              <w:ind w:firstLineChars="100" w:firstLine="161"/>
              <w:rPr>
                <w:rFonts w:ascii="Arial Narrow" w:eastAsia="Times New Roman" w:hAnsi="Arial Narrow" w:cs="Arial"/>
                <w:b/>
                <w:bCs/>
                <w:sz w:val="16"/>
                <w:szCs w:val="16"/>
                <w:lang w:eastAsia="pt-BR"/>
              </w:rPr>
            </w:pPr>
            <w:r w:rsidRPr="00EA4CDC">
              <w:rPr>
                <w:rFonts w:ascii="Arial Narrow" w:eastAsia="Times New Roman" w:hAnsi="Arial Narrow" w:cs="Arial"/>
                <w:b/>
                <w:bCs/>
                <w:sz w:val="16"/>
                <w:szCs w:val="16"/>
                <w:lang w:eastAsia="pt-BR"/>
              </w:rPr>
              <w:t xml:space="preserve"> Outras Destinações de Recursos</w:t>
            </w:r>
          </w:p>
        </w:tc>
        <w:tc>
          <w:tcPr>
            <w:tcW w:w="993" w:type="dxa"/>
            <w:tcBorders>
              <w:top w:val="nil"/>
              <w:left w:val="nil"/>
              <w:bottom w:val="nil"/>
              <w:right w:val="single" w:sz="8" w:space="0" w:color="auto"/>
            </w:tcBorders>
            <w:shd w:val="clear" w:color="auto" w:fill="auto"/>
            <w:vAlign w:val="center"/>
            <w:hideMark/>
          </w:tcPr>
          <w:p w14:paraId="64143D40" w14:textId="77777777" w:rsidR="000643B5" w:rsidRPr="00EA4CDC" w:rsidRDefault="000643B5" w:rsidP="00080E19">
            <w:pPr>
              <w:spacing w:after="0" w:line="240" w:lineRule="auto"/>
              <w:jc w:val="center"/>
              <w:rPr>
                <w:rFonts w:ascii="Arial Narrow" w:eastAsia="Times New Roman" w:hAnsi="Arial Narrow" w:cs="Arial"/>
                <w:b/>
                <w:bCs/>
                <w:sz w:val="16"/>
                <w:szCs w:val="16"/>
                <w:lang w:eastAsia="pt-BR"/>
              </w:rPr>
            </w:pPr>
            <w:r w:rsidRPr="00EA4CDC">
              <w:rPr>
                <w:rFonts w:ascii="Arial Narrow" w:eastAsia="Times New Roman" w:hAnsi="Arial Narrow" w:cs="Arial"/>
                <w:b/>
                <w:bCs/>
                <w:sz w:val="16"/>
                <w:szCs w:val="16"/>
                <w:lang w:eastAsia="pt-BR"/>
              </w:rPr>
              <w:t>BFI.G043</w:t>
            </w:r>
          </w:p>
        </w:tc>
        <w:tc>
          <w:tcPr>
            <w:tcW w:w="992" w:type="dxa"/>
            <w:tcBorders>
              <w:top w:val="nil"/>
              <w:left w:val="nil"/>
              <w:bottom w:val="nil"/>
              <w:right w:val="single" w:sz="8" w:space="0" w:color="auto"/>
            </w:tcBorders>
            <w:shd w:val="clear" w:color="auto" w:fill="auto"/>
            <w:vAlign w:val="center"/>
            <w:hideMark/>
          </w:tcPr>
          <w:p w14:paraId="777EB86F" w14:textId="77777777" w:rsidR="000643B5" w:rsidRPr="00EA4CDC" w:rsidRDefault="000643B5" w:rsidP="00080E19">
            <w:pPr>
              <w:spacing w:after="0" w:line="240" w:lineRule="auto"/>
              <w:jc w:val="center"/>
              <w:rPr>
                <w:rFonts w:ascii="Arial Narrow" w:eastAsia="Times New Roman" w:hAnsi="Arial Narrow" w:cs="Arial"/>
                <w:b/>
                <w:bCs/>
                <w:sz w:val="16"/>
                <w:szCs w:val="16"/>
                <w:lang w:eastAsia="pt-BR"/>
              </w:rPr>
            </w:pPr>
            <w:r w:rsidRPr="00EA4CDC">
              <w:rPr>
                <w:rFonts w:ascii="Arial Narrow" w:eastAsia="Times New Roman" w:hAnsi="Arial Narrow" w:cs="Arial"/>
                <w:b/>
                <w:bCs/>
                <w:sz w:val="16"/>
                <w:szCs w:val="16"/>
                <w:lang w:eastAsia="pt-BR"/>
              </w:rPr>
              <w:t>BFI.H043</w:t>
            </w:r>
          </w:p>
        </w:tc>
      </w:tr>
      <w:tr w:rsidR="000643B5" w:rsidRPr="00EA4CDC" w14:paraId="3186E3AF"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7F8D09B9"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000 - CAUÇÕES E VALORES RESTITUÍVEIS</w:t>
            </w:r>
          </w:p>
        </w:tc>
        <w:tc>
          <w:tcPr>
            <w:tcW w:w="993" w:type="dxa"/>
            <w:tcBorders>
              <w:top w:val="nil"/>
              <w:left w:val="nil"/>
              <w:bottom w:val="nil"/>
              <w:right w:val="single" w:sz="8" w:space="0" w:color="auto"/>
            </w:tcBorders>
            <w:shd w:val="clear" w:color="auto" w:fill="auto"/>
            <w:vAlign w:val="center"/>
            <w:hideMark/>
          </w:tcPr>
          <w:p w14:paraId="60BAF80A"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BFI.C535</w:t>
            </w:r>
          </w:p>
        </w:tc>
        <w:tc>
          <w:tcPr>
            <w:tcW w:w="992" w:type="dxa"/>
            <w:tcBorders>
              <w:top w:val="nil"/>
              <w:left w:val="nil"/>
              <w:bottom w:val="nil"/>
              <w:right w:val="single" w:sz="8" w:space="0" w:color="auto"/>
            </w:tcBorders>
            <w:shd w:val="clear" w:color="auto" w:fill="auto"/>
            <w:vAlign w:val="center"/>
            <w:hideMark/>
          </w:tcPr>
          <w:p w14:paraId="7FCA7EF5"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BFI.D535</w:t>
            </w:r>
          </w:p>
        </w:tc>
        <w:tc>
          <w:tcPr>
            <w:tcW w:w="5103" w:type="dxa"/>
            <w:tcBorders>
              <w:top w:val="nil"/>
              <w:left w:val="nil"/>
              <w:bottom w:val="nil"/>
              <w:right w:val="single" w:sz="8" w:space="0" w:color="auto"/>
            </w:tcBorders>
            <w:shd w:val="clear" w:color="auto" w:fill="auto"/>
            <w:noWrap/>
            <w:vAlign w:val="center"/>
            <w:hideMark/>
          </w:tcPr>
          <w:p w14:paraId="1675695A"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000 - CAUÇÕES E VALORES RESTITUÍVEIS</w:t>
            </w:r>
          </w:p>
        </w:tc>
        <w:tc>
          <w:tcPr>
            <w:tcW w:w="993" w:type="dxa"/>
            <w:tcBorders>
              <w:top w:val="nil"/>
              <w:left w:val="nil"/>
              <w:bottom w:val="nil"/>
              <w:right w:val="single" w:sz="8" w:space="0" w:color="auto"/>
            </w:tcBorders>
            <w:shd w:val="clear" w:color="auto" w:fill="auto"/>
            <w:vAlign w:val="center"/>
            <w:hideMark/>
          </w:tcPr>
          <w:p w14:paraId="31576E59"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BFI.G535</w:t>
            </w:r>
          </w:p>
        </w:tc>
        <w:tc>
          <w:tcPr>
            <w:tcW w:w="992" w:type="dxa"/>
            <w:tcBorders>
              <w:top w:val="nil"/>
              <w:left w:val="nil"/>
              <w:bottom w:val="nil"/>
              <w:right w:val="single" w:sz="8" w:space="0" w:color="auto"/>
            </w:tcBorders>
            <w:shd w:val="clear" w:color="auto" w:fill="auto"/>
            <w:vAlign w:val="center"/>
            <w:hideMark/>
          </w:tcPr>
          <w:p w14:paraId="02311F35"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BFI.H535</w:t>
            </w:r>
          </w:p>
        </w:tc>
      </w:tr>
      <w:tr w:rsidR="000643B5" w:rsidRPr="00EA4CDC" w14:paraId="5957A753"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1ED98998"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107 - ROYALTIES, PARTICIPAÇÃO ESPECIAL E FUNDO ESPECIAL DO PETRÓLEO</w:t>
            </w:r>
          </w:p>
        </w:tc>
        <w:tc>
          <w:tcPr>
            <w:tcW w:w="993" w:type="dxa"/>
            <w:tcBorders>
              <w:top w:val="nil"/>
              <w:left w:val="nil"/>
              <w:bottom w:val="nil"/>
              <w:right w:val="single" w:sz="8" w:space="0" w:color="auto"/>
            </w:tcBorders>
            <w:shd w:val="clear" w:color="auto" w:fill="auto"/>
            <w:vAlign w:val="center"/>
            <w:hideMark/>
          </w:tcPr>
          <w:p w14:paraId="1A804E9C"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BFI.C594</w:t>
            </w:r>
          </w:p>
        </w:tc>
        <w:tc>
          <w:tcPr>
            <w:tcW w:w="992" w:type="dxa"/>
            <w:tcBorders>
              <w:top w:val="nil"/>
              <w:left w:val="nil"/>
              <w:bottom w:val="nil"/>
              <w:right w:val="single" w:sz="8" w:space="0" w:color="auto"/>
            </w:tcBorders>
            <w:shd w:val="clear" w:color="auto" w:fill="auto"/>
            <w:vAlign w:val="center"/>
            <w:hideMark/>
          </w:tcPr>
          <w:p w14:paraId="4754679A"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BFI.D594</w:t>
            </w:r>
          </w:p>
        </w:tc>
        <w:tc>
          <w:tcPr>
            <w:tcW w:w="5103" w:type="dxa"/>
            <w:tcBorders>
              <w:top w:val="nil"/>
              <w:left w:val="nil"/>
              <w:bottom w:val="nil"/>
              <w:right w:val="single" w:sz="8" w:space="0" w:color="auto"/>
            </w:tcBorders>
            <w:shd w:val="clear" w:color="auto" w:fill="auto"/>
            <w:noWrap/>
            <w:vAlign w:val="center"/>
            <w:hideMark/>
          </w:tcPr>
          <w:p w14:paraId="0C1749E1"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107 - ROYALTIES, PARTICIPAÇÃO ESPECIAL E FUNDO ESPECIAL DO PETRÓLEO</w:t>
            </w:r>
          </w:p>
        </w:tc>
        <w:tc>
          <w:tcPr>
            <w:tcW w:w="993" w:type="dxa"/>
            <w:tcBorders>
              <w:top w:val="nil"/>
              <w:left w:val="nil"/>
              <w:bottom w:val="nil"/>
              <w:right w:val="single" w:sz="8" w:space="0" w:color="auto"/>
            </w:tcBorders>
            <w:shd w:val="clear" w:color="auto" w:fill="auto"/>
            <w:vAlign w:val="center"/>
            <w:hideMark/>
          </w:tcPr>
          <w:p w14:paraId="7479E26D"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BFI.G594</w:t>
            </w:r>
          </w:p>
        </w:tc>
        <w:tc>
          <w:tcPr>
            <w:tcW w:w="992" w:type="dxa"/>
            <w:tcBorders>
              <w:top w:val="nil"/>
              <w:left w:val="nil"/>
              <w:bottom w:val="nil"/>
              <w:right w:val="single" w:sz="8" w:space="0" w:color="auto"/>
            </w:tcBorders>
            <w:shd w:val="clear" w:color="auto" w:fill="auto"/>
            <w:vAlign w:val="center"/>
            <w:hideMark/>
          </w:tcPr>
          <w:p w14:paraId="02F05774"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BFI.H594</w:t>
            </w:r>
          </w:p>
        </w:tc>
      </w:tr>
      <w:tr w:rsidR="000643B5" w:rsidRPr="00EA4CDC" w14:paraId="2E39B9F6"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12BAFF1D"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108 - DISTRIBUIÇÃO DA CESSÃO ONEROSA DO BÔNUS DE ASSINATURA DO PRÉ-SAL - LEI Nº 13.885/2019</w:t>
            </w:r>
          </w:p>
        </w:tc>
        <w:tc>
          <w:tcPr>
            <w:tcW w:w="993" w:type="dxa"/>
            <w:tcBorders>
              <w:top w:val="nil"/>
              <w:left w:val="nil"/>
              <w:bottom w:val="nil"/>
              <w:right w:val="single" w:sz="8" w:space="0" w:color="auto"/>
            </w:tcBorders>
            <w:shd w:val="clear" w:color="auto" w:fill="auto"/>
            <w:vAlign w:val="center"/>
            <w:hideMark/>
          </w:tcPr>
          <w:p w14:paraId="2AD9AB7E"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BFI.C595</w:t>
            </w:r>
          </w:p>
        </w:tc>
        <w:tc>
          <w:tcPr>
            <w:tcW w:w="992" w:type="dxa"/>
            <w:tcBorders>
              <w:top w:val="nil"/>
              <w:left w:val="nil"/>
              <w:bottom w:val="nil"/>
              <w:right w:val="single" w:sz="8" w:space="0" w:color="auto"/>
            </w:tcBorders>
            <w:shd w:val="clear" w:color="auto" w:fill="auto"/>
            <w:vAlign w:val="center"/>
            <w:hideMark/>
          </w:tcPr>
          <w:p w14:paraId="7B94BDD6"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BFI.D595</w:t>
            </w:r>
          </w:p>
        </w:tc>
        <w:tc>
          <w:tcPr>
            <w:tcW w:w="5103" w:type="dxa"/>
            <w:tcBorders>
              <w:top w:val="nil"/>
              <w:left w:val="nil"/>
              <w:bottom w:val="nil"/>
              <w:right w:val="single" w:sz="8" w:space="0" w:color="auto"/>
            </w:tcBorders>
            <w:shd w:val="clear" w:color="auto" w:fill="auto"/>
            <w:noWrap/>
            <w:vAlign w:val="center"/>
            <w:hideMark/>
          </w:tcPr>
          <w:p w14:paraId="1443BC5F"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108 - DISTRIBUIÇÃO DA CESSÃO ONEROSA DO BÔNUS DE ASSINATURA DO PRÉ-SAL - LEI Nº 13.885/2019</w:t>
            </w:r>
          </w:p>
        </w:tc>
        <w:tc>
          <w:tcPr>
            <w:tcW w:w="993" w:type="dxa"/>
            <w:tcBorders>
              <w:top w:val="nil"/>
              <w:left w:val="nil"/>
              <w:bottom w:val="nil"/>
              <w:right w:val="single" w:sz="8" w:space="0" w:color="auto"/>
            </w:tcBorders>
            <w:shd w:val="clear" w:color="auto" w:fill="auto"/>
            <w:vAlign w:val="center"/>
            <w:hideMark/>
          </w:tcPr>
          <w:p w14:paraId="059E4548"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BFI.G595</w:t>
            </w:r>
          </w:p>
        </w:tc>
        <w:tc>
          <w:tcPr>
            <w:tcW w:w="992" w:type="dxa"/>
            <w:tcBorders>
              <w:top w:val="nil"/>
              <w:left w:val="nil"/>
              <w:bottom w:val="nil"/>
              <w:right w:val="single" w:sz="8" w:space="0" w:color="auto"/>
            </w:tcBorders>
            <w:shd w:val="clear" w:color="auto" w:fill="auto"/>
            <w:vAlign w:val="center"/>
            <w:hideMark/>
          </w:tcPr>
          <w:p w14:paraId="23D49A8C"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BFI.H595</w:t>
            </w:r>
          </w:p>
        </w:tc>
      </w:tr>
      <w:tr w:rsidR="000643B5" w:rsidRPr="00EA4CDC" w14:paraId="2BB6B988"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779FE8AE"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112 - SUPERÁVIT FINANCEIRO - DEC 2829-R, DE 17/08/11</w:t>
            </w:r>
          </w:p>
        </w:tc>
        <w:tc>
          <w:tcPr>
            <w:tcW w:w="993" w:type="dxa"/>
            <w:tcBorders>
              <w:top w:val="nil"/>
              <w:left w:val="nil"/>
              <w:bottom w:val="nil"/>
              <w:right w:val="single" w:sz="8" w:space="0" w:color="auto"/>
            </w:tcBorders>
            <w:shd w:val="clear" w:color="auto" w:fill="auto"/>
            <w:vAlign w:val="center"/>
            <w:hideMark/>
          </w:tcPr>
          <w:p w14:paraId="4CAE6501"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BFI.C536</w:t>
            </w:r>
          </w:p>
        </w:tc>
        <w:tc>
          <w:tcPr>
            <w:tcW w:w="992" w:type="dxa"/>
            <w:tcBorders>
              <w:top w:val="nil"/>
              <w:left w:val="nil"/>
              <w:bottom w:val="nil"/>
              <w:right w:val="single" w:sz="8" w:space="0" w:color="auto"/>
            </w:tcBorders>
            <w:shd w:val="clear" w:color="auto" w:fill="auto"/>
            <w:vAlign w:val="center"/>
            <w:hideMark/>
          </w:tcPr>
          <w:p w14:paraId="5965B2B3"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BFI.D536</w:t>
            </w:r>
          </w:p>
        </w:tc>
        <w:tc>
          <w:tcPr>
            <w:tcW w:w="5103" w:type="dxa"/>
            <w:tcBorders>
              <w:top w:val="nil"/>
              <w:left w:val="nil"/>
              <w:bottom w:val="nil"/>
              <w:right w:val="single" w:sz="8" w:space="0" w:color="auto"/>
            </w:tcBorders>
            <w:shd w:val="clear" w:color="auto" w:fill="auto"/>
            <w:noWrap/>
            <w:vAlign w:val="center"/>
            <w:hideMark/>
          </w:tcPr>
          <w:p w14:paraId="2D8566FA"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112 - SUPERÁVIT FINANCEIRO - DEC 2829-R, DE 17/08/11</w:t>
            </w:r>
          </w:p>
        </w:tc>
        <w:tc>
          <w:tcPr>
            <w:tcW w:w="993" w:type="dxa"/>
            <w:tcBorders>
              <w:top w:val="nil"/>
              <w:left w:val="nil"/>
              <w:bottom w:val="nil"/>
              <w:right w:val="single" w:sz="8" w:space="0" w:color="auto"/>
            </w:tcBorders>
            <w:shd w:val="clear" w:color="auto" w:fill="auto"/>
            <w:vAlign w:val="center"/>
            <w:hideMark/>
          </w:tcPr>
          <w:p w14:paraId="71CC5883"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BFI.G536</w:t>
            </w:r>
          </w:p>
        </w:tc>
        <w:tc>
          <w:tcPr>
            <w:tcW w:w="992" w:type="dxa"/>
            <w:tcBorders>
              <w:top w:val="nil"/>
              <w:left w:val="nil"/>
              <w:bottom w:val="nil"/>
              <w:right w:val="single" w:sz="8" w:space="0" w:color="auto"/>
            </w:tcBorders>
            <w:shd w:val="clear" w:color="auto" w:fill="auto"/>
            <w:vAlign w:val="center"/>
            <w:hideMark/>
          </w:tcPr>
          <w:p w14:paraId="476C95AC"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BFI.H536</w:t>
            </w:r>
          </w:p>
        </w:tc>
      </w:tr>
      <w:tr w:rsidR="000643B5" w:rsidRPr="00EA4CDC" w14:paraId="4BB86636"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1BF86C47"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115 - ALIENAÇÃO DE BENS</w:t>
            </w:r>
          </w:p>
        </w:tc>
        <w:tc>
          <w:tcPr>
            <w:tcW w:w="993" w:type="dxa"/>
            <w:tcBorders>
              <w:top w:val="nil"/>
              <w:left w:val="nil"/>
              <w:bottom w:val="nil"/>
              <w:right w:val="single" w:sz="8" w:space="0" w:color="auto"/>
            </w:tcBorders>
            <w:shd w:val="clear" w:color="auto" w:fill="auto"/>
            <w:vAlign w:val="center"/>
            <w:hideMark/>
          </w:tcPr>
          <w:p w14:paraId="245E996A"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BFI.C537</w:t>
            </w:r>
          </w:p>
        </w:tc>
        <w:tc>
          <w:tcPr>
            <w:tcW w:w="992" w:type="dxa"/>
            <w:tcBorders>
              <w:top w:val="nil"/>
              <w:left w:val="nil"/>
              <w:bottom w:val="nil"/>
              <w:right w:val="single" w:sz="8" w:space="0" w:color="auto"/>
            </w:tcBorders>
            <w:shd w:val="clear" w:color="auto" w:fill="auto"/>
            <w:vAlign w:val="center"/>
            <w:hideMark/>
          </w:tcPr>
          <w:p w14:paraId="5C304522"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BFI.D537</w:t>
            </w:r>
          </w:p>
        </w:tc>
        <w:tc>
          <w:tcPr>
            <w:tcW w:w="5103" w:type="dxa"/>
            <w:tcBorders>
              <w:top w:val="nil"/>
              <w:left w:val="nil"/>
              <w:bottom w:val="nil"/>
              <w:right w:val="single" w:sz="8" w:space="0" w:color="auto"/>
            </w:tcBorders>
            <w:shd w:val="clear" w:color="auto" w:fill="auto"/>
            <w:noWrap/>
            <w:vAlign w:val="center"/>
            <w:hideMark/>
          </w:tcPr>
          <w:p w14:paraId="42D90A16"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115 - ALIENAÇÃO DE BENS</w:t>
            </w:r>
          </w:p>
        </w:tc>
        <w:tc>
          <w:tcPr>
            <w:tcW w:w="993" w:type="dxa"/>
            <w:tcBorders>
              <w:top w:val="nil"/>
              <w:left w:val="nil"/>
              <w:bottom w:val="nil"/>
              <w:right w:val="single" w:sz="8" w:space="0" w:color="auto"/>
            </w:tcBorders>
            <w:shd w:val="clear" w:color="auto" w:fill="auto"/>
            <w:vAlign w:val="center"/>
            <w:hideMark/>
          </w:tcPr>
          <w:p w14:paraId="1B64B494"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BFI.G537</w:t>
            </w:r>
          </w:p>
        </w:tc>
        <w:tc>
          <w:tcPr>
            <w:tcW w:w="992" w:type="dxa"/>
            <w:tcBorders>
              <w:top w:val="nil"/>
              <w:left w:val="nil"/>
              <w:bottom w:val="nil"/>
              <w:right w:val="single" w:sz="8" w:space="0" w:color="auto"/>
            </w:tcBorders>
            <w:shd w:val="clear" w:color="auto" w:fill="auto"/>
            <w:vAlign w:val="center"/>
            <w:hideMark/>
          </w:tcPr>
          <w:p w14:paraId="0170494B"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BFI.H537</w:t>
            </w:r>
          </w:p>
        </w:tc>
      </w:tr>
      <w:tr w:rsidR="000643B5" w:rsidRPr="00EA4CDC" w14:paraId="7084C155"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7C3606A6"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116 - DEPÓSITOS JUDICIAIS – LEI 10.549, DE 1º JULHO DE 2016</w:t>
            </w:r>
          </w:p>
        </w:tc>
        <w:tc>
          <w:tcPr>
            <w:tcW w:w="993" w:type="dxa"/>
            <w:tcBorders>
              <w:top w:val="nil"/>
              <w:left w:val="nil"/>
              <w:bottom w:val="nil"/>
              <w:right w:val="single" w:sz="8" w:space="0" w:color="auto"/>
            </w:tcBorders>
            <w:shd w:val="clear" w:color="auto" w:fill="auto"/>
            <w:vAlign w:val="center"/>
            <w:hideMark/>
          </w:tcPr>
          <w:p w14:paraId="3FA9FC3A"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BFI.C538</w:t>
            </w:r>
          </w:p>
        </w:tc>
        <w:tc>
          <w:tcPr>
            <w:tcW w:w="992" w:type="dxa"/>
            <w:tcBorders>
              <w:top w:val="nil"/>
              <w:left w:val="nil"/>
              <w:bottom w:val="nil"/>
              <w:right w:val="single" w:sz="8" w:space="0" w:color="auto"/>
            </w:tcBorders>
            <w:shd w:val="clear" w:color="auto" w:fill="auto"/>
            <w:vAlign w:val="center"/>
            <w:hideMark/>
          </w:tcPr>
          <w:p w14:paraId="773E0287"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BFI.D538</w:t>
            </w:r>
          </w:p>
        </w:tc>
        <w:tc>
          <w:tcPr>
            <w:tcW w:w="5103" w:type="dxa"/>
            <w:tcBorders>
              <w:top w:val="nil"/>
              <w:left w:val="nil"/>
              <w:bottom w:val="nil"/>
              <w:right w:val="single" w:sz="8" w:space="0" w:color="auto"/>
            </w:tcBorders>
            <w:shd w:val="clear" w:color="auto" w:fill="auto"/>
            <w:noWrap/>
            <w:vAlign w:val="center"/>
            <w:hideMark/>
          </w:tcPr>
          <w:p w14:paraId="20F3DD7F"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116 - DEPÓSITOS JUDICIAIS – LEI 10.549, DE 1º JULHO DE 2016</w:t>
            </w:r>
          </w:p>
        </w:tc>
        <w:tc>
          <w:tcPr>
            <w:tcW w:w="993" w:type="dxa"/>
            <w:tcBorders>
              <w:top w:val="nil"/>
              <w:left w:val="nil"/>
              <w:bottom w:val="nil"/>
              <w:right w:val="single" w:sz="8" w:space="0" w:color="auto"/>
            </w:tcBorders>
            <w:shd w:val="clear" w:color="auto" w:fill="auto"/>
            <w:vAlign w:val="center"/>
            <w:hideMark/>
          </w:tcPr>
          <w:p w14:paraId="46850CB4"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BFI.G538</w:t>
            </w:r>
          </w:p>
        </w:tc>
        <w:tc>
          <w:tcPr>
            <w:tcW w:w="992" w:type="dxa"/>
            <w:tcBorders>
              <w:top w:val="nil"/>
              <w:left w:val="nil"/>
              <w:bottom w:val="nil"/>
              <w:right w:val="single" w:sz="8" w:space="0" w:color="auto"/>
            </w:tcBorders>
            <w:shd w:val="clear" w:color="auto" w:fill="auto"/>
            <w:vAlign w:val="center"/>
            <w:hideMark/>
          </w:tcPr>
          <w:p w14:paraId="79453EBD"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BFI.H538</w:t>
            </w:r>
          </w:p>
        </w:tc>
      </w:tr>
      <w:tr w:rsidR="000643B5" w:rsidRPr="00EA4CDC" w14:paraId="19832ABF"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tcPr>
          <w:p w14:paraId="2FF9D0A4"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Pr>
                <w:rFonts w:ascii="Arial Narrow" w:eastAsia="Times New Roman" w:hAnsi="Arial Narrow" w:cs="Arial"/>
                <w:sz w:val="16"/>
                <w:szCs w:val="16"/>
                <w:lang w:eastAsia="pt-BR"/>
              </w:rPr>
              <w:t>129 – CONVÊNIOS COM INSTITUIÇÕES PRIVADAS</w:t>
            </w:r>
          </w:p>
        </w:tc>
        <w:tc>
          <w:tcPr>
            <w:tcW w:w="993" w:type="dxa"/>
            <w:tcBorders>
              <w:top w:val="nil"/>
              <w:left w:val="nil"/>
              <w:bottom w:val="nil"/>
              <w:right w:val="single" w:sz="8" w:space="0" w:color="auto"/>
            </w:tcBorders>
            <w:shd w:val="clear" w:color="auto" w:fill="auto"/>
            <w:vAlign w:val="center"/>
          </w:tcPr>
          <w:p w14:paraId="1DC5F9AC"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Pr>
                <w:rFonts w:ascii="Arial Narrow" w:eastAsia="Times New Roman" w:hAnsi="Arial Narrow" w:cs="Arial"/>
                <w:sz w:val="16"/>
                <w:szCs w:val="16"/>
                <w:lang w:eastAsia="pt-BR"/>
              </w:rPr>
              <w:t>BFI.C605</w:t>
            </w:r>
          </w:p>
        </w:tc>
        <w:tc>
          <w:tcPr>
            <w:tcW w:w="992" w:type="dxa"/>
            <w:tcBorders>
              <w:top w:val="nil"/>
              <w:left w:val="nil"/>
              <w:bottom w:val="nil"/>
              <w:right w:val="single" w:sz="8" w:space="0" w:color="auto"/>
            </w:tcBorders>
            <w:shd w:val="clear" w:color="auto" w:fill="auto"/>
            <w:vAlign w:val="center"/>
          </w:tcPr>
          <w:p w14:paraId="4F080A02"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Pr>
                <w:rFonts w:ascii="Arial Narrow" w:eastAsia="Times New Roman" w:hAnsi="Arial Narrow" w:cs="Arial"/>
                <w:sz w:val="16"/>
                <w:szCs w:val="16"/>
                <w:lang w:eastAsia="pt-BR"/>
              </w:rPr>
              <w:t>BFI.D605</w:t>
            </w:r>
          </w:p>
        </w:tc>
        <w:tc>
          <w:tcPr>
            <w:tcW w:w="5103" w:type="dxa"/>
            <w:tcBorders>
              <w:top w:val="nil"/>
              <w:left w:val="nil"/>
              <w:bottom w:val="nil"/>
              <w:right w:val="single" w:sz="8" w:space="0" w:color="auto"/>
            </w:tcBorders>
            <w:shd w:val="clear" w:color="auto" w:fill="auto"/>
            <w:noWrap/>
            <w:vAlign w:val="center"/>
          </w:tcPr>
          <w:p w14:paraId="0274D65B"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Pr>
                <w:rFonts w:ascii="Arial Narrow" w:eastAsia="Times New Roman" w:hAnsi="Arial Narrow" w:cs="Arial"/>
                <w:sz w:val="16"/>
                <w:szCs w:val="16"/>
                <w:lang w:eastAsia="pt-BR"/>
              </w:rPr>
              <w:t>129 – CONVÊNIOS COM INSTITUIÇÕES PRIVADAS</w:t>
            </w:r>
          </w:p>
        </w:tc>
        <w:tc>
          <w:tcPr>
            <w:tcW w:w="993" w:type="dxa"/>
            <w:tcBorders>
              <w:top w:val="nil"/>
              <w:left w:val="nil"/>
              <w:bottom w:val="nil"/>
              <w:right w:val="single" w:sz="8" w:space="0" w:color="auto"/>
            </w:tcBorders>
            <w:shd w:val="clear" w:color="auto" w:fill="auto"/>
            <w:vAlign w:val="center"/>
          </w:tcPr>
          <w:p w14:paraId="57501C8D"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Pr>
                <w:rFonts w:ascii="Arial Narrow" w:eastAsia="Times New Roman" w:hAnsi="Arial Narrow" w:cs="Arial"/>
                <w:sz w:val="16"/>
                <w:szCs w:val="16"/>
                <w:lang w:eastAsia="pt-BR"/>
              </w:rPr>
              <w:t>BFI.G605</w:t>
            </w:r>
          </w:p>
        </w:tc>
        <w:tc>
          <w:tcPr>
            <w:tcW w:w="992" w:type="dxa"/>
            <w:tcBorders>
              <w:top w:val="nil"/>
              <w:left w:val="nil"/>
              <w:bottom w:val="nil"/>
              <w:right w:val="single" w:sz="8" w:space="0" w:color="auto"/>
            </w:tcBorders>
            <w:shd w:val="clear" w:color="auto" w:fill="auto"/>
            <w:vAlign w:val="center"/>
          </w:tcPr>
          <w:p w14:paraId="37642F9B"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Pr>
                <w:rFonts w:ascii="Arial Narrow" w:eastAsia="Times New Roman" w:hAnsi="Arial Narrow" w:cs="Arial"/>
                <w:sz w:val="16"/>
                <w:szCs w:val="16"/>
                <w:lang w:eastAsia="pt-BR"/>
              </w:rPr>
              <w:t>BFI.H605</w:t>
            </w:r>
          </w:p>
        </w:tc>
      </w:tr>
      <w:tr w:rsidR="000643B5" w:rsidRPr="00EA4CDC" w14:paraId="1500D399"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580BA845"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133 - CONVÊNIOS - UNIÃO</w:t>
            </w:r>
          </w:p>
        </w:tc>
        <w:tc>
          <w:tcPr>
            <w:tcW w:w="993" w:type="dxa"/>
            <w:tcBorders>
              <w:top w:val="nil"/>
              <w:left w:val="nil"/>
              <w:bottom w:val="nil"/>
              <w:right w:val="single" w:sz="8" w:space="0" w:color="auto"/>
            </w:tcBorders>
            <w:shd w:val="clear" w:color="auto" w:fill="auto"/>
            <w:vAlign w:val="center"/>
            <w:hideMark/>
          </w:tcPr>
          <w:p w14:paraId="52433276"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BFI.C539</w:t>
            </w:r>
          </w:p>
        </w:tc>
        <w:tc>
          <w:tcPr>
            <w:tcW w:w="992" w:type="dxa"/>
            <w:tcBorders>
              <w:top w:val="nil"/>
              <w:left w:val="nil"/>
              <w:bottom w:val="nil"/>
              <w:right w:val="single" w:sz="8" w:space="0" w:color="auto"/>
            </w:tcBorders>
            <w:shd w:val="clear" w:color="auto" w:fill="auto"/>
            <w:vAlign w:val="center"/>
            <w:hideMark/>
          </w:tcPr>
          <w:p w14:paraId="76F3B912"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BFI.D539</w:t>
            </w:r>
          </w:p>
        </w:tc>
        <w:tc>
          <w:tcPr>
            <w:tcW w:w="5103" w:type="dxa"/>
            <w:tcBorders>
              <w:top w:val="nil"/>
              <w:left w:val="nil"/>
              <w:bottom w:val="nil"/>
              <w:right w:val="single" w:sz="8" w:space="0" w:color="auto"/>
            </w:tcBorders>
            <w:shd w:val="clear" w:color="auto" w:fill="auto"/>
            <w:noWrap/>
            <w:vAlign w:val="center"/>
            <w:hideMark/>
          </w:tcPr>
          <w:p w14:paraId="7F0FF06E"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133 - CONVÊNIOS - UNIÃO</w:t>
            </w:r>
          </w:p>
        </w:tc>
        <w:tc>
          <w:tcPr>
            <w:tcW w:w="993" w:type="dxa"/>
            <w:tcBorders>
              <w:top w:val="nil"/>
              <w:left w:val="nil"/>
              <w:bottom w:val="nil"/>
              <w:right w:val="single" w:sz="8" w:space="0" w:color="auto"/>
            </w:tcBorders>
            <w:shd w:val="clear" w:color="auto" w:fill="auto"/>
            <w:vAlign w:val="center"/>
            <w:hideMark/>
          </w:tcPr>
          <w:p w14:paraId="2187A6C5"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BFI.G539</w:t>
            </w:r>
          </w:p>
        </w:tc>
        <w:tc>
          <w:tcPr>
            <w:tcW w:w="992" w:type="dxa"/>
            <w:tcBorders>
              <w:top w:val="nil"/>
              <w:left w:val="nil"/>
              <w:bottom w:val="nil"/>
              <w:right w:val="single" w:sz="8" w:space="0" w:color="auto"/>
            </w:tcBorders>
            <w:shd w:val="clear" w:color="auto" w:fill="auto"/>
            <w:vAlign w:val="center"/>
            <w:hideMark/>
          </w:tcPr>
          <w:p w14:paraId="6C15A250"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BFI.H539</w:t>
            </w:r>
          </w:p>
        </w:tc>
      </w:tr>
      <w:tr w:rsidR="000643B5" w:rsidRPr="00EA4CDC" w14:paraId="7399390F"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5BC243DC"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136 - TRANSFERÊNCIAS CONSTITUCIONAIS A MUNICÍPIOS</w:t>
            </w:r>
          </w:p>
        </w:tc>
        <w:tc>
          <w:tcPr>
            <w:tcW w:w="993" w:type="dxa"/>
            <w:tcBorders>
              <w:top w:val="nil"/>
              <w:left w:val="nil"/>
              <w:bottom w:val="nil"/>
              <w:right w:val="single" w:sz="8" w:space="0" w:color="auto"/>
            </w:tcBorders>
            <w:shd w:val="clear" w:color="auto" w:fill="auto"/>
            <w:vAlign w:val="center"/>
            <w:hideMark/>
          </w:tcPr>
          <w:p w14:paraId="46B2405D"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BFI.C540</w:t>
            </w:r>
          </w:p>
        </w:tc>
        <w:tc>
          <w:tcPr>
            <w:tcW w:w="992" w:type="dxa"/>
            <w:tcBorders>
              <w:top w:val="nil"/>
              <w:left w:val="nil"/>
              <w:bottom w:val="nil"/>
              <w:right w:val="single" w:sz="8" w:space="0" w:color="auto"/>
            </w:tcBorders>
            <w:shd w:val="clear" w:color="auto" w:fill="auto"/>
            <w:vAlign w:val="center"/>
            <w:hideMark/>
          </w:tcPr>
          <w:p w14:paraId="3F5C09C6"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BFI.D540</w:t>
            </w:r>
          </w:p>
        </w:tc>
        <w:tc>
          <w:tcPr>
            <w:tcW w:w="5103" w:type="dxa"/>
            <w:tcBorders>
              <w:top w:val="nil"/>
              <w:left w:val="nil"/>
              <w:bottom w:val="nil"/>
              <w:right w:val="single" w:sz="8" w:space="0" w:color="auto"/>
            </w:tcBorders>
            <w:shd w:val="clear" w:color="auto" w:fill="auto"/>
            <w:noWrap/>
            <w:vAlign w:val="center"/>
            <w:hideMark/>
          </w:tcPr>
          <w:p w14:paraId="48EFD08A"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136 - TRANSFERÊNCIAS CONSTITUCIONAIS A MUNICÍPIOS</w:t>
            </w:r>
          </w:p>
        </w:tc>
        <w:tc>
          <w:tcPr>
            <w:tcW w:w="993" w:type="dxa"/>
            <w:tcBorders>
              <w:top w:val="nil"/>
              <w:left w:val="nil"/>
              <w:bottom w:val="nil"/>
              <w:right w:val="single" w:sz="8" w:space="0" w:color="auto"/>
            </w:tcBorders>
            <w:shd w:val="clear" w:color="auto" w:fill="auto"/>
            <w:vAlign w:val="center"/>
            <w:hideMark/>
          </w:tcPr>
          <w:p w14:paraId="33200F48"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BFI.G540</w:t>
            </w:r>
          </w:p>
        </w:tc>
        <w:tc>
          <w:tcPr>
            <w:tcW w:w="992" w:type="dxa"/>
            <w:tcBorders>
              <w:top w:val="nil"/>
              <w:left w:val="nil"/>
              <w:bottom w:val="nil"/>
              <w:right w:val="single" w:sz="8" w:space="0" w:color="auto"/>
            </w:tcBorders>
            <w:shd w:val="clear" w:color="auto" w:fill="auto"/>
            <w:vAlign w:val="center"/>
            <w:hideMark/>
          </w:tcPr>
          <w:p w14:paraId="6FF70C21"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BFI.H540</w:t>
            </w:r>
          </w:p>
        </w:tc>
      </w:tr>
      <w:tr w:rsidR="000643B5" w:rsidRPr="00EA4CDC" w14:paraId="2A5B3D2C"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582EE404"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138 - FUNDAP</w:t>
            </w:r>
          </w:p>
        </w:tc>
        <w:tc>
          <w:tcPr>
            <w:tcW w:w="993" w:type="dxa"/>
            <w:tcBorders>
              <w:top w:val="nil"/>
              <w:left w:val="nil"/>
              <w:bottom w:val="nil"/>
              <w:right w:val="single" w:sz="8" w:space="0" w:color="auto"/>
            </w:tcBorders>
            <w:shd w:val="clear" w:color="auto" w:fill="auto"/>
            <w:vAlign w:val="center"/>
            <w:hideMark/>
          </w:tcPr>
          <w:p w14:paraId="19EE5921"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BFI.C541</w:t>
            </w:r>
          </w:p>
        </w:tc>
        <w:tc>
          <w:tcPr>
            <w:tcW w:w="992" w:type="dxa"/>
            <w:tcBorders>
              <w:top w:val="nil"/>
              <w:left w:val="nil"/>
              <w:bottom w:val="nil"/>
              <w:right w:val="single" w:sz="8" w:space="0" w:color="auto"/>
            </w:tcBorders>
            <w:shd w:val="clear" w:color="auto" w:fill="auto"/>
            <w:vAlign w:val="center"/>
            <w:hideMark/>
          </w:tcPr>
          <w:p w14:paraId="67DDFB23"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BFI.D541</w:t>
            </w:r>
          </w:p>
        </w:tc>
        <w:tc>
          <w:tcPr>
            <w:tcW w:w="5103" w:type="dxa"/>
            <w:tcBorders>
              <w:top w:val="nil"/>
              <w:left w:val="nil"/>
              <w:bottom w:val="nil"/>
              <w:right w:val="single" w:sz="8" w:space="0" w:color="auto"/>
            </w:tcBorders>
            <w:shd w:val="clear" w:color="auto" w:fill="auto"/>
            <w:noWrap/>
            <w:vAlign w:val="center"/>
            <w:hideMark/>
          </w:tcPr>
          <w:p w14:paraId="49F857BD"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138 - FUNDAP</w:t>
            </w:r>
          </w:p>
        </w:tc>
        <w:tc>
          <w:tcPr>
            <w:tcW w:w="993" w:type="dxa"/>
            <w:tcBorders>
              <w:top w:val="nil"/>
              <w:left w:val="nil"/>
              <w:bottom w:val="nil"/>
              <w:right w:val="single" w:sz="8" w:space="0" w:color="auto"/>
            </w:tcBorders>
            <w:shd w:val="clear" w:color="auto" w:fill="auto"/>
            <w:vAlign w:val="center"/>
            <w:hideMark/>
          </w:tcPr>
          <w:p w14:paraId="574AC853"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BFI.G541</w:t>
            </w:r>
          </w:p>
        </w:tc>
        <w:tc>
          <w:tcPr>
            <w:tcW w:w="992" w:type="dxa"/>
            <w:tcBorders>
              <w:top w:val="nil"/>
              <w:left w:val="nil"/>
              <w:bottom w:val="nil"/>
              <w:right w:val="single" w:sz="8" w:space="0" w:color="auto"/>
            </w:tcBorders>
            <w:shd w:val="clear" w:color="auto" w:fill="auto"/>
            <w:vAlign w:val="center"/>
            <w:hideMark/>
          </w:tcPr>
          <w:p w14:paraId="6AF3E9BF"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BFI.H541</w:t>
            </w:r>
          </w:p>
        </w:tc>
      </w:tr>
      <w:tr w:rsidR="000643B5" w:rsidRPr="00EA4CDC" w14:paraId="7453D79B"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09469356"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139 - DOAÇÕES</w:t>
            </w:r>
          </w:p>
        </w:tc>
        <w:tc>
          <w:tcPr>
            <w:tcW w:w="993" w:type="dxa"/>
            <w:tcBorders>
              <w:top w:val="nil"/>
              <w:left w:val="nil"/>
              <w:bottom w:val="nil"/>
              <w:right w:val="single" w:sz="8" w:space="0" w:color="auto"/>
            </w:tcBorders>
            <w:shd w:val="clear" w:color="auto" w:fill="auto"/>
            <w:vAlign w:val="center"/>
            <w:hideMark/>
          </w:tcPr>
          <w:p w14:paraId="738EEF41"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BFI.C542</w:t>
            </w:r>
          </w:p>
        </w:tc>
        <w:tc>
          <w:tcPr>
            <w:tcW w:w="992" w:type="dxa"/>
            <w:tcBorders>
              <w:top w:val="nil"/>
              <w:left w:val="nil"/>
              <w:bottom w:val="nil"/>
              <w:right w:val="single" w:sz="8" w:space="0" w:color="auto"/>
            </w:tcBorders>
            <w:shd w:val="clear" w:color="auto" w:fill="auto"/>
            <w:vAlign w:val="center"/>
            <w:hideMark/>
          </w:tcPr>
          <w:p w14:paraId="4D7D867A"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BFI.D542</w:t>
            </w:r>
          </w:p>
        </w:tc>
        <w:tc>
          <w:tcPr>
            <w:tcW w:w="5103" w:type="dxa"/>
            <w:tcBorders>
              <w:top w:val="nil"/>
              <w:left w:val="nil"/>
              <w:bottom w:val="nil"/>
              <w:right w:val="single" w:sz="8" w:space="0" w:color="auto"/>
            </w:tcBorders>
            <w:shd w:val="clear" w:color="auto" w:fill="auto"/>
            <w:noWrap/>
            <w:vAlign w:val="center"/>
            <w:hideMark/>
          </w:tcPr>
          <w:p w14:paraId="639CC585"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139 - DOAÇÕES</w:t>
            </w:r>
          </w:p>
        </w:tc>
        <w:tc>
          <w:tcPr>
            <w:tcW w:w="993" w:type="dxa"/>
            <w:tcBorders>
              <w:top w:val="nil"/>
              <w:left w:val="nil"/>
              <w:bottom w:val="nil"/>
              <w:right w:val="single" w:sz="8" w:space="0" w:color="auto"/>
            </w:tcBorders>
            <w:shd w:val="clear" w:color="auto" w:fill="auto"/>
            <w:vAlign w:val="center"/>
            <w:hideMark/>
          </w:tcPr>
          <w:p w14:paraId="105258EF"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BFI.G542</w:t>
            </w:r>
          </w:p>
        </w:tc>
        <w:tc>
          <w:tcPr>
            <w:tcW w:w="992" w:type="dxa"/>
            <w:tcBorders>
              <w:top w:val="nil"/>
              <w:left w:val="nil"/>
              <w:bottom w:val="nil"/>
              <w:right w:val="single" w:sz="8" w:space="0" w:color="auto"/>
            </w:tcBorders>
            <w:shd w:val="clear" w:color="auto" w:fill="auto"/>
            <w:vAlign w:val="center"/>
            <w:hideMark/>
          </w:tcPr>
          <w:p w14:paraId="422A8597"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BFI.H542</w:t>
            </w:r>
          </w:p>
        </w:tc>
      </w:tr>
      <w:tr w:rsidR="000643B5" w:rsidRPr="00EA4CDC" w14:paraId="02CE7AB1"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4F8348C6"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141 - CONVÊNIOS COM ÓRGÃOS NÃO FEDERAIS</w:t>
            </w:r>
          </w:p>
        </w:tc>
        <w:tc>
          <w:tcPr>
            <w:tcW w:w="993" w:type="dxa"/>
            <w:tcBorders>
              <w:top w:val="nil"/>
              <w:left w:val="nil"/>
              <w:bottom w:val="nil"/>
              <w:right w:val="single" w:sz="8" w:space="0" w:color="auto"/>
            </w:tcBorders>
            <w:shd w:val="clear" w:color="auto" w:fill="auto"/>
            <w:vAlign w:val="center"/>
            <w:hideMark/>
          </w:tcPr>
          <w:p w14:paraId="7A8BAA52"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BFI.C543</w:t>
            </w:r>
          </w:p>
        </w:tc>
        <w:tc>
          <w:tcPr>
            <w:tcW w:w="992" w:type="dxa"/>
            <w:tcBorders>
              <w:top w:val="nil"/>
              <w:left w:val="nil"/>
              <w:bottom w:val="nil"/>
              <w:right w:val="single" w:sz="8" w:space="0" w:color="auto"/>
            </w:tcBorders>
            <w:shd w:val="clear" w:color="auto" w:fill="auto"/>
            <w:vAlign w:val="center"/>
            <w:hideMark/>
          </w:tcPr>
          <w:p w14:paraId="5B11F630"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BFI.D543</w:t>
            </w:r>
          </w:p>
        </w:tc>
        <w:tc>
          <w:tcPr>
            <w:tcW w:w="5103" w:type="dxa"/>
            <w:tcBorders>
              <w:top w:val="nil"/>
              <w:left w:val="nil"/>
              <w:bottom w:val="nil"/>
              <w:right w:val="single" w:sz="8" w:space="0" w:color="auto"/>
            </w:tcBorders>
            <w:shd w:val="clear" w:color="auto" w:fill="auto"/>
            <w:noWrap/>
            <w:vAlign w:val="center"/>
            <w:hideMark/>
          </w:tcPr>
          <w:p w14:paraId="5B1E6694"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141 - CONVÊNIOS COM ÓRGÃOS NÃO FEDERAIS</w:t>
            </w:r>
          </w:p>
        </w:tc>
        <w:tc>
          <w:tcPr>
            <w:tcW w:w="993" w:type="dxa"/>
            <w:tcBorders>
              <w:top w:val="nil"/>
              <w:left w:val="nil"/>
              <w:bottom w:val="nil"/>
              <w:right w:val="single" w:sz="8" w:space="0" w:color="auto"/>
            </w:tcBorders>
            <w:shd w:val="clear" w:color="auto" w:fill="auto"/>
            <w:vAlign w:val="center"/>
            <w:hideMark/>
          </w:tcPr>
          <w:p w14:paraId="38521F1F"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BFI.G543</w:t>
            </w:r>
          </w:p>
        </w:tc>
        <w:tc>
          <w:tcPr>
            <w:tcW w:w="992" w:type="dxa"/>
            <w:tcBorders>
              <w:top w:val="nil"/>
              <w:left w:val="nil"/>
              <w:bottom w:val="nil"/>
              <w:right w:val="single" w:sz="8" w:space="0" w:color="auto"/>
            </w:tcBorders>
            <w:shd w:val="clear" w:color="auto" w:fill="auto"/>
            <w:vAlign w:val="center"/>
            <w:hideMark/>
          </w:tcPr>
          <w:p w14:paraId="4180BC8E"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BFI.H543</w:t>
            </w:r>
          </w:p>
        </w:tc>
      </w:tr>
      <w:tr w:rsidR="000643B5" w:rsidRPr="00EA4CDC" w14:paraId="4CDCA005"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46458961"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142 - OPERAÇÕES DE CRÉDITO INTERNAS</w:t>
            </w:r>
          </w:p>
        </w:tc>
        <w:tc>
          <w:tcPr>
            <w:tcW w:w="993" w:type="dxa"/>
            <w:tcBorders>
              <w:top w:val="nil"/>
              <w:left w:val="nil"/>
              <w:bottom w:val="nil"/>
              <w:right w:val="single" w:sz="8" w:space="0" w:color="auto"/>
            </w:tcBorders>
            <w:shd w:val="clear" w:color="auto" w:fill="auto"/>
            <w:vAlign w:val="center"/>
            <w:hideMark/>
          </w:tcPr>
          <w:p w14:paraId="74B4271A"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BFI.C544</w:t>
            </w:r>
          </w:p>
        </w:tc>
        <w:tc>
          <w:tcPr>
            <w:tcW w:w="992" w:type="dxa"/>
            <w:tcBorders>
              <w:top w:val="nil"/>
              <w:left w:val="nil"/>
              <w:bottom w:val="nil"/>
              <w:right w:val="single" w:sz="8" w:space="0" w:color="auto"/>
            </w:tcBorders>
            <w:shd w:val="clear" w:color="auto" w:fill="auto"/>
            <w:vAlign w:val="center"/>
            <w:hideMark/>
          </w:tcPr>
          <w:p w14:paraId="3E4D119F"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BFI.D544</w:t>
            </w:r>
          </w:p>
        </w:tc>
        <w:tc>
          <w:tcPr>
            <w:tcW w:w="5103" w:type="dxa"/>
            <w:tcBorders>
              <w:top w:val="nil"/>
              <w:left w:val="nil"/>
              <w:bottom w:val="nil"/>
              <w:right w:val="single" w:sz="8" w:space="0" w:color="auto"/>
            </w:tcBorders>
            <w:shd w:val="clear" w:color="auto" w:fill="auto"/>
            <w:noWrap/>
            <w:vAlign w:val="center"/>
            <w:hideMark/>
          </w:tcPr>
          <w:p w14:paraId="2DA9E04C"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142 - OPERAÇÕES DE CRÉDITO INTERNAS</w:t>
            </w:r>
          </w:p>
        </w:tc>
        <w:tc>
          <w:tcPr>
            <w:tcW w:w="993" w:type="dxa"/>
            <w:tcBorders>
              <w:top w:val="nil"/>
              <w:left w:val="nil"/>
              <w:bottom w:val="nil"/>
              <w:right w:val="single" w:sz="8" w:space="0" w:color="auto"/>
            </w:tcBorders>
            <w:shd w:val="clear" w:color="auto" w:fill="auto"/>
            <w:vAlign w:val="center"/>
            <w:hideMark/>
          </w:tcPr>
          <w:p w14:paraId="690E8DC9"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BFI.G544</w:t>
            </w:r>
          </w:p>
        </w:tc>
        <w:tc>
          <w:tcPr>
            <w:tcW w:w="992" w:type="dxa"/>
            <w:tcBorders>
              <w:top w:val="nil"/>
              <w:left w:val="nil"/>
              <w:bottom w:val="nil"/>
              <w:right w:val="single" w:sz="8" w:space="0" w:color="auto"/>
            </w:tcBorders>
            <w:shd w:val="clear" w:color="auto" w:fill="auto"/>
            <w:vAlign w:val="center"/>
            <w:hideMark/>
          </w:tcPr>
          <w:p w14:paraId="6E62517A"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BFI.H544</w:t>
            </w:r>
          </w:p>
        </w:tc>
      </w:tr>
      <w:tr w:rsidR="000643B5" w:rsidRPr="00EA4CDC" w14:paraId="567C8E77"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46F3AC78"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143 - OPERAÇÕES DE CRÉDITO EXTERNAS</w:t>
            </w:r>
          </w:p>
        </w:tc>
        <w:tc>
          <w:tcPr>
            <w:tcW w:w="993" w:type="dxa"/>
            <w:tcBorders>
              <w:top w:val="nil"/>
              <w:left w:val="nil"/>
              <w:bottom w:val="nil"/>
              <w:right w:val="single" w:sz="8" w:space="0" w:color="auto"/>
            </w:tcBorders>
            <w:shd w:val="clear" w:color="auto" w:fill="auto"/>
            <w:vAlign w:val="center"/>
            <w:hideMark/>
          </w:tcPr>
          <w:p w14:paraId="0D2C4A78"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BFI.C545</w:t>
            </w:r>
          </w:p>
        </w:tc>
        <w:tc>
          <w:tcPr>
            <w:tcW w:w="992" w:type="dxa"/>
            <w:tcBorders>
              <w:top w:val="nil"/>
              <w:left w:val="nil"/>
              <w:bottom w:val="nil"/>
              <w:right w:val="single" w:sz="8" w:space="0" w:color="auto"/>
            </w:tcBorders>
            <w:shd w:val="clear" w:color="auto" w:fill="auto"/>
            <w:vAlign w:val="center"/>
            <w:hideMark/>
          </w:tcPr>
          <w:p w14:paraId="77318D05"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BFI.D545</w:t>
            </w:r>
          </w:p>
        </w:tc>
        <w:tc>
          <w:tcPr>
            <w:tcW w:w="5103" w:type="dxa"/>
            <w:tcBorders>
              <w:top w:val="nil"/>
              <w:left w:val="nil"/>
              <w:bottom w:val="nil"/>
              <w:right w:val="single" w:sz="8" w:space="0" w:color="auto"/>
            </w:tcBorders>
            <w:shd w:val="clear" w:color="auto" w:fill="auto"/>
            <w:noWrap/>
            <w:vAlign w:val="center"/>
            <w:hideMark/>
          </w:tcPr>
          <w:p w14:paraId="42FBF832"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143 - OPERAÇÕES DE CRÉDITO EXTERNAS</w:t>
            </w:r>
          </w:p>
        </w:tc>
        <w:tc>
          <w:tcPr>
            <w:tcW w:w="993" w:type="dxa"/>
            <w:tcBorders>
              <w:top w:val="nil"/>
              <w:left w:val="nil"/>
              <w:bottom w:val="nil"/>
              <w:right w:val="single" w:sz="8" w:space="0" w:color="auto"/>
            </w:tcBorders>
            <w:shd w:val="clear" w:color="auto" w:fill="auto"/>
            <w:vAlign w:val="center"/>
            <w:hideMark/>
          </w:tcPr>
          <w:p w14:paraId="576D67E9"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BFI.G545</w:t>
            </w:r>
          </w:p>
        </w:tc>
        <w:tc>
          <w:tcPr>
            <w:tcW w:w="992" w:type="dxa"/>
            <w:tcBorders>
              <w:top w:val="nil"/>
              <w:left w:val="nil"/>
              <w:bottom w:val="nil"/>
              <w:right w:val="single" w:sz="8" w:space="0" w:color="auto"/>
            </w:tcBorders>
            <w:shd w:val="clear" w:color="auto" w:fill="auto"/>
            <w:vAlign w:val="center"/>
            <w:hideMark/>
          </w:tcPr>
          <w:p w14:paraId="1B383601"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BFI.H545</w:t>
            </w:r>
          </w:p>
        </w:tc>
      </w:tr>
      <w:tr w:rsidR="000643B5" w:rsidRPr="00EA4CDC" w14:paraId="4591D21E"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03725DBA"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144 - TRANSFERÊNCIAS A MUNICÍPIOS - CIDE</w:t>
            </w:r>
          </w:p>
        </w:tc>
        <w:tc>
          <w:tcPr>
            <w:tcW w:w="993" w:type="dxa"/>
            <w:tcBorders>
              <w:top w:val="nil"/>
              <w:left w:val="nil"/>
              <w:bottom w:val="nil"/>
              <w:right w:val="single" w:sz="8" w:space="0" w:color="auto"/>
            </w:tcBorders>
            <w:shd w:val="clear" w:color="auto" w:fill="auto"/>
            <w:vAlign w:val="center"/>
            <w:hideMark/>
          </w:tcPr>
          <w:p w14:paraId="55824AA9"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BFI.C546</w:t>
            </w:r>
          </w:p>
        </w:tc>
        <w:tc>
          <w:tcPr>
            <w:tcW w:w="992" w:type="dxa"/>
            <w:tcBorders>
              <w:top w:val="nil"/>
              <w:left w:val="nil"/>
              <w:bottom w:val="nil"/>
              <w:right w:val="single" w:sz="8" w:space="0" w:color="auto"/>
            </w:tcBorders>
            <w:shd w:val="clear" w:color="auto" w:fill="auto"/>
            <w:vAlign w:val="center"/>
            <w:hideMark/>
          </w:tcPr>
          <w:p w14:paraId="0277280A"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BFI.D546</w:t>
            </w:r>
          </w:p>
        </w:tc>
        <w:tc>
          <w:tcPr>
            <w:tcW w:w="5103" w:type="dxa"/>
            <w:tcBorders>
              <w:top w:val="nil"/>
              <w:left w:val="nil"/>
              <w:bottom w:val="nil"/>
              <w:right w:val="single" w:sz="8" w:space="0" w:color="auto"/>
            </w:tcBorders>
            <w:shd w:val="clear" w:color="auto" w:fill="auto"/>
            <w:noWrap/>
            <w:vAlign w:val="center"/>
            <w:hideMark/>
          </w:tcPr>
          <w:p w14:paraId="3047B7AA"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144 - TRANSFERÊNCIAS A MUNICÍPIOS - CIDE</w:t>
            </w:r>
          </w:p>
        </w:tc>
        <w:tc>
          <w:tcPr>
            <w:tcW w:w="993" w:type="dxa"/>
            <w:tcBorders>
              <w:top w:val="nil"/>
              <w:left w:val="nil"/>
              <w:bottom w:val="nil"/>
              <w:right w:val="single" w:sz="8" w:space="0" w:color="auto"/>
            </w:tcBorders>
            <w:shd w:val="clear" w:color="auto" w:fill="auto"/>
            <w:vAlign w:val="center"/>
            <w:hideMark/>
          </w:tcPr>
          <w:p w14:paraId="4A5DB8CB"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BFI.G546</w:t>
            </w:r>
          </w:p>
        </w:tc>
        <w:tc>
          <w:tcPr>
            <w:tcW w:w="992" w:type="dxa"/>
            <w:tcBorders>
              <w:top w:val="nil"/>
              <w:left w:val="nil"/>
              <w:bottom w:val="nil"/>
              <w:right w:val="single" w:sz="8" w:space="0" w:color="auto"/>
            </w:tcBorders>
            <w:shd w:val="clear" w:color="auto" w:fill="auto"/>
            <w:vAlign w:val="center"/>
            <w:hideMark/>
          </w:tcPr>
          <w:p w14:paraId="088731E5"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BFI.H546</w:t>
            </w:r>
          </w:p>
        </w:tc>
      </w:tr>
      <w:tr w:rsidR="000643B5" w:rsidRPr="00EA4CDC" w14:paraId="1010D375"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06369E05"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150 - PACTO NACIONAL PELA GESTÃO DAS ÁGUAS – PROGESTÃO</w:t>
            </w:r>
          </w:p>
        </w:tc>
        <w:tc>
          <w:tcPr>
            <w:tcW w:w="993" w:type="dxa"/>
            <w:tcBorders>
              <w:top w:val="nil"/>
              <w:left w:val="nil"/>
              <w:bottom w:val="nil"/>
              <w:right w:val="single" w:sz="8" w:space="0" w:color="auto"/>
            </w:tcBorders>
            <w:shd w:val="clear" w:color="auto" w:fill="auto"/>
            <w:vAlign w:val="center"/>
            <w:hideMark/>
          </w:tcPr>
          <w:p w14:paraId="7858E67A"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BFI.C547</w:t>
            </w:r>
          </w:p>
        </w:tc>
        <w:tc>
          <w:tcPr>
            <w:tcW w:w="992" w:type="dxa"/>
            <w:tcBorders>
              <w:top w:val="nil"/>
              <w:left w:val="nil"/>
              <w:bottom w:val="nil"/>
              <w:right w:val="single" w:sz="8" w:space="0" w:color="auto"/>
            </w:tcBorders>
            <w:shd w:val="clear" w:color="auto" w:fill="auto"/>
            <w:vAlign w:val="center"/>
            <w:hideMark/>
          </w:tcPr>
          <w:p w14:paraId="058ECD29"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BFI.D547</w:t>
            </w:r>
          </w:p>
        </w:tc>
        <w:tc>
          <w:tcPr>
            <w:tcW w:w="5103" w:type="dxa"/>
            <w:tcBorders>
              <w:top w:val="nil"/>
              <w:left w:val="nil"/>
              <w:bottom w:val="nil"/>
              <w:right w:val="single" w:sz="8" w:space="0" w:color="auto"/>
            </w:tcBorders>
            <w:shd w:val="clear" w:color="auto" w:fill="auto"/>
            <w:noWrap/>
            <w:vAlign w:val="center"/>
            <w:hideMark/>
          </w:tcPr>
          <w:p w14:paraId="526154AB"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150 - PACTO NACIONAL PELA GESTÃO DAS ÁGUAS – PROGESTÃO</w:t>
            </w:r>
          </w:p>
        </w:tc>
        <w:tc>
          <w:tcPr>
            <w:tcW w:w="993" w:type="dxa"/>
            <w:tcBorders>
              <w:top w:val="nil"/>
              <w:left w:val="nil"/>
              <w:bottom w:val="nil"/>
              <w:right w:val="single" w:sz="8" w:space="0" w:color="auto"/>
            </w:tcBorders>
            <w:shd w:val="clear" w:color="auto" w:fill="auto"/>
            <w:vAlign w:val="center"/>
            <w:hideMark/>
          </w:tcPr>
          <w:p w14:paraId="7AF9F57D"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BFI.G547</w:t>
            </w:r>
          </w:p>
        </w:tc>
        <w:tc>
          <w:tcPr>
            <w:tcW w:w="992" w:type="dxa"/>
            <w:tcBorders>
              <w:top w:val="nil"/>
              <w:left w:val="nil"/>
              <w:bottom w:val="nil"/>
              <w:right w:val="single" w:sz="8" w:space="0" w:color="auto"/>
            </w:tcBorders>
            <w:shd w:val="clear" w:color="auto" w:fill="auto"/>
            <w:vAlign w:val="center"/>
            <w:hideMark/>
          </w:tcPr>
          <w:p w14:paraId="624BC6A7"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BFI.H547</w:t>
            </w:r>
          </w:p>
        </w:tc>
      </w:tr>
      <w:tr w:rsidR="000643B5" w:rsidRPr="00EA4CDC" w14:paraId="2B465C04"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708CDA5C"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154 - CONTRIBUIÇÃO DE INTERVENÇÃO NO DOMÍNIO ECONÔMICO</w:t>
            </w:r>
          </w:p>
        </w:tc>
        <w:tc>
          <w:tcPr>
            <w:tcW w:w="993" w:type="dxa"/>
            <w:tcBorders>
              <w:top w:val="nil"/>
              <w:left w:val="nil"/>
              <w:bottom w:val="nil"/>
              <w:right w:val="single" w:sz="8" w:space="0" w:color="auto"/>
            </w:tcBorders>
            <w:shd w:val="clear" w:color="auto" w:fill="auto"/>
            <w:vAlign w:val="center"/>
            <w:hideMark/>
          </w:tcPr>
          <w:p w14:paraId="66A1F7BA"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BFI.C548</w:t>
            </w:r>
          </w:p>
        </w:tc>
        <w:tc>
          <w:tcPr>
            <w:tcW w:w="992" w:type="dxa"/>
            <w:tcBorders>
              <w:top w:val="nil"/>
              <w:left w:val="nil"/>
              <w:bottom w:val="nil"/>
              <w:right w:val="single" w:sz="8" w:space="0" w:color="auto"/>
            </w:tcBorders>
            <w:shd w:val="clear" w:color="auto" w:fill="auto"/>
            <w:vAlign w:val="center"/>
            <w:hideMark/>
          </w:tcPr>
          <w:p w14:paraId="6EA98198"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BFI.D548</w:t>
            </w:r>
          </w:p>
        </w:tc>
        <w:tc>
          <w:tcPr>
            <w:tcW w:w="5103" w:type="dxa"/>
            <w:tcBorders>
              <w:top w:val="nil"/>
              <w:left w:val="nil"/>
              <w:bottom w:val="nil"/>
              <w:right w:val="single" w:sz="8" w:space="0" w:color="auto"/>
            </w:tcBorders>
            <w:shd w:val="clear" w:color="auto" w:fill="auto"/>
            <w:noWrap/>
            <w:vAlign w:val="center"/>
            <w:hideMark/>
          </w:tcPr>
          <w:p w14:paraId="77DD9B0D"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154 - CONTRIBUIÇÃO DE INTERVENÇÃO NO DOMÍNIO ECONÔMICO</w:t>
            </w:r>
          </w:p>
        </w:tc>
        <w:tc>
          <w:tcPr>
            <w:tcW w:w="993" w:type="dxa"/>
            <w:tcBorders>
              <w:top w:val="nil"/>
              <w:left w:val="nil"/>
              <w:bottom w:val="nil"/>
              <w:right w:val="single" w:sz="8" w:space="0" w:color="auto"/>
            </w:tcBorders>
            <w:shd w:val="clear" w:color="auto" w:fill="auto"/>
            <w:vAlign w:val="center"/>
            <w:hideMark/>
          </w:tcPr>
          <w:p w14:paraId="0B92453A"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BFI.G548</w:t>
            </w:r>
          </w:p>
        </w:tc>
        <w:tc>
          <w:tcPr>
            <w:tcW w:w="992" w:type="dxa"/>
            <w:tcBorders>
              <w:top w:val="nil"/>
              <w:left w:val="nil"/>
              <w:bottom w:val="nil"/>
              <w:right w:val="single" w:sz="8" w:space="0" w:color="auto"/>
            </w:tcBorders>
            <w:shd w:val="clear" w:color="auto" w:fill="auto"/>
            <w:vAlign w:val="center"/>
            <w:hideMark/>
          </w:tcPr>
          <w:p w14:paraId="05766D28"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BFI.H548</w:t>
            </w:r>
          </w:p>
        </w:tc>
      </w:tr>
      <w:tr w:rsidR="000643B5" w:rsidRPr="00EA4CDC" w14:paraId="6B530235"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4544E00B"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157 - INCENTIVO SUAS - UNIÃO</w:t>
            </w:r>
          </w:p>
        </w:tc>
        <w:tc>
          <w:tcPr>
            <w:tcW w:w="993" w:type="dxa"/>
            <w:tcBorders>
              <w:top w:val="nil"/>
              <w:left w:val="nil"/>
              <w:bottom w:val="nil"/>
              <w:right w:val="single" w:sz="8" w:space="0" w:color="auto"/>
            </w:tcBorders>
            <w:shd w:val="clear" w:color="auto" w:fill="auto"/>
            <w:vAlign w:val="center"/>
            <w:hideMark/>
          </w:tcPr>
          <w:p w14:paraId="7E53D09F"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BFI.C549</w:t>
            </w:r>
          </w:p>
        </w:tc>
        <w:tc>
          <w:tcPr>
            <w:tcW w:w="992" w:type="dxa"/>
            <w:tcBorders>
              <w:top w:val="nil"/>
              <w:left w:val="nil"/>
              <w:bottom w:val="nil"/>
              <w:right w:val="single" w:sz="8" w:space="0" w:color="auto"/>
            </w:tcBorders>
            <w:shd w:val="clear" w:color="auto" w:fill="auto"/>
            <w:vAlign w:val="center"/>
            <w:hideMark/>
          </w:tcPr>
          <w:p w14:paraId="707760AA"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BFI.D549</w:t>
            </w:r>
          </w:p>
        </w:tc>
        <w:tc>
          <w:tcPr>
            <w:tcW w:w="5103" w:type="dxa"/>
            <w:tcBorders>
              <w:top w:val="nil"/>
              <w:left w:val="nil"/>
              <w:bottom w:val="nil"/>
              <w:right w:val="single" w:sz="8" w:space="0" w:color="auto"/>
            </w:tcBorders>
            <w:shd w:val="clear" w:color="auto" w:fill="auto"/>
            <w:noWrap/>
            <w:vAlign w:val="center"/>
            <w:hideMark/>
          </w:tcPr>
          <w:p w14:paraId="2EC4522B"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157 - INCENTIVO SUAS - UNIÃO</w:t>
            </w:r>
          </w:p>
        </w:tc>
        <w:tc>
          <w:tcPr>
            <w:tcW w:w="993" w:type="dxa"/>
            <w:tcBorders>
              <w:top w:val="nil"/>
              <w:left w:val="nil"/>
              <w:bottom w:val="nil"/>
              <w:right w:val="single" w:sz="8" w:space="0" w:color="auto"/>
            </w:tcBorders>
            <w:shd w:val="clear" w:color="auto" w:fill="auto"/>
            <w:vAlign w:val="center"/>
            <w:hideMark/>
          </w:tcPr>
          <w:p w14:paraId="3C911190"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BFI.G549</w:t>
            </w:r>
          </w:p>
        </w:tc>
        <w:tc>
          <w:tcPr>
            <w:tcW w:w="992" w:type="dxa"/>
            <w:tcBorders>
              <w:top w:val="nil"/>
              <w:left w:val="nil"/>
              <w:bottom w:val="nil"/>
              <w:right w:val="single" w:sz="8" w:space="0" w:color="auto"/>
            </w:tcBorders>
            <w:shd w:val="clear" w:color="auto" w:fill="auto"/>
            <w:vAlign w:val="center"/>
            <w:hideMark/>
          </w:tcPr>
          <w:p w14:paraId="245BA844"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BFI.H549</w:t>
            </w:r>
          </w:p>
        </w:tc>
      </w:tr>
      <w:tr w:rsidR="000643B5" w:rsidRPr="00EA4CDC" w14:paraId="67A056A5"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6A888C5C"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158 - TRANSFERÊNCIAS A MUNICÍPIOS - LEI PELÉ</w:t>
            </w:r>
          </w:p>
        </w:tc>
        <w:tc>
          <w:tcPr>
            <w:tcW w:w="993" w:type="dxa"/>
            <w:tcBorders>
              <w:top w:val="nil"/>
              <w:left w:val="nil"/>
              <w:bottom w:val="nil"/>
              <w:right w:val="single" w:sz="8" w:space="0" w:color="auto"/>
            </w:tcBorders>
            <w:shd w:val="clear" w:color="auto" w:fill="auto"/>
            <w:vAlign w:val="center"/>
            <w:hideMark/>
          </w:tcPr>
          <w:p w14:paraId="137D8ED9"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BFI.C550</w:t>
            </w:r>
          </w:p>
        </w:tc>
        <w:tc>
          <w:tcPr>
            <w:tcW w:w="992" w:type="dxa"/>
            <w:tcBorders>
              <w:top w:val="nil"/>
              <w:left w:val="nil"/>
              <w:bottom w:val="nil"/>
              <w:right w:val="single" w:sz="8" w:space="0" w:color="auto"/>
            </w:tcBorders>
            <w:shd w:val="clear" w:color="auto" w:fill="auto"/>
            <w:vAlign w:val="center"/>
            <w:hideMark/>
          </w:tcPr>
          <w:p w14:paraId="52DDE41C"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BFI.D550</w:t>
            </w:r>
          </w:p>
        </w:tc>
        <w:tc>
          <w:tcPr>
            <w:tcW w:w="5103" w:type="dxa"/>
            <w:tcBorders>
              <w:top w:val="nil"/>
              <w:left w:val="nil"/>
              <w:bottom w:val="nil"/>
              <w:right w:val="single" w:sz="8" w:space="0" w:color="auto"/>
            </w:tcBorders>
            <w:shd w:val="clear" w:color="auto" w:fill="auto"/>
            <w:noWrap/>
            <w:vAlign w:val="center"/>
            <w:hideMark/>
          </w:tcPr>
          <w:p w14:paraId="2584F8BD"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158 - TRANSFERÊNCIAS A MUNICÍPIOS - LEI PELÉ</w:t>
            </w:r>
          </w:p>
        </w:tc>
        <w:tc>
          <w:tcPr>
            <w:tcW w:w="993" w:type="dxa"/>
            <w:tcBorders>
              <w:top w:val="nil"/>
              <w:left w:val="nil"/>
              <w:bottom w:val="nil"/>
              <w:right w:val="single" w:sz="8" w:space="0" w:color="auto"/>
            </w:tcBorders>
            <w:shd w:val="clear" w:color="auto" w:fill="auto"/>
            <w:vAlign w:val="center"/>
            <w:hideMark/>
          </w:tcPr>
          <w:p w14:paraId="79473A15"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BFI.G550</w:t>
            </w:r>
          </w:p>
        </w:tc>
        <w:tc>
          <w:tcPr>
            <w:tcW w:w="992" w:type="dxa"/>
            <w:tcBorders>
              <w:top w:val="nil"/>
              <w:left w:val="nil"/>
              <w:bottom w:val="nil"/>
              <w:right w:val="single" w:sz="8" w:space="0" w:color="auto"/>
            </w:tcBorders>
            <w:shd w:val="clear" w:color="auto" w:fill="auto"/>
            <w:vAlign w:val="center"/>
            <w:hideMark/>
          </w:tcPr>
          <w:p w14:paraId="3C8C2626"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BFI.H550</w:t>
            </w:r>
          </w:p>
        </w:tc>
      </w:tr>
      <w:tr w:rsidR="000643B5" w:rsidRPr="00EA4CDC" w14:paraId="5ACE6E04"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0D28E5CA"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159 - TRANSFERÊNCIAS FINANCEIRAS A FUNDOS</w:t>
            </w:r>
          </w:p>
        </w:tc>
        <w:tc>
          <w:tcPr>
            <w:tcW w:w="993" w:type="dxa"/>
            <w:tcBorders>
              <w:top w:val="nil"/>
              <w:left w:val="nil"/>
              <w:bottom w:val="nil"/>
              <w:right w:val="single" w:sz="8" w:space="0" w:color="auto"/>
            </w:tcBorders>
            <w:shd w:val="clear" w:color="auto" w:fill="auto"/>
            <w:vAlign w:val="center"/>
            <w:hideMark/>
          </w:tcPr>
          <w:p w14:paraId="750434CC"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BFI.C551</w:t>
            </w:r>
          </w:p>
        </w:tc>
        <w:tc>
          <w:tcPr>
            <w:tcW w:w="992" w:type="dxa"/>
            <w:tcBorders>
              <w:top w:val="nil"/>
              <w:left w:val="nil"/>
              <w:bottom w:val="nil"/>
              <w:right w:val="single" w:sz="8" w:space="0" w:color="auto"/>
            </w:tcBorders>
            <w:shd w:val="clear" w:color="auto" w:fill="auto"/>
            <w:vAlign w:val="center"/>
            <w:hideMark/>
          </w:tcPr>
          <w:p w14:paraId="3D6A5BB6"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BFI.D551</w:t>
            </w:r>
          </w:p>
        </w:tc>
        <w:tc>
          <w:tcPr>
            <w:tcW w:w="5103" w:type="dxa"/>
            <w:tcBorders>
              <w:top w:val="nil"/>
              <w:left w:val="nil"/>
              <w:bottom w:val="nil"/>
              <w:right w:val="single" w:sz="8" w:space="0" w:color="auto"/>
            </w:tcBorders>
            <w:shd w:val="clear" w:color="auto" w:fill="auto"/>
            <w:noWrap/>
            <w:vAlign w:val="center"/>
            <w:hideMark/>
          </w:tcPr>
          <w:p w14:paraId="344D3AA5"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159 - TRANSFERÊNCIAS FINANCEIRAS A FUNDOS</w:t>
            </w:r>
          </w:p>
        </w:tc>
        <w:tc>
          <w:tcPr>
            <w:tcW w:w="993" w:type="dxa"/>
            <w:tcBorders>
              <w:top w:val="nil"/>
              <w:left w:val="nil"/>
              <w:bottom w:val="nil"/>
              <w:right w:val="single" w:sz="8" w:space="0" w:color="auto"/>
            </w:tcBorders>
            <w:shd w:val="clear" w:color="auto" w:fill="auto"/>
            <w:vAlign w:val="center"/>
            <w:hideMark/>
          </w:tcPr>
          <w:p w14:paraId="11CFAA81"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BFI.G551</w:t>
            </w:r>
          </w:p>
        </w:tc>
        <w:tc>
          <w:tcPr>
            <w:tcW w:w="992" w:type="dxa"/>
            <w:tcBorders>
              <w:top w:val="nil"/>
              <w:left w:val="nil"/>
              <w:bottom w:val="nil"/>
              <w:right w:val="single" w:sz="8" w:space="0" w:color="auto"/>
            </w:tcBorders>
            <w:shd w:val="clear" w:color="auto" w:fill="auto"/>
            <w:vAlign w:val="center"/>
            <w:hideMark/>
          </w:tcPr>
          <w:p w14:paraId="66CCD32E"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BFI.H551</w:t>
            </w:r>
          </w:p>
        </w:tc>
      </w:tr>
      <w:tr w:rsidR="000643B5" w:rsidRPr="00EA4CDC" w14:paraId="7BA33926"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3C5F7548"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161 - FUNDO DE COMBATE A POBREZA - FUNCOP</w:t>
            </w:r>
          </w:p>
        </w:tc>
        <w:tc>
          <w:tcPr>
            <w:tcW w:w="993" w:type="dxa"/>
            <w:tcBorders>
              <w:top w:val="nil"/>
              <w:left w:val="nil"/>
              <w:bottom w:val="nil"/>
              <w:right w:val="single" w:sz="8" w:space="0" w:color="auto"/>
            </w:tcBorders>
            <w:shd w:val="clear" w:color="auto" w:fill="auto"/>
            <w:vAlign w:val="center"/>
            <w:hideMark/>
          </w:tcPr>
          <w:p w14:paraId="35231F3A"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BFI.C552</w:t>
            </w:r>
          </w:p>
        </w:tc>
        <w:tc>
          <w:tcPr>
            <w:tcW w:w="992" w:type="dxa"/>
            <w:tcBorders>
              <w:top w:val="nil"/>
              <w:left w:val="nil"/>
              <w:bottom w:val="nil"/>
              <w:right w:val="single" w:sz="8" w:space="0" w:color="auto"/>
            </w:tcBorders>
            <w:shd w:val="clear" w:color="auto" w:fill="auto"/>
            <w:vAlign w:val="center"/>
            <w:hideMark/>
          </w:tcPr>
          <w:p w14:paraId="1F71C645"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BFI.D552</w:t>
            </w:r>
          </w:p>
        </w:tc>
        <w:tc>
          <w:tcPr>
            <w:tcW w:w="5103" w:type="dxa"/>
            <w:tcBorders>
              <w:top w:val="nil"/>
              <w:left w:val="nil"/>
              <w:bottom w:val="nil"/>
              <w:right w:val="single" w:sz="8" w:space="0" w:color="auto"/>
            </w:tcBorders>
            <w:shd w:val="clear" w:color="auto" w:fill="auto"/>
            <w:noWrap/>
            <w:vAlign w:val="center"/>
            <w:hideMark/>
          </w:tcPr>
          <w:p w14:paraId="6AD00281"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161 - FUNDO DE COMBATE A POBREZA - FUNCOP</w:t>
            </w:r>
          </w:p>
        </w:tc>
        <w:tc>
          <w:tcPr>
            <w:tcW w:w="993" w:type="dxa"/>
            <w:tcBorders>
              <w:top w:val="nil"/>
              <w:left w:val="nil"/>
              <w:bottom w:val="nil"/>
              <w:right w:val="single" w:sz="8" w:space="0" w:color="auto"/>
            </w:tcBorders>
            <w:shd w:val="clear" w:color="auto" w:fill="auto"/>
            <w:vAlign w:val="center"/>
            <w:hideMark/>
          </w:tcPr>
          <w:p w14:paraId="48FD0CF8"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BFI.G552</w:t>
            </w:r>
          </w:p>
        </w:tc>
        <w:tc>
          <w:tcPr>
            <w:tcW w:w="992" w:type="dxa"/>
            <w:tcBorders>
              <w:top w:val="nil"/>
              <w:left w:val="nil"/>
              <w:bottom w:val="nil"/>
              <w:right w:val="single" w:sz="8" w:space="0" w:color="auto"/>
            </w:tcBorders>
            <w:shd w:val="clear" w:color="auto" w:fill="auto"/>
            <w:vAlign w:val="center"/>
            <w:hideMark/>
          </w:tcPr>
          <w:p w14:paraId="2EE7548C"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BFI.H552</w:t>
            </w:r>
          </w:p>
        </w:tc>
      </w:tr>
      <w:tr w:rsidR="000643B5" w:rsidRPr="00EA4CDC" w14:paraId="311AFD69"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3FD47325"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163 - RECURSOS LEI PELÉ</w:t>
            </w:r>
          </w:p>
        </w:tc>
        <w:tc>
          <w:tcPr>
            <w:tcW w:w="993" w:type="dxa"/>
            <w:tcBorders>
              <w:top w:val="nil"/>
              <w:left w:val="nil"/>
              <w:bottom w:val="nil"/>
              <w:right w:val="single" w:sz="8" w:space="0" w:color="auto"/>
            </w:tcBorders>
            <w:shd w:val="clear" w:color="auto" w:fill="auto"/>
            <w:vAlign w:val="center"/>
            <w:hideMark/>
          </w:tcPr>
          <w:p w14:paraId="54523486"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BFI.C554</w:t>
            </w:r>
          </w:p>
        </w:tc>
        <w:tc>
          <w:tcPr>
            <w:tcW w:w="992" w:type="dxa"/>
            <w:tcBorders>
              <w:top w:val="nil"/>
              <w:left w:val="nil"/>
              <w:bottom w:val="nil"/>
              <w:right w:val="single" w:sz="8" w:space="0" w:color="auto"/>
            </w:tcBorders>
            <w:shd w:val="clear" w:color="auto" w:fill="auto"/>
            <w:vAlign w:val="center"/>
            <w:hideMark/>
          </w:tcPr>
          <w:p w14:paraId="70B5C999"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BFI.D554</w:t>
            </w:r>
          </w:p>
        </w:tc>
        <w:tc>
          <w:tcPr>
            <w:tcW w:w="5103" w:type="dxa"/>
            <w:tcBorders>
              <w:top w:val="nil"/>
              <w:left w:val="nil"/>
              <w:bottom w:val="nil"/>
              <w:right w:val="single" w:sz="8" w:space="0" w:color="auto"/>
            </w:tcBorders>
            <w:shd w:val="clear" w:color="auto" w:fill="auto"/>
            <w:noWrap/>
            <w:vAlign w:val="center"/>
            <w:hideMark/>
          </w:tcPr>
          <w:p w14:paraId="0903F962"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163 - RECURSOS LEI PELÉ</w:t>
            </w:r>
          </w:p>
        </w:tc>
        <w:tc>
          <w:tcPr>
            <w:tcW w:w="993" w:type="dxa"/>
            <w:tcBorders>
              <w:top w:val="nil"/>
              <w:left w:val="nil"/>
              <w:bottom w:val="nil"/>
              <w:right w:val="single" w:sz="8" w:space="0" w:color="auto"/>
            </w:tcBorders>
            <w:shd w:val="clear" w:color="auto" w:fill="auto"/>
            <w:vAlign w:val="center"/>
            <w:hideMark/>
          </w:tcPr>
          <w:p w14:paraId="7882CF62"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BFI.G554</w:t>
            </w:r>
          </w:p>
        </w:tc>
        <w:tc>
          <w:tcPr>
            <w:tcW w:w="992" w:type="dxa"/>
            <w:tcBorders>
              <w:top w:val="nil"/>
              <w:left w:val="nil"/>
              <w:bottom w:val="nil"/>
              <w:right w:val="single" w:sz="8" w:space="0" w:color="auto"/>
            </w:tcBorders>
            <w:shd w:val="clear" w:color="auto" w:fill="auto"/>
            <w:vAlign w:val="center"/>
            <w:hideMark/>
          </w:tcPr>
          <w:p w14:paraId="4D5AD7F0"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BFI.H554</w:t>
            </w:r>
          </w:p>
        </w:tc>
      </w:tr>
      <w:tr w:rsidR="000643B5" w:rsidRPr="00EA4CDC" w14:paraId="629D90B6"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73787C35"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164 - TRANSFERÊNCIA A MUNICÍPIOS ROYALTIES LEI 8.308/06</w:t>
            </w:r>
          </w:p>
        </w:tc>
        <w:tc>
          <w:tcPr>
            <w:tcW w:w="993" w:type="dxa"/>
            <w:tcBorders>
              <w:top w:val="nil"/>
              <w:left w:val="nil"/>
              <w:bottom w:val="nil"/>
              <w:right w:val="single" w:sz="8" w:space="0" w:color="auto"/>
            </w:tcBorders>
            <w:shd w:val="clear" w:color="auto" w:fill="auto"/>
            <w:vAlign w:val="center"/>
            <w:hideMark/>
          </w:tcPr>
          <w:p w14:paraId="70420000"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BFI.C555</w:t>
            </w:r>
          </w:p>
        </w:tc>
        <w:tc>
          <w:tcPr>
            <w:tcW w:w="992" w:type="dxa"/>
            <w:tcBorders>
              <w:top w:val="nil"/>
              <w:left w:val="nil"/>
              <w:bottom w:val="nil"/>
              <w:right w:val="single" w:sz="8" w:space="0" w:color="auto"/>
            </w:tcBorders>
            <w:shd w:val="clear" w:color="auto" w:fill="auto"/>
            <w:vAlign w:val="center"/>
            <w:hideMark/>
          </w:tcPr>
          <w:p w14:paraId="2F06FEDB"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BFI.D555</w:t>
            </w:r>
          </w:p>
        </w:tc>
        <w:tc>
          <w:tcPr>
            <w:tcW w:w="5103" w:type="dxa"/>
            <w:tcBorders>
              <w:top w:val="nil"/>
              <w:left w:val="nil"/>
              <w:bottom w:val="nil"/>
              <w:right w:val="single" w:sz="8" w:space="0" w:color="auto"/>
            </w:tcBorders>
            <w:shd w:val="clear" w:color="auto" w:fill="auto"/>
            <w:noWrap/>
            <w:vAlign w:val="center"/>
            <w:hideMark/>
          </w:tcPr>
          <w:p w14:paraId="3A6BDEF7"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164 - TRANSFERÊNCIA A MUNICÍPIOS ROYALTIES LEI 8.308/06</w:t>
            </w:r>
          </w:p>
        </w:tc>
        <w:tc>
          <w:tcPr>
            <w:tcW w:w="993" w:type="dxa"/>
            <w:tcBorders>
              <w:top w:val="nil"/>
              <w:left w:val="nil"/>
              <w:bottom w:val="nil"/>
              <w:right w:val="single" w:sz="8" w:space="0" w:color="auto"/>
            </w:tcBorders>
            <w:shd w:val="clear" w:color="auto" w:fill="auto"/>
            <w:vAlign w:val="center"/>
            <w:hideMark/>
          </w:tcPr>
          <w:p w14:paraId="5755878A"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BFI.G555</w:t>
            </w:r>
          </w:p>
        </w:tc>
        <w:tc>
          <w:tcPr>
            <w:tcW w:w="992" w:type="dxa"/>
            <w:tcBorders>
              <w:top w:val="nil"/>
              <w:left w:val="nil"/>
              <w:bottom w:val="nil"/>
              <w:right w:val="single" w:sz="8" w:space="0" w:color="auto"/>
            </w:tcBorders>
            <w:shd w:val="clear" w:color="auto" w:fill="auto"/>
            <w:vAlign w:val="center"/>
            <w:hideMark/>
          </w:tcPr>
          <w:p w14:paraId="073DA2DC"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BFI.H555</w:t>
            </w:r>
          </w:p>
        </w:tc>
      </w:tr>
      <w:tr w:rsidR="000643B5" w:rsidRPr="00EA4CDC" w14:paraId="5DFD6460"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51C57833"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166 - PLANO DE AÇÕES ARTICULADAS - PAR</w:t>
            </w:r>
          </w:p>
        </w:tc>
        <w:tc>
          <w:tcPr>
            <w:tcW w:w="993" w:type="dxa"/>
            <w:tcBorders>
              <w:top w:val="nil"/>
              <w:left w:val="nil"/>
              <w:bottom w:val="nil"/>
              <w:right w:val="single" w:sz="8" w:space="0" w:color="auto"/>
            </w:tcBorders>
            <w:shd w:val="clear" w:color="auto" w:fill="auto"/>
            <w:vAlign w:val="center"/>
            <w:hideMark/>
          </w:tcPr>
          <w:p w14:paraId="1FA10D74"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BFI.C556</w:t>
            </w:r>
          </w:p>
        </w:tc>
        <w:tc>
          <w:tcPr>
            <w:tcW w:w="992" w:type="dxa"/>
            <w:tcBorders>
              <w:top w:val="nil"/>
              <w:left w:val="nil"/>
              <w:bottom w:val="nil"/>
              <w:right w:val="single" w:sz="8" w:space="0" w:color="auto"/>
            </w:tcBorders>
            <w:shd w:val="clear" w:color="auto" w:fill="auto"/>
            <w:vAlign w:val="center"/>
            <w:hideMark/>
          </w:tcPr>
          <w:p w14:paraId="008DD537"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BFI.D556</w:t>
            </w:r>
          </w:p>
        </w:tc>
        <w:tc>
          <w:tcPr>
            <w:tcW w:w="5103" w:type="dxa"/>
            <w:tcBorders>
              <w:top w:val="nil"/>
              <w:left w:val="nil"/>
              <w:bottom w:val="nil"/>
              <w:right w:val="single" w:sz="8" w:space="0" w:color="auto"/>
            </w:tcBorders>
            <w:shd w:val="clear" w:color="auto" w:fill="auto"/>
            <w:noWrap/>
            <w:vAlign w:val="center"/>
            <w:hideMark/>
          </w:tcPr>
          <w:p w14:paraId="5C3949B0"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166 - PLANO DE AÇÕES ARTICULADAS - PAR</w:t>
            </w:r>
          </w:p>
        </w:tc>
        <w:tc>
          <w:tcPr>
            <w:tcW w:w="993" w:type="dxa"/>
            <w:tcBorders>
              <w:top w:val="nil"/>
              <w:left w:val="nil"/>
              <w:bottom w:val="nil"/>
              <w:right w:val="single" w:sz="8" w:space="0" w:color="auto"/>
            </w:tcBorders>
            <w:shd w:val="clear" w:color="auto" w:fill="auto"/>
            <w:vAlign w:val="center"/>
            <w:hideMark/>
          </w:tcPr>
          <w:p w14:paraId="1CCCD34F"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BFI.G556</w:t>
            </w:r>
          </w:p>
        </w:tc>
        <w:tc>
          <w:tcPr>
            <w:tcW w:w="992" w:type="dxa"/>
            <w:tcBorders>
              <w:top w:val="nil"/>
              <w:left w:val="nil"/>
              <w:bottom w:val="nil"/>
              <w:right w:val="single" w:sz="8" w:space="0" w:color="auto"/>
            </w:tcBorders>
            <w:shd w:val="clear" w:color="auto" w:fill="auto"/>
            <w:vAlign w:val="center"/>
            <w:hideMark/>
          </w:tcPr>
          <w:p w14:paraId="78D351FE"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BFI.H556</w:t>
            </w:r>
          </w:p>
        </w:tc>
      </w:tr>
      <w:tr w:rsidR="000643B5" w:rsidRPr="00EA4CDC" w14:paraId="5A3D2560"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5D008E51"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167 - TRANSFERÊNCIAS OBRIGATÓRIAS PARA AÇÕES DE DEFESA CIVIL</w:t>
            </w:r>
          </w:p>
        </w:tc>
        <w:tc>
          <w:tcPr>
            <w:tcW w:w="993" w:type="dxa"/>
            <w:tcBorders>
              <w:top w:val="nil"/>
              <w:left w:val="nil"/>
              <w:bottom w:val="nil"/>
              <w:right w:val="single" w:sz="8" w:space="0" w:color="auto"/>
            </w:tcBorders>
            <w:shd w:val="clear" w:color="auto" w:fill="auto"/>
            <w:vAlign w:val="center"/>
            <w:hideMark/>
          </w:tcPr>
          <w:p w14:paraId="7960924A"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BFI.C557</w:t>
            </w:r>
          </w:p>
        </w:tc>
        <w:tc>
          <w:tcPr>
            <w:tcW w:w="992" w:type="dxa"/>
            <w:tcBorders>
              <w:top w:val="nil"/>
              <w:left w:val="nil"/>
              <w:bottom w:val="nil"/>
              <w:right w:val="single" w:sz="8" w:space="0" w:color="auto"/>
            </w:tcBorders>
            <w:shd w:val="clear" w:color="auto" w:fill="auto"/>
            <w:vAlign w:val="center"/>
            <w:hideMark/>
          </w:tcPr>
          <w:p w14:paraId="08D90B0F"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BFI.D557</w:t>
            </w:r>
          </w:p>
        </w:tc>
        <w:tc>
          <w:tcPr>
            <w:tcW w:w="5103" w:type="dxa"/>
            <w:tcBorders>
              <w:top w:val="nil"/>
              <w:left w:val="nil"/>
              <w:bottom w:val="nil"/>
              <w:right w:val="single" w:sz="8" w:space="0" w:color="auto"/>
            </w:tcBorders>
            <w:shd w:val="clear" w:color="auto" w:fill="auto"/>
            <w:noWrap/>
            <w:vAlign w:val="center"/>
            <w:hideMark/>
          </w:tcPr>
          <w:p w14:paraId="098A00C4" w14:textId="77777777" w:rsidR="000643B5" w:rsidRPr="00EA4CDC" w:rsidRDefault="000643B5" w:rsidP="00080E19">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167 - TRANSFERÊNCIAS OBRIGATÓRIAS PARA AÇÕES DE DEFESA CIVIL</w:t>
            </w:r>
          </w:p>
        </w:tc>
        <w:tc>
          <w:tcPr>
            <w:tcW w:w="993" w:type="dxa"/>
            <w:tcBorders>
              <w:top w:val="nil"/>
              <w:left w:val="nil"/>
              <w:bottom w:val="nil"/>
              <w:right w:val="single" w:sz="8" w:space="0" w:color="auto"/>
            </w:tcBorders>
            <w:shd w:val="clear" w:color="auto" w:fill="auto"/>
            <w:vAlign w:val="center"/>
            <w:hideMark/>
          </w:tcPr>
          <w:p w14:paraId="0E4C092B"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BFI.G557</w:t>
            </w:r>
          </w:p>
        </w:tc>
        <w:tc>
          <w:tcPr>
            <w:tcW w:w="992" w:type="dxa"/>
            <w:tcBorders>
              <w:top w:val="nil"/>
              <w:left w:val="nil"/>
              <w:bottom w:val="nil"/>
              <w:right w:val="single" w:sz="8" w:space="0" w:color="auto"/>
            </w:tcBorders>
            <w:shd w:val="clear" w:color="auto" w:fill="auto"/>
            <w:vAlign w:val="center"/>
            <w:hideMark/>
          </w:tcPr>
          <w:p w14:paraId="16085F4F" w14:textId="77777777" w:rsidR="000643B5" w:rsidRPr="00EA4CDC" w:rsidRDefault="000643B5" w:rsidP="00080E19">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BFI.H557</w:t>
            </w:r>
          </w:p>
        </w:tc>
      </w:tr>
      <w:tr w:rsidR="00CB18AB" w:rsidRPr="00EA4CDC" w14:paraId="2A42A6A4"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tcPr>
          <w:p w14:paraId="3F2E3A1E" w14:textId="5EFC7FAA" w:rsidR="00CB18AB" w:rsidRPr="00EA4CDC" w:rsidRDefault="00704774" w:rsidP="00CB18AB">
            <w:pPr>
              <w:spacing w:after="0" w:line="240" w:lineRule="auto"/>
              <w:ind w:firstLineChars="200" w:firstLine="320"/>
              <w:rPr>
                <w:rFonts w:ascii="Arial Narrow" w:eastAsia="Times New Roman" w:hAnsi="Arial Narrow" w:cs="Arial"/>
                <w:sz w:val="16"/>
                <w:szCs w:val="16"/>
                <w:lang w:eastAsia="pt-BR"/>
              </w:rPr>
            </w:pPr>
            <w:r w:rsidRPr="00704774">
              <w:rPr>
                <w:rFonts w:ascii="Arial Narrow" w:eastAsia="Times New Roman" w:hAnsi="Arial Narrow" w:cs="Arial"/>
                <w:color w:val="0070C0"/>
                <w:sz w:val="16"/>
                <w:szCs w:val="16"/>
                <w:lang w:eastAsia="pt-BR"/>
              </w:rPr>
              <w:t>177 - TRANSFERÊNCIA ESPECIAL DA UNIÃO – EMENDAS PARLAMENTARES INDIVIDUAIS IMPOSITIVAS (Art. 166-A, I CF/88)</w:t>
            </w:r>
          </w:p>
        </w:tc>
        <w:tc>
          <w:tcPr>
            <w:tcW w:w="993" w:type="dxa"/>
            <w:tcBorders>
              <w:top w:val="nil"/>
              <w:left w:val="nil"/>
              <w:bottom w:val="nil"/>
              <w:right w:val="single" w:sz="8" w:space="0" w:color="auto"/>
            </w:tcBorders>
            <w:shd w:val="clear" w:color="auto" w:fill="auto"/>
            <w:vAlign w:val="center"/>
          </w:tcPr>
          <w:p w14:paraId="6B786DBB" w14:textId="7B4608A1" w:rsidR="00CB18AB" w:rsidRPr="00EA4CDC" w:rsidRDefault="00CB18AB" w:rsidP="00CB18AB">
            <w:pPr>
              <w:spacing w:after="0" w:line="240" w:lineRule="auto"/>
              <w:jc w:val="center"/>
              <w:rPr>
                <w:rFonts w:ascii="Arial Narrow" w:eastAsia="Times New Roman" w:hAnsi="Arial Narrow" w:cs="Arial"/>
                <w:sz w:val="16"/>
                <w:szCs w:val="16"/>
                <w:lang w:eastAsia="pt-BR"/>
              </w:rPr>
            </w:pPr>
            <w:r>
              <w:rPr>
                <w:rFonts w:ascii="Arial Narrow" w:eastAsia="Times New Roman" w:hAnsi="Arial Narrow" w:cs="Arial"/>
                <w:color w:val="0070C0"/>
                <w:sz w:val="16"/>
                <w:szCs w:val="16"/>
                <w:lang w:eastAsia="pt-BR"/>
              </w:rPr>
              <w:t>BFI.C607</w:t>
            </w:r>
          </w:p>
        </w:tc>
        <w:tc>
          <w:tcPr>
            <w:tcW w:w="992" w:type="dxa"/>
            <w:tcBorders>
              <w:top w:val="nil"/>
              <w:left w:val="nil"/>
              <w:bottom w:val="nil"/>
              <w:right w:val="single" w:sz="8" w:space="0" w:color="auto"/>
            </w:tcBorders>
            <w:shd w:val="clear" w:color="auto" w:fill="auto"/>
            <w:vAlign w:val="center"/>
          </w:tcPr>
          <w:p w14:paraId="0616A12A" w14:textId="71A9D036" w:rsidR="00CB18AB" w:rsidRPr="00EA4CDC" w:rsidRDefault="00CB18AB" w:rsidP="00CB18AB">
            <w:pPr>
              <w:spacing w:after="0" w:line="240" w:lineRule="auto"/>
              <w:jc w:val="center"/>
              <w:rPr>
                <w:rFonts w:ascii="Arial Narrow" w:eastAsia="Times New Roman" w:hAnsi="Arial Narrow" w:cs="Arial"/>
                <w:sz w:val="16"/>
                <w:szCs w:val="16"/>
                <w:lang w:eastAsia="pt-BR"/>
              </w:rPr>
            </w:pPr>
            <w:r>
              <w:rPr>
                <w:rFonts w:ascii="Arial Narrow" w:eastAsia="Times New Roman" w:hAnsi="Arial Narrow" w:cs="Arial"/>
                <w:color w:val="0070C0"/>
                <w:sz w:val="16"/>
                <w:szCs w:val="16"/>
                <w:lang w:eastAsia="pt-BR"/>
              </w:rPr>
              <w:t>BFI.D607</w:t>
            </w:r>
          </w:p>
        </w:tc>
        <w:tc>
          <w:tcPr>
            <w:tcW w:w="5103" w:type="dxa"/>
            <w:tcBorders>
              <w:top w:val="nil"/>
              <w:left w:val="nil"/>
              <w:bottom w:val="nil"/>
              <w:right w:val="single" w:sz="8" w:space="0" w:color="auto"/>
            </w:tcBorders>
            <w:shd w:val="clear" w:color="auto" w:fill="auto"/>
            <w:noWrap/>
            <w:vAlign w:val="center"/>
          </w:tcPr>
          <w:p w14:paraId="2D31700C" w14:textId="4DE29D29" w:rsidR="00CB18AB" w:rsidRPr="00EA4CDC" w:rsidRDefault="00704774" w:rsidP="00CB18AB">
            <w:pPr>
              <w:spacing w:after="0" w:line="240" w:lineRule="auto"/>
              <w:ind w:firstLineChars="200" w:firstLine="320"/>
              <w:rPr>
                <w:rFonts w:ascii="Arial Narrow" w:eastAsia="Times New Roman" w:hAnsi="Arial Narrow" w:cs="Arial"/>
                <w:sz w:val="16"/>
                <w:szCs w:val="16"/>
                <w:lang w:eastAsia="pt-BR"/>
              </w:rPr>
            </w:pPr>
            <w:r w:rsidRPr="00704774">
              <w:rPr>
                <w:rFonts w:ascii="Arial Narrow" w:eastAsia="Times New Roman" w:hAnsi="Arial Narrow" w:cs="Arial"/>
                <w:color w:val="0070C0"/>
                <w:sz w:val="16"/>
                <w:szCs w:val="16"/>
                <w:lang w:eastAsia="pt-BR"/>
              </w:rPr>
              <w:t>177 - TRANSFERÊNCIA ESPECIAL DA UNIÃO – EMENDAS PARLAMENTARES INDIVIDUAIS IMPOSITIVAS (Art. 166-A, I CF/88)</w:t>
            </w:r>
          </w:p>
        </w:tc>
        <w:tc>
          <w:tcPr>
            <w:tcW w:w="993" w:type="dxa"/>
            <w:tcBorders>
              <w:top w:val="nil"/>
              <w:left w:val="nil"/>
              <w:bottom w:val="nil"/>
              <w:right w:val="single" w:sz="8" w:space="0" w:color="auto"/>
            </w:tcBorders>
            <w:shd w:val="clear" w:color="auto" w:fill="auto"/>
            <w:vAlign w:val="center"/>
          </w:tcPr>
          <w:p w14:paraId="5CA44124" w14:textId="6F97A10D" w:rsidR="00CB18AB" w:rsidRPr="00EA4CDC" w:rsidRDefault="00CB18AB" w:rsidP="00CB18AB">
            <w:pPr>
              <w:spacing w:after="0" w:line="240" w:lineRule="auto"/>
              <w:jc w:val="center"/>
              <w:rPr>
                <w:rFonts w:ascii="Arial Narrow" w:eastAsia="Times New Roman" w:hAnsi="Arial Narrow" w:cs="Arial"/>
                <w:sz w:val="16"/>
                <w:szCs w:val="16"/>
                <w:lang w:eastAsia="pt-BR"/>
              </w:rPr>
            </w:pPr>
            <w:r>
              <w:rPr>
                <w:rFonts w:ascii="Arial Narrow" w:eastAsia="Times New Roman" w:hAnsi="Arial Narrow" w:cs="Arial"/>
                <w:color w:val="0070C0"/>
                <w:sz w:val="16"/>
                <w:szCs w:val="16"/>
                <w:lang w:eastAsia="pt-BR"/>
              </w:rPr>
              <w:t>BFI.G607</w:t>
            </w:r>
          </w:p>
        </w:tc>
        <w:tc>
          <w:tcPr>
            <w:tcW w:w="992" w:type="dxa"/>
            <w:tcBorders>
              <w:top w:val="nil"/>
              <w:left w:val="nil"/>
              <w:bottom w:val="nil"/>
              <w:right w:val="single" w:sz="8" w:space="0" w:color="auto"/>
            </w:tcBorders>
            <w:shd w:val="clear" w:color="auto" w:fill="auto"/>
            <w:vAlign w:val="center"/>
          </w:tcPr>
          <w:p w14:paraId="2463F88B" w14:textId="5EF1542C" w:rsidR="00CB18AB" w:rsidRPr="00EA4CDC" w:rsidRDefault="00CB18AB" w:rsidP="00CB18AB">
            <w:pPr>
              <w:spacing w:after="0" w:line="240" w:lineRule="auto"/>
              <w:jc w:val="center"/>
              <w:rPr>
                <w:rFonts w:ascii="Arial Narrow" w:eastAsia="Times New Roman" w:hAnsi="Arial Narrow" w:cs="Arial"/>
                <w:sz w:val="16"/>
                <w:szCs w:val="16"/>
                <w:lang w:eastAsia="pt-BR"/>
              </w:rPr>
            </w:pPr>
            <w:r>
              <w:rPr>
                <w:rFonts w:ascii="Arial Narrow" w:eastAsia="Times New Roman" w:hAnsi="Arial Narrow" w:cs="Arial"/>
                <w:color w:val="0070C0"/>
                <w:sz w:val="16"/>
                <w:szCs w:val="16"/>
                <w:lang w:eastAsia="pt-BR"/>
              </w:rPr>
              <w:t>BFI.</w:t>
            </w:r>
            <w:r w:rsidR="00262C6E">
              <w:rPr>
                <w:rFonts w:ascii="Arial Narrow" w:eastAsia="Times New Roman" w:hAnsi="Arial Narrow" w:cs="Arial"/>
                <w:color w:val="0070C0"/>
                <w:sz w:val="16"/>
                <w:szCs w:val="16"/>
                <w:lang w:eastAsia="pt-BR"/>
              </w:rPr>
              <w:t>H</w:t>
            </w:r>
            <w:r>
              <w:rPr>
                <w:rFonts w:ascii="Arial Narrow" w:eastAsia="Times New Roman" w:hAnsi="Arial Narrow" w:cs="Arial"/>
                <w:color w:val="0070C0"/>
                <w:sz w:val="16"/>
                <w:szCs w:val="16"/>
                <w:lang w:eastAsia="pt-BR"/>
              </w:rPr>
              <w:t>607</w:t>
            </w:r>
          </w:p>
        </w:tc>
      </w:tr>
      <w:tr w:rsidR="00696B6D" w:rsidRPr="00EA4CDC" w14:paraId="61F35A88"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tcPr>
          <w:p w14:paraId="2CF82B27" w14:textId="2912C2D9" w:rsidR="00696B6D" w:rsidRPr="00704774" w:rsidRDefault="00696B6D" w:rsidP="00696B6D">
            <w:pPr>
              <w:spacing w:after="0" w:line="240" w:lineRule="auto"/>
              <w:ind w:firstLineChars="200" w:firstLine="320"/>
              <w:rPr>
                <w:rFonts w:ascii="Arial Narrow" w:eastAsia="Times New Roman" w:hAnsi="Arial Narrow" w:cs="Arial"/>
                <w:color w:val="0070C0"/>
                <w:sz w:val="16"/>
                <w:szCs w:val="16"/>
                <w:lang w:eastAsia="pt-BR"/>
              </w:rPr>
            </w:pPr>
            <w:r>
              <w:rPr>
                <w:rFonts w:ascii="Arial Narrow" w:eastAsia="Times New Roman" w:hAnsi="Arial Narrow" w:cs="Arial"/>
                <w:color w:val="0070C0"/>
                <w:sz w:val="16"/>
                <w:szCs w:val="16"/>
                <w:lang w:eastAsia="pt-BR"/>
              </w:rPr>
              <w:t>179 – OUTROS RECURSOS VINCULADOS</w:t>
            </w:r>
          </w:p>
        </w:tc>
        <w:tc>
          <w:tcPr>
            <w:tcW w:w="993" w:type="dxa"/>
            <w:tcBorders>
              <w:top w:val="nil"/>
              <w:left w:val="nil"/>
              <w:bottom w:val="nil"/>
              <w:right w:val="single" w:sz="8" w:space="0" w:color="auto"/>
            </w:tcBorders>
            <w:shd w:val="clear" w:color="auto" w:fill="auto"/>
            <w:vAlign w:val="center"/>
          </w:tcPr>
          <w:p w14:paraId="479C4D43" w14:textId="43C191B8" w:rsidR="00696B6D" w:rsidRDefault="00696B6D" w:rsidP="00696B6D">
            <w:pPr>
              <w:spacing w:after="0" w:line="240" w:lineRule="auto"/>
              <w:jc w:val="center"/>
              <w:rPr>
                <w:rFonts w:ascii="Arial Narrow" w:eastAsia="Times New Roman" w:hAnsi="Arial Narrow" w:cs="Arial"/>
                <w:color w:val="0070C0"/>
                <w:sz w:val="16"/>
                <w:szCs w:val="16"/>
                <w:lang w:eastAsia="pt-BR"/>
              </w:rPr>
            </w:pPr>
            <w:r>
              <w:rPr>
                <w:rFonts w:ascii="Arial Narrow" w:eastAsia="Times New Roman" w:hAnsi="Arial Narrow" w:cs="Arial"/>
                <w:color w:val="0070C0"/>
                <w:sz w:val="16"/>
                <w:szCs w:val="16"/>
                <w:lang w:eastAsia="pt-BR"/>
              </w:rPr>
              <w:t>BFI.C608</w:t>
            </w:r>
          </w:p>
        </w:tc>
        <w:tc>
          <w:tcPr>
            <w:tcW w:w="992" w:type="dxa"/>
            <w:tcBorders>
              <w:top w:val="nil"/>
              <w:left w:val="nil"/>
              <w:bottom w:val="nil"/>
              <w:right w:val="single" w:sz="8" w:space="0" w:color="auto"/>
            </w:tcBorders>
            <w:shd w:val="clear" w:color="auto" w:fill="auto"/>
            <w:vAlign w:val="center"/>
          </w:tcPr>
          <w:p w14:paraId="524CD1DD" w14:textId="45250662" w:rsidR="00696B6D" w:rsidRDefault="00696B6D" w:rsidP="00696B6D">
            <w:pPr>
              <w:spacing w:after="0" w:line="240" w:lineRule="auto"/>
              <w:jc w:val="center"/>
              <w:rPr>
                <w:rFonts w:ascii="Arial Narrow" w:eastAsia="Times New Roman" w:hAnsi="Arial Narrow" w:cs="Arial"/>
                <w:color w:val="0070C0"/>
                <w:sz w:val="16"/>
                <w:szCs w:val="16"/>
                <w:lang w:eastAsia="pt-BR"/>
              </w:rPr>
            </w:pPr>
            <w:r>
              <w:rPr>
                <w:rFonts w:ascii="Arial Narrow" w:eastAsia="Times New Roman" w:hAnsi="Arial Narrow" w:cs="Arial"/>
                <w:color w:val="0070C0"/>
                <w:sz w:val="16"/>
                <w:szCs w:val="16"/>
                <w:lang w:eastAsia="pt-BR"/>
              </w:rPr>
              <w:t>BFI.D608</w:t>
            </w:r>
          </w:p>
        </w:tc>
        <w:tc>
          <w:tcPr>
            <w:tcW w:w="5103" w:type="dxa"/>
            <w:tcBorders>
              <w:top w:val="nil"/>
              <w:left w:val="nil"/>
              <w:bottom w:val="nil"/>
              <w:right w:val="single" w:sz="8" w:space="0" w:color="auto"/>
            </w:tcBorders>
            <w:shd w:val="clear" w:color="auto" w:fill="auto"/>
            <w:noWrap/>
            <w:vAlign w:val="center"/>
          </w:tcPr>
          <w:p w14:paraId="681BF2E9" w14:textId="2F4D751A" w:rsidR="00696B6D" w:rsidRPr="00704774" w:rsidRDefault="00696B6D" w:rsidP="00696B6D">
            <w:pPr>
              <w:spacing w:after="0" w:line="240" w:lineRule="auto"/>
              <w:ind w:firstLineChars="200" w:firstLine="320"/>
              <w:rPr>
                <w:rFonts w:ascii="Arial Narrow" w:eastAsia="Times New Roman" w:hAnsi="Arial Narrow" w:cs="Arial"/>
                <w:color w:val="0070C0"/>
                <w:sz w:val="16"/>
                <w:szCs w:val="16"/>
                <w:lang w:eastAsia="pt-BR"/>
              </w:rPr>
            </w:pPr>
            <w:r>
              <w:rPr>
                <w:rFonts w:ascii="Arial Narrow" w:eastAsia="Times New Roman" w:hAnsi="Arial Narrow" w:cs="Arial"/>
                <w:color w:val="0070C0"/>
                <w:sz w:val="16"/>
                <w:szCs w:val="16"/>
                <w:lang w:eastAsia="pt-BR"/>
              </w:rPr>
              <w:t>179 – OUTROS RECURSOS VINCULADOS</w:t>
            </w:r>
          </w:p>
        </w:tc>
        <w:tc>
          <w:tcPr>
            <w:tcW w:w="993" w:type="dxa"/>
            <w:tcBorders>
              <w:top w:val="nil"/>
              <w:left w:val="nil"/>
              <w:bottom w:val="nil"/>
              <w:right w:val="single" w:sz="8" w:space="0" w:color="auto"/>
            </w:tcBorders>
            <w:shd w:val="clear" w:color="auto" w:fill="auto"/>
            <w:vAlign w:val="center"/>
          </w:tcPr>
          <w:p w14:paraId="1342B681" w14:textId="08887B6A" w:rsidR="00696B6D" w:rsidRDefault="00696B6D" w:rsidP="00696B6D">
            <w:pPr>
              <w:spacing w:after="0" w:line="240" w:lineRule="auto"/>
              <w:jc w:val="center"/>
              <w:rPr>
                <w:rFonts w:ascii="Arial Narrow" w:eastAsia="Times New Roman" w:hAnsi="Arial Narrow" w:cs="Arial"/>
                <w:color w:val="0070C0"/>
                <w:sz w:val="16"/>
                <w:szCs w:val="16"/>
                <w:lang w:eastAsia="pt-BR"/>
              </w:rPr>
            </w:pPr>
            <w:r>
              <w:rPr>
                <w:rFonts w:ascii="Arial Narrow" w:eastAsia="Times New Roman" w:hAnsi="Arial Narrow" w:cs="Arial"/>
                <w:color w:val="0070C0"/>
                <w:sz w:val="16"/>
                <w:szCs w:val="16"/>
                <w:lang w:eastAsia="pt-BR"/>
              </w:rPr>
              <w:t>BFI.G608</w:t>
            </w:r>
          </w:p>
        </w:tc>
        <w:tc>
          <w:tcPr>
            <w:tcW w:w="992" w:type="dxa"/>
            <w:tcBorders>
              <w:top w:val="nil"/>
              <w:left w:val="nil"/>
              <w:bottom w:val="nil"/>
              <w:right w:val="single" w:sz="8" w:space="0" w:color="auto"/>
            </w:tcBorders>
            <w:shd w:val="clear" w:color="auto" w:fill="auto"/>
            <w:vAlign w:val="center"/>
          </w:tcPr>
          <w:p w14:paraId="01602EE3" w14:textId="3986AE89" w:rsidR="00696B6D" w:rsidRDefault="00696B6D" w:rsidP="00696B6D">
            <w:pPr>
              <w:spacing w:after="0" w:line="240" w:lineRule="auto"/>
              <w:jc w:val="center"/>
              <w:rPr>
                <w:rFonts w:ascii="Arial Narrow" w:eastAsia="Times New Roman" w:hAnsi="Arial Narrow" w:cs="Arial"/>
                <w:color w:val="0070C0"/>
                <w:sz w:val="16"/>
                <w:szCs w:val="16"/>
                <w:lang w:eastAsia="pt-BR"/>
              </w:rPr>
            </w:pPr>
            <w:r>
              <w:rPr>
                <w:rFonts w:ascii="Arial Narrow" w:eastAsia="Times New Roman" w:hAnsi="Arial Narrow" w:cs="Arial"/>
                <w:color w:val="0070C0"/>
                <w:sz w:val="16"/>
                <w:szCs w:val="16"/>
                <w:lang w:eastAsia="pt-BR"/>
              </w:rPr>
              <w:t>BFI.</w:t>
            </w:r>
            <w:r w:rsidR="00262C6E">
              <w:rPr>
                <w:rFonts w:ascii="Arial Narrow" w:eastAsia="Times New Roman" w:hAnsi="Arial Narrow" w:cs="Arial"/>
                <w:color w:val="0070C0"/>
                <w:sz w:val="16"/>
                <w:szCs w:val="16"/>
                <w:lang w:eastAsia="pt-BR"/>
              </w:rPr>
              <w:t>H</w:t>
            </w:r>
            <w:r>
              <w:rPr>
                <w:rFonts w:ascii="Arial Narrow" w:eastAsia="Times New Roman" w:hAnsi="Arial Narrow" w:cs="Arial"/>
                <w:color w:val="0070C0"/>
                <w:sz w:val="16"/>
                <w:szCs w:val="16"/>
                <w:lang w:eastAsia="pt-BR"/>
              </w:rPr>
              <w:t>608</w:t>
            </w:r>
          </w:p>
        </w:tc>
      </w:tr>
      <w:tr w:rsidR="00696B6D" w:rsidRPr="00EA4CDC" w14:paraId="74D72730"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76CFBF3F" w14:textId="77777777" w:rsidR="00696B6D" w:rsidRPr="00EA4CDC" w:rsidRDefault="00696B6D" w:rsidP="00696B6D">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271 - ARRECADADO PELO ÓRGÃO</w:t>
            </w:r>
          </w:p>
        </w:tc>
        <w:tc>
          <w:tcPr>
            <w:tcW w:w="993" w:type="dxa"/>
            <w:tcBorders>
              <w:top w:val="nil"/>
              <w:left w:val="nil"/>
              <w:bottom w:val="nil"/>
              <w:right w:val="single" w:sz="8" w:space="0" w:color="auto"/>
            </w:tcBorders>
            <w:shd w:val="clear" w:color="auto" w:fill="auto"/>
            <w:vAlign w:val="center"/>
            <w:hideMark/>
          </w:tcPr>
          <w:p w14:paraId="1AE8B8E5"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BFI.C559</w:t>
            </w:r>
          </w:p>
        </w:tc>
        <w:tc>
          <w:tcPr>
            <w:tcW w:w="992" w:type="dxa"/>
            <w:tcBorders>
              <w:top w:val="nil"/>
              <w:left w:val="nil"/>
              <w:bottom w:val="nil"/>
              <w:right w:val="single" w:sz="8" w:space="0" w:color="auto"/>
            </w:tcBorders>
            <w:shd w:val="clear" w:color="auto" w:fill="auto"/>
            <w:vAlign w:val="center"/>
            <w:hideMark/>
          </w:tcPr>
          <w:p w14:paraId="6D09D6F8"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BFI.D559</w:t>
            </w:r>
          </w:p>
        </w:tc>
        <w:tc>
          <w:tcPr>
            <w:tcW w:w="5103" w:type="dxa"/>
            <w:tcBorders>
              <w:top w:val="nil"/>
              <w:left w:val="nil"/>
              <w:bottom w:val="nil"/>
              <w:right w:val="single" w:sz="8" w:space="0" w:color="auto"/>
            </w:tcBorders>
            <w:shd w:val="clear" w:color="auto" w:fill="auto"/>
            <w:noWrap/>
            <w:vAlign w:val="center"/>
            <w:hideMark/>
          </w:tcPr>
          <w:p w14:paraId="2D88E7A0" w14:textId="77777777" w:rsidR="00696B6D" w:rsidRPr="00EA4CDC" w:rsidRDefault="00696B6D" w:rsidP="00696B6D">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271 - ARRECADADO PELO ÓRGÃO</w:t>
            </w:r>
          </w:p>
        </w:tc>
        <w:tc>
          <w:tcPr>
            <w:tcW w:w="993" w:type="dxa"/>
            <w:tcBorders>
              <w:top w:val="nil"/>
              <w:left w:val="nil"/>
              <w:bottom w:val="nil"/>
              <w:right w:val="single" w:sz="8" w:space="0" w:color="auto"/>
            </w:tcBorders>
            <w:shd w:val="clear" w:color="auto" w:fill="auto"/>
            <w:vAlign w:val="center"/>
            <w:hideMark/>
          </w:tcPr>
          <w:p w14:paraId="782A9E98"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BFI.G559</w:t>
            </w:r>
          </w:p>
        </w:tc>
        <w:tc>
          <w:tcPr>
            <w:tcW w:w="992" w:type="dxa"/>
            <w:tcBorders>
              <w:top w:val="nil"/>
              <w:left w:val="nil"/>
              <w:bottom w:val="nil"/>
              <w:right w:val="single" w:sz="8" w:space="0" w:color="auto"/>
            </w:tcBorders>
            <w:shd w:val="clear" w:color="auto" w:fill="auto"/>
            <w:vAlign w:val="center"/>
            <w:hideMark/>
          </w:tcPr>
          <w:p w14:paraId="16131346"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BFI.H559</w:t>
            </w:r>
          </w:p>
        </w:tc>
      </w:tr>
      <w:tr w:rsidR="00696B6D" w:rsidRPr="00EA4CDC" w14:paraId="53E0E4EE"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7D075691" w14:textId="77777777" w:rsidR="00696B6D" w:rsidRPr="00EA4CDC" w:rsidRDefault="00696B6D" w:rsidP="00696B6D">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272 - CONVÊNIOS COM ÓRGÃOS FEDERAIS</w:t>
            </w:r>
          </w:p>
        </w:tc>
        <w:tc>
          <w:tcPr>
            <w:tcW w:w="993" w:type="dxa"/>
            <w:tcBorders>
              <w:top w:val="nil"/>
              <w:left w:val="nil"/>
              <w:bottom w:val="nil"/>
              <w:right w:val="single" w:sz="8" w:space="0" w:color="auto"/>
            </w:tcBorders>
            <w:shd w:val="clear" w:color="auto" w:fill="auto"/>
            <w:vAlign w:val="center"/>
            <w:hideMark/>
          </w:tcPr>
          <w:p w14:paraId="1D90FBE1"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BFI.C560</w:t>
            </w:r>
          </w:p>
        </w:tc>
        <w:tc>
          <w:tcPr>
            <w:tcW w:w="992" w:type="dxa"/>
            <w:tcBorders>
              <w:top w:val="nil"/>
              <w:left w:val="nil"/>
              <w:bottom w:val="nil"/>
              <w:right w:val="single" w:sz="8" w:space="0" w:color="auto"/>
            </w:tcBorders>
            <w:shd w:val="clear" w:color="auto" w:fill="auto"/>
            <w:vAlign w:val="center"/>
            <w:hideMark/>
          </w:tcPr>
          <w:p w14:paraId="5E1B9C4F"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BFI.D560</w:t>
            </w:r>
          </w:p>
        </w:tc>
        <w:tc>
          <w:tcPr>
            <w:tcW w:w="5103" w:type="dxa"/>
            <w:tcBorders>
              <w:top w:val="nil"/>
              <w:left w:val="nil"/>
              <w:bottom w:val="nil"/>
              <w:right w:val="single" w:sz="8" w:space="0" w:color="auto"/>
            </w:tcBorders>
            <w:shd w:val="clear" w:color="auto" w:fill="auto"/>
            <w:noWrap/>
            <w:vAlign w:val="center"/>
            <w:hideMark/>
          </w:tcPr>
          <w:p w14:paraId="64487E07" w14:textId="77777777" w:rsidR="00696B6D" w:rsidRPr="00EA4CDC" w:rsidRDefault="00696B6D" w:rsidP="00696B6D">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272 - CONVÊNIOS COM ÓRGÃOS FEDERAIS</w:t>
            </w:r>
          </w:p>
        </w:tc>
        <w:tc>
          <w:tcPr>
            <w:tcW w:w="993" w:type="dxa"/>
            <w:tcBorders>
              <w:top w:val="nil"/>
              <w:left w:val="nil"/>
              <w:bottom w:val="nil"/>
              <w:right w:val="single" w:sz="8" w:space="0" w:color="auto"/>
            </w:tcBorders>
            <w:shd w:val="clear" w:color="auto" w:fill="auto"/>
            <w:vAlign w:val="center"/>
            <w:hideMark/>
          </w:tcPr>
          <w:p w14:paraId="4C17D1FF"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BFI.G560</w:t>
            </w:r>
          </w:p>
        </w:tc>
        <w:tc>
          <w:tcPr>
            <w:tcW w:w="992" w:type="dxa"/>
            <w:tcBorders>
              <w:top w:val="nil"/>
              <w:left w:val="nil"/>
              <w:bottom w:val="nil"/>
              <w:right w:val="single" w:sz="8" w:space="0" w:color="auto"/>
            </w:tcBorders>
            <w:shd w:val="clear" w:color="auto" w:fill="auto"/>
            <w:vAlign w:val="center"/>
            <w:hideMark/>
          </w:tcPr>
          <w:p w14:paraId="48DFFC5A"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BFI.H560</w:t>
            </w:r>
          </w:p>
        </w:tc>
      </w:tr>
      <w:tr w:rsidR="00696B6D" w:rsidRPr="00EA4CDC" w14:paraId="3F617E8E"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75BB6F4D" w14:textId="77777777" w:rsidR="00696B6D" w:rsidRPr="00EA4CDC" w:rsidRDefault="00696B6D" w:rsidP="00696B6D">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273 - CONVÊNIOS COM ÓRGÃOS NÃO FEDERAIS</w:t>
            </w:r>
          </w:p>
        </w:tc>
        <w:tc>
          <w:tcPr>
            <w:tcW w:w="993" w:type="dxa"/>
            <w:tcBorders>
              <w:top w:val="nil"/>
              <w:left w:val="nil"/>
              <w:bottom w:val="nil"/>
              <w:right w:val="single" w:sz="8" w:space="0" w:color="auto"/>
            </w:tcBorders>
            <w:shd w:val="clear" w:color="auto" w:fill="auto"/>
            <w:vAlign w:val="center"/>
            <w:hideMark/>
          </w:tcPr>
          <w:p w14:paraId="32A9CBF1"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BFI.C561</w:t>
            </w:r>
          </w:p>
        </w:tc>
        <w:tc>
          <w:tcPr>
            <w:tcW w:w="992" w:type="dxa"/>
            <w:tcBorders>
              <w:top w:val="nil"/>
              <w:left w:val="nil"/>
              <w:bottom w:val="nil"/>
              <w:right w:val="single" w:sz="8" w:space="0" w:color="auto"/>
            </w:tcBorders>
            <w:shd w:val="clear" w:color="auto" w:fill="auto"/>
            <w:vAlign w:val="center"/>
            <w:hideMark/>
          </w:tcPr>
          <w:p w14:paraId="3701B6D7"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BFI.D561</w:t>
            </w:r>
          </w:p>
        </w:tc>
        <w:tc>
          <w:tcPr>
            <w:tcW w:w="5103" w:type="dxa"/>
            <w:tcBorders>
              <w:top w:val="nil"/>
              <w:left w:val="nil"/>
              <w:bottom w:val="nil"/>
              <w:right w:val="single" w:sz="8" w:space="0" w:color="auto"/>
            </w:tcBorders>
            <w:shd w:val="clear" w:color="auto" w:fill="auto"/>
            <w:noWrap/>
            <w:vAlign w:val="center"/>
            <w:hideMark/>
          </w:tcPr>
          <w:p w14:paraId="57D02B39" w14:textId="77777777" w:rsidR="00696B6D" w:rsidRPr="00EA4CDC" w:rsidRDefault="00696B6D" w:rsidP="00696B6D">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273 - CONVÊNIOS COM ÓRGÃOS NÃO FEDERAIS</w:t>
            </w:r>
          </w:p>
        </w:tc>
        <w:tc>
          <w:tcPr>
            <w:tcW w:w="993" w:type="dxa"/>
            <w:tcBorders>
              <w:top w:val="nil"/>
              <w:left w:val="nil"/>
              <w:bottom w:val="nil"/>
              <w:right w:val="single" w:sz="8" w:space="0" w:color="auto"/>
            </w:tcBorders>
            <w:shd w:val="clear" w:color="auto" w:fill="auto"/>
            <w:vAlign w:val="center"/>
            <w:hideMark/>
          </w:tcPr>
          <w:p w14:paraId="681710BB"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BFI.G561</w:t>
            </w:r>
          </w:p>
        </w:tc>
        <w:tc>
          <w:tcPr>
            <w:tcW w:w="992" w:type="dxa"/>
            <w:tcBorders>
              <w:top w:val="nil"/>
              <w:left w:val="nil"/>
              <w:bottom w:val="nil"/>
              <w:right w:val="single" w:sz="8" w:space="0" w:color="auto"/>
            </w:tcBorders>
            <w:shd w:val="clear" w:color="auto" w:fill="auto"/>
            <w:vAlign w:val="center"/>
            <w:hideMark/>
          </w:tcPr>
          <w:p w14:paraId="57E9CCC5"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BFI.H561</w:t>
            </w:r>
          </w:p>
        </w:tc>
      </w:tr>
      <w:tr w:rsidR="00696B6D" w:rsidRPr="00EA4CDC" w14:paraId="4E96C3B5"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1A40D106" w14:textId="77777777" w:rsidR="00696B6D" w:rsidRPr="00EA4CDC" w:rsidRDefault="00696B6D" w:rsidP="00696B6D">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lastRenderedPageBreak/>
              <w:t>274 - TRANSFERÊNCIA DE INSTITUIÇÕES PRIVADAS</w:t>
            </w:r>
          </w:p>
        </w:tc>
        <w:tc>
          <w:tcPr>
            <w:tcW w:w="993" w:type="dxa"/>
            <w:tcBorders>
              <w:top w:val="nil"/>
              <w:left w:val="nil"/>
              <w:bottom w:val="nil"/>
              <w:right w:val="single" w:sz="8" w:space="0" w:color="auto"/>
            </w:tcBorders>
            <w:shd w:val="clear" w:color="auto" w:fill="auto"/>
            <w:vAlign w:val="center"/>
            <w:hideMark/>
          </w:tcPr>
          <w:p w14:paraId="439F98F0"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BFI.C562</w:t>
            </w:r>
          </w:p>
        </w:tc>
        <w:tc>
          <w:tcPr>
            <w:tcW w:w="992" w:type="dxa"/>
            <w:tcBorders>
              <w:top w:val="nil"/>
              <w:left w:val="nil"/>
              <w:bottom w:val="nil"/>
              <w:right w:val="single" w:sz="8" w:space="0" w:color="auto"/>
            </w:tcBorders>
            <w:shd w:val="clear" w:color="auto" w:fill="auto"/>
            <w:vAlign w:val="center"/>
            <w:hideMark/>
          </w:tcPr>
          <w:p w14:paraId="5CBB0D25"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BFI.D562</w:t>
            </w:r>
          </w:p>
        </w:tc>
        <w:tc>
          <w:tcPr>
            <w:tcW w:w="5103" w:type="dxa"/>
            <w:tcBorders>
              <w:top w:val="nil"/>
              <w:left w:val="nil"/>
              <w:bottom w:val="nil"/>
              <w:right w:val="single" w:sz="8" w:space="0" w:color="auto"/>
            </w:tcBorders>
            <w:shd w:val="clear" w:color="auto" w:fill="auto"/>
            <w:noWrap/>
            <w:vAlign w:val="center"/>
            <w:hideMark/>
          </w:tcPr>
          <w:p w14:paraId="0EF43C1B" w14:textId="77777777" w:rsidR="00696B6D" w:rsidRPr="00EA4CDC" w:rsidRDefault="00696B6D" w:rsidP="00696B6D">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274 - TRANSFERÊNCIA DE INSTITUIÇÕES PRIVADAS</w:t>
            </w:r>
          </w:p>
        </w:tc>
        <w:tc>
          <w:tcPr>
            <w:tcW w:w="993" w:type="dxa"/>
            <w:tcBorders>
              <w:top w:val="nil"/>
              <w:left w:val="nil"/>
              <w:bottom w:val="nil"/>
              <w:right w:val="single" w:sz="8" w:space="0" w:color="auto"/>
            </w:tcBorders>
            <w:shd w:val="clear" w:color="auto" w:fill="auto"/>
            <w:vAlign w:val="center"/>
            <w:hideMark/>
          </w:tcPr>
          <w:p w14:paraId="4AB28E5B"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BFI.G562</w:t>
            </w:r>
          </w:p>
        </w:tc>
        <w:tc>
          <w:tcPr>
            <w:tcW w:w="992" w:type="dxa"/>
            <w:tcBorders>
              <w:top w:val="nil"/>
              <w:left w:val="nil"/>
              <w:bottom w:val="nil"/>
              <w:right w:val="single" w:sz="8" w:space="0" w:color="auto"/>
            </w:tcBorders>
            <w:shd w:val="clear" w:color="auto" w:fill="auto"/>
            <w:vAlign w:val="center"/>
            <w:hideMark/>
          </w:tcPr>
          <w:p w14:paraId="3F0C1BE4"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BFI.H562</w:t>
            </w:r>
          </w:p>
        </w:tc>
      </w:tr>
      <w:tr w:rsidR="00696B6D" w:rsidRPr="00EA4CDC" w14:paraId="78A342BD"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08DED458" w14:textId="77777777" w:rsidR="00696B6D" w:rsidRPr="00EA4CDC" w:rsidRDefault="00696B6D" w:rsidP="00696B6D">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275 - OUTRAS TRANSFERÊNCIAS DA UNIÃO</w:t>
            </w:r>
          </w:p>
        </w:tc>
        <w:tc>
          <w:tcPr>
            <w:tcW w:w="993" w:type="dxa"/>
            <w:tcBorders>
              <w:top w:val="nil"/>
              <w:left w:val="nil"/>
              <w:bottom w:val="nil"/>
              <w:right w:val="single" w:sz="8" w:space="0" w:color="auto"/>
            </w:tcBorders>
            <w:shd w:val="clear" w:color="auto" w:fill="auto"/>
            <w:vAlign w:val="center"/>
            <w:hideMark/>
          </w:tcPr>
          <w:p w14:paraId="6784E26C"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BFI.C563</w:t>
            </w:r>
          </w:p>
        </w:tc>
        <w:tc>
          <w:tcPr>
            <w:tcW w:w="992" w:type="dxa"/>
            <w:tcBorders>
              <w:top w:val="nil"/>
              <w:left w:val="nil"/>
              <w:bottom w:val="nil"/>
              <w:right w:val="single" w:sz="8" w:space="0" w:color="auto"/>
            </w:tcBorders>
            <w:shd w:val="clear" w:color="auto" w:fill="auto"/>
            <w:vAlign w:val="center"/>
            <w:hideMark/>
          </w:tcPr>
          <w:p w14:paraId="6FEF3AC0"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BFI.D563</w:t>
            </w:r>
          </w:p>
        </w:tc>
        <w:tc>
          <w:tcPr>
            <w:tcW w:w="5103" w:type="dxa"/>
            <w:tcBorders>
              <w:top w:val="nil"/>
              <w:left w:val="nil"/>
              <w:bottom w:val="nil"/>
              <w:right w:val="single" w:sz="8" w:space="0" w:color="auto"/>
            </w:tcBorders>
            <w:shd w:val="clear" w:color="auto" w:fill="auto"/>
            <w:noWrap/>
            <w:vAlign w:val="center"/>
            <w:hideMark/>
          </w:tcPr>
          <w:p w14:paraId="47ADB8B5" w14:textId="77777777" w:rsidR="00696B6D" w:rsidRPr="00EA4CDC" w:rsidRDefault="00696B6D" w:rsidP="00696B6D">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275 - OUTRAS TRANSFERÊNCIAS DA UNIÃO</w:t>
            </w:r>
          </w:p>
        </w:tc>
        <w:tc>
          <w:tcPr>
            <w:tcW w:w="993" w:type="dxa"/>
            <w:tcBorders>
              <w:top w:val="nil"/>
              <w:left w:val="nil"/>
              <w:bottom w:val="nil"/>
              <w:right w:val="single" w:sz="8" w:space="0" w:color="auto"/>
            </w:tcBorders>
            <w:shd w:val="clear" w:color="auto" w:fill="auto"/>
            <w:vAlign w:val="center"/>
            <w:hideMark/>
          </w:tcPr>
          <w:p w14:paraId="6E93D364"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BFI.G563</w:t>
            </w:r>
          </w:p>
        </w:tc>
        <w:tc>
          <w:tcPr>
            <w:tcW w:w="992" w:type="dxa"/>
            <w:tcBorders>
              <w:top w:val="nil"/>
              <w:left w:val="nil"/>
              <w:bottom w:val="nil"/>
              <w:right w:val="single" w:sz="8" w:space="0" w:color="auto"/>
            </w:tcBorders>
            <w:shd w:val="clear" w:color="auto" w:fill="auto"/>
            <w:vAlign w:val="center"/>
            <w:hideMark/>
          </w:tcPr>
          <w:p w14:paraId="382182CA"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BFI.H563</w:t>
            </w:r>
          </w:p>
        </w:tc>
      </w:tr>
      <w:tr w:rsidR="00696B6D" w:rsidRPr="00EA4CDC" w14:paraId="7FCCF6F6"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2A44582E" w14:textId="77777777" w:rsidR="00696B6D" w:rsidRPr="00EA4CDC" w:rsidRDefault="00696B6D" w:rsidP="00696B6D">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276 - FUNDO DE PROTEÇÃO SOCIAL DOS MILITARES</w:t>
            </w:r>
          </w:p>
        </w:tc>
        <w:tc>
          <w:tcPr>
            <w:tcW w:w="993" w:type="dxa"/>
            <w:tcBorders>
              <w:top w:val="nil"/>
              <w:left w:val="nil"/>
              <w:bottom w:val="nil"/>
              <w:right w:val="single" w:sz="8" w:space="0" w:color="auto"/>
            </w:tcBorders>
            <w:shd w:val="clear" w:color="auto" w:fill="auto"/>
            <w:vAlign w:val="center"/>
            <w:hideMark/>
          </w:tcPr>
          <w:p w14:paraId="1AF79895"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BFI.C602</w:t>
            </w:r>
          </w:p>
        </w:tc>
        <w:tc>
          <w:tcPr>
            <w:tcW w:w="992" w:type="dxa"/>
            <w:tcBorders>
              <w:top w:val="nil"/>
              <w:left w:val="nil"/>
              <w:bottom w:val="nil"/>
              <w:right w:val="single" w:sz="8" w:space="0" w:color="auto"/>
            </w:tcBorders>
            <w:shd w:val="clear" w:color="auto" w:fill="auto"/>
            <w:vAlign w:val="center"/>
            <w:hideMark/>
          </w:tcPr>
          <w:p w14:paraId="27A544A0"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BFI.D602</w:t>
            </w:r>
          </w:p>
        </w:tc>
        <w:tc>
          <w:tcPr>
            <w:tcW w:w="5103" w:type="dxa"/>
            <w:tcBorders>
              <w:top w:val="nil"/>
              <w:left w:val="nil"/>
              <w:bottom w:val="nil"/>
              <w:right w:val="single" w:sz="8" w:space="0" w:color="auto"/>
            </w:tcBorders>
            <w:shd w:val="clear" w:color="auto" w:fill="auto"/>
            <w:noWrap/>
            <w:vAlign w:val="center"/>
            <w:hideMark/>
          </w:tcPr>
          <w:p w14:paraId="0A468652" w14:textId="77777777" w:rsidR="00696B6D" w:rsidRPr="00EA4CDC" w:rsidRDefault="00696B6D" w:rsidP="00696B6D">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276 - FUNDO DE PROTEÇÃO SOCIAL DOS MILITARES</w:t>
            </w:r>
          </w:p>
        </w:tc>
        <w:tc>
          <w:tcPr>
            <w:tcW w:w="993" w:type="dxa"/>
            <w:tcBorders>
              <w:top w:val="nil"/>
              <w:left w:val="nil"/>
              <w:bottom w:val="nil"/>
              <w:right w:val="single" w:sz="8" w:space="0" w:color="auto"/>
            </w:tcBorders>
            <w:shd w:val="clear" w:color="auto" w:fill="auto"/>
            <w:vAlign w:val="center"/>
            <w:hideMark/>
          </w:tcPr>
          <w:p w14:paraId="4E9BA33F"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BFI.G602</w:t>
            </w:r>
          </w:p>
        </w:tc>
        <w:tc>
          <w:tcPr>
            <w:tcW w:w="992" w:type="dxa"/>
            <w:tcBorders>
              <w:top w:val="nil"/>
              <w:left w:val="nil"/>
              <w:bottom w:val="nil"/>
              <w:right w:val="single" w:sz="8" w:space="0" w:color="auto"/>
            </w:tcBorders>
            <w:shd w:val="clear" w:color="auto" w:fill="auto"/>
            <w:vAlign w:val="center"/>
            <w:hideMark/>
          </w:tcPr>
          <w:p w14:paraId="43D28F37"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BFI.H602</w:t>
            </w:r>
          </w:p>
        </w:tc>
      </w:tr>
      <w:tr w:rsidR="00696B6D" w:rsidRPr="00EA4CDC" w14:paraId="42E8D83B"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752B2E3B" w14:textId="77777777" w:rsidR="00696B6D" w:rsidRPr="00EA4CDC" w:rsidRDefault="00696B6D" w:rsidP="00696B6D">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307 - SUPERÁVIT FINANCEIRO - ROYALTIES, PARTICIPAÇÃO ESPECIAL E FUNDO ESPECIAL DO PETRÓLEO</w:t>
            </w:r>
          </w:p>
        </w:tc>
        <w:tc>
          <w:tcPr>
            <w:tcW w:w="993" w:type="dxa"/>
            <w:tcBorders>
              <w:top w:val="nil"/>
              <w:left w:val="nil"/>
              <w:bottom w:val="nil"/>
              <w:right w:val="single" w:sz="8" w:space="0" w:color="auto"/>
            </w:tcBorders>
            <w:shd w:val="clear" w:color="auto" w:fill="auto"/>
            <w:vAlign w:val="center"/>
            <w:hideMark/>
          </w:tcPr>
          <w:p w14:paraId="149978CF"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BFI.C603</w:t>
            </w:r>
          </w:p>
        </w:tc>
        <w:tc>
          <w:tcPr>
            <w:tcW w:w="992" w:type="dxa"/>
            <w:tcBorders>
              <w:top w:val="nil"/>
              <w:left w:val="nil"/>
              <w:bottom w:val="nil"/>
              <w:right w:val="single" w:sz="8" w:space="0" w:color="auto"/>
            </w:tcBorders>
            <w:shd w:val="clear" w:color="auto" w:fill="auto"/>
            <w:vAlign w:val="center"/>
            <w:hideMark/>
          </w:tcPr>
          <w:p w14:paraId="5EBC5BEA"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BFI.D603</w:t>
            </w:r>
          </w:p>
        </w:tc>
        <w:tc>
          <w:tcPr>
            <w:tcW w:w="5103" w:type="dxa"/>
            <w:tcBorders>
              <w:top w:val="nil"/>
              <w:left w:val="nil"/>
              <w:bottom w:val="nil"/>
              <w:right w:val="single" w:sz="8" w:space="0" w:color="auto"/>
            </w:tcBorders>
            <w:shd w:val="clear" w:color="auto" w:fill="auto"/>
            <w:noWrap/>
            <w:vAlign w:val="center"/>
            <w:hideMark/>
          </w:tcPr>
          <w:p w14:paraId="7B1EFB1E" w14:textId="77777777" w:rsidR="00696B6D" w:rsidRPr="00EA4CDC" w:rsidRDefault="00696B6D" w:rsidP="00696B6D">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307 - SUPERÁVIT FINANCEIRO - ROYALTIES, PARTICIPAÇÃO ESPECIAL E FUNDO ESPECIAL DO PETRÓLEO</w:t>
            </w:r>
          </w:p>
        </w:tc>
        <w:tc>
          <w:tcPr>
            <w:tcW w:w="993" w:type="dxa"/>
            <w:tcBorders>
              <w:top w:val="nil"/>
              <w:left w:val="nil"/>
              <w:bottom w:val="nil"/>
              <w:right w:val="single" w:sz="8" w:space="0" w:color="auto"/>
            </w:tcBorders>
            <w:shd w:val="clear" w:color="auto" w:fill="auto"/>
            <w:vAlign w:val="center"/>
            <w:hideMark/>
          </w:tcPr>
          <w:p w14:paraId="6E94A94E"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BFI.G603</w:t>
            </w:r>
          </w:p>
        </w:tc>
        <w:tc>
          <w:tcPr>
            <w:tcW w:w="992" w:type="dxa"/>
            <w:tcBorders>
              <w:top w:val="nil"/>
              <w:left w:val="nil"/>
              <w:bottom w:val="nil"/>
              <w:right w:val="single" w:sz="8" w:space="0" w:color="auto"/>
            </w:tcBorders>
            <w:shd w:val="clear" w:color="auto" w:fill="auto"/>
            <w:vAlign w:val="center"/>
            <w:hideMark/>
          </w:tcPr>
          <w:p w14:paraId="582FF578"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BFI.H603</w:t>
            </w:r>
          </w:p>
        </w:tc>
      </w:tr>
      <w:tr w:rsidR="00696B6D" w:rsidRPr="00EA4CDC" w14:paraId="3FD1F2FB"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79BC2EE4" w14:textId="77777777" w:rsidR="00696B6D" w:rsidRPr="00EA4CDC" w:rsidRDefault="00696B6D" w:rsidP="00696B6D">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308 - SUPERÁVIT FINANCEIRO - DISTRIBUIÇÃO DA CESSÃO ONEROSA DO BÔNUS DE ASSINATURA DO PRÉ-SAL - LEI Nº 13.885/2019</w:t>
            </w:r>
          </w:p>
        </w:tc>
        <w:tc>
          <w:tcPr>
            <w:tcW w:w="993" w:type="dxa"/>
            <w:tcBorders>
              <w:top w:val="nil"/>
              <w:left w:val="nil"/>
              <w:bottom w:val="nil"/>
              <w:right w:val="single" w:sz="8" w:space="0" w:color="auto"/>
            </w:tcBorders>
            <w:shd w:val="clear" w:color="auto" w:fill="auto"/>
            <w:vAlign w:val="center"/>
            <w:hideMark/>
          </w:tcPr>
          <w:p w14:paraId="435FCA67"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BFI.C604</w:t>
            </w:r>
          </w:p>
        </w:tc>
        <w:tc>
          <w:tcPr>
            <w:tcW w:w="992" w:type="dxa"/>
            <w:tcBorders>
              <w:top w:val="nil"/>
              <w:left w:val="nil"/>
              <w:bottom w:val="nil"/>
              <w:right w:val="single" w:sz="8" w:space="0" w:color="auto"/>
            </w:tcBorders>
            <w:shd w:val="clear" w:color="auto" w:fill="auto"/>
            <w:vAlign w:val="center"/>
            <w:hideMark/>
          </w:tcPr>
          <w:p w14:paraId="4CE4A8B5"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BFI.D604</w:t>
            </w:r>
          </w:p>
        </w:tc>
        <w:tc>
          <w:tcPr>
            <w:tcW w:w="5103" w:type="dxa"/>
            <w:tcBorders>
              <w:top w:val="nil"/>
              <w:left w:val="nil"/>
              <w:bottom w:val="nil"/>
              <w:right w:val="single" w:sz="8" w:space="0" w:color="auto"/>
            </w:tcBorders>
            <w:shd w:val="clear" w:color="auto" w:fill="auto"/>
            <w:noWrap/>
            <w:vAlign w:val="center"/>
            <w:hideMark/>
          </w:tcPr>
          <w:p w14:paraId="7B29190B" w14:textId="77777777" w:rsidR="00696B6D" w:rsidRPr="00EA4CDC" w:rsidRDefault="00696B6D" w:rsidP="00696B6D">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308 - SUPERÁVIT FINANCEIRO - DISTRIBUIÇÃO DA CESSÃO ONEROSA DO BÔNUS DE ASSINATURA DO PRÉ-SAL - LEI Nº 13.885/2019</w:t>
            </w:r>
          </w:p>
        </w:tc>
        <w:tc>
          <w:tcPr>
            <w:tcW w:w="993" w:type="dxa"/>
            <w:tcBorders>
              <w:top w:val="nil"/>
              <w:left w:val="nil"/>
              <w:bottom w:val="nil"/>
              <w:right w:val="single" w:sz="8" w:space="0" w:color="auto"/>
            </w:tcBorders>
            <w:shd w:val="clear" w:color="auto" w:fill="auto"/>
            <w:vAlign w:val="center"/>
            <w:hideMark/>
          </w:tcPr>
          <w:p w14:paraId="72B2AD69"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BFI.G604</w:t>
            </w:r>
          </w:p>
        </w:tc>
        <w:tc>
          <w:tcPr>
            <w:tcW w:w="992" w:type="dxa"/>
            <w:tcBorders>
              <w:top w:val="nil"/>
              <w:left w:val="nil"/>
              <w:bottom w:val="nil"/>
              <w:right w:val="single" w:sz="8" w:space="0" w:color="auto"/>
            </w:tcBorders>
            <w:shd w:val="clear" w:color="auto" w:fill="auto"/>
            <w:vAlign w:val="center"/>
            <w:hideMark/>
          </w:tcPr>
          <w:p w14:paraId="4BB37D12"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BFI.H604</w:t>
            </w:r>
          </w:p>
        </w:tc>
      </w:tr>
      <w:tr w:rsidR="00696B6D" w:rsidRPr="00EA4CDC" w14:paraId="3F0D7758"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7463600C" w14:textId="77777777" w:rsidR="00696B6D" w:rsidRPr="00EA4CDC" w:rsidRDefault="00696B6D" w:rsidP="00696B6D">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312 - SUPERÁVIT FINANCEIRO - DEC 2829-R, DE 17/08/11</w:t>
            </w:r>
          </w:p>
        </w:tc>
        <w:tc>
          <w:tcPr>
            <w:tcW w:w="993" w:type="dxa"/>
            <w:tcBorders>
              <w:top w:val="nil"/>
              <w:left w:val="nil"/>
              <w:bottom w:val="nil"/>
              <w:right w:val="single" w:sz="8" w:space="0" w:color="auto"/>
            </w:tcBorders>
            <w:shd w:val="clear" w:color="auto" w:fill="auto"/>
            <w:vAlign w:val="center"/>
            <w:hideMark/>
          </w:tcPr>
          <w:p w14:paraId="23689689"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BFI.C564</w:t>
            </w:r>
          </w:p>
        </w:tc>
        <w:tc>
          <w:tcPr>
            <w:tcW w:w="992" w:type="dxa"/>
            <w:tcBorders>
              <w:top w:val="nil"/>
              <w:left w:val="nil"/>
              <w:bottom w:val="nil"/>
              <w:right w:val="single" w:sz="8" w:space="0" w:color="auto"/>
            </w:tcBorders>
            <w:shd w:val="clear" w:color="auto" w:fill="auto"/>
            <w:vAlign w:val="center"/>
            <w:hideMark/>
          </w:tcPr>
          <w:p w14:paraId="7E63C814"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BFI.D564</w:t>
            </w:r>
          </w:p>
        </w:tc>
        <w:tc>
          <w:tcPr>
            <w:tcW w:w="5103" w:type="dxa"/>
            <w:tcBorders>
              <w:top w:val="nil"/>
              <w:left w:val="nil"/>
              <w:bottom w:val="nil"/>
              <w:right w:val="single" w:sz="8" w:space="0" w:color="auto"/>
            </w:tcBorders>
            <w:shd w:val="clear" w:color="auto" w:fill="auto"/>
            <w:noWrap/>
            <w:vAlign w:val="center"/>
            <w:hideMark/>
          </w:tcPr>
          <w:p w14:paraId="54FF9DF3" w14:textId="77777777" w:rsidR="00696B6D" w:rsidRPr="00EA4CDC" w:rsidRDefault="00696B6D" w:rsidP="00696B6D">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312 - SUPERÁVIT FINANCEIRO - DEC 2829-R, DE 17/08/11</w:t>
            </w:r>
          </w:p>
        </w:tc>
        <w:tc>
          <w:tcPr>
            <w:tcW w:w="993" w:type="dxa"/>
            <w:tcBorders>
              <w:top w:val="nil"/>
              <w:left w:val="nil"/>
              <w:bottom w:val="nil"/>
              <w:right w:val="single" w:sz="8" w:space="0" w:color="auto"/>
            </w:tcBorders>
            <w:shd w:val="clear" w:color="auto" w:fill="auto"/>
            <w:vAlign w:val="center"/>
            <w:hideMark/>
          </w:tcPr>
          <w:p w14:paraId="6D5B68B0"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BFI.G564</w:t>
            </w:r>
          </w:p>
        </w:tc>
        <w:tc>
          <w:tcPr>
            <w:tcW w:w="992" w:type="dxa"/>
            <w:tcBorders>
              <w:top w:val="nil"/>
              <w:left w:val="nil"/>
              <w:bottom w:val="nil"/>
              <w:right w:val="single" w:sz="8" w:space="0" w:color="auto"/>
            </w:tcBorders>
            <w:shd w:val="clear" w:color="auto" w:fill="auto"/>
            <w:vAlign w:val="center"/>
            <w:hideMark/>
          </w:tcPr>
          <w:p w14:paraId="66CC19FA"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BFI.H564</w:t>
            </w:r>
          </w:p>
        </w:tc>
      </w:tr>
      <w:tr w:rsidR="00696B6D" w:rsidRPr="00EA4CDC" w14:paraId="3B1F3182"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02A8378D" w14:textId="77777777" w:rsidR="00696B6D" w:rsidRPr="00EA4CDC" w:rsidRDefault="00696B6D" w:rsidP="00696B6D">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315 - SUPERÁVIT FINANCEIRO - ALIENAÇÃO DE BENS</w:t>
            </w:r>
          </w:p>
        </w:tc>
        <w:tc>
          <w:tcPr>
            <w:tcW w:w="993" w:type="dxa"/>
            <w:tcBorders>
              <w:top w:val="nil"/>
              <w:left w:val="nil"/>
              <w:bottom w:val="nil"/>
              <w:right w:val="single" w:sz="8" w:space="0" w:color="auto"/>
            </w:tcBorders>
            <w:shd w:val="clear" w:color="auto" w:fill="auto"/>
            <w:vAlign w:val="center"/>
            <w:hideMark/>
          </w:tcPr>
          <w:p w14:paraId="0A67C1C4"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BFI.C565</w:t>
            </w:r>
          </w:p>
        </w:tc>
        <w:tc>
          <w:tcPr>
            <w:tcW w:w="992" w:type="dxa"/>
            <w:tcBorders>
              <w:top w:val="nil"/>
              <w:left w:val="nil"/>
              <w:bottom w:val="nil"/>
              <w:right w:val="single" w:sz="8" w:space="0" w:color="auto"/>
            </w:tcBorders>
            <w:shd w:val="clear" w:color="auto" w:fill="auto"/>
            <w:vAlign w:val="center"/>
            <w:hideMark/>
          </w:tcPr>
          <w:p w14:paraId="49812FC2"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BFI.D565</w:t>
            </w:r>
          </w:p>
        </w:tc>
        <w:tc>
          <w:tcPr>
            <w:tcW w:w="5103" w:type="dxa"/>
            <w:tcBorders>
              <w:top w:val="nil"/>
              <w:left w:val="nil"/>
              <w:bottom w:val="nil"/>
              <w:right w:val="single" w:sz="8" w:space="0" w:color="auto"/>
            </w:tcBorders>
            <w:shd w:val="clear" w:color="auto" w:fill="auto"/>
            <w:noWrap/>
            <w:vAlign w:val="center"/>
            <w:hideMark/>
          </w:tcPr>
          <w:p w14:paraId="7C11EEBE" w14:textId="77777777" w:rsidR="00696B6D" w:rsidRPr="00EA4CDC" w:rsidRDefault="00696B6D" w:rsidP="00696B6D">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315 - SUPERÁVIT FINANCEIRO - ALIENAÇÃO DE BENS</w:t>
            </w:r>
          </w:p>
        </w:tc>
        <w:tc>
          <w:tcPr>
            <w:tcW w:w="993" w:type="dxa"/>
            <w:tcBorders>
              <w:top w:val="nil"/>
              <w:left w:val="nil"/>
              <w:bottom w:val="nil"/>
              <w:right w:val="single" w:sz="8" w:space="0" w:color="auto"/>
            </w:tcBorders>
            <w:shd w:val="clear" w:color="auto" w:fill="auto"/>
            <w:vAlign w:val="center"/>
            <w:hideMark/>
          </w:tcPr>
          <w:p w14:paraId="5700F8AA"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BFI.G565</w:t>
            </w:r>
          </w:p>
        </w:tc>
        <w:tc>
          <w:tcPr>
            <w:tcW w:w="992" w:type="dxa"/>
            <w:tcBorders>
              <w:top w:val="nil"/>
              <w:left w:val="nil"/>
              <w:bottom w:val="nil"/>
              <w:right w:val="single" w:sz="8" w:space="0" w:color="auto"/>
            </w:tcBorders>
            <w:shd w:val="clear" w:color="auto" w:fill="auto"/>
            <w:vAlign w:val="center"/>
            <w:hideMark/>
          </w:tcPr>
          <w:p w14:paraId="5B508585"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BFI.H565</w:t>
            </w:r>
          </w:p>
        </w:tc>
      </w:tr>
      <w:tr w:rsidR="00696B6D" w:rsidRPr="00EA4CDC" w14:paraId="13271DB3"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36BB1B2C" w14:textId="77777777" w:rsidR="00696B6D" w:rsidRPr="00EA4CDC" w:rsidRDefault="00696B6D" w:rsidP="00696B6D">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316 - SUPERÁVIT FINANCEIRO - DEPÓSITOS JUDICIAIS – LEI 10.549, DE 1º JULHO DE 2016</w:t>
            </w:r>
          </w:p>
        </w:tc>
        <w:tc>
          <w:tcPr>
            <w:tcW w:w="993" w:type="dxa"/>
            <w:tcBorders>
              <w:top w:val="nil"/>
              <w:left w:val="nil"/>
              <w:bottom w:val="nil"/>
              <w:right w:val="single" w:sz="8" w:space="0" w:color="auto"/>
            </w:tcBorders>
            <w:shd w:val="clear" w:color="auto" w:fill="auto"/>
            <w:vAlign w:val="center"/>
            <w:hideMark/>
          </w:tcPr>
          <w:p w14:paraId="430E43BF"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BFI.C566</w:t>
            </w:r>
          </w:p>
        </w:tc>
        <w:tc>
          <w:tcPr>
            <w:tcW w:w="992" w:type="dxa"/>
            <w:tcBorders>
              <w:top w:val="nil"/>
              <w:left w:val="nil"/>
              <w:bottom w:val="nil"/>
              <w:right w:val="single" w:sz="8" w:space="0" w:color="auto"/>
            </w:tcBorders>
            <w:shd w:val="clear" w:color="auto" w:fill="auto"/>
            <w:vAlign w:val="center"/>
            <w:hideMark/>
          </w:tcPr>
          <w:p w14:paraId="1549CB49"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BFI.D566</w:t>
            </w:r>
          </w:p>
        </w:tc>
        <w:tc>
          <w:tcPr>
            <w:tcW w:w="5103" w:type="dxa"/>
            <w:tcBorders>
              <w:top w:val="nil"/>
              <w:left w:val="nil"/>
              <w:bottom w:val="nil"/>
              <w:right w:val="single" w:sz="8" w:space="0" w:color="auto"/>
            </w:tcBorders>
            <w:shd w:val="clear" w:color="auto" w:fill="auto"/>
            <w:noWrap/>
            <w:vAlign w:val="center"/>
            <w:hideMark/>
          </w:tcPr>
          <w:p w14:paraId="4B085B47" w14:textId="77777777" w:rsidR="00696B6D" w:rsidRPr="00EA4CDC" w:rsidRDefault="00696B6D" w:rsidP="00696B6D">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316 - SUPERÁVIT FINANCEIRO - DEPÓSITOS JUDICIAIS – LEI 10.549, DE 1º JULHO DE 2016</w:t>
            </w:r>
          </w:p>
        </w:tc>
        <w:tc>
          <w:tcPr>
            <w:tcW w:w="993" w:type="dxa"/>
            <w:tcBorders>
              <w:top w:val="nil"/>
              <w:left w:val="nil"/>
              <w:bottom w:val="nil"/>
              <w:right w:val="single" w:sz="8" w:space="0" w:color="auto"/>
            </w:tcBorders>
            <w:shd w:val="clear" w:color="auto" w:fill="auto"/>
            <w:vAlign w:val="center"/>
            <w:hideMark/>
          </w:tcPr>
          <w:p w14:paraId="1AA28FA2"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BFI.G566</w:t>
            </w:r>
          </w:p>
        </w:tc>
        <w:tc>
          <w:tcPr>
            <w:tcW w:w="992" w:type="dxa"/>
            <w:tcBorders>
              <w:top w:val="nil"/>
              <w:left w:val="nil"/>
              <w:bottom w:val="nil"/>
              <w:right w:val="single" w:sz="8" w:space="0" w:color="auto"/>
            </w:tcBorders>
            <w:shd w:val="clear" w:color="auto" w:fill="auto"/>
            <w:vAlign w:val="center"/>
            <w:hideMark/>
          </w:tcPr>
          <w:p w14:paraId="696CEF59"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BFI.H566</w:t>
            </w:r>
          </w:p>
        </w:tc>
      </w:tr>
      <w:tr w:rsidR="00696B6D" w:rsidRPr="00EA4CDC" w14:paraId="52118CAF"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5EAB12E0" w14:textId="77777777" w:rsidR="00696B6D" w:rsidRPr="00EA4CDC" w:rsidRDefault="00696B6D" w:rsidP="00696B6D">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333 - SUPERÁVIT FINANCEIRO - CONVÊNIOS UNIÃO</w:t>
            </w:r>
          </w:p>
        </w:tc>
        <w:tc>
          <w:tcPr>
            <w:tcW w:w="993" w:type="dxa"/>
            <w:tcBorders>
              <w:top w:val="nil"/>
              <w:left w:val="nil"/>
              <w:bottom w:val="nil"/>
              <w:right w:val="single" w:sz="8" w:space="0" w:color="auto"/>
            </w:tcBorders>
            <w:shd w:val="clear" w:color="auto" w:fill="auto"/>
            <w:vAlign w:val="center"/>
            <w:hideMark/>
          </w:tcPr>
          <w:p w14:paraId="63FFF3B7"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BFI.C567</w:t>
            </w:r>
          </w:p>
        </w:tc>
        <w:tc>
          <w:tcPr>
            <w:tcW w:w="992" w:type="dxa"/>
            <w:tcBorders>
              <w:top w:val="nil"/>
              <w:left w:val="nil"/>
              <w:bottom w:val="nil"/>
              <w:right w:val="single" w:sz="8" w:space="0" w:color="auto"/>
            </w:tcBorders>
            <w:shd w:val="clear" w:color="auto" w:fill="auto"/>
            <w:vAlign w:val="center"/>
            <w:hideMark/>
          </w:tcPr>
          <w:p w14:paraId="6D35933D"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BFI.D567</w:t>
            </w:r>
          </w:p>
        </w:tc>
        <w:tc>
          <w:tcPr>
            <w:tcW w:w="5103" w:type="dxa"/>
            <w:tcBorders>
              <w:top w:val="nil"/>
              <w:left w:val="nil"/>
              <w:bottom w:val="nil"/>
              <w:right w:val="single" w:sz="8" w:space="0" w:color="auto"/>
            </w:tcBorders>
            <w:shd w:val="clear" w:color="auto" w:fill="auto"/>
            <w:noWrap/>
            <w:vAlign w:val="center"/>
            <w:hideMark/>
          </w:tcPr>
          <w:p w14:paraId="3B5E6A3F" w14:textId="77777777" w:rsidR="00696B6D" w:rsidRPr="00EA4CDC" w:rsidRDefault="00696B6D" w:rsidP="00696B6D">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333 - SUPERÁVIT FINANCEIRO - CONVÊNIOS UNIÃO</w:t>
            </w:r>
          </w:p>
        </w:tc>
        <w:tc>
          <w:tcPr>
            <w:tcW w:w="993" w:type="dxa"/>
            <w:tcBorders>
              <w:top w:val="nil"/>
              <w:left w:val="nil"/>
              <w:bottom w:val="nil"/>
              <w:right w:val="single" w:sz="8" w:space="0" w:color="auto"/>
            </w:tcBorders>
            <w:shd w:val="clear" w:color="auto" w:fill="auto"/>
            <w:vAlign w:val="center"/>
            <w:hideMark/>
          </w:tcPr>
          <w:p w14:paraId="301EB9B2"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BFI.G567</w:t>
            </w:r>
          </w:p>
        </w:tc>
        <w:tc>
          <w:tcPr>
            <w:tcW w:w="992" w:type="dxa"/>
            <w:tcBorders>
              <w:top w:val="nil"/>
              <w:left w:val="nil"/>
              <w:bottom w:val="nil"/>
              <w:right w:val="single" w:sz="8" w:space="0" w:color="auto"/>
            </w:tcBorders>
            <w:shd w:val="clear" w:color="auto" w:fill="auto"/>
            <w:vAlign w:val="center"/>
            <w:hideMark/>
          </w:tcPr>
          <w:p w14:paraId="25C6AE18"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BFI.H567</w:t>
            </w:r>
          </w:p>
        </w:tc>
      </w:tr>
      <w:tr w:rsidR="00696B6D" w:rsidRPr="00EA4CDC" w14:paraId="241FDAD2"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064EF7BC" w14:textId="77777777" w:rsidR="00696B6D" w:rsidRPr="00EA4CDC" w:rsidRDefault="00696B6D" w:rsidP="00696B6D">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336 - SUPERÁVIT FINANCEIRO - TRANSFERÊNCIAS CONSTITUCIONAIS A MUNICÍPIOS</w:t>
            </w:r>
          </w:p>
        </w:tc>
        <w:tc>
          <w:tcPr>
            <w:tcW w:w="993" w:type="dxa"/>
            <w:tcBorders>
              <w:top w:val="nil"/>
              <w:left w:val="nil"/>
              <w:bottom w:val="nil"/>
              <w:right w:val="single" w:sz="8" w:space="0" w:color="auto"/>
            </w:tcBorders>
            <w:shd w:val="clear" w:color="auto" w:fill="auto"/>
            <w:vAlign w:val="center"/>
            <w:hideMark/>
          </w:tcPr>
          <w:p w14:paraId="1E8298D4"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BFI.C568</w:t>
            </w:r>
          </w:p>
        </w:tc>
        <w:tc>
          <w:tcPr>
            <w:tcW w:w="992" w:type="dxa"/>
            <w:tcBorders>
              <w:top w:val="nil"/>
              <w:left w:val="nil"/>
              <w:bottom w:val="nil"/>
              <w:right w:val="single" w:sz="8" w:space="0" w:color="auto"/>
            </w:tcBorders>
            <w:shd w:val="clear" w:color="auto" w:fill="auto"/>
            <w:vAlign w:val="center"/>
            <w:hideMark/>
          </w:tcPr>
          <w:p w14:paraId="132DB2F8"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BFI.D568</w:t>
            </w:r>
          </w:p>
        </w:tc>
        <w:tc>
          <w:tcPr>
            <w:tcW w:w="5103" w:type="dxa"/>
            <w:tcBorders>
              <w:top w:val="nil"/>
              <w:left w:val="nil"/>
              <w:bottom w:val="nil"/>
              <w:right w:val="single" w:sz="8" w:space="0" w:color="auto"/>
            </w:tcBorders>
            <w:shd w:val="clear" w:color="auto" w:fill="auto"/>
            <w:noWrap/>
            <w:vAlign w:val="center"/>
            <w:hideMark/>
          </w:tcPr>
          <w:p w14:paraId="5B377F2D" w14:textId="77777777" w:rsidR="00696B6D" w:rsidRPr="00EA4CDC" w:rsidRDefault="00696B6D" w:rsidP="00696B6D">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336 - SUPERÁVIT FINANCEIRO - TRANSFERÊNCIAS CONSTITUCIONAIS A MUNICÍPIOS</w:t>
            </w:r>
          </w:p>
        </w:tc>
        <w:tc>
          <w:tcPr>
            <w:tcW w:w="993" w:type="dxa"/>
            <w:tcBorders>
              <w:top w:val="nil"/>
              <w:left w:val="nil"/>
              <w:bottom w:val="nil"/>
              <w:right w:val="single" w:sz="8" w:space="0" w:color="auto"/>
            </w:tcBorders>
            <w:shd w:val="clear" w:color="auto" w:fill="auto"/>
            <w:vAlign w:val="center"/>
            <w:hideMark/>
          </w:tcPr>
          <w:p w14:paraId="7B16CC31"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BFI.G568</w:t>
            </w:r>
          </w:p>
        </w:tc>
        <w:tc>
          <w:tcPr>
            <w:tcW w:w="992" w:type="dxa"/>
            <w:tcBorders>
              <w:top w:val="nil"/>
              <w:left w:val="nil"/>
              <w:bottom w:val="nil"/>
              <w:right w:val="single" w:sz="8" w:space="0" w:color="auto"/>
            </w:tcBorders>
            <w:shd w:val="clear" w:color="auto" w:fill="auto"/>
            <w:vAlign w:val="center"/>
            <w:hideMark/>
          </w:tcPr>
          <w:p w14:paraId="34A474C1"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BFI.H568</w:t>
            </w:r>
          </w:p>
        </w:tc>
      </w:tr>
      <w:tr w:rsidR="00696B6D" w:rsidRPr="00EA4CDC" w14:paraId="04030F54"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751A616F" w14:textId="77777777" w:rsidR="00696B6D" w:rsidRPr="00EA4CDC" w:rsidRDefault="00696B6D" w:rsidP="00696B6D">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338 - SUPERÁVIT FINANCEIRO - FUNDAP</w:t>
            </w:r>
          </w:p>
        </w:tc>
        <w:tc>
          <w:tcPr>
            <w:tcW w:w="993" w:type="dxa"/>
            <w:tcBorders>
              <w:top w:val="nil"/>
              <w:left w:val="nil"/>
              <w:bottom w:val="nil"/>
              <w:right w:val="single" w:sz="8" w:space="0" w:color="auto"/>
            </w:tcBorders>
            <w:shd w:val="clear" w:color="auto" w:fill="auto"/>
            <w:vAlign w:val="center"/>
            <w:hideMark/>
          </w:tcPr>
          <w:p w14:paraId="1018D38B"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BFI.C569</w:t>
            </w:r>
          </w:p>
        </w:tc>
        <w:tc>
          <w:tcPr>
            <w:tcW w:w="992" w:type="dxa"/>
            <w:tcBorders>
              <w:top w:val="nil"/>
              <w:left w:val="nil"/>
              <w:bottom w:val="nil"/>
              <w:right w:val="single" w:sz="8" w:space="0" w:color="auto"/>
            </w:tcBorders>
            <w:shd w:val="clear" w:color="auto" w:fill="auto"/>
            <w:vAlign w:val="center"/>
            <w:hideMark/>
          </w:tcPr>
          <w:p w14:paraId="2378247C"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BFI.D569</w:t>
            </w:r>
          </w:p>
        </w:tc>
        <w:tc>
          <w:tcPr>
            <w:tcW w:w="5103" w:type="dxa"/>
            <w:tcBorders>
              <w:top w:val="nil"/>
              <w:left w:val="nil"/>
              <w:bottom w:val="nil"/>
              <w:right w:val="single" w:sz="8" w:space="0" w:color="auto"/>
            </w:tcBorders>
            <w:shd w:val="clear" w:color="auto" w:fill="auto"/>
            <w:noWrap/>
            <w:vAlign w:val="center"/>
            <w:hideMark/>
          </w:tcPr>
          <w:p w14:paraId="531C6A3C" w14:textId="77777777" w:rsidR="00696B6D" w:rsidRPr="00EA4CDC" w:rsidRDefault="00696B6D" w:rsidP="00696B6D">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338 - SUPERÁVIT FINANCEIRO - FUNDAP</w:t>
            </w:r>
          </w:p>
        </w:tc>
        <w:tc>
          <w:tcPr>
            <w:tcW w:w="993" w:type="dxa"/>
            <w:tcBorders>
              <w:top w:val="nil"/>
              <w:left w:val="nil"/>
              <w:bottom w:val="nil"/>
              <w:right w:val="single" w:sz="8" w:space="0" w:color="auto"/>
            </w:tcBorders>
            <w:shd w:val="clear" w:color="auto" w:fill="auto"/>
            <w:vAlign w:val="center"/>
            <w:hideMark/>
          </w:tcPr>
          <w:p w14:paraId="04245AB0"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BFI.G569</w:t>
            </w:r>
          </w:p>
        </w:tc>
        <w:tc>
          <w:tcPr>
            <w:tcW w:w="992" w:type="dxa"/>
            <w:tcBorders>
              <w:top w:val="nil"/>
              <w:left w:val="nil"/>
              <w:bottom w:val="nil"/>
              <w:right w:val="single" w:sz="8" w:space="0" w:color="auto"/>
            </w:tcBorders>
            <w:shd w:val="clear" w:color="auto" w:fill="auto"/>
            <w:vAlign w:val="center"/>
            <w:hideMark/>
          </w:tcPr>
          <w:p w14:paraId="01B7D215"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BFI.H569</w:t>
            </w:r>
          </w:p>
        </w:tc>
      </w:tr>
      <w:tr w:rsidR="00696B6D" w:rsidRPr="00EA4CDC" w14:paraId="185C0DDD"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046FB6A1" w14:textId="77777777" w:rsidR="00696B6D" w:rsidRPr="00EA4CDC" w:rsidRDefault="00696B6D" w:rsidP="00696B6D">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339 - SUPERÁVIT FINANCEIRO - DOAÇÕES</w:t>
            </w:r>
          </w:p>
        </w:tc>
        <w:tc>
          <w:tcPr>
            <w:tcW w:w="993" w:type="dxa"/>
            <w:tcBorders>
              <w:top w:val="nil"/>
              <w:left w:val="nil"/>
              <w:bottom w:val="nil"/>
              <w:right w:val="single" w:sz="8" w:space="0" w:color="auto"/>
            </w:tcBorders>
            <w:shd w:val="clear" w:color="auto" w:fill="auto"/>
            <w:vAlign w:val="center"/>
            <w:hideMark/>
          </w:tcPr>
          <w:p w14:paraId="4CBDEFEE"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BFI.C570</w:t>
            </w:r>
          </w:p>
        </w:tc>
        <w:tc>
          <w:tcPr>
            <w:tcW w:w="992" w:type="dxa"/>
            <w:tcBorders>
              <w:top w:val="nil"/>
              <w:left w:val="nil"/>
              <w:bottom w:val="nil"/>
              <w:right w:val="single" w:sz="8" w:space="0" w:color="auto"/>
            </w:tcBorders>
            <w:shd w:val="clear" w:color="auto" w:fill="auto"/>
            <w:vAlign w:val="center"/>
            <w:hideMark/>
          </w:tcPr>
          <w:p w14:paraId="2DAA69E9"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BFI.D570</w:t>
            </w:r>
          </w:p>
        </w:tc>
        <w:tc>
          <w:tcPr>
            <w:tcW w:w="5103" w:type="dxa"/>
            <w:tcBorders>
              <w:top w:val="nil"/>
              <w:left w:val="nil"/>
              <w:bottom w:val="nil"/>
              <w:right w:val="single" w:sz="8" w:space="0" w:color="auto"/>
            </w:tcBorders>
            <w:shd w:val="clear" w:color="auto" w:fill="auto"/>
            <w:noWrap/>
            <w:vAlign w:val="center"/>
            <w:hideMark/>
          </w:tcPr>
          <w:p w14:paraId="7DADEA87" w14:textId="77777777" w:rsidR="00696B6D" w:rsidRPr="00EA4CDC" w:rsidRDefault="00696B6D" w:rsidP="00696B6D">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339 - SUPERÁVIT FINANCEIRO - DOAÇÕES</w:t>
            </w:r>
          </w:p>
        </w:tc>
        <w:tc>
          <w:tcPr>
            <w:tcW w:w="993" w:type="dxa"/>
            <w:tcBorders>
              <w:top w:val="nil"/>
              <w:left w:val="nil"/>
              <w:bottom w:val="nil"/>
              <w:right w:val="single" w:sz="8" w:space="0" w:color="auto"/>
            </w:tcBorders>
            <w:shd w:val="clear" w:color="auto" w:fill="auto"/>
            <w:vAlign w:val="center"/>
            <w:hideMark/>
          </w:tcPr>
          <w:p w14:paraId="140B49E9"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BFI.G570</w:t>
            </w:r>
          </w:p>
        </w:tc>
        <w:tc>
          <w:tcPr>
            <w:tcW w:w="992" w:type="dxa"/>
            <w:tcBorders>
              <w:top w:val="nil"/>
              <w:left w:val="nil"/>
              <w:bottom w:val="nil"/>
              <w:right w:val="single" w:sz="8" w:space="0" w:color="auto"/>
            </w:tcBorders>
            <w:shd w:val="clear" w:color="auto" w:fill="auto"/>
            <w:vAlign w:val="center"/>
            <w:hideMark/>
          </w:tcPr>
          <w:p w14:paraId="101F35B5"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BFI.H570</w:t>
            </w:r>
          </w:p>
        </w:tc>
      </w:tr>
      <w:tr w:rsidR="00696B6D" w:rsidRPr="00EA4CDC" w14:paraId="6807A0C8"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1E8C981A" w14:textId="77777777" w:rsidR="00696B6D" w:rsidRPr="00EA4CDC" w:rsidRDefault="00696B6D" w:rsidP="00696B6D">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341 - SUPERÁVIT FINANCEIRO - CONVÊNIOS COM ÓRGÃOS NÃO FEDERAIS</w:t>
            </w:r>
          </w:p>
        </w:tc>
        <w:tc>
          <w:tcPr>
            <w:tcW w:w="993" w:type="dxa"/>
            <w:tcBorders>
              <w:top w:val="nil"/>
              <w:left w:val="nil"/>
              <w:bottom w:val="nil"/>
              <w:right w:val="single" w:sz="8" w:space="0" w:color="auto"/>
            </w:tcBorders>
            <w:shd w:val="clear" w:color="auto" w:fill="auto"/>
            <w:vAlign w:val="center"/>
            <w:hideMark/>
          </w:tcPr>
          <w:p w14:paraId="12B3D57F"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BFI.C571</w:t>
            </w:r>
          </w:p>
        </w:tc>
        <w:tc>
          <w:tcPr>
            <w:tcW w:w="992" w:type="dxa"/>
            <w:tcBorders>
              <w:top w:val="nil"/>
              <w:left w:val="nil"/>
              <w:bottom w:val="nil"/>
              <w:right w:val="single" w:sz="8" w:space="0" w:color="auto"/>
            </w:tcBorders>
            <w:shd w:val="clear" w:color="auto" w:fill="auto"/>
            <w:vAlign w:val="center"/>
            <w:hideMark/>
          </w:tcPr>
          <w:p w14:paraId="18121785"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BFI.D571</w:t>
            </w:r>
          </w:p>
        </w:tc>
        <w:tc>
          <w:tcPr>
            <w:tcW w:w="5103" w:type="dxa"/>
            <w:tcBorders>
              <w:top w:val="nil"/>
              <w:left w:val="nil"/>
              <w:bottom w:val="nil"/>
              <w:right w:val="single" w:sz="8" w:space="0" w:color="auto"/>
            </w:tcBorders>
            <w:shd w:val="clear" w:color="auto" w:fill="auto"/>
            <w:noWrap/>
            <w:vAlign w:val="center"/>
            <w:hideMark/>
          </w:tcPr>
          <w:p w14:paraId="091D0D81" w14:textId="77777777" w:rsidR="00696B6D" w:rsidRPr="00EA4CDC" w:rsidRDefault="00696B6D" w:rsidP="00696B6D">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341 - SUPERÁVIT FINANCEIRO - CONVÊNIOS COM ÓRGÃOS NÃO FEDERAIS</w:t>
            </w:r>
          </w:p>
        </w:tc>
        <w:tc>
          <w:tcPr>
            <w:tcW w:w="993" w:type="dxa"/>
            <w:tcBorders>
              <w:top w:val="nil"/>
              <w:left w:val="nil"/>
              <w:bottom w:val="nil"/>
              <w:right w:val="single" w:sz="8" w:space="0" w:color="auto"/>
            </w:tcBorders>
            <w:shd w:val="clear" w:color="auto" w:fill="auto"/>
            <w:vAlign w:val="center"/>
            <w:hideMark/>
          </w:tcPr>
          <w:p w14:paraId="3A9BCC94"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BFI.G571</w:t>
            </w:r>
          </w:p>
        </w:tc>
        <w:tc>
          <w:tcPr>
            <w:tcW w:w="992" w:type="dxa"/>
            <w:tcBorders>
              <w:top w:val="nil"/>
              <w:left w:val="nil"/>
              <w:bottom w:val="nil"/>
              <w:right w:val="single" w:sz="8" w:space="0" w:color="auto"/>
            </w:tcBorders>
            <w:shd w:val="clear" w:color="auto" w:fill="auto"/>
            <w:vAlign w:val="center"/>
            <w:hideMark/>
          </w:tcPr>
          <w:p w14:paraId="060424E2"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BFI.H571</w:t>
            </w:r>
          </w:p>
        </w:tc>
      </w:tr>
      <w:tr w:rsidR="00696B6D" w:rsidRPr="00EA4CDC" w14:paraId="67049D5B"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07AFF8B8" w14:textId="77777777" w:rsidR="00696B6D" w:rsidRPr="00EA4CDC" w:rsidRDefault="00696B6D" w:rsidP="00696B6D">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342 - SUPERÁVIT FINANCEIRO - OPERAÇÕES DE CRÉDITO INTERNAS</w:t>
            </w:r>
          </w:p>
        </w:tc>
        <w:tc>
          <w:tcPr>
            <w:tcW w:w="993" w:type="dxa"/>
            <w:tcBorders>
              <w:top w:val="nil"/>
              <w:left w:val="nil"/>
              <w:bottom w:val="nil"/>
              <w:right w:val="single" w:sz="8" w:space="0" w:color="auto"/>
            </w:tcBorders>
            <w:shd w:val="clear" w:color="auto" w:fill="auto"/>
            <w:vAlign w:val="center"/>
            <w:hideMark/>
          </w:tcPr>
          <w:p w14:paraId="04E55914"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BFI.C572</w:t>
            </w:r>
          </w:p>
        </w:tc>
        <w:tc>
          <w:tcPr>
            <w:tcW w:w="992" w:type="dxa"/>
            <w:tcBorders>
              <w:top w:val="nil"/>
              <w:left w:val="nil"/>
              <w:bottom w:val="nil"/>
              <w:right w:val="single" w:sz="8" w:space="0" w:color="auto"/>
            </w:tcBorders>
            <w:shd w:val="clear" w:color="auto" w:fill="auto"/>
            <w:vAlign w:val="center"/>
            <w:hideMark/>
          </w:tcPr>
          <w:p w14:paraId="6D970A83"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BFI.D572</w:t>
            </w:r>
          </w:p>
        </w:tc>
        <w:tc>
          <w:tcPr>
            <w:tcW w:w="5103" w:type="dxa"/>
            <w:tcBorders>
              <w:top w:val="nil"/>
              <w:left w:val="nil"/>
              <w:bottom w:val="nil"/>
              <w:right w:val="single" w:sz="8" w:space="0" w:color="auto"/>
            </w:tcBorders>
            <w:shd w:val="clear" w:color="auto" w:fill="auto"/>
            <w:noWrap/>
            <w:vAlign w:val="center"/>
            <w:hideMark/>
          </w:tcPr>
          <w:p w14:paraId="567B30E9" w14:textId="77777777" w:rsidR="00696B6D" w:rsidRPr="00EA4CDC" w:rsidRDefault="00696B6D" w:rsidP="00696B6D">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342 - SUPERÁVIT FINANCEIRO - OPERAÇÕES DE CRÉDITO INTERNAS</w:t>
            </w:r>
          </w:p>
        </w:tc>
        <w:tc>
          <w:tcPr>
            <w:tcW w:w="993" w:type="dxa"/>
            <w:tcBorders>
              <w:top w:val="nil"/>
              <w:left w:val="nil"/>
              <w:bottom w:val="nil"/>
              <w:right w:val="single" w:sz="8" w:space="0" w:color="auto"/>
            </w:tcBorders>
            <w:shd w:val="clear" w:color="auto" w:fill="auto"/>
            <w:vAlign w:val="center"/>
            <w:hideMark/>
          </w:tcPr>
          <w:p w14:paraId="4F103515"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BFI.G572</w:t>
            </w:r>
          </w:p>
        </w:tc>
        <w:tc>
          <w:tcPr>
            <w:tcW w:w="992" w:type="dxa"/>
            <w:tcBorders>
              <w:top w:val="nil"/>
              <w:left w:val="nil"/>
              <w:bottom w:val="nil"/>
              <w:right w:val="single" w:sz="8" w:space="0" w:color="auto"/>
            </w:tcBorders>
            <w:shd w:val="clear" w:color="auto" w:fill="auto"/>
            <w:vAlign w:val="center"/>
            <w:hideMark/>
          </w:tcPr>
          <w:p w14:paraId="3BD149AF"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BFI.H572</w:t>
            </w:r>
          </w:p>
        </w:tc>
      </w:tr>
      <w:tr w:rsidR="00696B6D" w:rsidRPr="00EA4CDC" w14:paraId="4163F907"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3715A3A5" w14:textId="77777777" w:rsidR="00696B6D" w:rsidRPr="00EA4CDC" w:rsidRDefault="00696B6D" w:rsidP="00696B6D">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343 - SUPERÁVIT FINANCEIRO - OPERAÇÕES DE CRÉDITO EXTERNAS</w:t>
            </w:r>
          </w:p>
        </w:tc>
        <w:tc>
          <w:tcPr>
            <w:tcW w:w="993" w:type="dxa"/>
            <w:tcBorders>
              <w:top w:val="nil"/>
              <w:left w:val="nil"/>
              <w:bottom w:val="nil"/>
              <w:right w:val="single" w:sz="8" w:space="0" w:color="auto"/>
            </w:tcBorders>
            <w:shd w:val="clear" w:color="auto" w:fill="auto"/>
            <w:vAlign w:val="center"/>
            <w:hideMark/>
          </w:tcPr>
          <w:p w14:paraId="5433C6E2"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BFI.C573</w:t>
            </w:r>
          </w:p>
        </w:tc>
        <w:tc>
          <w:tcPr>
            <w:tcW w:w="992" w:type="dxa"/>
            <w:tcBorders>
              <w:top w:val="nil"/>
              <w:left w:val="nil"/>
              <w:bottom w:val="nil"/>
              <w:right w:val="single" w:sz="8" w:space="0" w:color="auto"/>
            </w:tcBorders>
            <w:shd w:val="clear" w:color="auto" w:fill="auto"/>
            <w:vAlign w:val="center"/>
            <w:hideMark/>
          </w:tcPr>
          <w:p w14:paraId="6161B30D"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BFI.D573</w:t>
            </w:r>
          </w:p>
        </w:tc>
        <w:tc>
          <w:tcPr>
            <w:tcW w:w="5103" w:type="dxa"/>
            <w:tcBorders>
              <w:top w:val="nil"/>
              <w:left w:val="nil"/>
              <w:bottom w:val="nil"/>
              <w:right w:val="single" w:sz="8" w:space="0" w:color="auto"/>
            </w:tcBorders>
            <w:shd w:val="clear" w:color="auto" w:fill="auto"/>
            <w:noWrap/>
            <w:vAlign w:val="center"/>
            <w:hideMark/>
          </w:tcPr>
          <w:p w14:paraId="7C1EE996" w14:textId="77777777" w:rsidR="00696B6D" w:rsidRPr="00EA4CDC" w:rsidRDefault="00696B6D" w:rsidP="00696B6D">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343 - SUPERÁVIT FINANCEIRO - OPERAÇÕES DE CRÉDITO EXTERNAS</w:t>
            </w:r>
          </w:p>
        </w:tc>
        <w:tc>
          <w:tcPr>
            <w:tcW w:w="993" w:type="dxa"/>
            <w:tcBorders>
              <w:top w:val="nil"/>
              <w:left w:val="nil"/>
              <w:bottom w:val="nil"/>
              <w:right w:val="single" w:sz="8" w:space="0" w:color="auto"/>
            </w:tcBorders>
            <w:shd w:val="clear" w:color="auto" w:fill="auto"/>
            <w:vAlign w:val="center"/>
            <w:hideMark/>
          </w:tcPr>
          <w:p w14:paraId="48F426F6"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BFI.G573</w:t>
            </w:r>
          </w:p>
        </w:tc>
        <w:tc>
          <w:tcPr>
            <w:tcW w:w="992" w:type="dxa"/>
            <w:tcBorders>
              <w:top w:val="nil"/>
              <w:left w:val="nil"/>
              <w:bottom w:val="nil"/>
              <w:right w:val="single" w:sz="8" w:space="0" w:color="auto"/>
            </w:tcBorders>
            <w:shd w:val="clear" w:color="auto" w:fill="auto"/>
            <w:vAlign w:val="center"/>
            <w:hideMark/>
          </w:tcPr>
          <w:p w14:paraId="598794CA"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BFI.H573</w:t>
            </w:r>
          </w:p>
        </w:tc>
      </w:tr>
      <w:tr w:rsidR="00696B6D" w:rsidRPr="00EA4CDC" w14:paraId="1A91F8B5"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33554DBF" w14:textId="77777777" w:rsidR="00696B6D" w:rsidRPr="00EA4CDC" w:rsidRDefault="00696B6D" w:rsidP="00696B6D">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344 - SUPERÁVIT FINANCEIRO - TRANSFERÊNCIAS A MUNICÍPIOS - CIDE</w:t>
            </w:r>
          </w:p>
        </w:tc>
        <w:tc>
          <w:tcPr>
            <w:tcW w:w="993" w:type="dxa"/>
            <w:tcBorders>
              <w:top w:val="nil"/>
              <w:left w:val="nil"/>
              <w:bottom w:val="nil"/>
              <w:right w:val="single" w:sz="8" w:space="0" w:color="auto"/>
            </w:tcBorders>
            <w:shd w:val="clear" w:color="auto" w:fill="auto"/>
            <w:vAlign w:val="center"/>
            <w:hideMark/>
          </w:tcPr>
          <w:p w14:paraId="6A9467CF"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BFI.C574</w:t>
            </w:r>
          </w:p>
        </w:tc>
        <w:tc>
          <w:tcPr>
            <w:tcW w:w="992" w:type="dxa"/>
            <w:tcBorders>
              <w:top w:val="nil"/>
              <w:left w:val="nil"/>
              <w:bottom w:val="nil"/>
              <w:right w:val="single" w:sz="8" w:space="0" w:color="auto"/>
            </w:tcBorders>
            <w:shd w:val="clear" w:color="auto" w:fill="auto"/>
            <w:vAlign w:val="center"/>
            <w:hideMark/>
          </w:tcPr>
          <w:p w14:paraId="5A5F5EB8"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BFI.D574</w:t>
            </w:r>
          </w:p>
        </w:tc>
        <w:tc>
          <w:tcPr>
            <w:tcW w:w="5103" w:type="dxa"/>
            <w:tcBorders>
              <w:top w:val="nil"/>
              <w:left w:val="nil"/>
              <w:bottom w:val="nil"/>
              <w:right w:val="single" w:sz="8" w:space="0" w:color="auto"/>
            </w:tcBorders>
            <w:shd w:val="clear" w:color="auto" w:fill="auto"/>
            <w:noWrap/>
            <w:vAlign w:val="center"/>
            <w:hideMark/>
          </w:tcPr>
          <w:p w14:paraId="17C18F9D" w14:textId="77777777" w:rsidR="00696B6D" w:rsidRPr="00EA4CDC" w:rsidRDefault="00696B6D" w:rsidP="00696B6D">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344 - SUPERÁVIT FINANCEIRO - TRANSFERÊNCIAS A MUNICÍPIOS - CIDE</w:t>
            </w:r>
          </w:p>
        </w:tc>
        <w:tc>
          <w:tcPr>
            <w:tcW w:w="993" w:type="dxa"/>
            <w:tcBorders>
              <w:top w:val="nil"/>
              <w:left w:val="nil"/>
              <w:bottom w:val="nil"/>
              <w:right w:val="single" w:sz="8" w:space="0" w:color="auto"/>
            </w:tcBorders>
            <w:shd w:val="clear" w:color="auto" w:fill="auto"/>
            <w:vAlign w:val="center"/>
            <w:hideMark/>
          </w:tcPr>
          <w:p w14:paraId="77AF3A8C"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BFI.G574</w:t>
            </w:r>
          </w:p>
        </w:tc>
        <w:tc>
          <w:tcPr>
            <w:tcW w:w="992" w:type="dxa"/>
            <w:tcBorders>
              <w:top w:val="nil"/>
              <w:left w:val="nil"/>
              <w:bottom w:val="nil"/>
              <w:right w:val="single" w:sz="8" w:space="0" w:color="auto"/>
            </w:tcBorders>
            <w:shd w:val="clear" w:color="auto" w:fill="auto"/>
            <w:vAlign w:val="center"/>
            <w:hideMark/>
          </w:tcPr>
          <w:p w14:paraId="1865F5C3"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BFI.H574</w:t>
            </w:r>
          </w:p>
        </w:tc>
      </w:tr>
      <w:tr w:rsidR="00696B6D" w:rsidRPr="00EA4CDC" w14:paraId="499427BB"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6CFEFA70" w14:textId="77777777" w:rsidR="00696B6D" w:rsidRPr="00EA4CDC" w:rsidRDefault="00696B6D" w:rsidP="00696B6D">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350 - SUPERÁVIT FINANCEIRO - PACTO NACIONAL PELA GESTÃO DAS ÁGUAS – PROGESTÃO</w:t>
            </w:r>
          </w:p>
        </w:tc>
        <w:tc>
          <w:tcPr>
            <w:tcW w:w="993" w:type="dxa"/>
            <w:tcBorders>
              <w:top w:val="nil"/>
              <w:left w:val="nil"/>
              <w:bottom w:val="nil"/>
              <w:right w:val="single" w:sz="8" w:space="0" w:color="auto"/>
            </w:tcBorders>
            <w:shd w:val="clear" w:color="auto" w:fill="auto"/>
            <w:vAlign w:val="center"/>
            <w:hideMark/>
          </w:tcPr>
          <w:p w14:paraId="0CDA8DDB"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BFI.C575</w:t>
            </w:r>
          </w:p>
        </w:tc>
        <w:tc>
          <w:tcPr>
            <w:tcW w:w="992" w:type="dxa"/>
            <w:tcBorders>
              <w:top w:val="nil"/>
              <w:left w:val="nil"/>
              <w:bottom w:val="nil"/>
              <w:right w:val="single" w:sz="8" w:space="0" w:color="auto"/>
            </w:tcBorders>
            <w:shd w:val="clear" w:color="auto" w:fill="auto"/>
            <w:vAlign w:val="center"/>
            <w:hideMark/>
          </w:tcPr>
          <w:p w14:paraId="3780C514"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BFI.D575</w:t>
            </w:r>
          </w:p>
        </w:tc>
        <w:tc>
          <w:tcPr>
            <w:tcW w:w="5103" w:type="dxa"/>
            <w:tcBorders>
              <w:top w:val="nil"/>
              <w:left w:val="nil"/>
              <w:bottom w:val="nil"/>
              <w:right w:val="single" w:sz="8" w:space="0" w:color="auto"/>
            </w:tcBorders>
            <w:shd w:val="clear" w:color="auto" w:fill="auto"/>
            <w:noWrap/>
            <w:vAlign w:val="center"/>
            <w:hideMark/>
          </w:tcPr>
          <w:p w14:paraId="621564C8" w14:textId="77777777" w:rsidR="00696B6D" w:rsidRPr="00EA4CDC" w:rsidRDefault="00696B6D" w:rsidP="00696B6D">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350 - SUPERÁVIT FINANCEIRO - PACTO NACIONAL PELA GESTÃO DAS ÁGUAS – PROGESTÃO</w:t>
            </w:r>
          </w:p>
        </w:tc>
        <w:tc>
          <w:tcPr>
            <w:tcW w:w="993" w:type="dxa"/>
            <w:tcBorders>
              <w:top w:val="nil"/>
              <w:left w:val="nil"/>
              <w:bottom w:val="nil"/>
              <w:right w:val="single" w:sz="8" w:space="0" w:color="auto"/>
            </w:tcBorders>
            <w:shd w:val="clear" w:color="auto" w:fill="auto"/>
            <w:vAlign w:val="center"/>
            <w:hideMark/>
          </w:tcPr>
          <w:p w14:paraId="69C848A9"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BFI.G575</w:t>
            </w:r>
          </w:p>
        </w:tc>
        <w:tc>
          <w:tcPr>
            <w:tcW w:w="992" w:type="dxa"/>
            <w:tcBorders>
              <w:top w:val="nil"/>
              <w:left w:val="nil"/>
              <w:bottom w:val="nil"/>
              <w:right w:val="single" w:sz="8" w:space="0" w:color="auto"/>
            </w:tcBorders>
            <w:shd w:val="clear" w:color="auto" w:fill="auto"/>
            <w:vAlign w:val="center"/>
            <w:hideMark/>
          </w:tcPr>
          <w:p w14:paraId="43986CD6"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BFI.H575</w:t>
            </w:r>
          </w:p>
        </w:tc>
      </w:tr>
      <w:tr w:rsidR="00696B6D" w:rsidRPr="00EA4CDC" w14:paraId="58EDC179"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53C5108B" w14:textId="77777777" w:rsidR="00696B6D" w:rsidRPr="00EA4CDC" w:rsidRDefault="00696B6D" w:rsidP="00696B6D">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354 - SUPERÁVIT FINANCEIRO - CIDE</w:t>
            </w:r>
          </w:p>
        </w:tc>
        <w:tc>
          <w:tcPr>
            <w:tcW w:w="993" w:type="dxa"/>
            <w:tcBorders>
              <w:top w:val="nil"/>
              <w:left w:val="nil"/>
              <w:bottom w:val="nil"/>
              <w:right w:val="single" w:sz="8" w:space="0" w:color="auto"/>
            </w:tcBorders>
            <w:shd w:val="clear" w:color="auto" w:fill="auto"/>
            <w:vAlign w:val="center"/>
            <w:hideMark/>
          </w:tcPr>
          <w:p w14:paraId="4A1875A5"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BFI.C576</w:t>
            </w:r>
          </w:p>
        </w:tc>
        <w:tc>
          <w:tcPr>
            <w:tcW w:w="992" w:type="dxa"/>
            <w:tcBorders>
              <w:top w:val="nil"/>
              <w:left w:val="nil"/>
              <w:bottom w:val="nil"/>
              <w:right w:val="single" w:sz="8" w:space="0" w:color="auto"/>
            </w:tcBorders>
            <w:shd w:val="clear" w:color="auto" w:fill="auto"/>
            <w:vAlign w:val="center"/>
            <w:hideMark/>
          </w:tcPr>
          <w:p w14:paraId="276609EB"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BFI.D576</w:t>
            </w:r>
          </w:p>
        </w:tc>
        <w:tc>
          <w:tcPr>
            <w:tcW w:w="5103" w:type="dxa"/>
            <w:tcBorders>
              <w:top w:val="nil"/>
              <w:left w:val="nil"/>
              <w:bottom w:val="nil"/>
              <w:right w:val="single" w:sz="8" w:space="0" w:color="auto"/>
            </w:tcBorders>
            <w:shd w:val="clear" w:color="auto" w:fill="auto"/>
            <w:noWrap/>
            <w:vAlign w:val="center"/>
            <w:hideMark/>
          </w:tcPr>
          <w:p w14:paraId="10974115" w14:textId="77777777" w:rsidR="00696B6D" w:rsidRPr="00EA4CDC" w:rsidRDefault="00696B6D" w:rsidP="00696B6D">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354 - SUPERÁVIT FINANCEIRO - CIDE</w:t>
            </w:r>
          </w:p>
        </w:tc>
        <w:tc>
          <w:tcPr>
            <w:tcW w:w="993" w:type="dxa"/>
            <w:tcBorders>
              <w:top w:val="nil"/>
              <w:left w:val="nil"/>
              <w:bottom w:val="nil"/>
              <w:right w:val="single" w:sz="8" w:space="0" w:color="auto"/>
            </w:tcBorders>
            <w:shd w:val="clear" w:color="auto" w:fill="auto"/>
            <w:vAlign w:val="center"/>
            <w:hideMark/>
          </w:tcPr>
          <w:p w14:paraId="15A88BC3"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BFI.G576</w:t>
            </w:r>
          </w:p>
        </w:tc>
        <w:tc>
          <w:tcPr>
            <w:tcW w:w="992" w:type="dxa"/>
            <w:tcBorders>
              <w:top w:val="nil"/>
              <w:left w:val="nil"/>
              <w:bottom w:val="nil"/>
              <w:right w:val="single" w:sz="8" w:space="0" w:color="auto"/>
            </w:tcBorders>
            <w:shd w:val="clear" w:color="auto" w:fill="auto"/>
            <w:vAlign w:val="center"/>
            <w:hideMark/>
          </w:tcPr>
          <w:p w14:paraId="7E06761A"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BFI.H576</w:t>
            </w:r>
          </w:p>
        </w:tc>
      </w:tr>
      <w:tr w:rsidR="00696B6D" w:rsidRPr="00EA4CDC" w14:paraId="6680C4C4"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34242CE1" w14:textId="77777777" w:rsidR="00696B6D" w:rsidRPr="00EA4CDC" w:rsidRDefault="00696B6D" w:rsidP="00696B6D">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357 - SUPERÁVIT FINANCEIRO - INCENTIVO SUAS - UNIÃO</w:t>
            </w:r>
          </w:p>
        </w:tc>
        <w:tc>
          <w:tcPr>
            <w:tcW w:w="993" w:type="dxa"/>
            <w:tcBorders>
              <w:top w:val="nil"/>
              <w:left w:val="nil"/>
              <w:bottom w:val="nil"/>
              <w:right w:val="single" w:sz="8" w:space="0" w:color="auto"/>
            </w:tcBorders>
            <w:shd w:val="clear" w:color="auto" w:fill="auto"/>
            <w:vAlign w:val="center"/>
            <w:hideMark/>
          </w:tcPr>
          <w:p w14:paraId="6ADA791F"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BFI.C577</w:t>
            </w:r>
          </w:p>
        </w:tc>
        <w:tc>
          <w:tcPr>
            <w:tcW w:w="992" w:type="dxa"/>
            <w:tcBorders>
              <w:top w:val="nil"/>
              <w:left w:val="nil"/>
              <w:bottom w:val="nil"/>
              <w:right w:val="single" w:sz="8" w:space="0" w:color="auto"/>
            </w:tcBorders>
            <w:shd w:val="clear" w:color="auto" w:fill="auto"/>
            <w:vAlign w:val="center"/>
            <w:hideMark/>
          </w:tcPr>
          <w:p w14:paraId="5A657BBE"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BFI.D577</w:t>
            </w:r>
          </w:p>
        </w:tc>
        <w:tc>
          <w:tcPr>
            <w:tcW w:w="5103" w:type="dxa"/>
            <w:tcBorders>
              <w:top w:val="nil"/>
              <w:left w:val="nil"/>
              <w:bottom w:val="nil"/>
              <w:right w:val="single" w:sz="8" w:space="0" w:color="auto"/>
            </w:tcBorders>
            <w:shd w:val="clear" w:color="auto" w:fill="auto"/>
            <w:noWrap/>
            <w:vAlign w:val="center"/>
            <w:hideMark/>
          </w:tcPr>
          <w:p w14:paraId="02490E01" w14:textId="77777777" w:rsidR="00696B6D" w:rsidRPr="00EA4CDC" w:rsidRDefault="00696B6D" w:rsidP="00696B6D">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357 - SUPERÁVIT FINANCEIRO - INCENTIVO SUAS - UNIÃO</w:t>
            </w:r>
          </w:p>
        </w:tc>
        <w:tc>
          <w:tcPr>
            <w:tcW w:w="993" w:type="dxa"/>
            <w:tcBorders>
              <w:top w:val="nil"/>
              <w:left w:val="nil"/>
              <w:bottom w:val="nil"/>
              <w:right w:val="single" w:sz="8" w:space="0" w:color="auto"/>
            </w:tcBorders>
            <w:shd w:val="clear" w:color="auto" w:fill="auto"/>
            <w:vAlign w:val="center"/>
            <w:hideMark/>
          </w:tcPr>
          <w:p w14:paraId="47AAF802"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BFI.G577</w:t>
            </w:r>
          </w:p>
        </w:tc>
        <w:tc>
          <w:tcPr>
            <w:tcW w:w="992" w:type="dxa"/>
            <w:tcBorders>
              <w:top w:val="nil"/>
              <w:left w:val="nil"/>
              <w:bottom w:val="nil"/>
              <w:right w:val="single" w:sz="8" w:space="0" w:color="auto"/>
            </w:tcBorders>
            <w:shd w:val="clear" w:color="auto" w:fill="auto"/>
            <w:vAlign w:val="center"/>
            <w:hideMark/>
          </w:tcPr>
          <w:p w14:paraId="04F92EB0"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BFI.H577</w:t>
            </w:r>
          </w:p>
        </w:tc>
      </w:tr>
      <w:tr w:rsidR="00696B6D" w:rsidRPr="00EA4CDC" w14:paraId="087D5F3E"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75098132" w14:textId="77777777" w:rsidR="00696B6D" w:rsidRPr="00EA4CDC" w:rsidRDefault="00696B6D" w:rsidP="00696B6D">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358 -  SUPERÁVIT FINANCEIRO - TRANSFERÊNCIAS A MUNICÍPIOS - LEI PELÉ</w:t>
            </w:r>
          </w:p>
        </w:tc>
        <w:tc>
          <w:tcPr>
            <w:tcW w:w="993" w:type="dxa"/>
            <w:tcBorders>
              <w:top w:val="nil"/>
              <w:left w:val="nil"/>
              <w:bottom w:val="nil"/>
              <w:right w:val="single" w:sz="8" w:space="0" w:color="auto"/>
            </w:tcBorders>
            <w:shd w:val="clear" w:color="auto" w:fill="auto"/>
            <w:vAlign w:val="center"/>
            <w:hideMark/>
          </w:tcPr>
          <w:p w14:paraId="08AE4DE2"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BFI.C578</w:t>
            </w:r>
          </w:p>
        </w:tc>
        <w:tc>
          <w:tcPr>
            <w:tcW w:w="992" w:type="dxa"/>
            <w:tcBorders>
              <w:top w:val="nil"/>
              <w:left w:val="nil"/>
              <w:bottom w:val="nil"/>
              <w:right w:val="single" w:sz="8" w:space="0" w:color="auto"/>
            </w:tcBorders>
            <w:shd w:val="clear" w:color="auto" w:fill="auto"/>
            <w:vAlign w:val="center"/>
            <w:hideMark/>
          </w:tcPr>
          <w:p w14:paraId="21EE8E2D"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BFI.D578</w:t>
            </w:r>
          </w:p>
        </w:tc>
        <w:tc>
          <w:tcPr>
            <w:tcW w:w="5103" w:type="dxa"/>
            <w:tcBorders>
              <w:top w:val="nil"/>
              <w:left w:val="nil"/>
              <w:bottom w:val="nil"/>
              <w:right w:val="single" w:sz="8" w:space="0" w:color="auto"/>
            </w:tcBorders>
            <w:shd w:val="clear" w:color="auto" w:fill="auto"/>
            <w:noWrap/>
            <w:vAlign w:val="center"/>
            <w:hideMark/>
          </w:tcPr>
          <w:p w14:paraId="57D11B3B" w14:textId="77777777" w:rsidR="00696B6D" w:rsidRPr="00EA4CDC" w:rsidRDefault="00696B6D" w:rsidP="00696B6D">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358 -  SUPERÁVIT FINANCEIRO - TRANSFERÊNCIAS A MUNICÍPIOS - LEI PELÉ</w:t>
            </w:r>
          </w:p>
        </w:tc>
        <w:tc>
          <w:tcPr>
            <w:tcW w:w="993" w:type="dxa"/>
            <w:tcBorders>
              <w:top w:val="nil"/>
              <w:left w:val="nil"/>
              <w:bottom w:val="nil"/>
              <w:right w:val="single" w:sz="8" w:space="0" w:color="auto"/>
            </w:tcBorders>
            <w:shd w:val="clear" w:color="auto" w:fill="auto"/>
            <w:vAlign w:val="center"/>
            <w:hideMark/>
          </w:tcPr>
          <w:p w14:paraId="0C0E79D5"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BFI.G578</w:t>
            </w:r>
          </w:p>
        </w:tc>
        <w:tc>
          <w:tcPr>
            <w:tcW w:w="992" w:type="dxa"/>
            <w:tcBorders>
              <w:top w:val="nil"/>
              <w:left w:val="nil"/>
              <w:bottom w:val="nil"/>
              <w:right w:val="single" w:sz="8" w:space="0" w:color="auto"/>
            </w:tcBorders>
            <w:shd w:val="clear" w:color="auto" w:fill="auto"/>
            <w:vAlign w:val="center"/>
            <w:hideMark/>
          </w:tcPr>
          <w:p w14:paraId="22649A3A"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BFI.H578</w:t>
            </w:r>
          </w:p>
        </w:tc>
      </w:tr>
      <w:tr w:rsidR="00696B6D" w:rsidRPr="00EA4CDC" w14:paraId="6F07D60B"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4CBB7B87" w14:textId="77777777" w:rsidR="00696B6D" w:rsidRPr="00EA4CDC" w:rsidRDefault="00696B6D" w:rsidP="00696B6D">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359 - SUPERÁVIT FINANCEIRO - TRANSFERÊNCIAS FINANCEIRAS A FUNDOS</w:t>
            </w:r>
          </w:p>
        </w:tc>
        <w:tc>
          <w:tcPr>
            <w:tcW w:w="993" w:type="dxa"/>
            <w:tcBorders>
              <w:top w:val="nil"/>
              <w:left w:val="nil"/>
              <w:bottom w:val="nil"/>
              <w:right w:val="single" w:sz="8" w:space="0" w:color="auto"/>
            </w:tcBorders>
            <w:shd w:val="clear" w:color="auto" w:fill="auto"/>
            <w:vAlign w:val="center"/>
            <w:hideMark/>
          </w:tcPr>
          <w:p w14:paraId="4F7ED81D"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BFI.C579</w:t>
            </w:r>
          </w:p>
        </w:tc>
        <w:tc>
          <w:tcPr>
            <w:tcW w:w="992" w:type="dxa"/>
            <w:tcBorders>
              <w:top w:val="nil"/>
              <w:left w:val="nil"/>
              <w:bottom w:val="nil"/>
              <w:right w:val="single" w:sz="8" w:space="0" w:color="auto"/>
            </w:tcBorders>
            <w:shd w:val="clear" w:color="auto" w:fill="auto"/>
            <w:vAlign w:val="center"/>
            <w:hideMark/>
          </w:tcPr>
          <w:p w14:paraId="5035A3DB"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BFI.D579</w:t>
            </w:r>
          </w:p>
        </w:tc>
        <w:tc>
          <w:tcPr>
            <w:tcW w:w="5103" w:type="dxa"/>
            <w:tcBorders>
              <w:top w:val="nil"/>
              <w:left w:val="nil"/>
              <w:bottom w:val="nil"/>
              <w:right w:val="single" w:sz="8" w:space="0" w:color="auto"/>
            </w:tcBorders>
            <w:shd w:val="clear" w:color="auto" w:fill="auto"/>
            <w:noWrap/>
            <w:vAlign w:val="center"/>
            <w:hideMark/>
          </w:tcPr>
          <w:p w14:paraId="34DBE1CD" w14:textId="77777777" w:rsidR="00696B6D" w:rsidRPr="00EA4CDC" w:rsidRDefault="00696B6D" w:rsidP="00696B6D">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359 - SUPERÁVIT FINANCEIRO - TRANSFERÊNCIAS FINANCEIRAS A FUNDOS</w:t>
            </w:r>
          </w:p>
        </w:tc>
        <w:tc>
          <w:tcPr>
            <w:tcW w:w="993" w:type="dxa"/>
            <w:tcBorders>
              <w:top w:val="nil"/>
              <w:left w:val="nil"/>
              <w:bottom w:val="nil"/>
              <w:right w:val="single" w:sz="8" w:space="0" w:color="auto"/>
            </w:tcBorders>
            <w:shd w:val="clear" w:color="auto" w:fill="auto"/>
            <w:vAlign w:val="center"/>
            <w:hideMark/>
          </w:tcPr>
          <w:p w14:paraId="727235C2"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BFI.G579</w:t>
            </w:r>
          </w:p>
        </w:tc>
        <w:tc>
          <w:tcPr>
            <w:tcW w:w="992" w:type="dxa"/>
            <w:tcBorders>
              <w:top w:val="nil"/>
              <w:left w:val="nil"/>
              <w:bottom w:val="nil"/>
              <w:right w:val="single" w:sz="8" w:space="0" w:color="auto"/>
            </w:tcBorders>
            <w:shd w:val="clear" w:color="auto" w:fill="auto"/>
            <w:vAlign w:val="center"/>
            <w:hideMark/>
          </w:tcPr>
          <w:p w14:paraId="22854DD6"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BFI.H579</w:t>
            </w:r>
          </w:p>
        </w:tc>
      </w:tr>
      <w:tr w:rsidR="00696B6D" w:rsidRPr="00EA4CDC" w14:paraId="2ABEDD8C"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1AAB52E4" w14:textId="77777777" w:rsidR="00696B6D" w:rsidRPr="00EA4CDC" w:rsidRDefault="00696B6D" w:rsidP="00696B6D">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361 - SUPERÁVIT FINANCEIRO - FUNCOP</w:t>
            </w:r>
          </w:p>
        </w:tc>
        <w:tc>
          <w:tcPr>
            <w:tcW w:w="993" w:type="dxa"/>
            <w:tcBorders>
              <w:top w:val="nil"/>
              <w:left w:val="nil"/>
              <w:bottom w:val="nil"/>
              <w:right w:val="single" w:sz="8" w:space="0" w:color="auto"/>
            </w:tcBorders>
            <w:shd w:val="clear" w:color="auto" w:fill="auto"/>
            <w:vAlign w:val="center"/>
            <w:hideMark/>
          </w:tcPr>
          <w:p w14:paraId="3997C813"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BFI.C580</w:t>
            </w:r>
          </w:p>
        </w:tc>
        <w:tc>
          <w:tcPr>
            <w:tcW w:w="992" w:type="dxa"/>
            <w:tcBorders>
              <w:top w:val="nil"/>
              <w:left w:val="nil"/>
              <w:bottom w:val="nil"/>
              <w:right w:val="single" w:sz="8" w:space="0" w:color="auto"/>
            </w:tcBorders>
            <w:shd w:val="clear" w:color="auto" w:fill="auto"/>
            <w:vAlign w:val="center"/>
            <w:hideMark/>
          </w:tcPr>
          <w:p w14:paraId="0EE3532D"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BFI.D580</w:t>
            </w:r>
          </w:p>
        </w:tc>
        <w:tc>
          <w:tcPr>
            <w:tcW w:w="5103" w:type="dxa"/>
            <w:tcBorders>
              <w:top w:val="nil"/>
              <w:left w:val="nil"/>
              <w:bottom w:val="nil"/>
              <w:right w:val="single" w:sz="8" w:space="0" w:color="auto"/>
            </w:tcBorders>
            <w:shd w:val="clear" w:color="auto" w:fill="auto"/>
            <w:noWrap/>
            <w:vAlign w:val="center"/>
            <w:hideMark/>
          </w:tcPr>
          <w:p w14:paraId="41FAA9C2" w14:textId="77777777" w:rsidR="00696B6D" w:rsidRPr="00EA4CDC" w:rsidRDefault="00696B6D" w:rsidP="00696B6D">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361 - SUPERÁVIT FINANCEIRO - FUNCOP</w:t>
            </w:r>
          </w:p>
        </w:tc>
        <w:tc>
          <w:tcPr>
            <w:tcW w:w="993" w:type="dxa"/>
            <w:tcBorders>
              <w:top w:val="nil"/>
              <w:left w:val="nil"/>
              <w:bottom w:val="nil"/>
              <w:right w:val="single" w:sz="8" w:space="0" w:color="auto"/>
            </w:tcBorders>
            <w:shd w:val="clear" w:color="auto" w:fill="auto"/>
            <w:vAlign w:val="center"/>
            <w:hideMark/>
          </w:tcPr>
          <w:p w14:paraId="484F4B19"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BFI.G580</w:t>
            </w:r>
          </w:p>
        </w:tc>
        <w:tc>
          <w:tcPr>
            <w:tcW w:w="992" w:type="dxa"/>
            <w:tcBorders>
              <w:top w:val="nil"/>
              <w:left w:val="nil"/>
              <w:bottom w:val="nil"/>
              <w:right w:val="single" w:sz="8" w:space="0" w:color="auto"/>
            </w:tcBorders>
            <w:shd w:val="clear" w:color="auto" w:fill="auto"/>
            <w:vAlign w:val="center"/>
            <w:hideMark/>
          </w:tcPr>
          <w:p w14:paraId="2500CCD5"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BFI.H580</w:t>
            </w:r>
          </w:p>
        </w:tc>
      </w:tr>
      <w:tr w:rsidR="00696B6D" w:rsidRPr="00EA4CDC" w14:paraId="55A5A98C"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77461959" w14:textId="77777777" w:rsidR="00696B6D" w:rsidRPr="00EA4CDC" w:rsidRDefault="00696B6D" w:rsidP="00696B6D">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363 - SUPERÁVIT FINANCEIRO - RECURSOS LEI PELÉ</w:t>
            </w:r>
          </w:p>
        </w:tc>
        <w:tc>
          <w:tcPr>
            <w:tcW w:w="993" w:type="dxa"/>
            <w:tcBorders>
              <w:top w:val="nil"/>
              <w:left w:val="nil"/>
              <w:bottom w:val="nil"/>
              <w:right w:val="single" w:sz="8" w:space="0" w:color="auto"/>
            </w:tcBorders>
            <w:shd w:val="clear" w:color="auto" w:fill="auto"/>
            <w:vAlign w:val="center"/>
            <w:hideMark/>
          </w:tcPr>
          <w:p w14:paraId="57477533"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BFI.C582</w:t>
            </w:r>
          </w:p>
        </w:tc>
        <w:tc>
          <w:tcPr>
            <w:tcW w:w="992" w:type="dxa"/>
            <w:tcBorders>
              <w:top w:val="nil"/>
              <w:left w:val="nil"/>
              <w:bottom w:val="nil"/>
              <w:right w:val="single" w:sz="8" w:space="0" w:color="auto"/>
            </w:tcBorders>
            <w:shd w:val="clear" w:color="auto" w:fill="auto"/>
            <w:vAlign w:val="center"/>
            <w:hideMark/>
          </w:tcPr>
          <w:p w14:paraId="6B6807C2"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BFI.D582</w:t>
            </w:r>
          </w:p>
        </w:tc>
        <w:tc>
          <w:tcPr>
            <w:tcW w:w="5103" w:type="dxa"/>
            <w:tcBorders>
              <w:top w:val="nil"/>
              <w:left w:val="nil"/>
              <w:bottom w:val="nil"/>
              <w:right w:val="single" w:sz="8" w:space="0" w:color="auto"/>
            </w:tcBorders>
            <w:shd w:val="clear" w:color="auto" w:fill="auto"/>
            <w:noWrap/>
            <w:vAlign w:val="center"/>
            <w:hideMark/>
          </w:tcPr>
          <w:p w14:paraId="10FE7C57" w14:textId="77777777" w:rsidR="00696B6D" w:rsidRPr="00EA4CDC" w:rsidRDefault="00696B6D" w:rsidP="00696B6D">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363 - SUPERÁVIT FINANCEIRO - RECURSOS LEI PELÉ</w:t>
            </w:r>
          </w:p>
        </w:tc>
        <w:tc>
          <w:tcPr>
            <w:tcW w:w="993" w:type="dxa"/>
            <w:tcBorders>
              <w:top w:val="nil"/>
              <w:left w:val="nil"/>
              <w:bottom w:val="nil"/>
              <w:right w:val="single" w:sz="8" w:space="0" w:color="auto"/>
            </w:tcBorders>
            <w:shd w:val="clear" w:color="auto" w:fill="auto"/>
            <w:vAlign w:val="center"/>
            <w:hideMark/>
          </w:tcPr>
          <w:p w14:paraId="0DF4C796"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BFI.G582</w:t>
            </w:r>
          </w:p>
        </w:tc>
        <w:tc>
          <w:tcPr>
            <w:tcW w:w="992" w:type="dxa"/>
            <w:tcBorders>
              <w:top w:val="nil"/>
              <w:left w:val="nil"/>
              <w:bottom w:val="nil"/>
              <w:right w:val="single" w:sz="8" w:space="0" w:color="auto"/>
            </w:tcBorders>
            <w:shd w:val="clear" w:color="auto" w:fill="auto"/>
            <w:vAlign w:val="center"/>
            <w:hideMark/>
          </w:tcPr>
          <w:p w14:paraId="02997EE4"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BFI.H582</w:t>
            </w:r>
          </w:p>
        </w:tc>
      </w:tr>
      <w:tr w:rsidR="00696B6D" w:rsidRPr="00EA4CDC" w14:paraId="7C263EB2"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4F664CF5" w14:textId="77777777" w:rsidR="00696B6D" w:rsidRPr="00EA4CDC" w:rsidRDefault="00696B6D" w:rsidP="00696B6D">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364 - SUPERÁVIT FINANCEIRO - TRANSFERÊNCIA A MUNICÍPIOS - ROYALTIES</w:t>
            </w:r>
          </w:p>
        </w:tc>
        <w:tc>
          <w:tcPr>
            <w:tcW w:w="993" w:type="dxa"/>
            <w:tcBorders>
              <w:top w:val="nil"/>
              <w:left w:val="nil"/>
              <w:bottom w:val="nil"/>
              <w:right w:val="single" w:sz="8" w:space="0" w:color="auto"/>
            </w:tcBorders>
            <w:shd w:val="clear" w:color="auto" w:fill="auto"/>
            <w:vAlign w:val="center"/>
            <w:hideMark/>
          </w:tcPr>
          <w:p w14:paraId="22A32F78"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BFI.C583</w:t>
            </w:r>
          </w:p>
        </w:tc>
        <w:tc>
          <w:tcPr>
            <w:tcW w:w="992" w:type="dxa"/>
            <w:tcBorders>
              <w:top w:val="nil"/>
              <w:left w:val="nil"/>
              <w:bottom w:val="nil"/>
              <w:right w:val="single" w:sz="8" w:space="0" w:color="auto"/>
            </w:tcBorders>
            <w:shd w:val="clear" w:color="auto" w:fill="auto"/>
            <w:vAlign w:val="center"/>
            <w:hideMark/>
          </w:tcPr>
          <w:p w14:paraId="6960C79D"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BFI.D583</w:t>
            </w:r>
          </w:p>
        </w:tc>
        <w:tc>
          <w:tcPr>
            <w:tcW w:w="5103" w:type="dxa"/>
            <w:tcBorders>
              <w:top w:val="nil"/>
              <w:left w:val="nil"/>
              <w:bottom w:val="nil"/>
              <w:right w:val="single" w:sz="8" w:space="0" w:color="auto"/>
            </w:tcBorders>
            <w:shd w:val="clear" w:color="auto" w:fill="auto"/>
            <w:noWrap/>
            <w:vAlign w:val="center"/>
            <w:hideMark/>
          </w:tcPr>
          <w:p w14:paraId="40D6B4A4" w14:textId="77777777" w:rsidR="00696B6D" w:rsidRPr="00EA4CDC" w:rsidRDefault="00696B6D" w:rsidP="00696B6D">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364 - SUPERÁVIT FINANCEIRO - TRANSFERÊNCIA A MUNICÍPIOS - ROYALTIES</w:t>
            </w:r>
          </w:p>
        </w:tc>
        <w:tc>
          <w:tcPr>
            <w:tcW w:w="993" w:type="dxa"/>
            <w:tcBorders>
              <w:top w:val="nil"/>
              <w:left w:val="nil"/>
              <w:bottom w:val="nil"/>
              <w:right w:val="single" w:sz="8" w:space="0" w:color="auto"/>
            </w:tcBorders>
            <w:shd w:val="clear" w:color="auto" w:fill="auto"/>
            <w:vAlign w:val="center"/>
            <w:hideMark/>
          </w:tcPr>
          <w:p w14:paraId="07DCD2EB"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BFI.G583</w:t>
            </w:r>
          </w:p>
        </w:tc>
        <w:tc>
          <w:tcPr>
            <w:tcW w:w="992" w:type="dxa"/>
            <w:tcBorders>
              <w:top w:val="nil"/>
              <w:left w:val="nil"/>
              <w:bottom w:val="nil"/>
              <w:right w:val="single" w:sz="8" w:space="0" w:color="auto"/>
            </w:tcBorders>
            <w:shd w:val="clear" w:color="auto" w:fill="auto"/>
            <w:vAlign w:val="center"/>
            <w:hideMark/>
          </w:tcPr>
          <w:p w14:paraId="3D9444F5"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BFI.H583</w:t>
            </w:r>
          </w:p>
        </w:tc>
      </w:tr>
      <w:tr w:rsidR="00696B6D" w:rsidRPr="00EA4CDC" w14:paraId="3F938152"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62402EBE" w14:textId="77777777" w:rsidR="00696B6D" w:rsidRPr="00EA4CDC" w:rsidRDefault="00696B6D" w:rsidP="00696B6D">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366 -  SUPERÁVIT FINANCEIRO - PAR</w:t>
            </w:r>
          </w:p>
        </w:tc>
        <w:tc>
          <w:tcPr>
            <w:tcW w:w="993" w:type="dxa"/>
            <w:tcBorders>
              <w:top w:val="nil"/>
              <w:left w:val="nil"/>
              <w:bottom w:val="nil"/>
              <w:right w:val="single" w:sz="8" w:space="0" w:color="auto"/>
            </w:tcBorders>
            <w:shd w:val="clear" w:color="auto" w:fill="auto"/>
            <w:vAlign w:val="center"/>
            <w:hideMark/>
          </w:tcPr>
          <w:p w14:paraId="534E276F"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BFI.C584</w:t>
            </w:r>
          </w:p>
        </w:tc>
        <w:tc>
          <w:tcPr>
            <w:tcW w:w="992" w:type="dxa"/>
            <w:tcBorders>
              <w:top w:val="nil"/>
              <w:left w:val="nil"/>
              <w:bottom w:val="nil"/>
              <w:right w:val="single" w:sz="8" w:space="0" w:color="auto"/>
            </w:tcBorders>
            <w:shd w:val="clear" w:color="auto" w:fill="auto"/>
            <w:vAlign w:val="center"/>
            <w:hideMark/>
          </w:tcPr>
          <w:p w14:paraId="784BA330"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BFI.D584</w:t>
            </w:r>
          </w:p>
        </w:tc>
        <w:tc>
          <w:tcPr>
            <w:tcW w:w="5103" w:type="dxa"/>
            <w:tcBorders>
              <w:top w:val="nil"/>
              <w:left w:val="nil"/>
              <w:bottom w:val="nil"/>
              <w:right w:val="single" w:sz="8" w:space="0" w:color="auto"/>
            </w:tcBorders>
            <w:shd w:val="clear" w:color="auto" w:fill="auto"/>
            <w:noWrap/>
            <w:vAlign w:val="center"/>
            <w:hideMark/>
          </w:tcPr>
          <w:p w14:paraId="08C06ECA" w14:textId="77777777" w:rsidR="00696B6D" w:rsidRPr="00EA4CDC" w:rsidRDefault="00696B6D" w:rsidP="00696B6D">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366 -  SUPERÁVIT FINANCEIRO - PAR</w:t>
            </w:r>
          </w:p>
        </w:tc>
        <w:tc>
          <w:tcPr>
            <w:tcW w:w="993" w:type="dxa"/>
            <w:tcBorders>
              <w:top w:val="nil"/>
              <w:left w:val="nil"/>
              <w:bottom w:val="nil"/>
              <w:right w:val="single" w:sz="8" w:space="0" w:color="auto"/>
            </w:tcBorders>
            <w:shd w:val="clear" w:color="auto" w:fill="auto"/>
            <w:vAlign w:val="center"/>
            <w:hideMark/>
          </w:tcPr>
          <w:p w14:paraId="5966E2B8"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BFI.G584</w:t>
            </w:r>
          </w:p>
        </w:tc>
        <w:tc>
          <w:tcPr>
            <w:tcW w:w="992" w:type="dxa"/>
            <w:tcBorders>
              <w:top w:val="nil"/>
              <w:left w:val="nil"/>
              <w:bottom w:val="nil"/>
              <w:right w:val="single" w:sz="8" w:space="0" w:color="auto"/>
            </w:tcBorders>
            <w:shd w:val="clear" w:color="auto" w:fill="auto"/>
            <w:vAlign w:val="center"/>
            <w:hideMark/>
          </w:tcPr>
          <w:p w14:paraId="5B14948B"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BFI.H584</w:t>
            </w:r>
          </w:p>
        </w:tc>
      </w:tr>
      <w:tr w:rsidR="00696B6D" w:rsidRPr="00EA4CDC" w14:paraId="26903115"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18D5050D" w14:textId="77777777" w:rsidR="00696B6D" w:rsidRPr="00EA4CDC" w:rsidRDefault="00696B6D" w:rsidP="00696B6D">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367 -  SUPERÁVIT FINANCEIRO - TRANSFERÊNCIAS OBRIGATÓRIAS PARA AÇÕES DE DEFESA CIVIL</w:t>
            </w:r>
          </w:p>
        </w:tc>
        <w:tc>
          <w:tcPr>
            <w:tcW w:w="993" w:type="dxa"/>
            <w:tcBorders>
              <w:top w:val="nil"/>
              <w:left w:val="nil"/>
              <w:bottom w:val="nil"/>
              <w:right w:val="single" w:sz="8" w:space="0" w:color="auto"/>
            </w:tcBorders>
            <w:shd w:val="clear" w:color="auto" w:fill="auto"/>
            <w:vAlign w:val="center"/>
            <w:hideMark/>
          </w:tcPr>
          <w:p w14:paraId="3F2F8A88"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BFI.C585</w:t>
            </w:r>
          </w:p>
        </w:tc>
        <w:tc>
          <w:tcPr>
            <w:tcW w:w="992" w:type="dxa"/>
            <w:tcBorders>
              <w:top w:val="nil"/>
              <w:left w:val="nil"/>
              <w:bottom w:val="nil"/>
              <w:right w:val="single" w:sz="8" w:space="0" w:color="auto"/>
            </w:tcBorders>
            <w:shd w:val="clear" w:color="auto" w:fill="auto"/>
            <w:vAlign w:val="center"/>
            <w:hideMark/>
          </w:tcPr>
          <w:p w14:paraId="1DE24FD6"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BFI.D585</w:t>
            </w:r>
          </w:p>
        </w:tc>
        <w:tc>
          <w:tcPr>
            <w:tcW w:w="5103" w:type="dxa"/>
            <w:tcBorders>
              <w:top w:val="nil"/>
              <w:left w:val="nil"/>
              <w:bottom w:val="nil"/>
              <w:right w:val="single" w:sz="8" w:space="0" w:color="auto"/>
            </w:tcBorders>
            <w:shd w:val="clear" w:color="auto" w:fill="auto"/>
            <w:noWrap/>
            <w:vAlign w:val="center"/>
            <w:hideMark/>
          </w:tcPr>
          <w:p w14:paraId="0E1D82B6" w14:textId="77777777" w:rsidR="00696B6D" w:rsidRPr="00EA4CDC" w:rsidRDefault="00696B6D" w:rsidP="00696B6D">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367 -  SUPERÁVIT FINANCEIRO - TRANSFERÊNCIAS OBRIGATÓRIAS PARA AÇÕES DE DEFESA CIVIL</w:t>
            </w:r>
          </w:p>
        </w:tc>
        <w:tc>
          <w:tcPr>
            <w:tcW w:w="993" w:type="dxa"/>
            <w:tcBorders>
              <w:top w:val="nil"/>
              <w:left w:val="nil"/>
              <w:bottom w:val="nil"/>
              <w:right w:val="single" w:sz="8" w:space="0" w:color="auto"/>
            </w:tcBorders>
            <w:shd w:val="clear" w:color="auto" w:fill="auto"/>
            <w:vAlign w:val="center"/>
            <w:hideMark/>
          </w:tcPr>
          <w:p w14:paraId="1D2C3BEA"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BFI.G585</w:t>
            </w:r>
          </w:p>
        </w:tc>
        <w:tc>
          <w:tcPr>
            <w:tcW w:w="992" w:type="dxa"/>
            <w:tcBorders>
              <w:top w:val="nil"/>
              <w:left w:val="nil"/>
              <w:bottom w:val="nil"/>
              <w:right w:val="single" w:sz="8" w:space="0" w:color="auto"/>
            </w:tcBorders>
            <w:shd w:val="clear" w:color="auto" w:fill="auto"/>
            <w:vAlign w:val="center"/>
            <w:hideMark/>
          </w:tcPr>
          <w:p w14:paraId="45033189"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BFI.H585</w:t>
            </w:r>
          </w:p>
        </w:tc>
      </w:tr>
      <w:tr w:rsidR="00696B6D" w:rsidRPr="00EA4CDC" w14:paraId="792B6EA9"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04B7C414" w14:textId="77777777" w:rsidR="00696B6D" w:rsidRPr="00EA4CDC" w:rsidRDefault="00696B6D" w:rsidP="00696B6D">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671 - SUPERÁVIT FINANCEIRO - ARRECADADO PELO ÓRGÃO</w:t>
            </w:r>
          </w:p>
        </w:tc>
        <w:tc>
          <w:tcPr>
            <w:tcW w:w="993" w:type="dxa"/>
            <w:tcBorders>
              <w:top w:val="nil"/>
              <w:left w:val="nil"/>
              <w:bottom w:val="nil"/>
              <w:right w:val="single" w:sz="8" w:space="0" w:color="auto"/>
            </w:tcBorders>
            <w:shd w:val="clear" w:color="auto" w:fill="auto"/>
            <w:vAlign w:val="center"/>
            <w:hideMark/>
          </w:tcPr>
          <w:p w14:paraId="18E9F7C1"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BFI.C587</w:t>
            </w:r>
          </w:p>
        </w:tc>
        <w:tc>
          <w:tcPr>
            <w:tcW w:w="992" w:type="dxa"/>
            <w:tcBorders>
              <w:top w:val="nil"/>
              <w:left w:val="nil"/>
              <w:bottom w:val="nil"/>
              <w:right w:val="single" w:sz="8" w:space="0" w:color="auto"/>
            </w:tcBorders>
            <w:shd w:val="clear" w:color="auto" w:fill="auto"/>
            <w:vAlign w:val="center"/>
            <w:hideMark/>
          </w:tcPr>
          <w:p w14:paraId="62D25B56"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BFI.D587</w:t>
            </w:r>
          </w:p>
        </w:tc>
        <w:tc>
          <w:tcPr>
            <w:tcW w:w="5103" w:type="dxa"/>
            <w:tcBorders>
              <w:top w:val="nil"/>
              <w:left w:val="nil"/>
              <w:bottom w:val="nil"/>
              <w:right w:val="single" w:sz="8" w:space="0" w:color="auto"/>
            </w:tcBorders>
            <w:shd w:val="clear" w:color="auto" w:fill="auto"/>
            <w:noWrap/>
            <w:vAlign w:val="center"/>
            <w:hideMark/>
          </w:tcPr>
          <w:p w14:paraId="3B06E33C" w14:textId="77777777" w:rsidR="00696B6D" w:rsidRPr="00EA4CDC" w:rsidRDefault="00696B6D" w:rsidP="00696B6D">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671 - SUPERÁVIT FINANCEIRO - ARRECADADO PELO ÓRGÃO</w:t>
            </w:r>
          </w:p>
        </w:tc>
        <w:tc>
          <w:tcPr>
            <w:tcW w:w="993" w:type="dxa"/>
            <w:tcBorders>
              <w:top w:val="nil"/>
              <w:left w:val="nil"/>
              <w:bottom w:val="nil"/>
              <w:right w:val="single" w:sz="8" w:space="0" w:color="auto"/>
            </w:tcBorders>
            <w:shd w:val="clear" w:color="auto" w:fill="auto"/>
            <w:vAlign w:val="center"/>
            <w:hideMark/>
          </w:tcPr>
          <w:p w14:paraId="12484B58"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BFI.G587</w:t>
            </w:r>
          </w:p>
        </w:tc>
        <w:tc>
          <w:tcPr>
            <w:tcW w:w="992" w:type="dxa"/>
            <w:tcBorders>
              <w:top w:val="nil"/>
              <w:left w:val="nil"/>
              <w:bottom w:val="nil"/>
              <w:right w:val="single" w:sz="8" w:space="0" w:color="auto"/>
            </w:tcBorders>
            <w:shd w:val="clear" w:color="auto" w:fill="auto"/>
            <w:vAlign w:val="center"/>
            <w:hideMark/>
          </w:tcPr>
          <w:p w14:paraId="7A7F1A93"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BFI.H587</w:t>
            </w:r>
          </w:p>
        </w:tc>
      </w:tr>
      <w:tr w:rsidR="00696B6D" w:rsidRPr="00EA4CDC" w14:paraId="4A126068"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124153F1" w14:textId="77777777" w:rsidR="00696B6D" w:rsidRPr="00EA4CDC" w:rsidRDefault="00696B6D" w:rsidP="00696B6D">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672 - SUPERÁVIT FINANCEIRO - CONVÊNIOS COM ÓRGÃOS FEDERAIS</w:t>
            </w:r>
          </w:p>
        </w:tc>
        <w:tc>
          <w:tcPr>
            <w:tcW w:w="993" w:type="dxa"/>
            <w:tcBorders>
              <w:top w:val="nil"/>
              <w:left w:val="nil"/>
              <w:bottom w:val="nil"/>
              <w:right w:val="single" w:sz="8" w:space="0" w:color="auto"/>
            </w:tcBorders>
            <w:shd w:val="clear" w:color="auto" w:fill="auto"/>
            <w:vAlign w:val="center"/>
            <w:hideMark/>
          </w:tcPr>
          <w:p w14:paraId="6F3DF27B"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BFI.C588</w:t>
            </w:r>
          </w:p>
        </w:tc>
        <w:tc>
          <w:tcPr>
            <w:tcW w:w="992" w:type="dxa"/>
            <w:tcBorders>
              <w:top w:val="nil"/>
              <w:left w:val="nil"/>
              <w:bottom w:val="nil"/>
              <w:right w:val="single" w:sz="8" w:space="0" w:color="auto"/>
            </w:tcBorders>
            <w:shd w:val="clear" w:color="auto" w:fill="auto"/>
            <w:vAlign w:val="center"/>
            <w:hideMark/>
          </w:tcPr>
          <w:p w14:paraId="368C3FC9"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BFI.D588</w:t>
            </w:r>
          </w:p>
        </w:tc>
        <w:tc>
          <w:tcPr>
            <w:tcW w:w="5103" w:type="dxa"/>
            <w:tcBorders>
              <w:top w:val="nil"/>
              <w:left w:val="nil"/>
              <w:bottom w:val="nil"/>
              <w:right w:val="single" w:sz="8" w:space="0" w:color="auto"/>
            </w:tcBorders>
            <w:shd w:val="clear" w:color="auto" w:fill="auto"/>
            <w:noWrap/>
            <w:vAlign w:val="center"/>
            <w:hideMark/>
          </w:tcPr>
          <w:p w14:paraId="3D77D976" w14:textId="77777777" w:rsidR="00696B6D" w:rsidRPr="00EA4CDC" w:rsidRDefault="00696B6D" w:rsidP="00696B6D">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672 - SUPERÁVIT FINANCEIRO - CONVÊNIOS COM ÓRGÃOS FEDERAIS</w:t>
            </w:r>
          </w:p>
        </w:tc>
        <w:tc>
          <w:tcPr>
            <w:tcW w:w="993" w:type="dxa"/>
            <w:tcBorders>
              <w:top w:val="nil"/>
              <w:left w:val="nil"/>
              <w:bottom w:val="nil"/>
              <w:right w:val="single" w:sz="8" w:space="0" w:color="auto"/>
            </w:tcBorders>
            <w:shd w:val="clear" w:color="auto" w:fill="auto"/>
            <w:vAlign w:val="center"/>
            <w:hideMark/>
          </w:tcPr>
          <w:p w14:paraId="39DE5CBC"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BFI.G588</w:t>
            </w:r>
          </w:p>
        </w:tc>
        <w:tc>
          <w:tcPr>
            <w:tcW w:w="992" w:type="dxa"/>
            <w:tcBorders>
              <w:top w:val="nil"/>
              <w:left w:val="nil"/>
              <w:bottom w:val="nil"/>
              <w:right w:val="single" w:sz="8" w:space="0" w:color="auto"/>
            </w:tcBorders>
            <w:shd w:val="clear" w:color="auto" w:fill="auto"/>
            <w:vAlign w:val="center"/>
            <w:hideMark/>
          </w:tcPr>
          <w:p w14:paraId="22985C1C"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BFI.H588</w:t>
            </w:r>
          </w:p>
        </w:tc>
      </w:tr>
      <w:tr w:rsidR="00696B6D" w:rsidRPr="00EA4CDC" w14:paraId="40B32BE0"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3E096580" w14:textId="77777777" w:rsidR="00696B6D" w:rsidRPr="00EA4CDC" w:rsidRDefault="00696B6D" w:rsidP="00696B6D">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673 - SUPERÁVIT FINANCEIRO - CONVÊNIOS COM ÓRGÃOS NÃO FEDERAIS</w:t>
            </w:r>
          </w:p>
        </w:tc>
        <w:tc>
          <w:tcPr>
            <w:tcW w:w="993" w:type="dxa"/>
            <w:tcBorders>
              <w:top w:val="nil"/>
              <w:left w:val="nil"/>
              <w:bottom w:val="nil"/>
              <w:right w:val="single" w:sz="8" w:space="0" w:color="auto"/>
            </w:tcBorders>
            <w:shd w:val="clear" w:color="auto" w:fill="auto"/>
            <w:vAlign w:val="center"/>
            <w:hideMark/>
          </w:tcPr>
          <w:p w14:paraId="0987B2AD"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BFI.C589</w:t>
            </w:r>
          </w:p>
        </w:tc>
        <w:tc>
          <w:tcPr>
            <w:tcW w:w="992" w:type="dxa"/>
            <w:tcBorders>
              <w:top w:val="nil"/>
              <w:left w:val="nil"/>
              <w:bottom w:val="nil"/>
              <w:right w:val="single" w:sz="8" w:space="0" w:color="auto"/>
            </w:tcBorders>
            <w:shd w:val="clear" w:color="auto" w:fill="auto"/>
            <w:vAlign w:val="center"/>
            <w:hideMark/>
          </w:tcPr>
          <w:p w14:paraId="35DE3BCA"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BFI.D589</w:t>
            </w:r>
          </w:p>
        </w:tc>
        <w:tc>
          <w:tcPr>
            <w:tcW w:w="5103" w:type="dxa"/>
            <w:tcBorders>
              <w:top w:val="nil"/>
              <w:left w:val="nil"/>
              <w:bottom w:val="nil"/>
              <w:right w:val="single" w:sz="8" w:space="0" w:color="auto"/>
            </w:tcBorders>
            <w:shd w:val="clear" w:color="auto" w:fill="auto"/>
            <w:noWrap/>
            <w:vAlign w:val="center"/>
            <w:hideMark/>
          </w:tcPr>
          <w:p w14:paraId="29A87CEA" w14:textId="77777777" w:rsidR="00696B6D" w:rsidRPr="00EA4CDC" w:rsidRDefault="00696B6D" w:rsidP="00696B6D">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673 - SUPERÁVIT FINANCEIRO - CONVÊNIOS COM ÓRGÃOS NÃO FEDERAIS</w:t>
            </w:r>
          </w:p>
        </w:tc>
        <w:tc>
          <w:tcPr>
            <w:tcW w:w="993" w:type="dxa"/>
            <w:tcBorders>
              <w:top w:val="nil"/>
              <w:left w:val="nil"/>
              <w:bottom w:val="nil"/>
              <w:right w:val="single" w:sz="8" w:space="0" w:color="auto"/>
            </w:tcBorders>
            <w:shd w:val="clear" w:color="auto" w:fill="auto"/>
            <w:vAlign w:val="center"/>
            <w:hideMark/>
          </w:tcPr>
          <w:p w14:paraId="3FCCF041"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BFI.G589</w:t>
            </w:r>
          </w:p>
        </w:tc>
        <w:tc>
          <w:tcPr>
            <w:tcW w:w="992" w:type="dxa"/>
            <w:tcBorders>
              <w:top w:val="nil"/>
              <w:left w:val="nil"/>
              <w:bottom w:val="nil"/>
              <w:right w:val="single" w:sz="8" w:space="0" w:color="auto"/>
            </w:tcBorders>
            <w:shd w:val="clear" w:color="auto" w:fill="auto"/>
            <w:vAlign w:val="center"/>
            <w:hideMark/>
          </w:tcPr>
          <w:p w14:paraId="3429BFE3"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BFI.H589</w:t>
            </w:r>
          </w:p>
        </w:tc>
      </w:tr>
      <w:tr w:rsidR="00696B6D" w:rsidRPr="00EA4CDC" w14:paraId="318ED4B0"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34A703FF" w14:textId="77777777" w:rsidR="00696B6D" w:rsidRPr="00EA4CDC" w:rsidRDefault="00696B6D" w:rsidP="00696B6D">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lastRenderedPageBreak/>
              <w:t>674 - SUPERÁVIT FINANCEIRO - TRANSFERÊNCIAS DE INSTITUIÇÕES PRIVADAS</w:t>
            </w:r>
          </w:p>
        </w:tc>
        <w:tc>
          <w:tcPr>
            <w:tcW w:w="993" w:type="dxa"/>
            <w:tcBorders>
              <w:top w:val="nil"/>
              <w:left w:val="nil"/>
              <w:bottom w:val="nil"/>
              <w:right w:val="single" w:sz="8" w:space="0" w:color="auto"/>
            </w:tcBorders>
            <w:shd w:val="clear" w:color="auto" w:fill="auto"/>
            <w:vAlign w:val="center"/>
            <w:hideMark/>
          </w:tcPr>
          <w:p w14:paraId="06511C64"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BFI.C590</w:t>
            </w:r>
          </w:p>
        </w:tc>
        <w:tc>
          <w:tcPr>
            <w:tcW w:w="992" w:type="dxa"/>
            <w:tcBorders>
              <w:top w:val="nil"/>
              <w:left w:val="nil"/>
              <w:bottom w:val="nil"/>
              <w:right w:val="single" w:sz="8" w:space="0" w:color="auto"/>
            </w:tcBorders>
            <w:shd w:val="clear" w:color="auto" w:fill="auto"/>
            <w:vAlign w:val="center"/>
            <w:hideMark/>
          </w:tcPr>
          <w:p w14:paraId="70BAD821"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BFI.D590</w:t>
            </w:r>
          </w:p>
        </w:tc>
        <w:tc>
          <w:tcPr>
            <w:tcW w:w="5103" w:type="dxa"/>
            <w:tcBorders>
              <w:top w:val="nil"/>
              <w:left w:val="nil"/>
              <w:bottom w:val="nil"/>
              <w:right w:val="single" w:sz="8" w:space="0" w:color="auto"/>
            </w:tcBorders>
            <w:shd w:val="clear" w:color="auto" w:fill="auto"/>
            <w:noWrap/>
            <w:vAlign w:val="center"/>
            <w:hideMark/>
          </w:tcPr>
          <w:p w14:paraId="4B0265D8" w14:textId="77777777" w:rsidR="00696B6D" w:rsidRPr="00EA4CDC" w:rsidRDefault="00696B6D" w:rsidP="00696B6D">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674 - SUPERÁVIT FINANCEIRO - TRANSFERÊNCIAS DE INSTITUIÇÕES PRIVADAS</w:t>
            </w:r>
          </w:p>
        </w:tc>
        <w:tc>
          <w:tcPr>
            <w:tcW w:w="993" w:type="dxa"/>
            <w:tcBorders>
              <w:top w:val="nil"/>
              <w:left w:val="nil"/>
              <w:bottom w:val="nil"/>
              <w:right w:val="single" w:sz="8" w:space="0" w:color="auto"/>
            </w:tcBorders>
            <w:shd w:val="clear" w:color="auto" w:fill="auto"/>
            <w:vAlign w:val="center"/>
            <w:hideMark/>
          </w:tcPr>
          <w:p w14:paraId="3609F30D"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BFI.G590</w:t>
            </w:r>
          </w:p>
        </w:tc>
        <w:tc>
          <w:tcPr>
            <w:tcW w:w="992" w:type="dxa"/>
            <w:tcBorders>
              <w:top w:val="nil"/>
              <w:left w:val="nil"/>
              <w:bottom w:val="nil"/>
              <w:right w:val="single" w:sz="8" w:space="0" w:color="auto"/>
            </w:tcBorders>
            <w:shd w:val="clear" w:color="auto" w:fill="auto"/>
            <w:vAlign w:val="center"/>
            <w:hideMark/>
          </w:tcPr>
          <w:p w14:paraId="36BDFC8F"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BFI.H590</w:t>
            </w:r>
          </w:p>
        </w:tc>
      </w:tr>
      <w:tr w:rsidR="00696B6D" w:rsidRPr="00EA4CDC" w14:paraId="41BEFE0E"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4F823C81" w14:textId="77777777" w:rsidR="00696B6D" w:rsidRPr="00EA4CDC" w:rsidRDefault="00696B6D" w:rsidP="00696B6D">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675 - SUPERÁVIT FINANCEIRO - OUTRAS TRANSFERÊNCIAS DA UNIÃO</w:t>
            </w:r>
          </w:p>
        </w:tc>
        <w:tc>
          <w:tcPr>
            <w:tcW w:w="993" w:type="dxa"/>
            <w:tcBorders>
              <w:top w:val="nil"/>
              <w:left w:val="nil"/>
              <w:bottom w:val="nil"/>
              <w:right w:val="single" w:sz="8" w:space="0" w:color="auto"/>
            </w:tcBorders>
            <w:shd w:val="clear" w:color="auto" w:fill="auto"/>
            <w:vAlign w:val="center"/>
            <w:hideMark/>
          </w:tcPr>
          <w:p w14:paraId="5257EF2A"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BFI.C591</w:t>
            </w:r>
          </w:p>
        </w:tc>
        <w:tc>
          <w:tcPr>
            <w:tcW w:w="992" w:type="dxa"/>
            <w:tcBorders>
              <w:top w:val="nil"/>
              <w:left w:val="nil"/>
              <w:bottom w:val="nil"/>
              <w:right w:val="single" w:sz="8" w:space="0" w:color="auto"/>
            </w:tcBorders>
            <w:shd w:val="clear" w:color="auto" w:fill="auto"/>
            <w:vAlign w:val="center"/>
            <w:hideMark/>
          </w:tcPr>
          <w:p w14:paraId="127EF0FB"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BFI.D591</w:t>
            </w:r>
          </w:p>
        </w:tc>
        <w:tc>
          <w:tcPr>
            <w:tcW w:w="5103" w:type="dxa"/>
            <w:tcBorders>
              <w:top w:val="nil"/>
              <w:left w:val="nil"/>
              <w:bottom w:val="nil"/>
              <w:right w:val="single" w:sz="8" w:space="0" w:color="auto"/>
            </w:tcBorders>
            <w:shd w:val="clear" w:color="auto" w:fill="auto"/>
            <w:noWrap/>
            <w:vAlign w:val="center"/>
            <w:hideMark/>
          </w:tcPr>
          <w:p w14:paraId="2AEF950B" w14:textId="77777777" w:rsidR="00696B6D" w:rsidRPr="00EA4CDC" w:rsidRDefault="00696B6D" w:rsidP="00696B6D">
            <w:pPr>
              <w:spacing w:after="0" w:line="240" w:lineRule="auto"/>
              <w:ind w:firstLineChars="200" w:firstLine="320"/>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675 - SUPERÁVIT FINANCEIRO - OUTRAS TRANSFERÊNCIAS DA UNIÃO</w:t>
            </w:r>
          </w:p>
        </w:tc>
        <w:tc>
          <w:tcPr>
            <w:tcW w:w="993" w:type="dxa"/>
            <w:tcBorders>
              <w:top w:val="nil"/>
              <w:left w:val="nil"/>
              <w:bottom w:val="nil"/>
              <w:right w:val="single" w:sz="8" w:space="0" w:color="auto"/>
            </w:tcBorders>
            <w:shd w:val="clear" w:color="auto" w:fill="auto"/>
            <w:vAlign w:val="center"/>
            <w:hideMark/>
          </w:tcPr>
          <w:p w14:paraId="443581E4"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BFI.G591</w:t>
            </w:r>
          </w:p>
        </w:tc>
        <w:tc>
          <w:tcPr>
            <w:tcW w:w="992" w:type="dxa"/>
            <w:tcBorders>
              <w:top w:val="nil"/>
              <w:left w:val="nil"/>
              <w:bottom w:val="nil"/>
              <w:right w:val="single" w:sz="8" w:space="0" w:color="auto"/>
            </w:tcBorders>
            <w:shd w:val="clear" w:color="auto" w:fill="auto"/>
            <w:vAlign w:val="center"/>
            <w:hideMark/>
          </w:tcPr>
          <w:p w14:paraId="53C4D8D3"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BFI.H591</w:t>
            </w:r>
          </w:p>
        </w:tc>
      </w:tr>
      <w:tr w:rsidR="00696B6D" w:rsidRPr="00EA4CDC" w14:paraId="29E8ECB2" w14:textId="77777777" w:rsidTr="00B873F0">
        <w:trPr>
          <w:trHeight w:val="255"/>
        </w:trPr>
        <w:tc>
          <w:tcPr>
            <w:tcW w:w="5104" w:type="dxa"/>
            <w:tcBorders>
              <w:top w:val="nil"/>
              <w:left w:val="single" w:sz="8" w:space="0" w:color="auto"/>
              <w:bottom w:val="nil"/>
              <w:right w:val="single" w:sz="8" w:space="0" w:color="auto"/>
            </w:tcBorders>
            <w:shd w:val="clear" w:color="auto" w:fill="auto"/>
            <w:vAlign w:val="center"/>
            <w:hideMark/>
          </w:tcPr>
          <w:p w14:paraId="57252C09"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 </w:t>
            </w:r>
          </w:p>
        </w:tc>
        <w:tc>
          <w:tcPr>
            <w:tcW w:w="993" w:type="dxa"/>
            <w:tcBorders>
              <w:top w:val="nil"/>
              <w:left w:val="nil"/>
              <w:bottom w:val="nil"/>
              <w:right w:val="single" w:sz="8" w:space="0" w:color="auto"/>
            </w:tcBorders>
            <w:shd w:val="clear" w:color="auto" w:fill="auto"/>
            <w:vAlign w:val="center"/>
            <w:hideMark/>
          </w:tcPr>
          <w:p w14:paraId="48174403"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 </w:t>
            </w:r>
          </w:p>
        </w:tc>
        <w:tc>
          <w:tcPr>
            <w:tcW w:w="992" w:type="dxa"/>
            <w:tcBorders>
              <w:top w:val="nil"/>
              <w:left w:val="nil"/>
              <w:bottom w:val="nil"/>
              <w:right w:val="single" w:sz="8" w:space="0" w:color="auto"/>
            </w:tcBorders>
            <w:shd w:val="clear" w:color="auto" w:fill="auto"/>
            <w:vAlign w:val="center"/>
            <w:hideMark/>
          </w:tcPr>
          <w:p w14:paraId="3F9912C3"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 </w:t>
            </w:r>
          </w:p>
        </w:tc>
        <w:tc>
          <w:tcPr>
            <w:tcW w:w="5103" w:type="dxa"/>
            <w:tcBorders>
              <w:top w:val="nil"/>
              <w:left w:val="nil"/>
              <w:bottom w:val="nil"/>
              <w:right w:val="single" w:sz="8" w:space="0" w:color="auto"/>
            </w:tcBorders>
            <w:shd w:val="clear" w:color="auto" w:fill="auto"/>
            <w:vAlign w:val="center"/>
            <w:hideMark/>
          </w:tcPr>
          <w:p w14:paraId="6E719D5A"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 </w:t>
            </w:r>
          </w:p>
        </w:tc>
        <w:tc>
          <w:tcPr>
            <w:tcW w:w="993" w:type="dxa"/>
            <w:tcBorders>
              <w:top w:val="nil"/>
              <w:left w:val="nil"/>
              <w:bottom w:val="nil"/>
              <w:right w:val="single" w:sz="8" w:space="0" w:color="auto"/>
            </w:tcBorders>
            <w:shd w:val="clear" w:color="auto" w:fill="auto"/>
            <w:vAlign w:val="center"/>
            <w:hideMark/>
          </w:tcPr>
          <w:p w14:paraId="17AE6FB9"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 </w:t>
            </w:r>
          </w:p>
        </w:tc>
        <w:tc>
          <w:tcPr>
            <w:tcW w:w="992" w:type="dxa"/>
            <w:tcBorders>
              <w:top w:val="nil"/>
              <w:left w:val="nil"/>
              <w:bottom w:val="nil"/>
              <w:right w:val="single" w:sz="8" w:space="0" w:color="auto"/>
            </w:tcBorders>
            <w:shd w:val="clear" w:color="auto" w:fill="auto"/>
            <w:vAlign w:val="center"/>
            <w:hideMark/>
          </w:tcPr>
          <w:p w14:paraId="1A00C096"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 </w:t>
            </w:r>
          </w:p>
        </w:tc>
      </w:tr>
      <w:tr w:rsidR="00696B6D" w:rsidRPr="00EA4CDC" w14:paraId="6370BF0E"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67CD36F6" w14:textId="77777777" w:rsidR="00696B6D" w:rsidRPr="00EA4CDC" w:rsidRDefault="00696B6D" w:rsidP="00696B6D">
            <w:pPr>
              <w:spacing w:after="0" w:line="240" w:lineRule="auto"/>
              <w:rPr>
                <w:rFonts w:ascii="Arial Narrow" w:eastAsia="Times New Roman" w:hAnsi="Arial Narrow" w:cs="Arial"/>
                <w:b/>
                <w:bCs/>
                <w:sz w:val="16"/>
                <w:szCs w:val="16"/>
                <w:lang w:eastAsia="pt-BR"/>
              </w:rPr>
            </w:pPr>
            <w:r w:rsidRPr="00EA4CDC">
              <w:rPr>
                <w:rFonts w:ascii="Arial Narrow" w:eastAsia="Times New Roman" w:hAnsi="Arial Narrow" w:cs="Arial"/>
                <w:b/>
                <w:bCs/>
                <w:sz w:val="16"/>
                <w:szCs w:val="16"/>
                <w:lang w:eastAsia="pt-BR"/>
              </w:rPr>
              <w:t>TRANSFERÊNCIAS FINANCEIRAS RECEBIDAS (II)</w:t>
            </w:r>
          </w:p>
        </w:tc>
        <w:tc>
          <w:tcPr>
            <w:tcW w:w="993" w:type="dxa"/>
            <w:tcBorders>
              <w:top w:val="nil"/>
              <w:left w:val="nil"/>
              <w:bottom w:val="nil"/>
              <w:right w:val="single" w:sz="8" w:space="0" w:color="auto"/>
            </w:tcBorders>
            <w:shd w:val="clear" w:color="auto" w:fill="auto"/>
            <w:vAlign w:val="center"/>
            <w:hideMark/>
          </w:tcPr>
          <w:p w14:paraId="46C27474" w14:textId="77777777" w:rsidR="00696B6D" w:rsidRPr="00EA4CDC" w:rsidRDefault="00696B6D" w:rsidP="00696B6D">
            <w:pPr>
              <w:spacing w:after="0" w:line="240" w:lineRule="auto"/>
              <w:jc w:val="center"/>
              <w:rPr>
                <w:rFonts w:ascii="Arial Narrow" w:eastAsia="Times New Roman" w:hAnsi="Arial Narrow" w:cs="Arial"/>
                <w:b/>
                <w:bCs/>
                <w:sz w:val="16"/>
                <w:szCs w:val="16"/>
                <w:lang w:eastAsia="pt-BR"/>
              </w:rPr>
            </w:pPr>
            <w:r w:rsidRPr="00EA4CDC">
              <w:rPr>
                <w:rFonts w:ascii="Arial Narrow" w:eastAsia="Times New Roman" w:hAnsi="Arial Narrow" w:cs="Arial"/>
                <w:b/>
                <w:bCs/>
                <w:sz w:val="16"/>
                <w:szCs w:val="16"/>
                <w:lang w:eastAsia="pt-BR"/>
              </w:rPr>
              <w:t>BFI.C056</w:t>
            </w:r>
          </w:p>
        </w:tc>
        <w:tc>
          <w:tcPr>
            <w:tcW w:w="992" w:type="dxa"/>
            <w:tcBorders>
              <w:top w:val="nil"/>
              <w:left w:val="nil"/>
              <w:bottom w:val="nil"/>
              <w:right w:val="single" w:sz="8" w:space="0" w:color="auto"/>
            </w:tcBorders>
            <w:shd w:val="clear" w:color="auto" w:fill="auto"/>
            <w:vAlign w:val="center"/>
            <w:hideMark/>
          </w:tcPr>
          <w:p w14:paraId="2CFA4E00" w14:textId="77777777" w:rsidR="00696B6D" w:rsidRPr="00EA4CDC" w:rsidRDefault="00696B6D" w:rsidP="00696B6D">
            <w:pPr>
              <w:spacing w:after="0" w:line="240" w:lineRule="auto"/>
              <w:jc w:val="center"/>
              <w:rPr>
                <w:rFonts w:ascii="Arial Narrow" w:eastAsia="Times New Roman" w:hAnsi="Arial Narrow" w:cs="Arial"/>
                <w:b/>
                <w:bCs/>
                <w:sz w:val="16"/>
                <w:szCs w:val="16"/>
                <w:lang w:eastAsia="pt-BR"/>
              </w:rPr>
            </w:pPr>
            <w:r w:rsidRPr="00EA4CDC">
              <w:rPr>
                <w:rFonts w:ascii="Arial Narrow" w:eastAsia="Times New Roman" w:hAnsi="Arial Narrow" w:cs="Arial"/>
                <w:b/>
                <w:bCs/>
                <w:sz w:val="16"/>
                <w:szCs w:val="16"/>
                <w:lang w:eastAsia="pt-BR"/>
              </w:rPr>
              <w:t>BFI.D056</w:t>
            </w:r>
          </w:p>
        </w:tc>
        <w:tc>
          <w:tcPr>
            <w:tcW w:w="5103" w:type="dxa"/>
            <w:tcBorders>
              <w:top w:val="nil"/>
              <w:left w:val="nil"/>
              <w:bottom w:val="nil"/>
              <w:right w:val="single" w:sz="8" w:space="0" w:color="auto"/>
            </w:tcBorders>
            <w:shd w:val="clear" w:color="auto" w:fill="auto"/>
            <w:noWrap/>
            <w:vAlign w:val="center"/>
            <w:hideMark/>
          </w:tcPr>
          <w:p w14:paraId="198F10E5" w14:textId="77777777" w:rsidR="00696B6D" w:rsidRPr="00EA4CDC" w:rsidRDefault="00696B6D" w:rsidP="00696B6D">
            <w:pPr>
              <w:spacing w:after="0" w:line="240" w:lineRule="auto"/>
              <w:rPr>
                <w:rFonts w:ascii="Arial Narrow" w:eastAsia="Times New Roman" w:hAnsi="Arial Narrow" w:cs="Arial"/>
                <w:b/>
                <w:bCs/>
                <w:sz w:val="16"/>
                <w:szCs w:val="16"/>
                <w:lang w:eastAsia="pt-BR"/>
              </w:rPr>
            </w:pPr>
            <w:r w:rsidRPr="00EA4CDC">
              <w:rPr>
                <w:rFonts w:ascii="Arial Narrow" w:eastAsia="Times New Roman" w:hAnsi="Arial Narrow" w:cs="Arial"/>
                <w:b/>
                <w:bCs/>
                <w:sz w:val="16"/>
                <w:szCs w:val="16"/>
                <w:lang w:eastAsia="pt-BR"/>
              </w:rPr>
              <w:t>TRANSFERÊNCIAS FINANCEIRAS CONCEDIDAS (VII)</w:t>
            </w:r>
          </w:p>
        </w:tc>
        <w:tc>
          <w:tcPr>
            <w:tcW w:w="993" w:type="dxa"/>
            <w:tcBorders>
              <w:top w:val="nil"/>
              <w:left w:val="nil"/>
              <w:bottom w:val="nil"/>
              <w:right w:val="single" w:sz="8" w:space="0" w:color="auto"/>
            </w:tcBorders>
            <w:shd w:val="clear" w:color="auto" w:fill="auto"/>
            <w:vAlign w:val="center"/>
            <w:hideMark/>
          </w:tcPr>
          <w:p w14:paraId="2087F231" w14:textId="77777777" w:rsidR="00696B6D" w:rsidRPr="00EA4CDC" w:rsidRDefault="00696B6D" w:rsidP="00696B6D">
            <w:pPr>
              <w:spacing w:after="0" w:line="240" w:lineRule="auto"/>
              <w:jc w:val="center"/>
              <w:rPr>
                <w:rFonts w:ascii="Arial Narrow" w:eastAsia="Times New Roman" w:hAnsi="Arial Narrow" w:cs="Arial"/>
                <w:b/>
                <w:bCs/>
                <w:sz w:val="16"/>
                <w:szCs w:val="16"/>
                <w:lang w:eastAsia="pt-BR"/>
              </w:rPr>
            </w:pPr>
            <w:r w:rsidRPr="00EA4CDC">
              <w:rPr>
                <w:rFonts w:ascii="Arial Narrow" w:eastAsia="Times New Roman" w:hAnsi="Arial Narrow" w:cs="Arial"/>
                <w:b/>
                <w:bCs/>
                <w:sz w:val="16"/>
                <w:szCs w:val="16"/>
                <w:lang w:eastAsia="pt-BR"/>
              </w:rPr>
              <w:t>BFI.G056</w:t>
            </w:r>
          </w:p>
        </w:tc>
        <w:tc>
          <w:tcPr>
            <w:tcW w:w="992" w:type="dxa"/>
            <w:tcBorders>
              <w:top w:val="nil"/>
              <w:left w:val="nil"/>
              <w:bottom w:val="nil"/>
              <w:right w:val="single" w:sz="8" w:space="0" w:color="auto"/>
            </w:tcBorders>
            <w:shd w:val="clear" w:color="auto" w:fill="auto"/>
            <w:vAlign w:val="center"/>
            <w:hideMark/>
          </w:tcPr>
          <w:p w14:paraId="1A6302D7" w14:textId="77777777" w:rsidR="00696B6D" w:rsidRPr="00EA4CDC" w:rsidRDefault="00696B6D" w:rsidP="00696B6D">
            <w:pPr>
              <w:spacing w:after="0" w:line="240" w:lineRule="auto"/>
              <w:jc w:val="center"/>
              <w:rPr>
                <w:rFonts w:ascii="Arial Narrow" w:eastAsia="Times New Roman" w:hAnsi="Arial Narrow" w:cs="Arial"/>
                <w:b/>
                <w:bCs/>
                <w:sz w:val="16"/>
                <w:szCs w:val="16"/>
                <w:lang w:eastAsia="pt-BR"/>
              </w:rPr>
            </w:pPr>
            <w:r w:rsidRPr="00EA4CDC">
              <w:rPr>
                <w:rFonts w:ascii="Arial Narrow" w:eastAsia="Times New Roman" w:hAnsi="Arial Narrow" w:cs="Arial"/>
                <w:b/>
                <w:bCs/>
                <w:sz w:val="16"/>
                <w:szCs w:val="16"/>
                <w:lang w:eastAsia="pt-BR"/>
              </w:rPr>
              <w:t>BFI.H056</w:t>
            </w:r>
          </w:p>
        </w:tc>
      </w:tr>
      <w:tr w:rsidR="00696B6D" w:rsidRPr="00EA4CDC" w14:paraId="27858F0F"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775E6AD4" w14:textId="77777777" w:rsidR="00696B6D" w:rsidRPr="00EA4CDC" w:rsidRDefault="00696B6D" w:rsidP="00696B6D">
            <w:pPr>
              <w:spacing w:after="0" w:line="240" w:lineRule="auto"/>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 xml:space="preserve">   Transferências Recebidas para a Execução Orçamentária</w:t>
            </w:r>
          </w:p>
        </w:tc>
        <w:tc>
          <w:tcPr>
            <w:tcW w:w="993" w:type="dxa"/>
            <w:tcBorders>
              <w:top w:val="nil"/>
              <w:left w:val="nil"/>
              <w:bottom w:val="nil"/>
              <w:right w:val="single" w:sz="8" w:space="0" w:color="auto"/>
            </w:tcBorders>
            <w:shd w:val="clear" w:color="auto" w:fill="auto"/>
            <w:vAlign w:val="center"/>
            <w:hideMark/>
          </w:tcPr>
          <w:p w14:paraId="7C3532AF"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BFI.C057</w:t>
            </w:r>
          </w:p>
        </w:tc>
        <w:tc>
          <w:tcPr>
            <w:tcW w:w="992" w:type="dxa"/>
            <w:tcBorders>
              <w:top w:val="nil"/>
              <w:left w:val="nil"/>
              <w:bottom w:val="nil"/>
              <w:right w:val="single" w:sz="8" w:space="0" w:color="auto"/>
            </w:tcBorders>
            <w:shd w:val="clear" w:color="auto" w:fill="auto"/>
            <w:vAlign w:val="center"/>
            <w:hideMark/>
          </w:tcPr>
          <w:p w14:paraId="1FE66487"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BFI.D057</w:t>
            </w:r>
          </w:p>
        </w:tc>
        <w:tc>
          <w:tcPr>
            <w:tcW w:w="5103" w:type="dxa"/>
            <w:tcBorders>
              <w:top w:val="nil"/>
              <w:left w:val="nil"/>
              <w:bottom w:val="nil"/>
              <w:right w:val="single" w:sz="8" w:space="0" w:color="auto"/>
            </w:tcBorders>
            <w:shd w:val="clear" w:color="auto" w:fill="auto"/>
            <w:noWrap/>
            <w:vAlign w:val="center"/>
            <w:hideMark/>
          </w:tcPr>
          <w:p w14:paraId="64AB59BF" w14:textId="77777777" w:rsidR="00696B6D" w:rsidRPr="00EA4CDC" w:rsidRDefault="00696B6D" w:rsidP="00696B6D">
            <w:pPr>
              <w:spacing w:after="0" w:line="240" w:lineRule="auto"/>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 xml:space="preserve">   Transferências Concedidas para a Execução Orçamentária</w:t>
            </w:r>
          </w:p>
        </w:tc>
        <w:tc>
          <w:tcPr>
            <w:tcW w:w="993" w:type="dxa"/>
            <w:tcBorders>
              <w:top w:val="nil"/>
              <w:left w:val="nil"/>
              <w:bottom w:val="nil"/>
              <w:right w:val="single" w:sz="8" w:space="0" w:color="auto"/>
            </w:tcBorders>
            <w:shd w:val="clear" w:color="auto" w:fill="auto"/>
            <w:vAlign w:val="center"/>
            <w:hideMark/>
          </w:tcPr>
          <w:p w14:paraId="1C9ED1E6"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BFI.G057</w:t>
            </w:r>
          </w:p>
        </w:tc>
        <w:tc>
          <w:tcPr>
            <w:tcW w:w="992" w:type="dxa"/>
            <w:tcBorders>
              <w:top w:val="nil"/>
              <w:left w:val="nil"/>
              <w:bottom w:val="nil"/>
              <w:right w:val="single" w:sz="8" w:space="0" w:color="auto"/>
            </w:tcBorders>
            <w:shd w:val="clear" w:color="auto" w:fill="auto"/>
            <w:vAlign w:val="center"/>
            <w:hideMark/>
          </w:tcPr>
          <w:p w14:paraId="13E73268"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BFI.H057</w:t>
            </w:r>
          </w:p>
        </w:tc>
      </w:tr>
      <w:tr w:rsidR="00696B6D" w:rsidRPr="00EA4CDC" w14:paraId="4477EA92"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49CDECAB" w14:textId="77777777" w:rsidR="00696B6D" w:rsidRPr="00EA4CDC" w:rsidRDefault="00696B6D" w:rsidP="00696B6D">
            <w:pPr>
              <w:spacing w:after="0" w:line="240" w:lineRule="auto"/>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 xml:space="preserve">   Transferências Recebidas Independentes de Execução Orçamentária</w:t>
            </w:r>
          </w:p>
        </w:tc>
        <w:tc>
          <w:tcPr>
            <w:tcW w:w="993" w:type="dxa"/>
            <w:tcBorders>
              <w:top w:val="nil"/>
              <w:left w:val="nil"/>
              <w:bottom w:val="nil"/>
              <w:right w:val="single" w:sz="8" w:space="0" w:color="auto"/>
            </w:tcBorders>
            <w:shd w:val="clear" w:color="auto" w:fill="auto"/>
            <w:vAlign w:val="center"/>
            <w:hideMark/>
          </w:tcPr>
          <w:p w14:paraId="7BFD3B20"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BFI.C058</w:t>
            </w:r>
          </w:p>
        </w:tc>
        <w:tc>
          <w:tcPr>
            <w:tcW w:w="992" w:type="dxa"/>
            <w:tcBorders>
              <w:top w:val="nil"/>
              <w:left w:val="nil"/>
              <w:bottom w:val="nil"/>
              <w:right w:val="single" w:sz="8" w:space="0" w:color="auto"/>
            </w:tcBorders>
            <w:shd w:val="clear" w:color="auto" w:fill="auto"/>
            <w:vAlign w:val="center"/>
            <w:hideMark/>
          </w:tcPr>
          <w:p w14:paraId="3CD2471E"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BFI.D058</w:t>
            </w:r>
          </w:p>
        </w:tc>
        <w:tc>
          <w:tcPr>
            <w:tcW w:w="5103" w:type="dxa"/>
            <w:tcBorders>
              <w:top w:val="nil"/>
              <w:left w:val="nil"/>
              <w:bottom w:val="nil"/>
              <w:right w:val="single" w:sz="8" w:space="0" w:color="auto"/>
            </w:tcBorders>
            <w:shd w:val="clear" w:color="auto" w:fill="auto"/>
            <w:noWrap/>
            <w:vAlign w:val="center"/>
            <w:hideMark/>
          </w:tcPr>
          <w:p w14:paraId="69FF138D" w14:textId="77777777" w:rsidR="00696B6D" w:rsidRPr="00EA4CDC" w:rsidRDefault="00696B6D" w:rsidP="00696B6D">
            <w:pPr>
              <w:spacing w:after="0" w:line="240" w:lineRule="auto"/>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 xml:space="preserve">   Transferências Concedidas Independentes de Execução Orçamentária</w:t>
            </w:r>
          </w:p>
        </w:tc>
        <w:tc>
          <w:tcPr>
            <w:tcW w:w="993" w:type="dxa"/>
            <w:tcBorders>
              <w:top w:val="nil"/>
              <w:left w:val="nil"/>
              <w:bottom w:val="nil"/>
              <w:right w:val="single" w:sz="8" w:space="0" w:color="auto"/>
            </w:tcBorders>
            <w:shd w:val="clear" w:color="auto" w:fill="auto"/>
            <w:vAlign w:val="center"/>
            <w:hideMark/>
          </w:tcPr>
          <w:p w14:paraId="799DF743"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BFI.G058</w:t>
            </w:r>
          </w:p>
        </w:tc>
        <w:tc>
          <w:tcPr>
            <w:tcW w:w="992" w:type="dxa"/>
            <w:tcBorders>
              <w:top w:val="nil"/>
              <w:left w:val="nil"/>
              <w:bottom w:val="nil"/>
              <w:right w:val="single" w:sz="8" w:space="0" w:color="auto"/>
            </w:tcBorders>
            <w:shd w:val="clear" w:color="auto" w:fill="auto"/>
            <w:vAlign w:val="center"/>
            <w:hideMark/>
          </w:tcPr>
          <w:p w14:paraId="3C23CCE3"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BFI.H058</w:t>
            </w:r>
          </w:p>
        </w:tc>
      </w:tr>
      <w:tr w:rsidR="00696B6D" w:rsidRPr="00EA4CDC" w14:paraId="16C28E5C"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476EAF2B" w14:textId="77777777" w:rsidR="00696B6D" w:rsidRPr="00EA4CDC" w:rsidRDefault="00696B6D" w:rsidP="00696B6D">
            <w:pPr>
              <w:spacing w:after="0" w:line="240" w:lineRule="auto"/>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 xml:space="preserve">   Transferências Recebidas para Aportes de Recursos para o RPPS</w:t>
            </w:r>
          </w:p>
        </w:tc>
        <w:tc>
          <w:tcPr>
            <w:tcW w:w="993" w:type="dxa"/>
            <w:tcBorders>
              <w:top w:val="nil"/>
              <w:left w:val="nil"/>
              <w:bottom w:val="nil"/>
              <w:right w:val="single" w:sz="8" w:space="0" w:color="auto"/>
            </w:tcBorders>
            <w:shd w:val="clear" w:color="auto" w:fill="auto"/>
            <w:vAlign w:val="center"/>
            <w:hideMark/>
          </w:tcPr>
          <w:p w14:paraId="7C42CD13"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BFI.C059</w:t>
            </w:r>
          </w:p>
        </w:tc>
        <w:tc>
          <w:tcPr>
            <w:tcW w:w="992" w:type="dxa"/>
            <w:tcBorders>
              <w:top w:val="nil"/>
              <w:left w:val="nil"/>
              <w:bottom w:val="nil"/>
              <w:right w:val="single" w:sz="8" w:space="0" w:color="auto"/>
            </w:tcBorders>
            <w:shd w:val="clear" w:color="auto" w:fill="auto"/>
            <w:vAlign w:val="center"/>
            <w:hideMark/>
          </w:tcPr>
          <w:p w14:paraId="29C2448B"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BFI.D059</w:t>
            </w:r>
          </w:p>
        </w:tc>
        <w:tc>
          <w:tcPr>
            <w:tcW w:w="5103" w:type="dxa"/>
            <w:tcBorders>
              <w:top w:val="nil"/>
              <w:left w:val="nil"/>
              <w:bottom w:val="nil"/>
              <w:right w:val="single" w:sz="8" w:space="0" w:color="auto"/>
            </w:tcBorders>
            <w:shd w:val="clear" w:color="auto" w:fill="auto"/>
            <w:noWrap/>
            <w:vAlign w:val="center"/>
            <w:hideMark/>
          </w:tcPr>
          <w:p w14:paraId="1CCC5F0A" w14:textId="77777777" w:rsidR="00696B6D" w:rsidRPr="00EA4CDC" w:rsidRDefault="00696B6D" w:rsidP="00696B6D">
            <w:pPr>
              <w:spacing w:after="0" w:line="240" w:lineRule="auto"/>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 xml:space="preserve">   Transferências Concedidas para Aportes de Recursos para o RPPS</w:t>
            </w:r>
          </w:p>
        </w:tc>
        <w:tc>
          <w:tcPr>
            <w:tcW w:w="993" w:type="dxa"/>
            <w:tcBorders>
              <w:top w:val="nil"/>
              <w:left w:val="nil"/>
              <w:bottom w:val="nil"/>
              <w:right w:val="single" w:sz="8" w:space="0" w:color="auto"/>
            </w:tcBorders>
            <w:shd w:val="clear" w:color="auto" w:fill="auto"/>
            <w:vAlign w:val="center"/>
            <w:hideMark/>
          </w:tcPr>
          <w:p w14:paraId="6766D49A"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BFI.G059</w:t>
            </w:r>
          </w:p>
        </w:tc>
        <w:tc>
          <w:tcPr>
            <w:tcW w:w="992" w:type="dxa"/>
            <w:tcBorders>
              <w:top w:val="nil"/>
              <w:left w:val="nil"/>
              <w:bottom w:val="nil"/>
              <w:right w:val="single" w:sz="8" w:space="0" w:color="auto"/>
            </w:tcBorders>
            <w:shd w:val="clear" w:color="auto" w:fill="auto"/>
            <w:vAlign w:val="center"/>
            <w:hideMark/>
          </w:tcPr>
          <w:p w14:paraId="6EF70D35"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BFI.H059</w:t>
            </w:r>
          </w:p>
        </w:tc>
      </w:tr>
      <w:tr w:rsidR="00696B6D" w:rsidRPr="00EA4CDC" w14:paraId="517E6E23"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40DC2CAC" w14:textId="77777777" w:rsidR="00696B6D" w:rsidRPr="00EA4CDC" w:rsidRDefault="00696B6D" w:rsidP="00696B6D">
            <w:pPr>
              <w:spacing w:after="0" w:line="240" w:lineRule="auto"/>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 xml:space="preserve">   Transferências Recebidas para Aportes de Recursos para o Sistema de Pagamento de Pensões Militares</w:t>
            </w:r>
          </w:p>
        </w:tc>
        <w:tc>
          <w:tcPr>
            <w:tcW w:w="993" w:type="dxa"/>
            <w:tcBorders>
              <w:top w:val="nil"/>
              <w:left w:val="nil"/>
              <w:bottom w:val="nil"/>
              <w:right w:val="single" w:sz="8" w:space="0" w:color="auto"/>
            </w:tcBorders>
            <w:shd w:val="clear" w:color="auto" w:fill="auto"/>
            <w:vAlign w:val="center"/>
            <w:hideMark/>
          </w:tcPr>
          <w:p w14:paraId="59AAA6BD"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BFI.C115</w:t>
            </w:r>
          </w:p>
        </w:tc>
        <w:tc>
          <w:tcPr>
            <w:tcW w:w="992" w:type="dxa"/>
            <w:tcBorders>
              <w:top w:val="nil"/>
              <w:left w:val="nil"/>
              <w:bottom w:val="nil"/>
              <w:right w:val="single" w:sz="8" w:space="0" w:color="auto"/>
            </w:tcBorders>
            <w:shd w:val="clear" w:color="auto" w:fill="auto"/>
            <w:vAlign w:val="center"/>
            <w:hideMark/>
          </w:tcPr>
          <w:p w14:paraId="02CB7BDA"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BFI.D115</w:t>
            </w:r>
          </w:p>
        </w:tc>
        <w:tc>
          <w:tcPr>
            <w:tcW w:w="5103" w:type="dxa"/>
            <w:tcBorders>
              <w:top w:val="nil"/>
              <w:left w:val="nil"/>
              <w:bottom w:val="nil"/>
              <w:right w:val="single" w:sz="8" w:space="0" w:color="auto"/>
            </w:tcBorders>
            <w:shd w:val="clear" w:color="auto" w:fill="auto"/>
            <w:noWrap/>
            <w:vAlign w:val="center"/>
            <w:hideMark/>
          </w:tcPr>
          <w:p w14:paraId="535B0FD8" w14:textId="77777777" w:rsidR="00696B6D" w:rsidRPr="00EA4CDC" w:rsidRDefault="00696B6D" w:rsidP="00696B6D">
            <w:pPr>
              <w:spacing w:after="0" w:line="240" w:lineRule="auto"/>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 xml:space="preserve">   Transferências Concedidas para Aportes de recursos para o Sistema de pagamento de Pensões Militares</w:t>
            </w:r>
          </w:p>
        </w:tc>
        <w:tc>
          <w:tcPr>
            <w:tcW w:w="993" w:type="dxa"/>
            <w:tcBorders>
              <w:top w:val="nil"/>
              <w:left w:val="nil"/>
              <w:bottom w:val="nil"/>
              <w:right w:val="single" w:sz="8" w:space="0" w:color="auto"/>
            </w:tcBorders>
            <w:shd w:val="clear" w:color="auto" w:fill="auto"/>
            <w:vAlign w:val="center"/>
            <w:hideMark/>
          </w:tcPr>
          <w:p w14:paraId="677BAD68"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BFI.G115</w:t>
            </w:r>
          </w:p>
        </w:tc>
        <w:tc>
          <w:tcPr>
            <w:tcW w:w="992" w:type="dxa"/>
            <w:tcBorders>
              <w:top w:val="nil"/>
              <w:left w:val="nil"/>
              <w:bottom w:val="nil"/>
              <w:right w:val="single" w:sz="8" w:space="0" w:color="auto"/>
            </w:tcBorders>
            <w:shd w:val="clear" w:color="auto" w:fill="auto"/>
            <w:vAlign w:val="center"/>
            <w:hideMark/>
          </w:tcPr>
          <w:p w14:paraId="0EB85AC2"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BFI.H115</w:t>
            </w:r>
          </w:p>
        </w:tc>
      </w:tr>
      <w:tr w:rsidR="00696B6D" w:rsidRPr="00EA4CDC" w14:paraId="4293622E"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7A540E40" w14:textId="77777777" w:rsidR="00696B6D" w:rsidRPr="00EA4CDC" w:rsidRDefault="00696B6D" w:rsidP="00696B6D">
            <w:pPr>
              <w:spacing w:after="0" w:line="240" w:lineRule="auto"/>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 </w:t>
            </w:r>
          </w:p>
        </w:tc>
        <w:tc>
          <w:tcPr>
            <w:tcW w:w="993" w:type="dxa"/>
            <w:tcBorders>
              <w:top w:val="nil"/>
              <w:left w:val="nil"/>
              <w:bottom w:val="nil"/>
              <w:right w:val="single" w:sz="8" w:space="0" w:color="auto"/>
            </w:tcBorders>
            <w:shd w:val="clear" w:color="auto" w:fill="auto"/>
            <w:vAlign w:val="center"/>
            <w:hideMark/>
          </w:tcPr>
          <w:p w14:paraId="05B3AFC7"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 </w:t>
            </w:r>
          </w:p>
        </w:tc>
        <w:tc>
          <w:tcPr>
            <w:tcW w:w="992" w:type="dxa"/>
            <w:tcBorders>
              <w:top w:val="nil"/>
              <w:left w:val="nil"/>
              <w:bottom w:val="nil"/>
              <w:right w:val="single" w:sz="8" w:space="0" w:color="auto"/>
            </w:tcBorders>
            <w:shd w:val="clear" w:color="auto" w:fill="auto"/>
            <w:vAlign w:val="center"/>
            <w:hideMark/>
          </w:tcPr>
          <w:p w14:paraId="596B28F4"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 </w:t>
            </w:r>
          </w:p>
        </w:tc>
        <w:tc>
          <w:tcPr>
            <w:tcW w:w="5103" w:type="dxa"/>
            <w:tcBorders>
              <w:top w:val="nil"/>
              <w:left w:val="nil"/>
              <w:bottom w:val="nil"/>
              <w:right w:val="single" w:sz="8" w:space="0" w:color="auto"/>
            </w:tcBorders>
            <w:shd w:val="clear" w:color="auto" w:fill="auto"/>
            <w:hideMark/>
          </w:tcPr>
          <w:p w14:paraId="7F0EF34D" w14:textId="77777777" w:rsidR="00696B6D" w:rsidRPr="00EA4CDC" w:rsidRDefault="00696B6D" w:rsidP="00696B6D">
            <w:pPr>
              <w:spacing w:after="0" w:line="240" w:lineRule="auto"/>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 </w:t>
            </w:r>
          </w:p>
        </w:tc>
        <w:tc>
          <w:tcPr>
            <w:tcW w:w="993" w:type="dxa"/>
            <w:tcBorders>
              <w:top w:val="nil"/>
              <w:left w:val="nil"/>
              <w:bottom w:val="nil"/>
              <w:right w:val="single" w:sz="8" w:space="0" w:color="auto"/>
            </w:tcBorders>
            <w:shd w:val="clear" w:color="auto" w:fill="auto"/>
            <w:vAlign w:val="center"/>
            <w:hideMark/>
          </w:tcPr>
          <w:p w14:paraId="7B98C8EE"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 </w:t>
            </w:r>
          </w:p>
        </w:tc>
        <w:tc>
          <w:tcPr>
            <w:tcW w:w="992" w:type="dxa"/>
            <w:tcBorders>
              <w:top w:val="nil"/>
              <w:left w:val="nil"/>
              <w:bottom w:val="nil"/>
              <w:right w:val="single" w:sz="8" w:space="0" w:color="auto"/>
            </w:tcBorders>
            <w:shd w:val="clear" w:color="auto" w:fill="auto"/>
            <w:vAlign w:val="center"/>
            <w:hideMark/>
          </w:tcPr>
          <w:p w14:paraId="2F614B52"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 </w:t>
            </w:r>
          </w:p>
        </w:tc>
      </w:tr>
      <w:tr w:rsidR="00696B6D" w:rsidRPr="00EA4CDC" w14:paraId="2298E627"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2B2A4CF0" w14:textId="77777777" w:rsidR="00696B6D" w:rsidRPr="00EA4CDC" w:rsidRDefault="00696B6D" w:rsidP="00696B6D">
            <w:pPr>
              <w:spacing w:after="0" w:line="240" w:lineRule="auto"/>
              <w:rPr>
                <w:rFonts w:ascii="Arial Narrow" w:eastAsia="Times New Roman" w:hAnsi="Arial Narrow" w:cs="Arial"/>
                <w:b/>
                <w:bCs/>
                <w:sz w:val="16"/>
                <w:szCs w:val="16"/>
                <w:lang w:eastAsia="pt-BR"/>
              </w:rPr>
            </w:pPr>
            <w:r w:rsidRPr="00EA4CDC">
              <w:rPr>
                <w:rFonts w:ascii="Arial Narrow" w:eastAsia="Times New Roman" w:hAnsi="Arial Narrow" w:cs="Arial"/>
                <w:b/>
                <w:bCs/>
                <w:sz w:val="16"/>
                <w:szCs w:val="16"/>
                <w:lang w:eastAsia="pt-BR"/>
              </w:rPr>
              <w:t>RECEBIMENTOS EXTRAORÇAMENTÁRIOS (III)</w:t>
            </w:r>
          </w:p>
        </w:tc>
        <w:tc>
          <w:tcPr>
            <w:tcW w:w="993" w:type="dxa"/>
            <w:tcBorders>
              <w:top w:val="nil"/>
              <w:left w:val="nil"/>
              <w:bottom w:val="nil"/>
              <w:right w:val="single" w:sz="8" w:space="0" w:color="auto"/>
            </w:tcBorders>
            <w:shd w:val="clear" w:color="auto" w:fill="auto"/>
            <w:vAlign w:val="center"/>
            <w:hideMark/>
          </w:tcPr>
          <w:p w14:paraId="10D65EF1" w14:textId="77777777" w:rsidR="00696B6D" w:rsidRPr="00EA4CDC" w:rsidRDefault="00696B6D" w:rsidP="00696B6D">
            <w:pPr>
              <w:spacing w:after="0" w:line="240" w:lineRule="auto"/>
              <w:jc w:val="center"/>
              <w:rPr>
                <w:rFonts w:ascii="Arial Narrow" w:eastAsia="Times New Roman" w:hAnsi="Arial Narrow" w:cs="Arial"/>
                <w:b/>
                <w:bCs/>
                <w:sz w:val="16"/>
                <w:szCs w:val="16"/>
                <w:lang w:eastAsia="pt-BR"/>
              </w:rPr>
            </w:pPr>
            <w:r w:rsidRPr="00EA4CDC">
              <w:rPr>
                <w:rFonts w:ascii="Arial Narrow" w:eastAsia="Times New Roman" w:hAnsi="Arial Narrow" w:cs="Arial"/>
                <w:b/>
                <w:bCs/>
                <w:sz w:val="16"/>
                <w:szCs w:val="16"/>
                <w:lang w:eastAsia="pt-BR"/>
              </w:rPr>
              <w:t>BFI.C061</w:t>
            </w:r>
          </w:p>
        </w:tc>
        <w:tc>
          <w:tcPr>
            <w:tcW w:w="992" w:type="dxa"/>
            <w:tcBorders>
              <w:top w:val="nil"/>
              <w:left w:val="nil"/>
              <w:bottom w:val="nil"/>
              <w:right w:val="single" w:sz="8" w:space="0" w:color="auto"/>
            </w:tcBorders>
            <w:shd w:val="clear" w:color="auto" w:fill="auto"/>
            <w:vAlign w:val="center"/>
            <w:hideMark/>
          </w:tcPr>
          <w:p w14:paraId="0B050F88" w14:textId="77777777" w:rsidR="00696B6D" w:rsidRPr="00EA4CDC" w:rsidRDefault="00696B6D" w:rsidP="00696B6D">
            <w:pPr>
              <w:spacing w:after="0" w:line="240" w:lineRule="auto"/>
              <w:jc w:val="center"/>
              <w:rPr>
                <w:rFonts w:ascii="Arial Narrow" w:eastAsia="Times New Roman" w:hAnsi="Arial Narrow" w:cs="Arial"/>
                <w:b/>
                <w:bCs/>
                <w:sz w:val="16"/>
                <w:szCs w:val="16"/>
                <w:lang w:eastAsia="pt-BR"/>
              </w:rPr>
            </w:pPr>
            <w:r w:rsidRPr="00EA4CDC">
              <w:rPr>
                <w:rFonts w:ascii="Arial Narrow" w:eastAsia="Times New Roman" w:hAnsi="Arial Narrow" w:cs="Arial"/>
                <w:b/>
                <w:bCs/>
                <w:sz w:val="16"/>
                <w:szCs w:val="16"/>
                <w:lang w:eastAsia="pt-BR"/>
              </w:rPr>
              <w:t>BFI.D061</w:t>
            </w:r>
          </w:p>
        </w:tc>
        <w:tc>
          <w:tcPr>
            <w:tcW w:w="5103" w:type="dxa"/>
            <w:tcBorders>
              <w:top w:val="nil"/>
              <w:left w:val="nil"/>
              <w:bottom w:val="nil"/>
              <w:right w:val="single" w:sz="8" w:space="0" w:color="auto"/>
            </w:tcBorders>
            <w:shd w:val="clear" w:color="auto" w:fill="auto"/>
            <w:noWrap/>
            <w:vAlign w:val="center"/>
            <w:hideMark/>
          </w:tcPr>
          <w:p w14:paraId="5C318EED" w14:textId="77777777" w:rsidR="00696B6D" w:rsidRPr="00EA4CDC" w:rsidRDefault="00696B6D" w:rsidP="00696B6D">
            <w:pPr>
              <w:spacing w:after="0" w:line="240" w:lineRule="auto"/>
              <w:rPr>
                <w:rFonts w:ascii="Arial Narrow" w:eastAsia="Times New Roman" w:hAnsi="Arial Narrow" w:cs="Arial"/>
                <w:b/>
                <w:bCs/>
                <w:sz w:val="16"/>
                <w:szCs w:val="16"/>
                <w:lang w:eastAsia="pt-BR"/>
              </w:rPr>
            </w:pPr>
            <w:r w:rsidRPr="00EA4CDC">
              <w:rPr>
                <w:rFonts w:ascii="Arial Narrow" w:eastAsia="Times New Roman" w:hAnsi="Arial Narrow" w:cs="Arial"/>
                <w:b/>
                <w:bCs/>
                <w:sz w:val="16"/>
                <w:szCs w:val="16"/>
                <w:lang w:eastAsia="pt-BR"/>
              </w:rPr>
              <w:t>PAGAMENTOS  EXTRAORÇAMENTÁRIOS  (VIII)</w:t>
            </w:r>
          </w:p>
        </w:tc>
        <w:tc>
          <w:tcPr>
            <w:tcW w:w="993" w:type="dxa"/>
            <w:tcBorders>
              <w:top w:val="nil"/>
              <w:left w:val="nil"/>
              <w:bottom w:val="nil"/>
              <w:right w:val="single" w:sz="8" w:space="0" w:color="auto"/>
            </w:tcBorders>
            <w:shd w:val="clear" w:color="auto" w:fill="auto"/>
            <w:vAlign w:val="center"/>
            <w:hideMark/>
          </w:tcPr>
          <w:p w14:paraId="7444EE9D" w14:textId="77777777" w:rsidR="00696B6D" w:rsidRPr="00EA4CDC" w:rsidRDefault="00696B6D" w:rsidP="00696B6D">
            <w:pPr>
              <w:spacing w:after="0" w:line="240" w:lineRule="auto"/>
              <w:jc w:val="center"/>
              <w:rPr>
                <w:rFonts w:ascii="Arial Narrow" w:eastAsia="Times New Roman" w:hAnsi="Arial Narrow" w:cs="Arial"/>
                <w:b/>
                <w:bCs/>
                <w:sz w:val="16"/>
                <w:szCs w:val="16"/>
                <w:lang w:eastAsia="pt-BR"/>
              </w:rPr>
            </w:pPr>
            <w:r w:rsidRPr="00EA4CDC">
              <w:rPr>
                <w:rFonts w:ascii="Arial Narrow" w:eastAsia="Times New Roman" w:hAnsi="Arial Narrow" w:cs="Arial"/>
                <w:b/>
                <w:bCs/>
                <w:sz w:val="16"/>
                <w:szCs w:val="16"/>
                <w:lang w:eastAsia="pt-BR"/>
              </w:rPr>
              <w:t>BFI.G061</w:t>
            </w:r>
          </w:p>
        </w:tc>
        <w:tc>
          <w:tcPr>
            <w:tcW w:w="992" w:type="dxa"/>
            <w:tcBorders>
              <w:top w:val="nil"/>
              <w:left w:val="nil"/>
              <w:bottom w:val="nil"/>
              <w:right w:val="single" w:sz="8" w:space="0" w:color="auto"/>
            </w:tcBorders>
            <w:shd w:val="clear" w:color="auto" w:fill="auto"/>
            <w:vAlign w:val="center"/>
            <w:hideMark/>
          </w:tcPr>
          <w:p w14:paraId="1382F90B" w14:textId="77777777" w:rsidR="00696B6D" w:rsidRPr="00EA4CDC" w:rsidRDefault="00696B6D" w:rsidP="00696B6D">
            <w:pPr>
              <w:spacing w:after="0" w:line="240" w:lineRule="auto"/>
              <w:jc w:val="center"/>
              <w:rPr>
                <w:rFonts w:ascii="Arial Narrow" w:eastAsia="Times New Roman" w:hAnsi="Arial Narrow" w:cs="Arial"/>
                <w:b/>
                <w:bCs/>
                <w:sz w:val="16"/>
                <w:szCs w:val="16"/>
                <w:lang w:eastAsia="pt-BR"/>
              </w:rPr>
            </w:pPr>
            <w:r w:rsidRPr="00EA4CDC">
              <w:rPr>
                <w:rFonts w:ascii="Arial Narrow" w:eastAsia="Times New Roman" w:hAnsi="Arial Narrow" w:cs="Arial"/>
                <w:b/>
                <w:bCs/>
                <w:sz w:val="16"/>
                <w:szCs w:val="16"/>
                <w:lang w:eastAsia="pt-BR"/>
              </w:rPr>
              <w:t>BFI.H061</w:t>
            </w:r>
          </w:p>
        </w:tc>
      </w:tr>
      <w:tr w:rsidR="00696B6D" w:rsidRPr="00EA4CDC" w14:paraId="1D0FA7C7"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5EC220C3" w14:textId="77777777" w:rsidR="00696B6D" w:rsidRPr="00EA4CDC" w:rsidRDefault="00696B6D" w:rsidP="00696B6D">
            <w:pPr>
              <w:spacing w:after="0" w:line="240" w:lineRule="auto"/>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 xml:space="preserve">   Incrição de Restos a Pagar Não Processados</w:t>
            </w:r>
          </w:p>
        </w:tc>
        <w:tc>
          <w:tcPr>
            <w:tcW w:w="993" w:type="dxa"/>
            <w:tcBorders>
              <w:top w:val="nil"/>
              <w:left w:val="nil"/>
              <w:bottom w:val="nil"/>
              <w:right w:val="single" w:sz="8" w:space="0" w:color="auto"/>
            </w:tcBorders>
            <w:shd w:val="clear" w:color="auto" w:fill="auto"/>
            <w:vAlign w:val="center"/>
            <w:hideMark/>
          </w:tcPr>
          <w:p w14:paraId="586FB453"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BFI.C062</w:t>
            </w:r>
          </w:p>
        </w:tc>
        <w:tc>
          <w:tcPr>
            <w:tcW w:w="992" w:type="dxa"/>
            <w:tcBorders>
              <w:top w:val="nil"/>
              <w:left w:val="nil"/>
              <w:bottom w:val="nil"/>
              <w:right w:val="single" w:sz="8" w:space="0" w:color="auto"/>
            </w:tcBorders>
            <w:shd w:val="clear" w:color="auto" w:fill="auto"/>
            <w:vAlign w:val="center"/>
            <w:hideMark/>
          </w:tcPr>
          <w:p w14:paraId="5065CC09"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BFI.D062</w:t>
            </w:r>
          </w:p>
        </w:tc>
        <w:tc>
          <w:tcPr>
            <w:tcW w:w="5103" w:type="dxa"/>
            <w:tcBorders>
              <w:top w:val="nil"/>
              <w:left w:val="nil"/>
              <w:bottom w:val="nil"/>
              <w:right w:val="single" w:sz="8" w:space="0" w:color="auto"/>
            </w:tcBorders>
            <w:shd w:val="clear" w:color="auto" w:fill="auto"/>
            <w:noWrap/>
            <w:vAlign w:val="center"/>
            <w:hideMark/>
          </w:tcPr>
          <w:p w14:paraId="6C516715" w14:textId="77777777" w:rsidR="00696B6D" w:rsidRPr="00EA4CDC" w:rsidRDefault="00696B6D" w:rsidP="00696B6D">
            <w:pPr>
              <w:spacing w:after="0" w:line="240" w:lineRule="auto"/>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 xml:space="preserve">   Pagamento de Restos a Pagar Não Processados</w:t>
            </w:r>
          </w:p>
        </w:tc>
        <w:tc>
          <w:tcPr>
            <w:tcW w:w="993" w:type="dxa"/>
            <w:tcBorders>
              <w:top w:val="nil"/>
              <w:left w:val="nil"/>
              <w:bottom w:val="nil"/>
              <w:right w:val="single" w:sz="8" w:space="0" w:color="auto"/>
            </w:tcBorders>
            <w:shd w:val="clear" w:color="auto" w:fill="auto"/>
            <w:vAlign w:val="center"/>
            <w:hideMark/>
          </w:tcPr>
          <w:p w14:paraId="09EC8D77"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BFI.G062</w:t>
            </w:r>
          </w:p>
        </w:tc>
        <w:tc>
          <w:tcPr>
            <w:tcW w:w="992" w:type="dxa"/>
            <w:tcBorders>
              <w:top w:val="nil"/>
              <w:left w:val="nil"/>
              <w:bottom w:val="nil"/>
              <w:right w:val="single" w:sz="8" w:space="0" w:color="auto"/>
            </w:tcBorders>
            <w:shd w:val="clear" w:color="auto" w:fill="auto"/>
            <w:vAlign w:val="center"/>
            <w:hideMark/>
          </w:tcPr>
          <w:p w14:paraId="52FBB305"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BFI.H062</w:t>
            </w:r>
          </w:p>
        </w:tc>
      </w:tr>
      <w:tr w:rsidR="00696B6D" w:rsidRPr="00EA4CDC" w14:paraId="259D5EE2"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7CA4326A" w14:textId="77777777" w:rsidR="00696B6D" w:rsidRPr="00EA4CDC" w:rsidRDefault="00696B6D" w:rsidP="00696B6D">
            <w:pPr>
              <w:spacing w:after="0" w:line="240" w:lineRule="auto"/>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 xml:space="preserve">   Incrição de Restos a Pagar Processados</w:t>
            </w:r>
          </w:p>
        </w:tc>
        <w:tc>
          <w:tcPr>
            <w:tcW w:w="993" w:type="dxa"/>
            <w:tcBorders>
              <w:top w:val="nil"/>
              <w:left w:val="nil"/>
              <w:bottom w:val="nil"/>
              <w:right w:val="single" w:sz="8" w:space="0" w:color="auto"/>
            </w:tcBorders>
            <w:shd w:val="clear" w:color="auto" w:fill="auto"/>
            <w:vAlign w:val="center"/>
            <w:hideMark/>
          </w:tcPr>
          <w:p w14:paraId="422F0465"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BFI.C063</w:t>
            </w:r>
          </w:p>
        </w:tc>
        <w:tc>
          <w:tcPr>
            <w:tcW w:w="992" w:type="dxa"/>
            <w:tcBorders>
              <w:top w:val="nil"/>
              <w:left w:val="nil"/>
              <w:bottom w:val="nil"/>
              <w:right w:val="single" w:sz="8" w:space="0" w:color="auto"/>
            </w:tcBorders>
            <w:shd w:val="clear" w:color="auto" w:fill="auto"/>
            <w:vAlign w:val="center"/>
            <w:hideMark/>
          </w:tcPr>
          <w:p w14:paraId="20C86225"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BFI.D063</w:t>
            </w:r>
          </w:p>
        </w:tc>
        <w:tc>
          <w:tcPr>
            <w:tcW w:w="5103" w:type="dxa"/>
            <w:tcBorders>
              <w:top w:val="nil"/>
              <w:left w:val="nil"/>
              <w:bottom w:val="nil"/>
              <w:right w:val="single" w:sz="8" w:space="0" w:color="auto"/>
            </w:tcBorders>
            <w:shd w:val="clear" w:color="auto" w:fill="auto"/>
            <w:noWrap/>
            <w:vAlign w:val="center"/>
            <w:hideMark/>
          </w:tcPr>
          <w:p w14:paraId="4269FBE9" w14:textId="77777777" w:rsidR="00696B6D" w:rsidRPr="00EA4CDC" w:rsidRDefault="00696B6D" w:rsidP="00696B6D">
            <w:pPr>
              <w:spacing w:after="0" w:line="240" w:lineRule="auto"/>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 xml:space="preserve">   Pagamento de Restos a Pagar Processados</w:t>
            </w:r>
          </w:p>
        </w:tc>
        <w:tc>
          <w:tcPr>
            <w:tcW w:w="993" w:type="dxa"/>
            <w:tcBorders>
              <w:top w:val="nil"/>
              <w:left w:val="nil"/>
              <w:bottom w:val="nil"/>
              <w:right w:val="single" w:sz="8" w:space="0" w:color="auto"/>
            </w:tcBorders>
            <w:shd w:val="clear" w:color="auto" w:fill="auto"/>
            <w:vAlign w:val="center"/>
            <w:hideMark/>
          </w:tcPr>
          <w:p w14:paraId="76F1E4A5"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BFI.G063</w:t>
            </w:r>
          </w:p>
        </w:tc>
        <w:tc>
          <w:tcPr>
            <w:tcW w:w="992" w:type="dxa"/>
            <w:tcBorders>
              <w:top w:val="nil"/>
              <w:left w:val="nil"/>
              <w:bottom w:val="nil"/>
              <w:right w:val="single" w:sz="8" w:space="0" w:color="auto"/>
            </w:tcBorders>
            <w:shd w:val="clear" w:color="auto" w:fill="auto"/>
            <w:vAlign w:val="center"/>
            <w:hideMark/>
          </w:tcPr>
          <w:p w14:paraId="38DD8753"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BFI.H063</w:t>
            </w:r>
          </w:p>
        </w:tc>
      </w:tr>
      <w:tr w:rsidR="00696B6D" w:rsidRPr="00EA4CDC" w14:paraId="5E2D71D5" w14:textId="77777777" w:rsidTr="00B873F0">
        <w:trPr>
          <w:trHeight w:val="225"/>
        </w:trPr>
        <w:tc>
          <w:tcPr>
            <w:tcW w:w="5104" w:type="dxa"/>
            <w:tcBorders>
              <w:top w:val="nil"/>
              <w:left w:val="single" w:sz="8" w:space="0" w:color="auto"/>
              <w:bottom w:val="nil"/>
              <w:right w:val="single" w:sz="8" w:space="0" w:color="auto"/>
            </w:tcBorders>
            <w:shd w:val="clear" w:color="auto" w:fill="auto"/>
            <w:noWrap/>
            <w:vAlign w:val="center"/>
            <w:hideMark/>
          </w:tcPr>
          <w:p w14:paraId="214DD4E0" w14:textId="77777777" w:rsidR="00696B6D" w:rsidRPr="00EA4CDC" w:rsidRDefault="00696B6D" w:rsidP="00696B6D">
            <w:pPr>
              <w:spacing w:after="0" w:line="240" w:lineRule="auto"/>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 xml:space="preserve">   Depósitos Restituíveis e Valores Vinculados</w:t>
            </w:r>
          </w:p>
        </w:tc>
        <w:tc>
          <w:tcPr>
            <w:tcW w:w="993" w:type="dxa"/>
            <w:tcBorders>
              <w:top w:val="nil"/>
              <w:left w:val="nil"/>
              <w:bottom w:val="nil"/>
              <w:right w:val="single" w:sz="8" w:space="0" w:color="auto"/>
            </w:tcBorders>
            <w:shd w:val="clear" w:color="auto" w:fill="auto"/>
            <w:vAlign w:val="center"/>
            <w:hideMark/>
          </w:tcPr>
          <w:p w14:paraId="41EC67DF"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BFI.C064</w:t>
            </w:r>
          </w:p>
        </w:tc>
        <w:tc>
          <w:tcPr>
            <w:tcW w:w="992" w:type="dxa"/>
            <w:tcBorders>
              <w:top w:val="nil"/>
              <w:left w:val="nil"/>
              <w:bottom w:val="nil"/>
              <w:right w:val="single" w:sz="8" w:space="0" w:color="auto"/>
            </w:tcBorders>
            <w:shd w:val="clear" w:color="auto" w:fill="auto"/>
            <w:vAlign w:val="center"/>
            <w:hideMark/>
          </w:tcPr>
          <w:p w14:paraId="2559AF54"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BFI.D064</w:t>
            </w:r>
          </w:p>
        </w:tc>
        <w:tc>
          <w:tcPr>
            <w:tcW w:w="5103" w:type="dxa"/>
            <w:tcBorders>
              <w:top w:val="nil"/>
              <w:left w:val="nil"/>
              <w:bottom w:val="nil"/>
              <w:right w:val="single" w:sz="8" w:space="0" w:color="auto"/>
            </w:tcBorders>
            <w:shd w:val="clear" w:color="auto" w:fill="auto"/>
            <w:noWrap/>
            <w:vAlign w:val="center"/>
            <w:hideMark/>
          </w:tcPr>
          <w:p w14:paraId="7CA7F0C5" w14:textId="77777777" w:rsidR="00696B6D" w:rsidRPr="00EA4CDC" w:rsidRDefault="00696B6D" w:rsidP="00696B6D">
            <w:pPr>
              <w:spacing w:after="0" w:line="240" w:lineRule="auto"/>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 xml:space="preserve">   Depósitos Restituíveis e Valores Vinculados</w:t>
            </w:r>
          </w:p>
        </w:tc>
        <w:tc>
          <w:tcPr>
            <w:tcW w:w="993" w:type="dxa"/>
            <w:tcBorders>
              <w:top w:val="nil"/>
              <w:left w:val="nil"/>
              <w:bottom w:val="nil"/>
              <w:right w:val="single" w:sz="8" w:space="0" w:color="auto"/>
            </w:tcBorders>
            <w:shd w:val="clear" w:color="auto" w:fill="auto"/>
            <w:vAlign w:val="center"/>
            <w:hideMark/>
          </w:tcPr>
          <w:p w14:paraId="51CCABCD"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BFI.G064</w:t>
            </w:r>
          </w:p>
        </w:tc>
        <w:tc>
          <w:tcPr>
            <w:tcW w:w="992" w:type="dxa"/>
            <w:tcBorders>
              <w:top w:val="nil"/>
              <w:left w:val="nil"/>
              <w:bottom w:val="nil"/>
              <w:right w:val="single" w:sz="8" w:space="0" w:color="auto"/>
            </w:tcBorders>
            <w:shd w:val="clear" w:color="auto" w:fill="auto"/>
            <w:vAlign w:val="center"/>
            <w:hideMark/>
          </w:tcPr>
          <w:p w14:paraId="33E7C997"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BFI.H064</w:t>
            </w:r>
          </w:p>
        </w:tc>
      </w:tr>
      <w:tr w:rsidR="00696B6D" w:rsidRPr="00EA4CDC" w14:paraId="2C525854" w14:textId="77777777" w:rsidTr="00B873F0">
        <w:trPr>
          <w:trHeight w:val="255"/>
        </w:trPr>
        <w:tc>
          <w:tcPr>
            <w:tcW w:w="5104" w:type="dxa"/>
            <w:tcBorders>
              <w:top w:val="nil"/>
              <w:left w:val="single" w:sz="8" w:space="0" w:color="auto"/>
              <w:bottom w:val="nil"/>
              <w:right w:val="single" w:sz="8" w:space="0" w:color="auto"/>
            </w:tcBorders>
            <w:shd w:val="clear" w:color="auto" w:fill="auto"/>
            <w:hideMark/>
          </w:tcPr>
          <w:p w14:paraId="1074D944" w14:textId="77777777" w:rsidR="00696B6D" w:rsidRPr="00EA4CDC" w:rsidRDefault="00696B6D" w:rsidP="00696B6D">
            <w:pPr>
              <w:spacing w:after="0" w:line="240" w:lineRule="auto"/>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 xml:space="preserve">   Outros Recebimentos Extraorçamentários</w:t>
            </w:r>
          </w:p>
        </w:tc>
        <w:tc>
          <w:tcPr>
            <w:tcW w:w="993" w:type="dxa"/>
            <w:tcBorders>
              <w:top w:val="nil"/>
              <w:left w:val="nil"/>
              <w:bottom w:val="nil"/>
              <w:right w:val="single" w:sz="8" w:space="0" w:color="auto"/>
            </w:tcBorders>
            <w:shd w:val="clear" w:color="auto" w:fill="auto"/>
            <w:vAlign w:val="center"/>
            <w:hideMark/>
          </w:tcPr>
          <w:p w14:paraId="6DBFB3DB"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BFI.C065</w:t>
            </w:r>
          </w:p>
        </w:tc>
        <w:tc>
          <w:tcPr>
            <w:tcW w:w="992" w:type="dxa"/>
            <w:tcBorders>
              <w:top w:val="nil"/>
              <w:left w:val="nil"/>
              <w:bottom w:val="nil"/>
              <w:right w:val="single" w:sz="8" w:space="0" w:color="auto"/>
            </w:tcBorders>
            <w:shd w:val="clear" w:color="auto" w:fill="auto"/>
            <w:vAlign w:val="center"/>
            <w:hideMark/>
          </w:tcPr>
          <w:p w14:paraId="6E63D490"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BFI.D065</w:t>
            </w:r>
          </w:p>
        </w:tc>
        <w:tc>
          <w:tcPr>
            <w:tcW w:w="5103" w:type="dxa"/>
            <w:tcBorders>
              <w:top w:val="nil"/>
              <w:left w:val="nil"/>
              <w:bottom w:val="nil"/>
              <w:right w:val="single" w:sz="8" w:space="0" w:color="auto"/>
            </w:tcBorders>
            <w:shd w:val="clear" w:color="auto" w:fill="auto"/>
            <w:hideMark/>
          </w:tcPr>
          <w:p w14:paraId="06DE89D5" w14:textId="77777777" w:rsidR="00696B6D" w:rsidRPr="00EA4CDC" w:rsidRDefault="00696B6D" w:rsidP="00696B6D">
            <w:pPr>
              <w:spacing w:after="0" w:line="240" w:lineRule="auto"/>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 xml:space="preserve">   Outros Pagamentos Extraorçamentários</w:t>
            </w:r>
          </w:p>
        </w:tc>
        <w:tc>
          <w:tcPr>
            <w:tcW w:w="993" w:type="dxa"/>
            <w:tcBorders>
              <w:top w:val="nil"/>
              <w:left w:val="nil"/>
              <w:bottom w:val="nil"/>
              <w:right w:val="single" w:sz="8" w:space="0" w:color="auto"/>
            </w:tcBorders>
            <w:shd w:val="clear" w:color="auto" w:fill="auto"/>
            <w:vAlign w:val="center"/>
            <w:hideMark/>
          </w:tcPr>
          <w:p w14:paraId="225A6B0D"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BFI.G065</w:t>
            </w:r>
          </w:p>
        </w:tc>
        <w:tc>
          <w:tcPr>
            <w:tcW w:w="992" w:type="dxa"/>
            <w:tcBorders>
              <w:top w:val="nil"/>
              <w:left w:val="nil"/>
              <w:bottom w:val="nil"/>
              <w:right w:val="single" w:sz="8" w:space="0" w:color="auto"/>
            </w:tcBorders>
            <w:shd w:val="clear" w:color="auto" w:fill="auto"/>
            <w:vAlign w:val="center"/>
            <w:hideMark/>
          </w:tcPr>
          <w:p w14:paraId="01C98DD2"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BFI.H065</w:t>
            </w:r>
          </w:p>
        </w:tc>
      </w:tr>
      <w:tr w:rsidR="00696B6D" w:rsidRPr="00EA4CDC" w14:paraId="66D10777"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6E135A58" w14:textId="77777777" w:rsidR="00696B6D" w:rsidRPr="00EA4CDC" w:rsidRDefault="00696B6D" w:rsidP="00696B6D">
            <w:pPr>
              <w:spacing w:after="0" w:line="240" w:lineRule="auto"/>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 </w:t>
            </w:r>
          </w:p>
        </w:tc>
        <w:tc>
          <w:tcPr>
            <w:tcW w:w="993" w:type="dxa"/>
            <w:tcBorders>
              <w:top w:val="nil"/>
              <w:left w:val="nil"/>
              <w:bottom w:val="nil"/>
              <w:right w:val="single" w:sz="8" w:space="0" w:color="auto"/>
            </w:tcBorders>
            <w:shd w:val="clear" w:color="auto" w:fill="auto"/>
            <w:vAlign w:val="center"/>
            <w:hideMark/>
          </w:tcPr>
          <w:p w14:paraId="777DCBEA"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 </w:t>
            </w:r>
          </w:p>
        </w:tc>
        <w:tc>
          <w:tcPr>
            <w:tcW w:w="992" w:type="dxa"/>
            <w:tcBorders>
              <w:top w:val="nil"/>
              <w:left w:val="nil"/>
              <w:bottom w:val="nil"/>
              <w:right w:val="single" w:sz="8" w:space="0" w:color="auto"/>
            </w:tcBorders>
            <w:shd w:val="clear" w:color="auto" w:fill="auto"/>
            <w:vAlign w:val="center"/>
            <w:hideMark/>
          </w:tcPr>
          <w:p w14:paraId="3004CA38"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 </w:t>
            </w:r>
          </w:p>
        </w:tc>
        <w:tc>
          <w:tcPr>
            <w:tcW w:w="5103" w:type="dxa"/>
            <w:tcBorders>
              <w:top w:val="nil"/>
              <w:left w:val="nil"/>
              <w:bottom w:val="nil"/>
              <w:right w:val="single" w:sz="8" w:space="0" w:color="auto"/>
            </w:tcBorders>
            <w:shd w:val="clear" w:color="auto" w:fill="auto"/>
            <w:noWrap/>
            <w:vAlign w:val="center"/>
            <w:hideMark/>
          </w:tcPr>
          <w:p w14:paraId="42CE83B6" w14:textId="77777777" w:rsidR="00696B6D" w:rsidRPr="00EA4CDC" w:rsidRDefault="00696B6D" w:rsidP="00696B6D">
            <w:pPr>
              <w:spacing w:after="0" w:line="240" w:lineRule="auto"/>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 </w:t>
            </w:r>
          </w:p>
        </w:tc>
        <w:tc>
          <w:tcPr>
            <w:tcW w:w="993" w:type="dxa"/>
            <w:tcBorders>
              <w:top w:val="nil"/>
              <w:left w:val="nil"/>
              <w:bottom w:val="nil"/>
              <w:right w:val="single" w:sz="8" w:space="0" w:color="auto"/>
            </w:tcBorders>
            <w:shd w:val="clear" w:color="auto" w:fill="auto"/>
            <w:vAlign w:val="center"/>
            <w:hideMark/>
          </w:tcPr>
          <w:p w14:paraId="079FADE5"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 </w:t>
            </w:r>
          </w:p>
        </w:tc>
        <w:tc>
          <w:tcPr>
            <w:tcW w:w="992" w:type="dxa"/>
            <w:tcBorders>
              <w:top w:val="nil"/>
              <w:left w:val="nil"/>
              <w:bottom w:val="nil"/>
              <w:right w:val="single" w:sz="8" w:space="0" w:color="auto"/>
            </w:tcBorders>
            <w:shd w:val="clear" w:color="auto" w:fill="auto"/>
            <w:vAlign w:val="center"/>
            <w:hideMark/>
          </w:tcPr>
          <w:p w14:paraId="13DED654"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 </w:t>
            </w:r>
          </w:p>
        </w:tc>
      </w:tr>
      <w:tr w:rsidR="00696B6D" w:rsidRPr="00EA4CDC" w14:paraId="77612B84"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7C184DD9" w14:textId="77777777" w:rsidR="00696B6D" w:rsidRPr="00EA4CDC" w:rsidRDefault="00696B6D" w:rsidP="00696B6D">
            <w:pPr>
              <w:spacing w:after="0" w:line="240" w:lineRule="auto"/>
              <w:rPr>
                <w:rFonts w:ascii="Arial Narrow" w:eastAsia="Times New Roman" w:hAnsi="Arial Narrow" w:cs="Arial"/>
                <w:b/>
                <w:bCs/>
                <w:sz w:val="16"/>
                <w:szCs w:val="16"/>
                <w:lang w:eastAsia="pt-BR"/>
              </w:rPr>
            </w:pPr>
            <w:r w:rsidRPr="00EA4CDC">
              <w:rPr>
                <w:rFonts w:ascii="Arial Narrow" w:eastAsia="Times New Roman" w:hAnsi="Arial Narrow" w:cs="Arial"/>
                <w:b/>
                <w:bCs/>
                <w:sz w:val="16"/>
                <w:szCs w:val="16"/>
                <w:lang w:eastAsia="pt-BR"/>
              </w:rPr>
              <w:t>SALDO DO EXERCÍCIO ANTERIOR (IV)</w:t>
            </w:r>
          </w:p>
        </w:tc>
        <w:tc>
          <w:tcPr>
            <w:tcW w:w="993" w:type="dxa"/>
            <w:tcBorders>
              <w:top w:val="nil"/>
              <w:left w:val="nil"/>
              <w:bottom w:val="nil"/>
              <w:right w:val="single" w:sz="8" w:space="0" w:color="auto"/>
            </w:tcBorders>
            <w:shd w:val="clear" w:color="auto" w:fill="auto"/>
            <w:vAlign w:val="center"/>
            <w:hideMark/>
          </w:tcPr>
          <w:p w14:paraId="4B6F7412" w14:textId="77777777" w:rsidR="00696B6D" w:rsidRPr="00EA4CDC" w:rsidRDefault="00696B6D" w:rsidP="00696B6D">
            <w:pPr>
              <w:spacing w:after="0" w:line="240" w:lineRule="auto"/>
              <w:jc w:val="center"/>
              <w:rPr>
                <w:rFonts w:ascii="Arial Narrow" w:eastAsia="Times New Roman" w:hAnsi="Arial Narrow" w:cs="Arial"/>
                <w:b/>
                <w:bCs/>
                <w:sz w:val="16"/>
                <w:szCs w:val="16"/>
                <w:lang w:eastAsia="pt-BR"/>
              </w:rPr>
            </w:pPr>
            <w:r w:rsidRPr="00EA4CDC">
              <w:rPr>
                <w:rFonts w:ascii="Arial Narrow" w:eastAsia="Times New Roman" w:hAnsi="Arial Narrow" w:cs="Arial"/>
                <w:b/>
                <w:bCs/>
                <w:sz w:val="16"/>
                <w:szCs w:val="16"/>
                <w:lang w:eastAsia="pt-BR"/>
              </w:rPr>
              <w:t>BFI.C067</w:t>
            </w:r>
          </w:p>
        </w:tc>
        <w:tc>
          <w:tcPr>
            <w:tcW w:w="992" w:type="dxa"/>
            <w:tcBorders>
              <w:top w:val="nil"/>
              <w:left w:val="nil"/>
              <w:bottom w:val="nil"/>
              <w:right w:val="single" w:sz="8" w:space="0" w:color="auto"/>
            </w:tcBorders>
            <w:shd w:val="clear" w:color="auto" w:fill="auto"/>
            <w:vAlign w:val="center"/>
            <w:hideMark/>
          </w:tcPr>
          <w:p w14:paraId="0DC4A24C" w14:textId="77777777" w:rsidR="00696B6D" w:rsidRPr="00EA4CDC" w:rsidRDefault="00696B6D" w:rsidP="00696B6D">
            <w:pPr>
              <w:spacing w:after="0" w:line="240" w:lineRule="auto"/>
              <w:jc w:val="center"/>
              <w:rPr>
                <w:rFonts w:ascii="Arial Narrow" w:eastAsia="Times New Roman" w:hAnsi="Arial Narrow" w:cs="Arial"/>
                <w:b/>
                <w:bCs/>
                <w:sz w:val="16"/>
                <w:szCs w:val="16"/>
                <w:lang w:eastAsia="pt-BR"/>
              </w:rPr>
            </w:pPr>
            <w:r w:rsidRPr="00EA4CDC">
              <w:rPr>
                <w:rFonts w:ascii="Arial Narrow" w:eastAsia="Times New Roman" w:hAnsi="Arial Narrow" w:cs="Arial"/>
                <w:b/>
                <w:bCs/>
                <w:sz w:val="16"/>
                <w:szCs w:val="16"/>
                <w:lang w:eastAsia="pt-BR"/>
              </w:rPr>
              <w:t>BFI.D067</w:t>
            </w:r>
          </w:p>
        </w:tc>
        <w:tc>
          <w:tcPr>
            <w:tcW w:w="5103" w:type="dxa"/>
            <w:tcBorders>
              <w:top w:val="nil"/>
              <w:left w:val="nil"/>
              <w:bottom w:val="nil"/>
              <w:right w:val="single" w:sz="8" w:space="0" w:color="auto"/>
            </w:tcBorders>
            <w:shd w:val="clear" w:color="auto" w:fill="auto"/>
            <w:noWrap/>
            <w:vAlign w:val="center"/>
            <w:hideMark/>
          </w:tcPr>
          <w:p w14:paraId="4B92E339" w14:textId="77777777" w:rsidR="00696B6D" w:rsidRPr="00EA4CDC" w:rsidRDefault="00696B6D" w:rsidP="00696B6D">
            <w:pPr>
              <w:spacing w:after="0" w:line="240" w:lineRule="auto"/>
              <w:rPr>
                <w:rFonts w:ascii="Arial Narrow" w:eastAsia="Times New Roman" w:hAnsi="Arial Narrow" w:cs="Arial"/>
                <w:b/>
                <w:bCs/>
                <w:sz w:val="16"/>
                <w:szCs w:val="16"/>
                <w:lang w:eastAsia="pt-BR"/>
              </w:rPr>
            </w:pPr>
            <w:r w:rsidRPr="00EA4CDC">
              <w:rPr>
                <w:rFonts w:ascii="Arial Narrow" w:eastAsia="Times New Roman" w:hAnsi="Arial Narrow" w:cs="Arial"/>
                <w:b/>
                <w:bCs/>
                <w:sz w:val="16"/>
                <w:szCs w:val="16"/>
                <w:lang w:eastAsia="pt-BR"/>
              </w:rPr>
              <w:t>SALDO PARA O EXERCÍCIO SEGUINTE (IX)</w:t>
            </w:r>
          </w:p>
        </w:tc>
        <w:tc>
          <w:tcPr>
            <w:tcW w:w="993" w:type="dxa"/>
            <w:tcBorders>
              <w:top w:val="nil"/>
              <w:left w:val="nil"/>
              <w:bottom w:val="nil"/>
              <w:right w:val="single" w:sz="8" w:space="0" w:color="auto"/>
            </w:tcBorders>
            <w:shd w:val="clear" w:color="auto" w:fill="auto"/>
            <w:vAlign w:val="center"/>
            <w:hideMark/>
          </w:tcPr>
          <w:p w14:paraId="5D23E296" w14:textId="77777777" w:rsidR="00696B6D" w:rsidRPr="00EA4CDC" w:rsidRDefault="00696B6D" w:rsidP="00696B6D">
            <w:pPr>
              <w:spacing w:after="0" w:line="240" w:lineRule="auto"/>
              <w:jc w:val="center"/>
              <w:rPr>
                <w:rFonts w:ascii="Arial Narrow" w:eastAsia="Times New Roman" w:hAnsi="Arial Narrow" w:cs="Arial"/>
                <w:b/>
                <w:bCs/>
                <w:sz w:val="16"/>
                <w:szCs w:val="16"/>
                <w:lang w:eastAsia="pt-BR"/>
              </w:rPr>
            </w:pPr>
            <w:r w:rsidRPr="00EA4CDC">
              <w:rPr>
                <w:rFonts w:ascii="Arial Narrow" w:eastAsia="Times New Roman" w:hAnsi="Arial Narrow" w:cs="Arial"/>
                <w:b/>
                <w:bCs/>
                <w:sz w:val="16"/>
                <w:szCs w:val="16"/>
                <w:lang w:eastAsia="pt-BR"/>
              </w:rPr>
              <w:t>BFI.G067</w:t>
            </w:r>
          </w:p>
        </w:tc>
        <w:tc>
          <w:tcPr>
            <w:tcW w:w="992" w:type="dxa"/>
            <w:tcBorders>
              <w:top w:val="nil"/>
              <w:left w:val="nil"/>
              <w:bottom w:val="nil"/>
              <w:right w:val="single" w:sz="8" w:space="0" w:color="auto"/>
            </w:tcBorders>
            <w:shd w:val="clear" w:color="auto" w:fill="auto"/>
            <w:vAlign w:val="center"/>
            <w:hideMark/>
          </w:tcPr>
          <w:p w14:paraId="44B88F60" w14:textId="77777777" w:rsidR="00696B6D" w:rsidRPr="00EA4CDC" w:rsidRDefault="00696B6D" w:rsidP="00696B6D">
            <w:pPr>
              <w:spacing w:after="0" w:line="240" w:lineRule="auto"/>
              <w:jc w:val="center"/>
              <w:rPr>
                <w:rFonts w:ascii="Arial Narrow" w:eastAsia="Times New Roman" w:hAnsi="Arial Narrow" w:cs="Arial"/>
                <w:b/>
                <w:bCs/>
                <w:sz w:val="16"/>
                <w:szCs w:val="16"/>
                <w:lang w:eastAsia="pt-BR"/>
              </w:rPr>
            </w:pPr>
            <w:r w:rsidRPr="00EA4CDC">
              <w:rPr>
                <w:rFonts w:ascii="Arial Narrow" w:eastAsia="Times New Roman" w:hAnsi="Arial Narrow" w:cs="Arial"/>
                <w:b/>
                <w:bCs/>
                <w:sz w:val="16"/>
                <w:szCs w:val="16"/>
                <w:lang w:eastAsia="pt-BR"/>
              </w:rPr>
              <w:t>BFI.H067</w:t>
            </w:r>
          </w:p>
        </w:tc>
      </w:tr>
      <w:tr w:rsidR="00696B6D" w:rsidRPr="00EA4CDC" w14:paraId="72814289"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65CF5865" w14:textId="77777777" w:rsidR="00696B6D" w:rsidRPr="00EA4CDC" w:rsidRDefault="00696B6D" w:rsidP="00696B6D">
            <w:pPr>
              <w:spacing w:after="0" w:line="240" w:lineRule="auto"/>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 xml:space="preserve">   Caixa e Equivalentes de Caixa - Consolidação</w:t>
            </w:r>
          </w:p>
        </w:tc>
        <w:tc>
          <w:tcPr>
            <w:tcW w:w="993" w:type="dxa"/>
            <w:tcBorders>
              <w:top w:val="nil"/>
              <w:left w:val="nil"/>
              <w:bottom w:val="nil"/>
              <w:right w:val="single" w:sz="8" w:space="0" w:color="auto"/>
            </w:tcBorders>
            <w:shd w:val="clear" w:color="auto" w:fill="auto"/>
            <w:vAlign w:val="center"/>
            <w:hideMark/>
          </w:tcPr>
          <w:p w14:paraId="5E7EF4D4" w14:textId="77777777" w:rsidR="00696B6D" w:rsidRPr="00EA4CDC" w:rsidRDefault="00696B6D" w:rsidP="00696B6D">
            <w:pPr>
              <w:spacing w:after="0" w:line="240" w:lineRule="auto"/>
              <w:jc w:val="center"/>
              <w:rPr>
                <w:rFonts w:ascii="Arial Narrow" w:eastAsia="Times New Roman" w:hAnsi="Arial Narrow" w:cs="Arial"/>
                <w:b/>
                <w:bCs/>
                <w:sz w:val="16"/>
                <w:szCs w:val="16"/>
                <w:lang w:eastAsia="pt-BR"/>
              </w:rPr>
            </w:pPr>
            <w:r w:rsidRPr="00EA4CDC">
              <w:rPr>
                <w:rFonts w:ascii="Arial Narrow" w:eastAsia="Times New Roman" w:hAnsi="Arial Narrow" w:cs="Arial"/>
                <w:b/>
                <w:bCs/>
                <w:sz w:val="16"/>
                <w:szCs w:val="16"/>
                <w:lang w:eastAsia="pt-BR"/>
              </w:rPr>
              <w:t>BFI.C068</w:t>
            </w:r>
          </w:p>
        </w:tc>
        <w:tc>
          <w:tcPr>
            <w:tcW w:w="992" w:type="dxa"/>
            <w:tcBorders>
              <w:top w:val="nil"/>
              <w:left w:val="nil"/>
              <w:bottom w:val="nil"/>
              <w:right w:val="single" w:sz="8" w:space="0" w:color="auto"/>
            </w:tcBorders>
            <w:shd w:val="clear" w:color="auto" w:fill="auto"/>
            <w:vAlign w:val="center"/>
            <w:hideMark/>
          </w:tcPr>
          <w:p w14:paraId="47835690" w14:textId="77777777" w:rsidR="00696B6D" w:rsidRPr="00EA4CDC" w:rsidRDefault="00696B6D" w:rsidP="00696B6D">
            <w:pPr>
              <w:spacing w:after="0" w:line="240" w:lineRule="auto"/>
              <w:jc w:val="center"/>
              <w:rPr>
                <w:rFonts w:ascii="Arial Narrow" w:eastAsia="Times New Roman" w:hAnsi="Arial Narrow" w:cs="Arial"/>
                <w:b/>
                <w:bCs/>
                <w:sz w:val="16"/>
                <w:szCs w:val="16"/>
                <w:lang w:eastAsia="pt-BR"/>
              </w:rPr>
            </w:pPr>
            <w:r w:rsidRPr="00EA4CDC">
              <w:rPr>
                <w:rFonts w:ascii="Arial Narrow" w:eastAsia="Times New Roman" w:hAnsi="Arial Narrow" w:cs="Arial"/>
                <w:b/>
                <w:bCs/>
                <w:sz w:val="16"/>
                <w:szCs w:val="16"/>
                <w:lang w:eastAsia="pt-BR"/>
              </w:rPr>
              <w:t>BFI.D068</w:t>
            </w:r>
          </w:p>
        </w:tc>
        <w:tc>
          <w:tcPr>
            <w:tcW w:w="5103" w:type="dxa"/>
            <w:tcBorders>
              <w:top w:val="nil"/>
              <w:left w:val="nil"/>
              <w:bottom w:val="nil"/>
              <w:right w:val="single" w:sz="8" w:space="0" w:color="auto"/>
            </w:tcBorders>
            <w:shd w:val="clear" w:color="auto" w:fill="auto"/>
            <w:noWrap/>
            <w:vAlign w:val="center"/>
            <w:hideMark/>
          </w:tcPr>
          <w:p w14:paraId="149C9B39" w14:textId="77777777" w:rsidR="00696B6D" w:rsidRPr="00EA4CDC" w:rsidRDefault="00696B6D" w:rsidP="00696B6D">
            <w:pPr>
              <w:spacing w:after="0" w:line="240" w:lineRule="auto"/>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 xml:space="preserve">   Caixa e Equivalentes de Caixa - Consolidação</w:t>
            </w:r>
          </w:p>
        </w:tc>
        <w:tc>
          <w:tcPr>
            <w:tcW w:w="993" w:type="dxa"/>
            <w:tcBorders>
              <w:top w:val="nil"/>
              <w:left w:val="nil"/>
              <w:bottom w:val="nil"/>
              <w:right w:val="single" w:sz="8" w:space="0" w:color="auto"/>
            </w:tcBorders>
            <w:shd w:val="clear" w:color="auto" w:fill="auto"/>
            <w:vAlign w:val="center"/>
            <w:hideMark/>
          </w:tcPr>
          <w:p w14:paraId="56FB8311" w14:textId="77777777" w:rsidR="00696B6D" w:rsidRPr="00EA4CDC" w:rsidRDefault="00696B6D" w:rsidP="00696B6D">
            <w:pPr>
              <w:spacing w:after="0" w:line="240" w:lineRule="auto"/>
              <w:jc w:val="center"/>
              <w:rPr>
                <w:rFonts w:ascii="Arial Narrow" w:eastAsia="Times New Roman" w:hAnsi="Arial Narrow" w:cs="Arial"/>
                <w:b/>
                <w:bCs/>
                <w:sz w:val="16"/>
                <w:szCs w:val="16"/>
                <w:lang w:eastAsia="pt-BR"/>
              </w:rPr>
            </w:pPr>
            <w:r w:rsidRPr="00EA4CDC">
              <w:rPr>
                <w:rFonts w:ascii="Arial Narrow" w:eastAsia="Times New Roman" w:hAnsi="Arial Narrow" w:cs="Arial"/>
                <w:b/>
                <w:bCs/>
                <w:sz w:val="16"/>
                <w:szCs w:val="16"/>
                <w:lang w:eastAsia="pt-BR"/>
              </w:rPr>
              <w:t>BFI.G068</w:t>
            </w:r>
          </w:p>
        </w:tc>
        <w:tc>
          <w:tcPr>
            <w:tcW w:w="992" w:type="dxa"/>
            <w:tcBorders>
              <w:top w:val="nil"/>
              <w:left w:val="nil"/>
              <w:bottom w:val="nil"/>
              <w:right w:val="single" w:sz="8" w:space="0" w:color="auto"/>
            </w:tcBorders>
            <w:shd w:val="clear" w:color="auto" w:fill="auto"/>
            <w:vAlign w:val="center"/>
            <w:hideMark/>
          </w:tcPr>
          <w:p w14:paraId="09E00735" w14:textId="77777777" w:rsidR="00696B6D" w:rsidRPr="00EA4CDC" w:rsidRDefault="00696B6D" w:rsidP="00696B6D">
            <w:pPr>
              <w:spacing w:after="0" w:line="240" w:lineRule="auto"/>
              <w:jc w:val="center"/>
              <w:rPr>
                <w:rFonts w:ascii="Arial Narrow" w:eastAsia="Times New Roman" w:hAnsi="Arial Narrow" w:cs="Arial"/>
                <w:b/>
                <w:bCs/>
                <w:sz w:val="16"/>
                <w:szCs w:val="16"/>
                <w:lang w:eastAsia="pt-BR"/>
              </w:rPr>
            </w:pPr>
            <w:r w:rsidRPr="00EA4CDC">
              <w:rPr>
                <w:rFonts w:ascii="Arial Narrow" w:eastAsia="Times New Roman" w:hAnsi="Arial Narrow" w:cs="Arial"/>
                <w:b/>
                <w:bCs/>
                <w:sz w:val="16"/>
                <w:szCs w:val="16"/>
                <w:lang w:eastAsia="pt-BR"/>
              </w:rPr>
              <w:t>BFI.H068</w:t>
            </w:r>
          </w:p>
        </w:tc>
      </w:tr>
      <w:tr w:rsidR="00696B6D" w:rsidRPr="00EA4CDC" w14:paraId="3397E374"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63E26A25" w14:textId="77777777" w:rsidR="00696B6D" w:rsidRPr="00EA4CDC" w:rsidRDefault="00696B6D" w:rsidP="00696B6D">
            <w:pPr>
              <w:spacing w:after="0" w:line="240" w:lineRule="auto"/>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 xml:space="preserve">      Caixa</w:t>
            </w:r>
          </w:p>
        </w:tc>
        <w:tc>
          <w:tcPr>
            <w:tcW w:w="993" w:type="dxa"/>
            <w:tcBorders>
              <w:top w:val="nil"/>
              <w:left w:val="nil"/>
              <w:bottom w:val="nil"/>
              <w:right w:val="single" w:sz="8" w:space="0" w:color="auto"/>
            </w:tcBorders>
            <w:shd w:val="clear" w:color="auto" w:fill="auto"/>
            <w:vAlign w:val="center"/>
            <w:hideMark/>
          </w:tcPr>
          <w:p w14:paraId="000EE855"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BFI.C069</w:t>
            </w:r>
          </w:p>
        </w:tc>
        <w:tc>
          <w:tcPr>
            <w:tcW w:w="992" w:type="dxa"/>
            <w:tcBorders>
              <w:top w:val="nil"/>
              <w:left w:val="nil"/>
              <w:bottom w:val="nil"/>
              <w:right w:val="single" w:sz="8" w:space="0" w:color="auto"/>
            </w:tcBorders>
            <w:shd w:val="clear" w:color="auto" w:fill="auto"/>
            <w:vAlign w:val="center"/>
            <w:hideMark/>
          </w:tcPr>
          <w:p w14:paraId="56F3C504"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BFI.D069</w:t>
            </w:r>
          </w:p>
        </w:tc>
        <w:tc>
          <w:tcPr>
            <w:tcW w:w="5103" w:type="dxa"/>
            <w:tcBorders>
              <w:top w:val="nil"/>
              <w:left w:val="nil"/>
              <w:bottom w:val="nil"/>
              <w:right w:val="single" w:sz="8" w:space="0" w:color="auto"/>
            </w:tcBorders>
            <w:shd w:val="clear" w:color="auto" w:fill="auto"/>
            <w:noWrap/>
            <w:vAlign w:val="center"/>
            <w:hideMark/>
          </w:tcPr>
          <w:p w14:paraId="60DA16E0" w14:textId="77777777" w:rsidR="00696B6D" w:rsidRPr="00EA4CDC" w:rsidRDefault="00696B6D" w:rsidP="00696B6D">
            <w:pPr>
              <w:spacing w:after="0" w:line="240" w:lineRule="auto"/>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 xml:space="preserve">      Caixa</w:t>
            </w:r>
          </w:p>
        </w:tc>
        <w:tc>
          <w:tcPr>
            <w:tcW w:w="993" w:type="dxa"/>
            <w:tcBorders>
              <w:top w:val="nil"/>
              <w:left w:val="nil"/>
              <w:bottom w:val="nil"/>
              <w:right w:val="single" w:sz="8" w:space="0" w:color="auto"/>
            </w:tcBorders>
            <w:shd w:val="clear" w:color="auto" w:fill="auto"/>
            <w:vAlign w:val="center"/>
            <w:hideMark/>
          </w:tcPr>
          <w:p w14:paraId="29AC707C"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BFI.G069</w:t>
            </w:r>
          </w:p>
        </w:tc>
        <w:tc>
          <w:tcPr>
            <w:tcW w:w="992" w:type="dxa"/>
            <w:tcBorders>
              <w:top w:val="nil"/>
              <w:left w:val="nil"/>
              <w:bottom w:val="nil"/>
              <w:right w:val="single" w:sz="8" w:space="0" w:color="auto"/>
            </w:tcBorders>
            <w:shd w:val="clear" w:color="auto" w:fill="auto"/>
            <w:vAlign w:val="center"/>
            <w:hideMark/>
          </w:tcPr>
          <w:p w14:paraId="5764081B"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BFI.H069</w:t>
            </w:r>
          </w:p>
        </w:tc>
      </w:tr>
      <w:tr w:rsidR="00696B6D" w:rsidRPr="00EA4CDC" w14:paraId="1B41709D"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64FDA557" w14:textId="77777777" w:rsidR="00696B6D" w:rsidRPr="00EA4CDC" w:rsidRDefault="00696B6D" w:rsidP="00696B6D">
            <w:pPr>
              <w:spacing w:after="0" w:line="240" w:lineRule="auto"/>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 xml:space="preserve">      Conta Única</w:t>
            </w:r>
          </w:p>
        </w:tc>
        <w:tc>
          <w:tcPr>
            <w:tcW w:w="993" w:type="dxa"/>
            <w:tcBorders>
              <w:top w:val="nil"/>
              <w:left w:val="nil"/>
              <w:bottom w:val="nil"/>
              <w:right w:val="single" w:sz="8" w:space="0" w:color="auto"/>
            </w:tcBorders>
            <w:shd w:val="clear" w:color="auto" w:fill="auto"/>
            <w:vAlign w:val="center"/>
            <w:hideMark/>
          </w:tcPr>
          <w:p w14:paraId="71BCF064"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BFI.C070</w:t>
            </w:r>
          </w:p>
        </w:tc>
        <w:tc>
          <w:tcPr>
            <w:tcW w:w="992" w:type="dxa"/>
            <w:tcBorders>
              <w:top w:val="nil"/>
              <w:left w:val="nil"/>
              <w:bottom w:val="nil"/>
              <w:right w:val="single" w:sz="8" w:space="0" w:color="auto"/>
            </w:tcBorders>
            <w:shd w:val="clear" w:color="auto" w:fill="auto"/>
            <w:vAlign w:val="center"/>
            <w:hideMark/>
          </w:tcPr>
          <w:p w14:paraId="785F1AD8"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BFI.D070</w:t>
            </w:r>
          </w:p>
        </w:tc>
        <w:tc>
          <w:tcPr>
            <w:tcW w:w="5103" w:type="dxa"/>
            <w:tcBorders>
              <w:top w:val="nil"/>
              <w:left w:val="nil"/>
              <w:bottom w:val="nil"/>
              <w:right w:val="single" w:sz="8" w:space="0" w:color="auto"/>
            </w:tcBorders>
            <w:shd w:val="clear" w:color="auto" w:fill="auto"/>
            <w:noWrap/>
            <w:vAlign w:val="center"/>
            <w:hideMark/>
          </w:tcPr>
          <w:p w14:paraId="7395CDAC" w14:textId="77777777" w:rsidR="00696B6D" w:rsidRPr="00EA4CDC" w:rsidRDefault="00696B6D" w:rsidP="00696B6D">
            <w:pPr>
              <w:spacing w:after="0" w:line="240" w:lineRule="auto"/>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 xml:space="preserve">      Conta Única</w:t>
            </w:r>
          </w:p>
        </w:tc>
        <w:tc>
          <w:tcPr>
            <w:tcW w:w="993" w:type="dxa"/>
            <w:tcBorders>
              <w:top w:val="nil"/>
              <w:left w:val="nil"/>
              <w:bottom w:val="nil"/>
              <w:right w:val="single" w:sz="8" w:space="0" w:color="auto"/>
            </w:tcBorders>
            <w:shd w:val="clear" w:color="auto" w:fill="auto"/>
            <w:vAlign w:val="center"/>
            <w:hideMark/>
          </w:tcPr>
          <w:p w14:paraId="55002D67"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BFI.G070</w:t>
            </w:r>
          </w:p>
        </w:tc>
        <w:tc>
          <w:tcPr>
            <w:tcW w:w="992" w:type="dxa"/>
            <w:tcBorders>
              <w:top w:val="nil"/>
              <w:left w:val="nil"/>
              <w:bottom w:val="nil"/>
              <w:right w:val="single" w:sz="8" w:space="0" w:color="auto"/>
            </w:tcBorders>
            <w:shd w:val="clear" w:color="auto" w:fill="auto"/>
            <w:vAlign w:val="center"/>
            <w:hideMark/>
          </w:tcPr>
          <w:p w14:paraId="02DAB43E"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BFI.H070</w:t>
            </w:r>
          </w:p>
        </w:tc>
      </w:tr>
      <w:tr w:rsidR="00696B6D" w:rsidRPr="00EA4CDC" w14:paraId="431E2BB0"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3889F275" w14:textId="77777777" w:rsidR="00696B6D" w:rsidRPr="00EA4CDC" w:rsidRDefault="00696B6D" w:rsidP="00696B6D">
            <w:pPr>
              <w:spacing w:after="0" w:line="240" w:lineRule="auto"/>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 xml:space="preserve">      Conta Única RPPS</w:t>
            </w:r>
          </w:p>
        </w:tc>
        <w:tc>
          <w:tcPr>
            <w:tcW w:w="993" w:type="dxa"/>
            <w:tcBorders>
              <w:top w:val="nil"/>
              <w:left w:val="nil"/>
              <w:bottom w:val="nil"/>
              <w:right w:val="single" w:sz="8" w:space="0" w:color="auto"/>
            </w:tcBorders>
            <w:shd w:val="clear" w:color="auto" w:fill="auto"/>
            <w:vAlign w:val="center"/>
            <w:hideMark/>
          </w:tcPr>
          <w:p w14:paraId="1F273E8F"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BFI.C071</w:t>
            </w:r>
          </w:p>
        </w:tc>
        <w:tc>
          <w:tcPr>
            <w:tcW w:w="992" w:type="dxa"/>
            <w:tcBorders>
              <w:top w:val="nil"/>
              <w:left w:val="nil"/>
              <w:bottom w:val="nil"/>
              <w:right w:val="single" w:sz="8" w:space="0" w:color="auto"/>
            </w:tcBorders>
            <w:shd w:val="clear" w:color="auto" w:fill="auto"/>
            <w:vAlign w:val="center"/>
            <w:hideMark/>
          </w:tcPr>
          <w:p w14:paraId="3F97B570"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BFI.D071</w:t>
            </w:r>
          </w:p>
        </w:tc>
        <w:tc>
          <w:tcPr>
            <w:tcW w:w="5103" w:type="dxa"/>
            <w:tcBorders>
              <w:top w:val="nil"/>
              <w:left w:val="nil"/>
              <w:bottom w:val="nil"/>
              <w:right w:val="single" w:sz="8" w:space="0" w:color="auto"/>
            </w:tcBorders>
            <w:shd w:val="clear" w:color="auto" w:fill="auto"/>
            <w:noWrap/>
            <w:vAlign w:val="center"/>
            <w:hideMark/>
          </w:tcPr>
          <w:p w14:paraId="3A185A16" w14:textId="77777777" w:rsidR="00696B6D" w:rsidRPr="00EA4CDC" w:rsidRDefault="00696B6D" w:rsidP="00696B6D">
            <w:pPr>
              <w:spacing w:after="0" w:line="240" w:lineRule="auto"/>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 xml:space="preserve">      Conta Única RPPS</w:t>
            </w:r>
          </w:p>
        </w:tc>
        <w:tc>
          <w:tcPr>
            <w:tcW w:w="993" w:type="dxa"/>
            <w:tcBorders>
              <w:top w:val="nil"/>
              <w:left w:val="nil"/>
              <w:bottom w:val="nil"/>
              <w:right w:val="single" w:sz="8" w:space="0" w:color="auto"/>
            </w:tcBorders>
            <w:shd w:val="clear" w:color="auto" w:fill="auto"/>
            <w:vAlign w:val="center"/>
            <w:hideMark/>
          </w:tcPr>
          <w:p w14:paraId="5344D402"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BFI.G071</w:t>
            </w:r>
          </w:p>
        </w:tc>
        <w:tc>
          <w:tcPr>
            <w:tcW w:w="992" w:type="dxa"/>
            <w:tcBorders>
              <w:top w:val="nil"/>
              <w:left w:val="nil"/>
              <w:bottom w:val="nil"/>
              <w:right w:val="single" w:sz="8" w:space="0" w:color="auto"/>
            </w:tcBorders>
            <w:shd w:val="clear" w:color="auto" w:fill="auto"/>
            <w:vAlign w:val="center"/>
            <w:hideMark/>
          </w:tcPr>
          <w:p w14:paraId="12863EA6"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BFI.H071</w:t>
            </w:r>
          </w:p>
        </w:tc>
      </w:tr>
      <w:tr w:rsidR="00696B6D" w:rsidRPr="00EA4CDC" w14:paraId="24FF7370"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777EE06B" w14:textId="77777777" w:rsidR="00696B6D" w:rsidRPr="00EA4CDC" w:rsidRDefault="00696B6D" w:rsidP="00696B6D">
            <w:pPr>
              <w:spacing w:after="0" w:line="240" w:lineRule="auto"/>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 xml:space="preserve">      Bancos Conta Movimento - Demais Contas</w:t>
            </w:r>
          </w:p>
        </w:tc>
        <w:tc>
          <w:tcPr>
            <w:tcW w:w="993" w:type="dxa"/>
            <w:tcBorders>
              <w:top w:val="nil"/>
              <w:left w:val="nil"/>
              <w:bottom w:val="nil"/>
              <w:right w:val="single" w:sz="8" w:space="0" w:color="auto"/>
            </w:tcBorders>
            <w:shd w:val="clear" w:color="auto" w:fill="auto"/>
            <w:vAlign w:val="center"/>
            <w:hideMark/>
          </w:tcPr>
          <w:p w14:paraId="59744EC6"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BFI.C072</w:t>
            </w:r>
          </w:p>
        </w:tc>
        <w:tc>
          <w:tcPr>
            <w:tcW w:w="992" w:type="dxa"/>
            <w:tcBorders>
              <w:top w:val="nil"/>
              <w:left w:val="nil"/>
              <w:bottom w:val="nil"/>
              <w:right w:val="single" w:sz="8" w:space="0" w:color="auto"/>
            </w:tcBorders>
            <w:shd w:val="clear" w:color="auto" w:fill="auto"/>
            <w:vAlign w:val="center"/>
            <w:hideMark/>
          </w:tcPr>
          <w:p w14:paraId="5DFEDCF7"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BFI.D072</w:t>
            </w:r>
          </w:p>
        </w:tc>
        <w:tc>
          <w:tcPr>
            <w:tcW w:w="5103" w:type="dxa"/>
            <w:tcBorders>
              <w:top w:val="nil"/>
              <w:left w:val="nil"/>
              <w:bottom w:val="nil"/>
              <w:right w:val="single" w:sz="8" w:space="0" w:color="auto"/>
            </w:tcBorders>
            <w:shd w:val="clear" w:color="auto" w:fill="auto"/>
            <w:noWrap/>
            <w:vAlign w:val="center"/>
            <w:hideMark/>
          </w:tcPr>
          <w:p w14:paraId="156FE42C" w14:textId="77777777" w:rsidR="00696B6D" w:rsidRPr="00EA4CDC" w:rsidRDefault="00696B6D" w:rsidP="00696B6D">
            <w:pPr>
              <w:spacing w:after="0" w:line="240" w:lineRule="auto"/>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 xml:space="preserve">      Bancos Conta Movimento - Demais Contas</w:t>
            </w:r>
          </w:p>
        </w:tc>
        <w:tc>
          <w:tcPr>
            <w:tcW w:w="993" w:type="dxa"/>
            <w:tcBorders>
              <w:top w:val="nil"/>
              <w:left w:val="nil"/>
              <w:bottom w:val="nil"/>
              <w:right w:val="single" w:sz="8" w:space="0" w:color="auto"/>
            </w:tcBorders>
            <w:shd w:val="clear" w:color="auto" w:fill="auto"/>
            <w:vAlign w:val="center"/>
            <w:hideMark/>
          </w:tcPr>
          <w:p w14:paraId="009129CE"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BFI.G072</w:t>
            </w:r>
          </w:p>
        </w:tc>
        <w:tc>
          <w:tcPr>
            <w:tcW w:w="992" w:type="dxa"/>
            <w:tcBorders>
              <w:top w:val="nil"/>
              <w:left w:val="nil"/>
              <w:bottom w:val="nil"/>
              <w:right w:val="single" w:sz="8" w:space="0" w:color="auto"/>
            </w:tcBorders>
            <w:shd w:val="clear" w:color="auto" w:fill="auto"/>
            <w:vAlign w:val="center"/>
            <w:hideMark/>
          </w:tcPr>
          <w:p w14:paraId="5BFD71B1"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BFI.H072</w:t>
            </w:r>
          </w:p>
        </w:tc>
      </w:tr>
      <w:tr w:rsidR="00696B6D" w:rsidRPr="00EA4CDC" w14:paraId="495F8145"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76FC5059" w14:textId="77777777" w:rsidR="00696B6D" w:rsidRPr="00EA4CDC" w:rsidRDefault="00696B6D" w:rsidP="00696B6D">
            <w:pPr>
              <w:spacing w:after="0" w:line="240" w:lineRule="auto"/>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 xml:space="preserve">      Rede Bancária - Arrecadação</w:t>
            </w:r>
          </w:p>
        </w:tc>
        <w:tc>
          <w:tcPr>
            <w:tcW w:w="993" w:type="dxa"/>
            <w:tcBorders>
              <w:top w:val="nil"/>
              <w:left w:val="nil"/>
              <w:bottom w:val="nil"/>
              <w:right w:val="single" w:sz="8" w:space="0" w:color="auto"/>
            </w:tcBorders>
            <w:shd w:val="clear" w:color="auto" w:fill="auto"/>
            <w:vAlign w:val="center"/>
            <w:hideMark/>
          </w:tcPr>
          <w:p w14:paraId="48A35D2B"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BFI.C073</w:t>
            </w:r>
          </w:p>
        </w:tc>
        <w:tc>
          <w:tcPr>
            <w:tcW w:w="992" w:type="dxa"/>
            <w:tcBorders>
              <w:top w:val="nil"/>
              <w:left w:val="nil"/>
              <w:bottom w:val="nil"/>
              <w:right w:val="single" w:sz="8" w:space="0" w:color="auto"/>
            </w:tcBorders>
            <w:shd w:val="clear" w:color="auto" w:fill="auto"/>
            <w:vAlign w:val="center"/>
            <w:hideMark/>
          </w:tcPr>
          <w:p w14:paraId="3E3A17C2"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BFI.D073</w:t>
            </w:r>
          </w:p>
        </w:tc>
        <w:tc>
          <w:tcPr>
            <w:tcW w:w="5103" w:type="dxa"/>
            <w:tcBorders>
              <w:top w:val="nil"/>
              <w:left w:val="nil"/>
              <w:bottom w:val="nil"/>
              <w:right w:val="single" w:sz="8" w:space="0" w:color="auto"/>
            </w:tcBorders>
            <w:shd w:val="clear" w:color="auto" w:fill="auto"/>
            <w:noWrap/>
            <w:vAlign w:val="center"/>
            <w:hideMark/>
          </w:tcPr>
          <w:p w14:paraId="55AE3ED9" w14:textId="77777777" w:rsidR="00696B6D" w:rsidRPr="00EA4CDC" w:rsidRDefault="00696B6D" w:rsidP="00696B6D">
            <w:pPr>
              <w:spacing w:after="0" w:line="240" w:lineRule="auto"/>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 xml:space="preserve">      Rede Bancária - Arrecadação</w:t>
            </w:r>
          </w:p>
        </w:tc>
        <w:tc>
          <w:tcPr>
            <w:tcW w:w="993" w:type="dxa"/>
            <w:tcBorders>
              <w:top w:val="nil"/>
              <w:left w:val="nil"/>
              <w:bottom w:val="nil"/>
              <w:right w:val="single" w:sz="8" w:space="0" w:color="auto"/>
            </w:tcBorders>
            <w:shd w:val="clear" w:color="auto" w:fill="auto"/>
            <w:vAlign w:val="center"/>
            <w:hideMark/>
          </w:tcPr>
          <w:p w14:paraId="18ADEEB7"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BFI.G073</w:t>
            </w:r>
          </w:p>
        </w:tc>
        <w:tc>
          <w:tcPr>
            <w:tcW w:w="992" w:type="dxa"/>
            <w:tcBorders>
              <w:top w:val="nil"/>
              <w:left w:val="nil"/>
              <w:bottom w:val="nil"/>
              <w:right w:val="single" w:sz="8" w:space="0" w:color="auto"/>
            </w:tcBorders>
            <w:shd w:val="clear" w:color="auto" w:fill="auto"/>
            <w:vAlign w:val="center"/>
            <w:hideMark/>
          </w:tcPr>
          <w:p w14:paraId="63AB9AD3"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BFI.H073</w:t>
            </w:r>
          </w:p>
        </w:tc>
      </w:tr>
      <w:tr w:rsidR="00696B6D" w:rsidRPr="00EA4CDC" w14:paraId="66DEFBBB"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6FEF0E21" w14:textId="77777777" w:rsidR="00696B6D" w:rsidRPr="00EA4CDC" w:rsidRDefault="00696B6D" w:rsidP="00696B6D">
            <w:pPr>
              <w:spacing w:after="0" w:line="240" w:lineRule="auto"/>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 xml:space="preserve">      Aplicações Financeiras de Liquidez Imediata</w:t>
            </w:r>
          </w:p>
        </w:tc>
        <w:tc>
          <w:tcPr>
            <w:tcW w:w="993" w:type="dxa"/>
            <w:tcBorders>
              <w:top w:val="nil"/>
              <w:left w:val="nil"/>
              <w:bottom w:val="nil"/>
              <w:right w:val="single" w:sz="8" w:space="0" w:color="auto"/>
            </w:tcBorders>
            <w:shd w:val="clear" w:color="auto" w:fill="auto"/>
            <w:vAlign w:val="center"/>
            <w:hideMark/>
          </w:tcPr>
          <w:p w14:paraId="40FDEE91"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BFI.C074</w:t>
            </w:r>
          </w:p>
        </w:tc>
        <w:tc>
          <w:tcPr>
            <w:tcW w:w="992" w:type="dxa"/>
            <w:tcBorders>
              <w:top w:val="nil"/>
              <w:left w:val="nil"/>
              <w:bottom w:val="nil"/>
              <w:right w:val="single" w:sz="8" w:space="0" w:color="auto"/>
            </w:tcBorders>
            <w:shd w:val="clear" w:color="auto" w:fill="auto"/>
            <w:vAlign w:val="center"/>
            <w:hideMark/>
          </w:tcPr>
          <w:p w14:paraId="68B5FDC6"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BFI.D074</w:t>
            </w:r>
          </w:p>
        </w:tc>
        <w:tc>
          <w:tcPr>
            <w:tcW w:w="5103" w:type="dxa"/>
            <w:tcBorders>
              <w:top w:val="nil"/>
              <w:left w:val="nil"/>
              <w:bottom w:val="nil"/>
              <w:right w:val="single" w:sz="8" w:space="0" w:color="auto"/>
            </w:tcBorders>
            <w:shd w:val="clear" w:color="auto" w:fill="auto"/>
            <w:noWrap/>
            <w:vAlign w:val="center"/>
            <w:hideMark/>
          </w:tcPr>
          <w:p w14:paraId="28D5919D" w14:textId="77777777" w:rsidR="00696B6D" w:rsidRPr="00EA4CDC" w:rsidRDefault="00696B6D" w:rsidP="00696B6D">
            <w:pPr>
              <w:spacing w:after="0" w:line="240" w:lineRule="auto"/>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 xml:space="preserve">      Aplicações Financeiras de Liquidez Imediata</w:t>
            </w:r>
          </w:p>
        </w:tc>
        <w:tc>
          <w:tcPr>
            <w:tcW w:w="993" w:type="dxa"/>
            <w:tcBorders>
              <w:top w:val="nil"/>
              <w:left w:val="nil"/>
              <w:bottom w:val="nil"/>
              <w:right w:val="single" w:sz="8" w:space="0" w:color="auto"/>
            </w:tcBorders>
            <w:shd w:val="clear" w:color="auto" w:fill="auto"/>
            <w:vAlign w:val="center"/>
            <w:hideMark/>
          </w:tcPr>
          <w:p w14:paraId="243FF11B"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BFI.G074</w:t>
            </w:r>
          </w:p>
        </w:tc>
        <w:tc>
          <w:tcPr>
            <w:tcW w:w="992" w:type="dxa"/>
            <w:tcBorders>
              <w:top w:val="nil"/>
              <w:left w:val="nil"/>
              <w:bottom w:val="nil"/>
              <w:right w:val="single" w:sz="8" w:space="0" w:color="auto"/>
            </w:tcBorders>
            <w:shd w:val="clear" w:color="auto" w:fill="auto"/>
            <w:vAlign w:val="center"/>
            <w:hideMark/>
          </w:tcPr>
          <w:p w14:paraId="44114DB5" w14:textId="77777777" w:rsidR="00696B6D" w:rsidRPr="00EA4CDC" w:rsidRDefault="00696B6D" w:rsidP="00696B6D">
            <w:pPr>
              <w:spacing w:after="0" w:line="240" w:lineRule="auto"/>
              <w:jc w:val="center"/>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BFI.H074</w:t>
            </w:r>
          </w:p>
        </w:tc>
      </w:tr>
      <w:tr w:rsidR="00696B6D" w:rsidRPr="00EA4CDC" w14:paraId="008F647F"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136C331E" w14:textId="77777777" w:rsidR="00696B6D" w:rsidRPr="00EA4CDC" w:rsidRDefault="00696B6D" w:rsidP="00696B6D">
            <w:pPr>
              <w:spacing w:after="0" w:line="240" w:lineRule="auto"/>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 xml:space="preserve">   Caixa e Equivalentes de Caixa - Intra OFSS</w:t>
            </w:r>
          </w:p>
        </w:tc>
        <w:tc>
          <w:tcPr>
            <w:tcW w:w="993" w:type="dxa"/>
            <w:tcBorders>
              <w:top w:val="nil"/>
              <w:left w:val="nil"/>
              <w:bottom w:val="nil"/>
              <w:right w:val="single" w:sz="8" w:space="0" w:color="auto"/>
            </w:tcBorders>
            <w:shd w:val="clear" w:color="auto" w:fill="auto"/>
            <w:vAlign w:val="center"/>
            <w:hideMark/>
          </w:tcPr>
          <w:p w14:paraId="38F1B4E1" w14:textId="77777777" w:rsidR="00696B6D" w:rsidRPr="00EA4CDC" w:rsidRDefault="00696B6D" w:rsidP="00696B6D">
            <w:pPr>
              <w:spacing w:after="0" w:line="240" w:lineRule="auto"/>
              <w:jc w:val="center"/>
              <w:rPr>
                <w:rFonts w:ascii="Arial Narrow" w:eastAsia="Times New Roman" w:hAnsi="Arial Narrow" w:cs="Arial"/>
                <w:b/>
                <w:bCs/>
                <w:sz w:val="16"/>
                <w:szCs w:val="16"/>
                <w:lang w:eastAsia="pt-BR"/>
              </w:rPr>
            </w:pPr>
            <w:r w:rsidRPr="00EA4CDC">
              <w:rPr>
                <w:rFonts w:ascii="Arial Narrow" w:eastAsia="Times New Roman" w:hAnsi="Arial Narrow" w:cs="Arial"/>
                <w:b/>
                <w:bCs/>
                <w:sz w:val="16"/>
                <w:szCs w:val="16"/>
                <w:lang w:eastAsia="pt-BR"/>
              </w:rPr>
              <w:t>BFI.C077</w:t>
            </w:r>
          </w:p>
        </w:tc>
        <w:tc>
          <w:tcPr>
            <w:tcW w:w="992" w:type="dxa"/>
            <w:tcBorders>
              <w:top w:val="nil"/>
              <w:left w:val="nil"/>
              <w:bottom w:val="nil"/>
              <w:right w:val="single" w:sz="8" w:space="0" w:color="auto"/>
            </w:tcBorders>
            <w:shd w:val="clear" w:color="auto" w:fill="auto"/>
            <w:vAlign w:val="center"/>
            <w:hideMark/>
          </w:tcPr>
          <w:p w14:paraId="2BB4F14F" w14:textId="77777777" w:rsidR="00696B6D" w:rsidRPr="00EA4CDC" w:rsidRDefault="00696B6D" w:rsidP="00696B6D">
            <w:pPr>
              <w:spacing w:after="0" w:line="240" w:lineRule="auto"/>
              <w:jc w:val="center"/>
              <w:rPr>
                <w:rFonts w:ascii="Arial Narrow" w:eastAsia="Times New Roman" w:hAnsi="Arial Narrow" w:cs="Arial"/>
                <w:b/>
                <w:bCs/>
                <w:sz w:val="16"/>
                <w:szCs w:val="16"/>
                <w:lang w:eastAsia="pt-BR"/>
              </w:rPr>
            </w:pPr>
            <w:r w:rsidRPr="00EA4CDC">
              <w:rPr>
                <w:rFonts w:ascii="Arial Narrow" w:eastAsia="Times New Roman" w:hAnsi="Arial Narrow" w:cs="Arial"/>
                <w:b/>
                <w:bCs/>
                <w:sz w:val="16"/>
                <w:szCs w:val="16"/>
                <w:lang w:eastAsia="pt-BR"/>
              </w:rPr>
              <w:t>BFI.D077</w:t>
            </w:r>
          </w:p>
        </w:tc>
        <w:tc>
          <w:tcPr>
            <w:tcW w:w="5103" w:type="dxa"/>
            <w:tcBorders>
              <w:top w:val="nil"/>
              <w:left w:val="nil"/>
              <w:bottom w:val="nil"/>
              <w:right w:val="single" w:sz="8" w:space="0" w:color="auto"/>
            </w:tcBorders>
            <w:shd w:val="clear" w:color="auto" w:fill="auto"/>
            <w:noWrap/>
            <w:vAlign w:val="center"/>
            <w:hideMark/>
          </w:tcPr>
          <w:p w14:paraId="579A27CF" w14:textId="77777777" w:rsidR="00696B6D" w:rsidRPr="00EA4CDC" w:rsidRDefault="00696B6D" w:rsidP="00696B6D">
            <w:pPr>
              <w:spacing w:after="0" w:line="240" w:lineRule="auto"/>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 xml:space="preserve">   Caixa e Equivalentes de Caixa - Intra OFSS</w:t>
            </w:r>
          </w:p>
        </w:tc>
        <w:tc>
          <w:tcPr>
            <w:tcW w:w="993" w:type="dxa"/>
            <w:tcBorders>
              <w:top w:val="nil"/>
              <w:left w:val="nil"/>
              <w:bottom w:val="nil"/>
              <w:right w:val="single" w:sz="8" w:space="0" w:color="auto"/>
            </w:tcBorders>
            <w:shd w:val="clear" w:color="auto" w:fill="auto"/>
            <w:vAlign w:val="center"/>
            <w:hideMark/>
          </w:tcPr>
          <w:p w14:paraId="4FF60E4F" w14:textId="77777777" w:rsidR="00696B6D" w:rsidRPr="00EA4CDC" w:rsidRDefault="00696B6D" w:rsidP="00696B6D">
            <w:pPr>
              <w:spacing w:after="0" w:line="240" w:lineRule="auto"/>
              <w:jc w:val="center"/>
              <w:rPr>
                <w:rFonts w:ascii="Arial Narrow" w:eastAsia="Times New Roman" w:hAnsi="Arial Narrow" w:cs="Arial"/>
                <w:b/>
                <w:bCs/>
                <w:sz w:val="16"/>
                <w:szCs w:val="16"/>
                <w:lang w:eastAsia="pt-BR"/>
              </w:rPr>
            </w:pPr>
            <w:r w:rsidRPr="00EA4CDC">
              <w:rPr>
                <w:rFonts w:ascii="Arial Narrow" w:eastAsia="Times New Roman" w:hAnsi="Arial Narrow" w:cs="Arial"/>
                <w:b/>
                <w:bCs/>
                <w:sz w:val="16"/>
                <w:szCs w:val="16"/>
                <w:lang w:eastAsia="pt-BR"/>
              </w:rPr>
              <w:t>BFI.G077</w:t>
            </w:r>
          </w:p>
        </w:tc>
        <w:tc>
          <w:tcPr>
            <w:tcW w:w="992" w:type="dxa"/>
            <w:tcBorders>
              <w:top w:val="nil"/>
              <w:left w:val="nil"/>
              <w:bottom w:val="nil"/>
              <w:right w:val="single" w:sz="8" w:space="0" w:color="auto"/>
            </w:tcBorders>
            <w:shd w:val="clear" w:color="auto" w:fill="auto"/>
            <w:vAlign w:val="center"/>
            <w:hideMark/>
          </w:tcPr>
          <w:p w14:paraId="2D8FCBEF" w14:textId="77777777" w:rsidR="00696B6D" w:rsidRPr="00EA4CDC" w:rsidRDefault="00696B6D" w:rsidP="00696B6D">
            <w:pPr>
              <w:spacing w:after="0" w:line="240" w:lineRule="auto"/>
              <w:jc w:val="center"/>
              <w:rPr>
                <w:rFonts w:ascii="Arial Narrow" w:eastAsia="Times New Roman" w:hAnsi="Arial Narrow" w:cs="Arial"/>
                <w:b/>
                <w:bCs/>
                <w:sz w:val="16"/>
                <w:szCs w:val="16"/>
                <w:lang w:eastAsia="pt-BR"/>
              </w:rPr>
            </w:pPr>
            <w:r w:rsidRPr="00EA4CDC">
              <w:rPr>
                <w:rFonts w:ascii="Arial Narrow" w:eastAsia="Times New Roman" w:hAnsi="Arial Narrow" w:cs="Arial"/>
                <w:b/>
                <w:bCs/>
                <w:sz w:val="16"/>
                <w:szCs w:val="16"/>
                <w:lang w:eastAsia="pt-BR"/>
              </w:rPr>
              <w:t>BFI.H077</w:t>
            </w:r>
          </w:p>
        </w:tc>
      </w:tr>
      <w:tr w:rsidR="00696B6D" w:rsidRPr="00EA4CDC" w14:paraId="748B259A" w14:textId="77777777" w:rsidTr="00B873F0">
        <w:trPr>
          <w:trHeight w:val="255"/>
        </w:trPr>
        <w:tc>
          <w:tcPr>
            <w:tcW w:w="5104" w:type="dxa"/>
            <w:tcBorders>
              <w:top w:val="nil"/>
              <w:left w:val="single" w:sz="8" w:space="0" w:color="auto"/>
              <w:bottom w:val="nil"/>
              <w:right w:val="single" w:sz="8" w:space="0" w:color="auto"/>
            </w:tcBorders>
            <w:shd w:val="clear" w:color="auto" w:fill="auto"/>
            <w:noWrap/>
            <w:vAlign w:val="center"/>
            <w:hideMark/>
          </w:tcPr>
          <w:p w14:paraId="180F195B" w14:textId="77777777" w:rsidR="00696B6D" w:rsidRPr="00EA4CDC" w:rsidRDefault="00696B6D" w:rsidP="00696B6D">
            <w:pPr>
              <w:spacing w:after="0" w:line="240" w:lineRule="auto"/>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 xml:space="preserve">   Depósitos Restituíveis e Valores Vinculados</w:t>
            </w:r>
          </w:p>
        </w:tc>
        <w:tc>
          <w:tcPr>
            <w:tcW w:w="993" w:type="dxa"/>
            <w:tcBorders>
              <w:top w:val="nil"/>
              <w:left w:val="nil"/>
              <w:bottom w:val="nil"/>
              <w:right w:val="single" w:sz="8" w:space="0" w:color="auto"/>
            </w:tcBorders>
            <w:shd w:val="clear" w:color="auto" w:fill="auto"/>
            <w:vAlign w:val="center"/>
            <w:hideMark/>
          </w:tcPr>
          <w:p w14:paraId="164C7AE6" w14:textId="77777777" w:rsidR="00696B6D" w:rsidRPr="00EA4CDC" w:rsidRDefault="00696B6D" w:rsidP="00696B6D">
            <w:pPr>
              <w:spacing w:after="0" w:line="240" w:lineRule="auto"/>
              <w:jc w:val="center"/>
              <w:rPr>
                <w:rFonts w:ascii="Arial Narrow" w:eastAsia="Times New Roman" w:hAnsi="Arial Narrow" w:cs="Arial"/>
                <w:b/>
                <w:bCs/>
                <w:sz w:val="16"/>
                <w:szCs w:val="16"/>
                <w:lang w:eastAsia="pt-BR"/>
              </w:rPr>
            </w:pPr>
            <w:r w:rsidRPr="00EA4CDC">
              <w:rPr>
                <w:rFonts w:ascii="Arial Narrow" w:eastAsia="Times New Roman" w:hAnsi="Arial Narrow" w:cs="Arial"/>
                <w:b/>
                <w:bCs/>
                <w:sz w:val="16"/>
                <w:szCs w:val="16"/>
                <w:lang w:eastAsia="pt-BR"/>
              </w:rPr>
              <w:t>BFI.C075</w:t>
            </w:r>
          </w:p>
        </w:tc>
        <w:tc>
          <w:tcPr>
            <w:tcW w:w="992" w:type="dxa"/>
            <w:tcBorders>
              <w:top w:val="nil"/>
              <w:left w:val="nil"/>
              <w:bottom w:val="nil"/>
              <w:right w:val="single" w:sz="8" w:space="0" w:color="auto"/>
            </w:tcBorders>
            <w:shd w:val="clear" w:color="auto" w:fill="auto"/>
            <w:vAlign w:val="center"/>
            <w:hideMark/>
          </w:tcPr>
          <w:p w14:paraId="0F13896F" w14:textId="77777777" w:rsidR="00696B6D" w:rsidRPr="00EA4CDC" w:rsidRDefault="00696B6D" w:rsidP="00696B6D">
            <w:pPr>
              <w:spacing w:after="0" w:line="240" w:lineRule="auto"/>
              <w:jc w:val="center"/>
              <w:rPr>
                <w:rFonts w:ascii="Arial Narrow" w:eastAsia="Times New Roman" w:hAnsi="Arial Narrow" w:cs="Arial"/>
                <w:b/>
                <w:bCs/>
                <w:sz w:val="16"/>
                <w:szCs w:val="16"/>
                <w:lang w:eastAsia="pt-BR"/>
              </w:rPr>
            </w:pPr>
            <w:r w:rsidRPr="00EA4CDC">
              <w:rPr>
                <w:rFonts w:ascii="Arial Narrow" w:eastAsia="Times New Roman" w:hAnsi="Arial Narrow" w:cs="Arial"/>
                <w:b/>
                <w:bCs/>
                <w:sz w:val="16"/>
                <w:szCs w:val="16"/>
                <w:lang w:eastAsia="pt-BR"/>
              </w:rPr>
              <w:t>BFI.D075</w:t>
            </w:r>
          </w:p>
        </w:tc>
        <w:tc>
          <w:tcPr>
            <w:tcW w:w="5103" w:type="dxa"/>
            <w:tcBorders>
              <w:top w:val="nil"/>
              <w:left w:val="nil"/>
              <w:bottom w:val="nil"/>
              <w:right w:val="single" w:sz="8" w:space="0" w:color="auto"/>
            </w:tcBorders>
            <w:shd w:val="clear" w:color="auto" w:fill="auto"/>
            <w:noWrap/>
            <w:vAlign w:val="center"/>
            <w:hideMark/>
          </w:tcPr>
          <w:p w14:paraId="7B8C282C" w14:textId="77777777" w:rsidR="00696B6D" w:rsidRPr="00EA4CDC" w:rsidRDefault="00696B6D" w:rsidP="00696B6D">
            <w:pPr>
              <w:spacing w:after="0" w:line="240" w:lineRule="auto"/>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 xml:space="preserve">   Depósitos Restituíveis e Valores Vinculados</w:t>
            </w:r>
          </w:p>
        </w:tc>
        <w:tc>
          <w:tcPr>
            <w:tcW w:w="993" w:type="dxa"/>
            <w:tcBorders>
              <w:top w:val="nil"/>
              <w:left w:val="nil"/>
              <w:bottom w:val="nil"/>
              <w:right w:val="single" w:sz="8" w:space="0" w:color="auto"/>
            </w:tcBorders>
            <w:shd w:val="clear" w:color="auto" w:fill="auto"/>
            <w:vAlign w:val="center"/>
            <w:hideMark/>
          </w:tcPr>
          <w:p w14:paraId="4AEE150F" w14:textId="77777777" w:rsidR="00696B6D" w:rsidRPr="00EA4CDC" w:rsidRDefault="00696B6D" w:rsidP="00696B6D">
            <w:pPr>
              <w:spacing w:after="0" w:line="240" w:lineRule="auto"/>
              <w:jc w:val="center"/>
              <w:rPr>
                <w:rFonts w:ascii="Arial Narrow" w:eastAsia="Times New Roman" w:hAnsi="Arial Narrow" w:cs="Arial"/>
                <w:b/>
                <w:bCs/>
                <w:sz w:val="16"/>
                <w:szCs w:val="16"/>
                <w:lang w:eastAsia="pt-BR"/>
              </w:rPr>
            </w:pPr>
            <w:r w:rsidRPr="00EA4CDC">
              <w:rPr>
                <w:rFonts w:ascii="Arial Narrow" w:eastAsia="Times New Roman" w:hAnsi="Arial Narrow" w:cs="Arial"/>
                <w:b/>
                <w:bCs/>
                <w:sz w:val="16"/>
                <w:szCs w:val="16"/>
                <w:lang w:eastAsia="pt-BR"/>
              </w:rPr>
              <w:t>BFI.G075</w:t>
            </w:r>
          </w:p>
        </w:tc>
        <w:tc>
          <w:tcPr>
            <w:tcW w:w="992" w:type="dxa"/>
            <w:tcBorders>
              <w:top w:val="nil"/>
              <w:left w:val="nil"/>
              <w:bottom w:val="nil"/>
              <w:right w:val="single" w:sz="8" w:space="0" w:color="auto"/>
            </w:tcBorders>
            <w:shd w:val="clear" w:color="auto" w:fill="auto"/>
            <w:vAlign w:val="center"/>
            <w:hideMark/>
          </w:tcPr>
          <w:p w14:paraId="2AAAC66E" w14:textId="77777777" w:rsidR="00696B6D" w:rsidRPr="00EA4CDC" w:rsidRDefault="00696B6D" w:rsidP="00696B6D">
            <w:pPr>
              <w:spacing w:after="0" w:line="240" w:lineRule="auto"/>
              <w:jc w:val="center"/>
              <w:rPr>
                <w:rFonts w:ascii="Arial Narrow" w:eastAsia="Times New Roman" w:hAnsi="Arial Narrow" w:cs="Arial"/>
                <w:b/>
                <w:bCs/>
                <w:sz w:val="16"/>
                <w:szCs w:val="16"/>
                <w:lang w:eastAsia="pt-BR"/>
              </w:rPr>
            </w:pPr>
            <w:r w:rsidRPr="00EA4CDC">
              <w:rPr>
                <w:rFonts w:ascii="Arial Narrow" w:eastAsia="Times New Roman" w:hAnsi="Arial Narrow" w:cs="Arial"/>
                <w:b/>
                <w:bCs/>
                <w:sz w:val="16"/>
                <w:szCs w:val="16"/>
                <w:lang w:eastAsia="pt-BR"/>
              </w:rPr>
              <w:t>BFI.H075</w:t>
            </w:r>
          </w:p>
        </w:tc>
      </w:tr>
      <w:tr w:rsidR="00696B6D" w:rsidRPr="00EA4CDC" w14:paraId="3D820B1E" w14:textId="77777777" w:rsidTr="00B873F0">
        <w:trPr>
          <w:trHeight w:val="270"/>
        </w:trPr>
        <w:tc>
          <w:tcPr>
            <w:tcW w:w="5104" w:type="dxa"/>
            <w:tcBorders>
              <w:top w:val="nil"/>
              <w:left w:val="single" w:sz="8" w:space="0" w:color="auto"/>
              <w:bottom w:val="nil"/>
              <w:right w:val="nil"/>
            </w:tcBorders>
            <w:shd w:val="clear" w:color="auto" w:fill="auto"/>
            <w:noWrap/>
            <w:vAlign w:val="center"/>
            <w:hideMark/>
          </w:tcPr>
          <w:p w14:paraId="192E7544" w14:textId="77777777" w:rsidR="00696B6D" w:rsidRPr="00EA4CDC" w:rsidRDefault="00696B6D" w:rsidP="00696B6D">
            <w:pPr>
              <w:spacing w:after="0" w:line="240" w:lineRule="auto"/>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 xml:space="preserve">   Investimentos e Aplicações de Curto Prazo e Longo Prazos – RPPS</w:t>
            </w:r>
          </w:p>
        </w:tc>
        <w:tc>
          <w:tcPr>
            <w:tcW w:w="993" w:type="dxa"/>
            <w:tcBorders>
              <w:top w:val="nil"/>
              <w:left w:val="nil"/>
              <w:bottom w:val="nil"/>
              <w:right w:val="single" w:sz="8" w:space="0" w:color="auto"/>
            </w:tcBorders>
            <w:shd w:val="clear" w:color="auto" w:fill="auto"/>
            <w:vAlign w:val="center"/>
            <w:hideMark/>
          </w:tcPr>
          <w:p w14:paraId="26556FF8" w14:textId="77777777" w:rsidR="00696B6D" w:rsidRPr="00EA4CDC" w:rsidRDefault="00696B6D" w:rsidP="00696B6D">
            <w:pPr>
              <w:spacing w:after="0" w:line="240" w:lineRule="auto"/>
              <w:jc w:val="center"/>
              <w:rPr>
                <w:rFonts w:ascii="Arial Narrow" w:eastAsia="Times New Roman" w:hAnsi="Arial Narrow" w:cs="Arial"/>
                <w:b/>
                <w:bCs/>
                <w:sz w:val="16"/>
                <w:szCs w:val="16"/>
                <w:lang w:eastAsia="pt-BR"/>
              </w:rPr>
            </w:pPr>
            <w:r w:rsidRPr="00EA4CDC">
              <w:rPr>
                <w:rFonts w:ascii="Arial Narrow" w:eastAsia="Times New Roman" w:hAnsi="Arial Narrow" w:cs="Arial"/>
                <w:b/>
                <w:bCs/>
                <w:sz w:val="16"/>
                <w:szCs w:val="16"/>
                <w:lang w:eastAsia="pt-BR"/>
              </w:rPr>
              <w:t>BFI.C095</w:t>
            </w:r>
          </w:p>
        </w:tc>
        <w:tc>
          <w:tcPr>
            <w:tcW w:w="992" w:type="dxa"/>
            <w:tcBorders>
              <w:top w:val="nil"/>
              <w:left w:val="nil"/>
              <w:bottom w:val="nil"/>
              <w:right w:val="single" w:sz="8" w:space="0" w:color="auto"/>
            </w:tcBorders>
            <w:shd w:val="clear" w:color="auto" w:fill="auto"/>
            <w:vAlign w:val="center"/>
            <w:hideMark/>
          </w:tcPr>
          <w:p w14:paraId="36B554C3" w14:textId="77777777" w:rsidR="00696B6D" w:rsidRPr="00EA4CDC" w:rsidRDefault="00696B6D" w:rsidP="00696B6D">
            <w:pPr>
              <w:spacing w:after="0" w:line="240" w:lineRule="auto"/>
              <w:jc w:val="center"/>
              <w:rPr>
                <w:rFonts w:ascii="Arial Narrow" w:eastAsia="Times New Roman" w:hAnsi="Arial Narrow" w:cs="Arial"/>
                <w:b/>
                <w:bCs/>
                <w:sz w:val="16"/>
                <w:szCs w:val="16"/>
                <w:lang w:eastAsia="pt-BR"/>
              </w:rPr>
            </w:pPr>
            <w:r w:rsidRPr="00EA4CDC">
              <w:rPr>
                <w:rFonts w:ascii="Arial Narrow" w:eastAsia="Times New Roman" w:hAnsi="Arial Narrow" w:cs="Arial"/>
                <w:b/>
                <w:bCs/>
                <w:sz w:val="16"/>
                <w:szCs w:val="16"/>
                <w:lang w:eastAsia="pt-BR"/>
              </w:rPr>
              <w:t>BFI.D095</w:t>
            </w:r>
          </w:p>
        </w:tc>
        <w:tc>
          <w:tcPr>
            <w:tcW w:w="5103" w:type="dxa"/>
            <w:tcBorders>
              <w:top w:val="nil"/>
              <w:left w:val="nil"/>
              <w:bottom w:val="nil"/>
              <w:right w:val="nil"/>
            </w:tcBorders>
            <w:shd w:val="clear" w:color="auto" w:fill="auto"/>
            <w:noWrap/>
            <w:vAlign w:val="center"/>
            <w:hideMark/>
          </w:tcPr>
          <w:p w14:paraId="6581843F" w14:textId="77777777" w:rsidR="00696B6D" w:rsidRPr="00EA4CDC" w:rsidRDefault="00696B6D" w:rsidP="00696B6D">
            <w:pPr>
              <w:spacing w:after="0" w:line="240" w:lineRule="auto"/>
              <w:rPr>
                <w:rFonts w:ascii="Arial Narrow" w:eastAsia="Times New Roman" w:hAnsi="Arial Narrow" w:cs="Arial"/>
                <w:sz w:val="16"/>
                <w:szCs w:val="16"/>
                <w:lang w:eastAsia="pt-BR"/>
              </w:rPr>
            </w:pPr>
            <w:r w:rsidRPr="00EA4CDC">
              <w:rPr>
                <w:rFonts w:ascii="Arial Narrow" w:eastAsia="Times New Roman" w:hAnsi="Arial Narrow" w:cs="Arial"/>
                <w:sz w:val="16"/>
                <w:szCs w:val="16"/>
                <w:lang w:eastAsia="pt-BR"/>
              </w:rPr>
              <w:t xml:space="preserve">   Investimentos e Aplicações de Curto Prazo e Longo Prazos - RPPS</w:t>
            </w:r>
          </w:p>
        </w:tc>
        <w:tc>
          <w:tcPr>
            <w:tcW w:w="993" w:type="dxa"/>
            <w:tcBorders>
              <w:top w:val="nil"/>
              <w:left w:val="nil"/>
              <w:bottom w:val="nil"/>
              <w:right w:val="single" w:sz="8" w:space="0" w:color="auto"/>
            </w:tcBorders>
            <w:shd w:val="clear" w:color="auto" w:fill="auto"/>
            <w:vAlign w:val="center"/>
            <w:hideMark/>
          </w:tcPr>
          <w:p w14:paraId="34BB42B3" w14:textId="77777777" w:rsidR="00696B6D" w:rsidRPr="00EA4CDC" w:rsidRDefault="00696B6D" w:rsidP="00696B6D">
            <w:pPr>
              <w:spacing w:after="0" w:line="240" w:lineRule="auto"/>
              <w:jc w:val="center"/>
              <w:rPr>
                <w:rFonts w:ascii="Arial Narrow" w:eastAsia="Times New Roman" w:hAnsi="Arial Narrow" w:cs="Arial"/>
                <w:b/>
                <w:bCs/>
                <w:sz w:val="16"/>
                <w:szCs w:val="16"/>
                <w:lang w:eastAsia="pt-BR"/>
              </w:rPr>
            </w:pPr>
            <w:r w:rsidRPr="00EA4CDC">
              <w:rPr>
                <w:rFonts w:ascii="Arial Narrow" w:eastAsia="Times New Roman" w:hAnsi="Arial Narrow" w:cs="Arial"/>
                <w:b/>
                <w:bCs/>
                <w:sz w:val="16"/>
                <w:szCs w:val="16"/>
                <w:lang w:eastAsia="pt-BR"/>
              </w:rPr>
              <w:t>BFI.G095</w:t>
            </w:r>
          </w:p>
        </w:tc>
        <w:tc>
          <w:tcPr>
            <w:tcW w:w="992" w:type="dxa"/>
            <w:tcBorders>
              <w:top w:val="nil"/>
              <w:left w:val="nil"/>
              <w:bottom w:val="nil"/>
              <w:right w:val="single" w:sz="8" w:space="0" w:color="auto"/>
            </w:tcBorders>
            <w:shd w:val="clear" w:color="auto" w:fill="auto"/>
            <w:vAlign w:val="center"/>
            <w:hideMark/>
          </w:tcPr>
          <w:p w14:paraId="0EFA9064" w14:textId="77777777" w:rsidR="00696B6D" w:rsidRPr="00EA4CDC" w:rsidRDefault="00696B6D" w:rsidP="00696B6D">
            <w:pPr>
              <w:spacing w:after="0" w:line="240" w:lineRule="auto"/>
              <w:jc w:val="center"/>
              <w:rPr>
                <w:rFonts w:ascii="Arial Narrow" w:eastAsia="Times New Roman" w:hAnsi="Arial Narrow" w:cs="Arial"/>
                <w:b/>
                <w:bCs/>
                <w:sz w:val="16"/>
                <w:szCs w:val="16"/>
                <w:lang w:eastAsia="pt-BR"/>
              </w:rPr>
            </w:pPr>
            <w:r w:rsidRPr="00EA4CDC">
              <w:rPr>
                <w:rFonts w:ascii="Arial Narrow" w:eastAsia="Times New Roman" w:hAnsi="Arial Narrow" w:cs="Arial"/>
                <w:b/>
                <w:bCs/>
                <w:sz w:val="16"/>
                <w:szCs w:val="16"/>
                <w:lang w:eastAsia="pt-BR"/>
              </w:rPr>
              <w:t>BFI.H095</w:t>
            </w:r>
          </w:p>
        </w:tc>
      </w:tr>
      <w:tr w:rsidR="00696B6D" w:rsidRPr="00EA4CDC" w14:paraId="2EC9BAB2" w14:textId="77777777" w:rsidTr="00B873F0">
        <w:trPr>
          <w:trHeight w:val="270"/>
        </w:trPr>
        <w:tc>
          <w:tcPr>
            <w:tcW w:w="5104" w:type="dxa"/>
            <w:tcBorders>
              <w:top w:val="single" w:sz="8" w:space="0" w:color="auto"/>
              <w:left w:val="single" w:sz="8" w:space="0" w:color="auto"/>
              <w:bottom w:val="single" w:sz="8" w:space="0" w:color="auto"/>
              <w:right w:val="nil"/>
            </w:tcBorders>
            <w:shd w:val="clear" w:color="auto" w:fill="auto"/>
            <w:noWrap/>
            <w:vAlign w:val="center"/>
            <w:hideMark/>
          </w:tcPr>
          <w:p w14:paraId="40F15FFB" w14:textId="77777777" w:rsidR="00696B6D" w:rsidRPr="00EA4CDC" w:rsidRDefault="00696B6D" w:rsidP="00696B6D">
            <w:pPr>
              <w:spacing w:after="0" w:line="240" w:lineRule="auto"/>
              <w:rPr>
                <w:rFonts w:ascii="Arial Narrow" w:eastAsia="Times New Roman" w:hAnsi="Arial Narrow" w:cs="Arial"/>
                <w:b/>
                <w:bCs/>
                <w:sz w:val="16"/>
                <w:szCs w:val="16"/>
                <w:lang w:eastAsia="pt-BR"/>
              </w:rPr>
            </w:pPr>
            <w:r w:rsidRPr="00EA4CDC">
              <w:rPr>
                <w:rFonts w:ascii="Arial Narrow" w:eastAsia="Times New Roman" w:hAnsi="Arial Narrow" w:cs="Arial"/>
                <w:b/>
                <w:bCs/>
                <w:sz w:val="16"/>
                <w:szCs w:val="16"/>
                <w:lang w:eastAsia="pt-BR"/>
              </w:rPr>
              <w:t>TOTAL (V) = (I + II + III +IV)</w:t>
            </w:r>
          </w:p>
        </w:tc>
        <w:tc>
          <w:tcPr>
            <w:tcW w:w="993" w:type="dxa"/>
            <w:tcBorders>
              <w:top w:val="single" w:sz="8" w:space="0" w:color="auto"/>
              <w:left w:val="nil"/>
              <w:bottom w:val="single" w:sz="8" w:space="0" w:color="auto"/>
              <w:right w:val="single" w:sz="8" w:space="0" w:color="auto"/>
            </w:tcBorders>
            <w:shd w:val="clear" w:color="auto" w:fill="auto"/>
            <w:vAlign w:val="center"/>
            <w:hideMark/>
          </w:tcPr>
          <w:p w14:paraId="06FBF11C" w14:textId="77777777" w:rsidR="00696B6D" w:rsidRPr="00EA4CDC" w:rsidRDefault="00696B6D" w:rsidP="00696B6D">
            <w:pPr>
              <w:spacing w:after="0" w:line="240" w:lineRule="auto"/>
              <w:jc w:val="center"/>
              <w:rPr>
                <w:rFonts w:ascii="Arial Narrow" w:eastAsia="Times New Roman" w:hAnsi="Arial Narrow" w:cs="Arial"/>
                <w:b/>
                <w:bCs/>
                <w:sz w:val="16"/>
                <w:szCs w:val="16"/>
                <w:lang w:eastAsia="pt-BR"/>
              </w:rPr>
            </w:pPr>
            <w:r w:rsidRPr="00EA4CDC">
              <w:rPr>
                <w:rFonts w:ascii="Arial Narrow" w:eastAsia="Times New Roman" w:hAnsi="Arial Narrow" w:cs="Arial"/>
                <w:b/>
                <w:bCs/>
                <w:sz w:val="16"/>
                <w:szCs w:val="16"/>
                <w:lang w:eastAsia="pt-BR"/>
              </w:rPr>
              <w:t>BFI.C076</w:t>
            </w:r>
          </w:p>
        </w:tc>
        <w:tc>
          <w:tcPr>
            <w:tcW w:w="992" w:type="dxa"/>
            <w:tcBorders>
              <w:top w:val="single" w:sz="8" w:space="0" w:color="auto"/>
              <w:left w:val="nil"/>
              <w:bottom w:val="single" w:sz="8" w:space="0" w:color="auto"/>
              <w:right w:val="single" w:sz="8" w:space="0" w:color="auto"/>
            </w:tcBorders>
            <w:shd w:val="clear" w:color="auto" w:fill="auto"/>
            <w:vAlign w:val="center"/>
            <w:hideMark/>
          </w:tcPr>
          <w:p w14:paraId="0A5D793F" w14:textId="77777777" w:rsidR="00696B6D" w:rsidRPr="00EA4CDC" w:rsidRDefault="00696B6D" w:rsidP="00696B6D">
            <w:pPr>
              <w:spacing w:after="0" w:line="240" w:lineRule="auto"/>
              <w:jc w:val="center"/>
              <w:rPr>
                <w:rFonts w:ascii="Arial Narrow" w:eastAsia="Times New Roman" w:hAnsi="Arial Narrow" w:cs="Arial"/>
                <w:b/>
                <w:bCs/>
                <w:sz w:val="16"/>
                <w:szCs w:val="16"/>
                <w:lang w:eastAsia="pt-BR"/>
              </w:rPr>
            </w:pPr>
            <w:r w:rsidRPr="00EA4CDC">
              <w:rPr>
                <w:rFonts w:ascii="Arial Narrow" w:eastAsia="Times New Roman" w:hAnsi="Arial Narrow" w:cs="Arial"/>
                <w:b/>
                <w:bCs/>
                <w:sz w:val="16"/>
                <w:szCs w:val="16"/>
                <w:lang w:eastAsia="pt-BR"/>
              </w:rPr>
              <w:t>BFI.D076</w:t>
            </w:r>
          </w:p>
        </w:tc>
        <w:tc>
          <w:tcPr>
            <w:tcW w:w="5103" w:type="dxa"/>
            <w:tcBorders>
              <w:top w:val="single" w:sz="8" w:space="0" w:color="auto"/>
              <w:left w:val="nil"/>
              <w:bottom w:val="single" w:sz="8" w:space="0" w:color="auto"/>
              <w:right w:val="nil"/>
            </w:tcBorders>
            <w:shd w:val="clear" w:color="auto" w:fill="auto"/>
            <w:noWrap/>
            <w:vAlign w:val="center"/>
            <w:hideMark/>
          </w:tcPr>
          <w:p w14:paraId="3F011099" w14:textId="77777777" w:rsidR="00696B6D" w:rsidRPr="00EA4CDC" w:rsidRDefault="00696B6D" w:rsidP="00696B6D">
            <w:pPr>
              <w:spacing w:after="0" w:line="240" w:lineRule="auto"/>
              <w:rPr>
                <w:rFonts w:ascii="Arial Narrow" w:eastAsia="Times New Roman" w:hAnsi="Arial Narrow" w:cs="Arial"/>
                <w:b/>
                <w:bCs/>
                <w:sz w:val="16"/>
                <w:szCs w:val="16"/>
                <w:lang w:eastAsia="pt-BR"/>
              </w:rPr>
            </w:pPr>
            <w:r w:rsidRPr="00EA4CDC">
              <w:rPr>
                <w:rFonts w:ascii="Arial Narrow" w:eastAsia="Times New Roman" w:hAnsi="Arial Narrow" w:cs="Arial"/>
                <w:b/>
                <w:bCs/>
                <w:sz w:val="16"/>
                <w:szCs w:val="16"/>
                <w:lang w:eastAsia="pt-BR"/>
              </w:rPr>
              <w:t xml:space="preserve">TOTAL (X) = (VI + VII + VIII + IX) </w:t>
            </w:r>
          </w:p>
        </w:tc>
        <w:tc>
          <w:tcPr>
            <w:tcW w:w="993" w:type="dxa"/>
            <w:tcBorders>
              <w:top w:val="single" w:sz="8" w:space="0" w:color="auto"/>
              <w:left w:val="nil"/>
              <w:bottom w:val="single" w:sz="8" w:space="0" w:color="auto"/>
              <w:right w:val="single" w:sz="8" w:space="0" w:color="auto"/>
            </w:tcBorders>
            <w:shd w:val="clear" w:color="auto" w:fill="auto"/>
            <w:vAlign w:val="center"/>
            <w:hideMark/>
          </w:tcPr>
          <w:p w14:paraId="26E68597" w14:textId="77777777" w:rsidR="00696B6D" w:rsidRPr="00EA4CDC" w:rsidRDefault="00696B6D" w:rsidP="00696B6D">
            <w:pPr>
              <w:spacing w:after="0" w:line="240" w:lineRule="auto"/>
              <w:jc w:val="center"/>
              <w:rPr>
                <w:rFonts w:ascii="Arial Narrow" w:eastAsia="Times New Roman" w:hAnsi="Arial Narrow" w:cs="Arial"/>
                <w:b/>
                <w:bCs/>
                <w:sz w:val="16"/>
                <w:szCs w:val="16"/>
                <w:lang w:eastAsia="pt-BR"/>
              </w:rPr>
            </w:pPr>
            <w:r w:rsidRPr="00EA4CDC">
              <w:rPr>
                <w:rFonts w:ascii="Arial Narrow" w:eastAsia="Times New Roman" w:hAnsi="Arial Narrow" w:cs="Arial"/>
                <w:b/>
                <w:bCs/>
                <w:sz w:val="16"/>
                <w:szCs w:val="16"/>
                <w:lang w:eastAsia="pt-BR"/>
              </w:rPr>
              <w:t>BFI.G076</w:t>
            </w:r>
          </w:p>
        </w:tc>
        <w:tc>
          <w:tcPr>
            <w:tcW w:w="992" w:type="dxa"/>
            <w:tcBorders>
              <w:top w:val="single" w:sz="8" w:space="0" w:color="auto"/>
              <w:left w:val="nil"/>
              <w:bottom w:val="single" w:sz="8" w:space="0" w:color="auto"/>
              <w:right w:val="single" w:sz="8" w:space="0" w:color="auto"/>
            </w:tcBorders>
            <w:shd w:val="clear" w:color="auto" w:fill="auto"/>
            <w:vAlign w:val="center"/>
            <w:hideMark/>
          </w:tcPr>
          <w:p w14:paraId="749FBAAF" w14:textId="77777777" w:rsidR="00696B6D" w:rsidRPr="00EA4CDC" w:rsidRDefault="00696B6D" w:rsidP="00696B6D">
            <w:pPr>
              <w:spacing w:after="0" w:line="240" w:lineRule="auto"/>
              <w:jc w:val="center"/>
              <w:rPr>
                <w:rFonts w:ascii="Arial Narrow" w:eastAsia="Times New Roman" w:hAnsi="Arial Narrow" w:cs="Arial"/>
                <w:b/>
                <w:bCs/>
                <w:sz w:val="16"/>
                <w:szCs w:val="16"/>
                <w:lang w:eastAsia="pt-BR"/>
              </w:rPr>
            </w:pPr>
            <w:r w:rsidRPr="00EA4CDC">
              <w:rPr>
                <w:rFonts w:ascii="Arial Narrow" w:eastAsia="Times New Roman" w:hAnsi="Arial Narrow" w:cs="Arial"/>
                <w:b/>
                <w:bCs/>
                <w:sz w:val="16"/>
                <w:szCs w:val="16"/>
                <w:lang w:eastAsia="pt-BR"/>
              </w:rPr>
              <w:t>BFI.H076</w:t>
            </w:r>
          </w:p>
        </w:tc>
      </w:tr>
    </w:tbl>
    <w:p w14:paraId="00657E4F" w14:textId="0C0C0088" w:rsidR="000643B5" w:rsidRDefault="000643B5" w:rsidP="00E60BB7">
      <w:pPr>
        <w:spacing w:after="0" w:line="360" w:lineRule="auto"/>
        <w:jc w:val="both"/>
      </w:pPr>
    </w:p>
    <w:p w14:paraId="437D07EB" w14:textId="2EA5AA26" w:rsidR="000643B5" w:rsidRDefault="000643B5" w:rsidP="00E60BB7">
      <w:pPr>
        <w:spacing w:after="0" w:line="360" w:lineRule="auto"/>
        <w:jc w:val="both"/>
      </w:pPr>
    </w:p>
    <w:tbl>
      <w:tblPr>
        <w:tblW w:w="0" w:type="auto"/>
        <w:tblInd w:w="10" w:type="dxa"/>
        <w:tblLayout w:type="fixed"/>
        <w:tblCellMar>
          <w:left w:w="70" w:type="dxa"/>
          <w:right w:w="70" w:type="dxa"/>
        </w:tblCellMar>
        <w:tblLook w:val="04A0" w:firstRow="1" w:lastRow="0" w:firstColumn="1" w:lastColumn="0" w:noHBand="0" w:noVBand="1"/>
      </w:tblPr>
      <w:tblGrid>
        <w:gridCol w:w="45"/>
        <w:gridCol w:w="5332"/>
        <w:gridCol w:w="1276"/>
        <w:gridCol w:w="1559"/>
        <w:gridCol w:w="1417"/>
        <w:gridCol w:w="1276"/>
        <w:gridCol w:w="1204"/>
        <w:gridCol w:w="355"/>
        <w:gridCol w:w="1063"/>
        <w:gridCol w:w="71"/>
      </w:tblGrid>
      <w:tr w:rsidR="000643B5" w:rsidRPr="007A45C9" w14:paraId="2A8BA8AA" w14:textId="77777777" w:rsidTr="00080E19">
        <w:trPr>
          <w:gridBefore w:val="1"/>
          <w:gridAfter w:val="1"/>
          <w:wBefore w:w="45" w:type="dxa"/>
          <w:wAfter w:w="71" w:type="dxa"/>
          <w:trHeight w:val="255"/>
        </w:trPr>
        <w:tc>
          <w:tcPr>
            <w:tcW w:w="12064" w:type="dxa"/>
            <w:gridSpan w:val="6"/>
            <w:shd w:val="clear" w:color="auto" w:fill="auto"/>
            <w:hideMark/>
          </w:tcPr>
          <w:p w14:paraId="41550244" w14:textId="77777777" w:rsidR="000643B5" w:rsidRPr="007A45C9" w:rsidRDefault="000643B5" w:rsidP="00080E19">
            <w:pPr>
              <w:spacing w:after="0" w:line="240" w:lineRule="auto"/>
              <w:ind w:right="-1482"/>
              <w:jc w:val="center"/>
              <w:rPr>
                <w:rFonts w:ascii="Arial" w:eastAsia="Times New Roman" w:hAnsi="Arial" w:cs="Arial"/>
                <w:b/>
                <w:bCs/>
                <w:sz w:val="16"/>
                <w:szCs w:val="16"/>
                <w:lang w:eastAsia="pt-BR"/>
              </w:rPr>
            </w:pPr>
            <w:r w:rsidRPr="007A45C9">
              <w:rPr>
                <w:rFonts w:ascii="Arial" w:eastAsia="Times New Roman" w:hAnsi="Arial" w:cs="Arial"/>
                <w:b/>
                <w:bCs/>
                <w:sz w:val="16"/>
                <w:szCs w:val="16"/>
                <w:lang w:eastAsia="pt-BR"/>
              </w:rPr>
              <w:t>QUADRO ANEXO AO BALANÇO FINANCEIRO</w:t>
            </w:r>
          </w:p>
          <w:p w14:paraId="7544B87A" w14:textId="77777777" w:rsidR="000643B5" w:rsidRDefault="000643B5" w:rsidP="00080E19">
            <w:pPr>
              <w:spacing w:after="0" w:line="240" w:lineRule="auto"/>
              <w:ind w:right="-1482"/>
              <w:jc w:val="center"/>
              <w:rPr>
                <w:rFonts w:ascii="Arial" w:eastAsia="Times New Roman" w:hAnsi="Arial" w:cs="Arial"/>
                <w:b/>
                <w:bCs/>
                <w:sz w:val="16"/>
                <w:szCs w:val="16"/>
                <w:lang w:eastAsia="pt-BR"/>
              </w:rPr>
            </w:pPr>
            <w:r w:rsidRPr="007A45C9">
              <w:rPr>
                <w:rFonts w:ascii="Arial" w:eastAsia="Times New Roman" w:hAnsi="Arial" w:cs="Arial"/>
                <w:b/>
                <w:bCs/>
                <w:sz w:val="16"/>
                <w:szCs w:val="16"/>
                <w:lang w:eastAsia="pt-BR"/>
              </w:rPr>
              <w:t>ESTADO</w:t>
            </w:r>
          </w:p>
          <w:p w14:paraId="68660EFD" w14:textId="77777777" w:rsidR="000643B5" w:rsidRDefault="000643B5" w:rsidP="00080E19">
            <w:pPr>
              <w:spacing w:after="0" w:line="240" w:lineRule="auto"/>
              <w:ind w:right="-1482"/>
              <w:jc w:val="center"/>
              <w:rPr>
                <w:rFonts w:ascii="Arial" w:eastAsia="Times New Roman" w:hAnsi="Arial" w:cs="Arial"/>
                <w:b/>
                <w:bCs/>
                <w:sz w:val="16"/>
                <w:szCs w:val="16"/>
                <w:lang w:eastAsia="pt-BR"/>
              </w:rPr>
            </w:pPr>
          </w:p>
          <w:p w14:paraId="2E59E4B1" w14:textId="77777777" w:rsidR="000643B5" w:rsidRPr="007A45C9" w:rsidRDefault="000643B5" w:rsidP="00080E19">
            <w:pPr>
              <w:spacing w:after="0" w:line="240" w:lineRule="auto"/>
              <w:jc w:val="center"/>
              <w:rPr>
                <w:rFonts w:ascii="Arial" w:eastAsia="Times New Roman" w:hAnsi="Arial" w:cs="Arial"/>
                <w:b/>
                <w:bCs/>
                <w:sz w:val="16"/>
                <w:szCs w:val="16"/>
                <w:lang w:eastAsia="pt-BR"/>
              </w:rPr>
            </w:pPr>
          </w:p>
        </w:tc>
        <w:tc>
          <w:tcPr>
            <w:tcW w:w="1418" w:type="dxa"/>
            <w:gridSpan w:val="2"/>
            <w:shd w:val="clear" w:color="auto" w:fill="auto"/>
            <w:vAlign w:val="center"/>
            <w:hideMark/>
          </w:tcPr>
          <w:p w14:paraId="49A7198A" w14:textId="77777777" w:rsidR="000643B5" w:rsidRPr="007A45C9" w:rsidRDefault="000643B5" w:rsidP="00080E19">
            <w:pPr>
              <w:spacing w:after="0" w:line="240" w:lineRule="auto"/>
              <w:jc w:val="right"/>
              <w:rPr>
                <w:rFonts w:ascii="Arial" w:eastAsia="Times New Roman" w:hAnsi="Arial" w:cs="Arial"/>
                <w:b/>
                <w:bCs/>
                <w:sz w:val="16"/>
                <w:szCs w:val="16"/>
                <w:lang w:eastAsia="pt-BR"/>
              </w:rPr>
            </w:pPr>
          </w:p>
        </w:tc>
      </w:tr>
      <w:tr w:rsidR="000643B5" w:rsidRPr="0084332C" w14:paraId="061AE28D" w14:textId="77777777" w:rsidTr="00080E19">
        <w:trPr>
          <w:trHeight w:val="270"/>
        </w:trPr>
        <w:tc>
          <w:tcPr>
            <w:tcW w:w="5377" w:type="dxa"/>
            <w:gridSpan w:val="2"/>
            <w:vMerge w:val="restart"/>
            <w:tcBorders>
              <w:top w:val="single" w:sz="8" w:space="0" w:color="auto"/>
              <w:left w:val="single" w:sz="8" w:space="0" w:color="auto"/>
              <w:bottom w:val="single" w:sz="8" w:space="0" w:color="000000"/>
              <w:right w:val="nil"/>
            </w:tcBorders>
            <w:shd w:val="clear" w:color="auto" w:fill="auto"/>
            <w:noWrap/>
            <w:vAlign w:val="center"/>
            <w:hideMark/>
          </w:tcPr>
          <w:p w14:paraId="4AD239F4" w14:textId="77777777" w:rsidR="000643B5" w:rsidRPr="0084332C" w:rsidRDefault="000643B5" w:rsidP="00080E19">
            <w:pPr>
              <w:spacing w:after="0" w:line="240" w:lineRule="auto"/>
              <w:jc w:val="center"/>
              <w:rPr>
                <w:rFonts w:ascii="Arial Narrow" w:eastAsia="Times New Roman" w:hAnsi="Arial Narrow" w:cs="Arial"/>
                <w:b/>
                <w:bCs/>
                <w:sz w:val="16"/>
                <w:szCs w:val="16"/>
                <w:lang w:eastAsia="pt-BR"/>
              </w:rPr>
            </w:pPr>
            <w:r w:rsidRPr="0084332C">
              <w:rPr>
                <w:rFonts w:ascii="Arial Narrow" w:eastAsia="Times New Roman" w:hAnsi="Arial Narrow" w:cs="Arial"/>
                <w:b/>
                <w:bCs/>
                <w:sz w:val="16"/>
                <w:szCs w:val="16"/>
                <w:lang w:eastAsia="pt-BR"/>
              </w:rPr>
              <w:lastRenderedPageBreak/>
              <w:t>ESPECIFICAÇÃO</w:t>
            </w:r>
          </w:p>
        </w:tc>
        <w:tc>
          <w:tcPr>
            <w:tcW w:w="4252"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E062851" w14:textId="77777777" w:rsidR="000643B5" w:rsidRPr="0084332C" w:rsidRDefault="000643B5" w:rsidP="00080E19">
            <w:pPr>
              <w:spacing w:after="0" w:line="240" w:lineRule="auto"/>
              <w:jc w:val="center"/>
              <w:rPr>
                <w:rFonts w:ascii="Arial Narrow" w:eastAsia="Times New Roman" w:hAnsi="Arial Narrow" w:cs="Arial"/>
                <w:b/>
                <w:bCs/>
                <w:sz w:val="16"/>
                <w:szCs w:val="16"/>
                <w:lang w:eastAsia="pt-BR"/>
              </w:rPr>
            </w:pPr>
            <w:r w:rsidRPr="0084332C">
              <w:rPr>
                <w:rFonts w:ascii="Arial Narrow" w:eastAsia="Times New Roman" w:hAnsi="Arial Narrow" w:cs="Arial"/>
                <w:b/>
                <w:bCs/>
                <w:sz w:val="16"/>
                <w:szCs w:val="16"/>
                <w:lang w:eastAsia="pt-BR"/>
              </w:rPr>
              <w:t>Exercício Atual</w:t>
            </w:r>
          </w:p>
        </w:tc>
        <w:tc>
          <w:tcPr>
            <w:tcW w:w="3969" w:type="dxa"/>
            <w:gridSpan w:val="5"/>
            <w:tcBorders>
              <w:top w:val="single" w:sz="8" w:space="0" w:color="auto"/>
              <w:left w:val="nil"/>
              <w:bottom w:val="nil"/>
              <w:right w:val="single" w:sz="8" w:space="0" w:color="000000"/>
            </w:tcBorders>
            <w:shd w:val="clear" w:color="auto" w:fill="auto"/>
            <w:noWrap/>
            <w:vAlign w:val="center"/>
            <w:hideMark/>
          </w:tcPr>
          <w:p w14:paraId="4D45B418" w14:textId="77777777" w:rsidR="000643B5" w:rsidRPr="0084332C" w:rsidRDefault="000643B5" w:rsidP="00080E19">
            <w:pPr>
              <w:spacing w:after="0" w:line="240" w:lineRule="auto"/>
              <w:jc w:val="center"/>
              <w:rPr>
                <w:rFonts w:ascii="Arial Narrow" w:eastAsia="Times New Roman" w:hAnsi="Arial Narrow" w:cs="Arial"/>
                <w:b/>
                <w:bCs/>
                <w:sz w:val="16"/>
                <w:szCs w:val="16"/>
                <w:lang w:eastAsia="pt-BR"/>
              </w:rPr>
            </w:pPr>
            <w:r w:rsidRPr="0084332C">
              <w:rPr>
                <w:rFonts w:ascii="Arial Narrow" w:eastAsia="Times New Roman" w:hAnsi="Arial Narrow" w:cs="Arial"/>
                <w:b/>
                <w:bCs/>
                <w:sz w:val="16"/>
                <w:szCs w:val="16"/>
                <w:lang w:eastAsia="pt-BR"/>
              </w:rPr>
              <w:t>Exercício Anterior</w:t>
            </w:r>
          </w:p>
        </w:tc>
      </w:tr>
      <w:tr w:rsidR="000643B5" w:rsidRPr="0084332C" w14:paraId="0CBAFC04" w14:textId="77777777" w:rsidTr="00080E19">
        <w:trPr>
          <w:trHeight w:val="525"/>
        </w:trPr>
        <w:tc>
          <w:tcPr>
            <w:tcW w:w="5377" w:type="dxa"/>
            <w:gridSpan w:val="2"/>
            <w:vMerge/>
            <w:tcBorders>
              <w:top w:val="single" w:sz="8" w:space="0" w:color="auto"/>
              <w:left w:val="single" w:sz="8" w:space="0" w:color="auto"/>
              <w:bottom w:val="single" w:sz="8" w:space="0" w:color="000000"/>
              <w:right w:val="nil"/>
            </w:tcBorders>
            <w:shd w:val="clear" w:color="auto" w:fill="auto"/>
            <w:vAlign w:val="center"/>
            <w:hideMark/>
          </w:tcPr>
          <w:p w14:paraId="5071E8EE" w14:textId="77777777" w:rsidR="000643B5" w:rsidRPr="0084332C" w:rsidRDefault="000643B5" w:rsidP="00080E19">
            <w:pPr>
              <w:spacing w:after="0" w:line="240" w:lineRule="auto"/>
              <w:rPr>
                <w:rFonts w:ascii="Arial Narrow" w:eastAsia="Times New Roman" w:hAnsi="Arial Narrow" w:cs="Arial"/>
                <w:b/>
                <w:bCs/>
                <w:sz w:val="16"/>
                <w:szCs w:val="16"/>
                <w:lang w:eastAsia="pt-BR"/>
              </w:rPr>
            </w:pPr>
          </w:p>
        </w:tc>
        <w:tc>
          <w:tcPr>
            <w:tcW w:w="1276" w:type="dxa"/>
            <w:tcBorders>
              <w:top w:val="nil"/>
              <w:left w:val="single" w:sz="8" w:space="0" w:color="auto"/>
              <w:bottom w:val="single" w:sz="8" w:space="0" w:color="auto"/>
              <w:right w:val="nil"/>
            </w:tcBorders>
            <w:shd w:val="clear" w:color="auto" w:fill="auto"/>
            <w:vAlign w:val="center"/>
            <w:hideMark/>
          </w:tcPr>
          <w:p w14:paraId="3D01C4A8" w14:textId="77777777" w:rsidR="000643B5" w:rsidRPr="0084332C" w:rsidRDefault="000643B5" w:rsidP="00080E19">
            <w:pPr>
              <w:spacing w:after="0" w:line="240" w:lineRule="auto"/>
              <w:jc w:val="center"/>
              <w:rPr>
                <w:rFonts w:ascii="Arial Narrow" w:eastAsia="Times New Roman" w:hAnsi="Arial Narrow" w:cs="Arial"/>
                <w:b/>
                <w:bCs/>
                <w:sz w:val="16"/>
                <w:szCs w:val="16"/>
                <w:lang w:eastAsia="pt-BR"/>
              </w:rPr>
            </w:pPr>
            <w:r w:rsidRPr="0084332C">
              <w:rPr>
                <w:rFonts w:ascii="Arial Narrow" w:eastAsia="Times New Roman" w:hAnsi="Arial Narrow" w:cs="Arial"/>
                <w:b/>
                <w:bCs/>
                <w:sz w:val="16"/>
                <w:szCs w:val="16"/>
                <w:lang w:eastAsia="pt-BR"/>
              </w:rPr>
              <w:t>Receita Orçamentária (a)</w:t>
            </w:r>
          </w:p>
        </w:tc>
        <w:tc>
          <w:tcPr>
            <w:tcW w:w="1559" w:type="dxa"/>
            <w:tcBorders>
              <w:top w:val="nil"/>
              <w:left w:val="single" w:sz="8" w:space="0" w:color="auto"/>
              <w:bottom w:val="single" w:sz="8" w:space="0" w:color="auto"/>
              <w:right w:val="single" w:sz="8" w:space="0" w:color="auto"/>
            </w:tcBorders>
            <w:shd w:val="clear" w:color="auto" w:fill="auto"/>
            <w:vAlign w:val="center"/>
            <w:hideMark/>
          </w:tcPr>
          <w:p w14:paraId="07E244D7" w14:textId="77777777" w:rsidR="000643B5" w:rsidRPr="0084332C" w:rsidRDefault="000643B5" w:rsidP="00080E19">
            <w:pPr>
              <w:spacing w:after="0" w:line="240" w:lineRule="auto"/>
              <w:jc w:val="center"/>
              <w:rPr>
                <w:rFonts w:ascii="Arial Narrow" w:eastAsia="Times New Roman" w:hAnsi="Arial Narrow" w:cs="Arial"/>
                <w:b/>
                <w:bCs/>
                <w:sz w:val="16"/>
                <w:szCs w:val="16"/>
                <w:lang w:eastAsia="pt-BR"/>
              </w:rPr>
            </w:pPr>
            <w:r w:rsidRPr="0084332C">
              <w:rPr>
                <w:rFonts w:ascii="Arial Narrow" w:eastAsia="Times New Roman" w:hAnsi="Arial Narrow" w:cs="Arial"/>
                <w:b/>
                <w:bCs/>
                <w:sz w:val="16"/>
                <w:szCs w:val="16"/>
                <w:lang w:eastAsia="pt-BR"/>
              </w:rPr>
              <w:t>Deduções da Receita Orçamentária (b)</w:t>
            </w:r>
          </w:p>
        </w:tc>
        <w:tc>
          <w:tcPr>
            <w:tcW w:w="1417" w:type="dxa"/>
            <w:tcBorders>
              <w:top w:val="nil"/>
              <w:left w:val="nil"/>
              <w:bottom w:val="single" w:sz="8" w:space="0" w:color="auto"/>
              <w:right w:val="single" w:sz="8" w:space="0" w:color="auto"/>
            </w:tcBorders>
            <w:shd w:val="clear" w:color="auto" w:fill="auto"/>
            <w:vAlign w:val="center"/>
            <w:hideMark/>
          </w:tcPr>
          <w:p w14:paraId="0E779D7D" w14:textId="77777777" w:rsidR="000643B5" w:rsidRPr="0084332C" w:rsidRDefault="000643B5" w:rsidP="00080E19">
            <w:pPr>
              <w:spacing w:after="0" w:line="240" w:lineRule="auto"/>
              <w:jc w:val="center"/>
              <w:rPr>
                <w:rFonts w:ascii="Arial Narrow" w:eastAsia="Times New Roman" w:hAnsi="Arial Narrow" w:cs="Arial"/>
                <w:b/>
                <w:bCs/>
                <w:sz w:val="16"/>
                <w:szCs w:val="16"/>
                <w:lang w:eastAsia="pt-BR"/>
              </w:rPr>
            </w:pPr>
            <w:r w:rsidRPr="0084332C">
              <w:rPr>
                <w:rFonts w:ascii="Arial Narrow" w:eastAsia="Times New Roman" w:hAnsi="Arial Narrow" w:cs="Arial"/>
                <w:b/>
                <w:bCs/>
                <w:sz w:val="16"/>
                <w:szCs w:val="16"/>
                <w:lang w:eastAsia="pt-BR"/>
              </w:rPr>
              <w:t>Saldo (c) = (a-b)</w:t>
            </w:r>
          </w:p>
        </w:tc>
        <w:tc>
          <w:tcPr>
            <w:tcW w:w="1276" w:type="dxa"/>
            <w:tcBorders>
              <w:top w:val="single" w:sz="8" w:space="0" w:color="auto"/>
              <w:left w:val="nil"/>
              <w:bottom w:val="single" w:sz="8" w:space="0" w:color="auto"/>
              <w:right w:val="nil"/>
            </w:tcBorders>
            <w:shd w:val="clear" w:color="auto" w:fill="auto"/>
            <w:vAlign w:val="center"/>
            <w:hideMark/>
          </w:tcPr>
          <w:p w14:paraId="1DE16C6D" w14:textId="77777777" w:rsidR="000643B5" w:rsidRPr="0084332C" w:rsidRDefault="000643B5" w:rsidP="00080E19">
            <w:pPr>
              <w:spacing w:after="0" w:line="240" w:lineRule="auto"/>
              <w:jc w:val="center"/>
              <w:rPr>
                <w:rFonts w:ascii="Arial Narrow" w:eastAsia="Times New Roman" w:hAnsi="Arial Narrow" w:cs="Arial"/>
                <w:b/>
                <w:bCs/>
                <w:sz w:val="16"/>
                <w:szCs w:val="16"/>
                <w:lang w:eastAsia="pt-BR"/>
              </w:rPr>
            </w:pPr>
            <w:r w:rsidRPr="0084332C">
              <w:rPr>
                <w:rFonts w:ascii="Arial Narrow" w:eastAsia="Times New Roman" w:hAnsi="Arial Narrow" w:cs="Arial"/>
                <w:b/>
                <w:bCs/>
                <w:sz w:val="16"/>
                <w:szCs w:val="16"/>
                <w:lang w:eastAsia="pt-BR"/>
              </w:rPr>
              <w:t>Receita Orçamentária (d)</w:t>
            </w:r>
          </w:p>
        </w:tc>
        <w:tc>
          <w:tcPr>
            <w:tcW w:w="1559"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6C0944EC" w14:textId="77777777" w:rsidR="000643B5" w:rsidRPr="0084332C" w:rsidRDefault="000643B5" w:rsidP="00080E19">
            <w:pPr>
              <w:spacing w:after="0" w:line="240" w:lineRule="auto"/>
              <w:jc w:val="center"/>
              <w:rPr>
                <w:rFonts w:ascii="Arial Narrow" w:eastAsia="Times New Roman" w:hAnsi="Arial Narrow" w:cs="Arial"/>
                <w:b/>
                <w:bCs/>
                <w:sz w:val="16"/>
                <w:szCs w:val="16"/>
                <w:lang w:eastAsia="pt-BR"/>
              </w:rPr>
            </w:pPr>
            <w:r w:rsidRPr="0084332C">
              <w:rPr>
                <w:rFonts w:ascii="Arial Narrow" w:eastAsia="Times New Roman" w:hAnsi="Arial Narrow" w:cs="Arial"/>
                <w:b/>
                <w:bCs/>
                <w:sz w:val="16"/>
                <w:szCs w:val="16"/>
                <w:lang w:eastAsia="pt-BR"/>
              </w:rPr>
              <w:t>Deduções da Receita Orçamentária (e)</w:t>
            </w:r>
          </w:p>
        </w:tc>
        <w:tc>
          <w:tcPr>
            <w:tcW w:w="1134" w:type="dxa"/>
            <w:gridSpan w:val="2"/>
            <w:tcBorders>
              <w:top w:val="single" w:sz="8" w:space="0" w:color="auto"/>
              <w:left w:val="nil"/>
              <w:bottom w:val="single" w:sz="8" w:space="0" w:color="auto"/>
              <w:right w:val="single" w:sz="8" w:space="0" w:color="auto"/>
            </w:tcBorders>
            <w:shd w:val="clear" w:color="auto" w:fill="auto"/>
            <w:vAlign w:val="center"/>
            <w:hideMark/>
          </w:tcPr>
          <w:p w14:paraId="3AA5FBD5" w14:textId="77777777" w:rsidR="000643B5" w:rsidRPr="0084332C" w:rsidRDefault="000643B5" w:rsidP="00080E19">
            <w:pPr>
              <w:spacing w:after="0" w:line="240" w:lineRule="auto"/>
              <w:jc w:val="center"/>
              <w:rPr>
                <w:rFonts w:ascii="Arial Narrow" w:eastAsia="Times New Roman" w:hAnsi="Arial Narrow" w:cs="Arial"/>
                <w:b/>
                <w:bCs/>
                <w:sz w:val="16"/>
                <w:szCs w:val="16"/>
                <w:lang w:eastAsia="pt-BR"/>
              </w:rPr>
            </w:pPr>
            <w:r w:rsidRPr="0084332C">
              <w:rPr>
                <w:rFonts w:ascii="Arial Narrow" w:eastAsia="Times New Roman" w:hAnsi="Arial Narrow" w:cs="Arial"/>
                <w:b/>
                <w:bCs/>
                <w:sz w:val="16"/>
                <w:szCs w:val="16"/>
                <w:lang w:eastAsia="pt-BR"/>
              </w:rPr>
              <w:t>Saldo (f) = (d-e)</w:t>
            </w:r>
          </w:p>
        </w:tc>
      </w:tr>
      <w:tr w:rsidR="000643B5" w:rsidRPr="0084332C" w14:paraId="11ECF0C4"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7C62CC90" w14:textId="77777777" w:rsidR="000643B5" w:rsidRPr="0084332C" w:rsidRDefault="000643B5" w:rsidP="00080E19">
            <w:pPr>
              <w:spacing w:after="0" w:line="240" w:lineRule="auto"/>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 </w:t>
            </w:r>
          </w:p>
        </w:tc>
        <w:tc>
          <w:tcPr>
            <w:tcW w:w="1276" w:type="dxa"/>
            <w:tcBorders>
              <w:top w:val="nil"/>
              <w:left w:val="nil"/>
              <w:bottom w:val="nil"/>
              <w:right w:val="single" w:sz="8" w:space="0" w:color="auto"/>
            </w:tcBorders>
            <w:shd w:val="clear" w:color="auto" w:fill="auto"/>
            <w:noWrap/>
            <w:vAlign w:val="center"/>
            <w:hideMark/>
          </w:tcPr>
          <w:p w14:paraId="754EA978" w14:textId="77777777" w:rsidR="000643B5" w:rsidRPr="0084332C" w:rsidRDefault="000643B5" w:rsidP="00080E19">
            <w:pPr>
              <w:spacing w:after="0" w:line="240" w:lineRule="auto"/>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 </w:t>
            </w:r>
          </w:p>
        </w:tc>
        <w:tc>
          <w:tcPr>
            <w:tcW w:w="1559" w:type="dxa"/>
            <w:tcBorders>
              <w:top w:val="nil"/>
              <w:left w:val="nil"/>
              <w:bottom w:val="nil"/>
              <w:right w:val="single" w:sz="8" w:space="0" w:color="auto"/>
            </w:tcBorders>
            <w:shd w:val="clear" w:color="auto" w:fill="auto"/>
            <w:noWrap/>
            <w:vAlign w:val="center"/>
            <w:hideMark/>
          </w:tcPr>
          <w:p w14:paraId="65C855DB" w14:textId="77777777" w:rsidR="000643B5" w:rsidRPr="0084332C" w:rsidRDefault="000643B5" w:rsidP="00080E19">
            <w:pPr>
              <w:spacing w:after="0" w:line="240" w:lineRule="auto"/>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 </w:t>
            </w:r>
          </w:p>
        </w:tc>
        <w:tc>
          <w:tcPr>
            <w:tcW w:w="1417" w:type="dxa"/>
            <w:tcBorders>
              <w:top w:val="nil"/>
              <w:left w:val="nil"/>
              <w:bottom w:val="nil"/>
              <w:right w:val="single" w:sz="8" w:space="0" w:color="auto"/>
            </w:tcBorders>
            <w:shd w:val="clear" w:color="auto" w:fill="auto"/>
            <w:noWrap/>
            <w:vAlign w:val="center"/>
            <w:hideMark/>
          </w:tcPr>
          <w:p w14:paraId="519296BD" w14:textId="77777777" w:rsidR="000643B5" w:rsidRPr="0084332C" w:rsidRDefault="000643B5" w:rsidP="00080E19">
            <w:pPr>
              <w:spacing w:after="0" w:line="240" w:lineRule="auto"/>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 </w:t>
            </w:r>
          </w:p>
        </w:tc>
        <w:tc>
          <w:tcPr>
            <w:tcW w:w="1276" w:type="dxa"/>
            <w:tcBorders>
              <w:top w:val="nil"/>
              <w:left w:val="nil"/>
              <w:bottom w:val="nil"/>
              <w:right w:val="single" w:sz="8" w:space="0" w:color="auto"/>
            </w:tcBorders>
            <w:shd w:val="clear" w:color="auto" w:fill="auto"/>
            <w:noWrap/>
            <w:vAlign w:val="center"/>
            <w:hideMark/>
          </w:tcPr>
          <w:p w14:paraId="7FADA4E0" w14:textId="77777777" w:rsidR="000643B5" w:rsidRPr="0084332C" w:rsidRDefault="000643B5" w:rsidP="00080E19">
            <w:pPr>
              <w:spacing w:after="0" w:line="240" w:lineRule="auto"/>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 </w:t>
            </w:r>
          </w:p>
        </w:tc>
        <w:tc>
          <w:tcPr>
            <w:tcW w:w="1559" w:type="dxa"/>
            <w:gridSpan w:val="2"/>
            <w:tcBorders>
              <w:top w:val="nil"/>
              <w:left w:val="nil"/>
              <w:bottom w:val="nil"/>
              <w:right w:val="single" w:sz="8" w:space="0" w:color="auto"/>
            </w:tcBorders>
            <w:shd w:val="clear" w:color="auto" w:fill="auto"/>
            <w:noWrap/>
            <w:vAlign w:val="center"/>
            <w:hideMark/>
          </w:tcPr>
          <w:p w14:paraId="439B2BDF" w14:textId="77777777" w:rsidR="000643B5" w:rsidRPr="0084332C" w:rsidRDefault="000643B5" w:rsidP="00080E19">
            <w:pPr>
              <w:spacing w:after="0" w:line="240" w:lineRule="auto"/>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 </w:t>
            </w:r>
          </w:p>
        </w:tc>
        <w:tc>
          <w:tcPr>
            <w:tcW w:w="1134" w:type="dxa"/>
            <w:gridSpan w:val="2"/>
            <w:tcBorders>
              <w:top w:val="nil"/>
              <w:left w:val="nil"/>
              <w:bottom w:val="nil"/>
              <w:right w:val="single" w:sz="8" w:space="0" w:color="auto"/>
            </w:tcBorders>
            <w:shd w:val="clear" w:color="auto" w:fill="auto"/>
            <w:noWrap/>
            <w:vAlign w:val="center"/>
            <w:hideMark/>
          </w:tcPr>
          <w:p w14:paraId="32EEE5A6" w14:textId="77777777" w:rsidR="000643B5" w:rsidRPr="0084332C" w:rsidRDefault="000643B5" w:rsidP="00080E19">
            <w:pPr>
              <w:spacing w:after="0" w:line="240" w:lineRule="auto"/>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 </w:t>
            </w:r>
          </w:p>
        </w:tc>
      </w:tr>
      <w:tr w:rsidR="000643B5" w:rsidRPr="0084332C" w14:paraId="66CC9B6B"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49DD526A" w14:textId="77777777" w:rsidR="000643B5" w:rsidRPr="0084332C" w:rsidRDefault="000643B5" w:rsidP="00080E19">
            <w:pPr>
              <w:spacing w:after="0" w:line="240" w:lineRule="auto"/>
              <w:rPr>
                <w:rFonts w:ascii="Arial Narrow" w:eastAsia="Times New Roman" w:hAnsi="Arial Narrow" w:cs="Arial"/>
                <w:b/>
                <w:bCs/>
                <w:sz w:val="16"/>
                <w:szCs w:val="16"/>
                <w:lang w:eastAsia="pt-BR"/>
              </w:rPr>
            </w:pPr>
            <w:r w:rsidRPr="0084332C">
              <w:rPr>
                <w:rFonts w:ascii="Arial Narrow" w:eastAsia="Times New Roman" w:hAnsi="Arial Narrow" w:cs="Arial"/>
                <w:b/>
                <w:bCs/>
                <w:sz w:val="16"/>
                <w:szCs w:val="16"/>
                <w:lang w:eastAsia="pt-BR"/>
              </w:rPr>
              <w:t>RECEITA ORÇAMENTÁRIA (I)</w:t>
            </w:r>
          </w:p>
        </w:tc>
        <w:tc>
          <w:tcPr>
            <w:tcW w:w="1276" w:type="dxa"/>
            <w:tcBorders>
              <w:top w:val="nil"/>
              <w:left w:val="nil"/>
              <w:bottom w:val="nil"/>
              <w:right w:val="single" w:sz="8" w:space="0" w:color="auto"/>
            </w:tcBorders>
            <w:shd w:val="clear" w:color="auto" w:fill="auto"/>
            <w:vAlign w:val="center"/>
            <w:hideMark/>
          </w:tcPr>
          <w:p w14:paraId="4AAF83B9" w14:textId="77777777" w:rsidR="000643B5" w:rsidRPr="0084332C" w:rsidRDefault="000643B5" w:rsidP="00080E19">
            <w:pPr>
              <w:spacing w:after="0" w:line="240" w:lineRule="auto"/>
              <w:jc w:val="center"/>
              <w:rPr>
                <w:rFonts w:ascii="Arial Narrow" w:eastAsia="Times New Roman" w:hAnsi="Arial Narrow" w:cs="Arial"/>
                <w:b/>
                <w:bCs/>
                <w:sz w:val="16"/>
                <w:szCs w:val="16"/>
                <w:lang w:eastAsia="pt-BR"/>
              </w:rPr>
            </w:pPr>
            <w:r w:rsidRPr="0084332C">
              <w:rPr>
                <w:rFonts w:ascii="Arial Narrow" w:eastAsia="Times New Roman" w:hAnsi="Arial Narrow" w:cs="Arial"/>
                <w:b/>
                <w:bCs/>
                <w:sz w:val="16"/>
                <w:szCs w:val="16"/>
                <w:lang w:eastAsia="pt-BR"/>
              </w:rPr>
              <w:t>ABF.B010</w:t>
            </w:r>
          </w:p>
        </w:tc>
        <w:tc>
          <w:tcPr>
            <w:tcW w:w="1559" w:type="dxa"/>
            <w:tcBorders>
              <w:top w:val="nil"/>
              <w:left w:val="nil"/>
              <w:bottom w:val="nil"/>
              <w:right w:val="single" w:sz="8" w:space="0" w:color="auto"/>
            </w:tcBorders>
            <w:shd w:val="clear" w:color="auto" w:fill="auto"/>
            <w:vAlign w:val="center"/>
            <w:hideMark/>
          </w:tcPr>
          <w:p w14:paraId="4A5D3A88" w14:textId="77777777" w:rsidR="000643B5" w:rsidRPr="0084332C" w:rsidRDefault="000643B5" w:rsidP="00080E19">
            <w:pPr>
              <w:spacing w:after="0" w:line="240" w:lineRule="auto"/>
              <w:jc w:val="center"/>
              <w:rPr>
                <w:rFonts w:ascii="Arial Narrow" w:eastAsia="Times New Roman" w:hAnsi="Arial Narrow" w:cs="Arial"/>
                <w:b/>
                <w:bCs/>
                <w:sz w:val="16"/>
                <w:szCs w:val="16"/>
                <w:lang w:eastAsia="pt-BR"/>
              </w:rPr>
            </w:pPr>
            <w:r w:rsidRPr="0084332C">
              <w:rPr>
                <w:rFonts w:ascii="Arial Narrow" w:eastAsia="Times New Roman" w:hAnsi="Arial Narrow" w:cs="Arial"/>
                <w:b/>
                <w:bCs/>
                <w:sz w:val="16"/>
                <w:szCs w:val="16"/>
                <w:lang w:eastAsia="pt-BR"/>
              </w:rPr>
              <w:t>ABF.C010</w:t>
            </w:r>
          </w:p>
        </w:tc>
        <w:tc>
          <w:tcPr>
            <w:tcW w:w="1417" w:type="dxa"/>
            <w:tcBorders>
              <w:top w:val="nil"/>
              <w:left w:val="nil"/>
              <w:bottom w:val="nil"/>
              <w:right w:val="single" w:sz="8" w:space="0" w:color="auto"/>
            </w:tcBorders>
            <w:shd w:val="clear" w:color="auto" w:fill="auto"/>
            <w:vAlign w:val="center"/>
            <w:hideMark/>
          </w:tcPr>
          <w:p w14:paraId="759B4394" w14:textId="77777777" w:rsidR="000643B5" w:rsidRPr="0084332C" w:rsidRDefault="000643B5" w:rsidP="00080E19">
            <w:pPr>
              <w:spacing w:after="0" w:line="240" w:lineRule="auto"/>
              <w:jc w:val="center"/>
              <w:rPr>
                <w:rFonts w:ascii="Arial Narrow" w:eastAsia="Times New Roman" w:hAnsi="Arial Narrow" w:cs="Arial"/>
                <w:b/>
                <w:bCs/>
                <w:sz w:val="16"/>
                <w:szCs w:val="16"/>
                <w:lang w:eastAsia="pt-BR"/>
              </w:rPr>
            </w:pPr>
            <w:r w:rsidRPr="0084332C">
              <w:rPr>
                <w:rFonts w:ascii="Arial Narrow" w:eastAsia="Times New Roman" w:hAnsi="Arial Narrow" w:cs="Arial"/>
                <w:b/>
                <w:bCs/>
                <w:sz w:val="16"/>
                <w:szCs w:val="16"/>
                <w:lang w:eastAsia="pt-BR"/>
              </w:rPr>
              <w:t>ABF.D010</w:t>
            </w:r>
          </w:p>
        </w:tc>
        <w:tc>
          <w:tcPr>
            <w:tcW w:w="1276" w:type="dxa"/>
            <w:tcBorders>
              <w:top w:val="nil"/>
              <w:left w:val="nil"/>
              <w:bottom w:val="nil"/>
              <w:right w:val="single" w:sz="8" w:space="0" w:color="auto"/>
            </w:tcBorders>
            <w:shd w:val="clear" w:color="auto" w:fill="auto"/>
            <w:vAlign w:val="center"/>
            <w:hideMark/>
          </w:tcPr>
          <w:p w14:paraId="607C6C3D" w14:textId="77777777" w:rsidR="000643B5" w:rsidRPr="0084332C" w:rsidRDefault="000643B5" w:rsidP="00080E19">
            <w:pPr>
              <w:spacing w:after="0" w:line="240" w:lineRule="auto"/>
              <w:jc w:val="center"/>
              <w:rPr>
                <w:rFonts w:ascii="Arial Narrow" w:eastAsia="Times New Roman" w:hAnsi="Arial Narrow" w:cs="Arial"/>
                <w:b/>
                <w:bCs/>
                <w:sz w:val="16"/>
                <w:szCs w:val="16"/>
                <w:lang w:eastAsia="pt-BR"/>
              </w:rPr>
            </w:pPr>
            <w:r w:rsidRPr="0084332C">
              <w:rPr>
                <w:rFonts w:ascii="Arial Narrow" w:eastAsia="Times New Roman" w:hAnsi="Arial Narrow" w:cs="Arial"/>
                <w:b/>
                <w:bCs/>
                <w:sz w:val="16"/>
                <w:szCs w:val="16"/>
                <w:lang w:eastAsia="pt-BR"/>
              </w:rPr>
              <w:t>ABF.E010</w:t>
            </w:r>
          </w:p>
        </w:tc>
        <w:tc>
          <w:tcPr>
            <w:tcW w:w="1559" w:type="dxa"/>
            <w:gridSpan w:val="2"/>
            <w:tcBorders>
              <w:top w:val="nil"/>
              <w:left w:val="nil"/>
              <w:bottom w:val="nil"/>
              <w:right w:val="single" w:sz="8" w:space="0" w:color="auto"/>
            </w:tcBorders>
            <w:shd w:val="clear" w:color="auto" w:fill="auto"/>
            <w:vAlign w:val="center"/>
            <w:hideMark/>
          </w:tcPr>
          <w:p w14:paraId="20515A85" w14:textId="77777777" w:rsidR="000643B5" w:rsidRPr="0084332C" w:rsidRDefault="000643B5" w:rsidP="00080E19">
            <w:pPr>
              <w:spacing w:after="0" w:line="240" w:lineRule="auto"/>
              <w:jc w:val="center"/>
              <w:rPr>
                <w:rFonts w:ascii="Arial Narrow" w:eastAsia="Times New Roman" w:hAnsi="Arial Narrow" w:cs="Arial"/>
                <w:b/>
                <w:bCs/>
                <w:sz w:val="16"/>
                <w:szCs w:val="16"/>
                <w:lang w:eastAsia="pt-BR"/>
              </w:rPr>
            </w:pPr>
            <w:r w:rsidRPr="0084332C">
              <w:rPr>
                <w:rFonts w:ascii="Arial Narrow" w:eastAsia="Times New Roman" w:hAnsi="Arial Narrow" w:cs="Arial"/>
                <w:b/>
                <w:bCs/>
                <w:sz w:val="16"/>
                <w:szCs w:val="16"/>
                <w:lang w:eastAsia="pt-BR"/>
              </w:rPr>
              <w:t>ABF.F010</w:t>
            </w:r>
          </w:p>
        </w:tc>
        <w:tc>
          <w:tcPr>
            <w:tcW w:w="1134" w:type="dxa"/>
            <w:gridSpan w:val="2"/>
            <w:tcBorders>
              <w:top w:val="nil"/>
              <w:left w:val="nil"/>
              <w:bottom w:val="nil"/>
              <w:right w:val="single" w:sz="8" w:space="0" w:color="auto"/>
            </w:tcBorders>
            <w:shd w:val="clear" w:color="auto" w:fill="auto"/>
            <w:vAlign w:val="center"/>
            <w:hideMark/>
          </w:tcPr>
          <w:p w14:paraId="6C0A6B8B" w14:textId="77777777" w:rsidR="000643B5" w:rsidRPr="0084332C" w:rsidRDefault="000643B5" w:rsidP="00080E19">
            <w:pPr>
              <w:spacing w:after="0" w:line="240" w:lineRule="auto"/>
              <w:jc w:val="center"/>
              <w:rPr>
                <w:rFonts w:ascii="Arial Narrow" w:eastAsia="Times New Roman" w:hAnsi="Arial Narrow" w:cs="Arial"/>
                <w:b/>
                <w:bCs/>
                <w:sz w:val="16"/>
                <w:szCs w:val="16"/>
                <w:lang w:eastAsia="pt-BR"/>
              </w:rPr>
            </w:pPr>
            <w:r w:rsidRPr="0084332C">
              <w:rPr>
                <w:rFonts w:ascii="Arial Narrow" w:eastAsia="Times New Roman" w:hAnsi="Arial Narrow" w:cs="Arial"/>
                <w:b/>
                <w:bCs/>
                <w:sz w:val="16"/>
                <w:szCs w:val="16"/>
                <w:lang w:eastAsia="pt-BR"/>
              </w:rPr>
              <w:t>ABF.G010</w:t>
            </w:r>
          </w:p>
        </w:tc>
      </w:tr>
      <w:tr w:rsidR="000643B5" w:rsidRPr="0084332C" w14:paraId="681EA66C"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527355AD" w14:textId="77777777" w:rsidR="000643B5" w:rsidRPr="0084332C" w:rsidRDefault="000643B5" w:rsidP="00080E19">
            <w:pPr>
              <w:spacing w:after="0" w:line="240" w:lineRule="auto"/>
              <w:ind w:firstLineChars="100" w:firstLine="161"/>
              <w:rPr>
                <w:rFonts w:ascii="Arial Narrow" w:eastAsia="Times New Roman" w:hAnsi="Arial Narrow" w:cs="Arial"/>
                <w:b/>
                <w:bCs/>
                <w:sz w:val="16"/>
                <w:szCs w:val="16"/>
                <w:u w:val="single"/>
                <w:lang w:eastAsia="pt-BR"/>
              </w:rPr>
            </w:pPr>
            <w:r w:rsidRPr="0084332C">
              <w:rPr>
                <w:rFonts w:ascii="Arial Narrow" w:eastAsia="Times New Roman" w:hAnsi="Arial Narrow" w:cs="Arial"/>
                <w:b/>
                <w:bCs/>
                <w:sz w:val="16"/>
                <w:szCs w:val="16"/>
                <w:u w:val="single"/>
                <w:lang w:eastAsia="pt-BR"/>
              </w:rPr>
              <w:t>Ordinária</w:t>
            </w:r>
          </w:p>
        </w:tc>
        <w:tc>
          <w:tcPr>
            <w:tcW w:w="1276" w:type="dxa"/>
            <w:tcBorders>
              <w:top w:val="nil"/>
              <w:left w:val="nil"/>
              <w:bottom w:val="nil"/>
              <w:right w:val="single" w:sz="8" w:space="0" w:color="auto"/>
            </w:tcBorders>
            <w:shd w:val="clear" w:color="auto" w:fill="auto"/>
            <w:vAlign w:val="center"/>
            <w:hideMark/>
          </w:tcPr>
          <w:p w14:paraId="2DAAA6B7" w14:textId="77777777" w:rsidR="000643B5" w:rsidRPr="0084332C" w:rsidRDefault="000643B5" w:rsidP="00080E19">
            <w:pPr>
              <w:spacing w:after="0" w:line="240" w:lineRule="auto"/>
              <w:jc w:val="center"/>
              <w:rPr>
                <w:rFonts w:ascii="Arial Narrow" w:eastAsia="Times New Roman" w:hAnsi="Arial Narrow" w:cs="Arial"/>
                <w:b/>
                <w:bCs/>
                <w:sz w:val="16"/>
                <w:szCs w:val="16"/>
                <w:lang w:eastAsia="pt-BR"/>
              </w:rPr>
            </w:pPr>
            <w:r w:rsidRPr="0084332C">
              <w:rPr>
                <w:rFonts w:ascii="Arial Narrow" w:eastAsia="Times New Roman" w:hAnsi="Arial Narrow" w:cs="Arial"/>
                <w:b/>
                <w:bCs/>
                <w:sz w:val="16"/>
                <w:szCs w:val="16"/>
                <w:lang w:eastAsia="pt-BR"/>
              </w:rPr>
              <w:t>ABF.B011</w:t>
            </w:r>
          </w:p>
        </w:tc>
        <w:tc>
          <w:tcPr>
            <w:tcW w:w="1559" w:type="dxa"/>
            <w:tcBorders>
              <w:top w:val="nil"/>
              <w:left w:val="nil"/>
              <w:bottom w:val="nil"/>
              <w:right w:val="single" w:sz="8" w:space="0" w:color="auto"/>
            </w:tcBorders>
            <w:shd w:val="clear" w:color="auto" w:fill="auto"/>
            <w:vAlign w:val="center"/>
            <w:hideMark/>
          </w:tcPr>
          <w:p w14:paraId="06CA7E4B" w14:textId="77777777" w:rsidR="000643B5" w:rsidRPr="0084332C" w:rsidRDefault="000643B5" w:rsidP="00080E19">
            <w:pPr>
              <w:spacing w:after="0" w:line="240" w:lineRule="auto"/>
              <w:jc w:val="center"/>
              <w:rPr>
                <w:rFonts w:ascii="Arial Narrow" w:eastAsia="Times New Roman" w:hAnsi="Arial Narrow" w:cs="Arial"/>
                <w:b/>
                <w:bCs/>
                <w:sz w:val="16"/>
                <w:szCs w:val="16"/>
                <w:lang w:eastAsia="pt-BR"/>
              </w:rPr>
            </w:pPr>
            <w:r w:rsidRPr="0084332C">
              <w:rPr>
                <w:rFonts w:ascii="Arial Narrow" w:eastAsia="Times New Roman" w:hAnsi="Arial Narrow" w:cs="Arial"/>
                <w:b/>
                <w:bCs/>
                <w:sz w:val="16"/>
                <w:szCs w:val="16"/>
                <w:lang w:eastAsia="pt-BR"/>
              </w:rPr>
              <w:t>ABF.C011</w:t>
            </w:r>
          </w:p>
        </w:tc>
        <w:tc>
          <w:tcPr>
            <w:tcW w:w="1417" w:type="dxa"/>
            <w:tcBorders>
              <w:top w:val="nil"/>
              <w:left w:val="nil"/>
              <w:bottom w:val="nil"/>
              <w:right w:val="single" w:sz="8" w:space="0" w:color="auto"/>
            </w:tcBorders>
            <w:shd w:val="clear" w:color="auto" w:fill="auto"/>
            <w:vAlign w:val="center"/>
            <w:hideMark/>
          </w:tcPr>
          <w:p w14:paraId="215BC57C" w14:textId="77777777" w:rsidR="000643B5" w:rsidRPr="0084332C" w:rsidRDefault="000643B5" w:rsidP="00080E19">
            <w:pPr>
              <w:spacing w:after="0" w:line="240" w:lineRule="auto"/>
              <w:jc w:val="center"/>
              <w:rPr>
                <w:rFonts w:ascii="Arial Narrow" w:eastAsia="Times New Roman" w:hAnsi="Arial Narrow" w:cs="Arial"/>
                <w:b/>
                <w:bCs/>
                <w:sz w:val="16"/>
                <w:szCs w:val="16"/>
                <w:lang w:eastAsia="pt-BR"/>
              </w:rPr>
            </w:pPr>
            <w:r w:rsidRPr="0084332C">
              <w:rPr>
                <w:rFonts w:ascii="Arial Narrow" w:eastAsia="Times New Roman" w:hAnsi="Arial Narrow" w:cs="Arial"/>
                <w:b/>
                <w:bCs/>
                <w:sz w:val="16"/>
                <w:szCs w:val="16"/>
                <w:lang w:eastAsia="pt-BR"/>
              </w:rPr>
              <w:t>ABF.D011</w:t>
            </w:r>
          </w:p>
        </w:tc>
        <w:tc>
          <w:tcPr>
            <w:tcW w:w="1276" w:type="dxa"/>
            <w:tcBorders>
              <w:top w:val="nil"/>
              <w:left w:val="nil"/>
              <w:bottom w:val="nil"/>
              <w:right w:val="single" w:sz="8" w:space="0" w:color="auto"/>
            </w:tcBorders>
            <w:shd w:val="clear" w:color="auto" w:fill="auto"/>
            <w:vAlign w:val="center"/>
            <w:hideMark/>
          </w:tcPr>
          <w:p w14:paraId="58B3EF67" w14:textId="77777777" w:rsidR="000643B5" w:rsidRPr="0084332C" w:rsidRDefault="000643B5" w:rsidP="00080E19">
            <w:pPr>
              <w:spacing w:after="0" w:line="240" w:lineRule="auto"/>
              <w:jc w:val="center"/>
              <w:rPr>
                <w:rFonts w:ascii="Arial Narrow" w:eastAsia="Times New Roman" w:hAnsi="Arial Narrow" w:cs="Arial"/>
                <w:b/>
                <w:bCs/>
                <w:sz w:val="16"/>
                <w:szCs w:val="16"/>
                <w:lang w:eastAsia="pt-BR"/>
              </w:rPr>
            </w:pPr>
            <w:r w:rsidRPr="0084332C">
              <w:rPr>
                <w:rFonts w:ascii="Arial Narrow" w:eastAsia="Times New Roman" w:hAnsi="Arial Narrow" w:cs="Arial"/>
                <w:b/>
                <w:bCs/>
                <w:sz w:val="16"/>
                <w:szCs w:val="16"/>
                <w:lang w:eastAsia="pt-BR"/>
              </w:rPr>
              <w:t>ABF.E011</w:t>
            </w:r>
          </w:p>
        </w:tc>
        <w:tc>
          <w:tcPr>
            <w:tcW w:w="1559" w:type="dxa"/>
            <w:gridSpan w:val="2"/>
            <w:tcBorders>
              <w:top w:val="nil"/>
              <w:left w:val="nil"/>
              <w:bottom w:val="nil"/>
              <w:right w:val="single" w:sz="8" w:space="0" w:color="auto"/>
            </w:tcBorders>
            <w:shd w:val="clear" w:color="auto" w:fill="auto"/>
            <w:vAlign w:val="center"/>
            <w:hideMark/>
          </w:tcPr>
          <w:p w14:paraId="09F41598" w14:textId="77777777" w:rsidR="000643B5" w:rsidRPr="0084332C" w:rsidRDefault="000643B5" w:rsidP="00080E19">
            <w:pPr>
              <w:spacing w:after="0" w:line="240" w:lineRule="auto"/>
              <w:jc w:val="center"/>
              <w:rPr>
                <w:rFonts w:ascii="Arial Narrow" w:eastAsia="Times New Roman" w:hAnsi="Arial Narrow" w:cs="Arial"/>
                <w:b/>
                <w:bCs/>
                <w:sz w:val="16"/>
                <w:szCs w:val="16"/>
                <w:lang w:eastAsia="pt-BR"/>
              </w:rPr>
            </w:pPr>
            <w:r w:rsidRPr="0084332C">
              <w:rPr>
                <w:rFonts w:ascii="Arial Narrow" w:eastAsia="Times New Roman" w:hAnsi="Arial Narrow" w:cs="Arial"/>
                <w:b/>
                <w:bCs/>
                <w:sz w:val="16"/>
                <w:szCs w:val="16"/>
                <w:lang w:eastAsia="pt-BR"/>
              </w:rPr>
              <w:t>ABF.F011</w:t>
            </w:r>
          </w:p>
        </w:tc>
        <w:tc>
          <w:tcPr>
            <w:tcW w:w="1134" w:type="dxa"/>
            <w:gridSpan w:val="2"/>
            <w:tcBorders>
              <w:top w:val="nil"/>
              <w:left w:val="nil"/>
              <w:bottom w:val="nil"/>
              <w:right w:val="single" w:sz="8" w:space="0" w:color="auto"/>
            </w:tcBorders>
            <w:shd w:val="clear" w:color="auto" w:fill="auto"/>
            <w:vAlign w:val="center"/>
            <w:hideMark/>
          </w:tcPr>
          <w:p w14:paraId="73ED0D28" w14:textId="77777777" w:rsidR="000643B5" w:rsidRPr="0084332C" w:rsidRDefault="000643B5" w:rsidP="00080E19">
            <w:pPr>
              <w:spacing w:after="0" w:line="240" w:lineRule="auto"/>
              <w:jc w:val="center"/>
              <w:rPr>
                <w:rFonts w:ascii="Arial Narrow" w:eastAsia="Times New Roman" w:hAnsi="Arial Narrow" w:cs="Arial"/>
                <w:b/>
                <w:bCs/>
                <w:sz w:val="16"/>
                <w:szCs w:val="16"/>
                <w:lang w:eastAsia="pt-BR"/>
              </w:rPr>
            </w:pPr>
            <w:r w:rsidRPr="0084332C">
              <w:rPr>
                <w:rFonts w:ascii="Arial Narrow" w:eastAsia="Times New Roman" w:hAnsi="Arial Narrow" w:cs="Arial"/>
                <w:b/>
                <w:bCs/>
                <w:sz w:val="16"/>
                <w:szCs w:val="16"/>
                <w:lang w:eastAsia="pt-BR"/>
              </w:rPr>
              <w:t>ABF.G011</w:t>
            </w:r>
          </w:p>
        </w:tc>
      </w:tr>
      <w:tr w:rsidR="000643B5" w:rsidRPr="0084332C" w14:paraId="023F2A4C"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7AE376D7" w14:textId="77777777" w:rsidR="000643B5" w:rsidRPr="0084332C" w:rsidRDefault="000643B5" w:rsidP="00080E19">
            <w:pPr>
              <w:spacing w:after="0" w:line="240" w:lineRule="auto"/>
              <w:ind w:firstLineChars="200" w:firstLine="320"/>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101 - RECURSOS ORDINÁRIOS</w:t>
            </w:r>
          </w:p>
        </w:tc>
        <w:tc>
          <w:tcPr>
            <w:tcW w:w="1276" w:type="dxa"/>
            <w:tcBorders>
              <w:top w:val="nil"/>
              <w:left w:val="nil"/>
              <w:bottom w:val="nil"/>
              <w:right w:val="single" w:sz="8" w:space="0" w:color="auto"/>
            </w:tcBorders>
            <w:shd w:val="clear" w:color="auto" w:fill="auto"/>
            <w:vAlign w:val="center"/>
            <w:hideMark/>
          </w:tcPr>
          <w:p w14:paraId="03530EBE"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ABF.B501</w:t>
            </w:r>
          </w:p>
        </w:tc>
        <w:tc>
          <w:tcPr>
            <w:tcW w:w="1559" w:type="dxa"/>
            <w:tcBorders>
              <w:top w:val="nil"/>
              <w:left w:val="nil"/>
              <w:bottom w:val="nil"/>
              <w:right w:val="single" w:sz="8" w:space="0" w:color="auto"/>
            </w:tcBorders>
            <w:shd w:val="clear" w:color="auto" w:fill="auto"/>
            <w:vAlign w:val="center"/>
            <w:hideMark/>
          </w:tcPr>
          <w:p w14:paraId="24695396"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ABF.C501</w:t>
            </w:r>
          </w:p>
        </w:tc>
        <w:tc>
          <w:tcPr>
            <w:tcW w:w="1417" w:type="dxa"/>
            <w:tcBorders>
              <w:top w:val="nil"/>
              <w:left w:val="nil"/>
              <w:bottom w:val="nil"/>
              <w:right w:val="single" w:sz="8" w:space="0" w:color="auto"/>
            </w:tcBorders>
            <w:shd w:val="clear" w:color="auto" w:fill="auto"/>
            <w:vAlign w:val="center"/>
            <w:hideMark/>
          </w:tcPr>
          <w:p w14:paraId="77B85CAF"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ABF.D501</w:t>
            </w:r>
          </w:p>
        </w:tc>
        <w:tc>
          <w:tcPr>
            <w:tcW w:w="1276" w:type="dxa"/>
            <w:tcBorders>
              <w:top w:val="nil"/>
              <w:left w:val="nil"/>
              <w:bottom w:val="nil"/>
              <w:right w:val="single" w:sz="8" w:space="0" w:color="auto"/>
            </w:tcBorders>
            <w:shd w:val="clear" w:color="auto" w:fill="auto"/>
            <w:vAlign w:val="center"/>
            <w:hideMark/>
          </w:tcPr>
          <w:p w14:paraId="76C8A972"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ABF.E501</w:t>
            </w:r>
          </w:p>
        </w:tc>
        <w:tc>
          <w:tcPr>
            <w:tcW w:w="1559" w:type="dxa"/>
            <w:gridSpan w:val="2"/>
            <w:tcBorders>
              <w:top w:val="nil"/>
              <w:left w:val="nil"/>
              <w:bottom w:val="nil"/>
              <w:right w:val="single" w:sz="8" w:space="0" w:color="auto"/>
            </w:tcBorders>
            <w:shd w:val="clear" w:color="auto" w:fill="auto"/>
            <w:vAlign w:val="center"/>
            <w:hideMark/>
          </w:tcPr>
          <w:p w14:paraId="0B196EA2"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ABF.F501</w:t>
            </w:r>
          </w:p>
        </w:tc>
        <w:tc>
          <w:tcPr>
            <w:tcW w:w="1134" w:type="dxa"/>
            <w:gridSpan w:val="2"/>
            <w:tcBorders>
              <w:top w:val="nil"/>
              <w:left w:val="nil"/>
              <w:bottom w:val="nil"/>
              <w:right w:val="single" w:sz="8" w:space="0" w:color="auto"/>
            </w:tcBorders>
            <w:shd w:val="clear" w:color="auto" w:fill="auto"/>
            <w:vAlign w:val="center"/>
            <w:hideMark/>
          </w:tcPr>
          <w:p w14:paraId="69B5E5D6"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ABF.G501</w:t>
            </w:r>
          </w:p>
        </w:tc>
      </w:tr>
      <w:tr w:rsidR="000643B5" w:rsidRPr="0084332C" w14:paraId="4FB0F769"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4C465A22" w14:textId="77777777" w:rsidR="000643B5" w:rsidRPr="0084332C" w:rsidRDefault="000643B5" w:rsidP="00080E19">
            <w:pPr>
              <w:spacing w:after="0" w:line="240" w:lineRule="auto"/>
              <w:ind w:firstLineChars="200" w:firstLine="320"/>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301 - SUPERÁVIT FINANCEIRO - RECURSOS ORDINÁRIOS</w:t>
            </w:r>
          </w:p>
        </w:tc>
        <w:tc>
          <w:tcPr>
            <w:tcW w:w="1276" w:type="dxa"/>
            <w:tcBorders>
              <w:top w:val="nil"/>
              <w:left w:val="nil"/>
              <w:bottom w:val="nil"/>
              <w:right w:val="single" w:sz="8" w:space="0" w:color="auto"/>
            </w:tcBorders>
            <w:shd w:val="clear" w:color="auto" w:fill="auto"/>
            <w:vAlign w:val="center"/>
            <w:hideMark/>
          </w:tcPr>
          <w:p w14:paraId="41FCB0DB"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ABF.B502</w:t>
            </w:r>
          </w:p>
        </w:tc>
        <w:tc>
          <w:tcPr>
            <w:tcW w:w="1559" w:type="dxa"/>
            <w:tcBorders>
              <w:top w:val="nil"/>
              <w:left w:val="nil"/>
              <w:bottom w:val="nil"/>
              <w:right w:val="single" w:sz="8" w:space="0" w:color="auto"/>
            </w:tcBorders>
            <w:shd w:val="clear" w:color="auto" w:fill="auto"/>
            <w:vAlign w:val="center"/>
            <w:hideMark/>
          </w:tcPr>
          <w:p w14:paraId="16199E9F"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ABF.C502</w:t>
            </w:r>
          </w:p>
        </w:tc>
        <w:tc>
          <w:tcPr>
            <w:tcW w:w="1417" w:type="dxa"/>
            <w:tcBorders>
              <w:top w:val="nil"/>
              <w:left w:val="nil"/>
              <w:bottom w:val="nil"/>
              <w:right w:val="single" w:sz="8" w:space="0" w:color="auto"/>
            </w:tcBorders>
            <w:shd w:val="clear" w:color="auto" w:fill="auto"/>
            <w:vAlign w:val="center"/>
            <w:hideMark/>
          </w:tcPr>
          <w:p w14:paraId="6FE7042A"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ABF.D502</w:t>
            </w:r>
          </w:p>
        </w:tc>
        <w:tc>
          <w:tcPr>
            <w:tcW w:w="1276" w:type="dxa"/>
            <w:tcBorders>
              <w:top w:val="nil"/>
              <w:left w:val="nil"/>
              <w:bottom w:val="nil"/>
              <w:right w:val="single" w:sz="8" w:space="0" w:color="auto"/>
            </w:tcBorders>
            <w:shd w:val="clear" w:color="auto" w:fill="auto"/>
            <w:vAlign w:val="center"/>
            <w:hideMark/>
          </w:tcPr>
          <w:p w14:paraId="0C97A743"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ABF.E502</w:t>
            </w:r>
          </w:p>
        </w:tc>
        <w:tc>
          <w:tcPr>
            <w:tcW w:w="1559" w:type="dxa"/>
            <w:gridSpan w:val="2"/>
            <w:tcBorders>
              <w:top w:val="nil"/>
              <w:left w:val="nil"/>
              <w:bottom w:val="nil"/>
              <w:right w:val="single" w:sz="8" w:space="0" w:color="auto"/>
            </w:tcBorders>
            <w:shd w:val="clear" w:color="auto" w:fill="auto"/>
            <w:vAlign w:val="center"/>
            <w:hideMark/>
          </w:tcPr>
          <w:p w14:paraId="30F86D50"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ABF.F502</w:t>
            </w:r>
          </w:p>
        </w:tc>
        <w:tc>
          <w:tcPr>
            <w:tcW w:w="1134" w:type="dxa"/>
            <w:gridSpan w:val="2"/>
            <w:tcBorders>
              <w:top w:val="nil"/>
              <w:left w:val="nil"/>
              <w:bottom w:val="nil"/>
              <w:right w:val="single" w:sz="8" w:space="0" w:color="auto"/>
            </w:tcBorders>
            <w:shd w:val="clear" w:color="auto" w:fill="auto"/>
            <w:vAlign w:val="center"/>
            <w:hideMark/>
          </w:tcPr>
          <w:p w14:paraId="458663D7"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ABF.G502</w:t>
            </w:r>
          </w:p>
        </w:tc>
      </w:tr>
      <w:tr w:rsidR="000643B5" w:rsidRPr="0084332C" w14:paraId="112867CD"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53105BD9" w14:textId="77777777" w:rsidR="000643B5" w:rsidRPr="0084332C" w:rsidRDefault="000643B5" w:rsidP="00080E19">
            <w:pPr>
              <w:spacing w:after="0" w:line="240" w:lineRule="auto"/>
              <w:ind w:firstLineChars="100" w:firstLine="161"/>
              <w:rPr>
                <w:rFonts w:ascii="Arial Narrow" w:eastAsia="Times New Roman" w:hAnsi="Arial Narrow" w:cs="Arial"/>
                <w:b/>
                <w:bCs/>
                <w:sz w:val="16"/>
                <w:szCs w:val="16"/>
                <w:u w:val="single"/>
                <w:lang w:eastAsia="pt-BR"/>
              </w:rPr>
            </w:pPr>
            <w:r w:rsidRPr="0084332C">
              <w:rPr>
                <w:rFonts w:ascii="Arial Narrow" w:eastAsia="Times New Roman" w:hAnsi="Arial Narrow" w:cs="Arial"/>
                <w:b/>
                <w:bCs/>
                <w:sz w:val="16"/>
                <w:szCs w:val="16"/>
                <w:u w:val="single"/>
                <w:lang w:eastAsia="pt-BR"/>
              </w:rPr>
              <w:t>Vinculada</w:t>
            </w:r>
          </w:p>
        </w:tc>
        <w:tc>
          <w:tcPr>
            <w:tcW w:w="1276" w:type="dxa"/>
            <w:tcBorders>
              <w:top w:val="nil"/>
              <w:left w:val="nil"/>
              <w:bottom w:val="nil"/>
              <w:right w:val="single" w:sz="8" w:space="0" w:color="auto"/>
            </w:tcBorders>
            <w:shd w:val="clear" w:color="auto" w:fill="auto"/>
            <w:vAlign w:val="center"/>
            <w:hideMark/>
          </w:tcPr>
          <w:p w14:paraId="35A07278" w14:textId="77777777" w:rsidR="000643B5" w:rsidRPr="0084332C" w:rsidRDefault="000643B5" w:rsidP="00080E19">
            <w:pPr>
              <w:spacing w:after="0" w:line="240" w:lineRule="auto"/>
              <w:jc w:val="center"/>
              <w:rPr>
                <w:rFonts w:ascii="Arial Narrow" w:eastAsia="Times New Roman" w:hAnsi="Arial Narrow" w:cs="Arial"/>
                <w:b/>
                <w:bCs/>
                <w:sz w:val="16"/>
                <w:szCs w:val="16"/>
                <w:lang w:eastAsia="pt-BR"/>
              </w:rPr>
            </w:pPr>
            <w:r w:rsidRPr="0084332C">
              <w:rPr>
                <w:rFonts w:ascii="Arial Narrow" w:eastAsia="Times New Roman" w:hAnsi="Arial Narrow" w:cs="Arial"/>
                <w:b/>
                <w:bCs/>
                <w:sz w:val="16"/>
                <w:szCs w:val="16"/>
                <w:lang w:eastAsia="pt-BR"/>
              </w:rPr>
              <w:t>ABF.B012</w:t>
            </w:r>
          </w:p>
        </w:tc>
        <w:tc>
          <w:tcPr>
            <w:tcW w:w="1559" w:type="dxa"/>
            <w:tcBorders>
              <w:top w:val="nil"/>
              <w:left w:val="nil"/>
              <w:bottom w:val="nil"/>
              <w:right w:val="single" w:sz="8" w:space="0" w:color="auto"/>
            </w:tcBorders>
            <w:shd w:val="clear" w:color="auto" w:fill="auto"/>
            <w:vAlign w:val="center"/>
            <w:hideMark/>
          </w:tcPr>
          <w:p w14:paraId="675428E1" w14:textId="77777777" w:rsidR="000643B5" w:rsidRPr="0084332C" w:rsidRDefault="000643B5" w:rsidP="00080E19">
            <w:pPr>
              <w:spacing w:after="0" w:line="240" w:lineRule="auto"/>
              <w:jc w:val="center"/>
              <w:rPr>
                <w:rFonts w:ascii="Arial Narrow" w:eastAsia="Times New Roman" w:hAnsi="Arial Narrow" w:cs="Arial"/>
                <w:b/>
                <w:bCs/>
                <w:sz w:val="16"/>
                <w:szCs w:val="16"/>
                <w:lang w:eastAsia="pt-BR"/>
              </w:rPr>
            </w:pPr>
            <w:r w:rsidRPr="0084332C">
              <w:rPr>
                <w:rFonts w:ascii="Arial Narrow" w:eastAsia="Times New Roman" w:hAnsi="Arial Narrow" w:cs="Arial"/>
                <w:b/>
                <w:bCs/>
                <w:sz w:val="16"/>
                <w:szCs w:val="16"/>
                <w:lang w:eastAsia="pt-BR"/>
              </w:rPr>
              <w:t>ABF.C012</w:t>
            </w:r>
          </w:p>
        </w:tc>
        <w:tc>
          <w:tcPr>
            <w:tcW w:w="1417" w:type="dxa"/>
            <w:tcBorders>
              <w:top w:val="nil"/>
              <w:left w:val="nil"/>
              <w:bottom w:val="nil"/>
              <w:right w:val="single" w:sz="8" w:space="0" w:color="auto"/>
            </w:tcBorders>
            <w:shd w:val="clear" w:color="auto" w:fill="auto"/>
            <w:vAlign w:val="center"/>
            <w:hideMark/>
          </w:tcPr>
          <w:p w14:paraId="22B11DED" w14:textId="77777777" w:rsidR="000643B5" w:rsidRPr="0084332C" w:rsidRDefault="000643B5" w:rsidP="00080E19">
            <w:pPr>
              <w:spacing w:after="0" w:line="240" w:lineRule="auto"/>
              <w:jc w:val="center"/>
              <w:rPr>
                <w:rFonts w:ascii="Arial Narrow" w:eastAsia="Times New Roman" w:hAnsi="Arial Narrow" w:cs="Arial"/>
                <w:b/>
                <w:bCs/>
                <w:sz w:val="16"/>
                <w:szCs w:val="16"/>
                <w:lang w:eastAsia="pt-BR"/>
              </w:rPr>
            </w:pPr>
            <w:r w:rsidRPr="0084332C">
              <w:rPr>
                <w:rFonts w:ascii="Arial Narrow" w:eastAsia="Times New Roman" w:hAnsi="Arial Narrow" w:cs="Arial"/>
                <w:b/>
                <w:bCs/>
                <w:sz w:val="16"/>
                <w:szCs w:val="16"/>
                <w:lang w:eastAsia="pt-BR"/>
              </w:rPr>
              <w:t>ABF.D012</w:t>
            </w:r>
          </w:p>
        </w:tc>
        <w:tc>
          <w:tcPr>
            <w:tcW w:w="1276" w:type="dxa"/>
            <w:tcBorders>
              <w:top w:val="nil"/>
              <w:left w:val="nil"/>
              <w:bottom w:val="nil"/>
              <w:right w:val="single" w:sz="8" w:space="0" w:color="auto"/>
            </w:tcBorders>
            <w:shd w:val="clear" w:color="auto" w:fill="auto"/>
            <w:vAlign w:val="center"/>
            <w:hideMark/>
          </w:tcPr>
          <w:p w14:paraId="7FD5CCEF" w14:textId="77777777" w:rsidR="000643B5" w:rsidRPr="0084332C" w:rsidRDefault="000643B5" w:rsidP="00080E19">
            <w:pPr>
              <w:spacing w:after="0" w:line="240" w:lineRule="auto"/>
              <w:jc w:val="center"/>
              <w:rPr>
                <w:rFonts w:ascii="Arial Narrow" w:eastAsia="Times New Roman" w:hAnsi="Arial Narrow" w:cs="Arial"/>
                <w:b/>
                <w:bCs/>
                <w:sz w:val="16"/>
                <w:szCs w:val="16"/>
                <w:lang w:eastAsia="pt-BR"/>
              </w:rPr>
            </w:pPr>
            <w:r w:rsidRPr="0084332C">
              <w:rPr>
                <w:rFonts w:ascii="Arial Narrow" w:eastAsia="Times New Roman" w:hAnsi="Arial Narrow" w:cs="Arial"/>
                <w:b/>
                <w:bCs/>
                <w:sz w:val="16"/>
                <w:szCs w:val="16"/>
                <w:lang w:eastAsia="pt-BR"/>
              </w:rPr>
              <w:t>ABF.E012</w:t>
            </w:r>
          </w:p>
        </w:tc>
        <w:tc>
          <w:tcPr>
            <w:tcW w:w="1559" w:type="dxa"/>
            <w:gridSpan w:val="2"/>
            <w:tcBorders>
              <w:top w:val="nil"/>
              <w:left w:val="nil"/>
              <w:bottom w:val="nil"/>
              <w:right w:val="single" w:sz="8" w:space="0" w:color="auto"/>
            </w:tcBorders>
            <w:shd w:val="clear" w:color="auto" w:fill="auto"/>
            <w:vAlign w:val="center"/>
            <w:hideMark/>
          </w:tcPr>
          <w:p w14:paraId="4823E3BC" w14:textId="77777777" w:rsidR="000643B5" w:rsidRPr="0084332C" w:rsidRDefault="000643B5" w:rsidP="00080E19">
            <w:pPr>
              <w:spacing w:after="0" w:line="240" w:lineRule="auto"/>
              <w:jc w:val="center"/>
              <w:rPr>
                <w:rFonts w:ascii="Arial Narrow" w:eastAsia="Times New Roman" w:hAnsi="Arial Narrow" w:cs="Arial"/>
                <w:b/>
                <w:bCs/>
                <w:sz w:val="16"/>
                <w:szCs w:val="16"/>
                <w:lang w:eastAsia="pt-BR"/>
              </w:rPr>
            </w:pPr>
            <w:r w:rsidRPr="0084332C">
              <w:rPr>
                <w:rFonts w:ascii="Arial Narrow" w:eastAsia="Times New Roman" w:hAnsi="Arial Narrow" w:cs="Arial"/>
                <w:b/>
                <w:bCs/>
                <w:sz w:val="16"/>
                <w:szCs w:val="16"/>
                <w:lang w:eastAsia="pt-BR"/>
              </w:rPr>
              <w:t>ABF.F012</w:t>
            </w:r>
          </w:p>
        </w:tc>
        <w:tc>
          <w:tcPr>
            <w:tcW w:w="1134" w:type="dxa"/>
            <w:gridSpan w:val="2"/>
            <w:tcBorders>
              <w:top w:val="nil"/>
              <w:left w:val="nil"/>
              <w:bottom w:val="nil"/>
              <w:right w:val="single" w:sz="8" w:space="0" w:color="auto"/>
            </w:tcBorders>
            <w:shd w:val="clear" w:color="auto" w:fill="auto"/>
            <w:vAlign w:val="center"/>
            <w:hideMark/>
          </w:tcPr>
          <w:p w14:paraId="23E48754" w14:textId="77777777" w:rsidR="000643B5" w:rsidRPr="0084332C" w:rsidRDefault="000643B5" w:rsidP="00080E19">
            <w:pPr>
              <w:spacing w:after="0" w:line="240" w:lineRule="auto"/>
              <w:jc w:val="center"/>
              <w:rPr>
                <w:rFonts w:ascii="Arial Narrow" w:eastAsia="Times New Roman" w:hAnsi="Arial Narrow" w:cs="Arial"/>
                <w:b/>
                <w:bCs/>
                <w:sz w:val="16"/>
                <w:szCs w:val="16"/>
                <w:lang w:eastAsia="pt-BR"/>
              </w:rPr>
            </w:pPr>
            <w:r w:rsidRPr="0084332C">
              <w:rPr>
                <w:rFonts w:ascii="Arial Narrow" w:eastAsia="Times New Roman" w:hAnsi="Arial Narrow" w:cs="Arial"/>
                <w:b/>
                <w:bCs/>
                <w:sz w:val="16"/>
                <w:szCs w:val="16"/>
                <w:lang w:eastAsia="pt-BR"/>
              </w:rPr>
              <w:t>ABF.G012</w:t>
            </w:r>
          </w:p>
        </w:tc>
      </w:tr>
      <w:tr w:rsidR="000643B5" w:rsidRPr="0084332C" w14:paraId="7181D76B"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5622E57C" w14:textId="77777777" w:rsidR="000643B5" w:rsidRPr="0084332C" w:rsidRDefault="000643B5" w:rsidP="00080E19">
            <w:pPr>
              <w:spacing w:after="0" w:line="240" w:lineRule="auto"/>
              <w:ind w:firstLineChars="100" w:firstLine="161"/>
              <w:rPr>
                <w:rFonts w:ascii="Arial Narrow" w:eastAsia="Times New Roman" w:hAnsi="Arial Narrow" w:cs="Arial"/>
                <w:b/>
                <w:bCs/>
                <w:sz w:val="16"/>
                <w:szCs w:val="16"/>
                <w:lang w:eastAsia="pt-BR"/>
              </w:rPr>
            </w:pPr>
            <w:r w:rsidRPr="0084332C">
              <w:rPr>
                <w:rFonts w:ascii="Arial Narrow" w:eastAsia="Times New Roman" w:hAnsi="Arial Narrow" w:cs="Arial"/>
                <w:b/>
                <w:bCs/>
                <w:sz w:val="16"/>
                <w:szCs w:val="16"/>
                <w:lang w:eastAsia="pt-BR"/>
              </w:rPr>
              <w:t xml:space="preserve">  Recursos Vinculados à Educação </w:t>
            </w:r>
          </w:p>
        </w:tc>
        <w:tc>
          <w:tcPr>
            <w:tcW w:w="1276" w:type="dxa"/>
            <w:tcBorders>
              <w:top w:val="nil"/>
              <w:left w:val="nil"/>
              <w:bottom w:val="nil"/>
              <w:right w:val="single" w:sz="8" w:space="0" w:color="auto"/>
            </w:tcBorders>
            <w:shd w:val="clear" w:color="auto" w:fill="auto"/>
            <w:vAlign w:val="center"/>
            <w:hideMark/>
          </w:tcPr>
          <w:p w14:paraId="13CAA0DD" w14:textId="77777777" w:rsidR="000643B5" w:rsidRPr="0084332C" w:rsidRDefault="000643B5" w:rsidP="00080E19">
            <w:pPr>
              <w:spacing w:after="0" w:line="240" w:lineRule="auto"/>
              <w:jc w:val="center"/>
              <w:rPr>
                <w:rFonts w:ascii="Arial Narrow" w:eastAsia="Times New Roman" w:hAnsi="Arial Narrow" w:cs="Arial"/>
                <w:b/>
                <w:bCs/>
                <w:sz w:val="16"/>
                <w:szCs w:val="16"/>
                <w:lang w:eastAsia="pt-BR"/>
              </w:rPr>
            </w:pPr>
            <w:r w:rsidRPr="0084332C">
              <w:rPr>
                <w:rFonts w:ascii="Arial Narrow" w:eastAsia="Times New Roman" w:hAnsi="Arial Narrow" w:cs="Arial"/>
                <w:b/>
                <w:bCs/>
                <w:sz w:val="16"/>
                <w:szCs w:val="16"/>
                <w:lang w:eastAsia="pt-BR"/>
              </w:rPr>
              <w:t>ABF.B013</w:t>
            </w:r>
          </w:p>
        </w:tc>
        <w:tc>
          <w:tcPr>
            <w:tcW w:w="1559" w:type="dxa"/>
            <w:tcBorders>
              <w:top w:val="nil"/>
              <w:left w:val="nil"/>
              <w:bottom w:val="nil"/>
              <w:right w:val="single" w:sz="8" w:space="0" w:color="auto"/>
            </w:tcBorders>
            <w:shd w:val="clear" w:color="auto" w:fill="auto"/>
            <w:vAlign w:val="center"/>
            <w:hideMark/>
          </w:tcPr>
          <w:p w14:paraId="5F89F774" w14:textId="77777777" w:rsidR="000643B5" w:rsidRPr="0084332C" w:rsidRDefault="000643B5" w:rsidP="00080E19">
            <w:pPr>
              <w:spacing w:after="0" w:line="240" w:lineRule="auto"/>
              <w:jc w:val="center"/>
              <w:rPr>
                <w:rFonts w:ascii="Arial Narrow" w:eastAsia="Times New Roman" w:hAnsi="Arial Narrow" w:cs="Arial"/>
                <w:b/>
                <w:bCs/>
                <w:sz w:val="16"/>
                <w:szCs w:val="16"/>
                <w:lang w:eastAsia="pt-BR"/>
              </w:rPr>
            </w:pPr>
            <w:r w:rsidRPr="0084332C">
              <w:rPr>
                <w:rFonts w:ascii="Arial Narrow" w:eastAsia="Times New Roman" w:hAnsi="Arial Narrow" w:cs="Arial"/>
                <w:b/>
                <w:bCs/>
                <w:sz w:val="16"/>
                <w:szCs w:val="16"/>
                <w:lang w:eastAsia="pt-BR"/>
              </w:rPr>
              <w:t>ABF.C013</w:t>
            </w:r>
          </w:p>
        </w:tc>
        <w:tc>
          <w:tcPr>
            <w:tcW w:w="1417" w:type="dxa"/>
            <w:tcBorders>
              <w:top w:val="nil"/>
              <w:left w:val="nil"/>
              <w:bottom w:val="nil"/>
              <w:right w:val="single" w:sz="8" w:space="0" w:color="auto"/>
            </w:tcBorders>
            <w:shd w:val="clear" w:color="auto" w:fill="auto"/>
            <w:vAlign w:val="center"/>
            <w:hideMark/>
          </w:tcPr>
          <w:p w14:paraId="4AE70DAF" w14:textId="77777777" w:rsidR="000643B5" w:rsidRPr="0084332C" w:rsidRDefault="000643B5" w:rsidP="00080E19">
            <w:pPr>
              <w:spacing w:after="0" w:line="240" w:lineRule="auto"/>
              <w:jc w:val="center"/>
              <w:rPr>
                <w:rFonts w:ascii="Arial Narrow" w:eastAsia="Times New Roman" w:hAnsi="Arial Narrow" w:cs="Arial"/>
                <w:b/>
                <w:bCs/>
                <w:sz w:val="16"/>
                <w:szCs w:val="16"/>
                <w:lang w:eastAsia="pt-BR"/>
              </w:rPr>
            </w:pPr>
            <w:r w:rsidRPr="0084332C">
              <w:rPr>
                <w:rFonts w:ascii="Arial Narrow" w:eastAsia="Times New Roman" w:hAnsi="Arial Narrow" w:cs="Arial"/>
                <w:b/>
                <w:bCs/>
                <w:sz w:val="16"/>
                <w:szCs w:val="16"/>
                <w:lang w:eastAsia="pt-BR"/>
              </w:rPr>
              <w:t>ABF.D013</w:t>
            </w:r>
          </w:p>
        </w:tc>
        <w:tc>
          <w:tcPr>
            <w:tcW w:w="1276" w:type="dxa"/>
            <w:tcBorders>
              <w:top w:val="nil"/>
              <w:left w:val="nil"/>
              <w:bottom w:val="nil"/>
              <w:right w:val="single" w:sz="8" w:space="0" w:color="auto"/>
            </w:tcBorders>
            <w:shd w:val="clear" w:color="auto" w:fill="auto"/>
            <w:vAlign w:val="center"/>
            <w:hideMark/>
          </w:tcPr>
          <w:p w14:paraId="1D04C5AC" w14:textId="77777777" w:rsidR="000643B5" w:rsidRPr="0084332C" w:rsidRDefault="000643B5" w:rsidP="00080E19">
            <w:pPr>
              <w:spacing w:after="0" w:line="240" w:lineRule="auto"/>
              <w:jc w:val="center"/>
              <w:rPr>
                <w:rFonts w:ascii="Arial Narrow" w:eastAsia="Times New Roman" w:hAnsi="Arial Narrow" w:cs="Arial"/>
                <w:b/>
                <w:bCs/>
                <w:sz w:val="16"/>
                <w:szCs w:val="16"/>
                <w:lang w:eastAsia="pt-BR"/>
              </w:rPr>
            </w:pPr>
            <w:r w:rsidRPr="0084332C">
              <w:rPr>
                <w:rFonts w:ascii="Arial Narrow" w:eastAsia="Times New Roman" w:hAnsi="Arial Narrow" w:cs="Arial"/>
                <w:b/>
                <w:bCs/>
                <w:sz w:val="16"/>
                <w:szCs w:val="16"/>
                <w:lang w:eastAsia="pt-BR"/>
              </w:rPr>
              <w:t>ABF.E013</w:t>
            </w:r>
          </w:p>
        </w:tc>
        <w:tc>
          <w:tcPr>
            <w:tcW w:w="1559" w:type="dxa"/>
            <w:gridSpan w:val="2"/>
            <w:tcBorders>
              <w:top w:val="nil"/>
              <w:left w:val="nil"/>
              <w:bottom w:val="nil"/>
              <w:right w:val="single" w:sz="8" w:space="0" w:color="auto"/>
            </w:tcBorders>
            <w:shd w:val="clear" w:color="auto" w:fill="auto"/>
            <w:vAlign w:val="center"/>
            <w:hideMark/>
          </w:tcPr>
          <w:p w14:paraId="5B201BD1" w14:textId="77777777" w:rsidR="000643B5" w:rsidRPr="0084332C" w:rsidRDefault="000643B5" w:rsidP="00080E19">
            <w:pPr>
              <w:spacing w:after="0" w:line="240" w:lineRule="auto"/>
              <w:jc w:val="center"/>
              <w:rPr>
                <w:rFonts w:ascii="Arial Narrow" w:eastAsia="Times New Roman" w:hAnsi="Arial Narrow" w:cs="Arial"/>
                <w:b/>
                <w:bCs/>
                <w:sz w:val="16"/>
                <w:szCs w:val="16"/>
                <w:lang w:eastAsia="pt-BR"/>
              </w:rPr>
            </w:pPr>
            <w:r w:rsidRPr="0084332C">
              <w:rPr>
                <w:rFonts w:ascii="Arial Narrow" w:eastAsia="Times New Roman" w:hAnsi="Arial Narrow" w:cs="Arial"/>
                <w:b/>
                <w:bCs/>
                <w:sz w:val="16"/>
                <w:szCs w:val="16"/>
                <w:lang w:eastAsia="pt-BR"/>
              </w:rPr>
              <w:t>ABF.F013</w:t>
            </w:r>
          </w:p>
        </w:tc>
        <w:tc>
          <w:tcPr>
            <w:tcW w:w="1134" w:type="dxa"/>
            <w:gridSpan w:val="2"/>
            <w:tcBorders>
              <w:top w:val="nil"/>
              <w:left w:val="nil"/>
              <w:bottom w:val="nil"/>
              <w:right w:val="single" w:sz="8" w:space="0" w:color="auto"/>
            </w:tcBorders>
            <w:shd w:val="clear" w:color="auto" w:fill="auto"/>
            <w:vAlign w:val="center"/>
            <w:hideMark/>
          </w:tcPr>
          <w:p w14:paraId="79D813F0" w14:textId="77777777" w:rsidR="000643B5" w:rsidRPr="0084332C" w:rsidRDefault="000643B5" w:rsidP="00080E19">
            <w:pPr>
              <w:spacing w:after="0" w:line="240" w:lineRule="auto"/>
              <w:jc w:val="center"/>
              <w:rPr>
                <w:rFonts w:ascii="Arial Narrow" w:eastAsia="Times New Roman" w:hAnsi="Arial Narrow" w:cs="Arial"/>
                <w:b/>
                <w:bCs/>
                <w:sz w:val="16"/>
                <w:szCs w:val="16"/>
                <w:lang w:eastAsia="pt-BR"/>
              </w:rPr>
            </w:pPr>
            <w:r w:rsidRPr="0084332C">
              <w:rPr>
                <w:rFonts w:ascii="Arial Narrow" w:eastAsia="Times New Roman" w:hAnsi="Arial Narrow" w:cs="Arial"/>
                <w:b/>
                <w:bCs/>
                <w:sz w:val="16"/>
                <w:szCs w:val="16"/>
                <w:lang w:eastAsia="pt-BR"/>
              </w:rPr>
              <w:t>ABF.G013</w:t>
            </w:r>
          </w:p>
        </w:tc>
      </w:tr>
      <w:tr w:rsidR="000643B5" w:rsidRPr="0084332C" w14:paraId="0894A01F"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1D32202E" w14:textId="77777777" w:rsidR="000643B5" w:rsidRPr="0084332C" w:rsidRDefault="000643B5" w:rsidP="00080E19">
            <w:pPr>
              <w:spacing w:after="0" w:line="240" w:lineRule="auto"/>
              <w:ind w:firstLineChars="200" w:firstLine="320"/>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102 - MANUTENÇÃO E DESENVOLVIMENTO DO ENSINO</w:t>
            </w:r>
          </w:p>
        </w:tc>
        <w:tc>
          <w:tcPr>
            <w:tcW w:w="1276" w:type="dxa"/>
            <w:tcBorders>
              <w:top w:val="nil"/>
              <w:left w:val="nil"/>
              <w:bottom w:val="nil"/>
              <w:right w:val="single" w:sz="8" w:space="0" w:color="auto"/>
            </w:tcBorders>
            <w:shd w:val="clear" w:color="auto" w:fill="auto"/>
            <w:vAlign w:val="center"/>
            <w:hideMark/>
          </w:tcPr>
          <w:p w14:paraId="27094560"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ABF.B503</w:t>
            </w:r>
          </w:p>
        </w:tc>
        <w:tc>
          <w:tcPr>
            <w:tcW w:w="1559" w:type="dxa"/>
            <w:tcBorders>
              <w:top w:val="nil"/>
              <w:left w:val="nil"/>
              <w:bottom w:val="nil"/>
              <w:right w:val="single" w:sz="8" w:space="0" w:color="auto"/>
            </w:tcBorders>
            <w:shd w:val="clear" w:color="auto" w:fill="auto"/>
            <w:vAlign w:val="center"/>
            <w:hideMark/>
          </w:tcPr>
          <w:p w14:paraId="29B7445A"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ABF.C503</w:t>
            </w:r>
          </w:p>
        </w:tc>
        <w:tc>
          <w:tcPr>
            <w:tcW w:w="1417" w:type="dxa"/>
            <w:tcBorders>
              <w:top w:val="nil"/>
              <w:left w:val="nil"/>
              <w:bottom w:val="nil"/>
              <w:right w:val="single" w:sz="8" w:space="0" w:color="auto"/>
            </w:tcBorders>
            <w:shd w:val="clear" w:color="auto" w:fill="auto"/>
            <w:vAlign w:val="center"/>
            <w:hideMark/>
          </w:tcPr>
          <w:p w14:paraId="76C5E751"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ABF.D503</w:t>
            </w:r>
          </w:p>
        </w:tc>
        <w:tc>
          <w:tcPr>
            <w:tcW w:w="1276" w:type="dxa"/>
            <w:tcBorders>
              <w:top w:val="nil"/>
              <w:left w:val="nil"/>
              <w:bottom w:val="nil"/>
              <w:right w:val="single" w:sz="8" w:space="0" w:color="auto"/>
            </w:tcBorders>
            <w:shd w:val="clear" w:color="auto" w:fill="auto"/>
            <w:vAlign w:val="center"/>
            <w:hideMark/>
          </w:tcPr>
          <w:p w14:paraId="2147F83A"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ABF.E503</w:t>
            </w:r>
          </w:p>
        </w:tc>
        <w:tc>
          <w:tcPr>
            <w:tcW w:w="1559" w:type="dxa"/>
            <w:gridSpan w:val="2"/>
            <w:tcBorders>
              <w:top w:val="nil"/>
              <w:left w:val="nil"/>
              <w:bottom w:val="nil"/>
              <w:right w:val="single" w:sz="8" w:space="0" w:color="auto"/>
            </w:tcBorders>
            <w:shd w:val="clear" w:color="auto" w:fill="auto"/>
            <w:vAlign w:val="center"/>
            <w:hideMark/>
          </w:tcPr>
          <w:p w14:paraId="610A8ED4"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ABF.F503</w:t>
            </w:r>
          </w:p>
        </w:tc>
        <w:tc>
          <w:tcPr>
            <w:tcW w:w="1134" w:type="dxa"/>
            <w:gridSpan w:val="2"/>
            <w:tcBorders>
              <w:top w:val="nil"/>
              <w:left w:val="nil"/>
              <w:bottom w:val="nil"/>
              <w:right w:val="single" w:sz="8" w:space="0" w:color="auto"/>
            </w:tcBorders>
            <w:shd w:val="clear" w:color="auto" w:fill="auto"/>
            <w:vAlign w:val="center"/>
            <w:hideMark/>
          </w:tcPr>
          <w:p w14:paraId="6D1638F9"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ABF.G503</w:t>
            </w:r>
          </w:p>
        </w:tc>
      </w:tr>
      <w:tr w:rsidR="000643B5" w:rsidRPr="0084332C" w14:paraId="4D49C6AE"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48CF7BE2" w14:textId="2E84115F" w:rsidR="000643B5" w:rsidRPr="0084332C" w:rsidRDefault="000643B5" w:rsidP="00080E19">
            <w:pPr>
              <w:spacing w:after="0" w:line="240" w:lineRule="auto"/>
              <w:ind w:firstLineChars="200" w:firstLine="320"/>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 xml:space="preserve">113 - MANUTENÇÃO E DESENVOLVIMENTO DA EDUCAÇÃO BÁSICA E DE VALORIZAÇÃO DOS PROFISSIONAIS DA EDUCAÇÃO - FUNDEB </w:t>
            </w:r>
            <w:r w:rsidR="00E53CFB" w:rsidRPr="0055312B">
              <w:rPr>
                <w:rFonts w:ascii="Arial Narrow" w:eastAsia="Times New Roman" w:hAnsi="Arial Narrow" w:cs="Arial"/>
                <w:color w:val="0070C0"/>
                <w:sz w:val="16"/>
                <w:szCs w:val="16"/>
                <w:lang w:eastAsia="pt-BR"/>
              </w:rPr>
              <w:t>(70%)</w:t>
            </w:r>
            <w:r w:rsidR="00E53CFB">
              <w:rPr>
                <w:rFonts w:ascii="Arial Narrow" w:eastAsia="Times New Roman" w:hAnsi="Arial Narrow" w:cs="Arial"/>
                <w:sz w:val="16"/>
                <w:szCs w:val="16"/>
                <w:lang w:eastAsia="pt-BR"/>
              </w:rPr>
              <w:t xml:space="preserve"> </w:t>
            </w:r>
            <w:r w:rsidR="00E53CFB" w:rsidRPr="00853884">
              <w:rPr>
                <w:rFonts w:ascii="Arial Narrow" w:eastAsia="Times New Roman" w:hAnsi="Arial Narrow" w:cs="Arial"/>
                <w:sz w:val="16"/>
                <w:szCs w:val="16"/>
                <w:lang w:eastAsia="pt-BR"/>
              </w:rPr>
              <w:t xml:space="preserve"> </w:t>
            </w:r>
            <w:r w:rsidR="00E53CFB" w:rsidRPr="0055312B">
              <w:rPr>
                <w:rFonts w:ascii="Arial Narrow" w:eastAsia="Times New Roman" w:hAnsi="Arial Narrow" w:cs="Arial"/>
                <w:strike/>
                <w:color w:val="FF0000"/>
                <w:sz w:val="16"/>
                <w:szCs w:val="16"/>
                <w:lang w:eastAsia="pt-BR"/>
              </w:rPr>
              <w:t>(60%)</w:t>
            </w:r>
          </w:p>
        </w:tc>
        <w:tc>
          <w:tcPr>
            <w:tcW w:w="1276" w:type="dxa"/>
            <w:tcBorders>
              <w:top w:val="nil"/>
              <w:left w:val="nil"/>
              <w:bottom w:val="nil"/>
              <w:right w:val="single" w:sz="8" w:space="0" w:color="auto"/>
            </w:tcBorders>
            <w:shd w:val="clear" w:color="auto" w:fill="auto"/>
            <w:vAlign w:val="center"/>
            <w:hideMark/>
          </w:tcPr>
          <w:p w14:paraId="5AD076E6"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ABF.B504</w:t>
            </w:r>
          </w:p>
        </w:tc>
        <w:tc>
          <w:tcPr>
            <w:tcW w:w="1559" w:type="dxa"/>
            <w:tcBorders>
              <w:top w:val="nil"/>
              <w:left w:val="nil"/>
              <w:bottom w:val="nil"/>
              <w:right w:val="single" w:sz="8" w:space="0" w:color="auto"/>
            </w:tcBorders>
            <w:shd w:val="clear" w:color="auto" w:fill="auto"/>
            <w:vAlign w:val="center"/>
            <w:hideMark/>
          </w:tcPr>
          <w:p w14:paraId="0A6E41AE"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ABF.C504</w:t>
            </w:r>
          </w:p>
        </w:tc>
        <w:tc>
          <w:tcPr>
            <w:tcW w:w="1417" w:type="dxa"/>
            <w:tcBorders>
              <w:top w:val="nil"/>
              <w:left w:val="nil"/>
              <w:bottom w:val="nil"/>
              <w:right w:val="single" w:sz="8" w:space="0" w:color="auto"/>
            </w:tcBorders>
            <w:shd w:val="clear" w:color="auto" w:fill="auto"/>
            <w:vAlign w:val="center"/>
            <w:hideMark/>
          </w:tcPr>
          <w:p w14:paraId="42DA67CF"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ABF.D504</w:t>
            </w:r>
          </w:p>
        </w:tc>
        <w:tc>
          <w:tcPr>
            <w:tcW w:w="1276" w:type="dxa"/>
            <w:tcBorders>
              <w:top w:val="nil"/>
              <w:left w:val="nil"/>
              <w:bottom w:val="nil"/>
              <w:right w:val="single" w:sz="8" w:space="0" w:color="auto"/>
            </w:tcBorders>
            <w:shd w:val="clear" w:color="auto" w:fill="auto"/>
            <w:vAlign w:val="center"/>
            <w:hideMark/>
          </w:tcPr>
          <w:p w14:paraId="4FCD417F"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ABF.E504</w:t>
            </w:r>
          </w:p>
        </w:tc>
        <w:tc>
          <w:tcPr>
            <w:tcW w:w="1559" w:type="dxa"/>
            <w:gridSpan w:val="2"/>
            <w:tcBorders>
              <w:top w:val="nil"/>
              <w:left w:val="nil"/>
              <w:bottom w:val="nil"/>
              <w:right w:val="single" w:sz="8" w:space="0" w:color="auto"/>
            </w:tcBorders>
            <w:shd w:val="clear" w:color="auto" w:fill="auto"/>
            <w:vAlign w:val="center"/>
            <w:hideMark/>
          </w:tcPr>
          <w:p w14:paraId="1056820D"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ABF.F504</w:t>
            </w:r>
          </w:p>
        </w:tc>
        <w:tc>
          <w:tcPr>
            <w:tcW w:w="1134" w:type="dxa"/>
            <w:gridSpan w:val="2"/>
            <w:tcBorders>
              <w:top w:val="nil"/>
              <w:left w:val="nil"/>
              <w:bottom w:val="nil"/>
              <w:right w:val="single" w:sz="8" w:space="0" w:color="auto"/>
            </w:tcBorders>
            <w:shd w:val="clear" w:color="auto" w:fill="auto"/>
            <w:vAlign w:val="center"/>
            <w:hideMark/>
          </w:tcPr>
          <w:p w14:paraId="61C7E930"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ABF.G504</w:t>
            </w:r>
          </w:p>
        </w:tc>
      </w:tr>
      <w:tr w:rsidR="000643B5" w:rsidRPr="0084332C" w14:paraId="7A973863"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2257DECC" w14:textId="336811C7" w:rsidR="000643B5" w:rsidRPr="0084332C" w:rsidRDefault="000643B5" w:rsidP="00080E19">
            <w:pPr>
              <w:spacing w:after="0" w:line="240" w:lineRule="auto"/>
              <w:ind w:firstLineChars="200" w:firstLine="320"/>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 xml:space="preserve">114 - MANUTENÇÃO E DESENVOLVIMENTO DA EDUCAÇÃO BÁSICA E DE VALORIZAÇÃO DOS PROFISSIONAIS DA EDUCAÇÃO - FUNDEB </w:t>
            </w:r>
            <w:r w:rsidR="00E53CFB" w:rsidRPr="0055312B">
              <w:rPr>
                <w:rFonts w:ascii="Arial Narrow" w:eastAsia="Times New Roman" w:hAnsi="Arial Narrow" w:cs="Arial"/>
                <w:color w:val="0070C0"/>
                <w:sz w:val="16"/>
                <w:szCs w:val="16"/>
                <w:lang w:eastAsia="pt-BR"/>
              </w:rPr>
              <w:t>(</w:t>
            </w:r>
            <w:r w:rsidR="00E53CFB">
              <w:rPr>
                <w:rFonts w:ascii="Arial Narrow" w:eastAsia="Times New Roman" w:hAnsi="Arial Narrow" w:cs="Arial"/>
                <w:color w:val="0070C0"/>
                <w:sz w:val="16"/>
                <w:szCs w:val="16"/>
                <w:lang w:eastAsia="pt-BR"/>
              </w:rPr>
              <w:t>3</w:t>
            </w:r>
            <w:r w:rsidR="00E53CFB" w:rsidRPr="0055312B">
              <w:rPr>
                <w:rFonts w:ascii="Arial Narrow" w:eastAsia="Times New Roman" w:hAnsi="Arial Narrow" w:cs="Arial"/>
                <w:color w:val="0070C0"/>
                <w:sz w:val="16"/>
                <w:szCs w:val="16"/>
                <w:lang w:eastAsia="pt-BR"/>
              </w:rPr>
              <w:t>0%)</w:t>
            </w:r>
            <w:r w:rsidR="00E53CFB">
              <w:rPr>
                <w:rFonts w:ascii="Arial Narrow" w:eastAsia="Times New Roman" w:hAnsi="Arial Narrow" w:cs="Arial"/>
                <w:sz w:val="16"/>
                <w:szCs w:val="16"/>
                <w:lang w:eastAsia="pt-BR"/>
              </w:rPr>
              <w:t xml:space="preserve"> </w:t>
            </w:r>
            <w:r w:rsidR="00E53CFB" w:rsidRPr="00853884">
              <w:rPr>
                <w:rFonts w:ascii="Arial Narrow" w:eastAsia="Times New Roman" w:hAnsi="Arial Narrow" w:cs="Arial"/>
                <w:sz w:val="16"/>
                <w:szCs w:val="16"/>
                <w:lang w:eastAsia="pt-BR"/>
              </w:rPr>
              <w:t xml:space="preserve"> </w:t>
            </w:r>
            <w:r w:rsidR="00E53CFB" w:rsidRPr="0055312B">
              <w:rPr>
                <w:rFonts w:ascii="Arial Narrow" w:eastAsia="Times New Roman" w:hAnsi="Arial Narrow" w:cs="Arial"/>
                <w:strike/>
                <w:color w:val="FF0000"/>
                <w:sz w:val="16"/>
                <w:szCs w:val="16"/>
                <w:lang w:eastAsia="pt-BR"/>
              </w:rPr>
              <w:t>(</w:t>
            </w:r>
            <w:r w:rsidR="00E53CFB">
              <w:rPr>
                <w:rFonts w:ascii="Arial Narrow" w:eastAsia="Times New Roman" w:hAnsi="Arial Narrow" w:cs="Arial"/>
                <w:strike/>
                <w:color w:val="FF0000"/>
                <w:sz w:val="16"/>
                <w:szCs w:val="16"/>
                <w:lang w:eastAsia="pt-BR"/>
              </w:rPr>
              <w:t>4</w:t>
            </w:r>
            <w:r w:rsidR="00E53CFB" w:rsidRPr="0055312B">
              <w:rPr>
                <w:rFonts w:ascii="Arial Narrow" w:eastAsia="Times New Roman" w:hAnsi="Arial Narrow" w:cs="Arial"/>
                <w:strike/>
                <w:color w:val="FF0000"/>
                <w:sz w:val="16"/>
                <w:szCs w:val="16"/>
                <w:lang w:eastAsia="pt-BR"/>
              </w:rPr>
              <w:t>0%)</w:t>
            </w:r>
          </w:p>
        </w:tc>
        <w:tc>
          <w:tcPr>
            <w:tcW w:w="1276" w:type="dxa"/>
            <w:tcBorders>
              <w:top w:val="nil"/>
              <w:left w:val="nil"/>
              <w:bottom w:val="nil"/>
              <w:right w:val="single" w:sz="8" w:space="0" w:color="auto"/>
            </w:tcBorders>
            <w:shd w:val="clear" w:color="auto" w:fill="auto"/>
            <w:vAlign w:val="center"/>
            <w:hideMark/>
          </w:tcPr>
          <w:p w14:paraId="200B0CEE"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ABF.B505</w:t>
            </w:r>
          </w:p>
        </w:tc>
        <w:tc>
          <w:tcPr>
            <w:tcW w:w="1559" w:type="dxa"/>
            <w:tcBorders>
              <w:top w:val="nil"/>
              <w:left w:val="nil"/>
              <w:bottom w:val="nil"/>
              <w:right w:val="single" w:sz="8" w:space="0" w:color="auto"/>
            </w:tcBorders>
            <w:shd w:val="clear" w:color="auto" w:fill="auto"/>
            <w:vAlign w:val="center"/>
            <w:hideMark/>
          </w:tcPr>
          <w:p w14:paraId="62FBD19D"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ABF.C505</w:t>
            </w:r>
          </w:p>
        </w:tc>
        <w:tc>
          <w:tcPr>
            <w:tcW w:w="1417" w:type="dxa"/>
            <w:tcBorders>
              <w:top w:val="nil"/>
              <w:left w:val="nil"/>
              <w:bottom w:val="nil"/>
              <w:right w:val="single" w:sz="8" w:space="0" w:color="auto"/>
            </w:tcBorders>
            <w:shd w:val="clear" w:color="auto" w:fill="auto"/>
            <w:vAlign w:val="center"/>
            <w:hideMark/>
          </w:tcPr>
          <w:p w14:paraId="71A554FD"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ABF.D505</w:t>
            </w:r>
          </w:p>
        </w:tc>
        <w:tc>
          <w:tcPr>
            <w:tcW w:w="1276" w:type="dxa"/>
            <w:tcBorders>
              <w:top w:val="nil"/>
              <w:left w:val="nil"/>
              <w:bottom w:val="nil"/>
              <w:right w:val="single" w:sz="8" w:space="0" w:color="auto"/>
            </w:tcBorders>
            <w:shd w:val="clear" w:color="auto" w:fill="auto"/>
            <w:vAlign w:val="center"/>
            <w:hideMark/>
          </w:tcPr>
          <w:p w14:paraId="6EBA6FC2"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ABF.E505</w:t>
            </w:r>
          </w:p>
        </w:tc>
        <w:tc>
          <w:tcPr>
            <w:tcW w:w="1559" w:type="dxa"/>
            <w:gridSpan w:val="2"/>
            <w:tcBorders>
              <w:top w:val="nil"/>
              <w:left w:val="nil"/>
              <w:bottom w:val="nil"/>
              <w:right w:val="single" w:sz="8" w:space="0" w:color="auto"/>
            </w:tcBorders>
            <w:shd w:val="clear" w:color="auto" w:fill="auto"/>
            <w:vAlign w:val="center"/>
            <w:hideMark/>
          </w:tcPr>
          <w:p w14:paraId="015E5D71"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ABF.F505</w:t>
            </w:r>
          </w:p>
        </w:tc>
        <w:tc>
          <w:tcPr>
            <w:tcW w:w="1134" w:type="dxa"/>
            <w:gridSpan w:val="2"/>
            <w:tcBorders>
              <w:top w:val="nil"/>
              <w:left w:val="nil"/>
              <w:bottom w:val="nil"/>
              <w:right w:val="single" w:sz="8" w:space="0" w:color="auto"/>
            </w:tcBorders>
            <w:shd w:val="clear" w:color="auto" w:fill="auto"/>
            <w:vAlign w:val="center"/>
            <w:hideMark/>
          </w:tcPr>
          <w:p w14:paraId="1C336430"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ABF.G505</w:t>
            </w:r>
          </w:p>
        </w:tc>
      </w:tr>
      <w:tr w:rsidR="000643B5" w:rsidRPr="0084332C" w14:paraId="0E8006EF"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165B2717" w14:textId="77777777" w:rsidR="000643B5" w:rsidRPr="0084332C" w:rsidRDefault="000643B5" w:rsidP="00080E19">
            <w:pPr>
              <w:spacing w:after="0" w:line="240" w:lineRule="auto"/>
              <w:ind w:firstLineChars="200" w:firstLine="320"/>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131 - COTA PARTE ESTADUAL DO SALÁRIO EDUCAÇÃO</w:t>
            </w:r>
          </w:p>
        </w:tc>
        <w:tc>
          <w:tcPr>
            <w:tcW w:w="1276" w:type="dxa"/>
            <w:tcBorders>
              <w:top w:val="nil"/>
              <w:left w:val="nil"/>
              <w:bottom w:val="nil"/>
              <w:right w:val="single" w:sz="8" w:space="0" w:color="auto"/>
            </w:tcBorders>
            <w:shd w:val="clear" w:color="auto" w:fill="auto"/>
            <w:vAlign w:val="center"/>
            <w:hideMark/>
          </w:tcPr>
          <w:p w14:paraId="41F755A0"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ABF.B506</w:t>
            </w:r>
          </w:p>
        </w:tc>
        <w:tc>
          <w:tcPr>
            <w:tcW w:w="1559" w:type="dxa"/>
            <w:tcBorders>
              <w:top w:val="nil"/>
              <w:left w:val="nil"/>
              <w:bottom w:val="nil"/>
              <w:right w:val="single" w:sz="8" w:space="0" w:color="auto"/>
            </w:tcBorders>
            <w:shd w:val="clear" w:color="auto" w:fill="auto"/>
            <w:vAlign w:val="center"/>
            <w:hideMark/>
          </w:tcPr>
          <w:p w14:paraId="489CC4C6"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ABF.C506</w:t>
            </w:r>
          </w:p>
        </w:tc>
        <w:tc>
          <w:tcPr>
            <w:tcW w:w="1417" w:type="dxa"/>
            <w:tcBorders>
              <w:top w:val="nil"/>
              <w:left w:val="nil"/>
              <w:bottom w:val="nil"/>
              <w:right w:val="single" w:sz="8" w:space="0" w:color="auto"/>
            </w:tcBorders>
            <w:shd w:val="clear" w:color="auto" w:fill="auto"/>
            <w:vAlign w:val="center"/>
            <w:hideMark/>
          </w:tcPr>
          <w:p w14:paraId="4135BE1D"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ABF.D506</w:t>
            </w:r>
          </w:p>
        </w:tc>
        <w:tc>
          <w:tcPr>
            <w:tcW w:w="1276" w:type="dxa"/>
            <w:tcBorders>
              <w:top w:val="nil"/>
              <w:left w:val="nil"/>
              <w:bottom w:val="nil"/>
              <w:right w:val="single" w:sz="8" w:space="0" w:color="auto"/>
            </w:tcBorders>
            <w:shd w:val="clear" w:color="auto" w:fill="auto"/>
            <w:vAlign w:val="center"/>
            <w:hideMark/>
          </w:tcPr>
          <w:p w14:paraId="45CB44BD"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ABF.E506</w:t>
            </w:r>
          </w:p>
        </w:tc>
        <w:tc>
          <w:tcPr>
            <w:tcW w:w="1559" w:type="dxa"/>
            <w:gridSpan w:val="2"/>
            <w:tcBorders>
              <w:top w:val="nil"/>
              <w:left w:val="nil"/>
              <w:bottom w:val="nil"/>
              <w:right w:val="single" w:sz="8" w:space="0" w:color="auto"/>
            </w:tcBorders>
            <w:shd w:val="clear" w:color="auto" w:fill="auto"/>
            <w:vAlign w:val="center"/>
            <w:hideMark/>
          </w:tcPr>
          <w:p w14:paraId="2218D736"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ABF.F506</w:t>
            </w:r>
          </w:p>
        </w:tc>
        <w:tc>
          <w:tcPr>
            <w:tcW w:w="1134" w:type="dxa"/>
            <w:gridSpan w:val="2"/>
            <w:tcBorders>
              <w:top w:val="nil"/>
              <w:left w:val="nil"/>
              <w:bottom w:val="nil"/>
              <w:right w:val="single" w:sz="8" w:space="0" w:color="auto"/>
            </w:tcBorders>
            <w:shd w:val="clear" w:color="auto" w:fill="auto"/>
            <w:vAlign w:val="center"/>
            <w:hideMark/>
          </w:tcPr>
          <w:p w14:paraId="2E04F036"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ABF.G506</w:t>
            </w:r>
          </w:p>
        </w:tc>
      </w:tr>
      <w:tr w:rsidR="000643B5" w:rsidRPr="0084332C" w14:paraId="4511C293"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6096C4F5" w14:textId="77777777" w:rsidR="000643B5" w:rsidRPr="0084332C" w:rsidRDefault="000643B5" w:rsidP="00080E19">
            <w:pPr>
              <w:spacing w:after="0" w:line="240" w:lineRule="auto"/>
              <w:ind w:firstLineChars="200" w:firstLine="320"/>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146 - PROGRAMA DINHEIRO DIRETO NA ESCOLA - PDDE</w:t>
            </w:r>
          </w:p>
        </w:tc>
        <w:tc>
          <w:tcPr>
            <w:tcW w:w="1276" w:type="dxa"/>
            <w:tcBorders>
              <w:top w:val="nil"/>
              <w:left w:val="nil"/>
              <w:bottom w:val="nil"/>
              <w:right w:val="single" w:sz="8" w:space="0" w:color="auto"/>
            </w:tcBorders>
            <w:shd w:val="clear" w:color="auto" w:fill="auto"/>
            <w:vAlign w:val="center"/>
            <w:hideMark/>
          </w:tcPr>
          <w:p w14:paraId="130EC572"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ABF.B508</w:t>
            </w:r>
          </w:p>
        </w:tc>
        <w:tc>
          <w:tcPr>
            <w:tcW w:w="1559" w:type="dxa"/>
            <w:tcBorders>
              <w:top w:val="nil"/>
              <w:left w:val="nil"/>
              <w:bottom w:val="nil"/>
              <w:right w:val="single" w:sz="8" w:space="0" w:color="auto"/>
            </w:tcBorders>
            <w:shd w:val="clear" w:color="auto" w:fill="auto"/>
            <w:vAlign w:val="center"/>
            <w:hideMark/>
          </w:tcPr>
          <w:p w14:paraId="38B9631B"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ABF.C508</w:t>
            </w:r>
          </w:p>
        </w:tc>
        <w:tc>
          <w:tcPr>
            <w:tcW w:w="1417" w:type="dxa"/>
            <w:tcBorders>
              <w:top w:val="nil"/>
              <w:left w:val="nil"/>
              <w:bottom w:val="nil"/>
              <w:right w:val="single" w:sz="8" w:space="0" w:color="auto"/>
            </w:tcBorders>
            <w:shd w:val="clear" w:color="auto" w:fill="auto"/>
            <w:vAlign w:val="center"/>
            <w:hideMark/>
          </w:tcPr>
          <w:p w14:paraId="3B1BE198"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ABF.D508</w:t>
            </w:r>
          </w:p>
        </w:tc>
        <w:tc>
          <w:tcPr>
            <w:tcW w:w="1276" w:type="dxa"/>
            <w:tcBorders>
              <w:top w:val="nil"/>
              <w:left w:val="nil"/>
              <w:bottom w:val="nil"/>
              <w:right w:val="single" w:sz="8" w:space="0" w:color="auto"/>
            </w:tcBorders>
            <w:shd w:val="clear" w:color="auto" w:fill="auto"/>
            <w:vAlign w:val="center"/>
            <w:hideMark/>
          </w:tcPr>
          <w:p w14:paraId="37AA5571"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ABF.E508</w:t>
            </w:r>
          </w:p>
        </w:tc>
        <w:tc>
          <w:tcPr>
            <w:tcW w:w="1559" w:type="dxa"/>
            <w:gridSpan w:val="2"/>
            <w:tcBorders>
              <w:top w:val="nil"/>
              <w:left w:val="nil"/>
              <w:bottom w:val="nil"/>
              <w:right w:val="single" w:sz="8" w:space="0" w:color="auto"/>
            </w:tcBorders>
            <w:shd w:val="clear" w:color="auto" w:fill="auto"/>
            <w:vAlign w:val="center"/>
            <w:hideMark/>
          </w:tcPr>
          <w:p w14:paraId="1C9CA5FF"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ABF.F508</w:t>
            </w:r>
          </w:p>
        </w:tc>
        <w:tc>
          <w:tcPr>
            <w:tcW w:w="1134" w:type="dxa"/>
            <w:gridSpan w:val="2"/>
            <w:tcBorders>
              <w:top w:val="nil"/>
              <w:left w:val="nil"/>
              <w:bottom w:val="nil"/>
              <w:right w:val="single" w:sz="8" w:space="0" w:color="auto"/>
            </w:tcBorders>
            <w:shd w:val="clear" w:color="auto" w:fill="auto"/>
            <w:vAlign w:val="center"/>
            <w:hideMark/>
          </w:tcPr>
          <w:p w14:paraId="4098E83A"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ABF.G508</w:t>
            </w:r>
          </w:p>
        </w:tc>
      </w:tr>
      <w:tr w:rsidR="000643B5" w:rsidRPr="0084332C" w14:paraId="331A5109"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55626282" w14:textId="77777777" w:rsidR="000643B5" w:rsidRPr="0084332C" w:rsidRDefault="000643B5" w:rsidP="00080E19">
            <w:pPr>
              <w:spacing w:after="0" w:line="240" w:lineRule="auto"/>
              <w:ind w:firstLineChars="200" w:firstLine="320"/>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147 - PROGRAMA NACIONAL DE ALIMENTAÇÃO ESCOLAR - PNAE</w:t>
            </w:r>
          </w:p>
        </w:tc>
        <w:tc>
          <w:tcPr>
            <w:tcW w:w="1276" w:type="dxa"/>
            <w:tcBorders>
              <w:top w:val="nil"/>
              <w:left w:val="nil"/>
              <w:bottom w:val="nil"/>
              <w:right w:val="single" w:sz="8" w:space="0" w:color="auto"/>
            </w:tcBorders>
            <w:shd w:val="clear" w:color="auto" w:fill="auto"/>
            <w:vAlign w:val="center"/>
            <w:hideMark/>
          </w:tcPr>
          <w:p w14:paraId="3A69FEA7"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ABF.B509</w:t>
            </w:r>
          </w:p>
        </w:tc>
        <w:tc>
          <w:tcPr>
            <w:tcW w:w="1559" w:type="dxa"/>
            <w:tcBorders>
              <w:top w:val="nil"/>
              <w:left w:val="nil"/>
              <w:bottom w:val="nil"/>
              <w:right w:val="single" w:sz="8" w:space="0" w:color="auto"/>
            </w:tcBorders>
            <w:shd w:val="clear" w:color="auto" w:fill="auto"/>
            <w:vAlign w:val="center"/>
            <w:hideMark/>
          </w:tcPr>
          <w:p w14:paraId="0F5B15F3"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ABF.C509</w:t>
            </w:r>
          </w:p>
        </w:tc>
        <w:tc>
          <w:tcPr>
            <w:tcW w:w="1417" w:type="dxa"/>
            <w:tcBorders>
              <w:top w:val="nil"/>
              <w:left w:val="nil"/>
              <w:bottom w:val="nil"/>
              <w:right w:val="single" w:sz="8" w:space="0" w:color="auto"/>
            </w:tcBorders>
            <w:shd w:val="clear" w:color="auto" w:fill="auto"/>
            <w:vAlign w:val="center"/>
            <w:hideMark/>
          </w:tcPr>
          <w:p w14:paraId="3465D77B"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ABF.D509</w:t>
            </w:r>
          </w:p>
        </w:tc>
        <w:tc>
          <w:tcPr>
            <w:tcW w:w="1276" w:type="dxa"/>
            <w:tcBorders>
              <w:top w:val="nil"/>
              <w:left w:val="nil"/>
              <w:bottom w:val="nil"/>
              <w:right w:val="single" w:sz="8" w:space="0" w:color="auto"/>
            </w:tcBorders>
            <w:shd w:val="clear" w:color="auto" w:fill="auto"/>
            <w:vAlign w:val="center"/>
            <w:hideMark/>
          </w:tcPr>
          <w:p w14:paraId="4208591C"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ABF.E509</w:t>
            </w:r>
          </w:p>
        </w:tc>
        <w:tc>
          <w:tcPr>
            <w:tcW w:w="1559" w:type="dxa"/>
            <w:gridSpan w:val="2"/>
            <w:tcBorders>
              <w:top w:val="nil"/>
              <w:left w:val="nil"/>
              <w:bottom w:val="nil"/>
              <w:right w:val="single" w:sz="8" w:space="0" w:color="auto"/>
            </w:tcBorders>
            <w:shd w:val="clear" w:color="auto" w:fill="auto"/>
            <w:vAlign w:val="center"/>
            <w:hideMark/>
          </w:tcPr>
          <w:p w14:paraId="554F4F54"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ABF.F509</w:t>
            </w:r>
          </w:p>
        </w:tc>
        <w:tc>
          <w:tcPr>
            <w:tcW w:w="1134" w:type="dxa"/>
            <w:gridSpan w:val="2"/>
            <w:tcBorders>
              <w:top w:val="nil"/>
              <w:left w:val="nil"/>
              <w:bottom w:val="nil"/>
              <w:right w:val="single" w:sz="8" w:space="0" w:color="auto"/>
            </w:tcBorders>
            <w:shd w:val="clear" w:color="auto" w:fill="auto"/>
            <w:vAlign w:val="center"/>
            <w:hideMark/>
          </w:tcPr>
          <w:p w14:paraId="5EA32048"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ABF.G509</w:t>
            </w:r>
          </w:p>
        </w:tc>
      </w:tr>
      <w:tr w:rsidR="000643B5" w:rsidRPr="0084332C" w14:paraId="4EB9E09E"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13A388CF" w14:textId="77777777" w:rsidR="000643B5" w:rsidRPr="0084332C" w:rsidRDefault="000643B5" w:rsidP="00080E19">
            <w:pPr>
              <w:spacing w:after="0" w:line="240" w:lineRule="auto"/>
              <w:ind w:firstLineChars="200" w:firstLine="320"/>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148 - PROGRAMA NACIONAL DE APOIO AO TRANSPORTE ESCOLAR - PNATE</w:t>
            </w:r>
          </w:p>
        </w:tc>
        <w:tc>
          <w:tcPr>
            <w:tcW w:w="1276" w:type="dxa"/>
            <w:tcBorders>
              <w:top w:val="nil"/>
              <w:left w:val="nil"/>
              <w:bottom w:val="nil"/>
              <w:right w:val="single" w:sz="8" w:space="0" w:color="auto"/>
            </w:tcBorders>
            <w:shd w:val="clear" w:color="auto" w:fill="auto"/>
            <w:vAlign w:val="center"/>
            <w:hideMark/>
          </w:tcPr>
          <w:p w14:paraId="03C42C11"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ABF.B510</w:t>
            </w:r>
          </w:p>
        </w:tc>
        <w:tc>
          <w:tcPr>
            <w:tcW w:w="1559" w:type="dxa"/>
            <w:tcBorders>
              <w:top w:val="nil"/>
              <w:left w:val="nil"/>
              <w:bottom w:val="nil"/>
              <w:right w:val="single" w:sz="8" w:space="0" w:color="auto"/>
            </w:tcBorders>
            <w:shd w:val="clear" w:color="auto" w:fill="auto"/>
            <w:vAlign w:val="center"/>
            <w:hideMark/>
          </w:tcPr>
          <w:p w14:paraId="17DB4ADD"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ABF.C510</w:t>
            </w:r>
          </w:p>
        </w:tc>
        <w:tc>
          <w:tcPr>
            <w:tcW w:w="1417" w:type="dxa"/>
            <w:tcBorders>
              <w:top w:val="nil"/>
              <w:left w:val="nil"/>
              <w:bottom w:val="nil"/>
              <w:right w:val="single" w:sz="8" w:space="0" w:color="auto"/>
            </w:tcBorders>
            <w:shd w:val="clear" w:color="auto" w:fill="auto"/>
            <w:vAlign w:val="center"/>
            <w:hideMark/>
          </w:tcPr>
          <w:p w14:paraId="52D3CD16"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ABF.D510</w:t>
            </w:r>
          </w:p>
        </w:tc>
        <w:tc>
          <w:tcPr>
            <w:tcW w:w="1276" w:type="dxa"/>
            <w:tcBorders>
              <w:top w:val="nil"/>
              <w:left w:val="nil"/>
              <w:bottom w:val="nil"/>
              <w:right w:val="single" w:sz="8" w:space="0" w:color="auto"/>
            </w:tcBorders>
            <w:shd w:val="clear" w:color="auto" w:fill="auto"/>
            <w:vAlign w:val="center"/>
            <w:hideMark/>
          </w:tcPr>
          <w:p w14:paraId="226FA5CD"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ABF.E510</w:t>
            </w:r>
          </w:p>
        </w:tc>
        <w:tc>
          <w:tcPr>
            <w:tcW w:w="1559" w:type="dxa"/>
            <w:gridSpan w:val="2"/>
            <w:tcBorders>
              <w:top w:val="nil"/>
              <w:left w:val="nil"/>
              <w:bottom w:val="nil"/>
              <w:right w:val="single" w:sz="8" w:space="0" w:color="auto"/>
            </w:tcBorders>
            <w:shd w:val="clear" w:color="auto" w:fill="auto"/>
            <w:vAlign w:val="center"/>
            <w:hideMark/>
          </w:tcPr>
          <w:p w14:paraId="30387706"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ABF.F510</w:t>
            </w:r>
          </w:p>
        </w:tc>
        <w:tc>
          <w:tcPr>
            <w:tcW w:w="1134" w:type="dxa"/>
            <w:gridSpan w:val="2"/>
            <w:tcBorders>
              <w:top w:val="nil"/>
              <w:left w:val="nil"/>
              <w:bottom w:val="nil"/>
              <w:right w:val="single" w:sz="8" w:space="0" w:color="auto"/>
            </w:tcBorders>
            <w:shd w:val="clear" w:color="auto" w:fill="auto"/>
            <w:vAlign w:val="center"/>
            <w:hideMark/>
          </w:tcPr>
          <w:p w14:paraId="013AFAF3"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ABF.G510</w:t>
            </w:r>
          </w:p>
        </w:tc>
      </w:tr>
      <w:tr w:rsidR="000643B5" w:rsidRPr="0084332C" w14:paraId="6277E946"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4BEAEAE9" w14:textId="77777777" w:rsidR="000643B5" w:rsidRPr="0084332C" w:rsidRDefault="000643B5" w:rsidP="00080E19">
            <w:pPr>
              <w:spacing w:after="0" w:line="240" w:lineRule="auto"/>
              <w:ind w:firstLineChars="200" w:firstLine="320"/>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149 - PROGRAMA BRASIL ALFABETIZADO</w:t>
            </w:r>
          </w:p>
        </w:tc>
        <w:tc>
          <w:tcPr>
            <w:tcW w:w="1276" w:type="dxa"/>
            <w:tcBorders>
              <w:top w:val="nil"/>
              <w:left w:val="nil"/>
              <w:bottom w:val="nil"/>
              <w:right w:val="single" w:sz="8" w:space="0" w:color="auto"/>
            </w:tcBorders>
            <w:shd w:val="clear" w:color="auto" w:fill="auto"/>
            <w:vAlign w:val="center"/>
            <w:hideMark/>
          </w:tcPr>
          <w:p w14:paraId="0E42C5F6"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ABF.B511</w:t>
            </w:r>
          </w:p>
        </w:tc>
        <w:tc>
          <w:tcPr>
            <w:tcW w:w="1559" w:type="dxa"/>
            <w:tcBorders>
              <w:top w:val="nil"/>
              <w:left w:val="nil"/>
              <w:bottom w:val="nil"/>
              <w:right w:val="single" w:sz="8" w:space="0" w:color="auto"/>
            </w:tcBorders>
            <w:shd w:val="clear" w:color="auto" w:fill="auto"/>
            <w:vAlign w:val="center"/>
            <w:hideMark/>
          </w:tcPr>
          <w:p w14:paraId="32B135A0"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ABF.C511</w:t>
            </w:r>
          </w:p>
        </w:tc>
        <w:tc>
          <w:tcPr>
            <w:tcW w:w="1417" w:type="dxa"/>
            <w:tcBorders>
              <w:top w:val="nil"/>
              <w:left w:val="nil"/>
              <w:bottom w:val="nil"/>
              <w:right w:val="single" w:sz="8" w:space="0" w:color="auto"/>
            </w:tcBorders>
            <w:shd w:val="clear" w:color="auto" w:fill="auto"/>
            <w:vAlign w:val="center"/>
            <w:hideMark/>
          </w:tcPr>
          <w:p w14:paraId="53630AFF"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ABF.D511</w:t>
            </w:r>
          </w:p>
        </w:tc>
        <w:tc>
          <w:tcPr>
            <w:tcW w:w="1276" w:type="dxa"/>
            <w:tcBorders>
              <w:top w:val="nil"/>
              <w:left w:val="nil"/>
              <w:bottom w:val="nil"/>
              <w:right w:val="single" w:sz="8" w:space="0" w:color="auto"/>
            </w:tcBorders>
            <w:shd w:val="clear" w:color="auto" w:fill="auto"/>
            <w:vAlign w:val="center"/>
            <w:hideMark/>
          </w:tcPr>
          <w:p w14:paraId="19A9CA9B"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ABF.E511</w:t>
            </w:r>
          </w:p>
        </w:tc>
        <w:tc>
          <w:tcPr>
            <w:tcW w:w="1559" w:type="dxa"/>
            <w:gridSpan w:val="2"/>
            <w:tcBorders>
              <w:top w:val="nil"/>
              <w:left w:val="nil"/>
              <w:bottom w:val="nil"/>
              <w:right w:val="single" w:sz="8" w:space="0" w:color="auto"/>
            </w:tcBorders>
            <w:shd w:val="clear" w:color="auto" w:fill="auto"/>
            <w:vAlign w:val="center"/>
            <w:hideMark/>
          </w:tcPr>
          <w:p w14:paraId="21CE5A5A"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ABF.F511</w:t>
            </w:r>
          </w:p>
        </w:tc>
        <w:tc>
          <w:tcPr>
            <w:tcW w:w="1134" w:type="dxa"/>
            <w:gridSpan w:val="2"/>
            <w:tcBorders>
              <w:top w:val="nil"/>
              <w:left w:val="nil"/>
              <w:bottom w:val="nil"/>
              <w:right w:val="single" w:sz="8" w:space="0" w:color="auto"/>
            </w:tcBorders>
            <w:shd w:val="clear" w:color="auto" w:fill="auto"/>
            <w:vAlign w:val="center"/>
            <w:hideMark/>
          </w:tcPr>
          <w:p w14:paraId="046CF176"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ABF.G511</w:t>
            </w:r>
          </w:p>
        </w:tc>
      </w:tr>
      <w:tr w:rsidR="000643B5" w:rsidRPr="0084332C" w14:paraId="359DD525"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2D3CFF1E" w14:textId="77777777" w:rsidR="000643B5" w:rsidRPr="0084332C" w:rsidRDefault="000643B5" w:rsidP="00080E19">
            <w:pPr>
              <w:spacing w:after="0" w:line="240" w:lineRule="auto"/>
              <w:ind w:firstLineChars="200" w:firstLine="320"/>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151 - PROGRAMA DE APOIO SISTEMA DE ENSINO PARA ATENDIMENTO AO EJA</w:t>
            </w:r>
          </w:p>
        </w:tc>
        <w:tc>
          <w:tcPr>
            <w:tcW w:w="1276" w:type="dxa"/>
            <w:tcBorders>
              <w:top w:val="nil"/>
              <w:left w:val="nil"/>
              <w:bottom w:val="nil"/>
              <w:right w:val="single" w:sz="8" w:space="0" w:color="auto"/>
            </w:tcBorders>
            <w:shd w:val="clear" w:color="auto" w:fill="auto"/>
            <w:vAlign w:val="center"/>
            <w:hideMark/>
          </w:tcPr>
          <w:p w14:paraId="1813EFD4"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ABF.B512</w:t>
            </w:r>
          </w:p>
        </w:tc>
        <w:tc>
          <w:tcPr>
            <w:tcW w:w="1559" w:type="dxa"/>
            <w:tcBorders>
              <w:top w:val="nil"/>
              <w:left w:val="nil"/>
              <w:bottom w:val="nil"/>
              <w:right w:val="single" w:sz="8" w:space="0" w:color="auto"/>
            </w:tcBorders>
            <w:shd w:val="clear" w:color="auto" w:fill="auto"/>
            <w:vAlign w:val="center"/>
            <w:hideMark/>
          </w:tcPr>
          <w:p w14:paraId="4FE447E5"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ABF.C512</w:t>
            </w:r>
          </w:p>
        </w:tc>
        <w:tc>
          <w:tcPr>
            <w:tcW w:w="1417" w:type="dxa"/>
            <w:tcBorders>
              <w:top w:val="nil"/>
              <w:left w:val="nil"/>
              <w:bottom w:val="nil"/>
              <w:right w:val="single" w:sz="8" w:space="0" w:color="auto"/>
            </w:tcBorders>
            <w:shd w:val="clear" w:color="auto" w:fill="auto"/>
            <w:vAlign w:val="center"/>
            <w:hideMark/>
          </w:tcPr>
          <w:p w14:paraId="03A6F8A8"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ABF.D512</w:t>
            </w:r>
          </w:p>
        </w:tc>
        <w:tc>
          <w:tcPr>
            <w:tcW w:w="1276" w:type="dxa"/>
            <w:tcBorders>
              <w:top w:val="nil"/>
              <w:left w:val="nil"/>
              <w:bottom w:val="nil"/>
              <w:right w:val="single" w:sz="8" w:space="0" w:color="auto"/>
            </w:tcBorders>
            <w:shd w:val="clear" w:color="auto" w:fill="auto"/>
            <w:vAlign w:val="center"/>
            <w:hideMark/>
          </w:tcPr>
          <w:p w14:paraId="379DFE0D"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ABF.E512</w:t>
            </w:r>
          </w:p>
        </w:tc>
        <w:tc>
          <w:tcPr>
            <w:tcW w:w="1559" w:type="dxa"/>
            <w:gridSpan w:val="2"/>
            <w:tcBorders>
              <w:top w:val="nil"/>
              <w:left w:val="nil"/>
              <w:bottom w:val="nil"/>
              <w:right w:val="single" w:sz="8" w:space="0" w:color="auto"/>
            </w:tcBorders>
            <w:shd w:val="clear" w:color="auto" w:fill="auto"/>
            <w:vAlign w:val="center"/>
            <w:hideMark/>
          </w:tcPr>
          <w:p w14:paraId="43281B54"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ABF.F512</w:t>
            </w:r>
          </w:p>
        </w:tc>
        <w:tc>
          <w:tcPr>
            <w:tcW w:w="1134" w:type="dxa"/>
            <w:gridSpan w:val="2"/>
            <w:tcBorders>
              <w:top w:val="nil"/>
              <w:left w:val="nil"/>
              <w:bottom w:val="nil"/>
              <w:right w:val="single" w:sz="8" w:space="0" w:color="auto"/>
            </w:tcBorders>
            <w:shd w:val="clear" w:color="auto" w:fill="auto"/>
            <w:vAlign w:val="center"/>
            <w:hideMark/>
          </w:tcPr>
          <w:p w14:paraId="74AD40DA"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ABF.G512</w:t>
            </w:r>
          </w:p>
        </w:tc>
      </w:tr>
      <w:tr w:rsidR="000643B5" w:rsidRPr="0084332C" w14:paraId="373A9966"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0306C04A" w14:textId="77777777" w:rsidR="000643B5" w:rsidRPr="0084332C" w:rsidRDefault="000643B5" w:rsidP="00080E19">
            <w:pPr>
              <w:spacing w:after="0" w:line="240" w:lineRule="auto"/>
              <w:ind w:firstLineChars="200" w:firstLine="320"/>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152 - PROGRAMA DE FOMENTO ÀS ESCOLAS DE ENSINO MÉDIO EM TEMPO INTEGRAL</w:t>
            </w:r>
          </w:p>
        </w:tc>
        <w:tc>
          <w:tcPr>
            <w:tcW w:w="1276" w:type="dxa"/>
            <w:tcBorders>
              <w:top w:val="nil"/>
              <w:left w:val="nil"/>
              <w:bottom w:val="nil"/>
              <w:right w:val="single" w:sz="8" w:space="0" w:color="auto"/>
            </w:tcBorders>
            <w:shd w:val="clear" w:color="auto" w:fill="auto"/>
            <w:vAlign w:val="center"/>
            <w:hideMark/>
          </w:tcPr>
          <w:p w14:paraId="350B942D"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ABF.B513</w:t>
            </w:r>
          </w:p>
        </w:tc>
        <w:tc>
          <w:tcPr>
            <w:tcW w:w="1559" w:type="dxa"/>
            <w:tcBorders>
              <w:top w:val="nil"/>
              <w:left w:val="nil"/>
              <w:bottom w:val="nil"/>
              <w:right w:val="single" w:sz="8" w:space="0" w:color="auto"/>
            </w:tcBorders>
            <w:shd w:val="clear" w:color="auto" w:fill="auto"/>
            <w:vAlign w:val="center"/>
            <w:hideMark/>
          </w:tcPr>
          <w:p w14:paraId="18404C28"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ABF.C513</w:t>
            </w:r>
          </w:p>
        </w:tc>
        <w:tc>
          <w:tcPr>
            <w:tcW w:w="1417" w:type="dxa"/>
            <w:tcBorders>
              <w:top w:val="nil"/>
              <w:left w:val="nil"/>
              <w:bottom w:val="nil"/>
              <w:right w:val="single" w:sz="8" w:space="0" w:color="auto"/>
            </w:tcBorders>
            <w:shd w:val="clear" w:color="auto" w:fill="auto"/>
            <w:vAlign w:val="center"/>
            <w:hideMark/>
          </w:tcPr>
          <w:p w14:paraId="75B661C9"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ABF.D513</w:t>
            </w:r>
          </w:p>
        </w:tc>
        <w:tc>
          <w:tcPr>
            <w:tcW w:w="1276" w:type="dxa"/>
            <w:tcBorders>
              <w:top w:val="nil"/>
              <w:left w:val="nil"/>
              <w:bottom w:val="nil"/>
              <w:right w:val="single" w:sz="8" w:space="0" w:color="auto"/>
            </w:tcBorders>
            <w:shd w:val="clear" w:color="auto" w:fill="auto"/>
            <w:vAlign w:val="center"/>
            <w:hideMark/>
          </w:tcPr>
          <w:p w14:paraId="70D25241"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ABF.E513</w:t>
            </w:r>
          </w:p>
        </w:tc>
        <w:tc>
          <w:tcPr>
            <w:tcW w:w="1559" w:type="dxa"/>
            <w:gridSpan w:val="2"/>
            <w:tcBorders>
              <w:top w:val="nil"/>
              <w:left w:val="nil"/>
              <w:bottom w:val="nil"/>
              <w:right w:val="single" w:sz="8" w:space="0" w:color="auto"/>
            </w:tcBorders>
            <w:shd w:val="clear" w:color="auto" w:fill="auto"/>
            <w:vAlign w:val="center"/>
            <w:hideMark/>
          </w:tcPr>
          <w:p w14:paraId="4FAA79BA"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ABF.F513</w:t>
            </w:r>
          </w:p>
        </w:tc>
        <w:tc>
          <w:tcPr>
            <w:tcW w:w="1134" w:type="dxa"/>
            <w:gridSpan w:val="2"/>
            <w:tcBorders>
              <w:top w:val="nil"/>
              <w:left w:val="nil"/>
              <w:bottom w:val="nil"/>
              <w:right w:val="single" w:sz="8" w:space="0" w:color="auto"/>
            </w:tcBorders>
            <w:shd w:val="clear" w:color="auto" w:fill="auto"/>
            <w:vAlign w:val="center"/>
            <w:hideMark/>
          </w:tcPr>
          <w:p w14:paraId="5A0CC6FC"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ABF.G513</w:t>
            </w:r>
          </w:p>
        </w:tc>
      </w:tr>
      <w:tr w:rsidR="000643B5" w:rsidRPr="0084332C" w14:paraId="51314A2D"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5E1BAE74" w14:textId="77777777" w:rsidR="000643B5" w:rsidRPr="0084332C" w:rsidRDefault="000643B5" w:rsidP="00080E19">
            <w:pPr>
              <w:spacing w:after="0" w:line="240" w:lineRule="auto"/>
              <w:ind w:firstLineChars="200" w:firstLine="320"/>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165 - PROGRAMA NACIONAL DE ACESSO AO ENSINO TÉCNICO E EMPREGO - PRONATEC</w:t>
            </w:r>
          </w:p>
        </w:tc>
        <w:tc>
          <w:tcPr>
            <w:tcW w:w="1276" w:type="dxa"/>
            <w:tcBorders>
              <w:top w:val="nil"/>
              <w:left w:val="nil"/>
              <w:bottom w:val="nil"/>
              <w:right w:val="single" w:sz="8" w:space="0" w:color="auto"/>
            </w:tcBorders>
            <w:shd w:val="clear" w:color="auto" w:fill="auto"/>
            <w:vAlign w:val="center"/>
            <w:hideMark/>
          </w:tcPr>
          <w:p w14:paraId="67006E28"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ABF.B514</w:t>
            </w:r>
          </w:p>
        </w:tc>
        <w:tc>
          <w:tcPr>
            <w:tcW w:w="1559" w:type="dxa"/>
            <w:tcBorders>
              <w:top w:val="nil"/>
              <w:left w:val="nil"/>
              <w:bottom w:val="nil"/>
              <w:right w:val="single" w:sz="8" w:space="0" w:color="auto"/>
            </w:tcBorders>
            <w:shd w:val="clear" w:color="auto" w:fill="auto"/>
            <w:vAlign w:val="center"/>
            <w:hideMark/>
          </w:tcPr>
          <w:p w14:paraId="168EE274"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ABF.C514</w:t>
            </w:r>
          </w:p>
        </w:tc>
        <w:tc>
          <w:tcPr>
            <w:tcW w:w="1417" w:type="dxa"/>
            <w:tcBorders>
              <w:top w:val="nil"/>
              <w:left w:val="nil"/>
              <w:bottom w:val="nil"/>
              <w:right w:val="single" w:sz="8" w:space="0" w:color="auto"/>
            </w:tcBorders>
            <w:shd w:val="clear" w:color="auto" w:fill="auto"/>
            <w:vAlign w:val="center"/>
            <w:hideMark/>
          </w:tcPr>
          <w:p w14:paraId="02924187"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ABF.D514</w:t>
            </w:r>
          </w:p>
        </w:tc>
        <w:tc>
          <w:tcPr>
            <w:tcW w:w="1276" w:type="dxa"/>
            <w:tcBorders>
              <w:top w:val="nil"/>
              <w:left w:val="nil"/>
              <w:bottom w:val="nil"/>
              <w:right w:val="single" w:sz="8" w:space="0" w:color="auto"/>
            </w:tcBorders>
            <w:shd w:val="clear" w:color="auto" w:fill="auto"/>
            <w:vAlign w:val="center"/>
            <w:hideMark/>
          </w:tcPr>
          <w:p w14:paraId="3FE89329"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ABF.E514</w:t>
            </w:r>
          </w:p>
        </w:tc>
        <w:tc>
          <w:tcPr>
            <w:tcW w:w="1559" w:type="dxa"/>
            <w:gridSpan w:val="2"/>
            <w:tcBorders>
              <w:top w:val="nil"/>
              <w:left w:val="nil"/>
              <w:bottom w:val="nil"/>
              <w:right w:val="single" w:sz="8" w:space="0" w:color="auto"/>
            </w:tcBorders>
            <w:shd w:val="clear" w:color="auto" w:fill="auto"/>
            <w:vAlign w:val="center"/>
            <w:hideMark/>
          </w:tcPr>
          <w:p w14:paraId="586271CC"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ABF.F514</w:t>
            </w:r>
          </w:p>
        </w:tc>
        <w:tc>
          <w:tcPr>
            <w:tcW w:w="1134" w:type="dxa"/>
            <w:gridSpan w:val="2"/>
            <w:tcBorders>
              <w:top w:val="nil"/>
              <w:left w:val="nil"/>
              <w:bottom w:val="nil"/>
              <w:right w:val="single" w:sz="8" w:space="0" w:color="auto"/>
            </w:tcBorders>
            <w:shd w:val="clear" w:color="auto" w:fill="auto"/>
            <w:vAlign w:val="center"/>
            <w:hideMark/>
          </w:tcPr>
          <w:p w14:paraId="53B49126"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ABF.G514</w:t>
            </w:r>
          </w:p>
        </w:tc>
      </w:tr>
      <w:tr w:rsidR="000643B5" w:rsidRPr="0084332C" w14:paraId="3F77EBCB"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6AF78559" w14:textId="77777777" w:rsidR="000643B5" w:rsidRPr="0084332C" w:rsidRDefault="000643B5" w:rsidP="00080E19">
            <w:pPr>
              <w:spacing w:after="0" w:line="240" w:lineRule="auto"/>
              <w:ind w:firstLineChars="200" w:firstLine="320"/>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302 - SUPERÁVIT FINANCEIRO - MDE</w:t>
            </w:r>
          </w:p>
        </w:tc>
        <w:tc>
          <w:tcPr>
            <w:tcW w:w="1276" w:type="dxa"/>
            <w:tcBorders>
              <w:top w:val="nil"/>
              <w:left w:val="nil"/>
              <w:bottom w:val="nil"/>
              <w:right w:val="single" w:sz="8" w:space="0" w:color="auto"/>
            </w:tcBorders>
            <w:shd w:val="clear" w:color="auto" w:fill="auto"/>
            <w:vAlign w:val="center"/>
            <w:hideMark/>
          </w:tcPr>
          <w:p w14:paraId="34C3A1D7"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ABF.B515</w:t>
            </w:r>
          </w:p>
        </w:tc>
        <w:tc>
          <w:tcPr>
            <w:tcW w:w="1559" w:type="dxa"/>
            <w:tcBorders>
              <w:top w:val="nil"/>
              <w:left w:val="nil"/>
              <w:bottom w:val="nil"/>
              <w:right w:val="single" w:sz="8" w:space="0" w:color="auto"/>
            </w:tcBorders>
            <w:shd w:val="clear" w:color="auto" w:fill="auto"/>
            <w:vAlign w:val="center"/>
            <w:hideMark/>
          </w:tcPr>
          <w:p w14:paraId="50248E58"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ABF.C515</w:t>
            </w:r>
          </w:p>
        </w:tc>
        <w:tc>
          <w:tcPr>
            <w:tcW w:w="1417" w:type="dxa"/>
            <w:tcBorders>
              <w:top w:val="nil"/>
              <w:left w:val="nil"/>
              <w:bottom w:val="nil"/>
              <w:right w:val="single" w:sz="8" w:space="0" w:color="auto"/>
            </w:tcBorders>
            <w:shd w:val="clear" w:color="auto" w:fill="auto"/>
            <w:vAlign w:val="center"/>
            <w:hideMark/>
          </w:tcPr>
          <w:p w14:paraId="2575AC9F"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ABF.D515</w:t>
            </w:r>
          </w:p>
        </w:tc>
        <w:tc>
          <w:tcPr>
            <w:tcW w:w="1276" w:type="dxa"/>
            <w:tcBorders>
              <w:top w:val="nil"/>
              <w:left w:val="nil"/>
              <w:bottom w:val="nil"/>
              <w:right w:val="single" w:sz="8" w:space="0" w:color="auto"/>
            </w:tcBorders>
            <w:shd w:val="clear" w:color="auto" w:fill="auto"/>
            <w:vAlign w:val="center"/>
            <w:hideMark/>
          </w:tcPr>
          <w:p w14:paraId="2E6C23C2"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ABF.E515</w:t>
            </w:r>
          </w:p>
        </w:tc>
        <w:tc>
          <w:tcPr>
            <w:tcW w:w="1559" w:type="dxa"/>
            <w:gridSpan w:val="2"/>
            <w:tcBorders>
              <w:top w:val="nil"/>
              <w:left w:val="nil"/>
              <w:bottom w:val="nil"/>
              <w:right w:val="single" w:sz="8" w:space="0" w:color="auto"/>
            </w:tcBorders>
            <w:shd w:val="clear" w:color="auto" w:fill="auto"/>
            <w:vAlign w:val="center"/>
            <w:hideMark/>
          </w:tcPr>
          <w:p w14:paraId="05A494B5"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ABF.F515</w:t>
            </w:r>
          </w:p>
        </w:tc>
        <w:tc>
          <w:tcPr>
            <w:tcW w:w="1134" w:type="dxa"/>
            <w:gridSpan w:val="2"/>
            <w:tcBorders>
              <w:top w:val="nil"/>
              <w:left w:val="nil"/>
              <w:bottom w:val="nil"/>
              <w:right w:val="single" w:sz="8" w:space="0" w:color="auto"/>
            </w:tcBorders>
            <w:shd w:val="clear" w:color="auto" w:fill="auto"/>
            <w:vAlign w:val="center"/>
            <w:hideMark/>
          </w:tcPr>
          <w:p w14:paraId="15E9A552"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ABF.G515</w:t>
            </w:r>
          </w:p>
        </w:tc>
      </w:tr>
      <w:tr w:rsidR="000643B5" w:rsidRPr="0084332C" w14:paraId="7DC3FE57"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769D9CA4" w14:textId="48384D4C" w:rsidR="000643B5" w:rsidRPr="0084332C" w:rsidRDefault="000643B5" w:rsidP="00080E19">
            <w:pPr>
              <w:spacing w:after="0" w:line="240" w:lineRule="auto"/>
              <w:ind w:firstLineChars="200" w:firstLine="320"/>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 xml:space="preserve">313 - SUPERÁVIT FINANCEIRO - FUNDEB </w:t>
            </w:r>
            <w:r w:rsidR="00E53CFB" w:rsidRPr="0055312B">
              <w:rPr>
                <w:rFonts w:ascii="Arial Narrow" w:eastAsia="Times New Roman" w:hAnsi="Arial Narrow" w:cs="Arial"/>
                <w:color w:val="0070C0"/>
                <w:sz w:val="16"/>
                <w:szCs w:val="16"/>
                <w:lang w:eastAsia="pt-BR"/>
              </w:rPr>
              <w:t>(70%)</w:t>
            </w:r>
            <w:r w:rsidR="00E53CFB">
              <w:rPr>
                <w:rFonts w:ascii="Arial Narrow" w:eastAsia="Times New Roman" w:hAnsi="Arial Narrow" w:cs="Arial"/>
                <w:sz w:val="16"/>
                <w:szCs w:val="16"/>
                <w:lang w:eastAsia="pt-BR"/>
              </w:rPr>
              <w:t xml:space="preserve"> </w:t>
            </w:r>
            <w:r w:rsidR="00E53CFB" w:rsidRPr="00853884">
              <w:rPr>
                <w:rFonts w:ascii="Arial Narrow" w:eastAsia="Times New Roman" w:hAnsi="Arial Narrow" w:cs="Arial"/>
                <w:sz w:val="16"/>
                <w:szCs w:val="16"/>
                <w:lang w:eastAsia="pt-BR"/>
              </w:rPr>
              <w:t xml:space="preserve"> </w:t>
            </w:r>
            <w:r w:rsidR="00E53CFB" w:rsidRPr="0055312B">
              <w:rPr>
                <w:rFonts w:ascii="Arial Narrow" w:eastAsia="Times New Roman" w:hAnsi="Arial Narrow" w:cs="Arial"/>
                <w:strike/>
                <w:color w:val="FF0000"/>
                <w:sz w:val="16"/>
                <w:szCs w:val="16"/>
                <w:lang w:eastAsia="pt-BR"/>
              </w:rPr>
              <w:t>(60%)</w:t>
            </w:r>
          </w:p>
        </w:tc>
        <w:tc>
          <w:tcPr>
            <w:tcW w:w="1276" w:type="dxa"/>
            <w:tcBorders>
              <w:top w:val="nil"/>
              <w:left w:val="nil"/>
              <w:bottom w:val="nil"/>
              <w:right w:val="single" w:sz="8" w:space="0" w:color="auto"/>
            </w:tcBorders>
            <w:shd w:val="clear" w:color="auto" w:fill="auto"/>
            <w:vAlign w:val="center"/>
            <w:hideMark/>
          </w:tcPr>
          <w:p w14:paraId="178F2DE0"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ABF.B516</w:t>
            </w:r>
          </w:p>
        </w:tc>
        <w:tc>
          <w:tcPr>
            <w:tcW w:w="1559" w:type="dxa"/>
            <w:tcBorders>
              <w:top w:val="nil"/>
              <w:left w:val="nil"/>
              <w:bottom w:val="nil"/>
              <w:right w:val="single" w:sz="8" w:space="0" w:color="auto"/>
            </w:tcBorders>
            <w:shd w:val="clear" w:color="auto" w:fill="auto"/>
            <w:vAlign w:val="center"/>
            <w:hideMark/>
          </w:tcPr>
          <w:p w14:paraId="6ADFAC3C"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ABF.C516</w:t>
            </w:r>
          </w:p>
        </w:tc>
        <w:tc>
          <w:tcPr>
            <w:tcW w:w="1417" w:type="dxa"/>
            <w:tcBorders>
              <w:top w:val="nil"/>
              <w:left w:val="nil"/>
              <w:bottom w:val="nil"/>
              <w:right w:val="single" w:sz="8" w:space="0" w:color="auto"/>
            </w:tcBorders>
            <w:shd w:val="clear" w:color="auto" w:fill="auto"/>
            <w:vAlign w:val="center"/>
            <w:hideMark/>
          </w:tcPr>
          <w:p w14:paraId="21DF6D0A"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ABF.D516</w:t>
            </w:r>
          </w:p>
        </w:tc>
        <w:tc>
          <w:tcPr>
            <w:tcW w:w="1276" w:type="dxa"/>
            <w:tcBorders>
              <w:top w:val="nil"/>
              <w:left w:val="nil"/>
              <w:bottom w:val="nil"/>
              <w:right w:val="single" w:sz="8" w:space="0" w:color="auto"/>
            </w:tcBorders>
            <w:shd w:val="clear" w:color="auto" w:fill="auto"/>
            <w:vAlign w:val="center"/>
            <w:hideMark/>
          </w:tcPr>
          <w:p w14:paraId="1366DA33"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ABF.E516</w:t>
            </w:r>
          </w:p>
        </w:tc>
        <w:tc>
          <w:tcPr>
            <w:tcW w:w="1559" w:type="dxa"/>
            <w:gridSpan w:val="2"/>
            <w:tcBorders>
              <w:top w:val="nil"/>
              <w:left w:val="nil"/>
              <w:bottom w:val="nil"/>
              <w:right w:val="single" w:sz="8" w:space="0" w:color="auto"/>
            </w:tcBorders>
            <w:shd w:val="clear" w:color="auto" w:fill="auto"/>
            <w:vAlign w:val="center"/>
            <w:hideMark/>
          </w:tcPr>
          <w:p w14:paraId="6BCD8787"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ABF.F516</w:t>
            </w:r>
          </w:p>
        </w:tc>
        <w:tc>
          <w:tcPr>
            <w:tcW w:w="1134" w:type="dxa"/>
            <w:gridSpan w:val="2"/>
            <w:tcBorders>
              <w:top w:val="nil"/>
              <w:left w:val="nil"/>
              <w:bottom w:val="nil"/>
              <w:right w:val="single" w:sz="8" w:space="0" w:color="auto"/>
            </w:tcBorders>
            <w:shd w:val="clear" w:color="auto" w:fill="auto"/>
            <w:vAlign w:val="center"/>
            <w:hideMark/>
          </w:tcPr>
          <w:p w14:paraId="46D53E4E"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ABF.G516</w:t>
            </w:r>
          </w:p>
        </w:tc>
      </w:tr>
      <w:tr w:rsidR="000643B5" w:rsidRPr="0084332C" w14:paraId="604644D7"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63013ECC" w14:textId="00750C5D" w:rsidR="000643B5" w:rsidRPr="0084332C" w:rsidRDefault="000643B5" w:rsidP="00080E19">
            <w:pPr>
              <w:spacing w:after="0" w:line="240" w:lineRule="auto"/>
              <w:ind w:firstLineChars="200" w:firstLine="320"/>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 xml:space="preserve">314 - SUPERÁVIT FINANCEIRO - FUNDEB </w:t>
            </w:r>
            <w:r w:rsidR="00AB428A" w:rsidRPr="0055312B">
              <w:rPr>
                <w:rFonts w:ascii="Arial Narrow" w:eastAsia="Times New Roman" w:hAnsi="Arial Narrow" w:cs="Arial"/>
                <w:color w:val="0070C0"/>
                <w:sz w:val="16"/>
                <w:szCs w:val="16"/>
                <w:lang w:eastAsia="pt-BR"/>
              </w:rPr>
              <w:t>(</w:t>
            </w:r>
            <w:r w:rsidR="00AB428A">
              <w:rPr>
                <w:rFonts w:ascii="Arial Narrow" w:eastAsia="Times New Roman" w:hAnsi="Arial Narrow" w:cs="Arial"/>
                <w:color w:val="0070C0"/>
                <w:sz w:val="16"/>
                <w:szCs w:val="16"/>
                <w:lang w:eastAsia="pt-BR"/>
              </w:rPr>
              <w:t>3</w:t>
            </w:r>
            <w:r w:rsidR="00AB428A" w:rsidRPr="0055312B">
              <w:rPr>
                <w:rFonts w:ascii="Arial Narrow" w:eastAsia="Times New Roman" w:hAnsi="Arial Narrow" w:cs="Arial"/>
                <w:color w:val="0070C0"/>
                <w:sz w:val="16"/>
                <w:szCs w:val="16"/>
                <w:lang w:eastAsia="pt-BR"/>
              </w:rPr>
              <w:t>0%)</w:t>
            </w:r>
            <w:r w:rsidR="00AB428A">
              <w:rPr>
                <w:rFonts w:ascii="Arial Narrow" w:eastAsia="Times New Roman" w:hAnsi="Arial Narrow" w:cs="Arial"/>
                <w:sz w:val="16"/>
                <w:szCs w:val="16"/>
                <w:lang w:eastAsia="pt-BR"/>
              </w:rPr>
              <w:t xml:space="preserve"> </w:t>
            </w:r>
            <w:r w:rsidR="00AB428A" w:rsidRPr="00853884">
              <w:rPr>
                <w:rFonts w:ascii="Arial Narrow" w:eastAsia="Times New Roman" w:hAnsi="Arial Narrow" w:cs="Arial"/>
                <w:sz w:val="16"/>
                <w:szCs w:val="16"/>
                <w:lang w:eastAsia="pt-BR"/>
              </w:rPr>
              <w:t xml:space="preserve"> </w:t>
            </w:r>
            <w:r w:rsidR="00AB428A" w:rsidRPr="0055312B">
              <w:rPr>
                <w:rFonts w:ascii="Arial Narrow" w:eastAsia="Times New Roman" w:hAnsi="Arial Narrow" w:cs="Arial"/>
                <w:strike/>
                <w:color w:val="FF0000"/>
                <w:sz w:val="16"/>
                <w:szCs w:val="16"/>
                <w:lang w:eastAsia="pt-BR"/>
              </w:rPr>
              <w:t>(</w:t>
            </w:r>
            <w:r w:rsidR="00AB428A">
              <w:rPr>
                <w:rFonts w:ascii="Arial Narrow" w:eastAsia="Times New Roman" w:hAnsi="Arial Narrow" w:cs="Arial"/>
                <w:strike/>
                <w:color w:val="FF0000"/>
                <w:sz w:val="16"/>
                <w:szCs w:val="16"/>
                <w:lang w:eastAsia="pt-BR"/>
              </w:rPr>
              <w:t>4</w:t>
            </w:r>
            <w:r w:rsidR="00AB428A" w:rsidRPr="0055312B">
              <w:rPr>
                <w:rFonts w:ascii="Arial Narrow" w:eastAsia="Times New Roman" w:hAnsi="Arial Narrow" w:cs="Arial"/>
                <w:strike/>
                <w:color w:val="FF0000"/>
                <w:sz w:val="16"/>
                <w:szCs w:val="16"/>
                <w:lang w:eastAsia="pt-BR"/>
              </w:rPr>
              <w:t>0%)</w:t>
            </w:r>
          </w:p>
        </w:tc>
        <w:tc>
          <w:tcPr>
            <w:tcW w:w="1276" w:type="dxa"/>
            <w:tcBorders>
              <w:top w:val="nil"/>
              <w:left w:val="nil"/>
              <w:bottom w:val="nil"/>
              <w:right w:val="single" w:sz="8" w:space="0" w:color="auto"/>
            </w:tcBorders>
            <w:shd w:val="clear" w:color="auto" w:fill="auto"/>
            <w:vAlign w:val="center"/>
            <w:hideMark/>
          </w:tcPr>
          <w:p w14:paraId="41D3073A"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ABF.B517</w:t>
            </w:r>
          </w:p>
        </w:tc>
        <w:tc>
          <w:tcPr>
            <w:tcW w:w="1559" w:type="dxa"/>
            <w:tcBorders>
              <w:top w:val="nil"/>
              <w:left w:val="nil"/>
              <w:bottom w:val="nil"/>
              <w:right w:val="single" w:sz="8" w:space="0" w:color="auto"/>
            </w:tcBorders>
            <w:shd w:val="clear" w:color="auto" w:fill="auto"/>
            <w:vAlign w:val="center"/>
            <w:hideMark/>
          </w:tcPr>
          <w:p w14:paraId="57C92438"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ABF.C517</w:t>
            </w:r>
          </w:p>
        </w:tc>
        <w:tc>
          <w:tcPr>
            <w:tcW w:w="1417" w:type="dxa"/>
            <w:tcBorders>
              <w:top w:val="nil"/>
              <w:left w:val="nil"/>
              <w:bottom w:val="nil"/>
              <w:right w:val="single" w:sz="8" w:space="0" w:color="auto"/>
            </w:tcBorders>
            <w:shd w:val="clear" w:color="auto" w:fill="auto"/>
            <w:vAlign w:val="center"/>
            <w:hideMark/>
          </w:tcPr>
          <w:p w14:paraId="5A7F649D"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ABF.D517</w:t>
            </w:r>
          </w:p>
        </w:tc>
        <w:tc>
          <w:tcPr>
            <w:tcW w:w="1276" w:type="dxa"/>
            <w:tcBorders>
              <w:top w:val="nil"/>
              <w:left w:val="nil"/>
              <w:bottom w:val="nil"/>
              <w:right w:val="single" w:sz="8" w:space="0" w:color="auto"/>
            </w:tcBorders>
            <w:shd w:val="clear" w:color="auto" w:fill="auto"/>
            <w:vAlign w:val="center"/>
            <w:hideMark/>
          </w:tcPr>
          <w:p w14:paraId="6443C6EE"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ABF.E517</w:t>
            </w:r>
          </w:p>
        </w:tc>
        <w:tc>
          <w:tcPr>
            <w:tcW w:w="1559" w:type="dxa"/>
            <w:gridSpan w:val="2"/>
            <w:tcBorders>
              <w:top w:val="nil"/>
              <w:left w:val="nil"/>
              <w:bottom w:val="nil"/>
              <w:right w:val="single" w:sz="8" w:space="0" w:color="auto"/>
            </w:tcBorders>
            <w:shd w:val="clear" w:color="auto" w:fill="auto"/>
            <w:vAlign w:val="center"/>
            <w:hideMark/>
          </w:tcPr>
          <w:p w14:paraId="173387E2"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ABF.F517</w:t>
            </w:r>
          </w:p>
        </w:tc>
        <w:tc>
          <w:tcPr>
            <w:tcW w:w="1134" w:type="dxa"/>
            <w:gridSpan w:val="2"/>
            <w:tcBorders>
              <w:top w:val="nil"/>
              <w:left w:val="nil"/>
              <w:bottom w:val="nil"/>
              <w:right w:val="single" w:sz="8" w:space="0" w:color="auto"/>
            </w:tcBorders>
            <w:shd w:val="clear" w:color="auto" w:fill="auto"/>
            <w:vAlign w:val="center"/>
            <w:hideMark/>
          </w:tcPr>
          <w:p w14:paraId="2EF0A066"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ABF.G517</w:t>
            </w:r>
          </w:p>
        </w:tc>
      </w:tr>
      <w:tr w:rsidR="000643B5" w:rsidRPr="0084332C" w14:paraId="19E1155D"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02CBD981" w14:textId="77777777" w:rsidR="000643B5" w:rsidRPr="0084332C" w:rsidRDefault="000643B5" w:rsidP="00080E19">
            <w:pPr>
              <w:spacing w:after="0" w:line="240" w:lineRule="auto"/>
              <w:ind w:firstLineChars="200" w:firstLine="320"/>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331 - SUPERÁVIT FINANCEIRO - COTA PARTE ESTADUAL DO SALÁRIO EDUCAÇÃO</w:t>
            </w:r>
          </w:p>
        </w:tc>
        <w:tc>
          <w:tcPr>
            <w:tcW w:w="1276" w:type="dxa"/>
            <w:tcBorders>
              <w:top w:val="nil"/>
              <w:left w:val="nil"/>
              <w:bottom w:val="nil"/>
              <w:right w:val="single" w:sz="8" w:space="0" w:color="auto"/>
            </w:tcBorders>
            <w:shd w:val="clear" w:color="auto" w:fill="auto"/>
            <w:vAlign w:val="center"/>
            <w:hideMark/>
          </w:tcPr>
          <w:p w14:paraId="6163E4D5"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ABF.B518</w:t>
            </w:r>
          </w:p>
        </w:tc>
        <w:tc>
          <w:tcPr>
            <w:tcW w:w="1559" w:type="dxa"/>
            <w:tcBorders>
              <w:top w:val="nil"/>
              <w:left w:val="nil"/>
              <w:bottom w:val="nil"/>
              <w:right w:val="single" w:sz="8" w:space="0" w:color="auto"/>
            </w:tcBorders>
            <w:shd w:val="clear" w:color="auto" w:fill="auto"/>
            <w:vAlign w:val="center"/>
            <w:hideMark/>
          </w:tcPr>
          <w:p w14:paraId="504E9759"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ABF.C518</w:t>
            </w:r>
          </w:p>
        </w:tc>
        <w:tc>
          <w:tcPr>
            <w:tcW w:w="1417" w:type="dxa"/>
            <w:tcBorders>
              <w:top w:val="nil"/>
              <w:left w:val="nil"/>
              <w:bottom w:val="nil"/>
              <w:right w:val="single" w:sz="8" w:space="0" w:color="auto"/>
            </w:tcBorders>
            <w:shd w:val="clear" w:color="auto" w:fill="auto"/>
            <w:vAlign w:val="center"/>
            <w:hideMark/>
          </w:tcPr>
          <w:p w14:paraId="72110540"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ABF.D518</w:t>
            </w:r>
          </w:p>
        </w:tc>
        <w:tc>
          <w:tcPr>
            <w:tcW w:w="1276" w:type="dxa"/>
            <w:tcBorders>
              <w:top w:val="nil"/>
              <w:left w:val="nil"/>
              <w:bottom w:val="nil"/>
              <w:right w:val="single" w:sz="8" w:space="0" w:color="auto"/>
            </w:tcBorders>
            <w:shd w:val="clear" w:color="auto" w:fill="auto"/>
            <w:vAlign w:val="center"/>
            <w:hideMark/>
          </w:tcPr>
          <w:p w14:paraId="120352E0"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ABF.E518</w:t>
            </w:r>
          </w:p>
        </w:tc>
        <w:tc>
          <w:tcPr>
            <w:tcW w:w="1559" w:type="dxa"/>
            <w:gridSpan w:val="2"/>
            <w:tcBorders>
              <w:top w:val="nil"/>
              <w:left w:val="nil"/>
              <w:bottom w:val="nil"/>
              <w:right w:val="single" w:sz="8" w:space="0" w:color="auto"/>
            </w:tcBorders>
            <w:shd w:val="clear" w:color="auto" w:fill="auto"/>
            <w:vAlign w:val="center"/>
            <w:hideMark/>
          </w:tcPr>
          <w:p w14:paraId="248F2123"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ABF.F518</w:t>
            </w:r>
          </w:p>
        </w:tc>
        <w:tc>
          <w:tcPr>
            <w:tcW w:w="1134" w:type="dxa"/>
            <w:gridSpan w:val="2"/>
            <w:tcBorders>
              <w:top w:val="nil"/>
              <w:left w:val="nil"/>
              <w:bottom w:val="nil"/>
              <w:right w:val="single" w:sz="8" w:space="0" w:color="auto"/>
            </w:tcBorders>
            <w:shd w:val="clear" w:color="auto" w:fill="auto"/>
            <w:vAlign w:val="center"/>
            <w:hideMark/>
          </w:tcPr>
          <w:p w14:paraId="21F6F350"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ABF.G518</w:t>
            </w:r>
          </w:p>
        </w:tc>
      </w:tr>
      <w:tr w:rsidR="000643B5" w:rsidRPr="0084332C" w14:paraId="733068BA"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6AFD4755" w14:textId="77777777" w:rsidR="000643B5" w:rsidRPr="0084332C" w:rsidRDefault="000643B5" w:rsidP="00080E19">
            <w:pPr>
              <w:spacing w:after="0" w:line="240" w:lineRule="auto"/>
              <w:ind w:firstLineChars="200" w:firstLine="320"/>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346 - SUPERÁVIT FINANCEIRO - PROGRAMA DINHEIRO DIRETO NA ESCOLA - PDDE</w:t>
            </w:r>
          </w:p>
        </w:tc>
        <w:tc>
          <w:tcPr>
            <w:tcW w:w="1276" w:type="dxa"/>
            <w:tcBorders>
              <w:top w:val="nil"/>
              <w:left w:val="nil"/>
              <w:bottom w:val="nil"/>
              <w:right w:val="single" w:sz="8" w:space="0" w:color="auto"/>
            </w:tcBorders>
            <w:shd w:val="clear" w:color="auto" w:fill="auto"/>
            <w:vAlign w:val="center"/>
            <w:hideMark/>
          </w:tcPr>
          <w:p w14:paraId="11A66AB6"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ABF.B520</w:t>
            </w:r>
          </w:p>
        </w:tc>
        <w:tc>
          <w:tcPr>
            <w:tcW w:w="1559" w:type="dxa"/>
            <w:tcBorders>
              <w:top w:val="nil"/>
              <w:left w:val="nil"/>
              <w:bottom w:val="nil"/>
              <w:right w:val="single" w:sz="8" w:space="0" w:color="auto"/>
            </w:tcBorders>
            <w:shd w:val="clear" w:color="auto" w:fill="auto"/>
            <w:vAlign w:val="center"/>
            <w:hideMark/>
          </w:tcPr>
          <w:p w14:paraId="38589212"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ABF.C520</w:t>
            </w:r>
          </w:p>
        </w:tc>
        <w:tc>
          <w:tcPr>
            <w:tcW w:w="1417" w:type="dxa"/>
            <w:tcBorders>
              <w:top w:val="nil"/>
              <w:left w:val="nil"/>
              <w:bottom w:val="nil"/>
              <w:right w:val="single" w:sz="8" w:space="0" w:color="auto"/>
            </w:tcBorders>
            <w:shd w:val="clear" w:color="auto" w:fill="auto"/>
            <w:vAlign w:val="center"/>
            <w:hideMark/>
          </w:tcPr>
          <w:p w14:paraId="38E8A118"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ABF.D520</w:t>
            </w:r>
          </w:p>
        </w:tc>
        <w:tc>
          <w:tcPr>
            <w:tcW w:w="1276" w:type="dxa"/>
            <w:tcBorders>
              <w:top w:val="nil"/>
              <w:left w:val="nil"/>
              <w:bottom w:val="nil"/>
              <w:right w:val="single" w:sz="8" w:space="0" w:color="auto"/>
            </w:tcBorders>
            <w:shd w:val="clear" w:color="auto" w:fill="auto"/>
            <w:vAlign w:val="center"/>
            <w:hideMark/>
          </w:tcPr>
          <w:p w14:paraId="4F78E66A"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ABF.E520</w:t>
            </w:r>
          </w:p>
        </w:tc>
        <w:tc>
          <w:tcPr>
            <w:tcW w:w="1559" w:type="dxa"/>
            <w:gridSpan w:val="2"/>
            <w:tcBorders>
              <w:top w:val="nil"/>
              <w:left w:val="nil"/>
              <w:bottom w:val="nil"/>
              <w:right w:val="single" w:sz="8" w:space="0" w:color="auto"/>
            </w:tcBorders>
            <w:shd w:val="clear" w:color="auto" w:fill="auto"/>
            <w:vAlign w:val="center"/>
            <w:hideMark/>
          </w:tcPr>
          <w:p w14:paraId="6C2C6265"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ABF.F520</w:t>
            </w:r>
          </w:p>
        </w:tc>
        <w:tc>
          <w:tcPr>
            <w:tcW w:w="1134" w:type="dxa"/>
            <w:gridSpan w:val="2"/>
            <w:tcBorders>
              <w:top w:val="nil"/>
              <w:left w:val="nil"/>
              <w:bottom w:val="nil"/>
              <w:right w:val="single" w:sz="8" w:space="0" w:color="auto"/>
            </w:tcBorders>
            <w:shd w:val="clear" w:color="auto" w:fill="auto"/>
            <w:vAlign w:val="center"/>
            <w:hideMark/>
          </w:tcPr>
          <w:p w14:paraId="7DC7C07D"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ABF.G520</w:t>
            </w:r>
          </w:p>
        </w:tc>
      </w:tr>
      <w:tr w:rsidR="000643B5" w:rsidRPr="0084332C" w14:paraId="0F1C3231"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232EA860" w14:textId="77777777" w:rsidR="000643B5" w:rsidRPr="0084332C" w:rsidRDefault="000643B5" w:rsidP="00080E19">
            <w:pPr>
              <w:spacing w:after="0" w:line="240" w:lineRule="auto"/>
              <w:ind w:firstLineChars="200" w:firstLine="320"/>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347 - SUPERÁVIT FINANCEIRO - PROGRAMA NACIONAL DE ALIMENTAÇÃO ESCOLAR - PNAE</w:t>
            </w:r>
          </w:p>
        </w:tc>
        <w:tc>
          <w:tcPr>
            <w:tcW w:w="1276" w:type="dxa"/>
            <w:tcBorders>
              <w:top w:val="nil"/>
              <w:left w:val="nil"/>
              <w:bottom w:val="nil"/>
              <w:right w:val="single" w:sz="8" w:space="0" w:color="auto"/>
            </w:tcBorders>
            <w:shd w:val="clear" w:color="auto" w:fill="auto"/>
            <w:vAlign w:val="center"/>
            <w:hideMark/>
          </w:tcPr>
          <w:p w14:paraId="4FFE27A4"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ABF.B521</w:t>
            </w:r>
          </w:p>
        </w:tc>
        <w:tc>
          <w:tcPr>
            <w:tcW w:w="1559" w:type="dxa"/>
            <w:tcBorders>
              <w:top w:val="nil"/>
              <w:left w:val="nil"/>
              <w:bottom w:val="nil"/>
              <w:right w:val="single" w:sz="8" w:space="0" w:color="auto"/>
            </w:tcBorders>
            <w:shd w:val="clear" w:color="auto" w:fill="auto"/>
            <w:vAlign w:val="center"/>
            <w:hideMark/>
          </w:tcPr>
          <w:p w14:paraId="6443A454"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ABF.C521</w:t>
            </w:r>
          </w:p>
        </w:tc>
        <w:tc>
          <w:tcPr>
            <w:tcW w:w="1417" w:type="dxa"/>
            <w:tcBorders>
              <w:top w:val="nil"/>
              <w:left w:val="nil"/>
              <w:bottom w:val="nil"/>
              <w:right w:val="single" w:sz="8" w:space="0" w:color="auto"/>
            </w:tcBorders>
            <w:shd w:val="clear" w:color="auto" w:fill="auto"/>
            <w:vAlign w:val="center"/>
            <w:hideMark/>
          </w:tcPr>
          <w:p w14:paraId="12041DFC"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ABF.D521</w:t>
            </w:r>
          </w:p>
        </w:tc>
        <w:tc>
          <w:tcPr>
            <w:tcW w:w="1276" w:type="dxa"/>
            <w:tcBorders>
              <w:top w:val="nil"/>
              <w:left w:val="nil"/>
              <w:bottom w:val="nil"/>
              <w:right w:val="single" w:sz="8" w:space="0" w:color="auto"/>
            </w:tcBorders>
            <w:shd w:val="clear" w:color="auto" w:fill="auto"/>
            <w:vAlign w:val="center"/>
            <w:hideMark/>
          </w:tcPr>
          <w:p w14:paraId="42FEFC80"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ABF.E521</w:t>
            </w:r>
          </w:p>
        </w:tc>
        <w:tc>
          <w:tcPr>
            <w:tcW w:w="1559" w:type="dxa"/>
            <w:gridSpan w:val="2"/>
            <w:tcBorders>
              <w:top w:val="nil"/>
              <w:left w:val="nil"/>
              <w:bottom w:val="nil"/>
              <w:right w:val="single" w:sz="8" w:space="0" w:color="auto"/>
            </w:tcBorders>
            <w:shd w:val="clear" w:color="auto" w:fill="auto"/>
            <w:vAlign w:val="center"/>
            <w:hideMark/>
          </w:tcPr>
          <w:p w14:paraId="4B299DEE"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ABF.F521</w:t>
            </w:r>
          </w:p>
        </w:tc>
        <w:tc>
          <w:tcPr>
            <w:tcW w:w="1134" w:type="dxa"/>
            <w:gridSpan w:val="2"/>
            <w:tcBorders>
              <w:top w:val="nil"/>
              <w:left w:val="nil"/>
              <w:bottom w:val="nil"/>
              <w:right w:val="single" w:sz="8" w:space="0" w:color="auto"/>
            </w:tcBorders>
            <w:shd w:val="clear" w:color="auto" w:fill="auto"/>
            <w:vAlign w:val="center"/>
            <w:hideMark/>
          </w:tcPr>
          <w:p w14:paraId="169C8EBA"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ABF.G521</w:t>
            </w:r>
          </w:p>
        </w:tc>
      </w:tr>
      <w:tr w:rsidR="000643B5" w:rsidRPr="0084332C" w14:paraId="06D7182E"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47BE3341" w14:textId="77777777" w:rsidR="000643B5" w:rsidRPr="0084332C" w:rsidRDefault="000643B5" w:rsidP="00080E19">
            <w:pPr>
              <w:spacing w:after="0" w:line="240" w:lineRule="auto"/>
              <w:ind w:firstLineChars="200" w:firstLine="320"/>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348 - SUPERÁVIT FINANCEIRO - PROGRAMA NACIONAL DE APOIO AO TRANSPORTE ESCOLAR - PNATE</w:t>
            </w:r>
          </w:p>
        </w:tc>
        <w:tc>
          <w:tcPr>
            <w:tcW w:w="1276" w:type="dxa"/>
            <w:tcBorders>
              <w:top w:val="nil"/>
              <w:left w:val="nil"/>
              <w:bottom w:val="nil"/>
              <w:right w:val="single" w:sz="8" w:space="0" w:color="auto"/>
            </w:tcBorders>
            <w:shd w:val="clear" w:color="auto" w:fill="auto"/>
            <w:vAlign w:val="center"/>
            <w:hideMark/>
          </w:tcPr>
          <w:p w14:paraId="66C119F4"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ABF.B522</w:t>
            </w:r>
          </w:p>
        </w:tc>
        <w:tc>
          <w:tcPr>
            <w:tcW w:w="1559" w:type="dxa"/>
            <w:tcBorders>
              <w:top w:val="nil"/>
              <w:left w:val="nil"/>
              <w:bottom w:val="nil"/>
              <w:right w:val="single" w:sz="8" w:space="0" w:color="auto"/>
            </w:tcBorders>
            <w:shd w:val="clear" w:color="auto" w:fill="auto"/>
            <w:vAlign w:val="center"/>
            <w:hideMark/>
          </w:tcPr>
          <w:p w14:paraId="190DA193"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ABF.C522</w:t>
            </w:r>
          </w:p>
        </w:tc>
        <w:tc>
          <w:tcPr>
            <w:tcW w:w="1417" w:type="dxa"/>
            <w:tcBorders>
              <w:top w:val="nil"/>
              <w:left w:val="nil"/>
              <w:bottom w:val="nil"/>
              <w:right w:val="single" w:sz="8" w:space="0" w:color="auto"/>
            </w:tcBorders>
            <w:shd w:val="clear" w:color="auto" w:fill="auto"/>
            <w:vAlign w:val="center"/>
            <w:hideMark/>
          </w:tcPr>
          <w:p w14:paraId="3AFC4883"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ABF.D522</w:t>
            </w:r>
          </w:p>
        </w:tc>
        <w:tc>
          <w:tcPr>
            <w:tcW w:w="1276" w:type="dxa"/>
            <w:tcBorders>
              <w:top w:val="nil"/>
              <w:left w:val="nil"/>
              <w:bottom w:val="nil"/>
              <w:right w:val="single" w:sz="8" w:space="0" w:color="auto"/>
            </w:tcBorders>
            <w:shd w:val="clear" w:color="auto" w:fill="auto"/>
            <w:vAlign w:val="center"/>
            <w:hideMark/>
          </w:tcPr>
          <w:p w14:paraId="7B76A7B2"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ABF.E522</w:t>
            </w:r>
          </w:p>
        </w:tc>
        <w:tc>
          <w:tcPr>
            <w:tcW w:w="1559" w:type="dxa"/>
            <w:gridSpan w:val="2"/>
            <w:tcBorders>
              <w:top w:val="nil"/>
              <w:left w:val="nil"/>
              <w:bottom w:val="nil"/>
              <w:right w:val="single" w:sz="8" w:space="0" w:color="auto"/>
            </w:tcBorders>
            <w:shd w:val="clear" w:color="auto" w:fill="auto"/>
            <w:vAlign w:val="center"/>
            <w:hideMark/>
          </w:tcPr>
          <w:p w14:paraId="120C5D44"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ABF.F522</w:t>
            </w:r>
          </w:p>
        </w:tc>
        <w:tc>
          <w:tcPr>
            <w:tcW w:w="1134" w:type="dxa"/>
            <w:gridSpan w:val="2"/>
            <w:tcBorders>
              <w:top w:val="nil"/>
              <w:left w:val="nil"/>
              <w:bottom w:val="nil"/>
              <w:right w:val="single" w:sz="8" w:space="0" w:color="auto"/>
            </w:tcBorders>
            <w:shd w:val="clear" w:color="auto" w:fill="auto"/>
            <w:vAlign w:val="center"/>
            <w:hideMark/>
          </w:tcPr>
          <w:p w14:paraId="7F62A815"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ABF.G522</w:t>
            </w:r>
          </w:p>
        </w:tc>
      </w:tr>
      <w:tr w:rsidR="000643B5" w:rsidRPr="0084332C" w14:paraId="118ACF1F"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04C75B94" w14:textId="77777777" w:rsidR="000643B5" w:rsidRPr="0084332C" w:rsidRDefault="000643B5" w:rsidP="00080E19">
            <w:pPr>
              <w:spacing w:after="0" w:line="240" w:lineRule="auto"/>
              <w:ind w:firstLineChars="200" w:firstLine="320"/>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349 - SUPERÁVIT FINANCEIRO - PROGRAMA BRASIL ALFABETIZADO</w:t>
            </w:r>
          </w:p>
        </w:tc>
        <w:tc>
          <w:tcPr>
            <w:tcW w:w="1276" w:type="dxa"/>
            <w:tcBorders>
              <w:top w:val="nil"/>
              <w:left w:val="nil"/>
              <w:bottom w:val="nil"/>
              <w:right w:val="single" w:sz="8" w:space="0" w:color="auto"/>
            </w:tcBorders>
            <w:shd w:val="clear" w:color="auto" w:fill="auto"/>
            <w:vAlign w:val="center"/>
            <w:hideMark/>
          </w:tcPr>
          <w:p w14:paraId="6F10FF73"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ABF.B523</w:t>
            </w:r>
          </w:p>
        </w:tc>
        <w:tc>
          <w:tcPr>
            <w:tcW w:w="1559" w:type="dxa"/>
            <w:tcBorders>
              <w:top w:val="nil"/>
              <w:left w:val="nil"/>
              <w:bottom w:val="nil"/>
              <w:right w:val="single" w:sz="8" w:space="0" w:color="auto"/>
            </w:tcBorders>
            <w:shd w:val="clear" w:color="auto" w:fill="auto"/>
            <w:vAlign w:val="center"/>
            <w:hideMark/>
          </w:tcPr>
          <w:p w14:paraId="7A24D1F0"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ABF.C523</w:t>
            </w:r>
          </w:p>
        </w:tc>
        <w:tc>
          <w:tcPr>
            <w:tcW w:w="1417" w:type="dxa"/>
            <w:tcBorders>
              <w:top w:val="nil"/>
              <w:left w:val="nil"/>
              <w:bottom w:val="nil"/>
              <w:right w:val="single" w:sz="8" w:space="0" w:color="auto"/>
            </w:tcBorders>
            <w:shd w:val="clear" w:color="auto" w:fill="auto"/>
            <w:vAlign w:val="center"/>
            <w:hideMark/>
          </w:tcPr>
          <w:p w14:paraId="7196EB6E"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ABF.D523</w:t>
            </w:r>
          </w:p>
        </w:tc>
        <w:tc>
          <w:tcPr>
            <w:tcW w:w="1276" w:type="dxa"/>
            <w:tcBorders>
              <w:top w:val="nil"/>
              <w:left w:val="nil"/>
              <w:bottom w:val="nil"/>
              <w:right w:val="single" w:sz="8" w:space="0" w:color="auto"/>
            </w:tcBorders>
            <w:shd w:val="clear" w:color="auto" w:fill="auto"/>
            <w:vAlign w:val="center"/>
            <w:hideMark/>
          </w:tcPr>
          <w:p w14:paraId="45D2D5EB"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ABF.E523</w:t>
            </w:r>
          </w:p>
        </w:tc>
        <w:tc>
          <w:tcPr>
            <w:tcW w:w="1559" w:type="dxa"/>
            <w:gridSpan w:val="2"/>
            <w:tcBorders>
              <w:top w:val="nil"/>
              <w:left w:val="nil"/>
              <w:bottom w:val="nil"/>
              <w:right w:val="single" w:sz="8" w:space="0" w:color="auto"/>
            </w:tcBorders>
            <w:shd w:val="clear" w:color="auto" w:fill="auto"/>
            <w:vAlign w:val="center"/>
            <w:hideMark/>
          </w:tcPr>
          <w:p w14:paraId="4465750F"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ABF.F523</w:t>
            </w:r>
          </w:p>
        </w:tc>
        <w:tc>
          <w:tcPr>
            <w:tcW w:w="1134" w:type="dxa"/>
            <w:gridSpan w:val="2"/>
            <w:tcBorders>
              <w:top w:val="nil"/>
              <w:left w:val="nil"/>
              <w:bottom w:val="nil"/>
              <w:right w:val="single" w:sz="8" w:space="0" w:color="auto"/>
            </w:tcBorders>
            <w:shd w:val="clear" w:color="auto" w:fill="auto"/>
            <w:vAlign w:val="center"/>
            <w:hideMark/>
          </w:tcPr>
          <w:p w14:paraId="03488E61"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ABF.G523</w:t>
            </w:r>
          </w:p>
        </w:tc>
      </w:tr>
      <w:tr w:rsidR="000643B5" w:rsidRPr="0084332C" w14:paraId="0B3A0AA4"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15388E5D" w14:textId="77777777" w:rsidR="000643B5" w:rsidRPr="0084332C" w:rsidRDefault="000643B5" w:rsidP="00080E19">
            <w:pPr>
              <w:spacing w:after="0" w:line="240" w:lineRule="auto"/>
              <w:ind w:firstLineChars="200" w:firstLine="320"/>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351 - SUPERÁVIT FINANCEIRO - PROGRAMA DE APOIO SISTEMA DE ENSINO PARA ATENDIMENTO AO EJA</w:t>
            </w:r>
          </w:p>
        </w:tc>
        <w:tc>
          <w:tcPr>
            <w:tcW w:w="1276" w:type="dxa"/>
            <w:tcBorders>
              <w:top w:val="nil"/>
              <w:left w:val="nil"/>
              <w:bottom w:val="nil"/>
              <w:right w:val="single" w:sz="8" w:space="0" w:color="auto"/>
            </w:tcBorders>
            <w:shd w:val="clear" w:color="auto" w:fill="auto"/>
            <w:vAlign w:val="center"/>
            <w:hideMark/>
          </w:tcPr>
          <w:p w14:paraId="35BA55CF"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ABF.B524</w:t>
            </w:r>
          </w:p>
        </w:tc>
        <w:tc>
          <w:tcPr>
            <w:tcW w:w="1559" w:type="dxa"/>
            <w:tcBorders>
              <w:top w:val="nil"/>
              <w:left w:val="nil"/>
              <w:bottom w:val="nil"/>
              <w:right w:val="single" w:sz="8" w:space="0" w:color="auto"/>
            </w:tcBorders>
            <w:shd w:val="clear" w:color="auto" w:fill="auto"/>
            <w:vAlign w:val="center"/>
            <w:hideMark/>
          </w:tcPr>
          <w:p w14:paraId="487ABFBD"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ABF.C524</w:t>
            </w:r>
          </w:p>
        </w:tc>
        <w:tc>
          <w:tcPr>
            <w:tcW w:w="1417" w:type="dxa"/>
            <w:tcBorders>
              <w:top w:val="nil"/>
              <w:left w:val="nil"/>
              <w:bottom w:val="nil"/>
              <w:right w:val="single" w:sz="8" w:space="0" w:color="auto"/>
            </w:tcBorders>
            <w:shd w:val="clear" w:color="auto" w:fill="auto"/>
            <w:vAlign w:val="center"/>
            <w:hideMark/>
          </w:tcPr>
          <w:p w14:paraId="281A91D3"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ABF.D524</w:t>
            </w:r>
          </w:p>
        </w:tc>
        <w:tc>
          <w:tcPr>
            <w:tcW w:w="1276" w:type="dxa"/>
            <w:tcBorders>
              <w:top w:val="nil"/>
              <w:left w:val="nil"/>
              <w:bottom w:val="nil"/>
              <w:right w:val="single" w:sz="8" w:space="0" w:color="auto"/>
            </w:tcBorders>
            <w:shd w:val="clear" w:color="auto" w:fill="auto"/>
            <w:vAlign w:val="center"/>
            <w:hideMark/>
          </w:tcPr>
          <w:p w14:paraId="1E590F2A"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ABF.E524</w:t>
            </w:r>
          </w:p>
        </w:tc>
        <w:tc>
          <w:tcPr>
            <w:tcW w:w="1559" w:type="dxa"/>
            <w:gridSpan w:val="2"/>
            <w:tcBorders>
              <w:top w:val="nil"/>
              <w:left w:val="nil"/>
              <w:bottom w:val="nil"/>
              <w:right w:val="single" w:sz="8" w:space="0" w:color="auto"/>
            </w:tcBorders>
            <w:shd w:val="clear" w:color="auto" w:fill="auto"/>
            <w:vAlign w:val="center"/>
            <w:hideMark/>
          </w:tcPr>
          <w:p w14:paraId="59A78AFC"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ABF.F524</w:t>
            </w:r>
          </w:p>
        </w:tc>
        <w:tc>
          <w:tcPr>
            <w:tcW w:w="1134" w:type="dxa"/>
            <w:gridSpan w:val="2"/>
            <w:tcBorders>
              <w:top w:val="nil"/>
              <w:left w:val="nil"/>
              <w:bottom w:val="nil"/>
              <w:right w:val="single" w:sz="8" w:space="0" w:color="auto"/>
            </w:tcBorders>
            <w:shd w:val="clear" w:color="auto" w:fill="auto"/>
            <w:vAlign w:val="center"/>
            <w:hideMark/>
          </w:tcPr>
          <w:p w14:paraId="0B8BBF64"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ABF.G524</w:t>
            </w:r>
          </w:p>
        </w:tc>
      </w:tr>
      <w:tr w:rsidR="000643B5" w:rsidRPr="0084332C" w14:paraId="197E9018"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4CB6E89B" w14:textId="77777777" w:rsidR="000643B5" w:rsidRPr="0084332C" w:rsidRDefault="000643B5" w:rsidP="00080E19">
            <w:pPr>
              <w:spacing w:after="0" w:line="240" w:lineRule="auto"/>
              <w:ind w:firstLineChars="200" w:firstLine="320"/>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lastRenderedPageBreak/>
              <w:t>352 - SUPERÁVIT FINANCEIRO - PROGRAMA DE FOMENTO ÀS ESCOLAS DE ENSINO MÉDIO EM TEMPO INTEGRAL</w:t>
            </w:r>
          </w:p>
        </w:tc>
        <w:tc>
          <w:tcPr>
            <w:tcW w:w="1276" w:type="dxa"/>
            <w:tcBorders>
              <w:top w:val="nil"/>
              <w:left w:val="nil"/>
              <w:bottom w:val="nil"/>
              <w:right w:val="single" w:sz="8" w:space="0" w:color="auto"/>
            </w:tcBorders>
            <w:shd w:val="clear" w:color="auto" w:fill="auto"/>
            <w:vAlign w:val="center"/>
            <w:hideMark/>
          </w:tcPr>
          <w:p w14:paraId="20065089"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ABF.B525</w:t>
            </w:r>
          </w:p>
        </w:tc>
        <w:tc>
          <w:tcPr>
            <w:tcW w:w="1559" w:type="dxa"/>
            <w:tcBorders>
              <w:top w:val="nil"/>
              <w:left w:val="nil"/>
              <w:bottom w:val="nil"/>
              <w:right w:val="single" w:sz="8" w:space="0" w:color="auto"/>
            </w:tcBorders>
            <w:shd w:val="clear" w:color="auto" w:fill="auto"/>
            <w:vAlign w:val="center"/>
            <w:hideMark/>
          </w:tcPr>
          <w:p w14:paraId="2D4C6386"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ABF.C525</w:t>
            </w:r>
          </w:p>
        </w:tc>
        <w:tc>
          <w:tcPr>
            <w:tcW w:w="1417" w:type="dxa"/>
            <w:tcBorders>
              <w:top w:val="nil"/>
              <w:left w:val="nil"/>
              <w:bottom w:val="nil"/>
              <w:right w:val="single" w:sz="8" w:space="0" w:color="auto"/>
            </w:tcBorders>
            <w:shd w:val="clear" w:color="auto" w:fill="auto"/>
            <w:vAlign w:val="center"/>
            <w:hideMark/>
          </w:tcPr>
          <w:p w14:paraId="6692D7A8"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ABF.D525</w:t>
            </w:r>
          </w:p>
        </w:tc>
        <w:tc>
          <w:tcPr>
            <w:tcW w:w="1276" w:type="dxa"/>
            <w:tcBorders>
              <w:top w:val="nil"/>
              <w:left w:val="nil"/>
              <w:bottom w:val="nil"/>
              <w:right w:val="single" w:sz="8" w:space="0" w:color="auto"/>
            </w:tcBorders>
            <w:shd w:val="clear" w:color="auto" w:fill="auto"/>
            <w:vAlign w:val="center"/>
            <w:hideMark/>
          </w:tcPr>
          <w:p w14:paraId="2A6828EA"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ABF.E525</w:t>
            </w:r>
          </w:p>
        </w:tc>
        <w:tc>
          <w:tcPr>
            <w:tcW w:w="1559" w:type="dxa"/>
            <w:gridSpan w:val="2"/>
            <w:tcBorders>
              <w:top w:val="nil"/>
              <w:left w:val="nil"/>
              <w:bottom w:val="nil"/>
              <w:right w:val="single" w:sz="8" w:space="0" w:color="auto"/>
            </w:tcBorders>
            <w:shd w:val="clear" w:color="auto" w:fill="auto"/>
            <w:vAlign w:val="center"/>
            <w:hideMark/>
          </w:tcPr>
          <w:p w14:paraId="78F66D86"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ABF.F525</w:t>
            </w:r>
          </w:p>
        </w:tc>
        <w:tc>
          <w:tcPr>
            <w:tcW w:w="1134" w:type="dxa"/>
            <w:gridSpan w:val="2"/>
            <w:tcBorders>
              <w:top w:val="nil"/>
              <w:left w:val="nil"/>
              <w:bottom w:val="nil"/>
              <w:right w:val="single" w:sz="8" w:space="0" w:color="auto"/>
            </w:tcBorders>
            <w:shd w:val="clear" w:color="auto" w:fill="auto"/>
            <w:vAlign w:val="center"/>
            <w:hideMark/>
          </w:tcPr>
          <w:p w14:paraId="20D4A9B0"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ABF.G525</w:t>
            </w:r>
          </w:p>
        </w:tc>
      </w:tr>
      <w:tr w:rsidR="000643B5" w:rsidRPr="0084332C" w14:paraId="7505A725"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276AA351" w14:textId="77777777" w:rsidR="000643B5" w:rsidRPr="0084332C" w:rsidRDefault="000643B5" w:rsidP="00080E19">
            <w:pPr>
              <w:spacing w:after="0" w:line="240" w:lineRule="auto"/>
              <w:ind w:firstLineChars="200" w:firstLine="320"/>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365 - SUPERÁVIT FINANCEIRO - PRONATEC</w:t>
            </w:r>
          </w:p>
        </w:tc>
        <w:tc>
          <w:tcPr>
            <w:tcW w:w="1276" w:type="dxa"/>
            <w:tcBorders>
              <w:top w:val="nil"/>
              <w:left w:val="nil"/>
              <w:bottom w:val="nil"/>
              <w:right w:val="single" w:sz="8" w:space="0" w:color="auto"/>
            </w:tcBorders>
            <w:shd w:val="clear" w:color="auto" w:fill="auto"/>
            <w:vAlign w:val="center"/>
            <w:hideMark/>
          </w:tcPr>
          <w:p w14:paraId="41080F8D"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ABF.B526</w:t>
            </w:r>
          </w:p>
        </w:tc>
        <w:tc>
          <w:tcPr>
            <w:tcW w:w="1559" w:type="dxa"/>
            <w:tcBorders>
              <w:top w:val="nil"/>
              <w:left w:val="nil"/>
              <w:bottom w:val="nil"/>
              <w:right w:val="single" w:sz="8" w:space="0" w:color="auto"/>
            </w:tcBorders>
            <w:shd w:val="clear" w:color="auto" w:fill="auto"/>
            <w:vAlign w:val="center"/>
            <w:hideMark/>
          </w:tcPr>
          <w:p w14:paraId="6D4965BE"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ABF.C526</w:t>
            </w:r>
          </w:p>
        </w:tc>
        <w:tc>
          <w:tcPr>
            <w:tcW w:w="1417" w:type="dxa"/>
            <w:tcBorders>
              <w:top w:val="nil"/>
              <w:left w:val="nil"/>
              <w:bottom w:val="nil"/>
              <w:right w:val="single" w:sz="8" w:space="0" w:color="auto"/>
            </w:tcBorders>
            <w:shd w:val="clear" w:color="auto" w:fill="auto"/>
            <w:vAlign w:val="center"/>
            <w:hideMark/>
          </w:tcPr>
          <w:p w14:paraId="33D11BD7"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ABF.D526</w:t>
            </w:r>
          </w:p>
        </w:tc>
        <w:tc>
          <w:tcPr>
            <w:tcW w:w="1276" w:type="dxa"/>
            <w:tcBorders>
              <w:top w:val="nil"/>
              <w:left w:val="nil"/>
              <w:bottom w:val="nil"/>
              <w:right w:val="single" w:sz="8" w:space="0" w:color="auto"/>
            </w:tcBorders>
            <w:shd w:val="clear" w:color="auto" w:fill="auto"/>
            <w:vAlign w:val="center"/>
            <w:hideMark/>
          </w:tcPr>
          <w:p w14:paraId="7825DDA5"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ABF.E526</w:t>
            </w:r>
          </w:p>
        </w:tc>
        <w:tc>
          <w:tcPr>
            <w:tcW w:w="1559" w:type="dxa"/>
            <w:gridSpan w:val="2"/>
            <w:tcBorders>
              <w:top w:val="nil"/>
              <w:left w:val="nil"/>
              <w:bottom w:val="nil"/>
              <w:right w:val="single" w:sz="8" w:space="0" w:color="auto"/>
            </w:tcBorders>
            <w:shd w:val="clear" w:color="auto" w:fill="auto"/>
            <w:vAlign w:val="center"/>
            <w:hideMark/>
          </w:tcPr>
          <w:p w14:paraId="5FB4FB46"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ABF.F526</w:t>
            </w:r>
          </w:p>
        </w:tc>
        <w:tc>
          <w:tcPr>
            <w:tcW w:w="1134" w:type="dxa"/>
            <w:gridSpan w:val="2"/>
            <w:tcBorders>
              <w:top w:val="nil"/>
              <w:left w:val="nil"/>
              <w:bottom w:val="nil"/>
              <w:right w:val="single" w:sz="8" w:space="0" w:color="auto"/>
            </w:tcBorders>
            <w:shd w:val="clear" w:color="auto" w:fill="auto"/>
            <w:vAlign w:val="center"/>
            <w:hideMark/>
          </w:tcPr>
          <w:p w14:paraId="3D18A1D8"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ABF.G526</w:t>
            </w:r>
          </w:p>
        </w:tc>
      </w:tr>
      <w:tr w:rsidR="000643B5" w:rsidRPr="0084332C" w14:paraId="37F8CE61"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74EA21D0" w14:textId="77777777" w:rsidR="000643B5" w:rsidRPr="0084332C" w:rsidRDefault="000643B5" w:rsidP="00080E19">
            <w:pPr>
              <w:spacing w:after="0" w:line="240" w:lineRule="auto"/>
              <w:ind w:firstLineChars="100" w:firstLine="161"/>
              <w:rPr>
                <w:rFonts w:ascii="Arial Narrow" w:eastAsia="Times New Roman" w:hAnsi="Arial Narrow" w:cs="Arial"/>
                <w:b/>
                <w:bCs/>
                <w:sz w:val="16"/>
                <w:szCs w:val="16"/>
                <w:lang w:eastAsia="pt-BR"/>
              </w:rPr>
            </w:pPr>
            <w:r w:rsidRPr="0084332C">
              <w:rPr>
                <w:rFonts w:ascii="Arial Narrow" w:eastAsia="Times New Roman" w:hAnsi="Arial Narrow" w:cs="Arial"/>
                <w:b/>
                <w:bCs/>
                <w:sz w:val="16"/>
                <w:szCs w:val="16"/>
                <w:lang w:eastAsia="pt-BR"/>
              </w:rPr>
              <w:t xml:space="preserve">  Recursos Vinculados à Saúde</w:t>
            </w:r>
          </w:p>
        </w:tc>
        <w:tc>
          <w:tcPr>
            <w:tcW w:w="1276" w:type="dxa"/>
            <w:tcBorders>
              <w:top w:val="nil"/>
              <w:left w:val="nil"/>
              <w:bottom w:val="nil"/>
              <w:right w:val="single" w:sz="8" w:space="0" w:color="auto"/>
            </w:tcBorders>
            <w:shd w:val="clear" w:color="auto" w:fill="auto"/>
            <w:vAlign w:val="center"/>
            <w:hideMark/>
          </w:tcPr>
          <w:p w14:paraId="55200DA4" w14:textId="77777777" w:rsidR="000643B5" w:rsidRPr="0084332C" w:rsidRDefault="000643B5" w:rsidP="00080E19">
            <w:pPr>
              <w:spacing w:after="0" w:line="240" w:lineRule="auto"/>
              <w:jc w:val="center"/>
              <w:rPr>
                <w:rFonts w:ascii="Arial Narrow" w:eastAsia="Times New Roman" w:hAnsi="Arial Narrow" w:cs="Arial"/>
                <w:b/>
                <w:bCs/>
                <w:sz w:val="16"/>
                <w:szCs w:val="16"/>
                <w:lang w:eastAsia="pt-BR"/>
              </w:rPr>
            </w:pPr>
            <w:r w:rsidRPr="0084332C">
              <w:rPr>
                <w:rFonts w:ascii="Arial Narrow" w:eastAsia="Times New Roman" w:hAnsi="Arial Narrow" w:cs="Arial"/>
                <w:b/>
                <w:bCs/>
                <w:sz w:val="16"/>
                <w:szCs w:val="16"/>
                <w:lang w:eastAsia="pt-BR"/>
              </w:rPr>
              <w:t>ABF.B026</w:t>
            </w:r>
          </w:p>
        </w:tc>
        <w:tc>
          <w:tcPr>
            <w:tcW w:w="1559" w:type="dxa"/>
            <w:tcBorders>
              <w:top w:val="nil"/>
              <w:left w:val="nil"/>
              <w:bottom w:val="nil"/>
              <w:right w:val="single" w:sz="8" w:space="0" w:color="auto"/>
            </w:tcBorders>
            <w:shd w:val="clear" w:color="auto" w:fill="auto"/>
            <w:vAlign w:val="center"/>
            <w:hideMark/>
          </w:tcPr>
          <w:p w14:paraId="49B827C4" w14:textId="77777777" w:rsidR="000643B5" w:rsidRPr="0084332C" w:rsidRDefault="000643B5" w:rsidP="00080E19">
            <w:pPr>
              <w:spacing w:after="0" w:line="240" w:lineRule="auto"/>
              <w:jc w:val="center"/>
              <w:rPr>
                <w:rFonts w:ascii="Arial Narrow" w:eastAsia="Times New Roman" w:hAnsi="Arial Narrow" w:cs="Arial"/>
                <w:b/>
                <w:bCs/>
                <w:sz w:val="16"/>
                <w:szCs w:val="16"/>
                <w:lang w:eastAsia="pt-BR"/>
              </w:rPr>
            </w:pPr>
            <w:r w:rsidRPr="0084332C">
              <w:rPr>
                <w:rFonts w:ascii="Arial Narrow" w:eastAsia="Times New Roman" w:hAnsi="Arial Narrow" w:cs="Arial"/>
                <w:b/>
                <w:bCs/>
                <w:sz w:val="16"/>
                <w:szCs w:val="16"/>
                <w:lang w:eastAsia="pt-BR"/>
              </w:rPr>
              <w:t>ABF.C026</w:t>
            </w:r>
          </w:p>
        </w:tc>
        <w:tc>
          <w:tcPr>
            <w:tcW w:w="1417" w:type="dxa"/>
            <w:tcBorders>
              <w:top w:val="nil"/>
              <w:left w:val="nil"/>
              <w:bottom w:val="nil"/>
              <w:right w:val="single" w:sz="8" w:space="0" w:color="auto"/>
            </w:tcBorders>
            <w:shd w:val="clear" w:color="auto" w:fill="auto"/>
            <w:vAlign w:val="center"/>
            <w:hideMark/>
          </w:tcPr>
          <w:p w14:paraId="38DA6637" w14:textId="77777777" w:rsidR="000643B5" w:rsidRPr="0084332C" w:rsidRDefault="000643B5" w:rsidP="00080E19">
            <w:pPr>
              <w:spacing w:after="0" w:line="240" w:lineRule="auto"/>
              <w:jc w:val="center"/>
              <w:rPr>
                <w:rFonts w:ascii="Arial Narrow" w:eastAsia="Times New Roman" w:hAnsi="Arial Narrow" w:cs="Arial"/>
                <w:b/>
                <w:bCs/>
                <w:sz w:val="16"/>
                <w:szCs w:val="16"/>
                <w:lang w:eastAsia="pt-BR"/>
              </w:rPr>
            </w:pPr>
            <w:r w:rsidRPr="0084332C">
              <w:rPr>
                <w:rFonts w:ascii="Arial Narrow" w:eastAsia="Times New Roman" w:hAnsi="Arial Narrow" w:cs="Arial"/>
                <w:b/>
                <w:bCs/>
                <w:sz w:val="16"/>
                <w:szCs w:val="16"/>
                <w:lang w:eastAsia="pt-BR"/>
              </w:rPr>
              <w:t>ABF.D026</w:t>
            </w:r>
          </w:p>
        </w:tc>
        <w:tc>
          <w:tcPr>
            <w:tcW w:w="1276" w:type="dxa"/>
            <w:tcBorders>
              <w:top w:val="nil"/>
              <w:left w:val="nil"/>
              <w:bottom w:val="nil"/>
              <w:right w:val="single" w:sz="8" w:space="0" w:color="auto"/>
            </w:tcBorders>
            <w:shd w:val="clear" w:color="auto" w:fill="auto"/>
            <w:vAlign w:val="center"/>
            <w:hideMark/>
          </w:tcPr>
          <w:p w14:paraId="2D9027EB" w14:textId="77777777" w:rsidR="000643B5" w:rsidRPr="0084332C" w:rsidRDefault="000643B5" w:rsidP="00080E19">
            <w:pPr>
              <w:spacing w:after="0" w:line="240" w:lineRule="auto"/>
              <w:jc w:val="center"/>
              <w:rPr>
                <w:rFonts w:ascii="Arial Narrow" w:eastAsia="Times New Roman" w:hAnsi="Arial Narrow" w:cs="Arial"/>
                <w:b/>
                <w:bCs/>
                <w:sz w:val="16"/>
                <w:szCs w:val="16"/>
                <w:lang w:eastAsia="pt-BR"/>
              </w:rPr>
            </w:pPr>
            <w:r w:rsidRPr="0084332C">
              <w:rPr>
                <w:rFonts w:ascii="Arial Narrow" w:eastAsia="Times New Roman" w:hAnsi="Arial Narrow" w:cs="Arial"/>
                <w:b/>
                <w:bCs/>
                <w:sz w:val="16"/>
                <w:szCs w:val="16"/>
                <w:lang w:eastAsia="pt-BR"/>
              </w:rPr>
              <w:t>ABF.E026</w:t>
            </w:r>
          </w:p>
        </w:tc>
        <w:tc>
          <w:tcPr>
            <w:tcW w:w="1559" w:type="dxa"/>
            <w:gridSpan w:val="2"/>
            <w:tcBorders>
              <w:top w:val="nil"/>
              <w:left w:val="nil"/>
              <w:bottom w:val="nil"/>
              <w:right w:val="single" w:sz="8" w:space="0" w:color="auto"/>
            </w:tcBorders>
            <w:shd w:val="clear" w:color="auto" w:fill="auto"/>
            <w:vAlign w:val="center"/>
            <w:hideMark/>
          </w:tcPr>
          <w:p w14:paraId="0E583758" w14:textId="77777777" w:rsidR="000643B5" w:rsidRPr="0084332C" w:rsidRDefault="000643B5" w:rsidP="00080E19">
            <w:pPr>
              <w:spacing w:after="0" w:line="240" w:lineRule="auto"/>
              <w:jc w:val="center"/>
              <w:rPr>
                <w:rFonts w:ascii="Arial Narrow" w:eastAsia="Times New Roman" w:hAnsi="Arial Narrow" w:cs="Arial"/>
                <w:b/>
                <w:bCs/>
                <w:sz w:val="16"/>
                <w:szCs w:val="16"/>
                <w:lang w:eastAsia="pt-BR"/>
              </w:rPr>
            </w:pPr>
            <w:r w:rsidRPr="0084332C">
              <w:rPr>
                <w:rFonts w:ascii="Arial Narrow" w:eastAsia="Times New Roman" w:hAnsi="Arial Narrow" w:cs="Arial"/>
                <w:b/>
                <w:bCs/>
                <w:sz w:val="16"/>
                <w:szCs w:val="16"/>
                <w:lang w:eastAsia="pt-BR"/>
              </w:rPr>
              <w:t>ABF.F026</w:t>
            </w:r>
          </w:p>
        </w:tc>
        <w:tc>
          <w:tcPr>
            <w:tcW w:w="1134" w:type="dxa"/>
            <w:gridSpan w:val="2"/>
            <w:tcBorders>
              <w:top w:val="nil"/>
              <w:left w:val="nil"/>
              <w:bottom w:val="nil"/>
              <w:right w:val="single" w:sz="8" w:space="0" w:color="auto"/>
            </w:tcBorders>
            <w:shd w:val="clear" w:color="auto" w:fill="auto"/>
            <w:vAlign w:val="center"/>
            <w:hideMark/>
          </w:tcPr>
          <w:p w14:paraId="694FDDB1" w14:textId="77777777" w:rsidR="000643B5" w:rsidRPr="0084332C" w:rsidRDefault="000643B5" w:rsidP="00080E19">
            <w:pPr>
              <w:spacing w:after="0" w:line="240" w:lineRule="auto"/>
              <w:jc w:val="center"/>
              <w:rPr>
                <w:rFonts w:ascii="Arial Narrow" w:eastAsia="Times New Roman" w:hAnsi="Arial Narrow" w:cs="Arial"/>
                <w:b/>
                <w:bCs/>
                <w:sz w:val="16"/>
                <w:szCs w:val="16"/>
                <w:lang w:eastAsia="pt-BR"/>
              </w:rPr>
            </w:pPr>
            <w:r w:rsidRPr="0084332C">
              <w:rPr>
                <w:rFonts w:ascii="Arial Narrow" w:eastAsia="Times New Roman" w:hAnsi="Arial Narrow" w:cs="Arial"/>
                <w:b/>
                <w:bCs/>
                <w:sz w:val="16"/>
                <w:szCs w:val="16"/>
                <w:lang w:eastAsia="pt-BR"/>
              </w:rPr>
              <w:t>ABF.G026</w:t>
            </w:r>
          </w:p>
        </w:tc>
      </w:tr>
      <w:tr w:rsidR="000643B5" w:rsidRPr="0084332C" w14:paraId="66076553"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5F123B79" w14:textId="77777777" w:rsidR="000643B5" w:rsidRPr="0084332C" w:rsidRDefault="000643B5" w:rsidP="00080E19">
            <w:pPr>
              <w:spacing w:after="0" w:line="240" w:lineRule="auto"/>
              <w:ind w:firstLineChars="200" w:firstLine="320"/>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104 - AÇÕES E SERVIÇOS DE SAÚDE</w:t>
            </w:r>
          </w:p>
        </w:tc>
        <w:tc>
          <w:tcPr>
            <w:tcW w:w="1276" w:type="dxa"/>
            <w:tcBorders>
              <w:top w:val="nil"/>
              <w:left w:val="nil"/>
              <w:bottom w:val="nil"/>
              <w:right w:val="single" w:sz="8" w:space="0" w:color="auto"/>
            </w:tcBorders>
            <w:shd w:val="clear" w:color="auto" w:fill="auto"/>
            <w:vAlign w:val="center"/>
            <w:hideMark/>
          </w:tcPr>
          <w:p w14:paraId="598081CC"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ABF.B527</w:t>
            </w:r>
          </w:p>
        </w:tc>
        <w:tc>
          <w:tcPr>
            <w:tcW w:w="1559" w:type="dxa"/>
            <w:tcBorders>
              <w:top w:val="nil"/>
              <w:left w:val="nil"/>
              <w:bottom w:val="nil"/>
              <w:right w:val="single" w:sz="8" w:space="0" w:color="auto"/>
            </w:tcBorders>
            <w:shd w:val="clear" w:color="auto" w:fill="auto"/>
            <w:vAlign w:val="center"/>
            <w:hideMark/>
          </w:tcPr>
          <w:p w14:paraId="32005E14"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ABF.C527</w:t>
            </w:r>
          </w:p>
        </w:tc>
        <w:tc>
          <w:tcPr>
            <w:tcW w:w="1417" w:type="dxa"/>
            <w:tcBorders>
              <w:top w:val="nil"/>
              <w:left w:val="nil"/>
              <w:bottom w:val="nil"/>
              <w:right w:val="single" w:sz="8" w:space="0" w:color="auto"/>
            </w:tcBorders>
            <w:shd w:val="clear" w:color="auto" w:fill="auto"/>
            <w:vAlign w:val="center"/>
            <w:hideMark/>
          </w:tcPr>
          <w:p w14:paraId="5325FF7A"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ABF.D527</w:t>
            </w:r>
          </w:p>
        </w:tc>
        <w:tc>
          <w:tcPr>
            <w:tcW w:w="1276" w:type="dxa"/>
            <w:tcBorders>
              <w:top w:val="nil"/>
              <w:left w:val="nil"/>
              <w:bottom w:val="nil"/>
              <w:right w:val="single" w:sz="8" w:space="0" w:color="auto"/>
            </w:tcBorders>
            <w:shd w:val="clear" w:color="auto" w:fill="auto"/>
            <w:vAlign w:val="center"/>
            <w:hideMark/>
          </w:tcPr>
          <w:p w14:paraId="73C6DFD5"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ABF.E527</w:t>
            </w:r>
          </w:p>
        </w:tc>
        <w:tc>
          <w:tcPr>
            <w:tcW w:w="1559" w:type="dxa"/>
            <w:gridSpan w:val="2"/>
            <w:tcBorders>
              <w:top w:val="nil"/>
              <w:left w:val="nil"/>
              <w:bottom w:val="nil"/>
              <w:right w:val="single" w:sz="8" w:space="0" w:color="auto"/>
            </w:tcBorders>
            <w:shd w:val="clear" w:color="auto" w:fill="auto"/>
            <w:vAlign w:val="center"/>
            <w:hideMark/>
          </w:tcPr>
          <w:p w14:paraId="2F85D987"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ABF.F527</w:t>
            </w:r>
          </w:p>
        </w:tc>
        <w:tc>
          <w:tcPr>
            <w:tcW w:w="1134" w:type="dxa"/>
            <w:gridSpan w:val="2"/>
            <w:tcBorders>
              <w:top w:val="nil"/>
              <w:left w:val="nil"/>
              <w:bottom w:val="nil"/>
              <w:right w:val="single" w:sz="8" w:space="0" w:color="auto"/>
            </w:tcBorders>
            <w:shd w:val="clear" w:color="auto" w:fill="auto"/>
            <w:vAlign w:val="center"/>
            <w:hideMark/>
          </w:tcPr>
          <w:p w14:paraId="3CF6E04B"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ABF.G527</w:t>
            </w:r>
          </w:p>
        </w:tc>
      </w:tr>
      <w:tr w:rsidR="000643B5" w:rsidRPr="00113B0F" w14:paraId="67DC7B2C"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44C71750" w14:textId="77777777" w:rsidR="000643B5" w:rsidRPr="00113B0F" w:rsidRDefault="000643B5" w:rsidP="00080E19">
            <w:pPr>
              <w:spacing w:after="0" w:line="240" w:lineRule="auto"/>
              <w:ind w:firstLineChars="200" w:firstLine="320"/>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130 - PROGRAMA FEDERATIVO DE ENFRENTAMENTO AO COVID-19 VINCULADO ÀS AÇÕES DE SAÚDE E ASSISTÊNCIA SOCIAL – LC 173/20</w:t>
            </w:r>
          </w:p>
        </w:tc>
        <w:tc>
          <w:tcPr>
            <w:tcW w:w="1276" w:type="dxa"/>
            <w:tcBorders>
              <w:top w:val="nil"/>
              <w:left w:val="nil"/>
              <w:bottom w:val="nil"/>
              <w:right w:val="single" w:sz="8" w:space="0" w:color="auto"/>
            </w:tcBorders>
            <w:shd w:val="clear" w:color="auto" w:fill="auto"/>
            <w:vAlign w:val="center"/>
            <w:hideMark/>
          </w:tcPr>
          <w:p w14:paraId="24D64310"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ABF.B596</w:t>
            </w:r>
          </w:p>
        </w:tc>
        <w:tc>
          <w:tcPr>
            <w:tcW w:w="1559" w:type="dxa"/>
            <w:tcBorders>
              <w:top w:val="nil"/>
              <w:left w:val="nil"/>
              <w:bottom w:val="nil"/>
              <w:right w:val="single" w:sz="8" w:space="0" w:color="auto"/>
            </w:tcBorders>
            <w:shd w:val="clear" w:color="auto" w:fill="auto"/>
            <w:vAlign w:val="center"/>
            <w:hideMark/>
          </w:tcPr>
          <w:p w14:paraId="4AD77EF9"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ABF.C596</w:t>
            </w:r>
          </w:p>
        </w:tc>
        <w:tc>
          <w:tcPr>
            <w:tcW w:w="1417" w:type="dxa"/>
            <w:tcBorders>
              <w:top w:val="nil"/>
              <w:left w:val="nil"/>
              <w:bottom w:val="nil"/>
              <w:right w:val="single" w:sz="8" w:space="0" w:color="auto"/>
            </w:tcBorders>
            <w:shd w:val="clear" w:color="auto" w:fill="auto"/>
            <w:vAlign w:val="center"/>
            <w:hideMark/>
          </w:tcPr>
          <w:p w14:paraId="482EFF35"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ABF.D596</w:t>
            </w:r>
          </w:p>
        </w:tc>
        <w:tc>
          <w:tcPr>
            <w:tcW w:w="1276" w:type="dxa"/>
            <w:tcBorders>
              <w:top w:val="nil"/>
              <w:left w:val="nil"/>
              <w:bottom w:val="nil"/>
              <w:right w:val="single" w:sz="8" w:space="0" w:color="auto"/>
            </w:tcBorders>
            <w:shd w:val="clear" w:color="auto" w:fill="auto"/>
            <w:vAlign w:val="center"/>
            <w:hideMark/>
          </w:tcPr>
          <w:p w14:paraId="4E016B8B"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ABF.E596</w:t>
            </w:r>
          </w:p>
        </w:tc>
        <w:tc>
          <w:tcPr>
            <w:tcW w:w="1559" w:type="dxa"/>
            <w:gridSpan w:val="2"/>
            <w:tcBorders>
              <w:top w:val="nil"/>
              <w:left w:val="nil"/>
              <w:bottom w:val="nil"/>
              <w:right w:val="single" w:sz="8" w:space="0" w:color="auto"/>
            </w:tcBorders>
            <w:shd w:val="clear" w:color="auto" w:fill="auto"/>
            <w:vAlign w:val="center"/>
            <w:hideMark/>
          </w:tcPr>
          <w:p w14:paraId="2787A4CA"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ABF.F596</w:t>
            </w:r>
          </w:p>
        </w:tc>
        <w:tc>
          <w:tcPr>
            <w:tcW w:w="1134" w:type="dxa"/>
            <w:gridSpan w:val="2"/>
            <w:tcBorders>
              <w:top w:val="nil"/>
              <w:left w:val="nil"/>
              <w:bottom w:val="nil"/>
              <w:right w:val="single" w:sz="8" w:space="0" w:color="auto"/>
            </w:tcBorders>
            <w:shd w:val="clear" w:color="auto" w:fill="auto"/>
            <w:vAlign w:val="center"/>
            <w:hideMark/>
          </w:tcPr>
          <w:p w14:paraId="19C9A570"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ABF.G596</w:t>
            </w:r>
          </w:p>
        </w:tc>
      </w:tr>
      <w:tr w:rsidR="000643B5" w:rsidRPr="00113B0F" w14:paraId="1B29DFAE"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106E3DC0" w14:textId="77777777" w:rsidR="000643B5" w:rsidRPr="00113B0F" w:rsidRDefault="000643B5" w:rsidP="00080E19">
            <w:pPr>
              <w:spacing w:after="0" w:line="240" w:lineRule="auto"/>
              <w:ind w:firstLineChars="200" w:firstLine="320"/>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134 - INCENTIVO SUS - UNIÃO</w:t>
            </w:r>
          </w:p>
        </w:tc>
        <w:tc>
          <w:tcPr>
            <w:tcW w:w="1276" w:type="dxa"/>
            <w:tcBorders>
              <w:top w:val="nil"/>
              <w:left w:val="nil"/>
              <w:bottom w:val="nil"/>
              <w:right w:val="single" w:sz="8" w:space="0" w:color="auto"/>
            </w:tcBorders>
            <w:shd w:val="clear" w:color="auto" w:fill="auto"/>
            <w:vAlign w:val="center"/>
            <w:hideMark/>
          </w:tcPr>
          <w:p w14:paraId="70439E67"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ABF.B528</w:t>
            </w:r>
          </w:p>
        </w:tc>
        <w:tc>
          <w:tcPr>
            <w:tcW w:w="1559" w:type="dxa"/>
            <w:tcBorders>
              <w:top w:val="nil"/>
              <w:left w:val="nil"/>
              <w:bottom w:val="nil"/>
              <w:right w:val="single" w:sz="8" w:space="0" w:color="auto"/>
            </w:tcBorders>
            <w:shd w:val="clear" w:color="auto" w:fill="auto"/>
            <w:vAlign w:val="center"/>
            <w:hideMark/>
          </w:tcPr>
          <w:p w14:paraId="6D20C356"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ABF.C528</w:t>
            </w:r>
          </w:p>
        </w:tc>
        <w:tc>
          <w:tcPr>
            <w:tcW w:w="1417" w:type="dxa"/>
            <w:tcBorders>
              <w:top w:val="nil"/>
              <w:left w:val="nil"/>
              <w:bottom w:val="nil"/>
              <w:right w:val="single" w:sz="8" w:space="0" w:color="auto"/>
            </w:tcBorders>
            <w:shd w:val="clear" w:color="auto" w:fill="auto"/>
            <w:vAlign w:val="center"/>
            <w:hideMark/>
          </w:tcPr>
          <w:p w14:paraId="1CF2A611"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ABF.D528</w:t>
            </w:r>
          </w:p>
        </w:tc>
        <w:tc>
          <w:tcPr>
            <w:tcW w:w="1276" w:type="dxa"/>
            <w:tcBorders>
              <w:top w:val="nil"/>
              <w:left w:val="nil"/>
              <w:bottom w:val="nil"/>
              <w:right w:val="single" w:sz="8" w:space="0" w:color="auto"/>
            </w:tcBorders>
            <w:shd w:val="clear" w:color="auto" w:fill="auto"/>
            <w:vAlign w:val="center"/>
            <w:hideMark/>
          </w:tcPr>
          <w:p w14:paraId="23D99C57"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ABF.E528</w:t>
            </w:r>
          </w:p>
        </w:tc>
        <w:tc>
          <w:tcPr>
            <w:tcW w:w="1559" w:type="dxa"/>
            <w:gridSpan w:val="2"/>
            <w:tcBorders>
              <w:top w:val="nil"/>
              <w:left w:val="nil"/>
              <w:bottom w:val="nil"/>
              <w:right w:val="single" w:sz="8" w:space="0" w:color="auto"/>
            </w:tcBorders>
            <w:shd w:val="clear" w:color="auto" w:fill="auto"/>
            <w:vAlign w:val="center"/>
            <w:hideMark/>
          </w:tcPr>
          <w:p w14:paraId="6E4F77FD"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ABF.F528</w:t>
            </w:r>
          </w:p>
        </w:tc>
        <w:tc>
          <w:tcPr>
            <w:tcW w:w="1134" w:type="dxa"/>
            <w:gridSpan w:val="2"/>
            <w:tcBorders>
              <w:top w:val="nil"/>
              <w:left w:val="nil"/>
              <w:bottom w:val="nil"/>
              <w:right w:val="single" w:sz="8" w:space="0" w:color="auto"/>
            </w:tcBorders>
            <w:shd w:val="clear" w:color="auto" w:fill="auto"/>
            <w:vAlign w:val="center"/>
            <w:hideMark/>
          </w:tcPr>
          <w:p w14:paraId="79BB2290"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ABF.G528</w:t>
            </w:r>
          </w:p>
        </w:tc>
      </w:tr>
      <w:tr w:rsidR="000643B5" w:rsidRPr="00113B0F" w14:paraId="43386E90"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3076E94F" w14:textId="77777777" w:rsidR="000643B5" w:rsidRPr="00113B0F" w:rsidRDefault="000643B5" w:rsidP="00080E19">
            <w:pPr>
              <w:spacing w:after="0" w:line="240" w:lineRule="auto"/>
              <w:ind w:firstLineChars="200" w:firstLine="320"/>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135 - SUS - PRODUÇÃO</w:t>
            </w:r>
          </w:p>
        </w:tc>
        <w:tc>
          <w:tcPr>
            <w:tcW w:w="1276" w:type="dxa"/>
            <w:tcBorders>
              <w:top w:val="nil"/>
              <w:left w:val="nil"/>
              <w:bottom w:val="nil"/>
              <w:right w:val="single" w:sz="8" w:space="0" w:color="auto"/>
            </w:tcBorders>
            <w:shd w:val="clear" w:color="auto" w:fill="auto"/>
            <w:vAlign w:val="center"/>
            <w:hideMark/>
          </w:tcPr>
          <w:p w14:paraId="5CE14008"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ABF.B529</w:t>
            </w:r>
          </w:p>
        </w:tc>
        <w:tc>
          <w:tcPr>
            <w:tcW w:w="1559" w:type="dxa"/>
            <w:tcBorders>
              <w:top w:val="nil"/>
              <w:left w:val="nil"/>
              <w:bottom w:val="nil"/>
              <w:right w:val="single" w:sz="8" w:space="0" w:color="auto"/>
            </w:tcBorders>
            <w:shd w:val="clear" w:color="auto" w:fill="auto"/>
            <w:vAlign w:val="center"/>
            <w:hideMark/>
          </w:tcPr>
          <w:p w14:paraId="486265EC"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ABF.C529</w:t>
            </w:r>
          </w:p>
        </w:tc>
        <w:tc>
          <w:tcPr>
            <w:tcW w:w="1417" w:type="dxa"/>
            <w:tcBorders>
              <w:top w:val="nil"/>
              <w:left w:val="nil"/>
              <w:bottom w:val="nil"/>
              <w:right w:val="single" w:sz="8" w:space="0" w:color="auto"/>
            </w:tcBorders>
            <w:shd w:val="clear" w:color="auto" w:fill="auto"/>
            <w:vAlign w:val="center"/>
            <w:hideMark/>
          </w:tcPr>
          <w:p w14:paraId="01ECE19C"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ABF.D529</w:t>
            </w:r>
          </w:p>
        </w:tc>
        <w:tc>
          <w:tcPr>
            <w:tcW w:w="1276" w:type="dxa"/>
            <w:tcBorders>
              <w:top w:val="nil"/>
              <w:left w:val="nil"/>
              <w:bottom w:val="nil"/>
              <w:right w:val="single" w:sz="8" w:space="0" w:color="auto"/>
            </w:tcBorders>
            <w:shd w:val="clear" w:color="auto" w:fill="auto"/>
            <w:vAlign w:val="center"/>
            <w:hideMark/>
          </w:tcPr>
          <w:p w14:paraId="7797CD19"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ABF.E529</w:t>
            </w:r>
          </w:p>
        </w:tc>
        <w:tc>
          <w:tcPr>
            <w:tcW w:w="1559" w:type="dxa"/>
            <w:gridSpan w:val="2"/>
            <w:tcBorders>
              <w:top w:val="nil"/>
              <w:left w:val="nil"/>
              <w:bottom w:val="nil"/>
              <w:right w:val="single" w:sz="8" w:space="0" w:color="auto"/>
            </w:tcBorders>
            <w:shd w:val="clear" w:color="auto" w:fill="auto"/>
            <w:vAlign w:val="center"/>
            <w:hideMark/>
          </w:tcPr>
          <w:p w14:paraId="15A43777"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ABF.F529</w:t>
            </w:r>
          </w:p>
        </w:tc>
        <w:tc>
          <w:tcPr>
            <w:tcW w:w="1134" w:type="dxa"/>
            <w:gridSpan w:val="2"/>
            <w:tcBorders>
              <w:top w:val="nil"/>
              <w:left w:val="nil"/>
              <w:bottom w:val="nil"/>
              <w:right w:val="single" w:sz="8" w:space="0" w:color="auto"/>
            </w:tcBorders>
            <w:shd w:val="clear" w:color="auto" w:fill="auto"/>
            <w:vAlign w:val="center"/>
            <w:hideMark/>
          </w:tcPr>
          <w:p w14:paraId="57F092B1"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ABF.G529</w:t>
            </w:r>
          </w:p>
        </w:tc>
      </w:tr>
      <w:tr w:rsidR="000643B5" w:rsidRPr="00113B0F" w14:paraId="1C4A24E7"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66F6511E" w14:textId="77777777" w:rsidR="000643B5" w:rsidRPr="00113B0F" w:rsidRDefault="000643B5" w:rsidP="00080E19">
            <w:pPr>
              <w:spacing w:after="0" w:line="240" w:lineRule="auto"/>
              <w:ind w:firstLineChars="200" w:firstLine="320"/>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155 - BLOCO DE CUSTEIO DAS AÇÕES E SERVIÇOS PÚBLICOS DE SAÚDE - SUS - FEDERAL</w:t>
            </w:r>
          </w:p>
        </w:tc>
        <w:tc>
          <w:tcPr>
            <w:tcW w:w="1276" w:type="dxa"/>
            <w:tcBorders>
              <w:top w:val="nil"/>
              <w:left w:val="nil"/>
              <w:bottom w:val="nil"/>
              <w:right w:val="single" w:sz="8" w:space="0" w:color="auto"/>
            </w:tcBorders>
            <w:shd w:val="clear" w:color="auto" w:fill="auto"/>
            <w:vAlign w:val="center"/>
            <w:hideMark/>
          </w:tcPr>
          <w:p w14:paraId="1292DEB1"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ABF.B592</w:t>
            </w:r>
          </w:p>
        </w:tc>
        <w:tc>
          <w:tcPr>
            <w:tcW w:w="1559" w:type="dxa"/>
            <w:tcBorders>
              <w:top w:val="nil"/>
              <w:left w:val="nil"/>
              <w:bottom w:val="nil"/>
              <w:right w:val="single" w:sz="8" w:space="0" w:color="auto"/>
            </w:tcBorders>
            <w:shd w:val="clear" w:color="auto" w:fill="auto"/>
            <w:vAlign w:val="center"/>
            <w:hideMark/>
          </w:tcPr>
          <w:p w14:paraId="2775EA45"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ABF.C592</w:t>
            </w:r>
          </w:p>
        </w:tc>
        <w:tc>
          <w:tcPr>
            <w:tcW w:w="1417" w:type="dxa"/>
            <w:tcBorders>
              <w:top w:val="nil"/>
              <w:left w:val="nil"/>
              <w:bottom w:val="nil"/>
              <w:right w:val="single" w:sz="8" w:space="0" w:color="auto"/>
            </w:tcBorders>
            <w:shd w:val="clear" w:color="auto" w:fill="auto"/>
            <w:vAlign w:val="center"/>
            <w:hideMark/>
          </w:tcPr>
          <w:p w14:paraId="71A914DB"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ABF.D592</w:t>
            </w:r>
          </w:p>
        </w:tc>
        <w:tc>
          <w:tcPr>
            <w:tcW w:w="1276" w:type="dxa"/>
            <w:tcBorders>
              <w:top w:val="nil"/>
              <w:left w:val="nil"/>
              <w:bottom w:val="nil"/>
              <w:right w:val="single" w:sz="8" w:space="0" w:color="auto"/>
            </w:tcBorders>
            <w:shd w:val="clear" w:color="auto" w:fill="auto"/>
            <w:vAlign w:val="center"/>
            <w:hideMark/>
          </w:tcPr>
          <w:p w14:paraId="7E9213CF"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ABF.E592</w:t>
            </w:r>
          </w:p>
        </w:tc>
        <w:tc>
          <w:tcPr>
            <w:tcW w:w="1559" w:type="dxa"/>
            <w:gridSpan w:val="2"/>
            <w:tcBorders>
              <w:top w:val="nil"/>
              <w:left w:val="nil"/>
              <w:bottom w:val="nil"/>
              <w:right w:val="single" w:sz="8" w:space="0" w:color="auto"/>
            </w:tcBorders>
            <w:shd w:val="clear" w:color="auto" w:fill="auto"/>
            <w:vAlign w:val="center"/>
            <w:hideMark/>
          </w:tcPr>
          <w:p w14:paraId="450EEEF3"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ABF.F592</w:t>
            </w:r>
          </w:p>
        </w:tc>
        <w:tc>
          <w:tcPr>
            <w:tcW w:w="1134" w:type="dxa"/>
            <w:gridSpan w:val="2"/>
            <w:tcBorders>
              <w:top w:val="nil"/>
              <w:left w:val="nil"/>
              <w:bottom w:val="nil"/>
              <w:right w:val="single" w:sz="8" w:space="0" w:color="auto"/>
            </w:tcBorders>
            <w:shd w:val="clear" w:color="auto" w:fill="auto"/>
            <w:vAlign w:val="center"/>
            <w:hideMark/>
          </w:tcPr>
          <w:p w14:paraId="68F1B8C4"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ABF.G592</w:t>
            </w:r>
          </w:p>
        </w:tc>
      </w:tr>
      <w:tr w:rsidR="000643B5" w:rsidRPr="00113B0F" w14:paraId="30FDA4C5"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63766265" w14:textId="77777777" w:rsidR="000643B5" w:rsidRPr="00113B0F" w:rsidRDefault="000643B5" w:rsidP="00080E19">
            <w:pPr>
              <w:spacing w:after="0" w:line="240" w:lineRule="auto"/>
              <w:ind w:firstLineChars="200" w:firstLine="320"/>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156 - BLOCO DE INVESTIMENTO NA REDE DE SERVIÇOS PÚBLICOS DE SAÚDE - SUS - FEDERAL</w:t>
            </w:r>
          </w:p>
        </w:tc>
        <w:tc>
          <w:tcPr>
            <w:tcW w:w="1276" w:type="dxa"/>
            <w:tcBorders>
              <w:top w:val="nil"/>
              <w:left w:val="nil"/>
              <w:bottom w:val="nil"/>
              <w:right w:val="single" w:sz="8" w:space="0" w:color="auto"/>
            </w:tcBorders>
            <w:shd w:val="clear" w:color="auto" w:fill="auto"/>
            <w:vAlign w:val="center"/>
            <w:hideMark/>
          </w:tcPr>
          <w:p w14:paraId="4FA9AA89"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ABF.B593</w:t>
            </w:r>
          </w:p>
        </w:tc>
        <w:tc>
          <w:tcPr>
            <w:tcW w:w="1559" w:type="dxa"/>
            <w:tcBorders>
              <w:top w:val="nil"/>
              <w:left w:val="nil"/>
              <w:bottom w:val="nil"/>
              <w:right w:val="single" w:sz="8" w:space="0" w:color="auto"/>
            </w:tcBorders>
            <w:shd w:val="clear" w:color="auto" w:fill="auto"/>
            <w:vAlign w:val="center"/>
            <w:hideMark/>
          </w:tcPr>
          <w:p w14:paraId="3B002E8C"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ABF.C593</w:t>
            </w:r>
          </w:p>
        </w:tc>
        <w:tc>
          <w:tcPr>
            <w:tcW w:w="1417" w:type="dxa"/>
            <w:tcBorders>
              <w:top w:val="nil"/>
              <w:left w:val="nil"/>
              <w:bottom w:val="nil"/>
              <w:right w:val="single" w:sz="8" w:space="0" w:color="auto"/>
            </w:tcBorders>
            <w:shd w:val="clear" w:color="auto" w:fill="auto"/>
            <w:vAlign w:val="center"/>
            <w:hideMark/>
          </w:tcPr>
          <w:p w14:paraId="11069677"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ABF.D593</w:t>
            </w:r>
          </w:p>
        </w:tc>
        <w:tc>
          <w:tcPr>
            <w:tcW w:w="1276" w:type="dxa"/>
            <w:tcBorders>
              <w:top w:val="nil"/>
              <w:left w:val="nil"/>
              <w:bottom w:val="nil"/>
              <w:right w:val="single" w:sz="8" w:space="0" w:color="auto"/>
            </w:tcBorders>
            <w:shd w:val="clear" w:color="auto" w:fill="auto"/>
            <w:vAlign w:val="center"/>
            <w:hideMark/>
          </w:tcPr>
          <w:p w14:paraId="44C71265"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ABF.E593</w:t>
            </w:r>
          </w:p>
        </w:tc>
        <w:tc>
          <w:tcPr>
            <w:tcW w:w="1559" w:type="dxa"/>
            <w:gridSpan w:val="2"/>
            <w:tcBorders>
              <w:top w:val="nil"/>
              <w:left w:val="nil"/>
              <w:bottom w:val="nil"/>
              <w:right w:val="single" w:sz="8" w:space="0" w:color="auto"/>
            </w:tcBorders>
            <w:shd w:val="clear" w:color="auto" w:fill="auto"/>
            <w:vAlign w:val="center"/>
            <w:hideMark/>
          </w:tcPr>
          <w:p w14:paraId="24198B41"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ABF.F593</w:t>
            </w:r>
          </w:p>
        </w:tc>
        <w:tc>
          <w:tcPr>
            <w:tcW w:w="1134" w:type="dxa"/>
            <w:gridSpan w:val="2"/>
            <w:tcBorders>
              <w:top w:val="nil"/>
              <w:left w:val="nil"/>
              <w:bottom w:val="nil"/>
              <w:right w:val="single" w:sz="8" w:space="0" w:color="auto"/>
            </w:tcBorders>
            <w:shd w:val="clear" w:color="auto" w:fill="auto"/>
            <w:vAlign w:val="center"/>
            <w:hideMark/>
          </w:tcPr>
          <w:p w14:paraId="02FFF8EF"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ABF.G593</w:t>
            </w:r>
          </w:p>
        </w:tc>
      </w:tr>
      <w:tr w:rsidR="000643B5" w:rsidRPr="00113B0F" w14:paraId="3E13E76C"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0DA6D909" w14:textId="77777777" w:rsidR="000643B5" w:rsidRPr="00113B0F" w:rsidRDefault="000643B5" w:rsidP="00080E19">
            <w:pPr>
              <w:spacing w:after="0" w:line="240" w:lineRule="auto"/>
              <w:ind w:firstLineChars="200" w:firstLine="320"/>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169 - DECISÕES JUDICIAIS DESTINADAS AO COMBATE DA COVID-19</w:t>
            </w:r>
          </w:p>
        </w:tc>
        <w:tc>
          <w:tcPr>
            <w:tcW w:w="1276" w:type="dxa"/>
            <w:tcBorders>
              <w:top w:val="nil"/>
              <w:left w:val="nil"/>
              <w:bottom w:val="nil"/>
              <w:right w:val="single" w:sz="8" w:space="0" w:color="auto"/>
            </w:tcBorders>
            <w:shd w:val="clear" w:color="auto" w:fill="auto"/>
            <w:vAlign w:val="center"/>
            <w:hideMark/>
          </w:tcPr>
          <w:p w14:paraId="54E0F2FA"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ABF.B597</w:t>
            </w:r>
          </w:p>
        </w:tc>
        <w:tc>
          <w:tcPr>
            <w:tcW w:w="1559" w:type="dxa"/>
            <w:tcBorders>
              <w:top w:val="nil"/>
              <w:left w:val="nil"/>
              <w:bottom w:val="nil"/>
              <w:right w:val="single" w:sz="8" w:space="0" w:color="auto"/>
            </w:tcBorders>
            <w:shd w:val="clear" w:color="auto" w:fill="auto"/>
            <w:vAlign w:val="center"/>
            <w:hideMark/>
          </w:tcPr>
          <w:p w14:paraId="54D65050"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ABF.C597</w:t>
            </w:r>
          </w:p>
        </w:tc>
        <w:tc>
          <w:tcPr>
            <w:tcW w:w="1417" w:type="dxa"/>
            <w:tcBorders>
              <w:top w:val="nil"/>
              <w:left w:val="nil"/>
              <w:bottom w:val="nil"/>
              <w:right w:val="single" w:sz="8" w:space="0" w:color="auto"/>
            </w:tcBorders>
            <w:shd w:val="clear" w:color="auto" w:fill="auto"/>
            <w:vAlign w:val="center"/>
            <w:hideMark/>
          </w:tcPr>
          <w:p w14:paraId="3CD3F1B1"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ABF.D597</w:t>
            </w:r>
          </w:p>
        </w:tc>
        <w:tc>
          <w:tcPr>
            <w:tcW w:w="1276" w:type="dxa"/>
            <w:tcBorders>
              <w:top w:val="nil"/>
              <w:left w:val="nil"/>
              <w:bottom w:val="nil"/>
              <w:right w:val="single" w:sz="8" w:space="0" w:color="auto"/>
            </w:tcBorders>
            <w:shd w:val="clear" w:color="auto" w:fill="auto"/>
            <w:vAlign w:val="center"/>
            <w:hideMark/>
          </w:tcPr>
          <w:p w14:paraId="29EBEAF8"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ABF.E597</w:t>
            </w:r>
          </w:p>
        </w:tc>
        <w:tc>
          <w:tcPr>
            <w:tcW w:w="1559" w:type="dxa"/>
            <w:gridSpan w:val="2"/>
            <w:tcBorders>
              <w:top w:val="nil"/>
              <w:left w:val="nil"/>
              <w:bottom w:val="nil"/>
              <w:right w:val="single" w:sz="8" w:space="0" w:color="auto"/>
            </w:tcBorders>
            <w:shd w:val="clear" w:color="auto" w:fill="auto"/>
            <w:vAlign w:val="center"/>
            <w:hideMark/>
          </w:tcPr>
          <w:p w14:paraId="5AA1F380"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ABF.F597</w:t>
            </w:r>
          </w:p>
        </w:tc>
        <w:tc>
          <w:tcPr>
            <w:tcW w:w="1134" w:type="dxa"/>
            <w:gridSpan w:val="2"/>
            <w:tcBorders>
              <w:top w:val="nil"/>
              <w:left w:val="nil"/>
              <w:bottom w:val="nil"/>
              <w:right w:val="single" w:sz="8" w:space="0" w:color="auto"/>
            </w:tcBorders>
            <w:shd w:val="clear" w:color="auto" w:fill="auto"/>
            <w:vAlign w:val="center"/>
            <w:hideMark/>
          </w:tcPr>
          <w:p w14:paraId="12075350"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ABF.G597</w:t>
            </w:r>
          </w:p>
        </w:tc>
      </w:tr>
      <w:tr w:rsidR="000643B5" w:rsidRPr="00113B0F" w14:paraId="64D6E322"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1CA1FF64" w14:textId="77777777" w:rsidR="000643B5" w:rsidRPr="00113B0F" w:rsidRDefault="000643B5" w:rsidP="00080E19">
            <w:pPr>
              <w:spacing w:after="0" w:line="240" w:lineRule="auto"/>
              <w:ind w:firstLineChars="200" w:firstLine="320"/>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304 - SUPERÁVIT FINANCEIRO - AÇÕES E SERVIÇOS DE SAÚDE</w:t>
            </w:r>
          </w:p>
        </w:tc>
        <w:tc>
          <w:tcPr>
            <w:tcW w:w="1276" w:type="dxa"/>
            <w:tcBorders>
              <w:top w:val="nil"/>
              <w:left w:val="nil"/>
              <w:bottom w:val="nil"/>
              <w:right w:val="single" w:sz="8" w:space="0" w:color="auto"/>
            </w:tcBorders>
            <w:shd w:val="clear" w:color="auto" w:fill="auto"/>
            <w:vAlign w:val="center"/>
            <w:hideMark/>
          </w:tcPr>
          <w:p w14:paraId="0DCF5B0D"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ABF.B530</w:t>
            </w:r>
          </w:p>
        </w:tc>
        <w:tc>
          <w:tcPr>
            <w:tcW w:w="1559" w:type="dxa"/>
            <w:tcBorders>
              <w:top w:val="nil"/>
              <w:left w:val="nil"/>
              <w:bottom w:val="nil"/>
              <w:right w:val="single" w:sz="8" w:space="0" w:color="auto"/>
            </w:tcBorders>
            <w:shd w:val="clear" w:color="auto" w:fill="auto"/>
            <w:vAlign w:val="center"/>
            <w:hideMark/>
          </w:tcPr>
          <w:p w14:paraId="66E4AC48"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ABF.C530</w:t>
            </w:r>
          </w:p>
        </w:tc>
        <w:tc>
          <w:tcPr>
            <w:tcW w:w="1417" w:type="dxa"/>
            <w:tcBorders>
              <w:top w:val="nil"/>
              <w:left w:val="nil"/>
              <w:bottom w:val="nil"/>
              <w:right w:val="single" w:sz="8" w:space="0" w:color="auto"/>
            </w:tcBorders>
            <w:shd w:val="clear" w:color="auto" w:fill="auto"/>
            <w:vAlign w:val="center"/>
            <w:hideMark/>
          </w:tcPr>
          <w:p w14:paraId="6DB22696"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ABF.D530</w:t>
            </w:r>
          </w:p>
        </w:tc>
        <w:tc>
          <w:tcPr>
            <w:tcW w:w="1276" w:type="dxa"/>
            <w:tcBorders>
              <w:top w:val="nil"/>
              <w:left w:val="nil"/>
              <w:bottom w:val="nil"/>
              <w:right w:val="single" w:sz="8" w:space="0" w:color="auto"/>
            </w:tcBorders>
            <w:shd w:val="clear" w:color="auto" w:fill="auto"/>
            <w:vAlign w:val="center"/>
            <w:hideMark/>
          </w:tcPr>
          <w:p w14:paraId="667F3FED"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ABF.E530</w:t>
            </w:r>
          </w:p>
        </w:tc>
        <w:tc>
          <w:tcPr>
            <w:tcW w:w="1559" w:type="dxa"/>
            <w:gridSpan w:val="2"/>
            <w:tcBorders>
              <w:top w:val="nil"/>
              <w:left w:val="nil"/>
              <w:bottom w:val="nil"/>
              <w:right w:val="single" w:sz="8" w:space="0" w:color="auto"/>
            </w:tcBorders>
            <w:shd w:val="clear" w:color="auto" w:fill="auto"/>
            <w:vAlign w:val="center"/>
            <w:hideMark/>
          </w:tcPr>
          <w:p w14:paraId="3AC4559E"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ABF.F530</w:t>
            </w:r>
          </w:p>
        </w:tc>
        <w:tc>
          <w:tcPr>
            <w:tcW w:w="1134" w:type="dxa"/>
            <w:gridSpan w:val="2"/>
            <w:tcBorders>
              <w:top w:val="nil"/>
              <w:left w:val="nil"/>
              <w:bottom w:val="nil"/>
              <w:right w:val="single" w:sz="8" w:space="0" w:color="auto"/>
            </w:tcBorders>
            <w:shd w:val="clear" w:color="auto" w:fill="auto"/>
            <w:vAlign w:val="center"/>
            <w:hideMark/>
          </w:tcPr>
          <w:p w14:paraId="1915652B"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ABF.G530</w:t>
            </w:r>
          </w:p>
        </w:tc>
      </w:tr>
      <w:tr w:rsidR="000643B5" w:rsidRPr="00113B0F" w14:paraId="22A1B2F9"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22D47841" w14:textId="77777777" w:rsidR="000643B5" w:rsidRPr="00113B0F" w:rsidRDefault="000643B5" w:rsidP="00080E19">
            <w:pPr>
              <w:spacing w:after="0" w:line="240" w:lineRule="auto"/>
              <w:ind w:firstLineChars="200" w:firstLine="320"/>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334 - SUPERÁVIT FINANCEIRO - INCENTIVO SUS UNIÃO</w:t>
            </w:r>
          </w:p>
        </w:tc>
        <w:tc>
          <w:tcPr>
            <w:tcW w:w="1276" w:type="dxa"/>
            <w:tcBorders>
              <w:top w:val="nil"/>
              <w:left w:val="nil"/>
              <w:bottom w:val="nil"/>
              <w:right w:val="single" w:sz="8" w:space="0" w:color="auto"/>
            </w:tcBorders>
            <w:shd w:val="clear" w:color="auto" w:fill="auto"/>
            <w:vAlign w:val="center"/>
            <w:hideMark/>
          </w:tcPr>
          <w:p w14:paraId="4C16147A"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ABF.B531</w:t>
            </w:r>
          </w:p>
        </w:tc>
        <w:tc>
          <w:tcPr>
            <w:tcW w:w="1559" w:type="dxa"/>
            <w:tcBorders>
              <w:top w:val="nil"/>
              <w:left w:val="nil"/>
              <w:bottom w:val="nil"/>
              <w:right w:val="single" w:sz="8" w:space="0" w:color="auto"/>
            </w:tcBorders>
            <w:shd w:val="clear" w:color="auto" w:fill="auto"/>
            <w:vAlign w:val="center"/>
            <w:hideMark/>
          </w:tcPr>
          <w:p w14:paraId="061C7560"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ABF.C531</w:t>
            </w:r>
          </w:p>
        </w:tc>
        <w:tc>
          <w:tcPr>
            <w:tcW w:w="1417" w:type="dxa"/>
            <w:tcBorders>
              <w:top w:val="nil"/>
              <w:left w:val="nil"/>
              <w:bottom w:val="nil"/>
              <w:right w:val="single" w:sz="8" w:space="0" w:color="auto"/>
            </w:tcBorders>
            <w:shd w:val="clear" w:color="auto" w:fill="auto"/>
            <w:vAlign w:val="center"/>
            <w:hideMark/>
          </w:tcPr>
          <w:p w14:paraId="0CCF8A51"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ABF.D531</w:t>
            </w:r>
          </w:p>
        </w:tc>
        <w:tc>
          <w:tcPr>
            <w:tcW w:w="1276" w:type="dxa"/>
            <w:tcBorders>
              <w:top w:val="nil"/>
              <w:left w:val="nil"/>
              <w:bottom w:val="nil"/>
              <w:right w:val="single" w:sz="8" w:space="0" w:color="auto"/>
            </w:tcBorders>
            <w:shd w:val="clear" w:color="auto" w:fill="auto"/>
            <w:vAlign w:val="center"/>
            <w:hideMark/>
          </w:tcPr>
          <w:p w14:paraId="10F9FFE0"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ABF.E531</w:t>
            </w:r>
          </w:p>
        </w:tc>
        <w:tc>
          <w:tcPr>
            <w:tcW w:w="1559" w:type="dxa"/>
            <w:gridSpan w:val="2"/>
            <w:tcBorders>
              <w:top w:val="nil"/>
              <w:left w:val="nil"/>
              <w:bottom w:val="nil"/>
              <w:right w:val="single" w:sz="8" w:space="0" w:color="auto"/>
            </w:tcBorders>
            <w:shd w:val="clear" w:color="auto" w:fill="auto"/>
            <w:vAlign w:val="center"/>
            <w:hideMark/>
          </w:tcPr>
          <w:p w14:paraId="61D9DB90"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ABF.F531</w:t>
            </w:r>
          </w:p>
        </w:tc>
        <w:tc>
          <w:tcPr>
            <w:tcW w:w="1134" w:type="dxa"/>
            <w:gridSpan w:val="2"/>
            <w:tcBorders>
              <w:top w:val="nil"/>
              <w:left w:val="nil"/>
              <w:bottom w:val="nil"/>
              <w:right w:val="single" w:sz="8" w:space="0" w:color="auto"/>
            </w:tcBorders>
            <w:shd w:val="clear" w:color="auto" w:fill="auto"/>
            <w:vAlign w:val="center"/>
            <w:hideMark/>
          </w:tcPr>
          <w:p w14:paraId="7DC8FD13"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ABF.G531</w:t>
            </w:r>
          </w:p>
        </w:tc>
      </w:tr>
      <w:tr w:rsidR="000643B5" w:rsidRPr="00113B0F" w14:paraId="0A4A9994"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305BB1AE" w14:textId="77777777" w:rsidR="000643B5" w:rsidRPr="00113B0F" w:rsidRDefault="000643B5" w:rsidP="00080E19">
            <w:pPr>
              <w:spacing w:after="0" w:line="240" w:lineRule="auto"/>
              <w:ind w:firstLineChars="200" w:firstLine="320"/>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335 - SUPERÁVIT FINANCEIRO - SUS PRODUÇÃO</w:t>
            </w:r>
          </w:p>
        </w:tc>
        <w:tc>
          <w:tcPr>
            <w:tcW w:w="1276" w:type="dxa"/>
            <w:tcBorders>
              <w:top w:val="nil"/>
              <w:left w:val="nil"/>
              <w:bottom w:val="nil"/>
              <w:right w:val="single" w:sz="8" w:space="0" w:color="auto"/>
            </w:tcBorders>
            <w:shd w:val="clear" w:color="auto" w:fill="auto"/>
            <w:vAlign w:val="center"/>
            <w:hideMark/>
          </w:tcPr>
          <w:p w14:paraId="48BC3508"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ABF.B532</w:t>
            </w:r>
          </w:p>
        </w:tc>
        <w:tc>
          <w:tcPr>
            <w:tcW w:w="1559" w:type="dxa"/>
            <w:tcBorders>
              <w:top w:val="nil"/>
              <w:left w:val="nil"/>
              <w:bottom w:val="nil"/>
              <w:right w:val="single" w:sz="8" w:space="0" w:color="auto"/>
            </w:tcBorders>
            <w:shd w:val="clear" w:color="auto" w:fill="auto"/>
            <w:vAlign w:val="center"/>
            <w:hideMark/>
          </w:tcPr>
          <w:p w14:paraId="774B3F0E"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ABF.C532</w:t>
            </w:r>
          </w:p>
        </w:tc>
        <w:tc>
          <w:tcPr>
            <w:tcW w:w="1417" w:type="dxa"/>
            <w:tcBorders>
              <w:top w:val="nil"/>
              <w:left w:val="nil"/>
              <w:bottom w:val="nil"/>
              <w:right w:val="single" w:sz="8" w:space="0" w:color="auto"/>
            </w:tcBorders>
            <w:shd w:val="clear" w:color="auto" w:fill="auto"/>
            <w:vAlign w:val="center"/>
            <w:hideMark/>
          </w:tcPr>
          <w:p w14:paraId="1CBF0369"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ABF.D532</w:t>
            </w:r>
          </w:p>
        </w:tc>
        <w:tc>
          <w:tcPr>
            <w:tcW w:w="1276" w:type="dxa"/>
            <w:tcBorders>
              <w:top w:val="nil"/>
              <w:left w:val="nil"/>
              <w:bottom w:val="nil"/>
              <w:right w:val="single" w:sz="8" w:space="0" w:color="auto"/>
            </w:tcBorders>
            <w:shd w:val="clear" w:color="auto" w:fill="auto"/>
            <w:vAlign w:val="center"/>
            <w:hideMark/>
          </w:tcPr>
          <w:p w14:paraId="66F2886B"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ABF.E532</w:t>
            </w:r>
          </w:p>
        </w:tc>
        <w:tc>
          <w:tcPr>
            <w:tcW w:w="1559" w:type="dxa"/>
            <w:gridSpan w:val="2"/>
            <w:tcBorders>
              <w:top w:val="nil"/>
              <w:left w:val="nil"/>
              <w:bottom w:val="nil"/>
              <w:right w:val="single" w:sz="8" w:space="0" w:color="auto"/>
            </w:tcBorders>
            <w:shd w:val="clear" w:color="auto" w:fill="auto"/>
            <w:vAlign w:val="center"/>
            <w:hideMark/>
          </w:tcPr>
          <w:p w14:paraId="01685055"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ABF.F532</w:t>
            </w:r>
          </w:p>
        </w:tc>
        <w:tc>
          <w:tcPr>
            <w:tcW w:w="1134" w:type="dxa"/>
            <w:gridSpan w:val="2"/>
            <w:tcBorders>
              <w:top w:val="nil"/>
              <w:left w:val="nil"/>
              <w:bottom w:val="nil"/>
              <w:right w:val="single" w:sz="8" w:space="0" w:color="auto"/>
            </w:tcBorders>
            <w:shd w:val="clear" w:color="auto" w:fill="auto"/>
            <w:vAlign w:val="center"/>
            <w:hideMark/>
          </w:tcPr>
          <w:p w14:paraId="19DE9018"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ABF.G532</w:t>
            </w:r>
          </w:p>
        </w:tc>
      </w:tr>
      <w:tr w:rsidR="000643B5" w:rsidRPr="00113B0F" w14:paraId="4E29ED77"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6AF26BDD" w14:textId="77777777" w:rsidR="000643B5" w:rsidRPr="00113B0F" w:rsidRDefault="000643B5" w:rsidP="00080E19">
            <w:pPr>
              <w:spacing w:after="0" w:line="240" w:lineRule="auto"/>
              <w:ind w:firstLineChars="200" w:firstLine="320"/>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355 - SUPERÁVIT FINANCEIRO - BLOCO DE CUSTEIO DAS AÇÕES E SERVIÇOS PÚBLICOS DE SAÚDE - SUS – FEDERAL</w:t>
            </w:r>
          </w:p>
        </w:tc>
        <w:tc>
          <w:tcPr>
            <w:tcW w:w="1276" w:type="dxa"/>
            <w:tcBorders>
              <w:top w:val="nil"/>
              <w:left w:val="nil"/>
              <w:bottom w:val="nil"/>
              <w:right w:val="single" w:sz="8" w:space="0" w:color="auto"/>
            </w:tcBorders>
            <w:shd w:val="clear" w:color="auto" w:fill="auto"/>
            <w:vAlign w:val="center"/>
            <w:hideMark/>
          </w:tcPr>
          <w:p w14:paraId="7120DC1B"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ABF.B598</w:t>
            </w:r>
          </w:p>
        </w:tc>
        <w:tc>
          <w:tcPr>
            <w:tcW w:w="1559" w:type="dxa"/>
            <w:tcBorders>
              <w:top w:val="nil"/>
              <w:left w:val="nil"/>
              <w:bottom w:val="nil"/>
              <w:right w:val="single" w:sz="8" w:space="0" w:color="auto"/>
            </w:tcBorders>
            <w:shd w:val="clear" w:color="auto" w:fill="auto"/>
            <w:vAlign w:val="center"/>
            <w:hideMark/>
          </w:tcPr>
          <w:p w14:paraId="14A8DFBD"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ABF.C598</w:t>
            </w:r>
          </w:p>
        </w:tc>
        <w:tc>
          <w:tcPr>
            <w:tcW w:w="1417" w:type="dxa"/>
            <w:tcBorders>
              <w:top w:val="nil"/>
              <w:left w:val="nil"/>
              <w:bottom w:val="nil"/>
              <w:right w:val="single" w:sz="8" w:space="0" w:color="auto"/>
            </w:tcBorders>
            <w:shd w:val="clear" w:color="auto" w:fill="auto"/>
            <w:vAlign w:val="center"/>
            <w:hideMark/>
          </w:tcPr>
          <w:p w14:paraId="2D9C06BD"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ABF.D598</w:t>
            </w:r>
          </w:p>
        </w:tc>
        <w:tc>
          <w:tcPr>
            <w:tcW w:w="1276" w:type="dxa"/>
            <w:tcBorders>
              <w:top w:val="nil"/>
              <w:left w:val="nil"/>
              <w:bottom w:val="nil"/>
              <w:right w:val="single" w:sz="8" w:space="0" w:color="auto"/>
            </w:tcBorders>
            <w:shd w:val="clear" w:color="auto" w:fill="auto"/>
            <w:vAlign w:val="center"/>
            <w:hideMark/>
          </w:tcPr>
          <w:p w14:paraId="55BB5986"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ABF.E598</w:t>
            </w:r>
          </w:p>
        </w:tc>
        <w:tc>
          <w:tcPr>
            <w:tcW w:w="1559" w:type="dxa"/>
            <w:gridSpan w:val="2"/>
            <w:tcBorders>
              <w:top w:val="nil"/>
              <w:left w:val="nil"/>
              <w:bottom w:val="nil"/>
              <w:right w:val="single" w:sz="8" w:space="0" w:color="auto"/>
            </w:tcBorders>
            <w:shd w:val="clear" w:color="auto" w:fill="auto"/>
            <w:vAlign w:val="center"/>
            <w:hideMark/>
          </w:tcPr>
          <w:p w14:paraId="0F6653DB"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ABF.F598</w:t>
            </w:r>
          </w:p>
        </w:tc>
        <w:tc>
          <w:tcPr>
            <w:tcW w:w="1134" w:type="dxa"/>
            <w:gridSpan w:val="2"/>
            <w:tcBorders>
              <w:top w:val="nil"/>
              <w:left w:val="nil"/>
              <w:bottom w:val="nil"/>
              <w:right w:val="single" w:sz="8" w:space="0" w:color="auto"/>
            </w:tcBorders>
            <w:shd w:val="clear" w:color="auto" w:fill="auto"/>
            <w:vAlign w:val="center"/>
            <w:hideMark/>
          </w:tcPr>
          <w:p w14:paraId="63ABBACB"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ABF.G598</w:t>
            </w:r>
          </w:p>
        </w:tc>
      </w:tr>
      <w:tr w:rsidR="000643B5" w:rsidRPr="00113B0F" w14:paraId="4B5E06BA"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3987C167" w14:textId="77777777" w:rsidR="000643B5" w:rsidRPr="00113B0F" w:rsidRDefault="000643B5" w:rsidP="00080E19">
            <w:pPr>
              <w:spacing w:after="0" w:line="240" w:lineRule="auto"/>
              <w:ind w:firstLineChars="200" w:firstLine="320"/>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356 - SUPERÁVIT FINANCEIRO - BLOCO DE INVESTIMENTO NA REDE DE SERVIÇOS PÚBLICOS DE SAÚDE - SUS – FEDERAL</w:t>
            </w:r>
          </w:p>
        </w:tc>
        <w:tc>
          <w:tcPr>
            <w:tcW w:w="1276" w:type="dxa"/>
            <w:tcBorders>
              <w:top w:val="nil"/>
              <w:left w:val="nil"/>
              <w:bottom w:val="nil"/>
              <w:right w:val="single" w:sz="8" w:space="0" w:color="auto"/>
            </w:tcBorders>
            <w:shd w:val="clear" w:color="auto" w:fill="auto"/>
            <w:vAlign w:val="center"/>
            <w:hideMark/>
          </w:tcPr>
          <w:p w14:paraId="281357B9"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ABF.B599</w:t>
            </w:r>
          </w:p>
        </w:tc>
        <w:tc>
          <w:tcPr>
            <w:tcW w:w="1559" w:type="dxa"/>
            <w:tcBorders>
              <w:top w:val="nil"/>
              <w:left w:val="nil"/>
              <w:bottom w:val="nil"/>
              <w:right w:val="single" w:sz="8" w:space="0" w:color="auto"/>
            </w:tcBorders>
            <w:shd w:val="clear" w:color="auto" w:fill="auto"/>
            <w:vAlign w:val="center"/>
            <w:hideMark/>
          </w:tcPr>
          <w:p w14:paraId="09191CBE"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ABF.C599</w:t>
            </w:r>
          </w:p>
        </w:tc>
        <w:tc>
          <w:tcPr>
            <w:tcW w:w="1417" w:type="dxa"/>
            <w:tcBorders>
              <w:top w:val="nil"/>
              <w:left w:val="nil"/>
              <w:bottom w:val="nil"/>
              <w:right w:val="single" w:sz="8" w:space="0" w:color="auto"/>
            </w:tcBorders>
            <w:shd w:val="clear" w:color="auto" w:fill="auto"/>
            <w:vAlign w:val="center"/>
            <w:hideMark/>
          </w:tcPr>
          <w:p w14:paraId="237051E8"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ABF.D599</w:t>
            </w:r>
          </w:p>
        </w:tc>
        <w:tc>
          <w:tcPr>
            <w:tcW w:w="1276" w:type="dxa"/>
            <w:tcBorders>
              <w:top w:val="nil"/>
              <w:left w:val="nil"/>
              <w:bottom w:val="nil"/>
              <w:right w:val="single" w:sz="8" w:space="0" w:color="auto"/>
            </w:tcBorders>
            <w:shd w:val="clear" w:color="auto" w:fill="auto"/>
            <w:vAlign w:val="center"/>
            <w:hideMark/>
          </w:tcPr>
          <w:p w14:paraId="2703038E"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ABF.E599</w:t>
            </w:r>
          </w:p>
        </w:tc>
        <w:tc>
          <w:tcPr>
            <w:tcW w:w="1559" w:type="dxa"/>
            <w:gridSpan w:val="2"/>
            <w:tcBorders>
              <w:top w:val="nil"/>
              <w:left w:val="nil"/>
              <w:bottom w:val="nil"/>
              <w:right w:val="single" w:sz="8" w:space="0" w:color="auto"/>
            </w:tcBorders>
            <w:shd w:val="clear" w:color="auto" w:fill="auto"/>
            <w:vAlign w:val="center"/>
            <w:hideMark/>
          </w:tcPr>
          <w:p w14:paraId="39AC22FF"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ABF.F599</w:t>
            </w:r>
          </w:p>
        </w:tc>
        <w:tc>
          <w:tcPr>
            <w:tcW w:w="1134" w:type="dxa"/>
            <w:gridSpan w:val="2"/>
            <w:tcBorders>
              <w:top w:val="nil"/>
              <w:left w:val="nil"/>
              <w:bottom w:val="nil"/>
              <w:right w:val="single" w:sz="8" w:space="0" w:color="auto"/>
            </w:tcBorders>
            <w:shd w:val="clear" w:color="auto" w:fill="auto"/>
            <w:vAlign w:val="center"/>
            <w:hideMark/>
          </w:tcPr>
          <w:p w14:paraId="1BC76442"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ABF.G599</w:t>
            </w:r>
          </w:p>
        </w:tc>
      </w:tr>
      <w:tr w:rsidR="000643B5" w:rsidRPr="00113B0F" w14:paraId="669C796F"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7134E3BC" w14:textId="77777777" w:rsidR="000643B5" w:rsidRPr="00113B0F" w:rsidRDefault="000643B5" w:rsidP="00080E19">
            <w:pPr>
              <w:spacing w:after="0" w:line="240" w:lineRule="auto"/>
              <w:ind w:firstLineChars="200" w:firstLine="320"/>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369 - SUPERÁVIT FINANCEIRO - DECISÕES JUDICIAIS DESTINADAS AO COMBATE DA COVID-19</w:t>
            </w:r>
          </w:p>
        </w:tc>
        <w:tc>
          <w:tcPr>
            <w:tcW w:w="1276" w:type="dxa"/>
            <w:tcBorders>
              <w:top w:val="nil"/>
              <w:left w:val="nil"/>
              <w:bottom w:val="nil"/>
              <w:right w:val="single" w:sz="8" w:space="0" w:color="auto"/>
            </w:tcBorders>
            <w:shd w:val="clear" w:color="auto" w:fill="auto"/>
            <w:vAlign w:val="center"/>
            <w:hideMark/>
          </w:tcPr>
          <w:p w14:paraId="15119F28"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ABF.B600</w:t>
            </w:r>
          </w:p>
        </w:tc>
        <w:tc>
          <w:tcPr>
            <w:tcW w:w="1559" w:type="dxa"/>
            <w:tcBorders>
              <w:top w:val="nil"/>
              <w:left w:val="nil"/>
              <w:bottom w:val="nil"/>
              <w:right w:val="single" w:sz="8" w:space="0" w:color="auto"/>
            </w:tcBorders>
            <w:shd w:val="clear" w:color="auto" w:fill="auto"/>
            <w:vAlign w:val="center"/>
            <w:hideMark/>
          </w:tcPr>
          <w:p w14:paraId="60137EBF"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ABF.C600</w:t>
            </w:r>
          </w:p>
        </w:tc>
        <w:tc>
          <w:tcPr>
            <w:tcW w:w="1417" w:type="dxa"/>
            <w:tcBorders>
              <w:top w:val="nil"/>
              <w:left w:val="nil"/>
              <w:bottom w:val="nil"/>
              <w:right w:val="single" w:sz="8" w:space="0" w:color="auto"/>
            </w:tcBorders>
            <w:shd w:val="clear" w:color="auto" w:fill="auto"/>
            <w:vAlign w:val="center"/>
            <w:hideMark/>
          </w:tcPr>
          <w:p w14:paraId="66F24E96"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ABF.D600</w:t>
            </w:r>
          </w:p>
        </w:tc>
        <w:tc>
          <w:tcPr>
            <w:tcW w:w="1276" w:type="dxa"/>
            <w:tcBorders>
              <w:top w:val="nil"/>
              <w:left w:val="nil"/>
              <w:bottom w:val="nil"/>
              <w:right w:val="single" w:sz="8" w:space="0" w:color="auto"/>
            </w:tcBorders>
            <w:shd w:val="clear" w:color="auto" w:fill="auto"/>
            <w:vAlign w:val="center"/>
            <w:hideMark/>
          </w:tcPr>
          <w:p w14:paraId="78BDAB3A"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ABF.E600</w:t>
            </w:r>
          </w:p>
        </w:tc>
        <w:tc>
          <w:tcPr>
            <w:tcW w:w="1559" w:type="dxa"/>
            <w:gridSpan w:val="2"/>
            <w:tcBorders>
              <w:top w:val="nil"/>
              <w:left w:val="nil"/>
              <w:bottom w:val="nil"/>
              <w:right w:val="single" w:sz="8" w:space="0" w:color="auto"/>
            </w:tcBorders>
            <w:shd w:val="clear" w:color="auto" w:fill="auto"/>
            <w:vAlign w:val="center"/>
            <w:hideMark/>
          </w:tcPr>
          <w:p w14:paraId="1F5ECF00"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ABF.F600</w:t>
            </w:r>
          </w:p>
        </w:tc>
        <w:tc>
          <w:tcPr>
            <w:tcW w:w="1134" w:type="dxa"/>
            <w:gridSpan w:val="2"/>
            <w:tcBorders>
              <w:top w:val="nil"/>
              <w:left w:val="nil"/>
              <w:bottom w:val="nil"/>
              <w:right w:val="single" w:sz="8" w:space="0" w:color="auto"/>
            </w:tcBorders>
            <w:shd w:val="clear" w:color="auto" w:fill="auto"/>
            <w:vAlign w:val="center"/>
            <w:hideMark/>
          </w:tcPr>
          <w:p w14:paraId="13380174"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ABF.G600</w:t>
            </w:r>
          </w:p>
        </w:tc>
      </w:tr>
      <w:tr w:rsidR="000643B5" w:rsidRPr="00113B0F" w14:paraId="1B17F065"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1BEB7D4E" w14:textId="77777777" w:rsidR="000643B5" w:rsidRPr="00113B0F" w:rsidRDefault="000643B5" w:rsidP="00080E19">
            <w:pPr>
              <w:spacing w:after="0" w:line="240" w:lineRule="auto"/>
              <w:ind w:firstLineChars="100" w:firstLine="161"/>
              <w:rPr>
                <w:rFonts w:ascii="Arial Narrow" w:eastAsia="Times New Roman" w:hAnsi="Arial Narrow" w:cs="Arial"/>
                <w:b/>
                <w:bCs/>
                <w:sz w:val="16"/>
                <w:szCs w:val="16"/>
                <w:lang w:eastAsia="pt-BR"/>
              </w:rPr>
            </w:pPr>
            <w:r w:rsidRPr="00113B0F">
              <w:rPr>
                <w:rFonts w:ascii="Arial Narrow" w:eastAsia="Times New Roman" w:hAnsi="Arial Narrow" w:cs="Arial"/>
                <w:b/>
                <w:bCs/>
                <w:sz w:val="16"/>
                <w:szCs w:val="16"/>
                <w:lang w:eastAsia="pt-BR"/>
              </w:rPr>
              <w:t xml:space="preserve">  Recursos vinculados à Previdência Social - RPPS</w:t>
            </w:r>
          </w:p>
        </w:tc>
        <w:tc>
          <w:tcPr>
            <w:tcW w:w="1276" w:type="dxa"/>
            <w:tcBorders>
              <w:top w:val="nil"/>
              <w:left w:val="nil"/>
              <w:bottom w:val="nil"/>
              <w:right w:val="single" w:sz="8" w:space="0" w:color="auto"/>
            </w:tcBorders>
            <w:shd w:val="clear" w:color="auto" w:fill="auto"/>
            <w:vAlign w:val="center"/>
            <w:hideMark/>
          </w:tcPr>
          <w:p w14:paraId="3432D4FB" w14:textId="77777777" w:rsidR="000643B5" w:rsidRPr="00113B0F" w:rsidRDefault="000643B5" w:rsidP="00080E19">
            <w:pPr>
              <w:spacing w:after="0" w:line="240" w:lineRule="auto"/>
              <w:jc w:val="center"/>
              <w:rPr>
                <w:rFonts w:ascii="Arial Narrow" w:eastAsia="Times New Roman" w:hAnsi="Arial Narrow" w:cs="Arial"/>
                <w:b/>
                <w:bCs/>
                <w:sz w:val="16"/>
                <w:szCs w:val="16"/>
                <w:lang w:eastAsia="pt-BR"/>
              </w:rPr>
            </w:pPr>
            <w:r w:rsidRPr="00113B0F">
              <w:rPr>
                <w:rFonts w:ascii="Arial Narrow" w:eastAsia="Times New Roman" w:hAnsi="Arial Narrow" w:cs="Arial"/>
                <w:b/>
                <w:bCs/>
                <w:sz w:val="16"/>
                <w:szCs w:val="16"/>
                <w:lang w:eastAsia="pt-BR"/>
              </w:rPr>
              <w:t>ABF.B033</w:t>
            </w:r>
          </w:p>
        </w:tc>
        <w:tc>
          <w:tcPr>
            <w:tcW w:w="1559" w:type="dxa"/>
            <w:tcBorders>
              <w:top w:val="nil"/>
              <w:left w:val="nil"/>
              <w:bottom w:val="nil"/>
              <w:right w:val="single" w:sz="8" w:space="0" w:color="auto"/>
            </w:tcBorders>
            <w:shd w:val="clear" w:color="auto" w:fill="auto"/>
            <w:vAlign w:val="center"/>
            <w:hideMark/>
          </w:tcPr>
          <w:p w14:paraId="1D216B24" w14:textId="77777777" w:rsidR="000643B5" w:rsidRPr="00113B0F" w:rsidRDefault="000643B5" w:rsidP="00080E19">
            <w:pPr>
              <w:spacing w:after="0" w:line="240" w:lineRule="auto"/>
              <w:jc w:val="center"/>
              <w:rPr>
                <w:rFonts w:ascii="Arial Narrow" w:eastAsia="Times New Roman" w:hAnsi="Arial Narrow" w:cs="Arial"/>
                <w:b/>
                <w:bCs/>
                <w:sz w:val="16"/>
                <w:szCs w:val="16"/>
                <w:lang w:eastAsia="pt-BR"/>
              </w:rPr>
            </w:pPr>
            <w:r w:rsidRPr="00113B0F">
              <w:rPr>
                <w:rFonts w:ascii="Arial Narrow" w:eastAsia="Times New Roman" w:hAnsi="Arial Narrow" w:cs="Arial"/>
                <w:b/>
                <w:bCs/>
                <w:sz w:val="16"/>
                <w:szCs w:val="16"/>
                <w:lang w:eastAsia="pt-BR"/>
              </w:rPr>
              <w:t>ABF.C033</w:t>
            </w:r>
          </w:p>
        </w:tc>
        <w:tc>
          <w:tcPr>
            <w:tcW w:w="1417" w:type="dxa"/>
            <w:tcBorders>
              <w:top w:val="nil"/>
              <w:left w:val="nil"/>
              <w:bottom w:val="nil"/>
              <w:right w:val="single" w:sz="8" w:space="0" w:color="auto"/>
            </w:tcBorders>
            <w:shd w:val="clear" w:color="auto" w:fill="auto"/>
            <w:vAlign w:val="center"/>
            <w:hideMark/>
          </w:tcPr>
          <w:p w14:paraId="26180245" w14:textId="77777777" w:rsidR="000643B5" w:rsidRPr="00113B0F" w:rsidRDefault="000643B5" w:rsidP="00080E19">
            <w:pPr>
              <w:spacing w:after="0" w:line="240" w:lineRule="auto"/>
              <w:jc w:val="center"/>
              <w:rPr>
                <w:rFonts w:ascii="Arial Narrow" w:eastAsia="Times New Roman" w:hAnsi="Arial Narrow" w:cs="Arial"/>
                <w:b/>
                <w:bCs/>
                <w:sz w:val="16"/>
                <w:szCs w:val="16"/>
                <w:lang w:eastAsia="pt-BR"/>
              </w:rPr>
            </w:pPr>
            <w:r w:rsidRPr="00113B0F">
              <w:rPr>
                <w:rFonts w:ascii="Arial Narrow" w:eastAsia="Times New Roman" w:hAnsi="Arial Narrow" w:cs="Arial"/>
                <w:b/>
                <w:bCs/>
                <w:sz w:val="16"/>
                <w:szCs w:val="16"/>
                <w:lang w:eastAsia="pt-BR"/>
              </w:rPr>
              <w:t>ABF.D033</w:t>
            </w:r>
          </w:p>
        </w:tc>
        <w:tc>
          <w:tcPr>
            <w:tcW w:w="1276" w:type="dxa"/>
            <w:tcBorders>
              <w:top w:val="nil"/>
              <w:left w:val="nil"/>
              <w:bottom w:val="nil"/>
              <w:right w:val="single" w:sz="8" w:space="0" w:color="auto"/>
            </w:tcBorders>
            <w:shd w:val="clear" w:color="auto" w:fill="auto"/>
            <w:vAlign w:val="center"/>
            <w:hideMark/>
          </w:tcPr>
          <w:p w14:paraId="021BE1C5" w14:textId="77777777" w:rsidR="000643B5" w:rsidRPr="00113B0F" w:rsidRDefault="000643B5" w:rsidP="00080E19">
            <w:pPr>
              <w:spacing w:after="0" w:line="240" w:lineRule="auto"/>
              <w:jc w:val="center"/>
              <w:rPr>
                <w:rFonts w:ascii="Arial Narrow" w:eastAsia="Times New Roman" w:hAnsi="Arial Narrow" w:cs="Arial"/>
                <w:b/>
                <w:bCs/>
                <w:sz w:val="16"/>
                <w:szCs w:val="16"/>
                <w:lang w:eastAsia="pt-BR"/>
              </w:rPr>
            </w:pPr>
            <w:r w:rsidRPr="00113B0F">
              <w:rPr>
                <w:rFonts w:ascii="Arial Narrow" w:eastAsia="Times New Roman" w:hAnsi="Arial Narrow" w:cs="Arial"/>
                <w:b/>
                <w:bCs/>
                <w:sz w:val="16"/>
                <w:szCs w:val="16"/>
                <w:lang w:eastAsia="pt-BR"/>
              </w:rPr>
              <w:t>ABF.E033</w:t>
            </w:r>
          </w:p>
        </w:tc>
        <w:tc>
          <w:tcPr>
            <w:tcW w:w="1559" w:type="dxa"/>
            <w:gridSpan w:val="2"/>
            <w:tcBorders>
              <w:top w:val="nil"/>
              <w:left w:val="nil"/>
              <w:bottom w:val="nil"/>
              <w:right w:val="single" w:sz="8" w:space="0" w:color="auto"/>
            </w:tcBorders>
            <w:shd w:val="clear" w:color="auto" w:fill="auto"/>
            <w:vAlign w:val="center"/>
            <w:hideMark/>
          </w:tcPr>
          <w:p w14:paraId="02B0E7BC" w14:textId="77777777" w:rsidR="000643B5" w:rsidRPr="00113B0F" w:rsidRDefault="000643B5" w:rsidP="00080E19">
            <w:pPr>
              <w:spacing w:after="0" w:line="240" w:lineRule="auto"/>
              <w:jc w:val="center"/>
              <w:rPr>
                <w:rFonts w:ascii="Arial Narrow" w:eastAsia="Times New Roman" w:hAnsi="Arial Narrow" w:cs="Arial"/>
                <w:b/>
                <w:bCs/>
                <w:sz w:val="16"/>
                <w:szCs w:val="16"/>
                <w:lang w:eastAsia="pt-BR"/>
              </w:rPr>
            </w:pPr>
            <w:r w:rsidRPr="00113B0F">
              <w:rPr>
                <w:rFonts w:ascii="Arial Narrow" w:eastAsia="Times New Roman" w:hAnsi="Arial Narrow" w:cs="Arial"/>
                <w:b/>
                <w:bCs/>
                <w:sz w:val="16"/>
                <w:szCs w:val="16"/>
                <w:lang w:eastAsia="pt-BR"/>
              </w:rPr>
              <w:t>ABF.F033</w:t>
            </w:r>
          </w:p>
        </w:tc>
        <w:tc>
          <w:tcPr>
            <w:tcW w:w="1134" w:type="dxa"/>
            <w:gridSpan w:val="2"/>
            <w:tcBorders>
              <w:top w:val="nil"/>
              <w:left w:val="nil"/>
              <w:bottom w:val="nil"/>
              <w:right w:val="single" w:sz="8" w:space="0" w:color="auto"/>
            </w:tcBorders>
            <w:shd w:val="clear" w:color="auto" w:fill="auto"/>
            <w:vAlign w:val="center"/>
            <w:hideMark/>
          </w:tcPr>
          <w:p w14:paraId="57B6CE5F" w14:textId="77777777" w:rsidR="000643B5" w:rsidRPr="00113B0F" w:rsidRDefault="000643B5" w:rsidP="00080E19">
            <w:pPr>
              <w:spacing w:after="0" w:line="240" w:lineRule="auto"/>
              <w:jc w:val="center"/>
              <w:rPr>
                <w:rFonts w:ascii="Arial Narrow" w:eastAsia="Times New Roman" w:hAnsi="Arial Narrow" w:cs="Arial"/>
                <w:b/>
                <w:bCs/>
                <w:sz w:val="16"/>
                <w:szCs w:val="16"/>
                <w:lang w:eastAsia="pt-BR"/>
              </w:rPr>
            </w:pPr>
            <w:r w:rsidRPr="00113B0F">
              <w:rPr>
                <w:rFonts w:ascii="Arial Narrow" w:eastAsia="Times New Roman" w:hAnsi="Arial Narrow" w:cs="Arial"/>
                <w:b/>
                <w:bCs/>
                <w:sz w:val="16"/>
                <w:szCs w:val="16"/>
                <w:lang w:eastAsia="pt-BR"/>
              </w:rPr>
              <w:t>ABF.G033</w:t>
            </w:r>
          </w:p>
        </w:tc>
      </w:tr>
      <w:tr w:rsidR="000643B5" w:rsidRPr="00113B0F" w14:paraId="0FE35E92"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006E1562" w14:textId="77777777" w:rsidR="000643B5" w:rsidRPr="00113B0F" w:rsidRDefault="000643B5" w:rsidP="00080E19">
            <w:pPr>
              <w:spacing w:after="0" w:line="240" w:lineRule="auto"/>
              <w:ind w:firstLineChars="200" w:firstLine="320"/>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270 - RECURSOS DA PREVIDÊNCIA</w:t>
            </w:r>
          </w:p>
        </w:tc>
        <w:tc>
          <w:tcPr>
            <w:tcW w:w="1276" w:type="dxa"/>
            <w:tcBorders>
              <w:top w:val="nil"/>
              <w:left w:val="nil"/>
              <w:bottom w:val="nil"/>
              <w:right w:val="single" w:sz="8" w:space="0" w:color="auto"/>
            </w:tcBorders>
            <w:shd w:val="clear" w:color="auto" w:fill="auto"/>
            <w:vAlign w:val="center"/>
            <w:hideMark/>
          </w:tcPr>
          <w:p w14:paraId="1A36F70B"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ABF.B533</w:t>
            </w:r>
          </w:p>
        </w:tc>
        <w:tc>
          <w:tcPr>
            <w:tcW w:w="1559" w:type="dxa"/>
            <w:tcBorders>
              <w:top w:val="nil"/>
              <w:left w:val="nil"/>
              <w:bottom w:val="nil"/>
              <w:right w:val="single" w:sz="8" w:space="0" w:color="auto"/>
            </w:tcBorders>
            <w:shd w:val="clear" w:color="auto" w:fill="auto"/>
            <w:vAlign w:val="center"/>
            <w:hideMark/>
          </w:tcPr>
          <w:p w14:paraId="49B01B71"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ABF.C533</w:t>
            </w:r>
          </w:p>
        </w:tc>
        <w:tc>
          <w:tcPr>
            <w:tcW w:w="1417" w:type="dxa"/>
            <w:tcBorders>
              <w:top w:val="nil"/>
              <w:left w:val="nil"/>
              <w:bottom w:val="nil"/>
              <w:right w:val="single" w:sz="8" w:space="0" w:color="auto"/>
            </w:tcBorders>
            <w:shd w:val="clear" w:color="auto" w:fill="auto"/>
            <w:vAlign w:val="center"/>
            <w:hideMark/>
          </w:tcPr>
          <w:p w14:paraId="0419971B"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ABF.D533</w:t>
            </w:r>
          </w:p>
        </w:tc>
        <w:tc>
          <w:tcPr>
            <w:tcW w:w="1276" w:type="dxa"/>
            <w:tcBorders>
              <w:top w:val="nil"/>
              <w:left w:val="nil"/>
              <w:bottom w:val="nil"/>
              <w:right w:val="single" w:sz="8" w:space="0" w:color="auto"/>
            </w:tcBorders>
            <w:shd w:val="clear" w:color="auto" w:fill="auto"/>
            <w:vAlign w:val="center"/>
            <w:hideMark/>
          </w:tcPr>
          <w:p w14:paraId="64C6A8E5"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ABF.E533</w:t>
            </w:r>
          </w:p>
        </w:tc>
        <w:tc>
          <w:tcPr>
            <w:tcW w:w="1559" w:type="dxa"/>
            <w:gridSpan w:val="2"/>
            <w:tcBorders>
              <w:top w:val="nil"/>
              <w:left w:val="nil"/>
              <w:bottom w:val="nil"/>
              <w:right w:val="single" w:sz="8" w:space="0" w:color="auto"/>
            </w:tcBorders>
            <w:shd w:val="clear" w:color="auto" w:fill="auto"/>
            <w:vAlign w:val="center"/>
            <w:hideMark/>
          </w:tcPr>
          <w:p w14:paraId="344A3AF9"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ABF.F533</w:t>
            </w:r>
          </w:p>
        </w:tc>
        <w:tc>
          <w:tcPr>
            <w:tcW w:w="1134" w:type="dxa"/>
            <w:gridSpan w:val="2"/>
            <w:tcBorders>
              <w:top w:val="nil"/>
              <w:left w:val="nil"/>
              <w:bottom w:val="nil"/>
              <w:right w:val="single" w:sz="8" w:space="0" w:color="auto"/>
            </w:tcBorders>
            <w:shd w:val="clear" w:color="auto" w:fill="auto"/>
            <w:vAlign w:val="center"/>
            <w:hideMark/>
          </w:tcPr>
          <w:p w14:paraId="1EC53DDF"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ABF.G533</w:t>
            </w:r>
          </w:p>
        </w:tc>
      </w:tr>
      <w:tr w:rsidR="000643B5" w:rsidRPr="00113B0F" w14:paraId="00D1FBFA"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20AFB040" w14:textId="77777777" w:rsidR="000643B5" w:rsidRPr="00113B0F" w:rsidRDefault="000643B5" w:rsidP="00080E19">
            <w:pPr>
              <w:spacing w:after="0" w:line="240" w:lineRule="auto"/>
              <w:ind w:firstLineChars="200" w:firstLine="320"/>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670 - SUPERÁVIT FINANCEIRO - RECURSOS DA PREVIDÊNCIA</w:t>
            </w:r>
          </w:p>
        </w:tc>
        <w:tc>
          <w:tcPr>
            <w:tcW w:w="1276" w:type="dxa"/>
            <w:tcBorders>
              <w:top w:val="nil"/>
              <w:left w:val="nil"/>
              <w:bottom w:val="nil"/>
              <w:right w:val="single" w:sz="8" w:space="0" w:color="auto"/>
            </w:tcBorders>
            <w:shd w:val="clear" w:color="auto" w:fill="auto"/>
            <w:vAlign w:val="center"/>
            <w:hideMark/>
          </w:tcPr>
          <w:p w14:paraId="0F095D59"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ABF.B534</w:t>
            </w:r>
          </w:p>
        </w:tc>
        <w:tc>
          <w:tcPr>
            <w:tcW w:w="1559" w:type="dxa"/>
            <w:tcBorders>
              <w:top w:val="nil"/>
              <w:left w:val="nil"/>
              <w:bottom w:val="nil"/>
              <w:right w:val="single" w:sz="8" w:space="0" w:color="auto"/>
            </w:tcBorders>
            <w:shd w:val="clear" w:color="auto" w:fill="auto"/>
            <w:vAlign w:val="center"/>
            <w:hideMark/>
          </w:tcPr>
          <w:p w14:paraId="754EC77E"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ABF.C534</w:t>
            </w:r>
          </w:p>
        </w:tc>
        <w:tc>
          <w:tcPr>
            <w:tcW w:w="1417" w:type="dxa"/>
            <w:tcBorders>
              <w:top w:val="nil"/>
              <w:left w:val="nil"/>
              <w:bottom w:val="nil"/>
              <w:right w:val="single" w:sz="8" w:space="0" w:color="auto"/>
            </w:tcBorders>
            <w:shd w:val="clear" w:color="auto" w:fill="auto"/>
            <w:vAlign w:val="center"/>
            <w:hideMark/>
          </w:tcPr>
          <w:p w14:paraId="6A481466"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ABF.D534</w:t>
            </w:r>
          </w:p>
        </w:tc>
        <w:tc>
          <w:tcPr>
            <w:tcW w:w="1276" w:type="dxa"/>
            <w:tcBorders>
              <w:top w:val="nil"/>
              <w:left w:val="nil"/>
              <w:bottom w:val="nil"/>
              <w:right w:val="single" w:sz="8" w:space="0" w:color="auto"/>
            </w:tcBorders>
            <w:shd w:val="clear" w:color="auto" w:fill="auto"/>
            <w:vAlign w:val="center"/>
            <w:hideMark/>
          </w:tcPr>
          <w:p w14:paraId="6A436EFC"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ABF.E534</w:t>
            </w:r>
          </w:p>
        </w:tc>
        <w:tc>
          <w:tcPr>
            <w:tcW w:w="1559" w:type="dxa"/>
            <w:gridSpan w:val="2"/>
            <w:tcBorders>
              <w:top w:val="nil"/>
              <w:left w:val="nil"/>
              <w:bottom w:val="nil"/>
              <w:right w:val="single" w:sz="8" w:space="0" w:color="auto"/>
            </w:tcBorders>
            <w:shd w:val="clear" w:color="auto" w:fill="auto"/>
            <w:vAlign w:val="center"/>
            <w:hideMark/>
          </w:tcPr>
          <w:p w14:paraId="3805A2E6"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ABF.F534</w:t>
            </w:r>
          </w:p>
        </w:tc>
        <w:tc>
          <w:tcPr>
            <w:tcW w:w="1134" w:type="dxa"/>
            <w:gridSpan w:val="2"/>
            <w:tcBorders>
              <w:top w:val="nil"/>
              <w:left w:val="nil"/>
              <w:bottom w:val="nil"/>
              <w:right w:val="single" w:sz="8" w:space="0" w:color="auto"/>
            </w:tcBorders>
            <w:shd w:val="clear" w:color="auto" w:fill="auto"/>
            <w:vAlign w:val="center"/>
            <w:hideMark/>
          </w:tcPr>
          <w:p w14:paraId="4B4713DE"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ABF.G534</w:t>
            </w:r>
          </w:p>
        </w:tc>
      </w:tr>
      <w:tr w:rsidR="007B6F55" w:rsidRPr="005E1C9E" w14:paraId="0700C00A"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tcPr>
          <w:p w14:paraId="518868BB" w14:textId="5AD51A30" w:rsidR="007B6F55" w:rsidRPr="005E1C9E" w:rsidRDefault="007B6F55" w:rsidP="007B6F55">
            <w:pPr>
              <w:spacing w:after="0" w:line="240" w:lineRule="auto"/>
              <w:ind w:firstLineChars="200" w:firstLine="320"/>
              <w:rPr>
                <w:rFonts w:ascii="Arial Narrow" w:eastAsia="Times New Roman" w:hAnsi="Arial Narrow" w:cs="Arial"/>
                <w:color w:val="0070C0"/>
                <w:sz w:val="16"/>
                <w:szCs w:val="16"/>
                <w:lang w:eastAsia="pt-BR"/>
              </w:rPr>
            </w:pPr>
            <w:r w:rsidRPr="005E1C9E">
              <w:rPr>
                <w:rFonts w:ascii="Arial Narrow" w:eastAsia="Times New Roman" w:hAnsi="Arial Narrow" w:cs="Arial"/>
                <w:color w:val="0070C0"/>
                <w:sz w:val="16"/>
                <w:szCs w:val="16"/>
                <w:lang w:eastAsia="pt-BR"/>
              </w:rPr>
              <w:t>676</w:t>
            </w:r>
            <w:r>
              <w:rPr>
                <w:rFonts w:ascii="Arial Narrow" w:eastAsia="Times New Roman" w:hAnsi="Arial Narrow" w:cs="Arial"/>
                <w:color w:val="0070C0"/>
                <w:sz w:val="16"/>
                <w:szCs w:val="16"/>
                <w:lang w:eastAsia="pt-BR"/>
              </w:rPr>
              <w:t xml:space="preserve"> - </w:t>
            </w:r>
            <w:r w:rsidRPr="005E1C9E">
              <w:rPr>
                <w:rFonts w:ascii="Arial Narrow" w:eastAsia="Times New Roman" w:hAnsi="Arial Narrow" w:cs="Arial"/>
                <w:color w:val="0070C0"/>
                <w:sz w:val="16"/>
                <w:szCs w:val="16"/>
                <w:lang w:eastAsia="pt-BR"/>
              </w:rPr>
              <w:t>SUPERÁVIT FINANCEIRO - FUNDO DE PROTEÇÃO SOCIAL DOS MILITARES (OUTRAS DESTINAÇÕES DE RECURSOS).</w:t>
            </w:r>
          </w:p>
        </w:tc>
        <w:tc>
          <w:tcPr>
            <w:tcW w:w="1276" w:type="dxa"/>
            <w:tcBorders>
              <w:top w:val="nil"/>
              <w:left w:val="nil"/>
              <w:bottom w:val="nil"/>
              <w:right w:val="single" w:sz="8" w:space="0" w:color="auto"/>
            </w:tcBorders>
            <w:shd w:val="clear" w:color="auto" w:fill="auto"/>
            <w:vAlign w:val="center"/>
          </w:tcPr>
          <w:p w14:paraId="7926B81B" w14:textId="0DAD5F92" w:rsidR="007B6F55" w:rsidRPr="005E1C9E" w:rsidRDefault="007B6F55" w:rsidP="007B6F55">
            <w:pPr>
              <w:spacing w:after="0" w:line="240" w:lineRule="auto"/>
              <w:jc w:val="center"/>
              <w:rPr>
                <w:rFonts w:ascii="Arial Narrow" w:eastAsia="Times New Roman" w:hAnsi="Arial Narrow" w:cs="Arial"/>
                <w:color w:val="0070C0"/>
                <w:sz w:val="16"/>
                <w:szCs w:val="16"/>
                <w:lang w:eastAsia="pt-BR"/>
              </w:rPr>
            </w:pPr>
            <w:r>
              <w:rPr>
                <w:rFonts w:ascii="Arial Narrow" w:eastAsia="Times New Roman" w:hAnsi="Arial Narrow" w:cs="Arial"/>
                <w:color w:val="0070C0"/>
                <w:sz w:val="16"/>
                <w:szCs w:val="16"/>
                <w:lang w:eastAsia="pt-BR"/>
              </w:rPr>
              <w:t>ABF.B606</w:t>
            </w:r>
          </w:p>
        </w:tc>
        <w:tc>
          <w:tcPr>
            <w:tcW w:w="1559" w:type="dxa"/>
            <w:tcBorders>
              <w:top w:val="nil"/>
              <w:left w:val="nil"/>
              <w:bottom w:val="nil"/>
              <w:right w:val="single" w:sz="8" w:space="0" w:color="auto"/>
            </w:tcBorders>
            <w:shd w:val="clear" w:color="auto" w:fill="auto"/>
            <w:vAlign w:val="center"/>
          </w:tcPr>
          <w:p w14:paraId="5D71CC68" w14:textId="35B17736" w:rsidR="007B6F55" w:rsidRPr="005E1C9E" w:rsidRDefault="007B6F55" w:rsidP="007B6F55">
            <w:pPr>
              <w:spacing w:after="0" w:line="240" w:lineRule="auto"/>
              <w:jc w:val="center"/>
              <w:rPr>
                <w:rFonts w:ascii="Arial Narrow" w:eastAsia="Times New Roman" w:hAnsi="Arial Narrow" w:cs="Arial"/>
                <w:color w:val="0070C0"/>
                <w:sz w:val="16"/>
                <w:szCs w:val="16"/>
                <w:lang w:eastAsia="pt-BR"/>
              </w:rPr>
            </w:pPr>
            <w:r>
              <w:rPr>
                <w:rFonts w:ascii="Arial Narrow" w:eastAsia="Times New Roman" w:hAnsi="Arial Narrow" w:cs="Arial"/>
                <w:color w:val="0070C0"/>
                <w:sz w:val="16"/>
                <w:szCs w:val="16"/>
                <w:lang w:eastAsia="pt-BR"/>
              </w:rPr>
              <w:t>ABF.C606</w:t>
            </w:r>
          </w:p>
        </w:tc>
        <w:tc>
          <w:tcPr>
            <w:tcW w:w="1417" w:type="dxa"/>
            <w:tcBorders>
              <w:top w:val="nil"/>
              <w:left w:val="nil"/>
              <w:bottom w:val="nil"/>
              <w:right w:val="single" w:sz="8" w:space="0" w:color="auto"/>
            </w:tcBorders>
            <w:shd w:val="clear" w:color="auto" w:fill="auto"/>
            <w:vAlign w:val="center"/>
          </w:tcPr>
          <w:p w14:paraId="71BBA17F" w14:textId="047A8D20" w:rsidR="007B6F55" w:rsidRPr="005E1C9E" w:rsidRDefault="007B6F55" w:rsidP="007B6F55">
            <w:pPr>
              <w:spacing w:after="0" w:line="240" w:lineRule="auto"/>
              <w:jc w:val="center"/>
              <w:rPr>
                <w:rFonts w:ascii="Arial Narrow" w:eastAsia="Times New Roman" w:hAnsi="Arial Narrow" w:cs="Arial"/>
                <w:color w:val="0070C0"/>
                <w:sz w:val="16"/>
                <w:szCs w:val="16"/>
                <w:lang w:eastAsia="pt-BR"/>
              </w:rPr>
            </w:pPr>
            <w:r>
              <w:rPr>
                <w:rFonts w:ascii="Arial Narrow" w:eastAsia="Times New Roman" w:hAnsi="Arial Narrow" w:cs="Arial"/>
                <w:color w:val="0070C0"/>
                <w:sz w:val="16"/>
                <w:szCs w:val="16"/>
                <w:lang w:eastAsia="pt-BR"/>
              </w:rPr>
              <w:t>ABF.D606</w:t>
            </w:r>
          </w:p>
        </w:tc>
        <w:tc>
          <w:tcPr>
            <w:tcW w:w="1276" w:type="dxa"/>
            <w:tcBorders>
              <w:top w:val="nil"/>
              <w:left w:val="nil"/>
              <w:bottom w:val="nil"/>
              <w:right w:val="single" w:sz="8" w:space="0" w:color="auto"/>
            </w:tcBorders>
            <w:shd w:val="clear" w:color="auto" w:fill="auto"/>
            <w:vAlign w:val="center"/>
          </w:tcPr>
          <w:p w14:paraId="462F7EAC" w14:textId="3D497014" w:rsidR="007B6F55" w:rsidRPr="005E1C9E" w:rsidRDefault="007B6F55" w:rsidP="007B6F55">
            <w:pPr>
              <w:spacing w:after="0" w:line="240" w:lineRule="auto"/>
              <w:jc w:val="center"/>
              <w:rPr>
                <w:rFonts w:ascii="Arial Narrow" w:eastAsia="Times New Roman" w:hAnsi="Arial Narrow" w:cs="Arial"/>
                <w:color w:val="0070C0"/>
                <w:sz w:val="16"/>
                <w:szCs w:val="16"/>
                <w:lang w:eastAsia="pt-BR"/>
              </w:rPr>
            </w:pPr>
            <w:r>
              <w:rPr>
                <w:rFonts w:ascii="Arial Narrow" w:eastAsia="Times New Roman" w:hAnsi="Arial Narrow" w:cs="Arial"/>
                <w:color w:val="0070C0"/>
                <w:sz w:val="16"/>
                <w:szCs w:val="16"/>
                <w:lang w:eastAsia="pt-BR"/>
              </w:rPr>
              <w:t>ABF.E606</w:t>
            </w:r>
          </w:p>
        </w:tc>
        <w:tc>
          <w:tcPr>
            <w:tcW w:w="1559" w:type="dxa"/>
            <w:gridSpan w:val="2"/>
            <w:tcBorders>
              <w:top w:val="nil"/>
              <w:left w:val="nil"/>
              <w:bottom w:val="nil"/>
              <w:right w:val="single" w:sz="8" w:space="0" w:color="auto"/>
            </w:tcBorders>
            <w:shd w:val="clear" w:color="auto" w:fill="auto"/>
            <w:vAlign w:val="center"/>
          </w:tcPr>
          <w:p w14:paraId="271B57F0" w14:textId="31981484" w:rsidR="007B6F55" w:rsidRPr="005E1C9E" w:rsidRDefault="007B6F55" w:rsidP="007B6F55">
            <w:pPr>
              <w:spacing w:after="0" w:line="240" w:lineRule="auto"/>
              <w:jc w:val="center"/>
              <w:rPr>
                <w:rFonts w:ascii="Arial Narrow" w:eastAsia="Times New Roman" w:hAnsi="Arial Narrow" w:cs="Arial"/>
                <w:color w:val="0070C0"/>
                <w:sz w:val="16"/>
                <w:szCs w:val="16"/>
                <w:lang w:eastAsia="pt-BR"/>
              </w:rPr>
            </w:pPr>
            <w:r>
              <w:rPr>
                <w:rFonts w:ascii="Arial Narrow" w:eastAsia="Times New Roman" w:hAnsi="Arial Narrow" w:cs="Arial"/>
                <w:color w:val="0070C0"/>
                <w:sz w:val="16"/>
                <w:szCs w:val="16"/>
                <w:lang w:eastAsia="pt-BR"/>
              </w:rPr>
              <w:t>ABF.F606</w:t>
            </w:r>
          </w:p>
        </w:tc>
        <w:tc>
          <w:tcPr>
            <w:tcW w:w="1134" w:type="dxa"/>
            <w:gridSpan w:val="2"/>
            <w:tcBorders>
              <w:top w:val="nil"/>
              <w:left w:val="nil"/>
              <w:bottom w:val="nil"/>
              <w:right w:val="single" w:sz="8" w:space="0" w:color="auto"/>
            </w:tcBorders>
            <w:shd w:val="clear" w:color="auto" w:fill="auto"/>
            <w:vAlign w:val="center"/>
          </w:tcPr>
          <w:p w14:paraId="5F0968A7" w14:textId="6D90D706" w:rsidR="007B6F55" w:rsidRPr="005E1C9E" w:rsidRDefault="007B6F55" w:rsidP="007B6F55">
            <w:pPr>
              <w:spacing w:after="0" w:line="240" w:lineRule="auto"/>
              <w:jc w:val="center"/>
              <w:rPr>
                <w:rFonts w:ascii="Arial Narrow" w:eastAsia="Times New Roman" w:hAnsi="Arial Narrow" w:cs="Arial"/>
                <w:color w:val="0070C0"/>
                <w:sz w:val="16"/>
                <w:szCs w:val="16"/>
                <w:lang w:eastAsia="pt-BR"/>
              </w:rPr>
            </w:pPr>
            <w:r>
              <w:rPr>
                <w:rFonts w:ascii="Arial Narrow" w:eastAsia="Times New Roman" w:hAnsi="Arial Narrow" w:cs="Arial"/>
                <w:color w:val="0070C0"/>
                <w:sz w:val="16"/>
                <w:szCs w:val="16"/>
                <w:lang w:eastAsia="pt-BR"/>
              </w:rPr>
              <w:t>ABF.G606</w:t>
            </w:r>
          </w:p>
        </w:tc>
      </w:tr>
      <w:tr w:rsidR="000643B5" w:rsidRPr="00113B0F" w14:paraId="08C2398A"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12BC4E82" w14:textId="77777777" w:rsidR="000643B5" w:rsidRPr="00113B0F" w:rsidRDefault="000643B5" w:rsidP="00080E19">
            <w:pPr>
              <w:spacing w:after="0" w:line="240" w:lineRule="auto"/>
              <w:ind w:firstLineChars="100" w:firstLine="161"/>
              <w:rPr>
                <w:rFonts w:ascii="Arial Narrow" w:eastAsia="Times New Roman" w:hAnsi="Arial Narrow" w:cs="Arial"/>
                <w:b/>
                <w:bCs/>
                <w:sz w:val="16"/>
                <w:szCs w:val="16"/>
                <w:lang w:eastAsia="pt-BR"/>
              </w:rPr>
            </w:pPr>
            <w:r w:rsidRPr="00113B0F">
              <w:rPr>
                <w:rFonts w:ascii="Arial Narrow" w:eastAsia="Times New Roman" w:hAnsi="Arial Narrow" w:cs="Arial"/>
                <w:b/>
                <w:bCs/>
                <w:sz w:val="16"/>
                <w:szCs w:val="16"/>
                <w:lang w:eastAsia="pt-BR"/>
              </w:rPr>
              <w:t xml:space="preserve">  Recursos Vinculados à Seguridade Social</w:t>
            </w:r>
          </w:p>
        </w:tc>
        <w:tc>
          <w:tcPr>
            <w:tcW w:w="1276" w:type="dxa"/>
            <w:tcBorders>
              <w:top w:val="nil"/>
              <w:left w:val="nil"/>
              <w:bottom w:val="nil"/>
              <w:right w:val="single" w:sz="8" w:space="0" w:color="auto"/>
            </w:tcBorders>
            <w:shd w:val="clear" w:color="auto" w:fill="auto"/>
            <w:vAlign w:val="center"/>
            <w:hideMark/>
          </w:tcPr>
          <w:p w14:paraId="5D1C9CE7" w14:textId="77777777" w:rsidR="000643B5" w:rsidRPr="00113B0F" w:rsidRDefault="000643B5" w:rsidP="00080E19">
            <w:pPr>
              <w:spacing w:after="0" w:line="240" w:lineRule="auto"/>
              <w:jc w:val="center"/>
              <w:rPr>
                <w:rFonts w:ascii="Arial Narrow" w:eastAsia="Times New Roman" w:hAnsi="Arial Narrow" w:cs="Arial"/>
                <w:b/>
                <w:bCs/>
                <w:sz w:val="16"/>
                <w:szCs w:val="16"/>
                <w:lang w:eastAsia="pt-BR"/>
              </w:rPr>
            </w:pPr>
            <w:r w:rsidRPr="00113B0F">
              <w:rPr>
                <w:rFonts w:ascii="Arial Narrow" w:eastAsia="Times New Roman" w:hAnsi="Arial Narrow" w:cs="Arial"/>
                <w:b/>
                <w:bCs/>
                <w:sz w:val="16"/>
                <w:szCs w:val="16"/>
                <w:lang w:eastAsia="pt-BR"/>
              </w:rPr>
              <w:t>ABF.B039</w:t>
            </w:r>
          </w:p>
        </w:tc>
        <w:tc>
          <w:tcPr>
            <w:tcW w:w="1559" w:type="dxa"/>
            <w:tcBorders>
              <w:top w:val="nil"/>
              <w:left w:val="nil"/>
              <w:bottom w:val="nil"/>
              <w:right w:val="single" w:sz="8" w:space="0" w:color="auto"/>
            </w:tcBorders>
            <w:shd w:val="clear" w:color="auto" w:fill="auto"/>
            <w:vAlign w:val="center"/>
            <w:hideMark/>
          </w:tcPr>
          <w:p w14:paraId="2DBC40CB" w14:textId="77777777" w:rsidR="000643B5" w:rsidRPr="00113B0F" w:rsidRDefault="000643B5" w:rsidP="00080E19">
            <w:pPr>
              <w:spacing w:after="0" w:line="240" w:lineRule="auto"/>
              <w:jc w:val="center"/>
              <w:rPr>
                <w:rFonts w:ascii="Arial Narrow" w:eastAsia="Times New Roman" w:hAnsi="Arial Narrow" w:cs="Arial"/>
                <w:b/>
                <w:bCs/>
                <w:sz w:val="16"/>
                <w:szCs w:val="16"/>
                <w:lang w:eastAsia="pt-BR"/>
              </w:rPr>
            </w:pPr>
            <w:r w:rsidRPr="00113B0F">
              <w:rPr>
                <w:rFonts w:ascii="Arial Narrow" w:eastAsia="Times New Roman" w:hAnsi="Arial Narrow" w:cs="Arial"/>
                <w:b/>
                <w:bCs/>
                <w:sz w:val="16"/>
                <w:szCs w:val="16"/>
                <w:lang w:eastAsia="pt-BR"/>
              </w:rPr>
              <w:t>ABF.C039</w:t>
            </w:r>
          </w:p>
        </w:tc>
        <w:tc>
          <w:tcPr>
            <w:tcW w:w="1417" w:type="dxa"/>
            <w:tcBorders>
              <w:top w:val="nil"/>
              <w:left w:val="nil"/>
              <w:bottom w:val="nil"/>
              <w:right w:val="single" w:sz="8" w:space="0" w:color="auto"/>
            </w:tcBorders>
            <w:shd w:val="clear" w:color="auto" w:fill="auto"/>
            <w:vAlign w:val="center"/>
            <w:hideMark/>
          </w:tcPr>
          <w:p w14:paraId="2A0E7913" w14:textId="77777777" w:rsidR="000643B5" w:rsidRPr="00113B0F" w:rsidRDefault="000643B5" w:rsidP="00080E19">
            <w:pPr>
              <w:spacing w:after="0" w:line="240" w:lineRule="auto"/>
              <w:jc w:val="center"/>
              <w:rPr>
                <w:rFonts w:ascii="Arial Narrow" w:eastAsia="Times New Roman" w:hAnsi="Arial Narrow" w:cs="Arial"/>
                <w:b/>
                <w:bCs/>
                <w:sz w:val="16"/>
                <w:szCs w:val="16"/>
                <w:lang w:eastAsia="pt-BR"/>
              </w:rPr>
            </w:pPr>
            <w:r w:rsidRPr="00113B0F">
              <w:rPr>
                <w:rFonts w:ascii="Arial Narrow" w:eastAsia="Times New Roman" w:hAnsi="Arial Narrow" w:cs="Arial"/>
                <w:b/>
                <w:bCs/>
                <w:sz w:val="16"/>
                <w:szCs w:val="16"/>
                <w:lang w:eastAsia="pt-BR"/>
              </w:rPr>
              <w:t>ABF.D039</w:t>
            </w:r>
          </w:p>
        </w:tc>
        <w:tc>
          <w:tcPr>
            <w:tcW w:w="1276" w:type="dxa"/>
            <w:tcBorders>
              <w:top w:val="nil"/>
              <w:left w:val="nil"/>
              <w:bottom w:val="nil"/>
              <w:right w:val="single" w:sz="8" w:space="0" w:color="auto"/>
            </w:tcBorders>
            <w:shd w:val="clear" w:color="auto" w:fill="auto"/>
            <w:vAlign w:val="center"/>
            <w:hideMark/>
          </w:tcPr>
          <w:p w14:paraId="084792C4" w14:textId="77777777" w:rsidR="000643B5" w:rsidRPr="00113B0F" w:rsidRDefault="000643B5" w:rsidP="00080E19">
            <w:pPr>
              <w:spacing w:after="0" w:line="240" w:lineRule="auto"/>
              <w:jc w:val="center"/>
              <w:rPr>
                <w:rFonts w:ascii="Arial Narrow" w:eastAsia="Times New Roman" w:hAnsi="Arial Narrow" w:cs="Arial"/>
                <w:b/>
                <w:bCs/>
                <w:sz w:val="16"/>
                <w:szCs w:val="16"/>
                <w:lang w:eastAsia="pt-BR"/>
              </w:rPr>
            </w:pPr>
            <w:r w:rsidRPr="00113B0F">
              <w:rPr>
                <w:rFonts w:ascii="Arial Narrow" w:eastAsia="Times New Roman" w:hAnsi="Arial Narrow" w:cs="Arial"/>
                <w:b/>
                <w:bCs/>
                <w:sz w:val="16"/>
                <w:szCs w:val="16"/>
                <w:lang w:eastAsia="pt-BR"/>
              </w:rPr>
              <w:t>ABF.E039</w:t>
            </w:r>
          </w:p>
        </w:tc>
        <w:tc>
          <w:tcPr>
            <w:tcW w:w="1559" w:type="dxa"/>
            <w:gridSpan w:val="2"/>
            <w:tcBorders>
              <w:top w:val="nil"/>
              <w:left w:val="nil"/>
              <w:bottom w:val="nil"/>
              <w:right w:val="single" w:sz="8" w:space="0" w:color="auto"/>
            </w:tcBorders>
            <w:shd w:val="clear" w:color="auto" w:fill="auto"/>
            <w:vAlign w:val="center"/>
            <w:hideMark/>
          </w:tcPr>
          <w:p w14:paraId="3CD619E8" w14:textId="77777777" w:rsidR="000643B5" w:rsidRPr="00113B0F" w:rsidRDefault="000643B5" w:rsidP="00080E19">
            <w:pPr>
              <w:spacing w:after="0" w:line="240" w:lineRule="auto"/>
              <w:jc w:val="center"/>
              <w:rPr>
                <w:rFonts w:ascii="Arial Narrow" w:eastAsia="Times New Roman" w:hAnsi="Arial Narrow" w:cs="Arial"/>
                <w:b/>
                <w:bCs/>
                <w:sz w:val="16"/>
                <w:szCs w:val="16"/>
                <w:lang w:eastAsia="pt-BR"/>
              </w:rPr>
            </w:pPr>
            <w:r w:rsidRPr="00113B0F">
              <w:rPr>
                <w:rFonts w:ascii="Arial Narrow" w:eastAsia="Times New Roman" w:hAnsi="Arial Narrow" w:cs="Arial"/>
                <w:b/>
                <w:bCs/>
                <w:sz w:val="16"/>
                <w:szCs w:val="16"/>
                <w:lang w:eastAsia="pt-BR"/>
              </w:rPr>
              <w:t>ABF.F039</w:t>
            </w:r>
          </w:p>
        </w:tc>
        <w:tc>
          <w:tcPr>
            <w:tcW w:w="1134" w:type="dxa"/>
            <w:gridSpan w:val="2"/>
            <w:tcBorders>
              <w:top w:val="nil"/>
              <w:left w:val="nil"/>
              <w:bottom w:val="nil"/>
              <w:right w:val="single" w:sz="8" w:space="0" w:color="auto"/>
            </w:tcBorders>
            <w:shd w:val="clear" w:color="auto" w:fill="auto"/>
            <w:vAlign w:val="center"/>
            <w:hideMark/>
          </w:tcPr>
          <w:p w14:paraId="7CACB5AA" w14:textId="77777777" w:rsidR="000643B5" w:rsidRPr="00113B0F" w:rsidRDefault="000643B5" w:rsidP="00080E19">
            <w:pPr>
              <w:spacing w:after="0" w:line="240" w:lineRule="auto"/>
              <w:jc w:val="center"/>
              <w:rPr>
                <w:rFonts w:ascii="Arial Narrow" w:eastAsia="Times New Roman" w:hAnsi="Arial Narrow" w:cs="Arial"/>
                <w:b/>
                <w:bCs/>
                <w:sz w:val="16"/>
                <w:szCs w:val="16"/>
                <w:lang w:eastAsia="pt-BR"/>
              </w:rPr>
            </w:pPr>
            <w:r w:rsidRPr="00113B0F">
              <w:rPr>
                <w:rFonts w:ascii="Arial Narrow" w:eastAsia="Times New Roman" w:hAnsi="Arial Narrow" w:cs="Arial"/>
                <w:b/>
                <w:bCs/>
                <w:sz w:val="16"/>
                <w:szCs w:val="16"/>
                <w:lang w:eastAsia="pt-BR"/>
              </w:rPr>
              <w:t>ABF.G039</w:t>
            </w:r>
          </w:p>
        </w:tc>
      </w:tr>
      <w:tr w:rsidR="000643B5" w:rsidRPr="00113B0F" w14:paraId="4C925AFA"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1E262380" w14:textId="77777777" w:rsidR="000643B5" w:rsidRPr="00113B0F" w:rsidRDefault="000643B5" w:rsidP="00080E19">
            <w:pPr>
              <w:spacing w:after="0" w:line="240" w:lineRule="auto"/>
              <w:ind w:firstLineChars="200" w:firstLine="320"/>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130 - PROGRAMA FEDERATIVO DE ENFRENTAMENTO AO COVID-19 VINCULADO ÀS AÇÕES DE SAÚDE E ASSISTÊNCIA SOCIAL – LC 173/20</w:t>
            </w:r>
          </w:p>
        </w:tc>
        <w:tc>
          <w:tcPr>
            <w:tcW w:w="1276" w:type="dxa"/>
            <w:tcBorders>
              <w:top w:val="nil"/>
              <w:left w:val="nil"/>
              <w:bottom w:val="nil"/>
              <w:right w:val="single" w:sz="8" w:space="0" w:color="auto"/>
            </w:tcBorders>
            <w:shd w:val="clear" w:color="auto" w:fill="auto"/>
            <w:vAlign w:val="center"/>
            <w:hideMark/>
          </w:tcPr>
          <w:p w14:paraId="382C9A1A"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ABF.B601</w:t>
            </w:r>
          </w:p>
        </w:tc>
        <w:tc>
          <w:tcPr>
            <w:tcW w:w="1559" w:type="dxa"/>
            <w:tcBorders>
              <w:top w:val="nil"/>
              <w:left w:val="nil"/>
              <w:bottom w:val="nil"/>
              <w:right w:val="single" w:sz="8" w:space="0" w:color="auto"/>
            </w:tcBorders>
            <w:shd w:val="clear" w:color="auto" w:fill="auto"/>
            <w:vAlign w:val="center"/>
            <w:hideMark/>
          </w:tcPr>
          <w:p w14:paraId="22209E8E"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ABF.C601</w:t>
            </w:r>
          </w:p>
        </w:tc>
        <w:tc>
          <w:tcPr>
            <w:tcW w:w="1417" w:type="dxa"/>
            <w:tcBorders>
              <w:top w:val="nil"/>
              <w:left w:val="nil"/>
              <w:bottom w:val="nil"/>
              <w:right w:val="single" w:sz="8" w:space="0" w:color="auto"/>
            </w:tcBorders>
            <w:shd w:val="clear" w:color="auto" w:fill="auto"/>
            <w:vAlign w:val="center"/>
            <w:hideMark/>
          </w:tcPr>
          <w:p w14:paraId="586F6F86"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ABF.D601</w:t>
            </w:r>
          </w:p>
        </w:tc>
        <w:tc>
          <w:tcPr>
            <w:tcW w:w="1276" w:type="dxa"/>
            <w:tcBorders>
              <w:top w:val="nil"/>
              <w:left w:val="nil"/>
              <w:bottom w:val="nil"/>
              <w:right w:val="single" w:sz="8" w:space="0" w:color="auto"/>
            </w:tcBorders>
            <w:shd w:val="clear" w:color="auto" w:fill="auto"/>
            <w:vAlign w:val="center"/>
            <w:hideMark/>
          </w:tcPr>
          <w:p w14:paraId="46163B86"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ABF.E601</w:t>
            </w:r>
          </w:p>
        </w:tc>
        <w:tc>
          <w:tcPr>
            <w:tcW w:w="1559" w:type="dxa"/>
            <w:gridSpan w:val="2"/>
            <w:tcBorders>
              <w:top w:val="nil"/>
              <w:left w:val="nil"/>
              <w:bottom w:val="nil"/>
              <w:right w:val="single" w:sz="8" w:space="0" w:color="auto"/>
            </w:tcBorders>
            <w:shd w:val="clear" w:color="auto" w:fill="auto"/>
            <w:vAlign w:val="center"/>
            <w:hideMark/>
          </w:tcPr>
          <w:p w14:paraId="5DF66755"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ABF.F601</w:t>
            </w:r>
          </w:p>
        </w:tc>
        <w:tc>
          <w:tcPr>
            <w:tcW w:w="1134" w:type="dxa"/>
            <w:gridSpan w:val="2"/>
            <w:tcBorders>
              <w:top w:val="nil"/>
              <w:left w:val="nil"/>
              <w:bottom w:val="nil"/>
              <w:right w:val="single" w:sz="8" w:space="0" w:color="auto"/>
            </w:tcBorders>
            <w:shd w:val="clear" w:color="auto" w:fill="auto"/>
            <w:vAlign w:val="center"/>
            <w:hideMark/>
          </w:tcPr>
          <w:p w14:paraId="50E7180C"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ABF.G601</w:t>
            </w:r>
          </w:p>
        </w:tc>
      </w:tr>
      <w:tr w:rsidR="000643B5" w:rsidRPr="00113B0F" w14:paraId="6AB37144"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25B901C3" w14:textId="77777777" w:rsidR="000643B5" w:rsidRPr="00113B0F" w:rsidRDefault="000643B5" w:rsidP="00080E19">
            <w:pPr>
              <w:spacing w:after="0" w:line="240" w:lineRule="auto"/>
              <w:ind w:firstLineChars="100" w:firstLine="161"/>
              <w:rPr>
                <w:rFonts w:ascii="Arial Narrow" w:eastAsia="Times New Roman" w:hAnsi="Arial Narrow" w:cs="Arial"/>
                <w:b/>
                <w:bCs/>
                <w:sz w:val="16"/>
                <w:szCs w:val="16"/>
                <w:lang w:eastAsia="pt-BR"/>
              </w:rPr>
            </w:pPr>
            <w:r w:rsidRPr="00113B0F">
              <w:rPr>
                <w:rFonts w:ascii="Arial Narrow" w:eastAsia="Times New Roman" w:hAnsi="Arial Narrow" w:cs="Arial"/>
                <w:b/>
                <w:bCs/>
                <w:sz w:val="16"/>
                <w:szCs w:val="16"/>
                <w:lang w:eastAsia="pt-BR"/>
              </w:rPr>
              <w:t xml:space="preserve"> Outras Destinações de Recursos</w:t>
            </w:r>
          </w:p>
        </w:tc>
        <w:tc>
          <w:tcPr>
            <w:tcW w:w="1276" w:type="dxa"/>
            <w:tcBorders>
              <w:top w:val="nil"/>
              <w:left w:val="nil"/>
              <w:bottom w:val="nil"/>
              <w:right w:val="single" w:sz="8" w:space="0" w:color="auto"/>
            </w:tcBorders>
            <w:shd w:val="clear" w:color="auto" w:fill="auto"/>
            <w:vAlign w:val="center"/>
            <w:hideMark/>
          </w:tcPr>
          <w:p w14:paraId="4585609E" w14:textId="77777777" w:rsidR="000643B5" w:rsidRPr="00113B0F" w:rsidRDefault="000643B5" w:rsidP="00080E19">
            <w:pPr>
              <w:spacing w:after="0" w:line="240" w:lineRule="auto"/>
              <w:jc w:val="center"/>
              <w:rPr>
                <w:rFonts w:ascii="Arial Narrow" w:eastAsia="Times New Roman" w:hAnsi="Arial Narrow" w:cs="Arial"/>
                <w:b/>
                <w:bCs/>
                <w:sz w:val="16"/>
                <w:szCs w:val="16"/>
                <w:lang w:eastAsia="pt-BR"/>
              </w:rPr>
            </w:pPr>
            <w:r w:rsidRPr="00113B0F">
              <w:rPr>
                <w:rFonts w:ascii="Arial Narrow" w:eastAsia="Times New Roman" w:hAnsi="Arial Narrow" w:cs="Arial"/>
                <w:b/>
                <w:bCs/>
                <w:sz w:val="16"/>
                <w:szCs w:val="16"/>
                <w:lang w:eastAsia="pt-BR"/>
              </w:rPr>
              <w:t>ABF.B043</w:t>
            </w:r>
          </w:p>
        </w:tc>
        <w:tc>
          <w:tcPr>
            <w:tcW w:w="1559" w:type="dxa"/>
            <w:tcBorders>
              <w:top w:val="nil"/>
              <w:left w:val="nil"/>
              <w:bottom w:val="nil"/>
              <w:right w:val="single" w:sz="8" w:space="0" w:color="auto"/>
            </w:tcBorders>
            <w:shd w:val="clear" w:color="auto" w:fill="auto"/>
            <w:vAlign w:val="center"/>
            <w:hideMark/>
          </w:tcPr>
          <w:p w14:paraId="28D871E1" w14:textId="77777777" w:rsidR="000643B5" w:rsidRPr="00113B0F" w:rsidRDefault="000643B5" w:rsidP="00080E19">
            <w:pPr>
              <w:spacing w:after="0" w:line="240" w:lineRule="auto"/>
              <w:jc w:val="center"/>
              <w:rPr>
                <w:rFonts w:ascii="Arial Narrow" w:eastAsia="Times New Roman" w:hAnsi="Arial Narrow" w:cs="Arial"/>
                <w:b/>
                <w:bCs/>
                <w:sz w:val="16"/>
                <w:szCs w:val="16"/>
                <w:lang w:eastAsia="pt-BR"/>
              </w:rPr>
            </w:pPr>
            <w:r w:rsidRPr="00113B0F">
              <w:rPr>
                <w:rFonts w:ascii="Arial Narrow" w:eastAsia="Times New Roman" w:hAnsi="Arial Narrow" w:cs="Arial"/>
                <w:b/>
                <w:bCs/>
                <w:sz w:val="16"/>
                <w:szCs w:val="16"/>
                <w:lang w:eastAsia="pt-BR"/>
              </w:rPr>
              <w:t>ABF.C043</w:t>
            </w:r>
          </w:p>
        </w:tc>
        <w:tc>
          <w:tcPr>
            <w:tcW w:w="1417" w:type="dxa"/>
            <w:tcBorders>
              <w:top w:val="nil"/>
              <w:left w:val="nil"/>
              <w:bottom w:val="nil"/>
              <w:right w:val="single" w:sz="8" w:space="0" w:color="auto"/>
            </w:tcBorders>
            <w:shd w:val="clear" w:color="auto" w:fill="auto"/>
            <w:vAlign w:val="center"/>
            <w:hideMark/>
          </w:tcPr>
          <w:p w14:paraId="12958E79" w14:textId="77777777" w:rsidR="000643B5" w:rsidRPr="00113B0F" w:rsidRDefault="000643B5" w:rsidP="00080E19">
            <w:pPr>
              <w:spacing w:after="0" w:line="240" w:lineRule="auto"/>
              <w:jc w:val="center"/>
              <w:rPr>
                <w:rFonts w:ascii="Arial Narrow" w:eastAsia="Times New Roman" w:hAnsi="Arial Narrow" w:cs="Arial"/>
                <w:b/>
                <w:bCs/>
                <w:sz w:val="16"/>
                <w:szCs w:val="16"/>
                <w:lang w:eastAsia="pt-BR"/>
              </w:rPr>
            </w:pPr>
            <w:r w:rsidRPr="00113B0F">
              <w:rPr>
                <w:rFonts w:ascii="Arial Narrow" w:eastAsia="Times New Roman" w:hAnsi="Arial Narrow" w:cs="Arial"/>
                <w:b/>
                <w:bCs/>
                <w:sz w:val="16"/>
                <w:szCs w:val="16"/>
                <w:lang w:eastAsia="pt-BR"/>
              </w:rPr>
              <w:t>ABF.D043</w:t>
            </w:r>
          </w:p>
        </w:tc>
        <w:tc>
          <w:tcPr>
            <w:tcW w:w="1276" w:type="dxa"/>
            <w:tcBorders>
              <w:top w:val="nil"/>
              <w:left w:val="nil"/>
              <w:bottom w:val="nil"/>
              <w:right w:val="single" w:sz="8" w:space="0" w:color="auto"/>
            </w:tcBorders>
            <w:shd w:val="clear" w:color="auto" w:fill="auto"/>
            <w:vAlign w:val="center"/>
            <w:hideMark/>
          </w:tcPr>
          <w:p w14:paraId="0E87613F" w14:textId="77777777" w:rsidR="000643B5" w:rsidRPr="00113B0F" w:rsidRDefault="000643B5" w:rsidP="00080E19">
            <w:pPr>
              <w:spacing w:after="0" w:line="240" w:lineRule="auto"/>
              <w:jc w:val="center"/>
              <w:rPr>
                <w:rFonts w:ascii="Arial Narrow" w:eastAsia="Times New Roman" w:hAnsi="Arial Narrow" w:cs="Arial"/>
                <w:b/>
                <w:bCs/>
                <w:sz w:val="16"/>
                <w:szCs w:val="16"/>
                <w:lang w:eastAsia="pt-BR"/>
              </w:rPr>
            </w:pPr>
            <w:r w:rsidRPr="00113B0F">
              <w:rPr>
                <w:rFonts w:ascii="Arial Narrow" w:eastAsia="Times New Roman" w:hAnsi="Arial Narrow" w:cs="Arial"/>
                <w:b/>
                <w:bCs/>
                <w:sz w:val="16"/>
                <w:szCs w:val="16"/>
                <w:lang w:eastAsia="pt-BR"/>
              </w:rPr>
              <w:t>ABF.E043</w:t>
            </w:r>
          </w:p>
        </w:tc>
        <w:tc>
          <w:tcPr>
            <w:tcW w:w="1559" w:type="dxa"/>
            <w:gridSpan w:val="2"/>
            <w:tcBorders>
              <w:top w:val="nil"/>
              <w:left w:val="nil"/>
              <w:bottom w:val="nil"/>
              <w:right w:val="single" w:sz="8" w:space="0" w:color="auto"/>
            </w:tcBorders>
            <w:shd w:val="clear" w:color="auto" w:fill="auto"/>
            <w:vAlign w:val="center"/>
            <w:hideMark/>
          </w:tcPr>
          <w:p w14:paraId="7AAA6495" w14:textId="77777777" w:rsidR="000643B5" w:rsidRPr="00113B0F" w:rsidRDefault="000643B5" w:rsidP="00080E19">
            <w:pPr>
              <w:spacing w:after="0" w:line="240" w:lineRule="auto"/>
              <w:jc w:val="center"/>
              <w:rPr>
                <w:rFonts w:ascii="Arial Narrow" w:eastAsia="Times New Roman" w:hAnsi="Arial Narrow" w:cs="Arial"/>
                <w:b/>
                <w:bCs/>
                <w:sz w:val="16"/>
                <w:szCs w:val="16"/>
                <w:lang w:eastAsia="pt-BR"/>
              </w:rPr>
            </w:pPr>
            <w:r w:rsidRPr="00113B0F">
              <w:rPr>
                <w:rFonts w:ascii="Arial Narrow" w:eastAsia="Times New Roman" w:hAnsi="Arial Narrow" w:cs="Arial"/>
                <w:b/>
                <w:bCs/>
                <w:sz w:val="16"/>
                <w:szCs w:val="16"/>
                <w:lang w:eastAsia="pt-BR"/>
              </w:rPr>
              <w:t>ABF.F043</w:t>
            </w:r>
          </w:p>
        </w:tc>
        <w:tc>
          <w:tcPr>
            <w:tcW w:w="1134" w:type="dxa"/>
            <w:gridSpan w:val="2"/>
            <w:tcBorders>
              <w:top w:val="nil"/>
              <w:left w:val="nil"/>
              <w:bottom w:val="nil"/>
              <w:right w:val="single" w:sz="8" w:space="0" w:color="auto"/>
            </w:tcBorders>
            <w:shd w:val="clear" w:color="auto" w:fill="auto"/>
            <w:vAlign w:val="center"/>
            <w:hideMark/>
          </w:tcPr>
          <w:p w14:paraId="75E198E5" w14:textId="77777777" w:rsidR="000643B5" w:rsidRPr="00113B0F" w:rsidRDefault="000643B5" w:rsidP="00080E19">
            <w:pPr>
              <w:spacing w:after="0" w:line="240" w:lineRule="auto"/>
              <w:jc w:val="center"/>
              <w:rPr>
                <w:rFonts w:ascii="Arial Narrow" w:eastAsia="Times New Roman" w:hAnsi="Arial Narrow" w:cs="Arial"/>
                <w:b/>
                <w:bCs/>
                <w:sz w:val="16"/>
                <w:szCs w:val="16"/>
                <w:lang w:eastAsia="pt-BR"/>
              </w:rPr>
            </w:pPr>
            <w:r w:rsidRPr="00113B0F">
              <w:rPr>
                <w:rFonts w:ascii="Arial Narrow" w:eastAsia="Times New Roman" w:hAnsi="Arial Narrow" w:cs="Arial"/>
                <w:b/>
                <w:bCs/>
                <w:sz w:val="16"/>
                <w:szCs w:val="16"/>
                <w:lang w:eastAsia="pt-BR"/>
              </w:rPr>
              <w:t>ABF.G043</w:t>
            </w:r>
          </w:p>
        </w:tc>
      </w:tr>
      <w:tr w:rsidR="000643B5" w:rsidRPr="00113B0F" w14:paraId="1F2D0720"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010D2316" w14:textId="77777777" w:rsidR="000643B5" w:rsidRPr="00113B0F" w:rsidRDefault="000643B5" w:rsidP="00080E19">
            <w:pPr>
              <w:spacing w:after="0" w:line="240" w:lineRule="auto"/>
              <w:ind w:firstLineChars="200" w:firstLine="320"/>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000 - CAUÇÕES E VALORES RESTITUÍVEIS</w:t>
            </w:r>
          </w:p>
        </w:tc>
        <w:tc>
          <w:tcPr>
            <w:tcW w:w="1276" w:type="dxa"/>
            <w:tcBorders>
              <w:top w:val="nil"/>
              <w:left w:val="nil"/>
              <w:bottom w:val="nil"/>
              <w:right w:val="single" w:sz="8" w:space="0" w:color="auto"/>
            </w:tcBorders>
            <w:shd w:val="clear" w:color="auto" w:fill="auto"/>
            <w:vAlign w:val="center"/>
            <w:hideMark/>
          </w:tcPr>
          <w:p w14:paraId="7007AD40"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ABF.B535</w:t>
            </w:r>
          </w:p>
        </w:tc>
        <w:tc>
          <w:tcPr>
            <w:tcW w:w="1559" w:type="dxa"/>
            <w:tcBorders>
              <w:top w:val="nil"/>
              <w:left w:val="nil"/>
              <w:bottom w:val="nil"/>
              <w:right w:val="single" w:sz="8" w:space="0" w:color="auto"/>
            </w:tcBorders>
            <w:shd w:val="clear" w:color="auto" w:fill="auto"/>
            <w:vAlign w:val="center"/>
            <w:hideMark/>
          </w:tcPr>
          <w:p w14:paraId="718E5B2C"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ABF.C535</w:t>
            </w:r>
          </w:p>
        </w:tc>
        <w:tc>
          <w:tcPr>
            <w:tcW w:w="1417" w:type="dxa"/>
            <w:tcBorders>
              <w:top w:val="nil"/>
              <w:left w:val="nil"/>
              <w:bottom w:val="nil"/>
              <w:right w:val="single" w:sz="8" w:space="0" w:color="auto"/>
            </w:tcBorders>
            <w:shd w:val="clear" w:color="auto" w:fill="auto"/>
            <w:vAlign w:val="center"/>
            <w:hideMark/>
          </w:tcPr>
          <w:p w14:paraId="7D4C9427"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ABF.D535</w:t>
            </w:r>
          </w:p>
        </w:tc>
        <w:tc>
          <w:tcPr>
            <w:tcW w:w="1276" w:type="dxa"/>
            <w:tcBorders>
              <w:top w:val="nil"/>
              <w:left w:val="nil"/>
              <w:bottom w:val="nil"/>
              <w:right w:val="single" w:sz="8" w:space="0" w:color="auto"/>
            </w:tcBorders>
            <w:shd w:val="clear" w:color="auto" w:fill="auto"/>
            <w:vAlign w:val="center"/>
            <w:hideMark/>
          </w:tcPr>
          <w:p w14:paraId="7DDC8F08"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ABF.E535</w:t>
            </w:r>
          </w:p>
        </w:tc>
        <w:tc>
          <w:tcPr>
            <w:tcW w:w="1559" w:type="dxa"/>
            <w:gridSpan w:val="2"/>
            <w:tcBorders>
              <w:top w:val="nil"/>
              <w:left w:val="nil"/>
              <w:bottom w:val="nil"/>
              <w:right w:val="single" w:sz="8" w:space="0" w:color="auto"/>
            </w:tcBorders>
            <w:shd w:val="clear" w:color="auto" w:fill="auto"/>
            <w:vAlign w:val="center"/>
            <w:hideMark/>
          </w:tcPr>
          <w:p w14:paraId="11681148"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ABF.F535</w:t>
            </w:r>
          </w:p>
        </w:tc>
        <w:tc>
          <w:tcPr>
            <w:tcW w:w="1134" w:type="dxa"/>
            <w:gridSpan w:val="2"/>
            <w:tcBorders>
              <w:top w:val="nil"/>
              <w:left w:val="nil"/>
              <w:bottom w:val="nil"/>
              <w:right w:val="single" w:sz="8" w:space="0" w:color="auto"/>
            </w:tcBorders>
            <w:shd w:val="clear" w:color="auto" w:fill="auto"/>
            <w:vAlign w:val="center"/>
            <w:hideMark/>
          </w:tcPr>
          <w:p w14:paraId="606BB5DF"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ABF.G535</w:t>
            </w:r>
          </w:p>
        </w:tc>
      </w:tr>
      <w:tr w:rsidR="000643B5" w:rsidRPr="00113B0F" w14:paraId="19E45C55"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1D772BAC" w14:textId="77777777" w:rsidR="000643B5" w:rsidRPr="00113B0F" w:rsidRDefault="000643B5" w:rsidP="00080E19">
            <w:pPr>
              <w:spacing w:after="0" w:line="240" w:lineRule="auto"/>
              <w:ind w:firstLineChars="200" w:firstLine="320"/>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107 - ROYALTIES, PARTICIPAÇÃO ESPECIAL E FUNDO ESPECIAL DO PETRÓLEO</w:t>
            </w:r>
          </w:p>
        </w:tc>
        <w:tc>
          <w:tcPr>
            <w:tcW w:w="1276" w:type="dxa"/>
            <w:tcBorders>
              <w:top w:val="nil"/>
              <w:left w:val="nil"/>
              <w:bottom w:val="nil"/>
              <w:right w:val="single" w:sz="8" w:space="0" w:color="auto"/>
            </w:tcBorders>
            <w:shd w:val="clear" w:color="auto" w:fill="auto"/>
            <w:vAlign w:val="center"/>
            <w:hideMark/>
          </w:tcPr>
          <w:p w14:paraId="7FD31F2D"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ABF.B594</w:t>
            </w:r>
          </w:p>
        </w:tc>
        <w:tc>
          <w:tcPr>
            <w:tcW w:w="1559" w:type="dxa"/>
            <w:tcBorders>
              <w:top w:val="nil"/>
              <w:left w:val="nil"/>
              <w:bottom w:val="nil"/>
              <w:right w:val="single" w:sz="8" w:space="0" w:color="auto"/>
            </w:tcBorders>
            <w:shd w:val="clear" w:color="auto" w:fill="auto"/>
            <w:vAlign w:val="center"/>
            <w:hideMark/>
          </w:tcPr>
          <w:p w14:paraId="615FFC4E"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ABF.C594</w:t>
            </w:r>
          </w:p>
        </w:tc>
        <w:tc>
          <w:tcPr>
            <w:tcW w:w="1417" w:type="dxa"/>
            <w:tcBorders>
              <w:top w:val="nil"/>
              <w:left w:val="nil"/>
              <w:bottom w:val="nil"/>
              <w:right w:val="single" w:sz="8" w:space="0" w:color="auto"/>
            </w:tcBorders>
            <w:shd w:val="clear" w:color="auto" w:fill="auto"/>
            <w:vAlign w:val="center"/>
            <w:hideMark/>
          </w:tcPr>
          <w:p w14:paraId="3A5F1906"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ABF.D594</w:t>
            </w:r>
          </w:p>
        </w:tc>
        <w:tc>
          <w:tcPr>
            <w:tcW w:w="1276" w:type="dxa"/>
            <w:tcBorders>
              <w:top w:val="nil"/>
              <w:left w:val="nil"/>
              <w:bottom w:val="nil"/>
              <w:right w:val="single" w:sz="8" w:space="0" w:color="auto"/>
            </w:tcBorders>
            <w:shd w:val="clear" w:color="auto" w:fill="auto"/>
            <w:vAlign w:val="center"/>
            <w:hideMark/>
          </w:tcPr>
          <w:p w14:paraId="6D4FC91A"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ABF.E594</w:t>
            </w:r>
          </w:p>
        </w:tc>
        <w:tc>
          <w:tcPr>
            <w:tcW w:w="1559" w:type="dxa"/>
            <w:gridSpan w:val="2"/>
            <w:tcBorders>
              <w:top w:val="nil"/>
              <w:left w:val="nil"/>
              <w:bottom w:val="nil"/>
              <w:right w:val="single" w:sz="8" w:space="0" w:color="auto"/>
            </w:tcBorders>
            <w:shd w:val="clear" w:color="auto" w:fill="auto"/>
            <w:vAlign w:val="center"/>
            <w:hideMark/>
          </w:tcPr>
          <w:p w14:paraId="28E2E70E"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ABF.F594</w:t>
            </w:r>
          </w:p>
        </w:tc>
        <w:tc>
          <w:tcPr>
            <w:tcW w:w="1134" w:type="dxa"/>
            <w:gridSpan w:val="2"/>
            <w:tcBorders>
              <w:top w:val="nil"/>
              <w:left w:val="nil"/>
              <w:bottom w:val="nil"/>
              <w:right w:val="single" w:sz="8" w:space="0" w:color="auto"/>
            </w:tcBorders>
            <w:shd w:val="clear" w:color="auto" w:fill="auto"/>
            <w:vAlign w:val="center"/>
            <w:hideMark/>
          </w:tcPr>
          <w:p w14:paraId="23C6BA43"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ABF.G594</w:t>
            </w:r>
          </w:p>
        </w:tc>
      </w:tr>
      <w:tr w:rsidR="000643B5" w:rsidRPr="00113B0F" w14:paraId="421B4167"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68B6E0FF" w14:textId="77777777" w:rsidR="000643B5" w:rsidRPr="00113B0F" w:rsidRDefault="000643B5" w:rsidP="00080E19">
            <w:pPr>
              <w:spacing w:after="0" w:line="240" w:lineRule="auto"/>
              <w:ind w:firstLineChars="200" w:firstLine="320"/>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108 - DISTRIBUIÇÃO DA CESSÃO ONEROSA DO BÔNUS DE ASSINATURA DO PRÉ-SAL - LEI Nº 13.885/2019</w:t>
            </w:r>
          </w:p>
        </w:tc>
        <w:tc>
          <w:tcPr>
            <w:tcW w:w="1276" w:type="dxa"/>
            <w:tcBorders>
              <w:top w:val="nil"/>
              <w:left w:val="nil"/>
              <w:bottom w:val="nil"/>
              <w:right w:val="single" w:sz="8" w:space="0" w:color="auto"/>
            </w:tcBorders>
            <w:shd w:val="clear" w:color="auto" w:fill="auto"/>
            <w:vAlign w:val="center"/>
            <w:hideMark/>
          </w:tcPr>
          <w:p w14:paraId="4AE298B6"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ABF.B595</w:t>
            </w:r>
          </w:p>
        </w:tc>
        <w:tc>
          <w:tcPr>
            <w:tcW w:w="1559" w:type="dxa"/>
            <w:tcBorders>
              <w:top w:val="nil"/>
              <w:left w:val="nil"/>
              <w:bottom w:val="nil"/>
              <w:right w:val="single" w:sz="8" w:space="0" w:color="auto"/>
            </w:tcBorders>
            <w:shd w:val="clear" w:color="auto" w:fill="auto"/>
            <w:vAlign w:val="center"/>
            <w:hideMark/>
          </w:tcPr>
          <w:p w14:paraId="7209648B"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ABF.C595</w:t>
            </w:r>
          </w:p>
        </w:tc>
        <w:tc>
          <w:tcPr>
            <w:tcW w:w="1417" w:type="dxa"/>
            <w:tcBorders>
              <w:top w:val="nil"/>
              <w:left w:val="nil"/>
              <w:bottom w:val="nil"/>
              <w:right w:val="single" w:sz="8" w:space="0" w:color="auto"/>
            </w:tcBorders>
            <w:shd w:val="clear" w:color="auto" w:fill="auto"/>
            <w:vAlign w:val="center"/>
            <w:hideMark/>
          </w:tcPr>
          <w:p w14:paraId="6D630DF2"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ABF.D595</w:t>
            </w:r>
          </w:p>
        </w:tc>
        <w:tc>
          <w:tcPr>
            <w:tcW w:w="1276" w:type="dxa"/>
            <w:tcBorders>
              <w:top w:val="nil"/>
              <w:left w:val="nil"/>
              <w:bottom w:val="nil"/>
              <w:right w:val="single" w:sz="8" w:space="0" w:color="auto"/>
            </w:tcBorders>
            <w:shd w:val="clear" w:color="auto" w:fill="auto"/>
            <w:vAlign w:val="center"/>
            <w:hideMark/>
          </w:tcPr>
          <w:p w14:paraId="0C1AFB06"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ABF.E595</w:t>
            </w:r>
          </w:p>
        </w:tc>
        <w:tc>
          <w:tcPr>
            <w:tcW w:w="1559" w:type="dxa"/>
            <w:gridSpan w:val="2"/>
            <w:tcBorders>
              <w:top w:val="nil"/>
              <w:left w:val="nil"/>
              <w:bottom w:val="nil"/>
              <w:right w:val="single" w:sz="8" w:space="0" w:color="auto"/>
            </w:tcBorders>
            <w:shd w:val="clear" w:color="auto" w:fill="auto"/>
            <w:vAlign w:val="center"/>
            <w:hideMark/>
          </w:tcPr>
          <w:p w14:paraId="021CBD45"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ABF.F595</w:t>
            </w:r>
          </w:p>
        </w:tc>
        <w:tc>
          <w:tcPr>
            <w:tcW w:w="1134" w:type="dxa"/>
            <w:gridSpan w:val="2"/>
            <w:tcBorders>
              <w:top w:val="nil"/>
              <w:left w:val="nil"/>
              <w:bottom w:val="nil"/>
              <w:right w:val="single" w:sz="8" w:space="0" w:color="auto"/>
            </w:tcBorders>
            <w:shd w:val="clear" w:color="auto" w:fill="auto"/>
            <w:vAlign w:val="center"/>
            <w:hideMark/>
          </w:tcPr>
          <w:p w14:paraId="2395BA5D"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ABF.G595</w:t>
            </w:r>
          </w:p>
        </w:tc>
      </w:tr>
      <w:tr w:rsidR="000643B5" w:rsidRPr="00113B0F" w14:paraId="05F89635"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2AA8DF11" w14:textId="77777777" w:rsidR="000643B5" w:rsidRPr="00113B0F" w:rsidRDefault="000643B5" w:rsidP="00080E19">
            <w:pPr>
              <w:spacing w:after="0" w:line="240" w:lineRule="auto"/>
              <w:ind w:firstLineChars="200" w:firstLine="320"/>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112 - SUPERÁVIT FINANCEIRO - DEC 2829-R, DE 17/08/11</w:t>
            </w:r>
          </w:p>
        </w:tc>
        <w:tc>
          <w:tcPr>
            <w:tcW w:w="1276" w:type="dxa"/>
            <w:tcBorders>
              <w:top w:val="nil"/>
              <w:left w:val="nil"/>
              <w:bottom w:val="nil"/>
              <w:right w:val="single" w:sz="8" w:space="0" w:color="auto"/>
            </w:tcBorders>
            <w:shd w:val="clear" w:color="auto" w:fill="auto"/>
            <w:vAlign w:val="center"/>
            <w:hideMark/>
          </w:tcPr>
          <w:p w14:paraId="2B825011"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ABF.B536</w:t>
            </w:r>
          </w:p>
        </w:tc>
        <w:tc>
          <w:tcPr>
            <w:tcW w:w="1559" w:type="dxa"/>
            <w:tcBorders>
              <w:top w:val="nil"/>
              <w:left w:val="nil"/>
              <w:bottom w:val="nil"/>
              <w:right w:val="single" w:sz="8" w:space="0" w:color="auto"/>
            </w:tcBorders>
            <w:shd w:val="clear" w:color="auto" w:fill="auto"/>
            <w:vAlign w:val="center"/>
            <w:hideMark/>
          </w:tcPr>
          <w:p w14:paraId="41465B31"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ABF.C536</w:t>
            </w:r>
          </w:p>
        </w:tc>
        <w:tc>
          <w:tcPr>
            <w:tcW w:w="1417" w:type="dxa"/>
            <w:tcBorders>
              <w:top w:val="nil"/>
              <w:left w:val="nil"/>
              <w:bottom w:val="nil"/>
              <w:right w:val="single" w:sz="8" w:space="0" w:color="auto"/>
            </w:tcBorders>
            <w:shd w:val="clear" w:color="auto" w:fill="auto"/>
            <w:vAlign w:val="center"/>
            <w:hideMark/>
          </w:tcPr>
          <w:p w14:paraId="4325376C"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ABF.D536</w:t>
            </w:r>
          </w:p>
        </w:tc>
        <w:tc>
          <w:tcPr>
            <w:tcW w:w="1276" w:type="dxa"/>
            <w:tcBorders>
              <w:top w:val="nil"/>
              <w:left w:val="nil"/>
              <w:bottom w:val="nil"/>
              <w:right w:val="single" w:sz="8" w:space="0" w:color="auto"/>
            </w:tcBorders>
            <w:shd w:val="clear" w:color="auto" w:fill="auto"/>
            <w:vAlign w:val="center"/>
            <w:hideMark/>
          </w:tcPr>
          <w:p w14:paraId="05CC1529"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ABF.E536</w:t>
            </w:r>
          </w:p>
        </w:tc>
        <w:tc>
          <w:tcPr>
            <w:tcW w:w="1559" w:type="dxa"/>
            <w:gridSpan w:val="2"/>
            <w:tcBorders>
              <w:top w:val="nil"/>
              <w:left w:val="nil"/>
              <w:bottom w:val="nil"/>
              <w:right w:val="single" w:sz="8" w:space="0" w:color="auto"/>
            </w:tcBorders>
            <w:shd w:val="clear" w:color="auto" w:fill="auto"/>
            <w:vAlign w:val="center"/>
            <w:hideMark/>
          </w:tcPr>
          <w:p w14:paraId="01548118"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ABF.F536</w:t>
            </w:r>
          </w:p>
        </w:tc>
        <w:tc>
          <w:tcPr>
            <w:tcW w:w="1134" w:type="dxa"/>
            <w:gridSpan w:val="2"/>
            <w:tcBorders>
              <w:top w:val="nil"/>
              <w:left w:val="nil"/>
              <w:bottom w:val="nil"/>
              <w:right w:val="single" w:sz="8" w:space="0" w:color="auto"/>
            </w:tcBorders>
            <w:shd w:val="clear" w:color="auto" w:fill="auto"/>
            <w:vAlign w:val="center"/>
            <w:hideMark/>
          </w:tcPr>
          <w:p w14:paraId="21E915DD"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ABF.G536</w:t>
            </w:r>
          </w:p>
        </w:tc>
      </w:tr>
      <w:tr w:rsidR="000643B5" w:rsidRPr="00113B0F" w14:paraId="4861D11F"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2CA722D8" w14:textId="77777777" w:rsidR="000643B5" w:rsidRPr="00113B0F" w:rsidRDefault="000643B5" w:rsidP="00080E19">
            <w:pPr>
              <w:spacing w:after="0" w:line="240" w:lineRule="auto"/>
              <w:ind w:firstLineChars="200" w:firstLine="320"/>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115 - ALIENAÇÃO DE BENS</w:t>
            </w:r>
          </w:p>
        </w:tc>
        <w:tc>
          <w:tcPr>
            <w:tcW w:w="1276" w:type="dxa"/>
            <w:tcBorders>
              <w:top w:val="nil"/>
              <w:left w:val="nil"/>
              <w:bottom w:val="nil"/>
              <w:right w:val="single" w:sz="8" w:space="0" w:color="auto"/>
            </w:tcBorders>
            <w:shd w:val="clear" w:color="auto" w:fill="auto"/>
            <w:vAlign w:val="center"/>
            <w:hideMark/>
          </w:tcPr>
          <w:p w14:paraId="22F0816A"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ABF.B537</w:t>
            </w:r>
          </w:p>
        </w:tc>
        <w:tc>
          <w:tcPr>
            <w:tcW w:w="1559" w:type="dxa"/>
            <w:tcBorders>
              <w:top w:val="nil"/>
              <w:left w:val="nil"/>
              <w:bottom w:val="nil"/>
              <w:right w:val="single" w:sz="8" w:space="0" w:color="auto"/>
            </w:tcBorders>
            <w:shd w:val="clear" w:color="auto" w:fill="auto"/>
            <w:vAlign w:val="center"/>
            <w:hideMark/>
          </w:tcPr>
          <w:p w14:paraId="7FA17F88"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ABF.C537</w:t>
            </w:r>
          </w:p>
        </w:tc>
        <w:tc>
          <w:tcPr>
            <w:tcW w:w="1417" w:type="dxa"/>
            <w:tcBorders>
              <w:top w:val="nil"/>
              <w:left w:val="nil"/>
              <w:bottom w:val="nil"/>
              <w:right w:val="single" w:sz="8" w:space="0" w:color="auto"/>
            </w:tcBorders>
            <w:shd w:val="clear" w:color="auto" w:fill="auto"/>
            <w:vAlign w:val="center"/>
            <w:hideMark/>
          </w:tcPr>
          <w:p w14:paraId="71A6798E"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ABF.D537</w:t>
            </w:r>
          </w:p>
        </w:tc>
        <w:tc>
          <w:tcPr>
            <w:tcW w:w="1276" w:type="dxa"/>
            <w:tcBorders>
              <w:top w:val="nil"/>
              <w:left w:val="nil"/>
              <w:bottom w:val="nil"/>
              <w:right w:val="single" w:sz="8" w:space="0" w:color="auto"/>
            </w:tcBorders>
            <w:shd w:val="clear" w:color="auto" w:fill="auto"/>
            <w:vAlign w:val="center"/>
            <w:hideMark/>
          </w:tcPr>
          <w:p w14:paraId="1A922976"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ABF.E537</w:t>
            </w:r>
          </w:p>
        </w:tc>
        <w:tc>
          <w:tcPr>
            <w:tcW w:w="1559" w:type="dxa"/>
            <w:gridSpan w:val="2"/>
            <w:tcBorders>
              <w:top w:val="nil"/>
              <w:left w:val="nil"/>
              <w:bottom w:val="nil"/>
              <w:right w:val="single" w:sz="8" w:space="0" w:color="auto"/>
            </w:tcBorders>
            <w:shd w:val="clear" w:color="auto" w:fill="auto"/>
            <w:vAlign w:val="center"/>
            <w:hideMark/>
          </w:tcPr>
          <w:p w14:paraId="744D447E"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ABF.F537</w:t>
            </w:r>
          </w:p>
        </w:tc>
        <w:tc>
          <w:tcPr>
            <w:tcW w:w="1134" w:type="dxa"/>
            <w:gridSpan w:val="2"/>
            <w:tcBorders>
              <w:top w:val="nil"/>
              <w:left w:val="nil"/>
              <w:bottom w:val="nil"/>
              <w:right w:val="single" w:sz="8" w:space="0" w:color="auto"/>
            </w:tcBorders>
            <w:shd w:val="clear" w:color="auto" w:fill="auto"/>
            <w:vAlign w:val="center"/>
            <w:hideMark/>
          </w:tcPr>
          <w:p w14:paraId="5349918E"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ABF.G537</w:t>
            </w:r>
          </w:p>
        </w:tc>
      </w:tr>
      <w:tr w:rsidR="000643B5" w:rsidRPr="00113B0F" w14:paraId="2615229B"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6BA0789D" w14:textId="77777777" w:rsidR="000643B5" w:rsidRPr="00113B0F" w:rsidRDefault="000643B5" w:rsidP="00080E19">
            <w:pPr>
              <w:spacing w:after="0" w:line="240" w:lineRule="auto"/>
              <w:ind w:firstLineChars="200" w:firstLine="320"/>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116 - DEPÓSITOS JUDICIAIS – LEI 10.549, DE 1º JULHO DE 2016</w:t>
            </w:r>
          </w:p>
        </w:tc>
        <w:tc>
          <w:tcPr>
            <w:tcW w:w="1276" w:type="dxa"/>
            <w:tcBorders>
              <w:top w:val="nil"/>
              <w:left w:val="nil"/>
              <w:bottom w:val="nil"/>
              <w:right w:val="single" w:sz="8" w:space="0" w:color="auto"/>
            </w:tcBorders>
            <w:shd w:val="clear" w:color="auto" w:fill="auto"/>
            <w:vAlign w:val="center"/>
            <w:hideMark/>
          </w:tcPr>
          <w:p w14:paraId="063FFD86"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ABF.B538</w:t>
            </w:r>
          </w:p>
        </w:tc>
        <w:tc>
          <w:tcPr>
            <w:tcW w:w="1559" w:type="dxa"/>
            <w:tcBorders>
              <w:top w:val="nil"/>
              <w:left w:val="nil"/>
              <w:bottom w:val="nil"/>
              <w:right w:val="single" w:sz="8" w:space="0" w:color="auto"/>
            </w:tcBorders>
            <w:shd w:val="clear" w:color="auto" w:fill="auto"/>
            <w:vAlign w:val="center"/>
            <w:hideMark/>
          </w:tcPr>
          <w:p w14:paraId="5FEDB31A"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ABF.C538</w:t>
            </w:r>
          </w:p>
        </w:tc>
        <w:tc>
          <w:tcPr>
            <w:tcW w:w="1417" w:type="dxa"/>
            <w:tcBorders>
              <w:top w:val="nil"/>
              <w:left w:val="nil"/>
              <w:bottom w:val="nil"/>
              <w:right w:val="single" w:sz="8" w:space="0" w:color="auto"/>
            </w:tcBorders>
            <w:shd w:val="clear" w:color="auto" w:fill="auto"/>
            <w:vAlign w:val="center"/>
            <w:hideMark/>
          </w:tcPr>
          <w:p w14:paraId="3CFCD9D7"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ABF.D538</w:t>
            </w:r>
          </w:p>
        </w:tc>
        <w:tc>
          <w:tcPr>
            <w:tcW w:w="1276" w:type="dxa"/>
            <w:tcBorders>
              <w:top w:val="nil"/>
              <w:left w:val="nil"/>
              <w:bottom w:val="nil"/>
              <w:right w:val="single" w:sz="8" w:space="0" w:color="auto"/>
            </w:tcBorders>
            <w:shd w:val="clear" w:color="auto" w:fill="auto"/>
            <w:vAlign w:val="center"/>
            <w:hideMark/>
          </w:tcPr>
          <w:p w14:paraId="4B3DEE70"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ABF.E538</w:t>
            </w:r>
          </w:p>
        </w:tc>
        <w:tc>
          <w:tcPr>
            <w:tcW w:w="1559" w:type="dxa"/>
            <w:gridSpan w:val="2"/>
            <w:tcBorders>
              <w:top w:val="nil"/>
              <w:left w:val="nil"/>
              <w:bottom w:val="nil"/>
              <w:right w:val="single" w:sz="8" w:space="0" w:color="auto"/>
            </w:tcBorders>
            <w:shd w:val="clear" w:color="auto" w:fill="auto"/>
            <w:vAlign w:val="center"/>
            <w:hideMark/>
          </w:tcPr>
          <w:p w14:paraId="21F116A8"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ABF.F538</w:t>
            </w:r>
          </w:p>
        </w:tc>
        <w:tc>
          <w:tcPr>
            <w:tcW w:w="1134" w:type="dxa"/>
            <w:gridSpan w:val="2"/>
            <w:tcBorders>
              <w:top w:val="nil"/>
              <w:left w:val="nil"/>
              <w:bottom w:val="nil"/>
              <w:right w:val="single" w:sz="8" w:space="0" w:color="auto"/>
            </w:tcBorders>
            <w:shd w:val="clear" w:color="auto" w:fill="auto"/>
            <w:vAlign w:val="center"/>
            <w:hideMark/>
          </w:tcPr>
          <w:p w14:paraId="38FEE7F3"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ABF.G538</w:t>
            </w:r>
          </w:p>
        </w:tc>
      </w:tr>
      <w:tr w:rsidR="000643B5" w:rsidRPr="00113B0F" w14:paraId="5FF2CE0D"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tcPr>
          <w:p w14:paraId="13DD592C" w14:textId="77777777" w:rsidR="000643B5" w:rsidRPr="00113B0F" w:rsidRDefault="000643B5" w:rsidP="00080E19">
            <w:pPr>
              <w:spacing w:after="0" w:line="240" w:lineRule="auto"/>
              <w:ind w:firstLineChars="200" w:firstLine="320"/>
              <w:rPr>
                <w:rFonts w:ascii="Arial Narrow" w:eastAsia="Times New Roman" w:hAnsi="Arial Narrow" w:cs="Arial"/>
                <w:sz w:val="16"/>
                <w:szCs w:val="16"/>
                <w:lang w:eastAsia="pt-BR"/>
              </w:rPr>
            </w:pPr>
            <w:r>
              <w:rPr>
                <w:rFonts w:ascii="Arial Narrow" w:eastAsia="Times New Roman" w:hAnsi="Arial Narrow" w:cs="Arial"/>
                <w:sz w:val="16"/>
                <w:szCs w:val="16"/>
                <w:lang w:eastAsia="pt-BR"/>
              </w:rPr>
              <w:t>129 – CONVÊNIOS COM INSTITUIÇÕES PRIVADAS</w:t>
            </w:r>
          </w:p>
        </w:tc>
        <w:tc>
          <w:tcPr>
            <w:tcW w:w="1276" w:type="dxa"/>
            <w:tcBorders>
              <w:top w:val="nil"/>
              <w:left w:val="nil"/>
              <w:bottom w:val="nil"/>
              <w:right w:val="single" w:sz="8" w:space="0" w:color="auto"/>
            </w:tcBorders>
            <w:shd w:val="clear" w:color="auto" w:fill="auto"/>
            <w:vAlign w:val="center"/>
          </w:tcPr>
          <w:p w14:paraId="2DB29DB0"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Pr>
                <w:rFonts w:ascii="Arial Narrow" w:eastAsia="Times New Roman" w:hAnsi="Arial Narrow" w:cs="Arial"/>
                <w:sz w:val="16"/>
                <w:szCs w:val="16"/>
                <w:lang w:eastAsia="pt-BR"/>
              </w:rPr>
              <w:t>ABF.B605</w:t>
            </w:r>
          </w:p>
        </w:tc>
        <w:tc>
          <w:tcPr>
            <w:tcW w:w="1559" w:type="dxa"/>
            <w:tcBorders>
              <w:top w:val="nil"/>
              <w:left w:val="nil"/>
              <w:bottom w:val="nil"/>
              <w:right w:val="single" w:sz="8" w:space="0" w:color="auto"/>
            </w:tcBorders>
            <w:shd w:val="clear" w:color="auto" w:fill="auto"/>
            <w:vAlign w:val="center"/>
          </w:tcPr>
          <w:p w14:paraId="38584553"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Pr>
                <w:rFonts w:ascii="Arial Narrow" w:eastAsia="Times New Roman" w:hAnsi="Arial Narrow" w:cs="Arial"/>
                <w:sz w:val="16"/>
                <w:szCs w:val="16"/>
                <w:lang w:eastAsia="pt-BR"/>
              </w:rPr>
              <w:t>ABF.C605</w:t>
            </w:r>
          </w:p>
        </w:tc>
        <w:tc>
          <w:tcPr>
            <w:tcW w:w="1417" w:type="dxa"/>
            <w:tcBorders>
              <w:top w:val="nil"/>
              <w:left w:val="nil"/>
              <w:bottom w:val="nil"/>
              <w:right w:val="single" w:sz="8" w:space="0" w:color="auto"/>
            </w:tcBorders>
            <w:shd w:val="clear" w:color="auto" w:fill="auto"/>
            <w:vAlign w:val="center"/>
          </w:tcPr>
          <w:p w14:paraId="2D685992"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Pr>
                <w:rFonts w:ascii="Arial Narrow" w:eastAsia="Times New Roman" w:hAnsi="Arial Narrow" w:cs="Arial"/>
                <w:sz w:val="16"/>
                <w:szCs w:val="16"/>
                <w:lang w:eastAsia="pt-BR"/>
              </w:rPr>
              <w:t>ABF.D605</w:t>
            </w:r>
          </w:p>
        </w:tc>
        <w:tc>
          <w:tcPr>
            <w:tcW w:w="1276" w:type="dxa"/>
            <w:tcBorders>
              <w:top w:val="nil"/>
              <w:left w:val="nil"/>
              <w:bottom w:val="nil"/>
              <w:right w:val="single" w:sz="8" w:space="0" w:color="auto"/>
            </w:tcBorders>
            <w:shd w:val="clear" w:color="auto" w:fill="auto"/>
            <w:vAlign w:val="center"/>
          </w:tcPr>
          <w:p w14:paraId="1740F668"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Pr>
                <w:rFonts w:ascii="Arial Narrow" w:eastAsia="Times New Roman" w:hAnsi="Arial Narrow" w:cs="Arial"/>
                <w:sz w:val="16"/>
                <w:szCs w:val="16"/>
                <w:lang w:eastAsia="pt-BR"/>
              </w:rPr>
              <w:t>ABF.E605</w:t>
            </w:r>
          </w:p>
        </w:tc>
        <w:tc>
          <w:tcPr>
            <w:tcW w:w="1559" w:type="dxa"/>
            <w:gridSpan w:val="2"/>
            <w:tcBorders>
              <w:top w:val="nil"/>
              <w:left w:val="nil"/>
              <w:bottom w:val="nil"/>
              <w:right w:val="single" w:sz="8" w:space="0" w:color="auto"/>
            </w:tcBorders>
            <w:shd w:val="clear" w:color="auto" w:fill="auto"/>
            <w:vAlign w:val="center"/>
          </w:tcPr>
          <w:p w14:paraId="3239A862"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Pr>
                <w:rFonts w:ascii="Arial Narrow" w:eastAsia="Times New Roman" w:hAnsi="Arial Narrow" w:cs="Arial"/>
                <w:sz w:val="16"/>
                <w:szCs w:val="16"/>
                <w:lang w:eastAsia="pt-BR"/>
              </w:rPr>
              <w:t>ABF.F605</w:t>
            </w:r>
          </w:p>
        </w:tc>
        <w:tc>
          <w:tcPr>
            <w:tcW w:w="1134" w:type="dxa"/>
            <w:gridSpan w:val="2"/>
            <w:tcBorders>
              <w:top w:val="nil"/>
              <w:left w:val="nil"/>
              <w:bottom w:val="nil"/>
              <w:right w:val="single" w:sz="8" w:space="0" w:color="auto"/>
            </w:tcBorders>
            <w:shd w:val="clear" w:color="auto" w:fill="auto"/>
            <w:vAlign w:val="center"/>
          </w:tcPr>
          <w:p w14:paraId="68FD7EB5"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Pr>
                <w:rFonts w:ascii="Arial Narrow" w:eastAsia="Times New Roman" w:hAnsi="Arial Narrow" w:cs="Arial"/>
                <w:sz w:val="16"/>
                <w:szCs w:val="16"/>
                <w:lang w:eastAsia="pt-BR"/>
              </w:rPr>
              <w:t>ABF.G605</w:t>
            </w:r>
          </w:p>
        </w:tc>
      </w:tr>
      <w:tr w:rsidR="000643B5" w:rsidRPr="00113B0F" w14:paraId="7CA12831"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00D7C2EF" w14:textId="77777777" w:rsidR="000643B5" w:rsidRPr="00113B0F" w:rsidRDefault="000643B5" w:rsidP="00080E19">
            <w:pPr>
              <w:spacing w:after="0" w:line="240" w:lineRule="auto"/>
              <w:ind w:firstLineChars="200" w:firstLine="320"/>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lastRenderedPageBreak/>
              <w:t>133 - CONVÊNIOS - UNIÃO</w:t>
            </w:r>
          </w:p>
        </w:tc>
        <w:tc>
          <w:tcPr>
            <w:tcW w:w="1276" w:type="dxa"/>
            <w:tcBorders>
              <w:top w:val="nil"/>
              <w:left w:val="nil"/>
              <w:bottom w:val="nil"/>
              <w:right w:val="single" w:sz="8" w:space="0" w:color="auto"/>
            </w:tcBorders>
            <w:shd w:val="clear" w:color="auto" w:fill="auto"/>
            <w:vAlign w:val="center"/>
            <w:hideMark/>
          </w:tcPr>
          <w:p w14:paraId="705E081D"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ABF.B539</w:t>
            </w:r>
          </w:p>
        </w:tc>
        <w:tc>
          <w:tcPr>
            <w:tcW w:w="1559" w:type="dxa"/>
            <w:tcBorders>
              <w:top w:val="nil"/>
              <w:left w:val="nil"/>
              <w:bottom w:val="nil"/>
              <w:right w:val="single" w:sz="8" w:space="0" w:color="auto"/>
            </w:tcBorders>
            <w:shd w:val="clear" w:color="auto" w:fill="auto"/>
            <w:vAlign w:val="center"/>
            <w:hideMark/>
          </w:tcPr>
          <w:p w14:paraId="626A30B4"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ABF.C539</w:t>
            </w:r>
          </w:p>
        </w:tc>
        <w:tc>
          <w:tcPr>
            <w:tcW w:w="1417" w:type="dxa"/>
            <w:tcBorders>
              <w:top w:val="nil"/>
              <w:left w:val="nil"/>
              <w:bottom w:val="nil"/>
              <w:right w:val="single" w:sz="8" w:space="0" w:color="auto"/>
            </w:tcBorders>
            <w:shd w:val="clear" w:color="auto" w:fill="auto"/>
            <w:vAlign w:val="center"/>
            <w:hideMark/>
          </w:tcPr>
          <w:p w14:paraId="1EDB4BA0"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ABF.D539</w:t>
            </w:r>
          </w:p>
        </w:tc>
        <w:tc>
          <w:tcPr>
            <w:tcW w:w="1276" w:type="dxa"/>
            <w:tcBorders>
              <w:top w:val="nil"/>
              <w:left w:val="nil"/>
              <w:bottom w:val="nil"/>
              <w:right w:val="single" w:sz="8" w:space="0" w:color="auto"/>
            </w:tcBorders>
            <w:shd w:val="clear" w:color="auto" w:fill="auto"/>
            <w:vAlign w:val="center"/>
            <w:hideMark/>
          </w:tcPr>
          <w:p w14:paraId="5DF0F19F"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ABF.E539</w:t>
            </w:r>
          </w:p>
        </w:tc>
        <w:tc>
          <w:tcPr>
            <w:tcW w:w="1559" w:type="dxa"/>
            <w:gridSpan w:val="2"/>
            <w:tcBorders>
              <w:top w:val="nil"/>
              <w:left w:val="nil"/>
              <w:bottom w:val="nil"/>
              <w:right w:val="single" w:sz="8" w:space="0" w:color="auto"/>
            </w:tcBorders>
            <w:shd w:val="clear" w:color="auto" w:fill="auto"/>
            <w:vAlign w:val="center"/>
            <w:hideMark/>
          </w:tcPr>
          <w:p w14:paraId="7F7238F3"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ABF.F539</w:t>
            </w:r>
          </w:p>
        </w:tc>
        <w:tc>
          <w:tcPr>
            <w:tcW w:w="1134" w:type="dxa"/>
            <w:gridSpan w:val="2"/>
            <w:tcBorders>
              <w:top w:val="nil"/>
              <w:left w:val="nil"/>
              <w:bottom w:val="nil"/>
              <w:right w:val="single" w:sz="8" w:space="0" w:color="auto"/>
            </w:tcBorders>
            <w:shd w:val="clear" w:color="auto" w:fill="auto"/>
            <w:vAlign w:val="center"/>
            <w:hideMark/>
          </w:tcPr>
          <w:p w14:paraId="5BFFBA76"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ABF.G539</w:t>
            </w:r>
          </w:p>
        </w:tc>
      </w:tr>
      <w:tr w:rsidR="000643B5" w:rsidRPr="00113B0F" w14:paraId="0C99AC75"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4D8FCC26" w14:textId="77777777" w:rsidR="000643B5" w:rsidRPr="00113B0F" w:rsidRDefault="000643B5" w:rsidP="00080E19">
            <w:pPr>
              <w:spacing w:after="0" w:line="240" w:lineRule="auto"/>
              <w:ind w:firstLineChars="200" w:firstLine="320"/>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136 - TRANSFERÊNCIAS CONSTITUCIONAIS A MUNICÍPIOS</w:t>
            </w:r>
          </w:p>
        </w:tc>
        <w:tc>
          <w:tcPr>
            <w:tcW w:w="1276" w:type="dxa"/>
            <w:tcBorders>
              <w:top w:val="nil"/>
              <w:left w:val="nil"/>
              <w:bottom w:val="nil"/>
              <w:right w:val="single" w:sz="8" w:space="0" w:color="auto"/>
            </w:tcBorders>
            <w:shd w:val="clear" w:color="auto" w:fill="auto"/>
            <w:vAlign w:val="center"/>
            <w:hideMark/>
          </w:tcPr>
          <w:p w14:paraId="20979A75"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ABF.B540</w:t>
            </w:r>
          </w:p>
        </w:tc>
        <w:tc>
          <w:tcPr>
            <w:tcW w:w="1559" w:type="dxa"/>
            <w:tcBorders>
              <w:top w:val="nil"/>
              <w:left w:val="nil"/>
              <w:bottom w:val="nil"/>
              <w:right w:val="single" w:sz="8" w:space="0" w:color="auto"/>
            </w:tcBorders>
            <w:shd w:val="clear" w:color="auto" w:fill="auto"/>
            <w:vAlign w:val="center"/>
            <w:hideMark/>
          </w:tcPr>
          <w:p w14:paraId="730D4D5F"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ABF.C540</w:t>
            </w:r>
          </w:p>
        </w:tc>
        <w:tc>
          <w:tcPr>
            <w:tcW w:w="1417" w:type="dxa"/>
            <w:tcBorders>
              <w:top w:val="nil"/>
              <w:left w:val="nil"/>
              <w:bottom w:val="nil"/>
              <w:right w:val="single" w:sz="8" w:space="0" w:color="auto"/>
            </w:tcBorders>
            <w:shd w:val="clear" w:color="auto" w:fill="auto"/>
            <w:vAlign w:val="center"/>
            <w:hideMark/>
          </w:tcPr>
          <w:p w14:paraId="605E31AB"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ABF.D540</w:t>
            </w:r>
          </w:p>
        </w:tc>
        <w:tc>
          <w:tcPr>
            <w:tcW w:w="1276" w:type="dxa"/>
            <w:tcBorders>
              <w:top w:val="nil"/>
              <w:left w:val="nil"/>
              <w:bottom w:val="nil"/>
              <w:right w:val="single" w:sz="8" w:space="0" w:color="auto"/>
            </w:tcBorders>
            <w:shd w:val="clear" w:color="auto" w:fill="auto"/>
            <w:vAlign w:val="center"/>
            <w:hideMark/>
          </w:tcPr>
          <w:p w14:paraId="18A44637"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ABF.E540</w:t>
            </w:r>
          </w:p>
        </w:tc>
        <w:tc>
          <w:tcPr>
            <w:tcW w:w="1559" w:type="dxa"/>
            <w:gridSpan w:val="2"/>
            <w:tcBorders>
              <w:top w:val="nil"/>
              <w:left w:val="nil"/>
              <w:bottom w:val="nil"/>
              <w:right w:val="single" w:sz="8" w:space="0" w:color="auto"/>
            </w:tcBorders>
            <w:shd w:val="clear" w:color="auto" w:fill="auto"/>
            <w:vAlign w:val="center"/>
            <w:hideMark/>
          </w:tcPr>
          <w:p w14:paraId="71265E54"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ABF.F540</w:t>
            </w:r>
          </w:p>
        </w:tc>
        <w:tc>
          <w:tcPr>
            <w:tcW w:w="1134" w:type="dxa"/>
            <w:gridSpan w:val="2"/>
            <w:tcBorders>
              <w:top w:val="nil"/>
              <w:left w:val="nil"/>
              <w:bottom w:val="nil"/>
              <w:right w:val="single" w:sz="8" w:space="0" w:color="auto"/>
            </w:tcBorders>
            <w:shd w:val="clear" w:color="auto" w:fill="auto"/>
            <w:vAlign w:val="center"/>
            <w:hideMark/>
          </w:tcPr>
          <w:p w14:paraId="67FDBF1D"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ABF.G540</w:t>
            </w:r>
          </w:p>
        </w:tc>
      </w:tr>
      <w:tr w:rsidR="000643B5" w:rsidRPr="00113B0F" w14:paraId="17357271"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7E79ADB6" w14:textId="77777777" w:rsidR="000643B5" w:rsidRPr="00113B0F" w:rsidRDefault="000643B5" w:rsidP="00080E19">
            <w:pPr>
              <w:spacing w:after="0" w:line="240" w:lineRule="auto"/>
              <w:ind w:firstLineChars="200" w:firstLine="320"/>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138 - FUNDAP</w:t>
            </w:r>
          </w:p>
        </w:tc>
        <w:tc>
          <w:tcPr>
            <w:tcW w:w="1276" w:type="dxa"/>
            <w:tcBorders>
              <w:top w:val="nil"/>
              <w:left w:val="nil"/>
              <w:bottom w:val="nil"/>
              <w:right w:val="single" w:sz="8" w:space="0" w:color="auto"/>
            </w:tcBorders>
            <w:shd w:val="clear" w:color="auto" w:fill="auto"/>
            <w:vAlign w:val="center"/>
            <w:hideMark/>
          </w:tcPr>
          <w:p w14:paraId="1D0A1B93"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ABF.B541</w:t>
            </w:r>
          </w:p>
        </w:tc>
        <w:tc>
          <w:tcPr>
            <w:tcW w:w="1559" w:type="dxa"/>
            <w:tcBorders>
              <w:top w:val="nil"/>
              <w:left w:val="nil"/>
              <w:bottom w:val="nil"/>
              <w:right w:val="single" w:sz="8" w:space="0" w:color="auto"/>
            </w:tcBorders>
            <w:shd w:val="clear" w:color="auto" w:fill="auto"/>
            <w:vAlign w:val="center"/>
            <w:hideMark/>
          </w:tcPr>
          <w:p w14:paraId="27D0A501"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ABF.C541</w:t>
            </w:r>
          </w:p>
        </w:tc>
        <w:tc>
          <w:tcPr>
            <w:tcW w:w="1417" w:type="dxa"/>
            <w:tcBorders>
              <w:top w:val="nil"/>
              <w:left w:val="nil"/>
              <w:bottom w:val="nil"/>
              <w:right w:val="single" w:sz="8" w:space="0" w:color="auto"/>
            </w:tcBorders>
            <w:shd w:val="clear" w:color="auto" w:fill="auto"/>
            <w:vAlign w:val="center"/>
            <w:hideMark/>
          </w:tcPr>
          <w:p w14:paraId="0A56DF99"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ABF.D541</w:t>
            </w:r>
          </w:p>
        </w:tc>
        <w:tc>
          <w:tcPr>
            <w:tcW w:w="1276" w:type="dxa"/>
            <w:tcBorders>
              <w:top w:val="nil"/>
              <w:left w:val="nil"/>
              <w:bottom w:val="nil"/>
              <w:right w:val="single" w:sz="8" w:space="0" w:color="auto"/>
            </w:tcBorders>
            <w:shd w:val="clear" w:color="auto" w:fill="auto"/>
            <w:vAlign w:val="center"/>
            <w:hideMark/>
          </w:tcPr>
          <w:p w14:paraId="41CCA7F4"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ABF.E541</w:t>
            </w:r>
          </w:p>
        </w:tc>
        <w:tc>
          <w:tcPr>
            <w:tcW w:w="1559" w:type="dxa"/>
            <w:gridSpan w:val="2"/>
            <w:tcBorders>
              <w:top w:val="nil"/>
              <w:left w:val="nil"/>
              <w:bottom w:val="nil"/>
              <w:right w:val="single" w:sz="8" w:space="0" w:color="auto"/>
            </w:tcBorders>
            <w:shd w:val="clear" w:color="auto" w:fill="auto"/>
            <w:vAlign w:val="center"/>
            <w:hideMark/>
          </w:tcPr>
          <w:p w14:paraId="63541E65"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ABF.F541</w:t>
            </w:r>
          </w:p>
        </w:tc>
        <w:tc>
          <w:tcPr>
            <w:tcW w:w="1134" w:type="dxa"/>
            <w:gridSpan w:val="2"/>
            <w:tcBorders>
              <w:top w:val="nil"/>
              <w:left w:val="nil"/>
              <w:bottom w:val="nil"/>
              <w:right w:val="single" w:sz="8" w:space="0" w:color="auto"/>
            </w:tcBorders>
            <w:shd w:val="clear" w:color="auto" w:fill="auto"/>
            <w:vAlign w:val="center"/>
            <w:hideMark/>
          </w:tcPr>
          <w:p w14:paraId="2D1EF1F8"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ABF.G541</w:t>
            </w:r>
          </w:p>
        </w:tc>
      </w:tr>
      <w:tr w:rsidR="000643B5" w:rsidRPr="00113B0F" w14:paraId="6236C0D4"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78740721" w14:textId="77777777" w:rsidR="000643B5" w:rsidRPr="00113B0F" w:rsidRDefault="000643B5" w:rsidP="00080E19">
            <w:pPr>
              <w:spacing w:after="0" w:line="240" w:lineRule="auto"/>
              <w:ind w:firstLineChars="200" w:firstLine="320"/>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139 - DOAÇÕES</w:t>
            </w:r>
          </w:p>
        </w:tc>
        <w:tc>
          <w:tcPr>
            <w:tcW w:w="1276" w:type="dxa"/>
            <w:tcBorders>
              <w:top w:val="nil"/>
              <w:left w:val="nil"/>
              <w:bottom w:val="nil"/>
              <w:right w:val="single" w:sz="8" w:space="0" w:color="auto"/>
            </w:tcBorders>
            <w:shd w:val="clear" w:color="auto" w:fill="auto"/>
            <w:vAlign w:val="center"/>
            <w:hideMark/>
          </w:tcPr>
          <w:p w14:paraId="16427207"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ABF.B542</w:t>
            </w:r>
          </w:p>
        </w:tc>
        <w:tc>
          <w:tcPr>
            <w:tcW w:w="1559" w:type="dxa"/>
            <w:tcBorders>
              <w:top w:val="nil"/>
              <w:left w:val="nil"/>
              <w:bottom w:val="nil"/>
              <w:right w:val="single" w:sz="8" w:space="0" w:color="auto"/>
            </w:tcBorders>
            <w:shd w:val="clear" w:color="auto" w:fill="auto"/>
            <w:vAlign w:val="center"/>
            <w:hideMark/>
          </w:tcPr>
          <w:p w14:paraId="0E1D45E5"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ABF.C542</w:t>
            </w:r>
          </w:p>
        </w:tc>
        <w:tc>
          <w:tcPr>
            <w:tcW w:w="1417" w:type="dxa"/>
            <w:tcBorders>
              <w:top w:val="nil"/>
              <w:left w:val="nil"/>
              <w:bottom w:val="nil"/>
              <w:right w:val="single" w:sz="8" w:space="0" w:color="auto"/>
            </w:tcBorders>
            <w:shd w:val="clear" w:color="auto" w:fill="auto"/>
            <w:vAlign w:val="center"/>
            <w:hideMark/>
          </w:tcPr>
          <w:p w14:paraId="140F2362"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ABF.D542</w:t>
            </w:r>
          </w:p>
        </w:tc>
        <w:tc>
          <w:tcPr>
            <w:tcW w:w="1276" w:type="dxa"/>
            <w:tcBorders>
              <w:top w:val="nil"/>
              <w:left w:val="nil"/>
              <w:bottom w:val="nil"/>
              <w:right w:val="single" w:sz="8" w:space="0" w:color="auto"/>
            </w:tcBorders>
            <w:shd w:val="clear" w:color="auto" w:fill="auto"/>
            <w:vAlign w:val="center"/>
            <w:hideMark/>
          </w:tcPr>
          <w:p w14:paraId="23CD1B21"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ABF.E542</w:t>
            </w:r>
          </w:p>
        </w:tc>
        <w:tc>
          <w:tcPr>
            <w:tcW w:w="1559" w:type="dxa"/>
            <w:gridSpan w:val="2"/>
            <w:tcBorders>
              <w:top w:val="nil"/>
              <w:left w:val="nil"/>
              <w:bottom w:val="nil"/>
              <w:right w:val="single" w:sz="8" w:space="0" w:color="auto"/>
            </w:tcBorders>
            <w:shd w:val="clear" w:color="auto" w:fill="auto"/>
            <w:vAlign w:val="center"/>
            <w:hideMark/>
          </w:tcPr>
          <w:p w14:paraId="0E968121"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ABF.F542</w:t>
            </w:r>
          </w:p>
        </w:tc>
        <w:tc>
          <w:tcPr>
            <w:tcW w:w="1134" w:type="dxa"/>
            <w:gridSpan w:val="2"/>
            <w:tcBorders>
              <w:top w:val="nil"/>
              <w:left w:val="nil"/>
              <w:bottom w:val="nil"/>
              <w:right w:val="single" w:sz="8" w:space="0" w:color="auto"/>
            </w:tcBorders>
            <w:shd w:val="clear" w:color="auto" w:fill="auto"/>
            <w:vAlign w:val="center"/>
            <w:hideMark/>
          </w:tcPr>
          <w:p w14:paraId="3EE4950C"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ABF.G542</w:t>
            </w:r>
          </w:p>
        </w:tc>
      </w:tr>
      <w:tr w:rsidR="000643B5" w:rsidRPr="00113B0F" w14:paraId="2FBA3093"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69906C31" w14:textId="77777777" w:rsidR="000643B5" w:rsidRPr="00113B0F" w:rsidRDefault="000643B5" w:rsidP="00080E19">
            <w:pPr>
              <w:spacing w:after="0" w:line="240" w:lineRule="auto"/>
              <w:ind w:firstLineChars="200" w:firstLine="320"/>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141 - CONVÊNIOS COM ÓRGÃOS NÃO FEDERAIS</w:t>
            </w:r>
          </w:p>
        </w:tc>
        <w:tc>
          <w:tcPr>
            <w:tcW w:w="1276" w:type="dxa"/>
            <w:tcBorders>
              <w:top w:val="nil"/>
              <w:left w:val="nil"/>
              <w:bottom w:val="nil"/>
              <w:right w:val="single" w:sz="8" w:space="0" w:color="auto"/>
            </w:tcBorders>
            <w:shd w:val="clear" w:color="auto" w:fill="auto"/>
            <w:vAlign w:val="center"/>
            <w:hideMark/>
          </w:tcPr>
          <w:p w14:paraId="64937235"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ABF.B543</w:t>
            </w:r>
          </w:p>
        </w:tc>
        <w:tc>
          <w:tcPr>
            <w:tcW w:w="1559" w:type="dxa"/>
            <w:tcBorders>
              <w:top w:val="nil"/>
              <w:left w:val="nil"/>
              <w:bottom w:val="nil"/>
              <w:right w:val="single" w:sz="8" w:space="0" w:color="auto"/>
            </w:tcBorders>
            <w:shd w:val="clear" w:color="auto" w:fill="auto"/>
            <w:vAlign w:val="center"/>
            <w:hideMark/>
          </w:tcPr>
          <w:p w14:paraId="0791565D"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ABF.C543</w:t>
            </w:r>
          </w:p>
        </w:tc>
        <w:tc>
          <w:tcPr>
            <w:tcW w:w="1417" w:type="dxa"/>
            <w:tcBorders>
              <w:top w:val="nil"/>
              <w:left w:val="nil"/>
              <w:bottom w:val="nil"/>
              <w:right w:val="single" w:sz="8" w:space="0" w:color="auto"/>
            </w:tcBorders>
            <w:shd w:val="clear" w:color="auto" w:fill="auto"/>
            <w:vAlign w:val="center"/>
            <w:hideMark/>
          </w:tcPr>
          <w:p w14:paraId="6DAAF1F8"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ABF.D543</w:t>
            </w:r>
          </w:p>
        </w:tc>
        <w:tc>
          <w:tcPr>
            <w:tcW w:w="1276" w:type="dxa"/>
            <w:tcBorders>
              <w:top w:val="nil"/>
              <w:left w:val="nil"/>
              <w:bottom w:val="nil"/>
              <w:right w:val="single" w:sz="8" w:space="0" w:color="auto"/>
            </w:tcBorders>
            <w:shd w:val="clear" w:color="auto" w:fill="auto"/>
            <w:vAlign w:val="center"/>
            <w:hideMark/>
          </w:tcPr>
          <w:p w14:paraId="52119C2C"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ABF.E543</w:t>
            </w:r>
          </w:p>
        </w:tc>
        <w:tc>
          <w:tcPr>
            <w:tcW w:w="1559" w:type="dxa"/>
            <w:gridSpan w:val="2"/>
            <w:tcBorders>
              <w:top w:val="nil"/>
              <w:left w:val="nil"/>
              <w:bottom w:val="nil"/>
              <w:right w:val="single" w:sz="8" w:space="0" w:color="auto"/>
            </w:tcBorders>
            <w:shd w:val="clear" w:color="auto" w:fill="auto"/>
            <w:vAlign w:val="center"/>
            <w:hideMark/>
          </w:tcPr>
          <w:p w14:paraId="08A11F2D"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ABF.F543</w:t>
            </w:r>
          </w:p>
        </w:tc>
        <w:tc>
          <w:tcPr>
            <w:tcW w:w="1134" w:type="dxa"/>
            <w:gridSpan w:val="2"/>
            <w:tcBorders>
              <w:top w:val="nil"/>
              <w:left w:val="nil"/>
              <w:bottom w:val="nil"/>
              <w:right w:val="single" w:sz="8" w:space="0" w:color="auto"/>
            </w:tcBorders>
            <w:shd w:val="clear" w:color="auto" w:fill="auto"/>
            <w:vAlign w:val="center"/>
            <w:hideMark/>
          </w:tcPr>
          <w:p w14:paraId="2835B700"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ABF.G543</w:t>
            </w:r>
          </w:p>
        </w:tc>
      </w:tr>
      <w:tr w:rsidR="000643B5" w:rsidRPr="00113B0F" w14:paraId="21EC117E"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14E64C60" w14:textId="77777777" w:rsidR="000643B5" w:rsidRPr="00113B0F" w:rsidRDefault="000643B5" w:rsidP="00080E19">
            <w:pPr>
              <w:spacing w:after="0" w:line="240" w:lineRule="auto"/>
              <w:ind w:firstLineChars="200" w:firstLine="320"/>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142 - OPERAÇÕES DE CRÉDITO INTERNAS</w:t>
            </w:r>
          </w:p>
        </w:tc>
        <w:tc>
          <w:tcPr>
            <w:tcW w:w="1276" w:type="dxa"/>
            <w:tcBorders>
              <w:top w:val="nil"/>
              <w:left w:val="nil"/>
              <w:bottom w:val="nil"/>
              <w:right w:val="single" w:sz="8" w:space="0" w:color="auto"/>
            </w:tcBorders>
            <w:shd w:val="clear" w:color="auto" w:fill="auto"/>
            <w:vAlign w:val="center"/>
            <w:hideMark/>
          </w:tcPr>
          <w:p w14:paraId="620CB19A"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ABF.B544</w:t>
            </w:r>
          </w:p>
        </w:tc>
        <w:tc>
          <w:tcPr>
            <w:tcW w:w="1559" w:type="dxa"/>
            <w:tcBorders>
              <w:top w:val="nil"/>
              <w:left w:val="nil"/>
              <w:bottom w:val="nil"/>
              <w:right w:val="single" w:sz="8" w:space="0" w:color="auto"/>
            </w:tcBorders>
            <w:shd w:val="clear" w:color="auto" w:fill="auto"/>
            <w:vAlign w:val="center"/>
            <w:hideMark/>
          </w:tcPr>
          <w:p w14:paraId="1C0639AA"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ABF.C544</w:t>
            </w:r>
          </w:p>
        </w:tc>
        <w:tc>
          <w:tcPr>
            <w:tcW w:w="1417" w:type="dxa"/>
            <w:tcBorders>
              <w:top w:val="nil"/>
              <w:left w:val="nil"/>
              <w:bottom w:val="nil"/>
              <w:right w:val="single" w:sz="8" w:space="0" w:color="auto"/>
            </w:tcBorders>
            <w:shd w:val="clear" w:color="auto" w:fill="auto"/>
            <w:vAlign w:val="center"/>
            <w:hideMark/>
          </w:tcPr>
          <w:p w14:paraId="35DEE4A2"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ABF.D544</w:t>
            </w:r>
          </w:p>
        </w:tc>
        <w:tc>
          <w:tcPr>
            <w:tcW w:w="1276" w:type="dxa"/>
            <w:tcBorders>
              <w:top w:val="nil"/>
              <w:left w:val="nil"/>
              <w:bottom w:val="nil"/>
              <w:right w:val="single" w:sz="8" w:space="0" w:color="auto"/>
            </w:tcBorders>
            <w:shd w:val="clear" w:color="auto" w:fill="auto"/>
            <w:vAlign w:val="center"/>
            <w:hideMark/>
          </w:tcPr>
          <w:p w14:paraId="42F5E555"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ABF.E544</w:t>
            </w:r>
          </w:p>
        </w:tc>
        <w:tc>
          <w:tcPr>
            <w:tcW w:w="1559" w:type="dxa"/>
            <w:gridSpan w:val="2"/>
            <w:tcBorders>
              <w:top w:val="nil"/>
              <w:left w:val="nil"/>
              <w:bottom w:val="nil"/>
              <w:right w:val="single" w:sz="8" w:space="0" w:color="auto"/>
            </w:tcBorders>
            <w:shd w:val="clear" w:color="auto" w:fill="auto"/>
            <w:vAlign w:val="center"/>
            <w:hideMark/>
          </w:tcPr>
          <w:p w14:paraId="6E6BB67B"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ABF.F544</w:t>
            </w:r>
          </w:p>
        </w:tc>
        <w:tc>
          <w:tcPr>
            <w:tcW w:w="1134" w:type="dxa"/>
            <w:gridSpan w:val="2"/>
            <w:tcBorders>
              <w:top w:val="nil"/>
              <w:left w:val="nil"/>
              <w:bottom w:val="nil"/>
              <w:right w:val="single" w:sz="8" w:space="0" w:color="auto"/>
            </w:tcBorders>
            <w:shd w:val="clear" w:color="auto" w:fill="auto"/>
            <w:vAlign w:val="center"/>
            <w:hideMark/>
          </w:tcPr>
          <w:p w14:paraId="35448D43"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ABF.G544</w:t>
            </w:r>
          </w:p>
        </w:tc>
      </w:tr>
      <w:tr w:rsidR="000643B5" w:rsidRPr="00113B0F" w14:paraId="22F5E88B"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7867D38E" w14:textId="77777777" w:rsidR="000643B5" w:rsidRPr="00113B0F" w:rsidRDefault="000643B5" w:rsidP="00080E19">
            <w:pPr>
              <w:spacing w:after="0" w:line="240" w:lineRule="auto"/>
              <w:ind w:firstLineChars="200" w:firstLine="320"/>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143 - OPERAÇÕES DE CRÉDITO EXTERNAS</w:t>
            </w:r>
          </w:p>
        </w:tc>
        <w:tc>
          <w:tcPr>
            <w:tcW w:w="1276" w:type="dxa"/>
            <w:tcBorders>
              <w:top w:val="nil"/>
              <w:left w:val="nil"/>
              <w:bottom w:val="nil"/>
              <w:right w:val="single" w:sz="8" w:space="0" w:color="auto"/>
            </w:tcBorders>
            <w:shd w:val="clear" w:color="auto" w:fill="auto"/>
            <w:vAlign w:val="center"/>
            <w:hideMark/>
          </w:tcPr>
          <w:p w14:paraId="422BE50C"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ABF.B545</w:t>
            </w:r>
          </w:p>
        </w:tc>
        <w:tc>
          <w:tcPr>
            <w:tcW w:w="1559" w:type="dxa"/>
            <w:tcBorders>
              <w:top w:val="nil"/>
              <w:left w:val="nil"/>
              <w:bottom w:val="nil"/>
              <w:right w:val="single" w:sz="8" w:space="0" w:color="auto"/>
            </w:tcBorders>
            <w:shd w:val="clear" w:color="auto" w:fill="auto"/>
            <w:vAlign w:val="center"/>
            <w:hideMark/>
          </w:tcPr>
          <w:p w14:paraId="28FEDDF2"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ABF.C545</w:t>
            </w:r>
          </w:p>
        </w:tc>
        <w:tc>
          <w:tcPr>
            <w:tcW w:w="1417" w:type="dxa"/>
            <w:tcBorders>
              <w:top w:val="nil"/>
              <w:left w:val="nil"/>
              <w:bottom w:val="nil"/>
              <w:right w:val="single" w:sz="8" w:space="0" w:color="auto"/>
            </w:tcBorders>
            <w:shd w:val="clear" w:color="auto" w:fill="auto"/>
            <w:vAlign w:val="center"/>
            <w:hideMark/>
          </w:tcPr>
          <w:p w14:paraId="5495458F"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ABF.D545</w:t>
            </w:r>
          </w:p>
        </w:tc>
        <w:tc>
          <w:tcPr>
            <w:tcW w:w="1276" w:type="dxa"/>
            <w:tcBorders>
              <w:top w:val="nil"/>
              <w:left w:val="nil"/>
              <w:bottom w:val="nil"/>
              <w:right w:val="single" w:sz="8" w:space="0" w:color="auto"/>
            </w:tcBorders>
            <w:shd w:val="clear" w:color="auto" w:fill="auto"/>
            <w:vAlign w:val="center"/>
            <w:hideMark/>
          </w:tcPr>
          <w:p w14:paraId="7D9A6513"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ABF.E545</w:t>
            </w:r>
          </w:p>
        </w:tc>
        <w:tc>
          <w:tcPr>
            <w:tcW w:w="1559" w:type="dxa"/>
            <w:gridSpan w:val="2"/>
            <w:tcBorders>
              <w:top w:val="nil"/>
              <w:left w:val="nil"/>
              <w:bottom w:val="nil"/>
              <w:right w:val="single" w:sz="8" w:space="0" w:color="auto"/>
            </w:tcBorders>
            <w:shd w:val="clear" w:color="auto" w:fill="auto"/>
            <w:vAlign w:val="center"/>
            <w:hideMark/>
          </w:tcPr>
          <w:p w14:paraId="272479D9"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ABF.F545</w:t>
            </w:r>
          </w:p>
        </w:tc>
        <w:tc>
          <w:tcPr>
            <w:tcW w:w="1134" w:type="dxa"/>
            <w:gridSpan w:val="2"/>
            <w:tcBorders>
              <w:top w:val="nil"/>
              <w:left w:val="nil"/>
              <w:bottom w:val="nil"/>
              <w:right w:val="single" w:sz="8" w:space="0" w:color="auto"/>
            </w:tcBorders>
            <w:shd w:val="clear" w:color="auto" w:fill="auto"/>
            <w:vAlign w:val="center"/>
            <w:hideMark/>
          </w:tcPr>
          <w:p w14:paraId="3D633BB2"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ABF.G545</w:t>
            </w:r>
          </w:p>
        </w:tc>
      </w:tr>
      <w:tr w:rsidR="000643B5" w:rsidRPr="00113B0F" w14:paraId="73F0B787"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4EE6DDE8" w14:textId="77777777" w:rsidR="000643B5" w:rsidRPr="00113B0F" w:rsidRDefault="000643B5" w:rsidP="00080E19">
            <w:pPr>
              <w:spacing w:after="0" w:line="240" w:lineRule="auto"/>
              <w:ind w:firstLineChars="200" w:firstLine="320"/>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144 - TRANSFERÊNCIAS A MUNICÍPIOS - CIDE</w:t>
            </w:r>
          </w:p>
        </w:tc>
        <w:tc>
          <w:tcPr>
            <w:tcW w:w="1276" w:type="dxa"/>
            <w:tcBorders>
              <w:top w:val="nil"/>
              <w:left w:val="nil"/>
              <w:bottom w:val="nil"/>
              <w:right w:val="single" w:sz="8" w:space="0" w:color="auto"/>
            </w:tcBorders>
            <w:shd w:val="clear" w:color="auto" w:fill="auto"/>
            <w:vAlign w:val="center"/>
            <w:hideMark/>
          </w:tcPr>
          <w:p w14:paraId="09DBFD14"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ABF.B546</w:t>
            </w:r>
          </w:p>
        </w:tc>
        <w:tc>
          <w:tcPr>
            <w:tcW w:w="1559" w:type="dxa"/>
            <w:tcBorders>
              <w:top w:val="nil"/>
              <w:left w:val="nil"/>
              <w:bottom w:val="nil"/>
              <w:right w:val="single" w:sz="8" w:space="0" w:color="auto"/>
            </w:tcBorders>
            <w:shd w:val="clear" w:color="auto" w:fill="auto"/>
            <w:vAlign w:val="center"/>
            <w:hideMark/>
          </w:tcPr>
          <w:p w14:paraId="57889C0A"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ABF.C546</w:t>
            </w:r>
          </w:p>
        </w:tc>
        <w:tc>
          <w:tcPr>
            <w:tcW w:w="1417" w:type="dxa"/>
            <w:tcBorders>
              <w:top w:val="nil"/>
              <w:left w:val="nil"/>
              <w:bottom w:val="nil"/>
              <w:right w:val="single" w:sz="8" w:space="0" w:color="auto"/>
            </w:tcBorders>
            <w:shd w:val="clear" w:color="auto" w:fill="auto"/>
            <w:vAlign w:val="center"/>
            <w:hideMark/>
          </w:tcPr>
          <w:p w14:paraId="2ED7192E"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ABF.D546</w:t>
            </w:r>
          </w:p>
        </w:tc>
        <w:tc>
          <w:tcPr>
            <w:tcW w:w="1276" w:type="dxa"/>
            <w:tcBorders>
              <w:top w:val="nil"/>
              <w:left w:val="nil"/>
              <w:bottom w:val="nil"/>
              <w:right w:val="single" w:sz="8" w:space="0" w:color="auto"/>
            </w:tcBorders>
            <w:shd w:val="clear" w:color="auto" w:fill="auto"/>
            <w:vAlign w:val="center"/>
            <w:hideMark/>
          </w:tcPr>
          <w:p w14:paraId="0CEDC29F"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ABF.E546</w:t>
            </w:r>
          </w:p>
        </w:tc>
        <w:tc>
          <w:tcPr>
            <w:tcW w:w="1559" w:type="dxa"/>
            <w:gridSpan w:val="2"/>
            <w:tcBorders>
              <w:top w:val="nil"/>
              <w:left w:val="nil"/>
              <w:bottom w:val="nil"/>
              <w:right w:val="single" w:sz="8" w:space="0" w:color="auto"/>
            </w:tcBorders>
            <w:shd w:val="clear" w:color="auto" w:fill="auto"/>
            <w:vAlign w:val="center"/>
            <w:hideMark/>
          </w:tcPr>
          <w:p w14:paraId="184FF720"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ABF.F546</w:t>
            </w:r>
          </w:p>
        </w:tc>
        <w:tc>
          <w:tcPr>
            <w:tcW w:w="1134" w:type="dxa"/>
            <w:gridSpan w:val="2"/>
            <w:tcBorders>
              <w:top w:val="nil"/>
              <w:left w:val="nil"/>
              <w:bottom w:val="nil"/>
              <w:right w:val="single" w:sz="8" w:space="0" w:color="auto"/>
            </w:tcBorders>
            <w:shd w:val="clear" w:color="auto" w:fill="auto"/>
            <w:vAlign w:val="center"/>
            <w:hideMark/>
          </w:tcPr>
          <w:p w14:paraId="4EC8444A"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ABF.G546</w:t>
            </w:r>
          </w:p>
        </w:tc>
      </w:tr>
      <w:tr w:rsidR="000643B5" w:rsidRPr="00113B0F" w14:paraId="353FC717"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74BD9E6A" w14:textId="77777777" w:rsidR="000643B5" w:rsidRPr="00113B0F" w:rsidRDefault="000643B5" w:rsidP="00080E19">
            <w:pPr>
              <w:spacing w:after="0" w:line="240" w:lineRule="auto"/>
              <w:ind w:firstLineChars="200" w:firstLine="320"/>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150 - PACTO NACIONAL PELA GESTÃO DAS ÁGUAS – PROGESTÃO</w:t>
            </w:r>
          </w:p>
        </w:tc>
        <w:tc>
          <w:tcPr>
            <w:tcW w:w="1276" w:type="dxa"/>
            <w:tcBorders>
              <w:top w:val="nil"/>
              <w:left w:val="nil"/>
              <w:bottom w:val="nil"/>
              <w:right w:val="single" w:sz="8" w:space="0" w:color="auto"/>
            </w:tcBorders>
            <w:shd w:val="clear" w:color="auto" w:fill="auto"/>
            <w:vAlign w:val="center"/>
            <w:hideMark/>
          </w:tcPr>
          <w:p w14:paraId="297349C3"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ABF.B547</w:t>
            </w:r>
          </w:p>
        </w:tc>
        <w:tc>
          <w:tcPr>
            <w:tcW w:w="1559" w:type="dxa"/>
            <w:tcBorders>
              <w:top w:val="nil"/>
              <w:left w:val="nil"/>
              <w:bottom w:val="nil"/>
              <w:right w:val="single" w:sz="8" w:space="0" w:color="auto"/>
            </w:tcBorders>
            <w:shd w:val="clear" w:color="auto" w:fill="auto"/>
            <w:vAlign w:val="center"/>
            <w:hideMark/>
          </w:tcPr>
          <w:p w14:paraId="46E17E0E"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ABF.C547</w:t>
            </w:r>
          </w:p>
        </w:tc>
        <w:tc>
          <w:tcPr>
            <w:tcW w:w="1417" w:type="dxa"/>
            <w:tcBorders>
              <w:top w:val="nil"/>
              <w:left w:val="nil"/>
              <w:bottom w:val="nil"/>
              <w:right w:val="single" w:sz="8" w:space="0" w:color="auto"/>
            </w:tcBorders>
            <w:shd w:val="clear" w:color="auto" w:fill="auto"/>
            <w:vAlign w:val="center"/>
            <w:hideMark/>
          </w:tcPr>
          <w:p w14:paraId="53ADAC1D"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ABF.D547</w:t>
            </w:r>
          </w:p>
        </w:tc>
        <w:tc>
          <w:tcPr>
            <w:tcW w:w="1276" w:type="dxa"/>
            <w:tcBorders>
              <w:top w:val="nil"/>
              <w:left w:val="nil"/>
              <w:bottom w:val="nil"/>
              <w:right w:val="single" w:sz="8" w:space="0" w:color="auto"/>
            </w:tcBorders>
            <w:shd w:val="clear" w:color="auto" w:fill="auto"/>
            <w:vAlign w:val="center"/>
            <w:hideMark/>
          </w:tcPr>
          <w:p w14:paraId="48B0A3E2"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ABF.E547</w:t>
            </w:r>
          </w:p>
        </w:tc>
        <w:tc>
          <w:tcPr>
            <w:tcW w:w="1559" w:type="dxa"/>
            <w:gridSpan w:val="2"/>
            <w:tcBorders>
              <w:top w:val="nil"/>
              <w:left w:val="nil"/>
              <w:bottom w:val="nil"/>
              <w:right w:val="single" w:sz="8" w:space="0" w:color="auto"/>
            </w:tcBorders>
            <w:shd w:val="clear" w:color="auto" w:fill="auto"/>
            <w:vAlign w:val="center"/>
            <w:hideMark/>
          </w:tcPr>
          <w:p w14:paraId="3B8BFCA7"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ABF.F547</w:t>
            </w:r>
          </w:p>
        </w:tc>
        <w:tc>
          <w:tcPr>
            <w:tcW w:w="1134" w:type="dxa"/>
            <w:gridSpan w:val="2"/>
            <w:tcBorders>
              <w:top w:val="nil"/>
              <w:left w:val="nil"/>
              <w:bottom w:val="nil"/>
              <w:right w:val="single" w:sz="8" w:space="0" w:color="auto"/>
            </w:tcBorders>
            <w:shd w:val="clear" w:color="auto" w:fill="auto"/>
            <w:vAlign w:val="center"/>
            <w:hideMark/>
          </w:tcPr>
          <w:p w14:paraId="04686D8F"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ABF.G547</w:t>
            </w:r>
          </w:p>
        </w:tc>
      </w:tr>
      <w:tr w:rsidR="000643B5" w:rsidRPr="00113B0F" w14:paraId="5970401F"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6AC58369" w14:textId="77777777" w:rsidR="000643B5" w:rsidRPr="00113B0F" w:rsidRDefault="000643B5" w:rsidP="00080E19">
            <w:pPr>
              <w:spacing w:after="0" w:line="240" w:lineRule="auto"/>
              <w:ind w:firstLineChars="200" w:firstLine="320"/>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154 - CONTRIBUIÇÃO DE INTERVENÇÃO NO DOMÍNIO ECONÔMICO</w:t>
            </w:r>
          </w:p>
        </w:tc>
        <w:tc>
          <w:tcPr>
            <w:tcW w:w="1276" w:type="dxa"/>
            <w:tcBorders>
              <w:top w:val="nil"/>
              <w:left w:val="nil"/>
              <w:bottom w:val="nil"/>
              <w:right w:val="single" w:sz="8" w:space="0" w:color="auto"/>
            </w:tcBorders>
            <w:shd w:val="clear" w:color="auto" w:fill="auto"/>
            <w:vAlign w:val="center"/>
            <w:hideMark/>
          </w:tcPr>
          <w:p w14:paraId="364F4CFB"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ABF.B548</w:t>
            </w:r>
          </w:p>
        </w:tc>
        <w:tc>
          <w:tcPr>
            <w:tcW w:w="1559" w:type="dxa"/>
            <w:tcBorders>
              <w:top w:val="nil"/>
              <w:left w:val="nil"/>
              <w:bottom w:val="nil"/>
              <w:right w:val="single" w:sz="8" w:space="0" w:color="auto"/>
            </w:tcBorders>
            <w:shd w:val="clear" w:color="auto" w:fill="auto"/>
            <w:vAlign w:val="center"/>
            <w:hideMark/>
          </w:tcPr>
          <w:p w14:paraId="1B48FA26"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ABF.C548</w:t>
            </w:r>
          </w:p>
        </w:tc>
        <w:tc>
          <w:tcPr>
            <w:tcW w:w="1417" w:type="dxa"/>
            <w:tcBorders>
              <w:top w:val="nil"/>
              <w:left w:val="nil"/>
              <w:bottom w:val="nil"/>
              <w:right w:val="single" w:sz="8" w:space="0" w:color="auto"/>
            </w:tcBorders>
            <w:shd w:val="clear" w:color="auto" w:fill="auto"/>
            <w:vAlign w:val="center"/>
            <w:hideMark/>
          </w:tcPr>
          <w:p w14:paraId="59B149C9"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ABF.D548</w:t>
            </w:r>
          </w:p>
        </w:tc>
        <w:tc>
          <w:tcPr>
            <w:tcW w:w="1276" w:type="dxa"/>
            <w:tcBorders>
              <w:top w:val="nil"/>
              <w:left w:val="nil"/>
              <w:bottom w:val="nil"/>
              <w:right w:val="single" w:sz="8" w:space="0" w:color="auto"/>
            </w:tcBorders>
            <w:shd w:val="clear" w:color="auto" w:fill="auto"/>
            <w:vAlign w:val="center"/>
            <w:hideMark/>
          </w:tcPr>
          <w:p w14:paraId="016896E4"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ABF.E548</w:t>
            </w:r>
          </w:p>
        </w:tc>
        <w:tc>
          <w:tcPr>
            <w:tcW w:w="1559" w:type="dxa"/>
            <w:gridSpan w:val="2"/>
            <w:tcBorders>
              <w:top w:val="nil"/>
              <w:left w:val="nil"/>
              <w:bottom w:val="nil"/>
              <w:right w:val="single" w:sz="8" w:space="0" w:color="auto"/>
            </w:tcBorders>
            <w:shd w:val="clear" w:color="auto" w:fill="auto"/>
            <w:vAlign w:val="center"/>
            <w:hideMark/>
          </w:tcPr>
          <w:p w14:paraId="24714767"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ABF.F548</w:t>
            </w:r>
          </w:p>
        </w:tc>
        <w:tc>
          <w:tcPr>
            <w:tcW w:w="1134" w:type="dxa"/>
            <w:gridSpan w:val="2"/>
            <w:tcBorders>
              <w:top w:val="nil"/>
              <w:left w:val="nil"/>
              <w:bottom w:val="nil"/>
              <w:right w:val="single" w:sz="8" w:space="0" w:color="auto"/>
            </w:tcBorders>
            <w:shd w:val="clear" w:color="auto" w:fill="auto"/>
            <w:vAlign w:val="center"/>
            <w:hideMark/>
          </w:tcPr>
          <w:p w14:paraId="28CCF218"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ABF.G548</w:t>
            </w:r>
          </w:p>
        </w:tc>
      </w:tr>
      <w:tr w:rsidR="000643B5" w:rsidRPr="00113B0F" w14:paraId="089EC40E"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4258CCB3" w14:textId="77777777" w:rsidR="000643B5" w:rsidRPr="00113B0F" w:rsidRDefault="000643B5" w:rsidP="00080E19">
            <w:pPr>
              <w:spacing w:after="0" w:line="240" w:lineRule="auto"/>
              <w:ind w:firstLineChars="200" w:firstLine="320"/>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157 - INCENTIVO SUAS - UNIÃO</w:t>
            </w:r>
          </w:p>
        </w:tc>
        <w:tc>
          <w:tcPr>
            <w:tcW w:w="1276" w:type="dxa"/>
            <w:tcBorders>
              <w:top w:val="nil"/>
              <w:left w:val="nil"/>
              <w:bottom w:val="nil"/>
              <w:right w:val="single" w:sz="8" w:space="0" w:color="auto"/>
            </w:tcBorders>
            <w:shd w:val="clear" w:color="auto" w:fill="auto"/>
            <w:vAlign w:val="center"/>
            <w:hideMark/>
          </w:tcPr>
          <w:p w14:paraId="63B1D2AE"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ABF.B549</w:t>
            </w:r>
          </w:p>
        </w:tc>
        <w:tc>
          <w:tcPr>
            <w:tcW w:w="1559" w:type="dxa"/>
            <w:tcBorders>
              <w:top w:val="nil"/>
              <w:left w:val="nil"/>
              <w:bottom w:val="nil"/>
              <w:right w:val="single" w:sz="8" w:space="0" w:color="auto"/>
            </w:tcBorders>
            <w:shd w:val="clear" w:color="auto" w:fill="auto"/>
            <w:vAlign w:val="center"/>
            <w:hideMark/>
          </w:tcPr>
          <w:p w14:paraId="37EC4D61"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ABF.C549</w:t>
            </w:r>
          </w:p>
        </w:tc>
        <w:tc>
          <w:tcPr>
            <w:tcW w:w="1417" w:type="dxa"/>
            <w:tcBorders>
              <w:top w:val="nil"/>
              <w:left w:val="nil"/>
              <w:bottom w:val="nil"/>
              <w:right w:val="single" w:sz="8" w:space="0" w:color="auto"/>
            </w:tcBorders>
            <w:shd w:val="clear" w:color="auto" w:fill="auto"/>
            <w:vAlign w:val="center"/>
            <w:hideMark/>
          </w:tcPr>
          <w:p w14:paraId="7F6158DA"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ABF.D549</w:t>
            </w:r>
          </w:p>
        </w:tc>
        <w:tc>
          <w:tcPr>
            <w:tcW w:w="1276" w:type="dxa"/>
            <w:tcBorders>
              <w:top w:val="nil"/>
              <w:left w:val="nil"/>
              <w:bottom w:val="nil"/>
              <w:right w:val="single" w:sz="8" w:space="0" w:color="auto"/>
            </w:tcBorders>
            <w:shd w:val="clear" w:color="auto" w:fill="auto"/>
            <w:vAlign w:val="center"/>
            <w:hideMark/>
          </w:tcPr>
          <w:p w14:paraId="549AA27F"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ABF.E549</w:t>
            </w:r>
          </w:p>
        </w:tc>
        <w:tc>
          <w:tcPr>
            <w:tcW w:w="1559" w:type="dxa"/>
            <w:gridSpan w:val="2"/>
            <w:tcBorders>
              <w:top w:val="nil"/>
              <w:left w:val="nil"/>
              <w:bottom w:val="nil"/>
              <w:right w:val="single" w:sz="8" w:space="0" w:color="auto"/>
            </w:tcBorders>
            <w:shd w:val="clear" w:color="auto" w:fill="auto"/>
            <w:vAlign w:val="center"/>
            <w:hideMark/>
          </w:tcPr>
          <w:p w14:paraId="4B58D35A"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ABF.F549</w:t>
            </w:r>
          </w:p>
        </w:tc>
        <w:tc>
          <w:tcPr>
            <w:tcW w:w="1134" w:type="dxa"/>
            <w:gridSpan w:val="2"/>
            <w:tcBorders>
              <w:top w:val="nil"/>
              <w:left w:val="nil"/>
              <w:bottom w:val="nil"/>
              <w:right w:val="single" w:sz="8" w:space="0" w:color="auto"/>
            </w:tcBorders>
            <w:shd w:val="clear" w:color="auto" w:fill="auto"/>
            <w:vAlign w:val="center"/>
            <w:hideMark/>
          </w:tcPr>
          <w:p w14:paraId="29B10F25"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ABF.G549</w:t>
            </w:r>
          </w:p>
        </w:tc>
      </w:tr>
      <w:tr w:rsidR="000643B5" w:rsidRPr="00113B0F" w14:paraId="1AEDA498"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4DD3F6BF" w14:textId="77777777" w:rsidR="000643B5" w:rsidRPr="00113B0F" w:rsidRDefault="000643B5" w:rsidP="00080E19">
            <w:pPr>
              <w:spacing w:after="0" w:line="240" w:lineRule="auto"/>
              <w:ind w:firstLineChars="200" w:firstLine="320"/>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158 - TRANSFERÊNCIAS A MUNICÍPIOS - LEI PELÉ</w:t>
            </w:r>
          </w:p>
        </w:tc>
        <w:tc>
          <w:tcPr>
            <w:tcW w:w="1276" w:type="dxa"/>
            <w:tcBorders>
              <w:top w:val="nil"/>
              <w:left w:val="nil"/>
              <w:bottom w:val="nil"/>
              <w:right w:val="single" w:sz="8" w:space="0" w:color="auto"/>
            </w:tcBorders>
            <w:shd w:val="clear" w:color="auto" w:fill="auto"/>
            <w:vAlign w:val="center"/>
            <w:hideMark/>
          </w:tcPr>
          <w:p w14:paraId="57ADD6ED"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ABF.B550</w:t>
            </w:r>
          </w:p>
        </w:tc>
        <w:tc>
          <w:tcPr>
            <w:tcW w:w="1559" w:type="dxa"/>
            <w:tcBorders>
              <w:top w:val="nil"/>
              <w:left w:val="nil"/>
              <w:bottom w:val="nil"/>
              <w:right w:val="single" w:sz="8" w:space="0" w:color="auto"/>
            </w:tcBorders>
            <w:shd w:val="clear" w:color="auto" w:fill="auto"/>
            <w:vAlign w:val="center"/>
            <w:hideMark/>
          </w:tcPr>
          <w:p w14:paraId="431B1E42"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ABF.C550</w:t>
            </w:r>
          </w:p>
        </w:tc>
        <w:tc>
          <w:tcPr>
            <w:tcW w:w="1417" w:type="dxa"/>
            <w:tcBorders>
              <w:top w:val="nil"/>
              <w:left w:val="nil"/>
              <w:bottom w:val="nil"/>
              <w:right w:val="single" w:sz="8" w:space="0" w:color="auto"/>
            </w:tcBorders>
            <w:shd w:val="clear" w:color="auto" w:fill="auto"/>
            <w:vAlign w:val="center"/>
            <w:hideMark/>
          </w:tcPr>
          <w:p w14:paraId="0264B3DB"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ABF.D550</w:t>
            </w:r>
          </w:p>
        </w:tc>
        <w:tc>
          <w:tcPr>
            <w:tcW w:w="1276" w:type="dxa"/>
            <w:tcBorders>
              <w:top w:val="nil"/>
              <w:left w:val="nil"/>
              <w:bottom w:val="nil"/>
              <w:right w:val="single" w:sz="8" w:space="0" w:color="auto"/>
            </w:tcBorders>
            <w:shd w:val="clear" w:color="auto" w:fill="auto"/>
            <w:vAlign w:val="center"/>
            <w:hideMark/>
          </w:tcPr>
          <w:p w14:paraId="6C547EEB"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ABF.E550</w:t>
            </w:r>
          </w:p>
        </w:tc>
        <w:tc>
          <w:tcPr>
            <w:tcW w:w="1559" w:type="dxa"/>
            <w:gridSpan w:val="2"/>
            <w:tcBorders>
              <w:top w:val="nil"/>
              <w:left w:val="nil"/>
              <w:bottom w:val="nil"/>
              <w:right w:val="single" w:sz="8" w:space="0" w:color="auto"/>
            </w:tcBorders>
            <w:shd w:val="clear" w:color="auto" w:fill="auto"/>
            <w:vAlign w:val="center"/>
            <w:hideMark/>
          </w:tcPr>
          <w:p w14:paraId="0095FD94"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ABF.F550</w:t>
            </w:r>
          </w:p>
        </w:tc>
        <w:tc>
          <w:tcPr>
            <w:tcW w:w="1134" w:type="dxa"/>
            <w:gridSpan w:val="2"/>
            <w:tcBorders>
              <w:top w:val="nil"/>
              <w:left w:val="nil"/>
              <w:bottom w:val="nil"/>
              <w:right w:val="single" w:sz="8" w:space="0" w:color="auto"/>
            </w:tcBorders>
            <w:shd w:val="clear" w:color="auto" w:fill="auto"/>
            <w:vAlign w:val="center"/>
            <w:hideMark/>
          </w:tcPr>
          <w:p w14:paraId="152DD915"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ABF.G550</w:t>
            </w:r>
          </w:p>
        </w:tc>
      </w:tr>
      <w:tr w:rsidR="000643B5" w:rsidRPr="00113B0F" w14:paraId="1EF912AE"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29D00F68" w14:textId="77777777" w:rsidR="000643B5" w:rsidRPr="00113B0F" w:rsidRDefault="000643B5" w:rsidP="00080E19">
            <w:pPr>
              <w:spacing w:after="0" w:line="240" w:lineRule="auto"/>
              <w:ind w:firstLineChars="200" w:firstLine="320"/>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159 - TRANSFERÊNCIAS FINANCEIRAS A FUNDOS</w:t>
            </w:r>
          </w:p>
        </w:tc>
        <w:tc>
          <w:tcPr>
            <w:tcW w:w="1276" w:type="dxa"/>
            <w:tcBorders>
              <w:top w:val="nil"/>
              <w:left w:val="nil"/>
              <w:bottom w:val="nil"/>
              <w:right w:val="single" w:sz="8" w:space="0" w:color="auto"/>
            </w:tcBorders>
            <w:shd w:val="clear" w:color="auto" w:fill="auto"/>
            <w:vAlign w:val="center"/>
            <w:hideMark/>
          </w:tcPr>
          <w:p w14:paraId="2DEBE31C"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ABF.B551</w:t>
            </w:r>
          </w:p>
        </w:tc>
        <w:tc>
          <w:tcPr>
            <w:tcW w:w="1559" w:type="dxa"/>
            <w:tcBorders>
              <w:top w:val="nil"/>
              <w:left w:val="nil"/>
              <w:bottom w:val="nil"/>
              <w:right w:val="single" w:sz="8" w:space="0" w:color="auto"/>
            </w:tcBorders>
            <w:shd w:val="clear" w:color="auto" w:fill="auto"/>
            <w:vAlign w:val="center"/>
            <w:hideMark/>
          </w:tcPr>
          <w:p w14:paraId="4D746E98"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ABF.C551</w:t>
            </w:r>
          </w:p>
        </w:tc>
        <w:tc>
          <w:tcPr>
            <w:tcW w:w="1417" w:type="dxa"/>
            <w:tcBorders>
              <w:top w:val="nil"/>
              <w:left w:val="nil"/>
              <w:bottom w:val="nil"/>
              <w:right w:val="single" w:sz="8" w:space="0" w:color="auto"/>
            </w:tcBorders>
            <w:shd w:val="clear" w:color="auto" w:fill="auto"/>
            <w:vAlign w:val="center"/>
            <w:hideMark/>
          </w:tcPr>
          <w:p w14:paraId="06C38F02"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ABF.D551</w:t>
            </w:r>
          </w:p>
        </w:tc>
        <w:tc>
          <w:tcPr>
            <w:tcW w:w="1276" w:type="dxa"/>
            <w:tcBorders>
              <w:top w:val="nil"/>
              <w:left w:val="nil"/>
              <w:bottom w:val="nil"/>
              <w:right w:val="single" w:sz="8" w:space="0" w:color="auto"/>
            </w:tcBorders>
            <w:shd w:val="clear" w:color="auto" w:fill="auto"/>
            <w:vAlign w:val="center"/>
            <w:hideMark/>
          </w:tcPr>
          <w:p w14:paraId="1751E9FD"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ABF.E551</w:t>
            </w:r>
          </w:p>
        </w:tc>
        <w:tc>
          <w:tcPr>
            <w:tcW w:w="1559" w:type="dxa"/>
            <w:gridSpan w:val="2"/>
            <w:tcBorders>
              <w:top w:val="nil"/>
              <w:left w:val="nil"/>
              <w:bottom w:val="nil"/>
              <w:right w:val="single" w:sz="8" w:space="0" w:color="auto"/>
            </w:tcBorders>
            <w:shd w:val="clear" w:color="auto" w:fill="auto"/>
            <w:vAlign w:val="center"/>
            <w:hideMark/>
          </w:tcPr>
          <w:p w14:paraId="3C8A5378"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ABF.F551</w:t>
            </w:r>
          </w:p>
        </w:tc>
        <w:tc>
          <w:tcPr>
            <w:tcW w:w="1134" w:type="dxa"/>
            <w:gridSpan w:val="2"/>
            <w:tcBorders>
              <w:top w:val="nil"/>
              <w:left w:val="nil"/>
              <w:bottom w:val="nil"/>
              <w:right w:val="single" w:sz="8" w:space="0" w:color="auto"/>
            </w:tcBorders>
            <w:shd w:val="clear" w:color="auto" w:fill="auto"/>
            <w:vAlign w:val="center"/>
            <w:hideMark/>
          </w:tcPr>
          <w:p w14:paraId="21B10427"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ABF.G551</w:t>
            </w:r>
          </w:p>
        </w:tc>
      </w:tr>
      <w:tr w:rsidR="000643B5" w:rsidRPr="00113B0F" w14:paraId="07DFC3FF"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544E4DC3" w14:textId="77777777" w:rsidR="000643B5" w:rsidRPr="00113B0F" w:rsidRDefault="000643B5" w:rsidP="00080E19">
            <w:pPr>
              <w:spacing w:after="0" w:line="240" w:lineRule="auto"/>
              <w:ind w:firstLineChars="200" w:firstLine="320"/>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161 - FUNDO DE COMBATE A POBREZA - FUNCOP</w:t>
            </w:r>
          </w:p>
        </w:tc>
        <w:tc>
          <w:tcPr>
            <w:tcW w:w="1276" w:type="dxa"/>
            <w:tcBorders>
              <w:top w:val="nil"/>
              <w:left w:val="nil"/>
              <w:bottom w:val="nil"/>
              <w:right w:val="single" w:sz="8" w:space="0" w:color="auto"/>
            </w:tcBorders>
            <w:shd w:val="clear" w:color="auto" w:fill="auto"/>
            <w:vAlign w:val="center"/>
            <w:hideMark/>
          </w:tcPr>
          <w:p w14:paraId="5B0A26A7"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ABF.B552</w:t>
            </w:r>
          </w:p>
        </w:tc>
        <w:tc>
          <w:tcPr>
            <w:tcW w:w="1559" w:type="dxa"/>
            <w:tcBorders>
              <w:top w:val="nil"/>
              <w:left w:val="nil"/>
              <w:bottom w:val="nil"/>
              <w:right w:val="single" w:sz="8" w:space="0" w:color="auto"/>
            </w:tcBorders>
            <w:shd w:val="clear" w:color="auto" w:fill="auto"/>
            <w:vAlign w:val="center"/>
            <w:hideMark/>
          </w:tcPr>
          <w:p w14:paraId="2F79B554"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ABF.C552</w:t>
            </w:r>
          </w:p>
        </w:tc>
        <w:tc>
          <w:tcPr>
            <w:tcW w:w="1417" w:type="dxa"/>
            <w:tcBorders>
              <w:top w:val="nil"/>
              <w:left w:val="nil"/>
              <w:bottom w:val="nil"/>
              <w:right w:val="single" w:sz="8" w:space="0" w:color="auto"/>
            </w:tcBorders>
            <w:shd w:val="clear" w:color="auto" w:fill="auto"/>
            <w:vAlign w:val="center"/>
            <w:hideMark/>
          </w:tcPr>
          <w:p w14:paraId="6B2E1721"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ABF.D552</w:t>
            </w:r>
          </w:p>
        </w:tc>
        <w:tc>
          <w:tcPr>
            <w:tcW w:w="1276" w:type="dxa"/>
            <w:tcBorders>
              <w:top w:val="nil"/>
              <w:left w:val="nil"/>
              <w:bottom w:val="nil"/>
              <w:right w:val="single" w:sz="8" w:space="0" w:color="auto"/>
            </w:tcBorders>
            <w:shd w:val="clear" w:color="auto" w:fill="auto"/>
            <w:vAlign w:val="center"/>
            <w:hideMark/>
          </w:tcPr>
          <w:p w14:paraId="623A2EFE"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ABF.E552</w:t>
            </w:r>
          </w:p>
        </w:tc>
        <w:tc>
          <w:tcPr>
            <w:tcW w:w="1559" w:type="dxa"/>
            <w:gridSpan w:val="2"/>
            <w:tcBorders>
              <w:top w:val="nil"/>
              <w:left w:val="nil"/>
              <w:bottom w:val="nil"/>
              <w:right w:val="single" w:sz="8" w:space="0" w:color="auto"/>
            </w:tcBorders>
            <w:shd w:val="clear" w:color="auto" w:fill="auto"/>
            <w:vAlign w:val="center"/>
            <w:hideMark/>
          </w:tcPr>
          <w:p w14:paraId="6D29B697"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ABF.F552</w:t>
            </w:r>
          </w:p>
        </w:tc>
        <w:tc>
          <w:tcPr>
            <w:tcW w:w="1134" w:type="dxa"/>
            <w:gridSpan w:val="2"/>
            <w:tcBorders>
              <w:top w:val="nil"/>
              <w:left w:val="nil"/>
              <w:bottom w:val="nil"/>
              <w:right w:val="single" w:sz="8" w:space="0" w:color="auto"/>
            </w:tcBorders>
            <w:shd w:val="clear" w:color="auto" w:fill="auto"/>
            <w:vAlign w:val="center"/>
            <w:hideMark/>
          </w:tcPr>
          <w:p w14:paraId="744EA368"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ABF.G552</w:t>
            </w:r>
          </w:p>
        </w:tc>
      </w:tr>
      <w:tr w:rsidR="000643B5" w:rsidRPr="00113B0F" w14:paraId="5DDF4417"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2E6EC0D0" w14:textId="77777777" w:rsidR="000643B5" w:rsidRPr="00113B0F" w:rsidRDefault="000643B5" w:rsidP="00080E19">
            <w:pPr>
              <w:spacing w:after="0" w:line="240" w:lineRule="auto"/>
              <w:ind w:firstLineChars="200" w:firstLine="320"/>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163 - RECURSOS LEI PELÉ</w:t>
            </w:r>
          </w:p>
        </w:tc>
        <w:tc>
          <w:tcPr>
            <w:tcW w:w="1276" w:type="dxa"/>
            <w:tcBorders>
              <w:top w:val="nil"/>
              <w:left w:val="nil"/>
              <w:bottom w:val="nil"/>
              <w:right w:val="single" w:sz="8" w:space="0" w:color="auto"/>
            </w:tcBorders>
            <w:shd w:val="clear" w:color="auto" w:fill="auto"/>
            <w:vAlign w:val="center"/>
            <w:hideMark/>
          </w:tcPr>
          <w:p w14:paraId="69E7C7B9"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ABF.B554</w:t>
            </w:r>
          </w:p>
        </w:tc>
        <w:tc>
          <w:tcPr>
            <w:tcW w:w="1559" w:type="dxa"/>
            <w:tcBorders>
              <w:top w:val="nil"/>
              <w:left w:val="nil"/>
              <w:bottom w:val="nil"/>
              <w:right w:val="single" w:sz="8" w:space="0" w:color="auto"/>
            </w:tcBorders>
            <w:shd w:val="clear" w:color="auto" w:fill="auto"/>
            <w:vAlign w:val="center"/>
            <w:hideMark/>
          </w:tcPr>
          <w:p w14:paraId="7BE5EE14"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ABF.C554</w:t>
            </w:r>
          </w:p>
        </w:tc>
        <w:tc>
          <w:tcPr>
            <w:tcW w:w="1417" w:type="dxa"/>
            <w:tcBorders>
              <w:top w:val="nil"/>
              <w:left w:val="nil"/>
              <w:bottom w:val="nil"/>
              <w:right w:val="single" w:sz="8" w:space="0" w:color="auto"/>
            </w:tcBorders>
            <w:shd w:val="clear" w:color="auto" w:fill="auto"/>
            <w:vAlign w:val="center"/>
            <w:hideMark/>
          </w:tcPr>
          <w:p w14:paraId="3EEB685B"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ABF.D554</w:t>
            </w:r>
          </w:p>
        </w:tc>
        <w:tc>
          <w:tcPr>
            <w:tcW w:w="1276" w:type="dxa"/>
            <w:tcBorders>
              <w:top w:val="nil"/>
              <w:left w:val="nil"/>
              <w:bottom w:val="nil"/>
              <w:right w:val="single" w:sz="8" w:space="0" w:color="auto"/>
            </w:tcBorders>
            <w:shd w:val="clear" w:color="auto" w:fill="auto"/>
            <w:vAlign w:val="center"/>
            <w:hideMark/>
          </w:tcPr>
          <w:p w14:paraId="680F44E5"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ABF.E554</w:t>
            </w:r>
          </w:p>
        </w:tc>
        <w:tc>
          <w:tcPr>
            <w:tcW w:w="1559" w:type="dxa"/>
            <w:gridSpan w:val="2"/>
            <w:tcBorders>
              <w:top w:val="nil"/>
              <w:left w:val="nil"/>
              <w:bottom w:val="nil"/>
              <w:right w:val="single" w:sz="8" w:space="0" w:color="auto"/>
            </w:tcBorders>
            <w:shd w:val="clear" w:color="auto" w:fill="auto"/>
            <w:vAlign w:val="center"/>
            <w:hideMark/>
          </w:tcPr>
          <w:p w14:paraId="2CD2FD3A"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ABF.F554</w:t>
            </w:r>
          </w:p>
        </w:tc>
        <w:tc>
          <w:tcPr>
            <w:tcW w:w="1134" w:type="dxa"/>
            <w:gridSpan w:val="2"/>
            <w:tcBorders>
              <w:top w:val="nil"/>
              <w:left w:val="nil"/>
              <w:bottom w:val="nil"/>
              <w:right w:val="single" w:sz="8" w:space="0" w:color="auto"/>
            </w:tcBorders>
            <w:shd w:val="clear" w:color="auto" w:fill="auto"/>
            <w:vAlign w:val="center"/>
            <w:hideMark/>
          </w:tcPr>
          <w:p w14:paraId="35497376"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ABF.G554</w:t>
            </w:r>
          </w:p>
        </w:tc>
      </w:tr>
      <w:tr w:rsidR="000643B5" w:rsidRPr="00113B0F" w14:paraId="436A7A98"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59441878" w14:textId="77777777" w:rsidR="000643B5" w:rsidRPr="00113B0F" w:rsidRDefault="000643B5" w:rsidP="00080E19">
            <w:pPr>
              <w:spacing w:after="0" w:line="240" w:lineRule="auto"/>
              <w:ind w:firstLineChars="200" w:firstLine="320"/>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164 - TRANSFERÊNCIA A MUNICÍPIOS ROYALTIES LEI 8.308/06</w:t>
            </w:r>
          </w:p>
        </w:tc>
        <w:tc>
          <w:tcPr>
            <w:tcW w:w="1276" w:type="dxa"/>
            <w:tcBorders>
              <w:top w:val="nil"/>
              <w:left w:val="nil"/>
              <w:bottom w:val="nil"/>
              <w:right w:val="single" w:sz="8" w:space="0" w:color="auto"/>
            </w:tcBorders>
            <w:shd w:val="clear" w:color="auto" w:fill="auto"/>
            <w:vAlign w:val="center"/>
            <w:hideMark/>
          </w:tcPr>
          <w:p w14:paraId="246BA5F0"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ABF.B555</w:t>
            </w:r>
          </w:p>
        </w:tc>
        <w:tc>
          <w:tcPr>
            <w:tcW w:w="1559" w:type="dxa"/>
            <w:tcBorders>
              <w:top w:val="nil"/>
              <w:left w:val="nil"/>
              <w:bottom w:val="nil"/>
              <w:right w:val="single" w:sz="8" w:space="0" w:color="auto"/>
            </w:tcBorders>
            <w:shd w:val="clear" w:color="auto" w:fill="auto"/>
            <w:vAlign w:val="center"/>
            <w:hideMark/>
          </w:tcPr>
          <w:p w14:paraId="50C9A2B5"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ABF.C555</w:t>
            </w:r>
          </w:p>
        </w:tc>
        <w:tc>
          <w:tcPr>
            <w:tcW w:w="1417" w:type="dxa"/>
            <w:tcBorders>
              <w:top w:val="nil"/>
              <w:left w:val="nil"/>
              <w:bottom w:val="nil"/>
              <w:right w:val="single" w:sz="8" w:space="0" w:color="auto"/>
            </w:tcBorders>
            <w:shd w:val="clear" w:color="auto" w:fill="auto"/>
            <w:vAlign w:val="center"/>
            <w:hideMark/>
          </w:tcPr>
          <w:p w14:paraId="6273CE45"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ABF.D555</w:t>
            </w:r>
          </w:p>
        </w:tc>
        <w:tc>
          <w:tcPr>
            <w:tcW w:w="1276" w:type="dxa"/>
            <w:tcBorders>
              <w:top w:val="nil"/>
              <w:left w:val="nil"/>
              <w:bottom w:val="nil"/>
              <w:right w:val="single" w:sz="8" w:space="0" w:color="auto"/>
            </w:tcBorders>
            <w:shd w:val="clear" w:color="auto" w:fill="auto"/>
            <w:vAlign w:val="center"/>
            <w:hideMark/>
          </w:tcPr>
          <w:p w14:paraId="0FBD2913"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ABF.E555</w:t>
            </w:r>
          </w:p>
        </w:tc>
        <w:tc>
          <w:tcPr>
            <w:tcW w:w="1559" w:type="dxa"/>
            <w:gridSpan w:val="2"/>
            <w:tcBorders>
              <w:top w:val="nil"/>
              <w:left w:val="nil"/>
              <w:bottom w:val="nil"/>
              <w:right w:val="single" w:sz="8" w:space="0" w:color="auto"/>
            </w:tcBorders>
            <w:shd w:val="clear" w:color="auto" w:fill="auto"/>
            <w:vAlign w:val="center"/>
            <w:hideMark/>
          </w:tcPr>
          <w:p w14:paraId="66DD88FA"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ABF.F555</w:t>
            </w:r>
          </w:p>
        </w:tc>
        <w:tc>
          <w:tcPr>
            <w:tcW w:w="1134" w:type="dxa"/>
            <w:gridSpan w:val="2"/>
            <w:tcBorders>
              <w:top w:val="nil"/>
              <w:left w:val="nil"/>
              <w:bottom w:val="nil"/>
              <w:right w:val="single" w:sz="8" w:space="0" w:color="auto"/>
            </w:tcBorders>
            <w:shd w:val="clear" w:color="auto" w:fill="auto"/>
            <w:vAlign w:val="center"/>
            <w:hideMark/>
          </w:tcPr>
          <w:p w14:paraId="5BDCDF2C"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ABF.G555</w:t>
            </w:r>
          </w:p>
        </w:tc>
      </w:tr>
      <w:tr w:rsidR="000643B5" w:rsidRPr="00113B0F" w14:paraId="24DC638F"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66EDEA5D" w14:textId="77777777" w:rsidR="000643B5" w:rsidRPr="00113B0F" w:rsidRDefault="000643B5" w:rsidP="00080E19">
            <w:pPr>
              <w:spacing w:after="0" w:line="240" w:lineRule="auto"/>
              <w:ind w:firstLineChars="200" w:firstLine="320"/>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166 - PLANO DE AÇÕES ARTICULADAS - PAR</w:t>
            </w:r>
          </w:p>
        </w:tc>
        <w:tc>
          <w:tcPr>
            <w:tcW w:w="1276" w:type="dxa"/>
            <w:tcBorders>
              <w:top w:val="nil"/>
              <w:left w:val="nil"/>
              <w:bottom w:val="nil"/>
              <w:right w:val="single" w:sz="8" w:space="0" w:color="auto"/>
            </w:tcBorders>
            <w:shd w:val="clear" w:color="auto" w:fill="auto"/>
            <w:vAlign w:val="center"/>
            <w:hideMark/>
          </w:tcPr>
          <w:p w14:paraId="5044E71F"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ABF.B556</w:t>
            </w:r>
          </w:p>
        </w:tc>
        <w:tc>
          <w:tcPr>
            <w:tcW w:w="1559" w:type="dxa"/>
            <w:tcBorders>
              <w:top w:val="nil"/>
              <w:left w:val="nil"/>
              <w:bottom w:val="nil"/>
              <w:right w:val="single" w:sz="8" w:space="0" w:color="auto"/>
            </w:tcBorders>
            <w:shd w:val="clear" w:color="auto" w:fill="auto"/>
            <w:vAlign w:val="center"/>
            <w:hideMark/>
          </w:tcPr>
          <w:p w14:paraId="7E637B55"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ABF.C556</w:t>
            </w:r>
          </w:p>
        </w:tc>
        <w:tc>
          <w:tcPr>
            <w:tcW w:w="1417" w:type="dxa"/>
            <w:tcBorders>
              <w:top w:val="nil"/>
              <w:left w:val="nil"/>
              <w:bottom w:val="nil"/>
              <w:right w:val="single" w:sz="8" w:space="0" w:color="auto"/>
            </w:tcBorders>
            <w:shd w:val="clear" w:color="auto" w:fill="auto"/>
            <w:vAlign w:val="center"/>
            <w:hideMark/>
          </w:tcPr>
          <w:p w14:paraId="497F5B5F"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ABF.D556</w:t>
            </w:r>
          </w:p>
        </w:tc>
        <w:tc>
          <w:tcPr>
            <w:tcW w:w="1276" w:type="dxa"/>
            <w:tcBorders>
              <w:top w:val="nil"/>
              <w:left w:val="nil"/>
              <w:bottom w:val="nil"/>
              <w:right w:val="single" w:sz="8" w:space="0" w:color="auto"/>
            </w:tcBorders>
            <w:shd w:val="clear" w:color="auto" w:fill="auto"/>
            <w:vAlign w:val="center"/>
            <w:hideMark/>
          </w:tcPr>
          <w:p w14:paraId="35E13024"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ABF.E556</w:t>
            </w:r>
          </w:p>
        </w:tc>
        <w:tc>
          <w:tcPr>
            <w:tcW w:w="1559" w:type="dxa"/>
            <w:gridSpan w:val="2"/>
            <w:tcBorders>
              <w:top w:val="nil"/>
              <w:left w:val="nil"/>
              <w:bottom w:val="nil"/>
              <w:right w:val="single" w:sz="8" w:space="0" w:color="auto"/>
            </w:tcBorders>
            <w:shd w:val="clear" w:color="auto" w:fill="auto"/>
            <w:vAlign w:val="center"/>
            <w:hideMark/>
          </w:tcPr>
          <w:p w14:paraId="1B00ACBF"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ABF.F556</w:t>
            </w:r>
          </w:p>
        </w:tc>
        <w:tc>
          <w:tcPr>
            <w:tcW w:w="1134" w:type="dxa"/>
            <w:gridSpan w:val="2"/>
            <w:tcBorders>
              <w:top w:val="nil"/>
              <w:left w:val="nil"/>
              <w:bottom w:val="nil"/>
              <w:right w:val="single" w:sz="8" w:space="0" w:color="auto"/>
            </w:tcBorders>
            <w:shd w:val="clear" w:color="auto" w:fill="auto"/>
            <w:vAlign w:val="center"/>
            <w:hideMark/>
          </w:tcPr>
          <w:p w14:paraId="03EFE2CC"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ABF.G556</w:t>
            </w:r>
          </w:p>
        </w:tc>
      </w:tr>
      <w:tr w:rsidR="000643B5" w:rsidRPr="00113B0F" w14:paraId="7DAB051E"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35E42850" w14:textId="77777777" w:rsidR="000643B5" w:rsidRPr="00113B0F" w:rsidRDefault="000643B5" w:rsidP="00080E19">
            <w:pPr>
              <w:spacing w:after="0" w:line="240" w:lineRule="auto"/>
              <w:ind w:firstLineChars="200" w:firstLine="320"/>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167 - TRANSFERÊNCIAS OBRIGATÓRIAS PARA AÇÕES DE DEFESA CIVIL</w:t>
            </w:r>
          </w:p>
        </w:tc>
        <w:tc>
          <w:tcPr>
            <w:tcW w:w="1276" w:type="dxa"/>
            <w:tcBorders>
              <w:top w:val="nil"/>
              <w:left w:val="nil"/>
              <w:bottom w:val="nil"/>
              <w:right w:val="single" w:sz="8" w:space="0" w:color="auto"/>
            </w:tcBorders>
            <w:shd w:val="clear" w:color="auto" w:fill="auto"/>
            <w:vAlign w:val="center"/>
            <w:hideMark/>
          </w:tcPr>
          <w:p w14:paraId="0CEB43DB"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ABF.B557</w:t>
            </w:r>
          </w:p>
        </w:tc>
        <w:tc>
          <w:tcPr>
            <w:tcW w:w="1559" w:type="dxa"/>
            <w:tcBorders>
              <w:top w:val="nil"/>
              <w:left w:val="nil"/>
              <w:bottom w:val="nil"/>
              <w:right w:val="single" w:sz="8" w:space="0" w:color="auto"/>
            </w:tcBorders>
            <w:shd w:val="clear" w:color="auto" w:fill="auto"/>
            <w:vAlign w:val="center"/>
            <w:hideMark/>
          </w:tcPr>
          <w:p w14:paraId="3896E447"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ABF.C557</w:t>
            </w:r>
          </w:p>
        </w:tc>
        <w:tc>
          <w:tcPr>
            <w:tcW w:w="1417" w:type="dxa"/>
            <w:tcBorders>
              <w:top w:val="nil"/>
              <w:left w:val="nil"/>
              <w:bottom w:val="nil"/>
              <w:right w:val="single" w:sz="8" w:space="0" w:color="auto"/>
            </w:tcBorders>
            <w:shd w:val="clear" w:color="auto" w:fill="auto"/>
            <w:vAlign w:val="center"/>
            <w:hideMark/>
          </w:tcPr>
          <w:p w14:paraId="0FC048B8"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ABF.D557</w:t>
            </w:r>
          </w:p>
        </w:tc>
        <w:tc>
          <w:tcPr>
            <w:tcW w:w="1276" w:type="dxa"/>
            <w:tcBorders>
              <w:top w:val="nil"/>
              <w:left w:val="nil"/>
              <w:bottom w:val="nil"/>
              <w:right w:val="single" w:sz="8" w:space="0" w:color="auto"/>
            </w:tcBorders>
            <w:shd w:val="clear" w:color="auto" w:fill="auto"/>
            <w:vAlign w:val="center"/>
            <w:hideMark/>
          </w:tcPr>
          <w:p w14:paraId="5EB274E9"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ABF.E557</w:t>
            </w:r>
          </w:p>
        </w:tc>
        <w:tc>
          <w:tcPr>
            <w:tcW w:w="1559" w:type="dxa"/>
            <w:gridSpan w:val="2"/>
            <w:tcBorders>
              <w:top w:val="nil"/>
              <w:left w:val="nil"/>
              <w:bottom w:val="nil"/>
              <w:right w:val="single" w:sz="8" w:space="0" w:color="auto"/>
            </w:tcBorders>
            <w:shd w:val="clear" w:color="auto" w:fill="auto"/>
            <w:vAlign w:val="center"/>
            <w:hideMark/>
          </w:tcPr>
          <w:p w14:paraId="7F3C0614"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ABF.F557</w:t>
            </w:r>
          </w:p>
        </w:tc>
        <w:tc>
          <w:tcPr>
            <w:tcW w:w="1134" w:type="dxa"/>
            <w:gridSpan w:val="2"/>
            <w:tcBorders>
              <w:top w:val="nil"/>
              <w:left w:val="nil"/>
              <w:bottom w:val="nil"/>
              <w:right w:val="single" w:sz="8" w:space="0" w:color="auto"/>
            </w:tcBorders>
            <w:shd w:val="clear" w:color="auto" w:fill="auto"/>
            <w:vAlign w:val="center"/>
            <w:hideMark/>
          </w:tcPr>
          <w:p w14:paraId="3CC21BA3"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ABF.G557</w:t>
            </w:r>
          </w:p>
        </w:tc>
      </w:tr>
      <w:tr w:rsidR="00E53CFB" w:rsidRPr="00E53CFB" w14:paraId="60248B8C"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tcPr>
          <w:p w14:paraId="18C64ADA" w14:textId="3DEC2130" w:rsidR="00E53CFB" w:rsidRPr="00E53CFB" w:rsidRDefault="00E53CFB" w:rsidP="00080E19">
            <w:pPr>
              <w:spacing w:after="0" w:line="240" w:lineRule="auto"/>
              <w:ind w:firstLineChars="200" w:firstLine="320"/>
              <w:rPr>
                <w:rFonts w:ascii="Arial Narrow" w:eastAsia="Times New Roman" w:hAnsi="Arial Narrow" w:cs="Arial"/>
                <w:color w:val="0070C0"/>
                <w:sz w:val="16"/>
                <w:szCs w:val="16"/>
                <w:lang w:eastAsia="pt-BR"/>
              </w:rPr>
            </w:pPr>
            <w:r>
              <w:rPr>
                <w:rFonts w:ascii="Arial Narrow" w:eastAsia="Times New Roman" w:hAnsi="Arial Narrow" w:cs="Arial"/>
                <w:color w:val="0070C0"/>
                <w:sz w:val="16"/>
                <w:szCs w:val="16"/>
                <w:lang w:eastAsia="pt-BR"/>
              </w:rPr>
              <w:t xml:space="preserve">177 -- </w:t>
            </w:r>
            <w:r w:rsidRPr="00E53CFB">
              <w:rPr>
                <w:rFonts w:ascii="Arial Narrow" w:eastAsia="Times New Roman" w:hAnsi="Arial Narrow" w:cs="Arial"/>
                <w:color w:val="0070C0"/>
                <w:sz w:val="16"/>
                <w:szCs w:val="16"/>
                <w:lang w:eastAsia="pt-BR"/>
              </w:rPr>
              <w:t>TRANSFERÊNCIA ESPECIAL DA UNIÃO – EMENDAS PARLAMENTARES INDIVIDUAIS IMPOSITIVAS (Art. 166-A, I CF/88),</w:t>
            </w:r>
          </w:p>
        </w:tc>
        <w:tc>
          <w:tcPr>
            <w:tcW w:w="1276" w:type="dxa"/>
            <w:tcBorders>
              <w:top w:val="nil"/>
              <w:left w:val="nil"/>
              <w:bottom w:val="nil"/>
              <w:right w:val="single" w:sz="8" w:space="0" w:color="auto"/>
            </w:tcBorders>
            <w:shd w:val="clear" w:color="auto" w:fill="auto"/>
            <w:vAlign w:val="center"/>
          </w:tcPr>
          <w:p w14:paraId="0A32592D" w14:textId="26469B06" w:rsidR="00E53CFB" w:rsidRPr="00E53CFB" w:rsidRDefault="005E1C9E" w:rsidP="00080E19">
            <w:pPr>
              <w:spacing w:after="0" w:line="240" w:lineRule="auto"/>
              <w:jc w:val="center"/>
              <w:rPr>
                <w:rFonts w:ascii="Arial Narrow" w:eastAsia="Times New Roman" w:hAnsi="Arial Narrow" w:cs="Arial"/>
                <w:color w:val="0070C0"/>
                <w:sz w:val="16"/>
                <w:szCs w:val="16"/>
                <w:lang w:eastAsia="pt-BR"/>
              </w:rPr>
            </w:pPr>
            <w:r>
              <w:rPr>
                <w:rFonts w:ascii="Arial Narrow" w:eastAsia="Times New Roman" w:hAnsi="Arial Narrow" w:cs="Arial"/>
                <w:color w:val="0070C0"/>
                <w:sz w:val="16"/>
                <w:szCs w:val="16"/>
                <w:lang w:eastAsia="pt-BR"/>
              </w:rPr>
              <w:t>ABF.B60</w:t>
            </w:r>
            <w:r w:rsidR="007B6F55">
              <w:rPr>
                <w:rFonts w:ascii="Arial Narrow" w:eastAsia="Times New Roman" w:hAnsi="Arial Narrow" w:cs="Arial"/>
                <w:color w:val="0070C0"/>
                <w:sz w:val="16"/>
                <w:szCs w:val="16"/>
                <w:lang w:eastAsia="pt-BR"/>
              </w:rPr>
              <w:t>7</w:t>
            </w:r>
          </w:p>
        </w:tc>
        <w:tc>
          <w:tcPr>
            <w:tcW w:w="1559" w:type="dxa"/>
            <w:tcBorders>
              <w:top w:val="nil"/>
              <w:left w:val="nil"/>
              <w:bottom w:val="nil"/>
              <w:right w:val="single" w:sz="8" w:space="0" w:color="auto"/>
            </w:tcBorders>
            <w:shd w:val="clear" w:color="auto" w:fill="auto"/>
            <w:vAlign w:val="center"/>
          </w:tcPr>
          <w:p w14:paraId="4893CDDE" w14:textId="48A25012" w:rsidR="00E53CFB" w:rsidRPr="00E53CFB" w:rsidRDefault="005E1C9E" w:rsidP="00080E19">
            <w:pPr>
              <w:spacing w:after="0" w:line="240" w:lineRule="auto"/>
              <w:jc w:val="center"/>
              <w:rPr>
                <w:rFonts w:ascii="Arial Narrow" w:eastAsia="Times New Roman" w:hAnsi="Arial Narrow" w:cs="Arial"/>
                <w:color w:val="0070C0"/>
                <w:sz w:val="16"/>
                <w:szCs w:val="16"/>
                <w:lang w:eastAsia="pt-BR"/>
              </w:rPr>
            </w:pPr>
            <w:r>
              <w:rPr>
                <w:rFonts w:ascii="Arial Narrow" w:eastAsia="Times New Roman" w:hAnsi="Arial Narrow" w:cs="Arial"/>
                <w:color w:val="0070C0"/>
                <w:sz w:val="16"/>
                <w:szCs w:val="16"/>
                <w:lang w:eastAsia="pt-BR"/>
              </w:rPr>
              <w:t>ABF.C60</w:t>
            </w:r>
            <w:r w:rsidR="007B6F55">
              <w:rPr>
                <w:rFonts w:ascii="Arial Narrow" w:eastAsia="Times New Roman" w:hAnsi="Arial Narrow" w:cs="Arial"/>
                <w:color w:val="0070C0"/>
                <w:sz w:val="16"/>
                <w:szCs w:val="16"/>
                <w:lang w:eastAsia="pt-BR"/>
              </w:rPr>
              <w:t>7</w:t>
            </w:r>
          </w:p>
        </w:tc>
        <w:tc>
          <w:tcPr>
            <w:tcW w:w="1417" w:type="dxa"/>
            <w:tcBorders>
              <w:top w:val="nil"/>
              <w:left w:val="nil"/>
              <w:bottom w:val="nil"/>
              <w:right w:val="single" w:sz="8" w:space="0" w:color="auto"/>
            </w:tcBorders>
            <w:shd w:val="clear" w:color="auto" w:fill="auto"/>
            <w:vAlign w:val="center"/>
          </w:tcPr>
          <w:p w14:paraId="694D922A" w14:textId="4C23BA3C" w:rsidR="00E53CFB" w:rsidRPr="00E53CFB" w:rsidRDefault="005E1C9E" w:rsidP="00080E19">
            <w:pPr>
              <w:spacing w:after="0" w:line="240" w:lineRule="auto"/>
              <w:jc w:val="center"/>
              <w:rPr>
                <w:rFonts w:ascii="Arial Narrow" w:eastAsia="Times New Roman" w:hAnsi="Arial Narrow" w:cs="Arial"/>
                <w:color w:val="0070C0"/>
                <w:sz w:val="16"/>
                <w:szCs w:val="16"/>
                <w:lang w:eastAsia="pt-BR"/>
              </w:rPr>
            </w:pPr>
            <w:r>
              <w:rPr>
                <w:rFonts w:ascii="Arial Narrow" w:eastAsia="Times New Roman" w:hAnsi="Arial Narrow" w:cs="Arial"/>
                <w:color w:val="0070C0"/>
                <w:sz w:val="16"/>
                <w:szCs w:val="16"/>
                <w:lang w:eastAsia="pt-BR"/>
              </w:rPr>
              <w:t>ABF.D60</w:t>
            </w:r>
            <w:r w:rsidR="007B6F55">
              <w:rPr>
                <w:rFonts w:ascii="Arial Narrow" w:eastAsia="Times New Roman" w:hAnsi="Arial Narrow" w:cs="Arial"/>
                <w:color w:val="0070C0"/>
                <w:sz w:val="16"/>
                <w:szCs w:val="16"/>
                <w:lang w:eastAsia="pt-BR"/>
              </w:rPr>
              <w:t>7</w:t>
            </w:r>
          </w:p>
        </w:tc>
        <w:tc>
          <w:tcPr>
            <w:tcW w:w="1276" w:type="dxa"/>
            <w:tcBorders>
              <w:top w:val="nil"/>
              <w:left w:val="nil"/>
              <w:bottom w:val="nil"/>
              <w:right w:val="single" w:sz="8" w:space="0" w:color="auto"/>
            </w:tcBorders>
            <w:shd w:val="clear" w:color="auto" w:fill="auto"/>
            <w:vAlign w:val="center"/>
          </w:tcPr>
          <w:p w14:paraId="5FED5143" w14:textId="2103C55E" w:rsidR="00E53CFB" w:rsidRPr="00E53CFB" w:rsidRDefault="005E1C9E" w:rsidP="00080E19">
            <w:pPr>
              <w:spacing w:after="0" w:line="240" w:lineRule="auto"/>
              <w:jc w:val="center"/>
              <w:rPr>
                <w:rFonts w:ascii="Arial Narrow" w:eastAsia="Times New Roman" w:hAnsi="Arial Narrow" w:cs="Arial"/>
                <w:color w:val="0070C0"/>
                <w:sz w:val="16"/>
                <w:szCs w:val="16"/>
                <w:lang w:eastAsia="pt-BR"/>
              </w:rPr>
            </w:pPr>
            <w:r>
              <w:rPr>
                <w:rFonts w:ascii="Arial Narrow" w:eastAsia="Times New Roman" w:hAnsi="Arial Narrow" w:cs="Arial"/>
                <w:color w:val="0070C0"/>
                <w:sz w:val="16"/>
                <w:szCs w:val="16"/>
                <w:lang w:eastAsia="pt-BR"/>
              </w:rPr>
              <w:t>ABF.E60</w:t>
            </w:r>
            <w:r w:rsidR="007B6F55">
              <w:rPr>
                <w:rFonts w:ascii="Arial Narrow" w:eastAsia="Times New Roman" w:hAnsi="Arial Narrow" w:cs="Arial"/>
                <w:color w:val="0070C0"/>
                <w:sz w:val="16"/>
                <w:szCs w:val="16"/>
                <w:lang w:eastAsia="pt-BR"/>
              </w:rPr>
              <w:t>7</w:t>
            </w:r>
          </w:p>
        </w:tc>
        <w:tc>
          <w:tcPr>
            <w:tcW w:w="1559" w:type="dxa"/>
            <w:gridSpan w:val="2"/>
            <w:tcBorders>
              <w:top w:val="nil"/>
              <w:left w:val="nil"/>
              <w:bottom w:val="nil"/>
              <w:right w:val="single" w:sz="8" w:space="0" w:color="auto"/>
            </w:tcBorders>
            <w:shd w:val="clear" w:color="auto" w:fill="auto"/>
            <w:vAlign w:val="center"/>
          </w:tcPr>
          <w:p w14:paraId="2E5368C8" w14:textId="20C593A4" w:rsidR="00E53CFB" w:rsidRPr="00E53CFB" w:rsidRDefault="005E1C9E" w:rsidP="00080E19">
            <w:pPr>
              <w:spacing w:after="0" w:line="240" w:lineRule="auto"/>
              <w:jc w:val="center"/>
              <w:rPr>
                <w:rFonts w:ascii="Arial Narrow" w:eastAsia="Times New Roman" w:hAnsi="Arial Narrow" w:cs="Arial"/>
                <w:color w:val="0070C0"/>
                <w:sz w:val="16"/>
                <w:szCs w:val="16"/>
                <w:lang w:eastAsia="pt-BR"/>
              </w:rPr>
            </w:pPr>
            <w:r>
              <w:rPr>
                <w:rFonts w:ascii="Arial Narrow" w:eastAsia="Times New Roman" w:hAnsi="Arial Narrow" w:cs="Arial"/>
                <w:color w:val="0070C0"/>
                <w:sz w:val="16"/>
                <w:szCs w:val="16"/>
                <w:lang w:eastAsia="pt-BR"/>
              </w:rPr>
              <w:t>ABF.F60</w:t>
            </w:r>
            <w:r w:rsidR="007B6F55">
              <w:rPr>
                <w:rFonts w:ascii="Arial Narrow" w:eastAsia="Times New Roman" w:hAnsi="Arial Narrow" w:cs="Arial"/>
                <w:color w:val="0070C0"/>
                <w:sz w:val="16"/>
                <w:szCs w:val="16"/>
                <w:lang w:eastAsia="pt-BR"/>
              </w:rPr>
              <w:t>7</w:t>
            </w:r>
          </w:p>
        </w:tc>
        <w:tc>
          <w:tcPr>
            <w:tcW w:w="1134" w:type="dxa"/>
            <w:gridSpan w:val="2"/>
            <w:tcBorders>
              <w:top w:val="nil"/>
              <w:left w:val="nil"/>
              <w:bottom w:val="nil"/>
              <w:right w:val="single" w:sz="8" w:space="0" w:color="auto"/>
            </w:tcBorders>
            <w:shd w:val="clear" w:color="auto" w:fill="auto"/>
            <w:vAlign w:val="center"/>
          </w:tcPr>
          <w:p w14:paraId="50E79AA5" w14:textId="459D22D4" w:rsidR="00E53CFB" w:rsidRPr="00E53CFB" w:rsidRDefault="005E1C9E" w:rsidP="00080E19">
            <w:pPr>
              <w:spacing w:after="0" w:line="240" w:lineRule="auto"/>
              <w:jc w:val="center"/>
              <w:rPr>
                <w:rFonts w:ascii="Arial Narrow" w:eastAsia="Times New Roman" w:hAnsi="Arial Narrow" w:cs="Arial"/>
                <w:color w:val="0070C0"/>
                <w:sz w:val="16"/>
                <w:szCs w:val="16"/>
                <w:lang w:eastAsia="pt-BR"/>
              </w:rPr>
            </w:pPr>
            <w:r>
              <w:rPr>
                <w:rFonts w:ascii="Arial Narrow" w:eastAsia="Times New Roman" w:hAnsi="Arial Narrow" w:cs="Arial"/>
                <w:color w:val="0070C0"/>
                <w:sz w:val="16"/>
                <w:szCs w:val="16"/>
                <w:lang w:eastAsia="pt-BR"/>
              </w:rPr>
              <w:t>ABF.G60</w:t>
            </w:r>
            <w:r w:rsidR="007B6F55">
              <w:rPr>
                <w:rFonts w:ascii="Arial Narrow" w:eastAsia="Times New Roman" w:hAnsi="Arial Narrow" w:cs="Arial"/>
                <w:color w:val="0070C0"/>
                <w:sz w:val="16"/>
                <w:szCs w:val="16"/>
                <w:lang w:eastAsia="pt-BR"/>
              </w:rPr>
              <w:t>7</w:t>
            </w:r>
          </w:p>
        </w:tc>
      </w:tr>
      <w:tr w:rsidR="00E0015E" w:rsidRPr="00E53CFB" w14:paraId="6FAEE988"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tcPr>
          <w:p w14:paraId="7524BBF5" w14:textId="392B516F" w:rsidR="00E0015E" w:rsidRDefault="00E0015E" w:rsidP="00E0015E">
            <w:pPr>
              <w:spacing w:after="0" w:line="240" w:lineRule="auto"/>
              <w:ind w:firstLineChars="200" w:firstLine="320"/>
              <w:rPr>
                <w:rFonts w:ascii="Arial Narrow" w:eastAsia="Times New Roman" w:hAnsi="Arial Narrow" w:cs="Arial"/>
                <w:color w:val="0070C0"/>
                <w:sz w:val="16"/>
                <w:szCs w:val="16"/>
                <w:lang w:eastAsia="pt-BR"/>
              </w:rPr>
            </w:pPr>
            <w:r>
              <w:rPr>
                <w:rFonts w:ascii="Arial Narrow" w:eastAsia="Times New Roman" w:hAnsi="Arial Narrow" w:cs="Arial"/>
                <w:color w:val="0070C0"/>
                <w:sz w:val="16"/>
                <w:szCs w:val="16"/>
                <w:lang w:eastAsia="pt-BR"/>
              </w:rPr>
              <w:t>179 – OUTROS RECURSOS VINCULADOS</w:t>
            </w:r>
          </w:p>
        </w:tc>
        <w:tc>
          <w:tcPr>
            <w:tcW w:w="1276" w:type="dxa"/>
            <w:tcBorders>
              <w:top w:val="nil"/>
              <w:left w:val="nil"/>
              <w:bottom w:val="nil"/>
              <w:right w:val="single" w:sz="8" w:space="0" w:color="auto"/>
            </w:tcBorders>
            <w:shd w:val="clear" w:color="auto" w:fill="auto"/>
            <w:vAlign w:val="center"/>
          </w:tcPr>
          <w:p w14:paraId="1D4B907B" w14:textId="33AE6E6B" w:rsidR="00E0015E" w:rsidRDefault="00E0015E" w:rsidP="00E0015E">
            <w:pPr>
              <w:spacing w:after="0" w:line="240" w:lineRule="auto"/>
              <w:jc w:val="center"/>
              <w:rPr>
                <w:rFonts w:ascii="Arial Narrow" w:eastAsia="Times New Roman" w:hAnsi="Arial Narrow" w:cs="Arial"/>
                <w:color w:val="0070C0"/>
                <w:sz w:val="16"/>
                <w:szCs w:val="16"/>
                <w:lang w:eastAsia="pt-BR"/>
              </w:rPr>
            </w:pPr>
            <w:r>
              <w:rPr>
                <w:rFonts w:ascii="Arial Narrow" w:eastAsia="Times New Roman" w:hAnsi="Arial Narrow" w:cs="Arial"/>
                <w:color w:val="0070C0"/>
                <w:sz w:val="16"/>
                <w:szCs w:val="16"/>
                <w:lang w:eastAsia="pt-BR"/>
              </w:rPr>
              <w:t>ABF.B608</w:t>
            </w:r>
          </w:p>
        </w:tc>
        <w:tc>
          <w:tcPr>
            <w:tcW w:w="1559" w:type="dxa"/>
            <w:tcBorders>
              <w:top w:val="nil"/>
              <w:left w:val="nil"/>
              <w:bottom w:val="nil"/>
              <w:right w:val="single" w:sz="8" w:space="0" w:color="auto"/>
            </w:tcBorders>
            <w:shd w:val="clear" w:color="auto" w:fill="auto"/>
            <w:vAlign w:val="center"/>
          </w:tcPr>
          <w:p w14:paraId="76F27681" w14:textId="272C6008" w:rsidR="00E0015E" w:rsidRDefault="00E0015E" w:rsidP="00E0015E">
            <w:pPr>
              <w:spacing w:after="0" w:line="240" w:lineRule="auto"/>
              <w:jc w:val="center"/>
              <w:rPr>
                <w:rFonts w:ascii="Arial Narrow" w:eastAsia="Times New Roman" w:hAnsi="Arial Narrow" w:cs="Arial"/>
                <w:color w:val="0070C0"/>
                <w:sz w:val="16"/>
                <w:szCs w:val="16"/>
                <w:lang w:eastAsia="pt-BR"/>
              </w:rPr>
            </w:pPr>
            <w:r>
              <w:rPr>
                <w:rFonts w:ascii="Arial Narrow" w:eastAsia="Times New Roman" w:hAnsi="Arial Narrow" w:cs="Arial"/>
                <w:color w:val="0070C0"/>
                <w:sz w:val="16"/>
                <w:szCs w:val="16"/>
                <w:lang w:eastAsia="pt-BR"/>
              </w:rPr>
              <w:t>ABF.C608</w:t>
            </w:r>
          </w:p>
        </w:tc>
        <w:tc>
          <w:tcPr>
            <w:tcW w:w="1417" w:type="dxa"/>
            <w:tcBorders>
              <w:top w:val="nil"/>
              <w:left w:val="nil"/>
              <w:bottom w:val="nil"/>
              <w:right w:val="single" w:sz="8" w:space="0" w:color="auto"/>
            </w:tcBorders>
            <w:shd w:val="clear" w:color="auto" w:fill="auto"/>
            <w:vAlign w:val="center"/>
          </w:tcPr>
          <w:p w14:paraId="4EB91911" w14:textId="2456CB86" w:rsidR="00E0015E" w:rsidRDefault="00E0015E" w:rsidP="00E0015E">
            <w:pPr>
              <w:spacing w:after="0" w:line="240" w:lineRule="auto"/>
              <w:jc w:val="center"/>
              <w:rPr>
                <w:rFonts w:ascii="Arial Narrow" w:eastAsia="Times New Roman" w:hAnsi="Arial Narrow" w:cs="Arial"/>
                <w:color w:val="0070C0"/>
                <w:sz w:val="16"/>
                <w:szCs w:val="16"/>
                <w:lang w:eastAsia="pt-BR"/>
              </w:rPr>
            </w:pPr>
            <w:r>
              <w:rPr>
                <w:rFonts w:ascii="Arial Narrow" w:eastAsia="Times New Roman" w:hAnsi="Arial Narrow" w:cs="Arial"/>
                <w:color w:val="0070C0"/>
                <w:sz w:val="16"/>
                <w:szCs w:val="16"/>
                <w:lang w:eastAsia="pt-BR"/>
              </w:rPr>
              <w:t>ABF.D608</w:t>
            </w:r>
          </w:p>
        </w:tc>
        <w:tc>
          <w:tcPr>
            <w:tcW w:w="1276" w:type="dxa"/>
            <w:tcBorders>
              <w:top w:val="nil"/>
              <w:left w:val="nil"/>
              <w:bottom w:val="nil"/>
              <w:right w:val="single" w:sz="8" w:space="0" w:color="auto"/>
            </w:tcBorders>
            <w:shd w:val="clear" w:color="auto" w:fill="auto"/>
            <w:vAlign w:val="center"/>
          </w:tcPr>
          <w:p w14:paraId="2E0371BA" w14:textId="69B7A143" w:rsidR="00E0015E" w:rsidRDefault="00E0015E" w:rsidP="00E0015E">
            <w:pPr>
              <w:spacing w:after="0" w:line="240" w:lineRule="auto"/>
              <w:jc w:val="center"/>
              <w:rPr>
                <w:rFonts w:ascii="Arial Narrow" w:eastAsia="Times New Roman" w:hAnsi="Arial Narrow" w:cs="Arial"/>
                <w:color w:val="0070C0"/>
                <w:sz w:val="16"/>
                <w:szCs w:val="16"/>
                <w:lang w:eastAsia="pt-BR"/>
              </w:rPr>
            </w:pPr>
            <w:r>
              <w:rPr>
                <w:rFonts w:ascii="Arial Narrow" w:eastAsia="Times New Roman" w:hAnsi="Arial Narrow" w:cs="Arial"/>
                <w:color w:val="0070C0"/>
                <w:sz w:val="16"/>
                <w:szCs w:val="16"/>
                <w:lang w:eastAsia="pt-BR"/>
              </w:rPr>
              <w:t>ABF.E608</w:t>
            </w:r>
          </w:p>
        </w:tc>
        <w:tc>
          <w:tcPr>
            <w:tcW w:w="1559" w:type="dxa"/>
            <w:gridSpan w:val="2"/>
            <w:tcBorders>
              <w:top w:val="nil"/>
              <w:left w:val="nil"/>
              <w:bottom w:val="nil"/>
              <w:right w:val="single" w:sz="8" w:space="0" w:color="auto"/>
            </w:tcBorders>
            <w:shd w:val="clear" w:color="auto" w:fill="auto"/>
            <w:vAlign w:val="center"/>
          </w:tcPr>
          <w:p w14:paraId="552EAA29" w14:textId="0F3D7A39" w:rsidR="00E0015E" w:rsidRDefault="00E0015E" w:rsidP="00E0015E">
            <w:pPr>
              <w:spacing w:after="0" w:line="240" w:lineRule="auto"/>
              <w:jc w:val="center"/>
              <w:rPr>
                <w:rFonts w:ascii="Arial Narrow" w:eastAsia="Times New Roman" w:hAnsi="Arial Narrow" w:cs="Arial"/>
                <w:color w:val="0070C0"/>
                <w:sz w:val="16"/>
                <w:szCs w:val="16"/>
                <w:lang w:eastAsia="pt-BR"/>
              </w:rPr>
            </w:pPr>
            <w:r>
              <w:rPr>
                <w:rFonts w:ascii="Arial Narrow" w:eastAsia="Times New Roman" w:hAnsi="Arial Narrow" w:cs="Arial"/>
                <w:color w:val="0070C0"/>
                <w:sz w:val="16"/>
                <w:szCs w:val="16"/>
                <w:lang w:eastAsia="pt-BR"/>
              </w:rPr>
              <w:t>ABF.F608</w:t>
            </w:r>
          </w:p>
        </w:tc>
        <w:tc>
          <w:tcPr>
            <w:tcW w:w="1134" w:type="dxa"/>
            <w:gridSpan w:val="2"/>
            <w:tcBorders>
              <w:top w:val="nil"/>
              <w:left w:val="nil"/>
              <w:bottom w:val="nil"/>
              <w:right w:val="single" w:sz="8" w:space="0" w:color="auto"/>
            </w:tcBorders>
            <w:shd w:val="clear" w:color="auto" w:fill="auto"/>
            <w:vAlign w:val="center"/>
          </w:tcPr>
          <w:p w14:paraId="7A42CC92" w14:textId="7C418B1E" w:rsidR="00E0015E" w:rsidRDefault="00E0015E" w:rsidP="00E0015E">
            <w:pPr>
              <w:spacing w:after="0" w:line="240" w:lineRule="auto"/>
              <w:jc w:val="center"/>
              <w:rPr>
                <w:rFonts w:ascii="Arial Narrow" w:eastAsia="Times New Roman" w:hAnsi="Arial Narrow" w:cs="Arial"/>
                <w:color w:val="0070C0"/>
                <w:sz w:val="16"/>
                <w:szCs w:val="16"/>
                <w:lang w:eastAsia="pt-BR"/>
              </w:rPr>
            </w:pPr>
            <w:r>
              <w:rPr>
                <w:rFonts w:ascii="Arial Narrow" w:eastAsia="Times New Roman" w:hAnsi="Arial Narrow" w:cs="Arial"/>
                <w:color w:val="0070C0"/>
                <w:sz w:val="16"/>
                <w:szCs w:val="16"/>
                <w:lang w:eastAsia="pt-BR"/>
              </w:rPr>
              <w:t>ABF.G608</w:t>
            </w:r>
          </w:p>
        </w:tc>
      </w:tr>
      <w:tr w:rsidR="000643B5" w:rsidRPr="00113B0F" w14:paraId="2C1D74CB"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24F045FD" w14:textId="77777777" w:rsidR="000643B5" w:rsidRPr="00113B0F" w:rsidRDefault="000643B5" w:rsidP="00080E19">
            <w:pPr>
              <w:spacing w:after="0" w:line="240" w:lineRule="auto"/>
              <w:ind w:firstLineChars="200" w:firstLine="320"/>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271 - ARRECADADO PELO ÓRGÃO</w:t>
            </w:r>
          </w:p>
        </w:tc>
        <w:tc>
          <w:tcPr>
            <w:tcW w:w="1276" w:type="dxa"/>
            <w:tcBorders>
              <w:top w:val="nil"/>
              <w:left w:val="nil"/>
              <w:bottom w:val="nil"/>
              <w:right w:val="single" w:sz="8" w:space="0" w:color="auto"/>
            </w:tcBorders>
            <w:shd w:val="clear" w:color="auto" w:fill="auto"/>
            <w:vAlign w:val="center"/>
            <w:hideMark/>
          </w:tcPr>
          <w:p w14:paraId="30B9B894"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ABF.B559</w:t>
            </w:r>
          </w:p>
        </w:tc>
        <w:tc>
          <w:tcPr>
            <w:tcW w:w="1559" w:type="dxa"/>
            <w:tcBorders>
              <w:top w:val="nil"/>
              <w:left w:val="nil"/>
              <w:bottom w:val="nil"/>
              <w:right w:val="single" w:sz="8" w:space="0" w:color="auto"/>
            </w:tcBorders>
            <w:shd w:val="clear" w:color="auto" w:fill="auto"/>
            <w:vAlign w:val="center"/>
            <w:hideMark/>
          </w:tcPr>
          <w:p w14:paraId="5FEACC0C"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ABF.C559</w:t>
            </w:r>
          </w:p>
        </w:tc>
        <w:tc>
          <w:tcPr>
            <w:tcW w:w="1417" w:type="dxa"/>
            <w:tcBorders>
              <w:top w:val="nil"/>
              <w:left w:val="nil"/>
              <w:bottom w:val="nil"/>
              <w:right w:val="single" w:sz="8" w:space="0" w:color="auto"/>
            </w:tcBorders>
            <w:shd w:val="clear" w:color="auto" w:fill="auto"/>
            <w:vAlign w:val="center"/>
            <w:hideMark/>
          </w:tcPr>
          <w:p w14:paraId="4DA2D0BC"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ABF.D559</w:t>
            </w:r>
          </w:p>
        </w:tc>
        <w:tc>
          <w:tcPr>
            <w:tcW w:w="1276" w:type="dxa"/>
            <w:tcBorders>
              <w:top w:val="nil"/>
              <w:left w:val="nil"/>
              <w:bottom w:val="nil"/>
              <w:right w:val="single" w:sz="8" w:space="0" w:color="auto"/>
            </w:tcBorders>
            <w:shd w:val="clear" w:color="auto" w:fill="auto"/>
            <w:vAlign w:val="center"/>
            <w:hideMark/>
          </w:tcPr>
          <w:p w14:paraId="7A2E971B"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ABF.E559</w:t>
            </w:r>
          </w:p>
        </w:tc>
        <w:tc>
          <w:tcPr>
            <w:tcW w:w="1559" w:type="dxa"/>
            <w:gridSpan w:val="2"/>
            <w:tcBorders>
              <w:top w:val="nil"/>
              <w:left w:val="nil"/>
              <w:bottom w:val="nil"/>
              <w:right w:val="single" w:sz="8" w:space="0" w:color="auto"/>
            </w:tcBorders>
            <w:shd w:val="clear" w:color="auto" w:fill="auto"/>
            <w:vAlign w:val="center"/>
            <w:hideMark/>
          </w:tcPr>
          <w:p w14:paraId="6867ECB4"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ABF.F559</w:t>
            </w:r>
          </w:p>
        </w:tc>
        <w:tc>
          <w:tcPr>
            <w:tcW w:w="1134" w:type="dxa"/>
            <w:gridSpan w:val="2"/>
            <w:tcBorders>
              <w:top w:val="nil"/>
              <w:left w:val="nil"/>
              <w:bottom w:val="nil"/>
              <w:right w:val="single" w:sz="8" w:space="0" w:color="auto"/>
            </w:tcBorders>
            <w:shd w:val="clear" w:color="auto" w:fill="auto"/>
            <w:vAlign w:val="center"/>
            <w:hideMark/>
          </w:tcPr>
          <w:p w14:paraId="75F0A601"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ABF.G559</w:t>
            </w:r>
          </w:p>
        </w:tc>
      </w:tr>
      <w:tr w:rsidR="000643B5" w:rsidRPr="00113B0F" w14:paraId="74F77E96"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0116501D" w14:textId="77777777" w:rsidR="000643B5" w:rsidRPr="00113B0F" w:rsidRDefault="000643B5" w:rsidP="00080E19">
            <w:pPr>
              <w:spacing w:after="0" w:line="240" w:lineRule="auto"/>
              <w:ind w:firstLineChars="200" w:firstLine="320"/>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272 - CONVÊNIOS COM ÓRGÃOS FEDERAIS</w:t>
            </w:r>
          </w:p>
        </w:tc>
        <w:tc>
          <w:tcPr>
            <w:tcW w:w="1276" w:type="dxa"/>
            <w:tcBorders>
              <w:top w:val="nil"/>
              <w:left w:val="nil"/>
              <w:bottom w:val="nil"/>
              <w:right w:val="single" w:sz="8" w:space="0" w:color="auto"/>
            </w:tcBorders>
            <w:shd w:val="clear" w:color="auto" w:fill="auto"/>
            <w:vAlign w:val="center"/>
            <w:hideMark/>
          </w:tcPr>
          <w:p w14:paraId="500C1D22"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ABF.B560</w:t>
            </w:r>
          </w:p>
        </w:tc>
        <w:tc>
          <w:tcPr>
            <w:tcW w:w="1559" w:type="dxa"/>
            <w:tcBorders>
              <w:top w:val="nil"/>
              <w:left w:val="nil"/>
              <w:bottom w:val="nil"/>
              <w:right w:val="single" w:sz="8" w:space="0" w:color="auto"/>
            </w:tcBorders>
            <w:shd w:val="clear" w:color="auto" w:fill="auto"/>
            <w:vAlign w:val="center"/>
            <w:hideMark/>
          </w:tcPr>
          <w:p w14:paraId="7BC68ED2"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ABF.C560</w:t>
            </w:r>
          </w:p>
        </w:tc>
        <w:tc>
          <w:tcPr>
            <w:tcW w:w="1417" w:type="dxa"/>
            <w:tcBorders>
              <w:top w:val="nil"/>
              <w:left w:val="nil"/>
              <w:bottom w:val="nil"/>
              <w:right w:val="single" w:sz="8" w:space="0" w:color="auto"/>
            </w:tcBorders>
            <w:shd w:val="clear" w:color="auto" w:fill="auto"/>
            <w:vAlign w:val="center"/>
            <w:hideMark/>
          </w:tcPr>
          <w:p w14:paraId="0B62020F"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ABF.D560</w:t>
            </w:r>
          </w:p>
        </w:tc>
        <w:tc>
          <w:tcPr>
            <w:tcW w:w="1276" w:type="dxa"/>
            <w:tcBorders>
              <w:top w:val="nil"/>
              <w:left w:val="nil"/>
              <w:bottom w:val="nil"/>
              <w:right w:val="single" w:sz="8" w:space="0" w:color="auto"/>
            </w:tcBorders>
            <w:shd w:val="clear" w:color="auto" w:fill="auto"/>
            <w:vAlign w:val="center"/>
            <w:hideMark/>
          </w:tcPr>
          <w:p w14:paraId="49F59EFD"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ABF.E560</w:t>
            </w:r>
          </w:p>
        </w:tc>
        <w:tc>
          <w:tcPr>
            <w:tcW w:w="1559" w:type="dxa"/>
            <w:gridSpan w:val="2"/>
            <w:tcBorders>
              <w:top w:val="nil"/>
              <w:left w:val="nil"/>
              <w:bottom w:val="nil"/>
              <w:right w:val="single" w:sz="8" w:space="0" w:color="auto"/>
            </w:tcBorders>
            <w:shd w:val="clear" w:color="auto" w:fill="auto"/>
            <w:vAlign w:val="center"/>
            <w:hideMark/>
          </w:tcPr>
          <w:p w14:paraId="6EE129D2"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ABF.F560</w:t>
            </w:r>
          </w:p>
        </w:tc>
        <w:tc>
          <w:tcPr>
            <w:tcW w:w="1134" w:type="dxa"/>
            <w:gridSpan w:val="2"/>
            <w:tcBorders>
              <w:top w:val="nil"/>
              <w:left w:val="nil"/>
              <w:bottom w:val="nil"/>
              <w:right w:val="single" w:sz="8" w:space="0" w:color="auto"/>
            </w:tcBorders>
            <w:shd w:val="clear" w:color="auto" w:fill="auto"/>
            <w:vAlign w:val="center"/>
            <w:hideMark/>
          </w:tcPr>
          <w:p w14:paraId="4F0E5C4B"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ABF.G560</w:t>
            </w:r>
          </w:p>
        </w:tc>
      </w:tr>
      <w:tr w:rsidR="000643B5" w:rsidRPr="00113B0F" w14:paraId="5311A5D9"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55C03C6C" w14:textId="77777777" w:rsidR="000643B5" w:rsidRPr="00113B0F" w:rsidRDefault="000643B5" w:rsidP="00080E19">
            <w:pPr>
              <w:spacing w:after="0" w:line="240" w:lineRule="auto"/>
              <w:ind w:firstLineChars="200" w:firstLine="320"/>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273 - CONVÊNIOS COM ÓRGÃOS NÃO FEDERAIS</w:t>
            </w:r>
          </w:p>
        </w:tc>
        <w:tc>
          <w:tcPr>
            <w:tcW w:w="1276" w:type="dxa"/>
            <w:tcBorders>
              <w:top w:val="nil"/>
              <w:left w:val="nil"/>
              <w:bottom w:val="nil"/>
              <w:right w:val="single" w:sz="8" w:space="0" w:color="auto"/>
            </w:tcBorders>
            <w:shd w:val="clear" w:color="auto" w:fill="auto"/>
            <w:vAlign w:val="center"/>
            <w:hideMark/>
          </w:tcPr>
          <w:p w14:paraId="4ADAE5DB"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ABF.B561</w:t>
            </w:r>
          </w:p>
        </w:tc>
        <w:tc>
          <w:tcPr>
            <w:tcW w:w="1559" w:type="dxa"/>
            <w:tcBorders>
              <w:top w:val="nil"/>
              <w:left w:val="nil"/>
              <w:bottom w:val="nil"/>
              <w:right w:val="single" w:sz="8" w:space="0" w:color="auto"/>
            </w:tcBorders>
            <w:shd w:val="clear" w:color="auto" w:fill="auto"/>
            <w:vAlign w:val="center"/>
            <w:hideMark/>
          </w:tcPr>
          <w:p w14:paraId="4AB0EE9B"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ABF.C561</w:t>
            </w:r>
          </w:p>
        </w:tc>
        <w:tc>
          <w:tcPr>
            <w:tcW w:w="1417" w:type="dxa"/>
            <w:tcBorders>
              <w:top w:val="nil"/>
              <w:left w:val="nil"/>
              <w:bottom w:val="nil"/>
              <w:right w:val="single" w:sz="8" w:space="0" w:color="auto"/>
            </w:tcBorders>
            <w:shd w:val="clear" w:color="auto" w:fill="auto"/>
            <w:vAlign w:val="center"/>
            <w:hideMark/>
          </w:tcPr>
          <w:p w14:paraId="00BE874E"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ABF.D561</w:t>
            </w:r>
          </w:p>
        </w:tc>
        <w:tc>
          <w:tcPr>
            <w:tcW w:w="1276" w:type="dxa"/>
            <w:tcBorders>
              <w:top w:val="nil"/>
              <w:left w:val="nil"/>
              <w:bottom w:val="nil"/>
              <w:right w:val="single" w:sz="8" w:space="0" w:color="auto"/>
            </w:tcBorders>
            <w:shd w:val="clear" w:color="auto" w:fill="auto"/>
            <w:vAlign w:val="center"/>
            <w:hideMark/>
          </w:tcPr>
          <w:p w14:paraId="28596A65"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ABF.E561</w:t>
            </w:r>
          </w:p>
        </w:tc>
        <w:tc>
          <w:tcPr>
            <w:tcW w:w="1559" w:type="dxa"/>
            <w:gridSpan w:val="2"/>
            <w:tcBorders>
              <w:top w:val="nil"/>
              <w:left w:val="nil"/>
              <w:bottom w:val="nil"/>
              <w:right w:val="single" w:sz="8" w:space="0" w:color="auto"/>
            </w:tcBorders>
            <w:shd w:val="clear" w:color="auto" w:fill="auto"/>
            <w:vAlign w:val="center"/>
            <w:hideMark/>
          </w:tcPr>
          <w:p w14:paraId="09535ADF"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ABF.F561</w:t>
            </w:r>
          </w:p>
        </w:tc>
        <w:tc>
          <w:tcPr>
            <w:tcW w:w="1134" w:type="dxa"/>
            <w:gridSpan w:val="2"/>
            <w:tcBorders>
              <w:top w:val="nil"/>
              <w:left w:val="nil"/>
              <w:bottom w:val="nil"/>
              <w:right w:val="single" w:sz="8" w:space="0" w:color="auto"/>
            </w:tcBorders>
            <w:shd w:val="clear" w:color="auto" w:fill="auto"/>
            <w:vAlign w:val="center"/>
            <w:hideMark/>
          </w:tcPr>
          <w:p w14:paraId="5DD1C223"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ABF.G561</w:t>
            </w:r>
          </w:p>
        </w:tc>
      </w:tr>
      <w:tr w:rsidR="000643B5" w:rsidRPr="00113B0F" w14:paraId="0F630B56"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671451FE" w14:textId="77777777" w:rsidR="000643B5" w:rsidRPr="00113B0F" w:rsidRDefault="000643B5" w:rsidP="00080E19">
            <w:pPr>
              <w:spacing w:after="0" w:line="240" w:lineRule="auto"/>
              <w:ind w:firstLineChars="200" w:firstLine="320"/>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274 - TRANSFERÊNCIA DE INSTITUIÇÕES PRIVADAS</w:t>
            </w:r>
          </w:p>
        </w:tc>
        <w:tc>
          <w:tcPr>
            <w:tcW w:w="1276" w:type="dxa"/>
            <w:tcBorders>
              <w:top w:val="nil"/>
              <w:left w:val="nil"/>
              <w:bottom w:val="nil"/>
              <w:right w:val="single" w:sz="8" w:space="0" w:color="auto"/>
            </w:tcBorders>
            <w:shd w:val="clear" w:color="auto" w:fill="auto"/>
            <w:vAlign w:val="center"/>
            <w:hideMark/>
          </w:tcPr>
          <w:p w14:paraId="119A6726"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ABF.B562</w:t>
            </w:r>
          </w:p>
        </w:tc>
        <w:tc>
          <w:tcPr>
            <w:tcW w:w="1559" w:type="dxa"/>
            <w:tcBorders>
              <w:top w:val="nil"/>
              <w:left w:val="nil"/>
              <w:bottom w:val="nil"/>
              <w:right w:val="single" w:sz="8" w:space="0" w:color="auto"/>
            </w:tcBorders>
            <w:shd w:val="clear" w:color="auto" w:fill="auto"/>
            <w:vAlign w:val="center"/>
            <w:hideMark/>
          </w:tcPr>
          <w:p w14:paraId="6B73E987"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ABF.C562</w:t>
            </w:r>
          </w:p>
        </w:tc>
        <w:tc>
          <w:tcPr>
            <w:tcW w:w="1417" w:type="dxa"/>
            <w:tcBorders>
              <w:top w:val="nil"/>
              <w:left w:val="nil"/>
              <w:bottom w:val="nil"/>
              <w:right w:val="single" w:sz="8" w:space="0" w:color="auto"/>
            </w:tcBorders>
            <w:shd w:val="clear" w:color="auto" w:fill="auto"/>
            <w:vAlign w:val="center"/>
            <w:hideMark/>
          </w:tcPr>
          <w:p w14:paraId="58D2E03E"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ABF.D562</w:t>
            </w:r>
          </w:p>
        </w:tc>
        <w:tc>
          <w:tcPr>
            <w:tcW w:w="1276" w:type="dxa"/>
            <w:tcBorders>
              <w:top w:val="nil"/>
              <w:left w:val="nil"/>
              <w:bottom w:val="nil"/>
              <w:right w:val="single" w:sz="8" w:space="0" w:color="auto"/>
            </w:tcBorders>
            <w:shd w:val="clear" w:color="auto" w:fill="auto"/>
            <w:vAlign w:val="center"/>
            <w:hideMark/>
          </w:tcPr>
          <w:p w14:paraId="2CF1A2A3"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ABF.E562</w:t>
            </w:r>
          </w:p>
        </w:tc>
        <w:tc>
          <w:tcPr>
            <w:tcW w:w="1559" w:type="dxa"/>
            <w:gridSpan w:val="2"/>
            <w:tcBorders>
              <w:top w:val="nil"/>
              <w:left w:val="nil"/>
              <w:bottom w:val="nil"/>
              <w:right w:val="single" w:sz="8" w:space="0" w:color="auto"/>
            </w:tcBorders>
            <w:shd w:val="clear" w:color="auto" w:fill="auto"/>
            <w:vAlign w:val="center"/>
            <w:hideMark/>
          </w:tcPr>
          <w:p w14:paraId="4CF90135"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ABF.F562</w:t>
            </w:r>
          </w:p>
        </w:tc>
        <w:tc>
          <w:tcPr>
            <w:tcW w:w="1134" w:type="dxa"/>
            <w:gridSpan w:val="2"/>
            <w:tcBorders>
              <w:top w:val="nil"/>
              <w:left w:val="nil"/>
              <w:bottom w:val="nil"/>
              <w:right w:val="single" w:sz="8" w:space="0" w:color="auto"/>
            </w:tcBorders>
            <w:shd w:val="clear" w:color="auto" w:fill="auto"/>
            <w:vAlign w:val="center"/>
            <w:hideMark/>
          </w:tcPr>
          <w:p w14:paraId="07B03EBA"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ABF.G562</w:t>
            </w:r>
          </w:p>
        </w:tc>
      </w:tr>
      <w:tr w:rsidR="000643B5" w:rsidRPr="00113B0F" w14:paraId="77435FF7"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65B6AAB2" w14:textId="77777777" w:rsidR="000643B5" w:rsidRPr="00113B0F" w:rsidRDefault="000643B5" w:rsidP="00080E19">
            <w:pPr>
              <w:spacing w:after="0" w:line="240" w:lineRule="auto"/>
              <w:ind w:firstLineChars="200" w:firstLine="320"/>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275 - OUTRAS TRANSFERÊNCIAS DA UNIÃO</w:t>
            </w:r>
          </w:p>
        </w:tc>
        <w:tc>
          <w:tcPr>
            <w:tcW w:w="1276" w:type="dxa"/>
            <w:tcBorders>
              <w:top w:val="nil"/>
              <w:left w:val="nil"/>
              <w:bottom w:val="nil"/>
              <w:right w:val="single" w:sz="8" w:space="0" w:color="auto"/>
            </w:tcBorders>
            <w:shd w:val="clear" w:color="auto" w:fill="auto"/>
            <w:vAlign w:val="center"/>
            <w:hideMark/>
          </w:tcPr>
          <w:p w14:paraId="2BBF614E"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ABF.B563</w:t>
            </w:r>
          </w:p>
        </w:tc>
        <w:tc>
          <w:tcPr>
            <w:tcW w:w="1559" w:type="dxa"/>
            <w:tcBorders>
              <w:top w:val="nil"/>
              <w:left w:val="nil"/>
              <w:bottom w:val="nil"/>
              <w:right w:val="single" w:sz="8" w:space="0" w:color="auto"/>
            </w:tcBorders>
            <w:shd w:val="clear" w:color="auto" w:fill="auto"/>
            <w:vAlign w:val="center"/>
            <w:hideMark/>
          </w:tcPr>
          <w:p w14:paraId="6804C3BA"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ABF.C563</w:t>
            </w:r>
          </w:p>
        </w:tc>
        <w:tc>
          <w:tcPr>
            <w:tcW w:w="1417" w:type="dxa"/>
            <w:tcBorders>
              <w:top w:val="nil"/>
              <w:left w:val="nil"/>
              <w:bottom w:val="nil"/>
              <w:right w:val="single" w:sz="8" w:space="0" w:color="auto"/>
            </w:tcBorders>
            <w:shd w:val="clear" w:color="auto" w:fill="auto"/>
            <w:vAlign w:val="center"/>
            <w:hideMark/>
          </w:tcPr>
          <w:p w14:paraId="19D5A0F9"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ABF.D563</w:t>
            </w:r>
          </w:p>
        </w:tc>
        <w:tc>
          <w:tcPr>
            <w:tcW w:w="1276" w:type="dxa"/>
            <w:tcBorders>
              <w:top w:val="nil"/>
              <w:left w:val="nil"/>
              <w:bottom w:val="nil"/>
              <w:right w:val="single" w:sz="8" w:space="0" w:color="auto"/>
            </w:tcBorders>
            <w:shd w:val="clear" w:color="auto" w:fill="auto"/>
            <w:vAlign w:val="center"/>
            <w:hideMark/>
          </w:tcPr>
          <w:p w14:paraId="338D213D"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ABF.E563</w:t>
            </w:r>
          </w:p>
        </w:tc>
        <w:tc>
          <w:tcPr>
            <w:tcW w:w="1559" w:type="dxa"/>
            <w:gridSpan w:val="2"/>
            <w:tcBorders>
              <w:top w:val="nil"/>
              <w:left w:val="nil"/>
              <w:bottom w:val="nil"/>
              <w:right w:val="single" w:sz="8" w:space="0" w:color="auto"/>
            </w:tcBorders>
            <w:shd w:val="clear" w:color="auto" w:fill="auto"/>
            <w:vAlign w:val="center"/>
            <w:hideMark/>
          </w:tcPr>
          <w:p w14:paraId="4840DE27"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ABF.F563</w:t>
            </w:r>
          </w:p>
        </w:tc>
        <w:tc>
          <w:tcPr>
            <w:tcW w:w="1134" w:type="dxa"/>
            <w:gridSpan w:val="2"/>
            <w:tcBorders>
              <w:top w:val="nil"/>
              <w:left w:val="nil"/>
              <w:bottom w:val="nil"/>
              <w:right w:val="single" w:sz="8" w:space="0" w:color="auto"/>
            </w:tcBorders>
            <w:shd w:val="clear" w:color="auto" w:fill="auto"/>
            <w:vAlign w:val="center"/>
            <w:hideMark/>
          </w:tcPr>
          <w:p w14:paraId="7B975276"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ABF.G563</w:t>
            </w:r>
          </w:p>
        </w:tc>
      </w:tr>
      <w:tr w:rsidR="000643B5" w:rsidRPr="00113B0F" w14:paraId="04CD6589"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6EC58488" w14:textId="77777777" w:rsidR="000643B5" w:rsidRPr="00113B0F" w:rsidRDefault="000643B5" w:rsidP="00080E19">
            <w:pPr>
              <w:spacing w:after="0" w:line="240" w:lineRule="auto"/>
              <w:ind w:firstLineChars="200" w:firstLine="320"/>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276 - FUNDO DE PROTEÇÃO SOCIAL DOS MILITARES</w:t>
            </w:r>
          </w:p>
        </w:tc>
        <w:tc>
          <w:tcPr>
            <w:tcW w:w="1276" w:type="dxa"/>
            <w:tcBorders>
              <w:top w:val="nil"/>
              <w:left w:val="nil"/>
              <w:bottom w:val="nil"/>
              <w:right w:val="single" w:sz="8" w:space="0" w:color="auto"/>
            </w:tcBorders>
            <w:shd w:val="clear" w:color="auto" w:fill="auto"/>
            <w:vAlign w:val="center"/>
            <w:hideMark/>
          </w:tcPr>
          <w:p w14:paraId="2A7A54B6"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ABF.B602</w:t>
            </w:r>
          </w:p>
        </w:tc>
        <w:tc>
          <w:tcPr>
            <w:tcW w:w="1559" w:type="dxa"/>
            <w:tcBorders>
              <w:top w:val="nil"/>
              <w:left w:val="nil"/>
              <w:bottom w:val="nil"/>
              <w:right w:val="single" w:sz="8" w:space="0" w:color="auto"/>
            </w:tcBorders>
            <w:shd w:val="clear" w:color="auto" w:fill="auto"/>
            <w:vAlign w:val="center"/>
            <w:hideMark/>
          </w:tcPr>
          <w:p w14:paraId="321094F9"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ABF.C602</w:t>
            </w:r>
          </w:p>
        </w:tc>
        <w:tc>
          <w:tcPr>
            <w:tcW w:w="1417" w:type="dxa"/>
            <w:tcBorders>
              <w:top w:val="nil"/>
              <w:left w:val="nil"/>
              <w:bottom w:val="nil"/>
              <w:right w:val="single" w:sz="8" w:space="0" w:color="auto"/>
            </w:tcBorders>
            <w:shd w:val="clear" w:color="auto" w:fill="auto"/>
            <w:vAlign w:val="center"/>
            <w:hideMark/>
          </w:tcPr>
          <w:p w14:paraId="412FD98B"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ABF.D602</w:t>
            </w:r>
          </w:p>
        </w:tc>
        <w:tc>
          <w:tcPr>
            <w:tcW w:w="1276" w:type="dxa"/>
            <w:tcBorders>
              <w:top w:val="nil"/>
              <w:left w:val="nil"/>
              <w:bottom w:val="nil"/>
              <w:right w:val="single" w:sz="8" w:space="0" w:color="auto"/>
            </w:tcBorders>
            <w:shd w:val="clear" w:color="auto" w:fill="auto"/>
            <w:vAlign w:val="center"/>
            <w:hideMark/>
          </w:tcPr>
          <w:p w14:paraId="63B96F1A"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ABF.E602</w:t>
            </w:r>
          </w:p>
        </w:tc>
        <w:tc>
          <w:tcPr>
            <w:tcW w:w="1559" w:type="dxa"/>
            <w:gridSpan w:val="2"/>
            <w:tcBorders>
              <w:top w:val="nil"/>
              <w:left w:val="nil"/>
              <w:bottom w:val="nil"/>
              <w:right w:val="single" w:sz="8" w:space="0" w:color="auto"/>
            </w:tcBorders>
            <w:shd w:val="clear" w:color="auto" w:fill="auto"/>
            <w:vAlign w:val="center"/>
            <w:hideMark/>
          </w:tcPr>
          <w:p w14:paraId="5BE82ED5"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ABF.F602</w:t>
            </w:r>
          </w:p>
        </w:tc>
        <w:tc>
          <w:tcPr>
            <w:tcW w:w="1134" w:type="dxa"/>
            <w:gridSpan w:val="2"/>
            <w:tcBorders>
              <w:top w:val="nil"/>
              <w:left w:val="nil"/>
              <w:bottom w:val="nil"/>
              <w:right w:val="single" w:sz="8" w:space="0" w:color="auto"/>
            </w:tcBorders>
            <w:shd w:val="clear" w:color="auto" w:fill="auto"/>
            <w:vAlign w:val="center"/>
            <w:hideMark/>
          </w:tcPr>
          <w:p w14:paraId="75597AEA"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ABF.G602</w:t>
            </w:r>
          </w:p>
        </w:tc>
      </w:tr>
      <w:tr w:rsidR="000643B5" w:rsidRPr="00113B0F" w14:paraId="5010E6F7"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56BCFC6E" w14:textId="77777777" w:rsidR="000643B5" w:rsidRPr="00113B0F" w:rsidRDefault="000643B5" w:rsidP="00080E19">
            <w:pPr>
              <w:spacing w:after="0" w:line="240" w:lineRule="auto"/>
              <w:ind w:firstLineChars="200" w:firstLine="320"/>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307 - SUPERÁVIT FINANCEIRO - ROYALTIES, PARTICIPAÇÃO ESPECIAL E FUNDO ESPECIAL DO PETRÓLEO</w:t>
            </w:r>
          </w:p>
        </w:tc>
        <w:tc>
          <w:tcPr>
            <w:tcW w:w="1276" w:type="dxa"/>
            <w:tcBorders>
              <w:top w:val="nil"/>
              <w:left w:val="nil"/>
              <w:bottom w:val="nil"/>
              <w:right w:val="single" w:sz="8" w:space="0" w:color="auto"/>
            </w:tcBorders>
            <w:shd w:val="clear" w:color="auto" w:fill="auto"/>
            <w:vAlign w:val="center"/>
            <w:hideMark/>
          </w:tcPr>
          <w:p w14:paraId="2B2CE2A0"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ABF.B603</w:t>
            </w:r>
          </w:p>
        </w:tc>
        <w:tc>
          <w:tcPr>
            <w:tcW w:w="1559" w:type="dxa"/>
            <w:tcBorders>
              <w:top w:val="nil"/>
              <w:left w:val="nil"/>
              <w:bottom w:val="nil"/>
              <w:right w:val="single" w:sz="8" w:space="0" w:color="auto"/>
            </w:tcBorders>
            <w:shd w:val="clear" w:color="auto" w:fill="auto"/>
            <w:vAlign w:val="center"/>
            <w:hideMark/>
          </w:tcPr>
          <w:p w14:paraId="73FEE5B8"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ABF.C603</w:t>
            </w:r>
          </w:p>
        </w:tc>
        <w:tc>
          <w:tcPr>
            <w:tcW w:w="1417" w:type="dxa"/>
            <w:tcBorders>
              <w:top w:val="nil"/>
              <w:left w:val="nil"/>
              <w:bottom w:val="nil"/>
              <w:right w:val="single" w:sz="8" w:space="0" w:color="auto"/>
            </w:tcBorders>
            <w:shd w:val="clear" w:color="auto" w:fill="auto"/>
            <w:vAlign w:val="center"/>
            <w:hideMark/>
          </w:tcPr>
          <w:p w14:paraId="14BFBCA2"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ABF.D603</w:t>
            </w:r>
          </w:p>
        </w:tc>
        <w:tc>
          <w:tcPr>
            <w:tcW w:w="1276" w:type="dxa"/>
            <w:tcBorders>
              <w:top w:val="nil"/>
              <w:left w:val="nil"/>
              <w:bottom w:val="nil"/>
              <w:right w:val="single" w:sz="8" w:space="0" w:color="auto"/>
            </w:tcBorders>
            <w:shd w:val="clear" w:color="auto" w:fill="auto"/>
            <w:vAlign w:val="center"/>
            <w:hideMark/>
          </w:tcPr>
          <w:p w14:paraId="1AB43ED6"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ABF.E603</w:t>
            </w:r>
          </w:p>
        </w:tc>
        <w:tc>
          <w:tcPr>
            <w:tcW w:w="1559" w:type="dxa"/>
            <w:gridSpan w:val="2"/>
            <w:tcBorders>
              <w:top w:val="nil"/>
              <w:left w:val="nil"/>
              <w:bottom w:val="nil"/>
              <w:right w:val="single" w:sz="8" w:space="0" w:color="auto"/>
            </w:tcBorders>
            <w:shd w:val="clear" w:color="auto" w:fill="auto"/>
            <w:vAlign w:val="center"/>
            <w:hideMark/>
          </w:tcPr>
          <w:p w14:paraId="0FDB6320"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ABF.F603</w:t>
            </w:r>
          </w:p>
        </w:tc>
        <w:tc>
          <w:tcPr>
            <w:tcW w:w="1134" w:type="dxa"/>
            <w:gridSpan w:val="2"/>
            <w:tcBorders>
              <w:top w:val="nil"/>
              <w:left w:val="nil"/>
              <w:bottom w:val="nil"/>
              <w:right w:val="single" w:sz="8" w:space="0" w:color="auto"/>
            </w:tcBorders>
            <w:shd w:val="clear" w:color="auto" w:fill="auto"/>
            <w:vAlign w:val="center"/>
            <w:hideMark/>
          </w:tcPr>
          <w:p w14:paraId="6E766BC2"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ABF.G603</w:t>
            </w:r>
          </w:p>
        </w:tc>
      </w:tr>
      <w:tr w:rsidR="000643B5" w:rsidRPr="00113B0F" w14:paraId="7E807F86"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33796461" w14:textId="77777777" w:rsidR="000643B5" w:rsidRPr="00113B0F" w:rsidRDefault="000643B5" w:rsidP="00080E19">
            <w:pPr>
              <w:spacing w:after="0" w:line="240" w:lineRule="auto"/>
              <w:ind w:firstLineChars="200" w:firstLine="320"/>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308 - SUPERÁVIT FINANCEIRO - DISTRIBUIÇÃO DA CESSÃO ONEROSA DO BÔNUS DE ASSINATURA DO PRÉ-SAL - LEI Nº 13.885/2019</w:t>
            </w:r>
          </w:p>
        </w:tc>
        <w:tc>
          <w:tcPr>
            <w:tcW w:w="1276" w:type="dxa"/>
            <w:tcBorders>
              <w:top w:val="nil"/>
              <w:left w:val="nil"/>
              <w:bottom w:val="nil"/>
              <w:right w:val="single" w:sz="8" w:space="0" w:color="auto"/>
            </w:tcBorders>
            <w:shd w:val="clear" w:color="auto" w:fill="auto"/>
            <w:vAlign w:val="center"/>
            <w:hideMark/>
          </w:tcPr>
          <w:p w14:paraId="530C9E20"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ABF.B604</w:t>
            </w:r>
          </w:p>
        </w:tc>
        <w:tc>
          <w:tcPr>
            <w:tcW w:w="1559" w:type="dxa"/>
            <w:tcBorders>
              <w:top w:val="nil"/>
              <w:left w:val="nil"/>
              <w:bottom w:val="nil"/>
              <w:right w:val="single" w:sz="8" w:space="0" w:color="auto"/>
            </w:tcBorders>
            <w:shd w:val="clear" w:color="auto" w:fill="auto"/>
            <w:vAlign w:val="center"/>
            <w:hideMark/>
          </w:tcPr>
          <w:p w14:paraId="261B1701"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ABF.C604</w:t>
            </w:r>
          </w:p>
        </w:tc>
        <w:tc>
          <w:tcPr>
            <w:tcW w:w="1417" w:type="dxa"/>
            <w:tcBorders>
              <w:top w:val="nil"/>
              <w:left w:val="nil"/>
              <w:bottom w:val="nil"/>
              <w:right w:val="single" w:sz="8" w:space="0" w:color="auto"/>
            </w:tcBorders>
            <w:shd w:val="clear" w:color="auto" w:fill="auto"/>
            <w:vAlign w:val="center"/>
            <w:hideMark/>
          </w:tcPr>
          <w:p w14:paraId="784E51FC"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ABF.D604</w:t>
            </w:r>
          </w:p>
        </w:tc>
        <w:tc>
          <w:tcPr>
            <w:tcW w:w="1276" w:type="dxa"/>
            <w:tcBorders>
              <w:top w:val="nil"/>
              <w:left w:val="nil"/>
              <w:bottom w:val="nil"/>
              <w:right w:val="single" w:sz="8" w:space="0" w:color="auto"/>
            </w:tcBorders>
            <w:shd w:val="clear" w:color="auto" w:fill="auto"/>
            <w:vAlign w:val="center"/>
            <w:hideMark/>
          </w:tcPr>
          <w:p w14:paraId="6FAC1B78"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ABF.E604</w:t>
            </w:r>
          </w:p>
        </w:tc>
        <w:tc>
          <w:tcPr>
            <w:tcW w:w="1559" w:type="dxa"/>
            <w:gridSpan w:val="2"/>
            <w:tcBorders>
              <w:top w:val="nil"/>
              <w:left w:val="nil"/>
              <w:bottom w:val="nil"/>
              <w:right w:val="single" w:sz="8" w:space="0" w:color="auto"/>
            </w:tcBorders>
            <w:shd w:val="clear" w:color="auto" w:fill="auto"/>
            <w:vAlign w:val="center"/>
            <w:hideMark/>
          </w:tcPr>
          <w:p w14:paraId="38A6AC3A"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ABF.F604</w:t>
            </w:r>
          </w:p>
        </w:tc>
        <w:tc>
          <w:tcPr>
            <w:tcW w:w="1134" w:type="dxa"/>
            <w:gridSpan w:val="2"/>
            <w:tcBorders>
              <w:top w:val="nil"/>
              <w:left w:val="nil"/>
              <w:bottom w:val="nil"/>
              <w:right w:val="single" w:sz="8" w:space="0" w:color="auto"/>
            </w:tcBorders>
            <w:shd w:val="clear" w:color="auto" w:fill="auto"/>
            <w:vAlign w:val="center"/>
            <w:hideMark/>
          </w:tcPr>
          <w:p w14:paraId="6D29FA9E"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ABF.G604</w:t>
            </w:r>
          </w:p>
        </w:tc>
      </w:tr>
      <w:tr w:rsidR="000643B5" w:rsidRPr="00113B0F" w14:paraId="673278AE"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22A928E6" w14:textId="77777777" w:rsidR="000643B5" w:rsidRPr="00113B0F" w:rsidRDefault="000643B5" w:rsidP="00080E19">
            <w:pPr>
              <w:spacing w:after="0" w:line="240" w:lineRule="auto"/>
              <w:ind w:firstLineChars="200" w:firstLine="320"/>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312 - SUPERÁVIT FINANCEIRO - DEC 2829-R, DE 17/08/11</w:t>
            </w:r>
          </w:p>
        </w:tc>
        <w:tc>
          <w:tcPr>
            <w:tcW w:w="1276" w:type="dxa"/>
            <w:tcBorders>
              <w:top w:val="nil"/>
              <w:left w:val="nil"/>
              <w:bottom w:val="nil"/>
              <w:right w:val="single" w:sz="8" w:space="0" w:color="auto"/>
            </w:tcBorders>
            <w:shd w:val="clear" w:color="auto" w:fill="auto"/>
            <w:vAlign w:val="center"/>
            <w:hideMark/>
          </w:tcPr>
          <w:p w14:paraId="4E92C4B7"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ABF.B564</w:t>
            </w:r>
          </w:p>
        </w:tc>
        <w:tc>
          <w:tcPr>
            <w:tcW w:w="1559" w:type="dxa"/>
            <w:tcBorders>
              <w:top w:val="nil"/>
              <w:left w:val="nil"/>
              <w:bottom w:val="nil"/>
              <w:right w:val="single" w:sz="8" w:space="0" w:color="auto"/>
            </w:tcBorders>
            <w:shd w:val="clear" w:color="auto" w:fill="auto"/>
            <w:vAlign w:val="center"/>
            <w:hideMark/>
          </w:tcPr>
          <w:p w14:paraId="6F916D0E"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ABF.C564</w:t>
            </w:r>
          </w:p>
        </w:tc>
        <w:tc>
          <w:tcPr>
            <w:tcW w:w="1417" w:type="dxa"/>
            <w:tcBorders>
              <w:top w:val="nil"/>
              <w:left w:val="nil"/>
              <w:bottom w:val="nil"/>
              <w:right w:val="single" w:sz="8" w:space="0" w:color="auto"/>
            </w:tcBorders>
            <w:shd w:val="clear" w:color="auto" w:fill="auto"/>
            <w:vAlign w:val="center"/>
            <w:hideMark/>
          </w:tcPr>
          <w:p w14:paraId="3911A45A"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ABF.D564</w:t>
            </w:r>
          </w:p>
        </w:tc>
        <w:tc>
          <w:tcPr>
            <w:tcW w:w="1276" w:type="dxa"/>
            <w:tcBorders>
              <w:top w:val="nil"/>
              <w:left w:val="nil"/>
              <w:bottom w:val="nil"/>
              <w:right w:val="single" w:sz="8" w:space="0" w:color="auto"/>
            </w:tcBorders>
            <w:shd w:val="clear" w:color="auto" w:fill="auto"/>
            <w:vAlign w:val="center"/>
            <w:hideMark/>
          </w:tcPr>
          <w:p w14:paraId="74DAEAAE"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ABF.E564</w:t>
            </w:r>
          </w:p>
        </w:tc>
        <w:tc>
          <w:tcPr>
            <w:tcW w:w="1559" w:type="dxa"/>
            <w:gridSpan w:val="2"/>
            <w:tcBorders>
              <w:top w:val="nil"/>
              <w:left w:val="nil"/>
              <w:bottom w:val="nil"/>
              <w:right w:val="single" w:sz="8" w:space="0" w:color="auto"/>
            </w:tcBorders>
            <w:shd w:val="clear" w:color="auto" w:fill="auto"/>
            <w:vAlign w:val="center"/>
            <w:hideMark/>
          </w:tcPr>
          <w:p w14:paraId="0D6A1B30"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ABF.F564</w:t>
            </w:r>
          </w:p>
        </w:tc>
        <w:tc>
          <w:tcPr>
            <w:tcW w:w="1134" w:type="dxa"/>
            <w:gridSpan w:val="2"/>
            <w:tcBorders>
              <w:top w:val="nil"/>
              <w:left w:val="nil"/>
              <w:bottom w:val="nil"/>
              <w:right w:val="single" w:sz="8" w:space="0" w:color="auto"/>
            </w:tcBorders>
            <w:shd w:val="clear" w:color="auto" w:fill="auto"/>
            <w:vAlign w:val="center"/>
            <w:hideMark/>
          </w:tcPr>
          <w:p w14:paraId="3AA1AB39"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ABF.G564</w:t>
            </w:r>
          </w:p>
        </w:tc>
      </w:tr>
      <w:tr w:rsidR="000643B5" w:rsidRPr="00113B0F" w14:paraId="5D79D702"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164C9649" w14:textId="77777777" w:rsidR="000643B5" w:rsidRPr="00113B0F" w:rsidRDefault="000643B5" w:rsidP="00080E19">
            <w:pPr>
              <w:spacing w:after="0" w:line="240" w:lineRule="auto"/>
              <w:ind w:firstLineChars="200" w:firstLine="320"/>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315 - SUPERÁVIT FINANCEIRO - ALIENAÇÃO DE BENS</w:t>
            </w:r>
          </w:p>
        </w:tc>
        <w:tc>
          <w:tcPr>
            <w:tcW w:w="1276" w:type="dxa"/>
            <w:tcBorders>
              <w:top w:val="nil"/>
              <w:left w:val="nil"/>
              <w:bottom w:val="nil"/>
              <w:right w:val="single" w:sz="8" w:space="0" w:color="auto"/>
            </w:tcBorders>
            <w:shd w:val="clear" w:color="auto" w:fill="auto"/>
            <w:vAlign w:val="center"/>
            <w:hideMark/>
          </w:tcPr>
          <w:p w14:paraId="132E37A7"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ABF.B565</w:t>
            </w:r>
          </w:p>
        </w:tc>
        <w:tc>
          <w:tcPr>
            <w:tcW w:w="1559" w:type="dxa"/>
            <w:tcBorders>
              <w:top w:val="nil"/>
              <w:left w:val="nil"/>
              <w:bottom w:val="nil"/>
              <w:right w:val="single" w:sz="8" w:space="0" w:color="auto"/>
            </w:tcBorders>
            <w:shd w:val="clear" w:color="auto" w:fill="auto"/>
            <w:vAlign w:val="center"/>
            <w:hideMark/>
          </w:tcPr>
          <w:p w14:paraId="6F19BFEE"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ABF.C565</w:t>
            </w:r>
          </w:p>
        </w:tc>
        <w:tc>
          <w:tcPr>
            <w:tcW w:w="1417" w:type="dxa"/>
            <w:tcBorders>
              <w:top w:val="nil"/>
              <w:left w:val="nil"/>
              <w:bottom w:val="nil"/>
              <w:right w:val="single" w:sz="8" w:space="0" w:color="auto"/>
            </w:tcBorders>
            <w:shd w:val="clear" w:color="auto" w:fill="auto"/>
            <w:vAlign w:val="center"/>
            <w:hideMark/>
          </w:tcPr>
          <w:p w14:paraId="49E50B7D"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ABF.D565</w:t>
            </w:r>
          </w:p>
        </w:tc>
        <w:tc>
          <w:tcPr>
            <w:tcW w:w="1276" w:type="dxa"/>
            <w:tcBorders>
              <w:top w:val="nil"/>
              <w:left w:val="nil"/>
              <w:bottom w:val="nil"/>
              <w:right w:val="single" w:sz="8" w:space="0" w:color="auto"/>
            </w:tcBorders>
            <w:shd w:val="clear" w:color="auto" w:fill="auto"/>
            <w:vAlign w:val="center"/>
            <w:hideMark/>
          </w:tcPr>
          <w:p w14:paraId="72F6A854"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ABF.E565</w:t>
            </w:r>
          </w:p>
        </w:tc>
        <w:tc>
          <w:tcPr>
            <w:tcW w:w="1559" w:type="dxa"/>
            <w:gridSpan w:val="2"/>
            <w:tcBorders>
              <w:top w:val="nil"/>
              <w:left w:val="nil"/>
              <w:bottom w:val="nil"/>
              <w:right w:val="single" w:sz="8" w:space="0" w:color="auto"/>
            </w:tcBorders>
            <w:shd w:val="clear" w:color="auto" w:fill="auto"/>
            <w:vAlign w:val="center"/>
            <w:hideMark/>
          </w:tcPr>
          <w:p w14:paraId="7BA48A42"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ABF.F565</w:t>
            </w:r>
          </w:p>
        </w:tc>
        <w:tc>
          <w:tcPr>
            <w:tcW w:w="1134" w:type="dxa"/>
            <w:gridSpan w:val="2"/>
            <w:tcBorders>
              <w:top w:val="nil"/>
              <w:left w:val="nil"/>
              <w:bottom w:val="nil"/>
              <w:right w:val="single" w:sz="8" w:space="0" w:color="auto"/>
            </w:tcBorders>
            <w:shd w:val="clear" w:color="auto" w:fill="auto"/>
            <w:vAlign w:val="center"/>
            <w:hideMark/>
          </w:tcPr>
          <w:p w14:paraId="72590DF8"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ABF.G565</w:t>
            </w:r>
          </w:p>
        </w:tc>
      </w:tr>
      <w:tr w:rsidR="000643B5" w:rsidRPr="00113B0F" w14:paraId="66B9B757"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263A4191" w14:textId="77777777" w:rsidR="000643B5" w:rsidRPr="00113B0F" w:rsidRDefault="000643B5" w:rsidP="00080E19">
            <w:pPr>
              <w:spacing w:after="0" w:line="240" w:lineRule="auto"/>
              <w:ind w:firstLineChars="200" w:firstLine="320"/>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316 - SUPERÁVIT FINANCEIRO - DEPÓSITOS JUDICIAIS – LEI 10.549, DE 1º JULHO DE 2016</w:t>
            </w:r>
          </w:p>
        </w:tc>
        <w:tc>
          <w:tcPr>
            <w:tcW w:w="1276" w:type="dxa"/>
            <w:tcBorders>
              <w:top w:val="nil"/>
              <w:left w:val="nil"/>
              <w:bottom w:val="nil"/>
              <w:right w:val="single" w:sz="8" w:space="0" w:color="auto"/>
            </w:tcBorders>
            <w:shd w:val="clear" w:color="auto" w:fill="auto"/>
            <w:vAlign w:val="center"/>
            <w:hideMark/>
          </w:tcPr>
          <w:p w14:paraId="23F2295A"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ABF.B566</w:t>
            </w:r>
          </w:p>
        </w:tc>
        <w:tc>
          <w:tcPr>
            <w:tcW w:w="1559" w:type="dxa"/>
            <w:tcBorders>
              <w:top w:val="nil"/>
              <w:left w:val="nil"/>
              <w:bottom w:val="nil"/>
              <w:right w:val="single" w:sz="8" w:space="0" w:color="auto"/>
            </w:tcBorders>
            <w:shd w:val="clear" w:color="auto" w:fill="auto"/>
            <w:vAlign w:val="center"/>
            <w:hideMark/>
          </w:tcPr>
          <w:p w14:paraId="1C2914B9"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ABF.C566</w:t>
            </w:r>
          </w:p>
        </w:tc>
        <w:tc>
          <w:tcPr>
            <w:tcW w:w="1417" w:type="dxa"/>
            <w:tcBorders>
              <w:top w:val="nil"/>
              <w:left w:val="nil"/>
              <w:bottom w:val="nil"/>
              <w:right w:val="single" w:sz="8" w:space="0" w:color="auto"/>
            </w:tcBorders>
            <w:shd w:val="clear" w:color="auto" w:fill="auto"/>
            <w:vAlign w:val="center"/>
            <w:hideMark/>
          </w:tcPr>
          <w:p w14:paraId="6F0CCB6E"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ABF.D566</w:t>
            </w:r>
          </w:p>
        </w:tc>
        <w:tc>
          <w:tcPr>
            <w:tcW w:w="1276" w:type="dxa"/>
            <w:tcBorders>
              <w:top w:val="nil"/>
              <w:left w:val="nil"/>
              <w:bottom w:val="nil"/>
              <w:right w:val="single" w:sz="8" w:space="0" w:color="auto"/>
            </w:tcBorders>
            <w:shd w:val="clear" w:color="auto" w:fill="auto"/>
            <w:vAlign w:val="center"/>
            <w:hideMark/>
          </w:tcPr>
          <w:p w14:paraId="58E52D13"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ABF.E566</w:t>
            </w:r>
          </w:p>
        </w:tc>
        <w:tc>
          <w:tcPr>
            <w:tcW w:w="1559" w:type="dxa"/>
            <w:gridSpan w:val="2"/>
            <w:tcBorders>
              <w:top w:val="nil"/>
              <w:left w:val="nil"/>
              <w:bottom w:val="nil"/>
              <w:right w:val="single" w:sz="8" w:space="0" w:color="auto"/>
            </w:tcBorders>
            <w:shd w:val="clear" w:color="auto" w:fill="auto"/>
            <w:vAlign w:val="center"/>
            <w:hideMark/>
          </w:tcPr>
          <w:p w14:paraId="6AFF2451"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ABF.F566</w:t>
            </w:r>
          </w:p>
        </w:tc>
        <w:tc>
          <w:tcPr>
            <w:tcW w:w="1134" w:type="dxa"/>
            <w:gridSpan w:val="2"/>
            <w:tcBorders>
              <w:top w:val="nil"/>
              <w:left w:val="nil"/>
              <w:bottom w:val="nil"/>
              <w:right w:val="single" w:sz="8" w:space="0" w:color="auto"/>
            </w:tcBorders>
            <w:shd w:val="clear" w:color="auto" w:fill="auto"/>
            <w:vAlign w:val="center"/>
            <w:hideMark/>
          </w:tcPr>
          <w:p w14:paraId="59211F46"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ABF.G566</w:t>
            </w:r>
          </w:p>
        </w:tc>
      </w:tr>
      <w:tr w:rsidR="000643B5" w:rsidRPr="00113B0F" w14:paraId="551E8E48"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7DBB688E" w14:textId="77777777" w:rsidR="000643B5" w:rsidRPr="00113B0F" w:rsidRDefault="000643B5" w:rsidP="00080E19">
            <w:pPr>
              <w:spacing w:after="0" w:line="240" w:lineRule="auto"/>
              <w:ind w:firstLineChars="200" w:firstLine="320"/>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333 - SUPERÁVIT FINANCEIRO - CONVÊNIOS UNIÃO</w:t>
            </w:r>
          </w:p>
        </w:tc>
        <w:tc>
          <w:tcPr>
            <w:tcW w:w="1276" w:type="dxa"/>
            <w:tcBorders>
              <w:top w:val="nil"/>
              <w:left w:val="nil"/>
              <w:bottom w:val="nil"/>
              <w:right w:val="single" w:sz="8" w:space="0" w:color="auto"/>
            </w:tcBorders>
            <w:shd w:val="clear" w:color="auto" w:fill="auto"/>
            <w:vAlign w:val="center"/>
            <w:hideMark/>
          </w:tcPr>
          <w:p w14:paraId="19A71BA1"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ABF.B567</w:t>
            </w:r>
          </w:p>
        </w:tc>
        <w:tc>
          <w:tcPr>
            <w:tcW w:w="1559" w:type="dxa"/>
            <w:tcBorders>
              <w:top w:val="nil"/>
              <w:left w:val="nil"/>
              <w:bottom w:val="nil"/>
              <w:right w:val="single" w:sz="8" w:space="0" w:color="auto"/>
            </w:tcBorders>
            <w:shd w:val="clear" w:color="auto" w:fill="auto"/>
            <w:vAlign w:val="center"/>
            <w:hideMark/>
          </w:tcPr>
          <w:p w14:paraId="3ADBB5B2"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ABF.C567</w:t>
            </w:r>
          </w:p>
        </w:tc>
        <w:tc>
          <w:tcPr>
            <w:tcW w:w="1417" w:type="dxa"/>
            <w:tcBorders>
              <w:top w:val="nil"/>
              <w:left w:val="nil"/>
              <w:bottom w:val="nil"/>
              <w:right w:val="single" w:sz="8" w:space="0" w:color="auto"/>
            </w:tcBorders>
            <w:shd w:val="clear" w:color="auto" w:fill="auto"/>
            <w:vAlign w:val="center"/>
            <w:hideMark/>
          </w:tcPr>
          <w:p w14:paraId="19D64F13"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ABF.D567</w:t>
            </w:r>
          </w:p>
        </w:tc>
        <w:tc>
          <w:tcPr>
            <w:tcW w:w="1276" w:type="dxa"/>
            <w:tcBorders>
              <w:top w:val="nil"/>
              <w:left w:val="nil"/>
              <w:bottom w:val="nil"/>
              <w:right w:val="single" w:sz="8" w:space="0" w:color="auto"/>
            </w:tcBorders>
            <w:shd w:val="clear" w:color="auto" w:fill="auto"/>
            <w:vAlign w:val="center"/>
            <w:hideMark/>
          </w:tcPr>
          <w:p w14:paraId="4DA44479"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ABF.E567</w:t>
            </w:r>
          </w:p>
        </w:tc>
        <w:tc>
          <w:tcPr>
            <w:tcW w:w="1559" w:type="dxa"/>
            <w:gridSpan w:val="2"/>
            <w:tcBorders>
              <w:top w:val="nil"/>
              <w:left w:val="nil"/>
              <w:bottom w:val="nil"/>
              <w:right w:val="single" w:sz="8" w:space="0" w:color="auto"/>
            </w:tcBorders>
            <w:shd w:val="clear" w:color="auto" w:fill="auto"/>
            <w:vAlign w:val="center"/>
            <w:hideMark/>
          </w:tcPr>
          <w:p w14:paraId="31E3B51E"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ABF.F567</w:t>
            </w:r>
          </w:p>
        </w:tc>
        <w:tc>
          <w:tcPr>
            <w:tcW w:w="1134" w:type="dxa"/>
            <w:gridSpan w:val="2"/>
            <w:tcBorders>
              <w:top w:val="nil"/>
              <w:left w:val="nil"/>
              <w:bottom w:val="nil"/>
              <w:right w:val="single" w:sz="8" w:space="0" w:color="auto"/>
            </w:tcBorders>
            <w:shd w:val="clear" w:color="auto" w:fill="auto"/>
            <w:vAlign w:val="center"/>
            <w:hideMark/>
          </w:tcPr>
          <w:p w14:paraId="07A80D9A"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ABF.G567</w:t>
            </w:r>
          </w:p>
        </w:tc>
      </w:tr>
      <w:tr w:rsidR="000643B5" w:rsidRPr="00113B0F" w14:paraId="0742B906"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104548FC" w14:textId="77777777" w:rsidR="000643B5" w:rsidRPr="00113B0F" w:rsidRDefault="000643B5" w:rsidP="00080E19">
            <w:pPr>
              <w:spacing w:after="0" w:line="240" w:lineRule="auto"/>
              <w:ind w:firstLineChars="200" w:firstLine="320"/>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336 - SUPERÁVIT FINANCEIRO - TRANSFERÊNCIAS CONSTITUCIONAIS A MUNICÍPIOS</w:t>
            </w:r>
          </w:p>
        </w:tc>
        <w:tc>
          <w:tcPr>
            <w:tcW w:w="1276" w:type="dxa"/>
            <w:tcBorders>
              <w:top w:val="nil"/>
              <w:left w:val="nil"/>
              <w:bottom w:val="nil"/>
              <w:right w:val="single" w:sz="8" w:space="0" w:color="auto"/>
            </w:tcBorders>
            <w:shd w:val="clear" w:color="auto" w:fill="auto"/>
            <w:vAlign w:val="center"/>
            <w:hideMark/>
          </w:tcPr>
          <w:p w14:paraId="4D0DA371"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ABF.B568</w:t>
            </w:r>
          </w:p>
        </w:tc>
        <w:tc>
          <w:tcPr>
            <w:tcW w:w="1559" w:type="dxa"/>
            <w:tcBorders>
              <w:top w:val="nil"/>
              <w:left w:val="nil"/>
              <w:bottom w:val="nil"/>
              <w:right w:val="single" w:sz="8" w:space="0" w:color="auto"/>
            </w:tcBorders>
            <w:shd w:val="clear" w:color="auto" w:fill="auto"/>
            <w:vAlign w:val="center"/>
            <w:hideMark/>
          </w:tcPr>
          <w:p w14:paraId="1F441339"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ABF.C568</w:t>
            </w:r>
          </w:p>
        </w:tc>
        <w:tc>
          <w:tcPr>
            <w:tcW w:w="1417" w:type="dxa"/>
            <w:tcBorders>
              <w:top w:val="nil"/>
              <w:left w:val="nil"/>
              <w:bottom w:val="nil"/>
              <w:right w:val="single" w:sz="8" w:space="0" w:color="auto"/>
            </w:tcBorders>
            <w:shd w:val="clear" w:color="auto" w:fill="auto"/>
            <w:vAlign w:val="center"/>
            <w:hideMark/>
          </w:tcPr>
          <w:p w14:paraId="11A23E23"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ABF.D568</w:t>
            </w:r>
          </w:p>
        </w:tc>
        <w:tc>
          <w:tcPr>
            <w:tcW w:w="1276" w:type="dxa"/>
            <w:tcBorders>
              <w:top w:val="nil"/>
              <w:left w:val="nil"/>
              <w:bottom w:val="nil"/>
              <w:right w:val="single" w:sz="8" w:space="0" w:color="auto"/>
            </w:tcBorders>
            <w:shd w:val="clear" w:color="auto" w:fill="auto"/>
            <w:vAlign w:val="center"/>
            <w:hideMark/>
          </w:tcPr>
          <w:p w14:paraId="183682AF"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ABF.E568</w:t>
            </w:r>
          </w:p>
        </w:tc>
        <w:tc>
          <w:tcPr>
            <w:tcW w:w="1559" w:type="dxa"/>
            <w:gridSpan w:val="2"/>
            <w:tcBorders>
              <w:top w:val="nil"/>
              <w:left w:val="nil"/>
              <w:bottom w:val="nil"/>
              <w:right w:val="single" w:sz="8" w:space="0" w:color="auto"/>
            </w:tcBorders>
            <w:shd w:val="clear" w:color="auto" w:fill="auto"/>
            <w:vAlign w:val="center"/>
            <w:hideMark/>
          </w:tcPr>
          <w:p w14:paraId="7E402F5D"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ABF.F568</w:t>
            </w:r>
          </w:p>
        </w:tc>
        <w:tc>
          <w:tcPr>
            <w:tcW w:w="1134" w:type="dxa"/>
            <w:gridSpan w:val="2"/>
            <w:tcBorders>
              <w:top w:val="nil"/>
              <w:left w:val="nil"/>
              <w:bottom w:val="nil"/>
              <w:right w:val="single" w:sz="8" w:space="0" w:color="auto"/>
            </w:tcBorders>
            <w:shd w:val="clear" w:color="auto" w:fill="auto"/>
            <w:vAlign w:val="center"/>
            <w:hideMark/>
          </w:tcPr>
          <w:p w14:paraId="7F660109"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ABF.G568</w:t>
            </w:r>
          </w:p>
        </w:tc>
      </w:tr>
      <w:tr w:rsidR="000643B5" w:rsidRPr="00113B0F" w14:paraId="6E1087CF"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25C0CD4F" w14:textId="77777777" w:rsidR="000643B5" w:rsidRPr="00113B0F" w:rsidRDefault="000643B5" w:rsidP="00080E19">
            <w:pPr>
              <w:spacing w:after="0" w:line="240" w:lineRule="auto"/>
              <w:ind w:firstLineChars="200" w:firstLine="320"/>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lastRenderedPageBreak/>
              <w:t>338 - SUPERÁVIT FINANCEIRO - FUNDAP</w:t>
            </w:r>
          </w:p>
        </w:tc>
        <w:tc>
          <w:tcPr>
            <w:tcW w:w="1276" w:type="dxa"/>
            <w:tcBorders>
              <w:top w:val="nil"/>
              <w:left w:val="nil"/>
              <w:bottom w:val="nil"/>
              <w:right w:val="single" w:sz="8" w:space="0" w:color="auto"/>
            </w:tcBorders>
            <w:shd w:val="clear" w:color="auto" w:fill="auto"/>
            <w:vAlign w:val="center"/>
            <w:hideMark/>
          </w:tcPr>
          <w:p w14:paraId="70911707"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ABF.B569</w:t>
            </w:r>
          </w:p>
        </w:tc>
        <w:tc>
          <w:tcPr>
            <w:tcW w:w="1559" w:type="dxa"/>
            <w:tcBorders>
              <w:top w:val="nil"/>
              <w:left w:val="nil"/>
              <w:bottom w:val="nil"/>
              <w:right w:val="single" w:sz="8" w:space="0" w:color="auto"/>
            </w:tcBorders>
            <w:shd w:val="clear" w:color="auto" w:fill="auto"/>
            <w:vAlign w:val="center"/>
            <w:hideMark/>
          </w:tcPr>
          <w:p w14:paraId="092D64C0"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ABF.C569</w:t>
            </w:r>
          </w:p>
        </w:tc>
        <w:tc>
          <w:tcPr>
            <w:tcW w:w="1417" w:type="dxa"/>
            <w:tcBorders>
              <w:top w:val="nil"/>
              <w:left w:val="nil"/>
              <w:bottom w:val="nil"/>
              <w:right w:val="single" w:sz="8" w:space="0" w:color="auto"/>
            </w:tcBorders>
            <w:shd w:val="clear" w:color="auto" w:fill="auto"/>
            <w:vAlign w:val="center"/>
            <w:hideMark/>
          </w:tcPr>
          <w:p w14:paraId="2D7EE14F"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ABF.D569</w:t>
            </w:r>
          </w:p>
        </w:tc>
        <w:tc>
          <w:tcPr>
            <w:tcW w:w="1276" w:type="dxa"/>
            <w:tcBorders>
              <w:top w:val="nil"/>
              <w:left w:val="nil"/>
              <w:bottom w:val="nil"/>
              <w:right w:val="single" w:sz="8" w:space="0" w:color="auto"/>
            </w:tcBorders>
            <w:shd w:val="clear" w:color="auto" w:fill="auto"/>
            <w:vAlign w:val="center"/>
            <w:hideMark/>
          </w:tcPr>
          <w:p w14:paraId="77965914"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ABF.E569</w:t>
            </w:r>
          </w:p>
        </w:tc>
        <w:tc>
          <w:tcPr>
            <w:tcW w:w="1559" w:type="dxa"/>
            <w:gridSpan w:val="2"/>
            <w:tcBorders>
              <w:top w:val="nil"/>
              <w:left w:val="nil"/>
              <w:bottom w:val="nil"/>
              <w:right w:val="single" w:sz="8" w:space="0" w:color="auto"/>
            </w:tcBorders>
            <w:shd w:val="clear" w:color="auto" w:fill="auto"/>
            <w:vAlign w:val="center"/>
            <w:hideMark/>
          </w:tcPr>
          <w:p w14:paraId="5DE45C1C"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ABF.F569</w:t>
            </w:r>
          </w:p>
        </w:tc>
        <w:tc>
          <w:tcPr>
            <w:tcW w:w="1134" w:type="dxa"/>
            <w:gridSpan w:val="2"/>
            <w:tcBorders>
              <w:top w:val="nil"/>
              <w:left w:val="nil"/>
              <w:bottom w:val="nil"/>
              <w:right w:val="single" w:sz="8" w:space="0" w:color="auto"/>
            </w:tcBorders>
            <w:shd w:val="clear" w:color="auto" w:fill="auto"/>
            <w:vAlign w:val="center"/>
            <w:hideMark/>
          </w:tcPr>
          <w:p w14:paraId="1CAE8427"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ABF.G569</w:t>
            </w:r>
          </w:p>
        </w:tc>
      </w:tr>
      <w:tr w:rsidR="000643B5" w:rsidRPr="00113B0F" w14:paraId="481DDB50"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0B370085" w14:textId="77777777" w:rsidR="000643B5" w:rsidRPr="00113B0F" w:rsidRDefault="000643B5" w:rsidP="00080E19">
            <w:pPr>
              <w:spacing w:after="0" w:line="240" w:lineRule="auto"/>
              <w:ind w:firstLineChars="200" w:firstLine="320"/>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339 - SUPERÁVIT FINANCEIRO - DOAÇÕES</w:t>
            </w:r>
          </w:p>
        </w:tc>
        <w:tc>
          <w:tcPr>
            <w:tcW w:w="1276" w:type="dxa"/>
            <w:tcBorders>
              <w:top w:val="nil"/>
              <w:left w:val="nil"/>
              <w:bottom w:val="nil"/>
              <w:right w:val="single" w:sz="8" w:space="0" w:color="auto"/>
            </w:tcBorders>
            <w:shd w:val="clear" w:color="auto" w:fill="auto"/>
            <w:vAlign w:val="center"/>
            <w:hideMark/>
          </w:tcPr>
          <w:p w14:paraId="581BAC95"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ABF.B570</w:t>
            </w:r>
          </w:p>
        </w:tc>
        <w:tc>
          <w:tcPr>
            <w:tcW w:w="1559" w:type="dxa"/>
            <w:tcBorders>
              <w:top w:val="nil"/>
              <w:left w:val="nil"/>
              <w:bottom w:val="nil"/>
              <w:right w:val="single" w:sz="8" w:space="0" w:color="auto"/>
            </w:tcBorders>
            <w:shd w:val="clear" w:color="auto" w:fill="auto"/>
            <w:vAlign w:val="center"/>
            <w:hideMark/>
          </w:tcPr>
          <w:p w14:paraId="38B8A7CC"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ABF.C570</w:t>
            </w:r>
          </w:p>
        </w:tc>
        <w:tc>
          <w:tcPr>
            <w:tcW w:w="1417" w:type="dxa"/>
            <w:tcBorders>
              <w:top w:val="nil"/>
              <w:left w:val="nil"/>
              <w:bottom w:val="nil"/>
              <w:right w:val="single" w:sz="8" w:space="0" w:color="auto"/>
            </w:tcBorders>
            <w:shd w:val="clear" w:color="auto" w:fill="auto"/>
            <w:vAlign w:val="center"/>
            <w:hideMark/>
          </w:tcPr>
          <w:p w14:paraId="1F0A0485"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ABF.D570</w:t>
            </w:r>
          </w:p>
        </w:tc>
        <w:tc>
          <w:tcPr>
            <w:tcW w:w="1276" w:type="dxa"/>
            <w:tcBorders>
              <w:top w:val="nil"/>
              <w:left w:val="nil"/>
              <w:bottom w:val="nil"/>
              <w:right w:val="single" w:sz="8" w:space="0" w:color="auto"/>
            </w:tcBorders>
            <w:shd w:val="clear" w:color="auto" w:fill="auto"/>
            <w:vAlign w:val="center"/>
            <w:hideMark/>
          </w:tcPr>
          <w:p w14:paraId="5E5C19C3"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ABF.E570</w:t>
            </w:r>
          </w:p>
        </w:tc>
        <w:tc>
          <w:tcPr>
            <w:tcW w:w="1559" w:type="dxa"/>
            <w:gridSpan w:val="2"/>
            <w:tcBorders>
              <w:top w:val="nil"/>
              <w:left w:val="nil"/>
              <w:bottom w:val="nil"/>
              <w:right w:val="single" w:sz="8" w:space="0" w:color="auto"/>
            </w:tcBorders>
            <w:shd w:val="clear" w:color="auto" w:fill="auto"/>
            <w:vAlign w:val="center"/>
            <w:hideMark/>
          </w:tcPr>
          <w:p w14:paraId="0E553791"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ABF.F570</w:t>
            </w:r>
          </w:p>
        </w:tc>
        <w:tc>
          <w:tcPr>
            <w:tcW w:w="1134" w:type="dxa"/>
            <w:gridSpan w:val="2"/>
            <w:tcBorders>
              <w:top w:val="nil"/>
              <w:left w:val="nil"/>
              <w:bottom w:val="nil"/>
              <w:right w:val="single" w:sz="8" w:space="0" w:color="auto"/>
            </w:tcBorders>
            <w:shd w:val="clear" w:color="auto" w:fill="auto"/>
            <w:vAlign w:val="center"/>
            <w:hideMark/>
          </w:tcPr>
          <w:p w14:paraId="76417476"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ABF.G570</w:t>
            </w:r>
          </w:p>
        </w:tc>
      </w:tr>
      <w:tr w:rsidR="000643B5" w:rsidRPr="00113B0F" w14:paraId="33668752"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3C735D0F" w14:textId="77777777" w:rsidR="000643B5" w:rsidRPr="00113B0F" w:rsidRDefault="000643B5" w:rsidP="00080E19">
            <w:pPr>
              <w:spacing w:after="0" w:line="240" w:lineRule="auto"/>
              <w:ind w:firstLineChars="200" w:firstLine="320"/>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341 - SUPERÁVIT FINANCEIRO - CONVÊNIOS COM ÓRGÃOS NÃO FEDERAIS</w:t>
            </w:r>
          </w:p>
        </w:tc>
        <w:tc>
          <w:tcPr>
            <w:tcW w:w="1276" w:type="dxa"/>
            <w:tcBorders>
              <w:top w:val="nil"/>
              <w:left w:val="nil"/>
              <w:bottom w:val="nil"/>
              <w:right w:val="single" w:sz="8" w:space="0" w:color="auto"/>
            </w:tcBorders>
            <w:shd w:val="clear" w:color="auto" w:fill="auto"/>
            <w:vAlign w:val="center"/>
            <w:hideMark/>
          </w:tcPr>
          <w:p w14:paraId="30C5EFDA"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ABF.B571</w:t>
            </w:r>
          </w:p>
        </w:tc>
        <w:tc>
          <w:tcPr>
            <w:tcW w:w="1559" w:type="dxa"/>
            <w:tcBorders>
              <w:top w:val="nil"/>
              <w:left w:val="nil"/>
              <w:bottom w:val="nil"/>
              <w:right w:val="single" w:sz="8" w:space="0" w:color="auto"/>
            </w:tcBorders>
            <w:shd w:val="clear" w:color="auto" w:fill="auto"/>
            <w:vAlign w:val="center"/>
            <w:hideMark/>
          </w:tcPr>
          <w:p w14:paraId="348F4B26"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ABF.C571</w:t>
            </w:r>
          </w:p>
        </w:tc>
        <w:tc>
          <w:tcPr>
            <w:tcW w:w="1417" w:type="dxa"/>
            <w:tcBorders>
              <w:top w:val="nil"/>
              <w:left w:val="nil"/>
              <w:bottom w:val="nil"/>
              <w:right w:val="single" w:sz="8" w:space="0" w:color="auto"/>
            </w:tcBorders>
            <w:shd w:val="clear" w:color="auto" w:fill="auto"/>
            <w:vAlign w:val="center"/>
            <w:hideMark/>
          </w:tcPr>
          <w:p w14:paraId="7842B92F"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ABF.D571</w:t>
            </w:r>
          </w:p>
        </w:tc>
        <w:tc>
          <w:tcPr>
            <w:tcW w:w="1276" w:type="dxa"/>
            <w:tcBorders>
              <w:top w:val="nil"/>
              <w:left w:val="nil"/>
              <w:bottom w:val="nil"/>
              <w:right w:val="single" w:sz="8" w:space="0" w:color="auto"/>
            </w:tcBorders>
            <w:shd w:val="clear" w:color="auto" w:fill="auto"/>
            <w:vAlign w:val="center"/>
            <w:hideMark/>
          </w:tcPr>
          <w:p w14:paraId="32C72BBF"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ABF.E571</w:t>
            </w:r>
          </w:p>
        </w:tc>
        <w:tc>
          <w:tcPr>
            <w:tcW w:w="1559" w:type="dxa"/>
            <w:gridSpan w:val="2"/>
            <w:tcBorders>
              <w:top w:val="nil"/>
              <w:left w:val="nil"/>
              <w:bottom w:val="nil"/>
              <w:right w:val="single" w:sz="8" w:space="0" w:color="auto"/>
            </w:tcBorders>
            <w:shd w:val="clear" w:color="auto" w:fill="auto"/>
            <w:vAlign w:val="center"/>
            <w:hideMark/>
          </w:tcPr>
          <w:p w14:paraId="1DE618FA"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ABF.F571</w:t>
            </w:r>
          </w:p>
        </w:tc>
        <w:tc>
          <w:tcPr>
            <w:tcW w:w="1134" w:type="dxa"/>
            <w:gridSpan w:val="2"/>
            <w:tcBorders>
              <w:top w:val="nil"/>
              <w:left w:val="nil"/>
              <w:bottom w:val="nil"/>
              <w:right w:val="single" w:sz="8" w:space="0" w:color="auto"/>
            </w:tcBorders>
            <w:shd w:val="clear" w:color="auto" w:fill="auto"/>
            <w:vAlign w:val="center"/>
            <w:hideMark/>
          </w:tcPr>
          <w:p w14:paraId="1F58F974"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ABF.G571</w:t>
            </w:r>
          </w:p>
        </w:tc>
      </w:tr>
      <w:tr w:rsidR="000643B5" w:rsidRPr="00113B0F" w14:paraId="387ADCF7"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7F6226C2" w14:textId="77777777" w:rsidR="000643B5" w:rsidRPr="00113B0F" w:rsidRDefault="000643B5" w:rsidP="00080E19">
            <w:pPr>
              <w:spacing w:after="0" w:line="240" w:lineRule="auto"/>
              <w:ind w:firstLineChars="200" w:firstLine="320"/>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342 - SUPERÁVIT FINANCEIRO - OPERAÇÕES DE CRÉDITO INTERNAS</w:t>
            </w:r>
          </w:p>
        </w:tc>
        <w:tc>
          <w:tcPr>
            <w:tcW w:w="1276" w:type="dxa"/>
            <w:tcBorders>
              <w:top w:val="nil"/>
              <w:left w:val="nil"/>
              <w:bottom w:val="nil"/>
              <w:right w:val="single" w:sz="8" w:space="0" w:color="auto"/>
            </w:tcBorders>
            <w:shd w:val="clear" w:color="auto" w:fill="auto"/>
            <w:vAlign w:val="center"/>
            <w:hideMark/>
          </w:tcPr>
          <w:p w14:paraId="7375D5BD"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ABF.B572</w:t>
            </w:r>
          </w:p>
        </w:tc>
        <w:tc>
          <w:tcPr>
            <w:tcW w:w="1559" w:type="dxa"/>
            <w:tcBorders>
              <w:top w:val="nil"/>
              <w:left w:val="nil"/>
              <w:bottom w:val="nil"/>
              <w:right w:val="single" w:sz="8" w:space="0" w:color="auto"/>
            </w:tcBorders>
            <w:shd w:val="clear" w:color="auto" w:fill="auto"/>
            <w:vAlign w:val="center"/>
            <w:hideMark/>
          </w:tcPr>
          <w:p w14:paraId="0A9597D8"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ABF.C572</w:t>
            </w:r>
          </w:p>
        </w:tc>
        <w:tc>
          <w:tcPr>
            <w:tcW w:w="1417" w:type="dxa"/>
            <w:tcBorders>
              <w:top w:val="nil"/>
              <w:left w:val="nil"/>
              <w:bottom w:val="nil"/>
              <w:right w:val="single" w:sz="8" w:space="0" w:color="auto"/>
            </w:tcBorders>
            <w:shd w:val="clear" w:color="auto" w:fill="auto"/>
            <w:vAlign w:val="center"/>
            <w:hideMark/>
          </w:tcPr>
          <w:p w14:paraId="27EEE767"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ABF.D572</w:t>
            </w:r>
          </w:p>
        </w:tc>
        <w:tc>
          <w:tcPr>
            <w:tcW w:w="1276" w:type="dxa"/>
            <w:tcBorders>
              <w:top w:val="nil"/>
              <w:left w:val="nil"/>
              <w:bottom w:val="nil"/>
              <w:right w:val="single" w:sz="8" w:space="0" w:color="auto"/>
            </w:tcBorders>
            <w:shd w:val="clear" w:color="auto" w:fill="auto"/>
            <w:vAlign w:val="center"/>
            <w:hideMark/>
          </w:tcPr>
          <w:p w14:paraId="13301B29"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ABF.E572</w:t>
            </w:r>
          </w:p>
        </w:tc>
        <w:tc>
          <w:tcPr>
            <w:tcW w:w="1559" w:type="dxa"/>
            <w:gridSpan w:val="2"/>
            <w:tcBorders>
              <w:top w:val="nil"/>
              <w:left w:val="nil"/>
              <w:bottom w:val="nil"/>
              <w:right w:val="single" w:sz="8" w:space="0" w:color="auto"/>
            </w:tcBorders>
            <w:shd w:val="clear" w:color="auto" w:fill="auto"/>
            <w:vAlign w:val="center"/>
            <w:hideMark/>
          </w:tcPr>
          <w:p w14:paraId="378EA4F9"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ABF.F572</w:t>
            </w:r>
          </w:p>
        </w:tc>
        <w:tc>
          <w:tcPr>
            <w:tcW w:w="1134" w:type="dxa"/>
            <w:gridSpan w:val="2"/>
            <w:tcBorders>
              <w:top w:val="nil"/>
              <w:left w:val="nil"/>
              <w:bottom w:val="nil"/>
              <w:right w:val="single" w:sz="8" w:space="0" w:color="auto"/>
            </w:tcBorders>
            <w:shd w:val="clear" w:color="auto" w:fill="auto"/>
            <w:vAlign w:val="center"/>
            <w:hideMark/>
          </w:tcPr>
          <w:p w14:paraId="765BBD52"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ABF.G572</w:t>
            </w:r>
          </w:p>
        </w:tc>
      </w:tr>
      <w:tr w:rsidR="000643B5" w:rsidRPr="00113B0F" w14:paraId="3D11AA87"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5C7BB20A" w14:textId="77777777" w:rsidR="000643B5" w:rsidRPr="00113B0F" w:rsidRDefault="000643B5" w:rsidP="00080E19">
            <w:pPr>
              <w:spacing w:after="0" w:line="240" w:lineRule="auto"/>
              <w:ind w:firstLineChars="200" w:firstLine="320"/>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343 - SUPERÁVIT FINANCEIRO - OPERAÇÕES DE CRÉDITO EXTERNAS</w:t>
            </w:r>
          </w:p>
        </w:tc>
        <w:tc>
          <w:tcPr>
            <w:tcW w:w="1276" w:type="dxa"/>
            <w:tcBorders>
              <w:top w:val="nil"/>
              <w:left w:val="nil"/>
              <w:bottom w:val="nil"/>
              <w:right w:val="single" w:sz="8" w:space="0" w:color="auto"/>
            </w:tcBorders>
            <w:shd w:val="clear" w:color="auto" w:fill="auto"/>
            <w:vAlign w:val="center"/>
            <w:hideMark/>
          </w:tcPr>
          <w:p w14:paraId="106A2053"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ABF.B573</w:t>
            </w:r>
          </w:p>
        </w:tc>
        <w:tc>
          <w:tcPr>
            <w:tcW w:w="1559" w:type="dxa"/>
            <w:tcBorders>
              <w:top w:val="nil"/>
              <w:left w:val="nil"/>
              <w:bottom w:val="nil"/>
              <w:right w:val="single" w:sz="8" w:space="0" w:color="auto"/>
            </w:tcBorders>
            <w:shd w:val="clear" w:color="auto" w:fill="auto"/>
            <w:vAlign w:val="center"/>
            <w:hideMark/>
          </w:tcPr>
          <w:p w14:paraId="5266B8D6"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ABF.C573</w:t>
            </w:r>
          </w:p>
        </w:tc>
        <w:tc>
          <w:tcPr>
            <w:tcW w:w="1417" w:type="dxa"/>
            <w:tcBorders>
              <w:top w:val="nil"/>
              <w:left w:val="nil"/>
              <w:bottom w:val="nil"/>
              <w:right w:val="single" w:sz="8" w:space="0" w:color="auto"/>
            </w:tcBorders>
            <w:shd w:val="clear" w:color="auto" w:fill="auto"/>
            <w:vAlign w:val="center"/>
            <w:hideMark/>
          </w:tcPr>
          <w:p w14:paraId="49CDDBC8"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ABF.D573</w:t>
            </w:r>
          </w:p>
        </w:tc>
        <w:tc>
          <w:tcPr>
            <w:tcW w:w="1276" w:type="dxa"/>
            <w:tcBorders>
              <w:top w:val="nil"/>
              <w:left w:val="nil"/>
              <w:bottom w:val="nil"/>
              <w:right w:val="single" w:sz="8" w:space="0" w:color="auto"/>
            </w:tcBorders>
            <w:shd w:val="clear" w:color="auto" w:fill="auto"/>
            <w:vAlign w:val="center"/>
            <w:hideMark/>
          </w:tcPr>
          <w:p w14:paraId="79757306"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ABF.E573</w:t>
            </w:r>
          </w:p>
        </w:tc>
        <w:tc>
          <w:tcPr>
            <w:tcW w:w="1559" w:type="dxa"/>
            <w:gridSpan w:val="2"/>
            <w:tcBorders>
              <w:top w:val="nil"/>
              <w:left w:val="nil"/>
              <w:bottom w:val="nil"/>
              <w:right w:val="single" w:sz="8" w:space="0" w:color="auto"/>
            </w:tcBorders>
            <w:shd w:val="clear" w:color="auto" w:fill="auto"/>
            <w:vAlign w:val="center"/>
            <w:hideMark/>
          </w:tcPr>
          <w:p w14:paraId="29CAB88C"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ABF.F573</w:t>
            </w:r>
          </w:p>
        </w:tc>
        <w:tc>
          <w:tcPr>
            <w:tcW w:w="1134" w:type="dxa"/>
            <w:gridSpan w:val="2"/>
            <w:tcBorders>
              <w:top w:val="nil"/>
              <w:left w:val="nil"/>
              <w:bottom w:val="nil"/>
              <w:right w:val="single" w:sz="8" w:space="0" w:color="auto"/>
            </w:tcBorders>
            <w:shd w:val="clear" w:color="auto" w:fill="auto"/>
            <w:vAlign w:val="center"/>
            <w:hideMark/>
          </w:tcPr>
          <w:p w14:paraId="6116A701"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ABF.G573</w:t>
            </w:r>
          </w:p>
        </w:tc>
      </w:tr>
      <w:tr w:rsidR="000643B5" w:rsidRPr="00113B0F" w14:paraId="346B3BF3"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69C7DCB9" w14:textId="77777777" w:rsidR="000643B5" w:rsidRPr="00113B0F" w:rsidRDefault="000643B5" w:rsidP="00080E19">
            <w:pPr>
              <w:spacing w:after="0" w:line="240" w:lineRule="auto"/>
              <w:ind w:firstLineChars="200" w:firstLine="320"/>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344 - SUPERÁVIT FINANCEIRO - TRANSFERÊNCIAS A MUNICÍPIOS - CIDE</w:t>
            </w:r>
          </w:p>
        </w:tc>
        <w:tc>
          <w:tcPr>
            <w:tcW w:w="1276" w:type="dxa"/>
            <w:tcBorders>
              <w:top w:val="nil"/>
              <w:left w:val="nil"/>
              <w:bottom w:val="nil"/>
              <w:right w:val="single" w:sz="8" w:space="0" w:color="auto"/>
            </w:tcBorders>
            <w:shd w:val="clear" w:color="auto" w:fill="auto"/>
            <w:vAlign w:val="center"/>
            <w:hideMark/>
          </w:tcPr>
          <w:p w14:paraId="336BA3B0"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ABF.B574</w:t>
            </w:r>
          </w:p>
        </w:tc>
        <w:tc>
          <w:tcPr>
            <w:tcW w:w="1559" w:type="dxa"/>
            <w:tcBorders>
              <w:top w:val="nil"/>
              <w:left w:val="nil"/>
              <w:bottom w:val="nil"/>
              <w:right w:val="single" w:sz="8" w:space="0" w:color="auto"/>
            </w:tcBorders>
            <w:shd w:val="clear" w:color="auto" w:fill="auto"/>
            <w:vAlign w:val="center"/>
            <w:hideMark/>
          </w:tcPr>
          <w:p w14:paraId="437361CA"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ABF.C574</w:t>
            </w:r>
          </w:p>
        </w:tc>
        <w:tc>
          <w:tcPr>
            <w:tcW w:w="1417" w:type="dxa"/>
            <w:tcBorders>
              <w:top w:val="nil"/>
              <w:left w:val="nil"/>
              <w:bottom w:val="nil"/>
              <w:right w:val="single" w:sz="8" w:space="0" w:color="auto"/>
            </w:tcBorders>
            <w:shd w:val="clear" w:color="auto" w:fill="auto"/>
            <w:vAlign w:val="center"/>
            <w:hideMark/>
          </w:tcPr>
          <w:p w14:paraId="3C7B6DD5"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ABF.D574</w:t>
            </w:r>
          </w:p>
        </w:tc>
        <w:tc>
          <w:tcPr>
            <w:tcW w:w="1276" w:type="dxa"/>
            <w:tcBorders>
              <w:top w:val="nil"/>
              <w:left w:val="nil"/>
              <w:bottom w:val="nil"/>
              <w:right w:val="single" w:sz="8" w:space="0" w:color="auto"/>
            </w:tcBorders>
            <w:shd w:val="clear" w:color="auto" w:fill="auto"/>
            <w:vAlign w:val="center"/>
            <w:hideMark/>
          </w:tcPr>
          <w:p w14:paraId="663149FC"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ABF.E574</w:t>
            </w:r>
          </w:p>
        </w:tc>
        <w:tc>
          <w:tcPr>
            <w:tcW w:w="1559" w:type="dxa"/>
            <w:gridSpan w:val="2"/>
            <w:tcBorders>
              <w:top w:val="nil"/>
              <w:left w:val="nil"/>
              <w:bottom w:val="nil"/>
              <w:right w:val="single" w:sz="8" w:space="0" w:color="auto"/>
            </w:tcBorders>
            <w:shd w:val="clear" w:color="auto" w:fill="auto"/>
            <w:vAlign w:val="center"/>
            <w:hideMark/>
          </w:tcPr>
          <w:p w14:paraId="0BF03EF0"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ABF.F574</w:t>
            </w:r>
          </w:p>
        </w:tc>
        <w:tc>
          <w:tcPr>
            <w:tcW w:w="1134" w:type="dxa"/>
            <w:gridSpan w:val="2"/>
            <w:tcBorders>
              <w:top w:val="nil"/>
              <w:left w:val="nil"/>
              <w:bottom w:val="nil"/>
              <w:right w:val="single" w:sz="8" w:space="0" w:color="auto"/>
            </w:tcBorders>
            <w:shd w:val="clear" w:color="auto" w:fill="auto"/>
            <w:vAlign w:val="center"/>
            <w:hideMark/>
          </w:tcPr>
          <w:p w14:paraId="1AAB305E"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ABF.G574</w:t>
            </w:r>
          </w:p>
        </w:tc>
      </w:tr>
      <w:tr w:rsidR="000643B5" w:rsidRPr="00113B0F" w14:paraId="39F8D5C8"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10E79CCA" w14:textId="77777777" w:rsidR="000643B5" w:rsidRPr="00113B0F" w:rsidRDefault="000643B5" w:rsidP="00080E19">
            <w:pPr>
              <w:spacing w:after="0" w:line="240" w:lineRule="auto"/>
              <w:ind w:firstLineChars="200" w:firstLine="320"/>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350 - SUPERÁVIT FINANCEIRO - PACTO NACIONAL PELA GESTÃO DAS ÁGUAS – PROGESTÃO</w:t>
            </w:r>
          </w:p>
        </w:tc>
        <w:tc>
          <w:tcPr>
            <w:tcW w:w="1276" w:type="dxa"/>
            <w:tcBorders>
              <w:top w:val="nil"/>
              <w:left w:val="nil"/>
              <w:bottom w:val="nil"/>
              <w:right w:val="single" w:sz="8" w:space="0" w:color="auto"/>
            </w:tcBorders>
            <w:shd w:val="clear" w:color="auto" w:fill="auto"/>
            <w:vAlign w:val="center"/>
            <w:hideMark/>
          </w:tcPr>
          <w:p w14:paraId="2076BE1D"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ABF.B575</w:t>
            </w:r>
          </w:p>
        </w:tc>
        <w:tc>
          <w:tcPr>
            <w:tcW w:w="1559" w:type="dxa"/>
            <w:tcBorders>
              <w:top w:val="nil"/>
              <w:left w:val="nil"/>
              <w:bottom w:val="nil"/>
              <w:right w:val="single" w:sz="8" w:space="0" w:color="auto"/>
            </w:tcBorders>
            <w:shd w:val="clear" w:color="auto" w:fill="auto"/>
            <w:vAlign w:val="center"/>
            <w:hideMark/>
          </w:tcPr>
          <w:p w14:paraId="06681204"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ABF.C575</w:t>
            </w:r>
          </w:p>
        </w:tc>
        <w:tc>
          <w:tcPr>
            <w:tcW w:w="1417" w:type="dxa"/>
            <w:tcBorders>
              <w:top w:val="nil"/>
              <w:left w:val="nil"/>
              <w:bottom w:val="nil"/>
              <w:right w:val="single" w:sz="8" w:space="0" w:color="auto"/>
            </w:tcBorders>
            <w:shd w:val="clear" w:color="auto" w:fill="auto"/>
            <w:vAlign w:val="center"/>
            <w:hideMark/>
          </w:tcPr>
          <w:p w14:paraId="6187CEC3"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ABF.D575</w:t>
            </w:r>
          </w:p>
        </w:tc>
        <w:tc>
          <w:tcPr>
            <w:tcW w:w="1276" w:type="dxa"/>
            <w:tcBorders>
              <w:top w:val="nil"/>
              <w:left w:val="nil"/>
              <w:bottom w:val="nil"/>
              <w:right w:val="single" w:sz="8" w:space="0" w:color="auto"/>
            </w:tcBorders>
            <w:shd w:val="clear" w:color="auto" w:fill="auto"/>
            <w:vAlign w:val="center"/>
            <w:hideMark/>
          </w:tcPr>
          <w:p w14:paraId="3213E83B"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ABF.E575</w:t>
            </w:r>
          </w:p>
        </w:tc>
        <w:tc>
          <w:tcPr>
            <w:tcW w:w="1559" w:type="dxa"/>
            <w:gridSpan w:val="2"/>
            <w:tcBorders>
              <w:top w:val="nil"/>
              <w:left w:val="nil"/>
              <w:bottom w:val="nil"/>
              <w:right w:val="single" w:sz="8" w:space="0" w:color="auto"/>
            </w:tcBorders>
            <w:shd w:val="clear" w:color="auto" w:fill="auto"/>
            <w:vAlign w:val="center"/>
            <w:hideMark/>
          </w:tcPr>
          <w:p w14:paraId="40C0EDA9"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ABF.F575</w:t>
            </w:r>
          </w:p>
        </w:tc>
        <w:tc>
          <w:tcPr>
            <w:tcW w:w="1134" w:type="dxa"/>
            <w:gridSpan w:val="2"/>
            <w:tcBorders>
              <w:top w:val="nil"/>
              <w:left w:val="nil"/>
              <w:bottom w:val="nil"/>
              <w:right w:val="single" w:sz="8" w:space="0" w:color="auto"/>
            </w:tcBorders>
            <w:shd w:val="clear" w:color="auto" w:fill="auto"/>
            <w:vAlign w:val="center"/>
            <w:hideMark/>
          </w:tcPr>
          <w:p w14:paraId="446A3826" w14:textId="77777777" w:rsidR="000643B5" w:rsidRPr="00113B0F" w:rsidRDefault="000643B5" w:rsidP="00080E19">
            <w:pPr>
              <w:spacing w:after="0" w:line="240" w:lineRule="auto"/>
              <w:jc w:val="center"/>
              <w:rPr>
                <w:rFonts w:ascii="Arial Narrow" w:eastAsia="Times New Roman" w:hAnsi="Arial Narrow" w:cs="Arial"/>
                <w:sz w:val="16"/>
                <w:szCs w:val="16"/>
                <w:lang w:eastAsia="pt-BR"/>
              </w:rPr>
            </w:pPr>
            <w:r w:rsidRPr="00113B0F">
              <w:rPr>
                <w:rFonts w:ascii="Arial Narrow" w:eastAsia="Times New Roman" w:hAnsi="Arial Narrow" w:cs="Arial"/>
                <w:sz w:val="16"/>
                <w:szCs w:val="16"/>
                <w:lang w:eastAsia="pt-BR"/>
              </w:rPr>
              <w:t>ABF.G575</w:t>
            </w:r>
          </w:p>
        </w:tc>
      </w:tr>
      <w:tr w:rsidR="000643B5" w:rsidRPr="0084332C" w14:paraId="6E80EDF6"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1A2E3A8B" w14:textId="77777777" w:rsidR="000643B5" w:rsidRPr="0084332C" w:rsidRDefault="000643B5" w:rsidP="00080E19">
            <w:pPr>
              <w:spacing w:after="0" w:line="240" w:lineRule="auto"/>
              <w:ind w:firstLineChars="200" w:firstLine="320"/>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354 - SUPERÁVIT FINANCEIRO - CIDE</w:t>
            </w:r>
          </w:p>
        </w:tc>
        <w:tc>
          <w:tcPr>
            <w:tcW w:w="1276" w:type="dxa"/>
            <w:tcBorders>
              <w:top w:val="nil"/>
              <w:left w:val="nil"/>
              <w:bottom w:val="nil"/>
              <w:right w:val="single" w:sz="8" w:space="0" w:color="auto"/>
            </w:tcBorders>
            <w:shd w:val="clear" w:color="auto" w:fill="auto"/>
            <w:vAlign w:val="center"/>
            <w:hideMark/>
          </w:tcPr>
          <w:p w14:paraId="7A8894A6"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ABF.B576</w:t>
            </w:r>
          </w:p>
        </w:tc>
        <w:tc>
          <w:tcPr>
            <w:tcW w:w="1559" w:type="dxa"/>
            <w:tcBorders>
              <w:top w:val="nil"/>
              <w:left w:val="nil"/>
              <w:bottom w:val="nil"/>
              <w:right w:val="single" w:sz="8" w:space="0" w:color="auto"/>
            </w:tcBorders>
            <w:shd w:val="clear" w:color="auto" w:fill="auto"/>
            <w:vAlign w:val="center"/>
            <w:hideMark/>
          </w:tcPr>
          <w:p w14:paraId="64BBA04F"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ABF.C576</w:t>
            </w:r>
          </w:p>
        </w:tc>
        <w:tc>
          <w:tcPr>
            <w:tcW w:w="1417" w:type="dxa"/>
            <w:tcBorders>
              <w:top w:val="nil"/>
              <w:left w:val="nil"/>
              <w:bottom w:val="nil"/>
              <w:right w:val="single" w:sz="8" w:space="0" w:color="auto"/>
            </w:tcBorders>
            <w:shd w:val="clear" w:color="auto" w:fill="auto"/>
            <w:vAlign w:val="center"/>
            <w:hideMark/>
          </w:tcPr>
          <w:p w14:paraId="0D01E838"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ABF.D576</w:t>
            </w:r>
          </w:p>
        </w:tc>
        <w:tc>
          <w:tcPr>
            <w:tcW w:w="1276" w:type="dxa"/>
            <w:tcBorders>
              <w:top w:val="nil"/>
              <w:left w:val="nil"/>
              <w:bottom w:val="nil"/>
              <w:right w:val="single" w:sz="8" w:space="0" w:color="auto"/>
            </w:tcBorders>
            <w:shd w:val="clear" w:color="auto" w:fill="auto"/>
            <w:vAlign w:val="center"/>
            <w:hideMark/>
          </w:tcPr>
          <w:p w14:paraId="1D3666F1"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ABF.E576</w:t>
            </w:r>
          </w:p>
        </w:tc>
        <w:tc>
          <w:tcPr>
            <w:tcW w:w="1559" w:type="dxa"/>
            <w:gridSpan w:val="2"/>
            <w:tcBorders>
              <w:top w:val="nil"/>
              <w:left w:val="nil"/>
              <w:bottom w:val="nil"/>
              <w:right w:val="single" w:sz="8" w:space="0" w:color="auto"/>
            </w:tcBorders>
            <w:shd w:val="clear" w:color="auto" w:fill="auto"/>
            <w:vAlign w:val="center"/>
            <w:hideMark/>
          </w:tcPr>
          <w:p w14:paraId="4B17E0AD"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ABF.F576</w:t>
            </w:r>
          </w:p>
        </w:tc>
        <w:tc>
          <w:tcPr>
            <w:tcW w:w="1134" w:type="dxa"/>
            <w:gridSpan w:val="2"/>
            <w:tcBorders>
              <w:top w:val="nil"/>
              <w:left w:val="nil"/>
              <w:bottom w:val="nil"/>
              <w:right w:val="single" w:sz="8" w:space="0" w:color="auto"/>
            </w:tcBorders>
            <w:shd w:val="clear" w:color="auto" w:fill="auto"/>
            <w:vAlign w:val="center"/>
            <w:hideMark/>
          </w:tcPr>
          <w:p w14:paraId="6E131E5E"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ABF.G576</w:t>
            </w:r>
          </w:p>
        </w:tc>
      </w:tr>
      <w:tr w:rsidR="000643B5" w:rsidRPr="0084332C" w14:paraId="6723D89F"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6335F345" w14:textId="77777777" w:rsidR="000643B5" w:rsidRPr="0084332C" w:rsidRDefault="000643B5" w:rsidP="00080E19">
            <w:pPr>
              <w:spacing w:after="0" w:line="240" w:lineRule="auto"/>
              <w:ind w:firstLineChars="200" w:firstLine="320"/>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357 - SUPERÁVIT FINANCEIRO - INCENTIVO SUAS - UNIÃO</w:t>
            </w:r>
          </w:p>
        </w:tc>
        <w:tc>
          <w:tcPr>
            <w:tcW w:w="1276" w:type="dxa"/>
            <w:tcBorders>
              <w:top w:val="nil"/>
              <w:left w:val="nil"/>
              <w:bottom w:val="nil"/>
              <w:right w:val="single" w:sz="8" w:space="0" w:color="auto"/>
            </w:tcBorders>
            <w:shd w:val="clear" w:color="auto" w:fill="auto"/>
            <w:vAlign w:val="center"/>
            <w:hideMark/>
          </w:tcPr>
          <w:p w14:paraId="27C2967A"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ABF.B577</w:t>
            </w:r>
          </w:p>
        </w:tc>
        <w:tc>
          <w:tcPr>
            <w:tcW w:w="1559" w:type="dxa"/>
            <w:tcBorders>
              <w:top w:val="nil"/>
              <w:left w:val="nil"/>
              <w:bottom w:val="nil"/>
              <w:right w:val="single" w:sz="8" w:space="0" w:color="auto"/>
            </w:tcBorders>
            <w:shd w:val="clear" w:color="auto" w:fill="auto"/>
            <w:vAlign w:val="center"/>
            <w:hideMark/>
          </w:tcPr>
          <w:p w14:paraId="6F139C30"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ABF.C577</w:t>
            </w:r>
          </w:p>
        </w:tc>
        <w:tc>
          <w:tcPr>
            <w:tcW w:w="1417" w:type="dxa"/>
            <w:tcBorders>
              <w:top w:val="nil"/>
              <w:left w:val="nil"/>
              <w:bottom w:val="nil"/>
              <w:right w:val="single" w:sz="8" w:space="0" w:color="auto"/>
            </w:tcBorders>
            <w:shd w:val="clear" w:color="auto" w:fill="auto"/>
            <w:vAlign w:val="center"/>
            <w:hideMark/>
          </w:tcPr>
          <w:p w14:paraId="5E5BBD6B"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ABF.D577</w:t>
            </w:r>
          </w:p>
        </w:tc>
        <w:tc>
          <w:tcPr>
            <w:tcW w:w="1276" w:type="dxa"/>
            <w:tcBorders>
              <w:top w:val="nil"/>
              <w:left w:val="nil"/>
              <w:bottom w:val="nil"/>
              <w:right w:val="single" w:sz="8" w:space="0" w:color="auto"/>
            </w:tcBorders>
            <w:shd w:val="clear" w:color="auto" w:fill="auto"/>
            <w:vAlign w:val="center"/>
            <w:hideMark/>
          </w:tcPr>
          <w:p w14:paraId="007EA5F0"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ABF.E577</w:t>
            </w:r>
          </w:p>
        </w:tc>
        <w:tc>
          <w:tcPr>
            <w:tcW w:w="1559" w:type="dxa"/>
            <w:gridSpan w:val="2"/>
            <w:tcBorders>
              <w:top w:val="nil"/>
              <w:left w:val="nil"/>
              <w:bottom w:val="nil"/>
              <w:right w:val="single" w:sz="8" w:space="0" w:color="auto"/>
            </w:tcBorders>
            <w:shd w:val="clear" w:color="auto" w:fill="auto"/>
            <w:vAlign w:val="center"/>
            <w:hideMark/>
          </w:tcPr>
          <w:p w14:paraId="15B0A987"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ABF.F577</w:t>
            </w:r>
          </w:p>
        </w:tc>
        <w:tc>
          <w:tcPr>
            <w:tcW w:w="1134" w:type="dxa"/>
            <w:gridSpan w:val="2"/>
            <w:tcBorders>
              <w:top w:val="nil"/>
              <w:left w:val="nil"/>
              <w:bottom w:val="nil"/>
              <w:right w:val="single" w:sz="8" w:space="0" w:color="auto"/>
            </w:tcBorders>
            <w:shd w:val="clear" w:color="auto" w:fill="auto"/>
            <w:vAlign w:val="center"/>
            <w:hideMark/>
          </w:tcPr>
          <w:p w14:paraId="35646282"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ABF.G577</w:t>
            </w:r>
          </w:p>
        </w:tc>
      </w:tr>
      <w:tr w:rsidR="000643B5" w:rsidRPr="0084332C" w14:paraId="66591768"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653A478B" w14:textId="77777777" w:rsidR="000643B5" w:rsidRPr="0084332C" w:rsidRDefault="000643B5" w:rsidP="00080E19">
            <w:pPr>
              <w:spacing w:after="0" w:line="240" w:lineRule="auto"/>
              <w:ind w:firstLineChars="200" w:firstLine="320"/>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358 -  SUPERÁVIT FINANCEIRO - TRANSFERÊNCIAS A MUNICÍPIOS - LEI PELÉ</w:t>
            </w:r>
          </w:p>
        </w:tc>
        <w:tc>
          <w:tcPr>
            <w:tcW w:w="1276" w:type="dxa"/>
            <w:tcBorders>
              <w:top w:val="nil"/>
              <w:left w:val="nil"/>
              <w:bottom w:val="nil"/>
              <w:right w:val="single" w:sz="8" w:space="0" w:color="auto"/>
            </w:tcBorders>
            <w:shd w:val="clear" w:color="auto" w:fill="auto"/>
            <w:vAlign w:val="center"/>
            <w:hideMark/>
          </w:tcPr>
          <w:p w14:paraId="07D77C09"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ABF.B578</w:t>
            </w:r>
          </w:p>
        </w:tc>
        <w:tc>
          <w:tcPr>
            <w:tcW w:w="1559" w:type="dxa"/>
            <w:tcBorders>
              <w:top w:val="nil"/>
              <w:left w:val="nil"/>
              <w:bottom w:val="nil"/>
              <w:right w:val="single" w:sz="8" w:space="0" w:color="auto"/>
            </w:tcBorders>
            <w:shd w:val="clear" w:color="auto" w:fill="auto"/>
            <w:vAlign w:val="center"/>
            <w:hideMark/>
          </w:tcPr>
          <w:p w14:paraId="70BE2541"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ABF.C578</w:t>
            </w:r>
          </w:p>
        </w:tc>
        <w:tc>
          <w:tcPr>
            <w:tcW w:w="1417" w:type="dxa"/>
            <w:tcBorders>
              <w:top w:val="nil"/>
              <w:left w:val="nil"/>
              <w:bottom w:val="nil"/>
              <w:right w:val="single" w:sz="8" w:space="0" w:color="auto"/>
            </w:tcBorders>
            <w:shd w:val="clear" w:color="auto" w:fill="auto"/>
            <w:vAlign w:val="center"/>
            <w:hideMark/>
          </w:tcPr>
          <w:p w14:paraId="49A83376"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ABF.D578</w:t>
            </w:r>
          </w:p>
        </w:tc>
        <w:tc>
          <w:tcPr>
            <w:tcW w:w="1276" w:type="dxa"/>
            <w:tcBorders>
              <w:top w:val="nil"/>
              <w:left w:val="nil"/>
              <w:bottom w:val="nil"/>
              <w:right w:val="single" w:sz="8" w:space="0" w:color="auto"/>
            </w:tcBorders>
            <w:shd w:val="clear" w:color="auto" w:fill="auto"/>
            <w:vAlign w:val="center"/>
            <w:hideMark/>
          </w:tcPr>
          <w:p w14:paraId="54CB11A7"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ABF.E578</w:t>
            </w:r>
          </w:p>
        </w:tc>
        <w:tc>
          <w:tcPr>
            <w:tcW w:w="1559" w:type="dxa"/>
            <w:gridSpan w:val="2"/>
            <w:tcBorders>
              <w:top w:val="nil"/>
              <w:left w:val="nil"/>
              <w:bottom w:val="nil"/>
              <w:right w:val="single" w:sz="8" w:space="0" w:color="auto"/>
            </w:tcBorders>
            <w:shd w:val="clear" w:color="auto" w:fill="auto"/>
            <w:vAlign w:val="center"/>
            <w:hideMark/>
          </w:tcPr>
          <w:p w14:paraId="0D712111"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ABF.F578</w:t>
            </w:r>
          </w:p>
        </w:tc>
        <w:tc>
          <w:tcPr>
            <w:tcW w:w="1134" w:type="dxa"/>
            <w:gridSpan w:val="2"/>
            <w:tcBorders>
              <w:top w:val="nil"/>
              <w:left w:val="nil"/>
              <w:bottom w:val="nil"/>
              <w:right w:val="single" w:sz="8" w:space="0" w:color="auto"/>
            </w:tcBorders>
            <w:shd w:val="clear" w:color="auto" w:fill="auto"/>
            <w:vAlign w:val="center"/>
            <w:hideMark/>
          </w:tcPr>
          <w:p w14:paraId="480E4425"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ABF.G578</w:t>
            </w:r>
          </w:p>
        </w:tc>
      </w:tr>
      <w:tr w:rsidR="000643B5" w:rsidRPr="0084332C" w14:paraId="0D431FEA"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02E3D411" w14:textId="77777777" w:rsidR="000643B5" w:rsidRPr="0084332C" w:rsidRDefault="000643B5" w:rsidP="00080E19">
            <w:pPr>
              <w:spacing w:after="0" w:line="240" w:lineRule="auto"/>
              <w:ind w:firstLineChars="200" w:firstLine="320"/>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359 - SUPERÁVIT FINANCEIRO - TRANSFERÊNCIAS FINANCEIRAS A FUNDOS</w:t>
            </w:r>
          </w:p>
        </w:tc>
        <w:tc>
          <w:tcPr>
            <w:tcW w:w="1276" w:type="dxa"/>
            <w:tcBorders>
              <w:top w:val="nil"/>
              <w:left w:val="nil"/>
              <w:bottom w:val="nil"/>
              <w:right w:val="single" w:sz="8" w:space="0" w:color="auto"/>
            </w:tcBorders>
            <w:shd w:val="clear" w:color="auto" w:fill="auto"/>
            <w:vAlign w:val="center"/>
            <w:hideMark/>
          </w:tcPr>
          <w:p w14:paraId="794B3723"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ABF.B579</w:t>
            </w:r>
          </w:p>
        </w:tc>
        <w:tc>
          <w:tcPr>
            <w:tcW w:w="1559" w:type="dxa"/>
            <w:tcBorders>
              <w:top w:val="nil"/>
              <w:left w:val="nil"/>
              <w:bottom w:val="nil"/>
              <w:right w:val="single" w:sz="8" w:space="0" w:color="auto"/>
            </w:tcBorders>
            <w:shd w:val="clear" w:color="auto" w:fill="auto"/>
            <w:vAlign w:val="center"/>
            <w:hideMark/>
          </w:tcPr>
          <w:p w14:paraId="558F24F0"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ABF.C579</w:t>
            </w:r>
          </w:p>
        </w:tc>
        <w:tc>
          <w:tcPr>
            <w:tcW w:w="1417" w:type="dxa"/>
            <w:tcBorders>
              <w:top w:val="nil"/>
              <w:left w:val="nil"/>
              <w:bottom w:val="nil"/>
              <w:right w:val="single" w:sz="8" w:space="0" w:color="auto"/>
            </w:tcBorders>
            <w:shd w:val="clear" w:color="auto" w:fill="auto"/>
            <w:vAlign w:val="center"/>
            <w:hideMark/>
          </w:tcPr>
          <w:p w14:paraId="6F88F941"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ABF.D579</w:t>
            </w:r>
          </w:p>
        </w:tc>
        <w:tc>
          <w:tcPr>
            <w:tcW w:w="1276" w:type="dxa"/>
            <w:tcBorders>
              <w:top w:val="nil"/>
              <w:left w:val="nil"/>
              <w:bottom w:val="nil"/>
              <w:right w:val="single" w:sz="8" w:space="0" w:color="auto"/>
            </w:tcBorders>
            <w:shd w:val="clear" w:color="auto" w:fill="auto"/>
            <w:vAlign w:val="center"/>
            <w:hideMark/>
          </w:tcPr>
          <w:p w14:paraId="74CF2C4B"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ABF.E579</w:t>
            </w:r>
          </w:p>
        </w:tc>
        <w:tc>
          <w:tcPr>
            <w:tcW w:w="1559" w:type="dxa"/>
            <w:gridSpan w:val="2"/>
            <w:tcBorders>
              <w:top w:val="nil"/>
              <w:left w:val="nil"/>
              <w:bottom w:val="nil"/>
              <w:right w:val="single" w:sz="8" w:space="0" w:color="auto"/>
            </w:tcBorders>
            <w:shd w:val="clear" w:color="auto" w:fill="auto"/>
            <w:vAlign w:val="center"/>
            <w:hideMark/>
          </w:tcPr>
          <w:p w14:paraId="4AE338D9"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ABF.F579</w:t>
            </w:r>
          </w:p>
        </w:tc>
        <w:tc>
          <w:tcPr>
            <w:tcW w:w="1134" w:type="dxa"/>
            <w:gridSpan w:val="2"/>
            <w:tcBorders>
              <w:top w:val="nil"/>
              <w:left w:val="nil"/>
              <w:bottom w:val="nil"/>
              <w:right w:val="single" w:sz="8" w:space="0" w:color="auto"/>
            </w:tcBorders>
            <w:shd w:val="clear" w:color="auto" w:fill="auto"/>
            <w:vAlign w:val="center"/>
            <w:hideMark/>
          </w:tcPr>
          <w:p w14:paraId="0A08C390"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ABF.G579</w:t>
            </w:r>
          </w:p>
        </w:tc>
      </w:tr>
      <w:tr w:rsidR="000643B5" w:rsidRPr="0084332C" w14:paraId="7EE7086D"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632C1B1D" w14:textId="77777777" w:rsidR="000643B5" w:rsidRPr="0084332C" w:rsidRDefault="000643B5" w:rsidP="00080E19">
            <w:pPr>
              <w:spacing w:after="0" w:line="240" w:lineRule="auto"/>
              <w:ind w:firstLineChars="200" w:firstLine="320"/>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361 - SUPERÁVIT FINANCEIRO - FUNCOP</w:t>
            </w:r>
          </w:p>
        </w:tc>
        <w:tc>
          <w:tcPr>
            <w:tcW w:w="1276" w:type="dxa"/>
            <w:tcBorders>
              <w:top w:val="nil"/>
              <w:left w:val="nil"/>
              <w:bottom w:val="nil"/>
              <w:right w:val="single" w:sz="8" w:space="0" w:color="auto"/>
            </w:tcBorders>
            <w:shd w:val="clear" w:color="auto" w:fill="auto"/>
            <w:vAlign w:val="center"/>
            <w:hideMark/>
          </w:tcPr>
          <w:p w14:paraId="2E190FD6"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ABF.B580</w:t>
            </w:r>
          </w:p>
        </w:tc>
        <w:tc>
          <w:tcPr>
            <w:tcW w:w="1559" w:type="dxa"/>
            <w:tcBorders>
              <w:top w:val="nil"/>
              <w:left w:val="nil"/>
              <w:bottom w:val="nil"/>
              <w:right w:val="single" w:sz="8" w:space="0" w:color="auto"/>
            </w:tcBorders>
            <w:shd w:val="clear" w:color="auto" w:fill="auto"/>
            <w:vAlign w:val="center"/>
            <w:hideMark/>
          </w:tcPr>
          <w:p w14:paraId="12815897"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ABF.C580</w:t>
            </w:r>
          </w:p>
        </w:tc>
        <w:tc>
          <w:tcPr>
            <w:tcW w:w="1417" w:type="dxa"/>
            <w:tcBorders>
              <w:top w:val="nil"/>
              <w:left w:val="nil"/>
              <w:bottom w:val="nil"/>
              <w:right w:val="single" w:sz="8" w:space="0" w:color="auto"/>
            </w:tcBorders>
            <w:shd w:val="clear" w:color="auto" w:fill="auto"/>
            <w:vAlign w:val="center"/>
            <w:hideMark/>
          </w:tcPr>
          <w:p w14:paraId="07305627"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ABF.D580</w:t>
            </w:r>
          </w:p>
        </w:tc>
        <w:tc>
          <w:tcPr>
            <w:tcW w:w="1276" w:type="dxa"/>
            <w:tcBorders>
              <w:top w:val="nil"/>
              <w:left w:val="nil"/>
              <w:bottom w:val="nil"/>
              <w:right w:val="single" w:sz="8" w:space="0" w:color="auto"/>
            </w:tcBorders>
            <w:shd w:val="clear" w:color="auto" w:fill="auto"/>
            <w:vAlign w:val="center"/>
            <w:hideMark/>
          </w:tcPr>
          <w:p w14:paraId="6465B99B"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ABF.E580</w:t>
            </w:r>
          </w:p>
        </w:tc>
        <w:tc>
          <w:tcPr>
            <w:tcW w:w="1559" w:type="dxa"/>
            <w:gridSpan w:val="2"/>
            <w:tcBorders>
              <w:top w:val="nil"/>
              <w:left w:val="nil"/>
              <w:bottom w:val="nil"/>
              <w:right w:val="single" w:sz="8" w:space="0" w:color="auto"/>
            </w:tcBorders>
            <w:shd w:val="clear" w:color="auto" w:fill="auto"/>
            <w:vAlign w:val="center"/>
            <w:hideMark/>
          </w:tcPr>
          <w:p w14:paraId="2D8E6C4A"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ABF.F580</w:t>
            </w:r>
          </w:p>
        </w:tc>
        <w:tc>
          <w:tcPr>
            <w:tcW w:w="1134" w:type="dxa"/>
            <w:gridSpan w:val="2"/>
            <w:tcBorders>
              <w:top w:val="nil"/>
              <w:left w:val="nil"/>
              <w:bottom w:val="nil"/>
              <w:right w:val="single" w:sz="8" w:space="0" w:color="auto"/>
            </w:tcBorders>
            <w:shd w:val="clear" w:color="auto" w:fill="auto"/>
            <w:vAlign w:val="center"/>
            <w:hideMark/>
          </w:tcPr>
          <w:p w14:paraId="4BDD2BD3"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ABF.G580</w:t>
            </w:r>
          </w:p>
        </w:tc>
      </w:tr>
      <w:tr w:rsidR="000643B5" w:rsidRPr="0084332C" w14:paraId="55538816"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003B4872" w14:textId="77777777" w:rsidR="000643B5" w:rsidRPr="0084332C" w:rsidRDefault="000643B5" w:rsidP="00080E19">
            <w:pPr>
              <w:spacing w:after="0" w:line="240" w:lineRule="auto"/>
              <w:ind w:firstLineChars="200" w:firstLine="320"/>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363 - SUPERÁVIT FINANCEIRO - RECURSOS LEI PELÉ</w:t>
            </w:r>
          </w:p>
        </w:tc>
        <w:tc>
          <w:tcPr>
            <w:tcW w:w="1276" w:type="dxa"/>
            <w:tcBorders>
              <w:top w:val="nil"/>
              <w:left w:val="nil"/>
              <w:bottom w:val="nil"/>
              <w:right w:val="single" w:sz="8" w:space="0" w:color="auto"/>
            </w:tcBorders>
            <w:shd w:val="clear" w:color="auto" w:fill="auto"/>
            <w:vAlign w:val="center"/>
            <w:hideMark/>
          </w:tcPr>
          <w:p w14:paraId="7D56E0DA"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ABF.B582</w:t>
            </w:r>
          </w:p>
        </w:tc>
        <w:tc>
          <w:tcPr>
            <w:tcW w:w="1559" w:type="dxa"/>
            <w:tcBorders>
              <w:top w:val="nil"/>
              <w:left w:val="nil"/>
              <w:bottom w:val="nil"/>
              <w:right w:val="single" w:sz="8" w:space="0" w:color="auto"/>
            </w:tcBorders>
            <w:shd w:val="clear" w:color="auto" w:fill="auto"/>
            <w:vAlign w:val="center"/>
            <w:hideMark/>
          </w:tcPr>
          <w:p w14:paraId="08FD082E"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ABF.C582</w:t>
            </w:r>
          </w:p>
        </w:tc>
        <w:tc>
          <w:tcPr>
            <w:tcW w:w="1417" w:type="dxa"/>
            <w:tcBorders>
              <w:top w:val="nil"/>
              <w:left w:val="nil"/>
              <w:bottom w:val="nil"/>
              <w:right w:val="single" w:sz="8" w:space="0" w:color="auto"/>
            </w:tcBorders>
            <w:shd w:val="clear" w:color="auto" w:fill="auto"/>
            <w:vAlign w:val="center"/>
            <w:hideMark/>
          </w:tcPr>
          <w:p w14:paraId="6E2F8DAC"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ABF.D582</w:t>
            </w:r>
          </w:p>
        </w:tc>
        <w:tc>
          <w:tcPr>
            <w:tcW w:w="1276" w:type="dxa"/>
            <w:tcBorders>
              <w:top w:val="nil"/>
              <w:left w:val="nil"/>
              <w:bottom w:val="nil"/>
              <w:right w:val="single" w:sz="8" w:space="0" w:color="auto"/>
            </w:tcBorders>
            <w:shd w:val="clear" w:color="auto" w:fill="auto"/>
            <w:vAlign w:val="center"/>
            <w:hideMark/>
          </w:tcPr>
          <w:p w14:paraId="315AEBD5"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ABF.E582</w:t>
            </w:r>
          </w:p>
        </w:tc>
        <w:tc>
          <w:tcPr>
            <w:tcW w:w="1559" w:type="dxa"/>
            <w:gridSpan w:val="2"/>
            <w:tcBorders>
              <w:top w:val="nil"/>
              <w:left w:val="nil"/>
              <w:bottom w:val="nil"/>
              <w:right w:val="single" w:sz="8" w:space="0" w:color="auto"/>
            </w:tcBorders>
            <w:shd w:val="clear" w:color="auto" w:fill="auto"/>
            <w:vAlign w:val="center"/>
            <w:hideMark/>
          </w:tcPr>
          <w:p w14:paraId="08161709"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ABF.F582</w:t>
            </w:r>
          </w:p>
        </w:tc>
        <w:tc>
          <w:tcPr>
            <w:tcW w:w="1134" w:type="dxa"/>
            <w:gridSpan w:val="2"/>
            <w:tcBorders>
              <w:top w:val="nil"/>
              <w:left w:val="nil"/>
              <w:bottom w:val="nil"/>
              <w:right w:val="single" w:sz="8" w:space="0" w:color="auto"/>
            </w:tcBorders>
            <w:shd w:val="clear" w:color="auto" w:fill="auto"/>
            <w:vAlign w:val="center"/>
            <w:hideMark/>
          </w:tcPr>
          <w:p w14:paraId="527E60C7"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ABF.G582</w:t>
            </w:r>
          </w:p>
        </w:tc>
      </w:tr>
      <w:tr w:rsidR="000643B5" w:rsidRPr="0084332C" w14:paraId="44CDAB8D"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00988D03" w14:textId="77777777" w:rsidR="000643B5" w:rsidRPr="0084332C" w:rsidRDefault="000643B5" w:rsidP="00080E19">
            <w:pPr>
              <w:spacing w:after="0" w:line="240" w:lineRule="auto"/>
              <w:ind w:firstLineChars="200" w:firstLine="320"/>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364 - SUPERÁVIT FINANCEIRO - TRANSFERÊNCIA A MUNICÍPIOS - ROYALTIES</w:t>
            </w:r>
          </w:p>
        </w:tc>
        <w:tc>
          <w:tcPr>
            <w:tcW w:w="1276" w:type="dxa"/>
            <w:tcBorders>
              <w:top w:val="nil"/>
              <w:left w:val="nil"/>
              <w:bottom w:val="nil"/>
              <w:right w:val="single" w:sz="8" w:space="0" w:color="auto"/>
            </w:tcBorders>
            <w:shd w:val="clear" w:color="auto" w:fill="auto"/>
            <w:vAlign w:val="center"/>
            <w:hideMark/>
          </w:tcPr>
          <w:p w14:paraId="77665778"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ABF.B583</w:t>
            </w:r>
          </w:p>
        </w:tc>
        <w:tc>
          <w:tcPr>
            <w:tcW w:w="1559" w:type="dxa"/>
            <w:tcBorders>
              <w:top w:val="nil"/>
              <w:left w:val="nil"/>
              <w:bottom w:val="nil"/>
              <w:right w:val="single" w:sz="8" w:space="0" w:color="auto"/>
            </w:tcBorders>
            <w:shd w:val="clear" w:color="auto" w:fill="auto"/>
            <w:vAlign w:val="center"/>
            <w:hideMark/>
          </w:tcPr>
          <w:p w14:paraId="2C369D51"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ABF.C583</w:t>
            </w:r>
          </w:p>
        </w:tc>
        <w:tc>
          <w:tcPr>
            <w:tcW w:w="1417" w:type="dxa"/>
            <w:tcBorders>
              <w:top w:val="nil"/>
              <w:left w:val="nil"/>
              <w:bottom w:val="nil"/>
              <w:right w:val="single" w:sz="8" w:space="0" w:color="auto"/>
            </w:tcBorders>
            <w:shd w:val="clear" w:color="auto" w:fill="auto"/>
            <w:vAlign w:val="center"/>
            <w:hideMark/>
          </w:tcPr>
          <w:p w14:paraId="463E0212"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ABF.D583</w:t>
            </w:r>
          </w:p>
        </w:tc>
        <w:tc>
          <w:tcPr>
            <w:tcW w:w="1276" w:type="dxa"/>
            <w:tcBorders>
              <w:top w:val="nil"/>
              <w:left w:val="nil"/>
              <w:bottom w:val="nil"/>
              <w:right w:val="single" w:sz="8" w:space="0" w:color="auto"/>
            </w:tcBorders>
            <w:shd w:val="clear" w:color="auto" w:fill="auto"/>
            <w:vAlign w:val="center"/>
            <w:hideMark/>
          </w:tcPr>
          <w:p w14:paraId="53E2379E"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ABF.E583</w:t>
            </w:r>
          </w:p>
        </w:tc>
        <w:tc>
          <w:tcPr>
            <w:tcW w:w="1559" w:type="dxa"/>
            <w:gridSpan w:val="2"/>
            <w:tcBorders>
              <w:top w:val="nil"/>
              <w:left w:val="nil"/>
              <w:bottom w:val="nil"/>
              <w:right w:val="single" w:sz="8" w:space="0" w:color="auto"/>
            </w:tcBorders>
            <w:shd w:val="clear" w:color="auto" w:fill="auto"/>
            <w:vAlign w:val="center"/>
            <w:hideMark/>
          </w:tcPr>
          <w:p w14:paraId="287C8264"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ABF.F583</w:t>
            </w:r>
          </w:p>
        </w:tc>
        <w:tc>
          <w:tcPr>
            <w:tcW w:w="1134" w:type="dxa"/>
            <w:gridSpan w:val="2"/>
            <w:tcBorders>
              <w:top w:val="nil"/>
              <w:left w:val="nil"/>
              <w:bottom w:val="nil"/>
              <w:right w:val="single" w:sz="8" w:space="0" w:color="auto"/>
            </w:tcBorders>
            <w:shd w:val="clear" w:color="auto" w:fill="auto"/>
            <w:vAlign w:val="center"/>
            <w:hideMark/>
          </w:tcPr>
          <w:p w14:paraId="4BA2EF93"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ABF.G583</w:t>
            </w:r>
          </w:p>
        </w:tc>
      </w:tr>
      <w:tr w:rsidR="000643B5" w:rsidRPr="0084332C" w14:paraId="64F34EDE"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213B0F33" w14:textId="77777777" w:rsidR="000643B5" w:rsidRPr="0084332C" w:rsidRDefault="000643B5" w:rsidP="00080E19">
            <w:pPr>
              <w:spacing w:after="0" w:line="240" w:lineRule="auto"/>
              <w:ind w:firstLineChars="200" w:firstLine="320"/>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366 -  SUPERÁVIT FINANCEIRO - PAR</w:t>
            </w:r>
          </w:p>
        </w:tc>
        <w:tc>
          <w:tcPr>
            <w:tcW w:w="1276" w:type="dxa"/>
            <w:tcBorders>
              <w:top w:val="nil"/>
              <w:left w:val="nil"/>
              <w:bottom w:val="nil"/>
              <w:right w:val="single" w:sz="8" w:space="0" w:color="auto"/>
            </w:tcBorders>
            <w:shd w:val="clear" w:color="auto" w:fill="auto"/>
            <w:vAlign w:val="center"/>
            <w:hideMark/>
          </w:tcPr>
          <w:p w14:paraId="71C2DC3C"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ABF.B584</w:t>
            </w:r>
          </w:p>
        </w:tc>
        <w:tc>
          <w:tcPr>
            <w:tcW w:w="1559" w:type="dxa"/>
            <w:tcBorders>
              <w:top w:val="nil"/>
              <w:left w:val="nil"/>
              <w:bottom w:val="nil"/>
              <w:right w:val="single" w:sz="8" w:space="0" w:color="auto"/>
            </w:tcBorders>
            <w:shd w:val="clear" w:color="auto" w:fill="auto"/>
            <w:vAlign w:val="center"/>
            <w:hideMark/>
          </w:tcPr>
          <w:p w14:paraId="5B87D94A"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ABF.C584</w:t>
            </w:r>
          </w:p>
        </w:tc>
        <w:tc>
          <w:tcPr>
            <w:tcW w:w="1417" w:type="dxa"/>
            <w:tcBorders>
              <w:top w:val="nil"/>
              <w:left w:val="nil"/>
              <w:bottom w:val="nil"/>
              <w:right w:val="single" w:sz="8" w:space="0" w:color="auto"/>
            </w:tcBorders>
            <w:shd w:val="clear" w:color="auto" w:fill="auto"/>
            <w:vAlign w:val="center"/>
            <w:hideMark/>
          </w:tcPr>
          <w:p w14:paraId="05A7D084"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ABF.D584</w:t>
            </w:r>
          </w:p>
        </w:tc>
        <w:tc>
          <w:tcPr>
            <w:tcW w:w="1276" w:type="dxa"/>
            <w:tcBorders>
              <w:top w:val="nil"/>
              <w:left w:val="nil"/>
              <w:bottom w:val="nil"/>
              <w:right w:val="single" w:sz="8" w:space="0" w:color="auto"/>
            </w:tcBorders>
            <w:shd w:val="clear" w:color="auto" w:fill="auto"/>
            <w:vAlign w:val="center"/>
            <w:hideMark/>
          </w:tcPr>
          <w:p w14:paraId="11F70942"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ABF.E584</w:t>
            </w:r>
          </w:p>
        </w:tc>
        <w:tc>
          <w:tcPr>
            <w:tcW w:w="1559" w:type="dxa"/>
            <w:gridSpan w:val="2"/>
            <w:tcBorders>
              <w:top w:val="nil"/>
              <w:left w:val="nil"/>
              <w:bottom w:val="nil"/>
              <w:right w:val="single" w:sz="8" w:space="0" w:color="auto"/>
            </w:tcBorders>
            <w:shd w:val="clear" w:color="auto" w:fill="auto"/>
            <w:vAlign w:val="center"/>
            <w:hideMark/>
          </w:tcPr>
          <w:p w14:paraId="4D2AF062"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ABF.F584</w:t>
            </w:r>
          </w:p>
        </w:tc>
        <w:tc>
          <w:tcPr>
            <w:tcW w:w="1134" w:type="dxa"/>
            <w:gridSpan w:val="2"/>
            <w:tcBorders>
              <w:top w:val="nil"/>
              <w:left w:val="nil"/>
              <w:bottom w:val="nil"/>
              <w:right w:val="single" w:sz="8" w:space="0" w:color="auto"/>
            </w:tcBorders>
            <w:shd w:val="clear" w:color="auto" w:fill="auto"/>
            <w:vAlign w:val="center"/>
            <w:hideMark/>
          </w:tcPr>
          <w:p w14:paraId="0354BD6A"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ABF.G584</w:t>
            </w:r>
          </w:p>
        </w:tc>
      </w:tr>
      <w:tr w:rsidR="000643B5" w:rsidRPr="0084332C" w14:paraId="5896BD77"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65257FCD" w14:textId="77777777" w:rsidR="000643B5" w:rsidRPr="0084332C" w:rsidRDefault="000643B5" w:rsidP="00080E19">
            <w:pPr>
              <w:spacing w:after="0" w:line="240" w:lineRule="auto"/>
              <w:ind w:firstLineChars="200" w:firstLine="320"/>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367 -  SUPERÁVIT FINANCEIRO - TRANSFERÊNCIAS OBRIGATÓRIAS PARA AÇÕES DE DEFESA CIVIL</w:t>
            </w:r>
          </w:p>
        </w:tc>
        <w:tc>
          <w:tcPr>
            <w:tcW w:w="1276" w:type="dxa"/>
            <w:tcBorders>
              <w:top w:val="nil"/>
              <w:left w:val="nil"/>
              <w:bottom w:val="nil"/>
              <w:right w:val="single" w:sz="8" w:space="0" w:color="auto"/>
            </w:tcBorders>
            <w:shd w:val="clear" w:color="auto" w:fill="auto"/>
            <w:vAlign w:val="center"/>
            <w:hideMark/>
          </w:tcPr>
          <w:p w14:paraId="6AA4D48E"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ABF.B585</w:t>
            </w:r>
          </w:p>
        </w:tc>
        <w:tc>
          <w:tcPr>
            <w:tcW w:w="1559" w:type="dxa"/>
            <w:tcBorders>
              <w:top w:val="nil"/>
              <w:left w:val="nil"/>
              <w:bottom w:val="nil"/>
              <w:right w:val="single" w:sz="8" w:space="0" w:color="auto"/>
            </w:tcBorders>
            <w:shd w:val="clear" w:color="auto" w:fill="auto"/>
            <w:vAlign w:val="center"/>
            <w:hideMark/>
          </w:tcPr>
          <w:p w14:paraId="507B39CE"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ABF.C585</w:t>
            </w:r>
          </w:p>
        </w:tc>
        <w:tc>
          <w:tcPr>
            <w:tcW w:w="1417" w:type="dxa"/>
            <w:tcBorders>
              <w:top w:val="nil"/>
              <w:left w:val="nil"/>
              <w:bottom w:val="nil"/>
              <w:right w:val="single" w:sz="8" w:space="0" w:color="auto"/>
            </w:tcBorders>
            <w:shd w:val="clear" w:color="auto" w:fill="auto"/>
            <w:vAlign w:val="center"/>
            <w:hideMark/>
          </w:tcPr>
          <w:p w14:paraId="22657518"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ABF.D585</w:t>
            </w:r>
          </w:p>
        </w:tc>
        <w:tc>
          <w:tcPr>
            <w:tcW w:w="1276" w:type="dxa"/>
            <w:tcBorders>
              <w:top w:val="nil"/>
              <w:left w:val="nil"/>
              <w:bottom w:val="nil"/>
              <w:right w:val="single" w:sz="8" w:space="0" w:color="auto"/>
            </w:tcBorders>
            <w:shd w:val="clear" w:color="auto" w:fill="auto"/>
            <w:vAlign w:val="center"/>
            <w:hideMark/>
          </w:tcPr>
          <w:p w14:paraId="2949EAB8"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ABF.E585</w:t>
            </w:r>
          </w:p>
        </w:tc>
        <w:tc>
          <w:tcPr>
            <w:tcW w:w="1559" w:type="dxa"/>
            <w:gridSpan w:val="2"/>
            <w:tcBorders>
              <w:top w:val="nil"/>
              <w:left w:val="nil"/>
              <w:bottom w:val="nil"/>
              <w:right w:val="single" w:sz="8" w:space="0" w:color="auto"/>
            </w:tcBorders>
            <w:shd w:val="clear" w:color="auto" w:fill="auto"/>
            <w:vAlign w:val="center"/>
            <w:hideMark/>
          </w:tcPr>
          <w:p w14:paraId="13BE55E2"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ABF.F585</w:t>
            </w:r>
          </w:p>
        </w:tc>
        <w:tc>
          <w:tcPr>
            <w:tcW w:w="1134" w:type="dxa"/>
            <w:gridSpan w:val="2"/>
            <w:tcBorders>
              <w:top w:val="nil"/>
              <w:left w:val="nil"/>
              <w:bottom w:val="nil"/>
              <w:right w:val="single" w:sz="8" w:space="0" w:color="auto"/>
            </w:tcBorders>
            <w:shd w:val="clear" w:color="auto" w:fill="auto"/>
            <w:vAlign w:val="center"/>
            <w:hideMark/>
          </w:tcPr>
          <w:p w14:paraId="07F18C0F"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ABF.G585</w:t>
            </w:r>
          </w:p>
        </w:tc>
      </w:tr>
      <w:tr w:rsidR="000643B5" w:rsidRPr="0084332C" w14:paraId="5A52B894"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29EF69E7" w14:textId="77777777" w:rsidR="000643B5" w:rsidRPr="0084332C" w:rsidRDefault="000643B5" w:rsidP="00080E19">
            <w:pPr>
              <w:spacing w:after="0" w:line="240" w:lineRule="auto"/>
              <w:ind w:firstLineChars="200" w:firstLine="320"/>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671 - SUPERÁVIT FINANCEIRO - ARRECADADO PELO ÓRGÃO</w:t>
            </w:r>
          </w:p>
        </w:tc>
        <w:tc>
          <w:tcPr>
            <w:tcW w:w="1276" w:type="dxa"/>
            <w:tcBorders>
              <w:top w:val="nil"/>
              <w:left w:val="nil"/>
              <w:bottom w:val="nil"/>
              <w:right w:val="single" w:sz="8" w:space="0" w:color="auto"/>
            </w:tcBorders>
            <w:shd w:val="clear" w:color="auto" w:fill="auto"/>
            <w:vAlign w:val="center"/>
            <w:hideMark/>
          </w:tcPr>
          <w:p w14:paraId="60BE9D6E"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ABF.B587</w:t>
            </w:r>
          </w:p>
        </w:tc>
        <w:tc>
          <w:tcPr>
            <w:tcW w:w="1559" w:type="dxa"/>
            <w:tcBorders>
              <w:top w:val="nil"/>
              <w:left w:val="nil"/>
              <w:bottom w:val="nil"/>
              <w:right w:val="single" w:sz="8" w:space="0" w:color="auto"/>
            </w:tcBorders>
            <w:shd w:val="clear" w:color="auto" w:fill="auto"/>
            <w:vAlign w:val="center"/>
            <w:hideMark/>
          </w:tcPr>
          <w:p w14:paraId="0BAA6EFD"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ABF.C587</w:t>
            </w:r>
          </w:p>
        </w:tc>
        <w:tc>
          <w:tcPr>
            <w:tcW w:w="1417" w:type="dxa"/>
            <w:tcBorders>
              <w:top w:val="nil"/>
              <w:left w:val="nil"/>
              <w:bottom w:val="nil"/>
              <w:right w:val="single" w:sz="8" w:space="0" w:color="auto"/>
            </w:tcBorders>
            <w:shd w:val="clear" w:color="auto" w:fill="auto"/>
            <w:vAlign w:val="center"/>
            <w:hideMark/>
          </w:tcPr>
          <w:p w14:paraId="24709436"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ABF.D587</w:t>
            </w:r>
          </w:p>
        </w:tc>
        <w:tc>
          <w:tcPr>
            <w:tcW w:w="1276" w:type="dxa"/>
            <w:tcBorders>
              <w:top w:val="nil"/>
              <w:left w:val="nil"/>
              <w:bottom w:val="nil"/>
              <w:right w:val="single" w:sz="8" w:space="0" w:color="auto"/>
            </w:tcBorders>
            <w:shd w:val="clear" w:color="auto" w:fill="auto"/>
            <w:vAlign w:val="center"/>
            <w:hideMark/>
          </w:tcPr>
          <w:p w14:paraId="0DF2AD38"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ABF.E587</w:t>
            </w:r>
          </w:p>
        </w:tc>
        <w:tc>
          <w:tcPr>
            <w:tcW w:w="1559" w:type="dxa"/>
            <w:gridSpan w:val="2"/>
            <w:tcBorders>
              <w:top w:val="nil"/>
              <w:left w:val="nil"/>
              <w:bottom w:val="nil"/>
              <w:right w:val="single" w:sz="8" w:space="0" w:color="auto"/>
            </w:tcBorders>
            <w:shd w:val="clear" w:color="auto" w:fill="auto"/>
            <w:vAlign w:val="center"/>
            <w:hideMark/>
          </w:tcPr>
          <w:p w14:paraId="31EBE967"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ABF.F587</w:t>
            </w:r>
          </w:p>
        </w:tc>
        <w:tc>
          <w:tcPr>
            <w:tcW w:w="1134" w:type="dxa"/>
            <w:gridSpan w:val="2"/>
            <w:tcBorders>
              <w:top w:val="nil"/>
              <w:left w:val="nil"/>
              <w:bottom w:val="nil"/>
              <w:right w:val="single" w:sz="8" w:space="0" w:color="auto"/>
            </w:tcBorders>
            <w:shd w:val="clear" w:color="auto" w:fill="auto"/>
            <w:vAlign w:val="center"/>
            <w:hideMark/>
          </w:tcPr>
          <w:p w14:paraId="4265E6C4"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ABF.G587</w:t>
            </w:r>
          </w:p>
        </w:tc>
      </w:tr>
      <w:tr w:rsidR="000643B5" w:rsidRPr="0084332C" w14:paraId="4475D2BB"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327FFBA1" w14:textId="77777777" w:rsidR="000643B5" w:rsidRPr="0084332C" w:rsidRDefault="000643B5" w:rsidP="00080E19">
            <w:pPr>
              <w:spacing w:after="0" w:line="240" w:lineRule="auto"/>
              <w:ind w:firstLineChars="200" w:firstLine="320"/>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672 - SUPERÁVIT FINANCEIRO - CONVÊNIOS COM ÓRGÃOS FEDERAIS</w:t>
            </w:r>
          </w:p>
        </w:tc>
        <w:tc>
          <w:tcPr>
            <w:tcW w:w="1276" w:type="dxa"/>
            <w:tcBorders>
              <w:top w:val="nil"/>
              <w:left w:val="nil"/>
              <w:bottom w:val="nil"/>
              <w:right w:val="single" w:sz="8" w:space="0" w:color="auto"/>
            </w:tcBorders>
            <w:shd w:val="clear" w:color="auto" w:fill="auto"/>
            <w:vAlign w:val="center"/>
            <w:hideMark/>
          </w:tcPr>
          <w:p w14:paraId="72E51E9C"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ABF.B588</w:t>
            </w:r>
          </w:p>
        </w:tc>
        <w:tc>
          <w:tcPr>
            <w:tcW w:w="1559" w:type="dxa"/>
            <w:tcBorders>
              <w:top w:val="nil"/>
              <w:left w:val="nil"/>
              <w:bottom w:val="nil"/>
              <w:right w:val="single" w:sz="8" w:space="0" w:color="auto"/>
            </w:tcBorders>
            <w:shd w:val="clear" w:color="auto" w:fill="auto"/>
            <w:vAlign w:val="center"/>
            <w:hideMark/>
          </w:tcPr>
          <w:p w14:paraId="5AD43FAE"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ABF.C588</w:t>
            </w:r>
          </w:p>
        </w:tc>
        <w:tc>
          <w:tcPr>
            <w:tcW w:w="1417" w:type="dxa"/>
            <w:tcBorders>
              <w:top w:val="nil"/>
              <w:left w:val="nil"/>
              <w:bottom w:val="nil"/>
              <w:right w:val="single" w:sz="8" w:space="0" w:color="auto"/>
            </w:tcBorders>
            <w:shd w:val="clear" w:color="auto" w:fill="auto"/>
            <w:vAlign w:val="center"/>
            <w:hideMark/>
          </w:tcPr>
          <w:p w14:paraId="1B9BDD8A"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ABF.D588</w:t>
            </w:r>
          </w:p>
        </w:tc>
        <w:tc>
          <w:tcPr>
            <w:tcW w:w="1276" w:type="dxa"/>
            <w:tcBorders>
              <w:top w:val="nil"/>
              <w:left w:val="nil"/>
              <w:bottom w:val="nil"/>
              <w:right w:val="single" w:sz="8" w:space="0" w:color="auto"/>
            </w:tcBorders>
            <w:shd w:val="clear" w:color="auto" w:fill="auto"/>
            <w:vAlign w:val="center"/>
            <w:hideMark/>
          </w:tcPr>
          <w:p w14:paraId="458EBD1E"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ABF.E588</w:t>
            </w:r>
          </w:p>
        </w:tc>
        <w:tc>
          <w:tcPr>
            <w:tcW w:w="1559" w:type="dxa"/>
            <w:gridSpan w:val="2"/>
            <w:tcBorders>
              <w:top w:val="nil"/>
              <w:left w:val="nil"/>
              <w:bottom w:val="nil"/>
              <w:right w:val="single" w:sz="8" w:space="0" w:color="auto"/>
            </w:tcBorders>
            <w:shd w:val="clear" w:color="auto" w:fill="auto"/>
            <w:vAlign w:val="center"/>
            <w:hideMark/>
          </w:tcPr>
          <w:p w14:paraId="0FF9F467"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ABF.F588</w:t>
            </w:r>
          </w:p>
        </w:tc>
        <w:tc>
          <w:tcPr>
            <w:tcW w:w="1134" w:type="dxa"/>
            <w:gridSpan w:val="2"/>
            <w:tcBorders>
              <w:top w:val="nil"/>
              <w:left w:val="nil"/>
              <w:bottom w:val="nil"/>
              <w:right w:val="single" w:sz="8" w:space="0" w:color="auto"/>
            </w:tcBorders>
            <w:shd w:val="clear" w:color="auto" w:fill="auto"/>
            <w:vAlign w:val="center"/>
            <w:hideMark/>
          </w:tcPr>
          <w:p w14:paraId="0321D85B"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ABF.G588</w:t>
            </w:r>
          </w:p>
        </w:tc>
      </w:tr>
      <w:tr w:rsidR="000643B5" w:rsidRPr="0084332C" w14:paraId="3BDBCC0D"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77222833" w14:textId="77777777" w:rsidR="000643B5" w:rsidRPr="0084332C" w:rsidRDefault="000643B5" w:rsidP="00080E19">
            <w:pPr>
              <w:spacing w:after="0" w:line="240" w:lineRule="auto"/>
              <w:ind w:firstLineChars="200" w:firstLine="320"/>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673 - SUPERÁVIT FINANCEIRO - CONVÊNIOS COM ÓRGÃOS NÃO FEDERAIS</w:t>
            </w:r>
          </w:p>
        </w:tc>
        <w:tc>
          <w:tcPr>
            <w:tcW w:w="1276" w:type="dxa"/>
            <w:tcBorders>
              <w:top w:val="nil"/>
              <w:left w:val="nil"/>
              <w:bottom w:val="nil"/>
              <w:right w:val="single" w:sz="8" w:space="0" w:color="auto"/>
            </w:tcBorders>
            <w:shd w:val="clear" w:color="auto" w:fill="auto"/>
            <w:vAlign w:val="center"/>
            <w:hideMark/>
          </w:tcPr>
          <w:p w14:paraId="746D1C51"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ABF.B589</w:t>
            </w:r>
          </w:p>
        </w:tc>
        <w:tc>
          <w:tcPr>
            <w:tcW w:w="1559" w:type="dxa"/>
            <w:tcBorders>
              <w:top w:val="nil"/>
              <w:left w:val="nil"/>
              <w:bottom w:val="nil"/>
              <w:right w:val="single" w:sz="8" w:space="0" w:color="auto"/>
            </w:tcBorders>
            <w:shd w:val="clear" w:color="auto" w:fill="auto"/>
            <w:vAlign w:val="center"/>
            <w:hideMark/>
          </w:tcPr>
          <w:p w14:paraId="18E44FEE"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ABF.C589</w:t>
            </w:r>
          </w:p>
        </w:tc>
        <w:tc>
          <w:tcPr>
            <w:tcW w:w="1417" w:type="dxa"/>
            <w:tcBorders>
              <w:top w:val="nil"/>
              <w:left w:val="nil"/>
              <w:bottom w:val="nil"/>
              <w:right w:val="single" w:sz="8" w:space="0" w:color="auto"/>
            </w:tcBorders>
            <w:shd w:val="clear" w:color="auto" w:fill="auto"/>
            <w:vAlign w:val="center"/>
            <w:hideMark/>
          </w:tcPr>
          <w:p w14:paraId="09DB24B9"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ABF.D589</w:t>
            </w:r>
          </w:p>
        </w:tc>
        <w:tc>
          <w:tcPr>
            <w:tcW w:w="1276" w:type="dxa"/>
            <w:tcBorders>
              <w:top w:val="nil"/>
              <w:left w:val="nil"/>
              <w:bottom w:val="nil"/>
              <w:right w:val="single" w:sz="8" w:space="0" w:color="auto"/>
            </w:tcBorders>
            <w:shd w:val="clear" w:color="auto" w:fill="auto"/>
            <w:vAlign w:val="center"/>
            <w:hideMark/>
          </w:tcPr>
          <w:p w14:paraId="371C76B8"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ABF.E589</w:t>
            </w:r>
          </w:p>
        </w:tc>
        <w:tc>
          <w:tcPr>
            <w:tcW w:w="1559" w:type="dxa"/>
            <w:gridSpan w:val="2"/>
            <w:tcBorders>
              <w:top w:val="nil"/>
              <w:left w:val="nil"/>
              <w:bottom w:val="nil"/>
              <w:right w:val="single" w:sz="8" w:space="0" w:color="auto"/>
            </w:tcBorders>
            <w:shd w:val="clear" w:color="auto" w:fill="auto"/>
            <w:vAlign w:val="center"/>
            <w:hideMark/>
          </w:tcPr>
          <w:p w14:paraId="5A033C72"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ABF.F589</w:t>
            </w:r>
          </w:p>
        </w:tc>
        <w:tc>
          <w:tcPr>
            <w:tcW w:w="1134" w:type="dxa"/>
            <w:gridSpan w:val="2"/>
            <w:tcBorders>
              <w:top w:val="nil"/>
              <w:left w:val="nil"/>
              <w:bottom w:val="nil"/>
              <w:right w:val="single" w:sz="8" w:space="0" w:color="auto"/>
            </w:tcBorders>
            <w:shd w:val="clear" w:color="auto" w:fill="auto"/>
            <w:vAlign w:val="center"/>
            <w:hideMark/>
          </w:tcPr>
          <w:p w14:paraId="4932C5D1"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ABF.G589</w:t>
            </w:r>
          </w:p>
        </w:tc>
      </w:tr>
      <w:tr w:rsidR="000643B5" w:rsidRPr="0084332C" w14:paraId="09133D5B" w14:textId="77777777" w:rsidTr="00080E19">
        <w:trPr>
          <w:trHeight w:val="255"/>
        </w:trPr>
        <w:tc>
          <w:tcPr>
            <w:tcW w:w="5377" w:type="dxa"/>
            <w:gridSpan w:val="2"/>
            <w:tcBorders>
              <w:top w:val="nil"/>
              <w:left w:val="single" w:sz="8" w:space="0" w:color="auto"/>
              <w:bottom w:val="nil"/>
              <w:right w:val="single" w:sz="8" w:space="0" w:color="auto"/>
            </w:tcBorders>
            <w:shd w:val="clear" w:color="auto" w:fill="auto"/>
            <w:noWrap/>
            <w:vAlign w:val="center"/>
            <w:hideMark/>
          </w:tcPr>
          <w:p w14:paraId="7A2FE27D" w14:textId="77777777" w:rsidR="000643B5" w:rsidRPr="0084332C" w:rsidRDefault="000643B5" w:rsidP="00080E19">
            <w:pPr>
              <w:spacing w:after="0" w:line="240" w:lineRule="auto"/>
              <w:ind w:firstLineChars="200" w:firstLine="320"/>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674 - SUPERÁVIT FINANCEIRO - TRANSFERÊNCIAS DE INSTITUIÇÕES PRIVADAS</w:t>
            </w:r>
          </w:p>
        </w:tc>
        <w:tc>
          <w:tcPr>
            <w:tcW w:w="1276" w:type="dxa"/>
            <w:tcBorders>
              <w:top w:val="nil"/>
              <w:left w:val="nil"/>
              <w:bottom w:val="nil"/>
              <w:right w:val="single" w:sz="8" w:space="0" w:color="auto"/>
            </w:tcBorders>
            <w:shd w:val="clear" w:color="auto" w:fill="auto"/>
            <w:vAlign w:val="center"/>
            <w:hideMark/>
          </w:tcPr>
          <w:p w14:paraId="1A10D876"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ABF.B590</w:t>
            </w:r>
          </w:p>
        </w:tc>
        <w:tc>
          <w:tcPr>
            <w:tcW w:w="1559" w:type="dxa"/>
            <w:tcBorders>
              <w:top w:val="nil"/>
              <w:left w:val="nil"/>
              <w:bottom w:val="nil"/>
              <w:right w:val="single" w:sz="8" w:space="0" w:color="auto"/>
            </w:tcBorders>
            <w:shd w:val="clear" w:color="auto" w:fill="auto"/>
            <w:vAlign w:val="center"/>
            <w:hideMark/>
          </w:tcPr>
          <w:p w14:paraId="134CF4DF"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ABF.C590</w:t>
            </w:r>
          </w:p>
        </w:tc>
        <w:tc>
          <w:tcPr>
            <w:tcW w:w="1417" w:type="dxa"/>
            <w:tcBorders>
              <w:top w:val="nil"/>
              <w:left w:val="nil"/>
              <w:bottom w:val="nil"/>
              <w:right w:val="single" w:sz="8" w:space="0" w:color="auto"/>
            </w:tcBorders>
            <w:shd w:val="clear" w:color="auto" w:fill="auto"/>
            <w:vAlign w:val="center"/>
            <w:hideMark/>
          </w:tcPr>
          <w:p w14:paraId="0A5AC5DD"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ABF.D590</w:t>
            </w:r>
          </w:p>
        </w:tc>
        <w:tc>
          <w:tcPr>
            <w:tcW w:w="1276" w:type="dxa"/>
            <w:tcBorders>
              <w:top w:val="nil"/>
              <w:left w:val="nil"/>
              <w:bottom w:val="nil"/>
              <w:right w:val="single" w:sz="8" w:space="0" w:color="auto"/>
            </w:tcBorders>
            <w:shd w:val="clear" w:color="auto" w:fill="auto"/>
            <w:vAlign w:val="center"/>
            <w:hideMark/>
          </w:tcPr>
          <w:p w14:paraId="57656143"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ABF.E590</w:t>
            </w:r>
          </w:p>
        </w:tc>
        <w:tc>
          <w:tcPr>
            <w:tcW w:w="1559" w:type="dxa"/>
            <w:gridSpan w:val="2"/>
            <w:tcBorders>
              <w:top w:val="nil"/>
              <w:left w:val="nil"/>
              <w:bottom w:val="nil"/>
              <w:right w:val="single" w:sz="8" w:space="0" w:color="auto"/>
            </w:tcBorders>
            <w:shd w:val="clear" w:color="auto" w:fill="auto"/>
            <w:vAlign w:val="center"/>
            <w:hideMark/>
          </w:tcPr>
          <w:p w14:paraId="67512719"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ABF.F590</w:t>
            </w:r>
          </w:p>
        </w:tc>
        <w:tc>
          <w:tcPr>
            <w:tcW w:w="1134" w:type="dxa"/>
            <w:gridSpan w:val="2"/>
            <w:tcBorders>
              <w:top w:val="nil"/>
              <w:left w:val="nil"/>
              <w:bottom w:val="nil"/>
              <w:right w:val="single" w:sz="8" w:space="0" w:color="auto"/>
            </w:tcBorders>
            <w:shd w:val="clear" w:color="auto" w:fill="auto"/>
            <w:vAlign w:val="center"/>
            <w:hideMark/>
          </w:tcPr>
          <w:p w14:paraId="2F55C92B"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ABF.G590</w:t>
            </w:r>
          </w:p>
        </w:tc>
      </w:tr>
      <w:tr w:rsidR="000643B5" w:rsidRPr="0084332C" w14:paraId="6D96C801" w14:textId="77777777" w:rsidTr="00080E19">
        <w:trPr>
          <w:trHeight w:val="270"/>
        </w:trPr>
        <w:tc>
          <w:tcPr>
            <w:tcW w:w="5377" w:type="dxa"/>
            <w:gridSpan w:val="2"/>
            <w:tcBorders>
              <w:top w:val="nil"/>
              <w:left w:val="single" w:sz="8" w:space="0" w:color="auto"/>
              <w:bottom w:val="nil"/>
              <w:right w:val="single" w:sz="8" w:space="0" w:color="auto"/>
            </w:tcBorders>
            <w:shd w:val="clear" w:color="auto" w:fill="auto"/>
            <w:noWrap/>
            <w:vAlign w:val="center"/>
            <w:hideMark/>
          </w:tcPr>
          <w:p w14:paraId="42259184" w14:textId="77777777" w:rsidR="000643B5" w:rsidRPr="0084332C" w:rsidRDefault="000643B5" w:rsidP="00080E19">
            <w:pPr>
              <w:spacing w:after="0" w:line="240" w:lineRule="auto"/>
              <w:ind w:firstLineChars="200" w:firstLine="320"/>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675 - SUPERÁVIT FINANCEIRO - OUTRAS TRANSFERÊNCIAS DA UNIÃO</w:t>
            </w:r>
          </w:p>
        </w:tc>
        <w:tc>
          <w:tcPr>
            <w:tcW w:w="1276" w:type="dxa"/>
            <w:tcBorders>
              <w:top w:val="nil"/>
              <w:left w:val="nil"/>
              <w:bottom w:val="nil"/>
              <w:right w:val="single" w:sz="8" w:space="0" w:color="auto"/>
            </w:tcBorders>
            <w:shd w:val="clear" w:color="auto" w:fill="auto"/>
            <w:vAlign w:val="center"/>
            <w:hideMark/>
          </w:tcPr>
          <w:p w14:paraId="364C5D67"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ABF.B591</w:t>
            </w:r>
          </w:p>
        </w:tc>
        <w:tc>
          <w:tcPr>
            <w:tcW w:w="1559" w:type="dxa"/>
            <w:tcBorders>
              <w:top w:val="nil"/>
              <w:left w:val="nil"/>
              <w:bottom w:val="nil"/>
              <w:right w:val="single" w:sz="8" w:space="0" w:color="auto"/>
            </w:tcBorders>
            <w:shd w:val="clear" w:color="auto" w:fill="auto"/>
            <w:vAlign w:val="center"/>
            <w:hideMark/>
          </w:tcPr>
          <w:p w14:paraId="2AA81A33"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ABF.C591</w:t>
            </w:r>
          </w:p>
        </w:tc>
        <w:tc>
          <w:tcPr>
            <w:tcW w:w="1417" w:type="dxa"/>
            <w:tcBorders>
              <w:top w:val="nil"/>
              <w:left w:val="nil"/>
              <w:bottom w:val="nil"/>
              <w:right w:val="single" w:sz="8" w:space="0" w:color="auto"/>
            </w:tcBorders>
            <w:shd w:val="clear" w:color="auto" w:fill="auto"/>
            <w:vAlign w:val="center"/>
            <w:hideMark/>
          </w:tcPr>
          <w:p w14:paraId="0E01F1F1"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ABF.D591</w:t>
            </w:r>
          </w:p>
        </w:tc>
        <w:tc>
          <w:tcPr>
            <w:tcW w:w="1276" w:type="dxa"/>
            <w:tcBorders>
              <w:top w:val="nil"/>
              <w:left w:val="nil"/>
              <w:bottom w:val="nil"/>
              <w:right w:val="single" w:sz="8" w:space="0" w:color="auto"/>
            </w:tcBorders>
            <w:shd w:val="clear" w:color="auto" w:fill="auto"/>
            <w:vAlign w:val="center"/>
            <w:hideMark/>
          </w:tcPr>
          <w:p w14:paraId="7BAB751A"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ABF.E591</w:t>
            </w:r>
          </w:p>
        </w:tc>
        <w:tc>
          <w:tcPr>
            <w:tcW w:w="1559" w:type="dxa"/>
            <w:gridSpan w:val="2"/>
            <w:tcBorders>
              <w:top w:val="nil"/>
              <w:left w:val="nil"/>
              <w:bottom w:val="nil"/>
              <w:right w:val="single" w:sz="8" w:space="0" w:color="auto"/>
            </w:tcBorders>
            <w:shd w:val="clear" w:color="auto" w:fill="auto"/>
            <w:vAlign w:val="center"/>
            <w:hideMark/>
          </w:tcPr>
          <w:p w14:paraId="7BB85C61"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ABF.F591</w:t>
            </w:r>
          </w:p>
        </w:tc>
        <w:tc>
          <w:tcPr>
            <w:tcW w:w="1134" w:type="dxa"/>
            <w:gridSpan w:val="2"/>
            <w:tcBorders>
              <w:top w:val="nil"/>
              <w:left w:val="nil"/>
              <w:bottom w:val="nil"/>
              <w:right w:val="single" w:sz="8" w:space="0" w:color="auto"/>
            </w:tcBorders>
            <w:shd w:val="clear" w:color="auto" w:fill="auto"/>
            <w:vAlign w:val="center"/>
            <w:hideMark/>
          </w:tcPr>
          <w:p w14:paraId="6ABCF1D7" w14:textId="77777777" w:rsidR="000643B5" w:rsidRPr="0084332C" w:rsidRDefault="000643B5" w:rsidP="00080E19">
            <w:pPr>
              <w:spacing w:after="0" w:line="240" w:lineRule="auto"/>
              <w:jc w:val="center"/>
              <w:rPr>
                <w:rFonts w:ascii="Arial Narrow" w:eastAsia="Times New Roman" w:hAnsi="Arial Narrow" w:cs="Arial"/>
                <w:sz w:val="16"/>
                <w:szCs w:val="16"/>
                <w:lang w:eastAsia="pt-BR"/>
              </w:rPr>
            </w:pPr>
            <w:r w:rsidRPr="0084332C">
              <w:rPr>
                <w:rFonts w:ascii="Arial Narrow" w:eastAsia="Times New Roman" w:hAnsi="Arial Narrow" w:cs="Arial"/>
                <w:sz w:val="16"/>
                <w:szCs w:val="16"/>
                <w:lang w:eastAsia="pt-BR"/>
              </w:rPr>
              <w:t>ABF.G591</w:t>
            </w:r>
          </w:p>
        </w:tc>
      </w:tr>
      <w:tr w:rsidR="000643B5" w:rsidRPr="0084332C" w14:paraId="2A4A02E1" w14:textId="77777777" w:rsidTr="00080E19">
        <w:trPr>
          <w:trHeight w:val="270"/>
        </w:trPr>
        <w:tc>
          <w:tcPr>
            <w:tcW w:w="5377" w:type="dxa"/>
            <w:gridSpan w:val="2"/>
            <w:tcBorders>
              <w:top w:val="single" w:sz="8" w:space="0" w:color="auto"/>
              <w:left w:val="single" w:sz="8" w:space="0" w:color="auto"/>
              <w:bottom w:val="single" w:sz="8" w:space="0" w:color="auto"/>
              <w:right w:val="nil"/>
            </w:tcBorders>
            <w:shd w:val="clear" w:color="auto" w:fill="auto"/>
            <w:noWrap/>
            <w:vAlign w:val="center"/>
            <w:hideMark/>
          </w:tcPr>
          <w:p w14:paraId="4C83B4B7" w14:textId="77777777" w:rsidR="000643B5" w:rsidRPr="0084332C" w:rsidRDefault="000643B5" w:rsidP="00080E19">
            <w:pPr>
              <w:spacing w:after="0" w:line="240" w:lineRule="auto"/>
              <w:rPr>
                <w:rFonts w:ascii="Arial Narrow" w:eastAsia="Times New Roman" w:hAnsi="Arial Narrow" w:cs="Arial"/>
                <w:b/>
                <w:bCs/>
                <w:sz w:val="16"/>
                <w:szCs w:val="16"/>
                <w:lang w:eastAsia="pt-BR"/>
              </w:rPr>
            </w:pPr>
            <w:r w:rsidRPr="0084332C">
              <w:rPr>
                <w:rFonts w:ascii="Arial Narrow" w:eastAsia="Times New Roman" w:hAnsi="Arial Narrow" w:cs="Arial"/>
                <w:b/>
                <w:bCs/>
                <w:sz w:val="16"/>
                <w:szCs w:val="16"/>
                <w:lang w:eastAsia="pt-BR"/>
              </w:rPr>
              <w:t xml:space="preserve">TOTAL </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3B8AF1D" w14:textId="77777777" w:rsidR="000643B5" w:rsidRPr="0084332C" w:rsidRDefault="000643B5" w:rsidP="00080E19">
            <w:pPr>
              <w:spacing w:after="0" w:line="240" w:lineRule="auto"/>
              <w:jc w:val="center"/>
              <w:rPr>
                <w:rFonts w:ascii="Arial Narrow" w:eastAsia="Times New Roman" w:hAnsi="Arial Narrow" w:cs="Arial"/>
                <w:b/>
                <w:bCs/>
                <w:sz w:val="16"/>
                <w:szCs w:val="16"/>
                <w:lang w:eastAsia="pt-BR"/>
              </w:rPr>
            </w:pPr>
            <w:r w:rsidRPr="0084332C">
              <w:rPr>
                <w:rFonts w:ascii="Arial Narrow" w:eastAsia="Times New Roman" w:hAnsi="Arial Narrow" w:cs="Arial"/>
                <w:b/>
                <w:bCs/>
                <w:sz w:val="16"/>
                <w:szCs w:val="16"/>
                <w:lang w:eastAsia="pt-BR"/>
              </w:rPr>
              <w:t>ABF.B055</w:t>
            </w:r>
          </w:p>
        </w:tc>
        <w:tc>
          <w:tcPr>
            <w:tcW w:w="1559" w:type="dxa"/>
            <w:tcBorders>
              <w:top w:val="single" w:sz="8" w:space="0" w:color="auto"/>
              <w:left w:val="nil"/>
              <w:bottom w:val="single" w:sz="8" w:space="0" w:color="auto"/>
              <w:right w:val="single" w:sz="8" w:space="0" w:color="auto"/>
            </w:tcBorders>
            <w:shd w:val="clear" w:color="auto" w:fill="auto"/>
            <w:vAlign w:val="center"/>
            <w:hideMark/>
          </w:tcPr>
          <w:p w14:paraId="0F22D530" w14:textId="77777777" w:rsidR="000643B5" w:rsidRPr="0084332C" w:rsidRDefault="000643B5" w:rsidP="00080E19">
            <w:pPr>
              <w:spacing w:after="0" w:line="240" w:lineRule="auto"/>
              <w:jc w:val="center"/>
              <w:rPr>
                <w:rFonts w:ascii="Arial Narrow" w:eastAsia="Times New Roman" w:hAnsi="Arial Narrow" w:cs="Arial"/>
                <w:b/>
                <w:bCs/>
                <w:sz w:val="16"/>
                <w:szCs w:val="16"/>
                <w:lang w:eastAsia="pt-BR"/>
              </w:rPr>
            </w:pPr>
            <w:r w:rsidRPr="0084332C">
              <w:rPr>
                <w:rFonts w:ascii="Arial Narrow" w:eastAsia="Times New Roman" w:hAnsi="Arial Narrow" w:cs="Arial"/>
                <w:b/>
                <w:bCs/>
                <w:sz w:val="16"/>
                <w:szCs w:val="16"/>
                <w:lang w:eastAsia="pt-BR"/>
              </w:rPr>
              <w:t>ABF.C055</w:t>
            </w:r>
          </w:p>
        </w:tc>
        <w:tc>
          <w:tcPr>
            <w:tcW w:w="1417" w:type="dxa"/>
            <w:tcBorders>
              <w:top w:val="single" w:sz="8" w:space="0" w:color="auto"/>
              <w:left w:val="nil"/>
              <w:bottom w:val="single" w:sz="8" w:space="0" w:color="auto"/>
              <w:right w:val="single" w:sz="8" w:space="0" w:color="auto"/>
            </w:tcBorders>
            <w:shd w:val="clear" w:color="auto" w:fill="auto"/>
            <w:vAlign w:val="center"/>
            <w:hideMark/>
          </w:tcPr>
          <w:p w14:paraId="46594A69" w14:textId="77777777" w:rsidR="000643B5" w:rsidRPr="0084332C" w:rsidRDefault="000643B5" w:rsidP="00080E19">
            <w:pPr>
              <w:spacing w:after="0" w:line="240" w:lineRule="auto"/>
              <w:jc w:val="center"/>
              <w:rPr>
                <w:rFonts w:ascii="Arial Narrow" w:eastAsia="Times New Roman" w:hAnsi="Arial Narrow" w:cs="Arial"/>
                <w:b/>
                <w:bCs/>
                <w:sz w:val="16"/>
                <w:szCs w:val="16"/>
                <w:lang w:eastAsia="pt-BR"/>
              </w:rPr>
            </w:pPr>
            <w:r w:rsidRPr="0084332C">
              <w:rPr>
                <w:rFonts w:ascii="Arial Narrow" w:eastAsia="Times New Roman" w:hAnsi="Arial Narrow" w:cs="Arial"/>
                <w:b/>
                <w:bCs/>
                <w:sz w:val="16"/>
                <w:szCs w:val="16"/>
                <w:lang w:eastAsia="pt-BR"/>
              </w:rPr>
              <w:t>ABF.D055</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14:paraId="6A886BEB" w14:textId="77777777" w:rsidR="000643B5" w:rsidRPr="0084332C" w:rsidRDefault="000643B5" w:rsidP="00080E19">
            <w:pPr>
              <w:spacing w:after="0" w:line="240" w:lineRule="auto"/>
              <w:jc w:val="center"/>
              <w:rPr>
                <w:rFonts w:ascii="Arial Narrow" w:eastAsia="Times New Roman" w:hAnsi="Arial Narrow" w:cs="Arial"/>
                <w:b/>
                <w:bCs/>
                <w:sz w:val="16"/>
                <w:szCs w:val="16"/>
                <w:lang w:eastAsia="pt-BR"/>
              </w:rPr>
            </w:pPr>
            <w:r w:rsidRPr="0084332C">
              <w:rPr>
                <w:rFonts w:ascii="Arial Narrow" w:eastAsia="Times New Roman" w:hAnsi="Arial Narrow" w:cs="Arial"/>
                <w:b/>
                <w:bCs/>
                <w:sz w:val="16"/>
                <w:szCs w:val="16"/>
                <w:lang w:eastAsia="pt-BR"/>
              </w:rPr>
              <w:t>ABF.E055</w:t>
            </w:r>
          </w:p>
        </w:tc>
        <w:tc>
          <w:tcPr>
            <w:tcW w:w="1559" w:type="dxa"/>
            <w:gridSpan w:val="2"/>
            <w:tcBorders>
              <w:top w:val="single" w:sz="8" w:space="0" w:color="auto"/>
              <w:left w:val="nil"/>
              <w:bottom w:val="single" w:sz="8" w:space="0" w:color="auto"/>
              <w:right w:val="single" w:sz="8" w:space="0" w:color="auto"/>
            </w:tcBorders>
            <w:shd w:val="clear" w:color="auto" w:fill="auto"/>
            <w:vAlign w:val="center"/>
            <w:hideMark/>
          </w:tcPr>
          <w:p w14:paraId="0EA1050B" w14:textId="77777777" w:rsidR="000643B5" w:rsidRPr="0084332C" w:rsidRDefault="000643B5" w:rsidP="00080E19">
            <w:pPr>
              <w:spacing w:after="0" w:line="240" w:lineRule="auto"/>
              <w:jc w:val="center"/>
              <w:rPr>
                <w:rFonts w:ascii="Arial Narrow" w:eastAsia="Times New Roman" w:hAnsi="Arial Narrow" w:cs="Arial"/>
                <w:b/>
                <w:bCs/>
                <w:sz w:val="16"/>
                <w:szCs w:val="16"/>
                <w:lang w:eastAsia="pt-BR"/>
              </w:rPr>
            </w:pPr>
            <w:r w:rsidRPr="0084332C">
              <w:rPr>
                <w:rFonts w:ascii="Arial Narrow" w:eastAsia="Times New Roman" w:hAnsi="Arial Narrow" w:cs="Arial"/>
                <w:b/>
                <w:bCs/>
                <w:sz w:val="16"/>
                <w:szCs w:val="16"/>
                <w:lang w:eastAsia="pt-BR"/>
              </w:rPr>
              <w:t>ABF.F055</w:t>
            </w:r>
          </w:p>
        </w:tc>
        <w:tc>
          <w:tcPr>
            <w:tcW w:w="1134" w:type="dxa"/>
            <w:gridSpan w:val="2"/>
            <w:tcBorders>
              <w:top w:val="single" w:sz="8" w:space="0" w:color="auto"/>
              <w:left w:val="nil"/>
              <w:bottom w:val="single" w:sz="8" w:space="0" w:color="auto"/>
              <w:right w:val="single" w:sz="8" w:space="0" w:color="auto"/>
            </w:tcBorders>
            <w:shd w:val="clear" w:color="auto" w:fill="auto"/>
            <w:vAlign w:val="center"/>
            <w:hideMark/>
          </w:tcPr>
          <w:p w14:paraId="524B3556" w14:textId="77777777" w:rsidR="000643B5" w:rsidRPr="0084332C" w:rsidRDefault="000643B5" w:rsidP="00080E19">
            <w:pPr>
              <w:spacing w:after="0" w:line="240" w:lineRule="auto"/>
              <w:jc w:val="center"/>
              <w:rPr>
                <w:rFonts w:ascii="Arial Narrow" w:eastAsia="Times New Roman" w:hAnsi="Arial Narrow" w:cs="Arial"/>
                <w:b/>
                <w:bCs/>
                <w:sz w:val="16"/>
                <w:szCs w:val="16"/>
                <w:lang w:eastAsia="pt-BR"/>
              </w:rPr>
            </w:pPr>
            <w:r w:rsidRPr="0084332C">
              <w:rPr>
                <w:rFonts w:ascii="Arial Narrow" w:eastAsia="Times New Roman" w:hAnsi="Arial Narrow" w:cs="Arial"/>
                <w:b/>
                <w:bCs/>
                <w:sz w:val="16"/>
                <w:szCs w:val="16"/>
                <w:lang w:eastAsia="pt-BR"/>
              </w:rPr>
              <w:t>ABF.G055</w:t>
            </w:r>
          </w:p>
        </w:tc>
      </w:tr>
    </w:tbl>
    <w:p w14:paraId="247D3D3D" w14:textId="5FC1E8CA" w:rsidR="000643B5" w:rsidRDefault="000643B5" w:rsidP="00E60BB7">
      <w:pPr>
        <w:spacing w:after="0" w:line="360" w:lineRule="auto"/>
        <w:jc w:val="both"/>
      </w:pPr>
    </w:p>
    <w:p w14:paraId="2D0C78FC" w14:textId="3FF0A328" w:rsidR="00200271" w:rsidRDefault="00200271" w:rsidP="00E60BB7">
      <w:pPr>
        <w:spacing w:after="0" w:line="360" w:lineRule="auto"/>
        <w:jc w:val="both"/>
      </w:pPr>
    </w:p>
    <w:p w14:paraId="0DB00928" w14:textId="355BEBEB" w:rsidR="00A81D23" w:rsidRDefault="00A81D23" w:rsidP="00E60BB7">
      <w:pPr>
        <w:spacing w:after="0" w:line="360" w:lineRule="auto"/>
        <w:jc w:val="both"/>
      </w:pPr>
    </w:p>
    <w:p w14:paraId="22766C8A" w14:textId="342EBFA1" w:rsidR="00A81D23" w:rsidRDefault="00A81D23" w:rsidP="00E60BB7">
      <w:pPr>
        <w:spacing w:after="0" w:line="360" w:lineRule="auto"/>
        <w:jc w:val="both"/>
      </w:pPr>
    </w:p>
    <w:p w14:paraId="007A40A2" w14:textId="77777777" w:rsidR="00A81D23" w:rsidRDefault="00A81D23" w:rsidP="00E60BB7">
      <w:pPr>
        <w:spacing w:after="0" w:line="360" w:lineRule="auto"/>
        <w:jc w:val="both"/>
      </w:pPr>
    </w:p>
    <w:p w14:paraId="17F02E04" w14:textId="7F9A3A7C" w:rsidR="00200271" w:rsidRDefault="00200271" w:rsidP="00E60BB7">
      <w:pPr>
        <w:spacing w:after="0" w:line="360" w:lineRule="auto"/>
        <w:jc w:val="both"/>
      </w:pPr>
    </w:p>
    <w:p w14:paraId="5AC29F75" w14:textId="77777777" w:rsidR="00FF306E" w:rsidRDefault="00FF306E" w:rsidP="00E60BB7">
      <w:pPr>
        <w:spacing w:after="0" w:line="360" w:lineRule="auto"/>
        <w:jc w:val="both"/>
      </w:pPr>
    </w:p>
    <w:p w14:paraId="468CEF0F" w14:textId="27BBEF10" w:rsidR="00080E19" w:rsidRDefault="00080E19" w:rsidP="00E60BB7">
      <w:pPr>
        <w:spacing w:after="0" w:line="360" w:lineRule="auto"/>
        <w:jc w:val="both"/>
      </w:pPr>
    </w:p>
    <w:p w14:paraId="6FCEFFC4" w14:textId="733702ED" w:rsidR="00080E19" w:rsidRDefault="00080E19" w:rsidP="00E60BB7">
      <w:pPr>
        <w:spacing w:after="0" w:line="360" w:lineRule="auto"/>
        <w:jc w:val="both"/>
      </w:pPr>
    </w:p>
    <w:p w14:paraId="207840B3" w14:textId="77777777" w:rsidR="00080E19" w:rsidRDefault="00080E19" w:rsidP="00E60BB7">
      <w:pPr>
        <w:spacing w:after="0" w:line="360" w:lineRule="auto"/>
        <w:jc w:val="both"/>
      </w:pPr>
    </w:p>
    <w:p w14:paraId="580813EF" w14:textId="77777777" w:rsidR="00200271" w:rsidRDefault="00200271" w:rsidP="00E60BB7">
      <w:pPr>
        <w:spacing w:after="0" w:line="360" w:lineRule="auto"/>
        <w:jc w:val="both"/>
      </w:pPr>
    </w:p>
    <w:p w14:paraId="71D634CC" w14:textId="77777777" w:rsidR="000E4666" w:rsidRDefault="000E4666" w:rsidP="00036149">
      <w:pPr>
        <w:pStyle w:val="Ttulo2"/>
        <w:ind w:left="578" w:hanging="578"/>
        <w:rPr>
          <w:rFonts w:cs="Arial"/>
          <w:sz w:val="24"/>
          <w:szCs w:val="24"/>
        </w:rPr>
        <w:sectPr w:rsidR="000E4666" w:rsidSect="000E4666">
          <w:footnotePr>
            <w:numRestart w:val="eachPage"/>
          </w:footnotePr>
          <w:pgSz w:w="16838" w:h="11906" w:orient="landscape"/>
          <w:pgMar w:top="1134" w:right="1418" w:bottom="1701" w:left="1418" w:header="709" w:footer="709" w:gutter="0"/>
          <w:cols w:space="708"/>
          <w:docGrid w:linePitch="360"/>
        </w:sectPr>
      </w:pPr>
    </w:p>
    <w:p w14:paraId="2D1E6F5E" w14:textId="6DDA7C0F" w:rsidR="00036149" w:rsidRPr="00C3475F" w:rsidRDefault="00036149" w:rsidP="00036149">
      <w:pPr>
        <w:pStyle w:val="Ttulo2"/>
        <w:ind w:left="578" w:hanging="578"/>
        <w:rPr>
          <w:lang w:val="pt-BR"/>
        </w:rPr>
      </w:pPr>
      <w:bookmarkStart w:id="118" w:name="_Toc94806388"/>
      <w:r w:rsidRPr="00613437">
        <w:rPr>
          <w:rFonts w:cs="Arial"/>
          <w:sz w:val="24"/>
          <w:szCs w:val="24"/>
          <w:lang w:val="pt-BR"/>
        </w:rPr>
        <w:lastRenderedPageBreak/>
        <w:t>Alterou o arquivo</w:t>
      </w:r>
      <w:r w:rsidRPr="00613437">
        <w:rPr>
          <w:lang w:val="pt-BR"/>
        </w:rPr>
        <w:t xml:space="preserve"> </w:t>
      </w:r>
      <w:r w:rsidRPr="00613437">
        <w:rPr>
          <w:rFonts w:cs="Arial"/>
          <w:sz w:val="24"/>
          <w:szCs w:val="24"/>
          <w:lang w:val="pt-BR"/>
        </w:rPr>
        <w:t>DEMCAD.XML (ou DemonstrativoCreditosAdicionais.xml):</w:t>
      </w:r>
      <w:bookmarkEnd w:id="118"/>
    </w:p>
    <w:p w14:paraId="03A3374D" w14:textId="77777777" w:rsidR="00036149" w:rsidRDefault="00036149" w:rsidP="00036149">
      <w:pPr>
        <w:spacing w:after="0" w:line="240" w:lineRule="auto"/>
        <w:ind w:left="1080"/>
        <w:rPr>
          <w:rFonts w:ascii="Arial" w:eastAsia="Times New Roman" w:hAnsi="Arial" w:cs="Arial"/>
          <w:sz w:val="20"/>
          <w:szCs w:val="20"/>
          <w:lang w:eastAsia="pt-BR"/>
        </w:rPr>
      </w:pPr>
    </w:p>
    <w:tbl>
      <w:tblPr>
        <w:tblW w:w="904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390"/>
        <w:gridCol w:w="1133"/>
        <w:gridCol w:w="1507"/>
        <w:gridCol w:w="3016"/>
      </w:tblGrid>
      <w:tr w:rsidR="00036149" w:rsidRPr="00EE0371" w14:paraId="4757FFD3" w14:textId="77777777" w:rsidTr="00073259">
        <w:trPr>
          <w:tblHeader/>
          <w:jc w:val="center"/>
        </w:trPr>
        <w:tc>
          <w:tcPr>
            <w:tcW w:w="3390" w:type="dxa"/>
            <w:tcBorders>
              <w:bottom w:val="single" w:sz="6" w:space="0" w:color="auto"/>
            </w:tcBorders>
            <w:shd w:val="solid" w:color="C0C0C0" w:fill="auto"/>
            <w:vAlign w:val="center"/>
          </w:tcPr>
          <w:p w14:paraId="278D49C2" w14:textId="77777777" w:rsidR="00036149" w:rsidRPr="00EE0371" w:rsidRDefault="00036149" w:rsidP="00073259">
            <w:pPr>
              <w:spacing w:before="120" w:after="120" w:line="240" w:lineRule="auto"/>
              <w:jc w:val="center"/>
              <w:rPr>
                <w:rFonts w:ascii="Arial" w:hAnsi="Arial" w:cs="Arial"/>
                <w:b/>
                <w:sz w:val="20"/>
                <w:szCs w:val="20"/>
              </w:rPr>
            </w:pPr>
            <w:r w:rsidRPr="00EE0371">
              <w:rPr>
                <w:rFonts w:ascii="Arial" w:hAnsi="Arial"/>
                <w:b/>
                <w:bCs/>
              </w:rPr>
              <w:br w:type="page"/>
            </w:r>
            <w:r w:rsidRPr="00EE0371">
              <w:rPr>
                <w:rFonts w:ascii="Arial" w:hAnsi="Arial" w:cs="Arial"/>
                <w:b/>
                <w:sz w:val="20"/>
                <w:szCs w:val="20"/>
              </w:rPr>
              <w:t>Campo</w:t>
            </w:r>
          </w:p>
        </w:tc>
        <w:tc>
          <w:tcPr>
            <w:tcW w:w="1133" w:type="dxa"/>
            <w:tcBorders>
              <w:bottom w:val="single" w:sz="6" w:space="0" w:color="auto"/>
            </w:tcBorders>
            <w:shd w:val="solid" w:color="C0C0C0" w:fill="auto"/>
            <w:vAlign w:val="center"/>
          </w:tcPr>
          <w:p w14:paraId="72536792" w14:textId="77777777" w:rsidR="00036149" w:rsidRPr="00EE0371" w:rsidRDefault="00036149" w:rsidP="00073259">
            <w:pPr>
              <w:spacing w:before="120" w:after="120" w:line="240" w:lineRule="auto"/>
              <w:jc w:val="center"/>
              <w:rPr>
                <w:rFonts w:ascii="Arial" w:hAnsi="Arial" w:cs="Arial"/>
                <w:b/>
                <w:sz w:val="20"/>
                <w:szCs w:val="20"/>
              </w:rPr>
            </w:pPr>
            <w:r w:rsidRPr="00EE0371">
              <w:rPr>
                <w:rFonts w:ascii="Arial" w:hAnsi="Arial" w:cs="Arial"/>
                <w:b/>
                <w:sz w:val="20"/>
                <w:szCs w:val="20"/>
              </w:rPr>
              <w:t>Tipo</w:t>
            </w:r>
          </w:p>
        </w:tc>
        <w:tc>
          <w:tcPr>
            <w:tcW w:w="1507" w:type="dxa"/>
            <w:tcBorders>
              <w:bottom w:val="single" w:sz="6" w:space="0" w:color="auto"/>
            </w:tcBorders>
            <w:shd w:val="solid" w:color="C0C0C0" w:fill="auto"/>
            <w:vAlign w:val="center"/>
          </w:tcPr>
          <w:p w14:paraId="04B952EA" w14:textId="77777777" w:rsidR="00036149" w:rsidRPr="00EE0371" w:rsidRDefault="00036149" w:rsidP="00073259">
            <w:pPr>
              <w:spacing w:before="120" w:after="120" w:line="240" w:lineRule="auto"/>
              <w:jc w:val="center"/>
              <w:rPr>
                <w:rFonts w:ascii="Arial" w:hAnsi="Arial" w:cs="Arial"/>
                <w:b/>
                <w:sz w:val="20"/>
                <w:szCs w:val="20"/>
              </w:rPr>
            </w:pPr>
            <w:r w:rsidRPr="00EE0371">
              <w:rPr>
                <w:rFonts w:ascii="Arial" w:hAnsi="Arial" w:cs="Arial"/>
                <w:b/>
                <w:sz w:val="20"/>
                <w:szCs w:val="20"/>
              </w:rPr>
              <w:t>Tamanho</w:t>
            </w:r>
          </w:p>
        </w:tc>
        <w:tc>
          <w:tcPr>
            <w:tcW w:w="3016" w:type="dxa"/>
            <w:tcBorders>
              <w:bottom w:val="single" w:sz="6" w:space="0" w:color="auto"/>
            </w:tcBorders>
            <w:shd w:val="solid" w:color="C0C0C0" w:fill="auto"/>
            <w:vAlign w:val="center"/>
          </w:tcPr>
          <w:p w14:paraId="54AE8CAF" w14:textId="77777777" w:rsidR="00036149" w:rsidRPr="00EE0371" w:rsidRDefault="00036149" w:rsidP="00073259">
            <w:pPr>
              <w:spacing w:before="120" w:after="120" w:line="240" w:lineRule="auto"/>
              <w:jc w:val="center"/>
              <w:rPr>
                <w:rFonts w:ascii="Arial" w:hAnsi="Arial" w:cs="Arial"/>
                <w:b/>
                <w:sz w:val="20"/>
                <w:szCs w:val="20"/>
              </w:rPr>
            </w:pPr>
            <w:r w:rsidRPr="00EE0371">
              <w:rPr>
                <w:rFonts w:ascii="Arial" w:hAnsi="Arial" w:cs="Arial"/>
                <w:b/>
                <w:sz w:val="20"/>
                <w:szCs w:val="20"/>
              </w:rPr>
              <w:t>Obrigatoriedade</w:t>
            </w:r>
          </w:p>
        </w:tc>
      </w:tr>
      <w:tr w:rsidR="00036149" w:rsidRPr="00EE0371" w14:paraId="4DF35F28" w14:textId="77777777" w:rsidTr="00073259">
        <w:trPr>
          <w:jc w:val="center"/>
        </w:trPr>
        <w:tc>
          <w:tcPr>
            <w:tcW w:w="9046" w:type="dxa"/>
            <w:gridSpan w:val="4"/>
            <w:shd w:val="solid" w:color="BFBFBF" w:themeColor="background1" w:themeShade="BF" w:fill="auto"/>
            <w:vAlign w:val="center"/>
          </w:tcPr>
          <w:p w14:paraId="15FE0ADC" w14:textId="77777777" w:rsidR="00036149" w:rsidRPr="00EE0371" w:rsidRDefault="00036149" w:rsidP="00073259">
            <w:pPr>
              <w:spacing w:before="120" w:after="120" w:line="240" w:lineRule="auto"/>
              <w:jc w:val="center"/>
              <w:rPr>
                <w:rFonts w:ascii="Arial" w:hAnsi="Arial" w:cs="Arial"/>
                <w:color w:val="FF0000"/>
                <w:sz w:val="20"/>
                <w:szCs w:val="20"/>
              </w:rPr>
            </w:pPr>
            <w:r w:rsidRPr="00EE0371">
              <w:rPr>
                <w:rFonts w:ascii="Arial" w:hAnsi="Arial" w:cs="Arial"/>
                <w:b/>
                <w:sz w:val="20"/>
                <w:szCs w:val="20"/>
              </w:rPr>
              <w:t>Estrutura ‘DemonstrativoCreditoAdicional’</w:t>
            </w:r>
          </w:p>
        </w:tc>
      </w:tr>
      <w:tr w:rsidR="00036149" w:rsidRPr="00EE0371" w14:paraId="3C745522" w14:textId="77777777" w:rsidTr="00073259">
        <w:trPr>
          <w:trHeight w:val="310"/>
          <w:jc w:val="center"/>
        </w:trPr>
        <w:tc>
          <w:tcPr>
            <w:tcW w:w="3390" w:type="dxa"/>
            <w:vAlign w:val="center"/>
          </w:tcPr>
          <w:p w14:paraId="0C965514" w14:textId="77777777" w:rsidR="00036149" w:rsidRPr="00EE0371" w:rsidRDefault="00036149" w:rsidP="00073259">
            <w:pPr>
              <w:spacing w:after="0" w:line="360" w:lineRule="auto"/>
              <w:jc w:val="both"/>
              <w:rPr>
                <w:rFonts w:ascii="Arial" w:hAnsi="Arial" w:cs="Arial"/>
                <w:sz w:val="20"/>
                <w:szCs w:val="20"/>
              </w:rPr>
            </w:pPr>
            <w:r w:rsidRPr="00EE0371">
              <w:rPr>
                <w:rFonts w:ascii="Arial" w:hAnsi="Arial" w:cs="Arial"/>
                <w:sz w:val="20"/>
                <w:szCs w:val="20"/>
              </w:rPr>
              <w:t>Identificação do Número do Registro</w:t>
            </w:r>
          </w:p>
        </w:tc>
        <w:tc>
          <w:tcPr>
            <w:tcW w:w="1133" w:type="dxa"/>
            <w:vAlign w:val="center"/>
          </w:tcPr>
          <w:p w14:paraId="7E4AA80B" w14:textId="77777777" w:rsidR="00036149" w:rsidRPr="00EE0371" w:rsidRDefault="00036149" w:rsidP="00073259">
            <w:pPr>
              <w:spacing w:after="0" w:line="360" w:lineRule="auto"/>
              <w:jc w:val="center"/>
              <w:rPr>
                <w:rFonts w:ascii="Arial" w:hAnsi="Arial" w:cs="Arial"/>
                <w:sz w:val="20"/>
                <w:szCs w:val="20"/>
              </w:rPr>
            </w:pPr>
            <w:r w:rsidRPr="00EE0371">
              <w:rPr>
                <w:rFonts w:ascii="Arial" w:hAnsi="Arial" w:cs="Arial"/>
                <w:sz w:val="20"/>
                <w:szCs w:val="20"/>
              </w:rPr>
              <w:t>Inteiro</w:t>
            </w:r>
          </w:p>
        </w:tc>
        <w:tc>
          <w:tcPr>
            <w:tcW w:w="1507" w:type="dxa"/>
            <w:vAlign w:val="center"/>
          </w:tcPr>
          <w:p w14:paraId="111DAEA7" w14:textId="77777777" w:rsidR="00036149" w:rsidRPr="00EE0371" w:rsidRDefault="00036149" w:rsidP="00073259">
            <w:pPr>
              <w:spacing w:after="0" w:line="360" w:lineRule="auto"/>
              <w:jc w:val="center"/>
              <w:rPr>
                <w:rFonts w:ascii="Arial" w:hAnsi="Arial" w:cs="Arial"/>
                <w:sz w:val="20"/>
                <w:szCs w:val="20"/>
              </w:rPr>
            </w:pPr>
            <w:r w:rsidRPr="00EE0371">
              <w:rPr>
                <w:rFonts w:ascii="Arial" w:hAnsi="Arial" w:cs="Arial"/>
                <w:sz w:val="20"/>
                <w:szCs w:val="20"/>
              </w:rPr>
              <w:t>5</w:t>
            </w:r>
          </w:p>
        </w:tc>
        <w:tc>
          <w:tcPr>
            <w:tcW w:w="3016" w:type="dxa"/>
            <w:vAlign w:val="center"/>
          </w:tcPr>
          <w:p w14:paraId="3AC1EB80" w14:textId="77777777" w:rsidR="00036149" w:rsidRPr="00EE0371" w:rsidRDefault="00036149" w:rsidP="00073259">
            <w:pPr>
              <w:spacing w:after="0" w:line="360" w:lineRule="auto"/>
              <w:rPr>
                <w:rFonts w:ascii="Arial" w:hAnsi="Arial" w:cs="Arial"/>
                <w:sz w:val="20"/>
                <w:szCs w:val="20"/>
              </w:rPr>
            </w:pPr>
            <w:r w:rsidRPr="00EE0371">
              <w:rPr>
                <w:rFonts w:ascii="Arial" w:hAnsi="Arial" w:cs="Arial"/>
                <w:sz w:val="20"/>
                <w:szCs w:val="20"/>
              </w:rPr>
              <w:t>Obrigatório</w:t>
            </w:r>
          </w:p>
        </w:tc>
      </w:tr>
      <w:tr w:rsidR="00036149" w:rsidRPr="00EE0371" w14:paraId="6C140248" w14:textId="77777777" w:rsidTr="00073259">
        <w:trPr>
          <w:jc w:val="center"/>
        </w:trPr>
        <w:tc>
          <w:tcPr>
            <w:tcW w:w="3390" w:type="dxa"/>
            <w:vAlign w:val="center"/>
          </w:tcPr>
          <w:p w14:paraId="55F2C5B4" w14:textId="77777777" w:rsidR="00036149" w:rsidRPr="00EE0371" w:rsidRDefault="00036149" w:rsidP="00073259">
            <w:pPr>
              <w:spacing w:after="0" w:line="360" w:lineRule="auto"/>
              <w:jc w:val="both"/>
              <w:rPr>
                <w:rFonts w:ascii="Arial" w:hAnsi="Arial" w:cs="Arial"/>
                <w:sz w:val="20"/>
                <w:szCs w:val="20"/>
              </w:rPr>
            </w:pPr>
            <w:r w:rsidRPr="00EE0371">
              <w:rPr>
                <w:rFonts w:ascii="Arial" w:hAnsi="Arial" w:cs="Arial"/>
                <w:sz w:val="20"/>
                <w:szCs w:val="20"/>
              </w:rPr>
              <w:t xml:space="preserve">Número da Lei Autorizativa </w:t>
            </w:r>
            <w:r w:rsidRPr="000D3464">
              <w:rPr>
                <w:rFonts w:ascii="Arial" w:hAnsi="Arial" w:cs="Arial"/>
                <w:b/>
                <w:sz w:val="20"/>
                <w:szCs w:val="20"/>
                <w:vertAlign w:val="superscript"/>
                <w:lang w:eastAsia="pt-BR"/>
              </w:rPr>
              <w:t>[1]</w:t>
            </w:r>
          </w:p>
        </w:tc>
        <w:tc>
          <w:tcPr>
            <w:tcW w:w="1133" w:type="dxa"/>
            <w:vAlign w:val="center"/>
          </w:tcPr>
          <w:p w14:paraId="5D9767C0" w14:textId="77777777" w:rsidR="00036149" w:rsidRPr="00EE0371" w:rsidRDefault="00036149" w:rsidP="00073259">
            <w:pPr>
              <w:spacing w:after="0" w:line="360" w:lineRule="auto"/>
              <w:jc w:val="center"/>
              <w:rPr>
                <w:rFonts w:ascii="Arial" w:hAnsi="Arial" w:cs="Arial"/>
                <w:sz w:val="20"/>
                <w:szCs w:val="20"/>
              </w:rPr>
            </w:pPr>
            <w:r w:rsidRPr="00EE0371">
              <w:rPr>
                <w:rFonts w:ascii="Arial" w:hAnsi="Arial" w:cs="Arial"/>
                <w:sz w:val="20"/>
                <w:szCs w:val="20"/>
              </w:rPr>
              <w:t>Caracter</w:t>
            </w:r>
          </w:p>
        </w:tc>
        <w:tc>
          <w:tcPr>
            <w:tcW w:w="1507" w:type="dxa"/>
            <w:vAlign w:val="center"/>
          </w:tcPr>
          <w:p w14:paraId="14741708" w14:textId="77777777" w:rsidR="00036149" w:rsidRPr="00EE0371" w:rsidRDefault="00036149" w:rsidP="00073259">
            <w:pPr>
              <w:spacing w:after="0" w:line="360" w:lineRule="auto"/>
              <w:jc w:val="center"/>
              <w:rPr>
                <w:rFonts w:ascii="Arial" w:hAnsi="Arial" w:cs="Arial"/>
                <w:sz w:val="20"/>
                <w:szCs w:val="20"/>
              </w:rPr>
            </w:pPr>
            <w:r w:rsidRPr="00EE0371">
              <w:rPr>
                <w:rFonts w:ascii="Arial" w:hAnsi="Arial" w:cs="Arial"/>
                <w:sz w:val="20"/>
                <w:szCs w:val="20"/>
              </w:rPr>
              <w:t>8</w:t>
            </w:r>
          </w:p>
        </w:tc>
        <w:tc>
          <w:tcPr>
            <w:tcW w:w="3016" w:type="dxa"/>
            <w:vAlign w:val="center"/>
          </w:tcPr>
          <w:p w14:paraId="44A43F0F" w14:textId="77777777" w:rsidR="00036149" w:rsidRPr="00EE0371" w:rsidRDefault="00036149" w:rsidP="00073259">
            <w:pPr>
              <w:spacing w:after="0" w:line="360" w:lineRule="auto"/>
              <w:rPr>
                <w:rFonts w:ascii="Arial" w:hAnsi="Arial" w:cs="Arial"/>
                <w:color w:val="000000"/>
                <w:sz w:val="20"/>
                <w:szCs w:val="20"/>
              </w:rPr>
            </w:pPr>
            <w:r w:rsidRPr="00EE0371">
              <w:rPr>
                <w:rFonts w:ascii="Arial" w:hAnsi="Arial" w:cs="Arial"/>
                <w:color w:val="000000"/>
                <w:sz w:val="20"/>
                <w:szCs w:val="20"/>
              </w:rPr>
              <w:t>Obrigatório</w:t>
            </w:r>
          </w:p>
        </w:tc>
      </w:tr>
      <w:tr w:rsidR="00036149" w:rsidRPr="00EE0371" w14:paraId="03FC6670" w14:textId="77777777" w:rsidTr="00073259">
        <w:trPr>
          <w:jc w:val="center"/>
        </w:trPr>
        <w:tc>
          <w:tcPr>
            <w:tcW w:w="3390" w:type="dxa"/>
            <w:vAlign w:val="center"/>
          </w:tcPr>
          <w:p w14:paraId="56A86A35" w14:textId="77777777" w:rsidR="00036149" w:rsidRPr="00EE0371" w:rsidRDefault="00036149" w:rsidP="00073259">
            <w:pPr>
              <w:spacing w:after="0" w:line="360" w:lineRule="auto"/>
              <w:jc w:val="both"/>
              <w:rPr>
                <w:rFonts w:ascii="Arial" w:hAnsi="Arial" w:cs="Arial"/>
                <w:sz w:val="20"/>
                <w:szCs w:val="20"/>
              </w:rPr>
            </w:pPr>
            <w:r w:rsidRPr="00EE0371">
              <w:rPr>
                <w:rFonts w:ascii="Arial" w:hAnsi="Arial" w:cs="Arial"/>
                <w:sz w:val="20"/>
                <w:szCs w:val="20"/>
              </w:rPr>
              <w:t xml:space="preserve">Ano da Lei Autorizativa </w:t>
            </w:r>
            <w:r w:rsidRPr="000D3464">
              <w:rPr>
                <w:rFonts w:ascii="Arial" w:hAnsi="Arial" w:cs="Arial"/>
                <w:b/>
                <w:sz w:val="20"/>
                <w:szCs w:val="20"/>
                <w:vertAlign w:val="superscript"/>
                <w:lang w:eastAsia="pt-BR"/>
              </w:rPr>
              <w:t>[1]</w:t>
            </w:r>
          </w:p>
        </w:tc>
        <w:tc>
          <w:tcPr>
            <w:tcW w:w="1133" w:type="dxa"/>
            <w:vAlign w:val="center"/>
          </w:tcPr>
          <w:p w14:paraId="15FF5C62" w14:textId="77777777" w:rsidR="00036149" w:rsidRPr="00EE0371" w:rsidRDefault="00036149" w:rsidP="00073259">
            <w:pPr>
              <w:spacing w:after="0" w:line="360" w:lineRule="auto"/>
              <w:jc w:val="center"/>
              <w:rPr>
                <w:rFonts w:ascii="Arial" w:hAnsi="Arial" w:cs="Arial"/>
                <w:sz w:val="20"/>
                <w:szCs w:val="20"/>
              </w:rPr>
            </w:pPr>
            <w:r w:rsidRPr="00EE0371">
              <w:rPr>
                <w:rFonts w:ascii="Arial" w:hAnsi="Arial" w:cs="Arial"/>
                <w:sz w:val="20"/>
                <w:szCs w:val="20"/>
              </w:rPr>
              <w:t>Inteiro</w:t>
            </w:r>
          </w:p>
        </w:tc>
        <w:tc>
          <w:tcPr>
            <w:tcW w:w="1507" w:type="dxa"/>
            <w:vAlign w:val="center"/>
          </w:tcPr>
          <w:p w14:paraId="0087C903" w14:textId="77777777" w:rsidR="00036149" w:rsidRPr="00EE0371" w:rsidRDefault="00036149" w:rsidP="00073259">
            <w:pPr>
              <w:spacing w:after="0" w:line="360" w:lineRule="auto"/>
              <w:jc w:val="center"/>
              <w:rPr>
                <w:rFonts w:ascii="Arial" w:hAnsi="Arial" w:cs="Arial"/>
                <w:sz w:val="20"/>
                <w:szCs w:val="20"/>
              </w:rPr>
            </w:pPr>
            <w:r w:rsidRPr="00EE0371">
              <w:rPr>
                <w:rFonts w:ascii="Arial" w:hAnsi="Arial" w:cs="Arial"/>
                <w:sz w:val="20"/>
                <w:szCs w:val="20"/>
              </w:rPr>
              <w:t>4</w:t>
            </w:r>
          </w:p>
        </w:tc>
        <w:tc>
          <w:tcPr>
            <w:tcW w:w="3016" w:type="dxa"/>
            <w:vAlign w:val="center"/>
          </w:tcPr>
          <w:p w14:paraId="74372E69" w14:textId="77777777" w:rsidR="00036149" w:rsidRPr="00EE0371" w:rsidRDefault="00036149" w:rsidP="00073259">
            <w:pPr>
              <w:spacing w:after="0" w:line="360" w:lineRule="auto"/>
              <w:rPr>
                <w:rFonts w:ascii="Arial" w:hAnsi="Arial" w:cs="Arial"/>
                <w:sz w:val="20"/>
                <w:szCs w:val="20"/>
              </w:rPr>
            </w:pPr>
            <w:r w:rsidRPr="00EE0371">
              <w:rPr>
                <w:rFonts w:ascii="Arial" w:hAnsi="Arial" w:cs="Arial"/>
                <w:sz w:val="20"/>
                <w:szCs w:val="20"/>
              </w:rPr>
              <w:t>Obrigatório, AAAA</w:t>
            </w:r>
          </w:p>
        </w:tc>
      </w:tr>
      <w:tr w:rsidR="00036149" w:rsidRPr="00EE0371" w14:paraId="48C72E1A" w14:textId="77777777" w:rsidTr="00073259">
        <w:trPr>
          <w:jc w:val="center"/>
        </w:trPr>
        <w:tc>
          <w:tcPr>
            <w:tcW w:w="3390" w:type="dxa"/>
            <w:vAlign w:val="center"/>
          </w:tcPr>
          <w:p w14:paraId="04F2921C" w14:textId="77777777" w:rsidR="00036149" w:rsidRPr="00EE0371" w:rsidRDefault="00036149" w:rsidP="00073259">
            <w:pPr>
              <w:spacing w:after="0" w:line="360" w:lineRule="auto"/>
              <w:jc w:val="both"/>
              <w:rPr>
                <w:rFonts w:ascii="Arial" w:hAnsi="Arial" w:cs="Arial"/>
                <w:sz w:val="20"/>
                <w:szCs w:val="20"/>
              </w:rPr>
            </w:pPr>
            <w:r w:rsidRPr="00EE0371">
              <w:rPr>
                <w:rFonts w:ascii="Arial" w:hAnsi="Arial" w:cs="Arial"/>
                <w:sz w:val="20"/>
                <w:szCs w:val="20"/>
              </w:rPr>
              <w:t xml:space="preserve">Data de Publicação da Lei Autorizativa </w:t>
            </w:r>
            <w:r w:rsidRPr="000D3464">
              <w:rPr>
                <w:rFonts w:ascii="Arial" w:hAnsi="Arial" w:cs="Arial"/>
                <w:b/>
                <w:sz w:val="20"/>
                <w:szCs w:val="20"/>
                <w:vertAlign w:val="superscript"/>
                <w:lang w:eastAsia="pt-BR"/>
              </w:rPr>
              <w:t>[1]</w:t>
            </w:r>
          </w:p>
        </w:tc>
        <w:tc>
          <w:tcPr>
            <w:tcW w:w="1133" w:type="dxa"/>
            <w:vAlign w:val="center"/>
          </w:tcPr>
          <w:p w14:paraId="68DBF138" w14:textId="77777777" w:rsidR="00036149" w:rsidRPr="00EE0371" w:rsidRDefault="00036149" w:rsidP="00073259">
            <w:pPr>
              <w:spacing w:after="0" w:line="360" w:lineRule="auto"/>
              <w:jc w:val="center"/>
              <w:rPr>
                <w:rFonts w:ascii="Arial" w:hAnsi="Arial" w:cs="Arial"/>
                <w:sz w:val="20"/>
                <w:szCs w:val="20"/>
              </w:rPr>
            </w:pPr>
            <w:r w:rsidRPr="00EE0371">
              <w:rPr>
                <w:rFonts w:ascii="Arial" w:hAnsi="Arial" w:cs="Arial"/>
                <w:sz w:val="20"/>
                <w:szCs w:val="20"/>
              </w:rPr>
              <w:t>Data</w:t>
            </w:r>
          </w:p>
        </w:tc>
        <w:tc>
          <w:tcPr>
            <w:tcW w:w="1507" w:type="dxa"/>
            <w:vAlign w:val="center"/>
          </w:tcPr>
          <w:p w14:paraId="58C1E242" w14:textId="77777777" w:rsidR="00036149" w:rsidRPr="00EE0371" w:rsidRDefault="00036149" w:rsidP="00073259">
            <w:pPr>
              <w:spacing w:after="0" w:line="360" w:lineRule="auto"/>
              <w:jc w:val="center"/>
              <w:rPr>
                <w:rFonts w:ascii="Arial" w:hAnsi="Arial" w:cs="Arial"/>
                <w:sz w:val="20"/>
                <w:szCs w:val="20"/>
              </w:rPr>
            </w:pPr>
            <w:r w:rsidRPr="00EE0371">
              <w:rPr>
                <w:rFonts w:ascii="Arial" w:hAnsi="Arial" w:cs="Arial"/>
                <w:sz w:val="20"/>
                <w:szCs w:val="20"/>
              </w:rPr>
              <w:t>10</w:t>
            </w:r>
          </w:p>
        </w:tc>
        <w:tc>
          <w:tcPr>
            <w:tcW w:w="3016" w:type="dxa"/>
            <w:vAlign w:val="center"/>
          </w:tcPr>
          <w:p w14:paraId="2111F3EA" w14:textId="77777777" w:rsidR="00036149" w:rsidRPr="00EE0371" w:rsidRDefault="00036149" w:rsidP="00073259">
            <w:pPr>
              <w:spacing w:after="0" w:line="360" w:lineRule="auto"/>
              <w:rPr>
                <w:rFonts w:ascii="Arial" w:hAnsi="Arial" w:cs="Arial"/>
                <w:sz w:val="20"/>
                <w:szCs w:val="20"/>
              </w:rPr>
            </w:pPr>
            <w:r w:rsidRPr="00EE0371">
              <w:rPr>
                <w:rFonts w:ascii="Arial" w:hAnsi="Arial" w:cs="Arial"/>
                <w:sz w:val="20"/>
                <w:szCs w:val="20"/>
              </w:rPr>
              <w:t xml:space="preserve">Obrigatório, </w:t>
            </w:r>
            <w:r w:rsidRPr="00EE0371">
              <w:rPr>
                <w:rFonts w:ascii="Arial" w:hAnsi="Arial" w:cs="Arial"/>
              </w:rPr>
              <w:t>AAAA-MM-DD</w:t>
            </w:r>
          </w:p>
        </w:tc>
      </w:tr>
      <w:tr w:rsidR="00036149" w:rsidRPr="00EE0371" w14:paraId="43F87F59" w14:textId="77777777" w:rsidTr="00073259">
        <w:trPr>
          <w:jc w:val="center"/>
        </w:trPr>
        <w:tc>
          <w:tcPr>
            <w:tcW w:w="3390" w:type="dxa"/>
            <w:vAlign w:val="center"/>
          </w:tcPr>
          <w:p w14:paraId="1C4069F9" w14:textId="77777777" w:rsidR="00036149" w:rsidRPr="00EE0371" w:rsidRDefault="00036149" w:rsidP="00073259">
            <w:pPr>
              <w:spacing w:after="0" w:line="360" w:lineRule="auto"/>
              <w:jc w:val="both"/>
              <w:rPr>
                <w:rFonts w:ascii="Arial" w:hAnsi="Arial" w:cs="Arial"/>
                <w:sz w:val="20"/>
                <w:szCs w:val="20"/>
              </w:rPr>
            </w:pPr>
            <w:r w:rsidRPr="00EE0371">
              <w:rPr>
                <w:rFonts w:ascii="Arial" w:hAnsi="Arial" w:cs="Arial"/>
                <w:sz w:val="20"/>
                <w:szCs w:val="20"/>
              </w:rPr>
              <w:t>Tipo da Lei Autorizativa</w:t>
            </w:r>
            <w:r>
              <w:rPr>
                <w:rFonts w:ascii="Arial" w:hAnsi="Arial" w:cs="Arial"/>
                <w:sz w:val="20"/>
                <w:szCs w:val="20"/>
              </w:rPr>
              <w:t xml:space="preserve"> </w:t>
            </w:r>
            <w:r w:rsidRPr="00E675D7">
              <w:rPr>
                <w:rFonts w:ascii="Arial" w:hAnsi="Arial" w:cs="Arial"/>
                <w:b/>
                <w:color w:val="0070C0"/>
                <w:sz w:val="20"/>
                <w:szCs w:val="20"/>
                <w:vertAlign w:val="superscript"/>
                <w:lang w:eastAsia="pt-BR"/>
              </w:rPr>
              <w:t>[1]</w:t>
            </w:r>
          </w:p>
        </w:tc>
        <w:tc>
          <w:tcPr>
            <w:tcW w:w="1133" w:type="dxa"/>
            <w:vAlign w:val="center"/>
          </w:tcPr>
          <w:p w14:paraId="6E2E36B8" w14:textId="77777777" w:rsidR="00036149" w:rsidRPr="00EE0371" w:rsidRDefault="00036149" w:rsidP="00073259">
            <w:pPr>
              <w:spacing w:after="0" w:line="360" w:lineRule="auto"/>
              <w:jc w:val="center"/>
              <w:rPr>
                <w:rFonts w:ascii="Arial" w:hAnsi="Arial" w:cs="Arial"/>
                <w:sz w:val="20"/>
                <w:szCs w:val="20"/>
              </w:rPr>
            </w:pPr>
            <w:r w:rsidRPr="00EE0371">
              <w:rPr>
                <w:rFonts w:ascii="Arial" w:hAnsi="Arial" w:cs="Arial"/>
                <w:sz w:val="20"/>
                <w:szCs w:val="20"/>
              </w:rPr>
              <w:t>Inteiro</w:t>
            </w:r>
          </w:p>
        </w:tc>
        <w:tc>
          <w:tcPr>
            <w:tcW w:w="1507" w:type="dxa"/>
            <w:vAlign w:val="center"/>
          </w:tcPr>
          <w:p w14:paraId="7DF612B2" w14:textId="77777777" w:rsidR="00036149" w:rsidRPr="00EE0371" w:rsidRDefault="00036149" w:rsidP="00073259">
            <w:pPr>
              <w:spacing w:after="0" w:line="360" w:lineRule="auto"/>
              <w:jc w:val="center"/>
              <w:rPr>
                <w:rFonts w:ascii="Arial" w:hAnsi="Arial" w:cs="Arial"/>
                <w:sz w:val="20"/>
                <w:szCs w:val="20"/>
              </w:rPr>
            </w:pPr>
            <w:r w:rsidRPr="00EE0371">
              <w:rPr>
                <w:rFonts w:ascii="Arial" w:hAnsi="Arial" w:cs="Arial"/>
                <w:sz w:val="20"/>
                <w:szCs w:val="20"/>
              </w:rPr>
              <w:t>1</w:t>
            </w:r>
          </w:p>
        </w:tc>
        <w:tc>
          <w:tcPr>
            <w:tcW w:w="3016" w:type="dxa"/>
            <w:vAlign w:val="center"/>
          </w:tcPr>
          <w:p w14:paraId="64383F8E" w14:textId="77777777" w:rsidR="00036149" w:rsidRPr="004136CD" w:rsidRDefault="00036149" w:rsidP="00073259">
            <w:pPr>
              <w:spacing w:after="0" w:line="360" w:lineRule="auto"/>
              <w:rPr>
                <w:rFonts w:ascii="Arial" w:hAnsi="Arial" w:cs="Arial"/>
                <w:b/>
                <w:bCs/>
                <w:color w:val="0070C0"/>
                <w:sz w:val="20"/>
                <w:szCs w:val="20"/>
              </w:rPr>
            </w:pPr>
            <w:r w:rsidRPr="00EE0371">
              <w:rPr>
                <w:rFonts w:ascii="Arial" w:hAnsi="Arial" w:cs="Arial"/>
                <w:sz w:val="20"/>
                <w:szCs w:val="20"/>
              </w:rPr>
              <w:t>Obrigatório</w:t>
            </w:r>
            <w:r>
              <w:rPr>
                <w:rFonts w:ascii="Arial" w:hAnsi="Arial" w:cs="Arial"/>
                <w:sz w:val="20"/>
                <w:szCs w:val="20"/>
              </w:rPr>
              <w:t xml:space="preserve"> </w:t>
            </w:r>
            <w:r w:rsidRPr="004136CD">
              <w:rPr>
                <w:rFonts w:ascii="Arial" w:hAnsi="Arial" w:cs="Arial"/>
                <w:b/>
                <w:bCs/>
                <w:color w:val="0070C0"/>
                <w:sz w:val="20"/>
                <w:szCs w:val="20"/>
              </w:rPr>
              <w:t>se Tipo de Crédito Adicional for diferente de 3 - Extraordinário</w:t>
            </w:r>
          </w:p>
          <w:p w14:paraId="5CEB2564" w14:textId="77777777" w:rsidR="00036149" w:rsidRPr="00EE0371" w:rsidRDefault="00036149" w:rsidP="00073259">
            <w:pPr>
              <w:spacing w:after="0" w:line="360" w:lineRule="auto"/>
              <w:rPr>
                <w:rFonts w:ascii="Arial" w:hAnsi="Arial" w:cs="Arial"/>
                <w:sz w:val="20"/>
                <w:szCs w:val="20"/>
              </w:rPr>
            </w:pPr>
            <w:r w:rsidRPr="00EE0371">
              <w:rPr>
                <w:rFonts w:ascii="Arial" w:hAnsi="Arial" w:cs="Arial"/>
                <w:sz w:val="20"/>
                <w:szCs w:val="20"/>
              </w:rPr>
              <w:t>1 – LOA</w:t>
            </w:r>
          </w:p>
          <w:p w14:paraId="4406625E" w14:textId="77777777" w:rsidR="00036149" w:rsidRPr="00EE0371" w:rsidRDefault="00036149" w:rsidP="00073259">
            <w:pPr>
              <w:spacing w:after="0" w:line="360" w:lineRule="auto"/>
              <w:rPr>
                <w:rFonts w:ascii="Arial" w:hAnsi="Arial" w:cs="Arial"/>
                <w:sz w:val="20"/>
                <w:szCs w:val="20"/>
              </w:rPr>
            </w:pPr>
            <w:r w:rsidRPr="00EE0371">
              <w:rPr>
                <w:rFonts w:ascii="Arial" w:hAnsi="Arial" w:cs="Arial"/>
                <w:sz w:val="20"/>
                <w:szCs w:val="20"/>
              </w:rPr>
              <w:t>2 – Lei Específica</w:t>
            </w:r>
          </w:p>
        </w:tc>
      </w:tr>
      <w:tr w:rsidR="00036149" w:rsidRPr="00EE0371" w14:paraId="2E0C2341" w14:textId="77777777" w:rsidTr="00073259">
        <w:trPr>
          <w:jc w:val="center"/>
        </w:trPr>
        <w:tc>
          <w:tcPr>
            <w:tcW w:w="3390" w:type="dxa"/>
            <w:vAlign w:val="center"/>
          </w:tcPr>
          <w:p w14:paraId="2F3A52F3" w14:textId="77777777" w:rsidR="00036149" w:rsidRPr="00EE0371" w:rsidRDefault="00036149" w:rsidP="00073259">
            <w:pPr>
              <w:spacing w:after="0" w:line="360" w:lineRule="auto"/>
              <w:jc w:val="both"/>
              <w:rPr>
                <w:rFonts w:ascii="Arial" w:hAnsi="Arial" w:cs="Arial"/>
                <w:sz w:val="20"/>
                <w:szCs w:val="20"/>
              </w:rPr>
            </w:pPr>
            <w:r w:rsidRPr="00EE0371">
              <w:rPr>
                <w:rFonts w:ascii="Arial" w:hAnsi="Arial" w:cs="Arial"/>
                <w:sz w:val="20"/>
                <w:szCs w:val="20"/>
              </w:rPr>
              <w:t xml:space="preserve">Dispositivo Legal Abertura Crédito Adicional (Artigo, §, inciso) </w:t>
            </w:r>
            <w:r w:rsidRPr="000D3464">
              <w:rPr>
                <w:rFonts w:ascii="Arial" w:hAnsi="Arial" w:cs="Arial"/>
                <w:b/>
                <w:sz w:val="20"/>
                <w:szCs w:val="20"/>
                <w:vertAlign w:val="superscript"/>
                <w:lang w:eastAsia="pt-BR"/>
              </w:rPr>
              <w:t>[2]</w:t>
            </w:r>
          </w:p>
        </w:tc>
        <w:tc>
          <w:tcPr>
            <w:tcW w:w="1133" w:type="dxa"/>
            <w:vAlign w:val="center"/>
          </w:tcPr>
          <w:p w14:paraId="6B8CF10B" w14:textId="77777777" w:rsidR="00036149" w:rsidRPr="00EE0371" w:rsidRDefault="00036149" w:rsidP="00073259">
            <w:pPr>
              <w:spacing w:after="0" w:line="360" w:lineRule="auto"/>
              <w:jc w:val="center"/>
              <w:rPr>
                <w:rFonts w:ascii="Arial" w:hAnsi="Arial" w:cs="Arial"/>
                <w:sz w:val="20"/>
                <w:szCs w:val="20"/>
              </w:rPr>
            </w:pPr>
            <w:r w:rsidRPr="00EE0371">
              <w:rPr>
                <w:rFonts w:ascii="Arial" w:hAnsi="Arial" w:cs="Arial"/>
                <w:sz w:val="20"/>
                <w:szCs w:val="20"/>
              </w:rPr>
              <w:t>Caracter</w:t>
            </w:r>
          </w:p>
        </w:tc>
        <w:tc>
          <w:tcPr>
            <w:tcW w:w="1507" w:type="dxa"/>
            <w:vAlign w:val="center"/>
          </w:tcPr>
          <w:p w14:paraId="190818C0" w14:textId="77777777" w:rsidR="00036149" w:rsidRPr="00EE0371" w:rsidRDefault="00036149" w:rsidP="00073259">
            <w:pPr>
              <w:spacing w:after="0" w:line="360" w:lineRule="auto"/>
              <w:jc w:val="center"/>
              <w:rPr>
                <w:rFonts w:ascii="Arial" w:hAnsi="Arial" w:cs="Arial"/>
                <w:sz w:val="20"/>
                <w:szCs w:val="20"/>
              </w:rPr>
            </w:pPr>
            <w:r w:rsidRPr="00EE0371">
              <w:rPr>
                <w:rFonts w:ascii="Arial" w:hAnsi="Arial" w:cs="Arial"/>
                <w:sz w:val="20"/>
                <w:szCs w:val="20"/>
              </w:rPr>
              <w:t>50</w:t>
            </w:r>
          </w:p>
        </w:tc>
        <w:tc>
          <w:tcPr>
            <w:tcW w:w="3016" w:type="dxa"/>
            <w:vAlign w:val="center"/>
          </w:tcPr>
          <w:p w14:paraId="66AA4B00" w14:textId="77777777" w:rsidR="00036149" w:rsidRPr="00EE0371" w:rsidRDefault="00036149" w:rsidP="00073259">
            <w:pPr>
              <w:spacing w:after="0" w:line="360" w:lineRule="auto"/>
              <w:rPr>
                <w:rFonts w:ascii="Arial" w:hAnsi="Arial" w:cs="Arial"/>
                <w:sz w:val="20"/>
                <w:szCs w:val="20"/>
              </w:rPr>
            </w:pPr>
            <w:r w:rsidRPr="00EE0371">
              <w:rPr>
                <w:rFonts w:ascii="Arial" w:hAnsi="Arial" w:cs="Arial"/>
                <w:sz w:val="20"/>
                <w:szCs w:val="20"/>
              </w:rPr>
              <w:t>Obrigatório,</w:t>
            </w:r>
            <w:r w:rsidRPr="00EE0371">
              <w:rPr>
                <w:rFonts w:ascii="Arial" w:hAnsi="Arial" w:cs="Arial"/>
                <w:sz w:val="20"/>
                <w:szCs w:val="20"/>
              </w:rPr>
              <w:br/>
              <w:t>para campo "Tipo da Lei" = 1</w:t>
            </w:r>
          </w:p>
        </w:tc>
      </w:tr>
      <w:tr w:rsidR="00036149" w:rsidRPr="00EE0371" w14:paraId="29752C0B" w14:textId="77777777" w:rsidTr="00073259">
        <w:trPr>
          <w:jc w:val="center"/>
        </w:trPr>
        <w:tc>
          <w:tcPr>
            <w:tcW w:w="3390" w:type="dxa"/>
            <w:vAlign w:val="center"/>
          </w:tcPr>
          <w:p w14:paraId="22B14FCE" w14:textId="77777777" w:rsidR="00036149" w:rsidRPr="00EE0371" w:rsidRDefault="00036149" w:rsidP="00073259">
            <w:pPr>
              <w:spacing w:after="0" w:line="360" w:lineRule="auto"/>
              <w:jc w:val="both"/>
              <w:rPr>
                <w:rFonts w:ascii="Arial" w:hAnsi="Arial" w:cs="Arial"/>
                <w:sz w:val="20"/>
                <w:szCs w:val="20"/>
              </w:rPr>
            </w:pPr>
            <w:r w:rsidRPr="00EE0371">
              <w:rPr>
                <w:rFonts w:ascii="Arial" w:hAnsi="Arial" w:cs="Arial"/>
                <w:sz w:val="20"/>
                <w:szCs w:val="20"/>
              </w:rPr>
              <w:t xml:space="preserve">Valor Fixado para Abertura de Crédito Adicional </w:t>
            </w:r>
            <w:r w:rsidRPr="000D3464">
              <w:rPr>
                <w:rFonts w:ascii="Arial" w:hAnsi="Arial" w:cs="Arial"/>
                <w:b/>
                <w:sz w:val="20"/>
                <w:szCs w:val="20"/>
                <w:vertAlign w:val="superscript"/>
                <w:lang w:eastAsia="pt-BR"/>
              </w:rPr>
              <w:t>[3]</w:t>
            </w:r>
          </w:p>
        </w:tc>
        <w:tc>
          <w:tcPr>
            <w:tcW w:w="1133" w:type="dxa"/>
            <w:vAlign w:val="center"/>
          </w:tcPr>
          <w:p w14:paraId="074F477D" w14:textId="77777777" w:rsidR="00036149" w:rsidRPr="00EE0371" w:rsidRDefault="00036149" w:rsidP="00073259">
            <w:pPr>
              <w:spacing w:after="0" w:line="360" w:lineRule="auto"/>
              <w:jc w:val="center"/>
              <w:rPr>
                <w:rFonts w:ascii="Arial" w:hAnsi="Arial" w:cs="Arial"/>
                <w:sz w:val="20"/>
                <w:szCs w:val="20"/>
              </w:rPr>
            </w:pPr>
            <w:r w:rsidRPr="00EE0371">
              <w:rPr>
                <w:rFonts w:ascii="Arial" w:hAnsi="Arial" w:cs="Arial"/>
                <w:sz w:val="20"/>
                <w:szCs w:val="20"/>
              </w:rPr>
              <w:t>Decimal</w:t>
            </w:r>
          </w:p>
        </w:tc>
        <w:tc>
          <w:tcPr>
            <w:tcW w:w="1507" w:type="dxa"/>
            <w:vAlign w:val="center"/>
          </w:tcPr>
          <w:p w14:paraId="07763BFD" w14:textId="77777777" w:rsidR="00036149" w:rsidRPr="00EE0371" w:rsidRDefault="00036149" w:rsidP="00073259">
            <w:pPr>
              <w:spacing w:after="0" w:line="360" w:lineRule="auto"/>
              <w:jc w:val="center"/>
              <w:rPr>
                <w:rFonts w:ascii="Arial" w:hAnsi="Arial" w:cs="Arial"/>
                <w:sz w:val="20"/>
                <w:szCs w:val="20"/>
              </w:rPr>
            </w:pPr>
            <w:r w:rsidRPr="00EE0371">
              <w:rPr>
                <w:rFonts w:ascii="Arial" w:hAnsi="Arial" w:cs="Arial"/>
                <w:sz w:val="20"/>
                <w:szCs w:val="20"/>
              </w:rPr>
              <w:t>14,2</w:t>
            </w:r>
          </w:p>
        </w:tc>
        <w:tc>
          <w:tcPr>
            <w:tcW w:w="3016" w:type="dxa"/>
            <w:vAlign w:val="center"/>
          </w:tcPr>
          <w:p w14:paraId="5DE80784" w14:textId="77777777" w:rsidR="00036149" w:rsidRPr="00EE0371" w:rsidRDefault="00036149" w:rsidP="00073259">
            <w:pPr>
              <w:spacing w:after="0" w:line="360" w:lineRule="auto"/>
              <w:rPr>
                <w:rFonts w:ascii="Arial" w:hAnsi="Arial" w:cs="Arial"/>
                <w:sz w:val="20"/>
                <w:szCs w:val="20"/>
              </w:rPr>
            </w:pPr>
            <w:r w:rsidRPr="00EE0371">
              <w:rPr>
                <w:rFonts w:ascii="Arial" w:hAnsi="Arial" w:cs="Arial"/>
                <w:sz w:val="20"/>
                <w:szCs w:val="20"/>
              </w:rPr>
              <w:t>Obrigatório,</w:t>
            </w:r>
            <w:r w:rsidRPr="00EE0371">
              <w:rPr>
                <w:rFonts w:ascii="Arial" w:hAnsi="Arial" w:cs="Arial"/>
                <w:sz w:val="20"/>
                <w:szCs w:val="20"/>
              </w:rPr>
              <w:br/>
              <w:t>para campo "Tipo da Lei" = 1</w:t>
            </w:r>
          </w:p>
        </w:tc>
      </w:tr>
      <w:tr w:rsidR="00036149" w:rsidRPr="00EE0371" w14:paraId="74BCA3B0" w14:textId="77777777" w:rsidTr="00073259">
        <w:trPr>
          <w:jc w:val="center"/>
        </w:trPr>
        <w:tc>
          <w:tcPr>
            <w:tcW w:w="3390" w:type="dxa"/>
            <w:vAlign w:val="center"/>
          </w:tcPr>
          <w:p w14:paraId="0F277AB7" w14:textId="77777777" w:rsidR="00036149" w:rsidRPr="00EE0371" w:rsidRDefault="00036149" w:rsidP="00073259">
            <w:pPr>
              <w:spacing w:after="0" w:line="360" w:lineRule="auto"/>
              <w:jc w:val="both"/>
              <w:rPr>
                <w:rFonts w:ascii="Arial" w:hAnsi="Arial" w:cs="Arial"/>
                <w:sz w:val="20"/>
                <w:szCs w:val="20"/>
              </w:rPr>
            </w:pPr>
            <w:r w:rsidRPr="00EE0371">
              <w:rPr>
                <w:rFonts w:ascii="Arial" w:hAnsi="Arial" w:cs="Arial"/>
                <w:sz w:val="20"/>
                <w:szCs w:val="20"/>
              </w:rPr>
              <w:t xml:space="preserve">Número do Ato Oficial </w:t>
            </w:r>
          </w:p>
        </w:tc>
        <w:tc>
          <w:tcPr>
            <w:tcW w:w="1133" w:type="dxa"/>
            <w:vAlign w:val="center"/>
          </w:tcPr>
          <w:p w14:paraId="789B745A" w14:textId="77777777" w:rsidR="00036149" w:rsidRPr="00EE0371" w:rsidRDefault="00036149" w:rsidP="00073259">
            <w:pPr>
              <w:spacing w:after="0" w:line="360" w:lineRule="auto"/>
              <w:jc w:val="center"/>
              <w:rPr>
                <w:rFonts w:ascii="Arial" w:hAnsi="Arial" w:cs="Arial"/>
                <w:sz w:val="20"/>
                <w:szCs w:val="20"/>
              </w:rPr>
            </w:pPr>
            <w:r w:rsidRPr="00EE0371">
              <w:rPr>
                <w:rFonts w:ascii="Arial" w:hAnsi="Arial" w:cs="Arial"/>
                <w:sz w:val="20"/>
                <w:szCs w:val="20"/>
              </w:rPr>
              <w:t>Caracter</w:t>
            </w:r>
          </w:p>
        </w:tc>
        <w:tc>
          <w:tcPr>
            <w:tcW w:w="1507" w:type="dxa"/>
            <w:vAlign w:val="center"/>
          </w:tcPr>
          <w:p w14:paraId="7ECB9189" w14:textId="77777777" w:rsidR="00036149" w:rsidRPr="00EE0371" w:rsidRDefault="00036149" w:rsidP="00073259">
            <w:pPr>
              <w:spacing w:after="0" w:line="360" w:lineRule="auto"/>
              <w:jc w:val="center"/>
              <w:rPr>
                <w:rFonts w:ascii="Arial" w:hAnsi="Arial" w:cs="Arial"/>
                <w:sz w:val="20"/>
                <w:szCs w:val="20"/>
              </w:rPr>
            </w:pPr>
            <w:r w:rsidRPr="00EE0371">
              <w:rPr>
                <w:rFonts w:ascii="Arial" w:hAnsi="Arial" w:cs="Arial"/>
                <w:sz w:val="20"/>
                <w:szCs w:val="20"/>
              </w:rPr>
              <w:t>8</w:t>
            </w:r>
          </w:p>
        </w:tc>
        <w:tc>
          <w:tcPr>
            <w:tcW w:w="3016" w:type="dxa"/>
            <w:vAlign w:val="center"/>
          </w:tcPr>
          <w:p w14:paraId="629B23E3" w14:textId="77777777" w:rsidR="00036149" w:rsidRPr="00EE0371" w:rsidRDefault="00036149" w:rsidP="00073259">
            <w:pPr>
              <w:spacing w:after="0" w:line="360" w:lineRule="auto"/>
              <w:rPr>
                <w:rFonts w:ascii="Arial" w:hAnsi="Arial" w:cs="Arial"/>
                <w:color w:val="000000"/>
                <w:sz w:val="20"/>
                <w:szCs w:val="20"/>
              </w:rPr>
            </w:pPr>
            <w:r w:rsidRPr="00EE0371">
              <w:rPr>
                <w:rFonts w:ascii="Arial" w:hAnsi="Arial" w:cs="Arial"/>
                <w:color w:val="000000"/>
                <w:sz w:val="20"/>
                <w:szCs w:val="20"/>
              </w:rPr>
              <w:t>Obrigatório</w:t>
            </w:r>
          </w:p>
        </w:tc>
      </w:tr>
      <w:tr w:rsidR="00036149" w:rsidRPr="00EE0371" w14:paraId="09E644A9" w14:textId="77777777" w:rsidTr="00073259">
        <w:trPr>
          <w:jc w:val="center"/>
        </w:trPr>
        <w:tc>
          <w:tcPr>
            <w:tcW w:w="3390" w:type="dxa"/>
            <w:vAlign w:val="center"/>
          </w:tcPr>
          <w:p w14:paraId="03E08A2E" w14:textId="77777777" w:rsidR="00036149" w:rsidRPr="00EE0371" w:rsidRDefault="00036149" w:rsidP="00073259">
            <w:pPr>
              <w:spacing w:after="0" w:line="360" w:lineRule="auto"/>
              <w:jc w:val="both"/>
              <w:rPr>
                <w:rFonts w:ascii="Arial" w:hAnsi="Arial" w:cs="Arial"/>
                <w:sz w:val="20"/>
                <w:szCs w:val="20"/>
              </w:rPr>
            </w:pPr>
            <w:r w:rsidRPr="00EE0371">
              <w:rPr>
                <w:rFonts w:ascii="Arial" w:hAnsi="Arial" w:cs="Arial"/>
                <w:sz w:val="20"/>
                <w:szCs w:val="20"/>
              </w:rPr>
              <w:t>Ano do Ato Oficial</w:t>
            </w:r>
          </w:p>
        </w:tc>
        <w:tc>
          <w:tcPr>
            <w:tcW w:w="1133" w:type="dxa"/>
            <w:vAlign w:val="center"/>
          </w:tcPr>
          <w:p w14:paraId="5821C846" w14:textId="77777777" w:rsidR="00036149" w:rsidRPr="00EE0371" w:rsidRDefault="00036149" w:rsidP="00073259">
            <w:pPr>
              <w:spacing w:after="0" w:line="360" w:lineRule="auto"/>
              <w:jc w:val="center"/>
              <w:rPr>
                <w:rFonts w:ascii="Arial" w:hAnsi="Arial" w:cs="Arial"/>
                <w:sz w:val="20"/>
                <w:szCs w:val="20"/>
              </w:rPr>
            </w:pPr>
            <w:r w:rsidRPr="00EE0371">
              <w:rPr>
                <w:rFonts w:ascii="Arial" w:hAnsi="Arial" w:cs="Arial"/>
                <w:sz w:val="20"/>
                <w:szCs w:val="20"/>
              </w:rPr>
              <w:t>Inteiro</w:t>
            </w:r>
          </w:p>
        </w:tc>
        <w:tc>
          <w:tcPr>
            <w:tcW w:w="1507" w:type="dxa"/>
            <w:vAlign w:val="center"/>
          </w:tcPr>
          <w:p w14:paraId="230CFCCC" w14:textId="77777777" w:rsidR="00036149" w:rsidRPr="00EE0371" w:rsidRDefault="00036149" w:rsidP="00073259">
            <w:pPr>
              <w:spacing w:after="0" w:line="360" w:lineRule="auto"/>
              <w:jc w:val="center"/>
              <w:rPr>
                <w:rFonts w:ascii="Arial" w:hAnsi="Arial" w:cs="Arial"/>
                <w:sz w:val="20"/>
                <w:szCs w:val="20"/>
              </w:rPr>
            </w:pPr>
            <w:r w:rsidRPr="00EE0371">
              <w:rPr>
                <w:rFonts w:ascii="Arial" w:hAnsi="Arial" w:cs="Arial"/>
                <w:sz w:val="20"/>
                <w:szCs w:val="20"/>
              </w:rPr>
              <w:t>4</w:t>
            </w:r>
          </w:p>
        </w:tc>
        <w:tc>
          <w:tcPr>
            <w:tcW w:w="3016" w:type="dxa"/>
            <w:vAlign w:val="center"/>
          </w:tcPr>
          <w:p w14:paraId="444AF002" w14:textId="77777777" w:rsidR="00036149" w:rsidRPr="00EE0371" w:rsidRDefault="00036149" w:rsidP="00073259">
            <w:pPr>
              <w:spacing w:after="0" w:line="360" w:lineRule="auto"/>
              <w:rPr>
                <w:rFonts w:ascii="Arial" w:hAnsi="Arial" w:cs="Arial"/>
                <w:sz w:val="20"/>
                <w:szCs w:val="20"/>
              </w:rPr>
            </w:pPr>
            <w:r w:rsidRPr="00EE0371">
              <w:rPr>
                <w:rFonts w:ascii="Arial" w:hAnsi="Arial" w:cs="Arial"/>
                <w:sz w:val="20"/>
                <w:szCs w:val="20"/>
              </w:rPr>
              <w:t>Obrigatório, AAAA</w:t>
            </w:r>
          </w:p>
        </w:tc>
      </w:tr>
      <w:tr w:rsidR="00036149" w:rsidRPr="00EE0371" w14:paraId="3F421E9B" w14:textId="77777777" w:rsidTr="00073259">
        <w:trPr>
          <w:jc w:val="center"/>
        </w:trPr>
        <w:tc>
          <w:tcPr>
            <w:tcW w:w="3390" w:type="dxa"/>
            <w:vAlign w:val="center"/>
          </w:tcPr>
          <w:p w14:paraId="61E4C941" w14:textId="77777777" w:rsidR="00036149" w:rsidRPr="00EE0371" w:rsidRDefault="00036149" w:rsidP="00073259">
            <w:pPr>
              <w:spacing w:after="0" w:line="360" w:lineRule="auto"/>
              <w:jc w:val="both"/>
              <w:rPr>
                <w:rFonts w:ascii="Arial" w:hAnsi="Arial" w:cs="Arial"/>
                <w:sz w:val="20"/>
                <w:szCs w:val="20"/>
              </w:rPr>
            </w:pPr>
            <w:r w:rsidRPr="00EE0371">
              <w:rPr>
                <w:rFonts w:ascii="Arial" w:hAnsi="Arial" w:cs="Arial"/>
                <w:sz w:val="20"/>
                <w:szCs w:val="20"/>
              </w:rPr>
              <w:t>Data de Publicação do Ato Oficial</w:t>
            </w:r>
          </w:p>
        </w:tc>
        <w:tc>
          <w:tcPr>
            <w:tcW w:w="1133" w:type="dxa"/>
            <w:vAlign w:val="center"/>
          </w:tcPr>
          <w:p w14:paraId="2109B5DB" w14:textId="77777777" w:rsidR="00036149" w:rsidRPr="00EE0371" w:rsidRDefault="00036149" w:rsidP="00073259">
            <w:pPr>
              <w:spacing w:after="0" w:line="360" w:lineRule="auto"/>
              <w:jc w:val="center"/>
              <w:rPr>
                <w:rFonts w:ascii="Arial" w:hAnsi="Arial" w:cs="Arial"/>
                <w:sz w:val="20"/>
                <w:szCs w:val="20"/>
              </w:rPr>
            </w:pPr>
            <w:r w:rsidRPr="00EE0371">
              <w:rPr>
                <w:rFonts w:ascii="Arial" w:hAnsi="Arial" w:cs="Arial"/>
                <w:sz w:val="20"/>
                <w:szCs w:val="20"/>
              </w:rPr>
              <w:t>Data</w:t>
            </w:r>
          </w:p>
        </w:tc>
        <w:tc>
          <w:tcPr>
            <w:tcW w:w="1507" w:type="dxa"/>
            <w:vAlign w:val="center"/>
          </w:tcPr>
          <w:p w14:paraId="0C9253F9" w14:textId="77777777" w:rsidR="00036149" w:rsidRPr="00EE0371" w:rsidRDefault="00036149" w:rsidP="00073259">
            <w:pPr>
              <w:spacing w:after="0" w:line="360" w:lineRule="auto"/>
              <w:jc w:val="center"/>
              <w:rPr>
                <w:rFonts w:ascii="Arial" w:hAnsi="Arial" w:cs="Arial"/>
                <w:sz w:val="20"/>
                <w:szCs w:val="20"/>
              </w:rPr>
            </w:pPr>
            <w:r w:rsidRPr="00EE0371">
              <w:rPr>
                <w:rFonts w:ascii="Arial" w:hAnsi="Arial" w:cs="Arial"/>
                <w:sz w:val="20"/>
                <w:szCs w:val="20"/>
              </w:rPr>
              <w:t>10</w:t>
            </w:r>
          </w:p>
        </w:tc>
        <w:tc>
          <w:tcPr>
            <w:tcW w:w="3016" w:type="dxa"/>
            <w:vAlign w:val="center"/>
          </w:tcPr>
          <w:p w14:paraId="64AC40E3" w14:textId="77777777" w:rsidR="00036149" w:rsidRPr="00EE0371" w:rsidRDefault="00036149" w:rsidP="00073259">
            <w:pPr>
              <w:spacing w:after="0" w:line="360" w:lineRule="auto"/>
              <w:rPr>
                <w:rFonts w:ascii="Arial" w:hAnsi="Arial" w:cs="Arial"/>
                <w:sz w:val="20"/>
                <w:szCs w:val="20"/>
              </w:rPr>
            </w:pPr>
            <w:r w:rsidRPr="00EE0371">
              <w:rPr>
                <w:rFonts w:ascii="Arial" w:hAnsi="Arial" w:cs="Arial"/>
                <w:sz w:val="20"/>
                <w:szCs w:val="20"/>
              </w:rPr>
              <w:t>Obrigatório,</w:t>
            </w:r>
            <w:r w:rsidRPr="00EE0371">
              <w:rPr>
                <w:rFonts w:ascii="Arial" w:hAnsi="Arial" w:cs="Arial"/>
                <w:sz w:val="18"/>
                <w:szCs w:val="20"/>
              </w:rPr>
              <w:t xml:space="preserve"> </w:t>
            </w:r>
            <w:r w:rsidRPr="00EE0371">
              <w:rPr>
                <w:rFonts w:ascii="Arial" w:hAnsi="Arial" w:cs="Arial"/>
                <w:sz w:val="20"/>
              </w:rPr>
              <w:t>AAAA-MM-DD</w:t>
            </w:r>
          </w:p>
        </w:tc>
      </w:tr>
      <w:tr w:rsidR="00036149" w:rsidRPr="00EE0371" w14:paraId="42F56F7F" w14:textId="77777777" w:rsidTr="00073259">
        <w:trPr>
          <w:jc w:val="center"/>
        </w:trPr>
        <w:tc>
          <w:tcPr>
            <w:tcW w:w="3390" w:type="dxa"/>
            <w:vAlign w:val="center"/>
          </w:tcPr>
          <w:p w14:paraId="669CE77D" w14:textId="77777777" w:rsidR="00036149" w:rsidRPr="00EE0371" w:rsidRDefault="00036149" w:rsidP="00073259">
            <w:pPr>
              <w:spacing w:after="0" w:line="360" w:lineRule="auto"/>
              <w:jc w:val="both"/>
              <w:rPr>
                <w:rFonts w:ascii="Arial" w:hAnsi="Arial" w:cs="Arial"/>
                <w:sz w:val="20"/>
                <w:szCs w:val="20"/>
              </w:rPr>
            </w:pPr>
            <w:r w:rsidRPr="00EE0371">
              <w:rPr>
                <w:rFonts w:ascii="Arial" w:hAnsi="Arial" w:cs="Arial"/>
                <w:sz w:val="20"/>
                <w:szCs w:val="20"/>
              </w:rPr>
              <w:t xml:space="preserve">Tipo do Ato Oficial </w:t>
            </w:r>
            <w:r w:rsidRPr="000D3464">
              <w:rPr>
                <w:rFonts w:ascii="Arial" w:hAnsi="Arial" w:cs="Arial"/>
                <w:b/>
                <w:sz w:val="20"/>
                <w:szCs w:val="20"/>
                <w:vertAlign w:val="superscript"/>
                <w:lang w:eastAsia="pt-BR"/>
              </w:rPr>
              <w:t>[4]</w:t>
            </w:r>
          </w:p>
        </w:tc>
        <w:tc>
          <w:tcPr>
            <w:tcW w:w="1133" w:type="dxa"/>
            <w:vAlign w:val="center"/>
          </w:tcPr>
          <w:p w14:paraId="2C6995AE" w14:textId="77777777" w:rsidR="00036149" w:rsidRPr="00EE0371" w:rsidRDefault="00036149" w:rsidP="00073259">
            <w:pPr>
              <w:spacing w:after="0" w:line="360" w:lineRule="auto"/>
              <w:jc w:val="center"/>
              <w:rPr>
                <w:rFonts w:ascii="Arial" w:hAnsi="Arial" w:cs="Arial"/>
                <w:sz w:val="20"/>
                <w:szCs w:val="20"/>
              </w:rPr>
            </w:pPr>
            <w:r w:rsidRPr="00EE0371">
              <w:rPr>
                <w:rFonts w:ascii="Arial" w:hAnsi="Arial" w:cs="Arial"/>
                <w:sz w:val="20"/>
                <w:szCs w:val="20"/>
              </w:rPr>
              <w:t>Inteiro</w:t>
            </w:r>
          </w:p>
        </w:tc>
        <w:tc>
          <w:tcPr>
            <w:tcW w:w="1507" w:type="dxa"/>
            <w:vAlign w:val="center"/>
          </w:tcPr>
          <w:p w14:paraId="69A003EF" w14:textId="77777777" w:rsidR="00036149" w:rsidRPr="00EE0371" w:rsidRDefault="00036149" w:rsidP="00073259">
            <w:pPr>
              <w:spacing w:after="0" w:line="360" w:lineRule="auto"/>
              <w:jc w:val="center"/>
              <w:rPr>
                <w:rFonts w:ascii="Arial" w:hAnsi="Arial" w:cs="Arial"/>
                <w:sz w:val="20"/>
                <w:szCs w:val="20"/>
              </w:rPr>
            </w:pPr>
            <w:r w:rsidRPr="00EE0371">
              <w:rPr>
                <w:rFonts w:ascii="Arial" w:hAnsi="Arial" w:cs="Arial"/>
                <w:sz w:val="20"/>
                <w:szCs w:val="20"/>
              </w:rPr>
              <w:t>1</w:t>
            </w:r>
          </w:p>
        </w:tc>
        <w:tc>
          <w:tcPr>
            <w:tcW w:w="3016" w:type="dxa"/>
            <w:vAlign w:val="center"/>
          </w:tcPr>
          <w:p w14:paraId="3AC3CBDB" w14:textId="77777777" w:rsidR="00036149" w:rsidRPr="00EE0371" w:rsidRDefault="00036149" w:rsidP="00073259">
            <w:pPr>
              <w:spacing w:after="0" w:line="360" w:lineRule="auto"/>
              <w:jc w:val="center"/>
              <w:rPr>
                <w:rFonts w:ascii="Arial" w:hAnsi="Arial" w:cs="Arial"/>
                <w:sz w:val="20"/>
                <w:szCs w:val="20"/>
              </w:rPr>
            </w:pPr>
            <w:r w:rsidRPr="00EE0371">
              <w:rPr>
                <w:rFonts w:ascii="Arial" w:hAnsi="Arial" w:cs="Arial"/>
                <w:sz w:val="20"/>
                <w:szCs w:val="20"/>
              </w:rPr>
              <w:t>Obrigatório</w:t>
            </w:r>
          </w:p>
          <w:p w14:paraId="047056D8" w14:textId="77777777" w:rsidR="00036149" w:rsidRPr="00EE0371" w:rsidRDefault="00036149" w:rsidP="00073259">
            <w:pPr>
              <w:spacing w:after="0" w:line="360" w:lineRule="auto"/>
              <w:jc w:val="both"/>
              <w:rPr>
                <w:rFonts w:ascii="Arial" w:hAnsi="Arial" w:cs="Arial"/>
                <w:sz w:val="20"/>
                <w:szCs w:val="20"/>
              </w:rPr>
            </w:pPr>
            <w:r w:rsidRPr="00EE0371">
              <w:rPr>
                <w:rFonts w:ascii="Arial" w:hAnsi="Arial" w:cs="Arial"/>
                <w:sz w:val="20"/>
                <w:szCs w:val="20"/>
              </w:rPr>
              <w:t>1 – Decreto</w:t>
            </w:r>
          </w:p>
          <w:p w14:paraId="64C05E7B" w14:textId="77777777" w:rsidR="00036149" w:rsidRPr="00EE0371" w:rsidRDefault="00036149" w:rsidP="00073259">
            <w:pPr>
              <w:spacing w:after="0" w:line="360" w:lineRule="auto"/>
              <w:jc w:val="both"/>
              <w:rPr>
                <w:rFonts w:ascii="Arial" w:hAnsi="Arial" w:cs="Arial"/>
                <w:sz w:val="20"/>
                <w:szCs w:val="20"/>
              </w:rPr>
            </w:pPr>
            <w:r w:rsidRPr="00EE0371">
              <w:rPr>
                <w:rFonts w:ascii="Arial" w:hAnsi="Arial" w:cs="Arial"/>
                <w:sz w:val="20"/>
                <w:szCs w:val="20"/>
              </w:rPr>
              <w:t>2 – Outros</w:t>
            </w:r>
          </w:p>
        </w:tc>
      </w:tr>
      <w:tr w:rsidR="00036149" w:rsidRPr="00EE0371" w14:paraId="02F40213" w14:textId="77777777" w:rsidTr="00073259">
        <w:trPr>
          <w:jc w:val="center"/>
        </w:trPr>
        <w:tc>
          <w:tcPr>
            <w:tcW w:w="3390" w:type="dxa"/>
            <w:vAlign w:val="center"/>
          </w:tcPr>
          <w:p w14:paraId="5CC33AAB" w14:textId="77777777" w:rsidR="00036149" w:rsidRPr="00EE0371" w:rsidRDefault="00036149" w:rsidP="00073259">
            <w:pPr>
              <w:spacing w:after="0" w:line="360" w:lineRule="auto"/>
              <w:jc w:val="both"/>
              <w:rPr>
                <w:rFonts w:ascii="Arial" w:hAnsi="Arial" w:cs="Arial"/>
                <w:sz w:val="20"/>
                <w:szCs w:val="20"/>
              </w:rPr>
            </w:pPr>
            <w:r w:rsidRPr="00EE0371">
              <w:rPr>
                <w:rFonts w:ascii="Arial" w:hAnsi="Arial" w:cs="Arial"/>
                <w:sz w:val="20"/>
                <w:szCs w:val="20"/>
              </w:rPr>
              <w:t>Tipo do Crédito Adicional</w:t>
            </w:r>
          </w:p>
        </w:tc>
        <w:tc>
          <w:tcPr>
            <w:tcW w:w="1133" w:type="dxa"/>
            <w:vAlign w:val="center"/>
          </w:tcPr>
          <w:p w14:paraId="48AEA2AA" w14:textId="77777777" w:rsidR="00036149" w:rsidRPr="00EE0371" w:rsidRDefault="00036149" w:rsidP="00073259">
            <w:pPr>
              <w:spacing w:after="0" w:line="360" w:lineRule="auto"/>
              <w:jc w:val="center"/>
              <w:rPr>
                <w:rFonts w:ascii="Arial" w:hAnsi="Arial" w:cs="Arial"/>
                <w:sz w:val="20"/>
                <w:szCs w:val="20"/>
              </w:rPr>
            </w:pPr>
            <w:r w:rsidRPr="00EE0371">
              <w:rPr>
                <w:rFonts w:ascii="Arial" w:hAnsi="Arial" w:cs="Arial"/>
                <w:sz w:val="20"/>
                <w:szCs w:val="20"/>
              </w:rPr>
              <w:t>Inteiro</w:t>
            </w:r>
          </w:p>
        </w:tc>
        <w:tc>
          <w:tcPr>
            <w:tcW w:w="1507" w:type="dxa"/>
            <w:vAlign w:val="center"/>
          </w:tcPr>
          <w:p w14:paraId="6EA326DA" w14:textId="77777777" w:rsidR="00036149" w:rsidRPr="00EE0371" w:rsidRDefault="00036149" w:rsidP="00073259">
            <w:pPr>
              <w:spacing w:after="0" w:line="360" w:lineRule="auto"/>
              <w:jc w:val="center"/>
              <w:rPr>
                <w:rFonts w:ascii="Arial" w:hAnsi="Arial" w:cs="Arial"/>
                <w:sz w:val="20"/>
                <w:szCs w:val="20"/>
              </w:rPr>
            </w:pPr>
            <w:r w:rsidRPr="00EE0371">
              <w:rPr>
                <w:rFonts w:ascii="Arial" w:hAnsi="Arial" w:cs="Arial"/>
                <w:sz w:val="20"/>
                <w:szCs w:val="20"/>
              </w:rPr>
              <w:t>1</w:t>
            </w:r>
          </w:p>
        </w:tc>
        <w:tc>
          <w:tcPr>
            <w:tcW w:w="3016" w:type="dxa"/>
            <w:vAlign w:val="center"/>
          </w:tcPr>
          <w:p w14:paraId="041663E6" w14:textId="77777777" w:rsidR="00036149" w:rsidRPr="00EE0371" w:rsidRDefault="00036149" w:rsidP="00073259">
            <w:pPr>
              <w:spacing w:after="0" w:line="360" w:lineRule="auto"/>
              <w:jc w:val="center"/>
              <w:rPr>
                <w:rFonts w:ascii="Arial" w:hAnsi="Arial" w:cs="Arial"/>
                <w:sz w:val="20"/>
                <w:szCs w:val="20"/>
              </w:rPr>
            </w:pPr>
            <w:r w:rsidRPr="00EE0371">
              <w:rPr>
                <w:rFonts w:ascii="Arial" w:hAnsi="Arial" w:cs="Arial"/>
                <w:sz w:val="20"/>
                <w:szCs w:val="20"/>
              </w:rPr>
              <w:t>Obrigatório</w:t>
            </w:r>
          </w:p>
          <w:p w14:paraId="6A0314D7" w14:textId="77777777" w:rsidR="00036149" w:rsidRPr="00EE0371" w:rsidRDefault="00036149" w:rsidP="00073259">
            <w:pPr>
              <w:spacing w:after="0" w:line="360" w:lineRule="auto"/>
              <w:jc w:val="both"/>
              <w:rPr>
                <w:rFonts w:ascii="Arial" w:hAnsi="Arial" w:cs="Arial"/>
                <w:sz w:val="20"/>
                <w:szCs w:val="20"/>
              </w:rPr>
            </w:pPr>
            <w:r w:rsidRPr="00EE0371">
              <w:rPr>
                <w:rFonts w:ascii="Arial" w:hAnsi="Arial" w:cs="Arial"/>
                <w:sz w:val="20"/>
                <w:szCs w:val="20"/>
              </w:rPr>
              <w:t>1 – Suplementar</w:t>
            </w:r>
          </w:p>
          <w:p w14:paraId="13437558" w14:textId="77777777" w:rsidR="00036149" w:rsidRPr="00EE0371" w:rsidRDefault="00036149" w:rsidP="00073259">
            <w:pPr>
              <w:spacing w:after="0" w:line="360" w:lineRule="auto"/>
              <w:jc w:val="both"/>
              <w:rPr>
                <w:rFonts w:ascii="Arial" w:hAnsi="Arial" w:cs="Arial"/>
                <w:sz w:val="20"/>
                <w:szCs w:val="20"/>
              </w:rPr>
            </w:pPr>
            <w:r w:rsidRPr="00EE0371">
              <w:rPr>
                <w:rFonts w:ascii="Arial" w:hAnsi="Arial" w:cs="Arial"/>
                <w:sz w:val="20"/>
                <w:szCs w:val="20"/>
              </w:rPr>
              <w:t>2 – Especial</w:t>
            </w:r>
          </w:p>
          <w:p w14:paraId="1DF96067" w14:textId="77777777" w:rsidR="00036149" w:rsidRPr="00EE0371" w:rsidRDefault="00036149" w:rsidP="00073259">
            <w:pPr>
              <w:spacing w:after="0" w:line="360" w:lineRule="auto"/>
              <w:jc w:val="both"/>
              <w:rPr>
                <w:rFonts w:ascii="Arial" w:hAnsi="Arial" w:cs="Arial"/>
                <w:sz w:val="20"/>
                <w:szCs w:val="20"/>
              </w:rPr>
            </w:pPr>
            <w:r w:rsidRPr="00EE0371">
              <w:rPr>
                <w:rFonts w:ascii="Arial" w:hAnsi="Arial" w:cs="Arial"/>
                <w:sz w:val="20"/>
                <w:szCs w:val="20"/>
              </w:rPr>
              <w:t>3 – Extraordinário</w:t>
            </w:r>
          </w:p>
        </w:tc>
      </w:tr>
      <w:tr w:rsidR="00036149" w:rsidRPr="00EE0371" w14:paraId="0F9253BC" w14:textId="77777777" w:rsidTr="00073259">
        <w:trPr>
          <w:jc w:val="center"/>
        </w:trPr>
        <w:tc>
          <w:tcPr>
            <w:tcW w:w="3390" w:type="dxa"/>
            <w:vAlign w:val="center"/>
          </w:tcPr>
          <w:p w14:paraId="66003E49" w14:textId="77777777" w:rsidR="00036149" w:rsidRPr="00EE0371" w:rsidRDefault="00036149" w:rsidP="00073259">
            <w:pPr>
              <w:spacing w:after="0" w:line="360" w:lineRule="auto"/>
              <w:jc w:val="both"/>
              <w:rPr>
                <w:rFonts w:ascii="Arial" w:hAnsi="Arial" w:cs="Arial"/>
                <w:sz w:val="20"/>
                <w:szCs w:val="20"/>
              </w:rPr>
            </w:pPr>
            <w:r w:rsidRPr="00EE0371">
              <w:rPr>
                <w:rFonts w:ascii="Arial" w:hAnsi="Arial" w:cs="Arial"/>
                <w:sz w:val="20"/>
                <w:szCs w:val="20"/>
              </w:rPr>
              <w:t xml:space="preserve">Tipo de Fonte de Recursos </w:t>
            </w:r>
            <w:r w:rsidRPr="000D3464">
              <w:rPr>
                <w:rFonts w:ascii="Arial" w:hAnsi="Arial" w:cs="Arial"/>
                <w:b/>
                <w:sz w:val="20"/>
                <w:szCs w:val="20"/>
                <w:vertAlign w:val="superscript"/>
                <w:lang w:eastAsia="pt-BR"/>
              </w:rPr>
              <w:t>[5]</w:t>
            </w:r>
          </w:p>
        </w:tc>
        <w:tc>
          <w:tcPr>
            <w:tcW w:w="1133" w:type="dxa"/>
            <w:vAlign w:val="center"/>
          </w:tcPr>
          <w:p w14:paraId="326256E1" w14:textId="77777777" w:rsidR="00036149" w:rsidRPr="00EE0371" w:rsidRDefault="00036149" w:rsidP="00073259">
            <w:pPr>
              <w:spacing w:after="0" w:line="360" w:lineRule="auto"/>
              <w:jc w:val="center"/>
              <w:rPr>
                <w:rFonts w:ascii="Arial" w:hAnsi="Arial" w:cs="Arial"/>
                <w:sz w:val="20"/>
                <w:szCs w:val="20"/>
              </w:rPr>
            </w:pPr>
            <w:r w:rsidRPr="00EE0371">
              <w:rPr>
                <w:rFonts w:ascii="Arial" w:hAnsi="Arial" w:cs="Arial"/>
                <w:sz w:val="20"/>
                <w:szCs w:val="20"/>
              </w:rPr>
              <w:t>Inteiro</w:t>
            </w:r>
          </w:p>
        </w:tc>
        <w:tc>
          <w:tcPr>
            <w:tcW w:w="1507" w:type="dxa"/>
            <w:vAlign w:val="center"/>
          </w:tcPr>
          <w:p w14:paraId="01ABD6D9" w14:textId="77777777" w:rsidR="00036149" w:rsidRPr="00EE0371" w:rsidRDefault="00036149" w:rsidP="00073259">
            <w:pPr>
              <w:spacing w:after="0" w:line="360" w:lineRule="auto"/>
              <w:jc w:val="center"/>
              <w:rPr>
                <w:rFonts w:ascii="Arial" w:hAnsi="Arial" w:cs="Arial"/>
                <w:sz w:val="20"/>
                <w:szCs w:val="20"/>
              </w:rPr>
            </w:pPr>
            <w:r w:rsidRPr="00EE0371">
              <w:rPr>
                <w:rFonts w:ascii="Arial" w:hAnsi="Arial" w:cs="Arial"/>
                <w:sz w:val="20"/>
                <w:szCs w:val="20"/>
              </w:rPr>
              <w:t>1</w:t>
            </w:r>
          </w:p>
        </w:tc>
        <w:tc>
          <w:tcPr>
            <w:tcW w:w="3016" w:type="dxa"/>
            <w:vAlign w:val="center"/>
          </w:tcPr>
          <w:p w14:paraId="385E05E5" w14:textId="77777777" w:rsidR="00036149" w:rsidRPr="00EE0371" w:rsidRDefault="00036149" w:rsidP="00073259">
            <w:pPr>
              <w:spacing w:after="0" w:line="360" w:lineRule="auto"/>
              <w:jc w:val="center"/>
              <w:rPr>
                <w:rFonts w:ascii="Arial" w:hAnsi="Arial" w:cs="Arial"/>
                <w:sz w:val="20"/>
                <w:szCs w:val="20"/>
              </w:rPr>
            </w:pPr>
            <w:r w:rsidRPr="00EE0371">
              <w:rPr>
                <w:rFonts w:ascii="Arial" w:hAnsi="Arial" w:cs="Arial"/>
                <w:sz w:val="20"/>
                <w:szCs w:val="20"/>
              </w:rPr>
              <w:t>Obrigatório</w:t>
            </w:r>
          </w:p>
          <w:p w14:paraId="0A14EB7A" w14:textId="77777777" w:rsidR="00036149" w:rsidRPr="00EE0371" w:rsidRDefault="00036149" w:rsidP="00073259">
            <w:pPr>
              <w:spacing w:after="0" w:line="360" w:lineRule="auto"/>
              <w:jc w:val="both"/>
              <w:rPr>
                <w:rFonts w:ascii="Arial" w:hAnsi="Arial" w:cs="Arial"/>
                <w:sz w:val="20"/>
                <w:szCs w:val="20"/>
              </w:rPr>
            </w:pPr>
            <w:r w:rsidRPr="00EE0371">
              <w:rPr>
                <w:rFonts w:ascii="Arial" w:hAnsi="Arial" w:cs="Arial"/>
                <w:sz w:val="20"/>
                <w:szCs w:val="20"/>
              </w:rPr>
              <w:t>1 - Anulação Parcial ou Total de Dotações Orçamentárias</w:t>
            </w:r>
          </w:p>
          <w:p w14:paraId="5F9A6429" w14:textId="77777777" w:rsidR="00036149" w:rsidRPr="00EE0371" w:rsidRDefault="00036149" w:rsidP="00073259">
            <w:pPr>
              <w:spacing w:after="0" w:line="360" w:lineRule="auto"/>
              <w:jc w:val="both"/>
              <w:rPr>
                <w:rFonts w:ascii="Arial" w:hAnsi="Arial" w:cs="Arial"/>
                <w:sz w:val="20"/>
                <w:szCs w:val="20"/>
              </w:rPr>
            </w:pPr>
            <w:r w:rsidRPr="00EE0371">
              <w:rPr>
                <w:rFonts w:ascii="Arial" w:hAnsi="Arial" w:cs="Arial"/>
                <w:sz w:val="20"/>
                <w:szCs w:val="20"/>
              </w:rPr>
              <w:t>2 - Excesso de Arrecadação</w:t>
            </w:r>
          </w:p>
          <w:p w14:paraId="4101659E" w14:textId="77777777" w:rsidR="00036149" w:rsidRPr="00EE0371" w:rsidRDefault="00036149" w:rsidP="00073259">
            <w:pPr>
              <w:spacing w:after="0" w:line="360" w:lineRule="auto"/>
              <w:jc w:val="both"/>
              <w:rPr>
                <w:rFonts w:ascii="Arial" w:hAnsi="Arial" w:cs="Arial"/>
                <w:sz w:val="20"/>
                <w:szCs w:val="20"/>
              </w:rPr>
            </w:pPr>
            <w:r w:rsidRPr="00EE0371">
              <w:rPr>
                <w:rFonts w:ascii="Arial" w:hAnsi="Arial" w:cs="Arial"/>
                <w:sz w:val="20"/>
                <w:szCs w:val="20"/>
              </w:rPr>
              <w:t>3 - Superávit Financeiro</w:t>
            </w:r>
          </w:p>
          <w:p w14:paraId="6DA42760" w14:textId="77777777" w:rsidR="00036149" w:rsidRPr="00EE0371" w:rsidRDefault="00036149" w:rsidP="00073259">
            <w:pPr>
              <w:spacing w:after="0" w:line="360" w:lineRule="auto"/>
              <w:jc w:val="both"/>
              <w:rPr>
                <w:rFonts w:ascii="Arial" w:hAnsi="Arial" w:cs="Arial"/>
                <w:sz w:val="20"/>
                <w:szCs w:val="20"/>
              </w:rPr>
            </w:pPr>
            <w:r w:rsidRPr="00EE0371">
              <w:rPr>
                <w:rFonts w:ascii="Arial" w:hAnsi="Arial" w:cs="Arial"/>
                <w:sz w:val="20"/>
                <w:szCs w:val="20"/>
              </w:rPr>
              <w:t>4 - Operações de Crédito</w:t>
            </w:r>
          </w:p>
          <w:p w14:paraId="4D878AEE" w14:textId="77777777" w:rsidR="00036149" w:rsidRPr="00EE0371" w:rsidRDefault="00036149" w:rsidP="00073259">
            <w:pPr>
              <w:spacing w:after="0" w:line="360" w:lineRule="auto"/>
              <w:jc w:val="both"/>
              <w:rPr>
                <w:rFonts w:ascii="Arial" w:hAnsi="Arial" w:cs="Arial"/>
                <w:sz w:val="20"/>
                <w:szCs w:val="20"/>
              </w:rPr>
            </w:pPr>
            <w:r w:rsidRPr="00EE0371">
              <w:rPr>
                <w:rFonts w:ascii="Arial" w:hAnsi="Arial" w:cs="Arial"/>
                <w:sz w:val="20"/>
                <w:szCs w:val="20"/>
              </w:rPr>
              <w:t>5 - Anulação de Reserva de Contingência;</w:t>
            </w:r>
          </w:p>
          <w:p w14:paraId="63E9AC71" w14:textId="77777777" w:rsidR="00036149" w:rsidRPr="00EE0371" w:rsidRDefault="00036149" w:rsidP="00073259">
            <w:pPr>
              <w:spacing w:after="0" w:line="360" w:lineRule="auto"/>
              <w:jc w:val="both"/>
              <w:rPr>
                <w:rFonts w:ascii="Arial" w:hAnsi="Arial" w:cs="Arial"/>
                <w:sz w:val="20"/>
                <w:szCs w:val="20"/>
              </w:rPr>
            </w:pPr>
            <w:r w:rsidRPr="00EE0371">
              <w:rPr>
                <w:rFonts w:ascii="Arial" w:hAnsi="Arial" w:cs="Arial"/>
                <w:sz w:val="20"/>
                <w:szCs w:val="20"/>
              </w:rPr>
              <w:t>6 - Parágrafo 8º do Artigo 166 da Constituição Federal</w:t>
            </w:r>
          </w:p>
          <w:p w14:paraId="16895F0B" w14:textId="77777777" w:rsidR="00036149" w:rsidRPr="00EE0371" w:rsidRDefault="00036149" w:rsidP="00073259">
            <w:pPr>
              <w:spacing w:after="0" w:line="360" w:lineRule="auto"/>
              <w:jc w:val="both"/>
              <w:rPr>
                <w:rFonts w:ascii="Arial" w:hAnsi="Arial" w:cs="Arial"/>
                <w:sz w:val="20"/>
                <w:szCs w:val="20"/>
              </w:rPr>
            </w:pPr>
            <w:r w:rsidRPr="00EE0371">
              <w:rPr>
                <w:rFonts w:ascii="Arial" w:hAnsi="Arial" w:cs="Arial"/>
                <w:sz w:val="20"/>
                <w:szCs w:val="20"/>
              </w:rPr>
              <w:lastRenderedPageBreak/>
              <w:t>7 - Saldo de crédito adicional especial/extraordinário aberto nos últimos quatro meses do exercício anterior</w:t>
            </w:r>
          </w:p>
          <w:p w14:paraId="2F0FE35E" w14:textId="77777777" w:rsidR="00036149" w:rsidRPr="00EE0371" w:rsidRDefault="00036149" w:rsidP="00073259">
            <w:pPr>
              <w:spacing w:after="0" w:line="360" w:lineRule="auto"/>
              <w:jc w:val="both"/>
              <w:rPr>
                <w:rFonts w:ascii="Arial" w:hAnsi="Arial" w:cs="Arial"/>
                <w:sz w:val="20"/>
                <w:szCs w:val="20"/>
              </w:rPr>
            </w:pPr>
            <w:r w:rsidRPr="00EE0371">
              <w:rPr>
                <w:rFonts w:ascii="Arial" w:hAnsi="Arial" w:cs="Arial"/>
                <w:sz w:val="20"/>
                <w:szCs w:val="20"/>
              </w:rPr>
              <w:t>8. Recursos de Convênios (PC TC-028/2004)</w:t>
            </w:r>
          </w:p>
        </w:tc>
      </w:tr>
      <w:tr w:rsidR="00036149" w:rsidRPr="00EE0371" w14:paraId="326E7F00" w14:textId="77777777" w:rsidTr="00073259">
        <w:trPr>
          <w:jc w:val="center"/>
        </w:trPr>
        <w:tc>
          <w:tcPr>
            <w:tcW w:w="3390" w:type="dxa"/>
            <w:vAlign w:val="center"/>
          </w:tcPr>
          <w:p w14:paraId="7BA30AD1" w14:textId="77777777" w:rsidR="00036149" w:rsidRPr="00EE0371" w:rsidRDefault="00036149" w:rsidP="00073259">
            <w:pPr>
              <w:spacing w:after="0" w:line="360" w:lineRule="auto"/>
              <w:jc w:val="both"/>
              <w:rPr>
                <w:rFonts w:ascii="Arial" w:hAnsi="Arial" w:cs="Arial"/>
                <w:sz w:val="20"/>
                <w:szCs w:val="20"/>
              </w:rPr>
            </w:pPr>
            <w:r w:rsidRPr="00EE0371">
              <w:rPr>
                <w:rFonts w:ascii="Arial" w:hAnsi="Arial" w:cs="Arial"/>
                <w:sz w:val="20"/>
                <w:szCs w:val="20"/>
              </w:rPr>
              <w:lastRenderedPageBreak/>
              <w:t>Tipo de Atualização</w:t>
            </w:r>
          </w:p>
        </w:tc>
        <w:tc>
          <w:tcPr>
            <w:tcW w:w="1133" w:type="dxa"/>
            <w:vAlign w:val="center"/>
          </w:tcPr>
          <w:p w14:paraId="38E2E49E" w14:textId="77777777" w:rsidR="00036149" w:rsidRPr="00EE0371" w:rsidRDefault="00036149" w:rsidP="00073259">
            <w:pPr>
              <w:spacing w:after="0" w:line="360" w:lineRule="auto"/>
              <w:jc w:val="center"/>
              <w:rPr>
                <w:rFonts w:ascii="Arial" w:hAnsi="Arial" w:cs="Arial"/>
                <w:sz w:val="20"/>
                <w:szCs w:val="20"/>
              </w:rPr>
            </w:pPr>
            <w:r w:rsidRPr="00EE0371">
              <w:rPr>
                <w:rFonts w:ascii="Arial" w:hAnsi="Arial" w:cs="Arial"/>
                <w:sz w:val="20"/>
                <w:szCs w:val="20"/>
              </w:rPr>
              <w:t>Inteiro</w:t>
            </w:r>
          </w:p>
        </w:tc>
        <w:tc>
          <w:tcPr>
            <w:tcW w:w="1507" w:type="dxa"/>
            <w:vAlign w:val="center"/>
          </w:tcPr>
          <w:p w14:paraId="7369626E" w14:textId="77777777" w:rsidR="00036149" w:rsidRPr="00EE0371" w:rsidRDefault="00036149" w:rsidP="00073259">
            <w:pPr>
              <w:spacing w:after="0" w:line="360" w:lineRule="auto"/>
              <w:jc w:val="center"/>
              <w:rPr>
                <w:rFonts w:ascii="Arial" w:hAnsi="Arial" w:cs="Arial"/>
                <w:sz w:val="20"/>
                <w:szCs w:val="20"/>
              </w:rPr>
            </w:pPr>
            <w:r w:rsidRPr="00EE0371">
              <w:rPr>
                <w:rFonts w:ascii="Arial" w:hAnsi="Arial" w:cs="Arial"/>
                <w:sz w:val="20"/>
                <w:szCs w:val="20"/>
              </w:rPr>
              <w:t>1</w:t>
            </w:r>
          </w:p>
        </w:tc>
        <w:tc>
          <w:tcPr>
            <w:tcW w:w="3016" w:type="dxa"/>
            <w:vAlign w:val="center"/>
          </w:tcPr>
          <w:p w14:paraId="2CF1F86B" w14:textId="77777777" w:rsidR="00036149" w:rsidRPr="00EE0371" w:rsidRDefault="00036149" w:rsidP="00073259">
            <w:pPr>
              <w:spacing w:after="0" w:line="360" w:lineRule="auto"/>
              <w:rPr>
                <w:rFonts w:ascii="Arial" w:hAnsi="Arial" w:cs="Arial"/>
                <w:sz w:val="20"/>
                <w:szCs w:val="20"/>
              </w:rPr>
            </w:pPr>
            <w:r w:rsidRPr="00EE0371">
              <w:rPr>
                <w:rFonts w:ascii="Arial" w:hAnsi="Arial" w:cs="Arial"/>
                <w:sz w:val="20"/>
                <w:szCs w:val="20"/>
              </w:rPr>
              <w:t>Obrigatório</w:t>
            </w:r>
          </w:p>
          <w:p w14:paraId="59D3EE6C" w14:textId="77777777" w:rsidR="00036149" w:rsidRPr="00EE0371" w:rsidRDefault="00036149" w:rsidP="00073259">
            <w:pPr>
              <w:spacing w:after="0" w:line="360" w:lineRule="auto"/>
              <w:rPr>
                <w:rFonts w:ascii="Arial" w:hAnsi="Arial" w:cs="Arial"/>
                <w:sz w:val="20"/>
                <w:szCs w:val="20"/>
              </w:rPr>
            </w:pPr>
            <w:r w:rsidRPr="00EE0371">
              <w:rPr>
                <w:rFonts w:ascii="Arial" w:hAnsi="Arial" w:cs="Arial"/>
                <w:sz w:val="20"/>
                <w:szCs w:val="20"/>
              </w:rPr>
              <w:t>1 – Redução</w:t>
            </w:r>
            <w:r w:rsidRPr="00EE0371">
              <w:rPr>
                <w:rFonts w:ascii="Arial" w:hAnsi="Arial" w:cs="Arial"/>
                <w:sz w:val="20"/>
                <w:szCs w:val="20"/>
              </w:rPr>
              <w:br/>
              <w:t>2 – Adição</w:t>
            </w:r>
            <w:r w:rsidRPr="00EE0371">
              <w:rPr>
                <w:rFonts w:ascii="Arial" w:hAnsi="Arial" w:cs="Arial"/>
                <w:sz w:val="20"/>
                <w:szCs w:val="20"/>
              </w:rPr>
              <w:br/>
              <w:t>3 – Inclusão</w:t>
            </w:r>
          </w:p>
        </w:tc>
      </w:tr>
      <w:tr w:rsidR="00036149" w:rsidRPr="00EE0371" w14:paraId="1C7D4AB1" w14:textId="77777777" w:rsidTr="00073259">
        <w:trPr>
          <w:jc w:val="center"/>
        </w:trPr>
        <w:tc>
          <w:tcPr>
            <w:tcW w:w="3390" w:type="dxa"/>
            <w:vAlign w:val="center"/>
          </w:tcPr>
          <w:p w14:paraId="540AEDB4" w14:textId="77777777" w:rsidR="00036149" w:rsidRPr="00EE0371" w:rsidRDefault="00036149" w:rsidP="00073259">
            <w:pPr>
              <w:spacing w:after="0" w:line="360" w:lineRule="auto"/>
              <w:jc w:val="both"/>
              <w:rPr>
                <w:rFonts w:ascii="Arial" w:hAnsi="Arial" w:cs="Arial"/>
                <w:sz w:val="20"/>
                <w:szCs w:val="20"/>
              </w:rPr>
            </w:pPr>
            <w:r w:rsidRPr="00EE0371">
              <w:rPr>
                <w:rFonts w:ascii="Arial" w:hAnsi="Arial" w:cs="Arial"/>
                <w:sz w:val="20"/>
                <w:szCs w:val="20"/>
              </w:rPr>
              <w:t>Código da Unidade Gestora</w:t>
            </w:r>
          </w:p>
        </w:tc>
        <w:tc>
          <w:tcPr>
            <w:tcW w:w="1133" w:type="dxa"/>
            <w:vAlign w:val="center"/>
          </w:tcPr>
          <w:p w14:paraId="424DEFE7" w14:textId="77777777" w:rsidR="00036149" w:rsidRPr="00EE0371" w:rsidRDefault="00036149" w:rsidP="00073259">
            <w:pPr>
              <w:spacing w:after="0" w:line="360" w:lineRule="auto"/>
              <w:jc w:val="center"/>
              <w:rPr>
                <w:rFonts w:ascii="Arial" w:hAnsi="Arial" w:cs="Arial"/>
                <w:sz w:val="20"/>
                <w:szCs w:val="20"/>
              </w:rPr>
            </w:pPr>
            <w:r w:rsidRPr="00EE0371">
              <w:rPr>
                <w:rFonts w:ascii="Arial" w:hAnsi="Arial" w:cs="Arial"/>
                <w:sz w:val="20"/>
                <w:szCs w:val="20"/>
              </w:rPr>
              <w:t>Caracter</w:t>
            </w:r>
          </w:p>
        </w:tc>
        <w:tc>
          <w:tcPr>
            <w:tcW w:w="1507" w:type="dxa"/>
            <w:vAlign w:val="center"/>
          </w:tcPr>
          <w:p w14:paraId="42F93EC5" w14:textId="77777777" w:rsidR="00036149" w:rsidRPr="00EE0371" w:rsidRDefault="00036149" w:rsidP="00073259">
            <w:pPr>
              <w:spacing w:after="0" w:line="360" w:lineRule="auto"/>
              <w:jc w:val="center"/>
              <w:rPr>
                <w:rFonts w:ascii="Arial" w:hAnsi="Arial" w:cs="Arial"/>
                <w:sz w:val="20"/>
                <w:szCs w:val="20"/>
              </w:rPr>
            </w:pPr>
            <w:r w:rsidRPr="00EE0371">
              <w:rPr>
                <w:rFonts w:ascii="Arial" w:hAnsi="Arial" w:cs="Arial"/>
                <w:sz w:val="20"/>
                <w:szCs w:val="20"/>
              </w:rPr>
              <w:t>11</w:t>
            </w:r>
          </w:p>
        </w:tc>
        <w:tc>
          <w:tcPr>
            <w:tcW w:w="3016" w:type="dxa"/>
            <w:vAlign w:val="center"/>
          </w:tcPr>
          <w:p w14:paraId="6EE9DAD7" w14:textId="77777777" w:rsidR="00036149" w:rsidRPr="00EE0371" w:rsidRDefault="00036149" w:rsidP="00073259">
            <w:pPr>
              <w:spacing w:after="0" w:line="360" w:lineRule="auto"/>
              <w:rPr>
                <w:rFonts w:ascii="Arial" w:hAnsi="Arial" w:cs="Arial"/>
                <w:sz w:val="20"/>
                <w:szCs w:val="20"/>
              </w:rPr>
            </w:pPr>
            <w:r w:rsidRPr="00EE0371">
              <w:rPr>
                <w:rFonts w:ascii="Arial" w:hAnsi="Arial" w:cs="Arial"/>
                <w:sz w:val="20"/>
                <w:szCs w:val="20"/>
              </w:rPr>
              <w:t>Obrigatório</w:t>
            </w:r>
          </w:p>
        </w:tc>
      </w:tr>
      <w:tr w:rsidR="00036149" w:rsidRPr="00EE0371" w14:paraId="5649F0FE" w14:textId="77777777" w:rsidTr="00073259">
        <w:trPr>
          <w:jc w:val="center"/>
        </w:trPr>
        <w:tc>
          <w:tcPr>
            <w:tcW w:w="3390" w:type="dxa"/>
            <w:vAlign w:val="center"/>
          </w:tcPr>
          <w:p w14:paraId="0DA72106" w14:textId="77777777" w:rsidR="00036149" w:rsidRPr="00EE0371" w:rsidRDefault="00036149" w:rsidP="00073259">
            <w:pPr>
              <w:spacing w:after="0" w:line="360" w:lineRule="auto"/>
              <w:jc w:val="both"/>
              <w:rPr>
                <w:rFonts w:ascii="Arial" w:hAnsi="Arial" w:cs="Arial"/>
                <w:sz w:val="20"/>
                <w:szCs w:val="20"/>
              </w:rPr>
            </w:pPr>
            <w:r w:rsidRPr="00EE0371">
              <w:rPr>
                <w:rFonts w:ascii="Arial" w:hAnsi="Arial" w:cs="Arial"/>
                <w:sz w:val="20"/>
                <w:szCs w:val="20"/>
              </w:rPr>
              <w:t xml:space="preserve">Código do Órgão </w:t>
            </w:r>
          </w:p>
        </w:tc>
        <w:tc>
          <w:tcPr>
            <w:tcW w:w="1133" w:type="dxa"/>
            <w:vAlign w:val="center"/>
          </w:tcPr>
          <w:p w14:paraId="5FAAA9E9" w14:textId="77777777" w:rsidR="00036149" w:rsidRPr="00EE0371" w:rsidRDefault="00036149" w:rsidP="00073259">
            <w:pPr>
              <w:spacing w:after="0" w:line="360" w:lineRule="auto"/>
              <w:jc w:val="center"/>
              <w:rPr>
                <w:rFonts w:ascii="Arial" w:hAnsi="Arial" w:cs="Arial"/>
                <w:sz w:val="20"/>
                <w:szCs w:val="20"/>
              </w:rPr>
            </w:pPr>
            <w:r w:rsidRPr="00EE0371">
              <w:rPr>
                <w:rFonts w:ascii="Arial" w:hAnsi="Arial" w:cs="Arial"/>
                <w:sz w:val="20"/>
                <w:szCs w:val="20"/>
              </w:rPr>
              <w:t>Caracter</w:t>
            </w:r>
          </w:p>
        </w:tc>
        <w:tc>
          <w:tcPr>
            <w:tcW w:w="1507" w:type="dxa"/>
            <w:vAlign w:val="center"/>
          </w:tcPr>
          <w:p w14:paraId="31453B78" w14:textId="77777777" w:rsidR="00036149" w:rsidRPr="00EE0371" w:rsidRDefault="00036149" w:rsidP="00073259">
            <w:pPr>
              <w:spacing w:after="0" w:line="360" w:lineRule="auto"/>
              <w:jc w:val="center"/>
              <w:rPr>
                <w:rFonts w:ascii="Arial" w:hAnsi="Arial" w:cs="Arial"/>
                <w:sz w:val="20"/>
                <w:szCs w:val="20"/>
              </w:rPr>
            </w:pPr>
            <w:r w:rsidRPr="00EE0371">
              <w:rPr>
                <w:rFonts w:ascii="Arial" w:hAnsi="Arial" w:cs="Arial"/>
                <w:sz w:val="20"/>
                <w:szCs w:val="20"/>
              </w:rPr>
              <w:t>6</w:t>
            </w:r>
          </w:p>
        </w:tc>
        <w:tc>
          <w:tcPr>
            <w:tcW w:w="3016" w:type="dxa"/>
            <w:vAlign w:val="center"/>
          </w:tcPr>
          <w:p w14:paraId="48072CAE" w14:textId="77777777" w:rsidR="00036149" w:rsidRPr="00EE0371" w:rsidRDefault="00036149" w:rsidP="00073259">
            <w:pPr>
              <w:spacing w:after="0" w:line="360" w:lineRule="auto"/>
              <w:rPr>
                <w:rFonts w:ascii="Arial" w:hAnsi="Arial" w:cs="Arial"/>
                <w:sz w:val="20"/>
                <w:szCs w:val="20"/>
              </w:rPr>
            </w:pPr>
            <w:r w:rsidRPr="00EE0371">
              <w:rPr>
                <w:rFonts w:ascii="Arial" w:hAnsi="Arial" w:cs="Arial"/>
                <w:sz w:val="20"/>
                <w:szCs w:val="20"/>
              </w:rPr>
              <w:t>Obrigatório</w:t>
            </w:r>
          </w:p>
        </w:tc>
      </w:tr>
      <w:tr w:rsidR="00036149" w:rsidRPr="00EE0371" w14:paraId="23653FE3" w14:textId="77777777" w:rsidTr="00073259">
        <w:trPr>
          <w:jc w:val="center"/>
        </w:trPr>
        <w:tc>
          <w:tcPr>
            <w:tcW w:w="3390" w:type="dxa"/>
            <w:vAlign w:val="center"/>
          </w:tcPr>
          <w:p w14:paraId="6DAF1BAF" w14:textId="77777777" w:rsidR="00036149" w:rsidRPr="00EE0371" w:rsidRDefault="00036149" w:rsidP="00073259">
            <w:pPr>
              <w:spacing w:after="0" w:line="360" w:lineRule="auto"/>
              <w:jc w:val="both"/>
              <w:rPr>
                <w:rFonts w:ascii="Arial" w:hAnsi="Arial" w:cs="Arial"/>
                <w:sz w:val="20"/>
                <w:szCs w:val="20"/>
              </w:rPr>
            </w:pPr>
            <w:r w:rsidRPr="00EE0371">
              <w:rPr>
                <w:rFonts w:ascii="Arial" w:hAnsi="Arial" w:cs="Arial"/>
                <w:sz w:val="20"/>
                <w:szCs w:val="20"/>
              </w:rPr>
              <w:t xml:space="preserve">Código da Unidade Orçamentária </w:t>
            </w:r>
          </w:p>
        </w:tc>
        <w:tc>
          <w:tcPr>
            <w:tcW w:w="1133" w:type="dxa"/>
            <w:vAlign w:val="center"/>
          </w:tcPr>
          <w:p w14:paraId="71C5F97D" w14:textId="77777777" w:rsidR="00036149" w:rsidRPr="00EE0371" w:rsidRDefault="00036149" w:rsidP="00073259">
            <w:pPr>
              <w:spacing w:after="0" w:line="360" w:lineRule="auto"/>
              <w:jc w:val="center"/>
              <w:rPr>
                <w:rFonts w:ascii="Arial" w:hAnsi="Arial" w:cs="Arial"/>
                <w:sz w:val="20"/>
                <w:szCs w:val="20"/>
              </w:rPr>
            </w:pPr>
            <w:r w:rsidRPr="00EE0371">
              <w:rPr>
                <w:rFonts w:ascii="Arial" w:hAnsi="Arial" w:cs="Arial"/>
                <w:sz w:val="20"/>
                <w:szCs w:val="20"/>
              </w:rPr>
              <w:t>Caracter</w:t>
            </w:r>
          </w:p>
        </w:tc>
        <w:tc>
          <w:tcPr>
            <w:tcW w:w="1507" w:type="dxa"/>
            <w:vAlign w:val="center"/>
          </w:tcPr>
          <w:p w14:paraId="5301266C" w14:textId="77777777" w:rsidR="00036149" w:rsidRPr="00EE0371" w:rsidRDefault="00036149" w:rsidP="00073259">
            <w:pPr>
              <w:spacing w:after="0" w:line="360" w:lineRule="auto"/>
              <w:jc w:val="center"/>
              <w:rPr>
                <w:rFonts w:ascii="Arial" w:hAnsi="Arial" w:cs="Arial"/>
                <w:sz w:val="20"/>
                <w:szCs w:val="20"/>
              </w:rPr>
            </w:pPr>
            <w:r w:rsidRPr="00EE0371">
              <w:rPr>
                <w:rFonts w:ascii="Arial" w:hAnsi="Arial" w:cs="Arial"/>
                <w:sz w:val="20"/>
                <w:szCs w:val="20"/>
              </w:rPr>
              <w:t>6</w:t>
            </w:r>
          </w:p>
        </w:tc>
        <w:tc>
          <w:tcPr>
            <w:tcW w:w="3016" w:type="dxa"/>
            <w:vAlign w:val="center"/>
          </w:tcPr>
          <w:p w14:paraId="6E2BDA5E" w14:textId="77777777" w:rsidR="00036149" w:rsidRPr="00EE0371" w:rsidRDefault="00036149" w:rsidP="00073259">
            <w:pPr>
              <w:spacing w:after="0" w:line="360" w:lineRule="auto"/>
              <w:rPr>
                <w:rFonts w:ascii="Arial" w:hAnsi="Arial" w:cs="Arial"/>
                <w:sz w:val="20"/>
                <w:szCs w:val="20"/>
              </w:rPr>
            </w:pPr>
            <w:r w:rsidRPr="00EE0371">
              <w:rPr>
                <w:rFonts w:ascii="Arial" w:hAnsi="Arial" w:cs="Arial"/>
                <w:sz w:val="20"/>
                <w:szCs w:val="20"/>
              </w:rPr>
              <w:t>Obrigatório</w:t>
            </w:r>
          </w:p>
        </w:tc>
      </w:tr>
      <w:tr w:rsidR="00036149" w:rsidRPr="00EE0371" w14:paraId="7F1BE249" w14:textId="77777777" w:rsidTr="00073259">
        <w:trPr>
          <w:jc w:val="center"/>
        </w:trPr>
        <w:tc>
          <w:tcPr>
            <w:tcW w:w="3390" w:type="dxa"/>
            <w:vAlign w:val="center"/>
          </w:tcPr>
          <w:p w14:paraId="7E50A521" w14:textId="77777777" w:rsidR="00036149" w:rsidRPr="00EE0371" w:rsidRDefault="00036149" w:rsidP="00073259">
            <w:pPr>
              <w:spacing w:after="0" w:line="360" w:lineRule="auto"/>
              <w:jc w:val="both"/>
              <w:rPr>
                <w:rFonts w:ascii="Arial" w:hAnsi="Arial" w:cs="Arial"/>
                <w:sz w:val="20"/>
                <w:szCs w:val="20"/>
              </w:rPr>
            </w:pPr>
            <w:r w:rsidRPr="00EE0371">
              <w:rPr>
                <w:rFonts w:ascii="Arial" w:hAnsi="Arial" w:cs="Arial"/>
                <w:sz w:val="20"/>
                <w:szCs w:val="20"/>
              </w:rPr>
              <w:t xml:space="preserve">Código da Função </w:t>
            </w:r>
            <w:r w:rsidRPr="000D3464">
              <w:rPr>
                <w:rFonts w:ascii="Arial" w:hAnsi="Arial" w:cs="Arial"/>
                <w:b/>
                <w:sz w:val="20"/>
                <w:szCs w:val="20"/>
                <w:vertAlign w:val="superscript"/>
                <w:lang w:eastAsia="pt-BR"/>
              </w:rPr>
              <w:t>[6]</w:t>
            </w:r>
          </w:p>
        </w:tc>
        <w:tc>
          <w:tcPr>
            <w:tcW w:w="1133" w:type="dxa"/>
            <w:vAlign w:val="center"/>
          </w:tcPr>
          <w:p w14:paraId="76DBCFA2" w14:textId="77777777" w:rsidR="00036149" w:rsidRPr="00EE0371" w:rsidRDefault="00036149" w:rsidP="00073259">
            <w:pPr>
              <w:spacing w:after="0" w:line="360" w:lineRule="auto"/>
              <w:jc w:val="center"/>
              <w:rPr>
                <w:rFonts w:ascii="Arial" w:hAnsi="Arial" w:cs="Arial"/>
                <w:sz w:val="20"/>
                <w:szCs w:val="20"/>
              </w:rPr>
            </w:pPr>
            <w:r w:rsidRPr="00EE0371">
              <w:rPr>
                <w:rFonts w:ascii="Arial" w:hAnsi="Arial" w:cs="Arial"/>
                <w:sz w:val="20"/>
                <w:szCs w:val="20"/>
              </w:rPr>
              <w:t>Caracter</w:t>
            </w:r>
          </w:p>
        </w:tc>
        <w:tc>
          <w:tcPr>
            <w:tcW w:w="1507" w:type="dxa"/>
            <w:vAlign w:val="center"/>
          </w:tcPr>
          <w:p w14:paraId="69B96260" w14:textId="77777777" w:rsidR="00036149" w:rsidRPr="00EE0371" w:rsidRDefault="00036149" w:rsidP="00073259">
            <w:pPr>
              <w:spacing w:after="0" w:line="360" w:lineRule="auto"/>
              <w:jc w:val="center"/>
              <w:rPr>
                <w:rFonts w:ascii="Arial" w:hAnsi="Arial" w:cs="Arial"/>
                <w:sz w:val="20"/>
                <w:szCs w:val="20"/>
              </w:rPr>
            </w:pPr>
            <w:r w:rsidRPr="00EE0371">
              <w:rPr>
                <w:rFonts w:ascii="Arial" w:hAnsi="Arial" w:cs="Arial"/>
                <w:sz w:val="20"/>
                <w:szCs w:val="20"/>
              </w:rPr>
              <w:t>2</w:t>
            </w:r>
          </w:p>
        </w:tc>
        <w:tc>
          <w:tcPr>
            <w:tcW w:w="3016" w:type="dxa"/>
            <w:vAlign w:val="center"/>
          </w:tcPr>
          <w:p w14:paraId="07FFE5B4" w14:textId="77777777" w:rsidR="00036149" w:rsidRPr="00EE0371" w:rsidRDefault="00036149" w:rsidP="00073259">
            <w:pPr>
              <w:spacing w:after="0" w:line="360" w:lineRule="auto"/>
              <w:rPr>
                <w:rFonts w:ascii="Arial" w:hAnsi="Arial" w:cs="Arial"/>
                <w:sz w:val="20"/>
                <w:szCs w:val="20"/>
              </w:rPr>
            </w:pPr>
            <w:r w:rsidRPr="00EE0371">
              <w:rPr>
                <w:rFonts w:ascii="Arial" w:hAnsi="Arial" w:cs="Arial"/>
                <w:sz w:val="20"/>
                <w:szCs w:val="20"/>
              </w:rPr>
              <w:t>Obrigatório</w:t>
            </w:r>
            <w:r>
              <w:rPr>
                <w:rFonts w:ascii="Arial" w:hAnsi="Arial" w:cs="Arial"/>
                <w:sz w:val="20"/>
                <w:szCs w:val="20"/>
              </w:rPr>
              <w:t xml:space="preserve"> </w:t>
            </w:r>
            <w:r w:rsidRPr="00EE0371">
              <w:rPr>
                <w:rFonts w:ascii="Arial" w:hAnsi="Arial" w:cs="Arial"/>
                <w:sz w:val="20"/>
                <w:szCs w:val="20"/>
              </w:rPr>
              <w:t>tabela auxiliar 7.1</w:t>
            </w:r>
          </w:p>
        </w:tc>
      </w:tr>
      <w:tr w:rsidR="00036149" w:rsidRPr="00EE0371" w14:paraId="4D2268F9" w14:textId="77777777" w:rsidTr="00073259">
        <w:trPr>
          <w:jc w:val="center"/>
        </w:trPr>
        <w:tc>
          <w:tcPr>
            <w:tcW w:w="3390" w:type="dxa"/>
            <w:vAlign w:val="center"/>
          </w:tcPr>
          <w:p w14:paraId="6BC4F7B0" w14:textId="77777777" w:rsidR="00036149" w:rsidRPr="00EE0371" w:rsidRDefault="00036149" w:rsidP="00073259">
            <w:pPr>
              <w:spacing w:after="0" w:line="360" w:lineRule="auto"/>
              <w:jc w:val="both"/>
              <w:rPr>
                <w:rFonts w:ascii="Arial" w:hAnsi="Arial" w:cs="Arial"/>
                <w:sz w:val="20"/>
                <w:szCs w:val="20"/>
              </w:rPr>
            </w:pPr>
            <w:r w:rsidRPr="00EE0371">
              <w:rPr>
                <w:rFonts w:ascii="Arial" w:hAnsi="Arial" w:cs="Arial"/>
                <w:sz w:val="20"/>
                <w:szCs w:val="20"/>
              </w:rPr>
              <w:t xml:space="preserve">Código da Subfunção </w:t>
            </w:r>
            <w:r w:rsidRPr="000D3464">
              <w:rPr>
                <w:rFonts w:ascii="Arial" w:hAnsi="Arial" w:cs="Arial"/>
                <w:b/>
                <w:sz w:val="20"/>
                <w:szCs w:val="20"/>
                <w:vertAlign w:val="superscript"/>
                <w:lang w:eastAsia="pt-BR"/>
              </w:rPr>
              <w:t>[6]</w:t>
            </w:r>
            <w:r w:rsidRPr="000D3464">
              <w:rPr>
                <w:rFonts w:ascii="Arial" w:hAnsi="Arial" w:cs="Arial"/>
                <w:sz w:val="20"/>
                <w:szCs w:val="20"/>
                <w:vertAlign w:val="superscript"/>
              </w:rPr>
              <w:t xml:space="preserve"> </w:t>
            </w:r>
          </w:p>
        </w:tc>
        <w:tc>
          <w:tcPr>
            <w:tcW w:w="1133" w:type="dxa"/>
            <w:vAlign w:val="center"/>
          </w:tcPr>
          <w:p w14:paraId="7E5F0DCD" w14:textId="77777777" w:rsidR="00036149" w:rsidRPr="00EE0371" w:rsidRDefault="00036149" w:rsidP="00073259">
            <w:pPr>
              <w:spacing w:after="0" w:line="360" w:lineRule="auto"/>
              <w:jc w:val="center"/>
              <w:rPr>
                <w:rFonts w:ascii="Arial" w:hAnsi="Arial" w:cs="Arial"/>
                <w:sz w:val="20"/>
                <w:szCs w:val="20"/>
              </w:rPr>
            </w:pPr>
            <w:r w:rsidRPr="00EE0371">
              <w:rPr>
                <w:rFonts w:ascii="Arial" w:hAnsi="Arial" w:cs="Arial"/>
                <w:sz w:val="20"/>
                <w:szCs w:val="20"/>
              </w:rPr>
              <w:t>Caracter</w:t>
            </w:r>
          </w:p>
        </w:tc>
        <w:tc>
          <w:tcPr>
            <w:tcW w:w="1507" w:type="dxa"/>
            <w:vAlign w:val="center"/>
          </w:tcPr>
          <w:p w14:paraId="1FA15CD9" w14:textId="77777777" w:rsidR="00036149" w:rsidRPr="00EE0371" w:rsidRDefault="00036149" w:rsidP="00073259">
            <w:pPr>
              <w:spacing w:after="0" w:line="360" w:lineRule="auto"/>
              <w:jc w:val="center"/>
              <w:rPr>
                <w:rFonts w:ascii="Arial" w:hAnsi="Arial" w:cs="Arial"/>
                <w:sz w:val="20"/>
                <w:szCs w:val="20"/>
              </w:rPr>
            </w:pPr>
            <w:r w:rsidRPr="00EE0371">
              <w:rPr>
                <w:rFonts w:ascii="Arial" w:hAnsi="Arial" w:cs="Arial"/>
                <w:sz w:val="20"/>
                <w:szCs w:val="20"/>
              </w:rPr>
              <w:t>3</w:t>
            </w:r>
          </w:p>
        </w:tc>
        <w:tc>
          <w:tcPr>
            <w:tcW w:w="3016" w:type="dxa"/>
            <w:vAlign w:val="center"/>
          </w:tcPr>
          <w:p w14:paraId="0C73AF8D" w14:textId="77777777" w:rsidR="00036149" w:rsidRPr="00EE0371" w:rsidRDefault="00036149" w:rsidP="00073259">
            <w:pPr>
              <w:spacing w:after="0" w:line="360" w:lineRule="auto"/>
              <w:rPr>
                <w:rFonts w:ascii="Arial" w:hAnsi="Arial" w:cs="Arial"/>
                <w:sz w:val="20"/>
                <w:szCs w:val="20"/>
              </w:rPr>
            </w:pPr>
            <w:r w:rsidRPr="00EE0371">
              <w:rPr>
                <w:rFonts w:ascii="Arial" w:hAnsi="Arial" w:cs="Arial"/>
                <w:sz w:val="20"/>
                <w:szCs w:val="20"/>
              </w:rPr>
              <w:t>Obrigatório tabela auxiliar 7.2</w:t>
            </w:r>
          </w:p>
        </w:tc>
      </w:tr>
      <w:tr w:rsidR="00036149" w:rsidRPr="00EE0371" w14:paraId="47D4BB00" w14:textId="77777777" w:rsidTr="00073259">
        <w:trPr>
          <w:jc w:val="center"/>
        </w:trPr>
        <w:tc>
          <w:tcPr>
            <w:tcW w:w="3390" w:type="dxa"/>
            <w:vAlign w:val="center"/>
          </w:tcPr>
          <w:p w14:paraId="3C21ED80" w14:textId="77777777" w:rsidR="00036149" w:rsidRPr="00EE0371" w:rsidRDefault="00036149" w:rsidP="00073259">
            <w:pPr>
              <w:spacing w:after="0" w:line="360" w:lineRule="auto"/>
              <w:jc w:val="both"/>
              <w:rPr>
                <w:rFonts w:ascii="Arial" w:hAnsi="Arial" w:cs="Arial"/>
                <w:sz w:val="20"/>
                <w:szCs w:val="20"/>
              </w:rPr>
            </w:pPr>
            <w:r w:rsidRPr="00EE0371">
              <w:rPr>
                <w:rFonts w:ascii="Arial" w:hAnsi="Arial" w:cs="Arial"/>
                <w:sz w:val="20"/>
                <w:szCs w:val="20"/>
              </w:rPr>
              <w:t xml:space="preserve">Código do Programa  </w:t>
            </w:r>
          </w:p>
        </w:tc>
        <w:tc>
          <w:tcPr>
            <w:tcW w:w="1133" w:type="dxa"/>
            <w:vAlign w:val="center"/>
          </w:tcPr>
          <w:p w14:paraId="7CA1278E" w14:textId="77777777" w:rsidR="00036149" w:rsidRPr="00EE0371" w:rsidRDefault="00036149" w:rsidP="00073259">
            <w:pPr>
              <w:spacing w:after="0" w:line="360" w:lineRule="auto"/>
              <w:jc w:val="center"/>
              <w:rPr>
                <w:rFonts w:ascii="Arial" w:hAnsi="Arial" w:cs="Arial"/>
                <w:sz w:val="20"/>
                <w:szCs w:val="20"/>
              </w:rPr>
            </w:pPr>
            <w:r w:rsidRPr="00EE0371">
              <w:rPr>
                <w:rFonts w:ascii="Arial" w:hAnsi="Arial" w:cs="Arial"/>
                <w:sz w:val="20"/>
                <w:szCs w:val="20"/>
              </w:rPr>
              <w:t>Caracter</w:t>
            </w:r>
          </w:p>
        </w:tc>
        <w:tc>
          <w:tcPr>
            <w:tcW w:w="1507" w:type="dxa"/>
            <w:vAlign w:val="center"/>
          </w:tcPr>
          <w:p w14:paraId="4D776D8B" w14:textId="77777777" w:rsidR="00036149" w:rsidRPr="00EE0371" w:rsidRDefault="00036149" w:rsidP="00073259">
            <w:pPr>
              <w:spacing w:after="0" w:line="360" w:lineRule="auto"/>
              <w:jc w:val="center"/>
              <w:rPr>
                <w:rFonts w:ascii="Arial" w:hAnsi="Arial" w:cs="Arial"/>
                <w:sz w:val="20"/>
                <w:szCs w:val="20"/>
              </w:rPr>
            </w:pPr>
            <w:r w:rsidRPr="00EE0371">
              <w:rPr>
                <w:rFonts w:ascii="Arial" w:hAnsi="Arial" w:cs="Arial"/>
                <w:sz w:val="20"/>
                <w:szCs w:val="20"/>
              </w:rPr>
              <w:t>4</w:t>
            </w:r>
          </w:p>
        </w:tc>
        <w:tc>
          <w:tcPr>
            <w:tcW w:w="3016" w:type="dxa"/>
            <w:vAlign w:val="center"/>
          </w:tcPr>
          <w:p w14:paraId="79B24A2E" w14:textId="77777777" w:rsidR="00036149" w:rsidRPr="00EE0371" w:rsidRDefault="00036149" w:rsidP="00073259">
            <w:pPr>
              <w:spacing w:after="0" w:line="360" w:lineRule="auto"/>
              <w:rPr>
                <w:rFonts w:ascii="Arial" w:hAnsi="Arial" w:cs="Arial"/>
                <w:sz w:val="20"/>
                <w:szCs w:val="20"/>
              </w:rPr>
            </w:pPr>
            <w:r w:rsidRPr="00EE0371">
              <w:rPr>
                <w:rFonts w:ascii="Arial" w:hAnsi="Arial" w:cs="Arial"/>
                <w:sz w:val="20"/>
                <w:szCs w:val="20"/>
              </w:rPr>
              <w:t>Obrigatório</w:t>
            </w:r>
          </w:p>
        </w:tc>
      </w:tr>
      <w:tr w:rsidR="00036149" w:rsidRPr="00EE0371" w14:paraId="44F46583" w14:textId="77777777" w:rsidTr="00073259">
        <w:trPr>
          <w:jc w:val="center"/>
        </w:trPr>
        <w:tc>
          <w:tcPr>
            <w:tcW w:w="3390" w:type="dxa"/>
            <w:vAlign w:val="center"/>
          </w:tcPr>
          <w:p w14:paraId="4716C53E" w14:textId="77777777" w:rsidR="00036149" w:rsidRPr="00EE0371" w:rsidRDefault="00036149" w:rsidP="00073259">
            <w:pPr>
              <w:spacing w:after="0" w:line="360" w:lineRule="auto"/>
              <w:jc w:val="both"/>
              <w:rPr>
                <w:rFonts w:ascii="Arial" w:hAnsi="Arial" w:cs="Arial"/>
                <w:sz w:val="20"/>
                <w:szCs w:val="20"/>
              </w:rPr>
            </w:pPr>
            <w:r w:rsidRPr="00EE0371">
              <w:rPr>
                <w:rFonts w:ascii="Arial" w:hAnsi="Arial" w:cs="Arial"/>
                <w:sz w:val="20"/>
                <w:szCs w:val="20"/>
              </w:rPr>
              <w:t xml:space="preserve">Código da Ação </w:t>
            </w:r>
          </w:p>
        </w:tc>
        <w:tc>
          <w:tcPr>
            <w:tcW w:w="1133" w:type="dxa"/>
            <w:vAlign w:val="center"/>
          </w:tcPr>
          <w:p w14:paraId="4F99B7FC" w14:textId="77777777" w:rsidR="00036149" w:rsidRPr="00EE0371" w:rsidRDefault="00036149" w:rsidP="00073259">
            <w:pPr>
              <w:spacing w:after="0" w:line="360" w:lineRule="auto"/>
              <w:jc w:val="center"/>
              <w:rPr>
                <w:rFonts w:ascii="Arial" w:hAnsi="Arial" w:cs="Arial"/>
                <w:sz w:val="20"/>
                <w:szCs w:val="20"/>
              </w:rPr>
            </w:pPr>
            <w:r w:rsidRPr="00EE0371">
              <w:rPr>
                <w:rFonts w:ascii="Arial" w:hAnsi="Arial" w:cs="Arial"/>
                <w:sz w:val="20"/>
                <w:szCs w:val="20"/>
              </w:rPr>
              <w:t>Caracter</w:t>
            </w:r>
          </w:p>
        </w:tc>
        <w:tc>
          <w:tcPr>
            <w:tcW w:w="1507" w:type="dxa"/>
            <w:vAlign w:val="center"/>
          </w:tcPr>
          <w:p w14:paraId="57341DEE" w14:textId="77777777" w:rsidR="00036149" w:rsidRPr="00EE0371" w:rsidRDefault="00036149" w:rsidP="00073259">
            <w:pPr>
              <w:spacing w:after="0" w:line="360" w:lineRule="auto"/>
              <w:jc w:val="center"/>
              <w:rPr>
                <w:rFonts w:ascii="Arial" w:hAnsi="Arial" w:cs="Arial"/>
                <w:sz w:val="20"/>
                <w:szCs w:val="20"/>
              </w:rPr>
            </w:pPr>
            <w:r w:rsidRPr="00EE0371">
              <w:rPr>
                <w:rFonts w:ascii="Arial" w:hAnsi="Arial" w:cs="Arial"/>
                <w:sz w:val="20"/>
                <w:szCs w:val="20"/>
              </w:rPr>
              <w:t>5</w:t>
            </w:r>
          </w:p>
        </w:tc>
        <w:tc>
          <w:tcPr>
            <w:tcW w:w="3016" w:type="dxa"/>
            <w:vAlign w:val="center"/>
          </w:tcPr>
          <w:p w14:paraId="056D1612" w14:textId="77777777" w:rsidR="00036149" w:rsidRPr="00EE0371" w:rsidRDefault="00036149" w:rsidP="00073259">
            <w:pPr>
              <w:spacing w:after="0" w:line="360" w:lineRule="auto"/>
              <w:rPr>
                <w:rFonts w:ascii="Arial" w:hAnsi="Arial" w:cs="Arial"/>
                <w:sz w:val="20"/>
                <w:szCs w:val="20"/>
              </w:rPr>
            </w:pPr>
            <w:r w:rsidRPr="00EE0371">
              <w:rPr>
                <w:rFonts w:ascii="Arial" w:hAnsi="Arial" w:cs="Arial"/>
                <w:sz w:val="20"/>
                <w:szCs w:val="20"/>
              </w:rPr>
              <w:t>Obrigatório</w:t>
            </w:r>
          </w:p>
        </w:tc>
      </w:tr>
      <w:tr w:rsidR="00036149" w:rsidRPr="00EE0371" w14:paraId="420B20BA" w14:textId="77777777" w:rsidTr="00073259">
        <w:trPr>
          <w:jc w:val="center"/>
        </w:trPr>
        <w:tc>
          <w:tcPr>
            <w:tcW w:w="3390" w:type="dxa"/>
            <w:vAlign w:val="center"/>
          </w:tcPr>
          <w:p w14:paraId="6EE73C89" w14:textId="77777777" w:rsidR="00036149" w:rsidRPr="00EE0371" w:rsidRDefault="00036149" w:rsidP="00073259">
            <w:pPr>
              <w:spacing w:after="0" w:line="360" w:lineRule="auto"/>
              <w:jc w:val="both"/>
              <w:rPr>
                <w:rFonts w:ascii="Arial" w:hAnsi="Arial" w:cs="Arial"/>
                <w:sz w:val="20"/>
                <w:szCs w:val="20"/>
              </w:rPr>
            </w:pPr>
            <w:r w:rsidRPr="00EE0371">
              <w:rPr>
                <w:rFonts w:ascii="Arial" w:hAnsi="Arial" w:cs="Arial"/>
                <w:sz w:val="20"/>
                <w:szCs w:val="20"/>
              </w:rPr>
              <w:t xml:space="preserve">Categoria Econômica da Despesa </w:t>
            </w:r>
            <w:r w:rsidRPr="000D3464">
              <w:rPr>
                <w:rFonts w:ascii="Arial" w:hAnsi="Arial" w:cs="Arial"/>
                <w:b/>
                <w:sz w:val="20"/>
                <w:szCs w:val="20"/>
                <w:vertAlign w:val="superscript"/>
                <w:lang w:eastAsia="pt-BR"/>
              </w:rPr>
              <w:t>[6]</w:t>
            </w:r>
          </w:p>
        </w:tc>
        <w:tc>
          <w:tcPr>
            <w:tcW w:w="1133" w:type="dxa"/>
            <w:vAlign w:val="center"/>
          </w:tcPr>
          <w:p w14:paraId="380A4DD4" w14:textId="77777777" w:rsidR="00036149" w:rsidRPr="00EE0371" w:rsidRDefault="00036149" w:rsidP="00073259">
            <w:pPr>
              <w:spacing w:after="0" w:line="360" w:lineRule="auto"/>
              <w:jc w:val="center"/>
              <w:rPr>
                <w:rFonts w:ascii="Arial" w:hAnsi="Arial" w:cs="Arial"/>
                <w:sz w:val="20"/>
                <w:szCs w:val="20"/>
              </w:rPr>
            </w:pPr>
            <w:r w:rsidRPr="00EE0371">
              <w:rPr>
                <w:rFonts w:ascii="Arial" w:hAnsi="Arial" w:cs="Arial"/>
                <w:sz w:val="20"/>
                <w:szCs w:val="20"/>
              </w:rPr>
              <w:t>Inteiro</w:t>
            </w:r>
          </w:p>
        </w:tc>
        <w:tc>
          <w:tcPr>
            <w:tcW w:w="1507" w:type="dxa"/>
            <w:vAlign w:val="center"/>
          </w:tcPr>
          <w:p w14:paraId="7E5893CE" w14:textId="77777777" w:rsidR="00036149" w:rsidRPr="00EE0371" w:rsidRDefault="00036149" w:rsidP="00073259">
            <w:pPr>
              <w:spacing w:after="0" w:line="360" w:lineRule="auto"/>
              <w:jc w:val="center"/>
              <w:rPr>
                <w:rFonts w:ascii="Arial" w:hAnsi="Arial" w:cs="Arial"/>
                <w:sz w:val="20"/>
                <w:szCs w:val="20"/>
              </w:rPr>
            </w:pPr>
            <w:r w:rsidRPr="00EE0371">
              <w:rPr>
                <w:rFonts w:ascii="Arial" w:hAnsi="Arial" w:cs="Arial"/>
                <w:sz w:val="20"/>
                <w:szCs w:val="20"/>
              </w:rPr>
              <w:t>1</w:t>
            </w:r>
          </w:p>
        </w:tc>
        <w:tc>
          <w:tcPr>
            <w:tcW w:w="3016" w:type="dxa"/>
            <w:vAlign w:val="center"/>
          </w:tcPr>
          <w:p w14:paraId="272B4537" w14:textId="77777777" w:rsidR="00036149" w:rsidRPr="00EE0371" w:rsidRDefault="00036149" w:rsidP="00073259">
            <w:pPr>
              <w:spacing w:after="0" w:line="360" w:lineRule="auto"/>
              <w:rPr>
                <w:rFonts w:ascii="Arial" w:hAnsi="Arial" w:cs="Arial"/>
                <w:sz w:val="20"/>
                <w:szCs w:val="20"/>
              </w:rPr>
            </w:pPr>
            <w:r w:rsidRPr="00EE0371">
              <w:rPr>
                <w:rFonts w:ascii="Arial" w:hAnsi="Arial" w:cs="Arial"/>
                <w:sz w:val="20"/>
                <w:szCs w:val="20"/>
              </w:rPr>
              <w:t>Obrigatório tabela auxiliar 7.3</w:t>
            </w:r>
          </w:p>
        </w:tc>
      </w:tr>
      <w:tr w:rsidR="00036149" w:rsidRPr="00EE0371" w14:paraId="3942BD99" w14:textId="77777777" w:rsidTr="00073259">
        <w:trPr>
          <w:jc w:val="center"/>
        </w:trPr>
        <w:tc>
          <w:tcPr>
            <w:tcW w:w="3390" w:type="dxa"/>
            <w:vAlign w:val="center"/>
          </w:tcPr>
          <w:p w14:paraId="3FF35FEE" w14:textId="77777777" w:rsidR="00036149" w:rsidRPr="00EE0371" w:rsidRDefault="00036149" w:rsidP="00073259">
            <w:pPr>
              <w:spacing w:after="0" w:line="360" w:lineRule="auto"/>
              <w:jc w:val="both"/>
              <w:rPr>
                <w:rFonts w:ascii="Arial" w:hAnsi="Arial" w:cs="Arial"/>
                <w:sz w:val="20"/>
                <w:szCs w:val="20"/>
              </w:rPr>
            </w:pPr>
            <w:r w:rsidRPr="00EE0371">
              <w:rPr>
                <w:rFonts w:ascii="Arial" w:hAnsi="Arial" w:cs="Arial"/>
                <w:sz w:val="20"/>
                <w:szCs w:val="20"/>
              </w:rPr>
              <w:t xml:space="preserve">Grupo de Natureza da Despesa </w:t>
            </w:r>
            <w:r w:rsidRPr="000D3464">
              <w:rPr>
                <w:rFonts w:ascii="Arial" w:hAnsi="Arial" w:cs="Arial"/>
                <w:b/>
                <w:sz w:val="20"/>
                <w:szCs w:val="20"/>
                <w:vertAlign w:val="superscript"/>
                <w:lang w:eastAsia="pt-BR"/>
              </w:rPr>
              <w:t>[6]</w:t>
            </w:r>
          </w:p>
        </w:tc>
        <w:tc>
          <w:tcPr>
            <w:tcW w:w="1133" w:type="dxa"/>
            <w:vAlign w:val="center"/>
          </w:tcPr>
          <w:p w14:paraId="76B3F790" w14:textId="77777777" w:rsidR="00036149" w:rsidRPr="00EE0371" w:rsidRDefault="00036149" w:rsidP="00073259">
            <w:pPr>
              <w:spacing w:after="0" w:line="360" w:lineRule="auto"/>
              <w:jc w:val="center"/>
              <w:rPr>
                <w:rFonts w:ascii="Arial" w:hAnsi="Arial" w:cs="Arial"/>
                <w:sz w:val="20"/>
                <w:szCs w:val="20"/>
              </w:rPr>
            </w:pPr>
            <w:r w:rsidRPr="00EE0371">
              <w:rPr>
                <w:rFonts w:ascii="Arial" w:hAnsi="Arial" w:cs="Arial"/>
                <w:sz w:val="20"/>
                <w:szCs w:val="20"/>
              </w:rPr>
              <w:t>Inteiro</w:t>
            </w:r>
          </w:p>
        </w:tc>
        <w:tc>
          <w:tcPr>
            <w:tcW w:w="1507" w:type="dxa"/>
            <w:vAlign w:val="center"/>
          </w:tcPr>
          <w:p w14:paraId="712D41CD" w14:textId="77777777" w:rsidR="00036149" w:rsidRPr="00EE0371" w:rsidRDefault="00036149" w:rsidP="00073259">
            <w:pPr>
              <w:spacing w:after="0" w:line="360" w:lineRule="auto"/>
              <w:jc w:val="center"/>
              <w:rPr>
                <w:rFonts w:ascii="Arial" w:hAnsi="Arial" w:cs="Arial"/>
                <w:sz w:val="20"/>
                <w:szCs w:val="20"/>
              </w:rPr>
            </w:pPr>
            <w:r w:rsidRPr="00EE0371">
              <w:rPr>
                <w:rFonts w:ascii="Arial" w:hAnsi="Arial" w:cs="Arial"/>
                <w:sz w:val="20"/>
                <w:szCs w:val="20"/>
              </w:rPr>
              <w:t>1</w:t>
            </w:r>
          </w:p>
        </w:tc>
        <w:tc>
          <w:tcPr>
            <w:tcW w:w="3016" w:type="dxa"/>
            <w:vAlign w:val="center"/>
          </w:tcPr>
          <w:p w14:paraId="7042444A" w14:textId="77777777" w:rsidR="00036149" w:rsidRPr="00EE0371" w:rsidRDefault="00036149" w:rsidP="00073259">
            <w:pPr>
              <w:spacing w:after="0" w:line="360" w:lineRule="auto"/>
              <w:rPr>
                <w:rFonts w:ascii="Arial" w:hAnsi="Arial" w:cs="Arial"/>
                <w:sz w:val="20"/>
                <w:szCs w:val="20"/>
              </w:rPr>
            </w:pPr>
            <w:r w:rsidRPr="00EE0371">
              <w:rPr>
                <w:rFonts w:ascii="Arial" w:hAnsi="Arial" w:cs="Arial"/>
                <w:sz w:val="20"/>
                <w:szCs w:val="20"/>
              </w:rPr>
              <w:t>Obrigatório tabela auxiliar 7.4</w:t>
            </w:r>
          </w:p>
        </w:tc>
      </w:tr>
      <w:tr w:rsidR="00036149" w:rsidRPr="00EE0371" w14:paraId="2B03EC95" w14:textId="77777777" w:rsidTr="00073259">
        <w:trPr>
          <w:jc w:val="center"/>
        </w:trPr>
        <w:tc>
          <w:tcPr>
            <w:tcW w:w="3390" w:type="dxa"/>
            <w:vAlign w:val="center"/>
          </w:tcPr>
          <w:p w14:paraId="50707404" w14:textId="77777777" w:rsidR="00036149" w:rsidRPr="00EE0371" w:rsidRDefault="00036149" w:rsidP="00073259">
            <w:pPr>
              <w:spacing w:after="0" w:line="360" w:lineRule="auto"/>
              <w:jc w:val="both"/>
              <w:rPr>
                <w:rFonts w:ascii="Arial" w:hAnsi="Arial" w:cs="Arial"/>
                <w:sz w:val="20"/>
                <w:szCs w:val="20"/>
              </w:rPr>
            </w:pPr>
            <w:r w:rsidRPr="00EE0371">
              <w:rPr>
                <w:rFonts w:ascii="Arial" w:hAnsi="Arial" w:cs="Arial"/>
                <w:sz w:val="20"/>
                <w:szCs w:val="20"/>
              </w:rPr>
              <w:t xml:space="preserve">Modalidade de Aplicação </w:t>
            </w:r>
            <w:r w:rsidRPr="000D3464">
              <w:rPr>
                <w:rFonts w:ascii="Arial" w:hAnsi="Arial" w:cs="Arial"/>
                <w:b/>
                <w:sz w:val="20"/>
                <w:szCs w:val="20"/>
                <w:vertAlign w:val="superscript"/>
                <w:lang w:eastAsia="pt-BR"/>
              </w:rPr>
              <w:t>[6]</w:t>
            </w:r>
          </w:p>
        </w:tc>
        <w:tc>
          <w:tcPr>
            <w:tcW w:w="1133" w:type="dxa"/>
            <w:vAlign w:val="center"/>
          </w:tcPr>
          <w:p w14:paraId="051FAAB4" w14:textId="77777777" w:rsidR="00036149" w:rsidRPr="00EE0371" w:rsidRDefault="00036149" w:rsidP="00073259">
            <w:pPr>
              <w:spacing w:after="0" w:line="360" w:lineRule="auto"/>
              <w:jc w:val="center"/>
              <w:rPr>
                <w:rFonts w:ascii="Arial" w:hAnsi="Arial" w:cs="Arial"/>
                <w:sz w:val="20"/>
                <w:szCs w:val="20"/>
              </w:rPr>
            </w:pPr>
            <w:r w:rsidRPr="00EE0371">
              <w:rPr>
                <w:rFonts w:ascii="Arial" w:hAnsi="Arial" w:cs="Arial"/>
                <w:sz w:val="20"/>
                <w:szCs w:val="20"/>
              </w:rPr>
              <w:t>Inteiro</w:t>
            </w:r>
          </w:p>
        </w:tc>
        <w:tc>
          <w:tcPr>
            <w:tcW w:w="1507" w:type="dxa"/>
            <w:vAlign w:val="center"/>
          </w:tcPr>
          <w:p w14:paraId="2AE4686D" w14:textId="77777777" w:rsidR="00036149" w:rsidRPr="00EE0371" w:rsidRDefault="00036149" w:rsidP="00073259">
            <w:pPr>
              <w:spacing w:after="0" w:line="360" w:lineRule="auto"/>
              <w:jc w:val="center"/>
              <w:rPr>
                <w:rFonts w:ascii="Arial" w:hAnsi="Arial" w:cs="Arial"/>
                <w:sz w:val="20"/>
                <w:szCs w:val="20"/>
              </w:rPr>
            </w:pPr>
            <w:r w:rsidRPr="00EE0371">
              <w:rPr>
                <w:rFonts w:ascii="Arial" w:hAnsi="Arial" w:cs="Arial"/>
                <w:sz w:val="20"/>
                <w:szCs w:val="20"/>
              </w:rPr>
              <w:t>2</w:t>
            </w:r>
          </w:p>
        </w:tc>
        <w:tc>
          <w:tcPr>
            <w:tcW w:w="3016" w:type="dxa"/>
            <w:vAlign w:val="center"/>
          </w:tcPr>
          <w:p w14:paraId="1786D772" w14:textId="77777777" w:rsidR="00036149" w:rsidRPr="00EE0371" w:rsidRDefault="00036149" w:rsidP="00073259">
            <w:pPr>
              <w:spacing w:after="0" w:line="360" w:lineRule="auto"/>
              <w:rPr>
                <w:rFonts w:ascii="Arial" w:hAnsi="Arial" w:cs="Arial"/>
                <w:sz w:val="20"/>
                <w:szCs w:val="20"/>
              </w:rPr>
            </w:pPr>
            <w:r w:rsidRPr="00EE0371">
              <w:rPr>
                <w:rFonts w:ascii="Arial" w:hAnsi="Arial" w:cs="Arial"/>
                <w:sz w:val="20"/>
                <w:szCs w:val="20"/>
              </w:rPr>
              <w:t>Obrigatório tabela auxiliar 7.5</w:t>
            </w:r>
          </w:p>
        </w:tc>
      </w:tr>
      <w:tr w:rsidR="00036149" w:rsidRPr="00EE0371" w14:paraId="229FB03B" w14:textId="77777777" w:rsidTr="00073259">
        <w:trPr>
          <w:jc w:val="center"/>
        </w:trPr>
        <w:tc>
          <w:tcPr>
            <w:tcW w:w="3390" w:type="dxa"/>
            <w:vAlign w:val="center"/>
          </w:tcPr>
          <w:p w14:paraId="5097E47F" w14:textId="77777777" w:rsidR="00036149" w:rsidRPr="00EE0371" w:rsidRDefault="00036149" w:rsidP="00073259">
            <w:pPr>
              <w:spacing w:after="0" w:line="360" w:lineRule="auto"/>
              <w:jc w:val="both"/>
              <w:rPr>
                <w:rFonts w:ascii="Arial" w:hAnsi="Arial" w:cs="Arial"/>
                <w:sz w:val="20"/>
                <w:szCs w:val="20"/>
              </w:rPr>
            </w:pPr>
            <w:r w:rsidRPr="00EE0371">
              <w:rPr>
                <w:rFonts w:ascii="Arial" w:hAnsi="Arial" w:cs="Arial"/>
                <w:sz w:val="20"/>
                <w:szCs w:val="20"/>
              </w:rPr>
              <w:t xml:space="preserve">Elemento de Despesa </w:t>
            </w:r>
            <w:r w:rsidRPr="000D3464">
              <w:rPr>
                <w:rFonts w:ascii="Arial" w:hAnsi="Arial" w:cs="Arial"/>
                <w:b/>
                <w:sz w:val="20"/>
                <w:szCs w:val="20"/>
                <w:vertAlign w:val="superscript"/>
                <w:lang w:eastAsia="pt-BR"/>
              </w:rPr>
              <w:t>[6]</w:t>
            </w:r>
          </w:p>
        </w:tc>
        <w:tc>
          <w:tcPr>
            <w:tcW w:w="1133" w:type="dxa"/>
            <w:vAlign w:val="center"/>
          </w:tcPr>
          <w:p w14:paraId="6E25CA34" w14:textId="77777777" w:rsidR="00036149" w:rsidRPr="00EE0371" w:rsidRDefault="00036149" w:rsidP="00073259">
            <w:pPr>
              <w:spacing w:after="0" w:line="360" w:lineRule="auto"/>
              <w:jc w:val="center"/>
              <w:rPr>
                <w:rFonts w:ascii="Arial" w:hAnsi="Arial" w:cs="Arial"/>
                <w:sz w:val="20"/>
                <w:szCs w:val="20"/>
              </w:rPr>
            </w:pPr>
            <w:r w:rsidRPr="00EE0371">
              <w:rPr>
                <w:rFonts w:ascii="Arial" w:hAnsi="Arial" w:cs="Arial"/>
                <w:sz w:val="20"/>
                <w:szCs w:val="20"/>
              </w:rPr>
              <w:t>Inteiro</w:t>
            </w:r>
          </w:p>
        </w:tc>
        <w:tc>
          <w:tcPr>
            <w:tcW w:w="1507" w:type="dxa"/>
            <w:vAlign w:val="center"/>
          </w:tcPr>
          <w:p w14:paraId="3ACB2693" w14:textId="77777777" w:rsidR="00036149" w:rsidRPr="00EE0371" w:rsidRDefault="00036149" w:rsidP="00073259">
            <w:pPr>
              <w:spacing w:after="0" w:line="360" w:lineRule="auto"/>
              <w:jc w:val="center"/>
              <w:rPr>
                <w:rFonts w:ascii="Arial" w:hAnsi="Arial" w:cs="Arial"/>
                <w:sz w:val="20"/>
                <w:szCs w:val="20"/>
              </w:rPr>
            </w:pPr>
            <w:r w:rsidRPr="00EE0371">
              <w:rPr>
                <w:rFonts w:ascii="Arial" w:hAnsi="Arial" w:cs="Arial"/>
                <w:sz w:val="20"/>
                <w:szCs w:val="20"/>
              </w:rPr>
              <w:t>2</w:t>
            </w:r>
          </w:p>
        </w:tc>
        <w:tc>
          <w:tcPr>
            <w:tcW w:w="3016" w:type="dxa"/>
            <w:vAlign w:val="center"/>
          </w:tcPr>
          <w:p w14:paraId="1E93AEA5" w14:textId="77777777" w:rsidR="00036149" w:rsidRPr="00EE0371" w:rsidRDefault="00036149" w:rsidP="00073259">
            <w:pPr>
              <w:spacing w:after="0" w:line="360" w:lineRule="auto"/>
              <w:rPr>
                <w:rFonts w:ascii="Arial" w:hAnsi="Arial" w:cs="Arial"/>
                <w:sz w:val="20"/>
                <w:szCs w:val="20"/>
              </w:rPr>
            </w:pPr>
            <w:r w:rsidRPr="00EE0371">
              <w:rPr>
                <w:rFonts w:ascii="Arial" w:hAnsi="Arial" w:cs="Arial"/>
                <w:sz w:val="20"/>
                <w:szCs w:val="20"/>
              </w:rPr>
              <w:t>Obrigatório tabela auxiliar 7.6</w:t>
            </w:r>
          </w:p>
        </w:tc>
      </w:tr>
      <w:tr w:rsidR="00036149" w:rsidRPr="00EE0371" w14:paraId="41318411" w14:textId="77777777" w:rsidTr="00073259">
        <w:trPr>
          <w:jc w:val="center"/>
        </w:trPr>
        <w:tc>
          <w:tcPr>
            <w:tcW w:w="3390" w:type="dxa"/>
            <w:vAlign w:val="center"/>
          </w:tcPr>
          <w:p w14:paraId="63389B6D" w14:textId="77777777" w:rsidR="00036149" w:rsidRPr="00EE0371" w:rsidRDefault="00036149" w:rsidP="00073259">
            <w:pPr>
              <w:spacing w:after="0" w:line="360" w:lineRule="auto"/>
              <w:jc w:val="both"/>
              <w:rPr>
                <w:rFonts w:ascii="Arial" w:hAnsi="Arial" w:cs="Arial"/>
                <w:sz w:val="20"/>
                <w:szCs w:val="20"/>
              </w:rPr>
            </w:pPr>
            <w:r w:rsidRPr="00EE0371">
              <w:rPr>
                <w:rFonts w:ascii="Arial" w:hAnsi="Arial" w:cs="Arial"/>
                <w:sz w:val="20"/>
                <w:szCs w:val="20"/>
              </w:rPr>
              <w:t xml:space="preserve">Código do Grupo de Fonte/Destinação de Recursos </w:t>
            </w:r>
            <w:r w:rsidRPr="000D3464">
              <w:rPr>
                <w:rFonts w:ascii="Arial" w:hAnsi="Arial" w:cs="Arial"/>
                <w:b/>
                <w:sz w:val="20"/>
                <w:szCs w:val="20"/>
                <w:vertAlign w:val="superscript"/>
                <w:lang w:eastAsia="pt-BR"/>
              </w:rPr>
              <w:t>[6]</w:t>
            </w:r>
          </w:p>
        </w:tc>
        <w:tc>
          <w:tcPr>
            <w:tcW w:w="1133" w:type="dxa"/>
            <w:vAlign w:val="center"/>
          </w:tcPr>
          <w:p w14:paraId="0DAF9631" w14:textId="77777777" w:rsidR="00036149" w:rsidRPr="00EE0371" w:rsidRDefault="00036149" w:rsidP="00073259">
            <w:pPr>
              <w:spacing w:after="0" w:line="360" w:lineRule="auto"/>
              <w:jc w:val="center"/>
              <w:rPr>
                <w:rFonts w:ascii="Arial" w:hAnsi="Arial" w:cs="Arial"/>
                <w:sz w:val="20"/>
                <w:szCs w:val="20"/>
              </w:rPr>
            </w:pPr>
            <w:r w:rsidRPr="00EE0371">
              <w:rPr>
                <w:rFonts w:ascii="Arial" w:hAnsi="Arial" w:cs="Arial"/>
                <w:sz w:val="20"/>
                <w:szCs w:val="20"/>
              </w:rPr>
              <w:t>Inteiro</w:t>
            </w:r>
          </w:p>
        </w:tc>
        <w:tc>
          <w:tcPr>
            <w:tcW w:w="1507" w:type="dxa"/>
            <w:vAlign w:val="center"/>
          </w:tcPr>
          <w:p w14:paraId="2421975D" w14:textId="77777777" w:rsidR="00036149" w:rsidRPr="00EE0371" w:rsidRDefault="00036149" w:rsidP="00073259">
            <w:pPr>
              <w:spacing w:after="0" w:line="360" w:lineRule="auto"/>
              <w:jc w:val="center"/>
              <w:rPr>
                <w:rFonts w:ascii="Arial" w:hAnsi="Arial" w:cs="Arial"/>
                <w:sz w:val="20"/>
                <w:szCs w:val="20"/>
              </w:rPr>
            </w:pPr>
            <w:r w:rsidRPr="00EE0371">
              <w:rPr>
                <w:rFonts w:ascii="Arial" w:hAnsi="Arial" w:cs="Arial"/>
                <w:sz w:val="20"/>
                <w:szCs w:val="20"/>
              </w:rPr>
              <w:t>1</w:t>
            </w:r>
          </w:p>
        </w:tc>
        <w:tc>
          <w:tcPr>
            <w:tcW w:w="3016" w:type="dxa"/>
            <w:vAlign w:val="center"/>
          </w:tcPr>
          <w:p w14:paraId="37B8A227" w14:textId="77777777" w:rsidR="00036149" w:rsidRPr="00EE0371" w:rsidRDefault="00036149" w:rsidP="00073259">
            <w:pPr>
              <w:spacing w:after="0" w:line="360" w:lineRule="auto"/>
              <w:rPr>
                <w:rFonts w:ascii="Arial" w:hAnsi="Arial" w:cs="Arial"/>
                <w:sz w:val="20"/>
                <w:szCs w:val="20"/>
              </w:rPr>
            </w:pPr>
            <w:r w:rsidRPr="00EE0371">
              <w:rPr>
                <w:rFonts w:ascii="Arial" w:hAnsi="Arial" w:cs="Arial"/>
                <w:sz w:val="20"/>
                <w:szCs w:val="20"/>
              </w:rPr>
              <w:t>Obrigatório conforme tabela auxiliar 1.1</w:t>
            </w:r>
          </w:p>
        </w:tc>
      </w:tr>
      <w:tr w:rsidR="00036149" w:rsidRPr="00EE0371" w14:paraId="4C161697" w14:textId="77777777" w:rsidTr="00073259">
        <w:trPr>
          <w:jc w:val="center"/>
        </w:trPr>
        <w:tc>
          <w:tcPr>
            <w:tcW w:w="3390" w:type="dxa"/>
            <w:vAlign w:val="center"/>
          </w:tcPr>
          <w:p w14:paraId="23A4481C" w14:textId="77777777" w:rsidR="00036149" w:rsidRPr="00EE0371" w:rsidRDefault="00036149" w:rsidP="00073259">
            <w:pPr>
              <w:spacing w:after="0" w:line="360" w:lineRule="auto"/>
              <w:jc w:val="both"/>
              <w:rPr>
                <w:rFonts w:ascii="Arial" w:hAnsi="Arial" w:cs="Arial"/>
                <w:sz w:val="20"/>
                <w:szCs w:val="20"/>
              </w:rPr>
            </w:pPr>
            <w:r w:rsidRPr="00EE0371">
              <w:rPr>
                <w:rFonts w:ascii="Arial" w:hAnsi="Arial" w:cs="Arial"/>
                <w:sz w:val="20"/>
                <w:szCs w:val="20"/>
              </w:rPr>
              <w:t>Código da especificação da fonte/destinação de recursos (fixo)</w:t>
            </w:r>
          </w:p>
        </w:tc>
        <w:tc>
          <w:tcPr>
            <w:tcW w:w="1133" w:type="dxa"/>
            <w:vAlign w:val="center"/>
          </w:tcPr>
          <w:p w14:paraId="706F1C08" w14:textId="77777777" w:rsidR="00036149" w:rsidRPr="00EE0371" w:rsidRDefault="00036149" w:rsidP="00073259">
            <w:pPr>
              <w:spacing w:after="0" w:line="360" w:lineRule="auto"/>
              <w:jc w:val="center"/>
              <w:rPr>
                <w:rFonts w:ascii="Arial" w:hAnsi="Arial" w:cs="Arial"/>
                <w:sz w:val="20"/>
                <w:szCs w:val="20"/>
              </w:rPr>
            </w:pPr>
            <w:r w:rsidRPr="00EE0371">
              <w:rPr>
                <w:rFonts w:ascii="Arial" w:hAnsi="Arial" w:cs="Arial"/>
                <w:sz w:val="20"/>
                <w:szCs w:val="20"/>
              </w:rPr>
              <w:t>Caracter</w:t>
            </w:r>
          </w:p>
        </w:tc>
        <w:tc>
          <w:tcPr>
            <w:tcW w:w="1507" w:type="dxa"/>
            <w:vAlign w:val="center"/>
          </w:tcPr>
          <w:p w14:paraId="71935225" w14:textId="77777777" w:rsidR="00036149" w:rsidRPr="00EE0371" w:rsidRDefault="00036149" w:rsidP="00073259">
            <w:pPr>
              <w:spacing w:after="0" w:line="360" w:lineRule="auto"/>
              <w:jc w:val="center"/>
              <w:rPr>
                <w:rFonts w:ascii="Arial" w:hAnsi="Arial" w:cs="Arial"/>
                <w:sz w:val="20"/>
                <w:szCs w:val="20"/>
              </w:rPr>
            </w:pPr>
            <w:r w:rsidRPr="00EE0371">
              <w:rPr>
                <w:rFonts w:ascii="Arial" w:hAnsi="Arial" w:cs="Arial"/>
                <w:sz w:val="20"/>
                <w:szCs w:val="20"/>
              </w:rPr>
              <w:t>3</w:t>
            </w:r>
          </w:p>
        </w:tc>
        <w:tc>
          <w:tcPr>
            <w:tcW w:w="3016" w:type="dxa"/>
            <w:vAlign w:val="center"/>
          </w:tcPr>
          <w:p w14:paraId="3BC33D5E" w14:textId="77777777" w:rsidR="00036149" w:rsidRPr="00EE0371" w:rsidRDefault="00036149" w:rsidP="00073259">
            <w:pPr>
              <w:spacing w:after="0" w:line="360" w:lineRule="auto"/>
              <w:rPr>
                <w:rFonts w:ascii="Arial" w:hAnsi="Arial" w:cs="Arial"/>
                <w:sz w:val="20"/>
                <w:szCs w:val="20"/>
              </w:rPr>
            </w:pPr>
            <w:r w:rsidRPr="00EE0371">
              <w:rPr>
                <w:rFonts w:ascii="Arial" w:hAnsi="Arial" w:cs="Arial"/>
                <w:sz w:val="20"/>
                <w:szCs w:val="20"/>
              </w:rPr>
              <w:t>Obrigatório conforme Tabela Auxiliar 1.2 – parte fixa</w:t>
            </w:r>
          </w:p>
        </w:tc>
      </w:tr>
      <w:tr w:rsidR="00036149" w:rsidRPr="00EE0371" w14:paraId="34588639" w14:textId="77777777" w:rsidTr="00073259">
        <w:trPr>
          <w:jc w:val="center"/>
        </w:trPr>
        <w:tc>
          <w:tcPr>
            <w:tcW w:w="3390" w:type="dxa"/>
            <w:vAlign w:val="center"/>
          </w:tcPr>
          <w:p w14:paraId="066D77B9" w14:textId="77777777" w:rsidR="00036149" w:rsidRPr="00EE0371" w:rsidRDefault="00036149" w:rsidP="00073259">
            <w:pPr>
              <w:spacing w:after="0" w:line="360" w:lineRule="auto"/>
              <w:jc w:val="both"/>
              <w:rPr>
                <w:rFonts w:ascii="Arial" w:hAnsi="Arial" w:cs="Arial"/>
                <w:sz w:val="20"/>
                <w:szCs w:val="20"/>
              </w:rPr>
            </w:pPr>
            <w:r w:rsidRPr="00EE0371">
              <w:rPr>
                <w:rFonts w:ascii="Arial" w:hAnsi="Arial" w:cs="Arial"/>
                <w:sz w:val="20"/>
                <w:szCs w:val="20"/>
              </w:rPr>
              <w:t>Código da especificação/detalhamento da destinação de recursos (variável)</w:t>
            </w:r>
          </w:p>
        </w:tc>
        <w:tc>
          <w:tcPr>
            <w:tcW w:w="1133" w:type="dxa"/>
            <w:vAlign w:val="center"/>
          </w:tcPr>
          <w:p w14:paraId="3096B805" w14:textId="77777777" w:rsidR="00036149" w:rsidRPr="00EE0371" w:rsidRDefault="00036149" w:rsidP="00073259">
            <w:pPr>
              <w:spacing w:after="0" w:line="360" w:lineRule="auto"/>
              <w:jc w:val="center"/>
              <w:rPr>
                <w:rFonts w:ascii="Arial" w:hAnsi="Arial" w:cs="Arial"/>
                <w:sz w:val="20"/>
                <w:szCs w:val="20"/>
              </w:rPr>
            </w:pPr>
            <w:r w:rsidRPr="00EE0371">
              <w:rPr>
                <w:rFonts w:ascii="Arial" w:hAnsi="Arial" w:cs="Arial"/>
                <w:sz w:val="20"/>
                <w:szCs w:val="20"/>
              </w:rPr>
              <w:t>Caracter</w:t>
            </w:r>
          </w:p>
        </w:tc>
        <w:tc>
          <w:tcPr>
            <w:tcW w:w="1507" w:type="dxa"/>
            <w:vAlign w:val="center"/>
          </w:tcPr>
          <w:p w14:paraId="211E5A0E" w14:textId="77777777" w:rsidR="00036149" w:rsidRPr="00EE0371" w:rsidRDefault="00036149" w:rsidP="00073259">
            <w:pPr>
              <w:spacing w:after="0" w:line="360" w:lineRule="auto"/>
              <w:jc w:val="center"/>
              <w:rPr>
                <w:rFonts w:ascii="Arial" w:hAnsi="Arial" w:cs="Arial"/>
                <w:sz w:val="20"/>
                <w:szCs w:val="20"/>
              </w:rPr>
            </w:pPr>
            <w:r w:rsidRPr="00EE0371">
              <w:rPr>
                <w:rFonts w:ascii="Arial" w:hAnsi="Arial" w:cs="Arial"/>
                <w:sz w:val="20"/>
                <w:szCs w:val="20"/>
              </w:rPr>
              <w:t>4</w:t>
            </w:r>
          </w:p>
        </w:tc>
        <w:tc>
          <w:tcPr>
            <w:tcW w:w="3016" w:type="dxa"/>
            <w:vAlign w:val="center"/>
          </w:tcPr>
          <w:p w14:paraId="24719471" w14:textId="77777777" w:rsidR="00036149" w:rsidRPr="00EE0371" w:rsidRDefault="00036149" w:rsidP="00073259">
            <w:pPr>
              <w:spacing w:after="0" w:line="360" w:lineRule="auto"/>
              <w:rPr>
                <w:rFonts w:ascii="Arial" w:hAnsi="Arial" w:cs="Arial"/>
                <w:sz w:val="20"/>
                <w:szCs w:val="20"/>
              </w:rPr>
            </w:pPr>
            <w:r w:rsidRPr="00EE0371">
              <w:rPr>
                <w:rFonts w:ascii="Arial" w:hAnsi="Arial" w:cs="Arial"/>
                <w:sz w:val="20"/>
                <w:szCs w:val="20"/>
              </w:rPr>
              <w:t>Obrigatório conforme Tabela Auxiliar 1.2 ou Tabela Cadastral 1.3 – parte variável</w:t>
            </w:r>
            <w:r>
              <w:rPr>
                <w:rFonts w:ascii="Arial" w:hAnsi="Arial" w:cs="Arial"/>
                <w:sz w:val="20"/>
                <w:szCs w:val="20"/>
              </w:rPr>
              <w:t xml:space="preserve"> </w:t>
            </w:r>
          </w:p>
        </w:tc>
      </w:tr>
      <w:tr w:rsidR="00036149" w:rsidRPr="00EE0371" w14:paraId="56389169" w14:textId="77777777" w:rsidTr="00073259">
        <w:trPr>
          <w:jc w:val="center"/>
        </w:trPr>
        <w:tc>
          <w:tcPr>
            <w:tcW w:w="3390" w:type="dxa"/>
            <w:vAlign w:val="center"/>
          </w:tcPr>
          <w:p w14:paraId="43220403" w14:textId="77777777" w:rsidR="00036149" w:rsidRPr="00EE0371" w:rsidRDefault="00036149" w:rsidP="00073259">
            <w:pPr>
              <w:spacing w:after="0" w:line="360" w:lineRule="auto"/>
              <w:jc w:val="both"/>
              <w:rPr>
                <w:rFonts w:ascii="Arial" w:hAnsi="Arial" w:cs="Arial"/>
                <w:sz w:val="20"/>
                <w:szCs w:val="20"/>
              </w:rPr>
            </w:pPr>
            <w:r w:rsidRPr="00EE0371">
              <w:rPr>
                <w:rFonts w:ascii="Arial" w:hAnsi="Arial" w:cs="Arial"/>
                <w:sz w:val="20"/>
                <w:szCs w:val="20"/>
              </w:rPr>
              <w:t>Valor da Atualização</w:t>
            </w:r>
          </w:p>
        </w:tc>
        <w:tc>
          <w:tcPr>
            <w:tcW w:w="1133" w:type="dxa"/>
            <w:vAlign w:val="center"/>
          </w:tcPr>
          <w:p w14:paraId="0B00AFA0" w14:textId="77777777" w:rsidR="00036149" w:rsidRPr="00EE0371" w:rsidRDefault="00036149" w:rsidP="00073259">
            <w:pPr>
              <w:spacing w:after="0" w:line="360" w:lineRule="auto"/>
              <w:jc w:val="center"/>
              <w:rPr>
                <w:rFonts w:ascii="Arial" w:hAnsi="Arial" w:cs="Arial"/>
                <w:sz w:val="20"/>
                <w:szCs w:val="20"/>
              </w:rPr>
            </w:pPr>
            <w:r w:rsidRPr="00EE0371">
              <w:rPr>
                <w:rFonts w:ascii="Arial" w:hAnsi="Arial" w:cs="Arial"/>
                <w:sz w:val="20"/>
                <w:szCs w:val="20"/>
              </w:rPr>
              <w:t>Decimal</w:t>
            </w:r>
          </w:p>
        </w:tc>
        <w:tc>
          <w:tcPr>
            <w:tcW w:w="1507" w:type="dxa"/>
            <w:vAlign w:val="center"/>
          </w:tcPr>
          <w:p w14:paraId="345E3A02" w14:textId="77777777" w:rsidR="00036149" w:rsidRPr="00EE0371" w:rsidRDefault="00036149" w:rsidP="00073259">
            <w:pPr>
              <w:spacing w:after="0" w:line="360" w:lineRule="auto"/>
              <w:jc w:val="center"/>
              <w:rPr>
                <w:rFonts w:ascii="Arial" w:hAnsi="Arial" w:cs="Arial"/>
                <w:sz w:val="20"/>
                <w:szCs w:val="20"/>
              </w:rPr>
            </w:pPr>
            <w:r w:rsidRPr="00EE0371">
              <w:rPr>
                <w:rFonts w:ascii="Arial" w:hAnsi="Arial" w:cs="Arial"/>
                <w:sz w:val="20"/>
                <w:szCs w:val="20"/>
              </w:rPr>
              <w:t>14,2</w:t>
            </w:r>
          </w:p>
        </w:tc>
        <w:tc>
          <w:tcPr>
            <w:tcW w:w="3016" w:type="dxa"/>
            <w:vAlign w:val="center"/>
          </w:tcPr>
          <w:p w14:paraId="1DE43100" w14:textId="77777777" w:rsidR="00036149" w:rsidRPr="00EE0371" w:rsidRDefault="00036149" w:rsidP="00073259">
            <w:pPr>
              <w:spacing w:after="0" w:line="360" w:lineRule="auto"/>
              <w:rPr>
                <w:rFonts w:ascii="Arial" w:hAnsi="Arial" w:cs="Arial"/>
                <w:sz w:val="20"/>
                <w:szCs w:val="20"/>
              </w:rPr>
            </w:pPr>
            <w:r w:rsidRPr="00EE0371">
              <w:rPr>
                <w:rFonts w:ascii="Arial" w:hAnsi="Arial" w:cs="Arial"/>
                <w:sz w:val="20"/>
                <w:szCs w:val="20"/>
              </w:rPr>
              <w:t>Obrigatório</w:t>
            </w:r>
          </w:p>
        </w:tc>
      </w:tr>
    </w:tbl>
    <w:p w14:paraId="532F3CC3" w14:textId="77777777" w:rsidR="00036149" w:rsidRDefault="00036149" w:rsidP="00036149">
      <w:pPr>
        <w:ind w:left="360"/>
        <w:jc w:val="both"/>
        <w:rPr>
          <w:rFonts w:ascii="Arial" w:hAnsi="Arial" w:cs="Arial"/>
          <w:bCs/>
          <w:sz w:val="24"/>
          <w:szCs w:val="24"/>
        </w:rPr>
      </w:pPr>
    </w:p>
    <w:p w14:paraId="563AF9F4" w14:textId="77777777" w:rsidR="00036149" w:rsidRDefault="00036149" w:rsidP="00036149">
      <w:pPr>
        <w:jc w:val="both"/>
      </w:pPr>
      <w:r w:rsidRPr="000D3464">
        <w:rPr>
          <w:rFonts w:ascii="Arial" w:hAnsi="Arial" w:cs="Arial"/>
          <w:sz w:val="18"/>
          <w:szCs w:val="18"/>
          <w:lang w:eastAsia="pt-BR"/>
        </w:rPr>
        <w:t>[1] Informar o Ano, Número</w:t>
      </w:r>
      <w:r>
        <w:rPr>
          <w:rFonts w:ascii="Arial" w:hAnsi="Arial" w:cs="Arial"/>
          <w:sz w:val="18"/>
          <w:szCs w:val="18"/>
          <w:lang w:eastAsia="pt-BR"/>
        </w:rPr>
        <w:t>,</w:t>
      </w:r>
      <w:r w:rsidRPr="000D3464">
        <w:rPr>
          <w:rFonts w:ascii="Arial" w:hAnsi="Arial" w:cs="Arial"/>
          <w:sz w:val="18"/>
          <w:szCs w:val="18"/>
          <w:lang w:eastAsia="pt-BR"/>
        </w:rPr>
        <w:t xml:space="preserve"> </w:t>
      </w:r>
      <w:r w:rsidRPr="00E675D7">
        <w:rPr>
          <w:rFonts w:ascii="Arial" w:hAnsi="Arial" w:cs="Arial"/>
          <w:dstrike/>
          <w:color w:val="FF0000"/>
          <w:sz w:val="18"/>
          <w:szCs w:val="18"/>
          <w:lang w:eastAsia="pt-BR"/>
        </w:rPr>
        <w:t xml:space="preserve">e a </w:t>
      </w:r>
      <w:r w:rsidRPr="000D3464">
        <w:rPr>
          <w:rFonts w:ascii="Arial" w:hAnsi="Arial" w:cs="Arial"/>
          <w:sz w:val="18"/>
          <w:szCs w:val="18"/>
          <w:lang w:eastAsia="pt-BR"/>
        </w:rPr>
        <w:t xml:space="preserve">Data de Publicação da Lei Municipal </w:t>
      </w:r>
      <w:r w:rsidRPr="00E675D7">
        <w:rPr>
          <w:rFonts w:ascii="Arial" w:hAnsi="Arial" w:cs="Arial"/>
          <w:b/>
          <w:bCs/>
          <w:color w:val="0070C0"/>
          <w:sz w:val="18"/>
          <w:szCs w:val="18"/>
          <w:lang w:eastAsia="pt-BR"/>
        </w:rPr>
        <w:t>e o Tipo de Lei Autorizativa</w:t>
      </w:r>
      <w:r w:rsidRPr="00E675D7">
        <w:rPr>
          <w:rFonts w:ascii="Arial" w:hAnsi="Arial" w:cs="Arial"/>
          <w:color w:val="0070C0"/>
          <w:sz w:val="18"/>
          <w:szCs w:val="18"/>
          <w:lang w:eastAsia="pt-BR"/>
        </w:rPr>
        <w:t xml:space="preserve"> </w:t>
      </w:r>
      <w:r w:rsidRPr="000D3464">
        <w:rPr>
          <w:rFonts w:ascii="Arial" w:hAnsi="Arial" w:cs="Arial"/>
          <w:sz w:val="18"/>
          <w:szCs w:val="18"/>
          <w:lang w:eastAsia="pt-BR"/>
        </w:rPr>
        <w:t>que fornece a base legal para a ocorrência da alteração orçamentária. Para os Créditos Adicionais Extraordinários não é obrigatório informar estes campos.</w:t>
      </w:r>
    </w:p>
    <w:p w14:paraId="2F93DBCF" w14:textId="62A9E139" w:rsidR="00036149" w:rsidRDefault="00036149" w:rsidP="00036149">
      <w:pPr>
        <w:spacing w:after="0" w:line="240" w:lineRule="auto"/>
        <w:rPr>
          <w:rFonts w:ascii="Arial" w:hAnsi="Arial" w:cs="Arial"/>
          <w:bCs/>
          <w:sz w:val="24"/>
          <w:szCs w:val="24"/>
        </w:rPr>
      </w:pPr>
    </w:p>
    <w:p w14:paraId="2A322F69" w14:textId="77777777" w:rsidR="00073259" w:rsidRDefault="00073259" w:rsidP="00036149">
      <w:pPr>
        <w:spacing w:after="0" w:line="240" w:lineRule="auto"/>
        <w:rPr>
          <w:rFonts w:ascii="Arial" w:hAnsi="Arial" w:cs="Arial"/>
          <w:bCs/>
          <w:sz w:val="24"/>
          <w:szCs w:val="24"/>
        </w:rPr>
      </w:pPr>
    </w:p>
    <w:p w14:paraId="663A921D" w14:textId="77777777" w:rsidR="00036149" w:rsidRDefault="00036149" w:rsidP="000E4666">
      <w:pPr>
        <w:rPr>
          <w:rFonts w:ascii="Arial" w:hAnsi="Arial" w:cs="Arial"/>
          <w:sz w:val="24"/>
          <w:szCs w:val="24"/>
        </w:rPr>
      </w:pPr>
    </w:p>
    <w:p w14:paraId="6F674B35" w14:textId="77777777" w:rsidR="000E4666" w:rsidRDefault="000E4666" w:rsidP="000E4666">
      <w:pPr>
        <w:rPr>
          <w:rFonts w:ascii="Arial" w:hAnsi="Arial" w:cs="Arial"/>
          <w:sz w:val="24"/>
          <w:szCs w:val="24"/>
        </w:rPr>
      </w:pPr>
    </w:p>
    <w:p w14:paraId="566469B1" w14:textId="700448BC" w:rsidR="000E4666" w:rsidRPr="000E4666" w:rsidRDefault="000E4666" w:rsidP="000E4666">
      <w:pPr>
        <w:rPr>
          <w:rFonts w:ascii="Arial" w:hAnsi="Arial" w:cs="Arial"/>
          <w:sz w:val="24"/>
          <w:szCs w:val="24"/>
        </w:rPr>
        <w:sectPr w:rsidR="000E4666" w:rsidRPr="000E4666" w:rsidSect="000E4666">
          <w:footnotePr>
            <w:numRestart w:val="eachPage"/>
          </w:footnotePr>
          <w:pgSz w:w="11906" w:h="16838"/>
          <w:pgMar w:top="1418" w:right="1701" w:bottom="1418" w:left="1134" w:header="709" w:footer="709" w:gutter="0"/>
          <w:cols w:space="708"/>
          <w:docGrid w:linePitch="360"/>
        </w:sectPr>
      </w:pPr>
    </w:p>
    <w:p w14:paraId="5F98F2A5" w14:textId="74CA93AD" w:rsidR="00126F61" w:rsidRPr="00613437" w:rsidRDefault="00C93D4D" w:rsidP="00126F61">
      <w:pPr>
        <w:pStyle w:val="Ttulo2"/>
        <w:ind w:left="578" w:hanging="578"/>
        <w:rPr>
          <w:lang w:val="pt-BR"/>
        </w:rPr>
      </w:pPr>
      <w:r w:rsidRPr="00613437">
        <w:rPr>
          <w:lang w:val="pt-BR"/>
        </w:rPr>
        <w:lastRenderedPageBreak/>
        <w:t xml:space="preserve"> </w:t>
      </w:r>
      <w:bookmarkStart w:id="119" w:name="_Toc94806389"/>
      <w:r w:rsidR="00126F61" w:rsidRPr="00613437">
        <w:rPr>
          <w:lang w:val="pt-BR"/>
        </w:rPr>
        <w:t xml:space="preserve">Incluído o arquivo INFOCI.XML (ou </w:t>
      </w:r>
      <w:r w:rsidR="00126F61">
        <w:rPr>
          <w:lang w:val="pt-BR"/>
        </w:rPr>
        <w:t>InformacoesControleInterno</w:t>
      </w:r>
      <w:r w:rsidR="00126F61" w:rsidRPr="00613437">
        <w:rPr>
          <w:lang w:val="pt-BR"/>
        </w:rPr>
        <w:t>.xml).</w:t>
      </w:r>
      <w:bookmarkEnd w:id="119"/>
    </w:p>
    <w:p w14:paraId="09A19BD5" w14:textId="77777777" w:rsidR="00126F61" w:rsidRDefault="00126F61" w:rsidP="00126F61">
      <w:pPr>
        <w:spacing w:after="0" w:line="360" w:lineRule="auto"/>
        <w:jc w:val="both"/>
      </w:pPr>
    </w:p>
    <w:p w14:paraId="66FA91D0" w14:textId="5404F586" w:rsidR="00126F61" w:rsidRDefault="00126F61" w:rsidP="005D3226">
      <w:pPr>
        <w:spacing w:after="0" w:line="360" w:lineRule="auto"/>
        <w:jc w:val="both"/>
        <w:rPr>
          <w:rFonts w:ascii="Arial" w:eastAsia="Calibri" w:hAnsi="Arial" w:cs="Times New Roman"/>
          <w:color w:val="0070C0"/>
        </w:rPr>
      </w:pPr>
      <w:r w:rsidRPr="00073259">
        <w:rPr>
          <w:rFonts w:ascii="Arial" w:eastAsia="Calibri" w:hAnsi="Arial" w:cs="Times New Roman"/>
          <w:b/>
          <w:bCs/>
          <w:color w:val="0070C0"/>
        </w:rPr>
        <w:t>Descrição:</w:t>
      </w:r>
      <w:r w:rsidR="005401D9">
        <w:rPr>
          <w:rFonts w:ascii="Arial" w:eastAsia="Calibri" w:hAnsi="Arial" w:cs="Times New Roman"/>
          <w:b/>
          <w:bCs/>
          <w:color w:val="0070C0"/>
        </w:rPr>
        <w:t xml:space="preserve"> </w:t>
      </w:r>
      <w:r w:rsidR="005401D9" w:rsidRPr="005401D9">
        <w:rPr>
          <w:rFonts w:ascii="Arial" w:eastAsia="Calibri" w:hAnsi="Arial" w:cs="Times New Roman"/>
          <w:color w:val="0070C0"/>
        </w:rPr>
        <w:t>Este arquivo conterá as informações da unidade de Controle Interno, bem como as informações sobre a atuação do Controle Interno na verificação dos pontos de controle destinados à emissão do parecer sobre as Prestações de Contas Anuais – Gestão e Governo, contemplando apenas os Pontos de Controle objeto da Tabela Referencial 1, constante do item 3.2 deste Anexo.</w:t>
      </w:r>
    </w:p>
    <w:p w14:paraId="778FCFA3" w14:textId="42AF9DC6" w:rsidR="005401D9" w:rsidRDefault="005401D9" w:rsidP="005D3226">
      <w:pPr>
        <w:spacing w:after="0" w:line="360" w:lineRule="auto"/>
        <w:jc w:val="both"/>
        <w:rPr>
          <w:rFonts w:ascii="Arial" w:eastAsia="Calibri" w:hAnsi="Arial" w:cs="Times New Roman"/>
          <w:color w:val="0070C0"/>
        </w:rPr>
      </w:pPr>
      <w:r w:rsidRPr="005401D9">
        <w:rPr>
          <w:rFonts w:ascii="Arial" w:eastAsia="Calibri" w:hAnsi="Arial" w:cs="Times New Roman"/>
          <w:color w:val="0070C0"/>
        </w:rPr>
        <w:t xml:space="preserve">No que se refere ao conjunto de informações que integram a Estrutura </w:t>
      </w:r>
      <w:r w:rsidRPr="002049F4">
        <w:rPr>
          <w:rFonts w:ascii="Arial" w:eastAsia="Calibri" w:hAnsi="Arial" w:cs="Times New Roman"/>
          <w:color w:val="002060"/>
        </w:rPr>
        <w:t>‘</w:t>
      </w:r>
      <w:r w:rsidR="007D0AFB" w:rsidRPr="002049F4">
        <w:rPr>
          <w:rFonts w:ascii="Arial" w:eastAsia="Times New Roman" w:hAnsi="Arial" w:cs="Arial"/>
          <w:b/>
          <w:bCs/>
          <w:color w:val="002060"/>
          <w:lang w:eastAsia="pt-BR"/>
        </w:rPr>
        <w:t>InformacoesControleInternoTomadaContasEspecial</w:t>
      </w:r>
      <w:r w:rsidRPr="007D0AFB">
        <w:rPr>
          <w:rFonts w:ascii="Arial" w:eastAsia="Calibri" w:hAnsi="Arial" w:cs="Times New Roman"/>
          <w:color w:val="002060"/>
        </w:rPr>
        <w:t>’</w:t>
      </w:r>
      <w:r w:rsidRPr="005401D9">
        <w:rPr>
          <w:rFonts w:ascii="Arial" w:eastAsia="Calibri" w:hAnsi="Arial" w:cs="Times New Roman"/>
          <w:color w:val="0070C0"/>
        </w:rPr>
        <w:t>, devem ser informadas todas as Tomadas de Contas Especiais que foram instauradas no exercício e aquelas que foram instauradas e não finalizadas em exercícios anteriores.</w:t>
      </w:r>
    </w:p>
    <w:p w14:paraId="37508797" w14:textId="77777777" w:rsidR="005D3226" w:rsidRPr="00073259" w:rsidRDefault="005D3226" w:rsidP="005D3226">
      <w:pPr>
        <w:spacing w:after="0" w:line="360" w:lineRule="auto"/>
        <w:jc w:val="both"/>
        <w:rPr>
          <w:color w:val="0070C0"/>
        </w:rPr>
      </w:pPr>
    </w:p>
    <w:p w14:paraId="35B8D1F3" w14:textId="77777777" w:rsidR="00126F61" w:rsidRPr="00073259" w:rsidRDefault="00126F61" w:rsidP="00126F61">
      <w:pPr>
        <w:rPr>
          <w:rFonts w:ascii="Arial" w:hAnsi="Arial" w:cs="Arial"/>
          <w:b/>
          <w:color w:val="0070C0"/>
          <w:sz w:val="28"/>
        </w:rPr>
      </w:pPr>
      <w:r w:rsidRPr="00073259">
        <w:rPr>
          <w:rFonts w:ascii="Arial" w:hAnsi="Arial"/>
          <w:b/>
          <w:bCs/>
          <w:color w:val="0070C0"/>
        </w:rPr>
        <w:t>Estrutura:</w:t>
      </w:r>
    </w:p>
    <w:p w14:paraId="0E5B14A6" w14:textId="4318D986" w:rsidR="00126F61" w:rsidRDefault="00126F61" w:rsidP="00126F61">
      <w:pPr>
        <w:autoSpaceDE w:val="0"/>
        <w:autoSpaceDN w:val="0"/>
        <w:adjustRightInd w:val="0"/>
        <w:spacing w:after="0" w:line="240" w:lineRule="auto"/>
        <w:jc w:val="both"/>
        <w:rPr>
          <w:color w:val="0070C0"/>
        </w:rPr>
      </w:pPr>
    </w:p>
    <w:p w14:paraId="44DB113E" w14:textId="77777777" w:rsidR="002A557D" w:rsidRPr="00356B43" w:rsidRDefault="002A557D" w:rsidP="002A557D">
      <w:pPr>
        <w:spacing w:after="0" w:line="240" w:lineRule="auto"/>
        <w:jc w:val="both"/>
        <w:rPr>
          <w:rFonts w:ascii="Arial" w:eastAsia="Calibri" w:hAnsi="Arial" w:cs="Arial"/>
          <w:color w:val="0070C0"/>
          <w:sz w:val="20"/>
          <w:szCs w:val="20"/>
          <w:lang w:eastAsia="pt-BR"/>
        </w:rPr>
      </w:pPr>
      <w:r w:rsidRPr="00356B43">
        <w:rPr>
          <w:rFonts w:ascii="Arial" w:eastAsia="Calibri" w:hAnsi="Arial" w:cs="Arial"/>
          <w:color w:val="0070C0"/>
          <w:sz w:val="20"/>
          <w:szCs w:val="20"/>
          <w:lang w:eastAsia="pt-BR"/>
        </w:rPr>
        <w:t>&lt;?xml version="1.0" encoding=“UTF-8”?&gt;</w:t>
      </w:r>
    </w:p>
    <w:p w14:paraId="2331497F" w14:textId="77777777" w:rsidR="002A557D" w:rsidRPr="00356B43" w:rsidRDefault="002A557D" w:rsidP="002A557D">
      <w:pPr>
        <w:spacing w:after="0" w:line="240" w:lineRule="auto"/>
        <w:jc w:val="both"/>
        <w:rPr>
          <w:rFonts w:ascii="Arial" w:eastAsia="Calibri" w:hAnsi="Arial" w:cs="Arial"/>
          <w:color w:val="0070C0"/>
          <w:sz w:val="20"/>
          <w:szCs w:val="20"/>
          <w:lang w:eastAsia="pt-BR"/>
        </w:rPr>
      </w:pPr>
      <w:r w:rsidRPr="00356B43">
        <w:rPr>
          <w:rFonts w:ascii="Arial" w:eastAsia="Calibri" w:hAnsi="Arial" w:cs="Arial"/>
          <w:color w:val="0070C0"/>
          <w:sz w:val="20"/>
          <w:szCs w:val="20"/>
          <w:lang w:eastAsia="pt-BR"/>
        </w:rPr>
        <w:t>&lt;PrestacaoContasAnual&gt;</w:t>
      </w:r>
    </w:p>
    <w:p w14:paraId="34DD5C0A" w14:textId="77777777" w:rsidR="002A557D" w:rsidRPr="00356B43" w:rsidRDefault="002A557D" w:rsidP="002A557D">
      <w:pPr>
        <w:spacing w:after="0" w:line="240" w:lineRule="auto"/>
        <w:jc w:val="both"/>
        <w:rPr>
          <w:rFonts w:ascii="Arial" w:eastAsia="Calibri" w:hAnsi="Arial" w:cs="Arial"/>
          <w:color w:val="0070C0"/>
          <w:sz w:val="20"/>
          <w:szCs w:val="20"/>
          <w:lang w:eastAsia="pt-BR"/>
        </w:rPr>
      </w:pPr>
      <w:r w:rsidRPr="00356B43">
        <w:rPr>
          <w:rFonts w:ascii="Arial" w:eastAsia="Calibri" w:hAnsi="Arial" w:cs="Arial"/>
          <w:color w:val="0070C0"/>
          <w:sz w:val="20"/>
          <w:szCs w:val="20"/>
          <w:lang w:eastAsia="pt-BR"/>
        </w:rPr>
        <w:t>     &lt;InformacoesControleInterno_Schema&gt;</w:t>
      </w:r>
    </w:p>
    <w:p w14:paraId="2B20A960" w14:textId="77777777" w:rsidR="002A557D" w:rsidRPr="00356B43" w:rsidRDefault="002A557D" w:rsidP="002A557D">
      <w:pPr>
        <w:spacing w:after="0" w:line="240" w:lineRule="auto"/>
        <w:jc w:val="both"/>
        <w:rPr>
          <w:rFonts w:ascii="Arial" w:eastAsia="Calibri" w:hAnsi="Arial" w:cs="Arial"/>
          <w:color w:val="0070C0"/>
          <w:sz w:val="20"/>
          <w:szCs w:val="20"/>
          <w:lang w:eastAsia="pt-BR"/>
        </w:rPr>
      </w:pPr>
    </w:p>
    <w:p w14:paraId="1F0E9521" w14:textId="77777777" w:rsidR="002A557D" w:rsidRPr="00356B43" w:rsidRDefault="002A557D" w:rsidP="002A557D">
      <w:pPr>
        <w:spacing w:after="0" w:line="240" w:lineRule="auto"/>
        <w:jc w:val="both"/>
        <w:rPr>
          <w:rFonts w:ascii="Arial" w:eastAsia="Calibri" w:hAnsi="Arial" w:cs="Arial"/>
          <w:color w:val="0070C0"/>
          <w:sz w:val="20"/>
          <w:szCs w:val="20"/>
          <w:lang w:eastAsia="pt-BR"/>
        </w:rPr>
      </w:pPr>
      <w:r w:rsidRPr="00356B43">
        <w:rPr>
          <w:rFonts w:ascii="Arial" w:eastAsia="Calibri" w:hAnsi="Arial" w:cs="Arial"/>
          <w:color w:val="0070C0"/>
          <w:sz w:val="20"/>
          <w:szCs w:val="20"/>
          <w:lang w:eastAsia="pt-BR"/>
        </w:rPr>
        <w:t>     &lt;InformacoesControleInternoEstruturaInicial&gt;</w:t>
      </w:r>
    </w:p>
    <w:p w14:paraId="0D7BD0E2" w14:textId="77777777" w:rsidR="002A557D" w:rsidRPr="00356B43" w:rsidRDefault="002A557D" w:rsidP="002A557D">
      <w:pPr>
        <w:spacing w:after="0" w:line="240" w:lineRule="auto"/>
        <w:jc w:val="both"/>
        <w:rPr>
          <w:rFonts w:ascii="Arial" w:eastAsia="Calibri" w:hAnsi="Arial" w:cs="Arial"/>
          <w:color w:val="0070C0"/>
          <w:sz w:val="20"/>
          <w:szCs w:val="20"/>
          <w:lang w:eastAsia="pt-BR"/>
        </w:rPr>
      </w:pPr>
      <w:r w:rsidRPr="00356B43">
        <w:rPr>
          <w:rFonts w:ascii="Arial" w:eastAsia="Calibri" w:hAnsi="Arial" w:cs="Arial"/>
          <w:color w:val="0070C0"/>
          <w:sz w:val="20"/>
          <w:szCs w:val="20"/>
          <w:lang w:eastAsia="pt-BR"/>
        </w:rPr>
        <w:t>        &lt;IdNumRegistro&gt;99999&lt;/IdNumRegistro&gt;</w:t>
      </w:r>
    </w:p>
    <w:p w14:paraId="620922ED" w14:textId="77777777" w:rsidR="002A557D" w:rsidRPr="00356B43" w:rsidRDefault="002A557D" w:rsidP="002A557D">
      <w:pPr>
        <w:spacing w:after="0" w:line="240" w:lineRule="auto"/>
        <w:ind w:left="426"/>
        <w:jc w:val="both"/>
        <w:rPr>
          <w:rFonts w:ascii="Arial" w:eastAsia="Calibri" w:hAnsi="Arial" w:cs="Arial"/>
          <w:color w:val="0070C0"/>
          <w:sz w:val="20"/>
          <w:szCs w:val="20"/>
          <w:lang w:eastAsia="pt-BR"/>
        </w:rPr>
      </w:pPr>
      <w:r w:rsidRPr="00356B43">
        <w:rPr>
          <w:rFonts w:ascii="Arial" w:eastAsia="Calibri" w:hAnsi="Arial" w:cs="Arial"/>
          <w:color w:val="0070C0"/>
          <w:sz w:val="20"/>
          <w:szCs w:val="20"/>
          <w:lang w:eastAsia="pt-BR"/>
        </w:rPr>
        <w:t>&lt;NivelControleInterno&gt;9&lt;/NivelControleInterno&gt;</w:t>
      </w:r>
    </w:p>
    <w:p w14:paraId="138DBA1D" w14:textId="77777777" w:rsidR="002A557D" w:rsidRPr="00356B43" w:rsidRDefault="002A557D" w:rsidP="002A557D">
      <w:pPr>
        <w:spacing w:after="0" w:line="240" w:lineRule="auto"/>
        <w:ind w:left="426"/>
        <w:jc w:val="both"/>
        <w:rPr>
          <w:rFonts w:ascii="Arial" w:eastAsia="Calibri" w:hAnsi="Arial" w:cs="Arial"/>
          <w:color w:val="0070C0"/>
          <w:sz w:val="20"/>
          <w:szCs w:val="20"/>
          <w:lang w:eastAsia="pt-BR"/>
        </w:rPr>
      </w:pPr>
      <w:r w:rsidRPr="00356B43">
        <w:rPr>
          <w:rFonts w:ascii="Arial" w:eastAsia="Calibri" w:hAnsi="Arial" w:cs="Arial"/>
          <w:color w:val="0070C0"/>
          <w:sz w:val="20"/>
          <w:szCs w:val="20"/>
          <w:lang w:eastAsia="pt-BR"/>
        </w:rPr>
        <w:t>&lt;QuantidadeTotalServidores&gt;99999&lt;/QuantidadeTotalServidores&gt;</w:t>
      </w:r>
    </w:p>
    <w:p w14:paraId="3F29A01C" w14:textId="77777777" w:rsidR="002A557D" w:rsidRPr="00356B43" w:rsidRDefault="002A557D" w:rsidP="002A557D">
      <w:pPr>
        <w:spacing w:after="0" w:line="240" w:lineRule="auto"/>
        <w:jc w:val="both"/>
        <w:rPr>
          <w:rFonts w:ascii="Arial" w:eastAsia="Calibri" w:hAnsi="Arial" w:cs="Arial"/>
          <w:color w:val="0070C0"/>
          <w:sz w:val="20"/>
          <w:szCs w:val="20"/>
          <w:lang w:eastAsia="pt-BR"/>
        </w:rPr>
      </w:pPr>
      <w:r w:rsidRPr="00356B43">
        <w:rPr>
          <w:rFonts w:ascii="Arial" w:eastAsia="Calibri" w:hAnsi="Arial" w:cs="Arial"/>
          <w:color w:val="0070C0"/>
          <w:sz w:val="20"/>
          <w:szCs w:val="20"/>
          <w:lang w:eastAsia="pt-BR"/>
        </w:rPr>
        <w:t>        &lt;QuantidadeServidoresEfetivos&gt;99999&lt;/QuantidadeServidoresEfetivos&gt;</w:t>
      </w:r>
    </w:p>
    <w:p w14:paraId="3AF02724" w14:textId="77777777" w:rsidR="002A557D" w:rsidRPr="00356B43" w:rsidRDefault="002A557D" w:rsidP="002A557D">
      <w:pPr>
        <w:spacing w:after="0" w:line="240" w:lineRule="auto"/>
        <w:jc w:val="both"/>
        <w:rPr>
          <w:rFonts w:ascii="Arial" w:eastAsia="Calibri" w:hAnsi="Arial" w:cs="Arial"/>
          <w:color w:val="0070C0"/>
          <w:sz w:val="20"/>
          <w:szCs w:val="20"/>
          <w:lang w:eastAsia="pt-BR"/>
        </w:rPr>
      </w:pPr>
      <w:r w:rsidRPr="00356B43">
        <w:rPr>
          <w:rFonts w:ascii="Arial" w:eastAsia="Calibri" w:hAnsi="Arial" w:cs="Arial"/>
          <w:color w:val="0070C0"/>
          <w:sz w:val="20"/>
          <w:szCs w:val="20"/>
          <w:lang w:eastAsia="pt-BR"/>
        </w:rPr>
        <w:t>        &lt;QuantidadeContadores&gt;99999&lt;/QuantidadeContadores&gt;</w:t>
      </w:r>
    </w:p>
    <w:p w14:paraId="2A1A692B" w14:textId="77777777" w:rsidR="002A557D" w:rsidRPr="00356B43" w:rsidRDefault="002A557D" w:rsidP="002A557D">
      <w:pPr>
        <w:spacing w:after="0" w:line="240" w:lineRule="auto"/>
        <w:jc w:val="both"/>
        <w:rPr>
          <w:rFonts w:ascii="Arial" w:eastAsia="Calibri" w:hAnsi="Arial" w:cs="Arial"/>
          <w:color w:val="0070C0"/>
          <w:sz w:val="20"/>
          <w:szCs w:val="20"/>
          <w:lang w:eastAsia="pt-BR"/>
        </w:rPr>
      </w:pPr>
      <w:r w:rsidRPr="00356B43">
        <w:rPr>
          <w:rFonts w:ascii="Arial" w:eastAsia="Calibri" w:hAnsi="Arial" w:cs="Arial"/>
          <w:color w:val="0070C0"/>
          <w:sz w:val="20"/>
          <w:szCs w:val="20"/>
          <w:lang w:eastAsia="pt-BR"/>
        </w:rPr>
        <w:t>        &lt;NormaInternaGestaoOrcamentaria&gt;9&lt;/NormaInternaGestaoOrcamentaria&gt;</w:t>
      </w:r>
    </w:p>
    <w:p w14:paraId="52416F56" w14:textId="77777777" w:rsidR="002A557D" w:rsidRPr="00356B43" w:rsidRDefault="002A557D" w:rsidP="002A557D">
      <w:pPr>
        <w:spacing w:after="0" w:line="240" w:lineRule="auto"/>
        <w:jc w:val="both"/>
        <w:rPr>
          <w:rFonts w:ascii="Arial" w:eastAsia="Calibri" w:hAnsi="Arial" w:cs="Arial"/>
          <w:color w:val="0070C0"/>
          <w:sz w:val="20"/>
          <w:szCs w:val="20"/>
          <w:lang w:eastAsia="pt-BR"/>
        </w:rPr>
      </w:pPr>
      <w:r w:rsidRPr="00356B43">
        <w:rPr>
          <w:rFonts w:ascii="Arial" w:eastAsia="Calibri" w:hAnsi="Arial" w:cs="Arial"/>
          <w:color w:val="0070C0"/>
          <w:sz w:val="20"/>
          <w:szCs w:val="20"/>
          <w:lang w:eastAsia="pt-BR"/>
        </w:rPr>
        <w:t>        &lt;NormaInternaGestaoFinanceira&gt;9&lt;/NormaInternaGestaoFinanceira&gt;</w:t>
      </w:r>
    </w:p>
    <w:p w14:paraId="3359127B" w14:textId="77777777" w:rsidR="002A557D" w:rsidRPr="00356B43" w:rsidRDefault="002A557D" w:rsidP="002A557D">
      <w:pPr>
        <w:spacing w:after="0" w:line="240" w:lineRule="auto"/>
        <w:jc w:val="both"/>
        <w:rPr>
          <w:rFonts w:ascii="Arial" w:eastAsia="Calibri" w:hAnsi="Arial" w:cs="Arial"/>
          <w:color w:val="0070C0"/>
          <w:sz w:val="20"/>
          <w:szCs w:val="20"/>
          <w:lang w:eastAsia="pt-BR"/>
        </w:rPr>
      </w:pPr>
      <w:r w:rsidRPr="00356B43">
        <w:rPr>
          <w:rFonts w:ascii="Arial" w:eastAsia="Calibri" w:hAnsi="Arial" w:cs="Arial"/>
          <w:color w:val="0070C0"/>
          <w:sz w:val="20"/>
          <w:szCs w:val="20"/>
          <w:lang w:eastAsia="pt-BR"/>
        </w:rPr>
        <w:t>        &lt;NormaInternaGestaoPatrimonial&gt;9&lt;/NormaInternaGestaoPatrimonial&gt;</w:t>
      </w:r>
    </w:p>
    <w:p w14:paraId="7B26C329" w14:textId="77777777" w:rsidR="002A557D" w:rsidRPr="00356B43" w:rsidRDefault="002A557D" w:rsidP="002A557D">
      <w:pPr>
        <w:spacing w:after="0" w:line="240" w:lineRule="auto"/>
        <w:jc w:val="both"/>
        <w:rPr>
          <w:rFonts w:ascii="Arial" w:eastAsia="Calibri" w:hAnsi="Arial" w:cs="Arial"/>
          <w:color w:val="0070C0"/>
          <w:sz w:val="20"/>
          <w:szCs w:val="20"/>
          <w:lang w:eastAsia="pt-BR"/>
        </w:rPr>
      </w:pPr>
      <w:r w:rsidRPr="00356B43">
        <w:rPr>
          <w:rFonts w:ascii="Arial" w:eastAsia="Calibri" w:hAnsi="Arial" w:cs="Arial"/>
          <w:color w:val="0070C0"/>
          <w:sz w:val="20"/>
          <w:szCs w:val="20"/>
          <w:lang w:eastAsia="pt-BR"/>
        </w:rPr>
        <w:t>        &lt;NormaInternaGestaoFiscal&gt;9&lt;/NormaInternaGestaoFiscal&gt;</w:t>
      </w:r>
    </w:p>
    <w:p w14:paraId="1919EADE" w14:textId="77777777" w:rsidR="002A557D" w:rsidRPr="00356B43" w:rsidRDefault="002A557D" w:rsidP="002A557D">
      <w:pPr>
        <w:spacing w:after="0" w:line="240" w:lineRule="auto"/>
        <w:jc w:val="both"/>
        <w:rPr>
          <w:rFonts w:ascii="Arial" w:eastAsia="Calibri" w:hAnsi="Arial" w:cs="Arial"/>
          <w:color w:val="0070C0"/>
          <w:sz w:val="20"/>
          <w:szCs w:val="20"/>
          <w:lang w:eastAsia="pt-BR"/>
        </w:rPr>
      </w:pPr>
      <w:r w:rsidRPr="00356B43">
        <w:rPr>
          <w:rFonts w:ascii="Arial" w:eastAsia="Calibri" w:hAnsi="Arial" w:cs="Arial"/>
          <w:color w:val="0070C0"/>
          <w:sz w:val="20"/>
          <w:szCs w:val="20"/>
          <w:lang w:eastAsia="pt-BR"/>
        </w:rPr>
        <w:t>        &lt;NormaInternaDemContabeis&gt;9&lt;/NormaInternaDemContabeis&gt;</w:t>
      </w:r>
    </w:p>
    <w:p w14:paraId="1253FA94" w14:textId="672A213A" w:rsidR="002A557D" w:rsidRPr="00356B43" w:rsidRDefault="002A557D" w:rsidP="002A557D">
      <w:pPr>
        <w:spacing w:after="0" w:line="240" w:lineRule="auto"/>
        <w:jc w:val="both"/>
        <w:rPr>
          <w:rFonts w:ascii="Arial" w:eastAsia="Calibri" w:hAnsi="Arial" w:cs="Arial"/>
          <w:color w:val="0070C0"/>
          <w:sz w:val="20"/>
          <w:szCs w:val="20"/>
          <w:lang w:eastAsia="pt-BR"/>
        </w:rPr>
      </w:pPr>
      <w:r w:rsidRPr="00356B43">
        <w:rPr>
          <w:rFonts w:ascii="Arial" w:eastAsia="Calibri" w:hAnsi="Arial" w:cs="Arial"/>
          <w:color w:val="0070C0"/>
          <w:sz w:val="20"/>
          <w:szCs w:val="20"/>
          <w:lang w:eastAsia="pt-BR"/>
        </w:rPr>
        <w:t>     &lt;/InformacoesControleInternoEstruturaInicial &gt;</w:t>
      </w:r>
    </w:p>
    <w:p w14:paraId="3AC0AE86" w14:textId="77777777" w:rsidR="002A557D" w:rsidRPr="00356B43" w:rsidRDefault="002A557D" w:rsidP="002A557D">
      <w:pPr>
        <w:spacing w:after="0" w:line="240" w:lineRule="auto"/>
        <w:jc w:val="both"/>
        <w:rPr>
          <w:rFonts w:ascii="Arial" w:eastAsia="Calibri" w:hAnsi="Arial" w:cs="Arial"/>
          <w:color w:val="0070C0"/>
          <w:sz w:val="20"/>
          <w:szCs w:val="20"/>
          <w:lang w:eastAsia="pt-BR"/>
        </w:rPr>
      </w:pPr>
    </w:p>
    <w:p w14:paraId="0CF40B59" w14:textId="77777777" w:rsidR="002A557D" w:rsidRPr="00356B43" w:rsidRDefault="002A557D" w:rsidP="002A557D">
      <w:pPr>
        <w:spacing w:after="0" w:line="240" w:lineRule="auto"/>
        <w:jc w:val="both"/>
        <w:rPr>
          <w:rFonts w:ascii="Arial" w:eastAsia="Calibri" w:hAnsi="Arial" w:cs="Arial"/>
          <w:color w:val="0070C0"/>
          <w:sz w:val="20"/>
          <w:szCs w:val="20"/>
          <w:lang w:eastAsia="pt-BR"/>
        </w:rPr>
      </w:pPr>
      <w:r w:rsidRPr="00356B43">
        <w:rPr>
          <w:rFonts w:ascii="Arial" w:eastAsia="Calibri" w:hAnsi="Arial" w:cs="Arial"/>
          <w:color w:val="0070C0"/>
          <w:sz w:val="20"/>
          <w:szCs w:val="20"/>
          <w:lang w:eastAsia="pt-BR"/>
        </w:rPr>
        <w:t>     &lt;InformacoesControleInternoEstruturaInicialUnidadeGestora&gt;</w:t>
      </w:r>
    </w:p>
    <w:p w14:paraId="0963FF72" w14:textId="37B3109C" w:rsidR="002A557D" w:rsidRPr="00356B43" w:rsidRDefault="002A557D" w:rsidP="002A557D">
      <w:pPr>
        <w:spacing w:after="0" w:line="240" w:lineRule="auto"/>
        <w:jc w:val="both"/>
        <w:rPr>
          <w:rFonts w:ascii="Arial" w:eastAsia="Calibri" w:hAnsi="Arial" w:cs="Arial"/>
          <w:color w:val="0070C0"/>
          <w:sz w:val="20"/>
          <w:szCs w:val="20"/>
          <w:lang w:eastAsia="pt-BR"/>
        </w:rPr>
      </w:pPr>
      <w:r w:rsidRPr="00356B43">
        <w:rPr>
          <w:rFonts w:ascii="Arial" w:eastAsia="Calibri" w:hAnsi="Arial" w:cs="Arial"/>
          <w:color w:val="0070C0"/>
          <w:sz w:val="20"/>
          <w:szCs w:val="20"/>
          <w:lang w:eastAsia="pt-BR"/>
        </w:rPr>
        <w:t>        &lt;IdNumRegistro&gt;99999&lt;/IdNumRegistro&gt;</w:t>
      </w:r>
    </w:p>
    <w:p w14:paraId="6B90FE25" w14:textId="37C814FF" w:rsidR="002E0AC5" w:rsidRPr="00356B43" w:rsidRDefault="002E0AC5" w:rsidP="002E0AC5">
      <w:pPr>
        <w:spacing w:after="0" w:line="240" w:lineRule="auto"/>
        <w:ind w:left="426"/>
        <w:jc w:val="both"/>
        <w:rPr>
          <w:rFonts w:ascii="Arial" w:eastAsia="Calibri" w:hAnsi="Arial" w:cs="Arial"/>
          <w:color w:val="0070C0"/>
          <w:sz w:val="20"/>
          <w:szCs w:val="20"/>
          <w:lang w:eastAsia="pt-BR"/>
        </w:rPr>
      </w:pPr>
      <w:r w:rsidRPr="00356B43">
        <w:rPr>
          <w:rFonts w:ascii="Arial" w:eastAsia="Calibri" w:hAnsi="Arial" w:cs="Arial"/>
          <w:color w:val="0070C0"/>
          <w:sz w:val="20"/>
          <w:szCs w:val="20"/>
          <w:lang w:eastAsia="pt-BR"/>
        </w:rPr>
        <w:t>&lt;NivelControleInterno&gt;9&lt;/NivelControleInterno&gt;</w:t>
      </w:r>
    </w:p>
    <w:p w14:paraId="5C4B6F09" w14:textId="77777777" w:rsidR="002A557D" w:rsidRPr="00356B43" w:rsidRDefault="002A557D" w:rsidP="002A557D">
      <w:pPr>
        <w:spacing w:after="0" w:line="240" w:lineRule="auto"/>
        <w:jc w:val="both"/>
        <w:rPr>
          <w:rFonts w:ascii="Arial" w:eastAsia="Calibri" w:hAnsi="Arial" w:cs="Arial"/>
          <w:color w:val="0070C0"/>
          <w:sz w:val="20"/>
          <w:szCs w:val="20"/>
          <w:lang w:eastAsia="pt-BR"/>
        </w:rPr>
      </w:pPr>
      <w:r w:rsidRPr="00356B43">
        <w:rPr>
          <w:rFonts w:ascii="Arial" w:eastAsia="Calibri" w:hAnsi="Arial" w:cs="Arial"/>
          <w:color w:val="0070C0"/>
          <w:sz w:val="20"/>
          <w:szCs w:val="20"/>
          <w:lang w:eastAsia="pt-BR"/>
        </w:rPr>
        <w:t>        &lt;CodigoUnidadeGestora&gt;XXXXXXXXXXX&lt;/CodigoUnidadeGestora&gt;</w:t>
      </w:r>
    </w:p>
    <w:p w14:paraId="54EF9611" w14:textId="77777777" w:rsidR="002A557D" w:rsidRPr="00356B43" w:rsidRDefault="002A557D" w:rsidP="002A557D">
      <w:pPr>
        <w:spacing w:after="0" w:line="240" w:lineRule="auto"/>
        <w:jc w:val="both"/>
        <w:rPr>
          <w:rFonts w:ascii="Arial" w:eastAsia="Calibri" w:hAnsi="Arial" w:cs="Arial"/>
          <w:color w:val="0070C0"/>
          <w:sz w:val="20"/>
          <w:szCs w:val="20"/>
          <w:lang w:eastAsia="pt-BR"/>
        </w:rPr>
      </w:pPr>
      <w:r w:rsidRPr="00356B43">
        <w:rPr>
          <w:rFonts w:ascii="Arial" w:eastAsia="Calibri" w:hAnsi="Arial" w:cs="Arial"/>
          <w:color w:val="0070C0"/>
          <w:sz w:val="20"/>
          <w:szCs w:val="20"/>
          <w:lang w:eastAsia="pt-BR"/>
        </w:rPr>
        <w:t>        &lt;ResponsavelUnidadeGestora&gt;XXX...XXX&lt;/ResponsavelUnidadeGestora&gt;</w:t>
      </w:r>
    </w:p>
    <w:p w14:paraId="065CF64D" w14:textId="77777777" w:rsidR="002A557D" w:rsidRPr="00356B43" w:rsidRDefault="002A557D" w:rsidP="00696A3D">
      <w:pPr>
        <w:spacing w:after="0" w:line="240" w:lineRule="auto"/>
        <w:ind w:right="-285"/>
        <w:jc w:val="both"/>
        <w:rPr>
          <w:rFonts w:ascii="Arial" w:eastAsia="Calibri" w:hAnsi="Arial" w:cs="Arial"/>
          <w:color w:val="0070C0"/>
          <w:sz w:val="20"/>
          <w:szCs w:val="20"/>
          <w:lang w:eastAsia="pt-BR"/>
        </w:rPr>
      </w:pPr>
      <w:r w:rsidRPr="00356B43">
        <w:rPr>
          <w:rFonts w:ascii="Arial" w:eastAsia="Calibri" w:hAnsi="Arial" w:cs="Arial"/>
          <w:color w:val="0070C0"/>
          <w:sz w:val="20"/>
          <w:szCs w:val="20"/>
          <w:lang w:eastAsia="pt-BR"/>
        </w:rPr>
        <w:t>        &lt;ExercicioUltimaManifestacaoControleInterno&gt;9999&lt;/ExercicioUltimaManifestacaoControleInterno&gt;</w:t>
      </w:r>
    </w:p>
    <w:p w14:paraId="37619F92" w14:textId="77777777" w:rsidR="002A557D" w:rsidRPr="00356B43" w:rsidRDefault="002A557D" w:rsidP="002A557D">
      <w:pPr>
        <w:spacing w:after="0" w:line="240" w:lineRule="auto"/>
        <w:jc w:val="both"/>
        <w:rPr>
          <w:rFonts w:ascii="Arial" w:eastAsia="Calibri" w:hAnsi="Arial" w:cs="Arial"/>
          <w:color w:val="0070C0"/>
          <w:sz w:val="20"/>
          <w:szCs w:val="20"/>
          <w:lang w:eastAsia="pt-BR"/>
        </w:rPr>
      </w:pPr>
      <w:r w:rsidRPr="00356B43">
        <w:rPr>
          <w:rFonts w:ascii="Arial" w:eastAsia="Calibri" w:hAnsi="Arial" w:cs="Arial"/>
          <w:color w:val="0070C0"/>
          <w:sz w:val="20"/>
          <w:szCs w:val="20"/>
          <w:lang w:eastAsia="pt-BR"/>
        </w:rPr>
        <w:t>        &lt;OpiniaoPrestacaoContasControleInterno&gt;9&lt;/OpiniaoPrestacaoContasControleInterno&gt;</w:t>
      </w:r>
    </w:p>
    <w:p w14:paraId="37337556" w14:textId="100D3EAD" w:rsidR="002A557D" w:rsidRPr="00356B43" w:rsidRDefault="002A557D" w:rsidP="002A557D">
      <w:pPr>
        <w:spacing w:after="0" w:line="240" w:lineRule="auto"/>
        <w:jc w:val="both"/>
        <w:rPr>
          <w:rFonts w:ascii="Arial" w:eastAsia="Calibri" w:hAnsi="Arial" w:cs="Arial"/>
          <w:color w:val="0070C0"/>
          <w:sz w:val="20"/>
          <w:szCs w:val="20"/>
          <w:lang w:eastAsia="pt-BR"/>
        </w:rPr>
      </w:pPr>
      <w:r w:rsidRPr="00356B43">
        <w:rPr>
          <w:rFonts w:ascii="Arial" w:eastAsia="Calibri" w:hAnsi="Arial" w:cs="Arial"/>
          <w:color w:val="0070C0"/>
          <w:sz w:val="20"/>
          <w:szCs w:val="20"/>
          <w:lang w:eastAsia="pt-BR"/>
        </w:rPr>
        <w:t>     &lt;/InformacoesControleInternoEstruturaInicialUnidadeGestora&gt;</w:t>
      </w:r>
    </w:p>
    <w:p w14:paraId="4C294127" w14:textId="77777777" w:rsidR="002A557D" w:rsidRPr="00356B43" w:rsidRDefault="002A557D" w:rsidP="002A557D">
      <w:pPr>
        <w:spacing w:after="0" w:line="240" w:lineRule="auto"/>
        <w:jc w:val="both"/>
        <w:rPr>
          <w:rFonts w:ascii="Arial" w:eastAsia="Calibri" w:hAnsi="Arial" w:cs="Arial"/>
          <w:color w:val="0070C0"/>
          <w:sz w:val="20"/>
          <w:szCs w:val="20"/>
          <w:lang w:eastAsia="pt-BR"/>
        </w:rPr>
      </w:pPr>
    </w:p>
    <w:p w14:paraId="65B557FF" w14:textId="77777777" w:rsidR="002A557D" w:rsidRPr="00356B43" w:rsidRDefault="002A557D" w:rsidP="002A557D">
      <w:pPr>
        <w:spacing w:after="0" w:line="240" w:lineRule="auto"/>
        <w:jc w:val="both"/>
        <w:rPr>
          <w:rFonts w:ascii="Arial" w:eastAsia="Calibri" w:hAnsi="Arial" w:cs="Arial"/>
          <w:color w:val="0070C0"/>
          <w:sz w:val="20"/>
          <w:szCs w:val="20"/>
          <w:lang w:eastAsia="pt-BR"/>
        </w:rPr>
      </w:pPr>
      <w:r w:rsidRPr="00356B43">
        <w:rPr>
          <w:rFonts w:ascii="Arial" w:eastAsia="Calibri" w:hAnsi="Arial" w:cs="Arial"/>
          <w:color w:val="0070C0"/>
          <w:sz w:val="20"/>
          <w:szCs w:val="20"/>
          <w:lang w:eastAsia="pt-BR"/>
        </w:rPr>
        <w:t>     &lt;InformacoesControleInternoProcedimentos&gt;</w:t>
      </w:r>
    </w:p>
    <w:p w14:paraId="78FDC1E0" w14:textId="77777777" w:rsidR="002A557D" w:rsidRPr="00356B43" w:rsidRDefault="002A557D" w:rsidP="002A557D">
      <w:pPr>
        <w:spacing w:after="0" w:line="240" w:lineRule="auto"/>
        <w:jc w:val="both"/>
        <w:rPr>
          <w:rFonts w:ascii="Arial" w:eastAsia="Calibri" w:hAnsi="Arial" w:cs="Arial"/>
          <w:color w:val="0070C0"/>
          <w:sz w:val="20"/>
          <w:szCs w:val="20"/>
          <w:lang w:eastAsia="pt-BR"/>
        </w:rPr>
      </w:pPr>
      <w:r w:rsidRPr="00356B43">
        <w:rPr>
          <w:rFonts w:ascii="Arial" w:eastAsia="Calibri" w:hAnsi="Arial" w:cs="Arial"/>
          <w:color w:val="0070C0"/>
          <w:sz w:val="20"/>
          <w:szCs w:val="20"/>
          <w:lang w:eastAsia="pt-BR"/>
        </w:rPr>
        <w:t>        &lt;IdNumRegistro&gt;99999&lt;/IdNumRegistro&gt;</w:t>
      </w:r>
    </w:p>
    <w:p w14:paraId="3A03B253" w14:textId="11DA5CCC" w:rsidR="002A557D" w:rsidRPr="00356B43" w:rsidRDefault="002A557D" w:rsidP="002A557D">
      <w:pPr>
        <w:spacing w:after="0" w:line="240" w:lineRule="auto"/>
        <w:ind w:left="426"/>
        <w:jc w:val="both"/>
        <w:rPr>
          <w:rFonts w:ascii="Arial" w:eastAsia="Calibri" w:hAnsi="Arial" w:cs="Arial"/>
          <w:color w:val="0070C0"/>
          <w:sz w:val="20"/>
          <w:szCs w:val="20"/>
          <w:lang w:eastAsia="pt-BR"/>
        </w:rPr>
      </w:pPr>
      <w:r w:rsidRPr="00356B43">
        <w:rPr>
          <w:rFonts w:ascii="Arial" w:eastAsia="Calibri" w:hAnsi="Arial" w:cs="Arial"/>
          <w:color w:val="0070C0"/>
          <w:sz w:val="20"/>
          <w:szCs w:val="20"/>
          <w:lang w:eastAsia="pt-BR"/>
        </w:rPr>
        <w:t>&lt;NivelControleInterno&gt;9&lt;/NivelControleInterno&gt;</w:t>
      </w:r>
    </w:p>
    <w:p w14:paraId="0126AFA4" w14:textId="303F0294" w:rsidR="002E0AC5" w:rsidRPr="00356B43" w:rsidRDefault="002E0AC5" w:rsidP="002E0AC5">
      <w:pPr>
        <w:spacing w:after="0" w:line="240" w:lineRule="auto"/>
        <w:ind w:left="426"/>
        <w:jc w:val="both"/>
        <w:rPr>
          <w:rFonts w:ascii="Arial" w:eastAsia="Calibri" w:hAnsi="Arial" w:cs="Arial"/>
          <w:color w:val="0070C0"/>
          <w:sz w:val="20"/>
          <w:szCs w:val="20"/>
          <w:lang w:eastAsia="pt-BR"/>
        </w:rPr>
      </w:pPr>
      <w:r w:rsidRPr="00356B43">
        <w:rPr>
          <w:rFonts w:ascii="Arial" w:eastAsia="Calibri" w:hAnsi="Arial" w:cs="Arial"/>
          <w:color w:val="0070C0"/>
          <w:sz w:val="20"/>
          <w:szCs w:val="20"/>
          <w:lang w:eastAsia="pt-BR"/>
        </w:rPr>
        <w:t>&lt;CodigoUnidadeGestora&gt;XXXXXXXXXXX&lt;/CodigoUnidadeGestora&gt;</w:t>
      </w:r>
    </w:p>
    <w:p w14:paraId="3ADCEF0C" w14:textId="77777777" w:rsidR="002A557D" w:rsidRPr="00356B43" w:rsidRDefault="002A557D" w:rsidP="002A557D">
      <w:pPr>
        <w:spacing w:after="0" w:line="240" w:lineRule="auto"/>
        <w:jc w:val="both"/>
        <w:rPr>
          <w:rFonts w:ascii="Arial" w:eastAsia="Calibri" w:hAnsi="Arial" w:cs="Arial"/>
          <w:color w:val="0070C0"/>
          <w:sz w:val="20"/>
          <w:szCs w:val="20"/>
          <w:lang w:eastAsia="pt-BR"/>
        </w:rPr>
      </w:pPr>
      <w:r w:rsidRPr="00356B43">
        <w:rPr>
          <w:rFonts w:ascii="Arial" w:eastAsia="Calibri" w:hAnsi="Arial" w:cs="Arial"/>
          <w:color w:val="0070C0"/>
          <w:sz w:val="20"/>
          <w:szCs w:val="20"/>
          <w:lang w:eastAsia="pt-BR"/>
        </w:rPr>
        <w:t>        &lt;CodigoProcedimento&gt;XXXXXX&lt;/CodigoProcedimento&gt;</w:t>
      </w:r>
    </w:p>
    <w:p w14:paraId="48CB717B" w14:textId="77777777" w:rsidR="002A557D" w:rsidRPr="00356B43" w:rsidRDefault="002A557D" w:rsidP="002A557D">
      <w:pPr>
        <w:spacing w:after="0" w:line="240" w:lineRule="auto"/>
        <w:jc w:val="both"/>
        <w:rPr>
          <w:rFonts w:ascii="Arial" w:eastAsia="Calibri" w:hAnsi="Arial" w:cs="Arial"/>
          <w:color w:val="0070C0"/>
          <w:sz w:val="20"/>
          <w:szCs w:val="20"/>
          <w:lang w:eastAsia="pt-BR"/>
        </w:rPr>
      </w:pPr>
      <w:r w:rsidRPr="00356B43">
        <w:rPr>
          <w:rFonts w:ascii="Arial" w:eastAsia="Calibri" w:hAnsi="Arial" w:cs="Arial"/>
          <w:color w:val="0070C0"/>
          <w:sz w:val="20"/>
          <w:szCs w:val="20"/>
          <w:lang w:eastAsia="pt-BR"/>
        </w:rPr>
        <w:t>        &lt;TipoPontoControle&gt;9&lt;/TipoPontoControle&gt;</w:t>
      </w:r>
    </w:p>
    <w:p w14:paraId="3FCD5885" w14:textId="77777777" w:rsidR="002A557D" w:rsidRPr="00356B43" w:rsidRDefault="002A557D" w:rsidP="002A557D">
      <w:pPr>
        <w:spacing w:after="0" w:line="240" w:lineRule="auto"/>
        <w:jc w:val="both"/>
        <w:rPr>
          <w:rFonts w:ascii="Arial" w:eastAsia="Calibri" w:hAnsi="Arial" w:cs="Arial"/>
          <w:color w:val="0070C0"/>
          <w:sz w:val="20"/>
          <w:szCs w:val="20"/>
          <w:lang w:eastAsia="pt-BR"/>
        </w:rPr>
      </w:pPr>
      <w:r w:rsidRPr="00356B43">
        <w:rPr>
          <w:rFonts w:ascii="Arial" w:eastAsia="Calibri" w:hAnsi="Arial" w:cs="Arial"/>
          <w:color w:val="0070C0"/>
          <w:sz w:val="20"/>
          <w:szCs w:val="20"/>
          <w:lang w:eastAsia="pt-BR"/>
        </w:rPr>
        <w:t>        &lt;UniversoAnalisado&gt;99999&lt;/UniversoAnalisado&gt;</w:t>
      </w:r>
    </w:p>
    <w:p w14:paraId="43C9C22E" w14:textId="77777777" w:rsidR="002A557D" w:rsidRPr="00356B43" w:rsidRDefault="002A557D" w:rsidP="002A557D">
      <w:pPr>
        <w:spacing w:after="0" w:line="240" w:lineRule="auto"/>
        <w:jc w:val="both"/>
        <w:rPr>
          <w:rFonts w:ascii="Arial" w:eastAsia="Calibri" w:hAnsi="Arial" w:cs="Arial"/>
          <w:color w:val="0070C0"/>
          <w:sz w:val="20"/>
          <w:szCs w:val="20"/>
          <w:lang w:eastAsia="pt-BR"/>
        </w:rPr>
      </w:pPr>
      <w:r w:rsidRPr="00356B43">
        <w:rPr>
          <w:rFonts w:ascii="Arial" w:eastAsia="Calibri" w:hAnsi="Arial" w:cs="Arial"/>
          <w:color w:val="0070C0"/>
          <w:sz w:val="20"/>
          <w:szCs w:val="20"/>
          <w:lang w:eastAsia="pt-BR"/>
        </w:rPr>
        <w:t>        &lt;AmostraSelecionada&gt;99999&lt;/AmostraSelecionada&gt;</w:t>
      </w:r>
    </w:p>
    <w:p w14:paraId="2E2B2CB6" w14:textId="77777777" w:rsidR="002A557D" w:rsidRPr="00356B43" w:rsidRDefault="002A557D" w:rsidP="002A557D">
      <w:pPr>
        <w:spacing w:after="0" w:line="240" w:lineRule="auto"/>
        <w:jc w:val="both"/>
        <w:rPr>
          <w:rFonts w:ascii="Arial" w:eastAsia="Calibri" w:hAnsi="Arial" w:cs="Arial"/>
          <w:color w:val="0070C0"/>
          <w:sz w:val="20"/>
          <w:szCs w:val="20"/>
          <w:lang w:eastAsia="pt-BR"/>
        </w:rPr>
      </w:pPr>
      <w:r w:rsidRPr="00356B43">
        <w:rPr>
          <w:rFonts w:ascii="Arial" w:eastAsia="Calibri" w:hAnsi="Arial" w:cs="Arial"/>
          <w:color w:val="0070C0"/>
          <w:sz w:val="20"/>
          <w:szCs w:val="20"/>
          <w:lang w:eastAsia="pt-BR"/>
        </w:rPr>
        <w:t>        &lt;DescricaoAnalise&gt;XXX...XXX&lt;/DescricaoAnalise&gt;</w:t>
      </w:r>
    </w:p>
    <w:p w14:paraId="495F1F54" w14:textId="77777777" w:rsidR="002A557D" w:rsidRPr="00356B43" w:rsidRDefault="002A557D" w:rsidP="002A557D">
      <w:pPr>
        <w:spacing w:after="0" w:line="240" w:lineRule="auto"/>
        <w:jc w:val="both"/>
        <w:rPr>
          <w:rFonts w:ascii="Arial" w:eastAsia="Calibri" w:hAnsi="Arial" w:cs="Arial"/>
          <w:color w:val="0070C0"/>
          <w:sz w:val="20"/>
          <w:szCs w:val="20"/>
          <w:lang w:eastAsia="pt-BR"/>
        </w:rPr>
      </w:pPr>
      <w:r w:rsidRPr="00356B43">
        <w:rPr>
          <w:rFonts w:ascii="Arial" w:eastAsia="Calibri" w:hAnsi="Arial" w:cs="Arial"/>
          <w:color w:val="0070C0"/>
          <w:sz w:val="20"/>
          <w:szCs w:val="20"/>
          <w:lang w:eastAsia="pt-BR"/>
        </w:rPr>
        <w:lastRenderedPageBreak/>
        <w:t>        &lt;TipoProcedimentoAnalisado&gt;9&lt;/TipoProcedimentoAnalisado&gt;</w:t>
      </w:r>
    </w:p>
    <w:p w14:paraId="6141B1DB" w14:textId="77777777" w:rsidR="002A557D" w:rsidRPr="00356B43" w:rsidRDefault="002A557D" w:rsidP="002A557D">
      <w:pPr>
        <w:spacing w:after="0" w:line="240" w:lineRule="auto"/>
        <w:jc w:val="both"/>
        <w:rPr>
          <w:rFonts w:ascii="Arial" w:eastAsia="Calibri" w:hAnsi="Arial" w:cs="Arial"/>
          <w:color w:val="0070C0"/>
          <w:sz w:val="20"/>
          <w:szCs w:val="20"/>
          <w:lang w:eastAsia="pt-BR"/>
        </w:rPr>
      </w:pPr>
      <w:r w:rsidRPr="00356B43">
        <w:rPr>
          <w:rFonts w:ascii="Arial" w:eastAsia="Calibri" w:hAnsi="Arial" w:cs="Arial"/>
          <w:color w:val="0070C0"/>
          <w:sz w:val="20"/>
          <w:szCs w:val="20"/>
          <w:lang w:eastAsia="pt-BR"/>
        </w:rPr>
        <w:t>        &lt;SituacaoAnalise&gt;9&lt;/SituacaoAnalise&gt;</w:t>
      </w:r>
    </w:p>
    <w:p w14:paraId="3050FE51" w14:textId="77777777" w:rsidR="002A557D" w:rsidRPr="00356B43" w:rsidRDefault="002A557D" w:rsidP="002A557D">
      <w:pPr>
        <w:spacing w:after="0" w:line="240" w:lineRule="auto"/>
        <w:jc w:val="both"/>
        <w:rPr>
          <w:rFonts w:ascii="Arial" w:eastAsia="Calibri" w:hAnsi="Arial" w:cs="Arial"/>
          <w:color w:val="0070C0"/>
          <w:sz w:val="20"/>
          <w:szCs w:val="20"/>
          <w:lang w:eastAsia="pt-BR"/>
        </w:rPr>
      </w:pPr>
      <w:r w:rsidRPr="00356B43">
        <w:rPr>
          <w:rFonts w:ascii="Arial" w:eastAsia="Calibri" w:hAnsi="Arial" w:cs="Arial"/>
          <w:color w:val="0070C0"/>
          <w:sz w:val="20"/>
          <w:szCs w:val="20"/>
          <w:lang w:eastAsia="pt-BR"/>
        </w:rPr>
        <w:t>     &lt;/InformacoesControleInternoProcedimentosUnidadeGestora&gt;</w:t>
      </w:r>
    </w:p>
    <w:p w14:paraId="2E394883" w14:textId="77777777" w:rsidR="002A557D" w:rsidRPr="00356B43" w:rsidRDefault="002A557D" w:rsidP="002A557D">
      <w:pPr>
        <w:spacing w:after="0" w:line="240" w:lineRule="auto"/>
        <w:jc w:val="both"/>
        <w:rPr>
          <w:rFonts w:ascii="Arial" w:eastAsia="Calibri" w:hAnsi="Arial" w:cs="Arial"/>
          <w:color w:val="0070C0"/>
          <w:sz w:val="20"/>
          <w:szCs w:val="20"/>
          <w:lang w:eastAsia="pt-BR"/>
        </w:rPr>
      </w:pPr>
    </w:p>
    <w:p w14:paraId="669F9052" w14:textId="77777777" w:rsidR="002A557D" w:rsidRPr="00356B43" w:rsidRDefault="002A557D" w:rsidP="002A557D">
      <w:pPr>
        <w:spacing w:after="0" w:line="240" w:lineRule="auto"/>
        <w:jc w:val="both"/>
        <w:rPr>
          <w:rFonts w:ascii="Arial" w:eastAsia="Calibri" w:hAnsi="Arial" w:cs="Arial"/>
          <w:color w:val="0070C0"/>
          <w:sz w:val="20"/>
          <w:szCs w:val="20"/>
          <w:lang w:eastAsia="pt-BR"/>
        </w:rPr>
      </w:pPr>
      <w:r w:rsidRPr="00356B43">
        <w:rPr>
          <w:rFonts w:ascii="Arial" w:eastAsia="Calibri" w:hAnsi="Arial" w:cs="Arial"/>
          <w:color w:val="0070C0"/>
          <w:sz w:val="20"/>
          <w:szCs w:val="20"/>
          <w:lang w:eastAsia="pt-BR"/>
        </w:rPr>
        <w:t>     &lt;InformacoesControleInternoTomadaContasEspecial&gt;</w:t>
      </w:r>
    </w:p>
    <w:p w14:paraId="1270859D" w14:textId="7C52AAE6" w:rsidR="002A557D" w:rsidRPr="00356B43" w:rsidRDefault="002A557D" w:rsidP="002A557D">
      <w:pPr>
        <w:spacing w:after="0" w:line="240" w:lineRule="auto"/>
        <w:jc w:val="both"/>
        <w:rPr>
          <w:rFonts w:ascii="Arial" w:eastAsia="Calibri" w:hAnsi="Arial" w:cs="Arial"/>
          <w:color w:val="0070C0"/>
          <w:sz w:val="20"/>
          <w:szCs w:val="20"/>
          <w:lang w:eastAsia="pt-BR"/>
        </w:rPr>
      </w:pPr>
      <w:r w:rsidRPr="00356B43">
        <w:rPr>
          <w:rFonts w:ascii="Arial" w:eastAsia="Calibri" w:hAnsi="Arial" w:cs="Arial"/>
          <w:color w:val="0070C0"/>
          <w:sz w:val="20"/>
          <w:szCs w:val="20"/>
          <w:lang w:eastAsia="pt-BR"/>
        </w:rPr>
        <w:t>        &lt;IdNumRegistro&gt;99999&lt;/IdNumRegistro&gt;</w:t>
      </w:r>
    </w:p>
    <w:p w14:paraId="0A73302B" w14:textId="00C432B1" w:rsidR="002E0AC5" w:rsidRPr="00356B43" w:rsidRDefault="002E0AC5" w:rsidP="002E0AC5">
      <w:pPr>
        <w:spacing w:after="0" w:line="240" w:lineRule="auto"/>
        <w:ind w:left="426"/>
        <w:jc w:val="both"/>
        <w:rPr>
          <w:rFonts w:ascii="Arial" w:eastAsia="Calibri" w:hAnsi="Arial" w:cs="Arial"/>
          <w:color w:val="0070C0"/>
          <w:sz w:val="20"/>
          <w:szCs w:val="20"/>
          <w:lang w:eastAsia="pt-BR"/>
        </w:rPr>
      </w:pPr>
      <w:r w:rsidRPr="00356B43">
        <w:rPr>
          <w:rFonts w:ascii="Arial" w:eastAsia="Calibri" w:hAnsi="Arial" w:cs="Arial"/>
          <w:color w:val="0070C0"/>
          <w:sz w:val="20"/>
          <w:szCs w:val="20"/>
          <w:lang w:eastAsia="pt-BR"/>
        </w:rPr>
        <w:t>&lt;CodigoUnidadeGestora&gt;XXXXXXXXXXX&lt;/CodigoUnidadeGestora&gt;</w:t>
      </w:r>
    </w:p>
    <w:p w14:paraId="01C29A20" w14:textId="77777777" w:rsidR="002A557D" w:rsidRPr="00356B43" w:rsidRDefault="002A557D" w:rsidP="002A557D">
      <w:pPr>
        <w:spacing w:after="0" w:line="240" w:lineRule="auto"/>
        <w:jc w:val="both"/>
        <w:rPr>
          <w:rFonts w:ascii="Arial" w:eastAsia="Calibri" w:hAnsi="Arial" w:cs="Arial"/>
          <w:color w:val="0070C0"/>
          <w:sz w:val="20"/>
          <w:szCs w:val="20"/>
          <w:lang w:eastAsia="pt-BR"/>
        </w:rPr>
      </w:pPr>
      <w:r w:rsidRPr="00356B43">
        <w:rPr>
          <w:rFonts w:ascii="Arial" w:eastAsia="Calibri" w:hAnsi="Arial" w:cs="Arial"/>
          <w:color w:val="0070C0"/>
          <w:sz w:val="20"/>
          <w:szCs w:val="20"/>
          <w:lang w:eastAsia="pt-BR"/>
        </w:rPr>
        <w:t>        &lt;Processo&gt;XXXXXX&lt;/Processo&gt;</w:t>
      </w:r>
    </w:p>
    <w:p w14:paraId="219F790C" w14:textId="77777777" w:rsidR="002A557D" w:rsidRPr="00356B43" w:rsidRDefault="002A557D" w:rsidP="002A557D">
      <w:pPr>
        <w:spacing w:after="0" w:line="240" w:lineRule="auto"/>
        <w:jc w:val="both"/>
        <w:rPr>
          <w:rFonts w:ascii="Arial" w:eastAsia="Calibri" w:hAnsi="Arial" w:cs="Arial"/>
          <w:color w:val="0070C0"/>
          <w:sz w:val="20"/>
          <w:szCs w:val="20"/>
          <w:lang w:eastAsia="pt-BR"/>
        </w:rPr>
      </w:pPr>
      <w:r w:rsidRPr="00356B43">
        <w:rPr>
          <w:rFonts w:ascii="Arial" w:eastAsia="Calibri" w:hAnsi="Arial" w:cs="Arial"/>
          <w:color w:val="0070C0"/>
          <w:sz w:val="20"/>
          <w:szCs w:val="20"/>
          <w:lang w:eastAsia="pt-BR"/>
        </w:rPr>
        <w:t>        &lt;AnoProcesso&gt;9999&lt;/AnoProcesso&gt;</w:t>
      </w:r>
    </w:p>
    <w:p w14:paraId="7DF37668" w14:textId="77777777" w:rsidR="002A557D" w:rsidRPr="00356B43" w:rsidRDefault="002A557D" w:rsidP="002A557D">
      <w:pPr>
        <w:spacing w:after="0" w:line="240" w:lineRule="auto"/>
        <w:jc w:val="both"/>
        <w:rPr>
          <w:rFonts w:ascii="Arial" w:eastAsia="Calibri" w:hAnsi="Arial" w:cs="Arial"/>
          <w:color w:val="0070C0"/>
          <w:sz w:val="20"/>
          <w:szCs w:val="20"/>
          <w:lang w:eastAsia="pt-BR"/>
        </w:rPr>
      </w:pPr>
      <w:r w:rsidRPr="00356B43">
        <w:rPr>
          <w:rFonts w:ascii="Arial" w:eastAsia="Calibri" w:hAnsi="Arial" w:cs="Arial"/>
          <w:color w:val="0070C0"/>
          <w:sz w:val="20"/>
          <w:szCs w:val="20"/>
          <w:lang w:eastAsia="pt-BR"/>
        </w:rPr>
        <w:t>        &lt;FatoMotivo&gt;9&lt;/FatoMotivo&gt;</w:t>
      </w:r>
    </w:p>
    <w:p w14:paraId="00127BB5" w14:textId="77777777" w:rsidR="002A557D" w:rsidRPr="00356B43" w:rsidRDefault="002A557D" w:rsidP="002A557D">
      <w:pPr>
        <w:spacing w:after="0" w:line="240" w:lineRule="auto"/>
        <w:jc w:val="both"/>
        <w:rPr>
          <w:rFonts w:ascii="Arial" w:eastAsia="Calibri" w:hAnsi="Arial" w:cs="Arial"/>
          <w:color w:val="0070C0"/>
          <w:sz w:val="20"/>
          <w:szCs w:val="20"/>
          <w:lang w:eastAsia="pt-BR"/>
        </w:rPr>
      </w:pPr>
      <w:r w:rsidRPr="00356B43">
        <w:rPr>
          <w:rFonts w:ascii="Arial" w:eastAsia="Calibri" w:hAnsi="Arial" w:cs="Arial"/>
          <w:color w:val="0070C0"/>
          <w:sz w:val="20"/>
          <w:szCs w:val="20"/>
          <w:lang w:eastAsia="pt-BR"/>
        </w:rPr>
        <w:t>        &lt;DataCiencia&gt;9999-99-99&lt;/DataCiencia&gt;</w:t>
      </w:r>
    </w:p>
    <w:p w14:paraId="60206F0C" w14:textId="77777777" w:rsidR="002A557D" w:rsidRPr="00356B43" w:rsidRDefault="002A557D" w:rsidP="002A557D">
      <w:pPr>
        <w:spacing w:after="0" w:line="240" w:lineRule="auto"/>
        <w:jc w:val="both"/>
        <w:rPr>
          <w:rFonts w:ascii="Arial" w:eastAsia="Calibri" w:hAnsi="Arial" w:cs="Arial"/>
          <w:color w:val="0070C0"/>
          <w:sz w:val="20"/>
          <w:szCs w:val="20"/>
          <w:lang w:eastAsia="pt-BR"/>
        </w:rPr>
      </w:pPr>
      <w:r w:rsidRPr="00356B43">
        <w:rPr>
          <w:rFonts w:ascii="Arial" w:eastAsia="Calibri" w:hAnsi="Arial" w:cs="Arial"/>
          <w:color w:val="0070C0"/>
          <w:sz w:val="20"/>
          <w:szCs w:val="20"/>
          <w:lang w:eastAsia="pt-BR"/>
        </w:rPr>
        <w:t>        &lt;DataInstauracao&gt;9999-99-99&lt;/DataInstauracao&gt;</w:t>
      </w:r>
    </w:p>
    <w:p w14:paraId="57510437" w14:textId="77777777" w:rsidR="002A557D" w:rsidRPr="00356B43" w:rsidRDefault="002A557D" w:rsidP="002A557D">
      <w:pPr>
        <w:spacing w:after="0" w:line="240" w:lineRule="auto"/>
        <w:jc w:val="both"/>
        <w:rPr>
          <w:rFonts w:ascii="Arial" w:eastAsia="Calibri" w:hAnsi="Arial" w:cs="Arial"/>
          <w:color w:val="0070C0"/>
          <w:sz w:val="20"/>
          <w:szCs w:val="20"/>
          <w:lang w:eastAsia="pt-BR"/>
        </w:rPr>
      </w:pPr>
      <w:r w:rsidRPr="00356B43">
        <w:rPr>
          <w:rFonts w:ascii="Arial" w:eastAsia="Calibri" w:hAnsi="Arial" w:cs="Arial"/>
          <w:color w:val="0070C0"/>
          <w:sz w:val="20"/>
          <w:szCs w:val="20"/>
          <w:lang w:eastAsia="pt-BR"/>
        </w:rPr>
        <w:t>        &lt;DataEnvioTribunalContas&gt;9999-99-99&lt;/DataEnvioTribunalContas&gt;</w:t>
      </w:r>
    </w:p>
    <w:p w14:paraId="5A1B85D3" w14:textId="77777777" w:rsidR="002A557D" w:rsidRPr="00356B43" w:rsidRDefault="002A557D" w:rsidP="002A557D">
      <w:pPr>
        <w:spacing w:after="0" w:line="240" w:lineRule="auto"/>
        <w:jc w:val="both"/>
        <w:rPr>
          <w:rFonts w:ascii="Arial" w:eastAsia="Calibri" w:hAnsi="Arial" w:cs="Arial"/>
          <w:color w:val="0070C0"/>
          <w:sz w:val="20"/>
          <w:szCs w:val="20"/>
          <w:lang w:eastAsia="pt-BR"/>
        </w:rPr>
      </w:pPr>
      <w:r w:rsidRPr="00356B43">
        <w:rPr>
          <w:rFonts w:ascii="Arial" w:eastAsia="Calibri" w:hAnsi="Arial" w:cs="Arial"/>
          <w:color w:val="0070C0"/>
          <w:sz w:val="20"/>
          <w:szCs w:val="20"/>
          <w:lang w:eastAsia="pt-BR"/>
        </w:rPr>
        <w:t>        &lt;ValorDebito&gt;99999999999999.99&lt;/ValorDebito&gt;</w:t>
      </w:r>
    </w:p>
    <w:p w14:paraId="6CE9D34E" w14:textId="77777777" w:rsidR="002A557D" w:rsidRPr="00356B43" w:rsidRDefault="002A557D" w:rsidP="002A557D">
      <w:pPr>
        <w:spacing w:after="0" w:line="240" w:lineRule="auto"/>
        <w:jc w:val="both"/>
        <w:rPr>
          <w:rFonts w:ascii="Arial" w:eastAsia="Calibri" w:hAnsi="Arial" w:cs="Arial"/>
          <w:color w:val="0070C0"/>
          <w:sz w:val="20"/>
          <w:szCs w:val="20"/>
          <w:lang w:eastAsia="pt-BR"/>
        </w:rPr>
      </w:pPr>
      <w:r w:rsidRPr="00356B43">
        <w:rPr>
          <w:rFonts w:ascii="Arial" w:eastAsia="Calibri" w:hAnsi="Arial" w:cs="Arial"/>
          <w:color w:val="0070C0"/>
          <w:sz w:val="20"/>
          <w:szCs w:val="20"/>
          <w:lang w:eastAsia="pt-BR"/>
        </w:rPr>
        <w:t>        &lt;SituacaoEm31do12&gt;9&lt;/ SituacaoEm31do12&gt;</w:t>
      </w:r>
    </w:p>
    <w:p w14:paraId="615C4780" w14:textId="77777777" w:rsidR="002A557D" w:rsidRPr="00356B43" w:rsidRDefault="002A557D" w:rsidP="002A557D">
      <w:pPr>
        <w:spacing w:after="0" w:line="240" w:lineRule="auto"/>
        <w:jc w:val="both"/>
        <w:rPr>
          <w:rFonts w:ascii="Arial" w:eastAsia="Calibri" w:hAnsi="Arial" w:cs="Arial"/>
          <w:color w:val="0070C0"/>
          <w:sz w:val="20"/>
          <w:szCs w:val="20"/>
          <w:lang w:eastAsia="pt-BR"/>
        </w:rPr>
      </w:pPr>
      <w:r w:rsidRPr="00356B43">
        <w:rPr>
          <w:rFonts w:ascii="Arial" w:eastAsia="Calibri" w:hAnsi="Arial" w:cs="Arial"/>
          <w:color w:val="0070C0"/>
          <w:sz w:val="20"/>
          <w:szCs w:val="20"/>
          <w:lang w:eastAsia="pt-BR"/>
        </w:rPr>
        <w:t>        &lt;MotivoBaixaDebito&gt;9&lt;/MotivoBaixaDebito&gt;</w:t>
      </w:r>
    </w:p>
    <w:p w14:paraId="2C2FF68F" w14:textId="45F9F9B6" w:rsidR="002A557D" w:rsidRPr="00356B43" w:rsidRDefault="002A557D" w:rsidP="002A557D">
      <w:pPr>
        <w:spacing w:after="0" w:line="240" w:lineRule="auto"/>
        <w:jc w:val="both"/>
        <w:rPr>
          <w:rFonts w:ascii="Arial" w:eastAsia="Calibri" w:hAnsi="Arial" w:cs="Arial"/>
          <w:color w:val="0070C0"/>
          <w:sz w:val="20"/>
          <w:szCs w:val="20"/>
          <w:lang w:eastAsia="pt-BR"/>
        </w:rPr>
      </w:pPr>
      <w:r w:rsidRPr="00356B43">
        <w:rPr>
          <w:rFonts w:ascii="Arial" w:eastAsia="Calibri" w:hAnsi="Arial" w:cs="Arial"/>
          <w:color w:val="0070C0"/>
          <w:sz w:val="20"/>
          <w:szCs w:val="20"/>
          <w:lang w:eastAsia="pt-BR"/>
        </w:rPr>
        <w:t>     &lt;/InformacoesControleInternoTomadaContasEspecial &gt;</w:t>
      </w:r>
    </w:p>
    <w:p w14:paraId="4712857E" w14:textId="77777777" w:rsidR="002A557D" w:rsidRPr="002A557D" w:rsidRDefault="002A557D" w:rsidP="002A557D">
      <w:pPr>
        <w:spacing w:after="0" w:line="240" w:lineRule="auto"/>
        <w:jc w:val="both"/>
        <w:rPr>
          <w:rFonts w:ascii="Arial" w:eastAsia="Calibri" w:hAnsi="Arial" w:cs="Arial"/>
          <w:color w:val="0070C0"/>
          <w:sz w:val="20"/>
          <w:szCs w:val="20"/>
          <w:lang w:eastAsia="pt-BR"/>
        </w:rPr>
      </w:pPr>
    </w:p>
    <w:p w14:paraId="2C981FCC" w14:textId="77777777" w:rsidR="002A557D" w:rsidRPr="002A557D" w:rsidRDefault="002A557D" w:rsidP="002A557D">
      <w:pPr>
        <w:spacing w:after="0" w:line="240" w:lineRule="auto"/>
        <w:jc w:val="both"/>
        <w:rPr>
          <w:rFonts w:ascii="Arial" w:eastAsia="Calibri" w:hAnsi="Arial" w:cs="Arial"/>
          <w:color w:val="0070C0"/>
          <w:sz w:val="20"/>
          <w:szCs w:val="20"/>
          <w:lang w:eastAsia="pt-BR"/>
        </w:rPr>
      </w:pPr>
      <w:r w:rsidRPr="002A557D">
        <w:rPr>
          <w:rFonts w:ascii="Arial" w:eastAsia="Calibri" w:hAnsi="Arial" w:cs="Arial"/>
          <w:color w:val="0070C0"/>
          <w:sz w:val="20"/>
          <w:szCs w:val="20"/>
          <w:lang w:eastAsia="pt-BR"/>
        </w:rPr>
        <w:t>&lt;/InformacoesControleInterno_Schema&gt;</w:t>
      </w:r>
    </w:p>
    <w:p w14:paraId="63089399" w14:textId="77777777" w:rsidR="002A557D" w:rsidRPr="002A557D" w:rsidRDefault="002A557D" w:rsidP="002A557D">
      <w:pPr>
        <w:spacing w:after="0" w:line="240" w:lineRule="auto"/>
        <w:jc w:val="both"/>
        <w:rPr>
          <w:rFonts w:ascii="Arial" w:eastAsia="Calibri" w:hAnsi="Arial" w:cs="Arial"/>
          <w:color w:val="0070C0"/>
          <w:sz w:val="20"/>
          <w:szCs w:val="20"/>
          <w:lang w:eastAsia="pt-BR"/>
        </w:rPr>
      </w:pPr>
      <w:r w:rsidRPr="002A557D">
        <w:rPr>
          <w:rFonts w:ascii="Arial" w:eastAsia="Calibri" w:hAnsi="Arial" w:cs="Arial"/>
          <w:color w:val="0070C0"/>
          <w:sz w:val="20"/>
          <w:szCs w:val="20"/>
          <w:lang w:eastAsia="pt-BR"/>
        </w:rPr>
        <w:t>&lt;/PrestacaoContasAnual&gt;</w:t>
      </w:r>
    </w:p>
    <w:p w14:paraId="3B9E4DBB" w14:textId="77777777" w:rsidR="002A557D" w:rsidRPr="00073259" w:rsidRDefault="002A557D" w:rsidP="00126F61">
      <w:pPr>
        <w:autoSpaceDE w:val="0"/>
        <w:autoSpaceDN w:val="0"/>
        <w:adjustRightInd w:val="0"/>
        <w:spacing w:after="0" w:line="240" w:lineRule="auto"/>
        <w:jc w:val="both"/>
        <w:rPr>
          <w:color w:val="0070C0"/>
        </w:rPr>
      </w:pPr>
    </w:p>
    <w:p w14:paraId="78BA50DC" w14:textId="77777777" w:rsidR="009F4E01" w:rsidRDefault="009F4E01" w:rsidP="009F4E01">
      <w:pPr>
        <w:spacing w:after="0" w:line="360" w:lineRule="auto"/>
        <w:jc w:val="both"/>
        <w:rPr>
          <w:color w:val="0070C0"/>
        </w:rPr>
      </w:pPr>
    </w:p>
    <w:tbl>
      <w:tblPr>
        <w:tblW w:w="9493" w:type="dxa"/>
        <w:tblCellMar>
          <w:left w:w="70" w:type="dxa"/>
          <w:right w:w="70" w:type="dxa"/>
        </w:tblCellMar>
        <w:tblLook w:val="04A0" w:firstRow="1" w:lastRow="0" w:firstColumn="1" w:lastColumn="0" w:noHBand="0" w:noVBand="1"/>
      </w:tblPr>
      <w:tblGrid>
        <w:gridCol w:w="4248"/>
        <w:gridCol w:w="1112"/>
        <w:gridCol w:w="1298"/>
        <w:gridCol w:w="2835"/>
      </w:tblGrid>
      <w:tr w:rsidR="00C93D4D" w:rsidRPr="00356B43" w14:paraId="11DBFF15" w14:textId="77777777" w:rsidTr="0062211B">
        <w:trPr>
          <w:trHeight w:val="255"/>
        </w:trPr>
        <w:tc>
          <w:tcPr>
            <w:tcW w:w="4248" w:type="dxa"/>
            <w:tcBorders>
              <w:top w:val="single" w:sz="4" w:space="0" w:color="auto"/>
              <w:left w:val="single" w:sz="4" w:space="0" w:color="auto"/>
              <w:bottom w:val="single" w:sz="4" w:space="0" w:color="auto"/>
              <w:right w:val="single" w:sz="4" w:space="0" w:color="auto"/>
            </w:tcBorders>
            <w:shd w:val="clear" w:color="000000" w:fill="C0C0C0"/>
            <w:vAlign w:val="center"/>
            <w:hideMark/>
          </w:tcPr>
          <w:p w14:paraId="00F1C4B5" w14:textId="77777777" w:rsidR="009F4E01" w:rsidRPr="00356B43" w:rsidRDefault="009F4E01" w:rsidP="009F4E01">
            <w:pPr>
              <w:spacing w:after="0" w:line="240" w:lineRule="auto"/>
              <w:jc w:val="center"/>
              <w:rPr>
                <w:rFonts w:ascii="Arial" w:eastAsia="Times New Roman" w:hAnsi="Arial" w:cs="Arial"/>
                <w:b/>
                <w:bCs/>
                <w:color w:val="0070C0"/>
                <w:sz w:val="20"/>
                <w:szCs w:val="20"/>
                <w:lang w:eastAsia="pt-BR"/>
              </w:rPr>
            </w:pPr>
            <w:r w:rsidRPr="00356B43">
              <w:rPr>
                <w:rFonts w:ascii="Arial" w:eastAsia="Times New Roman" w:hAnsi="Arial" w:cs="Arial"/>
                <w:b/>
                <w:bCs/>
                <w:color w:val="0070C0"/>
                <w:sz w:val="20"/>
                <w:szCs w:val="20"/>
                <w:lang w:eastAsia="pt-BR"/>
              </w:rPr>
              <w:t>Campo</w:t>
            </w:r>
          </w:p>
        </w:tc>
        <w:tc>
          <w:tcPr>
            <w:tcW w:w="1112" w:type="dxa"/>
            <w:tcBorders>
              <w:top w:val="single" w:sz="4" w:space="0" w:color="auto"/>
              <w:left w:val="nil"/>
              <w:bottom w:val="single" w:sz="4" w:space="0" w:color="auto"/>
              <w:right w:val="single" w:sz="4" w:space="0" w:color="auto"/>
            </w:tcBorders>
            <w:shd w:val="clear" w:color="000000" w:fill="C0C0C0"/>
            <w:vAlign w:val="center"/>
            <w:hideMark/>
          </w:tcPr>
          <w:p w14:paraId="5613FF83" w14:textId="77777777" w:rsidR="009F4E01" w:rsidRPr="00356B43" w:rsidRDefault="009F4E01" w:rsidP="009F4E01">
            <w:pPr>
              <w:spacing w:after="0" w:line="240" w:lineRule="auto"/>
              <w:jc w:val="center"/>
              <w:rPr>
                <w:rFonts w:ascii="Arial" w:eastAsia="Times New Roman" w:hAnsi="Arial" w:cs="Arial"/>
                <w:b/>
                <w:bCs/>
                <w:color w:val="0070C0"/>
                <w:sz w:val="20"/>
                <w:szCs w:val="20"/>
                <w:lang w:eastAsia="pt-BR"/>
              </w:rPr>
            </w:pPr>
            <w:r w:rsidRPr="00356B43">
              <w:rPr>
                <w:rFonts w:ascii="Arial" w:eastAsia="Times New Roman" w:hAnsi="Arial" w:cs="Arial"/>
                <w:b/>
                <w:bCs/>
                <w:color w:val="0070C0"/>
                <w:sz w:val="20"/>
                <w:szCs w:val="20"/>
                <w:lang w:eastAsia="pt-BR"/>
              </w:rPr>
              <w:t>Tipo</w:t>
            </w:r>
          </w:p>
        </w:tc>
        <w:tc>
          <w:tcPr>
            <w:tcW w:w="1298" w:type="dxa"/>
            <w:tcBorders>
              <w:top w:val="single" w:sz="4" w:space="0" w:color="auto"/>
              <w:left w:val="nil"/>
              <w:bottom w:val="single" w:sz="4" w:space="0" w:color="auto"/>
              <w:right w:val="single" w:sz="4" w:space="0" w:color="auto"/>
            </w:tcBorders>
            <w:shd w:val="clear" w:color="000000" w:fill="C0C0C0"/>
            <w:vAlign w:val="center"/>
            <w:hideMark/>
          </w:tcPr>
          <w:p w14:paraId="583E216D" w14:textId="77777777" w:rsidR="009F4E01" w:rsidRPr="00356B43" w:rsidRDefault="009F4E01" w:rsidP="009F4E01">
            <w:pPr>
              <w:spacing w:after="0" w:line="240" w:lineRule="auto"/>
              <w:jc w:val="center"/>
              <w:rPr>
                <w:rFonts w:ascii="Arial" w:eastAsia="Times New Roman" w:hAnsi="Arial" w:cs="Arial"/>
                <w:b/>
                <w:bCs/>
                <w:color w:val="0070C0"/>
                <w:sz w:val="20"/>
                <w:szCs w:val="20"/>
                <w:lang w:eastAsia="pt-BR"/>
              </w:rPr>
            </w:pPr>
            <w:r w:rsidRPr="00356B43">
              <w:rPr>
                <w:rFonts w:ascii="Arial" w:eastAsia="Times New Roman" w:hAnsi="Arial" w:cs="Arial"/>
                <w:b/>
                <w:bCs/>
                <w:color w:val="0070C0"/>
                <w:sz w:val="20"/>
                <w:szCs w:val="20"/>
                <w:lang w:eastAsia="pt-BR"/>
              </w:rPr>
              <w:t>Tamanho</w:t>
            </w:r>
          </w:p>
        </w:tc>
        <w:tc>
          <w:tcPr>
            <w:tcW w:w="2835" w:type="dxa"/>
            <w:tcBorders>
              <w:top w:val="single" w:sz="4" w:space="0" w:color="auto"/>
              <w:left w:val="nil"/>
              <w:bottom w:val="single" w:sz="4" w:space="0" w:color="auto"/>
              <w:right w:val="single" w:sz="4" w:space="0" w:color="auto"/>
            </w:tcBorders>
            <w:shd w:val="clear" w:color="000000" w:fill="C0C0C0"/>
            <w:vAlign w:val="center"/>
            <w:hideMark/>
          </w:tcPr>
          <w:p w14:paraId="629539EC" w14:textId="77777777" w:rsidR="009F4E01" w:rsidRPr="00356B43" w:rsidRDefault="009F4E01" w:rsidP="009F4E01">
            <w:pPr>
              <w:spacing w:after="0" w:line="240" w:lineRule="auto"/>
              <w:jc w:val="center"/>
              <w:rPr>
                <w:rFonts w:ascii="Arial" w:eastAsia="Times New Roman" w:hAnsi="Arial" w:cs="Arial"/>
                <w:b/>
                <w:bCs/>
                <w:color w:val="0070C0"/>
                <w:sz w:val="20"/>
                <w:szCs w:val="20"/>
                <w:lang w:eastAsia="pt-BR"/>
              </w:rPr>
            </w:pPr>
            <w:r w:rsidRPr="00356B43">
              <w:rPr>
                <w:rFonts w:ascii="Arial" w:eastAsia="Times New Roman" w:hAnsi="Arial" w:cs="Arial"/>
                <w:b/>
                <w:bCs/>
                <w:color w:val="0070C0"/>
                <w:sz w:val="20"/>
                <w:szCs w:val="20"/>
                <w:lang w:eastAsia="pt-BR"/>
              </w:rPr>
              <w:t>Obrigatoriedade</w:t>
            </w:r>
          </w:p>
        </w:tc>
      </w:tr>
      <w:tr w:rsidR="00C93D4D" w:rsidRPr="00356B43" w14:paraId="7FC6FE48" w14:textId="77777777" w:rsidTr="00696A3D">
        <w:trPr>
          <w:trHeight w:val="600"/>
        </w:trPr>
        <w:tc>
          <w:tcPr>
            <w:tcW w:w="9493" w:type="dxa"/>
            <w:gridSpan w:val="4"/>
            <w:tcBorders>
              <w:top w:val="single" w:sz="4" w:space="0" w:color="auto"/>
              <w:left w:val="single" w:sz="4" w:space="0" w:color="auto"/>
              <w:bottom w:val="single" w:sz="4" w:space="0" w:color="auto"/>
              <w:right w:val="single" w:sz="4" w:space="0" w:color="auto"/>
            </w:tcBorders>
            <w:shd w:val="clear" w:color="000000" w:fill="BFBFBF"/>
            <w:vAlign w:val="center"/>
            <w:hideMark/>
          </w:tcPr>
          <w:p w14:paraId="3FD59522" w14:textId="6F5B170A" w:rsidR="009F4E01" w:rsidRPr="00356B43" w:rsidRDefault="009F4E01" w:rsidP="009F4E01">
            <w:pPr>
              <w:spacing w:after="0" w:line="240" w:lineRule="auto"/>
              <w:jc w:val="center"/>
              <w:rPr>
                <w:rFonts w:ascii="Arial" w:eastAsia="Times New Roman" w:hAnsi="Arial" w:cs="Arial"/>
                <w:b/>
                <w:bCs/>
                <w:color w:val="0070C0"/>
                <w:sz w:val="20"/>
                <w:szCs w:val="20"/>
                <w:lang w:eastAsia="pt-BR"/>
              </w:rPr>
            </w:pPr>
            <w:r w:rsidRPr="00356B43">
              <w:rPr>
                <w:rFonts w:ascii="Arial" w:eastAsia="Times New Roman" w:hAnsi="Arial" w:cs="Arial"/>
                <w:b/>
                <w:bCs/>
                <w:color w:val="0070C0"/>
                <w:sz w:val="20"/>
                <w:szCs w:val="20"/>
                <w:lang w:eastAsia="pt-BR"/>
              </w:rPr>
              <w:t xml:space="preserve">Estrutura </w:t>
            </w:r>
            <w:r w:rsidR="00D7415E" w:rsidRPr="00356B43">
              <w:rPr>
                <w:rFonts w:ascii="Arial" w:eastAsia="Times New Roman" w:hAnsi="Arial" w:cs="Arial"/>
                <w:b/>
                <w:bCs/>
                <w:color w:val="0070C0"/>
                <w:sz w:val="20"/>
                <w:szCs w:val="20"/>
                <w:lang w:eastAsia="pt-BR"/>
              </w:rPr>
              <w:t>‘InformacoesControleInternoEstruturaInicial’</w:t>
            </w:r>
          </w:p>
        </w:tc>
      </w:tr>
      <w:tr w:rsidR="00C93D4D" w:rsidRPr="00356B43" w14:paraId="72E81AAC" w14:textId="77777777" w:rsidTr="0062211B">
        <w:trPr>
          <w:trHeight w:val="402"/>
        </w:trPr>
        <w:tc>
          <w:tcPr>
            <w:tcW w:w="4248" w:type="dxa"/>
            <w:tcBorders>
              <w:top w:val="nil"/>
              <w:left w:val="single" w:sz="4" w:space="0" w:color="auto"/>
              <w:bottom w:val="single" w:sz="4" w:space="0" w:color="auto"/>
              <w:right w:val="single" w:sz="4" w:space="0" w:color="auto"/>
            </w:tcBorders>
            <w:shd w:val="clear" w:color="auto" w:fill="auto"/>
            <w:vAlign w:val="center"/>
            <w:hideMark/>
          </w:tcPr>
          <w:p w14:paraId="1016148F" w14:textId="77777777" w:rsidR="009F4E01" w:rsidRPr="00356B43" w:rsidRDefault="009F4E01" w:rsidP="009F4E01">
            <w:pPr>
              <w:spacing w:after="0" w:line="240" w:lineRule="auto"/>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Identificação do Número do Registro</w:t>
            </w:r>
          </w:p>
        </w:tc>
        <w:tc>
          <w:tcPr>
            <w:tcW w:w="1112" w:type="dxa"/>
            <w:tcBorders>
              <w:top w:val="nil"/>
              <w:left w:val="nil"/>
              <w:bottom w:val="single" w:sz="4" w:space="0" w:color="auto"/>
              <w:right w:val="single" w:sz="4" w:space="0" w:color="auto"/>
            </w:tcBorders>
            <w:shd w:val="clear" w:color="auto" w:fill="auto"/>
            <w:vAlign w:val="center"/>
            <w:hideMark/>
          </w:tcPr>
          <w:p w14:paraId="3A1F63ED" w14:textId="77777777" w:rsidR="009F4E01" w:rsidRPr="00356B43" w:rsidRDefault="009F4E01" w:rsidP="009F4E01">
            <w:pPr>
              <w:spacing w:after="0" w:line="240" w:lineRule="auto"/>
              <w:jc w:val="center"/>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Inteiro</w:t>
            </w:r>
          </w:p>
        </w:tc>
        <w:tc>
          <w:tcPr>
            <w:tcW w:w="1298" w:type="dxa"/>
            <w:tcBorders>
              <w:top w:val="nil"/>
              <w:left w:val="nil"/>
              <w:bottom w:val="single" w:sz="4" w:space="0" w:color="auto"/>
              <w:right w:val="single" w:sz="4" w:space="0" w:color="auto"/>
            </w:tcBorders>
            <w:shd w:val="clear" w:color="auto" w:fill="auto"/>
            <w:vAlign w:val="center"/>
            <w:hideMark/>
          </w:tcPr>
          <w:p w14:paraId="61495ADB" w14:textId="77777777" w:rsidR="009F4E01" w:rsidRPr="00356B43" w:rsidRDefault="009F4E01" w:rsidP="009F4E01">
            <w:pPr>
              <w:spacing w:after="0" w:line="240" w:lineRule="auto"/>
              <w:jc w:val="center"/>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5</w:t>
            </w:r>
          </w:p>
        </w:tc>
        <w:tc>
          <w:tcPr>
            <w:tcW w:w="2835" w:type="dxa"/>
            <w:tcBorders>
              <w:top w:val="nil"/>
              <w:left w:val="nil"/>
              <w:bottom w:val="single" w:sz="4" w:space="0" w:color="auto"/>
              <w:right w:val="single" w:sz="4" w:space="0" w:color="auto"/>
            </w:tcBorders>
            <w:shd w:val="clear" w:color="auto" w:fill="auto"/>
            <w:vAlign w:val="center"/>
            <w:hideMark/>
          </w:tcPr>
          <w:p w14:paraId="562F62A4" w14:textId="77777777" w:rsidR="009F4E01" w:rsidRPr="00356B43" w:rsidRDefault="009F4E01" w:rsidP="009F4E01">
            <w:pPr>
              <w:spacing w:after="0" w:line="240" w:lineRule="auto"/>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Obrigatório</w:t>
            </w:r>
          </w:p>
        </w:tc>
      </w:tr>
      <w:tr w:rsidR="00F42296" w:rsidRPr="00356B43" w14:paraId="52835EDF" w14:textId="77777777" w:rsidTr="0062211B">
        <w:trPr>
          <w:trHeight w:val="402"/>
        </w:trPr>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5BF22776" w14:textId="3E0747A1" w:rsidR="00696A3D" w:rsidRPr="00356B43" w:rsidRDefault="00696A3D" w:rsidP="00696A3D">
            <w:pPr>
              <w:spacing w:after="0" w:line="240" w:lineRule="auto"/>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Nível de Controle Interno</w:t>
            </w:r>
          </w:p>
        </w:tc>
        <w:tc>
          <w:tcPr>
            <w:tcW w:w="1112" w:type="dxa"/>
            <w:tcBorders>
              <w:top w:val="single" w:sz="4" w:space="0" w:color="auto"/>
              <w:left w:val="nil"/>
              <w:bottom w:val="single" w:sz="4" w:space="0" w:color="auto"/>
              <w:right w:val="single" w:sz="4" w:space="0" w:color="auto"/>
            </w:tcBorders>
            <w:shd w:val="clear" w:color="auto" w:fill="auto"/>
            <w:vAlign w:val="center"/>
          </w:tcPr>
          <w:p w14:paraId="73E0BCD8" w14:textId="3853CE2B" w:rsidR="00696A3D" w:rsidRPr="00356B43" w:rsidRDefault="00696A3D" w:rsidP="00696A3D">
            <w:pPr>
              <w:spacing w:after="0" w:line="240" w:lineRule="auto"/>
              <w:jc w:val="center"/>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Inteiro</w:t>
            </w:r>
          </w:p>
        </w:tc>
        <w:tc>
          <w:tcPr>
            <w:tcW w:w="1298" w:type="dxa"/>
            <w:tcBorders>
              <w:top w:val="single" w:sz="4" w:space="0" w:color="auto"/>
              <w:left w:val="nil"/>
              <w:bottom w:val="single" w:sz="4" w:space="0" w:color="auto"/>
              <w:right w:val="single" w:sz="4" w:space="0" w:color="auto"/>
            </w:tcBorders>
            <w:shd w:val="clear" w:color="auto" w:fill="auto"/>
            <w:vAlign w:val="center"/>
          </w:tcPr>
          <w:p w14:paraId="0FB9A8A7" w14:textId="021929EE" w:rsidR="00696A3D" w:rsidRPr="00356B43" w:rsidRDefault="00696A3D" w:rsidP="00696A3D">
            <w:pPr>
              <w:spacing w:after="0" w:line="240" w:lineRule="auto"/>
              <w:jc w:val="center"/>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1</w:t>
            </w:r>
          </w:p>
        </w:tc>
        <w:tc>
          <w:tcPr>
            <w:tcW w:w="2835" w:type="dxa"/>
            <w:tcBorders>
              <w:top w:val="single" w:sz="4" w:space="0" w:color="auto"/>
              <w:left w:val="nil"/>
              <w:bottom w:val="single" w:sz="4" w:space="0" w:color="auto"/>
              <w:right w:val="single" w:sz="4" w:space="0" w:color="auto"/>
            </w:tcBorders>
            <w:shd w:val="clear" w:color="auto" w:fill="auto"/>
            <w:vAlign w:val="center"/>
          </w:tcPr>
          <w:p w14:paraId="1A6A4EEE" w14:textId="77777777" w:rsidR="00696A3D" w:rsidRPr="00356B43" w:rsidRDefault="00696A3D" w:rsidP="00696A3D">
            <w:pPr>
              <w:spacing w:after="0" w:line="240" w:lineRule="auto"/>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Obrigatório;</w:t>
            </w:r>
          </w:p>
          <w:p w14:paraId="7B62AE2B" w14:textId="77777777" w:rsidR="00696A3D" w:rsidRPr="00356B43" w:rsidRDefault="00696A3D" w:rsidP="00696A3D">
            <w:pPr>
              <w:spacing w:after="0" w:line="240" w:lineRule="auto"/>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1 – Unidade Central</w:t>
            </w:r>
          </w:p>
          <w:p w14:paraId="6087BDA5" w14:textId="13C090D3" w:rsidR="00696A3D" w:rsidRPr="00356B43" w:rsidRDefault="00696A3D" w:rsidP="00696A3D">
            <w:pPr>
              <w:spacing w:after="0" w:line="240" w:lineRule="auto"/>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2 – Unidade Setorial</w:t>
            </w:r>
          </w:p>
        </w:tc>
      </w:tr>
      <w:tr w:rsidR="00F42296" w:rsidRPr="00356B43" w14:paraId="5A8A2ECB" w14:textId="77777777" w:rsidTr="0062211B">
        <w:trPr>
          <w:trHeight w:val="402"/>
        </w:trPr>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672F0497" w14:textId="5D80A307" w:rsidR="00696A3D" w:rsidRPr="00356B43" w:rsidRDefault="00696A3D" w:rsidP="00696A3D">
            <w:pPr>
              <w:spacing w:after="0" w:line="240" w:lineRule="auto"/>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Quantidade Total de Servidores na Estrutura da Unidade de Controle Interno [1]</w:t>
            </w:r>
          </w:p>
        </w:tc>
        <w:tc>
          <w:tcPr>
            <w:tcW w:w="1112" w:type="dxa"/>
            <w:tcBorders>
              <w:top w:val="single" w:sz="4" w:space="0" w:color="auto"/>
              <w:left w:val="nil"/>
              <w:bottom w:val="single" w:sz="4" w:space="0" w:color="auto"/>
              <w:right w:val="single" w:sz="4" w:space="0" w:color="auto"/>
            </w:tcBorders>
            <w:shd w:val="clear" w:color="auto" w:fill="auto"/>
            <w:vAlign w:val="center"/>
          </w:tcPr>
          <w:p w14:paraId="11CFFE0F" w14:textId="2AFB1C1C" w:rsidR="00696A3D" w:rsidRPr="00356B43" w:rsidRDefault="00696A3D" w:rsidP="00696A3D">
            <w:pPr>
              <w:spacing w:after="0" w:line="240" w:lineRule="auto"/>
              <w:jc w:val="center"/>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Inteiro</w:t>
            </w:r>
          </w:p>
        </w:tc>
        <w:tc>
          <w:tcPr>
            <w:tcW w:w="1298" w:type="dxa"/>
            <w:tcBorders>
              <w:top w:val="single" w:sz="4" w:space="0" w:color="auto"/>
              <w:left w:val="nil"/>
              <w:bottom w:val="single" w:sz="4" w:space="0" w:color="auto"/>
              <w:right w:val="single" w:sz="4" w:space="0" w:color="auto"/>
            </w:tcBorders>
            <w:shd w:val="clear" w:color="auto" w:fill="auto"/>
            <w:vAlign w:val="center"/>
          </w:tcPr>
          <w:p w14:paraId="735239D2" w14:textId="7E722C78" w:rsidR="00696A3D" w:rsidRPr="00356B43" w:rsidRDefault="00696A3D" w:rsidP="00696A3D">
            <w:pPr>
              <w:spacing w:after="0" w:line="240" w:lineRule="auto"/>
              <w:jc w:val="center"/>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5</w:t>
            </w:r>
          </w:p>
        </w:tc>
        <w:tc>
          <w:tcPr>
            <w:tcW w:w="2835" w:type="dxa"/>
            <w:tcBorders>
              <w:top w:val="single" w:sz="4" w:space="0" w:color="auto"/>
              <w:left w:val="nil"/>
              <w:bottom w:val="single" w:sz="4" w:space="0" w:color="auto"/>
              <w:right w:val="single" w:sz="4" w:space="0" w:color="auto"/>
            </w:tcBorders>
            <w:shd w:val="clear" w:color="auto" w:fill="auto"/>
            <w:vAlign w:val="center"/>
          </w:tcPr>
          <w:p w14:paraId="34812C38" w14:textId="7D20F0AD" w:rsidR="00696A3D" w:rsidRPr="00356B43" w:rsidRDefault="00696A3D" w:rsidP="00696A3D">
            <w:pPr>
              <w:spacing w:after="0" w:line="240" w:lineRule="auto"/>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Obrigatório, conforme nota [1]</w:t>
            </w:r>
          </w:p>
        </w:tc>
      </w:tr>
      <w:tr w:rsidR="00C93D4D" w:rsidRPr="00356B43" w14:paraId="0B4CE23A" w14:textId="77777777" w:rsidTr="0062211B">
        <w:trPr>
          <w:trHeight w:val="510"/>
        </w:trPr>
        <w:tc>
          <w:tcPr>
            <w:tcW w:w="42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54244E" w14:textId="3BAC63C1" w:rsidR="00696A3D" w:rsidRPr="00356B43" w:rsidRDefault="00696A3D" w:rsidP="00696A3D">
            <w:pPr>
              <w:spacing w:after="0" w:line="240" w:lineRule="auto"/>
              <w:jc w:val="both"/>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Quantidade de Servidores Efetivos (do Ente) na Estrutura da Unidade de Controle Interno [1]</w:t>
            </w:r>
          </w:p>
        </w:tc>
        <w:tc>
          <w:tcPr>
            <w:tcW w:w="1112" w:type="dxa"/>
            <w:tcBorders>
              <w:top w:val="single" w:sz="4" w:space="0" w:color="auto"/>
              <w:left w:val="nil"/>
              <w:bottom w:val="single" w:sz="4" w:space="0" w:color="auto"/>
              <w:right w:val="single" w:sz="4" w:space="0" w:color="auto"/>
            </w:tcBorders>
            <w:shd w:val="clear" w:color="auto" w:fill="auto"/>
            <w:vAlign w:val="center"/>
            <w:hideMark/>
          </w:tcPr>
          <w:p w14:paraId="3001ACDD" w14:textId="294BEB78" w:rsidR="00696A3D" w:rsidRPr="00356B43" w:rsidRDefault="00696A3D" w:rsidP="00696A3D">
            <w:pPr>
              <w:spacing w:after="0" w:line="240" w:lineRule="auto"/>
              <w:jc w:val="center"/>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Inteiro</w:t>
            </w:r>
          </w:p>
        </w:tc>
        <w:tc>
          <w:tcPr>
            <w:tcW w:w="1298" w:type="dxa"/>
            <w:tcBorders>
              <w:top w:val="single" w:sz="4" w:space="0" w:color="auto"/>
              <w:left w:val="nil"/>
              <w:bottom w:val="single" w:sz="4" w:space="0" w:color="auto"/>
              <w:right w:val="single" w:sz="4" w:space="0" w:color="auto"/>
            </w:tcBorders>
            <w:shd w:val="clear" w:color="auto" w:fill="auto"/>
            <w:vAlign w:val="center"/>
            <w:hideMark/>
          </w:tcPr>
          <w:p w14:paraId="4B515CAC" w14:textId="54E170D3" w:rsidR="00696A3D" w:rsidRPr="00356B43" w:rsidRDefault="00696A3D" w:rsidP="00696A3D">
            <w:pPr>
              <w:spacing w:after="0" w:line="240" w:lineRule="auto"/>
              <w:jc w:val="center"/>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5</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0B5D09C8" w14:textId="3C4ED2D6" w:rsidR="00696A3D" w:rsidRPr="00356B43" w:rsidRDefault="00696A3D" w:rsidP="00696A3D">
            <w:pPr>
              <w:spacing w:after="0" w:line="240" w:lineRule="auto"/>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Obrigatório, conforme nota [1]</w:t>
            </w:r>
          </w:p>
        </w:tc>
      </w:tr>
      <w:tr w:rsidR="00C93D4D" w:rsidRPr="00356B43" w14:paraId="144A271A" w14:textId="77777777" w:rsidTr="0062211B">
        <w:trPr>
          <w:trHeight w:val="765"/>
        </w:trPr>
        <w:tc>
          <w:tcPr>
            <w:tcW w:w="4248" w:type="dxa"/>
            <w:tcBorders>
              <w:top w:val="nil"/>
              <w:left w:val="single" w:sz="4" w:space="0" w:color="auto"/>
              <w:bottom w:val="single" w:sz="4" w:space="0" w:color="auto"/>
              <w:right w:val="single" w:sz="4" w:space="0" w:color="auto"/>
            </w:tcBorders>
            <w:shd w:val="clear" w:color="auto" w:fill="auto"/>
            <w:vAlign w:val="center"/>
            <w:hideMark/>
          </w:tcPr>
          <w:p w14:paraId="1F8F70C3" w14:textId="5FBED5BA" w:rsidR="00696A3D" w:rsidRPr="00356B43" w:rsidRDefault="00696A3D" w:rsidP="00696A3D">
            <w:pPr>
              <w:spacing w:after="0" w:line="240" w:lineRule="auto"/>
              <w:jc w:val="both"/>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Quantidade de Servidores com formação em Ciências Contábeis na Estrutura da Unidade de Controle Interno [1]</w:t>
            </w:r>
          </w:p>
        </w:tc>
        <w:tc>
          <w:tcPr>
            <w:tcW w:w="1112" w:type="dxa"/>
            <w:tcBorders>
              <w:top w:val="nil"/>
              <w:left w:val="nil"/>
              <w:bottom w:val="single" w:sz="4" w:space="0" w:color="auto"/>
              <w:right w:val="single" w:sz="4" w:space="0" w:color="auto"/>
            </w:tcBorders>
            <w:shd w:val="clear" w:color="auto" w:fill="auto"/>
            <w:vAlign w:val="center"/>
            <w:hideMark/>
          </w:tcPr>
          <w:p w14:paraId="5CE5AA53" w14:textId="041A0A48" w:rsidR="00696A3D" w:rsidRPr="00356B43" w:rsidRDefault="00696A3D" w:rsidP="00696A3D">
            <w:pPr>
              <w:spacing w:after="0" w:line="240" w:lineRule="auto"/>
              <w:jc w:val="center"/>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Inteiro</w:t>
            </w:r>
          </w:p>
        </w:tc>
        <w:tc>
          <w:tcPr>
            <w:tcW w:w="1298" w:type="dxa"/>
            <w:tcBorders>
              <w:top w:val="nil"/>
              <w:left w:val="nil"/>
              <w:bottom w:val="single" w:sz="4" w:space="0" w:color="auto"/>
              <w:right w:val="single" w:sz="4" w:space="0" w:color="auto"/>
            </w:tcBorders>
            <w:shd w:val="clear" w:color="auto" w:fill="auto"/>
            <w:vAlign w:val="center"/>
            <w:hideMark/>
          </w:tcPr>
          <w:p w14:paraId="71C428E9" w14:textId="54467B98" w:rsidR="00696A3D" w:rsidRPr="00356B43" w:rsidRDefault="00696A3D" w:rsidP="00696A3D">
            <w:pPr>
              <w:spacing w:after="0" w:line="240" w:lineRule="auto"/>
              <w:jc w:val="center"/>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5</w:t>
            </w:r>
          </w:p>
        </w:tc>
        <w:tc>
          <w:tcPr>
            <w:tcW w:w="2835" w:type="dxa"/>
            <w:tcBorders>
              <w:top w:val="nil"/>
              <w:left w:val="nil"/>
              <w:bottom w:val="nil"/>
              <w:right w:val="single" w:sz="4" w:space="0" w:color="auto"/>
            </w:tcBorders>
            <w:shd w:val="clear" w:color="auto" w:fill="auto"/>
            <w:vAlign w:val="center"/>
            <w:hideMark/>
          </w:tcPr>
          <w:p w14:paraId="0D626F07" w14:textId="3DAF7738" w:rsidR="00696A3D" w:rsidRPr="00356B43" w:rsidRDefault="00696A3D" w:rsidP="00696A3D">
            <w:pPr>
              <w:spacing w:after="0" w:line="240" w:lineRule="auto"/>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Obrigatório, conforme nota [1]</w:t>
            </w:r>
          </w:p>
        </w:tc>
      </w:tr>
      <w:tr w:rsidR="00C93D4D" w:rsidRPr="00356B43" w14:paraId="77A1B172" w14:textId="77777777" w:rsidTr="0062211B">
        <w:trPr>
          <w:trHeight w:val="255"/>
        </w:trPr>
        <w:tc>
          <w:tcPr>
            <w:tcW w:w="4248" w:type="dxa"/>
            <w:vMerge w:val="restart"/>
            <w:tcBorders>
              <w:top w:val="nil"/>
              <w:left w:val="single" w:sz="4" w:space="0" w:color="auto"/>
              <w:bottom w:val="single" w:sz="4" w:space="0" w:color="auto"/>
              <w:right w:val="single" w:sz="4" w:space="0" w:color="auto"/>
            </w:tcBorders>
            <w:shd w:val="clear" w:color="auto" w:fill="auto"/>
            <w:vAlign w:val="center"/>
            <w:hideMark/>
          </w:tcPr>
          <w:p w14:paraId="7BCAD5D3" w14:textId="77777777" w:rsidR="009F4E01" w:rsidRPr="00356B43" w:rsidRDefault="009F4E01" w:rsidP="009F4E01">
            <w:pPr>
              <w:spacing w:after="0" w:line="240" w:lineRule="auto"/>
              <w:jc w:val="both"/>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Normas internas estabelecendo procedimentos para avaliação da Gestão Orçamentária</w:t>
            </w:r>
          </w:p>
        </w:tc>
        <w:tc>
          <w:tcPr>
            <w:tcW w:w="1112" w:type="dxa"/>
            <w:vMerge w:val="restart"/>
            <w:tcBorders>
              <w:top w:val="nil"/>
              <w:left w:val="single" w:sz="4" w:space="0" w:color="auto"/>
              <w:bottom w:val="single" w:sz="4" w:space="0" w:color="auto"/>
              <w:right w:val="single" w:sz="4" w:space="0" w:color="auto"/>
            </w:tcBorders>
            <w:shd w:val="clear" w:color="auto" w:fill="auto"/>
            <w:vAlign w:val="center"/>
            <w:hideMark/>
          </w:tcPr>
          <w:p w14:paraId="2F7A0780" w14:textId="77777777" w:rsidR="009F4E01" w:rsidRPr="00356B43" w:rsidRDefault="009F4E01" w:rsidP="009F4E01">
            <w:pPr>
              <w:spacing w:after="0" w:line="240" w:lineRule="auto"/>
              <w:jc w:val="center"/>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Inteiro</w:t>
            </w:r>
          </w:p>
        </w:tc>
        <w:tc>
          <w:tcPr>
            <w:tcW w:w="1298" w:type="dxa"/>
            <w:vMerge w:val="restart"/>
            <w:tcBorders>
              <w:top w:val="nil"/>
              <w:left w:val="single" w:sz="4" w:space="0" w:color="auto"/>
              <w:bottom w:val="single" w:sz="4" w:space="0" w:color="auto"/>
              <w:right w:val="nil"/>
            </w:tcBorders>
            <w:shd w:val="clear" w:color="auto" w:fill="auto"/>
            <w:vAlign w:val="center"/>
            <w:hideMark/>
          </w:tcPr>
          <w:p w14:paraId="777E791C" w14:textId="77777777" w:rsidR="009F4E01" w:rsidRPr="00356B43" w:rsidRDefault="009F4E01" w:rsidP="009F4E01">
            <w:pPr>
              <w:spacing w:after="0" w:line="240" w:lineRule="auto"/>
              <w:jc w:val="center"/>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1</w:t>
            </w:r>
          </w:p>
        </w:tc>
        <w:tc>
          <w:tcPr>
            <w:tcW w:w="2835" w:type="dxa"/>
            <w:tcBorders>
              <w:top w:val="single" w:sz="4" w:space="0" w:color="auto"/>
              <w:left w:val="single" w:sz="4" w:space="0" w:color="auto"/>
              <w:bottom w:val="nil"/>
              <w:right w:val="single" w:sz="4" w:space="0" w:color="auto"/>
            </w:tcBorders>
            <w:shd w:val="clear" w:color="000000" w:fill="FFFFFF"/>
            <w:vAlign w:val="center"/>
            <w:hideMark/>
          </w:tcPr>
          <w:p w14:paraId="49F92F8B" w14:textId="77777777" w:rsidR="009F4E01" w:rsidRPr="00356B43" w:rsidRDefault="009F4E01" w:rsidP="009F4E01">
            <w:pPr>
              <w:spacing w:after="0" w:line="240" w:lineRule="auto"/>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Obrigatório</w:t>
            </w:r>
          </w:p>
        </w:tc>
      </w:tr>
      <w:tr w:rsidR="00C93D4D" w:rsidRPr="00356B43" w14:paraId="387451DD" w14:textId="77777777" w:rsidTr="0062211B">
        <w:trPr>
          <w:trHeight w:val="570"/>
        </w:trPr>
        <w:tc>
          <w:tcPr>
            <w:tcW w:w="4248" w:type="dxa"/>
            <w:vMerge/>
            <w:tcBorders>
              <w:top w:val="nil"/>
              <w:left w:val="single" w:sz="4" w:space="0" w:color="auto"/>
              <w:bottom w:val="single" w:sz="4" w:space="0" w:color="auto"/>
              <w:right w:val="single" w:sz="4" w:space="0" w:color="auto"/>
            </w:tcBorders>
            <w:vAlign w:val="center"/>
            <w:hideMark/>
          </w:tcPr>
          <w:p w14:paraId="11216D56" w14:textId="77777777" w:rsidR="009F4E01" w:rsidRPr="00356B43" w:rsidRDefault="009F4E01" w:rsidP="009F4E01">
            <w:pPr>
              <w:spacing w:after="0" w:line="240" w:lineRule="auto"/>
              <w:rPr>
                <w:rFonts w:ascii="Arial" w:eastAsia="Times New Roman" w:hAnsi="Arial" w:cs="Arial"/>
                <w:color w:val="0070C0"/>
                <w:sz w:val="20"/>
                <w:szCs w:val="20"/>
                <w:lang w:eastAsia="pt-BR"/>
              </w:rPr>
            </w:pPr>
          </w:p>
        </w:tc>
        <w:tc>
          <w:tcPr>
            <w:tcW w:w="1112" w:type="dxa"/>
            <w:vMerge/>
            <w:tcBorders>
              <w:top w:val="nil"/>
              <w:left w:val="single" w:sz="4" w:space="0" w:color="auto"/>
              <w:bottom w:val="single" w:sz="4" w:space="0" w:color="auto"/>
              <w:right w:val="single" w:sz="4" w:space="0" w:color="auto"/>
            </w:tcBorders>
            <w:vAlign w:val="center"/>
            <w:hideMark/>
          </w:tcPr>
          <w:p w14:paraId="4A6C26BA" w14:textId="77777777" w:rsidR="009F4E01" w:rsidRPr="00356B43" w:rsidRDefault="009F4E01" w:rsidP="009F4E01">
            <w:pPr>
              <w:spacing w:after="0" w:line="240" w:lineRule="auto"/>
              <w:rPr>
                <w:rFonts w:ascii="Arial" w:eastAsia="Times New Roman" w:hAnsi="Arial" w:cs="Arial"/>
                <w:color w:val="0070C0"/>
                <w:sz w:val="20"/>
                <w:szCs w:val="20"/>
                <w:lang w:eastAsia="pt-BR"/>
              </w:rPr>
            </w:pPr>
          </w:p>
        </w:tc>
        <w:tc>
          <w:tcPr>
            <w:tcW w:w="1298" w:type="dxa"/>
            <w:vMerge/>
            <w:tcBorders>
              <w:top w:val="nil"/>
              <w:left w:val="single" w:sz="4" w:space="0" w:color="auto"/>
              <w:bottom w:val="single" w:sz="4" w:space="0" w:color="auto"/>
              <w:right w:val="nil"/>
            </w:tcBorders>
            <w:vAlign w:val="center"/>
            <w:hideMark/>
          </w:tcPr>
          <w:p w14:paraId="32168709" w14:textId="77777777" w:rsidR="009F4E01" w:rsidRPr="00356B43" w:rsidRDefault="009F4E01" w:rsidP="009F4E01">
            <w:pPr>
              <w:spacing w:after="0" w:line="240" w:lineRule="auto"/>
              <w:rPr>
                <w:rFonts w:ascii="Arial" w:eastAsia="Times New Roman" w:hAnsi="Arial" w:cs="Arial"/>
                <w:color w:val="0070C0"/>
                <w:sz w:val="20"/>
                <w:szCs w:val="20"/>
                <w:lang w:eastAsia="pt-BR"/>
              </w:rPr>
            </w:pPr>
          </w:p>
        </w:tc>
        <w:tc>
          <w:tcPr>
            <w:tcW w:w="2835" w:type="dxa"/>
            <w:tcBorders>
              <w:top w:val="nil"/>
              <w:left w:val="single" w:sz="4" w:space="0" w:color="auto"/>
              <w:bottom w:val="nil"/>
              <w:right w:val="single" w:sz="4" w:space="0" w:color="auto"/>
            </w:tcBorders>
            <w:shd w:val="clear" w:color="000000" w:fill="FFFFFF"/>
            <w:vAlign w:val="center"/>
            <w:hideMark/>
          </w:tcPr>
          <w:p w14:paraId="25473977" w14:textId="77777777" w:rsidR="009F4E01" w:rsidRPr="00356B43" w:rsidRDefault="009F4E01" w:rsidP="009F4E01">
            <w:pPr>
              <w:spacing w:after="0" w:line="240" w:lineRule="auto"/>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1 - Existem somente os normativos</w:t>
            </w:r>
          </w:p>
        </w:tc>
      </w:tr>
      <w:tr w:rsidR="00C93D4D" w:rsidRPr="00356B43" w14:paraId="77C72F45" w14:textId="77777777" w:rsidTr="0062211B">
        <w:trPr>
          <w:trHeight w:val="615"/>
        </w:trPr>
        <w:tc>
          <w:tcPr>
            <w:tcW w:w="4248" w:type="dxa"/>
            <w:vMerge/>
            <w:tcBorders>
              <w:top w:val="nil"/>
              <w:left w:val="single" w:sz="4" w:space="0" w:color="auto"/>
              <w:bottom w:val="single" w:sz="4" w:space="0" w:color="auto"/>
              <w:right w:val="single" w:sz="4" w:space="0" w:color="auto"/>
            </w:tcBorders>
            <w:vAlign w:val="center"/>
            <w:hideMark/>
          </w:tcPr>
          <w:p w14:paraId="617557A3" w14:textId="77777777" w:rsidR="009F4E01" w:rsidRPr="00356B43" w:rsidRDefault="009F4E01" w:rsidP="009F4E01">
            <w:pPr>
              <w:spacing w:after="0" w:line="240" w:lineRule="auto"/>
              <w:rPr>
                <w:rFonts w:ascii="Arial" w:eastAsia="Times New Roman" w:hAnsi="Arial" w:cs="Arial"/>
                <w:color w:val="0070C0"/>
                <w:sz w:val="20"/>
                <w:szCs w:val="20"/>
                <w:lang w:eastAsia="pt-BR"/>
              </w:rPr>
            </w:pPr>
          </w:p>
        </w:tc>
        <w:tc>
          <w:tcPr>
            <w:tcW w:w="1112" w:type="dxa"/>
            <w:vMerge/>
            <w:tcBorders>
              <w:top w:val="nil"/>
              <w:left w:val="single" w:sz="4" w:space="0" w:color="auto"/>
              <w:bottom w:val="single" w:sz="4" w:space="0" w:color="auto"/>
              <w:right w:val="single" w:sz="4" w:space="0" w:color="auto"/>
            </w:tcBorders>
            <w:vAlign w:val="center"/>
            <w:hideMark/>
          </w:tcPr>
          <w:p w14:paraId="6DAFE593" w14:textId="77777777" w:rsidR="009F4E01" w:rsidRPr="00356B43" w:rsidRDefault="009F4E01" w:rsidP="009F4E01">
            <w:pPr>
              <w:spacing w:after="0" w:line="240" w:lineRule="auto"/>
              <w:rPr>
                <w:rFonts w:ascii="Arial" w:eastAsia="Times New Roman" w:hAnsi="Arial" w:cs="Arial"/>
                <w:color w:val="0070C0"/>
                <w:sz w:val="20"/>
                <w:szCs w:val="20"/>
                <w:lang w:eastAsia="pt-BR"/>
              </w:rPr>
            </w:pPr>
          </w:p>
        </w:tc>
        <w:tc>
          <w:tcPr>
            <w:tcW w:w="1298" w:type="dxa"/>
            <w:vMerge/>
            <w:tcBorders>
              <w:top w:val="nil"/>
              <w:left w:val="single" w:sz="4" w:space="0" w:color="auto"/>
              <w:bottom w:val="single" w:sz="4" w:space="0" w:color="auto"/>
              <w:right w:val="nil"/>
            </w:tcBorders>
            <w:vAlign w:val="center"/>
            <w:hideMark/>
          </w:tcPr>
          <w:p w14:paraId="10071EAF" w14:textId="77777777" w:rsidR="009F4E01" w:rsidRPr="00356B43" w:rsidRDefault="009F4E01" w:rsidP="009F4E01">
            <w:pPr>
              <w:spacing w:after="0" w:line="240" w:lineRule="auto"/>
              <w:rPr>
                <w:rFonts w:ascii="Arial" w:eastAsia="Times New Roman" w:hAnsi="Arial" w:cs="Arial"/>
                <w:color w:val="0070C0"/>
                <w:sz w:val="20"/>
                <w:szCs w:val="20"/>
                <w:lang w:eastAsia="pt-BR"/>
              </w:rPr>
            </w:pPr>
          </w:p>
        </w:tc>
        <w:tc>
          <w:tcPr>
            <w:tcW w:w="2835" w:type="dxa"/>
            <w:tcBorders>
              <w:top w:val="nil"/>
              <w:left w:val="single" w:sz="4" w:space="0" w:color="auto"/>
              <w:bottom w:val="nil"/>
              <w:right w:val="single" w:sz="4" w:space="0" w:color="auto"/>
            </w:tcBorders>
            <w:shd w:val="clear" w:color="000000" w:fill="FFFFFF"/>
            <w:vAlign w:val="center"/>
            <w:hideMark/>
          </w:tcPr>
          <w:p w14:paraId="7C30D0CC" w14:textId="77777777" w:rsidR="009F4E01" w:rsidRPr="00356B43" w:rsidRDefault="009F4E01" w:rsidP="009F4E01">
            <w:pPr>
              <w:spacing w:after="0" w:line="240" w:lineRule="auto"/>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2 - Existem normativos e fluxos desenhados</w:t>
            </w:r>
          </w:p>
        </w:tc>
      </w:tr>
      <w:tr w:rsidR="00C93D4D" w:rsidRPr="00356B43" w14:paraId="10B10017" w14:textId="77777777" w:rsidTr="0062211B">
        <w:trPr>
          <w:trHeight w:val="1095"/>
        </w:trPr>
        <w:tc>
          <w:tcPr>
            <w:tcW w:w="4248" w:type="dxa"/>
            <w:vMerge/>
            <w:tcBorders>
              <w:top w:val="nil"/>
              <w:left w:val="single" w:sz="4" w:space="0" w:color="auto"/>
              <w:bottom w:val="single" w:sz="4" w:space="0" w:color="auto"/>
              <w:right w:val="single" w:sz="4" w:space="0" w:color="auto"/>
            </w:tcBorders>
            <w:vAlign w:val="center"/>
            <w:hideMark/>
          </w:tcPr>
          <w:p w14:paraId="2F6D725D" w14:textId="77777777" w:rsidR="009F4E01" w:rsidRPr="00356B43" w:rsidRDefault="009F4E01" w:rsidP="009F4E01">
            <w:pPr>
              <w:spacing w:after="0" w:line="240" w:lineRule="auto"/>
              <w:rPr>
                <w:rFonts w:ascii="Arial" w:eastAsia="Times New Roman" w:hAnsi="Arial" w:cs="Arial"/>
                <w:color w:val="0070C0"/>
                <w:sz w:val="20"/>
                <w:szCs w:val="20"/>
                <w:lang w:eastAsia="pt-BR"/>
              </w:rPr>
            </w:pPr>
          </w:p>
        </w:tc>
        <w:tc>
          <w:tcPr>
            <w:tcW w:w="1112" w:type="dxa"/>
            <w:vMerge/>
            <w:tcBorders>
              <w:top w:val="nil"/>
              <w:left w:val="single" w:sz="4" w:space="0" w:color="auto"/>
              <w:bottom w:val="single" w:sz="4" w:space="0" w:color="auto"/>
              <w:right w:val="single" w:sz="4" w:space="0" w:color="auto"/>
            </w:tcBorders>
            <w:vAlign w:val="center"/>
            <w:hideMark/>
          </w:tcPr>
          <w:p w14:paraId="14C91CD9" w14:textId="77777777" w:rsidR="009F4E01" w:rsidRPr="00356B43" w:rsidRDefault="009F4E01" w:rsidP="009F4E01">
            <w:pPr>
              <w:spacing w:after="0" w:line="240" w:lineRule="auto"/>
              <w:rPr>
                <w:rFonts w:ascii="Arial" w:eastAsia="Times New Roman" w:hAnsi="Arial" w:cs="Arial"/>
                <w:color w:val="0070C0"/>
                <w:sz w:val="20"/>
                <w:szCs w:val="20"/>
                <w:lang w:eastAsia="pt-BR"/>
              </w:rPr>
            </w:pPr>
          </w:p>
        </w:tc>
        <w:tc>
          <w:tcPr>
            <w:tcW w:w="1298" w:type="dxa"/>
            <w:vMerge/>
            <w:tcBorders>
              <w:top w:val="nil"/>
              <w:left w:val="single" w:sz="4" w:space="0" w:color="auto"/>
              <w:bottom w:val="single" w:sz="4" w:space="0" w:color="auto"/>
              <w:right w:val="nil"/>
            </w:tcBorders>
            <w:vAlign w:val="center"/>
            <w:hideMark/>
          </w:tcPr>
          <w:p w14:paraId="02647A1E" w14:textId="77777777" w:rsidR="009F4E01" w:rsidRPr="00356B43" w:rsidRDefault="009F4E01" w:rsidP="009F4E01">
            <w:pPr>
              <w:spacing w:after="0" w:line="240" w:lineRule="auto"/>
              <w:rPr>
                <w:rFonts w:ascii="Arial" w:eastAsia="Times New Roman" w:hAnsi="Arial" w:cs="Arial"/>
                <w:color w:val="0070C0"/>
                <w:sz w:val="20"/>
                <w:szCs w:val="20"/>
                <w:lang w:eastAsia="pt-BR"/>
              </w:rPr>
            </w:pPr>
          </w:p>
        </w:tc>
        <w:tc>
          <w:tcPr>
            <w:tcW w:w="2835" w:type="dxa"/>
            <w:tcBorders>
              <w:top w:val="nil"/>
              <w:left w:val="single" w:sz="4" w:space="0" w:color="auto"/>
              <w:bottom w:val="nil"/>
              <w:right w:val="single" w:sz="4" w:space="0" w:color="auto"/>
            </w:tcBorders>
            <w:shd w:val="clear" w:color="000000" w:fill="FFFFFF"/>
            <w:vAlign w:val="center"/>
            <w:hideMark/>
          </w:tcPr>
          <w:p w14:paraId="63AD76BC" w14:textId="77777777" w:rsidR="009F4E01" w:rsidRPr="00356B43" w:rsidRDefault="009F4E01" w:rsidP="009F4E01">
            <w:pPr>
              <w:spacing w:after="0" w:line="240" w:lineRule="auto"/>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3 - Existem normativos, fluxos e são de amplo conhecimento de toda a administração</w:t>
            </w:r>
          </w:p>
        </w:tc>
      </w:tr>
      <w:tr w:rsidR="00C93D4D" w:rsidRPr="00356B43" w14:paraId="099B09AF" w14:textId="77777777" w:rsidTr="00581F5B">
        <w:trPr>
          <w:trHeight w:val="810"/>
        </w:trPr>
        <w:tc>
          <w:tcPr>
            <w:tcW w:w="4248" w:type="dxa"/>
            <w:vMerge/>
            <w:tcBorders>
              <w:top w:val="nil"/>
              <w:left w:val="single" w:sz="4" w:space="0" w:color="auto"/>
              <w:bottom w:val="single" w:sz="4" w:space="0" w:color="auto"/>
              <w:right w:val="single" w:sz="4" w:space="0" w:color="auto"/>
            </w:tcBorders>
            <w:vAlign w:val="center"/>
            <w:hideMark/>
          </w:tcPr>
          <w:p w14:paraId="715D2B26" w14:textId="77777777" w:rsidR="009F4E01" w:rsidRPr="00356B43" w:rsidRDefault="009F4E01" w:rsidP="009F4E01">
            <w:pPr>
              <w:spacing w:after="0" w:line="240" w:lineRule="auto"/>
              <w:rPr>
                <w:rFonts w:ascii="Arial" w:eastAsia="Times New Roman" w:hAnsi="Arial" w:cs="Arial"/>
                <w:color w:val="0070C0"/>
                <w:sz w:val="20"/>
                <w:szCs w:val="20"/>
                <w:lang w:eastAsia="pt-BR"/>
              </w:rPr>
            </w:pPr>
          </w:p>
        </w:tc>
        <w:tc>
          <w:tcPr>
            <w:tcW w:w="1112" w:type="dxa"/>
            <w:vMerge/>
            <w:tcBorders>
              <w:top w:val="nil"/>
              <w:left w:val="single" w:sz="4" w:space="0" w:color="auto"/>
              <w:bottom w:val="single" w:sz="4" w:space="0" w:color="auto"/>
              <w:right w:val="single" w:sz="4" w:space="0" w:color="auto"/>
            </w:tcBorders>
            <w:vAlign w:val="center"/>
            <w:hideMark/>
          </w:tcPr>
          <w:p w14:paraId="1E4D44DF" w14:textId="77777777" w:rsidR="009F4E01" w:rsidRPr="00356B43" w:rsidRDefault="009F4E01" w:rsidP="009F4E01">
            <w:pPr>
              <w:spacing w:after="0" w:line="240" w:lineRule="auto"/>
              <w:rPr>
                <w:rFonts w:ascii="Arial" w:eastAsia="Times New Roman" w:hAnsi="Arial" w:cs="Arial"/>
                <w:color w:val="0070C0"/>
                <w:sz w:val="20"/>
                <w:szCs w:val="20"/>
                <w:lang w:eastAsia="pt-BR"/>
              </w:rPr>
            </w:pPr>
          </w:p>
        </w:tc>
        <w:tc>
          <w:tcPr>
            <w:tcW w:w="1298" w:type="dxa"/>
            <w:vMerge/>
            <w:tcBorders>
              <w:top w:val="nil"/>
              <w:left w:val="single" w:sz="4" w:space="0" w:color="auto"/>
              <w:bottom w:val="single" w:sz="4" w:space="0" w:color="auto"/>
              <w:right w:val="nil"/>
            </w:tcBorders>
            <w:vAlign w:val="center"/>
            <w:hideMark/>
          </w:tcPr>
          <w:p w14:paraId="1557E06D" w14:textId="77777777" w:rsidR="009F4E01" w:rsidRPr="00356B43" w:rsidRDefault="009F4E01" w:rsidP="009F4E01">
            <w:pPr>
              <w:spacing w:after="0" w:line="240" w:lineRule="auto"/>
              <w:rPr>
                <w:rFonts w:ascii="Arial" w:eastAsia="Times New Roman" w:hAnsi="Arial" w:cs="Arial"/>
                <w:color w:val="0070C0"/>
                <w:sz w:val="20"/>
                <w:szCs w:val="20"/>
                <w:lang w:eastAsia="pt-BR"/>
              </w:rPr>
            </w:pPr>
          </w:p>
        </w:tc>
        <w:tc>
          <w:tcPr>
            <w:tcW w:w="2835" w:type="dxa"/>
            <w:tcBorders>
              <w:top w:val="nil"/>
              <w:left w:val="single" w:sz="4" w:space="0" w:color="auto"/>
              <w:bottom w:val="single" w:sz="4" w:space="0" w:color="auto"/>
              <w:right w:val="single" w:sz="4" w:space="0" w:color="auto"/>
            </w:tcBorders>
            <w:shd w:val="clear" w:color="000000" w:fill="FFFFFF"/>
            <w:vAlign w:val="center"/>
            <w:hideMark/>
          </w:tcPr>
          <w:p w14:paraId="67497F06" w14:textId="77777777" w:rsidR="009F4E01" w:rsidRPr="00356B43" w:rsidRDefault="009F4E01" w:rsidP="009F4E01">
            <w:pPr>
              <w:spacing w:after="0" w:line="240" w:lineRule="auto"/>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4 - Não existem normas internas definidas no âmbito desta temática</w:t>
            </w:r>
          </w:p>
        </w:tc>
      </w:tr>
      <w:tr w:rsidR="00C93D4D" w:rsidRPr="00356B43" w14:paraId="00FCA85C" w14:textId="77777777" w:rsidTr="00581F5B">
        <w:trPr>
          <w:trHeight w:val="3460"/>
        </w:trPr>
        <w:tc>
          <w:tcPr>
            <w:tcW w:w="42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CF45C2" w14:textId="77777777" w:rsidR="00581F5B" w:rsidRPr="00356B43" w:rsidRDefault="00581F5B" w:rsidP="009F4E01">
            <w:pPr>
              <w:spacing w:after="0" w:line="240" w:lineRule="auto"/>
              <w:jc w:val="both"/>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lastRenderedPageBreak/>
              <w:t>Normas internas estabelecendo procedimentos para avaliação da Gestão Financeira</w:t>
            </w:r>
          </w:p>
        </w:tc>
        <w:tc>
          <w:tcPr>
            <w:tcW w:w="11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B3EC61" w14:textId="77777777" w:rsidR="00581F5B" w:rsidRPr="00356B43" w:rsidRDefault="00581F5B" w:rsidP="009F4E01">
            <w:pPr>
              <w:spacing w:after="0" w:line="240" w:lineRule="auto"/>
              <w:jc w:val="center"/>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Inteiro</w:t>
            </w:r>
          </w:p>
        </w:tc>
        <w:tc>
          <w:tcPr>
            <w:tcW w:w="1298" w:type="dxa"/>
            <w:tcBorders>
              <w:top w:val="single" w:sz="4" w:space="0" w:color="auto"/>
              <w:left w:val="single" w:sz="4" w:space="0" w:color="auto"/>
              <w:bottom w:val="single" w:sz="4" w:space="0" w:color="auto"/>
              <w:right w:val="nil"/>
            </w:tcBorders>
            <w:shd w:val="clear" w:color="auto" w:fill="auto"/>
            <w:vAlign w:val="center"/>
            <w:hideMark/>
          </w:tcPr>
          <w:p w14:paraId="06803B54" w14:textId="77777777" w:rsidR="00581F5B" w:rsidRPr="00356B43" w:rsidRDefault="00581F5B" w:rsidP="009F4E01">
            <w:pPr>
              <w:spacing w:after="0" w:line="240" w:lineRule="auto"/>
              <w:jc w:val="center"/>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1</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D1DE9B3" w14:textId="77777777" w:rsidR="00581F5B" w:rsidRPr="00356B43" w:rsidRDefault="00581F5B" w:rsidP="009F4E01">
            <w:pPr>
              <w:spacing w:after="0" w:line="240" w:lineRule="auto"/>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Obrigatório</w:t>
            </w:r>
          </w:p>
          <w:p w14:paraId="4F9B39F7" w14:textId="28EE7770" w:rsidR="00581F5B" w:rsidRPr="00356B43" w:rsidRDefault="00581F5B" w:rsidP="009F4E01">
            <w:pPr>
              <w:spacing w:after="0" w:line="240" w:lineRule="auto"/>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1 - Existem somente os normativos</w:t>
            </w:r>
          </w:p>
          <w:p w14:paraId="5F68C613" w14:textId="77777777" w:rsidR="00AA2705" w:rsidRPr="00356B43" w:rsidRDefault="00AA2705" w:rsidP="009F4E01">
            <w:pPr>
              <w:spacing w:after="0" w:line="240" w:lineRule="auto"/>
              <w:rPr>
                <w:rFonts w:ascii="Arial" w:eastAsia="Times New Roman" w:hAnsi="Arial" w:cs="Arial"/>
                <w:color w:val="0070C0"/>
                <w:sz w:val="20"/>
                <w:szCs w:val="20"/>
                <w:lang w:eastAsia="pt-BR"/>
              </w:rPr>
            </w:pPr>
          </w:p>
          <w:p w14:paraId="110B8C94" w14:textId="51839E31" w:rsidR="00581F5B" w:rsidRPr="00356B43" w:rsidRDefault="00581F5B" w:rsidP="009F4E01">
            <w:pPr>
              <w:spacing w:after="0" w:line="240" w:lineRule="auto"/>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2 - Existem normativos e fluxos desenhados</w:t>
            </w:r>
          </w:p>
          <w:p w14:paraId="4158AF18" w14:textId="77777777" w:rsidR="00AA2705" w:rsidRPr="00356B43" w:rsidRDefault="00AA2705" w:rsidP="009F4E01">
            <w:pPr>
              <w:spacing w:after="0" w:line="240" w:lineRule="auto"/>
              <w:rPr>
                <w:rFonts w:ascii="Arial" w:eastAsia="Times New Roman" w:hAnsi="Arial" w:cs="Arial"/>
                <w:color w:val="0070C0"/>
                <w:sz w:val="20"/>
                <w:szCs w:val="20"/>
                <w:lang w:eastAsia="pt-BR"/>
              </w:rPr>
            </w:pPr>
          </w:p>
          <w:p w14:paraId="031CC710" w14:textId="0241F7C6" w:rsidR="00581F5B" w:rsidRPr="00356B43" w:rsidRDefault="00581F5B" w:rsidP="009F4E01">
            <w:pPr>
              <w:spacing w:after="0" w:line="240" w:lineRule="auto"/>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3 - Existem normativos, fluxos e são de amplo conhecimento de toda a administração</w:t>
            </w:r>
          </w:p>
          <w:p w14:paraId="37CB286B" w14:textId="77777777" w:rsidR="00AA2705" w:rsidRPr="00356B43" w:rsidRDefault="00AA2705" w:rsidP="009F4E01">
            <w:pPr>
              <w:spacing w:after="0" w:line="240" w:lineRule="auto"/>
              <w:rPr>
                <w:rFonts w:ascii="Arial" w:eastAsia="Times New Roman" w:hAnsi="Arial" w:cs="Arial"/>
                <w:color w:val="0070C0"/>
                <w:sz w:val="20"/>
                <w:szCs w:val="20"/>
                <w:lang w:eastAsia="pt-BR"/>
              </w:rPr>
            </w:pPr>
          </w:p>
          <w:p w14:paraId="0070C330" w14:textId="020D5442" w:rsidR="00581F5B" w:rsidRPr="00356B43" w:rsidRDefault="00581F5B" w:rsidP="009F4E01">
            <w:pPr>
              <w:spacing w:after="0" w:line="240" w:lineRule="auto"/>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4 - Não existem normas internas definidas no âmbito desta temática</w:t>
            </w:r>
          </w:p>
        </w:tc>
      </w:tr>
      <w:tr w:rsidR="00C93D4D" w:rsidRPr="00356B43" w14:paraId="29A0E5D9" w14:textId="77777777" w:rsidTr="00581F5B">
        <w:trPr>
          <w:trHeight w:val="255"/>
        </w:trPr>
        <w:tc>
          <w:tcPr>
            <w:tcW w:w="42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FBFF19" w14:textId="77777777" w:rsidR="009F4E01" w:rsidRPr="00356B43" w:rsidRDefault="009F4E01" w:rsidP="009F4E01">
            <w:pPr>
              <w:spacing w:after="0" w:line="240" w:lineRule="auto"/>
              <w:jc w:val="both"/>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Normas internas estabelecendo procedimentos para avaliação da Gestão Patrimonial</w:t>
            </w:r>
          </w:p>
        </w:tc>
        <w:tc>
          <w:tcPr>
            <w:tcW w:w="111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760C1F" w14:textId="77777777" w:rsidR="009F4E01" w:rsidRPr="00356B43" w:rsidRDefault="009F4E01" w:rsidP="009F4E01">
            <w:pPr>
              <w:spacing w:after="0" w:line="240" w:lineRule="auto"/>
              <w:jc w:val="center"/>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Inteiro</w:t>
            </w:r>
          </w:p>
        </w:tc>
        <w:tc>
          <w:tcPr>
            <w:tcW w:w="1298" w:type="dxa"/>
            <w:vMerge w:val="restart"/>
            <w:tcBorders>
              <w:top w:val="single" w:sz="4" w:space="0" w:color="auto"/>
              <w:left w:val="single" w:sz="4" w:space="0" w:color="auto"/>
              <w:bottom w:val="single" w:sz="4" w:space="0" w:color="auto"/>
              <w:right w:val="nil"/>
            </w:tcBorders>
            <w:shd w:val="clear" w:color="auto" w:fill="auto"/>
            <w:vAlign w:val="center"/>
            <w:hideMark/>
          </w:tcPr>
          <w:p w14:paraId="4ABBB0EA" w14:textId="77777777" w:rsidR="009F4E01" w:rsidRPr="00356B43" w:rsidRDefault="009F4E01" w:rsidP="009F4E01">
            <w:pPr>
              <w:spacing w:after="0" w:line="240" w:lineRule="auto"/>
              <w:jc w:val="center"/>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1</w:t>
            </w:r>
          </w:p>
        </w:tc>
        <w:tc>
          <w:tcPr>
            <w:tcW w:w="2835" w:type="dxa"/>
            <w:tcBorders>
              <w:top w:val="single" w:sz="4" w:space="0" w:color="auto"/>
              <w:left w:val="single" w:sz="4" w:space="0" w:color="auto"/>
              <w:bottom w:val="nil"/>
              <w:right w:val="single" w:sz="4" w:space="0" w:color="auto"/>
            </w:tcBorders>
            <w:shd w:val="clear" w:color="000000" w:fill="FFFFFF"/>
            <w:vAlign w:val="center"/>
            <w:hideMark/>
          </w:tcPr>
          <w:p w14:paraId="1D7EEEEE" w14:textId="77777777" w:rsidR="009F4E01" w:rsidRPr="00356B43" w:rsidRDefault="009F4E01" w:rsidP="009F4E01">
            <w:pPr>
              <w:spacing w:after="0" w:line="240" w:lineRule="auto"/>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Obrigatório</w:t>
            </w:r>
          </w:p>
        </w:tc>
      </w:tr>
      <w:tr w:rsidR="00C93D4D" w:rsidRPr="00356B43" w14:paraId="177CE0D6" w14:textId="77777777" w:rsidTr="0062211B">
        <w:trPr>
          <w:trHeight w:val="555"/>
        </w:trPr>
        <w:tc>
          <w:tcPr>
            <w:tcW w:w="4248" w:type="dxa"/>
            <w:vMerge/>
            <w:tcBorders>
              <w:top w:val="nil"/>
              <w:left w:val="single" w:sz="4" w:space="0" w:color="auto"/>
              <w:bottom w:val="single" w:sz="4" w:space="0" w:color="auto"/>
              <w:right w:val="single" w:sz="4" w:space="0" w:color="auto"/>
            </w:tcBorders>
            <w:vAlign w:val="center"/>
            <w:hideMark/>
          </w:tcPr>
          <w:p w14:paraId="1C9E70F4" w14:textId="77777777" w:rsidR="009F4E01" w:rsidRPr="00356B43" w:rsidRDefault="009F4E01" w:rsidP="009F4E01">
            <w:pPr>
              <w:spacing w:after="0" w:line="240" w:lineRule="auto"/>
              <w:rPr>
                <w:rFonts w:ascii="Arial" w:eastAsia="Times New Roman" w:hAnsi="Arial" w:cs="Arial"/>
                <w:color w:val="0070C0"/>
                <w:sz w:val="20"/>
                <w:szCs w:val="20"/>
                <w:lang w:eastAsia="pt-BR"/>
              </w:rPr>
            </w:pPr>
          </w:p>
        </w:tc>
        <w:tc>
          <w:tcPr>
            <w:tcW w:w="1112" w:type="dxa"/>
            <w:vMerge/>
            <w:tcBorders>
              <w:top w:val="nil"/>
              <w:left w:val="single" w:sz="4" w:space="0" w:color="auto"/>
              <w:bottom w:val="single" w:sz="4" w:space="0" w:color="auto"/>
              <w:right w:val="single" w:sz="4" w:space="0" w:color="auto"/>
            </w:tcBorders>
            <w:vAlign w:val="center"/>
            <w:hideMark/>
          </w:tcPr>
          <w:p w14:paraId="0560002F" w14:textId="77777777" w:rsidR="009F4E01" w:rsidRPr="00356B43" w:rsidRDefault="009F4E01" w:rsidP="009F4E01">
            <w:pPr>
              <w:spacing w:after="0" w:line="240" w:lineRule="auto"/>
              <w:rPr>
                <w:rFonts w:ascii="Arial" w:eastAsia="Times New Roman" w:hAnsi="Arial" w:cs="Arial"/>
                <w:color w:val="0070C0"/>
                <w:sz w:val="20"/>
                <w:szCs w:val="20"/>
                <w:lang w:eastAsia="pt-BR"/>
              </w:rPr>
            </w:pPr>
          </w:p>
        </w:tc>
        <w:tc>
          <w:tcPr>
            <w:tcW w:w="1298" w:type="dxa"/>
            <w:vMerge/>
            <w:tcBorders>
              <w:top w:val="nil"/>
              <w:left w:val="single" w:sz="4" w:space="0" w:color="auto"/>
              <w:bottom w:val="single" w:sz="4" w:space="0" w:color="auto"/>
              <w:right w:val="nil"/>
            </w:tcBorders>
            <w:vAlign w:val="center"/>
            <w:hideMark/>
          </w:tcPr>
          <w:p w14:paraId="4EF3BFC0" w14:textId="77777777" w:rsidR="009F4E01" w:rsidRPr="00356B43" w:rsidRDefault="009F4E01" w:rsidP="009F4E01">
            <w:pPr>
              <w:spacing w:after="0" w:line="240" w:lineRule="auto"/>
              <w:rPr>
                <w:rFonts w:ascii="Arial" w:eastAsia="Times New Roman" w:hAnsi="Arial" w:cs="Arial"/>
                <w:color w:val="0070C0"/>
                <w:sz w:val="20"/>
                <w:szCs w:val="20"/>
                <w:lang w:eastAsia="pt-BR"/>
              </w:rPr>
            </w:pPr>
          </w:p>
        </w:tc>
        <w:tc>
          <w:tcPr>
            <w:tcW w:w="2835" w:type="dxa"/>
            <w:tcBorders>
              <w:top w:val="nil"/>
              <w:left w:val="single" w:sz="4" w:space="0" w:color="auto"/>
              <w:bottom w:val="nil"/>
              <w:right w:val="single" w:sz="4" w:space="0" w:color="auto"/>
            </w:tcBorders>
            <w:shd w:val="clear" w:color="000000" w:fill="FFFFFF"/>
            <w:vAlign w:val="center"/>
            <w:hideMark/>
          </w:tcPr>
          <w:p w14:paraId="780FF6D2" w14:textId="77777777" w:rsidR="009F4E01" w:rsidRPr="00356B43" w:rsidRDefault="009F4E01" w:rsidP="009F4E01">
            <w:pPr>
              <w:spacing w:after="0" w:line="240" w:lineRule="auto"/>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1 - Existem somente os normativos</w:t>
            </w:r>
          </w:p>
        </w:tc>
      </w:tr>
      <w:tr w:rsidR="00C93D4D" w:rsidRPr="00356B43" w14:paraId="1ED7F81D" w14:textId="77777777" w:rsidTr="0062211B">
        <w:trPr>
          <w:trHeight w:val="615"/>
        </w:trPr>
        <w:tc>
          <w:tcPr>
            <w:tcW w:w="4248" w:type="dxa"/>
            <w:vMerge/>
            <w:tcBorders>
              <w:top w:val="nil"/>
              <w:left w:val="single" w:sz="4" w:space="0" w:color="auto"/>
              <w:bottom w:val="single" w:sz="4" w:space="0" w:color="auto"/>
              <w:right w:val="single" w:sz="4" w:space="0" w:color="auto"/>
            </w:tcBorders>
            <w:vAlign w:val="center"/>
            <w:hideMark/>
          </w:tcPr>
          <w:p w14:paraId="2CCA1FAD" w14:textId="77777777" w:rsidR="009F4E01" w:rsidRPr="00356B43" w:rsidRDefault="009F4E01" w:rsidP="009F4E01">
            <w:pPr>
              <w:spacing w:after="0" w:line="240" w:lineRule="auto"/>
              <w:rPr>
                <w:rFonts w:ascii="Arial" w:eastAsia="Times New Roman" w:hAnsi="Arial" w:cs="Arial"/>
                <w:color w:val="0070C0"/>
                <w:sz w:val="20"/>
                <w:szCs w:val="20"/>
                <w:lang w:eastAsia="pt-BR"/>
              </w:rPr>
            </w:pPr>
          </w:p>
        </w:tc>
        <w:tc>
          <w:tcPr>
            <w:tcW w:w="1112" w:type="dxa"/>
            <w:vMerge/>
            <w:tcBorders>
              <w:top w:val="nil"/>
              <w:left w:val="single" w:sz="4" w:space="0" w:color="auto"/>
              <w:bottom w:val="single" w:sz="4" w:space="0" w:color="auto"/>
              <w:right w:val="single" w:sz="4" w:space="0" w:color="auto"/>
            </w:tcBorders>
            <w:vAlign w:val="center"/>
            <w:hideMark/>
          </w:tcPr>
          <w:p w14:paraId="612DF096" w14:textId="77777777" w:rsidR="009F4E01" w:rsidRPr="00356B43" w:rsidRDefault="009F4E01" w:rsidP="009F4E01">
            <w:pPr>
              <w:spacing w:after="0" w:line="240" w:lineRule="auto"/>
              <w:rPr>
                <w:rFonts w:ascii="Arial" w:eastAsia="Times New Roman" w:hAnsi="Arial" w:cs="Arial"/>
                <w:color w:val="0070C0"/>
                <w:sz w:val="20"/>
                <w:szCs w:val="20"/>
                <w:lang w:eastAsia="pt-BR"/>
              </w:rPr>
            </w:pPr>
          </w:p>
        </w:tc>
        <w:tc>
          <w:tcPr>
            <w:tcW w:w="1298" w:type="dxa"/>
            <w:vMerge/>
            <w:tcBorders>
              <w:top w:val="nil"/>
              <w:left w:val="single" w:sz="4" w:space="0" w:color="auto"/>
              <w:bottom w:val="single" w:sz="4" w:space="0" w:color="auto"/>
              <w:right w:val="nil"/>
            </w:tcBorders>
            <w:vAlign w:val="center"/>
            <w:hideMark/>
          </w:tcPr>
          <w:p w14:paraId="3A7381EF" w14:textId="77777777" w:rsidR="009F4E01" w:rsidRPr="00356B43" w:rsidRDefault="009F4E01" w:rsidP="009F4E01">
            <w:pPr>
              <w:spacing w:after="0" w:line="240" w:lineRule="auto"/>
              <w:rPr>
                <w:rFonts w:ascii="Arial" w:eastAsia="Times New Roman" w:hAnsi="Arial" w:cs="Arial"/>
                <w:color w:val="0070C0"/>
                <w:sz w:val="20"/>
                <w:szCs w:val="20"/>
                <w:lang w:eastAsia="pt-BR"/>
              </w:rPr>
            </w:pPr>
          </w:p>
        </w:tc>
        <w:tc>
          <w:tcPr>
            <w:tcW w:w="2835" w:type="dxa"/>
            <w:tcBorders>
              <w:top w:val="nil"/>
              <w:left w:val="single" w:sz="4" w:space="0" w:color="auto"/>
              <w:bottom w:val="nil"/>
              <w:right w:val="single" w:sz="4" w:space="0" w:color="auto"/>
            </w:tcBorders>
            <w:shd w:val="clear" w:color="000000" w:fill="FFFFFF"/>
            <w:vAlign w:val="center"/>
            <w:hideMark/>
          </w:tcPr>
          <w:p w14:paraId="7C4C86B0" w14:textId="77777777" w:rsidR="009F4E01" w:rsidRPr="00356B43" w:rsidRDefault="009F4E01" w:rsidP="009F4E01">
            <w:pPr>
              <w:spacing w:after="0" w:line="240" w:lineRule="auto"/>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2 - Existem normativos e fluxos desenhados</w:t>
            </w:r>
          </w:p>
        </w:tc>
      </w:tr>
      <w:tr w:rsidR="00C93D4D" w:rsidRPr="00356B43" w14:paraId="376B7D36" w14:textId="77777777" w:rsidTr="0062211B">
        <w:trPr>
          <w:trHeight w:val="1140"/>
        </w:trPr>
        <w:tc>
          <w:tcPr>
            <w:tcW w:w="4248" w:type="dxa"/>
            <w:vMerge/>
            <w:tcBorders>
              <w:top w:val="nil"/>
              <w:left w:val="single" w:sz="4" w:space="0" w:color="auto"/>
              <w:bottom w:val="single" w:sz="4" w:space="0" w:color="auto"/>
              <w:right w:val="single" w:sz="4" w:space="0" w:color="auto"/>
            </w:tcBorders>
            <w:vAlign w:val="center"/>
            <w:hideMark/>
          </w:tcPr>
          <w:p w14:paraId="5E5632D8" w14:textId="77777777" w:rsidR="009F4E01" w:rsidRPr="00356B43" w:rsidRDefault="009F4E01" w:rsidP="009F4E01">
            <w:pPr>
              <w:spacing w:after="0" w:line="240" w:lineRule="auto"/>
              <w:rPr>
                <w:rFonts w:ascii="Arial" w:eastAsia="Times New Roman" w:hAnsi="Arial" w:cs="Arial"/>
                <w:color w:val="0070C0"/>
                <w:sz w:val="20"/>
                <w:szCs w:val="20"/>
                <w:lang w:eastAsia="pt-BR"/>
              </w:rPr>
            </w:pPr>
          </w:p>
        </w:tc>
        <w:tc>
          <w:tcPr>
            <w:tcW w:w="1112" w:type="dxa"/>
            <w:vMerge/>
            <w:tcBorders>
              <w:top w:val="nil"/>
              <w:left w:val="single" w:sz="4" w:space="0" w:color="auto"/>
              <w:bottom w:val="single" w:sz="4" w:space="0" w:color="auto"/>
              <w:right w:val="single" w:sz="4" w:space="0" w:color="auto"/>
            </w:tcBorders>
            <w:vAlign w:val="center"/>
            <w:hideMark/>
          </w:tcPr>
          <w:p w14:paraId="2BE97F28" w14:textId="77777777" w:rsidR="009F4E01" w:rsidRPr="00356B43" w:rsidRDefault="009F4E01" w:rsidP="009F4E01">
            <w:pPr>
              <w:spacing w:after="0" w:line="240" w:lineRule="auto"/>
              <w:rPr>
                <w:rFonts w:ascii="Arial" w:eastAsia="Times New Roman" w:hAnsi="Arial" w:cs="Arial"/>
                <w:color w:val="0070C0"/>
                <w:sz w:val="20"/>
                <w:szCs w:val="20"/>
                <w:lang w:eastAsia="pt-BR"/>
              </w:rPr>
            </w:pPr>
          </w:p>
        </w:tc>
        <w:tc>
          <w:tcPr>
            <w:tcW w:w="1298" w:type="dxa"/>
            <w:vMerge/>
            <w:tcBorders>
              <w:top w:val="nil"/>
              <w:left w:val="single" w:sz="4" w:space="0" w:color="auto"/>
              <w:bottom w:val="single" w:sz="4" w:space="0" w:color="auto"/>
              <w:right w:val="nil"/>
            </w:tcBorders>
            <w:vAlign w:val="center"/>
            <w:hideMark/>
          </w:tcPr>
          <w:p w14:paraId="37BFF095" w14:textId="77777777" w:rsidR="009F4E01" w:rsidRPr="00356B43" w:rsidRDefault="009F4E01" w:rsidP="009F4E01">
            <w:pPr>
              <w:spacing w:after="0" w:line="240" w:lineRule="auto"/>
              <w:rPr>
                <w:rFonts w:ascii="Arial" w:eastAsia="Times New Roman" w:hAnsi="Arial" w:cs="Arial"/>
                <w:color w:val="0070C0"/>
                <w:sz w:val="20"/>
                <w:szCs w:val="20"/>
                <w:lang w:eastAsia="pt-BR"/>
              </w:rPr>
            </w:pPr>
          </w:p>
        </w:tc>
        <w:tc>
          <w:tcPr>
            <w:tcW w:w="2835" w:type="dxa"/>
            <w:tcBorders>
              <w:top w:val="nil"/>
              <w:left w:val="single" w:sz="4" w:space="0" w:color="auto"/>
              <w:bottom w:val="nil"/>
              <w:right w:val="single" w:sz="4" w:space="0" w:color="auto"/>
            </w:tcBorders>
            <w:shd w:val="clear" w:color="000000" w:fill="FFFFFF"/>
            <w:vAlign w:val="center"/>
            <w:hideMark/>
          </w:tcPr>
          <w:p w14:paraId="597D4FCE" w14:textId="77777777" w:rsidR="009F4E01" w:rsidRPr="00356B43" w:rsidRDefault="009F4E01" w:rsidP="009F4E01">
            <w:pPr>
              <w:spacing w:after="0" w:line="240" w:lineRule="auto"/>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3 - Existem normativos, fluxos e são de amplo conhecimento de toda a administração</w:t>
            </w:r>
          </w:p>
        </w:tc>
      </w:tr>
      <w:tr w:rsidR="00C93D4D" w:rsidRPr="00356B43" w14:paraId="58F0D845" w14:textId="77777777" w:rsidTr="0062211B">
        <w:trPr>
          <w:trHeight w:val="780"/>
        </w:trPr>
        <w:tc>
          <w:tcPr>
            <w:tcW w:w="4248" w:type="dxa"/>
            <w:vMerge/>
            <w:tcBorders>
              <w:top w:val="nil"/>
              <w:left w:val="single" w:sz="4" w:space="0" w:color="auto"/>
              <w:bottom w:val="single" w:sz="4" w:space="0" w:color="auto"/>
              <w:right w:val="single" w:sz="4" w:space="0" w:color="auto"/>
            </w:tcBorders>
            <w:vAlign w:val="center"/>
            <w:hideMark/>
          </w:tcPr>
          <w:p w14:paraId="31AF3F42" w14:textId="77777777" w:rsidR="009F4E01" w:rsidRPr="00356B43" w:rsidRDefault="009F4E01" w:rsidP="009F4E01">
            <w:pPr>
              <w:spacing w:after="0" w:line="240" w:lineRule="auto"/>
              <w:rPr>
                <w:rFonts w:ascii="Arial" w:eastAsia="Times New Roman" w:hAnsi="Arial" w:cs="Arial"/>
                <w:color w:val="0070C0"/>
                <w:sz w:val="20"/>
                <w:szCs w:val="20"/>
                <w:lang w:eastAsia="pt-BR"/>
              </w:rPr>
            </w:pPr>
          </w:p>
        </w:tc>
        <w:tc>
          <w:tcPr>
            <w:tcW w:w="1112" w:type="dxa"/>
            <w:vMerge/>
            <w:tcBorders>
              <w:top w:val="nil"/>
              <w:left w:val="single" w:sz="4" w:space="0" w:color="auto"/>
              <w:bottom w:val="single" w:sz="4" w:space="0" w:color="auto"/>
              <w:right w:val="single" w:sz="4" w:space="0" w:color="auto"/>
            </w:tcBorders>
            <w:vAlign w:val="center"/>
            <w:hideMark/>
          </w:tcPr>
          <w:p w14:paraId="2B1A9B1F" w14:textId="77777777" w:rsidR="009F4E01" w:rsidRPr="00356B43" w:rsidRDefault="009F4E01" w:rsidP="009F4E01">
            <w:pPr>
              <w:spacing w:after="0" w:line="240" w:lineRule="auto"/>
              <w:rPr>
                <w:rFonts w:ascii="Arial" w:eastAsia="Times New Roman" w:hAnsi="Arial" w:cs="Arial"/>
                <w:color w:val="0070C0"/>
                <w:sz w:val="20"/>
                <w:szCs w:val="20"/>
                <w:lang w:eastAsia="pt-BR"/>
              </w:rPr>
            </w:pPr>
          </w:p>
        </w:tc>
        <w:tc>
          <w:tcPr>
            <w:tcW w:w="1298" w:type="dxa"/>
            <w:vMerge/>
            <w:tcBorders>
              <w:top w:val="nil"/>
              <w:left w:val="single" w:sz="4" w:space="0" w:color="auto"/>
              <w:bottom w:val="single" w:sz="4" w:space="0" w:color="auto"/>
              <w:right w:val="nil"/>
            </w:tcBorders>
            <w:vAlign w:val="center"/>
            <w:hideMark/>
          </w:tcPr>
          <w:p w14:paraId="36BDCD6D" w14:textId="77777777" w:rsidR="009F4E01" w:rsidRPr="00356B43" w:rsidRDefault="009F4E01" w:rsidP="009F4E01">
            <w:pPr>
              <w:spacing w:after="0" w:line="240" w:lineRule="auto"/>
              <w:rPr>
                <w:rFonts w:ascii="Arial" w:eastAsia="Times New Roman" w:hAnsi="Arial" w:cs="Arial"/>
                <w:color w:val="0070C0"/>
                <w:sz w:val="20"/>
                <w:szCs w:val="20"/>
                <w:lang w:eastAsia="pt-BR"/>
              </w:rPr>
            </w:pPr>
          </w:p>
        </w:tc>
        <w:tc>
          <w:tcPr>
            <w:tcW w:w="2835" w:type="dxa"/>
            <w:tcBorders>
              <w:top w:val="nil"/>
              <w:left w:val="single" w:sz="4" w:space="0" w:color="auto"/>
              <w:bottom w:val="nil"/>
              <w:right w:val="single" w:sz="4" w:space="0" w:color="auto"/>
            </w:tcBorders>
            <w:shd w:val="clear" w:color="000000" w:fill="FFFFFF"/>
            <w:vAlign w:val="center"/>
            <w:hideMark/>
          </w:tcPr>
          <w:p w14:paraId="2A7EAE48" w14:textId="77777777" w:rsidR="009F4E01" w:rsidRPr="00356B43" w:rsidRDefault="009F4E01" w:rsidP="009F4E01">
            <w:pPr>
              <w:spacing w:after="0" w:line="240" w:lineRule="auto"/>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4 - Não existem normas internas definidas no âmbito desta temática</w:t>
            </w:r>
          </w:p>
        </w:tc>
      </w:tr>
      <w:tr w:rsidR="00C93D4D" w:rsidRPr="00356B43" w14:paraId="7D8F073A" w14:textId="77777777" w:rsidTr="0062211B">
        <w:trPr>
          <w:trHeight w:val="405"/>
        </w:trPr>
        <w:tc>
          <w:tcPr>
            <w:tcW w:w="4248" w:type="dxa"/>
            <w:vMerge w:val="restart"/>
            <w:tcBorders>
              <w:top w:val="nil"/>
              <w:left w:val="single" w:sz="4" w:space="0" w:color="auto"/>
              <w:bottom w:val="single" w:sz="4" w:space="0" w:color="auto"/>
              <w:right w:val="single" w:sz="4" w:space="0" w:color="auto"/>
            </w:tcBorders>
            <w:shd w:val="clear" w:color="auto" w:fill="auto"/>
            <w:vAlign w:val="center"/>
            <w:hideMark/>
          </w:tcPr>
          <w:p w14:paraId="2AA5C049" w14:textId="77777777" w:rsidR="009F4E01" w:rsidRPr="00356B43" w:rsidRDefault="009F4E01" w:rsidP="009F4E01">
            <w:pPr>
              <w:spacing w:after="0" w:line="240" w:lineRule="auto"/>
              <w:jc w:val="both"/>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Normas internas estabelecendo procedimentos para avaliação da Gestão Fiscal</w:t>
            </w:r>
          </w:p>
        </w:tc>
        <w:tc>
          <w:tcPr>
            <w:tcW w:w="1112" w:type="dxa"/>
            <w:vMerge w:val="restart"/>
            <w:tcBorders>
              <w:top w:val="nil"/>
              <w:left w:val="single" w:sz="4" w:space="0" w:color="auto"/>
              <w:bottom w:val="single" w:sz="4" w:space="0" w:color="auto"/>
              <w:right w:val="single" w:sz="4" w:space="0" w:color="auto"/>
            </w:tcBorders>
            <w:shd w:val="clear" w:color="auto" w:fill="auto"/>
            <w:vAlign w:val="center"/>
            <w:hideMark/>
          </w:tcPr>
          <w:p w14:paraId="33CE759B" w14:textId="77777777" w:rsidR="009F4E01" w:rsidRPr="00356B43" w:rsidRDefault="009F4E01" w:rsidP="009F4E01">
            <w:pPr>
              <w:spacing w:after="0" w:line="240" w:lineRule="auto"/>
              <w:jc w:val="center"/>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Inteiro</w:t>
            </w:r>
          </w:p>
        </w:tc>
        <w:tc>
          <w:tcPr>
            <w:tcW w:w="1298" w:type="dxa"/>
            <w:vMerge w:val="restart"/>
            <w:tcBorders>
              <w:top w:val="nil"/>
              <w:left w:val="single" w:sz="4" w:space="0" w:color="auto"/>
              <w:bottom w:val="single" w:sz="4" w:space="0" w:color="auto"/>
              <w:right w:val="nil"/>
            </w:tcBorders>
            <w:shd w:val="clear" w:color="auto" w:fill="auto"/>
            <w:vAlign w:val="center"/>
            <w:hideMark/>
          </w:tcPr>
          <w:p w14:paraId="128280EC" w14:textId="77777777" w:rsidR="009F4E01" w:rsidRPr="00356B43" w:rsidRDefault="009F4E01" w:rsidP="009F4E01">
            <w:pPr>
              <w:spacing w:after="0" w:line="240" w:lineRule="auto"/>
              <w:jc w:val="center"/>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1</w:t>
            </w:r>
          </w:p>
        </w:tc>
        <w:tc>
          <w:tcPr>
            <w:tcW w:w="2835" w:type="dxa"/>
            <w:tcBorders>
              <w:top w:val="single" w:sz="4" w:space="0" w:color="auto"/>
              <w:left w:val="single" w:sz="4" w:space="0" w:color="auto"/>
              <w:bottom w:val="nil"/>
              <w:right w:val="single" w:sz="4" w:space="0" w:color="auto"/>
            </w:tcBorders>
            <w:shd w:val="clear" w:color="000000" w:fill="FFFFFF"/>
            <w:vAlign w:val="center"/>
            <w:hideMark/>
          </w:tcPr>
          <w:p w14:paraId="33988765" w14:textId="77777777" w:rsidR="009F4E01" w:rsidRPr="00356B43" w:rsidRDefault="009F4E01" w:rsidP="009F4E01">
            <w:pPr>
              <w:spacing w:after="0" w:line="240" w:lineRule="auto"/>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Obrigatório</w:t>
            </w:r>
          </w:p>
        </w:tc>
      </w:tr>
      <w:tr w:rsidR="00C93D4D" w:rsidRPr="00356B43" w14:paraId="1E03CC95" w14:textId="77777777" w:rsidTr="0062211B">
        <w:trPr>
          <w:trHeight w:val="630"/>
        </w:trPr>
        <w:tc>
          <w:tcPr>
            <w:tcW w:w="4248" w:type="dxa"/>
            <w:vMerge/>
            <w:tcBorders>
              <w:top w:val="nil"/>
              <w:left w:val="single" w:sz="4" w:space="0" w:color="auto"/>
              <w:bottom w:val="single" w:sz="4" w:space="0" w:color="auto"/>
              <w:right w:val="single" w:sz="4" w:space="0" w:color="auto"/>
            </w:tcBorders>
            <w:vAlign w:val="center"/>
            <w:hideMark/>
          </w:tcPr>
          <w:p w14:paraId="73153E98" w14:textId="77777777" w:rsidR="009F4E01" w:rsidRPr="00356B43" w:rsidRDefault="009F4E01" w:rsidP="009F4E01">
            <w:pPr>
              <w:spacing w:after="0" w:line="240" w:lineRule="auto"/>
              <w:rPr>
                <w:rFonts w:ascii="Arial" w:eastAsia="Times New Roman" w:hAnsi="Arial" w:cs="Arial"/>
                <w:color w:val="0070C0"/>
                <w:sz w:val="20"/>
                <w:szCs w:val="20"/>
                <w:lang w:eastAsia="pt-BR"/>
              </w:rPr>
            </w:pPr>
          </w:p>
        </w:tc>
        <w:tc>
          <w:tcPr>
            <w:tcW w:w="1112" w:type="dxa"/>
            <w:vMerge/>
            <w:tcBorders>
              <w:top w:val="nil"/>
              <w:left w:val="single" w:sz="4" w:space="0" w:color="auto"/>
              <w:bottom w:val="single" w:sz="4" w:space="0" w:color="auto"/>
              <w:right w:val="single" w:sz="4" w:space="0" w:color="auto"/>
            </w:tcBorders>
            <w:vAlign w:val="center"/>
            <w:hideMark/>
          </w:tcPr>
          <w:p w14:paraId="110F373F" w14:textId="77777777" w:rsidR="009F4E01" w:rsidRPr="00356B43" w:rsidRDefault="009F4E01" w:rsidP="009F4E01">
            <w:pPr>
              <w:spacing w:after="0" w:line="240" w:lineRule="auto"/>
              <w:rPr>
                <w:rFonts w:ascii="Arial" w:eastAsia="Times New Roman" w:hAnsi="Arial" w:cs="Arial"/>
                <w:color w:val="0070C0"/>
                <w:sz w:val="20"/>
                <w:szCs w:val="20"/>
                <w:lang w:eastAsia="pt-BR"/>
              </w:rPr>
            </w:pPr>
          </w:p>
        </w:tc>
        <w:tc>
          <w:tcPr>
            <w:tcW w:w="1298" w:type="dxa"/>
            <w:vMerge/>
            <w:tcBorders>
              <w:top w:val="nil"/>
              <w:left w:val="single" w:sz="4" w:space="0" w:color="auto"/>
              <w:bottom w:val="single" w:sz="4" w:space="0" w:color="auto"/>
              <w:right w:val="nil"/>
            </w:tcBorders>
            <w:vAlign w:val="center"/>
            <w:hideMark/>
          </w:tcPr>
          <w:p w14:paraId="0FC72044" w14:textId="77777777" w:rsidR="009F4E01" w:rsidRPr="00356B43" w:rsidRDefault="009F4E01" w:rsidP="009F4E01">
            <w:pPr>
              <w:spacing w:after="0" w:line="240" w:lineRule="auto"/>
              <w:rPr>
                <w:rFonts w:ascii="Arial" w:eastAsia="Times New Roman" w:hAnsi="Arial" w:cs="Arial"/>
                <w:color w:val="0070C0"/>
                <w:sz w:val="20"/>
                <w:szCs w:val="20"/>
                <w:lang w:eastAsia="pt-BR"/>
              </w:rPr>
            </w:pPr>
          </w:p>
        </w:tc>
        <w:tc>
          <w:tcPr>
            <w:tcW w:w="2835" w:type="dxa"/>
            <w:tcBorders>
              <w:top w:val="nil"/>
              <w:left w:val="single" w:sz="4" w:space="0" w:color="auto"/>
              <w:bottom w:val="nil"/>
              <w:right w:val="single" w:sz="4" w:space="0" w:color="auto"/>
            </w:tcBorders>
            <w:shd w:val="clear" w:color="000000" w:fill="FFFFFF"/>
            <w:vAlign w:val="center"/>
            <w:hideMark/>
          </w:tcPr>
          <w:p w14:paraId="652D82E7" w14:textId="77777777" w:rsidR="009F4E01" w:rsidRPr="00356B43" w:rsidRDefault="009F4E01" w:rsidP="009F4E01">
            <w:pPr>
              <w:spacing w:after="0" w:line="240" w:lineRule="auto"/>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1 - Existem somente os normativos</w:t>
            </w:r>
          </w:p>
        </w:tc>
      </w:tr>
      <w:tr w:rsidR="00C93D4D" w:rsidRPr="00356B43" w14:paraId="302F8E1D" w14:textId="77777777" w:rsidTr="0062211B">
        <w:trPr>
          <w:trHeight w:val="660"/>
        </w:trPr>
        <w:tc>
          <w:tcPr>
            <w:tcW w:w="4248" w:type="dxa"/>
            <w:vMerge/>
            <w:tcBorders>
              <w:top w:val="nil"/>
              <w:left w:val="single" w:sz="4" w:space="0" w:color="auto"/>
              <w:bottom w:val="single" w:sz="4" w:space="0" w:color="auto"/>
              <w:right w:val="single" w:sz="4" w:space="0" w:color="auto"/>
            </w:tcBorders>
            <w:vAlign w:val="center"/>
            <w:hideMark/>
          </w:tcPr>
          <w:p w14:paraId="12CC42DA" w14:textId="77777777" w:rsidR="009F4E01" w:rsidRPr="00356B43" w:rsidRDefault="009F4E01" w:rsidP="009F4E01">
            <w:pPr>
              <w:spacing w:after="0" w:line="240" w:lineRule="auto"/>
              <w:rPr>
                <w:rFonts w:ascii="Arial" w:eastAsia="Times New Roman" w:hAnsi="Arial" w:cs="Arial"/>
                <w:color w:val="0070C0"/>
                <w:sz w:val="20"/>
                <w:szCs w:val="20"/>
                <w:lang w:eastAsia="pt-BR"/>
              </w:rPr>
            </w:pPr>
          </w:p>
        </w:tc>
        <w:tc>
          <w:tcPr>
            <w:tcW w:w="1112" w:type="dxa"/>
            <w:vMerge/>
            <w:tcBorders>
              <w:top w:val="nil"/>
              <w:left w:val="single" w:sz="4" w:space="0" w:color="auto"/>
              <w:bottom w:val="single" w:sz="4" w:space="0" w:color="auto"/>
              <w:right w:val="single" w:sz="4" w:space="0" w:color="auto"/>
            </w:tcBorders>
            <w:vAlign w:val="center"/>
            <w:hideMark/>
          </w:tcPr>
          <w:p w14:paraId="412D6D0D" w14:textId="77777777" w:rsidR="009F4E01" w:rsidRPr="00356B43" w:rsidRDefault="009F4E01" w:rsidP="009F4E01">
            <w:pPr>
              <w:spacing w:after="0" w:line="240" w:lineRule="auto"/>
              <w:rPr>
                <w:rFonts w:ascii="Arial" w:eastAsia="Times New Roman" w:hAnsi="Arial" w:cs="Arial"/>
                <w:color w:val="0070C0"/>
                <w:sz w:val="20"/>
                <w:szCs w:val="20"/>
                <w:lang w:eastAsia="pt-BR"/>
              </w:rPr>
            </w:pPr>
          </w:p>
        </w:tc>
        <w:tc>
          <w:tcPr>
            <w:tcW w:w="1298" w:type="dxa"/>
            <w:vMerge/>
            <w:tcBorders>
              <w:top w:val="nil"/>
              <w:left w:val="single" w:sz="4" w:space="0" w:color="auto"/>
              <w:bottom w:val="single" w:sz="4" w:space="0" w:color="auto"/>
              <w:right w:val="nil"/>
            </w:tcBorders>
            <w:vAlign w:val="center"/>
            <w:hideMark/>
          </w:tcPr>
          <w:p w14:paraId="06BD6CFC" w14:textId="77777777" w:rsidR="009F4E01" w:rsidRPr="00356B43" w:rsidRDefault="009F4E01" w:rsidP="009F4E01">
            <w:pPr>
              <w:spacing w:after="0" w:line="240" w:lineRule="auto"/>
              <w:rPr>
                <w:rFonts w:ascii="Arial" w:eastAsia="Times New Roman" w:hAnsi="Arial" w:cs="Arial"/>
                <w:color w:val="0070C0"/>
                <w:sz w:val="20"/>
                <w:szCs w:val="20"/>
                <w:lang w:eastAsia="pt-BR"/>
              </w:rPr>
            </w:pPr>
          </w:p>
        </w:tc>
        <w:tc>
          <w:tcPr>
            <w:tcW w:w="2835" w:type="dxa"/>
            <w:tcBorders>
              <w:top w:val="nil"/>
              <w:left w:val="single" w:sz="4" w:space="0" w:color="auto"/>
              <w:bottom w:val="nil"/>
              <w:right w:val="single" w:sz="4" w:space="0" w:color="auto"/>
            </w:tcBorders>
            <w:shd w:val="clear" w:color="000000" w:fill="FFFFFF"/>
            <w:vAlign w:val="center"/>
            <w:hideMark/>
          </w:tcPr>
          <w:p w14:paraId="2C0AAA2F" w14:textId="77777777" w:rsidR="009F4E01" w:rsidRPr="00356B43" w:rsidRDefault="009F4E01" w:rsidP="009F4E01">
            <w:pPr>
              <w:spacing w:after="0" w:line="240" w:lineRule="auto"/>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2 - Existem normativos e fluxos desenhados</w:t>
            </w:r>
          </w:p>
        </w:tc>
      </w:tr>
      <w:tr w:rsidR="00C93D4D" w:rsidRPr="00356B43" w14:paraId="38E0D19B" w14:textId="77777777" w:rsidTr="0062211B">
        <w:trPr>
          <w:trHeight w:val="1095"/>
        </w:trPr>
        <w:tc>
          <w:tcPr>
            <w:tcW w:w="4248" w:type="dxa"/>
            <w:vMerge/>
            <w:tcBorders>
              <w:top w:val="nil"/>
              <w:left w:val="single" w:sz="4" w:space="0" w:color="auto"/>
              <w:bottom w:val="single" w:sz="4" w:space="0" w:color="auto"/>
              <w:right w:val="single" w:sz="4" w:space="0" w:color="auto"/>
            </w:tcBorders>
            <w:vAlign w:val="center"/>
            <w:hideMark/>
          </w:tcPr>
          <w:p w14:paraId="2B6BBB7D" w14:textId="77777777" w:rsidR="009F4E01" w:rsidRPr="00356B43" w:rsidRDefault="009F4E01" w:rsidP="009F4E01">
            <w:pPr>
              <w:spacing w:after="0" w:line="240" w:lineRule="auto"/>
              <w:rPr>
                <w:rFonts w:ascii="Arial" w:eastAsia="Times New Roman" w:hAnsi="Arial" w:cs="Arial"/>
                <w:color w:val="0070C0"/>
                <w:sz w:val="20"/>
                <w:szCs w:val="20"/>
                <w:lang w:eastAsia="pt-BR"/>
              </w:rPr>
            </w:pPr>
          </w:p>
        </w:tc>
        <w:tc>
          <w:tcPr>
            <w:tcW w:w="1112" w:type="dxa"/>
            <w:vMerge/>
            <w:tcBorders>
              <w:top w:val="nil"/>
              <w:left w:val="single" w:sz="4" w:space="0" w:color="auto"/>
              <w:bottom w:val="single" w:sz="4" w:space="0" w:color="auto"/>
              <w:right w:val="single" w:sz="4" w:space="0" w:color="auto"/>
            </w:tcBorders>
            <w:vAlign w:val="center"/>
            <w:hideMark/>
          </w:tcPr>
          <w:p w14:paraId="5F0472CA" w14:textId="77777777" w:rsidR="009F4E01" w:rsidRPr="00356B43" w:rsidRDefault="009F4E01" w:rsidP="009F4E01">
            <w:pPr>
              <w:spacing w:after="0" w:line="240" w:lineRule="auto"/>
              <w:rPr>
                <w:rFonts w:ascii="Arial" w:eastAsia="Times New Roman" w:hAnsi="Arial" w:cs="Arial"/>
                <w:color w:val="0070C0"/>
                <w:sz w:val="20"/>
                <w:szCs w:val="20"/>
                <w:lang w:eastAsia="pt-BR"/>
              </w:rPr>
            </w:pPr>
          </w:p>
        </w:tc>
        <w:tc>
          <w:tcPr>
            <w:tcW w:w="1298" w:type="dxa"/>
            <w:vMerge/>
            <w:tcBorders>
              <w:top w:val="nil"/>
              <w:left w:val="single" w:sz="4" w:space="0" w:color="auto"/>
              <w:bottom w:val="single" w:sz="4" w:space="0" w:color="auto"/>
              <w:right w:val="nil"/>
            </w:tcBorders>
            <w:vAlign w:val="center"/>
            <w:hideMark/>
          </w:tcPr>
          <w:p w14:paraId="48B49B0E" w14:textId="77777777" w:rsidR="009F4E01" w:rsidRPr="00356B43" w:rsidRDefault="009F4E01" w:rsidP="009F4E01">
            <w:pPr>
              <w:spacing w:after="0" w:line="240" w:lineRule="auto"/>
              <w:rPr>
                <w:rFonts w:ascii="Arial" w:eastAsia="Times New Roman" w:hAnsi="Arial" w:cs="Arial"/>
                <w:color w:val="0070C0"/>
                <w:sz w:val="20"/>
                <w:szCs w:val="20"/>
                <w:lang w:eastAsia="pt-BR"/>
              </w:rPr>
            </w:pPr>
          </w:p>
        </w:tc>
        <w:tc>
          <w:tcPr>
            <w:tcW w:w="2835" w:type="dxa"/>
            <w:tcBorders>
              <w:top w:val="nil"/>
              <w:left w:val="single" w:sz="4" w:space="0" w:color="auto"/>
              <w:bottom w:val="nil"/>
              <w:right w:val="single" w:sz="4" w:space="0" w:color="auto"/>
            </w:tcBorders>
            <w:shd w:val="clear" w:color="000000" w:fill="FFFFFF"/>
            <w:vAlign w:val="center"/>
            <w:hideMark/>
          </w:tcPr>
          <w:p w14:paraId="53AD4299" w14:textId="77777777" w:rsidR="009F4E01" w:rsidRPr="00356B43" w:rsidRDefault="009F4E01" w:rsidP="009F4E01">
            <w:pPr>
              <w:spacing w:after="0" w:line="240" w:lineRule="auto"/>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3 - Existem normativos, fluxos e são de amplo conhecimento de toda a administração</w:t>
            </w:r>
          </w:p>
        </w:tc>
      </w:tr>
      <w:tr w:rsidR="00C93D4D" w:rsidRPr="00356B43" w14:paraId="0D2AC9C9" w14:textId="77777777" w:rsidTr="003261DE">
        <w:trPr>
          <w:trHeight w:val="945"/>
        </w:trPr>
        <w:tc>
          <w:tcPr>
            <w:tcW w:w="4248" w:type="dxa"/>
            <w:vMerge/>
            <w:tcBorders>
              <w:top w:val="nil"/>
              <w:left w:val="single" w:sz="4" w:space="0" w:color="auto"/>
              <w:bottom w:val="single" w:sz="4" w:space="0" w:color="auto"/>
              <w:right w:val="single" w:sz="4" w:space="0" w:color="auto"/>
            </w:tcBorders>
            <w:vAlign w:val="center"/>
            <w:hideMark/>
          </w:tcPr>
          <w:p w14:paraId="23D601F9" w14:textId="77777777" w:rsidR="009F4E01" w:rsidRPr="00356B43" w:rsidRDefault="009F4E01" w:rsidP="009F4E01">
            <w:pPr>
              <w:spacing w:after="0" w:line="240" w:lineRule="auto"/>
              <w:rPr>
                <w:rFonts w:ascii="Arial" w:eastAsia="Times New Roman" w:hAnsi="Arial" w:cs="Arial"/>
                <w:color w:val="0070C0"/>
                <w:sz w:val="20"/>
                <w:szCs w:val="20"/>
                <w:lang w:eastAsia="pt-BR"/>
              </w:rPr>
            </w:pPr>
          </w:p>
        </w:tc>
        <w:tc>
          <w:tcPr>
            <w:tcW w:w="1112" w:type="dxa"/>
            <w:vMerge/>
            <w:tcBorders>
              <w:top w:val="nil"/>
              <w:left w:val="single" w:sz="4" w:space="0" w:color="auto"/>
              <w:bottom w:val="single" w:sz="4" w:space="0" w:color="auto"/>
              <w:right w:val="single" w:sz="4" w:space="0" w:color="auto"/>
            </w:tcBorders>
            <w:vAlign w:val="center"/>
            <w:hideMark/>
          </w:tcPr>
          <w:p w14:paraId="64167F0D" w14:textId="77777777" w:rsidR="009F4E01" w:rsidRPr="00356B43" w:rsidRDefault="009F4E01" w:rsidP="009F4E01">
            <w:pPr>
              <w:spacing w:after="0" w:line="240" w:lineRule="auto"/>
              <w:rPr>
                <w:rFonts w:ascii="Arial" w:eastAsia="Times New Roman" w:hAnsi="Arial" w:cs="Arial"/>
                <w:color w:val="0070C0"/>
                <w:sz w:val="20"/>
                <w:szCs w:val="20"/>
                <w:lang w:eastAsia="pt-BR"/>
              </w:rPr>
            </w:pPr>
          </w:p>
        </w:tc>
        <w:tc>
          <w:tcPr>
            <w:tcW w:w="1298" w:type="dxa"/>
            <w:vMerge/>
            <w:tcBorders>
              <w:top w:val="nil"/>
              <w:left w:val="single" w:sz="4" w:space="0" w:color="auto"/>
              <w:bottom w:val="single" w:sz="4" w:space="0" w:color="auto"/>
              <w:right w:val="nil"/>
            </w:tcBorders>
            <w:vAlign w:val="center"/>
            <w:hideMark/>
          </w:tcPr>
          <w:p w14:paraId="4E150E82" w14:textId="77777777" w:rsidR="009F4E01" w:rsidRPr="00356B43" w:rsidRDefault="009F4E01" w:rsidP="009F4E01">
            <w:pPr>
              <w:spacing w:after="0" w:line="240" w:lineRule="auto"/>
              <w:rPr>
                <w:rFonts w:ascii="Arial" w:eastAsia="Times New Roman" w:hAnsi="Arial" w:cs="Arial"/>
                <w:color w:val="0070C0"/>
                <w:sz w:val="20"/>
                <w:szCs w:val="20"/>
                <w:lang w:eastAsia="pt-BR"/>
              </w:rPr>
            </w:pPr>
          </w:p>
        </w:tc>
        <w:tc>
          <w:tcPr>
            <w:tcW w:w="2835" w:type="dxa"/>
            <w:tcBorders>
              <w:top w:val="nil"/>
              <w:left w:val="single" w:sz="4" w:space="0" w:color="auto"/>
              <w:bottom w:val="single" w:sz="4" w:space="0" w:color="auto"/>
              <w:right w:val="single" w:sz="4" w:space="0" w:color="auto"/>
            </w:tcBorders>
            <w:shd w:val="clear" w:color="000000" w:fill="FFFFFF"/>
            <w:vAlign w:val="center"/>
            <w:hideMark/>
          </w:tcPr>
          <w:p w14:paraId="18DA6393" w14:textId="77777777" w:rsidR="009F4E01" w:rsidRPr="00356B43" w:rsidRDefault="009F4E01" w:rsidP="009F4E01">
            <w:pPr>
              <w:spacing w:after="0" w:line="240" w:lineRule="auto"/>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4 - Não existem normas internas definidas no âmbito desta temática</w:t>
            </w:r>
          </w:p>
        </w:tc>
      </w:tr>
      <w:tr w:rsidR="00C93D4D" w:rsidRPr="00356B43" w14:paraId="27DF3D76" w14:textId="77777777" w:rsidTr="003261DE">
        <w:trPr>
          <w:trHeight w:val="3682"/>
        </w:trPr>
        <w:tc>
          <w:tcPr>
            <w:tcW w:w="42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8BCD28" w14:textId="77777777" w:rsidR="003261DE" w:rsidRPr="00356B43" w:rsidRDefault="003261DE" w:rsidP="009F4E01">
            <w:pPr>
              <w:spacing w:after="0" w:line="240" w:lineRule="auto"/>
              <w:jc w:val="both"/>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lastRenderedPageBreak/>
              <w:t>Normas internas estabelecendo procedimentos para avaliação da conformidade da política e escrituração contábil, e elaboração das Demonstrações Contábeis</w:t>
            </w:r>
          </w:p>
        </w:tc>
        <w:tc>
          <w:tcPr>
            <w:tcW w:w="11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4A46A8" w14:textId="77777777" w:rsidR="003261DE" w:rsidRPr="00356B43" w:rsidRDefault="003261DE" w:rsidP="009F4E01">
            <w:pPr>
              <w:spacing w:after="0" w:line="240" w:lineRule="auto"/>
              <w:jc w:val="center"/>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Inteiro</w:t>
            </w:r>
          </w:p>
        </w:tc>
        <w:tc>
          <w:tcPr>
            <w:tcW w:w="1298" w:type="dxa"/>
            <w:tcBorders>
              <w:top w:val="single" w:sz="4" w:space="0" w:color="auto"/>
              <w:left w:val="single" w:sz="4" w:space="0" w:color="auto"/>
              <w:bottom w:val="single" w:sz="4" w:space="0" w:color="auto"/>
              <w:right w:val="nil"/>
            </w:tcBorders>
            <w:shd w:val="clear" w:color="auto" w:fill="auto"/>
            <w:vAlign w:val="center"/>
            <w:hideMark/>
          </w:tcPr>
          <w:p w14:paraId="37856DAE" w14:textId="77777777" w:rsidR="003261DE" w:rsidRPr="00356B43" w:rsidRDefault="003261DE" w:rsidP="009F4E01">
            <w:pPr>
              <w:spacing w:after="0" w:line="240" w:lineRule="auto"/>
              <w:jc w:val="center"/>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1</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CC402D8" w14:textId="14D17B95" w:rsidR="003261DE" w:rsidRPr="00356B43" w:rsidRDefault="003261DE" w:rsidP="009F4E01">
            <w:pPr>
              <w:spacing w:after="0" w:line="240" w:lineRule="auto"/>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Obrigatório</w:t>
            </w:r>
          </w:p>
          <w:p w14:paraId="437EAE10" w14:textId="77777777" w:rsidR="003261DE" w:rsidRPr="00356B43" w:rsidRDefault="003261DE" w:rsidP="009F4E01">
            <w:pPr>
              <w:spacing w:after="0" w:line="240" w:lineRule="auto"/>
              <w:rPr>
                <w:rFonts w:ascii="Arial" w:eastAsia="Times New Roman" w:hAnsi="Arial" w:cs="Arial"/>
                <w:color w:val="0070C0"/>
                <w:sz w:val="20"/>
                <w:szCs w:val="20"/>
                <w:lang w:eastAsia="pt-BR"/>
              </w:rPr>
            </w:pPr>
          </w:p>
          <w:p w14:paraId="56ADD921" w14:textId="6DE878B9" w:rsidR="003261DE" w:rsidRPr="00356B43" w:rsidRDefault="003261DE" w:rsidP="009F4E01">
            <w:pPr>
              <w:spacing w:after="0" w:line="240" w:lineRule="auto"/>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1 - Existem somente os normativos</w:t>
            </w:r>
          </w:p>
          <w:p w14:paraId="0A6C340B" w14:textId="77777777" w:rsidR="003261DE" w:rsidRPr="00356B43" w:rsidRDefault="003261DE" w:rsidP="009F4E01">
            <w:pPr>
              <w:spacing w:after="0" w:line="240" w:lineRule="auto"/>
              <w:rPr>
                <w:rFonts w:ascii="Arial" w:eastAsia="Times New Roman" w:hAnsi="Arial" w:cs="Arial"/>
                <w:color w:val="0070C0"/>
                <w:sz w:val="20"/>
                <w:szCs w:val="20"/>
                <w:lang w:eastAsia="pt-BR"/>
              </w:rPr>
            </w:pPr>
          </w:p>
          <w:p w14:paraId="666FBDD3" w14:textId="74152D96" w:rsidR="003261DE" w:rsidRPr="00356B43" w:rsidRDefault="003261DE" w:rsidP="009F4E01">
            <w:pPr>
              <w:spacing w:after="0" w:line="240" w:lineRule="auto"/>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2 - Existem normativos e fluxos desenhados</w:t>
            </w:r>
          </w:p>
          <w:p w14:paraId="6B82B80B" w14:textId="77777777" w:rsidR="003261DE" w:rsidRPr="00356B43" w:rsidRDefault="003261DE" w:rsidP="009F4E01">
            <w:pPr>
              <w:spacing w:after="0" w:line="240" w:lineRule="auto"/>
              <w:rPr>
                <w:rFonts w:ascii="Arial" w:eastAsia="Times New Roman" w:hAnsi="Arial" w:cs="Arial"/>
                <w:color w:val="0070C0"/>
                <w:sz w:val="20"/>
                <w:szCs w:val="20"/>
                <w:lang w:eastAsia="pt-BR"/>
              </w:rPr>
            </w:pPr>
          </w:p>
          <w:p w14:paraId="67D224A3" w14:textId="10DB7536" w:rsidR="003261DE" w:rsidRPr="00356B43" w:rsidRDefault="003261DE" w:rsidP="009F4E01">
            <w:pPr>
              <w:spacing w:after="0" w:line="240" w:lineRule="auto"/>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3 - Existem normativos, fluxos e são de amplo conhecimento de toda a administração</w:t>
            </w:r>
          </w:p>
          <w:p w14:paraId="4E2C4BCB" w14:textId="77777777" w:rsidR="003261DE" w:rsidRPr="00356B43" w:rsidRDefault="003261DE" w:rsidP="009F4E01">
            <w:pPr>
              <w:spacing w:after="0" w:line="240" w:lineRule="auto"/>
              <w:rPr>
                <w:rFonts w:ascii="Arial" w:eastAsia="Times New Roman" w:hAnsi="Arial" w:cs="Arial"/>
                <w:color w:val="0070C0"/>
                <w:sz w:val="20"/>
                <w:szCs w:val="20"/>
                <w:lang w:eastAsia="pt-BR"/>
              </w:rPr>
            </w:pPr>
          </w:p>
          <w:p w14:paraId="14CD6D1A" w14:textId="03D46B05" w:rsidR="003261DE" w:rsidRPr="00356B43" w:rsidRDefault="003261DE" w:rsidP="009F4E01">
            <w:pPr>
              <w:spacing w:after="0" w:line="240" w:lineRule="auto"/>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4 - Não existem normas internas definidas no âmbito desta temática</w:t>
            </w:r>
          </w:p>
        </w:tc>
      </w:tr>
      <w:tr w:rsidR="00C93D4D" w:rsidRPr="00356B43" w14:paraId="3713E68D" w14:textId="77777777" w:rsidTr="003261DE">
        <w:trPr>
          <w:trHeight w:val="600"/>
        </w:trPr>
        <w:tc>
          <w:tcPr>
            <w:tcW w:w="9493"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467FFCD9" w14:textId="4458C2AD" w:rsidR="009F4E01" w:rsidRPr="00356B43" w:rsidRDefault="009F4E01" w:rsidP="009F4E01">
            <w:pPr>
              <w:spacing w:after="0" w:line="240" w:lineRule="auto"/>
              <w:jc w:val="center"/>
              <w:rPr>
                <w:rFonts w:ascii="Arial" w:eastAsia="Times New Roman" w:hAnsi="Arial" w:cs="Arial"/>
                <w:b/>
                <w:bCs/>
                <w:color w:val="0070C0"/>
                <w:sz w:val="20"/>
                <w:szCs w:val="20"/>
                <w:lang w:eastAsia="pt-BR"/>
              </w:rPr>
            </w:pPr>
            <w:r w:rsidRPr="00356B43">
              <w:rPr>
                <w:rFonts w:ascii="Arial" w:eastAsia="Times New Roman" w:hAnsi="Arial" w:cs="Arial"/>
                <w:b/>
                <w:bCs/>
                <w:color w:val="0070C0"/>
                <w:sz w:val="20"/>
                <w:szCs w:val="20"/>
                <w:lang w:eastAsia="pt-BR"/>
              </w:rPr>
              <w:t xml:space="preserve">Estrutura </w:t>
            </w:r>
            <w:r w:rsidR="00D7415E" w:rsidRPr="00356B43">
              <w:rPr>
                <w:rFonts w:ascii="Arial" w:eastAsia="Times New Roman" w:hAnsi="Arial" w:cs="Arial"/>
                <w:b/>
                <w:bCs/>
                <w:color w:val="0070C0"/>
                <w:sz w:val="20"/>
                <w:szCs w:val="20"/>
                <w:lang w:eastAsia="pt-BR"/>
              </w:rPr>
              <w:t>‘InformacoesControleInternoUnidadeGestora’</w:t>
            </w:r>
          </w:p>
        </w:tc>
      </w:tr>
      <w:tr w:rsidR="00C93D4D" w:rsidRPr="00356B43" w14:paraId="1A122663" w14:textId="77777777" w:rsidTr="0062211B">
        <w:trPr>
          <w:trHeight w:val="402"/>
        </w:trPr>
        <w:tc>
          <w:tcPr>
            <w:tcW w:w="42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808146" w14:textId="77777777" w:rsidR="009F4E01" w:rsidRPr="00356B43" w:rsidRDefault="009F4E01" w:rsidP="009F4E01">
            <w:pPr>
              <w:spacing w:after="0" w:line="240" w:lineRule="auto"/>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Identificação do Número do Registro</w:t>
            </w:r>
          </w:p>
        </w:tc>
        <w:tc>
          <w:tcPr>
            <w:tcW w:w="1112" w:type="dxa"/>
            <w:tcBorders>
              <w:top w:val="single" w:sz="4" w:space="0" w:color="auto"/>
              <w:left w:val="nil"/>
              <w:bottom w:val="single" w:sz="4" w:space="0" w:color="auto"/>
              <w:right w:val="single" w:sz="4" w:space="0" w:color="auto"/>
            </w:tcBorders>
            <w:shd w:val="clear" w:color="auto" w:fill="auto"/>
            <w:vAlign w:val="center"/>
            <w:hideMark/>
          </w:tcPr>
          <w:p w14:paraId="09EC09F0" w14:textId="77777777" w:rsidR="009F4E01" w:rsidRPr="00356B43" w:rsidRDefault="009F4E01" w:rsidP="009F4E01">
            <w:pPr>
              <w:spacing w:after="0" w:line="240" w:lineRule="auto"/>
              <w:jc w:val="center"/>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Inteiro</w:t>
            </w:r>
          </w:p>
        </w:tc>
        <w:tc>
          <w:tcPr>
            <w:tcW w:w="1298" w:type="dxa"/>
            <w:tcBorders>
              <w:top w:val="single" w:sz="4" w:space="0" w:color="auto"/>
              <w:left w:val="nil"/>
              <w:bottom w:val="single" w:sz="4" w:space="0" w:color="auto"/>
              <w:right w:val="single" w:sz="4" w:space="0" w:color="auto"/>
            </w:tcBorders>
            <w:shd w:val="clear" w:color="auto" w:fill="auto"/>
            <w:vAlign w:val="center"/>
            <w:hideMark/>
          </w:tcPr>
          <w:p w14:paraId="3F45F5CF" w14:textId="77777777" w:rsidR="009F4E01" w:rsidRPr="00356B43" w:rsidRDefault="009F4E01" w:rsidP="009F4E01">
            <w:pPr>
              <w:spacing w:after="0" w:line="240" w:lineRule="auto"/>
              <w:jc w:val="center"/>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5</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79F3D3D2" w14:textId="77777777" w:rsidR="009F4E01" w:rsidRPr="00356B43" w:rsidRDefault="009F4E01" w:rsidP="009F4E01">
            <w:pPr>
              <w:spacing w:after="0" w:line="240" w:lineRule="auto"/>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Obrigatório</w:t>
            </w:r>
          </w:p>
        </w:tc>
      </w:tr>
      <w:tr w:rsidR="00C93D4D" w:rsidRPr="00356B43" w14:paraId="07CAF79B" w14:textId="77777777" w:rsidTr="0062211B">
        <w:trPr>
          <w:trHeight w:val="402"/>
        </w:trPr>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30F59A86" w14:textId="284C0743" w:rsidR="00696A3D" w:rsidRPr="00356B43" w:rsidRDefault="00696A3D" w:rsidP="00696A3D">
            <w:pPr>
              <w:spacing w:after="0" w:line="240" w:lineRule="auto"/>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Nível de Controle Interno</w:t>
            </w:r>
          </w:p>
        </w:tc>
        <w:tc>
          <w:tcPr>
            <w:tcW w:w="1112" w:type="dxa"/>
            <w:tcBorders>
              <w:top w:val="single" w:sz="4" w:space="0" w:color="auto"/>
              <w:left w:val="nil"/>
              <w:bottom w:val="single" w:sz="4" w:space="0" w:color="auto"/>
              <w:right w:val="single" w:sz="4" w:space="0" w:color="auto"/>
            </w:tcBorders>
            <w:shd w:val="clear" w:color="auto" w:fill="auto"/>
            <w:vAlign w:val="center"/>
          </w:tcPr>
          <w:p w14:paraId="5935DB1F" w14:textId="07BF4EF7" w:rsidR="00696A3D" w:rsidRPr="00356B43" w:rsidRDefault="00696A3D" w:rsidP="00696A3D">
            <w:pPr>
              <w:spacing w:after="0" w:line="240" w:lineRule="auto"/>
              <w:jc w:val="center"/>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Inteiro</w:t>
            </w:r>
          </w:p>
        </w:tc>
        <w:tc>
          <w:tcPr>
            <w:tcW w:w="1298" w:type="dxa"/>
            <w:tcBorders>
              <w:top w:val="single" w:sz="4" w:space="0" w:color="auto"/>
              <w:left w:val="nil"/>
              <w:bottom w:val="single" w:sz="4" w:space="0" w:color="auto"/>
              <w:right w:val="single" w:sz="4" w:space="0" w:color="auto"/>
            </w:tcBorders>
            <w:shd w:val="clear" w:color="auto" w:fill="auto"/>
            <w:vAlign w:val="center"/>
          </w:tcPr>
          <w:p w14:paraId="0224294E" w14:textId="514500FE" w:rsidR="00696A3D" w:rsidRPr="00356B43" w:rsidRDefault="00696A3D" w:rsidP="00696A3D">
            <w:pPr>
              <w:spacing w:after="0" w:line="240" w:lineRule="auto"/>
              <w:jc w:val="center"/>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1</w:t>
            </w:r>
          </w:p>
        </w:tc>
        <w:tc>
          <w:tcPr>
            <w:tcW w:w="2835" w:type="dxa"/>
            <w:tcBorders>
              <w:top w:val="single" w:sz="4" w:space="0" w:color="auto"/>
              <w:left w:val="nil"/>
              <w:bottom w:val="single" w:sz="4" w:space="0" w:color="auto"/>
              <w:right w:val="single" w:sz="4" w:space="0" w:color="auto"/>
            </w:tcBorders>
            <w:shd w:val="clear" w:color="auto" w:fill="auto"/>
            <w:vAlign w:val="center"/>
          </w:tcPr>
          <w:p w14:paraId="5F43F101" w14:textId="77777777" w:rsidR="00696A3D" w:rsidRPr="00356B43" w:rsidRDefault="00696A3D" w:rsidP="00696A3D">
            <w:pPr>
              <w:spacing w:after="0" w:line="240" w:lineRule="auto"/>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Obrigatório;</w:t>
            </w:r>
          </w:p>
          <w:p w14:paraId="4C81A04F" w14:textId="77777777" w:rsidR="00696A3D" w:rsidRPr="00356B43" w:rsidRDefault="00696A3D" w:rsidP="00696A3D">
            <w:pPr>
              <w:spacing w:after="0" w:line="240" w:lineRule="auto"/>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1 – Unidade Central</w:t>
            </w:r>
          </w:p>
          <w:p w14:paraId="40513E2C" w14:textId="23EFD496" w:rsidR="00696A3D" w:rsidRPr="00356B43" w:rsidRDefault="00696A3D" w:rsidP="00696A3D">
            <w:pPr>
              <w:spacing w:after="0" w:line="240" w:lineRule="auto"/>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2 – Unidade Setorial</w:t>
            </w:r>
          </w:p>
        </w:tc>
      </w:tr>
      <w:tr w:rsidR="00C93D4D" w:rsidRPr="00356B43" w14:paraId="4048876A" w14:textId="77777777" w:rsidTr="0062211B">
        <w:trPr>
          <w:trHeight w:val="402"/>
        </w:trPr>
        <w:tc>
          <w:tcPr>
            <w:tcW w:w="42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576A9F" w14:textId="5D50B5C2" w:rsidR="00696A3D" w:rsidRPr="00356B43" w:rsidRDefault="00F42296" w:rsidP="00696A3D">
            <w:pPr>
              <w:spacing w:after="0" w:line="240" w:lineRule="auto"/>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Código da Unidade Gestora em que os procedimentos foram aplicados</w:t>
            </w:r>
          </w:p>
        </w:tc>
        <w:tc>
          <w:tcPr>
            <w:tcW w:w="1112" w:type="dxa"/>
            <w:tcBorders>
              <w:top w:val="single" w:sz="4" w:space="0" w:color="auto"/>
              <w:left w:val="nil"/>
              <w:bottom w:val="single" w:sz="4" w:space="0" w:color="auto"/>
              <w:right w:val="single" w:sz="4" w:space="0" w:color="auto"/>
            </w:tcBorders>
            <w:shd w:val="clear" w:color="auto" w:fill="auto"/>
            <w:vAlign w:val="center"/>
            <w:hideMark/>
          </w:tcPr>
          <w:p w14:paraId="45A23A9D" w14:textId="77777777" w:rsidR="00696A3D" w:rsidRPr="00356B43" w:rsidRDefault="00696A3D" w:rsidP="00696A3D">
            <w:pPr>
              <w:spacing w:after="0" w:line="240" w:lineRule="auto"/>
              <w:jc w:val="center"/>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Caracter</w:t>
            </w:r>
          </w:p>
        </w:tc>
        <w:tc>
          <w:tcPr>
            <w:tcW w:w="1298" w:type="dxa"/>
            <w:tcBorders>
              <w:top w:val="single" w:sz="4" w:space="0" w:color="auto"/>
              <w:left w:val="nil"/>
              <w:bottom w:val="single" w:sz="4" w:space="0" w:color="auto"/>
              <w:right w:val="single" w:sz="4" w:space="0" w:color="auto"/>
            </w:tcBorders>
            <w:shd w:val="clear" w:color="auto" w:fill="auto"/>
            <w:vAlign w:val="center"/>
            <w:hideMark/>
          </w:tcPr>
          <w:p w14:paraId="7BAF859A" w14:textId="77777777" w:rsidR="00696A3D" w:rsidRPr="00356B43" w:rsidRDefault="00696A3D" w:rsidP="00696A3D">
            <w:pPr>
              <w:spacing w:after="0" w:line="240" w:lineRule="auto"/>
              <w:jc w:val="center"/>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11</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17A56CB8" w14:textId="77777777" w:rsidR="00696A3D" w:rsidRPr="00356B43" w:rsidRDefault="00696A3D" w:rsidP="00696A3D">
            <w:pPr>
              <w:spacing w:after="0" w:line="240" w:lineRule="auto"/>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Obrigatório</w:t>
            </w:r>
          </w:p>
        </w:tc>
      </w:tr>
      <w:tr w:rsidR="00C93D4D" w:rsidRPr="00356B43" w14:paraId="4116988F" w14:textId="77777777" w:rsidTr="0062211B">
        <w:trPr>
          <w:trHeight w:val="402"/>
        </w:trPr>
        <w:tc>
          <w:tcPr>
            <w:tcW w:w="4248" w:type="dxa"/>
            <w:tcBorders>
              <w:top w:val="nil"/>
              <w:left w:val="single" w:sz="4" w:space="0" w:color="auto"/>
              <w:bottom w:val="single" w:sz="4" w:space="0" w:color="auto"/>
              <w:right w:val="single" w:sz="4" w:space="0" w:color="auto"/>
            </w:tcBorders>
            <w:shd w:val="clear" w:color="auto" w:fill="auto"/>
            <w:vAlign w:val="center"/>
            <w:hideMark/>
          </w:tcPr>
          <w:p w14:paraId="397FCCAB" w14:textId="77777777" w:rsidR="00696A3D" w:rsidRPr="00356B43" w:rsidRDefault="00696A3D" w:rsidP="00696A3D">
            <w:pPr>
              <w:spacing w:after="0" w:line="240" w:lineRule="auto"/>
              <w:jc w:val="both"/>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Responsável pela Unidade Gestora</w:t>
            </w:r>
          </w:p>
        </w:tc>
        <w:tc>
          <w:tcPr>
            <w:tcW w:w="1112" w:type="dxa"/>
            <w:tcBorders>
              <w:top w:val="nil"/>
              <w:left w:val="nil"/>
              <w:bottom w:val="single" w:sz="4" w:space="0" w:color="auto"/>
              <w:right w:val="single" w:sz="4" w:space="0" w:color="auto"/>
            </w:tcBorders>
            <w:shd w:val="clear" w:color="auto" w:fill="auto"/>
            <w:vAlign w:val="center"/>
            <w:hideMark/>
          </w:tcPr>
          <w:p w14:paraId="76DB89D2" w14:textId="77777777" w:rsidR="00696A3D" w:rsidRPr="00356B43" w:rsidRDefault="00696A3D" w:rsidP="00696A3D">
            <w:pPr>
              <w:spacing w:after="0" w:line="240" w:lineRule="auto"/>
              <w:jc w:val="center"/>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Caracter</w:t>
            </w:r>
          </w:p>
        </w:tc>
        <w:tc>
          <w:tcPr>
            <w:tcW w:w="1298" w:type="dxa"/>
            <w:tcBorders>
              <w:top w:val="nil"/>
              <w:left w:val="nil"/>
              <w:bottom w:val="single" w:sz="4" w:space="0" w:color="auto"/>
              <w:right w:val="single" w:sz="4" w:space="0" w:color="auto"/>
            </w:tcBorders>
            <w:shd w:val="clear" w:color="auto" w:fill="auto"/>
            <w:vAlign w:val="center"/>
            <w:hideMark/>
          </w:tcPr>
          <w:p w14:paraId="5F4324FD" w14:textId="77777777" w:rsidR="00696A3D" w:rsidRPr="00356B43" w:rsidRDefault="00696A3D" w:rsidP="00696A3D">
            <w:pPr>
              <w:spacing w:after="0" w:line="240" w:lineRule="auto"/>
              <w:jc w:val="center"/>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1000</w:t>
            </w:r>
          </w:p>
        </w:tc>
        <w:tc>
          <w:tcPr>
            <w:tcW w:w="2835" w:type="dxa"/>
            <w:tcBorders>
              <w:top w:val="nil"/>
              <w:left w:val="nil"/>
              <w:bottom w:val="single" w:sz="4" w:space="0" w:color="auto"/>
              <w:right w:val="single" w:sz="4" w:space="0" w:color="auto"/>
            </w:tcBorders>
            <w:shd w:val="clear" w:color="auto" w:fill="auto"/>
            <w:vAlign w:val="center"/>
            <w:hideMark/>
          </w:tcPr>
          <w:p w14:paraId="2DEEE6BC" w14:textId="77777777" w:rsidR="00696A3D" w:rsidRPr="00356B43" w:rsidRDefault="00696A3D" w:rsidP="00696A3D">
            <w:pPr>
              <w:spacing w:after="0" w:line="240" w:lineRule="auto"/>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Obrigatório</w:t>
            </w:r>
          </w:p>
        </w:tc>
      </w:tr>
      <w:tr w:rsidR="00C93D4D" w:rsidRPr="00356B43" w14:paraId="766838E2" w14:textId="77777777" w:rsidTr="0062211B">
        <w:trPr>
          <w:trHeight w:val="510"/>
        </w:trPr>
        <w:tc>
          <w:tcPr>
            <w:tcW w:w="4248" w:type="dxa"/>
            <w:tcBorders>
              <w:top w:val="nil"/>
              <w:left w:val="single" w:sz="4" w:space="0" w:color="auto"/>
              <w:bottom w:val="single" w:sz="4" w:space="0" w:color="auto"/>
              <w:right w:val="single" w:sz="4" w:space="0" w:color="auto"/>
            </w:tcBorders>
            <w:shd w:val="clear" w:color="auto" w:fill="auto"/>
            <w:vAlign w:val="center"/>
            <w:hideMark/>
          </w:tcPr>
          <w:p w14:paraId="1AE76CC2" w14:textId="77777777" w:rsidR="00696A3D" w:rsidRPr="00356B43" w:rsidRDefault="00696A3D" w:rsidP="00696A3D">
            <w:pPr>
              <w:spacing w:after="0" w:line="240" w:lineRule="auto"/>
              <w:jc w:val="both"/>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Exercício da Última Manifestação do Controle Interno</w:t>
            </w:r>
          </w:p>
        </w:tc>
        <w:tc>
          <w:tcPr>
            <w:tcW w:w="1112" w:type="dxa"/>
            <w:tcBorders>
              <w:top w:val="nil"/>
              <w:left w:val="nil"/>
              <w:bottom w:val="single" w:sz="4" w:space="0" w:color="auto"/>
              <w:right w:val="single" w:sz="4" w:space="0" w:color="auto"/>
            </w:tcBorders>
            <w:shd w:val="clear" w:color="auto" w:fill="auto"/>
            <w:vAlign w:val="center"/>
            <w:hideMark/>
          </w:tcPr>
          <w:p w14:paraId="3B441AE7" w14:textId="77777777" w:rsidR="00696A3D" w:rsidRPr="00356B43" w:rsidRDefault="00696A3D" w:rsidP="00696A3D">
            <w:pPr>
              <w:spacing w:after="0" w:line="240" w:lineRule="auto"/>
              <w:jc w:val="center"/>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Inteiro</w:t>
            </w:r>
          </w:p>
        </w:tc>
        <w:tc>
          <w:tcPr>
            <w:tcW w:w="1298" w:type="dxa"/>
            <w:tcBorders>
              <w:top w:val="nil"/>
              <w:left w:val="nil"/>
              <w:bottom w:val="single" w:sz="4" w:space="0" w:color="auto"/>
              <w:right w:val="single" w:sz="4" w:space="0" w:color="auto"/>
            </w:tcBorders>
            <w:shd w:val="clear" w:color="auto" w:fill="auto"/>
            <w:vAlign w:val="center"/>
            <w:hideMark/>
          </w:tcPr>
          <w:p w14:paraId="3EC8F43F" w14:textId="77777777" w:rsidR="00696A3D" w:rsidRPr="00356B43" w:rsidRDefault="00696A3D" w:rsidP="00696A3D">
            <w:pPr>
              <w:spacing w:after="0" w:line="240" w:lineRule="auto"/>
              <w:jc w:val="center"/>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4</w:t>
            </w:r>
          </w:p>
        </w:tc>
        <w:tc>
          <w:tcPr>
            <w:tcW w:w="2835" w:type="dxa"/>
            <w:tcBorders>
              <w:top w:val="nil"/>
              <w:left w:val="nil"/>
              <w:bottom w:val="single" w:sz="4" w:space="0" w:color="auto"/>
              <w:right w:val="single" w:sz="4" w:space="0" w:color="auto"/>
            </w:tcBorders>
            <w:shd w:val="clear" w:color="auto" w:fill="auto"/>
            <w:vAlign w:val="center"/>
            <w:hideMark/>
          </w:tcPr>
          <w:p w14:paraId="3E4EF70B" w14:textId="77777777" w:rsidR="00696A3D" w:rsidRPr="00356B43" w:rsidRDefault="00696A3D" w:rsidP="00696A3D">
            <w:pPr>
              <w:spacing w:after="0" w:line="240" w:lineRule="auto"/>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Obrigatório, AAAA</w:t>
            </w:r>
          </w:p>
        </w:tc>
      </w:tr>
      <w:tr w:rsidR="00C93D4D" w:rsidRPr="00356B43" w14:paraId="0020C98F" w14:textId="77777777" w:rsidTr="0062211B">
        <w:trPr>
          <w:trHeight w:val="1530"/>
        </w:trPr>
        <w:tc>
          <w:tcPr>
            <w:tcW w:w="4248" w:type="dxa"/>
            <w:tcBorders>
              <w:top w:val="nil"/>
              <w:left w:val="single" w:sz="4" w:space="0" w:color="auto"/>
              <w:bottom w:val="nil"/>
              <w:right w:val="single" w:sz="4" w:space="0" w:color="auto"/>
            </w:tcBorders>
            <w:shd w:val="clear" w:color="auto" w:fill="auto"/>
            <w:vAlign w:val="center"/>
            <w:hideMark/>
          </w:tcPr>
          <w:p w14:paraId="175B38C8" w14:textId="3619685E" w:rsidR="00696A3D" w:rsidRPr="00356B43" w:rsidRDefault="00696A3D" w:rsidP="00696A3D">
            <w:pPr>
              <w:spacing w:after="0" w:line="240" w:lineRule="auto"/>
              <w:jc w:val="both"/>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 xml:space="preserve">Opinião do Controle Interno sobre </w:t>
            </w:r>
            <w:r w:rsidR="00F42296" w:rsidRPr="00356B43">
              <w:rPr>
                <w:rFonts w:ascii="Arial" w:eastAsia="Times New Roman" w:hAnsi="Arial" w:cs="Arial"/>
                <w:color w:val="0070C0"/>
                <w:sz w:val="20"/>
                <w:szCs w:val="20"/>
                <w:lang w:eastAsia="pt-BR"/>
              </w:rPr>
              <w:t>os Procedimentos Aplicados.</w:t>
            </w:r>
          </w:p>
        </w:tc>
        <w:tc>
          <w:tcPr>
            <w:tcW w:w="1112" w:type="dxa"/>
            <w:tcBorders>
              <w:top w:val="nil"/>
              <w:left w:val="nil"/>
              <w:bottom w:val="nil"/>
              <w:right w:val="single" w:sz="4" w:space="0" w:color="auto"/>
            </w:tcBorders>
            <w:shd w:val="clear" w:color="auto" w:fill="auto"/>
            <w:vAlign w:val="center"/>
            <w:hideMark/>
          </w:tcPr>
          <w:p w14:paraId="219DFBBE" w14:textId="77777777" w:rsidR="00696A3D" w:rsidRPr="00356B43" w:rsidRDefault="00696A3D" w:rsidP="00696A3D">
            <w:pPr>
              <w:spacing w:after="0" w:line="240" w:lineRule="auto"/>
              <w:jc w:val="center"/>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Inteiro</w:t>
            </w:r>
          </w:p>
        </w:tc>
        <w:tc>
          <w:tcPr>
            <w:tcW w:w="1298" w:type="dxa"/>
            <w:tcBorders>
              <w:top w:val="nil"/>
              <w:left w:val="nil"/>
              <w:bottom w:val="nil"/>
              <w:right w:val="nil"/>
            </w:tcBorders>
            <w:shd w:val="clear" w:color="auto" w:fill="auto"/>
            <w:vAlign w:val="center"/>
            <w:hideMark/>
          </w:tcPr>
          <w:p w14:paraId="44CF6C82" w14:textId="77777777" w:rsidR="00696A3D" w:rsidRPr="00356B43" w:rsidRDefault="00696A3D" w:rsidP="00696A3D">
            <w:pPr>
              <w:spacing w:after="0" w:line="240" w:lineRule="auto"/>
              <w:jc w:val="center"/>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1</w:t>
            </w:r>
          </w:p>
        </w:tc>
        <w:tc>
          <w:tcPr>
            <w:tcW w:w="2835" w:type="dxa"/>
            <w:tcBorders>
              <w:top w:val="nil"/>
              <w:left w:val="single" w:sz="4" w:space="0" w:color="auto"/>
              <w:bottom w:val="nil"/>
              <w:right w:val="single" w:sz="4" w:space="0" w:color="auto"/>
            </w:tcBorders>
            <w:shd w:val="clear" w:color="000000" w:fill="FFFFFF"/>
            <w:vAlign w:val="center"/>
            <w:hideMark/>
          </w:tcPr>
          <w:p w14:paraId="648291D0" w14:textId="77777777" w:rsidR="00696A3D" w:rsidRPr="00356B43" w:rsidRDefault="00696A3D" w:rsidP="00696A3D">
            <w:pPr>
              <w:spacing w:after="0" w:line="240" w:lineRule="auto"/>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Obrigatório</w:t>
            </w:r>
            <w:r w:rsidRPr="00356B43">
              <w:rPr>
                <w:rFonts w:ascii="Arial" w:eastAsia="Times New Roman" w:hAnsi="Arial" w:cs="Arial"/>
                <w:color w:val="0070C0"/>
                <w:sz w:val="20"/>
                <w:szCs w:val="20"/>
                <w:lang w:eastAsia="pt-BR"/>
              </w:rPr>
              <w:br/>
              <w:t>1 – Regular</w:t>
            </w:r>
            <w:r w:rsidRPr="00356B43">
              <w:rPr>
                <w:rFonts w:ascii="Arial" w:eastAsia="Times New Roman" w:hAnsi="Arial" w:cs="Arial"/>
                <w:color w:val="0070C0"/>
                <w:sz w:val="20"/>
                <w:szCs w:val="20"/>
                <w:lang w:eastAsia="pt-BR"/>
              </w:rPr>
              <w:br/>
              <w:t>2 – Regular com ressalva</w:t>
            </w:r>
            <w:r w:rsidRPr="00356B43">
              <w:rPr>
                <w:rFonts w:ascii="Arial" w:eastAsia="Times New Roman" w:hAnsi="Arial" w:cs="Arial"/>
                <w:color w:val="0070C0"/>
                <w:sz w:val="20"/>
                <w:szCs w:val="20"/>
                <w:lang w:eastAsia="pt-BR"/>
              </w:rPr>
              <w:br/>
              <w:t>3 – Irregular</w:t>
            </w:r>
            <w:r w:rsidRPr="00356B43">
              <w:rPr>
                <w:rFonts w:ascii="Arial" w:eastAsia="Times New Roman" w:hAnsi="Arial" w:cs="Arial"/>
                <w:color w:val="0070C0"/>
                <w:sz w:val="20"/>
                <w:szCs w:val="20"/>
                <w:lang w:eastAsia="pt-BR"/>
              </w:rPr>
              <w:br/>
              <w:t>4 – Não foi emitida opinião</w:t>
            </w:r>
          </w:p>
        </w:tc>
      </w:tr>
      <w:tr w:rsidR="00C93D4D" w:rsidRPr="00356B43" w14:paraId="4C0D7AF6" w14:textId="77777777" w:rsidTr="00696A3D">
        <w:trPr>
          <w:trHeight w:val="600"/>
        </w:trPr>
        <w:tc>
          <w:tcPr>
            <w:tcW w:w="9493"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04E12322" w14:textId="74791781" w:rsidR="00696A3D" w:rsidRPr="00356B43" w:rsidRDefault="00696A3D" w:rsidP="00696A3D">
            <w:pPr>
              <w:spacing w:after="0" w:line="240" w:lineRule="auto"/>
              <w:jc w:val="center"/>
              <w:rPr>
                <w:rFonts w:ascii="Arial" w:eastAsia="Times New Roman" w:hAnsi="Arial" w:cs="Arial"/>
                <w:b/>
                <w:bCs/>
                <w:color w:val="0070C0"/>
                <w:sz w:val="20"/>
                <w:szCs w:val="20"/>
                <w:lang w:eastAsia="pt-BR"/>
              </w:rPr>
            </w:pPr>
            <w:r w:rsidRPr="00356B43">
              <w:rPr>
                <w:rFonts w:ascii="Arial" w:eastAsia="Times New Roman" w:hAnsi="Arial" w:cs="Arial"/>
                <w:b/>
                <w:bCs/>
                <w:color w:val="0070C0"/>
                <w:sz w:val="20"/>
                <w:szCs w:val="20"/>
                <w:lang w:eastAsia="pt-BR"/>
              </w:rPr>
              <w:t>Estrutura ‘InformacoesControleInternoProcedimentos’</w:t>
            </w:r>
          </w:p>
        </w:tc>
      </w:tr>
      <w:tr w:rsidR="00C93D4D" w:rsidRPr="00356B43" w14:paraId="00ED13BA" w14:textId="77777777" w:rsidTr="00F42296">
        <w:trPr>
          <w:trHeight w:val="402"/>
        </w:trPr>
        <w:tc>
          <w:tcPr>
            <w:tcW w:w="4248" w:type="dxa"/>
            <w:tcBorders>
              <w:top w:val="nil"/>
              <w:left w:val="single" w:sz="4" w:space="0" w:color="auto"/>
              <w:bottom w:val="single" w:sz="4" w:space="0" w:color="auto"/>
              <w:right w:val="single" w:sz="4" w:space="0" w:color="auto"/>
            </w:tcBorders>
            <w:shd w:val="clear" w:color="auto" w:fill="auto"/>
            <w:vAlign w:val="center"/>
            <w:hideMark/>
          </w:tcPr>
          <w:p w14:paraId="3C330CA4" w14:textId="77777777" w:rsidR="00696A3D" w:rsidRPr="00356B43" w:rsidRDefault="00696A3D" w:rsidP="00696A3D">
            <w:pPr>
              <w:spacing w:after="0" w:line="240" w:lineRule="auto"/>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Identificação do Número do Registro</w:t>
            </w:r>
          </w:p>
        </w:tc>
        <w:tc>
          <w:tcPr>
            <w:tcW w:w="1112" w:type="dxa"/>
            <w:tcBorders>
              <w:top w:val="nil"/>
              <w:left w:val="nil"/>
              <w:bottom w:val="single" w:sz="4" w:space="0" w:color="auto"/>
              <w:right w:val="single" w:sz="4" w:space="0" w:color="auto"/>
            </w:tcBorders>
            <w:shd w:val="clear" w:color="auto" w:fill="auto"/>
            <w:vAlign w:val="center"/>
            <w:hideMark/>
          </w:tcPr>
          <w:p w14:paraId="0D78B80A" w14:textId="77777777" w:rsidR="00696A3D" w:rsidRPr="00356B43" w:rsidRDefault="00696A3D" w:rsidP="00696A3D">
            <w:pPr>
              <w:spacing w:after="0" w:line="240" w:lineRule="auto"/>
              <w:jc w:val="center"/>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Inteiro</w:t>
            </w:r>
          </w:p>
        </w:tc>
        <w:tc>
          <w:tcPr>
            <w:tcW w:w="1298" w:type="dxa"/>
            <w:tcBorders>
              <w:top w:val="nil"/>
              <w:left w:val="nil"/>
              <w:bottom w:val="single" w:sz="4" w:space="0" w:color="auto"/>
              <w:right w:val="single" w:sz="4" w:space="0" w:color="auto"/>
            </w:tcBorders>
            <w:shd w:val="clear" w:color="auto" w:fill="auto"/>
            <w:vAlign w:val="center"/>
            <w:hideMark/>
          </w:tcPr>
          <w:p w14:paraId="6B38FD8B" w14:textId="77777777" w:rsidR="00696A3D" w:rsidRPr="00356B43" w:rsidRDefault="00696A3D" w:rsidP="00696A3D">
            <w:pPr>
              <w:spacing w:after="0" w:line="240" w:lineRule="auto"/>
              <w:jc w:val="center"/>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5</w:t>
            </w:r>
          </w:p>
        </w:tc>
        <w:tc>
          <w:tcPr>
            <w:tcW w:w="2835" w:type="dxa"/>
            <w:tcBorders>
              <w:top w:val="nil"/>
              <w:left w:val="nil"/>
              <w:bottom w:val="single" w:sz="4" w:space="0" w:color="auto"/>
              <w:right w:val="single" w:sz="4" w:space="0" w:color="auto"/>
            </w:tcBorders>
            <w:shd w:val="clear" w:color="auto" w:fill="auto"/>
            <w:vAlign w:val="center"/>
            <w:hideMark/>
          </w:tcPr>
          <w:p w14:paraId="0463BA41" w14:textId="77777777" w:rsidR="00696A3D" w:rsidRPr="00356B43" w:rsidRDefault="00696A3D" w:rsidP="00696A3D">
            <w:pPr>
              <w:spacing w:after="0" w:line="240" w:lineRule="auto"/>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Obrigatório</w:t>
            </w:r>
          </w:p>
        </w:tc>
      </w:tr>
      <w:tr w:rsidR="00F42296" w:rsidRPr="00356B43" w14:paraId="7D20EC90" w14:textId="77777777" w:rsidTr="00F42296">
        <w:trPr>
          <w:trHeight w:val="402"/>
        </w:trPr>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603D78B3" w14:textId="77777777" w:rsidR="00F42296" w:rsidRPr="00356B43" w:rsidRDefault="00F42296" w:rsidP="00F42296">
            <w:pPr>
              <w:spacing w:after="0" w:line="240" w:lineRule="auto"/>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Nível de Controle Interno</w:t>
            </w:r>
          </w:p>
        </w:tc>
        <w:tc>
          <w:tcPr>
            <w:tcW w:w="1112" w:type="dxa"/>
            <w:tcBorders>
              <w:top w:val="single" w:sz="4" w:space="0" w:color="auto"/>
              <w:left w:val="nil"/>
              <w:bottom w:val="single" w:sz="4" w:space="0" w:color="auto"/>
              <w:right w:val="single" w:sz="4" w:space="0" w:color="auto"/>
            </w:tcBorders>
            <w:shd w:val="clear" w:color="auto" w:fill="auto"/>
            <w:vAlign w:val="center"/>
          </w:tcPr>
          <w:p w14:paraId="314C5341" w14:textId="77777777" w:rsidR="00F42296" w:rsidRPr="00356B43" w:rsidRDefault="00F42296" w:rsidP="00F42296">
            <w:pPr>
              <w:spacing w:after="0" w:line="240" w:lineRule="auto"/>
              <w:jc w:val="center"/>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Inteiro</w:t>
            </w:r>
          </w:p>
        </w:tc>
        <w:tc>
          <w:tcPr>
            <w:tcW w:w="1298" w:type="dxa"/>
            <w:tcBorders>
              <w:top w:val="single" w:sz="4" w:space="0" w:color="auto"/>
              <w:left w:val="nil"/>
              <w:bottom w:val="single" w:sz="4" w:space="0" w:color="auto"/>
              <w:right w:val="single" w:sz="4" w:space="0" w:color="auto"/>
            </w:tcBorders>
            <w:shd w:val="clear" w:color="auto" w:fill="auto"/>
            <w:vAlign w:val="center"/>
          </w:tcPr>
          <w:p w14:paraId="5822B17D" w14:textId="77777777" w:rsidR="00F42296" w:rsidRPr="00356B43" w:rsidRDefault="00F42296" w:rsidP="00F42296">
            <w:pPr>
              <w:spacing w:after="0" w:line="240" w:lineRule="auto"/>
              <w:jc w:val="center"/>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1</w:t>
            </w:r>
          </w:p>
        </w:tc>
        <w:tc>
          <w:tcPr>
            <w:tcW w:w="2835" w:type="dxa"/>
            <w:tcBorders>
              <w:top w:val="single" w:sz="4" w:space="0" w:color="auto"/>
              <w:left w:val="nil"/>
              <w:bottom w:val="single" w:sz="4" w:space="0" w:color="auto"/>
              <w:right w:val="single" w:sz="4" w:space="0" w:color="auto"/>
            </w:tcBorders>
            <w:shd w:val="clear" w:color="auto" w:fill="auto"/>
            <w:vAlign w:val="center"/>
          </w:tcPr>
          <w:p w14:paraId="45FFF030" w14:textId="77777777" w:rsidR="00F42296" w:rsidRPr="00356B43" w:rsidRDefault="00F42296" w:rsidP="00F42296">
            <w:pPr>
              <w:spacing w:after="0" w:line="240" w:lineRule="auto"/>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Obrigatório;</w:t>
            </w:r>
          </w:p>
          <w:p w14:paraId="06AE2ADF" w14:textId="77777777" w:rsidR="00F42296" w:rsidRPr="00356B43" w:rsidRDefault="00F42296" w:rsidP="00F42296">
            <w:pPr>
              <w:spacing w:after="0" w:line="240" w:lineRule="auto"/>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1 – Unidade Central</w:t>
            </w:r>
          </w:p>
          <w:p w14:paraId="62AF60C9" w14:textId="77777777" w:rsidR="00F42296" w:rsidRPr="00356B43" w:rsidRDefault="00F42296" w:rsidP="00F42296">
            <w:pPr>
              <w:spacing w:after="0" w:line="240" w:lineRule="auto"/>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2 – Unidade Setorial</w:t>
            </w:r>
          </w:p>
        </w:tc>
      </w:tr>
      <w:tr w:rsidR="00B6205E" w:rsidRPr="00356B43" w14:paraId="7BFD7953" w14:textId="77777777" w:rsidTr="00F42296">
        <w:trPr>
          <w:trHeight w:val="402"/>
        </w:trPr>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3A88600E" w14:textId="6378146D" w:rsidR="00B6205E" w:rsidRPr="00356B43" w:rsidRDefault="00B6205E" w:rsidP="00B6205E">
            <w:pPr>
              <w:spacing w:after="0" w:line="240" w:lineRule="auto"/>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Código da Unidade Gestora em que os procedimentos foram aplicados</w:t>
            </w:r>
          </w:p>
        </w:tc>
        <w:tc>
          <w:tcPr>
            <w:tcW w:w="1112" w:type="dxa"/>
            <w:tcBorders>
              <w:top w:val="single" w:sz="4" w:space="0" w:color="auto"/>
              <w:left w:val="nil"/>
              <w:bottom w:val="single" w:sz="4" w:space="0" w:color="auto"/>
              <w:right w:val="single" w:sz="4" w:space="0" w:color="auto"/>
            </w:tcBorders>
            <w:shd w:val="clear" w:color="auto" w:fill="auto"/>
            <w:vAlign w:val="center"/>
          </w:tcPr>
          <w:p w14:paraId="1CD9D58D" w14:textId="10B47FCE" w:rsidR="00B6205E" w:rsidRPr="00356B43" w:rsidRDefault="00B6205E" w:rsidP="00B6205E">
            <w:pPr>
              <w:spacing w:after="0" w:line="240" w:lineRule="auto"/>
              <w:jc w:val="center"/>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Caracter</w:t>
            </w:r>
          </w:p>
        </w:tc>
        <w:tc>
          <w:tcPr>
            <w:tcW w:w="1298" w:type="dxa"/>
            <w:tcBorders>
              <w:top w:val="single" w:sz="4" w:space="0" w:color="auto"/>
              <w:left w:val="nil"/>
              <w:bottom w:val="single" w:sz="4" w:space="0" w:color="auto"/>
              <w:right w:val="single" w:sz="4" w:space="0" w:color="auto"/>
            </w:tcBorders>
            <w:shd w:val="clear" w:color="auto" w:fill="auto"/>
            <w:vAlign w:val="center"/>
          </w:tcPr>
          <w:p w14:paraId="6BE23B3E" w14:textId="7797AC04" w:rsidR="00B6205E" w:rsidRPr="00356B43" w:rsidRDefault="00B6205E" w:rsidP="00B6205E">
            <w:pPr>
              <w:spacing w:after="0" w:line="240" w:lineRule="auto"/>
              <w:jc w:val="center"/>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11</w:t>
            </w:r>
          </w:p>
        </w:tc>
        <w:tc>
          <w:tcPr>
            <w:tcW w:w="2835" w:type="dxa"/>
            <w:tcBorders>
              <w:top w:val="single" w:sz="4" w:space="0" w:color="auto"/>
              <w:left w:val="nil"/>
              <w:bottom w:val="single" w:sz="4" w:space="0" w:color="auto"/>
              <w:right w:val="single" w:sz="4" w:space="0" w:color="auto"/>
            </w:tcBorders>
            <w:shd w:val="clear" w:color="auto" w:fill="auto"/>
            <w:vAlign w:val="center"/>
          </w:tcPr>
          <w:p w14:paraId="61079C21" w14:textId="10AF1FC6" w:rsidR="00B6205E" w:rsidRPr="00356B43" w:rsidRDefault="00B6205E" w:rsidP="00B6205E">
            <w:pPr>
              <w:spacing w:after="0" w:line="240" w:lineRule="auto"/>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Obrigatório</w:t>
            </w:r>
          </w:p>
        </w:tc>
      </w:tr>
      <w:tr w:rsidR="00B6205E" w:rsidRPr="00356B43" w14:paraId="1F96A8AF" w14:textId="77777777" w:rsidTr="00F42296">
        <w:trPr>
          <w:trHeight w:val="510"/>
        </w:trPr>
        <w:tc>
          <w:tcPr>
            <w:tcW w:w="42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1A7E52" w14:textId="77777777" w:rsidR="00B6205E" w:rsidRPr="00356B43" w:rsidRDefault="00B6205E" w:rsidP="00B6205E">
            <w:pPr>
              <w:spacing w:after="0" w:line="240" w:lineRule="auto"/>
              <w:jc w:val="both"/>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Código do Procedimento (Tabela Referencial 1 / IN 68 de 2020)</w:t>
            </w:r>
          </w:p>
        </w:tc>
        <w:tc>
          <w:tcPr>
            <w:tcW w:w="1112" w:type="dxa"/>
            <w:tcBorders>
              <w:top w:val="single" w:sz="4" w:space="0" w:color="auto"/>
              <w:left w:val="nil"/>
              <w:bottom w:val="single" w:sz="4" w:space="0" w:color="auto"/>
              <w:right w:val="single" w:sz="4" w:space="0" w:color="auto"/>
            </w:tcBorders>
            <w:shd w:val="clear" w:color="auto" w:fill="auto"/>
            <w:vAlign w:val="center"/>
            <w:hideMark/>
          </w:tcPr>
          <w:p w14:paraId="6D6CC8A9" w14:textId="77777777" w:rsidR="00B6205E" w:rsidRPr="00356B43" w:rsidRDefault="00B6205E" w:rsidP="00B6205E">
            <w:pPr>
              <w:spacing w:after="0" w:line="240" w:lineRule="auto"/>
              <w:jc w:val="center"/>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Caracter</w:t>
            </w:r>
          </w:p>
        </w:tc>
        <w:tc>
          <w:tcPr>
            <w:tcW w:w="1298" w:type="dxa"/>
            <w:tcBorders>
              <w:top w:val="single" w:sz="4" w:space="0" w:color="auto"/>
              <w:left w:val="nil"/>
              <w:bottom w:val="single" w:sz="4" w:space="0" w:color="auto"/>
              <w:right w:val="single" w:sz="4" w:space="0" w:color="auto"/>
            </w:tcBorders>
            <w:shd w:val="clear" w:color="auto" w:fill="auto"/>
            <w:vAlign w:val="center"/>
            <w:hideMark/>
          </w:tcPr>
          <w:p w14:paraId="015ADB92" w14:textId="77777777" w:rsidR="00B6205E" w:rsidRPr="00356B43" w:rsidRDefault="00B6205E" w:rsidP="00B6205E">
            <w:pPr>
              <w:spacing w:after="0" w:line="240" w:lineRule="auto"/>
              <w:jc w:val="center"/>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6</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15A61595" w14:textId="77777777" w:rsidR="00B6205E" w:rsidRPr="00356B43" w:rsidRDefault="00B6205E" w:rsidP="00B6205E">
            <w:pPr>
              <w:spacing w:after="0" w:line="240" w:lineRule="auto"/>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Obrigatório</w:t>
            </w:r>
          </w:p>
        </w:tc>
      </w:tr>
      <w:tr w:rsidR="00B6205E" w:rsidRPr="00356B43" w14:paraId="2CFC7B7F" w14:textId="77777777" w:rsidTr="0062211B">
        <w:trPr>
          <w:trHeight w:val="2070"/>
        </w:trPr>
        <w:tc>
          <w:tcPr>
            <w:tcW w:w="4248" w:type="dxa"/>
            <w:tcBorders>
              <w:top w:val="nil"/>
              <w:left w:val="single" w:sz="4" w:space="0" w:color="auto"/>
              <w:bottom w:val="nil"/>
              <w:right w:val="single" w:sz="4" w:space="0" w:color="auto"/>
            </w:tcBorders>
            <w:shd w:val="clear" w:color="auto" w:fill="auto"/>
            <w:vAlign w:val="center"/>
            <w:hideMark/>
          </w:tcPr>
          <w:p w14:paraId="71D1FF5A" w14:textId="77777777" w:rsidR="00B6205E" w:rsidRPr="00356B43" w:rsidRDefault="00B6205E" w:rsidP="00B6205E">
            <w:pPr>
              <w:spacing w:after="0" w:line="240" w:lineRule="auto"/>
              <w:jc w:val="both"/>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Tipo do Ponto de Controle</w:t>
            </w:r>
          </w:p>
        </w:tc>
        <w:tc>
          <w:tcPr>
            <w:tcW w:w="1112" w:type="dxa"/>
            <w:tcBorders>
              <w:top w:val="nil"/>
              <w:left w:val="nil"/>
              <w:bottom w:val="nil"/>
              <w:right w:val="single" w:sz="4" w:space="0" w:color="auto"/>
            </w:tcBorders>
            <w:shd w:val="clear" w:color="auto" w:fill="auto"/>
            <w:vAlign w:val="center"/>
            <w:hideMark/>
          </w:tcPr>
          <w:p w14:paraId="203E039D" w14:textId="77777777" w:rsidR="00B6205E" w:rsidRPr="00356B43" w:rsidRDefault="00B6205E" w:rsidP="00B6205E">
            <w:pPr>
              <w:spacing w:after="0" w:line="240" w:lineRule="auto"/>
              <w:jc w:val="center"/>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Inteiro</w:t>
            </w:r>
          </w:p>
        </w:tc>
        <w:tc>
          <w:tcPr>
            <w:tcW w:w="1298" w:type="dxa"/>
            <w:tcBorders>
              <w:top w:val="nil"/>
              <w:left w:val="nil"/>
              <w:bottom w:val="nil"/>
              <w:right w:val="nil"/>
            </w:tcBorders>
            <w:shd w:val="clear" w:color="auto" w:fill="auto"/>
            <w:vAlign w:val="center"/>
            <w:hideMark/>
          </w:tcPr>
          <w:p w14:paraId="061D6D17" w14:textId="77777777" w:rsidR="00B6205E" w:rsidRPr="00356B43" w:rsidRDefault="00B6205E" w:rsidP="00B6205E">
            <w:pPr>
              <w:spacing w:after="0" w:line="240" w:lineRule="auto"/>
              <w:jc w:val="center"/>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1</w:t>
            </w:r>
          </w:p>
        </w:tc>
        <w:tc>
          <w:tcPr>
            <w:tcW w:w="2835" w:type="dxa"/>
            <w:tcBorders>
              <w:top w:val="nil"/>
              <w:left w:val="single" w:sz="4" w:space="0" w:color="auto"/>
              <w:bottom w:val="single" w:sz="4" w:space="0" w:color="auto"/>
              <w:right w:val="single" w:sz="4" w:space="0" w:color="auto"/>
            </w:tcBorders>
            <w:shd w:val="clear" w:color="000000" w:fill="FFFFFF"/>
            <w:vAlign w:val="center"/>
            <w:hideMark/>
          </w:tcPr>
          <w:p w14:paraId="68AB6F93" w14:textId="77777777" w:rsidR="00B6205E" w:rsidRPr="00356B43" w:rsidRDefault="00B6205E" w:rsidP="00B6205E">
            <w:pPr>
              <w:spacing w:after="0" w:line="240" w:lineRule="auto"/>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Obrigatório</w:t>
            </w:r>
            <w:r w:rsidRPr="00356B43">
              <w:rPr>
                <w:rFonts w:ascii="Arial" w:eastAsia="Times New Roman" w:hAnsi="Arial" w:cs="Arial"/>
                <w:color w:val="0070C0"/>
                <w:sz w:val="20"/>
                <w:szCs w:val="20"/>
                <w:lang w:eastAsia="pt-BR"/>
              </w:rPr>
              <w:br/>
              <w:t>1 - Quantitativo (se mensurável quantitativamente)</w:t>
            </w:r>
          </w:p>
          <w:p w14:paraId="31EEB0AC" w14:textId="51CAB5C0" w:rsidR="00B6205E" w:rsidRPr="00356B43" w:rsidRDefault="00B6205E" w:rsidP="00B6205E">
            <w:pPr>
              <w:spacing w:after="0" w:line="240" w:lineRule="auto"/>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br/>
              <w:t>2 - Qualitativo (se não mensurável quantitativamente)</w:t>
            </w:r>
          </w:p>
        </w:tc>
      </w:tr>
      <w:tr w:rsidR="00B6205E" w:rsidRPr="00356B43" w14:paraId="77CE47BE" w14:textId="77777777" w:rsidTr="0062211B">
        <w:trPr>
          <w:trHeight w:val="499"/>
        </w:trPr>
        <w:tc>
          <w:tcPr>
            <w:tcW w:w="42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1A75C6" w14:textId="77777777" w:rsidR="00B6205E" w:rsidRPr="00356B43" w:rsidRDefault="00B6205E" w:rsidP="00B6205E">
            <w:pPr>
              <w:spacing w:after="0" w:line="240" w:lineRule="auto"/>
              <w:jc w:val="both"/>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Universo do Ponto de Controle Analisado</w:t>
            </w:r>
          </w:p>
        </w:tc>
        <w:tc>
          <w:tcPr>
            <w:tcW w:w="1112" w:type="dxa"/>
            <w:tcBorders>
              <w:top w:val="single" w:sz="4" w:space="0" w:color="auto"/>
              <w:left w:val="nil"/>
              <w:bottom w:val="single" w:sz="4" w:space="0" w:color="auto"/>
              <w:right w:val="single" w:sz="4" w:space="0" w:color="auto"/>
            </w:tcBorders>
            <w:shd w:val="clear" w:color="auto" w:fill="auto"/>
            <w:vAlign w:val="center"/>
            <w:hideMark/>
          </w:tcPr>
          <w:p w14:paraId="2B252770" w14:textId="77777777" w:rsidR="00B6205E" w:rsidRPr="00356B43" w:rsidRDefault="00B6205E" w:rsidP="00B6205E">
            <w:pPr>
              <w:spacing w:after="0" w:line="240" w:lineRule="auto"/>
              <w:jc w:val="center"/>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Inteiro</w:t>
            </w:r>
          </w:p>
        </w:tc>
        <w:tc>
          <w:tcPr>
            <w:tcW w:w="1298" w:type="dxa"/>
            <w:tcBorders>
              <w:top w:val="single" w:sz="4" w:space="0" w:color="auto"/>
              <w:left w:val="nil"/>
              <w:bottom w:val="single" w:sz="4" w:space="0" w:color="auto"/>
              <w:right w:val="single" w:sz="4" w:space="0" w:color="auto"/>
            </w:tcBorders>
            <w:shd w:val="clear" w:color="auto" w:fill="auto"/>
            <w:vAlign w:val="center"/>
            <w:hideMark/>
          </w:tcPr>
          <w:p w14:paraId="4B66CCED" w14:textId="77777777" w:rsidR="00B6205E" w:rsidRPr="00356B43" w:rsidRDefault="00B6205E" w:rsidP="00B6205E">
            <w:pPr>
              <w:spacing w:after="0" w:line="240" w:lineRule="auto"/>
              <w:jc w:val="center"/>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5</w:t>
            </w:r>
          </w:p>
        </w:tc>
        <w:tc>
          <w:tcPr>
            <w:tcW w:w="2835" w:type="dxa"/>
            <w:tcBorders>
              <w:top w:val="nil"/>
              <w:left w:val="nil"/>
              <w:bottom w:val="single" w:sz="4" w:space="0" w:color="auto"/>
              <w:right w:val="single" w:sz="4" w:space="0" w:color="auto"/>
            </w:tcBorders>
            <w:shd w:val="clear" w:color="auto" w:fill="auto"/>
            <w:vAlign w:val="center"/>
            <w:hideMark/>
          </w:tcPr>
          <w:p w14:paraId="41D086C0" w14:textId="5A31634A" w:rsidR="00B6205E" w:rsidRPr="00356B43" w:rsidRDefault="00B6205E" w:rsidP="00B6205E">
            <w:pPr>
              <w:spacing w:after="0" w:line="240" w:lineRule="auto"/>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 xml:space="preserve">Obrigatório </w:t>
            </w:r>
            <w:r w:rsidRPr="00356B43">
              <w:rPr>
                <w:rFonts w:ascii="Arial" w:eastAsia="Times New Roman" w:hAnsi="Arial" w:cs="Arial"/>
                <w:b/>
                <w:bCs/>
                <w:color w:val="0070C0"/>
                <w:sz w:val="20"/>
                <w:szCs w:val="20"/>
                <w:vertAlign w:val="superscript"/>
                <w:lang w:eastAsia="pt-BR"/>
              </w:rPr>
              <w:t>[2]</w:t>
            </w:r>
          </w:p>
        </w:tc>
      </w:tr>
      <w:tr w:rsidR="00B6205E" w:rsidRPr="00356B43" w14:paraId="4CD40AD6" w14:textId="77777777" w:rsidTr="0062211B">
        <w:trPr>
          <w:trHeight w:val="660"/>
        </w:trPr>
        <w:tc>
          <w:tcPr>
            <w:tcW w:w="4248" w:type="dxa"/>
            <w:tcBorders>
              <w:top w:val="nil"/>
              <w:left w:val="single" w:sz="4" w:space="0" w:color="auto"/>
              <w:bottom w:val="single" w:sz="4" w:space="0" w:color="auto"/>
              <w:right w:val="single" w:sz="4" w:space="0" w:color="auto"/>
            </w:tcBorders>
            <w:shd w:val="clear" w:color="auto" w:fill="auto"/>
            <w:vAlign w:val="center"/>
            <w:hideMark/>
          </w:tcPr>
          <w:p w14:paraId="3FA3359D" w14:textId="77777777" w:rsidR="00B6205E" w:rsidRPr="00356B43" w:rsidRDefault="00B6205E" w:rsidP="00B6205E">
            <w:pPr>
              <w:spacing w:after="0" w:line="240" w:lineRule="auto"/>
              <w:jc w:val="both"/>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lastRenderedPageBreak/>
              <w:t>Amostra Selecionada do Ponto de Controle Analisado</w:t>
            </w:r>
          </w:p>
        </w:tc>
        <w:tc>
          <w:tcPr>
            <w:tcW w:w="1112" w:type="dxa"/>
            <w:tcBorders>
              <w:top w:val="nil"/>
              <w:left w:val="nil"/>
              <w:bottom w:val="single" w:sz="4" w:space="0" w:color="auto"/>
              <w:right w:val="single" w:sz="4" w:space="0" w:color="auto"/>
            </w:tcBorders>
            <w:shd w:val="clear" w:color="auto" w:fill="auto"/>
            <w:vAlign w:val="center"/>
            <w:hideMark/>
          </w:tcPr>
          <w:p w14:paraId="734CAFF5" w14:textId="77777777" w:rsidR="00B6205E" w:rsidRPr="00356B43" w:rsidRDefault="00B6205E" w:rsidP="00B6205E">
            <w:pPr>
              <w:spacing w:after="0" w:line="240" w:lineRule="auto"/>
              <w:jc w:val="center"/>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Inteiro</w:t>
            </w:r>
          </w:p>
        </w:tc>
        <w:tc>
          <w:tcPr>
            <w:tcW w:w="1298" w:type="dxa"/>
            <w:tcBorders>
              <w:top w:val="nil"/>
              <w:left w:val="nil"/>
              <w:bottom w:val="single" w:sz="4" w:space="0" w:color="auto"/>
              <w:right w:val="single" w:sz="4" w:space="0" w:color="auto"/>
            </w:tcBorders>
            <w:shd w:val="clear" w:color="auto" w:fill="auto"/>
            <w:vAlign w:val="center"/>
            <w:hideMark/>
          </w:tcPr>
          <w:p w14:paraId="600747BB" w14:textId="77777777" w:rsidR="00B6205E" w:rsidRPr="00356B43" w:rsidRDefault="00B6205E" w:rsidP="00B6205E">
            <w:pPr>
              <w:spacing w:after="0" w:line="240" w:lineRule="auto"/>
              <w:jc w:val="center"/>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5</w:t>
            </w:r>
          </w:p>
        </w:tc>
        <w:tc>
          <w:tcPr>
            <w:tcW w:w="2835" w:type="dxa"/>
            <w:tcBorders>
              <w:top w:val="nil"/>
              <w:left w:val="nil"/>
              <w:bottom w:val="single" w:sz="4" w:space="0" w:color="auto"/>
              <w:right w:val="single" w:sz="4" w:space="0" w:color="auto"/>
            </w:tcBorders>
            <w:shd w:val="clear" w:color="auto" w:fill="auto"/>
            <w:vAlign w:val="center"/>
            <w:hideMark/>
          </w:tcPr>
          <w:p w14:paraId="1257C959" w14:textId="259A6765" w:rsidR="00B6205E" w:rsidRPr="00356B43" w:rsidRDefault="00B6205E" w:rsidP="00B6205E">
            <w:pPr>
              <w:spacing w:after="0" w:line="240" w:lineRule="auto"/>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 xml:space="preserve">Obrigatório </w:t>
            </w:r>
            <w:r w:rsidRPr="00356B43">
              <w:rPr>
                <w:rFonts w:ascii="Arial" w:eastAsia="Times New Roman" w:hAnsi="Arial" w:cs="Arial"/>
                <w:b/>
                <w:bCs/>
                <w:color w:val="0070C0"/>
                <w:sz w:val="20"/>
                <w:szCs w:val="20"/>
                <w:vertAlign w:val="superscript"/>
                <w:lang w:eastAsia="pt-BR"/>
              </w:rPr>
              <w:t>[2]</w:t>
            </w:r>
          </w:p>
        </w:tc>
      </w:tr>
      <w:tr w:rsidR="00B6205E" w:rsidRPr="00356B43" w14:paraId="5B16B478" w14:textId="77777777" w:rsidTr="003261DE">
        <w:trPr>
          <w:trHeight w:val="402"/>
        </w:trPr>
        <w:tc>
          <w:tcPr>
            <w:tcW w:w="4248" w:type="dxa"/>
            <w:tcBorders>
              <w:top w:val="nil"/>
              <w:left w:val="single" w:sz="4" w:space="0" w:color="auto"/>
              <w:bottom w:val="single" w:sz="4" w:space="0" w:color="auto"/>
              <w:right w:val="single" w:sz="4" w:space="0" w:color="auto"/>
            </w:tcBorders>
            <w:shd w:val="clear" w:color="auto" w:fill="auto"/>
            <w:vAlign w:val="center"/>
            <w:hideMark/>
          </w:tcPr>
          <w:p w14:paraId="7DB093B9" w14:textId="77777777" w:rsidR="00B6205E" w:rsidRPr="00356B43" w:rsidRDefault="00B6205E" w:rsidP="00B6205E">
            <w:pPr>
              <w:spacing w:after="0" w:line="240" w:lineRule="auto"/>
              <w:jc w:val="both"/>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Descrição da Análise</w:t>
            </w:r>
          </w:p>
        </w:tc>
        <w:tc>
          <w:tcPr>
            <w:tcW w:w="1112" w:type="dxa"/>
            <w:tcBorders>
              <w:top w:val="nil"/>
              <w:left w:val="nil"/>
              <w:bottom w:val="single" w:sz="4" w:space="0" w:color="auto"/>
              <w:right w:val="single" w:sz="4" w:space="0" w:color="auto"/>
            </w:tcBorders>
            <w:shd w:val="clear" w:color="auto" w:fill="auto"/>
            <w:vAlign w:val="center"/>
            <w:hideMark/>
          </w:tcPr>
          <w:p w14:paraId="7A201431" w14:textId="77777777" w:rsidR="00B6205E" w:rsidRPr="00356B43" w:rsidRDefault="00B6205E" w:rsidP="00B6205E">
            <w:pPr>
              <w:spacing w:after="0" w:line="240" w:lineRule="auto"/>
              <w:jc w:val="center"/>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Caracter</w:t>
            </w:r>
          </w:p>
        </w:tc>
        <w:tc>
          <w:tcPr>
            <w:tcW w:w="1298" w:type="dxa"/>
            <w:tcBorders>
              <w:top w:val="nil"/>
              <w:left w:val="nil"/>
              <w:bottom w:val="single" w:sz="4" w:space="0" w:color="auto"/>
              <w:right w:val="single" w:sz="4" w:space="0" w:color="auto"/>
            </w:tcBorders>
            <w:shd w:val="clear" w:color="auto" w:fill="auto"/>
            <w:vAlign w:val="center"/>
            <w:hideMark/>
          </w:tcPr>
          <w:p w14:paraId="3BB3A2E6" w14:textId="77777777" w:rsidR="00B6205E" w:rsidRPr="00356B43" w:rsidRDefault="00B6205E" w:rsidP="00B6205E">
            <w:pPr>
              <w:spacing w:after="0" w:line="240" w:lineRule="auto"/>
              <w:jc w:val="center"/>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1000</w:t>
            </w:r>
          </w:p>
        </w:tc>
        <w:tc>
          <w:tcPr>
            <w:tcW w:w="2835" w:type="dxa"/>
            <w:tcBorders>
              <w:top w:val="nil"/>
              <w:left w:val="nil"/>
              <w:bottom w:val="single" w:sz="4" w:space="0" w:color="auto"/>
              <w:right w:val="single" w:sz="4" w:space="0" w:color="auto"/>
            </w:tcBorders>
            <w:shd w:val="clear" w:color="auto" w:fill="auto"/>
            <w:vAlign w:val="center"/>
            <w:hideMark/>
          </w:tcPr>
          <w:p w14:paraId="757D1836" w14:textId="77777777" w:rsidR="00B6205E" w:rsidRPr="00356B43" w:rsidRDefault="00B6205E" w:rsidP="00B6205E">
            <w:pPr>
              <w:spacing w:after="0" w:line="240" w:lineRule="auto"/>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Opcional</w:t>
            </w:r>
          </w:p>
        </w:tc>
      </w:tr>
      <w:tr w:rsidR="00B6205E" w:rsidRPr="00356B43" w14:paraId="5848DC4E" w14:textId="77777777" w:rsidTr="003261DE">
        <w:trPr>
          <w:trHeight w:val="3570"/>
        </w:trPr>
        <w:tc>
          <w:tcPr>
            <w:tcW w:w="42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164C51" w14:textId="77777777" w:rsidR="00B6205E" w:rsidRPr="00356B43" w:rsidRDefault="00B6205E" w:rsidP="00B6205E">
            <w:pPr>
              <w:spacing w:after="0" w:line="240" w:lineRule="auto"/>
              <w:jc w:val="both"/>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Tipo de Procedimento Aplicado</w:t>
            </w:r>
          </w:p>
        </w:tc>
        <w:tc>
          <w:tcPr>
            <w:tcW w:w="1112" w:type="dxa"/>
            <w:tcBorders>
              <w:top w:val="single" w:sz="4" w:space="0" w:color="auto"/>
              <w:left w:val="nil"/>
              <w:bottom w:val="single" w:sz="4" w:space="0" w:color="auto"/>
              <w:right w:val="single" w:sz="4" w:space="0" w:color="auto"/>
            </w:tcBorders>
            <w:shd w:val="clear" w:color="auto" w:fill="auto"/>
            <w:vAlign w:val="center"/>
            <w:hideMark/>
          </w:tcPr>
          <w:p w14:paraId="1F7A8869" w14:textId="77777777" w:rsidR="00B6205E" w:rsidRPr="00356B43" w:rsidRDefault="00B6205E" w:rsidP="00B6205E">
            <w:pPr>
              <w:spacing w:after="0" w:line="240" w:lineRule="auto"/>
              <w:jc w:val="center"/>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Inteiro</w:t>
            </w:r>
          </w:p>
        </w:tc>
        <w:tc>
          <w:tcPr>
            <w:tcW w:w="1298" w:type="dxa"/>
            <w:tcBorders>
              <w:top w:val="single" w:sz="4" w:space="0" w:color="auto"/>
              <w:left w:val="nil"/>
              <w:bottom w:val="single" w:sz="4" w:space="0" w:color="auto"/>
              <w:right w:val="nil"/>
            </w:tcBorders>
            <w:shd w:val="clear" w:color="auto" w:fill="auto"/>
            <w:vAlign w:val="center"/>
            <w:hideMark/>
          </w:tcPr>
          <w:p w14:paraId="3ACFD479" w14:textId="77777777" w:rsidR="00B6205E" w:rsidRPr="00356B43" w:rsidRDefault="00B6205E" w:rsidP="00B6205E">
            <w:pPr>
              <w:spacing w:after="0" w:line="240" w:lineRule="auto"/>
              <w:jc w:val="center"/>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1</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BBA6502" w14:textId="3D6C2AD5" w:rsidR="00B6205E" w:rsidRPr="00356B43" w:rsidRDefault="00B6205E" w:rsidP="00B6205E">
            <w:pPr>
              <w:spacing w:after="0" w:line="240" w:lineRule="auto"/>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Obrigatório:</w:t>
            </w:r>
          </w:p>
          <w:p w14:paraId="41F6244F" w14:textId="3E1521B1" w:rsidR="00B6205E" w:rsidRPr="00356B43" w:rsidRDefault="00B6205E" w:rsidP="00B6205E">
            <w:pPr>
              <w:spacing w:after="0" w:line="240" w:lineRule="auto"/>
              <w:rPr>
                <w:rFonts w:ascii="Arial" w:eastAsia="Times New Roman" w:hAnsi="Arial" w:cs="Arial"/>
                <w:color w:val="0070C0"/>
                <w:sz w:val="20"/>
                <w:szCs w:val="20"/>
                <w:lang w:eastAsia="pt-BR"/>
              </w:rPr>
            </w:pPr>
            <w:r w:rsidRPr="00356B43">
              <w:rPr>
                <w:rFonts w:ascii="Calibri" w:hAnsi="Calibri" w:cs="Calibri"/>
                <w:color w:val="0070C0"/>
              </w:rPr>
              <w:t>1 - Auditoria de conformidade</w:t>
            </w:r>
            <w:r w:rsidRPr="00356B43">
              <w:rPr>
                <w:rFonts w:ascii="Arial" w:hAnsi="Arial" w:cs="Arial"/>
                <w:color w:val="0070C0"/>
                <w:sz w:val="20"/>
                <w:szCs w:val="20"/>
              </w:rPr>
              <w:t> </w:t>
            </w:r>
          </w:p>
          <w:p w14:paraId="1ADBCFC8" w14:textId="77777777" w:rsidR="00B6205E" w:rsidRPr="00356B43" w:rsidRDefault="00B6205E" w:rsidP="00B6205E">
            <w:pPr>
              <w:spacing w:after="0" w:line="240" w:lineRule="auto"/>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2 - Auditoria financeira;</w:t>
            </w:r>
          </w:p>
          <w:p w14:paraId="7DBEE067" w14:textId="77777777" w:rsidR="00B6205E" w:rsidRPr="00356B43" w:rsidRDefault="00B6205E" w:rsidP="00B6205E">
            <w:pPr>
              <w:spacing w:after="0" w:line="240" w:lineRule="auto"/>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3 - Auditoria operacional;</w:t>
            </w:r>
          </w:p>
          <w:p w14:paraId="1EB3CAD4" w14:textId="77777777" w:rsidR="00B6205E" w:rsidRPr="00356B43" w:rsidRDefault="00B6205E" w:rsidP="00B6205E">
            <w:pPr>
              <w:spacing w:after="0" w:line="240" w:lineRule="auto"/>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 xml:space="preserve">4 - Análise documental; </w:t>
            </w:r>
          </w:p>
          <w:p w14:paraId="7278E0C8" w14:textId="77777777" w:rsidR="00B6205E" w:rsidRPr="00356B43" w:rsidRDefault="00B6205E" w:rsidP="00B6205E">
            <w:pPr>
              <w:spacing w:after="0" w:line="240" w:lineRule="auto"/>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5 - Conciliações de demonstrativos</w:t>
            </w:r>
          </w:p>
          <w:p w14:paraId="22545A96" w14:textId="09FFDF55" w:rsidR="00B6205E" w:rsidRPr="00356B43" w:rsidRDefault="00B6205E" w:rsidP="00B6205E">
            <w:pPr>
              <w:spacing w:after="0" w:line="240" w:lineRule="auto"/>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6 - Circularização</w:t>
            </w:r>
            <w:r w:rsidRPr="00356B43">
              <w:rPr>
                <w:rFonts w:ascii="Arial" w:eastAsia="Times New Roman" w:hAnsi="Arial" w:cs="Arial"/>
                <w:color w:val="0070C0"/>
                <w:sz w:val="20"/>
                <w:szCs w:val="20"/>
                <w:lang w:eastAsia="pt-BR"/>
              </w:rPr>
              <w:br/>
              <w:t>7 - Revisão Analítica</w:t>
            </w:r>
            <w:r w:rsidRPr="00356B43">
              <w:rPr>
                <w:rFonts w:ascii="Arial" w:eastAsia="Times New Roman" w:hAnsi="Arial" w:cs="Arial"/>
                <w:color w:val="0070C0"/>
                <w:sz w:val="20"/>
                <w:szCs w:val="20"/>
                <w:lang w:eastAsia="pt-BR"/>
              </w:rPr>
              <w:br/>
              <w:t>8 - Testes Substantivos</w:t>
            </w:r>
            <w:r w:rsidRPr="00356B43">
              <w:rPr>
                <w:rFonts w:ascii="Arial" w:eastAsia="Times New Roman" w:hAnsi="Arial" w:cs="Arial"/>
                <w:color w:val="0070C0"/>
                <w:sz w:val="20"/>
                <w:szCs w:val="20"/>
                <w:lang w:eastAsia="pt-BR"/>
              </w:rPr>
              <w:br/>
              <w:t>9 - Testes de Controle</w:t>
            </w:r>
          </w:p>
          <w:p w14:paraId="521705DD" w14:textId="113CE507" w:rsidR="00B6205E" w:rsidRPr="00356B43" w:rsidRDefault="00B6205E" w:rsidP="00B6205E">
            <w:pPr>
              <w:spacing w:after="0" w:line="240" w:lineRule="auto"/>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10 - Inspeção Física</w:t>
            </w:r>
            <w:r w:rsidRPr="00356B43">
              <w:rPr>
                <w:rFonts w:ascii="Arial" w:eastAsia="Times New Roman" w:hAnsi="Arial" w:cs="Arial"/>
                <w:color w:val="0070C0"/>
                <w:sz w:val="20"/>
                <w:szCs w:val="20"/>
                <w:lang w:eastAsia="pt-BR"/>
              </w:rPr>
              <w:br/>
              <w:t>11 - Observação Direta</w:t>
            </w:r>
            <w:r w:rsidRPr="00356B43">
              <w:rPr>
                <w:rFonts w:ascii="Arial" w:eastAsia="Times New Roman" w:hAnsi="Arial" w:cs="Arial"/>
                <w:color w:val="0070C0"/>
                <w:sz w:val="20"/>
                <w:szCs w:val="20"/>
                <w:lang w:eastAsia="pt-BR"/>
              </w:rPr>
              <w:br/>
              <w:t>12 - Indagação</w:t>
            </w:r>
            <w:r w:rsidRPr="00356B43">
              <w:rPr>
                <w:rFonts w:ascii="Arial" w:eastAsia="Times New Roman" w:hAnsi="Arial" w:cs="Arial"/>
                <w:color w:val="0070C0"/>
                <w:sz w:val="20"/>
                <w:szCs w:val="20"/>
                <w:lang w:eastAsia="pt-BR"/>
              </w:rPr>
              <w:br/>
              <w:t>13 – Confirmação Externa</w:t>
            </w:r>
            <w:r w:rsidRPr="00356B43">
              <w:rPr>
                <w:rFonts w:ascii="Arial" w:eastAsia="Times New Roman" w:hAnsi="Arial" w:cs="Arial"/>
                <w:color w:val="0070C0"/>
                <w:sz w:val="20"/>
                <w:szCs w:val="20"/>
                <w:lang w:eastAsia="pt-BR"/>
              </w:rPr>
              <w:br/>
              <w:t>14 – Recálculo</w:t>
            </w:r>
            <w:r w:rsidRPr="00356B43">
              <w:rPr>
                <w:rFonts w:ascii="Arial" w:eastAsia="Times New Roman" w:hAnsi="Arial" w:cs="Arial"/>
                <w:color w:val="0070C0"/>
                <w:sz w:val="20"/>
                <w:szCs w:val="20"/>
                <w:lang w:eastAsia="pt-BR"/>
              </w:rPr>
              <w:br/>
              <w:t>15 – Reexecução</w:t>
            </w:r>
            <w:r w:rsidRPr="00356B43">
              <w:rPr>
                <w:rFonts w:ascii="Arial" w:eastAsia="Times New Roman" w:hAnsi="Arial" w:cs="Arial"/>
                <w:color w:val="0070C0"/>
                <w:sz w:val="20"/>
                <w:szCs w:val="20"/>
                <w:lang w:eastAsia="pt-BR"/>
              </w:rPr>
              <w:br/>
              <w:t>16 – Outros</w:t>
            </w:r>
          </w:p>
        </w:tc>
      </w:tr>
      <w:tr w:rsidR="00B6205E" w:rsidRPr="00356B43" w14:paraId="34BAF992" w14:textId="77777777" w:rsidTr="003261DE">
        <w:trPr>
          <w:trHeight w:val="3825"/>
        </w:trPr>
        <w:tc>
          <w:tcPr>
            <w:tcW w:w="42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388130" w14:textId="77777777" w:rsidR="00B6205E" w:rsidRPr="00356B43" w:rsidRDefault="00B6205E" w:rsidP="00B6205E">
            <w:pPr>
              <w:spacing w:after="0" w:line="240" w:lineRule="auto"/>
              <w:jc w:val="both"/>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Situação da Análise</w:t>
            </w:r>
          </w:p>
        </w:tc>
        <w:tc>
          <w:tcPr>
            <w:tcW w:w="1112" w:type="dxa"/>
            <w:tcBorders>
              <w:top w:val="single" w:sz="4" w:space="0" w:color="auto"/>
              <w:left w:val="nil"/>
              <w:bottom w:val="single" w:sz="4" w:space="0" w:color="auto"/>
              <w:right w:val="single" w:sz="4" w:space="0" w:color="auto"/>
            </w:tcBorders>
            <w:shd w:val="clear" w:color="auto" w:fill="auto"/>
            <w:vAlign w:val="center"/>
            <w:hideMark/>
          </w:tcPr>
          <w:p w14:paraId="58C0FB02" w14:textId="77777777" w:rsidR="00B6205E" w:rsidRPr="00356B43" w:rsidRDefault="00B6205E" w:rsidP="00B6205E">
            <w:pPr>
              <w:spacing w:after="0" w:line="240" w:lineRule="auto"/>
              <w:jc w:val="center"/>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Inteiro</w:t>
            </w:r>
          </w:p>
        </w:tc>
        <w:tc>
          <w:tcPr>
            <w:tcW w:w="1298" w:type="dxa"/>
            <w:tcBorders>
              <w:top w:val="single" w:sz="4" w:space="0" w:color="auto"/>
              <w:left w:val="nil"/>
              <w:bottom w:val="single" w:sz="4" w:space="0" w:color="auto"/>
              <w:right w:val="nil"/>
            </w:tcBorders>
            <w:shd w:val="clear" w:color="auto" w:fill="auto"/>
            <w:vAlign w:val="center"/>
            <w:hideMark/>
          </w:tcPr>
          <w:p w14:paraId="7E6A5D34" w14:textId="77777777" w:rsidR="00B6205E" w:rsidRPr="00356B43" w:rsidRDefault="00B6205E" w:rsidP="00B6205E">
            <w:pPr>
              <w:spacing w:after="0" w:line="240" w:lineRule="auto"/>
              <w:jc w:val="center"/>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1</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223921F" w14:textId="77777777" w:rsidR="00B6205E" w:rsidRPr="00356B43" w:rsidRDefault="00B6205E" w:rsidP="00B6205E">
            <w:pPr>
              <w:spacing w:after="0" w:line="240" w:lineRule="auto"/>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Obrigatório</w:t>
            </w:r>
            <w:r w:rsidRPr="00356B43">
              <w:rPr>
                <w:rFonts w:ascii="Arial" w:eastAsia="Times New Roman" w:hAnsi="Arial" w:cs="Arial"/>
                <w:color w:val="0070C0"/>
                <w:sz w:val="20"/>
                <w:szCs w:val="20"/>
                <w:lang w:eastAsia="pt-BR"/>
              </w:rPr>
              <w:br/>
              <w:t>1 - Procedimento aplicado sem detecção de distorções</w:t>
            </w:r>
          </w:p>
          <w:p w14:paraId="747404DA" w14:textId="77777777" w:rsidR="00B6205E" w:rsidRPr="00356B43" w:rsidRDefault="00B6205E" w:rsidP="00B6205E">
            <w:pPr>
              <w:spacing w:after="0" w:line="240" w:lineRule="auto"/>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br/>
              <w:t>2 - Procedimento aplicado sem detecção de distorções relevantes, constatando oportunidades de melhorias do controle</w:t>
            </w:r>
          </w:p>
          <w:p w14:paraId="5186A028" w14:textId="79A9717F" w:rsidR="00B6205E" w:rsidRPr="00356B43" w:rsidRDefault="00B6205E" w:rsidP="00B6205E">
            <w:pPr>
              <w:spacing w:after="0" w:line="240" w:lineRule="auto"/>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br/>
              <w:t>3 - Procedimento aplicado com constatação de distorções que ensejam risco grave e necessidade de correções.</w:t>
            </w:r>
          </w:p>
        </w:tc>
      </w:tr>
      <w:tr w:rsidR="00B6205E" w:rsidRPr="00356B43" w14:paraId="544750B7" w14:textId="77777777" w:rsidTr="00696A3D">
        <w:trPr>
          <w:trHeight w:val="600"/>
        </w:trPr>
        <w:tc>
          <w:tcPr>
            <w:tcW w:w="9493" w:type="dxa"/>
            <w:gridSpan w:val="4"/>
            <w:tcBorders>
              <w:top w:val="nil"/>
              <w:left w:val="single" w:sz="4" w:space="0" w:color="auto"/>
              <w:bottom w:val="single" w:sz="4" w:space="0" w:color="auto"/>
              <w:right w:val="single" w:sz="4" w:space="0" w:color="000000"/>
            </w:tcBorders>
            <w:shd w:val="clear" w:color="000000" w:fill="BFBFBF"/>
            <w:vAlign w:val="center"/>
            <w:hideMark/>
          </w:tcPr>
          <w:p w14:paraId="0405241E" w14:textId="75BDE61D" w:rsidR="00B6205E" w:rsidRPr="00356B43" w:rsidRDefault="00B6205E" w:rsidP="00B6205E">
            <w:pPr>
              <w:spacing w:after="0" w:line="240" w:lineRule="auto"/>
              <w:jc w:val="center"/>
              <w:rPr>
                <w:rFonts w:ascii="Arial" w:eastAsia="Times New Roman" w:hAnsi="Arial" w:cs="Arial"/>
                <w:b/>
                <w:bCs/>
                <w:color w:val="0070C0"/>
                <w:sz w:val="20"/>
                <w:szCs w:val="20"/>
                <w:lang w:eastAsia="pt-BR"/>
              </w:rPr>
            </w:pPr>
            <w:r w:rsidRPr="00356B43">
              <w:rPr>
                <w:rFonts w:ascii="Arial" w:eastAsia="Times New Roman" w:hAnsi="Arial" w:cs="Arial"/>
                <w:b/>
                <w:bCs/>
                <w:color w:val="0070C0"/>
                <w:sz w:val="20"/>
                <w:szCs w:val="20"/>
                <w:lang w:eastAsia="pt-BR"/>
              </w:rPr>
              <w:t>Estrutura ‘InformacoesControleInternoTomadaContasEspecial’</w:t>
            </w:r>
          </w:p>
        </w:tc>
      </w:tr>
      <w:tr w:rsidR="00B6205E" w:rsidRPr="00356B43" w14:paraId="776C6CC8" w14:textId="77777777" w:rsidTr="0062211B">
        <w:trPr>
          <w:trHeight w:val="402"/>
        </w:trPr>
        <w:tc>
          <w:tcPr>
            <w:tcW w:w="4248" w:type="dxa"/>
            <w:tcBorders>
              <w:top w:val="nil"/>
              <w:left w:val="single" w:sz="4" w:space="0" w:color="auto"/>
              <w:bottom w:val="single" w:sz="4" w:space="0" w:color="auto"/>
              <w:right w:val="single" w:sz="4" w:space="0" w:color="auto"/>
            </w:tcBorders>
            <w:shd w:val="clear" w:color="auto" w:fill="auto"/>
            <w:vAlign w:val="center"/>
            <w:hideMark/>
          </w:tcPr>
          <w:p w14:paraId="4EF050B3" w14:textId="77777777" w:rsidR="00B6205E" w:rsidRPr="00356B43" w:rsidRDefault="00B6205E" w:rsidP="00B6205E">
            <w:pPr>
              <w:spacing w:after="0" w:line="240" w:lineRule="auto"/>
              <w:jc w:val="both"/>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Identificação do Numero do Registro</w:t>
            </w:r>
          </w:p>
        </w:tc>
        <w:tc>
          <w:tcPr>
            <w:tcW w:w="1112" w:type="dxa"/>
            <w:tcBorders>
              <w:top w:val="nil"/>
              <w:left w:val="nil"/>
              <w:bottom w:val="single" w:sz="4" w:space="0" w:color="auto"/>
              <w:right w:val="single" w:sz="4" w:space="0" w:color="auto"/>
            </w:tcBorders>
            <w:shd w:val="clear" w:color="auto" w:fill="auto"/>
            <w:vAlign w:val="center"/>
            <w:hideMark/>
          </w:tcPr>
          <w:p w14:paraId="7454C328" w14:textId="77777777" w:rsidR="00B6205E" w:rsidRPr="00356B43" w:rsidRDefault="00B6205E" w:rsidP="00B6205E">
            <w:pPr>
              <w:spacing w:after="0" w:line="240" w:lineRule="auto"/>
              <w:jc w:val="center"/>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Inteiro</w:t>
            </w:r>
          </w:p>
        </w:tc>
        <w:tc>
          <w:tcPr>
            <w:tcW w:w="1298" w:type="dxa"/>
            <w:tcBorders>
              <w:top w:val="nil"/>
              <w:left w:val="nil"/>
              <w:bottom w:val="single" w:sz="4" w:space="0" w:color="auto"/>
              <w:right w:val="single" w:sz="4" w:space="0" w:color="auto"/>
            </w:tcBorders>
            <w:shd w:val="clear" w:color="auto" w:fill="auto"/>
            <w:vAlign w:val="center"/>
            <w:hideMark/>
          </w:tcPr>
          <w:p w14:paraId="72CFD774" w14:textId="77777777" w:rsidR="00B6205E" w:rsidRPr="00356B43" w:rsidRDefault="00B6205E" w:rsidP="00B6205E">
            <w:pPr>
              <w:spacing w:after="0" w:line="240" w:lineRule="auto"/>
              <w:jc w:val="center"/>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5</w:t>
            </w:r>
          </w:p>
        </w:tc>
        <w:tc>
          <w:tcPr>
            <w:tcW w:w="2835" w:type="dxa"/>
            <w:tcBorders>
              <w:top w:val="nil"/>
              <w:left w:val="nil"/>
              <w:bottom w:val="single" w:sz="4" w:space="0" w:color="auto"/>
              <w:right w:val="single" w:sz="4" w:space="0" w:color="auto"/>
            </w:tcBorders>
            <w:shd w:val="clear" w:color="auto" w:fill="auto"/>
            <w:vAlign w:val="center"/>
            <w:hideMark/>
          </w:tcPr>
          <w:p w14:paraId="2A897C25" w14:textId="77777777" w:rsidR="00B6205E" w:rsidRPr="00356B43" w:rsidRDefault="00B6205E" w:rsidP="00B6205E">
            <w:pPr>
              <w:spacing w:after="0" w:line="240" w:lineRule="auto"/>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Obrigatório</w:t>
            </w:r>
          </w:p>
        </w:tc>
      </w:tr>
      <w:tr w:rsidR="00356B43" w:rsidRPr="00356B43" w14:paraId="4EF9F083" w14:textId="77777777" w:rsidTr="0062211B">
        <w:trPr>
          <w:trHeight w:val="402"/>
        </w:trPr>
        <w:tc>
          <w:tcPr>
            <w:tcW w:w="4248" w:type="dxa"/>
            <w:tcBorders>
              <w:top w:val="nil"/>
              <w:left w:val="single" w:sz="4" w:space="0" w:color="auto"/>
              <w:bottom w:val="single" w:sz="4" w:space="0" w:color="auto"/>
              <w:right w:val="single" w:sz="4" w:space="0" w:color="auto"/>
            </w:tcBorders>
            <w:shd w:val="clear" w:color="auto" w:fill="auto"/>
            <w:vAlign w:val="center"/>
          </w:tcPr>
          <w:p w14:paraId="4284AD05" w14:textId="0099033E" w:rsidR="00356B43" w:rsidRPr="00356B43" w:rsidRDefault="00356B43" w:rsidP="00356B43">
            <w:pPr>
              <w:spacing w:after="0" w:line="240" w:lineRule="auto"/>
              <w:jc w:val="both"/>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Código da Unidade Gestora em que as Tomadas de Contas Especiais foram realizadas</w:t>
            </w:r>
          </w:p>
        </w:tc>
        <w:tc>
          <w:tcPr>
            <w:tcW w:w="1112" w:type="dxa"/>
            <w:tcBorders>
              <w:top w:val="nil"/>
              <w:left w:val="nil"/>
              <w:bottom w:val="single" w:sz="4" w:space="0" w:color="auto"/>
              <w:right w:val="single" w:sz="4" w:space="0" w:color="auto"/>
            </w:tcBorders>
            <w:shd w:val="clear" w:color="auto" w:fill="auto"/>
            <w:vAlign w:val="center"/>
          </w:tcPr>
          <w:p w14:paraId="76EE6FA8" w14:textId="091E00D9" w:rsidR="00356B43" w:rsidRPr="00356B43" w:rsidRDefault="00356B43" w:rsidP="00356B43">
            <w:pPr>
              <w:spacing w:after="0" w:line="240" w:lineRule="auto"/>
              <w:jc w:val="center"/>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Caracter</w:t>
            </w:r>
          </w:p>
        </w:tc>
        <w:tc>
          <w:tcPr>
            <w:tcW w:w="1298" w:type="dxa"/>
            <w:tcBorders>
              <w:top w:val="nil"/>
              <w:left w:val="nil"/>
              <w:bottom w:val="single" w:sz="4" w:space="0" w:color="auto"/>
              <w:right w:val="single" w:sz="4" w:space="0" w:color="auto"/>
            </w:tcBorders>
            <w:shd w:val="clear" w:color="auto" w:fill="auto"/>
            <w:vAlign w:val="center"/>
          </w:tcPr>
          <w:p w14:paraId="343E6DE1" w14:textId="5F133576" w:rsidR="00356B43" w:rsidRPr="00356B43" w:rsidRDefault="00356B43" w:rsidP="00356B43">
            <w:pPr>
              <w:spacing w:after="0" w:line="240" w:lineRule="auto"/>
              <w:jc w:val="center"/>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11</w:t>
            </w:r>
          </w:p>
        </w:tc>
        <w:tc>
          <w:tcPr>
            <w:tcW w:w="2835" w:type="dxa"/>
            <w:tcBorders>
              <w:top w:val="nil"/>
              <w:left w:val="nil"/>
              <w:bottom w:val="single" w:sz="4" w:space="0" w:color="auto"/>
              <w:right w:val="single" w:sz="4" w:space="0" w:color="auto"/>
            </w:tcBorders>
            <w:shd w:val="clear" w:color="auto" w:fill="auto"/>
            <w:vAlign w:val="center"/>
          </w:tcPr>
          <w:p w14:paraId="5A0A0F4D" w14:textId="7EF6D0C9" w:rsidR="00356B43" w:rsidRPr="00356B43" w:rsidRDefault="00356B43" w:rsidP="00356B43">
            <w:pPr>
              <w:spacing w:after="0" w:line="240" w:lineRule="auto"/>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Obrigatório</w:t>
            </w:r>
          </w:p>
        </w:tc>
      </w:tr>
      <w:tr w:rsidR="00356B43" w:rsidRPr="00356B43" w14:paraId="6582A6AE" w14:textId="77777777" w:rsidTr="0062211B">
        <w:trPr>
          <w:trHeight w:val="510"/>
        </w:trPr>
        <w:tc>
          <w:tcPr>
            <w:tcW w:w="4248" w:type="dxa"/>
            <w:tcBorders>
              <w:top w:val="nil"/>
              <w:left w:val="single" w:sz="4" w:space="0" w:color="auto"/>
              <w:bottom w:val="single" w:sz="4" w:space="0" w:color="auto"/>
              <w:right w:val="single" w:sz="4" w:space="0" w:color="auto"/>
            </w:tcBorders>
            <w:shd w:val="clear" w:color="auto" w:fill="auto"/>
            <w:vAlign w:val="center"/>
            <w:hideMark/>
          </w:tcPr>
          <w:p w14:paraId="15963097" w14:textId="748B33DE" w:rsidR="00356B43" w:rsidRPr="00356B43" w:rsidRDefault="00356B43" w:rsidP="00356B43">
            <w:pPr>
              <w:spacing w:after="0" w:line="240" w:lineRule="auto"/>
              <w:jc w:val="both"/>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Número do Processo Administrativo da Tomada de Contas Especial</w:t>
            </w:r>
          </w:p>
        </w:tc>
        <w:tc>
          <w:tcPr>
            <w:tcW w:w="1112" w:type="dxa"/>
            <w:tcBorders>
              <w:top w:val="nil"/>
              <w:left w:val="nil"/>
              <w:bottom w:val="single" w:sz="4" w:space="0" w:color="auto"/>
              <w:right w:val="single" w:sz="4" w:space="0" w:color="auto"/>
            </w:tcBorders>
            <w:shd w:val="clear" w:color="auto" w:fill="auto"/>
            <w:vAlign w:val="center"/>
            <w:hideMark/>
          </w:tcPr>
          <w:p w14:paraId="3DD2D51E" w14:textId="77777777" w:rsidR="00356B43" w:rsidRPr="00356B43" w:rsidRDefault="00356B43" w:rsidP="00356B43">
            <w:pPr>
              <w:spacing w:after="0" w:line="240" w:lineRule="auto"/>
              <w:jc w:val="center"/>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Caracter</w:t>
            </w:r>
          </w:p>
        </w:tc>
        <w:tc>
          <w:tcPr>
            <w:tcW w:w="1298" w:type="dxa"/>
            <w:tcBorders>
              <w:top w:val="nil"/>
              <w:left w:val="nil"/>
              <w:bottom w:val="single" w:sz="4" w:space="0" w:color="auto"/>
              <w:right w:val="single" w:sz="4" w:space="0" w:color="auto"/>
            </w:tcBorders>
            <w:shd w:val="clear" w:color="auto" w:fill="auto"/>
            <w:vAlign w:val="center"/>
            <w:hideMark/>
          </w:tcPr>
          <w:p w14:paraId="5C46A595" w14:textId="77777777" w:rsidR="00356B43" w:rsidRPr="00356B43" w:rsidRDefault="00356B43" w:rsidP="00356B43">
            <w:pPr>
              <w:spacing w:after="0" w:line="240" w:lineRule="auto"/>
              <w:jc w:val="center"/>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16</w:t>
            </w:r>
          </w:p>
        </w:tc>
        <w:tc>
          <w:tcPr>
            <w:tcW w:w="2835" w:type="dxa"/>
            <w:tcBorders>
              <w:top w:val="nil"/>
              <w:left w:val="nil"/>
              <w:bottom w:val="single" w:sz="4" w:space="0" w:color="auto"/>
              <w:right w:val="single" w:sz="4" w:space="0" w:color="auto"/>
            </w:tcBorders>
            <w:shd w:val="clear" w:color="auto" w:fill="auto"/>
            <w:vAlign w:val="center"/>
            <w:hideMark/>
          </w:tcPr>
          <w:p w14:paraId="1D4B1C20" w14:textId="77777777" w:rsidR="00356B43" w:rsidRPr="00356B43" w:rsidRDefault="00356B43" w:rsidP="00356B43">
            <w:pPr>
              <w:spacing w:after="0" w:line="240" w:lineRule="auto"/>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Obrigatório</w:t>
            </w:r>
          </w:p>
        </w:tc>
      </w:tr>
      <w:tr w:rsidR="00356B43" w:rsidRPr="00356B43" w14:paraId="03160899" w14:textId="77777777" w:rsidTr="003261DE">
        <w:trPr>
          <w:trHeight w:val="510"/>
        </w:trPr>
        <w:tc>
          <w:tcPr>
            <w:tcW w:w="4248" w:type="dxa"/>
            <w:tcBorders>
              <w:top w:val="nil"/>
              <w:left w:val="single" w:sz="4" w:space="0" w:color="auto"/>
              <w:bottom w:val="single" w:sz="4" w:space="0" w:color="auto"/>
              <w:right w:val="single" w:sz="4" w:space="0" w:color="auto"/>
            </w:tcBorders>
            <w:shd w:val="clear" w:color="auto" w:fill="auto"/>
            <w:vAlign w:val="center"/>
            <w:hideMark/>
          </w:tcPr>
          <w:p w14:paraId="60413DBF" w14:textId="77777777" w:rsidR="00356B43" w:rsidRPr="00356B43" w:rsidRDefault="00356B43" w:rsidP="00356B43">
            <w:pPr>
              <w:spacing w:after="0" w:line="240" w:lineRule="auto"/>
              <w:jc w:val="both"/>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Ano do Processo Administrativo da Tomada de Contas Especial</w:t>
            </w:r>
          </w:p>
        </w:tc>
        <w:tc>
          <w:tcPr>
            <w:tcW w:w="1112" w:type="dxa"/>
            <w:tcBorders>
              <w:top w:val="nil"/>
              <w:left w:val="nil"/>
              <w:bottom w:val="single" w:sz="4" w:space="0" w:color="auto"/>
              <w:right w:val="single" w:sz="4" w:space="0" w:color="auto"/>
            </w:tcBorders>
            <w:shd w:val="clear" w:color="auto" w:fill="auto"/>
            <w:vAlign w:val="center"/>
            <w:hideMark/>
          </w:tcPr>
          <w:p w14:paraId="41EAAEBD" w14:textId="77777777" w:rsidR="00356B43" w:rsidRPr="00356B43" w:rsidRDefault="00356B43" w:rsidP="00356B43">
            <w:pPr>
              <w:spacing w:after="0" w:line="240" w:lineRule="auto"/>
              <w:jc w:val="center"/>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Inteiro</w:t>
            </w:r>
          </w:p>
        </w:tc>
        <w:tc>
          <w:tcPr>
            <w:tcW w:w="1298" w:type="dxa"/>
            <w:tcBorders>
              <w:top w:val="nil"/>
              <w:left w:val="nil"/>
              <w:bottom w:val="single" w:sz="4" w:space="0" w:color="auto"/>
              <w:right w:val="single" w:sz="4" w:space="0" w:color="auto"/>
            </w:tcBorders>
            <w:shd w:val="clear" w:color="auto" w:fill="auto"/>
            <w:vAlign w:val="center"/>
            <w:hideMark/>
          </w:tcPr>
          <w:p w14:paraId="633E6725" w14:textId="77777777" w:rsidR="00356B43" w:rsidRPr="00356B43" w:rsidRDefault="00356B43" w:rsidP="00356B43">
            <w:pPr>
              <w:spacing w:after="0" w:line="240" w:lineRule="auto"/>
              <w:jc w:val="center"/>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4</w:t>
            </w:r>
          </w:p>
        </w:tc>
        <w:tc>
          <w:tcPr>
            <w:tcW w:w="2835" w:type="dxa"/>
            <w:tcBorders>
              <w:top w:val="nil"/>
              <w:left w:val="nil"/>
              <w:bottom w:val="single" w:sz="4" w:space="0" w:color="auto"/>
              <w:right w:val="single" w:sz="4" w:space="0" w:color="auto"/>
            </w:tcBorders>
            <w:shd w:val="clear" w:color="auto" w:fill="auto"/>
            <w:vAlign w:val="center"/>
            <w:hideMark/>
          </w:tcPr>
          <w:p w14:paraId="6C07D227" w14:textId="77777777" w:rsidR="00356B43" w:rsidRPr="00356B43" w:rsidRDefault="00356B43" w:rsidP="00356B43">
            <w:pPr>
              <w:spacing w:after="0" w:line="240" w:lineRule="auto"/>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Obrigatório, AAAA</w:t>
            </w:r>
          </w:p>
        </w:tc>
      </w:tr>
      <w:tr w:rsidR="00356B43" w:rsidRPr="00356B43" w14:paraId="5F9AC0C7" w14:textId="77777777" w:rsidTr="003261DE">
        <w:trPr>
          <w:trHeight w:val="6885"/>
        </w:trPr>
        <w:tc>
          <w:tcPr>
            <w:tcW w:w="42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5494BE" w14:textId="77777777" w:rsidR="00356B43" w:rsidRPr="00356B43" w:rsidRDefault="00356B43" w:rsidP="00356B43">
            <w:pPr>
              <w:spacing w:after="0" w:line="240" w:lineRule="auto"/>
              <w:jc w:val="both"/>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lastRenderedPageBreak/>
              <w:t>Fatos motivadores para a Instauração da Tomada de Contas Especial</w:t>
            </w:r>
          </w:p>
        </w:tc>
        <w:tc>
          <w:tcPr>
            <w:tcW w:w="1112" w:type="dxa"/>
            <w:tcBorders>
              <w:top w:val="single" w:sz="4" w:space="0" w:color="auto"/>
              <w:left w:val="nil"/>
              <w:bottom w:val="single" w:sz="4" w:space="0" w:color="auto"/>
              <w:right w:val="single" w:sz="4" w:space="0" w:color="auto"/>
            </w:tcBorders>
            <w:shd w:val="clear" w:color="auto" w:fill="auto"/>
            <w:vAlign w:val="center"/>
            <w:hideMark/>
          </w:tcPr>
          <w:p w14:paraId="6ADB41F2" w14:textId="77777777" w:rsidR="00356B43" w:rsidRPr="00356B43" w:rsidRDefault="00356B43" w:rsidP="00356B43">
            <w:pPr>
              <w:spacing w:after="0" w:line="240" w:lineRule="auto"/>
              <w:jc w:val="center"/>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Inteiro</w:t>
            </w:r>
          </w:p>
        </w:tc>
        <w:tc>
          <w:tcPr>
            <w:tcW w:w="1298" w:type="dxa"/>
            <w:tcBorders>
              <w:top w:val="single" w:sz="4" w:space="0" w:color="auto"/>
              <w:left w:val="nil"/>
              <w:bottom w:val="single" w:sz="4" w:space="0" w:color="auto"/>
              <w:right w:val="nil"/>
            </w:tcBorders>
            <w:shd w:val="clear" w:color="auto" w:fill="auto"/>
            <w:vAlign w:val="center"/>
            <w:hideMark/>
          </w:tcPr>
          <w:p w14:paraId="787DDAAB" w14:textId="77777777" w:rsidR="00356B43" w:rsidRPr="00356B43" w:rsidRDefault="00356B43" w:rsidP="00356B43">
            <w:pPr>
              <w:spacing w:after="0" w:line="240" w:lineRule="auto"/>
              <w:jc w:val="center"/>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1</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1E6F4B4" w14:textId="77777777" w:rsidR="00356B43" w:rsidRPr="00356B43" w:rsidRDefault="00356B43" w:rsidP="00356B43">
            <w:pPr>
              <w:spacing w:after="0" w:line="240" w:lineRule="auto"/>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Obrigatório</w:t>
            </w:r>
          </w:p>
          <w:p w14:paraId="5D568BD7" w14:textId="5C3FAD44" w:rsidR="00356B43" w:rsidRPr="00356B43" w:rsidRDefault="00356B43" w:rsidP="00356B43">
            <w:pPr>
              <w:spacing w:after="0" w:line="240" w:lineRule="auto"/>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br/>
              <w:t>1 - Omissão no dever de prestar contas ou a não comprovação da correta aplicação de recursos repassados mediante convênio, contrato de repasse, ou instrumento congênere;</w:t>
            </w:r>
          </w:p>
          <w:p w14:paraId="7ACC8CF8" w14:textId="77777777" w:rsidR="00356B43" w:rsidRPr="00356B43" w:rsidRDefault="00356B43" w:rsidP="00356B43">
            <w:pPr>
              <w:spacing w:after="0" w:line="240" w:lineRule="auto"/>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br/>
              <w:t>2 - Ocorrência de desfalque, alcance, desvio, desaparecimento de dinheiro, bens ou valores públicos;</w:t>
            </w:r>
          </w:p>
          <w:p w14:paraId="5021A7C1" w14:textId="77777777" w:rsidR="00356B43" w:rsidRPr="00356B43" w:rsidRDefault="00356B43" w:rsidP="00356B43">
            <w:pPr>
              <w:spacing w:after="0" w:line="240" w:lineRule="auto"/>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br/>
              <w:t>3 - Ocorrência de extravio, perda, subtração ou deterioração culposa ou dolosa de valores e bens;</w:t>
            </w:r>
          </w:p>
          <w:p w14:paraId="074D7E16" w14:textId="77777777" w:rsidR="00356B43" w:rsidRPr="00356B43" w:rsidRDefault="00356B43" w:rsidP="00356B43">
            <w:pPr>
              <w:spacing w:after="0" w:line="240" w:lineRule="auto"/>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br/>
              <w:t>4 - Prática de ato ilegal, ilegítimo ou antieconômico de que resulte dano ao erário;</w:t>
            </w:r>
          </w:p>
          <w:p w14:paraId="0F3AD8C5" w14:textId="362D6A22" w:rsidR="00356B43" w:rsidRPr="00356B43" w:rsidRDefault="00356B43" w:rsidP="00356B43">
            <w:pPr>
              <w:spacing w:after="0" w:line="240" w:lineRule="auto"/>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br/>
              <w:t>5 - Concessão irregular de quaisquer benefícios fiscais ou de renúncia de receitas de que resulte dano ao erário.</w:t>
            </w:r>
          </w:p>
        </w:tc>
      </w:tr>
      <w:tr w:rsidR="00356B43" w:rsidRPr="00356B43" w14:paraId="7DF2D28A" w14:textId="77777777" w:rsidTr="0062211B">
        <w:trPr>
          <w:trHeight w:val="765"/>
        </w:trPr>
        <w:tc>
          <w:tcPr>
            <w:tcW w:w="42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E26982" w14:textId="77777777" w:rsidR="00356B43" w:rsidRPr="00356B43" w:rsidRDefault="00356B43" w:rsidP="00356B43">
            <w:pPr>
              <w:spacing w:after="0" w:line="240" w:lineRule="auto"/>
              <w:jc w:val="both"/>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Data do evento ou, quando desconhecida, da data da ciência do fato pela autoridade competente (Inciso I, do art. 2º da IN 32/2014).</w:t>
            </w:r>
          </w:p>
        </w:tc>
        <w:tc>
          <w:tcPr>
            <w:tcW w:w="1112" w:type="dxa"/>
            <w:tcBorders>
              <w:top w:val="single" w:sz="4" w:space="0" w:color="auto"/>
              <w:left w:val="nil"/>
              <w:bottom w:val="single" w:sz="4" w:space="0" w:color="auto"/>
              <w:right w:val="single" w:sz="4" w:space="0" w:color="auto"/>
            </w:tcBorders>
            <w:shd w:val="clear" w:color="auto" w:fill="auto"/>
            <w:vAlign w:val="center"/>
            <w:hideMark/>
          </w:tcPr>
          <w:p w14:paraId="5EF68A8C" w14:textId="77777777" w:rsidR="00356B43" w:rsidRPr="00356B43" w:rsidRDefault="00356B43" w:rsidP="00356B43">
            <w:pPr>
              <w:spacing w:after="0" w:line="240" w:lineRule="auto"/>
              <w:jc w:val="center"/>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Data</w:t>
            </w:r>
          </w:p>
        </w:tc>
        <w:tc>
          <w:tcPr>
            <w:tcW w:w="1298" w:type="dxa"/>
            <w:tcBorders>
              <w:top w:val="single" w:sz="4" w:space="0" w:color="auto"/>
              <w:left w:val="nil"/>
              <w:bottom w:val="single" w:sz="4" w:space="0" w:color="auto"/>
              <w:right w:val="single" w:sz="4" w:space="0" w:color="auto"/>
            </w:tcBorders>
            <w:shd w:val="clear" w:color="auto" w:fill="auto"/>
            <w:vAlign w:val="center"/>
            <w:hideMark/>
          </w:tcPr>
          <w:p w14:paraId="332E1366" w14:textId="77777777" w:rsidR="00356B43" w:rsidRPr="00356B43" w:rsidRDefault="00356B43" w:rsidP="00356B43">
            <w:pPr>
              <w:spacing w:after="0" w:line="240" w:lineRule="auto"/>
              <w:jc w:val="center"/>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10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09AAF12C" w14:textId="77777777" w:rsidR="00356B43" w:rsidRPr="00356B43" w:rsidRDefault="00356B43" w:rsidP="00356B43">
            <w:pPr>
              <w:spacing w:after="0" w:line="240" w:lineRule="auto"/>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Obrigatório, AAAA-MM-DD</w:t>
            </w:r>
          </w:p>
        </w:tc>
      </w:tr>
      <w:tr w:rsidR="00356B43" w:rsidRPr="00356B43" w14:paraId="1016ACEB" w14:textId="77777777" w:rsidTr="0062211B">
        <w:trPr>
          <w:trHeight w:val="510"/>
        </w:trPr>
        <w:tc>
          <w:tcPr>
            <w:tcW w:w="4248" w:type="dxa"/>
            <w:tcBorders>
              <w:top w:val="nil"/>
              <w:left w:val="single" w:sz="4" w:space="0" w:color="auto"/>
              <w:bottom w:val="single" w:sz="4" w:space="0" w:color="auto"/>
              <w:right w:val="single" w:sz="4" w:space="0" w:color="auto"/>
            </w:tcBorders>
            <w:shd w:val="clear" w:color="auto" w:fill="auto"/>
            <w:vAlign w:val="center"/>
            <w:hideMark/>
          </w:tcPr>
          <w:p w14:paraId="6783E2C1" w14:textId="77777777" w:rsidR="00356B43" w:rsidRPr="00356B43" w:rsidRDefault="00356B43" w:rsidP="00356B43">
            <w:pPr>
              <w:spacing w:after="0" w:line="240" w:lineRule="auto"/>
              <w:jc w:val="both"/>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Data de Instauração da Tomada de Contas Especial</w:t>
            </w:r>
          </w:p>
        </w:tc>
        <w:tc>
          <w:tcPr>
            <w:tcW w:w="1112" w:type="dxa"/>
            <w:tcBorders>
              <w:top w:val="nil"/>
              <w:left w:val="nil"/>
              <w:bottom w:val="single" w:sz="4" w:space="0" w:color="auto"/>
              <w:right w:val="single" w:sz="4" w:space="0" w:color="auto"/>
            </w:tcBorders>
            <w:shd w:val="clear" w:color="auto" w:fill="auto"/>
            <w:vAlign w:val="center"/>
            <w:hideMark/>
          </w:tcPr>
          <w:p w14:paraId="499EF23C" w14:textId="77777777" w:rsidR="00356B43" w:rsidRPr="00356B43" w:rsidRDefault="00356B43" w:rsidP="00356B43">
            <w:pPr>
              <w:spacing w:after="0" w:line="240" w:lineRule="auto"/>
              <w:jc w:val="center"/>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Data</w:t>
            </w:r>
          </w:p>
        </w:tc>
        <w:tc>
          <w:tcPr>
            <w:tcW w:w="1298" w:type="dxa"/>
            <w:tcBorders>
              <w:top w:val="nil"/>
              <w:left w:val="nil"/>
              <w:bottom w:val="single" w:sz="4" w:space="0" w:color="auto"/>
              <w:right w:val="single" w:sz="4" w:space="0" w:color="auto"/>
            </w:tcBorders>
            <w:shd w:val="clear" w:color="auto" w:fill="auto"/>
            <w:vAlign w:val="center"/>
            <w:hideMark/>
          </w:tcPr>
          <w:p w14:paraId="71BFC5C1" w14:textId="77777777" w:rsidR="00356B43" w:rsidRPr="00356B43" w:rsidRDefault="00356B43" w:rsidP="00356B43">
            <w:pPr>
              <w:spacing w:after="0" w:line="240" w:lineRule="auto"/>
              <w:jc w:val="center"/>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10</w:t>
            </w:r>
          </w:p>
        </w:tc>
        <w:tc>
          <w:tcPr>
            <w:tcW w:w="2835" w:type="dxa"/>
            <w:tcBorders>
              <w:top w:val="nil"/>
              <w:left w:val="nil"/>
              <w:bottom w:val="single" w:sz="4" w:space="0" w:color="auto"/>
              <w:right w:val="single" w:sz="4" w:space="0" w:color="auto"/>
            </w:tcBorders>
            <w:shd w:val="clear" w:color="auto" w:fill="auto"/>
            <w:vAlign w:val="center"/>
            <w:hideMark/>
          </w:tcPr>
          <w:p w14:paraId="651274C6" w14:textId="77777777" w:rsidR="00356B43" w:rsidRPr="00356B43" w:rsidRDefault="00356B43" w:rsidP="00356B43">
            <w:pPr>
              <w:spacing w:after="0" w:line="240" w:lineRule="auto"/>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Obrigatório, AAAA-MM-DD</w:t>
            </w:r>
          </w:p>
        </w:tc>
      </w:tr>
      <w:tr w:rsidR="00356B43" w:rsidRPr="00356B43" w14:paraId="30B0C675" w14:textId="77777777" w:rsidTr="0062211B">
        <w:trPr>
          <w:trHeight w:val="510"/>
        </w:trPr>
        <w:tc>
          <w:tcPr>
            <w:tcW w:w="4248" w:type="dxa"/>
            <w:tcBorders>
              <w:top w:val="nil"/>
              <w:left w:val="single" w:sz="4" w:space="0" w:color="auto"/>
              <w:bottom w:val="single" w:sz="4" w:space="0" w:color="auto"/>
              <w:right w:val="single" w:sz="4" w:space="0" w:color="auto"/>
            </w:tcBorders>
            <w:shd w:val="clear" w:color="auto" w:fill="auto"/>
            <w:vAlign w:val="center"/>
            <w:hideMark/>
          </w:tcPr>
          <w:p w14:paraId="50F476CE" w14:textId="77777777" w:rsidR="00356B43" w:rsidRPr="00356B43" w:rsidRDefault="00356B43" w:rsidP="00356B43">
            <w:pPr>
              <w:spacing w:after="0" w:line="240" w:lineRule="auto"/>
              <w:jc w:val="both"/>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Data de Envio ao TCEES da Tomada de Contas Especial</w:t>
            </w:r>
          </w:p>
        </w:tc>
        <w:tc>
          <w:tcPr>
            <w:tcW w:w="1112" w:type="dxa"/>
            <w:tcBorders>
              <w:top w:val="nil"/>
              <w:left w:val="nil"/>
              <w:bottom w:val="single" w:sz="4" w:space="0" w:color="auto"/>
              <w:right w:val="single" w:sz="4" w:space="0" w:color="auto"/>
            </w:tcBorders>
            <w:shd w:val="clear" w:color="auto" w:fill="auto"/>
            <w:vAlign w:val="center"/>
            <w:hideMark/>
          </w:tcPr>
          <w:p w14:paraId="4D7EA8F5" w14:textId="77777777" w:rsidR="00356B43" w:rsidRPr="00356B43" w:rsidRDefault="00356B43" w:rsidP="00356B43">
            <w:pPr>
              <w:spacing w:after="0" w:line="240" w:lineRule="auto"/>
              <w:jc w:val="center"/>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Data</w:t>
            </w:r>
          </w:p>
        </w:tc>
        <w:tc>
          <w:tcPr>
            <w:tcW w:w="1298" w:type="dxa"/>
            <w:tcBorders>
              <w:top w:val="nil"/>
              <w:left w:val="nil"/>
              <w:bottom w:val="single" w:sz="4" w:space="0" w:color="auto"/>
              <w:right w:val="single" w:sz="4" w:space="0" w:color="auto"/>
            </w:tcBorders>
            <w:shd w:val="clear" w:color="auto" w:fill="auto"/>
            <w:vAlign w:val="center"/>
            <w:hideMark/>
          </w:tcPr>
          <w:p w14:paraId="0F249CF8" w14:textId="77777777" w:rsidR="00356B43" w:rsidRPr="00356B43" w:rsidRDefault="00356B43" w:rsidP="00356B43">
            <w:pPr>
              <w:spacing w:after="0" w:line="240" w:lineRule="auto"/>
              <w:jc w:val="center"/>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10</w:t>
            </w:r>
          </w:p>
        </w:tc>
        <w:tc>
          <w:tcPr>
            <w:tcW w:w="2835" w:type="dxa"/>
            <w:tcBorders>
              <w:top w:val="nil"/>
              <w:left w:val="nil"/>
              <w:bottom w:val="single" w:sz="4" w:space="0" w:color="auto"/>
              <w:right w:val="single" w:sz="4" w:space="0" w:color="auto"/>
            </w:tcBorders>
            <w:shd w:val="clear" w:color="auto" w:fill="auto"/>
            <w:vAlign w:val="center"/>
            <w:hideMark/>
          </w:tcPr>
          <w:p w14:paraId="0AA68108" w14:textId="77777777" w:rsidR="00356B43" w:rsidRPr="00356B43" w:rsidRDefault="00356B43" w:rsidP="00356B43">
            <w:pPr>
              <w:spacing w:after="0" w:line="240" w:lineRule="auto"/>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Opcional, AAAA-MM-DD</w:t>
            </w:r>
          </w:p>
        </w:tc>
      </w:tr>
      <w:tr w:rsidR="00356B43" w:rsidRPr="00356B43" w14:paraId="077985E6" w14:textId="77777777" w:rsidTr="0062211B">
        <w:trPr>
          <w:trHeight w:val="402"/>
        </w:trPr>
        <w:tc>
          <w:tcPr>
            <w:tcW w:w="4248" w:type="dxa"/>
            <w:tcBorders>
              <w:top w:val="nil"/>
              <w:left w:val="single" w:sz="4" w:space="0" w:color="auto"/>
              <w:bottom w:val="single" w:sz="4" w:space="0" w:color="auto"/>
              <w:right w:val="single" w:sz="4" w:space="0" w:color="auto"/>
            </w:tcBorders>
            <w:shd w:val="clear" w:color="auto" w:fill="auto"/>
            <w:vAlign w:val="center"/>
            <w:hideMark/>
          </w:tcPr>
          <w:p w14:paraId="08BA32FA" w14:textId="77777777" w:rsidR="00356B43" w:rsidRPr="00356B43" w:rsidRDefault="00356B43" w:rsidP="00356B43">
            <w:pPr>
              <w:spacing w:after="0" w:line="240" w:lineRule="auto"/>
              <w:jc w:val="both"/>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Valor Original do Débito</w:t>
            </w:r>
          </w:p>
        </w:tc>
        <w:tc>
          <w:tcPr>
            <w:tcW w:w="1112" w:type="dxa"/>
            <w:tcBorders>
              <w:top w:val="nil"/>
              <w:left w:val="nil"/>
              <w:bottom w:val="single" w:sz="4" w:space="0" w:color="auto"/>
              <w:right w:val="single" w:sz="4" w:space="0" w:color="auto"/>
            </w:tcBorders>
            <w:shd w:val="clear" w:color="auto" w:fill="auto"/>
            <w:vAlign w:val="center"/>
            <w:hideMark/>
          </w:tcPr>
          <w:p w14:paraId="6A424456" w14:textId="77777777" w:rsidR="00356B43" w:rsidRPr="00356B43" w:rsidRDefault="00356B43" w:rsidP="00356B43">
            <w:pPr>
              <w:spacing w:after="0" w:line="240" w:lineRule="auto"/>
              <w:jc w:val="center"/>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Decimal</w:t>
            </w:r>
          </w:p>
        </w:tc>
        <w:tc>
          <w:tcPr>
            <w:tcW w:w="1298" w:type="dxa"/>
            <w:tcBorders>
              <w:top w:val="nil"/>
              <w:left w:val="nil"/>
              <w:bottom w:val="single" w:sz="4" w:space="0" w:color="auto"/>
              <w:right w:val="single" w:sz="4" w:space="0" w:color="auto"/>
            </w:tcBorders>
            <w:shd w:val="clear" w:color="auto" w:fill="auto"/>
            <w:vAlign w:val="center"/>
            <w:hideMark/>
          </w:tcPr>
          <w:p w14:paraId="0B4474D5" w14:textId="77777777" w:rsidR="00356B43" w:rsidRPr="00356B43" w:rsidRDefault="00356B43" w:rsidP="00356B43">
            <w:pPr>
              <w:spacing w:after="0" w:line="240" w:lineRule="auto"/>
              <w:jc w:val="center"/>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14,2</w:t>
            </w:r>
          </w:p>
        </w:tc>
        <w:tc>
          <w:tcPr>
            <w:tcW w:w="2835" w:type="dxa"/>
            <w:tcBorders>
              <w:top w:val="nil"/>
              <w:left w:val="nil"/>
              <w:bottom w:val="nil"/>
              <w:right w:val="single" w:sz="4" w:space="0" w:color="auto"/>
            </w:tcBorders>
            <w:shd w:val="clear" w:color="auto" w:fill="auto"/>
            <w:vAlign w:val="center"/>
            <w:hideMark/>
          </w:tcPr>
          <w:p w14:paraId="5C42BDD5" w14:textId="77777777" w:rsidR="00356B43" w:rsidRPr="00356B43" w:rsidRDefault="00356B43" w:rsidP="00356B43">
            <w:pPr>
              <w:spacing w:after="0" w:line="240" w:lineRule="auto"/>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Obrigatório</w:t>
            </w:r>
          </w:p>
        </w:tc>
      </w:tr>
      <w:tr w:rsidR="00356B43" w:rsidRPr="00356B43" w14:paraId="7602B548" w14:textId="77777777" w:rsidTr="0062211B">
        <w:trPr>
          <w:trHeight w:val="2550"/>
        </w:trPr>
        <w:tc>
          <w:tcPr>
            <w:tcW w:w="4248" w:type="dxa"/>
            <w:tcBorders>
              <w:top w:val="nil"/>
              <w:left w:val="single" w:sz="4" w:space="0" w:color="auto"/>
              <w:bottom w:val="single" w:sz="4" w:space="0" w:color="auto"/>
              <w:right w:val="single" w:sz="4" w:space="0" w:color="auto"/>
            </w:tcBorders>
            <w:shd w:val="clear" w:color="auto" w:fill="auto"/>
            <w:vAlign w:val="center"/>
            <w:hideMark/>
          </w:tcPr>
          <w:p w14:paraId="5C128326" w14:textId="77777777" w:rsidR="00356B43" w:rsidRPr="00356B43" w:rsidRDefault="00356B43" w:rsidP="00356B43">
            <w:pPr>
              <w:spacing w:after="0" w:line="240" w:lineRule="auto"/>
              <w:jc w:val="both"/>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Situação da Tomada de Contas Especial em 31 de dezembro do Exercício referência da Prestação de Contas Anual</w:t>
            </w:r>
          </w:p>
        </w:tc>
        <w:tc>
          <w:tcPr>
            <w:tcW w:w="1112" w:type="dxa"/>
            <w:tcBorders>
              <w:top w:val="nil"/>
              <w:left w:val="nil"/>
              <w:bottom w:val="single" w:sz="4" w:space="0" w:color="auto"/>
              <w:right w:val="single" w:sz="4" w:space="0" w:color="auto"/>
            </w:tcBorders>
            <w:shd w:val="clear" w:color="auto" w:fill="auto"/>
            <w:vAlign w:val="center"/>
            <w:hideMark/>
          </w:tcPr>
          <w:p w14:paraId="4D3E244B" w14:textId="77777777" w:rsidR="00356B43" w:rsidRPr="00356B43" w:rsidRDefault="00356B43" w:rsidP="00356B43">
            <w:pPr>
              <w:spacing w:after="0" w:line="240" w:lineRule="auto"/>
              <w:jc w:val="center"/>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Inteiro</w:t>
            </w:r>
          </w:p>
        </w:tc>
        <w:tc>
          <w:tcPr>
            <w:tcW w:w="1298" w:type="dxa"/>
            <w:tcBorders>
              <w:top w:val="nil"/>
              <w:left w:val="nil"/>
              <w:bottom w:val="single" w:sz="4" w:space="0" w:color="auto"/>
              <w:right w:val="nil"/>
            </w:tcBorders>
            <w:shd w:val="clear" w:color="auto" w:fill="auto"/>
            <w:vAlign w:val="center"/>
            <w:hideMark/>
          </w:tcPr>
          <w:p w14:paraId="640322C4" w14:textId="77777777" w:rsidR="00356B43" w:rsidRPr="00356B43" w:rsidRDefault="00356B43" w:rsidP="00356B43">
            <w:pPr>
              <w:spacing w:after="0" w:line="240" w:lineRule="auto"/>
              <w:jc w:val="center"/>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1</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55E9891" w14:textId="77777777" w:rsidR="00356B43" w:rsidRPr="00356B43" w:rsidRDefault="00356B43" w:rsidP="00356B43">
            <w:pPr>
              <w:spacing w:after="0" w:line="240" w:lineRule="auto"/>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Obrigatório</w:t>
            </w:r>
            <w:r w:rsidRPr="00356B43">
              <w:rPr>
                <w:rFonts w:ascii="Arial" w:eastAsia="Times New Roman" w:hAnsi="Arial" w:cs="Arial"/>
                <w:color w:val="0070C0"/>
                <w:sz w:val="20"/>
                <w:szCs w:val="20"/>
                <w:lang w:eastAsia="pt-BR"/>
              </w:rPr>
              <w:br/>
              <w:t>1 - Em instrução dentro do prazo;</w:t>
            </w:r>
          </w:p>
          <w:p w14:paraId="3C232CC6" w14:textId="77777777" w:rsidR="00356B43" w:rsidRPr="00356B43" w:rsidRDefault="00356B43" w:rsidP="00356B43">
            <w:pPr>
              <w:spacing w:after="0" w:line="240" w:lineRule="auto"/>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br/>
              <w:t>2 - Em instrução fora do prazo;</w:t>
            </w:r>
          </w:p>
          <w:p w14:paraId="4DB345E2" w14:textId="77777777" w:rsidR="00356B43" w:rsidRPr="00356B43" w:rsidRDefault="00356B43" w:rsidP="00356B43">
            <w:pPr>
              <w:spacing w:after="0" w:line="240" w:lineRule="auto"/>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br/>
              <w:t>3 - Em complementação de informações determinada pelo Tribunal de Contas;</w:t>
            </w:r>
          </w:p>
          <w:p w14:paraId="6759AB04" w14:textId="2C798A16" w:rsidR="00356B43" w:rsidRPr="00356B43" w:rsidRDefault="00356B43" w:rsidP="00356B43">
            <w:pPr>
              <w:spacing w:after="0" w:line="240" w:lineRule="auto"/>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br/>
              <w:t>4 - Finalizada;</w:t>
            </w:r>
          </w:p>
        </w:tc>
      </w:tr>
      <w:tr w:rsidR="00356B43" w:rsidRPr="00356B43" w14:paraId="10FED5F4" w14:textId="77777777" w:rsidTr="0062211B">
        <w:trPr>
          <w:trHeight w:val="5100"/>
        </w:trPr>
        <w:tc>
          <w:tcPr>
            <w:tcW w:w="42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F17C85" w14:textId="77777777" w:rsidR="00356B43" w:rsidRPr="00356B43" w:rsidRDefault="00356B43" w:rsidP="00356B43">
            <w:pPr>
              <w:spacing w:after="0" w:line="240" w:lineRule="auto"/>
              <w:jc w:val="both"/>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lastRenderedPageBreak/>
              <w:t>Motivo da Baixa da Responsabilidade pelo Débito</w:t>
            </w:r>
          </w:p>
        </w:tc>
        <w:tc>
          <w:tcPr>
            <w:tcW w:w="1112" w:type="dxa"/>
            <w:tcBorders>
              <w:top w:val="single" w:sz="4" w:space="0" w:color="auto"/>
              <w:left w:val="nil"/>
              <w:bottom w:val="single" w:sz="4" w:space="0" w:color="auto"/>
              <w:right w:val="single" w:sz="4" w:space="0" w:color="auto"/>
            </w:tcBorders>
            <w:shd w:val="clear" w:color="auto" w:fill="auto"/>
            <w:vAlign w:val="center"/>
            <w:hideMark/>
          </w:tcPr>
          <w:p w14:paraId="2B42F3C7" w14:textId="77777777" w:rsidR="00356B43" w:rsidRPr="00356B43" w:rsidRDefault="00356B43" w:rsidP="00356B43">
            <w:pPr>
              <w:spacing w:after="0" w:line="240" w:lineRule="auto"/>
              <w:jc w:val="center"/>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Inteiro</w:t>
            </w:r>
          </w:p>
        </w:tc>
        <w:tc>
          <w:tcPr>
            <w:tcW w:w="1298" w:type="dxa"/>
            <w:tcBorders>
              <w:top w:val="single" w:sz="4" w:space="0" w:color="auto"/>
              <w:left w:val="nil"/>
              <w:bottom w:val="single" w:sz="4" w:space="0" w:color="auto"/>
              <w:right w:val="nil"/>
            </w:tcBorders>
            <w:shd w:val="clear" w:color="auto" w:fill="auto"/>
            <w:vAlign w:val="center"/>
            <w:hideMark/>
          </w:tcPr>
          <w:p w14:paraId="428EDDA1" w14:textId="77777777" w:rsidR="00356B43" w:rsidRPr="00356B43" w:rsidRDefault="00356B43" w:rsidP="00356B43">
            <w:pPr>
              <w:spacing w:after="0" w:line="240" w:lineRule="auto"/>
              <w:jc w:val="center"/>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1</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0F3456C" w14:textId="77777777" w:rsidR="00356B43" w:rsidRPr="00356B43" w:rsidRDefault="00356B43" w:rsidP="00356B43">
            <w:pPr>
              <w:spacing w:after="0" w:line="240" w:lineRule="auto"/>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t>Obrigatório</w:t>
            </w:r>
          </w:p>
          <w:p w14:paraId="43B9AC8E" w14:textId="77777777" w:rsidR="00356B43" w:rsidRPr="00356B43" w:rsidRDefault="00356B43" w:rsidP="00356B43">
            <w:pPr>
              <w:spacing w:after="0" w:line="240" w:lineRule="auto"/>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br/>
              <w:t>1 - Elisão da responsabilidade pelo dano inicialmente imputada ao responsável;</w:t>
            </w:r>
          </w:p>
          <w:p w14:paraId="1B473A9E" w14:textId="77777777" w:rsidR="00356B43" w:rsidRPr="00356B43" w:rsidRDefault="00356B43" w:rsidP="00356B43">
            <w:pPr>
              <w:spacing w:after="0" w:line="240" w:lineRule="auto"/>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br/>
              <w:t>2 - Ausência de comprovação do dano;</w:t>
            </w:r>
          </w:p>
          <w:p w14:paraId="27BC6682" w14:textId="77777777" w:rsidR="00356B43" w:rsidRPr="00356B43" w:rsidRDefault="00356B43" w:rsidP="00356B43">
            <w:pPr>
              <w:spacing w:after="0" w:line="240" w:lineRule="auto"/>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br/>
              <w:t>3 - Arquivamento do processo por falta de pressupostos de instauração ou do seu desenvolvimento regular;</w:t>
            </w:r>
          </w:p>
          <w:p w14:paraId="2683D667" w14:textId="77777777" w:rsidR="00356B43" w:rsidRPr="00356B43" w:rsidRDefault="00356B43" w:rsidP="00356B43">
            <w:pPr>
              <w:spacing w:after="0" w:line="240" w:lineRule="auto"/>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br/>
              <w:t>4 - Contas consideradas iliquidáveis, nos termos do art. 90 da Lei Complementar Estadual n° 621/2012;</w:t>
            </w:r>
          </w:p>
          <w:p w14:paraId="7DD93623" w14:textId="01B5622C" w:rsidR="00356B43" w:rsidRPr="00356B43" w:rsidRDefault="00356B43" w:rsidP="00356B43">
            <w:pPr>
              <w:spacing w:after="0" w:line="240" w:lineRule="auto"/>
              <w:rPr>
                <w:rFonts w:ascii="Arial" w:eastAsia="Times New Roman" w:hAnsi="Arial" w:cs="Arial"/>
                <w:color w:val="0070C0"/>
                <w:sz w:val="20"/>
                <w:szCs w:val="20"/>
                <w:lang w:eastAsia="pt-BR"/>
              </w:rPr>
            </w:pPr>
            <w:r w:rsidRPr="00356B43">
              <w:rPr>
                <w:rFonts w:ascii="Arial" w:eastAsia="Times New Roman" w:hAnsi="Arial" w:cs="Arial"/>
                <w:color w:val="0070C0"/>
                <w:sz w:val="20"/>
                <w:szCs w:val="20"/>
                <w:lang w:eastAsia="pt-BR"/>
              </w:rPr>
              <w:br/>
              <w:t>5 - Quitação ao responsável pelo recolhimento do débito.</w:t>
            </w:r>
          </w:p>
        </w:tc>
      </w:tr>
    </w:tbl>
    <w:p w14:paraId="07FF4080" w14:textId="77777777" w:rsidR="00C80A87" w:rsidRPr="000B79EA" w:rsidRDefault="00C80A87" w:rsidP="005D3226">
      <w:pPr>
        <w:spacing w:after="0" w:line="360" w:lineRule="auto"/>
        <w:jc w:val="both"/>
        <w:rPr>
          <w:rFonts w:ascii="Arial" w:hAnsi="Arial" w:cs="Arial"/>
          <w:color w:val="0070C0"/>
          <w:sz w:val="20"/>
          <w:szCs w:val="20"/>
        </w:rPr>
      </w:pPr>
    </w:p>
    <w:p w14:paraId="1C694B1E" w14:textId="1D5399B6" w:rsidR="00126F61" w:rsidRPr="000B79EA" w:rsidRDefault="00612B6C" w:rsidP="00126F61">
      <w:pPr>
        <w:spacing w:after="0" w:line="360" w:lineRule="auto"/>
        <w:jc w:val="both"/>
        <w:rPr>
          <w:rFonts w:ascii="Arial" w:hAnsi="Arial" w:cs="Arial"/>
          <w:b/>
          <w:bCs/>
          <w:color w:val="0070C0"/>
          <w:sz w:val="20"/>
          <w:szCs w:val="20"/>
        </w:rPr>
      </w:pPr>
      <w:r w:rsidRPr="000B79EA">
        <w:rPr>
          <w:rFonts w:ascii="Arial" w:hAnsi="Arial" w:cs="Arial"/>
          <w:b/>
          <w:bCs/>
          <w:color w:val="0070C0"/>
          <w:sz w:val="20"/>
          <w:szCs w:val="20"/>
        </w:rPr>
        <w:t>Nota</w:t>
      </w:r>
      <w:r w:rsidR="00A03D81" w:rsidRPr="000B79EA">
        <w:rPr>
          <w:rFonts w:ascii="Arial" w:hAnsi="Arial" w:cs="Arial"/>
          <w:b/>
          <w:bCs/>
          <w:color w:val="0070C0"/>
          <w:sz w:val="20"/>
          <w:szCs w:val="20"/>
        </w:rPr>
        <w:t>s</w:t>
      </w:r>
      <w:r w:rsidRPr="000B79EA">
        <w:rPr>
          <w:rFonts w:ascii="Arial" w:hAnsi="Arial" w:cs="Arial"/>
          <w:b/>
          <w:bCs/>
          <w:color w:val="0070C0"/>
          <w:sz w:val="20"/>
          <w:szCs w:val="20"/>
        </w:rPr>
        <w:t>:</w:t>
      </w:r>
    </w:p>
    <w:p w14:paraId="2F8C8774" w14:textId="77777777" w:rsidR="00A03D81" w:rsidRPr="000B79EA" w:rsidRDefault="00A03D81" w:rsidP="00A03D81">
      <w:pPr>
        <w:rPr>
          <w:rFonts w:ascii="Arial" w:hAnsi="Arial" w:cs="Arial"/>
          <w:b/>
          <w:bCs/>
          <w:color w:val="0070C0"/>
          <w:sz w:val="20"/>
          <w:szCs w:val="20"/>
        </w:rPr>
      </w:pPr>
      <w:bookmarkStart w:id="120" w:name="_Hlk85813347"/>
      <w:r w:rsidRPr="000B79EA">
        <w:rPr>
          <w:rFonts w:ascii="Arial" w:hAnsi="Arial" w:cs="Arial"/>
          <w:b/>
          <w:bCs/>
          <w:color w:val="0070C0"/>
          <w:sz w:val="20"/>
          <w:szCs w:val="20"/>
        </w:rPr>
        <w:t>[1] – Obrigatório</w:t>
      </w:r>
      <w:r w:rsidRPr="000B79EA">
        <w:rPr>
          <w:rFonts w:ascii="Arial" w:hAnsi="Arial" w:cs="Arial"/>
          <w:color w:val="0070C0"/>
          <w:sz w:val="20"/>
          <w:szCs w:val="20"/>
        </w:rPr>
        <w:t xml:space="preserve">, quando </w:t>
      </w:r>
      <w:r w:rsidRPr="000B79EA">
        <w:rPr>
          <w:rFonts w:ascii="Arial" w:hAnsi="Arial" w:cs="Arial"/>
          <w:b/>
          <w:bCs/>
          <w:color w:val="0070C0"/>
          <w:sz w:val="20"/>
          <w:szCs w:val="20"/>
        </w:rPr>
        <w:t>Nível de Controle Interno for igual a 1</w:t>
      </w:r>
      <w:r w:rsidRPr="000B79EA">
        <w:rPr>
          <w:rFonts w:ascii="Arial" w:hAnsi="Arial" w:cs="Arial"/>
          <w:color w:val="0070C0"/>
          <w:sz w:val="20"/>
          <w:szCs w:val="20"/>
        </w:rPr>
        <w:t xml:space="preserve"> e prestação de contas for de </w:t>
      </w:r>
      <w:r w:rsidRPr="000B79EA">
        <w:rPr>
          <w:rFonts w:ascii="Arial" w:hAnsi="Arial" w:cs="Arial"/>
          <w:b/>
          <w:bCs/>
          <w:color w:val="0070C0"/>
          <w:sz w:val="20"/>
          <w:szCs w:val="20"/>
        </w:rPr>
        <w:t>Chefe de Poder ou Órgão</w:t>
      </w:r>
      <w:r w:rsidRPr="000B79EA">
        <w:rPr>
          <w:rFonts w:ascii="Arial" w:hAnsi="Arial" w:cs="Arial"/>
          <w:color w:val="0070C0"/>
          <w:sz w:val="20"/>
          <w:szCs w:val="20"/>
        </w:rPr>
        <w:t xml:space="preserve">; ou </w:t>
      </w:r>
      <w:r w:rsidRPr="000B79EA">
        <w:rPr>
          <w:rFonts w:ascii="Arial" w:hAnsi="Arial" w:cs="Arial"/>
          <w:b/>
          <w:bCs/>
          <w:color w:val="0070C0"/>
          <w:sz w:val="20"/>
          <w:szCs w:val="20"/>
        </w:rPr>
        <w:t>Nível de Controle Interno for igual a 2</w:t>
      </w:r>
      <w:r w:rsidRPr="000B79EA">
        <w:rPr>
          <w:rFonts w:ascii="Arial" w:hAnsi="Arial" w:cs="Arial"/>
          <w:color w:val="0070C0"/>
          <w:sz w:val="20"/>
          <w:szCs w:val="20"/>
        </w:rPr>
        <w:t>.</w:t>
      </w:r>
    </w:p>
    <w:bookmarkEnd w:id="120"/>
    <w:p w14:paraId="3D352BB5" w14:textId="77777777" w:rsidR="00A03D81" w:rsidRPr="000B79EA" w:rsidRDefault="00A03D81" w:rsidP="00A03D81">
      <w:pPr>
        <w:spacing w:after="0" w:line="360" w:lineRule="auto"/>
        <w:jc w:val="both"/>
        <w:rPr>
          <w:rFonts w:ascii="Arial" w:hAnsi="Arial" w:cs="Arial"/>
          <w:b/>
          <w:bCs/>
          <w:color w:val="0070C0"/>
          <w:sz w:val="20"/>
          <w:szCs w:val="20"/>
        </w:rPr>
      </w:pPr>
      <w:r w:rsidRPr="000B79EA">
        <w:rPr>
          <w:rFonts w:ascii="Arial" w:hAnsi="Arial" w:cs="Arial"/>
          <w:b/>
          <w:bCs/>
          <w:color w:val="0070C0"/>
          <w:sz w:val="20"/>
          <w:szCs w:val="20"/>
        </w:rPr>
        <w:t>[2] – Opcional,</w:t>
      </w:r>
      <w:r w:rsidRPr="000B79EA">
        <w:rPr>
          <w:rFonts w:ascii="Arial" w:hAnsi="Arial" w:cs="Arial"/>
          <w:color w:val="0070C0"/>
          <w:sz w:val="20"/>
          <w:szCs w:val="20"/>
        </w:rPr>
        <w:t xml:space="preserve"> se o campo </w:t>
      </w:r>
      <w:r w:rsidRPr="000B79EA">
        <w:rPr>
          <w:rFonts w:ascii="Arial" w:hAnsi="Arial" w:cs="Arial"/>
          <w:b/>
          <w:bCs/>
          <w:color w:val="0070C0"/>
          <w:sz w:val="20"/>
          <w:szCs w:val="20"/>
        </w:rPr>
        <w:t>Tipo do Ponto de Controle for 2 - Qualitativo</w:t>
      </w:r>
      <w:r w:rsidRPr="000B79EA">
        <w:rPr>
          <w:rFonts w:ascii="Arial" w:hAnsi="Arial" w:cs="Arial"/>
          <w:color w:val="0070C0"/>
          <w:sz w:val="20"/>
          <w:szCs w:val="20"/>
        </w:rPr>
        <w:t>.</w:t>
      </w:r>
    </w:p>
    <w:p w14:paraId="5A4CEA8B" w14:textId="53CEC278" w:rsidR="00A03D81" w:rsidRPr="000B79EA" w:rsidRDefault="00A03D81" w:rsidP="00126F61">
      <w:pPr>
        <w:spacing w:after="0" w:line="360" w:lineRule="auto"/>
        <w:jc w:val="both"/>
        <w:rPr>
          <w:rFonts w:ascii="Arial" w:hAnsi="Arial" w:cs="Arial"/>
          <w:b/>
          <w:bCs/>
          <w:color w:val="0070C0"/>
          <w:sz w:val="20"/>
          <w:szCs w:val="20"/>
        </w:rPr>
      </w:pPr>
    </w:p>
    <w:p w14:paraId="3ED07635" w14:textId="0EF96A80" w:rsidR="00A03D81" w:rsidRPr="000B79EA" w:rsidRDefault="00A03D81" w:rsidP="00A03D81">
      <w:pPr>
        <w:spacing w:after="0" w:line="360" w:lineRule="auto"/>
        <w:jc w:val="both"/>
        <w:rPr>
          <w:rFonts w:ascii="Arial" w:hAnsi="Arial" w:cs="Arial"/>
          <w:b/>
          <w:bCs/>
          <w:color w:val="0070C0"/>
          <w:sz w:val="24"/>
          <w:szCs w:val="24"/>
        </w:rPr>
      </w:pPr>
      <w:bookmarkStart w:id="121" w:name="_Hlk85813652"/>
      <w:r w:rsidRPr="000B79EA">
        <w:rPr>
          <w:rFonts w:ascii="Arial" w:hAnsi="Arial" w:cs="Arial"/>
          <w:b/>
          <w:bCs/>
          <w:color w:val="0070C0"/>
          <w:sz w:val="24"/>
          <w:szCs w:val="24"/>
        </w:rPr>
        <w:t>Observações:</w:t>
      </w:r>
    </w:p>
    <w:p w14:paraId="5E539C0E" w14:textId="4AD3C5CA" w:rsidR="00A03D81" w:rsidRPr="000B79EA" w:rsidRDefault="00A03D81" w:rsidP="00A03D81">
      <w:pPr>
        <w:spacing w:after="0" w:line="360" w:lineRule="auto"/>
        <w:jc w:val="both"/>
        <w:rPr>
          <w:rFonts w:ascii="Arial" w:eastAsia="Calibri" w:hAnsi="Arial" w:cs="Times New Roman"/>
          <w:b/>
          <w:bCs/>
          <w:color w:val="0070C0"/>
          <w:sz w:val="20"/>
          <w:szCs w:val="20"/>
        </w:rPr>
      </w:pPr>
      <w:r w:rsidRPr="000B79EA">
        <w:rPr>
          <w:rFonts w:ascii="Arial" w:eastAsia="Calibri" w:hAnsi="Arial" w:cs="Times New Roman"/>
          <w:b/>
          <w:bCs/>
          <w:color w:val="0070C0"/>
          <w:sz w:val="20"/>
          <w:szCs w:val="20"/>
        </w:rPr>
        <w:t xml:space="preserve">1 – </w:t>
      </w:r>
      <w:r w:rsidRPr="000B79EA">
        <w:rPr>
          <w:rFonts w:ascii="Arial" w:eastAsia="Calibri" w:hAnsi="Arial" w:cs="Times New Roman"/>
          <w:color w:val="0070C0"/>
          <w:sz w:val="20"/>
          <w:szCs w:val="20"/>
        </w:rPr>
        <w:t xml:space="preserve">Se o </w:t>
      </w:r>
      <w:r w:rsidRPr="000B79EA">
        <w:rPr>
          <w:rFonts w:ascii="Arial" w:eastAsia="Calibri" w:hAnsi="Arial" w:cs="Times New Roman"/>
          <w:b/>
          <w:bCs/>
          <w:color w:val="0070C0"/>
          <w:sz w:val="20"/>
          <w:szCs w:val="20"/>
        </w:rPr>
        <w:t>Nível De Controle Interno</w:t>
      </w:r>
      <w:r w:rsidRPr="000B79EA">
        <w:rPr>
          <w:rFonts w:ascii="Arial" w:eastAsia="Calibri" w:hAnsi="Arial" w:cs="Times New Roman"/>
          <w:color w:val="0070C0"/>
          <w:sz w:val="20"/>
          <w:szCs w:val="20"/>
        </w:rPr>
        <w:t xml:space="preserve"> for estabelecido como </w:t>
      </w:r>
      <w:r w:rsidRPr="000B79EA">
        <w:rPr>
          <w:rFonts w:ascii="Arial" w:eastAsia="Calibri" w:hAnsi="Arial" w:cs="Times New Roman"/>
          <w:b/>
          <w:bCs/>
          <w:color w:val="0070C0"/>
          <w:sz w:val="20"/>
          <w:szCs w:val="20"/>
        </w:rPr>
        <w:t>Unidade Central</w:t>
      </w:r>
      <w:r w:rsidRPr="000B79EA">
        <w:rPr>
          <w:rFonts w:ascii="Arial" w:eastAsia="Calibri" w:hAnsi="Arial" w:cs="Times New Roman"/>
          <w:color w:val="0070C0"/>
          <w:sz w:val="20"/>
          <w:szCs w:val="20"/>
        </w:rPr>
        <w:t xml:space="preserve">, o arquivo será encaminhado nas </w:t>
      </w:r>
      <w:r w:rsidRPr="000B79EA">
        <w:rPr>
          <w:rFonts w:ascii="Arial" w:eastAsia="Calibri" w:hAnsi="Arial" w:cs="Times New Roman"/>
          <w:b/>
          <w:bCs/>
          <w:color w:val="0070C0"/>
          <w:sz w:val="20"/>
          <w:szCs w:val="20"/>
        </w:rPr>
        <w:t>Contas de Governo</w:t>
      </w:r>
      <w:r w:rsidRPr="000B79EA">
        <w:rPr>
          <w:rFonts w:ascii="Arial" w:eastAsia="Calibri" w:hAnsi="Arial" w:cs="Times New Roman"/>
          <w:color w:val="0070C0"/>
          <w:sz w:val="20"/>
          <w:szCs w:val="20"/>
        </w:rPr>
        <w:t xml:space="preserve">, nos </w:t>
      </w:r>
      <w:r w:rsidRPr="000B79EA">
        <w:rPr>
          <w:rFonts w:ascii="Arial" w:eastAsia="Calibri" w:hAnsi="Arial" w:cs="Times New Roman"/>
          <w:b/>
          <w:bCs/>
          <w:color w:val="0070C0"/>
          <w:sz w:val="20"/>
          <w:szCs w:val="20"/>
        </w:rPr>
        <w:t>Municípios</w:t>
      </w:r>
      <w:r w:rsidRPr="000B79EA">
        <w:rPr>
          <w:rFonts w:ascii="Arial" w:eastAsia="Calibri" w:hAnsi="Arial" w:cs="Times New Roman"/>
          <w:color w:val="0070C0"/>
          <w:sz w:val="20"/>
          <w:szCs w:val="20"/>
        </w:rPr>
        <w:t xml:space="preserve">; e pelo </w:t>
      </w:r>
      <w:r w:rsidRPr="000B79EA">
        <w:rPr>
          <w:rFonts w:ascii="Arial" w:eastAsia="Calibri" w:hAnsi="Arial" w:cs="Times New Roman"/>
          <w:b/>
          <w:bCs/>
          <w:color w:val="0070C0"/>
          <w:sz w:val="20"/>
          <w:szCs w:val="20"/>
        </w:rPr>
        <w:t>Poder Executivo Estadual</w:t>
      </w:r>
      <w:r w:rsidRPr="000B79EA">
        <w:rPr>
          <w:rFonts w:ascii="Arial" w:eastAsia="Calibri" w:hAnsi="Arial" w:cs="Times New Roman"/>
          <w:color w:val="0070C0"/>
          <w:sz w:val="20"/>
          <w:szCs w:val="20"/>
        </w:rPr>
        <w:t xml:space="preserve">, a responsabilidade de envio será da </w:t>
      </w:r>
      <w:r w:rsidRPr="000B79EA">
        <w:rPr>
          <w:rFonts w:ascii="Arial" w:eastAsia="Calibri" w:hAnsi="Arial" w:cs="Times New Roman"/>
          <w:b/>
          <w:bCs/>
          <w:color w:val="0070C0"/>
          <w:sz w:val="20"/>
          <w:szCs w:val="20"/>
        </w:rPr>
        <w:t>Secretaria de Estado de Controle e Transparência - SECONT</w:t>
      </w:r>
      <w:r w:rsidRPr="000B79EA">
        <w:rPr>
          <w:rFonts w:ascii="Arial" w:eastAsia="Calibri" w:hAnsi="Arial" w:cs="Times New Roman"/>
          <w:color w:val="0070C0"/>
          <w:sz w:val="20"/>
          <w:szCs w:val="20"/>
        </w:rPr>
        <w:t xml:space="preserve">. Os </w:t>
      </w:r>
      <w:r w:rsidRPr="000B79EA">
        <w:rPr>
          <w:rFonts w:ascii="Arial" w:eastAsia="Calibri" w:hAnsi="Arial" w:cs="Times New Roman"/>
          <w:b/>
          <w:bCs/>
          <w:color w:val="0070C0"/>
          <w:sz w:val="20"/>
          <w:szCs w:val="20"/>
        </w:rPr>
        <w:t>demais Poderes e Órgãos do Estado</w:t>
      </w:r>
      <w:r w:rsidRPr="000B79EA">
        <w:rPr>
          <w:rFonts w:ascii="Arial" w:eastAsia="Calibri" w:hAnsi="Arial" w:cs="Times New Roman"/>
          <w:color w:val="0070C0"/>
          <w:sz w:val="20"/>
          <w:szCs w:val="20"/>
        </w:rPr>
        <w:t xml:space="preserve"> encaminharão o arquivo nas </w:t>
      </w:r>
      <w:r w:rsidRPr="000B79EA">
        <w:rPr>
          <w:rFonts w:ascii="Arial" w:eastAsia="Calibri" w:hAnsi="Arial" w:cs="Times New Roman"/>
          <w:b/>
          <w:bCs/>
          <w:color w:val="0070C0"/>
          <w:sz w:val="20"/>
          <w:szCs w:val="20"/>
        </w:rPr>
        <w:t>respectivas Prestações de Contas Anuais.</w:t>
      </w:r>
    </w:p>
    <w:p w14:paraId="798B0B90" w14:textId="28CE1DF5" w:rsidR="00A03D81" w:rsidRPr="000B79EA" w:rsidRDefault="00A03D81" w:rsidP="00A03D81">
      <w:pPr>
        <w:spacing w:after="0" w:line="360" w:lineRule="auto"/>
        <w:jc w:val="both"/>
        <w:rPr>
          <w:rFonts w:ascii="Arial" w:eastAsia="Calibri" w:hAnsi="Arial" w:cs="Times New Roman"/>
          <w:b/>
          <w:bCs/>
          <w:color w:val="0070C0"/>
          <w:sz w:val="20"/>
          <w:szCs w:val="20"/>
        </w:rPr>
      </w:pPr>
      <w:r w:rsidRPr="000B79EA">
        <w:rPr>
          <w:rFonts w:ascii="Arial" w:eastAsia="Calibri" w:hAnsi="Arial" w:cs="Times New Roman"/>
          <w:b/>
          <w:bCs/>
          <w:color w:val="0070C0"/>
          <w:sz w:val="20"/>
          <w:szCs w:val="20"/>
        </w:rPr>
        <w:t xml:space="preserve">2 – </w:t>
      </w:r>
      <w:r w:rsidRPr="000B79EA">
        <w:rPr>
          <w:rFonts w:ascii="Arial" w:eastAsia="Calibri" w:hAnsi="Arial" w:cs="Times New Roman"/>
          <w:color w:val="0070C0"/>
          <w:sz w:val="20"/>
          <w:szCs w:val="20"/>
        </w:rPr>
        <w:t xml:space="preserve">Se o </w:t>
      </w:r>
      <w:r w:rsidRPr="000B79EA">
        <w:rPr>
          <w:rFonts w:ascii="Arial" w:eastAsia="Calibri" w:hAnsi="Arial" w:cs="Times New Roman"/>
          <w:b/>
          <w:bCs/>
          <w:color w:val="0070C0"/>
          <w:sz w:val="20"/>
          <w:szCs w:val="20"/>
        </w:rPr>
        <w:t>Nível de Controle Interno</w:t>
      </w:r>
      <w:r w:rsidRPr="000B79EA">
        <w:rPr>
          <w:rFonts w:ascii="Arial" w:eastAsia="Calibri" w:hAnsi="Arial" w:cs="Times New Roman"/>
          <w:color w:val="0070C0"/>
          <w:sz w:val="20"/>
          <w:szCs w:val="20"/>
        </w:rPr>
        <w:t xml:space="preserve"> for estabelecido como </w:t>
      </w:r>
      <w:r w:rsidRPr="000B79EA">
        <w:rPr>
          <w:rFonts w:ascii="Arial" w:eastAsia="Calibri" w:hAnsi="Arial" w:cs="Times New Roman"/>
          <w:b/>
          <w:bCs/>
          <w:color w:val="0070C0"/>
          <w:sz w:val="20"/>
          <w:szCs w:val="20"/>
        </w:rPr>
        <w:t>Unidade Setorial</w:t>
      </w:r>
      <w:r w:rsidRPr="000B79EA">
        <w:rPr>
          <w:rFonts w:ascii="Arial" w:eastAsia="Calibri" w:hAnsi="Arial" w:cs="Times New Roman"/>
          <w:color w:val="0070C0"/>
          <w:sz w:val="20"/>
          <w:szCs w:val="20"/>
        </w:rPr>
        <w:t>, o arquivo contendo as informações relativas à Unidade de Controle Interno e os procedimentos realizados nas Unidades Gestoras serão encaminhados através deste arquivo nas</w:t>
      </w:r>
      <w:r w:rsidRPr="000B79EA">
        <w:rPr>
          <w:rFonts w:ascii="Arial" w:eastAsia="Calibri" w:hAnsi="Arial" w:cs="Times New Roman"/>
          <w:b/>
          <w:bCs/>
          <w:color w:val="0070C0"/>
          <w:sz w:val="20"/>
          <w:szCs w:val="20"/>
        </w:rPr>
        <w:t xml:space="preserve"> respectivas Prestações de Contas Anuais</w:t>
      </w:r>
      <w:r w:rsidRPr="000B79EA">
        <w:rPr>
          <w:rFonts w:ascii="Arial" w:eastAsia="Calibri" w:hAnsi="Arial" w:cs="Times New Roman"/>
          <w:color w:val="0070C0"/>
          <w:sz w:val="20"/>
          <w:szCs w:val="20"/>
        </w:rPr>
        <w:t>.</w:t>
      </w:r>
    </w:p>
    <w:bookmarkEnd w:id="121"/>
    <w:p w14:paraId="2CBF70B7" w14:textId="77777777" w:rsidR="00A03D81" w:rsidRPr="00A03D81" w:rsidRDefault="00A03D81" w:rsidP="00A03D81">
      <w:pPr>
        <w:spacing w:after="0" w:line="360" w:lineRule="auto"/>
        <w:jc w:val="both"/>
        <w:rPr>
          <w:rFonts w:ascii="Arial" w:eastAsia="Calibri" w:hAnsi="Arial" w:cs="Times New Roman"/>
          <w:b/>
          <w:bCs/>
          <w:color w:val="00B050"/>
          <w:sz w:val="20"/>
          <w:szCs w:val="20"/>
        </w:rPr>
      </w:pPr>
    </w:p>
    <w:p w14:paraId="3E07459E" w14:textId="77777777" w:rsidR="00A03D81" w:rsidRPr="00612B6C" w:rsidRDefault="00A03D81" w:rsidP="00126F61">
      <w:pPr>
        <w:spacing w:after="0" w:line="360" w:lineRule="auto"/>
        <w:jc w:val="both"/>
        <w:rPr>
          <w:rFonts w:ascii="Arial" w:hAnsi="Arial" w:cs="Arial"/>
          <w:sz w:val="20"/>
          <w:szCs w:val="20"/>
        </w:rPr>
      </w:pPr>
    </w:p>
    <w:p w14:paraId="0E736CE2" w14:textId="77777777" w:rsidR="00126F61" w:rsidRDefault="00126F61" w:rsidP="00126F61">
      <w:pPr>
        <w:spacing w:after="0" w:line="360" w:lineRule="auto"/>
        <w:jc w:val="both"/>
      </w:pPr>
    </w:p>
    <w:p w14:paraId="2A119663" w14:textId="152934A7" w:rsidR="00A47A57" w:rsidRPr="00613437" w:rsidRDefault="00A47A57">
      <w:pPr>
        <w:pStyle w:val="Ttulo2"/>
        <w:rPr>
          <w:lang w:val="pt-BR"/>
        </w:rPr>
      </w:pPr>
      <w:bookmarkStart w:id="122" w:name="_Toc94806390"/>
      <w:r w:rsidRPr="00613437">
        <w:rPr>
          <w:lang w:val="pt-BR"/>
        </w:rPr>
        <w:t xml:space="preserve">Alterado item Das Assinaturas, </w:t>
      </w:r>
      <w:r w:rsidR="009F4E01" w:rsidRPr="00613437">
        <w:rPr>
          <w:lang w:val="pt-BR"/>
        </w:rPr>
        <w:t>a seguir</w:t>
      </w:r>
      <w:r w:rsidRPr="00613437">
        <w:rPr>
          <w:lang w:val="pt-BR"/>
        </w:rPr>
        <w:t>:</w:t>
      </w:r>
      <w:bookmarkEnd w:id="122"/>
    </w:p>
    <w:p w14:paraId="09C53E38" w14:textId="77777777" w:rsidR="00133EB9" w:rsidRPr="00101E2D" w:rsidRDefault="00133EB9" w:rsidP="00133EB9">
      <w:pPr>
        <w:pStyle w:val="Ttulo3"/>
      </w:pPr>
      <w:bookmarkStart w:id="123" w:name="_Toc94806391"/>
      <w:r>
        <w:t>D</w:t>
      </w:r>
      <w:r>
        <w:rPr>
          <w:lang w:val="pt-BR"/>
        </w:rPr>
        <w:t>os Documentos Não Estruturados</w:t>
      </w:r>
      <w:bookmarkEnd w:id="123"/>
    </w:p>
    <w:p w14:paraId="6EF0ABC2" w14:textId="77777777" w:rsidR="00133EB9" w:rsidRPr="009B2D1C" w:rsidRDefault="00133EB9" w:rsidP="00133EB9">
      <w:pPr>
        <w:jc w:val="both"/>
        <w:rPr>
          <w:rFonts w:ascii="Arial" w:eastAsia="Calibri" w:hAnsi="Arial" w:cs="Arial"/>
          <w:szCs w:val="24"/>
        </w:rPr>
      </w:pPr>
      <w:r w:rsidRPr="009B2D1C">
        <w:rPr>
          <w:rFonts w:ascii="Arial" w:eastAsia="Calibri" w:hAnsi="Arial" w:cs="Arial"/>
          <w:szCs w:val="24"/>
        </w:rPr>
        <w:t>Todos os documentos não estruturados (</w:t>
      </w:r>
      <w:r>
        <w:rPr>
          <w:rFonts w:ascii="Arial" w:eastAsia="Calibri" w:hAnsi="Arial" w:cs="Arial"/>
          <w:szCs w:val="24"/>
        </w:rPr>
        <w:t>PDF</w:t>
      </w:r>
      <w:r w:rsidRPr="009B2D1C">
        <w:rPr>
          <w:rFonts w:ascii="Arial" w:eastAsia="Calibri" w:hAnsi="Arial" w:cs="Arial"/>
          <w:szCs w:val="24"/>
        </w:rPr>
        <w:t xml:space="preserve"> e XLS/XLSX/ODS) relacionados neste Anexo devem ser assinados por meio de certificado digital pelo Prefeito Municipal ou pelo Ordenador de Despesas das Unidades Gestoras. </w:t>
      </w:r>
    </w:p>
    <w:p w14:paraId="21FA11E7" w14:textId="5FCAFDB6" w:rsidR="00133EB9" w:rsidRPr="0042494A" w:rsidRDefault="00133EB9" w:rsidP="00133EB9">
      <w:pPr>
        <w:jc w:val="both"/>
        <w:rPr>
          <w:rFonts w:ascii="Arial" w:eastAsia="Calibri" w:hAnsi="Arial" w:cs="Arial"/>
          <w:szCs w:val="24"/>
        </w:rPr>
      </w:pPr>
      <w:r w:rsidRPr="0042494A">
        <w:rPr>
          <w:rFonts w:ascii="Arial" w:eastAsia="Calibri" w:hAnsi="Arial" w:cs="Arial"/>
          <w:szCs w:val="24"/>
        </w:rPr>
        <w:lastRenderedPageBreak/>
        <w:t>Os documentos</w:t>
      </w:r>
      <w:r w:rsidRPr="0042494A">
        <w:rPr>
          <w:rFonts w:ascii="Arial" w:eastAsia="Calibri" w:hAnsi="Arial" w:cs="Arial"/>
          <w:strike/>
          <w:color w:val="FF0000"/>
          <w:szCs w:val="24"/>
        </w:rPr>
        <w:t xml:space="preserve"> </w:t>
      </w:r>
      <w:r w:rsidRPr="0042494A">
        <w:rPr>
          <w:rFonts w:ascii="Arial" w:eastAsia="Calibri" w:hAnsi="Arial" w:cs="Arial"/>
          <w:szCs w:val="24"/>
        </w:rPr>
        <w:t>BALPATN,</w:t>
      </w:r>
      <w:r w:rsidRPr="0042494A">
        <w:rPr>
          <w:rFonts w:ascii="Arial" w:eastAsia="Calibri" w:hAnsi="Arial" w:cs="Arial"/>
          <w:color w:val="FF0000"/>
          <w:szCs w:val="24"/>
        </w:rPr>
        <w:t xml:space="preserve"> </w:t>
      </w:r>
      <w:r w:rsidRPr="0042494A">
        <w:rPr>
          <w:rFonts w:ascii="Arial" w:eastAsia="Calibri" w:hAnsi="Arial" w:cs="Arial"/>
          <w:szCs w:val="24"/>
        </w:rPr>
        <w:t xml:space="preserve">BALVER, </w:t>
      </w:r>
      <w:r>
        <w:rPr>
          <w:rFonts w:ascii="Arial" w:eastAsia="Calibri" w:hAnsi="Arial" w:cs="Arial"/>
          <w:szCs w:val="24"/>
        </w:rPr>
        <w:t xml:space="preserve">DEMCADC, </w:t>
      </w:r>
      <w:r w:rsidRPr="0042494A">
        <w:rPr>
          <w:rFonts w:ascii="Arial" w:eastAsia="Calibri" w:hAnsi="Arial" w:cs="Arial"/>
          <w:szCs w:val="24"/>
        </w:rPr>
        <w:t>DEMCSE</w:t>
      </w:r>
      <w:r>
        <w:rPr>
          <w:rFonts w:ascii="Arial" w:eastAsia="Calibri" w:hAnsi="Arial" w:cs="Arial"/>
          <w:szCs w:val="24"/>
        </w:rPr>
        <w:t>, DEMCPA</w:t>
      </w:r>
      <w:r w:rsidRPr="0042494A">
        <w:rPr>
          <w:rFonts w:ascii="Arial" w:eastAsia="Calibri" w:hAnsi="Arial" w:cs="Arial"/>
          <w:szCs w:val="24"/>
        </w:rPr>
        <w:t>, DEMDFL, DEMDIF,</w:t>
      </w:r>
      <w:r>
        <w:rPr>
          <w:rFonts w:ascii="Arial" w:eastAsia="Calibri" w:hAnsi="Arial" w:cs="Arial"/>
          <w:szCs w:val="24"/>
        </w:rPr>
        <w:t xml:space="preserve"> DEMFCA, DEMPLI, DEMRAPG</w:t>
      </w:r>
      <w:r w:rsidRPr="0042494A">
        <w:rPr>
          <w:rFonts w:ascii="Arial" w:eastAsia="Calibri" w:hAnsi="Arial" w:cs="Arial"/>
          <w:szCs w:val="24"/>
        </w:rPr>
        <w:t>, LIQSAU, RELPAR, TVDISPN</w:t>
      </w:r>
      <w:r w:rsidR="009F4E01">
        <w:rPr>
          <w:rFonts w:ascii="Arial" w:eastAsia="Calibri" w:hAnsi="Arial" w:cs="Arial"/>
          <w:szCs w:val="24"/>
        </w:rPr>
        <w:t xml:space="preserve">, </w:t>
      </w:r>
      <w:r w:rsidR="009F4E01" w:rsidRPr="009F4E01">
        <w:rPr>
          <w:rFonts w:ascii="Arial" w:eastAsia="Calibri" w:hAnsi="Arial" w:cs="Arial"/>
          <w:color w:val="0070C0"/>
          <w:szCs w:val="24"/>
        </w:rPr>
        <w:t>RECRERE, REOBRIG</w:t>
      </w:r>
      <w:r w:rsidRPr="009F4E01">
        <w:rPr>
          <w:rFonts w:ascii="Arial" w:eastAsia="Calibri" w:hAnsi="Arial" w:cs="Arial"/>
          <w:color w:val="0070C0"/>
          <w:szCs w:val="24"/>
        </w:rPr>
        <w:t xml:space="preserve"> </w:t>
      </w:r>
      <w:r w:rsidRPr="0042494A">
        <w:rPr>
          <w:rFonts w:ascii="Arial" w:eastAsia="Calibri" w:hAnsi="Arial" w:cs="Arial"/>
          <w:szCs w:val="24"/>
        </w:rPr>
        <w:t xml:space="preserve">e NOTEXP deverão, também, ser assinados por meio de certificado digital pelo </w:t>
      </w:r>
      <w:r>
        <w:rPr>
          <w:rFonts w:ascii="Arial" w:eastAsia="Calibri" w:hAnsi="Arial" w:cs="Arial"/>
          <w:szCs w:val="24"/>
        </w:rPr>
        <w:t xml:space="preserve">Contabilista </w:t>
      </w:r>
      <w:r w:rsidRPr="0042494A">
        <w:rPr>
          <w:rFonts w:ascii="Arial" w:eastAsia="Calibri" w:hAnsi="Arial" w:cs="Arial"/>
          <w:szCs w:val="24"/>
        </w:rPr>
        <w:t>Responsável.</w:t>
      </w:r>
    </w:p>
    <w:p w14:paraId="118D8CC8" w14:textId="77777777" w:rsidR="00133EB9" w:rsidRPr="009B2D1C" w:rsidRDefault="00133EB9" w:rsidP="00133EB9">
      <w:pPr>
        <w:jc w:val="both"/>
        <w:rPr>
          <w:rFonts w:ascii="Arial" w:eastAsia="Calibri" w:hAnsi="Arial" w:cs="Arial"/>
          <w:szCs w:val="24"/>
        </w:rPr>
      </w:pPr>
      <w:r w:rsidRPr="0042494A">
        <w:rPr>
          <w:rFonts w:ascii="Arial" w:eastAsia="Calibri" w:hAnsi="Arial" w:cs="Arial"/>
          <w:szCs w:val="24"/>
        </w:rPr>
        <w:t>Os documentos RELOCI, RELUCI e RELACI deverão, também, ser assinados por meio de certificado digital pelo Responsável pelo Controle Interno.</w:t>
      </w:r>
    </w:p>
    <w:p w14:paraId="7E5EA187" w14:textId="77777777" w:rsidR="00133EB9" w:rsidRPr="009B2D1C" w:rsidRDefault="00133EB9" w:rsidP="00133EB9">
      <w:pPr>
        <w:jc w:val="both"/>
        <w:rPr>
          <w:rFonts w:ascii="Arial" w:eastAsia="Times New Roman" w:hAnsi="Arial" w:cs="Arial"/>
          <w:color w:val="00B050"/>
          <w:lang w:eastAsia="pt-BR"/>
        </w:rPr>
      </w:pPr>
      <w:r w:rsidRPr="009B2D1C">
        <w:rPr>
          <w:rFonts w:ascii="Arial" w:eastAsia="Calibri" w:hAnsi="Arial" w:cs="Arial"/>
          <w:szCs w:val="24"/>
        </w:rPr>
        <w:t>Obs.: Além das assinaturas acima exigidas, os documentos deverão ser assinados pelos responsáveis por sua elaboração. A assinatura por meio de certificado digital dispensa a assinatura manual do respectivo responsável.</w:t>
      </w:r>
      <w:r w:rsidRPr="009B2D1C">
        <w:rPr>
          <w:rFonts w:ascii="Arial" w:eastAsia="Times New Roman" w:hAnsi="Arial" w:cs="Arial"/>
          <w:color w:val="00B050"/>
          <w:lang w:eastAsia="pt-BR"/>
        </w:rPr>
        <w:t xml:space="preserve"> </w:t>
      </w:r>
    </w:p>
    <w:p w14:paraId="0F67C62F" w14:textId="77777777" w:rsidR="00133EB9" w:rsidRDefault="00133EB9" w:rsidP="00133EB9">
      <w:pPr>
        <w:ind w:left="360"/>
        <w:jc w:val="both"/>
      </w:pPr>
    </w:p>
    <w:p w14:paraId="1B2AC295" w14:textId="77777777" w:rsidR="00133EB9" w:rsidRPr="00715D39" w:rsidRDefault="00133EB9" w:rsidP="00133EB9">
      <w:pPr>
        <w:pStyle w:val="Ttulo3"/>
      </w:pPr>
      <w:bookmarkStart w:id="124" w:name="_Toc94806392"/>
      <w:r>
        <w:t>D</w:t>
      </w:r>
      <w:r>
        <w:rPr>
          <w:lang w:val="pt-BR"/>
        </w:rPr>
        <w:t>os Documentos Estruturados</w:t>
      </w:r>
      <w:bookmarkEnd w:id="124"/>
    </w:p>
    <w:p w14:paraId="527788DF" w14:textId="77777777" w:rsidR="00133EB9" w:rsidRPr="009B2D1C" w:rsidRDefault="00133EB9" w:rsidP="00133EB9">
      <w:pPr>
        <w:jc w:val="both"/>
        <w:rPr>
          <w:rFonts w:ascii="Arial" w:eastAsia="Calibri" w:hAnsi="Arial" w:cs="Arial"/>
          <w:szCs w:val="24"/>
        </w:rPr>
      </w:pPr>
      <w:r w:rsidRPr="009B2D1C">
        <w:rPr>
          <w:rFonts w:ascii="Arial" w:eastAsia="Calibri" w:hAnsi="Arial" w:cs="Arial"/>
          <w:szCs w:val="24"/>
        </w:rPr>
        <w:t>Após o envio dos arquivos estruturados (formato XML) e seu armazenamento no banco de dados do sistema, o CidadES disponibilizará os documentos gerados a partir destes arquivos, que, depois de conferidos, deverão ser homologados mediante assinatura digital pelo Prefeito Municipal ou pelo Ordenador de Despesa.</w:t>
      </w:r>
    </w:p>
    <w:p w14:paraId="326BECC2" w14:textId="3BD839E6" w:rsidR="00A47A57" w:rsidRDefault="00133EB9" w:rsidP="00133EB9">
      <w:pPr>
        <w:spacing w:after="0" w:line="360" w:lineRule="auto"/>
        <w:jc w:val="both"/>
        <w:rPr>
          <w:rFonts w:ascii="Arial" w:eastAsia="Calibri" w:hAnsi="Arial" w:cs="Arial"/>
          <w:szCs w:val="24"/>
        </w:rPr>
      </w:pPr>
      <w:r w:rsidRPr="005D1F83">
        <w:rPr>
          <w:rFonts w:ascii="Arial" w:eastAsia="Calibri" w:hAnsi="Arial" w:cs="Arial"/>
          <w:szCs w:val="24"/>
        </w:rPr>
        <w:t xml:space="preserve">Os documentos </w:t>
      </w:r>
      <w:r w:rsidRPr="005D1F83">
        <w:rPr>
          <w:rFonts w:ascii="Arial" w:hAnsi="Arial" w:cs="Arial"/>
          <w:szCs w:val="24"/>
        </w:rPr>
        <w:t>APROPAT,</w:t>
      </w:r>
      <w:r w:rsidRPr="005D1F83">
        <w:rPr>
          <w:rFonts w:ascii="Arial" w:eastAsia="Calibri" w:hAnsi="Arial" w:cs="Arial"/>
          <w:szCs w:val="24"/>
        </w:rPr>
        <w:t xml:space="preserve"> BALORC, BALFIN, BALPAT, DEMVAP, DEMCAD, DEMRAP, TVDISP, </w:t>
      </w:r>
      <w:r w:rsidRPr="005D1F83">
        <w:rPr>
          <w:rFonts w:ascii="Arial" w:hAnsi="Arial" w:cs="Arial"/>
          <w:szCs w:val="24"/>
        </w:rPr>
        <w:t>BALVERF, BALVERF_E, BALEXOD, BALEXOD_E, BALEXOR, BALEXOR_E, BALEXOC, DEMDAD, DEMDFLT, DEMDIFD, DEMREC e</w:t>
      </w:r>
      <w:r w:rsidR="003B3B62">
        <w:rPr>
          <w:rFonts w:ascii="Arial" w:hAnsi="Arial" w:cs="Arial"/>
          <w:szCs w:val="24"/>
        </w:rPr>
        <w:t xml:space="preserve"> </w:t>
      </w:r>
      <w:r w:rsidR="003B3B62" w:rsidRPr="003B3B62">
        <w:rPr>
          <w:rFonts w:ascii="Arial" w:hAnsi="Arial" w:cs="Arial"/>
          <w:color w:val="0070C0"/>
          <w:szCs w:val="24"/>
        </w:rPr>
        <w:t>NOTAEXP</w:t>
      </w:r>
      <w:r w:rsidRPr="005D1F83">
        <w:rPr>
          <w:rFonts w:ascii="Arial" w:hAnsi="Arial" w:cs="Arial"/>
          <w:szCs w:val="24"/>
        </w:rPr>
        <w:t xml:space="preserve"> </w:t>
      </w:r>
      <w:r w:rsidRPr="005D1F83">
        <w:rPr>
          <w:rFonts w:ascii="Arial" w:eastAsia="Calibri" w:hAnsi="Arial" w:cs="Arial"/>
          <w:szCs w:val="24"/>
        </w:rPr>
        <w:t xml:space="preserve">deverão, também, ser assinados por meio de certificado digital pelo </w:t>
      </w:r>
      <w:r>
        <w:rPr>
          <w:rFonts w:ascii="Arial" w:eastAsia="Calibri" w:hAnsi="Arial" w:cs="Arial"/>
          <w:szCs w:val="24"/>
        </w:rPr>
        <w:t xml:space="preserve">Contabilista </w:t>
      </w:r>
      <w:r w:rsidRPr="005D1F83">
        <w:rPr>
          <w:rFonts w:ascii="Arial" w:eastAsia="Calibri" w:hAnsi="Arial" w:cs="Arial"/>
          <w:szCs w:val="24"/>
        </w:rPr>
        <w:t>Responsável.</w:t>
      </w:r>
    </w:p>
    <w:p w14:paraId="266F3F4C" w14:textId="14DC1609" w:rsidR="00133EB9" w:rsidRDefault="00133EB9" w:rsidP="00133EB9">
      <w:pPr>
        <w:spacing w:after="0" w:line="360" w:lineRule="auto"/>
        <w:jc w:val="both"/>
        <w:rPr>
          <w:rFonts w:ascii="Arial" w:eastAsia="Calibri" w:hAnsi="Arial" w:cs="Arial"/>
          <w:szCs w:val="24"/>
        </w:rPr>
      </w:pPr>
    </w:p>
    <w:p w14:paraId="282C230A" w14:textId="03D62B99" w:rsidR="00133EB9" w:rsidRPr="00133EB9" w:rsidRDefault="00133EB9" w:rsidP="00133EB9">
      <w:pPr>
        <w:jc w:val="both"/>
        <w:rPr>
          <w:rFonts w:ascii="Arial" w:eastAsia="Calibri" w:hAnsi="Arial" w:cs="Arial"/>
          <w:color w:val="0070C0"/>
          <w:szCs w:val="24"/>
        </w:rPr>
      </w:pPr>
      <w:bookmarkStart w:id="125" w:name="_Hlk88748431"/>
      <w:r w:rsidRPr="00133EB9">
        <w:rPr>
          <w:rFonts w:ascii="Arial" w:eastAsia="Calibri" w:hAnsi="Arial" w:cs="Arial"/>
          <w:color w:val="0070C0"/>
          <w:szCs w:val="24"/>
        </w:rPr>
        <w:t>O documento INFOCI deverá, também, ser assinado por meio de certificado digital pelo Responsável pelo Controle Interno.</w:t>
      </w:r>
    </w:p>
    <w:bookmarkEnd w:id="125"/>
    <w:p w14:paraId="5A461F6D" w14:textId="4048FBA4" w:rsidR="00133EB9" w:rsidRDefault="00133EB9" w:rsidP="00133EB9">
      <w:pPr>
        <w:spacing w:after="0" w:line="360" w:lineRule="auto"/>
        <w:jc w:val="both"/>
      </w:pPr>
    </w:p>
    <w:p w14:paraId="01AA17A2" w14:textId="77777777" w:rsidR="00A47A57" w:rsidRDefault="00A47A57" w:rsidP="00A47A57">
      <w:pPr>
        <w:spacing w:after="0" w:line="360" w:lineRule="auto"/>
        <w:jc w:val="both"/>
      </w:pPr>
    </w:p>
    <w:p w14:paraId="776C2172" w14:textId="21AA86FC" w:rsidR="00FF306E" w:rsidRPr="00613437" w:rsidRDefault="00950BE9">
      <w:pPr>
        <w:pStyle w:val="Ttulo2"/>
        <w:rPr>
          <w:lang w:val="pt-BR"/>
        </w:rPr>
      </w:pPr>
      <w:r w:rsidRPr="00613437">
        <w:rPr>
          <w:lang w:val="pt-BR"/>
        </w:rPr>
        <w:t xml:space="preserve"> </w:t>
      </w:r>
      <w:bookmarkStart w:id="126" w:name="_Toc94806393"/>
      <w:r w:rsidRPr="00613437">
        <w:rPr>
          <w:lang w:val="pt-BR"/>
        </w:rPr>
        <w:t xml:space="preserve">Incluído o Modelo de Arquivo </w:t>
      </w:r>
      <w:r w:rsidR="000A1616" w:rsidRPr="00613437">
        <w:rPr>
          <w:lang w:val="pt-BR"/>
        </w:rPr>
        <w:t>N</w:t>
      </w:r>
      <w:r w:rsidRPr="00613437">
        <w:rPr>
          <w:lang w:val="pt-BR"/>
        </w:rPr>
        <w:t xml:space="preserve">ão </w:t>
      </w:r>
      <w:r w:rsidR="00A81D23" w:rsidRPr="00613437">
        <w:rPr>
          <w:lang w:val="pt-BR"/>
        </w:rPr>
        <w:t>Estruturado R</w:t>
      </w:r>
      <w:r w:rsidR="009F5AF0" w:rsidRPr="00613437">
        <w:rPr>
          <w:lang w:val="pt-BR"/>
        </w:rPr>
        <w:t>E</w:t>
      </w:r>
      <w:r w:rsidR="00A81D23" w:rsidRPr="00613437">
        <w:rPr>
          <w:lang w:val="pt-BR"/>
        </w:rPr>
        <w:t>CRERE</w:t>
      </w:r>
      <w:bookmarkEnd w:id="126"/>
    </w:p>
    <w:p w14:paraId="57226BB4" w14:textId="73A3A5C3" w:rsidR="00A81D23" w:rsidRDefault="00A81D23" w:rsidP="00A81D23">
      <w:pPr>
        <w:spacing w:after="0" w:line="360" w:lineRule="auto"/>
        <w:jc w:val="both"/>
      </w:pPr>
    </w:p>
    <w:tbl>
      <w:tblPr>
        <w:tblW w:w="9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30"/>
        <w:gridCol w:w="2127"/>
        <w:gridCol w:w="2126"/>
        <w:gridCol w:w="2747"/>
      </w:tblGrid>
      <w:tr w:rsidR="00867B2B" w:rsidRPr="00163227" w14:paraId="2A76839D" w14:textId="77777777" w:rsidTr="00163227">
        <w:trPr>
          <w:trHeight w:val="343"/>
        </w:trPr>
        <w:tc>
          <w:tcPr>
            <w:tcW w:w="9830" w:type="dxa"/>
            <w:gridSpan w:val="4"/>
            <w:shd w:val="clear" w:color="auto" w:fill="auto"/>
            <w:noWrap/>
            <w:vAlign w:val="center"/>
            <w:hideMark/>
          </w:tcPr>
          <w:p w14:paraId="1A4A2B94" w14:textId="77777777" w:rsidR="00A81D23" w:rsidRPr="00163227" w:rsidRDefault="00A81D23" w:rsidP="00073259">
            <w:pPr>
              <w:spacing w:line="240" w:lineRule="auto"/>
              <w:jc w:val="center"/>
              <w:rPr>
                <w:rFonts w:ascii="Arial" w:eastAsia="Times New Roman" w:hAnsi="Arial" w:cs="Arial"/>
                <w:b/>
                <w:bCs/>
                <w:color w:val="0070C0"/>
                <w:sz w:val="20"/>
                <w:szCs w:val="20"/>
                <w:lang w:eastAsia="pt-BR"/>
              </w:rPr>
            </w:pPr>
            <w:r w:rsidRPr="00163227">
              <w:rPr>
                <w:rFonts w:ascii="Arial" w:eastAsia="Times New Roman" w:hAnsi="Arial" w:cs="Arial"/>
                <w:b/>
                <w:bCs/>
                <w:color w:val="0070C0"/>
                <w:sz w:val="20"/>
                <w:szCs w:val="20"/>
                <w:lang w:eastAsia="pt-BR"/>
              </w:rPr>
              <w:t>Relação de créditos a receber (clientes ou operações de crédito) em 31/12/XXXX</w:t>
            </w:r>
          </w:p>
        </w:tc>
      </w:tr>
      <w:tr w:rsidR="00867B2B" w:rsidRPr="00163227" w14:paraId="702FA0A1" w14:textId="77777777" w:rsidTr="00163227">
        <w:trPr>
          <w:trHeight w:val="343"/>
        </w:trPr>
        <w:tc>
          <w:tcPr>
            <w:tcW w:w="9830" w:type="dxa"/>
            <w:gridSpan w:val="4"/>
            <w:shd w:val="clear" w:color="auto" w:fill="auto"/>
            <w:noWrap/>
            <w:vAlign w:val="center"/>
            <w:hideMark/>
          </w:tcPr>
          <w:p w14:paraId="1FA3F661" w14:textId="77777777" w:rsidR="00A81D23" w:rsidRPr="00163227" w:rsidRDefault="00A81D23" w:rsidP="00073259">
            <w:pPr>
              <w:spacing w:line="240" w:lineRule="auto"/>
              <w:rPr>
                <w:rFonts w:ascii="Arial" w:eastAsia="Times New Roman" w:hAnsi="Arial" w:cs="Arial"/>
                <w:b/>
                <w:bCs/>
                <w:color w:val="0070C0"/>
                <w:sz w:val="20"/>
                <w:szCs w:val="20"/>
                <w:lang w:eastAsia="pt-BR"/>
              </w:rPr>
            </w:pPr>
            <w:r w:rsidRPr="00163227">
              <w:rPr>
                <w:rFonts w:ascii="Arial" w:eastAsia="Times New Roman" w:hAnsi="Arial" w:cs="Arial"/>
                <w:b/>
                <w:bCs/>
                <w:color w:val="0070C0"/>
                <w:sz w:val="20"/>
                <w:szCs w:val="20"/>
                <w:lang w:eastAsia="pt-BR"/>
              </w:rPr>
              <w:t>Contas contábeis (curto e longo prazo) envolvidas:</w:t>
            </w:r>
          </w:p>
        </w:tc>
      </w:tr>
      <w:tr w:rsidR="00867B2B" w:rsidRPr="00163227" w14:paraId="178FF421" w14:textId="77777777" w:rsidTr="001910F5">
        <w:trPr>
          <w:trHeight w:val="343"/>
        </w:trPr>
        <w:tc>
          <w:tcPr>
            <w:tcW w:w="2830" w:type="dxa"/>
            <w:shd w:val="clear" w:color="auto" w:fill="auto"/>
            <w:noWrap/>
            <w:vAlign w:val="center"/>
            <w:hideMark/>
          </w:tcPr>
          <w:p w14:paraId="6E3245EF" w14:textId="77777777" w:rsidR="00A81D23" w:rsidRPr="00163227" w:rsidRDefault="00A81D23" w:rsidP="00073259">
            <w:pPr>
              <w:spacing w:line="240" w:lineRule="auto"/>
              <w:rPr>
                <w:rFonts w:ascii="Arial" w:eastAsia="Times New Roman" w:hAnsi="Arial" w:cs="Arial"/>
                <w:b/>
                <w:bCs/>
                <w:color w:val="0070C0"/>
                <w:sz w:val="20"/>
                <w:szCs w:val="20"/>
                <w:lang w:eastAsia="pt-BR"/>
              </w:rPr>
            </w:pPr>
            <w:r w:rsidRPr="00163227">
              <w:rPr>
                <w:rFonts w:ascii="Arial" w:eastAsia="Times New Roman" w:hAnsi="Arial" w:cs="Arial"/>
                <w:b/>
                <w:bCs/>
                <w:color w:val="0070C0"/>
                <w:sz w:val="20"/>
                <w:szCs w:val="20"/>
                <w:lang w:eastAsia="pt-BR"/>
              </w:rPr>
              <w:t>Período (1)</w:t>
            </w:r>
          </w:p>
        </w:tc>
        <w:tc>
          <w:tcPr>
            <w:tcW w:w="2127" w:type="dxa"/>
            <w:shd w:val="clear" w:color="auto" w:fill="auto"/>
            <w:noWrap/>
            <w:vAlign w:val="center"/>
            <w:hideMark/>
          </w:tcPr>
          <w:p w14:paraId="19B1CEFF" w14:textId="77777777" w:rsidR="00A81D23" w:rsidRPr="00163227" w:rsidRDefault="00A81D23" w:rsidP="00073259">
            <w:pPr>
              <w:spacing w:line="240" w:lineRule="auto"/>
              <w:jc w:val="right"/>
              <w:rPr>
                <w:rFonts w:ascii="Arial" w:eastAsia="Times New Roman" w:hAnsi="Arial" w:cs="Arial"/>
                <w:b/>
                <w:bCs/>
                <w:color w:val="0070C0"/>
                <w:sz w:val="20"/>
                <w:szCs w:val="20"/>
                <w:lang w:eastAsia="pt-BR"/>
              </w:rPr>
            </w:pPr>
            <w:r w:rsidRPr="00163227">
              <w:rPr>
                <w:rFonts w:ascii="Arial" w:eastAsia="Times New Roman" w:hAnsi="Arial" w:cs="Arial"/>
                <w:b/>
                <w:bCs/>
                <w:color w:val="0070C0"/>
                <w:sz w:val="20"/>
                <w:szCs w:val="20"/>
                <w:lang w:eastAsia="pt-BR"/>
              </w:rPr>
              <w:t>Quantidade</w:t>
            </w:r>
          </w:p>
        </w:tc>
        <w:tc>
          <w:tcPr>
            <w:tcW w:w="2126" w:type="dxa"/>
            <w:shd w:val="clear" w:color="auto" w:fill="auto"/>
            <w:noWrap/>
            <w:vAlign w:val="center"/>
            <w:hideMark/>
          </w:tcPr>
          <w:p w14:paraId="555ED923" w14:textId="77777777" w:rsidR="00A81D23" w:rsidRPr="00163227" w:rsidRDefault="00A81D23" w:rsidP="00073259">
            <w:pPr>
              <w:spacing w:line="240" w:lineRule="auto"/>
              <w:jc w:val="right"/>
              <w:rPr>
                <w:rFonts w:ascii="Arial" w:eastAsia="Times New Roman" w:hAnsi="Arial" w:cs="Arial"/>
                <w:b/>
                <w:bCs/>
                <w:color w:val="0070C0"/>
                <w:sz w:val="20"/>
                <w:szCs w:val="20"/>
                <w:lang w:eastAsia="pt-BR"/>
              </w:rPr>
            </w:pPr>
            <w:r w:rsidRPr="00163227">
              <w:rPr>
                <w:rFonts w:ascii="Arial" w:eastAsia="Times New Roman" w:hAnsi="Arial" w:cs="Arial"/>
                <w:b/>
                <w:bCs/>
                <w:color w:val="0070C0"/>
                <w:sz w:val="20"/>
                <w:szCs w:val="20"/>
                <w:lang w:eastAsia="pt-BR"/>
              </w:rPr>
              <w:t>Valor</w:t>
            </w:r>
          </w:p>
        </w:tc>
        <w:tc>
          <w:tcPr>
            <w:tcW w:w="2747" w:type="dxa"/>
            <w:shd w:val="clear" w:color="auto" w:fill="auto"/>
            <w:noWrap/>
            <w:vAlign w:val="center"/>
            <w:hideMark/>
          </w:tcPr>
          <w:p w14:paraId="32BCFF03" w14:textId="77777777" w:rsidR="00A81D23" w:rsidRPr="00163227" w:rsidRDefault="00A81D23" w:rsidP="00073259">
            <w:pPr>
              <w:spacing w:line="240" w:lineRule="auto"/>
              <w:jc w:val="right"/>
              <w:rPr>
                <w:rFonts w:ascii="Arial" w:eastAsia="Times New Roman" w:hAnsi="Arial" w:cs="Arial"/>
                <w:b/>
                <w:bCs/>
                <w:color w:val="0070C0"/>
                <w:sz w:val="20"/>
                <w:szCs w:val="20"/>
                <w:lang w:eastAsia="pt-BR"/>
              </w:rPr>
            </w:pPr>
            <w:r w:rsidRPr="00163227">
              <w:rPr>
                <w:rFonts w:ascii="Arial" w:eastAsia="Times New Roman" w:hAnsi="Arial" w:cs="Arial"/>
                <w:b/>
                <w:bCs/>
                <w:color w:val="0070C0"/>
                <w:sz w:val="20"/>
                <w:szCs w:val="20"/>
                <w:lang w:eastAsia="pt-BR"/>
              </w:rPr>
              <w:t>Provisão para perdas</w:t>
            </w:r>
          </w:p>
        </w:tc>
      </w:tr>
      <w:tr w:rsidR="00867B2B" w:rsidRPr="00163227" w14:paraId="39F27F1A" w14:textId="77777777" w:rsidTr="001910F5">
        <w:trPr>
          <w:trHeight w:val="343"/>
        </w:trPr>
        <w:tc>
          <w:tcPr>
            <w:tcW w:w="2830" w:type="dxa"/>
            <w:shd w:val="clear" w:color="auto" w:fill="auto"/>
            <w:noWrap/>
            <w:vAlign w:val="center"/>
            <w:hideMark/>
          </w:tcPr>
          <w:p w14:paraId="089547E5" w14:textId="77777777" w:rsidR="00A81D23" w:rsidRPr="00163227" w:rsidRDefault="00A81D23" w:rsidP="00073259">
            <w:pPr>
              <w:spacing w:line="240" w:lineRule="auto"/>
              <w:rPr>
                <w:rFonts w:ascii="Arial" w:eastAsia="Times New Roman" w:hAnsi="Arial" w:cs="Arial"/>
                <w:color w:val="0070C0"/>
                <w:sz w:val="20"/>
                <w:szCs w:val="20"/>
                <w:lang w:eastAsia="pt-BR"/>
              </w:rPr>
            </w:pPr>
            <w:r w:rsidRPr="00163227">
              <w:rPr>
                <w:rFonts w:ascii="Arial" w:eastAsia="Times New Roman" w:hAnsi="Arial" w:cs="Arial"/>
                <w:color w:val="0070C0"/>
                <w:sz w:val="20"/>
                <w:szCs w:val="20"/>
                <w:lang w:eastAsia="pt-BR"/>
              </w:rPr>
              <w:t xml:space="preserve">A vencer </w:t>
            </w:r>
          </w:p>
        </w:tc>
        <w:tc>
          <w:tcPr>
            <w:tcW w:w="2127" w:type="dxa"/>
            <w:shd w:val="clear" w:color="auto" w:fill="auto"/>
            <w:noWrap/>
            <w:vAlign w:val="center"/>
            <w:hideMark/>
          </w:tcPr>
          <w:p w14:paraId="61F3CE9E" w14:textId="77777777" w:rsidR="00A81D23" w:rsidRPr="00163227" w:rsidRDefault="00A81D23" w:rsidP="00073259">
            <w:pPr>
              <w:spacing w:line="240" w:lineRule="auto"/>
              <w:jc w:val="right"/>
              <w:rPr>
                <w:rFonts w:ascii="Arial" w:eastAsia="Times New Roman" w:hAnsi="Arial" w:cs="Arial"/>
                <w:color w:val="0070C0"/>
                <w:sz w:val="20"/>
                <w:szCs w:val="20"/>
                <w:lang w:eastAsia="pt-BR"/>
              </w:rPr>
            </w:pPr>
            <w:r w:rsidRPr="00163227">
              <w:rPr>
                <w:rFonts w:ascii="Arial" w:eastAsia="Times New Roman" w:hAnsi="Arial" w:cs="Arial"/>
                <w:color w:val="0070C0"/>
                <w:sz w:val="20"/>
                <w:szCs w:val="20"/>
                <w:lang w:eastAsia="pt-BR"/>
              </w:rPr>
              <w:t> </w:t>
            </w:r>
          </w:p>
        </w:tc>
        <w:tc>
          <w:tcPr>
            <w:tcW w:w="2126" w:type="dxa"/>
            <w:shd w:val="clear" w:color="auto" w:fill="auto"/>
            <w:noWrap/>
            <w:vAlign w:val="center"/>
            <w:hideMark/>
          </w:tcPr>
          <w:p w14:paraId="614A669A" w14:textId="77777777" w:rsidR="00A81D23" w:rsidRPr="00163227" w:rsidRDefault="00A81D23" w:rsidP="00073259">
            <w:pPr>
              <w:spacing w:line="240" w:lineRule="auto"/>
              <w:jc w:val="right"/>
              <w:rPr>
                <w:rFonts w:ascii="Arial" w:eastAsia="Times New Roman" w:hAnsi="Arial" w:cs="Arial"/>
                <w:color w:val="0070C0"/>
                <w:sz w:val="20"/>
                <w:szCs w:val="20"/>
                <w:lang w:eastAsia="pt-BR"/>
              </w:rPr>
            </w:pPr>
            <w:r w:rsidRPr="00163227">
              <w:rPr>
                <w:rFonts w:ascii="Arial" w:eastAsia="Times New Roman" w:hAnsi="Arial" w:cs="Arial"/>
                <w:color w:val="0070C0"/>
                <w:sz w:val="20"/>
                <w:szCs w:val="20"/>
                <w:lang w:eastAsia="pt-BR"/>
              </w:rPr>
              <w:t> </w:t>
            </w:r>
          </w:p>
        </w:tc>
        <w:tc>
          <w:tcPr>
            <w:tcW w:w="2747" w:type="dxa"/>
            <w:shd w:val="clear" w:color="auto" w:fill="auto"/>
            <w:noWrap/>
            <w:vAlign w:val="center"/>
            <w:hideMark/>
          </w:tcPr>
          <w:p w14:paraId="7E4F0EAA" w14:textId="77777777" w:rsidR="00A81D23" w:rsidRPr="00163227" w:rsidRDefault="00A81D23" w:rsidP="00073259">
            <w:pPr>
              <w:spacing w:line="240" w:lineRule="auto"/>
              <w:jc w:val="right"/>
              <w:rPr>
                <w:rFonts w:ascii="Arial" w:eastAsia="Times New Roman" w:hAnsi="Arial" w:cs="Arial"/>
                <w:color w:val="0070C0"/>
                <w:sz w:val="20"/>
                <w:szCs w:val="20"/>
                <w:lang w:eastAsia="pt-BR"/>
              </w:rPr>
            </w:pPr>
            <w:r w:rsidRPr="00163227">
              <w:rPr>
                <w:rFonts w:ascii="Arial" w:eastAsia="Times New Roman" w:hAnsi="Arial" w:cs="Arial"/>
                <w:color w:val="0070C0"/>
                <w:sz w:val="20"/>
                <w:szCs w:val="20"/>
                <w:lang w:eastAsia="pt-BR"/>
              </w:rPr>
              <w:t> </w:t>
            </w:r>
          </w:p>
        </w:tc>
      </w:tr>
      <w:tr w:rsidR="00867B2B" w:rsidRPr="00163227" w14:paraId="5F38C489" w14:textId="77777777" w:rsidTr="001910F5">
        <w:trPr>
          <w:trHeight w:val="343"/>
        </w:trPr>
        <w:tc>
          <w:tcPr>
            <w:tcW w:w="2830" w:type="dxa"/>
            <w:shd w:val="clear" w:color="auto" w:fill="auto"/>
            <w:noWrap/>
            <w:vAlign w:val="center"/>
            <w:hideMark/>
          </w:tcPr>
          <w:p w14:paraId="2702DF4A" w14:textId="77777777" w:rsidR="00A81D23" w:rsidRPr="00163227" w:rsidRDefault="00A81D23" w:rsidP="00073259">
            <w:pPr>
              <w:spacing w:line="240" w:lineRule="auto"/>
              <w:rPr>
                <w:rFonts w:ascii="Arial" w:eastAsia="Times New Roman" w:hAnsi="Arial" w:cs="Arial"/>
                <w:color w:val="0070C0"/>
                <w:sz w:val="20"/>
                <w:szCs w:val="20"/>
                <w:lang w:eastAsia="pt-BR"/>
              </w:rPr>
            </w:pPr>
            <w:r w:rsidRPr="00163227">
              <w:rPr>
                <w:rFonts w:ascii="Arial" w:eastAsia="Times New Roman" w:hAnsi="Arial" w:cs="Arial"/>
                <w:color w:val="0070C0"/>
                <w:sz w:val="20"/>
                <w:szCs w:val="20"/>
                <w:lang w:eastAsia="pt-BR"/>
              </w:rPr>
              <w:t>Vencidas até 30 dias</w:t>
            </w:r>
          </w:p>
        </w:tc>
        <w:tc>
          <w:tcPr>
            <w:tcW w:w="2127" w:type="dxa"/>
            <w:shd w:val="clear" w:color="auto" w:fill="auto"/>
            <w:noWrap/>
            <w:vAlign w:val="center"/>
            <w:hideMark/>
          </w:tcPr>
          <w:p w14:paraId="343CE15E" w14:textId="77777777" w:rsidR="00A81D23" w:rsidRPr="00163227" w:rsidRDefault="00A81D23" w:rsidP="00073259">
            <w:pPr>
              <w:spacing w:line="240" w:lineRule="auto"/>
              <w:jc w:val="right"/>
              <w:rPr>
                <w:rFonts w:ascii="Arial" w:eastAsia="Times New Roman" w:hAnsi="Arial" w:cs="Arial"/>
                <w:color w:val="0070C0"/>
                <w:sz w:val="20"/>
                <w:szCs w:val="20"/>
                <w:lang w:eastAsia="pt-BR"/>
              </w:rPr>
            </w:pPr>
            <w:r w:rsidRPr="00163227">
              <w:rPr>
                <w:rFonts w:ascii="Arial" w:eastAsia="Times New Roman" w:hAnsi="Arial" w:cs="Arial"/>
                <w:color w:val="0070C0"/>
                <w:sz w:val="20"/>
                <w:szCs w:val="20"/>
                <w:lang w:eastAsia="pt-BR"/>
              </w:rPr>
              <w:t> </w:t>
            </w:r>
          </w:p>
        </w:tc>
        <w:tc>
          <w:tcPr>
            <w:tcW w:w="2126" w:type="dxa"/>
            <w:shd w:val="clear" w:color="auto" w:fill="auto"/>
            <w:noWrap/>
            <w:vAlign w:val="center"/>
            <w:hideMark/>
          </w:tcPr>
          <w:p w14:paraId="1E9E9191" w14:textId="77777777" w:rsidR="00A81D23" w:rsidRPr="00163227" w:rsidRDefault="00A81D23" w:rsidP="00073259">
            <w:pPr>
              <w:spacing w:line="240" w:lineRule="auto"/>
              <w:jc w:val="right"/>
              <w:rPr>
                <w:rFonts w:ascii="Arial" w:eastAsia="Times New Roman" w:hAnsi="Arial" w:cs="Arial"/>
                <w:color w:val="0070C0"/>
                <w:sz w:val="20"/>
                <w:szCs w:val="20"/>
                <w:lang w:eastAsia="pt-BR"/>
              </w:rPr>
            </w:pPr>
            <w:r w:rsidRPr="00163227">
              <w:rPr>
                <w:rFonts w:ascii="Arial" w:eastAsia="Times New Roman" w:hAnsi="Arial" w:cs="Arial"/>
                <w:color w:val="0070C0"/>
                <w:sz w:val="20"/>
                <w:szCs w:val="20"/>
                <w:lang w:eastAsia="pt-BR"/>
              </w:rPr>
              <w:t> </w:t>
            </w:r>
          </w:p>
        </w:tc>
        <w:tc>
          <w:tcPr>
            <w:tcW w:w="2747" w:type="dxa"/>
            <w:shd w:val="clear" w:color="auto" w:fill="auto"/>
            <w:noWrap/>
            <w:vAlign w:val="center"/>
            <w:hideMark/>
          </w:tcPr>
          <w:p w14:paraId="444326EA" w14:textId="77777777" w:rsidR="00A81D23" w:rsidRPr="00163227" w:rsidRDefault="00A81D23" w:rsidP="00073259">
            <w:pPr>
              <w:spacing w:line="240" w:lineRule="auto"/>
              <w:jc w:val="right"/>
              <w:rPr>
                <w:rFonts w:ascii="Arial" w:eastAsia="Times New Roman" w:hAnsi="Arial" w:cs="Arial"/>
                <w:color w:val="0070C0"/>
                <w:sz w:val="20"/>
                <w:szCs w:val="20"/>
                <w:lang w:eastAsia="pt-BR"/>
              </w:rPr>
            </w:pPr>
            <w:r w:rsidRPr="00163227">
              <w:rPr>
                <w:rFonts w:ascii="Arial" w:eastAsia="Times New Roman" w:hAnsi="Arial" w:cs="Arial"/>
                <w:color w:val="0070C0"/>
                <w:sz w:val="20"/>
                <w:szCs w:val="20"/>
                <w:lang w:eastAsia="pt-BR"/>
              </w:rPr>
              <w:t> </w:t>
            </w:r>
          </w:p>
        </w:tc>
      </w:tr>
      <w:tr w:rsidR="00867B2B" w:rsidRPr="00163227" w14:paraId="076D374F" w14:textId="77777777" w:rsidTr="001910F5">
        <w:trPr>
          <w:trHeight w:val="343"/>
        </w:trPr>
        <w:tc>
          <w:tcPr>
            <w:tcW w:w="2830" w:type="dxa"/>
            <w:shd w:val="clear" w:color="auto" w:fill="auto"/>
            <w:noWrap/>
            <w:vAlign w:val="center"/>
            <w:hideMark/>
          </w:tcPr>
          <w:p w14:paraId="1FD89A55" w14:textId="77777777" w:rsidR="00A81D23" w:rsidRPr="00163227" w:rsidRDefault="00A81D23" w:rsidP="00073259">
            <w:pPr>
              <w:spacing w:line="240" w:lineRule="auto"/>
              <w:rPr>
                <w:rFonts w:ascii="Arial" w:eastAsia="Times New Roman" w:hAnsi="Arial" w:cs="Arial"/>
                <w:color w:val="0070C0"/>
                <w:sz w:val="20"/>
                <w:szCs w:val="20"/>
                <w:lang w:eastAsia="pt-BR"/>
              </w:rPr>
            </w:pPr>
            <w:r w:rsidRPr="00163227">
              <w:rPr>
                <w:rFonts w:ascii="Arial" w:eastAsia="Times New Roman" w:hAnsi="Arial" w:cs="Arial"/>
                <w:color w:val="0070C0"/>
                <w:sz w:val="20"/>
                <w:szCs w:val="20"/>
                <w:lang w:eastAsia="pt-BR"/>
              </w:rPr>
              <w:t xml:space="preserve">Vencidas entre 30 e 90 dias </w:t>
            </w:r>
          </w:p>
        </w:tc>
        <w:tc>
          <w:tcPr>
            <w:tcW w:w="2127" w:type="dxa"/>
            <w:shd w:val="clear" w:color="auto" w:fill="auto"/>
            <w:noWrap/>
            <w:vAlign w:val="center"/>
            <w:hideMark/>
          </w:tcPr>
          <w:p w14:paraId="53A56B32" w14:textId="77777777" w:rsidR="00A81D23" w:rsidRPr="00163227" w:rsidRDefault="00A81D23" w:rsidP="00073259">
            <w:pPr>
              <w:spacing w:line="240" w:lineRule="auto"/>
              <w:jc w:val="right"/>
              <w:rPr>
                <w:rFonts w:ascii="Arial" w:eastAsia="Times New Roman" w:hAnsi="Arial" w:cs="Arial"/>
                <w:color w:val="0070C0"/>
                <w:sz w:val="20"/>
                <w:szCs w:val="20"/>
                <w:lang w:eastAsia="pt-BR"/>
              </w:rPr>
            </w:pPr>
            <w:r w:rsidRPr="00163227">
              <w:rPr>
                <w:rFonts w:ascii="Arial" w:eastAsia="Times New Roman" w:hAnsi="Arial" w:cs="Arial"/>
                <w:color w:val="0070C0"/>
                <w:sz w:val="20"/>
                <w:szCs w:val="20"/>
                <w:lang w:eastAsia="pt-BR"/>
              </w:rPr>
              <w:t> </w:t>
            </w:r>
          </w:p>
        </w:tc>
        <w:tc>
          <w:tcPr>
            <w:tcW w:w="2126" w:type="dxa"/>
            <w:shd w:val="clear" w:color="auto" w:fill="auto"/>
            <w:noWrap/>
            <w:vAlign w:val="center"/>
            <w:hideMark/>
          </w:tcPr>
          <w:p w14:paraId="0C0E3F79" w14:textId="77777777" w:rsidR="00A81D23" w:rsidRPr="00163227" w:rsidRDefault="00A81D23" w:rsidP="00073259">
            <w:pPr>
              <w:spacing w:line="240" w:lineRule="auto"/>
              <w:jc w:val="right"/>
              <w:rPr>
                <w:rFonts w:ascii="Arial" w:eastAsia="Times New Roman" w:hAnsi="Arial" w:cs="Arial"/>
                <w:color w:val="0070C0"/>
                <w:sz w:val="20"/>
                <w:szCs w:val="20"/>
                <w:lang w:eastAsia="pt-BR"/>
              </w:rPr>
            </w:pPr>
            <w:r w:rsidRPr="00163227">
              <w:rPr>
                <w:rFonts w:ascii="Arial" w:eastAsia="Times New Roman" w:hAnsi="Arial" w:cs="Arial"/>
                <w:color w:val="0070C0"/>
                <w:sz w:val="20"/>
                <w:szCs w:val="20"/>
                <w:lang w:eastAsia="pt-BR"/>
              </w:rPr>
              <w:t> </w:t>
            </w:r>
          </w:p>
        </w:tc>
        <w:tc>
          <w:tcPr>
            <w:tcW w:w="2747" w:type="dxa"/>
            <w:shd w:val="clear" w:color="auto" w:fill="auto"/>
            <w:noWrap/>
            <w:vAlign w:val="center"/>
            <w:hideMark/>
          </w:tcPr>
          <w:p w14:paraId="19A5C46D" w14:textId="77777777" w:rsidR="00A81D23" w:rsidRPr="00163227" w:rsidRDefault="00A81D23" w:rsidP="00073259">
            <w:pPr>
              <w:spacing w:line="240" w:lineRule="auto"/>
              <w:jc w:val="right"/>
              <w:rPr>
                <w:rFonts w:ascii="Arial" w:eastAsia="Times New Roman" w:hAnsi="Arial" w:cs="Arial"/>
                <w:color w:val="0070C0"/>
                <w:sz w:val="20"/>
                <w:szCs w:val="20"/>
                <w:lang w:eastAsia="pt-BR"/>
              </w:rPr>
            </w:pPr>
            <w:r w:rsidRPr="00163227">
              <w:rPr>
                <w:rFonts w:ascii="Arial" w:eastAsia="Times New Roman" w:hAnsi="Arial" w:cs="Arial"/>
                <w:color w:val="0070C0"/>
                <w:sz w:val="20"/>
                <w:szCs w:val="20"/>
                <w:lang w:eastAsia="pt-BR"/>
              </w:rPr>
              <w:t> </w:t>
            </w:r>
          </w:p>
        </w:tc>
      </w:tr>
      <w:tr w:rsidR="00867B2B" w:rsidRPr="00163227" w14:paraId="057F53CD" w14:textId="77777777" w:rsidTr="001910F5">
        <w:trPr>
          <w:trHeight w:val="343"/>
        </w:trPr>
        <w:tc>
          <w:tcPr>
            <w:tcW w:w="2830" w:type="dxa"/>
            <w:shd w:val="clear" w:color="auto" w:fill="auto"/>
            <w:noWrap/>
            <w:vAlign w:val="center"/>
            <w:hideMark/>
          </w:tcPr>
          <w:p w14:paraId="03EF7D89" w14:textId="77777777" w:rsidR="00A81D23" w:rsidRPr="00163227" w:rsidRDefault="00A81D23" w:rsidP="00073259">
            <w:pPr>
              <w:spacing w:line="240" w:lineRule="auto"/>
              <w:rPr>
                <w:rFonts w:ascii="Arial" w:eastAsia="Times New Roman" w:hAnsi="Arial" w:cs="Arial"/>
                <w:color w:val="0070C0"/>
                <w:sz w:val="20"/>
                <w:szCs w:val="20"/>
                <w:lang w:eastAsia="pt-BR"/>
              </w:rPr>
            </w:pPr>
            <w:r w:rsidRPr="00163227">
              <w:rPr>
                <w:rFonts w:ascii="Arial" w:eastAsia="Times New Roman" w:hAnsi="Arial" w:cs="Arial"/>
                <w:color w:val="0070C0"/>
                <w:sz w:val="20"/>
                <w:szCs w:val="20"/>
                <w:lang w:eastAsia="pt-BR"/>
              </w:rPr>
              <w:t>Vencidas a mais de 90 dias</w:t>
            </w:r>
          </w:p>
        </w:tc>
        <w:tc>
          <w:tcPr>
            <w:tcW w:w="2127" w:type="dxa"/>
            <w:shd w:val="clear" w:color="auto" w:fill="auto"/>
            <w:noWrap/>
            <w:vAlign w:val="center"/>
            <w:hideMark/>
          </w:tcPr>
          <w:p w14:paraId="15AFAE37" w14:textId="77777777" w:rsidR="00A81D23" w:rsidRPr="00163227" w:rsidRDefault="00A81D23" w:rsidP="00073259">
            <w:pPr>
              <w:spacing w:line="240" w:lineRule="auto"/>
              <w:jc w:val="right"/>
              <w:rPr>
                <w:rFonts w:ascii="Arial" w:eastAsia="Times New Roman" w:hAnsi="Arial" w:cs="Arial"/>
                <w:color w:val="0070C0"/>
                <w:sz w:val="20"/>
                <w:szCs w:val="20"/>
                <w:lang w:eastAsia="pt-BR"/>
              </w:rPr>
            </w:pPr>
            <w:r w:rsidRPr="00163227">
              <w:rPr>
                <w:rFonts w:ascii="Arial" w:eastAsia="Times New Roman" w:hAnsi="Arial" w:cs="Arial"/>
                <w:color w:val="0070C0"/>
                <w:sz w:val="20"/>
                <w:szCs w:val="20"/>
                <w:lang w:eastAsia="pt-BR"/>
              </w:rPr>
              <w:t> </w:t>
            </w:r>
          </w:p>
        </w:tc>
        <w:tc>
          <w:tcPr>
            <w:tcW w:w="2126" w:type="dxa"/>
            <w:shd w:val="clear" w:color="auto" w:fill="auto"/>
            <w:noWrap/>
            <w:vAlign w:val="center"/>
            <w:hideMark/>
          </w:tcPr>
          <w:p w14:paraId="0FBB255D" w14:textId="77777777" w:rsidR="00A81D23" w:rsidRPr="00163227" w:rsidRDefault="00A81D23" w:rsidP="00073259">
            <w:pPr>
              <w:spacing w:line="240" w:lineRule="auto"/>
              <w:jc w:val="right"/>
              <w:rPr>
                <w:rFonts w:ascii="Arial" w:eastAsia="Times New Roman" w:hAnsi="Arial" w:cs="Arial"/>
                <w:color w:val="0070C0"/>
                <w:sz w:val="20"/>
                <w:szCs w:val="20"/>
                <w:lang w:eastAsia="pt-BR"/>
              </w:rPr>
            </w:pPr>
            <w:r w:rsidRPr="00163227">
              <w:rPr>
                <w:rFonts w:ascii="Arial" w:eastAsia="Times New Roman" w:hAnsi="Arial" w:cs="Arial"/>
                <w:color w:val="0070C0"/>
                <w:sz w:val="20"/>
                <w:szCs w:val="20"/>
                <w:lang w:eastAsia="pt-BR"/>
              </w:rPr>
              <w:t> </w:t>
            </w:r>
          </w:p>
        </w:tc>
        <w:tc>
          <w:tcPr>
            <w:tcW w:w="2747" w:type="dxa"/>
            <w:shd w:val="clear" w:color="auto" w:fill="auto"/>
            <w:noWrap/>
            <w:vAlign w:val="center"/>
            <w:hideMark/>
          </w:tcPr>
          <w:p w14:paraId="199508CD" w14:textId="77777777" w:rsidR="00A81D23" w:rsidRPr="00163227" w:rsidRDefault="00A81D23" w:rsidP="00073259">
            <w:pPr>
              <w:spacing w:line="240" w:lineRule="auto"/>
              <w:jc w:val="right"/>
              <w:rPr>
                <w:rFonts w:ascii="Arial" w:eastAsia="Times New Roman" w:hAnsi="Arial" w:cs="Arial"/>
                <w:color w:val="0070C0"/>
                <w:sz w:val="20"/>
                <w:szCs w:val="20"/>
                <w:lang w:eastAsia="pt-BR"/>
              </w:rPr>
            </w:pPr>
            <w:r w:rsidRPr="00163227">
              <w:rPr>
                <w:rFonts w:ascii="Arial" w:eastAsia="Times New Roman" w:hAnsi="Arial" w:cs="Arial"/>
                <w:color w:val="0070C0"/>
                <w:sz w:val="20"/>
                <w:szCs w:val="20"/>
                <w:lang w:eastAsia="pt-BR"/>
              </w:rPr>
              <w:t> </w:t>
            </w:r>
          </w:p>
        </w:tc>
      </w:tr>
      <w:tr w:rsidR="00867B2B" w:rsidRPr="00163227" w14:paraId="28F9D76B" w14:textId="77777777" w:rsidTr="001910F5">
        <w:trPr>
          <w:trHeight w:val="343"/>
        </w:trPr>
        <w:tc>
          <w:tcPr>
            <w:tcW w:w="2830" w:type="dxa"/>
            <w:shd w:val="clear" w:color="auto" w:fill="auto"/>
            <w:noWrap/>
            <w:vAlign w:val="center"/>
            <w:hideMark/>
          </w:tcPr>
          <w:p w14:paraId="00BEA336" w14:textId="77777777" w:rsidR="00A81D23" w:rsidRPr="00163227" w:rsidRDefault="00A81D23" w:rsidP="00073259">
            <w:pPr>
              <w:spacing w:line="240" w:lineRule="auto"/>
              <w:rPr>
                <w:rFonts w:ascii="Arial" w:eastAsia="Times New Roman" w:hAnsi="Arial" w:cs="Arial"/>
                <w:color w:val="0070C0"/>
                <w:sz w:val="20"/>
                <w:szCs w:val="20"/>
                <w:lang w:eastAsia="pt-BR"/>
              </w:rPr>
            </w:pPr>
            <w:r w:rsidRPr="00163227">
              <w:rPr>
                <w:rFonts w:ascii="Arial" w:eastAsia="Times New Roman" w:hAnsi="Arial" w:cs="Arial"/>
                <w:color w:val="0070C0"/>
                <w:sz w:val="20"/>
                <w:szCs w:val="20"/>
                <w:lang w:eastAsia="pt-BR"/>
              </w:rPr>
              <w:t>Total</w:t>
            </w:r>
          </w:p>
        </w:tc>
        <w:tc>
          <w:tcPr>
            <w:tcW w:w="2127" w:type="dxa"/>
            <w:shd w:val="clear" w:color="auto" w:fill="auto"/>
            <w:noWrap/>
            <w:vAlign w:val="center"/>
            <w:hideMark/>
          </w:tcPr>
          <w:p w14:paraId="2C8809E3" w14:textId="77777777" w:rsidR="00A81D23" w:rsidRPr="00163227" w:rsidRDefault="00A81D23" w:rsidP="00073259">
            <w:pPr>
              <w:spacing w:line="240" w:lineRule="auto"/>
              <w:jc w:val="right"/>
              <w:rPr>
                <w:rFonts w:ascii="Arial" w:eastAsia="Times New Roman" w:hAnsi="Arial" w:cs="Arial"/>
                <w:color w:val="0070C0"/>
                <w:sz w:val="20"/>
                <w:szCs w:val="20"/>
                <w:lang w:eastAsia="pt-BR"/>
              </w:rPr>
            </w:pPr>
            <w:r w:rsidRPr="00163227">
              <w:rPr>
                <w:rFonts w:ascii="Arial" w:eastAsia="Times New Roman" w:hAnsi="Arial" w:cs="Arial"/>
                <w:color w:val="0070C0"/>
                <w:sz w:val="20"/>
                <w:szCs w:val="20"/>
                <w:lang w:eastAsia="pt-BR"/>
              </w:rPr>
              <w:t> </w:t>
            </w:r>
          </w:p>
        </w:tc>
        <w:tc>
          <w:tcPr>
            <w:tcW w:w="2126" w:type="dxa"/>
            <w:shd w:val="clear" w:color="auto" w:fill="auto"/>
            <w:noWrap/>
            <w:vAlign w:val="center"/>
            <w:hideMark/>
          </w:tcPr>
          <w:p w14:paraId="79F016F0" w14:textId="77777777" w:rsidR="00A81D23" w:rsidRPr="00163227" w:rsidRDefault="00A81D23" w:rsidP="00073259">
            <w:pPr>
              <w:spacing w:line="240" w:lineRule="auto"/>
              <w:jc w:val="right"/>
              <w:rPr>
                <w:rFonts w:ascii="Arial" w:eastAsia="Times New Roman" w:hAnsi="Arial" w:cs="Arial"/>
                <w:color w:val="0070C0"/>
                <w:sz w:val="20"/>
                <w:szCs w:val="20"/>
                <w:lang w:eastAsia="pt-BR"/>
              </w:rPr>
            </w:pPr>
            <w:r w:rsidRPr="00163227">
              <w:rPr>
                <w:rFonts w:ascii="Arial" w:eastAsia="Times New Roman" w:hAnsi="Arial" w:cs="Arial"/>
                <w:color w:val="0070C0"/>
                <w:sz w:val="20"/>
                <w:szCs w:val="20"/>
                <w:lang w:eastAsia="pt-BR"/>
              </w:rPr>
              <w:t> </w:t>
            </w:r>
          </w:p>
        </w:tc>
        <w:tc>
          <w:tcPr>
            <w:tcW w:w="2747" w:type="dxa"/>
            <w:shd w:val="clear" w:color="auto" w:fill="auto"/>
            <w:noWrap/>
            <w:vAlign w:val="center"/>
            <w:hideMark/>
          </w:tcPr>
          <w:p w14:paraId="0AACF9DA" w14:textId="77777777" w:rsidR="00A81D23" w:rsidRPr="00163227" w:rsidRDefault="00A81D23" w:rsidP="00073259">
            <w:pPr>
              <w:spacing w:line="240" w:lineRule="auto"/>
              <w:jc w:val="right"/>
              <w:rPr>
                <w:rFonts w:ascii="Arial" w:eastAsia="Times New Roman" w:hAnsi="Arial" w:cs="Arial"/>
                <w:color w:val="0070C0"/>
                <w:sz w:val="20"/>
                <w:szCs w:val="20"/>
                <w:lang w:eastAsia="pt-BR"/>
              </w:rPr>
            </w:pPr>
            <w:r w:rsidRPr="00163227">
              <w:rPr>
                <w:rFonts w:ascii="Arial" w:eastAsia="Times New Roman" w:hAnsi="Arial" w:cs="Arial"/>
                <w:color w:val="0070C0"/>
                <w:sz w:val="20"/>
                <w:szCs w:val="20"/>
                <w:lang w:eastAsia="pt-BR"/>
              </w:rPr>
              <w:t> </w:t>
            </w:r>
          </w:p>
        </w:tc>
      </w:tr>
      <w:tr w:rsidR="00867B2B" w:rsidRPr="00163227" w14:paraId="46566974" w14:textId="77777777" w:rsidTr="00163227">
        <w:trPr>
          <w:trHeight w:val="618"/>
        </w:trPr>
        <w:tc>
          <w:tcPr>
            <w:tcW w:w="9830" w:type="dxa"/>
            <w:gridSpan w:val="4"/>
            <w:shd w:val="clear" w:color="auto" w:fill="auto"/>
            <w:vAlign w:val="center"/>
            <w:hideMark/>
          </w:tcPr>
          <w:p w14:paraId="13C9F8B1" w14:textId="77777777" w:rsidR="00A81D23" w:rsidRPr="00163227" w:rsidRDefault="00A81D23" w:rsidP="00073259">
            <w:pPr>
              <w:spacing w:line="240" w:lineRule="auto"/>
              <w:rPr>
                <w:rFonts w:ascii="Arial" w:eastAsia="Times New Roman" w:hAnsi="Arial" w:cs="Arial"/>
                <w:color w:val="0070C0"/>
                <w:sz w:val="20"/>
                <w:szCs w:val="20"/>
                <w:lang w:eastAsia="pt-BR"/>
              </w:rPr>
            </w:pPr>
            <w:r w:rsidRPr="00163227">
              <w:rPr>
                <w:rFonts w:ascii="Arial" w:eastAsia="Times New Roman" w:hAnsi="Arial" w:cs="Arial"/>
                <w:color w:val="0070C0"/>
                <w:sz w:val="20"/>
                <w:szCs w:val="20"/>
                <w:lang w:eastAsia="pt-BR"/>
              </w:rPr>
              <w:lastRenderedPageBreak/>
              <w:t>Nota 1: Os prazos podem ser ajustados de acordo com levantamentos já existentes desde que evidencie no mínimo os grupos de créditos vencidos, a vencer até 30 dias  e a vencer superior a 30 dias.</w:t>
            </w:r>
          </w:p>
        </w:tc>
      </w:tr>
    </w:tbl>
    <w:p w14:paraId="681B2984" w14:textId="3B2EDF88" w:rsidR="00A81D23" w:rsidRDefault="00A81D23" w:rsidP="00A81D23">
      <w:pPr>
        <w:spacing w:after="0" w:line="360" w:lineRule="auto"/>
        <w:jc w:val="both"/>
      </w:pPr>
    </w:p>
    <w:p w14:paraId="04759054" w14:textId="77777777" w:rsidR="00ED6D8E" w:rsidRDefault="00ED6D8E" w:rsidP="00A81D23">
      <w:pPr>
        <w:spacing w:after="0" w:line="360" w:lineRule="auto"/>
        <w:jc w:val="both"/>
      </w:pPr>
    </w:p>
    <w:p w14:paraId="6F094804" w14:textId="2DF40A54" w:rsidR="00867B2B" w:rsidRPr="00613437" w:rsidRDefault="00867B2B">
      <w:pPr>
        <w:pStyle w:val="Ttulo2"/>
        <w:rPr>
          <w:lang w:val="pt-BR"/>
        </w:rPr>
      </w:pPr>
      <w:r w:rsidRPr="00613437">
        <w:rPr>
          <w:lang w:val="pt-BR"/>
        </w:rPr>
        <w:t xml:space="preserve"> </w:t>
      </w:r>
      <w:bookmarkStart w:id="127" w:name="_Toc94806394"/>
      <w:r w:rsidRPr="00613437">
        <w:rPr>
          <w:lang w:val="pt-BR"/>
        </w:rPr>
        <w:t>Incluído o Modelo de Arquivo Não Estruturado</w:t>
      </w:r>
      <w:r w:rsidR="003A5B59" w:rsidRPr="00613437">
        <w:rPr>
          <w:lang w:val="pt-BR"/>
        </w:rPr>
        <w:t xml:space="preserve"> </w:t>
      </w:r>
      <w:r w:rsidR="003A5B59" w:rsidRPr="00613437">
        <w:rPr>
          <w:rFonts w:cs="Arial"/>
          <w:szCs w:val="28"/>
          <w:lang w:val="pt-BR"/>
        </w:rPr>
        <w:t>R</w:t>
      </w:r>
      <w:r w:rsidR="009F5AF0" w:rsidRPr="00613437">
        <w:rPr>
          <w:rFonts w:cs="Arial"/>
          <w:szCs w:val="28"/>
          <w:lang w:val="pt-BR"/>
        </w:rPr>
        <w:t>EOBRIG</w:t>
      </w:r>
      <w:r w:rsidR="003A5B59" w:rsidRPr="00613437">
        <w:rPr>
          <w:rFonts w:cs="Arial"/>
          <w:szCs w:val="28"/>
          <w:lang w:val="pt-BR"/>
        </w:rPr>
        <w:t>.</w:t>
      </w:r>
      <w:bookmarkEnd w:id="127"/>
    </w:p>
    <w:p w14:paraId="4347FF8E" w14:textId="77777777" w:rsidR="003A5B59" w:rsidRDefault="003A5B59" w:rsidP="003A5B59">
      <w:pPr>
        <w:spacing w:after="0" w:line="360" w:lineRule="auto"/>
        <w:jc w:val="both"/>
      </w:pPr>
    </w:p>
    <w:tbl>
      <w:tblPr>
        <w:tblW w:w="9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30"/>
        <w:gridCol w:w="2694"/>
        <w:gridCol w:w="4397"/>
      </w:tblGrid>
      <w:tr w:rsidR="00766C57" w:rsidRPr="001910F5" w14:paraId="3BB97773" w14:textId="77777777" w:rsidTr="001910F5">
        <w:trPr>
          <w:trHeight w:val="316"/>
        </w:trPr>
        <w:tc>
          <w:tcPr>
            <w:tcW w:w="9921" w:type="dxa"/>
            <w:gridSpan w:val="3"/>
            <w:shd w:val="clear" w:color="auto" w:fill="auto"/>
            <w:noWrap/>
            <w:vAlign w:val="center"/>
            <w:hideMark/>
          </w:tcPr>
          <w:p w14:paraId="7B6A6534" w14:textId="77777777" w:rsidR="003A5B59" w:rsidRPr="001910F5" w:rsidRDefault="003A5B59" w:rsidP="00073259">
            <w:pPr>
              <w:spacing w:line="240" w:lineRule="auto"/>
              <w:jc w:val="center"/>
              <w:rPr>
                <w:rFonts w:ascii="Arial" w:eastAsia="Times New Roman" w:hAnsi="Arial" w:cs="Arial"/>
                <w:b/>
                <w:bCs/>
                <w:color w:val="0070C0"/>
                <w:sz w:val="20"/>
                <w:szCs w:val="20"/>
                <w:lang w:eastAsia="pt-BR"/>
              </w:rPr>
            </w:pPr>
            <w:r w:rsidRPr="001910F5">
              <w:rPr>
                <w:rFonts w:ascii="Arial" w:eastAsia="Times New Roman" w:hAnsi="Arial" w:cs="Arial"/>
                <w:b/>
                <w:bCs/>
                <w:color w:val="0070C0"/>
                <w:sz w:val="20"/>
                <w:szCs w:val="20"/>
                <w:lang w:eastAsia="pt-BR"/>
              </w:rPr>
              <w:t>Relação de obrigações (contas a pagar fornecedores) em 31/12/XXXX</w:t>
            </w:r>
          </w:p>
        </w:tc>
      </w:tr>
      <w:tr w:rsidR="00766C57" w:rsidRPr="001910F5" w14:paraId="03F1EE5F" w14:textId="77777777" w:rsidTr="001910F5">
        <w:trPr>
          <w:trHeight w:val="316"/>
        </w:trPr>
        <w:tc>
          <w:tcPr>
            <w:tcW w:w="9921" w:type="dxa"/>
            <w:gridSpan w:val="3"/>
            <w:shd w:val="clear" w:color="auto" w:fill="auto"/>
            <w:noWrap/>
            <w:vAlign w:val="center"/>
            <w:hideMark/>
          </w:tcPr>
          <w:p w14:paraId="55283E7C" w14:textId="77777777" w:rsidR="003A5B59" w:rsidRPr="001910F5" w:rsidRDefault="003A5B59" w:rsidP="00073259">
            <w:pPr>
              <w:spacing w:line="240" w:lineRule="auto"/>
              <w:rPr>
                <w:rFonts w:ascii="Arial" w:eastAsia="Times New Roman" w:hAnsi="Arial" w:cs="Arial"/>
                <w:b/>
                <w:bCs/>
                <w:color w:val="0070C0"/>
                <w:sz w:val="20"/>
                <w:szCs w:val="20"/>
                <w:lang w:eastAsia="pt-BR"/>
              </w:rPr>
            </w:pPr>
            <w:r w:rsidRPr="001910F5">
              <w:rPr>
                <w:rFonts w:ascii="Arial" w:eastAsia="Times New Roman" w:hAnsi="Arial" w:cs="Arial"/>
                <w:b/>
                <w:bCs/>
                <w:color w:val="0070C0"/>
                <w:sz w:val="20"/>
                <w:szCs w:val="20"/>
                <w:lang w:eastAsia="pt-BR"/>
              </w:rPr>
              <w:t>Contas contábeis (curto e longo prazo) envolvidas:</w:t>
            </w:r>
          </w:p>
        </w:tc>
      </w:tr>
      <w:tr w:rsidR="00766C57" w:rsidRPr="001910F5" w14:paraId="47A11FA9" w14:textId="77777777" w:rsidTr="001910F5">
        <w:trPr>
          <w:trHeight w:val="316"/>
        </w:trPr>
        <w:tc>
          <w:tcPr>
            <w:tcW w:w="2830" w:type="dxa"/>
            <w:shd w:val="clear" w:color="auto" w:fill="auto"/>
            <w:noWrap/>
            <w:vAlign w:val="center"/>
            <w:hideMark/>
          </w:tcPr>
          <w:p w14:paraId="73526563" w14:textId="77777777" w:rsidR="003A5B59" w:rsidRPr="001910F5" w:rsidRDefault="003A5B59" w:rsidP="00073259">
            <w:pPr>
              <w:spacing w:line="240" w:lineRule="auto"/>
              <w:rPr>
                <w:rFonts w:ascii="Arial" w:eastAsia="Times New Roman" w:hAnsi="Arial" w:cs="Arial"/>
                <w:b/>
                <w:bCs/>
                <w:color w:val="0070C0"/>
                <w:sz w:val="20"/>
                <w:szCs w:val="20"/>
                <w:lang w:eastAsia="pt-BR"/>
              </w:rPr>
            </w:pPr>
            <w:r w:rsidRPr="001910F5">
              <w:rPr>
                <w:rFonts w:ascii="Arial" w:eastAsia="Times New Roman" w:hAnsi="Arial" w:cs="Arial"/>
                <w:b/>
                <w:bCs/>
                <w:color w:val="0070C0"/>
                <w:sz w:val="20"/>
                <w:szCs w:val="20"/>
                <w:lang w:eastAsia="pt-BR"/>
              </w:rPr>
              <w:t>Período (1)</w:t>
            </w:r>
          </w:p>
        </w:tc>
        <w:tc>
          <w:tcPr>
            <w:tcW w:w="2694" w:type="dxa"/>
            <w:shd w:val="clear" w:color="auto" w:fill="auto"/>
            <w:noWrap/>
            <w:vAlign w:val="center"/>
            <w:hideMark/>
          </w:tcPr>
          <w:p w14:paraId="3B086D9E" w14:textId="77777777" w:rsidR="003A5B59" w:rsidRPr="001910F5" w:rsidRDefault="003A5B59" w:rsidP="00073259">
            <w:pPr>
              <w:spacing w:line="240" w:lineRule="auto"/>
              <w:jc w:val="right"/>
              <w:rPr>
                <w:rFonts w:ascii="Arial" w:eastAsia="Times New Roman" w:hAnsi="Arial" w:cs="Arial"/>
                <w:b/>
                <w:bCs/>
                <w:color w:val="0070C0"/>
                <w:sz w:val="20"/>
                <w:szCs w:val="20"/>
                <w:lang w:eastAsia="pt-BR"/>
              </w:rPr>
            </w:pPr>
            <w:r w:rsidRPr="001910F5">
              <w:rPr>
                <w:rFonts w:ascii="Arial" w:eastAsia="Times New Roman" w:hAnsi="Arial" w:cs="Arial"/>
                <w:b/>
                <w:bCs/>
                <w:color w:val="0070C0"/>
                <w:sz w:val="20"/>
                <w:szCs w:val="20"/>
                <w:lang w:eastAsia="pt-BR"/>
              </w:rPr>
              <w:t>Quantidade</w:t>
            </w:r>
          </w:p>
        </w:tc>
        <w:tc>
          <w:tcPr>
            <w:tcW w:w="4397" w:type="dxa"/>
            <w:shd w:val="clear" w:color="auto" w:fill="auto"/>
            <w:noWrap/>
            <w:vAlign w:val="center"/>
            <w:hideMark/>
          </w:tcPr>
          <w:p w14:paraId="4D621A8B" w14:textId="77777777" w:rsidR="003A5B59" w:rsidRPr="001910F5" w:rsidRDefault="003A5B59" w:rsidP="00073259">
            <w:pPr>
              <w:spacing w:line="240" w:lineRule="auto"/>
              <w:jc w:val="right"/>
              <w:rPr>
                <w:rFonts w:ascii="Arial" w:eastAsia="Times New Roman" w:hAnsi="Arial" w:cs="Arial"/>
                <w:b/>
                <w:bCs/>
                <w:color w:val="0070C0"/>
                <w:sz w:val="20"/>
                <w:szCs w:val="20"/>
                <w:lang w:eastAsia="pt-BR"/>
              </w:rPr>
            </w:pPr>
            <w:r w:rsidRPr="001910F5">
              <w:rPr>
                <w:rFonts w:ascii="Arial" w:eastAsia="Times New Roman" w:hAnsi="Arial" w:cs="Arial"/>
                <w:b/>
                <w:bCs/>
                <w:color w:val="0070C0"/>
                <w:sz w:val="20"/>
                <w:szCs w:val="20"/>
                <w:lang w:eastAsia="pt-BR"/>
              </w:rPr>
              <w:t>Valor</w:t>
            </w:r>
          </w:p>
        </w:tc>
      </w:tr>
      <w:tr w:rsidR="00766C57" w:rsidRPr="001910F5" w14:paraId="78FABCA9" w14:textId="77777777" w:rsidTr="001910F5">
        <w:trPr>
          <w:trHeight w:val="316"/>
        </w:trPr>
        <w:tc>
          <w:tcPr>
            <w:tcW w:w="2830" w:type="dxa"/>
            <w:shd w:val="clear" w:color="auto" w:fill="auto"/>
            <w:noWrap/>
            <w:vAlign w:val="center"/>
            <w:hideMark/>
          </w:tcPr>
          <w:p w14:paraId="0B487615" w14:textId="77777777" w:rsidR="003A5B59" w:rsidRPr="001910F5" w:rsidRDefault="003A5B59" w:rsidP="00073259">
            <w:pPr>
              <w:spacing w:line="240" w:lineRule="auto"/>
              <w:rPr>
                <w:rFonts w:ascii="Arial" w:eastAsia="Times New Roman" w:hAnsi="Arial" w:cs="Arial"/>
                <w:color w:val="0070C0"/>
                <w:sz w:val="20"/>
                <w:szCs w:val="20"/>
                <w:lang w:eastAsia="pt-BR"/>
              </w:rPr>
            </w:pPr>
            <w:r w:rsidRPr="001910F5">
              <w:rPr>
                <w:rFonts w:ascii="Arial" w:eastAsia="Times New Roman" w:hAnsi="Arial" w:cs="Arial"/>
                <w:color w:val="0070C0"/>
                <w:sz w:val="20"/>
                <w:szCs w:val="20"/>
                <w:lang w:eastAsia="pt-BR"/>
              </w:rPr>
              <w:t xml:space="preserve">A vencer </w:t>
            </w:r>
          </w:p>
        </w:tc>
        <w:tc>
          <w:tcPr>
            <w:tcW w:w="2694" w:type="dxa"/>
            <w:shd w:val="clear" w:color="auto" w:fill="auto"/>
            <w:noWrap/>
            <w:vAlign w:val="center"/>
            <w:hideMark/>
          </w:tcPr>
          <w:p w14:paraId="75E6B561" w14:textId="77777777" w:rsidR="003A5B59" w:rsidRPr="001910F5" w:rsidRDefault="003A5B59" w:rsidP="00073259">
            <w:pPr>
              <w:spacing w:line="240" w:lineRule="auto"/>
              <w:jc w:val="right"/>
              <w:rPr>
                <w:rFonts w:ascii="Arial" w:eastAsia="Times New Roman" w:hAnsi="Arial" w:cs="Arial"/>
                <w:color w:val="0070C0"/>
                <w:sz w:val="20"/>
                <w:szCs w:val="20"/>
                <w:lang w:eastAsia="pt-BR"/>
              </w:rPr>
            </w:pPr>
            <w:r w:rsidRPr="001910F5">
              <w:rPr>
                <w:rFonts w:ascii="Arial" w:eastAsia="Times New Roman" w:hAnsi="Arial" w:cs="Arial"/>
                <w:color w:val="0070C0"/>
                <w:sz w:val="20"/>
                <w:szCs w:val="20"/>
                <w:lang w:eastAsia="pt-BR"/>
              </w:rPr>
              <w:t> </w:t>
            </w:r>
          </w:p>
        </w:tc>
        <w:tc>
          <w:tcPr>
            <w:tcW w:w="4397" w:type="dxa"/>
            <w:shd w:val="clear" w:color="auto" w:fill="auto"/>
            <w:noWrap/>
            <w:vAlign w:val="center"/>
            <w:hideMark/>
          </w:tcPr>
          <w:p w14:paraId="2EC93B75" w14:textId="77777777" w:rsidR="003A5B59" w:rsidRPr="001910F5" w:rsidRDefault="003A5B59" w:rsidP="00073259">
            <w:pPr>
              <w:spacing w:line="240" w:lineRule="auto"/>
              <w:jc w:val="right"/>
              <w:rPr>
                <w:rFonts w:ascii="Arial" w:eastAsia="Times New Roman" w:hAnsi="Arial" w:cs="Arial"/>
                <w:color w:val="0070C0"/>
                <w:sz w:val="20"/>
                <w:szCs w:val="20"/>
                <w:lang w:eastAsia="pt-BR"/>
              </w:rPr>
            </w:pPr>
            <w:r w:rsidRPr="001910F5">
              <w:rPr>
                <w:rFonts w:ascii="Arial" w:eastAsia="Times New Roman" w:hAnsi="Arial" w:cs="Arial"/>
                <w:color w:val="0070C0"/>
                <w:sz w:val="20"/>
                <w:szCs w:val="20"/>
                <w:lang w:eastAsia="pt-BR"/>
              </w:rPr>
              <w:t> </w:t>
            </w:r>
          </w:p>
        </w:tc>
      </w:tr>
      <w:tr w:rsidR="00766C57" w:rsidRPr="001910F5" w14:paraId="1D78417C" w14:textId="77777777" w:rsidTr="001910F5">
        <w:trPr>
          <w:trHeight w:val="316"/>
        </w:trPr>
        <w:tc>
          <w:tcPr>
            <w:tcW w:w="2830" w:type="dxa"/>
            <w:shd w:val="clear" w:color="auto" w:fill="auto"/>
            <w:noWrap/>
            <w:vAlign w:val="center"/>
            <w:hideMark/>
          </w:tcPr>
          <w:p w14:paraId="46249256" w14:textId="77777777" w:rsidR="003A5B59" w:rsidRPr="001910F5" w:rsidRDefault="003A5B59" w:rsidP="00073259">
            <w:pPr>
              <w:spacing w:line="240" w:lineRule="auto"/>
              <w:rPr>
                <w:rFonts w:ascii="Arial" w:eastAsia="Times New Roman" w:hAnsi="Arial" w:cs="Arial"/>
                <w:color w:val="0070C0"/>
                <w:sz w:val="20"/>
                <w:szCs w:val="20"/>
                <w:lang w:eastAsia="pt-BR"/>
              </w:rPr>
            </w:pPr>
            <w:r w:rsidRPr="001910F5">
              <w:rPr>
                <w:rFonts w:ascii="Arial" w:eastAsia="Times New Roman" w:hAnsi="Arial" w:cs="Arial"/>
                <w:color w:val="0070C0"/>
                <w:sz w:val="20"/>
                <w:szCs w:val="20"/>
                <w:lang w:eastAsia="pt-BR"/>
              </w:rPr>
              <w:t>Vencidas até 30 dias</w:t>
            </w:r>
          </w:p>
        </w:tc>
        <w:tc>
          <w:tcPr>
            <w:tcW w:w="2694" w:type="dxa"/>
            <w:shd w:val="clear" w:color="auto" w:fill="auto"/>
            <w:noWrap/>
            <w:vAlign w:val="center"/>
            <w:hideMark/>
          </w:tcPr>
          <w:p w14:paraId="040EB94C" w14:textId="77777777" w:rsidR="003A5B59" w:rsidRPr="001910F5" w:rsidRDefault="003A5B59" w:rsidP="00073259">
            <w:pPr>
              <w:spacing w:line="240" w:lineRule="auto"/>
              <w:jc w:val="right"/>
              <w:rPr>
                <w:rFonts w:ascii="Arial" w:eastAsia="Times New Roman" w:hAnsi="Arial" w:cs="Arial"/>
                <w:color w:val="0070C0"/>
                <w:sz w:val="20"/>
                <w:szCs w:val="20"/>
                <w:lang w:eastAsia="pt-BR"/>
              </w:rPr>
            </w:pPr>
            <w:r w:rsidRPr="001910F5">
              <w:rPr>
                <w:rFonts w:ascii="Arial" w:eastAsia="Times New Roman" w:hAnsi="Arial" w:cs="Arial"/>
                <w:color w:val="0070C0"/>
                <w:sz w:val="20"/>
                <w:szCs w:val="20"/>
                <w:lang w:eastAsia="pt-BR"/>
              </w:rPr>
              <w:t> </w:t>
            </w:r>
          </w:p>
        </w:tc>
        <w:tc>
          <w:tcPr>
            <w:tcW w:w="4397" w:type="dxa"/>
            <w:shd w:val="clear" w:color="auto" w:fill="auto"/>
            <w:noWrap/>
            <w:vAlign w:val="center"/>
            <w:hideMark/>
          </w:tcPr>
          <w:p w14:paraId="43E75A19" w14:textId="77777777" w:rsidR="003A5B59" w:rsidRPr="001910F5" w:rsidRDefault="003A5B59" w:rsidP="00073259">
            <w:pPr>
              <w:spacing w:line="240" w:lineRule="auto"/>
              <w:jc w:val="right"/>
              <w:rPr>
                <w:rFonts w:ascii="Arial" w:eastAsia="Times New Roman" w:hAnsi="Arial" w:cs="Arial"/>
                <w:color w:val="0070C0"/>
                <w:sz w:val="20"/>
                <w:szCs w:val="20"/>
                <w:lang w:eastAsia="pt-BR"/>
              </w:rPr>
            </w:pPr>
            <w:r w:rsidRPr="001910F5">
              <w:rPr>
                <w:rFonts w:ascii="Arial" w:eastAsia="Times New Roman" w:hAnsi="Arial" w:cs="Arial"/>
                <w:color w:val="0070C0"/>
                <w:sz w:val="20"/>
                <w:szCs w:val="20"/>
                <w:lang w:eastAsia="pt-BR"/>
              </w:rPr>
              <w:t> </w:t>
            </w:r>
          </w:p>
        </w:tc>
      </w:tr>
      <w:tr w:rsidR="00766C57" w:rsidRPr="001910F5" w14:paraId="46046CE0" w14:textId="77777777" w:rsidTr="001910F5">
        <w:trPr>
          <w:trHeight w:val="316"/>
        </w:trPr>
        <w:tc>
          <w:tcPr>
            <w:tcW w:w="2830" w:type="dxa"/>
            <w:shd w:val="clear" w:color="auto" w:fill="auto"/>
            <w:noWrap/>
            <w:vAlign w:val="center"/>
            <w:hideMark/>
          </w:tcPr>
          <w:p w14:paraId="2974E1B4" w14:textId="77777777" w:rsidR="003A5B59" w:rsidRPr="001910F5" w:rsidRDefault="003A5B59" w:rsidP="00073259">
            <w:pPr>
              <w:spacing w:line="240" w:lineRule="auto"/>
              <w:rPr>
                <w:rFonts w:ascii="Arial" w:eastAsia="Times New Roman" w:hAnsi="Arial" w:cs="Arial"/>
                <w:color w:val="0070C0"/>
                <w:sz w:val="20"/>
                <w:szCs w:val="20"/>
                <w:lang w:eastAsia="pt-BR"/>
              </w:rPr>
            </w:pPr>
            <w:r w:rsidRPr="001910F5">
              <w:rPr>
                <w:rFonts w:ascii="Arial" w:eastAsia="Times New Roman" w:hAnsi="Arial" w:cs="Arial"/>
                <w:color w:val="0070C0"/>
                <w:sz w:val="20"/>
                <w:szCs w:val="20"/>
                <w:lang w:eastAsia="pt-BR"/>
              </w:rPr>
              <w:t xml:space="preserve">Vencidas entre 30 e 90 dias </w:t>
            </w:r>
          </w:p>
        </w:tc>
        <w:tc>
          <w:tcPr>
            <w:tcW w:w="2694" w:type="dxa"/>
            <w:shd w:val="clear" w:color="auto" w:fill="auto"/>
            <w:noWrap/>
            <w:vAlign w:val="center"/>
            <w:hideMark/>
          </w:tcPr>
          <w:p w14:paraId="04037DF3" w14:textId="77777777" w:rsidR="003A5B59" w:rsidRPr="001910F5" w:rsidRDefault="003A5B59" w:rsidP="00073259">
            <w:pPr>
              <w:spacing w:line="240" w:lineRule="auto"/>
              <w:jc w:val="right"/>
              <w:rPr>
                <w:rFonts w:ascii="Arial" w:eastAsia="Times New Roman" w:hAnsi="Arial" w:cs="Arial"/>
                <w:color w:val="0070C0"/>
                <w:sz w:val="20"/>
                <w:szCs w:val="20"/>
                <w:lang w:eastAsia="pt-BR"/>
              </w:rPr>
            </w:pPr>
            <w:r w:rsidRPr="001910F5">
              <w:rPr>
                <w:rFonts w:ascii="Arial" w:eastAsia="Times New Roman" w:hAnsi="Arial" w:cs="Arial"/>
                <w:color w:val="0070C0"/>
                <w:sz w:val="20"/>
                <w:szCs w:val="20"/>
                <w:lang w:eastAsia="pt-BR"/>
              </w:rPr>
              <w:t> </w:t>
            </w:r>
          </w:p>
        </w:tc>
        <w:tc>
          <w:tcPr>
            <w:tcW w:w="4397" w:type="dxa"/>
            <w:shd w:val="clear" w:color="auto" w:fill="auto"/>
            <w:noWrap/>
            <w:vAlign w:val="center"/>
            <w:hideMark/>
          </w:tcPr>
          <w:p w14:paraId="150398AA" w14:textId="77777777" w:rsidR="003A5B59" w:rsidRPr="001910F5" w:rsidRDefault="003A5B59" w:rsidP="00073259">
            <w:pPr>
              <w:spacing w:line="240" w:lineRule="auto"/>
              <w:jc w:val="right"/>
              <w:rPr>
                <w:rFonts w:ascii="Arial" w:eastAsia="Times New Roman" w:hAnsi="Arial" w:cs="Arial"/>
                <w:color w:val="0070C0"/>
                <w:sz w:val="20"/>
                <w:szCs w:val="20"/>
                <w:lang w:eastAsia="pt-BR"/>
              </w:rPr>
            </w:pPr>
            <w:r w:rsidRPr="001910F5">
              <w:rPr>
                <w:rFonts w:ascii="Arial" w:eastAsia="Times New Roman" w:hAnsi="Arial" w:cs="Arial"/>
                <w:color w:val="0070C0"/>
                <w:sz w:val="20"/>
                <w:szCs w:val="20"/>
                <w:lang w:eastAsia="pt-BR"/>
              </w:rPr>
              <w:t> </w:t>
            </w:r>
          </w:p>
        </w:tc>
      </w:tr>
      <w:tr w:rsidR="00766C57" w:rsidRPr="001910F5" w14:paraId="183BE853" w14:textId="77777777" w:rsidTr="001910F5">
        <w:trPr>
          <w:trHeight w:val="316"/>
        </w:trPr>
        <w:tc>
          <w:tcPr>
            <w:tcW w:w="2830" w:type="dxa"/>
            <w:shd w:val="clear" w:color="auto" w:fill="auto"/>
            <w:noWrap/>
            <w:vAlign w:val="center"/>
            <w:hideMark/>
          </w:tcPr>
          <w:p w14:paraId="32D1B347" w14:textId="77777777" w:rsidR="003A5B59" w:rsidRPr="001910F5" w:rsidRDefault="003A5B59" w:rsidP="00073259">
            <w:pPr>
              <w:spacing w:line="240" w:lineRule="auto"/>
              <w:rPr>
                <w:rFonts w:ascii="Arial" w:eastAsia="Times New Roman" w:hAnsi="Arial" w:cs="Arial"/>
                <w:color w:val="0070C0"/>
                <w:sz w:val="20"/>
                <w:szCs w:val="20"/>
                <w:lang w:eastAsia="pt-BR"/>
              </w:rPr>
            </w:pPr>
            <w:r w:rsidRPr="001910F5">
              <w:rPr>
                <w:rFonts w:ascii="Arial" w:eastAsia="Times New Roman" w:hAnsi="Arial" w:cs="Arial"/>
                <w:color w:val="0070C0"/>
                <w:sz w:val="20"/>
                <w:szCs w:val="20"/>
                <w:lang w:eastAsia="pt-BR"/>
              </w:rPr>
              <w:t>Vencidas a mais de 90 dias</w:t>
            </w:r>
          </w:p>
        </w:tc>
        <w:tc>
          <w:tcPr>
            <w:tcW w:w="2694" w:type="dxa"/>
            <w:shd w:val="clear" w:color="auto" w:fill="auto"/>
            <w:noWrap/>
            <w:vAlign w:val="center"/>
            <w:hideMark/>
          </w:tcPr>
          <w:p w14:paraId="31D785D5" w14:textId="77777777" w:rsidR="003A5B59" w:rsidRPr="001910F5" w:rsidRDefault="003A5B59" w:rsidP="00073259">
            <w:pPr>
              <w:spacing w:line="240" w:lineRule="auto"/>
              <w:jc w:val="right"/>
              <w:rPr>
                <w:rFonts w:ascii="Arial" w:eastAsia="Times New Roman" w:hAnsi="Arial" w:cs="Arial"/>
                <w:color w:val="0070C0"/>
                <w:sz w:val="20"/>
                <w:szCs w:val="20"/>
                <w:lang w:eastAsia="pt-BR"/>
              </w:rPr>
            </w:pPr>
            <w:r w:rsidRPr="001910F5">
              <w:rPr>
                <w:rFonts w:ascii="Arial" w:eastAsia="Times New Roman" w:hAnsi="Arial" w:cs="Arial"/>
                <w:color w:val="0070C0"/>
                <w:sz w:val="20"/>
                <w:szCs w:val="20"/>
                <w:lang w:eastAsia="pt-BR"/>
              </w:rPr>
              <w:t> </w:t>
            </w:r>
          </w:p>
        </w:tc>
        <w:tc>
          <w:tcPr>
            <w:tcW w:w="4397" w:type="dxa"/>
            <w:shd w:val="clear" w:color="auto" w:fill="auto"/>
            <w:noWrap/>
            <w:vAlign w:val="center"/>
            <w:hideMark/>
          </w:tcPr>
          <w:p w14:paraId="34360A75" w14:textId="77777777" w:rsidR="003A5B59" w:rsidRPr="001910F5" w:rsidRDefault="003A5B59" w:rsidP="00073259">
            <w:pPr>
              <w:spacing w:line="240" w:lineRule="auto"/>
              <w:jc w:val="right"/>
              <w:rPr>
                <w:rFonts w:ascii="Arial" w:eastAsia="Times New Roman" w:hAnsi="Arial" w:cs="Arial"/>
                <w:color w:val="0070C0"/>
                <w:sz w:val="20"/>
                <w:szCs w:val="20"/>
                <w:lang w:eastAsia="pt-BR"/>
              </w:rPr>
            </w:pPr>
            <w:r w:rsidRPr="001910F5">
              <w:rPr>
                <w:rFonts w:ascii="Arial" w:eastAsia="Times New Roman" w:hAnsi="Arial" w:cs="Arial"/>
                <w:color w:val="0070C0"/>
                <w:sz w:val="20"/>
                <w:szCs w:val="20"/>
                <w:lang w:eastAsia="pt-BR"/>
              </w:rPr>
              <w:t> </w:t>
            </w:r>
          </w:p>
        </w:tc>
      </w:tr>
      <w:tr w:rsidR="00766C57" w:rsidRPr="001910F5" w14:paraId="57189E89" w14:textId="77777777" w:rsidTr="001910F5">
        <w:trPr>
          <w:trHeight w:val="316"/>
        </w:trPr>
        <w:tc>
          <w:tcPr>
            <w:tcW w:w="2830" w:type="dxa"/>
            <w:shd w:val="clear" w:color="auto" w:fill="auto"/>
            <w:noWrap/>
            <w:vAlign w:val="center"/>
            <w:hideMark/>
          </w:tcPr>
          <w:p w14:paraId="4D4C6602" w14:textId="77777777" w:rsidR="003A5B59" w:rsidRPr="001910F5" w:rsidRDefault="003A5B59" w:rsidP="00073259">
            <w:pPr>
              <w:spacing w:line="240" w:lineRule="auto"/>
              <w:rPr>
                <w:rFonts w:ascii="Arial" w:eastAsia="Times New Roman" w:hAnsi="Arial" w:cs="Arial"/>
                <w:color w:val="0070C0"/>
                <w:sz w:val="20"/>
                <w:szCs w:val="20"/>
                <w:lang w:eastAsia="pt-BR"/>
              </w:rPr>
            </w:pPr>
            <w:r w:rsidRPr="001910F5">
              <w:rPr>
                <w:rFonts w:ascii="Arial" w:eastAsia="Times New Roman" w:hAnsi="Arial" w:cs="Arial"/>
                <w:color w:val="0070C0"/>
                <w:sz w:val="20"/>
                <w:szCs w:val="20"/>
                <w:lang w:eastAsia="pt-BR"/>
              </w:rPr>
              <w:t>Total</w:t>
            </w:r>
          </w:p>
        </w:tc>
        <w:tc>
          <w:tcPr>
            <w:tcW w:w="2694" w:type="dxa"/>
            <w:shd w:val="clear" w:color="auto" w:fill="auto"/>
            <w:noWrap/>
            <w:vAlign w:val="center"/>
            <w:hideMark/>
          </w:tcPr>
          <w:p w14:paraId="06F23ADD" w14:textId="77777777" w:rsidR="003A5B59" w:rsidRPr="001910F5" w:rsidRDefault="003A5B59" w:rsidP="00073259">
            <w:pPr>
              <w:spacing w:line="240" w:lineRule="auto"/>
              <w:jc w:val="right"/>
              <w:rPr>
                <w:rFonts w:ascii="Arial" w:eastAsia="Times New Roman" w:hAnsi="Arial" w:cs="Arial"/>
                <w:color w:val="0070C0"/>
                <w:sz w:val="20"/>
                <w:szCs w:val="20"/>
                <w:lang w:eastAsia="pt-BR"/>
              </w:rPr>
            </w:pPr>
            <w:r w:rsidRPr="001910F5">
              <w:rPr>
                <w:rFonts w:ascii="Arial" w:eastAsia="Times New Roman" w:hAnsi="Arial" w:cs="Arial"/>
                <w:color w:val="0070C0"/>
                <w:sz w:val="20"/>
                <w:szCs w:val="20"/>
                <w:lang w:eastAsia="pt-BR"/>
              </w:rPr>
              <w:t> </w:t>
            </w:r>
          </w:p>
        </w:tc>
        <w:tc>
          <w:tcPr>
            <w:tcW w:w="4397" w:type="dxa"/>
            <w:shd w:val="clear" w:color="auto" w:fill="auto"/>
            <w:noWrap/>
            <w:vAlign w:val="center"/>
            <w:hideMark/>
          </w:tcPr>
          <w:p w14:paraId="15C8E57D" w14:textId="77777777" w:rsidR="003A5B59" w:rsidRPr="001910F5" w:rsidRDefault="003A5B59" w:rsidP="00073259">
            <w:pPr>
              <w:spacing w:line="240" w:lineRule="auto"/>
              <w:jc w:val="right"/>
              <w:rPr>
                <w:rFonts w:ascii="Arial" w:eastAsia="Times New Roman" w:hAnsi="Arial" w:cs="Arial"/>
                <w:color w:val="0070C0"/>
                <w:sz w:val="20"/>
                <w:szCs w:val="20"/>
                <w:lang w:eastAsia="pt-BR"/>
              </w:rPr>
            </w:pPr>
            <w:r w:rsidRPr="001910F5">
              <w:rPr>
                <w:rFonts w:ascii="Arial" w:eastAsia="Times New Roman" w:hAnsi="Arial" w:cs="Arial"/>
                <w:color w:val="0070C0"/>
                <w:sz w:val="20"/>
                <w:szCs w:val="20"/>
                <w:lang w:eastAsia="pt-BR"/>
              </w:rPr>
              <w:t> </w:t>
            </w:r>
          </w:p>
        </w:tc>
      </w:tr>
      <w:tr w:rsidR="00766C57" w:rsidRPr="001910F5" w14:paraId="5E9E3B12" w14:textId="77777777" w:rsidTr="001910F5">
        <w:trPr>
          <w:trHeight w:val="571"/>
        </w:trPr>
        <w:tc>
          <w:tcPr>
            <w:tcW w:w="9921" w:type="dxa"/>
            <w:gridSpan w:val="3"/>
            <w:shd w:val="clear" w:color="auto" w:fill="auto"/>
            <w:vAlign w:val="center"/>
            <w:hideMark/>
          </w:tcPr>
          <w:p w14:paraId="6686DB76" w14:textId="77777777" w:rsidR="003A5B59" w:rsidRPr="001910F5" w:rsidRDefault="003A5B59" w:rsidP="00073259">
            <w:pPr>
              <w:spacing w:line="240" w:lineRule="auto"/>
              <w:rPr>
                <w:rFonts w:ascii="Arial" w:eastAsia="Times New Roman" w:hAnsi="Arial" w:cs="Arial"/>
                <w:color w:val="0070C0"/>
                <w:sz w:val="20"/>
                <w:szCs w:val="20"/>
                <w:lang w:eastAsia="pt-BR"/>
              </w:rPr>
            </w:pPr>
            <w:r w:rsidRPr="001910F5">
              <w:rPr>
                <w:rFonts w:ascii="Arial" w:eastAsia="Times New Roman" w:hAnsi="Arial" w:cs="Arial"/>
                <w:color w:val="0070C0"/>
                <w:sz w:val="20"/>
                <w:szCs w:val="20"/>
                <w:lang w:eastAsia="pt-BR"/>
              </w:rPr>
              <w:t>Nota 1: Os prazos podem ser ajustados de acordo com levantamentos já existentes desde que evidencie no mínimo os grupos de obrigações vencidas, a vencer até 30 dias e a vencer superior a 30 dias.</w:t>
            </w:r>
          </w:p>
        </w:tc>
      </w:tr>
      <w:bookmarkEnd w:id="95"/>
    </w:tbl>
    <w:p w14:paraId="595B66AC" w14:textId="664CA843" w:rsidR="003A5B59" w:rsidRDefault="003A5B59" w:rsidP="003A5B59">
      <w:pPr>
        <w:spacing w:after="0" w:line="360" w:lineRule="auto"/>
        <w:jc w:val="both"/>
      </w:pPr>
    </w:p>
    <w:p w14:paraId="25E01205" w14:textId="77777777" w:rsidR="008B0573" w:rsidRDefault="008B0573" w:rsidP="003A5B59">
      <w:pPr>
        <w:spacing w:after="0" w:line="360" w:lineRule="auto"/>
        <w:jc w:val="both"/>
      </w:pPr>
    </w:p>
    <w:p w14:paraId="20201113" w14:textId="478D676C" w:rsidR="008B0573" w:rsidRPr="00613437" w:rsidRDefault="00613437">
      <w:pPr>
        <w:pStyle w:val="Ttulo2"/>
        <w:rPr>
          <w:lang w:val="pt-BR"/>
        </w:rPr>
      </w:pPr>
      <w:r>
        <w:rPr>
          <w:lang w:val="pt-BR"/>
        </w:rPr>
        <w:t xml:space="preserve"> </w:t>
      </w:r>
      <w:bookmarkStart w:id="128" w:name="_Toc94806395"/>
      <w:r w:rsidR="0063256A" w:rsidRPr="0063256A">
        <w:rPr>
          <w:lang w:val="pt-BR"/>
        </w:rPr>
        <w:t xml:space="preserve">Incluído o Modelo de Arquivo Não Estruturado </w:t>
      </w:r>
      <w:r w:rsidR="0063256A">
        <w:rPr>
          <w:lang w:val="pt-BR"/>
        </w:rPr>
        <w:t>RFPREC</w:t>
      </w:r>
      <w:r w:rsidR="0063256A" w:rsidRPr="0063256A">
        <w:rPr>
          <w:lang w:val="pt-BR"/>
        </w:rPr>
        <w:t>.</w:t>
      </w:r>
      <w:bookmarkEnd w:id="128"/>
    </w:p>
    <w:tbl>
      <w:tblPr>
        <w:tblW w:w="9120" w:type="dxa"/>
        <w:tblCellMar>
          <w:left w:w="70" w:type="dxa"/>
          <w:right w:w="70" w:type="dxa"/>
        </w:tblCellMar>
        <w:tblLook w:val="04A0" w:firstRow="1" w:lastRow="0" w:firstColumn="1" w:lastColumn="0" w:noHBand="0" w:noVBand="1"/>
      </w:tblPr>
      <w:tblGrid>
        <w:gridCol w:w="5240"/>
        <w:gridCol w:w="1985"/>
        <w:gridCol w:w="1895"/>
      </w:tblGrid>
      <w:tr w:rsidR="0074357A" w:rsidRPr="0063256A" w14:paraId="1C1D7641" w14:textId="77777777" w:rsidTr="00F42296">
        <w:trPr>
          <w:trHeight w:val="300"/>
        </w:trPr>
        <w:tc>
          <w:tcPr>
            <w:tcW w:w="912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BE35AA" w14:textId="1BFDFC54" w:rsidR="0063256A" w:rsidRPr="0063256A" w:rsidRDefault="0063256A" w:rsidP="00F42296">
            <w:pPr>
              <w:spacing w:after="0" w:line="240" w:lineRule="auto"/>
              <w:jc w:val="center"/>
              <w:rPr>
                <w:rFonts w:ascii="Arial" w:eastAsia="Times New Roman" w:hAnsi="Arial" w:cs="Arial"/>
                <w:b/>
                <w:bCs/>
                <w:color w:val="0070C0"/>
                <w:lang w:eastAsia="pt-BR"/>
              </w:rPr>
            </w:pPr>
            <w:r w:rsidRPr="0063256A">
              <w:rPr>
                <w:rFonts w:ascii="Arial" w:eastAsia="Times New Roman" w:hAnsi="Arial" w:cs="Arial"/>
                <w:b/>
                <w:bCs/>
                <w:color w:val="0070C0"/>
                <w:lang w:eastAsia="pt-BR"/>
              </w:rPr>
              <w:t>Repasses ao TJ - precatórios em regime especial - Exercício de 20</w:t>
            </w:r>
            <w:r w:rsidR="00D42D7C">
              <w:rPr>
                <w:rFonts w:ascii="Arial" w:eastAsia="Times New Roman" w:hAnsi="Arial" w:cs="Arial"/>
                <w:b/>
                <w:bCs/>
                <w:color w:val="0070C0"/>
                <w:lang w:eastAsia="pt-BR"/>
              </w:rPr>
              <w:t>X</w:t>
            </w:r>
            <w:r w:rsidRPr="0063256A">
              <w:rPr>
                <w:rFonts w:ascii="Arial" w:eastAsia="Times New Roman" w:hAnsi="Arial" w:cs="Arial"/>
                <w:b/>
                <w:bCs/>
                <w:color w:val="0070C0"/>
                <w:lang w:eastAsia="pt-BR"/>
              </w:rPr>
              <w:t>X</w:t>
            </w:r>
          </w:p>
        </w:tc>
      </w:tr>
      <w:tr w:rsidR="0074357A" w:rsidRPr="0063256A" w14:paraId="55A7F461" w14:textId="77777777" w:rsidTr="0074357A">
        <w:trPr>
          <w:trHeight w:val="300"/>
        </w:trPr>
        <w:tc>
          <w:tcPr>
            <w:tcW w:w="5240" w:type="dxa"/>
            <w:tcBorders>
              <w:top w:val="nil"/>
              <w:left w:val="single" w:sz="4" w:space="0" w:color="auto"/>
              <w:bottom w:val="single" w:sz="4" w:space="0" w:color="auto"/>
              <w:right w:val="single" w:sz="4" w:space="0" w:color="auto"/>
            </w:tcBorders>
            <w:shd w:val="clear" w:color="auto" w:fill="auto"/>
            <w:noWrap/>
            <w:vAlign w:val="bottom"/>
            <w:hideMark/>
          </w:tcPr>
          <w:p w14:paraId="314E57A2" w14:textId="77777777" w:rsidR="0063256A" w:rsidRPr="0063256A" w:rsidRDefault="0063256A" w:rsidP="0063256A">
            <w:pPr>
              <w:spacing w:after="0" w:line="240" w:lineRule="auto"/>
              <w:jc w:val="center"/>
              <w:rPr>
                <w:rFonts w:ascii="Arial" w:eastAsia="Times New Roman" w:hAnsi="Arial" w:cs="Arial"/>
                <w:color w:val="0070C0"/>
                <w:lang w:eastAsia="pt-BR"/>
              </w:rPr>
            </w:pPr>
            <w:r w:rsidRPr="0063256A">
              <w:rPr>
                <w:rFonts w:ascii="Arial" w:eastAsia="Times New Roman" w:hAnsi="Arial" w:cs="Arial"/>
                <w:color w:val="0070C0"/>
                <w:lang w:eastAsia="pt-BR"/>
              </w:rPr>
              <w:t>Ente público</w:t>
            </w:r>
          </w:p>
        </w:tc>
        <w:tc>
          <w:tcPr>
            <w:tcW w:w="1985" w:type="dxa"/>
            <w:tcBorders>
              <w:top w:val="nil"/>
              <w:left w:val="nil"/>
              <w:bottom w:val="single" w:sz="4" w:space="0" w:color="auto"/>
              <w:right w:val="single" w:sz="4" w:space="0" w:color="auto"/>
            </w:tcBorders>
            <w:shd w:val="clear" w:color="auto" w:fill="auto"/>
            <w:noWrap/>
            <w:vAlign w:val="bottom"/>
            <w:hideMark/>
          </w:tcPr>
          <w:p w14:paraId="2584B3CA" w14:textId="1F5994AD" w:rsidR="0063256A" w:rsidRPr="0063256A" w:rsidRDefault="0063256A" w:rsidP="0063256A">
            <w:pPr>
              <w:spacing w:after="0" w:line="240" w:lineRule="auto"/>
              <w:jc w:val="center"/>
              <w:rPr>
                <w:rFonts w:ascii="Arial" w:eastAsia="Times New Roman" w:hAnsi="Arial" w:cs="Arial"/>
                <w:color w:val="0070C0"/>
                <w:lang w:eastAsia="pt-BR"/>
              </w:rPr>
            </w:pPr>
            <w:r w:rsidRPr="0063256A">
              <w:rPr>
                <w:rFonts w:ascii="Arial" w:eastAsia="Times New Roman" w:hAnsi="Arial" w:cs="Arial"/>
                <w:color w:val="0070C0"/>
                <w:lang w:eastAsia="pt-BR"/>
              </w:rPr>
              <w:t>Valor devido</w:t>
            </w:r>
          </w:p>
        </w:tc>
        <w:tc>
          <w:tcPr>
            <w:tcW w:w="1895" w:type="dxa"/>
            <w:tcBorders>
              <w:top w:val="nil"/>
              <w:left w:val="nil"/>
              <w:bottom w:val="single" w:sz="4" w:space="0" w:color="auto"/>
              <w:right w:val="single" w:sz="4" w:space="0" w:color="auto"/>
            </w:tcBorders>
            <w:shd w:val="clear" w:color="auto" w:fill="auto"/>
            <w:noWrap/>
            <w:vAlign w:val="bottom"/>
            <w:hideMark/>
          </w:tcPr>
          <w:p w14:paraId="6EF2049D" w14:textId="77777777" w:rsidR="0063256A" w:rsidRPr="0063256A" w:rsidRDefault="0063256A" w:rsidP="0063256A">
            <w:pPr>
              <w:spacing w:after="0" w:line="240" w:lineRule="auto"/>
              <w:jc w:val="center"/>
              <w:rPr>
                <w:rFonts w:ascii="Arial" w:eastAsia="Times New Roman" w:hAnsi="Arial" w:cs="Arial"/>
                <w:color w:val="0070C0"/>
                <w:lang w:eastAsia="pt-BR"/>
              </w:rPr>
            </w:pPr>
            <w:r w:rsidRPr="0063256A">
              <w:rPr>
                <w:rFonts w:ascii="Arial" w:eastAsia="Times New Roman" w:hAnsi="Arial" w:cs="Arial"/>
                <w:color w:val="0070C0"/>
                <w:lang w:eastAsia="pt-BR"/>
              </w:rPr>
              <w:t>Valor repassado</w:t>
            </w:r>
          </w:p>
        </w:tc>
      </w:tr>
      <w:tr w:rsidR="0074357A" w:rsidRPr="00D955DC" w14:paraId="45D72456" w14:textId="77777777" w:rsidTr="0074357A">
        <w:trPr>
          <w:trHeight w:val="300"/>
        </w:trPr>
        <w:tc>
          <w:tcPr>
            <w:tcW w:w="5240" w:type="dxa"/>
            <w:tcBorders>
              <w:top w:val="nil"/>
              <w:left w:val="single" w:sz="4" w:space="0" w:color="auto"/>
              <w:bottom w:val="single" w:sz="4" w:space="0" w:color="auto"/>
              <w:right w:val="single" w:sz="4" w:space="0" w:color="auto"/>
            </w:tcBorders>
            <w:shd w:val="clear" w:color="auto" w:fill="auto"/>
            <w:noWrap/>
            <w:vAlign w:val="bottom"/>
            <w:hideMark/>
          </w:tcPr>
          <w:p w14:paraId="275720B4" w14:textId="77777777" w:rsidR="0063256A" w:rsidRPr="00D955DC" w:rsidRDefault="0063256A" w:rsidP="00F42296">
            <w:pPr>
              <w:spacing w:after="0" w:line="240" w:lineRule="auto"/>
              <w:rPr>
                <w:rFonts w:ascii="Arial" w:eastAsia="Times New Roman" w:hAnsi="Arial" w:cs="Arial"/>
                <w:b/>
                <w:bCs/>
                <w:color w:val="0070C0"/>
                <w:lang w:eastAsia="pt-BR"/>
              </w:rPr>
            </w:pPr>
            <w:r w:rsidRPr="00D955DC">
              <w:rPr>
                <w:rFonts w:ascii="Arial" w:eastAsia="Times New Roman" w:hAnsi="Arial" w:cs="Arial"/>
                <w:b/>
                <w:bCs/>
                <w:color w:val="0070C0"/>
                <w:lang w:eastAsia="pt-BR"/>
              </w:rPr>
              <w:t> </w:t>
            </w:r>
          </w:p>
        </w:tc>
        <w:tc>
          <w:tcPr>
            <w:tcW w:w="1985" w:type="dxa"/>
            <w:tcBorders>
              <w:top w:val="nil"/>
              <w:left w:val="nil"/>
              <w:bottom w:val="single" w:sz="4" w:space="0" w:color="auto"/>
              <w:right w:val="single" w:sz="4" w:space="0" w:color="auto"/>
            </w:tcBorders>
            <w:shd w:val="clear" w:color="auto" w:fill="auto"/>
            <w:noWrap/>
            <w:vAlign w:val="bottom"/>
            <w:hideMark/>
          </w:tcPr>
          <w:p w14:paraId="548E6FB5" w14:textId="77777777" w:rsidR="0063256A" w:rsidRPr="00D955DC" w:rsidRDefault="0063256A" w:rsidP="00F42296">
            <w:pPr>
              <w:spacing w:after="0" w:line="240" w:lineRule="auto"/>
              <w:rPr>
                <w:rFonts w:ascii="Arial" w:eastAsia="Times New Roman" w:hAnsi="Arial" w:cs="Arial"/>
                <w:b/>
                <w:bCs/>
                <w:color w:val="0070C0"/>
                <w:lang w:eastAsia="pt-BR"/>
              </w:rPr>
            </w:pPr>
            <w:r w:rsidRPr="00D955DC">
              <w:rPr>
                <w:rFonts w:ascii="Arial" w:eastAsia="Times New Roman" w:hAnsi="Arial" w:cs="Arial"/>
                <w:b/>
                <w:bCs/>
                <w:color w:val="0070C0"/>
                <w:lang w:eastAsia="pt-BR"/>
              </w:rPr>
              <w:t> </w:t>
            </w:r>
          </w:p>
        </w:tc>
        <w:tc>
          <w:tcPr>
            <w:tcW w:w="1895" w:type="dxa"/>
            <w:tcBorders>
              <w:top w:val="nil"/>
              <w:left w:val="nil"/>
              <w:bottom w:val="single" w:sz="4" w:space="0" w:color="auto"/>
              <w:right w:val="single" w:sz="4" w:space="0" w:color="auto"/>
            </w:tcBorders>
            <w:shd w:val="clear" w:color="auto" w:fill="auto"/>
            <w:noWrap/>
            <w:vAlign w:val="bottom"/>
            <w:hideMark/>
          </w:tcPr>
          <w:p w14:paraId="7760562E" w14:textId="77777777" w:rsidR="0063256A" w:rsidRPr="00D955DC" w:rsidRDefault="0063256A" w:rsidP="00F42296">
            <w:pPr>
              <w:spacing w:after="0" w:line="240" w:lineRule="auto"/>
              <w:rPr>
                <w:rFonts w:ascii="Arial" w:eastAsia="Times New Roman" w:hAnsi="Arial" w:cs="Arial"/>
                <w:b/>
                <w:bCs/>
                <w:color w:val="0070C0"/>
                <w:lang w:eastAsia="pt-BR"/>
              </w:rPr>
            </w:pPr>
            <w:r w:rsidRPr="00D955DC">
              <w:rPr>
                <w:rFonts w:ascii="Arial" w:eastAsia="Times New Roman" w:hAnsi="Arial" w:cs="Arial"/>
                <w:b/>
                <w:bCs/>
                <w:color w:val="0070C0"/>
                <w:lang w:eastAsia="pt-BR"/>
              </w:rPr>
              <w:t> </w:t>
            </w:r>
          </w:p>
        </w:tc>
      </w:tr>
    </w:tbl>
    <w:p w14:paraId="37AA7EED" w14:textId="6A3CBCDA" w:rsidR="0063256A" w:rsidRDefault="0063256A" w:rsidP="0063256A">
      <w:pPr>
        <w:spacing w:after="0" w:line="360" w:lineRule="auto"/>
        <w:jc w:val="both"/>
      </w:pPr>
    </w:p>
    <w:p w14:paraId="3725D5C1" w14:textId="41862FCB" w:rsidR="00493919" w:rsidRDefault="00493919" w:rsidP="0063256A">
      <w:pPr>
        <w:spacing w:after="0" w:line="360" w:lineRule="auto"/>
        <w:jc w:val="both"/>
      </w:pPr>
    </w:p>
    <w:p w14:paraId="53E4610D" w14:textId="77777777" w:rsidR="00493919" w:rsidRDefault="00493919" w:rsidP="0063256A">
      <w:pPr>
        <w:spacing w:after="0" w:line="360" w:lineRule="auto"/>
        <w:jc w:val="both"/>
      </w:pPr>
    </w:p>
    <w:p w14:paraId="2638E697" w14:textId="57EC630C" w:rsidR="00493919" w:rsidRPr="00493919" w:rsidRDefault="00493919" w:rsidP="00493919">
      <w:pPr>
        <w:pStyle w:val="Ttulo2"/>
        <w:rPr>
          <w:b w:val="0"/>
          <w:bCs w:val="0"/>
        </w:rPr>
      </w:pPr>
      <w:r>
        <w:t xml:space="preserve"> </w:t>
      </w:r>
      <w:bookmarkStart w:id="129" w:name="_Toc94806396"/>
      <w:r>
        <w:t xml:space="preserve">Alterações promovidas pela Portaria </w:t>
      </w:r>
      <w:r w:rsidR="000C20E4">
        <w:t>05</w:t>
      </w:r>
      <w:r>
        <w:t>/2022:</w:t>
      </w:r>
      <w:bookmarkEnd w:id="129"/>
      <w:r>
        <w:t xml:space="preserve"> </w:t>
      </w:r>
    </w:p>
    <w:p w14:paraId="420E182E" w14:textId="7D56121C" w:rsidR="00493919" w:rsidRPr="00493919" w:rsidRDefault="00493919" w:rsidP="00493919">
      <w:pPr>
        <w:jc w:val="both"/>
        <w:rPr>
          <w:rFonts w:ascii="Arial" w:eastAsia="Calibri" w:hAnsi="Arial" w:cs="Arial"/>
          <w:sz w:val="24"/>
          <w:szCs w:val="24"/>
        </w:rPr>
      </w:pPr>
      <w:r w:rsidRPr="00493919">
        <w:rPr>
          <w:rFonts w:ascii="Arial" w:eastAsia="Calibri" w:hAnsi="Arial" w:cs="Arial"/>
          <w:sz w:val="24"/>
          <w:szCs w:val="24"/>
        </w:rPr>
        <w:t xml:space="preserve">I - Alterar o </w:t>
      </w:r>
      <w:r w:rsidRPr="00493919">
        <w:rPr>
          <w:rFonts w:ascii="Arial" w:eastAsia="Calibri" w:hAnsi="Arial" w:cs="Arial"/>
          <w:b/>
          <w:bCs/>
          <w:sz w:val="24"/>
          <w:szCs w:val="24"/>
        </w:rPr>
        <w:t>Demonstrativo do Superávit/Déficit Financeiro Apurado no Balanço Patrimonial para o Estado</w:t>
      </w:r>
      <w:r w:rsidRPr="00493919">
        <w:rPr>
          <w:rFonts w:ascii="Arial" w:eastAsia="Calibri" w:hAnsi="Arial" w:cs="Arial"/>
          <w:sz w:val="24"/>
          <w:szCs w:val="24"/>
        </w:rPr>
        <w:t>:</w:t>
      </w:r>
    </w:p>
    <w:tbl>
      <w:tblPr>
        <w:tblW w:w="10348" w:type="dxa"/>
        <w:tblInd w:w="-714" w:type="dxa"/>
        <w:tblCellMar>
          <w:left w:w="70" w:type="dxa"/>
          <w:right w:w="70" w:type="dxa"/>
        </w:tblCellMar>
        <w:tblLook w:val="04A0" w:firstRow="1" w:lastRow="0" w:firstColumn="1" w:lastColumn="0" w:noHBand="0" w:noVBand="1"/>
      </w:tblPr>
      <w:tblGrid>
        <w:gridCol w:w="938"/>
        <w:gridCol w:w="6292"/>
        <w:gridCol w:w="165"/>
        <w:gridCol w:w="1386"/>
        <w:gridCol w:w="1567"/>
      </w:tblGrid>
      <w:tr w:rsidR="00493919" w:rsidRPr="00493919" w14:paraId="1AE28360" w14:textId="77777777" w:rsidTr="00E2470D">
        <w:trPr>
          <w:trHeight w:val="332"/>
        </w:trPr>
        <w:tc>
          <w:tcPr>
            <w:tcW w:w="7395" w:type="dxa"/>
            <w:gridSpan w:val="3"/>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3CC9381F" w14:textId="77777777" w:rsidR="00493919" w:rsidRPr="00493919" w:rsidRDefault="00493919" w:rsidP="00493919">
            <w:pPr>
              <w:spacing w:after="0" w:line="240" w:lineRule="auto"/>
              <w:jc w:val="center"/>
              <w:rPr>
                <w:rFonts w:ascii="Arial Narrow" w:eastAsia="Times New Roman" w:hAnsi="Arial Narrow" w:cs="Calibri"/>
                <w:b/>
                <w:bCs/>
                <w:sz w:val="16"/>
                <w:szCs w:val="16"/>
                <w:lang w:eastAsia="pt-BR"/>
              </w:rPr>
            </w:pPr>
            <w:r w:rsidRPr="00493919">
              <w:rPr>
                <w:rFonts w:ascii="Arial Narrow" w:eastAsia="Times New Roman" w:hAnsi="Arial Narrow" w:cs="Calibri"/>
                <w:b/>
                <w:bCs/>
                <w:sz w:val="16"/>
                <w:szCs w:val="16"/>
                <w:lang w:eastAsia="pt-BR"/>
              </w:rPr>
              <w:t>FONTES DE RECURSOS</w:t>
            </w:r>
          </w:p>
        </w:tc>
        <w:tc>
          <w:tcPr>
            <w:tcW w:w="2953" w:type="dxa"/>
            <w:gridSpan w:val="2"/>
            <w:tcBorders>
              <w:top w:val="single" w:sz="4" w:space="0" w:color="auto"/>
              <w:left w:val="nil"/>
              <w:bottom w:val="single" w:sz="4" w:space="0" w:color="auto"/>
              <w:right w:val="single" w:sz="4" w:space="0" w:color="000000"/>
            </w:tcBorders>
            <w:shd w:val="clear" w:color="000000" w:fill="D9D9D9"/>
            <w:noWrap/>
            <w:vAlign w:val="center"/>
            <w:hideMark/>
          </w:tcPr>
          <w:p w14:paraId="0E7ADFA5" w14:textId="77777777" w:rsidR="00493919" w:rsidRPr="00493919" w:rsidRDefault="00493919" w:rsidP="00493919">
            <w:pPr>
              <w:spacing w:after="0" w:line="240" w:lineRule="auto"/>
              <w:jc w:val="center"/>
              <w:rPr>
                <w:rFonts w:ascii="Arial Narrow" w:eastAsia="Times New Roman" w:hAnsi="Arial Narrow" w:cs="Arial"/>
                <w:b/>
                <w:bCs/>
                <w:sz w:val="16"/>
                <w:szCs w:val="16"/>
                <w:lang w:eastAsia="pt-BR"/>
              </w:rPr>
            </w:pPr>
            <w:r w:rsidRPr="00493919">
              <w:rPr>
                <w:rFonts w:ascii="Arial Narrow" w:eastAsia="Times New Roman" w:hAnsi="Arial Narrow" w:cs="Arial"/>
                <w:b/>
                <w:bCs/>
                <w:sz w:val="16"/>
                <w:szCs w:val="16"/>
                <w:lang w:eastAsia="pt-BR"/>
              </w:rPr>
              <w:t>SUPERÁVIT/DÉFICIT FINANCEIRO</w:t>
            </w:r>
          </w:p>
        </w:tc>
      </w:tr>
      <w:tr w:rsidR="00493919" w:rsidRPr="00493919" w14:paraId="1CF87A2E" w14:textId="77777777" w:rsidTr="00E2470D">
        <w:trPr>
          <w:trHeight w:val="302"/>
        </w:trPr>
        <w:tc>
          <w:tcPr>
            <w:tcW w:w="938" w:type="dxa"/>
            <w:tcBorders>
              <w:top w:val="nil"/>
              <w:left w:val="single" w:sz="4" w:space="0" w:color="auto"/>
              <w:bottom w:val="single" w:sz="4" w:space="0" w:color="auto"/>
              <w:right w:val="single" w:sz="4" w:space="0" w:color="auto"/>
            </w:tcBorders>
            <w:shd w:val="clear" w:color="auto" w:fill="auto"/>
            <w:noWrap/>
            <w:vAlign w:val="bottom"/>
            <w:hideMark/>
          </w:tcPr>
          <w:p w14:paraId="7ED6C9D2" w14:textId="77777777" w:rsidR="00493919" w:rsidRPr="00493919" w:rsidRDefault="00493919" w:rsidP="00493919">
            <w:pPr>
              <w:spacing w:after="0" w:line="240" w:lineRule="auto"/>
              <w:jc w:val="center"/>
              <w:rPr>
                <w:rFonts w:ascii="Arial Narrow" w:eastAsia="Times New Roman" w:hAnsi="Arial Narrow" w:cs="Calibri"/>
                <w:b/>
                <w:bCs/>
                <w:sz w:val="16"/>
                <w:szCs w:val="16"/>
                <w:lang w:eastAsia="pt-BR"/>
              </w:rPr>
            </w:pPr>
            <w:r w:rsidRPr="00493919">
              <w:rPr>
                <w:rFonts w:ascii="Arial Narrow" w:eastAsia="Times New Roman" w:hAnsi="Arial Narrow" w:cs="Calibri"/>
                <w:b/>
                <w:bCs/>
                <w:sz w:val="16"/>
                <w:szCs w:val="16"/>
                <w:lang w:eastAsia="pt-BR"/>
              </w:rPr>
              <w:t xml:space="preserve">Código </w:t>
            </w:r>
          </w:p>
        </w:tc>
        <w:tc>
          <w:tcPr>
            <w:tcW w:w="6292" w:type="dxa"/>
            <w:tcBorders>
              <w:top w:val="nil"/>
              <w:left w:val="nil"/>
              <w:bottom w:val="single" w:sz="4" w:space="0" w:color="auto"/>
            </w:tcBorders>
            <w:shd w:val="clear" w:color="auto" w:fill="auto"/>
            <w:noWrap/>
            <w:vAlign w:val="bottom"/>
            <w:hideMark/>
          </w:tcPr>
          <w:p w14:paraId="1109763A" w14:textId="77777777" w:rsidR="00493919" w:rsidRPr="00493919" w:rsidRDefault="00493919" w:rsidP="00493919">
            <w:pPr>
              <w:spacing w:after="0" w:line="240" w:lineRule="auto"/>
              <w:jc w:val="center"/>
              <w:rPr>
                <w:rFonts w:ascii="Arial Narrow" w:eastAsia="Times New Roman" w:hAnsi="Arial Narrow" w:cs="Calibri"/>
                <w:b/>
                <w:bCs/>
                <w:sz w:val="16"/>
                <w:szCs w:val="16"/>
                <w:lang w:eastAsia="pt-BR"/>
              </w:rPr>
            </w:pPr>
            <w:r w:rsidRPr="00493919">
              <w:rPr>
                <w:rFonts w:ascii="Arial Narrow" w:eastAsia="Times New Roman" w:hAnsi="Arial Narrow" w:cs="Calibri"/>
                <w:b/>
                <w:bCs/>
                <w:sz w:val="16"/>
                <w:szCs w:val="16"/>
                <w:lang w:eastAsia="pt-BR"/>
              </w:rPr>
              <w:t>Descrição</w:t>
            </w:r>
          </w:p>
        </w:tc>
        <w:tc>
          <w:tcPr>
            <w:tcW w:w="165" w:type="dxa"/>
            <w:tcBorders>
              <w:top w:val="nil"/>
              <w:bottom w:val="single" w:sz="4" w:space="0" w:color="auto"/>
              <w:right w:val="single" w:sz="4" w:space="0" w:color="auto"/>
            </w:tcBorders>
            <w:shd w:val="clear" w:color="auto" w:fill="auto"/>
            <w:noWrap/>
            <w:vAlign w:val="bottom"/>
          </w:tcPr>
          <w:p w14:paraId="33094924" w14:textId="77777777" w:rsidR="00493919" w:rsidRPr="00493919" w:rsidRDefault="00493919" w:rsidP="00493919">
            <w:pPr>
              <w:spacing w:after="0" w:line="240" w:lineRule="auto"/>
              <w:jc w:val="center"/>
              <w:rPr>
                <w:rFonts w:ascii="Arial Narrow" w:eastAsia="Times New Roman" w:hAnsi="Arial Narrow" w:cs="Calibri"/>
                <w:b/>
                <w:bCs/>
                <w:color w:val="FF0000"/>
                <w:sz w:val="16"/>
                <w:szCs w:val="16"/>
                <w:lang w:eastAsia="pt-BR"/>
              </w:rPr>
            </w:pPr>
          </w:p>
        </w:tc>
        <w:tc>
          <w:tcPr>
            <w:tcW w:w="1386" w:type="dxa"/>
            <w:tcBorders>
              <w:top w:val="nil"/>
              <w:left w:val="nil"/>
              <w:bottom w:val="single" w:sz="4" w:space="0" w:color="auto"/>
              <w:right w:val="single" w:sz="4" w:space="0" w:color="auto"/>
            </w:tcBorders>
            <w:shd w:val="clear" w:color="auto" w:fill="auto"/>
            <w:noWrap/>
            <w:vAlign w:val="bottom"/>
            <w:hideMark/>
          </w:tcPr>
          <w:p w14:paraId="0647BB28" w14:textId="77777777" w:rsidR="00493919" w:rsidRPr="00493919" w:rsidRDefault="00493919" w:rsidP="00493919">
            <w:pPr>
              <w:spacing w:after="0" w:line="240" w:lineRule="auto"/>
              <w:jc w:val="center"/>
              <w:rPr>
                <w:rFonts w:ascii="Arial Narrow" w:eastAsia="Times New Roman" w:hAnsi="Arial Narrow" w:cs="Arial"/>
                <w:b/>
                <w:bCs/>
                <w:sz w:val="16"/>
                <w:szCs w:val="16"/>
                <w:lang w:eastAsia="pt-BR"/>
              </w:rPr>
            </w:pPr>
            <w:r w:rsidRPr="00493919">
              <w:rPr>
                <w:rFonts w:ascii="Arial Narrow" w:eastAsia="Times New Roman" w:hAnsi="Arial Narrow" w:cs="Arial"/>
                <w:b/>
                <w:bCs/>
                <w:sz w:val="16"/>
                <w:szCs w:val="16"/>
                <w:lang w:eastAsia="pt-BR"/>
              </w:rPr>
              <w:t>Exercício Atual</w:t>
            </w:r>
          </w:p>
        </w:tc>
        <w:tc>
          <w:tcPr>
            <w:tcW w:w="1567" w:type="dxa"/>
            <w:tcBorders>
              <w:top w:val="nil"/>
              <w:left w:val="nil"/>
              <w:bottom w:val="single" w:sz="4" w:space="0" w:color="auto"/>
              <w:right w:val="single" w:sz="4" w:space="0" w:color="auto"/>
            </w:tcBorders>
            <w:shd w:val="clear" w:color="auto" w:fill="auto"/>
            <w:noWrap/>
            <w:vAlign w:val="bottom"/>
            <w:hideMark/>
          </w:tcPr>
          <w:p w14:paraId="08E38F2E" w14:textId="77777777" w:rsidR="00493919" w:rsidRPr="00493919" w:rsidRDefault="00493919" w:rsidP="00493919">
            <w:pPr>
              <w:spacing w:after="0" w:line="240" w:lineRule="auto"/>
              <w:jc w:val="center"/>
              <w:rPr>
                <w:rFonts w:ascii="Arial Narrow" w:eastAsia="Times New Roman" w:hAnsi="Arial Narrow" w:cs="Arial"/>
                <w:b/>
                <w:bCs/>
                <w:sz w:val="16"/>
                <w:szCs w:val="16"/>
                <w:lang w:eastAsia="pt-BR"/>
              </w:rPr>
            </w:pPr>
            <w:r w:rsidRPr="00493919">
              <w:rPr>
                <w:rFonts w:ascii="Arial Narrow" w:eastAsia="Times New Roman" w:hAnsi="Arial Narrow" w:cs="Arial"/>
                <w:b/>
                <w:bCs/>
                <w:sz w:val="16"/>
                <w:szCs w:val="16"/>
                <w:lang w:eastAsia="pt-BR"/>
              </w:rPr>
              <w:t>Exercício Anterior</w:t>
            </w:r>
          </w:p>
        </w:tc>
      </w:tr>
      <w:tr w:rsidR="00493919" w:rsidRPr="00493919" w14:paraId="5DB93CDF" w14:textId="77777777" w:rsidTr="00E2470D">
        <w:trPr>
          <w:trHeight w:val="302"/>
        </w:trPr>
        <w:tc>
          <w:tcPr>
            <w:tcW w:w="9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73FF78" w14:textId="77777777" w:rsidR="00493919" w:rsidRPr="00493919" w:rsidRDefault="00493919" w:rsidP="00493919">
            <w:pPr>
              <w:spacing w:after="0" w:line="240" w:lineRule="auto"/>
              <w:jc w:val="center"/>
              <w:rPr>
                <w:rFonts w:ascii="Arial Narrow" w:eastAsia="Times New Roman" w:hAnsi="Arial Narrow" w:cs="Arial"/>
                <w:sz w:val="16"/>
                <w:szCs w:val="16"/>
                <w:lang w:eastAsia="pt-BR"/>
              </w:rPr>
            </w:pPr>
            <w:r w:rsidRPr="00493919">
              <w:rPr>
                <w:rFonts w:ascii="Arial Narrow" w:eastAsia="Times New Roman" w:hAnsi="Arial Narrow" w:cs="Arial"/>
                <w:color w:val="0070C0"/>
                <w:sz w:val="16"/>
                <w:szCs w:val="16"/>
                <w:lang w:eastAsia="pt-BR"/>
              </w:rPr>
              <w:t>119</w:t>
            </w:r>
          </w:p>
        </w:tc>
        <w:tc>
          <w:tcPr>
            <w:tcW w:w="6292" w:type="dxa"/>
            <w:tcBorders>
              <w:top w:val="single" w:sz="4" w:space="0" w:color="auto"/>
              <w:left w:val="nil"/>
              <w:bottom w:val="single" w:sz="4" w:space="0" w:color="auto"/>
            </w:tcBorders>
            <w:shd w:val="clear" w:color="auto" w:fill="auto"/>
            <w:vAlign w:val="center"/>
            <w:hideMark/>
          </w:tcPr>
          <w:p w14:paraId="141C6062" w14:textId="77777777" w:rsidR="00493919" w:rsidRPr="00493919" w:rsidRDefault="00493919" w:rsidP="00493919">
            <w:pPr>
              <w:spacing w:after="0" w:line="240" w:lineRule="auto"/>
              <w:rPr>
                <w:rFonts w:ascii="Arial Narrow" w:eastAsia="Times New Roman" w:hAnsi="Arial Narrow" w:cs="Arial"/>
                <w:sz w:val="16"/>
                <w:szCs w:val="16"/>
                <w:lang w:eastAsia="pt-BR"/>
              </w:rPr>
            </w:pPr>
            <w:r w:rsidRPr="00493919">
              <w:rPr>
                <w:rFonts w:ascii="Arial Narrow" w:eastAsia="Times New Roman" w:hAnsi="Arial Narrow" w:cs="Arial"/>
                <w:color w:val="0070C0"/>
                <w:sz w:val="16"/>
                <w:szCs w:val="16"/>
                <w:lang w:eastAsia="pt-BR"/>
              </w:rPr>
              <w:t>OUTROS RECURSOS VINCULADOS À EDUCAÇÃO</w:t>
            </w:r>
          </w:p>
        </w:tc>
        <w:tc>
          <w:tcPr>
            <w:tcW w:w="165" w:type="dxa"/>
            <w:tcBorders>
              <w:top w:val="single" w:sz="4" w:space="0" w:color="auto"/>
              <w:bottom w:val="single" w:sz="4" w:space="0" w:color="auto"/>
              <w:right w:val="single" w:sz="4" w:space="0" w:color="auto"/>
            </w:tcBorders>
            <w:shd w:val="clear" w:color="auto" w:fill="auto"/>
            <w:noWrap/>
            <w:vAlign w:val="center"/>
          </w:tcPr>
          <w:p w14:paraId="1FAA5583" w14:textId="77777777" w:rsidR="00493919" w:rsidRPr="00493919" w:rsidRDefault="00493919" w:rsidP="00493919">
            <w:pPr>
              <w:spacing w:after="0" w:line="240" w:lineRule="auto"/>
              <w:jc w:val="center"/>
              <w:rPr>
                <w:rFonts w:ascii="Arial Narrow" w:eastAsia="Times New Roman" w:hAnsi="Arial Narrow" w:cs="Arial"/>
                <w:color w:val="FF0000"/>
                <w:sz w:val="16"/>
                <w:szCs w:val="16"/>
                <w:lang w:eastAsia="pt-BR"/>
              </w:rPr>
            </w:pPr>
          </w:p>
        </w:tc>
        <w:tc>
          <w:tcPr>
            <w:tcW w:w="1386" w:type="dxa"/>
            <w:tcBorders>
              <w:top w:val="single" w:sz="4" w:space="0" w:color="auto"/>
              <w:left w:val="nil"/>
              <w:bottom w:val="single" w:sz="4" w:space="0" w:color="auto"/>
              <w:right w:val="single" w:sz="4" w:space="0" w:color="auto"/>
            </w:tcBorders>
            <w:shd w:val="clear" w:color="auto" w:fill="auto"/>
            <w:noWrap/>
            <w:vAlign w:val="center"/>
            <w:hideMark/>
          </w:tcPr>
          <w:p w14:paraId="649F481F" w14:textId="77777777" w:rsidR="00493919" w:rsidRPr="00493919" w:rsidRDefault="00493919" w:rsidP="00493919">
            <w:pPr>
              <w:spacing w:after="0" w:line="240" w:lineRule="auto"/>
              <w:jc w:val="center"/>
              <w:rPr>
                <w:rFonts w:ascii="Arial Narrow" w:eastAsia="Times New Roman" w:hAnsi="Arial Narrow" w:cs="Arial"/>
                <w:sz w:val="16"/>
                <w:szCs w:val="16"/>
                <w:lang w:eastAsia="pt-BR"/>
              </w:rPr>
            </w:pPr>
            <w:bookmarkStart w:id="130" w:name="OLE_LINK6"/>
            <w:r w:rsidRPr="00493919">
              <w:rPr>
                <w:rFonts w:ascii="Arial Narrow" w:eastAsia="Times New Roman" w:hAnsi="Arial Narrow" w:cs="Arial"/>
                <w:color w:val="0070C0"/>
                <w:sz w:val="16"/>
                <w:szCs w:val="16"/>
                <w:lang w:eastAsia="pt-BR"/>
              </w:rPr>
              <w:t>SDF.D610</w:t>
            </w:r>
            <w:bookmarkEnd w:id="130"/>
          </w:p>
        </w:tc>
        <w:tc>
          <w:tcPr>
            <w:tcW w:w="1567" w:type="dxa"/>
            <w:tcBorders>
              <w:top w:val="single" w:sz="4" w:space="0" w:color="auto"/>
              <w:left w:val="nil"/>
              <w:bottom w:val="single" w:sz="4" w:space="0" w:color="auto"/>
              <w:right w:val="single" w:sz="4" w:space="0" w:color="auto"/>
            </w:tcBorders>
            <w:shd w:val="clear" w:color="auto" w:fill="auto"/>
            <w:noWrap/>
            <w:vAlign w:val="center"/>
            <w:hideMark/>
          </w:tcPr>
          <w:p w14:paraId="4D9EBCAE" w14:textId="77777777" w:rsidR="00493919" w:rsidRPr="00493919" w:rsidRDefault="00493919" w:rsidP="00493919">
            <w:pPr>
              <w:spacing w:after="0" w:line="240" w:lineRule="auto"/>
              <w:jc w:val="center"/>
              <w:rPr>
                <w:rFonts w:ascii="Arial Narrow" w:eastAsia="Times New Roman" w:hAnsi="Arial Narrow" w:cs="Arial"/>
                <w:sz w:val="16"/>
                <w:szCs w:val="16"/>
                <w:lang w:eastAsia="pt-BR"/>
              </w:rPr>
            </w:pPr>
            <w:bookmarkStart w:id="131" w:name="OLE_LINK7"/>
            <w:r w:rsidRPr="00493919">
              <w:rPr>
                <w:rFonts w:ascii="Arial Narrow" w:eastAsia="Times New Roman" w:hAnsi="Arial Narrow" w:cs="Arial"/>
                <w:color w:val="0070C0"/>
                <w:sz w:val="16"/>
                <w:szCs w:val="16"/>
                <w:lang w:eastAsia="pt-BR"/>
              </w:rPr>
              <w:t>SDF.E610</w:t>
            </w:r>
            <w:bookmarkEnd w:id="131"/>
          </w:p>
        </w:tc>
      </w:tr>
    </w:tbl>
    <w:p w14:paraId="6FA4C030" w14:textId="077C7CEC" w:rsidR="00493919" w:rsidRDefault="00493919" w:rsidP="00493919">
      <w:pPr>
        <w:jc w:val="both"/>
        <w:rPr>
          <w:rFonts w:ascii="Arial" w:eastAsia="Calibri" w:hAnsi="Arial" w:cs="Arial"/>
          <w:szCs w:val="24"/>
        </w:rPr>
      </w:pPr>
    </w:p>
    <w:p w14:paraId="4DD1156B" w14:textId="6A01A61E" w:rsidR="00493919" w:rsidRDefault="00493919" w:rsidP="00493919">
      <w:pPr>
        <w:jc w:val="both"/>
        <w:rPr>
          <w:rFonts w:ascii="Arial" w:eastAsia="Times New Roman" w:hAnsi="Arial" w:cs="Arial"/>
          <w:b/>
          <w:sz w:val="24"/>
          <w:szCs w:val="24"/>
          <w:lang w:eastAsia="pt-BR"/>
        </w:rPr>
      </w:pPr>
      <w:r>
        <w:rPr>
          <w:rFonts w:ascii="Arial" w:eastAsia="Calibri" w:hAnsi="Arial" w:cs="Arial"/>
          <w:szCs w:val="24"/>
        </w:rPr>
        <w:t xml:space="preserve">II - </w:t>
      </w:r>
      <w:r w:rsidRPr="00493919">
        <w:rPr>
          <w:rFonts w:ascii="Arial" w:eastAsia="Times New Roman" w:hAnsi="Arial" w:cs="Arial"/>
          <w:bCs/>
          <w:sz w:val="24"/>
          <w:szCs w:val="24"/>
          <w:lang w:eastAsia="pt-BR"/>
        </w:rPr>
        <w:t xml:space="preserve">Alterar o </w:t>
      </w:r>
      <w:r w:rsidRPr="00493919">
        <w:rPr>
          <w:rFonts w:ascii="Arial" w:eastAsia="Times New Roman" w:hAnsi="Arial" w:cs="Arial"/>
          <w:b/>
          <w:sz w:val="24"/>
          <w:szCs w:val="24"/>
          <w:lang w:eastAsia="pt-BR"/>
        </w:rPr>
        <w:t>Balanço Financeiro (Anexo 13 - Lei nº 4.320/64) e o Quadro Anexo ao Balanço Financeiro – Estado</w:t>
      </w:r>
    </w:p>
    <w:p w14:paraId="68B8F73E" w14:textId="77777777" w:rsidR="00493919" w:rsidRPr="00493919" w:rsidRDefault="00493919" w:rsidP="00493919">
      <w:pPr>
        <w:overflowPunct w:val="0"/>
        <w:autoSpaceDE w:val="0"/>
        <w:autoSpaceDN w:val="0"/>
        <w:adjustRightInd w:val="0"/>
        <w:spacing w:after="0" w:line="240" w:lineRule="auto"/>
        <w:jc w:val="center"/>
        <w:textAlignment w:val="baseline"/>
        <w:rPr>
          <w:rFonts w:ascii="Arial" w:eastAsia="Times New Roman" w:hAnsi="Arial" w:cs="Arial"/>
          <w:b/>
          <w:bCs/>
          <w:sz w:val="18"/>
          <w:szCs w:val="18"/>
          <w:lang w:eastAsia="pt-BR"/>
        </w:rPr>
      </w:pPr>
      <w:r w:rsidRPr="00493919">
        <w:rPr>
          <w:rFonts w:ascii="Arial" w:eastAsia="Times New Roman" w:hAnsi="Arial" w:cs="Arial"/>
          <w:b/>
          <w:bCs/>
          <w:sz w:val="18"/>
          <w:szCs w:val="18"/>
          <w:lang w:eastAsia="pt-BR"/>
        </w:rPr>
        <w:lastRenderedPageBreak/>
        <w:t>TABELA 4 - BALANÇO FINANCEIRO (Anexo 13 - Lei º 4.320/64)</w:t>
      </w:r>
    </w:p>
    <w:p w14:paraId="1AF1E702" w14:textId="77777777" w:rsidR="00493919" w:rsidRPr="00493919" w:rsidRDefault="00493919" w:rsidP="00493919">
      <w:pPr>
        <w:overflowPunct w:val="0"/>
        <w:autoSpaceDE w:val="0"/>
        <w:autoSpaceDN w:val="0"/>
        <w:adjustRightInd w:val="0"/>
        <w:spacing w:after="0" w:line="240" w:lineRule="auto"/>
        <w:jc w:val="center"/>
        <w:textAlignment w:val="baseline"/>
        <w:rPr>
          <w:rFonts w:ascii="Arial" w:eastAsia="Times New Roman" w:hAnsi="Arial" w:cs="Arial"/>
          <w:b/>
          <w:bCs/>
          <w:sz w:val="18"/>
          <w:szCs w:val="18"/>
          <w:lang w:eastAsia="pt-BR"/>
        </w:rPr>
      </w:pPr>
      <w:r w:rsidRPr="00493919">
        <w:rPr>
          <w:rFonts w:ascii="Arial" w:eastAsia="Times New Roman" w:hAnsi="Arial" w:cs="Arial"/>
          <w:b/>
          <w:bCs/>
          <w:sz w:val="18"/>
          <w:szCs w:val="18"/>
          <w:lang w:eastAsia="pt-BR"/>
        </w:rPr>
        <w:t>ESTADO</w:t>
      </w:r>
    </w:p>
    <w:p w14:paraId="4D37F744" w14:textId="77777777" w:rsidR="00493919" w:rsidRPr="00493919" w:rsidRDefault="00493919" w:rsidP="00493919">
      <w:pPr>
        <w:overflowPunct w:val="0"/>
        <w:autoSpaceDE w:val="0"/>
        <w:autoSpaceDN w:val="0"/>
        <w:adjustRightInd w:val="0"/>
        <w:spacing w:after="0" w:line="240" w:lineRule="auto"/>
        <w:jc w:val="both"/>
        <w:textAlignment w:val="baseline"/>
        <w:rPr>
          <w:rFonts w:ascii="Arial" w:eastAsia="Times New Roman" w:hAnsi="Arial" w:cs="Arial"/>
          <w:bCs/>
          <w:sz w:val="24"/>
          <w:szCs w:val="24"/>
          <w:lang w:eastAsia="pt-BR"/>
        </w:rPr>
      </w:pPr>
    </w:p>
    <w:tbl>
      <w:tblPr>
        <w:tblW w:w="10491" w:type="dxa"/>
        <w:tblInd w:w="-719" w:type="dxa"/>
        <w:tblCellMar>
          <w:left w:w="70" w:type="dxa"/>
          <w:right w:w="70" w:type="dxa"/>
        </w:tblCellMar>
        <w:tblLook w:val="04A0" w:firstRow="1" w:lastRow="0" w:firstColumn="1" w:lastColumn="0" w:noHBand="0" w:noVBand="1"/>
      </w:tblPr>
      <w:tblGrid>
        <w:gridCol w:w="3403"/>
        <w:gridCol w:w="993"/>
        <w:gridCol w:w="992"/>
        <w:gridCol w:w="3118"/>
        <w:gridCol w:w="993"/>
        <w:gridCol w:w="992"/>
      </w:tblGrid>
      <w:tr w:rsidR="00493919" w:rsidRPr="00493919" w14:paraId="66DFE469" w14:textId="77777777" w:rsidTr="00E2470D">
        <w:trPr>
          <w:trHeight w:val="270"/>
        </w:trPr>
        <w:tc>
          <w:tcPr>
            <w:tcW w:w="5388" w:type="dxa"/>
            <w:gridSpan w:val="3"/>
            <w:tcBorders>
              <w:top w:val="single" w:sz="8" w:space="0" w:color="auto"/>
              <w:left w:val="single" w:sz="8" w:space="0" w:color="auto"/>
              <w:bottom w:val="single" w:sz="8" w:space="0" w:color="000000"/>
              <w:right w:val="single" w:sz="8" w:space="0" w:color="auto"/>
            </w:tcBorders>
            <w:shd w:val="clear" w:color="auto" w:fill="auto"/>
            <w:noWrap/>
            <w:vAlign w:val="center"/>
          </w:tcPr>
          <w:p w14:paraId="7715C6BD" w14:textId="77777777" w:rsidR="00493919" w:rsidRPr="00493919" w:rsidRDefault="00493919" w:rsidP="00493919">
            <w:pPr>
              <w:spacing w:after="0" w:line="240" w:lineRule="auto"/>
              <w:jc w:val="center"/>
              <w:rPr>
                <w:rFonts w:ascii="Arial Narrow" w:eastAsia="Times New Roman" w:hAnsi="Arial Narrow" w:cs="Arial"/>
                <w:b/>
                <w:bCs/>
                <w:sz w:val="16"/>
                <w:szCs w:val="16"/>
                <w:lang w:eastAsia="pt-BR"/>
              </w:rPr>
            </w:pPr>
            <w:r w:rsidRPr="00493919">
              <w:rPr>
                <w:rFonts w:ascii="Arial Narrow" w:eastAsia="Times New Roman" w:hAnsi="Arial Narrow" w:cs="Arial"/>
                <w:b/>
                <w:bCs/>
                <w:sz w:val="16"/>
                <w:szCs w:val="16"/>
                <w:lang w:eastAsia="pt-BR"/>
              </w:rPr>
              <w:t>INGRESSOS</w:t>
            </w:r>
          </w:p>
        </w:tc>
        <w:tc>
          <w:tcPr>
            <w:tcW w:w="5103" w:type="dxa"/>
            <w:gridSpan w:val="3"/>
            <w:tcBorders>
              <w:top w:val="single" w:sz="8" w:space="0" w:color="auto"/>
              <w:left w:val="single" w:sz="8" w:space="0" w:color="auto"/>
              <w:bottom w:val="single" w:sz="8" w:space="0" w:color="000000"/>
              <w:right w:val="single" w:sz="8" w:space="0" w:color="auto"/>
            </w:tcBorders>
            <w:shd w:val="clear" w:color="auto" w:fill="auto"/>
            <w:noWrap/>
            <w:vAlign w:val="center"/>
          </w:tcPr>
          <w:p w14:paraId="1976351A" w14:textId="77777777" w:rsidR="00493919" w:rsidRPr="00493919" w:rsidRDefault="00493919" w:rsidP="00493919">
            <w:pPr>
              <w:spacing w:after="0" w:line="240" w:lineRule="auto"/>
              <w:jc w:val="center"/>
              <w:rPr>
                <w:rFonts w:ascii="Arial Narrow" w:eastAsia="Times New Roman" w:hAnsi="Arial Narrow" w:cs="Arial"/>
                <w:b/>
                <w:bCs/>
                <w:sz w:val="16"/>
                <w:szCs w:val="16"/>
                <w:lang w:eastAsia="pt-BR"/>
              </w:rPr>
            </w:pPr>
            <w:r w:rsidRPr="00493919">
              <w:rPr>
                <w:rFonts w:ascii="Arial Narrow" w:eastAsia="Times New Roman" w:hAnsi="Arial Narrow" w:cs="Arial"/>
                <w:b/>
                <w:bCs/>
                <w:sz w:val="16"/>
                <w:szCs w:val="16"/>
                <w:lang w:eastAsia="pt-BR"/>
              </w:rPr>
              <w:t>DISPÊNDIOS</w:t>
            </w:r>
          </w:p>
        </w:tc>
      </w:tr>
      <w:tr w:rsidR="00493919" w:rsidRPr="00493919" w14:paraId="2D1F7300" w14:textId="77777777" w:rsidTr="00E2470D">
        <w:trPr>
          <w:trHeight w:val="270"/>
        </w:trPr>
        <w:tc>
          <w:tcPr>
            <w:tcW w:w="3403"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364A724D" w14:textId="77777777" w:rsidR="00493919" w:rsidRPr="00493919" w:rsidRDefault="00493919" w:rsidP="00493919">
            <w:pPr>
              <w:spacing w:after="0" w:line="240" w:lineRule="auto"/>
              <w:jc w:val="center"/>
              <w:rPr>
                <w:rFonts w:ascii="Arial Narrow" w:eastAsia="Times New Roman" w:hAnsi="Arial Narrow" w:cs="Arial"/>
                <w:b/>
                <w:bCs/>
                <w:sz w:val="16"/>
                <w:szCs w:val="16"/>
                <w:lang w:eastAsia="pt-BR"/>
              </w:rPr>
            </w:pPr>
            <w:r w:rsidRPr="00493919">
              <w:rPr>
                <w:rFonts w:ascii="Arial Narrow" w:eastAsia="Times New Roman" w:hAnsi="Arial Narrow" w:cs="Arial"/>
                <w:b/>
                <w:bCs/>
                <w:sz w:val="16"/>
                <w:szCs w:val="16"/>
                <w:lang w:eastAsia="pt-BR"/>
              </w:rPr>
              <w:t>ESPECIFICAÇÃO</w:t>
            </w:r>
          </w:p>
        </w:tc>
        <w:tc>
          <w:tcPr>
            <w:tcW w:w="993" w:type="dxa"/>
            <w:tcBorders>
              <w:top w:val="single" w:sz="8" w:space="0" w:color="auto"/>
              <w:left w:val="nil"/>
              <w:bottom w:val="single" w:sz="8" w:space="0" w:color="auto"/>
              <w:right w:val="single" w:sz="8" w:space="0" w:color="auto"/>
            </w:tcBorders>
            <w:shd w:val="clear" w:color="auto" w:fill="auto"/>
            <w:noWrap/>
            <w:vAlign w:val="center"/>
            <w:hideMark/>
          </w:tcPr>
          <w:p w14:paraId="610FCBDD" w14:textId="77777777" w:rsidR="00493919" w:rsidRPr="00493919" w:rsidRDefault="00493919" w:rsidP="00493919">
            <w:pPr>
              <w:spacing w:after="0" w:line="240" w:lineRule="auto"/>
              <w:jc w:val="center"/>
              <w:rPr>
                <w:rFonts w:ascii="Arial Narrow" w:eastAsia="Times New Roman" w:hAnsi="Arial Narrow" w:cs="Arial"/>
                <w:b/>
                <w:bCs/>
                <w:sz w:val="16"/>
                <w:szCs w:val="16"/>
                <w:lang w:eastAsia="pt-BR"/>
              </w:rPr>
            </w:pPr>
            <w:r w:rsidRPr="00493919">
              <w:rPr>
                <w:rFonts w:ascii="Arial Narrow" w:eastAsia="Times New Roman" w:hAnsi="Arial Narrow" w:cs="Arial"/>
                <w:b/>
                <w:bCs/>
                <w:sz w:val="16"/>
                <w:szCs w:val="16"/>
                <w:lang w:eastAsia="pt-BR"/>
              </w:rPr>
              <w:t>Exercício Atual</w:t>
            </w:r>
          </w:p>
        </w:tc>
        <w:tc>
          <w:tcPr>
            <w:tcW w:w="992" w:type="dxa"/>
            <w:tcBorders>
              <w:top w:val="single" w:sz="8" w:space="0" w:color="auto"/>
              <w:left w:val="nil"/>
              <w:bottom w:val="single" w:sz="8" w:space="0" w:color="auto"/>
              <w:right w:val="single" w:sz="8" w:space="0" w:color="auto"/>
            </w:tcBorders>
            <w:shd w:val="clear" w:color="auto" w:fill="auto"/>
            <w:noWrap/>
            <w:vAlign w:val="center"/>
            <w:hideMark/>
          </w:tcPr>
          <w:p w14:paraId="360CB999" w14:textId="77777777" w:rsidR="00493919" w:rsidRPr="00493919" w:rsidRDefault="00493919" w:rsidP="00493919">
            <w:pPr>
              <w:spacing w:after="0" w:line="240" w:lineRule="auto"/>
              <w:jc w:val="center"/>
              <w:rPr>
                <w:rFonts w:ascii="Arial Narrow" w:eastAsia="Times New Roman" w:hAnsi="Arial Narrow" w:cs="Arial"/>
                <w:b/>
                <w:bCs/>
                <w:sz w:val="16"/>
                <w:szCs w:val="16"/>
                <w:lang w:eastAsia="pt-BR"/>
              </w:rPr>
            </w:pPr>
            <w:r w:rsidRPr="00493919">
              <w:rPr>
                <w:rFonts w:ascii="Arial Narrow" w:eastAsia="Times New Roman" w:hAnsi="Arial Narrow" w:cs="Arial"/>
                <w:b/>
                <w:bCs/>
                <w:sz w:val="16"/>
                <w:szCs w:val="16"/>
                <w:lang w:eastAsia="pt-BR"/>
              </w:rPr>
              <w:t>Exercício Anterior</w:t>
            </w:r>
          </w:p>
        </w:tc>
        <w:tc>
          <w:tcPr>
            <w:tcW w:w="3118"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2138F408" w14:textId="77777777" w:rsidR="00493919" w:rsidRPr="00493919" w:rsidRDefault="00493919" w:rsidP="00493919">
            <w:pPr>
              <w:spacing w:after="0" w:line="240" w:lineRule="auto"/>
              <w:jc w:val="center"/>
              <w:rPr>
                <w:rFonts w:ascii="Arial Narrow" w:eastAsia="Times New Roman" w:hAnsi="Arial Narrow" w:cs="Arial"/>
                <w:b/>
                <w:bCs/>
                <w:sz w:val="16"/>
                <w:szCs w:val="16"/>
                <w:lang w:eastAsia="pt-BR"/>
              </w:rPr>
            </w:pPr>
            <w:r w:rsidRPr="00493919">
              <w:rPr>
                <w:rFonts w:ascii="Arial Narrow" w:eastAsia="Times New Roman" w:hAnsi="Arial Narrow" w:cs="Arial"/>
                <w:b/>
                <w:bCs/>
                <w:sz w:val="16"/>
                <w:szCs w:val="16"/>
                <w:lang w:eastAsia="pt-BR"/>
              </w:rPr>
              <w:t>ESPECIFICAÇÃO</w:t>
            </w:r>
          </w:p>
        </w:tc>
        <w:tc>
          <w:tcPr>
            <w:tcW w:w="993" w:type="dxa"/>
            <w:tcBorders>
              <w:top w:val="single" w:sz="8" w:space="0" w:color="auto"/>
              <w:left w:val="nil"/>
              <w:bottom w:val="single" w:sz="8" w:space="0" w:color="auto"/>
              <w:right w:val="single" w:sz="8" w:space="0" w:color="auto"/>
            </w:tcBorders>
            <w:shd w:val="clear" w:color="auto" w:fill="auto"/>
            <w:noWrap/>
            <w:vAlign w:val="center"/>
            <w:hideMark/>
          </w:tcPr>
          <w:p w14:paraId="20F69B65" w14:textId="77777777" w:rsidR="00493919" w:rsidRPr="00493919" w:rsidRDefault="00493919" w:rsidP="00493919">
            <w:pPr>
              <w:spacing w:after="0" w:line="240" w:lineRule="auto"/>
              <w:jc w:val="center"/>
              <w:rPr>
                <w:rFonts w:ascii="Arial Narrow" w:eastAsia="Times New Roman" w:hAnsi="Arial Narrow" w:cs="Arial"/>
                <w:b/>
                <w:bCs/>
                <w:sz w:val="16"/>
                <w:szCs w:val="16"/>
                <w:lang w:eastAsia="pt-BR"/>
              </w:rPr>
            </w:pPr>
            <w:r w:rsidRPr="00493919">
              <w:rPr>
                <w:rFonts w:ascii="Arial Narrow" w:eastAsia="Times New Roman" w:hAnsi="Arial Narrow" w:cs="Arial"/>
                <w:b/>
                <w:bCs/>
                <w:sz w:val="16"/>
                <w:szCs w:val="16"/>
                <w:lang w:eastAsia="pt-BR"/>
              </w:rPr>
              <w:t>Exercício Atual</w:t>
            </w:r>
          </w:p>
        </w:tc>
        <w:tc>
          <w:tcPr>
            <w:tcW w:w="992" w:type="dxa"/>
            <w:tcBorders>
              <w:top w:val="single" w:sz="8" w:space="0" w:color="auto"/>
              <w:left w:val="nil"/>
              <w:bottom w:val="single" w:sz="8" w:space="0" w:color="auto"/>
              <w:right w:val="single" w:sz="8" w:space="0" w:color="auto"/>
            </w:tcBorders>
            <w:shd w:val="clear" w:color="auto" w:fill="auto"/>
            <w:noWrap/>
            <w:vAlign w:val="center"/>
            <w:hideMark/>
          </w:tcPr>
          <w:p w14:paraId="2FB425EB" w14:textId="77777777" w:rsidR="00493919" w:rsidRPr="00493919" w:rsidRDefault="00493919" w:rsidP="00493919">
            <w:pPr>
              <w:spacing w:after="0" w:line="240" w:lineRule="auto"/>
              <w:jc w:val="center"/>
              <w:rPr>
                <w:rFonts w:ascii="Arial Narrow" w:eastAsia="Times New Roman" w:hAnsi="Arial Narrow" w:cs="Arial"/>
                <w:b/>
                <w:bCs/>
                <w:sz w:val="16"/>
                <w:szCs w:val="16"/>
                <w:lang w:eastAsia="pt-BR"/>
              </w:rPr>
            </w:pPr>
            <w:r w:rsidRPr="00493919">
              <w:rPr>
                <w:rFonts w:ascii="Arial Narrow" w:eastAsia="Times New Roman" w:hAnsi="Arial Narrow" w:cs="Arial"/>
                <w:b/>
                <w:bCs/>
                <w:sz w:val="16"/>
                <w:szCs w:val="16"/>
                <w:lang w:eastAsia="pt-BR"/>
              </w:rPr>
              <w:t>Exercício Anterior</w:t>
            </w:r>
          </w:p>
        </w:tc>
      </w:tr>
      <w:tr w:rsidR="00493919" w:rsidRPr="00493919" w14:paraId="14C41AFE" w14:textId="77777777" w:rsidTr="00E2470D">
        <w:trPr>
          <w:trHeight w:val="270"/>
        </w:trPr>
        <w:tc>
          <w:tcPr>
            <w:tcW w:w="3403"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2A8B9D8B" w14:textId="77777777" w:rsidR="00493919" w:rsidRPr="00493919" w:rsidRDefault="00493919" w:rsidP="00493919">
            <w:pPr>
              <w:spacing w:after="0" w:line="240" w:lineRule="auto"/>
              <w:rPr>
                <w:rFonts w:ascii="Arial Narrow" w:eastAsia="Times New Roman" w:hAnsi="Arial Narrow" w:cs="Arial"/>
                <w:b/>
                <w:bCs/>
                <w:sz w:val="16"/>
                <w:szCs w:val="16"/>
                <w:lang w:eastAsia="pt-BR"/>
              </w:rPr>
            </w:pPr>
          </w:p>
        </w:tc>
        <w:tc>
          <w:tcPr>
            <w:tcW w:w="1985" w:type="dxa"/>
            <w:gridSpan w:val="2"/>
            <w:tcBorders>
              <w:top w:val="nil"/>
              <w:left w:val="nil"/>
              <w:bottom w:val="single" w:sz="8" w:space="0" w:color="auto"/>
              <w:right w:val="single" w:sz="8" w:space="0" w:color="auto"/>
            </w:tcBorders>
            <w:shd w:val="clear" w:color="auto" w:fill="auto"/>
            <w:noWrap/>
            <w:vAlign w:val="center"/>
            <w:hideMark/>
          </w:tcPr>
          <w:p w14:paraId="4927AF78" w14:textId="77777777" w:rsidR="00493919" w:rsidRPr="00493919" w:rsidRDefault="00493919" w:rsidP="00493919">
            <w:pPr>
              <w:spacing w:after="0" w:line="240" w:lineRule="auto"/>
              <w:jc w:val="center"/>
              <w:rPr>
                <w:rFonts w:ascii="Arial Narrow" w:eastAsia="Times New Roman" w:hAnsi="Arial Narrow" w:cs="Arial"/>
                <w:b/>
                <w:bCs/>
                <w:sz w:val="16"/>
                <w:szCs w:val="16"/>
                <w:lang w:eastAsia="pt-BR"/>
              </w:rPr>
            </w:pPr>
            <w:r w:rsidRPr="00493919">
              <w:rPr>
                <w:rFonts w:ascii="Arial Narrow" w:eastAsia="Times New Roman" w:hAnsi="Arial Narrow" w:cs="Arial"/>
                <w:b/>
                <w:bCs/>
                <w:sz w:val="16"/>
                <w:szCs w:val="16"/>
                <w:lang w:eastAsia="pt-BR"/>
              </w:rPr>
              <w:t>VALOR</w:t>
            </w:r>
          </w:p>
        </w:tc>
        <w:tc>
          <w:tcPr>
            <w:tcW w:w="3118"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12835D7F" w14:textId="77777777" w:rsidR="00493919" w:rsidRPr="00493919" w:rsidRDefault="00493919" w:rsidP="00493919">
            <w:pPr>
              <w:spacing w:after="0" w:line="240" w:lineRule="auto"/>
              <w:rPr>
                <w:rFonts w:ascii="Arial Narrow" w:eastAsia="Times New Roman" w:hAnsi="Arial Narrow" w:cs="Arial"/>
                <w:b/>
                <w:bCs/>
                <w:sz w:val="16"/>
                <w:szCs w:val="16"/>
                <w:lang w:eastAsia="pt-BR"/>
              </w:rPr>
            </w:pPr>
          </w:p>
        </w:tc>
        <w:tc>
          <w:tcPr>
            <w:tcW w:w="1985" w:type="dxa"/>
            <w:gridSpan w:val="2"/>
            <w:tcBorders>
              <w:top w:val="nil"/>
              <w:left w:val="nil"/>
              <w:bottom w:val="single" w:sz="8" w:space="0" w:color="auto"/>
              <w:right w:val="single" w:sz="8" w:space="0" w:color="auto"/>
            </w:tcBorders>
            <w:shd w:val="clear" w:color="auto" w:fill="auto"/>
            <w:noWrap/>
            <w:vAlign w:val="center"/>
            <w:hideMark/>
          </w:tcPr>
          <w:p w14:paraId="54A68EE0" w14:textId="77777777" w:rsidR="00493919" w:rsidRPr="00493919" w:rsidRDefault="00493919" w:rsidP="00493919">
            <w:pPr>
              <w:spacing w:after="0" w:line="240" w:lineRule="auto"/>
              <w:jc w:val="center"/>
              <w:rPr>
                <w:rFonts w:ascii="Arial Narrow" w:eastAsia="Times New Roman" w:hAnsi="Arial Narrow" w:cs="Arial"/>
                <w:b/>
                <w:bCs/>
                <w:sz w:val="16"/>
                <w:szCs w:val="16"/>
                <w:lang w:eastAsia="pt-BR"/>
              </w:rPr>
            </w:pPr>
            <w:r w:rsidRPr="00493919">
              <w:rPr>
                <w:rFonts w:ascii="Arial Narrow" w:eastAsia="Times New Roman" w:hAnsi="Arial Narrow" w:cs="Arial"/>
                <w:b/>
                <w:bCs/>
                <w:sz w:val="16"/>
                <w:szCs w:val="16"/>
                <w:lang w:eastAsia="pt-BR"/>
              </w:rPr>
              <w:t>VALOR</w:t>
            </w:r>
          </w:p>
        </w:tc>
      </w:tr>
      <w:tr w:rsidR="00493919" w:rsidRPr="00493919" w14:paraId="106599E7" w14:textId="77777777" w:rsidTr="00E2470D">
        <w:trPr>
          <w:trHeight w:val="255"/>
        </w:trPr>
        <w:tc>
          <w:tcPr>
            <w:tcW w:w="3403" w:type="dxa"/>
            <w:tcBorders>
              <w:top w:val="nil"/>
              <w:left w:val="single" w:sz="8" w:space="0" w:color="auto"/>
              <w:bottom w:val="nil"/>
              <w:right w:val="single" w:sz="8" w:space="0" w:color="auto"/>
            </w:tcBorders>
            <w:shd w:val="clear" w:color="auto" w:fill="auto"/>
            <w:noWrap/>
            <w:vAlign w:val="center"/>
          </w:tcPr>
          <w:p w14:paraId="424C402A" w14:textId="77777777" w:rsidR="00493919" w:rsidRPr="00493919" w:rsidRDefault="00493919" w:rsidP="00493919">
            <w:pPr>
              <w:spacing w:after="0" w:line="240" w:lineRule="auto"/>
              <w:ind w:firstLineChars="200" w:firstLine="320"/>
              <w:rPr>
                <w:rFonts w:ascii="Arial Narrow" w:eastAsia="Times New Roman" w:hAnsi="Arial Narrow" w:cs="Arial"/>
                <w:color w:val="0070C0"/>
                <w:sz w:val="16"/>
                <w:szCs w:val="16"/>
                <w:lang w:eastAsia="pt-BR"/>
              </w:rPr>
            </w:pPr>
          </w:p>
        </w:tc>
        <w:tc>
          <w:tcPr>
            <w:tcW w:w="993" w:type="dxa"/>
            <w:tcBorders>
              <w:top w:val="nil"/>
              <w:left w:val="nil"/>
              <w:bottom w:val="nil"/>
              <w:right w:val="single" w:sz="8" w:space="0" w:color="auto"/>
            </w:tcBorders>
            <w:shd w:val="clear" w:color="auto" w:fill="auto"/>
            <w:vAlign w:val="center"/>
          </w:tcPr>
          <w:p w14:paraId="02466673" w14:textId="77777777" w:rsidR="00493919" w:rsidRPr="00493919" w:rsidRDefault="00493919" w:rsidP="00493919">
            <w:pPr>
              <w:spacing w:after="0" w:line="240" w:lineRule="auto"/>
              <w:jc w:val="center"/>
              <w:rPr>
                <w:rFonts w:ascii="Arial Narrow" w:eastAsia="Times New Roman" w:hAnsi="Arial Narrow" w:cs="Arial"/>
                <w:color w:val="0070C0"/>
                <w:sz w:val="16"/>
                <w:szCs w:val="16"/>
                <w:lang w:eastAsia="pt-BR"/>
              </w:rPr>
            </w:pPr>
          </w:p>
        </w:tc>
        <w:tc>
          <w:tcPr>
            <w:tcW w:w="992" w:type="dxa"/>
            <w:tcBorders>
              <w:top w:val="nil"/>
              <w:left w:val="nil"/>
              <w:bottom w:val="nil"/>
              <w:right w:val="single" w:sz="8" w:space="0" w:color="auto"/>
            </w:tcBorders>
            <w:shd w:val="clear" w:color="auto" w:fill="auto"/>
            <w:vAlign w:val="center"/>
          </w:tcPr>
          <w:p w14:paraId="61D4FF6D" w14:textId="77777777" w:rsidR="00493919" w:rsidRPr="00493919" w:rsidRDefault="00493919" w:rsidP="00493919">
            <w:pPr>
              <w:spacing w:after="0" w:line="240" w:lineRule="auto"/>
              <w:jc w:val="center"/>
              <w:rPr>
                <w:rFonts w:ascii="Arial Narrow" w:eastAsia="Times New Roman" w:hAnsi="Arial Narrow" w:cs="Arial"/>
                <w:color w:val="0070C0"/>
                <w:sz w:val="16"/>
                <w:szCs w:val="16"/>
                <w:lang w:eastAsia="pt-BR"/>
              </w:rPr>
            </w:pPr>
          </w:p>
        </w:tc>
        <w:tc>
          <w:tcPr>
            <w:tcW w:w="3118" w:type="dxa"/>
            <w:tcBorders>
              <w:top w:val="nil"/>
              <w:left w:val="nil"/>
              <w:bottom w:val="nil"/>
              <w:right w:val="single" w:sz="8" w:space="0" w:color="auto"/>
            </w:tcBorders>
            <w:shd w:val="clear" w:color="auto" w:fill="auto"/>
            <w:noWrap/>
            <w:vAlign w:val="center"/>
          </w:tcPr>
          <w:p w14:paraId="4357D48A" w14:textId="77777777" w:rsidR="00493919" w:rsidRPr="00493919" w:rsidRDefault="00493919" w:rsidP="00493919">
            <w:pPr>
              <w:spacing w:after="0" w:line="240" w:lineRule="auto"/>
              <w:ind w:firstLineChars="200" w:firstLine="320"/>
              <w:rPr>
                <w:rFonts w:ascii="Arial Narrow" w:eastAsia="Times New Roman" w:hAnsi="Arial Narrow" w:cs="Arial"/>
                <w:color w:val="0070C0"/>
                <w:sz w:val="16"/>
                <w:szCs w:val="16"/>
                <w:lang w:eastAsia="pt-BR"/>
              </w:rPr>
            </w:pPr>
          </w:p>
        </w:tc>
        <w:tc>
          <w:tcPr>
            <w:tcW w:w="993" w:type="dxa"/>
            <w:tcBorders>
              <w:top w:val="nil"/>
              <w:left w:val="nil"/>
              <w:bottom w:val="nil"/>
              <w:right w:val="single" w:sz="8" w:space="0" w:color="auto"/>
            </w:tcBorders>
            <w:shd w:val="clear" w:color="auto" w:fill="auto"/>
            <w:vAlign w:val="center"/>
          </w:tcPr>
          <w:p w14:paraId="1B8177BE" w14:textId="77777777" w:rsidR="00493919" w:rsidRPr="00493919" w:rsidRDefault="00493919" w:rsidP="00493919">
            <w:pPr>
              <w:spacing w:after="0" w:line="240" w:lineRule="auto"/>
              <w:jc w:val="center"/>
              <w:rPr>
                <w:rFonts w:ascii="Arial Narrow" w:eastAsia="Times New Roman" w:hAnsi="Arial Narrow" w:cs="Arial"/>
                <w:color w:val="0070C0"/>
                <w:sz w:val="16"/>
                <w:szCs w:val="16"/>
                <w:lang w:eastAsia="pt-BR"/>
              </w:rPr>
            </w:pPr>
          </w:p>
        </w:tc>
        <w:tc>
          <w:tcPr>
            <w:tcW w:w="992" w:type="dxa"/>
            <w:tcBorders>
              <w:top w:val="nil"/>
              <w:left w:val="nil"/>
              <w:bottom w:val="nil"/>
              <w:right w:val="single" w:sz="8" w:space="0" w:color="auto"/>
            </w:tcBorders>
            <w:shd w:val="clear" w:color="auto" w:fill="auto"/>
            <w:vAlign w:val="center"/>
          </w:tcPr>
          <w:p w14:paraId="50DB840C" w14:textId="77777777" w:rsidR="00493919" w:rsidRPr="00493919" w:rsidRDefault="00493919" w:rsidP="00493919">
            <w:pPr>
              <w:spacing w:after="0" w:line="240" w:lineRule="auto"/>
              <w:jc w:val="center"/>
              <w:rPr>
                <w:rFonts w:ascii="Arial Narrow" w:eastAsia="Times New Roman" w:hAnsi="Arial Narrow" w:cs="Arial"/>
                <w:color w:val="0070C0"/>
                <w:sz w:val="16"/>
                <w:szCs w:val="16"/>
                <w:lang w:eastAsia="pt-BR"/>
              </w:rPr>
            </w:pPr>
          </w:p>
        </w:tc>
      </w:tr>
      <w:tr w:rsidR="00493919" w:rsidRPr="00493919" w14:paraId="136626A9" w14:textId="77777777" w:rsidTr="00E2470D">
        <w:trPr>
          <w:trHeight w:val="255"/>
        </w:trPr>
        <w:tc>
          <w:tcPr>
            <w:tcW w:w="3403" w:type="dxa"/>
            <w:tcBorders>
              <w:top w:val="nil"/>
              <w:left w:val="single" w:sz="8" w:space="0" w:color="auto"/>
              <w:bottom w:val="single" w:sz="4" w:space="0" w:color="auto"/>
              <w:right w:val="single" w:sz="8" w:space="0" w:color="auto"/>
            </w:tcBorders>
            <w:shd w:val="clear" w:color="auto" w:fill="auto"/>
            <w:noWrap/>
            <w:vAlign w:val="center"/>
            <w:hideMark/>
          </w:tcPr>
          <w:p w14:paraId="24CDE8B8" w14:textId="77777777" w:rsidR="00493919" w:rsidRPr="00493919" w:rsidRDefault="00493919" w:rsidP="00493919">
            <w:pPr>
              <w:spacing w:after="0" w:line="240" w:lineRule="auto"/>
              <w:ind w:firstLineChars="200" w:firstLine="320"/>
              <w:rPr>
                <w:rFonts w:ascii="Arial Narrow" w:eastAsia="Times New Roman" w:hAnsi="Arial Narrow" w:cs="Arial"/>
                <w:sz w:val="16"/>
                <w:szCs w:val="16"/>
                <w:lang w:eastAsia="pt-BR"/>
              </w:rPr>
            </w:pPr>
            <w:r w:rsidRPr="00493919">
              <w:rPr>
                <w:rFonts w:ascii="Arial Narrow" w:eastAsia="Times New Roman" w:hAnsi="Arial Narrow" w:cs="Arial"/>
                <w:color w:val="0070C0"/>
                <w:sz w:val="16"/>
                <w:szCs w:val="16"/>
                <w:lang w:eastAsia="pt-BR"/>
              </w:rPr>
              <w:t>119 – OUTROS RECURSOS VINCULADOS À EDUCAÇÃO</w:t>
            </w:r>
          </w:p>
        </w:tc>
        <w:tc>
          <w:tcPr>
            <w:tcW w:w="993" w:type="dxa"/>
            <w:tcBorders>
              <w:top w:val="nil"/>
              <w:left w:val="nil"/>
              <w:bottom w:val="single" w:sz="4" w:space="0" w:color="auto"/>
              <w:right w:val="single" w:sz="8" w:space="0" w:color="auto"/>
            </w:tcBorders>
            <w:shd w:val="clear" w:color="auto" w:fill="auto"/>
            <w:vAlign w:val="center"/>
            <w:hideMark/>
          </w:tcPr>
          <w:p w14:paraId="0A659E5C" w14:textId="77777777" w:rsidR="00493919" w:rsidRPr="00493919" w:rsidRDefault="00493919" w:rsidP="00493919">
            <w:pPr>
              <w:spacing w:after="0" w:line="240" w:lineRule="auto"/>
              <w:jc w:val="center"/>
              <w:rPr>
                <w:rFonts w:ascii="Arial Narrow" w:eastAsia="Times New Roman" w:hAnsi="Arial Narrow" w:cs="Arial"/>
                <w:sz w:val="16"/>
                <w:szCs w:val="16"/>
                <w:lang w:eastAsia="pt-BR"/>
              </w:rPr>
            </w:pPr>
            <w:r w:rsidRPr="00493919">
              <w:rPr>
                <w:rFonts w:ascii="Arial Narrow" w:eastAsia="Times New Roman" w:hAnsi="Arial Narrow" w:cs="Arial"/>
                <w:color w:val="0070C0"/>
                <w:sz w:val="16"/>
                <w:szCs w:val="16"/>
                <w:lang w:eastAsia="pt-BR"/>
              </w:rPr>
              <w:t>BFI.C609</w:t>
            </w:r>
          </w:p>
        </w:tc>
        <w:tc>
          <w:tcPr>
            <w:tcW w:w="992" w:type="dxa"/>
            <w:tcBorders>
              <w:top w:val="nil"/>
              <w:left w:val="nil"/>
              <w:bottom w:val="single" w:sz="4" w:space="0" w:color="auto"/>
              <w:right w:val="single" w:sz="8" w:space="0" w:color="auto"/>
            </w:tcBorders>
            <w:shd w:val="clear" w:color="auto" w:fill="auto"/>
            <w:vAlign w:val="center"/>
            <w:hideMark/>
          </w:tcPr>
          <w:p w14:paraId="7778D5C8" w14:textId="77777777" w:rsidR="00493919" w:rsidRPr="00493919" w:rsidRDefault="00493919" w:rsidP="00493919">
            <w:pPr>
              <w:spacing w:after="0" w:line="240" w:lineRule="auto"/>
              <w:jc w:val="center"/>
              <w:rPr>
                <w:rFonts w:ascii="Arial Narrow" w:eastAsia="Times New Roman" w:hAnsi="Arial Narrow" w:cs="Arial"/>
                <w:sz w:val="16"/>
                <w:szCs w:val="16"/>
                <w:lang w:eastAsia="pt-BR"/>
              </w:rPr>
            </w:pPr>
            <w:r w:rsidRPr="00493919">
              <w:rPr>
                <w:rFonts w:ascii="Arial Narrow" w:eastAsia="Times New Roman" w:hAnsi="Arial Narrow" w:cs="Arial"/>
                <w:color w:val="0070C0"/>
                <w:sz w:val="16"/>
                <w:szCs w:val="16"/>
                <w:lang w:eastAsia="pt-BR"/>
              </w:rPr>
              <w:t>BFI.D609</w:t>
            </w:r>
          </w:p>
        </w:tc>
        <w:tc>
          <w:tcPr>
            <w:tcW w:w="3118" w:type="dxa"/>
            <w:tcBorders>
              <w:top w:val="nil"/>
              <w:left w:val="nil"/>
              <w:bottom w:val="single" w:sz="4" w:space="0" w:color="auto"/>
              <w:right w:val="single" w:sz="8" w:space="0" w:color="auto"/>
            </w:tcBorders>
            <w:shd w:val="clear" w:color="auto" w:fill="auto"/>
            <w:noWrap/>
            <w:vAlign w:val="center"/>
            <w:hideMark/>
          </w:tcPr>
          <w:p w14:paraId="71AE59DB" w14:textId="77777777" w:rsidR="00493919" w:rsidRPr="00493919" w:rsidRDefault="00493919" w:rsidP="00493919">
            <w:pPr>
              <w:spacing w:after="0" w:line="240" w:lineRule="auto"/>
              <w:ind w:firstLineChars="200" w:firstLine="320"/>
              <w:rPr>
                <w:rFonts w:ascii="Arial Narrow" w:eastAsia="Times New Roman" w:hAnsi="Arial Narrow" w:cs="Arial"/>
                <w:sz w:val="16"/>
                <w:szCs w:val="16"/>
                <w:lang w:eastAsia="pt-BR"/>
              </w:rPr>
            </w:pPr>
            <w:r w:rsidRPr="00493919">
              <w:rPr>
                <w:rFonts w:ascii="Arial Narrow" w:eastAsia="Times New Roman" w:hAnsi="Arial Narrow" w:cs="Arial"/>
                <w:color w:val="0070C0"/>
                <w:sz w:val="16"/>
                <w:szCs w:val="16"/>
                <w:lang w:eastAsia="pt-BR"/>
              </w:rPr>
              <w:t>119 – OUTROS RECURSOS VINCULADOS À EDUCAÇÃO</w:t>
            </w:r>
          </w:p>
        </w:tc>
        <w:tc>
          <w:tcPr>
            <w:tcW w:w="993" w:type="dxa"/>
            <w:tcBorders>
              <w:top w:val="nil"/>
              <w:left w:val="nil"/>
              <w:bottom w:val="single" w:sz="4" w:space="0" w:color="auto"/>
              <w:right w:val="single" w:sz="8" w:space="0" w:color="auto"/>
            </w:tcBorders>
            <w:shd w:val="clear" w:color="auto" w:fill="auto"/>
            <w:vAlign w:val="center"/>
            <w:hideMark/>
          </w:tcPr>
          <w:p w14:paraId="48BA1EAB" w14:textId="77777777" w:rsidR="00493919" w:rsidRPr="00493919" w:rsidRDefault="00493919" w:rsidP="00493919">
            <w:pPr>
              <w:spacing w:after="0" w:line="240" w:lineRule="auto"/>
              <w:jc w:val="center"/>
              <w:rPr>
                <w:rFonts w:ascii="Arial Narrow" w:eastAsia="Times New Roman" w:hAnsi="Arial Narrow" w:cs="Arial"/>
                <w:sz w:val="16"/>
                <w:szCs w:val="16"/>
                <w:lang w:eastAsia="pt-BR"/>
              </w:rPr>
            </w:pPr>
            <w:r w:rsidRPr="00493919">
              <w:rPr>
                <w:rFonts w:ascii="Arial Narrow" w:eastAsia="Times New Roman" w:hAnsi="Arial Narrow" w:cs="Arial"/>
                <w:color w:val="0070C0"/>
                <w:sz w:val="16"/>
                <w:szCs w:val="16"/>
                <w:lang w:eastAsia="pt-BR"/>
              </w:rPr>
              <w:t>BFI.G609</w:t>
            </w:r>
          </w:p>
        </w:tc>
        <w:tc>
          <w:tcPr>
            <w:tcW w:w="992" w:type="dxa"/>
            <w:tcBorders>
              <w:top w:val="nil"/>
              <w:left w:val="nil"/>
              <w:bottom w:val="single" w:sz="4" w:space="0" w:color="auto"/>
              <w:right w:val="single" w:sz="8" w:space="0" w:color="auto"/>
            </w:tcBorders>
            <w:shd w:val="clear" w:color="auto" w:fill="auto"/>
            <w:vAlign w:val="center"/>
            <w:hideMark/>
          </w:tcPr>
          <w:p w14:paraId="2737668E" w14:textId="77777777" w:rsidR="00493919" w:rsidRPr="00493919" w:rsidRDefault="00493919" w:rsidP="00493919">
            <w:pPr>
              <w:spacing w:after="0" w:line="240" w:lineRule="auto"/>
              <w:jc w:val="center"/>
              <w:rPr>
                <w:rFonts w:ascii="Arial Narrow" w:eastAsia="Times New Roman" w:hAnsi="Arial Narrow" w:cs="Arial"/>
                <w:sz w:val="16"/>
                <w:szCs w:val="16"/>
                <w:lang w:eastAsia="pt-BR"/>
              </w:rPr>
            </w:pPr>
            <w:r w:rsidRPr="00493919">
              <w:rPr>
                <w:rFonts w:ascii="Arial Narrow" w:eastAsia="Times New Roman" w:hAnsi="Arial Narrow" w:cs="Arial"/>
                <w:color w:val="0070C0"/>
                <w:sz w:val="16"/>
                <w:szCs w:val="16"/>
                <w:lang w:eastAsia="pt-BR"/>
              </w:rPr>
              <w:t>BFI.H609</w:t>
            </w:r>
          </w:p>
        </w:tc>
      </w:tr>
    </w:tbl>
    <w:p w14:paraId="50E5E966" w14:textId="77777777" w:rsidR="00493919" w:rsidRPr="00493919" w:rsidRDefault="00493919" w:rsidP="00493919">
      <w:pPr>
        <w:overflowPunct w:val="0"/>
        <w:autoSpaceDE w:val="0"/>
        <w:autoSpaceDN w:val="0"/>
        <w:adjustRightInd w:val="0"/>
        <w:spacing w:after="0" w:line="240" w:lineRule="auto"/>
        <w:ind w:right="-1482"/>
        <w:jc w:val="center"/>
        <w:textAlignment w:val="baseline"/>
        <w:rPr>
          <w:rFonts w:ascii="Arial" w:eastAsia="Times New Roman" w:hAnsi="Arial" w:cs="Arial"/>
          <w:b/>
          <w:bCs/>
          <w:sz w:val="16"/>
          <w:szCs w:val="16"/>
          <w:lang w:eastAsia="pt-BR"/>
        </w:rPr>
      </w:pPr>
    </w:p>
    <w:p w14:paraId="1F37DD40" w14:textId="77777777" w:rsidR="00493919" w:rsidRPr="00493919" w:rsidRDefault="00493919" w:rsidP="00493919">
      <w:pPr>
        <w:overflowPunct w:val="0"/>
        <w:autoSpaceDE w:val="0"/>
        <w:autoSpaceDN w:val="0"/>
        <w:adjustRightInd w:val="0"/>
        <w:spacing w:after="0" w:line="240" w:lineRule="auto"/>
        <w:ind w:right="-1482"/>
        <w:jc w:val="center"/>
        <w:textAlignment w:val="baseline"/>
        <w:rPr>
          <w:rFonts w:ascii="Arial" w:eastAsia="Times New Roman" w:hAnsi="Arial" w:cs="Arial"/>
          <w:b/>
          <w:bCs/>
          <w:sz w:val="16"/>
          <w:szCs w:val="16"/>
          <w:lang w:eastAsia="pt-BR"/>
        </w:rPr>
      </w:pPr>
    </w:p>
    <w:p w14:paraId="3D2FA902" w14:textId="77777777" w:rsidR="00493919" w:rsidRPr="00493919" w:rsidRDefault="00493919" w:rsidP="00493919">
      <w:pPr>
        <w:overflowPunct w:val="0"/>
        <w:autoSpaceDE w:val="0"/>
        <w:autoSpaceDN w:val="0"/>
        <w:adjustRightInd w:val="0"/>
        <w:spacing w:after="0" w:line="240" w:lineRule="auto"/>
        <w:ind w:right="-1482"/>
        <w:jc w:val="center"/>
        <w:textAlignment w:val="baseline"/>
        <w:rPr>
          <w:rFonts w:ascii="Arial" w:eastAsia="Times New Roman" w:hAnsi="Arial" w:cs="Arial"/>
          <w:b/>
          <w:bCs/>
          <w:sz w:val="16"/>
          <w:szCs w:val="16"/>
          <w:lang w:eastAsia="pt-BR"/>
        </w:rPr>
      </w:pPr>
      <w:r w:rsidRPr="00493919">
        <w:rPr>
          <w:rFonts w:ascii="Arial" w:eastAsia="Times New Roman" w:hAnsi="Arial" w:cs="Arial"/>
          <w:b/>
          <w:bCs/>
          <w:sz w:val="16"/>
          <w:szCs w:val="16"/>
          <w:lang w:eastAsia="pt-BR"/>
        </w:rPr>
        <w:t>QUADRO ANEXO AO BALANÇO FINANCEIRO</w:t>
      </w:r>
    </w:p>
    <w:p w14:paraId="68737383" w14:textId="77777777" w:rsidR="00493919" w:rsidRPr="00493919" w:rsidRDefault="00493919" w:rsidP="00493919">
      <w:pPr>
        <w:overflowPunct w:val="0"/>
        <w:autoSpaceDE w:val="0"/>
        <w:autoSpaceDN w:val="0"/>
        <w:adjustRightInd w:val="0"/>
        <w:spacing w:after="0" w:line="240" w:lineRule="auto"/>
        <w:ind w:right="-1482"/>
        <w:jc w:val="center"/>
        <w:textAlignment w:val="baseline"/>
        <w:rPr>
          <w:rFonts w:ascii="Arial" w:eastAsia="Times New Roman" w:hAnsi="Arial" w:cs="Arial"/>
          <w:b/>
          <w:bCs/>
          <w:sz w:val="16"/>
          <w:szCs w:val="16"/>
          <w:lang w:eastAsia="pt-BR"/>
        </w:rPr>
      </w:pPr>
      <w:r w:rsidRPr="00493919">
        <w:rPr>
          <w:rFonts w:ascii="Arial" w:eastAsia="Times New Roman" w:hAnsi="Arial" w:cs="Arial"/>
          <w:b/>
          <w:bCs/>
          <w:sz w:val="16"/>
          <w:szCs w:val="16"/>
          <w:lang w:eastAsia="pt-BR"/>
        </w:rPr>
        <w:t>ESTADO</w:t>
      </w:r>
    </w:p>
    <w:p w14:paraId="302354DD" w14:textId="77777777" w:rsidR="00493919" w:rsidRPr="00493919" w:rsidRDefault="00493919" w:rsidP="00493919">
      <w:pPr>
        <w:overflowPunct w:val="0"/>
        <w:autoSpaceDE w:val="0"/>
        <w:autoSpaceDN w:val="0"/>
        <w:adjustRightInd w:val="0"/>
        <w:spacing w:after="0" w:line="240" w:lineRule="auto"/>
        <w:ind w:right="-1482"/>
        <w:jc w:val="center"/>
        <w:textAlignment w:val="baseline"/>
        <w:rPr>
          <w:rFonts w:ascii="Arial" w:eastAsia="Times New Roman" w:hAnsi="Arial" w:cs="Arial"/>
          <w:b/>
          <w:bCs/>
          <w:sz w:val="16"/>
          <w:szCs w:val="16"/>
          <w:lang w:eastAsia="pt-BR"/>
        </w:rPr>
      </w:pPr>
    </w:p>
    <w:tbl>
      <w:tblPr>
        <w:tblW w:w="10481" w:type="dxa"/>
        <w:tblInd w:w="-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410"/>
        <w:gridCol w:w="1276"/>
        <w:gridCol w:w="1559"/>
        <w:gridCol w:w="1417"/>
        <w:gridCol w:w="1276"/>
        <w:gridCol w:w="1408"/>
        <w:gridCol w:w="1135"/>
      </w:tblGrid>
      <w:tr w:rsidR="00493919" w:rsidRPr="00493919" w14:paraId="5026C146" w14:textId="77777777" w:rsidTr="00E2470D">
        <w:trPr>
          <w:trHeight w:val="270"/>
        </w:trPr>
        <w:tc>
          <w:tcPr>
            <w:tcW w:w="2410" w:type="dxa"/>
            <w:vMerge w:val="restart"/>
            <w:shd w:val="clear" w:color="auto" w:fill="auto"/>
            <w:noWrap/>
            <w:vAlign w:val="center"/>
            <w:hideMark/>
          </w:tcPr>
          <w:p w14:paraId="567B67D1" w14:textId="77777777" w:rsidR="00493919" w:rsidRPr="00493919" w:rsidRDefault="00493919" w:rsidP="00493919">
            <w:pPr>
              <w:overflowPunct w:val="0"/>
              <w:autoSpaceDE w:val="0"/>
              <w:autoSpaceDN w:val="0"/>
              <w:adjustRightInd w:val="0"/>
              <w:spacing w:after="0" w:line="240" w:lineRule="auto"/>
              <w:jc w:val="center"/>
              <w:textAlignment w:val="baseline"/>
              <w:rPr>
                <w:rFonts w:ascii="Arial Narrow" w:eastAsia="Times New Roman" w:hAnsi="Arial Narrow" w:cs="Arial"/>
                <w:b/>
                <w:bCs/>
                <w:sz w:val="16"/>
                <w:szCs w:val="16"/>
                <w:lang w:eastAsia="pt-BR"/>
              </w:rPr>
            </w:pPr>
            <w:r w:rsidRPr="00493919">
              <w:rPr>
                <w:rFonts w:ascii="Arial Narrow" w:eastAsia="Times New Roman" w:hAnsi="Arial Narrow" w:cs="Arial"/>
                <w:b/>
                <w:bCs/>
                <w:sz w:val="16"/>
                <w:szCs w:val="16"/>
                <w:lang w:eastAsia="pt-BR"/>
              </w:rPr>
              <w:t>ESPECIFICAÇÃO</w:t>
            </w:r>
          </w:p>
        </w:tc>
        <w:tc>
          <w:tcPr>
            <w:tcW w:w="4252" w:type="dxa"/>
            <w:gridSpan w:val="3"/>
            <w:shd w:val="clear" w:color="auto" w:fill="auto"/>
            <w:noWrap/>
            <w:vAlign w:val="center"/>
            <w:hideMark/>
          </w:tcPr>
          <w:p w14:paraId="574AAC58" w14:textId="77777777" w:rsidR="00493919" w:rsidRPr="00493919" w:rsidRDefault="00493919" w:rsidP="00493919">
            <w:pPr>
              <w:overflowPunct w:val="0"/>
              <w:autoSpaceDE w:val="0"/>
              <w:autoSpaceDN w:val="0"/>
              <w:adjustRightInd w:val="0"/>
              <w:spacing w:after="0" w:line="240" w:lineRule="auto"/>
              <w:jc w:val="center"/>
              <w:textAlignment w:val="baseline"/>
              <w:rPr>
                <w:rFonts w:ascii="Arial Narrow" w:eastAsia="Times New Roman" w:hAnsi="Arial Narrow" w:cs="Arial"/>
                <w:b/>
                <w:bCs/>
                <w:sz w:val="16"/>
                <w:szCs w:val="16"/>
                <w:lang w:eastAsia="pt-BR"/>
              </w:rPr>
            </w:pPr>
            <w:r w:rsidRPr="00493919">
              <w:rPr>
                <w:rFonts w:ascii="Arial Narrow" w:eastAsia="Times New Roman" w:hAnsi="Arial Narrow" w:cs="Arial"/>
                <w:b/>
                <w:bCs/>
                <w:sz w:val="16"/>
                <w:szCs w:val="16"/>
                <w:lang w:eastAsia="pt-BR"/>
              </w:rPr>
              <w:t>Exercício Atual</w:t>
            </w:r>
          </w:p>
        </w:tc>
        <w:tc>
          <w:tcPr>
            <w:tcW w:w="3819" w:type="dxa"/>
            <w:gridSpan w:val="3"/>
            <w:shd w:val="clear" w:color="auto" w:fill="auto"/>
            <w:noWrap/>
            <w:vAlign w:val="center"/>
            <w:hideMark/>
          </w:tcPr>
          <w:p w14:paraId="66C289A1" w14:textId="77777777" w:rsidR="00493919" w:rsidRPr="00493919" w:rsidRDefault="00493919" w:rsidP="00493919">
            <w:pPr>
              <w:overflowPunct w:val="0"/>
              <w:autoSpaceDE w:val="0"/>
              <w:autoSpaceDN w:val="0"/>
              <w:adjustRightInd w:val="0"/>
              <w:spacing w:after="0" w:line="240" w:lineRule="auto"/>
              <w:jc w:val="center"/>
              <w:textAlignment w:val="baseline"/>
              <w:rPr>
                <w:rFonts w:ascii="Arial Narrow" w:eastAsia="Times New Roman" w:hAnsi="Arial Narrow" w:cs="Arial"/>
                <w:b/>
                <w:bCs/>
                <w:sz w:val="16"/>
                <w:szCs w:val="16"/>
                <w:lang w:eastAsia="pt-BR"/>
              </w:rPr>
            </w:pPr>
            <w:r w:rsidRPr="00493919">
              <w:rPr>
                <w:rFonts w:ascii="Arial Narrow" w:eastAsia="Times New Roman" w:hAnsi="Arial Narrow" w:cs="Arial"/>
                <w:b/>
                <w:bCs/>
                <w:sz w:val="16"/>
                <w:szCs w:val="16"/>
                <w:lang w:eastAsia="pt-BR"/>
              </w:rPr>
              <w:t>Exercício Anterior</w:t>
            </w:r>
          </w:p>
        </w:tc>
      </w:tr>
      <w:tr w:rsidR="00493919" w:rsidRPr="00493919" w14:paraId="00826947" w14:textId="77777777" w:rsidTr="00E2470D">
        <w:trPr>
          <w:trHeight w:val="525"/>
        </w:trPr>
        <w:tc>
          <w:tcPr>
            <w:tcW w:w="2410" w:type="dxa"/>
            <w:vMerge/>
            <w:shd w:val="clear" w:color="auto" w:fill="auto"/>
            <w:vAlign w:val="center"/>
            <w:hideMark/>
          </w:tcPr>
          <w:p w14:paraId="79D187D2" w14:textId="77777777" w:rsidR="00493919" w:rsidRPr="00493919" w:rsidRDefault="00493919" w:rsidP="00493919">
            <w:pPr>
              <w:overflowPunct w:val="0"/>
              <w:autoSpaceDE w:val="0"/>
              <w:autoSpaceDN w:val="0"/>
              <w:adjustRightInd w:val="0"/>
              <w:spacing w:after="0" w:line="240" w:lineRule="auto"/>
              <w:textAlignment w:val="baseline"/>
              <w:rPr>
                <w:rFonts w:ascii="Arial Narrow" w:eastAsia="Times New Roman" w:hAnsi="Arial Narrow" w:cs="Arial"/>
                <w:b/>
                <w:bCs/>
                <w:sz w:val="16"/>
                <w:szCs w:val="16"/>
                <w:lang w:eastAsia="pt-BR"/>
              </w:rPr>
            </w:pPr>
          </w:p>
        </w:tc>
        <w:tc>
          <w:tcPr>
            <w:tcW w:w="1276" w:type="dxa"/>
            <w:shd w:val="clear" w:color="auto" w:fill="auto"/>
            <w:vAlign w:val="center"/>
            <w:hideMark/>
          </w:tcPr>
          <w:p w14:paraId="76548AFB" w14:textId="77777777" w:rsidR="00493919" w:rsidRPr="00493919" w:rsidRDefault="00493919" w:rsidP="00493919">
            <w:pPr>
              <w:overflowPunct w:val="0"/>
              <w:autoSpaceDE w:val="0"/>
              <w:autoSpaceDN w:val="0"/>
              <w:adjustRightInd w:val="0"/>
              <w:spacing w:after="0" w:line="240" w:lineRule="auto"/>
              <w:jc w:val="center"/>
              <w:textAlignment w:val="baseline"/>
              <w:rPr>
                <w:rFonts w:ascii="Arial Narrow" w:eastAsia="Times New Roman" w:hAnsi="Arial Narrow" w:cs="Arial"/>
                <w:b/>
                <w:bCs/>
                <w:sz w:val="16"/>
                <w:szCs w:val="16"/>
                <w:lang w:eastAsia="pt-BR"/>
              </w:rPr>
            </w:pPr>
            <w:r w:rsidRPr="00493919">
              <w:rPr>
                <w:rFonts w:ascii="Arial Narrow" w:eastAsia="Times New Roman" w:hAnsi="Arial Narrow" w:cs="Arial"/>
                <w:b/>
                <w:bCs/>
                <w:sz w:val="16"/>
                <w:szCs w:val="16"/>
                <w:lang w:eastAsia="pt-BR"/>
              </w:rPr>
              <w:t>Receita Orçamentária (a)</w:t>
            </w:r>
          </w:p>
        </w:tc>
        <w:tc>
          <w:tcPr>
            <w:tcW w:w="1559" w:type="dxa"/>
            <w:shd w:val="clear" w:color="auto" w:fill="auto"/>
            <w:vAlign w:val="center"/>
            <w:hideMark/>
          </w:tcPr>
          <w:p w14:paraId="2464BD97" w14:textId="77777777" w:rsidR="00493919" w:rsidRPr="00493919" w:rsidRDefault="00493919" w:rsidP="00493919">
            <w:pPr>
              <w:overflowPunct w:val="0"/>
              <w:autoSpaceDE w:val="0"/>
              <w:autoSpaceDN w:val="0"/>
              <w:adjustRightInd w:val="0"/>
              <w:spacing w:after="0" w:line="240" w:lineRule="auto"/>
              <w:jc w:val="center"/>
              <w:textAlignment w:val="baseline"/>
              <w:rPr>
                <w:rFonts w:ascii="Arial Narrow" w:eastAsia="Times New Roman" w:hAnsi="Arial Narrow" w:cs="Arial"/>
                <w:b/>
                <w:bCs/>
                <w:sz w:val="16"/>
                <w:szCs w:val="16"/>
                <w:lang w:eastAsia="pt-BR"/>
              </w:rPr>
            </w:pPr>
            <w:r w:rsidRPr="00493919">
              <w:rPr>
                <w:rFonts w:ascii="Arial Narrow" w:eastAsia="Times New Roman" w:hAnsi="Arial Narrow" w:cs="Arial"/>
                <w:b/>
                <w:bCs/>
                <w:sz w:val="16"/>
                <w:szCs w:val="16"/>
                <w:lang w:eastAsia="pt-BR"/>
              </w:rPr>
              <w:t>Deduções da Receita Orçamentária (b)</w:t>
            </w:r>
          </w:p>
        </w:tc>
        <w:tc>
          <w:tcPr>
            <w:tcW w:w="1417" w:type="dxa"/>
            <w:shd w:val="clear" w:color="auto" w:fill="auto"/>
            <w:vAlign w:val="center"/>
            <w:hideMark/>
          </w:tcPr>
          <w:p w14:paraId="47CA0DD1" w14:textId="77777777" w:rsidR="00493919" w:rsidRPr="00493919" w:rsidRDefault="00493919" w:rsidP="00493919">
            <w:pPr>
              <w:overflowPunct w:val="0"/>
              <w:autoSpaceDE w:val="0"/>
              <w:autoSpaceDN w:val="0"/>
              <w:adjustRightInd w:val="0"/>
              <w:spacing w:after="0" w:line="240" w:lineRule="auto"/>
              <w:jc w:val="center"/>
              <w:textAlignment w:val="baseline"/>
              <w:rPr>
                <w:rFonts w:ascii="Arial Narrow" w:eastAsia="Times New Roman" w:hAnsi="Arial Narrow" w:cs="Arial"/>
                <w:b/>
                <w:bCs/>
                <w:sz w:val="16"/>
                <w:szCs w:val="16"/>
                <w:lang w:eastAsia="pt-BR"/>
              </w:rPr>
            </w:pPr>
            <w:r w:rsidRPr="00493919">
              <w:rPr>
                <w:rFonts w:ascii="Arial Narrow" w:eastAsia="Times New Roman" w:hAnsi="Arial Narrow" w:cs="Arial"/>
                <w:b/>
                <w:bCs/>
                <w:sz w:val="16"/>
                <w:szCs w:val="16"/>
                <w:lang w:eastAsia="pt-BR"/>
              </w:rPr>
              <w:t>Saldo (c) = (a-b)</w:t>
            </w:r>
          </w:p>
        </w:tc>
        <w:tc>
          <w:tcPr>
            <w:tcW w:w="1276" w:type="dxa"/>
            <w:shd w:val="clear" w:color="auto" w:fill="auto"/>
            <w:vAlign w:val="center"/>
            <w:hideMark/>
          </w:tcPr>
          <w:p w14:paraId="2D80DB1A" w14:textId="77777777" w:rsidR="00493919" w:rsidRPr="00493919" w:rsidRDefault="00493919" w:rsidP="00493919">
            <w:pPr>
              <w:overflowPunct w:val="0"/>
              <w:autoSpaceDE w:val="0"/>
              <w:autoSpaceDN w:val="0"/>
              <w:adjustRightInd w:val="0"/>
              <w:spacing w:after="0" w:line="240" w:lineRule="auto"/>
              <w:jc w:val="center"/>
              <w:textAlignment w:val="baseline"/>
              <w:rPr>
                <w:rFonts w:ascii="Arial Narrow" w:eastAsia="Times New Roman" w:hAnsi="Arial Narrow" w:cs="Arial"/>
                <w:b/>
                <w:bCs/>
                <w:sz w:val="16"/>
                <w:szCs w:val="16"/>
                <w:lang w:eastAsia="pt-BR"/>
              </w:rPr>
            </w:pPr>
            <w:r w:rsidRPr="00493919">
              <w:rPr>
                <w:rFonts w:ascii="Arial Narrow" w:eastAsia="Times New Roman" w:hAnsi="Arial Narrow" w:cs="Arial"/>
                <w:b/>
                <w:bCs/>
                <w:sz w:val="16"/>
                <w:szCs w:val="16"/>
                <w:lang w:eastAsia="pt-BR"/>
              </w:rPr>
              <w:t>Receita Orçamentária (d)</w:t>
            </w:r>
          </w:p>
        </w:tc>
        <w:tc>
          <w:tcPr>
            <w:tcW w:w="1408" w:type="dxa"/>
            <w:shd w:val="clear" w:color="auto" w:fill="auto"/>
            <w:vAlign w:val="center"/>
            <w:hideMark/>
          </w:tcPr>
          <w:p w14:paraId="4362358F" w14:textId="77777777" w:rsidR="00493919" w:rsidRPr="00493919" w:rsidRDefault="00493919" w:rsidP="00493919">
            <w:pPr>
              <w:overflowPunct w:val="0"/>
              <w:autoSpaceDE w:val="0"/>
              <w:autoSpaceDN w:val="0"/>
              <w:adjustRightInd w:val="0"/>
              <w:spacing w:after="0" w:line="240" w:lineRule="auto"/>
              <w:jc w:val="center"/>
              <w:textAlignment w:val="baseline"/>
              <w:rPr>
                <w:rFonts w:ascii="Arial Narrow" w:eastAsia="Times New Roman" w:hAnsi="Arial Narrow" w:cs="Arial"/>
                <w:b/>
                <w:bCs/>
                <w:sz w:val="16"/>
                <w:szCs w:val="16"/>
                <w:lang w:eastAsia="pt-BR"/>
              </w:rPr>
            </w:pPr>
            <w:r w:rsidRPr="00493919">
              <w:rPr>
                <w:rFonts w:ascii="Arial Narrow" w:eastAsia="Times New Roman" w:hAnsi="Arial Narrow" w:cs="Arial"/>
                <w:b/>
                <w:bCs/>
                <w:sz w:val="16"/>
                <w:szCs w:val="16"/>
                <w:lang w:eastAsia="pt-BR"/>
              </w:rPr>
              <w:t>Deduções da Receita Orçamentária (e)</w:t>
            </w:r>
          </w:p>
        </w:tc>
        <w:tc>
          <w:tcPr>
            <w:tcW w:w="1135" w:type="dxa"/>
            <w:shd w:val="clear" w:color="auto" w:fill="auto"/>
            <w:vAlign w:val="center"/>
            <w:hideMark/>
          </w:tcPr>
          <w:p w14:paraId="29AD82DF" w14:textId="77777777" w:rsidR="00493919" w:rsidRPr="00493919" w:rsidRDefault="00493919" w:rsidP="00493919">
            <w:pPr>
              <w:overflowPunct w:val="0"/>
              <w:autoSpaceDE w:val="0"/>
              <w:autoSpaceDN w:val="0"/>
              <w:adjustRightInd w:val="0"/>
              <w:spacing w:after="0" w:line="240" w:lineRule="auto"/>
              <w:jc w:val="center"/>
              <w:textAlignment w:val="baseline"/>
              <w:rPr>
                <w:rFonts w:ascii="Arial Narrow" w:eastAsia="Times New Roman" w:hAnsi="Arial Narrow" w:cs="Arial"/>
                <w:b/>
                <w:bCs/>
                <w:sz w:val="16"/>
                <w:szCs w:val="16"/>
                <w:lang w:eastAsia="pt-BR"/>
              </w:rPr>
            </w:pPr>
            <w:r w:rsidRPr="00493919">
              <w:rPr>
                <w:rFonts w:ascii="Arial Narrow" w:eastAsia="Times New Roman" w:hAnsi="Arial Narrow" w:cs="Arial"/>
                <w:b/>
                <w:bCs/>
                <w:sz w:val="16"/>
                <w:szCs w:val="16"/>
                <w:lang w:eastAsia="pt-BR"/>
              </w:rPr>
              <w:t>Saldo (f) = (d-e)</w:t>
            </w:r>
          </w:p>
        </w:tc>
      </w:tr>
      <w:tr w:rsidR="00493919" w:rsidRPr="00493919" w14:paraId="5F0D7F93" w14:textId="77777777" w:rsidTr="00E2470D">
        <w:trPr>
          <w:trHeight w:val="255"/>
        </w:trPr>
        <w:tc>
          <w:tcPr>
            <w:tcW w:w="2410" w:type="dxa"/>
            <w:shd w:val="clear" w:color="auto" w:fill="auto"/>
            <w:noWrap/>
            <w:vAlign w:val="center"/>
            <w:hideMark/>
          </w:tcPr>
          <w:p w14:paraId="260D681D" w14:textId="77777777" w:rsidR="00493919" w:rsidRPr="00493919" w:rsidRDefault="00493919" w:rsidP="00493919">
            <w:pPr>
              <w:overflowPunct w:val="0"/>
              <w:autoSpaceDE w:val="0"/>
              <w:autoSpaceDN w:val="0"/>
              <w:adjustRightInd w:val="0"/>
              <w:spacing w:after="0" w:line="240" w:lineRule="auto"/>
              <w:ind w:firstLineChars="200" w:firstLine="320"/>
              <w:textAlignment w:val="baseline"/>
              <w:rPr>
                <w:rFonts w:ascii="Arial Narrow" w:eastAsia="Times New Roman" w:hAnsi="Arial Narrow" w:cs="Arial"/>
                <w:sz w:val="16"/>
                <w:szCs w:val="16"/>
                <w:lang w:eastAsia="pt-BR"/>
              </w:rPr>
            </w:pPr>
            <w:r w:rsidRPr="00493919">
              <w:rPr>
                <w:rFonts w:ascii="Arial Narrow" w:eastAsia="Times New Roman" w:hAnsi="Arial Narrow" w:cs="Arial"/>
                <w:color w:val="0070C0"/>
                <w:sz w:val="16"/>
                <w:szCs w:val="16"/>
                <w:lang w:eastAsia="pt-BR"/>
              </w:rPr>
              <w:t>119 – OUTROS RECURSOS VINCULADOS À EDUCAÇÃO</w:t>
            </w:r>
          </w:p>
        </w:tc>
        <w:tc>
          <w:tcPr>
            <w:tcW w:w="1276" w:type="dxa"/>
            <w:shd w:val="clear" w:color="auto" w:fill="auto"/>
            <w:vAlign w:val="center"/>
            <w:hideMark/>
          </w:tcPr>
          <w:p w14:paraId="6B5FF787" w14:textId="77777777" w:rsidR="00493919" w:rsidRPr="00493919" w:rsidRDefault="00493919" w:rsidP="00493919">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493919">
              <w:rPr>
                <w:rFonts w:ascii="Arial Narrow" w:eastAsia="Times New Roman" w:hAnsi="Arial Narrow" w:cs="Arial"/>
                <w:color w:val="0070C0"/>
                <w:sz w:val="16"/>
                <w:szCs w:val="16"/>
                <w:lang w:eastAsia="pt-BR"/>
              </w:rPr>
              <w:t>ABF.B609</w:t>
            </w:r>
          </w:p>
        </w:tc>
        <w:tc>
          <w:tcPr>
            <w:tcW w:w="1559" w:type="dxa"/>
            <w:shd w:val="clear" w:color="auto" w:fill="auto"/>
            <w:vAlign w:val="center"/>
            <w:hideMark/>
          </w:tcPr>
          <w:p w14:paraId="5BA7D6F6" w14:textId="77777777" w:rsidR="00493919" w:rsidRPr="00493919" w:rsidRDefault="00493919" w:rsidP="00493919">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493919">
              <w:rPr>
                <w:rFonts w:ascii="Arial Narrow" w:eastAsia="Times New Roman" w:hAnsi="Arial Narrow" w:cs="Arial"/>
                <w:color w:val="0070C0"/>
                <w:sz w:val="16"/>
                <w:szCs w:val="16"/>
                <w:lang w:eastAsia="pt-BR"/>
              </w:rPr>
              <w:t>ABF.C609</w:t>
            </w:r>
          </w:p>
        </w:tc>
        <w:tc>
          <w:tcPr>
            <w:tcW w:w="1417" w:type="dxa"/>
            <w:shd w:val="clear" w:color="auto" w:fill="auto"/>
            <w:vAlign w:val="center"/>
            <w:hideMark/>
          </w:tcPr>
          <w:p w14:paraId="50EE8697" w14:textId="77777777" w:rsidR="00493919" w:rsidRPr="00493919" w:rsidRDefault="00493919" w:rsidP="00493919">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493919">
              <w:rPr>
                <w:rFonts w:ascii="Arial Narrow" w:eastAsia="Times New Roman" w:hAnsi="Arial Narrow" w:cs="Arial"/>
                <w:color w:val="0070C0"/>
                <w:sz w:val="16"/>
                <w:szCs w:val="16"/>
                <w:lang w:eastAsia="pt-BR"/>
              </w:rPr>
              <w:t>ABF.D609</w:t>
            </w:r>
          </w:p>
        </w:tc>
        <w:tc>
          <w:tcPr>
            <w:tcW w:w="1276" w:type="dxa"/>
            <w:shd w:val="clear" w:color="auto" w:fill="auto"/>
            <w:vAlign w:val="center"/>
            <w:hideMark/>
          </w:tcPr>
          <w:p w14:paraId="69AE25EC" w14:textId="77777777" w:rsidR="00493919" w:rsidRPr="00493919" w:rsidRDefault="00493919" w:rsidP="00493919">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493919">
              <w:rPr>
                <w:rFonts w:ascii="Arial Narrow" w:eastAsia="Times New Roman" w:hAnsi="Arial Narrow" w:cs="Arial"/>
                <w:color w:val="0070C0"/>
                <w:sz w:val="16"/>
                <w:szCs w:val="16"/>
                <w:lang w:eastAsia="pt-BR"/>
              </w:rPr>
              <w:t>ABF.E609</w:t>
            </w:r>
          </w:p>
        </w:tc>
        <w:tc>
          <w:tcPr>
            <w:tcW w:w="1408" w:type="dxa"/>
            <w:shd w:val="clear" w:color="auto" w:fill="auto"/>
            <w:vAlign w:val="center"/>
            <w:hideMark/>
          </w:tcPr>
          <w:p w14:paraId="58F1AB1F" w14:textId="77777777" w:rsidR="00493919" w:rsidRPr="00493919" w:rsidRDefault="00493919" w:rsidP="00493919">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493919">
              <w:rPr>
                <w:rFonts w:ascii="Arial Narrow" w:eastAsia="Times New Roman" w:hAnsi="Arial Narrow" w:cs="Arial"/>
                <w:color w:val="0070C0"/>
                <w:sz w:val="16"/>
                <w:szCs w:val="16"/>
                <w:lang w:eastAsia="pt-BR"/>
              </w:rPr>
              <w:t>ABF.F609</w:t>
            </w:r>
          </w:p>
        </w:tc>
        <w:tc>
          <w:tcPr>
            <w:tcW w:w="1135" w:type="dxa"/>
            <w:shd w:val="clear" w:color="auto" w:fill="auto"/>
            <w:vAlign w:val="center"/>
            <w:hideMark/>
          </w:tcPr>
          <w:p w14:paraId="4A3E9CAD" w14:textId="77777777" w:rsidR="00493919" w:rsidRPr="00493919" w:rsidRDefault="00493919" w:rsidP="00493919">
            <w:pPr>
              <w:overflowPunct w:val="0"/>
              <w:autoSpaceDE w:val="0"/>
              <w:autoSpaceDN w:val="0"/>
              <w:adjustRightInd w:val="0"/>
              <w:spacing w:after="0" w:line="240" w:lineRule="auto"/>
              <w:jc w:val="center"/>
              <w:textAlignment w:val="baseline"/>
              <w:rPr>
                <w:rFonts w:ascii="Arial Narrow" w:eastAsia="Times New Roman" w:hAnsi="Arial Narrow" w:cs="Arial"/>
                <w:sz w:val="16"/>
                <w:szCs w:val="16"/>
                <w:lang w:eastAsia="pt-BR"/>
              </w:rPr>
            </w:pPr>
            <w:r w:rsidRPr="00493919">
              <w:rPr>
                <w:rFonts w:ascii="Arial Narrow" w:eastAsia="Times New Roman" w:hAnsi="Arial Narrow" w:cs="Arial"/>
                <w:color w:val="0070C0"/>
                <w:sz w:val="16"/>
                <w:szCs w:val="16"/>
                <w:lang w:eastAsia="pt-BR"/>
              </w:rPr>
              <w:t>ABF.G609</w:t>
            </w:r>
          </w:p>
        </w:tc>
      </w:tr>
    </w:tbl>
    <w:p w14:paraId="5C4EC71B" w14:textId="77E3A02B" w:rsidR="00493919" w:rsidRDefault="00493919" w:rsidP="00493919">
      <w:pPr>
        <w:jc w:val="both"/>
        <w:rPr>
          <w:rFonts w:ascii="Arial" w:eastAsia="Calibri" w:hAnsi="Arial" w:cs="Arial"/>
          <w:szCs w:val="24"/>
        </w:rPr>
      </w:pPr>
    </w:p>
    <w:p w14:paraId="72849A5D" w14:textId="6422CEA7" w:rsidR="00493919" w:rsidRDefault="00493919" w:rsidP="00493919">
      <w:pPr>
        <w:jc w:val="both"/>
        <w:rPr>
          <w:rFonts w:ascii="Arial" w:eastAsia="Calibri" w:hAnsi="Arial" w:cs="Arial"/>
          <w:szCs w:val="24"/>
        </w:rPr>
      </w:pPr>
    </w:p>
    <w:p w14:paraId="265EDA06" w14:textId="15F35F5B" w:rsidR="00493919" w:rsidRDefault="00493919" w:rsidP="00493919">
      <w:pPr>
        <w:jc w:val="both"/>
        <w:rPr>
          <w:rFonts w:ascii="Arial" w:eastAsia="Times New Roman" w:hAnsi="Arial" w:cs="Arial"/>
          <w:b/>
          <w:sz w:val="24"/>
          <w:szCs w:val="24"/>
          <w:lang w:eastAsia="pt-BR"/>
        </w:rPr>
      </w:pPr>
      <w:r>
        <w:rPr>
          <w:rFonts w:ascii="Arial" w:eastAsia="Calibri" w:hAnsi="Arial" w:cs="Arial"/>
          <w:szCs w:val="24"/>
        </w:rPr>
        <w:t xml:space="preserve">III - </w:t>
      </w:r>
      <w:r w:rsidRPr="00493919">
        <w:rPr>
          <w:rFonts w:ascii="Arial" w:eastAsia="Times New Roman" w:hAnsi="Arial" w:cs="Arial"/>
          <w:bCs/>
          <w:sz w:val="24"/>
          <w:szCs w:val="24"/>
          <w:lang w:eastAsia="pt-BR"/>
        </w:rPr>
        <w:t xml:space="preserve">Alterar o arquivo </w:t>
      </w:r>
      <w:r w:rsidRPr="00493919">
        <w:rPr>
          <w:rFonts w:ascii="Arial" w:eastAsia="Times New Roman" w:hAnsi="Arial" w:cs="Arial"/>
          <w:b/>
          <w:sz w:val="24"/>
          <w:szCs w:val="24"/>
          <w:lang w:eastAsia="pt-BR"/>
        </w:rPr>
        <w:t>INFOCI.XML ((ou InformacoesControleInterno.xml)</w:t>
      </w:r>
      <w:r>
        <w:rPr>
          <w:rFonts w:ascii="Arial" w:eastAsia="Times New Roman" w:hAnsi="Arial" w:cs="Arial"/>
          <w:b/>
          <w:sz w:val="24"/>
          <w:szCs w:val="24"/>
          <w:lang w:eastAsia="pt-BR"/>
        </w:rPr>
        <w:t>:</w:t>
      </w:r>
    </w:p>
    <w:tbl>
      <w:tblPr>
        <w:tblW w:w="9493" w:type="dxa"/>
        <w:tblCellMar>
          <w:left w:w="70" w:type="dxa"/>
          <w:right w:w="70" w:type="dxa"/>
        </w:tblCellMar>
        <w:tblLook w:val="04A0" w:firstRow="1" w:lastRow="0" w:firstColumn="1" w:lastColumn="0" w:noHBand="0" w:noVBand="1"/>
      </w:tblPr>
      <w:tblGrid>
        <w:gridCol w:w="4248"/>
        <w:gridCol w:w="1112"/>
        <w:gridCol w:w="1298"/>
        <w:gridCol w:w="2835"/>
      </w:tblGrid>
      <w:tr w:rsidR="00493919" w:rsidRPr="00493919" w14:paraId="29CB1705" w14:textId="77777777" w:rsidTr="00E2470D">
        <w:trPr>
          <w:trHeight w:val="255"/>
        </w:trPr>
        <w:tc>
          <w:tcPr>
            <w:tcW w:w="4248" w:type="dxa"/>
            <w:tcBorders>
              <w:top w:val="single" w:sz="4" w:space="0" w:color="auto"/>
              <w:left w:val="single" w:sz="4" w:space="0" w:color="auto"/>
              <w:bottom w:val="single" w:sz="4" w:space="0" w:color="auto"/>
              <w:right w:val="single" w:sz="4" w:space="0" w:color="auto"/>
            </w:tcBorders>
            <w:shd w:val="clear" w:color="000000" w:fill="C0C0C0"/>
            <w:vAlign w:val="center"/>
            <w:hideMark/>
          </w:tcPr>
          <w:p w14:paraId="567E8260" w14:textId="77777777" w:rsidR="00493919" w:rsidRPr="00493919" w:rsidRDefault="00493919" w:rsidP="00493919">
            <w:pPr>
              <w:overflowPunct w:val="0"/>
              <w:autoSpaceDE w:val="0"/>
              <w:autoSpaceDN w:val="0"/>
              <w:adjustRightInd w:val="0"/>
              <w:spacing w:after="0" w:line="240" w:lineRule="auto"/>
              <w:jc w:val="center"/>
              <w:textAlignment w:val="baseline"/>
              <w:rPr>
                <w:rFonts w:ascii="Arial" w:eastAsia="Times New Roman" w:hAnsi="Arial" w:cs="Arial"/>
                <w:b/>
                <w:bCs/>
                <w:sz w:val="20"/>
                <w:szCs w:val="20"/>
                <w:lang w:eastAsia="pt-BR"/>
              </w:rPr>
            </w:pPr>
            <w:r w:rsidRPr="00493919">
              <w:rPr>
                <w:rFonts w:ascii="Arial" w:eastAsia="Times New Roman" w:hAnsi="Arial" w:cs="Arial"/>
                <w:b/>
                <w:bCs/>
                <w:sz w:val="20"/>
                <w:szCs w:val="20"/>
                <w:lang w:eastAsia="pt-BR"/>
              </w:rPr>
              <w:t>Campo</w:t>
            </w:r>
          </w:p>
        </w:tc>
        <w:tc>
          <w:tcPr>
            <w:tcW w:w="1112" w:type="dxa"/>
            <w:tcBorders>
              <w:top w:val="single" w:sz="4" w:space="0" w:color="auto"/>
              <w:left w:val="nil"/>
              <w:bottom w:val="single" w:sz="4" w:space="0" w:color="auto"/>
              <w:right w:val="single" w:sz="4" w:space="0" w:color="auto"/>
            </w:tcBorders>
            <w:shd w:val="clear" w:color="000000" w:fill="C0C0C0"/>
            <w:vAlign w:val="center"/>
            <w:hideMark/>
          </w:tcPr>
          <w:p w14:paraId="4E5C7D4F" w14:textId="77777777" w:rsidR="00493919" w:rsidRPr="00493919" w:rsidRDefault="00493919" w:rsidP="00493919">
            <w:pPr>
              <w:overflowPunct w:val="0"/>
              <w:autoSpaceDE w:val="0"/>
              <w:autoSpaceDN w:val="0"/>
              <w:adjustRightInd w:val="0"/>
              <w:spacing w:after="0" w:line="240" w:lineRule="auto"/>
              <w:jc w:val="center"/>
              <w:textAlignment w:val="baseline"/>
              <w:rPr>
                <w:rFonts w:ascii="Arial" w:eastAsia="Times New Roman" w:hAnsi="Arial" w:cs="Arial"/>
                <w:b/>
                <w:bCs/>
                <w:sz w:val="20"/>
                <w:szCs w:val="20"/>
                <w:lang w:eastAsia="pt-BR"/>
              </w:rPr>
            </w:pPr>
            <w:r w:rsidRPr="00493919">
              <w:rPr>
                <w:rFonts w:ascii="Arial" w:eastAsia="Times New Roman" w:hAnsi="Arial" w:cs="Arial"/>
                <w:b/>
                <w:bCs/>
                <w:sz w:val="20"/>
                <w:szCs w:val="20"/>
                <w:lang w:eastAsia="pt-BR"/>
              </w:rPr>
              <w:t>Tipo</w:t>
            </w:r>
          </w:p>
        </w:tc>
        <w:tc>
          <w:tcPr>
            <w:tcW w:w="1298" w:type="dxa"/>
            <w:tcBorders>
              <w:top w:val="single" w:sz="4" w:space="0" w:color="auto"/>
              <w:left w:val="nil"/>
              <w:bottom w:val="single" w:sz="4" w:space="0" w:color="auto"/>
              <w:right w:val="single" w:sz="4" w:space="0" w:color="auto"/>
            </w:tcBorders>
            <w:shd w:val="clear" w:color="000000" w:fill="C0C0C0"/>
            <w:vAlign w:val="center"/>
            <w:hideMark/>
          </w:tcPr>
          <w:p w14:paraId="4D4010C5" w14:textId="77777777" w:rsidR="00493919" w:rsidRPr="00493919" w:rsidRDefault="00493919" w:rsidP="00493919">
            <w:pPr>
              <w:overflowPunct w:val="0"/>
              <w:autoSpaceDE w:val="0"/>
              <w:autoSpaceDN w:val="0"/>
              <w:adjustRightInd w:val="0"/>
              <w:spacing w:after="0" w:line="240" w:lineRule="auto"/>
              <w:jc w:val="center"/>
              <w:textAlignment w:val="baseline"/>
              <w:rPr>
                <w:rFonts w:ascii="Arial" w:eastAsia="Times New Roman" w:hAnsi="Arial" w:cs="Arial"/>
                <w:b/>
                <w:bCs/>
                <w:sz w:val="20"/>
                <w:szCs w:val="20"/>
                <w:lang w:eastAsia="pt-BR"/>
              </w:rPr>
            </w:pPr>
            <w:r w:rsidRPr="00493919">
              <w:rPr>
                <w:rFonts w:ascii="Arial" w:eastAsia="Times New Roman" w:hAnsi="Arial" w:cs="Arial"/>
                <w:b/>
                <w:bCs/>
                <w:sz w:val="20"/>
                <w:szCs w:val="20"/>
                <w:lang w:eastAsia="pt-BR"/>
              </w:rPr>
              <w:t>Tamanho</w:t>
            </w:r>
          </w:p>
        </w:tc>
        <w:tc>
          <w:tcPr>
            <w:tcW w:w="2835" w:type="dxa"/>
            <w:tcBorders>
              <w:top w:val="single" w:sz="4" w:space="0" w:color="auto"/>
              <w:left w:val="nil"/>
              <w:bottom w:val="single" w:sz="4" w:space="0" w:color="auto"/>
              <w:right w:val="single" w:sz="4" w:space="0" w:color="auto"/>
            </w:tcBorders>
            <w:shd w:val="clear" w:color="000000" w:fill="C0C0C0"/>
            <w:vAlign w:val="center"/>
            <w:hideMark/>
          </w:tcPr>
          <w:p w14:paraId="2DD043F0" w14:textId="77777777" w:rsidR="00493919" w:rsidRPr="00493919" w:rsidRDefault="00493919" w:rsidP="00493919">
            <w:pPr>
              <w:overflowPunct w:val="0"/>
              <w:autoSpaceDE w:val="0"/>
              <w:autoSpaceDN w:val="0"/>
              <w:adjustRightInd w:val="0"/>
              <w:spacing w:after="0" w:line="240" w:lineRule="auto"/>
              <w:jc w:val="center"/>
              <w:textAlignment w:val="baseline"/>
              <w:rPr>
                <w:rFonts w:ascii="Arial" w:eastAsia="Times New Roman" w:hAnsi="Arial" w:cs="Arial"/>
                <w:b/>
                <w:bCs/>
                <w:sz w:val="20"/>
                <w:szCs w:val="20"/>
                <w:lang w:eastAsia="pt-BR"/>
              </w:rPr>
            </w:pPr>
            <w:r w:rsidRPr="00493919">
              <w:rPr>
                <w:rFonts w:ascii="Arial" w:eastAsia="Times New Roman" w:hAnsi="Arial" w:cs="Arial"/>
                <w:b/>
                <w:bCs/>
                <w:sz w:val="20"/>
                <w:szCs w:val="20"/>
                <w:lang w:eastAsia="pt-BR"/>
              </w:rPr>
              <w:t>Obrigatoriedade</w:t>
            </w:r>
          </w:p>
        </w:tc>
      </w:tr>
      <w:tr w:rsidR="00493919" w:rsidRPr="00493919" w14:paraId="5AAD4030" w14:textId="77777777" w:rsidTr="00E2470D">
        <w:trPr>
          <w:trHeight w:val="600"/>
        </w:trPr>
        <w:tc>
          <w:tcPr>
            <w:tcW w:w="9493" w:type="dxa"/>
            <w:gridSpan w:val="4"/>
            <w:tcBorders>
              <w:top w:val="single" w:sz="4" w:space="0" w:color="auto"/>
              <w:left w:val="single" w:sz="4" w:space="0" w:color="auto"/>
              <w:bottom w:val="single" w:sz="4" w:space="0" w:color="auto"/>
              <w:right w:val="single" w:sz="4" w:space="0" w:color="auto"/>
            </w:tcBorders>
            <w:shd w:val="clear" w:color="000000" w:fill="BFBFBF"/>
            <w:vAlign w:val="center"/>
            <w:hideMark/>
          </w:tcPr>
          <w:p w14:paraId="6F3EE392" w14:textId="77777777" w:rsidR="00493919" w:rsidRPr="00493919" w:rsidRDefault="00493919" w:rsidP="00493919">
            <w:pPr>
              <w:overflowPunct w:val="0"/>
              <w:autoSpaceDE w:val="0"/>
              <w:autoSpaceDN w:val="0"/>
              <w:adjustRightInd w:val="0"/>
              <w:spacing w:after="0" w:line="240" w:lineRule="auto"/>
              <w:jc w:val="center"/>
              <w:textAlignment w:val="baseline"/>
              <w:rPr>
                <w:rFonts w:ascii="Arial" w:eastAsia="Times New Roman" w:hAnsi="Arial" w:cs="Arial"/>
                <w:b/>
                <w:bCs/>
                <w:sz w:val="20"/>
                <w:szCs w:val="20"/>
                <w:lang w:eastAsia="pt-BR"/>
              </w:rPr>
            </w:pPr>
            <w:r w:rsidRPr="00493919">
              <w:rPr>
                <w:rFonts w:ascii="Arial" w:eastAsia="Times New Roman" w:hAnsi="Arial" w:cs="Arial"/>
                <w:b/>
                <w:bCs/>
                <w:sz w:val="20"/>
                <w:szCs w:val="20"/>
                <w:lang w:eastAsia="pt-BR"/>
              </w:rPr>
              <w:t>Estrutura ‘InformacoesControleInternoEstruturaInicial’</w:t>
            </w:r>
          </w:p>
        </w:tc>
      </w:tr>
      <w:tr w:rsidR="00493919" w:rsidRPr="00493919" w14:paraId="19CFF82D" w14:textId="77777777" w:rsidTr="00E2470D">
        <w:trPr>
          <w:trHeight w:val="402"/>
        </w:trPr>
        <w:tc>
          <w:tcPr>
            <w:tcW w:w="4248" w:type="dxa"/>
            <w:tcBorders>
              <w:top w:val="nil"/>
              <w:left w:val="single" w:sz="4" w:space="0" w:color="auto"/>
              <w:bottom w:val="single" w:sz="4" w:space="0" w:color="auto"/>
              <w:right w:val="single" w:sz="4" w:space="0" w:color="auto"/>
            </w:tcBorders>
            <w:shd w:val="clear" w:color="auto" w:fill="auto"/>
            <w:vAlign w:val="center"/>
            <w:hideMark/>
          </w:tcPr>
          <w:p w14:paraId="43845DDC" w14:textId="77777777" w:rsidR="00493919" w:rsidRPr="00493919" w:rsidRDefault="00493919" w:rsidP="00493919">
            <w:pPr>
              <w:overflowPunct w:val="0"/>
              <w:autoSpaceDE w:val="0"/>
              <w:autoSpaceDN w:val="0"/>
              <w:adjustRightInd w:val="0"/>
              <w:spacing w:after="0" w:line="240" w:lineRule="auto"/>
              <w:textAlignment w:val="baseline"/>
              <w:rPr>
                <w:rFonts w:ascii="Arial" w:eastAsia="Times New Roman" w:hAnsi="Arial" w:cs="Arial"/>
                <w:sz w:val="20"/>
                <w:szCs w:val="20"/>
                <w:lang w:eastAsia="pt-BR"/>
              </w:rPr>
            </w:pPr>
            <w:r w:rsidRPr="00493919">
              <w:rPr>
                <w:rFonts w:ascii="Arial" w:eastAsia="Times New Roman" w:hAnsi="Arial" w:cs="Arial"/>
                <w:sz w:val="20"/>
                <w:szCs w:val="20"/>
                <w:lang w:eastAsia="pt-BR"/>
              </w:rPr>
              <w:t>Identificação do Número do Registro</w:t>
            </w:r>
          </w:p>
        </w:tc>
        <w:tc>
          <w:tcPr>
            <w:tcW w:w="1112" w:type="dxa"/>
            <w:tcBorders>
              <w:top w:val="nil"/>
              <w:left w:val="nil"/>
              <w:bottom w:val="single" w:sz="4" w:space="0" w:color="auto"/>
              <w:right w:val="single" w:sz="4" w:space="0" w:color="auto"/>
            </w:tcBorders>
            <w:shd w:val="clear" w:color="auto" w:fill="auto"/>
            <w:vAlign w:val="center"/>
            <w:hideMark/>
          </w:tcPr>
          <w:p w14:paraId="48119464" w14:textId="77777777" w:rsidR="00493919" w:rsidRPr="00493919" w:rsidRDefault="00493919" w:rsidP="00493919">
            <w:pPr>
              <w:overflowPunct w:val="0"/>
              <w:autoSpaceDE w:val="0"/>
              <w:autoSpaceDN w:val="0"/>
              <w:adjustRightInd w:val="0"/>
              <w:spacing w:after="0" w:line="240" w:lineRule="auto"/>
              <w:jc w:val="center"/>
              <w:textAlignment w:val="baseline"/>
              <w:rPr>
                <w:rFonts w:ascii="Arial" w:eastAsia="Times New Roman" w:hAnsi="Arial" w:cs="Arial"/>
                <w:sz w:val="20"/>
                <w:szCs w:val="20"/>
                <w:lang w:eastAsia="pt-BR"/>
              </w:rPr>
            </w:pPr>
            <w:r w:rsidRPr="00493919">
              <w:rPr>
                <w:rFonts w:ascii="Arial" w:eastAsia="Times New Roman" w:hAnsi="Arial" w:cs="Arial"/>
                <w:sz w:val="20"/>
                <w:szCs w:val="20"/>
                <w:lang w:eastAsia="pt-BR"/>
              </w:rPr>
              <w:t>Inteiro</w:t>
            </w:r>
          </w:p>
        </w:tc>
        <w:tc>
          <w:tcPr>
            <w:tcW w:w="1298" w:type="dxa"/>
            <w:tcBorders>
              <w:top w:val="nil"/>
              <w:left w:val="nil"/>
              <w:bottom w:val="single" w:sz="4" w:space="0" w:color="auto"/>
              <w:right w:val="single" w:sz="4" w:space="0" w:color="auto"/>
            </w:tcBorders>
            <w:shd w:val="clear" w:color="auto" w:fill="auto"/>
            <w:vAlign w:val="center"/>
            <w:hideMark/>
          </w:tcPr>
          <w:p w14:paraId="6576A781" w14:textId="77777777" w:rsidR="00493919" w:rsidRPr="00493919" w:rsidRDefault="00493919" w:rsidP="00493919">
            <w:pPr>
              <w:overflowPunct w:val="0"/>
              <w:autoSpaceDE w:val="0"/>
              <w:autoSpaceDN w:val="0"/>
              <w:adjustRightInd w:val="0"/>
              <w:spacing w:after="0" w:line="240" w:lineRule="auto"/>
              <w:jc w:val="center"/>
              <w:textAlignment w:val="baseline"/>
              <w:rPr>
                <w:rFonts w:ascii="Arial" w:eastAsia="Times New Roman" w:hAnsi="Arial" w:cs="Arial"/>
                <w:sz w:val="20"/>
                <w:szCs w:val="20"/>
                <w:lang w:eastAsia="pt-BR"/>
              </w:rPr>
            </w:pPr>
            <w:r w:rsidRPr="00493919">
              <w:rPr>
                <w:rFonts w:ascii="Arial" w:eastAsia="Times New Roman" w:hAnsi="Arial" w:cs="Arial"/>
                <w:sz w:val="20"/>
                <w:szCs w:val="20"/>
                <w:lang w:eastAsia="pt-BR"/>
              </w:rPr>
              <w:t>5</w:t>
            </w:r>
          </w:p>
        </w:tc>
        <w:tc>
          <w:tcPr>
            <w:tcW w:w="2835" w:type="dxa"/>
            <w:tcBorders>
              <w:top w:val="nil"/>
              <w:left w:val="nil"/>
              <w:bottom w:val="single" w:sz="4" w:space="0" w:color="auto"/>
              <w:right w:val="single" w:sz="4" w:space="0" w:color="auto"/>
            </w:tcBorders>
            <w:shd w:val="clear" w:color="auto" w:fill="auto"/>
            <w:vAlign w:val="center"/>
            <w:hideMark/>
          </w:tcPr>
          <w:p w14:paraId="1404DE47" w14:textId="77777777" w:rsidR="00493919" w:rsidRPr="00493919" w:rsidRDefault="00493919" w:rsidP="00493919">
            <w:pPr>
              <w:overflowPunct w:val="0"/>
              <w:autoSpaceDE w:val="0"/>
              <w:autoSpaceDN w:val="0"/>
              <w:adjustRightInd w:val="0"/>
              <w:spacing w:after="0" w:line="240" w:lineRule="auto"/>
              <w:textAlignment w:val="baseline"/>
              <w:rPr>
                <w:rFonts w:ascii="Arial" w:eastAsia="Times New Roman" w:hAnsi="Arial" w:cs="Arial"/>
                <w:sz w:val="20"/>
                <w:szCs w:val="20"/>
                <w:lang w:eastAsia="pt-BR"/>
              </w:rPr>
            </w:pPr>
            <w:r w:rsidRPr="00493919">
              <w:rPr>
                <w:rFonts w:ascii="Arial" w:eastAsia="Times New Roman" w:hAnsi="Arial" w:cs="Arial"/>
                <w:sz w:val="20"/>
                <w:szCs w:val="20"/>
                <w:lang w:eastAsia="pt-BR"/>
              </w:rPr>
              <w:t>Obrigatório</w:t>
            </w:r>
          </w:p>
        </w:tc>
      </w:tr>
      <w:tr w:rsidR="00493919" w:rsidRPr="00493919" w14:paraId="6FA45451" w14:textId="77777777" w:rsidTr="00E2470D">
        <w:trPr>
          <w:trHeight w:val="402"/>
        </w:trPr>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5A709A88" w14:textId="77777777" w:rsidR="00493919" w:rsidRPr="00493919" w:rsidRDefault="00493919" w:rsidP="00493919">
            <w:pPr>
              <w:overflowPunct w:val="0"/>
              <w:autoSpaceDE w:val="0"/>
              <w:autoSpaceDN w:val="0"/>
              <w:adjustRightInd w:val="0"/>
              <w:spacing w:after="0" w:line="240" w:lineRule="auto"/>
              <w:textAlignment w:val="baseline"/>
              <w:rPr>
                <w:rFonts w:ascii="Arial" w:eastAsia="Times New Roman" w:hAnsi="Arial" w:cs="Arial"/>
                <w:b/>
                <w:bCs/>
                <w:sz w:val="20"/>
                <w:szCs w:val="20"/>
                <w:lang w:eastAsia="pt-BR"/>
              </w:rPr>
            </w:pPr>
            <w:r w:rsidRPr="00493919">
              <w:rPr>
                <w:rFonts w:ascii="Arial" w:eastAsia="Times New Roman" w:hAnsi="Arial" w:cs="Arial"/>
                <w:b/>
                <w:bCs/>
                <w:sz w:val="20"/>
                <w:szCs w:val="20"/>
                <w:lang w:eastAsia="pt-BR"/>
              </w:rPr>
              <w:t>...</w:t>
            </w:r>
          </w:p>
        </w:tc>
        <w:tc>
          <w:tcPr>
            <w:tcW w:w="1112" w:type="dxa"/>
            <w:tcBorders>
              <w:top w:val="single" w:sz="4" w:space="0" w:color="auto"/>
              <w:left w:val="nil"/>
              <w:bottom w:val="single" w:sz="4" w:space="0" w:color="auto"/>
              <w:right w:val="single" w:sz="4" w:space="0" w:color="auto"/>
            </w:tcBorders>
            <w:shd w:val="clear" w:color="auto" w:fill="auto"/>
            <w:vAlign w:val="center"/>
          </w:tcPr>
          <w:p w14:paraId="2CE5387C" w14:textId="77777777" w:rsidR="00493919" w:rsidRPr="00493919" w:rsidRDefault="00493919" w:rsidP="00493919">
            <w:pPr>
              <w:overflowPunct w:val="0"/>
              <w:autoSpaceDE w:val="0"/>
              <w:autoSpaceDN w:val="0"/>
              <w:adjustRightInd w:val="0"/>
              <w:spacing w:after="0" w:line="240" w:lineRule="auto"/>
              <w:jc w:val="center"/>
              <w:textAlignment w:val="baseline"/>
              <w:rPr>
                <w:rFonts w:ascii="Arial" w:eastAsia="Times New Roman" w:hAnsi="Arial" w:cs="Arial"/>
                <w:sz w:val="20"/>
                <w:szCs w:val="20"/>
                <w:lang w:eastAsia="pt-BR"/>
              </w:rPr>
            </w:pPr>
          </w:p>
        </w:tc>
        <w:tc>
          <w:tcPr>
            <w:tcW w:w="1298" w:type="dxa"/>
            <w:tcBorders>
              <w:top w:val="single" w:sz="4" w:space="0" w:color="auto"/>
              <w:left w:val="nil"/>
              <w:bottom w:val="single" w:sz="4" w:space="0" w:color="auto"/>
              <w:right w:val="single" w:sz="4" w:space="0" w:color="auto"/>
            </w:tcBorders>
            <w:shd w:val="clear" w:color="auto" w:fill="auto"/>
            <w:vAlign w:val="center"/>
          </w:tcPr>
          <w:p w14:paraId="70B4C828" w14:textId="77777777" w:rsidR="00493919" w:rsidRPr="00493919" w:rsidRDefault="00493919" w:rsidP="00493919">
            <w:pPr>
              <w:overflowPunct w:val="0"/>
              <w:autoSpaceDE w:val="0"/>
              <w:autoSpaceDN w:val="0"/>
              <w:adjustRightInd w:val="0"/>
              <w:spacing w:after="0" w:line="240" w:lineRule="auto"/>
              <w:jc w:val="center"/>
              <w:textAlignment w:val="baseline"/>
              <w:rPr>
                <w:rFonts w:ascii="Arial" w:eastAsia="Times New Roman" w:hAnsi="Arial" w:cs="Arial"/>
                <w:sz w:val="20"/>
                <w:szCs w:val="20"/>
                <w:lang w:eastAsia="pt-BR"/>
              </w:rPr>
            </w:pPr>
          </w:p>
        </w:tc>
        <w:tc>
          <w:tcPr>
            <w:tcW w:w="2835" w:type="dxa"/>
            <w:tcBorders>
              <w:top w:val="single" w:sz="4" w:space="0" w:color="auto"/>
              <w:left w:val="nil"/>
              <w:bottom w:val="single" w:sz="4" w:space="0" w:color="auto"/>
              <w:right w:val="single" w:sz="4" w:space="0" w:color="auto"/>
            </w:tcBorders>
            <w:shd w:val="clear" w:color="auto" w:fill="auto"/>
            <w:vAlign w:val="center"/>
          </w:tcPr>
          <w:p w14:paraId="626FA1F0" w14:textId="77777777" w:rsidR="00493919" w:rsidRPr="00493919" w:rsidRDefault="00493919" w:rsidP="00493919">
            <w:pPr>
              <w:overflowPunct w:val="0"/>
              <w:autoSpaceDE w:val="0"/>
              <w:autoSpaceDN w:val="0"/>
              <w:adjustRightInd w:val="0"/>
              <w:spacing w:after="0" w:line="240" w:lineRule="auto"/>
              <w:textAlignment w:val="baseline"/>
              <w:rPr>
                <w:rFonts w:ascii="Arial" w:eastAsia="Times New Roman" w:hAnsi="Arial" w:cs="Arial"/>
                <w:sz w:val="20"/>
                <w:szCs w:val="20"/>
                <w:lang w:eastAsia="pt-BR"/>
              </w:rPr>
            </w:pPr>
          </w:p>
        </w:tc>
      </w:tr>
      <w:tr w:rsidR="00493919" w:rsidRPr="00493919" w14:paraId="54C4BA56" w14:textId="77777777" w:rsidTr="00E2470D">
        <w:trPr>
          <w:trHeight w:val="600"/>
        </w:trPr>
        <w:tc>
          <w:tcPr>
            <w:tcW w:w="9493" w:type="dxa"/>
            <w:gridSpan w:val="4"/>
            <w:tcBorders>
              <w:top w:val="nil"/>
              <w:left w:val="single" w:sz="4" w:space="0" w:color="auto"/>
              <w:bottom w:val="single" w:sz="4" w:space="0" w:color="auto"/>
              <w:right w:val="single" w:sz="4" w:space="0" w:color="000000"/>
            </w:tcBorders>
            <w:shd w:val="clear" w:color="000000" w:fill="BFBFBF"/>
            <w:vAlign w:val="center"/>
            <w:hideMark/>
          </w:tcPr>
          <w:p w14:paraId="0E43A95B" w14:textId="77777777" w:rsidR="00493919" w:rsidRPr="00493919" w:rsidRDefault="00493919" w:rsidP="00493919">
            <w:pPr>
              <w:overflowPunct w:val="0"/>
              <w:autoSpaceDE w:val="0"/>
              <w:autoSpaceDN w:val="0"/>
              <w:adjustRightInd w:val="0"/>
              <w:spacing w:after="0" w:line="240" w:lineRule="auto"/>
              <w:jc w:val="center"/>
              <w:textAlignment w:val="baseline"/>
              <w:rPr>
                <w:rFonts w:ascii="Arial" w:eastAsia="Times New Roman" w:hAnsi="Arial" w:cs="Arial"/>
                <w:b/>
                <w:bCs/>
                <w:sz w:val="20"/>
                <w:szCs w:val="20"/>
                <w:lang w:eastAsia="pt-BR"/>
              </w:rPr>
            </w:pPr>
            <w:r w:rsidRPr="00493919">
              <w:rPr>
                <w:rFonts w:ascii="Arial" w:eastAsia="Times New Roman" w:hAnsi="Arial" w:cs="Arial"/>
                <w:b/>
                <w:bCs/>
                <w:sz w:val="20"/>
                <w:szCs w:val="20"/>
                <w:lang w:eastAsia="pt-BR"/>
              </w:rPr>
              <w:t>Estrutura ‘InformacoesControleInternoTomadaContasEspecial’</w:t>
            </w:r>
          </w:p>
        </w:tc>
      </w:tr>
      <w:tr w:rsidR="00493919" w:rsidRPr="00493919" w14:paraId="0AF00069" w14:textId="77777777" w:rsidTr="00E2470D">
        <w:trPr>
          <w:trHeight w:val="402"/>
        </w:trPr>
        <w:tc>
          <w:tcPr>
            <w:tcW w:w="4248" w:type="dxa"/>
            <w:tcBorders>
              <w:top w:val="nil"/>
              <w:left w:val="single" w:sz="4" w:space="0" w:color="auto"/>
              <w:bottom w:val="single" w:sz="4" w:space="0" w:color="auto"/>
              <w:right w:val="single" w:sz="4" w:space="0" w:color="auto"/>
            </w:tcBorders>
            <w:shd w:val="clear" w:color="auto" w:fill="auto"/>
            <w:vAlign w:val="center"/>
            <w:hideMark/>
          </w:tcPr>
          <w:p w14:paraId="1A2D4A83" w14:textId="77777777" w:rsidR="00493919" w:rsidRPr="00493919" w:rsidRDefault="00493919" w:rsidP="00493919">
            <w:pPr>
              <w:overflowPunct w:val="0"/>
              <w:autoSpaceDE w:val="0"/>
              <w:autoSpaceDN w:val="0"/>
              <w:adjustRightInd w:val="0"/>
              <w:spacing w:after="0" w:line="240" w:lineRule="auto"/>
              <w:jc w:val="both"/>
              <w:textAlignment w:val="baseline"/>
              <w:rPr>
                <w:rFonts w:ascii="Arial" w:eastAsia="Times New Roman" w:hAnsi="Arial" w:cs="Arial"/>
                <w:sz w:val="20"/>
                <w:szCs w:val="20"/>
                <w:lang w:eastAsia="pt-BR"/>
              </w:rPr>
            </w:pPr>
            <w:r w:rsidRPr="00493919">
              <w:rPr>
                <w:rFonts w:ascii="Arial" w:eastAsia="Times New Roman" w:hAnsi="Arial" w:cs="Arial"/>
                <w:sz w:val="20"/>
                <w:szCs w:val="20"/>
                <w:lang w:eastAsia="pt-BR"/>
              </w:rPr>
              <w:t>Identificação do Numero do Registro</w:t>
            </w:r>
          </w:p>
        </w:tc>
        <w:tc>
          <w:tcPr>
            <w:tcW w:w="1112" w:type="dxa"/>
            <w:tcBorders>
              <w:top w:val="nil"/>
              <w:left w:val="nil"/>
              <w:bottom w:val="single" w:sz="4" w:space="0" w:color="auto"/>
              <w:right w:val="single" w:sz="4" w:space="0" w:color="auto"/>
            </w:tcBorders>
            <w:shd w:val="clear" w:color="auto" w:fill="auto"/>
            <w:vAlign w:val="center"/>
            <w:hideMark/>
          </w:tcPr>
          <w:p w14:paraId="56905230" w14:textId="77777777" w:rsidR="00493919" w:rsidRPr="00493919" w:rsidRDefault="00493919" w:rsidP="00493919">
            <w:pPr>
              <w:overflowPunct w:val="0"/>
              <w:autoSpaceDE w:val="0"/>
              <w:autoSpaceDN w:val="0"/>
              <w:adjustRightInd w:val="0"/>
              <w:spacing w:after="0" w:line="240" w:lineRule="auto"/>
              <w:jc w:val="center"/>
              <w:textAlignment w:val="baseline"/>
              <w:rPr>
                <w:rFonts w:ascii="Arial" w:eastAsia="Times New Roman" w:hAnsi="Arial" w:cs="Arial"/>
                <w:sz w:val="20"/>
                <w:szCs w:val="20"/>
                <w:lang w:eastAsia="pt-BR"/>
              </w:rPr>
            </w:pPr>
            <w:r w:rsidRPr="00493919">
              <w:rPr>
                <w:rFonts w:ascii="Arial" w:eastAsia="Times New Roman" w:hAnsi="Arial" w:cs="Arial"/>
                <w:sz w:val="20"/>
                <w:szCs w:val="20"/>
                <w:lang w:eastAsia="pt-BR"/>
              </w:rPr>
              <w:t>Inteiro</w:t>
            </w:r>
          </w:p>
        </w:tc>
        <w:tc>
          <w:tcPr>
            <w:tcW w:w="1298" w:type="dxa"/>
            <w:tcBorders>
              <w:top w:val="nil"/>
              <w:left w:val="nil"/>
              <w:bottom w:val="single" w:sz="4" w:space="0" w:color="auto"/>
              <w:right w:val="single" w:sz="4" w:space="0" w:color="auto"/>
            </w:tcBorders>
            <w:shd w:val="clear" w:color="auto" w:fill="auto"/>
            <w:vAlign w:val="center"/>
            <w:hideMark/>
          </w:tcPr>
          <w:p w14:paraId="79ADEA07" w14:textId="77777777" w:rsidR="00493919" w:rsidRPr="00493919" w:rsidRDefault="00493919" w:rsidP="00493919">
            <w:pPr>
              <w:overflowPunct w:val="0"/>
              <w:autoSpaceDE w:val="0"/>
              <w:autoSpaceDN w:val="0"/>
              <w:adjustRightInd w:val="0"/>
              <w:spacing w:after="0" w:line="240" w:lineRule="auto"/>
              <w:jc w:val="center"/>
              <w:textAlignment w:val="baseline"/>
              <w:rPr>
                <w:rFonts w:ascii="Arial" w:eastAsia="Times New Roman" w:hAnsi="Arial" w:cs="Arial"/>
                <w:sz w:val="20"/>
                <w:szCs w:val="20"/>
                <w:lang w:eastAsia="pt-BR"/>
              </w:rPr>
            </w:pPr>
            <w:r w:rsidRPr="00493919">
              <w:rPr>
                <w:rFonts w:ascii="Arial" w:eastAsia="Times New Roman" w:hAnsi="Arial" w:cs="Arial"/>
                <w:sz w:val="20"/>
                <w:szCs w:val="20"/>
                <w:lang w:eastAsia="pt-BR"/>
              </w:rPr>
              <w:t>5</w:t>
            </w:r>
          </w:p>
        </w:tc>
        <w:tc>
          <w:tcPr>
            <w:tcW w:w="2835" w:type="dxa"/>
            <w:tcBorders>
              <w:top w:val="nil"/>
              <w:left w:val="nil"/>
              <w:bottom w:val="single" w:sz="4" w:space="0" w:color="auto"/>
              <w:right w:val="single" w:sz="4" w:space="0" w:color="auto"/>
            </w:tcBorders>
            <w:shd w:val="clear" w:color="auto" w:fill="auto"/>
            <w:vAlign w:val="center"/>
            <w:hideMark/>
          </w:tcPr>
          <w:p w14:paraId="1FF812A5" w14:textId="77777777" w:rsidR="00493919" w:rsidRPr="00493919" w:rsidRDefault="00493919" w:rsidP="00493919">
            <w:pPr>
              <w:overflowPunct w:val="0"/>
              <w:autoSpaceDE w:val="0"/>
              <w:autoSpaceDN w:val="0"/>
              <w:adjustRightInd w:val="0"/>
              <w:spacing w:after="0" w:line="240" w:lineRule="auto"/>
              <w:textAlignment w:val="baseline"/>
              <w:rPr>
                <w:rFonts w:ascii="Arial" w:eastAsia="Times New Roman" w:hAnsi="Arial" w:cs="Arial"/>
                <w:sz w:val="20"/>
                <w:szCs w:val="20"/>
                <w:lang w:eastAsia="pt-BR"/>
              </w:rPr>
            </w:pPr>
            <w:r w:rsidRPr="00493919">
              <w:rPr>
                <w:rFonts w:ascii="Arial" w:eastAsia="Times New Roman" w:hAnsi="Arial" w:cs="Arial"/>
                <w:sz w:val="20"/>
                <w:szCs w:val="20"/>
                <w:lang w:eastAsia="pt-BR"/>
              </w:rPr>
              <w:t>Obrigatório</w:t>
            </w:r>
          </w:p>
        </w:tc>
      </w:tr>
      <w:tr w:rsidR="00493919" w:rsidRPr="00493919" w14:paraId="7CDFF3D6" w14:textId="77777777" w:rsidTr="00E2470D">
        <w:trPr>
          <w:trHeight w:val="402"/>
        </w:trPr>
        <w:tc>
          <w:tcPr>
            <w:tcW w:w="4248" w:type="dxa"/>
            <w:tcBorders>
              <w:top w:val="nil"/>
              <w:left w:val="single" w:sz="4" w:space="0" w:color="auto"/>
              <w:bottom w:val="single" w:sz="4" w:space="0" w:color="auto"/>
              <w:right w:val="single" w:sz="4" w:space="0" w:color="auto"/>
            </w:tcBorders>
            <w:shd w:val="clear" w:color="auto" w:fill="auto"/>
            <w:vAlign w:val="center"/>
          </w:tcPr>
          <w:p w14:paraId="344C8606" w14:textId="77777777" w:rsidR="00493919" w:rsidRPr="00493919" w:rsidRDefault="00493919" w:rsidP="00493919">
            <w:pPr>
              <w:overflowPunct w:val="0"/>
              <w:autoSpaceDE w:val="0"/>
              <w:autoSpaceDN w:val="0"/>
              <w:adjustRightInd w:val="0"/>
              <w:spacing w:after="0" w:line="240" w:lineRule="auto"/>
              <w:jc w:val="both"/>
              <w:textAlignment w:val="baseline"/>
              <w:rPr>
                <w:rFonts w:ascii="Arial" w:eastAsia="Times New Roman" w:hAnsi="Arial" w:cs="Arial"/>
                <w:b/>
                <w:bCs/>
                <w:sz w:val="20"/>
                <w:szCs w:val="20"/>
                <w:lang w:eastAsia="pt-BR"/>
              </w:rPr>
            </w:pPr>
            <w:r w:rsidRPr="00493919">
              <w:rPr>
                <w:rFonts w:ascii="Arial" w:eastAsia="Times New Roman" w:hAnsi="Arial" w:cs="Arial"/>
                <w:b/>
                <w:bCs/>
                <w:sz w:val="20"/>
                <w:szCs w:val="20"/>
                <w:lang w:eastAsia="pt-BR"/>
              </w:rPr>
              <w:t>...</w:t>
            </w:r>
          </w:p>
        </w:tc>
        <w:tc>
          <w:tcPr>
            <w:tcW w:w="1112" w:type="dxa"/>
            <w:tcBorders>
              <w:top w:val="nil"/>
              <w:left w:val="nil"/>
              <w:bottom w:val="single" w:sz="4" w:space="0" w:color="auto"/>
              <w:right w:val="single" w:sz="4" w:space="0" w:color="auto"/>
            </w:tcBorders>
            <w:shd w:val="clear" w:color="auto" w:fill="auto"/>
            <w:vAlign w:val="center"/>
          </w:tcPr>
          <w:p w14:paraId="76BE71C3" w14:textId="77777777" w:rsidR="00493919" w:rsidRPr="00493919" w:rsidRDefault="00493919" w:rsidP="00493919">
            <w:pPr>
              <w:overflowPunct w:val="0"/>
              <w:autoSpaceDE w:val="0"/>
              <w:autoSpaceDN w:val="0"/>
              <w:adjustRightInd w:val="0"/>
              <w:spacing w:after="0" w:line="240" w:lineRule="auto"/>
              <w:jc w:val="center"/>
              <w:textAlignment w:val="baseline"/>
              <w:rPr>
                <w:rFonts w:ascii="Arial" w:eastAsia="Times New Roman" w:hAnsi="Arial" w:cs="Arial"/>
                <w:sz w:val="20"/>
                <w:szCs w:val="20"/>
                <w:lang w:eastAsia="pt-BR"/>
              </w:rPr>
            </w:pPr>
          </w:p>
        </w:tc>
        <w:tc>
          <w:tcPr>
            <w:tcW w:w="1298" w:type="dxa"/>
            <w:tcBorders>
              <w:top w:val="nil"/>
              <w:left w:val="nil"/>
              <w:bottom w:val="single" w:sz="4" w:space="0" w:color="auto"/>
              <w:right w:val="single" w:sz="4" w:space="0" w:color="auto"/>
            </w:tcBorders>
            <w:shd w:val="clear" w:color="auto" w:fill="auto"/>
            <w:vAlign w:val="center"/>
          </w:tcPr>
          <w:p w14:paraId="031F4107" w14:textId="77777777" w:rsidR="00493919" w:rsidRPr="00493919" w:rsidRDefault="00493919" w:rsidP="00493919">
            <w:pPr>
              <w:overflowPunct w:val="0"/>
              <w:autoSpaceDE w:val="0"/>
              <w:autoSpaceDN w:val="0"/>
              <w:adjustRightInd w:val="0"/>
              <w:spacing w:after="0" w:line="240" w:lineRule="auto"/>
              <w:jc w:val="center"/>
              <w:textAlignment w:val="baseline"/>
              <w:rPr>
                <w:rFonts w:ascii="Arial" w:eastAsia="Times New Roman" w:hAnsi="Arial" w:cs="Arial"/>
                <w:sz w:val="20"/>
                <w:szCs w:val="20"/>
                <w:lang w:eastAsia="pt-BR"/>
              </w:rPr>
            </w:pPr>
          </w:p>
        </w:tc>
        <w:tc>
          <w:tcPr>
            <w:tcW w:w="2835" w:type="dxa"/>
            <w:tcBorders>
              <w:top w:val="nil"/>
              <w:left w:val="nil"/>
              <w:bottom w:val="single" w:sz="4" w:space="0" w:color="auto"/>
              <w:right w:val="single" w:sz="4" w:space="0" w:color="auto"/>
            </w:tcBorders>
            <w:shd w:val="clear" w:color="auto" w:fill="auto"/>
            <w:vAlign w:val="center"/>
          </w:tcPr>
          <w:p w14:paraId="610E4E55" w14:textId="77777777" w:rsidR="00493919" w:rsidRPr="00493919" w:rsidRDefault="00493919" w:rsidP="00493919">
            <w:pPr>
              <w:overflowPunct w:val="0"/>
              <w:autoSpaceDE w:val="0"/>
              <w:autoSpaceDN w:val="0"/>
              <w:adjustRightInd w:val="0"/>
              <w:spacing w:after="0" w:line="240" w:lineRule="auto"/>
              <w:textAlignment w:val="baseline"/>
              <w:rPr>
                <w:rFonts w:ascii="Arial" w:eastAsia="Times New Roman" w:hAnsi="Arial" w:cs="Arial"/>
                <w:sz w:val="20"/>
                <w:szCs w:val="20"/>
                <w:lang w:eastAsia="pt-BR"/>
              </w:rPr>
            </w:pPr>
          </w:p>
        </w:tc>
      </w:tr>
      <w:tr w:rsidR="00493919" w:rsidRPr="00493919" w14:paraId="0C788AC0" w14:textId="77777777" w:rsidTr="00E2470D">
        <w:trPr>
          <w:trHeight w:val="5100"/>
        </w:trPr>
        <w:tc>
          <w:tcPr>
            <w:tcW w:w="42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9A4B3C" w14:textId="77777777" w:rsidR="00493919" w:rsidRPr="00493919" w:rsidRDefault="00493919" w:rsidP="00493919">
            <w:pPr>
              <w:overflowPunct w:val="0"/>
              <w:autoSpaceDE w:val="0"/>
              <w:autoSpaceDN w:val="0"/>
              <w:adjustRightInd w:val="0"/>
              <w:spacing w:after="0" w:line="240" w:lineRule="auto"/>
              <w:jc w:val="both"/>
              <w:textAlignment w:val="baseline"/>
              <w:rPr>
                <w:rFonts w:ascii="Arial" w:eastAsia="Times New Roman" w:hAnsi="Arial" w:cs="Arial"/>
                <w:sz w:val="20"/>
                <w:szCs w:val="20"/>
                <w:lang w:eastAsia="pt-BR"/>
              </w:rPr>
            </w:pPr>
            <w:r w:rsidRPr="00493919">
              <w:rPr>
                <w:rFonts w:ascii="Arial" w:eastAsia="Times New Roman" w:hAnsi="Arial" w:cs="Arial"/>
                <w:sz w:val="20"/>
                <w:szCs w:val="20"/>
                <w:lang w:eastAsia="pt-BR"/>
              </w:rPr>
              <w:lastRenderedPageBreak/>
              <w:t>Motivo da Baixa da Responsabilidade pelo Débito</w:t>
            </w:r>
          </w:p>
        </w:tc>
        <w:tc>
          <w:tcPr>
            <w:tcW w:w="1112" w:type="dxa"/>
            <w:tcBorders>
              <w:top w:val="single" w:sz="4" w:space="0" w:color="auto"/>
              <w:left w:val="nil"/>
              <w:bottom w:val="single" w:sz="4" w:space="0" w:color="auto"/>
              <w:right w:val="single" w:sz="4" w:space="0" w:color="auto"/>
            </w:tcBorders>
            <w:shd w:val="clear" w:color="auto" w:fill="auto"/>
            <w:vAlign w:val="center"/>
            <w:hideMark/>
          </w:tcPr>
          <w:p w14:paraId="58450540" w14:textId="77777777" w:rsidR="00493919" w:rsidRPr="00493919" w:rsidRDefault="00493919" w:rsidP="00493919">
            <w:pPr>
              <w:overflowPunct w:val="0"/>
              <w:autoSpaceDE w:val="0"/>
              <w:autoSpaceDN w:val="0"/>
              <w:adjustRightInd w:val="0"/>
              <w:spacing w:after="0" w:line="240" w:lineRule="auto"/>
              <w:jc w:val="center"/>
              <w:textAlignment w:val="baseline"/>
              <w:rPr>
                <w:rFonts w:ascii="Arial" w:eastAsia="Times New Roman" w:hAnsi="Arial" w:cs="Arial"/>
                <w:sz w:val="20"/>
                <w:szCs w:val="20"/>
                <w:lang w:eastAsia="pt-BR"/>
              </w:rPr>
            </w:pPr>
            <w:r w:rsidRPr="00493919">
              <w:rPr>
                <w:rFonts w:ascii="Arial" w:eastAsia="Times New Roman" w:hAnsi="Arial" w:cs="Arial"/>
                <w:sz w:val="20"/>
                <w:szCs w:val="20"/>
                <w:lang w:eastAsia="pt-BR"/>
              </w:rPr>
              <w:t>Inteiro</w:t>
            </w:r>
          </w:p>
        </w:tc>
        <w:tc>
          <w:tcPr>
            <w:tcW w:w="1298" w:type="dxa"/>
            <w:tcBorders>
              <w:top w:val="single" w:sz="4" w:space="0" w:color="auto"/>
              <w:left w:val="nil"/>
              <w:bottom w:val="single" w:sz="4" w:space="0" w:color="auto"/>
              <w:right w:val="nil"/>
            </w:tcBorders>
            <w:shd w:val="clear" w:color="auto" w:fill="auto"/>
            <w:vAlign w:val="center"/>
            <w:hideMark/>
          </w:tcPr>
          <w:p w14:paraId="6AE75AE3" w14:textId="77777777" w:rsidR="00493919" w:rsidRPr="00493919" w:rsidRDefault="00493919" w:rsidP="00493919">
            <w:pPr>
              <w:overflowPunct w:val="0"/>
              <w:autoSpaceDE w:val="0"/>
              <w:autoSpaceDN w:val="0"/>
              <w:adjustRightInd w:val="0"/>
              <w:spacing w:after="0" w:line="240" w:lineRule="auto"/>
              <w:jc w:val="center"/>
              <w:textAlignment w:val="baseline"/>
              <w:rPr>
                <w:rFonts w:ascii="Arial" w:eastAsia="Times New Roman" w:hAnsi="Arial" w:cs="Arial"/>
                <w:sz w:val="20"/>
                <w:szCs w:val="20"/>
                <w:lang w:eastAsia="pt-BR"/>
              </w:rPr>
            </w:pPr>
            <w:r w:rsidRPr="00493919">
              <w:rPr>
                <w:rFonts w:ascii="Arial" w:eastAsia="Times New Roman" w:hAnsi="Arial" w:cs="Arial"/>
                <w:sz w:val="20"/>
                <w:szCs w:val="20"/>
                <w:lang w:eastAsia="pt-BR"/>
              </w:rPr>
              <w:t>1</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896B338" w14:textId="77777777" w:rsidR="00493919" w:rsidRPr="00493919" w:rsidRDefault="00493919" w:rsidP="00493919">
            <w:pPr>
              <w:overflowPunct w:val="0"/>
              <w:autoSpaceDE w:val="0"/>
              <w:autoSpaceDN w:val="0"/>
              <w:adjustRightInd w:val="0"/>
              <w:spacing w:after="0" w:line="240" w:lineRule="auto"/>
              <w:textAlignment w:val="baseline"/>
              <w:rPr>
                <w:rFonts w:ascii="Arial" w:eastAsia="Times New Roman" w:hAnsi="Arial" w:cs="Arial"/>
                <w:sz w:val="20"/>
                <w:szCs w:val="20"/>
                <w:lang w:eastAsia="pt-BR"/>
              </w:rPr>
            </w:pPr>
            <w:r w:rsidRPr="00493919">
              <w:rPr>
                <w:rFonts w:ascii="Arial" w:eastAsia="Times New Roman" w:hAnsi="Arial" w:cs="Arial"/>
                <w:color w:val="0070C0"/>
                <w:sz w:val="20"/>
                <w:szCs w:val="20"/>
                <w:lang w:eastAsia="pt-BR"/>
              </w:rPr>
              <w:t xml:space="preserve">Não </w:t>
            </w:r>
            <w:r w:rsidRPr="00493919">
              <w:rPr>
                <w:rFonts w:ascii="Arial" w:eastAsia="Times New Roman" w:hAnsi="Arial" w:cs="Arial"/>
                <w:sz w:val="20"/>
                <w:szCs w:val="20"/>
                <w:lang w:eastAsia="pt-BR"/>
              </w:rPr>
              <w:t>obrigatório</w:t>
            </w:r>
            <w:r w:rsidRPr="00493919">
              <w:rPr>
                <w:rFonts w:ascii="Arial" w:eastAsia="Times New Roman" w:hAnsi="Arial" w:cs="Arial"/>
                <w:sz w:val="20"/>
                <w:szCs w:val="20"/>
                <w:lang w:eastAsia="pt-BR"/>
              </w:rPr>
              <w:br/>
            </w:r>
          </w:p>
          <w:p w14:paraId="586655D1" w14:textId="77777777" w:rsidR="00493919" w:rsidRPr="00493919" w:rsidRDefault="00493919" w:rsidP="00493919">
            <w:pPr>
              <w:overflowPunct w:val="0"/>
              <w:autoSpaceDE w:val="0"/>
              <w:autoSpaceDN w:val="0"/>
              <w:adjustRightInd w:val="0"/>
              <w:spacing w:after="0" w:line="240" w:lineRule="auto"/>
              <w:textAlignment w:val="baseline"/>
              <w:rPr>
                <w:rFonts w:ascii="Arial" w:eastAsia="Times New Roman" w:hAnsi="Arial" w:cs="Arial"/>
                <w:sz w:val="20"/>
                <w:szCs w:val="20"/>
                <w:lang w:eastAsia="pt-BR"/>
              </w:rPr>
            </w:pPr>
            <w:r w:rsidRPr="00493919">
              <w:rPr>
                <w:rFonts w:ascii="Arial" w:eastAsia="Times New Roman" w:hAnsi="Arial" w:cs="Arial"/>
                <w:sz w:val="20"/>
                <w:szCs w:val="20"/>
                <w:lang w:eastAsia="pt-BR"/>
              </w:rPr>
              <w:t>1 - Elisão da responsabilidade pelo dano inicialmente imputada ao responsável;</w:t>
            </w:r>
          </w:p>
          <w:p w14:paraId="68F71109" w14:textId="77777777" w:rsidR="00493919" w:rsidRPr="00493919" w:rsidRDefault="00493919" w:rsidP="00493919">
            <w:pPr>
              <w:overflowPunct w:val="0"/>
              <w:autoSpaceDE w:val="0"/>
              <w:autoSpaceDN w:val="0"/>
              <w:adjustRightInd w:val="0"/>
              <w:spacing w:after="0" w:line="240" w:lineRule="auto"/>
              <w:textAlignment w:val="baseline"/>
              <w:rPr>
                <w:rFonts w:ascii="Arial" w:eastAsia="Times New Roman" w:hAnsi="Arial" w:cs="Arial"/>
                <w:sz w:val="20"/>
                <w:szCs w:val="20"/>
                <w:lang w:eastAsia="pt-BR"/>
              </w:rPr>
            </w:pPr>
            <w:r w:rsidRPr="00493919">
              <w:rPr>
                <w:rFonts w:ascii="Arial" w:eastAsia="Times New Roman" w:hAnsi="Arial" w:cs="Arial"/>
                <w:sz w:val="20"/>
                <w:szCs w:val="20"/>
                <w:lang w:eastAsia="pt-BR"/>
              </w:rPr>
              <w:br/>
              <w:t>2 - Ausência de comprovação do dano;</w:t>
            </w:r>
          </w:p>
          <w:p w14:paraId="69556580" w14:textId="77777777" w:rsidR="00493919" w:rsidRPr="00493919" w:rsidRDefault="00493919" w:rsidP="00493919">
            <w:pPr>
              <w:overflowPunct w:val="0"/>
              <w:autoSpaceDE w:val="0"/>
              <w:autoSpaceDN w:val="0"/>
              <w:adjustRightInd w:val="0"/>
              <w:spacing w:after="0" w:line="240" w:lineRule="auto"/>
              <w:textAlignment w:val="baseline"/>
              <w:rPr>
                <w:rFonts w:ascii="Arial" w:eastAsia="Times New Roman" w:hAnsi="Arial" w:cs="Arial"/>
                <w:sz w:val="20"/>
                <w:szCs w:val="20"/>
                <w:lang w:eastAsia="pt-BR"/>
              </w:rPr>
            </w:pPr>
            <w:r w:rsidRPr="00493919">
              <w:rPr>
                <w:rFonts w:ascii="Arial" w:eastAsia="Times New Roman" w:hAnsi="Arial" w:cs="Arial"/>
                <w:sz w:val="20"/>
                <w:szCs w:val="20"/>
                <w:lang w:eastAsia="pt-BR"/>
              </w:rPr>
              <w:br/>
              <w:t>3 - Arquivamento do processo por falta de pressupostos de instauração ou do seu desenvolvimento regular;</w:t>
            </w:r>
          </w:p>
          <w:p w14:paraId="0C23DA89" w14:textId="77777777" w:rsidR="00493919" w:rsidRPr="00493919" w:rsidRDefault="00493919" w:rsidP="00493919">
            <w:pPr>
              <w:overflowPunct w:val="0"/>
              <w:autoSpaceDE w:val="0"/>
              <w:autoSpaceDN w:val="0"/>
              <w:adjustRightInd w:val="0"/>
              <w:spacing w:after="0" w:line="240" w:lineRule="auto"/>
              <w:textAlignment w:val="baseline"/>
              <w:rPr>
                <w:rFonts w:ascii="Arial" w:eastAsia="Times New Roman" w:hAnsi="Arial" w:cs="Arial"/>
                <w:sz w:val="20"/>
                <w:szCs w:val="20"/>
                <w:lang w:eastAsia="pt-BR"/>
              </w:rPr>
            </w:pPr>
            <w:r w:rsidRPr="00493919">
              <w:rPr>
                <w:rFonts w:ascii="Arial" w:eastAsia="Times New Roman" w:hAnsi="Arial" w:cs="Arial"/>
                <w:sz w:val="20"/>
                <w:szCs w:val="20"/>
                <w:lang w:eastAsia="pt-BR"/>
              </w:rPr>
              <w:br/>
              <w:t>4 - Contas consideradas iliquidáveis, nos termos do art. 90 da Lei Complementar Estadual n° 621/2012;</w:t>
            </w:r>
          </w:p>
          <w:p w14:paraId="568376FC" w14:textId="77777777" w:rsidR="00493919" w:rsidRPr="00493919" w:rsidRDefault="00493919" w:rsidP="00493919">
            <w:pPr>
              <w:overflowPunct w:val="0"/>
              <w:autoSpaceDE w:val="0"/>
              <w:autoSpaceDN w:val="0"/>
              <w:adjustRightInd w:val="0"/>
              <w:spacing w:after="0" w:line="240" w:lineRule="auto"/>
              <w:textAlignment w:val="baseline"/>
              <w:rPr>
                <w:rFonts w:ascii="Arial" w:eastAsia="Times New Roman" w:hAnsi="Arial" w:cs="Arial"/>
                <w:sz w:val="20"/>
                <w:szCs w:val="20"/>
                <w:lang w:eastAsia="pt-BR"/>
              </w:rPr>
            </w:pPr>
            <w:r w:rsidRPr="00493919">
              <w:rPr>
                <w:rFonts w:ascii="Arial" w:eastAsia="Times New Roman" w:hAnsi="Arial" w:cs="Arial"/>
                <w:sz w:val="20"/>
                <w:szCs w:val="20"/>
                <w:lang w:eastAsia="pt-BR"/>
              </w:rPr>
              <w:br/>
              <w:t>5 - Quitação ao responsável pelo recolhimento do débito.</w:t>
            </w:r>
          </w:p>
        </w:tc>
      </w:tr>
    </w:tbl>
    <w:p w14:paraId="349DF662" w14:textId="69781A36" w:rsidR="00493919" w:rsidRDefault="00493919" w:rsidP="00493919">
      <w:pPr>
        <w:jc w:val="both"/>
        <w:rPr>
          <w:rFonts w:ascii="Arial" w:eastAsia="Calibri" w:hAnsi="Arial" w:cs="Arial"/>
          <w:szCs w:val="24"/>
        </w:rPr>
      </w:pPr>
    </w:p>
    <w:p w14:paraId="3F928A0B" w14:textId="73C6AE92" w:rsidR="00493919" w:rsidRDefault="00493919" w:rsidP="00493919">
      <w:pPr>
        <w:jc w:val="both"/>
        <w:rPr>
          <w:rFonts w:ascii="Arial" w:eastAsia="Calibri" w:hAnsi="Arial" w:cs="Arial"/>
          <w:szCs w:val="24"/>
        </w:rPr>
      </w:pPr>
    </w:p>
    <w:p w14:paraId="28240A6E" w14:textId="77777777" w:rsidR="00493919" w:rsidRPr="00493919" w:rsidRDefault="00493919" w:rsidP="00493919">
      <w:pPr>
        <w:jc w:val="both"/>
        <w:rPr>
          <w:rFonts w:ascii="Arial" w:eastAsia="Calibri" w:hAnsi="Arial" w:cs="Arial"/>
          <w:szCs w:val="24"/>
        </w:rPr>
      </w:pPr>
    </w:p>
    <w:sectPr w:rsidR="00493919" w:rsidRPr="00493919" w:rsidSect="00163227">
      <w:footnotePr>
        <w:numRestart w:val="eachPage"/>
      </w:footnotePr>
      <w:pgSz w:w="11906" w:h="16838"/>
      <w:pgMar w:top="1418" w:right="1701"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E88C0D" w14:textId="77777777" w:rsidR="00E12950" w:rsidRDefault="00E12950" w:rsidP="00A5490A">
      <w:pPr>
        <w:spacing w:after="0" w:line="240" w:lineRule="auto"/>
      </w:pPr>
      <w:r>
        <w:separator/>
      </w:r>
    </w:p>
  </w:endnote>
  <w:endnote w:type="continuationSeparator" w:id="0">
    <w:p w14:paraId="2846EA4F" w14:textId="77777777" w:rsidR="00E12950" w:rsidRDefault="00E12950" w:rsidP="00A549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Garamond">
    <w:panose1 w:val="00000000000000000000"/>
    <w:charset w:val="00"/>
    <w:family w:val="roman"/>
    <w:notTrueType/>
    <w:pitch w:val="variable"/>
    <w:sig w:usb0="00000003" w:usb1="00000000" w:usb2="00000000" w:usb3="00000000" w:csb0="00000001" w:csb1="00000000"/>
  </w:font>
  <w:font w:name="FrankfurtGothic">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4996330"/>
      <w:docPartObj>
        <w:docPartGallery w:val="Page Numbers (Bottom of Page)"/>
        <w:docPartUnique/>
      </w:docPartObj>
    </w:sdtPr>
    <w:sdtEndPr>
      <w:rPr>
        <w:sz w:val="18"/>
        <w:szCs w:val="18"/>
      </w:rPr>
    </w:sdtEndPr>
    <w:sdtContent>
      <w:p w14:paraId="4BF23A8A" w14:textId="49F6444A" w:rsidR="002049F4" w:rsidRPr="00EB3258" w:rsidRDefault="002049F4">
        <w:pPr>
          <w:pStyle w:val="Rodap"/>
          <w:jc w:val="right"/>
          <w:rPr>
            <w:sz w:val="18"/>
            <w:szCs w:val="18"/>
          </w:rPr>
        </w:pPr>
        <w:r w:rsidRPr="00EB3258">
          <w:rPr>
            <w:sz w:val="18"/>
            <w:szCs w:val="18"/>
          </w:rPr>
          <w:fldChar w:fldCharType="begin"/>
        </w:r>
        <w:r w:rsidRPr="00EB3258">
          <w:rPr>
            <w:sz w:val="18"/>
            <w:szCs w:val="18"/>
          </w:rPr>
          <w:instrText>PAGE   \* MERGEFORMAT</w:instrText>
        </w:r>
        <w:r w:rsidRPr="00EB3258">
          <w:rPr>
            <w:sz w:val="18"/>
            <w:szCs w:val="18"/>
          </w:rPr>
          <w:fldChar w:fldCharType="separate"/>
        </w:r>
        <w:r w:rsidR="009C5325" w:rsidRPr="009C5325">
          <w:rPr>
            <w:noProof/>
            <w:sz w:val="18"/>
            <w:szCs w:val="18"/>
            <w:lang w:val="pt-BR"/>
          </w:rPr>
          <w:t>1</w:t>
        </w:r>
        <w:r w:rsidRPr="00EB3258">
          <w:rPr>
            <w:sz w:val="18"/>
            <w:szCs w:val="18"/>
          </w:rP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89BBDA" w14:textId="77777777" w:rsidR="002049F4" w:rsidRDefault="002049F4">
    <w:pPr>
      <w:pStyle w:val="Rodap"/>
      <w:framePr w:wrap="auto" w:vAnchor="text" w:hAnchor="margin" w:xAlign="center" w:y="1"/>
      <w:ind w:firstLine="360"/>
      <w:rPr>
        <w:rStyle w:val="Nmerodepgina"/>
      </w:rPr>
    </w:pPr>
  </w:p>
  <w:p w14:paraId="05F8844C" w14:textId="77777777" w:rsidR="002049F4" w:rsidRDefault="002049F4">
    <w:pPr>
      <w:pStyle w:val="Rodap"/>
      <w:framePr w:wrap="auto" w:vAnchor="text" w:hAnchor="page" w:x="10462" w:y="18"/>
      <w:rPr>
        <w:rStyle w:val="Nmerodepgina"/>
      </w:rPr>
    </w:pPr>
  </w:p>
  <w:p w14:paraId="29F812E1" w14:textId="77777777" w:rsidR="002049F4" w:rsidRDefault="002049F4">
    <w:pPr>
      <w:pStyle w:val="Rodap"/>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3106842"/>
      <w:docPartObj>
        <w:docPartGallery w:val="Page Numbers (Bottom of Page)"/>
        <w:docPartUnique/>
      </w:docPartObj>
    </w:sdtPr>
    <w:sdtEndPr/>
    <w:sdtContent>
      <w:p w14:paraId="15D0E25A" w14:textId="55BAF5AA" w:rsidR="002049F4" w:rsidRDefault="002049F4">
        <w:pPr>
          <w:pStyle w:val="Rodap"/>
          <w:jc w:val="right"/>
        </w:pPr>
        <w:r w:rsidRPr="009E5190">
          <w:rPr>
            <w:sz w:val="18"/>
            <w:szCs w:val="18"/>
          </w:rPr>
          <w:fldChar w:fldCharType="begin"/>
        </w:r>
        <w:r w:rsidRPr="009E5190">
          <w:rPr>
            <w:sz w:val="18"/>
            <w:szCs w:val="18"/>
          </w:rPr>
          <w:instrText>PAGE   \* MERGEFORMAT</w:instrText>
        </w:r>
        <w:r w:rsidRPr="009E5190">
          <w:rPr>
            <w:sz w:val="18"/>
            <w:szCs w:val="18"/>
          </w:rPr>
          <w:fldChar w:fldCharType="separate"/>
        </w:r>
        <w:r w:rsidR="009C5325" w:rsidRPr="009C5325">
          <w:rPr>
            <w:noProof/>
            <w:sz w:val="18"/>
            <w:szCs w:val="18"/>
            <w:lang w:val="pt-BR"/>
          </w:rPr>
          <w:t>317</w:t>
        </w:r>
        <w:r w:rsidRPr="009E5190">
          <w:rPr>
            <w:sz w:val="18"/>
            <w:szCs w:val="18"/>
          </w:rPr>
          <w:fldChar w:fldCharType="end"/>
        </w:r>
      </w:p>
    </w:sdtContent>
  </w:sdt>
  <w:p w14:paraId="18ECED55" w14:textId="77777777" w:rsidR="002049F4" w:rsidRDefault="002049F4">
    <w:pPr>
      <w:pStyle w:val="Rodap"/>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D7DEF4" w14:textId="77777777" w:rsidR="00E12950" w:rsidRDefault="00E12950" w:rsidP="00A5490A">
      <w:pPr>
        <w:spacing w:after="0" w:line="240" w:lineRule="auto"/>
      </w:pPr>
      <w:r>
        <w:separator/>
      </w:r>
    </w:p>
  </w:footnote>
  <w:footnote w:type="continuationSeparator" w:id="0">
    <w:p w14:paraId="7435C9C6" w14:textId="77777777" w:rsidR="00E12950" w:rsidRDefault="00E12950" w:rsidP="00A5490A">
      <w:pPr>
        <w:spacing w:after="0" w:line="240" w:lineRule="auto"/>
      </w:pPr>
      <w:r>
        <w:continuationSeparator/>
      </w:r>
    </w:p>
  </w:footnote>
  <w:footnote w:id="1">
    <w:p w14:paraId="00753D5B" w14:textId="77777777" w:rsidR="002049F4" w:rsidRPr="006C5144" w:rsidRDefault="002049F4" w:rsidP="00EB5878">
      <w:pPr>
        <w:pStyle w:val="Textodenotaderodap"/>
        <w:jc w:val="both"/>
        <w:rPr>
          <w:rFonts w:ascii="Arial" w:hAnsi="Arial" w:cs="Arial"/>
          <w:sz w:val="16"/>
          <w:szCs w:val="16"/>
        </w:rPr>
      </w:pPr>
      <w:r w:rsidRPr="006C5144">
        <w:rPr>
          <w:rStyle w:val="Refdenotaderodap"/>
          <w:rFonts w:ascii="Arial" w:hAnsi="Arial" w:cs="Arial"/>
          <w:sz w:val="16"/>
          <w:szCs w:val="16"/>
        </w:rPr>
        <w:footnoteRef/>
      </w:r>
      <w:r w:rsidRPr="006C5144">
        <w:rPr>
          <w:rFonts w:ascii="Arial" w:hAnsi="Arial" w:cs="Arial"/>
          <w:sz w:val="16"/>
          <w:szCs w:val="16"/>
        </w:rPr>
        <w:t xml:space="preserve"> Artigos 76, §</w:t>
      </w:r>
      <w:r>
        <w:rPr>
          <w:rFonts w:ascii="Arial" w:hAnsi="Arial" w:cs="Arial"/>
          <w:sz w:val="16"/>
          <w:szCs w:val="16"/>
        </w:rPr>
        <w:t xml:space="preserve"> </w:t>
      </w:r>
      <w:r w:rsidRPr="006C5144">
        <w:rPr>
          <w:rFonts w:ascii="Arial" w:hAnsi="Arial" w:cs="Arial"/>
          <w:sz w:val="16"/>
          <w:szCs w:val="16"/>
        </w:rPr>
        <w:t xml:space="preserve">3º da Lei Complementar 621/2012 c/c artigos </w:t>
      </w:r>
      <w:r>
        <w:rPr>
          <w:rFonts w:ascii="Arial" w:hAnsi="Arial" w:cs="Arial"/>
          <w:sz w:val="16"/>
          <w:szCs w:val="16"/>
        </w:rPr>
        <w:t xml:space="preserve">122, § 5º, 137, IV </w:t>
      </w:r>
      <w:r w:rsidRPr="006C5144">
        <w:rPr>
          <w:rFonts w:ascii="Arial" w:hAnsi="Arial" w:cs="Arial"/>
          <w:sz w:val="16"/>
          <w:szCs w:val="16"/>
        </w:rPr>
        <w:t xml:space="preserve">e 142 do RITCEES (aprovado pela Resolução TC-261/2013). </w:t>
      </w:r>
    </w:p>
  </w:footnote>
  <w:footnote w:id="2">
    <w:p w14:paraId="2CBF8B3A" w14:textId="77777777" w:rsidR="002049F4" w:rsidRPr="00FD1161" w:rsidRDefault="002049F4" w:rsidP="00EB5878">
      <w:pPr>
        <w:pStyle w:val="Textodenotaderodap"/>
        <w:rPr>
          <w:rFonts w:ascii="Arial" w:hAnsi="Arial" w:cs="Arial"/>
          <w:sz w:val="16"/>
          <w:szCs w:val="16"/>
        </w:rPr>
      </w:pPr>
      <w:r w:rsidRPr="00FD1161">
        <w:rPr>
          <w:rFonts w:ascii="Arial" w:hAnsi="Arial" w:cs="Arial"/>
          <w:sz w:val="16"/>
          <w:szCs w:val="16"/>
          <w:vertAlign w:val="superscript"/>
        </w:rPr>
        <w:footnoteRef/>
      </w:r>
      <w:r w:rsidRPr="00FD1161">
        <w:rPr>
          <w:rFonts w:ascii="Arial" w:hAnsi="Arial" w:cs="Arial"/>
          <w:sz w:val="16"/>
          <w:szCs w:val="16"/>
          <w:vertAlign w:val="superscript"/>
        </w:rPr>
        <w:t xml:space="preserve"> </w:t>
      </w:r>
      <w:r>
        <w:rPr>
          <w:rFonts w:ascii="Arial" w:hAnsi="Arial" w:cs="Arial"/>
          <w:sz w:val="16"/>
          <w:szCs w:val="16"/>
          <w:vertAlign w:val="superscript"/>
        </w:rPr>
        <w:t xml:space="preserve"> </w:t>
      </w:r>
      <w:r>
        <w:rPr>
          <w:rFonts w:ascii="Arial" w:hAnsi="Arial" w:cs="Arial"/>
          <w:sz w:val="16"/>
          <w:szCs w:val="16"/>
        </w:rPr>
        <w:t>Pode ser listado em anexos.</w:t>
      </w:r>
    </w:p>
  </w:footnote>
  <w:footnote w:id="3">
    <w:p w14:paraId="4B4CF6A4" w14:textId="77777777" w:rsidR="002049F4" w:rsidRPr="00FD1161" w:rsidRDefault="002049F4" w:rsidP="00EB5878">
      <w:pPr>
        <w:pStyle w:val="Textodenotaderodap"/>
        <w:jc w:val="both"/>
        <w:rPr>
          <w:rStyle w:val="Refdenotaderodap"/>
        </w:rPr>
      </w:pPr>
      <w:r>
        <w:rPr>
          <w:rStyle w:val="Refdenotaderodap"/>
        </w:rPr>
        <w:footnoteRef/>
      </w:r>
      <w:r>
        <w:t xml:space="preserve"> </w:t>
      </w:r>
      <w:r>
        <w:rPr>
          <w:rFonts w:ascii="Arial" w:hAnsi="Arial" w:cs="Arial"/>
          <w:sz w:val="16"/>
          <w:szCs w:val="16"/>
        </w:rPr>
        <w:t>Quando</w:t>
      </w:r>
      <w:r w:rsidRPr="002133DA">
        <w:rPr>
          <w:rFonts w:ascii="Arial" w:hAnsi="Arial" w:cs="Arial"/>
          <w:sz w:val="16"/>
          <w:szCs w:val="16"/>
        </w:rPr>
        <w:t xml:space="preserve"> possível, indicar a </w:t>
      </w:r>
      <w:r w:rsidRPr="00585A3B">
        <w:rPr>
          <w:rFonts w:ascii="Arial" w:hAnsi="Arial" w:cs="Arial"/>
          <w:sz w:val="16"/>
          <w:szCs w:val="16"/>
          <w:u w:val="single"/>
        </w:rPr>
        <w:t>totalidade</w:t>
      </w:r>
      <w:r>
        <w:rPr>
          <w:rFonts w:ascii="Arial" w:hAnsi="Arial" w:cs="Arial"/>
          <w:sz w:val="16"/>
          <w:szCs w:val="16"/>
        </w:rPr>
        <w:t xml:space="preserve"> de</w:t>
      </w:r>
      <w:r w:rsidRPr="002133DA">
        <w:rPr>
          <w:rFonts w:ascii="Arial" w:hAnsi="Arial" w:cs="Arial"/>
          <w:sz w:val="16"/>
          <w:szCs w:val="16"/>
        </w:rPr>
        <w:t xml:space="preserve"> recursos</w:t>
      </w:r>
      <w:r>
        <w:rPr>
          <w:rFonts w:ascii="Arial" w:hAnsi="Arial" w:cs="Arial"/>
          <w:sz w:val="16"/>
          <w:szCs w:val="16"/>
        </w:rPr>
        <w:t>, ou</w:t>
      </w:r>
      <w:r w:rsidRPr="002133DA">
        <w:rPr>
          <w:rFonts w:ascii="Arial" w:hAnsi="Arial" w:cs="Arial"/>
          <w:sz w:val="16"/>
          <w:szCs w:val="16"/>
        </w:rPr>
        <w:t xml:space="preserve"> processos</w:t>
      </w:r>
      <w:r>
        <w:rPr>
          <w:rFonts w:ascii="Arial" w:hAnsi="Arial" w:cs="Arial"/>
          <w:sz w:val="16"/>
          <w:szCs w:val="16"/>
        </w:rPr>
        <w:t>,</w:t>
      </w:r>
      <w:r w:rsidRPr="002133DA">
        <w:rPr>
          <w:rFonts w:ascii="Arial" w:hAnsi="Arial" w:cs="Arial"/>
          <w:sz w:val="16"/>
          <w:szCs w:val="16"/>
        </w:rPr>
        <w:t xml:space="preserve"> ou itens</w:t>
      </w:r>
      <w:r>
        <w:rPr>
          <w:rFonts w:ascii="Arial" w:hAnsi="Arial" w:cs="Arial"/>
          <w:sz w:val="16"/>
          <w:szCs w:val="16"/>
        </w:rPr>
        <w:t xml:space="preserve">, </w:t>
      </w:r>
      <w:r w:rsidRPr="002133DA">
        <w:rPr>
          <w:rFonts w:ascii="Arial" w:hAnsi="Arial" w:cs="Arial"/>
          <w:sz w:val="16"/>
          <w:szCs w:val="16"/>
        </w:rPr>
        <w:t>que compõe o objeto/ponto de controle no período analisado</w:t>
      </w:r>
      <w:r>
        <w:rPr>
          <w:rFonts w:ascii="Arial" w:hAnsi="Arial" w:cs="Arial"/>
          <w:sz w:val="16"/>
          <w:szCs w:val="16"/>
        </w:rPr>
        <w:t>.</w:t>
      </w:r>
    </w:p>
  </w:footnote>
  <w:footnote w:id="4">
    <w:p w14:paraId="629EC413" w14:textId="77777777" w:rsidR="002049F4" w:rsidRPr="00446140" w:rsidRDefault="002049F4" w:rsidP="00EB5878">
      <w:pPr>
        <w:pStyle w:val="Textodenotaderodap"/>
        <w:jc w:val="both"/>
        <w:rPr>
          <w:rFonts w:ascii="Arial" w:hAnsi="Arial" w:cs="Arial"/>
          <w:sz w:val="16"/>
          <w:szCs w:val="16"/>
        </w:rPr>
      </w:pPr>
      <w:r>
        <w:rPr>
          <w:rStyle w:val="Refdenotaderodap"/>
        </w:rPr>
        <w:footnoteRef/>
      </w:r>
      <w:r>
        <w:t xml:space="preserve"> </w:t>
      </w:r>
      <w:r>
        <w:rPr>
          <w:rFonts w:ascii="Arial" w:hAnsi="Arial" w:cs="Arial"/>
          <w:sz w:val="16"/>
          <w:szCs w:val="16"/>
        </w:rPr>
        <w:t>Quando</w:t>
      </w:r>
      <w:r w:rsidRPr="002133DA">
        <w:rPr>
          <w:rFonts w:ascii="Arial" w:hAnsi="Arial" w:cs="Arial"/>
          <w:sz w:val="16"/>
          <w:szCs w:val="16"/>
        </w:rPr>
        <w:t xml:space="preserve"> possível, indicar a quantidade de recursos</w:t>
      </w:r>
      <w:r>
        <w:rPr>
          <w:rFonts w:ascii="Arial" w:hAnsi="Arial" w:cs="Arial"/>
          <w:sz w:val="16"/>
          <w:szCs w:val="16"/>
        </w:rPr>
        <w:t>, ou</w:t>
      </w:r>
      <w:r w:rsidRPr="002133DA">
        <w:rPr>
          <w:rFonts w:ascii="Arial" w:hAnsi="Arial" w:cs="Arial"/>
          <w:sz w:val="16"/>
          <w:szCs w:val="16"/>
        </w:rPr>
        <w:t xml:space="preserve"> processos</w:t>
      </w:r>
      <w:r>
        <w:rPr>
          <w:rFonts w:ascii="Arial" w:hAnsi="Arial" w:cs="Arial"/>
          <w:sz w:val="16"/>
          <w:szCs w:val="16"/>
        </w:rPr>
        <w:t>,</w:t>
      </w:r>
      <w:r w:rsidRPr="002133DA">
        <w:rPr>
          <w:rFonts w:ascii="Arial" w:hAnsi="Arial" w:cs="Arial"/>
          <w:sz w:val="16"/>
          <w:szCs w:val="16"/>
        </w:rPr>
        <w:t xml:space="preserve"> ou itens</w:t>
      </w:r>
      <w:r>
        <w:rPr>
          <w:rFonts w:ascii="Arial" w:hAnsi="Arial" w:cs="Arial"/>
          <w:sz w:val="16"/>
          <w:szCs w:val="16"/>
        </w:rPr>
        <w:t xml:space="preserve">, </w:t>
      </w:r>
      <w:r w:rsidRPr="00585A3B">
        <w:rPr>
          <w:rFonts w:ascii="Arial" w:hAnsi="Arial" w:cs="Arial"/>
          <w:sz w:val="16"/>
          <w:szCs w:val="16"/>
          <w:u w:val="single"/>
        </w:rPr>
        <w:t>selecionados</w:t>
      </w:r>
      <w:r w:rsidRPr="002133DA">
        <w:rPr>
          <w:rFonts w:ascii="Arial" w:hAnsi="Arial" w:cs="Arial"/>
          <w:sz w:val="16"/>
          <w:szCs w:val="16"/>
        </w:rPr>
        <w:t xml:space="preserve"> para compor a amostra</w:t>
      </w:r>
      <w:r>
        <w:rPr>
          <w:rFonts w:ascii="Arial" w:hAnsi="Arial" w:cs="Arial"/>
          <w:sz w:val="16"/>
          <w:szCs w:val="16"/>
        </w:rPr>
        <w:t>.</w:t>
      </w:r>
    </w:p>
  </w:footnote>
  <w:footnote w:id="5">
    <w:p w14:paraId="7FD4E637" w14:textId="77777777" w:rsidR="002049F4" w:rsidRPr="00B15639" w:rsidRDefault="002049F4" w:rsidP="00EB5878">
      <w:pPr>
        <w:pStyle w:val="Textodenotaderodap"/>
        <w:rPr>
          <w:rFonts w:ascii="Arial" w:hAnsi="Arial" w:cs="Arial"/>
          <w:sz w:val="16"/>
          <w:szCs w:val="16"/>
        </w:rPr>
      </w:pPr>
      <w:r>
        <w:rPr>
          <w:rStyle w:val="Refdenotaderodap"/>
        </w:rPr>
        <w:footnoteRef/>
      </w:r>
      <w:r>
        <w:t xml:space="preserve"> </w:t>
      </w:r>
      <w:r w:rsidRPr="00A6213F">
        <w:rPr>
          <w:rFonts w:ascii="Arial" w:hAnsi="Arial" w:cs="Arial"/>
          <w:sz w:val="16"/>
          <w:szCs w:val="16"/>
        </w:rPr>
        <w:t>“O</w:t>
      </w:r>
      <w:r>
        <w:rPr>
          <w:rFonts w:ascii="Arial" w:hAnsi="Arial" w:cs="Arial"/>
          <w:sz w:val="16"/>
          <w:szCs w:val="16"/>
        </w:rPr>
        <w:t>RGÃO CENTRAL DE CONTROLE INTERNO” para os Municípios que não implantaram unidades executoras de controle interno.</w:t>
      </w:r>
    </w:p>
  </w:footnote>
  <w:footnote w:id="6">
    <w:p w14:paraId="2590B99A" w14:textId="77777777" w:rsidR="002049F4" w:rsidRDefault="002049F4" w:rsidP="00EB5878">
      <w:pPr>
        <w:pStyle w:val="Textodenotaderodap"/>
        <w:jc w:val="both"/>
      </w:pPr>
      <w:r w:rsidRPr="00E6682D">
        <w:rPr>
          <w:rStyle w:val="Refdenotaderodap"/>
          <w:rFonts w:ascii="Arial" w:hAnsi="Arial" w:cs="Arial"/>
          <w:sz w:val="16"/>
          <w:szCs w:val="16"/>
        </w:rPr>
        <w:footnoteRef/>
      </w:r>
      <w:r w:rsidRPr="00E6682D">
        <w:rPr>
          <w:rFonts w:ascii="Arial" w:hAnsi="Arial" w:cs="Arial"/>
          <w:sz w:val="16"/>
          <w:szCs w:val="16"/>
        </w:rPr>
        <w:t xml:space="preserve"> </w:t>
      </w:r>
      <w:r w:rsidRPr="006C5144">
        <w:rPr>
          <w:rFonts w:ascii="Arial" w:hAnsi="Arial" w:cs="Arial"/>
          <w:sz w:val="16"/>
          <w:szCs w:val="16"/>
        </w:rPr>
        <w:t>Artigos 82,</w:t>
      </w:r>
      <w:r>
        <w:rPr>
          <w:rFonts w:ascii="Arial" w:hAnsi="Arial" w:cs="Arial"/>
          <w:sz w:val="16"/>
          <w:szCs w:val="16"/>
        </w:rPr>
        <w:t xml:space="preserve"> </w:t>
      </w:r>
      <w:r w:rsidRPr="006C5144">
        <w:rPr>
          <w:rFonts w:ascii="Arial" w:hAnsi="Arial" w:cs="Arial"/>
          <w:sz w:val="16"/>
          <w:szCs w:val="16"/>
        </w:rPr>
        <w:t>§ 2º da Lei Complementar 621/2012 c/c artigos 135, §4º</w:t>
      </w:r>
      <w:r>
        <w:rPr>
          <w:rFonts w:ascii="Arial" w:hAnsi="Arial" w:cs="Arial"/>
          <w:sz w:val="16"/>
          <w:szCs w:val="16"/>
        </w:rPr>
        <w:t>, 137, IV</w:t>
      </w:r>
      <w:r w:rsidRPr="006C5144">
        <w:rPr>
          <w:rFonts w:ascii="Arial" w:hAnsi="Arial" w:cs="Arial"/>
          <w:sz w:val="16"/>
          <w:szCs w:val="16"/>
        </w:rPr>
        <w:t xml:space="preserve"> e 142 do RITCEES (aprovado pela Resolução TC-261/2013</w:t>
      </w:r>
    </w:p>
  </w:footnote>
  <w:footnote w:id="7">
    <w:p w14:paraId="3C2D18E5" w14:textId="77777777" w:rsidR="002049F4" w:rsidRPr="002133DA" w:rsidRDefault="002049F4" w:rsidP="00EB5878">
      <w:pPr>
        <w:pStyle w:val="Textodenotaderodap"/>
        <w:rPr>
          <w:rFonts w:ascii="Arial" w:hAnsi="Arial" w:cs="Arial"/>
          <w:sz w:val="16"/>
          <w:szCs w:val="16"/>
        </w:rPr>
      </w:pPr>
      <w:r w:rsidRPr="002133DA">
        <w:rPr>
          <w:rStyle w:val="Refdenotaderodap"/>
          <w:rFonts w:ascii="Arial" w:hAnsi="Arial" w:cs="Arial"/>
          <w:sz w:val="16"/>
          <w:szCs w:val="16"/>
        </w:rPr>
        <w:footnoteRef/>
      </w:r>
      <w:r w:rsidRPr="002133DA">
        <w:rPr>
          <w:rFonts w:ascii="Arial" w:hAnsi="Arial" w:cs="Arial"/>
          <w:sz w:val="16"/>
          <w:szCs w:val="16"/>
        </w:rPr>
        <w:t xml:space="preserve"> Pode ser listado em anexo</w:t>
      </w:r>
      <w:r>
        <w:rPr>
          <w:rFonts w:ascii="Arial" w:hAnsi="Arial" w:cs="Arial"/>
          <w:sz w:val="16"/>
          <w:szCs w:val="16"/>
        </w:rPr>
        <w:t>s</w:t>
      </w:r>
      <w:r w:rsidRPr="002133DA">
        <w:rPr>
          <w:rFonts w:ascii="Arial" w:hAnsi="Arial" w:cs="Arial"/>
          <w:sz w:val="16"/>
          <w:szCs w:val="16"/>
        </w:rPr>
        <w:t>.</w:t>
      </w:r>
    </w:p>
  </w:footnote>
  <w:footnote w:id="8">
    <w:p w14:paraId="2920DBC4" w14:textId="77777777" w:rsidR="002049F4" w:rsidRPr="002133DA" w:rsidRDefault="002049F4" w:rsidP="00EB5878">
      <w:pPr>
        <w:pStyle w:val="Textodenotaderodap"/>
        <w:rPr>
          <w:rFonts w:ascii="Arial" w:hAnsi="Arial" w:cs="Arial"/>
          <w:sz w:val="16"/>
          <w:szCs w:val="16"/>
        </w:rPr>
      </w:pPr>
      <w:r w:rsidRPr="002133DA">
        <w:rPr>
          <w:rStyle w:val="Refdenotaderodap"/>
          <w:rFonts w:ascii="Arial" w:hAnsi="Arial" w:cs="Arial"/>
          <w:sz w:val="16"/>
          <w:szCs w:val="16"/>
        </w:rPr>
        <w:footnoteRef/>
      </w:r>
      <w:r w:rsidRPr="002133DA">
        <w:rPr>
          <w:rFonts w:ascii="Arial" w:hAnsi="Arial" w:cs="Arial"/>
          <w:sz w:val="16"/>
          <w:szCs w:val="16"/>
        </w:rPr>
        <w:t xml:space="preserve"> </w:t>
      </w:r>
      <w:r>
        <w:rPr>
          <w:rFonts w:ascii="Arial" w:hAnsi="Arial" w:cs="Arial"/>
          <w:sz w:val="16"/>
          <w:szCs w:val="16"/>
        </w:rPr>
        <w:t>Quando</w:t>
      </w:r>
      <w:r w:rsidRPr="002133DA">
        <w:rPr>
          <w:rFonts w:ascii="Arial" w:hAnsi="Arial" w:cs="Arial"/>
          <w:sz w:val="16"/>
          <w:szCs w:val="16"/>
        </w:rPr>
        <w:t xml:space="preserve"> possível, indicar a </w:t>
      </w:r>
      <w:r w:rsidRPr="00585A3B">
        <w:rPr>
          <w:rFonts w:ascii="Arial" w:hAnsi="Arial" w:cs="Arial"/>
          <w:sz w:val="16"/>
          <w:szCs w:val="16"/>
          <w:u w:val="single"/>
        </w:rPr>
        <w:t>totalidade</w:t>
      </w:r>
      <w:r>
        <w:rPr>
          <w:rFonts w:ascii="Arial" w:hAnsi="Arial" w:cs="Arial"/>
          <w:sz w:val="16"/>
          <w:szCs w:val="16"/>
        </w:rPr>
        <w:t xml:space="preserve"> de</w:t>
      </w:r>
      <w:r w:rsidRPr="002133DA">
        <w:rPr>
          <w:rFonts w:ascii="Arial" w:hAnsi="Arial" w:cs="Arial"/>
          <w:sz w:val="16"/>
          <w:szCs w:val="16"/>
        </w:rPr>
        <w:t xml:space="preserve"> recursos</w:t>
      </w:r>
      <w:r>
        <w:rPr>
          <w:rFonts w:ascii="Arial" w:hAnsi="Arial" w:cs="Arial"/>
          <w:sz w:val="16"/>
          <w:szCs w:val="16"/>
        </w:rPr>
        <w:t>, ou</w:t>
      </w:r>
      <w:r w:rsidRPr="002133DA">
        <w:rPr>
          <w:rFonts w:ascii="Arial" w:hAnsi="Arial" w:cs="Arial"/>
          <w:sz w:val="16"/>
          <w:szCs w:val="16"/>
        </w:rPr>
        <w:t xml:space="preserve"> processos</w:t>
      </w:r>
      <w:r>
        <w:rPr>
          <w:rFonts w:ascii="Arial" w:hAnsi="Arial" w:cs="Arial"/>
          <w:sz w:val="16"/>
          <w:szCs w:val="16"/>
        </w:rPr>
        <w:t>,</w:t>
      </w:r>
      <w:r w:rsidRPr="002133DA">
        <w:rPr>
          <w:rFonts w:ascii="Arial" w:hAnsi="Arial" w:cs="Arial"/>
          <w:sz w:val="16"/>
          <w:szCs w:val="16"/>
        </w:rPr>
        <w:t xml:space="preserve"> ou itens</w:t>
      </w:r>
      <w:r>
        <w:rPr>
          <w:rFonts w:ascii="Arial" w:hAnsi="Arial" w:cs="Arial"/>
          <w:sz w:val="16"/>
          <w:szCs w:val="16"/>
        </w:rPr>
        <w:t xml:space="preserve">, </w:t>
      </w:r>
      <w:r w:rsidRPr="002133DA">
        <w:rPr>
          <w:rFonts w:ascii="Arial" w:hAnsi="Arial" w:cs="Arial"/>
          <w:sz w:val="16"/>
          <w:szCs w:val="16"/>
        </w:rPr>
        <w:t>que compõe o objeto/ponto de controle no período analisado.</w:t>
      </w:r>
    </w:p>
  </w:footnote>
  <w:footnote w:id="9">
    <w:p w14:paraId="6C9BA81F" w14:textId="77777777" w:rsidR="002049F4" w:rsidRPr="002133DA" w:rsidRDefault="002049F4" w:rsidP="00EB5878">
      <w:pPr>
        <w:pStyle w:val="Textodenotaderodap"/>
        <w:rPr>
          <w:rFonts w:ascii="Arial" w:hAnsi="Arial" w:cs="Arial"/>
          <w:sz w:val="16"/>
          <w:szCs w:val="16"/>
        </w:rPr>
      </w:pPr>
      <w:r w:rsidRPr="002133DA">
        <w:rPr>
          <w:rStyle w:val="Refdenotaderodap"/>
          <w:rFonts w:ascii="Arial" w:hAnsi="Arial" w:cs="Arial"/>
          <w:sz w:val="16"/>
          <w:szCs w:val="16"/>
        </w:rPr>
        <w:footnoteRef/>
      </w:r>
      <w:r w:rsidRPr="002133DA">
        <w:rPr>
          <w:rFonts w:ascii="Arial" w:hAnsi="Arial" w:cs="Arial"/>
          <w:sz w:val="16"/>
          <w:szCs w:val="16"/>
        </w:rPr>
        <w:t xml:space="preserve"> </w:t>
      </w:r>
      <w:r>
        <w:rPr>
          <w:rFonts w:ascii="Arial" w:hAnsi="Arial" w:cs="Arial"/>
          <w:sz w:val="16"/>
          <w:szCs w:val="16"/>
        </w:rPr>
        <w:t>Quando</w:t>
      </w:r>
      <w:r w:rsidRPr="002133DA">
        <w:rPr>
          <w:rFonts w:ascii="Arial" w:hAnsi="Arial" w:cs="Arial"/>
          <w:sz w:val="16"/>
          <w:szCs w:val="16"/>
        </w:rPr>
        <w:t xml:space="preserve"> possível, indicar a quantidade de recursos</w:t>
      </w:r>
      <w:r>
        <w:rPr>
          <w:rFonts w:ascii="Arial" w:hAnsi="Arial" w:cs="Arial"/>
          <w:sz w:val="16"/>
          <w:szCs w:val="16"/>
        </w:rPr>
        <w:t>, ou</w:t>
      </w:r>
      <w:r w:rsidRPr="002133DA">
        <w:rPr>
          <w:rFonts w:ascii="Arial" w:hAnsi="Arial" w:cs="Arial"/>
          <w:sz w:val="16"/>
          <w:szCs w:val="16"/>
        </w:rPr>
        <w:t xml:space="preserve"> processos</w:t>
      </w:r>
      <w:r>
        <w:rPr>
          <w:rFonts w:ascii="Arial" w:hAnsi="Arial" w:cs="Arial"/>
          <w:sz w:val="16"/>
          <w:szCs w:val="16"/>
        </w:rPr>
        <w:t>,</w:t>
      </w:r>
      <w:r w:rsidRPr="002133DA">
        <w:rPr>
          <w:rFonts w:ascii="Arial" w:hAnsi="Arial" w:cs="Arial"/>
          <w:sz w:val="16"/>
          <w:szCs w:val="16"/>
        </w:rPr>
        <w:t xml:space="preserve"> ou itens</w:t>
      </w:r>
      <w:r>
        <w:rPr>
          <w:rFonts w:ascii="Arial" w:hAnsi="Arial" w:cs="Arial"/>
          <w:sz w:val="16"/>
          <w:szCs w:val="16"/>
        </w:rPr>
        <w:t xml:space="preserve">, </w:t>
      </w:r>
      <w:r w:rsidRPr="00585A3B">
        <w:rPr>
          <w:rFonts w:ascii="Arial" w:hAnsi="Arial" w:cs="Arial"/>
          <w:sz w:val="16"/>
          <w:szCs w:val="16"/>
          <w:u w:val="single"/>
        </w:rPr>
        <w:t>selecionados</w:t>
      </w:r>
      <w:r w:rsidRPr="002133DA">
        <w:rPr>
          <w:rFonts w:ascii="Arial" w:hAnsi="Arial" w:cs="Arial"/>
          <w:sz w:val="16"/>
          <w:szCs w:val="16"/>
        </w:rPr>
        <w:t xml:space="preserve"> para compor a amostra.</w:t>
      </w:r>
    </w:p>
  </w:footnote>
  <w:footnote w:id="10">
    <w:p w14:paraId="2A8D96C3" w14:textId="77777777" w:rsidR="002049F4" w:rsidRDefault="002049F4" w:rsidP="00CE34D2">
      <w:pPr>
        <w:pStyle w:val="Textodenotaderodap"/>
        <w:jc w:val="both"/>
      </w:pPr>
      <w:r w:rsidRPr="00E6682D">
        <w:rPr>
          <w:rStyle w:val="Refdenotaderodap"/>
          <w:rFonts w:ascii="Arial" w:hAnsi="Arial" w:cs="Arial"/>
          <w:sz w:val="16"/>
          <w:szCs w:val="16"/>
        </w:rPr>
        <w:footnoteRef/>
      </w:r>
      <w:r w:rsidRPr="00E6682D">
        <w:rPr>
          <w:rFonts w:ascii="Arial" w:hAnsi="Arial" w:cs="Arial"/>
          <w:sz w:val="16"/>
          <w:szCs w:val="16"/>
        </w:rPr>
        <w:t xml:space="preserve"> </w:t>
      </w:r>
      <w:r w:rsidRPr="006C5144">
        <w:rPr>
          <w:rFonts w:ascii="Arial" w:hAnsi="Arial" w:cs="Arial"/>
          <w:sz w:val="16"/>
          <w:szCs w:val="16"/>
        </w:rPr>
        <w:t>Artigos 82,</w:t>
      </w:r>
      <w:r>
        <w:rPr>
          <w:rFonts w:ascii="Arial" w:hAnsi="Arial" w:cs="Arial"/>
          <w:sz w:val="16"/>
          <w:szCs w:val="16"/>
        </w:rPr>
        <w:t xml:space="preserve"> </w:t>
      </w:r>
      <w:r w:rsidRPr="006C5144">
        <w:rPr>
          <w:rFonts w:ascii="Arial" w:hAnsi="Arial" w:cs="Arial"/>
          <w:sz w:val="16"/>
          <w:szCs w:val="16"/>
        </w:rPr>
        <w:t>§ 2º da Lei Complementar 621/2012 c/c artigos 135, §4º</w:t>
      </w:r>
      <w:r>
        <w:rPr>
          <w:rFonts w:ascii="Arial" w:hAnsi="Arial" w:cs="Arial"/>
          <w:sz w:val="16"/>
          <w:szCs w:val="16"/>
        </w:rPr>
        <w:t>, 137, IV</w:t>
      </w:r>
      <w:r w:rsidRPr="006C5144">
        <w:rPr>
          <w:rFonts w:ascii="Arial" w:hAnsi="Arial" w:cs="Arial"/>
          <w:sz w:val="16"/>
          <w:szCs w:val="16"/>
        </w:rPr>
        <w:t xml:space="preserve"> e 142 do RITCEES (aprovado pela Resolução TC-261/2013</w:t>
      </w:r>
    </w:p>
  </w:footnote>
  <w:footnote w:id="11">
    <w:p w14:paraId="14DD8717" w14:textId="77777777" w:rsidR="002049F4" w:rsidRDefault="002049F4" w:rsidP="00CE34D2">
      <w:pPr>
        <w:pStyle w:val="Textodenotaderodap"/>
      </w:pPr>
      <w:r>
        <w:rPr>
          <w:rStyle w:val="Refdenotaderodap"/>
        </w:rPr>
        <w:footnoteRef/>
      </w:r>
      <w:r>
        <w:t xml:space="preserve"> </w:t>
      </w:r>
      <w:r w:rsidRPr="002133DA">
        <w:rPr>
          <w:rFonts w:ascii="Arial" w:hAnsi="Arial" w:cs="Arial"/>
          <w:sz w:val="16"/>
          <w:szCs w:val="16"/>
        </w:rPr>
        <w:t>Pode ser listado em anexo ao relatório.</w:t>
      </w:r>
    </w:p>
  </w:footnote>
  <w:footnote w:id="12">
    <w:p w14:paraId="11944571" w14:textId="77777777" w:rsidR="002049F4" w:rsidRDefault="002049F4" w:rsidP="00CE34D2">
      <w:pPr>
        <w:pStyle w:val="Textodenotaderodap"/>
        <w:jc w:val="both"/>
      </w:pPr>
      <w:r>
        <w:rPr>
          <w:rStyle w:val="Refdenotaderodap"/>
        </w:rPr>
        <w:footnoteRef/>
      </w:r>
      <w:r>
        <w:t xml:space="preserve"> </w:t>
      </w:r>
      <w:r>
        <w:rPr>
          <w:rFonts w:ascii="Arial" w:hAnsi="Arial" w:cs="Arial"/>
          <w:sz w:val="16"/>
          <w:szCs w:val="16"/>
        </w:rPr>
        <w:t>Quando</w:t>
      </w:r>
      <w:r w:rsidRPr="002133DA">
        <w:rPr>
          <w:rFonts w:ascii="Arial" w:hAnsi="Arial" w:cs="Arial"/>
          <w:sz w:val="16"/>
          <w:szCs w:val="16"/>
        </w:rPr>
        <w:t xml:space="preserve"> possível, indicar a </w:t>
      </w:r>
      <w:r w:rsidRPr="00585A3B">
        <w:rPr>
          <w:rFonts w:ascii="Arial" w:hAnsi="Arial" w:cs="Arial"/>
          <w:sz w:val="16"/>
          <w:szCs w:val="16"/>
          <w:u w:val="single"/>
        </w:rPr>
        <w:t>totalidade</w:t>
      </w:r>
      <w:r>
        <w:rPr>
          <w:rFonts w:ascii="Arial" w:hAnsi="Arial" w:cs="Arial"/>
          <w:sz w:val="16"/>
          <w:szCs w:val="16"/>
        </w:rPr>
        <w:t xml:space="preserve"> de</w:t>
      </w:r>
      <w:r w:rsidRPr="002133DA">
        <w:rPr>
          <w:rFonts w:ascii="Arial" w:hAnsi="Arial" w:cs="Arial"/>
          <w:sz w:val="16"/>
          <w:szCs w:val="16"/>
        </w:rPr>
        <w:t xml:space="preserve"> recursos</w:t>
      </w:r>
      <w:r>
        <w:rPr>
          <w:rFonts w:ascii="Arial" w:hAnsi="Arial" w:cs="Arial"/>
          <w:sz w:val="16"/>
          <w:szCs w:val="16"/>
        </w:rPr>
        <w:t>, ou</w:t>
      </w:r>
      <w:r w:rsidRPr="002133DA">
        <w:rPr>
          <w:rFonts w:ascii="Arial" w:hAnsi="Arial" w:cs="Arial"/>
          <w:sz w:val="16"/>
          <w:szCs w:val="16"/>
        </w:rPr>
        <w:t xml:space="preserve"> processos</w:t>
      </w:r>
      <w:r>
        <w:rPr>
          <w:rFonts w:ascii="Arial" w:hAnsi="Arial" w:cs="Arial"/>
          <w:sz w:val="16"/>
          <w:szCs w:val="16"/>
        </w:rPr>
        <w:t>,</w:t>
      </w:r>
      <w:r w:rsidRPr="002133DA">
        <w:rPr>
          <w:rFonts w:ascii="Arial" w:hAnsi="Arial" w:cs="Arial"/>
          <w:sz w:val="16"/>
          <w:szCs w:val="16"/>
        </w:rPr>
        <w:t xml:space="preserve"> ou itens</w:t>
      </w:r>
      <w:r>
        <w:rPr>
          <w:rFonts w:ascii="Arial" w:hAnsi="Arial" w:cs="Arial"/>
          <w:sz w:val="16"/>
          <w:szCs w:val="16"/>
        </w:rPr>
        <w:t xml:space="preserve">, </w:t>
      </w:r>
      <w:r w:rsidRPr="002133DA">
        <w:rPr>
          <w:rFonts w:ascii="Arial" w:hAnsi="Arial" w:cs="Arial"/>
          <w:sz w:val="16"/>
          <w:szCs w:val="16"/>
        </w:rPr>
        <w:t>que compõe o objeto/ponto de controle no período analisado.</w:t>
      </w:r>
    </w:p>
  </w:footnote>
  <w:footnote w:id="13">
    <w:p w14:paraId="0038A97E" w14:textId="77777777" w:rsidR="002049F4" w:rsidRDefault="002049F4" w:rsidP="00CE34D2">
      <w:pPr>
        <w:pStyle w:val="Textodenotaderodap"/>
        <w:jc w:val="both"/>
      </w:pPr>
      <w:r>
        <w:rPr>
          <w:rStyle w:val="Refdenotaderodap"/>
        </w:rPr>
        <w:footnoteRef/>
      </w:r>
      <w:r>
        <w:t xml:space="preserve"> </w:t>
      </w:r>
      <w:r>
        <w:rPr>
          <w:rFonts w:ascii="Arial" w:hAnsi="Arial" w:cs="Arial"/>
          <w:sz w:val="16"/>
          <w:szCs w:val="16"/>
        </w:rPr>
        <w:t>Quando</w:t>
      </w:r>
      <w:r w:rsidRPr="002133DA">
        <w:rPr>
          <w:rFonts w:ascii="Arial" w:hAnsi="Arial" w:cs="Arial"/>
          <w:sz w:val="16"/>
          <w:szCs w:val="16"/>
        </w:rPr>
        <w:t xml:space="preserve"> possível, indicar a quantidade de recursos</w:t>
      </w:r>
      <w:r>
        <w:rPr>
          <w:rFonts w:ascii="Arial" w:hAnsi="Arial" w:cs="Arial"/>
          <w:sz w:val="16"/>
          <w:szCs w:val="16"/>
        </w:rPr>
        <w:t>, ou</w:t>
      </w:r>
      <w:r w:rsidRPr="002133DA">
        <w:rPr>
          <w:rFonts w:ascii="Arial" w:hAnsi="Arial" w:cs="Arial"/>
          <w:sz w:val="16"/>
          <w:szCs w:val="16"/>
        </w:rPr>
        <w:t xml:space="preserve"> processos</w:t>
      </w:r>
      <w:r>
        <w:rPr>
          <w:rFonts w:ascii="Arial" w:hAnsi="Arial" w:cs="Arial"/>
          <w:sz w:val="16"/>
          <w:szCs w:val="16"/>
        </w:rPr>
        <w:t>,</w:t>
      </w:r>
      <w:r w:rsidRPr="002133DA">
        <w:rPr>
          <w:rFonts w:ascii="Arial" w:hAnsi="Arial" w:cs="Arial"/>
          <w:sz w:val="16"/>
          <w:szCs w:val="16"/>
        </w:rPr>
        <w:t xml:space="preserve"> ou itens</w:t>
      </w:r>
      <w:r>
        <w:rPr>
          <w:rFonts w:ascii="Arial" w:hAnsi="Arial" w:cs="Arial"/>
          <w:sz w:val="16"/>
          <w:szCs w:val="16"/>
        </w:rPr>
        <w:t xml:space="preserve">, </w:t>
      </w:r>
      <w:r w:rsidRPr="00585A3B">
        <w:rPr>
          <w:rFonts w:ascii="Arial" w:hAnsi="Arial" w:cs="Arial"/>
          <w:sz w:val="16"/>
          <w:szCs w:val="16"/>
          <w:u w:val="single"/>
        </w:rPr>
        <w:t>selecionados</w:t>
      </w:r>
      <w:r w:rsidRPr="002133DA">
        <w:rPr>
          <w:rFonts w:ascii="Arial" w:hAnsi="Arial" w:cs="Arial"/>
          <w:sz w:val="16"/>
          <w:szCs w:val="16"/>
        </w:rPr>
        <w:t xml:space="preserve"> para compor a amostra.</w:t>
      </w:r>
    </w:p>
  </w:footnote>
  <w:footnote w:id="14">
    <w:p w14:paraId="4EBA7784" w14:textId="77777777" w:rsidR="002049F4" w:rsidRPr="008A230E" w:rsidRDefault="002049F4" w:rsidP="00BB5697">
      <w:pPr>
        <w:pStyle w:val="Textodenotaderodap"/>
        <w:rPr>
          <w:rFonts w:ascii="Arial" w:hAnsi="Arial" w:cs="Arial"/>
          <w:sz w:val="18"/>
        </w:rPr>
      </w:pPr>
      <w:r w:rsidRPr="008A230E">
        <w:rPr>
          <w:rStyle w:val="Refdenotaderodap"/>
          <w:rFonts w:cs="Arial"/>
          <w:sz w:val="18"/>
        </w:rPr>
        <w:footnoteRef/>
      </w:r>
      <w:r w:rsidRPr="008A230E">
        <w:rPr>
          <w:rFonts w:ascii="Arial" w:hAnsi="Arial" w:cs="Arial"/>
          <w:sz w:val="18"/>
        </w:rPr>
        <w:t xml:space="preserve"> Contribuição [Patronal, Servidor], Multas e Juros, Parcelamentos, Aporte Financeiro e/ou Aporte Atuarial.  </w:t>
      </w:r>
    </w:p>
  </w:footnote>
  <w:footnote w:id="15">
    <w:p w14:paraId="6287DAEB" w14:textId="77777777" w:rsidR="002049F4" w:rsidRPr="008A230E" w:rsidRDefault="002049F4" w:rsidP="00BB5697">
      <w:pPr>
        <w:pStyle w:val="Textodenotaderodap"/>
        <w:rPr>
          <w:rFonts w:ascii="Arial" w:hAnsi="Arial" w:cs="Arial"/>
          <w:sz w:val="18"/>
        </w:rPr>
      </w:pPr>
      <w:r w:rsidRPr="008A230E">
        <w:rPr>
          <w:rStyle w:val="Refdenotaderodap"/>
          <w:rFonts w:cs="Arial"/>
          <w:sz w:val="18"/>
        </w:rPr>
        <w:footnoteRef/>
      </w:r>
      <w:r w:rsidRPr="008A230E">
        <w:rPr>
          <w:rFonts w:ascii="Arial" w:hAnsi="Arial" w:cs="Arial"/>
          <w:sz w:val="18"/>
        </w:rPr>
        <w:t xml:space="preserve"> Atualizado até 31/12/[ano de competência da PCA] </w:t>
      </w:r>
    </w:p>
  </w:footnote>
  <w:footnote w:id="16">
    <w:p w14:paraId="10E64CA7" w14:textId="77777777" w:rsidR="002049F4" w:rsidRDefault="002049F4" w:rsidP="00BB5697">
      <w:pPr>
        <w:pStyle w:val="Textodenotaderodap"/>
      </w:pPr>
      <w:r w:rsidRPr="008A230E">
        <w:rPr>
          <w:rStyle w:val="Refdenotaderodap"/>
          <w:rFonts w:cs="Arial"/>
          <w:sz w:val="18"/>
        </w:rPr>
        <w:footnoteRef/>
      </w:r>
      <w:r w:rsidRPr="008A230E">
        <w:rPr>
          <w:rFonts w:ascii="Arial" w:hAnsi="Arial" w:cs="Arial"/>
          <w:sz w:val="18"/>
        </w:rPr>
        <w:t xml:space="preserve"> Evidenciar a conta contábil em que este Direito a Receber encontra-se registrado nas Demonstrações Contábeis do RPPS.</w:t>
      </w:r>
      <w:r w:rsidRPr="008A230E">
        <w:rPr>
          <w:sz w:val="18"/>
        </w:rPr>
        <w:t xml:space="preserve">  </w:t>
      </w:r>
    </w:p>
  </w:footnote>
  <w:footnote w:id="17">
    <w:p w14:paraId="6E176FFE" w14:textId="77777777" w:rsidR="002049F4" w:rsidRPr="009251D0" w:rsidRDefault="002049F4" w:rsidP="00BB5697">
      <w:pPr>
        <w:pStyle w:val="Textodenotaderodap"/>
        <w:rPr>
          <w:lang w:val="pt-BR"/>
        </w:rPr>
      </w:pPr>
      <w:r>
        <w:rPr>
          <w:rStyle w:val="Refdenotaderodap"/>
        </w:rPr>
        <w:footnoteRef/>
      </w:r>
      <w:r>
        <w:t xml:space="preserve"> Somente para municípios que tenham decreto de calamidade pública aprovado pela Assembleia Legislativa.</w:t>
      </w:r>
    </w:p>
  </w:footnote>
  <w:footnote w:id="18">
    <w:p w14:paraId="14304E80" w14:textId="77777777" w:rsidR="002049F4" w:rsidRDefault="002049F4" w:rsidP="00BB5697">
      <w:pPr>
        <w:pStyle w:val="Textodenotaderodap"/>
      </w:pPr>
      <w:r>
        <w:rPr>
          <w:rStyle w:val="Refdenotaderodap"/>
          <w:rFonts w:eastAsia="Calibri"/>
        </w:rPr>
        <w:footnoteRef/>
      </w:r>
      <w:r>
        <w:t xml:space="preserve"> No caso das receitas de contribuições informar a base de cálculo.</w:t>
      </w:r>
    </w:p>
  </w:footnote>
  <w:footnote w:id="19">
    <w:p w14:paraId="1C403548" w14:textId="77777777" w:rsidR="002049F4" w:rsidRDefault="002049F4" w:rsidP="00BB5697">
      <w:pPr>
        <w:pStyle w:val="Textodenotaderodap"/>
      </w:pPr>
      <w:r>
        <w:rPr>
          <w:rStyle w:val="Refdenotaderodap"/>
          <w:rFonts w:eastAsia="Calibri"/>
        </w:rPr>
        <w:footnoteRef/>
      </w:r>
      <w:r>
        <w:t xml:space="preserve"> Conta de Ativo Circulante.</w:t>
      </w:r>
    </w:p>
  </w:footnote>
  <w:footnote w:id="20">
    <w:p w14:paraId="6648C825" w14:textId="77777777" w:rsidR="002049F4" w:rsidRDefault="002049F4" w:rsidP="00BB5697">
      <w:pPr>
        <w:pStyle w:val="Textodenotaderodap"/>
        <w:jc w:val="both"/>
      </w:pPr>
      <w:r>
        <w:rPr>
          <w:rStyle w:val="Refdenotaderodap"/>
          <w:rFonts w:eastAsia="Calibri"/>
        </w:rPr>
        <w:footnoteRef/>
      </w:r>
      <w:r>
        <w:t xml:space="preserve"> Contribuição [Patronal, Servidor], Multas e Juros, Parcelamentos, Aporte Financeiro e/ou Aporte Atuarial.</w:t>
      </w:r>
    </w:p>
  </w:footnote>
  <w:footnote w:id="21">
    <w:p w14:paraId="11332E1A" w14:textId="77777777" w:rsidR="002049F4" w:rsidRDefault="002049F4" w:rsidP="00BB5697">
      <w:pPr>
        <w:pStyle w:val="Textodenotaderodap"/>
        <w:jc w:val="both"/>
      </w:pPr>
      <w:r>
        <w:rPr>
          <w:rStyle w:val="Refdenotaderodap"/>
          <w:rFonts w:eastAsia="Calibri"/>
        </w:rPr>
        <w:footnoteRef/>
      </w:r>
      <w:r>
        <w:t xml:space="preserve"> Atualizado até 31/12/[ano de competência da PCA]</w:t>
      </w:r>
    </w:p>
  </w:footnote>
  <w:footnote w:id="22">
    <w:p w14:paraId="737C5C2E" w14:textId="77777777" w:rsidR="002049F4" w:rsidRDefault="002049F4" w:rsidP="00BB5697">
      <w:pPr>
        <w:pStyle w:val="Textodenotaderodap"/>
        <w:jc w:val="both"/>
      </w:pPr>
      <w:r>
        <w:rPr>
          <w:rStyle w:val="Refdenotaderodap"/>
          <w:rFonts w:eastAsia="Calibri"/>
        </w:rPr>
        <w:footnoteRef/>
      </w:r>
      <w:r>
        <w:t xml:space="preserve"> Evidenciar a conta contábil em que este Direito a Receber encontra-se registrado nas Demonstrações Contábeis do RPPS.</w:t>
      </w:r>
    </w:p>
  </w:footnote>
  <w:footnote w:id="23">
    <w:p w14:paraId="04E94E85" w14:textId="77777777" w:rsidR="002049F4" w:rsidRPr="00D21AB0" w:rsidRDefault="002049F4" w:rsidP="00BB5697">
      <w:pPr>
        <w:spacing w:after="0" w:line="240" w:lineRule="auto"/>
      </w:pPr>
      <w:r>
        <w:rPr>
          <w:rStyle w:val="Refdenotaderodap"/>
        </w:rPr>
        <w:footnoteRef/>
      </w:r>
      <w:r>
        <w:t xml:space="preserve"> </w:t>
      </w:r>
      <w:r w:rsidRPr="009942A5">
        <w:rPr>
          <w:rFonts w:ascii="Arial" w:eastAsia="Times New Roman" w:hAnsi="Arial" w:cs="Arial"/>
          <w:color w:val="000000"/>
          <w:sz w:val="16"/>
          <w:szCs w:val="16"/>
          <w:lang w:eastAsia="pt-BR"/>
        </w:rPr>
        <w:t>Contribuição Patronal e/ou Contribuição Servidor.</w:t>
      </w:r>
    </w:p>
  </w:footnote>
  <w:footnote w:id="24">
    <w:p w14:paraId="0575F6E6" w14:textId="77777777" w:rsidR="002049F4" w:rsidRPr="00D21AB0" w:rsidRDefault="002049F4" w:rsidP="00BB5697">
      <w:pPr>
        <w:spacing w:after="0" w:line="240" w:lineRule="auto"/>
        <w:rPr>
          <w:lang w:val="x-none"/>
        </w:rPr>
      </w:pPr>
      <w:r>
        <w:rPr>
          <w:rStyle w:val="Refdenotaderodap"/>
        </w:rPr>
        <w:footnoteRef/>
      </w:r>
      <w:r>
        <w:t xml:space="preserve"> </w:t>
      </w:r>
      <w:r w:rsidRPr="009942A5">
        <w:rPr>
          <w:rFonts w:ascii="Arial" w:eastAsia="Times New Roman" w:hAnsi="Arial" w:cs="Arial"/>
          <w:color w:val="000000"/>
          <w:sz w:val="16"/>
          <w:szCs w:val="16"/>
          <w:lang w:eastAsia="pt-BR"/>
        </w:rPr>
        <w:t xml:space="preserve">No extrato, trazer as informações desde a data de assinatura do parcelamento. Apresentar um extrato por parcelamento. </w:t>
      </w:r>
    </w:p>
  </w:footnote>
  <w:footnote w:id="25">
    <w:p w14:paraId="198D79F9" w14:textId="77777777" w:rsidR="002049F4" w:rsidRPr="00D21AB0" w:rsidRDefault="002049F4" w:rsidP="00BB5697">
      <w:pPr>
        <w:spacing w:after="0" w:line="240" w:lineRule="auto"/>
        <w:rPr>
          <w:lang w:val="x-none"/>
        </w:rPr>
      </w:pPr>
      <w:r>
        <w:rPr>
          <w:rStyle w:val="Refdenotaderodap"/>
        </w:rPr>
        <w:footnoteRef/>
      </w:r>
      <w:r>
        <w:t xml:space="preserve"> </w:t>
      </w:r>
      <w:r w:rsidRPr="009942A5">
        <w:rPr>
          <w:rFonts w:ascii="Arial" w:eastAsia="Times New Roman" w:hAnsi="Arial" w:cs="Arial"/>
          <w:color w:val="000000"/>
          <w:sz w:val="16"/>
          <w:szCs w:val="16"/>
          <w:lang w:eastAsia="pt-BR"/>
        </w:rPr>
        <w:t xml:space="preserve">Compreende o saldo devedor incial apurado na data da assinatura do parcelamento. Deve corresponder com o valor disposto na coluna 'saldo devedor para o mês seguinte' da competência anterior, constituindo o saldo a ser registrado no ativo da entidade como </w:t>
      </w:r>
      <w:r w:rsidRPr="009942A5">
        <w:rPr>
          <w:rFonts w:ascii="Arial" w:eastAsia="Times New Roman" w:hAnsi="Arial" w:cs="Arial"/>
          <w:b/>
          <w:bCs/>
          <w:color w:val="000000"/>
          <w:sz w:val="16"/>
          <w:szCs w:val="16"/>
          <w:lang w:eastAsia="pt-BR"/>
        </w:rPr>
        <w:t>direito a receber</w:t>
      </w:r>
      <w:r w:rsidRPr="009942A5">
        <w:rPr>
          <w:rFonts w:ascii="Arial" w:eastAsia="Times New Roman" w:hAnsi="Arial" w:cs="Arial"/>
          <w:color w:val="000000"/>
          <w:sz w:val="16"/>
          <w:szCs w:val="16"/>
          <w:lang w:eastAsia="pt-BR"/>
        </w:rPr>
        <w:t>.</w:t>
      </w:r>
    </w:p>
  </w:footnote>
  <w:footnote w:id="26">
    <w:p w14:paraId="638D0392" w14:textId="77777777" w:rsidR="002049F4" w:rsidRPr="003B2AF4" w:rsidRDefault="002049F4" w:rsidP="00BB5697">
      <w:pPr>
        <w:spacing w:after="0" w:line="240" w:lineRule="auto"/>
      </w:pPr>
      <w:r>
        <w:rPr>
          <w:rStyle w:val="Refdenotaderodap"/>
        </w:rPr>
        <w:footnoteRef/>
      </w:r>
      <w:r>
        <w:t xml:space="preserve"> </w:t>
      </w:r>
      <w:r w:rsidRPr="009942A5">
        <w:rPr>
          <w:rFonts w:ascii="Arial" w:eastAsia="Times New Roman" w:hAnsi="Arial" w:cs="Arial"/>
          <w:color w:val="000000"/>
          <w:sz w:val="16"/>
          <w:szCs w:val="16"/>
          <w:lang w:eastAsia="pt-BR"/>
        </w:rPr>
        <w:t xml:space="preserve">Compreende o valor da atualização monetária do saldo devedor, ensejando o registro por competência de uma </w:t>
      </w:r>
      <w:r w:rsidRPr="009942A5">
        <w:rPr>
          <w:rFonts w:ascii="Arial" w:eastAsia="Times New Roman" w:hAnsi="Arial" w:cs="Arial"/>
          <w:b/>
          <w:bCs/>
          <w:color w:val="000000"/>
          <w:sz w:val="16"/>
          <w:szCs w:val="16"/>
          <w:lang w:eastAsia="pt-BR"/>
        </w:rPr>
        <w:t xml:space="preserve">Variação Patrimonial Aumentativa </w:t>
      </w:r>
      <w:r>
        <w:rPr>
          <w:rFonts w:ascii="Arial" w:eastAsia="Times New Roman" w:hAnsi="Arial" w:cs="Arial"/>
          <w:b/>
          <w:bCs/>
          <w:color w:val="000000"/>
          <w:sz w:val="16"/>
          <w:szCs w:val="16"/>
          <w:lang w:eastAsia="pt-BR"/>
        </w:rPr>
        <w:t>(</w:t>
      </w:r>
      <w:r w:rsidRPr="009942A5">
        <w:rPr>
          <w:rFonts w:ascii="Arial" w:eastAsia="Times New Roman" w:hAnsi="Arial" w:cs="Arial"/>
          <w:b/>
          <w:bCs/>
          <w:color w:val="000000"/>
          <w:sz w:val="16"/>
          <w:szCs w:val="16"/>
          <w:lang w:eastAsia="pt-BR"/>
        </w:rPr>
        <w:t>VPA</w:t>
      </w:r>
      <w:r>
        <w:rPr>
          <w:rFonts w:ascii="Arial" w:eastAsia="Times New Roman" w:hAnsi="Arial" w:cs="Arial"/>
          <w:b/>
          <w:bCs/>
          <w:color w:val="000000"/>
          <w:sz w:val="16"/>
          <w:szCs w:val="16"/>
          <w:lang w:eastAsia="pt-BR"/>
        </w:rPr>
        <w:t xml:space="preserve"> Atualização)</w:t>
      </w:r>
      <w:r w:rsidRPr="009942A5">
        <w:rPr>
          <w:rFonts w:ascii="Arial" w:eastAsia="Times New Roman" w:hAnsi="Arial" w:cs="Arial"/>
          <w:color w:val="000000"/>
          <w:sz w:val="16"/>
          <w:szCs w:val="16"/>
          <w:lang w:eastAsia="pt-BR"/>
        </w:rPr>
        <w:t>.</w:t>
      </w:r>
    </w:p>
  </w:footnote>
  <w:footnote w:id="27">
    <w:p w14:paraId="33CEE822" w14:textId="77777777" w:rsidR="002049F4" w:rsidRPr="003B2AF4" w:rsidRDefault="002049F4" w:rsidP="00BB5697">
      <w:pPr>
        <w:spacing w:after="0" w:line="240" w:lineRule="auto"/>
      </w:pPr>
      <w:r>
        <w:rPr>
          <w:rStyle w:val="Refdenotaderodap"/>
        </w:rPr>
        <w:footnoteRef/>
      </w:r>
      <w:r>
        <w:t xml:space="preserve"> </w:t>
      </w:r>
      <w:r w:rsidRPr="009942A5">
        <w:rPr>
          <w:rFonts w:ascii="Arial" w:eastAsia="Times New Roman" w:hAnsi="Arial" w:cs="Arial"/>
          <w:color w:val="000000"/>
          <w:sz w:val="16"/>
          <w:szCs w:val="16"/>
          <w:lang w:eastAsia="pt-BR"/>
        </w:rPr>
        <w:t xml:space="preserve">Compreende o valor dos juros moratórios incidentes sobre o saldo devedor, ensejando o registro por competência de uma </w:t>
      </w:r>
      <w:r w:rsidRPr="009942A5">
        <w:rPr>
          <w:rFonts w:ascii="Arial" w:eastAsia="Times New Roman" w:hAnsi="Arial" w:cs="Arial"/>
          <w:b/>
          <w:bCs/>
          <w:color w:val="000000"/>
          <w:sz w:val="16"/>
          <w:szCs w:val="16"/>
          <w:lang w:eastAsia="pt-BR"/>
        </w:rPr>
        <w:t xml:space="preserve">Variação Patrimonial Aumentativa </w:t>
      </w:r>
      <w:r>
        <w:rPr>
          <w:rFonts w:ascii="Arial" w:eastAsia="Times New Roman" w:hAnsi="Arial" w:cs="Arial"/>
          <w:b/>
          <w:bCs/>
          <w:color w:val="000000"/>
          <w:sz w:val="16"/>
          <w:szCs w:val="16"/>
          <w:lang w:eastAsia="pt-BR"/>
        </w:rPr>
        <w:t>(</w:t>
      </w:r>
      <w:r w:rsidRPr="009942A5">
        <w:rPr>
          <w:rFonts w:ascii="Arial" w:eastAsia="Times New Roman" w:hAnsi="Arial" w:cs="Arial"/>
          <w:b/>
          <w:bCs/>
          <w:color w:val="000000"/>
          <w:sz w:val="16"/>
          <w:szCs w:val="16"/>
          <w:lang w:eastAsia="pt-BR"/>
        </w:rPr>
        <w:t>VPA</w:t>
      </w:r>
      <w:r>
        <w:rPr>
          <w:rFonts w:ascii="Arial" w:eastAsia="Times New Roman" w:hAnsi="Arial" w:cs="Arial"/>
          <w:b/>
          <w:bCs/>
          <w:color w:val="000000"/>
          <w:sz w:val="16"/>
          <w:szCs w:val="16"/>
          <w:lang w:eastAsia="pt-BR"/>
        </w:rPr>
        <w:t xml:space="preserve"> Juros)</w:t>
      </w:r>
      <w:r w:rsidRPr="009942A5">
        <w:rPr>
          <w:rFonts w:ascii="Arial" w:eastAsia="Times New Roman" w:hAnsi="Arial" w:cs="Arial"/>
          <w:color w:val="000000"/>
          <w:sz w:val="16"/>
          <w:szCs w:val="16"/>
          <w:lang w:eastAsia="pt-BR"/>
        </w:rPr>
        <w:t>.</w:t>
      </w:r>
    </w:p>
  </w:footnote>
  <w:footnote w:id="28">
    <w:p w14:paraId="23AC3001" w14:textId="77777777" w:rsidR="002049F4" w:rsidRPr="003B2AF4" w:rsidRDefault="002049F4" w:rsidP="00BB5697">
      <w:pPr>
        <w:pStyle w:val="Textodenotaderodap"/>
      </w:pPr>
      <w:r>
        <w:rPr>
          <w:rStyle w:val="Refdenotaderodap"/>
        </w:rPr>
        <w:footnoteRef/>
      </w:r>
      <w:r>
        <w:t xml:space="preserve"> </w:t>
      </w:r>
      <w:r w:rsidRPr="009942A5">
        <w:rPr>
          <w:rFonts w:ascii="Arial" w:hAnsi="Arial" w:cs="Arial"/>
          <w:color w:val="000000"/>
          <w:sz w:val="16"/>
          <w:szCs w:val="16"/>
          <w:lang w:eastAsia="pt-BR"/>
        </w:rPr>
        <w:t>Compreende o valor principal da parcela. Deve corresponder com o valor disposto na coluna 'valor total pago' da competência anterior.</w:t>
      </w:r>
    </w:p>
  </w:footnote>
  <w:footnote w:id="29">
    <w:p w14:paraId="1FBA4D10" w14:textId="77777777" w:rsidR="002049F4" w:rsidRPr="003B2AF4" w:rsidRDefault="002049F4" w:rsidP="00BB5697">
      <w:pPr>
        <w:spacing w:after="0" w:line="240" w:lineRule="auto"/>
      </w:pPr>
      <w:r>
        <w:rPr>
          <w:rStyle w:val="Refdenotaderodap"/>
        </w:rPr>
        <w:footnoteRef/>
      </w:r>
      <w:r>
        <w:t xml:space="preserve"> </w:t>
      </w:r>
      <w:r w:rsidRPr="009942A5">
        <w:rPr>
          <w:rFonts w:ascii="Arial" w:eastAsia="Times New Roman" w:hAnsi="Arial" w:cs="Arial"/>
          <w:color w:val="000000"/>
          <w:sz w:val="16"/>
          <w:szCs w:val="16"/>
          <w:lang w:eastAsia="pt-BR"/>
        </w:rPr>
        <w:t>Compreende o valor da atualização da parcela, obedecendo a seguinte fórmula: G = B * F</w:t>
      </w:r>
    </w:p>
  </w:footnote>
  <w:footnote w:id="30">
    <w:p w14:paraId="492B2937" w14:textId="77777777" w:rsidR="002049F4" w:rsidRPr="003B2AF4" w:rsidRDefault="002049F4" w:rsidP="00BB5697">
      <w:pPr>
        <w:spacing w:after="0" w:line="240" w:lineRule="auto"/>
      </w:pPr>
      <w:r>
        <w:rPr>
          <w:rStyle w:val="Refdenotaderodap"/>
        </w:rPr>
        <w:footnoteRef/>
      </w:r>
      <w:r>
        <w:t xml:space="preserve"> </w:t>
      </w:r>
      <w:r w:rsidRPr="009942A5">
        <w:rPr>
          <w:rFonts w:ascii="Arial" w:eastAsia="Times New Roman" w:hAnsi="Arial" w:cs="Arial"/>
          <w:color w:val="000000"/>
          <w:sz w:val="16"/>
          <w:szCs w:val="16"/>
          <w:lang w:eastAsia="pt-BR"/>
        </w:rPr>
        <w:t>Compreende o valor dos juros da parcela, obedecendo a seguinte fórmula: H = D * F</w:t>
      </w:r>
    </w:p>
  </w:footnote>
  <w:footnote w:id="31">
    <w:p w14:paraId="17D90AFC" w14:textId="77777777" w:rsidR="002049F4" w:rsidRPr="003B2AF4" w:rsidRDefault="002049F4" w:rsidP="00BB5697">
      <w:pPr>
        <w:spacing w:after="0" w:line="240" w:lineRule="auto"/>
        <w:rPr>
          <w:lang w:val="x-none"/>
        </w:rPr>
      </w:pPr>
      <w:r>
        <w:rPr>
          <w:rStyle w:val="Refdenotaderodap"/>
        </w:rPr>
        <w:footnoteRef/>
      </w:r>
      <w:r>
        <w:t xml:space="preserve"> </w:t>
      </w:r>
      <w:r w:rsidRPr="009942A5">
        <w:rPr>
          <w:rFonts w:ascii="Arial" w:eastAsia="Times New Roman" w:hAnsi="Arial" w:cs="Arial"/>
          <w:color w:val="000000"/>
          <w:sz w:val="16"/>
          <w:szCs w:val="16"/>
          <w:lang w:eastAsia="pt-BR"/>
        </w:rPr>
        <w:t xml:space="preserve">Compreende o somatório do valor principal da parcela, o valor da atualização monetária da parcela e o valor dos juros sobre a parcela, constituindo o saldo a ser registrado como </w:t>
      </w:r>
      <w:r w:rsidRPr="009942A5">
        <w:rPr>
          <w:rFonts w:ascii="Arial" w:eastAsia="Times New Roman" w:hAnsi="Arial" w:cs="Arial"/>
          <w:b/>
          <w:bCs/>
          <w:color w:val="000000"/>
          <w:sz w:val="16"/>
          <w:szCs w:val="16"/>
          <w:lang w:eastAsia="pt-BR"/>
        </w:rPr>
        <w:t>baixa no direito a receber</w:t>
      </w:r>
      <w:r w:rsidRPr="009942A5">
        <w:rPr>
          <w:rFonts w:ascii="Arial" w:eastAsia="Times New Roman" w:hAnsi="Arial" w:cs="Arial"/>
          <w:color w:val="000000"/>
          <w:sz w:val="16"/>
          <w:szCs w:val="16"/>
          <w:lang w:eastAsia="pt-BR"/>
        </w:rPr>
        <w:t>, obedecendo a seguinte fórmula: I = F + G + H</w:t>
      </w:r>
    </w:p>
  </w:footnote>
  <w:footnote w:id="32">
    <w:p w14:paraId="7C871D84" w14:textId="77777777" w:rsidR="002049F4" w:rsidRPr="003B2AF4" w:rsidRDefault="002049F4" w:rsidP="00BB5697">
      <w:pPr>
        <w:pStyle w:val="Textodenotaderodap"/>
        <w:rPr>
          <w:lang w:val="pt-BR"/>
        </w:rPr>
      </w:pPr>
      <w:r>
        <w:rPr>
          <w:rStyle w:val="Refdenotaderodap"/>
        </w:rPr>
        <w:footnoteRef/>
      </w:r>
      <w:r>
        <w:t xml:space="preserve"> </w:t>
      </w:r>
      <w:r w:rsidRPr="009942A5">
        <w:rPr>
          <w:rFonts w:ascii="Arial" w:hAnsi="Arial" w:cs="Arial"/>
          <w:color w:val="000000"/>
          <w:sz w:val="16"/>
          <w:szCs w:val="16"/>
          <w:lang w:eastAsia="pt-BR"/>
        </w:rPr>
        <w:t>O saldo devedor para o mês seguinte corresponde ao valor total pago multiplicado pela quantidade de parcelas restantes até o final do parcelamento</w:t>
      </w:r>
      <w:r>
        <w:rPr>
          <w:rFonts w:ascii="Arial" w:hAnsi="Arial" w:cs="Arial"/>
          <w:color w:val="000000"/>
          <w:sz w:val="16"/>
          <w:szCs w:val="16"/>
          <w:lang w:val="pt-BR" w:eastAsia="pt-BR"/>
        </w:rPr>
        <w:t>.</w:t>
      </w:r>
    </w:p>
  </w:footnote>
  <w:footnote w:id="33">
    <w:p w14:paraId="66844517" w14:textId="77777777" w:rsidR="002049F4" w:rsidRDefault="002049F4" w:rsidP="00BB5697">
      <w:pPr>
        <w:pStyle w:val="Textodenotaderodap"/>
      </w:pPr>
      <w:r>
        <w:rPr>
          <w:rStyle w:val="Refdenotaderodap"/>
          <w:rFonts w:eastAsia="Calibri"/>
        </w:rPr>
        <w:footnoteRef/>
      </w:r>
      <w:r>
        <w:t xml:space="preserve"> Aposentadoria [detalhar tipo], Pensão, Complementação de Aposentadoria, etc.</w:t>
      </w:r>
    </w:p>
  </w:footnote>
  <w:footnote w:id="34">
    <w:p w14:paraId="7B5B722C" w14:textId="77777777" w:rsidR="002049F4" w:rsidRDefault="002049F4" w:rsidP="00BB5697">
      <w:pPr>
        <w:pStyle w:val="Textodenotaderodap"/>
      </w:pPr>
      <w:r>
        <w:rPr>
          <w:rStyle w:val="Refdenotaderodap"/>
          <w:rFonts w:eastAsia="Calibri"/>
        </w:rPr>
        <w:footnoteRef/>
      </w:r>
      <w:r>
        <w:t xml:space="preserve"> Legislação que regulamentou a concessão deste benefício.</w:t>
      </w:r>
    </w:p>
  </w:footnote>
  <w:footnote w:id="35">
    <w:p w14:paraId="7E37F49F" w14:textId="77777777" w:rsidR="002049F4" w:rsidRDefault="002049F4" w:rsidP="00BB5697">
      <w:pPr>
        <w:pStyle w:val="Textodenotaderodap"/>
      </w:pPr>
      <w:r>
        <w:rPr>
          <w:rStyle w:val="Refdenotaderodap"/>
          <w:rFonts w:eastAsia="Calibri"/>
        </w:rPr>
        <w:footnoteRef/>
      </w:r>
      <w:r>
        <w:t xml:space="preserve"> Valor do Benefício à época de sua concessão.</w:t>
      </w:r>
    </w:p>
  </w:footnote>
  <w:footnote w:id="36">
    <w:p w14:paraId="43B074AB" w14:textId="77777777" w:rsidR="002049F4" w:rsidRDefault="002049F4" w:rsidP="00BB5697">
      <w:pPr>
        <w:pStyle w:val="Textodenotaderodap"/>
      </w:pPr>
      <w:r>
        <w:rPr>
          <w:rStyle w:val="Refdenotaderodap"/>
          <w:rFonts w:eastAsia="Calibri"/>
        </w:rPr>
        <w:footnoteRef/>
      </w:r>
      <w:r>
        <w:t xml:space="preserve"> Valor do Benefício atualizado em 31/12/[ano de competência da pca].</w:t>
      </w:r>
    </w:p>
  </w:footnote>
  <w:footnote w:id="37">
    <w:p w14:paraId="6378962A" w14:textId="77777777" w:rsidR="002049F4" w:rsidRDefault="002049F4" w:rsidP="00BB5697">
      <w:pPr>
        <w:pStyle w:val="Textodenotaderodap"/>
      </w:pPr>
      <w:r>
        <w:rPr>
          <w:rStyle w:val="Refdenotaderodap"/>
          <w:rFonts w:eastAsia="Calibri"/>
        </w:rPr>
        <w:footnoteRef/>
      </w:r>
      <w:r>
        <w:t xml:space="preserve"> Contas de Passivo Circulante (detalhar as contas)</w:t>
      </w:r>
    </w:p>
  </w:footnote>
  <w:footnote w:id="38">
    <w:p w14:paraId="2425C57E" w14:textId="77777777" w:rsidR="002049F4" w:rsidRDefault="002049F4" w:rsidP="00BB5697">
      <w:pPr>
        <w:pStyle w:val="Textodenotaderodap"/>
        <w:jc w:val="both"/>
      </w:pPr>
      <w:r>
        <w:rPr>
          <w:rStyle w:val="Refdenotaderodap"/>
          <w:rFonts w:eastAsia="Calibri"/>
        </w:rPr>
        <w:footnoteRef/>
      </w:r>
      <w:r>
        <w:t xml:space="preserve"> Contribuição [Patronal, Servidor], Multas e Juros, Parcelamentos, Aporte Financeiro e/ou Aporte Atuarial.</w:t>
      </w:r>
    </w:p>
  </w:footnote>
  <w:footnote w:id="39">
    <w:p w14:paraId="58162C64" w14:textId="77777777" w:rsidR="002049F4" w:rsidRDefault="002049F4" w:rsidP="00BB5697">
      <w:pPr>
        <w:pStyle w:val="Textodenotaderodap"/>
        <w:jc w:val="both"/>
      </w:pPr>
      <w:r>
        <w:rPr>
          <w:rStyle w:val="Refdenotaderodap"/>
          <w:rFonts w:eastAsia="Calibri"/>
        </w:rPr>
        <w:footnoteRef/>
      </w:r>
      <w:r>
        <w:t xml:space="preserve"> Atualizado até 31/12/[ano de competência da PCA]</w:t>
      </w:r>
    </w:p>
  </w:footnote>
  <w:footnote w:id="40">
    <w:p w14:paraId="65B1EC51" w14:textId="77777777" w:rsidR="002049F4" w:rsidRDefault="002049F4" w:rsidP="00BB5697">
      <w:pPr>
        <w:pStyle w:val="Textodenotaderodap"/>
        <w:jc w:val="both"/>
      </w:pPr>
      <w:r>
        <w:rPr>
          <w:rStyle w:val="Refdenotaderodap"/>
          <w:rFonts w:eastAsia="Calibri"/>
        </w:rPr>
        <w:footnoteRef/>
      </w:r>
      <w:r>
        <w:t xml:space="preserve"> Evidenciar a conta contábil em que esta Obrigação a Pagar encontra-se registrada nas Demonstrações Contábeis da entidade.</w:t>
      </w:r>
    </w:p>
  </w:footnote>
  <w:footnote w:id="41">
    <w:p w14:paraId="75C3C028" w14:textId="77777777" w:rsidR="002049F4" w:rsidRDefault="002049F4" w:rsidP="00BB5697">
      <w:pPr>
        <w:pStyle w:val="Textodenotaderodap"/>
      </w:pPr>
      <w:r>
        <w:rPr>
          <w:rStyle w:val="Refdenotaderodap"/>
          <w:rFonts w:eastAsia="Calibri"/>
        </w:rPr>
        <w:footnoteRef/>
      </w:r>
      <w:r>
        <w:t xml:space="preserve"> Contas de Passivo Circulante (detalhar as contas)</w:t>
      </w:r>
    </w:p>
  </w:footnote>
  <w:footnote w:id="42">
    <w:p w14:paraId="71AFAB79" w14:textId="77777777" w:rsidR="002049F4" w:rsidRDefault="002049F4" w:rsidP="00BB5697">
      <w:pPr>
        <w:pStyle w:val="Textodenotaderodap"/>
        <w:jc w:val="both"/>
      </w:pPr>
      <w:r>
        <w:rPr>
          <w:rStyle w:val="Refdenotaderodap"/>
          <w:rFonts w:eastAsia="Calibri"/>
        </w:rPr>
        <w:footnoteRef/>
      </w:r>
      <w:r>
        <w:t xml:space="preserve"> Contribuição [Patronal, Servidor], Multas e Juros, Parcelamentos, Aporte Financeiro e/ou Aporte Atuarial.</w:t>
      </w:r>
    </w:p>
  </w:footnote>
  <w:footnote w:id="43">
    <w:p w14:paraId="7B52455A" w14:textId="77777777" w:rsidR="002049F4" w:rsidRDefault="002049F4" w:rsidP="00BB5697">
      <w:pPr>
        <w:pStyle w:val="Textodenotaderodap"/>
        <w:jc w:val="both"/>
      </w:pPr>
      <w:r>
        <w:rPr>
          <w:rStyle w:val="Refdenotaderodap"/>
          <w:rFonts w:eastAsia="Calibri"/>
        </w:rPr>
        <w:footnoteRef/>
      </w:r>
      <w:r>
        <w:t xml:space="preserve"> Atualizado até 31/12/[ano de competência da PCA]</w:t>
      </w:r>
    </w:p>
  </w:footnote>
  <w:footnote w:id="44">
    <w:p w14:paraId="1E3B8C67" w14:textId="77777777" w:rsidR="002049F4" w:rsidRDefault="002049F4" w:rsidP="00BB5697">
      <w:pPr>
        <w:pStyle w:val="Textodenotaderodap"/>
        <w:jc w:val="both"/>
      </w:pPr>
      <w:r>
        <w:rPr>
          <w:rStyle w:val="Refdenotaderodap"/>
          <w:rFonts w:eastAsia="Calibri"/>
        </w:rPr>
        <w:footnoteRef/>
      </w:r>
      <w:r>
        <w:t xml:space="preserve"> Evidenciar a conta contábil em que esta Obrigação a Pagar encontra-se registrada nas Demonstrações Contábeis da entidade.</w:t>
      </w:r>
    </w:p>
  </w:footnote>
  <w:footnote w:id="45">
    <w:p w14:paraId="6D8604E3" w14:textId="77777777" w:rsidR="002049F4" w:rsidRDefault="002049F4" w:rsidP="00BB5697">
      <w:pPr>
        <w:pStyle w:val="Textodenotaderodap"/>
      </w:pPr>
      <w:r>
        <w:rPr>
          <w:rStyle w:val="Refdenotaderodap"/>
          <w:rFonts w:eastAsia="Calibri"/>
        </w:rPr>
        <w:footnoteRef/>
      </w:r>
      <w:r>
        <w:t xml:space="preserve"> Por meio de lei municipal implantando os novos planos: de custeio e de amortização.</w:t>
      </w:r>
    </w:p>
  </w:footnote>
  <w:footnote w:id="46">
    <w:p w14:paraId="49765E84" w14:textId="77777777" w:rsidR="002049F4" w:rsidRDefault="002049F4" w:rsidP="00BB5697">
      <w:pPr>
        <w:pStyle w:val="Textodenotaderodap"/>
      </w:pPr>
      <w:r>
        <w:rPr>
          <w:rStyle w:val="Refdenotaderodap"/>
          <w:rFonts w:eastAsia="Calibri"/>
        </w:rPr>
        <w:footnoteRef/>
      </w:r>
      <w:r>
        <w:t xml:space="preserve"> Evidenciar qual o último estudo atuarial realizado pelo RPPS.</w:t>
      </w:r>
    </w:p>
  </w:footnote>
  <w:footnote w:id="47">
    <w:p w14:paraId="5D14D713" w14:textId="77777777" w:rsidR="002049F4" w:rsidRDefault="002049F4" w:rsidP="00BB5697">
      <w:pPr>
        <w:pStyle w:val="Textodenotaderodap"/>
        <w:rPr>
          <w:rFonts w:asciiTheme="minorHAnsi" w:hAnsiTheme="minorHAnsi" w:cstheme="minorBidi"/>
          <w:lang w:eastAsia="en-US"/>
        </w:rPr>
      </w:pPr>
      <w:r>
        <w:rPr>
          <w:rStyle w:val="Refdenotaderodap"/>
          <w:rFonts w:eastAsia="Calibri"/>
        </w:rPr>
        <w:footnoteRef/>
      </w:r>
      <w:r>
        <w:t xml:space="preserve"> Por meio de lei municipal implantando os novos planos: de custeio e de amortização.</w:t>
      </w:r>
    </w:p>
  </w:footnote>
  <w:footnote w:id="48">
    <w:p w14:paraId="038BEE0A" w14:textId="77777777" w:rsidR="002049F4" w:rsidRPr="00E20C1C" w:rsidRDefault="002049F4" w:rsidP="00BB5697">
      <w:pPr>
        <w:pStyle w:val="Textodenotaderodap"/>
        <w:rPr>
          <w:lang w:val="pt-BR"/>
        </w:rPr>
      </w:pPr>
      <w:r>
        <w:rPr>
          <w:rStyle w:val="Refdenotaderodap"/>
          <w:rFonts w:eastAsia="Calibri"/>
        </w:rPr>
        <w:footnoteRef/>
      </w:r>
      <w:r>
        <w:t xml:space="preserve"> Evidenciar qual o último estudo atuarial realizado pelo RPPS.</w:t>
      </w:r>
    </w:p>
  </w:footnote>
  <w:footnote w:id="49">
    <w:p w14:paraId="2A37ABF5" w14:textId="77777777" w:rsidR="002049F4" w:rsidRPr="006C5144" w:rsidRDefault="002049F4" w:rsidP="00BB5697">
      <w:pPr>
        <w:pStyle w:val="Textodenotaderodap"/>
        <w:rPr>
          <w:rFonts w:ascii="Arial" w:hAnsi="Arial" w:cs="Arial"/>
          <w:sz w:val="16"/>
          <w:szCs w:val="16"/>
        </w:rPr>
      </w:pPr>
      <w:r w:rsidRPr="006C5144">
        <w:rPr>
          <w:rStyle w:val="Refdenotaderodap"/>
          <w:rFonts w:ascii="Arial" w:hAnsi="Arial" w:cs="Arial"/>
          <w:sz w:val="16"/>
          <w:szCs w:val="16"/>
        </w:rPr>
        <w:footnoteRef/>
      </w:r>
      <w:r w:rsidRPr="006C5144">
        <w:rPr>
          <w:rFonts w:ascii="Arial" w:hAnsi="Arial" w:cs="Arial"/>
          <w:sz w:val="16"/>
          <w:szCs w:val="16"/>
        </w:rPr>
        <w:t xml:space="preserve"> Artigo 43, VI da Lei Complementar Estadual nº 621/2012.</w:t>
      </w:r>
    </w:p>
  </w:footnote>
  <w:footnote w:id="50">
    <w:p w14:paraId="34CCA3EE" w14:textId="77777777" w:rsidR="002049F4" w:rsidRPr="006C5144" w:rsidRDefault="002049F4" w:rsidP="00BB5697">
      <w:pPr>
        <w:pStyle w:val="Textodenotaderodap"/>
        <w:jc w:val="both"/>
        <w:rPr>
          <w:rFonts w:ascii="Arial" w:hAnsi="Arial" w:cs="Arial"/>
          <w:sz w:val="16"/>
          <w:szCs w:val="16"/>
        </w:rPr>
      </w:pPr>
      <w:r w:rsidRPr="006C5144">
        <w:rPr>
          <w:rStyle w:val="Refdenotaderodap"/>
          <w:rFonts w:ascii="Arial" w:hAnsi="Arial" w:cs="Arial"/>
          <w:sz w:val="16"/>
          <w:szCs w:val="16"/>
        </w:rPr>
        <w:footnoteRef/>
      </w:r>
      <w:r w:rsidRPr="006C5144">
        <w:rPr>
          <w:rFonts w:ascii="Arial" w:hAnsi="Arial" w:cs="Arial"/>
          <w:sz w:val="16"/>
          <w:szCs w:val="16"/>
        </w:rPr>
        <w:t xml:space="preserve"> Constantes do Plano Anual de Auditoria Interna</w:t>
      </w:r>
      <w:r>
        <w:rPr>
          <w:rFonts w:ascii="Arial" w:hAnsi="Arial" w:cs="Arial"/>
          <w:sz w:val="16"/>
          <w:szCs w:val="16"/>
        </w:rPr>
        <w:t xml:space="preserve"> - PAAI</w:t>
      </w:r>
      <w:r w:rsidRPr="006C5144">
        <w:rPr>
          <w:rFonts w:ascii="Arial" w:hAnsi="Arial" w:cs="Arial"/>
          <w:sz w:val="16"/>
          <w:szCs w:val="16"/>
        </w:rPr>
        <w:t xml:space="preserve"> a que se refere o Guia de Orientação para Implantação do Sistema de Controle Interno na Administração Pública, aprovado pela Resolução TC 227/2011.</w:t>
      </w:r>
    </w:p>
  </w:footnote>
  <w:footnote w:id="51">
    <w:p w14:paraId="29B9B7B5" w14:textId="77777777" w:rsidR="002049F4" w:rsidRPr="00FD1161" w:rsidRDefault="002049F4" w:rsidP="00BB5697">
      <w:pPr>
        <w:pStyle w:val="Textodenotaderodap"/>
        <w:rPr>
          <w:rFonts w:ascii="Arial" w:hAnsi="Arial" w:cs="Arial"/>
          <w:sz w:val="16"/>
          <w:szCs w:val="16"/>
        </w:rPr>
      </w:pPr>
      <w:r w:rsidRPr="00FD1161">
        <w:rPr>
          <w:rFonts w:ascii="Arial" w:hAnsi="Arial" w:cs="Arial"/>
          <w:sz w:val="16"/>
          <w:szCs w:val="16"/>
          <w:vertAlign w:val="superscript"/>
        </w:rPr>
        <w:footnoteRef/>
      </w:r>
      <w:r w:rsidRPr="00FD1161">
        <w:rPr>
          <w:rFonts w:ascii="Arial" w:hAnsi="Arial" w:cs="Arial"/>
          <w:sz w:val="16"/>
          <w:szCs w:val="16"/>
          <w:vertAlign w:val="superscript"/>
        </w:rPr>
        <w:t xml:space="preserve"> </w:t>
      </w:r>
      <w:r>
        <w:rPr>
          <w:rFonts w:ascii="Arial" w:hAnsi="Arial" w:cs="Arial"/>
          <w:sz w:val="16"/>
          <w:szCs w:val="16"/>
          <w:vertAlign w:val="superscript"/>
        </w:rPr>
        <w:t xml:space="preserve"> </w:t>
      </w:r>
      <w:r>
        <w:rPr>
          <w:rFonts w:ascii="Arial" w:hAnsi="Arial" w:cs="Arial"/>
          <w:sz w:val="16"/>
          <w:szCs w:val="16"/>
        </w:rPr>
        <w:t>Pode ser listado em anexos.</w:t>
      </w:r>
    </w:p>
  </w:footnote>
  <w:footnote w:id="52">
    <w:p w14:paraId="54C950DA" w14:textId="77777777" w:rsidR="002049F4" w:rsidRPr="00FD1161" w:rsidRDefault="002049F4" w:rsidP="00BB5697">
      <w:pPr>
        <w:pStyle w:val="Textodenotaderodap"/>
        <w:jc w:val="both"/>
        <w:rPr>
          <w:rStyle w:val="Refdenotaderodap"/>
        </w:rPr>
      </w:pPr>
      <w:r>
        <w:rPr>
          <w:rStyle w:val="Refdenotaderodap"/>
        </w:rPr>
        <w:footnoteRef/>
      </w:r>
      <w:r>
        <w:t xml:space="preserve"> </w:t>
      </w:r>
      <w:r>
        <w:rPr>
          <w:rFonts w:ascii="Arial" w:hAnsi="Arial" w:cs="Arial"/>
          <w:sz w:val="16"/>
          <w:szCs w:val="16"/>
        </w:rPr>
        <w:t>Quando</w:t>
      </w:r>
      <w:r w:rsidRPr="002133DA">
        <w:rPr>
          <w:rFonts w:ascii="Arial" w:hAnsi="Arial" w:cs="Arial"/>
          <w:sz w:val="16"/>
          <w:szCs w:val="16"/>
        </w:rPr>
        <w:t xml:space="preserve"> possível, indicar a </w:t>
      </w:r>
      <w:r w:rsidRPr="00585A3B">
        <w:rPr>
          <w:rFonts w:ascii="Arial" w:hAnsi="Arial" w:cs="Arial"/>
          <w:sz w:val="16"/>
          <w:szCs w:val="16"/>
          <w:u w:val="single"/>
        </w:rPr>
        <w:t>totalidade</w:t>
      </w:r>
      <w:r>
        <w:rPr>
          <w:rFonts w:ascii="Arial" w:hAnsi="Arial" w:cs="Arial"/>
          <w:sz w:val="16"/>
          <w:szCs w:val="16"/>
        </w:rPr>
        <w:t xml:space="preserve"> de</w:t>
      </w:r>
      <w:r w:rsidRPr="002133DA">
        <w:rPr>
          <w:rFonts w:ascii="Arial" w:hAnsi="Arial" w:cs="Arial"/>
          <w:sz w:val="16"/>
          <w:szCs w:val="16"/>
        </w:rPr>
        <w:t xml:space="preserve"> recursos</w:t>
      </w:r>
      <w:r>
        <w:rPr>
          <w:rFonts w:ascii="Arial" w:hAnsi="Arial" w:cs="Arial"/>
          <w:sz w:val="16"/>
          <w:szCs w:val="16"/>
        </w:rPr>
        <w:t>, ou</w:t>
      </w:r>
      <w:r w:rsidRPr="002133DA">
        <w:rPr>
          <w:rFonts w:ascii="Arial" w:hAnsi="Arial" w:cs="Arial"/>
          <w:sz w:val="16"/>
          <w:szCs w:val="16"/>
        </w:rPr>
        <w:t xml:space="preserve"> processos</w:t>
      </w:r>
      <w:r>
        <w:rPr>
          <w:rFonts w:ascii="Arial" w:hAnsi="Arial" w:cs="Arial"/>
          <w:sz w:val="16"/>
          <w:szCs w:val="16"/>
        </w:rPr>
        <w:t>,</w:t>
      </w:r>
      <w:r w:rsidRPr="002133DA">
        <w:rPr>
          <w:rFonts w:ascii="Arial" w:hAnsi="Arial" w:cs="Arial"/>
          <w:sz w:val="16"/>
          <w:szCs w:val="16"/>
        </w:rPr>
        <w:t xml:space="preserve"> ou itens</w:t>
      </w:r>
      <w:r>
        <w:rPr>
          <w:rFonts w:ascii="Arial" w:hAnsi="Arial" w:cs="Arial"/>
          <w:sz w:val="16"/>
          <w:szCs w:val="16"/>
        </w:rPr>
        <w:t xml:space="preserve">, </w:t>
      </w:r>
      <w:r w:rsidRPr="002133DA">
        <w:rPr>
          <w:rFonts w:ascii="Arial" w:hAnsi="Arial" w:cs="Arial"/>
          <w:sz w:val="16"/>
          <w:szCs w:val="16"/>
        </w:rPr>
        <w:t>que compõe o objeto/ponto de controle no período analisado</w:t>
      </w:r>
      <w:r>
        <w:rPr>
          <w:rFonts w:ascii="Arial" w:hAnsi="Arial" w:cs="Arial"/>
          <w:sz w:val="16"/>
          <w:szCs w:val="16"/>
        </w:rPr>
        <w:t>.</w:t>
      </w:r>
    </w:p>
  </w:footnote>
  <w:footnote w:id="53">
    <w:p w14:paraId="4A2F9A94" w14:textId="77777777" w:rsidR="002049F4" w:rsidRPr="00446140" w:rsidRDefault="002049F4" w:rsidP="00BB5697">
      <w:pPr>
        <w:pStyle w:val="Textodenotaderodap"/>
        <w:jc w:val="both"/>
        <w:rPr>
          <w:rFonts w:ascii="Arial" w:hAnsi="Arial" w:cs="Arial"/>
          <w:sz w:val="16"/>
          <w:szCs w:val="16"/>
        </w:rPr>
      </w:pPr>
      <w:r>
        <w:rPr>
          <w:rStyle w:val="Refdenotaderodap"/>
        </w:rPr>
        <w:footnoteRef/>
      </w:r>
      <w:r>
        <w:t xml:space="preserve"> </w:t>
      </w:r>
      <w:r>
        <w:rPr>
          <w:rFonts w:ascii="Arial" w:hAnsi="Arial" w:cs="Arial"/>
          <w:sz w:val="16"/>
          <w:szCs w:val="16"/>
        </w:rPr>
        <w:t>Quando</w:t>
      </w:r>
      <w:r w:rsidRPr="002133DA">
        <w:rPr>
          <w:rFonts w:ascii="Arial" w:hAnsi="Arial" w:cs="Arial"/>
          <w:sz w:val="16"/>
          <w:szCs w:val="16"/>
        </w:rPr>
        <w:t xml:space="preserve"> possível, indicar a quantidade de recursos</w:t>
      </w:r>
      <w:r>
        <w:rPr>
          <w:rFonts w:ascii="Arial" w:hAnsi="Arial" w:cs="Arial"/>
          <w:sz w:val="16"/>
          <w:szCs w:val="16"/>
        </w:rPr>
        <w:t>, ou</w:t>
      </w:r>
      <w:r w:rsidRPr="002133DA">
        <w:rPr>
          <w:rFonts w:ascii="Arial" w:hAnsi="Arial" w:cs="Arial"/>
          <w:sz w:val="16"/>
          <w:szCs w:val="16"/>
        </w:rPr>
        <w:t xml:space="preserve"> processos</w:t>
      </w:r>
      <w:r>
        <w:rPr>
          <w:rFonts w:ascii="Arial" w:hAnsi="Arial" w:cs="Arial"/>
          <w:sz w:val="16"/>
          <w:szCs w:val="16"/>
        </w:rPr>
        <w:t>,</w:t>
      </w:r>
      <w:r w:rsidRPr="002133DA">
        <w:rPr>
          <w:rFonts w:ascii="Arial" w:hAnsi="Arial" w:cs="Arial"/>
          <w:sz w:val="16"/>
          <w:szCs w:val="16"/>
        </w:rPr>
        <w:t xml:space="preserve"> ou itens</w:t>
      </w:r>
      <w:r>
        <w:rPr>
          <w:rFonts w:ascii="Arial" w:hAnsi="Arial" w:cs="Arial"/>
          <w:sz w:val="16"/>
          <w:szCs w:val="16"/>
        </w:rPr>
        <w:t xml:space="preserve">, </w:t>
      </w:r>
      <w:r w:rsidRPr="00585A3B">
        <w:rPr>
          <w:rFonts w:ascii="Arial" w:hAnsi="Arial" w:cs="Arial"/>
          <w:sz w:val="16"/>
          <w:szCs w:val="16"/>
          <w:u w:val="single"/>
        </w:rPr>
        <w:t>selecionados</w:t>
      </w:r>
      <w:r w:rsidRPr="002133DA">
        <w:rPr>
          <w:rFonts w:ascii="Arial" w:hAnsi="Arial" w:cs="Arial"/>
          <w:sz w:val="16"/>
          <w:szCs w:val="16"/>
        </w:rPr>
        <w:t xml:space="preserve"> para compor a amostra</w:t>
      </w:r>
      <w:r>
        <w:rPr>
          <w:rFonts w:ascii="Arial" w:hAnsi="Arial" w:cs="Arial"/>
          <w:sz w:val="16"/>
          <w:szCs w:val="16"/>
        </w:rPr>
        <w:t>.</w:t>
      </w:r>
    </w:p>
  </w:footnote>
  <w:footnote w:id="54">
    <w:p w14:paraId="1F4A0260" w14:textId="77777777" w:rsidR="002049F4" w:rsidRPr="006C5144" w:rsidRDefault="002049F4" w:rsidP="00BB5697">
      <w:pPr>
        <w:pStyle w:val="Textodenotaderodap"/>
        <w:rPr>
          <w:rFonts w:ascii="Arial" w:hAnsi="Arial" w:cs="Arial"/>
          <w:sz w:val="16"/>
          <w:szCs w:val="16"/>
        </w:rPr>
      </w:pPr>
      <w:r w:rsidRPr="006C5144">
        <w:rPr>
          <w:rStyle w:val="Refdenotaderodap"/>
          <w:rFonts w:ascii="Arial" w:hAnsi="Arial" w:cs="Arial"/>
          <w:sz w:val="16"/>
          <w:szCs w:val="16"/>
        </w:rPr>
        <w:footnoteRef/>
      </w:r>
      <w:r w:rsidRPr="006C5144">
        <w:rPr>
          <w:rFonts w:ascii="Arial" w:hAnsi="Arial" w:cs="Arial"/>
          <w:sz w:val="16"/>
          <w:szCs w:val="16"/>
        </w:rPr>
        <w:t xml:space="preserve"> Artigo 22 da IN TC - 32/2014.</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E1CA2C" w14:textId="77777777" w:rsidR="002049F4" w:rsidRDefault="002049F4">
    <w:pPr>
      <w:pStyle w:val="Cabealho"/>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DA2BF7" w14:textId="77777777" w:rsidR="002049F4" w:rsidRDefault="002049F4">
    <w:pPr>
      <w:pStyle w:val="Cabealho"/>
      <w:framePr w:wrap="auto" w:vAnchor="text" w:hAnchor="page" w:x="15262" w:y="363"/>
      <w:rPr>
        <w:rStyle w:val="Nmerodepgina"/>
      </w:rPr>
    </w:pPr>
  </w:p>
  <w:p w14:paraId="7AD54B0A" w14:textId="411A2E01" w:rsidR="002049F4" w:rsidRDefault="002049F4" w:rsidP="009E5190">
    <w:pPr>
      <w:pStyle w:val="Cabealho"/>
      <w:ind w:right="360"/>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22399"/>
    <w:multiLevelType w:val="multilevel"/>
    <w:tmpl w:val="09B6E2C2"/>
    <w:lvl w:ilvl="0">
      <w:start w:val="1"/>
      <w:numFmt w:val="decimal"/>
      <w:pStyle w:val="Ttulo1"/>
      <w:lvlText w:val="%1"/>
      <w:lvlJc w:val="left"/>
      <w:pPr>
        <w:ind w:left="432" w:hanging="432"/>
      </w:pPr>
    </w:lvl>
    <w:lvl w:ilvl="1">
      <w:start w:val="1"/>
      <w:numFmt w:val="decimal"/>
      <w:pStyle w:val="Ttulo2"/>
      <w:lvlText w:val="%1.%2"/>
      <w:lvlJc w:val="left"/>
      <w:pPr>
        <w:ind w:left="1286" w:hanging="576"/>
      </w:pPr>
    </w:lvl>
    <w:lvl w:ilvl="2">
      <w:start w:val="1"/>
      <w:numFmt w:val="decimal"/>
      <w:pStyle w:val="Ttulo3"/>
      <w:lvlText w:val="%1.%2.%3"/>
      <w:lvlJc w:val="left"/>
      <w:pPr>
        <w:ind w:left="720" w:hanging="720"/>
      </w:pPr>
      <w:rPr>
        <w:b/>
        <w:bCs/>
        <w:sz w:val="28"/>
        <w:szCs w:val="28"/>
      </w:r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 w15:restartNumberingAfterBreak="0">
    <w:nsid w:val="016127E4"/>
    <w:multiLevelType w:val="hybridMultilevel"/>
    <w:tmpl w:val="181AEEBE"/>
    <w:lvl w:ilvl="0" w:tplc="573AD410">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4F26B15"/>
    <w:multiLevelType w:val="hybridMultilevel"/>
    <w:tmpl w:val="09A09326"/>
    <w:lvl w:ilvl="0" w:tplc="04160001">
      <w:start w:val="1"/>
      <w:numFmt w:val="bullet"/>
      <w:lvlText w:val=""/>
      <w:lvlJc w:val="left"/>
      <w:pPr>
        <w:ind w:left="720" w:hanging="360"/>
      </w:pPr>
      <w:rPr>
        <w:rFonts w:ascii="Symbol" w:hAnsi="Symbol"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78242A9"/>
    <w:multiLevelType w:val="hybridMultilevel"/>
    <w:tmpl w:val="2EAABDE0"/>
    <w:lvl w:ilvl="0" w:tplc="C7A0E1F4">
      <w:start w:val="1"/>
      <w:numFmt w:val="bullet"/>
      <w:lvlText w:val="•"/>
      <w:lvlJc w:val="left"/>
      <w:pPr>
        <w:ind w:left="7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DFBCACD0">
      <w:start w:val="1"/>
      <w:numFmt w:val="bullet"/>
      <w:lvlText w:val="o"/>
      <w:lvlJc w:val="left"/>
      <w:pPr>
        <w:ind w:left="154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5394BBC2">
      <w:start w:val="1"/>
      <w:numFmt w:val="bullet"/>
      <w:lvlText w:val="▪"/>
      <w:lvlJc w:val="left"/>
      <w:pPr>
        <w:ind w:left="226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AFB06320">
      <w:start w:val="1"/>
      <w:numFmt w:val="bullet"/>
      <w:lvlText w:val="•"/>
      <w:lvlJc w:val="left"/>
      <w:pPr>
        <w:ind w:left="29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4D6EE8FC">
      <w:start w:val="1"/>
      <w:numFmt w:val="bullet"/>
      <w:lvlText w:val="o"/>
      <w:lvlJc w:val="left"/>
      <w:pPr>
        <w:ind w:left="370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8CB80974">
      <w:start w:val="1"/>
      <w:numFmt w:val="bullet"/>
      <w:lvlText w:val="▪"/>
      <w:lvlJc w:val="left"/>
      <w:pPr>
        <w:ind w:left="442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2AF8B05A">
      <w:start w:val="1"/>
      <w:numFmt w:val="bullet"/>
      <w:lvlText w:val="•"/>
      <w:lvlJc w:val="left"/>
      <w:pPr>
        <w:ind w:left="51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0212ECC0">
      <w:start w:val="1"/>
      <w:numFmt w:val="bullet"/>
      <w:lvlText w:val="o"/>
      <w:lvlJc w:val="left"/>
      <w:pPr>
        <w:ind w:left="586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0900B450">
      <w:start w:val="1"/>
      <w:numFmt w:val="bullet"/>
      <w:lvlText w:val="▪"/>
      <w:lvlJc w:val="left"/>
      <w:pPr>
        <w:ind w:left="658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4" w15:restartNumberingAfterBreak="0">
    <w:nsid w:val="09BC1E56"/>
    <w:multiLevelType w:val="hybridMultilevel"/>
    <w:tmpl w:val="653054C0"/>
    <w:lvl w:ilvl="0" w:tplc="2E6677D4">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0C485D7B"/>
    <w:multiLevelType w:val="hybridMultilevel"/>
    <w:tmpl w:val="552E3F1E"/>
    <w:lvl w:ilvl="0" w:tplc="2940F896">
      <w:start w:val="1"/>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6" w15:restartNumberingAfterBreak="0">
    <w:nsid w:val="0DB3330B"/>
    <w:multiLevelType w:val="hybridMultilevel"/>
    <w:tmpl w:val="DDCEABE0"/>
    <w:lvl w:ilvl="0" w:tplc="45727E4E">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12E54F5"/>
    <w:multiLevelType w:val="hybridMultilevel"/>
    <w:tmpl w:val="5F38483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33054EF"/>
    <w:multiLevelType w:val="hybridMultilevel"/>
    <w:tmpl w:val="DA160FF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74613DA"/>
    <w:multiLevelType w:val="hybridMultilevel"/>
    <w:tmpl w:val="92649ECA"/>
    <w:lvl w:ilvl="0" w:tplc="63B6B0F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8595530"/>
    <w:multiLevelType w:val="hybridMultilevel"/>
    <w:tmpl w:val="AE28C52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195E6EF7"/>
    <w:multiLevelType w:val="hybridMultilevel"/>
    <w:tmpl w:val="9C0262B4"/>
    <w:lvl w:ilvl="0" w:tplc="51300EE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1B4E4447"/>
    <w:multiLevelType w:val="hybridMultilevel"/>
    <w:tmpl w:val="3980721A"/>
    <w:lvl w:ilvl="0" w:tplc="C08E875E">
      <w:start w:val="1"/>
      <w:numFmt w:val="bullet"/>
      <w:lvlText w:val="•"/>
      <w:lvlJc w:val="left"/>
      <w:pPr>
        <w:ind w:left="7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9B5A38F4">
      <w:start w:val="1"/>
      <w:numFmt w:val="bullet"/>
      <w:lvlText w:val="o"/>
      <w:lvlJc w:val="left"/>
      <w:pPr>
        <w:ind w:left="154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6B24A988">
      <w:start w:val="1"/>
      <w:numFmt w:val="bullet"/>
      <w:lvlText w:val="▪"/>
      <w:lvlJc w:val="left"/>
      <w:pPr>
        <w:ind w:left="226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42A898C0">
      <w:start w:val="1"/>
      <w:numFmt w:val="bullet"/>
      <w:lvlText w:val="•"/>
      <w:lvlJc w:val="left"/>
      <w:pPr>
        <w:ind w:left="29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8EBC5824">
      <w:start w:val="1"/>
      <w:numFmt w:val="bullet"/>
      <w:lvlText w:val="o"/>
      <w:lvlJc w:val="left"/>
      <w:pPr>
        <w:ind w:left="370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F93E7B6E">
      <w:start w:val="1"/>
      <w:numFmt w:val="bullet"/>
      <w:lvlText w:val="▪"/>
      <w:lvlJc w:val="left"/>
      <w:pPr>
        <w:ind w:left="442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C6B48D1A">
      <w:start w:val="1"/>
      <w:numFmt w:val="bullet"/>
      <w:lvlText w:val="•"/>
      <w:lvlJc w:val="left"/>
      <w:pPr>
        <w:ind w:left="51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86A4DAC6">
      <w:start w:val="1"/>
      <w:numFmt w:val="bullet"/>
      <w:lvlText w:val="o"/>
      <w:lvlJc w:val="left"/>
      <w:pPr>
        <w:ind w:left="586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9E3E3B54">
      <w:start w:val="1"/>
      <w:numFmt w:val="bullet"/>
      <w:lvlText w:val="▪"/>
      <w:lvlJc w:val="left"/>
      <w:pPr>
        <w:ind w:left="658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13" w15:restartNumberingAfterBreak="0">
    <w:nsid w:val="1FC62F27"/>
    <w:multiLevelType w:val="hybridMultilevel"/>
    <w:tmpl w:val="48DC80C4"/>
    <w:lvl w:ilvl="0" w:tplc="9A0C44B4">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26460345"/>
    <w:multiLevelType w:val="hybridMultilevel"/>
    <w:tmpl w:val="FC16642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8E9265E"/>
    <w:multiLevelType w:val="hybridMultilevel"/>
    <w:tmpl w:val="67E405E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2A8902E4"/>
    <w:multiLevelType w:val="hybridMultilevel"/>
    <w:tmpl w:val="47700FDC"/>
    <w:lvl w:ilvl="0" w:tplc="04160001">
      <w:start w:val="1"/>
      <w:numFmt w:val="bullet"/>
      <w:lvlText w:val=""/>
      <w:lvlJc w:val="left"/>
      <w:pPr>
        <w:ind w:left="720" w:hanging="360"/>
      </w:pPr>
      <w:rPr>
        <w:rFonts w:ascii="Symbol" w:hAnsi="Symbol"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2B702BDB"/>
    <w:multiLevelType w:val="hybridMultilevel"/>
    <w:tmpl w:val="0EDC53E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2EFD5CF0"/>
    <w:multiLevelType w:val="hybridMultilevel"/>
    <w:tmpl w:val="9AA2AC2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31DF7CFB"/>
    <w:multiLevelType w:val="hybridMultilevel"/>
    <w:tmpl w:val="4448EBAC"/>
    <w:lvl w:ilvl="0" w:tplc="DDA48D32">
      <w:start w:val="1"/>
      <w:numFmt w:val="lowerLetter"/>
      <w:lvlText w:val="%1)"/>
      <w:lvlJc w:val="left"/>
      <w:pPr>
        <w:ind w:left="720" w:hanging="360"/>
      </w:pPr>
      <w:rPr>
        <w:rFonts w:eastAsia="Times New Roman"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31FA072F"/>
    <w:multiLevelType w:val="hybridMultilevel"/>
    <w:tmpl w:val="78C0D6F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3769754F"/>
    <w:multiLevelType w:val="hybridMultilevel"/>
    <w:tmpl w:val="8C1EF8F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3C827702"/>
    <w:multiLevelType w:val="hybridMultilevel"/>
    <w:tmpl w:val="9E22EEF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15:restartNumberingAfterBreak="0">
    <w:nsid w:val="3DBF0CEC"/>
    <w:multiLevelType w:val="hybridMultilevel"/>
    <w:tmpl w:val="8D768D42"/>
    <w:lvl w:ilvl="0" w:tplc="04160001">
      <w:start w:val="1"/>
      <w:numFmt w:val="bullet"/>
      <w:lvlText w:val=""/>
      <w:lvlJc w:val="left"/>
      <w:pPr>
        <w:ind w:left="938" w:hanging="360"/>
      </w:pPr>
      <w:rPr>
        <w:rFonts w:ascii="Symbol" w:hAnsi="Symbol" w:hint="default"/>
      </w:rPr>
    </w:lvl>
    <w:lvl w:ilvl="1" w:tplc="04160003" w:tentative="1">
      <w:start w:val="1"/>
      <w:numFmt w:val="bullet"/>
      <w:lvlText w:val="o"/>
      <w:lvlJc w:val="left"/>
      <w:pPr>
        <w:ind w:left="1658" w:hanging="360"/>
      </w:pPr>
      <w:rPr>
        <w:rFonts w:ascii="Courier New" w:hAnsi="Courier New" w:cs="Courier New" w:hint="default"/>
      </w:rPr>
    </w:lvl>
    <w:lvl w:ilvl="2" w:tplc="04160005" w:tentative="1">
      <w:start w:val="1"/>
      <w:numFmt w:val="bullet"/>
      <w:lvlText w:val=""/>
      <w:lvlJc w:val="left"/>
      <w:pPr>
        <w:ind w:left="2378" w:hanging="360"/>
      </w:pPr>
      <w:rPr>
        <w:rFonts w:ascii="Wingdings" w:hAnsi="Wingdings" w:hint="default"/>
      </w:rPr>
    </w:lvl>
    <w:lvl w:ilvl="3" w:tplc="04160001" w:tentative="1">
      <w:start w:val="1"/>
      <w:numFmt w:val="bullet"/>
      <w:lvlText w:val=""/>
      <w:lvlJc w:val="left"/>
      <w:pPr>
        <w:ind w:left="3098" w:hanging="360"/>
      </w:pPr>
      <w:rPr>
        <w:rFonts w:ascii="Symbol" w:hAnsi="Symbol" w:hint="default"/>
      </w:rPr>
    </w:lvl>
    <w:lvl w:ilvl="4" w:tplc="04160003" w:tentative="1">
      <w:start w:val="1"/>
      <w:numFmt w:val="bullet"/>
      <w:lvlText w:val="o"/>
      <w:lvlJc w:val="left"/>
      <w:pPr>
        <w:ind w:left="3818" w:hanging="360"/>
      </w:pPr>
      <w:rPr>
        <w:rFonts w:ascii="Courier New" w:hAnsi="Courier New" w:cs="Courier New" w:hint="default"/>
      </w:rPr>
    </w:lvl>
    <w:lvl w:ilvl="5" w:tplc="04160005" w:tentative="1">
      <w:start w:val="1"/>
      <w:numFmt w:val="bullet"/>
      <w:lvlText w:val=""/>
      <w:lvlJc w:val="left"/>
      <w:pPr>
        <w:ind w:left="4538" w:hanging="360"/>
      </w:pPr>
      <w:rPr>
        <w:rFonts w:ascii="Wingdings" w:hAnsi="Wingdings" w:hint="default"/>
      </w:rPr>
    </w:lvl>
    <w:lvl w:ilvl="6" w:tplc="04160001" w:tentative="1">
      <w:start w:val="1"/>
      <w:numFmt w:val="bullet"/>
      <w:lvlText w:val=""/>
      <w:lvlJc w:val="left"/>
      <w:pPr>
        <w:ind w:left="5258" w:hanging="360"/>
      </w:pPr>
      <w:rPr>
        <w:rFonts w:ascii="Symbol" w:hAnsi="Symbol" w:hint="default"/>
      </w:rPr>
    </w:lvl>
    <w:lvl w:ilvl="7" w:tplc="04160003" w:tentative="1">
      <w:start w:val="1"/>
      <w:numFmt w:val="bullet"/>
      <w:lvlText w:val="o"/>
      <w:lvlJc w:val="left"/>
      <w:pPr>
        <w:ind w:left="5978" w:hanging="360"/>
      </w:pPr>
      <w:rPr>
        <w:rFonts w:ascii="Courier New" w:hAnsi="Courier New" w:cs="Courier New" w:hint="default"/>
      </w:rPr>
    </w:lvl>
    <w:lvl w:ilvl="8" w:tplc="04160005" w:tentative="1">
      <w:start w:val="1"/>
      <w:numFmt w:val="bullet"/>
      <w:lvlText w:val=""/>
      <w:lvlJc w:val="left"/>
      <w:pPr>
        <w:ind w:left="6698" w:hanging="360"/>
      </w:pPr>
      <w:rPr>
        <w:rFonts w:ascii="Wingdings" w:hAnsi="Wingdings" w:hint="default"/>
      </w:rPr>
    </w:lvl>
  </w:abstractNum>
  <w:abstractNum w:abstractNumId="24" w15:restartNumberingAfterBreak="0">
    <w:nsid w:val="445E153F"/>
    <w:multiLevelType w:val="hybridMultilevel"/>
    <w:tmpl w:val="24DECC2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49922695"/>
    <w:multiLevelType w:val="hybridMultilevel"/>
    <w:tmpl w:val="AA10A5C4"/>
    <w:lvl w:ilvl="0" w:tplc="E1E6F688">
      <w:start w:val="1"/>
      <w:numFmt w:val="bullet"/>
      <w:lvlText w:val="•"/>
      <w:lvlJc w:val="left"/>
      <w:pPr>
        <w:ind w:left="7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7D7467A4">
      <w:start w:val="1"/>
      <w:numFmt w:val="bullet"/>
      <w:lvlText w:val="o"/>
      <w:lvlJc w:val="left"/>
      <w:pPr>
        <w:ind w:left="154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6F601F84">
      <w:start w:val="1"/>
      <w:numFmt w:val="bullet"/>
      <w:lvlText w:val="▪"/>
      <w:lvlJc w:val="left"/>
      <w:pPr>
        <w:ind w:left="226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74E27604">
      <w:start w:val="1"/>
      <w:numFmt w:val="bullet"/>
      <w:lvlText w:val="•"/>
      <w:lvlJc w:val="left"/>
      <w:pPr>
        <w:ind w:left="29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14B0111C">
      <w:start w:val="1"/>
      <w:numFmt w:val="bullet"/>
      <w:lvlText w:val="o"/>
      <w:lvlJc w:val="left"/>
      <w:pPr>
        <w:ind w:left="370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C5F84F46">
      <w:start w:val="1"/>
      <w:numFmt w:val="bullet"/>
      <w:lvlText w:val="▪"/>
      <w:lvlJc w:val="left"/>
      <w:pPr>
        <w:ind w:left="442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C5DC0E40">
      <w:start w:val="1"/>
      <w:numFmt w:val="bullet"/>
      <w:lvlText w:val="•"/>
      <w:lvlJc w:val="left"/>
      <w:pPr>
        <w:ind w:left="51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25628194">
      <w:start w:val="1"/>
      <w:numFmt w:val="bullet"/>
      <w:lvlText w:val="o"/>
      <w:lvlJc w:val="left"/>
      <w:pPr>
        <w:ind w:left="586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86BEBF36">
      <w:start w:val="1"/>
      <w:numFmt w:val="bullet"/>
      <w:lvlText w:val="▪"/>
      <w:lvlJc w:val="left"/>
      <w:pPr>
        <w:ind w:left="658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26" w15:restartNumberingAfterBreak="0">
    <w:nsid w:val="49B44C5E"/>
    <w:multiLevelType w:val="hybridMultilevel"/>
    <w:tmpl w:val="F614FCCE"/>
    <w:lvl w:ilvl="0" w:tplc="0F18666A">
      <w:start w:val="1"/>
      <w:numFmt w:val="bullet"/>
      <w:lvlText w:val="•"/>
      <w:lvlJc w:val="left"/>
      <w:pPr>
        <w:ind w:left="40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609A634A">
      <w:start w:val="1"/>
      <w:numFmt w:val="bullet"/>
      <w:lvlText w:val="o"/>
      <w:lvlJc w:val="left"/>
      <w:pPr>
        <w:ind w:left="1229"/>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8804A7EA">
      <w:start w:val="1"/>
      <w:numFmt w:val="bullet"/>
      <w:lvlText w:val="▪"/>
      <w:lvlJc w:val="left"/>
      <w:pPr>
        <w:ind w:left="1949"/>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64A47F3C">
      <w:start w:val="1"/>
      <w:numFmt w:val="bullet"/>
      <w:lvlText w:val="•"/>
      <w:lvlJc w:val="left"/>
      <w:pPr>
        <w:ind w:left="266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C6482FC0">
      <w:start w:val="1"/>
      <w:numFmt w:val="bullet"/>
      <w:lvlText w:val="o"/>
      <w:lvlJc w:val="left"/>
      <w:pPr>
        <w:ind w:left="3389"/>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3528ADD0">
      <w:start w:val="1"/>
      <w:numFmt w:val="bullet"/>
      <w:lvlText w:val="▪"/>
      <w:lvlJc w:val="left"/>
      <w:pPr>
        <w:ind w:left="4109"/>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A7840B64">
      <w:start w:val="1"/>
      <w:numFmt w:val="bullet"/>
      <w:lvlText w:val="•"/>
      <w:lvlJc w:val="left"/>
      <w:pPr>
        <w:ind w:left="482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567A16AA">
      <w:start w:val="1"/>
      <w:numFmt w:val="bullet"/>
      <w:lvlText w:val="o"/>
      <w:lvlJc w:val="left"/>
      <w:pPr>
        <w:ind w:left="5549"/>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FD7C0884">
      <w:start w:val="1"/>
      <w:numFmt w:val="bullet"/>
      <w:lvlText w:val="▪"/>
      <w:lvlJc w:val="left"/>
      <w:pPr>
        <w:ind w:left="6269"/>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27" w15:restartNumberingAfterBreak="0">
    <w:nsid w:val="49C42301"/>
    <w:multiLevelType w:val="hybridMultilevel"/>
    <w:tmpl w:val="3BC4507A"/>
    <w:lvl w:ilvl="0" w:tplc="3E38739E">
      <w:start w:val="1"/>
      <w:numFmt w:val="bullet"/>
      <w:lvlText w:val="•"/>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15:restartNumberingAfterBreak="0">
    <w:nsid w:val="4A64339C"/>
    <w:multiLevelType w:val="hybridMultilevel"/>
    <w:tmpl w:val="676C2FF8"/>
    <w:lvl w:ilvl="0" w:tplc="BA142360">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527A5F43"/>
    <w:multiLevelType w:val="hybridMultilevel"/>
    <w:tmpl w:val="D40C4E32"/>
    <w:lvl w:ilvl="0" w:tplc="53347EEA">
      <w:start w:val="1"/>
      <w:numFmt w:val="bullet"/>
      <w:lvlText w:val=""/>
      <w:lvlJc w:val="left"/>
      <w:pPr>
        <w:ind w:left="0" w:hanging="360"/>
      </w:pPr>
      <w:rPr>
        <w:rFonts w:ascii="Symbol" w:eastAsia="Symbol" w:hAnsi="Symbol" w:hint="default"/>
        <w:sz w:val="18"/>
        <w:szCs w:val="18"/>
      </w:rPr>
    </w:lvl>
    <w:lvl w:ilvl="1" w:tplc="3E38739E">
      <w:start w:val="1"/>
      <w:numFmt w:val="bullet"/>
      <w:lvlText w:val="•"/>
      <w:lvlJc w:val="left"/>
      <w:pPr>
        <w:ind w:left="0" w:firstLine="0"/>
      </w:pPr>
    </w:lvl>
    <w:lvl w:ilvl="2" w:tplc="E4D2D722">
      <w:start w:val="1"/>
      <w:numFmt w:val="bullet"/>
      <w:lvlText w:val="•"/>
      <w:lvlJc w:val="left"/>
      <w:pPr>
        <w:ind w:left="0" w:firstLine="0"/>
      </w:pPr>
    </w:lvl>
    <w:lvl w:ilvl="3" w:tplc="DE8C524E">
      <w:start w:val="1"/>
      <w:numFmt w:val="bullet"/>
      <w:lvlText w:val="•"/>
      <w:lvlJc w:val="left"/>
      <w:pPr>
        <w:ind w:left="0" w:firstLine="0"/>
      </w:pPr>
    </w:lvl>
    <w:lvl w:ilvl="4" w:tplc="E00CB152">
      <w:start w:val="1"/>
      <w:numFmt w:val="bullet"/>
      <w:lvlText w:val="•"/>
      <w:lvlJc w:val="left"/>
      <w:pPr>
        <w:ind w:left="0" w:firstLine="0"/>
      </w:pPr>
    </w:lvl>
    <w:lvl w:ilvl="5" w:tplc="496C497C">
      <w:start w:val="1"/>
      <w:numFmt w:val="bullet"/>
      <w:lvlText w:val="•"/>
      <w:lvlJc w:val="left"/>
      <w:pPr>
        <w:ind w:left="0" w:firstLine="0"/>
      </w:pPr>
    </w:lvl>
    <w:lvl w:ilvl="6" w:tplc="7EB8CBCC">
      <w:start w:val="1"/>
      <w:numFmt w:val="bullet"/>
      <w:lvlText w:val="•"/>
      <w:lvlJc w:val="left"/>
      <w:pPr>
        <w:ind w:left="0" w:firstLine="0"/>
      </w:pPr>
    </w:lvl>
    <w:lvl w:ilvl="7" w:tplc="C75478E2">
      <w:start w:val="1"/>
      <w:numFmt w:val="bullet"/>
      <w:lvlText w:val="•"/>
      <w:lvlJc w:val="left"/>
      <w:pPr>
        <w:ind w:left="0" w:firstLine="0"/>
      </w:pPr>
    </w:lvl>
    <w:lvl w:ilvl="8" w:tplc="06D2072C">
      <w:start w:val="1"/>
      <w:numFmt w:val="bullet"/>
      <w:lvlText w:val="•"/>
      <w:lvlJc w:val="left"/>
      <w:pPr>
        <w:ind w:left="0" w:firstLine="0"/>
      </w:pPr>
    </w:lvl>
  </w:abstractNum>
  <w:abstractNum w:abstractNumId="30" w15:restartNumberingAfterBreak="0">
    <w:nsid w:val="56B9415E"/>
    <w:multiLevelType w:val="hybridMultilevel"/>
    <w:tmpl w:val="53322EE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5AEF5BBC"/>
    <w:multiLevelType w:val="hybridMultilevel"/>
    <w:tmpl w:val="F1A4BC52"/>
    <w:lvl w:ilvl="0" w:tplc="4BD459A0">
      <w:start w:val="1"/>
      <w:numFmt w:val="bullet"/>
      <w:lvlText w:val="•"/>
      <w:lvlJc w:val="left"/>
      <w:pPr>
        <w:ind w:left="7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D24C5BC4">
      <w:start w:val="1"/>
      <w:numFmt w:val="bullet"/>
      <w:lvlText w:val="o"/>
      <w:lvlJc w:val="left"/>
      <w:pPr>
        <w:ind w:left="154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DB68C49C">
      <w:start w:val="1"/>
      <w:numFmt w:val="bullet"/>
      <w:lvlText w:val="▪"/>
      <w:lvlJc w:val="left"/>
      <w:pPr>
        <w:ind w:left="226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2DB26B36">
      <w:start w:val="1"/>
      <w:numFmt w:val="bullet"/>
      <w:lvlText w:val="•"/>
      <w:lvlJc w:val="left"/>
      <w:pPr>
        <w:ind w:left="29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78E2D6C4">
      <w:start w:val="1"/>
      <w:numFmt w:val="bullet"/>
      <w:lvlText w:val="o"/>
      <w:lvlJc w:val="left"/>
      <w:pPr>
        <w:ind w:left="370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D3F4B094">
      <w:start w:val="1"/>
      <w:numFmt w:val="bullet"/>
      <w:lvlText w:val="▪"/>
      <w:lvlJc w:val="left"/>
      <w:pPr>
        <w:ind w:left="442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D20A4398">
      <w:start w:val="1"/>
      <w:numFmt w:val="bullet"/>
      <w:lvlText w:val="•"/>
      <w:lvlJc w:val="left"/>
      <w:pPr>
        <w:ind w:left="51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985C77BA">
      <w:start w:val="1"/>
      <w:numFmt w:val="bullet"/>
      <w:lvlText w:val="o"/>
      <w:lvlJc w:val="left"/>
      <w:pPr>
        <w:ind w:left="586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91E6C748">
      <w:start w:val="1"/>
      <w:numFmt w:val="bullet"/>
      <w:lvlText w:val="▪"/>
      <w:lvlJc w:val="left"/>
      <w:pPr>
        <w:ind w:left="658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32" w15:restartNumberingAfterBreak="0">
    <w:nsid w:val="5C2E20FC"/>
    <w:multiLevelType w:val="hybridMultilevel"/>
    <w:tmpl w:val="47749D40"/>
    <w:lvl w:ilvl="0" w:tplc="40ECED86">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5C7E1C52"/>
    <w:multiLevelType w:val="hybridMultilevel"/>
    <w:tmpl w:val="7BDE662E"/>
    <w:lvl w:ilvl="0" w:tplc="04160001">
      <w:start w:val="1"/>
      <w:numFmt w:val="bullet"/>
      <w:lvlText w:val=""/>
      <w:lvlJc w:val="left"/>
      <w:pPr>
        <w:ind w:left="720" w:hanging="360"/>
      </w:pPr>
      <w:rPr>
        <w:rFonts w:ascii="Symbol" w:hAnsi="Symbol"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622E571C"/>
    <w:multiLevelType w:val="hybridMultilevel"/>
    <w:tmpl w:val="380A3FAC"/>
    <w:lvl w:ilvl="0" w:tplc="5418A9C0">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632A1AD1"/>
    <w:multiLevelType w:val="hybridMultilevel"/>
    <w:tmpl w:val="D2024A98"/>
    <w:lvl w:ilvl="0" w:tplc="1B0E66CA">
      <w:start w:val="1"/>
      <w:numFmt w:val="bullet"/>
      <w:lvlText w:val="•"/>
      <w:lvlJc w:val="left"/>
      <w:pPr>
        <w:ind w:left="7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F4748B6A">
      <w:start w:val="1"/>
      <w:numFmt w:val="bullet"/>
      <w:lvlText w:val="o"/>
      <w:lvlJc w:val="left"/>
      <w:pPr>
        <w:ind w:left="154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C7DAA28A">
      <w:start w:val="1"/>
      <w:numFmt w:val="bullet"/>
      <w:lvlText w:val="▪"/>
      <w:lvlJc w:val="left"/>
      <w:pPr>
        <w:ind w:left="226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F2881124">
      <w:start w:val="1"/>
      <w:numFmt w:val="bullet"/>
      <w:lvlText w:val="•"/>
      <w:lvlJc w:val="left"/>
      <w:pPr>
        <w:ind w:left="29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CD7A5320">
      <w:start w:val="1"/>
      <w:numFmt w:val="bullet"/>
      <w:lvlText w:val="o"/>
      <w:lvlJc w:val="left"/>
      <w:pPr>
        <w:ind w:left="370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41AA9542">
      <w:start w:val="1"/>
      <w:numFmt w:val="bullet"/>
      <w:lvlText w:val="▪"/>
      <w:lvlJc w:val="left"/>
      <w:pPr>
        <w:ind w:left="442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A330DF88">
      <w:start w:val="1"/>
      <w:numFmt w:val="bullet"/>
      <w:lvlText w:val="•"/>
      <w:lvlJc w:val="left"/>
      <w:pPr>
        <w:ind w:left="51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EA125580">
      <w:start w:val="1"/>
      <w:numFmt w:val="bullet"/>
      <w:lvlText w:val="o"/>
      <w:lvlJc w:val="left"/>
      <w:pPr>
        <w:ind w:left="586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8C68D666">
      <w:start w:val="1"/>
      <w:numFmt w:val="bullet"/>
      <w:lvlText w:val="▪"/>
      <w:lvlJc w:val="left"/>
      <w:pPr>
        <w:ind w:left="658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36" w15:restartNumberingAfterBreak="0">
    <w:nsid w:val="662F5D96"/>
    <w:multiLevelType w:val="hybridMultilevel"/>
    <w:tmpl w:val="B3EAA69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7" w15:restartNumberingAfterBreak="0">
    <w:nsid w:val="67FD31C0"/>
    <w:multiLevelType w:val="hybridMultilevel"/>
    <w:tmpl w:val="9F68D1F4"/>
    <w:lvl w:ilvl="0" w:tplc="2D02FC2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697C002E"/>
    <w:multiLevelType w:val="hybridMultilevel"/>
    <w:tmpl w:val="03EE286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9" w15:restartNumberingAfterBreak="0">
    <w:nsid w:val="69953595"/>
    <w:multiLevelType w:val="hybridMultilevel"/>
    <w:tmpl w:val="FF02B1C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6B8466EB"/>
    <w:multiLevelType w:val="hybridMultilevel"/>
    <w:tmpl w:val="FF62FFA4"/>
    <w:lvl w:ilvl="0" w:tplc="FA32D326">
      <w:start w:val="1"/>
      <w:numFmt w:val="bullet"/>
      <w:lvlText w:val="•"/>
      <w:lvlJc w:val="left"/>
      <w:pPr>
        <w:ind w:left="7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EB4C6CEA">
      <w:start w:val="1"/>
      <w:numFmt w:val="bullet"/>
      <w:lvlText w:val="o"/>
      <w:lvlJc w:val="left"/>
      <w:pPr>
        <w:ind w:left="154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ECD422F8">
      <w:start w:val="1"/>
      <w:numFmt w:val="bullet"/>
      <w:lvlText w:val="▪"/>
      <w:lvlJc w:val="left"/>
      <w:pPr>
        <w:ind w:left="226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E1EE0F0A">
      <w:start w:val="1"/>
      <w:numFmt w:val="bullet"/>
      <w:lvlText w:val="•"/>
      <w:lvlJc w:val="left"/>
      <w:pPr>
        <w:ind w:left="29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5A700072">
      <w:start w:val="1"/>
      <w:numFmt w:val="bullet"/>
      <w:lvlText w:val="o"/>
      <w:lvlJc w:val="left"/>
      <w:pPr>
        <w:ind w:left="370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74D8E384">
      <w:start w:val="1"/>
      <w:numFmt w:val="bullet"/>
      <w:lvlText w:val="▪"/>
      <w:lvlJc w:val="left"/>
      <w:pPr>
        <w:ind w:left="442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DF08D4A0">
      <w:start w:val="1"/>
      <w:numFmt w:val="bullet"/>
      <w:lvlText w:val="•"/>
      <w:lvlJc w:val="left"/>
      <w:pPr>
        <w:ind w:left="51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8B281B88">
      <w:start w:val="1"/>
      <w:numFmt w:val="bullet"/>
      <w:lvlText w:val="o"/>
      <w:lvlJc w:val="left"/>
      <w:pPr>
        <w:ind w:left="586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7026E552">
      <w:start w:val="1"/>
      <w:numFmt w:val="bullet"/>
      <w:lvlText w:val="▪"/>
      <w:lvlJc w:val="left"/>
      <w:pPr>
        <w:ind w:left="658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41" w15:restartNumberingAfterBreak="0">
    <w:nsid w:val="6C571986"/>
    <w:multiLevelType w:val="hybridMultilevel"/>
    <w:tmpl w:val="D1728B4E"/>
    <w:lvl w:ilvl="0" w:tplc="04160001">
      <w:start w:val="1"/>
      <w:numFmt w:val="bullet"/>
      <w:lvlText w:val=""/>
      <w:lvlJc w:val="left"/>
      <w:pPr>
        <w:ind w:left="720" w:hanging="360"/>
      </w:pPr>
      <w:rPr>
        <w:rFonts w:ascii="Symbol" w:hAnsi="Symbol"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6D604286"/>
    <w:multiLevelType w:val="hybridMultilevel"/>
    <w:tmpl w:val="1568745C"/>
    <w:lvl w:ilvl="0" w:tplc="CEF04284">
      <w:start w:val="1"/>
      <w:numFmt w:val="lowerLetter"/>
      <w:lvlText w:val="%1)"/>
      <w:lvlJc w:val="left"/>
      <w:pPr>
        <w:ind w:left="350" w:hanging="360"/>
      </w:pPr>
      <w:rPr>
        <w:rFonts w:cs="Times New Roman" w:hint="default"/>
      </w:rPr>
    </w:lvl>
    <w:lvl w:ilvl="1" w:tplc="04160019" w:tentative="1">
      <w:start w:val="1"/>
      <w:numFmt w:val="lowerLetter"/>
      <w:lvlText w:val="%2."/>
      <w:lvlJc w:val="left"/>
      <w:pPr>
        <w:ind w:left="1070" w:hanging="360"/>
      </w:pPr>
      <w:rPr>
        <w:rFonts w:cs="Times New Roman"/>
      </w:rPr>
    </w:lvl>
    <w:lvl w:ilvl="2" w:tplc="0416001B" w:tentative="1">
      <w:start w:val="1"/>
      <w:numFmt w:val="lowerRoman"/>
      <w:lvlText w:val="%3."/>
      <w:lvlJc w:val="right"/>
      <w:pPr>
        <w:ind w:left="1790" w:hanging="180"/>
      </w:pPr>
      <w:rPr>
        <w:rFonts w:cs="Times New Roman"/>
      </w:rPr>
    </w:lvl>
    <w:lvl w:ilvl="3" w:tplc="0416000F" w:tentative="1">
      <w:start w:val="1"/>
      <w:numFmt w:val="decimal"/>
      <w:lvlText w:val="%4."/>
      <w:lvlJc w:val="left"/>
      <w:pPr>
        <w:ind w:left="2510" w:hanging="360"/>
      </w:pPr>
      <w:rPr>
        <w:rFonts w:cs="Times New Roman"/>
      </w:rPr>
    </w:lvl>
    <w:lvl w:ilvl="4" w:tplc="04160019" w:tentative="1">
      <w:start w:val="1"/>
      <w:numFmt w:val="lowerLetter"/>
      <w:lvlText w:val="%5."/>
      <w:lvlJc w:val="left"/>
      <w:pPr>
        <w:ind w:left="3230" w:hanging="360"/>
      </w:pPr>
      <w:rPr>
        <w:rFonts w:cs="Times New Roman"/>
      </w:rPr>
    </w:lvl>
    <w:lvl w:ilvl="5" w:tplc="0416001B" w:tentative="1">
      <w:start w:val="1"/>
      <w:numFmt w:val="lowerRoman"/>
      <w:lvlText w:val="%6."/>
      <w:lvlJc w:val="right"/>
      <w:pPr>
        <w:ind w:left="3950" w:hanging="180"/>
      </w:pPr>
      <w:rPr>
        <w:rFonts w:cs="Times New Roman"/>
      </w:rPr>
    </w:lvl>
    <w:lvl w:ilvl="6" w:tplc="0416000F" w:tentative="1">
      <w:start w:val="1"/>
      <w:numFmt w:val="decimal"/>
      <w:lvlText w:val="%7."/>
      <w:lvlJc w:val="left"/>
      <w:pPr>
        <w:ind w:left="4670" w:hanging="360"/>
      </w:pPr>
      <w:rPr>
        <w:rFonts w:cs="Times New Roman"/>
      </w:rPr>
    </w:lvl>
    <w:lvl w:ilvl="7" w:tplc="04160019" w:tentative="1">
      <w:start w:val="1"/>
      <w:numFmt w:val="lowerLetter"/>
      <w:lvlText w:val="%8."/>
      <w:lvlJc w:val="left"/>
      <w:pPr>
        <w:ind w:left="5390" w:hanging="360"/>
      </w:pPr>
      <w:rPr>
        <w:rFonts w:cs="Times New Roman"/>
      </w:rPr>
    </w:lvl>
    <w:lvl w:ilvl="8" w:tplc="0416001B" w:tentative="1">
      <w:start w:val="1"/>
      <w:numFmt w:val="lowerRoman"/>
      <w:lvlText w:val="%9."/>
      <w:lvlJc w:val="right"/>
      <w:pPr>
        <w:ind w:left="6110" w:hanging="180"/>
      </w:pPr>
      <w:rPr>
        <w:rFonts w:cs="Times New Roman"/>
      </w:rPr>
    </w:lvl>
  </w:abstractNum>
  <w:abstractNum w:abstractNumId="43" w15:restartNumberingAfterBreak="0">
    <w:nsid w:val="6D9D7011"/>
    <w:multiLevelType w:val="hybridMultilevel"/>
    <w:tmpl w:val="2DDA5CA0"/>
    <w:lvl w:ilvl="0" w:tplc="B50ACE3E">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15:restartNumberingAfterBreak="0">
    <w:nsid w:val="71C31C9B"/>
    <w:multiLevelType w:val="hybridMultilevel"/>
    <w:tmpl w:val="2406491A"/>
    <w:lvl w:ilvl="0" w:tplc="4E28E990">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743B3E72"/>
    <w:multiLevelType w:val="hybridMultilevel"/>
    <w:tmpl w:val="8C32D29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6" w15:restartNumberingAfterBreak="0">
    <w:nsid w:val="77A13F3D"/>
    <w:multiLevelType w:val="hybridMultilevel"/>
    <w:tmpl w:val="92F65E7C"/>
    <w:lvl w:ilvl="0" w:tplc="0B3AFFC0">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7" w15:restartNumberingAfterBreak="0">
    <w:nsid w:val="77B6437F"/>
    <w:multiLevelType w:val="hybridMultilevel"/>
    <w:tmpl w:val="A574DDDA"/>
    <w:lvl w:ilvl="0" w:tplc="55DC35F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15:restartNumberingAfterBreak="0">
    <w:nsid w:val="7A805D02"/>
    <w:multiLevelType w:val="hybridMultilevel"/>
    <w:tmpl w:val="A0042F36"/>
    <w:lvl w:ilvl="0" w:tplc="04160001">
      <w:start w:val="1"/>
      <w:numFmt w:val="bullet"/>
      <w:lvlText w:val=""/>
      <w:lvlJc w:val="left"/>
      <w:pPr>
        <w:ind w:left="720" w:hanging="360"/>
      </w:pPr>
      <w:rPr>
        <w:rFonts w:ascii="Symbol" w:hAnsi="Symbol"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
  </w:num>
  <w:num w:numId="2">
    <w:abstractNumId w:val="33"/>
  </w:num>
  <w:num w:numId="3">
    <w:abstractNumId w:val="16"/>
  </w:num>
  <w:num w:numId="4">
    <w:abstractNumId w:val="48"/>
  </w:num>
  <w:num w:numId="5">
    <w:abstractNumId w:val="41"/>
  </w:num>
  <w:num w:numId="6">
    <w:abstractNumId w:val="7"/>
  </w:num>
  <w:num w:numId="7">
    <w:abstractNumId w:val="17"/>
  </w:num>
  <w:num w:numId="8">
    <w:abstractNumId w:val="14"/>
  </w:num>
  <w:num w:numId="9">
    <w:abstractNumId w:val="47"/>
  </w:num>
  <w:num w:numId="10">
    <w:abstractNumId w:val="39"/>
  </w:num>
  <w:num w:numId="11">
    <w:abstractNumId w:val="4"/>
  </w:num>
  <w:num w:numId="12">
    <w:abstractNumId w:val="24"/>
  </w:num>
  <w:num w:numId="13">
    <w:abstractNumId w:val="30"/>
  </w:num>
  <w:num w:numId="14">
    <w:abstractNumId w:val="20"/>
  </w:num>
  <w:num w:numId="15">
    <w:abstractNumId w:val="45"/>
  </w:num>
  <w:num w:numId="16">
    <w:abstractNumId w:val="21"/>
  </w:num>
  <w:num w:numId="17">
    <w:abstractNumId w:val="15"/>
  </w:num>
  <w:num w:numId="18">
    <w:abstractNumId w:val="46"/>
  </w:num>
  <w:num w:numId="19">
    <w:abstractNumId w:val="6"/>
  </w:num>
  <w:num w:numId="20">
    <w:abstractNumId w:val="38"/>
  </w:num>
  <w:num w:numId="21">
    <w:abstractNumId w:val="22"/>
  </w:num>
  <w:num w:numId="22">
    <w:abstractNumId w:val="18"/>
  </w:num>
  <w:num w:numId="23">
    <w:abstractNumId w:val="10"/>
  </w:num>
  <w:num w:numId="24">
    <w:abstractNumId w:val="32"/>
  </w:num>
  <w:num w:numId="25">
    <w:abstractNumId w:val="44"/>
  </w:num>
  <w:num w:numId="26">
    <w:abstractNumId w:val="34"/>
  </w:num>
  <w:num w:numId="27">
    <w:abstractNumId w:val="11"/>
  </w:num>
  <w:num w:numId="28">
    <w:abstractNumId w:val="1"/>
  </w:num>
  <w:num w:numId="29">
    <w:abstractNumId w:val="13"/>
  </w:num>
  <w:num w:numId="30">
    <w:abstractNumId w:val="43"/>
  </w:num>
  <w:num w:numId="31">
    <w:abstractNumId w:val="9"/>
  </w:num>
  <w:num w:numId="32">
    <w:abstractNumId w:val="37"/>
  </w:num>
  <w:num w:numId="33">
    <w:abstractNumId w:val="28"/>
  </w:num>
  <w:num w:numId="34">
    <w:abstractNumId w:val="42"/>
  </w:num>
  <w:num w:numId="35">
    <w:abstractNumId w:val="29"/>
  </w:num>
  <w:num w:numId="36">
    <w:abstractNumId w:val="23"/>
  </w:num>
  <w:num w:numId="37">
    <w:abstractNumId w:val="27"/>
  </w:num>
  <w:num w:numId="38">
    <w:abstractNumId w:val="26"/>
  </w:num>
  <w:num w:numId="39">
    <w:abstractNumId w:val="5"/>
  </w:num>
  <w:num w:numId="40">
    <w:abstractNumId w:val="8"/>
  </w:num>
  <w:num w:numId="41">
    <w:abstractNumId w:val="19"/>
  </w:num>
  <w:num w:numId="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0"/>
  </w:num>
  <w:num w:numId="44">
    <w:abstractNumId w:val="36"/>
  </w:num>
  <w:num w:numId="45">
    <w:abstractNumId w:val="31"/>
  </w:num>
  <w:num w:numId="46">
    <w:abstractNumId w:val="35"/>
  </w:num>
  <w:num w:numId="47">
    <w:abstractNumId w:val="25"/>
  </w:num>
  <w:num w:numId="48">
    <w:abstractNumId w:val="3"/>
  </w:num>
  <w:num w:numId="49">
    <w:abstractNumId w:val="40"/>
  </w:num>
  <w:num w:numId="50">
    <w:abstractNumId w:val="12"/>
  </w:num>
  <w:num w:numId="51">
    <w:abstractNumId w:val="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490A"/>
    <w:rsid w:val="00000DBD"/>
    <w:rsid w:val="00002A72"/>
    <w:rsid w:val="00002FFB"/>
    <w:rsid w:val="000056D8"/>
    <w:rsid w:val="00005964"/>
    <w:rsid w:val="000065F5"/>
    <w:rsid w:val="00013175"/>
    <w:rsid w:val="00013EDC"/>
    <w:rsid w:val="00016013"/>
    <w:rsid w:val="00016066"/>
    <w:rsid w:val="00017119"/>
    <w:rsid w:val="00017FAA"/>
    <w:rsid w:val="00020539"/>
    <w:rsid w:val="00020FF2"/>
    <w:rsid w:val="0002181A"/>
    <w:rsid w:val="00022D4B"/>
    <w:rsid w:val="00024255"/>
    <w:rsid w:val="00025EB0"/>
    <w:rsid w:val="00031780"/>
    <w:rsid w:val="00033858"/>
    <w:rsid w:val="000339E9"/>
    <w:rsid w:val="00034175"/>
    <w:rsid w:val="00034282"/>
    <w:rsid w:val="000349D4"/>
    <w:rsid w:val="00034B3E"/>
    <w:rsid w:val="00034E98"/>
    <w:rsid w:val="00036149"/>
    <w:rsid w:val="0003706E"/>
    <w:rsid w:val="00037234"/>
    <w:rsid w:val="000376FB"/>
    <w:rsid w:val="00037B35"/>
    <w:rsid w:val="00040FDD"/>
    <w:rsid w:val="00043698"/>
    <w:rsid w:val="000458AD"/>
    <w:rsid w:val="0004711E"/>
    <w:rsid w:val="000471DF"/>
    <w:rsid w:val="00047A17"/>
    <w:rsid w:val="000525CD"/>
    <w:rsid w:val="0005315D"/>
    <w:rsid w:val="00053BE0"/>
    <w:rsid w:val="00054013"/>
    <w:rsid w:val="00054BA2"/>
    <w:rsid w:val="00055DBF"/>
    <w:rsid w:val="00057A7E"/>
    <w:rsid w:val="00057F9F"/>
    <w:rsid w:val="00060BEC"/>
    <w:rsid w:val="00061290"/>
    <w:rsid w:val="000612E4"/>
    <w:rsid w:val="000643B5"/>
    <w:rsid w:val="00067A62"/>
    <w:rsid w:val="00067CF3"/>
    <w:rsid w:val="00071422"/>
    <w:rsid w:val="0007211E"/>
    <w:rsid w:val="00073259"/>
    <w:rsid w:val="00073C18"/>
    <w:rsid w:val="00073C46"/>
    <w:rsid w:val="0007578A"/>
    <w:rsid w:val="00075C4D"/>
    <w:rsid w:val="000777D6"/>
    <w:rsid w:val="00080E19"/>
    <w:rsid w:val="00080FF0"/>
    <w:rsid w:val="00082AB1"/>
    <w:rsid w:val="0008341F"/>
    <w:rsid w:val="00083710"/>
    <w:rsid w:val="0008542B"/>
    <w:rsid w:val="0008561F"/>
    <w:rsid w:val="0008665A"/>
    <w:rsid w:val="0008751B"/>
    <w:rsid w:val="00087D7D"/>
    <w:rsid w:val="000900BC"/>
    <w:rsid w:val="000908D5"/>
    <w:rsid w:val="00091982"/>
    <w:rsid w:val="00091D35"/>
    <w:rsid w:val="00092EB1"/>
    <w:rsid w:val="0009589B"/>
    <w:rsid w:val="00096C60"/>
    <w:rsid w:val="0009783B"/>
    <w:rsid w:val="000A022F"/>
    <w:rsid w:val="000A068E"/>
    <w:rsid w:val="000A136D"/>
    <w:rsid w:val="000A1616"/>
    <w:rsid w:val="000A2A58"/>
    <w:rsid w:val="000A3CD5"/>
    <w:rsid w:val="000A4FEA"/>
    <w:rsid w:val="000A682E"/>
    <w:rsid w:val="000A74D7"/>
    <w:rsid w:val="000B0333"/>
    <w:rsid w:val="000B19AE"/>
    <w:rsid w:val="000B2D67"/>
    <w:rsid w:val="000B79EA"/>
    <w:rsid w:val="000C08A9"/>
    <w:rsid w:val="000C1169"/>
    <w:rsid w:val="000C20E4"/>
    <w:rsid w:val="000C21B8"/>
    <w:rsid w:val="000C23F5"/>
    <w:rsid w:val="000C2CA3"/>
    <w:rsid w:val="000C2DC5"/>
    <w:rsid w:val="000C3DDF"/>
    <w:rsid w:val="000C41EE"/>
    <w:rsid w:val="000C4514"/>
    <w:rsid w:val="000C5AFA"/>
    <w:rsid w:val="000C6541"/>
    <w:rsid w:val="000D0C88"/>
    <w:rsid w:val="000D0ECA"/>
    <w:rsid w:val="000D3464"/>
    <w:rsid w:val="000D5B55"/>
    <w:rsid w:val="000D68AE"/>
    <w:rsid w:val="000E0FF4"/>
    <w:rsid w:val="000E21F0"/>
    <w:rsid w:val="000E4666"/>
    <w:rsid w:val="000E4CDE"/>
    <w:rsid w:val="000E52B4"/>
    <w:rsid w:val="000E57FB"/>
    <w:rsid w:val="000F02BD"/>
    <w:rsid w:val="000F070E"/>
    <w:rsid w:val="000F0A16"/>
    <w:rsid w:val="000F6CAF"/>
    <w:rsid w:val="000F7387"/>
    <w:rsid w:val="001002CE"/>
    <w:rsid w:val="00100799"/>
    <w:rsid w:val="00101E2D"/>
    <w:rsid w:val="00102245"/>
    <w:rsid w:val="001048C8"/>
    <w:rsid w:val="00104F4C"/>
    <w:rsid w:val="00107508"/>
    <w:rsid w:val="001077FA"/>
    <w:rsid w:val="001118B5"/>
    <w:rsid w:val="001139E4"/>
    <w:rsid w:val="00113B0F"/>
    <w:rsid w:val="00113F51"/>
    <w:rsid w:val="001171E7"/>
    <w:rsid w:val="0011760A"/>
    <w:rsid w:val="00117C02"/>
    <w:rsid w:val="00121CAE"/>
    <w:rsid w:val="00122606"/>
    <w:rsid w:val="00124573"/>
    <w:rsid w:val="001249BE"/>
    <w:rsid w:val="00126F61"/>
    <w:rsid w:val="001300DC"/>
    <w:rsid w:val="0013163F"/>
    <w:rsid w:val="001319C3"/>
    <w:rsid w:val="00131C3C"/>
    <w:rsid w:val="001326F8"/>
    <w:rsid w:val="00132F6E"/>
    <w:rsid w:val="00133EB9"/>
    <w:rsid w:val="00134142"/>
    <w:rsid w:val="0013424E"/>
    <w:rsid w:val="00134C7D"/>
    <w:rsid w:val="00134E8D"/>
    <w:rsid w:val="001379CF"/>
    <w:rsid w:val="00137E40"/>
    <w:rsid w:val="00140546"/>
    <w:rsid w:val="00141536"/>
    <w:rsid w:val="001417AC"/>
    <w:rsid w:val="00141E01"/>
    <w:rsid w:val="00142D6E"/>
    <w:rsid w:val="00143DC0"/>
    <w:rsid w:val="001448AD"/>
    <w:rsid w:val="00145421"/>
    <w:rsid w:val="00146369"/>
    <w:rsid w:val="001475CD"/>
    <w:rsid w:val="00147A50"/>
    <w:rsid w:val="00151477"/>
    <w:rsid w:val="001514DC"/>
    <w:rsid w:val="00151F1D"/>
    <w:rsid w:val="0015214F"/>
    <w:rsid w:val="0015273C"/>
    <w:rsid w:val="00153E04"/>
    <w:rsid w:val="00154E2C"/>
    <w:rsid w:val="00155A88"/>
    <w:rsid w:val="0015732A"/>
    <w:rsid w:val="001575D3"/>
    <w:rsid w:val="0016050E"/>
    <w:rsid w:val="001611A8"/>
    <w:rsid w:val="001631B2"/>
    <w:rsid w:val="00163227"/>
    <w:rsid w:val="00163ECB"/>
    <w:rsid w:val="0016491E"/>
    <w:rsid w:val="0016647F"/>
    <w:rsid w:val="00166E67"/>
    <w:rsid w:val="0016797A"/>
    <w:rsid w:val="0016798C"/>
    <w:rsid w:val="00167A57"/>
    <w:rsid w:val="00172CFC"/>
    <w:rsid w:val="001733B2"/>
    <w:rsid w:val="00174655"/>
    <w:rsid w:val="00180538"/>
    <w:rsid w:val="0018202E"/>
    <w:rsid w:val="0018231F"/>
    <w:rsid w:val="00182C00"/>
    <w:rsid w:val="001849BE"/>
    <w:rsid w:val="00185426"/>
    <w:rsid w:val="001866A5"/>
    <w:rsid w:val="00186E64"/>
    <w:rsid w:val="00190A9E"/>
    <w:rsid w:val="001910F5"/>
    <w:rsid w:val="001915E9"/>
    <w:rsid w:val="00191A0C"/>
    <w:rsid w:val="00192DCF"/>
    <w:rsid w:val="00195654"/>
    <w:rsid w:val="00196378"/>
    <w:rsid w:val="001964BD"/>
    <w:rsid w:val="00196A96"/>
    <w:rsid w:val="0019716C"/>
    <w:rsid w:val="00197987"/>
    <w:rsid w:val="001A0773"/>
    <w:rsid w:val="001A0F50"/>
    <w:rsid w:val="001A3DFD"/>
    <w:rsid w:val="001A3E6A"/>
    <w:rsid w:val="001A54A7"/>
    <w:rsid w:val="001A597D"/>
    <w:rsid w:val="001A75AF"/>
    <w:rsid w:val="001A78A8"/>
    <w:rsid w:val="001B0C70"/>
    <w:rsid w:val="001B1413"/>
    <w:rsid w:val="001B1D57"/>
    <w:rsid w:val="001B2B86"/>
    <w:rsid w:val="001B46D0"/>
    <w:rsid w:val="001B4B63"/>
    <w:rsid w:val="001B70F0"/>
    <w:rsid w:val="001C0195"/>
    <w:rsid w:val="001C0E09"/>
    <w:rsid w:val="001C4080"/>
    <w:rsid w:val="001C4CB6"/>
    <w:rsid w:val="001C4FCB"/>
    <w:rsid w:val="001C6EC2"/>
    <w:rsid w:val="001D031C"/>
    <w:rsid w:val="001D0A6E"/>
    <w:rsid w:val="001D1066"/>
    <w:rsid w:val="001D18FF"/>
    <w:rsid w:val="001D24D4"/>
    <w:rsid w:val="001D27D4"/>
    <w:rsid w:val="001D6DA5"/>
    <w:rsid w:val="001D7820"/>
    <w:rsid w:val="001E1DFC"/>
    <w:rsid w:val="001E2D25"/>
    <w:rsid w:val="001E31EE"/>
    <w:rsid w:val="001E32F2"/>
    <w:rsid w:val="001E37C5"/>
    <w:rsid w:val="001E384F"/>
    <w:rsid w:val="001E46D2"/>
    <w:rsid w:val="001E68A1"/>
    <w:rsid w:val="001E6977"/>
    <w:rsid w:val="001E7B74"/>
    <w:rsid w:val="001F06AD"/>
    <w:rsid w:val="001F1869"/>
    <w:rsid w:val="001F2073"/>
    <w:rsid w:val="001F29B8"/>
    <w:rsid w:val="001F2A54"/>
    <w:rsid w:val="001F2C6D"/>
    <w:rsid w:val="001F39EC"/>
    <w:rsid w:val="001F3D09"/>
    <w:rsid w:val="001F412F"/>
    <w:rsid w:val="001F4C60"/>
    <w:rsid w:val="001F617B"/>
    <w:rsid w:val="00200271"/>
    <w:rsid w:val="00202F2D"/>
    <w:rsid w:val="0020351B"/>
    <w:rsid w:val="002038E7"/>
    <w:rsid w:val="002049F4"/>
    <w:rsid w:val="00205B70"/>
    <w:rsid w:val="0020699F"/>
    <w:rsid w:val="00207399"/>
    <w:rsid w:val="0021041E"/>
    <w:rsid w:val="00211FAB"/>
    <w:rsid w:val="00212FD9"/>
    <w:rsid w:val="00214B99"/>
    <w:rsid w:val="0021514B"/>
    <w:rsid w:val="00216883"/>
    <w:rsid w:val="00216FB3"/>
    <w:rsid w:val="00217E7C"/>
    <w:rsid w:val="002223C0"/>
    <w:rsid w:val="002227B1"/>
    <w:rsid w:val="00223064"/>
    <w:rsid w:val="00223227"/>
    <w:rsid w:val="002247E8"/>
    <w:rsid w:val="002257BF"/>
    <w:rsid w:val="00225E45"/>
    <w:rsid w:val="00227265"/>
    <w:rsid w:val="002315E1"/>
    <w:rsid w:val="002316D1"/>
    <w:rsid w:val="0023229C"/>
    <w:rsid w:val="002324F8"/>
    <w:rsid w:val="00232F02"/>
    <w:rsid w:val="00233E26"/>
    <w:rsid w:val="00236A42"/>
    <w:rsid w:val="00240571"/>
    <w:rsid w:val="00240F51"/>
    <w:rsid w:val="00241F54"/>
    <w:rsid w:val="00242BA2"/>
    <w:rsid w:val="00242D85"/>
    <w:rsid w:val="002438E3"/>
    <w:rsid w:val="00244166"/>
    <w:rsid w:val="002446E5"/>
    <w:rsid w:val="00244FC9"/>
    <w:rsid w:val="002455DB"/>
    <w:rsid w:val="00245D29"/>
    <w:rsid w:val="00246042"/>
    <w:rsid w:val="002516AB"/>
    <w:rsid w:val="0025173C"/>
    <w:rsid w:val="00253153"/>
    <w:rsid w:val="00254331"/>
    <w:rsid w:val="002545DA"/>
    <w:rsid w:val="002557A4"/>
    <w:rsid w:val="00255BBB"/>
    <w:rsid w:val="00256265"/>
    <w:rsid w:val="002618B8"/>
    <w:rsid w:val="00261F74"/>
    <w:rsid w:val="00262981"/>
    <w:rsid w:val="002629BF"/>
    <w:rsid w:val="002629D1"/>
    <w:rsid w:val="00262C6E"/>
    <w:rsid w:val="0026646F"/>
    <w:rsid w:val="0026668F"/>
    <w:rsid w:val="002678BD"/>
    <w:rsid w:val="00267AE2"/>
    <w:rsid w:val="0027257B"/>
    <w:rsid w:val="00273CDB"/>
    <w:rsid w:val="00276451"/>
    <w:rsid w:val="002775D6"/>
    <w:rsid w:val="00280A46"/>
    <w:rsid w:val="00280C8D"/>
    <w:rsid w:val="00280D97"/>
    <w:rsid w:val="002833B2"/>
    <w:rsid w:val="00283510"/>
    <w:rsid w:val="00284EBA"/>
    <w:rsid w:val="00284FDE"/>
    <w:rsid w:val="00286035"/>
    <w:rsid w:val="00286261"/>
    <w:rsid w:val="002865D9"/>
    <w:rsid w:val="002869E3"/>
    <w:rsid w:val="00287A1F"/>
    <w:rsid w:val="00287C23"/>
    <w:rsid w:val="00287C82"/>
    <w:rsid w:val="0029030F"/>
    <w:rsid w:val="00291C1A"/>
    <w:rsid w:val="00292775"/>
    <w:rsid w:val="00292A50"/>
    <w:rsid w:val="00292E7C"/>
    <w:rsid w:val="002936F7"/>
    <w:rsid w:val="00294530"/>
    <w:rsid w:val="002A0B5D"/>
    <w:rsid w:val="002A341A"/>
    <w:rsid w:val="002A3FDB"/>
    <w:rsid w:val="002A557D"/>
    <w:rsid w:val="002A588F"/>
    <w:rsid w:val="002A7FCB"/>
    <w:rsid w:val="002B048D"/>
    <w:rsid w:val="002B04AF"/>
    <w:rsid w:val="002B254D"/>
    <w:rsid w:val="002B29D9"/>
    <w:rsid w:val="002B51B5"/>
    <w:rsid w:val="002B55B7"/>
    <w:rsid w:val="002B6A39"/>
    <w:rsid w:val="002B6F62"/>
    <w:rsid w:val="002B7D80"/>
    <w:rsid w:val="002C0110"/>
    <w:rsid w:val="002C024D"/>
    <w:rsid w:val="002C5291"/>
    <w:rsid w:val="002C5623"/>
    <w:rsid w:val="002C5BC6"/>
    <w:rsid w:val="002C5F11"/>
    <w:rsid w:val="002D15C7"/>
    <w:rsid w:val="002D3823"/>
    <w:rsid w:val="002D479D"/>
    <w:rsid w:val="002D4B68"/>
    <w:rsid w:val="002D4C23"/>
    <w:rsid w:val="002D5CF1"/>
    <w:rsid w:val="002E05D4"/>
    <w:rsid w:val="002E0AC5"/>
    <w:rsid w:val="002E22E9"/>
    <w:rsid w:val="002E2381"/>
    <w:rsid w:val="002E23D6"/>
    <w:rsid w:val="002E37F8"/>
    <w:rsid w:val="002F0992"/>
    <w:rsid w:val="002F1E8D"/>
    <w:rsid w:val="002F30C3"/>
    <w:rsid w:val="002F3575"/>
    <w:rsid w:val="002F3756"/>
    <w:rsid w:val="002F3813"/>
    <w:rsid w:val="002F5729"/>
    <w:rsid w:val="002F679C"/>
    <w:rsid w:val="00300D97"/>
    <w:rsid w:val="00301CA7"/>
    <w:rsid w:val="003021B7"/>
    <w:rsid w:val="00302520"/>
    <w:rsid w:val="003025A0"/>
    <w:rsid w:val="00302891"/>
    <w:rsid w:val="00302FF8"/>
    <w:rsid w:val="0030361A"/>
    <w:rsid w:val="003042F6"/>
    <w:rsid w:val="0030721E"/>
    <w:rsid w:val="00307BD6"/>
    <w:rsid w:val="00310D59"/>
    <w:rsid w:val="0031251D"/>
    <w:rsid w:val="0031402D"/>
    <w:rsid w:val="003169B7"/>
    <w:rsid w:val="00316EE9"/>
    <w:rsid w:val="003179A8"/>
    <w:rsid w:val="00317F59"/>
    <w:rsid w:val="00321C9E"/>
    <w:rsid w:val="00325290"/>
    <w:rsid w:val="00325706"/>
    <w:rsid w:val="003261DE"/>
    <w:rsid w:val="00326F06"/>
    <w:rsid w:val="00333529"/>
    <w:rsid w:val="003368B9"/>
    <w:rsid w:val="00337C23"/>
    <w:rsid w:val="00340071"/>
    <w:rsid w:val="003404A2"/>
    <w:rsid w:val="00340A48"/>
    <w:rsid w:val="003445FB"/>
    <w:rsid w:val="003447AB"/>
    <w:rsid w:val="00344B4F"/>
    <w:rsid w:val="00344D79"/>
    <w:rsid w:val="00346546"/>
    <w:rsid w:val="0034683A"/>
    <w:rsid w:val="0035163D"/>
    <w:rsid w:val="003523A1"/>
    <w:rsid w:val="00353139"/>
    <w:rsid w:val="0035389A"/>
    <w:rsid w:val="00354FFA"/>
    <w:rsid w:val="0035643B"/>
    <w:rsid w:val="00356B43"/>
    <w:rsid w:val="00357E95"/>
    <w:rsid w:val="003603E8"/>
    <w:rsid w:val="003607B9"/>
    <w:rsid w:val="003608BB"/>
    <w:rsid w:val="0036172F"/>
    <w:rsid w:val="00361E76"/>
    <w:rsid w:val="00362420"/>
    <w:rsid w:val="0036540C"/>
    <w:rsid w:val="00365EB1"/>
    <w:rsid w:val="00365EBF"/>
    <w:rsid w:val="00366207"/>
    <w:rsid w:val="00367497"/>
    <w:rsid w:val="0037059B"/>
    <w:rsid w:val="003706F1"/>
    <w:rsid w:val="0037088E"/>
    <w:rsid w:val="00371A1F"/>
    <w:rsid w:val="00371C9C"/>
    <w:rsid w:val="00374767"/>
    <w:rsid w:val="00377EA2"/>
    <w:rsid w:val="00381051"/>
    <w:rsid w:val="003813C3"/>
    <w:rsid w:val="0038150D"/>
    <w:rsid w:val="00383C63"/>
    <w:rsid w:val="00383F8E"/>
    <w:rsid w:val="0038471C"/>
    <w:rsid w:val="00385121"/>
    <w:rsid w:val="00390452"/>
    <w:rsid w:val="00390609"/>
    <w:rsid w:val="0039094D"/>
    <w:rsid w:val="00395146"/>
    <w:rsid w:val="00396156"/>
    <w:rsid w:val="00396515"/>
    <w:rsid w:val="00396CF5"/>
    <w:rsid w:val="00397F43"/>
    <w:rsid w:val="003A0161"/>
    <w:rsid w:val="003A3397"/>
    <w:rsid w:val="003A421D"/>
    <w:rsid w:val="003A4466"/>
    <w:rsid w:val="003A5B27"/>
    <w:rsid w:val="003A5B59"/>
    <w:rsid w:val="003A623E"/>
    <w:rsid w:val="003A75EF"/>
    <w:rsid w:val="003B07B1"/>
    <w:rsid w:val="003B1476"/>
    <w:rsid w:val="003B2AF4"/>
    <w:rsid w:val="003B3433"/>
    <w:rsid w:val="003B3B62"/>
    <w:rsid w:val="003B4337"/>
    <w:rsid w:val="003B49F2"/>
    <w:rsid w:val="003B5FC4"/>
    <w:rsid w:val="003B6533"/>
    <w:rsid w:val="003B653E"/>
    <w:rsid w:val="003B78AB"/>
    <w:rsid w:val="003C00C5"/>
    <w:rsid w:val="003C3798"/>
    <w:rsid w:val="003C56C9"/>
    <w:rsid w:val="003C628D"/>
    <w:rsid w:val="003C7215"/>
    <w:rsid w:val="003D0024"/>
    <w:rsid w:val="003D132D"/>
    <w:rsid w:val="003D1BEE"/>
    <w:rsid w:val="003D269C"/>
    <w:rsid w:val="003D3271"/>
    <w:rsid w:val="003D3CCB"/>
    <w:rsid w:val="003D46A3"/>
    <w:rsid w:val="003D4C67"/>
    <w:rsid w:val="003D7CC8"/>
    <w:rsid w:val="003E1382"/>
    <w:rsid w:val="003E28F5"/>
    <w:rsid w:val="003E51E2"/>
    <w:rsid w:val="003E7119"/>
    <w:rsid w:val="003E78C3"/>
    <w:rsid w:val="003E7FD8"/>
    <w:rsid w:val="003F0939"/>
    <w:rsid w:val="003F17CA"/>
    <w:rsid w:val="003F1848"/>
    <w:rsid w:val="003F27A5"/>
    <w:rsid w:val="003F3F85"/>
    <w:rsid w:val="003F537F"/>
    <w:rsid w:val="003F5898"/>
    <w:rsid w:val="003F6045"/>
    <w:rsid w:val="003F64ED"/>
    <w:rsid w:val="003F6EDE"/>
    <w:rsid w:val="00400056"/>
    <w:rsid w:val="00400D9B"/>
    <w:rsid w:val="00401940"/>
    <w:rsid w:val="00401B2D"/>
    <w:rsid w:val="00401B68"/>
    <w:rsid w:val="00402705"/>
    <w:rsid w:val="004034FB"/>
    <w:rsid w:val="0040523E"/>
    <w:rsid w:val="00406BE9"/>
    <w:rsid w:val="00407599"/>
    <w:rsid w:val="0041123B"/>
    <w:rsid w:val="00411311"/>
    <w:rsid w:val="00411C75"/>
    <w:rsid w:val="004124D9"/>
    <w:rsid w:val="00413462"/>
    <w:rsid w:val="00414716"/>
    <w:rsid w:val="004165E2"/>
    <w:rsid w:val="00416981"/>
    <w:rsid w:val="00416BE0"/>
    <w:rsid w:val="0041791D"/>
    <w:rsid w:val="00420D23"/>
    <w:rsid w:val="00421572"/>
    <w:rsid w:val="00422BA2"/>
    <w:rsid w:val="00422D51"/>
    <w:rsid w:val="00422E00"/>
    <w:rsid w:val="0042494A"/>
    <w:rsid w:val="00425E9F"/>
    <w:rsid w:val="00426F40"/>
    <w:rsid w:val="0042743C"/>
    <w:rsid w:val="00430178"/>
    <w:rsid w:val="004313CE"/>
    <w:rsid w:val="004321D2"/>
    <w:rsid w:val="00432677"/>
    <w:rsid w:val="00432C39"/>
    <w:rsid w:val="00432EBE"/>
    <w:rsid w:val="00434098"/>
    <w:rsid w:val="0043473A"/>
    <w:rsid w:val="00435DBF"/>
    <w:rsid w:val="004365D7"/>
    <w:rsid w:val="0043682C"/>
    <w:rsid w:val="0043750D"/>
    <w:rsid w:val="004409AD"/>
    <w:rsid w:val="00442E6F"/>
    <w:rsid w:val="0044337A"/>
    <w:rsid w:val="004445A6"/>
    <w:rsid w:val="00445F0A"/>
    <w:rsid w:val="00446515"/>
    <w:rsid w:val="00446D2A"/>
    <w:rsid w:val="00447A82"/>
    <w:rsid w:val="00450459"/>
    <w:rsid w:val="004504FA"/>
    <w:rsid w:val="00450F60"/>
    <w:rsid w:val="0045372E"/>
    <w:rsid w:val="00453FEF"/>
    <w:rsid w:val="00457667"/>
    <w:rsid w:val="00460ECF"/>
    <w:rsid w:val="00462396"/>
    <w:rsid w:val="00462640"/>
    <w:rsid w:val="00462D2C"/>
    <w:rsid w:val="00463A2F"/>
    <w:rsid w:val="00464965"/>
    <w:rsid w:val="00465543"/>
    <w:rsid w:val="004657F6"/>
    <w:rsid w:val="00467AD6"/>
    <w:rsid w:val="00471607"/>
    <w:rsid w:val="004722EF"/>
    <w:rsid w:val="0047252E"/>
    <w:rsid w:val="004733C5"/>
    <w:rsid w:val="0047448C"/>
    <w:rsid w:val="0048178A"/>
    <w:rsid w:val="00482A10"/>
    <w:rsid w:val="0048375B"/>
    <w:rsid w:val="00483A3D"/>
    <w:rsid w:val="004840F0"/>
    <w:rsid w:val="00485139"/>
    <w:rsid w:val="00485E6E"/>
    <w:rsid w:val="00486C47"/>
    <w:rsid w:val="00491489"/>
    <w:rsid w:val="0049155E"/>
    <w:rsid w:val="00491827"/>
    <w:rsid w:val="00491CE8"/>
    <w:rsid w:val="0049202A"/>
    <w:rsid w:val="00492F61"/>
    <w:rsid w:val="00493417"/>
    <w:rsid w:val="00493919"/>
    <w:rsid w:val="00493B20"/>
    <w:rsid w:val="004946A8"/>
    <w:rsid w:val="0049503C"/>
    <w:rsid w:val="00496580"/>
    <w:rsid w:val="004A00C4"/>
    <w:rsid w:val="004A00F7"/>
    <w:rsid w:val="004A04A0"/>
    <w:rsid w:val="004A12F0"/>
    <w:rsid w:val="004A1453"/>
    <w:rsid w:val="004A19E5"/>
    <w:rsid w:val="004A2261"/>
    <w:rsid w:val="004A3E6A"/>
    <w:rsid w:val="004A55B3"/>
    <w:rsid w:val="004A6316"/>
    <w:rsid w:val="004A64C5"/>
    <w:rsid w:val="004A7DC5"/>
    <w:rsid w:val="004B0C5D"/>
    <w:rsid w:val="004B2CE7"/>
    <w:rsid w:val="004B32B4"/>
    <w:rsid w:val="004B4766"/>
    <w:rsid w:val="004B5BC1"/>
    <w:rsid w:val="004B5D1D"/>
    <w:rsid w:val="004B73AE"/>
    <w:rsid w:val="004B779E"/>
    <w:rsid w:val="004B7F05"/>
    <w:rsid w:val="004C0490"/>
    <w:rsid w:val="004C133E"/>
    <w:rsid w:val="004C1C3E"/>
    <w:rsid w:val="004C1E78"/>
    <w:rsid w:val="004C45D8"/>
    <w:rsid w:val="004C543E"/>
    <w:rsid w:val="004D03B9"/>
    <w:rsid w:val="004D148A"/>
    <w:rsid w:val="004D3D63"/>
    <w:rsid w:val="004D3F8D"/>
    <w:rsid w:val="004D4587"/>
    <w:rsid w:val="004D5330"/>
    <w:rsid w:val="004D5C74"/>
    <w:rsid w:val="004D5C7F"/>
    <w:rsid w:val="004D5D2A"/>
    <w:rsid w:val="004D5D43"/>
    <w:rsid w:val="004D6DAC"/>
    <w:rsid w:val="004D7A74"/>
    <w:rsid w:val="004E0538"/>
    <w:rsid w:val="004E123C"/>
    <w:rsid w:val="004E341F"/>
    <w:rsid w:val="004E4D7F"/>
    <w:rsid w:val="004E511B"/>
    <w:rsid w:val="004E56C7"/>
    <w:rsid w:val="004E5763"/>
    <w:rsid w:val="004F012F"/>
    <w:rsid w:val="004F0CA2"/>
    <w:rsid w:val="004F0CC9"/>
    <w:rsid w:val="004F0E88"/>
    <w:rsid w:val="004F1344"/>
    <w:rsid w:val="004F2C22"/>
    <w:rsid w:val="004F3177"/>
    <w:rsid w:val="004F3A25"/>
    <w:rsid w:val="004F56FD"/>
    <w:rsid w:val="00501193"/>
    <w:rsid w:val="005019E2"/>
    <w:rsid w:val="00501D18"/>
    <w:rsid w:val="005037F1"/>
    <w:rsid w:val="0050383F"/>
    <w:rsid w:val="005056F3"/>
    <w:rsid w:val="00505ABD"/>
    <w:rsid w:val="005105CD"/>
    <w:rsid w:val="005108A8"/>
    <w:rsid w:val="005119E8"/>
    <w:rsid w:val="005173FE"/>
    <w:rsid w:val="00517521"/>
    <w:rsid w:val="00517985"/>
    <w:rsid w:val="00517F9C"/>
    <w:rsid w:val="0052253B"/>
    <w:rsid w:val="00523310"/>
    <w:rsid w:val="00527448"/>
    <w:rsid w:val="005277C7"/>
    <w:rsid w:val="005277CD"/>
    <w:rsid w:val="0053029C"/>
    <w:rsid w:val="00531D0C"/>
    <w:rsid w:val="005320F1"/>
    <w:rsid w:val="00532985"/>
    <w:rsid w:val="00532C19"/>
    <w:rsid w:val="00533448"/>
    <w:rsid w:val="00534E36"/>
    <w:rsid w:val="00535CF9"/>
    <w:rsid w:val="0053719A"/>
    <w:rsid w:val="005372C9"/>
    <w:rsid w:val="00540060"/>
    <w:rsid w:val="005401D9"/>
    <w:rsid w:val="005406A5"/>
    <w:rsid w:val="005409FD"/>
    <w:rsid w:val="0054455D"/>
    <w:rsid w:val="00547517"/>
    <w:rsid w:val="00550BA6"/>
    <w:rsid w:val="0055312B"/>
    <w:rsid w:val="005534A6"/>
    <w:rsid w:val="00555197"/>
    <w:rsid w:val="00557970"/>
    <w:rsid w:val="00560677"/>
    <w:rsid w:val="005618BE"/>
    <w:rsid w:val="005619AF"/>
    <w:rsid w:val="00563278"/>
    <w:rsid w:val="005647D5"/>
    <w:rsid w:val="005653DB"/>
    <w:rsid w:val="00566A8A"/>
    <w:rsid w:val="00566AA2"/>
    <w:rsid w:val="00566CBE"/>
    <w:rsid w:val="00567598"/>
    <w:rsid w:val="00570B14"/>
    <w:rsid w:val="005746DA"/>
    <w:rsid w:val="00574F78"/>
    <w:rsid w:val="0057561B"/>
    <w:rsid w:val="00577C7D"/>
    <w:rsid w:val="00580E42"/>
    <w:rsid w:val="00580FFA"/>
    <w:rsid w:val="005814A2"/>
    <w:rsid w:val="00581666"/>
    <w:rsid w:val="00581F5B"/>
    <w:rsid w:val="0058201B"/>
    <w:rsid w:val="0058253A"/>
    <w:rsid w:val="0058406B"/>
    <w:rsid w:val="00585CD7"/>
    <w:rsid w:val="0058667F"/>
    <w:rsid w:val="00586C81"/>
    <w:rsid w:val="00587989"/>
    <w:rsid w:val="00590074"/>
    <w:rsid w:val="005923D6"/>
    <w:rsid w:val="00593621"/>
    <w:rsid w:val="00593A16"/>
    <w:rsid w:val="00594460"/>
    <w:rsid w:val="005956D6"/>
    <w:rsid w:val="00595B62"/>
    <w:rsid w:val="005A0163"/>
    <w:rsid w:val="005A0D28"/>
    <w:rsid w:val="005A1123"/>
    <w:rsid w:val="005A1734"/>
    <w:rsid w:val="005A1BB8"/>
    <w:rsid w:val="005A2468"/>
    <w:rsid w:val="005A307E"/>
    <w:rsid w:val="005A3CAD"/>
    <w:rsid w:val="005A701A"/>
    <w:rsid w:val="005B0DF7"/>
    <w:rsid w:val="005B1BD8"/>
    <w:rsid w:val="005B251D"/>
    <w:rsid w:val="005B31C3"/>
    <w:rsid w:val="005B3F10"/>
    <w:rsid w:val="005B4484"/>
    <w:rsid w:val="005B5AF2"/>
    <w:rsid w:val="005B5E96"/>
    <w:rsid w:val="005B7128"/>
    <w:rsid w:val="005B7598"/>
    <w:rsid w:val="005B798C"/>
    <w:rsid w:val="005B7C82"/>
    <w:rsid w:val="005B7FCC"/>
    <w:rsid w:val="005C00E1"/>
    <w:rsid w:val="005C139F"/>
    <w:rsid w:val="005C1D7F"/>
    <w:rsid w:val="005C1F1C"/>
    <w:rsid w:val="005C5114"/>
    <w:rsid w:val="005C5A70"/>
    <w:rsid w:val="005C6595"/>
    <w:rsid w:val="005C719B"/>
    <w:rsid w:val="005C73A3"/>
    <w:rsid w:val="005C7AE0"/>
    <w:rsid w:val="005D0C63"/>
    <w:rsid w:val="005D1F83"/>
    <w:rsid w:val="005D277C"/>
    <w:rsid w:val="005D3226"/>
    <w:rsid w:val="005D415C"/>
    <w:rsid w:val="005D4EB0"/>
    <w:rsid w:val="005D530A"/>
    <w:rsid w:val="005D5C05"/>
    <w:rsid w:val="005D6166"/>
    <w:rsid w:val="005D663A"/>
    <w:rsid w:val="005D6F92"/>
    <w:rsid w:val="005E0237"/>
    <w:rsid w:val="005E1C9E"/>
    <w:rsid w:val="005E3690"/>
    <w:rsid w:val="005E36D5"/>
    <w:rsid w:val="005E3FB5"/>
    <w:rsid w:val="005E52FD"/>
    <w:rsid w:val="005E5A02"/>
    <w:rsid w:val="005E6CA4"/>
    <w:rsid w:val="005E6EAD"/>
    <w:rsid w:val="005F05CF"/>
    <w:rsid w:val="005F0B31"/>
    <w:rsid w:val="005F2197"/>
    <w:rsid w:val="005F2200"/>
    <w:rsid w:val="005F26C3"/>
    <w:rsid w:val="005F26C9"/>
    <w:rsid w:val="005F3193"/>
    <w:rsid w:val="005F37AA"/>
    <w:rsid w:val="005F64BB"/>
    <w:rsid w:val="005F6952"/>
    <w:rsid w:val="005F6D88"/>
    <w:rsid w:val="005F7984"/>
    <w:rsid w:val="00601305"/>
    <w:rsid w:val="00601804"/>
    <w:rsid w:val="00601BA2"/>
    <w:rsid w:val="006027D4"/>
    <w:rsid w:val="0060292D"/>
    <w:rsid w:val="00602AFC"/>
    <w:rsid w:val="006052E1"/>
    <w:rsid w:val="006064A1"/>
    <w:rsid w:val="00606F18"/>
    <w:rsid w:val="006111A2"/>
    <w:rsid w:val="0061139A"/>
    <w:rsid w:val="00612B6C"/>
    <w:rsid w:val="00612E42"/>
    <w:rsid w:val="0061328B"/>
    <w:rsid w:val="006132D3"/>
    <w:rsid w:val="00613437"/>
    <w:rsid w:val="00613D06"/>
    <w:rsid w:val="006147B7"/>
    <w:rsid w:val="006149A2"/>
    <w:rsid w:val="006170A6"/>
    <w:rsid w:val="00617C09"/>
    <w:rsid w:val="00617E86"/>
    <w:rsid w:val="00620208"/>
    <w:rsid w:val="00620675"/>
    <w:rsid w:val="00620D73"/>
    <w:rsid w:val="0062211B"/>
    <w:rsid w:val="0062448F"/>
    <w:rsid w:val="0062527A"/>
    <w:rsid w:val="00625849"/>
    <w:rsid w:val="00626F18"/>
    <w:rsid w:val="00627EB8"/>
    <w:rsid w:val="00630125"/>
    <w:rsid w:val="0063209B"/>
    <w:rsid w:val="00632478"/>
    <w:rsid w:val="0063256A"/>
    <w:rsid w:val="006325A2"/>
    <w:rsid w:val="00632BDE"/>
    <w:rsid w:val="006338FA"/>
    <w:rsid w:val="006342BE"/>
    <w:rsid w:val="006353E2"/>
    <w:rsid w:val="006357CF"/>
    <w:rsid w:val="00636CCB"/>
    <w:rsid w:val="00636E81"/>
    <w:rsid w:val="00637DC7"/>
    <w:rsid w:val="0064148F"/>
    <w:rsid w:val="00646E67"/>
    <w:rsid w:val="00647308"/>
    <w:rsid w:val="00647577"/>
    <w:rsid w:val="00650328"/>
    <w:rsid w:val="00652E68"/>
    <w:rsid w:val="006530F6"/>
    <w:rsid w:val="00653CC7"/>
    <w:rsid w:val="006541C2"/>
    <w:rsid w:val="006550F7"/>
    <w:rsid w:val="00657989"/>
    <w:rsid w:val="00657F74"/>
    <w:rsid w:val="006601D4"/>
    <w:rsid w:val="00660C9C"/>
    <w:rsid w:val="0066504F"/>
    <w:rsid w:val="006653C1"/>
    <w:rsid w:val="00667482"/>
    <w:rsid w:val="00667AC9"/>
    <w:rsid w:val="00667F13"/>
    <w:rsid w:val="00670189"/>
    <w:rsid w:val="00670DC3"/>
    <w:rsid w:val="0067154A"/>
    <w:rsid w:val="00672168"/>
    <w:rsid w:val="00672300"/>
    <w:rsid w:val="006733AA"/>
    <w:rsid w:val="006752D5"/>
    <w:rsid w:val="00675E5C"/>
    <w:rsid w:val="006830F5"/>
    <w:rsid w:val="00684B69"/>
    <w:rsid w:val="00685260"/>
    <w:rsid w:val="0068613C"/>
    <w:rsid w:val="006869A1"/>
    <w:rsid w:val="0069118E"/>
    <w:rsid w:val="0069175D"/>
    <w:rsid w:val="006921AB"/>
    <w:rsid w:val="00694557"/>
    <w:rsid w:val="0069508B"/>
    <w:rsid w:val="00695C3F"/>
    <w:rsid w:val="006965E5"/>
    <w:rsid w:val="006967D3"/>
    <w:rsid w:val="00696A3D"/>
    <w:rsid w:val="00696B6D"/>
    <w:rsid w:val="00696FEF"/>
    <w:rsid w:val="006973D8"/>
    <w:rsid w:val="00697756"/>
    <w:rsid w:val="00697E94"/>
    <w:rsid w:val="006A139B"/>
    <w:rsid w:val="006A2434"/>
    <w:rsid w:val="006A24AE"/>
    <w:rsid w:val="006A257E"/>
    <w:rsid w:val="006A2768"/>
    <w:rsid w:val="006A3886"/>
    <w:rsid w:val="006A3C30"/>
    <w:rsid w:val="006A5208"/>
    <w:rsid w:val="006A559A"/>
    <w:rsid w:val="006A5F79"/>
    <w:rsid w:val="006A70A6"/>
    <w:rsid w:val="006A755E"/>
    <w:rsid w:val="006B1594"/>
    <w:rsid w:val="006B1BFD"/>
    <w:rsid w:val="006B1C9B"/>
    <w:rsid w:val="006B27AE"/>
    <w:rsid w:val="006B30B5"/>
    <w:rsid w:val="006B35A4"/>
    <w:rsid w:val="006B56ED"/>
    <w:rsid w:val="006B57E3"/>
    <w:rsid w:val="006B641E"/>
    <w:rsid w:val="006B69C6"/>
    <w:rsid w:val="006B783A"/>
    <w:rsid w:val="006C0B93"/>
    <w:rsid w:val="006C0D8A"/>
    <w:rsid w:val="006C0F5E"/>
    <w:rsid w:val="006C183A"/>
    <w:rsid w:val="006C2C3F"/>
    <w:rsid w:val="006C6A2F"/>
    <w:rsid w:val="006C6BCF"/>
    <w:rsid w:val="006C7DEF"/>
    <w:rsid w:val="006D02D3"/>
    <w:rsid w:val="006D2606"/>
    <w:rsid w:val="006D26F8"/>
    <w:rsid w:val="006D28D3"/>
    <w:rsid w:val="006D3010"/>
    <w:rsid w:val="006D4027"/>
    <w:rsid w:val="006D5837"/>
    <w:rsid w:val="006D5F21"/>
    <w:rsid w:val="006D6A24"/>
    <w:rsid w:val="006D7327"/>
    <w:rsid w:val="006D7E91"/>
    <w:rsid w:val="006E3CCF"/>
    <w:rsid w:val="006E4F1E"/>
    <w:rsid w:val="006E5811"/>
    <w:rsid w:val="006E6931"/>
    <w:rsid w:val="006E7A2F"/>
    <w:rsid w:val="006F0FB6"/>
    <w:rsid w:val="006F1F8D"/>
    <w:rsid w:val="006F3AA9"/>
    <w:rsid w:val="006F3F2A"/>
    <w:rsid w:val="006F43F8"/>
    <w:rsid w:val="007005F2"/>
    <w:rsid w:val="00700DF3"/>
    <w:rsid w:val="00702BDF"/>
    <w:rsid w:val="00703E9E"/>
    <w:rsid w:val="00704774"/>
    <w:rsid w:val="00706C54"/>
    <w:rsid w:val="007071B2"/>
    <w:rsid w:val="00707637"/>
    <w:rsid w:val="00707960"/>
    <w:rsid w:val="00707A43"/>
    <w:rsid w:val="0071035B"/>
    <w:rsid w:val="00711518"/>
    <w:rsid w:val="007117CF"/>
    <w:rsid w:val="0071408F"/>
    <w:rsid w:val="00715D39"/>
    <w:rsid w:val="007171FC"/>
    <w:rsid w:val="00723215"/>
    <w:rsid w:val="007234E9"/>
    <w:rsid w:val="0072428D"/>
    <w:rsid w:val="007256BB"/>
    <w:rsid w:val="007269A4"/>
    <w:rsid w:val="00726BA3"/>
    <w:rsid w:val="007321BE"/>
    <w:rsid w:val="00732462"/>
    <w:rsid w:val="00732764"/>
    <w:rsid w:val="00732CD6"/>
    <w:rsid w:val="0073452B"/>
    <w:rsid w:val="00734835"/>
    <w:rsid w:val="007349FC"/>
    <w:rsid w:val="0073506E"/>
    <w:rsid w:val="00735489"/>
    <w:rsid w:val="00735CF9"/>
    <w:rsid w:val="00736097"/>
    <w:rsid w:val="007364DC"/>
    <w:rsid w:val="007369F8"/>
    <w:rsid w:val="00736BC5"/>
    <w:rsid w:val="00737011"/>
    <w:rsid w:val="00740151"/>
    <w:rsid w:val="00742499"/>
    <w:rsid w:val="0074357A"/>
    <w:rsid w:val="0074367D"/>
    <w:rsid w:val="00743BDB"/>
    <w:rsid w:val="00750036"/>
    <w:rsid w:val="0075014C"/>
    <w:rsid w:val="00750B5D"/>
    <w:rsid w:val="00751D78"/>
    <w:rsid w:val="0075441B"/>
    <w:rsid w:val="007555C6"/>
    <w:rsid w:val="0075564B"/>
    <w:rsid w:val="00757939"/>
    <w:rsid w:val="00757DDA"/>
    <w:rsid w:val="00757E61"/>
    <w:rsid w:val="007611C6"/>
    <w:rsid w:val="00761908"/>
    <w:rsid w:val="00762178"/>
    <w:rsid w:val="00764427"/>
    <w:rsid w:val="00766C57"/>
    <w:rsid w:val="0076740F"/>
    <w:rsid w:val="007707C1"/>
    <w:rsid w:val="00770A9E"/>
    <w:rsid w:val="00771AE8"/>
    <w:rsid w:val="007724B0"/>
    <w:rsid w:val="00772E9D"/>
    <w:rsid w:val="00774F1E"/>
    <w:rsid w:val="0077533D"/>
    <w:rsid w:val="00775858"/>
    <w:rsid w:val="0077712F"/>
    <w:rsid w:val="007778B3"/>
    <w:rsid w:val="00777A02"/>
    <w:rsid w:val="007800AD"/>
    <w:rsid w:val="00781545"/>
    <w:rsid w:val="00781AE5"/>
    <w:rsid w:val="0078219F"/>
    <w:rsid w:val="00783D1C"/>
    <w:rsid w:val="00784A2A"/>
    <w:rsid w:val="007855D6"/>
    <w:rsid w:val="00790317"/>
    <w:rsid w:val="00790465"/>
    <w:rsid w:val="0079092D"/>
    <w:rsid w:val="00790D43"/>
    <w:rsid w:val="0079188E"/>
    <w:rsid w:val="00791F45"/>
    <w:rsid w:val="0079245A"/>
    <w:rsid w:val="00792973"/>
    <w:rsid w:val="00792CAC"/>
    <w:rsid w:val="00792F95"/>
    <w:rsid w:val="00793B85"/>
    <w:rsid w:val="00795D29"/>
    <w:rsid w:val="007A117B"/>
    <w:rsid w:val="007A1433"/>
    <w:rsid w:val="007A185A"/>
    <w:rsid w:val="007A3430"/>
    <w:rsid w:val="007A37B3"/>
    <w:rsid w:val="007A45C9"/>
    <w:rsid w:val="007B0568"/>
    <w:rsid w:val="007B0E4D"/>
    <w:rsid w:val="007B326E"/>
    <w:rsid w:val="007B390A"/>
    <w:rsid w:val="007B39B3"/>
    <w:rsid w:val="007B5229"/>
    <w:rsid w:val="007B58C0"/>
    <w:rsid w:val="007B62A7"/>
    <w:rsid w:val="007B6306"/>
    <w:rsid w:val="007B690E"/>
    <w:rsid w:val="007B6F55"/>
    <w:rsid w:val="007C03FC"/>
    <w:rsid w:val="007C09FB"/>
    <w:rsid w:val="007C0AAC"/>
    <w:rsid w:val="007C22F3"/>
    <w:rsid w:val="007C292C"/>
    <w:rsid w:val="007C3170"/>
    <w:rsid w:val="007C318F"/>
    <w:rsid w:val="007C357B"/>
    <w:rsid w:val="007C3E7A"/>
    <w:rsid w:val="007C3EE3"/>
    <w:rsid w:val="007C7E57"/>
    <w:rsid w:val="007C7FBF"/>
    <w:rsid w:val="007D0A76"/>
    <w:rsid w:val="007D0AFB"/>
    <w:rsid w:val="007D4991"/>
    <w:rsid w:val="007D4D8C"/>
    <w:rsid w:val="007D64A9"/>
    <w:rsid w:val="007D78FB"/>
    <w:rsid w:val="007E083F"/>
    <w:rsid w:val="007E5354"/>
    <w:rsid w:val="007E62A4"/>
    <w:rsid w:val="007F0F7C"/>
    <w:rsid w:val="007F133E"/>
    <w:rsid w:val="007F1D3E"/>
    <w:rsid w:val="007F2523"/>
    <w:rsid w:val="007F29D2"/>
    <w:rsid w:val="007F32E7"/>
    <w:rsid w:val="007F5494"/>
    <w:rsid w:val="007F6098"/>
    <w:rsid w:val="007F6B8E"/>
    <w:rsid w:val="007F7BF7"/>
    <w:rsid w:val="0080042E"/>
    <w:rsid w:val="00802615"/>
    <w:rsid w:val="0080354F"/>
    <w:rsid w:val="00804F1D"/>
    <w:rsid w:val="00806700"/>
    <w:rsid w:val="00806DD8"/>
    <w:rsid w:val="0081003F"/>
    <w:rsid w:val="00810779"/>
    <w:rsid w:val="008126CA"/>
    <w:rsid w:val="008169AB"/>
    <w:rsid w:val="00816E91"/>
    <w:rsid w:val="00821318"/>
    <w:rsid w:val="0082167D"/>
    <w:rsid w:val="008228F7"/>
    <w:rsid w:val="00822C36"/>
    <w:rsid w:val="0082313A"/>
    <w:rsid w:val="0082333D"/>
    <w:rsid w:val="008241F1"/>
    <w:rsid w:val="00825D4D"/>
    <w:rsid w:val="00826CF9"/>
    <w:rsid w:val="00826F96"/>
    <w:rsid w:val="00827027"/>
    <w:rsid w:val="0082721C"/>
    <w:rsid w:val="00827A3E"/>
    <w:rsid w:val="00831F03"/>
    <w:rsid w:val="0083400D"/>
    <w:rsid w:val="008341DD"/>
    <w:rsid w:val="00834616"/>
    <w:rsid w:val="00834D45"/>
    <w:rsid w:val="00834DAB"/>
    <w:rsid w:val="008355F6"/>
    <w:rsid w:val="008359A8"/>
    <w:rsid w:val="00835DA4"/>
    <w:rsid w:val="0083616E"/>
    <w:rsid w:val="00836BF5"/>
    <w:rsid w:val="008408AB"/>
    <w:rsid w:val="0084259A"/>
    <w:rsid w:val="00842791"/>
    <w:rsid w:val="008444D5"/>
    <w:rsid w:val="008459C1"/>
    <w:rsid w:val="00846A31"/>
    <w:rsid w:val="008506B0"/>
    <w:rsid w:val="00850826"/>
    <w:rsid w:val="008509DE"/>
    <w:rsid w:val="008510C4"/>
    <w:rsid w:val="00851844"/>
    <w:rsid w:val="0085345C"/>
    <w:rsid w:val="00853884"/>
    <w:rsid w:val="0085524B"/>
    <w:rsid w:val="00855585"/>
    <w:rsid w:val="00855EF3"/>
    <w:rsid w:val="00856E0F"/>
    <w:rsid w:val="00861A18"/>
    <w:rsid w:val="00862796"/>
    <w:rsid w:val="00863C3C"/>
    <w:rsid w:val="008642AC"/>
    <w:rsid w:val="00865277"/>
    <w:rsid w:val="00865548"/>
    <w:rsid w:val="00865C97"/>
    <w:rsid w:val="008661BF"/>
    <w:rsid w:val="0086769E"/>
    <w:rsid w:val="00867B2B"/>
    <w:rsid w:val="00870CF5"/>
    <w:rsid w:val="0087114F"/>
    <w:rsid w:val="00871AE8"/>
    <w:rsid w:val="0087202C"/>
    <w:rsid w:val="00872766"/>
    <w:rsid w:val="008727DE"/>
    <w:rsid w:val="00873EB3"/>
    <w:rsid w:val="00874CF2"/>
    <w:rsid w:val="0087545D"/>
    <w:rsid w:val="00875E2F"/>
    <w:rsid w:val="008769ED"/>
    <w:rsid w:val="00877B9F"/>
    <w:rsid w:val="0088093B"/>
    <w:rsid w:val="00880995"/>
    <w:rsid w:val="00881A15"/>
    <w:rsid w:val="00881EB0"/>
    <w:rsid w:val="0088295B"/>
    <w:rsid w:val="00886723"/>
    <w:rsid w:val="00886C42"/>
    <w:rsid w:val="00887DA2"/>
    <w:rsid w:val="00890466"/>
    <w:rsid w:val="00893094"/>
    <w:rsid w:val="00893F98"/>
    <w:rsid w:val="008951C4"/>
    <w:rsid w:val="008959AC"/>
    <w:rsid w:val="0089719E"/>
    <w:rsid w:val="00897B6C"/>
    <w:rsid w:val="00897E5F"/>
    <w:rsid w:val="008A15D5"/>
    <w:rsid w:val="008A17B5"/>
    <w:rsid w:val="008A42D7"/>
    <w:rsid w:val="008A50A2"/>
    <w:rsid w:val="008A6869"/>
    <w:rsid w:val="008A6EDE"/>
    <w:rsid w:val="008B0573"/>
    <w:rsid w:val="008B12A6"/>
    <w:rsid w:val="008B1314"/>
    <w:rsid w:val="008B2509"/>
    <w:rsid w:val="008B2A00"/>
    <w:rsid w:val="008B41CC"/>
    <w:rsid w:val="008B43DA"/>
    <w:rsid w:val="008B6228"/>
    <w:rsid w:val="008B6586"/>
    <w:rsid w:val="008B6A56"/>
    <w:rsid w:val="008B6CD8"/>
    <w:rsid w:val="008B721D"/>
    <w:rsid w:val="008C2550"/>
    <w:rsid w:val="008C3911"/>
    <w:rsid w:val="008C4FF1"/>
    <w:rsid w:val="008C6176"/>
    <w:rsid w:val="008C6BE0"/>
    <w:rsid w:val="008D130C"/>
    <w:rsid w:val="008D1C83"/>
    <w:rsid w:val="008D4102"/>
    <w:rsid w:val="008D41E3"/>
    <w:rsid w:val="008D4684"/>
    <w:rsid w:val="008D4720"/>
    <w:rsid w:val="008D689E"/>
    <w:rsid w:val="008D6B17"/>
    <w:rsid w:val="008D7FEA"/>
    <w:rsid w:val="008E344F"/>
    <w:rsid w:val="008E4F1A"/>
    <w:rsid w:val="008E5695"/>
    <w:rsid w:val="008E5F45"/>
    <w:rsid w:val="008E61DD"/>
    <w:rsid w:val="008E732F"/>
    <w:rsid w:val="008F0D86"/>
    <w:rsid w:val="008F1DF4"/>
    <w:rsid w:val="008F24AB"/>
    <w:rsid w:val="008F26B5"/>
    <w:rsid w:val="008F33F2"/>
    <w:rsid w:val="008F4F4C"/>
    <w:rsid w:val="008F51AC"/>
    <w:rsid w:val="008F7E2A"/>
    <w:rsid w:val="00900149"/>
    <w:rsid w:val="0090052C"/>
    <w:rsid w:val="00900A84"/>
    <w:rsid w:val="0090105B"/>
    <w:rsid w:val="00901CCD"/>
    <w:rsid w:val="00902822"/>
    <w:rsid w:val="009038B4"/>
    <w:rsid w:val="00904365"/>
    <w:rsid w:val="009057AF"/>
    <w:rsid w:val="00905A7C"/>
    <w:rsid w:val="00906DAD"/>
    <w:rsid w:val="00910AB7"/>
    <w:rsid w:val="00912EC8"/>
    <w:rsid w:val="009135AB"/>
    <w:rsid w:val="0092116D"/>
    <w:rsid w:val="00921932"/>
    <w:rsid w:val="0092355E"/>
    <w:rsid w:val="0092433B"/>
    <w:rsid w:val="00924FA9"/>
    <w:rsid w:val="009251D0"/>
    <w:rsid w:val="009262DA"/>
    <w:rsid w:val="009313F4"/>
    <w:rsid w:val="009328BA"/>
    <w:rsid w:val="00933CD7"/>
    <w:rsid w:val="009357BA"/>
    <w:rsid w:val="00935DC4"/>
    <w:rsid w:val="00935E2C"/>
    <w:rsid w:val="00937175"/>
    <w:rsid w:val="0093722B"/>
    <w:rsid w:val="009378BD"/>
    <w:rsid w:val="009400F8"/>
    <w:rsid w:val="00941AD7"/>
    <w:rsid w:val="00942904"/>
    <w:rsid w:val="00942E85"/>
    <w:rsid w:val="0094359F"/>
    <w:rsid w:val="00943CFC"/>
    <w:rsid w:val="009449AA"/>
    <w:rsid w:val="00944BFB"/>
    <w:rsid w:val="009500C7"/>
    <w:rsid w:val="00950907"/>
    <w:rsid w:val="00950BE9"/>
    <w:rsid w:val="00950C7A"/>
    <w:rsid w:val="00951E43"/>
    <w:rsid w:val="009524B9"/>
    <w:rsid w:val="00952EA1"/>
    <w:rsid w:val="009531E0"/>
    <w:rsid w:val="00954522"/>
    <w:rsid w:val="009548D7"/>
    <w:rsid w:val="009603D8"/>
    <w:rsid w:val="00960F3C"/>
    <w:rsid w:val="009620AD"/>
    <w:rsid w:val="009629F1"/>
    <w:rsid w:val="00963F45"/>
    <w:rsid w:val="009653CC"/>
    <w:rsid w:val="009659CA"/>
    <w:rsid w:val="00965B26"/>
    <w:rsid w:val="0096652A"/>
    <w:rsid w:val="0097015A"/>
    <w:rsid w:val="00971ABA"/>
    <w:rsid w:val="00972D66"/>
    <w:rsid w:val="00973597"/>
    <w:rsid w:val="00974A1F"/>
    <w:rsid w:val="009755C1"/>
    <w:rsid w:val="00975BC5"/>
    <w:rsid w:val="009761AF"/>
    <w:rsid w:val="009806FE"/>
    <w:rsid w:val="009814E6"/>
    <w:rsid w:val="0098419F"/>
    <w:rsid w:val="00984E83"/>
    <w:rsid w:val="00984EAD"/>
    <w:rsid w:val="0098753D"/>
    <w:rsid w:val="00987631"/>
    <w:rsid w:val="009909C9"/>
    <w:rsid w:val="00991018"/>
    <w:rsid w:val="00992890"/>
    <w:rsid w:val="0099420C"/>
    <w:rsid w:val="009942A5"/>
    <w:rsid w:val="00995A26"/>
    <w:rsid w:val="00996317"/>
    <w:rsid w:val="009970D9"/>
    <w:rsid w:val="009A1611"/>
    <w:rsid w:val="009A39C1"/>
    <w:rsid w:val="009A3BF3"/>
    <w:rsid w:val="009A4823"/>
    <w:rsid w:val="009A5D8F"/>
    <w:rsid w:val="009A6264"/>
    <w:rsid w:val="009A6A94"/>
    <w:rsid w:val="009A6F7F"/>
    <w:rsid w:val="009B05F1"/>
    <w:rsid w:val="009B1370"/>
    <w:rsid w:val="009B1C79"/>
    <w:rsid w:val="009B1D01"/>
    <w:rsid w:val="009B1DBD"/>
    <w:rsid w:val="009B2085"/>
    <w:rsid w:val="009B23CD"/>
    <w:rsid w:val="009B25E4"/>
    <w:rsid w:val="009B2D1C"/>
    <w:rsid w:val="009B4545"/>
    <w:rsid w:val="009B4D16"/>
    <w:rsid w:val="009B590C"/>
    <w:rsid w:val="009C2759"/>
    <w:rsid w:val="009C39C3"/>
    <w:rsid w:val="009C4F14"/>
    <w:rsid w:val="009C5325"/>
    <w:rsid w:val="009C57B5"/>
    <w:rsid w:val="009C7474"/>
    <w:rsid w:val="009D09C9"/>
    <w:rsid w:val="009D1273"/>
    <w:rsid w:val="009D13E4"/>
    <w:rsid w:val="009D147B"/>
    <w:rsid w:val="009D21A6"/>
    <w:rsid w:val="009D44B9"/>
    <w:rsid w:val="009D4525"/>
    <w:rsid w:val="009D45AF"/>
    <w:rsid w:val="009D4953"/>
    <w:rsid w:val="009D5CBD"/>
    <w:rsid w:val="009D60F6"/>
    <w:rsid w:val="009D6CE0"/>
    <w:rsid w:val="009D7D3D"/>
    <w:rsid w:val="009E025F"/>
    <w:rsid w:val="009E114E"/>
    <w:rsid w:val="009E2E15"/>
    <w:rsid w:val="009E5190"/>
    <w:rsid w:val="009E67C7"/>
    <w:rsid w:val="009E76D0"/>
    <w:rsid w:val="009E7FA9"/>
    <w:rsid w:val="009F0D78"/>
    <w:rsid w:val="009F2697"/>
    <w:rsid w:val="009F38DB"/>
    <w:rsid w:val="009F3D98"/>
    <w:rsid w:val="009F45E9"/>
    <w:rsid w:val="009F469F"/>
    <w:rsid w:val="009F4BB0"/>
    <w:rsid w:val="009F4E01"/>
    <w:rsid w:val="009F566A"/>
    <w:rsid w:val="009F5AF0"/>
    <w:rsid w:val="009F62F9"/>
    <w:rsid w:val="009F6905"/>
    <w:rsid w:val="009F7A27"/>
    <w:rsid w:val="00A01063"/>
    <w:rsid w:val="00A03D81"/>
    <w:rsid w:val="00A04566"/>
    <w:rsid w:val="00A04F7E"/>
    <w:rsid w:val="00A07A05"/>
    <w:rsid w:val="00A1008F"/>
    <w:rsid w:val="00A11BC5"/>
    <w:rsid w:val="00A1329F"/>
    <w:rsid w:val="00A13F92"/>
    <w:rsid w:val="00A200AB"/>
    <w:rsid w:val="00A20CFC"/>
    <w:rsid w:val="00A211B8"/>
    <w:rsid w:val="00A21E9D"/>
    <w:rsid w:val="00A23BAC"/>
    <w:rsid w:val="00A24DBE"/>
    <w:rsid w:val="00A268DC"/>
    <w:rsid w:val="00A308E4"/>
    <w:rsid w:val="00A3094E"/>
    <w:rsid w:val="00A30D8D"/>
    <w:rsid w:val="00A33A4E"/>
    <w:rsid w:val="00A340A2"/>
    <w:rsid w:val="00A349E9"/>
    <w:rsid w:val="00A3670E"/>
    <w:rsid w:val="00A402DE"/>
    <w:rsid w:val="00A4468E"/>
    <w:rsid w:val="00A449D8"/>
    <w:rsid w:val="00A4590D"/>
    <w:rsid w:val="00A45E5D"/>
    <w:rsid w:val="00A4695E"/>
    <w:rsid w:val="00A46EDE"/>
    <w:rsid w:val="00A471C7"/>
    <w:rsid w:val="00A47A57"/>
    <w:rsid w:val="00A47BF4"/>
    <w:rsid w:val="00A50266"/>
    <w:rsid w:val="00A52C30"/>
    <w:rsid w:val="00A52EE1"/>
    <w:rsid w:val="00A533C1"/>
    <w:rsid w:val="00A548E2"/>
    <w:rsid w:val="00A5490A"/>
    <w:rsid w:val="00A552EC"/>
    <w:rsid w:val="00A55A30"/>
    <w:rsid w:val="00A55C82"/>
    <w:rsid w:val="00A56213"/>
    <w:rsid w:val="00A56F08"/>
    <w:rsid w:val="00A570DB"/>
    <w:rsid w:val="00A5797A"/>
    <w:rsid w:val="00A57AE1"/>
    <w:rsid w:val="00A60116"/>
    <w:rsid w:val="00A60EA7"/>
    <w:rsid w:val="00A61D1E"/>
    <w:rsid w:val="00A61FBD"/>
    <w:rsid w:val="00A62175"/>
    <w:rsid w:val="00A67115"/>
    <w:rsid w:val="00A706D7"/>
    <w:rsid w:val="00A71127"/>
    <w:rsid w:val="00A7285C"/>
    <w:rsid w:val="00A7453C"/>
    <w:rsid w:val="00A746DD"/>
    <w:rsid w:val="00A76D50"/>
    <w:rsid w:val="00A7750C"/>
    <w:rsid w:val="00A776DF"/>
    <w:rsid w:val="00A8026A"/>
    <w:rsid w:val="00A80E6C"/>
    <w:rsid w:val="00A81D23"/>
    <w:rsid w:val="00A81D7F"/>
    <w:rsid w:val="00A8249E"/>
    <w:rsid w:val="00A82E8F"/>
    <w:rsid w:val="00A834DE"/>
    <w:rsid w:val="00A86573"/>
    <w:rsid w:val="00A868B0"/>
    <w:rsid w:val="00A869E5"/>
    <w:rsid w:val="00A87359"/>
    <w:rsid w:val="00A910CF"/>
    <w:rsid w:val="00A9200D"/>
    <w:rsid w:val="00A932D5"/>
    <w:rsid w:val="00A933D8"/>
    <w:rsid w:val="00A9502A"/>
    <w:rsid w:val="00A95985"/>
    <w:rsid w:val="00A96078"/>
    <w:rsid w:val="00A96E16"/>
    <w:rsid w:val="00A9732C"/>
    <w:rsid w:val="00A97CE8"/>
    <w:rsid w:val="00AA085B"/>
    <w:rsid w:val="00AA1C9D"/>
    <w:rsid w:val="00AA232D"/>
    <w:rsid w:val="00AA2705"/>
    <w:rsid w:val="00AA53F8"/>
    <w:rsid w:val="00AA631B"/>
    <w:rsid w:val="00AA77C8"/>
    <w:rsid w:val="00AB0253"/>
    <w:rsid w:val="00AB2E94"/>
    <w:rsid w:val="00AB2EE3"/>
    <w:rsid w:val="00AB428A"/>
    <w:rsid w:val="00AB7094"/>
    <w:rsid w:val="00AC1E6D"/>
    <w:rsid w:val="00AC38D7"/>
    <w:rsid w:val="00AC3A57"/>
    <w:rsid w:val="00AC3D78"/>
    <w:rsid w:val="00AC425C"/>
    <w:rsid w:val="00AC4ACE"/>
    <w:rsid w:val="00AC54D0"/>
    <w:rsid w:val="00AC5AF7"/>
    <w:rsid w:val="00AC5E8A"/>
    <w:rsid w:val="00AC68AF"/>
    <w:rsid w:val="00AC7421"/>
    <w:rsid w:val="00AC7FBB"/>
    <w:rsid w:val="00AD21EF"/>
    <w:rsid w:val="00AD3776"/>
    <w:rsid w:val="00AD382B"/>
    <w:rsid w:val="00AD3D27"/>
    <w:rsid w:val="00AD3F82"/>
    <w:rsid w:val="00AD6191"/>
    <w:rsid w:val="00AD6E1C"/>
    <w:rsid w:val="00AD7C47"/>
    <w:rsid w:val="00AD7F79"/>
    <w:rsid w:val="00AE028B"/>
    <w:rsid w:val="00AE15EB"/>
    <w:rsid w:val="00AE176D"/>
    <w:rsid w:val="00AE22AF"/>
    <w:rsid w:val="00AE4F97"/>
    <w:rsid w:val="00AE574F"/>
    <w:rsid w:val="00AE5D24"/>
    <w:rsid w:val="00AE6668"/>
    <w:rsid w:val="00AE677F"/>
    <w:rsid w:val="00AE706A"/>
    <w:rsid w:val="00AE79BA"/>
    <w:rsid w:val="00AE7C6F"/>
    <w:rsid w:val="00AF12EA"/>
    <w:rsid w:val="00AF24CF"/>
    <w:rsid w:val="00AF4A56"/>
    <w:rsid w:val="00AF4D4C"/>
    <w:rsid w:val="00AF6128"/>
    <w:rsid w:val="00AF70E5"/>
    <w:rsid w:val="00B004C7"/>
    <w:rsid w:val="00B0348C"/>
    <w:rsid w:val="00B04CF2"/>
    <w:rsid w:val="00B06B08"/>
    <w:rsid w:val="00B06F55"/>
    <w:rsid w:val="00B07697"/>
    <w:rsid w:val="00B1188F"/>
    <w:rsid w:val="00B1275E"/>
    <w:rsid w:val="00B12B8E"/>
    <w:rsid w:val="00B14192"/>
    <w:rsid w:val="00B1525E"/>
    <w:rsid w:val="00B15B5A"/>
    <w:rsid w:val="00B162FF"/>
    <w:rsid w:val="00B16A18"/>
    <w:rsid w:val="00B226DA"/>
    <w:rsid w:val="00B233B6"/>
    <w:rsid w:val="00B23890"/>
    <w:rsid w:val="00B24335"/>
    <w:rsid w:val="00B24917"/>
    <w:rsid w:val="00B24C76"/>
    <w:rsid w:val="00B27169"/>
    <w:rsid w:val="00B27804"/>
    <w:rsid w:val="00B27A96"/>
    <w:rsid w:val="00B3032C"/>
    <w:rsid w:val="00B33F47"/>
    <w:rsid w:val="00B35196"/>
    <w:rsid w:val="00B355BC"/>
    <w:rsid w:val="00B35BDF"/>
    <w:rsid w:val="00B37188"/>
    <w:rsid w:val="00B375CD"/>
    <w:rsid w:val="00B37E0C"/>
    <w:rsid w:val="00B40DF9"/>
    <w:rsid w:val="00B43055"/>
    <w:rsid w:val="00B44E20"/>
    <w:rsid w:val="00B50833"/>
    <w:rsid w:val="00B52A1B"/>
    <w:rsid w:val="00B56A06"/>
    <w:rsid w:val="00B60E1B"/>
    <w:rsid w:val="00B6188E"/>
    <w:rsid w:val="00B61EA1"/>
    <w:rsid w:val="00B6205E"/>
    <w:rsid w:val="00B620D3"/>
    <w:rsid w:val="00B62785"/>
    <w:rsid w:val="00B6405C"/>
    <w:rsid w:val="00B64FA4"/>
    <w:rsid w:val="00B65272"/>
    <w:rsid w:val="00B662EC"/>
    <w:rsid w:val="00B66366"/>
    <w:rsid w:val="00B6741A"/>
    <w:rsid w:val="00B674B8"/>
    <w:rsid w:val="00B67BAA"/>
    <w:rsid w:val="00B704CB"/>
    <w:rsid w:val="00B708F3"/>
    <w:rsid w:val="00B717D5"/>
    <w:rsid w:val="00B71B43"/>
    <w:rsid w:val="00B727E0"/>
    <w:rsid w:val="00B73D5F"/>
    <w:rsid w:val="00B7483D"/>
    <w:rsid w:val="00B7663F"/>
    <w:rsid w:val="00B77174"/>
    <w:rsid w:val="00B77E94"/>
    <w:rsid w:val="00B80189"/>
    <w:rsid w:val="00B809A9"/>
    <w:rsid w:val="00B81C85"/>
    <w:rsid w:val="00B821C2"/>
    <w:rsid w:val="00B824B4"/>
    <w:rsid w:val="00B82B63"/>
    <w:rsid w:val="00B82FD1"/>
    <w:rsid w:val="00B82FFB"/>
    <w:rsid w:val="00B83623"/>
    <w:rsid w:val="00B83A6D"/>
    <w:rsid w:val="00B84B97"/>
    <w:rsid w:val="00B865A5"/>
    <w:rsid w:val="00B86DBD"/>
    <w:rsid w:val="00B873F0"/>
    <w:rsid w:val="00B900C3"/>
    <w:rsid w:val="00B91A82"/>
    <w:rsid w:val="00B91C82"/>
    <w:rsid w:val="00B93B94"/>
    <w:rsid w:val="00B93FB6"/>
    <w:rsid w:val="00B94677"/>
    <w:rsid w:val="00B94FE3"/>
    <w:rsid w:val="00B95175"/>
    <w:rsid w:val="00B96682"/>
    <w:rsid w:val="00B97500"/>
    <w:rsid w:val="00B978AF"/>
    <w:rsid w:val="00BA0413"/>
    <w:rsid w:val="00BA0EF8"/>
    <w:rsid w:val="00BA28DC"/>
    <w:rsid w:val="00BA528E"/>
    <w:rsid w:val="00BA55BA"/>
    <w:rsid w:val="00BB0140"/>
    <w:rsid w:val="00BB337D"/>
    <w:rsid w:val="00BB4879"/>
    <w:rsid w:val="00BB5697"/>
    <w:rsid w:val="00BB5923"/>
    <w:rsid w:val="00BB59C2"/>
    <w:rsid w:val="00BB687C"/>
    <w:rsid w:val="00BB6EA8"/>
    <w:rsid w:val="00BB7774"/>
    <w:rsid w:val="00BB7DB5"/>
    <w:rsid w:val="00BC0038"/>
    <w:rsid w:val="00BC11E3"/>
    <w:rsid w:val="00BC2B02"/>
    <w:rsid w:val="00BC3F58"/>
    <w:rsid w:val="00BC5138"/>
    <w:rsid w:val="00BC5588"/>
    <w:rsid w:val="00BC57DC"/>
    <w:rsid w:val="00BC5F8B"/>
    <w:rsid w:val="00BC7150"/>
    <w:rsid w:val="00BC71D3"/>
    <w:rsid w:val="00BD2357"/>
    <w:rsid w:val="00BD4796"/>
    <w:rsid w:val="00BD4EA9"/>
    <w:rsid w:val="00BD5185"/>
    <w:rsid w:val="00BE4072"/>
    <w:rsid w:val="00BE500A"/>
    <w:rsid w:val="00BE5C02"/>
    <w:rsid w:val="00BE7560"/>
    <w:rsid w:val="00BF00FE"/>
    <w:rsid w:val="00BF01BD"/>
    <w:rsid w:val="00BF01FC"/>
    <w:rsid w:val="00BF13C8"/>
    <w:rsid w:val="00BF1AA9"/>
    <w:rsid w:val="00BF7B66"/>
    <w:rsid w:val="00BF7C4A"/>
    <w:rsid w:val="00C00927"/>
    <w:rsid w:val="00C00E61"/>
    <w:rsid w:val="00C01F20"/>
    <w:rsid w:val="00C0243E"/>
    <w:rsid w:val="00C031D6"/>
    <w:rsid w:val="00C048FB"/>
    <w:rsid w:val="00C0539C"/>
    <w:rsid w:val="00C06D4B"/>
    <w:rsid w:val="00C06F6F"/>
    <w:rsid w:val="00C074EC"/>
    <w:rsid w:val="00C112E6"/>
    <w:rsid w:val="00C114C8"/>
    <w:rsid w:val="00C12313"/>
    <w:rsid w:val="00C1279E"/>
    <w:rsid w:val="00C129DA"/>
    <w:rsid w:val="00C12A1B"/>
    <w:rsid w:val="00C13825"/>
    <w:rsid w:val="00C150D2"/>
    <w:rsid w:val="00C15446"/>
    <w:rsid w:val="00C165C0"/>
    <w:rsid w:val="00C167CE"/>
    <w:rsid w:val="00C16BC9"/>
    <w:rsid w:val="00C16BD1"/>
    <w:rsid w:val="00C1721E"/>
    <w:rsid w:val="00C210AC"/>
    <w:rsid w:val="00C21272"/>
    <w:rsid w:val="00C21F69"/>
    <w:rsid w:val="00C23AC0"/>
    <w:rsid w:val="00C264C1"/>
    <w:rsid w:val="00C30522"/>
    <w:rsid w:val="00C33A1D"/>
    <w:rsid w:val="00C34553"/>
    <w:rsid w:val="00C3475F"/>
    <w:rsid w:val="00C349BA"/>
    <w:rsid w:val="00C351B0"/>
    <w:rsid w:val="00C35C34"/>
    <w:rsid w:val="00C36018"/>
    <w:rsid w:val="00C3610F"/>
    <w:rsid w:val="00C37789"/>
    <w:rsid w:val="00C4036B"/>
    <w:rsid w:val="00C40E46"/>
    <w:rsid w:val="00C41BA0"/>
    <w:rsid w:val="00C42291"/>
    <w:rsid w:val="00C42796"/>
    <w:rsid w:val="00C444F5"/>
    <w:rsid w:val="00C44F8C"/>
    <w:rsid w:val="00C461FC"/>
    <w:rsid w:val="00C463FF"/>
    <w:rsid w:val="00C46714"/>
    <w:rsid w:val="00C46C64"/>
    <w:rsid w:val="00C50680"/>
    <w:rsid w:val="00C510B9"/>
    <w:rsid w:val="00C51713"/>
    <w:rsid w:val="00C51EE8"/>
    <w:rsid w:val="00C536E4"/>
    <w:rsid w:val="00C53F70"/>
    <w:rsid w:val="00C568E7"/>
    <w:rsid w:val="00C56947"/>
    <w:rsid w:val="00C56D90"/>
    <w:rsid w:val="00C57019"/>
    <w:rsid w:val="00C57E5F"/>
    <w:rsid w:val="00C63096"/>
    <w:rsid w:val="00C63F2E"/>
    <w:rsid w:val="00C64143"/>
    <w:rsid w:val="00C65382"/>
    <w:rsid w:val="00C658D3"/>
    <w:rsid w:val="00C65A55"/>
    <w:rsid w:val="00C65C92"/>
    <w:rsid w:val="00C7152D"/>
    <w:rsid w:val="00C71A8D"/>
    <w:rsid w:val="00C730D1"/>
    <w:rsid w:val="00C763E3"/>
    <w:rsid w:val="00C77F0A"/>
    <w:rsid w:val="00C80A87"/>
    <w:rsid w:val="00C81F7F"/>
    <w:rsid w:val="00C84268"/>
    <w:rsid w:val="00C8669A"/>
    <w:rsid w:val="00C90928"/>
    <w:rsid w:val="00C9196D"/>
    <w:rsid w:val="00C93D4D"/>
    <w:rsid w:val="00C94065"/>
    <w:rsid w:val="00C977C1"/>
    <w:rsid w:val="00C97AA3"/>
    <w:rsid w:val="00C97ECD"/>
    <w:rsid w:val="00CA077F"/>
    <w:rsid w:val="00CA3087"/>
    <w:rsid w:val="00CA4BC3"/>
    <w:rsid w:val="00CA4C03"/>
    <w:rsid w:val="00CA5ECE"/>
    <w:rsid w:val="00CA612E"/>
    <w:rsid w:val="00CA65D6"/>
    <w:rsid w:val="00CB0242"/>
    <w:rsid w:val="00CB18AB"/>
    <w:rsid w:val="00CB261F"/>
    <w:rsid w:val="00CB55B0"/>
    <w:rsid w:val="00CB7693"/>
    <w:rsid w:val="00CB76B6"/>
    <w:rsid w:val="00CB7901"/>
    <w:rsid w:val="00CB7C58"/>
    <w:rsid w:val="00CC16C7"/>
    <w:rsid w:val="00CC1DE5"/>
    <w:rsid w:val="00CC507E"/>
    <w:rsid w:val="00CC624E"/>
    <w:rsid w:val="00CC6742"/>
    <w:rsid w:val="00CC77DE"/>
    <w:rsid w:val="00CD03A9"/>
    <w:rsid w:val="00CD06BE"/>
    <w:rsid w:val="00CD175A"/>
    <w:rsid w:val="00CD2537"/>
    <w:rsid w:val="00CD333B"/>
    <w:rsid w:val="00CD383C"/>
    <w:rsid w:val="00CD3F83"/>
    <w:rsid w:val="00CD471D"/>
    <w:rsid w:val="00CD52BA"/>
    <w:rsid w:val="00CD7145"/>
    <w:rsid w:val="00CD7944"/>
    <w:rsid w:val="00CE0389"/>
    <w:rsid w:val="00CE0D05"/>
    <w:rsid w:val="00CE0DC2"/>
    <w:rsid w:val="00CE15ED"/>
    <w:rsid w:val="00CE1D02"/>
    <w:rsid w:val="00CE34D2"/>
    <w:rsid w:val="00CE4D27"/>
    <w:rsid w:val="00CE57CA"/>
    <w:rsid w:val="00CE605C"/>
    <w:rsid w:val="00CE7E51"/>
    <w:rsid w:val="00CE7F42"/>
    <w:rsid w:val="00CF0B2A"/>
    <w:rsid w:val="00CF1738"/>
    <w:rsid w:val="00CF1963"/>
    <w:rsid w:val="00CF1DBE"/>
    <w:rsid w:val="00CF318B"/>
    <w:rsid w:val="00CF3FEE"/>
    <w:rsid w:val="00CF40F2"/>
    <w:rsid w:val="00CF4713"/>
    <w:rsid w:val="00CF47CD"/>
    <w:rsid w:val="00CF6588"/>
    <w:rsid w:val="00D01B70"/>
    <w:rsid w:val="00D01CA3"/>
    <w:rsid w:val="00D02C92"/>
    <w:rsid w:val="00D05043"/>
    <w:rsid w:val="00D06669"/>
    <w:rsid w:val="00D07E38"/>
    <w:rsid w:val="00D110AD"/>
    <w:rsid w:val="00D1122C"/>
    <w:rsid w:val="00D12C00"/>
    <w:rsid w:val="00D139C6"/>
    <w:rsid w:val="00D13BF3"/>
    <w:rsid w:val="00D13E71"/>
    <w:rsid w:val="00D16ED9"/>
    <w:rsid w:val="00D17F41"/>
    <w:rsid w:val="00D217EC"/>
    <w:rsid w:val="00D21AB0"/>
    <w:rsid w:val="00D222FC"/>
    <w:rsid w:val="00D226F2"/>
    <w:rsid w:val="00D2465F"/>
    <w:rsid w:val="00D31145"/>
    <w:rsid w:val="00D31F92"/>
    <w:rsid w:val="00D328B8"/>
    <w:rsid w:val="00D345DC"/>
    <w:rsid w:val="00D34769"/>
    <w:rsid w:val="00D360CC"/>
    <w:rsid w:val="00D362E3"/>
    <w:rsid w:val="00D3692A"/>
    <w:rsid w:val="00D4038A"/>
    <w:rsid w:val="00D40878"/>
    <w:rsid w:val="00D4144A"/>
    <w:rsid w:val="00D41B53"/>
    <w:rsid w:val="00D4212A"/>
    <w:rsid w:val="00D42B3C"/>
    <w:rsid w:val="00D42D7C"/>
    <w:rsid w:val="00D43930"/>
    <w:rsid w:val="00D4443B"/>
    <w:rsid w:val="00D44894"/>
    <w:rsid w:val="00D46CF1"/>
    <w:rsid w:val="00D46F29"/>
    <w:rsid w:val="00D475E4"/>
    <w:rsid w:val="00D518DC"/>
    <w:rsid w:val="00D51C18"/>
    <w:rsid w:val="00D52244"/>
    <w:rsid w:val="00D52B83"/>
    <w:rsid w:val="00D543CE"/>
    <w:rsid w:val="00D54B15"/>
    <w:rsid w:val="00D561DF"/>
    <w:rsid w:val="00D56A8A"/>
    <w:rsid w:val="00D56D81"/>
    <w:rsid w:val="00D60178"/>
    <w:rsid w:val="00D6038E"/>
    <w:rsid w:val="00D60B18"/>
    <w:rsid w:val="00D60F79"/>
    <w:rsid w:val="00D6139C"/>
    <w:rsid w:val="00D617FC"/>
    <w:rsid w:val="00D63E43"/>
    <w:rsid w:val="00D645C5"/>
    <w:rsid w:val="00D65AFA"/>
    <w:rsid w:val="00D66375"/>
    <w:rsid w:val="00D668F4"/>
    <w:rsid w:val="00D712DC"/>
    <w:rsid w:val="00D71522"/>
    <w:rsid w:val="00D73542"/>
    <w:rsid w:val="00D73956"/>
    <w:rsid w:val="00D74061"/>
    <w:rsid w:val="00D7415E"/>
    <w:rsid w:val="00D748EC"/>
    <w:rsid w:val="00D74EB3"/>
    <w:rsid w:val="00D7567B"/>
    <w:rsid w:val="00D756CF"/>
    <w:rsid w:val="00D80562"/>
    <w:rsid w:val="00D80A34"/>
    <w:rsid w:val="00D816BF"/>
    <w:rsid w:val="00D82EC7"/>
    <w:rsid w:val="00D83426"/>
    <w:rsid w:val="00D839D8"/>
    <w:rsid w:val="00D83B5B"/>
    <w:rsid w:val="00D90A30"/>
    <w:rsid w:val="00D9182C"/>
    <w:rsid w:val="00D91D8F"/>
    <w:rsid w:val="00D9264F"/>
    <w:rsid w:val="00D92A30"/>
    <w:rsid w:val="00D93531"/>
    <w:rsid w:val="00D9640F"/>
    <w:rsid w:val="00D97547"/>
    <w:rsid w:val="00D97BD1"/>
    <w:rsid w:val="00DA1585"/>
    <w:rsid w:val="00DA26B4"/>
    <w:rsid w:val="00DA2CC1"/>
    <w:rsid w:val="00DA4552"/>
    <w:rsid w:val="00DA5732"/>
    <w:rsid w:val="00DA677A"/>
    <w:rsid w:val="00DA7971"/>
    <w:rsid w:val="00DA7E4E"/>
    <w:rsid w:val="00DB0068"/>
    <w:rsid w:val="00DB05D8"/>
    <w:rsid w:val="00DB0673"/>
    <w:rsid w:val="00DB0B5E"/>
    <w:rsid w:val="00DB1B0A"/>
    <w:rsid w:val="00DB42FC"/>
    <w:rsid w:val="00DB4658"/>
    <w:rsid w:val="00DB545B"/>
    <w:rsid w:val="00DB5572"/>
    <w:rsid w:val="00DB6B3C"/>
    <w:rsid w:val="00DB6BE3"/>
    <w:rsid w:val="00DC03DE"/>
    <w:rsid w:val="00DC0685"/>
    <w:rsid w:val="00DC0862"/>
    <w:rsid w:val="00DC2623"/>
    <w:rsid w:val="00DC2801"/>
    <w:rsid w:val="00DC3892"/>
    <w:rsid w:val="00DC4D6D"/>
    <w:rsid w:val="00DC4F11"/>
    <w:rsid w:val="00DC56A0"/>
    <w:rsid w:val="00DC687B"/>
    <w:rsid w:val="00DD3164"/>
    <w:rsid w:val="00DD49C9"/>
    <w:rsid w:val="00DD5198"/>
    <w:rsid w:val="00DD6A05"/>
    <w:rsid w:val="00DD73EA"/>
    <w:rsid w:val="00DD7D0B"/>
    <w:rsid w:val="00DE0064"/>
    <w:rsid w:val="00DE0EC6"/>
    <w:rsid w:val="00DE27FA"/>
    <w:rsid w:val="00DE4BA0"/>
    <w:rsid w:val="00DE625C"/>
    <w:rsid w:val="00DE6593"/>
    <w:rsid w:val="00DE68C9"/>
    <w:rsid w:val="00DE728A"/>
    <w:rsid w:val="00DF2B76"/>
    <w:rsid w:val="00DF3739"/>
    <w:rsid w:val="00DF443C"/>
    <w:rsid w:val="00DF76C4"/>
    <w:rsid w:val="00E0015E"/>
    <w:rsid w:val="00E018BB"/>
    <w:rsid w:val="00E01AF4"/>
    <w:rsid w:val="00E02117"/>
    <w:rsid w:val="00E02D67"/>
    <w:rsid w:val="00E05C0E"/>
    <w:rsid w:val="00E07C84"/>
    <w:rsid w:val="00E106DE"/>
    <w:rsid w:val="00E12950"/>
    <w:rsid w:val="00E12C33"/>
    <w:rsid w:val="00E12E0B"/>
    <w:rsid w:val="00E12F49"/>
    <w:rsid w:val="00E13A77"/>
    <w:rsid w:val="00E1665C"/>
    <w:rsid w:val="00E16918"/>
    <w:rsid w:val="00E1770B"/>
    <w:rsid w:val="00E20523"/>
    <w:rsid w:val="00E219AC"/>
    <w:rsid w:val="00E2282B"/>
    <w:rsid w:val="00E23848"/>
    <w:rsid w:val="00E259EB"/>
    <w:rsid w:val="00E2673C"/>
    <w:rsid w:val="00E27D8E"/>
    <w:rsid w:val="00E3210B"/>
    <w:rsid w:val="00E32C57"/>
    <w:rsid w:val="00E32FEB"/>
    <w:rsid w:val="00E33F51"/>
    <w:rsid w:val="00E34F75"/>
    <w:rsid w:val="00E37688"/>
    <w:rsid w:val="00E401A4"/>
    <w:rsid w:val="00E408E9"/>
    <w:rsid w:val="00E40C97"/>
    <w:rsid w:val="00E43328"/>
    <w:rsid w:val="00E43952"/>
    <w:rsid w:val="00E43C16"/>
    <w:rsid w:val="00E450A4"/>
    <w:rsid w:val="00E4542B"/>
    <w:rsid w:val="00E457D8"/>
    <w:rsid w:val="00E46623"/>
    <w:rsid w:val="00E50799"/>
    <w:rsid w:val="00E5197A"/>
    <w:rsid w:val="00E524AC"/>
    <w:rsid w:val="00E5277B"/>
    <w:rsid w:val="00E52842"/>
    <w:rsid w:val="00E53172"/>
    <w:rsid w:val="00E53B13"/>
    <w:rsid w:val="00E53CFB"/>
    <w:rsid w:val="00E53E3D"/>
    <w:rsid w:val="00E54803"/>
    <w:rsid w:val="00E54BC3"/>
    <w:rsid w:val="00E56A83"/>
    <w:rsid w:val="00E574ED"/>
    <w:rsid w:val="00E57D68"/>
    <w:rsid w:val="00E60559"/>
    <w:rsid w:val="00E60BB7"/>
    <w:rsid w:val="00E60E83"/>
    <w:rsid w:val="00E60F38"/>
    <w:rsid w:val="00E613BB"/>
    <w:rsid w:val="00E61A0B"/>
    <w:rsid w:val="00E6246F"/>
    <w:rsid w:val="00E650A1"/>
    <w:rsid w:val="00E65453"/>
    <w:rsid w:val="00E664DC"/>
    <w:rsid w:val="00E66E46"/>
    <w:rsid w:val="00E66FB0"/>
    <w:rsid w:val="00E67116"/>
    <w:rsid w:val="00E676B0"/>
    <w:rsid w:val="00E67C85"/>
    <w:rsid w:val="00E70551"/>
    <w:rsid w:val="00E712DC"/>
    <w:rsid w:val="00E7482B"/>
    <w:rsid w:val="00E7485C"/>
    <w:rsid w:val="00E75C01"/>
    <w:rsid w:val="00E75EEA"/>
    <w:rsid w:val="00E765DA"/>
    <w:rsid w:val="00E81CD5"/>
    <w:rsid w:val="00E82196"/>
    <w:rsid w:val="00E83F37"/>
    <w:rsid w:val="00E86BB3"/>
    <w:rsid w:val="00E87550"/>
    <w:rsid w:val="00E87FF6"/>
    <w:rsid w:val="00E91DAE"/>
    <w:rsid w:val="00E9308E"/>
    <w:rsid w:val="00E933DD"/>
    <w:rsid w:val="00E9371B"/>
    <w:rsid w:val="00E94900"/>
    <w:rsid w:val="00E95FD5"/>
    <w:rsid w:val="00E963EB"/>
    <w:rsid w:val="00E973DE"/>
    <w:rsid w:val="00E97B43"/>
    <w:rsid w:val="00EA019B"/>
    <w:rsid w:val="00EA01FC"/>
    <w:rsid w:val="00EA082B"/>
    <w:rsid w:val="00EA09EC"/>
    <w:rsid w:val="00EA0F6E"/>
    <w:rsid w:val="00EA1853"/>
    <w:rsid w:val="00EA18A1"/>
    <w:rsid w:val="00EA2103"/>
    <w:rsid w:val="00EA2F88"/>
    <w:rsid w:val="00EA427A"/>
    <w:rsid w:val="00EA4721"/>
    <w:rsid w:val="00EA4CDC"/>
    <w:rsid w:val="00EB07D3"/>
    <w:rsid w:val="00EB0B7A"/>
    <w:rsid w:val="00EB3258"/>
    <w:rsid w:val="00EB3417"/>
    <w:rsid w:val="00EB4F89"/>
    <w:rsid w:val="00EB5878"/>
    <w:rsid w:val="00EB7D08"/>
    <w:rsid w:val="00EC09CF"/>
    <w:rsid w:val="00EC0E90"/>
    <w:rsid w:val="00EC1375"/>
    <w:rsid w:val="00EC13C2"/>
    <w:rsid w:val="00EC234D"/>
    <w:rsid w:val="00EC4B4F"/>
    <w:rsid w:val="00EC5239"/>
    <w:rsid w:val="00EC5349"/>
    <w:rsid w:val="00EC5E08"/>
    <w:rsid w:val="00EC74C5"/>
    <w:rsid w:val="00EC7E1F"/>
    <w:rsid w:val="00ED120B"/>
    <w:rsid w:val="00ED643B"/>
    <w:rsid w:val="00ED672E"/>
    <w:rsid w:val="00ED68DA"/>
    <w:rsid w:val="00ED6D8E"/>
    <w:rsid w:val="00ED718E"/>
    <w:rsid w:val="00ED7A14"/>
    <w:rsid w:val="00EE0371"/>
    <w:rsid w:val="00EE115F"/>
    <w:rsid w:val="00EE1DC0"/>
    <w:rsid w:val="00EE1E89"/>
    <w:rsid w:val="00EE38C8"/>
    <w:rsid w:val="00EE401C"/>
    <w:rsid w:val="00EE460F"/>
    <w:rsid w:val="00EE6274"/>
    <w:rsid w:val="00EE6277"/>
    <w:rsid w:val="00EE7B86"/>
    <w:rsid w:val="00EF0208"/>
    <w:rsid w:val="00EF06BA"/>
    <w:rsid w:val="00EF1F1D"/>
    <w:rsid w:val="00EF4F4E"/>
    <w:rsid w:val="00EF6526"/>
    <w:rsid w:val="00EF655C"/>
    <w:rsid w:val="00EF732F"/>
    <w:rsid w:val="00F007FE"/>
    <w:rsid w:val="00F032EF"/>
    <w:rsid w:val="00F04A1C"/>
    <w:rsid w:val="00F06C3D"/>
    <w:rsid w:val="00F07B1C"/>
    <w:rsid w:val="00F07E10"/>
    <w:rsid w:val="00F109E0"/>
    <w:rsid w:val="00F10FAD"/>
    <w:rsid w:val="00F10FC4"/>
    <w:rsid w:val="00F111F5"/>
    <w:rsid w:val="00F1207E"/>
    <w:rsid w:val="00F127E8"/>
    <w:rsid w:val="00F12888"/>
    <w:rsid w:val="00F12916"/>
    <w:rsid w:val="00F1435C"/>
    <w:rsid w:val="00F146A5"/>
    <w:rsid w:val="00F1559C"/>
    <w:rsid w:val="00F16833"/>
    <w:rsid w:val="00F2087C"/>
    <w:rsid w:val="00F2123E"/>
    <w:rsid w:val="00F23106"/>
    <w:rsid w:val="00F24389"/>
    <w:rsid w:val="00F24C55"/>
    <w:rsid w:val="00F2725E"/>
    <w:rsid w:val="00F27286"/>
    <w:rsid w:val="00F300FC"/>
    <w:rsid w:val="00F3110B"/>
    <w:rsid w:val="00F31BCE"/>
    <w:rsid w:val="00F31CC6"/>
    <w:rsid w:val="00F33F14"/>
    <w:rsid w:val="00F368B4"/>
    <w:rsid w:val="00F37E0E"/>
    <w:rsid w:val="00F4170D"/>
    <w:rsid w:val="00F42296"/>
    <w:rsid w:val="00F42A00"/>
    <w:rsid w:val="00F45395"/>
    <w:rsid w:val="00F460FE"/>
    <w:rsid w:val="00F5173F"/>
    <w:rsid w:val="00F51BEA"/>
    <w:rsid w:val="00F51FB5"/>
    <w:rsid w:val="00F55DB1"/>
    <w:rsid w:val="00F56A59"/>
    <w:rsid w:val="00F56B55"/>
    <w:rsid w:val="00F57CA5"/>
    <w:rsid w:val="00F61F97"/>
    <w:rsid w:val="00F62E4F"/>
    <w:rsid w:val="00F649CA"/>
    <w:rsid w:val="00F6535E"/>
    <w:rsid w:val="00F65A73"/>
    <w:rsid w:val="00F65E23"/>
    <w:rsid w:val="00F70924"/>
    <w:rsid w:val="00F70EA3"/>
    <w:rsid w:val="00F71BB8"/>
    <w:rsid w:val="00F72775"/>
    <w:rsid w:val="00F72CEA"/>
    <w:rsid w:val="00F735E8"/>
    <w:rsid w:val="00F74317"/>
    <w:rsid w:val="00F74A05"/>
    <w:rsid w:val="00F753CC"/>
    <w:rsid w:val="00F7672C"/>
    <w:rsid w:val="00F82A41"/>
    <w:rsid w:val="00F845FA"/>
    <w:rsid w:val="00F84E84"/>
    <w:rsid w:val="00F86B98"/>
    <w:rsid w:val="00F874CB"/>
    <w:rsid w:val="00F905A5"/>
    <w:rsid w:val="00F90AA0"/>
    <w:rsid w:val="00F90B73"/>
    <w:rsid w:val="00F9174F"/>
    <w:rsid w:val="00F91BED"/>
    <w:rsid w:val="00F91C24"/>
    <w:rsid w:val="00F93033"/>
    <w:rsid w:val="00F9497F"/>
    <w:rsid w:val="00F94EAC"/>
    <w:rsid w:val="00F96345"/>
    <w:rsid w:val="00F9775B"/>
    <w:rsid w:val="00FA06CF"/>
    <w:rsid w:val="00FA1F55"/>
    <w:rsid w:val="00FA2EB2"/>
    <w:rsid w:val="00FA34A7"/>
    <w:rsid w:val="00FA4490"/>
    <w:rsid w:val="00FA6132"/>
    <w:rsid w:val="00FA61DD"/>
    <w:rsid w:val="00FB0230"/>
    <w:rsid w:val="00FB2FA7"/>
    <w:rsid w:val="00FB3254"/>
    <w:rsid w:val="00FB36DD"/>
    <w:rsid w:val="00FB3B18"/>
    <w:rsid w:val="00FB4695"/>
    <w:rsid w:val="00FB4947"/>
    <w:rsid w:val="00FB5B3B"/>
    <w:rsid w:val="00FB6260"/>
    <w:rsid w:val="00FB76FC"/>
    <w:rsid w:val="00FC1166"/>
    <w:rsid w:val="00FC2044"/>
    <w:rsid w:val="00FC4387"/>
    <w:rsid w:val="00FC67C4"/>
    <w:rsid w:val="00FC75B1"/>
    <w:rsid w:val="00FC7E65"/>
    <w:rsid w:val="00FD110D"/>
    <w:rsid w:val="00FD1551"/>
    <w:rsid w:val="00FD22F7"/>
    <w:rsid w:val="00FD41FD"/>
    <w:rsid w:val="00FD482E"/>
    <w:rsid w:val="00FD57C3"/>
    <w:rsid w:val="00FD5B57"/>
    <w:rsid w:val="00FD64B3"/>
    <w:rsid w:val="00FD69DF"/>
    <w:rsid w:val="00FD72E3"/>
    <w:rsid w:val="00FE0529"/>
    <w:rsid w:val="00FE2A80"/>
    <w:rsid w:val="00FE3AF0"/>
    <w:rsid w:val="00FE47BE"/>
    <w:rsid w:val="00FE78C4"/>
    <w:rsid w:val="00FF0ECD"/>
    <w:rsid w:val="00FF2407"/>
    <w:rsid w:val="00FF306E"/>
    <w:rsid w:val="00FF3B2C"/>
    <w:rsid w:val="00FF457D"/>
    <w:rsid w:val="00FF504C"/>
    <w:rsid w:val="00FF56D2"/>
    <w:rsid w:val="00FF5EE2"/>
    <w:rsid w:val="00FF7F5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A278C"/>
  <w15:docId w15:val="{CDA88FD8-6C47-458F-8687-711D6B610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7667"/>
  </w:style>
  <w:style w:type="paragraph" w:styleId="Ttulo1">
    <w:name w:val="heading 1"/>
    <w:basedOn w:val="Normal"/>
    <w:next w:val="Normal"/>
    <w:link w:val="Ttulo1Char"/>
    <w:uiPriority w:val="1"/>
    <w:qFormat/>
    <w:rsid w:val="00267AE2"/>
    <w:pPr>
      <w:keepNext/>
      <w:numPr>
        <w:numId w:val="43"/>
      </w:numPr>
      <w:spacing w:before="240" w:after="60" w:line="240" w:lineRule="auto"/>
      <w:outlineLvl w:val="0"/>
    </w:pPr>
    <w:rPr>
      <w:rFonts w:ascii="Arial" w:eastAsia="Times New Roman" w:hAnsi="Arial" w:cs="Times New Roman"/>
      <w:b/>
      <w:bCs/>
      <w:kern w:val="32"/>
      <w:sz w:val="28"/>
      <w:szCs w:val="32"/>
      <w:lang w:val="x-none" w:eastAsia="x-none"/>
    </w:rPr>
  </w:style>
  <w:style w:type="paragraph" w:styleId="Ttulo2">
    <w:name w:val="heading 2"/>
    <w:basedOn w:val="Normal"/>
    <w:link w:val="Ttulo2Char"/>
    <w:uiPriority w:val="1"/>
    <w:qFormat/>
    <w:rsid w:val="0092433B"/>
    <w:pPr>
      <w:widowControl w:val="0"/>
      <w:numPr>
        <w:ilvl w:val="1"/>
        <w:numId w:val="43"/>
      </w:numPr>
      <w:spacing w:after="240" w:line="240" w:lineRule="auto"/>
      <w:jc w:val="both"/>
      <w:outlineLvl w:val="1"/>
    </w:pPr>
    <w:rPr>
      <w:rFonts w:ascii="Arial" w:eastAsia="Arial" w:hAnsi="Arial"/>
      <w:b/>
      <w:bCs/>
      <w:sz w:val="28"/>
      <w:szCs w:val="36"/>
      <w:lang w:val="en-US"/>
    </w:rPr>
  </w:style>
  <w:style w:type="paragraph" w:styleId="Ttulo3">
    <w:name w:val="heading 3"/>
    <w:basedOn w:val="Normal"/>
    <w:next w:val="Normal"/>
    <w:link w:val="Ttulo3Char"/>
    <w:uiPriority w:val="1"/>
    <w:qFormat/>
    <w:rsid w:val="00A5490A"/>
    <w:pPr>
      <w:keepNext/>
      <w:numPr>
        <w:ilvl w:val="2"/>
        <w:numId w:val="43"/>
      </w:numPr>
      <w:overflowPunct w:val="0"/>
      <w:autoSpaceDE w:val="0"/>
      <w:autoSpaceDN w:val="0"/>
      <w:adjustRightInd w:val="0"/>
      <w:spacing w:after="240" w:line="360" w:lineRule="auto"/>
      <w:ind w:right="-992"/>
      <w:textAlignment w:val="baseline"/>
      <w:outlineLvl w:val="2"/>
    </w:pPr>
    <w:rPr>
      <w:rFonts w:ascii="Arial" w:eastAsia="Times New Roman" w:hAnsi="Arial" w:cs="Times New Roman"/>
      <w:sz w:val="26"/>
      <w:szCs w:val="20"/>
      <w:lang w:val="x-none" w:eastAsia="x-none"/>
    </w:rPr>
  </w:style>
  <w:style w:type="paragraph" w:styleId="Ttulo4">
    <w:name w:val="heading 4"/>
    <w:basedOn w:val="Normal"/>
    <w:link w:val="Ttulo4Char"/>
    <w:uiPriority w:val="1"/>
    <w:qFormat/>
    <w:rsid w:val="0066504F"/>
    <w:pPr>
      <w:widowControl w:val="0"/>
      <w:numPr>
        <w:ilvl w:val="3"/>
        <w:numId w:val="43"/>
      </w:numPr>
      <w:spacing w:after="0" w:line="240" w:lineRule="auto"/>
      <w:outlineLvl w:val="3"/>
    </w:pPr>
    <w:rPr>
      <w:rFonts w:ascii="Arial" w:eastAsia="Arial" w:hAnsi="Arial"/>
      <w:b/>
      <w:bCs/>
      <w:sz w:val="24"/>
      <w:szCs w:val="24"/>
      <w:lang w:val="en-US"/>
    </w:rPr>
  </w:style>
  <w:style w:type="paragraph" w:styleId="Ttulo5">
    <w:name w:val="heading 5"/>
    <w:basedOn w:val="Normal"/>
    <w:link w:val="Ttulo5Char"/>
    <w:uiPriority w:val="1"/>
    <w:qFormat/>
    <w:rsid w:val="0066504F"/>
    <w:pPr>
      <w:widowControl w:val="0"/>
      <w:numPr>
        <w:ilvl w:val="4"/>
        <w:numId w:val="43"/>
      </w:numPr>
      <w:spacing w:after="0" w:line="240" w:lineRule="auto"/>
      <w:outlineLvl w:val="4"/>
    </w:pPr>
    <w:rPr>
      <w:rFonts w:ascii="Arial" w:eastAsia="Arial" w:hAnsi="Arial"/>
      <w:sz w:val="23"/>
      <w:szCs w:val="23"/>
      <w:lang w:val="en-US"/>
    </w:rPr>
  </w:style>
  <w:style w:type="paragraph" w:styleId="Ttulo6">
    <w:name w:val="heading 6"/>
    <w:basedOn w:val="Normal"/>
    <w:link w:val="Ttulo6Char"/>
    <w:uiPriority w:val="1"/>
    <w:qFormat/>
    <w:rsid w:val="0066504F"/>
    <w:pPr>
      <w:widowControl w:val="0"/>
      <w:numPr>
        <w:ilvl w:val="5"/>
        <w:numId w:val="43"/>
      </w:numPr>
      <w:spacing w:after="0" w:line="240" w:lineRule="auto"/>
      <w:outlineLvl w:val="5"/>
    </w:pPr>
    <w:rPr>
      <w:rFonts w:ascii="Arial" w:eastAsia="Arial" w:hAnsi="Arial"/>
      <w:b/>
      <w:bCs/>
      <w:lang w:val="en-US"/>
    </w:rPr>
  </w:style>
  <w:style w:type="paragraph" w:styleId="Ttulo7">
    <w:name w:val="heading 7"/>
    <w:basedOn w:val="Normal"/>
    <w:link w:val="Ttulo7Char"/>
    <w:uiPriority w:val="1"/>
    <w:qFormat/>
    <w:rsid w:val="0066504F"/>
    <w:pPr>
      <w:widowControl w:val="0"/>
      <w:numPr>
        <w:ilvl w:val="6"/>
        <w:numId w:val="43"/>
      </w:numPr>
      <w:spacing w:after="0" w:line="240" w:lineRule="auto"/>
      <w:outlineLvl w:val="6"/>
    </w:pPr>
    <w:rPr>
      <w:rFonts w:ascii="Arial" w:eastAsia="Arial" w:hAnsi="Arial"/>
      <w:lang w:val="en-US"/>
    </w:rPr>
  </w:style>
  <w:style w:type="paragraph" w:styleId="Ttulo8">
    <w:name w:val="heading 8"/>
    <w:basedOn w:val="Normal"/>
    <w:link w:val="Ttulo8Char"/>
    <w:uiPriority w:val="1"/>
    <w:qFormat/>
    <w:rsid w:val="0066504F"/>
    <w:pPr>
      <w:widowControl w:val="0"/>
      <w:numPr>
        <w:ilvl w:val="7"/>
        <w:numId w:val="43"/>
      </w:numPr>
      <w:spacing w:before="59" w:after="0" w:line="240" w:lineRule="auto"/>
      <w:outlineLvl w:val="7"/>
    </w:pPr>
    <w:rPr>
      <w:rFonts w:ascii="Calibri" w:eastAsia="Calibri" w:hAnsi="Calibri"/>
      <w:b/>
      <w:bCs/>
      <w:sz w:val="20"/>
      <w:szCs w:val="20"/>
      <w:lang w:val="en-US"/>
    </w:rPr>
  </w:style>
  <w:style w:type="paragraph" w:styleId="Ttulo9">
    <w:name w:val="heading 9"/>
    <w:basedOn w:val="Normal"/>
    <w:next w:val="Normal"/>
    <w:link w:val="Ttulo9Char"/>
    <w:uiPriority w:val="1"/>
    <w:qFormat/>
    <w:rsid w:val="00A5490A"/>
    <w:pPr>
      <w:numPr>
        <w:ilvl w:val="8"/>
        <w:numId w:val="43"/>
      </w:numPr>
      <w:spacing w:before="240" w:after="60" w:line="240" w:lineRule="auto"/>
      <w:outlineLvl w:val="8"/>
    </w:pPr>
    <w:rPr>
      <w:rFonts w:ascii="Arial" w:eastAsia="Times New Roman" w:hAnsi="Arial" w:cs="Times New Roman"/>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1"/>
    <w:rsid w:val="00267AE2"/>
    <w:rPr>
      <w:rFonts w:ascii="Arial" w:eastAsia="Times New Roman" w:hAnsi="Arial" w:cs="Times New Roman"/>
      <w:b/>
      <w:bCs/>
      <w:kern w:val="32"/>
      <w:sz w:val="28"/>
      <w:szCs w:val="32"/>
      <w:lang w:val="x-none" w:eastAsia="x-none"/>
    </w:rPr>
  </w:style>
  <w:style w:type="character" w:customStyle="1" w:styleId="Ttulo3Char">
    <w:name w:val="Título 3 Char"/>
    <w:basedOn w:val="Fontepargpadro"/>
    <w:link w:val="Ttulo3"/>
    <w:uiPriority w:val="1"/>
    <w:rsid w:val="00A5490A"/>
    <w:rPr>
      <w:rFonts w:ascii="Arial" w:eastAsia="Times New Roman" w:hAnsi="Arial" w:cs="Times New Roman"/>
      <w:sz w:val="26"/>
      <w:szCs w:val="20"/>
      <w:lang w:val="x-none" w:eastAsia="x-none"/>
    </w:rPr>
  </w:style>
  <w:style w:type="character" w:customStyle="1" w:styleId="Ttulo9Char">
    <w:name w:val="Título 9 Char"/>
    <w:basedOn w:val="Fontepargpadro"/>
    <w:link w:val="Ttulo9"/>
    <w:uiPriority w:val="1"/>
    <w:rsid w:val="00A5490A"/>
    <w:rPr>
      <w:rFonts w:ascii="Arial" w:eastAsia="Times New Roman" w:hAnsi="Arial" w:cs="Times New Roman"/>
      <w:lang w:val="x-none" w:eastAsia="x-none"/>
    </w:rPr>
  </w:style>
  <w:style w:type="numbering" w:customStyle="1" w:styleId="Semlista1">
    <w:name w:val="Sem lista1"/>
    <w:next w:val="Semlista"/>
    <w:semiHidden/>
    <w:unhideWhenUsed/>
    <w:rsid w:val="00A5490A"/>
  </w:style>
  <w:style w:type="paragraph" w:customStyle="1" w:styleId="bullets">
    <w:name w:val="bullets"/>
    <w:basedOn w:val="Normal"/>
    <w:rsid w:val="00A5490A"/>
    <w:pPr>
      <w:autoSpaceDE w:val="0"/>
      <w:autoSpaceDN w:val="0"/>
      <w:adjustRightInd w:val="0"/>
      <w:spacing w:after="113" w:line="380" w:lineRule="atLeast"/>
      <w:ind w:left="567" w:hanging="567"/>
      <w:jc w:val="both"/>
      <w:textAlignment w:val="center"/>
    </w:pPr>
    <w:rPr>
      <w:rFonts w:ascii="AGaramond" w:eastAsia="Times New Roman" w:hAnsi="AGaramond" w:cs="AGaramond"/>
      <w:color w:val="000000"/>
      <w:sz w:val="26"/>
      <w:szCs w:val="26"/>
      <w:lang w:eastAsia="pt-BR"/>
    </w:rPr>
  </w:style>
  <w:style w:type="paragraph" w:styleId="Textoembloco">
    <w:name w:val="Block Text"/>
    <w:basedOn w:val="Normal"/>
    <w:rsid w:val="00A5490A"/>
    <w:pPr>
      <w:overflowPunct w:val="0"/>
      <w:autoSpaceDE w:val="0"/>
      <w:autoSpaceDN w:val="0"/>
      <w:adjustRightInd w:val="0"/>
      <w:spacing w:after="240" w:line="360" w:lineRule="auto"/>
      <w:ind w:left="-284" w:right="-993"/>
      <w:jc w:val="both"/>
      <w:textAlignment w:val="baseline"/>
    </w:pPr>
    <w:rPr>
      <w:rFonts w:ascii="FrankfurtGothic" w:eastAsia="Times New Roman" w:hAnsi="FrankfurtGothic" w:cs="Times New Roman"/>
      <w:sz w:val="26"/>
      <w:szCs w:val="20"/>
      <w:lang w:eastAsia="pt-BR"/>
    </w:rPr>
  </w:style>
  <w:style w:type="paragraph" w:customStyle="1" w:styleId="Ordinria">
    <w:name w:val="Ordinária"/>
    <w:basedOn w:val="Normal"/>
    <w:rsid w:val="00A5490A"/>
    <w:pPr>
      <w:overflowPunct w:val="0"/>
      <w:autoSpaceDE w:val="0"/>
      <w:autoSpaceDN w:val="0"/>
      <w:adjustRightInd w:val="0"/>
      <w:spacing w:before="100" w:beforeAutospacing="1" w:after="100" w:afterAutospacing="1" w:line="360" w:lineRule="auto"/>
      <w:jc w:val="both"/>
      <w:textAlignment w:val="baseline"/>
    </w:pPr>
    <w:rPr>
      <w:rFonts w:ascii="Courier New" w:eastAsia="Times New Roman" w:hAnsi="Courier New" w:cs="Courier New"/>
      <w:sz w:val="24"/>
      <w:szCs w:val="20"/>
      <w:lang w:eastAsia="pt-BR"/>
    </w:rPr>
  </w:style>
  <w:style w:type="paragraph" w:styleId="Cabealho">
    <w:name w:val="header"/>
    <w:basedOn w:val="Normal"/>
    <w:link w:val="CabealhoChar"/>
    <w:unhideWhenUsed/>
    <w:rsid w:val="00A5490A"/>
    <w:pPr>
      <w:tabs>
        <w:tab w:val="center" w:pos="4252"/>
        <w:tab w:val="right" w:pos="8504"/>
      </w:tabs>
      <w:spacing w:after="0" w:line="240" w:lineRule="auto"/>
    </w:pPr>
    <w:rPr>
      <w:rFonts w:ascii="Times New Roman" w:eastAsia="Times New Roman" w:hAnsi="Times New Roman" w:cs="Times New Roman"/>
      <w:sz w:val="24"/>
      <w:szCs w:val="24"/>
      <w:lang w:val="x-none" w:eastAsia="x-none"/>
    </w:rPr>
  </w:style>
  <w:style w:type="character" w:customStyle="1" w:styleId="CabealhoChar">
    <w:name w:val="Cabeçalho Char"/>
    <w:basedOn w:val="Fontepargpadro"/>
    <w:link w:val="Cabealho"/>
    <w:uiPriority w:val="99"/>
    <w:rsid w:val="00A5490A"/>
    <w:rPr>
      <w:rFonts w:ascii="Times New Roman" w:eastAsia="Times New Roman" w:hAnsi="Times New Roman" w:cs="Times New Roman"/>
      <w:sz w:val="24"/>
      <w:szCs w:val="24"/>
      <w:lang w:val="x-none" w:eastAsia="x-none"/>
    </w:rPr>
  </w:style>
  <w:style w:type="paragraph" w:styleId="Rodap">
    <w:name w:val="footer"/>
    <w:basedOn w:val="Normal"/>
    <w:link w:val="RodapChar"/>
    <w:uiPriority w:val="99"/>
    <w:unhideWhenUsed/>
    <w:rsid w:val="00A5490A"/>
    <w:pPr>
      <w:tabs>
        <w:tab w:val="center" w:pos="4252"/>
        <w:tab w:val="right" w:pos="8504"/>
      </w:tabs>
      <w:spacing w:after="0" w:line="240" w:lineRule="auto"/>
    </w:pPr>
    <w:rPr>
      <w:rFonts w:ascii="Times New Roman" w:eastAsia="Times New Roman" w:hAnsi="Times New Roman" w:cs="Times New Roman"/>
      <w:sz w:val="24"/>
      <w:szCs w:val="24"/>
      <w:lang w:val="x-none" w:eastAsia="x-none"/>
    </w:rPr>
  </w:style>
  <w:style w:type="character" w:customStyle="1" w:styleId="RodapChar">
    <w:name w:val="Rodapé Char"/>
    <w:basedOn w:val="Fontepargpadro"/>
    <w:link w:val="Rodap"/>
    <w:uiPriority w:val="99"/>
    <w:rsid w:val="00A5490A"/>
    <w:rPr>
      <w:rFonts w:ascii="Times New Roman" w:eastAsia="Times New Roman" w:hAnsi="Times New Roman" w:cs="Times New Roman"/>
      <w:sz w:val="24"/>
      <w:szCs w:val="24"/>
      <w:lang w:val="x-none" w:eastAsia="x-none"/>
    </w:rPr>
  </w:style>
  <w:style w:type="paragraph" w:styleId="Textodebalo">
    <w:name w:val="Balloon Text"/>
    <w:basedOn w:val="Normal"/>
    <w:link w:val="TextodebaloChar"/>
    <w:uiPriority w:val="99"/>
    <w:unhideWhenUsed/>
    <w:rsid w:val="00A5490A"/>
    <w:pPr>
      <w:spacing w:after="0" w:line="240" w:lineRule="auto"/>
    </w:pPr>
    <w:rPr>
      <w:rFonts w:ascii="Tahoma" w:eastAsia="Times New Roman" w:hAnsi="Tahoma" w:cs="Times New Roman"/>
      <w:sz w:val="16"/>
      <w:szCs w:val="16"/>
      <w:lang w:val="x-none" w:eastAsia="x-none"/>
    </w:rPr>
  </w:style>
  <w:style w:type="character" w:customStyle="1" w:styleId="TextodebaloChar">
    <w:name w:val="Texto de balão Char"/>
    <w:basedOn w:val="Fontepargpadro"/>
    <w:link w:val="Textodebalo"/>
    <w:uiPriority w:val="99"/>
    <w:rsid w:val="00A5490A"/>
    <w:rPr>
      <w:rFonts w:ascii="Tahoma" w:eastAsia="Times New Roman" w:hAnsi="Tahoma" w:cs="Times New Roman"/>
      <w:sz w:val="16"/>
      <w:szCs w:val="16"/>
      <w:lang w:val="x-none" w:eastAsia="x-none"/>
    </w:rPr>
  </w:style>
  <w:style w:type="paragraph" w:customStyle="1" w:styleId="Corpodetexto21">
    <w:name w:val="Corpo de texto 21"/>
    <w:basedOn w:val="Normal"/>
    <w:rsid w:val="00A5490A"/>
    <w:pPr>
      <w:overflowPunct w:val="0"/>
      <w:autoSpaceDE w:val="0"/>
      <w:autoSpaceDN w:val="0"/>
      <w:adjustRightInd w:val="0"/>
      <w:spacing w:after="0" w:line="240" w:lineRule="auto"/>
      <w:ind w:right="57" w:firstLine="567"/>
      <w:jc w:val="both"/>
      <w:textAlignment w:val="baseline"/>
    </w:pPr>
    <w:rPr>
      <w:rFonts w:ascii="FrankfurtGothic" w:eastAsia="Times New Roman" w:hAnsi="FrankfurtGothic" w:cs="Times New Roman"/>
      <w:sz w:val="28"/>
      <w:szCs w:val="20"/>
      <w:lang w:eastAsia="pt-BR"/>
    </w:rPr>
  </w:style>
  <w:style w:type="paragraph" w:customStyle="1" w:styleId="Recuodecorpodetexto31">
    <w:name w:val="Recuo de corpo de texto 31"/>
    <w:basedOn w:val="Normal"/>
    <w:rsid w:val="00A5490A"/>
    <w:pPr>
      <w:widowControl w:val="0"/>
      <w:overflowPunct w:val="0"/>
      <w:autoSpaceDE w:val="0"/>
      <w:autoSpaceDN w:val="0"/>
      <w:adjustRightInd w:val="0"/>
      <w:spacing w:after="0" w:line="240" w:lineRule="auto"/>
      <w:ind w:firstLine="851"/>
      <w:jc w:val="both"/>
      <w:textAlignment w:val="baseline"/>
    </w:pPr>
    <w:rPr>
      <w:rFonts w:ascii="FrankfurtGothic" w:eastAsia="Times New Roman" w:hAnsi="FrankfurtGothic" w:cs="Times New Roman"/>
      <w:sz w:val="28"/>
      <w:szCs w:val="20"/>
      <w:lang w:eastAsia="pt-BR"/>
    </w:rPr>
  </w:style>
  <w:style w:type="paragraph" w:styleId="Recuodecorpodetexto">
    <w:name w:val="Body Text Indent"/>
    <w:basedOn w:val="Normal"/>
    <w:link w:val="RecuodecorpodetextoChar"/>
    <w:rsid w:val="00A5490A"/>
    <w:pPr>
      <w:spacing w:after="120" w:line="240" w:lineRule="auto"/>
      <w:ind w:left="283"/>
    </w:pPr>
    <w:rPr>
      <w:rFonts w:ascii="Times New Roman" w:eastAsia="Times New Roman" w:hAnsi="Times New Roman" w:cs="Times New Roman"/>
      <w:sz w:val="26"/>
      <w:szCs w:val="20"/>
      <w:lang w:val="x-none" w:eastAsia="x-none"/>
    </w:rPr>
  </w:style>
  <w:style w:type="character" w:customStyle="1" w:styleId="RecuodecorpodetextoChar">
    <w:name w:val="Recuo de corpo de texto Char"/>
    <w:basedOn w:val="Fontepargpadro"/>
    <w:link w:val="Recuodecorpodetexto"/>
    <w:rsid w:val="00A5490A"/>
    <w:rPr>
      <w:rFonts w:ascii="Times New Roman" w:eastAsia="Times New Roman" w:hAnsi="Times New Roman" w:cs="Times New Roman"/>
      <w:sz w:val="26"/>
      <w:szCs w:val="20"/>
      <w:lang w:val="x-none" w:eastAsia="x-none"/>
    </w:rPr>
  </w:style>
  <w:style w:type="paragraph" w:customStyle="1" w:styleId="CT-CORPODETABELA">
    <w:name w:val="CT-CORPO DE TABELA"/>
    <w:rsid w:val="00A5490A"/>
    <w:pPr>
      <w:overflowPunct w:val="0"/>
      <w:autoSpaceDE w:val="0"/>
      <w:autoSpaceDN w:val="0"/>
      <w:adjustRightInd w:val="0"/>
      <w:spacing w:after="0" w:line="240" w:lineRule="exact"/>
      <w:textAlignment w:val="baseline"/>
    </w:pPr>
    <w:rPr>
      <w:rFonts w:ascii="Arial" w:eastAsia="Times New Roman" w:hAnsi="Arial" w:cs="Times New Roman"/>
      <w:sz w:val="18"/>
      <w:szCs w:val="20"/>
      <w:lang w:eastAsia="pt-BR"/>
    </w:rPr>
  </w:style>
  <w:style w:type="paragraph" w:customStyle="1" w:styleId="Texto">
    <w:name w:val="#Texto"/>
    <w:basedOn w:val="Normal"/>
    <w:uiPriority w:val="99"/>
    <w:rsid w:val="00A5490A"/>
    <w:pPr>
      <w:widowControl w:val="0"/>
      <w:suppressAutoHyphens/>
      <w:spacing w:after="120" w:line="240" w:lineRule="auto"/>
      <w:ind w:firstLine="1134"/>
      <w:jc w:val="both"/>
    </w:pPr>
    <w:rPr>
      <w:rFonts w:ascii="Times New Roman" w:eastAsia="Times New Roman" w:hAnsi="Times New Roman" w:cs="Times New Roman"/>
      <w:sz w:val="24"/>
      <w:szCs w:val="24"/>
      <w:lang w:eastAsia="pt-BR"/>
    </w:rPr>
  </w:style>
  <w:style w:type="paragraph" w:customStyle="1" w:styleId="D">
    <w:name w:val="D"/>
    <w:basedOn w:val="Normal"/>
    <w:uiPriority w:val="99"/>
    <w:rsid w:val="00A5490A"/>
    <w:pPr>
      <w:spacing w:after="0" w:line="240" w:lineRule="auto"/>
      <w:jc w:val="center"/>
    </w:pPr>
    <w:rPr>
      <w:rFonts w:ascii="Times New Roman" w:eastAsia="Times New Roman" w:hAnsi="Times New Roman" w:cs="Times New Roman"/>
      <w:sz w:val="24"/>
      <w:szCs w:val="24"/>
      <w:lang w:eastAsia="pt-BR"/>
    </w:rPr>
  </w:style>
  <w:style w:type="table" w:styleId="Tabelacomgrade">
    <w:name w:val="Table Grid"/>
    <w:basedOn w:val="Tabelanormal"/>
    <w:uiPriority w:val="99"/>
    <w:rsid w:val="00A5490A"/>
    <w:pPr>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notaderodap">
    <w:name w:val="footnote text"/>
    <w:basedOn w:val="Normal"/>
    <w:link w:val="TextodenotaderodapChar"/>
    <w:uiPriority w:val="99"/>
    <w:rsid w:val="00A5490A"/>
    <w:pPr>
      <w:spacing w:after="0" w:line="240" w:lineRule="auto"/>
    </w:pPr>
    <w:rPr>
      <w:rFonts w:ascii="Times New Roman" w:eastAsia="Times New Roman" w:hAnsi="Times New Roman" w:cs="Times New Roman"/>
      <w:sz w:val="20"/>
      <w:szCs w:val="20"/>
      <w:lang w:val="x-none" w:eastAsia="x-none"/>
    </w:rPr>
  </w:style>
  <w:style w:type="character" w:customStyle="1" w:styleId="TextodenotaderodapChar">
    <w:name w:val="Texto de nota de rodapé Char"/>
    <w:basedOn w:val="Fontepargpadro"/>
    <w:link w:val="Textodenotaderodap"/>
    <w:uiPriority w:val="99"/>
    <w:rsid w:val="00A5490A"/>
    <w:rPr>
      <w:rFonts w:ascii="Times New Roman" w:eastAsia="Times New Roman" w:hAnsi="Times New Roman" w:cs="Times New Roman"/>
      <w:sz w:val="20"/>
      <w:szCs w:val="20"/>
      <w:lang w:val="x-none" w:eastAsia="x-none"/>
    </w:rPr>
  </w:style>
  <w:style w:type="character" w:styleId="Refdenotaderodap">
    <w:name w:val="footnote reference"/>
    <w:uiPriority w:val="99"/>
    <w:rsid w:val="00A5490A"/>
    <w:rPr>
      <w:vertAlign w:val="superscript"/>
    </w:rPr>
  </w:style>
  <w:style w:type="character" w:styleId="Hyperlink">
    <w:name w:val="Hyperlink"/>
    <w:uiPriority w:val="99"/>
    <w:rsid w:val="00A5490A"/>
    <w:rPr>
      <w:color w:val="0000FF"/>
      <w:u w:val="single"/>
    </w:rPr>
  </w:style>
  <w:style w:type="paragraph" w:styleId="Ttulo">
    <w:name w:val="Title"/>
    <w:basedOn w:val="Normal"/>
    <w:link w:val="TtuloChar"/>
    <w:qFormat/>
    <w:rsid w:val="00A5490A"/>
    <w:pPr>
      <w:overflowPunct w:val="0"/>
      <w:autoSpaceDE w:val="0"/>
      <w:autoSpaceDN w:val="0"/>
      <w:adjustRightInd w:val="0"/>
      <w:spacing w:after="0" w:line="240" w:lineRule="auto"/>
      <w:jc w:val="center"/>
      <w:textAlignment w:val="baseline"/>
    </w:pPr>
    <w:rPr>
      <w:rFonts w:ascii="Arial" w:eastAsia="Times New Roman" w:hAnsi="Arial" w:cs="Times New Roman"/>
      <w:b/>
      <w:noProof/>
      <w:sz w:val="20"/>
      <w:szCs w:val="20"/>
      <w:lang w:val="x-none"/>
    </w:rPr>
  </w:style>
  <w:style w:type="character" w:customStyle="1" w:styleId="TtuloChar">
    <w:name w:val="Título Char"/>
    <w:basedOn w:val="Fontepargpadro"/>
    <w:link w:val="Ttulo"/>
    <w:rsid w:val="00A5490A"/>
    <w:rPr>
      <w:rFonts w:ascii="Arial" w:eastAsia="Times New Roman" w:hAnsi="Arial" w:cs="Times New Roman"/>
      <w:b/>
      <w:noProof/>
      <w:sz w:val="20"/>
      <w:szCs w:val="20"/>
      <w:lang w:val="x-none"/>
    </w:rPr>
  </w:style>
  <w:style w:type="paragraph" w:styleId="Corpodetexto">
    <w:name w:val="Body Text"/>
    <w:basedOn w:val="Normal"/>
    <w:link w:val="CorpodetextoChar"/>
    <w:uiPriority w:val="1"/>
    <w:unhideWhenUsed/>
    <w:qFormat/>
    <w:rsid w:val="00A5490A"/>
    <w:pPr>
      <w:spacing w:after="120" w:line="240" w:lineRule="auto"/>
    </w:pPr>
    <w:rPr>
      <w:rFonts w:ascii="Times New Roman" w:eastAsia="Times New Roman" w:hAnsi="Times New Roman" w:cs="Times New Roman"/>
      <w:sz w:val="24"/>
      <w:szCs w:val="24"/>
      <w:lang w:val="x-none" w:eastAsia="x-none"/>
    </w:rPr>
  </w:style>
  <w:style w:type="character" w:customStyle="1" w:styleId="CorpodetextoChar">
    <w:name w:val="Corpo de texto Char"/>
    <w:basedOn w:val="Fontepargpadro"/>
    <w:link w:val="Corpodetexto"/>
    <w:uiPriority w:val="1"/>
    <w:rsid w:val="00A5490A"/>
    <w:rPr>
      <w:rFonts w:ascii="Times New Roman" w:eastAsia="Times New Roman" w:hAnsi="Times New Roman" w:cs="Times New Roman"/>
      <w:sz w:val="24"/>
      <w:szCs w:val="24"/>
      <w:lang w:val="x-none" w:eastAsia="x-none"/>
    </w:rPr>
  </w:style>
  <w:style w:type="paragraph" w:styleId="Corpodetexto3">
    <w:name w:val="Body Text 3"/>
    <w:basedOn w:val="Normal"/>
    <w:link w:val="Corpodetexto3Char"/>
    <w:uiPriority w:val="99"/>
    <w:unhideWhenUsed/>
    <w:rsid w:val="00A5490A"/>
    <w:pPr>
      <w:spacing w:after="120" w:line="240" w:lineRule="auto"/>
    </w:pPr>
    <w:rPr>
      <w:rFonts w:ascii="Times New Roman" w:eastAsia="Times New Roman" w:hAnsi="Times New Roman" w:cs="Times New Roman"/>
      <w:sz w:val="16"/>
      <w:szCs w:val="16"/>
      <w:lang w:val="x-none" w:eastAsia="x-none"/>
    </w:rPr>
  </w:style>
  <w:style w:type="character" w:customStyle="1" w:styleId="Corpodetexto3Char">
    <w:name w:val="Corpo de texto 3 Char"/>
    <w:basedOn w:val="Fontepargpadro"/>
    <w:link w:val="Corpodetexto3"/>
    <w:uiPriority w:val="99"/>
    <w:rsid w:val="00A5490A"/>
    <w:rPr>
      <w:rFonts w:ascii="Times New Roman" w:eastAsia="Times New Roman" w:hAnsi="Times New Roman" w:cs="Times New Roman"/>
      <w:sz w:val="16"/>
      <w:szCs w:val="16"/>
      <w:lang w:val="x-none" w:eastAsia="x-none"/>
    </w:rPr>
  </w:style>
  <w:style w:type="paragraph" w:styleId="PargrafodaLista">
    <w:name w:val="List Paragraph"/>
    <w:basedOn w:val="Normal"/>
    <w:uiPriority w:val="34"/>
    <w:qFormat/>
    <w:rsid w:val="00A5490A"/>
    <w:pPr>
      <w:ind w:left="720"/>
      <w:contextualSpacing/>
    </w:pPr>
    <w:rPr>
      <w:rFonts w:ascii="Calibri" w:eastAsia="Calibri" w:hAnsi="Calibri" w:cs="Times New Roman"/>
    </w:rPr>
  </w:style>
  <w:style w:type="paragraph" w:customStyle="1" w:styleId="Estilo1">
    <w:name w:val="Estilo1"/>
    <w:basedOn w:val="Sumrio1"/>
    <w:rsid w:val="00A5490A"/>
    <w:pPr>
      <w:ind w:firstLine="1134"/>
    </w:pPr>
    <w:rPr>
      <w:rFonts w:ascii="Arial" w:hAnsi="Arial"/>
      <w:b w:val="0"/>
      <w:sz w:val="28"/>
    </w:rPr>
  </w:style>
  <w:style w:type="paragraph" w:styleId="Sumrio1">
    <w:name w:val="toc 1"/>
    <w:basedOn w:val="Normal"/>
    <w:next w:val="Normal"/>
    <w:autoRedefine/>
    <w:uiPriority w:val="39"/>
    <w:rsid w:val="00A5490A"/>
    <w:pPr>
      <w:spacing w:before="120" w:after="0"/>
    </w:pPr>
    <w:rPr>
      <w:b/>
      <w:bCs/>
      <w:i/>
      <w:iCs/>
      <w:sz w:val="24"/>
      <w:szCs w:val="24"/>
    </w:rPr>
  </w:style>
  <w:style w:type="paragraph" w:customStyle="1" w:styleId="EstiloTexto1Primeiralinha2ch">
    <w:name w:val="Estilo Texto 1 + Primeira linha:  2 ch"/>
    <w:basedOn w:val="Texto1"/>
    <w:rsid w:val="00A5490A"/>
    <w:pPr>
      <w:ind w:firstLine="480"/>
    </w:pPr>
    <w:rPr>
      <w:sz w:val="26"/>
    </w:rPr>
  </w:style>
  <w:style w:type="paragraph" w:customStyle="1" w:styleId="Texto1">
    <w:name w:val="Texto 1"/>
    <w:basedOn w:val="Normal"/>
    <w:rsid w:val="00A5490A"/>
    <w:pPr>
      <w:spacing w:before="120" w:after="0" w:line="240" w:lineRule="auto"/>
      <w:ind w:firstLine="200"/>
      <w:jc w:val="both"/>
    </w:pPr>
    <w:rPr>
      <w:rFonts w:ascii="Arial" w:eastAsia="Times New Roman" w:hAnsi="Arial" w:cs="Times New Roman"/>
      <w:sz w:val="24"/>
      <w:szCs w:val="20"/>
      <w:lang w:eastAsia="pt-BR"/>
    </w:rPr>
  </w:style>
  <w:style w:type="paragraph" w:customStyle="1" w:styleId="EstiloTexto110ptItlico">
    <w:name w:val="Estilo Texto 1 + 10 pt Itálico"/>
    <w:basedOn w:val="Texto1"/>
    <w:autoRedefine/>
    <w:rsid w:val="00A5490A"/>
    <w:pPr>
      <w:ind w:firstLine="0"/>
    </w:pPr>
    <w:rPr>
      <w:i/>
      <w:iCs/>
      <w:color w:val="FF0000"/>
      <w:sz w:val="20"/>
    </w:rPr>
  </w:style>
  <w:style w:type="character" w:customStyle="1" w:styleId="EstiloTexto110ptItlico1Char">
    <w:name w:val="Estilo Texto 1 + 10 pt Itálico1 Char"/>
    <w:rsid w:val="00A5490A"/>
    <w:rPr>
      <w:rFonts w:ascii="Arial" w:hAnsi="Arial"/>
      <w:i/>
      <w:iCs/>
      <w:noProof w:val="0"/>
      <w:sz w:val="24"/>
      <w:szCs w:val="24"/>
      <w:lang w:val="pt-BR" w:eastAsia="pt-BR" w:bidi="ar-SA"/>
    </w:rPr>
  </w:style>
  <w:style w:type="paragraph" w:styleId="NormalWeb">
    <w:name w:val="Normal (Web)"/>
    <w:basedOn w:val="Normal"/>
    <w:rsid w:val="00A5490A"/>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exto2">
    <w:name w:val="texto2"/>
    <w:basedOn w:val="Normal"/>
    <w:rsid w:val="00A5490A"/>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uiPriority w:val="22"/>
    <w:qFormat/>
    <w:rsid w:val="00A5490A"/>
    <w:rPr>
      <w:b/>
      <w:bCs/>
      <w:color w:val="000000"/>
    </w:rPr>
  </w:style>
  <w:style w:type="paragraph" w:customStyle="1" w:styleId="Default">
    <w:name w:val="Default"/>
    <w:rsid w:val="00AC1E6D"/>
    <w:pPr>
      <w:autoSpaceDE w:val="0"/>
      <w:autoSpaceDN w:val="0"/>
      <w:adjustRightInd w:val="0"/>
      <w:spacing w:after="0" w:line="240" w:lineRule="auto"/>
    </w:pPr>
    <w:rPr>
      <w:rFonts w:ascii="Arial" w:hAnsi="Arial" w:cs="Arial"/>
      <w:color w:val="000000"/>
      <w:sz w:val="24"/>
      <w:szCs w:val="24"/>
    </w:rPr>
  </w:style>
  <w:style w:type="paragraph" w:customStyle="1" w:styleId="TableParagraph">
    <w:name w:val="Table Paragraph"/>
    <w:basedOn w:val="Normal"/>
    <w:uiPriority w:val="1"/>
    <w:qFormat/>
    <w:rsid w:val="00DC687B"/>
    <w:pPr>
      <w:widowControl w:val="0"/>
      <w:spacing w:after="0" w:line="240" w:lineRule="auto"/>
    </w:pPr>
    <w:rPr>
      <w:lang w:val="en-US"/>
    </w:rPr>
  </w:style>
  <w:style w:type="numbering" w:customStyle="1" w:styleId="Semlista2">
    <w:name w:val="Sem lista2"/>
    <w:next w:val="Semlista"/>
    <w:uiPriority w:val="99"/>
    <w:semiHidden/>
    <w:unhideWhenUsed/>
    <w:rsid w:val="00EE0371"/>
  </w:style>
  <w:style w:type="paragraph" w:styleId="SemEspaamento">
    <w:name w:val="No Spacing"/>
    <w:uiPriority w:val="1"/>
    <w:qFormat/>
    <w:rsid w:val="00EE0371"/>
    <w:pPr>
      <w:spacing w:after="0" w:line="240" w:lineRule="auto"/>
      <w:jc w:val="both"/>
    </w:pPr>
    <w:rPr>
      <w:rFonts w:ascii="Arial" w:hAnsi="Arial"/>
    </w:rPr>
  </w:style>
  <w:style w:type="numbering" w:customStyle="1" w:styleId="Semlista3">
    <w:name w:val="Sem lista3"/>
    <w:next w:val="Semlista"/>
    <w:uiPriority w:val="99"/>
    <w:semiHidden/>
    <w:unhideWhenUsed/>
    <w:rsid w:val="00EE0371"/>
  </w:style>
  <w:style w:type="numbering" w:customStyle="1" w:styleId="Semlista4">
    <w:name w:val="Sem lista4"/>
    <w:next w:val="Semlista"/>
    <w:uiPriority w:val="99"/>
    <w:semiHidden/>
    <w:unhideWhenUsed/>
    <w:rsid w:val="00FD1551"/>
  </w:style>
  <w:style w:type="character" w:customStyle="1" w:styleId="Ttulo2Char">
    <w:name w:val="Título 2 Char"/>
    <w:basedOn w:val="Fontepargpadro"/>
    <w:link w:val="Ttulo2"/>
    <w:uiPriority w:val="1"/>
    <w:rsid w:val="0092433B"/>
    <w:rPr>
      <w:rFonts w:ascii="Arial" w:eastAsia="Arial" w:hAnsi="Arial"/>
      <w:b/>
      <w:bCs/>
      <w:sz w:val="28"/>
      <w:szCs w:val="36"/>
      <w:lang w:val="en-US"/>
    </w:rPr>
  </w:style>
  <w:style w:type="character" w:customStyle="1" w:styleId="Ttulo4Char">
    <w:name w:val="Título 4 Char"/>
    <w:basedOn w:val="Fontepargpadro"/>
    <w:link w:val="Ttulo4"/>
    <w:uiPriority w:val="1"/>
    <w:rsid w:val="0066504F"/>
    <w:rPr>
      <w:rFonts w:ascii="Arial" w:eastAsia="Arial" w:hAnsi="Arial"/>
      <w:b/>
      <w:bCs/>
      <w:sz w:val="24"/>
      <w:szCs w:val="24"/>
      <w:lang w:val="en-US"/>
    </w:rPr>
  </w:style>
  <w:style w:type="character" w:customStyle="1" w:styleId="Ttulo5Char">
    <w:name w:val="Título 5 Char"/>
    <w:basedOn w:val="Fontepargpadro"/>
    <w:link w:val="Ttulo5"/>
    <w:uiPriority w:val="1"/>
    <w:rsid w:val="0066504F"/>
    <w:rPr>
      <w:rFonts w:ascii="Arial" w:eastAsia="Arial" w:hAnsi="Arial"/>
      <w:sz w:val="23"/>
      <w:szCs w:val="23"/>
      <w:lang w:val="en-US"/>
    </w:rPr>
  </w:style>
  <w:style w:type="character" w:customStyle="1" w:styleId="Ttulo6Char">
    <w:name w:val="Título 6 Char"/>
    <w:basedOn w:val="Fontepargpadro"/>
    <w:link w:val="Ttulo6"/>
    <w:uiPriority w:val="1"/>
    <w:rsid w:val="0066504F"/>
    <w:rPr>
      <w:rFonts w:ascii="Arial" w:eastAsia="Arial" w:hAnsi="Arial"/>
      <w:b/>
      <w:bCs/>
      <w:lang w:val="en-US"/>
    </w:rPr>
  </w:style>
  <w:style w:type="character" w:customStyle="1" w:styleId="Ttulo7Char">
    <w:name w:val="Título 7 Char"/>
    <w:basedOn w:val="Fontepargpadro"/>
    <w:link w:val="Ttulo7"/>
    <w:uiPriority w:val="1"/>
    <w:rsid w:val="0066504F"/>
    <w:rPr>
      <w:rFonts w:ascii="Arial" w:eastAsia="Arial" w:hAnsi="Arial"/>
      <w:lang w:val="en-US"/>
    </w:rPr>
  </w:style>
  <w:style w:type="character" w:customStyle="1" w:styleId="Ttulo8Char">
    <w:name w:val="Título 8 Char"/>
    <w:basedOn w:val="Fontepargpadro"/>
    <w:link w:val="Ttulo8"/>
    <w:uiPriority w:val="1"/>
    <w:rsid w:val="0066504F"/>
    <w:rPr>
      <w:rFonts w:ascii="Calibri" w:eastAsia="Calibri" w:hAnsi="Calibri"/>
      <w:b/>
      <w:bCs/>
      <w:sz w:val="20"/>
      <w:szCs w:val="20"/>
      <w:lang w:val="en-US"/>
    </w:rPr>
  </w:style>
  <w:style w:type="numbering" w:customStyle="1" w:styleId="Semlista5">
    <w:name w:val="Sem lista5"/>
    <w:next w:val="Semlista"/>
    <w:uiPriority w:val="99"/>
    <w:semiHidden/>
    <w:unhideWhenUsed/>
    <w:rsid w:val="0066504F"/>
  </w:style>
  <w:style w:type="table" w:customStyle="1" w:styleId="TableNormal">
    <w:name w:val="Table Normal"/>
    <w:uiPriority w:val="2"/>
    <w:semiHidden/>
    <w:unhideWhenUsed/>
    <w:qFormat/>
    <w:rsid w:val="0066504F"/>
    <w:pPr>
      <w:widowControl w:val="0"/>
      <w:spacing w:after="0" w:line="240" w:lineRule="auto"/>
    </w:pPr>
    <w:rPr>
      <w:lang w:val="en-US"/>
    </w:rPr>
    <w:tblPr>
      <w:tblInd w:w="0" w:type="dxa"/>
      <w:tblCellMar>
        <w:top w:w="0" w:type="dxa"/>
        <w:left w:w="0" w:type="dxa"/>
        <w:bottom w:w="0" w:type="dxa"/>
        <w:right w:w="0" w:type="dxa"/>
      </w:tblCellMar>
    </w:tblPr>
  </w:style>
  <w:style w:type="numbering" w:customStyle="1" w:styleId="Semlista6">
    <w:name w:val="Sem lista6"/>
    <w:next w:val="Semlista"/>
    <w:uiPriority w:val="99"/>
    <w:semiHidden/>
    <w:unhideWhenUsed/>
    <w:rsid w:val="007B690E"/>
  </w:style>
  <w:style w:type="table" w:customStyle="1" w:styleId="TableNormal1">
    <w:name w:val="Table Normal1"/>
    <w:uiPriority w:val="2"/>
    <w:semiHidden/>
    <w:unhideWhenUsed/>
    <w:qFormat/>
    <w:rsid w:val="007B690E"/>
    <w:pPr>
      <w:widowControl w:val="0"/>
      <w:spacing w:after="0" w:line="240" w:lineRule="auto"/>
    </w:pPr>
    <w:rPr>
      <w:lang w:val="en-US"/>
    </w:rPr>
    <w:tblPr>
      <w:tblInd w:w="0" w:type="dxa"/>
      <w:tblCellMar>
        <w:top w:w="0" w:type="dxa"/>
        <w:left w:w="0" w:type="dxa"/>
        <w:bottom w:w="0" w:type="dxa"/>
        <w:right w:w="0" w:type="dxa"/>
      </w:tblCellMar>
    </w:tblPr>
  </w:style>
  <w:style w:type="character" w:styleId="Refdecomentrio">
    <w:name w:val="annotation reference"/>
    <w:basedOn w:val="Fontepargpadro"/>
    <w:uiPriority w:val="99"/>
    <w:unhideWhenUsed/>
    <w:rsid w:val="00D21AB0"/>
    <w:rPr>
      <w:sz w:val="16"/>
      <w:szCs w:val="16"/>
    </w:rPr>
  </w:style>
  <w:style w:type="paragraph" w:styleId="Textodecomentrio">
    <w:name w:val="annotation text"/>
    <w:basedOn w:val="Normal"/>
    <w:link w:val="TextodecomentrioChar"/>
    <w:uiPriority w:val="99"/>
    <w:unhideWhenUsed/>
    <w:rsid w:val="00D21AB0"/>
    <w:pPr>
      <w:spacing w:line="240" w:lineRule="auto"/>
    </w:pPr>
    <w:rPr>
      <w:sz w:val="20"/>
      <w:szCs w:val="20"/>
    </w:rPr>
  </w:style>
  <w:style w:type="character" w:customStyle="1" w:styleId="TextodecomentrioChar">
    <w:name w:val="Texto de comentário Char"/>
    <w:basedOn w:val="Fontepargpadro"/>
    <w:link w:val="Textodecomentrio"/>
    <w:uiPriority w:val="99"/>
    <w:rsid w:val="00D21AB0"/>
    <w:rPr>
      <w:sz w:val="20"/>
      <w:szCs w:val="20"/>
    </w:rPr>
  </w:style>
  <w:style w:type="paragraph" w:styleId="Assuntodocomentrio">
    <w:name w:val="annotation subject"/>
    <w:basedOn w:val="Textodecomentrio"/>
    <w:next w:val="Textodecomentrio"/>
    <w:link w:val="AssuntodocomentrioChar"/>
    <w:uiPriority w:val="99"/>
    <w:unhideWhenUsed/>
    <w:rsid w:val="00D21AB0"/>
    <w:rPr>
      <w:b/>
      <w:bCs/>
    </w:rPr>
  </w:style>
  <w:style w:type="character" w:customStyle="1" w:styleId="AssuntodocomentrioChar">
    <w:name w:val="Assunto do comentário Char"/>
    <w:basedOn w:val="TextodecomentrioChar"/>
    <w:link w:val="Assuntodocomentrio"/>
    <w:uiPriority w:val="99"/>
    <w:rsid w:val="00D21AB0"/>
    <w:rPr>
      <w:b/>
      <w:bCs/>
      <w:sz w:val="20"/>
      <w:szCs w:val="20"/>
    </w:rPr>
  </w:style>
  <w:style w:type="numbering" w:customStyle="1" w:styleId="Semlista7">
    <w:name w:val="Sem lista7"/>
    <w:next w:val="Semlista"/>
    <w:uiPriority w:val="99"/>
    <w:semiHidden/>
    <w:rsid w:val="003042F6"/>
  </w:style>
  <w:style w:type="paragraph" w:styleId="Recuodecorpodetexto2">
    <w:name w:val="Body Text Indent 2"/>
    <w:basedOn w:val="Normal"/>
    <w:link w:val="Recuodecorpodetexto2Char"/>
    <w:uiPriority w:val="99"/>
    <w:rsid w:val="003042F6"/>
    <w:pPr>
      <w:overflowPunct w:val="0"/>
      <w:autoSpaceDE w:val="0"/>
      <w:autoSpaceDN w:val="0"/>
      <w:adjustRightInd w:val="0"/>
      <w:spacing w:before="240" w:after="0" w:line="360" w:lineRule="auto"/>
      <w:ind w:firstLine="1701"/>
      <w:jc w:val="both"/>
      <w:textAlignment w:val="baseline"/>
    </w:pPr>
    <w:rPr>
      <w:rFonts w:ascii="Franklin Gothic Book" w:eastAsia="Times New Roman" w:hAnsi="Franklin Gothic Book" w:cs="Times New Roman"/>
      <w:b/>
      <w:bCs/>
      <w:sz w:val="28"/>
      <w:szCs w:val="28"/>
      <w:lang w:eastAsia="pt-BR"/>
    </w:rPr>
  </w:style>
  <w:style w:type="character" w:customStyle="1" w:styleId="Recuodecorpodetexto2Char">
    <w:name w:val="Recuo de corpo de texto 2 Char"/>
    <w:basedOn w:val="Fontepargpadro"/>
    <w:link w:val="Recuodecorpodetexto2"/>
    <w:uiPriority w:val="99"/>
    <w:rsid w:val="003042F6"/>
    <w:rPr>
      <w:rFonts w:ascii="Franklin Gothic Book" w:eastAsia="Times New Roman" w:hAnsi="Franklin Gothic Book" w:cs="Times New Roman"/>
      <w:b/>
      <w:bCs/>
      <w:sz w:val="28"/>
      <w:szCs w:val="28"/>
      <w:lang w:eastAsia="pt-BR"/>
    </w:rPr>
  </w:style>
  <w:style w:type="character" w:styleId="Nmerodepgina">
    <w:name w:val="page number"/>
    <w:basedOn w:val="Fontepargpadro"/>
    <w:rsid w:val="003042F6"/>
  </w:style>
  <w:style w:type="paragraph" w:styleId="Sumrio2">
    <w:name w:val="toc 2"/>
    <w:basedOn w:val="Normal"/>
    <w:next w:val="Normal"/>
    <w:autoRedefine/>
    <w:uiPriority w:val="39"/>
    <w:rsid w:val="003042F6"/>
    <w:pPr>
      <w:spacing w:before="120" w:after="0"/>
      <w:ind w:left="220"/>
    </w:pPr>
    <w:rPr>
      <w:b/>
      <w:bCs/>
    </w:rPr>
  </w:style>
  <w:style w:type="paragraph" w:styleId="Sumrio3">
    <w:name w:val="toc 3"/>
    <w:basedOn w:val="Normal"/>
    <w:next w:val="Normal"/>
    <w:autoRedefine/>
    <w:uiPriority w:val="39"/>
    <w:rsid w:val="003042F6"/>
    <w:pPr>
      <w:spacing w:after="0"/>
      <w:ind w:left="440"/>
    </w:pPr>
    <w:rPr>
      <w:sz w:val="20"/>
      <w:szCs w:val="20"/>
    </w:rPr>
  </w:style>
  <w:style w:type="paragraph" w:styleId="Sumrio4">
    <w:name w:val="toc 4"/>
    <w:basedOn w:val="Normal"/>
    <w:next w:val="Normal"/>
    <w:autoRedefine/>
    <w:uiPriority w:val="39"/>
    <w:rsid w:val="003042F6"/>
    <w:pPr>
      <w:spacing w:after="0"/>
      <w:ind w:left="660"/>
    </w:pPr>
    <w:rPr>
      <w:sz w:val="20"/>
      <w:szCs w:val="20"/>
    </w:rPr>
  </w:style>
  <w:style w:type="paragraph" w:styleId="Sumrio5">
    <w:name w:val="toc 5"/>
    <w:basedOn w:val="Normal"/>
    <w:next w:val="Normal"/>
    <w:autoRedefine/>
    <w:uiPriority w:val="39"/>
    <w:rsid w:val="003042F6"/>
    <w:pPr>
      <w:spacing w:after="0"/>
      <w:ind w:left="880"/>
    </w:pPr>
    <w:rPr>
      <w:sz w:val="20"/>
      <w:szCs w:val="20"/>
    </w:rPr>
  </w:style>
  <w:style w:type="paragraph" w:styleId="Sumrio6">
    <w:name w:val="toc 6"/>
    <w:basedOn w:val="Normal"/>
    <w:next w:val="Normal"/>
    <w:autoRedefine/>
    <w:uiPriority w:val="39"/>
    <w:rsid w:val="003042F6"/>
    <w:pPr>
      <w:spacing w:after="0"/>
      <w:ind w:left="1100"/>
    </w:pPr>
    <w:rPr>
      <w:sz w:val="20"/>
      <w:szCs w:val="20"/>
    </w:rPr>
  </w:style>
  <w:style w:type="paragraph" w:styleId="Sumrio7">
    <w:name w:val="toc 7"/>
    <w:basedOn w:val="Normal"/>
    <w:next w:val="Normal"/>
    <w:autoRedefine/>
    <w:uiPriority w:val="39"/>
    <w:rsid w:val="003042F6"/>
    <w:pPr>
      <w:spacing w:after="0"/>
      <w:ind w:left="1320"/>
    </w:pPr>
    <w:rPr>
      <w:sz w:val="20"/>
      <w:szCs w:val="20"/>
    </w:rPr>
  </w:style>
  <w:style w:type="paragraph" w:styleId="Sumrio8">
    <w:name w:val="toc 8"/>
    <w:basedOn w:val="Normal"/>
    <w:next w:val="Normal"/>
    <w:autoRedefine/>
    <w:uiPriority w:val="39"/>
    <w:rsid w:val="003042F6"/>
    <w:pPr>
      <w:spacing w:after="0"/>
      <w:ind w:left="1540"/>
    </w:pPr>
    <w:rPr>
      <w:sz w:val="20"/>
      <w:szCs w:val="20"/>
    </w:rPr>
  </w:style>
  <w:style w:type="paragraph" w:styleId="Sumrio9">
    <w:name w:val="toc 9"/>
    <w:basedOn w:val="Normal"/>
    <w:next w:val="Normal"/>
    <w:autoRedefine/>
    <w:uiPriority w:val="39"/>
    <w:rsid w:val="003042F6"/>
    <w:pPr>
      <w:spacing w:after="0"/>
      <w:ind w:left="1760"/>
    </w:pPr>
    <w:rPr>
      <w:sz w:val="20"/>
      <w:szCs w:val="20"/>
    </w:rPr>
  </w:style>
  <w:style w:type="paragraph" w:styleId="Recuodecorpodetexto3">
    <w:name w:val="Body Text Indent 3"/>
    <w:basedOn w:val="Normal"/>
    <w:link w:val="Recuodecorpodetexto3Char"/>
    <w:rsid w:val="003042F6"/>
    <w:pPr>
      <w:overflowPunct w:val="0"/>
      <w:autoSpaceDE w:val="0"/>
      <w:autoSpaceDN w:val="0"/>
      <w:adjustRightInd w:val="0"/>
      <w:spacing w:after="0" w:line="360" w:lineRule="auto"/>
      <w:ind w:left="284"/>
      <w:jc w:val="both"/>
      <w:textAlignment w:val="baseline"/>
    </w:pPr>
    <w:rPr>
      <w:rFonts w:ascii="Franklin Gothic Book" w:eastAsia="Times New Roman" w:hAnsi="Franklin Gothic Book" w:cs="Times New Roman"/>
      <w:sz w:val="28"/>
      <w:szCs w:val="28"/>
      <w:lang w:eastAsia="pt-BR"/>
    </w:rPr>
  </w:style>
  <w:style w:type="character" w:customStyle="1" w:styleId="Recuodecorpodetexto3Char">
    <w:name w:val="Recuo de corpo de texto 3 Char"/>
    <w:basedOn w:val="Fontepargpadro"/>
    <w:link w:val="Recuodecorpodetexto3"/>
    <w:rsid w:val="003042F6"/>
    <w:rPr>
      <w:rFonts w:ascii="Franklin Gothic Book" w:eastAsia="Times New Roman" w:hAnsi="Franklin Gothic Book" w:cs="Times New Roman"/>
      <w:sz w:val="28"/>
      <w:szCs w:val="28"/>
      <w:lang w:eastAsia="pt-BR"/>
    </w:rPr>
  </w:style>
  <w:style w:type="character" w:styleId="HiperlinkVisitado">
    <w:name w:val="FollowedHyperlink"/>
    <w:uiPriority w:val="99"/>
    <w:rsid w:val="003042F6"/>
    <w:rPr>
      <w:color w:val="800080"/>
      <w:u w:val="single"/>
    </w:rPr>
  </w:style>
  <w:style w:type="paragraph" w:styleId="Corpodetexto2">
    <w:name w:val="Body Text 2"/>
    <w:basedOn w:val="Normal"/>
    <w:link w:val="Corpodetexto2Char"/>
    <w:rsid w:val="003042F6"/>
    <w:pPr>
      <w:autoSpaceDE w:val="0"/>
      <w:autoSpaceDN w:val="0"/>
      <w:adjustRightInd w:val="0"/>
      <w:spacing w:after="0" w:line="240" w:lineRule="auto"/>
      <w:jc w:val="both"/>
    </w:pPr>
    <w:rPr>
      <w:rFonts w:ascii="FrankfurtGothic" w:eastAsia="Times New Roman" w:hAnsi="FrankfurtGothic" w:cs="Arial"/>
      <w:color w:val="008000"/>
      <w:sz w:val="20"/>
      <w:szCs w:val="20"/>
      <w:lang w:eastAsia="pt-BR"/>
    </w:rPr>
  </w:style>
  <w:style w:type="character" w:customStyle="1" w:styleId="Corpodetexto2Char">
    <w:name w:val="Corpo de texto 2 Char"/>
    <w:basedOn w:val="Fontepargpadro"/>
    <w:link w:val="Corpodetexto2"/>
    <w:rsid w:val="003042F6"/>
    <w:rPr>
      <w:rFonts w:ascii="FrankfurtGothic" w:eastAsia="Times New Roman" w:hAnsi="FrankfurtGothic" w:cs="Arial"/>
      <w:color w:val="008000"/>
      <w:sz w:val="20"/>
      <w:szCs w:val="20"/>
      <w:lang w:eastAsia="pt-BR"/>
    </w:rPr>
  </w:style>
  <w:style w:type="numbering" w:customStyle="1" w:styleId="Semlista11">
    <w:name w:val="Sem lista11"/>
    <w:next w:val="Semlista"/>
    <w:uiPriority w:val="99"/>
    <w:semiHidden/>
    <w:unhideWhenUsed/>
    <w:rsid w:val="003042F6"/>
  </w:style>
  <w:style w:type="paragraph" w:styleId="Pr-formataoHTML">
    <w:name w:val="HTML Preformatted"/>
    <w:basedOn w:val="Normal"/>
    <w:link w:val="Pr-formataoHTMLChar"/>
    <w:uiPriority w:val="99"/>
    <w:rsid w:val="00304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Times New Roman"/>
      <w:sz w:val="20"/>
      <w:szCs w:val="20"/>
      <w:lang w:eastAsia="pt-BR"/>
    </w:rPr>
  </w:style>
  <w:style w:type="character" w:customStyle="1" w:styleId="Pr-formataoHTMLChar">
    <w:name w:val="Pré-formatação HTML Char"/>
    <w:basedOn w:val="Fontepargpadro"/>
    <w:link w:val="Pr-formataoHTML"/>
    <w:uiPriority w:val="99"/>
    <w:rsid w:val="003042F6"/>
    <w:rPr>
      <w:rFonts w:ascii="Courier New" w:eastAsia="Calibri" w:hAnsi="Courier New" w:cs="Times New Roman"/>
      <w:sz w:val="20"/>
      <w:szCs w:val="20"/>
      <w:lang w:eastAsia="pt-BR"/>
    </w:rPr>
  </w:style>
  <w:style w:type="character" w:customStyle="1" w:styleId="m1">
    <w:name w:val="m1"/>
    <w:uiPriority w:val="99"/>
    <w:rsid w:val="003042F6"/>
    <w:rPr>
      <w:color w:val="0000FF"/>
    </w:rPr>
  </w:style>
  <w:style w:type="character" w:customStyle="1" w:styleId="pi1">
    <w:name w:val="pi1"/>
    <w:uiPriority w:val="99"/>
    <w:rsid w:val="003042F6"/>
    <w:rPr>
      <w:color w:val="0000FF"/>
    </w:rPr>
  </w:style>
  <w:style w:type="character" w:customStyle="1" w:styleId="ci1">
    <w:name w:val="ci1"/>
    <w:uiPriority w:val="99"/>
    <w:rsid w:val="003042F6"/>
    <w:rPr>
      <w:rFonts w:ascii="Courier" w:hAnsi="Courier"/>
      <w:color w:val="888888"/>
      <w:sz w:val="24"/>
    </w:rPr>
  </w:style>
  <w:style w:type="character" w:customStyle="1" w:styleId="b1">
    <w:name w:val="b1"/>
    <w:uiPriority w:val="99"/>
    <w:rsid w:val="003042F6"/>
    <w:rPr>
      <w:rFonts w:ascii="Courier New" w:hAnsi="Courier New"/>
      <w:b/>
      <w:color w:val="FF0000"/>
      <w:u w:val="none"/>
      <w:effect w:val="none"/>
    </w:rPr>
  </w:style>
  <w:style w:type="character" w:customStyle="1" w:styleId="t1">
    <w:name w:val="t1"/>
    <w:uiPriority w:val="99"/>
    <w:rsid w:val="003042F6"/>
    <w:rPr>
      <w:color w:val="990000"/>
    </w:rPr>
  </w:style>
  <w:style w:type="character" w:customStyle="1" w:styleId="tx1">
    <w:name w:val="tx1"/>
    <w:uiPriority w:val="99"/>
    <w:rsid w:val="003042F6"/>
    <w:rPr>
      <w:b/>
    </w:rPr>
  </w:style>
  <w:style w:type="table" w:customStyle="1" w:styleId="Tabelacomgrade1">
    <w:name w:val="Tabela com grade1"/>
    <w:basedOn w:val="Tabelanormal"/>
    <w:next w:val="Tabelacomgrade"/>
    <w:uiPriority w:val="99"/>
    <w:rsid w:val="003042F6"/>
    <w:pPr>
      <w:overflowPunct w:val="0"/>
      <w:autoSpaceDE w:val="0"/>
      <w:autoSpaceDN w:val="0"/>
      <w:adjustRightInd w:val="0"/>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quebra">
    <w:name w:val="quebra"/>
    <w:basedOn w:val="Normal"/>
    <w:uiPriority w:val="99"/>
    <w:rsid w:val="003042F6"/>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Corpodetexto22">
    <w:name w:val="Corpo de texto 22"/>
    <w:basedOn w:val="Normal"/>
    <w:uiPriority w:val="99"/>
    <w:rsid w:val="003042F6"/>
    <w:pPr>
      <w:overflowPunct w:val="0"/>
      <w:autoSpaceDE w:val="0"/>
      <w:autoSpaceDN w:val="0"/>
      <w:adjustRightInd w:val="0"/>
      <w:spacing w:after="0" w:line="240" w:lineRule="auto"/>
      <w:ind w:left="4536"/>
      <w:jc w:val="both"/>
    </w:pPr>
    <w:rPr>
      <w:rFonts w:ascii="FrankfurtGothic" w:eastAsia="Times New Roman" w:hAnsi="FrankfurtGothic" w:cs="Times New Roman"/>
      <w:b/>
      <w:sz w:val="28"/>
      <w:szCs w:val="20"/>
      <w:lang w:eastAsia="pt-BR"/>
    </w:rPr>
  </w:style>
  <w:style w:type="paragraph" w:styleId="TextosemFormatao">
    <w:name w:val="Plain Text"/>
    <w:basedOn w:val="Normal"/>
    <w:link w:val="TextosemFormataoChar"/>
    <w:uiPriority w:val="99"/>
    <w:rsid w:val="003042F6"/>
    <w:pPr>
      <w:overflowPunct w:val="0"/>
      <w:autoSpaceDE w:val="0"/>
      <w:autoSpaceDN w:val="0"/>
      <w:adjustRightInd w:val="0"/>
      <w:spacing w:after="0" w:line="240" w:lineRule="auto"/>
      <w:textAlignment w:val="baseline"/>
    </w:pPr>
    <w:rPr>
      <w:rFonts w:ascii="Courier New" w:eastAsia="Calibri" w:hAnsi="Courier New" w:cs="Times New Roman"/>
      <w:sz w:val="20"/>
      <w:szCs w:val="20"/>
      <w:lang w:eastAsia="pt-BR"/>
    </w:rPr>
  </w:style>
  <w:style w:type="character" w:customStyle="1" w:styleId="TextosemFormataoChar">
    <w:name w:val="Texto sem Formatação Char"/>
    <w:basedOn w:val="Fontepargpadro"/>
    <w:link w:val="TextosemFormatao"/>
    <w:uiPriority w:val="99"/>
    <w:rsid w:val="003042F6"/>
    <w:rPr>
      <w:rFonts w:ascii="Courier New" w:eastAsia="Calibri" w:hAnsi="Courier New" w:cs="Times New Roman"/>
      <w:sz w:val="20"/>
      <w:szCs w:val="20"/>
      <w:lang w:eastAsia="pt-BR"/>
    </w:rPr>
  </w:style>
  <w:style w:type="paragraph" w:customStyle="1" w:styleId="Corpodetexto23">
    <w:name w:val="Corpo de texto 23"/>
    <w:basedOn w:val="Normal"/>
    <w:uiPriority w:val="99"/>
    <w:rsid w:val="003042F6"/>
    <w:pPr>
      <w:overflowPunct w:val="0"/>
      <w:autoSpaceDE w:val="0"/>
      <w:autoSpaceDN w:val="0"/>
      <w:adjustRightInd w:val="0"/>
      <w:spacing w:after="0" w:line="240" w:lineRule="auto"/>
      <w:ind w:left="4536"/>
      <w:jc w:val="both"/>
    </w:pPr>
    <w:rPr>
      <w:rFonts w:ascii="FrankfurtGothic" w:eastAsia="Times New Roman" w:hAnsi="FrankfurtGothic" w:cs="Times New Roman"/>
      <w:b/>
      <w:sz w:val="28"/>
      <w:szCs w:val="20"/>
      <w:lang w:eastAsia="pt-BR"/>
    </w:rPr>
  </w:style>
  <w:style w:type="paragraph" w:customStyle="1" w:styleId="NormalWeb1">
    <w:name w:val="Normal (Web)1"/>
    <w:basedOn w:val="Normal"/>
    <w:next w:val="NormalWeb"/>
    <w:uiPriority w:val="99"/>
    <w:unhideWhenUsed/>
    <w:locked/>
    <w:rsid w:val="003042F6"/>
    <w:pPr>
      <w:spacing w:after="0" w:line="240" w:lineRule="auto"/>
    </w:pPr>
    <w:rPr>
      <w:rFonts w:ascii="Times New Roman" w:eastAsia="Calibri" w:hAnsi="Times New Roman" w:cs="Times New Roman"/>
      <w:sz w:val="24"/>
      <w:szCs w:val="24"/>
      <w:lang w:eastAsia="pt-BR"/>
    </w:rPr>
  </w:style>
  <w:style w:type="paragraph" w:customStyle="1" w:styleId="Legenda1">
    <w:name w:val="Legenda1"/>
    <w:basedOn w:val="Normal"/>
    <w:next w:val="Normal"/>
    <w:uiPriority w:val="35"/>
    <w:unhideWhenUsed/>
    <w:qFormat/>
    <w:locked/>
    <w:rsid w:val="003042F6"/>
    <w:pPr>
      <w:spacing w:line="240" w:lineRule="auto"/>
    </w:pPr>
    <w:rPr>
      <w:rFonts w:ascii="Calibri" w:eastAsia="Calibri" w:hAnsi="Calibri" w:cs="Times New Roman"/>
      <w:b/>
      <w:bCs/>
      <w:color w:val="4F81BD"/>
      <w:sz w:val="18"/>
      <w:szCs w:val="18"/>
    </w:rPr>
  </w:style>
  <w:style w:type="numbering" w:customStyle="1" w:styleId="Semlista111">
    <w:name w:val="Sem lista111"/>
    <w:next w:val="Semlista"/>
    <w:uiPriority w:val="99"/>
    <w:semiHidden/>
    <w:unhideWhenUsed/>
    <w:rsid w:val="003042F6"/>
  </w:style>
  <w:style w:type="paragraph" w:styleId="Legenda">
    <w:name w:val="caption"/>
    <w:basedOn w:val="Normal"/>
    <w:next w:val="Normal"/>
    <w:uiPriority w:val="35"/>
    <w:unhideWhenUsed/>
    <w:qFormat/>
    <w:rsid w:val="003042F6"/>
    <w:pPr>
      <w:spacing w:line="240" w:lineRule="auto"/>
    </w:pPr>
    <w:rPr>
      <w:rFonts w:ascii="Calibri" w:eastAsia="Calibri" w:hAnsi="Calibri" w:cs="Times New Roman"/>
      <w:b/>
      <w:bCs/>
      <w:color w:val="4F81BD"/>
      <w:sz w:val="18"/>
      <w:szCs w:val="18"/>
    </w:rPr>
  </w:style>
  <w:style w:type="numbering" w:customStyle="1" w:styleId="Semlista21">
    <w:name w:val="Sem lista21"/>
    <w:next w:val="Semlista"/>
    <w:uiPriority w:val="99"/>
    <w:semiHidden/>
    <w:unhideWhenUsed/>
    <w:rsid w:val="003042F6"/>
  </w:style>
  <w:style w:type="numbering" w:customStyle="1" w:styleId="Semlista12">
    <w:name w:val="Sem lista12"/>
    <w:next w:val="Semlista"/>
    <w:semiHidden/>
    <w:unhideWhenUsed/>
    <w:rsid w:val="003042F6"/>
  </w:style>
  <w:style w:type="table" w:customStyle="1" w:styleId="Tabelacomgrade2">
    <w:name w:val="Tabela com grade2"/>
    <w:basedOn w:val="Tabelanormal"/>
    <w:next w:val="Tabelacomgrade"/>
    <w:uiPriority w:val="39"/>
    <w:rsid w:val="003042F6"/>
    <w:pPr>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emlista211">
    <w:name w:val="Sem lista211"/>
    <w:next w:val="Semlista"/>
    <w:uiPriority w:val="99"/>
    <w:semiHidden/>
    <w:unhideWhenUsed/>
    <w:rsid w:val="003042F6"/>
  </w:style>
  <w:style w:type="numbering" w:customStyle="1" w:styleId="Semlista31">
    <w:name w:val="Sem lista31"/>
    <w:next w:val="Semlista"/>
    <w:uiPriority w:val="99"/>
    <w:semiHidden/>
    <w:unhideWhenUsed/>
    <w:rsid w:val="003042F6"/>
  </w:style>
  <w:style w:type="numbering" w:customStyle="1" w:styleId="Semlista41">
    <w:name w:val="Sem lista41"/>
    <w:next w:val="Semlista"/>
    <w:uiPriority w:val="99"/>
    <w:semiHidden/>
    <w:unhideWhenUsed/>
    <w:rsid w:val="003042F6"/>
  </w:style>
  <w:style w:type="numbering" w:customStyle="1" w:styleId="Semlista51">
    <w:name w:val="Sem lista51"/>
    <w:next w:val="Semlista"/>
    <w:uiPriority w:val="99"/>
    <w:semiHidden/>
    <w:unhideWhenUsed/>
    <w:rsid w:val="003042F6"/>
  </w:style>
  <w:style w:type="table" w:customStyle="1" w:styleId="TableNormal2">
    <w:name w:val="Table Normal2"/>
    <w:uiPriority w:val="2"/>
    <w:semiHidden/>
    <w:unhideWhenUsed/>
    <w:qFormat/>
    <w:rsid w:val="003042F6"/>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Semlista61">
    <w:name w:val="Sem lista61"/>
    <w:next w:val="Semlista"/>
    <w:uiPriority w:val="99"/>
    <w:semiHidden/>
    <w:unhideWhenUsed/>
    <w:rsid w:val="003042F6"/>
  </w:style>
  <w:style w:type="table" w:customStyle="1" w:styleId="TableNormal11">
    <w:name w:val="Table Normal11"/>
    <w:uiPriority w:val="2"/>
    <w:semiHidden/>
    <w:unhideWhenUsed/>
    <w:qFormat/>
    <w:rsid w:val="003042F6"/>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exxto">
    <w:name w:val="texxto"/>
    <w:basedOn w:val="Normal"/>
    <w:link w:val="texxtoChar"/>
    <w:qFormat/>
    <w:rsid w:val="00C50680"/>
    <w:pPr>
      <w:widowControl w:val="0"/>
      <w:spacing w:after="240" w:line="360" w:lineRule="auto"/>
      <w:jc w:val="both"/>
    </w:pPr>
    <w:rPr>
      <w:rFonts w:ascii="Arial" w:eastAsia="Times New Roman" w:hAnsi="Arial" w:cs="Arial"/>
      <w:sz w:val="24"/>
      <w:szCs w:val="24"/>
      <w:lang w:eastAsia="pt-BR"/>
    </w:rPr>
  </w:style>
  <w:style w:type="character" w:customStyle="1" w:styleId="texxtoChar">
    <w:name w:val="texxto Char"/>
    <w:link w:val="texxto"/>
    <w:rsid w:val="00C50680"/>
    <w:rPr>
      <w:rFonts w:ascii="Arial" w:eastAsia="Times New Roman" w:hAnsi="Arial" w:cs="Arial"/>
      <w:sz w:val="24"/>
      <w:szCs w:val="24"/>
      <w:lang w:eastAsia="pt-BR"/>
    </w:rPr>
  </w:style>
  <w:style w:type="paragraph" w:styleId="Textodenotadefim">
    <w:name w:val="endnote text"/>
    <w:basedOn w:val="Normal"/>
    <w:link w:val="TextodenotadefimChar"/>
    <w:uiPriority w:val="99"/>
    <w:semiHidden/>
    <w:unhideWhenUsed/>
    <w:rsid w:val="000C21B8"/>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0C21B8"/>
    <w:rPr>
      <w:sz w:val="20"/>
      <w:szCs w:val="20"/>
    </w:rPr>
  </w:style>
  <w:style w:type="character" w:styleId="Refdenotadefim">
    <w:name w:val="endnote reference"/>
    <w:basedOn w:val="Fontepargpadro"/>
    <w:uiPriority w:val="99"/>
    <w:semiHidden/>
    <w:unhideWhenUsed/>
    <w:rsid w:val="000C21B8"/>
    <w:rPr>
      <w:vertAlign w:val="superscript"/>
    </w:rPr>
  </w:style>
  <w:style w:type="paragraph" w:customStyle="1" w:styleId="msonormal0">
    <w:name w:val="msonormal"/>
    <w:basedOn w:val="Normal"/>
    <w:rsid w:val="0016647F"/>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font5">
    <w:name w:val="font5"/>
    <w:basedOn w:val="Normal"/>
    <w:rsid w:val="0016647F"/>
    <w:pPr>
      <w:spacing w:before="100" w:beforeAutospacing="1" w:after="100" w:afterAutospacing="1" w:line="240" w:lineRule="auto"/>
    </w:pPr>
    <w:rPr>
      <w:rFonts w:ascii="Arial Narrow" w:eastAsia="Times New Roman" w:hAnsi="Arial Narrow" w:cs="Times New Roman"/>
      <w:sz w:val="16"/>
      <w:szCs w:val="16"/>
      <w:lang w:eastAsia="pt-BR"/>
    </w:rPr>
  </w:style>
  <w:style w:type="paragraph" w:customStyle="1" w:styleId="font6">
    <w:name w:val="font6"/>
    <w:basedOn w:val="Normal"/>
    <w:rsid w:val="0016647F"/>
    <w:pPr>
      <w:spacing w:before="100" w:beforeAutospacing="1" w:after="100" w:afterAutospacing="1" w:line="240" w:lineRule="auto"/>
    </w:pPr>
    <w:rPr>
      <w:rFonts w:ascii="Arial Narrow" w:eastAsia="Times New Roman" w:hAnsi="Arial Narrow" w:cs="Times New Roman"/>
      <w:sz w:val="20"/>
      <w:szCs w:val="20"/>
      <w:lang w:eastAsia="pt-BR"/>
    </w:rPr>
  </w:style>
  <w:style w:type="paragraph" w:customStyle="1" w:styleId="font7">
    <w:name w:val="font7"/>
    <w:basedOn w:val="Normal"/>
    <w:rsid w:val="0016647F"/>
    <w:pPr>
      <w:spacing w:before="100" w:beforeAutospacing="1" w:after="100" w:afterAutospacing="1" w:line="240" w:lineRule="auto"/>
    </w:pPr>
    <w:rPr>
      <w:rFonts w:ascii="Arial Narrow" w:eastAsia="Times New Roman" w:hAnsi="Arial Narrow" w:cs="Times New Roman"/>
      <w:color w:val="0070C0"/>
      <w:sz w:val="20"/>
      <w:szCs w:val="20"/>
      <w:lang w:eastAsia="pt-BR"/>
    </w:rPr>
  </w:style>
  <w:style w:type="paragraph" w:customStyle="1" w:styleId="font8">
    <w:name w:val="font8"/>
    <w:basedOn w:val="Normal"/>
    <w:rsid w:val="0016647F"/>
    <w:pPr>
      <w:spacing w:before="100" w:beforeAutospacing="1" w:after="100" w:afterAutospacing="1" w:line="240" w:lineRule="auto"/>
    </w:pPr>
    <w:rPr>
      <w:rFonts w:ascii="Arial Narrow" w:eastAsia="Times New Roman" w:hAnsi="Arial Narrow" w:cs="Times New Roman"/>
      <w:color w:val="0066CC"/>
      <w:sz w:val="20"/>
      <w:szCs w:val="20"/>
      <w:lang w:eastAsia="pt-BR"/>
    </w:rPr>
  </w:style>
  <w:style w:type="paragraph" w:customStyle="1" w:styleId="xl80">
    <w:name w:val="xl80"/>
    <w:basedOn w:val="Normal"/>
    <w:rsid w:val="001664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Narrow" w:eastAsia="Times New Roman" w:hAnsi="Arial Narrow" w:cs="Times New Roman"/>
      <w:b/>
      <w:bCs/>
      <w:sz w:val="20"/>
      <w:szCs w:val="20"/>
      <w:lang w:eastAsia="pt-BR"/>
    </w:rPr>
  </w:style>
  <w:style w:type="paragraph" w:customStyle="1" w:styleId="xl81">
    <w:name w:val="xl81"/>
    <w:basedOn w:val="Normal"/>
    <w:rsid w:val="0016647F"/>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Narrow" w:eastAsia="Times New Roman" w:hAnsi="Arial Narrow" w:cs="Times New Roman"/>
      <w:b/>
      <w:bCs/>
      <w:sz w:val="20"/>
      <w:szCs w:val="20"/>
      <w:lang w:eastAsia="pt-BR"/>
    </w:rPr>
  </w:style>
  <w:style w:type="paragraph" w:customStyle="1" w:styleId="xl82">
    <w:name w:val="xl82"/>
    <w:basedOn w:val="Normal"/>
    <w:rsid w:val="0016647F"/>
    <w:pPr>
      <w:pBdr>
        <w:left w:val="single" w:sz="4" w:space="0" w:color="auto"/>
        <w:right w:val="single" w:sz="4" w:space="0" w:color="auto"/>
      </w:pBdr>
      <w:spacing w:before="100" w:beforeAutospacing="1" w:after="100" w:afterAutospacing="1" w:line="240" w:lineRule="auto"/>
      <w:jc w:val="center"/>
    </w:pPr>
    <w:rPr>
      <w:rFonts w:ascii="Arial Narrow" w:eastAsia="Times New Roman" w:hAnsi="Arial Narrow" w:cs="Times New Roman"/>
      <w:b/>
      <w:bCs/>
      <w:color w:val="00B050"/>
      <w:sz w:val="20"/>
      <w:szCs w:val="20"/>
      <w:lang w:eastAsia="pt-BR"/>
    </w:rPr>
  </w:style>
  <w:style w:type="paragraph" w:customStyle="1" w:styleId="xl83">
    <w:name w:val="xl83"/>
    <w:basedOn w:val="Normal"/>
    <w:rsid w:val="0016647F"/>
    <w:pPr>
      <w:pBdr>
        <w:right w:val="single" w:sz="4" w:space="0" w:color="auto"/>
      </w:pBdr>
      <w:spacing w:before="100" w:beforeAutospacing="1" w:after="100" w:afterAutospacing="1" w:line="240" w:lineRule="auto"/>
    </w:pPr>
    <w:rPr>
      <w:rFonts w:ascii="Arial Narrow" w:eastAsia="Times New Roman" w:hAnsi="Arial Narrow" w:cs="Times New Roman"/>
      <w:b/>
      <w:bCs/>
      <w:sz w:val="20"/>
      <w:szCs w:val="20"/>
      <w:lang w:eastAsia="pt-BR"/>
    </w:rPr>
  </w:style>
  <w:style w:type="paragraph" w:customStyle="1" w:styleId="xl84">
    <w:name w:val="xl84"/>
    <w:basedOn w:val="Normal"/>
    <w:rsid w:val="0016647F"/>
    <w:pPr>
      <w:pBdr>
        <w:right w:val="single" w:sz="4" w:space="0" w:color="auto"/>
      </w:pBdr>
      <w:spacing w:before="100" w:beforeAutospacing="1" w:after="100" w:afterAutospacing="1" w:line="240" w:lineRule="auto"/>
      <w:jc w:val="center"/>
    </w:pPr>
    <w:rPr>
      <w:rFonts w:ascii="Arial Narrow" w:eastAsia="Times New Roman" w:hAnsi="Arial Narrow" w:cs="Times New Roman"/>
      <w:b/>
      <w:bCs/>
      <w:sz w:val="20"/>
      <w:szCs w:val="20"/>
      <w:lang w:eastAsia="pt-BR"/>
    </w:rPr>
  </w:style>
  <w:style w:type="paragraph" w:customStyle="1" w:styleId="xl85">
    <w:name w:val="xl85"/>
    <w:basedOn w:val="Normal"/>
    <w:rsid w:val="0016647F"/>
    <w:pPr>
      <w:pBdr>
        <w:right w:val="single" w:sz="4" w:space="0" w:color="auto"/>
      </w:pBdr>
      <w:spacing w:before="100" w:beforeAutospacing="1" w:after="100" w:afterAutospacing="1" w:line="240" w:lineRule="auto"/>
    </w:pPr>
    <w:rPr>
      <w:rFonts w:ascii="Arial Narrow" w:eastAsia="Times New Roman" w:hAnsi="Arial Narrow" w:cs="Times New Roman"/>
      <w:sz w:val="20"/>
      <w:szCs w:val="20"/>
      <w:lang w:eastAsia="pt-BR"/>
    </w:rPr>
  </w:style>
  <w:style w:type="paragraph" w:customStyle="1" w:styleId="xl86">
    <w:name w:val="xl86"/>
    <w:basedOn w:val="Normal"/>
    <w:rsid w:val="0016647F"/>
    <w:pPr>
      <w:pBdr>
        <w:right w:val="single" w:sz="4" w:space="0" w:color="auto"/>
      </w:pBdr>
      <w:spacing w:before="100" w:beforeAutospacing="1" w:after="100" w:afterAutospacing="1" w:line="240" w:lineRule="auto"/>
      <w:jc w:val="center"/>
    </w:pPr>
    <w:rPr>
      <w:rFonts w:ascii="Arial Narrow" w:eastAsia="Times New Roman" w:hAnsi="Arial Narrow" w:cs="Times New Roman"/>
      <w:sz w:val="20"/>
      <w:szCs w:val="20"/>
      <w:lang w:eastAsia="pt-BR"/>
    </w:rPr>
  </w:style>
  <w:style w:type="paragraph" w:customStyle="1" w:styleId="xl87">
    <w:name w:val="xl87"/>
    <w:basedOn w:val="Normal"/>
    <w:rsid w:val="0016647F"/>
    <w:pPr>
      <w:pBdr>
        <w:right w:val="single" w:sz="4" w:space="0" w:color="auto"/>
      </w:pBdr>
      <w:spacing w:before="100" w:beforeAutospacing="1" w:after="100" w:afterAutospacing="1" w:line="240" w:lineRule="auto"/>
    </w:pPr>
    <w:rPr>
      <w:rFonts w:ascii="Arial Narrow" w:eastAsia="Times New Roman" w:hAnsi="Arial Narrow" w:cs="Times New Roman"/>
      <w:color w:val="0070C0"/>
      <w:sz w:val="20"/>
      <w:szCs w:val="20"/>
      <w:lang w:eastAsia="pt-BR"/>
    </w:rPr>
  </w:style>
  <w:style w:type="paragraph" w:customStyle="1" w:styleId="xl88">
    <w:name w:val="xl88"/>
    <w:basedOn w:val="Normal"/>
    <w:rsid w:val="0016647F"/>
    <w:pPr>
      <w:pBdr>
        <w:right w:val="single" w:sz="4" w:space="0" w:color="auto"/>
      </w:pBdr>
      <w:spacing w:before="100" w:beforeAutospacing="1" w:after="100" w:afterAutospacing="1" w:line="240" w:lineRule="auto"/>
      <w:jc w:val="center"/>
    </w:pPr>
    <w:rPr>
      <w:rFonts w:ascii="Arial Narrow" w:eastAsia="Times New Roman" w:hAnsi="Arial Narrow" w:cs="Times New Roman"/>
      <w:color w:val="0070C0"/>
      <w:sz w:val="20"/>
      <w:szCs w:val="20"/>
      <w:lang w:eastAsia="pt-BR"/>
    </w:rPr>
  </w:style>
  <w:style w:type="paragraph" w:customStyle="1" w:styleId="xl89">
    <w:name w:val="xl89"/>
    <w:basedOn w:val="Normal"/>
    <w:rsid w:val="0016647F"/>
    <w:pPr>
      <w:pBdr>
        <w:right w:val="single" w:sz="4" w:space="0" w:color="auto"/>
      </w:pBdr>
      <w:spacing w:before="100" w:beforeAutospacing="1" w:after="100" w:afterAutospacing="1" w:line="240" w:lineRule="auto"/>
    </w:pPr>
    <w:rPr>
      <w:rFonts w:ascii="Arial Narrow" w:eastAsia="Times New Roman" w:hAnsi="Arial Narrow" w:cs="Times New Roman"/>
      <w:b/>
      <w:bCs/>
      <w:sz w:val="20"/>
      <w:szCs w:val="20"/>
      <w:lang w:eastAsia="pt-BR"/>
    </w:rPr>
  </w:style>
  <w:style w:type="paragraph" w:customStyle="1" w:styleId="xl90">
    <w:name w:val="xl90"/>
    <w:basedOn w:val="Normal"/>
    <w:rsid w:val="0016647F"/>
    <w:pPr>
      <w:pBdr>
        <w:left w:val="single" w:sz="4" w:space="0" w:color="auto"/>
        <w:right w:val="single" w:sz="4" w:space="0" w:color="auto"/>
      </w:pBdr>
      <w:spacing w:before="100" w:beforeAutospacing="1" w:after="100" w:afterAutospacing="1" w:line="240" w:lineRule="auto"/>
      <w:jc w:val="center"/>
    </w:pPr>
    <w:rPr>
      <w:rFonts w:ascii="Arial Narrow" w:eastAsia="Times New Roman" w:hAnsi="Arial Narrow" w:cs="Times New Roman"/>
      <w:color w:val="0070C0"/>
      <w:sz w:val="20"/>
      <w:szCs w:val="20"/>
      <w:lang w:eastAsia="pt-BR"/>
    </w:rPr>
  </w:style>
  <w:style w:type="paragraph" w:customStyle="1" w:styleId="xl91">
    <w:name w:val="xl91"/>
    <w:basedOn w:val="Normal"/>
    <w:rsid w:val="0016647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Arial Narrow" w:eastAsia="Times New Roman" w:hAnsi="Arial Narrow" w:cs="Times New Roman"/>
      <w:b/>
      <w:bCs/>
      <w:sz w:val="20"/>
      <w:szCs w:val="20"/>
      <w:lang w:eastAsia="pt-BR"/>
    </w:rPr>
  </w:style>
  <w:style w:type="paragraph" w:customStyle="1" w:styleId="xl92">
    <w:name w:val="xl92"/>
    <w:basedOn w:val="Normal"/>
    <w:rsid w:val="0016647F"/>
    <w:pPr>
      <w:pBdr>
        <w:top w:val="single" w:sz="4" w:space="0" w:color="D9D9D9"/>
        <w:bottom w:val="single" w:sz="4" w:space="0" w:color="D9D9D9"/>
      </w:pBdr>
      <w:shd w:val="clear" w:color="000000" w:fill="FFFF00"/>
      <w:spacing w:before="100" w:beforeAutospacing="1" w:after="100" w:afterAutospacing="1" w:line="240" w:lineRule="auto"/>
      <w:textAlignment w:val="top"/>
    </w:pPr>
    <w:rPr>
      <w:rFonts w:ascii="Arial Narrow" w:eastAsia="Times New Roman" w:hAnsi="Arial Narrow" w:cs="Times New Roman"/>
      <w:sz w:val="20"/>
      <w:szCs w:val="20"/>
      <w:lang w:eastAsia="pt-BR"/>
    </w:rPr>
  </w:style>
  <w:style w:type="paragraph" w:customStyle="1" w:styleId="xl93">
    <w:name w:val="xl93"/>
    <w:basedOn w:val="Normal"/>
    <w:rsid w:val="0016647F"/>
    <w:pPr>
      <w:pBdr>
        <w:right w:val="single" w:sz="4" w:space="0" w:color="auto"/>
      </w:pBdr>
      <w:shd w:val="clear" w:color="000000" w:fill="FFFF00"/>
      <w:spacing w:before="100" w:beforeAutospacing="1" w:after="100" w:afterAutospacing="1" w:line="240" w:lineRule="auto"/>
      <w:jc w:val="center"/>
    </w:pPr>
    <w:rPr>
      <w:rFonts w:ascii="Arial Narrow" w:eastAsia="Times New Roman" w:hAnsi="Arial Narrow" w:cs="Times New Roman"/>
      <w:sz w:val="20"/>
      <w:szCs w:val="20"/>
      <w:lang w:eastAsia="pt-BR"/>
    </w:rPr>
  </w:style>
  <w:style w:type="paragraph" w:customStyle="1" w:styleId="xl94">
    <w:name w:val="xl94"/>
    <w:basedOn w:val="Normal"/>
    <w:rsid w:val="0016647F"/>
    <w:pPr>
      <w:pBdr>
        <w:top w:val="single" w:sz="4" w:space="0" w:color="D9D9D9"/>
      </w:pBdr>
      <w:shd w:val="clear" w:color="000000" w:fill="FFFF00"/>
      <w:spacing w:before="100" w:beforeAutospacing="1" w:after="100" w:afterAutospacing="1" w:line="240" w:lineRule="auto"/>
      <w:textAlignment w:val="top"/>
    </w:pPr>
    <w:rPr>
      <w:rFonts w:ascii="Arial Narrow" w:eastAsia="Times New Roman" w:hAnsi="Arial Narrow" w:cs="Times New Roman"/>
      <w:sz w:val="20"/>
      <w:szCs w:val="20"/>
      <w:lang w:eastAsia="pt-BR"/>
    </w:rPr>
  </w:style>
  <w:style w:type="paragraph" w:customStyle="1" w:styleId="xl95">
    <w:name w:val="xl95"/>
    <w:basedOn w:val="Normal"/>
    <w:rsid w:val="0016647F"/>
    <w:pPr>
      <w:shd w:val="clear" w:color="000000" w:fill="FFFF00"/>
      <w:spacing w:before="100" w:beforeAutospacing="1" w:after="100" w:afterAutospacing="1" w:line="240" w:lineRule="auto"/>
    </w:pPr>
    <w:rPr>
      <w:rFonts w:ascii="Arial Narrow" w:eastAsia="Times New Roman" w:hAnsi="Arial Narrow" w:cs="Times New Roman"/>
      <w:sz w:val="20"/>
      <w:szCs w:val="20"/>
      <w:lang w:eastAsia="pt-BR"/>
    </w:rPr>
  </w:style>
  <w:style w:type="paragraph" w:customStyle="1" w:styleId="xl96">
    <w:name w:val="xl96"/>
    <w:basedOn w:val="Normal"/>
    <w:rsid w:val="0016647F"/>
    <w:pPr>
      <w:pBdr>
        <w:left w:val="single" w:sz="4" w:space="0" w:color="auto"/>
        <w:right w:val="single" w:sz="4" w:space="0" w:color="auto"/>
      </w:pBdr>
      <w:shd w:val="clear" w:color="000000" w:fill="FFFF00"/>
      <w:spacing w:before="100" w:beforeAutospacing="1" w:after="100" w:afterAutospacing="1" w:line="240" w:lineRule="auto"/>
      <w:jc w:val="center"/>
    </w:pPr>
    <w:rPr>
      <w:rFonts w:ascii="Arial Narrow" w:eastAsia="Times New Roman" w:hAnsi="Arial Narrow" w:cs="Times New Roman"/>
      <w:sz w:val="20"/>
      <w:szCs w:val="20"/>
      <w:lang w:eastAsia="pt-BR"/>
    </w:rPr>
  </w:style>
  <w:style w:type="paragraph" w:customStyle="1" w:styleId="xl97">
    <w:name w:val="xl97"/>
    <w:basedOn w:val="Normal"/>
    <w:rsid w:val="0016647F"/>
    <w:pPr>
      <w:pBdr>
        <w:top w:val="single" w:sz="4" w:space="0" w:color="D9D9D9"/>
        <w:left w:val="single" w:sz="4" w:space="0" w:color="D9D9D9"/>
        <w:bottom w:val="single" w:sz="4" w:space="0" w:color="D9D9D9"/>
        <w:right w:val="single" w:sz="4" w:space="0" w:color="auto"/>
      </w:pBdr>
      <w:shd w:val="clear" w:color="000000" w:fill="FFFF00"/>
      <w:spacing w:before="100" w:beforeAutospacing="1" w:after="100" w:afterAutospacing="1" w:line="240" w:lineRule="auto"/>
      <w:jc w:val="center"/>
      <w:textAlignment w:val="top"/>
    </w:pPr>
    <w:rPr>
      <w:rFonts w:ascii="Arial Narrow" w:eastAsia="Times New Roman" w:hAnsi="Arial Narrow" w:cs="Times New Roman"/>
      <w:sz w:val="20"/>
      <w:szCs w:val="20"/>
      <w:lang w:eastAsia="pt-BR"/>
    </w:rPr>
  </w:style>
  <w:style w:type="paragraph" w:customStyle="1" w:styleId="xl98">
    <w:name w:val="xl98"/>
    <w:basedOn w:val="Normal"/>
    <w:rsid w:val="0016647F"/>
    <w:pPr>
      <w:pBdr>
        <w:top w:val="single" w:sz="4" w:space="0" w:color="D9D9D9"/>
        <w:left w:val="single" w:sz="4" w:space="0" w:color="D9D9D9"/>
        <w:right w:val="single" w:sz="4" w:space="0" w:color="auto"/>
      </w:pBdr>
      <w:shd w:val="clear" w:color="000000" w:fill="FFFF00"/>
      <w:spacing w:before="100" w:beforeAutospacing="1" w:after="100" w:afterAutospacing="1" w:line="240" w:lineRule="auto"/>
      <w:jc w:val="center"/>
      <w:textAlignment w:val="top"/>
    </w:pPr>
    <w:rPr>
      <w:rFonts w:ascii="Arial Narrow" w:eastAsia="Times New Roman" w:hAnsi="Arial Narrow" w:cs="Times New Roman"/>
      <w:sz w:val="20"/>
      <w:szCs w:val="20"/>
      <w:lang w:eastAsia="pt-BR"/>
    </w:rPr>
  </w:style>
  <w:style w:type="paragraph" w:customStyle="1" w:styleId="xl99">
    <w:name w:val="xl99"/>
    <w:basedOn w:val="Normal"/>
    <w:rsid w:val="0016647F"/>
    <w:pPr>
      <w:pBdr>
        <w:left w:val="single" w:sz="4" w:space="0" w:color="auto"/>
        <w:right w:val="single" w:sz="4" w:space="0" w:color="auto"/>
      </w:pBdr>
      <w:spacing w:before="100" w:beforeAutospacing="1" w:after="100" w:afterAutospacing="1" w:line="240" w:lineRule="auto"/>
      <w:jc w:val="center"/>
    </w:pPr>
    <w:rPr>
      <w:rFonts w:ascii="Arial Narrow" w:eastAsia="Times New Roman" w:hAnsi="Arial Narrow" w:cs="Times New Roman"/>
      <w:sz w:val="20"/>
      <w:szCs w:val="20"/>
      <w:lang w:eastAsia="pt-BR"/>
    </w:rPr>
  </w:style>
  <w:style w:type="paragraph" w:customStyle="1" w:styleId="xl100">
    <w:name w:val="xl100"/>
    <w:basedOn w:val="Normal"/>
    <w:rsid w:val="0016647F"/>
    <w:pPr>
      <w:spacing w:before="100" w:beforeAutospacing="1" w:after="100" w:afterAutospacing="1" w:line="240" w:lineRule="auto"/>
    </w:pPr>
    <w:rPr>
      <w:rFonts w:ascii="Arial Narrow" w:eastAsia="Times New Roman" w:hAnsi="Arial Narrow" w:cs="Times New Roman"/>
      <w:sz w:val="20"/>
      <w:szCs w:val="20"/>
      <w:lang w:eastAsia="pt-BR"/>
    </w:rPr>
  </w:style>
  <w:style w:type="paragraph" w:customStyle="1" w:styleId="xl101">
    <w:name w:val="xl101"/>
    <w:basedOn w:val="Normal"/>
    <w:rsid w:val="0016647F"/>
    <w:pPr>
      <w:pBdr>
        <w:left w:val="single" w:sz="4" w:space="0" w:color="auto"/>
        <w:right w:val="single" w:sz="4" w:space="0" w:color="auto"/>
      </w:pBdr>
      <w:spacing w:before="100" w:beforeAutospacing="1" w:after="100" w:afterAutospacing="1" w:line="240" w:lineRule="auto"/>
      <w:jc w:val="center"/>
    </w:pPr>
    <w:rPr>
      <w:rFonts w:ascii="Arial Narrow" w:eastAsia="Times New Roman" w:hAnsi="Arial Narrow" w:cs="Times New Roman"/>
      <w:sz w:val="20"/>
      <w:szCs w:val="20"/>
      <w:lang w:eastAsia="pt-BR"/>
    </w:rPr>
  </w:style>
  <w:style w:type="paragraph" w:customStyle="1" w:styleId="xl102">
    <w:name w:val="xl102"/>
    <w:basedOn w:val="Normal"/>
    <w:rsid w:val="0016647F"/>
    <w:pPr>
      <w:pBdr>
        <w:left w:val="single" w:sz="4" w:space="0" w:color="auto"/>
        <w:right w:val="single" w:sz="4" w:space="0" w:color="auto"/>
      </w:pBdr>
      <w:spacing w:before="100" w:beforeAutospacing="1" w:after="100" w:afterAutospacing="1" w:line="240" w:lineRule="auto"/>
      <w:jc w:val="center"/>
    </w:pPr>
    <w:rPr>
      <w:rFonts w:ascii="Arial Narrow" w:eastAsia="Times New Roman" w:hAnsi="Arial Narrow" w:cs="Times New Roman"/>
      <w:b/>
      <w:bCs/>
      <w:sz w:val="20"/>
      <w:szCs w:val="20"/>
      <w:lang w:eastAsia="pt-BR"/>
    </w:rPr>
  </w:style>
  <w:style w:type="paragraph" w:customStyle="1" w:styleId="xl103">
    <w:name w:val="xl103"/>
    <w:basedOn w:val="Normal"/>
    <w:rsid w:val="0016647F"/>
    <w:pPr>
      <w:pBdr>
        <w:right w:val="single" w:sz="4" w:space="0" w:color="auto"/>
      </w:pBdr>
      <w:spacing w:before="100" w:beforeAutospacing="1" w:after="100" w:afterAutospacing="1" w:line="240" w:lineRule="auto"/>
    </w:pPr>
    <w:rPr>
      <w:rFonts w:ascii="Arial Narrow" w:eastAsia="Times New Roman" w:hAnsi="Arial Narrow" w:cs="Times New Roman"/>
      <w:color w:val="0066CC"/>
      <w:sz w:val="16"/>
      <w:szCs w:val="16"/>
      <w:lang w:eastAsia="pt-BR"/>
    </w:rPr>
  </w:style>
  <w:style w:type="paragraph" w:customStyle="1" w:styleId="xl104">
    <w:name w:val="xl104"/>
    <w:basedOn w:val="Normal"/>
    <w:rsid w:val="0016647F"/>
    <w:pPr>
      <w:spacing w:before="100" w:beforeAutospacing="1" w:after="100" w:afterAutospacing="1" w:line="240" w:lineRule="auto"/>
    </w:pPr>
    <w:rPr>
      <w:rFonts w:ascii="Times New Roman" w:eastAsia="Times New Roman" w:hAnsi="Times New Roman" w:cs="Times New Roman"/>
      <w:color w:val="0070C0"/>
      <w:sz w:val="24"/>
      <w:szCs w:val="24"/>
      <w:lang w:eastAsia="pt-BR"/>
    </w:rPr>
  </w:style>
  <w:style w:type="paragraph" w:customStyle="1" w:styleId="xl105">
    <w:name w:val="xl105"/>
    <w:basedOn w:val="Normal"/>
    <w:rsid w:val="0016647F"/>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Narrow" w:eastAsia="Times New Roman" w:hAnsi="Arial Narrow" w:cs="Times New Roman"/>
      <w:b/>
      <w:bCs/>
      <w:color w:val="FF0000"/>
      <w:sz w:val="20"/>
      <w:szCs w:val="20"/>
      <w:lang w:eastAsia="pt-BR"/>
    </w:rPr>
  </w:style>
  <w:style w:type="paragraph" w:customStyle="1" w:styleId="xl106">
    <w:name w:val="xl106"/>
    <w:basedOn w:val="Normal"/>
    <w:rsid w:val="0016647F"/>
    <w:pPr>
      <w:pBdr>
        <w:right w:val="single" w:sz="4" w:space="0" w:color="auto"/>
      </w:pBdr>
      <w:spacing w:before="100" w:beforeAutospacing="1" w:after="100" w:afterAutospacing="1" w:line="240" w:lineRule="auto"/>
      <w:jc w:val="center"/>
    </w:pPr>
    <w:rPr>
      <w:rFonts w:ascii="Arial Narrow" w:eastAsia="Times New Roman" w:hAnsi="Arial Narrow" w:cs="Times New Roman"/>
      <w:b/>
      <w:bCs/>
      <w:color w:val="FF0000"/>
      <w:sz w:val="20"/>
      <w:szCs w:val="20"/>
      <w:lang w:eastAsia="pt-BR"/>
    </w:rPr>
  </w:style>
  <w:style w:type="paragraph" w:customStyle="1" w:styleId="xl107">
    <w:name w:val="xl107"/>
    <w:basedOn w:val="Normal"/>
    <w:rsid w:val="0016647F"/>
    <w:pPr>
      <w:pBdr>
        <w:right w:val="single" w:sz="4" w:space="0" w:color="auto"/>
      </w:pBdr>
      <w:spacing w:before="100" w:beforeAutospacing="1" w:after="100" w:afterAutospacing="1" w:line="240" w:lineRule="auto"/>
      <w:jc w:val="center"/>
    </w:pPr>
    <w:rPr>
      <w:rFonts w:ascii="Arial Narrow" w:eastAsia="Times New Roman" w:hAnsi="Arial Narrow" w:cs="Times New Roman"/>
      <w:color w:val="FF0000"/>
      <w:sz w:val="20"/>
      <w:szCs w:val="20"/>
      <w:lang w:eastAsia="pt-BR"/>
    </w:rPr>
  </w:style>
  <w:style w:type="paragraph" w:customStyle="1" w:styleId="xl108">
    <w:name w:val="xl108"/>
    <w:basedOn w:val="Normal"/>
    <w:rsid w:val="0016647F"/>
    <w:pPr>
      <w:pBdr>
        <w:left w:val="single" w:sz="4" w:space="0" w:color="auto"/>
        <w:right w:val="single" w:sz="4" w:space="0" w:color="auto"/>
      </w:pBdr>
      <w:spacing w:before="100" w:beforeAutospacing="1" w:after="100" w:afterAutospacing="1" w:line="240" w:lineRule="auto"/>
      <w:jc w:val="center"/>
    </w:pPr>
    <w:rPr>
      <w:rFonts w:ascii="Arial Narrow" w:eastAsia="Times New Roman" w:hAnsi="Arial Narrow" w:cs="Times New Roman"/>
      <w:color w:val="FF0000"/>
      <w:sz w:val="20"/>
      <w:szCs w:val="20"/>
      <w:lang w:eastAsia="pt-BR"/>
    </w:rPr>
  </w:style>
  <w:style w:type="paragraph" w:customStyle="1" w:styleId="xl109">
    <w:name w:val="xl109"/>
    <w:basedOn w:val="Normal"/>
    <w:rsid w:val="0016647F"/>
    <w:pPr>
      <w:pBdr>
        <w:left w:val="single" w:sz="4" w:space="0" w:color="auto"/>
        <w:right w:val="single" w:sz="4" w:space="0" w:color="auto"/>
      </w:pBdr>
      <w:shd w:val="clear" w:color="000000" w:fill="FFFF00"/>
      <w:spacing w:before="100" w:beforeAutospacing="1" w:after="100" w:afterAutospacing="1" w:line="240" w:lineRule="auto"/>
      <w:jc w:val="center"/>
    </w:pPr>
    <w:rPr>
      <w:rFonts w:ascii="Arial Narrow" w:eastAsia="Times New Roman" w:hAnsi="Arial Narrow" w:cs="Times New Roman"/>
      <w:color w:val="FF0000"/>
      <w:sz w:val="20"/>
      <w:szCs w:val="20"/>
      <w:lang w:eastAsia="pt-BR"/>
    </w:rPr>
  </w:style>
  <w:style w:type="paragraph" w:customStyle="1" w:styleId="xl110">
    <w:name w:val="xl110"/>
    <w:basedOn w:val="Normal"/>
    <w:rsid w:val="0016647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Arial Narrow" w:eastAsia="Times New Roman" w:hAnsi="Arial Narrow" w:cs="Times New Roman"/>
      <w:b/>
      <w:bCs/>
      <w:color w:val="FF0000"/>
      <w:sz w:val="20"/>
      <w:szCs w:val="20"/>
      <w:lang w:eastAsia="pt-BR"/>
    </w:rPr>
  </w:style>
  <w:style w:type="paragraph" w:customStyle="1" w:styleId="xl111">
    <w:name w:val="xl111"/>
    <w:basedOn w:val="Normal"/>
    <w:rsid w:val="0016647F"/>
    <w:pPr>
      <w:pBdr>
        <w:right w:val="single" w:sz="4" w:space="0" w:color="auto"/>
      </w:pBdr>
      <w:spacing w:before="100" w:beforeAutospacing="1" w:after="100" w:afterAutospacing="1" w:line="240" w:lineRule="auto"/>
    </w:pPr>
    <w:rPr>
      <w:rFonts w:ascii="Arial Narrow" w:eastAsia="Times New Roman" w:hAnsi="Arial Narrow" w:cs="Times New Roman"/>
      <w:b/>
      <w:bCs/>
      <w:color w:val="0070C0"/>
      <w:sz w:val="20"/>
      <w:szCs w:val="20"/>
      <w:lang w:eastAsia="pt-BR"/>
    </w:rPr>
  </w:style>
  <w:style w:type="paragraph" w:customStyle="1" w:styleId="xl112">
    <w:name w:val="xl112"/>
    <w:basedOn w:val="Normal"/>
    <w:rsid w:val="0016647F"/>
    <w:pPr>
      <w:pBdr>
        <w:right w:val="single" w:sz="4" w:space="0" w:color="auto"/>
      </w:pBdr>
      <w:spacing w:before="100" w:beforeAutospacing="1" w:after="100" w:afterAutospacing="1" w:line="240" w:lineRule="auto"/>
      <w:jc w:val="center"/>
    </w:pPr>
    <w:rPr>
      <w:rFonts w:ascii="Arial Narrow" w:eastAsia="Times New Roman" w:hAnsi="Arial Narrow" w:cs="Times New Roman"/>
      <w:b/>
      <w:bCs/>
      <w:color w:val="0070C0"/>
      <w:sz w:val="20"/>
      <w:szCs w:val="20"/>
      <w:lang w:eastAsia="pt-BR"/>
    </w:rPr>
  </w:style>
  <w:style w:type="paragraph" w:customStyle="1" w:styleId="xl113">
    <w:name w:val="xl113"/>
    <w:basedOn w:val="Normal"/>
    <w:rsid w:val="0016647F"/>
    <w:pPr>
      <w:pBdr>
        <w:right w:val="single" w:sz="4" w:space="0" w:color="auto"/>
      </w:pBdr>
      <w:spacing w:before="100" w:beforeAutospacing="1" w:after="100" w:afterAutospacing="1" w:line="240" w:lineRule="auto"/>
      <w:jc w:val="center"/>
    </w:pPr>
    <w:rPr>
      <w:rFonts w:ascii="Arial Narrow" w:eastAsia="Times New Roman" w:hAnsi="Arial Narrow" w:cs="Times New Roman"/>
      <w:b/>
      <w:bCs/>
      <w:color w:val="0070C0"/>
      <w:sz w:val="20"/>
      <w:szCs w:val="20"/>
      <w:lang w:eastAsia="pt-BR"/>
    </w:rPr>
  </w:style>
  <w:style w:type="paragraph" w:customStyle="1" w:styleId="xl114">
    <w:name w:val="xl114"/>
    <w:basedOn w:val="Normal"/>
    <w:rsid w:val="0016647F"/>
    <w:pPr>
      <w:pBdr>
        <w:right w:val="single" w:sz="4" w:space="0" w:color="auto"/>
      </w:pBdr>
      <w:shd w:val="clear" w:color="000000" w:fill="FFFF00"/>
      <w:spacing w:before="100" w:beforeAutospacing="1" w:after="100" w:afterAutospacing="1" w:line="240" w:lineRule="auto"/>
    </w:pPr>
    <w:rPr>
      <w:rFonts w:ascii="Arial Narrow" w:eastAsia="Times New Roman" w:hAnsi="Arial Narrow" w:cs="Times New Roman"/>
      <w:color w:val="0070C0"/>
      <w:sz w:val="20"/>
      <w:szCs w:val="20"/>
      <w:lang w:eastAsia="pt-BR"/>
    </w:rPr>
  </w:style>
  <w:style w:type="paragraph" w:customStyle="1" w:styleId="xl115">
    <w:name w:val="xl115"/>
    <w:basedOn w:val="Normal"/>
    <w:rsid w:val="0016647F"/>
    <w:pPr>
      <w:pBdr>
        <w:top w:val="single" w:sz="4" w:space="0" w:color="D9D9D9"/>
        <w:left w:val="single" w:sz="4" w:space="0" w:color="D9D9D9"/>
        <w:bottom w:val="single" w:sz="4" w:space="0" w:color="D9D9D9"/>
        <w:right w:val="single" w:sz="4" w:space="0" w:color="auto"/>
      </w:pBdr>
      <w:shd w:val="clear" w:color="000000" w:fill="FFFF00"/>
      <w:spacing w:before="100" w:beforeAutospacing="1" w:after="100" w:afterAutospacing="1" w:line="240" w:lineRule="auto"/>
      <w:jc w:val="center"/>
      <w:textAlignment w:val="top"/>
    </w:pPr>
    <w:rPr>
      <w:rFonts w:ascii="Arial Narrow" w:eastAsia="Times New Roman" w:hAnsi="Arial Narrow" w:cs="Times New Roman"/>
      <w:color w:val="0070C0"/>
      <w:sz w:val="20"/>
      <w:szCs w:val="20"/>
      <w:lang w:eastAsia="pt-BR"/>
    </w:rPr>
  </w:style>
  <w:style w:type="paragraph" w:customStyle="1" w:styleId="xl116">
    <w:name w:val="xl116"/>
    <w:basedOn w:val="Normal"/>
    <w:rsid w:val="0016647F"/>
    <w:pPr>
      <w:pBdr>
        <w:top w:val="single" w:sz="4" w:space="0" w:color="D9D9D9"/>
        <w:bottom w:val="single" w:sz="4" w:space="0" w:color="D9D9D9"/>
      </w:pBdr>
      <w:shd w:val="clear" w:color="000000" w:fill="FFFF00"/>
      <w:spacing w:before="100" w:beforeAutospacing="1" w:after="100" w:afterAutospacing="1" w:line="240" w:lineRule="auto"/>
      <w:textAlignment w:val="top"/>
    </w:pPr>
    <w:rPr>
      <w:rFonts w:ascii="Arial Narrow" w:eastAsia="Times New Roman" w:hAnsi="Arial Narrow" w:cs="Times New Roman"/>
      <w:color w:val="0070C0"/>
      <w:sz w:val="20"/>
      <w:szCs w:val="20"/>
      <w:lang w:eastAsia="pt-BR"/>
    </w:rPr>
  </w:style>
  <w:style w:type="paragraph" w:customStyle="1" w:styleId="xl117">
    <w:name w:val="xl117"/>
    <w:basedOn w:val="Normal"/>
    <w:rsid w:val="0016647F"/>
    <w:pPr>
      <w:pBdr>
        <w:right w:val="single" w:sz="4" w:space="0" w:color="auto"/>
      </w:pBdr>
      <w:shd w:val="clear" w:color="000000" w:fill="FFFF00"/>
      <w:spacing w:before="100" w:beforeAutospacing="1" w:after="100" w:afterAutospacing="1" w:line="240" w:lineRule="auto"/>
      <w:jc w:val="center"/>
    </w:pPr>
    <w:rPr>
      <w:rFonts w:ascii="Arial Narrow" w:eastAsia="Times New Roman" w:hAnsi="Arial Narrow" w:cs="Times New Roman"/>
      <w:color w:val="FF0000"/>
      <w:sz w:val="20"/>
      <w:szCs w:val="20"/>
      <w:lang w:eastAsia="pt-BR"/>
    </w:rPr>
  </w:style>
  <w:style w:type="paragraph" w:customStyle="1" w:styleId="xl118">
    <w:name w:val="xl118"/>
    <w:basedOn w:val="Normal"/>
    <w:rsid w:val="0016647F"/>
    <w:pPr>
      <w:pBdr>
        <w:right w:val="single" w:sz="4" w:space="0" w:color="auto"/>
      </w:pBdr>
      <w:shd w:val="clear" w:color="000000" w:fill="FFFF00"/>
      <w:spacing w:before="100" w:beforeAutospacing="1" w:after="100" w:afterAutospacing="1" w:line="240" w:lineRule="auto"/>
      <w:jc w:val="center"/>
      <w:textAlignment w:val="top"/>
    </w:pPr>
    <w:rPr>
      <w:rFonts w:ascii="Arial Narrow" w:eastAsia="Times New Roman" w:hAnsi="Arial Narrow" w:cs="Times New Roman"/>
      <w:color w:val="0070C0"/>
      <w:sz w:val="20"/>
      <w:szCs w:val="20"/>
      <w:lang w:eastAsia="pt-BR"/>
    </w:rPr>
  </w:style>
  <w:style w:type="paragraph" w:customStyle="1" w:styleId="xl119">
    <w:name w:val="xl119"/>
    <w:basedOn w:val="Normal"/>
    <w:rsid w:val="0016647F"/>
    <w:pPr>
      <w:shd w:val="clear" w:color="000000" w:fill="FFFF00"/>
      <w:spacing w:before="100" w:beforeAutospacing="1" w:after="100" w:afterAutospacing="1" w:line="240" w:lineRule="auto"/>
      <w:textAlignment w:val="top"/>
    </w:pPr>
    <w:rPr>
      <w:rFonts w:ascii="Arial Narrow" w:eastAsia="Times New Roman" w:hAnsi="Arial Narrow" w:cs="Times New Roman"/>
      <w:color w:val="0070C0"/>
      <w:sz w:val="20"/>
      <w:szCs w:val="20"/>
      <w:lang w:eastAsia="pt-BR"/>
    </w:rPr>
  </w:style>
  <w:style w:type="paragraph" w:customStyle="1" w:styleId="xl120">
    <w:name w:val="xl120"/>
    <w:basedOn w:val="Normal"/>
    <w:rsid w:val="0016647F"/>
    <w:pPr>
      <w:pBdr>
        <w:left w:val="single" w:sz="4" w:space="0" w:color="auto"/>
        <w:right w:val="single" w:sz="4" w:space="0" w:color="auto"/>
      </w:pBdr>
      <w:shd w:val="clear" w:color="000000" w:fill="FFFF00"/>
      <w:spacing w:before="100" w:beforeAutospacing="1" w:after="100" w:afterAutospacing="1" w:line="240" w:lineRule="auto"/>
      <w:jc w:val="center"/>
    </w:pPr>
    <w:rPr>
      <w:rFonts w:ascii="Arial Narrow" w:eastAsia="Times New Roman" w:hAnsi="Arial Narrow" w:cs="Times New Roman"/>
      <w:color w:val="0070C0"/>
      <w:sz w:val="20"/>
      <w:szCs w:val="20"/>
      <w:lang w:eastAsia="pt-BR"/>
    </w:rPr>
  </w:style>
  <w:style w:type="paragraph" w:customStyle="1" w:styleId="xl121">
    <w:name w:val="xl121"/>
    <w:basedOn w:val="Normal"/>
    <w:rsid w:val="0016647F"/>
    <w:pPr>
      <w:pBdr>
        <w:right w:val="single" w:sz="4" w:space="0" w:color="auto"/>
      </w:pBdr>
      <w:shd w:val="clear" w:color="000000" w:fill="FFFF00"/>
      <w:spacing w:before="100" w:beforeAutospacing="1" w:after="100" w:afterAutospacing="1" w:line="240" w:lineRule="auto"/>
      <w:jc w:val="center"/>
    </w:pPr>
    <w:rPr>
      <w:rFonts w:ascii="Arial Narrow" w:eastAsia="Times New Roman" w:hAnsi="Arial Narrow" w:cs="Times New Roman"/>
      <w:color w:val="0070C0"/>
      <w:sz w:val="20"/>
      <w:szCs w:val="20"/>
      <w:lang w:eastAsia="pt-BR"/>
    </w:rPr>
  </w:style>
  <w:style w:type="paragraph" w:customStyle="1" w:styleId="xl122">
    <w:name w:val="xl122"/>
    <w:basedOn w:val="Normal"/>
    <w:rsid w:val="0016647F"/>
    <w:pPr>
      <w:pBdr>
        <w:top w:val="single" w:sz="4" w:space="0" w:color="auto"/>
        <w:left w:val="single" w:sz="4" w:space="0" w:color="auto"/>
        <w:bottom w:val="single" w:sz="4" w:space="0" w:color="auto"/>
      </w:pBdr>
      <w:shd w:val="clear" w:color="000000" w:fill="D9D9D9"/>
      <w:spacing w:before="100" w:beforeAutospacing="1" w:after="100" w:afterAutospacing="1" w:line="240" w:lineRule="auto"/>
    </w:pPr>
    <w:rPr>
      <w:rFonts w:ascii="Arial Narrow" w:eastAsia="Times New Roman" w:hAnsi="Arial Narrow" w:cs="Times New Roman"/>
      <w:b/>
      <w:bCs/>
      <w:sz w:val="20"/>
      <w:szCs w:val="20"/>
      <w:lang w:eastAsia="pt-BR"/>
    </w:rPr>
  </w:style>
  <w:style w:type="paragraph" w:customStyle="1" w:styleId="xl123">
    <w:name w:val="xl123"/>
    <w:basedOn w:val="Normal"/>
    <w:rsid w:val="0016647F"/>
    <w:pPr>
      <w:pBdr>
        <w:top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Arial Narrow" w:eastAsia="Times New Roman" w:hAnsi="Arial Narrow" w:cs="Times New Roman"/>
      <w:b/>
      <w:bCs/>
      <w:sz w:val="20"/>
      <w:szCs w:val="20"/>
      <w:lang w:eastAsia="pt-BR"/>
    </w:rPr>
  </w:style>
  <w:style w:type="paragraph" w:customStyle="1" w:styleId="xl124">
    <w:name w:val="xl124"/>
    <w:basedOn w:val="Normal"/>
    <w:rsid w:val="0016647F"/>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pPr>
    <w:rPr>
      <w:rFonts w:ascii="Arial Narrow" w:eastAsia="Times New Roman" w:hAnsi="Arial Narrow" w:cs="Times New Roman"/>
      <w:b/>
      <w:bCs/>
      <w:sz w:val="24"/>
      <w:szCs w:val="24"/>
      <w:lang w:eastAsia="pt-BR"/>
    </w:rPr>
  </w:style>
  <w:style w:type="paragraph" w:customStyle="1" w:styleId="xl125">
    <w:name w:val="xl125"/>
    <w:basedOn w:val="Normal"/>
    <w:rsid w:val="0016647F"/>
    <w:pPr>
      <w:pBdr>
        <w:top w:val="single" w:sz="4" w:space="0" w:color="auto"/>
        <w:bottom w:val="single" w:sz="4" w:space="0" w:color="auto"/>
      </w:pBdr>
      <w:shd w:val="clear" w:color="000000" w:fill="D9D9D9"/>
      <w:spacing w:before="100" w:beforeAutospacing="1" w:after="100" w:afterAutospacing="1" w:line="240" w:lineRule="auto"/>
      <w:jc w:val="center"/>
    </w:pPr>
    <w:rPr>
      <w:rFonts w:ascii="Arial Narrow" w:eastAsia="Times New Roman" w:hAnsi="Arial Narrow" w:cs="Times New Roman"/>
      <w:b/>
      <w:bCs/>
      <w:sz w:val="24"/>
      <w:szCs w:val="24"/>
      <w:lang w:eastAsia="pt-BR"/>
    </w:rPr>
  </w:style>
  <w:style w:type="paragraph" w:customStyle="1" w:styleId="xl126">
    <w:name w:val="xl126"/>
    <w:basedOn w:val="Normal"/>
    <w:rsid w:val="0016647F"/>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Arial Narrow" w:eastAsia="Times New Roman" w:hAnsi="Arial Narrow" w:cs="Times New Roman"/>
      <w:b/>
      <w:bCs/>
      <w:sz w:val="24"/>
      <w:szCs w:val="24"/>
      <w:lang w:eastAsia="pt-BR"/>
    </w:rPr>
  </w:style>
  <w:style w:type="paragraph" w:customStyle="1" w:styleId="xl127">
    <w:name w:val="xl127"/>
    <w:basedOn w:val="Normal"/>
    <w:rsid w:val="0016647F"/>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pPr>
    <w:rPr>
      <w:rFonts w:ascii="Arial Narrow" w:eastAsia="Times New Roman" w:hAnsi="Arial Narrow" w:cs="Times New Roman"/>
      <w:b/>
      <w:bCs/>
      <w:sz w:val="20"/>
      <w:szCs w:val="20"/>
      <w:lang w:eastAsia="pt-BR"/>
    </w:rPr>
  </w:style>
  <w:style w:type="paragraph" w:customStyle="1" w:styleId="xl128">
    <w:name w:val="xl128"/>
    <w:basedOn w:val="Normal"/>
    <w:rsid w:val="0016647F"/>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Arial Narrow" w:eastAsia="Times New Roman" w:hAnsi="Arial Narrow" w:cs="Times New Roman"/>
      <w:b/>
      <w:bCs/>
      <w:sz w:val="20"/>
      <w:szCs w:val="20"/>
      <w:lang w:eastAsia="pt-BR"/>
    </w:rPr>
  </w:style>
  <w:style w:type="paragraph" w:customStyle="1" w:styleId="font9">
    <w:name w:val="font9"/>
    <w:basedOn w:val="Normal"/>
    <w:rsid w:val="000A068E"/>
    <w:pPr>
      <w:spacing w:before="100" w:beforeAutospacing="1" w:after="100" w:afterAutospacing="1" w:line="240" w:lineRule="auto"/>
    </w:pPr>
    <w:rPr>
      <w:rFonts w:ascii="Segoe UI" w:eastAsia="Times New Roman" w:hAnsi="Segoe UI" w:cs="Segoe UI"/>
      <w:color w:val="000000"/>
      <w:sz w:val="18"/>
      <w:szCs w:val="18"/>
      <w:lang w:eastAsia="pt-BR"/>
    </w:rPr>
  </w:style>
  <w:style w:type="character" w:customStyle="1" w:styleId="normaltextrun">
    <w:name w:val="normaltextrun"/>
    <w:basedOn w:val="Fontepargpadro"/>
    <w:rsid w:val="00BB687C"/>
  </w:style>
  <w:style w:type="character" w:customStyle="1" w:styleId="spellingerror">
    <w:name w:val="spellingerror"/>
    <w:basedOn w:val="Fontepargpadro"/>
    <w:rsid w:val="00BB687C"/>
  </w:style>
  <w:style w:type="character" w:customStyle="1" w:styleId="eop">
    <w:name w:val="eop"/>
    <w:basedOn w:val="Fontepargpadro"/>
    <w:rsid w:val="00BB687C"/>
  </w:style>
  <w:style w:type="paragraph" w:styleId="CabealhodoSumrio">
    <w:name w:val="TOC Heading"/>
    <w:basedOn w:val="Ttulo1"/>
    <w:next w:val="Normal"/>
    <w:uiPriority w:val="39"/>
    <w:unhideWhenUsed/>
    <w:qFormat/>
    <w:rsid w:val="00E27D8E"/>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lang w:val="pt-BR" w:eastAsia="pt-BR"/>
    </w:rPr>
  </w:style>
  <w:style w:type="table" w:customStyle="1" w:styleId="TableGrid">
    <w:name w:val="TableGrid"/>
    <w:rsid w:val="00950BE9"/>
    <w:pPr>
      <w:spacing w:after="0" w:line="240" w:lineRule="auto"/>
    </w:pPr>
    <w:rPr>
      <w:rFonts w:eastAsia="Times New Roman"/>
      <w:lang w:eastAsia="pt-BR"/>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65154">
      <w:bodyDiv w:val="1"/>
      <w:marLeft w:val="0"/>
      <w:marRight w:val="0"/>
      <w:marTop w:val="0"/>
      <w:marBottom w:val="0"/>
      <w:divBdr>
        <w:top w:val="none" w:sz="0" w:space="0" w:color="auto"/>
        <w:left w:val="none" w:sz="0" w:space="0" w:color="auto"/>
        <w:bottom w:val="none" w:sz="0" w:space="0" w:color="auto"/>
        <w:right w:val="none" w:sz="0" w:space="0" w:color="auto"/>
      </w:divBdr>
    </w:div>
    <w:div w:id="33773306">
      <w:bodyDiv w:val="1"/>
      <w:marLeft w:val="0"/>
      <w:marRight w:val="0"/>
      <w:marTop w:val="0"/>
      <w:marBottom w:val="0"/>
      <w:divBdr>
        <w:top w:val="none" w:sz="0" w:space="0" w:color="auto"/>
        <w:left w:val="none" w:sz="0" w:space="0" w:color="auto"/>
        <w:bottom w:val="none" w:sz="0" w:space="0" w:color="auto"/>
        <w:right w:val="none" w:sz="0" w:space="0" w:color="auto"/>
      </w:divBdr>
    </w:div>
    <w:div w:id="48501143">
      <w:bodyDiv w:val="1"/>
      <w:marLeft w:val="0"/>
      <w:marRight w:val="0"/>
      <w:marTop w:val="0"/>
      <w:marBottom w:val="0"/>
      <w:divBdr>
        <w:top w:val="none" w:sz="0" w:space="0" w:color="auto"/>
        <w:left w:val="none" w:sz="0" w:space="0" w:color="auto"/>
        <w:bottom w:val="none" w:sz="0" w:space="0" w:color="auto"/>
        <w:right w:val="none" w:sz="0" w:space="0" w:color="auto"/>
      </w:divBdr>
    </w:div>
    <w:div w:id="52698495">
      <w:bodyDiv w:val="1"/>
      <w:marLeft w:val="0"/>
      <w:marRight w:val="0"/>
      <w:marTop w:val="0"/>
      <w:marBottom w:val="0"/>
      <w:divBdr>
        <w:top w:val="none" w:sz="0" w:space="0" w:color="auto"/>
        <w:left w:val="none" w:sz="0" w:space="0" w:color="auto"/>
        <w:bottom w:val="none" w:sz="0" w:space="0" w:color="auto"/>
        <w:right w:val="none" w:sz="0" w:space="0" w:color="auto"/>
      </w:divBdr>
    </w:div>
    <w:div w:id="64497805">
      <w:bodyDiv w:val="1"/>
      <w:marLeft w:val="0"/>
      <w:marRight w:val="0"/>
      <w:marTop w:val="0"/>
      <w:marBottom w:val="0"/>
      <w:divBdr>
        <w:top w:val="none" w:sz="0" w:space="0" w:color="auto"/>
        <w:left w:val="none" w:sz="0" w:space="0" w:color="auto"/>
        <w:bottom w:val="none" w:sz="0" w:space="0" w:color="auto"/>
        <w:right w:val="none" w:sz="0" w:space="0" w:color="auto"/>
      </w:divBdr>
    </w:div>
    <w:div w:id="65879174">
      <w:bodyDiv w:val="1"/>
      <w:marLeft w:val="0"/>
      <w:marRight w:val="0"/>
      <w:marTop w:val="0"/>
      <w:marBottom w:val="0"/>
      <w:divBdr>
        <w:top w:val="none" w:sz="0" w:space="0" w:color="auto"/>
        <w:left w:val="none" w:sz="0" w:space="0" w:color="auto"/>
        <w:bottom w:val="none" w:sz="0" w:space="0" w:color="auto"/>
        <w:right w:val="none" w:sz="0" w:space="0" w:color="auto"/>
      </w:divBdr>
    </w:div>
    <w:div w:id="79834109">
      <w:bodyDiv w:val="1"/>
      <w:marLeft w:val="0"/>
      <w:marRight w:val="0"/>
      <w:marTop w:val="0"/>
      <w:marBottom w:val="0"/>
      <w:divBdr>
        <w:top w:val="none" w:sz="0" w:space="0" w:color="auto"/>
        <w:left w:val="none" w:sz="0" w:space="0" w:color="auto"/>
        <w:bottom w:val="none" w:sz="0" w:space="0" w:color="auto"/>
        <w:right w:val="none" w:sz="0" w:space="0" w:color="auto"/>
      </w:divBdr>
    </w:div>
    <w:div w:id="110590230">
      <w:bodyDiv w:val="1"/>
      <w:marLeft w:val="0"/>
      <w:marRight w:val="0"/>
      <w:marTop w:val="0"/>
      <w:marBottom w:val="0"/>
      <w:divBdr>
        <w:top w:val="none" w:sz="0" w:space="0" w:color="auto"/>
        <w:left w:val="none" w:sz="0" w:space="0" w:color="auto"/>
        <w:bottom w:val="none" w:sz="0" w:space="0" w:color="auto"/>
        <w:right w:val="none" w:sz="0" w:space="0" w:color="auto"/>
      </w:divBdr>
    </w:div>
    <w:div w:id="129249003">
      <w:bodyDiv w:val="1"/>
      <w:marLeft w:val="0"/>
      <w:marRight w:val="0"/>
      <w:marTop w:val="0"/>
      <w:marBottom w:val="0"/>
      <w:divBdr>
        <w:top w:val="none" w:sz="0" w:space="0" w:color="auto"/>
        <w:left w:val="none" w:sz="0" w:space="0" w:color="auto"/>
        <w:bottom w:val="none" w:sz="0" w:space="0" w:color="auto"/>
        <w:right w:val="none" w:sz="0" w:space="0" w:color="auto"/>
      </w:divBdr>
    </w:div>
    <w:div w:id="158078037">
      <w:bodyDiv w:val="1"/>
      <w:marLeft w:val="0"/>
      <w:marRight w:val="0"/>
      <w:marTop w:val="0"/>
      <w:marBottom w:val="0"/>
      <w:divBdr>
        <w:top w:val="none" w:sz="0" w:space="0" w:color="auto"/>
        <w:left w:val="none" w:sz="0" w:space="0" w:color="auto"/>
        <w:bottom w:val="none" w:sz="0" w:space="0" w:color="auto"/>
        <w:right w:val="none" w:sz="0" w:space="0" w:color="auto"/>
      </w:divBdr>
    </w:div>
    <w:div w:id="163205306">
      <w:bodyDiv w:val="1"/>
      <w:marLeft w:val="0"/>
      <w:marRight w:val="0"/>
      <w:marTop w:val="0"/>
      <w:marBottom w:val="0"/>
      <w:divBdr>
        <w:top w:val="none" w:sz="0" w:space="0" w:color="auto"/>
        <w:left w:val="none" w:sz="0" w:space="0" w:color="auto"/>
        <w:bottom w:val="none" w:sz="0" w:space="0" w:color="auto"/>
        <w:right w:val="none" w:sz="0" w:space="0" w:color="auto"/>
      </w:divBdr>
    </w:div>
    <w:div w:id="188760524">
      <w:bodyDiv w:val="1"/>
      <w:marLeft w:val="0"/>
      <w:marRight w:val="0"/>
      <w:marTop w:val="0"/>
      <w:marBottom w:val="0"/>
      <w:divBdr>
        <w:top w:val="none" w:sz="0" w:space="0" w:color="auto"/>
        <w:left w:val="none" w:sz="0" w:space="0" w:color="auto"/>
        <w:bottom w:val="none" w:sz="0" w:space="0" w:color="auto"/>
        <w:right w:val="none" w:sz="0" w:space="0" w:color="auto"/>
      </w:divBdr>
    </w:div>
    <w:div w:id="207887269">
      <w:bodyDiv w:val="1"/>
      <w:marLeft w:val="0"/>
      <w:marRight w:val="0"/>
      <w:marTop w:val="0"/>
      <w:marBottom w:val="0"/>
      <w:divBdr>
        <w:top w:val="none" w:sz="0" w:space="0" w:color="auto"/>
        <w:left w:val="none" w:sz="0" w:space="0" w:color="auto"/>
        <w:bottom w:val="none" w:sz="0" w:space="0" w:color="auto"/>
        <w:right w:val="none" w:sz="0" w:space="0" w:color="auto"/>
      </w:divBdr>
    </w:div>
    <w:div w:id="263733007">
      <w:bodyDiv w:val="1"/>
      <w:marLeft w:val="0"/>
      <w:marRight w:val="0"/>
      <w:marTop w:val="0"/>
      <w:marBottom w:val="0"/>
      <w:divBdr>
        <w:top w:val="none" w:sz="0" w:space="0" w:color="auto"/>
        <w:left w:val="none" w:sz="0" w:space="0" w:color="auto"/>
        <w:bottom w:val="none" w:sz="0" w:space="0" w:color="auto"/>
        <w:right w:val="none" w:sz="0" w:space="0" w:color="auto"/>
      </w:divBdr>
    </w:div>
    <w:div w:id="302854357">
      <w:bodyDiv w:val="1"/>
      <w:marLeft w:val="0"/>
      <w:marRight w:val="0"/>
      <w:marTop w:val="0"/>
      <w:marBottom w:val="0"/>
      <w:divBdr>
        <w:top w:val="none" w:sz="0" w:space="0" w:color="auto"/>
        <w:left w:val="none" w:sz="0" w:space="0" w:color="auto"/>
        <w:bottom w:val="none" w:sz="0" w:space="0" w:color="auto"/>
        <w:right w:val="none" w:sz="0" w:space="0" w:color="auto"/>
      </w:divBdr>
    </w:div>
    <w:div w:id="353188119">
      <w:bodyDiv w:val="1"/>
      <w:marLeft w:val="0"/>
      <w:marRight w:val="0"/>
      <w:marTop w:val="0"/>
      <w:marBottom w:val="0"/>
      <w:divBdr>
        <w:top w:val="none" w:sz="0" w:space="0" w:color="auto"/>
        <w:left w:val="none" w:sz="0" w:space="0" w:color="auto"/>
        <w:bottom w:val="none" w:sz="0" w:space="0" w:color="auto"/>
        <w:right w:val="none" w:sz="0" w:space="0" w:color="auto"/>
      </w:divBdr>
    </w:div>
    <w:div w:id="359209822">
      <w:bodyDiv w:val="1"/>
      <w:marLeft w:val="0"/>
      <w:marRight w:val="0"/>
      <w:marTop w:val="0"/>
      <w:marBottom w:val="0"/>
      <w:divBdr>
        <w:top w:val="none" w:sz="0" w:space="0" w:color="auto"/>
        <w:left w:val="none" w:sz="0" w:space="0" w:color="auto"/>
        <w:bottom w:val="none" w:sz="0" w:space="0" w:color="auto"/>
        <w:right w:val="none" w:sz="0" w:space="0" w:color="auto"/>
      </w:divBdr>
    </w:div>
    <w:div w:id="521943369">
      <w:bodyDiv w:val="1"/>
      <w:marLeft w:val="0"/>
      <w:marRight w:val="0"/>
      <w:marTop w:val="0"/>
      <w:marBottom w:val="0"/>
      <w:divBdr>
        <w:top w:val="none" w:sz="0" w:space="0" w:color="auto"/>
        <w:left w:val="none" w:sz="0" w:space="0" w:color="auto"/>
        <w:bottom w:val="none" w:sz="0" w:space="0" w:color="auto"/>
        <w:right w:val="none" w:sz="0" w:space="0" w:color="auto"/>
      </w:divBdr>
    </w:div>
    <w:div w:id="528876290">
      <w:bodyDiv w:val="1"/>
      <w:marLeft w:val="0"/>
      <w:marRight w:val="0"/>
      <w:marTop w:val="0"/>
      <w:marBottom w:val="0"/>
      <w:divBdr>
        <w:top w:val="none" w:sz="0" w:space="0" w:color="auto"/>
        <w:left w:val="none" w:sz="0" w:space="0" w:color="auto"/>
        <w:bottom w:val="none" w:sz="0" w:space="0" w:color="auto"/>
        <w:right w:val="none" w:sz="0" w:space="0" w:color="auto"/>
      </w:divBdr>
    </w:div>
    <w:div w:id="552935240">
      <w:bodyDiv w:val="1"/>
      <w:marLeft w:val="0"/>
      <w:marRight w:val="0"/>
      <w:marTop w:val="0"/>
      <w:marBottom w:val="0"/>
      <w:divBdr>
        <w:top w:val="none" w:sz="0" w:space="0" w:color="auto"/>
        <w:left w:val="none" w:sz="0" w:space="0" w:color="auto"/>
        <w:bottom w:val="none" w:sz="0" w:space="0" w:color="auto"/>
        <w:right w:val="none" w:sz="0" w:space="0" w:color="auto"/>
      </w:divBdr>
    </w:div>
    <w:div w:id="573511653">
      <w:bodyDiv w:val="1"/>
      <w:marLeft w:val="0"/>
      <w:marRight w:val="0"/>
      <w:marTop w:val="0"/>
      <w:marBottom w:val="0"/>
      <w:divBdr>
        <w:top w:val="none" w:sz="0" w:space="0" w:color="auto"/>
        <w:left w:val="none" w:sz="0" w:space="0" w:color="auto"/>
        <w:bottom w:val="none" w:sz="0" w:space="0" w:color="auto"/>
        <w:right w:val="none" w:sz="0" w:space="0" w:color="auto"/>
      </w:divBdr>
    </w:div>
    <w:div w:id="600842997">
      <w:bodyDiv w:val="1"/>
      <w:marLeft w:val="0"/>
      <w:marRight w:val="0"/>
      <w:marTop w:val="0"/>
      <w:marBottom w:val="0"/>
      <w:divBdr>
        <w:top w:val="none" w:sz="0" w:space="0" w:color="auto"/>
        <w:left w:val="none" w:sz="0" w:space="0" w:color="auto"/>
        <w:bottom w:val="none" w:sz="0" w:space="0" w:color="auto"/>
        <w:right w:val="none" w:sz="0" w:space="0" w:color="auto"/>
      </w:divBdr>
    </w:div>
    <w:div w:id="625552827">
      <w:bodyDiv w:val="1"/>
      <w:marLeft w:val="0"/>
      <w:marRight w:val="0"/>
      <w:marTop w:val="0"/>
      <w:marBottom w:val="0"/>
      <w:divBdr>
        <w:top w:val="none" w:sz="0" w:space="0" w:color="auto"/>
        <w:left w:val="none" w:sz="0" w:space="0" w:color="auto"/>
        <w:bottom w:val="none" w:sz="0" w:space="0" w:color="auto"/>
        <w:right w:val="none" w:sz="0" w:space="0" w:color="auto"/>
      </w:divBdr>
    </w:div>
    <w:div w:id="655646532">
      <w:bodyDiv w:val="1"/>
      <w:marLeft w:val="0"/>
      <w:marRight w:val="0"/>
      <w:marTop w:val="0"/>
      <w:marBottom w:val="0"/>
      <w:divBdr>
        <w:top w:val="none" w:sz="0" w:space="0" w:color="auto"/>
        <w:left w:val="none" w:sz="0" w:space="0" w:color="auto"/>
        <w:bottom w:val="none" w:sz="0" w:space="0" w:color="auto"/>
        <w:right w:val="none" w:sz="0" w:space="0" w:color="auto"/>
      </w:divBdr>
    </w:div>
    <w:div w:id="674499457">
      <w:bodyDiv w:val="1"/>
      <w:marLeft w:val="0"/>
      <w:marRight w:val="0"/>
      <w:marTop w:val="0"/>
      <w:marBottom w:val="0"/>
      <w:divBdr>
        <w:top w:val="none" w:sz="0" w:space="0" w:color="auto"/>
        <w:left w:val="none" w:sz="0" w:space="0" w:color="auto"/>
        <w:bottom w:val="none" w:sz="0" w:space="0" w:color="auto"/>
        <w:right w:val="none" w:sz="0" w:space="0" w:color="auto"/>
      </w:divBdr>
    </w:div>
    <w:div w:id="694696293">
      <w:bodyDiv w:val="1"/>
      <w:marLeft w:val="0"/>
      <w:marRight w:val="0"/>
      <w:marTop w:val="0"/>
      <w:marBottom w:val="0"/>
      <w:divBdr>
        <w:top w:val="none" w:sz="0" w:space="0" w:color="auto"/>
        <w:left w:val="none" w:sz="0" w:space="0" w:color="auto"/>
        <w:bottom w:val="none" w:sz="0" w:space="0" w:color="auto"/>
        <w:right w:val="none" w:sz="0" w:space="0" w:color="auto"/>
      </w:divBdr>
    </w:div>
    <w:div w:id="695036397">
      <w:bodyDiv w:val="1"/>
      <w:marLeft w:val="0"/>
      <w:marRight w:val="0"/>
      <w:marTop w:val="0"/>
      <w:marBottom w:val="0"/>
      <w:divBdr>
        <w:top w:val="none" w:sz="0" w:space="0" w:color="auto"/>
        <w:left w:val="none" w:sz="0" w:space="0" w:color="auto"/>
        <w:bottom w:val="none" w:sz="0" w:space="0" w:color="auto"/>
        <w:right w:val="none" w:sz="0" w:space="0" w:color="auto"/>
      </w:divBdr>
    </w:div>
    <w:div w:id="710689190">
      <w:bodyDiv w:val="1"/>
      <w:marLeft w:val="0"/>
      <w:marRight w:val="0"/>
      <w:marTop w:val="0"/>
      <w:marBottom w:val="0"/>
      <w:divBdr>
        <w:top w:val="none" w:sz="0" w:space="0" w:color="auto"/>
        <w:left w:val="none" w:sz="0" w:space="0" w:color="auto"/>
        <w:bottom w:val="none" w:sz="0" w:space="0" w:color="auto"/>
        <w:right w:val="none" w:sz="0" w:space="0" w:color="auto"/>
      </w:divBdr>
    </w:div>
    <w:div w:id="778380622">
      <w:bodyDiv w:val="1"/>
      <w:marLeft w:val="0"/>
      <w:marRight w:val="0"/>
      <w:marTop w:val="0"/>
      <w:marBottom w:val="0"/>
      <w:divBdr>
        <w:top w:val="none" w:sz="0" w:space="0" w:color="auto"/>
        <w:left w:val="none" w:sz="0" w:space="0" w:color="auto"/>
        <w:bottom w:val="none" w:sz="0" w:space="0" w:color="auto"/>
        <w:right w:val="none" w:sz="0" w:space="0" w:color="auto"/>
      </w:divBdr>
    </w:div>
    <w:div w:id="780030952">
      <w:bodyDiv w:val="1"/>
      <w:marLeft w:val="0"/>
      <w:marRight w:val="0"/>
      <w:marTop w:val="0"/>
      <w:marBottom w:val="0"/>
      <w:divBdr>
        <w:top w:val="none" w:sz="0" w:space="0" w:color="auto"/>
        <w:left w:val="none" w:sz="0" w:space="0" w:color="auto"/>
        <w:bottom w:val="none" w:sz="0" w:space="0" w:color="auto"/>
        <w:right w:val="none" w:sz="0" w:space="0" w:color="auto"/>
      </w:divBdr>
    </w:div>
    <w:div w:id="825244028">
      <w:bodyDiv w:val="1"/>
      <w:marLeft w:val="0"/>
      <w:marRight w:val="0"/>
      <w:marTop w:val="0"/>
      <w:marBottom w:val="0"/>
      <w:divBdr>
        <w:top w:val="none" w:sz="0" w:space="0" w:color="auto"/>
        <w:left w:val="none" w:sz="0" w:space="0" w:color="auto"/>
        <w:bottom w:val="none" w:sz="0" w:space="0" w:color="auto"/>
        <w:right w:val="none" w:sz="0" w:space="0" w:color="auto"/>
      </w:divBdr>
    </w:div>
    <w:div w:id="830604833">
      <w:bodyDiv w:val="1"/>
      <w:marLeft w:val="0"/>
      <w:marRight w:val="0"/>
      <w:marTop w:val="0"/>
      <w:marBottom w:val="0"/>
      <w:divBdr>
        <w:top w:val="none" w:sz="0" w:space="0" w:color="auto"/>
        <w:left w:val="none" w:sz="0" w:space="0" w:color="auto"/>
        <w:bottom w:val="none" w:sz="0" w:space="0" w:color="auto"/>
        <w:right w:val="none" w:sz="0" w:space="0" w:color="auto"/>
      </w:divBdr>
    </w:div>
    <w:div w:id="860437482">
      <w:bodyDiv w:val="1"/>
      <w:marLeft w:val="0"/>
      <w:marRight w:val="0"/>
      <w:marTop w:val="0"/>
      <w:marBottom w:val="0"/>
      <w:divBdr>
        <w:top w:val="none" w:sz="0" w:space="0" w:color="auto"/>
        <w:left w:val="none" w:sz="0" w:space="0" w:color="auto"/>
        <w:bottom w:val="none" w:sz="0" w:space="0" w:color="auto"/>
        <w:right w:val="none" w:sz="0" w:space="0" w:color="auto"/>
      </w:divBdr>
    </w:div>
    <w:div w:id="868614412">
      <w:bodyDiv w:val="1"/>
      <w:marLeft w:val="0"/>
      <w:marRight w:val="0"/>
      <w:marTop w:val="0"/>
      <w:marBottom w:val="0"/>
      <w:divBdr>
        <w:top w:val="none" w:sz="0" w:space="0" w:color="auto"/>
        <w:left w:val="none" w:sz="0" w:space="0" w:color="auto"/>
        <w:bottom w:val="none" w:sz="0" w:space="0" w:color="auto"/>
        <w:right w:val="none" w:sz="0" w:space="0" w:color="auto"/>
      </w:divBdr>
    </w:div>
    <w:div w:id="876820137">
      <w:bodyDiv w:val="1"/>
      <w:marLeft w:val="0"/>
      <w:marRight w:val="0"/>
      <w:marTop w:val="0"/>
      <w:marBottom w:val="0"/>
      <w:divBdr>
        <w:top w:val="none" w:sz="0" w:space="0" w:color="auto"/>
        <w:left w:val="none" w:sz="0" w:space="0" w:color="auto"/>
        <w:bottom w:val="none" w:sz="0" w:space="0" w:color="auto"/>
        <w:right w:val="none" w:sz="0" w:space="0" w:color="auto"/>
      </w:divBdr>
    </w:div>
    <w:div w:id="889852269">
      <w:bodyDiv w:val="1"/>
      <w:marLeft w:val="0"/>
      <w:marRight w:val="0"/>
      <w:marTop w:val="0"/>
      <w:marBottom w:val="0"/>
      <w:divBdr>
        <w:top w:val="none" w:sz="0" w:space="0" w:color="auto"/>
        <w:left w:val="none" w:sz="0" w:space="0" w:color="auto"/>
        <w:bottom w:val="none" w:sz="0" w:space="0" w:color="auto"/>
        <w:right w:val="none" w:sz="0" w:space="0" w:color="auto"/>
      </w:divBdr>
    </w:div>
    <w:div w:id="910626187">
      <w:bodyDiv w:val="1"/>
      <w:marLeft w:val="0"/>
      <w:marRight w:val="0"/>
      <w:marTop w:val="0"/>
      <w:marBottom w:val="0"/>
      <w:divBdr>
        <w:top w:val="none" w:sz="0" w:space="0" w:color="auto"/>
        <w:left w:val="none" w:sz="0" w:space="0" w:color="auto"/>
        <w:bottom w:val="none" w:sz="0" w:space="0" w:color="auto"/>
        <w:right w:val="none" w:sz="0" w:space="0" w:color="auto"/>
      </w:divBdr>
    </w:div>
    <w:div w:id="954868235">
      <w:bodyDiv w:val="1"/>
      <w:marLeft w:val="0"/>
      <w:marRight w:val="0"/>
      <w:marTop w:val="0"/>
      <w:marBottom w:val="0"/>
      <w:divBdr>
        <w:top w:val="none" w:sz="0" w:space="0" w:color="auto"/>
        <w:left w:val="none" w:sz="0" w:space="0" w:color="auto"/>
        <w:bottom w:val="none" w:sz="0" w:space="0" w:color="auto"/>
        <w:right w:val="none" w:sz="0" w:space="0" w:color="auto"/>
      </w:divBdr>
    </w:div>
    <w:div w:id="973559878">
      <w:bodyDiv w:val="1"/>
      <w:marLeft w:val="0"/>
      <w:marRight w:val="0"/>
      <w:marTop w:val="0"/>
      <w:marBottom w:val="0"/>
      <w:divBdr>
        <w:top w:val="none" w:sz="0" w:space="0" w:color="auto"/>
        <w:left w:val="none" w:sz="0" w:space="0" w:color="auto"/>
        <w:bottom w:val="none" w:sz="0" w:space="0" w:color="auto"/>
        <w:right w:val="none" w:sz="0" w:space="0" w:color="auto"/>
      </w:divBdr>
    </w:div>
    <w:div w:id="1001203897">
      <w:bodyDiv w:val="1"/>
      <w:marLeft w:val="0"/>
      <w:marRight w:val="0"/>
      <w:marTop w:val="0"/>
      <w:marBottom w:val="0"/>
      <w:divBdr>
        <w:top w:val="none" w:sz="0" w:space="0" w:color="auto"/>
        <w:left w:val="none" w:sz="0" w:space="0" w:color="auto"/>
        <w:bottom w:val="none" w:sz="0" w:space="0" w:color="auto"/>
        <w:right w:val="none" w:sz="0" w:space="0" w:color="auto"/>
      </w:divBdr>
    </w:div>
    <w:div w:id="1006321350">
      <w:bodyDiv w:val="1"/>
      <w:marLeft w:val="0"/>
      <w:marRight w:val="0"/>
      <w:marTop w:val="0"/>
      <w:marBottom w:val="0"/>
      <w:divBdr>
        <w:top w:val="none" w:sz="0" w:space="0" w:color="auto"/>
        <w:left w:val="none" w:sz="0" w:space="0" w:color="auto"/>
        <w:bottom w:val="none" w:sz="0" w:space="0" w:color="auto"/>
        <w:right w:val="none" w:sz="0" w:space="0" w:color="auto"/>
      </w:divBdr>
    </w:div>
    <w:div w:id="1011563214">
      <w:bodyDiv w:val="1"/>
      <w:marLeft w:val="0"/>
      <w:marRight w:val="0"/>
      <w:marTop w:val="0"/>
      <w:marBottom w:val="0"/>
      <w:divBdr>
        <w:top w:val="none" w:sz="0" w:space="0" w:color="auto"/>
        <w:left w:val="none" w:sz="0" w:space="0" w:color="auto"/>
        <w:bottom w:val="none" w:sz="0" w:space="0" w:color="auto"/>
        <w:right w:val="none" w:sz="0" w:space="0" w:color="auto"/>
      </w:divBdr>
    </w:div>
    <w:div w:id="1039739936">
      <w:bodyDiv w:val="1"/>
      <w:marLeft w:val="0"/>
      <w:marRight w:val="0"/>
      <w:marTop w:val="0"/>
      <w:marBottom w:val="0"/>
      <w:divBdr>
        <w:top w:val="none" w:sz="0" w:space="0" w:color="auto"/>
        <w:left w:val="none" w:sz="0" w:space="0" w:color="auto"/>
        <w:bottom w:val="none" w:sz="0" w:space="0" w:color="auto"/>
        <w:right w:val="none" w:sz="0" w:space="0" w:color="auto"/>
      </w:divBdr>
    </w:div>
    <w:div w:id="1072773134">
      <w:bodyDiv w:val="1"/>
      <w:marLeft w:val="0"/>
      <w:marRight w:val="0"/>
      <w:marTop w:val="0"/>
      <w:marBottom w:val="0"/>
      <w:divBdr>
        <w:top w:val="none" w:sz="0" w:space="0" w:color="auto"/>
        <w:left w:val="none" w:sz="0" w:space="0" w:color="auto"/>
        <w:bottom w:val="none" w:sz="0" w:space="0" w:color="auto"/>
        <w:right w:val="none" w:sz="0" w:space="0" w:color="auto"/>
      </w:divBdr>
    </w:div>
    <w:div w:id="1090586058">
      <w:bodyDiv w:val="1"/>
      <w:marLeft w:val="0"/>
      <w:marRight w:val="0"/>
      <w:marTop w:val="0"/>
      <w:marBottom w:val="0"/>
      <w:divBdr>
        <w:top w:val="none" w:sz="0" w:space="0" w:color="auto"/>
        <w:left w:val="none" w:sz="0" w:space="0" w:color="auto"/>
        <w:bottom w:val="none" w:sz="0" w:space="0" w:color="auto"/>
        <w:right w:val="none" w:sz="0" w:space="0" w:color="auto"/>
      </w:divBdr>
    </w:div>
    <w:div w:id="1204755979">
      <w:bodyDiv w:val="1"/>
      <w:marLeft w:val="0"/>
      <w:marRight w:val="0"/>
      <w:marTop w:val="0"/>
      <w:marBottom w:val="0"/>
      <w:divBdr>
        <w:top w:val="none" w:sz="0" w:space="0" w:color="auto"/>
        <w:left w:val="none" w:sz="0" w:space="0" w:color="auto"/>
        <w:bottom w:val="none" w:sz="0" w:space="0" w:color="auto"/>
        <w:right w:val="none" w:sz="0" w:space="0" w:color="auto"/>
      </w:divBdr>
    </w:div>
    <w:div w:id="1210412010">
      <w:bodyDiv w:val="1"/>
      <w:marLeft w:val="0"/>
      <w:marRight w:val="0"/>
      <w:marTop w:val="0"/>
      <w:marBottom w:val="0"/>
      <w:divBdr>
        <w:top w:val="none" w:sz="0" w:space="0" w:color="auto"/>
        <w:left w:val="none" w:sz="0" w:space="0" w:color="auto"/>
        <w:bottom w:val="none" w:sz="0" w:space="0" w:color="auto"/>
        <w:right w:val="none" w:sz="0" w:space="0" w:color="auto"/>
      </w:divBdr>
    </w:div>
    <w:div w:id="1225721359">
      <w:bodyDiv w:val="1"/>
      <w:marLeft w:val="0"/>
      <w:marRight w:val="0"/>
      <w:marTop w:val="0"/>
      <w:marBottom w:val="0"/>
      <w:divBdr>
        <w:top w:val="none" w:sz="0" w:space="0" w:color="auto"/>
        <w:left w:val="none" w:sz="0" w:space="0" w:color="auto"/>
        <w:bottom w:val="none" w:sz="0" w:space="0" w:color="auto"/>
        <w:right w:val="none" w:sz="0" w:space="0" w:color="auto"/>
      </w:divBdr>
    </w:div>
    <w:div w:id="1237782378">
      <w:bodyDiv w:val="1"/>
      <w:marLeft w:val="0"/>
      <w:marRight w:val="0"/>
      <w:marTop w:val="0"/>
      <w:marBottom w:val="0"/>
      <w:divBdr>
        <w:top w:val="none" w:sz="0" w:space="0" w:color="auto"/>
        <w:left w:val="none" w:sz="0" w:space="0" w:color="auto"/>
        <w:bottom w:val="none" w:sz="0" w:space="0" w:color="auto"/>
        <w:right w:val="none" w:sz="0" w:space="0" w:color="auto"/>
      </w:divBdr>
    </w:div>
    <w:div w:id="1269240714">
      <w:bodyDiv w:val="1"/>
      <w:marLeft w:val="0"/>
      <w:marRight w:val="0"/>
      <w:marTop w:val="0"/>
      <w:marBottom w:val="0"/>
      <w:divBdr>
        <w:top w:val="none" w:sz="0" w:space="0" w:color="auto"/>
        <w:left w:val="none" w:sz="0" w:space="0" w:color="auto"/>
        <w:bottom w:val="none" w:sz="0" w:space="0" w:color="auto"/>
        <w:right w:val="none" w:sz="0" w:space="0" w:color="auto"/>
      </w:divBdr>
    </w:div>
    <w:div w:id="1276475827">
      <w:bodyDiv w:val="1"/>
      <w:marLeft w:val="0"/>
      <w:marRight w:val="0"/>
      <w:marTop w:val="0"/>
      <w:marBottom w:val="0"/>
      <w:divBdr>
        <w:top w:val="none" w:sz="0" w:space="0" w:color="auto"/>
        <w:left w:val="none" w:sz="0" w:space="0" w:color="auto"/>
        <w:bottom w:val="none" w:sz="0" w:space="0" w:color="auto"/>
        <w:right w:val="none" w:sz="0" w:space="0" w:color="auto"/>
      </w:divBdr>
    </w:div>
    <w:div w:id="1289164033">
      <w:bodyDiv w:val="1"/>
      <w:marLeft w:val="0"/>
      <w:marRight w:val="0"/>
      <w:marTop w:val="0"/>
      <w:marBottom w:val="0"/>
      <w:divBdr>
        <w:top w:val="none" w:sz="0" w:space="0" w:color="auto"/>
        <w:left w:val="none" w:sz="0" w:space="0" w:color="auto"/>
        <w:bottom w:val="none" w:sz="0" w:space="0" w:color="auto"/>
        <w:right w:val="none" w:sz="0" w:space="0" w:color="auto"/>
      </w:divBdr>
    </w:div>
    <w:div w:id="1302150343">
      <w:bodyDiv w:val="1"/>
      <w:marLeft w:val="0"/>
      <w:marRight w:val="0"/>
      <w:marTop w:val="0"/>
      <w:marBottom w:val="0"/>
      <w:divBdr>
        <w:top w:val="none" w:sz="0" w:space="0" w:color="auto"/>
        <w:left w:val="none" w:sz="0" w:space="0" w:color="auto"/>
        <w:bottom w:val="none" w:sz="0" w:space="0" w:color="auto"/>
        <w:right w:val="none" w:sz="0" w:space="0" w:color="auto"/>
      </w:divBdr>
    </w:div>
    <w:div w:id="1321275166">
      <w:bodyDiv w:val="1"/>
      <w:marLeft w:val="0"/>
      <w:marRight w:val="0"/>
      <w:marTop w:val="0"/>
      <w:marBottom w:val="0"/>
      <w:divBdr>
        <w:top w:val="none" w:sz="0" w:space="0" w:color="auto"/>
        <w:left w:val="none" w:sz="0" w:space="0" w:color="auto"/>
        <w:bottom w:val="none" w:sz="0" w:space="0" w:color="auto"/>
        <w:right w:val="none" w:sz="0" w:space="0" w:color="auto"/>
      </w:divBdr>
    </w:div>
    <w:div w:id="1328249959">
      <w:bodyDiv w:val="1"/>
      <w:marLeft w:val="0"/>
      <w:marRight w:val="0"/>
      <w:marTop w:val="0"/>
      <w:marBottom w:val="0"/>
      <w:divBdr>
        <w:top w:val="none" w:sz="0" w:space="0" w:color="auto"/>
        <w:left w:val="none" w:sz="0" w:space="0" w:color="auto"/>
        <w:bottom w:val="none" w:sz="0" w:space="0" w:color="auto"/>
        <w:right w:val="none" w:sz="0" w:space="0" w:color="auto"/>
      </w:divBdr>
    </w:div>
    <w:div w:id="1435131629">
      <w:bodyDiv w:val="1"/>
      <w:marLeft w:val="0"/>
      <w:marRight w:val="0"/>
      <w:marTop w:val="0"/>
      <w:marBottom w:val="0"/>
      <w:divBdr>
        <w:top w:val="none" w:sz="0" w:space="0" w:color="auto"/>
        <w:left w:val="none" w:sz="0" w:space="0" w:color="auto"/>
        <w:bottom w:val="none" w:sz="0" w:space="0" w:color="auto"/>
        <w:right w:val="none" w:sz="0" w:space="0" w:color="auto"/>
      </w:divBdr>
    </w:div>
    <w:div w:id="1472793170">
      <w:bodyDiv w:val="1"/>
      <w:marLeft w:val="0"/>
      <w:marRight w:val="0"/>
      <w:marTop w:val="0"/>
      <w:marBottom w:val="0"/>
      <w:divBdr>
        <w:top w:val="none" w:sz="0" w:space="0" w:color="auto"/>
        <w:left w:val="none" w:sz="0" w:space="0" w:color="auto"/>
        <w:bottom w:val="none" w:sz="0" w:space="0" w:color="auto"/>
        <w:right w:val="none" w:sz="0" w:space="0" w:color="auto"/>
      </w:divBdr>
    </w:div>
    <w:div w:id="1481845463">
      <w:bodyDiv w:val="1"/>
      <w:marLeft w:val="0"/>
      <w:marRight w:val="0"/>
      <w:marTop w:val="0"/>
      <w:marBottom w:val="0"/>
      <w:divBdr>
        <w:top w:val="none" w:sz="0" w:space="0" w:color="auto"/>
        <w:left w:val="none" w:sz="0" w:space="0" w:color="auto"/>
        <w:bottom w:val="none" w:sz="0" w:space="0" w:color="auto"/>
        <w:right w:val="none" w:sz="0" w:space="0" w:color="auto"/>
      </w:divBdr>
    </w:div>
    <w:div w:id="1486820271">
      <w:bodyDiv w:val="1"/>
      <w:marLeft w:val="0"/>
      <w:marRight w:val="0"/>
      <w:marTop w:val="0"/>
      <w:marBottom w:val="0"/>
      <w:divBdr>
        <w:top w:val="none" w:sz="0" w:space="0" w:color="auto"/>
        <w:left w:val="none" w:sz="0" w:space="0" w:color="auto"/>
        <w:bottom w:val="none" w:sz="0" w:space="0" w:color="auto"/>
        <w:right w:val="none" w:sz="0" w:space="0" w:color="auto"/>
      </w:divBdr>
    </w:div>
    <w:div w:id="1492678441">
      <w:bodyDiv w:val="1"/>
      <w:marLeft w:val="0"/>
      <w:marRight w:val="0"/>
      <w:marTop w:val="0"/>
      <w:marBottom w:val="0"/>
      <w:divBdr>
        <w:top w:val="none" w:sz="0" w:space="0" w:color="auto"/>
        <w:left w:val="none" w:sz="0" w:space="0" w:color="auto"/>
        <w:bottom w:val="none" w:sz="0" w:space="0" w:color="auto"/>
        <w:right w:val="none" w:sz="0" w:space="0" w:color="auto"/>
      </w:divBdr>
    </w:div>
    <w:div w:id="1494681520">
      <w:bodyDiv w:val="1"/>
      <w:marLeft w:val="0"/>
      <w:marRight w:val="0"/>
      <w:marTop w:val="0"/>
      <w:marBottom w:val="0"/>
      <w:divBdr>
        <w:top w:val="none" w:sz="0" w:space="0" w:color="auto"/>
        <w:left w:val="none" w:sz="0" w:space="0" w:color="auto"/>
        <w:bottom w:val="none" w:sz="0" w:space="0" w:color="auto"/>
        <w:right w:val="none" w:sz="0" w:space="0" w:color="auto"/>
      </w:divBdr>
    </w:div>
    <w:div w:id="1513834110">
      <w:bodyDiv w:val="1"/>
      <w:marLeft w:val="0"/>
      <w:marRight w:val="0"/>
      <w:marTop w:val="0"/>
      <w:marBottom w:val="0"/>
      <w:divBdr>
        <w:top w:val="none" w:sz="0" w:space="0" w:color="auto"/>
        <w:left w:val="none" w:sz="0" w:space="0" w:color="auto"/>
        <w:bottom w:val="none" w:sz="0" w:space="0" w:color="auto"/>
        <w:right w:val="none" w:sz="0" w:space="0" w:color="auto"/>
      </w:divBdr>
    </w:div>
    <w:div w:id="1553997885">
      <w:bodyDiv w:val="1"/>
      <w:marLeft w:val="0"/>
      <w:marRight w:val="0"/>
      <w:marTop w:val="0"/>
      <w:marBottom w:val="0"/>
      <w:divBdr>
        <w:top w:val="none" w:sz="0" w:space="0" w:color="auto"/>
        <w:left w:val="none" w:sz="0" w:space="0" w:color="auto"/>
        <w:bottom w:val="none" w:sz="0" w:space="0" w:color="auto"/>
        <w:right w:val="none" w:sz="0" w:space="0" w:color="auto"/>
      </w:divBdr>
    </w:div>
    <w:div w:id="1588003318">
      <w:bodyDiv w:val="1"/>
      <w:marLeft w:val="0"/>
      <w:marRight w:val="0"/>
      <w:marTop w:val="0"/>
      <w:marBottom w:val="0"/>
      <w:divBdr>
        <w:top w:val="none" w:sz="0" w:space="0" w:color="auto"/>
        <w:left w:val="none" w:sz="0" w:space="0" w:color="auto"/>
        <w:bottom w:val="none" w:sz="0" w:space="0" w:color="auto"/>
        <w:right w:val="none" w:sz="0" w:space="0" w:color="auto"/>
      </w:divBdr>
    </w:div>
    <w:div w:id="1594582840">
      <w:bodyDiv w:val="1"/>
      <w:marLeft w:val="0"/>
      <w:marRight w:val="0"/>
      <w:marTop w:val="0"/>
      <w:marBottom w:val="0"/>
      <w:divBdr>
        <w:top w:val="none" w:sz="0" w:space="0" w:color="auto"/>
        <w:left w:val="none" w:sz="0" w:space="0" w:color="auto"/>
        <w:bottom w:val="none" w:sz="0" w:space="0" w:color="auto"/>
        <w:right w:val="none" w:sz="0" w:space="0" w:color="auto"/>
      </w:divBdr>
    </w:div>
    <w:div w:id="1598365354">
      <w:bodyDiv w:val="1"/>
      <w:marLeft w:val="0"/>
      <w:marRight w:val="0"/>
      <w:marTop w:val="0"/>
      <w:marBottom w:val="0"/>
      <w:divBdr>
        <w:top w:val="none" w:sz="0" w:space="0" w:color="auto"/>
        <w:left w:val="none" w:sz="0" w:space="0" w:color="auto"/>
        <w:bottom w:val="none" w:sz="0" w:space="0" w:color="auto"/>
        <w:right w:val="none" w:sz="0" w:space="0" w:color="auto"/>
      </w:divBdr>
    </w:div>
    <w:div w:id="1638028719">
      <w:bodyDiv w:val="1"/>
      <w:marLeft w:val="0"/>
      <w:marRight w:val="0"/>
      <w:marTop w:val="0"/>
      <w:marBottom w:val="0"/>
      <w:divBdr>
        <w:top w:val="none" w:sz="0" w:space="0" w:color="auto"/>
        <w:left w:val="none" w:sz="0" w:space="0" w:color="auto"/>
        <w:bottom w:val="none" w:sz="0" w:space="0" w:color="auto"/>
        <w:right w:val="none" w:sz="0" w:space="0" w:color="auto"/>
      </w:divBdr>
    </w:div>
    <w:div w:id="1640070552">
      <w:bodyDiv w:val="1"/>
      <w:marLeft w:val="0"/>
      <w:marRight w:val="0"/>
      <w:marTop w:val="0"/>
      <w:marBottom w:val="0"/>
      <w:divBdr>
        <w:top w:val="none" w:sz="0" w:space="0" w:color="auto"/>
        <w:left w:val="none" w:sz="0" w:space="0" w:color="auto"/>
        <w:bottom w:val="none" w:sz="0" w:space="0" w:color="auto"/>
        <w:right w:val="none" w:sz="0" w:space="0" w:color="auto"/>
      </w:divBdr>
    </w:div>
    <w:div w:id="1645351038">
      <w:bodyDiv w:val="1"/>
      <w:marLeft w:val="0"/>
      <w:marRight w:val="0"/>
      <w:marTop w:val="0"/>
      <w:marBottom w:val="0"/>
      <w:divBdr>
        <w:top w:val="none" w:sz="0" w:space="0" w:color="auto"/>
        <w:left w:val="none" w:sz="0" w:space="0" w:color="auto"/>
        <w:bottom w:val="none" w:sz="0" w:space="0" w:color="auto"/>
        <w:right w:val="none" w:sz="0" w:space="0" w:color="auto"/>
      </w:divBdr>
    </w:div>
    <w:div w:id="1655256902">
      <w:bodyDiv w:val="1"/>
      <w:marLeft w:val="0"/>
      <w:marRight w:val="0"/>
      <w:marTop w:val="0"/>
      <w:marBottom w:val="0"/>
      <w:divBdr>
        <w:top w:val="none" w:sz="0" w:space="0" w:color="auto"/>
        <w:left w:val="none" w:sz="0" w:space="0" w:color="auto"/>
        <w:bottom w:val="none" w:sz="0" w:space="0" w:color="auto"/>
        <w:right w:val="none" w:sz="0" w:space="0" w:color="auto"/>
      </w:divBdr>
    </w:div>
    <w:div w:id="1669943205">
      <w:bodyDiv w:val="1"/>
      <w:marLeft w:val="0"/>
      <w:marRight w:val="0"/>
      <w:marTop w:val="0"/>
      <w:marBottom w:val="0"/>
      <w:divBdr>
        <w:top w:val="none" w:sz="0" w:space="0" w:color="auto"/>
        <w:left w:val="none" w:sz="0" w:space="0" w:color="auto"/>
        <w:bottom w:val="none" w:sz="0" w:space="0" w:color="auto"/>
        <w:right w:val="none" w:sz="0" w:space="0" w:color="auto"/>
      </w:divBdr>
    </w:div>
    <w:div w:id="1670251669">
      <w:bodyDiv w:val="1"/>
      <w:marLeft w:val="0"/>
      <w:marRight w:val="0"/>
      <w:marTop w:val="0"/>
      <w:marBottom w:val="0"/>
      <w:divBdr>
        <w:top w:val="none" w:sz="0" w:space="0" w:color="auto"/>
        <w:left w:val="none" w:sz="0" w:space="0" w:color="auto"/>
        <w:bottom w:val="none" w:sz="0" w:space="0" w:color="auto"/>
        <w:right w:val="none" w:sz="0" w:space="0" w:color="auto"/>
      </w:divBdr>
    </w:div>
    <w:div w:id="1670324870">
      <w:bodyDiv w:val="1"/>
      <w:marLeft w:val="0"/>
      <w:marRight w:val="0"/>
      <w:marTop w:val="0"/>
      <w:marBottom w:val="0"/>
      <w:divBdr>
        <w:top w:val="none" w:sz="0" w:space="0" w:color="auto"/>
        <w:left w:val="none" w:sz="0" w:space="0" w:color="auto"/>
        <w:bottom w:val="none" w:sz="0" w:space="0" w:color="auto"/>
        <w:right w:val="none" w:sz="0" w:space="0" w:color="auto"/>
      </w:divBdr>
    </w:div>
    <w:div w:id="1692951903">
      <w:bodyDiv w:val="1"/>
      <w:marLeft w:val="0"/>
      <w:marRight w:val="0"/>
      <w:marTop w:val="0"/>
      <w:marBottom w:val="0"/>
      <w:divBdr>
        <w:top w:val="none" w:sz="0" w:space="0" w:color="auto"/>
        <w:left w:val="none" w:sz="0" w:space="0" w:color="auto"/>
        <w:bottom w:val="none" w:sz="0" w:space="0" w:color="auto"/>
        <w:right w:val="none" w:sz="0" w:space="0" w:color="auto"/>
      </w:divBdr>
    </w:div>
    <w:div w:id="1693188291">
      <w:bodyDiv w:val="1"/>
      <w:marLeft w:val="0"/>
      <w:marRight w:val="0"/>
      <w:marTop w:val="0"/>
      <w:marBottom w:val="0"/>
      <w:divBdr>
        <w:top w:val="none" w:sz="0" w:space="0" w:color="auto"/>
        <w:left w:val="none" w:sz="0" w:space="0" w:color="auto"/>
        <w:bottom w:val="none" w:sz="0" w:space="0" w:color="auto"/>
        <w:right w:val="none" w:sz="0" w:space="0" w:color="auto"/>
      </w:divBdr>
    </w:div>
    <w:div w:id="1722317300">
      <w:bodyDiv w:val="1"/>
      <w:marLeft w:val="0"/>
      <w:marRight w:val="0"/>
      <w:marTop w:val="0"/>
      <w:marBottom w:val="0"/>
      <w:divBdr>
        <w:top w:val="none" w:sz="0" w:space="0" w:color="auto"/>
        <w:left w:val="none" w:sz="0" w:space="0" w:color="auto"/>
        <w:bottom w:val="none" w:sz="0" w:space="0" w:color="auto"/>
        <w:right w:val="none" w:sz="0" w:space="0" w:color="auto"/>
      </w:divBdr>
    </w:div>
    <w:div w:id="1728531714">
      <w:bodyDiv w:val="1"/>
      <w:marLeft w:val="0"/>
      <w:marRight w:val="0"/>
      <w:marTop w:val="0"/>
      <w:marBottom w:val="0"/>
      <w:divBdr>
        <w:top w:val="none" w:sz="0" w:space="0" w:color="auto"/>
        <w:left w:val="none" w:sz="0" w:space="0" w:color="auto"/>
        <w:bottom w:val="none" w:sz="0" w:space="0" w:color="auto"/>
        <w:right w:val="none" w:sz="0" w:space="0" w:color="auto"/>
      </w:divBdr>
    </w:div>
    <w:div w:id="1738359897">
      <w:bodyDiv w:val="1"/>
      <w:marLeft w:val="0"/>
      <w:marRight w:val="0"/>
      <w:marTop w:val="0"/>
      <w:marBottom w:val="0"/>
      <w:divBdr>
        <w:top w:val="none" w:sz="0" w:space="0" w:color="auto"/>
        <w:left w:val="none" w:sz="0" w:space="0" w:color="auto"/>
        <w:bottom w:val="none" w:sz="0" w:space="0" w:color="auto"/>
        <w:right w:val="none" w:sz="0" w:space="0" w:color="auto"/>
      </w:divBdr>
    </w:div>
    <w:div w:id="1762607882">
      <w:bodyDiv w:val="1"/>
      <w:marLeft w:val="0"/>
      <w:marRight w:val="0"/>
      <w:marTop w:val="0"/>
      <w:marBottom w:val="0"/>
      <w:divBdr>
        <w:top w:val="none" w:sz="0" w:space="0" w:color="auto"/>
        <w:left w:val="none" w:sz="0" w:space="0" w:color="auto"/>
        <w:bottom w:val="none" w:sz="0" w:space="0" w:color="auto"/>
        <w:right w:val="none" w:sz="0" w:space="0" w:color="auto"/>
      </w:divBdr>
    </w:div>
    <w:div w:id="1768191616">
      <w:bodyDiv w:val="1"/>
      <w:marLeft w:val="0"/>
      <w:marRight w:val="0"/>
      <w:marTop w:val="0"/>
      <w:marBottom w:val="0"/>
      <w:divBdr>
        <w:top w:val="none" w:sz="0" w:space="0" w:color="auto"/>
        <w:left w:val="none" w:sz="0" w:space="0" w:color="auto"/>
        <w:bottom w:val="none" w:sz="0" w:space="0" w:color="auto"/>
        <w:right w:val="none" w:sz="0" w:space="0" w:color="auto"/>
      </w:divBdr>
    </w:div>
    <w:div w:id="1843083945">
      <w:bodyDiv w:val="1"/>
      <w:marLeft w:val="0"/>
      <w:marRight w:val="0"/>
      <w:marTop w:val="0"/>
      <w:marBottom w:val="0"/>
      <w:divBdr>
        <w:top w:val="none" w:sz="0" w:space="0" w:color="auto"/>
        <w:left w:val="none" w:sz="0" w:space="0" w:color="auto"/>
        <w:bottom w:val="none" w:sz="0" w:space="0" w:color="auto"/>
        <w:right w:val="none" w:sz="0" w:space="0" w:color="auto"/>
      </w:divBdr>
    </w:div>
    <w:div w:id="1871456180">
      <w:bodyDiv w:val="1"/>
      <w:marLeft w:val="0"/>
      <w:marRight w:val="0"/>
      <w:marTop w:val="0"/>
      <w:marBottom w:val="0"/>
      <w:divBdr>
        <w:top w:val="none" w:sz="0" w:space="0" w:color="auto"/>
        <w:left w:val="none" w:sz="0" w:space="0" w:color="auto"/>
        <w:bottom w:val="none" w:sz="0" w:space="0" w:color="auto"/>
        <w:right w:val="none" w:sz="0" w:space="0" w:color="auto"/>
      </w:divBdr>
    </w:div>
    <w:div w:id="1883636862">
      <w:bodyDiv w:val="1"/>
      <w:marLeft w:val="0"/>
      <w:marRight w:val="0"/>
      <w:marTop w:val="0"/>
      <w:marBottom w:val="0"/>
      <w:divBdr>
        <w:top w:val="none" w:sz="0" w:space="0" w:color="auto"/>
        <w:left w:val="none" w:sz="0" w:space="0" w:color="auto"/>
        <w:bottom w:val="none" w:sz="0" w:space="0" w:color="auto"/>
        <w:right w:val="none" w:sz="0" w:space="0" w:color="auto"/>
      </w:divBdr>
    </w:div>
    <w:div w:id="1884780589">
      <w:bodyDiv w:val="1"/>
      <w:marLeft w:val="0"/>
      <w:marRight w:val="0"/>
      <w:marTop w:val="0"/>
      <w:marBottom w:val="0"/>
      <w:divBdr>
        <w:top w:val="none" w:sz="0" w:space="0" w:color="auto"/>
        <w:left w:val="none" w:sz="0" w:space="0" w:color="auto"/>
        <w:bottom w:val="none" w:sz="0" w:space="0" w:color="auto"/>
        <w:right w:val="none" w:sz="0" w:space="0" w:color="auto"/>
      </w:divBdr>
    </w:div>
    <w:div w:id="1931045016">
      <w:bodyDiv w:val="1"/>
      <w:marLeft w:val="0"/>
      <w:marRight w:val="0"/>
      <w:marTop w:val="0"/>
      <w:marBottom w:val="0"/>
      <w:divBdr>
        <w:top w:val="none" w:sz="0" w:space="0" w:color="auto"/>
        <w:left w:val="none" w:sz="0" w:space="0" w:color="auto"/>
        <w:bottom w:val="none" w:sz="0" w:space="0" w:color="auto"/>
        <w:right w:val="none" w:sz="0" w:space="0" w:color="auto"/>
      </w:divBdr>
    </w:div>
    <w:div w:id="1972053791">
      <w:bodyDiv w:val="1"/>
      <w:marLeft w:val="0"/>
      <w:marRight w:val="0"/>
      <w:marTop w:val="0"/>
      <w:marBottom w:val="0"/>
      <w:divBdr>
        <w:top w:val="none" w:sz="0" w:space="0" w:color="auto"/>
        <w:left w:val="none" w:sz="0" w:space="0" w:color="auto"/>
        <w:bottom w:val="none" w:sz="0" w:space="0" w:color="auto"/>
        <w:right w:val="none" w:sz="0" w:space="0" w:color="auto"/>
      </w:divBdr>
    </w:div>
    <w:div w:id="1985306094">
      <w:bodyDiv w:val="1"/>
      <w:marLeft w:val="0"/>
      <w:marRight w:val="0"/>
      <w:marTop w:val="0"/>
      <w:marBottom w:val="0"/>
      <w:divBdr>
        <w:top w:val="none" w:sz="0" w:space="0" w:color="auto"/>
        <w:left w:val="none" w:sz="0" w:space="0" w:color="auto"/>
        <w:bottom w:val="none" w:sz="0" w:space="0" w:color="auto"/>
        <w:right w:val="none" w:sz="0" w:space="0" w:color="auto"/>
      </w:divBdr>
    </w:div>
    <w:div w:id="1985889307">
      <w:bodyDiv w:val="1"/>
      <w:marLeft w:val="0"/>
      <w:marRight w:val="0"/>
      <w:marTop w:val="0"/>
      <w:marBottom w:val="0"/>
      <w:divBdr>
        <w:top w:val="none" w:sz="0" w:space="0" w:color="auto"/>
        <w:left w:val="none" w:sz="0" w:space="0" w:color="auto"/>
        <w:bottom w:val="none" w:sz="0" w:space="0" w:color="auto"/>
        <w:right w:val="none" w:sz="0" w:space="0" w:color="auto"/>
      </w:divBdr>
    </w:div>
    <w:div w:id="1990134652">
      <w:bodyDiv w:val="1"/>
      <w:marLeft w:val="0"/>
      <w:marRight w:val="0"/>
      <w:marTop w:val="0"/>
      <w:marBottom w:val="0"/>
      <w:divBdr>
        <w:top w:val="none" w:sz="0" w:space="0" w:color="auto"/>
        <w:left w:val="none" w:sz="0" w:space="0" w:color="auto"/>
        <w:bottom w:val="none" w:sz="0" w:space="0" w:color="auto"/>
        <w:right w:val="none" w:sz="0" w:space="0" w:color="auto"/>
      </w:divBdr>
    </w:div>
    <w:div w:id="2002852235">
      <w:bodyDiv w:val="1"/>
      <w:marLeft w:val="0"/>
      <w:marRight w:val="0"/>
      <w:marTop w:val="0"/>
      <w:marBottom w:val="0"/>
      <w:divBdr>
        <w:top w:val="none" w:sz="0" w:space="0" w:color="auto"/>
        <w:left w:val="none" w:sz="0" w:space="0" w:color="auto"/>
        <w:bottom w:val="none" w:sz="0" w:space="0" w:color="auto"/>
        <w:right w:val="none" w:sz="0" w:space="0" w:color="auto"/>
      </w:divBdr>
    </w:div>
    <w:div w:id="2033148573">
      <w:bodyDiv w:val="1"/>
      <w:marLeft w:val="0"/>
      <w:marRight w:val="0"/>
      <w:marTop w:val="0"/>
      <w:marBottom w:val="0"/>
      <w:divBdr>
        <w:top w:val="none" w:sz="0" w:space="0" w:color="auto"/>
        <w:left w:val="none" w:sz="0" w:space="0" w:color="auto"/>
        <w:bottom w:val="none" w:sz="0" w:space="0" w:color="auto"/>
        <w:right w:val="none" w:sz="0" w:space="0" w:color="auto"/>
      </w:divBdr>
    </w:div>
    <w:div w:id="2041121801">
      <w:bodyDiv w:val="1"/>
      <w:marLeft w:val="0"/>
      <w:marRight w:val="0"/>
      <w:marTop w:val="0"/>
      <w:marBottom w:val="0"/>
      <w:divBdr>
        <w:top w:val="none" w:sz="0" w:space="0" w:color="auto"/>
        <w:left w:val="none" w:sz="0" w:space="0" w:color="auto"/>
        <w:bottom w:val="none" w:sz="0" w:space="0" w:color="auto"/>
        <w:right w:val="none" w:sz="0" w:space="0" w:color="auto"/>
      </w:divBdr>
    </w:div>
    <w:div w:id="2047220078">
      <w:bodyDiv w:val="1"/>
      <w:marLeft w:val="0"/>
      <w:marRight w:val="0"/>
      <w:marTop w:val="0"/>
      <w:marBottom w:val="0"/>
      <w:divBdr>
        <w:top w:val="none" w:sz="0" w:space="0" w:color="auto"/>
        <w:left w:val="none" w:sz="0" w:space="0" w:color="auto"/>
        <w:bottom w:val="none" w:sz="0" w:space="0" w:color="auto"/>
        <w:right w:val="none" w:sz="0" w:space="0" w:color="auto"/>
      </w:divBdr>
    </w:div>
    <w:div w:id="2064213450">
      <w:bodyDiv w:val="1"/>
      <w:marLeft w:val="0"/>
      <w:marRight w:val="0"/>
      <w:marTop w:val="0"/>
      <w:marBottom w:val="0"/>
      <w:divBdr>
        <w:top w:val="none" w:sz="0" w:space="0" w:color="auto"/>
        <w:left w:val="none" w:sz="0" w:space="0" w:color="auto"/>
        <w:bottom w:val="none" w:sz="0" w:space="0" w:color="auto"/>
        <w:right w:val="none" w:sz="0" w:space="0" w:color="auto"/>
      </w:divBdr>
    </w:div>
    <w:div w:id="2120491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emf"/><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image" Target="media/image7.emf"/><Relationship Id="rId10" Type="http://schemas.openxmlformats.org/officeDocument/2006/relationships/image" Target="media/image2.emf"/><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6.emf"/><Relationship Id="rId22"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7FE891-DA6E-42CB-A92C-F26A2F3AAE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317</Pages>
  <Words>108527</Words>
  <Characters>586046</Characters>
  <Application>Microsoft Office Word</Application>
  <DocSecurity>0</DocSecurity>
  <Lines>4883</Lines>
  <Paragraphs>1386</Paragraphs>
  <ScaleCrop>false</ScaleCrop>
  <HeadingPairs>
    <vt:vector size="2" baseType="variant">
      <vt:variant>
        <vt:lpstr>Título</vt:lpstr>
      </vt:variant>
      <vt:variant>
        <vt:i4>1</vt:i4>
      </vt:variant>
    </vt:vector>
  </HeadingPairs>
  <TitlesOfParts>
    <vt:vector size="1" baseType="lpstr">
      <vt:lpstr/>
    </vt:vector>
  </TitlesOfParts>
  <Company>TCE-ES</Company>
  <LinksUpToDate>false</LinksUpToDate>
  <CharactersWithSpaces>693187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TCE-ES</dc:creator>
  <cp:lastModifiedBy>TCE-ES</cp:lastModifiedBy>
  <cp:revision>2</cp:revision>
  <cp:lastPrinted>2022-02-03T21:00:00Z</cp:lastPrinted>
  <dcterms:created xsi:type="dcterms:W3CDTF">2022-02-03T21:45:00Z</dcterms:created>
  <dcterms:modified xsi:type="dcterms:W3CDTF">2022-02-03T21:45:00Z</dcterms:modified>
</cp:coreProperties>
</file>